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4A4FC"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6FF9FE6F"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64A2CC94"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548F3C08"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15FED8D3"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6CD0C8ED"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20B927BB"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7A35FFAE"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049EB2BF"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573BF8AA"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32BF8333"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78191583"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755B488F"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49FB8D76" w14:textId="77777777" w:rsidR="001C192E" w:rsidRPr="00537128" w:rsidRDefault="001C192E" w:rsidP="001C192E">
      <w:pPr>
        <w:spacing w:after="0" w:line="240" w:lineRule="auto"/>
        <w:rPr>
          <w:rFonts w:eastAsia="Times New Roman" w:cs="Arial"/>
          <w:b/>
          <w:noProof/>
          <w:color w:val="000000" w:themeColor="text1"/>
          <w:sz w:val="32"/>
          <w:szCs w:val="32"/>
          <w:lang w:val="en-US"/>
        </w:rPr>
      </w:pPr>
    </w:p>
    <w:p w14:paraId="526EB6EA" w14:textId="77777777" w:rsidR="001C192E" w:rsidRPr="00537128" w:rsidRDefault="001C192E" w:rsidP="001C192E">
      <w:pPr>
        <w:spacing w:after="0" w:line="240" w:lineRule="auto"/>
        <w:ind w:right="284"/>
        <w:rPr>
          <w:rFonts w:eastAsia="Times New Roman" w:cs="Arial"/>
          <w:b/>
          <w:noProof/>
          <w:color w:val="000000" w:themeColor="text1"/>
          <w:sz w:val="32"/>
          <w:szCs w:val="32"/>
          <w:lang w:val="en-US"/>
        </w:rPr>
      </w:pPr>
      <w:bookmarkStart w:id="0" w:name="_Toc4056840"/>
      <w:r w:rsidRPr="00537128">
        <w:rPr>
          <w:rFonts w:eastAsia="Times New Roman" w:cs="Arial"/>
          <w:b/>
          <w:noProof/>
          <w:color w:val="000000" w:themeColor="text1"/>
          <w:sz w:val="32"/>
          <w:szCs w:val="32"/>
          <w:lang w:val="en-US"/>
        </w:rPr>
        <w:t>CROATIAN BANK FOR RECONSTRUCTION AND DEVELOPMENT</w:t>
      </w:r>
      <w:bookmarkEnd w:id="0"/>
    </w:p>
    <w:p w14:paraId="7C6C210C" w14:textId="77777777" w:rsidR="001C192E" w:rsidRPr="00537128" w:rsidRDefault="001C192E" w:rsidP="001C192E">
      <w:pPr>
        <w:spacing w:after="0" w:line="240" w:lineRule="auto"/>
        <w:ind w:right="284"/>
        <w:rPr>
          <w:rFonts w:eastAsia="Times New Roman" w:cs="Arial"/>
          <w:b/>
          <w:noProof/>
          <w:color w:val="000000" w:themeColor="text1"/>
          <w:sz w:val="32"/>
          <w:szCs w:val="32"/>
          <w:lang w:val="en-US"/>
        </w:rPr>
      </w:pPr>
    </w:p>
    <w:p w14:paraId="5B3CB4BB" w14:textId="4B674A9B" w:rsidR="001C192E" w:rsidRPr="00537128" w:rsidRDefault="003D2EC1" w:rsidP="001C192E">
      <w:pPr>
        <w:spacing w:after="0" w:line="240" w:lineRule="auto"/>
        <w:ind w:right="284"/>
        <w:rPr>
          <w:rFonts w:eastAsia="Times New Roman" w:cs="Arial"/>
          <w:b/>
          <w:noProof/>
          <w:color w:val="000000" w:themeColor="text1"/>
          <w:sz w:val="32"/>
          <w:szCs w:val="32"/>
          <w:lang w:val="en-US"/>
        </w:rPr>
      </w:pPr>
      <w:r w:rsidRPr="00537128">
        <w:rPr>
          <w:rFonts w:eastAsia="Times New Roman" w:cs="Arial"/>
          <w:b/>
          <w:noProof/>
          <w:color w:val="000000" w:themeColor="text1"/>
          <w:sz w:val="32"/>
          <w:szCs w:val="32"/>
          <w:lang w:val="en-US"/>
        </w:rPr>
        <w:t xml:space="preserve">Unaudited </w:t>
      </w:r>
      <w:r w:rsidR="001C192E" w:rsidRPr="00537128">
        <w:rPr>
          <w:rFonts w:eastAsia="Times New Roman" w:cs="Arial"/>
          <w:b/>
          <w:noProof/>
          <w:color w:val="000000" w:themeColor="text1"/>
          <w:sz w:val="32"/>
          <w:szCs w:val="32"/>
          <w:lang w:val="en-US"/>
        </w:rPr>
        <w:t xml:space="preserve">Condensed Separate and Consolidated Interim Financial Statements for the Period 1 January – </w:t>
      </w:r>
      <w:r w:rsidR="00A20A5A" w:rsidRPr="00537128">
        <w:rPr>
          <w:rFonts w:eastAsia="Times New Roman" w:cs="Arial"/>
          <w:b/>
          <w:noProof/>
          <w:color w:val="000000" w:themeColor="text1"/>
          <w:sz w:val="32"/>
          <w:szCs w:val="32"/>
          <w:lang w:val="en-US"/>
        </w:rPr>
        <w:t>3</w:t>
      </w:r>
      <w:r w:rsidR="00FE0D7E" w:rsidRPr="00537128">
        <w:rPr>
          <w:rFonts w:eastAsia="Times New Roman" w:cs="Arial"/>
          <w:b/>
          <w:noProof/>
          <w:color w:val="000000" w:themeColor="text1"/>
          <w:sz w:val="32"/>
          <w:szCs w:val="32"/>
          <w:lang w:val="en-US"/>
        </w:rPr>
        <w:t>1</w:t>
      </w:r>
      <w:r w:rsidR="00A20A5A" w:rsidRPr="00537128">
        <w:rPr>
          <w:rFonts w:eastAsia="Times New Roman" w:cs="Arial"/>
          <w:b/>
          <w:noProof/>
          <w:color w:val="000000" w:themeColor="text1"/>
          <w:sz w:val="32"/>
          <w:szCs w:val="32"/>
          <w:lang w:val="en-US"/>
        </w:rPr>
        <w:t xml:space="preserve"> </w:t>
      </w:r>
      <w:r w:rsidR="00FE0D7E" w:rsidRPr="00537128">
        <w:rPr>
          <w:rFonts w:eastAsia="Times New Roman" w:cs="Arial"/>
          <w:b/>
          <w:noProof/>
          <w:color w:val="000000" w:themeColor="text1"/>
          <w:sz w:val="32"/>
          <w:szCs w:val="32"/>
          <w:lang w:val="en-US"/>
        </w:rPr>
        <w:t>March</w:t>
      </w:r>
      <w:r w:rsidRPr="00537128">
        <w:rPr>
          <w:rFonts w:eastAsia="Times New Roman" w:cs="Arial"/>
          <w:b/>
          <w:noProof/>
          <w:color w:val="000000" w:themeColor="text1"/>
          <w:sz w:val="32"/>
          <w:szCs w:val="32"/>
          <w:lang w:val="en-US"/>
        </w:rPr>
        <w:t xml:space="preserve"> </w:t>
      </w:r>
      <w:r w:rsidR="001C192E" w:rsidRPr="00537128">
        <w:rPr>
          <w:rFonts w:eastAsia="Times New Roman" w:cs="Arial"/>
          <w:b/>
          <w:noProof/>
          <w:color w:val="000000" w:themeColor="text1"/>
          <w:sz w:val="32"/>
          <w:szCs w:val="32"/>
          <w:lang w:val="en-US"/>
        </w:rPr>
        <w:t>202</w:t>
      </w:r>
      <w:r w:rsidR="00E139F6">
        <w:rPr>
          <w:rFonts w:eastAsia="Times New Roman" w:cs="Arial"/>
          <w:b/>
          <w:noProof/>
          <w:color w:val="000000" w:themeColor="text1"/>
          <w:sz w:val="32"/>
          <w:szCs w:val="32"/>
          <w:lang w:val="en-US"/>
        </w:rPr>
        <w:t>2</w:t>
      </w:r>
    </w:p>
    <w:p w14:paraId="42EE4F03" w14:textId="77777777" w:rsidR="001C192E" w:rsidRPr="00537128" w:rsidRDefault="001C192E" w:rsidP="001C192E">
      <w:pPr>
        <w:spacing w:after="0" w:line="240" w:lineRule="auto"/>
        <w:ind w:right="284"/>
        <w:rPr>
          <w:rFonts w:eastAsia="Times New Roman" w:cs="Arial"/>
          <w:b/>
          <w:noProof/>
          <w:color w:val="000000" w:themeColor="text1"/>
          <w:sz w:val="32"/>
          <w:szCs w:val="32"/>
          <w:lang w:val="en-US"/>
        </w:rPr>
      </w:pPr>
    </w:p>
    <w:p w14:paraId="4B5A0134" w14:textId="77777777" w:rsidR="001C192E" w:rsidRPr="00537128" w:rsidRDefault="001C192E" w:rsidP="001C192E">
      <w:pPr>
        <w:spacing w:after="0" w:line="240" w:lineRule="auto"/>
        <w:jc w:val="center"/>
        <w:rPr>
          <w:noProof/>
          <w:color w:val="000000" w:themeColor="text1"/>
          <w:lang w:val="en-US"/>
        </w:rPr>
      </w:pPr>
    </w:p>
    <w:p w14:paraId="56ECFCEF" w14:textId="77777777" w:rsidR="001C192E" w:rsidRPr="00537128" w:rsidRDefault="001C192E" w:rsidP="001C192E">
      <w:pPr>
        <w:spacing w:after="0" w:line="240" w:lineRule="auto"/>
        <w:jc w:val="center"/>
        <w:rPr>
          <w:noProof/>
          <w:color w:val="000000" w:themeColor="text1"/>
          <w:lang w:val="en-US"/>
        </w:rPr>
      </w:pPr>
    </w:p>
    <w:p w14:paraId="5CB03CE2" w14:textId="77777777" w:rsidR="001C192E" w:rsidRPr="00537128" w:rsidRDefault="001C192E" w:rsidP="001C192E">
      <w:pPr>
        <w:spacing w:after="0" w:line="240" w:lineRule="auto"/>
        <w:jc w:val="center"/>
        <w:rPr>
          <w:noProof/>
          <w:color w:val="000000" w:themeColor="text1"/>
          <w:lang w:val="en-US"/>
        </w:rPr>
      </w:pPr>
    </w:p>
    <w:p w14:paraId="701C7EB1" w14:textId="77777777" w:rsidR="001C192E" w:rsidRPr="00537128" w:rsidRDefault="001C192E" w:rsidP="001C192E">
      <w:pPr>
        <w:spacing w:after="0" w:line="240" w:lineRule="auto"/>
        <w:jc w:val="center"/>
        <w:rPr>
          <w:noProof/>
          <w:color w:val="000000" w:themeColor="text1"/>
          <w:lang w:val="en-US"/>
        </w:rPr>
      </w:pPr>
    </w:p>
    <w:p w14:paraId="10354F47" w14:textId="77777777" w:rsidR="001C192E" w:rsidRPr="00537128" w:rsidRDefault="001C192E" w:rsidP="001C192E">
      <w:pPr>
        <w:spacing w:after="0" w:line="240" w:lineRule="auto"/>
        <w:jc w:val="center"/>
        <w:rPr>
          <w:noProof/>
          <w:color w:val="000000" w:themeColor="text1"/>
          <w:lang w:val="en-US"/>
        </w:rPr>
      </w:pPr>
    </w:p>
    <w:p w14:paraId="682F1DBF" w14:textId="77777777" w:rsidR="001C192E" w:rsidRPr="00537128" w:rsidRDefault="001C192E" w:rsidP="001C192E">
      <w:pPr>
        <w:spacing w:after="0" w:line="240" w:lineRule="auto"/>
        <w:jc w:val="center"/>
        <w:rPr>
          <w:noProof/>
          <w:color w:val="000000" w:themeColor="text1"/>
          <w:lang w:val="en-US"/>
        </w:rPr>
      </w:pPr>
    </w:p>
    <w:p w14:paraId="7295291C" w14:textId="77777777" w:rsidR="001C192E" w:rsidRPr="00537128" w:rsidRDefault="001C192E" w:rsidP="001C192E">
      <w:pPr>
        <w:spacing w:after="0" w:line="240" w:lineRule="auto"/>
        <w:jc w:val="center"/>
        <w:rPr>
          <w:noProof/>
          <w:color w:val="000000" w:themeColor="text1"/>
          <w:lang w:val="en-US"/>
        </w:rPr>
      </w:pPr>
    </w:p>
    <w:p w14:paraId="5F57199F" w14:textId="77777777" w:rsidR="001C192E" w:rsidRPr="00537128" w:rsidRDefault="001C192E" w:rsidP="001C192E">
      <w:pPr>
        <w:spacing w:after="0" w:line="240" w:lineRule="auto"/>
        <w:jc w:val="center"/>
        <w:rPr>
          <w:noProof/>
          <w:color w:val="000000" w:themeColor="text1"/>
          <w:lang w:val="en-US"/>
        </w:rPr>
      </w:pPr>
    </w:p>
    <w:p w14:paraId="2B7ECBBE" w14:textId="77777777" w:rsidR="001C192E" w:rsidRPr="00537128" w:rsidRDefault="001C192E" w:rsidP="001C192E">
      <w:pPr>
        <w:spacing w:after="0" w:line="240" w:lineRule="auto"/>
        <w:jc w:val="center"/>
        <w:rPr>
          <w:noProof/>
          <w:color w:val="000000" w:themeColor="text1"/>
          <w:lang w:val="en-US"/>
        </w:rPr>
      </w:pPr>
    </w:p>
    <w:p w14:paraId="3A5B0FD7" w14:textId="77777777" w:rsidR="001C192E" w:rsidRPr="00537128" w:rsidRDefault="001C192E" w:rsidP="001C192E">
      <w:pPr>
        <w:spacing w:after="0" w:line="240" w:lineRule="auto"/>
        <w:jc w:val="center"/>
        <w:rPr>
          <w:noProof/>
          <w:color w:val="000000" w:themeColor="text1"/>
          <w:lang w:val="en-US"/>
        </w:rPr>
      </w:pPr>
    </w:p>
    <w:p w14:paraId="527B8073" w14:textId="77777777" w:rsidR="001C192E" w:rsidRPr="00537128" w:rsidRDefault="001C192E" w:rsidP="001C192E">
      <w:pPr>
        <w:spacing w:after="0" w:line="240" w:lineRule="auto"/>
        <w:jc w:val="center"/>
        <w:rPr>
          <w:noProof/>
          <w:color w:val="000000" w:themeColor="text1"/>
          <w:lang w:val="en-US"/>
        </w:rPr>
      </w:pPr>
    </w:p>
    <w:p w14:paraId="66FB9158" w14:textId="77777777" w:rsidR="001C192E" w:rsidRPr="00537128" w:rsidRDefault="001C192E" w:rsidP="001C192E">
      <w:pPr>
        <w:spacing w:after="0" w:line="240" w:lineRule="auto"/>
        <w:jc w:val="center"/>
        <w:rPr>
          <w:noProof/>
          <w:color w:val="000000" w:themeColor="text1"/>
          <w:lang w:val="en-US"/>
        </w:rPr>
      </w:pPr>
    </w:p>
    <w:p w14:paraId="5C03C771" w14:textId="77777777" w:rsidR="001C192E" w:rsidRPr="00537128" w:rsidRDefault="001C192E" w:rsidP="001C192E">
      <w:pPr>
        <w:spacing w:after="0" w:line="240" w:lineRule="auto"/>
        <w:jc w:val="center"/>
        <w:rPr>
          <w:noProof/>
          <w:color w:val="000000" w:themeColor="text1"/>
          <w:lang w:val="en-US"/>
        </w:rPr>
      </w:pPr>
    </w:p>
    <w:p w14:paraId="1807182A" w14:textId="77777777" w:rsidR="001C192E" w:rsidRPr="00537128" w:rsidRDefault="001C192E" w:rsidP="001C192E">
      <w:pPr>
        <w:spacing w:after="0" w:line="240" w:lineRule="auto"/>
        <w:jc w:val="center"/>
        <w:rPr>
          <w:noProof/>
          <w:color w:val="000000" w:themeColor="text1"/>
          <w:lang w:val="en-US"/>
        </w:rPr>
      </w:pPr>
    </w:p>
    <w:p w14:paraId="6336BC20" w14:textId="77777777" w:rsidR="001C192E" w:rsidRPr="00537128" w:rsidRDefault="001C192E" w:rsidP="001C192E">
      <w:pPr>
        <w:spacing w:after="0" w:line="240" w:lineRule="auto"/>
        <w:jc w:val="center"/>
        <w:rPr>
          <w:noProof/>
          <w:color w:val="000000" w:themeColor="text1"/>
          <w:lang w:val="en-US"/>
        </w:rPr>
      </w:pPr>
    </w:p>
    <w:p w14:paraId="45DC12A8" w14:textId="77777777" w:rsidR="001C192E" w:rsidRPr="00537128" w:rsidRDefault="001C192E" w:rsidP="001C192E">
      <w:pPr>
        <w:spacing w:after="0" w:line="240" w:lineRule="auto"/>
        <w:jc w:val="center"/>
        <w:rPr>
          <w:noProof/>
          <w:color w:val="000000" w:themeColor="text1"/>
          <w:lang w:val="en-US"/>
        </w:rPr>
      </w:pPr>
    </w:p>
    <w:p w14:paraId="26C49A9D" w14:textId="77777777" w:rsidR="001C192E" w:rsidRPr="00537128" w:rsidRDefault="001C192E" w:rsidP="001C192E">
      <w:pPr>
        <w:spacing w:after="0" w:line="240" w:lineRule="auto"/>
        <w:jc w:val="center"/>
        <w:rPr>
          <w:noProof/>
          <w:color w:val="000000" w:themeColor="text1"/>
          <w:lang w:val="en-US"/>
        </w:rPr>
      </w:pPr>
    </w:p>
    <w:p w14:paraId="5F6C3BDF" w14:textId="77777777" w:rsidR="001C192E" w:rsidRPr="00537128" w:rsidRDefault="001C192E" w:rsidP="001C192E">
      <w:pPr>
        <w:spacing w:after="0" w:line="240" w:lineRule="auto"/>
        <w:jc w:val="center"/>
        <w:rPr>
          <w:noProof/>
          <w:color w:val="000000" w:themeColor="text1"/>
          <w:lang w:val="en-US"/>
        </w:rPr>
      </w:pPr>
    </w:p>
    <w:p w14:paraId="5641B4C0" w14:textId="77777777" w:rsidR="001C192E" w:rsidRPr="00537128" w:rsidRDefault="001C192E" w:rsidP="003D2EC1">
      <w:pPr>
        <w:spacing w:after="0" w:line="240" w:lineRule="auto"/>
        <w:rPr>
          <w:noProof/>
          <w:color w:val="000000" w:themeColor="text1"/>
          <w:lang w:val="en-US"/>
        </w:rPr>
      </w:pPr>
    </w:p>
    <w:p w14:paraId="31C00251" w14:textId="77777777" w:rsidR="001C192E" w:rsidRPr="00537128" w:rsidRDefault="001C192E" w:rsidP="001C192E">
      <w:pPr>
        <w:spacing w:after="0" w:line="240" w:lineRule="auto"/>
        <w:jc w:val="center"/>
        <w:rPr>
          <w:noProof/>
          <w:color w:val="000000" w:themeColor="text1"/>
          <w:lang w:val="en-US"/>
        </w:rPr>
      </w:pPr>
    </w:p>
    <w:p w14:paraId="2E25ABBA" w14:textId="77777777" w:rsidR="001C192E" w:rsidRPr="00537128" w:rsidRDefault="001C192E" w:rsidP="001C192E">
      <w:pPr>
        <w:spacing w:after="0" w:line="240" w:lineRule="auto"/>
        <w:jc w:val="center"/>
        <w:rPr>
          <w:noProof/>
          <w:color w:val="000000" w:themeColor="text1"/>
          <w:lang w:val="en-US"/>
        </w:rPr>
      </w:pPr>
    </w:p>
    <w:p w14:paraId="7639D14A" w14:textId="00F47E0C" w:rsidR="001C192E" w:rsidRPr="00537128" w:rsidRDefault="001C192E" w:rsidP="001C192E">
      <w:pPr>
        <w:spacing w:after="0" w:line="240" w:lineRule="auto"/>
        <w:ind w:right="284"/>
        <w:jc w:val="center"/>
        <w:rPr>
          <w:rFonts w:eastAsia="Times New Roman" w:cs="Arial"/>
          <w:noProof/>
          <w:color w:val="000000" w:themeColor="text1"/>
          <w:szCs w:val="32"/>
          <w:lang w:val="en-US"/>
        </w:rPr>
        <w:sectPr w:rsidR="001C192E" w:rsidRPr="0053712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r w:rsidRPr="00537128">
        <w:rPr>
          <w:rFonts w:eastAsia="Times New Roman" w:cs="Arial"/>
          <w:noProof/>
          <w:color w:val="000000" w:themeColor="text1"/>
          <w:szCs w:val="32"/>
          <w:lang w:val="en-US"/>
        </w:rPr>
        <w:t xml:space="preserve">Zagreb, </w:t>
      </w:r>
      <w:r w:rsidR="00FE0D7E" w:rsidRPr="00537128">
        <w:rPr>
          <w:rFonts w:eastAsia="Times New Roman" w:cs="Arial"/>
          <w:noProof/>
          <w:color w:val="000000" w:themeColor="text1"/>
          <w:szCs w:val="32"/>
          <w:lang w:val="en-US"/>
        </w:rPr>
        <w:t>May</w:t>
      </w:r>
      <w:r w:rsidRPr="00537128">
        <w:rPr>
          <w:rFonts w:eastAsia="Times New Roman" w:cs="Arial"/>
          <w:noProof/>
          <w:color w:val="000000" w:themeColor="text1"/>
          <w:szCs w:val="32"/>
          <w:lang w:val="en-US"/>
        </w:rPr>
        <w:t xml:space="preserve"> 202</w:t>
      </w:r>
      <w:r w:rsidR="00E139F6">
        <w:rPr>
          <w:rFonts w:eastAsia="Times New Roman" w:cs="Arial"/>
          <w:noProof/>
          <w:color w:val="000000" w:themeColor="text1"/>
          <w:szCs w:val="32"/>
          <w:lang w:val="en-US"/>
        </w:rPr>
        <w:t>2</w:t>
      </w:r>
    </w:p>
    <w:tbl>
      <w:tblPr>
        <w:tblW w:w="9487" w:type="dxa"/>
        <w:tblInd w:w="-132" w:type="dxa"/>
        <w:tblLook w:val="01E0" w:firstRow="1" w:lastRow="1" w:firstColumn="1" w:lastColumn="1" w:noHBand="0" w:noVBand="0"/>
      </w:tblPr>
      <w:tblGrid>
        <w:gridCol w:w="8429"/>
        <w:gridCol w:w="1058"/>
      </w:tblGrid>
      <w:tr w:rsidR="001C192E" w:rsidRPr="00537128" w14:paraId="679C9A42" w14:textId="77777777" w:rsidTr="00DD1ECC">
        <w:tc>
          <w:tcPr>
            <w:tcW w:w="8429" w:type="dxa"/>
            <w:vAlign w:val="bottom"/>
          </w:tcPr>
          <w:p w14:paraId="231EF21B" w14:textId="77777777" w:rsidR="001C192E" w:rsidRPr="00537128" w:rsidRDefault="001C192E" w:rsidP="001C192E">
            <w:pPr>
              <w:spacing w:before="120" w:after="0" w:line="240" w:lineRule="auto"/>
              <w:rPr>
                <w:rFonts w:cs="Arial"/>
                <w:noProof/>
                <w:color w:val="000000" w:themeColor="text1"/>
                <w:lang w:val="en-US"/>
              </w:rPr>
            </w:pPr>
          </w:p>
        </w:tc>
        <w:tc>
          <w:tcPr>
            <w:tcW w:w="1058" w:type="dxa"/>
            <w:vAlign w:val="bottom"/>
          </w:tcPr>
          <w:p w14:paraId="753AB0C6" w14:textId="77777777" w:rsidR="001C192E" w:rsidRPr="001537DA" w:rsidRDefault="001C192E" w:rsidP="001C192E">
            <w:pPr>
              <w:spacing w:before="120" w:after="0" w:line="240" w:lineRule="auto"/>
              <w:jc w:val="right"/>
              <w:rPr>
                <w:rFonts w:cs="Arial"/>
                <w:noProof/>
                <w:color w:val="000000" w:themeColor="text1"/>
                <w:lang w:val="en-US"/>
              </w:rPr>
            </w:pPr>
            <w:r w:rsidRPr="007A59AD">
              <w:rPr>
                <w:rFonts w:cs="Arial"/>
                <w:noProof/>
                <w:color w:val="000000" w:themeColor="text1"/>
                <w:lang w:val="en-US"/>
              </w:rPr>
              <w:t>Page</w:t>
            </w:r>
          </w:p>
        </w:tc>
      </w:tr>
      <w:tr w:rsidR="001C192E" w:rsidRPr="00537128" w14:paraId="0855D721" w14:textId="77777777" w:rsidTr="00DD1ECC">
        <w:tc>
          <w:tcPr>
            <w:tcW w:w="8429" w:type="dxa"/>
            <w:vAlign w:val="bottom"/>
          </w:tcPr>
          <w:p w14:paraId="7DD6B967" w14:textId="77777777" w:rsidR="001C192E" w:rsidRPr="00537128" w:rsidRDefault="001C192E" w:rsidP="001C192E">
            <w:pPr>
              <w:spacing w:before="120" w:after="0" w:line="240" w:lineRule="auto"/>
              <w:rPr>
                <w:rFonts w:cs="Arial"/>
                <w:noProof/>
                <w:color w:val="000000" w:themeColor="text1"/>
                <w:lang w:val="en-US"/>
              </w:rPr>
            </w:pPr>
          </w:p>
        </w:tc>
        <w:tc>
          <w:tcPr>
            <w:tcW w:w="1058" w:type="dxa"/>
            <w:vAlign w:val="bottom"/>
          </w:tcPr>
          <w:p w14:paraId="3193A60C" w14:textId="77777777" w:rsidR="001C192E" w:rsidRPr="007A59AD" w:rsidRDefault="001C192E" w:rsidP="001C192E">
            <w:pPr>
              <w:spacing w:before="120" w:after="0" w:line="240" w:lineRule="auto"/>
              <w:jc w:val="right"/>
              <w:rPr>
                <w:rFonts w:cs="Arial"/>
                <w:noProof/>
                <w:color w:val="000000" w:themeColor="text1"/>
                <w:lang w:val="en-US"/>
              </w:rPr>
            </w:pPr>
          </w:p>
        </w:tc>
      </w:tr>
      <w:tr w:rsidR="009913BA" w:rsidRPr="00537128" w14:paraId="510249EC" w14:textId="77777777" w:rsidTr="00DD1ECC">
        <w:trPr>
          <w:trHeight w:val="371"/>
        </w:trPr>
        <w:tc>
          <w:tcPr>
            <w:tcW w:w="8429" w:type="dxa"/>
            <w:vAlign w:val="bottom"/>
          </w:tcPr>
          <w:p w14:paraId="602ACC60" w14:textId="77777777" w:rsidR="009913BA" w:rsidRPr="00537128" w:rsidRDefault="009913BA" w:rsidP="009913BA">
            <w:pPr>
              <w:spacing w:before="120" w:after="0" w:line="240" w:lineRule="auto"/>
              <w:rPr>
                <w:rFonts w:cs="Arial"/>
                <w:noProof/>
                <w:color w:val="000000" w:themeColor="text1"/>
                <w:lang w:val="en-US"/>
              </w:rPr>
            </w:pPr>
            <w:r w:rsidRPr="00537128">
              <w:rPr>
                <w:rFonts w:eastAsia="Times New Roman" w:cs="Arial"/>
                <w:noProof/>
                <w:color w:val="000000" w:themeColor="text1"/>
                <w:lang w:val="en-US"/>
              </w:rPr>
              <w:t>Responsibilities of the Management and Supervisory Boards for the preparation and approval of the condensed separate and consolidated interim financial statements</w:t>
            </w:r>
          </w:p>
        </w:tc>
        <w:tc>
          <w:tcPr>
            <w:tcW w:w="1058" w:type="dxa"/>
            <w:vAlign w:val="bottom"/>
          </w:tcPr>
          <w:p w14:paraId="64EF7256" w14:textId="77777777" w:rsidR="009913BA" w:rsidRPr="00A1123E" w:rsidRDefault="009913BA" w:rsidP="009913BA">
            <w:pPr>
              <w:spacing w:before="120" w:after="0" w:line="240" w:lineRule="auto"/>
              <w:jc w:val="right"/>
              <w:rPr>
                <w:rFonts w:cs="Arial"/>
                <w:noProof/>
                <w:color w:val="000000" w:themeColor="text1"/>
                <w:lang w:val="en-US"/>
              </w:rPr>
            </w:pPr>
            <w:r w:rsidRPr="00A1123E">
              <w:rPr>
                <w:rFonts w:cs="Arial"/>
                <w:color w:val="000000" w:themeColor="text1"/>
                <w:lang w:val="en-US"/>
              </w:rPr>
              <w:t>3</w:t>
            </w:r>
          </w:p>
        </w:tc>
      </w:tr>
      <w:tr w:rsidR="009913BA" w:rsidRPr="00537128" w14:paraId="49AD154C" w14:textId="77777777" w:rsidTr="00DD1ECC">
        <w:tc>
          <w:tcPr>
            <w:tcW w:w="8429" w:type="dxa"/>
            <w:vAlign w:val="bottom"/>
          </w:tcPr>
          <w:p w14:paraId="5FDAC62A" w14:textId="77777777" w:rsidR="009913BA" w:rsidRPr="00537128" w:rsidRDefault="009913BA" w:rsidP="009913BA">
            <w:pPr>
              <w:spacing w:before="120" w:after="0" w:line="240" w:lineRule="auto"/>
              <w:rPr>
                <w:rFonts w:cs="Arial"/>
                <w:noProof/>
                <w:color w:val="000000" w:themeColor="text1"/>
                <w:lang w:val="en-US"/>
              </w:rPr>
            </w:pPr>
          </w:p>
        </w:tc>
        <w:tc>
          <w:tcPr>
            <w:tcW w:w="1058" w:type="dxa"/>
            <w:vAlign w:val="bottom"/>
          </w:tcPr>
          <w:p w14:paraId="66F11485" w14:textId="77777777" w:rsidR="009913BA" w:rsidRPr="00A1123E" w:rsidRDefault="009913BA" w:rsidP="009913BA">
            <w:pPr>
              <w:spacing w:before="120" w:after="0" w:line="240" w:lineRule="auto"/>
              <w:jc w:val="right"/>
              <w:rPr>
                <w:rFonts w:cs="Arial"/>
                <w:noProof/>
                <w:color w:val="000000" w:themeColor="text1"/>
                <w:lang w:val="en-US"/>
              </w:rPr>
            </w:pPr>
          </w:p>
        </w:tc>
      </w:tr>
      <w:tr w:rsidR="00136465" w:rsidRPr="00537128" w14:paraId="6F63F11E" w14:textId="77777777" w:rsidTr="00DD1ECC">
        <w:trPr>
          <w:trHeight w:val="281"/>
        </w:trPr>
        <w:tc>
          <w:tcPr>
            <w:tcW w:w="8429" w:type="dxa"/>
            <w:vAlign w:val="bottom"/>
          </w:tcPr>
          <w:p w14:paraId="1016DC6E" w14:textId="77777777" w:rsidR="00136465" w:rsidRPr="00537128" w:rsidRDefault="00136465" w:rsidP="00136465">
            <w:pPr>
              <w:spacing w:before="120" w:after="0" w:line="240" w:lineRule="auto"/>
              <w:rPr>
                <w:rFonts w:cs="Arial"/>
                <w:noProof/>
                <w:color w:val="000000" w:themeColor="text1"/>
                <w:lang w:val="en-US"/>
              </w:rPr>
            </w:pPr>
            <w:r w:rsidRPr="00537128">
              <w:rPr>
                <w:rFonts w:eastAsia="Times New Roman" w:cs="Arial"/>
                <w:noProof/>
                <w:color w:val="000000" w:themeColor="text1"/>
                <w:lang w:val="en-US"/>
              </w:rPr>
              <w:t>Condensed Consolidated Interim Financial Statements of the Group:</w:t>
            </w:r>
          </w:p>
        </w:tc>
        <w:tc>
          <w:tcPr>
            <w:tcW w:w="1058" w:type="dxa"/>
            <w:vAlign w:val="bottom"/>
          </w:tcPr>
          <w:p w14:paraId="581316F1"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4</w:t>
            </w:r>
          </w:p>
        </w:tc>
      </w:tr>
      <w:tr w:rsidR="00136465" w:rsidRPr="00537128" w14:paraId="50482ADE" w14:textId="77777777" w:rsidTr="00DD1ECC">
        <w:trPr>
          <w:trHeight w:val="351"/>
        </w:trPr>
        <w:tc>
          <w:tcPr>
            <w:tcW w:w="8429" w:type="dxa"/>
            <w:vAlign w:val="bottom"/>
          </w:tcPr>
          <w:p w14:paraId="6825F65F"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Profit or Loss</w:t>
            </w:r>
          </w:p>
        </w:tc>
        <w:tc>
          <w:tcPr>
            <w:tcW w:w="1058" w:type="dxa"/>
            <w:vAlign w:val="bottom"/>
          </w:tcPr>
          <w:p w14:paraId="136978B3"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4</w:t>
            </w:r>
          </w:p>
        </w:tc>
      </w:tr>
      <w:tr w:rsidR="00136465" w:rsidRPr="00537128" w14:paraId="0FED4DBB" w14:textId="77777777" w:rsidTr="00DD1ECC">
        <w:tc>
          <w:tcPr>
            <w:tcW w:w="8429" w:type="dxa"/>
            <w:vAlign w:val="bottom"/>
          </w:tcPr>
          <w:p w14:paraId="7BA15731" w14:textId="77777777" w:rsidR="00136465" w:rsidRPr="00537128" w:rsidRDefault="00136465" w:rsidP="00136465">
            <w:pPr>
              <w:spacing w:before="120" w:after="0" w:line="240" w:lineRule="auto"/>
              <w:rPr>
                <w:rFonts w:cs="Arial"/>
                <w:noProof/>
                <w:color w:val="000000" w:themeColor="text1"/>
                <w:lang w:val="en-US"/>
              </w:rPr>
            </w:pPr>
          </w:p>
        </w:tc>
        <w:tc>
          <w:tcPr>
            <w:tcW w:w="1058" w:type="dxa"/>
            <w:vAlign w:val="bottom"/>
          </w:tcPr>
          <w:p w14:paraId="779AFD1E"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09EAB6A1" w14:textId="77777777" w:rsidTr="00DD1ECC">
        <w:tc>
          <w:tcPr>
            <w:tcW w:w="8429" w:type="dxa"/>
            <w:vAlign w:val="bottom"/>
          </w:tcPr>
          <w:p w14:paraId="1DCBACB8"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Profit or Loss and Other Comprehensive Income</w:t>
            </w:r>
          </w:p>
        </w:tc>
        <w:tc>
          <w:tcPr>
            <w:tcW w:w="1058" w:type="dxa"/>
            <w:vAlign w:val="bottom"/>
          </w:tcPr>
          <w:p w14:paraId="29ADC1A6"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5</w:t>
            </w:r>
          </w:p>
        </w:tc>
      </w:tr>
      <w:tr w:rsidR="00136465" w:rsidRPr="00537128" w14:paraId="77F75F52" w14:textId="77777777" w:rsidTr="00DD1ECC">
        <w:tc>
          <w:tcPr>
            <w:tcW w:w="8429" w:type="dxa"/>
            <w:vAlign w:val="bottom"/>
          </w:tcPr>
          <w:p w14:paraId="0C6CF03F" w14:textId="77777777" w:rsidR="00136465" w:rsidRPr="00537128" w:rsidRDefault="00136465" w:rsidP="00136465">
            <w:pPr>
              <w:spacing w:before="120" w:after="0" w:line="240" w:lineRule="auto"/>
              <w:rPr>
                <w:rFonts w:cs="Arial"/>
                <w:noProof/>
                <w:color w:val="000000" w:themeColor="text1"/>
                <w:lang w:val="en-US"/>
              </w:rPr>
            </w:pPr>
          </w:p>
        </w:tc>
        <w:tc>
          <w:tcPr>
            <w:tcW w:w="1058" w:type="dxa"/>
            <w:vAlign w:val="bottom"/>
          </w:tcPr>
          <w:p w14:paraId="4A494560"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0B9E37B3" w14:textId="77777777" w:rsidTr="00623585">
        <w:tc>
          <w:tcPr>
            <w:tcW w:w="8429" w:type="dxa"/>
            <w:vAlign w:val="bottom"/>
          </w:tcPr>
          <w:p w14:paraId="6810B8C2"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Financial Position</w:t>
            </w:r>
          </w:p>
        </w:tc>
        <w:tc>
          <w:tcPr>
            <w:tcW w:w="1058" w:type="dxa"/>
            <w:shd w:val="clear" w:color="auto" w:fill="auto"/>
            <w:vAlign w:val="bottom"/>
          </w:tcPr>
          <w:p w14:paraId="648CE0F0"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6</w:t>
            </w:r>
          </w:p>
        </w:tc>
      </w:tr>
      <w:tr w:rsidR="00136465" w:rsidRPr="00537128" w14:paraId="08DE8AC9" w14:textId="77777777" w:rsidTr="00623585">
        <w:tc>
          <w:tcPr>
            <w:tcW w:w="8429" w:type="dxa"/>
            <w:vAlign w:val="bottom"/>
          </w:tcPr>
          <w:p w14:paraId="4FCB7FB4" w14:textId="77777777" w:rsidR="00136465" w:rsidRPr="00537128" w:rsidRDefault="00136465" w:rsidP="00136465">
            <w:pPr>
              <w:spacing w:before="120" w:after="0" w:line="240" w:lineRule="auto"/>
              <w:rPr>
                <w:rFonts w:cs="Arial"/>
                <w:noProof/>
                <w:color w:val="000000" w:themeColor="text1"/>
                <w:lang w:val="en-US"/>
              </w:rPr>
            </w:pPr>
          </w:p>
        </w:tc>
        <w:tc>
          <w:tcPr>
            <w:tcW w:w="1058" w:type="dxa"/>
            <w:shd w:val="clear" w:color="auto" w:fill="auto"/>
            <w:vAlign w:val="bottom"/>
          </w:tcPr>
          <w:p w14:paraId="4CEF06A3"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2CF54FAD" w14:textId="77777777" w:rsidTr="00623585">
        <w:tc>
          <w:tcPr>
            <w:tcW w:w="8429" w:type="dxa"/>
            <w:vAlign w:val="bottom"/>
          </w:tcPr>
          <w:p w14:paraId="5C7F0640"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Cash Flows</w:t>
            </w:r>
          </w:p>
        </w:tc>
        <w:tc>
          <w:tcPr>
            <w:tcW w:w="1058" w:type="dxa"/>
            <w:shd w:val="clear" w:color="auto" w:fill="auto"/>
            <w:vAlign w:val="bottom"/>
          </w:tcPr>
          <w:p w14:paraId="101FBF29"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7</w:t>
            </w:r>
          </w:p>
        </w:tc>
      </w:tr>
      <w:tr w:rsidR="00136465" w:rsidRPr="00537128" w14:paraId="2E6F8368" w14:textId="77777777" w:rsidTr="00623585">
        <w:tc>
          <w:tcPr>
            <w:tcW w:w="8429" w:type="dxa"/>
            <w:vAlign w:val="bottom"/>
          </w:tcPr>
          <w:p w14:paraId="59FE7A23" w14:textId="77777777" w:rsidR="00136465" w:rsidRPr="00537128" w:rsidRDefault="00136465" w:rsidP="00136465">
            <w:pPr>
              <w:spacing w:before="120" w:after="0" w:line="240" w:lineRule="auto"/>
              <w:rPr>
                <w:rFonts w:cs="Arial"/>
                <w:noProof/>
                <w:color w:val="000000" w:themeColor="text1"/>
                <w:lang w:val="en-US"/>
              </w:rPr>
            </w:pPr>
          </w:p>
        </w:tc>
        <w:tc>
          <w:tcPr>
            <w:tcW w:w="1058" w:type="dxa"/>
            <w:shd w:val="clear" w:color="auto" w:fill="auto"/>
            <w:vAlign w:val="bottom"/>
          </w:tcPr>
          <w:p w14:paraId="12A065D6"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27556E62" w14:textId="77777777" w:rsidTr="00623585">
        <w:tc>
          <w:tcPr>
            <w:tcW w:w="8429" w:type="dxa"/>
            <w:vAlign w:val="bottom"/>
          </w:tcPr>
          <w:p w14:paraId="0710FD42"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Changes in Equity</w:t>
            </w:r>
          </w:p>
        </w:tc>
        <w:tc>
          <w:tcPr>
            <w:tcW w:w="1058" w:type="dxa"/>
            <w:shd w:val="clear" w:color="auto" w:fill="auto"/>
            <w:vAlign w:val="bottom"/>
          </w:tcPr>
          <w:p w14:paraId="31D0839A"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8</w:t>
            </w:r>
          </w:p>
        </w:tc>
      </w:tr>
      <w:tr w:rsidR="00136465" w:rsidRPr="00537128" w14:paraId="6E1F2EE5" w14:textId="77777777" w:rsidTr="00623585">
        <w:tc>
          <w:tcPr>
            <w:tcW w:w="8429" w:type="dxa"/>
            <w:vAlign w:val="bottom"/>
          </w:tcPr>
          <w:p w14:paraId="13786B5D" w14:textId="77777777" w:rsidR="00136465" w:rsidRPr="00537128" w:rsidRDefault="00136465" w:rsidP="00136465">
            <w:pPr>
              <w:spacing w:before="120" w:after="0" w:line="240" w:lineRule="auto"/>
              <w:rPr>
                <w:rFonts w:cs="Arial"/>
                <w:noProof/>
                <w:color w:val="000000" w:themeColor="text1"/>
                <w:lang w:val="en-US"/>
              </w:rPr>
            </w:pPr>
          </w:p>
        </w:tc>
        <w:tc>
          <w:tcPr>
            <w:tcW w:w="1058" w:type="dxa"/>
            <w:shd w:val="clear" w:color="auto" w:fill="auto"/>
            <w:vAlign w:val="bottom"/>
          </w:tcPr>
          <w:p w14:paraId="0DBB8663"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6640E1B1" w14:textId="77777777" w:rsidTr="00623585">
        <w:tc>
          <w:tcPr>
            <w:tcW w:w="8429" w:type="dxa"/>
            <w:vAlign w:val="bottom"/>
          </w:tcPr>
          <w:p w14:paraId="3D570A77" w14:textId="77777777" w:rsidR="00136465" w:rsidRPr="00537128" w:rsidRDefault="00136465" w:rsidP="00136465">
            <w:pPr>
              <w:spacing w:before="120" w:after="0" w:line="240" w:lineRule="auto"/>
              <w:rPr>
                <w:rFonts w:cs="Arial"/>
                <w:noProof/>
                <w:color w:val="000000" w:themeColor="text1"/>
                <w:lang w:val="en-US"/>
              </w:rPr>
            </w:pPr>
            <w:r w:rsidRPr="00537128">
              <w:rPr>
                <w:rFonts w:eastAsia="Times New Roman" w:cs="Arial"/>
                <w:noProof/>
                <w:color w:val="000000" w:themeColor="text1"/>
                <w:lang w:val="en-US"/>
              </w:rPr>
              <w:t>Condensed Separate Interim Financial Statements of the Bank:</w:t>
            </w:r>
          </w:p>
        </w:tc>
        <w:tc>
          <w:tcPr>
            <w:tcW w:w="1058" w:type="dxa"/>
            <w:shd w:val="clear" w:color="auto" w:fill="auto"/>
            <w:vAlign w:val="bottom"/>
          </w:tcPr>
          <w:p w14:paraId="4F395A0F"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9</w:t>
            </w:r>
          </w:p>
        </w:tc>
      </w:tr>
      <w:tr w:rsidR="00136465" w:rsidRPr="00537128" w14:paraId="5462B0AC" w14:textId="77777777" w:rsidTr="00623585">
        <w:tc>
          <w:tcPr>
            <w:tcW w:w="8429" w:type="dxa"/>
            <w:vAlign w:val="bottom"/>
          </w:tcPr>
          <w:p w14:paraId="621F20E2" w14:textId="77777777" w:rsidR="00136465" w:rsidRPr="00537128" w:rsidRDefault="00136465" w:rsidP="00136465">
            <w:pPr>
              <w:spacing w:before="120" w:after="0" w:line="240" w:lineRule="auto"/>
              <w:rPr>
                <w:rFonts w:cs="Arial"/>
                <w:noProof/>
                <w:color w:val="000000" w:themeColor="text1"/>
                <w:lang w:val="en-US"/>
              </w:rPr>
            </w:pPr>
            <w:r w:rsidRPr="00537128">
              <w:rPr>
                <w:rFonts w:eastAsia="Times New Roman" w:cs="Arial"/>
                <w:noProof/>
                <w:color w:val="000000" w:themeColor="text1"/>
                <w:lang w:val="en-US"/>
              </w:rPr>
              <w:t>Statement of Profit or Loss</w:t>
            </w:r>
          </w:p>
        </w:tc>
        <w:tc>
          <w:tcPr>
            <w:tcW w:w="1058" w:type="dxa"/>
            <w:shd w:val="clear" w:color="auto" w:fill="auto"/>
            <w:vAlign w:val="bottom"/>
          </w:tcPr>
          <w:p w14:paraId="5F3D7948"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9</w:t>
            </w:r>
          </w:p>
        </w:tc>
      </w:tr>
      <w:tr w:rsidR="00136465" w:rsidRPr="00537128" w14:paraId="240170A8" w14:textId="77777777" w:rsidTr="00DD1ECC">
        <w:tc>
          <w:tcPr>
            <w:tcW w:w="8429" w:type="dxa"/>
            <w:vAlign w:val="bottom"/>
          </w:tcPr>
          <w:p w14:paraId="69209770" w14:textId="77777777" w:rsidR="00136465" w:rsidRPr="00537128" w:rsidRDefault="00136465" w:rsidP="00136465">
            <w:pPr>
              <w:spacing w:before="120" w:after="0" w:line="240" w:lineRule="auto"/>
              <w:rPr>
                <w:rFonts w:cs="Arial"/>
                <w:noProof/>
                <w:color w:val="000000" w:themeColor="text1"/>
                <w:lang w:val="en-US"/>
              </w:rPr>
            </w:pPr>
          </w:p>
        </w:tc>
        <w:tc>
          <w:tcPr>
            <w:tcW w:w="1058" w:type="dxa"/>
            <w:vAlign w:val="bottom"/>
          </w:tcPr>
          <w:p w14:paraId="225EA58A"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23DB59F5" w14:textId="77777777" w:rsidTr="00DD1ECC">
        <w:tc>
          <w:tcPr>
            <w:tcW w:w="8429" w:type="dxa"/>
            <w:vAlign w:val="bottom"/>
          </w:tcPr>
          <w:p w14:paraId="664BA87B"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Profit or Loss and Other Comprehensive Income</w:t>
            </w:r>
          </w:p>
        </w:tc>
        <w:tc>
          <w:tcPr>
            <w:tcW w:w="1058" w:type="dxa"/>
            <w:vAlign w:val="bottom"/>
          </w:tcPr>
          <w:p w14:paraId="7F8B7383"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10</w:t>
            </w:r>
          </w:p>
        </w:tc>
      </w:tr>
      <w:tr w:rsidR="00136465" w:rsidRPr="00537128" w14:paraId="37E6414F" w14:textId="77777777" w:rsidTr="00DD1ECC">
        <w:tc>
          <w:tcPr>
            <w:tcW w:w="8429" w:type="dxa"/>
            <w:vAlign w:val="bottom"/>
          </w:tcPr>
          <w:p w14:paraId="3116DF1A" w14:textId="77777777" w:rsidR="00136465" w:rsidRPr="00537128" w:rsidRDefault="00136465" w:rsidP="00136465">
            <w:pPr>
              <w:spacing w:before="120" w:after="0" w:line="240" w:lineRule="auto"/>
              <w:rPr>
                <w:rFonts w:cs="Arial"/>
                <w:noProof/>
                <w:color w:val="000000" w:themeColor="text1"/>
                <w:lang w:val="en-US"/>
              </w:rPr>
            </w:pPr>
          </w:p>
        </w:tc>
        <w:tc>
          <w:tcPr>
            <w:tcW w:w="1058" w:type="dxa"/>
            <w:vAlign w:val="bottom"/>
          </w:tcPr>
          <w:p w14:paraId="5579ACC7"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3D35D865" w14:textId="77777777" w:rsidTr="00DD1ECC">
        <w:tc>
          <w:tcPr>
            <w:tcW w:w="8429" w:type="dxa"/>
            <w:vAlign w:val="bottom"/>
          </w:tcPr>
          <w:p w14:paraId="17644693"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Financial Position</w:t>
            </w:r>
          </w:p>
        </w:tc>
        <w:tc>
          <w:tcPr>
            <w:tcW w:w="1058" w:type="dxa"/>
            <w:vAlign w:val="bottom"/>
          </w:tcPr>
          <w:p w14:paraId="7CF424D4"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11</w:t>
            </w:r>
          </w:p>
        </w:tc>
      </w:tr>
      <w:tr w:rsidR="00136465" w:rsidRPr="00537128" w14:paraId="1ECEC777" w14:textId="77777777" w:rsidTr="00DD1ECC">
        <w:tc>
          <w:tcPr>
            <w:tcW w:w="8429" w:type="dxa"/>
            <w:vAlign w:val="bottom"/>
          </w:tcPr>
          <w:p w14:paraId="55BB6C70" w14:textId="77777777" w:rsidR="00136465" w:rsidRPr="00537128" w:rsidRDefault="00136465" w:rsidP="00136465">
            <w:pPr>
              <w:spacing w:before="120" w:after="0" w:line="240" w:lineRule="auto"/>
              <w:rPr>
                <w:rFonts w:cs="Arial"/>
                <w:noProof/>
                <w:color w:val="000000" w:themeColor="text1"/>
                <w:lang w:val="en-US"/>
              </w:rPr>
            </w:pPr>
          </w:p>
        </w:tc>
        <w:tc>
          <w:tcPr>
            <w:tcW w:w="1058" w:type="dxa"/>
            <w:vAlign w:val="bottom"/>
          </w:tcPr>
          <w:p w14:paraId="123BE50C"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16C67D18" w14:textId="77777777" w:rsidTr="00DD1ECC">
        <w:tc>
          <w:tcPr>
            <w:tcW w:w="8429" w:type="dxa"/>
            <w:vAlign w:val="bottom"/>
          </w:tcPr>
          <w:p w14:paraId="7DC6EC5B"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Cash Flows</w:t>
            </w:r>
          </w:p>
        </w:tc>
        <w:tc>
          <w:tcPr>
            <w:tcW w:w="1058" w:type="dxa"/>
            <w:vAlign w:val="bottom"/>
          </w:tcPr>
          <w:p w14:paraId="53664DE0"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12</w:t>
            </w:r>
          </w:p>
        </w:tc>
      </w:tr>
      <w:tr w:rsidR="00136465" w:rsidRPr="00537128" w14:paraId="3AA52BFE" w14:textId="77777777" w:rsidTr="00DD1ECC">
        <w:tc>
          <w:tcPr>
            <w:tcW w:w="8429" w:type="dxa"/>
            <w:vAlign w:val="bottom"/>
          </w:tcPr>
          <w:p w14:paraId="57B9B8B7" w14:textId="77777777" w:rsidR="00136465" w:rsidRPr="00537128" w:rsidRDefault="00136465" w:rsidP="00136465">
            <w:pPr>
              <w:spacing w:before="120" w:after="0" w:line="240" w:lineRule="auto"/>
              <w:rPr>
                <w:rFonts w:cs="Arial"/>
                <w:noProof/>
                <w:color w:val="000000" w:themeColor="text1"/>
                <w:lang w:val="en-US"/>
              </w:rPr>
            </w:pPr>
          </w:p>
        </w:tc>
        <w:tc>
          <w:tcPr>
            <w:tcW w:w="1058" w:type="dxa"/>
            <w:vAlign w:val="bottom"/>
          </w:tcPr>
          <w:p w14:paraId="0AF02AC3"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1A1BB50D" w14:textId="77777777" w:rsidTr="00DD1ECC">
        <w:tc>
          <w:tcPr>
            <w:tcW w:w="8429" w:type="dxa"/>
            <w:vAlign w:val="bottom"/>
          </w:tcPr>
          <w:p w14:paraId="6D958F1B"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Changes in Equity</w:t>
            </w:r>
          </w:p>
        </w:tc>
        <w:tc>
          <w:tcPr>
            <w:tcW w:w="1058" w:type="dxa"/>
            <w:vAlign w:val="bottom"/>
          </w:tcPr>
          <w:p w14:paraId="1D9FE4DD"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13</w:t>
            </w:r>
          </w:p>
        </w:tc>
      </w:tr>
      <w:tr w:rsidR="00136465" w:rsidRPr="00537128" w14:paraId="56C0B9C6" w14:textId="77777777" w:rsidTr="00DD1ECC">
        <w:tc>
          <w:tcPr>
            <w:tcW w:w="8429" w:type="dxa"/>
            <w:vAlign w:val="bottom"/>
          </w:tcPr>
          <w:p w14:paraId="33FD6121" w14:textId="77777777" w:rsidR="00136465" w:rsidRPr="00537128" w:rsidRDefault="00136465" w:rsidP="00136465">
            <w:pPr>
              <w:spacing w:before="120" w:after="0" w:line="240" w:lineRule="auto"/>
              <w:rPr>
                <w:rFonts w:cs="Arial"/>
                <w:noProof/>
                <w:color w:val="000000" w:themeColor="text1"/>
                <w:lang w:val="en-US"/>
              </w:rPr>
            </w:pPr>
          </w:p>
        </w:tc>
        <w:tc>
          <w:tcPr>
            <w:tcW w:w="1058" w:type="dxa"/>
            <w:vAlign w:val="bottom"/>
          </w:tcPr>
          <w:p w14:paraId="1A840BAD"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460CC7CC" w14:textId="77777777" w:rsidTr="00DD1ECC">
        <w:tc>
          <w:tcPr>
            <w:tcW w:w="8429" w:type="dxa"/>
            <w:vAlign w:val="bottom"/>
          </w:tcPr>
          <w:p w14:paraId="3AA3B72C" w14:textId="77777777" w:rsidR="00136465" w:rsidRPr="00537128" w:rsidRDefault="00136465" w:rsidP="00136465">
            <w:pPr>
              <w:spacing w:after="0" w:line="320" w:lineRule="exact"/>
              <w:rPr>
                <w:rFonts w:eastAsia="Times New Roman" w:cstheme="minorHAnsi"/>
                <w:noProof/>
                <w:color w:val="000000" w:themeColor="text1"/>
                <w:lang w:val="en-US"/>
              </w:rPr>
            </w:pPr>
            <w:r w:rsidRPr="00537128">
              <w:rPr>
                <w:rFonts w:eastAsia="Times New Roman" w:cstheme="minorHAnsi"/>
                <w:noProof/>
                <w:color w:val="000000" w:themeColor="text1"/>
                <w:lang w:val="en-US"/>
              </w:rPr>
              <w:t xml:space="preserve">Notes to the Condensed Interim Financial Statements which include significant accounting policies and other explanations </w:t>
            </w:r>
          </w:p>
        </w:tc>
        <w:tc>
          <w:tcPr>
            <w:tcW w:w="1058" w:type="dxa"/>
            <w:shd w:val="clear" w:color="auto" w:fill="auto"/>
            <w:vAlign w:val="bottom"/>
          </w:tcPr>
          <w:p w14:paraId="35B6EF72" w14:textId="2EF2A3A3"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 xml:space="preserve">14- </w:t>
            </w:r>
            <w:r w:rsidR="003C5745" w:rsidRPr="00A1123E">
              <w:rPr>
                <w:rFonts w:cs="Arial"/>
                <w:noProof/>
                <w:color w:val="000000" w:themeColor="text1"/>
                <w:lang w:val="en-US"/>
              </w:rPr>
              <w:t>1</w:t>
            </w:r>
            <w:r w:rsidR="001D2012">
              <w:rPr>
                <w:rFonts w:cs="Arial"/>
                <w:noProof/>
                <w:color w:val="000000" w:themeColor="text1"/>
                <w:lang w:val="en-US"/>
              </w:rPr>
              <w:t>21</w:t>
            </w:r>
          </w:p>
        </w:tc>
      </w:tr>
      <w:tr w:rsidR="00136465" w:rsidRPr="00537128" w14:paraId="47D1FDF3" w14:textId="77777777" w:rsidTr="00DD1ECC">
        <w:trPr>
          <w:trHeight w:val="482"/>
        </w:trPr>
        <w:tc>
          <w:tcPr>
            <w:tcW w:w="8429" w:type="dxa"/>
            <w:vAlign w:val="bottom"/>
          </w:tcPr>
          <w:p w14:paraId="7359BFB6" w14:textId="77777777" w:rsidR="00136465" w:rsidRPr="00537128" w:rsidRDefault="00136465" w:rsidP="00136465">
            <w:pPr>
              <w:spacing w:after="0" w:line="320" w:lineRule="exact"/>
              <w:rPr>
                <w:rFonts w:eastAsia="Times New Roman" w:cstheme="minorHAnsi"/>
                <w:noProof/>
                <w:color w:val="000000" w:themeColor="text1"/>
                <w:lang w:val="en-US"/>
              </w:rPr>
            </w:pPr>
            <w:r w:rsidRPr="00537128">
              <w:rPr>
                <w:rFonts w:eastAsia="Times New Roman" w:cstheme="minorHAnsi"/>
                <w:noProof/>
                <w:color w:val="000000" w:themeColor="text1"/>
                <w:lang w:val="en-US"/>
              </w:rPr>
              <w:t>Appendix - Financial Performance of the HKO Group</w:t>
            </w:r>
          </w:p>
        </w:tc>
        <w:tc>
          <w:tcPr>
            <w:tcW w:w="1058" w:type="dxa"/>
            <w:shd w:val="clear" w:color="auto" w:fill="auto"/>
            <w:vAlign w:val="bottom"/>
          </w:tcPr>
          <w:p w14:paraId="551CAAD1" w14:textId="2178EEDC" w:rsidR="00136465" w:rsidRPr="00A1123E" w:rsidRDefault="003C574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12</w:t>
            </w:r>
            <w:r w:rsidR="001D2012">
              <w:rPr>
                <w:rFonts w:cs="Arial"/>
                <w:noProof/>
                <w:color w:val="000000" w:themeColor="text1"/>
                <w:lang w:val="en-US"/>
              </w:rPr>
              <w:t>2</w:t>
            </w:r>
            <w:r w:rsidRPr="00A1123E">
              <w:rPr>
                <w:rFonts w:cs="Arial"/>
                <w:noProof/>
                <w:color w:val="000000" w:themeColor="text1"/>
                <w:lang w:val="en-US"/>
              </w:rPr>
              <w:t xml:space="preserve"> </w:t>
            </w:r>
            <w:r w:rsidR="001E77B5" w:rsidRPr="00A1123E">
              <w:rPr>
                <w:rFonts w:cs="Arial"/>
                <w:noProof/>
                <w:color w:val="000000" w:themeColor="text1"/>
                <w:lang w:val="en-US"/>
              </w:rPr>
              <w:t xml:space="preserve">- </w:t>
            </w:r>
            <w:r w:rsidRPr="00A1123E">
              <w:rPr>
                <w:rFonts w:cs="Arial"/>
                <w:noProof/>
                <w:color w:val="000000" w:themeColor="text1"/>
                <w:lang w:val="en-US"/>
              </w:rPr>
              <w:t>1</w:t>
            </w:r>
            <w:r w:rsidR="000C6FD7">
              <w:rPr>
                <w:rFonts w:cs="Arial"/>
                <w:noProof/>
                <w:color w:val="000000" w:themeColor="text1"/>
                <w:lang w:val="en-US"/>
              </w:rPr>
              <w:t>2</w:t>
            </w:r>
            <w:r w:rsidR="001D2012">
              <w:rPr>
                <w:rFonts w:cs="Arial"/>
                <w:noProof/>
                <w:color w:val="000000" w:themeColor="text1"/>
                <w:lang w:val="en-US"/>
              </w:rPr>
              <w:t>5</w:t>
            </w:r>
          </w:p>
        </w:tc>
      </w:tr>
    </w:tbl>
    <w:p w14:paraId="5E082DF0" w14:textId="77777777" w:rsidR="00472B5C" w:rsidRPr="00537128" w:rsidRDefault="00472B5C" w:rsidP="001C192E">
      <w:pPr>
        <w:spacing w:after="0" w:line="240" w:lineRule="auto"/>
        <w:ind w:right="284"/>
        <w:rPr>
          <w:rFonts w:eastAsia="Times New Roman" w:cs="Arial"/>
          <w:noProof/>
          <w:color w:val="000000" w:themeColor="text1"/>
          <w:szCs w:val="32"/>
          <w:lang w:val="en-US"/>
        </w:rPr>
      </w:pPr>
    </w:p>
    <w:p w14:paraId="7AD74825" w14:textId="77777777" w:rsidR="001C192E" w:rsidRPr="00537128" w:rsidRDefault="001C192E" w:rsidP="001C192E">
      <w:pPr>
        <w:spacing w:after="0" w:line="240" w:lineRule="auto"/>
        <w:ind w:right="284"/>
        <w:rPr>
          <w:rFonts w:eastAsia="Times New Roman" w:cs="Arial"/>
          <w:noProof/>
          <w:color w:val="000000" w:themeColor="text1"/>
          <w:szCs w:val="32"/>
          <w:lang w:val="en-US"/>
        </w:rPr>
      </w:pPr>
    </w:p>
    <w:p w14:paraId="2FF7AC3A" w14:textId="77777777" w:rsidR="001C192E" w:rsidRPr="00537128" w:rsidRDefault="001C192E" w:rsidP="001C192E">
      <w:pPr>
        <w:spacing w:after="0" w:line="240" w:lineRule="auto"/>
        <w:ind w:right="284"/>
        <w:rPr>
          <w:rFonts w:eastAsia="Times New Roman" w:cs="Arial"/>
          <w:noProof/>
          <w:color w:val="000000" w:themeColor="text1"/>
          <w:szCs w:val="32"/>
          <w:lang w:val="en-US"/>
        </w:rPr>
        <w:sectPr w:rsidR="001C192E" w:rsidRPr="00537128">
          <w:headerReference w:type="default" r:id="rId14"/>
          <w:footerReference w:type="default" r:id="rId15"/>
          <w:pgSz w:w="11906" w:h="16838"/>
          <w:pgMar w:top="1417" w:right="1417" w:bottom="1417" w:left="1417" w:header="708" w:footer="708" w:gutter="0"/>
          <w:cols w:space="708"/>
          <w:docGrid w:linePitch="360"/>
        </w:sectPr>
      </w:pPr>
    </w:p>
    <w:p w14:paraId="4B96FF6B" w14:textId="77777777" w:rsidR="001C192E" w:rsidRPr="00537128" w:rsidRDefault="001C192E" w:rsidP="001C192E">
      <w:pPr>
        <w:spacing w:after="0" w:line="240" w:lineRule="auto"/>
        <w:ind w:right="284"/>
        <w:rPr>
          <w:rFonts w:eastAsia="Times New Roman" w:cs="Arial"/>
          <w:noProof/>
          <w:color w:val="000000" w:themeColor="text1"/>
          <w:szCs w:val="32"/>
          <w:lang w:val="en-US"/>
        </w:rPr>
      </w:pPr>
    </w:p>
    <w:p w14:paraId="7AD1773F" w14:textId="64E62A67" w:rsidR="00B33F01" w:rsidRPr="00537128" w:rsidRDefault="00B33F01" w:rsidP="00B33F01">
      <w:pPr>
        <w:spacing w:after="0" w:line="240" w:lineRule="auto"/>
        <w:jc w:val="both"/>
        <w:rPr>
          <w:iCs/>
          <w:noProof/>
          <w:color w:val="000000" w:themeColor="text1"/>
          <w:lang w:val="en-US"/>
        </w:rPr>
      </w:pPr>
      <w:r w:rsidRPr="00537128">
        <w:rPr>
          <w:iCs/>
          <w:noProof/>
          <w:color w:val="000000" w:themeColor="text1"/>
          <w:lang w:val="en-US"/>
        </w:rPr>
        <w:t xml:space="preserve">We confirm that, to the best of our knowledge, the condensed separate interim financial statements of the Croatian Bank for Reconstruction and Development (“the Bank” or “HBOR”) and condensed consolidated interim financial statements of the Croatian Bank for Reconstruction and Development Group (“the Group”) set out on </w:t>
      </w:r>
      <w:r w:rsidRPr="001C10FD">
        <w:rPr>
          <w:iCs/>
          <w:noProof/>
          <w:color w:val="000000" w:themeColor="text1"/>
          <w:lang w:val="en-US"/>
        </w:rPr>
        <w:t xml:space="preserve">pages </w:t>
      </w:r>
      <w:r w:rsidR="0098688B" w:rsidRPr="001C10FD">
        <w:rPr>
          <w:iCs/>
          <w:noProof/>
          <w:color w:val="000000" w:themeColor="text1"/>
          <w:lang w:val="en-US"/>
        </w:rPr>
        <w:t xml:space="preserve">4 </w:t>
      </w:r>
      <w:r w:rsidRPr="001C10FD">
        <w:rPr>
          <w:iCs/>
          <w:noProof/>
          <w:color w:val="000000" w:themeColor="text1"/>
          <w:lang w:val="en-US"/>
        </w:rPr>
        <w:t xml:space="preserve">to </w:t>
      </w:r>
      <w:r w:rsidR="003C5745" w:rsidRPr="001C10FD">
        <w:rPr>
          <w:iCs/>
          <w:noProof/>
          <w:color w:val="000000" w:themeColor="text1"/>
          <w:lang w:val="en-US"/>
        </w:rPr>
        <w:t>1</w:t>
      </w:r>
      <w:r w:rsidR="00FE0D7E" w:rsidRPr="001C10FD">
        <w:rPr>
          <w:iCs/>
          <w:noProof/>
          <w:color w:val="000000" w:themeColor="text1"/>
          <w:lang w:val="en-US"/>
        </w:rPr>
        <w:t>2</w:t>
      </w:r>
      <w:r w:rsidR="000C6FD7" w:rsidRPr="001C10FD">
        <w:rPr>
          <w:iCs/>
          <w:noProof/>
          <w:color w:val="000000" w:themeColor="text1"/>
          <w:lang w:val="en-US"/>
        </w:rPr>
        <w:t>5</w:t>
      </w:r>
      <w:r w:rsidR="003C5745" w:rsidRPr="001C10FD">
        <w:rPr>
          <w:iCs/>
          <w:noProof/>
          <w:color w:val="000000" w:themeColor="text1"/>
          <w:lang w:val="en-US"/>
        </w:rPr>
        <w:t xml:space="preserve"> </w:t>
      </w:r>
      <w:r w:rsidRPr="001C10FD">
        <w:rPr>
          <w:iCs/>
          <w:noProof/>
          <w:color w:val="000000" w:themeColor="text1"/>
          <w:lang w:val="en-US"/>
        </w:rPr>
        <w:t>have</w:t>
      </w:r>
      <w:r w:rsidRPr="00537128">
        <w:rPr>
          <w:iCs/>
          <w:noProof/>
          <w:color w:val="000000" w:themeColor="text1"/>
          <w:lang w:val="en-US"/>
        </w:rPr>
        <w:t xml:space="preserve"> been prepared in accordance with International Accounting Standard 34: “Interim Financial Reporting” applicable for the preparation of interim financial statements, and give a true and fair view of assets, liabilities, financial position, financial performance and cash flows for the reporting period.</w:t>
      </w:r>
    </w:p>
    <w:p w14:paraId="50D8A1C0" w14:textId="77777777" w:rsidR="00B33F01" w:rsidRPr="00537128" w:rsidRDefault="00B33F01" w:rsidP="00B33F01">
      <w:pPr>
        <w:spacing w:after="0" w:line="240" w:lineRule="auto"/>
        <w:jc w:val="both"/>
        <w:rPr>
          <w:iCs/>
          <w:noProof/>
          <w:color w:val="000000" w:themeColor="text1"/>
          <w:lang w:val="en-US" w:eastAsia="hr-HR"/>
        </w:rPr>
      </w:pPr>
    </w:p>
    <w:p w14:paraId="21C211F4" w14:textId="77777777" w:rsidR="00B33F01" w:rsidRPr="00537128" w:rsidRDefault="00B33F01" w:rsidP="00B33F01">
      <w:pPr>
        <w:spacing w:after="0" w:line="240" w:lineRule="auto"/>
        <w:jc w:val="both"/>
        <w:rPr>
          <w:iCs/>
          <w:noProof/>
          <w:color w:val="000000" w:themeColor="text1"/>
          <w:lang w:val="en-US" w:eastAsia="hr-HR"/>
        </w:rPr>
      </w:pPr>
      <w:r w:rsidRPr="00537128">
        <w:rPr>
          <w:iCs/>
          <w:noProof/>
          <w:color w:val="000000" w:themeColor="text1"/>
          <w:lang w:val="en-US"/>
        </w:rPr>
        <w:t xml:space="preserve">The Management Board has a general responsibility for taking such steps as are reasonably available to it to safeguard the assets of the Bank and the Group and to prevent and detect fraud and other irregularities.  </w:t>
      </w:r>
    </w:p>
    <w:p w14:paraId="2D3770E5" w14:textId="77777777" w:rsidR="00B33F01" w:rsidRPr="00537128" w:rsidRDefault="00B33F01" w:rsidP="00B33F01">
      <w:pPr>
        <w:spacing w:after="0" w:line="240" w:lineRule="auto"/>
        <w:ind w:left="720"/>
        <w:jc w:val="both"/>
        <w:rPr>
          <w:iCs/>
          <w:noProof/>
          <w:color w:val="000000" w:themeColor="text1"/>
          <w:lang w:val="en-US"/>
        </w:rPr>
      </w:pPr>
    </w:p>
    <w:p w14:paraId="42F2BDF5" w14:textId="77777777" w:rsidR="00B33F01" w:rsidRPr="00537128" w:rsidRDefault="00B33F01" w:rsidP="00B33F01">
      <w:pPr>
        <w:spacing w:after="0" w:line="240" w:lineRule="auto"/>
        <w:jc w:val="both"/>
        <w:rPr>
          <w:iCs/>
          <w:noProof/>
          <w:color w:val="000000" w:themeColor="text1"/>
          <w:lang w:val="en-US"/>
        </w:rPr>
      </w:pPr>
      <w:r w:rsidRPr="00537128">
        <w:rPr>
          <w:iCs/>
          <w:noProof/>
          <w:color w:val="000000" w:themeColor="text1"/>
          <w:lang w:val="en-US"/>
        </w:rPr>
        <w:t xml:space="preserve">The Management Board is responsible for selecting suitable accounting policies to conform with applicable accounting standards and then apply them consistently; making judgements and estimates that are reasonable and prudent; and preparing the financial statements on a going concern basis unless it is inappropriate to presume that the Bank and the Group will continue in business. </w:t>
      </w:r>
    </w:p>
    <w:p w14:paraId="756E45C1" w14:textId="77777777" w:rsidR="00B33F01" w:rsidRPr="00537128" w:rsidRDefault="00B33F01" w:rsidP="00B33F01">
      <w:pPr>
        <w:spacing w:after="0" w:line="240" w:lineRule="auto"/>
        <w:ind w:left="720"/>
        <w:jc w:val="both"/>
        <w:rPr>
          <w:iCs/>
          <w:noProof/>
          <w:color w:val="000000" w:themeColor="text1"/>
          <w:lang w:val="en-US"/>
        </w:rPr>
      </w:pPr>
    </w:p>
    <w:p w14:paraId="2276F094" w14:textId="77777777" w:rsidR="00B33F01" w:rsidRPr="00537128" w:rsidRDefault="00B33F01" w:rsidP="00B33F01">
      <w:pPr>
        <w:spacing w:after="0" w:line="240" w:lineRule="auto"/>
        <w:jc w:val="both"/>
        <w:rPr>
          <w:iCs/>
          <w:noProof/>
          <w:color w:val="000000" w:themeColor="text1"/>
          <w:lang w:val="en-US"/>
        </w:rPr>
      </w:pPr>
      <w:r w:rsidRPr="00537128">
        <w:rPr>
          <w:iCs/>
          <w:noProof/>
          <w:color w:val="000000" w:themeColor="text1"/>
          <w:lang w:val="en-US"/>
        </w:rPr>
        <w:t xml:space="preserve">The Management Board is responsible for the submission to the Supervisory Board of its Condensed interim financial statements which includes the condensed separate and consolidated interim financial statements. If the Supervisory Board approves the Condensed interim financial statements it is deemed confirmed by the Management Board and Supervisory Board. </w:t>
      </w:r>
    </w:p>
    <w:p w14:paraId="47F83428" w14:textId="77777777" w:rsidR="00B33F01" w:rsidRPr="00537128" w:rsidRDefault="00B33F01" w:rsidP="00B33F01">
      <w:pPr>
        <w:spacing w:after="0" w:line="240" w:lineRule="auto"/>
        <w:ind w:left="720"/>
        <w:jc w:val="both"/>
        <w:rPr>
          <w:iCs/>
          <w:noProof/>
          <w:color w:val="000000" w:themeColor="text1"/>
          <w:lang w:val="en-US"/>
        </w:rPr>
      </w:pPr>
    </w:p>
    <w:p w14:paraId="17F5CCEF" w14:textId="432D93AB" w:rsidR="00B33F01" w:rsidRPr="00537128" w:rsidRDefault="00B33F01" w:rsidP="00B33F01">
      <w:pPr>
        <w:spacing w:after="0" w:line="240" w:lineRule="auto"/>
        <w:jc w:val="both"/>
        <w:rPr>
          <w:iCs/>
          <w:noProof/>
          <w:color w:val="000000" w:themeColor="text1"/>
          <w:lang w:val="en-US"/>
        </w:rPr>
      </w:pPr>
      <w:r w:rsidRPr="00537128">
        <w:rPr>
          <w:iCs/>
          <w:noProof/>
          <w:color w:val="000000" w:themeColor="text1"/>
          <w:lang w:val="en-US"/>
        </w:rPr>
        <w:t xml:space="preserve">The Condensed separate and consolidated interim financial statements on </w:t>
      </w:r>
      <w:r w:rsidRPr="001C10FD">
        <w:rPr>
          <w:iCs/>
          <w:noProof/>
          <w:color w:val="000000" w:themeColor="text1"/>
          <w:lang w:val="en-US"/>
        </w:rPr>
        <w:t xml:space="preserve">pages </w:t>
      </w:r>
      <w:r w:rsidR="0098688B" w:rsidRPr="001C10FD">
        <w:rPr>
          <w:iCs/>
          <w:noProof/>
          <w:color w:val="000000" w:themeColor="text1"/>
          <w:lang w:val="en-US"/>
        </w:rPr>
        <w:t>4</w:t>
      </w:r>
      <w:r w:rsidR="00136465" w:rsidRPr="001C10FD">
        <w:rPr>
          <w:iCs/>
          <w:noProof/>
          <w:color w:val="000000" w:themeColor="text1"/>
          <w:lang w:val="en-US"/>
        </w:rPr>
        <w:t xml:space="preserve"> </w:t>
      </w:r>
      <w:r w:rsidRPr="001C10FD">
        <w:rPr>
          <w:iCs/>
          <w:noProof/>
          <w:color w:val="000000" w:themeColor="text1"/>
          <w:lang w:val="en-US"/>
        </w:rPr>
        <w:t xml:space="preserve">to </w:t>
      </w:r>
      <w:r w:rsidR="003C5745" w:rsidRPr="001C10FD">
        <w:rPr>
          <w:iCs/>
          <w:noProof/>
          <w:color w:val="000000" w:themeColor="text1"/>
          <w:lang w:val="en-US"/>
        </w:rPr>
        <w:t>1</w:t>
      </w:r>
      <w:r w:rsidR="00FE0D7E" w:rsidRPr="001C10FD">
        <w:rPr>
          <w:iCs/>
          <w:noProof/>
          <w:color w:val="000000" w:themeColor="text1"/>
          <w:lang w:val="en-US"/>
        </w:rPr>
        <w:t>2</w:t>
      </w:r>
      <w:r w:rsidR="000C6FD7" w:rsidRPr="001C10FD">
        <w:rPr>
          <w:iCs/>
          <w:noProof/>
          <w:color w:val="000000" w:themeColor="text1"/>
          <w:lang w:val="en-US"/>
        </w:rPr>
        <w:t>5</w:t>
      </w:r>
      <w:r w:rsidR="003C5745" w:rsidRPr="001C10FD">
        <w:rPr>
          <w:iCs/>
          <w:noProof/>
          <w:color w:val="000000" w:themeColor="text1"/>
          <w:lang w:val="en-US"/>
        </w:rPr>
        <w:t xml:space="preserve"> </w:t>
      </w:r>
      <w:r w:rsidRPr="001C10FD">
        <w:rPr>
          <w:iCs/>
          <w:noProof/>
          <w:color w:val="000000" w:themeColor="text1"/>
          <w:lang w:val="en-US"/>
        </w:rPr>
        <w:t xml:space="preserve">have been approved by the Management Board on </w:t>
      </w:r>
      <w:r w:rsidR="001537DA" w:rsidRPr="001C10FD">
        <w:rPr>
          <w:iCs/>
          <w:noProof/>
          <w:color w:val="000000" w:themeColor="text1"/>
          <w:lang w:val="en-US"/>
        </w:rPr>
        <w:t>2</w:t>
      </w:r>
      <w:r w:rsidR="000C6FD7" w:rsidRPr="001C10FD">
        <w:rPr>
          <w:iCs/>
          <w:noProof/>
          <w:color w:val="000000" w:themeColor="text1"/>
          <w:lang w:val="en-US"/>
        </w:rPr>
        <w:t>7</w:t>
      </w:r>
      <w:r w:rsidR="0007316C" w:rsidRPr="001C10FD">
        <w:rPr>
          <w:iCs/>
          <w:noProof/>
          <w:color w:val="000000" w:themeColor="text1"/>
          <w:lang w:val="en-US"/>
        </w:rPr>
        <w:t xml:space="preserve"> </w:t>
      </w:r>
      <w:r w:rsidR="00FE0D7E" w:rsidRPr="001C10FD">
        <w:rPr>
          <w:iCs/>
          <w:noProof/>
          <w:color w:val="000000" w:themeColor="text1"/>
          <w:lang w:val="en-US"/>
        </w:rPr>
        <w:t>May</w:t>
      </w:r>
      <w:r w:rsidR="0007316C" w:rsidRPr="001C10FD">
        <w:rPr>
          <w:iCs/>
          <w:noProof/>
          <w:color w:val="000000" w:themeColor="text1"/>
          <w:lang w:val="en-US"/>
        </w:rPr>
        <w:t xml:space="preserve"> </w:t>
      </w:r>
      <w:r w:rsidRPr="001C10FD">
        <w:rPr>
          <w:iCs/>
          <w:noProof/>
          <w:color w:val="000000" w:themeColor="text1"/>
          <w:lang w:val="en-US"/>
        </w:rPr>
        <w:t>20</w:t>
      </w:r>
      <w:r w:rsidR="00317247" w:rsidRPr="001C10FD">
        <w:rPr>
          <w:iCs/>
          <w:noProof/>
          <w:color w:val="000000" w:themeColor="text1"/>
          <w:lang w:val="en-US"/>
        </w:rPr>
        <w:t>2</w:t>
      </w:r>
      <w:r w:rsidR="00E139F6" w:rsidRPr="001C10FD">
        <w:rPr>
          <w:iCs/>
          <w:noProof/>
          <w:color w:val="000000" w:themeColor="text1"/>
          <w:lang w:val="en-US"/>
        </w:rPr>
        <w:t>2</w:t>
      </w:r>
      <w:r w:rsidRPr="001C10FD">
        <w:rPr>
          <w:iCs/>
          <w:noProof/>
          <w:color w:val="000000" w:themeColor="text1"/>
          <w:lang w:val="en-US"/>
        </w:rPr>
        <w:t xml:space="preserve"> as confirmed by the signatures below.</w:t>
      </w:r>
    </w:p>
    <w:p w14:paraId="4BC39D9A" w14:textId="77777777" w:rsidR="00B33F01" w:rsidRPr="00537128" w:rsidRDefault="00B33F01" w:rsidP="00B33F01">
      <w:pPr>
        <w:spacing w:after="0" w:line="240" w:lineRule="auto"/>
        <w:ind w:left="720"/>
        <w:jc w:val="both"/>
        <w:rPr>
          <w:iCs/>
          <w:noProof/>
          <w:color w:val="000000" w:themeColor="text1"/>
          <w:lang w:val="en-US"/>
        </w:rPr>
      </w:pPr>
    </w:p>
    <w:p w14:paraId="2A82004D" w14:textId="77777777" w:rsidR="00B33F01" w:rsidRPr="00537128" w:rsidRDefault="00B33F01" w:rsidP="00B33F01">
      <w:pPr>
        <w:spacing w:after="0" w:line="240" w:lineRule="auto"/>
        <w:jc w:val="both"/>
        <w:rPr>
          <w:iCs/>
          <w:noProof/>
          <w:color w:val="000000" w:themeColor="text1"/>
          <w:lang w:val="en-US"/>
        </w:rPr>
      </w:pPr>
      <w:r w:rsidRPr="00537128">
        <w:rPr>
          <w:iCs/>
          <w:noProof/>
          <w:color w:val="000000" w:themeColor="text1"/>
          <w:lang w:val="en-US"/>
        </w:rPr>
        <w:t>For and on behalf of Croatian Bank for Reconstruction and Development:</w:t>
      </w:r>
      <w:r w:rsidRPr="00537128" w:rsidDel="00E0702C">
        <w:rPr>
          <w:iCs/>
          <w:noProof/>
          <w:color w:val="000000" w:themeColor="text1"/>
          <w:lang w:val="en-US"/>
        </w:rPr>
        <w:t xml:space="preserve"> </w:t>
      </w:r>
    </w:p>
    <w:p w14:paraId="58525E44" w14:textId="77777777" w:rsidR="001C192E" w:rsidRPr="00537128" w:rsidRDefault="001C192E" w:rsidP="001C192E">
      <w:pPr>
        <w:spacing w:after="0" w:line="240" w:lineRule="auto"/>
        <w:ind w:right="284"/>
        <w:rPr>
          <w:rFonts w:eastAsia="Times New Roman" w:cs="Arial"/>
          <w:noProof/>
          <w:color w:val="000000" w:themeColor="text1"/>
          <w:szCs w:val="32"/>
          <w:lang w:val="en-US"/>
        </w:rPr>
      </w:pPr>
    </w:p>
    <w:p w14:paraId="6AF73DCD" w14:textId="77777777" w:rsidR="00317247" w:rsidRPr="00537128" w:rsidRDefault="00317247" w:rsidP="00317247">
      <w:pPr>
        <w:spacing w:after="0" w:line="240" w:lineRule="auto"/>
        <w:jc w:val="both"/>
        <w:rPr>
          <w:iCs/>
          <w:noProof/>
          <w:color w:val="000000" w:themeColor="text1"/>
          <w:lang w:val="en-US"/>
        </w:rPr>
      </w:pPr>
    </w:p>
    <w:p w14:paraId="2A0ADF47" w14:textId="77777777" w:rsidR="00317247" w:rsidRPr="00537128" w:rsidRDefault="00317247" w:rsidP="00317247">
      <w:pPr>
        <w:spacing w:after="0" w:line="360" w:lineRule="auto"/>
        <w:jc w:val="both"/>
        <w:rPr>
          <w:noProof/>
          <w:color w:val="000000" w:themeColor="text1"/>
          <w:sz w:val="24"/>
          <w:szCs w:val="24"/>
          <w:lang w:val="en-US"/>
        </w:rPr>
      </w:pPr>
    </w:p>
    <w:p w14:paraId="7E247FBB" w14:textId="77777777" w:rsidR="00317247" w:rsidRPr="00537128" w:rsidRDefault="00317247" w:rsidP="00317247">
      <w:pPr>
        <w:spacing w:after="0" w:line="360" w:lineRule="auto"/>
        <w:jc w:val="both"/>
        <w:rPr>
          <w:noProof/>
          <w:color w:val="000000" w:themeColor="text1"/>
          <w:sz w:val="24"/>
          <w:szCs w:val="24"/>
          <w:lang w:val="en-US"/>
        </w:rPr>
      </w:pPr>
    </w:p>
    <w:tbl>
      <w:tblPr>
        <w:tblW w:w="9498" w:type="dxa"/>
        <w:tblLayout w:type="fixed"/>
        <w:tblLook w:val="04A0" w:firstRow="1" w:lastRow="0" w:firstColumn="1" w:lastColumn="0" w:noHBand="0" w:noVBand="1"/>
      </w:tblPr>
      <w:tblGrid>
        <w:gridCol w:w="3969"/>
        <w:gridCol w:w="1701"/>
        <w:gridCol w:w="3828"/>
      </w:tblGrid>
      <w:tr w:rsidR="00317247" w:rsidRPr="00537128" w14:paraId="6E253C4E" w14:textId="77777777" w:rsidTr="00DD1ECC">
        <w:trPr>
          <w:trHeight w:hRule="exact" w:val="252"/>
        </w:trPr>
        <w:tc>
          <w:tcPr>
            <w:tcW w:w="3969" w:type="dxa"/>
            <w:vAlign w:val="bottom"/>
          </w:tcPr>
          <w:p w14:paraId="59451A13" w14:textId="77777777" w:rsidR="00317247" w:rsidRPr="00537128" w:rsidRDefault="00317247" w:rsidP="00317247">
            <w:pPr>
              <w:spacing w:after="0" w:line="240" w:lineRule="auto"/>
              <w:jc w:val="center"/>
              <w:rPr>
                <w:rFonts w:eastAsia="Times New Roman" w:cs="Arial"/>
                <w:noProof/>
                <w:color w:val="000000" w:themeColor="text1"/>
                <w:lang w:val="en-US"/>
              </w:rPr>
            </w:pPr>
            <w:bookmarkStart w:id="1" w:name="_Hlk5719699"/>
            <w:r w:rsidRPr="00537128">
              <w:rPr>
                <w:rFonts w:eastAsia="Times New Roman"/>
                <w:noProof/>
                <w:color w:val="000000" w:themeColor="text1"/>
                <w:lang w:val="en-US"/>
              </w:rPr>
              <w:t>______________________</w:t>
            </w:r>
          </w:p>
        </w:tc>
        <w:tc>
          <w:tcPr>
            <w:tcW w:w="1701" w:type="dxa"/>
            <w:vAlign w:val="bottom"/>
          </w:tcPr>
          <w:p w14:paraId="4B062F88" w14:textId="77777777" w:rsidR="00317247" w:rsidRPr="00537128" w:rsidRDefault="00317247" w:rsidP="00317247">
            <w:pPr>
              <w:spacing w:after="0" w:line="240" w:lineRule="auto"/>
              <w:jc w:val="center"/>
              <w:rPr>
                <w:rFonts w:eastAsia="Times New Roman"/>
                <w:noProof/>
                <w:color w:val="000000" w:themeColor="text1"/>
                <w:lang w:val="en-US"/>
              </w:rPr>
            </w:pPr>
          </w:p>
        </w:tc>
        <w:tc>
          <w:tcPr>
            <w:tcW w:w="3828" w:type="dxa"/>
            <w:vAlign w:val="bottom"/>
          </w:tcPr>
          <w:p w14:paraId="475A4C12" w14:textId="77777777" w:rsidR="00317247" w:rsidRPr="00537128" w:rsidRDefault="00317247" w:rsidP="00317247">
            <w:pPr>
              <w:spacing w:after="0" w:line="240" w:lineRule="auto"/>
              <w:jc w:val="center"/>
              <w:rPr>
                <w:rFonts w:eastAsia="Times New Roman"/>
                <w:noProof/>
                <w:color w:val="000000" w:themeColor="text1"/>
                <w:lang w:val="en-US"/>
              </w:rPr>
            </w:pPr>
            <w:r w:rsidRPr="00537128">
              <w:rPr>
                <w:rFonts w:eastAsia="Times New Roman"/>
                <w:noProof/>
                <w:color w:val="000000" w:themeColor="text1"/>
                <w:lang w:val="en-US"/>
              </w:rPr>
              <w:t>______________________</w:t>
            </w:r>
          </w:p>
        </w:tc>
      </w:tr>
      <w:tr w:rsidR="00317247" w:rsidRPr="00537128" w14:paraId="37A9150B" w14:textId="77777777" w:rsidTr="00DD1ECC">
        <w:trPr>
          <w:trHeight w:val="238"/>
        </w:trPr>
        <w:tc>
          <w:tcPr>
            <w:tcW w:w="3969" w:type="dxa"/>
            <w:vAlign w:val="bottom"/>
          </w:tcPr>
          <w:p w14:paraId="25878083" w14:textId="77777777" w:rsidR="00317247" w:rsidRPr="00537128" w:rsidRDefault="00317247" w:rsidP="00317247">
            <w:pPr>
              <w:spacing w:after="0" w:line="240" w:lineRule="auto"/>
              <w:jc w:val="center"/>
              <w:rPr>
                <w:rFonts w:eastAsia="Times New Roman" w:cs="Arial"/>
                <w:noProof/>
                <w:color w:val="000000" w:themeColor="text1"/>
                <w:lang w:val="en-US"/>
              </w:rPr>
            </w:pPr>
            <w:r w:rsidRPr="00537128">
              <w:rPr>
                <w:rFonts w:eastAsia="Times New Roman" w:cs="Arial"/>
                <w:noProof/>
                <w:color w:val="000000" w:themeColor="text1"/>
                <w:lang w:val="en-US"/>
              </w:rPr>
              <w:t>Vedran Jakšić, MSc</w:t>
            </w:r>
          </w:p>
        </w:tc>
        <w:tc>
          <w:tcPr>
            <w:tcW w:w="1701" w:type="dxa"/>
          </w:tcPr>
          <w:p w14:paraId="5A59E4F3" w14:textId="77777777" w:rsidR="00317247" w:rsidRPr="00537128" w:rsidRDefault="00317247" w:rsidP="00317247">
            <w:pPr>
              <w:spacing w:after="0" w:line="240" w:lineRule="auto"/>
              <w:jc w:val="center"/>
              <w:rPr>
                <w:rFonts w:eastAsia="Times New Roman" w:cs="Arial"/>
                <w:noProof/>
                <w:color w:val="000000" w:themeColor="text1"/>
                <w:lang w:val="en-US"/>
              </w:rPr>
            </w:pPr>
          </w:p>
        </w:tc>
        <w:tc>
          <w:tcPr>
            <w:tcW w:w="3828" w:type="dxa"/>
          </w:tcPr>
          <w:p w14:paraId="45B1236E" w14:textId="77777777" w:rsidR="00317247" w:rsidRPr="00537128" w:rsidRDefault="00317247" w:rsidP="00317247">
            <w:pPr>
              <w:spacing w:after="0" w:line="240" w:lineRule="auto"/>
              <w:jc w:val="center"/>
              <w:rPr>
                <w:rFonts w:eastAsia="Times New Roman" w:cs="Arial"/>
                <w:noProof/>
                <w:color w:val="000000" w:themeColor="text1"/>
                <w:lang w:val="en-US"/>
              </w:rPr>
            </w:pPr>
            <w:r w:rsidRPr="00537128">
              <w:rPr>
                <w:rFonts w:eastAsia="Times New Roman" w:cs="Arial"/>
                <w:noProof/>
                <w:color w:val="000000" w:themeColor="text1"/>
                <w:lang w:val="en-US"/>
              </w:rPr>
              <w:t>Marin Pranjić</w:t>
            </w:r>
          </w:p>
        </w:tc>
      </w:tr>
      <w:tr w:rsidR="00317247" w:rsidRPr="00537128" w14:paraId="26BDA786" w14:textId="77777777" w:rsidTr="00DD1ECC">
        <w:trPr>
          <w:trHeight w:hRule="exact" w:val="128"/>
        </w:trPr>
        <w:tc>
          <w:tcPr>
            <w:tcW w:w="3969" w:type="dxa"/>
          </w:tcPr>
          <w:p w14:paraId="6C9917EB" w14:textId="77777777" w:rsidR="00317247" w:rsidRPr="00537128" w:rsidRDefault="00317247" w:rsidP="00317247">
            <w:pPr>
              <w:spacing w:after="0" w:line="240" w:lineRule="auto"/>
              <w:jc w:val="center"/>
              <w:rPr>
                <w:rFonts w:eastAsia="Times New Roman" w:cs="Arial"/>
                <w:noProof/>
                <w:color w:val="000000" w:themeColor="text1"/>
                <w:lang w:val="en-US"/>
              </w:rPr>
            </w:pPr>
          </w:p>
        </w:tc>
        <w:tc>
          <w:tcPr>
            <w:tcW w:w="1701" w:type="dxa"/>
          </w:tcPr>
          <w:p w14:paraId="483772CE" w14:textId="77777777" w:rsidR="00317247" w:rsidRPr="00537128" w:rsidRDefault="00317247" w:rsidP="00317247">
            <w:pPr>
              <w:spacing w:after="0" w:line="240" w:lineRule="auto"/>
              <w:jc w:val="center"/>
              <w:rPr>
                <w:rFonts w:eastAsia="Times New Roman" w:cs="Arial"/>
                <w:noProof/>
                <w:color w:val="000000" w:themeColor="text1"/>
                <w:lang w:val="en-US"/>
              </w:rPr>
            </w:pPr>
          </w:p>
        </w:tc>
        <w:tc>
          <w:tcPr>
            <w:tcW w:w="3828" w:type="dxa"/>
          </w:tcPr>
          <w:p w14:paraId="123C19FD" w14:textId="77777777" w:rsidR="00317247" w:rsidRPr="00537128" w:rsidRDefault="00317247" w:rsidP="00317247">
            <w:pPr>
              <w:spacing w:after="0" w:line="240" w:lineRule="auto"/>
              <w:jc w:val="center"/>
              <w:rPr>
                <w:rFonts w:eastAsia="Times New Roman" w:cs="Arial"/>
                <w:noProof/>
                <w:color w:val="000000" w:themeColor="text1"/>
                <w:lang w:val="en-US"/>
              </w:rPr>
            </w:pPr>
          </w:p>
        </w:tc>
      </w:tr>
      <w:tr w:rsidR="00317247" w:rsidRPr="00537128" w14:paraId="6A58E939" w14:textId="77777777" w:rsidTr="00DD1ECC">
        <w:trPr>
          <w:trHeight w:val="374"/>
        </w:trPr>
        <w:tc>
          <w:tcPr>
            <w:tcW w:w="3969" w:type="dxa"/>
          </w:tcPr>
          <w:p w14:paraId="54D08463" w14:textId="77777777" w:rsidR="00317247" w:rsidRPr="00537128" w:rsidRDefault="00317247" w:rsidP="00317247">
            <w:pPr>
              <w:spacing w:after="0" w:line="240" w:lineRule="auto"/>
              <w:jc w:val="center"/>
              <w:rPr>
                <w:rFonts w:eastAsia="Times New Roman" w:cs="Arial"/>
                <w:b/>
                <w:noProof/>
                <w:color w:val="000000" w:themeColor="text1"/>
                <w:lang w:val="en-US"/>
              </w:rPr>
            </w:pPr>
            <w:r w:rsidRPr="00537128">
              <w:rPr>
                <w:rFonts w:eastAsia="Times New Roman" w:cs="Arial"/>
                <w:b/>
                <w:noProof/>
                <w:color w:val="000000" w:themeColor="text1"/>
                <w:lang w:val="en-US"/>
              </w:rPr>
              <w:t>Senior Executive Director</w:t>
            </w:r>
          </w:p>
        </w:tc>
        <w:tc>
          <w:tcPr>
            <w:tcW w:w="1701" w:type="dxa"/>
            <w:vAlign w:val="center"/>
          </w:tcPr>
          <w:p w14:paraId="5E73B975" w14:textId="77777777" w:rsidR="00317247" w:rsidRPr="00537128" w:rsidRDefault="00317247" w:rsidP="00317247">
            <w:pPr>
              <w:spacing w:after="0" w:line="240" w:lineRule="auto"/>
              <w:jc w:val="center"/>
              <w:rPr>
                <w:rFonts w:eastAsia="Times New Roman" w:cs="Arial"/>
                <w:b/>
                <w:noProof/>
                <w:color w:val="000000" w:themeColor="text1"/>
                <w:lang w:val="en-US"/>
              </w:rPr>
            </w:pPr>
          </w:p>
        </w:tc>
        <w:tc>
          <w:tcPr>
            <w:tcW w:w="3828" w:type="dxa"/>
            <w:vAlign w:val="center"/>
          </w:tcPr>
          <w:p w14:paraId="189EA223" w14:textId="77777777" w:rsidR="00317247" w:rsidRPr="00537128" w:rsidRDefault="00317247" w:rsidP="00317247">
            <w:pPr>
              <w:spacing w:after="0" w:line="240" w:lineRule="auto"/>
              <w:jc w:val="center"/>
              <w:rPr>
                <w:rFonts w:eastAsia="Times New Roman" w:cs="Arial"/>
                <w:b/>
                <w:noProof/>
                <w:color w:val="000000" w:themeColor="text1"/>
                <w:lang w:val="en-US"/>
              </w:rPr>
            </w:pPr>
            <w:r w:rsidRPr="00537128">
              <w:rPr>
                <w:rFonts w:eastAsia="Times New Roman" w:cs="Arial"/>
                <w:b/>
                <w:noProof/>
                <w:color w:val="000000" w:themeColor="text1"/>
                <w:lang w:val="en-US"/>
              </w:rPr>
              <w:t>Accounting Division Executive</w:t>
            </w:r>
          </w:p>
          <w:p w14:paraId="18BECA05" w14:textId="77777777" w:rsidR="00317247" w:rsidRPr="00537128" w:rsidRDefault="00317247" w:rsidP="00317247">
            <w:pPr>
              <w:spacing w:after="0" w:line="240" w:lineRule="auto"/>
              <w:jc w:val="center"/>
              <w:rPr>
                <w:rFonts w:eastAsia="Times New Roman" w:cs="Arial"/>
                <w:b/>
                <w:noProof/>
                <w:color w:val="000000" w:themeColor="text1"/>
                <w:lang w:val="en-US"/>
              </w:rPr>
            </w:pPr>
            <w:r w:rsidRPr="00537128">
              <w:rPr>
                <w:rFonts w:eastAsia="Times New Roman" w:cs="Arial"/>
                <w:b/>
                <w:noProof/>
                <w:color w:val="000000" w:themeColor="text1"/>
                <w:lang w:val="en-US"/>
              </w:rPr>
              <w:t>Director</w:t>
            </w:r>
          </w:p>
        </w:tc>
      </w:tr>
      <w:bookmarkEnd w:id="1"/>
    </w:tbl>
    <w:p w14:paraId="6FF80D84" w14:textId="77777777" w:rsidR="00317247" w:rsidRPr="00537128" w:rsidRDefault="00317247" w:rsidP="00317247">
      <w:pPr>
        <w:keepNext/>
        <w:spacing w:after="0" w:line="240" w:lineRule="auto"/>
        <w:jc w:val="both"/>
        <w:rPr>
          <w:rFonts w:eastAsia="Times New Roman" w:cs="Arial"/>
          <w:bCs/>
          <w:noProof/>
          <w:color w:val="000000" w:themeColor="text1"/>
          <w:lang w:val="en-US"/>
        </w:rPr>
      </w:pPr>
    </w:p>
    <w:p w14:paraId="1A2B6AAE" w14:textId="77777777" w:rsidR="003D2EC1" w:rsidRPr="00537128" w:rsidRDefault="003D2EC1" w:rsidP="00317247">
      <w:pPr>
        <w:keepNext/>
        <w:spacing w:after="0" w:line="240" w:lineRule="auto"/>
        <w:jc w:val="both"/>
        <w:rPr>
          <w:rFonts w:eastAsia="Times New Roman" w:cs="Arial"/>
          <w:bCs/>
          <w:noProof/>
          <w:color w:val="000000" w:themeColor="text1"/>
          <w:lang w:val="en-US"/>
        </w:rPr>
      </w:pPr>
    </w:p>
    <w:p w14:paraId="0EA85414" w14:textId="77777777" w:rsidR="003D2EC1" w:rsidRPr="00537128" w:rsidRDefault="003D2EC1" w:rsidP="00317247">
      <w:pPr>
        <w:keepNext/>
        <w:spacing w:after="0" w:line="240" w:lineRule="auto"/>
        <w:jc w:val="both"/>
        <w:rPr>
          <w:rFonts w:eastAsia="Times New Roman" w:cs="Arial"/>
          <w:bCs/>
          <w:noProof/>
          <w:color w:val="000000" w:themeColor="text1"/>
          <w:lang w:val="en-US"/>
        </w:rPr>
      </w:pPr>
    </w:p>
    <w:tbl>
      <w:tblPr>
        <w:tblW w:w="9498" w:type="dxa"/>
        <w:tblLayout w:type="fixed"/>
        <w:tblLook w:val="04A0" w:firstRow="1" w:lastRow="0" w:firstColumn="1" w:lastColumn="0" w:noHBand="0" w:noVBand="1"/>
      </w:tblPr>
      <w:tblGrid>
        <w:gridCol w:w="3969"/>
        <w:gridCol w:w="1701"/>
        <w:gridCol w:w="3828"/>
      </w:tblGrid>
      <w:tr w:rsidR="003D2EC1" w:rsidRPr="00537128" w14:paraId="2A765679" w14:textId="77777777" w:rsidTr="00C00891">
        <w:trPr>
          <w:trHeight w:hRule="exact" w:val="252"/>
        </w:trPr>
        <w:tc>
          <w:tcPr>
            <w:tcW w:w="3969" w:type="dxa"/>
            <w:vAlign w:val="bottom"/>
          </w:tcPr>
          <w:p w14:paraId="6AAE45F3" w14:textId="77777777" w:rsidR="003D2EC1" w:rsidRPr="00537128" w:rsidRDefault="003D2EC1" w:rsidP="00C00891">
            <w:pPr>
              <w:spacing w:after="0" w:line="240" w:lineRule="auto"/>
              <w:jc w:val="center"/>
              <w:rPr>
                <w:rFonts w:eastAsia="Times New Roman" w:cs="Arial"/>
                <w:noProof/>
                <w:color w:val="000000" w:themeColor="text1"/>
                <w:lang w:val="en-US"/>
              </w:rPr>
            </w:pPr>
            <w:r w:rsidRPr="00537128">
              <w:rPr>
                <w:rFonts w:eastAsia="Times New Roman"/>
                <w:noProof/>
                <w:color w:val="000000" w:themeColor="text1"/>
                <w:lang w:val="en-US"/>
              </w:rPr>
              <w:t>______________________</w:t>
            </w:r>
          </w:p>
        </w:tc>
        <w:tc>
          <w:tcPr>
            <w:tcW w:w="1701" w:type="dxa"/>
            <w:vAlign w:val="bottom"/>
          </w:tcPr>
          <w:p w14:paraId="3ABE6E71" w14:textId="77777777" w:rsidR="003D2EC1" w:rsidRPr="00537128" w:rsidRDefault="003D2EC1" w:rsidP="00C00891">
            <w:pPr>
              <w:spacing w:after="0" w:line="240" w:lineRule="auto"/>
              <w:jc w:val="center"/>
              <w:rPr>
                <w:rFonts w:eastAsia="Times New Roman"/>
                <w:noProof/>
                <w:color w:val="000000" w:themeColor="text1"/>
                <w:lang w:val="en-US"/>
              </w:rPr>
            </w:pPr>
          </w:p>
        </w:tc>
        <w:tc>
          <w:tcPr>
            <w:tcW w:w="3828" w:type="dxa"/>
            <w:vAlign w:val="bottom"/>
          </w:tcPr>
          <w:p w14:paraId="369FC5DC" w14:textId="77777777" w:rsidR="003D2EC1" w:rsidRPr="00537128" w:rsidRDefault="003D2EC1" w:rsidP="00C00891">
            <w:pPr>
              <w:spacing w:after="0" w:line="240" w:lineRule="auto"/>
              <w:jc w:val="center"/>
              <w:rPr>
                <w:rFonts w:eastAsia="Times New Roman"/>
                <w:noProof/>
                <w:color w:val="000000" w:themeColor="text1"/>
                <w:lang w:val="en-US"/>
              </w:rPr>
            </w:pPr>
            <w:r w:rsidRPr="00537128">
              <w:rPr>
                <w:rFonts w:eastAsia="Times New Roman"/>
                <w:noProof/>
                <w:color w:val="000000" w:themeColor="text1"/>
                <w:lang w:val="en-US"/>
              </w:rPr>
              <w:t>______________________</w:t>
            </w:r>
          </w:p>
        </w:tc>
      </w:tr>
      <w:tr w:rsidR="003D2EC1" w:rsidRPr="00537128" w14:paraId="2F8D6C62" w14:textId="77777777" w:rsidTr="00C00891">
        <w:trPr>
          <w:trHeight w:val="238"/>
        </w:trPr>
        <w:tc>
          <w:tcPr>
            <w:tcW w:w="3969" w:type="dxa"/>
            <w:vAlign w:val="bottom"/>
          </w:tcPr>
          <w:p w14:paraId="18E039B9" w14:textId="77777777" w:rsidR="003D2EC1" w:rsidRPr="00537128" w:rsidRDefault="003D2EC1" w:rsidP="00C00891">
            <w:pPr>
              <w:spacing w:after="0" w:line="240" w:lineRule="auto"/>
              <w:jc w:val="center"/>
              <w:rPr>
                <w:rFonts w:eastAsia="Times New Roman" w:cs="Arial"/>
                <w:noProof/>
                <w:color w:val="000000" w:themeColor="text1"/>
                <w:lang w:val="en-US"/>
              </w:rPr>
            </w:pPr>
            <w:r w:rsidRPr="00537128">
              <w:rPr>
                <w:rFonts w:eastAsia="Times New Roman" w:cs="Arial"/>
                <w:noProof/>
                <w:color w:val="000000" w:themeColor="text1"/>
                <w:lang w:val="en-US"/>
              </w:rPr>
              <w:t>Tamara Perko, MSc</w:t>
            </w:r>
          </w:p>
        </w:tc>
        <w:tc>
          <w:tcPr>
            <w:tcW w:w="1701" w:type="dxa"/>
          </w:tcPr>
          <w:p w14:paraId="6D1338E8" w14:textId="77777777" w:rsidR="003D2EC1" w:rsidRPr="00537128" w:rsidRDefault="003D2EC1" w:rsidP="00C00891">
            <w:pPr>
              <w:spacing w:after="0" w:line="240" w:lineRule="auto"/>
              <w:jc w:val="center"/>
              <w:rPr>
                <w:rFonts w:eastAsia="Times New Roman" w:cs="Arial"/>
                <w:noProof/>
                <w:color w:val="000000" w:themeColor="text1"/>
                <w:lang w:val="en-US"/>
              </w:rPr>
            </w:pPr>
          </w:p>
        </w:tc>
        <w:tc>
          <w:tcPr>
            <w:tcW w:w="3828" w:type="dxa"/>
          </w:tcPr>
          <w:p w14:paraId="157B2028" w14:textId="77777777" w:rsidR="003D2EC1" w:rsidRPr="00537128" w:rsidRDefault="003D2EC1" w:rsidP="00C00891">
            <w:pPr>
              <w:spacing w:after="0" w:line="240" w:lineRule="auto"/>
              <w:jc w:val="center"/>
              <w:rPr>
                <w:rFonts w:eastAsia="Times New Roman" w:cs="Arial"/>
                <w:noProof/>
                <w:color w:val="000000" w:themeColor="text1"/>
                <w:lang w:val="en-US"/>
              </w:rPr>
            </w:pPr>
            <w:r w:rsidRPr="00537128">
              <w:rPr>
                <w:rFonts w:eastAsia="Times New Roman" w:cs="Arial"/>
                <w:noProof/>
                <w:color w:val="000000" w:themeColor="text1"/>
                <w:lang w:val="en-US"/>
              </w:rPr>
              <w:t>Hrvoje Čuvalo, MSc</w:t>
            </w:r>
          </w:p>
        </w:tc>
      </w:tr>
      <w:tr w:rsidR="003D2EC1" w:rsidRPr="00537128" w14:paraId="5D1B3237" w14:textId="77777777" w:rsidTr="00C00891">
        <w:trPr>
          <w:trHeight w:hRule="exact" w:val="128"/>
        </w:trPr>
        <w:tc>
          <w:tcPr>
            <w:tcW w:w="3969" w:type="dxa"/>
          </w:tcPr>
          <w:p w14:paraId="5F83BAE0" w14:textId="77777777" w:rsidR="003D2EC1" w:rsidRPr="00537128" w:rsidRDefault="003D2EC1" w:rsidP="00C00891">
            <w:pPr>
              <w:spacing w:after="0" w:line="240" w:lineRule="auto"/>
              <w:jc w:val="center"/>
              <w:rPr>
                <w:rFonts w:eastAsia="Times New Roman" w:cs="Arial"/>
                <w:noProof/>
                <w:color w:val="000000" w:themeColor="text1"/>
                <w:lang w:val="en-US"/>
              </w:rPr>
            </w:pPr>
          </w:p>
        </w:tc>
        <w:tc>
          <w:tcPr>
            <w:tcW w:w="1701" w:type="dxa"/>
          </w:tcPr>
          <w:p w14:paraId="5BA503F5" w14:textId="77777777" w:rsidR="003D2EC1" w:rsidRPr="00537128" w:rsidRDefault="003D2EC1" w:rsidP="00C00891">
            <w:pPr>
              <w:spacing w:after="0" w:line="240" w:lineRule="auto"/>
              <w:jc w:val="center"/>
              <w:rPr>
                <w:rFonts w:eastAsia="Times New Roman" w:cs="Arial"/>
                <w:noProof/>
                <w:color w:val="000000" w:themeColor="text1"/>
                <w:lang w:val="en-US"/>
              </w:rPr>
            </w:pPr>
          </w:p>
        </w:tc>
        <w:tc>
          <w:tcPr>
            <w:tcW w:w="3828" w:type="dxa"/>
          </w:tcPr>
          <w:p w14:paraId="6495AD03" w14:textId="77777777" w:rsidR="003D2EC1" w:rsidRPr="00537128" w:rsidRDefault="003D2EC1" w:rsidP="00C00891">
            <w:pPr>
              <w:spacing w:after="0" w:line="240" w:lineRule="auto"/>
              <w:jc w:val="center"/>
              <w:rPr>
                <w:rFonts w:eastAsia="Times New Roman" w:cs="Arial"/>
                <w:noProof/>
                <w:color w:val="000000" w:themeColor="text1"/>
                <w:lang w:val="en-US"/>
              </w:rPr>
            </w:pPr>
          </w:p>
        </w:tc>
      </w:tr>
      <w:tr w:rsidR="003D2EC1" w:rsidRPr="00537128" w14:paraId="0B888606" w14:textId="77777777" w:rsidTr="00C00891">
        <w:trPr>
          <w:trHeight w:val="374"/>
        </w:trPr>
        <w:tc>
          <w:tcPr>
            <w:tcW w:w="3969" w:type="dxa"/>
          </w:tcPr>
          <w:p w14:paraId="776257EC" w14:textId="77777777" w:rsidR="003D2EC1" w:rsidRPr="00537128" w:rsidRDefault="003D2EC1" w:rsidP="003D2EC1">
            <w:pPr>
              <w:spacing w:after="0" w:line="240" w:lineRule="auto"/>
              <w:jc w:val="center"/>
              <w:rPr>
                <w:rFonts w:eastAsia="Times New Roman" w:cs="Arial"/>
                <w:b/>
                <w:noProof/>
                <w:color w:val="000000" w:themeColor="text1"/>
                <w:lang w:val="en-US"/>
              </w:rPr>
            </w:pPr>
            <w:r w:rsidRPr="00537128">
              <w:rPr>
                <w:rFonts w:eastAsia="Times New Roman" w:cs="Arial"/>
                <w:b/>
                <w:noProof/>
                <w:color w:val="000000" w:themeColor="text1"/>
                <w:lang w:val="en-US"/>
              </w:rPr>
              <w:t xml:space="preserve">President of the Management </w:t>
            </w:r>
          </w:p>
          <w:p w14:paraId="12D3E0D0" w14:textId="77777777" w:rsidR="003D2EC1" w:rsidRPr="00537128" w:rsidRDefault="003D2EC1" w:rsidP="003D2EC1">
            <w:pPr>
              <w:spacing w:after="0" w:line="240" w:lineRule="auto"/>
              <w:jc w:val="center"/>
              <w:rPr>
                <w:rFonts w:eastAsia="Times New Roman" w:cs="Arial"/>
                <w:b/>
                <w:noProof/>
                <w:color w:val="000000" w:themeColor="text1"/>
                <w:lang w:val="en-US"/>
              </w:rPr>
            </w:pPr>
            <w:r w:rsidRPr="00537128">
              <w:rPr>
                <w:rFonts w:eastAsia="Times New Roman" w:cs="Arial"/>
                <w:b/>
                <w:noProof/>
                <w:color w:val="000000" w:themeColor="text1"/>
                <w:lang w:val="en-US"/>
              </w:rPr>
              <w:t>Board</w:t>
            </w:r>
          </w:p>
        </w:tc>
        <w:tc>
          <w:tcPr>
            <w:tcW w:w="1701" w:type="dxa"/>
            <w:vAlign w:val="center"/>
          </w:tcPr>
          <w:p w14:paraId="65644A93" w14:textId="77777777" w:rsidR="003D2EC1" w:rsidRPr="00537128" w:rsidRDefault="003D2EC1" w:rsidP="00C00891">
            <w:pPr>
              <w:spacing w:after="0" w:line="240" w:lineRule="auto"/>
              <w:jc w:val="center"/>
              <w:rPr>
                <w:rFonts w:eastAsia="Times New Roman" w:cs="Arial"/>
                <w:b/>
                <w:noProof/>
                <w:color w:val="000000" w:themeColor="text1"/>
                <w:lang w:val="en-US"/>
              </w:rPr>
            </w:pPr>
          </w:p>
        </w:tc>
        <w:tc>
          <w:tcPr>
            <w:tcW w:w="3828" w:type="dxa"/>
            <w:vAlign w:val="center"/>
          </w:tcPr>
          <w:p w14:paraId="538DE063" w14:textId="77777777" w:rsidR="003D2EC1" w:rsidRPr="00537128" w:rsidRDefault="003D2EC1" w:rsidP="003D2EC1">
            <w:pPr>
              <w:spacing w:after="0" w:line="240" w:lineRule="auto"/>
              <w:jc w:val="center"/>
              <w:rPr>
                <w:rFonts w:eastAsia="Times New Roman" w:cs="Arial"/>
                <w:b/>
                <w:noProof/>
                <w:color w:val="000000" w:themeColor="text1"/>
                <w:lang w:val="en-US"/>
              </w:rPr>
            </w:pPr>
            <w:r w:rsidRPr="00537128">
              <w:rPr>
                <w:rFonts w:eastAsia="Times New Roman" w:cs="Arial"/>
                <w:b/>
                <w:noProof/>
                <w:color w:val="000000" w:themeColor="text1"/>
                <w:lang w:val="en-US"/>
              </w:rPr>
              <w:t xml:space="preserve">Member of the </w:t>
            </w:r>
          </w:p>
          <w:p w14:paraId="04E620E4" w14:textId="77777777" w:rsidR="003D2EC1" w:rsidRPr="00537128" w:rsidRDefault="003D2EC1" w:rsidP="003D2EC1">
            <w:pPr>
              <w:spacing w:after="0" w:line="240" w:lineRule="auto"/>
              <w:jc w:val="center"/>
              <w:rPr>
                <w:rFonts w:eastAsia="Times New Roman" w:cs="Arial"/>
                <w:b/>
                <w:noProof/>
                <w:color w:val="000000" w:themeColor="text1"/>
                <w:lang w:val="en-US"/>
              </w:rPr>
            </w:pPr>
            <w:r w:rsidRPr="00537128">
              <w:rPr>
                <w:rFonts w:eastAsia="Times New Roman" w:cs="Arial"/>
                <w:b/>
                <w:noProof/>
                <w:color w:val="000000" w:themeColor="text1"/>
                <w:lang w:val="en-US"/>
              </w:rPr>
              <w:t>Management Board</w:t>
            </w:r>
          </w:p>
        </w:tc>
      </w:tr>
    </w:tbl>
    <w:p w14:paraId="0F8A5AB1" w14:textId="77777777" w:rsidR="003D2EC1" w:rsidRPr="00537128" w:rsidRDefault="003D2EC1" w:rsidP="00317247">
      <w:pPr>
        <w:spacing w:after="0" w:line="240" w:lineRule="auto"/>
        <w:rPr>
          <w:rFonts w:cs="Arial"/>
          <w:noProof/>
          <w:color w:val="000000" w:themeColor="text1"/>
          <w:lang w:val="en-US"/>
        </w:rPr>
      </w:pPr>
    </w:p>
    <w:p w14:paraId="4882E802" w14:textId="400C480E" w:rsidR="00467A1A" w:rsidRPr="00537128" w:rsidRDefault="00317247" w:rsidP="00317247">
      <w:pPr>
        <w:spacing w:after="0" w:line="240" w:lineRule="auto"/>
        <w:rPr>
          <w:noProof/>
          <w:color w:val="000000" w:themeColor="text1"/>
          <w:lang w:val="en-US"/>
        </w:rPr>
        <w:sectPr w:rsidR="00467A1A" w:rsidRPr="00537128">
          <w:headerReference w:type="default" r:id="rId16"/>
          <w:pgSz w:w="11906" w:h="16838"/>
          <w:pgMar w:top="1417" w:right="1417" w:bottom="1417" w:left="1417" w:header="708" w:footer="708" w:gutter="0"/>
          <w:cols w:space="708"/>
          <w:docGrid w:linePitch="360"/>
        </w:sectPr>
      </w:pPr>
      <w:r w:rsidRPr="00537128">
        <w:rPr>
          <w:rFonts w:cs="Arial"/>
          <w:noProof/>
          <w:color w:val="000000" w:themeColor="text1"/>
          <w:lang w:val="en-US"/>
        </w:rPr>
        <w:t xml:space="preserve">Zagreb, </w:t>
      </w:r>
      <w:r w:rsidR="001537DA" w:rsidRPr="001C10FD">
        <w:rPr>
          <w:rFonts w:cs="Arial"/>
          <w:noProof/>
          <w:color w:val="000000" w:themeColor="text1"/>
          <w:lang w:val="en-US"/>
        </w:rPr>
        <w:t>2</w:t>
      </w:r>
      <w:r w:rsidR="000C6FD7" w:rsidRPr="001C10FD">
        <w:rPr>
          <w:rFonts w:cs="Arial"/>
          <w:noProof/>
          <w:color w:val="000000" w:themeColor="text1"/>
          <w:lang w:val="en-US"/>
        </w:rPr>
        <w:t>7</w:t>
      </w:r>
      <w:r w:rsidR="00FE0D7E" w:rsidRPr="001537DA">
        <w:rPr>
          <w:iCs/>
          <w:noProof/>
          <w:color w:val="000000" w:themeColor="text1"/>
          <w:lang w:val="en-US"/>
        </w:rPr>
        <w:t xml:space="preserve"> M</w:t>
      </w:r>
      <w:r w:rsidR="00FE0D7E" w:rsidRPr="00537128">
        <w:rPr>
          <w:iCs/>
          <w:noProof/>
          <w:color w:val="000000" w:themeColor="text1"/>
          <w:lang w:val="en-US"/>
        </w:rPr>
        <w:t xml:space="preserve">ay </w:t>
      </w:r>
      <w:r w:rsidRPr="00537128">
        <w:rPr>
          <w:rFonts w:cs="Arial"/>
          <w:noProof/>
          <w:color w:val="000000" w:themeColor="text1"/>
          <w:lang w:val="en-US"/>
        </w:rPr>
        <w:t>202</w:t>
      </w:r>
      <w:r w:rsidR="00E139F6">
        <w:rPr>
          <w:rFonts w:cs="Arial"/>
          <w:noProof/>
          <w:color w:val="000000" w:themeColor="text1"/>
          <w:lang w:val="en-US"/>
        </w:rPr>
        <w:t>2</w:t>
      </w:r>
    </w:p>
    <w:p w14:paraId="610B7562" w14:textId="77777777" w:rsidR="003D2EC1" w:rsidRPr="00537128" w:rsidRDefault="003D2EC1" w:rsidP="00317247">
      <w:pPr>
        <w:spacing w:after="0" w:line="240" w:lineRule="auto"/>
        <w:rPr>
          <w:noProof/>
          <w:color w:val="000000" w:themeColor="text1"/>
          <w:lang w:val="en-US"/>
        </w:rPr>
      </w:pPr>
    </w:p>
    <w:p w14:paraId="0FA31695" w14:textId="77777777" w:rsidR="00A20A5A" w:rsidRPr="00537128" w:rsidRDefault="00A20A5A" w:rsidP="00317247">
      <w:pPr>
        <w:spacing w:after="0" w:line="240" w:lineRule="auto"/>
        <w:rPr>
          <w:noProof/>
          <w:color w:val="000000" w:themeColor="text1"/>
          <w:lang w:val="en-US"/>
        </w:rPr>
      </w:pPr>
    </w:p>
    <w:tbl>
      <w:tblPr>
        <w:tblpPr w:leftFromText="180" w:rightFromText="180" w:vertAnchor="text" w:horzAnchor="margin" w:tblpX="142" w:tblpY="17"/>
        <w:tblW w:w="4952" w:type="pct"/>
        <w:tblCellMar>
          <w:left w:w="119" w:type="dxa"/>
          <w:right w:w="119" w:type="dxa"/>
        </w:tblCellMar>
        <w:tblLook w:val="0000" w:firstRow="0" w:lastRow="0" w:firstColumn="0" w:lastColumn="0" w:noHBand="0" w:noVBand="0"/>
      </w:tblPr>
      <w:tblGrid>
        <w:gridCol w:w="4397"/>
        <w:gridCol w:w="1357"/>
        <w:gridCol w:w="1731"/>
        <w:gridCol w:w="1500"/>
      </w:tblGrid>
      <w:tr w:rsidR="00BC5812" w:rsidRPr="00537128" w14:paraId="0372EEE4" w14:textId="77777777" w:rsidTr="00BC5812">
        <w:trPr>
          <w:trHeight w:val="256"/>
        </w:trPr>
        <w:tc>
          <w:tcPr>
            <w:tcW w:w="2447" w:type="pct"/>
          </w:tcPr>
          <w:p w14:paraId="4AE13C69" w14:textId="77777777" w:rsidR="00BC5812" w:rsidRPr="00537128" w:rsidRDefault="00BC5812" w:rsidP="00BC5812">
            <w:pPr>
              <w:tabs>
                <w:tab w:val="right" w:pos="1202"/>
              </w:tabs>
              <w:spacing w:after="0" w:line="301" w:lineRule="exact"/>
              <w:outlineLvl w:val="0"/>
              <w:rPr>
                <w:rFonts w:eastAsia="Times New Roman" w:cs="Arial"/>
                <w:b/>
                <w:bCs/>
                <w:noProof/>
                <w:color w:val="000000" w:themeColor="text1"/>
                <w:lang w:val="en-US"/>
              </w:rPr>
            </w:pPr>
            <w:bookmarkStart w:id="2" w:name="_Hlk5611341"/>
          </w:p>
        </w:tc>
        <w:tc>
          <w:tcPr>
            <w:tcW w:w="755" w:type="pct"/>
          </w:tcPr>
          <w:p w14:paraId="3DD77145" w14:textId="77777777" w:rsidR="00BC5812" w:rsidRPr="00537128" w:rsidRDefault="00BC5812" w:rsidP="00BC5812">
            <w:pPr>
              <w:tabs>
                <w:tab w:val="right" w:pos="1202"/>
              </w:tabs>
              <w:spacing w:after="0" w:line="301" w:lineRule="exact"/>
              <w:ind w:left="-15" w:firstLine="15"/>
              <w:jc w:val="center"/>
              <w:outlineLvl w:val="0"/>
              <w:rPr>
                <w:rFonts w:eastAsia="Times New Roman" w:cs="Arial"/>
                <w:b/>
                <w:bCs/>
                <w:noProof/>
                <w:color w:val="000000" w:themeColor="text1"/>
                <w:lang w:val="en-US"/>
              </w:rPr>
            </w:pPr>
            <w:r w:rsidRPr="00537128">
              <w:rPr>
                <w:rFonts w:eastAsia="Times New Roman" w:cs="Arial"/>
                <w:b/>
                <w:bCs/>
                <w:noProof/>
                <w:color w:val="000000" w:themeColor="text1"/>
                <w:spacing w:val="-1"/>
                <w:lang w:val="en-US"/>
              </w:rPr>
              <w:t>Notes</w:t>
            </w:r>
          </w:p>
        </w:tc>
        <w:tc>
          <w:tcPr>
            <w:tcW w:w="963" w:type="pct"/>
          </w:tcPr>
          <w:p w14:paraId="0D2137D7" w14:textId="24D9CB1D" w:rsidR="00BC5812" w:rsidRPr="00537128" w:rsidRDefault="00BC5812" w:rsidP="00BC5812">
            <w:pPr>
              <w:spacing w:after="0" w:line="301" w:lineRule="exact"/>
              <w:jc w:val="right"/>
              <w:outlineLvl w:val="0"/>
              <w:rPr>
                <w:rFonts w:eastAsia="Times New Roman" w:cs="Arial"/>
                <w:b/>
                <w:bCs/>
                <w:noProof/>
                <w:color w:val="000000" w:themeColor="text1"/>
                <w:lang w:val="en-US"/>
              </w:rPr>
            </w:pPr>
            <w:r w:rsidRPr="00537128">
              <w:rPr>
                <w:rFonts w:eastAsia="Times New Roman" w:cs="Arial"/>
                <w:b/>
                <w:bCs/>
                <w:noProof/>
                <w:color w:val="000000" w:themeColor="text1"/>
                <w:lang w:val="en-US"/>
              </w:rPr>
              <w:t>202</w:t>
            </w:r>
            <w:r w:rsidR="00E139F6">
              <w:rPr>
                <w:rFonts w:eastAsia="Times New Roman" w:cs="Arial"/>
                <w:b/>
                <w:bCs/>
                <w:noProof/>
                <w:color w:val="000000" w:themeColor="text1"/>
                <w:lang w:val="en-US"/>
              </w:rPr>
              <w:t>2</w:t>
            </w:r>
          </w:p>
        </w:tc>
        <w:tc>
          <w:tcPr>
            <w:tcW w:w="835" w:type="pct"/>
          </w:tcPr>
          <w:p w14:paraId="4E67E96E" w14:textId="4A063E7D" w:rsidR="00BC5812" w:rsidRPr="00537128" w:rsidRDefault="00BC5812" w:rsidP="00BC5812">
            <w:pPr>
              <w:spacing w:after="0" w:line="301" w:lineRule="exact"/>
              <w:jc w:val="right"/>
              <w:outlineLvl w:val="0"/>
              <w:rPr>
                <w:rFonts w:eastAsia="Times New Roman" w:cs="Arial"/>
                <w:b/>
                <w:bCs/>
                <w:noProof/>
                <w:color w:val="000000" w:themeColor="text1"/>
                <w:lang w:val="en-US"/>
              </w:rPr>
            </w:pPr>
            <w:r w:rsidRPr="00537128">
              <w:rPr>
                <w:rFonts w:eastAsia="Times New Roman" w:cs="Arial"/>
                <w:b/>
                <w:bCs/>
                <w:noProof/>
                <w:color w:val="000000" w:themeColor="text1"/>
                <w:lang w:val="en-US"/>
              </w:rPr>
              <w:t>202</w:t>
            </w:r>
            <w:r w:rsidR="00E139F6">
              <w:rPr>
                <w:rFonts w:eastAsia="Times New Roman" w:cs="Arial"/>
                <w:b/>
                <w:bCs/>
                <w:noProof/>
                <w:color w:val="000000" w:themeColor="text1"/>
                <w:lang w:val="en-US"/>
              </w:rPr>
              <w:t>1</w:t>
            </w:r>
          </w:p>
        </w:tc>
      </w:tr>
      <w:tr w:rsidR="00BC5812" w:rsidRPr="00537128" w14:paraId="685BF672" w14:textId="77777777" w:rsidTr="00BC5812">
        <w:trPr>
          <w:trHeight w:val="256"/>
        </w:trPr>
        <w:tc>
          <w:tcPr>
            <w:tcW w:w="2447" w:type="pct"/>
          </w:tcPr>
          <w:p w14:paraId="6B4350B4" w14:textId="77777777" w:rsidR="00BC5812" w:rsidRPr="00537128" w:rsidRDefault="00BC5812" w:rsidP="00BC5812">
            <w:pPr>
              <w:tabs>
                <w:tab w:val="right" w:pos="1202"/>
              </w:tabs>
              <w:spacing w:after="0" w:line="301" w:lineRule="exact"/>
              <w:outlineLvl w:val="0"/>
              <w:rPr>
                <w:rFonts w:eastAsia="Times New Roman" w:cs="Arial"/>
                <w:b/>
                <w:bCs/>
                <w:noProof/>
                <w:color w:val="000000" w:themeColor="text1"/>
                <w:lang w:val="en-US"/>
              </w:rPr>
            </w:pPr>
          </w:p>
        </w:tc>
        <w:tc>
          <w:tcPr>
            <w:tcW w:w="755" w:type="pct"/>
          </w:tcPr>
          <w:p w14:paraId="107C0C38" w14:textId="77777777" w:rsidR="00BC5812" w:rsidRPr="00537128" w:rsidRDefault="00BC5812" w:rsidP="00BC5812">
            <w:pPr>
              <w:tabs>
                <w:tab w:val="right" w:pos="1202"/>
              </w:tabs>
              <w:spacing w:after="0" w:line="301" w:lineRule="exact"/>
              <w:jc w:val="center"/>
              <w:outlineLvl w:val="0"/>
              <w:rPr>
                <w:rFonts w:eastAsia="Times New Roman" w:cs="Arial"/>
                <w:b/>
                <w:bCs/>
                <w:noProof/>
                <w:color w:val="000000" w:themeColor="text1"/>
                <w:spacing w:val="-1"/>
                <w:lang w:val="en-US"/>
              </w:rPr>
            </w:pPr>
          </w:p>
        </w:tc>
        <w:tc>
          <w:tcPr>
            <w:tcW w:w="963" w:type="pct"/>
            <w:vAlign w:val="bottom"/>
          </w:tcPr>
          <w:p w14:paraId="01ED7985" w14:textId="77777777" w:rsidR="00BC5812" w:rsidRPr="00537128" w:rsidRDefault="00BC5812" w:rsidP="00BC5812">
            <w:pPr>
              <w:spacing w:after="0" w:line="301" w:lineRule="exact"/>
              <w:jc w:val="right"/>
              <w:outlineLvl w:val="0"/>
              <w:rPr>
                <w:rFonts w:eastAsia="Times New Roman" w:cs="Arial"/>
                <w:b/>
                <w:bCs/>
                <w:noProof/>
                <w:color w:val="000000" w:themeColor="text1"/>
                <w:lang w:val="en-US"/>
              </w:rPr>
            </w:pPr>
            <w:bookmarkStart w:id="3" w:name="_Toc4056901"/>
            <w:r w:rsidRPr="00537128">
              <w:rPr>
                <w:rFonts w:eastAsia="Times New Roman" w:cs="Arial"/>
                <w:b/>
                <w:bCs/>
                <w:noProof/>
                <w:color w:val="000000" w:themeColor="text1"/>
                <w:lang w:val="en-US"/>
              </w:rPr>
              <w:t>HRK ‘000</w:t>
            </w:r>
            <w:bookmarkEnd w:id="3"/>
            <w:r w:rsidRPr="00537128">
              <w:rPr>
                <w:rFonts w:eastAsia="Times New Roman" w:cs="Arial"/>
                <w:b/>
                <w:bCs/>
                <w:noProof/>
                <w:color w:val="000000" w:themeColor="text1"/>
                <w:lang w:val="en-US"/>
              </w:rPr>
              <w:t xml:space="preserve"> </w:t>
            </w:r>
          </w:p>
        </w:tc>
        <w:tc>
          <w:tcPr>
            <w:tcW w:w="835" w:type="pct"/>
            <w:vAlign w:val="bottom"/>
          </w:tcPr>
          <w:p w14:paraId="0E5B8723" w14:textId="77777777" w:rsidR="00BC5812" w:rsidRPr="00537128" w:rsidRDefault="00BC5812" w:rsidP="00BC5812">
            <w:pPr>
              <w:spacing w:after="0" w:line="301" w:lineRule="exact"/>
              <w:jc w:val="right"/>
              <w:outlineLvl w:val="0"/>
              <w:rPr>
                <w:rFonts w:eastAsia="Times New Roman" w:cs="Arial"/>
                <w:b/>
                <w:bCs/>
                <w:noProof/>
                <w:color w:val="000000" w:themeColor="text1"/>
                <w:lang w:val="en-US"/>
              </w:rPr>
            </w:pPr>
            <w:r w:rsidRPr="00537128">
              <w:rPr>
                <w:rFonts w:eastAsia="Times New Roman" w:cs="Arial"/>
                <w:b/>
                <w:bCs/>
                <w:noProof/>
                <w:color w:val="000000" w:themeColor="text1"/>
                <w:lang w:val="en-US"/>
              </w:rPr>
              <w:t xml:space="preserve">HRK ‘000 </w:t>
            </w:r>
          </w:p>
        </w:tc>
      </w:tr>
      <w:tr w:rsidR="00BC5812" w:rsidRPr="00537128" w14:paraId="0FB21813" w14:textId="77777777" w:rsidTr="00BC5812">
        <w:trPr>
          <w:trHeight w:hRule="exact" w:val="111"/>
        </w:trPr>
        <w:tc>
          <w:tcPr>
            <w:tcW w:w="2447" w:type="pct"/>
          </w:tcPr>
          <w:p w14:paraId="2B0A751E" w14:textId="77777777" w:rsidR="00BC5812" w:rsidRPr="00537128" w:rsidRDefault="00BC5812" w:rsidP="00BC5812">
            <w:pPr>
              <w:tabs>
                <w:tab w:val="right" w:pos="1202"/>
              </w:tabs>
              <w:spacing w:after="0" w:line="301" w:lineRule="exact"/>
              <w:outlineLvl w:val="0"/>
              <w:rPr>
                <w:rFonts w:eastAsia="Times New Roman" w:cs="Arial"/>
                <w:noProof/>
                <w:color w:val="000000" w:themeColor="text1"/>
                <w:lang w:val="en-US"/>
              </w:rPr>
            </w:pPr>
          </w:p>
        </w:tc>
        <w:tc>
          <w:tcPr>
            <w:tcW w:w="755" w:type="pct"/>
          </w:tcPr>
          <w:p w14:paraId="4B3BC37C" w14:textId="77777777" w:rsidR="00BC5812" w:rsidRPr="00537128" w:rsidRDefault="00BC5812" w:rsidP="00BC5812">
            <w:pPr>
              <w:tabs>
                <w:tab w:val="right" w:pos="1202"/>
              </w:tabs>
              <w:spacing w:after="0" w:line="301" w:lineRule="exact"/>
              <w:jc w:val="center"/>
              <w:outlineLvl w:val="0"/>
              <w:rPr>
                <w:rFonts w:eastAsia="Times New Roman" w:cs="Arial"/>
                <w:b/>
                <w:noProof/>
                <w:color w:val="000000" w:themeColor="text1"/>
                <w:spacing w:val="-1"/>
                <w:lang w:val="en-US"/>
              </w:rPr>
            </w:pPr>
          </w:p>
        </w:tc>
        <w:tc>
          <w:tcPr>
            <w:tcW w:w="963" w:type="pct"/>
          </w:tcPr>
          <w:p w14:paraId="4EC73FBE" w14:textId="77777777" w:rsidR="00BC5812" w:rsidRPr="00537128" w:rsidRDefault="00BC5812" w:rsidP="00BC5812">
            <w:pPr>
              <w:spacing w:after="0" w:line="301" w:lineRule="exact"/>
              <w:jc w:val="right"/>
              <w:outlineLvl w:val="0"/>
              <w:rPr>
                <w:rFonts w:eastAsia="Times New Roman" w:cs="Arial"/>
                <w:b/>
                <w:noProof/>
                <w:color w:val="000000" w:themeColor="text1"/>
                <w:lang w:val="en-US"/>
              </w:rPr>
            </w:pPr>
          </w:p>
        </w:tc>
        <w:tc>
          <w:tcPr>
            <w:tcW w:w="835" w:type="pct"/>
          </w:tcPr>
          <w:p w14:paraId="4CE531BE" w14:textId="77777777" w:rsidR="00BC5812" w:rsidRPr="00537128" w:rsidRDefault="00BC5812" w:rsidP="00BC5812">
            <w:pPr>
              <w:spacing w:after="0" w:line="301" w:lineRule="exact"/>
              <w:jc w:val="right"/>
              <w:outlineLvl w:val="0"/>
              <w:rPr>
                <w:rFonts w:eastAsia="Times New Roman" w:cs="Arial"/>
                <w:b/>
                <w:noProof/>
                <w:color w:val="000000" w:themeColor="text1"/>
                <w:lang w:val="en-US"/>
              </w:rPr>
            </w:pPr>
          </w:p>
        </w:tc>
      </w:tr>
      <w:tr w:rsidR="00EE5CB3" w:rsidRPr="00537128" w14:paraId="10549256" w14:textId="77777777" w:rsidTr="008D0C52">
        <w:trPr>
          <w:trHeight w:val="513"/>
        </w:trPr>
        <w:tc>
          <w:tcPr>
            <w:tcW w:w="2447" w:type="pct"/>
          </w:tcPr>
          <w:p w14:paraId="3E524068" w14:textId="77777777" w:rsidR="00EE5CB3" w:rsidRPr="00537128" w:rsidRDefault="00EE5CB3" w:rsidP="00EE5CB3">
            <w:pPr>
              <w:tabs>
                <w:tab w:val="right" w:pos="1202"/>
              </w:tabs>
              <w:spacing w:after="0" w:line="301" w:lineRule="exact"/>
              <w:outlineLvl w:val="0"/>
              <w:rPr>
                <w:rFonts w:eastAsia="Times New Roman" w:cs="Arial"/>
                <w:bCs/>
                <w:noProof/>
                <w:color w:val="000000" w:themeColor="text1"/>
                <w:lang w:val="en-US"/>
              </w:rPr>
            </w:pPr>
            <w:bookmarkStart w:id="4" w:name="_Toc4056846"/>
            <w:r w:rsidRPr="00537128">
              <w:rPr>
                <w:rFonts w:eastAsia="Times New Roman" w:cs="Arial"/>
                <w:bCs/>
                <w:noProof/>
                <w:color w:val="000000" w:themeColor="text1"/>
                <w:spacing w:val="-2"/>
                <w:lang w:val="en-US"/>
              </w:rPr>
              <w:t>Interest income calculated using the effective interest method</w:t>
            </w:r>
            <w:bookmarkEnd w:id="4"/>
          </w:p>
        </w:tc>
        <w:tc>
          <w:tcPr>
            <w:tcW w:w="755" w:type="pct"/>
            <w:vAlign w:val="bottom"/>
          </w:tcPr>
          <w:p w14:paraId="747DB5C3" w14:textId="77777777" w:rsidR="00EE5CB3" w:rsidRPr="00A1123E" w:rsidRDefault="00EE5CB3" w:rsidP="00EE5CB3">
            <w:pPr>
              <w:tabs>
                <w:tab w:val="right" w:pos="1202"/>
              </w:tabs>
              <w:spacing w:after="0" w:line="301" w:lineRule="exact"/>
              <w:jc w:val="center"/>
              <w:outlineLvl w:val="0"/>
              <w:rPr>
                <w:rFonts w:eastAsia="Times New Roman" w:cs="Arial"/>
                <w:bCs/>
                <w:noProof/>
                <w:color w:val="000000" w:themeColor="text1"/>
                <w:lang w:val="en-US"/>
              </w:rPr>
            </w:pPr>
            <w:r w:rsidRPr="00A1123E">
              <w:rPr>
                <w:rFonts w:eastAsia="Times New Roman" w:cs="Arial"/>
                <w:bCs/>
                <w:noProof/>
                <w:color w:val="000000" w:themeColor="text1"/>
                <w:lang w:val="en-US"/>
              </w:rPr>
              <w:t>5</w:t>
            </w:r>
          </w:p>
        </w:tc>
        <w:tc>
          <w:tcPr>
            <w:tcW w:w="963" w:type="pct"/>
            <w:tcBorders>
              <w:top w:val="nil"/>
              <w:left w:val="nil"/>
              <w:bottom w:val="nil"/>
              <w:right w:val="nil"/>
            </w:tcBorders>
            <w:shd w:val="clear" w:color="auto" w:fill="auto"/>
            <w:vAlign w:val="bottom"/>
          </w:tcPr>
          <w:p w14:paraId="15B2EDD5" w14:textId="7F31C0D2" w:rsidR="00EE5CB3" w:rsidRPr="00537128" w:rsidRDefault="00EE5CB3" w:rsidP="00EE5CB3">
            <w:pPr>
              <w:spacing w:after="0" w:line="301" w:lineRule="exact"/>
              <w:jc w:val="right"/>
              <w:outlineLvl w:val="0"/>
              <w:rPr>
                <w:rFonts w:ascii="Calibri" w:eastAsia="Times New Roman" w:hAnsi="Calibri" w:cs="Calibri"/>
                <w:noProof/>
                <w:color w:val="000000" w:themeColor="text1"/>
                <w:lang w:val="en-US"/>
              </w:rPr>
            </w:pPr>
            <w:r>
              <w:rPr>
                <w:rFonts w:ascii="Calibri" w:hAnsi="Calibri" w:cs="Calibri"/>
                <w:color w:val="000000"/>
              </w:rPr>
              <w:t xml:space="preserve">               185</w:t>
            </w:r>
            <w:r w:rsidR="00405F9B">
              <w:rPr>
                <w:rFonts w:ascii="Calibri" w:hAnsi="Calibri" w:cs="Calibri"/>
                <w:color w:val="000000"/>
              </w:rPr>
              <w:t>,</w:t>
            </w:r>
            <w:r>
              <w:rPr>
                <w:rFonts w:ascii="Calibri" w:hAnsi="Calibri" w:cs="Calibri"/>
                <w:color w:val="000000"/>
              </w:rPr>
              <w:t xml:space="preserve">339 </w:t>
            </w:r>
          </w:p>
        </w:tc>
        <w:tc>
          <w:tcPr>
            <w:tcW w:w="835" w:type="pct"/>
            <w:tcBorders>
              <w:top w:val="nil"/>
              <w:left w:val="nil"/>
              <w:right w:val="nil"/>
            </w:tcBorders>
            <w:shd w:val="clear" w:color="auto" w:fill="auto"/>
            <w:vAlign w:val="bottom"/>
          </w:tcPr>
          <w:p w14:paraId="0C5ABEC0" w14:textId="38D8C3B0" w:rsidR="00EE5CB3" w:rsidRPr="00537128" w:rsidRDefault="00EE5CB3" w:rsidP="00EE5CB3">
            <w:pPr>
              <w:spacing w:after="0" w:line="301" w:lineRule="exact"/>
              <w:jc w:val="right"/>
              <w:outlineLvl w:val="0"/>
              <w:rPr>
                <w:rFonts w:ascii="Calibri" w:eastAsia="Times New Roman" w:hAnsi="Calibri" w:cs="Calibri"/>
                <w:noProof/>
                <w:color w:val="000000" w:themeColor="text1"/>
                <w:lang w:val="en-US"/>
              </w:rPr>
            </w:pPr>
            <w:r>
              <w:rPr>
                <w:rFonts w:ascii="Calibri" w:eastAsia="Times New Roman" w:hAnsi="Calibri" w:cs="Calibri"/>
                <w:color w:val="000000" w:themeColor="text1"/>
              </w:rPr>
              <w:t>170,106</w:t>
            </w:r>
          </w:p>
        </w:tc>
      </w:tr>
      <w:tr w:rsidR="00EE5CB3" w:rsidRPr="00537128" w14:paraId="5A4FDAB6" w14:textId="77777777" w:rsidTr="008D0C52">
        <w:trPr>
          <w:trHeight w:val="243"/>
        </w:trPr>
        <w:tc>
          <w:tcPr>
            <w:tcW w:w="2447" w:type="pct"/>
          </w:tcPr>
          <w:p w14:paraId="177EA4C4" w14:textId="77777777" w:rsidR="00EE5CB3" w:rsidRPr="00537128" w:rsidRDefault="00EE5CB3" w:rsidP="00EE5CB3">
            <w:pPr>
              <w:tabs>
                <w:tab w:val="right" w:pos="1202"/>
              </w:tabs>
              <w:spacing w:after="0" w:line="301" w:lineRule="exact"/>
              <w:outlineLvl w:val="0"/>
              <w:rPr>
                <w:rFonts w:eastAsia="Times New Roman" w:cs="Arial"/>
                <w:bCs/>
                <w:noProof/>
                <w:color w:val="000000" w:themeColor="text1"/>
                <w:spacing w:val="-2"/>
                <w:lang w:val="en-US"/>
              </w:rPr>
            </w:pPr>
            <w:bookmarkStart w:id="5" w:name="_Toc4056850"/>
            <w:r w:rsidRPr="00537128">
              <w:rPr>
                <w:rFonts w:eastAsia="Times New Roman" w:cs="Arial"/>
                <w:bCs/>
                <w:noProof/>
                <w:color w:val="000000" w:themeColor="text1"/>
                <w:spacing w:val="-2"/>
                <w:lang w:val="en-US"/>
              </w:rPr>
              <w:t>Interest expense</w:t>
            </w:r>
            <w:bookmarkEnd w:id="5"/>
          </w:p>
        </w:tc>
        <w:tc>
          <w:tcPr>
            <w:tcW w:w="755" w:type="pct"/>
            <w:vAlign w:val="bottom"/>
          </w:tcPr>
          <w:p w14:paraId="7083BD88" w14:textId="77777777" w:rsidR="00EE5CB3" w:rsidRPr="00A1123E" w:rsidRDefault="00EE5CB3" w:rsidP="00EE5CB3">
            <w:pPr>
              <w:tabs>
                <w:tab w:val="right" w:pos="1202"/>
              </w:tabs>
              <w:spacing w:after="0" w:line="301" w:lineRule="exact"/>
              <w:jc w:val="center"/>
              <w:outlineLvl w:val="0"/>
              <w:rPr>
                <w:rFonts w:eastAsia="Times New Roman" w:cs="Arial"/>
                <w:bCs/>
                <w:noProof/>
                <w:color w:val="000000" w:themeColor="text1"/>
                <w:spacing w:val="-2"/>
                <w:lang w:val="en-US"/>
              </w:rPr>
            </w:pPr>
            <w:r w:rsidRPr="00A1123E">
              <w:rPr>
                <w:rFonts w:eastAsia="Times New Roman" w:cs="Arial"/>
                <w:bCs/>
                <w:noProof/>
                <w:color w:val="000000" w:themeColor="text1"/>
                <w:spacing w:val="-2"/>
                <w:lang w:val="en-US"/>
              </w:rPr>
              <w:t>6</w:t>
            </w:r>
          </w:p>
        </w:tc>
        <w:tc>
          <w:tcPr>
            <w:tcW w:w="963" w:type="pct"/>
            <w:tcBorders>
              <w:top w:val="nil"/>
              <w:left w:val="nil"/>
              <w:bottom w:val="single" w:sz="4" w:space="0" w:color="auto"/>
              <w:right w:val="nil"/>
            </w:tcBorders>
            <w:shd w:val="clear" w:color="auto" w:fill="auto"/>
            <w:vAlign w:val="bottom"/>
          </w:tcPr>
          <w:p w14:paraId="090AEB71" w14:textId="6A7187C4" w:rsidR="00EE5CB3" w:rsidRPr="00537128" w:rsidRDefault="00EE5CB3" w:rsidP="00EE5CB3">
            <w:pPr>
              <w:spacing w:after="0" w:line="301" w:lineRule="exact"/>
              <w:jc w:val="right"/>
              <w:outlineLvl w:val="0"/>
              <w:rPr>
                <w:rFonts w:ascii="Calibri" w:eastAsia="Times New Roman" w:hAnsi="Calibri" w:cs="Calibri"/>
                <w:noProof/>
                <w:color w:val="000000" w:themeColor="text1"/>
                <w:lang w:val="en-US"/>
              </w:rPr>
            </w:pPr>
            <w:r>
              <w:rPr>
                <w:rFonts w:ascii="Calibri" w:hAnsi="Calibri" w:cs="Calibri"/>
                <w:color w:val="000000"/>
              </w:rPr>
              <w:t xml:space="preserve">              (40</w:t>
            </w:r>
            <w:r w:rsidR="00405F9B">
              <w:rPr>
                <w:rFonts w:ascii="Calibri" w:hAnsi="Calibri" w:cs="Calibri"/>
                <w:color w:val="000000"/>
              </w:rPr>
              <w:t>,</w:t>
            </w:r>
            <w:r>
              <w:rPr>
                <w:rFonts w:ascii="Calibri" w:hAnsi="Calibri" w:cs="Calibri"/>
                <w:color w:val="000000"/>
              </w:rPr>
              <w:t>234)</w:t>
            </w:r>
          </w:p>
        </w:tc>
        <w:tc>
          <w:tcPr>
            <w:tcW w:w="835" w:type="pct"/>
            <w:tcBorders>
              <w:top w:val="nil"/>
              <w:left w:val="nil"/>
              <w:right w:val="nil"/>
            </w:tcBorders>
            <w:shd w:val="clear" w:color="auto" w:fill="auto"/>
            <w:vAlign w:val="bottom"/>
          </w:tcPr>
          <w:p w14:paraId="02F70A39" w14:textId="6E9E9B47" w:rsidR="00EE5CB3" w:rsidRPr="00537128" w:rsidRDefault="00EE5CB3" w:rsidP="00EE5CB3">
            <w:pPr>
              <w:spacing w:after="0" w:line="301" w:lineRule="exact"/>
              <w:jc w:val="right"/>
              <w:outlineLvl w:val="0"/>
              <w:rPr>
                <w:rFonts w:ascii="Calibri" w:eastAsia="Times New Roman" w:hAnsi="Calibri" w:cs="Calibri"/>
                <w:noProof/>
                <w:color w:val="000000" w:themeColor="text1"/>
                <w:lang w:val="en-US"/>
              </w:rPr>
            </w:pPr>
            <w:r>
              <w:rPr>
                <w:rFonts w:ascii="Calibri" w:eastAsia="Times New Roman" w:hAnsi="Calibri" w:cs="Calibri"/>
                <w:color w:val="000000" w:themeColor="text1"/>
              </w:rPr>
              <w:t>(49,781)</w:t>
            </w:r>
          </w:p>
        </w:tc>
      </w:tr>
      <w:tr w:rsidR="00EE5CB3" w:rsidRPr="00537128" w14:paraId="4043DE56" w14:textId="77777777" w:rsidTr="008D0C52">
        <w:trPr>
          <w:trHeight w:val="288"/>
        </w:trPr>
        <w:tc>
          <w:tcPr>
            <w:tcW w:w="2447" w:type="pct"/>
          </w:tcPr>
          <w:p w14:paraId="44866630" w14:textId="77777777" w:rsidR="00EE5CB3" w:rsidRPr="00537128" w:rsidRDefault="00EE5CB3" w:rsidP="00EE5CB3">
            <w:pPr>
              <w:tabs>
                <w:tab w:val="right" w:pos="1202"/>
              </w:tabs>
              <w:spacing w:after="0" w:line="340" w:lineRule="exact"/>
              <w:outlineLvl w:val="0"/>
              <w:rPr>
                <w:rFonts w:eastAsia="Times New Roman" w:cs="Arial"/>
                <w:b/>
                <w:bCs/>
                <w:noProof/>
                <w:color w:val="000000" w:themeColor="text1"/>
                <w:vertAlign w:val="superscript"/>
                <w:lang w:val="en-US"/>
              </w:rPr>
            </w:pPr>
            <w:bookmarkStart w:id="6" w:name="_Toc4056854"/>
            <w:r w:rsidRPr="00537128">
              <w:rPr>
                <w:rFonts w:eastAsia="Times New Roman" w:cs="Arial"/>
                <w:b/>
                <w:bCs/>
                <w:noProof/>
                <w:color w:val="000000" w:themeColor="text1"/>
                <w:lang w:val="en-US"/>
              </w:rPr>
              <w:t>Net interest income</w:t>
            </w:r>
            <w:bookmarkEnd w:id="6"/>
          </w:p>
        </w:tc>
        <w:tc>
          <w:tcPr>
            <w:tcW w:w="755" w:type="pct"/>
            <w:vAlign w:val="bottom"/>
          </w:tcPr>
          <w:p w14:paraId="730B29C2" w14:textId="77777777" w:rsidR="00EE5CB3" w:rsidRPr="00A1123E" w:rsidRDefault="00EE5CB3" w:rsidP="00EE5CB3">
            <w:pPr>
              <w:tabs>
                <w:tab w:val="right" w:pos="1202"/>
              </w:tabs>
              <w:spacing w:after="0" w:line="340" w:lineRule="exact"/>
              <w:jc w:val="center"/>
              <w:outlineLvl w:val="0"/>
              <w:rPr>
                <w:rFonts w:eastAsia="Times New Roman" w:cs="Arial"/>
                <w:b/>
                <w:bCs/>
                <w:noProof/>
                <w:color w:val="000000" w:themeColor="text1"/>
                <w:lang w:val="en-US"/>
              </w:rPr>
            </w:pPr>
          </w:p>
        </w:tc>
        <w:tc>
          <w:tcPr>
            <w:tcW w:w="963" w:type="pct"/>
            <w:tcBorders>
              <w:top w:val="single" w:sz="4" w:space="0" w:color="auto"/>
              <w:left w:val="nil"/>
              <w:bottom w:val="single" w:sz="12" w:space="0" w:color="auto"/>
              <w:right w:val="nil"/>
            </w:tcBorders>
            <w:shd w:val="clear" w:color="auto" w:fill="auto"/>
            <w:vAlign w:val="bottom"/>
          </w:tcPr>
          <w:p w14:paraId="0E4DEE04" w14:textId="5D9D29A7" w:rsidR="00EE5CB3" w:rsidRPr="00537128" w:rsidRDefault="00EE5CB3" w:rsidP="00EE5CB3">
            <w:pPr>
              <w:spacing w:after="0" w:line="301" w:lineRule="exact"/>
              <w:jc w:val="right"/>
              <w:outlineLvl w:val="0"/>
              <w:rPr>
                <w:rFonts w:ascii="Calibri" w:eastAsia="Times New Roman" w:hAnsi="Calibri" w:cs="Calibri"/>
                <w:b/>
                <w:noProof/>
                <w:color w:val="000000" w:themeColor="text1"/>
                <w:lang w:val="en-US"/>
              </w:rPr>
            </w:pPr>
            <w:r>
              <w:rPr>
                <w:rFonts w:ascii="Calibri" w:hAnsi="Calibri" w:cs="Calibri"/>
                <w:b/>
                <w:bCs/>
                <w:color w:val="000000"/>
              </w:rPr>
              <w:t xml:space="preserve">               145</w:t>
            </w:r>
            <w:r w:rsidR="00405F9B">
              <w:rPr>
                <w:rFonts w:ascii="Calibri" w:hAnsi="Calibri" w:cs="Calibri"/>
                <w:b/>
                <w:bCs/>
                <w:color w:val="000000"/>
              </w:rPr>
              <w:t>,</w:t>
            </w:r>
            <w:r>
              <w:rPr>
                <w:rFonts w:ascii="Calibri" w:hAnsi="Calibri" w:cs="Calibri"/>
                <w:b/>
                <w:bCs/>
                <w:color w:val="000000"/>
              </w:rPr>
              <w:t xml:space="preserve">105 </w:t>
            </w:r>
          </w:p>
        </w:tc>
        <w:tc>
          <w:tcPr>
            <w:tcW w:w="835" w:type="pct"/>
            <w:tcBorders>
              <w:top w:val="single" w:sz="4" w:space="0" w:color="auto"/>
              <w:bottom w:val="single" w:sz="12" w:space="0" w:color="auto"/>
            </w:tcBorders>
            <w:vAlign w:val="bottom"/>
          </w:tcPr>
          <w:p w14:paraId="5EB0D0B7" w14:textId="0AEC89AA" w:rsidR="00EE5CB3" w:rsidRPr="00537128" w:rsidRDefault="00EE5CB3" w:rsidP="00EE5CB3">
            <w:pPr>
              <w:spacing w:after="0" w:line="301" w:lineRule="exact"/>
              <w:jc w:val="right"/>
              <w:outlineLvl w:val="0"/>
              <w:rPr>
                <w:rFonts w:ascii="Calibri" w:eastAsia="Times New Roman" w:hAnsi="Calibri" w:cs="Calibri"/>
                <w:b/>
                <w:noProof/>
                <w:color w:val="000000" w:themeColor="text1"/>
                <w:lang w:val="en-US"/>
              </w:rPr>
            </w:pPr>
            <w:r>
              <w:rPr>
                <w:rFonts w:ascii="Calibri" w:eastAsia="Times New Roman" w:hAnsi="Calibri" w:cs="Calibri"/>
                <w:b/>
                <w:color w:val="000000" w:themeColor="text1"/>
              </w:rPr>
              <w:t>120,325</w:t>
            </w:r>
          </w:p>
        </w:tc>
      </w:tr>
      <w:tr w:rsidR="00EE5CB3" w:rsidRPr="00537128" w14:paraId="6E0A6DDA" w14:textId="77777777" w:rsidTr="008D0C52">
        <w:trPr>
          <w:trHeight w:val="256"/>
        </w:trPr>
        <w:tc>
          <w:tcPr>
            <w:tcW w:w="2447" w:type="pct"/>
            <w:vAlign w:val="bottom"/>
          </w:tcPr>
          <w:p w14:paraId="06B56BA0" w14:textId="77777777" w:rsidR="00EE5CB3" w:rsidRPr="00537128" w:rsidRDefault="00EE5CB3" w:rsidP="00EE5CB3">
            <w:pPr>
              <w:tabs>
                <w:tab w:val="right" w:pos="1202"/>
              </w:tabs>
              <w:spacing w:after="0" w:line="301" w:lineRule="exact"/>
              <w:outlineLvl w:val="0"/>
              <w:rPr>
                <w:rFonts w:eastAsia="Times New Roman" w:cs="Arial"/>
                <w:bCs/>
                <w:noProof/>
                <w:color w:val="000000" w:themeColor="text1"/>
                <w:spacing w:val="-2"/>
                <w:lang w:val="en-US"/>
              </w:rPr>
            </w:pPr>
          </w:p>
        </w:tc>
        <w:tc>
          <w:tcPr>
            <w:tcW w:w="755" w:type="pct"/>
            <w:vAlign w:val="bottom"/>
          </w:tcPr>
          <w:p w14:paraId="78EE9F8E" w14:textId="77777777" w:rsidR="00EE5CB3" w:rsidRPr="00A1123E" w:rsidRDefault="00EE5CB3" w:rsidP="00EE5CB3">
            <w:pPr>
              <w:tabs>
                <w:tab w:val="right" w:pos="1202"/>
              </w:tabs>
              <w:spacing w:after="0" w:line="301" w:lineRule="exact"/>
              <w:jc w:val="center"/>
              <w:outlineLvl w:val="0"/>
              <w:rPr>
                <w:rFonts w:eastAsia="Times New Roman" w:cs="Arial"/>
                <w:bCs/>
                <w:noProof/>
                <w:color w:val="000000" w:themeColor="text1"/>
                <w:lang w:val="en-US"/>
              </w:rPr>
            </w:pPr>
          </w:p>
        </w:tc>
        <w:tc>
          <w:tcPr>
            <w:tcW w:w="963" w:type="pct"/>
            <w:tcBorders>
              <w:top w:val="single" w:sz="12" w:space="0" w:color="auto"/>
            </w:tcBorders>
            <w:vAlign w:val="bottom"/>
          </w:tcPr>
          <w:p w14:paraId="756C00E5" w14:textId="77777777" w:rsidR="00EE5CB3" w:rsidRPr="00537128" w:rsidRDefault="00EE5CB3" w:rsidP="00EE5CB3">
            <w:pPr>
              <w:spacing w:after="0" w:line="301" w:lineRule="exact"/>
              <w:jc w:val="right"/>
              <w:outlineLvl w:val="0"/>
              <w:rPr>
                <w:rFonts w:ascii="Calibri" w:eastAsia="Times New Roman" w:hAnsi="Calibri" w:cs="Calibri"/>
                <w:noProof/>
                <w:color w:val="000000" w:themeColor="text1"/>
                <w:lang w:val="en-US"/>
              </w:rPr>
            </w:pPr>
          </w:p>
        </w:tc>
        <w:tc>
          <w:tcPr>
            <w:tcW w:w="835" w:type="pct"/>
            <w:vAlign w:val="bottom"/>
          </w:tcPr>
          <w:p w14:paraId="4B6B4A33" w14:textId="77777777" w:rsidR="00EE5CB3" w:rsidRPr="00537128" w:rsidRDefault="00EE5CB3" w:rsidP="00EE5CB3">
            <w:pPr>
              <w:spacing w:after="0" w:line="301" w:lineRule="exact"/>
              <w:jc w:val="right"/>
              <w:outlineLvl w:val="0"/>
              <w:rPr>
                <w:rFonts w:ascii="Calibri" w:eastAsia="Times New Roman" w:hAnsi="Calibri" w:cs="Calibri"/>
                <w:noProof/>
                <w:color w:val="000000" w:themeColor="text1"/>
                <w:lang w:val="en-US"/>
              </w:rPr>
            </w:pPr>
          </w:p>
        </w:tc>
      </w:tr>
      <w:tr w:rsidR="00EE5CB3" w:rsidRPr="00537128" w14:paraId="281FDF98" w14:textId="77777777" w:rsidTr="008D0C52">
        <w:trPr>
          <w:trHeight w:val="256"/>
        </w:trPr>
        <w:tc>
          <w:tcPr>
            <w:tcW w:w="2447" w:type="pct"/>
          </w:tcPr>
          <w:p w14:paraId="2125308B" w14:textId="77777777" w:rsidR="00EE5CB3" w:rsidRPr="00537128" w:rsidRDefault="00EE5CB3" w:rsidP="00EE5CB3">
            <w:pPr>
              <w:tabs>
                <w:tab w:val="right" w:pos="1202"/>
              </w:tabs>
              <w:spacing w:after="0" w:line="301" w:lineRule="exact"/>
              <w:outlineLvl w:val="0"/>
              <w:rPr>
                <w:rFonts w:eastAsia="Times New Roman" w:cs="Arial"/>
                <w:bCs/>
                <w:noProof/>
                <w:color w:val="000000" w:themeColor="text1"/>
                <w:lang w:val="en-US"/>
              </w:rPr>
            </w:pPr>
            <w:bookmarkStart w:id="7" w:name="_Toc4056857"/>
            <w:r w:rsidRPr="00537128">
              <w:rPr>
                <w:rFonts w:eastAsia="Times New Roman" w:cs="Arial"/>
                <w:bCs/>
                <w:noProof/>
                <w:color w:val="000000" w:themeColor="text1"/>
                <w:spacing w:val="-2"/>
                <w:lang w:val="en-US"/>
              </w:rPr>
              <w:t>Fee and commission income</w:t>
            </w:r>
            <w:bookmarkEnd w:id="7"/>
          </w:p>
        </w:tc>
        <w:tc>
          <w:tcPr>
            <w:tcW w:w="755" w:type="pct"/>
            <w:vAlign w:val="bottom"/>
          </w:tcPr>
          <w:p w14:paraId="2AC41126" w14:textId="77777777" w:rsidR="00EE5CB3" w:rsidRPr="00A1123E" w:rsidRDefault="00EE5CB3" w:rsidP="00EE5CB3">
            <w:pPr>
              <w:tabs>
                <w:tab w:val="right" w:pos="1202"/>
              </w:tabs>
              <w:spacing w:after="0" w:line="301" w:lineRule="exact"/>
              <w:jc w:val="center"/>
              <w:outlineLvl w:val="0"/>
              <w:rPr>
                <w:rFonts w:eastAsia="Times New Roman" w:cs="Arial"/>
                <w:bCs/>
                <w:noProof/>
                <w:color w:val="000000" w:themeColor="text1"/>
                <w:lang w:val="en-US"/>
              </w:rPr>
            </w:pPr>
          </w:p>
        </w:tc>
        <w:tc>
          <w:tcPr>
            <w:tcW w:w="963" w:type="pct"/>
            <w:tcBorders>
              <w:top w:val="nil"/>
              <w:left w:val="nil"/>
              <w:bottom w:val="nil"/>
              <w:right w:val="nil"/>
            </w:tcBorders>
            <w:shd w:val="clear" w:color="auto" w:fill="auto"/>
            <w:vAlign w:val="bottom"/>
          </w:tcPr>
          <w:p w14:paraId="3ED2B1AD" w14:textId="3A088D25" w:rsidR="00EE5CB3" w:rsidRPr="00537128" w:rsidRDefault="00EE5CB3" w:rsidP="00EE5CB3">
            <w:pPr>
              <w:spacing w:after="0" w:line="301" w:lineRule="exact"/>
              <w:jc w:val="right"/>
              <w:outlineLvl w:val="0"/>
              <w:rPr>
                <w:rFonts w:ascii="Calibri" w:eastAsia="Times New Roman" w:hAnsi="Calibri" w:cs="Calibri"/>
                <w:noProof/>
                <w:color w:val="000000" w:themeColor="text1"/>
                <w:lang w:val="en-US"/>
              </w:rPr>
            </w:pPr>
            <w:r>
              <w:rPr>
                <w:rFonts w:ascii="Calibri" w:hAnsi="Calibri" w:cs="Calibri"/>
                <w:color w:val="000000"/>
              </w:rPr>
              <w:t xml:space="preserve">                   6</w:t>
            </w:r>
            <w:r w:rsidR="00405F9B">
              <w:rPr>
                <w:rFonts w:ascii="Calibri" w:hAnsi="Calibri" w:cs="Calibri"/>
                <w:color w:val="000000"/>
              </w:rPr>
              <w:t>,</w:t>
            </w:r>
            <w:r>
              <w:rPr>
                <w:rFonts w:ascii="Calibri" w:hAnsi="Calibri" w:cs="Calibri"/>
                <w:color w:val="000000"/>
              </w:rPr>
              <w:t xml:space="preserve">749 </w:t>
            </w:r>
          </w:p>
        </w:tc>
        <w:tc>
          <w:tcPr>
            <w:tcW w:w="835" w:type="pct"/>
            <w:vAlign w:val="bottom"/>
          </w:tcPr>
          <w:p w14:paraId="33F70FA4" w14:textId="6B29C9A3" w:rsidR="00EE5CB3" w:rsidRPr="00537128" w:rsidRDefault="00EE5CB3" w:rsidP="00EE5CB3">
            <w:pPr>
              <w:spacing w:after="0" w:line="301" w:lineRule="exact"/>
              <w:jc w:val="right"/>
              <w:outlineLvl w:val="0"/>
              <w:rPr>
                <w:rFonts w:ascii="Calibri" w:eastAsia="Times New Roman" w:hAnsi="Calibri" w:cs="Calibri"/>
                <w:noProof/>
                <w:color w:val="000000" w:themeColor="text1"/>
                <w:lang w:val="en-US"/>
              </w:rPr>
            </w:pPr>
            <w:r>
              <w:rPr>
                <w:rFonts w:ascii="Calibri" w:eastAsia="Times New Roman" w:hAnsi="Calibri" w:cs="Calibri"/>
                <w:color w:val="000000" w:themeColor="text1"/>
              </w:rPr>
              <w:t>7,963</w:t>
            </w:r>
          </w:p>
        </w:tc>
      </w:tr>
      <w:tr w:rsidR="00EE5CB3" w:rsidRPr="00537128" w14:paraId="03026C19" w14:textId="77777777" w:rsidTr="008D0C52">
        <w:trPr>
          <w:trHeight w:val="322"/>
        </w:trPr>
        <w:tc>
          <w:tcPr>
            <w:tcW w:w="2447" w:type="pct"/>
            <w:vAlign w:val="center"/>
          </w:tcPr>
          <w:p w14:paraId="69D19BF7" w14:textId="77777777" w:rsidR="00EE5CB3" w:rsidRPr="00537128" w:rsidRDefault="00EE5CB3" w:rsidP="00EE5CB3">
            <w:pPr>
              <w:tabs>
                <w:tab w:val="right" w:pos="1202"/>
              </w:tabs>
              <w:spacing w:after="0" w:line="301" w:lineRule="exact"/>
              <w:outlineLvl w:val="0"/>
              <w:rPr>
                <w:rFonts w:eastAsia="Times New Roman" w:cs="Arial"/>
                <w:bCs/>
                <w:noProof/>
                <w:color w:val="000000" w:themeColor="text1"/>
                <w:spacing w:val="-2"/>
                <w:lang w:val="en-US"/>
              </w:rPr>
            </w:pPr>
            <w:bookmarkStart w:id="8" w:name="_Toc4056859"/>
            <w:r w:rsidRPr="00537128">
              <w:rPr>
                <w:rFonts w:eastAsia="Times New Roman" w:cs="Arial"/>
                <w:bCs/>
                <w:noProof/>
                <w:color w:val="000000" w:themeColor="text1"/>
                <w:spacing w:val="-2"/>
                <w:lang w:val="en-US"/>
              </w:rPr>
              <w:t>Fee and commission expense</w:t>
            </w:r>
            <w:bookmarkEnd w:id="8"/>
          </w:p>
        </w:tc>
        <w:tc>
          <w:tcPr>
            <w:tcW w:w="755" w:type="pct"/>
            <w:vAlign w:val="bottom"/>
          </w:tcPr>
          <w:p w14:paraId="29593317" w14:textId="77777777" w:rsidR="00EE5CB3" w:rsidRPr="00A1123E" w:rsidRDefault="00EE5CB3" w:rsidP="00EE5CB3">
            <w:pPr>
              <w:tabs>
                <w:tab w:val="right" w:pos="1202"/>
              </w:tabs>
              <w:spacing w:after="0" w:line="301" w:lineRule="exact"/>
              <w:jc w:val="center"/>
              <w:outlineLvl w:val="0"/>
              <w:rPr>
                <w:rFonts w:eastAsia="Times New Roman" w:cs="Arial"/>
                <w:bCs/>
                <w:noProof/>
                <w:color w:val="000000" w:themeColor="text1"/>
                <w:spacing w:val="-2"/>
                <w:lang w:val="en-US"/>
              </w:rPr>
            </w:pPr>
          </w:p>
        </w:tc>
        <w:tc>
          <w:tcPr>
            <w:tcW w:w="963" w:type="pct"/>
            <w:tcBorders>
              <w:top w:val="nil"/>
              <w:left w:val="nil"/>
              <w:bottom w:val="nil"/>
              <w:right w:val="nil"/>
            </w:tcBorders>
            <w:shd w:val="clear" w:color="auto" w:fill="auto"/>
            <w:vAlign w:val="bottom"/>
          </w:tcPr>
          <w:p w14:paraId="5E09C375" w14:textId="3CA8A374" w:rsidR="00EE5CB3" w:rsidRPr="00537128" w:rsidRDefault="00EE5CB3" w:rsidP="00EE5CB3">
            <w:pPr>
              <w:spacing w:after="0" w:line="301" w:lineRule="exact"/>
              <w:jc w:val="right"/>
              <w:outlineLvl w:val="0"/>
              <w:rPr>
                <w:rFonts w:ascii="Calibri" w:eastAsia="Times New Roman" w:hAnsi="Calibri" w:cs="Calibri"/>
                <w:noProof/>
                <w:color w:val="000000" w:themeColor="text1"/>
                <w:lang w:val="en-US"/>
              </w:rPr>
            </w:pPr>
            <w:r>
              <w:rPr>
                <w:rFonts w:ascii="Calibri" w:hAnsi="Calibri" w:cs="Calibri"/>
                <w:color w:val="000000"/>
              </w:rPr>
              <w:t xml:space="preserve">                 (1</w:t>
            </w:r>
            <w:r w:rsidR="00405F9B">
              <w:rPr>
                <w:rFonts w:ascii="Calibri" w:hAnsi="Calibri" w:cs="Calibri"/>
                <w:color w:val="000000"/>
              </w:rPr>
              <w:t>,</w:t>
            </w:r>
            <w:r>
              <w:rPr>
                <w:rFonts w:ascii="Calibri" w:hAnsi="Calibri" w:cs="Calibri"/>
                <w:color w:val="000000"/>
              </w:rPr>
              <w:t>231)</w:t>
            </w:r>
          </w:p>
        </w:tc>
        <w:tc>
          <w:tcPr>
            <w:tcW w:w="835" w:type="pct"/>
            <w:vAlign w:val="bottom"/>
          </w:tcPr>
          <w:p w14:paraId="379C51FF" w14:textId="78093C35" w:rsidR="00EE5CB3" w:rsidRPr="00537128" w:rsidRDefault="00EE5CB3" w:rsidP="00EE5CB3">
            <w:pPr>
              <w:spacing w:after="0" w:line="301" w:lineRule="exact"/>
              <w:jc w:val="right"/>
              <w:outlineLvl w:val="0"/>
              <w:rPr>
                <w:rFonts w:ascii="Calibri" w:eastAsia="Times New Roman" w:hAnsi="Calibri" w:cs="Calibri"/>
                <w:noProof/>
                <w:color w:val="000000" w:themeColor="text1"/>
                <w:lang w:val="en-US"/>
              </w:rPr>
            </w:pPr>
            <w:r>
              <w:rPr>
                <w:rFonts w:ascii="Calibri" w:eastAsia="Times New Roman" w:hAnsi="Calibri" w:cs="Calibri"/>
                <w:color w:val="000000" w:themeColor="text1"/>
              </w:rPr>
              <w:t>(3,004)</w:t>
            </w:r>
          </w:p>
        </w:tc>
      </w:tr>
      <w:tr w:rsidR="00EE5CB3" w:rsidRPr="00537128" w14:paraId="5F80113D" w14:textId="77777777" w:rsidTr="008D0C52">
        <w:trPr>
          <w:trHeight w:val="288"/>
        </w:trPr>
        <w:tc>
          <w:tcPr>
            <w:tcW w:w="2447" w:type="pct"/>
          </w:tcPr>
          <w:p w14:paraId="0EF9A100" w14:textId="77777777" w:rsidR="00EE5CB3" w:rsidRPr="00537128" w:rsidRDefault="00EE5CB3" w:rsidP="00EE5CB3">
            <w:pPr>
              <w:tabs>
                <w:tab w:val="right" w:pos="1202"/>
              </w:tabs>
              <w:spacing w:after="0" w:line="340" w:lineRule="exact"/>
              <w:outlineLvl w:val="0"/>
              <w:rPr>
                <w:rFonts w:eastAsia="Times New Roman" w:cs="Arial"/>
                <w:b/>
                <w:bCs/>
                <w:noProof/>
                <w:color w:val="000000" w:themeColor="text1"/>
                <w:vertAlign w:val="superscript"/>
                <w:lang w:val="en-US"/>
              </w:rPr>
            </w:pPr>
            <w:bookmarkStart w:id="9" w:name="_Toc4056861"/>
            <w:r w:rsidRPr="00537128">
              <w:rPr>
                <w:rFonts w:eastAsia="Times New Roman" w:cs="Arial"/>
                <w:b/>
                <w:bCs/>
                <w:noProof/>
                <w:color w:val="000000" w:themeColor="text1"/>
                <w:lang w:val="en-US"/>
              </w:rPr>
              <w:t>Net fee and commission income</w:t>
            </w:r>
            <w:bookmarkEnd w:id="9"/>
          </w:p>
        </w:tc>
        <w:tc>
          <w:tcPr>
            <w:tcW w:w="755" w:type="pct"/>
            <w:vAlign w:val="bottom"/>
          </w:tcPr>
          <w:p w14:paraId="19A22D09" w14:textId="77777777" w:rsidR="00EE5CB3" w:rsidRPr="00A1123E" w:rsidRDefault="00EE5CB3" w:rsidP="00EE5CB3">
            <w:pPr>
              <w:tabs>
                <w:tab w:val="right" w:pos="1202"/>
              </w:tabs>
              <w:spacing w:after="0" w:line="340" w:lineRule="exact"/>
              <w:jc w:val="center"/>
              <w:outlineLvl w:val="0"/>
              <w:rPr>
                <w:rFonts w:eastAsia="Times New Roman" w:cs="Arial"/>
                <w:b/>
                <w:bCs/>
                <w:noProof/>
                <w:color w:val="000000" w:themeColor="text1"/>
                <w:lang w:val="en-US"/>
              </w:rPr>
            </w:pPr>
          </w:p>
        </w:tc>
        <w:tc>
          <w:tcPr>
            <w:tcW w:w="963" w:type="pct"/>
            <w:tcBorders>
              <w:top w:val="single" w:sz="4" w:space="0" w:color="auto"/>
              <w:left w:val="nil"/>
              <w:bottom w:val="single" w:sz="4" w:space="0" w:color="auto"/>
              <w:right w:val="nil"/>
            </w:tcBorders>
            <w:shd w:val="clear" w:color="auto" w:fill="auto"/>
            <w:vAlign w:val="bottom"/>
          </w:tcPr>
          <w:p w14:paraId="7DA666F1" w14:textId="2F3BDE08" w:rsidR="00EE5CB3" w:rsidRPr="00537128" w:rsidRDefault="00EE5CB3" w:rsidP="00EE5CB3">
            <w:pPr>
              <w:spacing w:after="0" w:line="301" w:lineRule="exact"/>
              <w:jc w:val="right"/>
              <w:outlineLvl w:val="0"/>
              <w:rPr>
                <w:rFonts w:ascii="Calibri" w:eastAsia="Times New Roman" w:hAnsi="Calibri" w:cs="Calibri"/>
                <w:b/>
                <w:noProof/>
                <w:color w:val="000000" w:themeColor="text1"/>
                <w:lang w:val="en-US"/>
              </w:rPr>
            </w:pPr>
            <w:r>
              <w:rPr>
                <w:rFonts w:ascii="Calibri" w:hAnsi="Calibri" w:cs="Calibri"/>
                <w:b/>
                <w:bCs/>
                <w:color w:val="000000"/>
              </w:rPr>
              <w:t xml:space="preserve">                   5</w:t>
            </w:r>
            <w:r w:rsidR="00405F9B">
              <w:rPr>
                <w:rFonts w:ascii="Calibri" w:hAnsi="Calibri" w:cs="Calibri"/>
                <w:b/>
                <w:bCs/>
                <w:color w:val="000000"/>
              </w:rPr>
              <w:t>,</w:t>
            </w:r>
            <w:r>
              <w:rPr>
                <w:rFonts w:ascii="Calibri" w:hAnsi="Calibri" w:cs="Calibri"/>
                <w:b/>
                <w:bCs/>
                <w:color w:val="000000"/>
              </w:rPr>
              <w:t xml:space="preserve">518 </w:t>
            </w:r>
          </w:p>
        </w:tc>
        <w:tc>
          <w:tcPr>
            <w:tcW w:w="835" w:type="pct"/>
            <w:tcBorders>
              <w:top w:val="single" w:sz="2" w:space="0" w:color="auto"/>
              <w:bottom w:val="single" w:sz="12" w:space="0" w:color="auto"/>
            </w:tcBorders>
            <w:vAlign w:val="bottom"/>
          </w:tcPr>
          <w:p w14:paraId="73C81FFD" w14:textId="6003BABB" w:rsidR="00EE5CB3" w:rsidRPr="00537128" w:rsidRDefault="00EE5CB3" w:rsidP="00EE5CB3">
            <w:pPr>
              <w:spacing w:after="0" w:line="301" w:lineRule="exact"/>
              <w:jc w:val="right"/>
              <w:outlineLvl w:val="0"/>
              <w:rPr>
                <w:rFonts w:ascii="Calibri" w:eastAsia="Times New Roman" w:hAnsi="Calibri" w:cs="Calibri"/>
                <w:b/>
                <w:noProof/>
                <w:color w:val="000000" w:themeColor="text1"/>
                <w:lang w:val="en-US"/>
              </w:rPr>
            </w:pPr>
            <w:r>
              <w:rPr>
                <w:rFonts w:ascii="Calibri" w:eastAsia="Times New Roman" w:hAnsi="Calibri" w:cs="Calibri"/>
                <w:b/>
                <w:color w:val="000000" w:themeColor="text1"/>
              </w:rPr>
              <w:t>4,959</w:t>
            </w:r>
          </w:p>
        </w:tc>
      </w:tr>
      <w:tr w:rsidR="00EE5CB3" w:rsidRPr="00537128" w14:paraId="40E782E5" w14:textId="77777777" w:rsidTr="00BC5812">
        <w:trPr>
          <w:trHeight w:hRule="exact" w:val="336"/>
        </w:trPr>
        <w:tc>
          <w:tcPr>
            <w:tcW w:w="2447" w:type="pct"/>
            <w:vAlign w:val="bottom"/>
          </w:tcPr>
          <w:p w14:paraId="4F223364" w14:textId="77777777" w:rsidR="00EE5CB3" w:rsidRPr="00537128" w:rsidRDefault="00EE5CB3" w:rsidP="00EE5CB3">
            <w:pPr>
              <w:tabs>
                <w:tab w:val="right" w:pos="1202"/>
              </w:tabs>
              <w:spacing w:after="0" w:line="301" w:lineRule="exact"/>
              <w:outlineLvl w:val="0"/>
              <w:rPr>
                <w:rFonts w:eastAsia="Times New Roman" w:cs="Arial"/>
                <w:noProof/>
                <w:color w:val="000000" w:themeColor="text1"/>
                <w:lang w:val="en-US"/>
              </w:rPr>
            </w:pPr>
          </w:p>
        </w:tc>
        <w:tc>
          <w:tcPr>
            <w:tcW w:w="755" w:type="pct"/>
            <w:vAlign w:val="bottom"/>
          </w:tcPr>
          <w:p w14:paraId="6E1A622F" w14:textId="77777777" w:rsidR="00EE5CB3" w:rsidRPr="00A1123E" w:rsidRDefault="00EE5CB3" w:rsidP="00EE5CB3">
            <w:pPr>
              <w:tabs>
                <w:tab w:val="right" w:pos="1202"/>
              </w:tabs>
              <w:spacing w:after="0" w:line="301" w:lineRule="exact"/>
              <w:jc w:val="center"/>
              <w:outlineLvl w:val="0"/>
              <w:rPr>
                <w:rFonts w:eastAsia="Times New Roman" w:cs="Arial"/>
                <w:noProof/>
                <w:color w:val="000000" w:themeColor="text1"/>
                <w:lang w:val="en-US"/>
              </w:rPr>
            </w:pPr>
          </w:p>
        </w:tc>
        <w:tc>
          <w:tcPr>
            <w:tcW w:w="963" w:type="pct"/>
            <w:tcBorders>
              <w:top w:val="single" w:sz="12" w:space="0" w:color="auto"/>
            </w:tcBorders>
            <w:vAlign w:val="bottom"/>
          </w:tcPr>
          <w:p w14:paraId="0535A3A2" w14:textId="77777777" w:rsidR="00EE5CB3" w:rsidRPr="00537128" w:rsidRDefault="00EE5CB3" w:rsidP="00EE5CB3">
            <w:pPr>
              <w:spacing w:after="0" w:line="301" w:lineRule="exact"/>
              <w:jc w:val="right"/>
              <w:outlineLvl w:val="0"/>
              <w:rPr>
                <w:rFonts w:ascii="Calibri" w:eastAsia="Times New Roman" w:hAnsi="Calibri" w:cs="Calibri"/>
                <w:noProof/>
                <w:color w:val="000000" w:themeColor="text1"/>
                <w:lang w:val="en-US"/>
              </w:rPr>
            </w:pPr>
          </w:p>
        </w:tc>
        <w:tc>
          <w:tcPr>
            <w:tcW w:w="835" w:type="pct"/>
            <w:tcBorders>
              <w:top w:val="single" w:sz="12" w:space="0" w:color="auto"/>
            </w:tcBorders>
            <w:vAlign w:val="bottom"/>
          </w:tcPr>
          <w:p w14:paraId="75D32962" w14:textId="77777777" w:rsidR="00EE5CB3" w:rsidRPr="00537128" w:rsidRDefault="00EE5CB3" w:rsidP="00EE5CB3">
            <w:pPr>
              <w:spacing w:after="0" w:line="301" w:lineRule="exact"/>
              <w:jc w:val="right"/>
              <w:outlineLvl w:val="0"/>
              <w:rPr>
                <w:rFonts w:ascii="Calibri" w:eastAsia="Times New Roman" w:hAnsi="Calibri" w:cs="Calibri"/>
                <w:noProof/>
                <w:color w:val="000000" w:themeColor="text1"/>
                <w:lang w:val="en-US"/>
              </w:rPr>
            </w:pPr>
          </w:p>
        </w:tc>
      </w:tr>
      <w:tr w:rsidR="00F844EB" w:rsidRPr="00537128" w14:paraId="5F938913" w14:textId="77777777" w:rsidTr="00CC493D">
        <w:trPr>
          <w:trHeight w:val="351"/>
        </w:trPr>
        <w:tc>
          <w:tcPr>
            <w:tcW w:w="2447" w:type="pct"/>
          </w:tcPr>
          <w:p w14:paraId="0C95736C" w14:textId="77777777" w:rsidR="00F844EB" w:rsidRPr="001F255C" w:rsidRDefault="00F844EB" w:rsidP="00F844EB">
            <w:pPr>
              <w:tabs>
                <w:tab w:val="right" w:pos="1202"/>
              </w:tabs>
              <w:spacing w:after="0" w:line="301" w:lineRule="exact"/>
              <w:outlineLvl w:val="0"/>
              <w:rPr>
                <w:rFonts w:eastAsia="Times New Roman" w:cs="Arial"/>
                <w:noProof/>
                <w:color w:val="000000" w:themeColor="text1"/>
                <w:lang w:val="en-US"/>
              </w:rPr>
            </w:pPr>
            <w:bookmarkStart w:id="10" w:name="_Toc4056864"/>
            <w:r w:rsidRPr="001F255C">
              <w:rPr>
                <w:rFonts w:eastAsia="Times New Roman" w:cs="Arial"/>
                <w:noProof/>
                <w:color w:val="000000" w:themeColor="text1"/>
                <w:lang w:val="en-US"/>
              </w:rPr>
              <w:t xml:space="preserve">Net </w:t>
            </w:r>
            <w:r w:rsidRPr="00A1123E">
              <w:rPr>
                <w:rFonts w:eastAsia="Times New Roman" w:cs="Arial"/>
                <w:noProof/>
                <w:color w:val="000000" w:themeColor="text1"/>
                <w:lang w:val="en-US"/>
              </w:rPr>
              <w:t>gains/(losses)</w:t>
            </w:r>
            <w:r w:rsidRPr="001F255C">
              <w:rPr>
                <w:rFonts w:eastAsia="Times New Roman" w:cs="Arial"/>
                <w:noProof/>
                <w:color w:val="000000" w:themeColor="text1"/>
                <w:lang w:val="en-US"/>
              </w:rPr>
              <w:t xml:space="preserve"> on financial operations</w:t>
            </w:r>
            <w:bookmarkEnd w:id="10"/>
          </w:p>
        </w:tc>
        <w:tc>
          <w:tcPr>
            <w:tcW w:w="755" w:type="pct"/>
            <w:vAlign w:val="bottom"/>
          </w:tcPr>
          <w:p w14:paraId="5C799CBF" w14:textId="77777777" w:rsidR="00F844EB" w:rsidRPr="00A1123E" w:rsidRDefault="00F844EB" w:rsidP="00F844EB">
            <w:pPr>
              <w:tabs>
                <w:tab w:val="right" w:pos="1202"/>
              </w:tabs>
              <w:spacing w:after="0" w:line="301" w:lineRule="exact"/>
              <w:jc w:val="center"/>
              <w:outlineLvl w:val="0"/>
              <w:rPr>
                <w:rFonts w:eastAsia="Times New Roman" w:cs="Arial"/>
                <w:noProof/>
                <w:color w:val="000000" w:themeColor="text1"/>
                <w:lang w:val="en-US"/>
              </w:rPr>
            </w:pPr>
          </w:p>
        </w:tc>
        <w:tc>
          <w:tcPr>
            <w:tcW w:w="963" w:type="pct"/>
            <w:tcBorders>
              <w:top w:val="nil"/>
              <w:left w:val="nil"/>
              <w:bottom w:val="nil"/>
              <w:right w:val="nil"/>
            </w:tcBorders>
            <w:shd w:val="clear" w:color="auto" w:fill="auto"/>
            <w:vAlign w:val="bottom"/>
          </w:tcPr>
          <w:p w14:paraId="407F332A" w14:textId="6BD70A64" w:rsidR="00F844EB" w:rsidRPr="00537128" w:rsidRDefault="00F844EB" w:rsidP="00F844EB">
            <w:pPr>
              <w:spacing w:after="0" w:line="301" w:lineRule="exact"/>
              <w:jc w:val="right"/>
              <w:outlineLvl w:val="0"/>
              <w:rPr>
                <w:rFonts w:ascii="Calibri" w:eastAsia="Times New Roman" w:hAnsi="Calibri" w:cs="Calibri"/>
                <w:noProof/>
                <w:color w:val="000000" w:themeColor="text1"/>
                <w:lang w:val="en-US"/>
              </w:rPr>
            </w:pPr>
            <w:r>
              <w:rPr>
                <w:rFonts w:ascii="Calibri" w:hAnsi="Calibri" w:cs="Calibri"/>
                <w:color w:val="000000"/>
              </w:rPr>
              <w:t xml:space="preserve">                   4</w:t>
            </w:r>
            <w:r w:rsidR="00405F9B">
              <w:rPr>
                <w:rFonts w:ascii="Calibri" w:hAnsi="Calibri" w:cs="Calibri"/>
                <w:color w:val="000000"/>
              </w:rPr>
              <w:t>,</w:t>
            </w:r>
            <w:r>
              <w:rPr>
                <w:rFonts w:ascii="Calibri" w:hAnsi="Calibri" w:cs="Calibri"/>
                <w:color w:val="000000"/>
              </w:rPr>
              <w:t xml:space="preserve">287 </w:t>
            </w:r>
          </w:p>
        </w:tc>
        <w:tc>
          <w:tcPr>
            <w:tcW w:w="835" w:type="pct"/>
            <w:vAlign w:val="bottom"/>
          </w:tcPr>
          <w:p w14:paraId="6ADA9BAF" w14:textId="69482F25" w:rsidR="00F844EB" w:rsidRPr="00537128" w:rsidRDefault="00F844EB" w:rsidP="00F844EB">
            <w:pPr>
              <w:spacing w:after="0" w:line="301" w:lineRule="exact"/>
              <w:jc w:val="right"/>
              <w:outlineLvl w:val="0"/>
              <w:rPr>
                <w:rFonts w:ascii="Calibri" w:eastAsia="Times New Roman" w:hAnsi="Calibri" w:cs="Calibri"/>
                <w:noProof/>
                <w:color w:val="000000" w:themeColor="text1"/>
                <w:lang w:val="en-US"/>
              </w:rPr>
            </w:pPr>
            <w:r>
              <w:rPr>
                <w:rFonts w:ascii="Calibri" w:eastAsia="Times New Roman" w:hAnsi="Calibri" w:cs="Calibri"/>
                <w:color w:val="000000" w:themeColor="text1"/>
              </w:rPr>
              <w:t>(5,279)</w:t>
            </w:r>
          </w:p>
        </w:tc>
      </w:tr>
      <w:tr w:rsidR="00F844EB" w:rsidRPr="00537128" w14:paraId="57E27C1A" w14:textId="77777777" w:rsidTr="00CC493D">
        <w:trPr>
          <w:trHeight w:val="288"/>
        </w:trPr>
        <w:tc>
          <w:tcPr>
            <w:tcW w:w="2447" w:type="pct"/>
          </w:tcPr>
          <w:p w14:paraId="39FE8B86" w14:textId="77777777" w:rsidR="00F844EB" w:rsidRPr="00537128" w:rsidRDefault="00F844EB" w:rsidP="00F844EB">
            <w:pPr>
              <w:tabs>
                <w:tab w:val="right" w:pos="1202"/>
              </w:tabs>
              <w:spacing w:after="0" w:line="340" w:lineRule="exact"/>
              <w:outlineLvl w:val="0"/>
              <w:rPr>
                <w:rFonts w:eastAsia="Times New Roman" w:cs="Arial"/>
                <w:noProof/>
                <w:color w:val="000000" w:themeColor="text1"/>
                <w:lang w:val="en-US"/>
              </w:rPr>
            </w:pPr>
            <w:bookmarkStart w:id="11" w:name="_Toc4056868"/>
            <w:r w:rsidRPr="00537128">
              <w:rPr>
                <w:rFonts w:eastAsia="Times New Roman" w:cs="Arial"/>
                <w:noProof/>
                <w:color w:val="000000" w:themeColor="text1"/>
                <w:lang w:val="en-US"/>
              </w:rPr>
              <w:t>Other income</w:t>
            </w:r>
            <w:bookmarkEnd w:id="11"/>
          </w:p>
        </w:tc>
        <w:tc>
          <w:tcPr>
            <w:tcW w:w="755" w:type="pct"/>
            <w:vAlign w:val="bottom"/>
          </w:tcPr>
          <w:p w14:paraId="753B638D" w14:textId="77777777" w:rsidR="00F844EB" w:rsidRPr="00A1123E" w:rsidRDefault="00F844EB" w:rsidP="00F844EB">
            <w:pPr>
              <w:tabs>
                <w:tab w:val="right" w:pos="1202"/>
              </w:tabs>
              <w:spacing w:after="0" w:line="340" w:lineRule="exact"/>
              <w:jc w:val="center"/>
              <w:outlineLvl w:val="0"/>
              <w:rPr>
                <w:rFonts w:eastAsia="Times New Roman" w:cs="Arial"/>
                <w:b/>
                <w:bCs/>
                <w:noProof/>
                <w:color w:val="000000" w:themeColor="text1"/>
                <w:lang w:val="en-US"/>
              </w:rPr>
            </w:pPr>
          </w:p>
        </w:tc>
        <w:tc>
          <w:tcPr>
            <w:tcW w:w="963" w:type="pct"/>
            <w:tcBorders>
              <w:top w:val="nil"/>
              <w:left w:val="nil"/>
              <w:bottom w:val="single" w:sz="4" w:space="0" w:color="auto"/>
              <w:right w:val="nil"/>
            </w:tcBorders>
            <w:shd w:val="clear" w:color="auto" w:fill="auto"/>
            <w:vAlign w:val="bottom"/>
          </w:tcPr>
          <w:p w14:paraId="02670A31" w14:textId="7BED4731" w:rsidR="00F844EB" w:rsidRPr="00537128" w:rsidRDefault="00F844EB" w:rsidP="00F844EB">
            <w:pPr>
              <w:spacing w:after="0" w:line="301" w:lineRule="exact"/>
              <w:jc w:val="right"/>
              <w:outlineLvl w:val="0"/>
              <w:rPr>
                <w:rFonts w:ascii="Calibri" w:eastAsia="Times New Roman" w:hAnsi="Calibri" w:cs="Calibri"/>
                <w:noProof/>
                <w:color w:val="000000" w:themeColor="text1"/>
                <w:lang w:val="en-US"/>
              </w:rPr>
            </w:pPr>
            <w:r>
              <w:rPr>
                <w:rFonts w:ascii="Calibri" w:hAnsi="Calibri" w:cs="Calibri"/>
                <w:color w:val="000000"/>
              </w:rPr>
              <w:t xml:space="preserve">                   6</w:t>
            </w:r>
            <w:r w:rsidR="00405F9B">
              <w:rPr>
                <w:rFonts w:ascii="Calibri" w:hAnsi="Calibri" w:cs="Calibri"/>
                <w:color w:val="000000"/>
              </w:rPr>
              <w:t>,</w:t>
            </w:r>
            <w:r>
              <w:rPr>
                <w:rFonts w:ascii="Calibri" w:hAnsi="Calibri" w:cs="Calibri"/>
                <w:color w:val="000000"/>
              </w:rPr>
              <w:t xml:space="preserve">615 </w:t>
            </w:r>
          </w:p>
        </w:tc>
        <w:tc>
          <w:tcPr>
            <w:tcW w:w="835" w:type="pct"/>
            <w:vAlign w:val="bottom"/>
          </w:tcPr>
          <w:p w14:paraId="45FEB7EB" w14:textId="340412B9" w:rsidR="00F844EB" w:rsidRPr="00537128" w:rsidRDefault="00F844EB" w:rsidP="00F844EB">
            <w:pPr>
              <w:spacing w:after="0" w:line="301" w:lineRule="exact"/>
              <w:jc w:val="right"/>
              <w:outlineLvl w:val="0"/>
              <w:rPr>
                <w:rFonts w:ascii="Calibri" w:eastAsia="Times New Roman" w:hAnsi="Calibri" w:cs="Calibri"/>
                <w:noProof/>
                <w:color w:val="000000" w:themeColor="text1"/>
                <w:lang w:val="en-US"/>
              </w:rPr>
            </w:pPr>
            <w:r>
              <w:rPr>
                <w:rFonts w:ascii="Calibri" w:eastAsia="Times New Roman" w:hAnsi="Calibri" w:cs="Calibri"/>
                <w:color w:val="000000" w:themeColor="text1"/>
              </w:rPr>
              <w:t>6,198</w:t>
            </w:r>
          </w:p>
        </w:tc>
      </w:tr>
      <w:tr w:rsidR="00F844EB" w:rsidRPr="00537128" w14:paraId="40C38065" w14:textId="77777777" w:rsidTr="00CC493D">
        <w:trPr>
          <w:trHeight w:val="300"/>
        </w:trPr>
        <w:tc>
          <w:tcPr>
            <w:tcW w:w="2447" w:type="pct"/>
            <w:vAlign w:val="bottom"/>
          </w:tcPr>
          <w:p w14:paraId="26BFD819" w14:textId="77777777" w:rsidR="00F844EB" w:rsidRPr="00537128" w:rsidRDefault="00F844EB" w:rsidP="00F844EB">
            <w:pPr>
              <w:tabs>
                <w:tab w:val="right" w:pos="1202"/>
              </w:tabs>
              <w:spacing w:after="0" w:line="340" w:lineRule="exact"/>
              <w:outlineLvl w:val="0"/>
              <w:rPr>
                <w:rFonts w:eastAsia="Times New Roman" w:cs="Arial"/>
                <w:b/>
                <w:bCs/>
                <w:noProof/>
                <w:color w:val="000000" w:themeColor="text1"/>
                <w:lang w:val="en-US"/>
              </w:rPr>
            </w:pPr>
          </w:p>
        </w:tc>
        <w:tc>
          <w:tcPr>
            <w:tcW w:w="755" w:type="pct"/>
            <w:vAlign w:val="bottom"/>
          </w:tcPr>
          <w:p w14:paraId="28D20B14" w14:textId="77777777" w:rsidR="00F844EB" w:rsidRPr="00A1123E" w:rsidRDefault="00F844EB" w:rsidP="00F844EB">
            <w:pPr>
              <w:tabs>
                <w:tab w:val="right" w:pos="1202"/>
              </w:tabs>
              <w:spacing w:after="0" w:line="340" w:lineRule="exact"/>
              <w:jc w:val="center"/>
              <w:outlineLvl w:val="0"/>
              <w:rPr>
                <w:rFonts w:eastAsia="Times New Roman" w:cs="Arial"/>
                <w:b/>
                <w:bCs/>
                <w:noProof/>
                <w:color w:val="000000" w:themeColor="text1"/>
                <w:lang w:val="en-US"/>
              </w:rPr>
            </w:pPr>
          </w:p>
        </w:tc>
        <w:tc>
          <w:tcPr>
            <w:tcW w:w="963" w:type="pct"/>
            <w:tcBorders>
              <w:top w:val="single" w:sz="4" w:space="0" w:color="auto"/>
              <w:left w:val="nil"/>
              <w:bottom w:val="single" w:sz="12" w:space="0" w:color="auto"/>
              <w:right w:val="nil"/>
            </w:tcBorders>
            <w:shd w:val="clear" w:color="auto" w:fill="auto"/>
            <w:vAlign w:val="bottom"/>
          </w:tcPr>
          <w:p w14:paraId="1CFFC97F" w14:textId="66D7761C" w:rsidR="00F844EB" w:rsidRPr="00537128" w:rsidRDefault="00F844EB" w:rsidP="00F844EB">
            <w:pPr>
              <w:spacing w:after="0" w:line="301" w:lineRule="exact"/>
              <w:jc w:val="right"/>
              <w:outlineLvl w:val="0"/>
              <w:rPr>
                <w:rFonts w:ascii="Calibri" w:eastAsia="Times New Roman" w:hAnsi="Calibri" w:cs="Calibri"/>
                <w:b/>
                <w:noProof/>
                <w:color w:val="000000" w:themeColor="text1"/>
                <w:lang w:val="en-US"/>
              </w:rPr>
            </w:pPr>
            <w:r>
              <w:rPr>
                <w:rFonts w:ascii="Calibri" w:hAnsi="Calibri" w:cs="Calibri"/>
                <w:b/>
                <w:bCs/>
                <w:color w:val="000000"/>
              </w:rPr>
              <w:t xml:space="preserve">               161</w:t>
            </w:r>
            <w:r w:rsidR="00405F9B">
              <w:rPr>
                <w:rFonts w:ascii="Calibri" w:hAnsi="Calibri" w:cs="Calibri"/>
                <w:b/>
                <w:bCs/>
                <w:color w:val="000000"/>
              </w:rPr>
              <w:t>,</w:t>
            </w:r>
            <w:r>
              <w:rPr>
                <w:rFonts w:ascii="Calibri" w:hAnsi="Calibri" w:cs="Calibri"/>
                <w:b/>
                <w:bCs/>
                <w:color w:val="000000"/>
              </w:rPr>
              <w:t xml:space="preserve">525 </w:t>
            </w:r>
          </w:p>
        </w:tc>
        <w:tc>
          <w:tcPr>
            <w:tcW w:w="835" w:type="pct"/>
            <w:tcBorders>
              <w:top w:val="single" w:sz="2" w:space="0" w:color="auto"/>
              <w:bottom w:val="single" w:sz="12" w:space="0" w:color="auto"/>
            </w:tcBorders>
            <w:vAlign w:val="bottom"/>
          </w:tcPr>
          <w:p w14:paraId="1BE1CEB4" w14:textId="422908EA" w:rsidR="00F844EB" w:rsidRPr="00537128" w:rsidRDefault="00F844EB" w:rsidP="00F844EB">
            <w:pPr>
              <w:spacing w:after="0" w:line="301" w:lineRule="exact"/>
              <w:jc w:val="right"/>
              <w:outlineLvl w:val="0"/>
              <w:rPr>
                <w:rFonts w:ascii="Calibri" w:eastAsia="Times New Roman" w:hAnsi="Calibri" w:cs="Calibri"/>
                <w:b/>
                <w:noProof/>
                <w:color w:val="000000" w:themeColor="text1"/>
                <w:lang w:val="en-US"/>
              </w:rPr>
            </w:pPr>
            <w:r>
              <w:rPr>
                <w:rFonts w:ascii="Calibri" w:eastAsia="Times New Roman" w:hAnsi="Calibri" w:cs="Calibri"/>
                <w:b/>
                <w:color w:val="000000" w:themeColor="text1"/>
              </w:rPr>
              <w:t>126,203</w:t>
            </w:r>
          </w:p>
        </w:tc>
      </w:tr>
      <w:tr w:rsidR="00F844EB" w:rsidRPr="00537128" w14:paraId="622C849D" w14:textId="77777777" w:rsidTr="00CC493D">
        <w:trPr>
          <w:trHeight w:val="256"/>
        </w:trPr>
        <w:tc>
          <w:tcPr>
            <w:tcW w:w="2447" w:type="pct"/>
            <w:vAlign w:val="bottom"/>
          </w:tcPr>
          <w:p w14:paraId="27217497" w14:textId="77777777" w:rsidR="00F844EB" w:rsidRPr="00537128" w:rsidRDefault="00F844EB" w:rsidP="00F844EB">
            <w:pPr>
              <w:tabs>
                <w:tab w:val="right" w:pos="1202"/>
              </w:tabs>
              <w:spacing w:after="0" w:line="301" w:lineRule="exact"/>
              <w:outlineLvl w:val="0"/>
              <w:rPr>
                <w:rFonts w:eastAsia="Times New Roman" w:cs="Arial"/>
                <w:bCs/>
                <w:noProof/>
                <w:color w:val="000000" w:themeColor="text1"/>
                <w:spacing w:val="-2"/>
                <w:lang w:val="en-US"/>
              </w:rPr>
            </w:pPr>
          </w:p>
        </w:tc>
        <w:tc>
          <w:tcPr>
            <w:tcW w:w="755" w:type="pct"/>
            <w:vAlign w:val="bottom"/>
          </w:tcPr>
          <w:p w14:paraId="49828CC9" w14:textId="77777777" w:rsidR="00F844EB" w:rsidRPr="00A1123E" w:rsidRDefault="00F844EB" w:rsidP="00F844EB">
            <w:pPr>
              <w:tabs>
                <w:tab w:val="right" w:pos="1202"/>
              </w:tabs>
              <w:spacing w:after="0" w:line="301" w:lineRule="exact"/>
              <w:jc w:val="center"/>
              <w:outlineLvl w:val="0"/>
              <w:rPr>
                <w:rFonts w:eastAsia="Times New Roman" w:cs="Arial"/>
                <w:bCs/>
                <w:noProof/>
                <w:color w:val="000000" w:themeColor="text1"/>
                <w:spacing w:val="-2"/>
                <w:lang w:val="en-US"/>
              </w:rPr>
            </w:pPr>
          </w:p>
        </w:tc>
        <w:tc>
          <w:tcPr>
            <w:tcW w:w="963" w:type="pct"/>
            <w:tcBorders>
              <w:top w:val="single" w:sz="12" w:space="0" w:color="auto"/>
            </w:tcBorders>
            <w:vAlign w:val="bottom"/>
          </w:tcPr>
          <w:p w14:paraId="305FE33F" w14:textId="77777777" w:rsidR="00F844EB" w:rsidRPr="00537128" w:rsidRDefault="00F844EB" w:rsidP="00F844EB">
            <w:pPr>
              <w:spacing w:after="0" w:line="301" w:lineRule="exact"/>
              <w:jc w:val="right"/>
              <w:outlineLvl w:val="0"/>
              <w:rPr>
                <w:rFonts w:ascii="Calibri" w:eastAsia="Times New Roman" w:hAnsi="Calibri" w:cs="Calibri"/>
                <w:noProof/>
                <w:color w:val="000000" w:themeColor="text1"/>
                <w:lang w:val="en-US"/>
              </w:rPr>
            </w:pPr>
          </w:p>
        </w:tc>
        <w:tc>
          <w:tcPr>
            <w:tcW w:w="835" w:type="pct"/>
            <w:vAlign w:val="bottom"/>
          </w:tcPr>
          <w:p w14:paraId="699DB4C3" w14:textId="77777777" w:rsidR="00F844EB" w:rsidRPr="00537128" w:rsidRDefault="00F844EB" w:rsidP="00F844EB">
            <w:pPr>
              <w:spacing w:after="0" w:line="301" w:lineRule="exact"/>
              <w:jc w:val="right"/>
              <w:outlineLvl w:val="0"/>
              <w:rPr>
                <w:rFonts w:ascii="Calibri" w:eastAsia="Times New Roman" w:hAnsi="Calibri" w:cs="Calibri"/>
                <w:noProof/>
                <w:color w:val="000000" w:themeColor="text1"/>
                <w:lang w:val="en-US"/>
              </w:rPr>
            </w:pPr>
          </w:p>
        </w:tc>
      </w:tr>
      <w:tr w:rsidR="00F844EB" w:rsidRPr="00537128" w14:paraId="5A3E38B0" w14:textId="77777777" w:rsidTr="00CC493D">
        <w:trPr>
          <w:trHeight w:val="242"/>
        </w:trPr>
        <w:tc>
          <w:tcPr>
            <w:tcW w:w="2447" w:type="pct"/>
            <w:vAlign w:val="bottom"/>
          </w:tcPr>
          <w:p w14:paraId="60E86AD4" w14:textId="77777777" w:rsidR="00F844EB" w:rsidRPr="00537128" w:rsidRDefault="00F844EB" w:rsidP="00F844EB">
            <w:pPr>
              <w:tabs>
                <w:tab w:val="right" w:pos="1202"/>
              </w:tabs>
              <w:spacing w:after="0" w:line="301" w:lineRule="exact"/>
              <w:outlineLvl w:val="0"/>
              <w:rPr>
                <w:rFonts w:eastAsia="Times New Roman" w:cs="Arial"/>
                <w:bCs/>
                <w:noProof/>
                <w:color w:val="000000" w:themeColor="text1"/>
                <w:spacing w:val="-2"/>
                <w:lang w:val="en-US"/>
              </w:rPr>
            </w:pPr>
            <w:bookmarkStart w:id="12" w:name="_Toc4056873"/>
            <w:r w:rsidRPr="00537128">
              <w:rPr>
                <w:rFonts w:eastAsia="Times New Roman" w:cs="Arial"/>
                <w:bCs/>
                <w:noProof/>
                <w:color w:val="000000" w:themeColor="text1"/>
                <w:spacing w:val="-2"/>
                <w:lang w:val="en-US"/>
              </w:rPr>
              <w:t>Employee expenses</w:t>
            </w:r>
            <w:bookmarkEnd w:id="12"/>
          </w:p>
        </w:tc>
        <w:tc>
          <w:tcPr>
            <w:tcW w:w="755" w:type="pct"/>
            <w:vAlign w:val="bottom"/>
          </w:tcPr>
          <w:p w14:paraId="4F572127" w14:textId="77777777" w:rsidR="00F844EB" w:rsidRPr="00A1123E" w:rsidRDefault="00F844EB" w:rsidP="00F844EB">
            <w:pPr>
              <w:tabs>
                <w:tab w:val="right" w:pos="1202"/>
              </w:tabs>
              <w:spacing w:after="0" w:line="301" w:lineRule="exact"/>
              <w:jc w:val="center"/>
              <w:outlineLvl w:val="0"/>
              <w:rPr>
                <w:rFonts w:eastAsia="Times New Roman" w:cs="Arial"/>
                <w:bCs/>
                <w:noProof/>
                <w:color w:val="000000" w:themeColor="text1"/>
                <w:spacing w:val="-2"/>
                <w:lang w:val="en-US"/>
              </w:rPr>
            </w:pPr>
            <w:r w:rsidRPr="00A1123E">
              <w:rPr>
                <w:rFonts w:eastAsia="Times New Roman" w:cs="Arial"/>
                <w:bCs/>
                <w:noProof/>
                <w:color w:val="000000" w:themeColor="text1"/>
                <w:spacing w:val="-2"/>
                <w:lang w:val="en-US"/>
              </w:rPr>
              <w:t>7 a)</w:t>
            </w:r>
          </w:p>
        </w:tc>
        <w:tc>
          <w:tcPr>
            <w:tcW w:w="963" w:type="pct"/>
            <w:tcBorders>
              <w:top w:val="nil"/>
              <w:left w:val="nil"/>
              <w:bottom w:val="nil"/>
              <w:right w:val="nil"/>
            </w:tcBorders>
            <w:shd w:val="clear" w:color="auto" w:fill="auto"/>
            <w:vAlign w:val="bottom"/>
          </w:tcPr>
          <w:p w14:paraId="5C9FC2B6" w14:textId="5741395E" w:rsidR="00F844EB" w:rsidRPr="00537128" w:rsidRDefault="00F844EB" w:rsidP="00F844EB">
            <w:pPr>
              <w:spacing w:after="0" w:line="301" w:lineRule="exact"/>
              <w:jc w:val="right"/>
              <w:outlineLvl w:val="0"/>
              <w:rPr>
                <w:rFonts w:ascii="Calibri" w:eastAsia="Times New Roman" w:hAnsi="Calibri" w:cs="Calibri"/>
                <w:noProof/>
                <w:color w:val="000000" w:themeColor="text1"/>
                <w:lang w:val="en-US"/>
              </w:rPr>
            </w:pPr>
            <w:r>
              <w:rPr>
                <w:rFonts w:ascii="Calibri" w:hAnsi="Calibri" w:cs="Calibri"/>
                <w:color w:val="000000"/>
              </w:rPr>
              <w:t xml:space="preserve">              (25</w:t>
            </w:r>
            <w:r w:rsidR="00405F9B">
              <w:rPr>
                <w:rFonts w:ascii="Calibri" w:hAnsi="Calibri" w:cs="Calibri"/>
                <w:color w:val="000000"/>
              </w:rPr>
              <w:t>,</w:t>
            </w:r>
            <w:r>
              <w:rPr>
                <w:rFonts w:ascii="Calibri" w:hAnsi="Calibri" w:cs="Calibri"/>
                <w:color w:val="000000"/>
              </w:rPr>
              <w:t>557)</w:t>
            </w:r>
          </w:p>
        </w:tc>
        <w:tc>
          <w:tcPr>
            <w:tcW w:w="835" w:type="pct"/>
            <w:tcBorders>
              <w:top w:val="nil"/>
              <w:left w:val="nil"/>
              <w:right w:val="nil"/>
            </w:tcBorders>
            <w:shd w:val="clear" w:color="auto" w:fill="auto"/>
          </w:tcPr>
          <w:p w14:paraId="77FDAF62" w14:textId="72605B17" w:rsidR="00F844EB" w:rsidRPr="00537128" w:rsidRDefault="00F844EB" w:rsidP="00F844EB">
            <w:pPr>
              <w:spacing w:after="0" w:line="301" w:lineRule="exact"/>
              <w:jc w:val="right"/>
              <w:outlineLvl w:val="0"/>
              <w:rPr>
                <w:rFonts w:ascii="Calibri" w:eastAsia="Times New Roman" w:hAnsi="Calibri" w:cs="Calibri"/>
                <w:noProof/>
                <w:color w:val="000000" w:themeColor="text1"/>
                <w:lang w:val="en-US"/>
              </w:rPr>
            </w:pPr>
            <w:r>
              <w:rPr>
                <w:rFonts w:ascii="Calibri" w:eastAsia="Times New Roman" w:hAnsi="Calibri" w:cs="Calibri"/>
                <w:color w:val="000000" w:themeColor="text1"/>
              </w:rPr>
              <w:t>(23,968)</w:t>
            </w:r>
          </w:p>
        </w:tc>
      </w:tr>
      <w:tr w:rsidR="00F844EB" w:rsidRPr="00537128" w14:paraId="2A25CD59" w14:textId="77777777" w:rsidTr="00CC493D">
        <w:trPr>
          <w:trHeight w:val="242"/>
        </w:trPr>
        <w:tc>
          <w:tcPr>
            <w:tcW w:w="2447" w:type="pct"/>
            <w:vAlign w:val="bottom"/>
          </w:tcPr>
          <w:p w14:paraId="20119BF8" w14:textId="77777777" w:rsidR="00F844EB" w:rsidRPr="00537128" w:rsidRDefault="00F844EB" w:rsidP="00F844EB">
            <w:pPr>
              <w:tabs>
                <w:tab w:val="right" w:pos="1202"/>
              </w:tabs>
              <w:spacing w:after="0" w:line="301" w:lineRule="exact"/>
              <w:outlineLvl w:val="0"/>
              <w:rPr>
                <w:rFonts w:eastAsia="Times New Roman" w:cs="Arial"/>
                <w:bCs/>
                <w:noProof/>
                <w:color w:val="000000" w:themeColor="text1"/>
                <w:spacing w:val="-2"/>
                <w:lang w:val="en-US"/>
              </w:rPr>
            </w:pPr>
            <w:bookmarkStart w:id="13" w:name="_Toc4056877"/>
            <w:r w:rsidRPr="00537128">
              <w:rPr>
                <w:rFonts w:eastAsia="Times New Roman" w:cs="Arial"/>
                <w:bCs/>
                <w:noProof/>
                <w:color w:val="000000" w:themeColor="text1"/>
                <w:spacing w:val="-2"/>
                <w:lang w:val="en-US"/>
              </w:rPr>
              <w:t>Depreciation and amortization</w:t>
            </w:r>
            <w:bookmarkEnd w:id="13"/>
          </w:p>
        </w:tc>
        <w:tc>
          <w:tcPr>
            <w:tcW w:w="755" w:type="pct"/>
            <w:vAlign w:val="bottom"/>
          </w:tcPr>
          <w:p w14:paraId="5E993F60" w14:textId="77777777" w:rsidR="00F844EB" w:rsidRPr="00A1123E" w:rsidRDefault="00F844EB" w:rsidP="00F844EB">
            <w:pPr>
              <w:tabs>
                <w:tab w:val="right" w:pos="1202"/>
              </w:tabs>
              <w:spacing w:after="0" w:line="301" w:lineRule="exact"/>
              <w:jc w:val="center"/>
              <w:outlineLvl w:val="0"/>
              <w:rPr>
                <w:rFonts w:eastAsia="Times New Roman" w:cs="Arial"/>
                <w:bCs/>
                <w:noProof/>
                <w:color w:val="000000" w:themeColor="text1"/>
                <w:spacing w:val="-2"/>
                <w:lang w:val="en-US"/>
              </w:rPr>
            </w:pPr>
            <w:r w:rsidRPr="00A1123E">
              <w:rPr>
                <w:rFonts w:eastAsia="Times New Roman" w:cs="Arial"/>
                <w:bCs/>
                <w:noProof/>
                <w:color w:val="000000" w:themeColor="text1"/>
                <w:spacing w:val="-2"/>
                <w:lang w:val="en-US"/>
              </w:rPr>
              <w:t>7 b)</w:t>
            </w:r>
          </w:p>
        </w:tc>
        <w:tc>
          <w:tcPr>
            <w:tcW w:w="963" w:type="pct"/>
            <w:tcBorders>
              <w:top w:val="nil"/>
              <w:left w:val="nil"/>
              <w:bottom w:val="nil"/>
              <w:right w:val="nil"/>
            </w:tcBorders>
            <w:shd w:val="clear" w:color="auto" w:fill="auto"/>
            <w:vAlign w:val="bottom"/>
          </w:tcPr>
          <w:p w14:paraId="38212E40" w14:textId="2563FCB4" w:rsidR="00F844EB" w:rsidRPr="00537128" w:rsidRDefault="00F844EB" w:rsidP="00F844EB">
            <w:pPr>
              <w:spacing w:after="0" w:line="301" w:lineRule="exact"/>
              <w:jc w:val="right"/>
              <w:outlineLvl w:val="0"/>
              <w:rPr>
                <w:rFonts w:ascii="Calibri" w:eastAsia="Times New Roman" w:hAnsi="Calibri" w:cs="Calibri"/>
                <w:noProof/>
                <w:color w:val="000000" w:themeColor="text1"/>
                <w:lang w:val="en-US"/>
              </w:rPr>
            </w:pPr>
            <w:r>
              <w:rPr>
                <w:rFonts w:ascii="Calibri" w:hAnsi="Calibri" w:cs="Calibri"/>
                <w:color w:val="000000"/>
              </w:rPr>
              <w:t xml:space="preserve">                 (2</w:t>
            </w:r>
            <w:r w:rsidR="00405F9B">
              <w:rPr>
                <w:rFonts w:ascii="Calibri" w:hAnsi="Calibri" w:cs="Calibri"/>
                <w:color w:val="000000"/>
              </w:rPr>
              <w:t>,</w:t>
            </w:r>
            <w:r>
              <w:rPr>
                <w:rFonts w:ascii="Calibri" w:hAnsi="Calibri" w:cs="Calibri"/>
                <w:color w:val="000000"/>
              </w:rPr>
              <w:t>912)</w:t>
            </w:r>
          </w:p>
        </w:tc>
        <w:tc>
          <w:tcPr>
            <w:tcW w:w="835" w:type="pct"/>
            <w:tcBorders>
              <w:top w:val="nil"/>
              <w:left w:val="nil"/>
              <w:right w:val="nil"/>
            </w:tcBorders>
            <w:shd w:val="clear" w:color="auto" w:fill="auto"/>
          </w:tcPr>
          <w:p w14:paraId="6BF82810" w14:textId="32774F65" w:rsidR="00F844EB" w:rsidRPr="00537128" w:rsidRDefault="00F844EB" w:rsidP="00F844EB">
            <w:pPr>
              <w:spacing w:after="0" w:line="301" w:lineRule="exact"/>
              <w:jc w:val="right"/>
              <w:outlineLvl w:val="0"/>
              <w:rPr>
                <w:rFonts w:ascii="Calibri" w:eastAsia="Times New Roman" w:hAnsi="Calibri" w:cs="Calibri"/>
                <w:noProof/>
                <w:color w:val="000000" w:themeColor="text1"/>
                <w:lang w:val="en-US"/>
              </w:rPr>
            </w:pPr>
            <w:r>
              <w:rPr>
                <w:rFonts w:ascii="Calibri" w:eastAsia="Times New Roman" w:hAnsi="Calibri" w:cs="Calibri"/>
                <w:color w:val="000000" w:themeColor="text1"/>
              </w:rPr>
              <w:t>(2,555)</w:t>
            </w:r>
          </w:p>
        </w:tc>
      </w:tr>
      <w:tr w:rsidR="00F844EB" w:rsidRPr="00537128" w14:paraId="407322DE" w14:textId="77777777" w:rsidTr="00CC493D">
        <w:trPr>
          <w:trHeight w:val="242"/>
        </w:trPr>
        <w:tc>
          <w:tcPr>
            <w:tcW w:w="2447" w:type="pct"/>
            <w:vAlign w:val="bottom"/>
          </w:tcPr>
          <w:p w14:paraId="07439997" w14:textId="77777777" w:rsidR="00F844EB" w:rsidRPr="00537128" w:rsidRDefault="00F844EB" w:rsidP="00F844EB">
            <w:pPr>
              <w:tabs>
                <w:tab w:val="right" w:pos="1202"/>
              </w:tabs>
              <w:spacing w:after="0" w:line="301" w:lineRule="exact"/>
              <w:outlineLvl w:val="0"/>
              <w:rPr>
                <w:rFonts w:eastAsia="Times New Roman" w:cs="Arial"/>
                <w:bCs/>
                <w:noProof/>
                <w:color w:val="000000" w:themeColor="text1"/>
                <w:spacing w:val="-2"/>
                <w:lang w:val="en-US"/>
              </w:rPr>
            </w:pPr>
            <w:bookmarkStart w:id="14" w:name="_Toc4056881"/>
            <w:r w:rsidRPr="00537128">
              <w:rPr>
                <w:rFonts w:eastAsia="Times New Roman" w:cs="Arial"/>
                <w:bCs/>
                <w:noProof/>
                <w:color w:val="000000" w:themeColor="text1"/>
                <w:spacing w:val="-2"/>
                <w:lang w:val="en-US"/>
              </w:rPr>
              <w:t>Other expenses</w:t>
            </w:r>
            <w:bookmarkEnd w:id="14"/>
          </w:p>
        </w:tc>
        <w:tc>
          <w:tcPr>
            <w:tcW w:w="755" w:type="pct"/>
            <w:vAlign w:val="bottom"/>
          </w:tcPr>
          <w:p w14:paraId="4767E98E" w14:textId="77777777" w:rsidR="00F844EB" w:rsidRPr="00A1123E" w:rsidRDefault="00F844EB" w:rsidP="00F844EB">
            <w:pPr>
              <w:tabs>
                <w:tab w:val="right" w:pos="1202"/>
              </w:tabs>
              <w:spacing w:after="0" w:line="301" w:lineRule="exact"/>
              <w:jc w:val="center"/>
              <w:outlineLvl w:val="0"/>
              <w:rPr>
                <w:rFonts w:eastAsia="Times New Roman" w:cs="Arial"/>
                <w:bCs/>
                <w:noProof/>
                <w:color w:val="000000" w:themeColor="text1"/>
                <w:spacing w:val="-2"/>
                <w:lang w:val="en-US"/>
              </w:rPr>
            </w:pPr>
            <w:r w:rsidRPr="00A1123E">
              <w:rPr>
                <w:rFonts w:eastAsia="Times New Roman" w:cs="Arial"/>
                <w:bCs/>
                <w:noProof/>
                <w:color w:val="000000" w:themeColor="text1"/>
                <w:spacing w:val="-2"/>
                <w:lang w:val="en-US"/>
              </w:rPr>
              <w:t>7 c)</w:t>
            </w:r>
          </w:p>
        </w:tc>
        <w:tc>
          <w:tcPr>
            <w:tcW w:w="963" w:type="pct"/>
            <w:tcBorders>
              <w:top w:val="nil"/>
              <w:left w:val="nil"/>
              <w:bottom w:val="nil"/>
              <w:right w:val="nil"/>
            </w:tcBorders>
            <w:shd w:val="clear" w:color="auto" w:fill="auto"/>
            <w:vAlign w:val="bottom"/>
          </w:tcPr>
          <w:p w14:paraId="7877D329" w14:textId="0E6CDA26" w:rsidR="00F844EB" w:rsidRPr="00537128" w:rsidRDefault="00F844EB" w:rsidP="00F844EB">
            <w:pPr>
              <w:spacing w:after="0" w:line="301" w:lineRule="exact"/>
              <w:jc w:val="right"/>
              <w:outlineLvl w:val="0"/>
              <w:rPr>
                <w:rFonts w:ascii="Calibri" w:eastAsia="Times New Roman" w:hAnsi="Calibri" w:cs="Calibri"/>
                <w:noProof/>
                <w:color w:val="000000" w:themeColor="text1"/>
                <w:lang w:val="en-US"/>
              </w:rPr>
            </w:pPr>
            <w:r>
              <w:rPr>
                <w:rFonts w:ascii="Calibri" w:hAnsi="Calibri" w:cs="Calibri"/>
                <w:color w:val="000000"/>
              </w:rPr>
              <w:t xml:space="preserve">              (33</w:t>
            </w:r>
            <w:r w:rsidR="00405F9B">
              <w:rPr>
                <w:rFonts w:ascii="Calibri" w:hAnsi="Calibri" w:cs="Calibri"/>
                <w:color w:val="000000"/>
              </w:rPr>
              <w:t>,</w:t>
            </w:r>
            <w:r>
              <w:rPr>
                <w:rFonts w:ascii="Calibri" w:hAnsi="Calibri" w:cs="Calibri"/>
                <w:color w:val="000000"/>
              </w:rPr>
              <w:t>306)</w:t>
            </w:r>
          </w:p>
        </w:tc>
        <w:tc>
          <w:tcPr>
            <w:tcW w:w="835" w:type="pct"/>
            <w:tcBorders>
              <w:top w:val="nil"/>
              <w:left w:val="nil"/>
              <w:right w:val="nil"/>
            </w:tcBorders>
            <w:shd w:val="clear" w:color="auto" w:fill="auto"/>
          </w:tcPr>
          <w:p w14:paraId="27ECBF49" w14:textId="3D91F5AC" w:rsidR="00F844EB" w:rsidRPr="00537128" w:rsidRDefault="00F844EB" w:rsidP="00F844EB">
            <w:pPr>
              <w:spacing w:after="0" w:line="301" w:lineRule="exact"/>
              <w:jc w:val="right"/>
              <w:outlineLvl w:val="0"/>
              <w:rPr>
                <w:rFonts w:ascii="Calibri" w:eastAsia="Times New Roman" w:hAnsi="Calibri" w:cs="Calibri"/>
                <w:noProof/>
                <w:color w:val="000000" w:themeColor="text1"/>
                <w:lang w:val="en-US"/>
              </w:rPr>
            </w:pPr>
            <w:r>
              <w:rPr>
                <w:rFonts w:ascii="Calibri" w:eastAsia="Times New Roman" w:hAnsi="Calibri" w:cs="Calibri"/>
                <w:color w:val="000000" w:themeColor="text1"/>
              </w:rPr>
              <w:t>(20,712)</w:t>
            </w:r>
          </w:p>
        </w:tc>
      </w:tr>
      <w:tr w:rsidR="00F844EB" w:rsidRPr="00537128" w14:paraId="35E7EC5A" w14:textId="77777777" w:rsidTr="00BC5812">
        <w:trPr>
          <w:trHeight w:val="242"/>
        </w:trPr>
        <w:tc>
          <w:tcPr>
            <w:tcW w:w="2447" w:type="pct"/>
            <w:vAlign w:val="bottom"/>
          </w:tcPr>
          <w:p w14:paraId="1C0D8634" w14:textId="04975716" w:rsidR="00F844EB" w:rsidRPr="00537128" w:rsidRDefault="00F844EB" w:rsidP="00F844EB">
            <w:pPr>
              <w:tabs>
                <w:tab w:val="right" w:pos="1202"/>
              </w:tabs>
              <w:spacing w:after="0" w:line="301" w:lineRule="exact"/>
              <w:outlineLvl w:val="0"/>
              <w:rPr>
                <w:rFonts w:eastAsia="Times New Roman" w:cs="Arial"/>
                <w:bCs/>
                <w:noProof/>
                <w:color w:val="000000" w:themeColor="text1"/>
                <w:spacing w:val="-2"/>
                <w:lang w:val="en-US"/>
              </w:rPr>
            </w:pPr>
            <w:r w:rsidRPr="00537128">
              <w:rPr>
                <w:rFonts w:eastAsia="Times New Roman" w:cs="Arial"/>
                <w:bCs/>
                <w:noProof/>
                <w:color w:val="000000" w:themeColor="text1"/>
                <w:spacing w:val="-2"/>
                <w:lang w:val="en-US"/>
              </w:rPr>
              <w:t xml:space="preserve">Impairment </w:t>
            </w:r>
            <w:r>
              <w:rPr>
                <w:rFonts w:eastAsia="Times New Roman" w:cs="Arial"/>
                <w:bCs/>
                <w:noProof/>
                <w:color w:val="000000" w:themeColor="text1"/>
                <w:spacing w:val="-2"/>
                <w:lang w:val="en-US"/>
              </w:rPr>
              <w:t>gain/</w:t>
            </w:r>
            <w:r w:rsidRPr="00537128">
              <w:rPr>
                <w:rFonts w:eastAsia="Times New Roman" w:cs="Arial"/>
                <w:bCs/>
                <w:noProof/>
                <w:color w:val="000000" w:themeColor="text1"/>
                <w:spacing w:val="-2"/>
                <w:lang w:val="en-US"/>
              </w:rPr>
              <w:t xml:space="preserve">loss and provisions </w:t>
            </w:r>
          </w:p>
        </w:tc>
        <w:tc>
          <w:tcPr>
            <w:tcW w:w="755" w:type="pct"/>
            <w:vAlign w:val="bottom"/>
          </w:tcPr>
          <w:p w14:paraId="4DE22D6A" w14:textId="77777777" w:rsidR="00F844EB" w:rsidRPr="00A1123E" w:rsidDel="007C38E9" w:rsidRDefault="00F844EB" w:rsidP="00F844EB">
            <w:pPr>
              <w:tabs>
                <w:tab w:val="right" w:pos="1202"/>
              </w:tabs>
              <w:spacing w:after="0" w:line="301" w:lineRule="exact"/>
              <w:jc w:val="center"/>
              <w:outlineLvl w:val="0"/>
              <w:rPr>
                <w:rFonts w:eastAsia="Times New Roman" w:cs="Arial"/>
                <w:bCs/>
                <w:noProof/>
                <w:color w:val="000000" w:themeColor="text1"/>
                <w:spacing w:val="-2"/>
                <w:lang w:val="en-US"/>
              </w:rPr>
            </w:pPr>
            <w:r w:rsidRPr="00A1123E">
              <w:rPr>
                <w:rFonts w:eastAsia="Times New Roman" w:cs="Arial"/>
                <w:bCs/>
                <w:noProof/>
                <w:color w:val="000000" w:themeColor="text1"/>
                <w:spacing w:val="-2"/>
                <w:lang w:val="en-US"/>
              </w:rPr>
              <w:t>8</w:t>
            </w:r>
          </w:p>
        </w:tc>
        <w:tc>
          <w:tcPr>
            <w:tcW w:w="963" w:type="pct"/>
            <w:tcBorders>
              <w:top w:val="nil"/>
              <w:left w:val="nil"/>
              <w:right w:val="nil"/>
            </w:tcBorders>
            <w:shd w:val="clear" w:color="auto" w:fill="auto"/>
            <w:vAlign w:val="bottom"/>
          </w:tcPr>
          <w:p w14:paraId="78F52202" w14:textId="0380A792" w:rsidR="00F844EB" w:rsidRPr="00537128" w:rsidRDefault="00F844EB" w:rsidP="00F844EB">
            <w:pPr>
              <w:spacing w:after="0" w:line="301" w:lineRule="exact"/>
              <w:jc w:val="right"/>
              <w:outlineLvl w:val="0"/>
              <w:rPr>
                <w:rFonts w:ascii="Calibri" w:eastAsia="Times New Roman" w:hAnsi="Calibri" w:cs="Calibri"/>
                <w:noProof/>
                <w:color w:val="000000" w:themeColor="text1"/>
                <w:lang w:val="en-US"/>
              </w:rPr>
            </w:pPr>
            <w:r w:rsidRPr="006D1DA0">
              <w:rPr>
                <w:rFonts w:ascii="Calibri" w:eastAsia="Times New Roman" w:hAnsi="Calibri" w:cs="Calibri"/>
                <w:color w:val="000000" w:themeColor="text1"/>
              </w:rPr>
              <w:t>130</w:t>
            </w:r>
            <w:r w:rsidR="00405F9B">
              <w:rPr>
                <w:rFonts w:ascii="Calibri" w:eastAsia="Times New Roman" w:hAnsi="Calibri" w:cs="Calibri"/>
                <w:color w:val="000000" w:themeColor="text1"/>
              </w:rPr>
              <w:t>,</w:t>
            </w:r>
            <w:r w:rsidRPr="006D1DA0">
              <w:rPr>
                <w:rFonts w:ascii="Calibri" w:eastAsia="Times New Roman" w:hAnsi="Calibri" w:cs="Calibri"/>
                <w:color w:val="000000" w:themeColor="text1"/>
              </w:rPr>
              <w:t>350</w:t>
            </w:r>
          </w:p>
        </w:tc>
        <w:tc>
          <w:tcPr>
            <w:tcW w:w="835" w:type="pct"/>
            <w:tcBorders>
              <w:top w:val="nil"/>
              <w:left w:val="nil"/>
              <w:right w:val="nil"/>
            </w:tcBorders>
            <w:shd w:val="clear" w:color="auto" w:fill="auto"/>
            <w:vAlign w:val="bottom"/>
          </w:tcPr>
          <w:p w14:paraId="6F269325" w14:textId="15989EA4" w:rsidR="00F844EB" w:rsidRPr="00537128" w:rsidRDefault="00F844EB" w:rsidP="00F844EB">
            <w:pPr>
              <w:spacing w:after="0" w:line="301" w:lineRule="exact"/>
              <w:jc w:val="right"/>
              <w:outlineLvl w:val="0"/>
              <w:rPr>
                <w:rFonts w:ascii="Calibri" w:eastAsia="Times New Roman" w:hAnsi="Calibri" w:cs="Calibri"/>
                <w:noProof/>
                <w:color w:val="000000" w:themeColor="text1"/>
                <w:lang w:val="en-US"/>
              </w:rPr>
            </w:pPr>
            <w:r>
              <w:rPr>
                <w:rFonts w:ascii="Calibri" w:eastAsia="Times New Roman" w:hAnsi="Calibri" w:cs="Calibri"/>
                <w:color w:val="000000" w:themeColor="text1"/>
              </w:rPr>
              <w:t>9,597</w:t>
            </w:r>
          </w:p>
        </w:tc>
      </w:tr>
      <w:tr w:rsidR="00F844EB" w:rsidRPr="00537128" w14:paraId="318486DC" w14:textId="77777777" w:rsidTr="00BC5812">
        <w:trPr>
          <w:trHeight w:val="300"/>
        </w:trPr>
        <w:tc>
          <w:tcPr>
            <w:tcW w:w="2447" w:type="pct"/>
          </w:tcPr>
          <w:p w14:paraId="1D63008E" w14:textId="77777777" w:rsidR="00F844EB" w:rsidRPr="00537128" w:rsidRDefault="00F844EB" w:rsidP="00F844EB">
            <w:pPr>
              <w:tabs>
                <w:tab w:val="right" w:pos="1202"/>
              </w:tabs>
              <w:spacing w:after="0" w:line="340" w:lineRule="exact"/>
              <w:outlineLvl w:val="0"/>
              <w:rPr>
                <w:rFonts w:eastAsia="Times New Roman" w:cs="Arial"/>
                <w:b/>
                <w:bCs/>
                <w:noProof/>
                <w:color w:val="000000" w:themeColor="text1"/>
                <w:lang w:val="en-US"/>
              </w:rPr>
            </w:pPr>
            <w:bookmarkStart w:id="15" w:name="_Toc4056889"/>
            <w:r w:rsidRPr="00537128">
              <w:rPr>
                <w:rFonts w:eastAsia="Times New Roman" w:cs="Arial"/>
                <w:b/>
                <w:bCs/>
                <w:noProof/>
                <w:color w:val="000000" w:themeColor="text1"/>
                <w:lang w:val="en-US"/>
              </w:rPr>
              <w:t>Profit before income tax</w:t>
            </w:r>
            <w:bookmarkEnd w:id="15"/>
          </w:p>
        </w:tc>
        <w:tc>
          <w:tcPr>
            <w:tcW w:w="755" w:type="pct"/>
            <w:vAlign w:val="bottom"/>
          </w:tcPr>
          <w:p w14:paraId="7A19027A" w14:textId="77777777" w:rsidR="00F844EB" w:rsidRPr="00537128" w:rsidRDefault="00F844EB" w:rsidP="00F844EB">
            <w:pPr>
              <w:tabs>
                <w:tab w:val="right" w:pos="1202"/>
              </w:tabs>
              <w:spacing w:after="0" w:line="340" w:lineRule="exact"/>
              <w:jc w:val="center"/>
              <w:outlineLvl w:val="0"/>
              <w:rPr>
                <w:rFonts w:eastAsia="Times New Roman" w:cs="Arial"/>
                <w:b/>
                <w:bCs/>
                <w:noProof/>
                <w:color w:val="000000" w:themeColor="text1"/>
                <w:lang w:val="en-US"/>
              </w:rPr>
            </w:pPr>
          </w:p>
        </w:tc>
        <w:tc>
          <w:tcPr>
            <w:tcW w:w="963" w:type="pct"/>
            <w:tcBorders>
              <w:top w:val="single" w:sz="2" w:space="0" w:color="auto"/>
              <w:bottom w:val="single" w:sz="12" w:space="0" w:color="auto"/>
            </w:tcBorders>
            <w:vAlign w:val="bottom"/>
          </w:tcPr>
          <w:p w14:paraId="2C80F9AF" w14:textId="6EC2736D" w:rsidR="00F844EB" w:rsidRPr="00537128" w:rsidRDefault="00F844EB" w:rsidP="00F844EB">
            <w:pPr>
              <w:spacing w:after="0" w:line="301" w:lineRule="exact"/>
              <w:jc w:val="right"/>
              <w:outlineLvl w:val="0"/>
              <w:rPr>
                <w:rFonts w:ascii="Calibri" w:eastAsia="Times New Roman" w:hAnsi="Calibri" w:cs="Calibri"/>
                <w:b/>
                <w:noProof/>
                <w:color w:val="000000" w:themeColor="text1"/>
                <w:lang w:val="en-US"/>
              </w:rPr>
            </w:pPr>
            <w:r>
              <w:rPr>
                <w:rFonts w:ascii="Calibri" w:eastAsia="Times New Roman" w:hAnsi="Calibri" w:cs="Calibri"/>
                <w:b/>
                <w:color w:val="000000" w:themeColor="text1"/>
              </w:rPr>
              <w:t>230</w:t>
            </w:r>
            <w:r w:rsidR="00405F9B">
              <w:rPr>
                <w:rFonts w:ascii="Calibri" w:eastAsia="Times New Roman" w:hAnsi="Calibri" w:cs="Calibri"/>
                <w:b/>
                <w:color w:val="000000" w:themeColor="text1"/>
              </w:rPr>
              <w:t>,</w:t>
            </w:r>
            <w:r>
              <w:rPr>
                <w:rFonts w:ascii="Calibri" w:eastAsia="Times New Roman" w:hAnsi="Calibri" w:cs="Calibri"/>
                <w:b/>
                <w:color w:val="000000" w:themeColor="text1"/>
              </w:rPr>
              <w:t>100</w:t>
            </w:r>
          </w:p>
        </w:tc>
        <w:tc>
          <w:tcPr>
            <w:tcW w:w="835" w:type="pct"/>
            <w:tcBorders>
              <w:top w:val="single" w:sz="2" w:space="0" w:color="auto"/>
              <w:bottom w:val="single" w:sz="12" w:space="0" w:color="auto"/>
            </w:tcBorders>
            <w:vAlign w:val="bottom"/>
          </w:tcPr>
          <w:p w14:paraId="6AF76FAF" w14:textId="05FF2858" w:rsidR="00F844EB" w:rsidRPr="00537128" w:rsidRDefault="00F844EB" w:rsidP="00F844EB">
            <w:pPr>
              <w:spacing w:after="0" w:line="301" w:lineRule="exact"/>
              <w:jc w:val="right"/>
              <w:outlineLvl w:val="0"/>
              <w:rPr>
                <w:rFonts w:ascii="Calibri" w:eastAsia="Times New Roman" w:hAnsi="Calibri" w:cs="Calibri"/>
                <w:b/>
                <w:noProof/>
                <w:color w:val="000000" w:themeColor="text1"/>
                <w:lang w:val="en-US"/>
              </w:rPr>
            </w:pPr>
            <w:r>
              <w:rPr>
                <w:rFonts w:ascii="Calibri" w:eastAsia="Times New Roman" w:hAnsi="Calibri" w:cs="Calibri"/>
                <w:b/>
                <w:color w:val="000000" w:themeColor="text1"/>
              </w:rPr>
              <w:t>88,565</w:t>
            </w:r>
          </w:p>
        </w:tc>
      </w:tr>
      <w:tr w:rsidR="00405F9B" w:rsidRPr="00537128" w14:paraId="6B2AA77F" w14:textId="77777777" w:rsidTr="00BC5812">
        <w:trPr>
          <w:trHeight w:val="378"/>
        </w:trPr>
        <w:tc>
          <w:tcPr>
            <w:tcW w:w="2447" w:type="pct"/>
            <w:vAlign w:val="center"/>
          </w:tcPr>
          <w:p w14:paraId="44366A2E" w14:textId="77777777" w:rsidR="00405F9B" w:rsidRPr="00537128" w:rsidRDefault="00405F9B" w:rsidP="00405F9B">
            <w:pPr>
              <w:tabs>
                <w:tab w:val="right" w:pos="1202"/>
              </w:tabs>
              <w:spacing w:after="0" w:line="340" w:lineRule="exact"/>
              <w:outlineLvl w:val="0"/>
              <w:rPr>
                <w:rFonts w:eastAsia="Times New Roman" w:cs="Arial"/>
                <w:noProof/>
                <w:color w:val="000000" w:themeColor="text1"/>
                <w:lang w:val="en-US"/>
              </w:rPr>
            </w:pPr>
            <w:bookmarkStart w:id="16" w:name="_Toc4056892"/>
            <w:r w:rsidRPr="00537128">
              <w:rPr>
                <w:rFonts w:eastAsia="Times New Roman" w:cs="Arial"/>
                <w:noProof/>
                <w:color w:val="000000" w:themeColor="text1"/>
                <w:lang w:val="en-US"/>
              </w:rPr>
              <w:t>Income tax</w:t>
            </w:r>
            <w:bookmarkEnd w:id="16"/>
          </w:p>
        </w:tc>
        <w:tc>
          <w:tcPr>
            <w:tcW w:w="755" w:type="pct"/>
            <w:vAlign w:val="bottom"/>
          </w:tcPr>
          <w:p w14:paraId="769452C1" w14:textId="77777777" w:rsidR="00405F9B" w:rsidRPr="00537128" w:rsidRDefault="00405F9B" w:rsidP="00405F9B">
            <w:pPr>
              <w:tabs>
                <w:tab w:val="right" w:pos="1202"/>
              </w:tabs>
              <w:spacing w:after="0" w:line="340" w:lineRule="exact"/>
              <w:jc w:val="center"/>
              <w:outlineLvl w:val="0"/>
              <w:rPr>
                <w:rFonts w:eastAsia="Times New Roman" w:cs="Arial"/>
                <w:noProof/>
                <w:color w:val="000000" w:themeColor="text1"/>
                <w:highlight w:val="yellow"/>
                <w:lang w:val="en-US"/>
              </w:rPr>
            </w:pPr>
          </w:p>
        </w:tc>
        <w:tc>
          <w:tcPr>
            <w:tcW w:w="963" w:type="pct"/>
            <w:vAlign w:val="bottom"/>
          </w:tcPr>
          <w:p w14:paraId="3337B378" w14:textId="63173F97" w:rsidR="00405F9B" w:rsidRPr="00537128" w:rsidRDefault="00405F9B" w:rsidP="00405F9B">
            <w:pPr>
              <w:spacing w:after="0" w:line="301" w:lineRule="exact"/>
              <w:jc w:val="right"/>
              <w:outlineLvl w:val="0"/>
              <w:rPr>
                <w:rFonts w:ascii="Calibri" w:eastAsia="Times New Roman" w:hAnsi="Calibri" w:cs="Calibri"/>
                <w:noProof/>
                <w:color w:val="000000" w:themeColor="text1"/>
                <w:lang w:val="en-US"/>
              </w:rPr>
            </w:pPr>
            <w:r>
              <w:rPr>
                <w:rFonts w:ascii="Calibri" w:eastAsia="Times New Roman" w:hAnsi="Calibri" w:cs="Calibri"/>
                <w:color w:val="000000" w:themeColor="text1"/>
              </w:rPr>
              <w:t>-</w:t>
            </w:r>
          </w:p>
        </w:tc>
        <w:tc>
          <w:tcPr>
            <w:tcW w:w="835" w:type="pct"/>
            <w:vAlign w:val="bottom"/>
          </w:tcPr>
          <w:p w14:paraId="7AECD815" w14:textId="3611D6DF" w:rsidR="00405F9B" w:rsidRPr="00537128" w:rsidRDefault="00405F9B" w:rsidP="00405F9B">
            <w:pPr>
              <w:spacing w:after="0" w:line="301" w:lineRule="exact"/>
              <w:jc w:val="right"/>
              <w:outlineLvl w:val="0"/>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w:t>
            </w:r>
          </w:p>
        </w:tc>
      </w:tr>
      <w:tr w:rsidR="00405F9B" w:rsidRPr="00537128" w14:paraId="3A584626" w14:textId="77777777" w:rsidTr="00BC5812">
        <w:trPr>
          <w:trHeight w:val="288"/>
        </w:trPr>
        <w:tc>
          <w:tcPr>
            <w:tcW w:w="2447" w:type="pct"/>
          </w:tcPr>
          <w:p w14:paraId="5E68955E" w14:textId="77777777" w:rsidR="00405F9B" w:rsidRPr="00537128" w:rsidRDefault="00405F9B" w:rsidP="00405F9B">
            <w:pPr>
              <w:tabs>
                <w:tab w:val="right" w:pos="1202"/>
              </w:tabs>
              <w:spacing w:after="0" w:line="340" w:lineRule="exact"/>
              <w:outlineLvl w:val="0"/>
              <w:rPr>
                <w:rFonts w:eastAsia="Times New Roman" w:cs="Arial"/>
                <w:b/>
                <w:bCs/>
                <w:noProof/>
                <w:color w:val="000000" w:themeColor="text1"/>
                <w:lang w:val="en-US"/>
              </w:rPr>
            </w:pPr>
            <w:bookmarkStart w:id="17" w:name="_Toc4056896"/>
            <w:r w:rsidRPr="00537128">
              <w:rPr>
                <w:rFonts w:eastAsia="Times New Roman" w:cs="Arial"/>
                <w:b/>
                <w:bCs/>
                <w:noProof/>
                <w:color w:val="000000" w:themeColor="text1"/>
                <w:lang w:val="en-US"/>
              </w:rPr>
              <w:t xml:space="preserve">Profit for the </w:t>
            </w:r>
            <w:bookmarkEnd w:id="17"/>
            <w:r w:rsidRPr="00537128">
              <w:rPr>
                <w:rFonts w:eastAsia="Times New Roman" w:cs="Arial"/>
                <w:b/>
                <w:bCs/>
                <w:noProof/>
                <w:color w:val="000000" w:themeColor="text1"/>
                <w:lang w:val="en-US"/>
              </w:rPr>
              <w:t>period</w:t>
            </w:r>
          </w:p>
        </w:tc>
        <w:tc>
          <w:tcPr>
            <w:tcW w:w="755" w:type="pct"/>
            <w:vAlign w:val="bottom"/>
          </w:tcPr>
          <w:p w14:paraId="6D371615" w14:textId="77777777" w:rsidR="00405F9B" w:rsidRPr="00537128" w:rsidRDefault="00405F9B" w:rsidP="00405F9B">
            <w:pPr>
              <w:tabs>
                <w:tab w:val="right" w:pos="1202"/>
              </w:tabs>
              <w:spacing w:after="0" w:line="340" w:lineRule="exact"/>
              <w:jc w:val="center"/>
              <w:outlineLvl w:val="0"/>
              <w:rPr>
                <w:rFonts w:eastAsia="Times New Roman" w:cs="Arial"/>
                <w:b/>
                <w:bCs/>
                <w:noProof/>
                <w:color w:val="000000" w:themeColor="text1"/>
                <w:highlight w:val="yellow"/>
                <w:lang w:val="en-US"/>
              </w:rPr>
            </w:pPr>
          </w:p>
        </w:tc>
        <w:tc>
          <w:tcPr>
            <w:tcW w:w="963" w:type="pct"/>
            <w:tcBorders>
              <w:top w:val="single" w:sz="2" w:space="0" w:color="auto"/>
              <w:bottom w:val="single" w:sz="12" w:space="0" w:color="auto"/>
            </w:tcBorders>
            <w:vAlign w:val="bottom"/>
          </w:tcPr>
          <w:p w14:paraId="755702C9" w14:textId="21EDB742" w:rsidR="00405F9B" w:rsidRPr="00537128" w:rsidRDefault="00405F9B" w:rsidP="00405F9B">
            <w:pPr>
              <w:spacing w:after="0" w:line="301" w:lineRule="exact"/>
              <w:jc w:val="right"/>
              <w:outlineLvl w:val="0"/>
              <w:rPr>
                <w:rFonts w:ascii="Calibri" w:eastAsia="Times New Roman" w:hAnsi="Calibri" w:cs="Calibri"/>
                <w:b/>
                <w:noProof/>
                <w:color w:val="000000" w:themeColor="text1"/>
                <w:lang w:val="en-US"/>
              </w:rPr>
            </w:pPr>
            <w:r>
              <w:rPr>
                <w:rFonts w:ascii="Calibri" w:eastAsia="Times New Roman" w:hAnsi="Calibri" w:cs="Calibri"/>
                <w:b/>
                <w:color w:val="000000" w:themeColor="text1"/>
              </w:rPr>
              <w:t>230,100</w:t>
            </w:r>
          </w:p>
        </w:tc>
        <w:tc>
          <w:tcPr>
            <w:tcW w:w="835" w:type="pct"/>
            <w:tcBorders>
              <w:top w:val="single" w:sz="2" w:space="0" w:color="auto"/>
              <w:bottom w:val="single" w:sz="12" w:space="0" w:color="auto"/>
            </w:tcBorders>
            <w:vAlign w:val="bottom"/>
          </w:tcPr>
          <w:p w14:paraId="2612CD3C" w14:textId="1E1554CF" w:rsidR="00405F9B" w:rsidRPr="00537128" w:rsidRDefault="00405F9B" w:rsidP="00405F9B">
            <w:pPr>
              <w:spacing w:after="0" w:line="301" w:lineRule="exact"/>
              <w:jc w:val="right"/>
              <w:outlineLvl w:val="0"/>
              <w:rPr>
                <w:rFonts w:ascii="Calibri" w:eastAsia="Times New Roman" w:hAnsi="Calibri" w:cs="Calibri"/>
                <w:b/>
                <w:noProof/>
                <w:color w:val="000000" w:themeColor="text1"/>
                <w:lang w:val="en-US"/>
              </w:rPr>
            </w:pPr>
            <w:r>
              <w:rPr>
                <w:rFonts w:ascii="Calibri" w:eastAsia="Times New Roman" w:hAnsi="Calibri" w:cs="Calibri"/>
                <w:b/>
                <w:color w:val="000000" w:themeColor="text1"/>
              </w:rPr>
              <w:t>88,565</w:t>
            </w:r>
          </w:p>
        </w:tc>
      </w:tr>
      <w:tr w:rsidR="00405F9B" w:rsidRPr="00537128" w14:paraId="5633B901" w14:textId="77777777" w:rsidTr="00BC5812">
        <w:trPr>
          <w:trHeight w:val="59"/>
        </w:trPr>
        <w:tc>
          <w:tcPr>
            <w:tcW w:w="2447" w:type="pct"/>
            <w:vAlign w:val="bottom"/>
          </w:tcPr>
          <w:p w14:paraId="6787E0FD" w14:textId="77777777" w:rsidR="00405F9B" w:rsidRPr="00537128" w:rsidRDefault="00405F9B" w:rsidP="00405F9B">
            <w:pPr>
              <w:keepNext/>
              <w:keepLines/>
              <w:tabs>
                <w:tab w:val="decimal" w:pos="1202"/>
              </w:tabs>
              <w:spacing w:after="0" w:line="100" w:lineRule="exact"/>
              <w:rPr>
                <w:rFonts w:eastAsia="Times New Roman" w:cs="Arial"/>
                <w:b/>
                <w:noProof/>
                <w:color w:val="000000" w:themeColor="text1"/>
                <w:position w:val="4"/>
                <w:u w:val="thick"/>
                <w:lang w:val="en-US"/>
              </w:rPr>
            </w:pPr>
          </w:p>
        </w:tc>
        <w:tc>
          <w:tcPr>
            <w:tcW w:w="755" w:type="pct"/>
            <w:vAlign w:val="bottom"/>
          </w:tcPr>
          <w:p w14:paraId="62CF4B29" w14:textId="77777777" w:rsidR="00405F9B" w:rsidRPr="00537128" w:rsidRDefault="00405F9B" w:rsidP="00405F9B">
            <w:pPr>
              <w:keepNext/>
              <w:keepLines/>
              <w:tabs>
                <w:tab w:val="decimal" w:pos="1202"/>
              </w:tabs>
              <w:spacing w:after="0" w:line="100" w:lineRule="exact"/>
              <w:jc w:val="center"/>
              <w:rPr>
                <w:rFonts w:eastAsia="Times New Roman" w:cs="Arial"/>
                <w:b/>
                <w:noProof/>
                <w:color w:val="000000" w:themeColor="text1"/>
                <w:position w:val="4"/>
                <w:highlight w:val="yellow"/>
                <w:u w:val="thick"/>
                <w:lang w:val="en-US"/>
              </w:rPr>
            </w:pPr>
          </w:p>
        </w:tc>
        <w:tc>
          <w:tcPr>
            <w:tcW w:w="963" w:type="pct"/>
            <w:tcBorders>
              <w:top w:val="single" w:sz="12" w:space="0" w:color="auto"/>
            </w:tcBorders>
            <w:vAlign w:val="bottom"/>
          </w:tcPr>
          <w:p w14:paraId="45834A65" w14:textId="77777777" w:rsidR="00405F9B" w:rsidRPr="00537128" w:rsidRDefault="00405F9B" w:rsidP="00405F9B">
            <w:pPr>
              <w:spacing w:after="0" w:line="301" w:lineRule="exact"/>
              <w:jc w:val="right"/>
              <w:outlineLvl w:val="0"/>
              <w:rPr>
                <w:rFonts w:ascii="Calibri" w:eastAsia="Times New Roman" w:hAnsi="Calibri" w:cs="Calibri"/>
                <w:noProof/>
                <w:color w:val="000000" w:themeColor="text1"/>
                <w:lang w:val="en-US"/>
              </w:rPr>
            </w:pPr>
          </w:p>
        </w:tc>
        <w:tc>
          <w:tcPr>
            <w:tcW w:w="835" w:type="pct"/>
            <w:tcBorders>
              <w:top w:val="single" w:sz="12" w:space="0" w:color="auto"/>
            </w:tcBorders>
            <w:vAlign w:val="bottom"/>
          </w:tcPr>
          <w:p w14:paraId="58C9F11D" w14:textId="77777777" w:rsidR="00405F9B" w:rsidRPr="00537128" w:rsidRDefault="00405F9B" w:rsidP="00405F9B">
            <w:pPr>
              <w:spacing w:after="0" w:line="301" w:lineRule="exact"/>
              <w:jc w:val="right"/>
              <w:outlineLvl w:val="0"/>
              <w:rPr>
                <w:rFonts w:ascii="Calibri" w:eastAsia="Times New Roman" w:hAnsi="Calibri" w:cs="Calibri"/>
                <w:noProof/>
                <w:color w:val="000000" w:themeColor="text1"/>
                <w:lang w:val="en-US"/>
              </w:rPr>
            </w:pPr>
          </w:p>
        </w:tc>
      </w:tr>
      <w:tr w:rsidR="00405F9B" w:rsidRPr="00537128" w14:paraId="151A69D6" w14:textId="77777777" w:rsidTr="00BC5812">
        <w:trPr>
          <w:trHeight w:val="59"/>
        </w:trPr>
        <w:tc>
          <w:tcPr>
            <w:tcW w:w="2447" w:type="pct"/>
            <w:vAlign w:val="bottom"/>
          </w:tcPr>
          <w:p w14:paraId="194D428B" w14:textId="77777777" w:rsidR="00405F9B" w:rsidRPr="00537128" w:rsidRDefault="00405F9B" w:rsidP="00405F9B">
            <w:pPr>
              <w:keepNext/>
              <w:keepLines/>
              <w:tabs>
                <w:tab w:val="decimal" w:pos="1202"/>
              </w:tabs>
              <w:spacing w:after="0" w:line="240" w:lineRule="exact"/>
              <w:rPr>
                <w:rFonts w:eastAsia="Times New Roman" w:cs="Arial"/>
                <w:b/>
                <w:noProof/>
                <w:color w:val="000000" w:themeColor="text1"/>
                <w:position w:val="4"/>
                <w:u w:val="thick"/>
                <w:lang w:val="en-US"/>
              </w:rPr>
            </w:pPr>
          </w:p>
        </w:tc>
        <w:tc>
          <w:tcPr>
            <w:tcW w:w="755" w:type="pct"/>
            <w:vAlign w:val="bottom"/>
          </w:tcPr>
          <w:p w14:paraId="43FE868B" w14:textId="77777777" w:rsidR="00405F9B" w:rsidRPr="00537128" w:rsidRDefault="00405F9B" w:rsidP="00405F9B">
            <w:pPr>
              <w:keepNext/>
              <w:keepLines/>
              <w:tabs>
                <w:tab w:val="decimal" w:pos="1202"/>
              </w:tabs>
              <w:spacing w:after="0" w:line="240" w:lineRule="exact"/>
              <w:jc w:val="center"/>
              <w:rPr>
                <w:rFonts w:eastAsia="Times New Roman" w:cs="Arial"/>
                <w:b/>
                <w:noProof/>
                <w:color w:val="000000" w:themeColor="text1"/>
                <w:position w:val="4"/>
                <w:highlight w:val="yellow"/>
                <w:u w:val="thick"/>
                <w:lang w:val="en-US"/>
              </w:rPr>
            </w:pPr>
          </w:p>
        </w:tc>
        <w:tc>
          <w:tcPr>
            <w:tcW w:w="963" w:type="pct"/>
            <w:vAlign w:val="bottom"/>
          </w:tcPr>
          <w:p w14:paraId="167C573E" w14:textId="77777777" w:rsidR="00405F9B" w:rsidRPr="00537128" w:rsidRDefault="00405F9B" w:rsidP="00405F9B">
            <w:pPr>
              <w:spacing w:after="0" w:line="301" w:lineRule="exact"/>
              <w:jc w:val="right"/>
              <w:outlineLvl w:val="0"/>
              <w:rPr>
                <w:rFonts w:ascii="Calibri" w:eastAsia="Times New Roman" w:hAnsi="Calibri" w:cs="Calibri"/>
                <w:noProof/>
                <w:color w:val="000000" w:themeColor="text1"/>
                <w:lang w:val="en-US"/>
              </w:rPr>
            </w:pPr>
          </w:p>
        </w:tc>
        <w:tc>
          <w:tcPr>
            <w:tcW w:w="835" w:type="pct"/>
            <w:vAlign w:val="bottom"/>
          </w:tcPr>
          <w:p w14:paraId="3B2BA9B5" w14:textId="77777777" w:rsidR="00405F9B" w:rsidRPr="00537128" w:rsidRDefault="00405F9B" w:rsidP="00405F9B">
            <w:pPr>
              <w:spacing w:after="0" w:line="301" w:lineRule="exact"/>
              <w:jc w:val="right"/>
              <w:outlineLvl w:val="0"/>
              <w:rPr>
                <w:rFonts w:ascii="Calibri" w:eastAsia="Times New Roman" w:hAnsi="Calibri" w:cs="Calibri"/>
                <w:noProof/>
                <w:color w:val="000000" w:themeColor="text1"/>
                <w:lang w:val="en-US"/>
              </w:rPr>
            </w:pPr>
          </w:p>
        </w:tc>
      </w:tr>
      <w:tr w:rsidR="00405F9B" w:rsidRPr="00537128" w14:paraId="13785BB1" w14:textId="77777777" w:rsidTr="00BC5812">
        <w:trPr>
          <w:trHeight w:val="59"/>
        </w:trPr>
        <w:tc>
          <w:tcPr>
            <w:tcW w:w="2447" w:type="pct"/>
          </w:tcPr>
          <w:p w14:paraId="315AEB7E" w14:textId="77777777" w:rsidR="00405F9B" w:rsidRPr="00537128" w:rsidRDefault="00405F9B" w:rsidP="00405F9B">
            <w:pPr>
              <w:keepNext/>
              <w:keepLines/>
              <w:tabs>
                <w:tab w:val="decimal" w:pos="1202"/>
              </w:tabs>
              <w:spacing w:after="0" w:line="301" w:lineRule="exact"/>
              <w:rPr>
                <w:rFonts w:eastAsia="Times New Roman" w:cs="Arial"/>
                <w:b/>
                <w:noProof/>
                <w:color w:val="000000" w:themeColor="text1"/>
                <w:position w:val="4"/>
                <w:lang w:val="en-US"/>
              </w:rPr>
            </w:pPr>
            <w:r w:rsidRPr="00537128">
              <w:rPr>
                <w:rFonts w:eastAsia="Times New Roman" w:cs="Arial"/>
                <w:b/>
                <w:bCs/>
                <w:noProof/>
                <w:color w:val="000000" w:themeColor="text1"/>
                <w:position w:val="4"/>
                <w:lang w:val="en-US"/>
              </w:rPr>
              <w:t>Attributable to:</w:t>
            </w:r>
          </w:p>
        </w:tc>
        <w:tc>
          <w:tcPr>
            <w:tcW w:w="755" w:type="pct"/>
            <w:vAlign w:val="bottom"/>
          </w:tcPr>
          <w:p w14:paraId="080915D2" w14:textId="77777777" w:rsidR="00405F9B" w:rsidRPr="00537128" w:rsidRDefault="00405F9B" w:rsidP="00405F9B">
            <w:pPr>
              <w:keepNext/>
              <w:keepLines/>
              <w:tabs>
                <w:tab w:val="decimal" w:pos="1202"/>
              </w:tabs>
              <w:spacing w:after="0" w:line="301" w:lineRule="exact"/>
              <w:jc w:val="center"/>
              <w:rPr>
                <w:rFonts w:eastAsia="Times New Roman" w:cs="Arial"/>
                <w:b/>
                <w:noProof/>
                <w:color w:val="000000" w:themeColor="text1"/>
                <w:position w:val="4"/>
                <w:highlight w:val="yellow"/>
                <w:u w:val="thick"/>
                <w:lang w:val="en-US"/>
              </w:rPr>
            </w:pPr>
          </w:p>
        </w:tc>
        <w:tc>
          <w:tcPr>
            <w:tcW w:w="963" w:type="pct"/>
            <w:vAlign w:val="bottom"/>
          </w:tcPr>
          <w:p w14:paraId="5F96D2FB" w14:textId="77777777" w:rsidR="00405F9B" w:rsidRPr="00537128" w:rsidRDefault="00405F9B" w:rsidP="00405F9B">
            <w:pPr>
              <w:spacing w:after="0" w:line="301" w:lineRule="exact"/>
              <w:jc w:val="right"/>
              <w:outlineLvl w:val="0"/>
              <w:rPr>
                <w:rFonts w:ascii="Calibri" w:eastAsia="Times New Roman" w:hAnsi="Calibri" w:cs="Calibri"/>
                <w:noProof/>
                <w:color w:val="000000" w:themeColor="text1"/>
                <w:lang w:val="en-US"/>
              </w:rPr>
            </w:pPr>
          </w:p>
        </w:tc>
        <w:tc>
          <w:tcPr>
            <w:tcW w:w="835" w:type="pct"/>
            <w:vAlign w:val="bottom"/>
          </w:tcPr>
          <w:p w14:paraId="3828E224" w14:textId="77777777" w:rsidR="00405F9B" w:rsidRPr="00537128" w:rsidRDefault="00405F9B" w:rsidP="00405F9B">
            <w:pPr>
              <w:spacing w:after="0" w:line="301" w:lineRule="exact"/>
              <w:jc w:val="right"/>
              <w:outlineLvl w:val="0"/>
              <w:rPr>
                <w:rFonts w:ascii="Calibri" w:eastAsia="Times New Roman" w:hAnsi="Calibri" w:cs="Calibri"/>
                <w:noProof/>
                <w:color w:val="000000" w:themeColor="text1"/>
                <w:lang w:val="en-US"/>
              </w:rPr>
            </w:pPr>
          </w:p>
        </w:tc>
      </w:tr>
      <w:tr w:rsidR="00405F9B" w:rsidRPr="00537128" w14:paraId="5694861A" w14:textId="77777777" w:rsidTr="00BC5812">
        <w:trPr>
          <w:trHeight w:val="59"/>
        </w:trPr>
        <w:tc>
          <w:tcPr>
            <w:tcW w:w="2447" w:type="pct"/>
            <w:vAlign w:val="bottom"/>
          </w:tcPr>
          <w:p w14:paraId="0B625C43" w14:textId="77777777" w:rsidR="00405F9B" w:rsidRPr="00537128" w:rsidRDefault="00405F9B" w:rsidP="00405F9B">
            <w:pPr>
              <w:keepNext/>
              <w:keepLines/>
              <w:tabs>
                <w:tab w:val="decimal" w:pos="1202"/>
              </w:tabs>
              <w:spacing w:after="0" w:line="301" w:lineRule="exact"/>
              <w:rPr>
                <w:rFonts w:eastAsia="Times New Roman" w:cs="Arial"/>
                <w:b/>
                <w:noProof/>
                <w:color w:val="000000" w:themeColor="text1"/>
                <w:position w:val="4"/>
                <w:lang w:val="en-US"/>
              </w:rPr>
            </w:pPr>
            <w:r w:rsidRPr="00537128">
              <w:rPr>
                <w:rFonts w:eastAsia="Times New Roman" w:cs="Arial"/>
                <w:b/>
                <w:bCs/>
                <w:noProof/>
                <w:color w:val="000000" w:themeColor="text1"/>
                <w:position w:val="4"/>
                <w:lang w:val="en-US"/>
              </w:rPr>
              <w:t>Owner of the Bank</w:t>
            </w:r>
          </w:p>
        </w:tc>
        <w:tc>
          <w:tcPr>
            <w:tcW w:w="755" w:type="pct"/>
            <w:vAlign w:val="bottom"/>
          </w:tcPr>
          <w:p w14:paraId="577A2A57" w14:textId="77777777" w:rsidR="00405F9B" w:rsidRPr="00537128" w:rsidRDefault="00405F9B" w:rsidP="00405F9B">
            <w:pPr>
              <w:keepNext/>
              <w:keepLines/>
              <w:tabs>
                <w:tab w:val="decimal" w:pos="1202"/>
              </w:tabs>
              <w:spacing w:after="0" w:line="301" w:lineRule="exact"/>
              <w:jc w:val="center"/>
              <w:rPr>
                <w:rFonts w:eastAsia="Times New Roman" w:cs="Arial"/>
                <w:b/>
                <w:noProof/>
                <w:color w:val="000000" w:themeColor="text1"/>
                <w:position w:val="4"/>
                <w:highlight w:val="yellow"/>
                <w:u w:val="thick"/>
                <w:lang w:val="en-US"/>
              </w:rPr>
            </w:pPr>
          </w:p>
        </w:tc>
        <w:tc>
          <w:tcPr>
            <w:tcW w:w="963" w:type="pct"/>
            <w:tcBorders>
              <w:bottom w:val="single" w:sz="12" w:space="0" w:color="auto"/>
            </w:tcBorders>
            <w:vAlign w:val="bottom"/>
          </w:tcPr>
          <w:p w14:paraId="04B727B2" w14:textId="79A7DBDF" w:rsidR="00405F9B" w:rsidRPr="00537128" w:rsidRDefault="00405F9B" w:rsidP="00405F9B">
            <w:pPr>
              <w:spacing w:after="0" w:line="301" w:lineRule="exact"/>
              <w:jc w:val="right"/>
              <w:outlineLvl w:val="0"/>
              <w:rPr>
                <w:rFonts w:ascii="Calibri" w:eastAsia="Times New Roman" w:hAnsi="Calibri" w:cs="Calibri"/>
                <w:b/>
                <w:noProof/>
                <w:color w:val="000000" w:themeColor="text1"/>
                <w:lang w:val="en-US"/>
              </w:rPr>
            </w:pPr>
            <w:r>
              <w:rPr>
                <w:rFonts w:ascii="Calibri" w:eastAsia="Times New Roman" w:hAnsi="Calibri" w:cs="Calibri"/>
                <w:b/>
                <w:color w:val="000000" w:themeColor="text1"/>
              </w:rPr>
              <w:t>230,100</w:t>
            </w:r>
          </w:p>
        </w:tc>
        <w:tc>
          <w:tcPr>
            <w:tcW w:w="835" w:type="pct"/>
            <w:tcBorders>
              <w:bottom w:val="single" w:sz="12" w:space="0" w:color="auto"/>
            </w:tcBorders>
            <w:vAlign w:val="bottom"/>
          </w:tcPr>
          <w:p w14:paraId="017A9436" w14:textId="00BA2E82" w:rsidR="00405F9B" w:rsidRPr="00537128" w:rsidRDefault="00405F9B" w:rsidP="00405F9B">
            <w:pPr>
              <w:spacing w:after="0" w:line="301" w:lineRule="exact"/>
              <w:jc w:val="right"/>
              <w:outlineLvl w:val="0"/>
              <w:rPr>
                <w:rFonts w:ascii="Calibri" w:eastAsia="Times New Roman" w:hAnsi="Calibri" w:cs="Calibri"/>
                <w:b/>
                <w:noProof/>
                <w:color w:val="000000" w:themeColor="text1"/>
                <w:lang w:val="en-US"/>
              </w:rPr>
            </w:pPr>
            <w:r>
              <w:rPr>
                <w:rFonts w:ascii="Calibri" w:eastAsia="Times New Roman" w:hAnsi="Calibri" w:cs="Calibri"/>
                <w:b/>
                <w:color w:val="000000" w:themeColor="text1"/>
              </w:rPr>
              <w:t>88,565</w:t>
            </w:r>
          </w:p>
        </w:tc>
      </w:tr>
      <w:bookmarkEnd w:id="2"/>
    </w:tbl>
    <w:p w14:paraId="4D393F2C" w14:textId="77777777" w:rsidR="00467A1A" w:rsidRPr="00537128" w:rsidRDefault="00467A1A" w:rsidP="00317247">
      <w:pPr>
        <w:spacing w:after="0" w:line="240" w:lineRule="auto"/>
        <w:rPr>
          <w:noProof/>
          <w:color w:val="000000" w:themeColor="text1"/>
          <w:lang w:val="en-US"/>
        </w:rPr>
      </w:pPr>
    </w:p>
    <w:p w14:paraId="28395965" w14:textId="77777777" w:rsidR="00317247" w:rsidRPr="00537128" w:rsidRDefault="00317247" w:rsidP="001C192E">
      <w:pPr>
        <w:spacing w:after="0" w:line="240" w:lineRule="auto"/>
        <w:ind w:right="284"/>
        <w:rPr>
          <w:rFonts w:eastAsia="Times New Roman" w:cs="Arial"/>
          <w:noProof/>
          <w:color w:val="000000" w:themeColor="text1"/>
          <w:szCs w:val="32"/>
          <w:lang w:val="en-US"/>
        </w:rPr>
      </w:pPr>
    </w:p>
    <w:p w14:paraId="3B274C70" w14:textId="77777777" w:rsidR="00467A1A" w:rsidRPr="00537128" w:rsidRDefault="00467A1A" w:rsidP="00A1123E">
      <w:pPr>
        <w:spacing w:after="0" w:line="240" w:lineRule="auto"/>
        <w:rPr>
          <w:rFonts w:cs="Arial"/>
          <w:noProof/>
          <w:color w:val="000000" w:themeColor="text1"/>
          <w:lang w:val="en-US"/>
        </w:rPr>
      </w:pPr>
      <w:r w:rsidRPr="00537128">
        <w:rPr>
          <w:rFonts w:cs="Arial"/>
          <w:noProof/>
          <w:color w:val="000000" w:themeColor="text1"/>
          <w:lang w:val="en-US"/>
        </w:rPr>
        <w:t>The accompanying accounting policies and notes are an integral part of these financial statements.</w:t>
      </w:r>
    </w:p>
    <w:p w14:paraId="6DAC28DF" w14:textId="77777777" w:rsidR="00467A1A" w:rsidRPr="00537128" w:rsidRDefault="00467A1A" w:rsidP="001C192E">
      <w:pPr>
        <w:spacing w:after="0" w:line="240" w:lineRule="auto"/>
        <w:ind w:right="284"/>
        <w:rPr>
          <w:rFonts w:eastAsia="Times New Roman" w:cs="Arial"/>
          <w:noProof/>
          <w:color w:val="000000" w:themeColor="text1"/>
          <w:szCs w:val="32"/>
          <w:lang w:val="en-US"/>
        </w:rPr>
        <w:sectPr w:rsidR="00467A1A" w:rsidRPr="00537128">
          <w:headerReference w:type="default" r:id="rId17"/>
          <w:footerReference w:type="default" r:id="rId18"/>
          <w:pgSz w:w="11906" w:h="16838"/>
          <w:pgMar w:top="1417" w:right="1417" w:bottom="1417" w:left="1417" w:header="708" w:footer="708" w:gutter="0"/>
          <w:cols w:space="708"/>
          <w:docGrid w:linePitch="360"/>
        </w:sectPr>
      </w:pPr>
    </w:p>
    <w:p w14:paraId="00A8D818" w14:textId="77777777" w:rsidR="00467A1A" w:rsidRPr="00537128" w:rsidRDefault="00467A1A" w:rsidP="001C192E">
      <w:pPr>
        <w:spacing w:after="0" w:line="240" w:lineRule="auto"/>
        <w:ind w:right="284"/>
        <w:rPr>
          <w:rFonts w:eastAsia="Times New Roman" w:cs="Arial"/>
          <w:noProof/>
          <w:color w:val="000000" w:themeColor="text1"/>
          <w:szCs w:val="32"/>
          <w:lang w:val="en-US"/>
        </w:rPr>
      </w:pPr>
    </w:p>
    <w:p w14:paraId="6876C58B" w14:textId="77777777" w:rsidR="00467A1A" w:rsidRPr="00537128" w:rsidRDefault="00467A1A" w:rsidP="001C192E">
      <w:pPr>
        <w:spacing w:after="0" w:line="240" w:lineRule="auto"/>
        <w:ind w:right="284"/>
        <w:rPr>
          <w:rFonts w:eastAsia="Times New Roman" w:cs="Arial"/>
          <w:noProof/>
          <w:color w:val="000000" w:themeColor="text1"/>
          <w:szCs w:val="32"/>
          <w:lang w:val="en-US"/>
        </w:rPr>
      </w:pPr>
    </w:p>
    <w:tbl>
      <w:tblPr>
        <w:tblpPr w:leftFromText="180" w:rightFromText="180" w:vertAnchor="text" w:horzAnchor="margin" w:tblpYSpec="inside"/>
        <w:tblW w:w="5000" w:type="pct"/>
        <w:tblLayout w:type="fixed"/>
        <w:tblCellMar>
          <w:left w:w="119" w:type="dxa"/>
          <w:right w:w="119" w:type="dxa"/>
        </w:tblCellMar>
        <w:tblLook w:val="0000" w:firstRow="0" w:lastRow="0" w:firstColumn="0" w:lastColumn="0" w:noHBand="0" w:noVBand="0"/>
      </w:tblPr>
      <w:tblGrid>
        <w:gridCol w:w="6231"/>
        <w:gridCol w:w="1355"/>
        <w:gridCol w:w="1486"/>
      </w:tblGrid>
      <w:tr w:rsidR="00BC5812" w:rsidRPr="00537128" w14:paraId="10CBC097" w14:textId="77777777" w:rsidTr="00BC5812">
        <w:trPr>
          <w:trHeight w:val="369"/>
        </w:trPr>
        <w:tc>
          <w:tcPr>
            <w:tcW w:w="3434" w:type="pct"/>
            <w:vAlign w:val="bottom"/>
          </w:tcPr>
          <w:p w14:paraId="027972FD" w14:textId="77777777" w:rsidR="00BC5812" w:rsidRPr="00537128" w:rsidRDefault="00BC5812" w:rsidP="00BC5812">
            <w:pPr>
              <w:tabs>
                <w:tab w:val="right" w:pos="1202"/>
              </w:tabs>
              <w:spacing w:after="0" w:line="301" w:lineRule="exact"/>
              <w:jc w:val="center"/>
              <w:outlineLvl w:val="0"/>
              <w:rPr>
                <w:rFonts w:eastAsia="Times New Roman" w:cs="Arial"/>
                <w:b/>
                <w:bCs/>
                <w:noProof/>
                <w:color w:val="000000" w:themeColor="text1"/>
                <w:sz w:val="20"/>
                <w:szCs w:val="20"/>
                <w:lang w:val="en-US"/>
              </w:rPr>
            </w:pPr>
          </w:p>
        </w:tc>
        <w:tc>
          <w:tcPr>
            <w:tcW w:w="747" w:type="pct"/>
            <w:vAlign w:val="bottom"/>
          </w:tcPr>
          <w:p w14:paraId="083D104E" w14:textId="64E40E9A" w:rsidR="00BC5812" w:rsidRPr="00537128" w:rsidRDefault="00BC5812" w:rsidP="00BC5812">
            <w:pPr>
              <w:spacing w:after="0" w:line="301" w:lineRule="exact"/>
              <w:jc w:val="right"/>
              <w:outlineLvl w:val="0"/>
              <w:rPr>
                <w:rFonts w:eastAsia="Times New Roman" w:cs="Arial"/>
                <w:b/>
                <w:bCs/>
                <w:noProof/>
                <w:color w:val="000000" w:themeColor="text1"/>
                <w:sz w:val="20"/>
                <w:szCs w:val="20"/>
                <w:lang w:val="en-US"/>
              </w:rPr>
            </w:pPr>
            <w:r w:rsidRPr="00537128">
              <w:rPr>
                <w:rFonts w:eastAsia="Times New Roman" w:cs="Arial"/>
                <w:b/>
                <w:bCs/>
                <w:noProof/>
                <w:color w:val="000000" w:themeColor="text1"/>
                <w:sz w:val="20"/>
                <w:szCs w:val="20"/>
                <w:lang w:val="en-US"/>
              </w:rPr>
              <w:t>202</w:t>
            </w:r>
            <w:r w:rsidR="00E139F6">
              <w:rPr>
                <w:rFonts w:eastAsia="Times New Roman" w:cs="Arial"/>
                <w:b/>
                <w:bCs/>
                <w:noProof/>
                <w:color w:val="000000" w:themeColor="text1"/>
                <w:sz w:val="20"/>
                <w:szCs w:val="20"/>
                <w:lang w:val="en-US"/>
              </w:rPr>
              <w:t>2</w:t>
            </w:r>
          </w:p>
        </w:tc>
        <w:tc>
          <w:tcPr>
            <w:tcW w:w="819" w:type="pct"/>
            <w:vAlign w:val="bottom"/>
          </w:tcPr>
          <w:p w14:paraId="29A74340" w14:textId="3731BBC8" w:rsidR="00BC5812" w:rsidRPr="00537128" w:rsidRDefault="00BC5812" w:rsidP="00BC5812">
            <w:pPr>
              <w:spacing w:after="0" w:line="301" w:lineRule="exact"/>
              <w:jc w:val="right"/>
              <w:outlineLvl w:val="0"/>
              <w:rPr>
                <w:rFonts w:eastAsia="Times New Roman" w:cs="Arial"/>
                <w:b/>
                <w:bCs/>
                <w:noProof/>
                <w:color w:val="000000" w:themeColor="text1"/>
                <w:sz w:val="20"/>
                <w:szCs w:val="20"/>
                <w:lang w:val="en-US"/>
              </w:rPr>
            </w:pPr>
            <w:r w:rsidRPr="00537128">
              <w:rPr>
                <w:rFonts w:eastAsia="Times New Roman" w:cs="Arial"/>
                <w:b/>
                <w:bCs/>
                <w:noProof/>
                <w:color w:val="000000" w:themeColor="text1"/>
                <w:sz w:val="20"/>
                <w:szCs w:val="20"/>
                <w:lang w:val="en-US"/>
              </w:rPr>
              <w:t>202</w:t>
            </w:r>
            <w:r w:rsidR="00E139F6">
              <w:rPr>
                <w:rFonts w:eastAsia="Times New Roman" w:cs="Arial"/>
                <w:b/>
                <w:bCs/>
                <w:noProof/>
                <w:color w:val="000000" w:themeColor="text1"/>
                <w:sz w:val="20"/>
                <w:szCs w:val="20"/>
                <w:lang w:val="en-US"/>
              </w:rPr>
              <w:t>1</w:t>
            </w:r>
          </w:p>
        </w:tc>
      </w:tr>
      <w:tr w:rsidR="00BC5812" w:rsidRPr="00537128" w14:paraId="6356A89D" w14:textId="77777777" w:rsidTr="00BC5812">
        <w:trPr>
          <w:trHeight w:hRule="exact" w:val="320"/>
        </w:trPr>
        <w:tc>
          <w:tcPr>
            <w:tcW w:w="3434" w:type="pct"/>
            <w:vAlign w:val="bottom"/>
          </w:tcPr>
          <w:p w14:paraId="73A81CFC" w14:textId="77777777" w:rsidR="00BC5812" w:rsidRPr="00537128" w:rsidRDefault="00BC5812" w:rsidP="00BC5812">
            <w:pPr>
              <w:tabs>
                <w:tab w:val="right" w:pos="1202"/>
              </w:tabs>
              <w:spacing w:after="0" w:line="301" w:lineRule="exact"/>
              <w:jc w:val="center"/>
              <w:outlineLvl w:val="0"/>
              <w:rPr>
                <w:rFonts w:eastAsia="Times New Roman" w:cs="Arial"/>
                <w:b/>
                <w:bCs/>
                <w:noProof/>
                <w:color w:val="000000" w:themeColor="text1"/>
                <w:sz w:val="20"/>
                <w:szCs w:val="20"/>
                <w:lang w:val="en-US"/>
              </w:rPr>
            </w:pPr>
          </w:p>
        </w:tc>
        <w:tc>
          <w:tcPr>
            <w:tcW w:w="747" w:type="pct"/>
            <w:vAlign w:val="bottom"/>
          </w:tcPr>
          <w:p w14:paraId="136CD39E" w14:textId="77777777" w:rsidR="00BC5812" w:rsidRPr="00537128" w:rsidRDefault="00BC5812" w:rsidP="00BC5812">
            <w:pPr>
              <w:spacing w:after="0" w:line="301" w:lineRule="exact"/>
              <w:jc w:val="right"/>
              <w:outlineLvl w:val="0"/>
              <w:rPr>
                <w:rFonts w:eastAsia="Times New Roman" w:cs="Arial"/>
                <w:b/>
                <w:bCs/>
                <w:noProof/>
                <w:color w:val="000000" w:themeColor="text1"/>
                <w:sz w:val="20"/>
                <w:szCs w:val="20"/>
                <w:lang w:val="en-US"/>
              </w:rPr>
            </w:pPr>
            <w:r w:rsidRPr="00537128">
              <w:rPr>
                <w:rFonts w:eastAsia="Times New Roman" w:cs="Arial"/>
                <w:b/>
                <w:bCs/>
                <w:noProof/>
                <w:color w:val="000000" w:themeColor="text1"/>
                <w:sz w:val="20"/>
                <w:szCs w:val="20"/>
                <w:lang w:val="en-US"/>
              </w:rPr>
              <w:t xml:space="preserve">HRK ‘000 </w:t>
            </w:r>
          </w:p>
        </w:tc>
        <w:tc>
          <w:tcPr>
            <w:tcW w:w="819" w:type="pct"/>
            <w:vAlign w:val="bottom"/>
          </w:tcPr>
          <w:p w14:paraId="50FF0B05" w14:textId="77777777" w:rsidR="00BC5812" w:rsidRPr="00537128" w:rsidRDefault="00BC5812" w:rsidP="00BC5812">
            <w:pPr>
              <w:spacing w:after="0" w:line="301" w:lineRule="exact"/>
              <w:jc w:val="right"/>
              <w:outlineLvl w:val="0"/>
              <w:rPr>
                <w:rFonts w:eastAsia="Times New Roman" w:cs="Arial"/>
                <w:b/>
                <w:bCs/>
                <w:noProof/>
                <w:color w:val="000000" w:themeColor="text1"/>
                <w:sz w:val="20"/>
                <w:szCs w:val="20"/>
                <w:lang w:val="en-US"/>
              </w:rPr>
            </w:pPr>
            <w:r w:rsidRPr="00537128">
              <w:rPr>
                <w:rFonts w:eastAsia="Times New Roman" w:cs="Arial"/>
                <w:b/>
                <w:bCs/>
                <w:noProof/>
                <w:color w:val="000000" w:themeColor="text1"/>
                <w:sz w:val="20"/>
                <w:szCs w:val="20"/>
                <w:lang w:val="en-US"/>
              </w:rPr>
              <w:t xml:space="preserve">HRK ‘000 </w:t>
            </w:r>
          </w:p>
        </w:tc>
      </w:tr>
      <w:tr w:rsidR="00BC5812" w:rsidRPr="00537128" w14:paraId="3E45B973" w14:textId="77777777" w:rsidTr="00BC5812">
        <w:trPr>
          <w:trHeight w:hRule="exact" w:val="165"/>
        </w:trPr>
        <w:tc>
          <w:tcPr>
            <w:tcW w:w="3434" w:type="pct"/>
            <w:vAlign w:val="bottom"/>
          </w:tcPr>
          <w:p w14:paraId="0E8F7B29" w14:textId="77777777" w:rsidR="00BC5812" w:rsidRPr="00537128" w:rsidRDefault="00BC5812" w:rsidP="00BC5812">
            <w:pPr>
              <w:tabs>
                <w:tab w:val="right" w:pos="1202"/>
              </w:tabs>
              <w:spacing w:after="0" w:line="301" w:lineRule="exact"/>
              <w:jc w:val="center"/>
              <w:outlineLvl w:val="0"/>
              <w:rPr>
                <w:rFonts w:eastAsia="Times New Roman" w:cs="Arial"/>
                <w:b/>
                <w:bCs/>
                <w:noProof/>
                <w:color w:val="000000" w:themeColor="text1"/>
                <w:sz w:val="20"/>
                <w:szCs w:val="20"/>
                <w:lang w:val="en-US"/>
              </w:rPr>
            </w:pPr>
          </w:p>
        </w:tc>
        <w:tc>
          <w:tcPr>
            <w:tcW w:w="747" w:type="pct"/>
            <w:vAlign w:val="bottom"/>
          </w:tcPr>
          <w:p w14:paraId="31748B7E" w14:textId="77777777" w:rsidR="00BC5812" w:rsidRPr="00537128" w:rsidRDefault="00BC5812" w:rsidP="00BC5812">
            <w:pPr>
              <w:spacing w:after="0" w:line="301" w:lineRule="exact"/>
              <w:jc w:val="right"/>
              <w:outlineLvl w:val="0"/>
              <w:rPr>
                <w:rFonts w:eastAsia="Times New Roman" w:cs="Arial"/>
                <w:b/>
                <w:bCs/>
                <w:noProof/>
                <w:color w:val="000000" w:themeColor="text1"/>
                <w:sz w:val="20"/>
                <w:szCs w:val="20"/>
                <w:lang w:val="en-US"/>
              </w:rPr>
            </w:pPr>
          </w:p>
        </w:tc>
        <w:tc>
          <w:tcPr>
            <w:tcW w:w="819" w:type="pct"/>
            <w:vAlign w:val="bottom"/>
          </w:tcPr>
          <w:p w14:paraId="5F183212" w14:textId="77777777" w:rsidR="00BC5812" w:rsidRPr="00537128" w:rsidRDefault="00BC5812" w:rsidP="00BC5812">
            <w:pPr>
              <w:spacing w:after="0" w:line="301" w:lineRule="exact"/>
              <w:jc w:val="right"/>
              <w:outlineLvl w:val="0"/>
              <w:rPr>
                <w:rFonts w:eastAsia="Times New Roman" w:cs="Arial"/>
                <w:b/>
                <w:bCs/>
                <w:noProof/>
                <w:color w:val="000000" w:themeColor="text1"/>
                <w:sz w:val="20"/>
                <w:szCs w:val="20"/>
                <w:lang w:val="en-US"/>
              </w:rPr>
            </w:pPr>
          </w:p>
        </w:tc>
      </w:tr>
      <w:tr w:rsidR="009B4B39" w:rsidRPr="00537128" w14:paraId="2801B905" w14:textId="77777777" w:rsidTr="00BC5812">
        <w:trPr>
          <w:trHeight w:val="318"/>
        </w:trPr>
        <w:tc>
          <w:tcPr>
            <w:tcW w:w="3434" w:type="pct"/>
            <w:vAlign w:val="bottom"/>
          </w:tcPr>
          <w:p w14:paraId="13E8539C" w14:textId="77777777" w:rsidR="009B4B39" w:rsidRPr="00537128" w:rsidRDefault="009B4B39" w:rsidP="009B4B39">
            <w:pPr>
              <w:tabs>
                <w:tab w:val="right" w:pos="1202"/>
              </w:tabs>
              <w:spacing w:after="0" w:line="340" w:lineRule="exact"/>
              <w:outlineLvl w:val="0"/>
              <w:rPr>
                <w:rFonts w:eastAsia="Times New Roman" w:cs="Arial"/>
                <w:b/>
                <w:bCs/>
                <w:noProof/>
                <w:color w:val="000000" w:themeColor="text1"/>
                <w:sz w:val="20"/>
                <w:szCs w:val="20"/>
                <w:lang w:val="en-US"/>
              </w:rPr>
            </w:pPr>
            <w:bookmarkStart w:id="18" w:name="_Toc4056903"/>
            <w:r w:rsidRPr="00537128">
              <w:rPr>
                <w:rFonts w:eastAsia="Times New Roman" w:cs="Arial"/>
                <w:b/>
                <w:bCs/>
                <w:noProof/>
                <w:color w:val="000000" w:themeColor="text1"/>
                <w:sz w:val="20"/>
                <w:szCs w:val="20"/>
                <w:lang w:val="en-US"/>
              </w:rPr>
              <w:t>Profit for the period</w:t>
            </w:r>
            <w:bookmarkEnd w:id="18"/>
          </w:p>
        </w:tc>
        <w:tc>
          <w:tcPr>
            <w:tcW w:w="747" w:type="pct"/>
            <w:tcBorders>
              <w:bottom w:val="single" w:sz="12" w:space="0" w:color="auto"/>
            </w:tcBorders>
            <w:vAlign w:val="bottom"/>
          </w:tcPr>
          <w:p w14:paraId="52DC518D" w14:textId="3699659D" w:rsidR="009B4B39" w:rsidRPr="00537128" w:rsidRDefault="009B4B39" w:rsidP="009B4B39">
            <w:pPr>
              <w:tabs>
                <w:tab w:val="right" w:pos="1202"/>
              </w:tabs>
              <w:spacing w:after="0" w:line="340" w:lineRule="exact"/>
              <w:jc w:val="right"/>
              <w:outlineLvl w:val="0"/>
              <w:rPr>
                <w:rFonts w:eastAsia="Times New Roman" w:cs="Arial"/>
                <w:b/>
                <w:bCs/>
                <w:noProof/>
                <w:color w:val="000000" w:themeColor="text1"/>
                <w:sz w:val="20"/>
                <w:szCs w:val="20"/>
                <w:lang w:val="en-US"/>
              </w:rPr>
            </w:pPr>
            <w:r>
              <w:rPr>
                <w:rFonts w:eastAsia="Times New Roman" w:cs="Arial"/>
                <w:b/>
                <w:bCs/>
                <w:color w:val="000000" w:themeColor="text1"/>
                <w:sz w:val="20"/>
                <w:szCs w:val="20"/>
              </w:rPr>
              <w:t>230,100</w:t>
            </w:r>
          </w:p>
        </w:tc>
        <w:tc>
          <w:tcPr>
            <w:tcW w:w="819" w:type="pct"/>
            <w:tcBorders>
              <w:bottom w:val="single" w:sz="12" w:space="0" w:color="auto"/>
            </w:tcBorders>
            <w:vAlign w:val="bottom"/>
          </w:tcPr>
          <w:p w14:paraId="69316BCE" w14:textId="44920543" w:rsidR="009B4B39" w:rsidRPr="00537128" w:rsidRDefault="009B4B39" w:rsidP="009B4B39">
            <w:pPr>
              <w:tabs>
                <w:tab w:val="right" w:pos="1202"/>
              </w:tabs>
              <w:spacing w:after="0" w:line="340" w:lineRule="exact"/>
              <w:jc w:val="right"/>
              <w:outlineLvl w:val="0"/>
              <w:rPr>
                <w:rFonts w:eastAsia="Times New Roman" w:cs="Arial"/>
                <w:b/>
                <w:bCs/>
                <w:noProof/>
                <w:color w:val="000000" w:themeColor="text1"/>
                <w:sz w:val="20"/>
                <w:szCs w:val="20"/>
                <w:lang w:val="en-US"/>
              </w:rPr>
            </w:pPr>
            <w:r>
              <w:rPr>
                <w:rFonts w:eastAsia="Times New Roman" w:cs="Arial"/>
                <w:b/>
                <w:bCs/>
                <w:color w:val="000000" w:themeColor="text1"/>
                <w:sz w:val="20"/>
                <w:szCs w:val="20"/>
              </w:rPr>
              <w:t>88,565</w:t>
            </w:r>
          </w:p>
        </w:tc>
      </w:tr>
      <w:tr w:rsidR="009B4B39" w:rsidRPr="00537128" w14:paraId="775E1D23" w14:textId="77777777" w:rsidTr="00BC5812">
        <w:trPr>
          <w:trHeight w:hRule="exact" w:val="108"/>
        </w:trPr>
        <w:tc>
          <w:tcPr>
            <w:tcW w:w="3434" w:type="pct"/>
            <w:vAlign w:val="bottom"/>
          </w:tcPr>
          <w:p w14:paraId="6523BFF8" w14:textId="77777777" w:rsidR="009B4B39" w:rsidRPr="00537128" w:rsidRDefault="009B4B39" w:rsidP="009B4B39">
            <w:pPr>
              <w:tabs>
                <w:tab w:val="right" w:pos="1202"/>
              </w:tabs>
              <w:spacing w:after="0" w:line="140" w:lineRule="exact"/>
              <w:outlineLvl w:val="0"/>
              <w:rPr>
                <w:rFonts w:eastAsia="Times New Roman" w:cs="Arial"/>
                <w:b/>
                <w:bCs/>
                <w:noProof/>
                <w:color w:val="000000" w:themeColor="text1"/>
                <w:sz w:val="20"/>
                <w:szCs w:val="20"/>
                <w:lang w:val="en-US"/>
              </w:rPr>
            </w:pPr>
          </w:p>
        </w:tc>
        <w:tc>
          <w:tcPr>
            <w:tcW w:w="747" w:type="pct"/>
            <w:tcBorders>
              <w:top w:val="single" w:sz="12" w:space="0" w:color="auto"/>
            </w:tcBorders>
            <w:vAlign w:val="bottom"/>
          </w:tcPr>
          <w:p w14:paraId="27886E0E" w14:textId="77777777" w:rsidR="009B4B39" w:rsidRPr="00537128" w:rsidRDefault="009B4B39" w:rsidP="009B4B39">
            <w:pPr>
              <w:keepNext/>
              <w:keepLines/>
              <w:spacing w:after="0" w:line="100" w:lineRule="exact"/>
              <w:jc w:val="right"/>
              <w:rPr>
                <w:rFonts w:eastAsia="Times New Roman" w:cs="Arial"/>
                <w:b/>
                <w:noProof/>
                <w:color w:val="000000" w:themeColor="text1"/>
                <w:position w:val="4"/>
                <w:sz w:val="20"/>
                <w:szCs w:val="20"/>
                <w:u w:val="thick"/>
                <w:lang w:val="en-US"/>
              </w:rPr>
            </w:pPr>
          </w:p>
        </w:tc>
        <w:tc>
          <w:tcPr>
            <w:tcW w:w="819" w:type="pct"/>
            <w:tcBorders>
              <w:top w:val="single" w:sz="12" w:space="0" w:color="auto"/>
            </w:tcBorders>
            <w:vAlign w:val="bottom"/>
          </w:tcPr>
          <w:p w14:paraId="37F2C436" w14:textId="77777777" w:rsidR="009B4B39" w:rsidRPr="00537128" w:rsidRDefault="009B4B39" w:rsidP="009B4B39">
            <w:pPr>
              <w:keepNext/>
              <w:keepLines/>
              <w:spacing w:after="0" w:line="100" w:lineRule="exact"/>
              <w:jc w:val="right"/>
              <w:rPr>
                <w:rFonts w:eastAsia="Times New Roman" w:cs="Arial"/>
                <w:b/>
                <w:noProof/>
                <w:color w:val="000000" w:themeColor="text1"/>
                <w:position w:val="4"/>
                <w:sz w:val="20"/>
                <w:szCs w:val="20"/>
                <w:u w:val="thick"/>
                <w:lang w:val="en-US"/>
              </w:rPr>
            </w:pPr>
          </w:p>
        </w:tc>
      </w:tr>
      <w:tr w:rsidR="009B4B39" w:rsidRPr="00537128" w14:paraId="64EEDE18" w14:textId="77777777" w:rsidTr="00BC5812">
        <w:trPr>
          <w:trHeight w:val="308"/>
        </w:trPr>
        <w:tc>
          <w:tcPr>
            <w:tcW w:w="3434" w:type="pct"/>
            <w:vAlign w:val="bottom"/>
          </w:tcPr>
          <w:p w14:paraId="7090B987" w14:textId="77777777" w:rsidR="009B4B39" w:rsidRPr="00537128" w:rsidRDefault="009B4B39" w:rsidP="009B4B39">
            <w:pPr>
              <w:tabs>
                <w:tab w:val="right" w:pos="1202"/>
              </w:tabs>
              <w:spacing w:after="0" w:line="280" w:lineRule="exact"/>
              <w:outlineLvl w:val="0"/>
              <w:rPr>
                <w:rFonts w:cs="Arial"/>
                <w:b/>
                <w:bCs/>
                <w:noProof/>
                <w:color w:val="000000" w:themeColor="text1"/>
                <w:sz w:val="20"/>
                <w:szCs w:val="20"/>
                <w:lang w:val="en-US"/>
              </w:rPr>
            </w:pPr>
            <w:bookmarkStart w:id="19" w:name="_Toc4056906"/>
            <w:r w:rsidRPr="00537128">
              <w:rPr>
                <w:rFonts w:cs="Arial"/>
                <w:b/>
                <w:bCs/>
                <w:noProof/>
                <w:color w:val="000000" w:themeColor="text1"/>
                <w:sz w:val="20"/>
                <w:szCs w:val="20"/>
                <w:lang w:val="en-US"/>
              </w:rPr>
              <w:t>Other comprehensive income</w:t>
            </w:r>
            <w:bookmarkEnd w:id="19"/>
          </w:p>
        </w:tc>
        <w:tc>
          <w:tcPr>
            <w:tcW w:w="747" w:type="pct"/>
            <w:vAlign w:val="bottom"/>
          </w:tcPr>
          <w:p w14:paraId="7B2A6CF2" w14:textId="77777777" w:rsidR="009B4B39" w:rsidRPr="00537128" w:rsidRDefault="009B4B39" w:rsidP="009B4B39">
            <w:pPr>
              <w:tabs>
                <w:tab w:val="right" w:pos="1202"/>
              </w:tabs>
              <w:spacing w:after="0" w:line="340" w:lineRule="exact"/>
              <w:jc w:val="right"/>
              <w:outlineLvl w:val="0"/>
              <w:rPr>
                <w:rFonts w:eastAsia="Times New Roman" w:cs="Arial"/>
                <w:b/>
                <w:bCs/>
                <w:noProof/>
                <w:color w:val="000000" w:themeColor="text1"/>
                <w:sz w:val="20"/>
                <w:szCs w:val="20"/>
                <w:lang w:val="en-US"/>
              </w:rPr>
            </w:pPr>
          </w:p>
        </w:tc>
        <w:tc>
          <w:tcPr>
            <w:tcW w:w="819" w:type="pct"/>
            <w:vAlign w:val="bottom"/>
          </w:tcPr>
          <w:p w14:paraId="25A27853" w14:textId="77777777" w:rsidR="009B4B39" w:rsidRPr="00537128" w:rsidRDefault="009B4B39" w:rsidP="009B4B39">
            <w:pPr>
              <w:tabs>
                <w:tab w:val="right" w:pos="1202"/>
              </w:tabs>
              <w:spacing w:after="0" w:line="340" w:lineRule="exact"/>
              <w:jc w:val="right"/>
              <w:outlineLvl w:val="0"/>
              <w:rPr>
                <w:rFonts w:eastAsia="Times New Roman" w:cs="Arial"/>
                <w:b/>
                <w:bCs/>
                <w:noProof/>
                <w:color w:val="000000" w:themeColor="text1"/>
                <w:sz w:val="20"/>
                <w:szCs w:val="20"/>
                <w:lang w:val="en-US"/>
              </w:rPr>
            </w:pPr>
          </w:p>
        </w:tc>
      </w:tr>
      <w:tr w:rsidR="009B4B39" w:rsidRPr="00537128" w14:paraId="5A5C41E0" w14:textId="77777777" w:rsidTr="00BC5812">
        <w:trPr>
          <w:trHeight w:hRule="exact" w:val="102"/>
        </w:trPr>
        <w:tc>
          <w:tcPr>
            <w:tcW w:w="3434" w:type="pct"/>
            <w:vAlign w:val="bottom"/>
          </w:tcPr>
          <w:p w14:paraId="3ACB25AC" w14:textId="77777777" w:rsidR="009B4B39" w:rsidRPr="00537128" w:rsidRDefault="009B4B39" w:rsidP="009B4B39">
            <w:pPr>
              <w:tabs>
                <w:tab w:val="right" w:pos="1202"/>
              </w:tabs>
              <w:spacing w:after="0" w:line="320" w:lineRule="exact"/>
              <w:outlineLvl w:val="0"/>
              <w:rPr>
                <w:rFonts w:cs="Arial"/>
                <w:b/>
                <w:bCs/>
                <w:noProof/>
                <w:color w:val="000000" w:themeColor="text1"/>
                <w:sz w:val="20"/>
                <w:szCs w:val="20"/>
                <w:lang w:val="en-US"/>
              </w:rPr>
            </w:pPr>
          </w:p>
        </w:tc>
        <w:tc>
          <w:tcPr>
            <w:tcW w:w="747" w:type="pct"/>
            <w:vAlign w:val="bottom"/>
          </w:tcPr>
          <w:p w14:paraId="1E7100FE" w14:textId="77777777" w:rsidR="009B4B39" w:rsidRPr="00537128" w:rsidRDefault="009B4B39" w:rsidP="009B4B39">
            <w:pPr>
              <w:keepNext/>
              <w:keepLines/>
              <w:tabs>
                <w:tab w:val="left" w:pos="146"/>
              </w:tabs>
              <w:spacing w:after="0" w:line="100" w:lineRule="exact"/>
              <w:jc w:val="right"/>
              <w:rPr>
                <w:rFonts w:eastAsia="Times New Roman" w:cs="Arial"/>
                <w:b/>
                <w:noProof/>
                <w:color w:val="000000" w:themeColor="text1"/>
                <w:position w:val="4"/>
                <w:sz w:val="20"/>
                <w:szCs w:val="20"/>
                <w:u w:val="thick"/>
                <w:lang w:val="en-US"/>
              </w:rPr>
            </w:pPr>
          </w:p>
        </w:tc>
        <w:tc>
          <w:tcPr>
            <w:tcW w:w="819" w:type="pct"/>
            <w:vAlign w:val="bottom"/>
          </w:tcPr>
          <w:p w14:paraId="703FCB04" w14:textId="77777777" w:rsidR="009B4B39" w:rsidRPr="00537128" w:rsidRDefault="009B4B39" w:rsidP="009B4B39">
            <w:pPr>
              <w:keepNext/>
              <w:keepLines/>
              <w:tabs>
                <w:tab w:val="left" w:pos="146"/>
              </w:tabs>
              <w:spacing w:after="0" w:line="100" w:lineRule="exact"/>
              <w:jc w:val="right"/>
              <w:rPr>
                <w:rFonts w:eastAsia="Times New Roman" w:cs="Arial"/>
                <w:b/>
                <w:noProof/>
                <w:color w:val="000000" w:themeColor="text1"/>
                <w:position w:val="4"/>
                <w:sz w:val="20"/>
                <w:szCs w:val="20"/>
                <w:u w:val="thick"/>
                <w:lang w:val="en-US"/>
              </w:rPr>
            </w:pPr>
          </w:p>
        </w:tc>
      </w:tr>
      <w:tr w:rsidR="009B4B39" w:rsidRPr="00537128" w14:paraId="5AB0D7F5" w14:textId="77777777" w:rsidTr="00BC5812">
        <w:trPr>
          <w:trHeight w:val="324"/>
        </w:trPr>
        <w:tc>
          <w:tcPr>
            <w:tcW w:w="3434" w:type="pct"/>
            <w:vAlign w:val="bottom"/>
          </w:tcPr>
          <w:p w14:paraId="20581E18" w14:textId="77777777" w:rsidR="009B4B39" w:rsidRPr="00537128" w:rsidRDefault="009B4B39" w:rsidP="009B4B39">
            <w:pPr>
              <w:tabs>
                <w:tab w:val="right" w:pos="1202"/>
              </w:tabs>
              <w:spacing w:after="0" w:line="340" w:lineRule="exact"/>
              <w:outlineLvl w:val="0"/>
              <w:rPr>
                <w:rFonts w:eastAsia="Times New Roman" w:cs="Arial"/>
                <w:b/>
                <w:bCs/>
                <w:noProof/>
                <w:color w:val="000000" w:themeColor="text1"/>
                <w:sz w:val="20"/>
                <w:szCs w:val="20"/>
                <w:lang w:val="en-US"/>
              </w:rPr>
            </w:pPr>
            <w:bookmarkStart w:id="20" w:name="_Toc4056917"/>
            <w:r w:rsidRPr="00537128">
              <w:rPr>
                <w:rFonts w:eastAsia="Times New Roman" w:cs="Arial"/>
                <w:b/>
                <w:bCs/>
                <w:noProof/>
                <w:color w:val="000000" w:themeColor="text1"/>
                <w:sz w:val="20"/>
                <w:szCs w:val="20"/>
                <w:lang w:val="en-US"/>
              </w:rPr>
              <w:t>Items that may be reclassified subsequently to profit or loss:</w:t>
            </w:r>
            <w:bookmarkEnd w:id="20"/>
          </w:p>
        </w:tc>
        <w:tc>
          <w:tcPr>
            <w:tcW w:w="747" w:type="pct"/>
            <w:vAlign w:val="bottom"/>
          </w:tcPr>
          <w:p w14:paraId="6F8751E3" w14:textId="77777777" w:rsidR="009B4B39" w:rsidRPr="00537128" w:rsidRDefault="009B4B39" w:rsidP="009B4B39">
            <w:pPr>
              <w:tabs>
                <w:tab w:val="right" w:pos="1202"/>
              </w:tabs>
              <w:spacing w:after="0" w:line="340" w:lineRule="exact"/>
              <w:jc w:val="right"/>
              <w:outlineLvl w:val="0"/>
              <w:rPr>
                <w:rFonts w:eastAsia="Times New Roman" w:cs="Arial"/>
                <w:b/>
                <w:bCs/>
                <w:noProof/>
                <w:color w:val="000000" w:themeColor="text1"/>
                <w:sz w:val="20"/>
                <w:szCs w:val="20"/>
                <w:lang w:val="en-US"/>
              </w:rPr>
            </w:pPr>
          </w:p>
        </w:tc>
        <w:tc>
          <w:tcPr>
            <w:tcW w:w="819" w:type="pct"/>
            <w:vAlign w:val="bottom"/>
          </w:tcPr>
          <w:p w14:paraId="355D6322" w14:textId="77777777" w:rsidR="009B4B39" w:rsidRPr="00537128" w:rsidRDefault="009B4B39" w:rsidP="009B4B39">
            <w:pPr>
              <w:tabs>
                <w:tab w:val="right" w:pos="1202"/>
              </w:tabs>
              <w:spacing w:after="0" w:line="340" w:lineRule="exact"/>
              <w:jc w:val="right"/>
              <w:outlineLvl w:val="0"/>
              <w:rPr>
                <w:rFonts w:eastAsia="Times New Roman" w:cs="Arial"/>
                <w:b/>
                <w:bCs/>
                <w:noProof/>
                <w:color w:val="000000" w:themeColor="text1"/>
                <w:sz w:val="20"/>
                <w:szCs w:val="20"/>
                <w:lang w:val="en-US"/>
              </w:rPr>
            </w:pPr>
          </w:p>
        </w:tc>
      </w:tr>
      <w:tr w:rsidR="009B4B39" w:rsidRPr="00537128" w14:paraId="3AB3E7D5" w14:textId="77777777" w:rsidTr="00BC5812">
        <w:trPr>
          <w:trHeight w:hRule="exact" w:val="681"/>
        </w:trPr>
        <w:tc>
          <w:tcPr>
            <w:tcW w:w="3434" w:type="pct"/>
            <w:vAlign w:val="bottom"/>
          </w:tcPr>
          <w:p w14:paraId="4D59AC38" w14:textId="77777777" w:rsidR="009B4B39" w:rsidRPr="00537128" w:rsidRDefault="009B4B39" w:rsidP="009B4B39">
            <w:pPr>
              <w:tabs>
                <w:tab w:val="right" w:pos="1202"/>
              </w:tabs>
              <w:spacing w:after="0" w:line="340" w:lineRule="exact"/>
              <w:outlineLvl w:val="0"/>
              <w:rPr>
                <w:rFonts w:eastAsia="Times New Roman" w:cs="Arial"/>
                <w:bCs/>
                <w:noProof/>
                <w:color w:val="000000" w:themeColor="text1"/>
                <w:sz w:val="20"/>
                <w:szCs w:val="20"/>
                <w:lang w:val="en-US"/>
              </w:rPr>
            </w:pPr>
            <w:bookmarkStart w:id="21" w:name="_Toc4056918"/>
            <w:r w:rsidRPr="00537128">
              <w:rPr>
                <w:rFonts w:eastAsia="Times New Roman" w:cs="Arial"/>
                <w:bCs/>
                <w:noProof/>
                <w:color w:val="000000" w:themeColor="text1"/>
                <w:sz w:val="20"/>
                <w:szCs w:val="20"/>
                <w:lang w:val="en-US"/>
              </w:rPr>
              <w:t>Net changes in financial assets at fair value through other comprehensive income</w:t>
            </w:r>
            <w:bookmarkEnd w:id="21"/>
          </w:p>
        </w:tc>
        <w:tc>
          <w:tcPr>
            <w:tcW w:w="747" w:type="pct"/>
            <w:tcBorders>
              <w:top w:val="nil"/>
              <w:left w:val="nil"/>
              <w:bottom w:val="nil"/>
              <w:right w:val="nil"/>
            </w:tcBorders>
            <w:shd w:val="clear" w:color="auto" w:fill="auto"/>
            <w:vAlign w:val="bottom"/>
          </w:tcPr>
          <w:p w14:paraId="0430AE7F" w14:textId="5572FDE2" w:rsidR="009B4B39" w:rsidRPr="00537128" w:rsidRDefault="009B4B39" w:rsidP="009B4B39">
            <w:pPr>
              <w:tabs>
                <w:tab w:val="right" w:pos="1202"/>
              </w:tabs>
              <w:spacing w:after="0" w:line="340" w:lineRule="exact"/>
              <w:jc w:val="right"/>
              <w:outlineLvl w:val="0"/>
              <w:rPr>
                <w:rFonts w:ascii="Calibri" w:eastAsia="Times New Roman" w:hAnsi="Calibri" w:cs="Calibri"/>
                <w:noProof/>
                <w:color w:val="000000" w:themeColor="text1"/>
                <w:sz w:val="20"/>
                <w:szCs w:val="20"/>
                <w:lang w:val="en-US"/>
              </w:rPr>
            </w:pPr>
            <w:r>
              <w:rPr>
                <w:rFonts w:ascii="Calibri" w:eastAsia="Times New Roman" w:hAnsi="Calibri" w:cs="Calibri"/>
                <w:color w:val="000000" w:themeColor="text1"/>
                <w:sz w:val="20"/>
                <w:szCs w:val="20"/>
              </w:rPr>
              <w:t>(29,717)</w:t>
            </w:r>
          </w:p>
        </w:tc>
        <w:tc>
          <w:tcPr>
            <w:tcW w:w="819" w:type="pct"/>
            <w:tcBorders>
              <w:top w:val="nil"/>
              <w:left w:val="nil"/>
              <w:bottom w:val="nil"/>
              <w:right w:val="nil"/>
            </w:tcBorders>
            <w:shd w:val="clear" w:color="auto" w:fill="auto"/>
            <w:vAlign w:val="bottom"/>
          </w:tcPr>
          <w:p w14:paraId="5AA302EB" w14:textId="08AFA6FE" w:rsidR="009B4B39" w:rsidRPr="00537128" w:rsidRDefault="009B4B39" w:rsidP="009B4B39">
            <w:pPr>
              <w:tabs>
                <w:tab w:val="right" w:pos="1202"/>
              </w:tabs>
              <w:spacing w:after="0" w:line="340" w:lineRule="exact"/>
              <w:jc w:val="right"/>
              <w:outlineLvl w:val="0"/>
              <w:rPr>
                <w:rFonts w:ascii="Calibri" w:eastAsia="Times New Roman" w:hAnsi="Calibri" w:cs="Calibri"/>
                <w:noProof/>
                <w:color w:val="000000" w:themeColor="text1"/>
                <w:sz w:val="20"/>
                <w:szCs w:val="20"/>
                <w:lang w:val="en-US"/>
              </w:rPr>
            </w:pPr>
            <w:r>
              <w:rPr>
                <w:rFonts w:ascii="Calibri" w:eastAsia="Times New Roman" w:hAnsi="Calibri" w:cs="Calibri"/>
                <w:color w:val="000000" w:themeColor="text1"/>
                <w:sz w:val="20"/>
                <w:szCs w:val="20"/>
              </w:rPr>
              <w:t>(6,196)</w:t>
            </w:r>
          </w:p>
        </w:tc>
      </w:tr>
      <w:tr w:rsidR="009B4B39" w:rsidRPr="00537128" w14:paraId="59A14EBD" w14:textId="77777777" w:rsidTr="00BC5812">
        <w:trPr>
          <w:trHeight w:hRule="exact" w:val="453"/>
        </w:trPr>
        <w:tc>
          <w:tcPr>
            <w:tcW w:w="3434" w:type="pct"/>
            <w:vAlign w:val="bottom"/>
          </w:tcPr>
          <w:p w14:paraId="22D1B6E3" w14:textId="77777777" w:rsidR="009B4B39" w:rsidRPr="00537128" w:rsidRDefault="009B4B39" w:rsidP="009B4B39">
            <w:pPr>
              <w:tabs>
                <w:tab w:val="right" w:pos="1202"/>
              </w:tabs>
              <w:spacing w:after="0" w:line="340" w:lineRule="exact"/>
              <w:outlineLvl w:val="0"/>
              <w:rPr>
                <w:rFonts w:eastAsia="Times New Roman" w:cstheme="minorHAnsi"/>
                <w:bCs/>
                <w:noProof/>
                <w:color w:val="000000" w:themeColor="text1"/>
                <w:sz w:val="20"/>
                <w:szCs w:val="20"/>
                <w:lang w:val="en-US"/>
              </w:rPr>
            </w:pPr>
            <w:bookmarkStart w:id="22" w:name="_Toc4056921"/>
            <w:r w:rsidRPr="00537128">
              <w:rPr>
                <w:rFonts w:eastAsia="Times New Roman" w:cs="Arial"/>
                <w:bCs/>
                <w:noProof/>
                <w:color w:val="000000" w:themeColor="text1"/>
                <w:sz w:val="20"/>
                <w:szCs w:val="20"/>
                <w:lang w:val="en-US"/>
              </w:rPr>
              <w:t>Net foreign exchange on equity instruments</w:t>
            </w:r>
            <w:bookmarkEnd w:id="22"/>
          </w:p>
        </w:tc>
        <w:tc>
          <w:tcPr>
            <w:tcW w:w="747" w:type="pct"/>
            <w:tcBorders>
              <w:top w:val="nil"/>
              <w:left w:val="nil"/>
              <w:bottom w:val="nil"/>
              <w:right w:val="nil"/>
            </w:tcBorders>
            <w:shd w:val="clear" w:color="auto" w:fill="auto"/>
            <w:vAlign w:val="bottom"/>
          </w:tcPr>
          <w:p w14:paraId="6261FA81" w14:textId="01048C5D" w:rsidR="009B4B39" w:rsidRPr="00537128" w:rsidRDefault="009B4B39" w:rsidP="009B4B39">
            <w:pPr>
              <w:tabs>
                <w:tab w:val="right" w:pos="1202"/>
              </w:tabs>
              <w:spacing w:after="0" w:line="340" w:lineRule="exact"/>
              <w:jc w:val="right"/>
              <w:outlineLvl w:val="0"/>
              <w:rPr>
                <w:rFonts w:eastAsia="Times New Roman" w:cstheme="minorHAnsi"/>
                <w:noProof/>
                <w:color w:val="000000" w:themeColor="text1"/>
                <w:sz w:val="20"/>
                <w:szCs w:val="20"/>
                <w:lang w:val="en-US"/>
              </w:rPr>
            </w:pPr>
            <w:r>
              <w:rPr>
                <w:rFonts w:eastAsia="Times New Roman" w:cstheme="minorHAnsi"/>
                <w:color w:val="000000" w:themeColor="text1"/>
                <w:sz w:val="20"/>
                <w:szCs w:val="20"/>
              </w:rPr>
              <w:t>340</w:t>
            </w:r>
          </w:p>
        </w:tc>
        <w:tc>
          <w:tcPr>
            <w:tcW w:w="819" w:type="pct"/>
            <w:tcBorders>
              <w:top w:val="nil"/>
              <w:left w:val="nil"/>
              <w:bottom w:val="nil"/>
              <w:right w:val="nil"/>
            </w:tcBorders>
            <w:shd w:val="clear" w:color="auto" w:fill="auto"/>
            <w:vAlign w:val="bottom"/>
          </w:tcPr>
          <w:p w14:paraId="63D4111C" w14:textId="5F0F43E7" w:rsidR="009B4B39" w:rsidRPr="00537128" w:rsidRDefault="009B4B39" w:rsidP="009B4B39">
            <w:pPr>
              <w:tabs>
                <w:tab w:val="right" w:pos="1202"/>
              </w:tabs>
              <w:spacing w:after="0" w:line="340" w:lineRule="exact"/>
              <w:jc w:val="right"/>
              <w:outlineLvl w:val="0"/>
              <w:rPr>
                <w:rFonts w:eastAsia="Times New Roman" w:cstheme="minorHAnsi"/>
                <w:noProof/>
                <w:color w:val="000000" w:themeColor="text1"/>
                <w:sz w:val="20"/>
                <w:szCs w:val="20"/>
                <w:lang w:val="en-US"/>
              </w:rPr>
            </w:pPr>
            <w:r>
              <w:rPr>
                <w:rFonts w:eastAsia="Times New Roman" w:cstheme="minorHAnsi"/>
                <w:color w:val="000000" w:themeColor="text1"/>
                <w:sz w:val="20"/>
                <w:szCs w:val="20"/>
              </w:rPr>
              <w:t>116</w:t>
            </w:r>
          </w:p>
        </w:tc>
      </w:tr>
      <w:tr w:rsidR="009B4B39" w:rsidRPr="00537128" w14:paraId="16F80829" w14:textId="77777777" w:rsidTr="00BC5812">
        <w:trPr>
          <w:trHeight w:val="318"/>
        </w:trPr>
        <w:tc>
          <w:tcPr>
            <w:tcW w:w="3434" w:type="pct"/>
            <w:vAlign w:val="bottom"/>
          </w:tcPr>
          <w:p w14:paraId="1C569442" w14:textId="77777777" w:rsidR="009B4B39" w:rsidRPr="00537128" w:rsidRDefault="009B4B39" w:rsidP="009B4B39">
            <w:pPr>
              <w:tabs>
                <w:tab w:val="right" w:pos="1202"/>
              </w:tabs>
              <w:spacing w:after="0" w:line="340" w:lineRule="exact"/>
              <w:outlineLvl w:val="0"/>
              <w:rPr>
                <w:rFonts w:eastAsia="Times New Roman" w:cs="Arial"/>
                <w:bCs/>
                <w:noProof/>
                <w:color w:val="000000" w:themeColor="text1"/>
                <w:sz w:val="20"/>
                <w:szCs w:val="20"/>
                <w:lang w:val="en-US"/>
              </w:rPr>
            </w:pPr>
            <w:bookmarkStart w:id="23" w:name="_Toc4056927"/>
            <w:r w:rsidRPr="00537128">
              <w:rPr>
                <w:rFonts w:eastAsia="Times New Roman" w:cs="Arial"/>
                <w:bCs/>
                <w:noProof/>
                <w:color w:val="000000" w:themeColor="text1"/>
                <w:sz w:val="20"/>
                <w:szCs w:val="20"/>
                <w:lang w:val="en-US"/>
              </w:rPr>
              <w:t>Deferred tax – other comprehensive income</w:t>
            </w:r>
            <w:bookmarkEnd w:id="23"/>
          </w:p>
        </w:tc>
        <w:tc>
          <w:tcPr>
            <w:tcW w:w="747" w:type="pct"/>
            <w:tcBorders>
              <w:bottom w:val="single" w:sz="2" w:space="0" w:color="auto"/>
            </w:tcBorders>
            <w:vAlign w:val="bottom"/>
          </w:tcPr>
          <w:p w14:paraId="40827B86" w14:textId="26897359" w:rsidR="009B4B39" w:rsidRPr="00537128" w:rsidRDefault="009B4B39" w:rsidP="009B4B39">
            <w:pPr>
              <w:tabs>
                <w:tab w:val="right" w:pos="1202"/>
              </w:tabs>
              <w:spacing w:after="0" w:line="340" w:lineRule="exact"/>
              <w:jc w:val="right"/>
              <w:outlineLvl w:val="0"/>
              <w:rPr>
                <w:rFonts w:ascii="Calibri" w:eastAsia="Times New Roman" w:hAnsi="Calibri" w:cs="Calibri"/>
                <w:noProof/>
                <w:color w:val="000000" w:themeColor="text1"/>
                <w:sz w:val="20"/>
                <w:szCs w:val="20"/>
                <w:lang w:val="en-US"/>
              </w:rPr>
            </w:pPr>
            <w:r>
              <w:rPr>
                <w:rFonts w:ascii="Calibri" w:eastAsia="Times New Roman" w:hAnsi="Calibri" w:cs="Calibri"/>
                <w:color w:val="000000" w:themeColor="text1"/>
                <w:sz w:val="20"/>
                <w:szCs w:val="20"/>
              </w:rPr>
              <w:t>684</w:t>
            </w:r>
          </w:p>
        </w:tc>
        <w:tc>
          <w:tcPr>
            <w:tcW w:w="819" w:type="pct"/>
            <w:tcBorders>
              <w:bottom w:val="single" w:sz="2" w:space="0" w:color="auto"/>
            </w:tcBorders>
            <w:vAlign w:val="bottom"/>
          </w:tcPr>
          <w:p w14:paraId="68C98B75" w14:textId="6EBAD529" w:rsidR="009B4B39" w:rsidRPr="00537128" w:rsidRDefault="009B4B39" w:rsidP="009B4B39">
            <w:pPr>
              <w:tabs>
                <w:tab w:val="right" w:pos="1202"/>
              </w:tabs>
              <w:spacing w:after="0" w:line="340" w:lineRule="exact"/>
              <w:jc w:val="right"/>
              <w:outlineLvl w:val="0"/>
              <w:rPr>
                <w:rFonts w:ascii="Calibri" w:eastAsia="Times New Roman" w:hAnsi="Calibri" w:cs="Calibri"/>
                <w:noProof/>
                <w:color w:val="000000" w:themeColor="text1"/>
                <w:sz w:val="20"/>
                <w:szCs w:val="20"/>
                <w:lang w:val="en-US"/>
              </w:rPr>
            </w:pPr>
            <w:r>
              <w:rPr>
                <w:rFonts w:ascii="Calibri" w:eastAsia="Times New Roman" w:hAnsi="Calibri" w:cs="Calibri"/>
                <w:color w:val="000000" w:themeColor="text1"/>
                <w:sz w:val="20"/>
                <w:szCs w:val="20"/>
              </w:rPr>
              <w:t>96</w:t>
            </w:r>
          </w:p>
        </w:tc>
      </w:tr>
      <w:tr w:rsidR="009B4B39" w:rsidRPr="00537128" w14:paraId="1CD178AF" w14:textId="77777777" w:rsidTr="00BC5812">
        <w:trPr>
          <w:trHeight w:hRule="exact" w:val="310"/>
        </w:trPr>
        <w:tc>
          <w:tcPr>
            <w:tcW w:w="3434" w:type="pct"/>
            <w:vAlign w:val="bottom"/>
          </w:tcPr>
          <w:p w14:paraId="445DBBA6" w14:textId="77777777" w:rsidR="009B4B39" w:rsidRPr="00537128" w:rsidRDefault="009B4B39" w:rsidP="009B4B39">
            <w:pPr>
              <w:tabs>
                <w:tab w:val="right" w:pos="1202"/>
              </w:tabs>
              <w:spacing w:after="0" w:line="240" w:lineRule="auto"/>
              <w:outlineLvl w:val="0"/>
              <w:rPr>
                <w:rFonts w:cs="Arial"/>
                <w:bCs/>
                <w:noProof/>
                <w:color w:val="000000" w:themeColor="text1"/>
                <w:sz w:val="20"/>
                <w:szCs w:val="20"/>
                <w:lang w:val="en-US"/>
              </w:rPr>
            </w:pPr>
            <w:bookmarkStart w:id="24" w:name="_Toc4056930"/>
            <w:r w:rsidRPr="00537128">
              <w:rPr>
                <w:rFonts w:cs="Arial"/>
                <w:b/>
                <w:bCs/>
                <w:noProof/>
                <w:color w:val="000000" w:themeColor="text1"/>
                <w:sz w:val="20"/>
                <w:szCs w:val="20"/>
                <w:lang w:val="en-US"/>
              </w:rPr>
              <w:t>Total items that may be reclassified subsequently to profit or loss</w:t>
            </w:r>
            <w:bookmarkEnd w:id="24"/>
          </w:p>
        </w:tc>
        <w:tc>
          <w:tcPr>
            <w:tcW w:w="747" w:type="pct"/>
            <w:tcBorders>
              <w:top w:val="single" w:sz="2" w:space="0" w:color="auto"/>
              <w:bottom w:val="single" w:sz="4" w:space="0" w:color="auto"/>
            </w:tcBorders>
            <w:vAlign w:val="bottom"/>
          </w:tcPr>
          <w:p w14:paraId="5AF4B654" w14:textId="2C2B0F48" w:rsidR="009B4B39" w:rsidRPr="00537128" w:rsidRDefault="009B4B39" w:rsidP="009B4B39">
            <w:pPr>
              <w:tabs>
                <w:tab w:val="right" w:pos="1202"/>
              </w:tabs>
              <w:spacing w:after="0" w:line="340" w:lineRule="exact"/>
              <w:jc w:val="right"/>
              <w:outlineLvl w:val="0"/>
              <w:rPr>
                <w:rFonts w:eastAsia="Times New Roman" w:cs="Arial"/>
                <w:b/>
                <w:bCs/>
                <w:noProof/>
                <w:color w:val="000000" w:themeColor="text1"/>
                <w:sz w:val="20"/>
                <w:szCs w:val="20"/>
                <w:lang w:val="en-US"/>
              </w:rPr>
            </w:pPr>
            <w:r>
              <w:rPr>
                <w:rFonts w:eastAsia="Times New Roman" w:cs="Arial"/>
                <w:b/>
                <w:bCs/>
                <w:color w:val="000000" w:themeColor="text1"/>
                <w:sz w:val="20"/>
                <w:szCs w:val="20"/>
              </w:rPr>
              <w:t>(28,693)</w:t>
            </w:r>
          </w:p>
        </w:tc>
        <w:tc>
          <w:tcPr>
            <w:tcW w:w="819" w:type="pct"/>
            <w:tcBorders>
              <w:top w:val="single" w:sz="2" w:space="0" w:color="auto"/>
              <w:bottom w:val="single" w:sz="4" w:space="0" w:color="auto"/>
            </w:tcBorders>
            <w:vAlign w:val="bottom"/>
          </w:tcPr>
          <w:p w14:paraId="7903AB59" w14:textId="0F3C6F75" w:rsidR="009B4B39" w:rsidRPr="00537128" w:rsidRDefault="009B4B39" w:rsidP="009B4B39">
            <w:pPr>
              <w:tabs>
                <w:tab w:val="right" w:pos="1202"/>
              </w:tabs>
              <w:spacing w:after="0" w:line="340" w:lineRule="exact"/>
              <w:jc w:val="right"/>
              <w:outlineLvl w:val="0"/>
              <w:rPr>
                <w:rFonts w:eastAsia="Times New Roman" w:cs="Arial"/>
                <w:b/>
                <w:bCs/>
                <w:noProof/>
                <w:color w:val="000000" w:themeColor="text1"/>
                <w:sz w:val="20"/>
                <w:szCs w:val="20"/>
                <w:lang w:val="en-US"/>
              </w:rPr>
            </w:pPr>
            <w:r>
              <w:rPr>
                <w:rFonts w:eastAsia="Times New Roman" w:cs="Arial"/>
                <w:b/>
                <w:bCs/>
                <w:color w:val="000000" w:themeColor="text1"/>
                <w:sz w:val="20"/>
                <w:szCs w:val="20"/>
              </w:rPr>
              <w:t>(5,984)</w:t>
            </w:r>
          </w:p>
        </w:tc>
      </w:tr>
      <w:tr w:rsidR="009B4B39" w:rsidRPr="00537128" w14:paraId="54EF083F" w14:textId="77777777" w:rsidTr="00BC5812">
        <w:trPr>
          <w:trHeight w:hRule="exact" w:val="165"/>
        </w:trPr>
        <w:tc>
          <w:tcPr>
            <w:tcW w:w="3434" w:type="pct"/>
            <w:vAlign w:val="bottom"/>
          </w:tcPr>
          <w:p w14:paraId="2B0F9516" w14:textId="77777777" w:rsidR="009B4B39" w:rsidRPr="00537128" w:rsidRDefault="009B4B39" w:rsidP="009B4B39">
            <w:pPr>
              <w:tabs>
                <w:tab w:val="right" w:pos="1202"/>
              </w:tabs>
              <w:spacing w:after="0" w:line="240" w:lineRule="auto"/>
              <w:outlineLvl w:val="0"/>
              <w:rPr>
                <w:rFonts w:cs="Arial"/>
                <w:b/>
                <w:bCs/>
                <w:noProof/>
                <w:color w:val="000000" w:themeColor="text1"/>
                <w:sz w:val="20"/>
                <w:szCs w:val="20"/>
                <w:lang w:val="en-US"/>
              </w:rPr>
            </w:pPr>
          </w:p>
        </w:tc>
        <w:tc>
          <w:tcPr>
            <w:tcW w:w="747" w:type="pct"/>
            <w:tcBorders>
              <w:top w:val="single" w:sz="2" w:space="0" w:color="auto"/>
            </w:tcBorders>
            <w:vAlign w:val="bottom"/>
          </w:tcPr>
          <w:p w14:paraId="0FD739B9" w14:textId="77777777" w:rsidR="009B4B39" w:rsidRPr="00537128" w:rsidRDefault="009B4B39" w:rsidP="009B4B39">
            <w:pPr>
              <w:tabs>
                <w:tab w:val="right" w:pos="1202"/>
              </w:tabs>
              <w:spacing w:after="0" w:line="340" w:lineRule="exact"/>
              <w:jc w:val="right"/>
              <w:outlineLvl w:val="0"/>
              <w:rPr>
                <w:rFonts w:eastAsia="Times New Roman" w:cs="Arial"/>
                <w:b/>
                <w:bCs/>
                <w:noProof/>
                <w:color w:val="000000" w:themeColor="text1"/>
                <w:sz w:val="20"/>
                <w:szCs w:val="20"/>
                <w:lang w:val="en-US"/>
              </w:rPr>
            </w:pPr>
          </w:p>
        </w:tc>
        <w:tc>
          <w:tcPr>
            <w:tcW w:w="819" w:type="pct"/>
            <w:tcBorders>
              <w:top w:val="single" w:sz="2" w:space="0" w:color="auto"/>
            </w:tcBorders>
            <w:vAlign w:val="bottom"/>
          </w:tcPr>
          <w:p w14:paraId="4ECE21AF" w14:textId="77777777" w:rsidR="009B4B39" w:rsidRPr="00537128" w:rsidRDefault="009B4B39" w:rsidP="009B4B39">
            <w:pPr>
              <w:tabs>
                <w:tab w:val="right" w:pos="1202"/>
              </w:tabs>
              <w:spacing w:after="0" w:line="340" w:lineRule="exact"/>
              <w:jc w:val="right"/>
              <w:outlineLvl w:val="0"/>
              <w:rPr>
                <w:rFonts w:eastAsia="Times New Roman" w:cs="Arial"/>
                <w:b/>
                <w:bCs/>
                <w:noProof/>
                <w:color w:val="000000" w:themeColor="text1"/>
                <w:sz w:val="20"/>
                <w:szCs w:val="20"/>
                <w:lang w:val="en-US"/>
              </w:rPr>
            </w:pPr>
          </w:p>
        </w:tc>
      </w:tr>
      <w:tr w:rsidR="009B4B39" w:rsidRPr="00537128" w14:paraId="06DFA805" w14:textId="77777777" w:rsidTr="00BC5812">
        <w:trPr>
          <w:trHeight w:hRule="exact" w:val="310"/>
        </w:trPr>
        <w:tc>
          <w:tcPr>
            <w:tcW w:w="3434" w:type="pct"/>
            <w:vAlign w:val="bottom"/>
          </w:tcPr>
          <w:p w14:paraId="711C3246" w14:textId="77777777" w:rsidR="009B4B39" w:rsidRPr="00537128" w:rsidRDefault="009B4B39" w:rsidP="009B4B39">
            <w:pPr>
              <w:tabs>
                <w:tab w:val="right" w:pos="1202"/>
              </w:tabs>
              <w:spacing w:after="0" w:line="240" w:lineRule="auto"/>
              <w:outlineLvl w:val="0"/>
              <w:rPr>
                <w:rFonts w:cs="Arial"/>
                <w:b/>
                <w:bCs/>
                <w:noProof/>
                <w:color w:val="000000" w:themeColor="text1"/>
                <w:sz w:val="20"/>
                <w:szCs w:val="20"/>
                <w:lang w:val="en-US"/>
              </w:rPr>
            </w:pPr>
            <w:bookmarkStart w:id="25" w:name="_Toc4056933"/>
            <w:r w:rsidRPr="00537128">
              <w:rPr>
                <w:rFonts w:cs="Arial"/>
                <w:b/>
                <w:bCs/>
                <w:noProof/>
                <w:color w:val="000000" w:themeColor="text1"/>
                <w:sz w:val="20"/>
                <w:szCs w:val="20"/>
                <w:lang w:val="en-US"/>
              </w:rPr>
              <w:t>Other comprehensive income after income tax</w:t>
            </w:r>
            <w:bookmarkEnd w:id="25"/>
          </w:p>
        </w:tc>
        <w:tc>
          <w:tcPr>
            <w:tcW w:w="747" w:type="pct"/>
            <w:tcBorders>
              <w:bottom w:val="single" w:sz="4" w:space="0" w:color="auto"/>
            </w:tcBorders>
            <w:vAlign w:val="bottom"/>
          </w:tcPr>
          <w:p w14:paraId="61C19C04" w14:textId="1ABB0A65" w:rsidR="009B4B39" w:rsidRPr="00537128" w:rsidRDefault="009B4B39" w:rsidP="009B4B39">
            <w:pPr>
              <w:tabs>
                <w:tab w:val="right" w:pos="1202"/>
              </w:tabs>
              <w:spacing w:after="0" w:line="340" w:lineRule="exact"/>
              <w:jc w:val="right"/>
              <w:outlineLvl w:val="0"/>
              <w:rPr>
                <w:rFonts w:eastAsia="Times New Roman" w:cs="Arial"/>
                <w:b/>
                <w:bCs/>
                <w:noProof/>
                <w:color w:val="000000" w:themeColor="text1"/>
                <w:sz w:val="20"/>
                <w:szCs w:val="20"/>
                <w:lang w:val="en-US"/>
              </w:rPr>
            </w:pPr>
            <w:r>
              <w:rPr>
                <w:rFonts w:eastAsia="Times New Roman" w:cs="Arial"/>
                <w:b/>
                <w:bCs/>
                <w:color w:val="000000" w:themeColor="text1"/>
                <w:sz w:val="20"/>
                <w:szCs w:val="20"/>
              </w:rPr>
              <w:t>(28,693)</w:t>
            </w:r>
          </w:p>
        </w:tc>
        <w:tc>
          <w:tcPr>
            <w:tcW w:w="819" w:type="pct"/>
            <w:tcBorders>
              <w:bottom w:val="single" w:sz="4" w:space="0" w:color="auto"/>
            </w:tcBorders>
            <w:vAlign w:val="bottom"/>
          </w:tcPr>
          <w:p w14:paraId="5B8B3791" w14:textId="5A8EFFBD" w:rsidR="009B4B39" w:rsidRPr="00537128" w:rsidRDefault="009B4B39" w:rsidP="009B4B39">
            <w:pPr>
              <w:tabs>
                <w:tab w:val="right" w:pos="1202"/>
              </w:tabs>
              <w:spacing w:after="0" w:line="340" w:lineRule="exact"/>
              <w:jc w:val="right"/>
              <w:outlineLvl w:val="0"/>
              <w:rPr>
                <w:rFonts w:eastAsia="Times New Roman" w:cs="Arial"/>
                <w:b/>
                <w:bCs/>
                <w:noProof/>
                <w:color w:val="000000" w:themeColor="text1"/>
                <w:sz w:val="20"/>
                <w:szCs w:val="20"/>
                <w:lang w:val="en-US"/>
              </w:rPr>
            </w:pPr>
            <w:r>
              <w:rPr>
                <w:rFonts w:eastAsia="Times New Roman" w:cs="Arial"/>
                <w:b/>
                <w:bCs/>
                <w:color w:val="000000" w:themeColor="text1"/>
                <w:sz w:val="20"/>
                <w:szCs w:val="20"/>
              </w:rPr>
              <w:t>(5,984)</w:t>
            </w:r>
          </w:p>
        </w:tc>
      </w:tr>
      <w:tr w:rsidR="009B4B39" w:rsidRPr="00537128" w14:paraId="3989AF20" w14:textId="77777777" w:rsidTr="00BC5812">
        <w:trPr>
          <w:trHeight w:hRule="exact" w:val="165"/>
        </w:trPr>
        <w:tc>
          <w:tcPr>
            <w:tcW w:w="3434" w:type="pct"/>
            <w:vAlign w:val="bottom"/>
          </w:tcPr>
          <w:p w14:paraId="4D3D8256" w14:textId="77777777" w:rsidR="009B4B39" w:rsidRPr="00537128" w:rsidRDefault="009B4B39" w:rsidP="009B4B39">
            <w:pPr>
              <w:tabs>
                <w:tab w:val="right" w:pos="1202"/>
              </w:tabs>
              <w:spacing w:after="0" w:line="240" w:lineRule="auto"/>
              <w:outlineLvl w:val="0"/>
              <w:rPr>
                <w:rFonts w:cs="Arial"/>
                <w:b/>
                <w:bCs/>
                <w:noProof/>
                <w:color w:val="000000" w:themeColor="text1"/>
                <w:sz w:val="20"/>
                <w:szCs w:val="20"/>
                <w:lang w:val="en-US"/>
              </w:rPr>
            </w:pPr>
          </w:p>
        </w:tc>
        <w:tc>
          <w:tcPr>
            <w:tcW w:w="747" w:type="pct"/>
            <w:tcBorders>
              <w:top w:val="single" w:sz="4" w:space="0" w:color="auto"/>
            </w:tcBorders>
            <w:vAlign w:val="bottom"/>
          </w:tcPr>
          <w:p w14:paraId="4BBDF1C3" w14:textId="77777777" w:rsidR="009B4B39" w:rsidRPr="00537128" w:rsidRDefault="009B4B39" w:rsidP="009B4B39">
            <w:pPr>
              <w:tabs>
                <w:tab w:val="right" w:pos="1202"/>
              </w:tabs>
              <w:spacing w:after="0" w:line="340" w:lineRule="exact"/>
              <w:jc w:val="right"/>
              <w:outlineLvl w:val="0"/>
              <w:rPr>
                <w:rFonts w:eastAsia="Times New Roman" w:cs="Arial"/>
                <w:b/>
                <w:bCs/>
                <w:noProof/>
                <w:color w:val="000000" w:themeColor="text1"/>
                <w:sz w:val="20"/>
                <w:szCs w:val="20"/>
                <w:lang w:val="en-US"/>
              </w:rPr>
            </w:pPr>
          </w:p>
        </w:tc>
        <w:tc>
          <w:tcPr>
            <w:tcW w:w="819" w:type="pct"/>
            <w:tcBorders>
              <w:top w:val="single" w:sz="4" w:space="0" w:color="auto"/>
            </w:tcBorders>
            <w:vAlign w:val="bottom"/>
          </w:tcPr>
          <w:p w14:paraId="50F09B7B" w14:textId="77777777" w:rsidR="009B4B39" w:rsidRPr="00537128" w:rsidRDefault="009B4B39" w:rsidP="009B4B39">
            <w:pPr>
              <w:tabs>
                <w:tab w:val="right" w:pos="1202"/>
              </w:tabs>
              <w:spacing w:after="0" w:line="340" w:lineRule="exact"/>
              <w:jc w:val="right"/>
              <w:outlineLvl w:val="0"/>
              <w:rPr>
                <w:rFonts w:eastAsia="Times New Roman" w:cs="Arial"/>
                <w:b/>
                <w:bCs/>
                <w:noProof/>
                <w:color w:val="000000" w:themeColor="text1"/>
                <w:sz w:val="20"/>
                <w:szCs w:val="20"/>
                <w:lang w:val="en-US"/>
              </w:rPr>
            </w:pPr>
          </w:p>
        </w:tc>
      </w:tr>
      <w:tr w:rsidR="009B4B39" w:rsidRPr="00537128" w14:paraId="6148EE67" w14:textId="77777777" w:rsidTr="00BC5812">
        <w:trPr>
          <w:trHeight w:val="308"/>
        </w:trPr>
        <w:tc>
          <w:tcPr>
            <w:tcW w:w="3434" w:type="pct"/>
            <w:vAlign w:val="bottom"/>
          </w:tcPr>
          <w:p w14:paraId="7210389C" w14:textId="77777777" w:rsidR="009B4B39" w:rsidRPr="00537128" w:rsidRDefault="009B4B39" w:rsidP="009B4B39">
            <w:pPr>
              <w:tabs>
                <w:tab w:val="right" w:pos="1202"/>
              </w:tabs>
              <w:spacing w:after="0" w:line="340" w:lineRule="exact"/>
              <w:outlineLvl w:val="0"/>
              <w:rPr>
                <w:rFonts w:eastAsia="Times New Roman" w:cs="Arial"/>
                <w:b/>
                <w:bCs/>
                <w:noProof/>
                <w:color w:val="000000" w:themeColor="text1"/>
                <w:sz w:val="20"/>
                <w:szCs w:val="20"/>
                <w:lang w:val="en-US"/>
              </w:rPr>
            </w:pPr>
            <w:bookmarkStart w:id="26" w:name="_Toc4056936"/>
            <w:r w:rsidRPr="00537128">
              <w:rPr>
                <w:rFonts w:eastAsia="Times New Roman" w:cs="Arial"/>
                <w:b/>
                <w:bCs/>
                <w:noProof/>
                <w:color w:val="000000" w:themeColor="text1"/>
                <w:sz w:val="20"/>
                <w:szCs w:val="20"/>
                <w:lang w:val="en-US"/>
              </w:rPr>
              <w:t>Total comprehensive income after income tax</w:t>
            </w:r>
            <w:bookmarkEnd w:id="26"/>
          </w:p>
        </w:tc>
        <w:tc>
          <w:tcPr>
            <w:tcW w:w="747" w:type="pct"/>
            <w:tcBorders>
              <w:bottom w:val="single" w:sz="12" w:space="0" w:color="auto"/>
            </w:tcBorders>
            <w:vAlign w:val="bottom"/>
          </w:tcPr>
          <w:p w14:paraId="7358BEA4" w14:textId="1EF47E03" w:rsidR="009B4B39" w:rsidRPr="00537128" w:rsidRDefault="009B4B39" w:rsidP="009B4B39">
            <w:pPr>
              <w:tabs>
                <w:tab w:val="right" w:pos="1202"/>
              </w:tabs>
              <w:spacing w:after="0" w:line="340" w:lineRule="exact"/>
              <w:jc w:val="right"/>
              <w:outlineLvl w:val="0"/>
              <w:rPr>
                <w:rFonts w:eastAsia="Times New Roman" w:cs="Arial"/>
                <w:b/>
                <w:bCs/>
                <w:noProof/>
                <w:color w:val="000000" w:themeColor="text1"/>
                <w:sz w:val="20"/>
                <w:szCs w:val="20"/>
                <w:lang w:val="en-US"/>
              </w:rPr>
            </w:pPr>
            <w:r>
              <w:rPr>
                <w:rFonts w:eastAsia="Times New Roman" w:cs="Arial"/>
                <w:b/>
                <w:bCs/>
                <w:color w:val="000000" w:themeColor="text1"/>
                <w:sz w:val="20"/>
                <w:szCs w:val="20"/>
              </w:rPr>
              <w:t>201,407</w:t>
            </w:r>
          </w:p>
        </w:tc>
        <w:tc>
          <w:tcPr>
            <w:tcW w:w="819" w:type="pct"/>
            <w:tcBorders>
              <w:bottom w:val="single" w:sz="12" w:space="0" w:color="auto"/>
            </w:tcBorders>
            <w:vAlign w:val="bottom"/>
          </w:tcPr>
          <w:p w14:paraId="2E969117" w14:textId="040F08B3" w:rsidR="009B4B39" w:rsidRPr="00537128" w:rsidRDefault="009B4B39" w:rsidP="009B4B39">
            <w:pPr>
              <w:tabs>
                <w:tab w:val="right" w:pos="1202"/>
              </w:tabs>
              <w:spacing w:after="0" w:line="340" w:lineRule="exact"/>
              <w:jc w:val="right"/>
              <w:outlineLvl w:val="0"/>
              <w:rPr>
                <w:rFonts w:eastAsia="Times New Roman" w:cs="Arial"/>
                <w:b/>
                <w:bCs/>
                <w:noProof/>
                <w:color w:val="000000" w:themeColor="text1"/>
                <w:sz w:val="20"/>
                <w:szCs w:val="20"/>
                <w:lang w:val="en-US"/>
              </w:rPr>
            </w:pPr>
            <w:r>
              <w:rPr>
                <w:rFonts w:eastAsia="Times New Roman" w:cs="Arial"/>
                <w:b/>
                <w:bCs/>
                <w:color w:val="000000" w:themeColor="text1"/>
                <w:sz w:val="20"/>
                <w:szCs w:val="20"/>
              </w:rPr>
              <w:t>82,581</w:t>
            </w:r>
          </w:p>
        </w:tc>
      </w:tr>
      <w:tr w:rsidR="009B4B39" w:rsidRPr="00537128" w14:paraId="1DF1B963" w14:textId="77777777" w:rsidTr="00BC5812">
        <w:trPr>
          <w:trHeight w:val="275"/>
        </w:trPr>
        <w:tc>
          <w:tcPr>
            <w:tcW w:w="3434" w:type="pct"/>
            <w:vAlign w:val="bottom"/>
          </w:tcPr>
          <w:p w14:paraId="45EED775" w14:textId="77777777" w:rsidR="009B4B39" w:rsidRPr="00537128" w:rsidRDefault="009B4B39" w:rsidP="009B4B39">
            <w:pPr>
              <w:tabs>
                <w:tab w:val="right" w:pos="1202"/>
              </w:tabs>
              <w:spacing w:after="0" w:line="301" w:lineRule="exact"/>
              <w:outlineLvl w:val="0"/>
              <w:rPr>
                <w:rFonts w:eastAsia="Times New Roman" w:cs="Arial"/>
                <w:b/>
                <w:bCs/>
                <w:noProof/>
                <w:color w:val="000000" w:themeColor="text1"/>
                <w:sz w:val="20"/>
                <w:szCs w:val="20"/>
                <w:lang w:val="en-US"/>
              </w:rPr>
            </w:pPr>
            <w:bookmarkStart w:id="27" w:name="_Toc4056939"/>
            <w:r w:rsidRPr="00537128">
              <w:rPr>
                <w:rFonts w:eastAsia="Times New Roman" w:cs="Arial"/>
                <w:b/>
                <w:noProof/>
                <w:color w:val="000000" w:themeColor="text1"/>
                <w:sz w:val="20"/>
                <w:szCs w:val="20"/>
                <w:lang w:val="en-US"/>
              </w:rPr>
              <w:t>Attributable to:</w:t>
            </w:r>
            <w:bookmarkEnd w:id="27"/>
          </w:p>
        </w:tc>
        <w:tc>
          <w:tcPr>
            <w:tcW w:w="747" w:type="pct"/>
            <w:vAlign w:val="bottom"/>
          </w:tcPr>
          <w:p w14:paraId="76CC8EE0" w14:textId="77777777" w:rsidR="009B4B39" w:rsidRPr="00537128" w:rsidRDefault="009B4B39" w:rsidP="009B4B39">
            <w:pPr>
              <w:keepNext/>
              <w:keepLines/>
              <w:spacing w:after="0" w:line="301" w:lineRule="exact"/>
              <w:jc w:val="right"/>
              <w:rPr>
                <w:rFonts w:eastAsia="Times New Roman" w:cs="Arial"/>
                <w:b/>
                <w:noProof/>
                <w:color w:val="000000" w:themeColor="text1"/>
                <w:position w:val="4"/>
                <w:sz w:val="20"/>
                <w:szCs w:val="20"/>
                <w:lang w:val="en-US"/>
              </w:rPr>
            </w:pPr>
          </w:p>
        </w:tc>
        <w:tc>
          <w:tcPr>
            <w:tcW w:w="819" w:type="pct"/>
            <w:vAlign w:val="bottom"/>
          </w:tcPr>
          <w:p w14:paraId="20920C61" w14:textId="77777777" w:rsidR="009B4B39" w:rsidRPr="00537128" w:rsidRDefault="009B4B39" w:rsidP="009B4B39">
            <w:pPr>
              <w:keepNext/>
              <w:keepLines/>
              <w:spacing w:after="0" w:line="301" w:lineRule="exact"/>
              <w:jc w:val="right"/>
              <w:rPr>
                <w:rFonts w:eastAsia="Times New Roman" w:cs="Arial"/>
                <w:b/>
                <w:noProof/>
                <w:color w:val="000000" w:themeColor="text1"/>
                <w:position w:val="4"/>
                <w:sz w:val="20"/>
                <w:szCs w:val="20"/>
                <w:lang w:val="en-US"/>
              </w:rPr>
            </w:pPr>
          </w:p>
        </w:tc>
      </w:tr>
      <w:tr w:rsidR="009B4B39" w:rsidRPr="00537128" w14:paraId="2B5269FC" w14:textId="77777777" w:rsidTr="00BC5812">
        <w:trPr>
          <w:trHeight w:val="285"/>
        </w:trPr>
        <w:tc>
          <w:tcPr>
            <w:tcW w:w="3434" w:type="pct"/>
            <w:vAlign w:val="bottom"/>
          </w:tcPr>
          <w:p w14:paraId="5D61BDC4" w14:textId="77777777" w:rsidR="009B4B39" w:rsidRPr="00537128" w:rsidRDefault="009B4B39" w:rsidP="009B4B39">
            <w:pPr>
              <w:tabs>
                <w:tab w:val="right" w:pos="1202"/>
              </w:tabs>
              <w:spacing w:after="0" w:line="301" w:lineRule="exact"/>
              <w:outlineLvl w:val="0"/>
              <w:rPr>
                <w:rFonts w:eastAsia="Times New Roman" w:cs="Arial"/>
                <w:b/>
                <w:bCs/>
                <w:noProof/>
                <w:color w:val="000000" w:themeColor="text1"/>
                <w:sz w:val="20"/>
                <w:szCs w:val="20"/>
                <w:lang w:val="en-US"/>
              </w:rPr>
            </w:pPr>
            <w:bookmarkStart w:id="28" w:name="_Toc4056940"/>
            <w:r w:rsidRPr="00537128">
              <w:rPr>
                <w:rFonts w:eastAsia="Times New Roman" w:cs="Arial"/>
                <w:b/>
                <w:noProof/>
                <w:color w:val="000000" w:themeColor="text1"/>
                <w:sz w:val="20"/>
                <w:szCs w:val="20"/>
                <w:lang w:val="en-US"/>
              </w:rPr>
              <w:t>Owner of the Bank</w:t>
            </w:r>
            <w:bookmarkEnd w:id="28"/>
          </w:p>
        </w:tc>
        <w:tc>
          <w:tcPr>
            <w:tcW w:w="747" w:type="pct"/>
            <w:tcBorders>
              <w:bottom w:val="single" w:sz="12" w:space="0" w:color="auto"/>
            </w:tcBorders>
            <w:vAlign w:val="bottom"/>
          </w:tcPr>
          <w:p w14:paraId="09B9E7E4" w14:textId="34F1982F" w:rsidR="009B4B39" w:rsidRPr="00537128" w:rsidRDefault="009B4B39" w:rsidP="009B4B39">
            <w:pPr>
              <w:tabs>
                <w:tab w:val="right" w:pos="1202"/>
              </w:tabs>
              <w:spacing w:after="0" w:line="340" w:lineRule="exact"/>
              <w:jc w:val="right"/>
              <w:outlineLvl w:val="0"/>
              <w:rPr>
                <w:rFonts w:eastAsia="Times New Roman" w:cs="Arial"/>
                <w:b/>
                <w:bCs/>
                <w:noProof/>
                <w:color w:val="000000" w:themeColor="text1"/>
                <w:sz w:val="20"/>
                <w:szCs w:val="20"/>
                <w:lang w:val="en-US"/>
              </w:rPr>
            </w:pPr>
            <w:r>
              <w:rPr>
                <w:rFonts w:eastAsia="Times New Roman" w:cs="Arial"/>
                <w:b/>
                <w:bCs/>
                <w:color w:val="000000" w:themeColor="text1"/>
                <w:sz w:val="20"/>
                <w:szCs w:val="20"/>
              </w:rPr>
              <w:t>201,407</w:t>
            </w:r>
          </w:p>
        </w:tc>
        <w:tc>
          <w:tcPr>
            <w:tcW w:w="819" w:type="pct"/>
            <w:tcBorders>
              <w:bottom w:val="single" w:sz="12" w:space="0" w:color="auto"/>
            </w:tcBorders>
            <w:vAlign w:val="bottom"/>
          </w:tcPr>
          <w:p w14:paraId="3C01C795" w14:textId="18BBA987" w:rsidR="009B4B39" w:rsidRPr="00537128" w:rsidRDefault="009B4B39" w:rsidP="009B4B39">
            <w:pPr>
              <w:tabs>
                <w:tab w:val="right" w:pos="1202"/>
              </w:tabs>
              <w:spacing w:after="0" w:line="340" w:lineRule="exact"/>
              <w:jc w:val="right"/>
              <w:outlineLvl w:val="0"/>
              <w:rPr>
                <w:rFonts w:eastAsia="Times New Roman" w:cs="Arial"/>
                <w:b/>
                <w:bCs/>
                <w:noProof/>
                <w:color w:val="000000" w:themeColor="text1"/>
                <w:sz w:val="20"/>
                <w:szCs w:val="20"/>
                <w:lang w:val="en-US"/>
              </w:rPr>
            </w:pPr>
            <w:r>
              <w:rPr>
                <w:rFonts w:eastAsia="Times New Roman" w:cs="Arial"/>
                <w:b/>
                <w:bCs/>
                <w:color w:val="000000" w:themeColor="text1"/>
                <w:sz w:val="20"/>
                <w:szCs w:val="20"/>
              </w:rPr>
              <w:t>82,581</w:t>
            </w:r>
          </w:p>
        </w:tc>
      </w:tr>
    </w:tbl>
    <w:p w14:paraId="25D6BCA0" w14:textId="77777777" w:rsidR="00467A1A" w:rsidRPr="00537128" w:rsidRDefault="00467A1A" w:rsidP="001C192E">
      <w:pPr>
        <w:spacing w:after="0" w:line="240" w:lineRule="auto"/>
        <w:ind w:right="284"/>
        <w:rPr>
          <w:rFonts w:eastAsia="Times New Roman" w:cs="Arial"/>
          <w:noProof/>
          <w:color w:val="000000" w:themeColor="text1"/>
          <w:szCs w:val="32"/>
          <w:lang w:val="en-US"/>
        </w:rPr>
      </w:pPr>
    </w:p>
    <w:p w14:paraId="3A0F06B7" w14:textId="77777777" w:rsidR="001A7A19" w:rsidRPr="00537128" w:rsidRDefault="001A7A19" w:rsidP="001C192E">
      <w:pPr>
        <w:spacing w:after="0" w:line="240" w:lineRule="auto"/>
        <w:ind w:right="284"/>
        <w:rPr>
          <w:rFonts w:eastAsia="Times New Roman" w:cs="Arial"/>
          <w:noProof/>
          <w:color w:val="000000" w:themeColor="text1"/>
          <w:szCs w:val="32"/>
          <w:lang w:val="en-US"/>
        </w:rPr>
      </w:pPr>
    </w:p>
    <w:p w14:paraId="6D8163FC" w14:textId="7447DDD0" w:rsidR="00467A1A" w:rsidRPr="008023F6" w:rsidRDefault="00467A1A" w:rsidP="00467A1A">
      <w:pPr>
        <w:spacing w:after="0" w:line="240" w:lineRule="auto"/>
        <w:rPr>
          <w:rFonts w:cs="Arial"/>
          <w:noProof/>
          <w:color w:val="000000" w:themeColor="text1"/>
          <w:lang w:val="en-US"/>
        </w:rPr>
      </w:pPr>
      <w:r w:rsidRPr="00A1123E">
        <w:rPr>
          <w:rFonts w:cs="Arial"/>
          <w:noProof/>
          <w:color w:val="000000" w:themeColor="text1"/>
          <w:lang w:val="en-US"/>
        </w:rPr>
        <w:t>The accompanying accounting policies and notes are an integral part of these financial statements</w:t>
      </w:r>
      <w:r w:rsidR="00CD76DD">
        <w:rPr>
          <w:rFonts w:cs="Arial"/>
          <w:noProof/>
          <w:color w:val="000000" w:themeColor="text1"/>
          <w:lang w:val="en-US"/>
        </w:rPr>
        <w:t>.</w:t>
      </w:r>
    </w:p>
    <w:p w14:paraId="17E59BA8" w14:textId="77777777" w:rsidR="00467A1A" w:rsidRPr="00537128" w:rsidRDefault="00467A1A" w:rsidP="001C192E">
      <w:pPr>
        <w:spacing w:after="0" w:line="240" w:lineRule="auto"/>
        <w:ind w:right="284"/>
        <w:rPr>
          <w:rFonts w:eastAsia="Times New Roman" w:cs="Arial"/>
          <w:noProof/>
          <w:color w:val="000000" w:themeColor="text1"/>
          <w:szCs w:val="32"/>
          <w:lang w:val="en-US"/>
        </w:rPr>
      </w:pPr>
    </w:p>
    <w:p w14:paraId="5E913F17" w14:textId="77777777" w:rsidR="00467A1A" w:rsidRPr="00537128" w:rsidRDefault="00467A1A" w:rsidP="001C192E">
      <w:pPr>
        <w:spacing w:after="0" w:line="240" w:lineRule="auto"/>
        <w:ind w:right="284"/>
        <w:rPr>
          <w:rFonts w:eastAsia="Times New Roman" w:cs="Arial"/>
          <w:noProof/>
          <w:color w:val="000000" w:themeColor="text1"/>
          <w:szCs w:val="32"/>
          <w:lang w:val="en-US"/>
        </w:rPr>
      </w:pPr>
    </w:p>
    <w:p w14:paraId="052E4501" w14:textId="77777777" w:rsidR="00467A1A" w:rsidRPr="00537128" w:rsidRDefault="00467A1A" w:rsidP="001C192E">
      <w:pPr>
        <w:spacing w:after="0" w:line="240" w:lineRule="auto"/>
        <w:ind w:right="284"/>
        <w:rPr>
          <w:rFonts w:eastAsia="Times New Roman" w:cs="Arial"/>
          <w:noProof/>
          <w:color w:val="000000" w:themeColor="text1"/>
          <w:szCs w:val="32"/>
          <w:lang w:val="en-US"/>
        </w:rPr>
        <w:sectPr w:rsidR="00467A1A" w:rsidRPr="00537128">
          <w:headerReference w:type="default" r:id="rId19"/>
          <w:pgSz w:w="11906" w:h="16838"/>
          <w:pgMar w:top="1417" w:right="1417" w:bottom="1417" w:left="1417" w:header="708" w:footer="708" w:gutter="0"/>
          <w:cols w:space="708"/>
          <w:docGrid w:linePitch="360"/>
        </w:sectPr>
      </w:pPr>
    </w:p>
    <w:p w14:paraId="5B19DD33" w14:textId="77777777" w:rsidR="00467A1A" w:rsidRPr="00537128" w:rsidRDefault="00467A1A" w:rsidP="001C192E">
      <w:pPr>
        <w:spacing w:after="0" w:line="240" w:lineRule="auto"/>
        <w:ind w:right="284"/>
        <w:rPr>
          <w:rFonts w:eastAsia="Times New Roman" w:cs="Arial"/>
          <w:noProof/>
          <w:color w:val="000000" w:themeColor="text1"/>
          <w:szCs w:val="32"/>
          <w:lang w:val="en-US"/>
        </w:rPr>
      </w:pPr>
    </w:p>
    <w:p w14:paraId="0A47E351" w14:textId="77777777" w:rsidR="00515321" w:rsidRPr="00537128" w:rsidRDefault="00515321" w:rsidP="001C192E">
      <w:pPr>
        <w:spacing w:after="0" w:line="240" w:lineRule="auto"/>
        <w:ind w:right="284"/>
        <w:rPr>
          <w:rFonts w:eastAsia="Times New Roman" w:cs="Arial"/>
          <w:noProof/>
          <w:color w:val="000000" w:themeColor="text1"/>
          <w:szCs w:val="32"/>
          <w:lang w:val="en-US"/>
        </w:rPr>
      </w:pPr>
    </w:p>
    <w:tbl>
      <w:tblPr>
        <w:tblpPr w:leftFromText="181" w:rightFromText="181" w:vertAnchor="text" w:horzAnchor="margin" w:tblpXSpec="center" w:tblpY="158"/>
        <w:tblW w:w="5057" w:type="pct"/>
        <w:tblLayout w:type="fixed"/>
        <w:tblLook w:val="0000" w:firstRow="0" w:lastRow="0" w:firstColumn="0" w:lastColumn="0" w:noHBand="0" w:noVBand="0"/>
      </w:tblPr>
      <w:tblGrid>
        <w:gridCol w:w="5399"/>
        <w:gridCol w:w="851"/>
        <w:gridCol w:w="1323"/>
        <w:gridCol w:w="284"/>
        <w:gridCol w:w="1318"/>
      </w:tblGrid>
      <w:tr w:rsidR="00BC5812" w:rsidRPr="00537128" w14:paraId="2A386D76" w14:textId="77777777" w:rsidTr="000C292B">
        <w:trPr>
          <w:trHeight w:hRule="exact" w:val="568"/>
        </w:trPr>
        <w:tc>
          <w:tcPr>
            <w:tcW w:w="2942" w:type="pct"/>
            <w:vAlign w:val="bottom"/>
          </w:tcPr>
          <w:p w14:paraId="4CD64491" w14:textId="77777777" w:rsidR="00BC5812" w:rsidRPr="00537128" w:rsidRDefault="00BC5812" w:rsidP="00BC5812">
            <w:pPr>
              <w:rPr>
                <w:rFonts w:eastAsia="Calibri" w:cstheme="minorHAnsi"/>
                <w:lang w:val="en-US"/>
              </w:rPr>
            </w:pPr>
          </w:p>
          <w:p w14:paraId="53113C4D" w14:textId="77777777" w:rsidR="00BC5812" w:rsidRPr="00537128" w:rsidRDefault="00BC5812" w:rsidP="00BC5812">
            <w:pPr>
              <w:rPr>
                <w:rFonts w:eastAsia="Calibri" w:cstheme="minorHAnsi"/>
                <w:lang w:val="en-US"/>
              </w:rPr>
            </w:pPr>
          </w:p>
        </w:tc>
        <w:tc>
          <w:tcPr>
            <w:tcW w:w="464" w:type="pct"/>
          </w:tcPr>
          <w:p w14:paraId="574336B4" w14:textId="77777777" w:rsidR="00BC5812" w:rsidRPr="00537128" w:rsidRDefault="00BC5812" w:rsidP="00BC5812">
            <w:pPr>
              <w:jc w:val="right"/>
              <w:rPr>
                <w:rFonts w:eastAsia="Calibri" w:cstheme="minorHAnsi"/>
                <w:b/>
                <w:lang w:val="en-US"/>
              </w:rPr>
            </w:pPr>
          </w:p>
        </w:tc>
        <w:tc>
          <w:tcPr>
            <w:tcW w:w="721" w:type="pct"/>
            <w:vAlign w:val="bottom"/>
          </w:tcPr>
          <w:p w14:paraId="48968456" w14:textId="582095C5" w:rsidR="00BC5812" w:rsidRPr="00537128" w:rsidRDefault="00BC5812" w:rsidP="00BC5812">
            <w:pPr>
              <w:jc w:val="right"/>
              <w:rPr>
                <w:rFonts w:eastAsia="Calibri" w:cstheme="minorHAnsi"/>
                <w:b/>
                <w:lang w:val="en-US"/>
              </w:rPr>
            </w:pPr>
            <w:r w:rsidRPr="00537128">
              <w:rPr>
                <w:rFonts w:eastAsia="Calibri" w:cstheme="minorHAnsi"/>
                <w:b/>
                <w:lang w:val="en-US"/>
              </w:rPr>
              <w:t>Mar 31, 202</w:t>
            </w:r>
            <w:r w:rsidR="00E139F6">
              <w:rPr>
                <w:rFonts w:eastAsia="Calibri" w:cstheme="minorHAnsi"/>
                <w:b/>
                <w:lang w:val="en-US"/>
              </w:rPr>
              <w:t>2</w:t>
            </w:r>
          </w:p>
        </w:tc>
        <w:tc>
          <w:tcPr>
            <w:tcW w:w="155" w:type="pct"/>
            <w:vAlign w:val="bottom"/>
          </w:tcPr>
          <w:p w14:paraId="515FB520" w14:textId="77777777" w:rsidR="00BC5812" w:rsidRPr="00537128" w:rsidRDefault="00BC5812" w:rsidP="00BC5812">
            <w:pPr>
              <w:jc w:val="right"/>
              <w:rPr>
                <w:rFonts w:eastAsia="Calibri" w:cstheme="minorHAnsi"/>
                <w:b/>
                <w:lang w:val="en-US"/>
              </w:rPr>
            </w:pPr>
          </w:p>
        </w:tc>
        <w:tc>
          <w:tcPr>
            <w:tcW w:w="718" w:type="pct"/>
            <w:vAlign w:val="bottom"/>
          </w:tcPr>
          <w:p w14:paraId="5FB47D51" w14:textId="0758BFD2" w:rsidR="00BC5812" w:rsidRPr="00537128" w:rsidRDefault="00BC5812" w:rsidP="00BC5812">
            <w:pPr>
              <w:jc w:val="right"/>
              <w:rPr>
                <w:rFonts w:eastAsia="Calibri" w:cstheme="minorHAnsi"/>
                <w:b/>
                <w:lang w:val="en-US"/>
              </w:rPr>
            </w:pPr>
            <w:r w:rsidRPr="00537128">
              <w:rPr>
                <w:rFonts w:eastAsia="Calibri" w:cstheme="minorHAnsi"/>
                <w:b/>
                <w:lang w:val="en-US"/>
              </w:rPr>
              <w:t>Dec 31, 202</w:t>
            </w:r>
            <w:r w:rsidR="00832087">
              <w:rPr>
                <w:rFonts w:eastAsia="Calibri" w:cstheme="minorHAnsi"/>
                <w:b/>
                <w:lang w:val="en-US"/>
              </w:rPr>
              <w:t>1</w:t>
            </w:r>
          </w:p>
        </w:tc>
      </w:tr>
      <w:tr w:rsidR="00BC5812" w:rsidRPr="00537128" w14:paraId="178B3396" w14:textId="77777777" w:rsidTr="000C292B">
        <w:trPr>
          <w:trHeight w:hRule="exact" w:val="284"/>
        </w:trPr>
        <w:tc>
          <w:tcPr>
            <w:tcW w:w="2942" w:type="pct"/>
            <w:vAlign w:val="bottom"/>
          </w:tcPr>
          <w:p w14:paraId="51CC03F5" w14:textId="77777777" w:rsidR="00BC5812" w:rsidRPr="00537128" w:rsidRDefault="00BC5812" w:rsidP="00BC5812">
            <w:pPr>
              <w:rPr>
                <w:rFonts w:eastAsia="Calibri" w:cstheme="minorHAnsi"/>
                <w:lang w:val="en-US"/>
              </w:rPr>
            </w:pPr>
          </w:p>
        </w:tc>
        <w:tc>
          <w:tcPr>
            <w:tcW w:w="464" w:type="pct"/>
          </w:tcPr>
          <w:p w14:paraId="1AC0C1C5" w14:textId="77777777" w:rsidR="00BC5812" w:rsidRPr="00537128" w:rsidRDefault="00BC5812" w:rsidP="00BC5812">
            <w:pPr>
              <w:jc w:val="center"/>
              <w:rPr>
                <w:rFonts w:eastAsia="Calibri" w:cstheme="minorHAnsi"/>
                <w:b/>
                <w:lang w:val="en-US"/>
              </w:rPr>
            </w:pPr>
            <w:r w:rsidRPr="00537128">
              <w:rPr>
                <w:rFonts w:eastAsia="Calibri" w:cstheme="minorHAnsi"/>
                <w:b/>
                <w:lang w:val="en-US"/>
              </w:rPr>
              <w:t>Notes</w:t>
            </w:r>
          </w:p>
        </w:tc>
        <w:tc>
          <w:tcPr>
            <w:tcW w:w="721" w:type="pct"/>
            <w:vAlign w:val="bottom"/>
          </w:tcPr>
          <w:p w14:paraId="6FD66E64" w14:textId="77777777" w:rsidR="00BC5812" w:rsidRPr="00537128" w:rsidRDefault="00BC5812" w:rsidP="00BC5812">
            <w:pPr>
              <w:jc w:val="right"/>
              <w:rPr>
                <w:rFonts w:eastAsia="Calibri" w:cstheme="minorHAnsi"/>
                <w:b/>
                <w:lang w:val="en-US"/>
              </w:rPr>
            </w:pPr>
            <w:r w:rsidRPr="00537128">
              <w:rPr>
                <w:rFonts w:eastAsia="Calibri" w:cstheme="minorHAnsi"/>
                <w:b/>
                <w:lang w:val="en-US"/>
              </w:rPr>
              <w:t>HRK ‘000</w:t>
            </w:r>
          </w:p>
        </w:tc>
        <w:tc>
          <w:tcPr>
            <w:tcW w:w="155" w:type="pct"/>
            <w:vAlign w:val="bottom"/>
          </w:tcPr>
          <w:p w14:paraId="1055EBA4" w14:textId="77777777" w:rsidR="00BC5812" w:rsidRPr="00537128" w:rsidRDefault="00BC5812" w:rsidP="00BC5812">
            <w:pPr>
              <w:jc w:val="right"/>
              <w:rPr>
                <w:rFonts w:eastAsia="Calibri" w:cstheme="minorHAnsi"/>
                <w:b/>
                <w:lang w:val="en-US"/>
              </w:rPr>
            </w:pPr>
          </w:p>
        </w:tc>
        <w:tc>
          <w:tcPr>
            <w:tcW w:w="718" w:type="pct"/>
            <w:vAlign w:val="bottom"/>
          </w:tcPr>
          <w:p w14:paraId="4B3DA90D" w14:textId="77777777" w:rsidR="00BC5812" w:rsidRPr="00537128" w:rsidRDefault="00BC5812" w:rsidP="00BC5812">
            <w:pPr>
              <w:jc w:val="right"/>
              <w:rPr>
                <w:rFonts w:eastAsia="Calibri" w:cstheme="minorHAnsi"/>
                <w:b/>
                <w:lang w:val="en-US"/>
              </w:rPr>
            </w:pPr>
            <w:r w:rsidRPr="00537128">
              <w:rPr>
                <w:rFonts w:eastAsia="Calibri" w:cstheme="minorHAnsi"/>
                <w:b/>
                <w:lang w:val="en-US"/>
              </w:rPr>
              <w:t xml:space="preserve">HRK ‘000 </w:t>
            </w:r>
          </w:p>
        </w:tc>
      </w:tr>
      <w:tr w:rsidR="00BC5812" w:rsidRPr="00537128" w14:paraId="0D6ACF91" w14:textId="77777777" w:rsidTr="000C292B">
        <w:trPr>
          <w:trHeight w:hRule="exact" w:val="397"/>
        </w:trPr>
        <w:tc>
          <w:tcPr>
            <w:tcW w:w="2942" w:type="pct"/>
            <w:vAlign w:val="bottom"/>
          </w:tcPr>
          <w:p w14:paraId="5246CF7E" w14:textId="66F23C4E" w:rsidR="00BC5812" w:rsidRPr="00537128" w:rsidRDefault="00BC5812" w:rsidP="00BC5812">
            <w:pPr>
              <w:tabs>
                <w:tab w:val="right" w:pos="1202"/>
              </w:tabs>
              <w:outlineLvl w:val="0"/>
              <w:rPr>
                <w:rFonts w:eastAsia="Calibri" w:cstheme="minorHAnsi"/>
                <w:b/>
                <w:bCs/>
                <w:lang w:val="en-US"/>
              </w:rPr>
            </w:pPr>
            <w:bookmarkStart w:id="29" w:name="_Toc4056943"/>
            <w:r w:rsidRPr="00537128">
              <w:rPr>
                <w:rFonts w:eastAsia="Calibri" w:cstheme="minorHAnsi"/>
                <w:b/>
                <w:bCs/>
                <w:lang w:val="en-US"/>
              </w:rPr>
              <w:t>Assets</w:t>
            </w:r>
            <w:bookmarkEnd w:id="29"/>
            <w:r w:rsidRPr="00537128">
              <w:rPr>
                <w:rFonts w:eastAsia="Calibri" w:cstheme="minorHAnsi"/>
                <w:b/>
                <w:bCs/>
                <w:lang w:val="en-US"/>
              </w:rPr>
              <w:t xml:space="preserve"> </w:t>
            </w:r>
          </w:p>
        </w:tc>
        <w:tc>
          <w:tcPr>
            <w:tcW w:w="464" w:type="pct"/>
            <w:vAlign w:val="bottom"/>
          </w:tcPr>
          <w:p w14:paraId="0192F1FD" w14:textId="77777777" w:rsidR="00BC5812" w:rsidRPr="00537128" w:rsidRDefault="00BC5812" w:rsidP="00BC5812">
            <w:pPr>
              <w:tabs>
                <w:tab w:val="right" w:pos="1202"/>
              </w:tabs>
              <w:jc w:val="right"/>
              <w:outlineLvl w:val="0"/>
              <w:rPr>
                <w:rFonts w:eastAsia="Calibri" w:cstheme="minorHAnsi"/>
                <w:b/>
                <w:bCs/>
                <w:lang w:val="en-US"/>
              </w:rPr>
            </w:pPr>
          </w:p>
        </w:tc>
        <w:tc>
          <w:tcPr>
            <w:tcW w:w="721" w:type="pct"/>
            <w:vAlign w:val="bottom"/>
          </w:tcPr>
          <w:p w14:paraId="7D5A28E2" w14:textId="77777777" w:rsidR="00BC5812" w:rsidRPr="00537128" w:rsidRDefault="00BC5812" w:rsidP="00BC5812">
            <w:pPr>
              <w:tabs>
                <w:tab w:val="right" w:pos="1202"/>
              </w:tabs>
              <w:jc w:val="right"/>
              <w:outlineLvl w:val="0"/>
              <w:rPr>
                <w:rFonts w:eastAsia="Calibri" w:cstheme="minorHAnsi"/>
                <w:b/>
                <w:bCs/>
                <w:lang w:val="en-US"/>
              </w:rPr>
            </w:pPr>
          </w:p>
        </w:tc>
        <w:tc>
          <w:tcPr>
            <w:tcW w:w="155" w:type="pct"/>
            <w:vAlign w:val="bottom"/>
          </w:tcPr>
          <w:p w14:paraId="06DF6C3A" w14:textId="77777777" w:rsidR="00BC5812" w:rsidRPr="00537128" w:rsidRDefault="00BC5812" w:rsidP="00BC5812">
            <w:pPr>
              <w:tabs>
                <w:tab w:val="right" w:pos="1202"/>
              </w:tabs>
              <w:jc w:val="right"/>
              <w:outlineLvl w:val="0"/>
              <w:rPr>
                <w:rFonts w:eastAsia="Calibri" w:cstheme="minorHAnsi"/>
                <w:b/>
                <w:bCs/>
                <w:lang w:val="en-US"/>
              </w:rPr>
            </w:pPr>
          </w:p>
        </w:tc>
        <w:tc>
          <w:tcPr>
            <w:tcW w:w="718" w:type="pct"/>
            <w:vAlign w:val="bottom"/>
          </w:tcPr>
          <w:p w14:paraId="4447B154" w14:textId="77777777" w:rsidR="00BC5812" w:rsidRPr="00537128" w:rsidRDefault="00BC5812" w:rsidP="00BC5812">
            <w:pPr>
              <w:tabs>
                <w:tab w:val="right" w:pos="1202"/>
              </w:tabs>
              <w:jc w:val="right"/>
              <w:outlineLvl w:val="0"/>
              <w:rPr>
                <w:rFonts w:eastAsia="Calibri" w:cstheme="minorHAnsi"/>
                <w:b/>
                <w:bCs/>
                <w:lang w:val="en-US"/>
              </w:rPr>
            </w:pPr>
          </w:p>
        </w:tc>
      </w:tr>
      <w:tr w:rsidR="00B61977" w:rsidRPr="00537128" w14:paraId="6E189B67" w14:textId="77777777" w:rsidTr="00076EA4">
        <w:trPr>
          <w:trHeight w:hRule="exact" w:val="318"/>
        </w:trPr>
        <w:tc>
          <w:tcPr>
            <w:tcW w:w="2942" w:type="pct"/>
            <w:vAlign w:val="bottom"/>
          </w:tcPr>
          <w:p w14:paraId="55A99E4E" w14:textId="39688D19" w:rsidR="00B61977" w:rsidRPr="00537128" w:rsidRDefault="00B61977" w:rsidP="00B61977">
            <w:pPr>
              <w:tabs>
                <w:tab w:val="right" w:pos="1202"/>
              </w:tabs>
              <w:spacing w:after="0"/>
              <w:outlineLvl w:val="0"/>
              <w:rPr>
                <w:rFonts w:eastAsia="Calibri" w:cstheme="minorHAnsi"/>
                <w:lang w:val="en-US"/>
              </w:rPr>
            </w:pPr>
            <w:bookmarkStart w:id="30" w:name="_Toc4056944"/>
            <w:r w:rsidRPr="00537128">
              <w:rPr>
                <w:rFonts w:eastAsia="Calibri" w:cstheme="minorHAnsi"/>
                <w:lang w:val="en-US"/>
              </w:rPr>
              <w:t>Cash on hand and current accounts with banks</w:t>
            </w:r>
            <w:bookmarkEnd w:id="30"/>
          </w:p>
        </w:tc>
        <w:tc>
          <w:tcPr>
            <w:tcW w:w="464" w:type="pct"/>
            <w:vAlign w:val="bottom"/>
          </w:tcPr>
          <w:p w14:paraId="672AEBC1" w14:textId="42BC9502" w:rsidR="00B61977" w:rsidRPr="00A1123E" w:rsidRDefault="00B61977" w:rsidP="00B61977">
            <w:pPr>
              <w:tabs>
                <w:tab w:val="right" w:pos="1202"/>
              </w:tabs>
              <w:spacing w:after="0"/>
              <w:jc w:val="center"/>
              <w:outlineLvl w:val="0"/>
              <w:rPr>
                <w:rFonts w:eastAsia="Calibri" w:cstheme="minorHAnsi"/>
                <w:snapToGrid w:val="0"/>
                <w:lang w:val="en-US"/>
              </w:rPr>
            </w:pPr>
            <w:r w:rsidRPr="00A1123E">
              <w:rPr>
                <w:rFonts w:ascii="Calibri" w:hAnsi="Calibri" w:cs="Arial"/>
                <w:snapToGrid w:val="0"/>
                <w:lang w:val="en-US"/>
              </w:rPr>
              <w:t>9</w:t>
            </w:r>
          </w:p>
        </w:tc>
        <w:tc>
          <w:tcPr>
            <w:tcW w:w="721" w:type="pct"/>
            <w:tcBorders>
              <w:top w:val="nil"/>
              <w:left w:val="nil"/>
              <w:bottom w:val="nil"/>
              <w:right w:val="nil"/>
            </w:tcBorders>
            <w:shd w:val="clear" w:color="auto" w:fill="auto"/>
            <w:vAlign w:val="center"/>
          </w:tcPr>
          <w:p w14:paraId="74A327A6" w14:textId="358DEBF6" w:rsidR="00B61977" w:rsidRPr="00537128" w:rsidRDefault="00B61977" w:rsidP="00B61977">
            <w:pPr>
              <w:tabs>
                <w:tab w:val="right" w:pos="1202"/>
              </w:tabs>
              <w:spacing w:after="0"/>
              <w:jc w:val="right"/>
              <w:outlineLvl w:val="0"/>
              <w:rPr>
                <w:rFonts w:eastAsia="Calibri" w:cstheme="minorHAnsi"/>
                <w:snapToGrid w:val="0"/>
                <w:lang w:val="en-US"/>
              </w:rPr>
            </w:pPr>
            <w:r>
              <w:rPr>
                <w:rFonts w:ascii="Calibri" w:hAnsi="Calibri" w:cs="Calibri"/>
                <w:color w:val="000000"/>
              </w:rPr>
              <w:t>1</w:t>
            </w:r>
            <w:r w:rsidR="00240757">
              <w:rPr>
                <w:rFonts w:ascii="Calibri" w:hAnsi="Calibri" w:cs="Calibri"/>
                <w:color w:val="000000"/>
              </w:rPr>
              <w:t>,</w:t>
            </w:r>
            <w:r>
              <w:rPr>
                <w:rFonts w:ascii="Calibri" w:hAnsi="Calibri" w:cs="Calibri"/>
                <w:color w:val="000000"/>
              </w:rPr>
              <w:t>577</w:t>
            </w:r>
            <w:r w:rsidR="00240757">
              <w:rPr>
                <w:rFonts w:ascii="Calibri" w:hAnsi="Calibri" w:cs="Calibri"/>
                <w:color w:val="000000"/>
              </w:rPr>
              <w:t>,</w:t>
            </w:r>
            <w:r>
              <w:rPr>
                <w:rFonts w:ascii="Calibri" w:hAnsi="Calibri" w:cs="Calibri"/>
                <w:color w:val="000000"/>
              </w:rPr>
              <w:t>568</w:t>
            </w:r>
          </w:p>
        </w:tc>
        <w:tc>
          <w:tcPr>
            <w:tcW w:w="155" w:type="pct"/>
            <w:vAlign w:val="bottom"/>
          </w:tcPr>
          <w:p w14:paraId="3234F1A8" w14:textId="77777777" w:rsidR="00B61977" w:rsidRPr="00537128" w:rsidRDefault="00B61977" w:rsidP="00B61977">
            <w:pPr>
              <w:tabs>
                <w:tab w:val="right" w:pos="1202"/>
              </w:tabs>
              <w:spacing w:after="0"/>
              <w:jc w:val="right"/>
              <w:outlineLvl w:val="0"/>
              <w:rPr>
                <w:rFonts w:eastAsia="Calibri" w:cstheme="minorHAnsi"/>
                <w:snapToGrid w:val="0"/>
                <w:lang w:val="en-US"/>
              </w:rPr>
            </w:pPr>
          </w:p>
        </w:tc>
        <w:tc>
          <w:tcPr>
            <w:tcW w:w="718" w:type="pct"/>
            <w:tcBorders>
              <w:top w:val="nil"/>
              <w:left w:val="nil"/>
              <w:bottom w:val="nil"/>
              <w:right w:val="nil"/>
            </w:tcBorders>
            <w:shd w:val="clear" w:color="auto" w:fill="auto"/>
            <w:vAlign w:val="bottom"/>
          </w:tcPr>
          <w:p w14:paraId="342798AB" w14:textId="5B5AB253" w:rsidR="00B61977" w:rsidRPr="00537128" w:rsidRDefault="00B61977" w:rsidP="00B61977">
            <w:pPr>
              <w:tabs>
                <w:tab w:val="right" w:pos="1202"/>
              </w:tabs>
              <w:spacing w:after="0"/>
              <w:jc w:val="right"/>
              <w:outlineLvl w:val="0"/>
              <w:rPr>
                <w:rFonts w:eastAsia="Calibri" w:cstheme="minorHAnsi"/>
                <w:snapToGrid w:val="0"/>
                <w:lang w:val="en-US"/>
              </w:rPr>
            </w:pPr>
            <w:r w:rsidRPr="00837717">
              <w:rPr>
                <w:rFonts w:ascii="Calibri" w:hAnsi="Calibri" w:cs="Calibri"/>
                <w:color w:val="000000" w:themeColor="text1"/>
              </w:rPr>
              <w:t>1</w:t>
            </w:r>
            <w:r>
              <w:rPr>
                <w:rFonts w:ascii="Calibri" w:hAnsi="Calibri" w:cs="Calibri"/>
                <w:color w:val="000000" w:themeColor="text1"/>
              </w:rPr>
              <w:t>,</w:t>
            </w:r>
            <w:r w:rsidRPr="00837717">
              <w:rPr>
                <w:rFonts w:ascii="Calibri" w:hAnsi="Calibri" w:cs="Calibri"/>
                <w:color w:val="000000" w:themeColor="text1"/>
              </w:rPr>
              <w:t>961</w:t>
            </w:r>
            <w:r>
              <w:rPr>
                <w:rFonts w:ascii="Calibri" w:hAnsi="Calibri" w:cs="Calibri"/>
                <w:color w:val="000000" w:themeColor="text1"/>
              </w:rPr>
              <w:t>,</w:t>
            </w:r>
            <w:r w:rsidRPr="00837717">
              <w:rPr>
                <w:rFonts w:ascii="Calibri" w:hAnsi="Calibri" w:cs="Calibri"/>
                <w:color w:val="000000" w:themeColor="text1"/>
              </w:rPr>
              <w:t>986</w:t>
            </w:r>
          </w:p>
        </w:tc>
      </w:tr>
      <w:tr w:rsidR="00B61977" w:rsidRPr="00537128" w14:paraId="48DD3225" w14:textId="77777777" w:rsidTr="00076EA4">
        <w:trPr>
          <w:trHeight w:hRule="exact" w:val="318"/>
        </w:trPr>
        <w:tc>
          <w:tcPr>
            <w:tcW w:w="2942" w:type="pct"/>
            <w:vAlign w:val="bottom"/>
          </w:tcPr>
          <w:p w14:paraId="410EC2F7" w14:textId="40B431EE" w:rsidR="00B61977" w:rsidRPr="00537128" w:rsidRDefault="00B61977" w:rsidP="00B61977">
            <w:pPr>
              <w:tabs>
                <w:tab w:val="right" w:pos="1202"/>
              </w:tabs>
              <w:spacing w:after="0"/>
              <w:outlineLvl w:val="0"/>
              <w:rPr>
                <w:rFonts w:eastAsia="Calibri" w:cstheme="minorHAnsi"/>
                <w:lang w:val="en-US"/>
              </w:rPr>
            </w:pPr>
            <w:bookmarkStart w:id="31" w:name="_Toc4056948"/>
            <w:r w:rsidRPr="00537128">
              <w:rPr>
                <w:rFonts w:eastAsia="Calibri" w:cstheme="minorHAnsi"/>
                <w:lang w:val="en-US"/>
              </w:rPr>
              <w:t>Deposits with other banks</w:t>
            </w:r>
            <w:bookmarkEnd w:id="31"/>
          </w:p>
        </w:tc>
        <w:tc>
          <w:tcPr>
            <w:tcW w:w="464" w:type="pct"/>
            <w:vAlign w:val="bottom"/>
          </w:tcPr>
          <w:p w14:paraId="6E5A6401" w14:textId="2D6B99AD" w:rsidR="00B61977" w:rsidRPr="00A1123E" w:rsidRDefault="00B61977" w:rsidP="00B61977">
            <w:pPr>
              <w:tabs>
                <w:tab w:val="right" w:pos="1202"/>
              </w:tabs>
              <w:spacing w:after="0"/>
              <w:jc w:val="center"/>
              <w:outlineLvl w:val="0"/>
              <w:rPr>
                <w:rFonts w:eastAsia="Calibri" w:cstheme="minorHAnsi"/>
                <w:snapToGrid w:val="0"/>
                <w:lang w:val="en-US"/>
              </w:rPr>
            </w:pPr>
            <w:r w:rsidRPr="00A1123E">
              <w:rPr>
                <w:rFonts w:ascii="Calibri" w:hAnsi="Calibri" w:cs="Arial"/>
                <w:snapToGrid w:val="0"/>
                <w:lang w:val="en-US"/>
              </w:rPr>
              <w:t>10</w:t>
            </w:r>
          </w:p>
        </w:tc>
        <w:tc>
          <w:tcPr>
            <w:tcW w:w="721" w:type="pct"/>
            <w:tcBorders>
              <w:top w:val="nil"/>
              <w:left w:val="nil"/>
              <w:bottom w:val="nil"/>
              <w:right w:val="nil"/>
            </w:tcBorders>
            <w:shd w:val="clear" w:color="auto" w:fill="auto"/>
            <w:vAlign w:val="center"/>
          </w:tcPr>
          <w:p w14:paraId="1CBB783F" w14:textId="051E0239" w:rsidR="00B61977" w:rsidRPr="00537128" w:rsidRDefault="00B61977" w:rsidP="00B61977">
            <w:pPr>
              <w:tabs>
                <w:tab w:val="right" w:pos="1202"/>
              </w:tabs>
              <w:spacing w:after="0"/>
              <w:jc w:val="right"/>
              <w:outlineLvl w:val="0"/>
              <w:rPr>
                <w:rFonts w:eastAsia="Calibri" w:cstheme="minorHAnsi"/>
                <w:snapToGrid w:val="0"/>
                <w:lang w:val="en-US"/>
              </w:rPr>
            </w:pPr>
            <w:r>
              <w:rPr>
                <w:rFonts w:ascii="Calibri" w:hAnsi="Calibri" w:cs="Calibri"/>
                <w:color w:val="000000"/>
              </w:rPr>
              <w:t>15</w:t>
            </w:r>
            <w:r w:rsidR="00240757">
              <w:rPr>
                <w:rFonts w:ascii="Calibri" w:hAnsi="Calibri" w:cs="Calibri"/>
                <w:color w:val="000000"/>
              </w:rPr>
              <w:t>,</w:t>
            </w:r>
            <w:r>
              <w:rPr>
                <w:rFonts w:ascii="Calibri" w:hAnsi="Calibri" w:cs="Calibri"/>
                <w:color w:val="000000"/>
              </w:rPr>
              <w:t>215</w:t>
            </w:r>
          </w:p>
        </w:tc>
        <w:tc>
          <w:tcPr>
            <w:tcW w:w="155" w:type="pct"/>
            <w:vAlign w:val="bottom"/>
          </w:tcPr>
          <w:p w14:paraId="5F00C25B" w14:textId="77777777" w:rsidR="00B61977" w:rsidRPr="00537128" w:rsidRDefault="00B61977" w:rsidP="00B61977">
            <w:pPr>
              <w:tabs>
                <w:tab w:val="right" w:pos="1202"/>
              </w:tabs>
              <w:spacing w:after="0"/>
              <w:jc w:val="right"/>
              <w:outlineLvl w:val="0"/>
              <w:rPr>
                <w:rFonts w:eastAsia="Calibri" w:cstheme="minorHAnsi"/>
                <w:snapToGrid w:val="0"/>
                <w:lang w:val="en-US"/>
              </w:rPr>
            </w:pPr>
          </w:p>
        </w:tc>
        <w:tc>
          <w:tcPr>
            <w:tcW w:w="718" w:type="pct"/>
            <w:tcBorders>
              <w:top w:val="nil"/>
              <w:left w:val="nil"/>
              <w:bottom w:val="nil"/>
              <w:right w:val="nil"/>
            </w:tcBorders>
            <w:shd w:val="clear" w:color="auto" w:fill="auto"/>
            <w:vAlign w:val="center"/>
          </w:tcPr>
          <w:p w14:paraId="3B2D031D" w14:textId="331FDA34" w:rsidR="00B61977" w:rsidRPr="00537128" w:rsidRDefault="00B61977" w:rsidP="00B61977">
            <w:pPr>
              <w:tabs>
                <w:tab w:val="right" w:pos="1202"/>
              </w:tabs>
              <w:spacing w:after="0"/>
              <w:jc w:val="right"/>
              <w:outlineLvl w:val="0"/>
              <w:rPr>
                <w:rFonts w:eastAsia="Calibri" w:cstheme="minorHAnsi"/>
                <w:snapToGrid w:val="0"/>
                <w:lang w:val="en-US"/>
              </w:rPr>
            </w:pPr>
            <w:r w:rsidRPr="00837717">
              <w:rPr>
                <w:rFonts w:ascii="Calibri" w:hAnsi="Calibri" w:cs="Calibri"/>
                <w:color w:val="000000" w:themeColor="text1"/>
              </w:rPr>
              <w:t>7</w:t>
            </w:r>
            <w:r>
              <w:rPr>
                <w:rFonts w:ascii="Calibri" w:hAnsi="Calibri" w:cs="Calibri"/>
                <w:color w:val="000000" w:themeColor="text1"/>
              </w:rPr>
              <w:t>,</w:t>
            </w:r>
            <w:r w:rsidRPr="00837717">
              <w:rPr>
                <w:rFonts w:ascii="Calibri" w:hAnsi="Calibri" w:cs="Calibri"/>
                <w:color w:val="000000" w:themeColor="text1"/>
              </w:rPr>
              <w:t>500</w:t>
            </w:r>
          </w:p>
        </w:tc>
      </w:tr>
      <w:tr w:rsidR="00B61977" w:rsidRPr="00537128" w14:paraId="2AF469E9" w14:textId="77777777" w:rsidTr="00076EA4">
        <w:trPr>
          <w:trHeight w:hRule="exact" w:val="318"/>
        </w:trPr>
        <w:tc>
          <w:tcPr>
            <w:tcW w:w="2942" w:type="pct"/>
            <w:vAlign w:val="bottom"/>
          </w:tcPr>
          <w:p w14:paraId="68D9A1A3" w14:textId="458EB125" w:rsidR="00B61977" w:rsidRPr="00537128" w:rsidRDefault="00B61977" w:rsidP="00B61977">
            <w:pPr>
              <w:tabs>
                <w:tab w:val="right" w:pos="1202"/>
              </w:tabs>
              <w:spacing w:after="0"/>
              <w:outlineLvl w:val="0"/>
              <w:rPr>
                <w:rFonts w:eastAsia="Calibri" w:cstheme="minorHAnsi"/>
                <w:lang w:val="en-US"/>
              </w:rPr>
            </w:pPr>
            <w:bookmarkStart w:id="32" w:name="_Toc4056952"/>
            <w:r w:rsidRPr="00537128">
              <w:rPr>
                <w:rFonts w:eastAsia="Calibri" w:cstheme="minorHAnsi"/>
                <w:lang w:val="en-US"/>
              </w:rPr>
              <w:t>Loans to financial institutions</w:t>
            </w:r>
            <w:bookmarkEnd w:id="32"/>
          </w:p>
        </w:tc>
        <w:tc>
          <w:tcPr>
            <w:tcW w:w="464" w:type="pct"/>
            <w:vAlign w:val="bottom"/>
          </w:tcPr>
          <w:p w14:paraId="001ACF26" w14:textId="799E45C7" w:rsidR="00B61977" w:rsidRPr="00A1123E" w:rsidRDefault="00B61977" w:rsidP="00B61977">
            <w:pPr>
              <w:tabs>
                <w:tab w:val="right" w:pos="1202"/>
              </w:tabs>
              <w:spacing w:after="0"/>
              <w:jc w:val="center"/>
              <w:outlineLvl w:val="0"/>
              <w:rPr>
                <w:rFonts w:eastAsia="Calibri" w:cstheme="minorHAnsi"/>
                <w:snapToGrid w:val="0"/>
                <w:lang w:val="en-US"/>
              </w:rPr>
            </w:pPr>
            <w:bookmarkStart w:id="33" w:name="_Toc4056953"/>
            <w:r w:rsidRPr="00A1123E">
              <w:rPr>
                <w:rFonts w:ascii="Calibri" w:hAnsi="Calibri" w:cs="Arial"/>
                <w:snapToGrid w:val="0"/>
                <w:lang w:val="en-US"/>
              </w:rPr>
              <w:t>1</w:t>
            </w:r>
            <w:bookmarkEnd w:id="33"/>
            <w:r w:rsidRPr="00A1123E">
              <w:rPr>
                <w:rFonts w:ascii="Calibri" w:hAnsi="Calibri" w:cs="Arial"/>
                <w:snapToGrid w:val="0"/>
                <w:lang w:val="en-US"/>
              </w:rPr>
              <w:t>1</w:t>
            </w:r>
          </w:p>
        </w:tc>
        <w:tc>
          <w:tcPr>
            <w:tcW w:w="721" w:type="pct"/>
            <w:tcBorders>
              <w:top w:val="nil"/>
              <w:left w:val="nil"/>
              <w:bottom w:val="nil"/>
              <w:right w:val="nil"/>
            </w:tcBorders>
            <w:shd w:val="clear" w:color="auto" w:fill="auto"/>
            <w:vAlign w:val="center"/>
          </w:tcPr>
          <w:p w14:paraId="1F898B9F" w14:textId="54C692BF" w:rsidR="00B61977" w:rsidRPr="00537128" w:rsidRDefault="00B61977" w:rsidP="00B61977">
            <w:pPr>
              <w:tabs>
                <w:tab w:val="right" w:pos="1202"/>
              </w:tabs>
              <w:spacing w:after="0"/>
              <w:jc w:val="right"/>
              <w:outlineLvl w:val="0"/>
              <w:rPr>
                <w:rFonts w:eastAsia="Calibri" w:cstheme="minorHAnsi"/>
                <w:snapToGrid w:val="0"/>
                <w:lang w:val="en-US"/>
              </w:rPr>
            </w:pPr>
            <w:r>
              <w:rPr>
                <w:rFonts w:ascii="Calibri" w:hAnsi="Calibri" w:cs="Calibri"/>
                <w:color w:val="000000"/>
              </w:rPr>
              <w:t>6</w:t>
            </w:r>
            <w:r w:rsidR="00240757">
              <w:rPr>
                <w:rFonts w:ascii="Calibri" w:hAnsi="Calibri" w:cs="Calibri"/>
                <w:color w:val="000000"/>
              </w:rPr>
              <w:t>,</w:t>
            </w:r>
            <w:r>
              <w:rPr>
                <w:rFonts w:ascii="Calibri" w:hAnsi="Calibri" w:cs="Calibri"/>
                <w:color w:val="000000"/>
              </w:rPr>
              <w:t>941</w:t>
            </w:r>
            <w:r w:rsidR="00240757">
              <w:rPr>
                <w:rFonts w:ascii="Calibri" w:hAnsi="Calibri" w:cs="Calibri"/>
                <w:color w:val="000000"/>
              </w:rPr>
              <w:t>,</w:t>
            </w:r>
            <w:r>
              <w:rPr>
                <w:rFonts w:ascii="Calibri" w:hAnsi="Calibri" w:cs="Calibri"/>
                <w:color w:val="000000"/>
              </w:rPr>
              <w:t>960</w:t>
            </w:r>
          </w:p>
        </w:tc>
        <w:tc>
          <w:tcPr>
            <w:tcW w:w="155" w:type="pct"/>
            <w:vAlign w:val="bottom"/>
          </w:tcPr>
          <w:p w14:paraId="7ABE09AF" w14:textId="77777777" w:rsidR="00B61977" w:rsidRPr="00537128" w:rsidRDefault="00B61977" w:rsidP="00B61977">
            <w:pPr>
              <w:tabs>
                <w:tab w:val="right" w:pos="1202"/>
              </w:tabs>
              <w:spacing w:after="0"/>
              <w:jc w:val="right"/>
              <w:outlineLvl w:val="0"/>
              <w:rPr>
                <w:rFonts w:eastAsia="Calibri" w:cstheme="minorHAnsi"/>
                <w:snapToGrid w:val="0"/>
                <w:lang w:val="en-US"/>
              </w:rPr>
            </w:pPr>
          </w:p>
        </w:tc>
        <w:tc>
          <w:tcPr>
            <w:tcW w:w="718" w:type="pct"/>
            <w:tcBorders>
              <w:top w:val="nil"/>
              <w:left w:val="nil"/>
              <w:bottom w:val="nil"/>
              <w:right w:val="nil"/>
            </w:tcBorders>
            <w:shd w:val="clear" w:color="auto" w:fill="auto"/>
            <w:vAlign w:val="center"/>
          </w:tcPr>
          <w:p w14:paraId="67866C44" w14:textId="22C52A7D" w:rsidR="00B61977" w:rsidRPr="00537128" w:rsidRDefault="00B61977" w:rsidP="00B61977">
            <w:pPr>
              <w:tabs>
                <w:tab w:val="right" w:pos="1202"/>
              </w:tabs>
              <w:spacing w:after="0"/>
              <w:jc w:val="right"/>
              <w:outlineLvl w:val="0"/>
              <w:rPr>
                <w:rFonts w:eastAsia="Calibri" w:cstheme="minorHAnsi"/>
                <w:snapToGrid w:val="0"/>
                <w:lang w:val="en-US"/>
              </w:rPr>
            </w:pPr>
            <w:r w:rsidRPr="00837717">
              <w:rPr>
                <w:rFonts w:ascii="Calibri" w:hAnsi="Calibri" w:cs="Calibri"/>
                <w:color w:val="000000" w:themeColor="text1"/>
              </w:rPr>
              <w:t>7</w:t>
            </w:r>
            <w:r>
              <w:rPr>
                <w:rFonts w:ascii="Calibri" w:hAnsi="Calibri" w:cs="Calibri"/>
                <w:color w:val="000000" w:themeColor="text1"/>
              </w:rPr>
              <w:t>,</w:t>
            </w:r>
            <w:r w:rsidRPr="00837717">
              <w:rPr>
                <w:rFonts w:ascii="Calibri" w:hAnsi="Calibri" w:cs="Calibri"/>
                <w:color w:val="000000" w:themeColor="text1"/>
              </w:rPr>
              <w:t>050</w:t>
            </w:r>
            <w:r>
              <w:rPr>
                <w:rFonts w:ascii="Calibri" w:hAnsi="Calibri" w:cs="Calibri"/>
                <w:color w:val="000000" w:themeColor="text1"/>
              </w:rPr>
              <w:t>,</w:t>
            </w:r>
            <w:r w:rsidRPr="00837717">
              <w:rPr>
                <w:rFonts w:ascii="Calibri" w:hAnsi="Calibri" w:cs="Calibri"/>
                <w:color w:val="000000" w:themeColor="text1"/>
              </w:rPr>
              <w:t>143</w:t>
            </w:r>
          </w:p>
        </w:tc>
      </w:tr>
      <w:tr w:rsidR="00B61977" w:rsidRPr="00537128" w14:paraId="32C474ED" w14:textId="77777777" w:rsidTr="00076EA4">
        <w:trPr>
          <w:trHeight w:hRule="exact" w:val="318"/>
        </w:trPr>
        <w:tc>
          <w:tcPr>
            <w:tcW w:w="2942" w:type="pct"/>
            <w:vAlign w:val="bottom"/>
          </w:tcPr>
          <w:p w14:paraId="7D8FD71F" w14:textId="128B2942" w:rsidR="00B61977" w:rsidRPr="00537128" w:rsidRDefault="00B61977" w:rsidP="00B61977">
            <w:pPr>
              <w:tabs>
                <w:tab w:val="right" w:pos="1202"/>
              </w:tabs>
              <w:spacing w:after="0"/>
              <w:outlineLvl w:val="0"/>
              <w:rPr>
                <w:rFonts w:eastAsia="Calibri" w:cstheme="minorHAnsi"/>
                <w:lang w:val="en-US"/>
              </w:rPr>
            </w:pPr>
            <w:bookmarkStart w:id="34" w:name="_Toc4056956"/>
            <w:r w:rsidRPr="00537128">
              <w:rPr>
                <w:rFonts w:eastAsia="Calibri" w:cstheme="minorHAnsi"/>
                <w:lang w:val="en-US"/>
              </w:rPr>
              <w:t>Loans to other customers</w:t>
            </w:r>
            <w:bookmarkEnd w:id="34"/>
          </w:p>
        </w:tc>
        <w:tc>
          <w:tcPr>
            <w:tcW w:w="464" w:type="pct"/>
            <w:vAlign w:val="bottom"/>
          </w:tcPr>
          <w:p w14:paraId="123CCB68" w14:textId="27B2FE01" w:rsidR="00B61977" w:rsidRPr="00A1123E" w:rsidRDefault="00B61977" w:rsidP="00B61977">
            <w:pPr>
              <w:tabs>
                <w:tab w:val="right" w:pos="1202"/>
              </w:tabs>
              <w:spacing w:after="0"/>
              <w:jc w:val="center"/>
              <w:outlineLvl w:val="0"/>
              <w:rPr>
                <w:rFonts w:eastAsia="Calibri" w:cstheme="minorHAnsi"/>
                <w:spacing w:val="-2"/>
                <w:lang w:val="en-US"/>
              </w:rPr>
            </w:pPr>
            <w:r w:rsidRPr="00A1123E">
              <w:rPr>
                <w:rFonts w:ascii="Calibri" w:hAnsi="Calibri" w:cs="Arial"/>
                <w:spacing w:val="-2"/>
                <w:lang w:val="en-US"/>
              </w:rPr>
              <w:t>12</w:t>
            </w:r>
          </w:p>
        </w:tc>
        <w:tc>
          <w:tcPr>
            <w:tcW w:w="721" w:type="pct"/>
            <w:tcBorders>
              <w:top w:val="nil"/>
              <w:left w:val="nil"/>
              <w:bottom w:val="nil"/>
              <w:right w:val="nil"/>
            </w:tcBorders>
            <w:shd w:val="clear" w:color="auto" w:fill="auto"/>
            <w:vAlign w:val="center"/>
          </w:tcPr>
          <w:p w14:paraId="41541419" w14:textId="6DB02D9C" w:rsidR="00B61977" w:rsidRPr="00537128" w:rsidRDefault="00B61977" w:rsidP="00B61977">
            <w:pPr>
              <w:tabs>
                <w:tab w:val="right" w:pos="1202"/>
              </w:tabs>
              <w:spacing w:after="0"/>
              <w:jc w:val="right"/>
              <w:outlineLvl w:val="0"/>
              <w:rPr>
                <w:rFonts w:eastAsia="Calibri" w:cstheme="minorHAnsi"/>
                <w:spacing w:val="-2"/>
                <w:lang w:val="en-US"/>
              </w:rPr>
            </w:pPr>
            <w:r>
              <w:rPr>
                <w:rFonts w:ascii="Calibri" w:hAnsi="Calibri" w:cs="Calibri"/>
                <w:color w:val="000000"/>
              </w:rPr>
              <w:t>15</w:t>
            </w:r>
            <w:r w:rsidR="00240757">
              <w:rPr>
                <w:rFonts w:ascii="Calibri" w:hAnsi="Calibri" w:cs="Calibri"/>
                <w:color w:val="000000"/>
              </w:rPr>
              <w:t>,</w:t>
            </w:r>
            <w:r>
              <w:rPr>
                <w:rFonts w:ascii="Calibri" w:hAnsi="Calibri" w:cs="Calibri"/>
                <w:color w:val="000000"/>
              </w:rPr>
              <w:t>726</w:t>
            </w:r>
            <w:r w:rsidR="00240757">
              <w:rPr>
                <w:rFonts w:ascii="Calibri" w:hAnsi="Calibri" w:cs="Calibri"/>
                <w:color w:val="000000"/>
              </w:rPr>
              <w:t>,</w:t>
            </w:r>
            <w:r>
              <w:rPr>
                <w:rFonts w:ascii="Calibri" w:hAnsi="Calibri" w:cs="Calibri"/>
                <w:color w:val="000000"/>
              </w:rPr>
              <w:t>433</w:t>
            </w:r>
          </w:p>
        </w:tc>
        <w:tc>
          <w:tcPr>
            <w:tcW w:w="155" w:type="pct"/>
            <w:vAlign w:val="bottom"/>
          </w:tcPr>
          <w:p w14:paraId="5193C937" w14:textId="77777777" w:rsidR="00B61977" w:rsidRPr="00537128" w:rsidRDefault="00B61977" w:rsidP="00B61977">
            <w:pPr>
              <w:tabs>
                <w:tab w:val="right" w:pos="1202"/>
              </w:tabs>
              <w:spacing w:after="0"/>
              <w:jc w:val="right"/>
              <w:outlineLvl w:val="0"/>
              <w:rPr>
                <w:rFonts w:eastAsia="Calibri" w:cstheme="minorHAnsi"/>
                <w:spacing w:val="-2"/>
                <w:lang w:val="en-US"/>
              </w:rPr>
            </w:pPr>
          </w:p>
        </w:tc>
        <w:tc>
          <w:tcPr>
            <w:tcW w:w="718" w:type="pct"/>
            <w:tcBorders>
              <w:top w:val="nil"/>
              <w:left w:val="nil"/>
              <w:bottom w:val="nil"/>
              <w:right w:val="nil"/>
            </w:tcBorders>
            <w:shd w:val="clear" w:color="auto" w:fill="auto"/>
            <w:vAlign w:val="center"/>
          </w:tcPr>
          <w:p w14:paraId="2D9B1D6C" w14:textId="5EDA615C" w:rsidR="00B61977" w:rsidRPr="00537128" w:rsidRDefault="00B61977" w:rsidP="00B61977">
            <w:pPr>
              <w:tabs>
                <w:tab w:val="right" w:pos="1202"/>
              </w:tabs>
              <w:spacing w:after="0"/>
              <w:jc w:val="right"/>
              <w:outlineLvl w:val="0"/>
              <w:rPr>
                <w:rFonts w:eastAsia="Calibri" w:cstheme="minorHAnsi"/>
                <w:snapToGrid w:val="0"/>
                <w:lang w:val="en-US"/>
              </w:rPr>
            </w:pPr>
            <w:r w:rsidRPr="00837717">
              <w:rPr>
                <w:rFonts w:ascii="Calibri" w:hAnsi="Calibri" w:cs="Calibri"/>
                <w:color w:val="000000" w:themeColor="text1"/>
              </w:rPr>
              <w:t>15</w:t>
            </w:r>
            <w:r>
              <w:rPr>
                <w:rFonts w:ascii="Calibri" w:hAnsi="Calibri" w:cs="Calibri"/>
                <w:color w:val="000000" w:themeColor="text1"/>
              </w:rPr>
              <w:t>,</w:t>
            </w:r>
            <w:r w:rsidRPr="00837717">
              <w:rPr>
                <w:rFonts w:ascii="Calibri" w:hAnsi="Calibri" w:cs="Calibri"/>
                <w:color w:val="000000" w:themeColor="text1"/>
              </w:rPr>
              <w:t>964</w:t>
            </w:r>
            <w:r>
              <w:rPr>
                <w:rFonts w:ascii="Calibri" w:hAnsi="Calibri" w:cs="Calibri"/>
                <w:color w:val="000000" w:themeColor="text1"/>
              </w:rPr>
              <w:t>,</w:t>
            </w:r>
            <w:r w:rsidRPr="00837717">
              <w:rPr>
                <w:rFonts w:ascii="Calibri" w:hAnsi="Calibri" w:cs="Calibri"/>
                <w:color w:val="000000" w:themeColor="text1"/>
              </w:rPr>
              <w:t>376</w:t>
            </w:r>
          </w:p>
        </w:tc>
      </w:tr>
      <w:tr w:rsidR="00B61977" w:rsidRPr="00537128" w14:paraId="590BC004" w14:textId="77777777" w:rsidTr="000C292B">
        <w:trPr>
          <w:trHeight w:hRule="exact" w:val="318"/>
        </w:trPr>
        <w:tc>
          <w:tcPr>
            <w:tcW w:w="2942" w:type="pct"/>
            <w:vAlign w:val="bottom"/>
          </w:tcPr>
          <w:p w14:paraId="35C686E2" w14:textId="7C4BD063" w:rsidR="00B61977" w:rsidRPr="00537128" w:rsidRDefault="00B61977" w:rsidP="00B61977">
            <w:pPr>
              <w:tabs>
                <w:tab w:val="right" w:pos="1202"/>
              </w:tabs>
              <w:spacing w:after="0"/>
              <w:outlineLvl w:val="0"/>
              <w:rPr>
                <w:rFonts w:eastAsia="Calibri" w:cstheme="minorHAnsi"/>
                <w:lang w:val="en-US"/>
              </w:rPr>
            </w:pPr>
            <w:bookmarkStart w:id="35" w:name="_Toc4056960"/>
            <w:r w:rsidRPr="00537128">
              <w:rPr>
                <w:rFonts w:eastAsia="Calibri" w:cstheme="minorHAnsi"/>
                <w:lang w:val="en-US"/>
              </w:rPr>
              <w:t>Financial assets at fair value through profit or loss</w:t>
            </w:r>
            <w:bookmarkEnd w:id="35"/>
          </w:p>
        </w:tc>
        <w:tc>
          <w:tcPr>
            <w:tcW w:w="464" w:type="pct"/>
            <w:vAlign w:val="bottom"/>
          </w:tcPr>
          <w:p w14:paraId="1C315D54" w14:textId="2CE90C94" w:rsidR="00B61977" w:rsidRPr="00A1123E" w:rsidRDefault="00B61977" w:rsidP="00B61977">
            <w:pPr>
              <w:tabs>
                <w:tab w:val="right" w:pos="1202"/>
              </w:tabs>
              <w:spacing w:after="0"/>
              <w:jc w:val="center"/>
              <w:outlineLvl w:val="0"/>
              <w:rPr>
                <w:rFonts w:eastAsia="Calibri" w:cstheme="minorHAnsi"/>
                <w:spacing w:val="-2"/>
                <w:lang w:val="en-US"/>
              </w:rPr>
            </w:pPr>
            <w:r w:rsidRPr="00A1123E">
              <w:rPr>
                <w:rFonts w:ascii="Calibri" w:hAnsi="Calibri" w:cs="Arial"/>
                <w:snapToGrid w:val="0"/>
                <w:lang w:val="en-US"/>
              </w:rPr>
              <w:t>13</w:t>
            </w:r>
          </w:p>
        </w:tc>
        <w:tc>
          <w:tcPr>
            <w:tcW w:w="721" w:type="pct"/>
            <w:tcBorders>
              <w:top w:val="nil"/>
              <w:left w:val="nil"/>
              <w:bottom w:val="nil"/>
              <w:right w:val="nil"/>
            </w:tcBorders>
            <w:shd w:val="clear" w:color="auto" w:fill="auto"/>
            <w:vAlign w:val="bottom"/>
          </w:tcPr>
          <w:p w14:paraId="2CD60F19" w14:textId="21821481" w:rsidR="00B61977" w:rsidRPr="00537128" w:rsidRDefault="00B61977" w:rsidP="00B61977">
            <w:pPr>
              <w:tabs>
                <w:tab w:val="right" w:pos="1202"/>
              </w:tabs>
              <w:spacing w:after="0"/>
              <w:jc w:val="right"/>
              <w:outlineLvl w:val="0"/>
              <w:rPr>
                <w:rFonts w:eastAsia="Calibri" w:cstheme="minorHAnsi"/>
                <w:spacing w:val="-2"/>
                <w:lang w:val="en-US"/>
              </w:rPr>
            </w:pPr>
            <w:r>
              <w:rPr>
                <w:rFonts w:ascii="Calibri" w:hAnsi="Calibri" w:cs="Calibri"/>
                <w:color w:val="000000"/>
              </w:rPr>
              <w:t>129</w:t>
            </w:r>
            <w:r w:rsidR="00240757">
              <w:rPr>
                <w:rFonts w:ascii="Calibri" w:hAnsi="Calibri" w:cs="Calibri"/>
                <w:color w:val="000000"/>
              </w:rPr>
              <w:t>,</w:t>
            </w:r>
            <w:r>
              <w:rPr>
                <w:rFonts w:ascii="Calibri" w:hAnsi="Calibri" w:cs="Calibri"/>
                <w:color w:val="000000"/>
              </w:rPr>
              <w:t>544</w:t>
            </w:r>
          </w:p>
        </w:tc>
        <w:tc>
          <w:tcPr>
            <w:tcW w:w="155" w:type="pct"/>
            <w:vAlign w:val="bottom"/>
          </w:tcPr>
          <w:p w14:paraId="2B0DF2AC" w14:textId="77777777" w:rsidR="00B61977" w:rsidRPr="00537128" w:rsidRDefault="00B61977" w:rsidP="00B61977">
            <w:pPr>
              <w:tabs>
                <w:tab w:val="right" w:pos="1202"/>
              </w:tabs>
              <w:spacing w:after="0"/>
              <w:jc w:val="right"/>
              <w:outlineLvl w:val="0"/>
              <w:rPr>
                <w:rFonts w:eastAsia="Calibri" w:cstheme="minorHAnsi"/>
                <w:spacing w:val="-2"/>
                <w:lang w:val="en-US"/>
              </w:rPr>
            </w:pPr>
          </w:p>
        </w:tc>
        <w:tc>
          <w:tcPr>
            <w:tcW w:w="718" w:type="pct"/>
            <w:tcBorders>
              <w:top w:val="nil"/>
              <w:left w:val="nil"/>
              <w:bottom w:val="nil"/>
              <w:right w:val="nil"/>
            </w:tcBorders>
            <w:shd w:val="clear" w:color="auto" w:fill="auto"/>
            <w:vAlign w:val="bottom"/>
          </w:tcPr>
          <w:p w14:paraId="512379FD" w14:textId="7B091080" w:rsidR="00B61977" w:rsidRPr="00537128" w:rsidRDefault="00B61977" w:rsidP="00B61977">
            <w:pPr>
              <w:tabs>
                <w:tab w:val="right" w:pos="1202"/>
              </w:tabs>
              <w:spacing w:after="0"/>
              <w:jc w:val="right"/>
              <w:outlineLvl w:val="0"/>
              <w:rPr>
                <w:rFonts w:eastAsia="Calibri" w:cstheme="minorHAnsi"/>
                <w:color w:val="000000"/>
                <w:lang w:val="en-US"/>
              </w:rPr>
            </w:pPr>
            <w:r w:rsidRPr="00837717">
              <w:rPr>
                <w:rFonts w:ascii="Calibri" w:hAnsi="Calibri" w:cs="Calibri"/>
                <w:color w:val="000000" w:themeColor="text1"/>
              </w:rPr>
              <w:t>218</w:t>
            </w:r>
            <w:r>
              <w:rPr>
                <w:rFonts w:ascii="Calibri" w:hAnsi="Calibri" w:cs="Calibri"/>
                <w:color w:val="000000" w:themeColor="text1"/>
              </w:rPr>
              <w:t>,</w:t>
            </w:r>
            <w:r w:rsidRPr="00837717">
              <w:rPr>
                <w:rFonts w:ascii="Calibri" w:hAnsi="Calibri" w:cs="Calibri"/>
                <w:color w:val="000000" w:themeColor="text1"/>
              </w:rPr>
              <w:t>984</w:t>
            </w:r>
          </w:p>
        </w:tc>
      </w:tr>
      <w:tr w:rsidR="00B61977" w:rsidRPr="00537128" w14:paraId="02B0E1FB" w14:textId="77777777" w:rsidTr="000C292B">
        <w:trPr>
          <w:trHeight w:hRule="exact" w:val="653"/>
        </w:trPr>
        <w:tc>
          <w:tcPr>
            <w:tcW w:w="2942" w:type="pct"/>
            <w:vAlign w:val="bottom"/>
          </w:tcPr>
          <w:p w14:paraId="32D242E1" w14:textId="528CF033" w:rsidR="00B61977" w:rsidRPr="00537128" w:rsidRDefault="00B61977" w:rsidP="00B61977">
            <w:pPr>
              <w:tabs>
                <w:tab w:val="right" w:pos="1202"/>
              </w:tabs>
              <w:spacing w:after="0"/>
              <w:outlineLvl w:val="0"/>
              <w:rPr>
                <w:rFonts w:eastAsia="Calibri" w:cstheme="minorHAnsi"/>
                <w:lang w:val="en-US"/>
              </w:rPr>
            </w:pPr>
            <w:bookmarkStart w:id="36" w:name="_Toc4056964"/>
            <w:r w:rsidRPr="00537128">
              <w:rPr>
                <w:rFonts w:eastAsia="Calibri" w:cstheme="minorHAnsi"/>
                <w:lang w:val="en-US"/>
              </w:rPr>
              <w:t>Financial assets at fair value through other comprehensive income</w:t>
            </w:r>
            <w:bookmarkEnd w:id="36"/>
          </w:p>
        </w:tc>
        <w:tc>
          <w:tcPr>
            <w:tcW w:w="464" w:type="pct"/>
            <w:vAlign w:val="bottom"/>
          </w:tcPr>
          <w:p w14:paraId="475C7B05" w14:textId="6A5FD549" w:rsidR="00B61977" w:rsidRPr="00A1123E" w:rsidRDefault="00B61977" w:rsidP="00B61977">
            <w:pPr>
              <w:tabs>
                <w:tab w:val="right" w:pos="1202"/>
              </w:tabs>
              <w:spacing w:after="0"/>
              <w:jc w:val="center"/>
              <w:outlineLvl w:val="0"/>
              <w:rPr>
                <w:rFonts w:eastAsia="Calibri" w:cstheme="minorHAnsi"/>
                <w:spacing w:val="-2"/>
                <w:lang w:val="en-US"/>
              </w:rPr>
            </w:pPr>
            <w:r w:rsidRPr="00A1123E">
              <w:rPr>
                <w:rFonts w:ascii="Calibri" w:hAnsi="Calibri" w:cs="Arial"/>
                <w:snapToGrid w:val="0"/>
                <w:lang w:val="en-US"/>
              </w:rPr>
              <w:t>14</w:t>
            </w:r>
          </w:p>
        </w:tc>
        <w:tc>
          <w:tcPr>
            <w:tcW w:w="721" w:type="pct"/>
            <w:tcBorders>
              <w:top w:val="nil"/>
              <w:left w:val="nil"/>
              <w:bottom w:val="nil"/>
              <w:right w:val="nil"/>
            </w:tcBorders>
            <w:shd w:val="clear" w:color="auto" w:fill="auto"/>
            <w:vAlign w:val="bottom"/>
          </w:tcPr>
          <w:p w14:paraId="41E83B05" w14:textId="1B02B222" w:rsidR="00B61977" w:rsidRPr="00537128" w:rsidRDefault="00B61977" w:rsidP="00B61977">
            <w:pPr>
              <w:tabs>
                <w:tab w:val="right" w:pos="1202"/>
              </w:tabs>
              <w:spacing w:after="0"/>
              <w:jc w:val="right"/>
              <w:outlineLvl w:val="0"/>
              <w:rPr>
                <w:rFonts w:eastAsia="Calibri" w:cstheme="minorHAnsi"/>
                <w:spacing w:val="-2"/>
                <w:lang w:val="en-US"/>
              </w:rPr>
            </w:pPr>
            <w:r>
              <w:rPr>
                <w:rFonts w:ascii="Calibri" w:hAnsi="Calibri" w:cs="Calibri"/>
                <w:color w:val="000000"/>
              </w:rPr>
              <w:t>3</w:t>
            </w:r>
            <w:r w:rsidR="00240757">
              <w:rPr>
                <w:rFonts w:ascii="Calibri" w:hAnsi="Calibri" w:cs="Calibri"/>
                <w:color w:val="000000"/>
              </w:rPr>
              <w:t>,</w:t>
            </w:r>
            <w:r>
              <w:rPr>
                <w:rFonts w:ascii="Calibri" w:hAnsi="Calibri" w:cs="Calibri"/>
                <w:color w:val="000000"/>
              </w:rPr>
              <w:t>249</w:t>
            </w:r>
            <w:r w:rsidR="00240757">
              <w:rPr>
                <w:rFonts w:ascii="Calibri" w:hAnsi="Calibri" w:cs="Calibri"/>
                <w:color w:val="000000"/>
              </w:rPr>
              <w:t>,</w:t>
            </w:r>
            <w:r>
              <w:rPr>
                <w:rFonts w:ascii="Calibri" w:hAnsi="Calibri" w:cs="Calibri"/>
                <w:color w:val="000000"/>
              </w:rPr>
              <w:t>003</w:t>
            </w:r>
          </w:p>
        </w:tc>
        <w:tc>
          <w:tcPr>
            <w:tcW w:w="155" w:type="pct"/>
            <w:vAlign w:val="bottom"/>
          </w:tcPr>
          <w:p w14:paraId="052CFE3F" w14:textId="77777777" w:rsidR="00B61977" w:rsidRPr="00537128" w:rsidRDefault="00B61977" w:rsidP="00B61977">
            <w:pPr>
              <w:tabs>
                <w:tab w:val="right" w:pos="1202"/>
              </w:tabs>
              <w:spacing w:after="0"/>
              <w:jc w:val="right"/>
              <w:outlineLvl w:val="0"/>
              <w:rPr>
                <w:rFonts w:eastAsia="Calibri" w:cstheme="minorHAnsi"/>
                <w:spacing w:val="-2"/>
                <w:lang w:val="en-US"/>
              </w:rPr>
            </w:pPr>
          </w:p>
        </w:tc>
        <w:tc>
          <w:tcPr>
            <w:tcW w:w="718" w:type="pct"/>
            <w:tcBorders>
              <w:top w:val="nil"/>
              <w:left w:val="nil"/>
              <w:bottom w:val="nil"/>
              <w:right w:val="nil"/>
            </w:tcBorders>
            <w:shd w:val="clear" w:color="auto" w:fill="auto"/>
            <w:vAlign w:val="bottom"/>
          </w:tcPr>
          <w:p w14:paraId="2A2258AE" w14:textId="33B7C3F3" w:rsidR="00B61977" w:rsidRPr="00537128" w:rsidRDefault="00B61977" w:rsidP="00B61977">
            <w:pPr>
              <w:tabs>
                <w:tab w:val="right" w:pos="1202"/>
              </w:tabs>
              <w:spacing w:after="0"/>
              <w:jc w:val="right"/>
              <w:outlineLvl w:val="0"/>
              <w:rPr>
                <w:rFonts w:eastAsia="Calibri" w:cstheme="minorHAnsi"/>
                <w:color w:val="000000"/>
                <w:lang w:val="en-US"/>
              </w:rPr>
            </w:pPr>
            <w:r w:rsidRPr="00837717">
              <w:rPr>
                <w:rFonts w:ascii="Calibri" w:hAnsi="Calibri" w:cs="Calibri"/>
                <w:color w:val="000000" w:themeColor="text1"/>
              </w:rPr>
              <w:t>2</w:t>
            </w:r>
            <w:r>
              <w:rPr>
                <w:rFonts w:ascii="Calibri" w:hAnsi="Calibri" w:cs="Calibri"/>
                <w:color w:val="000000" w:themeColor="text1"/>
              </w:rPr>
              <w:t>,</w:t>
            </w:r>
            <w:r w:rsidRPr="00837717">
              <w:rPr>
                <w:rFonts w:ascii="Calibri" w:hAnsi="Calibri" w:cs="Calibri"/>
                <w:color w:val="000000" w:themeColor="text1"/>
              </w:rPr>
              <w:t>972</w:t>
            </w:r>
            <w:r>
              <w:rPr>
                <w:rFonts w:ascii="Calibri" w:hAnsi="Calibri" w:cs="Calibri"/>
                <w:color w:val="000000" w:themeColor="text1"/>
              </w:rPr>
              <w:t>,</w:t>
            </w:r>
            <w:r w:rsidRPr="00837717">
              <w:rPr>
                <w:rFonts w:ascii="Calibri" w:hAnsi="Calibri" w:cs="Calibri"/>
                <w:color w:val="000000" w:themeColor="text1"/>
              </w:rPr>
              <w:t>530</w:t>
            </w:r>
          </w:p>
        </w:tc>
      </w:tr>
      <w:tr w:rsidR="00B61977" w:rsidRPr="00537128" w14:paraId="015695DF" w14:textId="77777777" w:rsidTr="00076EA4">
        <w:trPr>
          <w:trHeight w:hRule="exact" w:val="318"/>
        </w:trPr>
        <w:tc>
          <w:tcPr>
            <w:tcW w:w="2942" w:type="pct"/>
            <w:vAlign w:val="bottom"/>
          </w:tcPr>
          <w:p w14:paraId="2217FC74" w14:textId="442F1BEB" w:rsidR="00B61977" w:rsidRPr="00537128" w:rsidRDefault="00B61977" w:rsidP="00B61977">
            <w:pPr>
              <w:tabs>
                <w:tab w:val="right" w:pos="1202"/>
              </w:tabs>
              <w:spacing w:after="0"/>
              <w:outlineLvl w:val="0"/>
              <w:rPr>
                <w:rFonts w:eastAsia="Calibri" w:cstheme="minorHAnsi"/>
                <w:lang w:val="en-US"/>
              </w:rPr>
            </w:pPr>
            <w:bookmarkStart w:id="37" w:name="_Toc4056984"/>
            <w:r w:rsidRPr="00537128">
              <w:rPr>
                <w:rFonts w:eastAsia="Calibri" w:cstheme="minorHAnsi"/>
                <w:lang w:val="en-US"/>
              </w:rPr>
              <w:t>Property, plant and equipment and intangible assets</w:t>
            </w:r>
            <w:bookmarkEnd w:id="37"/>
          </w:p>
        </w:tc>
        <w:tc>
          <w:tcPr>
            <w:tcW w:w="464" w:type="pct"/>
            <w:vAlign w:val="bottom"/>
          </w:tcPr>
          <w:p w14:paraId="0D3CA418" w14:textId="04D97AFB" w:rsidR="00B61977" w:rsidRPr="00537128" w:rsidRDefault="00B61977" w:rsidP="00B61977">
            <w:pPr>
              <w:tabs>
                <w:tab w:val="right" w:pos="1202"/>
              </w:tabs>
              <w:spacing w:after="0"/>
              <w:jc w:val="center"/>
              <w:outlineLvl w:val="0"/>
              <w:rPr>
                <w:rFonts w:eastAsia="Calibri" w:cstheme="minorHAnsi"/>
                <w:snapToGrid w:val="0"/>
                <w:highlight w:val="yellow"/>
                <w:lang w:val="en-US"/>
              </w:rPr>
            </w:pPr>
          </w:p>
        </w:tc>
        <w:tc>
          <w:tcPr>
            <w:tcW w:w="721" w:type="pct"/>
            <w:tcBorders>
              <w:top w:val="nil"/>
              <w:left w:val="nil"/>
              <w:bottom w:val="nil"/>
              <w:right w:val="nil"/>
            </w:tcBorders>
            <w:shd w:val="clear" w:color="auto" w:fill="auto"/>
            <w:vAlign w:val="center"/>
          </w:tcPr>
          <w:p w14:paraId="6A6FD7CD" w14:textId="156136C9" w:rsidR="00B61977" w:rsidRPr="00537128" w:rsidRDefault="00B61977" w:rsidP="00B61977">
            <w:pPr>
              <w:tabs>
                <w:tab w:val="right" w:pos="1202"/>
              </w:tabs>
              <w:spacing w:after="0"/>
              <w:jc w:val="right"/>
              <w:outlineLvl w:val="0"/>
              <w:rPr>
                <w:rFonts w:eastAsia="Calibri" w:cstheme="minorHAnsi"/>
                <w:snapToGrid w:val="0"/>
                <w:lang w:val="en-US"/>
              </w:rPr>
            </w:pPr>
            <w:r>
              <w:rPr>
                <w:rFonts w:ascii="Calibri" w:hAnsi="Calibri" w:cs="Calibri"/>
                <w:color w:val="000000"/>
              </w:rPr>
              <w:t>43</w:t>
            </w:r>
            <w:r w:rsidR="00240757">
              <w:rPr>
                <w:rFonts w:ascii="Calibri" w:hAnsi="Calibri" w:cs="Calibri"/>
                <w:color w:val="000000"/>
              </w:rPr>
              <w:t>,</w:t>
            </w:r>
            <w:r>
              <w:rPr>
                <w:rFonts w:ascii="Calibri" w:hAnsi="Calibri" w:cs="Calibri"/>
                <w:color w:val="000000"/>
              </w:rPr>
              <w:t>623</w:t>
            </w:r>
          </w:p>
        </w:tc>
        <w:tc>
          <w:tcPr>
            <w:tcW w:w="155" w:type="pct"/>
            <w:vAlign w:val="bottom"/>
          </w:tcPr>
          <w:p w14:paraId="5FB6BE52" w14:textId="77777777" w:rsidR="00B61977" w:rsidRPr="00537128" w:rsidRDefault="00B61977" w:rsidP="00B61977">
            <w:pPr>
              <w:tabs>
                <w:tab w:val="right" w:pos="1202"/>
              </w:tabs>
              <w:spacing w:after="0"/>
              <w:jc w:val="right"/>
              <w:outlineLvl w:val="0"/>
              <w:rPr>
                <w:rFonts w:eastAsia="Calibri" w:cstheme="minorHAnsi"/>
                <w:snapToGrid w:val="0"/>
                <w:lang w:val="en-US"/>
              </w:rPr>
            </w:pPr>
          </w:p>
        </w:tc>
        <w:tc>
          <w:tcPr>
            <w:tcW w:w="718" w:type="pct"/>
            <w:tcBorders>
              <w:top w:val="nil"/>
              <w:left w:val="nil"/>
              <w:bottom w:val="nil"/>
              <w:right w:val="nil"/>
            </w:tcBorders>
            <w:shd w:val="clear" w:color="auto" w:fill="auto"/>
            <w:vAlign w:val="center"/>
          </w:tcPr>
          <w:p w14:paraId="00B02A62" w14:textId="0E374C1E" w:rsidR="00B61977" w:rsidRPr="00537128" w:rsidRDefault="00B61977" w:rsidP="00B61977">
            <w:pPr>
              <w:tabs>
                <w:tab w:val="right" w:pos="1202"/>
              </w:tabs>
              <w:spacing w:after="0"/>
              <w:jc w:val="right"/>
              <w:outlineLvl w:val="0"/>
              <w:rPr>
                <w:rFonts w:eastAsia="Calibri" w:cstheme="minorHAnsi"/>
                <w:snapToGrid w:val="0"/>
                <w:lang w:val="en-US"/>
              </w:rPr>
            </w:pPr>
            <w:r w:rsidRPr="00837717">
              <w:rPr>
                <w:rFonts w:ascii="Calibri" w:hAnsi="Calibri" w:cs="Calibri"/>
                <w:color w:val="000000" w:themeColor="text1"/>
              </w:rPr>
              <w:t>43</w:t>
            </w:r>
            <w:r>
              <w:rPr>
                <w:rFonts w:ascii="Calibri" w:hAnsi="Calibri" w:cs="Calibri"/>
                <w:color w:val="000000" w:themeColor="text1"/>
              </w:rPr>
              <w:t>,</w:t>
            </w:r>
            <w:r w:rsidRPr="00837717">
              <w:rPr>
                <w:rFonts w:ascii="Calibri" w:hAnsi="Calibri" w:cs="Calibri"/>
                <w:color w:val="000000" w:themeColor="text1"/>
              </w:rPr>
              <w:t>937</w:t>
            </w:r>
          </w:p>
        </w:tc>
      </w:tr>
      <w:tr w:rsidR="00B61977" w:rsidRPr="00537128" w14:paraId="0581BEE1" w14:textId="77777777" w:rsidTr="00076EA4">
        <w:trPr>
          <w:trHeight w:hRule="exact" w:val="318"/>
        </w:trPr>
        <w:tc>
          <w:tcPr>
            <w:tcW w:w="2942" w:type="pct"/>
            <w:vAlign w:val="bottom"/>
          </w:tcPr>
          <w:p w14:paraId="71C03C30" w14:textId="77777777" w:rsidR="00B61977" w:rsidRPr="00537128" w:rsidRDefault="00B61977" w:rsidP="00B61977">
            <w:pPr>
              <w:tabs>
                <w:tab w:val="right" w:pos="1202"/>
              </w:tabs>
              <w:spacing w:after="0"/>
              <w:outlineLvl w:val="0"/>
              <w:rPr>
                <w:rFonts w:eastAsia="Calibri" w:cstheme="minorHAnsi"/>
                <w:lang w:val="en-US"/>
              </w:rPr>
            </w:pPr>
            <w:r w:rsidRPr="00537128">
              <w:rPr>
                <w:rFonts w:eastAsia="Calibri" w:cstheme="minorHAnsi"/>
                <w:lang w:val="en-US"/>
              </w:rPr>
              <w:t xml:space="preserve">Foreclosed assets </w:t>
            </w:r>
          </w:p>
        </w:tc>
        <w:tc>
          <w:tcPr>
            <w:tcW w:w="464" w:type="pct"/>
            <w:vAlign w:val="bottom"/>
          </w:tcPr>
          <w:p w14:paraId="76D20145" w14:textId="0415772B" w:rsidR="00B61977" w:rsidRPr="00A1123E" w:rsidRDefault="00B61977" w:rsidP="00B61977">
            <w:pPr>
              <w:tabs>
                <w:tab w:val="right" w:pos="1202"/>
              </w:tabs>
              <w:spacing w:after="0"/>
              <w:jc w:val="center"/>
              <w:outlineLvl w:val="0"/>
              <w:rPr>
                <w:rFonts w:eastAsia="Calibri" w:cstheme="minorHAnsi"/>
                <w:snapToGrid w:val="0"/>
                <w:lang w:val="en-US"/>
              </w:rPr>
            </w:pPr>
            <w:r w:rsidRPr="00A1123E">
              <w:rPr>
                <w:rFonts w:eastAsia="Calibri" w:cstheme="minorHAnsi"/>
                <w:snapToGrid w:val="0"/>
                <w:lang w:val="en-US"/>
              </w:rPr>
              <w:t>15</w:t>
            </w:r>
          </w:p>
        </w:tc>
        <w:tc>
          <w:tcPr>
            <w:tcW w:w="721" w:type="pct"/>
            <w:tcBorders>
              <w:top w:val="nil"/>
              <w:left w:val="nil"/>
              <w:bottom w:val="nil"/>
              <w:right w:val="nil"/>
            </w:tcBorders>
            <w:shd w:val="clear" w:color="auto" w:fill="auto"/>
            <w:vAlign w:val="center"/>
          </w:tcPr>
          <w:p w14:paraId="7187A116" w14:textId="2E675A29" w:rsidR="00B61977" w:rsidRPr="00537128" w:rsidRDefault="00B61977" w:rsidP="00B61977">
            <w:pPr>
              <w:tabs>
                <w:tab w:val="right" w:pos="1202"/>
              </w:tabs>
              <w:spacing w:after="0"/>
              <w:jc w:val="right"/>
              <w:outlineLvl w:val="0"/>
              <w:rPr>
                <w:rFonts w:eastAsia="Calibri" w:cstheme="minorHAnsi"/>
                <w:snapToGrid w:val="0"/>
                <w:lang w:val="en-US"/>
              </w:rPr>
            </w:pPr>
            <w:r>
              <w:rPr>
                <w:rFonts w:ascii="Calibri" w:hAnsi="Calibri" w:cs="Calibri"/>
                <w:color w:val="000000"/>
              </w:rPr>
              <w:t>24</w:t>
            </w:r>
            <w:r w:rsidR="00240757">
              <w:rPr>
                <w:rFonts w:ascii="Calibri" w:hAnsi="Calibri" w:cs="Calibri"/>
                <w:color w:val="000000"/>
              </w:rPr>
              <w:t>,</w:t>
            </w:r>
            <w:r>
              <w:rPr>
                <w:rFonts w:ascii="Calibri" w:hAnsi="Calibri" w:cs="Calibri"/>
                <w:color w:val="000000"/>
              </w:rPr>
              <w:t>996</w:t>
            </w:r>
          </w:p>
        </w:tc>
        <w:tc>
          <w:tcPr>
            <w:tcW w:w="155" w:type="pct"/>
            <w:vAlign w:val="bottom"/>
          </w:tcPr>
          <w:p w14:paraId="7B3BADEB" w14:textId="77777777" w:rsidR="00B61977" w:rsidRPr="00537128" w:rsidRDefault="00B61977" w:rsidP="00B61977">
            <w:pPr>
              <w:tabs>
                <w:tab w:val="right" w:pos="1202"/>
              </w:tabs>
              <w:spacing w:after="0"/>
              <w:jc w:val="right"/>
              <w:outlineLvl w:val="0"/>
              <w:rPr>
                <w:rFonts w:eastAsia="Calibri" w:cstheme="minorHAnsi"/>
                <w:snapToGrid w:val="0"/>
                <w:lang w:val="en-US"/>
              </w:rPr>
            </w:pPr>
          </w:p>
        </w:tc>
        <w:tc>
          <w:tcPr>
            <w:tcW w:w="718" w:type="pct"/>
            <w:tcBorders>
              <w:top w:val="nil"/>
              <w:left w:val="nil"/>
              <w:bottom w:val="nil"/>
              <w:right w:val="nil"/>
            </w:tcBorders>
            <w:shd w:val="clear" w:color="auto" w:fill="auto"/>
            <w:vAlign w:val="center"/>
          </w:tcPr>
          <w:p w14:paraId="3B8C03FC" w14:textId="30A5CF85" w:rsidR="00B61977" w:rsidRPr="00537128" w:rsidRDefault="00B61977" w:rsidP="00B61977">
            <w:pPr>
              <w:tabs>
                <w:tab w:val="right" w:pos="1202"/>
              </w:tabs>
              <w:spacing w:after="0"/>
              <w:jc w:val="right"/>
              <w:outlineLvl w:val="0"/>
              <w:rPr>
                <w:rFonts w:eastAsia="Calibri" w:cstheme="minorHAnsi"/>
                <w:snapToGrid w:val="0"/>
                <w:lang w:val="en-US"/>
              </w:rPr>
            </w:pPr>
            <w:r w:rsidRPr="00837717">
              <w:rPr>
                <w:rFonts w:ascii="Calibri" w:hAnsi="Calibri" w:cs="Calibri"/>
                <w:color w:val="000000" w:themeColor="text1"/>
              </w:rPr>
              <w:t>21</w:t>
            </w:r>
            <w:r>
              <w:rPr>
                <w:rFonts w:ascii="Calibri" w:hAnsi="Calibri" w:cs="Calibri"/>
                <w:color w:val="000000" w:themeColor="text1"/>
              </w:rPr>
              <w:t>,</w:t>
            </w:r>
            <w:r w:rsidRPr="00837717">
              <w:rPr>
                <w:rFonts w:ascii="Calibri" w:hAnsi="Calibri" w:cs="Calibri"/>
                <w:color w:val="000000" w:themeColor="text1"/>
              </w:rPr>
              <w:t>369</w:t>
            </w:r>
          </w:p>
        </w:tc>
      </w:tr>
      <w:tr w:rsidR="00B61977" w:rsidRPr="00537128" w14:paraId="02D62BB1" w14:textId="77777777" w:rsidTr="00076EA4">
        <w:trPr>
          <w:trHeight w:hRule="exact" w:val="318"/>
        </w:trPr>
        <w:tc>
          <w:tcPr>
            <w:tcW w:w="2942" w:type="pct"/>
            <w:vAlign w:val="bottom"/>
          </w:tcPr>
          <w:p w14:paraId="5D847988" w14:textId="6C29CA2A" w:rsidR="00B61977" w:rsidRPr="00537128" w:rsidRDefault="00B61977" w:rsidP="00B61977">
            <w:pPr>
              <w:tabs>
                <w:tab w:val="right" w:pos="1202"/>
              </w:tabs>
              <w:spacing w:after="0"/>
              <w:outlineLvl w:val="0"/>
              <w:rPr>
                <w:rFonts w:eastAsia="Calibri" w:cstheme="minorHAnsi"/>
                <w:lang w:val="en-US"/>
              </w:rPr>
            </w:pPr>
            <w:bookmarkStart w:id="38" w:name="_Toc4056992"/>
            <w:r w:rsidRPr="00537128">
              <w:rPr>
                <w:rFonts w:eastAsia="Calibri" w:cstheme="minorHAnsi"/>
                <w:lang w:val="en-US"/>
              </w:rPr>
              <w:t>Other assets</w:t>
            </w:r>
            <w:bookmarkEnd w:id="38"/>
          </w:p>
        </w:tc>
        <w:tc>
          <w:tcPr>
            <w:tcW w:w="464" w:type="pct"/>
            <w:vAlign w:val="bottom"/>
          </w:tcPr>
          <w:p w14:paraId="3E372E4C" w14:textId="468950D0" w:rsidR="00B61977" w:rsidRPr="00A1123E" w:rsidRDefault="00B61977" w:rsidP="00B61977">
            <w:pPr>
              <w:tabs>
                <w:tab w:val="right" w:pos="1202"/>
              </w:tabs>
              <w:spacing w:after="0"/>
              <w:jc w:val="center"/>
              <w:outlineLvl w:val="0"/>
              <w:rPr>
                <w:rFonts w:eastAsia="Calibri" w:cstheme="minorHAnsi"/>
                <w:snapToGrid w:val="0"/>
                <w:lang w:val="en-US"/>
              </w:rPr>
            </w:pPr>
            <w:r w:rsidRPr="00A1123E">
              <w:rPr>
                <w:rFonts w:eastAsia="Calibri" w:cstheme="minorHAnsi"/>
                <w:snapToGrid w:val="0"/>
                <w:lang w:val="en-US"/>
              </w:rPr>
              <w:t>16</w:t>
            </w:r>
          </w:p>
        </w:tc>
        <w:tc>
          <w:tcPr>
            <w:tcW w:w="721" w:type="pct"/>
            <w:tcBorders>
              <w:top w:val="nil"/>
              <w:left w:val="nil"/>
              <w:bottom w:val="nil"/>
              <w:right w:val="nil"/>
            </w:tcBorders>
            <w:shd w:val="clear" w:color="auto" w:fill="auto"/>
            <w:vAlign w:val="center"/>
          </w:tcPr>
          <w:p w14:paraId="65F7F5EB" w14:textId="254C8E9E" w:rsidR="00B61977" w:rsidRPr="00537128" w:rsidRDefault="00B61977" w:rsidP="00B61977">
            <w:pPr>
              <w:tabs>
                <w:tab w:val="right" w:pos="1202"/>
              </w:tabs>
              <w:spacing w:after="0"/>
              <w:jc w:val="right"/>
              <w:outlineLvl w:val="0"/>
              <w:rPr>
                <w:rFonts w:eastAsia="Calibri" w:cstheme="minorHAnsi"/>
                <w:snapToGrid w:val="0"/>
                <w:lang w:val="en-US"/>
              </w:rPr>
            </w:pPr>
            <w:r>
              <w:rPr>
                <w:rFonts w:ascii="Calibri" w:hAnsi="Calibri" w:cs="Calibri"/>
                <w:color w:val="000000"/>
              </w:rPr>
              <w:t>42</w:t>
            </w:r>
            <w:r w:rsidR="00240757">
              <w:rPr>
                <w:rFonts w:ascii="Calibri" w:hAnsi="Calibri" w:cs="Calibri"/>
                <w:color w:val="000000"/>
              </w:rPr>
              <w:t>,</w:t>
            </w:r>
            <w:r>
              <w:rPr>
                <w:rFonts w:ascii="Calibri" w:hAnsi="Calibri" w:cs="Calibri"/>
                <w:color w:val="000000"/>
              </w:rPr>
              <w:t>999</w:t>
            </w:r>
          </w:p>
        </w:tc>
        <w:tc>
          <w:tcPr>
            <w:tcW w:w="155" w:type="pct"/>
            <w:vAlign w:val="bottom"/>
          </w:tcPr>
          <w:p w14:paraId="74A2302E" w14:textId="77777777" w:rsidR="00B61977" w:rsidRPr="00537128" w:rsidRDefault="00B61977" w:rsidP="00B61977">
            <w:pPr>
              <w:tabs>
                <w:tab w:val="right" w:pos="1202"/>
              </w:tabs>
              <w:spacing w:after="0"/>
              <w:jc w:val="right"/>
              <w:outlineLvl w:val="0"/>
              <w:rPr>
                <w:rFonts w:eastAsia="Calibri" w:cstheme="minorHAnsi"/>
                <w:snapToGrid w:val="0"/>
                <w:lang w:val="en-US"/>
              </w:rPr>
            </w:pPr>
          </w:p>
        </w:tc>
        <w:tc>
          <w:tcPr>
            <w:tcW w:w="718" w:type="pct"/>
            <w:tcBorders>
              <w:top w:val="nil"/>
              <w:left w:val="nil"/>
              <w:bottom w:val="nil"/>
              <w:right w:val="nil"/>
            </w:tcBorders>
            <w:shd w:val="clear" w:color="auto" w:fill="auto"/>
            <w:vAlign w:val="center"/>
          </w:tcPr>
          <w:p w14:paraId="0D1F3F90" w14:textId="5E079DB9" w:rsidR="00B61977" w:rsidRPr="00537128" w:rsidRDefault="00B61977" w:rsidP="00B61977">
            <w:pPr>
              <w:tabs>
                <w:tab w:val="right" w:pos="1202"/>
              </w:tabs>
              <w:spacing w:after="0"/>
              <w:jc w:val="right"/>
              <w:outlineLvl w:val="0"/>
              <w:rPr>
                <w:rFonts w:eastAsia="Calibri" w:cstheme="minorHAnsi"/>
                <w:snapToGrid w:val="0"/>
                <w:lang w:val="en-US"/>
              </w:rPr>
            </w:pPr>
            <w:r w:rsidRPr="00837717">
              <w:rPr>
                <w:rFonts w:ascii="Calibri" w:hAnsi="Calibri" w:cs="Calibri"/>
                <w:color w:val="000000" w:themeColor="text1"/>
              </w:rPr>
              <w:t>37</w:t>
            </w:r>
            <w:r>
              <w:rPr>
                <w:rFonts w:ascii="Calibri" w:hAnsi="Calibri" w:cs="Calibri"/>
                <w:color w:val="000000" w:themeColor="text1"/>
              </w:rPr>
              <w:t>,</w:t>
            </w:r>
            <w:r w:rsidRPr="00837717">
              <w:rPr>
                <w:rFonts w:ascii="Calibri" w:hAnsi="Calibri" w:cs="Calibri"/>
                <w:color w:val="000000" w:themeColor="text1"/>
              </w:rPr>
              <w:t>537</w:t>
            </w:r>
          </w:p>
        </w:tc>
      </w:tr>
      <w:tr w:rsidR="00B61977" w:rsidRPr="00537128" w14:paraId="61F08613" w14:textId="77777777" w:rsidTr="000C292B">
        <w:trPr>
          <w:trHeight w:hRule="exact" w:val="397"/>
        </w:trPr>
        <w:tc>
          <w:tcPr>
            <w:tcW w:w="2942" w:type="pct"/>
            <w:vAlign w:val="bottom"/>
          </w:tcPr>
          <w:p w14:paraId="6D56D780" w14:textId="08E6DDC5" w:rsidR="00B61977" w:rsidRPr="00537128" w:rsidRDefault="00B61977" w:rsidP="00B61977">
            <w:pPr>
              <w:tabs>
                <w:tab w:val="right" w:pos="1202"/>
              </w:tabs>
              <w:spacing w:after="0"/>
              <w:outlineLvl w:val="0"/>
              <w:rPr>
                <w:rFonts w:eastAsia="Calibri" w:cstheme="minorHAnsi"/>
                <w:b/>
                <w:bCs/>
                <w:lang w:val="en-US"/>
              </w:rPr>
            </w:pPr>
            <w:bookmarkStart w:id="39" w:name="_Toc4056996"/>
            <w:r w:rsidRPr="00537128">
              <w:rPr>
                <w:rFonts w:eastAsia="Calibri" w:cstheme="minorHAnsi"/>
                <w:b/>
                <w:bCs/>
                <w:lang w:val="en-US"/>
              </w:rPr>
              <w:t>Total assets</w:t>
            </w:r>
            <w:bookmarkEnd w:id="39"/>
            <w:r w:rsidRPr="00537128">
              <w:rPr>
                <w:rFonts w:eastAsia="Calibri" w:cstheme="minorHAnsi"/>
                <w:b/>
                <w:bCs/>
                <w:lang w:val="en-US"/>
              </w:rPr>
              <w:t xml:space="preserve"> </w:t>
            </w:r>
          </w:p>
        </w:tc>
        <w:tc>
          <w:tcPr>
            <w:tcW w:w="464" w:type="pct"/>
            <w:vAlign w:val="bottom"/>
          </w:tcPr>
          <w:p w14:paraId="37963E2B" w14:textId="77777777" w:rsidR="00B61977" w:rsidRPr="00A1123E" w:rsidRDefault="00B61977" w:rsidP="00B61977">
            <w:pPr>
              <w:tabs>
                <w:tab w:val="right" w:pos="1202"/>
              </w:tabs>
              <w:spacing w:after="0"/>
              <w:jc w:val="center"/>
              <w:outlineLvl w:val="0"/>
              <w:rPr>
                <w:rFonts w:eastAsia="Calibri" w:cstheme="minorHAnsi"/>
                <w:b/>
                <w:bCs/>
                <w:lang w:val="en-US"/>
              </w:rPr>
            </w:pPr>
          </w:p>
        </w:tc>
        <w:tc>
          <w:tcPr>
            <w:tcW w:w="721" w:type="pct"/>
            <w:tcBorders>
              <w:top w:val="single" w:sz="2" w:space="0" w:color="auto"/>
              <w:bottom w:val="single" w:sz="12" w:space="0" w:color="auto"/>
            </w:tcBorders>
            <w:vAlign w:val="bottom"/>
          </w:tcPr>
          <w:p w14:paraId="19DBBAFC" w14:textId="1A045486" w:rsidR="00B61977" w:rsidRPr="00537128" w:rsidRDefault="00B61977" w:rsidP="00B61977">
            <w:pPr>
              <w:tabs>
                <w:tab w:val="right" w:pos="1202"/>
              </w:tabs>
              <w:spacing w:after="0"/>
              <w:jc w:val="right"/>
              <w:outlineLvl w:val="0"/>
              <w:rPr>
                <w:rFonts w:eastAsia="Calibri" w:cstheme="minorHAnsi"/>
                <w:b/>
                <w:bCs/>
                <w:lang w:val="en-US"/>
              </w:rPr>
            </w:pPr>
            <w:r>
              <w:rPr>
                <w:rFonts w:cs="Arial"/>
                <w:b/>
                <w:bCs/>
                <w:color w:val="000000" w:themeColor="text1"/>
              </w:rPr>
              <w:t>27</w:t>
            </w:r>
            <w:r w:rsidR="00240757">
              <w:rPr>
                <w:rFonts w:cs="Arial"/>
                <w:b/>
                <w:bCs/>
                <w:color w:val="000000" w:themeColor="text1"/>
              </w:rPr>
              <w:t>,</w:t>
            </w:r>
            <w:r>
              <w:rPr>
                <w:rFonts w:cs="Arial"/>
                <w:b/>
                <w:bCs/>
                <w:color w:val="000000" w:themeColor="text1"/>
              </w:rPr>
              <w:t>751</w:t>
            </w:r>
            <w:r w:rsidR="00240757">
              <w:rPr>
                <w:rFonts w:cs="Arial"/>
                <w:b/>
                <w:bCs/>
                <w:color w:val="000000" w:themeColor="text1"/>
              </w:rPr>
              <w:t>,</w:t>
            </w:r>
            <w:r>
              <w:rPr>
                <w:rFonts w:cs="Arial"/>
                <w:b/>
                <w:bCs/>
                <w:color w:val="000000" w:themeColor="text1"/>
              </w:rPr>
              <w:t>341</w:t>
            </w:r>
          </w:p>
        </w:tc>
        <w:tc>
          <w:tcPr>
            <w:tcW w:w="155" w:type="pct"/>
            <w:tcBorders>
              <w:top w:val="single" w:sz="4" w:space="0" w:color="auto"/>
              <w:bottom w:val="single" w:sz="12" w:space="0" w:color="auto"/>
            </w:tcBorders>
            <w:vAlign w:val="bottom"/>
          </w:tcPr>
          <w:p w14:paraId="1DA11457" w14:textId="77777777" w:rsidR="00B61977" w:rsidRPr="00537128" w:rsidRDefault="00B61977" w:rsidP="00B61977">
            <w:pPr>
              <w:tabs>
                <w:tab w:val="right" w:pos="1202"/>
              </w:tabs>
              <w:spacing w:after="0"/>
              <w:jc w:val="right"/>
              <w:outlineLvl w:val="0"/>
              <w:rPr>
                <w:rFonts w:eastAsia="Calibri" w:cstheme="minorHAnsi"/>
                <w:b/>
                <w:bCs/>
                <w:lang w:val="en-US"/>
              </w:rPr>
            </w:pPr>
          </w:p>
        </w:tc>
        <w:tc>
          <w:tcPr>
            <w:tcW w:w="718" w:type="pct"/>
            <w:tcBorders>
              <w:top w:val="single" w:sz="2" w:space="0" w:color="auto"/>
              <w:bottom w:val="single" w:sz="12" w:space="0" w:color="auto"/>
            </w:tcBorders>
            <w:vAlign w:val="bottom"/>
          </w:tcPr>
          <w:p w14:paraId="47960953" w14:textId="05FE2B1F" w:rsidR="00B61977" w:rsidRPr="00537128" w:rsidRDefault="00B61977" w:rsidP="00B61977">
            <w:pPr>
              <w:tabs>
                <w:tab w:val="right" w:pos="1202"/>
              </w:tabs>
              <w:spacing w:after="0"/>
              <w:jc w:val="right"/>
              <w:outlineLvl w:val="0"/>
              <w:rPr>
                <w:rFonts w:eastAsia="Calibri" w:cstheme="minorHAnsi"/>
                <w:b/>
                <w:bCs/>
                <w:lang w:val="en-US"/>
              </w:rPr>
            </w:pPr>
            <w:r w:rsidRPr="00837717">
              <w:rPr>
                <w:rFonts w:cs="Arial"/>
                <w:b/>
                <w:bCs/>
                <w:color w:val="000000" w:themeColor="text1"/>
              </w:rPr>
              <w:t>28</w:t>
            </w:r>
            <w:r>
              <w:rPr>
                <w:rFonts w:cs="Arial"/>
                <w:b/>
                <w:bCs/>
                <w:color w:val="000000" w:themeColor="text1"/>
              </w:rPr>
              <w:t>,</w:t>
            </w:r>
            <w:r w:rsidRPr="00837717">
              <w:rPr>
                <w:rFonts w:cs="Arial"/>
                <w:b/>
                <w:bCs/>
                <w:color w:val="000000" w:themeColor="text1"/>
              </w:rPr>
              <w:t>278</w:t>
            </w:r>
            <w:r>
              <w:rPr>
                <w:rFonts w:cs="Arial"/>
                <w:b/>
                <w:bCs/>
                <w:color w:val="000000" w:themeColor="text1"/>
              </w:rPr>
              <w:t>,</w:t>
            </w:r>
            <w:r w:rsidRPr="00837717">
              <w:rPr>
                <w:rFonts w:cs="Arial"/>
                <w:b/>
                <w:bCs/>
                <w:color w:val="000000" w:themeColor="text1"/>
              </w:rPr>
              <w:t>362</w:t>
            </w:r>
          </w:p>
        </w:tc>
      </w:tr>
      <w:tr w:rsidR="00B61977" w:rsidRPr="00537128" w14:paraId="2BD00CBF" w14:textId="77777777" w:rsidTr="000C292B">
        <w:trPr>
          <w:trHeight w:hRule="exact" w:val="397"/>
        </w:trPr>
        <w:tc>
          <w:tcPr>
            <w:tcW w:w="2942" w:type="pct"/>
            <w:vAlign w:val="bottom"/>
          </w:tcPr>
          <w:p w14:paraId="63546755" w14:textId="19B50578" w:rsidR="00B61977" w:rsidRPr="00537128" w:rsidRDefault="00B61977" w:rsidP="00B61977">
            <w:pPr>
              <w:tabs>
                <w:tab w:val="right" w:pos="1202"/>
              </w:tabs>
              <w:spacing w:after="0"/>
              <w:outlineLvl w:val="0"/>
              <w:rPr>
                <w:rFonts w:eastAsia="Calibri" w:cstheme="minorHAnsi"/>
                <w:b/>
                <w:bCs/>
                <w:lang w:val="en-US"/>
              </w:rPr>
            </w:pPr>
            <w:bookmarkStart w:id="40" w:name="_Toc4056999"/>
            <w:r w:rsidRPr="00537128">
              <w:rPr>
                <w:rFonts w:eastAsia="Calibri" w:cstheme="minorHAnsi"/>
                <w:b/>
                <w:bCs/>
                <w:lang w:val="en-US"/>
              </w:rPr>
              <w:t>Liabilities</w:t>
            </w:r>
            <w:bookmarkEnd w:id="40"/>
          </w:p>
        </w:tc>
        <w:tc>
          <w:tcPr>
            <w:tcW w:w="464" w:type="pct"/>
            <w:vAlign w:val="bottom"/>
          </w:tcPr>
          <w:p w14:paraId="380D1F51" w14:textId="77777777" w:rsidR="00B61977" w:rsidRPr="00A1123E" w:rsidRDefault="00B61977" w:rsidP="00B61977">
            <w:pPr>
              <w:tabs>
                <w:tab w:val="right" w:pos="1202"/>
              </w:tabs>
              <w:spacing w:after="0"/>
              <w:jc w:val="right"/>
              <w:outlineLvl w:val="0"/>
              <w:rPr>
                <w:rFonts w:eastAsia="Calibri" w:cstheme="minorHAnsi"/>
                <w:b/>
                <w:bCs/>
                <w:lang w:val="en-US"/>
              </w:rPr>
            </w:pPr>
          </w:p>
        </w:tc>
        <w:tc>
          <w:tcPr>
            <w:tcW w:w="721" w:type="pct"/>
            <w:vAlign w:val="bottom"/>
          </w:tcPr>
          <w:p w14:paraId="6A772E6E" w14:textId="77777777" w:rsidR="00B61977" w:rsidRPr="00537128" w:rsidRDefault="00B61977" w:rsidP="00B61977">
            <w:pPr>
              <w:tabs>
                <w:tab w:val="right" w:pos="1202"/>
              </w:tabs>
              <w:spacing w:after="0"/>
              <w:jc w:val="right"/>
              <w:outlineLvl w:val="0"/>
              <w:rPr>
                <w:rFonts w:eastAsia="Calibri" w:cstheme="minorHAnsi"/>
                <w:b/>
                <w:bCs/>
                <w:lang w:val="en-US"/>
              </w:rPr>
            </w:pPr>
          </w:p>
        </w:tc>
        <w:tc>
          <w:tcPr>
            <w:tcW w:w="155" w:type="pct"/>
            <w:tcBorders>
              <w:top w:val="single" w:sz="12" w:space="0" w:color="auto"/>
            </w:tcBorders>
            <w:vAlign w:val="bottom"/>
          </w:tcPr>
          <w:p w14:paraId="793D2127" w14:textId="77777777" w:rsidR="00B61977" w:rsidRPr="00537128" w:rsidRDefault="00B61977" w:rsidP="00B61977">
            <w:pPr>
              <w:tabs>
                <w:tab w:val="right" w:pos="1202"/>
              </w:tabs>
              <w:spacing w:after="0"/>
              <w:jc w:val="right"/>
              <w:outlineLvl w:val="0"/>
              <w:rPr>
                <w:rFonts w:eastAsia="Calibri" w:cstheme="minorHAnsi"/>
                <w:b/>
                <w:bCs/>
                <w:lang w:val="en-US"/>
              </w:rPr>
            </w:pPr>
          </w:p>
        </w:tc>
        <w:tc>
          <w:tcPr>
            <w:tcW w:w="718" w:type="pct"/>
            <w:vAlign w:val="bottom"/>
          </w:tcPr>
          <w:p w14:paraId="392DC44A" w14:textId="77777777" w:rsidR="00B61977" w:rsidRPr="00537128" w:rsidRDefault="00B61977" w:rsidP="00B61977">
            <w:pPr>
              <w:tabs>
                <w:tab w:val="right" w:pos="1202"/>
              </w:tabs>
              <w:spacing w:after="0"/>
              <w:jc w:val="right"/>
              <w:outlineLvl w:val="0"/>
              <w:rPr>
                <w:rFonts w:eastAsia="Calibri" w:cstheme="minorHAnsi"/>
                <w:b/>
                <w:bCs/>
                <w:lang w:val="en-US"/>
              </w:rPr>
            </w:pPr>
          </w:p>
        </w:tc>
      </w:tr>
      <w:tr w:rsidR="00B97E55" w:rsidRPr="00537128" w14:paraId="3729BCE3" w14:textId="77777777" w:rsidTr="00BB343D">
        <w:trPr>
          <w:trHeight w:hRule="exact" w:val="318"/>
        </w:trPr>
        <w:tc>
          <w:tcPr>
            <w:tcW w:w="2942" w:type="pct"/>
            <w:vAlign w:val="bottom"/>
          </w:tcPr>
          <w:p w14:paraId="6785C843" w14:textId="43FAD19C" w:rsidR="00B97E55" w:rsidRPr="00537128" w:rsidRDefault="00B97E55" w:rsidP="00B97E55">
            <w:pPr>
              <w:tabs>
                <w:tab w:val="right" w:pos="1202"/>
              </w:tabs>
              <w:spacing w:after="0"/>
              <w:outlineLvl w:val="0"/>
              <w:rPr>
                <w:rFonts w:eastAsia="Calibri" w:cstheme="minorHAnsi"/>
                <w:lang w:val="en-US"/>
              </w:rPr>
            </w:pPr>
            <w:bookmarkStart w:id="41" w:name="_Toc4057000"/>
            <w:r w:rsidRPr="00537128">
              <w:rPr>
                <w:rFonts w:eastAsia="Calibri" w:cstheme="minorHAnsi"/>
                <w:lang w:val="en-US"/>
              </w:rPr>
              <w:t>Deposits from customers</w:t>
            </w:r>
            <w:bookmarkEnd w:id="41"/>
            <w:r w:rsidRPr="00537128">
              <w:rPr>
                <w:rFonts w:eastAsia="Calibri" w:cstheme="minorHAnsi"/>
                <w:lang w:val="en-US"/>
              </w:rPr>
              <w:t xml:space="preserve"> </w:t>
            </w:r>
          </w:p>
        </w:tc>
        <w:tc>
          <w:tcPr>
            <w:tcW w:w="464" w:type="pct"/>
            <w:vAlign w:val="bottom"/>
          </w:tcPr>
          <w:p w14:paraId="12609A1E" w14:textId="1CEE0B24" w:rsidR="00B97E55" w:rsidRPr="00A1123E" w:rsidRDefault="00B97E55" w:rsidP="00B97E55">
            <w:pPr>
              <w:tabs>
                <w:tab w:val="left" w:pos="213"/>
                <w:tab w:val="right" w:pos="1202"/>
              </w:tabs>
              <w:spacing w:after="0"/>
              <w:jc w:val="center"/>
              <w:outlineLvl w:val="0"/>
              <w:rPr>
                <w:rFonts w:eastAsia="Calibri" w:cstheme="minorHAnsi"/>
                <w:lang w:val="en-US"/>
              </w:rPr>
            </w:pPr>
            <w:r w:rsidRPr="00A1123E">
              <w:rPr>
                <w:rFonts w:eastAsia="Calibri" w:cstheme="minorHAnsi"/>
                <w:lang w:val="en-US"/>
              </w:rPr>
              <w:t>17</w:t>
            </w:r>
          </w:p>
        </w:tc>
        <w:tc>
          <w:tcPr>
            <w:tcW w:w="721" w:type="pct"/>
            <w:tcBorders>
              <w:top w:val="nil"/>
              <w:left w:val="nil"/>
              <w:bottom w:val="nil"/>
              <w:right w:val="nil"/>
            </w:tcBorders>
            <w:shd w:val="clear" w:color="auto" w:fill="auto"/>
            <w:vAlign w:val="center"/>
          </w:tcPr>
          <w:p w14:paraId="1F053A55" w14:textId="1EBC5037" w:rsidR="00B97E55" w:rsidRPr="00537128" w:rsidRDefault="00B97E55" w:rsidP="00B97E55">
            <w:pPr>
              <w:tabs>
                <w:tab w:val="right" w:pos="1202"/>
              </w:tabs>
              <w:spacing w:after="0"/>
              <w:jc w:val="right"/>
              <w:outlineLvl w:val="0"/>
              <w:rPr>
                <w:rFonts w:eastAsia="Calibri" w:cstheme="minorHAnsi"/>
                <w:lang w:val="en-US"/>
              </w:rPr>
            </w:pPr>
            <w:r>
              <w:rPr>
                <w:rFonts w:ascii="Calibri" w:hAnsi="Calibri" w:cs="Calibri"/>
                <w:color w:val="000000"/>
              </w:rPr>
              <w:t>607</w:t>
            </w:r>
            <w:r w:rsidR="00240757">
              <w:rPr>
                <w:rFonts w:ascii="Calibri" w:hAnsi="Calibri" w:cs="Calibri"/>
                <w:color w:val="000000"/>
              </w:rPr>
              <w:t>,</w:t>
            </w:r>
            <w:r>
              <w:rPr>
                <w:rFonts w:ascii="Calibri" w:hAnsi="Calibri" w:cs="Calibri"/>
                <w:color w:val="000000"/>
              </w:rPr>
              <w:t>537</w:t>
            </w:r>
          </w:p>
        </w:tc>
        <w:tc>
          <w:tcPr>
            <w:tcW w:w="155" w:type="pct"/>
            <w:vAlign w:val="bottom"/>
          </w:tcPr>
          <w:p w14:paraId="269B82A8" w14:textId="77777777" w:rsidR="00B97E55" w:rsidRPr="00537128" w:rsidRDefault="00B97E55" w:rsidP="00B97E55">
            <w:pPr>
              <w:tabs>
                <w:tab w:val="right" w:pos="1202"/>
              </w:tabs>
              <w:spacing w:after="0"/>
              <w:jc w:val="right"/>
              <w:outlineLvl w:val="0"/>
              <w:rPr>
                <w:rFonts w:eastAsia="Calibri" w:cstheme="minorHAnsi"/>
                <w:lang w:val="en-US"/>
              </w:rPr>
            </w:pPr>
          </w:p>
        </w:tc>
        <w:tc>
          <w:tcPr>
            <w:tcW w:w="718" w:type="pct"/>
            <w:tcBorders>
              <w:top w:val="nil"/>
              <w:left w:val="nil"/>
              <w:bottom w:val="nil"/>
              <w:right w:val="nil"/>
            </w:tcBorders>
            <w:shd w:val="clear" w:color="auto" w:fill="auto"/>
            <w:vAlign w:val="center"/>
          </w:tcPr>
          <w:p w14:paraId="36F02E37" w14:textId="70E0B5D5" w:rsidR="00B97E55" w:rsidRPr="00537128" w:rsidRDefault="00B97E55" w:rsidP="00B97E55">
            <w:pPr>
              <w:tabs>
                <w:tab w:val="right" w:pos="1202"/>
              </w:tabs>
              <w:spacing w:after="0"/>
              <w:jc w:val="right"/>
              <w:outlineLvl w:val="0"/>
              <w:rPr>
                <w:rFonts w:eastAsia="Calibri" w:cstheme="minorHAnsi"/>
                <w:lang w:val="en-US"/>
              </w:rPr>
            </w:pPr>
            <w:r w:rsidRPr="00837717">
              <w:rPr>
                <w:rFonts w:ascii="Calibri" w:hAnsi="Calibri" w:cs="Calibri"/>
                <w:color w:val="000000" w:themeColor="text1"/>
              </w:rPr>
              <w:t>960</w:t>
            </w:r>
            <w:r>
              <w:rPr>
                <w:rFonts w:ascii="Calibri" w:hAnsi="Calibri" w:cs="Calibri"/>
                <w:color w:val="000000" w:themeColor="text1"/>
              </w:rPr>
              <w:t>,</w:t>
            </w:r>
            <w:r w:rsidRPr="00837717">
              <w:rPr>
                <w:rFonts w:ascii="Calibri" w:hAnsi="Calibri" w:cs="Calibri"/>
                <w:color w:val="000000" w:themeColor="text1"/>
              </w:rPr>
              <w:t>541</w:t>
            </w:r>
          </w:p>
        </w:tc>
      </w:tr>
      <w:tr w:rsidR="00B97E55" w:rsidRPr="00537128" w14:paraId="23EB1ED9" w14:textId="77777777" w:rsidTr="00BB343D">
        <w:trPr>
          <w:trHeight w:hRule="exact" w:val="318"/>
        </w:trPr>
        <w:tc>
          <w:tcPr>
            <w:tcW w:w="2942" w:type="pct"/>
            <w:vAlign w:val="bottom"/>
          </w:tcPr>
          <w:p w14:paraId="57402030" w14:textId="266BC9CE" w:rsidR="00B97E55" w:rsidRPr="00537128" w:rsidRDefault="00B97E55" w:rsidP="00B97E55">
            <w:pPr>
              <w:tabs>
                <w:tab w:val="right" w:pos="1202"/>
              </w:tabs>
              <w:spacing w:after="0"/>
              <w:outlineLvl w:val="0"/>
              <w:rPr>
                <w:rFonts w:eastAsia="Calibri" w:cstheme="minorHAnsi"/>
                <w:lang w:val="en-US"/>
              </w:rPr>
            </w:pPr>
            <w:bookmarkStart w:id="42" w:name="_Toc4057004"/>
            <w:r w:rsidRPr="00537128">
              <w:rPr>
                <w:rFonts w:eastAsia="Calibri" w:cstheme="minorHAnsi"/>
                <w:lang w:val="en-US"/>
              </w:rPr>
              <w:t>Borrowings</w:t>
            </w:r>
            <w:bookmarkEnd w:id="42"/>
            <w:r w:rsidRPr="00537128">
              <w:rPr>
                <w:rFonts w:eastAsia="Calibri" w:cstheme="minorHAnsi"/>
                <w:lang w:val="en-US"/>
              </w:rPr>
              <w:t xml:space="preserve"> </w:t>
            </w:r>
          </w:p>
        </w:tc>
        <w:tc>
          <w:tcPr>
            <w:tcW w:w="464" w:type="pct"/>
            <w:vAlign w:val="bottom"/>
          </w:tcPr>
          <w:p w14:paraId="521FB577" w14:textId="732E13CE" w:rsidR="00B97E55" w:rsidRPr="00A1123E" w:rsidRDefault="00B97E55" w:rsidP="00B97E55">
            <w:pPr>
              <w:tabs>
                <w:tab w:val="left" w:pos="213"/>
                <w:tab w:val="right" w:pos="1202"/>
              </w:tabs>
              <w:spacing w:after="0"/>
              <w:jc w:val="center"/>
              <w:outlineLvl w:val="0"/>
              <w:rPr>
                <w:rFonts w:eastAsia="Calibri" w:cstheme="minorHAnsi"/>
                <w:lang w:val="en-US"/>
              </w:rPr>
            </w:pPr>
            <w:r w:rsidRPr="00A1123E">
              <w:rPr>
                <w:rFonts w:eastAsia="Calibri" w:cstheme="minorHAnsi"/>
                <w:lang w:val="en-US"/>
              </w:rPr>
              <w:t>18</w:t>
            </w:r>
          </w:p>
        </w:tc>
        <w:tc>
          <w:tcPr>
            <w:tcW w:w="721" w:type="pct"/>
            <w:tcBorders>
              <w:top w:val="nil"/>
              <w:left w:val="nil"/>
              <w:bottom w:val="nil"/>
              <w:right w:val="nil"/>
            </w:tcBorders>
            <w:shd w:val="clear" w:color="auto" w:fill="auto"/>
            <w:vAlign w:val="center"/>
          </w:tcPr>
          <w:p w14:paraId="258182E1" w14:textId="2F2CBBF0" w:rsidR="00B97E55" w:rsidRPr="00537128" w:rsidRDefault="00B97E55" w:rsidP="00B97E55">
            <w:pPr>
              <w:tabs>
                <w:tab w:val="right" w:pos="1202"/>
              </w:tabs>
              <w:spacing w:after="0"/>
              <w:jc w:val="right"/>
              <w:outlineLvl w:val="0"/>
              <w:rPr>
                <w:rFonts w:eastAsia="Calibri" w:cstheme="minorHAnsi"/>
                <w:lang w:val="en-US"/>
              </w:rPr>
            </w:pPr>
            <w:r>
              <w:rPr>
                <w:rFonts w:ascii="Calibri" w:hAnsi="Calibri" w:cs="Calibri"/>
                <w:color w:val="000000"/>
              </w:rPr>
              <w:t>15</w:t>
            </w:r>
            <w:r w:rsidR="00240757">
              <w:rPr>
                <w:rFonts w:ascii="Calibri" w:hAnsi="Calibri" w:cs="Calibri"/>
                <w:color w:val="000000"/>
              </w:rPr>
              <w:t>,</w:t>
            </w:r>
            <w:r>
              <w:rPr>
                <w:rFonts w:ascii="Calibri" w:hAnsi="Calibri" w:cs="Calibri"/>
                <w:color w:val="000000"/>
              </w:rPr>
              <w:t>828</w:t>
            </w:r>
            <w:r w:rsidR="00240757">
              <w:rPr>
                <w:rFonts w:ascii="Calibri" w:hAnsi="Calibri" w:cs="Calibri"/>
                <w:color w:val="000000"/>
              </w:rPr>
              <w:t>,</w:t>
            </w:r>
            <w:r>
              <w:rPr>
                <w:rFonts w:ascii="Calibri" w:hAnsi="Calibri" w:cs="Calibri"/>
                <w:color w:val="000000"/>
              </w:rPr>
              <w:t>623</w:t>
            </w:r>
          </w:p>
        </w:tc>
        <w:tc>
          <w:tcPr>
            <w:tcW w:w="155" w:type="pct"/>
            <w:vAlign w:val="bottom"/>
          </w:tcPr>
          <w:p w14:paraId="7486B3BF" w14:textId="77777777" w:rsidR="00B97E55" w:rsidRPr="00537128" w:rsidRDefault="00B97E55" w:rsidP="00B97E55">
            <w:pPr>
              <w:tabs>
                <w:tab w:val="right" w:pos="1202"/>
              </w:tabs>
              <w:spacing w:after="0"/>
              <w:jc w:val="right"/>
              <w:outlineLvl w:val="0"/>
              <w:rPr>
                <w:rFonts w:eastAsia="Calibri" w:cstheme="minorHAnsi"/>
                <w:lang w:val="en-US"/>
              </w:rPr>
            </w:pPr>
          </w:p>
        </w:tc>
        <w:tc>
          <w:tcPr>
            <w:tcW w:w="718" w:type="pct"/>
            <w:tcBorders>
              <w:top w:val="nil"/>
              <w:left w:val="nil"/>
              <w:bottom w:val="nil"/>
              <w:right w:val="nil"/>
            </w:tcBorders>
            <w:shd w:val="clear" w:color="auto" w:fill="auto"/>
            <w:vAlign w:val="center"/>
          </w:tcPr>
          <w:p w14:paraId="6EAAA790" w14:textId="6FC07D8F" w:rsidR="00B97E55" w:rsidRPr="00537128" w:rsidRDefault="00B97E55" w:rsidP="00B97E55">
            <w:pPr>
              <w:tabs>
                <w:tab w:val="right" w:pos="1202"/>
              </w:tabs>
              <w:spacing w:after="0"/>
              <w:jc w:val="right"/>
              <w:outlineLvl w:val="0"/>
              <w:rPr>
                <w:rFonts w:eastAsia="Calibri" w:cstheme="minorHAnsi"/>
                <w:lang w:val="en-US"/>
              </w:rPr>
            </w:pPr>
            <w:r w:rsidRPr="00837717">
              <w:rPr>
                <w:rFonts w:ascii="Calibri" w:hAnsi="Calibri" w:cs="Calibri"/>
                <w:color w:val="000000" w:themeColor="text1"/>
              </w:rPr>
              <w:t>16</w:t>
            </w:r>
            <w:r>
              <w:rPr>
                <w:rFonts w:ascii="Calibri" w:hAnsi="Calibri" w:cs="Calibri"/>
                <w:color w:val="000000" w:themeColor="text1"/>
              </w:rPr>
              <w:t>,</w:t>
            </w:r>
            <w:r w:rsidRPr="00837717">
              <w:rPr>
                <w:rFonts w:ascii="Calibri" w:hAnsi="Calibri" w:cs="Calibri"/>
                <w:color w:val="000000" w:themeColor="text1"/>
              </w:rPr>
              <w:t>115</w:t>
            </w:r>
            <w:r>
              <w:rPr>
                <w:rFonts w:ascii="Calibri" w:hAnsi="Calibri" w:cs="Calibri"/>
                <w:color w:val="000000" w:themeColor="text1"/>
              </w:rPr>
              <w:t>,</w:t>
            </w:r>
            <w:r w:rsidRPr="00837717">
              <w:rPr>
                <w:rFonts w:ascii="Calibri" w:hAnsi="Calibri" w:cs="Calibri"/>
                <w:color w:val="000000" w:themeColor="text1"/>
              </w:rPr>
              <w:t>237</w:t>
            </w:r>
          </w:p>
        </w:tc>
      </w:tr>
      <w:tr w:rsidR="00B97E55" w:rsidRPr="00537128" w14:paraId="7C7BB237" w14:textId="77777777" w:rsidTr="00BB343D">
        <w:trPr>
          <w:trHeight w:hRule="exact" w:val="318"/>
        </w:trPr>
        <w:tc>
          <w:tcPr>
            <w:tcW w:w="2942" w:type="pct"/>
            <w:vAlign w:val="bottom"/>
          </w:tcPr>
          <w:p w14:paraId="6F385CEA" w14:textId="77777777" w:rsidR="00B97E55" w:rsidRPr="00537128" w:rsidRDefault="00B97E55" w:rsidP="00B97E55">
            <w:pPr>
              <w:tabs>
                <w:tab w:val="right" w:pos="1202"/>
              </w:tabs>
              <w:spacing w:after="0"/>
              <w:outlineLvl w:val="0"/>
              <w:rPr>
                <w:rFonts w:eastAsia="Calibri" w:cstheme="minorHAnsi"/>
                <w:lang w:val="en-US"/>
              </w:rPr>
            </w:pPr>
            <w:r w:rsidRPr="00537128">
              <w:rPr>
                <w:rFonts w:eastAsia="Calibri" w:cstheme="minorHAnsi"/>
                <w:lang w:val="en-US"/>
              </w:rPr>
              <w:t xml:space="preserve">Provisions for guarantees, </w:t>
            </w:r>
            <w:proofErr w:type="gramStart"/>
            <w:r w:rsidRPr="00537128">
              <w:rPr>
                <w:rFonts w:eastAsia="Calibri" w:cstheme="minorHAnsi"/>
                <w:lang w:val="en-US"/>
              </w:rPr>
              <w:t>commitments</w:t>
            </w:r>
            <w:proofErr w:type="gramEnd"/>
            <w:r w:rsidRPr="00537128">
              <w:rPr>
                <w:rFonts w:eastAsia="Calibri" w:cstheme="minorHAnsi"/>
                <w:lang w:val="en-US"/>
              </w:rPr>
              <w:t xml:space="preserve"> and other liabilities</w:t>
            </w:r>
          </w:p>
        </w:tc>
        <w:tc>
          <w:tcPr>
            <w:tcW w:w="464" w:type="pct"/>
            <w:vAlign w:val="bottom"/>
          </w:tcPr>
          <w:p w14:paraId="60516382" w14:textId="49BABAB9" w:rsidR="00B97E55" w:rsidRPr="00A1123E" w:rsidRDefault="00B97E55" w:rsidP="00B97E55">
            <w:pPr>
              <w:tabs>
                <w:tab w:val="right" w:pos="1202"/>
              </w:tabs>
              <w:spacing w:after="0"/>
              <w:jc w:val="center"/>
              <w:outlineLvl w:val="0"/>
              <w:rPr>
                <w:rFonts w:ascii="Calibri" w:hAnsi="Calibri" w:cs="Arial"/>
                <w:lang w:val="en-US"/>
              </w:rPr>
            </w:pPr>
            <w:r w:rsidRPr="00A1123E">
              <w:rPr>
                <w:rFonts w:ascii="Calibri" w:hAnsi="Calibri" w:cs="Arial"/>
                <w:lang w:val="en-US"/>
              </w:rPr>
              <w:t>19</w:t>
            </w:r>
          </w:p>
        </w:tc>
        <w:tc>
          <w:tcPr>
            <w:tcW w:w="721" w:type="pct"/>
            <w:tcBorders>
              <w:top w:val="nil"/>
              <w:left w:val="nil"/>
              <w:bottom w:val="nil"/>
              <w:right w:val="nil"/>
            </w:tcBorders>
            <w:shd w:val="clear" w:color="auto" w:fill="auto"/>
            <w:vAlign w:val="center"/>
          </w:tcPr>
          <w:p w14:paraId="2D635EA6" w14:textId="4E17D412" w:rsidR="00B97E55" w:rsidRPr="00537128" w:rsidRDefault="00B97E55" w:rsidP="00B97E55">
            <w:pPr>
              <w:tabs>
                <w:tab w:val="right" w:pos="1202"/>
              </w:tabs>
              <w:spacing w:after="0"/>
              <w:jc w:val="right"/>
              <w:outlineLvl w:val="0"/>
              <w:rPr>
                <w:rFonts w:ascii="Calibri" w:hAnsi="Calibri" w:cs="Calibri"/>
                <w:color w:val="000000"/>
                <w:lang w:val="en-US"/>
              </w:rPr>
            </w:pPr>
            <w:r>
              <w:rPr>
                <w:rFonts w:ascii="Calibri" w:hAnsi="Calibri" w:cs="Calibri"/>
                <w:color w:val="000000"/>
              </w:rPr>
              <w:t>144</w:t>
            </w:r>
            <w:r w:rsidR="00240757">
              <w:rPr>
                <w:rFonts w:ascii="Calibri" w:hAnsi="Calibri" w:cs="Calibri"/>
                <w:color w:val="000000"/>
              </w:rPr>
              <w:t>,</w:t>
            </w:r>
            <w:r>
              <w:rPr>
                <w:rFonts w:ascii="Calibri" w:hAnsi="Calibri" w:cs="Calibri"/>
                <w:color w:val="000000"/>
              </w:rPr>
              <w:t>905</w:t>
            </w:r>
          </w:p>
        </w:tc>
        <w:tc>
          <w:tcPr>
            <w:tcW w:w="155" w:type="pct"/>
            <w:vAlign w:val="bottom"/>
          </w:tcPr>
          <w:p w14:paraId="5832D9C6" w14:textId="77777777" w:rsidR="00B97E55" w:rsidRPr="00537128" w:rsidRDefault="00B97E55" w:rsidP="00B97E55">
            <w:pPr>
              <w:tabs>
                <w:tab w:val="right" w:pos="1202"/>
              </w:tabs>
              <w:spacing w:after="0"/>
              <w:jc w:val="right"/>
              <w:outlineLvl w:val="0"/>
              <w:rPr>
                <w:rFonts w:eastAsia="Calibri" w:cstheme="minorHAnsi"/>
                <w:lang w:val="en-US"/>
              </w:rPr>
            </w:pPr>
          </w:p>
        </w:tc>
        <w:tc>
          <w:tcPr>
            <w:tcW w:w="718" w:type="pct"/>
            <w:tcBorders>
              <w:top w:val="nil"/>
              <w:left w:val="nil"/>
              <w:bottom w:val="nil"/>
              <w:right w:val="nil"/>
            </w:tcBorders>
            <w:shd w:val="clear" w:color="auto" w:fill="auto"/>
            <w:vAlign w:val="center"/>
          </w:tcPr>
          <w:p w14:paraId="31D9681B" w14:textId="2DE6E0DA" w:rsidR="00B97E55" w:rsidRPr="00537128" w:rsidRDefault="00B97E55" w:rsidP="00B97E55">
            <w:pPr>
              <w:tabs>
                <w:tab w:val="right" w:pos="1202"/>
              </w:tabs>
              <w:spacing w:after="0"/>
              <w:jc w:val="right"/>
              <w:outlineLvl w:val="0"/>
              <w:rPr>
                <w:rFonts w:ascii="Calibri" w:hAnsi="Calibri" w:cs="Calibri"/>
                <w:color w:val="000000"/>
                <w:lang w:val="en-US"/>
              </w:rPr>
            </w:pPr>
            <w:r w:rsidRPr="00837717">
              <w:rPr>
                <w:rFonts w:ascii="Calibri" w:hAnsi="Calibri" w:cs="Calibri"/>
                <w:color w:val="000000" w:themeColor="text1"/>
              </w:rPr>
              <w:t>190</w:t>
            </w:r>
            <w:r>
              <w:rPr>
                <w:rFonts w:ascii="Calibri" w:hAnsi="Calibri" w:cs="Calibri"/>
                <w:color w:val="000000" w:themeColor="text1"/>
              </w:rPr>
              <w:t>,</w:t>
            </w:r>
            <w:r w:rsidRPr="00837717">
              <w:rPr>
                <w:rFonts w:ascii="Calibri" w:hAnsi="Calibri" w:cs="Calibri"/>
                <w:color w:val="000000" w:themeColor="text1"/>
              </w:rPr>
              <w:t>560</w:t>
            </w:r>
          </w:p>
        </w:tc>
      </w:tr>
      <w:tr w:rsidR="00B97E55" w:rsidRPr="00537128" w14:paraId="075B5208" w14:textId="77777777" w:rsidTr="00BB343D">
        <w:trPr>
          <w:trHeight w:hRule="exact" w:val="318"/>
        </w:trPr>
        <w:tc>
          <w:tcPr>
            <w:tcW w:w="2942" w:type="pct"/>
            <w:vAlign w:val="bottom"/>
          </w:tcPr>
          <w:p w14:paraId="3070E317" w14:textId="67DD2349" w:rsidR="00B97E55" w:rsidRPr="00537128" w:rsidRDefault="00B97E55" w:rsidP="00B97E55">
            <w:pPr>
              <w:tabs>
                <w:tab w:val="right" w:pos="1202"/>
              </w:tabs>
              <w:spacing w:after="0"/>
              <w:outlineLvl w:val="0"/>
              <w:rPr>
                <w:rFonts w:eastAsia="Calibri" w:cstheme="minorHAnsi"/>
                <w:lang w:val="en-US"/>
              </w:rPr>
            </w:pPr>
            <w:bookmarkStart w:id="43" w:name="_Toc4057012"/>
            <w:r w:rsidRPr="00537128">
              <w:rPr>
                <w:rFonts w:eastAsia="Calibri" w:cstheme="minorHAnsi"/>
                <w:lang w:val="en-US"/>
              </w:rPr>
              <w:t>Other liabilities</w:t>
            </w:r>
            <w:bookmarkEnd w:id="43"/>
          </w:p>
        </w:tc>
        <w:tc>
          <w:tcPr>
            <w:tcW w:w="464" w:type="pct"/>
            <w:vAlign w:val="bottom"/>
          </w:tcPr>
          <w:p w14:paraId="75C4AD9D" w14:textId="1B9A32D6" w:rsidR="00B97E55" w:rsidRPr="00A1123E" w:rsidRDefault="00B97E55" w:rsidP="00B97E55">
            <w:pPr>
              <w:tabs>
                <w:tab w:val="right" w:pos="1202"/>
              </w:tabs>
              <w:spacing w:after="0"/>
              <w:jc w:val="center"/>
              <w:outlineLvl w:val="0"/>
              <w:rPr>
                <w:rFonts w:eastAsia="Calibri" w:cstheme="minorHAnsi"/>
                <w:lang w:val="en-US"/>
              </w:rPr>
            </w:pPr>
            <w:r w:rsidRPr="00A1123E">
              <w:rPr>
                <w:rFonts w:ascii="Calibri" w:hAnsi="Calibri" w:cs="Arial"/>
                <w:lang w:val="en-US"/>
              </w:rPr>
              <w:t>20</w:t>
            </w:r>
          </w:p>
        </w:tc>
        <w:tc>
          <w:tcPr>
            <w:tcW w:w="721" w:type="pct"/>
            <w:tcBorders>
              <w:top w:val="nil"/>
              <w:left w:val="nil"/>
              <w:bottom w:val="nil"/>
              <w:right w:val="nil"/>
            </w:tcBorders>
            <w:shd w:val="clear" w:color="auto" w:fill="auto"/>
            <w:vAlign w:val="center"/>
          </w:tcPr>
          <w:p w14:paraId="15454C16" w14:textId="53948178" w:rsidR="00B97E55" w:rsidRPr="00537128" w:rsidRDefault="00B97E55" w:rsidP="00B97E55">
            <w:pPr>
              <w:tabs>
                <w:tab w:val="right" w:pos="1202"/>
              </w:tabs>
              <w:spacing w:after="0"/>
              <w:jc w:val="right"/>
              <w:outlineLvl w:val="0"/>
              <w:rPr>
                <w:rFonts w:eastAsia="Calibri" w:cstheme="minorHAnsi"/>
                <w:lang w:val="en-US"/>
              </w:rPr>
            </w:pPr>
            <w:r>
              <w:rPr>
                <w:rFonts w:ascii="Calibri" w:hAnsi="Calibri" w:cs="Calibri"/>
              </w:rPr>
              <w:t>391</w:t>
            </w:r>
            <w:r w:rsidR="00240757">
              <w:rPr>
                <w:rFonts w:ascii="Calibri" w:hAnsi="Calibri" w:cs="Calibri"/>
              </w:rPr>
              <w:t>,</w:t>
            </w:r>
            <w:r>
              <w:rPr>
                <w:rFonts w:ascii="Calibri" w:hAnsi="Calibri" w:cs="Calibri"/>
              </w:rPr>
              <w:t>987</w:t>
            </w:r>
          </w:p>
        </w:tc>
        <w:tc>
          <w:tcPr>
            <w:tcW w:w="155" w:type="pct"/>
            <w:vAlign w:val="bottom"/>
          </w:tcPr>
          <w:p w14:paraId="1E8498C6" w14:textId="77777777" w:rsidR="00B97E55" w:rsidRPr="00537128" w:rsidRDefault="00B97E55" w:rsidP="00B97E55">
            <w:pPr>
              <w:tabs>
                <w:tab w:val="right" w:pos="1202"/>
              </w:tabs>
              <w:spacing w:after="0"/>
              <w:jc w:val="right"/>
              <w:outlineLvl w:val="0"/>
              <w:rPr>
                <w:rFonts w:eastAsia="Calibri" w:cstheme="minorHAnsi"/>
                <w:lang w:val="en-US"/>
              </w:rPr>
            </w:pPr>
          </w:p>
        </w:tc>
        <w:tc>
          <w:tcPr>
            <w:tcW w:w="718" w:type="pct"/>
            <w:tcBorders>
              <w:top w:val="nil"/>
              <w:left w:val="nil"/>
              <w:bottom w:val="single" w:sz="4" w:space="0" w:color="auto"/>
              <w:right w:val="nil"/>
            </w:tcBorders>
            <w:shd w:val="clear" w:color="auto" w:fill="auto"/>
            <w:vAlign w:val="center"/>
          </w:tcPr>
          <w:p w14:paraId="5FE5A0EB" w14:textId="5660A574" w:rsidR="00B97E55" w:rsidRPr="00537128" w:rsidRDefault="00B97E55" w:rsidP="00B97E55">
            <w:pPr>
              <w:tabs>
                <w:tab w:val="right" w:pos="1202"/>
              </w:tabs>
              <w:spacing w:after="0"/>
              <w:jc w:val="right"/>
              <w:outlineLvl w:val="0"/>
              <w:rPr>
                <w:rFonts w:eastAsia="Calibri" w:cstheme="minorHAnsi"/>
                <w:lang w:val="en-US"/>
              </w:rPr>
            </w:pPr>
            <w:r w:rsidRPr="00837717">
              <w:rPr>
                <w:rFonts w:ascii="Calibri" w:hAnsi="Calibri" w:cs="Calibri"/>
                <w:color w:val="000000" w:themeColor="text1"/>
              </w:rPr>
              <w:t>435</w:t>
            </w:r>
            <w:r>
              <w:rPr>
                <w:rFonts w:ascii="Calibri" w:hAnsi="Calibri" w:cs="Calibri"/>
                <w:color w:val="000000" w:themeColor="text1"/>
              </w:rPr>
              <w:t>,</w:t>
            </w:r>
            <w:r w:rsidRPr="00837717">
              <w:rPr>
                <w:rFonts w:ascii="Calibri" w:hAnsi="Calibri" w:cs="Calibri"/>
                <w:color w:val="000000" w:themeColor="text1"/>
              </w:rPr>
              <w:t>239</w:t>
            </w:r>
          </w:p>
        </w:tc>
      </w:tr>
      <w:tr w:rsidR="00B97E55" w:rsidRPr="00537128" w14:paraId="2A485A1E" w14:textId="77777777" w:rsidTr="00124152">
        <w:trPr>
          <w:trHeight w:val="319"/>
        </w:trPr>
        <w:tc>
          <w:tcPr>
            <w:tcW w:w="2942" w:type="pct"/>
            <w:vAlign w:val="bottom"/>
          </w:tcPr>
          <w:p w14:paraId="5566BDA5" w14:textId="5192E35B" w:rsidR="00B97E55" w:rsidRPr="00537128" w:rsidRDefault="00B97E55" w:rsidP="00B97E55">
            <w:pPr>
              <w:tabs>
                <w:tab w:val="right" w:pos="1202"/>
              </w:tabs>
              <w:spacing w:after="0"/>
              <w:outlineLvl w:val="0"/>
              <w:rPr>
                <w:rFonts w:eastAsia="Calibri" w:cstheme="minorHAnsi"/>
                <w:b/>
                <w:bCs/>
                <w:lang w:val="en-US"/>
              </w:rPr>
            </w:pPr>
            <w:bookmarkStart w:id="44" w:name="_Toc4057016"/>
            <w:r w:rsidRPr="00537128">
              <w:rPr>
                <w:rFonts w:eastAsia="Calibri" w:cstheme="minorHAnsi"/>
                <w:b/>
                <w:bCs/>
                <w:lang w:val="en-US"/>
              </w:rPr>
              <w:t>Total liabilities</w:t>
            </w:r>
            <w:bookmarkEnd w:id="44"/>
          </w:p>
        </w:tc>
        <w:tc>
          <w:tcPr>
            <w:tcW w:w="464" w:type="pct"/>
            <w:vAlign w:val="bottom"/>
          </w:tcPr>
          <w:p w14:paraId="61863A62" w14:textId="77777777" w:rsidR="00B97E55" w:rsidRPr="00A1123E" w:rsidRDefault="00B97E55" w:rsidP="00B97E55">
            <w:pPr>
              <w:tabs>
                <w:tab w:val="right" w:pos="1202"/>
              </w:tabs>
              <w:spacing w:after="0"/>
              <w:jc w:val="right"/>
              <w:outlineLvl w:val="0"/>
              <w:rPr>
                <w:rFonts w:eastAsia="Calibri" w:cstheme="minorHAnsi"/>
                <w:b/>
                <w:bCs/>
                <w:lang w:val="en-US"/>
              </w:rPr>
            </w:pPr>
          </w:p>
        </w:tc>
        <w:tc>
          <w:tcPr>
            <w:tcW w:w="721" w:type="pct"/>
            <w:tcBorders>
              <w:top w:val="single" w:sz="4" w:space="0" w:color="auto"/>
              <w:left w:val="nil"/>
              <w:bottom w:val="single" w:sz="12" w:space="0" w:color="auto"/>
              <w:right w:val="nil"/>
            </w:tcBorders>
            <w:shd w:val="clear" w:color="auto" w:fill="auto"/>
            <w:vAlign w:val="center"/>
          </w:tcPr>
          <w:p w14:paraId="757A9A77" w14:textId="64F40267" w:rsidR="00B97E55" w:rsidRPr="00537128" w:rsidRDefault="00B97E55" w:rsidP="00B97E55">
            <w:pPr>
              <w:tabs>
                <w:tab w:val="right" w:pos="1202"/>
              </w:tabs>
              <w:spacing w:after="0"/>
              <w:jc w:val="right"/>
              <w:outlineLvl w:val="0"/>
              <w:rPr>
                <w:rFonts w:eastAsia="Calibri" w:cstheme="minorHAnsi"/>
                <w:b/>
                <w:bCs/>
                <w:lang w:val="en-US"/>
              </w:rPr>
            </w:pPr>
            <w:r>
              <w:rPr>
                <w:rFonts w:cs="Arial"/>
                <w:b/>
                <w:bCs/>
                <w:color w:val="000000" w:themeColor="text1"/>
              </w:rPr>
              <w:t>16</w:t>
            </w:r>
            <w:r w:rsidR="00240757">
              <w:rPr>
                <w:rFonts w:cs="Arial"/>
                <w:b/>
                <w:bCs/>
                <w:color w:val="000000" w:themeColor="text1"/>
              </w:rPr>
              <w:t>,</w:t>
            </w:r>
            <w:r>
              <w:rPr>
                <w:rFonts w:cs="Arial"/>
                <w:b/>
                <w:bCs/>
                <w:color w:val="000000" w:themeColor="text1"/>
              </w:rPr>
              <w:t>973</w:t>
            </w:r>
            <w:r w:rsidR="00240757">
              <w:rPr>
                <w:rFonts w:cs="Arial"/>
                <w:b/>
                <w:bCs/>
                <w:color w:val="000000" w:themeColor="text1"/>
              </w:rPr>
              <w:t>,</w:t>
            </w:r>
            <w:r>
              <w:rPr>
                <w:rFonts w:cs="Arial"/>
                <w:b/>
                <w:bCs/>
                <w:color w:val="000000" w:themeColor="text1"/>
              </w:rPr>
              <w:t>052</w:t>
            </w:r>
          </w:p>
        </w:tc>
        <w:tc>
          <w:tcPr>
            <w:tcW w:w="155" w:type="pct"/>
            <w:tcBorders>
              <w:top w:val="single" w:sz="4" w:space="0" w:color="auto"/>
              <w:bottom w:val="single" w:sz="12" w:space="0" w:color="auto"/>
            </w:tcBorders>
            <w:vAlign w:val="bottom"/>
          </w:tcPr>
          <w:p w14:paraId="7B84B167" w14:textId="77777777" w:rsidR="00B97E55" w:rsidRPr="00537128" w:rsidRDefault="00B97E55" w:rsidP="00B97E55">
            <w:pPr>
              <w:tabs>
                <w:tab w:val="right" w:pos="1202"/>
              </w:tabs>
              <w:spacing w:after="0"/>
              <w:jc w:val="right"/>
              <w:outlineLvl w:val="0"/>
              <w:rPr>
                <w:rFonts w:eastAsia="Calibri" w:cstheme="minorHAnsi"/>
                <w:b/>
                <w:bCs/>
                <w:lang w:val="en-US"/>
              </w:rPr>
            </w:pPr>
          </w:p>
        </w:tc>
        <w:tc>
          <w:tcPr>
            <w:tcW w:w="718" w:type="pct"/>
            <w:tcBorders>
              <w:top w:val="single" w:sz="4" w:space="0" w:color="auto"/>
              <w:left w:val="nil"/>
              <w:bottom w:val="single" w:sz="12" w:space="0" w:color="auto"/>
              <w:right w:val="nil"/>
            </w:tcBorders>
            <w:shd w:val="clear" w:color="auto" w:fill="auto"/>
            <w:vAlign w:val="center"/>
          </w:tcPr>
          <w:p w14:paraId="2C96A518" w14:textId="52A2B55E" w:rsidR="00B97E55" w:rsidRPr="00537128" w:rsidRDefault="00B97E55" w:rsidP="00B97E55">
            <w:pPr>
              <w:tabs>
                <w:tab w:val="right" w:pos="1202"/>
              </w:tabs>
              <w:spacing w:after="0"/>
              <w:jc w:val="right"/>
              <w:outlineLvl w:val="0"/>
              <w:rPr>
                <w:rFonts w:eastAsia="Calibri" w:cstheme="minorHAnsi"/>
                <w:b/>
                <w:bCs/>
                <w:lang w:val="en-US"/>
              </w:rPr>
            </w:pPr>
            <w:r w:rsidRPr="00837717">
              <w:rPr>
                <w:rFonts w:cs="Arial"/>
                <w:b/>
                <w:bCs/>
                <w:color w:val="000000" w:themeColor="text1"/>
              </w:rPr>
              <w:t>17</w:t>
            </w:r>
            <w:r>
              <w:rPr>
                <w:rFonts w:cs="Arial"/>
                <w:b/>
                <w:bCs/>
                <w:color w:val="000000" w:themeColor="text1"/>
              </w:rPr>
              <w:t>,</w:t>
            </w:r>
            <w:r w:rsidRPr="00837717">
              <w:rPr>
                <w:rFonts w:cs="Arial"/>
                <w:b/>
                <w:bCs/>
                <w:color w:val="000000" w:themeColor="text1"/>
              </w:rPr>
              <w:t>701</w:t>
            </w:r>
            <w:r>
              <w:rPr>
                <w:rFonts w:cs="Arial"/>
                <w:b/>
                <w:bCs/>
                <w:color w:val="000000" w:themeColor="text1"/>
              </w:rPr>
              <w:t>,</w:t>
            </w:r>
            <w:r w:rsidRPr="00837717">
              <w:rPr>
                <w:rFonts w:cs="Arial"/>
                <w:b/>
                <w:bCs/>
                <w:color w:val="000000" w:themeColor="text1"/>
              </w:rPr>
              <w:t>577</w:t>
            </w:r>
          </w:p>
        </w:tc>
      </w:tr>
      <w:tr w:rsidR="00B97E55" w:rsidRPr="00537128" w14:paraId="36DD5DC0" w14:textId="77777777" w:rsidTr="000C292B">
        <w:trPr>
          <w:trHeight w:hRule="exact" w:val="397"/>
        </w:trPr>
        <w:tc>
          <w:tcPr>
            <w:tcW w:w="2942" w:type="pct"/>
            <w:vAlign w:val="bottom"/>
          </w:tcPr>
          <w:p w14:paraId="34B606EB" w14:textId="44767CEB" w:rsidR="00B97E55" w:rsidRPr="00537128" w:rsidRDefault="00B97E55" w:rsidP="00B97E55">
            <w:pPr>
              <w:tabs>
                <w:tab w:val="right" w:pos="1202"/>
              </w:tabs>
              <w:spacing w:after="0"/>
              <w:outlineLvl w:val="0"/>
              <w:rPr>
                <w:rFonts w:eastAsia="Calibri" w:cstheme="minorHAnsi"/>
                <w:b/>
                <w:bCs/>
                <w:lang w:val="en-US"/>
              </w:rPr>
            </w:pPr>
            <w:bookmarkStart w:id="45" w:name="_Toc4057019"/>
            <w:r w:rsidRPr="00537128">
              <w:rPr>
                <w:rFonts w:eastAsia="Calibri" w:cstheme="minorHAnsi"/>
                <w:b/>
                <w:bCs/>
                <w:lang w:val="en-US"/>
              </w:rPr>
              <w:t>Equity</w:t>
            </w:r>
            <w:bookmarkEnd w:id="45"/>
            <w:r w:rsidRPr="00537128">
              <w:rPr>
                <w:rFonts w:eastAsia="Calibri" w:cstheme="minorHAnsi"/>
                <w:b/>
                <w:bCs/>
                <w:lang w:val="en-US"/>
              </w:rPr>
              <w:t xml:space="preserve"> </w:t>
            </w:r>
          </w:p>
        </w:tc>
        <w:tc>
          <w:tcPr>
            <w:tcW w:w="464" w:type="pct"/>
            <w:vAlign w:val="bottom"/>
          </w:tcPr>
          <w:p w14:paraId="46342CED" w14:textId="77777777" w:rsidR="00B97E55" w:rsidRPr="00A1123E" w:rsidRDefault="00B97E55" w:rsidP="00B97E55">
            <w:pPr>
              <w:tabs>
                <w:tab w:val="right" w:pos="1202"/>
              </w:tabs>
              <w:spacing w:after="0"/>
              <w:jc w:val="right"/>
              <w:outlineLvl w:val="0"/>
              <w:rPr>
                <w:rFonts w:eastAsia="Calibri" w:cstheme="minorHAnsi"/>
                <w:b/>
                <w:bCs/>
                <w:lang w:val="en-US"/>
              </w:rPr>
            </w:pPr>
          </w:p>
        </w:tc>
        <w:tc>
          <w:tcPr>
            <w:tcW w:w="721" w:type="pct"/>
            <w:tcBorders>
              <w:top w:val="single" w:sz="12" w:space="0" w:color="auto"/>
            </w:tcBorders>
            <w:vAlign w:val="bottom"/>
          </w:tcPr>
          <w:p w14:paraId="5AAC6BD8" w14:textId="77777777" w:rsidR="00B97E55" w:rsidRPr="00537128" w:rsidRDefault="00B97E55" w:rsidP="00B97E55">
            <w:pPr>
              <w:tabs>
                <w:tab w:val="right" w:pos="1202"/>
              </w:tabs>
              <w:spacing w:after="0"/>
              <w:jc w:val="right"/>
              <w:outlineLvl w:val="0"/>
              <w:rPr>
                <w:rFonts w:eastAsia="Calibri" w:cstheme="minorHAnsi"/>
                <w:b/>
                <w:bCs/>
                <w:lang w:val="en-US"/>
              </w:rPr>
            </w:pPr>
          </w:p>
        </w:tc>
        <w:tc>
          <w:tcPr>
            <w:tcW w:w="155" w:type="pct"/>
            <w:tcBorders>
              <w:top w:val="single" w:sz="12" w:space="0" w:color="auto"/>
            </w:tcBorders>
            <w:vAlign w:val="bottom"/>
          </w:tcPr>
          <w:p w14:paraId="23B21EF4" w14:textId="77777777" w:rsidR="00B97E55" w:rsidRPr="00537128" w:rsidRDefault="00B97E55" w:rsidP="00B97E55">
            <w:pPr>
              <w:tabs>
                <w:tab w:val="right" w:pos="1202"/>
              </w:tabs>
              <w:spacing w:after="0"/>
              <w:jc w:val="right"/>
              <w:outlineLvl w:val="0"/>
              <w:rPr>
                <w:rFonts w:eastAsia="Calibri" w:cstheme="minorHAnsi"/>
                <w:b/>
                <w:bCs/>
                <w:lang w:val="en-US"/>
              </w:rPr>
            </w:pPr>
          </w:p>
        </w:tc>
        <w:tc>
          <w:tcPr>
            <w:tcW w:w="718" w:type="pct"/>
            <w:tcBorders>
              <w:top w:val="single" w:sz="12" w:space="0" w:color="auto"/>
            </w:tcBorders>
            <w:vAlign w:val="bottom"/>
          </w:tcPr>
          <w:p w14:paraId="035A362F" w14:textId="77777777" w:rsidR="00B97E55" w:rsidRPr="00537128" w:rsidRDefault="00B97E55" w:rsidP="00B97E55">
            <w:pPr>
              <w:tabs>
                <w:tab w:val="right" w:pos="1202"/>
              </w:tabs>
              <w:spacing w:after="0"/>
              <w:jc w:val="right"/>
              <w:outlineLvl w:val="0"/>
              <w:rPr>
                <w:rFonts w:eastAsia="Calibri" w:cstheme="minorHAnsi"/>
                <w:b/>
                <w:bCs/>
                <w:lang w:val="en-US"/>
              </w:rPr>
            </w:pPr>
          </w:p>
        </w:tc>
      </w:tr>
      <w:tr w:rsidR="00240757" w:rsidRPr="00537128" w14:paraId="05338470" w14:textId="77777777" w:rsidTr="00AF77F7">
        <w:trPr>
          <w:trHeight w:hRule="exact" w:val="340"/>
        </w:trPr>
        <w:tc>
          <w:tcPr>
            <w:tcW w:w="2942" w:type="pct"/>
            <w:vAlign w:val="bottom"/>
          </w:tcPr>
          <w:p w14:paraId="65625CD3" w14:textId="7466D1E4" w:rsidR="00240757" w:rsidRPr="00537128" w:rsidRDefault="00240757" w:rsidP="00240757">
            <w:pPr>
              <w:tabs>
                <w:tab w:val="right" w:pos="1202"/>
              </w:tabs>
              <w:spacing w:after="0"/>
              <w:outlineLvl w:val="0"/>
              <w:rPr>
                <w:rFonts w:eastAsia="Calibri" w:cstheme="minorHAnsi"/>
                <w:lang w:val="en-US"/>
              </w:rPr>
            </w:pPr>
            <w:bookmarkStart w:id="46" w:name="_Toc4057020"/>
            <w:r w:rsidRPr="00537128">
              <w:rPr>
                <w:rFonts w:eastAsia="Calibri" w:cstheme="minorHAnsi"/>
                <w:lang w:val="en-US"/>
              </w:rPr>
              <w:t>Founder’s capital</w:t>
            </w:r>
            <w:bookmarkEnd w:id="46"/>
            <w:r w:rsidRPr="00537128">
              <w:rPr>
                <w:rFonts w:eastAsia="Calibri" w:cstheme="minorHAnsi"/>
                <w:lang w:val="en-US"/>
              </w:rPr>
              <w:t xml:space="preserve"> </w:t>
            </w:r>
          </w:p>
        </w:tc>
        <w:tc>
          <w:tcPr>
            <w:tcW w:w="464" w:type="pct"/>
            <w:vAlign w:val="bottom"/>
          </w:tcPr>
          <w:p w14:paraId="098FEED6" w14:textId="14C9C477" w:rsidR="00240757" w:rsidRPr="00A1123E" w:rsidRDefault="00240757" w:rsidP="00240757">
            <w:pPr>
              <w:tabs>
                <w:tab w:val="right" w:pos="1202"/>
              </w:tabs>
              <w:spacing w:after="0"/>
              <w:jc w:val="center"/>
              <w:outlineLvl w:val="0"/>
              <w:rPr>
                <w:rFonts w:eastAsia="Calibri" w:cstheme="minorHAnsi"/>
                <w:lang w:val="en-US"/>
              </w:rPr>
            </w:pPr>
            <w:r w:rsidRPr="00A1123E">
              <w:rPr>
                <w:rFonts w:ascii="Calibri" w:hAnsi="Calibri" w:cs="Arial"/>
                <w:lang w:val="en-US"/>
              </w:rPr>
              <w:t>26</w:t>
            </w:r>
          </w:p>
        </w:tc>
        <w:tc>
          <w:tcPr>
            <w:tcW w:w="721" w:type="pct"/>
            <w:tcBorders>
              <w:top w:val="nil"/>
              <w:left w:val="nil"/>
              <w:bottom w:val="nil"/>
              <w:right w:val="nil"/>
            </w:tcBorders>
            <w:shd w:val="clear" w:color="auto" w:fill="auto"/>
            <w:vAlign w:val="center"/>
          </w:tcPr>
          <w:p w14:paraId="71CA3598" w14:textId="7D272225" w:rsidR="00240757" w:rsidRPr="00537128" w:rsidRDefault="00240757" w:rsidP="00240757">
            <w:pPr>
              <w:tabs>
                <w:tab w:val="right" w:pos="1202"/>
              </w:tabs>
              <w:spacing w:after="0"/>
              <w:jc w:val="right"/>
              <w:outlineLvl w:val="0"/>
              <w:rPr>
                <w:rFonts w:eastAsia="Calibri" w:cstheme="minorHAnsi"/>
                <w:lang w:val="en-US"/>
              </w:rPr>
            </w:pPr>
            <w:r>
              <w:rPr>
                <w:rFonts w:ascii="Calibri" w:hAnsi="Calibri" w:cs="Calibri"/>
                <w:color w:val="000000"/>
              </w:rPr>
              <w:t>7,184,632</w:t>
            </w:r>
          </w:p>
        </w:tc>
        <w:tc>
          <w:tcPr>
            <w:tcW w:w="155" w:type="pct"/>
            <w:vAlign w:val="bottom"/>
          </w:tcPr>
          <w:p w14:paraId="75770EB6" w14:textId="77777777" w:rsidR="00240757" w:rsidRPr="00537128" w:rsidRDefault="00240757" w:rsidP="00240757">
            <w:pPr>
              <w:tabs>
                <w:tab w:val="right" w:pos="1202"/>
              </w:tabs>
              <w:spacing w:after="0"/>
              <w:jc w:val="right"/>
              <w:outlineLvl w:val="0"/>
              <w:rPr>
                <w:rFonts w:eastAsia="Calibri" w:cstheme="minorHAnsi"/>
                <w:lang w:val="en-US"/>
              </w:rPr>
            </w:pPr>
          </w:p>
        </w:tc>
        <w:tc>
          <w:tcPr>
            <w:tcW w:w="718" w:type="pct"/>
            <w:tcBorders>
              <w:top w:val="nil"/>
              <w:left w:val="nil"/>
              <w:bottom w:val="nil"/>
              <w:right w:val="nil"/>
            </w:tcBorders>
            <w:shd w:val="clear" w:color="auto" w:fill="auto"/>
          </w:tcPr>
          <w:p w14:paraId="737C5E1D" w14:textId="7D2F1D76" w:rsidR="00240757" w:rsidRPr="00537128" w:rsidRDefault="00240757" w:rsidP="00240757">
            <w:pPr>
              <w:tabs>
                <w:tab w:val="right" w:pos="1202"/>
              </w:tabs>
              <w:spacing w:after="0"/>
              <w:jc w:val="right"/>
              <w:outlineLvl w:val="0"/>
              <w:rPr>
                <w:rFonts w:eastAsia="Calibri" w:cstheme="minorHAnsi"/>
                <w:lang w:val="en-US"/>
              </w:rPr>
            </w:pPr>
            <w:r w:rsidRPr="001847F6">
              <w:rPr>
                <w:rFonts w:ascii="Calibri" w:hAnsi="Calibri"/>
                <w:color w:val="000000"/>
              </w:rPr>
              <w:t>7</w:t>
            </w:r>
            <w:r>
              <w:rPr>
                <w:rFonts w:ascii="Calibri" w:hAnsi="Calibri"/>
                <w:color w:val="000000"/>
              </w:rPr>
              <w:t>,</w:t>
            </w:r>
            <w:r w:rsidRPr="001847F6">
              <w:rPr>
                <w:rFonts w:ascii="Calibri" w:hAnsi="Calibri"/>
                <w:color w:val="000000"/>
              </w:rPr>
              <w:t>184</w:t>
            </w:r>
            <w:r>
              <w:rPr>
                <w:rFonts w:ascii="Calibri" w:hAnsi="Calibri"/>
                <w:color w:val="000000"/>
              </w:rPr>
              <w:t>,</w:t>
            </w:r>
            <w:r w:rsidRPr="001847F6">
              <w:rPr>
                <w:rFonts w:ascii="Calibri" w:hAnsi="Calibri"/>
                <w:color w:val="000000"/>
              </w:rPr>
              <w:t>632</w:t>
            </w:r>
          </w:p>
        </w:tc>
      </w:tr>
      <w:tr w:rsidR="00240757" w:rsidRPr="00537128" w14:paraId="39DAB13E" w14:textId="77777777" w:rsidTr="00AF77F7">
        <w:trPr>
          <w:trHeight w:hRule="exact" w:val="340"/>
        </w:trPr>
        <w:tc>
          <w:tcPr>
            <w:tcW w:w="2942" w:type="pct"/>
            <w:vAlign w:val="bottom"/>
          </w:tcPr>
          <w:p w14:paraId="246C6095" w14:textId="3B0E7930" w:rsidR="00240757" w:rsidRPr="00537128" w:rsidRDefault="00240757" w:rsidP="00240757">
            <w:pPr>
              <w:tabs>
                <w:tab w:val="right" w:pos="1202"/>
              </w:tabs>
              <w:spacing w:after="0"/>
              <w:outlineLvl w:val="0"/>
              <w:rPr>
                <w:rFonts w:eastAsia="Calibri" w:cstheme="minorHAnsi"/>
                <w:lang w:val="en-US"/>
              </w:rPr>
            </w:pPr>
            <w:bookmarkStart w:id="47" w:name="_Toc4057024"/>
            <w:r w:rsidRPr="00537128">
              <w:rPr>
                <w:rFonts w:eastAsia="Calibri" w:cstheme="minorHAnsi"/>
                <w:lang w:val="en-US"/>
              </w:rPr>
              <w:t>Retained earnings and reserves</w:t>
            </w:r>
            <w:bookmarkEnd w:id="47"/>
            <w:r w:rsidRPr="00537128">
              <w:rPr>
                <w:rFonts w:eastAsia="Calibri" w:cstheme="minorHAnsi"/>
                <w:lang w:val="en-US"/>
              </w:rPr>
              <w:t xml:space="preserve"> </w:t>
            </w:r>
          </w:p>
        </w:tc>
        <w:tc>
          <w:tcPr>
            <w:tcW w:w="464" w:type="pct"/>
            <w:vAlign w:val="bottom"/>
          </w:tcPr>
          <w:p w14:paraId="6CC1E7D4" w14:textId="77777777" w:rsidR="00240757" w:rsidRPr="00537128" w:rsidRDefault="00240757" w:rsidP="00240757">
            <w:pPr>
              <w:tabs>
                <w:tab w:val="right" w:pos="1202"/>
              </w:tabs>
              <w:spacing w:after="0"/>
              <w:jc w:val="right"/>
              <w:outlineLvl w:val="0"/>
              <w:rPr>
                <w:rFonts w:eastAsia="Calibri" w:cstheme="minorHAnsi"/>
                <w:highlight w:val="yellow"/>
                <w:lang w:val="en-US"/>
              </w:rPr>
            </w:pPr>
          </w:p>
        </w:tc>
        <w:tc>
          <w:tcPr>
            <w:tcW w:w="721" w:type="pct"/>
            <w:tcBorders>
              <w:top w:val="nil"/>
              <w:left w:val="nil"/>
              <w:bottom w:val="nil"/>
              <w:right w:val="nil"/>
            </w:tcBorders>
            <w:shd w:val="clear" w:color="auto" w:fill="auto"/>
            <w:vAlign w:val="center"/>
          </w:tcPr>
          <w:p w14:paraId="65E79697" w14:textId="34538005" w:rsidR="00240757" w:rsidRPr="00537128" w:rsidRDefault="00240757" w:rsidP="00240757">
            <w:pPr>
              <w:tabs>
                <w:tab w:val="right" w:pos="1202"/>
              </w:tabs>
              <w:spacing w:after="0"/>
              <w:jc w:val="right"/>
              <w:outlineLvl w:val="0"/>
              <w:rPr>
                <w:rFonts w:eastAsia="Calibri" w:cstheme="minorHAnsi"/>
                <w:lang w:val="en-US"/>
              </w:rPr>
            </w:pPr>
            <w:r>
              <w:rPr>
                <w:rFonts w:ascii="Calibri" w:hAnsi="Calibri" w:cs="Calibri"/>
                <w:color w:val="000000"/>
              </w:rPr>
              <w:t>3,345,869</w:t>
            </w:r>
          </w:p>
        </w:tc>
        <w:tc>
          <w:tcPr>
            <w:tcW w:w="155" w:type="pct"/>
            <w:vAlign w:val="bottom"/>
          </w:tcPr>
          <w:p w14:paraId="00891253" w14:textId="77777777" w:rsidR="00240757" w:rsidRPr="00537128" w:rsidRDefault="00240757" w:rsidP="00240757">
            <w:pPr>
              <w:tabs>
                <w:tab w:val="right" w:pos="1202"/>
              </w:tabs>
              <w:spacing w:after="0"/>
              <w:jc w:val="right"/>
              <w:outlineLvl w:val="0"/>
              <w:rPr>
                <w:rFonts w:eastAsia="Calibri" w:cstheme="minorHAnsi"/>
                <w:lang w:val="en-US"/>
              </w:rPr>
            </w:pPr>
          </w:p>
        </w:tc>
        <w:tc>
          <w:tcPr>
            <w:tcW w:w="718" w:type="pct"/>
            <w:tcBorders>
              <w:top w:val="nil"/>
              <w:left w:val="nil"/>
              <w:bottom w:val="nil"/>
              <w:right w:val="nil"/>
            </w:tcBorders>
            <w:shd w:val="clear" w:color="auto" w:fill="auto"/>
          </w:tcPr>
          <w:p w14:paraId="2590AA1C" w14:textId="7E86AA3A" w:rsidR="00240757" w:rsidRPr="00537128" w:rsidRDefault="00240757" w:rsidP="00240757">
            <w:pPr>
              <w:tabs>
                <w:tab w:val="right" w:pos="1202"/>
              </w:tabs>
              <w:spacing w:after="0"/>
              <w:jc w:val="right"/>
              <w:outlineLvl w:val="0"/>
              <w:rPr>
                <w:rFonts w:eastAsia="Calibri" w:cstheme="minorHAnsi"/>
                <w:lang w:val="en-US"/>
              </w:rPr>
            </w:pPr>
            <w:r w:rsidRPr="001847F6">
              <w:rPr>
                <w:rFonts w:ascii="Calibri" w:hAnsi="Calibri"/>
                <w:color w:val="000000"/>
              </w:rPr>
              <w:t>3</w:t>
            </w:r>
            <w:r>
              <w:rPr>
                <w:rFonts w:ascii="Calibri" w:hAnsi="Calibri"/>
                <w:color w:val="000000"/>
              </w:rPr>
              <w:t>,</w:t>
            </w:r>
            <w:r w:rsidRPr="001847F6">
              <w:rPr>
                <w:rFonts w:ascii="Calibri" w:hAnsi="Calibri"/>
                <w:color w:val="000000"/>
              </w:rPr>
              <w:t>157</w:t>
            </w:r>
            <w:r>
              <w:rPr>
                <w:rFonts w:ascii="Calibri" w:hAnsi="Calibri"/>
                <w:color w:val="000000"/>
              </w:rPr>
              <w:t>,</w:t>
            </w:r>
            <w:r w:rsidRPr="001847F6">
              <w:rPr>
                <w:rFonts w:ascii="Calibri" w:hAnsi="Calibri"/>
                <w:color w:val="000000"/>
              </w:rPr>
              <w:t>684</w:t>
            </w:r>
          </w:p>
        </w:tc>
      </w:tr>
      <w:tr w:rsidR="00240757" w:rsidRPr="00537128" w14:paraId="4C030DAF" w14:textId="77777777" w:rsidTr="00AF77F7">
        <w:trPr>
          <w:trHeight w:hRule="exact" w:val="340"/>
        </w:trPr>
        <w:tc>
          <w:tcPr>
            <w:tcW w:w="2942" w:type="pct"/>
            <w:vAlign w:val="bottom"/>
          </w:tcPr>
          <w:p w14:paraId="15CE57ED" w14:textId="14D381E9" w:rsidR="00240757" w:rsidRPr="00537128" w:rsidRDefault="00240757" w:rsidP="00240757">
            <w:pPr>
              <w:tabs>
                <w:tab w:val="right" w:pos="1202"/>
              </w:tabs>
              <w:spacing w:after="0"/>
              <w:outlineLvl w:val="0"/>
              <w:rPr>
                <w:rFonts w:eastAsia="Calibri" w:cstheme="minorHAnsi"/>
                <w:lang w:val="en-US"/>
              </w:rPr>
            </w:pPr>
            <w:bookmarkStart w:id="48" w:name="_Toc4057027"/>
            <w:r w:rsidRPr="00537128">
              <w:rPr>
                <w:rFonts w:eastAsia="Calibri" w:cstheme="minorHAnsi"/>
                <w:lang w:val="en-US"/>
              </w:rPr>
              <w:t>Other reserves</w:t>
            </w:r>
            <w:bookmarkEnd w:id="48"/>
          </w:p>
        </w:tc>
        <w:tc>
          <w:tcPr>
            <w:tcW w:w="464" w:type="pct"/>
            <w:vAlign w:val="bottom"/>
          </w:tcPr>
          <w:p w14:paraId="280FEA54" w14:textId="77777777" w:rsidR="00240757" w:rsidRPr="00537128" w:rsidRDefault="00240757" w:rsidP="00240757">
            <w:pPr>
              <w:tabs>
                <w:tab w:val="right" w:pos="1202"/>
              </w:tabs>
              <w:spacing w:after="0"/>
              <w:jc w:val="right"/>
              <w:outlineLvl w:val="0"/>
              <w:rPr>
                <w:rFonts w:eastAsia="Calibri" w:cstheme="minorHAnsi"/>
                <w:highlight w:val="yellow"/>
                <w:lang w:val="en-US"/>
              </w:rPr>
            </w:pPr>
          </w:p>
        </w:tc>
        <w:tc>
          <w:tcPr>
            <w:tcW w:w="721" w:type="pct"/>
            <w:tcBorders>
              <w:top w:val="nil"/>
              <w:left w:val="nil"/>
              <w:bottom w:val="nil"/>
              <w:right w:val="nil"/>
            </w:tcBorders>
            <w:shd w:val="clear" w:color="auto" w:fill="auto"/>
            <w:vAlign w:val="center"/>
          </w:tcPr>
          <w:p w14:paraId="059D5A15" w14:textId="2C3E51D6" w:rsidR="00240757" w:rsidRPr="00537128" w:rsidRDefault="00240757" w:rsidP="00240757">
            <w:pPr>
              <w:tabs>
                <w:tab w:val="right" w:pos="1202"/>
              </w:tabs>
              <w:spacing w:after="0"/>
              <w:jc w:val="right"/>
              <w:outlineLvl w:val="0"/>
              <w:rPr>
                <w:rFonts w:eastAsia="Calibri" w:cstheme="minorHAnsi"/>
                <w:lang w:val="en-US"/>
              </w:rPr>
            </w:pPr>
            <w:r>
              <w:rPr>
                <w:rFonts w:ascii="Calibri" w:hAnsi="Calibri" w:cs="Calibri"/>
              </w:rPr>
              <w:t>5,282</w:t>
            </w:r>
          </w:p>
        </w:tc>
        <w:tc>
          <w:tcPr>
            <w:tcW w:w="155" w:type="pct"/>
            <w:vAlign w:val="bottom"/>
          </w:tcPr>
          <w:p w14:paraId="009588A3" w14:textId="77777777" w:rsidR="00240757" w:rsidRPr="00537128" w:rsidRDefault="00240757" w:rsidP="00240757">
            <w:pPr>
              <w:tabs>
                <w:tab w:val="right" w:pos="1202"/>
              </w:tabs>
              <w:spacing w:after="0"/>
              <w:jc w:val="right"/>
              <w:outlineLvl w:val="0"/>
              <w:rPr>
                <w:rFonts w:eastAsia="Calibri" w:cstheme="minorHAnsi"/>
                <w:lang w:val="en-US"/>
              </w:rPr>
            </w:pPr>
          </w:p>
        </w:tc>
        <w:tc>
          <w:tcPr>
            <w:tcW w:w="718" w:type="pct"/>
            <w:tcBorders>
              <w:top w:val="nil"/>
              <w:left w:val="nil"/>
              <w:bottom w:val="nil"/>
              <w:right w:val="nil"/>
            </w:tcBorders>
            <w:shd w:val="clear" w:color="auto" w:fill="auto"/>
          </w:tcPr>
          <w:p w14:paraId="03A780C1" w14:textId="424883F1" w:rsidR="00240757" w:rsidRPr="00537128" w:rsidRDefault="00240757" w:rsidP="00240757">
            <w:pPr>
              <w:tabs>
                <w:tab w:val="right" w:pos="1202"/>
              </w:tabs>
              <w:spacing w:after="0"/>
              <w:jc w:val="right"/>
              <w:outlineLvl w:val="0"/>
              <w:rPr>
                <w:rFonts w:eastAsia="Calibri" w:cstheme="minorHAnsi"/>
                <w:lang w:val="en-US"/>
              </w:rPr>
            </w:pPr>
            <w:r w:rsidRPr="001847F6">
              <w:rPr>
                <w:rFonts w:ascii="Calibri" w:hAnsi="Calibri"/>
                <w:color w:val="000000"/>
              </w:rPr>
              <w:t>33</w:t>
            </w:r>
            <w:r>
              <w:rPr>
                <w:rFonts w:ascii="Calibri" w:hAnsi="Calibri"/>
                <w:color w:val="000000"/>
              </w:rPr>
              <w:t>,</w:t>
            </w:r>
            <w:r w:rsidRPr="001847F6">
              <w:rPr>
                <w:rFonts w:ascii="Calibri" w:hAnsi="Calibri"/>
                <w:color w:val="000000"/>
              </w:rPr>
              <w:t>975</w:t>
            </w:r>
          </w:p>
        </w:tc>
      </w:tr>
      <w:tr w:rsidR="00240757" w:rsidRPr="00537128" w14:paraId="7DBC6655" w14:textId="77777777" w:rsidTr="00AF77F7">
        <w:trPr>
          <w:trHeight w:hRule="exact" w:val="340"/>
        </w:trPr>
        <w:tc>
          <w:tcPr>
            <w:tcW w:w="2942" w:type="pct"/>
            <w:vAlign w:val="bottom"/>
          </w:tcPr>
          <w:p w14:paraId="2C30BFEF" w14:textId="263D7BD4" w:rsidR="00240757" w:rsidRPr="00537128" w:rsidRDefault="00240757" w:rsidP="00240757">
            <w:pPr>
              <w:tabs>
                <w:tab w:val="right" w:pos="1202"/>
              </w:tabs>
              <w:spacing w:after="0"/>
              <w:outlineLvl w:val="0"/>
              <w:rPr>
                <w:rFonts w:eastAsia="Calibri" w:cstheme="minorHAnsi"/>
                <w:lang w:val="en-US"/>
              </w:rPr>
            </w:pPr>
            <w:bookmarkStart w:id="49" w:name="_Toc4057030"/>
            <w:r w:rsidRPr="00537128">
              <w:rPr>
                <w:rFonts w:eastAsia="Calibri" w:cstheme="minorHAnsi"/>
                <w:lang w:val="en-US"/>
              </w:rPr>
              <w:t>Profit</w:t>
            </w:r>
            <w:r>
              <w:t xml:space="preserve"> </w:t>
            </w:r>
            <w:r w:rsidRPr="003D4AA3">
              <w:rPr>
                <w:rFonts w:eastAsia="Calibri" w:cstheme="minorHAnsi"/>
                <w:lang w:val="en-US"/>
              </w:rPr>
              <w:t>for the period</w:t>
            </w:r>
            <w:bookmarkEnd w:id="49"/>
          </w:p>
        </w:tc>
        <w:tc>
          <w:tcPr>
            <w:tcW w:w="464" w:type="pct"/>
            <w:vAlign w:val="bottom"/>
          </w:tcPr>
          <w:p w14:paraId="654007BE" w14:textId="77777777" w:rsidR="00240757" w:rsidRPr="00537128" w:rsidRDefault="00240757" w:rsidP="00240757">
            <w:pPr>
              <w:tabs>
                <w:tab w:val="right" w:pos="1202"/>
              </w:tabs>
              <w:spacing w:after="0"/>
              <w:jc w:val="right"/>
              <w:outlineLvl w:val="0"/>
              <w:rPr>
                <w:rFonts w:eastAsia="Calibri" w:cstheme="minorHAnsi"/>
                <w:highlight w:val="yellow"/>
                <w:lang w:val="en-US"/>
              </w:rPr>
            </w:pPr>
          </w:p>
        </w:tc>
        <w:tc>
          <w:tcPr>
            <w:tcW w:w="721" w:type="pct"/>
            <w:tcBorders>
              <w:top w:val="nil"/>
              <w:left w:val="nil"/>
              <w:bottom w:val="nil"/>
              <w:right w:val="nil"/>
            </w:tcBorders>
            <w:shd w:val="clear" w:color="auto" w:fill="auto"/>
            <w:vAlign w:val="center"/>
          </w:tcPr>
          <w:p w14:paraId="6475EEA5" w14:textId="532B13A4" w:rsidR="00240757" w:rsidRPr="00537128" w:rsidRDefault="00240757" w:rsidP="00240757">
            <w:pPr>
              <w:tabs>
                <w:tab w:val="right" w:pos="1202"/>
              </w:tabs>
              <w:spacing w:after="0"/>
              <w:jc w:val="right"/>
              <w:outlineLvl w:val="0"/>
              <w:rPr>
                <w:rFonts w:eastAsia="Calibri" w:cstheme="minorHAnsi"/>
                <w:lang w:val="en-US"/>
              </w:rPr>
            </w:pPr>
            <w:r>
              <w:rPr>
                <w:rFonts w:ascii="Calibri" w:hAnsi="Calibri" w:cs="Calibri"/>
              </w:rPr>
              <w:t>230,100</w:t>
            </w:r>
          </w:p>
        </w:tc>
        <w:tc>
          <w:tcPr>
            <w:tcW w:w="155" w:type="pct"/>
            <w:vAlign w:val="bottom"/>
          </w:tcPr>
          <w:p w14:paraId="1B511BFE" w14:textId="77777777" w:rsidR="00240757" w:rsidRPr="00537128" w:rsidRDefault="00240757" w:rsidP="00240757">
            <w:pPr>
              <w:tabs>
                <w:tab w:val="right" w:pos="1202"/>
              </w:tabs>
              <w:spacing w:after="0"/>
              <w:jc w:val="right"/>
              <w:outlineLvl w:val="0"/>
              <w:rPr>
                <w:rFonts w:eastAsia="Calibri" w:cstheme="minorHAnsi"/>
                <w:lang w:val="en-US"/>
              </w:rPr>
            </w:pPr>
          </w:p>
        </w:tc>
        <w:tc>
          <w:tcPr>
            <w:tcW w:w="718" w:type="pct"/>
            <w:tcBorders>
              <w:top w:val="nil"/>
              <w:left w:val="nil"/>
              <w:bottom w:val="nil"/>
              <w:right w:val="nil"/>
            </w:tcBorders>
            <w:shd w:val="clear" w:color="auto" w:fill="auto"/>
          </w:tcPr>
          <w:p w14:paraId="11AB8FE8" w14:textId="0E3BA646" w:rsidR="00240757" w:rsidRPr="00537128" w:rsidRDefault="00240757" w:rsidP="00240757">
            <w:pPr>
              <w:tabs>
                <w:tab w:val="right" w:pos="1202"/>
              </w:tabs>
              <w:spacing w:after="0"/>
              <w:jc w:val="right"/>
              <w:outlineLvl w:val="0"/>
              <w:rPr>
                <w:rFonts w:eastAsia="Calibri" w:cstheme="minorHAnsi"/>
                <w:lang w:val="en-US"/>
              </w:rPr>
            </w:pPr>
            <w:r w:rsidRPr="001847F6">
              <w:rPr>
                <w:rFonts w:ascii="Calibri" w:hAnsi="Calibri"/>
                <w:color w:val="000000"/>
              </w:rPr>
              <w:t>188</w:t>
            </w:r>
            <w:r>
              <w:rPr>
                <w:rFonts w:ascii="Calibri" w:hAnsi="Calibri"/>
                <w:color w:val="000000"/>
              </w:rPr>
              <w:t>,</w:t>
            </w:r>
            <w:r w:rsidRPr="001847F6">
              <w:rPr>
                <w:rFonts w:ascii="Calibri" w:hAnsi="Calibri"/>
                <w:color w:val="000000"/>
              </w:rPr>
              <w:t>185</w:t>
            </w:r>
          </w:p>
        </w:tc>
      </w:tr>
      <w:tr w:rsidR="00240757" w:rsidRPr="00537128" w14:paraId="4199A372" w14:textId="77777777" w:rsidTr="00AF77F7">
        <w:trPr>
          <w:trHeight w:hRule="exact" w:val="340"/>
        </w:trPr>
        <w:tc>
          <w:tcPr>
            <w:tcW w:w="2942" w:type="pct"/>
            <w:vAlign w:val="bottom"/>
          </w:tcPr>
          <w:p w14:paraId="3FAECDC7" w14:textId="2DA75282" w:rsidR="00240757" w:rsidRPr="00537128" w:rsidRDefault="00240757" w:rsidP="00240757">
            <w:pPr>
              <w:tabs>
                <w:tab w:val="right" w:pos="1202"/>
              </w:tabs>
              <w:spacing w:after="0"/>
              <w:outlineLvl w:val="0"/>
              <w:rPr>
                <w:rFonts w:eastAsia="Calibri" w:cstheme="minorHAnsi"/>
                <w:lang w:val="en-US"/>
              </w:rPr>
            </w:pPr>
            <w:bookmarkStart w:id="50" w:name="_Toc4057033"/>
            <w:r w:rsidRPr="00537128">
              <w:rPr>
                <w:rFonts w:eastAsia="Calibri" w:cstheme="minorHAnsi"/>
                <w:lang w:val="en-US"/>
              </w:rPr>
              <w:t>Guarantee fund</w:t>
            </w:r>
            <w:bookmarkEnd w:id="50"/>
          </w:p>
        </w:tc>
        <w:tc>
          <w:tcPr>
            <w:tcW w:w="464" w:type="pct"/>
            <w:vAlign w:val="bottom"/>
          </w:tcPr>
          <w:p w14:paraId="301931B9" w14:textId="1864203E" w:rsidR="00240757" w:rsidRPr="00537128" w:rsidRDefault="00240757" w:rsidP="00240757">
            <w:pPr>
              <w:tabs>
                <w:tab w:val="right" w:pos="1202"/>
              </w:tabs>
              <w:spacing w:after="0"/>
              <w:jc w:val="center"/>
              <w:outlineLvl w:val="0"/>
              <w:rPr>
                <w:rFonts w:eastAsia="Calibri" w:cstheme="minorHAnsi"/>
                <w:highlight w:val="yellow"/>
                <w:lang w:val="en-US"/>
              </w:rPr>
            </w:pPr>
          </w:p>
        </w:tc>
        <w:tc>
          <w:tcPr>
            <w:tcW w:w="721" w:type="pct"/>
            <w:tcBorders>
              <w:top w:val="nil"/>
              <w:left w:val="nil"/>
              <w:bottom w:val="single" w:sz="4" w:space="0" w:color="auto"/>
              <w:right w:val="nil"/>
            </w:tcBorders>
            <w:shd w:val="clear" w:color="auto" w:fill="auto"/>
            <w:vAlign w:val="center"/>
          </w:tcPr>
          <w:p w14:paraId="5195454C" w14:textId="4B85EC82" w:rsidR="00240757" w:rsidRPr="00537128" w:rsidRDefault="00240757" w:rsidP="00240757">
            <w:pPr>
              <w:tabs>
                <w:tab w:val="right" w:pos="1202"/>
              </w:tabs>
              <w:spacing w:after="0"/>
              <w:jc w:val="right"/>
              <w:outlineLvl w:val="0"/>
              <w:rPr>
                <w:rFonts w:eastAsia="Calibri" w:cstheme="minorHAnsi"/>
                <w:lang w:val="en-US"/>
              </w:rPr>
            </w:pPr>
            <w:r>
              <w:rPr>
                <w:rFonts w:ascii="Calibri" w:hAnsi="Calibri" w:cs="Calibri"/>
                <w:color w:val="000000"/>
              </w:rPr>
              <w:t>12,406</w:t>
            </w:r>
          </w:p>
        </w:tc>
        <w:tc>
          <w:tcPr>
            <w:tcW w:w="155" w:type="pct"/>
            <w:vAlign w:val="bottom"/>
          </w:tcPr>
          <w:p w14:paraId="66904C33" w14:textId="77777777" w:rsidR="00240757" w:rsidRPr="00537128" w:rsidRDefault="00240757" w:rsidP="00240757">
            <w:pPr>
              <w:tabs>
                <w:tab w:val="right" w:pos="1202"/>
              </w:tabs>
              <w:spacing w:after="0"/>
              <w:jc w:val="right"/>
              <w:outlineLvl w:val="0"/>
              <w:rPr>
                <w:rFonts w:eastAsia="Calibri" w:cstheme="minorHAnsi"/>
                <w:lang w:val="en-US"/>
              </w:rPr>
            </w:pPr>
          </w:p>
        </w:tc>
        <w:tc>
          <w:tcPr>
            <w:tcW w:w="718" w:type="pct"/>
            <w:tcBorders>
              <w:top w:val="nil"/>
              <w:left w:val="nil"/>
              <w:bottom w:val="single" w:sz="4" w:space="0" w:color="auto"/>
              <w:right w:val="nil"/>
            </w:tcBorders>
            <w:shd w:val="clear" w:color="auto" w:fill="auto"/>
          </w:tcPr>
          <w:p w14:paraId="48C82754" w14:textId="76BFFDB0" w:rsidR="00240757" w:rsidRPr="00537128" w:rsidRDefault="00240757" w:rsidP="00240757">
            <w:pPr>
              <w:tabs>
                <w:tab w:val="right" w:pos="1202"/>
              </w:tabs>
              <w:spacing w:after="0"/>
              <w:jc w:val="right"/>
              <w:outlineLvl w:val="0"/>
              <w:rPr>
                <w:rFonts w:eastAsia="Calibri" w:cstheme="minorHAnsi"/>
                <w:color w:val="000000"/>
                <w:lang w:val="en-US"/>
              </w:rPr>
            </w:pPr>
            <w:r w:rsidRPr="001847F6">
              <w:rPr>
                <w:rFonts w:ascii="Calibri" w:hAnsi="Calibri"/>
                <w:color w:val="000000"/>
              </w:rPr>
              <w:t>12</w:t>
            </w:r>
            <w:r>
              <w:rPr>
                <w:rFonts w:ascii="Calibri" w:hAnsi="Calibri"/>
                <w:color w:val="000000"/>
              </w:rPr>
              <w:t>,</w:t>
            </w:r>
            <w:r w:rsidRPr="001847F6">
              <w:rPr>
                <w:rFonts w:ascii="Calibri" w:hAnsi="Calibri"/>
                <w:color w:val="000000"/>
              </w:rPr>
              <w:t>309</w:t>
            </w:r>
          </w:p>
        </w:tc>
      </w:tr>
      <w:tr w:rsidR="00240757" w:rsidRPr="00537128" w14:paraId="091534D1" w14:textId="77777777" w:rsidTr="00AF77F7">
        <w:trPr>
          <w:trHeight w:hRule="exact" w:val="346"/>
        </w:trPr>
        <w:tc>
          <w:tcPr>
            <w:tcW w:w="2942" w:type="pct"/>
            <w:vAlign w:val="bottom"/>
          </w:tcPr>
          <w:p w14:paraId="3E2035C4" w14:textId="508CC695" w:rsidR="00240757" w:rsidRPr="00537128" w:rsidRDefault="00240757" w:rsidP="00240757">
            <w:pPr>
              <w:tabs>
                <w:tab w:val="right" w:pos="1202"/>
              </w:tabs>
              <w:spacing w:after="0"/>
              <w:outlineLvl w:val="0"/>
              <w:rPr>
                <w:rFonts w:eastAsia="Calibri" w:cstheme="minorHAnsi"/>
                <w:b/>
                <w:bCs/>
                <w:lang w:val="en-US"/>
              </w:rPr>
            </w:pPr>
            <w:bookmarkStart w:id="51" w:name="_Toc4057037"/>
            <w:r w:rsidRPr="00537128">
              <w:rPr>
                <w:rFonts w:eastAsia="Calibri" w:cstheme="minorHAnsi"/>
                <w:b/>
                <w:bCs/>
                <w:lang w:val="en-US"/>
              </w:rPr>
              <w:t>Total equity</w:t>
            </w:r>
            <w:bookmarkEnd w:id="51"/>
            <w:r w:rsidRPr="00537128">
              <w:rPr>
                <w:rFonts w:eastAsia="Calibri" w:cstheme="minorHAnsi"/>
                <w:b/>
                <w:bCs/>
                <w:lang w:val="en-US"/>
              </w:rPr>
              <w:t xml:space="preserve"> </w:t>
            </w:r>
          </w:p>
        </w:tc>
        <w:tc>
          <w:tcPr>
            <w:tcW w:w="464" w:type="pct"/>
            <w:vAlign w:val="bottom"/>
          </w:tcPr>
          <w:p w14:paraId="74BB6283" w14:textId="77777777" w:rsidR="00240757" w:rsidRPr="00537128" w:rsidRDefault="00240757" w:rsidP="00240757">
            <w:pPr>
              <w:tabs>
                <w:tab w:val="right" w:pos="1202"/>
              </w:tabs>
              <w:spacing w:after="0"/>
              <w:jc w:val="right"/>
              <w:outlineLvl w:val="0"/>
              <w:rPr>
                <w:rFonts w:eastAsia="Calibri" w:cstheme="minorHAnsi"/>
                <w:b/>
                <w:bCs/>
                <w:lang w:val="en-US"/>
              </w:rPr>
            </w:pPr>
          </w:p>
        </w:tc>
        <w:tc>
          <w:tcPr>
            <w:tcW w:w="721" w:type="pct"/>
            <w:tcBorders>
              <w:top w:val="single" w:sz="4" w:space="0" w:color="auto"/>
              <w:left w:val="nil"/>
              <w:bottom w:val="single" w:sz="12" w:space="0" w:color="auto"/>
              <w:right w:val="nil"/>
            </w:tcBorders>
            <w:shd w:val="clear" w:color="auto" w:fill="auto"/>
            <w:vAlign w:val="bottom"/>
          </w:tcPr>
          <w:p w14:paraId="53BF3246" w14:textId="7797762A" w:rsidR="00240757" w:rsidRPr="00537128" w:rsidRDefault="00240757" w:rsidP="00240757">
            <w:pPr>
              <w:tabs>
                <w:tab w:val="right" w:pos="1202"/>
              </w:tabs>
              <w:spacing w:after="0"/>
              <w:jc w:val="right"/>
              <w:outlineLvl w:val="0"/>
              <w:rPr>
                <w:rFonts w:eastAsia="Calibri" w:cstheme="minorHAnsi"/>
                <w:b/>
                <w:bCs/>
                <w:lang w:val="en-US"/>
              </w:rPr>
            </w:pPr>
            <w:r>
              <w:rPr>
                <w:rFonts w:cs="Arial"/>
                <w:b/>
                <w:bCs/>
                <w:color w:val="000000" w:themeColor="text1"/>
              </w:rPr>
              <w:t>10,778,289</w:t>
            </w:r>
          </w:p>
        </w:tc>
        <w:tc>
          <w:tcPr>
            <w:tcW w:w="155" w:type="pct"/>
            <w:tcBorders>
              <w:top w:val="single" w:sz="4" w:space="0" w:color="auto"/>
              <w:bottom w:val="single" w:sz="12" w:space="0" w:color="auto"/>
            </w:tcBorders>
            <w:vAlign w:val="bottom"/>
          </w:tcPr>
          <w:p w14:paraId="68F89CD7" w14:textId="77777777" w:rsidR="00240757" w:rsidRPr="00537128" w:rsidRDefault="00240757" w:rsidP="00240757">
            <w:pPr>
              <w:tabs>
                <w:tab w:val="right" w:pos="1202"/>
              </w:tabs>
              <w:spacing w:after="0"/>
              <w:jc w:val="right"/>
              <w:outlineLvl w:val="0"/>
              <w:rPr>
                <w:rFonts w:eastAsia="Calibri" w:cstheme="minorHAnsi"/>
                <w:b/>
                <w:bCs/>
                <w:lang w:val="en-US"/>
              </w:rPr>
            </w:pPr>
          </w:p>
        </w:tc>
        <w:tc>
          <w:tcPr>
            <w:tcW w:w="718" w:type="pct"/>
            <w:tcBorders>
              <w:top w:val="single" w:sz="4" w:space="0" w:color="auto"/>
              <w:left w:val="nil"/>
              <w:bottom w:val="single" w:sz="12" w:space="0" w:color="auto"/>
              <w:right w:val="nil"/>
            </w:tcBorders>
            <w:shd w:val="clear" w:color="auto" w:fill="auto"/>
            <w:vAlign w:val="center"/>
          </w:tcPr>
          <w:p w14:paraId="24A5D626" w14:textId="53E163C8" w:rsidR="00240757" w:rsidRPr="00537128" w:rsidRDefault="00240757" w:rsidP="00240757">
            <w:pPr>
              <w:tabs>
                <w:tab w:val="right" w:pos="1202"/>
              </w:tabs>
              <w:spacing w:after="0"/>
              <w:jc w:val="right"/>
              <w:outlineLvl w:val="0"/>
              <w:rPr>
                <w:rFonts w:eastAsia="Calibri" w:cstheme="minorHAnsi"/>
                <w:b/>
                <w:bCs/>
                <w:lang w:val="en-US"/>
              </w:rPr>
            </w:pPr>
            <w:r w:rsidRPr="00DE3130">
              <w:rPr>
                <w:rFonts w:cs="Arial"/>
                <w:b/>
                <w:bCs/>
                <w:color w:val="000000" w:themeColor="text1"/>
              </w:rPr>
              <w:t>10</w:t>
            </w:r>
            <w:r>
              <w:rPr>
                <w:rFonts w:cs="Arial"/>
                <w:b/>
                <w:bCs/>
                <w:color w:val="000000" w:themeColor="text1"/>
              </w:rPr>
              <w:t>,</w:t>
            </w:r>
            <w:r w:rsidRPr="00DE3130">
              <w:rPr>
                <w:rFonts w:cs="Arial"/>
                <w:b/>
                <w:bCs/>
                <w:color w:val="000000" w:themeColor="text1"/>
              </w:rPr>
              <w:t>576</w:t>
            </w:r>
            <w:r>
              <w:rPr>
                <w:rFonts w:cs="Arial"/>
                <w:b/>
                <w:bCs/>
                <w:color w:val="000000" w:themeColor="text1"/>
              </w:rPr>
              <w:t>,</w:t>
            </w:r>
            <w:r w:rsidRPr="00DE3130">
              <w:rPr>
                <w:rFonts w:cs="Arial"/>
                <w:b/>
                <w:bCs/>
                <w:color w:val="000000" w:themeColor="text1"/>
              </w:rPr>
              <w:t>785</w:t>
            </w:r>
          </w:p>
        </w:tc>
      </w:tr>
      <w:tr w:rsidR="00240757" w:rsidRPr="00537128" w14:paraId="70F07E4A" w14:textId="77777777" w:rsidTr="009A7E25">
        <w:trPr>
          <w:trHeight w:hRule="exact" w:val="301"/>
        </w:trPr>
        <w:tc>
          <w:tcPr>
            <w:tcW w:w="2942" w:type="pct"/>
            <w:vAlign w:val="bottom"/>
          </w:tcPr>
          <w:p w14:paraId="0D97F492" w14:textId="5B928D1A" w:rsidR="00240757" w:rsidRPr="00537128" w:rsidRDefault="00240757" w:rsidP="00240757">
            <w:pPr>
              <w:tabs>
                <w:tab w:val="right" w:pos="1202"/>
              </w:tabs>
              <w:spacing w:after="0"/>
              <w:outlineLvl w:val="0"/>
              <w:rPr>
                <w:rFonts w:eastAsia="Calibri" w:cstheme="minorHAnsi"/>
                <w:b/>
                <w:bCs/>
                <w:lang w:val="en-US"/>
              </w:rPr>
            </w:pPr>
            <w:bookmarkStart w:id="52" w:name="_Toc4057040"/>
            <w:r w:rsidRPr="00537128">
              <w:rPr>
                <w:rFonts w:eastAsia="Calibri" w:cstheme="minorHAnsi"/>
                <w:b/>
                <w:bCs/>
                <w:lang w:val="en-US"/>
              </w:rPr>
              <w:t>Total liabilities and total equity</w:t>
            </w:r>
            <w:bookmarkEnd w:id="52"/>
            <w:r w:rsidRPr="00537128">
              <w:rPr>
                <w:rFonts w:eastAsia="Calibri" w:cstheme="minorHAnsi"/>
                <w:b/>
                <w:bCs/>
                <w:lang w:val="en-US"/>
              </w:rPr>
              <w:t xml:space="preserve"> </w:t>
            </w:r>
          </w:p>
        </w:tc>
        <w:tc>
          <w:tcPr>
            <w:tcW w:w="464" w:type="pct"/>
            <w:vAlign w:val="bottom"/>
          </w:tcPr>
          <w:p w14:paraId="198E32D3" w14:textId="77777777" w:rsidR="00240757" w:rsidRPr="00537128" w:rsidRDefault="00240757" w:rsidP="00240757">
            <w:pPr>
              <w:tabs>
                <w:tab w:val="right" w:pos="1202"/>
              </w:tabs>
              <w:spacing w:after="0"/>
              <w:jc w:val="right"/>
              <w:outlineLvl w:val="0"/>
              <w:rPr>
                <w:rFonts w:eastAsia="Calibri" w:cstheme="minorHAnsi"/>
                <w:b/>
                <w:bCs/>
                <w:lang w:val="en-US"/>
              </w:rPr>
            </w:pPr>
          </w:p>
        </w:tc>
        <w:tc>
          <w:tcPr>
            <w:tcW w:w="721" w:type="pct"/>
            <w:tcBorders>
              <w:top w:val="single" w:sz="12" w:space="0" w:color="auto"/>
              <w:left w:val="nil"/>
              <w:bottom w:val="single" w:sz="12" w:space="0" w:color="auto"/>
              <w:right w:val="nil"/>
            </w:tcBorders>
            <w:shd w:val="clear" w:color="auto" w:fill="auto"/>
            <w:vAlign w:val="bottom"/>
          </w:tcPr>
          <w:p w14:paraId="7F407B73" w14:textId="249FCE03" w:rsidR="00240757" w:rsidRPr="00537128" w:rsidRDefault="00240757" w:rsidP="00240757">
            <w:pPr>
              <w:tabs>
                <w:tab w:val="right" w:pos="1202"/>
              </w:tabs>
              <w:spacing w:after="0"/>
              <w:jc w:val="right"/>
              <w:outlineLvl w:val="0"/>
              <w:rPr>
                <w:rFonts w:eastAsia="Calibri" w:cstheme="minorHAnsi"/>
                <w:b/>
                <w:bCs/>
                <w:lang w:val="en-US"/>
              </w:rPr>
            </w:pPr>
            <w:r>
              <w:rPr>
                <w:rFonts w:cs="Arial"/>
                <w:b/>
                <w:bCs/>
                <w:color w:val="000000" w:themeColor="text1"/>
              </w:rPr>
              <w:t>27,751,341</w:t>
            </w:r>
          </w:p>
        </w:tc>
        <w:tc>
          <w:tcPr>
            <w:tcW w:w="155" w:type="pct"/>
            <w:tcBorders>
              <w:top w:val="single" w:sz="12" w:space="0" w:color="auto"/>
              <w:bottom w:val="single" w:sz="12" w:space="0" w:color="auto"/>
            </w:tcBorders>
            <w:vAlign w:val="bottom"/>
          </w:tcPr>
          <w:p w14:paraId="67CCF0D2" w14:textId="77777777" w:rsidR="00240757" w:rsidRPr="00537128" w:rsidRDefault="00240757" w:rsidP="00240757">
            <w:pPr>
              <w:tabs>
                <w:tab w:val="right" w:pos="1202"/>
              </w:tabs>
              <w:spacing w:after="0"/>
              <w:jc w:val="right"/>
              <w:outlineLvl w:val="0"/>
              <w:rPr>
                <w:rFonts w:eastAsia="Calibri" w:cstheme="minorHAnsi"/>
                <w:b/>
                <w:bCs/>
                <w:lang w:val="en-US"/>
              </w:rPr>
            </w:pPr>
          </w:p>
        </w:tc>
        <w:tc>
          <w:tcPr>
            <w:tcW w:w="718" w:type="pct"/>
            <w:tcBorders>
              <w:top w:val="single" w:sz="12" w:space="0" w:color="auto"/>
              <w:left w:val="nil"/>
              <w:bottom w:val="single" w:sz="12" w:space="0" w:color="auto"/>
              <w:right w:val="nil"/>
            </w:tcBorders>
            <w:shd w:val="clear" w:color="auto" w:fill="auto"/>
            <w:vAlign w:val="center"/>
          </w:tcPr>
          <w:p w14:paraId="3C3FA6D8" w14:textId="6479B381" w:rsidR="00240757" w:rsidRPr="00537128" w:rsidRDefault="00240757" w:rsidP="00240757">
            <w:pPr>
              <w:tabs>
                <w:tab w:val="right" w:pos="1202"/>
              </w:tabs>
              <w:spacing w:after="0"/>
              <w:jc w:val="right"/>
              <w:outlineLvl w:val="0"/>
              <w:rPr>
                <w:rFonts w:eastAsia="Calibri" w:cstheme="minorHAnsi"/>
                <w:b/>
                <w:bCs/>
                <w:lang w:val="en-US"/>
              </w:rPr>
            </w:pPr>
            <w:r w:rsidRPr="00DE3130">
              <w:rPr>
                <w:rFonts w:cs="Arial"/>
                <w:b/>
                <w:bCs/>
                <w:color w:val="000000" w:themeColor="text1"/>
              </w:rPr>
              <w:t>28</w:t>
            </w:r>
            <w:r>
              <w:rPr>
                <w:rFonts w:cs="Arial"/>
                <w:b/>
                <w:bCs/>
                <w:color w:val="000000" w:themeColor="text1"/>
              </w:rPr>
              <w:t>,</w:t>
            </w:r>
            <w:r w:rsidRPr="00DE3130">
              <w:rPr>
                <w:rFonts w:cs="Arial"/>
                <w:b/>
                <w:bCs/>
                <w:color w:val="000000" w:themeColor="text1"/>
              </w:rPr>
              <w:t>278</w:t>
            </w:r>
            <w:r>
              <w:rPr>
                <w:rFonts w:cs="Arial"/>
                <w:b/>
                <w:bCs/>
                <w:color w:val="000000" w:themeColor="text1"/>
              </w:rPr>
              <w:t>,</w:t>
            </w:r>
            <w:r w:rsidRPr="00DE3130">
              <w:rPr>
                <w:rFonts w:cs="Arial"/>
                <w:b/>
                <w:bCs/>
                <w:color w:val="000000" w:themeColor="text1"/>
              </w:rPr>
              <w:t>362</w:t>
            </w:r>
          </w:p>
        </w:tc>
      </w:tr>
    </w:tbl>
    <w:p w14:paraId="7D8018D1" w14:textId="77777777" w:rsidR="001A7A19" w:rsidRPr="00537128" w:rsidRDefault="001A7A19" w:rsidP="001C192E">
      <w:pPr>
        <w:spacing w:after="0" w:line="240" w:lineRule="auto"/>
        <w:ind w:right="284"/>
        <w:rPr>
          <w:rFonts w:eastAsia="Times New Roman" w:cs="Arial"/>
          <w:noProof/>
          <w:color w:val="000000" w:themeColor="text1"/>
          <w:szCs w:val="32"/>
          <w:lang w:val="en-US"/>
        </w:rPr>
      </w:pPr>
    </w:p>
    <w:p w14:paraId="364505A2" w14:textId="77777777" w:rsidR="001A7A19" w:rsidRPr="00537128" w:rsidRDefault="001A7A19" w:rsidP="001A7A19">
      <w:pPr>
        <w:spacing w:after="0" w:line="240" w:lineRule="auto"/>
        <w:ind w:right="284"/>
        <w:rPr>
          <w:rFonts w:eastAsia="Times New Roman" w:cs="Arial"/>
          <w:noProof/>
          <w:color w:val="000000" w:themeColor="text1"/>
          <w:szCs w:val="32"/>
          <w:lang w:val="en-US"/>
        </w:rPr>
      </w:pPr>
    </w:p>
    <w:p w14:paraId="10F5ED7F" w14:textId="77777777" w:rsidR="001A7A19" w:rsidRPr="00537128" w:rsidRDefault="001A7A19" w:rsidP="001A7A19">
      <w:pPr>
        <w:spacing w:after="0" w:line="240" w:lineRule="auto"/>
        <w:ind w:right="284"/>
        <w:rPr>
          <w:rFonts w:eastAsia="Times New Roman" w:cs="Arial"/>
          <w:noProof/>
          <w:color w:val="000000" w:themeColor="text1"/>
          <w:szCs w:val="32"/>
          <w:lang w:val="en-US"/>
        </w:rPr>
      </w:pPr>
    </w:p>
    <w:p w14:paraId="45A4EC37" w14:textId="082DE8CB" w:rsidR="001A7A19" w:rsidRPr="00A1123E" w:rsidRDefault="001A7A19" w:rsidP="001A7A19">
      <w:pPr>
        <w:spacing w:after="0" w:line="240" w:lineRule="auto"/>
        <w:rPr>
          <w:rFonts w:cs="Arial"/>
          <w:noProof/>
          <w:color w:val="000000" w:themeColor="text1"/>
          <w:lang w:val="en-US"/>
        </w:rPr>
      </w:pPr>
      <w:r w:rsidRPr="00A1123E">
        <w:rPr>
          <w:rFonts w:cs="Arial"/>
          <w:noProof/>
          <w:color w:val="000000" w:themeColor="text1"/>
          <w:lang w:val="en-US"/>
        </w:rPr>
        <w:t>The accompanying accounting policies and notes are an integral part of these financial statements</w:t>
      </w:r>
      <w:r w:rsidR="00CD76DD">
        <w:rPr>
          <w:rFonts w:cs="Arial"/>
          <w:noProof/>
          <w:color w:val="000000" w:themeColor="text1"/>
          <w:lang w:val="en-US"/>
        </w:rPr>
        <w:t>.</w:t>
      </w:r>
    </w:p>
    <w:p w14:paraId="6306D3F8" w14:textId="77777777" w:rsidR="001A7A19" w:rsidRPr="00A1123E" w:rsidRDefault="001A7A19" w:rsidP="001A7A19">
      <w:pPr>
        <w:spacing w:after="0" w:line="240" w:lineRule="auto"/>
        <w:rPr>
          <w:rFonts w:cs="Arial"/>
          <w:noProof/>
          <w:color w:val="000000" w:themeColor="text1"/>
          <w:lang w:val="en-US"/>
        </w:rPr>
      </w:pPr>
    </w:p>
    <w:p w14:paraId="17FEB0B4" w14:textId="77777777" w:rsidR="001A7A19" w:rsidRPr="00537128" w:rsidRDefault="001A7A19" w:rsidP="001A7A19">
      <w:pPr>
        <w:spacing w:after="0" w:line="240" w:lineRule="auto"/>
        <w:rPr>
          <w:rFonts w:ascii="Arial" w:eastAsia="Times New Roman" w:hAnsi="Arial" w:cs="Arial"/>
          <w:noProof/>
          <w:color w:val="000000" w:themeColor="text1"/>
          <w:sz w:val="19"/>
          <w:szCs w:val="20"/>
          <w:lang w:val="en-US"/>
        </w:rPr>
      </w:pPr>
    </w:p>
    <w:p w14:paraId="20CDBA8A" w14:textId="77777777" w:rsidR="001A7A19" w:rsidRPr="00537128" w:rsidRDefault="001A7A19" w:rsidP="001A7A19">
      <w:pPr>
        <w:spacing w:after="0" w:line="240" w:lineRule="auto"/>
        <w:rPr>
          <w:rFonts w:ascii="Arial" w:eastAsia="Times New Roman" w:hAnsi="Arial" w:cs="Arial"/>
          <w:noProof/>
          <w:color w:val="000000" w:themeColor="text1"/>
          <w:sz w:val="19"/>
          <w:szCs w:val="20"/>
          <w:lang w:val="en-US"/>
        </w:rPr>
        <w:sectPr w:rsidR="001A7A19" w:rsidRPr="00537128">
          <w:headerReference w:type="default" r:id="rId20"/>
          <w:pgSz w:w="11906" w:h="16838"/>
          <w:pgMar w:top="1417" w:right="1417" w:bottom="1417" w:left="1417" w:header="708" w:footer="708" w:gutter="0"/>
          <w:cols w:space="708"/>
          <w:docGrid w:linePitch="360"/>
        </w:sectPr>
      </w:pPr>
    </w:p>
    <w:p w14:paraId="0F7A0F1C" w14:textId="77777777" w:rsidR="001A7A19" w:rsidRPr="00537128" w:rsidRDefault="001A7A19" w:rsidP="001A7A19">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Y="2805"/>
        <w:tblW w:w="9601" w:type="dxa"/>
        <w:tblLayout w:type="fixed"/>
        <w:tblCellMar>
          <w:left w:w="119" w:type="dxa"/>
          <w:right w:w="119" w:type="dxa"/>
        </w:tblCellMar>
        <w:tblLook w:val="0000" w:firstRow="0" w:lastRow="0" w:firstColumn="0" w:lastColumn="0" w:noHBand="0" w:noVBand="0"/>
      </w:tblPr>
      <w:tblGrid>
        <w:gridCol w:w="7060"/>
        <w:gridCol w:w="1271"/>
        <w:gridCol w:w="1270"/>
      </w:tblGrid>
      <w:tr w:rsidR="00BC5812" w:rsidRPr="00537128" w14:paraId="7E3874A0" w14:textId="77777777" w:rsidTr="00BC5812">
        <w:trPr>
          <w:trHeight w:val="269"/>
        </w:trPr>
        <w:tc>
          <w:tcPr>
            <w:tcW w:w="7060" w:type="dxa"/>
            <w:vAlign w:val="bottom"/>
          </w:tcPr>
          <w:p w14:paraId="0CF26361" w14:textId="77777777" w:rsidR="00BC5812" w:rsidRPr="00537128" w:rsidRDefault="00BC5812" w:rsidP="00BC5812">
            <w:pPr>
              <w:keepLines/>
              <w:tabs>
                <w:tab w:val="right" w:pos="1202"/>
              </w:tabs>
              <w:spacing w:after="0" w:line="240" w:lineRule="auto"/>
              <w:outlineLvl w:val="0"/>
              <w:rPr>
                <w:rFonts w:ascii="Calibri" w:eastAsia="Calibri" w:hAnsi="Calibri" w:cs="Arial"/>
                <w:b/>
                <w:sz w:val="18"/>
                <w:szCs w:val="18"/>
                <w:lang w:val="en-US"/>
              </w:rPr>
            </w:pPr>
            <w:r w:rsidRPr="00537128">
              <w:rPr>
                <w:rFonts w:ascii="Calibri" w:eastAsia="Calibri" w:hAnsi="Calibri" w:cs="Arial"/>
                <w:b/>
                <w:sz w:val="18"/>
                <w:szCs w:val="18"/>
                <w:lang w:val="en-US"/>
              </w:rPr>
              <w:t xml:space="preserve">                                                                                                                                               </w:t>
            </w:r>
          </w:p>
        </w:tc>
        <w:tc>
          <w:tcPr>
            <w:tcW w:w="1271" w:type="dxa"/>
            <w:vAlign w:val="bottom"/>
          </w:tcPr>
          <w:p w14:paraId="49DB28B3" w14:textId="0B8870B5" w:rsidR="00BC5812" w:rsidRPr="00537128" w:rsidRDefault="00BC5812" w:rsidP="00BC5812">
            <w:pPr>
              <w:keepLines/>
              <w:tabs>
                <w:tab w:val="right" w:pos="1202"/>
              </w:tabs>
              <w:spacing w:after="0" w:line="240" w:lineRule="auto"/>
              <w:jc w:val="right"/>
              <w:outlineLvl w:val="0"/>
              <w:rPr>
                <w:rFonts w:ascii="Calibri" w:eastAsia="Calibri" w:hAnsi="Calibri" w:cs="Arial"/>
                <w:b/>
                <w:bCs/>
                <w:sz w:val="18"/>
                <w:szCs w:val="18"/>
                <w:lang w:val="en-US"/>
              </w:rPr>
            </w:pPr>
            <w:r w:rsidRPr="00537128">
              <w:rPr>
                <w:rFonts w:ascii="Calibri" w:eastAsia="Calibri" w:hAnsi="Calibri" w:cs="Arial"/>
                <w:b/>
                <w:bCs/>
                <w:sz w:val="18"/>
                <w:szCs w:val="18"/>
                <w:lang w:val="en-US"/>
              </w:rPr>
              <w:t>202</w:t>
            </w:r>
            <w:r w:rsidR="00832087">
              <w:rPr>
                <w:rFonts w:ascii="Calibri" w:eastAsia="Calibri" w:hAnsi="Calibri" w:cs="Arial"/>
                <w:b/>
                <w:bCs/>
                <w:sz w:val="18"/>
                <w:szCs w:val="18"/>
                <w:lang w:val="en-US"/>
              </w:rPr>
              <w:t>2</w:t>
            </w:r>
          </w:p>
        </w:tc>
        <w:tc>
          <w:tcPr>
            <w:tcW w:w="1270" w:type="dxa"/>
            <w:vAlign w:val="bottom"/>
          </w:tcPr>
          <w:p w14:paraId="77B53829" w14:textId="38DAB530" w:rsidR="00BC5812" w:rsidRPr="00537128" w:rsidRDefault="00BC5812" w:rsidP="00BC5812">
            <w:pPr>
              <w:keepLines/>
              <w:tabs>
                <w:tab w:val="right" w:pos="1202"/>
              </w:tabs>
              <w:spacing w:after="0" w:line="240" w:lineRule="auto"/>
              <w:jc w:val="right"/>
              <w:outlineLvl w:val="0"/>
              <w:rPr>
                <w:rFonts w:ascii="Calibri" w:eastAsia="Calibri" w:hAnsi="Calibri" w:cs="Arial"/>
                <w:b/>
                <w:bCs/>
                <w:sz w:val="18"/>
                <w:szCs w:val="18"/>
                <w:lang w:val="en-US"/>
              </w:rPr>
            </w:pPr>
            <w:r w:rsidRPr="00537128">
              <w:rPr>
                <w:rFonts w:ascii="Calibri" w:eastAsia="Calibri" w:hAnsi="Calibri" w:cs="Arial"/>
                <w:b/>
                <w:bCs/>
                <w:sz w:val="18"/>
                <w:szCs w:val="18"/>
                <w:lang w:val="en-US"/>
              </w:rPr>
              <w:t>20</w:t>
            </w:r>
            <w:r w:rsidR="00732009" w:rsidRPr="00537128">
              <w:rPr>
                <w:rFonts w:ascii="Calibri" w:eastAsia="Calibri" w:hAnsi="Calibri" w:cs="Arial"/>
                <w:b/>
                <w:bCs/>
                <w:sz w:val="18"/>
                <w:szCs w:val="18"/>
                <w:lang w:val="en-US"/>
              </w:rPr>
              <w:t>2</w:t>
            </w:r>
            <w:r w:rsidR="00832087">
              <w:rPr>
                <w:rFonts w:ascii="Calibri" w:eastAsia="Calibri" w:hAnsi="Calibri" w:cs="Arial"/>
                <w:b/>
                <w:bCs/>
                <w:sz w:val="18"/>
                <w:szCs w:val="18"/>
                <w:lang w:val="en-US"/>
              </w:rPr>
              <w:t>1</w:t>
            </w:r>
          </w:p>
        </w:tc>
      </w:tr>
      <w:tr w:rsidR="00BC5812" w:rsidRPr="00537128" w14:paraId="764778B4" w14:textId="77777777" w:rsidTr="00BC5812">
        <w:trPr>
          <w:trHeight w:val="269"/>
        </w:trPr>
        <w:tc>
          <w:tcPr>
            <w:tcW w:w="7060" w:type="dxa"/>
            <w:vAlign w:val="bottom"/>
          </w:tcPr>
          <w:p w14:paraId="56DF2884" w14:textId="77777777" w:rsidR="00BC5812" w:rsidRPr="00537128" w:rsidRDefault="00BC5812" w:rsidP="00BC5812">
            <w:pPr>
              <w:keepLines/>
              <w:tabs>
                <w:tab w:val="right" w:pos="1202"/>
              </w:tabs>
              <w:spacing w:after="0" w:line="240" w:lineRule="auto"/>
              <w:jc w:val="right"/>
              <w:outlineLvl w:val="0"/>
              <w:rPr>
                <w:rFonts w:ascii="Calibri" w:eastAsia="Calibri" w:hAnsi="Calibri" w:cs="Arial"/>
                <w:b/>
                <w:sz w:val="18"/>
                <w:szCs w:val="18"/>
                <w:lang w:val="en-US"/>
              </w:rPr>
            </w:pPr>
            <w:bookmarkStart w:id="53" w:name="_Toc4057045"/>
            <w:r w:rsidRPr="00537128">
              <w:rPr>
                <w:rFonts w:ascii="Calibri" w:eastAsia="Calibri" w:hAnsi="Calibri" w:cs="Arial"/>
                <w:b/>
                <w:sz w:val="18"/>
                <w:szCs w:val="18"/>
                <w:lang w:val="en-US"/>
              </w:rPr>
              <w:t>Notes</w:t>
            </w:r>
            <w:bookmarkEnd w:id="53"/>
          </w:p>
        </w:tc>
        <w:tc>
          <w:tcPr>
            <w:tcW w:w="1271" w:type="dxa"/>
            <w:vAlign w:val="bottom"/>
          </w:tcPr>
          <w:p w14:paraId="4A223CAC" w14:textId="77777777" w:rsidR="00BC5812" w:rsidRPr="00537128" w:rsidRDefault="00BC5812" w:rsidP="00BC5812">
            <w:pPr>
              <w:keepLines/>
              <w:tabs>
                <w:tab w:val="right" w:pos="1202"/>
              </w:tabs>
              <w:spacing w:after="0" w:line="240" w:lineRule="auto"/>
              <w:jc w:val="right"/>
              <w:outlineLvl w:val="0"/>
              <w:rPr>
                <w:rFonts w:ascii="Calibri" w:eastAsia="Calibri" w:hAnsi="Calibri" w:cs="Arial"/>
                <w:b/>
                <w:bCs/>
                <w:sz w:val="18"/>
                <w:szCs w:val="18"/>
                <w:lang w:val="en-US"/>
              </w:rPr>
            </w:pPr>
            <w:bookmarkStart w:id="54" w:name="_Toc4057046"/>
            <w:r w:rsidRPr="00537128">
              <w:rPr>
                <w:rFonts w:ascii="Calibri" w:eastAsia="Calibri" w:hAnsi="Calibri" w:cs="Arial"/>
                <w:b/>
                <w:bCs/>
                <w:sz w:val="18"/>
                <w:szCs w:val="18"/>
                <w:lang w:val="en-US"/>
              </w:rPr>
              <w:t>HRK ‘000</w:t>
            </w:r>
            <w:bookmarkEnd w:id="54"/>
          </w:p>
        </w:tc>
        <w:tc>
          <w:tcPr>
            <w:tcW w:w="1270" w:type="dxa"/>
            <w:vAlign w:val="bottom"/>
          </w:tcPr>
          <w:p w14:paraId="1E7E81D5" w14:textId="77777777" w:rsidR="00BC5812" w:rsidRPr="00537128" w:rsidRDefault="00BC5812" w:rsidP="00BC5812">
            <w:pPr>
              <w:keepLines/>
              <w:tabs>
                <w:tab w:val="right" w:pos="1202"/>
              </w:tabs>
              <w:spacing w:after="0" w:line="240" w:lineRule="auto"/>
              <w:jc w:val="right"/>
              <w:outlineLvl w:val="0"/>
              <w:rPr>
                <w:rFonts w:ascii="Calibri" w:eastAsia="Calibri" w:hAnsi="Calibri" w:cs="Arial"/>
                <w:b/>
                <w:bCs/>
                <w:sz w:val="18"/>
                <w:szCs w:val="18"/>
                <w:lang w:val="en-US"/>
              </w:rPr>
            </w:pPr>
            <w:bookmarkStart w:id="55" w:name="_Toc4057047"/>
            <w:r w:rsidRPr="00537128">
              <w:rPr>
                <w:rFonts w:ascii="Calibri" w:eastAsia="Calibri" w:hAnsi="Calibri" w:cs="Arial"/>
                <w:b/>
                <w:bCs/>
                <w:sz w:val="18"/>
                <w:szCs w:val="18"/>
                <w:lang w:val="en-US"/>
              </w:rPr>
              <w:t>HRK ‘000</w:t>
            </w:r>
            <w:bookmarkEnd w:id="55"/>
          </w:p>
        </w:tc>
      </w:tr>
      <w:tr w:rsidR="00BC5812" w:rsidRPr="00537128" w14:paraId="4E0233FE" w14:textId="77777777" w:rsidTr="00BC5812">
        <w:trPr>
          <w:trHeight w:val="205"/>
        </w:trPr>
        <w:tc>
          <w:tcPr>
            <w:tcW w:w="7060" w:type="dxa"/>
          </w:tcPr>
          <w:p w14:paraId="2EEE97AA" w14:textId="77777777" w:rsidR="00BC5812" w:rsidRPr="00537128" w:rsidRDefault="00BC5812" w:rsidP="00BC5812">
            <w:pPr>
              <w:keepLines/>
              <w:tabs>
                <w:tab w:val="right" w:pos="1202"/>
              </w:tabs>
              <w:spacing w:after="0" w:line="240" w:lineRule="auto"/>
              <w:outlineLvl w:val="0"/>
              <w:rPr>
                <w:rFonts w:ascii="Calibri" w:eastAsia="Calibri" w:hAnsi="Calibri" w:cs="Arial"/>
                <w:b/>
                <w:bCs/>
                <w:spacing w:val="-3"/>
                <w:sz w:val="18"/>
                <w:szCs w:val="18"/>
                <w:lang w:val="en-US"/>
              </w:rPr>
            </w:pPr>
            <w:bookmarkStart w:id="56" w:name="_Toc4057048"/>
            <w:r w:rsidRPr="00537128">
              <w:rPr>
                <w:rFonts w:ascii="Calibri" w:eastAsia="Calibri" w:hAnsi="Calibri" w:cs="Arial"/>
                <w:b/>
                <w:bCs/>
                <w:sz w:val="18"/>
                <w:szCs w:val="18"/>
                <w:lang w:val="en-US"/>
              </w:rPr>
              <w:t>Operating activities</w:t>
            </w:r>
            <w:bookmarkEnd w:id="56"/>
          </w:p>
        </w:tc>
        <w:tc>
          <w:tcPr>
            <w:tcW w:w="1271" w:type="dxa"/>
          </w:tcPr>
          <w:p w14:paraId="123D1B6B" w14:textId="77777777" w:rsidR="00BC5812" w:rsidRPr="00537128" w:rsidRDefault="00BC5812" w:rsidP="00BC5812">
            <w:pPr>
              <w:keepLines/>
              <w:tabs>
                <w:tab w:val="right" w:pos="1202"/>
              </w:tabs>
              <w:spacing w:after="0" w:line="240" w:lineRule="auto"/>
              <w:jc w:val="right"/>
              <w:outlineLvl w:val="0"/>
              <w:rPr>
                <w:rFonts w:ascii="Calibri" w:eastAsia="Calibri" w:hAnsi="Calibri" w:cs="Arial"/>
                <w:sz w:val="18"/>
                <w:szCs w:val="18"/>
                <w:lang w:val="en-US"/>
              </w:rPr>
            </w:pPr>
          </w:p>
        </w:tc>
        <w:tc>
          <w:tcPr>
            <w:tcW w:w="1270" w:type="dxa"/>
          </w:tcPr>
          <w:p w14:paraId="4D51965C" w14:textId="77777777" w:rsidR="00BC5812" w:rsidRPr="00537128" w:rsidRDefault="00BC5812" w:rsidP="00BC5812">
            <w:pPr>
              <w:keepLines/>
              <w:tabs>
                <w:tab w:val="right" w:pos="1202"/>
              </w:tabs>
              <w:spacing w:after="0" w:line="240" w:lineRule="auto"/>
              <w:jc w:val="right"/>
              <w:outlineLvl w:val="0"/>
              <w:rPr>
                <w:rFonts w:ascii="Calibri" w:eastAsia="Calibri" w:hAnsi="Calibri" w:cs="Arial"/>
                <w:sz w:val="18"/>
                <w:szCs w:val="18"/>
                <w:lang w:val="en-US"/>
              </w:rPr>
            </w:pPr>
          </w:p>
        </w:tc>
      </w:tr>
      <w:tr w:rsidR="00B15F25" w:rsidRPr="00537128" w14:paraId="3665BDCC" w14:textId="77777777" w:rsidTr="00CE00C1">
        <w:trPr>
          <w:trHeight w:hRule="exact" w:val="227"/>
        </w:trPr>
        <w:tc>
          <w:tcPr>
            <w:tcW w:w="7060" w:type="dxa"/>
            <w:vAlign w:val="bottom"/>
          </w:tcPr>
          <w:p w14:paraId="459178AE" w14:textId="77777777" w:rsidR="00B15F25" w:rsidRPr="00537128" w:rsidRDefault="00B15F25" w:rsidP="00B15F25">
            <w:pPr>
              <w:keepLines/>
              <w:tabs>
                <w:tab w:val="right" w:pos="1202"/>
              </w:tabs>
              <w:spacing w:after="0" w:line="240" w:lineRule="auto"/>
              <w:outlineLvl w:val="0"/>
              <w:rPr>
                <w:rFonts w:ascii="Calibri" w:eastAsia="Calibri" w:hAnsi="Calibri" w:cs="Arial"/>
                <w:spacing w:val="-3"/>
                <w:sz w:val="18"/>
                <w:szCs w:val="18"/>
                <w:lang w:val="en-US"/>
              </w:rPr>
            </w:pPr>
            <w:bookmarkStart w:id="57" w:name="_Toc4057049"/>
            <w:r w:rsidRPr="00537128">
              <w:rPr>
                <w:rFonts w:ascii="Calibri" w:eastAsia="Calibri" w:hAnsi="Calibri" w:cs="Arial"/>
                <w:sz w:val="18"/>
                <w:szCs w:val="18"/>
                <w:lang w:val="en-US"/>
              </w:rPr>
              <w:t>Profit before income tax</w:t>
            </w:r>
            <w:bookmarkEnd w:id="57"/>
          </w:p>
        </w:tc>
        <w:tc>
          <w:tcPr>
            <w:tcW w:w="1271" w:type="dxa"/>
            <w:shd w:val="clear" w:color="auto" w:fill="FFFFFF"/>
            <w:vAlign w:val="bottom"/>
          </w:tcPr>
          <w:p w14:paraId="78CF8A24" w14:textId="78BEB507" w:rsidR="00B15F25" w:rsidRPr="00537128" w:rsidRDefault="00B15F25" w:rsidP="00B15F25">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230</w:t>
            </w:r>
            <w:r w:rsidR="00172EFD">
              <w:rPr>
                <w:rFonts w:cstheme="minorHAnsi"/>
                <w:color w:val="000000" w:themeColor="text1"/>
                <w:sz w:val="18"/>
                <w:szCs w:val="18"/>
              </w:rPr>
              <w:t>,</w:t>
            </w:r>
            <w:r>
              <w:rPr>
                <w:rFonts w:cstheme="minorHAnsi"/>
                <w:color w:val="000000" w:themeColor="text1"/>
                <w:sz w:val="18"/>
                <w:szCs w:val="18"/>
              </w:rPr>
              <w:t>100</w:t>
            </w:r>
          </w:p>
        </w:tc>
        <w:tc>
          <w:tcPr>
            <w:tcW w:w="1270" w:type="dxa"/>
            <w:tcBorders>
              <w:top w:val="nil"/>
              <w:left w:val="nil"/>
              <w:bottom w:val="nil"/>
              <w:right w:val="nil"/>
            </w:tcBorders>
            <w:shd w:val="clear" w:color="auto" w:fill="FFFFFF"/>
            <w:vAlign w:val="bottom"/>
          </w:tcPr>
          <w:p w14:paraId="4CF38C9A" w14:textId="00EF25C2" w:rsidR="00B15F25" w:rsidRPr="00537128" w:rsidRDefault="00B15F25" w:rsidP="00B15F25">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88,565</w:t>
            </w:r>
          </w:p>
        </w:tc>
      </w:tr>
      <w:tr w:rsidR="00B15F25" w:rsidRPr="00537128" w14:paraId="4EBA2FA0" w14:textId="77777777" w:rsidTr="00CE00C1">
        <w:trPr>
          <w:trHeight w:hRule="exact" w:val="227"/>
        </w:trPr>
        <w:tc>
          <w:tcPr>
            <w:tcW w:w="7060" w:type="dxa"/>
            <w:vAlign w:val="bottom"/>
          </w:tcPr>
          <w:p w14:paraId="782F0A61" w14:textId="77777777" w:rsidR="00B15F25" w:rsidRPr="00537128" w:rsidRDefault="00B15F25" w:rsidP="00B15F25">
            <w:pPr>
              <w:keepLines/>
              <w:tabs>
                <w:tab w:val="right" w:pos="1202"/>
              </w:tabs>
              <w:spacing w:after="0" w:line="240" w:lineRule="auto"/>
              <w:outlineLvl w:val="0"/>
              <w:rPr>
                <w:rFonts w:ascii="Calibri" w:eastAsia="Calibri" w:hAnsi="Calibri" w:cs="Arial"/>
                <w:i/>
                <w:sz w:val="18"/>
                <w:szCs w:val="18"/>
                <w:lang w:val="en-US"/>
              </w:rPr>
            </w:pPr>
            <w:bookmarkStart w:id="58" w:name="_Toc4057050"/>
            <w:r w:rsidRPr="00537128">
              <w:rPr>
                <w:rFonts w:ascii="Calibri" w:eastAsia="Calibri" w:hAnsi="Calibri" w:cs="Arial"/>
                <w:i/>
                <w:sz w:val="18"/>
                <w:szCs w:val="18"/>
                <w:lang w:val="en-US"/>
              </w:rPr>
              <w:t>Adjustments to reconcile to net cash from and used in operating activities:</w:t>
            </w:r>
            <w:bookmarkEnd w:id="58"/>
          </w:p>
        </w:tc>
        <w:tc>
          <w:tcPr>
            <w:tcW w:w="1271" w:type="dxa"/>
            <w:shd w:val="clear" w:color="auto" w:fill="FFFFFF"/>
            <w:vAlign w:val="bottom"/>
          </w:tcPr>
          <w:p w14:paraId="3FAE322F" w14:textId="77777777" w:rsidR="00B15F25" w:rsidRPr="00537128" w:rsidRDefault="00B15F25" w:rsidP="00B15F25">
            <w:pPr>
              <w:keepLines/>
              <w:spacing w:after="0" w:line="240" w:lineRule="auto"/>
              <w:jc w:val="right"/>
              <w:rPr>
                <w:rFonts w:ascii="Calibri" w:eastAsia="Calibri" w:hAnsi="Calibri" w:cs="Arial"/>
                <w:sz w:val="18"/>
                <w:szCs w:val="18"/>
                <w:lang w:val="en-US"/>
              </w:rPr>
            </w:pPr>
          </w:p>
        </w:tc>
        <w:tc>
          <w:tcPr>
            <w:tcW w:w="1270" w:type="dxa"/>
            <w:tcBorders>
              <w:top w:val="nil"/>
              <w:left w:val="nil"/>
              <w:bottom w:val="nil"/>
              <w:right w:val="nil"/>
            </w:tcBorders>
            <w:shd w:val="clear" w:color="auto" w:fill="FFFFFF"/>
            <w:vAlign w:val="bottom"/>
          </w:tcPr>
          <w:p w14:paraId="18C81429" w14:textId="77777777" w:rsidR="00B15F25" w:rsidRPr="00537128" w:rsidRDefault="00B15F25" w:rsidP="00B15F25">
            <w:pPr>
              <w:keepLines/>
              <w:spacing w:after="0" w:line="240" w:lineRule="auto"/>
              <w:jc w:val="right"/>
              <w:rPr>
                <w:rFonts w:ascii="Calibri" w:eastAsia="Calibri" w:hAnsi="Calibri" w:cs="Arial"/>
                <w:sz w:val="18"/>
                <w:szCs w:val="18"/>
                <w:lang w:val="en-US"/>
              </w:rPr>
            </w:pPr>
          </w:p>
        </w:tc>
      </w:tr>
      <w:tr w:rsidR="00B15F25" w:rsidRPr="00537128" w14:paraId="1287E717" w14:textId="77777777" w:rsidTr="00A1123E">
        <w:trPr>
          <w:trHeight w:hRule="exact" w:val="206"/>
        </w:trPr>
        <w:tc>
          <w:tcPr>
            <w:tcW w:w="7060" w:type="dxa"/>
            <w:vAlign w:val="bottom"/>
          </w:tcPr>
          <w:p w14:paraId="57C1F8F2" w14:textId="77777777" w:rsidR="00B15F25" w:rsidRPr="00537128" w:rsidRDefault="00B15F25" w:rsidP="00B15F25">
            <w:pPr>
              <w:keepLines/>
              <w:tabs>
                <w:tab w:val="right" w:pos="1202"/>
              </w:tabs>
              <w:spacing w:after="0" w:line="240" w:lineRule="auto"/>
              <w:outlineLvl w:val="0"/>
              <w:rPr>
                <w:rFonts w:ascii="Calibri" w:eastAsia="Calibri" w:hAnsi="Calibri" w:cs="Arial"/>
                <w:spacing w:val="-3"/>
                <w:sz w:val="18"/>
                <w:szCs w:val="18"/>
                <w:lang w:val="en-US"/>
              </w:rPr>
            </w:pPr>
            <w:bookmarkStart w:id="59" w:name="_Toc4057051"/>
            <w:r w:rsidRPr="00537128">
              <w:rPr>
                <w:rFonts w:ascii="Calibri" w:eastAsia="Calibri" w:hAnsi="Calibri" w:cs="Arial"/>
                <w:sz w:val="18"/>
                <w:szCs w:val="18"/>
                <w:lang w:val="en-US"/>
              </w:rPr>
              <w:t>Depreciation</w:t>
            </w:r>
            <w:bookmarkEnd w:id="59"/>
            <w:r w:rsidRPr="00537128">
              <w:rPr>
                <w:rFonts w:ascii="Calibri" w:eastAsia="Calibri" w:hAnsi="Calibri" w:cs="Arial"/>
                <w:sz w:val="18"/>
                <w:szCs w:val="18"/>
                <w:lang w:val="en-US"/>
              </w:rPr>
              <w:t xml:space="preserve"> and amortization</w:t>
            </w:r>
          </w:p>
        </w:tc>
        <w:tc>
          <w:tcPr>
            <w:tcW w:w="1271" w:type="dxa"/>
            <w:tcBorders>
              <w:top w:val="nil"/>
              <w:left w:val="nil"/>
              <w:bottom w:val="nil"/>
              <w:right w:val="nil"/>
            </w:tcBorders>
            <w:shd w:val="clear" w:color="auto" w:fill="auto"/>
            <w:vAlign w:val="bottom"/>
          </w:tcPr>
          <w:p w14:paraId="4778445D" w14:textId="299F87C1" w:rsidR="00B15F25" w:rsidRPr="00537128" w:rsidRDefault="00B15F25" w:rsidP="00B15F25">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2</w:t>
            </w:r>
            <w:r w:rsidR="00172EFD">
              <w:rPr>
                <w:rFonts w:cstheme="minorHAnsi"/>
                <w:color w:val="000000" w:themeColor="text1"/>
                <w:sz w:val="18"/>
                <w:szCs w:val="18"/>
              </w:rPr>
              <w:t>,</w:t>
            </w:r>
            <w:r>
              <w:rPr>
                <w:rFonts w:cstheme="minorHAnsi"/>
                <w:color w:val="000000" w:themeColor="text1"/>
                <w:sz w:val="18"/>
                <w:szCs w:val="18"/>
              </w:rPr>
              <w:t>912</w:t>
            </w:r>
          </w:p>
        </w:tc>
        <w:tc>
          <w:tcPr>
            <w:tcW w:w="1270" w:type="dxa"/>
            <w:tcBorders>
              <w:top w:val="nil"/>
              <w:left w:val="nil"/>
              <w:bottom w:val="nil"/>
              <w:right w:val="nil"/>
            </w:tcBorders>
            <w:shd w:val="clear" w:color="auto" w:fill="FFFFFF"/>
            <w:vAlign w:val="bottom"/>
          </w:tcPr>
          <w:p w14:paraId="6BE38590" w14:textId="102CF1C7" w:rsidR="00B15F25" w:rsidRPr="00537128" w:rsidRDefault="00B15F25" w:rsidP="00B15F25">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2,555</w:t>
            </w:r>
          </w:p>
        </w:tc>
      </w:tr>
      <w:tr w:rsidR="00B15F25" w:rsidRPr="00537128" w14:paraId="4C508D37" w14:textId="77777777" w:rsidTr="00A1123E">
        <w:trPr>
          <w:trHeight w:hRule="exact" w:val="206"/>
        </w:trPr>
        <w:tc>
          <w:tcPr>
            <w:tcW w:w="7060" w:type="dxa"/>
            <w:vAlign w:val="bottom"/>
          </w:tcPr>
          <w:p w14:paraId="02B927EA" w14:textId="77777777" w:rsidR="00B15F25" w:rsidRPr="00537128" w:rsidRDefault="00B15F25" w:rsidP="00B15F25">
            <w:pPr>
              <w:keepLines/>
              <w:tabs>
                <w:tab w:val="right" w:pos="1202"/>
              </w:tabs>
              <w:spacing w:after="0" w:line="240" w:lineRule="auto"/>
              <w:outlineLvl w:val="0"/>
              <w:rPr>
                <w:rFonts w:ascii="Calibri" w:eastAsia="Calibri" w:hAnsi="Calibri" w:cs="Arial"/>
                <w:sz w:val="18"/>
                <w:szCs w:val="18"/>
                <w:lang w:val="en-US"/>
              </w:rPr>
            </w:pPr>
            <w:bookmarkStart w:id="60" w:name="_Toc4057052"/>
            <w:r w:rsidRPr="00537128">
              <w:rPr>
                <w:rFonts w:ascii="Calibri" w:eastAsia="Calibri" w:hAnsi="Calibri" w:cs="Arial"/>
                <w:sz w:val="18"/>
                <w:szCs w:val="18"/>
                <w:lang w:val="en-US"/>
              </w:rPr>
              <w:t>Income tax</w:t>
            </w:r>
            <w:bookmarkEnd w:id="60"/>
          </w:p>
        </w:tc>
        <w:tc>
          <w:tcPr>
            <w:tcW w:w="1271" w:type="dxa"/>
            <w:tcBorders>
              <w:top w:val="nil"/>
              <w:left w:val="nil"/>
              <w:bottom w:val="nil"/>
              <w:right w:val="nil"/>
            </w:tcBorders>
            <w:shd w:val="clear" w:color="auto" w:fill="auto"/>
            <w:vAlign w:val="bottom"/>
          </w:tcPr>
          <w:p w14:paraId="143CE539" w14:textId="6D279B72" w:rsidR="00B15F25" w:rsidRPr="00537128" w:rsidRDefault="009C78C1" w:rsidP="00B15F25">
            <w:pPr>
              <w:keepLines/>
              <w:spacing w:after="0" w:line="240" w:lineRule="auto"/>
              <w:jc w:val="right"/>
              <w:rPr>
                <w:rFonts w:ascii="Calibri" w:eastAsia="Calibri" w:hAnsi="Calibri" w:cs="Arial"/>
                <w:sz w:val="18"/>
                <w:szCs w:val="18"/>
                <w:lang w:val="en-US"/>
              </w:rPr>
            </w:pPr>
            <w:r>
              <w:rPr>
                <w:rFonts w:ascii="Calibri" w:eastAsia="Calibri" w:hAnsi="Calibri" w:cs="Arial"/>
                <w:sz w:val="18"/>
                <w:szCs w:val="18"/>
                <w:lang w:val="en-US"/>
              </w:rPr>
              <w:t>-</w:t>
            </w:r>
          </w:p>
        </w:tc>
        <w:tc>
          <w:tcPr>
            <w:tcW w:w="1270" w:type="dxa"/>
            <w:tcBorders>
              <w:top w:val="nil"/>
              <w:left w:val="nil"/>
              <w:bottom w:val="nil"/>
              <w:right w:val="nil"/>
            </w:tcBorders>
            <w:shd w:val="clear" w:color="auto" w:fill="FFFFFF"/>
            <w:vAlign w:val="bottom"/>
          </w:tcPr>
          <w:p w14:paraId="7F326B6F" w14:textId="78602EF2" w:rsidR="00B15F25" w:rsidRPr="00537128" w:rsidRDefault="00B15F25" w:rsidP="00B15F25">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w:t>
            </w:r>
          </w:p>
        </w:tc>
      </w:tr>
      <w:tr w:rsidR="00B15F25" w:rsidRPr="00537128" w14:paraId="7BDAECAD" w14:textId="77777777" w:rsidTr="00A1123E">
        <w:trPr>
          <w:trHeight w:hRule="exact" w:val="206"/>
        </w:trPr>
        <w:tc>
          <w:tcPr>
            <w:tcW w:w="7060" w:type="dxa"/>
            <w:vAlign w:val="bottom"/>
          </w:tcPr>
          <w:p w14:paraId="4946559D" w14:textId="77777777" w:rsidR="00B15F25" w:rsidRPr="00537128" w:rsidRDefault="00B15F25" w:rsidP="00B15F25">
            <w:pPr>
              <w:tabs>
                <w:tab w:val="right" w:pos="1202"/>
              </w:tabs>
              <w:spacing w:after="0" w:line="240" w:lineRule="auto"/>
              <w:outlineLvl w:val="0"/>
              <w:rPr>
                <w:rFonts w:ascii="Calibri" w:eastAsia="Calibri" w:hAnsi="Calibri" w:cs="Arial"/>
                <w:bCs/>
                <w:spacing w:val="-2"/>
                <w:sz w:val="18"/>
                <w:szCs w:val="18"/>
                <w:lang w:val="en-US"/>
              </w:rPr>
            </w:pPr>
            <w:bookmarkStart w:id="61" w:name="_Toc4057053"/>
            <w:r w:rsidRPr="00537128">
              <w:rPr>
                <w:rFonts w:ascii="Calibri" w:eastAsia="Calibri" w:hAnsi="Calibri" w:cs="Arial"/>
                <w:sz w:val="18"/>
                <w:szCs w:val="18"/>
                <w:lang w:val="en-US"/>
              </w:rPr>
              <w:t>Impairment loss and provisions</w:t>
            </w:r>
            <w:bookmarkEnd w:id="61"/>
          </w:p>
        </w:tc>
        <w:tc>
          <w:tcPr>
            <w:tcW w:w="1271" w:type="dxa"/>
            <w:tcBorders>
              <w:top w:val="nil"/>
              <w:left w:val="nil"/>
              <w:bottom w:val="nil"/>
              <w:right w:val="nil"/>
            </w:tcBorders>
            <w:shd w:val="clear" w:color="auto" w:fill="auto"/>
            <w:vAlign w:val="bottom"/>
          </w:tcPr>
          <w:p w14:paraId="2A4F51B0" w14:textId="56913FF7" w:rsidR="00B15F25" w:rsidRPr="00537128" w:rsidRDefault="00B15F25" w:rsidP="00B15F25">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(130</w:t>
            </w:r>
            <w:r w:rsidR="00172EFD">
              <w:rPr>
                <w:rFonts w:cstheme="minorHAnsi"/>
                <w:color w:val="000000" w:themeColor="text1"/>
                <w:sz w:val="18"/>
                <w:szCs w:val="18"/>
              </w:rPr>
              <w:t>,</w:t>
            </w:r>
            <w:r>
              <w:rPr>
                <w:rFonts w:cstheme="minorHAnsi"/>
                <w:color w:val="000000" w:themeColor="text1"/>
                <w:sz w:val="18"/>
                <w:szCs w:val="18"/>
              </w:rPr>
              <w:t>327)</w:t>
            </w:r>
          </w:p>
        </w:tc>
        <w:tc>
          <w:tcPr>
            <w:tcW w:w="1270" w:type="dxa"/>
            <w:tcBorders>
              <w:top w:val="nil"/>
              <w:left w:val="nil"/>
              <w:bottom w:val="nil"/>
              <w:right w:val="nil"/>
            </w:tcBorders>
            <w:shd w:val="clear" w:color="auto" w:fill="FFFFFF"/>
            <w:vAlign w:val="bottom"/>
          </w:tcPr>
          <w:p w14:paraId="3FFD84C2" w14:textId="1FF14C08" w:rsidR="00B15F25" w:rsidRPr="00537128" w:rsidRDefault="00B15F25" w:rsidP="00B15F25">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(9,585)</w:t>
            </w:r>
          </w:p>
        </w:tc>
      </w:tr>
      <w:tr w:rsidR="00B15F25" w:rsidRPr="00537128" w14:paraId="4CD7419A" w14:textId="77777777" w:rsidTr="00A1123E">
        <w:trPr>
          <w:trHeight w:hRule="exact" w:val="206"/>
        </w:trPr>
        <w:tc>
          <w:tcPr>
            <w:tcW w:w="7060" w:type="dxa"/>
            <w:vAlign w:val="bottom"/>
          </w:tcPr>
          <w:p w14:paraId="18B69FC3" w14:textId="77777777" w:rsidR="00B15F25" w:rsidRPr="00537128" w:rsidRDefault="00B15F25" w:rsidP="00B15F25">
            <w:pPr>
              <w:keepLines/>
              <w:tabs>
                <w:tab w:val="right" w:pos="1202"/>
              </w:tabs>
              <w:spacing w:after="0" w:line="240" w:lineRule="auto"/>
              <w:outlineLvl w:val="0"/>
              <w:rPr>
                <w:rFonts w:ascii="Calibri" w:eastAsia="Calibri" w:hAnsi="Calibri" w:cs="Arial"/>
                <w:iCs/>
                <w:sz w:val="18"/>
                <w:szCs w:val="18"/>
                <w:lang w:val="en-US"/>
              </w:rPr>
            </w:pPr>
            <w:bookmarkStart w:id="62" w:name="_Toc4057054"/>
            <w:r w:rsidRPr="00537128">
              <w:rPr>
                <w:rFonts w:ascii="Calibri" w:eastAsia="Calibri" w:hAnsi="Calibri" w:cs="Arial"/>
                <w:sz w:val="18"/>
                <w:szCs w:val="18"/>
                <w:lang w:val="en-US"/>
              </w:rPr>
              <w:t>Accrued interest</w:t>
            </w:r>
            <w:bookmarkEnd w:id="62"/>
          </w:p>
        </w:tc>
        <w:tc>
          <w:tcPr>
            <w:tcW w:w="1271" w:type="dxa"/>
            <w:tcBorders>
              <w:top w:val="nil"/>
              <w:left w:val="nil"/>
              <w:bottom w:val="nil"/>
              <w:right w:val="nil"/>
            </w:tcBorders>
            <w:shd w:val="clear" w:color="auto" w:fill="auto"/>
            <w:vAlign w:val="bottom"/>
          </w:tcPr>
          <w:p w14:paraId="311BB982" w14:textId="171458CB" w:rsidR="00B15F25" w:rsidRPr="00537128" w:rsidRDefault="00B15F25" w:rsidP="00B15F25">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33</w:t>
            </w:r>
            <w:r w:rsidR="00172EFD">
              <w:rPr>
                <w:rFonts w:cstheme="minorHAnsi"/>
                <w:color w:val="000000" w:themeColor="text1"/>
                <w:sz w:val="18"/>
                <w:szCs w:val="18"/>
              </w:rPr>
              <w:t>,</w:t>
            </w:r>
            <w:r>
              <w:rPr>
                <w:rFonts w:cstheme="minorHAnsi"/>
                <w:color w:val="000000" w:themeColor="text1"/>
                <w:sz w:val="18"/>
                <w:szCs w:val="18"/>
              </w:rPr>
              <w:t>096</w:t>
            </w:r>
          </w:p>
        </w:tc>
        <w:tc>
          <w:tcPr>
            <w:tcW w:w="1270" w:type="dxa"/>
            <w:tcBorders>
              <w:top w:val="nil"/>
              <w:left w:val="nil"/>
              <w:bottom w:val="nil"/>
              <w:right w:val="nil"/>
            </w:tcBorders>
            <w:shd w:val="clear" w:color="auto" w:fill="FFFFFF"/>
            <w:vAlign w:val="bottom"/>
          </w:tcPr>
          <w:p w14:paraId="0FA87683" w14:textId="6FFEB730" w:rsidR="00B15F25" w:rsidRPr="00537128" w:rsidRDefault="00B15F25" w:rsidP="00B15F25">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(1,903)</w:t>
            </w:r>
          </w:p>
        </w:tc>
      </w:tr>
      <w:tr w:rsidR="00B15F25" w:rsidRPr="00537128" w14:paraId="7A16EC08" w14:textId="77777777" w:rsidTr="00A1123E">
        <w:trPr>
          <w:trHeight w:hRule="exact" w:val="232"/>
        </w:trPr>
        <w:tc>
          <w:tcPr>
            <w:tcW w:w="7060" w:type="dxa"/>
            <w:vAlign w:val="bottom"/>
          </w:tcPr>
          <w:p w14:paraId="78FC8BC1" w14:textId="77777777" w:rsidR="00B15F25" w:rsidRPr="00537128" w:rsidRDefault="00B15F25" w:rsidP="00B15F25">
            <w:pPr>
              <w:keepLines/>
              <w:tabs>
                <w:tab w:val="right" w:pos="1202"/>
              </w:tabs>
              <w:spacing w:after="0" w:line="240" w:lineRule="auto"/>
              <w:outlineLvl w:val="0"/>
              <w:rPr>
                <w:rFonts w:ascii="Calibri" w:eastAsia="Calibri" w:hAnsi="Calibri" w:cs="Arial"/>
                <w:sz w:val="18"/>
                <w:szCs w:val="18"/>
                <w:lang w:val="en-US"/>
              </w:rPr>
            </w:pPr>
            <w:bookmarkStart w:id="63" w:name="_Toc4057055"/>
            <w:r w:rsidRPr="00537128">
              <w:rPr>
                <w:rFonts w:ascii="Calibri" w:eastAsia="Calibri" w:hAnsi="Calibri" w:cs="Arial"/>
                <w:sz w:val="18"/>
                <w:szCs w:val="18"/>
                <w:lang w:val="en-US"/>
              </w:rPr>
              <w:t>Deferred fees</w:t>
            </w:r>
            <w:bookmarkEnd w:id="63"/>
          </w:p>
        </w:tc>
        <w:tc>
          <w:tcPr>
            <w:tcW w:w="1271" w:type="dxa"/>
            <w:tcBorders>
              <w:top w:val="nil"/>
              <w:left w:val="nil"/>
              <w:bottom w:val="nil"/>
              <w:right w:val="nil"/>
            </w:tcBorders>
            <w:shd w:val="clear" w:color="auto" w:fill="auto"/>
            <w:vAlign w:val="bottom"/>
          </w:tcPr>
          <w:p w14:paraId="0B8A7103" w14:textId="2C8154EC" w:rsidR="00B15F25" w:rsidRPr="00537128" w:rsidRDefault="00B15F25" w:rsidP="00B15F25">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(7</w:t>
            </w:r>
            <w:r w:rsidR="00172EFD">
              <w:rPr>
                <w:rFonts w:cstheme="minorHAnsi"/>
                <w:color w:val="000000" w:themeColor="text1"/>
                <w:sz w:val="18"/>
                <w:szCs w:val="18"/>
              </w:rPr>
              <w:t>,</w:t>
            </w:r>
            <w:r>
              <w:rPr>
                <w:rFonts w:cstheme="minorHAnsi"/>
                <w:color w:val="000000" w:themeColor="text1"/>
                <w:sz w:val="18"/>
                <w:szCs w:val="18"/>
              </w:rPr>
              <w:t>077)</w:t>
            </w:r>
          </w:p>
        </w:tc>
        <w:tc>
          <w:tcPr>
            <w:tcW w:w="1270" w:type="dxa"/>
            <w:tcBorders>
              <w:top w:val="nil"/>
              <w:left w:val="nil"/>
              <w:bottom w:val="nil"/>
              <w:right w:val="nil"/>
            </w:tcBorders>
            <w:shd w:val="clear" w:color="auto" w:fill="FFFFFF"/>
            <w:vAlign w:val="bottom"/>
          </w:tcPr>
          <w:p w14:paraId="591E4A58" w14:textId="75F3C015" w:rsidR="00B15F25" w:rsidRPr="00537128" w:rsidRDefault="00B15F25" w:rsidP="00B15F25">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(410)</w:t>
            </w:r>
          </w:p>
        </w:tc>
      </w:tr>
      <w:tr w:rsidR="00B15F25" w:rsidRPr="00537128" w14:paraId="51740BB1" w14:textId="77777777" w:rsidTr="00A1123E">
        <w:trPr>
          <w:trHeight w:hRule="exact" w:val="206"/>
        </w:trPr>
        <w:tc>
          <w:tcPr>
            <w:tcW w:w="7060" w:type="dxa"/>
            <w:vAlign w:val="bottom"/>
          </w:tcPr>
          <w:p w14:paraId="5C69D57B" w14:textId="3DA52203" w:rsidR="00B15F25" w:rsidRPr="00537128" w:rsidRDefault="00B15F25" w:rsidP="00B15F25">
            <w:pPr>
              <w:keepLines/>
              <w:tabs>
                <w:tab w:val="right" w:pos="1202"/>
              </w:tabs>
              <w:spacing w:after="0" w:line="240" w:lineRule="auto"/>
              <w:outlineLvl w:val="0"/>
              <w:rPr>
                <w:rFonts w:ascii="Calibri" w:eastAsia="Calibri" w:hAnsi="Calibri" w:cs="Arial"/>
                <w:i/>
                <w:iCs/>
                <w:sz w:val="18"/>
                <w:szCs w:val="18"/>
                <w:lang w:val="en-US"/>
              </w:rPr>
            </w:pPr>
            <w:r w:rsidRPr="00537128">
              <w:rPr>
                <w:rFonts w:ascii="Calibri" w:eastAsia="Calibri" w:hAnsi="Calibri" w:cs="Arial"/>
                <w:sz w:val="18"/>
                <w:szCs w:val="18"/>
                <w:lang w:val="en-US"/>
              </w:rPr>
              <w:t xml:space="preserve">Net </w:t>
            </w:r>
            <w:r>
              <w:rPr>
                <w:rFonts w:ascii="Calibri" w:eastAsia="Calibri" w:hAnsi="Calibri" w:cs="Arial"/>
                <w:sz w:val="18"/>
                <w:szCs w:val="18"/>
                <w:lang w:val="en-US"/>
              </w:rPr>
              <w:t>loss</w:t>
            </w:r>
            <w:r w:rsidRPr="00537128">
              <w:rPr>
                <w:rFonts w:ascii="Calibri" w:eastAsia="Calibri" w:hAnsi="Calibri" w:cs="Arial"/>
                <w:sz w:val="18"/>
                <w:szCs w:val="18"/>
                <w:lang w:val="en-US"/>
              </w:rPr>
              <w:t xml:space="preserve"> from trading with derivative financial instruments</w:t>
            </w:r>
          </w:p>
        </w:tc>
        <w:tc>
          <w:tcPr>
            <w:tcW w:w="1271" w:type="dxa"/>
            <w:tcBorders>
              <w:top w:val="nil"/>
              <w:left w:val="nil"/>
              <w:bottom w:val="nil"/>
              <w:right w:val="nil"/>
            </w:tcBorders>
            <w:shd w:val="clear" w:color="auto" w:fill="auto"/>
            <w:vAlign w:val="bottom"/>
          </w:tcPr>
          <w:p w14:paraId="632FC325" w14:textId="0FAD473B" w:rsidR="00B15F25" w:rsidRPr="00537128" w:rsidRDefault="00B15F25" w:rsidP="00B15F25">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w:t>
            </w:r>
          </w:p>
        </w:tc>
        <w:tc>
          <w:tcPr>
            <w:tcW w:w="1270" w:type="dxa"/>
            <w:tcBorders>
              <w:top w:val="nil"/>
              <w:left w:val="nil"/>
              <w:bottom w:val="nil"/>
              <w:right w:val="nil"/>
            </w:tcBorders>
            <w:shd w:val="clear" w:color="auto" w:fill="FFFFFF"/>
            <w:vAlign w:val="bottom"/>
          </w:tcPr>
          <w:p w14:paraId="3A5E5F1F" w14:textId="26C98CC8" w:rsidR="00B15F25" w:rsidRPr="00537128" w:rsidRDefault="00B15F25" w:rsidP="00B15F25">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1,928</w:t>
            </w:r>
          </w:p>
        </w:tc>
      </w:tr>
      <w:tr w:rsidR="00B15F25" w:rsidRPr="00537128" w14:paraId="5D910B06" w14:textId="77777777" w:rsidTr="00CE00C1">
        <w:trPr>
          <w:trHeight w:hRule="exact" w:val="227"/>
        </w:trPr>
        <w:tc>
          <w:tcPr>
            <w:tcW w:w="7060" w:type="dxa"/>
            <w:vAlign w:val="bottom"/>
          </w:tcPr>
          <w:p w14:paraId="6BF16090" w14:textId="77777777" w:rsidR="00B15F25" w:rsidRPr="00537128" w:rsidRDefault="00B15F25" w:rsidP="00B15F25">
            <w:pPr>
              <w:spacing w:after="0" w:line="240" w:lineRule="auto"/>
              <w:rPr>
                <w:rFonts w:ascii="Calibri" w:eastAsia="Calibri" w:hAnsi="Calibri" w:cs="Arial"/>
                <w:sz w:val="18"/>
                <w:szCs w:val="18"/>
                <w:lang w:val="en-US"/>
              </w:rPr>
            </w:pPr>
            <w:bookmarkStart w:id="64" w:name="_Hlk522988816"/>
            <w:r w:rsidRPr="00537128">
              <w:rPr>
                <w:rFonts w:ascii="Calibri" w:eastAsia="Calibri" w:hAnsi="Calibri" w:cs="Times New Roman"/>
                <w:sz w:val="18"/>
                <w:szCs w:val="18"/>
                <w:lang w:val="en-US"/>
              </w:rPr>
              <w:t>Other changes in assets at fair value</w:t>
            </w:r>
            <w:bookmarkEnd w:id="64"/>
          </w:p>
        </w:tc>
        <w:tc>
          <w:tcPr>
            <w:tcW w:w="1271" w:type="dxa"/>
            <w:shd w:val="clear" w:color="auto" w:fill="FFFFFF"/>
            <w:vAlign w:val="bottom"/>
          </w:tcPr>
          <w:p w14:paraId="2612574B" w14:textId="3C124292" w:rsidR="00B15F25" w:rsidRPr="00537128" w:rsidRDefault="00B15F25" w:rsidP="00B15F25">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4</w:t>
            </w:r>
            <w:r w:rsidR="00172EFD">
              <w:rPr>
                <w:rFonts w:cstheme="minorHAnsi"/>
                <w:color w:val="000000" w:themeColor="text1"/>
                <w:sz w:val="18"/>
                <w:szCs w:val="18"/>
              </w:rPr>
              <w:t>,</w:t>
            </w:r>
            <w:r>
              <w:rPr>
                <w:rFonts w:cstheme="minorHAnsi"/>
                <w:color w:val="000000" w:themeColor="text1"/>
                <w:sz w:val="18"/>
                <w:szCs w:val="18"/>
              </w:rPr>
              <w:t>428</w:t>
            </w:r>
          </w:p>
        </w:tc>
        <w:tc>
          <w:tcPr>
            <w:tcW w:w="1270" w:type="dxa"/>
            <w:tcBorders>
              <w:top w:val="nil"/>
              <w:left w:val="nil"/>
              <w:bottom w:val="nil"/>
              <w:right w:val="nil"/>
            </w:tcBorders>
            <w:shd w:val="clear" w:color="auto" w:fill="FFFFFF"/>
            <w:vAlign w:val="bottom"/>
          </w:tcPr>
          <w:p w14:paraId="28ABB024" w14:textId="04AF66C7" w:rsidR="00B15F25" w:rsidRPr="00537128" w:rsidRDefault="00B15F25" w:rsidP="00B15F25">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(49,879)</w:t>
            </w:r>
          </w:p>
        </w:tc>
      </w:tr>
      <w:tr w:rsidR="00B15F25" w:rsidRPr="00537128" w14:paraId="61A92FCD" w14:textId="77777777" w:rsidTr="00CE00C1">
        <w:trPr>
          <w:trHeight w:hRule="exact" w:val="206"/>
        </w:trPr>
        <w:tc>
          <w:tcPr>
            <w:tcW w:w="7060" w:type="dxa"/>
            <w:vAlign w:val="bottom"/>
          </w:tcPr>
          <w:p w14:paraId="2060DCFE" w14:textId="4604B356" w:rsidR="00B15F25" w:rsidRPr="008D5B31" w:rsidRDefault="00B15F25" w:rsidP="00B15F25">
            <w:pPr>
              <w:keepLines/>
              <w:tabs>
                <w:tab w:val="right" w:pos="1202"/>
              </w:tabs>
              <w:spacing w:after="0" w:line="240" w:lineRule="auto"/>
              <w:outlineLvl w:val="0"/>
              <w:rPr>
                <w:rFonts w:ascii="Calibri" w:eastAsia="Calibri" w:hAnsi="Calibri" w:cs="Arial"/>
                <w:i/>
                <w:iCs/>
                <w:sz w:val="18"/>
                <w:szCs w:val="18"/>
                <w:lang w:val="en-US"/>
              </w:rPr>
            </w:pPr>
            <w:bookmarkStart w:id="65" w:name="_Toc4057056"/>
            <w:r w:rsidRPr="008D5B31">
              <w:rPr>
                <w:rFonts w:ascii="Calibri" w:eastAsia="Calibri" w:hAnsi="Calibri" w:cs="Arial"/>
                <w:i/>
                <w:sz w:val="18"/>
                <w:szCs w:val="18"/>
                <w:lang w:val="en-US"/>
              </w:rPr>
              <w:t xml:space="preserve">Operating </w:t>
            </w:r>
            <w:r w:rsidRPr="00A1123E">
              <w:rPr>
                <w:rFonts w:ascii="Calibri" w:eastAsia="Calibri" w:hAnsi="Calibri" w:cs="Arial"/>
                <w:i/>
                <w:sz w:val="18"/>
                <w:szCs w:val="18"/>
                <w:lang w:val="en-US"/>
              </w:rPr>
              <w:t>profit</w:t>
            </w:r>
            <w:r w:rsidRPr="008D5B31">
              <w:rPr>
                <w:rFonts w:ascii="Calibri" w:eastAsia="Calibri" w:hAnsi="Calibri" w:cs="Arial"/>
                <w:i/>
                <w:sz w:val="18"/>
                <w:szCs w:val="18"/>
                <w:lang w:val="en-US"/>
              </w:rPr>
              <w:t xml:space="preserve"> before working capital changes</w:t>
            </w:r>
            <w:bookmarkEnd w:id="65"/>
          </w:p>
        </w:tc>
        <w:tc>
          <w:tcPr>
            <w:tcW w:w="1271" w:type="dxa"/>
            <w:shd w:val="clear" w:color="000000" w:fill="FFFFFF"/>
            <w:vAlign w:val="bottom"/>
          </w:tcPr>
          <w:p w14:paraId="3F0AC0C2" w14:textId="7F7E042B" w:rsidR="00B15F25" w:rsidRPr="00537128" w:rsidRDefault="00B15F25" w:rsidP="00B15F25">
            <w:pPr>
              <w:keepLines/>
              <w:spacing w:after="0" w:line="240" w:lineRule="auto"/>
              <w:jc w:val="right"/>
              <w:rPr>
                <w:rFonts w:ascii="Calibri" w:eastAsia="Calibri" w:hAnsi="Calibri" w:cs="Arial"/>
                <w:i/>
                <w:iCs/>
                <w:sz w:val="18"/>
                <w:szCs w:val="18"/>
                <w:lang w:val="en-US"/>
              </w:rPr>
            </w:pPr>
            <w:r>
              <w:rPr>
                <w:rFonts w:cstheme="minorHAnsi"/>
                <w:i/>
                <w:iCs/>
                <w:color w:val="000000" w:themeColor="text1"/>
                <w:sz w:val="18"/>
                <w:szCs w:val="18"/>
              </w:rPr>
              <w:t>133</w:t>
            </w:r>
            <w:r w:rsidR="00172EFD">
              <w:rPr>
                <w:rFonts w:cstheme="minorHAnsi"/>
                <w:i/>
                <w:iCs/>
                <w:color w:val="000000" w:themeColor="text1"/>
                <w:sz w:val="18"/>
                <w:szCs w:val="18"/>
              </w:rPr>
              <w:t>,</w:t>
            </w:r>
            <w:r>
              <w:rPr>
                <w:rFonts w:cstheme="minorHAnsi"/>
                <w:i/>
                <w:iCs/>
                <w:color w:val="000000" w:themeColor="text1"/>
                <w:sz w:val="18"/>
                <w:szCs w:val="18"/>
              </w:rPr>
              <w:t>132</w:t>
            </w:r>
          </w:p>
        </w:tc>
        <w:tc>
          <w:tcPr>
            <w:tcW w:w="1270" w:type="dxa"/>
            <w:tcBorders>
              <w:top w:val="nil"/>
              <w:left w:val="nil"/>
              <w:bottom w:val="nil"/>
              <w:right w:val="nil"/>
            </w:tcBorders>
            <w:shd w:val="clear" w:color="000000" w:fill="FFFFFF"/>
            <w:vAlign w:val="bottom"/>
          </w:tcPr>
          <w:p w14:paraId="1A91AD11" w14:textId="0D51B5E9" w:rsidR="00B15F25" w:rsidRPr="00537128" w:rsidRDefault="00B15F25" w:rsidP="00B15F25">
            <w:pPr>
              <w:keepLines/>
              <w:spacing w:after="0" w:line="240" w:lineRule="auto"/>
              <w:jc w:val="right"/>
              <w:rPr>
                <w:rFonts w:ascii="Calibri" w:eastAsia="Calibri" w:hAnsi="Calibri" w:cs="Arial"/>
                <w:i/>
                <w:sz w:val="18"/>
                <w:szCs w:val="18"/>
                <w:lang w:val="en-US"/>
              </w:rPr>
            </w:pPr>
            <w:r>
              <w:rPr>
                <w:rFonts w:cstheme="minorHAnsi"/>
                <w:i/>
                <w:iCs/>
                <w:color w:val="000000" w:themeColor="text1"/>
                <w:sz w:val="18"/>
                <w:szCs w:val="18"/>
              </w:rPr>
              <w:t>31,271</w:t>
            </w:r>
          </w:p>
        </w:tc>
      </w:tr>
      <w:tr w:rsidR="00B15F25" w:rsidRPr="00537128" w14:paraId="74D0950E" w14:textId="77777777" w:rsidTr="00B53164">
        <w:trPr>
          <w:trHeight w:hRule="exact" w:val="206"/>
        </w:trPr>
        <w:tc>
          <w:tcPr>
            <w:tcW w:w="7060" w:type="dxa"/>
            <w:vAlign w:val="bottom"/>
          </w:tcPr>
          <w:p w14:paraId="329BC861" w14:textId="77777777" w:rsidR="00B15F25" w:rsidRPr="00537128" w:rsidRDefault="00B15F25" w:rsidP="00B15F25">
            <w:pPr>
              <w:keepLines/>
              <w:tabs>
                <w:tab w:val="right" w:pos="1202"/>
              </w:tabs>
              <w:spacing w:after="0" w:line="240" w:lineRule="auto"/>
              <w:outlineLvl w:val="0"/>
              <w:rPr>
                <w:rFonts w:ascii="Calibri" w:eastAsia="Calibri" w:hAnsi="Calibri" w:cs="Arial"/>
                <w:i/>
                <w:iCs/>
                <w:sz w:val="18"/>
                <w:szCs w:val="18"/>
                <w:lang w:val="en-US"/>
              </w:rPr>
            </w:pPr>
            <w:bookmarkStart w:id="66" w:name="_Toc4057057"/>
            <w:r w:rsidRPr="00537128">
              <w:rPr>
                <w:rFonts w:ascii="Calibri" w:eastAsia="Calibri" w:hAnsi="Calibri" w:cs="Arial"/>
                <w:i/>
                <w:sz w:val="18"/>
                <w:szCs w:val="18"/>
                <w:lang w:val="en-US"/>
              </w:rPr>
              <w:t>Changes in operating assets and liabilities:</w:t>
            </w:r>
            <w:bookmarkEnd w:id="66"/>
          </w:p>
        </w:tc>
        <w:tc>
          <w:tcPr>
            <w:tcW w:w="1271" w:type="dxa"/>
            <w:vAlign w:val="bottom"/>
          </w:tcPr>
          <w:p w14:paraId="1D630336" w14:textId="77777777" w:rsidR="00B15F25" w:rsidRPr="00537128" w:rsidRDefault="00B15F25" w:rsidP="00B15F25">
            <w:pPr>
              <w:keepLines/>
              <w:spacing w:after="0" w:line="240" w:lineRule="auto"/>
              <w:jc w:val="right"/>
              <w:rPr>
                <w:rFonts w:ascii="Calibri" w:eastAsia="Calibri" w:hAnsi="Calibri" w:cs="Arial"/>
                <w:i/>
                <w:sz w:val="18"/>
                <w:szCs w:val="18"/>
                <w:lang w:val="en-US"/>
              </w:rPr>
            </w:pPr>
          </w:p>
        </w:tc>
        <w:tc>
          <w:tcPr>
            <w:tcW w:w="1270" w:type="dxa"/>
            <w:tcBorders>
              <w:top w:val="nil"/>
              <w:left w:val="nil"/>
              <w:bottom w:val="nil"/>
              <w:right w:val="nil"/>
            </w:tcBorders>
            <w:shd w:val="clear" w:color="auto" w:fill="FFFFFF"/>
            <w:vAlign w:val="bottom"/>
          </w:tcPr>
          <w:p w14:paraId="7A7EFD83" w14:textId="77777777" w:rsidR="00B15F25" w:rsidRPr="00537128" w:rsidRDefault="00B15F25" w:rsidP="00B15F25">
            <w:pPr>
              <w:keepLines/>
              <w:spacing w:after="0" w:line="240" w:lineRule="auto"/>
              <w:jc w:val="right"/>
              <w:rPr>
                <w:rFonts w:ascii="Calibri" w:eastAsia="Calibri" w:hAnsi="Calibri" w:cs="Arial"/>
                <w:sz w:val="18"/>
                <w:szCs w:val="18"/>
                <w:lang w:val="en-US"/>
              </w:rPr>
            </w:pPr>
          </w:p>
        </w:tc>
      </w:tr>
      <w:tr w:rsidR="00B15F25" w:rsidRPr="00537128" w14:paraId="27A70260" w14:textId="77777777" w:rsidTr="00CE00C1">
        <w:trPr>
          <w:trHeight w:hRule="exact" w:val="206"/>
        </w:trPr>
        <w:tc>
          <w:tcPr>
            <w:tcW w:w="7060" w:type="dxa"/>
            <w:vAlign w:val="bottom"/>
          </w:tcPr>
          <w:p w14:paraId="00F32DB4" w14:textId="6A1FC393" w:rsidR="00B15F25" w:rsidRPr="00B057E5" w:rsidRDefault="00B15F25" w:rsidP="00B15F25">
            <w:pPr>
              <w:keepLines/>
              <w:tabs>
                <w:tab w:val="right" w:pos="1202"/>
              </w:tabs>
              <w:spacing w:after="0" w:line="240" w:lineRule="auto"/>
              <w:outlineLvl w:val="0"/>
              <w:rPr>
                <w:rFonts w:ascii="Calibri" w:eastAsia="Calibri" w:hAnsi="Calibri" w:cs="Arial"/>
                <w:sz w:val="18"/>
                <w:szCs w:val="18"/>
                <w:lang w:val="en-US"/>
              </w:rPr>
            </w:pPr>
            <w:bookmarkStart w:id="67" w:name="_Toc4057058"/>
            <w:r w:rsidRPr="008D5B31">
              <w:rPr>
                <w:rFonts w:ascii="Calibri" w:eastAsia="Calibri" w:hAnsi="Calibri" w:cs="Arial"/>
                <w:sz w:val="18"/>
                <w:szCs w:val="18"/>
                <w:lang w:val="en-US"/>
              </w:rPr>
              <w:t xml:space="preserve">Net </w:t>
            </w:r>
            <w:r>
              <w:rPr>
                <w:rFonts w:ascii="Calibri" w:eastAsia="Calibri" w:hAnsi="Calibri" w:cs="Arial"/>
                <w:sz w:val="18"/>
                <w:szCs w:val="18"/>
                <w:lang w:val="en-US"/>
              </w:rPr>
              <w:t>(</w:t>
            </w:r>
            <w:r w:rsidRPr="00A1123E">
              <w:rPr>
                <w:rFonts w:ascii="Calibri" w:eastAsia="Calibri" w:hAnsi="Calibri" w:cs="Arial"/>
                <w:sz w:val="18"/>
                <w:szCs w:val="18"/>
                <w:lang w:val="en-US"/>
              </w:rPr>
              <w:t>increase</w:t>
            </w:r>
            <w:r>
              <w:rPr>
                <w:rFonts w:ascii="Calibri" w:eastAsia="Calibri" w:hAnsi="Calibri" w:cs="Arial"/>
                <w:sz w:val="18"/>
                <w:szCs w:val="18"/>
                <w:lang w:val="en-US"/>
              </w:rPr>
              <w:t>)</w:t>
            </w:r>
            <w:r w:rsidRPr="008D5B31">
              <w:rPr>
                <w:rFonts w:ascii="Calibri" w:eastAsia="Calibri" w:hAnsi="Calibri" w:cs="Arial"/>
                <w:sz w:val="18"/>
                <w:szCs w:val="18"/>
                <w:lang w:val="en-US"/>
              </w:rPr>
              <w:t xml:space="preserve"> in d</w:t>
            </w:r>
            <w:r w:rsidRPr="00E167A5">
              <w:rPr>
                <w:rFonts w:ascii="Calibri" w:eastAsia="Calibri" w:hAnsi="Calibri" w:cs="Arial"/>
                <w:sz w:val="18"/>
                <w:szCs w:val="18"/>
                <w:lang w:val="en-US"/>
              </w:rPr>
              <w:t>eposits with other banks, before impairment</w:t>
            </w:r>
            <w:bookmarkEnd w:id="67"/>
          </w:p>
        </w:tc>
        <w:tc>
          <w:tcPr>
            <w:tcW w:w="1271" w:type="dxa"/>
            <w:tcBorders>
              <w:top w:val="nil"/>
              <w:left w:val="nil"/>
              <w:bottom w:val="nil"/>
              <w:right w:val="nil"/>
            </w:tcBorders>
            <w:shd w:val="clear" w:color="auto" w:fill="auto"/>
            <w:vAlign w:val="bottom"/>
          </w:tcPr>
          <w:p w14:paraId="0C2D105C" w14:textId="724C6861" w:rsidR="00B15F25" w:rsidRPr="00537128" w:rsidRDefault="00B15F25" w:rsidP="00B15F25">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(7</w:t>
            </w:r>
            <w:r w:rsidR="00172EFD">
              <w:rPr>
                <w:rFonts w:cstheme="minorHAnsi"/>
                <w:color w:val="000000" w:themeColor="text1"/>
                <w:sz w:val="18"/>
                <w:szCs w:val="18"/>
              </w:rPr>
              <w:t>,</w:t>
            </w:r>
            <w:r>
              <w:rPr>
                <w:rFonts w:cstheme="minorHAnsi"/>
                <w:color w:val="000000" w:themeColor="text1"/>
                <w:sz w:val="18"/>
                <w:szCs w:val="18"/>
              </w:rPr>
              <w:t>714)</w:t>
            </w:r>
          </w:p>
        </w:tc>
        <w:tc>
          <w:tcPr>
            <w:tcW w:w="1270" w:type="dxa"/>
            <w:tcBorders>
              <w:top w:val="nil"/>
              <w:left w:val="nil"/>
              <w:bottom w:val="nil"/>
              <w:right w:val="nil"/>
            </w:tcBorders>
            <w:shd w:val="clear" w:color="auto" w:fill="FFFFFF"/>
            <w:vAlign w:val="bottom"/>
          </w:tcPr>
          <w:p w14:paraId="37D95537" w14:textId="5D91B157" w:rsidR="00B15F25" w:rsidRPr="00537128" w:rsidRDefault="00B15F25" w:rsidP="00B15F25">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(28,881)</w:t>
            </w:r>
          </w:p>
        </w:tc>
      </w:tr>
      <w:tr w:rsidR="00B15F25" w:rsidRPr="00537128" w14:paraId="6FC35BCA" w14:textId="77777777" w:rsidTr="00CE00C1">
        <w:trPr>
          <w:trHeight w:hRule="exact" w:val="206"/>
        </w:trPr>
        <w:tc>
          <w:tcPr>
            <w:tcW w:w="7060" w:type="dxa"/>
            <w:vAlign w:val="bottom"/>
          </w:tcPr>
          <w:p w14:paraId="4D12E182" w14:textId="77777777" w:rsidR="00B15F25" w:rsidRPr="008D5B31" w:rsidRDefault="00B15F25" w:rsidP="00B15F25">
            <w:pPr>
              <w:keepLines/>
              <w:tabs>
                <w:tab w:val="right" w:pos="1202"/>
              </w:tabs>
              <w:spacing w:after="0" w:line="240" w:lineRule="auto"/>
              <w:outlineLvl w:val="0"/>
              <w:rPr>
                <w:rFonts w:ascii="Calibri" w:eastAsia="Calibri" w:hAnsi="Calibri" w:cs="Arial"/>
                <w:sz w:val="18"/>
                <w:szCs w:val="18"/>
                <w:lang w:val="en-US"/>
              </w:rPr>
            </w:pPr>
            <w:bookmarkStart w:id="68" w:name="_Toc4057059"/>
            <w:r w:rsidRPr="008D5B31">
              <w:rPr>
                <w:rFonts w:ascii="Calibri" w:eastAsia="Calibri" w:hAnsi="Calibri" w:cs="Arial"/>
                <w:sz w:val="18"/>
                <w:szCs w:val="18"/>
                <w:lang w:val="en-US"/>
              </w:rPr>
              <w:t xml:space="preserve">Net </w:t>
            </w:r>
            <w:r w:rsidRPr="00A1123E">
              <w:rPr>
                <w:rFonts w:ascii="Calibri" w:eastAsia="Calibri" w:hAnsi="Calibri" w:cs="Arial"/>
                <w:sz w:val="18"/>
                <w:szCs w:val="18"/>
                <w:lang w:val="en-US"/>
              </w:rPr>
              <w:t>decrease</w:t>
            </w:r>
            <w:r w:rsidRPr="008D5B31">
              <w:rPr>
                <w:rFonts w:ascii="Calibri" w:eastAsia="Calibri" w:hAnsi="Calibri" w:cs="Arial"/>
                <w:sz w:val="18"/>
                <w:szCs w:val="18"/>
                <w:lang w:val="en-US"/>
              </w:rPr>
              <w:t xml:space="preserve"> in loans to financial institutions, before impairment</w:t>
            </w:r>
            <w:bookmarkEnd w:id="68"/>
          </w:p>
        </w:tc>
        <w:tc>
          <w:tcPr>
            <w:tcW w:w="1271" w:type="dxa"/>
            <w:tcBorders>
              <w:top w:val="nil"/>
              <w:left w:val="nil"/>
              <w:bottom w:val="nil"/>
              <w:right w:val="nil"/>
            </w:tcBorders>
            <w:shd w:val="clear" w:color="auto" w:fill="auto"/>
            <w:vAlign w:val="bottom"/>
          </w:tcPr>
          <w:p w14:paraId="686220C0" w14:textId="490F0FAA" w:rsidR="00B15F25" w:rsidRPr="00537128" w:rsidRDefault="00B15F25" w:rsidP="00B15F25">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109</w:t>
            </w:r>
            <w:r w:rsidR="00172EFD">
              <w:rPr>
                <w:rFonts w:cstheme="minorHAnsi"/>
                <w:color w:val="000000" w:themeColor="text1"/>
                <w:sz w:val="18"/>
                <w:szCs w:val="18"/>
              </w:rPr>
              <w:t>,</w:t>
            </w:r>
            <w:r>
              <w:rPr>
                <w:rFonts w:cstheme="minorHAnsi"/>
                <w:color w:val="000000" w:themeColor="text1"/>
                <w:sz w:val="18"/>
                <w:szCs w:val="18"/>
              </w:rPr>
              <w:t>691</w:t>
            </w:r>
          </w:p>
        </w:tc>
        <w:tc>
          <w:tcPr>
            <w:tcW w:w="1270" w:type="dxa"/>
            <w:tcBorders>
              <w:top w:val="nil"/>
              <w:left w:val="nil"/>
              <w:bottom w:val="nil"/>
              <w:right w:val="nil"/>
            </w:tcBorders>
            <w:shd w:val="clear" w:color="auto" w:fill="FFFFFF"/>
            <w:vAlign w:val="bottom"/>
          </w:tcPr>
          <w:p w14:paraId="178F4E81" w14:textId="63C39A81" w:rsidR="00B15F25" w:rsidRPr="00537128" w:rsidRDefault="00B15F25" w:rsidP="00B15F25">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350,588</w:t>
            </w:r>
          </w:p>
        </w:tc>
      </w:tr>
      <w:tr w:rsidR="00B15F25" w:rsidRPr="00537128" w14:paraId="36CCBA2E" w14:textId="77777777" w:rsidTr="00CE00C1">
        <w:trPr>
          <w:trHeight w:hRule="exact" w:val="206"/>
        </w:trPr>
        <w:tc>
          <w:tcPr>
            <w:tcW w:w="7060" w:type="dxa"/>
            <w:vAlign w:val="bottom"/>
          </w:tcPr>
          <w:p w14:paraId="34A545AD" w14:textId="4C4DAE7E" w:rsidR="00B15F25" w:rsidRPr="008D5B31" w:rsidRDefault="00B15F25" w:rsidP="00B15F25">
            <w:pPr>
              <w:keepLines/>
              <w:tabs>
                <w:tab w:val="right" w:pos="1202"/>
              </w:tabs>
              <w:spacing w:after="0" w:line="240" w:lineRule="auto"/>
              <w:outlineLvl w:val="0"/>
              <w:rPr>
                <w:rFonts w:ascii="Calibri" w:eastAsia="Calibri" w:hAnsi="Calibri" w:cs="Arial"/>
                <w:sz w:val="18"/>
                <w:szCs w:val="18"/>
                <w:lang w:val="en-US"/>
              </w:rPr>
            </w:pPr>
            <w:bookmarkStart w:id="69" w:name="_Toc4057060"/>
            <w:r w:rsidRPr="008D5B31">
              <w:rPr>
                <w:rFonts w:ascii="Calibri" w:eastAsia="Calibri" w:hAnsi="Calibri" w:cs="Arial"/>
                <w:sz w:val="18"/>
                <w:szCs w:val="18"/>
                <w:lang w:val="en-US"/>
              </w:rPr>
              <w:t xml:space="preserve">Net </w:t>
            </w:r>
            <w:r>
              <w:rPr>
                <w:rFonts w:ascii="Calibri" w:eastAsia="Calibri" w:hAnsi="Calibri" w:cs="Arial"/>
                <w:sz w:val="18"/>
                <w:szCs w:val="18"/>
                <w:lang w:val="en-US"/>
              </w:rPr>
              <w:t>decrease/(</w:t>
            </w:r>
            <w:r w:rsidRPr="00A1123E">
              <w:rPr>
                <w:rFonts w:ascii="Calibri" w:eastAsia="Calibri" w:hAnsi="Calibri" w:cs="Arial"/>
                <w:sz w:val="18"/>
                <w:szCs w:val="18"/>
                <w:lang w:val="en-US"/>
              </w:rPr>
              <w:t>increase</w:t>
            </w:r>
            <w:r>
              <w:rPr>
                <w:rFonts w:ascii="Calibri" w:eastAsia="Calibri" w:hAnsi="Calibri" w:cs="Arial"/>
                <w:sz w:val="18"/>
                <w:szCs w:val="18"/>
                <w:lang w:val="en-US"/>
              </w:rPr>
              <w:t>)</w:t>
            </w:r>
            <w:r w:rsidRPr="008D5B31">
              <w:rPr>
                <w:rFonts w:ascii="Calibri" w:eastAsia="Calibri" w:hAnsi="Calibri" w:cs="Arial"/>
                <w:sz w:val="18"/>
                <w:szCs w:val="18"/>
                <w:lang w:val="en-US"/>
              </w:rPr>
              <w:t xml:space="preserve"> in loans to other customers, before loss impairment</w:t>
            </w:r>
            <w:bookmarkEnd w:id="69"/>
          </w:p>
        </w:tc>
        <w:tc>
          <w:tcPr>
            <w:tcW w:w="1271" w:type="dxa"/>
            <w:tcBorders>
              <w:top w:val="nil"/>
              <w:left w:val="nil"/>
              <w:bottom w:val="nil"/>
              <w:right w:val="nil"/>
            </w:tcBorders>
            <w:shd w:val="clear" w:color="auto" w:fill="auto"/>
            <w:vAlign w:val="bottom"/>
          </w:tcPr>
          <w:p w14:paraId="436EC9E6" w14:textId="51FD47A3" w:rsidR="00B15F25" w:rsidRPr="00537128" w:rsidRDefault="00B15F25" w:rsidP="00B15F25">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294</w:t>
            </w:r>
            <w:r w:rsidR="00172EFD">
              <w:rPr>
                <w:rFonts w:cstheme="minorHAnsi"/>
                <w:color w:val="000000" w:themeColor="text1"/>
                <w:sz w:val="18"/>
                <w:szCs w:val="18"/>
              </w:rPr>
              <w:t>,</w:t>
            </w:r>
            <w:r>
              <w:rPr>
                <w:rFonts w:cstheme="minorHAnsi"/>
                <w:color w:val="000000" w:themeColor="text1"/>
                <w:sz w:val="18"/>
                <w:szCs w:val="18"/>
              </w:rPr>
              <w:t>866</w:t>
            </w:r>
          </w:p>
        </w:tc>
        <w:tc>
          <w:tcPr>
            <w:tcW w:w="1270" w:type="dxa"/>
            <w:tcBorders>
              <w:top w:val="nil"/>
              <w:left w:val="nil"/>
              <w:bottom w:val="nil"/>
              <w:right w:val="nil"/>
            </w:tcBorders>
            <w:shd w:val="clear" w:color="auto" w:fill="FFFFFF"/>
            <w:vAlign w:val="bottom"/>
          </w:tcPr>
          <w:p w14:paraId="0C446469" w14:textId="615F7AA3" w:rsidR="00B15F25" w:rsidRPr="00537128" w:rsidRDefault="00B15F25" w:rsidP="00B15F25">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(451,503)</w:t>
            </w:r>
          </w:p>
        </w:tc>
      </w:tr>
      <w:tr w:rsidR="00B15F25" w:rsidRPr="00537128" w14:paraId="72BA2918" w14:textId="77777777" w:rsidTr="00CE00C1">
        <w:trPr>
          <w:trHeight w:hRule="exact" w:val="206"/>
        </w:trPr>
        <w:tc>
          <w:tcPr>
            <w:tcW w:w="7060" w:type="dxa"/>
            <w:vAlign w:val="bottom"/>
          </w:tcPr>
          <w:p w14:paraId="2B52E512" w14:textId="07B9D687" w:rsidR="00B15F25" w:rsidRPr="00B057E5" w:rsidRDefault="00B15F25" w:rsidP="00B15F25">
            <w:pPr>
              <w:keepLines/>
              <w:tabs>
                <w:tab w:val="right" w:pos="1202"/>
              </w:tabs>
              <w:spacing w:after="0" w:line="240" w:lineRule="auto"/>
              <w:outlineLvl w:val="0"/>
              <w:rPr>
                <w:rFonts w:ascii="Calibri" w:eastAsia="Calibri" w:hAnsi="Calibri" w:cs="Arial"/>
                <w:sz w:val="18"/>
                <w:szCs w:val="18"/>
                <w:lang w:val="en-US"/>
              </w:rPr>
            </w:pPr>
            <w:bookmarkStart w:id="70" w:name="_Toc4057063"/>
            <w:r w:rsidRPr="008D5B31">
              <w:rPr>
                <w:rFonts w:ascii="Calibri" w:eastAsia="Calibri" w:hAnsi="Calibri" w:cs="Arial"/>
                <w:sz w:val="18"/>
                <w:szCs w:val="18"/>
                <w:lang w:val="en-US"/>
              </w:rPr>
              <w:t xml:space="preserve">Net </w:t>
            </w:r>
            <w:r w:rsidRPr="00A1123E">
              <w:rPr>
                <w:rFonts w:ascii="Calibri" w:eastAsia="Calibri" w:hAnsi="Calibri" w:cs="Arial"/>
                <w:sz w:val="18"/>
                <w:szCs w:val="18"/>
                <w:lang w:val="en-US"/>
              </w:rPr>
              <w:t xml:space="preserve">(increase) </w:t>
            </w:r>
            <w:r w:rsidRPr="008D5B31">
              <w:rPr>
                <w:rFonts w:ascii="Calibri" w:eastAsia="Calibri" w:hAnsi="Calibri" w:cs="Arial"/>
                <w:sz w:val="18"/>
                <w:szCs w:val="18"/>
                <w:lang w:val="en-US"/>
              </w:rPr>
              <w:t>in</w:t>
            </w:r>
            <w:r w:rsidRPr="008D5B31">
              <w:rPr>
                <w:rFonts w:ascii="Calibri" w:eastAsia="Calibri" w:hAnsi="Calibri" w:cs="Times New Roman"/>
                <w:sz w:val="18"/>
                <w:szCs w:val="18"/>
                <w:lang w:val="en-US"/>
              </w:rPr>
              <w:t xml:space="preserve"> </w:t>
            </w:r>
            <w:bookmarkEnd w:id="70"/>
            <w:r w:rsidRPr="00E167A5">
              <w:rPr>
                <w:rFonts w:ascii="Calibri" w:eastAsia="Calibri" w:hAnsi="Calibri" w:cs="Arial"/>
                <w:sz w:val="18"/>
                <w:szCs w:val="18"/>
                <w:lang w:val="en-US"/>
              </w:rPr>
              <w:t>foreclosed assets</w:t>
            </w:r>
          </w:p>
        </w:tc>
        <w:tc>
          <w:tcPr>
            <w:tcW w:w="1271" w:type="dxa"/>
            <w:shd w:val="clear" w:color="auto" w:fill="FFFFFF"/>
            <w:vAlign w:val="bottom"/>
          </w:tcPr>
          <w:p w14:paraId="262A9F2F" w14:textId="55DBBB39" w:rsidR="00B15F25" w:rsidRPr="00537128" w:rsidRDefault="00B15F25" w:rsidP="00B15F25">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(3</w:t>
            </w:r>
            <w:r w:rsidR="00172EFD">
              <w:rPr>
                <w:rFonts w:cstheme="minorHAnsi"/>
                <w:color w:val="000000" w:themeColor="text1"/>
                <w:sz w:val="18"/>
                <w:szCs w:val="18"/>
              </w:rPr>
              <w:t>,</w:t>
            </w:r>
            <w:r>
              <w:rPr>
                <w:rFonts w:cstheme="minorHAnsi"/>
                <w:color w:val="000000" w:themeColor="text1"/>
                <w:sz w:val="18"/>
                <w:szCs w:val="18"/>
              </w:rPr>
              <w:t>627)</w:t>
            </w:r>
          </w:p>
        </w:tc>
        <w:tc>
          <w:tcPr>
            <w:tcW w:w="1270" w:type="dxa"/>
            <w:tcBorders>
              <w:top w:val="nil"/>
              <w:left w:val="nil"/>
              <w:bottom w:val="nil"/>
              <w:right w:val="nil"/>
            </w:tcBorders>
            <w:shd w:val="clear" w:color="auto" w:fill="FFFFFF"/>
            <w:vAlign w:val="bottom"/>
          </w:tcPr>
          <w:p w14:paraId="4C299807" w14:textId="26C09CEA" w:rsidR="00B15F25" w:rsidRPr="00537128" w:rsidRDefault="00B15F25" w:rsidP="00B15F25">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(14)</w:t>
            </w:r>
          </w:p>
        </w:tc>
      </w:tr>
      <w:tr w:rsidR="00B15F25" w:rsidRPr="00537128" w14:paraId="7BE2223B" w14:textId="77777777" w:rsidTr="00CE00C1">
        <w:trPr>
          <w:trHeight w:hRule="exact" w:val="206"/>
        </w:trPr>
        <w:tc>
          <w:tcPr>
            <w:tcW w:w="7060" w:type="dxa"/>
            <w:vAlign w:val="bottom"/>
          </w:tcPr>
          <w:p w14:paraId="6AC774C7" w14:textId="691A61B6" w:rsidR="00B15F25" w:rsidRPr="008D5B31" w:rsidRDefault="00B15F25" w:rsidP="00B15F25">
            <w:pPr>
              <w:keepLines/>
              <w:tabs>
                <w:tab w:val="right" w:pos="1202"/>
              </w:tabs>
              <w:spacing w:after="0" w:line="240" w:lineRule="auto"/>
              <w:outlineLvl w:val="0"/>
              <w:rPr>
                <w:rFonts w:ascii="Calibri" w:eastAsia="Calibri" w:hAnsi="Calibri" w:cs="Arial"/>
                <w:sz w:val="18"/>
                <w:szCs w:val="18"/>
                <w:lang w:val="en-US"/>
              </w:rPr>
            </w:pPr>
            <w:bookmarkStart w:id="71" w:name="_Toc4057064"/>
            <w:r w:rsidRPr="008D5B31">
              <w:rPr>
                <w:rFonts w:ascii="Calibri" w:eastAsia="Calibri" w:hAnsi="Calibri" w:cs="Arial"/>
                <w:sz w:val="18"/>
                <w:szCs w:val="18"/>
                <w:lang w:val="en-US"/>
              </w:rPr>
              <w:t xml:space="preserve">Net </w:t>
            </w:r>
            <w:r>
              <w:rPr>
                <w:rFonts w:ascii="Calibri" w:eastAsia="Calibri" w:hAnsi="Calibri" w:cs="Arial"/>
                <w:sz w:val="18"/>
                <w:szCs w:val="18"/>
                <w:lang w:val="en-US"/>
              </w:rPr>
              <w:t>(</w:t>
            </w:r>
            <w:r w:rsidRPr="008D5B31">
              <w:rPr>
                <w:rFonts w:ascii="Calibri" w:eastAsia="Calibri" w:hAnsi="Calibri" w:cs="Arial"/>
                <w:sz w:val="18"/>
                <w:szCs w:val="18"/>
                <w:lang w:val="en-US"/>
              </w:rPr>
              <w:t>in</w:t>
            </w:r>
            <w:r w:rsidRPr="00A1123E">
              <w:rPr>
                <w:rFonts w:ascii="Calibri" w:eastAsia="Calibri" w:hAnsi="Calibri" w:cs="Arial"/>
                <w:sz w:val="18"/>
                <w:szCs w:val="18"/>
                <w:lang w:val="en-US"/>
              </w:rPr>
              <w:t>crease</w:t>
            </w:r>
            <w:r>
              <w:rPr>
                <w:rFonts w:ascii="Calibri" w:eastAsia="Calibri" w:hAnsi="Calibri" w:cs="Arial"/>
                <w:sz w:val="18"/>
                <w:szCs w:val="18"/>
                <w:lang w:val="en-US"/>
              </w:rPr>
              <w:t>)</w:t>
            </w:r>
            <w:r w:rsidRPr="008D5B31">
              <w:rPr>
                <w:rFonts w:ascii="Calibri" w:eastAsia="Calibri" w:hAnsi="Calibri" w:cs="Arial"/>
                <w:sz w:val="18"/>
                <w:szCs w:val="18"/>
                <w:lang w:val="en-US"/>
              </w:rPr>
              <w:t xml:space="preserve"> in other assets, before impairment</w:t>
            </w:r>
            <w:bookmarkEnd w:id="71"/>
          </w:p>
        </w:tc>
        <w:tc>
          <w:tcPr>
            <w:tcW w:w="1271" w:type="dxa"/>
            <w:tcBorders>
              <w:top w:val="nil"/>
              <w:left w:val="nil"/>
              <w:bottom w:val="nil"/>
              <w:right w:val="nil"/>
            </w:tcBorders>
            <w:shd w:val="clear" w:color="auto" w:fill="auto"/>
            <w:vAlign w:val="bottom"/>
          </w:tcPr>
          <w:p w14:paraId="00D7E843" w14:textId="4864DBBC" w:rsidR="00B15F25" w:rsidRPr="00537128" w:rsidRDefault="00B15F25" w:rsidP="00B15F25">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(7</w:t>
            </w:r>
            <w:r w:rsidR="00172EFD">
              <w:rPr>
                <w:rFonts w:cstheme="minorHAnsi"/>
                <w:color w:val="000000" w:themeColor="text1"/>
                <w:sz w:val="18"/>
                <w:szCs w:val="18"/>
              </w:rPr>
              <w:t>,</w:t>
            </w:r>
            <w:r>
              <w:rPr>
                <w:rFonts w:cstheme="minorHAnsi"/>
                <w:color w:val="000000" w:themeColor="text1"/>
                <w:sz w:val="18"/>
                <w:szCs w:val="18"/>
              </w:rPr>
              <w:t>467)</w:t>
            </w:r>
          </w:p>
        </w:tc>
        <w:tc>
          <w:tcPr>
            <w:tcW w:w="1270" w:type="dxa"/>
            <w:tcBorders>
              <w:top w:val="nil"/>
              <w:left w:val="nil"/>
              <w:bottom w:val="nil"/>
              <w:right w:val="nil"/>
            </w:tcBorders>
            <w:shd w:val="clear" w:color="auto" w:fill="FFFFFF"/>
            <w:vAlign w:val="bottom"/>
          </w:tcPr>
          <w:p w14:paraId="75F61074" w14:textId="1B450531" w:rsidR="00B15F25" w:rsidRPr="00537128" w:rsidRDefault="00B15F25" w:rsidP="00B15F25">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(1,998)</w:t>
            </w:r>
          </w:p>
        </w:tc>
      </w:tr>
      <w:tr w:rsidR="00B15F25" w:rsidRPr="00537128" w14:paraId="565A9953" w14:textId="77777777" w:rsidTr="00CE00C1">
        <w:trPr>
          <w:trHeight w:hRule="exact" w:val="206"/>
        </w:trPr>
        <w:tc>
          <w:tcPr>
            <w:tcW w:w="7060" w:type="dxa"/>
            <w:vAlign w:val="bottom"/>
          </w:tcPr>
          <w:p w14:paraId="2D4832FC" w14:textId="006BC413" w:rsidR="00B15F25" w:rsidRPr="008D5B31" w:rsidRDefault="00B15F25" w:rsidP="00B15F25">
            <w:pPr>
              <w:keepLines/>
              <w:tabs>
                <w:tab w:val="right" w:pos="1202"/>
              </w:tabs>
              <w:spacing w:after="0" w:line="240" w:lineRule="auto"/>
              <w:outlineLvl w:val="0"/>
              <w:rPr>
                <w:rFonts w:ascii="Calibri" w:eastAsia="Calibri" w:hAnsi="Calibri" w:cs="Arial"/>
                <w:sz w:val="18"/>
                <w:szCs w:val="18"/>
                <w:lang w:val="en-US"/>
              </w:rPr>
            </w:pPr>
            <w:bookmarkStart w:id="72" w:name="_Toc4057065"/>
            <w:r w:rsidRPr="008D5B31">
              <w:rPr>
                <w:rFonts w:ascii="Calibri" w:eastAsia="Calibri" w:hAnsi="Calibri" w:cs="Arial"/>
                <w:sz w:val="18"/>
                <w:szCs w:val="18"/>
                <w:lang w:val="en-US"/>
              </w:rPr>
              <w:t xml:space="preserve">Net </w:t>
            </w:r>
            <w:r>
              <w:rPr>
                <w:rFonts w:ascii="Calibri" w:eastAsia="Calibri" w:hAnsi="Calibri" w:cs="Arial"/>
                <w:sz w:val="18"/>
                <w:szCs w:val="18"/>
                <w:lang w:val="en-US"/>
              </w:rPr>
              <w:t>(de</w:t>
            </w:r>
            <w:r w:rsidRPr="00A1123E">
              <w:rPr>
                <w:rFonts w:ascii="Calibri" w:eastAsia="Calibri" w:hAnsi="Calibri" w:cs="Arial"/>
                <w:sz w:val="18"/>
                <w:szCs w:val="18"/>
                <w:lang w:val="en-US"/>
              </w:rPr>
              <w:t>crease</w:t>
            </w:r>
            <w:r>
              <w:rPr>
                <w:rFonts w:ascii="Calibri" w:eastAsia="Calibri" w:hAnsi="Calibri" w:cs="Arial"/>
                <w:sz w:val="18"/>
                <w:szCs w:val="18"/>
                <w:lang w:val="en-US"/>
              </w:rPr>
              <w:t>)</w:t>
            </w:r>
            <w:r w:rsidR="00915D65">
              <w:rPr>
                <w:rFonts w:ascii="Calibri" w:eastAsia="Calibri" w:hAnsi="Calibri" w:cs="Arial"/>
                <w:sz w:val="18"/>
                <w:szCs w:val="18"/>
                <w:lang w:val="en-US"/>
              </w:rPr>
              <w:t>/increase</w:t>
            </w:r>
            <w:r w:rsidRPr="008D5B31">
              <w:rPr>
                <w:rFonts w:ascii="Calibri" w:eastAsia="Calibri" w:hAnsi="Calibri" w:cs="Arial"/>
                <w:sz w:val="18"/>
                <w:szCs w:val="18"/>
                <w:lang w:val="en-US"/>
              </w:rPr>
              <w:t xml:space="preserve"> in deposits from banks and companies</w:t>
            </w:r>
            <w:bookmarkEnd w:id="72"/>
          </w:p>
        </w:tc>
        <w:tc>
          <w:tcPr>
            <w:tcW w:w="1271" w:type="dxa"/>
            <w:shd w:val="clear" w:color="auto" w:fill="FFFFFF"/>
            <w:vAlign w:val="bottom"/>
          </w:tcPr>
          <w:p w14:paraId="45D8C9A2" w14:textId="4303E2A5" w:rsidR="00B15F25" w:rsidRPr="00537128" w:rsidRDefault="00B15F25" w:rsidP="00B15F25">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(353</w:t>
            </w:r>
            <w:r w:rsidR="00172EFD">
              <w:rPr>
                <w:rFonts w:cstheme="minorHAnsi"/>
                <w:color w:val="000000" w:themeColor="text1"/>
                <w:sz w:val="18"/>
                <w:szCs w:val="18"/>
              </w:rPr>
              <w:t>,</w:t>
            </w:r>
            <w:r>
              <w:rPr>
                <w:rFonts w:cstheme="minorHAnsi"/>
                <w:color w:val="000000" w:themeColor="text1"/>
                <w:sz w:val="18"/>
                <w:szCs w:val="18"/>
              </w:rPr>
              <w:t>004)</w:t>
            </w:r>
          </w:p>
        </w:tc>
        <w:tc>
          <w:tcPr>
            <w:tcW w:w="1270" w:type="dxa"/>
            <w:tcBorders>
              <w:top w:val="nil"/>
              <w:left w:val="nil"/>
              <w:bottom w:val="nil"/>
              <w:right w:val="nil"/>
            </w:tcBorders>
            <w:shd w:val="clear" w:color="auto" w:fill="FFFFFF"/>
            <w:vAlign w:val="bottom"/>
          </w:tcPr>
          <w:p w14:paraId="28BC2EC2" w14:textId="03004BB0" w:rsidR="00B15F25" w:rsidRPr="00537128" w:rsidRDefault="00B15F25" w:rsidP="00B15F25">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869,530</w:t>
            </w:r>
          </w:p>
        </w:tc>
      </w:tr>
      <w:tr w:rsidR="00B15F25" w:rsidRPr="00537128" w14:paraId="06DF556C" w14:textId="77777777" w:rsidTr="00CE00C1">
        <w:trPr>
          <w:trHeight w:hRule="exact" w:val="206"/>
        </w:trPr>
        <w:tc>
          <w:tcPr>
            <w:tcW w:w="7060" w:type="dxa"/>
            <w:vAlign w:val="bottom"/>
          </w:tcPr>
          <w:p w14:paraId="6CB8DE9D" w14:textId="68399AEA" w:rsidR="00B15F25" w:rsidRPr="00E167A5" w:rsidRDefault="00B15F25" w:rsidP="00B15F25">
            <w:pPr>
              <w:keepLines/>
              <w:tabs>
                <w:tab w:val="right" w:pos="1202"/>
              </w:tabs>
              <w:spacing w:after="0" w:line="240" w:lineRule="auto"/>
              <w:outlineLvl w:val="0"/>
              <w:rPr>
                <w:rFonts w:ascii="Calibri" w:eastAsia="Calibri" w:hAnsi="Calibri" w:cs="Arial"/>
                <w:spacing w:val="-2"/>
                <w:sz w:val="18"/>
                <w:szCs w:val="18"/>
                <w:lang w:val="en-US"/>
              </w:rPr>
            </w:pPr>
            <w:bookmarkStart w:id="73" w:name="_Toc4057066"/>
            <w:r w:rsidRPr="008D5B31">
              <w:rPr>
                <w:rFonts w:ascii="Calibri" w:eastAsia="Calibri" w:hAnsi="Calibri" w:cs="Arial"/>
                <w:sz w:val="18"/>
                <w:szCs w:val="18"/>
                <w:lang w:val="en-US"/>
              </w:rPr>
              <w:t xml:space="preserve">Net </w:t>
            </w:r>
            <w:r w:rsidRPr="00A1123E">
              <w:rPr>
                <w:rFonts w:ascii="Calibri" w:eastAsia="Calibri" w:hAnsi="Calibri" w:cs="Arial"/>
                <w:sz w:val="18"/>
                <w:szCs w:val="18"/>
                <w:lang w:val="en-US"/>
              </w:rPr>
              <w:t xml:space="preserve">(decrease) </w:t>
            </w:r>
            <w:r w:rsidRPr="008D5B31">
              <w:rPr>
                <w:rFonts w:ascii="Calibri" w:eastAsia="Calibri" w:hAnsi="Calibri" w:cs="Arial"/>
                <w:sz w:val="18"/>
                <w:szCs w:val="18"/>
                <w:lang w:val="en-US"/>
              </w:rPr>
              <w:t>in other liabilities, before provisions</w:t>
            </w:r>
            <w:bookmarkEnd w:id="73"/>
          </w:p>
        </w:tc>
        <w:tc>
          <w:tcPr>
            <w:tcW w:w="1271" w:type="dxa"/>
            <w:tcBorders>
              <w:top w:val="nil"/>
              <w:left w:val="nil"/>
              <w:bottom w:val="nil"/>
              <w:right w:val="nil"/>
            </w:tcBorders>
            <w:shd w:val="clear" w:color="auto" w:fill="auto"/>
            <w:vAlign w:val="bottom"/>
          </w:tcPr>
          <w:p w14:paraId="0B412898" w14:textId="240E3467" w:rsidR="00B15F25" w:rsidRPr="00537128" w:rsidRDefault="00B15F25" w:rsidP="00B15F25">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(43</w:t>
            </w:r>
            <w:r w:rsidR="00172EFD">
              <w:rPr>
                <w:rFonts w:cstheme="minorHAnsi"/>
                <w:color w:val="000000" w:themeColor="text1"/>
                <w:sz w:val="18"/>
                <w:szCs w:val="18"/>
              </w:rPr>
              <w:t>,</w:t>
            </w:r>
            <w:r>
              <w:rPr>
                <w:rFonts w:cstheme="minorHAnsi"/>
                <w:color w:val="000000" w:themeColor="text1"/>
                <w:sz w:val="18"/>
                <w:szCs w:val="18"/>
              </w:rPr>
              <w:t>265)</w:t>
            </w:r>
          </w:p>
        </w:tc>
        <w:tc>
          <w:tcPr>
            <w:tcW w:w="1270" w:type="dxa"/>
            <w:tcBorders>
              <w:top w:val="nil"/>
              <w:left w:val="nil"/>
              <w:bottom w:val="nil"/>
              <w:right w:val="nil"/>
            </w:tcBorders>
            <w:shd w:val="clear" w:color="auto" w:fill="FFFFFF"/>
            <w:vAlign w:val="bottom"/>
          </w:tcPr>
          <w:p w14:paraId="5DBF16EC" w14:textId="49B540F8" w:rsidR="00B15F25" w:rsidRPr="00537128" w:rsidRDefault="00B15F25" w:rsidP="00B15F25">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(18,545)</w:t>
            </w:r>
          </w:p>
        </w:tc>
      </w:tr>
      <w:tr w:rsidR="00B15F25" w:rsidRPr="00537128" w14:paraId="5002BC9B" w14:textId="77777777" w:rsidTr="00CE00C1">
        <w:trPr>
          <w:trHeight w:val="220"/>
        </w:trPr>
        <w:tc>
          <w:tcPr>
            <w:tcW w:w="7060" w:type="dxa"/>
            <w:vAlign w:val="bottom"/>
          </w:tcPr>
          <w:p w14:paraId="40DCC31C" w14:textId="41CBE4C3" w:rsidR="00B15F25" w:rsidRPr="008D5B31" w:rsidRDefault="00B15F25" w:rsidP="00B15F25">
            <w:pPr>
              <w:keepLines/>
              <w:tabs>
                <w:tab w:val="right" w:pos="1202"/>
              </w:tabs>
              <w:spacing w:after="0" w:line="240" w:lineRule="auto"/>
              <w:outlineLvl w:val="0"/>
              <w:rPr>
                <w:rFonts w:ascii="Calibri" w:eastAsia="Calibri" w:hAnsi="Calibri" w:cs="Arial"/>
                <w:b/>
                <w:bCs/>
                <w:spacing w:val="-3"/>
                <w:sz w:val="18"/>
                <w:szCs w:val="18"/>
                <w:lang w:val="en-US"/>
              </w:rPr>
            </w:pPr>
            <w:bookmarkStart w:id="74" w:name="_Toc4057067"/>
            <w:r w:rsidRPr="008D5B31">
              <w:rPr>
                <w:rFonts w:ascii="Calibri" w:eastAsia="Calibri" w:hAnsi="Calibri" w:cs="Arial"/>
                <w:b/>
                <w:bCs/>
                <w:sz w:val="18"/>
                <w:szCs w:val="18"/>
                <w:lang w:val="en-US"/>
              </w:rPr>
              <w:t xml:space="preserve">Net cash </w:t>
            </w:r>
            <w:r w:rsidRPr="00A1123E">
              <w:rPr>
                <w:rFonts w:ascii="Calibri" w:eastAsia="Calibri" w:hAnsi="Calibri" w:cs="Arial"/>
                <w:b/>
                <w:bCs/>
                <w:sz w:val="18"/>
                <w:szCs w:val="18"/>
                <w:lang w:val="en-US"/>
              </w:rPr>
              <w:t>provided from</w:t>
            </w:r>
            <w:r w:rsidRPr="008D5B31">
              <w:rPr>
                <w:rFonts w:ascii="Calibri" w:eastAsia="Calibri" w:hAnsi="Calibri" w:cs="Arial"/>
                <w:b/>
                <w:bCs/>
                <w:sz w:val="18"/>
                <w:szCs w:val="18"/>
                <w:lang w:val="en-US"/>
              </w:rPr>
              <w:t xml:space="preserve"> operating activities</w:t>
            </w:r>
            <w:bookmarkEnd w:id="74"/>
          </w:p>
        </w:tc>
        <w:tc>
          <w:tcPr>
            <w:tcW w:w="1271" w:type="dxa"/>
            <w:tcBorders>
              <w:top w:val="single" w:sz="4" w:space="0" w:color="auto"/>
              <w:left w:val="nil"/>
              <w:bottom w:val="single" w:sz="8" w:space="0" w:color="auto"/>
              <w:right w:val="nil"/>
            </w:tcBorders>
            <w:shd w:val="clear" w:color="auto" w:fill="auto"/>
            <w:vAlign w:val="bottom"/>
          </w:tcPr>
          <w:p w14:paraId="7035EFD2" w14:textId="39F585BE" w:rsidR="00B15F25" w:rsidRPr="00537128" w:rsidRDefault="00B15F25" w:rsidP="00B15F25">
            <w:pPr>
              <w:spacing w:after="0" w:line="240" w:lineRule="auto"/>
              <w:jc w:val="right"/>
              <w:rPr>
                <w:rFonts w:ascii="Calibri" w:eastAsia="Times New Roman" w:hAnsi="Calibri" w:cs="Calibri"/>
                <w:b/>
                <w:sz w:val="18"/>
                <w:szCs w:val="18"/>
                <w:lang w:val="en-US"/>
              </w:rPr>
            </w:pPr>
            <w:r>
              <w:rPr>
                <w:rFonts w:cstheme="minorHAnsi"/>
                <w:b/>
                <w:color w:val="000000" w:themeColor="text1"/>
                <w:spacing w:val="-2"/>
                <w:sz w:val="18"/>
                <w:szCs w:val="18"/>
              </w:rPr>
              <w:t>122</w:t>
            </w:r>
            <w:r w:rsidR="00172EFD">
              <w:rPr>
                <w:rFonts w:cstheme="minorHAnsi"/>
                <w:b/>
                <w:color w:val="000000" w:themeColor="text1"/>
                <w:spacing w:val="-2"/>
                <w:sz w:val="18"/>
                <w:szCs w:val="18"/>
              </w:rPr>
              <w:t>,</w:t>
            </w:r>
            <w:r>
              <w:rPr>
                <w:rFonts w:cstheme="minorHAnsi"/>
                <w:b/>
                <w:color w:val="000000" w:themeColor="text1"/>
                <w:spacing w:val="-2"/>
                <w:sz w:val="18"/>
                <w:szCs w:val="18"/>
              </w:rPr>
              <w:t>612</w:t>
            </w:r>
          </w:p>
        </w:tc>
        <w:tc>
          <w:tcPr>
            <w:tcW w:w="1270" w:type="dxa"/>
            <w:tcBorders>
              <w:top w:val="single" w:sz="4" w:space="0" w:color="auto"/>
              <w:bottom w:val="single" w:sz="12" w:space="0" w:color="auto"/>
            </w:tcBorders>
            <w:shd w:val="clear" w:color="auto" w:fill="FFFFFF"/>
            <w:vAlign w:val="bottom"/>
          </w:tcPr>
          <w:p w14:paraId="603E45A5" w14:textId="5B25D96C" w:rsidR="00B15F25" w:rsidRPr="00537128" w:rsidRDefault="00B15F25" w:rsidP="00B15F25">
            <w:pPr>
              <w:spacing w:after="0" w:line="240" w:lineRule="auto"/>
              <w:jc w:val="right"/>
              <w:rPr>
                <w:rFonts w:ascii="Calibri" w:eastAsia="Calibri" w:hAnsi="Calibri" w:cs="Calibri"/>
                <w:b/>
                <w:spacing w:val="-2"/>
                <w:sz w:val="18"/>
                <w:szCs w:val="18"/>
                <w:lang w:val="en-US"/>
              </w:rPr>
            </w:pPr>
            <w:r>
              <w:rPr>
                <w:rFonts w:cstheme="minorHAnsi"/>
                <w:b/>
                <w:color w:val="000000" w:themeColor="text1"/>
                <w:spacing w:val="-2"/>
                <w:sz w:val="18"/>
                <w:szCs w:val="18"/>
              </w:rPr>
              <w:t>750,448</w:t>
            </w:r>
          </w:p>
        </w:tc>
      </w:tr>
      <w:tr w:rsidR="00B15F25" w:rsidRPr="00537128" w14:paraId="7B94D577" w14:textId="77777777" w:rsidTr="00CE00C1">
        <w:trPr>
          <w:trHeight w:hRule="exact" w:val="109"/>
        </w:trPr>
        <w:tc>
          <w:tcPr>
            <w:tcW w:w="7060" w:type="dxa"/>
            <w:vAlign w:val="bottom"/>
          </w:tcPr>
          <w:p w14:paraId="140A7535" w14:textId="77777777" w:rsidR="00B15F25" w:rsidRPr="00537128" w:rsidRDefault="00B15F25" w:rsidP="00B15F25">
            <w:pPr>
              <w:keepNext/>
              <w:keepLines/>
              <w:tabs>
                <w:tab w:val="decimal" w:pos="1202"/>
              </w:tabs>
              <w:spacing w:after="0" w:line="240" w:lineRule="auto"/>
              <w:rPr>
                <w:rFonts w:ascii="Calibri" w:eastAsia="Calibri" w:hAnsi="Calibri" w:cs="Arial"/>
                <w:b/>
                <w:bCs/>
                <w:position w:val="4"/>
                <w:sz w:val="18"/>
                <w:szCs w:val="18"/>
                <w:lang w:val="en-US"/>
              </w:rPr>
            </w:pPr>
          </w:p>
        </w:tc>
        <w:tc>
          <w:tcPr>
            <w:tcW w:w="1271" w:type="dxa"/>
            <w:tcBorders>
              <w:top w:val="single" w:sz="12" w:space="0" w:color="auto"/>
            </w:tcBorders>
            <w:shd w:val="clear" w:color="auto" w:fill="auto"/>
            <w:vAlign w:val="bottom"/>
          </w:tcPr>
          <w:p w14:paraId="703F1F22" w14:textId="77777777" w:rsidR="00B15F25" w:rsidRPr="00537128" w:rsidRDefault="00B15F25" w:rsidP="00B15F25">
            <w:pPr>
              <w:keepLines/>
              <w:spacing w:after="0" w:line="240" w:lineRule="auto"/>
              <w:jc w:val="right"/>
              <w:rPr>
                <w:rFonts w:ascii="Calibri" w:eastAsia="Calibri" w:hAnsi="Calibri" w:cs="Arial"/>
                <w:b/>
                <w:position w:val="4"/>
                <w:sz w:val="18"/>
                <w:szCs w:val="18"/>
                <w:u w:val="thick"/>
                <w:lang w:val="en-US"/>
              </w:rPr>
            </w:pPr>
          </w:p>
        </w:tc>
        <w:tc>
          <w:tcPr>
            <w:tcW w:w="1270" w:type="dxa"/>
            <w:tcBorders>
              <w:top w:val="single" w:sz="12" w:space="0" w:color="auto"/>
            </w:tcBorders>
            <w:shd w:val="clear" w:color="auto" w:fill="auto"/>
            <w:vAlign w:val="bottom"/>
          </w:tcPr>
          <w:p w14:paraId="409A53FD" w14:textId="77777777" w:rsidR="00B15F25" w:rsidRPr="00537128" w:rsidRDefault="00B15F25" w:rsidP="00B15F25">
            <w:pPr>
              <w:keepLines/>
              <w:spacing w:after="0" w:line="240" w:lineRule="auto"/>
              <w:jc w:val="right"/>
              <w:rPr>
                <w:rFonts w:ascii="Calibri" w:eastAsia="Calibri" w:hAnsi="Calibri" w:cs="Arial"/>
                <w:b/>
                <w:position w:val="4"/>
                <w:sz w:val="18"/>
                <w:szCs w:val="18"/>
                <w:u w:val="thick"/>
                <w:lang w:val="en-US"/>
              </w:rPr>
            </w:pPr>
          </w:p>
        </w:tc>
      </w:tr>
      <w:tr w:rsidR="00B15F25" w:rsidRPr="00537128" w14:paraId="29791C70" w14:textId="77777777" w:rsidTr="00CE00C1">
        <w:trPr>
          <w:trHeight w:hRule="exact" w:val="204"/>
        </w:trPr>
        <w:tc>
          <w:tcPr>
            <w:tcW w:w="7060" w:type="dxa"/>
            <w:vAlign w:val="bottom"/>
          </w:tcPr>
          <w:p w14:paraId="17CE3E27" w14:textId="77777777" w:rsidR="00B15F25" w:rsidRPr="00537128" w:rsidRDefault="00B15F25" w:rsidP="00B15F25">
            <w:pPr>
              <w:keepLines/>
              <w:tabs>
                <w:tab w:val="right" w:pos="1202"/>
              </w:tabs>
              <w:spacing w:after="0" w:line="240" w:lineRule="auto"/>
              <w:outlineLvl w:val="0"/>
              <w:rPr>
                <w:rFonts w:ascii="Calibri" w:eastAsia="Calibri" w:hAnsi="Calibri" w:cs="Arial"/>
                <w:b/>
                <w:bCs/>
                <w:sz w:val="18"/>
                <w:szCs w:val="18"/>
                <w:lang w:val="en-US"/>
              </w:rPr>
            </w:pPr>
            <w:bookmarkStart w:id="75" w:name="_Toc4057068"/>
            <w:r w:rsidRPr="00537128">
              <w:rPr>
                <w:rFonts w:ascii="Calibri" w:eastAsia="Calibri" w:hAnsi="Calibri" w:cs="Arial"/>
                <w:b/>
                <w:bCs/>
                <w:sz w:val="18"/>
                <w:szCs w:val="18"/>
                <w:lang w:val="en-US"/>
              </w:rPr>
              <w:t>Investment activities</w:t>
            </w:r>
            <w:bookmarkEnd w:id="75"/>
          </w:p>
        </w:tc>
        <w:tc>
          <w:tcPr>
            <w:tcW w:w="1271" w:type="dxa"/>
            <w:shd w:val="clear" w:color="auto" w:fill="auto"/>
            <w:vAlign w:val="bottom"/>
          </w:tcPr>
          <w:p w14:paraId="5E3324D3" w14:textId="77777777" w:rsidR="00B15F25" w:rsidRPr="00537128" w:rsidRDefault="00B15F25" w:rsidP="00B15F25">
            <w:pPr>
              <w:keepLines/>
              <w:tabs>
                <w:tab w:val="right" w:pos="1202"/>
              </w:tabs>
              <w:spacing w:after="0" w:line="240" w:lineRule="auto"/>
              <w:jc w:val="right"/>
              <w:outlineLvl w:val="0"/>
              <w:rPr>
                <w:rFonts w:ascii="Calibri" w:eastAsia="Calibri" w:hAnsi="Calibri" w:cs="Arial"/>
                <w:b/>
                <w:bCs/>
                <w:sz w:val="18"/>
                <w:szCs w:val="18"/>
                <w:lang w:val="en-US"/>
              </w:rPr>
            </w:pPr>
          </w:p>
        </w:tc>
        <w:tc>
          <w:tcPr>
            <w:tcW w:w="1270" w:type="dxa"/>
            <w:shd w:val="clear" w:color="auto" w:fill="auto"/>
            <w:vAlign w:val="bottom"/>
          </w:tcPr>
          <w:p w14:paraId="6B189781" w14:textId="77777777" w:rsidR="00B15F25" w:rsidRPr="00537128" w:rsidRDefault="00B15F25" w:rsidP="00B15F25">
            <w:pPr>
              <w:keepLines/>
              <w:tabs>
                <w:tab w:val="right" w:pos="1202"/>
              </w:tabs>
              <w:spacing w:after="0" w:line="240" w:lineRule="auto"/>
              <w:jc w:val="right"/>
              <w:outlineLvl w:val="0"/>
              <w:rPr>
                <w:rFonts w:ascii="Calibri" w:eastAsia="Calibri" w:hAnsi="Calibri" w:cs="Arial"/>
                <w:b/>
                <w:bCs/>
                <w:sz w:val="18"/>
                <w:szCs w:val="18"/>
                <w:lang w:val="en-US"/>
              </w:rPr>
            </w:pPr>
          </w:p>
        </w:tc>
      </w:tr>
      <w:tr w:rsidR="008A4AAC" w:rsidRPr="00537128" w14:paraId="1BEB491B" w14:textId="77777777" w:rsidTr="00CE00C1">
        <w:trPr>
          <w:trHeight w:hRule="exact" w:val="204"/>
        </w:trPr>
        <w:tc>
          <w:tcPr>
            <w:tcW w:w="7060" w:type="dxa"/>
            <w:vAlign w:val="bottom"/>
          </w:tcPr>
          <w:p w14:paraId="2644AFCF" w14:textId="5AE85911" w:rsidR="008A4AAC" w:rsidRPr="00537128" w:rsidRDefault="008A4AAC" w:rsidP="008A4AAC">
            <w:pPr>
              <w:keepLines/>
              <w:tabs>
                <w:tab w:val="right" w:pos="1202"/>
              </w:tabs>
              <w:spacing w:after="0" w:line="240" w:lineRule="auto"/>
              <w:outlineLvl w:val="0"/>
              <w:rPr>
                <w:rFonts w:ascii="Calibri" w:eastAsia="Calibri" w:hAnsi="Calibri" w:cs="Arial"/>
                <w:sz w:val="18"/>
                <w:szCs w:val="18"/>
                <w:lang w:val="en-US"/>
              </w:rPr>
            </w:pPr>
            <w:bookmarkStart w:id="76" w:name="_Toc4057072"/>
            <w:r w:rsidRPr="00537128">
              <w:rPr>
                <w:rFonts w:ascii="Calibri" w:eastAsia="Calibri" w:hAnsi="Calibri" w:cs="Arial"/>
                <w:sz w:val="18"/>
                <w:szCs w:val="18"/>
                <w:lang w:val="en-US"/>
              </w:rPr>
              <w:t>Purchase of financial assets at fair value through profit or loss</w:t>
            </w:r>
            <w:bookmarkEnd w:id="76"/>
          </w:p>
        </w:tc>
        <w:tc>
          <w:tcPr>
            <w:tcW w:w="1271" w:type="dxa"/>
            <w:shd w:val="clear" w:color="auto" w:fill="auto"/>
            <w:vAlign w:val="bottom"/>
          </w:tcPr>
          <w:p w14:paraId="341957BD" w14:textId="19E33783" w:rsidR="008A4AAC" w:rsidRPr="00537128" w:rsidRDefault="008A4AAC" w:rsidP="008A4AAC">
            <w:pPr>
              <w:keepLines/>
              <w:tabs>
                <w:tab w:val="right" w:pos="1202"/>
              </w:tabs>
              <w:spacing w:after="0" w:line="240" w:lineRule="auto"/>
              <w:jc w:val="right"/>
              <w:outlineLvl w:val="0"/>
              <w:rPr>
                <w:rFonts w:ascii="Calibri" w:eastAsia="Calibri" w:hAnsi="Calibri" w:cs="Arial"/>
                <w:sz w:val="18"/>
                <w:szCs w:val="18"/>
                <w:lang w:val="en-US"/>
              </w:rPr>
            </w:pPr>
            <w:r>
              <w:rPr>
                <w:rFonts w:cstheme="minorHAnsi"/>
                <w:color w:val="000000" w:themeColor="text1"/>
                <w:sz w:val="18"/>
                <w:szCs w:val="18"/>
              </w:rPr>
              <w:t>(2</w:t>
            </w:r>
            <w:r w:rsidR="00172EFD">
              <w:rPr>
                <w:rFonts w:cstheme="minorHAnsi"/>
                <w:color w:val="000000" w:themeColor="text1"/>
                <w:sz w:val="18"/>
                <w:szCs w:val="18"/>
              </w:rPr>
              <w:t>,</w:t>
            </w:r>
            <w:r>
              <w:rPr>
                <w:rFonts w:cstheme="minorHAnsi"/>
                <w:color w:val="000000" w:themeColor="text1"/>
                <w:sz w:val="18"/>
                <w:szCs w:val="18"/>
              </w:rPr>
              <w:t>639)</w:t>
            </w:r>
          </w:p>
        </w:tc>
        <w:tc>
          <w:tcPr>
            <w:tcW w:w="1270" w:type="dxa"/>
            <w:tcBorders>
              <w:top w:val="nil"/>
              <w:left w:val="nil"/>
              <w:bottom w:val="nil"/>
              <w:right w:val="nil"/>
            </w:tcBorders>
            <w:shd w:val="clear" w:color="auto" w:fill="auto"/>
            <w:vAlign w:val="bottom"/>
          </w:tcPr>
          <w:p w14:paraId="4B47C8B3" w14:textId="7EA0259A" w:rsidR="008A4AAC" w:rsidRPr="008D5B31" w:rsidRDefault="008A4AAC" w:rsidP="008A4AAC">
            <w:pPr>
              <w:keepLines/>
              <w:tabs>
                <w:tab w:val="right" w:pos="1202"/>
              </w:tabs>
              <w:spacing w:after="0" w:line="240" w:lineRule="auto"/>
              <w:jc w:val="right"/>
              <w:outlineLvl w:val="0"/>
              <w:rPr>
                <w:rFonts w:ascii="Calibri" w:eastAsia="Calibri" w:hAnsi="Calibri" w:cs="Arial"/>
                <w:sz w:val="18"/>
                <w:szCs w:val="18"/>
                <w:lang w:val="en-US"/>
              </w:rPr>
            </w:pPr>
            <w:r>
              <w:rPr>
                <w:rFonts w:cstheme="minorHAnsi"/>
                <w:color w:val="000000" w:themeColor="text1"/>
                <w:sz w:val="18"/>
                <w:szCs w:val="18"/>
              </w:rPr>
              <w:t>(14,902)</w:t>
            </w:r>
          </w:p>
        </w:tc>
      </w:tr>
      <w:tr w:rsidR="008A4AAC" w:rsidRPr="00537128" w14:paraId="64B5D501" w14:textId="77777777" w:rsidTr="00CE00C1">
        <w:trPr>
          <w:trHeight w:hRule="exact" w:val="204"/>
        </w:trPr>
        <w:tc>
          <w:tcPr>
            <w:tcW w:w="7060" w:type="dxa"/>
            <w:vAlign w:val="bottom"/>
          </w:tcPr>
          <w:p w14:paraId="2C604EA0" w14:textId="1EADC476" w:rsidR="008A4AAC" w:rsidRPr="00537128" w:rsidRDefault="008A4AAC" w:rsidP="008A4AAC">
            <w:pPr>
              <w:keepLines/>
              <w:tabs>
                <w:tab w:val="right" w:pos="1202"/>
              </w:tabs>
              <w:spacing w:after="0" w:line="240" w:lineRule="auto"/>
              <w:outlineLvl w:val="0"/>
              <w:rPr>
                <w:rFonts w:ascii="Calibri" w:eastAsia="Calibri" w:hAnsi="Calibri" w:cs="Arial"/>
                <w:sz w:val="18"/>
                <w:szCs w:val="18"/>
                <w:lang w:val="en-US"/>
              </w:rPr>
            </w:pPr>
            <w:bookmarkStart w:id="77" w:name="_Toc4057074"/>
            <w:r w:rsidRPr="00537128">
              <w:rPr>
                <w:rFonts w:ascii="Calibri" w:eastAsia="Calibri" w:hAnsi="Calibri" w:cs="Arial"/>
                <w:sz w:val="18"/>
                <w:szCs w:val="18"/>
                <w:lang w:val="en-US"/>
              </w:rPr>
              <w:t>Sale of financial assets at fair value through profit or loss</w:t>
            </w:r>
            <w:bookmarkEnd w:id="77"/>
          </w:p>
        </w:tc>
        <w:tc>
          <w:tcPr>
            <w:tcW w:w="1271" w:type="dxa"/>
            <w:shd w:val="clear" w:color="auto" w:fill="auto"/>
            <w:vAlign w:val="bottom"/>
          </w:tcPr>
          <w:p w14:paraId="05B52459" w14:textId="62ABFCF6" w:rsidR="008A4AAC" w:rsidRPr="00537128" w:rsidRDefault="008A4AAC" w:rsidP="008A4AAC">
            <w:pPr>
              <w:keepLines/>
              <w:tabs>
                <w:tab w:val="right" w:pos="1202"/>
              </w:tabs>
              <w:spacing w:after="0" w:line="240" w:lineRule="auto"/>
              <w:jc w:val="right"/>
              <w:outlineLvl w:val="0"/>
              <w:rPr>
                <w:rFonts w:ascii="Calibri" w:eastAsia="Calibri" w:hAnsi="Calibri" w:cs="Arial"/>
                <w:sz w:val="18"/>
                <w:szCs w:val="18"/>
                <w:lang w:val="en-US"/>
              </w:rPr>
            </w:pPr>
            <w:r>
              <w:rPr>
                <w:rFonts w:cstheme="minorHAnsi"/>
                <w:color w:val="000000" w:themeColor="text1"/>
                <w:sz w:val="18"/>
                <w:szCs w:val="18"/>
              </w:rPr>
              <w:t>97</w:t>
            </w:r>
            <w:r w:rsidR="00172EFD">
              <w:rPr>
                <w:rFonts w:cstheme="minorHAnsi"/>
                <w:color w:val="000000" w:themeColor="text1"/>
                <w:sz w:val="18"/>
                <w:szCs w:val="18"/>
              </w:rPr>
              <w:t>,</w:t>
            </w:r>
            <w:r>
              <w:rPr>
                <w:rFonts w:cstheme="minorHAnsi"/>
                <w:color w:val="000000" w:themeColor="text1"/>
                <w:sz w:val="18"/>
                <w:szCs w:val="18"/>
              </w:rPr>
              <w:t>973</w:t>
            </w:r>
          </w:p>
        </w:tc>
        <w:tc>
          <w:tcPr>
            <w:tcW w:w="1270" w:type="dxa"/>
            <w:tcBorders>
              <w:top w:val="nil"/>
              <w:left w:val="nil"/>
              <w:bottom w:val="nil"/>
              <w:right w:val="nil"/>
            </w:tcBorders>
            <w:shd w:val="clear" w:color="auto" w:fill="auto"/>
            <w:vAlign w:val="bottom"/>
          </w:tcPr>
          <w:p w14:paraId="1140241B" w14:textId="13032DCD" w:rsidR="008A4AAC" w:rsidRPr="008D5B31" w:rsidRDefault="008A4AAC" w:rsidP="008A4AAC">
            <w:pPr>
              <w:keepLines/>
              <w:tabs>
                <w:tab w:val="right" w:pos="1202"/>
              </w:tabs>
              <w:spacing w:after="0" w:line="240" w:lineRule="auto"/>
              <w:jc w:val="right"/>
              <w:outlineLvl w:val="0"/>
              <w:rPr>
                <w:rFonts w:ascii="Calibri" w:eastAsia="Calibri" w:hAnsi="Calibri" w:cs="Arial"/>
                <w:sz w:val="18"/>
                <w:szCs w:val="18"/>
                <w:lang w:val="en-US"/>
              </w:rPr>
            </w:pPr>
            <w:r>
              <w:rPr>
                <w:rFonts w:cstheme="minorHAnsi"/>
                <w:color w:val="000000" w:themeColor="text1"/>
                <w:sz w:val="18"/>
                <w:szCs w:val="18"/>
              </w:rPr>
              <w:t>1,400</w:t>
            </w:r>
          </w:p>
        </w:tc>
      </w:tr>
      <w:tr w:rsidR="008A4AAC" w:rsidRPr="00537128" w14:paraId="7EDB85C7" w14:textId="77777777" w:rsidTr="00CE00C1">
        <w:trPr>
          <w:trHeight w:hRule="exact" w:val="204"/>
        </w:trPr>
        <w:tc>
          <w:tcPr>
            <w:tcW w:w="7060" w:type="dxa"/>
            <w:vAlign w:val="bottom"/>
          </w:tcPr>
          <w:p w14:paraId="2EB98638" w14:textId="77777777" w:rsidR="008A4AAC" w:rsidRPr="00537128" w:rsidRDefault="008A4AAC" w:rsidP="008A4AAC">
            <w:pPr>
              <w:keepLines/>
              <w:tabs>
                <w:tab w:val="right" w:pos="1202"/>
              </w:tabs>
              <w:spacing w:after="0" w:line="240" w:lineRule="auto"/>
              <w:outlineLvl w:val="0"/>
              <w:rPr>
                <w:rFonts w:ascii="Calibri" w:eastAsia="Calibri" w:hAnsi="Calibri" w:cs="Arial"/>
                <w:sz w:val="18"/>
                <w:szCs w:val="18"/>
                <w:lang w:val="en-US"/>
              </w:rPr>
            </w:pPr>
            <w:bookmarkStart w:id="78" w:name="_Toc4057076"/>
            <w:r w:rsidRPr="00537128">
              <w:rPr>
                <w:rFonts w:ascii="Calibri" w:eastAsia="Calibri" w:hAnsi="Calibri" w:cs="Arial"/>
                <w:sz w:val="18"/>
                <w:szCs w:val="18"/>
                <w:lang w:val="en-US"/>
              </w:rPr>
              <w:t>Purchase of financial assets at fair value through other comprehensive income</w:t>
            </w:r>
            <w:bookmarkEnd w:id="78"/>
          </w:p>
        </w:tc>
        <w:tc>
          <w:tcPr>
            <w:tcW w:w="1271" w:type="dxa"/>
            <w:shd w:val="clear" w:color="auto" w:fill="auto"/>
            <w:vAlign w:val="bottom"/>
          </w:tcPr>
          <w:p w14:paraId="1E5ED9AE" w14:textId="55968094" w:rsidR="008A4AAC" w:rsidRPr="00537128" w:rsidRDefault="008A4AAC" w:rsidP="008A4AAC">
            <w:pPr>
              <w:keepLines/>
              <w:tabs>
                <w:tab w:val="right" w:pos="1202"/>
              </w:tabs>
              <w:spacing w:after="0" w:line="240" w:lineRule="auto"/>
              <w:jc w:val="right"/>
              <w:outlineLvl w:val="0"/>
              <w:rPr>
                <w:rFonts w:ascii="Calibri" w:eastAsia="Calibri" w:hAnsi="Calibri" w:cs="Arial"/>
                <w:sz w:val="18"/>
                <w:szCs w:val="18"/>
                <w:lang w:val="en-US"/>
              </w:rPr>
            </w:pPr>
            <w:r>
              <w:rPr>
                <w:rFonts w:cstheme="minorHAnsi"/>
                <w:color w:val="000000" w:themeColor="text1"/>
                <w:sz w:val="18"/>
                <w:szCs w:val="18"/>
              </w:rPr>
              <w:t>(841</w:t>
            </w:r>
            <w:r w:rsidR="00172EFD">
              <w:rPr>
                <w:rFonts w:cstheme="minorHAnsi"/>
                <w:color w:val="000000" w:themeColor="text1"/>
                <w:sz w:val="18"/>
                <w:szCs w:val="18"/>
              </w:rPr>
              <w:t>,</w:t>
            </w:r>
            <w:r>
              <w:rPr>
                <w:rFonts w:cstheme="minorHAnsi"/>
                <w:color w:val="000000" w:themeColor="text1"/>
                <w:sz w:val="18"/>
                <w:szCs w:val="18"/>
              </w:rPr>
              <w:t>746)</w:t>
            </w:r>
          </w:p>
        </w:tc>
        <w:tc>
          <w:tcPr>
            <w:tcW w:w="1270" w:type="dxa"/>
            <w:tcBorders>
              <w:top w:val="nil"/>
              <w:left w:val="nil"/>
              <w:bottom w:val="nil"/>
              <w:right w:val="nil"/>
            </w:tcBorders>
            <w:shd w:val="clear" w:color="auto" w:fill="auto"/>
            <w:vAlign w:val="bottom"/>
          </w:tcPr>
          <w:p w14:paraId="37D198B1" w14:textId="479B6CE7" w:rsidR="008A4AAC" w:rsidRPr="008D5B31" w:rsidRDefault="008A4AAC" w:rsidP="008A4AAC">
            <w:pPr>
              <w:keepLines/>
              <w:tabs>
                <w:tab w:val="right" w:pos="1202"/>
              </w:tabs>
              <w:spacing w:after="0" w:line="240" w:lineRule="auto"/>
              <w:jc w:val="right"/>
              <w:outlineLvl w:val="0"/>
              <w:rPr>
                <w:rFonts w:ascii="Calibri" w:eastAsia="Calibri" w:hAnsi="Calibri" w:cs="Arial"/>
                <w:sz w:val="18"/>
                <w:szCs w:val="18"/>
                <w:lang w:val="en-US"/>
              </w:rPr>
            </w:pPr>
            <w:r>
              <w:rPr>
                <w:rFonts w:cstheme="minorHAnsi"/>
                <w:color w:val="000000" w:themeColor="text1"/>
                <w:sz w:val="18"/>
                <w:szCs w:val="18"/>
              </w:rPr>
              <w:t>(475,514)</w:t>
            </w:r>
          </w:p>
        </w:tc>
      </w:tr>
      <w:tr w:rsidR="008A4AAC" w:rsidRPr="00537128" w14:paraId="18AA4C94" w14:textId="77777777" w:rsidTr="00CE00C1">
        <w:trPr>
          <w:trHeight w:hRule="exact" w:val="204"/>
        </w:trPr>
        <w:tc>
          <w:tcPr>
            <w:tcW w:w="7060" w:type="dxa"/>
            <w:vAlign w:val="bottom"/>
          </w:tcPr>
          <w:p w14:paraId="46A82E6F" w14:textId="0B56954C" w:rsidR="008A4AAC" w:rsidRPr="00537128" w:rsidRDefault="008A4AAC" w:rsidP="008A4AAC">
            <w:pPr>
              <w:keepLines/>
              <w:tabs>
                <w:tab w:val="right" w:pos="1202"/>
              </w:tabs>
              <w:spacing w:after="0" w:line="240" w:lineRule="auto"/>
              <w:outlineLvl w:val="0"/>
              <w:rPr>
                <w:rFonts w:ascii="Calibri" w:eastAsia="Calibri" w:hAnsi="Calibri" w:cs="Arial"/>
                <w:sz w:val="18"/>
                <w:szCs w:val="18"/>
                <w:lang w:val="en-US"/>
              </w:rPr>
            </w:pPr>
            <w:bookmarkStart w:id="79" w:name="_Toc4057078"/>
            <w:r w:rsidRPr="00537128">
              <w:rPr>
                <w:rFonts w:ascii="Calibri" w:eastAsia="Times New Roman" w:hAnsi="Calibri" w:cs="Arial"/>
                <w:sz w:val="18"/>
                <w:szCs w:val="18"/>
                <w:lang w:val="en-US" w:eastAsia="hr-HR"/>
              </w:rPr>
              <w:t>Sale of financial assets at fair value through other comprehensive income</w:t>
            </w:r>
            <w:bookmarkEnd w:id="79"/>
          </w:p>
        </w:tc>
        <w:tc>
          <w:tcPr>
            <w:tcW w:w="1271" w:type="dxa"/>
            <w:shd w:val="clear" w:color="auto" w:fill="auto"/>
            <w:vAlign w:val="bottom"/>
          </w:tcPr>
          <w:p w14:paraId="3D0A3E01" w14:textId="79361B1E" w:rsidR="008A4AAC" w:rsidRPr="00537128" w:rsidRDefault="008A4AAC" w:rsidP="008A4AAC">
            <w:pPr>
              <w:keepLines/>
              <w:tabs>
                <w:tab w:val="right" w:pos="1202"/>
              </w:tabs>
              <w:spacing w:after="0" w:line="240" w:lineRule="auto"/>
              <w:jc w:val="right"/>
              <w:outlineLvl w:val="0"/>
              <w:rPr>
                <w:rFonts w:ascii="Calibri" w:eastAsia="Calibri" w:hAnsi="Calibri" w:cs="Arial"/>
                <w:sz w:val="18"/>
                <w:szCs w:val="18"/>
                <w:lang w:val="en-US"/>
              </w:rPr>
            </w:pPr>
            <w:r>
              <w:rPr>
                <w:rFonts w:cstheme="minorHAnsi"/>
                <w:color w:val="000000" w:themeColor="text1"/>
                <w:sz w:val="18"/>
                <w:szCs w:val="18"/>
              </w:rPr>
              <w:t>535</w:t>
            </w:r>
            <w:r w:rsidR="00172EFD">
              <w:rPr>
                <w:rFonts w:cstheme="minorHAnsi"/>
                <w:color w:val="000000" w:themeColor="text1"/>
                <w:sz w:val="18"/>
                <w:szCs w:val="18"/>
              </w:rPr>
              <w:t>,</w:t>
            </w:r>
            <w:r>
              <w:rPr>
                <w:rFonts w:cstheme="minorHAnsi"/>
                <w:color w:val="000000" w:themeColor="text1"/>
                <w:sz w:val="18"/>
                <w:szCs w:val="18"/>
              </w:rPr>
              <w:t>036</w:t>
            </w:r>
          </w:p>
        </w:tc>
        <w:tc>
          <w:tcPr>
            <w:tcW w:w="1270" w:type="dxa"/>
            <w:tcBorders>
              <w:top w:val="nil"/>
              <w:left w:val="nil"/>
              <w:bottom w:val="nil"/>
              <w:right w:val="nil"/>
            </w:tcBorders>
            <w:shd w:val="clear" w:color="auto" w:fill="auto"/>
            <w:vAlign w:val="bottom"/>
          </w:tcPr>
          <w:p w14:paraId="4CF9727F" w14:textId="1223B32B" w:rsidR="008A4AAC" w:rsidRPr="008D5B31" w:rsidRDefault="008A4AAC" w:rsidP="008A4AAC">
            <w:pPr>
              <w:keepLines/>
              <w:tabs>
                <w:tab w:val="right" w:pos="1202"/>
              </w:tabs>
              <w:spacing w:after="0" w:line="240" w:lineRule="auto"/>
              <w:jc w:val="right"/>
              <w:outlineLvl w:val="0"/>
              <w:rPr>
                <w:rFonts w:ascii="Calibri" w:eastAsia="Calibri" w:hAnsi="Calibri" w:cs="Arial"/>
                <w:sz w:val="18"/>
                <w:szCs w:val="18"/>
                <w:lang w:val="en-US"/>
              </w:rPr>
            </w:pPr>
            <w:r>
              <w:rPr>
                <w:rFonts w:cstheme="minorHAnsi"/>
                <w:color w:val="000000" w:themeColor="text1"/>
                <w:sz w:val="18"/>
                <w:szCs w:val="18"/>
              </w:rPr>
              <w:t>150,000</w:t>
            </w:r>
          </w:p>
        </w:tc>
      </w:tr>
      <w:tr w:rsidR="008A4AAC" w:rsidRPr="00537128" w14:paraId="1410AB09" w14:textId="77777777" w:rsidTr="00CE00C1">
        <w:trPr>
          <w:trHeight w:hRule="exact" w:val="204"/>
        </w:trPr>
        <w:tc>
          <w:tcPr>
            <w:tcW w:w="7060" w:type="dxa"/>
            <w:vAlign w:val="bottom"/>
          </w:tcPr>
          <w:p w14:paraId="23EDFAB4" w14:textId="77777777" w:rsidR="008A4AAC" w:rsidRPr="00537128" w:rsidRDefault="008A4AAC" w:rsidP="008A4AAC">
            <w:pPr>
              <w:keepLines/>
              <w:tabs>
                <w:tab w:val="right" w:pos="1202"/>
              </w:tabs>
              <w:spacing w:after="0" w:line="240" w:lineRule="auto"/>
              <w:outlineLvl w:val="0"/>
              <w:rPr>
                <w:rFonts w:ascii="Calibri" w:eastAsia="Times New Roman" w:hAnsi="Calibri" w:cs="Arial"/>
                <w:sz w:val="18"/>
                <w:szCs w:val="18"/>
                <w:lang w:val="en-US" w:eastAsia="hr-HR"/>
              </w:rPr>
            </w:pPr>
            <w:r w:rsidRPr="00537128">
              <w:rPr>
                <w:rFonts w:ascii="Calibri" w:eastAsia="Times New Roman" w:hAnsi="Calibri" w:cs="Arial"/>
                <w:sz w:val="18"/>
                <w:szCs w:val="18"/>
                <w:lang w:val="en-US" w:eastAsia="hr-HR"/>
              </w:rPr>
              <w:t>Investments in subsidiaries – sales and write-offs</w:t>
            </w:r>
          </w:p>
        </w:tc>
        <w:tc>
          <w:tcPr>
            <w:tcW w:w="1271" w:type="dxa"/>
            <w:shd w:val="clear" w:color="auto" w:fill="auto"/>
            <w:vAlign w:val="bottom"/>
          </w:tcPr>
          <w:p w14:paraId="7BB794E4" w14:textId="09F16422" w:rsidR="008A4AAC" w:rsidRPr="00537128" w:rsidRDefault="008A4AAC" w:rsidP="008A4AAC">
            <w:pPr>
              <w:keepLines/>
              <w:tabs>
                <w:tab w:val="right" w:pos="1202"/>
              </w:tabs>
              <w:spacing w:after="0" w:line="240" w:lineRule="auto"/>
              <w:jc w:val="right"/>
              <w:outlineLvl w:val="0"/>
              <w:rPr>
                <w:rFonts w:ascii="Calibri" w:eastAsia="Calibri" w:hAnsi="Calibri" w:cs="Arial"/>
                <w:sz w:val="18"/>
                <w:szCs w:val="18"/>
                <w:lang w:val="en-US"/>
              </w:rPr>
            </w:pPr>
            <w:r>
              <w:rPr>
                <w:rFonts w:cstheme="minorHAnsi"/>
                <w:color w:val="000000" w:themeColor="text1"/>
                <w:sz w:val="18"/>
                <w:szCs w:val="18"/>
              </w:rPr>
              <w:t>-</w:t>
            </w:r>
          </w:p>
        </w:tc>
        <w:tc>
          <w:tcPr>
            <w:tcW w:w="1270" w:type="dxa"/>
            <w:tcBorders>
              <w:top w:val="nil"/>
              <w:left w:val="nil"/>
              <w:bottom w:val="nil"/>
              <w:right w:val="nil"/>
            </w:tcBorders>
            <w:shd w:val="clear" w:color="auto" w:fill="auto"/>
            <w:vAlign w:val="bottom"/>
          </w:tcPr>
          <w:p w14:paraId="4CD7F64C" w14:textId="654B6339" w:rsidR="008A4AAC" w:rsidRPr="008D5B31" w:rsidRDefault="008A4AAC" w:rsidP="008A4AAC">
            <w:pPr>
              <w:keepLines/>
              <w:tabs>
                <w:tab w:val="right" w:pos="1202"/>
              </w:tabs>
              <w:spacing w:after="0" w:line="240" w:lineRule="auto"/>
              <w:jc w:val="right"/>
              <w:outlineLvl w:val="0"/>
              <w:rPr>
                <w:rFonts w:ascii="Calibri" w:eastAsia="Calibri" w:hAnsi="Calibri" w:cs="Arial"/>
                <w:sz w:val="18"/>
                <w:szCs w:val="18"/>
                <w:lang w:val="en-US"/>
              </w:rPr>
            </w:pPr>
            <w:r>
              <w:rPr>
                <w:rFonts w:ascii="Calibri" w:eastAsia="Calibri" w:hAnsi="Calibri" w:cs="Arial"/>
                <w:sz w:val="18"/>
                <w:szCs w:val="18"/>
                <w:lang w:val="en-US"/>
              </w:rPr>
              <w:t>21</w:t>
            </w:r>
          </w:p>
        </w:tc>
      </w:tr>
      <w:tr w:rsidR="008A4AAC" w:rsidRPr="00537128" w14:paraId="02FD7957" w14:textId="77777777" w:rsidTr="00CE00C1">
        <w:trPr>
          <w:trHeight w:hRule="exact" w:val="204"/>
        </w:trPr>
        <w:tc>
          <w:tcPr>
            <w:tcW w:w="7060" w:type="dxa"/>
            <w:vAlign w:val="bottom"/>
          </w:tcPr>
          <w:p w14:paraId="5E7E418C" w14:textId="77777777" w:rsidR="008A4AAC" w:rsidRPr="00537128" w:rsidRDefault="008A4AAC" w:rsidP="008A4AAC">
            <w:pPr>
              <w:keepLines/>
              <w:tabs>
                <w:tab w:val="right" w:pos="1202"/>
              </w:tabs>
              <w:spacing w:after="0" w:line="240" w:lineRule="auto"/>
              <w:outlineLvl w:val="0"/>
              <w:rPr>
                <w:rFonts w:ascii="Calibri" w:eastAsia="Calibri" w:hAnsi="Calibri" w:cs="Arial"/>
                <w:spacing w:val="-2"/>
                <w:sz w:val="18"/>
                <w:szCs w:val="18"/>
                <w:lang w:val="en-US"/>
              </w:rPr>
            </w:pPr>
            <w:bookmarkStart w:id="80" w:name="_Toc4057080"/>
            <w:r w:rsidRPr="00537128">
              <w:rPr>
                <w:rFonts w:ascii="Calibri" w:eastAsia="Calibri" w:hAnsi="Calibri" w:cs="Arial"/>
                <w:sz w:val="18"/>
                <w:szCs w:val="18"/>
                <w:lang w:val="en-US"/>
              </w:rPr>
              <w:t>Net purchase of property, plant and equipment and intangible assets</w:t>
            </w:r>
            <w:bookmarkEnd w:id="80"/>
          </w:p>
        </w:tc>
        <w:tc>
          <w:tcPr>
            <w:tcW w:w="1271" w:type="dxa"/>
            <w:tcBorders>
              <w:bottom w:val="single" w:sz="4" w:space="0" w:color="auto"/>
            </w:tcBorders>
            <w:shd w:val="clear" w:color="auto" w:fill="FFFFFF"/>
            <w:vAlign w:val="bottom"/>
          </w:tcPr>
          <w:p w14:paraId="2CA58A6D" w14:textId="4862F337" w:rsidR="008A4AAC" w:rsidRPr="00537128" w:rsidRDefault="008A4AAC" w:rsidP="008A4AAC">
            <w:pPr>
              <w:keepLines/>
              <w:tabs>
                <w:tab w:val="right" w:pos="1202"/>
              </w:tabs>
              <w:spacing w:after="0" w:line="240" w:lineRule="auto"/>
              <w:jc w:val="right"/>
              <w:outlineLvl w:val="0"/>
              <w:rPr>
                <w:rFonts w:ascii="Calibri" w:eastAsia="Calibri" w:hAnsi="Calibri" w:cs="Arial"/>
                <w:sz w:val="18"/>
                <w:szCs w:val="18"/>
                <w:lang w:val="en-US"/>
              </w:rPr>
            </w:pPr>
            <w:r>
              <w:rPr>
                <w:rFonts w:cstheme="minorHAnsi"/>
                <w:color w:val="000000" w:themeColor="text1"/>
                <w:sz w:val="18"/>
                <w:szCs w:val="18"/>
              </w:rPr>
              <w:t>(2</w:t>
            </w:r>
            <w:r w:rsidR="00172EFD">
              <w:rPr>
                <w:rFonts w:cstheme="minorHAnsi"/>
                <w:color w:val="000000" w:themeColor="text1"/>
                <w:sz w:val="18"/>
                <w:szCs w:val="18"/>
              </w:rPr>
              <w:t>,</w:t>
            </w:r>
            <w:r>
              <w:rPr>
                <w:rFonts w:cstheme="minorHAnsi"/>
                <w:color w:val="000000" w:themeColor="text1"/>
                <w:sz w:val="18"/>
                <w:szCs w:val="18"/>
              </w:rPr>
              <w:t>060)</w:t>
            </w:r>
          </w:p>
        </w:tc>
        <w:tc>
          <w:tcPr>
            <w:tcW w:w="1270" w:type="dxa"/>
            <w:tcBorders>
              <w:top w:val="nil"/>
              <w:left w:val="nil"/>
              <w:bottom w:val="nil"/>
              <w:right w:val="nil"/>
            </w:tcBorders>
            <w:shd w:val="clear" w:color="auto" w:fill="FFFFFF"/>
            <w:vAlign w:val="bottom"/>
          </w:tcPr>
          <w:p w14:paraId="65BC4705" w14:textId="2CBBF363" w:rsidR="008A4AAC" w:rsidRPr="00537128" w:rsidRDefault="008A4AAC" w:rsidP="008A4AAC">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(4,036)</w:t>
            </w:r>
          </w:p>
        </w:tc>
      </w:tr>
      <w:tr w:rsidR="008A4AAC" w:rsidRPr="00537128" w14:paraId="568DBDFE" w14:textId="77777777" w:rsidTr="00CE00C1">
        <w:trPr>
          <w:trHeight w:val="227"/>
        </w:trPr>
        <w:tc>
          <w:tcPr>
            <w:tcW w:w="7060" w:type="dxa"/>
            <w:vAlign w:val="bottom"/>
          </w:tcPr>
          <w:p w14:paraId="5124AF02" w14:textId="09DD5882" w:rsidR="008A4AAC" w:rsidRPr="00045D6F" w:rsidRDefault="008A4AAC" w:rsidP="008A4AAC">
            <w:pPr>
              <w:keepLines/>
              <w:tabs>
                <w:tab w:val="right" w:pos="1202"/>
              </w:tabs>
              <w:spacing w:after="0" w:line="240" w:lineRule="auto"/>
              <w:outlineLvl w:val="0"/>
              <w:rPr>
                <w:rFonts w:ascii="Calibri" w:eastAsia="Calibri" w:hAnsi="Calibri" w:cs="Arial"/>
                <w:b/>
                <w:bCs/>
                <w:sz w:val="18"/>
                <w:szCs w:val="18"/>
                <w:lang w:val="en-US"/>
              </w:rPr>
            </w:pPr>
            <w:bookmarkStart w:id="81" w:name="_Toc4057081"/>
            <w:r w:rsidRPr="008D5B31">
              <w:rPr>
                <w:rFonts w:ascii="Calibri" w:eastAsia="Calibri" w:hAnsi="Calibri" w:cs="Arial"/>
                <w:b/>
                <w:bCs/>
                <w:sz w:val="18"/>
                <w:szCs w:val="18"/>
                <w:lang w:val="en-US"/>
              </w:rPr>
              <w:t xml:space="preserve">Net cash </w:t>
            </w:r>
            <w:r w:rsidRPr="00A1123E">
              <w:rPr>
                <w:rFonts w:ascii="Calibri" w:eastAsia="Calibri" w:hAnsi="Calibri" w:cs="Arial"/>
                <w:b/>
                <w:bCs/>
                <w:sz w:val="18"/>
                <w:szCs w:val="18"/>
                <w:lang w:val="en-US"/>
              </w:rPr>
              <w:t>(used in)</w:t>
            </w:r>
            <w:r w:rsidRPr="00045D6F">
              <w:rPr>
                <w:rFonts w:ascii="Calibri" w:eastAsia="Calibri" w:hAnsi="Calibri" w:cs="Arial"/>
                <w:b/>
                <w:bCs/>
                <w:sz w:val="18"/>
                <w:szCs w:val="18"/>
                <w:lang w:val="en-US"/>
              </w:rPr>
              <w:t xml:space="preserve"> investment activities</w:t>
            </w:r>
            <w:bookmarkEnd w:id="81"/>
          </w:p>
        </w:tc>
        <w:tc>
          <w:tcPr>
            <w:tcW w:w="1271" w:type="dxa"/>
            <w:tcBorders>
              <w:top w:val="single" w:sz="4" w:space="0" w:color="auto"/>
              <w:bottom w:val="single" w:sz="12" w:space="0" w:color="auto"/>
            </w:tcBorders>
            <w:shd w:val="clear" w:color="auto" w:fill="FFFFFF"/>
            <w:vAlign w:val="bottom"/>
          </w:tcPr>
          <w:p w14:paraId="075AC69C" w14:textId="41EA6063" w:rsidR="008A4AAC" w:rsidRPr="00537128" w:rsidRDefault="008A4AAC" w:rsidP="008A4AAC">
            <w:pPr>
              <w:keepLines/>
              <w:tabs>
                <w:tab w:val="right" w:pos="1202"/>
              </w:tabs>
              <w:spacing w:after="0" w:line="240" w:lineRule="auto"/>
              <w:jc w:val="right"/>
              <w:outlineLvl w:val="0"/>
              <w:rPr>
                <w:rFonts w:ascii="Calibri" w:eastAsia="Calibri" w:hAnsi="Calibri" w:cs="Arial"/>
                <w:b/>
                <w:bCs/>
                <w:sz w:val="18"/>
                <w:szCs w:val="18"/>
                <w:lang w:val="en-US"/>
              </w:rPr>
            </w:pPr>
            <w:r>
              <w:rPr>
                <w:rFonts w:cstheme="minorHAnsi"/>
                <w:b/>
                <w:bCs/>
                <w:color w:val="000000" w:themeColor="text1"/>
                <w:spacing w:val="-2"/>
                <w:sz w:val="18"/>
                <w:szCs w:val="18"/>
              </w:rPr>
              <w:t>(213</w:t>
            </w:r>
            <w:r w:rsidR="00172EFD">
              <w:rPr>
                <w:rFonts w:cstheme="minorHAnsi"/>
                <w:b/>
                <w:bCs/>
                <w:color w:val="000000" w:themeColor="text1"/>
                <w:spacing w:val="-2"/>
                <w:sz w:val="18"/>
                <w:szCs w:val="18"/>
              </w:rPr>
              <w:t>,</w:t>
            </w:r>
            <w:r>
              <w:rPr>
                <w:rFonts w:cstheme="minorHAnsi"/>
                <w:b/>
                <w:bCs/>
                <w:color w:val="000000" w:themeColor="text1"/>
                <w:spacing w:val="-2"/>
                <w:sz w:val="18"/>
                <w:szCs w:val="18"/>
              </w:rPr>
              <w:t>436)</w:t>
            </w:r>
          </w:p>
        </w:tc>
        <w:tc>
          <w:tcPr>
            <w:tcW w:w="1270" w:type="dxa"/>
            <w:tcBorders>
              <w:top w:val="single" w:sz="4" w:space="0" w:color="auto"/>
              <w:bottom w:val="single" w:sz="12" w:space="0" w:color="auto"/>
            </w:tcBorders>
            <w:shd w:val="clear" w:color="auto" w:fill="FFFFFF"/>
            <w:vAlign w:val="bottom"/>
          </w:tcPr>
          <w:p w14:paraId="408201D9" w14:textId="3AB2221C" w:rsidR="008A4AAC" w:rsidRPr="00537128" w:rsidRDefault="008A4AAC" w:rsidP="008A4AAC">
            <w:pPr>
              <w:spacing w:after="0" w:line="240" w:lineRule="auto"/>
              <w:jc w:val="right"/>
              <w:rPr>
                <w:rFonts w:ascii="Calibri" w:eastAsia="Calibri" w:hAnsi="Calibri" w:cs="Calibri"/>
                <w:b/>
                <w:bCs/>
                <w:spacing w:val="-2"/>
                <w:sz w:val="18"/>
                <w:szCs w:val="18"/>
                <w:lang w:val="en-US"/>
              </w:rPr>
            </w:pPr>
            <w:r>
              <w:rPr>
                <w:rFonts w:cstheme="minorHAnsi"/>
                <w:b/>
                <w:bCs/>
                <w:color w:val="000000" w:themeColor="text1"/>
                <w:spacing w:val="-2"/>
                <w:sz w:val="18"/>
                <w:szCs w:val="18"/>
              </w:rPr>
              <w:t>(343,031)</w:t>
            </w:r>
          </w:p>
        </w:tc>
      </w:tr>
      <w:tr w:rsidR="008A4AAC" w:rsidRPr="00537128" w14:paraId="0986CE90" w14:textId="77777777" w:rsidTr="00CE00C1">
        <w:trPr>
          <w:trHeight w:hRule="exact" w:val="227"/>
        </w:trPr>
        <w:tc>
          <w:tcPr>
            <w:tcW w:w="7060" w:type="dxa"/>
            <w:vAlign w:val="bottom"/>
          </w:tcPr>
          <w:p w14:paraId="16BEA326" w14:textId="77777777" w:rsidR="008A4AAC" w:rsidRPr="00537128" w:rsidRDefault="008A4AAC" w:rsidP="008A4AAC">
            <w:pPr>
              <w:keepLines/>
              <w:tabs>
                <w:tab w:val="right" w:pos="1202"/>
              </w:tabs>
              <w:spacing w:after="0" w:line="240" w:lineRule="auto"/>
              <w:outlineLvl w:val="0"/>
              <w:rPr>
                <w:rFonts w:ascii="Calibri" w:eastAsia="Calibri" w:hAnsi="Calibri" w:cs="Arial"/>
                <w:b/>
                <w:bCs/>
                <w:spacing w:val="-3"/>
                <w:sz w:val="18"/>
                <w:szCs w:val="18"/>
                <w:lang w:val="en-US"/>
              </w:rPr>
            </w:pPr>
            <w:bookmarkStart w:id="82" w:name="_Toc4057082"/>
            <w:r w:rsidRPr="00537128">
              <w:rPr>
                <w:rFonts w:ascii="Calibri" w:eastAsia="Calibri" w:hAnsi="Calibri" w:cs="Arial"/>
                <w:b/>
                <w:bCs/>
                <w:sz w:val="18"/>
                <w:szCs w:val="18"/>
                <w:lang w:val="en-US"/>
              </w:rPr>
              <w:t>Financing activities</w:t>
            </w:r>
            <w:bookmarkEnd w:id="82"/>
          </w:p>
        </w:tc>
        <w:tc>
          <w:tcPr>
            <w:tcW w:w="1271" w:type="dxa"/>
            <w:vAlign w:val="bottom"/>
          </w:tcPr>
          <w:p w14:paraId="2A85B588" w14:textId="77777777" w:rsidR="008A4AAC" w:rsidRPr="00537128" w:rsidRDefault="008A4AAC" w:rsidP="008A4AAC">
            <w:pPr>
              <w:keepLines/>
              <w:tabs>
                <w:tab w:val="right" w:pos="1202"/>
              </w:tabs>
              <w:spacing w:after="0" w:line="240" w:lineRule="auto"/>
              <w:jc w:val="right"/>
              <w:outlineLvl w:val="0"/>
              <w:rPr>
                <w:rFonts w:ascii="Calibri" w:eastAsia="Calibri" w:hAnsi="Calibri" w:cs="Arial"/>
                <w:b/>
                <w:bCs/>
                <w:sz w:val="18"/>
                <w:szCs w:val="18"/>
                <w:lang w:val="en-US"/>
              </w:rPr>
            </w:pPr>
          </w:p>
        </w:tc>
        <w:tc>
          <w:tcPr>
            <w:tcW w:w="1270" w:type="dxa"/>
            <w:vAlign w:val="bottom"/>
          </w:tcPr>
          <w:p w14:paraId="6691FC3E" w14:textId="77777777" w:rsidR="008A4AAC" w:rsidRPr="00537128" w:rsidRDefault="008A4AAC" w:rsidP="008A4AAC">
            <w:pPr>
              <w:keepLines/>
              <w:tabs>
                <w:tab w:val="right" w:pos="1202"/>
              </w:tabs>
              <w:spacing w:after="0" w:line="240" w:lineRule="auto"/>
              <w:jc w:val="right"/>
              <w:outlineLvl w:val="0"/>
              <w:rPr>
                <w:rFonts w:ascii="Calibri" w:eastAsia="Calibri" w:hAnsi="Calibri" w:cs="Arial"/>
                <w:b/>
                <w:bCs/>
                <w:sz w:val="18"/>
                <w:szCs w:val="18"/>
                <w:lang w:val="en-US"/>
              </w:rPr>
            </w:pPr>
          </w:p>
        </w:tc>
      </w:tr>
      <w:tr w:rsidR="00544E11" w:rsidRPr="00537128" w14:paraId="7992BF53" w14:textId="77777777" w:rsidTr="00944521">
        <w:trPr>
          <w:trHeight w:hRule="exact" w:val="204"/>
        </w:trPr>
        <w:tc>
          <w:tcPr>
            <w:tcW w:w="7060" w:type="dxa"/>
            <w:vAlign w:val="bottom"/>
          </w:tcPr>
          <w:p w14:paraId="13AF1D57" w14:textId="77777777" w:rsidR="00544E11" w:rsidRPr="00537128" w:rsidRDefault="00544E11" w:rsidP="00544E11">
            <w:pPr>
              <w:keepLines/>
              <w:tabs>
                <w:tab w:val="right" w:pos="1202"/>
              </w:tabs>
              <w:spacing w:after="0" w:line="240" w:lineRule="auto"/>
              <w:outlineLvl w:val="0"/>
              <w:rPr>
                <w:rFonts w:ascii="Calibri" w:eastAsia="Calibri" w:hAnsi="Calibri" w:cs="Arial"/>
                <w:bCs/>
                <w:sz w:val="18"/>
                <w:szCs w:val="18"/>
                <w:lang w:val="en-US"/>
              </w:rPr>
            </w:pPr>
            <w:bookmarkStart w:id="83" w:name="_Toc4057083"/>
            <w:r w:rsidRPr="00537128">
              <w:rPr>
                <w:rFonts w:ascii="Calibri" w:eastAsia="Calibri" w:hAnsi="Calibri" w:cs="Arial"/>
                <w:bCs/>
                <w:sz w:val="18"/>
                <w:szCs w:val="18"/>
                <w:lang w:val="en-US"/>
              </w:rPr>
              <w:t>Increase in founder’s capital</w:t>
            </w:r>
            <w:bookmarkEnd w:id="83"/>
          </w:p>
        </w:tc>
        <w:tc>
          <w:tcPr>
            <w:tcW w:w="1271" w:type="dxa"/>
            <w:vAlign w:val="bottom"/>
          </w:tcPr>
          <w:p w14:paraId="400560D5" w14:textId="53E2B152" w:rsidR="00544E11" w:rsidRPr="00537128" w:rsidRDefault="00544E11" w:rsidP="00544E11">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w:t>
            </w:r>
          </w:p>
        </w:tc>
        <w:tc>
          <w:tcPr>
            <w:tcW w:w="1270" w:type="dxa"/>
            <w:shd w:val="clear" w:color="auto" w:fill="FFFFFF"/>
            <w:vAlign w:val="bottom"/>
          </w:tcPr>
          <w:p w14:paraId="29609722" w14:textId="213CB12C" w:rsidR="00544E11" w:rsidRPr="00537128" w:rsidRDefault="00544E11" w:rsidP="00544E11">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w:t>
            </w:r>
          </w:p>
        </w:tc>
      </w:tr>
      <w:tr w:rsidR="00544E11" w:rsidRPr="00537128" w14:paraId="6C675153" w14:textId="77777777" w:rsidTr="00CE00C1">
        <w:trPr>
          <w:trHeight w:hRule="exact" w:val="204"/>
        </w:trPr>
        <w:tc>
          <w:tcPr>
            <w:tcW w:w="7060" w:type="dxa"/>
            <w:vAlign w:val="bottom"/>
          </w:tcPr>
          <w:p w14:paraId="0DC2DA67" w14:textId="77777777" w:rsidR="00544E11" w:rsidRPr="00537128" w:rsidRDefault="00544E11" w:rsidP="00544E11">
            <w:pPr>
              <w:keepLines/>
              <w:tabs>
                <w:tab w:val="right" w:pos="1202"/>
              </w:tabs>
              <w:spacing w:after="0" w:line="240" w:lineRule="auto"/>
              <w:outlineLvl w:val="0"/>
              <w:rPr>
                <w:rFonts w:ascii="Calibri" w:eastAsia="Calibri" w:hAnsi="Calibri" w:cs="Arial"/>
                <w:spacing w:val="-3"/>
                <w:sz w:val="18"/>
                <w:szCs w:val="18"/>
                <w:lang w:val="en-US"/>
              </w:rPr>
            </w:pPr>
            <w:bookmarkStart w:id="84" w:name="_Toc4057084"/>
            <w:r w:rsidRPr="00537128">
              <w:rPr>
                <w:rFonts w:ascii="Calibri" w:eastAsia="Calibri" w:hAnsi="Calibri" w:cs="Arial"/>
                <w:sz w:val="18"/>
                <w:szCs w:val="18"/>
                <w:lang w:val="en-US"/>
              </w:rPr>
              <w:t>Increase in borrowings – withdrawn funds</w:t>
            </w:r>
            <w:bookmarkEnd w:id="84"/>
          </w:p>
        </w:tc>
        <w:tc>
          <w:tcPr>
            <w:tcW w:w="1271" w:type="dxa"/>
            <w:tcBorders>
              <w:top w:val="nil"/>
              <w:left w:val="nil"/>
              <w:bottom w:val="nil"/>
              <w:right w:val="nil"/>
            </w:tcBorders>
            <w:shd w:val="clear" w:color="auto" w:fill="auto"/>
            <w:vAlign w:val="bottom"/>
          </w:tcPr>
          <w:p w14:paraId="07414FA7" w14:textId="77FA5BF3" w:rsidR="00544E11" w:rsidRPr="00537128" w:rsidRDefault="00544E11" w:rsidP="00544E11">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152</w:t>
            </w:r>
            <w:r w:rsidR="00172EFD">
              <w:rPr>
                <w:rFonts w:cstheme="minorHAnsi"/>
                <w:color w:val="000000" w:themeColor="text1"/>
                <w:sz w:val="18"/>
                <w:szCs w:val="18"/>
              </w:rPr>
              <w:t>,</w:t>
            </w:r>
            <w:r>
              <w:rPr>
                <w:rFonts w:cstheme="minorHAnsi"/>
                <w:color w:val="000000" w:themeColor="text1"/>
                <w:sz w:val="18"/>
                <w:szCs w:val="18"/>
              </w:rPr>
              <w:t>693</w:t>
            </w:r>
          </w:p>
        </w:tc>
        <w:tc>
          <w:tcPr>
            <w:tcW w:w="1270" w:type="dxa"/>
            <w:tcBorders>
              <w:top w:val="nil"/>
              <w:left w:val="nil"/>
              <w:bottom w:val="nil"/>
              <w:right w:val="nil"/>
            </w:tcBorders>
            <w:shd w:val="clear" w:color="auto" w:fill="auto"/>
            <w:vAlign w:val="bottom"/>
          </w:tcPr>
          <w:p w14:paraId="6F996FEA" w14:textId="49A9FE15" w:rsidR="00544E11" w:rsidRPr="00537128" w:rsidRDefault="00544E11" w:rsidP="00544E11">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346,432</w:t>
            </w:r>
          </w:p>
        </w:tc>
      </w:tr>
      <w:tr w:rsidR="00544E11" w:rsidRPr="00537128" w14:paraId="570D91E4" w14:textId="77777777" w:rsidTr="00CE00C1">
        <w:trPr>
          <w:trHeight w:hRule="exact" w:val="204"/>
        </w:trPr>
        <w:tc>
          <w:tcPr>
            <w:tcW w:w="7060" w:type="dxa"/>
            <w:vAlign w:val="bottom"/>
          </w:tcPr>
          <w:p w14:paraId="52A7DDF4" w14:textId="77777777" w:rsidR="00544E11" w:rsidRPr="00537128" w:rsidRDefault="00544E11" w:rsidP="00544E11">
            <w:pPr>
              <w:keepLines/>
              <w:tabs>
                <w:tab w:val="right" w:pos="1202"/>
              </w:tabs>
              <w:spacing w:after="0" w:line="240" w:lineRule="auto"/>
              <w:outlineLvl w:val="0"/>
              <w:rPr>
                <w:rFonts w:ascii="Calibri" w:eastAsia="Calibri" w:hAnsi="Calibri" w:cs="Arial"/>
                <w:spacing w:val="-3"/>
                <w:sz w:val="18"/>
                <w:szCs w:val="18"/>
                <w:lang w:val="en-US"/>
              </w:rPr>
            </w:pPr>
            <w:bookmarkStart w:id="85" w:name="_Toc4057085"/>
            <w:r w:rsidRPr="00537128">
              <w:rPr>
                <w:rFonts w:ascii="Calibri" w:eastAsia="Calibri" w:hAnsi="Calibri" w:cs="Arial"/>
                <w:sz w:val="18"/>
                <w:szCs w:val="18"/>
                <w:lang w:val="en-US"/>
              </w:rPr>
              <w:t>Decrease in borrowings – repayments of principal</w:t>
            </w:r>
            <w:bookmarkEnd w:id="85"/>
          </w:p>
        </w:tc>
        <w:tc>
          <w:tcPr>
            <w:tcW w:w="1271" w:type="dxa"/>
            <w:tcBorders>
              <w:top w:val="nil"/>
              <w:left w:val="nil"/>
              <w:right w:val="nil"/>
            </w:tcBorders>
            <w:shd w:val="clear" w:color="auto" w:fill="auto"/>
            <w:vAlign w:val="bottom"/>
          </w:tcPr>
          <w:p w14:paraId="0CFABCC6" w14:textId="3B7BC44D" w:rsidR="00544E11" w:rsidRPr="00537128" w:rsidRDefault="00544E11" w:rsidP="00544E11">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(559</w:t>
            </w:r>
            <w:r w:rsidR="00172EFD">
              <w:rPr>
                <w:rFonts w:cstheme="minorHAnsi"/>
                <w:color w:val="000000" w:themeColor="text1"/>
                <w:sz w:val="18"/>
                <w:szCs w:val="18"/>
              </w:rPr>
              <w:t>,</w:t>
            </w:r>
            <w:r>
              <w:rPr>
                <w:rFonts w:cstheme="minorHAnsi"/>
                <w:color w:val="000000" w:themeColor="text1"/>
                <w:sz w:val="18"/>
                <w:szCs w:val="18"/>
              </w:rPr>
              <w:t>871)</w:t>
            </w:r>
          </w:p>
        </w:tc>
        <w:tc>
          <w:tcPr>
            <w:tcW w:w="1270" w:type="dxa"/>
            <w:tcBorders>
              <w:top w:val="nil"/>
              <w:left w:val="nil"/>
              <w:bottom w:val="nil"/>
              <w:right w:val="nil"/>
            </w:tcBorders>
            <w:shd w:val="clear" w:color="auto" w:fill="auto"/>
            <w:vAlign w:val="bottom"/>
          </w:tcPr>
          <w:p w14:paraId="0A28B753" w14:textId="2B45018F" w:rsidR="00544E11" w:rsidRPr="00537128" w:rsidRDefault="00544E11" w:rsidP="00544E11">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(636,069)</w:t>
            </w:r>
          </w:p>
        </w:tc>
      </w:tr>
      <w:tr w:rsidR="00544E11" w:rsidRPr="00537128" w14:paraId="1AB26C99" w14:textId="77777777" w:rsidTr="00CE00C1">
        <w:trPr>
          <w:trHeight w:hRule="exact" w:val="204"/>
        </w:trPr>
        <w:tc>
          <w:tcPr>
            <w:tcW w:w="7060" w:type="dxa"/>
            <w:vAlign w:val="bottom"/>
          </w:tcPr>
          <w:p w14:paraId="13FBB4F7" w14:textId="77777777" w:rsidR="00544E11" w:rsidRPr="00537128" w:rsidRDefault="00544E11" w:rsidP="00544E11">
            <w:pPr>
              <w:keepLines/>
              <w:tabs>
                <w:tab w:val="right" w:pos="1202"/>
              </w:tabs>
              <w:spacing w:after="0" w:line="240" w:lineRule="auto"/>
              <w:outlineLvl w:val="0"/>
              <w:rPr>
                <w:rFonts w:ascii="Calibri" w:eastAsia="Calibri" w:hAnsi="Calibri" w:cs="Arial"/>
                <w:sz w:val="18"/>
                <w:szCs w:val="18"/>
                <w:lang w:val="en-US"/>
              </w:rPr>
            </w:pPr>
            <w:bookmarkStart w:id="86" w:name="_Toc4057087"/>
            <w:r w:rsidRPr="00537128">
              <w:rPr>
                <w:rFonts w:ascii="Calibri" w:eastAsia="Calibri" w:hAnsi="Calibri" w:cs="Arial"/>
                <w:sz w:val="18"/>
                <w:szCs w:val="18"/>
                <w:lang w:val="en-US"/>
              </w:rPr>
              <w:t>Other</w:t>
            </w:r>
            <w:bookmarkEnd w:id="86"/>
          </w:p>
        </w:tc>
        <w:tc>
          <w:tcPr>
            <w:tcW w:w="1271" w:type="dxa"/>
            <w:tcBorders>
              <w:bottom w:val="single" w:sz="4" w:space="0" w:color="auto"/>
            </w:tcBorders>
            <w:shd w:val="clear" w:color="auto" w:fill="FFFFFF"/>
            <w:vAlign w:val="bottom"/>
          </w:tcPr>
          <w:p w14:paraId="3A5A3403" w14:textId="7E5914F8" w:rsidR="00544E11" w:rsidRPr="00537128" w:rsidRDefault="00544E11" w:rsidP="00544E11">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1</w:t>
            </w:r>
            <w:r w:rsidR="00172EFD">
              <w:rPr>
                <w:rFonts w:cstheme="minorHAnsi"/>
                <w:color w:val="000000" w:themeColor="text1"/>
                <w:sz w:val="18"/>
                <w:szCs w:val="18"/>
              </w:rPr>
              <w:t>,</w:t>
            </w:r>
            <w:r>
              <w:rPr>
                <w:rFonts w:cstheme="minorHAnsi"/>
                <w:color w:val="000000" w:themeColor="text1"/>
                <w:sz w:val="18"/>
                <w:szCs w:val="18"/>
              </w:rPr>
              <w:t>95</w:t>
            </w:r>
            <w:r w:rsidR="00C97BC6">
              <w:rPr>
                <w:rFonts w:cstheme="minorHAnsi"/>
                <w:color w:val="000000" w:themeColor="text1"/>
                <w:sz w:val="18"/>
                <w:szCs w:val="18"/>
              </w:rPr>
              <w:t>0</w:t>
            </w:r>
          </w:p>
        </w:tc>
        <w:tc>
          <w:tcPr>
            <w:tcW w:w="1270" w:type="dxa"/>
            <w:tcBorders>
              <w:top w:val="nil"/>
              <w:left w:val="nil"/>
              <w:bottom w:val="nil"/>
              <w:right w:val="nil"/>
            </w:tcBorders>
            <w:shd w:val="clear" w:color="auto" w:fill="FFFFFF"/>
            <w:vAlign w:val="bottom"/>
          </w:tcPr>
          <w:p w14:paraId="318A1E20" w14:textId="3222E3F6" w:rsidR="00544E11" w:rsidRPr="00537128" w:rsidRDefault="00544E11" w:rsidP="00544E11">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(1,242)</w:t>
            </w:r>
          </w:p>
        </w:tc>
      </w:tr>
      <w:tr w:rsidR="00544E11" w:rsidRPr="00537128" w14:paraId="69BA6FD2" w14:textId="77777777" w:rsidTr="00CE00C1">
        <w:trPr>
          <w:trHeight w:val="205"/>
        </w:trPr>
        <w:tc>
          <w:tcPr>
            <w:tcW w:w="7060" w:type="dxa"/>
            <w:vAlign w:val="bottom"/>
          </w:tcPr>
          <w:p w14:paraId="49FCDB2F" w14:textId="42341618" w:rsidR="00544E11" w:rsidRPr="008D5B31" w:rsidRDefault="00544E11" w:rsidP="00544E11">
            <w:pPr>
              <w:keepLines/>
              <w:tabs>
                <w:tab w:val="right" w:pos="1202"/>
              </w:tabs>
              <w:spacing w:after="0" w:line="240" w:lineRule="auto"/>
              <w:outlineLvl w:val="0"/>
              <w:rPr>
                <w:rFonts w:ascii="Calibri" w:eastAsia="Calibri" w:hAnsi="Calibri" w:cs="Arial"/>
                <w:b/>
                <w:bCs/>
                <w:spacing w:val="-3"/>
                <w:sz w:val="18"/>
                <w:szCs w:val="18"/>
                <w:lang w:val="en-US"/>
              </w:rPr>
            </w:pPr>
            <w:bookmarkStart w:id="87" w:name="_Toc4057088"/>
            <w:r w:rsidRPr="008D5B31">
              <w:rPr>
                <w:rFonts w:ascii="Calibri" w:eastAsia="Calibri" w:hAnsi="Calibri" w:cs="Arial"/>
                <w:b/>
                <w:bCs/>
                <w:sz w:val="18"/>
                <w:szCs w:val="18"/>
                <w:lang w:val="en-US"/>
              </w:rPr>
              <w:t xml:space="preserve">Net cash </w:t>
            </w:r>
            <w:r>
              <w:rPr>
                <w:rFonts w:ascii="Calibri" w:eastAsia="Calibri" w:hAnsi="Calibri" w:cs="Arial"/>
                <w:b/>
                <w:bCs/>
                <w:sz w:val="18"/>
                <w:szCs w:val="18"/>
                <w:lang w:val="en-US"/>
              </w:rPr>
              <w:t>(</w:t>
            </w:r>
            <w:r w:rsidRPr="00A1123E">
              <w:rPr>
                <w:rFonts w:ascii="Calibri" w:eastAsia="Calibri" w:hAnsi="Calibri" w:cs="Arial"/>
                <w:b/>
                <w:bCs/>
                <w:sz w:val="18"/>
                <w:szCs w:val="18"/>
                <w:lang w:val="en-US"/>
              </w:rPr>
              <w:t>used in</w:t>
            </w:r>
            <w:r>
              <w:rPr>
                <w:rFonts w:ascii="Calibri" w:eastAsia="Calibri" w:hAnsi="Calibri" w:cs="Arial"/>
                <w:b/>
                <w:bCs/>
                <w:sz w:val="18"/>
                <w:szCs w:val="18"/>
                <w:lang w:val="en-US"/>
              </w:rPr>
              <w:t>)</w:t>
            </w:r>
            <w:r w:rsidRPr="008D5B31">
              <w:rPr>
                <w:rFonts w:ascii="Calibri" w:eastAsia="Calibri" w:hAnsi="Calibri" w:cs="Arial"/>
                <w:b/>
                <w:bCs/>
                <w:sz w:val="18"/>
                <w:szCs w:val="18"/>
                <w:lang w:val="en-US"/>
              </w:rPr>
              <w:t xml:space="preserve"> financing activities</w:t>
            </w:r>
            <w:bookmarkEnd w:id="87"/>
          </w:p>
        </w:tc>
        <w:tc>
          <w:tcPr>
            <w:tcW w:w="1271" w:type="dxa"/>
            <w:tcBorders>
              <w:top w:val="single" w:sz="4" w:space="0" w:color="auto"/>
              <w:bottom w:val="single" w:sz="12" w:space="0" w:color="auto"/>
            </w:tcBorders>
            <w:shd w:val="clear" w:color="auto" w:fill="FFFFFF"/>
            <w:vAlign w:val="bottom"/>
          </w:tcPr>
          <w:p w14:paraId="04717D5C" w14:textId="52958788" w:rsidR="00544E11" w:rsidRPr="00537128" w:rsidRDefault="00544E11" w:rsidP="00544E11">
            <w:pPr>
              <w:spacing w:after="0" w:line="240" w:lineRule="auto"/>
              <w:jc w:val="right"/>
              <w:rPr>
                <w:rFonts w:ascii="Calibri" w:eastAsia="Times New Roman" w:hAnsi="Calibri" w:cs="Calibri"/>
                <w:b/>
                <w:sz w:val="18"/>
                <w:szCs w:val="18"/>
                <w:lang w:val="en-US"/>
              </w:rPr>
            </w:pPr>
            <w:r>
              <w:rPr>
                <w:rFonts w:cstheme="minorHAnsi"/>
                <w:b/>
                <w:bCs/>
                <w:color w:val="000000" w:themeColor="text1"/>
                <w:sz w:val="18"/>
                <w:szCs w:val="18"/>
              </w:rPr>
              <w:t>(405</w:t>
            </w:r>
            <w:r w:rsidR="00172EFD">
              <w:rPr>
                <w:rFonts w:cstheme="minorHAnsi"/>
                <w:b/>
                <w:bCs/>
                <w:color w:val="000000" w:themeColor="text1"/>
                <w:sz w:val="18"/>
                <w:szCs w:val="18"/>
              </w:rPr>
              <w:t>,</w:t>
            </w:r>
            <w:r>
              <w:rPr>
                <w:rFonts w:cstheme="minorHAnsi"/>
                <w:b/>
                <w:bCs/>
                <w:color w:val="000000" w:themeColor="text1"/>
                <w:sz w:val="18"/>
                <w:szCs w:val="18"/>
              </w:rPr>
              <w:t>22</w:t>
            </w:r>
            <w:r w:rsidR="00C97BC6">
              <w:rPr>
                <w:rFonts w:cstheme="minorHAnsi"/>
                <w:b/>
                <w:bCs/>
                <w:color w:val="000000" w:themeColor="text1"/>
                <w:sz w:val="18"/>
                <w:szCs w:val="18"/>
              </w:rPr>
              <w:t>8</w:t>
            </w:r>
            <w:r>
              <w:rPr>
                <w:rFonts w:cstheme="minorHAnsi"/>
                <w:b/>
                <w:bCs/>
                <w:color w:val="000000" w:themeColor="text1"/>
                <w:sz w:val="18"/>
                <w:szCs w:val="18"/>
              </w:rPr>
              <w:t>)</w:t>
            </w:r>
          </w:p>
        </w:tc>
        <w:tc>
          <w:tcPr>
            <w:tcW w:w="1270" w:type="dxa"/>
            <w:tcBorders>
              <w:top w:val="single" w:sz="4" w:space="0" w:color="auto"/>
              <w:bottom w:val="single" w:sz="12" w:space="0" w:color="auto"/>
            </w:tcBorders>
            <w:shd w:val="clear" w:color="auto" w:fill="FFFFFF"/>
            <w:vAlign w:val="bottom"/>
          </w:tcPr>
          <w:p w14:paraId="10E2D963" w14:textId="54FF6A54" w:rsidR="00544E11" w:rsidRPr="00537128" w:rsidRDefault="00544E11" w:rsidP="00544E11">
            <w:pPr>
              <w:spacing w:after="0" w:line="240" w:lineRule="auto"/>
              <w:jc w:val="right"/>
              <w:rPr>
                <w:rFonts w:ascii="Calibri" w:eastAsia="Calibri" w:hAnsi="Calibri" w:cs="Calibri"/>
                <w:b/>
                <w:bCs/>
                <w:sz w:val="18"/>
                <w:szCs w:val="18"/>
                <w:lang w:val="en-US"/>
              </w:rPr>
            </w:pPr>
            <w:r>
              <w:rPr>
                <w:rFonts w:cstheme="minorHAnsi"/>
                <w:b/>
                <w:bCs/>
                <w:color w:val="000000" w:themeColor="text1"/>
                <w:sz w:val="18"/>
                <w:szCs w:val="18"/>
              </w:rPr>
              <w:t>(290,879)</w:t>
            </w:r>
          </w:p>
        </w:tc>
      </w:tr>
      <w:tr w:rsidR="00544E11" w:rsidRPr="00537128" w14:paraId="0DDE0D90" w14:textId="77777777" w:rsidTr="00CE00C1">
        <w:trPr>
          <w:trHeight w:hRule="exact" w:val="109"/>
        </w:trPr>
        <w:tc>
          <w:tcPr>
            <w:tcW w:w="7060" w:type="dxa"/>
            <w:vAlign w:val="bottom"/>
          </w:tcPr>
          <w:p w14:paraId="3060C8B8" w14:textId="77777777" w:rsidR="00544E11" w:rsidRPr="00537128" w:rsidRDefault="00544E11" w:rsidP="00544E11">
            <w:pPr>
              <w:keepLines/>
              <w:tabs>
                <w:tab w:val="right" w:pos="1202"/>
              </w:tabs>
              <w:spacing w:after="0" w:line="240" w:lineRule="auto"/>
              <w:outlineLvl w:val="0"/>
              <w:rPr>
                <w:rFonts w:ascii="Calibri" w:eastAsia="Calibri" w:hAnsi="Calibri" w:cs="Arial"/>
                <w:b/>
                <w:bCs/>
                <w:sz w:val="18"/>
                <w:szCs w:val="18"/>
                <w:lang w:val="en-US"/>
              </w:rPr>
            </w:pPr>
          </w:p>
        </w:tc>
        <w:tc>
          <w:tcPr>
            <w:tcW w:w="1271" w:type="dxa"/>
            <w:tcBorders>
              <w:top w:val="single" w:sz="12" w:space="0" w:color="auto"/>
            </w:tcBorders>
            <w:vAlign w:val="bottom"/>
          </w:tcPr>
          <w:p w14:paraId="0C01173C" w14:textId="77777777" w:rsidR="00544E11" w:rsidRPr="00537128" w:rsidRDefault="00544E11" w:rsidP="00544E11">
            <w:pPr>
              <w:keepLines/>
              <w:spacing w:after="0" w:line="240" w:lineRule="auto"/>
              <w:jc w:val="right"/>
              <w:rPr>
                <w:rFonts w:ascii="Calibri" w:eastAsia="Calibri" w:hAnsi="Calibri" w:cs="Arial"/>
                <w:position w:val="4"/>
                <w:sz w:val="18"/>
                <w:szCs w:val="18"/>
                <w:u w:val="thick"/>
                <w:lang w:val="en-US"/>
              </w:rPr>
            </w:pPr>
          </w:p>
        </w:tc>
        <w:tc>
          <w:tcPr>
            <w:tcW w:w="1270" w:type="dxa"/>
            <w:tcBorders>
              <w:top w:val="single" w:sz="12" w:space="0" w:color="auto"/>
            </w:tcBorders>
            <w:shd w:val="clear" w:color="auto" w:fill="FFFFFF"/>
            <w:vAlign w:val="bottom"/>
          </w:tcPr>
          <w:p w14:paraId="20E50ADA" w14:textId="77777777" w:rsidR="00544E11" w:rsidRPr="00537128" w:rsidRDefault="00544E11" w:rsidP="00544E11">
            <w:pPr>
              <w:keepLines/>
              <w:spacing w:after="0" w:line="240" w:lineRule="auto"/>
              <w:jc w:val="right"/>
              <w:rPr>
                <w:rFonts w:ascii="Calibri" w:eastAsia="Calibri" w:hAnsi="Calibri" w:cs="Arial"/>
                <w:position w:val="4"/>
                <w:sz w:val="18"/>
                <w:szCs w:val="18"/>
                <w:u w:val="thick"/>
                <w:lang w:val="en-US"/>
              </w:rPr>
            </w:pPr>
          </w:p>
        </w:tc>
      </w:tr>
      <w:tr w:rsidR="00544E11" w:rsidRPr="00537128" w14:paraId="4468C296" w14:textId="77777777" w:rsidTr="00CE00C1">
        <w:trPr>
          <w:trHeight w:hRule="exact" w:val="204"/>
        </w:trPr>
        <w:tc>
          <w:tcPr>
            <w:tcW w:w="7060" w:type="dxa"/>
            <w:vAlign w:val="bottom"/>
          </w:tcPr>
          <w:p w14:paraId="1ABB01EA" w14:textId="77777777" w:rsidR="00544E11" w:rsidRPr="00537128" w:rsidRDefault="00544E11" w:rsidP="00544E11">
            <w:pPr>
              <w:keepLines/>
              <w:tabs>
                <w:tab w:val="right" w:pos="1202"/>
              </w:tabs>
              <w:spacing w:after="0" w:line="240" w:lineRule="auto"/>
              <w:outlineLvl w:val="0"/>
              <w:rPr>
                <w:rFonts w:ascii="Calibri" w:eastAsia="Calibri" w:hAnsi="Calibri" w:cs="Arial"/>
                <w:b/>
                <w:bCs/>
                <w:sz w:val="18"/>
                <w:szCs w:val="18"/>
                <w:lang w:val="en-US"/>
              </w:rPr>
            </w:pPr>
            <w:bookmarkStart w:id="88" w:name="_Toc4057089"/>
            <w:r w:rsidRPr="00537128">
              <w:rPr>
                <w:rFonts w:ascii="Calibri" w:eastAsia="Calibri" w:hAnsi="Calibri" w:cs="Arial"/>
                <w:b/>
                <w:bCs/>
                <w:sz w:val="18"/>
                <w:szCs w:val="18"/>
                <w:lang w:val="en-US"/>
              </w:rPr>
              <w:t>Effect of foreign currency to cash and cash equivalents</w:t>
            </w:r>
            <w:bookmarkEnd w:id="88"/>
          </w:p>
        </w:tc>
        <w:tc>
          <w:tcPr>
            <w:tcW w:w="1271" w:type="dxa"/>
            <w:vAlign w:val="bottom"/>
          </w:tcPr>
          <w:p w14:paraId="1345351E" w14:textId="77777777" w:rsidR="00544E11" w:rsidRPr="00537128" w:rsidRDefault="00544E11" w:rsidP="00544E11">
            <w:pPr>
              <w:spacing w:after="0" w:line="240" w:lineRule="auto"/>
              <w:jc w:val="right"/>
              <w:rPr>
                <w:rFonts w:ascii="Calibri" w:eastAsia="Calibri" w:hAnsi="Calibri" w:cs="Arial"/>
                <w:b/>
                <w:bCs/>
                <w:sz w:val="18"/>
                <w:szCs w:val="18"/>
                <w:lang w:val="en-US"/>
              </w:rPr>
            </w:pPr>
          </w:p>
        </w:tc>
        <w:tc>
          <w:tcPr>
            <w:tcW w:w="1270" w:type="dxa"/>
            <w:shd w:val="clear" w:color="auto" w:fill="FFFFFF"/>
            <w:vAlign w:val="bottom"/>
          </w:tcPr>
          <w:p w14:paraId="611381D5" w14:textId="77777777" w:rsidR="00544E11" w:rsidRPr="00537128" w:rsidRDefault="00544E11" w:rsidP="00544E11">
            <w:pPr>
              <w:spacing w:after="0" w:line="240" w:lineRule="auto"/>
              <w:jc w:val="right"/>
              <w:rPr>
                <w:rFonts w:ascii="Calibri" w:eastAsia="Calibri" w:hAnsi="Calibri" w:cs="Arial"/>
                <w:b/>
                <w:bCs/>
                <w:sz w:val="18"/>
                <w:szCs w:val="18"/>
                <w:lang w:val="en-US"/>
              </w:rPr>
            </w:pPr>
          </w:p>
        </w:tc>
      </w:tr>
      <w:tr w:rsidR="008F1CD7" w:rsidRPr="00537128" w14:paraId="6570CCD2" w14:textId="77777777" w:rsidTr="00CE00C1">
        <w:trPr>
          <w:trHeight w:hRule="exact" w:val="204"/>
        </w:trPr>
        <w:tc>
          <w:tcPr>
            <w:tcW w:w="7060" w:type="dxa"/>
            <w:vAlign w:val="bottom"/>
          </w:tcPr>
          <w:p w14:paraId="01FDD827" w14:textId="77777777" w:rsidR="008F1CD7" w:rsidRPr="00537128" w:rsidRDefault="008F1CD7" w:rsidP="008F1CD7">
            <w:pPr>
              <w:keepLines/>
              <w:tabs>
                <w:tab w:val="right" w:pos="1202"/>
              </w:tabs>
              <w:spacing w:after="0" w:line="240" w:lineRule="auto"/>
              <w:outlineLvl w:val="0"/>
              <w:rPr>
                <w:rFonts w:ascii="Calibri" w:eastAsia="Calibri" w:hAnsi="Calibri" w:cs="Arial"/>
                <w:bCs/>
                <w:sz w:val="18"/>
                <w:szCs w:val="18"/>
                <w:lang w:val="en-US"/>
              </w:rPr>
            </w:pPr>
            <w:bookmarkStart w:id="89" w:name="_Toc4057090"/>
            <w:r w:rsidRPr="00537128">
              <w:rPr>
                <w:rFonts w:ascii="Calibri" w:eastAsia="Calibri" w:hAnsi="Calibri" w:cs="Arial"/>
                <w:sz w:val="18"/>
                <w:szCs w:val="18"/>
                <w:lang w:val="en-US"/>
              </w:rPr>
              <w:t>Net foreign exchange</w:t>
            </w:r>
            <w:bookmarkEnd w:id="89"/>
          </w:p>
        </w:tc>
        <w:tc>
          <w:tcPr>
            <w:tcW w:w="1271" w:type="dxa"/>
            <w:tcBorders>
              <w:bottom w:val="single" w:sz="4" w:space="0" w:color="auto"/>
            </w:tcBorders>
            <w:shd w:val="clear" w:color="auto" w:fill="FFFFFF"/>
            <w:vAlign w:val="bottom"/>
          </w:tcPr>
          <w:p w14:paraId="0259F39D" w14:textId="2A5AE669" w:rsidR="008F1CD7" w:rsidRPr="00537128" w:rsidRDefault="008F1CD7" w:rsidP="008F1CD7">
            <w:pPr>
              <w:keepLines/>
              <w:spacing w:after="0" w:line="240" w:lineRule="auto"/>
              <w:jc w:val="right"/>
              <w:rPr>
                <w:rFonts w:ascii="Calibri" w:eastAsia="Calibri" w:hAnsi="Calibri" w:cs="Arial"/>
                <w:sz w:val="18"/>
                <w:szCs w:val="18"/>
                <w:lang w:val="en-US"/>
              </w:rPr>
            </w:pPr>
            <w:r>
              <w:rPr>
                <w:rFonts w:cstheme="minorHAnsi"/>
                <w:bCs/>
                <w:color w:val="000000" w:themeColor="text1"/>
                <w:sz w:val="18"/>
                <w:szCs w:val="18"/>
              </w:rPr>
              <w:t>111</w:t>
            </w:r>
            <w:r w:rsidR="00172EFD">
              <w:rPr>
                <w:rFonts w:cstheme="minorHAnsi"/>
                <w:bCs/>
                <w:color w:val="000000" w:themeColor="text1"/>
                <w:sz w:val="18"/>
                <w:szCs w:val="18"/>
              </w:rPr>
              <w:t>,</w:t>
            </w:r>
            <w:r>
              <w:rPr>
                <w:rFonts w:cstheme="minorHAnsi"/>
                <w:bCs/>
                <w:color w:val="000000" w:themeColor="text1"/>
                <w:sz w:val="18"/>
                <w:szCs w:val="18"/>
              </w:rPr>
              <w:t>087</w:t>
            </w:r>
          </w:p>
        </w:tc>
        <w:tc>
          <w:tcPr>
            <w:tcW w:w="1270" w:type="dxa"/>
            <w:tcBorders>
              <w:bottom w:val="single" w:sz="4" w:space="0" w:color="auto"/>
            </w:tcBorders>
            <w:shd w:val="clear" w:color="auto" w:fill="FFFFFF"/>
            <w:vAlign w:val="bottom"/>
          </w:tcPr>
          <w:p w14:paraId="4FE37E4A" w14:textId="2DC03DBC" w:rsidR="008F1CD7" w:rsidRPr="00537128" w:rsidRDefault="008F1CD7" w:rsidP="008F1CD7">
            <w:pPr>
              <w:keepLines/>
              <w:spacing w:after="0" w:line="240" w:lineRule="auto"/>
              <w:jc w:val="right"/>
              <w:rPr>
                <w:rFonts w:ascii="Calibri" w:eastAsia="Calibri" w:hAnsi="Calibri" w:cs="Arial"/>
                <w:sz w:val="18"/>
                <w:szCs w:val="18"/>
                <w:lang w:val="en-US"/>
              </w:rPr>
            </w:pPr>
            <w:r>
              <w:rPr>
                <w:rFonts w:cstheme="minorHAnsi"/>
                <w:bCs/>
                <w:color w:val="000000" w:themeColor="text1"/>
                <w:sz w:val="18"/>
                <w:szCs w:val="18"/>
              </w:rPr>
              <w:t>70,680</w:t>
            </w:r>
          </w:p>
        </w:tc>
      </w:tr>
      <w:tr w:rsidR="008F1CD7" w:rsidRPr="00537128" w14:paraId="10CDBC17" w14:textId="77777777" w:rsidTr="00CE00C1">
        <w:trPr>
          <w:trHeight w:val="205"/>
        </w:trPr>
        <w:tc>
          <w:tcPr>
            <w:tcW w:w="7060" w:type="dxa"/>
            <w:vAlign w:val="bottom"/>
          </w:tcPr>
          <w:p w14:paraId="336E74B9" w14:textId="77777777" w:rsidR="008F1CD7" w:rsidRPr="00537128" w:rsidRDefault="008F1CD7" w:rsidP="008F1CD7">
            <w:pPr>
              <w:keepLines/>
              <w:tabs>
                <w:tab w:val="right" w:pos="1202"/>
              </w:tabs>
              <w:spacing w:after="0" w:line="240" w:lineRule="auto"/>
              <w:outlineLvl w:val="0"/>
              <w:rPr>
                <w:rFonts w:ascii="Calibri" w:eastAsia="Calibri" w:hAnsi="Calibri" w:cs="Arial"/>
                <w:b/>
                <w:spacing w:val="-3"/>
                <w:sz w:val="18"/>
                <w:szCs w:val="18"/>
                <w:lang w:val="en-US"/>
              </w:rPr>
            </w:pPr>
            <w:bookmarkStart w:id="90" w:name="_Toc4057091"/>
            <w:r w:rsidRPr="00537128">
              <w:rPr>
                <w:rFonts w:ascii="Calibri" w:eastAsia="Calibri" w:hAnsi="Calibri" w:cs="Arial"/>
                <w:b/>
                <w:bCs/>
                <w:sz w:val="18"/>
                <w:szCs w:val="18"/>
                <w:lang w:val="en-US"/>
              </w:rPr>
              <w:t>Net effect</w:t>
            </w:r>
            <w:bookmarkEnd w:id="90"/>
          </w:p>
        </w:tc>
        <w:tc>
          <w:tcPr>
            <w:tcW w:w="1271" w:type="dxa"/>
            <w:tcBorders>
              <w:top w:val="single" w:sz="4" w:space="0" w:color="auto"/>
            </w:tcBorders>
            <w:shd w:val="clear" w:color="auto" w:fill="FFFFFF"/>
            <w:vAlign w:val="bottom"/>
          </w:tcPr>
          <w:p w14:paraId="2F80AE48" w14:textId="2866BD2A" w:rsidR="008F1CD7" w:rsidRPr="00537128" w:rsidRDefault="008F1CD7" w:rsidP="008F1CD7">
            <w:pPr>
              <w:keepLines/>
              <w:tabs>
                <w:tab w:val="right" w:pos="1202"/>
              </w:tabs>
              <w:spacing w:after="0" w:line="240" w:lineRule="auto"/>
              <w:jc w:val="right"/>
              <w:outlineLvl w:val="0"/>
              <w:rPr>
                <w:rFonts w:ascii="Calibri" w:eastAsia="Calibri" w:hAnsi="Calibri" w:cs="Calibri"/>
                <w:b/>
                <w:spacing w:val="-3"/>
                <w:sz w:val="18"/>
                <w:szCs w:val="18"/>
                <w:lang w:val="en-US"/>
              </w:rPr>
            </w:pPr>
            <w:r>
              <w:rPr>
                <w:rFonts w:cstheme="minorHAnsi"/>
                <w:b/>
                <w:bCs/>
                <w:color w:val="000000" w:themeColor="text1"/>
                <w:sz w:val="18"/>
                <w:szCs w:val="18"/>
              </w:rPr>
              <w:t>111</w:t>
            </w:r>
            <w:r w:rsidR="00172EFD">
              <w:rPr>
                <w:rFonts w:cstheme="minorHAnsi"/>
                <w:b/>
                <w:bCs/>
                <w:color w:val="000000" w:themeColor="text1"/>
                <w:sz w:val="18"/>
                <w:szCs w:val="18"/>
              </w:rPr>
              <w:t>,</w:t>
            </w:r>
            <w:r>
              <w:rPr>
                <w:rFonts w:cstheme="minorHAnsi"/>
                <w:b/>
                <w:bCs/>
                <w:color w:val="000000" w:themeColor="text1"/>
                <w:sz w:val="18"/>
                <w:szCs w:val="18"/>
              </w:rPr>
              <w:t>087</w:t>
            </w:r>
          </w:p>
        </w:tc>
        <w:tc>
          <w:tcPr>
            <w:tcW w:w="1270" w:type="dxa"/>
            <w:tcBorders>
              <w:top w:val="single" w:sz="4" w:space="0" w:color="auto"/>
            </w:tcBorders>
            <w:shd w:val="clear" w:color="auto" w:fill="FFFFFF"/>
            <w:vAlign w:val="bottom"/>
          </w:tcPr>
          <w:p w14:paraId="76AAC829" w14:textId="6918C2F1" w:rsidR="008F1CD7" w:rsidRPr="00537128" w:rsidRDefault="008F1CD7" w:rsidP="008F1CD7">
            <w:pPr>
              <w:keepLines/>
              <w:tabs>
                <w:tab w:val="right" w:pos="1202"/>
              </w:tabs>
              <w:spacing w:after="0" w:line="240" w:lineRule="auto"/>
              <w:jc w:val="right"/>
              <w:outlineLvl w:val="0"/>
              <w:rPr>
                <w:rFonts w:ascii="Calibri" w:eastAsia="Calibri" w:hAnsi="Calibri" w:cs="Calibri"/>
                <w:b/>
                <w:spacing w:val="-3"/>
                <w:sz w:val="18"/>
                <w:szCs w:val="18"/>
                <w:lang w:val="en-US"/>
              </w:rPr>
            </w:pPr>
            <w:r>
              <w:rPr>
                <w:rFonts w:cstheme="minorHAnsi"/>
                <w:b/>
                <w:bCs/>
                <w:color w:val="000000" w:themeColor="text1"/>
                <w:sz w:val="18"/>
                <w:szCs w:val="18"/>
              </w:rPr>
              <w:t>70,680</w:t>
            </w:r>
          </w:p>
        </w:tc>
      </w:tr>
      <w:tr w:rsidR="008F1CD7" w:rsidRPr="00537128" w14:paraId="4CDED658" w14:textId="77777777" w:rsidTr="00CE00C1">
        <w:trPr>
          <w:trHeight w:val="205"/>
        </w:trPr>
        <w:tc>
          <w:tcPr>
            <w:tcW w:w="7060" w:type="dxa"/>
            <w:vAlign w:val="bottom"/>
          </w:tcPr>
          <w:p w14:paraId="3FB5871C" w14:textId="77777777" w:rsidR="008F1CD7" w:rsidRPr="00537128" w:rsidRDefault="008F1CD7" w:rsidP="008F1CD7">
            <w:pPr>
              <w:keepLines/>
              <w:tabs>
                <w:tab w:val="right" w:pos="1202"/>
              </w:tabs>
              <w:spacing w:after="0" w:line="240" w:lineRule="auto"/>
              <w:outlineLvl w:val="0"/>
              <w:rPr>
                <w:rFonts w:ascii="Calibri" w:eastAsia="Calibri" w:hAnsi="Calibri" w:cs="Arial"/>
                <w:b/>
                <w:bCs/>
                <w:sz w:val="18"/>
                <w:szCs w:val="18"/>
                <w:lang w:val="en-US"/>
              </w:rPr>
            </w:pPr>
          </w:p>
        </w:tc>
        <w:tc>
          <w:tcPr>
            <w:tcW w:w="1271" w:type="dxa"/>
            <w:tcBorders>
              <w:top w:val="single" w:sz="4" w:space="0" w:color="auto"/>
            </w:tcBorders>
            <w:shd w:val="clear" w:color="auto" w:fill="FFFFFF"/>
            <w:vAlign w:val="bottom"/>
          </w:tcPr>
          <w:p w14:paraId="320D2553" w14:textId="77777777" w:rsidR="008F1CD7" w:rsidRPr="00537128" w:rsidRDefault="008F1CD7" w:rsidP="008F1CD7">
            <w:pPr>
              <w:keepLines/>
              <w:tabs>
                <w:tab w:val="right" w:pos="1202"/>
              </w:tabs>
              <w:spacing w:after="0" w:line="240" w:lineRule="auto"/>
              <w:jc w:val="right"/>
              <w:outlineLvl w:val="0"/>
              <w:rPr>
                <w:rFonts w:ascii="Calibri" w:eastAsia="Calibri" w:hAnsi="Calibri" w:cs="Calibri"/>
                <w:b/>
                <w:spacing w:val="-3"/>
                <w:sz w:val="18"/>
                <w:szCs w:val="18"/>
                <w:lang w:val="en-US"/>
              </w:rPr>
            </w:pPr>
          </w:p>
        </w:tc>
        <w:tc>
          <w:tcPr>
            <w:tcW w:w="1270" w:type="dxa"/>
            <w:tcBorders>
              <w:top w:val="single" w:sz="4" w:space="0" w:color="auto"/>
            </w:tcBorders>
            <w:shd w:val="clear" w:color="auto" w:fill="FFFFFF"/>
            <w:vAlign w:val="bottom"/>
          </w:tcPr>
          <w:p w14:paraId="3D5DA710" w14:textId="77777777" w:rsidR="008F1CD7" w:rsidRPr="00537128" w:rsidRDefault="008F1CD7" w:rsidP="008F1CD7">
            <w:pPr>
              <w:keepLines/>
              <w:tabs>
                <w:tab w:val="right" w:pos="1202"/>
              </w:tabs>
              <w:spacing w:after="0" w:line="240" w:lineRule="auto"/>
              <w:jc w:val="right"/>
              <w:outlineLvl w:val="0"/>
              <w:rPr>
                <w:rFonts w:ascii="Calibri" w:eastAsia="Times New Roman" w:hAnsi="Calibri" w:cs="Calibri"/>
                <w:b/>
                <w:sz w:val="18"/>
                <w:szCs w:val="18"/>
                <w:lang w:val="en-US"/>
              </w:rPr>
            </w:pPr>
          </w:p>
        </w:tc>
      </w:tr>
      <w:tr w:rsidR="00DD703B" w:rsidRPr="00537128" w14:paraId="5ED7150A" w14:textId="77777777" w:rsidTr="00CE00C1">
        <w:trPr>
          <w:trHeight w:val="117"/>
        </w:trPr>
        <w:tc>
          <w:tcPr>
            <w:tcW w:w="7060" w:type="dxa"/>
            <w:vAlign w:val="bottom"/>
          </w:tcPr>
          <w:p w14:paraId="1BD1DD64" w14:textId="6D19128D" w:rsidR="00DD703B" w:rsidRPr="00045D6F" w:rsidRDefault="00DD703B" w:rsidP="00DD703B">
            <w:pPr>
              <w:keepLines/>
              <w:tabs>
                <w:tab w:val="right" w:pos="1202"/>
              </w:tabs>
              <w:spacing w:after="0" w:line="240" w:lineRule="auto"/>
              <w:outlineLvl w:val="0"/>
              <w:rPr>
                <w:rFonts w:ascii="Calibri" w:eastAsia="Calibri" w:hAnsi="Calibri" w:cs="Arial"/>
                <w:sz w:val="18"/>
                <w:szCs w:val="18"/>
                <w:lang w:val="en-US"/>
              </w:rPr>
            </w:pPr>
            <w:bookmarkStart w:id="91" w:name="_Toc4057094"/>
            <w:r w:rsidRPr="008F1CD7">
              <w:rPr>
                <w:rFonts w:ascii="Calibri" w:eastAsia="Calibri" w:hAnsi="Calibri" w:cs="Arial"/>
                <w:sz w:val="18"/>
                <w:szCs w:val="18"/>
                <w:lang w:val="en-US"/>
              </w:rPr>
              <w:t>Net</w:t>
            </w:r>
            <w:r w:rsidRPr="008F1CD7">
              <w:rPr>
                <w:sz w:val="18"/>
                <w:szCs w:val="18"/>
                <w:lang w:val="en-US"/>
              </w:rPr>
              <w:t xml:space="preserve"> (decrease)/</w:t>
            </w:r>
            <w:r w:rsidRPr="008F1CD7">
              <w:rPr>
                <w:rFonts w:ascii="Calibri" w:eastAsia="Calibri" w:hAnsi="Calibri" w:cs="Arial"/>
                <w:sz w:val="18"/>
                <w:szCs w:val="18"/>
                <w:lang w:val="en-US"/>
              </w:rPr>
              <w:t>increase</w:t>
            </w:r>
            <w:r w:rsidRPr="00045D6F">
              <w:rPr>
                <w:rFonts w:ascii="Calibri" w:eastAsia="Calibri" w:hAnsi="Calibri" w:cs="Arial"/>
                <w:sz w:val="18"/>
                <w:szCs w:val="18"/>
                <w:lang w:val="en-US"/>
              </w:rPr>
              <w:t xml:space="preserve"> in cash and cash equivalents</w:t>
            </w:r>
            <w:bookmarkEnd w:id="91"/>
          </w:p>
        </w:tc>
        <w:tc>
          <w:tcPr>
            <w:tcW w:w="1271" w:type="dxa"/>
            <w:shd w:val="clear" w:color="auto" w:fill="FFFFFF"/>
            <w:vAlign w:val="bottom"/>
          </w:tcPr>
          <w:p w14:paraId="5D26FCA0" w14:textId="5852A4D4" w:rsidR="00DD703B" w:rsidRPr="00537128" w:rsidRDefault="00DD703B" w:rsidP="00DD703B">
            <w:pPr>
              <w:keepLines/>
              <w:spacing w:after="0" w:line="240" w:lineRule="auto"/>
              <w:jc w:val="right"/>
              <w:rPr>
                <w:rFonts w:ascii="Calibri" w:eastAsia="Calibri" w:hAnsi="Calibri" w:cs="Arial"/>
                <w:sz w:val="18"/>
                <w:szCs w:val="18"/>
                <w:lang w:val="en-US"/>
              </w:rPr>
            </w:pPr>
            <w:r>
              <w:rPr>
                <w:rFonts w:cstheme="minorHAnsi"/>
                <w:color w:val="000000" w:themeColor="text1"/>
                <w:spacing w:val="-2"/>
                <w:sz w:val="18"/>
                <w:szCs w:val="18"/>
              </w:rPr>
              <w:t>(384</w:t>
            </w:r>
            <w:r w:rsidR="00172EFD">
              <w:rPr>
                <w:rFonts w:cstheme="minorHAnsi"/>
                <w:color w:val="000000" w:themeColor="text1"/>
                <w:spacing w:val="-2"/>
                <w:sz w:val="18"/>
                <w:szCs w:val="18"/>
              </w:rPr>
              <w:t>,</w:t>
            </w:r>
            <w:r>
              <w:rPr>
                <w:rFonts w:cstheme="minorHAnsi"/>
                <w:color w:val="000000" w:themeColor="text1"/>
                <w:spacing w:val="-2"/>
                <w:sz w:val="18"/>
                <w:szCs w:val="18"/>
              </w:rPr>
              <w:t>965)</w:t>
            </w:r>
          </w:p>
        </w:tc>
        <w:tc>
          <w:tcPr>
            <w:tcW w:w="1270" w:type="dxa"/>
            <w:shd w:val="clear" w:color="auto" w:fill="FFFFFF"/>
            <w:vAlign w:val="bottom"/>
          </w:tcPr>
          <w:p w14:paraId="3BB661EA" w14:textId="4B5F0DCF" w:rsidR="00DD703B" w:rsidRPr="00537128" w:rsidRDefault="00DD703B" w:rsidP="00DD703B">
            <w:pPr>
              <w:keepLines/>
              <w:spacing w:after="0" w:line="240" w:lineRule="auto"/>
              <w:jc w:val="right"/>
              <w:rPr>
                <w:rFonts w:ascii="Calibri" w:eastAsia="Calibri" w:hAnsi="Calibri" w:cs="Arial"/>
                <w:sz w:val="18"/>
                <w:szCs w:val="18"/>
                <w:lang w:val="en-US"/>
              </w:rPr>
            </w:pPr>
            <w:r>
              <w:rPr>
                <w:rFonts w:cstheme="minorHAnsi"/>
                <w:color w:val="000000" w:themeColor="text1"/>
                <w:spacing w:val="-2"/>
                <w:sz w:val="18"/>
                <w:szCs w:val="18"/>
              </w:rPr>
              <w:t>187,218</w:t>
            </w:r>
          </w:p>
        </w:tc>
      </w:tr>
      <w:tr w:rsidR="00DD703B" w:rsidRPr="00537128" w14:paraId="5EF6BC0E" w14:textId="77777777" w:rsidTr="00CE00C1">
        <w:trPr>
          <w:trHeight w:hRule="exact" w:val="170"/>
        </w:trPr>
        <w:tc>
          <w:tcPr>
            <w:tcW w:w="7060" w:type="dxa"/>
            <w:vAlign w:val="bottom"/>
          </w:tcPr>
          <w:p w14:paraId="7C4F01F6" w14:textId="77777777" w:rsidR="00DD703B" w:rsidRPr="008D5B31" w:rsidRDefault="00DD703B" w:rsidP="00DD703B">
            <w:pPr>
              <w:keepLines/>
              <w:tabs>
                <w:tab w:val="right" w:pos="1202"/>
              </w:tabs>
              <w:spacing w:after="0" w:line="240" w:lineRule="auto"/>
              <w:outlineLvl w:val="0"/>
              <w:rPr>
                <w:rFonts w:ascii="Calibri" w:eastAsia="Calibri" w:hAnsi="Calibri" w:cs="Arial"/>
                <w:sz w:val="18"/>
                <w:szCs w:val="18"/>
                <w:lang w:val="en-US"/>
              </w:rPr>
            </w:pPr>
          </w:p>
        </w:tc>
        <w:tc>
          <w:tcPr>
            <w:tcW w:w="1271" w:type="dxa"/>
            <w:shd w:val="clear" w:color="auto" w:fill="FFFFFF"/>
            <w:vAlign w:val="bottom"/>
          </w:tcPr>
          <w:p w14:paraId="7E0B38B1" w14:textId="77777777" w:rsidR="00DD703B" w:rsidRPr="00537128" w:rsidRDefault="00DD703B" w:rsidP="00DD703B">
            <w:pPr>
              <w:keepLines/>
              <w:spacing w:after="0" w:line="240" w:lineRule="auto"/>
              <w:jc w:val="right"/>
              <w:rPr>
                <w:rFonts w:ascii="Calibri" w:eastAsia="Calibri" w:hAnsi="Calibri" w:cs="Arial"/>
                <w:sz w:val="18"/>
                <w:szCs w:val="18"/>
                <w:lang w:val="en-US"/>
              </w:rPr>
            </w:pPr>
          </w:p>
        </w:tc>
        <w:tc>
          <w:tcPr>
            <w:tcW w:w="1270" w:type="dxa"/>
            <w:vAlign w:val="bottom"/>
          </w:tcPr>
          <w:p w14:paraId="0F8AE819" w14:textId="77777777" w:rsidR="00DD703B" w:rsidRPr="00537128" w:rsidRDefault="00DD703B" w:rsidP="00DD703B">
            <w:pPr>
              <w:keepLines/>
              <w:spacing w:after="0" w:line="240" w:lineRule="auto"/>
              <w:jc w:val="right"/>
              <w:rPr>
                <w:rFonts w:ascii="Calibri" w:eastAsia="Calibri" w:hAnsi="Calibri" w:cs="Arial"/>
                <w:sz w:val="18"/>
                <w:szCs w:val="18"/>
                <w:lang w:val="en-US"/>
              </w:rPr>
            </w:pPr>
          </w:p>
        </w:tc>
      </w:tr>
      <w:tr w:rsidR="00DD703B" w:rsidRPr="00537128" w14:paraId="72C2F9D2" w14:textId="77777777" w:rsidTr="00CE00C1">
        <w:trPr>
          <w:trHeight w:val="117"/>
        </w:trPr>
        <w:tc>
          <w:tcPr>
            <w:tcW w:w="7060" w:type="dxa"/>
            <w:vAlign w:val="bottom"/>
          </w:tcPr>
          <w:p w14:paraId="3A994F09" w14:textId="4C42C34C" w:rsidR="00DD703B" w:rsidRPr="00B057E5" w:rsidRDefault="00DD703B" w:rsidP="00DD703B">
            <w:pPr>
              <w:keepLines/>
              <w:tabs>
                <w:tab w:val="right" w:pos="1202"/>
              </w:tabs>
              <w:spacing w:after="0" w:line="240" w:lineRule="auto"/>
              <w:outlineLvl w:val="0"/>
              <w:rPr>
                <w:rFonts w:ascii="Calibri" w:eastAsia="Calibri" w:hAnsi="Calibri" w:cs="Arial"/>
                <w:sz w:val="18"/>
                <w:szCs w:val="18"/>
                <w:lang w:val="en-US"/>
              </w:rPr>
            </w:pPr>
            <w:bookmarkStart w:id="92" w:name="_Toc4057095"/>
            <w:r w:rsidRPr="008D5B31">
              <w:rPr>
                <w:rFonts w:ascii="Calibri" w:eastAsia="Calibri" w:hAnsi="Calibri" w:cs="Arial"/>
                <w:sz w:val="18"/>
                <w:szCs w:val="18"/>
                <w:lang w:val="en-US"/>
              </w:rPr>
              <w:t xml:space="preserve">Cash and cash equivalents balance as </w:t>
            </w:r>
            <w:r w:rsidRPr="00E167A5">
              <w:rPr>
                <w:rFonts w:ascii="Calibri" w:eastAsia="Calibri" w:hAnsi="Calibri" w:cs="Arial"/>
                <w:sz w:val="18"/>
                <w:szCs w:val="18"/>
                <w:lang w:val="en-US"/>
              </w:rPr>
              <w:t>of 1 January, before impairment</w:t>
            </w:r>
            <w:bookmarkEnd w:id="92"/>
          </w:p>
        </w:tc>
        <w:tc>
          <w:tcPr>
            <w:tcW w:w="1271" w:type="dxa"/>
            <w:shd w:val="clear" w:color="auto" w:fill="FFFFFF"/>
            <w:vAlign w:val="bottom"/>
          </w:tcPr>
          <w:p w14:paraId="2679DFF7" w14:textId="6A2CAB0E" w:rsidR="00DD703B" w:rsidRPr="00537128" w:rsidRDefault="00DD703B" w:rsidP="00DD703B">
            <w:pPr>
              <w:keepLines/>
              <w:spacing w:after="0" w:line="240" w:lineRule="auto"/>
              <w:jc w:val="right"/>
              <w:rPr>
                <w:rFonts w:ascii="Calibri" w:eastAsia="Calibri" w:hAnsi="Calibri" w:cs="Arial"/>
                <w:sz w:val="18"/>
                <w:szCs w:val="18"/>
                <w:lang w:val="en-US"/>
              </w:rPr>
            </w:pPr>
            <w:r>
              <w:rPr>
                <w:rFonts w:cstheme="minorHAnsi"/>
                <w:color w:val="000000" w:themeColor="text1"/>
                <w:spacing w:val="-2"/>
                <w:sz w:val="18"/>
                <w:szCs w:val="18"/>
              </w:rPr>
              <w:t>1</w:t>
            </w:r>
            <w:r w:rsidR="00172EFD">
              <w:rPr>
                <w:rFonts w:cstheme="minorHAnsi"/>
                <w:color w:val="000000" w:themeColor="text1"/>
                <w:spacing w:val="-2"/>
                <w:sz w:val="18"/>
                <w:szCs w:val="18"/>
              </w:rPr>
              <w:t>,</w:t>
            </w:r>
            <w:r>
              <w:rPr>
                <w:rFonts w:cstheme="minorHAnsi"/>
                <w:color w:val="000000" w:themeColor="text1"/>
                <w:spacing w:val="-2"/>
                <w:sz w:val="18"/>
                <w:szCs w:val="18"/>
              </w:rPr>
              <w:t>963</w:t>
            </w:r>
            <w:r w:rsidR="00172EFD">
              <w:rPr>
                <w:rFonts w:cstheme="minorHAnsi"/>
                <w:color w:val="000000" w:themeColor="text1"/>
                <w:spacing w:val="-2"/>
                <w:sz w:val="18"/>
                <w:szCs w:val="18"/>
              </w:rPr>
              <w:t>,</w:t>
            </w:r>
            <w:r>
              <w:rPr>
                <w:rFonts w:cstheme="minorHAnsi"/>
                <w:color w:val="000000" w:themeColor="text1"/>
                <w:spacing w:val="-2"/>
                <w:sz w:val="18"/>
                <w:szCs w:val="18"/>
              </w:rPr>
              <w:t>795</w:t>
            </w:r>
          </w:p>
        </w:tc>
        <w:tc>
          <w:tcPr>
            <w:tcW w:w="1270" w:type="dxa"/>
            <w:tcBorders>
              <w:top w:val="nil"/>
              <w:left w:val="nil"/>
              <w:bottom w:val="nil"/>
              <w:right w:val="nil"/>
            </w:tcBorders>
            <w:shd w:val="clear" w:color="auto" w:fill="FFFFFF"/>
            <w:vAlign w:val="bottom"/>
          </w:tcPr>
          <w:p w14:paraId="2C91DC73" w14:textId="0A80873D" w:rsidR="00DD703B" w:rsidRPr="00537128" w:rsidRDefault="00DD703B" w:rsidP="00DD703B">
            <w:pPr>
              <w:keepLines/>
              <w:spacing w:after="0" w:line="240" w:lineRule="auto"/>
              <w:jc w:val="right"/>
              <w:rPr>
                <w:rFonts w:ascii="Calibri" w:eastAsia="Calibri" w:hAnsi="Calibri" w:cs="Arial"/>
                <w:sz w:val="18"/>
                <w:szCs w:val="18"/>
                <w:lang w:val="en-US"/>
              </w:rPr>
            </w:pPr>
            <w:r>
              <w:rPr>
                <w:rFonts w:cstheme="minorHAnsi"/>
                <w:color w:val="000000" w:themeColor="text1"/>
                <w:spacing w:val="-2"/>
                <w:sz w:val="18"/>
                <w:szCs w:val="18"/>
              </w:rPr>
              <w:t>1,660,768</w:t>
            </w:r>
          </w:p>
        </w:tc>
      </w:tr>
      <w:tr w:rsidR="00DD703B" w:rsidRPr="00537128" w14:paraId="45248819" w14:textId="77777777" w:rsidTr="00CE00C1">
        <w:trPr>
          <w:trHeight w:val="117"/>
        </w:trPr>
        <w:tc>
          <w:tcPr>
            <w:tcW w:w="7060" w:type="dxa"/>
            <w:vAlign w:val="bottom"/>
          </w:tcPr>
          <w:p w14:paraId="3CF6E985" w14:textId="3652AE7F" w:rsidR="00DD703B" w:rsidRPr="008D5B31" w:rsidRDefault="00DD703B" w:rsidP="00DD703B">
            <w:pPr>
              <w:keepLines/>
              <w:tabs>
                <w:tab w:val="right" w:pos="1202"/>
              </w:tabs>
              <w:spacing w:after="0" w:line="240" w:lineRule="auto"/>
              <w:outlineLvl w:val="0"/>
              <w:rPr>
                <w:rFonts w:ascii="Calibri" w:eastAsia="Calibri" w:hAnsi="Calibri" w:cs="Arial"/>
                <w:sz w:val="18"/>
                <w:szCs w:val="18"/>
                <w:lang w:val="en-US"/>
              </w:rPr>
            </w:pPr>
            <w:bookmarkStart w:id="93" w:name="_Toc4057096"/>
            <w:r w:rsidRPr="008D5B31">
              <w:rPr>
                <w:rFonts w:ascii="Calibri" w:eastAsia="Calibri" w:hAnsi="Calibri" w:cs="Arial"/>
                <w:sz w:val="18"/>
                <w:szCs w:val="18"/>
                <w:lang w:val="en-US"/>
              </w:rPr>
              <w:t xml:space="preserve">Net </w:t>
            </w:r>
            <w:r>
              <w:rPr>
                <w:rFonts w:ascii="Calibri" w:eastAsia="Calibri" w:hAnsi="Calibri" w:cs="Arial"/>
                <w:sz w:val="18"/>
                <w:szCs w:val="18"/>
                <w:lang w:val="en-US"/>
              </w:rPr>
              <w:t>(decrease)/</w:t>
            </w:r>
            <w:r w:rsidRPr="00A1123E">
              <w:rPr>
                <w:rFonts w:ascii="Calibri" w:eastAsia="Calibri" w:hAnsi="Calibri" w:cs="Arial"/>
                <w:sz w:val="18"/>
                <w:szCs w:val="18"/>
                <w:lang w:val="en-US"/>
              </w:rPr>
              <w:t>increase</w:t>
            </w:r>
            <w:r w:rsidRPr="008D5B31">
              <w:rPr>
                <w:rFonts w:ascii="Calibri" w:eastAsia="Calibri" w:hAnsi="Calibri" w:cs="Arial"/>
                <w:sz w:val="18"/>
                <w:szCs w:val="18"/>
                <w:lang w:val="en-US"/>
              </w:rPr>
              <w:t xml:space="preserve"> in cash and cash equivalents</w:t>
            </w:r>
            <w:bookmarkEnd w:id="93"/>
          </w:p>
        </w:tc>
        <w:tc>
          <w:tcPr>
            <w:tcW w:w="1271" w:type="dxa"/>
            <w:tcBorders>
              <w:bottom w:val="single" w:sz="4" w:space="0" w:color="auto"/>
            </w:tcBorders>
            <w:shd w:val="clear" w:color="auto" w:fill="FFFFFF"/>
            <w:vAlign w:val="bottom"/>
          </w:tcPr>
          <w:p w14:paraId="67697373" w14:textId="1825915F" w:rsidR="00DD703B" w:rsidRPr="00537128" w:rsidRDefault="00DD703B" w:rsidP="00DD703B">
            <w:pPr>
              <w:keepLines/>
              <w:spacing w:after="0" w:line="240" w:lineRule="auto"/>
              <w:jc w:val="right"/>
              <w:rPr>
                <w:rFonts w:ascii="Calibri" w:eastAsia="Calibri" w:hAnsi="Calibri" w:cs="Arial"/>
                <w:sz w:val="18"/>
                <w:szCs w:val="18"/>
                <w:lang w:val="en-US"/>
              </w:rPr>
            </w:pPr>
            <w:r>
              <w:rPr>
                <w:rFonts w:cstheme="minorHAnsi"/>
                <w:color w:val="000000" w:themeColor="text1"/>
                <w:spacing w:val="-2"/>
                <w:sz w:val="18"/>
                <w:szCs w:val="18"/>
              </w:rPr>
              <w:t>(384</w:t>
            </w:r>
            <w:r w:rsidR="00172EFD">
              <w:rPr>
                <w:rFonts w:cstheme="minorHAnsi"/>
                <w:color w:val="000000" w:themeColor="text1"/>
                <w:spacing w:val="-2"/>
                <w:sz w:val="18"/>
                <w:szCs w:val="18"/>
              </w:rPr>
              <w:t>,</w:t>
            </w:r>
            <w:r>
              <w:rPr>
                <w:rFonts w:cstheme="minorHAnsi"/>
                <w:color w:val="000000" w:themeColor="text1"/>
                <w:spacing w:val="-2"/>
                <w:sz w:val="18"/>
                <w:szCs w:val="18"/>
              </w:rPr>
              <w:t>965)</w:t>
            </w:r>
          </w:p>
        </w:tc>
        <w:tc>
          <w:tcPr>
            <w:tcW w:w="1270" w:type="dxa"/>
            <w:tcBorders>
              <w:top w:val="nil"/>
              <w:left w:val="nil"/>
              <w:bottom w:val="single" w:sz="4" w:space="0" w:color="auto"/>
              <w:right w:val="nil"/>
            </w:tcBorders>
            <w:shd w:val="clear" w:color="auto" w:fill="FFFFFF"/>
            <w:vAlign w:val="bottom"/>
          </w:tcPr>
          <w:p w14:paraId="537EDE57" w14:textId="0D20070B" w:rsidR="00DD703B" w:rsidRPr="00537128" w:rsidRDefault="00DD703B" w:rsidP="00DD703B">
            <w:pPr>
              <w:keepLines/>
              <w:spacing w:after="0" w:line="240" w:lineRule="auto"/>
              <w:jc w:val="right"/>
              <w:rPr>
                <w:rFonts w:ascii="Calibri" w:eastAsia="Calibri" w:hAnsi="Calibri" w:cs="Arial"/>
                <w:sz w:val="18"/>
                <w:szCs w:val="18"/>
                <w:lang w:val="en-US"/>
              </w:rPr>
            </w:pPr>
            <w:r>
              <w:rPr>
                <w:rFonts w:cstheme="minorHAnsi"/>
                <w:color w:val="000000" w:themeColor="text1"/>
                <w:spacing w:val="-2"/>
                <w:sz w:val="18"/>
                <w:szCs w:val="18"/>
              </w:rPr>
              <w:t>187,218</w:t>
            </w:r>
          </w:p>
        </w:tc>
      </w:tr>
      <w:tr w:rsidR="00DD703B" w:rsidRPr="00537128" w14:paraId="66663E20" w14:textId="77777777" w:rsidTr="00CE00C1">
        <w:trPr>
          <w:trHeight w:val="175"/>
        </w:trPr>
        <w:tc>
          <w:tcPr>
            <w:tcW w:w="7060" w:type="dxa"/>
            <w:vAlign w:val="bottom"/>
          </w:tcPr>
          <w:p w14:paraId="2585EE6A" w14:textId="745865F2" w:rsidR="00DD703B" w:rsidRPr="00537128" w:rsidRDefault="00DD703B" w:rsidP="00DD703B">
            <w:pPr>
              <w:keepLines/>
              <w:tabs>
                <w:tab w:val="right" w:pos="1202"/>
              </w:tabs>
              <w:spacing w:after="0" w:line="240" w:lineRule="auto"/>
              <w:outlineLvl w:val="0"/>
              <w:rPr>
                <w:rFonts w:ascii="Calibri" w:eastAsia="Calibri" w:hAnsi="Calibri" w:cs="Arial"/>
                <w:b/>
                <w:bCs/>
                <w:sz w:val="18"/>
                <w:szCs w:val="18"/>
                <w:lang w:val="en-US"/>
              </w:rPr>
            </w:pPr>
            <w:bookmarkStart w:id="94" w:name="_Toc4057097"/>
            <w:r w:rsidRPr="00537128">
              <w:rPr>
                <w:rFonts w:ascii="Calibri" w:eastAsia="Calibri" w:hAnsi="Calibri" w:cs="Arial"/>
                <w:b/>
                <w:bCs/>
                <w:sz w:val="18"/>
                <w:szCs w:val="18"/>
                <w:lang w:val="en-US"/>
              </w:rPr>
              <w:t xml:space="preserve">Cash and cash equivalents balance as of 31 March before </w:t>
            </w:r>
            <w:r w:rsidRPr="008D5B31">
              <w:rPr>
                <w:rFonts w:ascii="Calibri" w:eastAsia="Calibri" w:hAnsi="Calibri" w:cs="Arial"/>
                <w:b/>
                <w:bCs/>
                <w:sz w:val="18"/>
                <w:szCs w:val="18"/>
                <w:lang w:val="en-US"/>
              </w:rPr>
              <w:t xml:space="preserve">impairment                           </w:t>
            </w:r>
            <w:bookmarkEnd w:id="94"/>
            <w:r w:rsidRPr="00A1123E">
              <w:rPr>
                <w:rFonts w:ascii="Calibri" w:eastAsia="Calibri" w:hAnsi="Calibri" w:cs="Arial"/>
                <w:b/>
                <w:bCs/>
                <w:sz w:val="18"/>
                <w:szCs w:val="18"/>
                <w:lang w:val="en-US"/>
              </w:rPr>
              <w:t>9</w:t>
            </w:r>
          </w:p>
        </w:tc>
        <w:tc>
          <w:tcPr>
            <w:tcW w:w="1271" w:type="dxa"/>
            <w:tcBorders>
              <w:top w:val="single" w:sz="4" w:space="0" w:color="auto"/>
              <w:bottom w:val="single" w:sz="12" w:space="0" w:color="auto"/>
            </w:tcBorders>
            <w:shd w:val="clear" w:color="auto" w:fill="FFFFFF"/>
            <w:vAlign w:val="bottom"/>
          </w:tcPr>
          <w:p w14:paraId="1E182F5A" w14:textId="37992F6B" w:rsidR="00DD703B" w:rsidRPr="00537128" w:rsidRDefault="00DD703B" w:rsidP="00DD703B">
            <w:pPr>
              <w:keepLines/>
              <w:spacing w:after="0" w:line="240" w:lineRule="auto"/>
              <w:jc w:val="right"/>
              <w:rPr>
                <w:rFonts w:ascii="Calibri" w:eastAsia="Calibri" w:hAnsi="Calibri" w:cs="Arial"/>
                <w:b/>
                <w:sz w:val="18"/>
                <w:szCs w:val="18"/>
                <w:lang w:val="en-US"/>
              </w:rPr>
            </w:pPr>
            <w:r>
              <w:rPr>
                <w:rFonts w:cstheme="minorHAnsi"/>
                <w:b/>
                <w:bCs/>
                <w:color w:val="000000" w:themeColor="text1"/>
                <w:spacing w:val="-2"/>
                <w:sz w:val="18"/>
                <w:szCs w:val="18"/>
              </w:rPr>
              <w:t>1</w:t>
            </w:r>
            <w:r w:rsidR="00172EFD">
              <w:rPr>
                <w:rFonts w:cstheme="minorHAnsi"/>
                <w:b/>
                <w:bCs/>
                <w:color w:val="000000" w:themeColor="text1"/>
                <w:spacing w:val="-2"/>
                <w:sz w:val="18"/>
                <w:szCs w:val="18"/>
              </w:rPr>
              <w:t>,</w:t>
            </w:r>
            <w:r>
              <w:rPr>
                <w:rFonts w:cstheme="minorHAnsi"/>
                <w:b/>
                <w:bCs/>
                <w:color w:val="000000" w:themeColor="text1"/>
                <w:spacing w:val="-2"/>
                <w:sz w:val="18"/>
                <w:szCs w:val="18"/>
              </w:rPr>
              <w:t>578</w:t>
            </w:r>
            <w:r w:rsidR="00172EFD">
              <w:rPr>
                <w:rFonts w:cstheme="minorHAnsi"/>
                <w:b/>
                <w:bCs/>
                <w:color w:val="000000" w:themeColor="text1"/>
                <w:spacing w:val="-2"/>
                <w:sz w:val="18"/>
                <w:szCs w:val="18"/>
              </w:rPr>
              <w:t>,</w:t>
            </w:r>
            <w:r>
              <w:rPr>
                <w:rFonts w:cstheme="minorHAnsi"/>
                <w:b/>
                <w:bCs/>
                <w:color w:val="000000" w:themeColor="text1"/>
                <w:spacing w:val="-2"/>
                <w:sz w:val="18"/>
                <w:szCs w:val="18"/>
              </w:rPr>
              <w:t>830</w:t>
            </w:r>
          </w:p>
        </w:tc>
        <w:tc>
          <w:tcPr>
            <w:tcW w:w="1270" w:type="dxa"/>
            <w:tcBorders>
              <w:top w:val="single" w:sz="4" w:space="0" w:color="auto"/>
              <w:bottom w:val="single" w:sz="12" w:space="0" w:color="auto"/>
            </w:tcBorders>
            <w:shd w:val="clear" w:color="auto" w:fill="FFFFFF"/>
            <w:vAlign w:val="bottom"/>
          </w:tcPr>
          <w:p w14:paraId="20DD572E" w14:textId="3DCD3CC4" w:rsidR="00DD703B" w:rsidRPr="00537128" w:rsidRDefault="00DD703B" w:rsidP="00DD703B">
            <w:pPr>
              <w:keepLines/>
              <w:tabs>
                <w:tab w:val="right" w:pos="1202"/>
              </w:tabs>
              <w:spacing w:after="0" w:line="240" w:lineRule="auto"/>
              <w:jc w:val="right"/>
              <w:outlineLvl w:val="0"/>
              <w:rPr>
                <w:rFonts w:ascii="Calibri" w:eastAsia="Times New Roman" w:hAnsi="Calibri" w:cs="Calibri"/>
                <w:b/>
                <w:sz w:val="18"/>
                <w:szCs w:val="18"/>
                <w:lang w:val="en-US"/>
              </w:rPr>
            </w:pPr>
            <w:r>
              <w:rPr>
                <w:rFonts w:cstheme="minorHAnsi"/>
                <w:b/>
                <w:bCs/>
                <w:color w:val="000000" w:themeColor="text1"/>
                <w:spacing w:val="-2"/>
                <w:sz w:val="18"/>
                <w:szCs w:val="18"/>
              </w:rPr>
              <w:t>1,847,986</w:t>
            </w:r>
          </w:p>
        </w:tc>
      </w:tr>
      <w:tr w:rsidR="00DD703B" w:rsidRPr="00537128" w14:paraId="1E1A1CA2" w14:textId="77777777" w:rsidTr="00CE00C1">
        <w:trPr>
          <w:trHeight w:val="258"/>
        </w:trPr>
        <w:tc>
          <w:tcPr>
            <w:tcW w:w="7060" w:type="dxa"/>
            <w:vAlign w:val="bottom"/>
          </w:tcPr>
          <w:p w14:paraId="7B6A3739" w14:textId="77777777" w:rsidR="00DD703B" w:rsidRPr="00537128" w:rsidRDefault="00DD703B" w:rsidP="00DD703B">
            <w:pPr>
              <w:keepLines/>
              <w:tabs>
                <w:tab w:val="right" w:pos="1202"/>
              </w:tabs>
              <w:spacing w:after="0" w:line="240" w:lineRule="auto"/>
              <w:outlineLvl w:val="0"/>
              <w:rPr>
                <w:rFonts w:ascii="Calibri" w:eastAsia="Calibri" w:hAnsi="Calibri" w:cs="Arial"/>
                <w:sz w:val="18"/>
                <w:szCs w:val="18"/>
                <w:lang w:val="en-US"/>
              </w:rPr>
            </w:pPr>
            <w:bookmarkStart w:id="95" w:name="_Toc4057100"/>
            <w:r w:rsidRPr="00537128">
              <w:rPr>
                <w:rFonts w:ascii="Calibri" w:eastAsia="Calibri" w:hAnsi="Calibri" w:cs="Arial"/>
                <w:b/>
                <w:sz w:val="18"/>
                <w:szCs w:val="18"/>
                <w:lang w:val="en-US"/>
              </w:rPr>
              <w:t>Additional note - Operational cash flows</w:t>
            </w:r>
            <w:bookmarkEnd w:id="95"/>
          </w:p>
        </w:tc>
        <w:tc>
          <w:tcPr>
            <w:tcW w:w="1271" w:type="dxa"/>
            <w:vAlign w:val="bottom"/>
          </w:tcPr>
          <w:p w14:paraId="34D59199" w14:textId="77777777" w:rsidR="00DD703B" w:rsidRPr="00537128" w:rsidRDefault="00DD703B" w:rsidP="00DD703B">
            <w:pPr>
              <w:keepLines/>
              <w:spacing w:after="0" w:line="240" w:lineRule="auto"/>
              <w:jc w:val="right"/>
              <w:rPr>
                <w:rFonts w:ascii="Calibri" w:eastAsia="Calibri" w:hAnsi="Calibri" w:cs="Arial"/>
                <w:b/>
                <w:position w:val="4"/>
                <w:sz w:val="18"/>
                <w:szCs w:val="18"/>
                <w:lang w:val="en-US"/>
              </w:rPr>
            </w:pPr>
          </w:p>
        </w:tc>
        <w:tc>
          <w:tcPr>
            <w:tcW w:w="1270" w:type="dxa"/>
            <w:vAlign w:val="bottom"/>
          </w:tcPr>
          <w:p w14:paraId="003F7938" w14:textId="77777777" w:rsidR="00DD703B" w:rsidRPr="00537128" w:rsidRDefault="00DD703B" w:rsidP="00DD703B">
            <w:pPr>
              <w:keepLines/>
              <w:spacing w:after="0" w:line="240" w:lineRule="auto"/>
              <w:jc w:val="right"/>
              <w:rPr>
                <w:rFonts w:ascii="Calibri" w:eastAsia="Calibri" w:hAnsi="Calibri" w:cs="Arial"/>
                <w:b/>
                <w:position w:val="4"/>
                <w:sz w:val="18"/>
                <w:szCs w:val="18"/>
                <w:lang w:val="en-US"/>
              </w:rPr>
            </w:pPr>
          </w:p>
        </w:tc>
      </w:tr>
      <w:tr w:rsidR="00172EFD" w:rsidRPr="00537128" w14:paraId="0D623203" w14:textId="77777777" w:rsidTr="005E34E6">
        <w:trPr>
          <w:trHeight w:hRule="exact" w:val="219"/>
        </w:trPr>
        <w:tc>
          <w:tcPr>
            <w:tcW w:w="7060" w:type="dxa"/>
            <w:vAlign w:val="bottom"/>
          </w:tcPr>
          <w:p w14:paraId="6AC92AAC" w14:textId="77777777" w:rsidR="00172EFD" w:rsidRPr="00537128" w:rsidRDefault="00172EFD" w:rsidP="00172EFD">
            <w:pPr>
              <w:keepLines/>
              <w:tabs>
                <w:tab w:val="left" w:pos="392"/>
                <w:tab w:val="decimal" w:pos="1202"/>
              </w:tabs>
              <w:spacing w:after="0" w:line="240" w:lineRule="auto"/>
              <w:rPr>
                <w:rFonts w:ascii="Calibri" w:eastAsia="Calibri" w:hAnsi="Calibri" w:cs="Arial"/>
                <w:position w:val="4"/>
                <w:sz w:val="18"/>
                <w:szCs w:val="18"/>
                <w:lang w:val="en-US"/>
              </w:rPr>
            </w:pPr>
            <w:r w:rsidRPr="00537128">
              <w:rPr>
                <w:rFonts w:ascii="Calibri" w:eastAsia="Calibri" w:hAnsi="Calibri" w:cs="Arial"/>
                <w:bCs/>
                <w:sz w:val="18"/>
                <w:szCs w:val="18"/>
                <w:lang w:val="en-US"/>
              </w:rPr>
              <w:t>Interest paid</w:t>
            </w:r>
          </w:p>
        </w:tc>
        <w:tc>
          <w:tcPr>
            <w:tcW w:w="1271" w:type="dxa"/>
            <w:vAlign w:val="bottom"/>
          </w:tcPr>
          <w:p w14:paraId="4276FD13" w14:textId="76AE8973" w:rsidR="00172EFD" w:rsidRPr="000C6FD7" w:rsidRDefault="000C6FD7" w:rsidP="00172EFD">
            <w:pPr>
              <w:keepLines/>
              <w:spacing w:after="0" w:line="240" w:lineRule="auto"/>
              <w:jc w:val="right"/>
              <w:rPr>
                <w:rFonts w:ascii="Calibri" w:eastAsia="Calibri" w:hAnsi="Calibri" w:cs="Arial"/>
                <w:bCs/>
                <w:sz w:val="18"/>
                <w:szCs w:val="18"/>
                <w:lang w:val="en-US"/>
              </w:rPr>
            </w:pPr>
            <w:r w:rsidRPr="000C6FD7">
              <w:rPr>
                <w:bCs/>
                <w:color w:val="000000" w:themeColor="text1"/>
                <w:sz w:val="18"/>
                <w:szCs w:val="18"/>
              </w:rPr>
              <w:t>37,426</w:t>
            </w:r>
          </w:p>
        </w:tc>
        <w:tc>
          <w:tcPr>
            <w:tcW w:w="1270" w:type="dxa"/>
            <w:tcBorders>
              <w:top w:val="nil"/>
              <w:left w:val="nil"/>
              <w:bottom w:val="nil"/>
              <w:right w:val="nil"/>
            </w:tcBorders>
            <w:shd w:val="clear" w:color="auto" w:fill="FFFFFF"/>
            <w:vAlign w:val="bottom"/>
          </w:tcPr>
          <w:p w14:paraId="69D78DA7" w14:textId="1EA68A4A" w:rsidR="00172EFD" w:rsidRPr="00537128" w:rsidRDefault="00172EFD" w:rsidP="00172EFD">
            <w:pPr>
              <w:keepLines/>
              <w:spacing w:after="0" w:line="240" w:lineRule="auto"/>
              <w:jc w:val="right"/>
              <w:rPr>
                <w:rFonts w:ascii="Calibri" w:eastAsia="Calibri" w:hAnsi="Calibri" w:cs="Arial"/>
                <w:sz w:val="18"/>
                <w:szCs w:val="18"/>
                <w:lang w:val="en-US"/>
              </w:rPr>
            </w:pPr>
            <w:r>
              <w:rPr>
                <w:color w:val="000000" w:themeColor="text1"/>
                <w:sz w:val="18"/>
                <w:szCs w:val="18"/>
              </w:rPr>
              <w:t>39,054</w:t>
            </w:r>
          </w:p>
        </w:tc>
      </w:tr>
      <w:tr w:rsidR="00172EFD" w:rsidRPr="00537128" w14:paraId="1E61897F" w14:textId="77777777" w:rsidTr="005E34E6">
        <w:trPr>
          <w:trHeight w:hRule="exact" w:val="219"/>
        </w:trPr>
        <w:tc>
          <w:tcPr>
            <w:tcW w:w="7060" w:type="dxa"/>
            <w:vAlign w:val="bottom"/>
          </w:tcPr>
          <w:p w14:paraId="0B25579D" w14:textId="77777777" w:rsidR="00172EFD" w:rsidRPr="00537128" w:rsidRDefault="00172EFD" w:rsidP="00172EFD">
            <w:pPr>
              <w:keepLines/>
              <w:tabs>
                <w:tab w:val="decimal" w:pos="1202"/>
              </w:tabs>
              <w:spacing w:after="0" w:line="240" w:lineRule="auto"/>
              <w:rPr>
                <w:rFonts w:ascii="Calibri" w:eastAsia="Calibri" w:hAnsi="Calibri" w:cs="Arial"/>
                <w:position w:val="4"/>
                <w:sz w:val="18"/>
                <w:szCs w:val="18"/>
                <w:lang w:val="en-US"/>
              </w:rPr>
            </w:pPr>
            <w:r w:rsidRPr="00537128">
              <w:rPr>
                <w:rFonts w:ascii="Calibri" w:eastAsia="Calibri" w:hAnsi="Calibri" w:cs="Arial"/>
                <w:bCs/>
                <w:sz w:val="18"/>
                <w:szCs w:val="18"/>
                <w:lang w:val="en-US"/>
              </w:rPr>
              <w:t>Interest received</w:t>
            </w:r>
          </w:p>
        </w:tc>
        <w:tc>
          <w:tcPr>
            <w:tcW w:w="1271" w:type="dxa"/>
            <w:vAlign w:val="bottom"/>
          </w:tcPr>
          <w:p w14:paraId="329ED031" w14:textId="2AAE0439" w:rsidR="00172EFD" w:rsidRPr="000C6FD7" w:rsidRDefault="000C6FD7" w:rsidP="00172EFD">
            <w:pPr>
              <w:keepLines/>
              <w:spacing w:after="0" w:line="240" w:lineRule="auto"/>
              <w:jc w:val="right"/>
              <w:rPr>
                <w:rFonts w:ascii="Calibri" w:eastAsia="Calibri" w:hAnsi="Calibri" w:cs="Arial"/>
                <w:bCs/>
                <w:sz w:val="18"/>
                <w:szCs w:val="18"/>
                <w:lang w:val="en-US"/>
              </w:rPr>
            </w:pPr>
            <w:r w:rsidRPr="000C6FD7">
              <w:rPr>
                <w:bCs/>
                <w:color w:val="000000" w:themeColor="text1"/>
                <w:sz w:val="18"/>
                <w:szCs w:val="18"/>
              </w:rPr>
              <w:t>159,813</w:t>
            </w:r>
          </w:p>
        </w:tc>
        <w:tc>
          <w:tcPr>
            <w:tcW w:w="1270" w:type="dxa"/>
            <w:tcBorders>
              <w:top w:val="nil"/>
              <w:left w:val="nil"/>
              <w:bottom w:val="nil"/>
              <w:right w:val="nil"/>
            </w:tcBorders>
            <w:shd w:val="clear" w:color="auto" w:fill="FFFFFF"/>
            <w:vAlign w:val="bottom"/>
          </w:tcPr>
          <w:p w14:paraId="11A5BD72" w14:textId="77F47958" w:rsidR="00172EFD" w:rsidRPr="00537128" w:rsidRDefault="00172EFD" w:rsidP="00172EFD">
            <w:pPr>
              <w:keepLines/>
              <w:spacing w:after="0" w:line="240" w:lineRule="auto"/>
              <w:jc w:val="right"/>
              <w:rPr>
                <w:rFonts w:ascii="Calibri" w:eastAsia="Calibri" w:hAnsi="Calibri" w:cs="Arial"/>
                <w:sz w:val="18"/>
                <w:szCs w:val="18"/>
                <w:lang w:val="en-US"/>
              </w:rPr>
            </w:pPr>
            <w:r>
              <w:rPr>
                <w:color w:val="000000" w:themeColor="text1"/>
                <w:sz w:val="18"/>
                <w:szCs w:val="18"/>
              </w:rPr>
              <w:t>119,796</w:t>
            </w:r>
          </w:p>
        </w:tc>
      </w:tr>
    </w:tbl>
    <w:p w14:paraId="6C7D34C8" w14:textId="77777777" w:rsidR="001A7A19" w:rsidRPr="00537128" w:rsidRDefault="001A7A19" w:rsidP="001A7A19">
      <w:pPr>
        <w:spacing w:after="0" w:line="240" w:lineRule="auto"/>
        <w:ind w:right="284"/>
        <w:rPr>
          <w:rFonts w:eastAsia="Times New Roman" w:cs="Arial"/>
          <w:noProof/>
          <w:color w:val="000000" w:themeColor="text1"/>
          <w:szCs w:val="32"/>
          <w:lang w:val="en-US"/>
        </w:rPr>
      </w:pPr>
    </w:p>
    <w:p w14:paraId="1A5ED25F" w14:textId="77777777" w:rsidR="001A7A19" w:rsidRPr="00537128" w:rsidRDefault="001A7A19" w:rsidP="001A7A19">
      <w:pPr>
        <w:spacing w:after="0" w:line="240" w:lineRule="auto"/>
        <w:ind w:right="284"/>
        <w:rPr>
          <w:rFonts w:eastAsia="Times New Roman" w:cs="Arial"/>
          <w:noProof/>
          <w:color w:val="000000" w:themeColor="text1"/>
          <w:szCs w:val="32"/>
          <w:lang w:val="en-US"/>
        </w:rPr>
      </w:pPr>
    </w:p>
    <w:p w14:paraId="42B947C6" w14:textId="77777777" w:rsidR="00515321" w:rsidRPr="00A1123E" w:rsidRDefault="001A7A19" w:rsidP="001A7A19">
      <w:pPr>
        <w:spacing w:after="0" w:line="240" w:lineRule="auto"/>
        <w:rPr>
          <w:rFonts w:cs="Arial"/>
          <w:noProof/>
          <w:color w:val="000000" w:themeColor="text1"/>
          <w:lang w:val="en-US"/>
        </w:rPr>
      </w:pPr>
      <w:r w:rsidRPr="00A1123E">
        <w:rPr>
          <w:rFonts w:cs="Arial"/>
          <w:noProof/>
          <w:color w:val="000000" w:themeColor="text1"/>
          <w:lang w:val="en-US"/>
        </w:rPr>
        <w:t xml:space="preserve">The accompanying accounting policies and notes are an integral part of these financial statements. </w:t>
      </w:r>
    </w:p>
    <w:p w14:paraId="590358C9" w14:textId="77777777" w:rsidR="001A7A19" w:rsidRPr="00537128" w:rsidRDefault="001A7A19" w:rsidP="001A7A19">
      <w:pPr>
        <w:spacing w:after="0" w:line="240" w:lineRule="auto"/>
        <w:ind w:right="284"/>
        <w:rPr>
          <w:rFonts w:eastAsia="Times New Roman" w:cs="Arial"/>
          <w:noProof/>
          <w:color w:val="000000" w:themeColor="text1"/>
          <w:szCs w:val="32"/>
          <w:lang w:val="en-US"/>
        </w:rPr>
        <w:sectPr w:rsidR="001A7A19" w:rsidRPr="00537128">
          <w:headerReference w:type="default" r:id="rId21"/>
          <w:pgSz w:w="11906" w:h="16838"/>
          <w:pgMar w:top="1417" w:right="1417" w:bottom="1417" w:left="1417" w:header="708" w:footer="708" w:gutter="0"/>
          <w:cols w:space="708"/>
          <w:docGrid w:linePitch="360"/>
        </w:sectPr>
      </w:pPr>
    </w:p>
    <w:p w14:paraId="7071F966" w14:textId="77777777" w:rsidR="001A7A19" w:rsidRPr="00537128" w:rsidRDefault="001A7A19" w:rsidP="001A7A19">
      <w:pPr>
        <w:spacing w:after="0" w:line="240" w:lineRule="auto"/>
        <w:ind w:right="284"/>
        <w:rPr>
          <w:rFonts w:eastAsia="Times New Roman" w:cs="Arial"/>
          <w:noProof/>
          <w:color w:val="000000" w:themeColor="text1"/>
          <w:szCs w:val="32"/>
          <w:lang w:val="en-US"/>
        </w:rPr>
      </w:pPr>
    </w:p>
    <w:tbl>
      <w:tblPr>
        <w:tblpPr w:leftFromText="180" w:rightFromText="180" w:vertAnchor="page" w:horzAnchor="margin" w:tblpY="2790"/>
        <w:tblW w:w="5000" w:type="pct"/>
        <w:tblLayout w:type="fixed"/>
        <w:tblCellMar>
          <w:left w:w="120" w:type="dxa"/>
          <w:right w:w="57" w:type="dxa"/>
        </w:tblCellMar>
        <w:tblLook w:val="0000" w:firstRow="0" w:lastRow="0" w:firstColumn="0" w:lastColumn="0" w:noHBand="0" w:noVBand="0"/>
      </w:tblPr>
      <w:tblGrid>
        <w:gridCol w:w="2375"/>
        <w:gridCol w:w="1119"/>
        <w:gridCol w:w="1116"/>
        <w:gridCol w:w="978"/>
        <w:gridCol w:w="1118"/>
        <w:gridCol w:w="1118"/>
        <w:gridCol w:w="1248"/>
      </w:tblGrid>
      <w:tr w:rsidR="00732009" w:rsidRPr="00537128" w14:paraId="75BE926A" w14:textId="77777777" w:rsidTr="00CE00C1">
        <w:trPr>
          <w:trHeight w:val="756"/>
        </w:trPr>
        <w:tc>
          <w:tcPr>
            <w:tcW w:w="1309" w:type="pct"/>
          </w:tcPr>
          <w:p w14:paraId="11E4B3D5" w14:textId="77777777" w:rsidR="00732009" w:rsidRPr="00537128" w:rsidRDefault="00732009" w:rsidP="00CE00C1">
            <w:pPr>
              <w:tabs>
                <w:tab w:val="right" w:pos="1202"/>
              </w:tabs>
              <w:spacing w:after="0" w:line="240" w:lineRule="auto"/>
              <w:outlineLvl w:val="0"/>
              <w:rPr>
                <w:rFonts w:cs="Arial"/>
                <w:b/>
                <w:iCs/>
                <w:noProof/>
                <w:color w:val="000000" w:themeColor="text1"/>
                <w:sz w:val="18"/>
                <w:szCs w:val="18"/>
                <w:lang w:val="en-US"/>
              </w:rPr>
            </w:pPr>
          </w:p>
        </w:tc>
        <w:tc>
          <w:tcPr>
            <w:tcW w:w="617" w:type="pct"/>
            <w:vAlign w:val="bottom"/>
          </w:tcPr>
          <w:p w14:paraId="0DD3AF26"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r w:rsidRPr="00537128">
              <w:rPr>
                <w:rFonts w:cs="Arial"/>
                <w:b/>
                <w:iCs/>
                <w:noProof/>
                <w:color w:val="000000" w:themeColor="text1"/>
                <w:sz w:val="18"/>
                <w:szCs w:val="18"/>
                <w:lang w:val="en-US"/>
              </w:rPr>
              <w:t xml:space="preserve">Founder’s capital </w:t>
            </w:r>
          </w:p>
        </w:tc>
        <w:tc>
          <w:tcPr>
            <w:tcW w:w="615" w:type="pct"/>
            <w:vAlign w:val="bottom"/>
          </w:tcPr>
          <w:p w14:paraId="0CF30433"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r w:rsidRPr="00537128">
              <w:rPr>
                <w:rFonts w:cs="Arial"/>
                <w:b/>
                <w:iCs/>
                <w:noProof/>
                <w:color w:val="000000" w:themeColor="text1"/>
                <w:sz w:val="18"/>
                <w:szCs w:val="18"/>
                <w:lang w:val="en-US"/>
              </w:rPr>
              <w:t xml:space="preserve">Retained earnings and reserves </w:t>
            </w:r>
          </w:p>
        </w:tc>
        <w:tc>
          <w:tcPr>
            <w:tcW w:w="539" w:type="pct"/>
            <w:vAlign w:val="bottom"/>
          </w:tcPr>
          <w:p w14:paraId="61F4BF43"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r w:rsidRPr="00537128">
              <w:rPr>
                <w:rFonts w:cs="Arial"/>
                <w:b/>
                <w:iCs/>
                <w:noProof/>
                <w:color w:val="000000" w:themeColor="text1"/>
                <w:sz w:val="18"/>
                <w:szCs w:val="18"/>
                <w:lang w:val="en-US"/>
              </w:rPr>
              <w:t xml:space="preserve">Other </w:t>
            </w:r>
          </w:p>
          <w:p w14:paraId="055A6A06"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r w:rsidRPr="00537128">
              <w:rPr>
                <w:rFonts w:cs="Arial"/>
                <w:b/>
                <w:iCs/>
                <w:noProof/>
                <w:color w:val="000000" w:themeColor="text1"/>
                <w:sz w:val="18"/>
                <w:szCs w:val="18"/>
                <w:lang w:val="en-US"/>
              </w:rPr>
              <w:t>reserves</w:t>
            </w:r>
          </w:p>
        </w:tc>
        <w:tc>
          <w:tcPr>
            <w:tcW w:w="616" w:type="pct"/>
            <w:vAlign w:val="bottom"/>
          </w:tcPr>
          <w:p w14:paraId="78A2253E"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r w:rsidRPr="00537128">
              <w:rPr>
                <w:rFonts w:cs="Arial"/>
                <w:b/>
                <w:iCs/>
                <w:noProof/>
                <w:color w:val="000000" w:themeColor="text1"/>
                <w:sz w:val="18"/>
                <w:szCs w:val="18"/>
                <w:lang w:val="en-US"/>
              </w:rPr>
              <w:t xml:space="preserve">Net profit </w:t>
            </w:r>
          </w:p>
          <w:p w14:paraId="7F7BBD25"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r w:rsidRPr="00537128">
              <w:rPr>
                <w:rFonts w:cs="Arial"/>
                <w:b/>
                <w:iCs/>
                <w:noProof/>
                <w:color w:val="000000" w:themeColor="text1"/>
                <w:sz w:val="18"/>
                <w:szCs w:val="18"/>
                <w:lang w:val="en-US"/>
              </w:rPr>
              <w:t xml:space="preserve">for the period </w:t>
            </w:r>
          </w:p>
        </w:tc>
        <w:tc>
          <w:tcPr>
            <w:tcW w:w="616" w:type="pct"/>
          </w:tcPr>
          <w:p w14:paraId="49143DEF" w14:textId="77777777" w:rsidR="00732009" w:rsidRPr="00537128" w:rsidRDefault="00732009" w:rsidP="00CE00C1">
            <w:pPr>
              <w:tabs>
                <w:tab w:val="right" w:pos="1202"/>
              </w:tabs>
              <w:spacing w:after="0" w:line="240" w:lineRule="auto"/>
              <w:outlineLvl w:val="0"/>
              <w:rPr>
                <w:rFonts w:cs="Arial"/>
                <w:b/>
                <w:iCs/>
                <w:noProof/>
                <w:color w:val="000000" w:themeColor="text1"/>
                <w:sz w:val="18"/>
                <w:szCs w:val="18"/>
                <w:lang w:val="en-US"/>
              </w:rPr>
            </w:pPr>
          </w:p>
          <w:p w14:paraId="2898DFA7"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p>
          <w:p w14:paraId="0BC8DDBE"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r w:rsidRPr="00537128">
              <w:rPr>
                <w:rFonts w:cs="Arial"/>
                <w:b/>
                <w:iCs/>
                <w:noProof/>
                <w:color w:val="000000" w:themeColor="text1"/>
                <w:sz w:val="18"/>
                <w:szCs w:val="18"/>
                <w:lang w:val="en-US"/>
              </w:rPr>
              <w:t>Guarantee fund</w:t>
            </w:r>
          </w:p>
        </w:tc>
        <w:tc>
          <w:tcPr>
            <w:tcW w:w="688" w:type="pct"/>
            <w:vAlign w:val="bottom"/>
          </w:tcPr>
          <w:p w14:paraId="33EF6DDC"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p>
          <w:p w14:paraId="03564E5E"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p>
          <w:p w14:paraId="21091D87"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r w:rsidRPr="00537128">
              <w:rPr>
                <w:rFonts w:cs="Arial"/>
                <w:b/>
                <w:iCs/>
                <w:noProof/>
                <w:color w:val="000000" w:themeColor="text1"/>
                <w:sz w:val="18"/>
                <w:szCs w:val="18"/>
                <w:lang w:val="en-US"/>
              </w:rPr>
              <w:t xml:space="preserve">Total </w:t>
            </w:r>
          </w:p>
        </w:tc>
      </w:tr>
      <w:tr w:rsidR="00732009" w:rsidRPr="00537128" w14:paraId="7D4428A4" w14:textId="77777777" w:rsidTr="00CE00C1">
        <w:trPr>
          <w:trHeight w:val="127"/>
        </w:trPr>
        <w:tc>
          <w:tcPr>
            <w:tcW w:w="1309" w:type="pct"/>
          </w:tcPr>
          <w:p w14:paraId="2B03EC90" w14:textId="77777777" w:rsidR="00732009" w:rsidRPr="00537128" w:rsidRDefault="00732009" w:rsidP="00CE00C1">
            <w:pPr>
              <w:tabs>
                <w:tab w:val="right" w:pos="1202"/>
              </w:tabs>
              <w:spacing w:after="0" w:line="240" w:lineRule="auto"/>
              <w:outlineLvl w:val="0"/>
              <w:rPr>
                <w:rFonts w:cs="Arial"/>
                <w:iCs/>
                <w:noProof/>
                <w:color w:val="000000" w:themeColor="text1"/>
                <w:sz w:val="18"/>
                <w:szCs w:val="18"/>
                <w:lang w:val="en-US"/>
              </w:rPr>
            </w:pPr>
          </w:p>
        </w:tc>
        <w:tc>
          <w:tcPr>
            <w:tcW w:w="617" w:type="pct"/>
            <w:vAlign w:val="center"/>
          </w:tcPr>
          <w:p w14:paraId="5097141F" w14:textId="77777777" w:rsidR="00732009" w:rsidRPr="00537128" w:rsidRDefault="00732009" w:rsidP="00CE00C1">
            <w:pPr>
              <w:tabs>
                <w:tab w:val="right" w:pos="1202"/>
              </w:tabs>
              <w:spacing w:after="0" w:line="240" w:lineRule="auto"/>
              <w:jc w:val="right"/>
              <w:outlineLvl w:val="0"/>
              <w:rPr>
                <w:rFonts w:cs="Arial"/>
                <w:b/>
                <w:bCs/>
                <w:noProof/>
                <w:color w:val="000000" w:themeColor="text1"/>
                <w:sz w:val="18"/>
                <w:szCs w:val="18"/>
                <w:lang w:val="en-US"/>
              </w:rPr>
            </w:pPr>
            <w:r w:rsidRPr="00537128">
              <w:rPr>
                <w:rFonts w:ascii="Calibri" w:hAnsi="Calibri" w:cs="Arial"/>
                <w:b/>
                <w:bCs/>
                <w:noProof/>
                <w:color w:val="000000" w:themeColor="text1"/>
                <w:sz w:val="18"/>
                <w:szCs w:val="18"/>
                <w:lang w:val="en-US"/>
              </w:rPr>
              <w:t>HRK ‘000</w:t>
            </w:r>
          </w:p>
        </w:tc>
        <w:tc>
          <w:tcPr>
            <w:tcW w:w="615" w:type="pct"/>
            <w:vAlign w:val="center"/>
          </w:tcPr>
          <w:p w14:paraId="4EEBD1DC" w14:textId="77777777" w:rsidR="00732009" w:rsidRPr="00537128" w:rsidRDefault="00732009" w:rsidP="00CE00C1">
            <w:pPr>
              <w:tabs>
                <w:tab w:val="right" w:pos="1202"/>
              </w:tabs>
              <w:spacing w:after="0" w:line="240" w:lineRule="auto"/>
              <w:jc w:val="right"/>
              <w:outlineLvl w:val="0"/>
              <w:rPr>
                <w:rFonts w:cs="Arial"/>
                <w:b/>
                <w:bCs/>
                <w:noProof/>
                <w:color w:val="000000" w:themeColor="text1"/>
                <w:sz w:val="18"/>
                <w:szCs w:val="18"/>
                <w:lang w:val="en-US"/>
              </w:rPr>
            </w:pPr>
            <w:r w:rsidRPr="00537128">
              <w:rPr>
                <w:rFonts w:ascii="Calibri" w:hAnsi="Calibri" w:cs="Arial"/>
                <w:b/>
                <w:bCs/>
                <w:noProof/>
                <w:color w:val="000000" w:themeColor="text1"/>
                <w:sz w:val="18"/>
                <w:szCs w:val="18"/>
                <w:lang w:val="en-US"/>
              </w:rPr>
              <w:t>HRK ‘000</w:t>
            </w:r>
          </w:p>
        </w:tc>
        <w:tc>
          <w:tcPr>
            <w:tcW w:w="539" w:type="pct"/>
            <w:vAlign w:val="center"/>
          </w:tcPr>
          <w:p w14:paraId="47DED4A4" w14:textId="77777777" w:rsidR="00732009" w:rsidRPr="00537128" w:rsidRDefault="00732009" w:rsidP="00CE00C1">
            <w:pPr>
              <w:tabs>
                <w:tab w:val="right" w:pos="1202"/>
              </w:tabs>
              <w:spacing w:after="0" w:line="240" w:lineRule="auto"/>
              <w:jc w:val="right"/>
              <w:outlineLvl w:val="0"/>
              <w:rPr>
                <w:rFonts w:cs="Arial"/>
                <w:b/>
                <w:bCs/>
                <w:noProof/>
                <w:color w:val="000000" w:themeColor="text1"/>
                <w:sz w:val="18"/>
                <w:szCs w:val="18"/>
                <w:lang w:val="en-US"/>
              </w:rPr>
            </w:pPr>
            <w:r w:rsidRPr="00537128">
              <w:rPr>
                <w:rFonts w:ascii="Calibri" w:hAnsi="Calibri" w:cs="Arial"/>
                <w:b/>
                <w:bCs/>
                <w:noProof/>
                <w:color w:val="000000" w:themeColor="text1"/>
                <w:sz w:val="18"/>
                <w:szCs w:val="18"/>
                <w:lang w:val="en-US"/>
              </w:rPr>
              <w:t>HRK ‘000</w:t>
            </w:r>
          </w:p>
        </w:tc>
        <w:tc>
          <w:tcPr>
            <w:tcW w:w="616" w:type="pct"/>
            <w:vAlign w:val="center"/>
          </w:tcPr>
          <w:p w14:paraId="4A906AC0" w14:textId="77777777" w:rsidR="00732009" w:rsidRPr="00537128" w:rsidRDefault="00732009" w:rsidP="00CE00C1">
            <w:pPr>
              <w:tabs>
                <w:tab w:val="right" w:pos="1202"/>
              </w:tabs>
              <w:spacing w:after="0" w:line="240" w:lineRule="auto"/>
              <w:jc w:val="right"/>
              <w:outlineLvl w:val="0"/>
              <w:rPr>
                <w:rFonts w:cs="Arial"/>
                <w:b/>
                <w:bCs/>
                <w:noProof/>
                <w:color w:val="000000" w:themeColor="text1"/>
                <w:sz w:val="18"/>
                <w:szCs w:val="18"/>
                <w:lang w:val="en-US"/>
              </w:rPr>
            </w:pPr>
            <w:r w:rsidRPr="00537128">
              <w:rPr>
                <w:rFonts w:ascii="Calibri" w:hAnsi="Calibri" w:cs="Arial"/>
                <w:b/>
                <w:bCs/>
                <w:noProof/>
                <w:color w:val="000000" w:themeColor="text1"/>
                <w:sz w:val="18"/>
                <w:szCs w:val="18"/>
                <w:lang w:val="en-US"/>
              </w:rPr>
              <w:t>HRK ‘000</w:t>
            </w:r>
          </w:p>
        </w:tc>
        <w:tc>
          <w:tcPr>
            <w:tcW w:w="616" w:type="pct"/>
            <w:vAlign w:val="center"/>
          </w:tcPr>
          <w:p w14:paraId="215C130E" w14:textId="77777777" w:rsidR="00732009" w:rsidRPr="00537128" w:rsidRDefault="00732009" w:rsidP="00CE00C1">
            <w:pPr>
              <w:tabs>
                <w:tab w:val="right" w:pos="1202"/>
              </w:tabs>
              <w:spacing w:after="0" w:line="240" w:lineRule="auto"/>
              <w:jc w:val="right"/>
              <w:outlineLvl w:val="0"/>
              <w:rPr>
                <w:rFonts w:cs="Arial"/>
                <w:b/>
                <w:bCs/>
                <w:noProof/>
                <w:color w:val="000000" w:themeColor="text1"/>
                <w:sz w:val="18"/>
                <w:szCs w:val="18"/>
                <w:lang w:val="en-US"/>
              </w:rPr>
            </w:pPr>
            <w:r w:rsidRPr="00537128">
              <w:rPr>
                <w:rFonts w:ascii="Calibri" w:hAnsi="Calibri" w:cs="Arial"/>
                <w:b/>
                <w:bCs/>
                <w:noProof/>
                <w:color w:val="000000" w:themeColor="text1"/>
                <w:sz w:val="18"/>
                <w:szCs w:val="18"/>
                <w:lang w:val="en-US"/>
              </w:rPr>
              <w:t>HRK ‘000</w:t>
            </w:r>
          </w:p>
        </w:tc>
        <w:tc>
          <w:tcPr>
            <w:tcW w:w="688" w:type="pct"/>
            <w:vAlign w:val="center"/>
          </w:tcPr>
          <w:p w14:paraId="6453C89D" w14:textId="77777777" w:rsidR="00732009" w:rsidRPr="00537128" w:rsidRDefault="00732009" w:rsidP="00CE00C1">
            <w:pPr>
              <w:tabs>
                <w:tab w:val="right" w:pos="1202"/>
              </w:tabs>
              <w:spacing w:after="0" w:line="240" w:lineRule="auto"/>
              <w:jc w:val="right"/>
              <w:outlineLvl w:val="0"/>
              <w:rPr>
                <w:rFonts w:cs="Arial"/>
                <w:b/>
                <w:bCs/>
                <w:noProof/>
                <w:color w:val="000000" w:themeColor="text1"/>
                <w:sz w:val="18"/>
                <w:szCs w:val="18"/>
                <w:lang w:val="en-US"/>
              </w:rPr>
            </w:pPr>
            <w:r w:rsidRPr="00537128">
              <w:rPr>
                <w:rFonts w:ascii="Calibri" w:hAnsi="Calibri" w:cs="Arial"/>
                <w:b/>
                <w:bCs/>
                <w:noProof/>
                <w:color w:val="000000" w:themeColor="text1"/>
                <w:sz w:val="18"/>
                <w:szCs w:val="18"/>
                <w:lang w:val="en-US"/>
              </w:rPr>
              <w:t>HRK ‘000</w:t>
            </w:r>
          </w:p>
        </w:tc>
      </w:tr>
      <w:tr w:rsidR="00790E17" w:rsidRPr="00537128" w14:paraId="233773E4" w14:textId="77777777" w:rsidTr="000348E0">
        <w:trPr>
          <w:trHeight w:val="437"/>
        </w:trPr>
        <w:tc>
          <w:tcPr>
            <w:tcW w:w="1309" w:type="pct"/>
            <w:vAlign w:val="bottom"/>
          </w:tcPr>
          <w:p w14:paraId="3AD81437" w14:textId="4B9CC81C" w:rsidR="00790E17" w:rsidRPr="00537128" w:rsidRDefault="00790E17" w:rsidP="00790E17">
            <w:pPr>
              <w:tabs>
                <w:tab w:val="right" w:pos="1202"/>
              </w:tabs>
              <w:spacing w:after="0" w:line="240" w:lineRule="auto"/>
              <w:outlineLvl w:val="0"/>
              <w:rPr>
                <w:rFonts w:eastAsia="Times New Roman" w:cs="Arial"/>
                <w:b/>
                <w:iCs/>
                <w:noProof/>
                <w:color w:val="000000" w:themeColor="text1"/>
                <w:sz w:val="18"/>
                <w:szCs w:val="18"/>
                <w:lang w:val="en-US"/>
              </w:rPr>
            </w:pPr>
            <w:r w:rsidRPr="00537128">
              <w:rPr>
                <w:rFonts w:eastAsia="Times New Roman" w:cs="Arial"/>
                <w:b/>
                <w:iCs/>
                <w:noProof/>
                <w:color w:val="000000" w:themeColor="text1"/>
                <w:sz w:val="18"/>
                <w:szCs w:val="18"/>
                <w:lang w:val="en-US"/>
              </w:rPr>
              <w:t>Balance as at 1 January 202</w:t>
            </w:r>
            <w:r>
              <w:rPr>
                <w:rFonts w:eastAsia="Times New Roman" w:cs="Arial"/>
                <w:b/>
                <w:iCs/>
                <w:noProof/>
                <w:color w:val="000000" w:themeColor="text1"/>
                <w:sz w:val="18"/>
                <w:szCs w:val="18"/>
                <w:lang w:val="en-US"/>
              </w:rPr>
              <w:t>1</w:t>
            </w:r>
          </w:p>
        </w:tc>
        <w:tc>
          <w:tcPr>
            <w:tcW w:w="617" w:type="pct"/>
            <w:tcBorders>
              <w:top w:val="nil"/>
              <w:left w:val="nil"/>
              <w:bottom w:val="single" w:sz="12" w:space="0" w:color="auto"/>
              <w:right w:val="nil"/>
            </w:tcBorders>
            <w:shd w:val="clear" w:color="auto" w:fill="auto"/>
            <w:vAlign w:val="bottom"/>
          </w:tcPr>
          <w:p w14:paraId="0E8C468B" w14:textId="0F333DD3" w:rsidR="00790E17" w:rsidRPr="00537128" w:rsidRDefault="00790E17" w:rsidP="00790E17">
            <w:pPr>
              <w:tabs>
                <w:tab w:val="right" w:pos="1202"/>
              </w:tabs>
              <w:spacing w:after="0" w:line="240" w:lineRule="auto"/>
              <w:jc w:val="right"/>
              <w:outlineLvl w:val="0"/>
              <w:rPr>
                <w:rFonts w:eastAsia="Times New Roman" w:cs="Calibri"/>
                <w:b/>
                <w:iCs/>
                <w:noProof/>
                <w:color w:val="000000" w:themeColor="text1"/>
                <w:sz w:val="18"/>
                <w:szCs w:val="18"/>
                <w:lang w:val="en-US"/>
              </w:rPr>
            </w:pPr>
            <w:r w:rsidRPr="00537128">
              <w:rPr>
                <w:rFonts w:cstheme="minorHAnsi"/>
                <w:b/>
                <w:iCs/>
                <w:color w:val="000000" w:themeColor="text1"/>
                <w:sz w:val="18"/>
                <w:szCs w:val="18"/>
                <w:lang w:val="en-US"/>
              </w:rPr>
              <w:t>7,134,632</w:t>
            </w:r>
          </w:p>
        </w:tc>
        <w:tc>
          <w:tcPr>
            <w:tcW w:w="615" w:type="pct"/>
            <w:tcBorders>
              <w:top w:val="nil"/>
              <w:left w:val="nil"/>
              <w:bottom w:val="single" w:sz="12" w:space="0" w:color="auto"/>
              <w:right w:val="nil"/>
            </w:tcBorders>
            <w:shd w:val="clear" w:color="auto" w:fill="auto"/>
            <w:vAlign w:val="bottom"/>
          </w:tcPr>
          <w:p w14:paraId="367AFDB1" w14:textId="542877D5" w:rsidR="00790E17" w:rsidRPr="00537128" w:rsidRDefault="00790E17" w:rsidP="00790E17">
            <w:pPr>
              <w:tabs>
                <w:tab w:val="right" w:pos="1202"/>
              </w:tabs>
              <w:spacing w:after="0" w:line="240" w:lineRule="auto"/>
              <w:jc w:val="right"/>
              <w:outlineLvl w:val="0"/>
              <w:rPr>
                <w:rFonts w:eastAsia="Times New Roman" w:cs="Calibri"/>
                <w:b/>
                <w:iCs/>
                <w:noProof/>
                <w:color w:val="000000" w:themeColor="text1"/>
                <w:sz w:val="18"/>
                <w:szCs w:val="18"/>
                <w:lang w:val="en-US"/>
              </w:rPr>
            </w:pPr>
            <w:r w:rsidRPr="00537128">
              <w:rPr>
                <w:rFonts w:cstheme="minorHAnsi"/>
                <w:b/>
                <w:iCs/>
                <w:color w:val="000000" w:themeColor="text1"/>
                <w:sz w:val="18"/>
                <w:szCs w:val="18"/>
                <w:lang w:val="en-US"/>
              </w:rPr>
              <w:t>3,076,153</w:t>
            </w:r>
          </w:p>
        </w:tc>
        <w:tc>
          <w:tcPr>
            <w:tcW w:w="539" w:type="pct"/>
            <w:tcBorders>
              <w:top w:val="nil"/>
              <w:left w:val="nil"/>
              <w:bottom w:val="single" w:sz="12" w:space="0" w:color="auto"/>
              <w:right w:val="nil"/>
            </w:tcBorders>
            <w:shd w:val="clear" w:color="auto" w:fill="auto"/>
            <w:vAlign w:val="bottom"/>
          </w:tcPr>
          <w:p w14:paraId="276335CF" w14:textId="5DDAE322" w:rsidR="00790E17" w:rsidRPr="00537128" w:rsidRDefault="00790E17" w:rsidP="00790E17">
            <w:pPr>
              <w:tabs>
                <w:tab w:val="right" w:pos="1202"/>
              </w:tabs>
              <w:spacing w:after="0" w:line="240" w:lineRule="auto"/>
              <w:jc w:val="right"/>
              <w:outlineLvl w:val="0"/>
              <w:rPr>
                <w:rFonts w:eastAsia="Times New Roman" w:cs="Calibri"/>
                <w:b/>
                <w:iCs/>
                <w:noProof/>
                <w:color w:val="000000" w:themeColor="text1"/>
                <w:sz w:val="18"/>
                <w:szCs w:val="18"/>
                <w:lang w:val="en-US"/>
              </w:rPr>
            </w:pPr>
            <w:r w:rsidRPr="00537128">
              <w:rPr>
                <w:rFonts w:cstheme="minorHAnsi"/>
                <w:b/>
                <w:iCs/>
                <w:color w:val="000000" w:themeColor="text1"/>
                <w:sz w:val="18"/>
                <w:szCs w:val="18"/>
                <w:lang w:val="en-US"/>
              </w:rPr>
              <w:t>59,108</w:t>
            </w:r>
          </w:p>
        </w:tc>
        <w:tc>
          <w:tcPr>
            <w:tcW w:w="616" w:type="pct"/>
            <w:tcBorders>
              <w:top w:val="nil"/>
              <w:left w:val="nil"/>
              <w:bottom w:val="single" w:sz="12" w:space="0" w:color="auto"/>
              <w:right w:val="nil"/>
            </w:tcBorders>
            <w:shd w:val="clear" w:color="auto" w:fill="auto"/>
            <w:vAlign w:val="bottom"/>
          </w:tcPr>
          <w:p w14:paraId="24141D1E" w14:textId="43B8BA4C" w:rsidR="00790E17" w:rsidRPr="00537128" w:rsidRDefault="00790E17" w:rsidP="00790E17">
            <w:pPr>
              <w:tabs>
                <w:tab w:val="right" w:pos="1202"/>
              </w:tabs>
              <w:spacing w:after="0" w:line="240" w:lineRule="auto"/>
              <w:jc w:val="right"/>
              <w:outlineLvl w:val="0"/>
              <w:rPr>
                <w:rFonts w:eastAsia="Times New Roman" w:cs="Calibri"/>
                <w:b/>
                <w:iCs/>
                <w:noProof/>
                <w:color w:val="000000" w:themeColor="text1"/>
                <w:sz w:val="18"/>
                <w:szCs w:val="18"/>
                <w:lang w:val="en-US"/>
              </w:rPr>
            </w:pPr>
            <w:r w:rsidRPr="00537128">
              <w:rPr>
                <w:rFonts w:cstheme="minorHAnsi"/>
                <w:b/>
                <w:iCs/>
                <w:color w:val="000000" w:themeColor="text1"/>
                <w:sz w:val="18"/>
                <w:szCs w:val="18"/>
                <w:lang w:val="en-US"/>
              </w:rPr>
              <w:t>81,531</w:t>
            </w:r>
          </w:p>
        </w:tc>
        <w:tc>
          <w:tcPr>
            <w:tcW w:w="616" w:type="pct"/>
            <w:tcBorders>
              <w:top w:val="nil"/>
              <w:left w:val="nil"/>
              <w:bottom w:val="single" w:sz="12" w:space="0" w:color="auto"/>
              <w:right w:val="nil"/>
            </w:tcBorders>
            <w:shd w:val="clear" w:color="auto" w:fill="auto"/>
            <w:vAlign w:val="bottom"/>
          </w:tcPr>
          <w:p w14:paraId="32ADD659" w14:textId="60A97130" w:rsidR="00790E17" w:rsidRPr="00537128" w:rsidRDefault="00790E17" w:rsidP="00790E17">
            <w:pPr>
              <w:tabs>
                <w:tab w:val="right" w:pos="1202"/>
              </w:tabs>
              <w:spacing w:after="0" w:line="240" w:lineRule="auto"/>
              <w:jc w:val="right"/>
              <w:outlineLvl w:val="0"/>
              <w:rPr>
                <w:rFonts w:eastAsia="Times New Roman" w:cstheme="minorHAnsi"/>
                <w:b/>
                <w:noProof/>
                <w:color w:val="000000" w:themeColor="text1"/>
                <w:sz w:val="18"/>
                <w:szCs w:val="18"/>
                <w:lang w:val="en-US"/>
              </w:rPr>
            </w:pPr>
            <w:r w:rsidRPr="00537128">
              <w:rPr>
                <w:rFonts w:cstheme="minorHAnsi"/>
                <w:b/>
                <w:bCs/>
                <w:color w:val="000000" w:themeColor="text1"/>
                <w:sz w:val="18"/>
                <w:szCs w:val="18"/>
                <w:lang w:val="en-US"/>
              </w:rPr>
              <w:t>12,341</w:t>
            </w:r>
          </w:p>
        </w:tc>
        <w:tc>
          <w:tcPr>
            <w:tcW w:w="688" w:type="pct"/>
            <w:tcBorders>
              <w:top w:val="nil"/>
              <w:left w:val="nil"/>
              <w:bottom w:val="single" w:sz="12" w:space="0" w:color="auto"/>
              <w:right w:val="nil"/>
            </w:tcBorders>
            <w:shd w:val="clear" w:color="auto" w:fill="auto"/>
            <w:vAlign w:val="bottom"/>
          </w:tcPr>
          <w:p w14:paraId="5204F4FD" w14:textId="394418C6" w:rsidR="00790E17" w:rsidRPr="00537128" w:rsidRDefault="00790E17" w:rsidP="00790E17">
            <w:pPr>
              <w:tabs>
                <w:tab w:val="right" w:pos="1202"/>
              </w:tabs>
              <w:spacing w:after="0" w:line="240" w:lineRule="auto"/>
              <w:jc w:val="right"/>
              <w:outlineLvl w:val="0"/>
              <w:rPr>
                <w:rFonts w:eastAsia="Times New Roman" w:cs="Calibri"/>
                <w:b/>
                <w:iCs/>
                <w:noProof/>
                <w:color w:val="000000" w:themeColor="text1"/>
                <w:sz w:val="18"/>
                <w:szCs w:val="18"/>
                <w:lang w:val="en-US"/>
              </w:rPr>
            </w:pPr>
            <w:r w:rsidRPr="00537128">
              <w:rPr>
                <w:rFonts w:cstheme="minorHAnsi"/>
                <w:b/>
                <w:iCs/>
                <w:color w:val="000000" w:themeColor="text1"/>
                <w:sz w:val="18"/>
                <w:szCs w:val="18"/>
                <w:lang w:val="en-US"/>
              </w:rPr>
              <w:t>10,363,765</w:t>
            </w:r>
          </w:p>
        </w:tc>
      </w:tr>
      <w:tr w:rsidR="00790E17" w:rsidRPr="00537128" w14:paraId="0FF66F6D" w14:textId="77777777" w:rsidTr="00CE00C1">
        <w:trPr>
          <w:trHeight w:val="110"/>
        </w:trPr>
        <w:tc>
          <w:tcPr>
            <w:tcW w:w="1309" w:type="pct"/>
            <w:vAlign w:val="bottom"/>
          </w:tcPr>
          <w:p w14:paraId="2165AD79" w14:textId="77777777" w:rsidR="00790E17" w:rsidRPr="00537128" w:rsidRDefault="00790E17" w:rsidP="00790E17">
            <w:pPr>
              <w:tabs>
                <w:tab w:val="right" w:pos="1202"/>
              </w:tabs>
              <w:spacing w:after="0" w:line="240" w:lineRule="auto"/>
              <w:outlineLvl w:val="0"/>
              <w:rPr>
                <w:rFonts w:eastAsia="Times New Roman" w:cs="Arial"/>
                <w:iCs/>
                <w:noProof/>
                <w:color w:val="000000" w:themeColor="text1"/>
                <w:sz w:val="6"/>
                <w:szCs w:val="6"/>
                <w:lang w:val="en-US"/>
              </w:rPr>
            </w:pPr>
          </w:p>
        </w:tc>
        <w:tc>
          <w:tcPr>
            <w:tcW w:w="617" w:type="pct"/>
            <w:tcBorders>
              <w:top w:val="single" w:sz="12" w:space="0" w:color="auto"/>
            </w:tcBorders>
            <w:vAlign w:val="bottom"/>
          </w:tcPr>
          <w:p w14:paraId="54BCC4E9" w14:textId="77777777" w:rsidR="00790E17" w:rsidRPr="00537128" w:rsidRDefault="00790E17" w:rsidP="00790E17">
            <w:pPr>
              <w:keepNext/>
              <w:keepLines/>
              <w:tabs>
                <w:tab w:val="decimal" w:pos="1202"/>
              </w:tabs>
              <w:spacing w:after="0" w:line="240" w:lineRule="auto"/>
              <w:jc w:val="right"/>
              <w:rPr>
                <w:rFonts w:eastAsia="Times New Roman" w:cs="Arial"/>
                <w:b/>
                <w:noProof/>
                <w:color w:val="000000" w:themeColor="text1"/>
                <w:position w:val="4"/>
                <w:sz w:val="6"/>
                <w:szCs w:val="6"/>
                <w:u w:val="thick"/>
                <w:lang w:val="en-US"/>
              </w:rPr>
            </w:pPr>
          </w:p>
        </w:tc>
        <w:tc>
          <w:tcPr>
            <w:tcW w:w="615" w:type="pct"/>
            <w:tcBorders>
              <w:top w:val="single" w:sz="12" w:space="0" w:color="auto"/>
            </w:tcBorders>
            <w:vAlign w:val="bottom"/>
          </w:tcPr>
          <w:p w14:paraId="68DB0332" w14:textId="77777777" w:rsidR="00790E17" w:rsidRPr="00537128" w:rsidRDefault="00790E17" w:rsidP="00790E17">
            <w:pPr>
              <w:keepNext/>
              <w:keepLines/>
              <w:tabs>
                <w:tab w:val="decimal" w:pos="1202"/>
              </w:tabs>
              <w:spacing w:after="0" w:line="240" w:lineRule="auto"/>
              <w:jc w:val="right"/>
              <w:rPr>
                <w:rFonts w:eastAsia="Times New Roman" w:cs="Arial"/>
                <w:b/>
                <w:noProof/>
                <w:color w:val="000000" w:themeColor="text1"/>
                <w:position w:val="4"/>
                <w:sz w:val="6"/>
                <w:szCs w:val="6"/>
                <w:u w:val="thick"/>
                <w:lang w:val="en-US"/>
              </w:rPr>
            </w:pPr>
          </w:p>
        </w:tc>
        <w:tc>
          <w:tcPr>
            <w:tcW w:w="539" w:type="pct"/>
            <w:tcBorders>
              <w:top w:val="single" w:sz="12" w:space="0" w:color="auto"/>
            </w:tcBorders>
            <w:vAlign w:val="bottom"/>
          </w:tcPr>
          <w:p w14:paraId="35168C3A" w14:textId="77777777" w:rsidR="00790E17" w:rsidRPr="00537128" w:rsidRDefault="00790E17" w:rsidP="00790E17">
            <w:pPr>
              <w:keepNext/>
              <w:keepLines/>
              <w:tabs>
                <w:tab w:val="decimal" w:pos="1202"/>
              </w:tabs>
              <w:spacing w:after="0" w:line="240" w:lineRule="auto"/>
              <w:jc w:val="right"/>
              <w:rPr>
                <w:rFonts w:eastAsia="Times New Roman" w:cs="Arial"/>
                <w:b/>
                <w:noProof/>
                <w:color w:val="000000" w:themeColor="text1"/>
                <w:position w:val="4"/>
                <w:sz w:val="6"/>
                <w:szCs w:val="6"/>
                <w:u w:val="thick"/>
                <w:lang w:val="en-US"/>
              </w:rPr>
            </w:pPr>
          </w:p>
        </w:tc>
        <w:tc>
          <w:tcPr>
            <w:tcW w:w="616" w:type="pct"/>
            <w:tcBorders>
              <w:top w:val="single" w:sz="12" w:space="0" w:color="auto"/>
            </w:tcBorders>
            <w:vAlign w:val="bottom"/>
          </w:tcPr>
          <w:p w14:paraId="3D0E5899" w14:textId="77777777" w:rsidR="00790E17" w:rsidRPr="00537128" w:rsidRDefault="00790E17" w:rsidP="00790E17">
            <w:pPr>
              <w:keepNext/>
              <w:keepLines/>
              <w:tabs>
                <w:tab w:val="decimal" w:pos="1202"/>
              </w:tabs>
              <w:spacing w:after="0" w:line="240" w:lineRule="auto"/>
              <w:jc w:val="right"/>
              <w:rPr>
                <w:rFonts w:eastAsia="Times New Roman" w:cs="Arial"/>
                <w:b/>
                <w:noProof/>
                <w:color w:val="000000" w:themeColor="text1"/>
                <w:position w:val="4"/>
                <w:sz w:val="6"/>
                <w:szCs w:val="6"/>
                <w:u w:val="thick"/>
                <w:lang w:val="en-US"/>
              </w:rPr>
            </w:pPr>
          </w:p>
        </w:tc>
        <w:tc>
          <w:tcPr>
            <w:tcW w:w="616" w:type="pct"/>
            <w:tcBorders>
              <w:top w:val="single" w:sz="12" w:space="0" w:color="auto"/>
            </w:tcBorders>
            <w:vAlign w:val="bottom"/>
          </w:tcPr>
          <w:p w14:paraId="6A69C304" w14:textId="77777777" w:rsidR="00790E17" w:rsidRPr="00537128" w:rsidRDefault="00790E17" w:rsidP="00790E17">
            <w:pPr>
              <w:keepNext/>
              <w:keepLines/>
              <w:tabs>
                <w:tab w:val="decimal" w:pos="1202"/>
              </w:tabs>
              <w:spacing w:after="0" w:line="240" w:lineRule="auto"/>
              <w:jc w:val="right"/>
              <w:rPr>
                <w:rFonts w:eastAsia="Times New Roman" w:cs="Arial"/>
                <w:b/>
                <w:noProof/>
                <w:color w:val="000000" w:themeColor="text1"/>
                <w:position w:val="4"/>
                <w:sz w:val="6"/>
                <w:szCs w:val="6"/>
                <w:u w:val="thick"/>
                <w:lang w:val="en-US"/>
              </w:rPr>
            </w:pPr>
          </w:p>
        </w:tc>
        <w:tc>
          <w:tcPr>
            <w:tcW w:w="688" w:type="pct"/>
            <w:tcBorders>
              <w:top w:val="single" w:sz="12" w:space="0" w:color="auto"/>
            </w:tcBorders>
            <w:vAlign w:val="bottom"/>
          </w:tcPr>
          <w:p w14:paraId="766B5DB2" w14:textId="77777777" w:rsidR="00790E17" w:rsidRPr="00537128" w:rsidRDefault="00790E17" w:rsidP="00790E17">
            <w:pPr>
              <w:keepNext/>
              <w:keepLines/>
              <w:tabs>
                <w:tab w:val="decimal" w:pos="1202"/>
              </w:tabs>
              <w:spacing w:after="0" w:line="240" w:lineRule="auto"/>
              <w:jc w:val="right"/>
              <w:rPr>
                <w:rFonts w:eastAsia="Times New Roman" w:cs="Arial"/>
                <w:b/>
                <w:noProof/>
                <w:color w:val="000000" w:themeColor="text1"/>
                <w:position w:val="4"/>
                <w:sz w:val="6"/>
                <w:szCs w:val="6"/>
                <w:u w:val="thick"/>
                <w:lang w:val="en-US"/>
              </w:rPr>
            </w:pPr>
          </w:p>
        </w:tc>
      </w:tr>
      <w:tr w:rsidR="00790E17" w:rsidRPr="00537128" w14:paraId="6386AF59" w14:textId="77777777" w:rsidTr="00CE00C1">
        <w:trPr>
          <w:trHeight w:val="256"/>
        </w:trPr>
        <w:tc>
          <w:tcPr>
            <w:tcW w:w="1309" w:type="pct"/>
            <w:vAlign w:val="bottom"/>
          </w:tcPr>
          <w:p w14:paraId="7C1D6284" w14:textId="77777777" w:rsidR="00790E17" w:rsidRPr="00537128" w:rsidRDefault="00790E17" w:rsidP="00790E17">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 xml:space="preserve">Profit for the period </w:t>
            </w:r>
          </w:p>
        </w:tc>
        <w:tc>
          <w:tcPr>
            <w:tcW w:w="617" w:type="pct"/>
            <w:shd w:val="clear" w:color="auto" w:fill="auto"/>
            <w:vAlign w:val="bottom"/>
          </w:tcPr>
          <w:p w14:paraId="0E594B75" w14:textId="64103999" w:rsidR="00790E17" w:rsidRPr="00537128" w:rsidRDefault="00790E17" w:rsidP="00790E17">
            <w:pPr>
              <w:tabs>
                <w:tab w:val="right" w:pos="1202"/>
              </w:tabs>
              <w:spacing w:after="0" w:line="240" w:lineRule="auto"/>
              <w:jc w:val="right"/>
              <w:outlineLvl w:val="0"/>
              <w:rPr>
                <w:rFonts w:eastAsia="Times New Roman" w:cs="Arial"/>
                <w:b/>
                <w:iCs/>
                <w:noProof/>
                <w:color w:val="000000" w:themeColor="text1"/>
                <w:sz w:val="18"/>
                <w:szCs w:val="18"/>
                <w:lang w:val="en-US"/>
              </w:rPr>
            </w:pPr>
            <w:r w:rsidRPr="00EA3621">
              <w:rPr>
                <w:rFonts w:eastAsia="Times New Roman" w:cstheme="minorHAnsi"/>
                <w:color w:val="000000" w:themeColor="text1"/>
                <w:sz w:val="18"/>
                <w:szCs w:val="18"/>
              </w:rPr>
              <w:t>-</w:t>
            </w:r>
          </w:p>
        </w:tc>
        <w:tc>
          <w:tcPr>
            <w:tcW w:w="615" w:type="pct"/>
            <w:shd w:val="clear" w:color="auto" w:fill="auto"/>
            <w:vAlign w:val="bottom"/>
          </w:tcPr>
          <w:p w14:paraId="12B07164" w14:textId="5D3AD612" w:rsidR="00790E17" w:rsidRPr="00537128" w:rsidRDefault="00790E17" w:rsidP="00790E17">
            <w:pPr>
              <w:tabs>
                <w:tab w:val="right" w:pos="1202"/>
              </w:tabs>
              <w:spacing w:after="0" w:line="240" w:lineRule="auto"/>
              <w:jc w:val="right"/>
              <w:outlineLvl w:val="0"/>
              <w:rPr>
                <w:rFonts w:eastAsia="Times New Roman" w:cs="Arial"/>
                <w:b/>
                <w:iCs/>
                <w:noProof/>
                <w:color w:val="000000" w:themeColor="text1"/>
                <w:sz w:val="18"/>
                <w:szCs w:val="18"/>
                <w:lang w:val="en-US"/>
              </w:rPr>
            </w:pPr>
            <w:r w:rsidRPr="00EA3621">
              <w:rPr>
                <w:rFonts w:eastAsia="Times New Roman" w:cstheme="minorHAnsi"/>
                <w:color w:val="000000" w:themeColor="text1"/>
                <w:sz w:val="18"/>
                <w:szCs w:val="18"/>
              </w:rPr>
              <w:t>-</w:t>
            </w:r>
          </w:p>
        </w:tc>
        <w:tc>
          <w:tcPr>
            <w:tcW w:w="539" w:type="pct"/>
            <w:shd w:val="clear" w:color="auto" w:fill="auto"/>
            <w:vAlign w:val="bottom"/>
          </w:tcPr>
          <w:p w14:paraId="15FAD169" w14:textId="0E42DFB0" w:rsidR="00790E17" w:rsidRPr="00537128" w:rsidRDefault="00790E17" w:rsidP="00790E17">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w:t>
            </w:r>
          </w:p>
        </w:tc>
        <w:tc>
          <w:tcPr>
            <w:tcW w:w="616" w:type="pct"/>
            <w:shd w:val="clear" w:color="auto" w:fill="auto"/>
            <w:vAlign w:val="bottom"/>
          </w:tcPr>
          <w:p w14:paraId="524078F1" w14:textId="359B4552" w:rsidR="00790E17" w:rsidRPr="00537128" w:rsidRDefault="00790E17" w:rsidP="00790E17">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color w:val="000000" w:themeColor="text1"/>
                <w:sz w:val="18"/>
                <w:szCs w:val="18"/>
              </w:rPr>
              <w:t>88,565</w:t>
            </w:r>
          </w:p>
        </w:tc>
        <w:tc>
          <w:tcPr>
            <w:tcW w:w="616" w:type="pct"/>
            <w:vAlign w:val="bottom"/>
          </w:tcPr>
          <w:p w14:paraId="0E6CA08D" w14:textId="61AC1DA9" w:rsidR="00790E17" w:rsidRPr="00537128" w:rsidRDefault="00790E17" w:rsidP="00790E17">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w:t>
            </w:r>
          </w:p>
        </w:tc>
        <w:tc>
          <w:tcPr>
            <w:tcW w:w="688" w:type="pct"/>
            <w:shd w:val="clear" w:color="auto" w:fill="auto"/>
            <w:vAlign w:val="bottom"/>
          </w:tcPr>
          <w:p w14:paraId="78580362" w14:textId="086FDEFD" w:rsidR="00790E17" w:rsidRPr="00537128" w:rsidRDefault="00790E17" w:rsidP="00790E17">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color w:val="000000" w:themeColor="text1"/>
                <w:sz w:val="18"/>
                <w:szCs w:val="18"/>
              </w:rPr>
              <w:t>88,565</w:t>
            </w:r>
          </w:p>
        </w:tc>
      </w:tr>
      <w:tr w:rsidR="00790E17" w:rsidRPr="00537128" w14:paraId="159C3E69" w14:textId="77777777" w:rsidTr="00CE00C1">
        <w:trPr>
          <w:trHeight w:val="256"/>
        </w:trPr>
        <w:tc>
          <w:tcPr>
            <w:tcW w:w="1309" w:type="pct"/>
            <w:vAlign w:val="bottom"/>
          </w:tcPr>
          <w:p w14:paraId="4101E723" w14:textId="77777777" w:rsidR="00790E17" w:rsidRPr="00537128" w:rsidRDefault="00790E17" w:rsidP="00790E17">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 xml:space="preserve">Other comprehensive income </w:t>
            </w:r>
          </w:p>
        </w:tc>
        <w:tc>
          <w:tcPr>
            <w:tcW w:w="617" w:type="pct"/>
            <w:tcBorders>
              <w:bottom w:val="single" w:sz="4" w:space="0" w:color="auto"/>
            </w:tcBorders>
            <w:shd w:val="clear" w:color="auto" w:fill="auto"/>
            <w:vAlign w:val="bottom"/>
          </w:tcPr>
          <w:p w14:paraId="010D0295" w14:textId="5848C17B" w:rsidR="00790E17" w:rsidRPr="00790E17" w:rsidRDefault="00790E17" w:rsidP="00790E17">
            <w:pPr>
              <w:tabs>
                <w:tab w:val="right" w:pos="1202"/>
              </w:tabs>
              <w:spacing w:after="0" w:line="240" w:lineRule="auto"/>
              <w:jc w:val="right"/>
              <w:outlineLvl w:val="0"/>
              <w:rPr>
                <w:rFonts w:eastAsia="Times New Roman" w:cs="Arial"/>
                <w:bCs/>
                <w:iCs/>
                <w:noProof/>
                <w:color w:val="000000" w:themeColor="text1"/>
                <w:sz w:val="18"/>
                <w:szCs w:val="18"/>
                <w:lang w:val="en-US"/>
              </w:rPr>
            </w:pPr>
            <w:r w:rsidRPr="00790E17">
              <w:rPr>
                <w:rFonts w:eastAsia="Times New Roman" w:cstheme="minorHAnsi"/>
                <w:bCs/>
                <w:iCs/>
                <w:color w:val="000000" w:themeColor="text1"/>
                <w:sz w:val="18"/>
                <w:szCs w:val="18"/>
              </w:rPr>
              <w:t>-</w:t>
            </w:r>
          </w:p>
        </w:tc>
        <w:tc>
          <w:tcPr>
            <w:tcW w:w="615" w:type="pct"/>
            <w:tcBorders>
              <w:bottom w:val="single" w:sz="4" w:space="0" w:color="auto"/>
            </w:tcBorders>
            <w:shd w:val="clear" w:color="auto" w:fill="auto"/>
            <w:vAlign w:val="bottom"/>
          </w:tcPr>
          <w:p w14:paraId="6B28D1F0" w14:textId="22D00013" w:rsidR="00790E17" w:rsidRPr="00790E17" w:rsidRDefault="00790E17" w:rsidP="00790E17">
            <w:pPr>
              <w:tabs>
                <w:tab w:val="right" w:pos="1202"/>
              </w:tabs>
              <w:spacing w:after="0" w:line="240" w:lineRule="auto"/>
              <w:jc w:val="right"/>
              <w:outlineLvl w:val="0"/>
              <w:rPr>
                <w:rFonts w:eastAsia="Times New Roman" w:cs="Arial"/>
                <w:bCs/>
                <w:iCs/>
                <w:noProof/>
                <w:color w:val="000000" w:themeColor="text1"/>
                <w:sz w:val="18"/>
                <w:szCs w:val="18"/>
                <w:lang w:val="en-US"/>
              </w:rPr>
            </w:pPr>
            <w:r w:rsidRPr="00790E17">
              <w:rPr>
                <w:rFonts w:eastAsia="Times New Roman" w:cstheme="minorHAnsi"/>
                <w:bCs/>
                <w:iCs/>
                <w:color w:val="000000" w:themeColor="text1"/>
                <w:sz w:val="18"/>
                <w:szCs w:val="18"/>
              </w:rPr>
              <w:t>-</w:t>
            </w:r>
          </w:p>
        </w:tc>
        <w:tc>
          <w:tcPr>
            <w:tcW w:w="539" w:type="pct"/>
            <w:tcBorders>
              <w:bottom w:val="single" w:sz="4" w:space="0" w:color="auto"/>
            </w:tcBorders>
            <w:shd w:val="clear" w:color="auto" w:fill="auto"/>
            <w:vAlign w:val="bottom"/>
          </w:tcPr>
          <w:p w14:paraId="180ACCCB" w14:textId="279F0B75" w:rsidR="00790E17" w:rsidRPr="00537128" w:rsidRDefault="00790E17" w:rsidP="00790E17">
            <w:pPr>
              <w:tabs>
                <w:tab w:val="right" w:pos="1202"/>
              </w:tabs>
              <w:spacing w:after="0" w:line="240" w:lineRule="auto"/>
              <w:jc w:val="right"/>
              <w:outlineLvl w:val="0"/>
              <w:rPr>
                <w:rFonts w:eastAsia="Times New Roman" w:cs="Arial"/>
                <w:iCs/>
                <w:noProof/>
                <w:color w:val="000000" w:themeColor="text1"/>
                <w:sz w:val="18"/>
                <w:szCs w:val="18"/>
                <w:lang w:val="en-US"/>
              </w:rPr>
            </w:pPr>
            <w:r w:rsidRPr="0097741D">
              <w:rPr>
                <w:rFonts w:eastAsia="Times New Roman" w:cstheme="minorHAnsi"/>
                <w:iCs/>
                <w:color w:val="000000" w:themeColor="text1"/>
                <w:sz w:val="18"/>
                <w:szCs w:val="18"/>
              </w:rPr>
              <w:t>(5</w:t>
            </w:r>
            <w:r>
              <w:rPr>
                <w:rFonts w:eastAsia="Times New Roman" w:cstheme="minorHAnsi"/>
                <w:iCs/>
                <w:color w:val="000000" w:themeColor="text1"/>
                <w:sz w:val="18"/>
                <w:szCs w:val="18"/>
              </w:rPr>
              <w:t>,</w:t>
            </w:r>
            <w:r w:rsidRPr="0097741D">
              <w:rPr>
                <w:rFonts w:eastAsia="Times New Roman" w:cstheme="minorHAnsi"/>
                <w:iCs/>
                <w:color w:val="000000" w:themeColor="text1"/>
                <w:sz w:val="18"/>
                <w:szCs w:val="18"/>
              </w:rPr>
              <w:t>984)</w:t>
            </w:r>
          </w:p>
        </w:tc>
        <w:tc>
          <w:tcPr>
            <w:tcW w:w="616" w:type="pct"/>
            <w:tcBorders>
              <w:bottom w:val="single" w:sz="4" w:space="0" w:color="auto"/>
            </w:tcBorders>
            <w:shd w:val="clear" w:color="auto" w:fill="auto"/>
            <w:vAlign w:val="bottom"/>
          </w:tcPr>
          <w:p w14:paraId="715F3646" w14:textId="331305A0" w:rsidR="00790E17" w:rsidRPr="00537128" w:rsidRDefault="00790E17" w:rsidP="00790E17">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w:t>
            </w:r>
          </w:p>
        </w:tc>
        <w:tc>
          <w:tcPr>
            <w:tcW w:w="616" w:type="pct"/>
            <w:tcBorders>
              <w:bottom w:val="single" w:sz="4" w:space="0" w:color="auto"/>
            </w:tcBorders>
            <w:vAlign w:val="bottom"/>
          </w:tcPr>
          <w:p w14:paraId="6CB213E9" w14:textId="4D4DF75E" w:rsidR="00790E17" w:rsidRPr="00537128" w:rsidRDefault="00790E17" w:rsidP="00790E17">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iCs/>
                <w:color w:val="000000" w:themeColor="text1"/>
                <w:sz w:val="18"/>
                <w:szCs w:val="18"/>
              </w:rPr>
              <w:t>-</w:t>
            </w:r>
          </w:p>
        </w:tc>
        <w:tc>
          <w:tcPr>
            <w:tcW w:w="688" w:type="pct"/>
            <w:tcBorders>
              <w:bottom w:val="single" w:sz="4" w:space="0" w:color="auto"/>
            </w:tcBorders>
            <w:shd w:val="clear" w:color="auto" w:fill="auto"/>
            <w:vAlign w:val="bottom"/>
          </w:tcPr>
          <w:p w14:paraId="06B2D4D9" w14:textId="01715645" w:rsidR="00790E17" w:rsidRPr="00537128" w:rsidRDefault="00790E17" w:rsidP="00790E17">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(5,984)</w:t>
            </w:r>
          </w:p>
        </w:tc>
      </w:tr>
      <w:tr w:rsidR="00790E17" w:rsidRPr="00537128" w14:paraId="675C5060" w14:textId="77777777" w:rsidTr="00CE00C1">
        <w:trPr>
          <w:trHeight w:val="256"/>
        </w:trPr>
        <w:tc>
          <w:tcPr>
            <w:tcW w:w="1309" w:type="pct"/>
            <w:vAlign w:val="bottom"/>
          </w:tcPr>
          <w:p w14:paraId="2612F0C0" w14:textId="77777777" w:rsidR="00790E17" w:rsidRPr="00537128" w:rsidRDefault="00790E17" w:rsidP="00790E17">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 xml:space="preserve">Total comprehensive income </w:t>
            </w:r>
          </w:p>
        </w:tc>
        <w:tc>
          <w:tcPr>
            <w:tcW w:w="617" w:type="pct"/>
            <w:tcBorders>
              <w:top w:val="nil"/>
              <w:left w:val="nil"/>
              <w:bottom w:val="single" w:sz="4" w:space="0" w:color="auto"/>
              <w:right w:val="nil"/>
            </w:tcBorders>
            <w:shd w:val="clear" w:color="auto" w:fill="auto"/>
            <w:vAlign w:val="bottom"/>
          </w:tcPr>
          <w:p w14:paraId="3FAACED7" w14:textId="3901E52D" w:rsidR="00790E17" w:rsidRPr="00537128" w:rsidRDefault="00790E17" w:rsidP="00790E17">
            <w:pPr>
              <w:tabs>
                <w:tab w:val="right" w:pos="1202"/>
              </w:tabs>
              <w:spacing w:after="0" w:line="240" w:lineRule="auto"/>
              <w:jc w:val="right"/>
              <w:outlineLvl w:val="0"/>
              <w:rPr>
                <w:rFonts w:eastAsia="Times New Roman" w:cs="Arial"/>
                <w:iCs/>
                <w:noProof/>
                <w:color w:val="000000" w:themeColor="text1"/>
                <w:sz w:val="18"/>
                <w:szCs w:val="18"/>
                <w:lang w:val="en-US"/>
              </w:rPr>
            </w:pPr>
            <w:r w:rsidRPr="00EA3621">
              <w:rPr>
                <w:rFonts w:eastAsia="Times New Roman" w:cstheme="minorHAnsi"/>
                <w:iCs/>
                <w:color w:val="000000" w:themeColor="text1"/>
                <w:sz w:val="18"/>
                <w:szCs w:val="18"/>
              </w:rPr>
              <w:t>-</w:t>
            </w:r>
          </w:p>
        </w:tc>
        <w:tc>
          <w:tcPr>
            <w:tcW w:w="615" w:type="pct"/>
            <w:tcBorders>
              <w:top w:val="nil"/>
              <w:left w:val="nil"/>
              <w:bottom w:val="single" w:sz="4" w:space="0" w:color="auto"/>
              <w:right w:val="nil"/>
            </w:tcBorders>
            <w:shd w:val="clear" w:color="auto" w:fill="auto"/>
            <w:vAlign w:val="bottom"/>
          </w:tcPr>
          <w:p w14:paraId="16CDE6D3" w14:textId="5B86FCAC" w:rsidR="00790E17" w:rsidRPr="00537128" w:rsidRDefault="00790E17" w:rsidP="00790E17">
            <w:pPr>
              <w:tabs>
                <w:tab w:val="right" w:pos="1202"/>
              </w:tabs>
              <w:spacing w:after="0" w:line="240" w:lineRule="auto"/>
              <w:jc w:val="right"/>
              <w:outlineLvl w:val="0"/>
              <w:rPr>
                <w:rFonts w:eastAsia="Times New Roman" w:cs="Arial"/>
                <w:iCs/>
                <w:noProof/>
                <w:color w:val="000000" w:themeColor="text1"/>
                <w:sz w:val="18"/>
                <w:szCs w:val="18"/>
                <w:lang w:val="en-US"/>
              </w:rPr>
            </w:pPr>
            <w:r w:rsidRPr="00EA3621">
              <w:rPr>
                <w:rFonts w:eastAsia="Times New Roman" w:cstheme="minorHAnsi"/>
                <w:iCs/>
                <w:color w:val="000000" w:themeColor="text1"/>
                <w:sz w:val="18"/>
                <w:szCs w:val="18"/>
              </w:rPr>
              <w:t>-</w:t>
            </w:r>
          </w:p>
        </w:tc>
        <w:tc>
          <w:tcPr>
            <w:tcW w:w="539" w:type="pct"/>
            <w:tcBorders>
              <w:top w:val="nil"/>
              <w:left w:val="nil"/>
              <w:bottom w:val="single" w:sz="4" w:space="0" w:color="auto"/>
              <w:right w:val="nil"/>
            </w:tcBorders>
            <w:shd w:val="clear" w:color="auto" w:fill="auto"/>
            <w:vAlign w:val="bottom"/>
          </w:tcPr>
          <w:p w14:paraId="741CE286" w14:textId="3D4DD94C" w:rsidR="00790E17" w:rsidRPr="00537128" w:rsidRDefault="00790E17" w:rsidP="00790E17">
            <w:pPr>
              <w:tabs>
                <w:tab w:val="right" w:pos="1202"/>
              </w:tabs>
              <w:spacing w:after="0" w:line="240" w:lineRule="auto"/>
              <w:jc w:val="right"/>
              <w:outlineLvl w:val="0"/>
              <w:rPr>
                <w:rFonts w:eastAsia="Times New Roman" w:cs="Arial"/>
                <w:iCs/>
                <w:noProof/>
                <w:color w:val="000000" w:themeColor="text1"/>
                <w:sz w:val="18"/>
                <w:szCs w:val="18"/>
                <w:lang w:val="en-US"/>
              </w:rPr>
            </w:pPr>
            <w:r w:rsidRPr="0097741D">
              <w:rPr>
                <w:rFonts w:eastAsia="Times New Roman" w:cstheme="minorHAnsi"/>
                <w:iCs/>
                <w:color w:val="000000" w:themeColor="text1"/>
                <w:sz w:val="18"/>
                <w:szCs w:val="18"/>
              </w:rPr>
              <w:t>(5</w:t>
            </w:r>
            <w:r>
              <w:rPr>
                <w:rFonts w:eastAsia="Times New Roman" w:cstheme="minorHAnsi"/>
                <w:iCs/>
                <w:color w:val="000000" w:themeColor="text1"/>
                <w:sz w:val="18"/>
                <w:szCs w:val="18"/>
              </w:rPr>
              <w:t>,</w:t>
            </w:r>
            <w:r w:rsidRPr="0097741D">
              <w:rPr>
                <w:rFonts w:eastAsia="Times New Roman" w:cstheme="minorHAnsi"/>
                <w:iCs/>
                <w:color w:val="000000" w:themeColor="text1"/>
                <w:sz w:val="18"/>
                <w:szCs w:val="18"/>
              </w:rPr>
              <w:t>984)</w:t>
            </w:r>
          </w:p>
        </w:tc>
        <w:tc>
          <w:tcPr>
            <w:tcW w:w="616" w:type="pct"/>
            <w:tcBorders>
              <w:top w:val="nil"/>
              <w:left w:val="nil"/>
              <w:bottom w:val="single" w:sz="4" w:space="0" w:color="auto"/>
              <w:right w:val="nil"/>
            </w:tcBorders>
            <w:shd w:val="clear" w:color="auto" w:fill="auto"/>
            <w:vAlign w:val="bottom"/>
          </w:tcPr>
          <w:p w14:paraId="132B1F86" w14:textId="0F9EE852" w:rsidR="00790E17" w:rsidRPr="00537128" w:rsidRDefault="00790E17" w:rsidP="00790E17">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88,565</w:t>
            </w:r>
          </w:p>
        </w:tc>
        <w:tc>
          <w:tcPr>
            <w:tcW w:w="616" w:type="pct"/>
            <w:tcBorders>
              <w:top w:val="nil"/>
              <w:left w:val="nil"/>
              <w:bottom w:val="single" w:sz="4" w:space="0" w:color="auto"/>
              <w:right w:val="nil"/>
            </w:tcBorders>
            <w:shd w:val="clear" w:color="auto" w:fill="auto"/>
            <w:vAlign w:val="bottom"/>
          </w:tcPr>
          <w:p w14:paraId="7865206F" w14:textId="5831F770" w:rsidR="00790E17" w:rsidRPr="00537128" w:rsidRDefault="00790E17" w:rsidP="00790E17">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w:t>
            </w:r>
          </w:p>
        </w:tc>
        <w:tc>
          <w:tcPr>
            <w:tcW w:w="688" w:type="pct"/>
            <w:tcBorders>
              <w:top w:val="nil"/>
              <w:left w:val="nil"/>
              <w:bottom w:val="single" w:sz="4" w:space="0" w:color="auto"/>
              <w:right w:val="nil"/>
            </w:tcBorders>
            <w:shd w:val="clear" w:color="auto" w:fill="auto"/>
            <w:vAlign w:val="bottom"/>
          </w:tcPr>
          <w:p w14:paraId="5A9A2A79" w14:textId="4B0A61BA" w:rsidR="00790E17" w:rsidRPr="00537128" w:rsidRDefault="00790E17" w:rsidP="00790E17">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82,581</w:t>
            </w:r>
          </w:p>
        </w:tc>
      </w:tr>
      <w:tr w:rsidR="00790E17" w:rsidRPr="00537128" w14:paraId="01A08DD6" w14:textId="77777777" w:rsidTr="00CE00C1">
        <w:trPr>
          <w:trHeight w:val="320"/>
        </w:trPr>
        <w:tc>
          <w:tcPr>
            <w:tcW w:w="1309" w:type="pct"/>
            <w:vAlign w:val="bottom"/>
          </w:tcPr>
          <w:p w14:paraId="5B846CB5" w14:textId="77777777" w:rsidR="00790E17" w:rsidRPr="00537128" w:rsidRDefault="00790E17" w:rsidP="00790E17">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Net foreign exchange – Guarantee fund</w:t>
            </w:r>
          </w:p>
        </w:tc>
        <w:tc>
          <w:tcPr>
            <w:tcW w:w="617" w:type="pct"/>
            <w:tcBorders>
              <w:top w:val="single" w:sz="4" w:space="0" w:color="auto"/>
              <w:left w:val="nil"/>
              <w:right w:val="nil"/>
            </w:tcBorders>
            <w:shd w:val="clear" w:color="auto" w:fill="auto"/>
            <w:vAlign w:val="bottom"/>
          </w:tcPr>
          <w:p w14:paraId="024B42EF" w14:textId="553FFB12" w:rsidR="00790E17" w:rsidRPr="00537128" w:rsidRDefault="00790E17" w:rsidP="00790E17">
            <w:pPr>
              <w:tabs>
                <w:tab w:val="right" w:pos="1202"/>
              </w:tabs>
              <w:spacing w:after="0" w:line="240" w:lineRule="auto"/>
              <w:jc w:val="right"/>
              <w:outlineLvl w:val="0"/>
              <w:rPr>
                <w:rFonts w:eastAsia="Times New Roman" w:cs="Arial"/>
                <w:iCs/>
                <w:noProof/>
                <w:color w:val="000000" w:themeColor="text1"/>
                <w:sz w:val="18"/>
                <w:szCs w:val="18"/>
                <w:lang w:val="en-US"/>
              </w:rPr>
            </w:pPr>
            <w:r w:rsidRPr="00EA3621">
              <w:rPr>
                <w:rFonts w:eastAsia="Times New Roman" w:cstheme="minorHAnsi"/>
                <w:iCs/>
                <w:color w:val="000000" w:themeColor="text1"/>
                <w:sz w:val="18"/>
                <w:szCs w:val="18"/>
              </w:rPr>
              <w:t>-</w:t>
            </w:r>
          </w:p>
        </w:tc>
        <w:tc>
          <w:tcPr>
            <w:tcW w:w="615" w:type="pct"/>
            <w:tcBorders>
              <w:top w:val="single" w:sz="4" w:space="0" w:color="auto"/>
              <w:left w:val="nil"/>
              <w:right w:val="nil"/>
            </w:tcBorders>
            <w:shd w:val="clear" w:color="auto" w:fill="auto"/>
            <w:vAlign w:val="bottom"/>
          </w:tcPr>
          <w:p w14:paraId="1C5382E0" w14:textId="2DA45A77" w:rsidR="00790E17" w:rsidRPr="00537128" w:rsidRDefault="00790E17" w:rsidP="00790E17">
            <w:pPr>
              <w:tabs>
                <w:tab w:val="right" w:pos="1202"/>
              </w:tabs>
              <w:spacing w:after="0" w:line="240" w:lineRule="auto"/>
              <w:jc w:val="right"/>
              <w:outlineLvl w:val="0"/>
              <w:rPr>
                <w:rFonts w:eastAsia="Times New Roman" w:cs="Arial"/>
                <w:iCs/>
                <w:noProof/>
                <w:color w:val="000000" w:themeColor="text1"/>
                <w:sz w:val="18"/>
                <w:szCs w:val="18"/>
                <w:lang w:val="en-US"/>
              </w:rPr>
            </w:pPr>
            <w:r w:rsidRPr="00EA3621">
              <w:rPr>
                <w:rFonts w:eastAsia="Times New Roman" w:cstheme="minorHAnsi"/>
                <w:iCs/>
                <w:color w:val="000000" w:themeColor="text1"/>
                <w:sz w:val="18"/>
                <w:szCs w:val="18"/>
              </w:rPr>
              <w:t>-</w:t>
            </w:r>
          </w:p>
        </w:tc>
        <w:tc>
          <w:tcPr>
            <w:tcW w:w="539" w:type="pct"/>
            <w:tcBorders>
              <w:top w:val="single" w:sz="4" w:space="0" w:color="auto"/>
              <w:left w:val="nil"/>
              <w:right w:val="nil"/>
            </w:tcBorders>
            <w:shd w:val="clear" w:color="auto" w:fill="auto"/>
            <w:vAlign w:val="bottom"/>
          </w:tcPr>
          <w:p w14:paraId="4AD079C2" w14:textId="542A928A" w:rsidR="00790E17" w:rsidRPr="00537128" w:rsidRDefault="00790E17" w:rsidP="00790E17">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6" w:type="pct"/>
            <w:tcBorders>
              <w:top w:val="single" w:sz="4" w:space="0" w:color="auto"/>
              <w:left w:val="nil"/>
              <w:right w:val="nil"/>
            </w:tcBorders>
            <w:shd w:val="clear" w:color="auto" w:fill="auto"/>
            <w:vAlign w:val="bottom"/>
          </w:tcPr>
          <w:p w14:paraId="3ADBE2AA" w14:textId="63D435C7" w:rsidR="00790E17" w:rsidRPr="00537128" w:rsidRDefault="00790E17" w:rsidP="00790E17">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6" w:type="pct"/>
            <w:tcBorders>
              <w:top w:val="single" w:sz="4" w:space="0" w:color="auto"/>
              <w:left w:val="nil"/>
              <w:right w:val="nil"/>
            </w:tcBorders>
            <w:shd w:val="clear" w:color="auto" w:fill="auto"/>
            <w:vAlign w:val="bottom"/>
          </w:tcPr>
          <w:p w14:paraId="20936FC6" w14:textId="6C371397" w:rsidR="00790E17" w:rsidRPr="00537128" w:rsidRDefault="00790E17" w:rsidP="00790E17">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54</w:t>
            </w:r>
          </w:p>
        </w:tc>
        <w:tc>
          <w:tcPr>
            <w:tcW w:w="688" w:type="pct"/>
            <w:tcBorders>
              <w:top w:val="single" w:sz="4" w:space="0" w:color="auto"/>
              <w:left w:val="nil"/>
              <w:right w:val="nil"/>
            </w:tcBorders>
            <w:shd w:val="clear" w:color="auto" w:fill="auto"/>
            <w:vAlign w:val="bottom"/>
          </w:tcPr>
          <w:p w14:paraId="5333B481" w14:textId="0B629946" w:rsidR="00790E17" w:rsidRPr="00537128" w:rsidRDefault="00790E17" w:rsidP="00790E17">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54</w:t>
            </w:r>
          </w:p>
        </w:tc>
      </w:tr>
      <w:tr w:rsidR="00790E17" w:rsidRPr="00537128" w14:paraId="4A5C63DC" w14:textId="77777777" w:rsidTr="00CE00C1">
        <w:trPr>
          <w:trHeight w:val="320"/>
        </w:trPr>
        <w:tc>
          <w:tcPr>
            <w:tcW w:w="1309" w:type="pct"/>
            <w:vAlign w:val="bottom"/>
          </w:tcPr>
          <w:p w14:paraId="23ED97CC" w14:textId="1B2B3643" w:rsidR="00790E17" w:rsidRPr="00537128" w:rsidRDefault="00790E17" w:rsidP="00790E17">
            <w:pPr>
              <w:tabs>
                <w:tab w:val="right" w:pos="1202"/>
              </w:tabs>
              <w:spacing w:after="0" w:line="240" w:lineRule="auto"/>
              <w:outlineLvl w:val="0"/>
              <w:rPr>
                <w:rFonts w:eastAsia="Times New Roman" w:cs="Arial"/>
                <w:iCs/>
                <w:noProof/>
                <w:color w:val="000000" w:themeColor="text1"/>
                <w:sz w:val="18"/>
                <w:szCs w:val="18"/>
                <w:lang w:val="en-US"/>
              </w:rPr>
            </w:pPr>
            <w:bookmarkStart w:id="96" w:name="_Toc4057148"/>
            <w:r w:rsidRPr="00EA22B8">
              <w:rPr>
                <w:rFonts w:ascii="Calibri" w:hAnsi="Calibri"/>
                <w:iCs/>
                <w:sz w:val="18"/>
                <w:szCs w:val="18"/>
              </w:rPr>
              <w:t>Capital paid-in from the State Budget</w:t>
            </w:r>
            <w:bookmarkEnd w:id="96"/>
            <w:r w:rsidRPr="00EA22B8">
              <w:rPr>
                <w:rFonts w:ascii="Calibri" w:hAnsi="Calibri"/>
                <w:iCs/>
                <w:sz w:val="18"/>
                <w:szCs w:val="18"/>
              </w:rPr>
              <w:t xml:space="preserve">  </w:t>
            </w:r>
          </w:p>
        </w:tc>
        <w:tc>
          <w:tcPr>
            <w:tcW w:w="617" w:type="pct"/>
            <w:tcBorders>
              <w:top w:val="single" w:sz="4" w:space="0" w:color="auto"/>
              <w:left w:val="nil"/>
              <w:right w:val="nil"/>
            </w:tcBorders>
            <w:shd w:val="clear" w:color="auto" w:fill="auto"/>
            <w:vAlign w:val="bottom"/>
          </w:tcPr>
          <w:p w14:paraId="6CE53A95" w14:textId="493B1F6A" w:rsidR="00790E17" w:rsidRPr="00537128" w:rsidRDefault="00790E17" w:rsidP="00790E17">
            <w:pPr>
              <w:tabs>
                <w:tab w:val="right" w:pos="1202"/>
              </w:tabs>
              <w:spacing w:after="0" w:line="240" w:lineRule="auto"/>
              <w:jc w:val="right"/>
              <w:outlineLvl w:val="0"/>
              <w:rPr>
                <w:rFonts w:eastAsia="Times New Roman" w:cstheme="minorHAnsi"/>
                <w:iCs/>
                <w:color w:val="000000" w:themeColor="text1"/>
                <w:sz w:val="18"/>
                <w:szCs w:val="18"/>
                <w:lang w:val="en-US"/>
              </w:rPr>
            </w:pPr>
            <w:r>
              <w:rPr>
                <w:rFonts w:eastAsia="Times New Roman" w:cstheme="minorHAnsi"/>
                <w:iCs/>
                <w:color w:val="000000" w:themeColor="text1"/>
                <w:sz w:val="18"/>
                <w:szCs w:val="18"/>
                <w:lang w:val="en-US"/>
              </w:rPr>
              <w:t>-</w:t>
            </w:r>
          </w:p>
        </w:tc>
        <w:tc>
          <w:tcPr>
            <w:tcW w:w="615" w:type="pct"/>
            <w:tcBorders>
              <w:top w:val="single" w:sz="4" w:space="0" w:color="auto"/>
              <w:left w:val="nil"/>
              <w:right w:val="nil"/>
            </w:tcBorders>
            <w:shd w:val="clear" w:color="auto" w:fill="auto"/>
            <w:vAlign w:val="bottom"/>
          </w:tcPr>
          <w:p w14:paraId="31055F4A" w14:textId="7C30F41B" w:rsidR="00790E17" w:rsidRPr="00537128" w:rsidRDefault="00790E17" w:rsidP="00790E17">
            <w:pPr>
              <w:tabs>
                <w:tab w:val="right" w:pos="1202"/>
              </w:tabs>
              <w:spacing w:after="0" w:line="240" w:lineRule="auto"/>
              <w:jc w:val="right"/>
              <w:outlineLvl w:val="0"/>
              <w:rPr>
                <w:rFonts w:eastAsia="Times New Roman" w:cstheme="minorHAnsi"/>
                <w:iCs/>
                <w:color w:val="000000" w:themeColor="text1"/>
                <w:sz w:val="18"/>
                <w:szCs w:val="18"/>
                <w:lang w:val="en-US"/>
              </w:rPr>
            </w:pPr>
            <w:r>
              <w:rPr>
                <w:rFonts w:eastAsia="Times New Roman" w:cstheme="minorHAnsi"/>
                <w:iCs/>
                <w:color w:val="000000" w:themeColor="text1"/>
                <w:sz w:val="18"/>
                <w:szCs w:val="18"/>
                <w:lang w:val="en-US"/>
              </w:rPr>
              <w:t>-</w:t>
            </w:r>
          </w:p>
        </w:tc>
        <w:tc>
          <w:tcPr>
            <w:tcW w:w="539" w:type="pct"/>
            <w:tcBorders>
              <w:top w:val="single" w:sz="4" w:space="0" w:color="auto"/>
              <w:left w:val="nil"/>
              <w:right w:val="nil"/>
            </w:tcBorders>
            <w:shd w:val="clear" w:color="auto" w:fill="auto"/>
            <w:vAlign w:val="bottom"/>
          </w:tcPr>
          <w:p w14:paraId="362568C9" w14:textId="7D119E66" w:rsidR="00790E17" w:rsidRPr="00537128" w:rsidRDefault="00790E17" w:rsidP="00790E17">
            <w:pPr>
              <w:tabs>
                <w:tab w:val="right" w:pos="1202"/>
              </w:tabs>
              <w:spacing w:after="0" w:line="240" w:lineRule="auto"/>
              <w:jc w:val="right"/>
              <w:outlineLvl w:val="0"/>
              <w:rPr>
                <w:rFonts w:eastAsia="Times New Roman" w:cstheme="minorHAnsi"/>
                <w:iCs/>
                <w:color w:val="000000" w:themeColor="text1"/>
                <w:sz w:val="18"/>
                <w:szCs w:val="18"/>
                <w:lang w:val="en-US"/>
              </w:rPr>
            </w:pPr>
            <w:r>
              <w:rPr>
                <w:rFonts w:eastAsia="Times New Roman" w:cstheme="minorHAnsi"/>
                <w:iCs/>
                <w:color w:val="000000" w:themeColor="text1"/>
                <w:sz w:val="18"/>
                <w:szCs w:val="18"/>
                <w:lang w:val="en-US"/>
              </w:rPr>
              <w:t>-</w:t>
            </w:r>
          </w:p>
        </w:tc>
        <w:tc>
          <w:tcPr>
            <w:tcW w:w="616" w:type="pct"/>
            <w:tcBorders>
              <w:top w:val="single" w:sz="4" w:space="0" w:color="auto"/>
              <w:left w:val="nil"/>
              <w:right w:val="nil"/>
            </w:tcBorders>
            <w:shd w:val="clear" w:color="auto" w:fill="auto"/>
            <w:vAlign w:val="bottom"/>
          </w:tcPr>
          <w:p w14:paraId="5431A4C2" w14:textId="27F6B328" w:rsidR="00790E17" w:rsidRPr="00537128" w:rsidRDefault="00790E17" w:rsidP="00790E17">
            <w:pPr>
              <w:tabs>
                <w:tab w:val="right" w:pos="1202"/>
              </w:tabs>
              <w:spacing w:after="0" w:line="240" w:lineRule="auto"/>
              <w:jc w:val="right"/>
              <w:outlineLvl w:val="0"/>
              <w:rPr>
                <w:rFonts w:eastAsia="Times New Roman" w:cstheme="minorHAnsi"/>
                <w:iCs/>
                <w:color w:val="000000" w:themeColor="text1"/>
                <w:sz w:val="18"/>
                <w:szCs w:val="18"/>
                <w:lang w:val="en-US"/>
              </w:rPr>
            </w:pPr>
            <w:r>
              <w:rPr>
                <w:rFonts w:eastAsia="Times New Roman" w:cstheme="minorHAnsi"/>
                <w:iCs/>
                <w:color w:val="000000" w:themeColor="text1"/>
                <w:sz w:val="18"/>
                <w:szCs w:val="18"/>
                <w:lang w:val="en-US"/>
              </w:rPr>
              <w:t>-</w:t>
            </w:r>
          </w:p>
        </w:tc>
        <w:tc>
          <w:tcPr>
            <w:tcW w:w="616" w:type="pct"/>
            <w:tcBorders>
              <w:top w:val="single" w:sz="4" w:space="0" w:color="auto"/>
              <w:left w:val="nil"/>
              <w:right w:val="nil"/>
            </w:tcBorders>
            <w:shd w:val="clear" w:color="auto" w:fill="auto"/>
            <w:vAlign w:val="bottom"/>
          </w:tcPr>
          <w:p w14:paraId="0F8A9A18" w14:textId="3E43C200" w:rsidR="00790E17" w:rsidRPr="00537128" w:rsidRDefault="00790E17" w:rsidP="00790E17">
            <w:pPr>
              <w:tabs>
                <w:tab w:val="right" w:pos="1202"/>
              </w:tabs>
              <w:spacing w:after="0" w:line="240" w:lineRule="auto"/>
              <w:jc w:val="right"/>
              <w:outlineLvl w:val="0"/>
              <w:rPr>
                <w:rFonts w:eastAsia="Times New Roman" w:cstheme="minorHAnsi"/>
                <w:color w:val="000000" w:themeColor="text1"/>
                <w:sz w:val="18"/>
                <w:szCs w:val="18"/>
                <w:lang w:val="en-US"/>
              </w:rPr>
            </w:pPr>
            <w:r>
              <w:rPr>
                <w:rFonts w:eastAsia="Times New Roman" w:cstheme="minorHAnsi"/>
                <w:color w:val="000000" w:themeColor="text1"/>
                <w:sz w:val="18"/>
                <w:szCs w:val="18"/>
                <w:lang w:val="en-US"/>
              </w:rPr>
              <w:t>-</w:t>
            </w:r>
          </w:p>
        </w:tc>
        <w:tc>
          <w:tcPr>
            <w:tcW w:w="688" w:type="pct"/>
            <w:tcBorders>
              <w:top w:val="single" w:sz="4" w:space="0" w:color="auto"/>
              <w:left w:val="nil"/>
              <w:right w:val="nil"/>
            </w:tcBorders>
            <w:shd w:val="clear" w:color="auto" w:fill="auto"/>
            <w:vAlign w:val="bottom"/>
          </w:tcPr>
          <w:p w14:paraId="5346489C" w14:textId="487643E1" w:rsidR="00790E17" w:rsidRPr="00537128" w:rsidRDefault="00790E17" w:rsidP="00790E17">
            <w:pPr>
              <w:tabs>
                <w:tab w:val="right" w:pos="1202"/>
              </w:tabs>
              <w:spacing w:after="0" w:line="240" w:lineRule="auto"/>
              <w:jc w:val="right"/>
              <w:outlineLvl w:val="0"/>
              <w:rPr>
                <w:rFonts w:eastAsia="Times New Roman" w:cstheme="minorHAnsi"/>
                <w:b/>
                <w:iCs/>
                <w:color w:val="000000" w:themeColor="text1"/>
                <w:sz w:val="18"/>
                <w:szCs w:val="18"/>
                <w:lang w:val="en-US"/>
              </w:rPr>
            </w:pPr>
            <w:r>
              <w:rPr>
                <w:rFonts w:eastAsia="Times New Roman" w:cstheme="minorHAnsi"/>
                <w:b/>
                <w:iCs/>
                <w:color w:val="000000" w:themeColor="text1"/>
                <w:sz w:val="18"/>
                <w:szCs w:val="18"/>
                <w:lang w:val="en-US"/>
              </w:rPr>
              <w:t>-</w:t>
            </w:r>
          </w:p>
        </w:tc>
      </w:tr>
      <w:tr w:rsidR="00790E17" w:rsidRPr="00537128" w14:paraId="5D10A1DB" w14:textId="77777777" w:rsidTr="00CD6F02">
        <w:trPr>
          <w:trHeight w:val="448"/>
        </w:trPr>
        <w:tc>
          <w:tcPr>
            <w:tcW w:w="1309" w:type="pct"/>
            <w:vAlign w:val="bottom"/>
          </w:tcPr>
          <w:p w14:paraId="076DFD79" w14:textId="1E43DED8" w:rsidR="00790E17" w:rsidRPr="00537128" w:rsidRDefault="00790E17" w:rsidP="00790E17">
            <w:pPr>
              <w:tabs>
                <w:tab w:val="right" w:pos="1202"/>
              </w:tabs>
              <w:spacing w:after="0" w:line="301" w:lineRule="exact"/>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Transfer of profit 20</w:t>
            </w:r>
            <w:r>
              <w:rPr>
                <w:rFonts w:eastAsia="Times New Roman" w:cs="Arial"/>
                <w:iCs/>
                <w:noProof/>
                <w:color w:val="000000" w:themeColor="text1"/>
                <w:sz w:val="18"/>
                <w:szCs w:val="18"/>
                <w:lang w:val="en-US"/>
              </w:rPr>
              <w:t>20</w:t>
            </w:r>
            <w:r w:rsidRPr="00537128">
              <w:rPr>
                <w:rFonts w:eastAsia="Times New Roman" w:cs="Arial"/>
                <w:iCs/>
                <w:noProof/>
                <w:color w:val="000000" w:themeColor="text1"/>
                <w:sz w:val="18"/>
                <w:szCs w:val="18"/>
                <w:lang w:val="en-US"/>
              </w:rPr>
              <w:t xml:space="preserve"> to</w:t>
            </w:r>
          </w:p>
          <w:p w14:paraId="21A1BD50" w14:textId="77777777" w:rsidR="00790E17" w:rsidRPr="00537128" w:rsidRDefault="00790E17" w:rsidP="00790E17">
            <w:pPr>
              <w:tabs>
                <w:tab w:val="right" w:pos="1202"/>
              </w:tabs>
              <w:spacing w:after="0" w:line="240" w:lineRule="auto"/>
              <w:outlineLvl w:val="0"/>
              <w:rPr>
                <w:rFonts w:eastAsia="Times New Roman" w:cs="Arial"/>
                <w:i/>
                <w:iCs/>
                <w:noProof/>
                <w:color w:val="000000" w:themeColor="text1"/>
                <w:sz w:val="18"/>
                <w:szCs w:val="18"/>
                <w:lang w:val="en-US"/>
              </w:rPr>
            </w:pPr>
            <w:r w:rsidRPr="00537128">
              <w:rPr>
                <w:rFonts w:eastAsia="Times New Roman" w:cs="Arial"/>
                <w:iCs/>
                <w:noProof/>
                <w:color w:val="000000" w:themeColor="text1"/>
                <w:sz w:val="18"/>
                <w:szCs w:val="18"/>
                <w:lang w:val="en-US"/>
              </w:rPr>
              <w:t>retained earnings</w:t>
            </w:r>
          </w:p>
        </w:tc>
        <w:tc>
          <w:tcPr>
            <w:tcW w:w="617" w:type="pct"/>
            <w:tcBorders>
              <w:bottom w:val="single" w:sz="12" w:space="0" w:color="auto"/>
            </w:tcBorders>
            <w:vAlign w:val="bottom"/>
          </w:tcPr>
          <w:p w14:paraId="54E86770" w14:textId="1B4FE7B5" w:rsidR="00790E17" w:rsidRPr="00537128" w:rsidRDefault="00790E17" w:rsidP="00790E17">
            <w:pPr>
              <w:tabs>
                <w:tab w:val="right" w:pos="1202"/>
              </w:tabs>
              <w:spacing w:after="0" w:line="240" w:lineRule="auto"/>
              <w:jc w:val="right"/>
              <w:outlineLvl w:val="0"/>
              <w:rPr>
                <w:rFonts w:eastAsia="Times New Roman" w:cs="Arial"/>
                <w:iCs/>
                <w:noProof/>
                <w:color w:val="000000" w:themeColor="text1"/>
                <w:sz w:val="18"/>
                <w:szCs w:val="18"/>
                <w:lang w:val="en-US"/>
              </w:rPr>
            </w:pPr>
            <w:r w:rsidRPr="00EA3621">
              <w:rPr>
                <w:rFonts w:eastAsia="Times New Roman" w:cstheme="minorHAnsi"/>
                <w:iCs/>
                <w:color w:val="000000" w:themeColor="text1"/>
                <w:sz w:val="18"/>
                <w:szCs w:val="18"/>
              </w:rPr>
              <w:t>-</w:t>
            </w:r>
          </w:p>
        </w:tc>
        <w:tc>
          <w:tcPr>
            <w:tcW w:w="615" w:type="pct"/>
            <w:tcBorders>
              <w:bottom w:val="single" w:sz="12" w:space="0" w:color="auto"/>
            </w:tcBorders>
            <w:vAlign w:val="bottom"/>
          </w:tcPr>
          <w:p w14:paraId="72D50CD0" w14:textId="06BD5E94" w:rsidR="00790E17" w:rsidRPr="00537128" w:rsidRDefault="00790E17" w:rsidP="00790E17">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81</w:t>
            </w:r>
            <w:r w:rsidR="00CA7301">
              <w:rPr>
                <w:rFonts w:eastAsia="Times New Roman" w:cstheme="minorHAnsi"/>
                <w:iCs/>
                <w:color w:val="000000" w:themeColor="text1"/>
                <w:sz w:val="18"/>
                <w:szCs w:val="18"/>
              </w:rPr>
              <w:t>,</w:t>
            </w:r>
            <w:r>
              <w:rPr>
                <w:rFonts w:eastAsia="Times New Roman" w:cstheme="minorHAnsi"/>
                <w:iCs/>
                <w:color w:val="000000" w:themeColor="text1"/>
                <w:sz w:val="18"/>
                <w:szCs w:val="18"/>
              </w:rPr>
              <w:t>531</w:t>
            </w:r>
          </w:p>
        </w:tc>
        <w:tc>
          <w:tcPr>
            <w:tcW w:w="539" w:type="pct"/>
            <w:tcBorders>
              <w:bottom w:val="single" w:sz="12" w:space="0" w:color="auto"/>
            </w:tcBorders>
            <w:vAlign w:val="bottom"/>
          </w:tcPr>
          <w:p w14:paraId="725976E7" w14:textId="6B52A654" w:rsidR="00790E17" w:rsidRPr="00537128" w:rsidRDefault="00790E17" w:rsidP="00790E17">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6" w:type="pct"/>
            <w:tcBorders>
              <w:bottom w:val="single" w:sz="12" w:space="0" w:color="auto"/>
            </w:tcBorders>
            <w:vAlign w:val="bottom"/>
          </w:tcPr>
          <w:p w14:paraId="6D33791F" w14:textId="5C798702" w:rsidR="00790E17" w:rsidRPr="00537128" w:rsidRDefault="00790E17" w:rsidP="00790E17">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(81</w:t>
            </w:r>
            <w:r w:rsidR="00CA7301">
              <w:rPr>
                <w:rFonts w:eastAsia="Times New Roman" w:cstheme="minorHAnsi"/>
                <w:iCs/>
                <w:color w:val="000000" w:themeColor="text1"/>
                <w:sz w:val="18"/>
                <w:szCs w:val="18"/>
              </w:rPr>
              <w:t>,</w:t>
            </w:r>
            <w:r>
              <w:rPr>
                <w:rFonts w:eastAsia="Times New Roman" w:cstheme="minorHAnsi"/>
                <w:iCs/>
                <w:color w:val="000000" w:themeColor="text1"/>
                <w:sz w:val="18"/>
                <w:szCs w:val="18"/>
              </w:rPr>
              <w:t>531)</w:t>
            </w:r>
          </w:p>
        </w:tc>
        <w:tc>
          <w:tcPr>
            <w:tcW w:w="616" w:type="pct"/>
            <w:tcBorders>
              <w:bottom w:val="single" w:sz="12" w:space="0" w:color="auto"/>
            </w:tcBorders>
            <w:vAlign w:val="bottom"/>
          </w:tcPr>
          <w:p w14:paraId="6ABA882E" w14:textId="24A644AE" w:rsidR="00790E17" w:rsidRPr="00537128" w:rsidRDefault="00790E17" w:rsidP="00790E17">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w:t>
            </w:r>
          </w:p>
        </w:tc>
        <w:tc>
          <w:tcPr>
            <w:tcW w:w="688" w:type="pct"/>
            <w:tcBorders>
              <w:bottom w:val="single" w:sz="12" w:space="0" w:color="auto"/>
            </w:tcBorders>
            <w:vAlign w:val="bottom"/>
          </w:tcPr>
          <w:p w14:paraId="11073889" w14:textId="0034B783" w:rsidR="00790E17" w:rsidRPr="00537128" w:rsidRDefault="00790E17" w:rsidP="00790E17">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w:t>
            </w:r>
          </w:p>
        </w:tc>
      </w:tr>
      <w:tr w:rsidR="009C78C1" w:rsidRPr="00537128" w14:paraId="4BC3DEDB" w14:textId="77777777" w:rsidTr="0004657A">
        <w:trPr>
          <w:trHeight w:val="385"/>
        </w:trPr>
        <w:tc>
          <w:tcPr>
            <w:tcW w:w="1309" w:type="pct"/>
            <w:vAlign w:val="bottom"/>
          </w:tcPr>
          <w:p w14:paraId="7AD3E5A9" w14:textId="2D33FA58" w:rsidR="009C78C1" w:rsidRPr="00537128" w:rsidRDefault="009C78C1" w:rsidP="009C78C1">
            <w:pPr>
              <w:tabs>
                <w:tab w:val="right" w:pos="1202"/>
              </w:tabs>
              <w:spacing w:after="0" w:line="240" w:lineRule="auto"/>
              <w:outlineLvl w:val="0"/>
              <w:rPr>
                <w:rFonts w:eastAsia="Times New Roman" w:cs="Arial"/>
                <w:b/>
                <w:iCs/>
                <w:noProof/>
                <w:color w:val="000000" w:themeColor="text1"/>
                <w:sz w:val="18"/>
                <w:szCs w:val="18"/>
                <w:lang w:val="en-US"/>
              </w:rPr>
            </w:pPr>
            <w:r w:rsidRPr="00537128">
              <w:rPr>
                <w:rFonts w:eastAsia="Times New Roman" w:cs="Arial"/>
                <w:b/>
                <w:iCs/>
                <w:noProof/>
                <w:color w:val="000000" w:themeColor="text1"/>
                <w:sz w:val="18"/>
                <w:szCs w:val="18"/>
                <w:lang w:val="en-US"/>
              </w:rPr>
              <w:t>Balance as at 31 March 202</w:t>
            </w:r>
            <w:r>
              <w:rPr>
                <w:rFonts w:eastAsia="Times New Roman" w:cs="Arial"/>
                <w:b/>
                <w:iCs/>
                <w:noProof/>
                <w:color w:val="000000" w:themeColor="text1"/>
                <w:sz w:val="18"/>
                <w:szCs w:val="18"/>
                <w:lang w:val="en-US"/>
              </w:rPr>
              <w:t>1</w:t>
            </w:r>
          </w:p>
        </w:tc>
        <w:tc>
          <w:tcPr>
            <w:tcW w:w="617" w:type="pct"/>
            <w:tcBorders>
              <w:top w:val="nil"/>
              <w:left w:val="nil"/>
              <w:bottom w:val="single" w:sz="12" w:space="0" w:color="auto"/>
              <w:right w:val="nil"/>
            </w:tcBorders>
            <w:shd w:val="clear" w:color="auto" w:fill="auto"/>
            <w:vAlign w:val="bottom"/>
          </w:tcPr>
          <w:p w14:paraId="2E1E6F18" w14:textId="6A32CA46" w:rsidR="009C78C1" w:rsidRPr="00537128" w:rsidRDefault="009C78C1" w:rsidP="009C78C1">
            <w:pPr>
              <w:tabs>
                <w:tab w:val="right" w:pos="1202"/>
              </w:tabs>
              <w:spacing w:after="0" w:line="320" w:lineRule="exact"/>
              <w:jc w:val="right"/>
              <w:outlineLvl w:val="0"/>
              <w:rPr>
                <w:rFonts w:eastAsia="Times New Roman" w:cs="Arial"/>
                <w:b/>
                <w:iCs/>
                <w:noProof/>
                <w:color w:val="000000" w:themeColor="text1"/>
                <w:sz w:val="18"/>
                <w:szCs w:val="18"/>
                <w:lang w:val="en-US"/>
              </w:rPr>
            </w:pPr>
            <w:r w:rsidRPr="00EA3621">
              <w:rPr>
                <w:rFonts w:cstheme="minorHAnsi"/>
                <w:b/>
                <w:iCs/>
                <w:color w:val="000000" w:themeColor="text1"/>
                <w:sz w:val="18"/>
                <w:szCs w:val="18"/>
              </w:rPr>
              <w:t>7</w:t>
            </w:r>
            <w:r>
              <w:rPr>
                <w:rFonts w:cstheme="minorHAnsi"/>
                <w:b/>
                <w:iCs/>
                <w:color w:val="000000" w:themeColor="text1"/>
                <w:sz w:val="18"/>
                <w:szCs w:val="18"/>
              </w:rPr>
              <w:t>,</w:t>
            </w:r>
            <w:r w:rsidRPr="00EA3621">
              <w:rPr>
                <w:rFonts w:cstheme="minorHAnsi"/>
                <w:b/>
                <w:iCs/>
                <w:color w:val="000000" w:themeColor="text1"/>
                <w:sz w:val="18"/>
                <w:szCs w:val="18"/>
              </w:rPr>
              <w:t>134</w:t>
            </w:r>
            <w:r>
              <w:rPr>
                <w:rFonts w:cstheme="minorHAnsi"/>
                <w:b/>
                <w:iCs/>
                <w:color w:val="000000" w:themeColor="text1"/>
                <w:sz w:val="18"/>
                <w:szCs w:val="18"/>
              </w:rPr>
              <w:t>,</w:t>
            </w:r>
            <w:r w:rsidRPr="00EA3621">
              <w:rPr>
                <w:rFonts w:cstheme="minorHAnsi"/>
                <w:b/>
                <w:iCs/>
                <w:color w:val="000000" w:themeColor="text1"/>
                <w:sz w:val="18"/>
                <w:szCs w:val="18"/>
              </w:rPr>
              <w:t>632</w:t>
            </w:r>
          </w:p>
        </w:tc>
        <w:tc>
          <w:tcPr>
            <w:tcW w:w="615" w:type="pct"/>
            <w:tcBorders>
              <w:left w:val="nil"/>
              <w:bottom w:val="single" w:sz="12" w:space="0" w:color="auto"/>
              <w:right w:val="nil"/>
            </w:tcBorders>
            <w:shd w:val="clear" w:color="auto" w:fill="auto"/>
            <w:vAlign w:val="bottom"/>
          </w:tcPr>
          <w:p w14:paraId="6098B85E" w14:textId="596EAB63" w:rsidR="009C78C1" w:rsidRPr="00537128" w:rsidRDefault="009C78C1" w:rsidP="009C78C1">
            <w:pPr>
              <w:tabs>
                <w:tab w:val="right" w:pos="1202"/>
              </w:tabs>
              <w:spacing w:after="0" w:line="320" w:lineRule="exact"/>
              <w:jc w:val="right"/>
              <w:outlineLvl w:val="0"/>
              <w:rPr>
                <w:rFonts w:eastAsia="Times New Roman" w:cs="Arial"/>
                <w:b/>
                <w:iCs/>
                <w:noProof/>
                <w:color w:val="000000" w:themeColor="text1"/>
                <w:sz w:val="18"/>
                <w:szCs w:val="18"/>
                <w:lang w:val="en-US"/>
              </w:rPr>
            </w:pPr>
            <w:r w:rsidRPr="0097741D">
              <w:rPr>
                <w:rFonts w:eastAsia="Times New Roman" w:cstheme="minorHAnsi"/>
                <w:b/>
                <w:iCs/>
                <w:color w:val="000000" w:themeColor="text1"/>
                <w:sz w:val="18"/>
                <w:szCs w:val="18"/>
              </w:rPr>
              <w:t>3</w:t>
            </w:r>
            <w:r>
              <w:rPr>
                <w:rFonts w:eastAsia="Times New Roman" w:cstheme="minorHAnsi"/>
                <w:b/>
                <w:iCs/>
                <w:color w:val="000000" w:themeColor="text1"/>
                <w:sz w:val="18"/>
                <w:szCs w:val="18"/>
              </w:rPr>
              <w:t>,</w:t>
            </w:r>
            <w:r w:rsidRPr="0097741D">
              <w:rPr>
                <w:rFonts w:eastAsia="Times New Roman" w:cstheme="minorHAnsi"/>
                <w:b/>
                <w:iCs/>
                <w:color w:val="000000" w:themeColor="text1"/>
                <w:sz w:val="18"/>
                <w:szCs w:val="18"/>
              </w:rPr>
              <w:t>157</w:t>
            </w:r>
            <w:r>
              <w:rPr>
                <w:rFonts w:eastAsia="Times New Roman" w:cstheme="minorHAnsi"/>
                <w:b/>
                <w:iCs/>
                <w:color w:val="000000" w:themeColor="text1"/>
                <w:sz w:val="18"/>
                <w:szCs w:val="18"/>
              </w:rPr>
              <w:t>,</w:t>
            </w:r>
            <w:r w:rsidRPr="0097741D">
              <w:rPr>
                <w:rFonts w:eastAsia="Times New Roman" w:cstheme="minorHAnsi"/>
                <w:b/>
                <w:iCs/>
                <w:color w:val="000000" w:themeColor="text1"/>
                <w:sz w:val="18"/>
                <w:szCs w:val="18"/>
              </w:rPr>
              <w:t>684</w:t>
            </w:r>
          </w:p>
        </w:tc>
        <w:tc>
          <w:tcPr>
            <w:tcW w:w="539" w:type="pct"/>
            <w:tcBorders>
              <w:left w:val="nil"/>
              <w:bottom w:val="single" w:sz="12" w:space="0" w:color="auto"/>
              <w:right w:val="nil"/>
            </w:tcBorders>
            <w:shd w:val="clear" w:color="auto" w:fill="auto"/>
            <w:vAlign w:val="bottom"/>
          </w:tcPr>
          <w:p w14:paraId="5DE5E762" w14:textId="10C20D3C" w:rsidR="009C78C1" w:rsidRPr="00537128" w:rsidRDefault="009C78C1" w:rsidP="009C78C1">
            <w:pPr>
              <w:tabs>
                <w:tab w:val="right" w:pos="1202"/>
              </w:tabs>
              <w:spacing w:after="0" w:line="320" w:lineRule="exact"/>
              <w:jc w:val="right"/>
              <w:outlineLvl w:val="0"/>
              <w:rPr>
                <w:rFonts w:eastAsia="Times New Roman" w:cs="Arial"/>
                <w:b/>
                <w:iCs/>
                <w:noProof/>
                <w:color w:val="000000" w:themeColor="text1"/>
                <w:sz w:val="18"/>
                <w:szCs w:val="18"/>
                <w:lang w:val="en-US"/>
              </w:rPr>
            </w:pPr>
            <w:r w:rsidRPr="0097741D">
              <w:rPr>
                <w:rFonts w:eastAsia="Times New Roman" w:cstheme="minorHAnsi"/>
                <w:b/>
                <w:iCs/>
                <w:color w:val="000000" w:themeColor="text1"/>
                <w:sz w:val="18"/>
                <w:szCs w:val="18"/>
              </w:rPr>
              <w:t>53</w:t>
            </w:r>
            <w:r>
              <w:rPr>
                <w:rFonts w:eastAsia="Times New Roman" w:cstheme="minorHAnsi"/>
                <w:b/>
                <w:iCs/>
                <w:color w:val="000000" w:themeColor="text1"/>
                <w:sz w:val="18"/>
                <w:szCs w:val="18"/>
              </w:rPr>
              <w:t>,</w:t>
            </w:r>
            <w:r w:rsidRPr="0097741D">
              <w:rPr>
                <w:rFonts w:eastAsia="Times New Roman" w:cstheme="minorHAnsi"/>
                <w:b/>
                <w:iCs/>
                <w:color w:val="000000" w:themeColor="text1"/>
                <w:sz w:val="18"/>
                <w:szCs w:val="18"/>
              </w:rPr>
              <w:t>124</w:t>
            </w:r>
          </w:p>
        </w:tc>
        <w:tc>
          <w:tcPr>
            <w:tcW w:w="616" w:type="pct"/>
            <w:tcBorders>
              <w:left w:val="nil"/>
              <w:bottom w:val="single" w:sz="12" w:space="0" w:color="auto"/>
              <w:right w:val="nil"/>
            </w:tcBorders>
            <w:shd w:val="clear" w:color="auto" w:fill="auto"/>
            <w:vAlign w:val="bottom"/>
          </w:tcPr>
          <w:p w14:paraId="57EA7065" w14:textId="4C80EB14" w:rsidR="009C78C1" w:rsidRPr="00537128" w:rsidRDefault="009C78C1" w:rsidP="009C78C1">
            <w:pPr>
              <w:tabs>
                <w:tab w:val="right" w:pos="1202"/>
              </w:tabs>
              <w:spacing w:after="0" w:line="320" w:lineRule="exact"/>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88,565</w:t>
            </w:r>
          </w:p>
        </w:tc>
        <w:tc>
          <w:tcPr>
            <w:tcW w:w="616" w:type="pct"/>
            <w:tcBorders>
              <w:left w:val="nil"/>
              <w:bottom w:val="single" w:sz="12" w:space="0" w:color="auto"/>
              <w:right w:val="nil"/>
            </w:tcBorders>
            <w:shd w:val="clear" w:color="auto" w:fill="auto"/>
            <w:vAlign w:val="bottom"/>
          </w:tcPr>
          <w:p w14:paraId="57E6ABB5" w14:textId="60161A94" w:rsidR="009C78C1" w:rsidRPr="00537128" w:rsidRDefault="009C78C1" w:rsidP="009C78C1">
            <w:pPr>
              <w:tabs>
                <w:tab w:val="right" w:pos="1202"/>
              </w:tabs>
              <w:spacing w:after="0" w:line="320" w:lineRule="exact"/>
              <w:jc w:val="right"/>
              <w:outlineLvl w:val="0"/>
              <w:rPr>
                <w:rFonts w:eastAsia="Times New Roman" w:cs="Arial"/>
                <w:b/>
                <w:iCs/>
                <w:noProof/>
                <w:color w:val="000000" w:themeColor="text1"/>
                <w:sz w:val="18"/>
                <w:szCs w:val="18"/>
                <w:lang w:val="en-US"/>
              </w:rPr>
            </w:pPr>
            <w:r>
              <w:rPr>
                <w:rFonts w:eastAsia="Times New Roman" w:cstheme="minorHAnsi"/>
                <w:b/>
                <w:bCs/>
                <w:color w:val="000000" w:themeColor="text1"/>
                <w:sz w:val="18"/>
                <w:szCs w:val="18"/>
              </w:rPr>
              <w:t>12,395</w:t>
            </w:r>
          </w:p>
        </w:tc>
        <w:tc>
          <w:tcPr>
            <w:tcW w:w="688" w:type="pct"/>
            <w:tcBorders>
              <w:left w:val="nil"/>
              <w:bottom w:val="single" w:sz="12" w:space="0" w:color="auto"/>
              <w:right w:val="nil"/>
            </w:tcBorders>
            <w:shd w:val="clear" w:color="auto" w:fill="auto"/>
            <w:vAlign w:val="bottom"/>
          </w:tcPr>
          <w:p w14:paraId="47561080" w14:textId="1B6F168B" w:rsidR="009C78C1" w:rsidRPr="00537128" w:rsidRDefault="009C78C1" w:rsidP="009C78C1">
            <w:pPr>
              <w:tabs>
                <w:tab w:val="right" w:pos="1202"/>
              </w:tabs>
              <w:spacing w:after="0" w:line="320" w:lineRule="exact"/>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10,446,400</w:t>
            </w:r>
          </w:p>
        </w:tc>
      </w:tr>
      <w:tr w:rsidR="00790E17" w:rsidRPr="00537128" w14:paraId="60312AEB" w14:textId="77777777" w:rsidTr="00CE00C1">
        <w:trPr>
          <w:trHeight w:hRule="exact" w:val="106"/>
        </w:trPr>
        <w:tc>
          <w:tcPr>
            <w:tcW w:w="1309" w:type="pct"/>
            <w:vAlign w:val="bottom"/>
          </w:tcPr>
          <w:p w14:paraId="34496807" w14:textId="77777777" w:rsidR="00790E17" w:rsidRPr="00537128" w:rsidRDefault="00790E17" w:rsidP="00790E17">
            <w:pPr>
              <w:tabs>
                <w:tab w:val="right" w:pos="1202"/>
              </w:tabs>
              <w:spacing w:after="0" w:line="240" w:lineRule="auto"/>
              <w:outlineLvl w:val="0"/>
              <w:rPr>
                <w:rFonts w:eastAsia="Times New Roman" w:cs="Arial"/>
                <w:b/>
                <w:iCs/>
                <w:noProof/>
                <w:color w:val="000000" w:themeColor="text1"/>
                <w:sz w:val="18"/>
                <w:szCs w:val="18"/>
                <w:lang w:val="en-US"/>
              </w:rPr>
            </w:pPr>
          </w:p>
        </w:tc>
        <w:tc>
          <w:tcPr>
            <w:tcW w:w="617" w:type="pct"/>
            <w:tcBorders>
              <w:top w:val="single" w:sz="12" w:space="0" w:color="auto"/>
              <w:left w:val="nil"/>
              <w:right w:val="nil"/>
            </w:tcBorders>
            <w:shd w:val="clear" w:color="auto" w:fill="auto"/>
            <w:vAlign w:val="bottom"/>
          </w:tcPr>
          <w:p w14:paraId="7F28A0AB" w14:textId="77777777" w:rsidR="00790E17" w:rsidRPr="00537128" w:rsidRDefault="00790E17" w:rsidP="00790E17">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615" w:type="pct"/>
            <w:tcBorders>
              <w:top w:val="single" w:sz="12" w:space="0" w:color="auto"/>
              <w:left w:val="nil"/>
              <w:right w:val="nil"/>
            </w:tcBorders>
            <w:shd w:val="clear" w:color="auto" w:fill="auto"/>
            <w:vAlign w:val="bottom"/>
          </w:tcPr>
          <w:p w14:paraId="54A8AEF0" w14:textId="77777777" w:rsidR="00790E17" w:rsidRPr="00537128" w:rsidRDefault="00790E17" w:rsidP="00790E17">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539" w:type="pct"/>
            <w:tcBorders>
              <w:top w:val="single" w:sz="12" w:space="0" w:color="auto"/>
              <w:left w:val="nil"/>
              <w:right w:val="nil"/>
            </w:tcBorders>
            <w:shd w:val="clear" w:color="auto" w:fill="auto"/>
            <w:vAlign w:val="bottom"/>
          </w:tcPr>
          <w:p w14:paraId="664C1FE7" w14:textId="77777777" w:rsidR="00790E17" w:rsidRPr="00537128" w:rsidRDefault="00790E17" w:rsidP="00790E17">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616" w:type="pct"/>
            <w:tcBorders>
              <w:top w:val="single" w:sz="12" w:space="0" w:color="auto"/>
              <w:left w:val="nil"/>
              <w:right w:val="nil"/>
            </w:tcBorders>
            <w:shd w:val="clear" w:color="auto" w:fill="auto"/>
            <w:vAlign w:val="bottom"/>
          </w:tcPr>
          <w:p w14:paraId="1170BE48" w14:textId="77777777" w:rsidR="00790E17" w:rsidRPr="00537128" w:rsidRDefault="00790E17" w:rsidP="00790E17">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616" w:type="pct"/>
            <w:tcBorders>
              <w:top w:val="single" w:sz="12" w:space="0" w:color="auto"/>
              <w:left w:val="nil"/>
              <w:right w:val="nil"/>
            </w:tcBorders>
            <w:vAlign w:val="bottom"/>
          </w:tcPr>
          <w:p w14:paraId="2D409012" w14:textId="77777777" w:rsidR="00790E17" w:rsidRPr="00537128" w:rsidRDefault="00790E17" w:rsidP="00790E17">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688" w:type="pct"/>
            <w:tcBorders>
              <w:top w:val="single" w:sz="12" w:space="0" w:color="auto"/>
              <w:left w:val="nil"/>
              <w:right w:val="nil"/>
            </w:tcBorders>
            <w:shd w:val="clear" w:color="auto" w:fill="auto"/>
            <w:vAlign w:val="bottom"/>
          </w:tcPr>
          <w:p w14:paraId="20E3DA0F" w14:textId="77777777" w:rsidR="00790E17" w:rsidRPr="00537128" w:rsidRDefault="00790E17" w:rsidP="00790E17">
            <w:pPr>
              <w:tabs>
                <w:tab w:val="right" w:pos="1202"/>
              </w:tabs>
              <w:spacing w:after="0" w:line="240" w:lineRule="auto"/>
              <w:jc w:val="right"/>
              <w:outlineLvl w:val="0"/>
              <w:rPr>
                <w:rFonts w:eastAsia="Times New Roman" w:cs="Calibri"/>
                <w:b/>
                <w:iCs/>
                <w:noProof/>
                <w:color w:val="000000" w:themeColor="text1"/>
                <w:sz w:val="18"/>
                <w:szCs w:val="18"/>
                <w:lang w:val="en-US"/>
              </w:rPr>
            </w:pPr>
          </w:p>
        </w:tc>
      </w:tr>
      <w:tr w:rsidR="00790E17" w:rsidRPr="00537128" w14:paraId="0A87C54E" w14:textId="77777777" w:rsidTr="004B00C2">
        <w:trPr>
          <w:trHeight w:val="343"/>
        </w:trPr>
        <w:tc>
          <w:tcPr>
            <w:tcW w:w="1309" w:type="pct"/>
            <w:vAlign w:val="bottom"/>
          </w:tcPr>
          <w:p w14:paraId="59485F6C" w14:textId="38CDE67F" w:rsidR="00790E17" w:rsidRPr="00537128" w:rsidRDefault="00790E17" w:rsidP="00790E17">
            <w:pPr>
              <w:tabs>
                <w:tab w:val="right" w:pos="1202"/>
              </w:tabs>
              <w:spacing w:after="0" w:line="240" w:lineRule="auto"/>
              <w:outlineLvl w:val="0"/>
              <w:rPr>
                <w:rFonts w:eastAsia="Times New Roman" w:cs="Arial"/>
                <w:b/>
                <w:iCs/>
                <w:noProof/>
                <w:color w:val="000000" w:themeColor="text1"/>
                <w:sz w:val="18"/>
                <w:szCs w:val="18"/>
                <w:lang w:val="en-US"/>
              </w:rPr>
            </w:pPr>
            <w:r w:rsidRPr="00537128">
              <w:rPr>
                <w:rFonts w:eastAsia="Times New Roman" w:cs="Arial"/>
                <w:b/>
                <w:iCs/>
                <w:noProof/>
                <w:color w:val="000000" w:themeColor="text1"/>
                <w:sz w:val="18"/>
                <w:szCs w:val="18"/>
                <w:lang w:val="en-US"/>
              </w:rPr>
              <w:t>Balance as at 1 January 202</w:t>
            </w:r>
            <w:r w:rsidR="00CA7301">
              <w:rPr>
                <w:rFonts w:eastAsia="Times New Roman" w:cs="Arial"/>
                <w:b/>
                <w:iCs/>
                <w:noProof/>
                <w:color w:val="000000" w:themeColor="text1"/>
                <w:sz w:val="18"/>
                <w:szCs w:val="18"/>
                <w:lang w:val="en-US"/>
              </w:rPr>
              <w:t>2</w:t>
            </w:r>
          </w:p>
        </w:tc>
        <w:tc>
          <w:tcPr>
            <w:tcW w:w="617" w:type="pct"/>
            <w:tcBorders>
              <w:left w:val="nil"/>
              <w:bottom w:val="single" w:sz="12" w:space="0" w:color="auto"/>
              <w:right w:val="nil"/>
            </w:tcBorders>
            <w:shd w:val="clear" w:color="auto" w:fill="auto"/>
            <w:vAlign w:val="center"/>
          </w:tcPr>
          <w:p w14:paraId="48819B35" w14:textId="3C74CA71" w:rsidR="00790E17" w:rsidRPr="00537128" w:rsidRDefault="00790E17" w:rsidP="00790E17">
            <w:pPr>
              <w:tabs>
                <w:tab w:val="right" w:pos="1202"/>
              </w:tabs>
              <w:spacing w:after="0" w:line="320" w:lineRule="exact"/>
              <w:jc w:val="right"/>
              <w:outlineLvl w:val="0"/>
              <w:rPr>
                <w:rFonts w:eastAsia="Times New Roman" w:cstheme="minorHAnsi"/>
                <w:b/>
                <w:iCs/>
                <w:color w:val="000000" w:themeColor="text1"/>
                <w:sz w:val="18"/>
                <w:szCs w:val="18"/>
                <w:lang w:val="en-US"/>
              </w:rPr>
            </w:pPr>
            <w:r w:rsidRPr="001847F6">
              <w:rPr>
                <w:rFonts w:ascii="Calibri" w:hAnsi="Calibri" w:cs="Calibri"/>
                <w:b/>
                <w:bCs/>
                <w:color w:val="000000"/>
                <w:sz w:val="18"/>
                <w:szCs w:val="18"/>
              </w:rPr>
              <w:t xml:space="preserve"> 7</w:t>
            </w:r>
            <w:r>
              <w:rPr>
                <w:rFonts w:ascii="Calibri" w:hAnsi="Calibri" w:cs="Calibri"/>
                <w:b/>
                <w:bCs/>
                <w:color w:val="000000"/>
                <w:sz w:val="18"/>
                <w:szCs w:val="18"/>
              </w:rPr>
              <w:t>,</w:t>
            </w:r>
            <w:r w:rsidRPr="001847F6">
              <w:rPr>
                <w:rFonts w:ascii="Calibri" w:hAnsi="Calibri" w:cs="Calibri"/>
                <w:b/>
                <w:bCs/>
                <w:color w:val="000000"/>
                <w:sz w:val="18"/>
                <w:szCs w:val="18"/>
              </w:rPr>
              <w:t>184</w:t>
            </w:r>
            <w:r>
              <w:rPr>
                <w:rFonts w:ascii="Calibri" w:hAnsi="Calibri" w:cs="Calibri"/>
                <w:b/>
                <w:bCs/>
                <w:color w:val="000000"/>
                <w:sz w:val="18"/>
                <w:szCs w:val="18"/>
              </w:rPr>
              <w:t>,</w:t>
            </w:r>
            <w:r w:rsidRPr="001847F6">
              <w:rPr>
                <w:rFonts w:ascii="Calibri" w:hAnsi="Calibri" w:cs="Calibri"/>
                <w:b/>
                <w:bCs/>
                <w:color w:val="000000"/>
                <w:sz w:val="18"/>
                <w:szCs w:val="18"/>
              </w:rPr>
              <w:t xml:space="preserve">632 </w:t>
            </w:r>
          </w:p>
        </w:tc>
        <w:tc>
          <w:tcPr>
            <w:tcW w:w="615" w:type="pct"/>
            <w:tcBorders>
              <w:left w:val="nil"/>
              <w:bottom w:val="single" w:sz="12" w:space="0" w:color="auto"/>
              <w:right w:val="nil"/>
            </w:tcBorders>
            <w:shd w:val="clear" w:color="auto" w:fill="auto"/>
            <w:vAlign w:val="center"/>
          </w:tcPr>
          <w:p w14:paraId="2F2C2C74" w14:textId="06030B20" w:rsidR="00790E17" w:rsidRPr="00537128" w:rsidRDefault="00790E17" w:rsidP="00790E17">
            <w:pPr>
              <w:tabs>
                <w:tab w:val="right" w:pos="1202"/>
              </w:tabs>
              <w:spacing w:after="0" w:line="320" w:lineRule="exact"/>
              <w:jc w:val="right"/>
              <w:outlineLvl w:val="0"/>
              <w:rPr>
                <w:rFonts w:eastAsia="Times New Roman" w:cstheme="minorHAnsi"/>
                <w:b/>
                <w:iCs/>
                <w:color w:val="000000" w:themeColor="text1"/>
                <w:sz w:val="18"/>
                <w:szCs w:val="18"/>
                <w:lang w:val="en-US"/>
              </w:rPr>
            </w:pPr>
            <w:r w:rsidRPr="001847F6">
              <w:rPr>
                <w:rFonts w:ascii="Calibri" w:hAnsi="Calibri" w:cs="Calibri"/>
                <w:b/>
                <w:bCs/>
                <w:color w:val="000000"/>
                <w:sz w:val="18"/>
                <w:szCs w:val="18"/>
              </w:rPr>
              <w:t xml:space="preserve"> 3</w:t>
            </w:r>
            <w:r>
              <w:rPr>
                <w:rFonts w:ascii="Calibri" w:hAnsi="Calibri" w:cs="Calibri"/>
                <w:b/>
                <w:bCs/>
                <w:color w:val="000000"/>
                <w:sz w:val="18"/>
                <w:szCs w:val="18"/>
              </w:rPr>
              <w:t>,</w:t>
            </w:r>
            <w:r w:rsidRPr="001847F6">
              <w:rPr>
                <w:rFonts w:ascii="Calibri" w:hAnsi="Calibri" w:cs="Calibri"/>
                <w:b/>
                <w:bCs/>
                <w:color w:val="000000"/>
                <w:sz w:val="18"/>
                <w:szCs w:val="18"/>
              </w:rPr>
              <w:t>157</w:t>
            </w:r>
            <w:r>
              <w:rPr>
                <w:rFonts w:ascii="Calibri" w:hAnsi="Calibri" w:cs="Calibri"/>
                <w:b/>
                <w:bCs/>
                <w:color w:val="000000"/>
                <w:sz w:val="18"/>
                <w:szCs w:val="18"/>
              </w:rPr>
              <w:t>,</w:t>
            </w:r>
            <w:r w:rsidRPr="001847F6">
              <w:rPr>
                <w:rFonts w:ascii="Calibri" w:hAnsi="Calibri" w:cs="Calibri"/>
                <w:b/>
                <w:bCs/>
                <w:color w:val="000000"/>
                <w:sz w:val="18"/>
                <w:szCs w:val="18"/>
              </w:rPr>
              <w:t xml:space="preserve">684 </w:t>
            </w:r>
          </w:p>
        </w:tc>
        <w:tc>
          <w:tcPr>
            <w:tcW w:w="539" w:type="pct"/>
            <w:tcBorders>
              <w:left w:val="nil"/>
              <w:bottom w:val="single" w:sz="12" w:space="0" w:color="auto"/>
              <w:right w:val="nil"/>
            </w:tcBorders>
            <w:shd w:val="clear" w:color="auto" w:fill="auto"/>
            <w:vAlign w:val="center"/>
          </w:tcPr>
          <w:p w14:paraId="4CB21CB5" w14:textId="3743EC0C" w:rsidR="00790E17" w:rsidRPr="00537128" w:rsidRDefault="00790E17" w:rsidP="00790E17">
            <w:pPr>
              <w:tabs>
                <w:tab w:val="right" w:pos="1202"/>
              </w:tabs>
              <w:spacing w:after="0" w:line="320" w:lineRule="exact"/>
              <w:jc w:val="right"/>
              <w:outlineLvl w:val="0"/>
              <w:rPr>
                <w:rFonts w:eastAsia="Times New Roman" w:cstheme="minorHAnsi"/>
                <w:b/>
                <w:iCs/>
                <w:color w:val="000000" w:themeColor="text1"/>
                <w:sz w:val="18"/>
                <w:szCs w:val="18"/>
                <w:lang w:val="en-US"/>
              </w:rPr>
            </w:pPr>
            <w:r w:rsidRPr="001847F6">
              <w:rPr>
                <w:rFonts w:ascii="Calibri" w:hAnsi="Calibri" w:cs="Calibri"/>
                <w:b/>
                <w:bCs/>
                <w:color w:val="000000"/>
                <w:sz w:val="18"/>
                <w:szCs w:val="18"/>
              </w:rPr>
              <w:t xml:space="preserve">  33</w:t>
            </w:r>
            <w:r>
              <w:rPr>
                <w:rFonts w:ascii="Calibri" w:hAnsi="Calibri" w:cs="Calibri"/>
                <w:b/>
                <w:bCs/>
                <w:color w:val="000000"/>
                <w:sz w:val="18"/>
                <w:szCs w:val="18"/>
              </w:rPr>
              <w:t>,</w:t>
            </w:r>
            <w:r w:rsidRPr="001847F6">
              <w:rPr>
                <w:rFonts w:ascii="Calibri" w:hAnsi="Calibri" w:cs="Calibri"/>
                <w:b/>
                <w:bCs/>
                <w:color w:val="000000"/>
                <w:sz w:val="18"/>
                <w:szCs w:val="18"/>
              </w:rPr>
              <w:t xml:space="preserve">975 </w:t>
            </w:r>
          </w:p>
        </w:tc>
        <w:tc>
          <w:tcPr>
            <w:tcW w:w="616" w:type="pct"/>
            <w:tcBorders>
              <w:left w:val="nil"/>
              <w:bottom w:val="single" w:sz="12" w:space="0" w:color="auto"/>
              <w:right w:val="nil"/>
            </w:tcBorders>
            <w:shd w:val="clear" w:color="auto" w:fill="auto"/>
            <w:vAlign w:val="center"/>
          </w:tcPr>
          <w:p w14:paraId="680418EE" w14:textId="38815CE0" w:rsidR="00790E17" w:rsidRPr="00537128" w:rsidRDefault="00790E17" w:rsidP="00790E17">
            <w:pPr>
              <w:tabs>
                <w:tab w:val="right" w:pos="1202"/>
              </w:tabs>
              <w:spacing w:after="0" w:line="320" w:lineRule="exact"/>
              <w:jc w:val="right"/>
              <w:outlineLvl w:val="0"/>
              <w:rPr>
                <w:rFonts w:eastAsia="Times New Roman" w:cstheme="minorHAnsi"/>
                <w:b/>
                <w:iCs/>
                <w:color w:val="000000" w:themeColor="text1"/>
                <w:sz w:val="18"/>
                <w:szCs w:val="18"/>
                <w:lang w:val="en-US"/>
              </w:rPr>
            </w:pPr>
            <w:r w:rsidRPr="001847F6">
              <w:rPr>
                <w:rFonts w:ascii="Calibri" w:hAnsi="Calibri" w:cs="Calibri"/>
                <w:b/>
                <w:bCs/>
                <w:color w:val="000000"/>
                <w:sz w:val="18"/>
                <w:szCs w:val="18"/>
              </w:rPr>
              <w:t xml:space="preserve">  188</w:t>
            </w:r>
            <w:r>
              <w:rPr>
                <w:rFonts w:ascii="Calibri" w:hAnsi="Calibri" w:cs="Calibri"/>
                <w:b/>
                <w:bCs/>
                <w:color w:val="000000"/>
                <w:sz w:val="18"/>
                <w:szCs w:val="18"/>
              </w:rPr>
              <w:t>,</w:t>
            </w:r>
            <w:r w:rsidRPr="001847F6">
              <w:rPr>
                <w:rFonts w:ascii="Calibri" w:hAnsi="Calibri" w:cs="Calibri"/>
                <w:b/>
                <w:bCs/>
                <w:color w:val="000000"/>
                <w:sz w:val="18"/>
                <w:szCs w:val="18"/>
              </w:rPr>
              <w:t xml:space="preserve">185 </w:t>
            </w:r>
          </w:p>
        </w:tc>
        <w:tc>
          <w:tcPr>
            <w:tcW w:w="616" w:type="pct"/>
            <w:tcBorders>
              <w:left w:val="nil"/>
              <w:bottom w:val="single" w:sz="12" w:space="0" w:color="auto"/>
              <w:right w:val="nil"/>
            </w:tcBorders>
            <w:shd w:val="clear" w:color="auto" w:fill="auto"/>
            <w:vAlign w:val="center"/>
          </w:tcPr>
          <w:p w14:paraId="003D3FC0" w14:textId="5E884AB9" w:rsidR="00790E17" w:rsidRPr="00537128" w:rsidRDefault="00790E17" w:rsidP="00790E17">
            <w:pPr>
              <w:tabs>
                <w:tab w:val="right" w:pos="1202"/>
              </w:tabs>
              <w:spacing w:after="0" w:line="320" w:lineRule="exact"/>
              <w:jc w:val="right"/>
              <w:outlineLvl w:val="0"/>
              <w:rPr>
                <w:rFonts w:eastAsia="Times New Roman" w:cstheme="minorHAnsi"/>
                <w:b/>
                <w:iCs/>
                <w:color w:val="000000" w:themeColor="text1"/>
                <w:sz w:val="18"/>
                <w:szCs w:val="18"/>
                <w:lang w:val="en-US"/>
              </w:rPr>
            </w:pPr>
            <w:r w:rsidRPr="001847F6">
              <w:rPr>
                <w:rFonts w:ascii="Calibri" w:hAnsi="Calibri" w:cs="Calibri"/>
                <w:b/>
                <w:bCs/>
                <w:color w:val="000000"/>
                <w:sz w:val="18"/>
                <w:szCs w:val="18"/>
              </w:rPr>
              <w:t xml:space="preserve">  12</w:t>
            </w:r>
            <w:r>
              <w:rPr>
                <w:rFonts w:ascii="Calibri" w:hAnsi="Calibri" w:cs="Calibri"/>
                <w:b/>
                <w:bCs/>
                <w:color w:val="000000"/>
                <w:sz w:val="18"/>
                <w:szCs w:val="18"/>
              </w:rPr>
              <w:t>,</w:t>
            </w:r>
            <w:r w:rsidRPr="001847F6">
              <w:rPr>
                <w:rFonts w:ascii="Calibri" w:hAnsi="Calibri" w:cs="Calibri"/>
                <w:b/>
                <w:bCs/>
                <w:color w:val="000000"/>
                <w:sz w:val="18"/>
                <w:szCs w:val="18"/>
              </w:rPr>
              <w:t xml:space="preserve">309 </w:t>
            </w:r>
          </w:p>
        </w:tc>
        <w:tc>
          <w:tcPr>
            <w:tcW w:w="688" w:type="pct"/>
            <w:tcBorders>
              <w:left w:val="nil"/>
              <w:bottom w:val="single" w:sz="12" w:space="0" w:color="auto"/>
              <w:right w:val="nil"/>
            </w:tcBorders>
            <w:shd w:val="clear" w:color="auto" w:fill="auto"/>
            <w:vAlign w:val="center"/>
          </w:tcPr>
          <w:p w14:paraId="48C361B2" w14:textId="3CC4C620" w:rsidR="00790E17" w:rsidRPr="00537128" w:rsidRDefault="00790E17" w:rsidP="00790E17">
            <w:pPr>
              <w:tabs>
                <w:tab w:val="right" w:pos="1202"/>
              </w:tabs>
              <w:spacing w:after="0" w:line="320" w:lineRule="exact"/>
              <w:jc w:val="right"/>
              <w:outlineLvl w:val="0"/>
              <w:rPr>
                <w:rFonts w:eastAsia="Times New Roman" w:cstheme="minorHAnsi"/>
                <w:b/>
                <w:iCs/>
                <w:color w:val="000000" w:themeColor="text1"/>
                <w:sz w:val="18"/>
                <w:szCs w:val="18"/>
                <w:lang w:val="en-US"/>
              </w:rPr>
            </w:pPr>
            <w:r w:rsidRPr="001847F6">
              <w:rPr>
                <w:rFonts w:ascii="Calibri" w:hAnsi="Calibri" w:cs="Calibri"/>
                <w:b/>
                <w:bCs/>
                <w:color w:val="000000"/>
                <w:sz w:val="18"/>
                <w:szCs w:val="18"/>
              </w:rPr>
              <w:t xml:space="preserve">  10</w:t>
            </w:r>
            <w:r>
              <w:rPr>
                <w:rFonts w:ascii="Calibri" w:hAnsi="Calibri" w:cs="Calibri"/>
                <w:b/>
                <w:bCs/>
                <w:color w:val="000000"/>
                <w:sz w:val="18"/>
                <w:szCs w:val="18"/>
              </w:rPr>
              <w:t>,</w:t>
            </w:r>
            <w:r w:rsidRPr="001847F6">
              <w:rPr>
                <w:rFonts w:ascii="Calibri" w:hAnsi="Calibri" w:cs="Calibri"/>
                <w:b/>
                <w:bCs/>
                <w:color w:val="000000"/>
                <w:sz w:val="18"/>
                <w:szCs w:val="18"/>
              </w:rPr>
              <w:t>576</w:t>
            </w:r>
            <w:r>
              <w:rPr>
                <w:rFonts w:ascii="Calibri" w:hAnsi="Calibri" w:cs="Calibri"/>
                <w:b/>
                <w:bCs/>
                <w:color w:val="000000"/>
                <w:sz w:val="18"/>
                <w:szCs w:val="18"/>
              </w:rPr>
              <w:t>,</w:t>
            </w:r>
            <w:r w:rsidRPr="001847F6">
              <w:rPr>
                <w:rFonts w:ascii="Calibri" w:hAnsi="Calibri" w:cs="Calibri"/>
                <w:b/>
                <w:bCs/>
                <w:color w:val="000000"/>
                <w:sz w:val="18"/>
                <w:szCs w:val="18"/>
              </w:rPr>
              <w:t xml:space="preserve">785 </w:t>
            </w:r>
          </w:p>
        </w:tc>
      </w:tr>
      <w:tr w:rsidR="00D81A17" w:rsidRPr="00537128" w14:paraId="45B1CCF0" w14:textId="77777777" w:rsidTr="009D2E25">
        <w:trPr>
          <w:trHeight w:val="256"/>
        </w:trPr>
        <w:tc>
          <w:tcPr>
            <w:tcW w:w="1309" w:type="pct"/>
            <w:vAlign w:val="bottom"/>
          </w:tcPr>
          <w:p w14:paraId="15A908D2" w14:textId="77777777" w:rsidR="00D81A17" w:rsidRPr="00537128" w:rsidRDefault="00D81A17" w:rsidP="00D81A17">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 xml:space="preserve">Profit for the period </w:t>
            </w:r>
          </w:p>
        </w:tc>
        <w:tc>
          <w:tcPr>
            <w:tcW w:w="617" w:type="pct"/>
            <w:vAlign w:val="bottom"/>
          </w:tcPr>
          <w:p w14:paraId="10C41EB5" w14:textId="761E1143" w:rsidR="00D81A17" w:rsidRPr="00CA7301" w:rsidRDefault="00D81A17" w:rsidP="00D81A17">
            <w:pPr>
              <w:tabs>
                <w:tab w:val="right" w:pos="1202"/>
              </w:tabs>
              <w:spacing w:after="0" w:line="240" w:lineRule="auto"/>
              <w:jc w:val="right"/>
              <w:outlineLvl w:val="0"/>
              <w:rPr>
                <w:rFonts w:eastAsia="Times New Roman" w:cs="Arial"/>
                <w:bCs/>
                <w:iCs/>
                <w:noProof/>
                <w:color w:val="000000" w:themeColor="text1"/>
                <w:sz w:val="18"/>
                <w:szCs w:val="18"/>
                <w:lang w:val="en-US"/>
              </w:rPr>
            </w:pPr>
            <w:r w:rsidRPr="00EA3621">
              <w:rPr>
                <w:rFonts w:eastAsia="Times New Roman" w:cstheme="minorHAnsi"/>
                <w:color w:val="000000" w:themeColor="text1"/>
                <w:sz w:val="18"/>
                <w:szCs w:val="18"/>
              </w:rPr>
              <w:t>-</w:t>
            </w:r>
          </w:p>
        </w:tc>
        <w:tc>
          <w:tcPr>
            <w:tcW w:w="615" w:type="pct"/>
            <w:vAlign w:val="bottom"/>
          </w:tcPr>
          <w:p w14:paraId="4EDAC4FE" w14:textId="7A89379D" w:rsidR="00D81A17" w:rsidRPr="00CA7301" w:rsidRDefault="00D81A17" w:rsidP="00D81A17">
            <w:pPr>
              <w:tabs>
                <w:tab w:val="right" w:pos="1202"/>
              </w:tabs>
              <w:spacing w:after="0" w:line="240" w:lineRule="auto"/>
              <w:jc w:val="right"/>
              <w:outlineLvl w:val="0"/>
              <w:rPr>
                <w:rFonts w:eastAsia="Times New Roman" w:cs="Arial"/>
                <w:bCs/>
                <w:iCs/>
                <w:noProof/>
                <w:color w:val="000000" w:themeColor="text1"/>
                <w:sz w:val="18"/>
                <w:szCs w:val="18"/>
                <w:lang w:val="en-US"/>
              </w:rPr>
            </w:pPr>
            <w:r w:rsidRPr="00EA3621">
              <w:rPr>
                <w:rFonts w:eastAsia="Times New Roman" w:cstheme="minorHAnsi"/>
                <w:color w:val="000000" w:themeColor="text1"/>
                <w:sz w:val="18"/>
                <w:szCs w:val="18"/>
              </w:rPr>
              <w:t>-</w:t>
            </w:r>
          </w:p>
        </w:tc>
        <w:tc>
          <w:tcPr>
            <w:tcW w:w="539" w:type="pct"/>
            <w:vAlign w:val="bottom"/>
          </w:tcPr>
          <w:p w14:paraId="39C429CD" w14:textId="7D278109" w:rsidR="00D81A17" w:rsidRPr="00537128" w:rsidRDefault="00D81A17" w:rsidP="00D81A17">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w:t>
            </w:r>
          </w:p>
        </w:tc>
        <w:tc>
          <w:tcPr>
            <w:tcW w:w="616" w:type="pct"/>
            <w:vAlign w:val="bottom"/>
          </w:tcPr>
          <w:p w14:paraId="35847C08" w14:textId="1D8DF831" w:rsidR="00D81A17" w:rsidRPr="00537128" w:rsidRDefault="00D81A17" w:rsidP="00D81A17">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color w:val="000000" w:themeColor="text1"/>
                <w:sz w:val="18"/>
                <w:szCs w:val="18"/>
              </w:rPr>
              <w:t>230</w:t>
            </w:r>
            <w:r w:rsidR="00837004">
              <w:rPr>
                <w:rFonts w:eastAsia="Times New Roman" w:cstheme="minorHAnsi"/>
                <w:color w:val="000000" w:themeColor="text1"/>
                <w:sz w:val="18"/>
                <w:szCs w:val="18"/>
              </w:rPr>
              <w:t>,</w:t>
            </w:r>
            <w:r>
              <w:rPr>
                <w:rFonts w:eastAsia="Times New Roman" w:cstheme="minorHAnsi"/>
                <w:color w:val="000000" w:themeColor="text1"/>
                <w:sz w:val="18"/>
                <w:szCs w:val="18"/>
              </w:rPr>
              <w:t>100</w:t>
            </w:r>
          </w:p>
        </w:tc>
        <w:tc>
          <w:tcPr>
            <w:tcW w:w="616" w:type="pct"/>
            <w:vAlign w:val="bottom"/>
          </w:tcPr>
          <w:p w14:paraId="36972196" w14:textId="3D201977" w:rsidR="00D81A17" w:rsidRPr="00537128" w:rsidRDefault="00D81A17" w:rsidP="00D81A17">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w:t>
            </w:r>
          </w:p>
        </w:tc>
        <w:tc>
          <w:tcPr>
            <w:tcW w:w="688" w:type="pct"/>
            <w:vAlign w:val="bottom"/>
          </w:tcPr>
          <w:p w14:paraId="5EF059CC" w14:textId="7BF519E5" w:rsidR="00D81A17" w:rsidRPr="00537128" w:rsidRDefault="00D81A17" w:rsidP="00D81A17">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color w:val="000000" w:themeColor="text1"/>
                <w:sz w:val="18"/>
                <w:szCs w:val="18"/>
              </w:rPr>
              <w:t>230</w:t>
            </w:r>
            <w:r w:rsidR="00837004">
              <w:rPr>
                <w:rFonts w:eastAsia="Times New Roman" w:cstheme="minorHAnsi"/>
                <w:b/>
                <w:color w:val="000000" w:themeColor="text1"/>
                <w:sz w:val="18"/>
                <w:szCs w:val="18"/>
              </w:rPr>
              <w:t>,</w:t>
            </w:r>
            <w:r>
              <w:rPr>
                <w:rFonts w:eastAsia="Times New Roman" w:cstheme="minorHAnsi"/>
                <w:b/>
                <w:color w:val="000000" w:themeColor="text1"/>
                <w:sz w:val="18"/>
                <w:szCs w:val="18"/>
              </w:rPr>
              <w:t>100</w:t>
            </w:r>
          </w:p>
        </w:tc>
      </w:tr>
      <w:tr w:rsidR="00D81A17" w:rsidRPr="00537128" w14:paraId="792CC4E6" w14:textId="77777777" w:rsidTr="009D2E25">
        <w:trPr>
          <w:trHeight w:val="256"/>
        </w:trPr>
        <w:tc>
          <w:tcPr>
            <w:tcW w:w="1309" w:type="pct"/>
            <w:vAlign w:val="bottom"/>
          </w:tcPr>
          <w:p w14:paraId="510FE742" w14:textId="77777777" w:rsidR="00D81A17" w:rsidRPr="00537128" w:rsidRDefault="00D81A17" w:rsidP="00D81A17">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Other comprehensive income</w:t>
            </w:r>
          </w:p>
        </w:tc>
        <w:tc>
          <w:tcPr>
            <w:tcW w:w="617" w:type="pct"/>
            <w:tcBorders>
              <w:bottom w:val="single" w:sz="4" w:space="0" w:color="auto"/>
            </w:tcBorders>
            <w:vAlign w:val="bottom"/>
          </w:tcPr>
          <w:p w14:paraId="6A27A12C" w14:textId="58A4518F" w:rsidR="00D81A17" w:rsidRPr="00CA7301" w:rsidRDefault="00D81A17" w:rsidP="00D81A17">
            <w:pPr>
              <w:tabs>
                <w:tab w:val="right" w:pos="1202"/>
              </w:tabs>
              <w:spacing w:after="0" w:line="240" w:lineRule="auto"/>
              <w:jc w:val="right"/>
              <w:outlineLvl w:val="0"/>
              <w:rPr>
                <w:rFonts w:eastAsia="Times New Roman" w:cs="Arial"/>
                <w:bCs/>
                <w:iCs/>
                <w:noProof/>
                <w:color w:val="000000" w:themeColor="text1"/>
                <w:sz w:val="18"/>
                <w:szCs w:val="18"/>
                <w:lang w:val="en-US"/>
              </w:rPr>
            </w:pPr>
            <w:r w:rsidRPr="00780526">
              <w:rPr>
                <w:rFonts w:eastAsia="Times New Roman" w:cstheme="minorHAnsi"/>
                <w:bCs/>
                <w:iCs/>
                <w:color w:val="000000" w:themeColor="text1"/>
                <w:sz w:val="18"/>
                <w:szCs w:val="18"/>
              </w:rPr>
              <w:t>-</w:t>
            </w:r>
          </w:p>
        </w:tc>
        <w:tc>
          <w:tcPr>
            <w:tcW w:w="615" w:type="pct"/>
            <w:tcBorders>
              <w:bottom w:val="single" w:sz="4" w:space="0" w:color="auto"/>
            </w:tcBorders>
            <w:vAlign w:val="bottom"/>
          </w:tcPr>
          <w:p w14:paraId="0D5EF8CB" w14:textId="32D9B670" w:rsidR="00D81A17" w:rsidRPr="00CA7301" w:rsidRDefault="00D81A17" w:rsidP="00D81A17">
            <w:pPr>
              <w:tabs>
                <w:tab w:val="right" w:pos="1202"/>
              </w:tabs>
              <w:spacing w:after="0" w:line="240" w:lineRule="auto"/>
              <w:jc w:val="right"/>
              <w:outlineLvl w:val="0"/>
              <w:rPr>
                <w:rFonts w:eastAsia="Times New Roman" w:cs="Arial"/>
                <w:bCs/>
                <w:iCs/>
                <w:noProof/>
                <w:color w:val="000000" w:themeColor="text1"/>
                <w:sz w:val="18"/>
                <w:szCs w:val="18"/>
                <w:lang w:val="en-US"/>
              </w:rPr>
            </w:pPr>
            <w:r w:rsidRPr="00780526">
              <w:rPr>
                <w:rFonts w:eastAsia="Times New Roman" w:cstheme="minorHAnsi"/>
                <w:bCs/>
                <w:iCs/>
                <w:color w:val="000000" w:themeColor="text1"/>
                <w:sz w:val="18"/>
                <w:szCs w:val="18"/>
              </w:rPr>
              <w:t>-</w:t>
            </w:r>
          </w:p>
        </w:tc>
        <w:tc>
          <w:tcPr>
            <w:tcW w:w="539" w:type="pct"/>
            <w:tcBorders>
              <w:bottom w:val="single" w:sz="4" w:space="0" w:color="auto"/>
            </w:tcBorders>
            <w:vAlign w:val="bottom"/>
          </w:tcPr>
          <w:p w14:paraId="0F7B3521" w14:textId="6F23E344" w:rsidR="00D81A17" w:rsidRPr="00537128" w:rsidRDefault="00D81A17" w:rsidP="00D81A17">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(28</w:t>
            </w:r>
            <w:r w:rsidR="00837004">
              <w:rPr>
                <w:rFonts w:eastAsia="Times New Roman" w:cstheme="minorHAnsi"/>
                <w:iCs/>
                <w:color w:val="000000" w:themeColor="text1"/>
                <w:sz w:val="18"/>
                <w:szCs w:val="18"/>
              </w:rPr>
              <w:t>,</w:t>
            </w:r>
            <w:r>
              <w:rPr>
                <w:rFonts w:eastAsia="Times New Roman" w:cstheme="minorHAnsi"/>
                <w:iCs/>
                <w:color w:val="000000" w:themeColor="text1"/>
                <w:sz w:val="18"/>
                <w:szCs w:val="18"/>
              </w:rPr>
              <w:t>693)</w:t>
            </w:r>
          </w:p>
        </w:tc>
        <w:tc>
          <w:tcPr>
            <w:tcW w:w="616" w:type="pct"/>
            <w:tcBorders>
              <w:bottom w:val="single" w:sz="4" w:space="0" w:color="auto"/>
            </w:tcBorders>
            <w:vAlign w:val="bottom"/>
          </w:tcPr>
          <w:p w14:paraId="04B1DB01" w14:textId="4BFFBB12" w:rsidR="00D81A17" w:rsidRPr="00537128" w:rsidRDefault="00D81A17" w:rsidP="00D81A17">
            <w:pPr>
              <w:tabs>
                <w:tab w:val="right" w:pos="1202"/>
              </w:tabs>
              <w:spacing w:after="0" w:line="240" w:lineRule="auto"/>
              <w:jc w:val="right"/>
              <w:outlineLvl w:val="0"/>
              <w:rPr>
                <w:rFonts w:eastAsia="Times New Roman" w:cs="Arial"/>
                <w:b/>
                <w:iCs/>
                <w:noProof/>
                <w:color w:val="000000" w:themeColor="text1"/>
                <w:sz w:val="18"/>
                <w:szCs w:val="18"/>
                <w:lang w:val="en-US"/>
              </w:rPr>
            </w:pPr>
            <w:r w:rsidRPr="000B4564">
              <w:rPr>
                <w:rFonts w:eastAsia="Times New Roman" w:cstheme="minorHAnsi"/>
                <w:bCs/>
                <w:iCs/>
                <w:color w:val="000000" w:themeColor="text1"/>
                <w:sz w:val="18"/>
                <w:szCs w:val="18"/>
              </w:rPr>
              <w:t>-</w:t>
            </w:r>
          </w:p>
        </w:tc>
        <w:tc>
          <w:tcPr>
            <w:tcW w:w="616" w:type="pct"/>
            <w:tcBorders>
              <w:bottom w:val="single" w:sz="4" w:space="0" w:color="auto"/>
            </w:tcBorders>
            <w:vAlign w:val="bottom"/>
          </w:tcPr>
          <w:p w14:paraId="362B68B1" w14:textId="2CB87802" w:rsidR="00D81A17" w:rsidRPr="00537128" w:rsidRDefault="00D81A17" w:rsidP="00D81A17">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iCs/>
                <w:color w:val="000000" w:themeColor="text1"/>
                <w:sz w:val="18"/>
                <w:szCs w:val="18"/>
              </w:rPr>
              <w:t>-</w:t>
            </w:r>
          </w:p>
        </w:tc>
        <w:tc>
          <w:tcPr>
            <w:tcW w:w="688" w:type="pct"/>
            <w:tcBorders>
              <w:bottom w:val="single" w:sz="4" w:space="0" w:color="auto"/>
            </w:tcBorders>
            <w:vAlign w:val="bottom"/>
          </w:tcPr>
          <w:p w14:paraId="3A5C1209" w14:textId="0101F24F" w:rsidR="00D81A17" w:rsidRPr="00537128" w:rsidRDefault="00D81A17" w:rsidP="00D81A17">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(28</w:t>
            </w:r>
            <w:r w:rsidR="00837004">
              <w:rPr>
                <w:rFonts w:eastAsia="Times New Roman" w:cstheme="minorHAnsi"/>
                <w:b/>
                <w:iCs/>
                <w:color w:val="000000" w:themeColor="text1"/>
                <w:sz w:val="18"/>
                <w:szCs w:val="18"/>
              </w:rPr>
              <w:t>,</w:t>
            </w:r>
            <w:r>
              <w:rPr>
                <w:rFonts w:eastAsia="Times New Roman" w:cstheme="minorHAnsi"/>
                <w:b/>
                <w:iCs/>
                <w:color w:val="000000" w:themeColor="text1"/>
                <w:sz w:val="18"/>
                <w:szCs w:val="18"/>
              </w:rPr>
              <w:t>693)</w:t>
            </w:r>
          </w:p>
        </w:tc>
      </w:tr>
      <w:tr w:rsidR="00D81A17" w:rsidRPr="00537128" w14:paraId="4B3190B5" w14:textId="77777777" w:rsidTr="00CE00C1">
        <w:trPr>
          <w:trHeight w:val="256"/>
        </w:trPr>
        <w:tc>
          <w:tcPr>
            <w:tcW w:w="1309" w:type="pct"/>
            <w:vAlign w:val="bottom"/>
          </w:tcPr>
          <w:p w14:paraId="458A9F65" w14:textId="77777777" w:rsidR="00D81A17" w:rsidRPr="00537128" w:rsidRDefault="00D81A17" w:rsidP="00D81A17">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 xml:space="preserve">Total comprehensive income </w:t>
            </w:r>
          </w:p>
        </w:tc>
        <w:tc>
          <w:tcPr>
            <w:tcW w:w="617" w:type="pct"/>
            <w:tcBorders>
              <w:top w:val="nil"/>
              <w:left w:val="nil"/>
              <w:bottom w:val="single" w:sz="4" w:space="0" w:color="auto"/>
              <w:right w:val="nil"/>
            </w:tcBorders>
            <w:shd w:val="clear" w:color="auto" w:fill="auto"/>
            <w:vAlign w:val="bottom"/>
          </w:tcPr>
          <w:p w14:paraId="7211B8A2" w14:textId="35C26BF5" w:rsidR="00D81A17" w:rsidRPr="00CA7301" w:rsidRDefault="00D81A17" w:rsidP="00D81A17">
            <w:pPr>
              <w:tabs>
                <w:tab w:val="right" w:pos="1202"/>
              </w:tabs>
              <w:spacing w:after="0" w:line="240" w:lineRule="auto"/>
              <w:jc w:val="right"/>
              <w:outlineLvl w:val="0"/>
              <w:rPr>
                <w:rFonts w:eastAsia="Times New Roman" w:cs="Arial"/>
                <w:bCs/>
                <w:iCs/>
                <w:noProof/>
                <w:color w:val="000000" w:themeColor="text1"/>
                <w:sz w:val="18"/>
                <w:szCs w:val="18"/>
                <w:lang w:val="en-US"/>
              </w:rPr>
            </w:pPr>
            <w:r w:rsidRPr="00EA3621">
              <w:rPr>
                <w:rFonts w:eastAsia="Times New Roman" w:cstheme="minorHAnsi"/>
                <w:iCs/>
                <w:color w:val="000000" w:themeColor="text1"/>
                <w:sz w:val="18"/>
                <w:szCs w:val="18"/>
              </w:rPr>
              <w:t>-</w:t>
            </w:r>
          </w:p>
        </w:tc>
        <w:tc>
          <w:tcPr>
            <w:tcW w:w="615" w:type="pct"/>
            <w:tcBorders>
              <w:top w:val="nil"/>
              <w:left w:val="nil"/>
              <w:bottom w:val="single" w:sz="4" w:space="0" w:color="auto"/>
              <w:right w:val="nil"/>
            </w:tcBorders>
            <w:shd w:val="clear" w:color="auto" w:fill="auto"/>
            <w:vAlign w:val="bottom"/>
          </w:tcPr>
          <w:p w14:paraId="2CE521FA" w14:textId="7EB4535E" w:rsidR="00D81A17" w:rsidRPr="00CA7301" w:rsidRDefault="00D81A17" w:rsidP="00D81A17">
            <w:pPr>
              <w:tabs>
                <w:tab w:val="right" w:pos="1202"/>
              </w:tabs>
              <w:spacing w:after="0" w:line="240" w:lineRule="auto"/>
              <w:jc w:val="right"/>
              <w:outlineLvl w:val="0"/>
              <w:rPr>
                <w:rFonts w:eastAsia="Times New Roman" w:cs="Arial"/>
                <w:bCs/>
                <w:iCs/>
                <w:noProof/>
                <w:color w:val="000000" w:themeColor="text1"/>
                <w:sz w:val="18"/>
                <w:szCs w:val="18"/>
                <w:lang w:val="en-US"/>
              </w:rPr>
            </w:pPr>
            <w:r w:rsidRPr="00EA3621">
              <w:rPr>
                <w:rFonts w:eastAsia="Times New Roman" w:cstheme="minorHAnsi"/>
                <w:iCs/>
                <w:color w:val="000000" w:themeColor="text1"/>
                <w:sz w:val="18"/>
                <w:szCs w:val="18"/>
              </w:rPr>
              <w:t>-</w:t>
            </w:r>
          </w:p>
        </w:tc>
        <w:tc>
          <w:tcPr>
            <w:tcW w:w="539" w:type="pct"/>
            <w:tcBorders>
              <w:top w:val="nil"/>
              <w:left w:val="nil"/>
              <w:bottom w:val="single" w:sz="4" w:space="0" w:color="auto"/>
              <w:right w:val="nil"/>
            </w:tcBorders>
            <w:shd w:val="clear" w:color="auto" w:fill="auto"/>
            <w:vAlign w:val="bottom"/>
          </w:tcPr>
          <w:p w14:paraId="6D5548DD" w14:textId="5D96EBF2" w:rsidR="00D81A17" w:rsidRPr="00537128" w:rsidRDefault="00D81A17" w:rsidP="00D81A17">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(28</w:t>
            </w:r>
            <w:r w:rsidR="00837004">
              <w:rPr>
                <w:rFonts w:eastAsia="Times New Roman" w:cstheme="minorHAnsi"/>
                <w:iCs/>
                <w:color w:val="000000" w:themeColor="text1"/>
                <w:sz w:val="18"/>
                <w:szCs w:val="18"/>
              </w:rPr>
              <w:t>,</w:t>
            </w:r>
            <w:r>
              <w:rPr>
                <w:rFonts w:eastAsia="Times New Roman" w:cstheme="minorHAnsi"/>
                <w:iCs/>
                <w:color w:val="000000" w:themeColor="text1"/>
                <w:sz w:val="18"/>
                <w:szCs w:val="18"/>
              </w:rPr>
              <w:t>693)</w:t>
            </w:r>
          </w:p>
        </w:tc>
        <w:tc>
          <w:tcPr>
            <w:tcW w:w="616" w:type="pct"/>
            <w:tcBorders>
              <w:top w:val="nil"/>
              <w:left w:val="nil"/>
              <w:bottom w:val="single" w:sz="4" w:space="0" w:color="auto"/>
              <w:right w:val="nil"/>
            </w:tcBorders>
            <w:shd w:val="clear" w:color="auto" w:fill="auto"/>
            <w:vAlign w:val="bottom"/>
          </w:tcPr>
          <w:p w14:paraId="7BD92657" w14:textId="03387F2F" w:rsidR="00D81A17" w:rsidRPr="00537128" w:rsidRDefault="00D81A17" w:rsidP="00D81A17">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230</w:t>
            </w:r>
            <w:r w:rsidR="00837004">
              <w:rPr>
                <w:rFonts w:eastAsia="Times New Roman" w:cstheme="minorHAnsi"/>
                <w:iCs/>
                <w:color w:val="000000" w:themeColor="text1"/>
                <w:sz w:val="18"/>
                <w:szCs w:val="18"/>
              </w:rPr>
              <w:t>,</w:t>
            </w:r>
            <w:r>
              <w:rPr>
                <w:rFonts w:eastAsia="Times New Roman" w:cstheme="minorHAnsi"/>
                <w:iCs/>
                <w:color w:val="000000" w:themeColor="text1"/>
                <w:sz w:val="18"/>
                <w:szCs w:val="18"/>
              </w:rPr>
              <w:t>100</w:t>
            </w:r>
          </w:p>
        </w:tc>
        <w:tc>
          <w:tcPr>
            <w:tcW w:w="616" w:type="pct"/>
            <w:tcBorders>
              <w:top w:val="nil"/>
              <w:left w:val="nil"/>
              <w:bottom w:val="single" w:sz="4" w:space="0" w:color="auto"/>
              <w:right w:val="nil"/>
            </w:tcBorders>
            <w:shd w:val="clear" w:color="auto" w:fill="auto"/>
            <w:vAlign w:val="bottom"/>
          </w:tcPr>
          <w:p w14:paraId="54A0D2B6" w14:textId="30DADD83" w:rsidR="00D81A17" w:rsidRPr="00537128" w:rsidRDefault="00D81A17" w:rsidP="00D81A17">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w:t>
            </w:r>
          </w:p>
        </w:tc>
        <w:tc>
          <w:tcPr>
            <w:tcW w:w="688" w:type="pct"/>
            <w:tcBorders>
              <w:top w:val="nil"/>
              <w:left w:val="nil"/>
              <w:bottom w:val="single" w:sz="4" w:space="0" w:color="auto"/>
              <w:right w:val="nil"/>
            </w:tcBorders>
            <w:shd w:val="clear" w:color="auto" w:fill="auto"/>
            <w:vAlign w:val="bottom"/>
          </w:tcPr>
          <w:p w14:paraId="38C07ABE" w14:textId="5EA93AFE" w:rsidR="00D81A17" w:rsidRPr="00537128" w:rsidRDefault="00D81A17" w:rsidP="00D81A17">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201</w:t>
            </w:r>
            <w:r w:rsidR="00837004">
              <w:rPr>
                <w:rFonts w:eastAsia="Times New Roman" w:cstheme="minorHAnsi"/>
                <w:b/>
                <w:iCs/>
                <w:color w:val="000000" w:themeColor="text1"/>
                <w:sz w:val="18"/>
                <w:szCs w:val="18"/>
              </w:rPr>
              <w:t>,</w:t>
            </w:r>
            <w:r>
              <w:rPr>
                <w:rFonts w:eastAsia="Times New Roman" w:cstheme="minorHAnsi"/>
                <w:b/>
                <w:iCs/>
                <w:color w:val="000000" w:themeColor="text1"/>
                <w:sz w:val="18"/>
                <w:szCs w:val="18"/>
              </w:rPr>
              <w:t>407</w:t>
            </w:r>
          </w:p>
        </w:tc>
      </w:tr>
      <w:tr w:rsidR="00D81A17" w:rsidRPr="00537128" w14:paraId="1C364B2B" w14:textId="77777777" w:rsidTr="00CE00C1">
        <w:trPr>
          <w:trHeight w:val="256"/>
        </w:trPr>
        <w:tc>
          <w:tcPr>
            <w:tcW w:w="1309" w:type="pct"/>
            <w:vAlign w:val="bottom"/>
          </w:tcPr>
          <w:p w14:paraId="478946BF" w14:textId="77777777" w:rsidR="00D81A17" w:rsidRPr="00537128" w:rsidRDefault="00D81A17" w:rsidP="00D81A17">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Net foreign exchange – Guarantee fund</w:t>
            </w:r>
          </w:p>
        </w:tc>
        <w:tc>
          <w:tcPr>
            <w:tcW w:w="617" w:type="pct"/>
            <w:tcBorders>
              <w:top w:val="single" w:sz="4" w:space="0" w:color="auto"/>
              <w:left w:val="nil"/>
              <w:right w:val="nil"/>
            </w:tcBorders>
            <w:shd w:val="clear" w:color="auto" w:fill="auto"/>
            <w:vAlign w:val="bottom"/>
          </w:tcPr>
          <w:p w14:paraId="786BE2CD" w14:textId="182786F0" w:rsidR="00D81A17" w:rsidRPr="00537128" w:rsidRDefault="00D81A17" w:rsidP="00D81A17">
            <w:pPr>
              <w:tabs>
                <w:tab w:val="right" w:pos="1202"/>
              </w:tabs>
              <w:spacing w:after="0" w:line="240" w:lineRule="auto"/>
              <w:jc w:val="right"/>
              <w:outlineLvl w:val="0"/>
              <w:rPr>
                <w:rFonts w:eastAsia="Times New Roman" w:cs="Arial"/>
                <w:iCs/>
                <w:noProof/>
                <w:color w:val="000000" w:themeColor="text1"/>
                <w:sz w:val="18"/>
                <w:szCs w:val="18"/>
                <w:lang w:val="en-US"/>
              </w:rPr>
            </w:pPr>
            <w:r w:rsidRPr="00EA3621">
              <w:rPr>
                <w:rFonts w:eastAsia="Times New Roman" w:cstheme="minorHAnsi"/>
                <w:iCs/>
                <w:color w:val="000000" w:themeColor="text1"/>
                <w:sz w:val="18"/>
                <w:szCs w:val="18"/>
              </w:rPr>
              <w:t>-</w:t>
            </w:r>
          </w:p>
        </w:tc>
        <w:tc>
          <w:tcPr>
            <w:tcW w:w="615" w:type="pct"/>
            <w:tcBorders>
              <w:top w:val="single" w:sz="4" w:space="0" w:color="auto"/>
              <w:left w:val="nil"/>
              <w:right w:val="nil"/>
            </w:tcBorders>
            <w:shd w:val="clear" w:color="auto" w:fill="auto"/>
            <w:vAlign w:val="bottom"/>
          </w:tcPr>
          <w:p w14:paraId="5DE8D55F" w14:textId="3F7060AE" w:rsidR="00D81A17" w:rsidRPr="00537128" w:rsidRDefault="00D81A17" w:rsidP="00D81A17">
            <w:pPr>
              <w:tabs>
                <w:tab w:val="right" w:pos="1202"/>
              </w:tabs>
              <w:spacing w:after="0" w:line="240" w:lineRule="auto"/>
              <w:jc w:val="right"/>
              <w:outlineLvl w:val="0"/>
              <w:rPr>
                <w:rFonts w:eastAsia="Times New Roman" w:cs="Arial"/>
                <w:iCs/>
                <w:noProof/>
                <w:color w:val="000000" w:themeColor="text1"/>
                <w:sz w:val="18"/>
                <w:szCs w:val="18"/>
                <w:lang w:val="en-US"/>
              </w:rPr>
            </w:pPr>
            <w:r w:rsidRPr="00EA3621">
              <w:rPr>
                <w:rFonts w:eastAsia="Times New Roman" w:cstheme="minorHAnsi"/>
                <w:iCs/>
                <w:color w:val="000000" w:themeColor="text1"/>
                <w:sz w:val="18"/>
                <w:szCs w:val="18"/>
              </w:rPr>
              <w:t>-</w:t>
            </w:r>
          </w:p>
        </w:tc>
        <w:tc>
          <w:tcPr>
            <w:tcW w:w="539" w:type="pct"/>
            <w:tcBorders>
              <w:top w:val="single" w:sz="4" w:space="0" w:color="auto"/>
              <w:left w:val="nil"/>
              <w:right w:val="nil"/>
            </w:tcBorders>
            <w:shd w:val="clear" w:color="auto" w:fill="auto"/>
            <w:vAlign w:val="bottom"/>
          </w:tcPr>
          <w:p w14:paraId="484E83F0" w14:textId="5539D597" w:rsidR="00D81A17" w:rsidRPr="00537128" w:rsidRDefault="00D81A17" w:rsidP="00D81A17">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6" w:type="pct"/>
            <w:tcBorders>
              <w:top w:val="single" w:sz="4" w:space="0" w:color="auto"/>
              <w:left w:val="nil"/>
              <w:right w:val="nil"/>
            </w:tcBorders>
            <w:shd w:val="clear" w:color="auto" w:fill="auto"/>
            <w:vAlign w:val="bottom"/>
          </w:tcPr>
          <w:p w14:paraId="072873A5" w14:textId="26C3EEA7" w:rsidR="00D81A17" w:rsidRPr="00537128" w:rsidRDefault="00D81A17" w:rsidP="00D81A17">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6" w:type="pct"/>
            <w:tcBorders>
              <w:top w:val="single" w:sz="4" w:space="0" w:color="auto"/>
              <w:left w:val="nil"/>
              <w:right w:val="nil"/>
            </w:tcBorders>
            <w:shd w:val="clear" w:color="auto" w:fill="auto"/>
            <w:vAlign w:val="bottom"/>
          </w:tcPr>
          <w:p w14:paraId="35E9322C" w14:textId="45A74C9E" w:rsidR="00D81A17" w:rsidRPr="00537128" w:rsidRDefault="00D81A17" w:rsidP="00D81A17">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97</w:t>
            </w:r>
          </w:p>
        </w:tc>
        <w:tc>
          <w:tcPr>
            <w:tcW w:w="688" w:type="pct"/>
            <w:tcBorders>
              <w:top w:val="single" w:sz="4" w:space="0" w:color="auto"/>
              <w:left w:val="nil"/>
              <w:right w:val="nil"/>
            </w:tcBorders>
            <w:shd w:val="clear" w:color="auto" w:fill="auto"/>
            <w:vAlign w:val="bottom"/>
          </w:tcPr>
          <w:p w14:paraId="4E36826C" w14:textId="3E331BF8" w:rsidR="00D81A17" w:rsidRPr="00537128" w:rsidRDefault="00D81A17" w:rsidP="00D81A17">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97</w:t>
            </w:r>
          </w:p>
        </w:tc>
      </w:tr>
      <w:tr w:rsidR="00D81A17" w:rsidRPr="00537128" w14:paraId="067A6094" w14:textId="77777777" w:rsidTr="00CE00C1">
        <w:trPr>
          <w:trHeight w:val="256"/>
        </w:trPr>
        <w:tc>
          <w:tcPr>
            <w:tcW w:w="1309" w:type="pct"/>
            <w:vAlign w:val="bottom"/>
          </w:tcPr>
          <w:p w14:paraId="7856692B" w14:textId="51D3E669" w:rsidR="00D81A17" w:rsidRPr="00537128" w:rsidRDefault="00D81A17" w:rsidP="00D81A17">
            <w:pPr>
              <w:tabs>
                <w:tab w:val="right" w:pos="1202"/>
              </w:tabs>
              <w:spacing w:after="0" w:line="240" w:lineRule="auto"/>
              <w:outlineLvl w:val="0"/>
              <w:rPr>
                <w:rFonts w:eastAsia="Times New Roman" w:cs="Arial"/>
                <w:iCs/>
                <w:noProof/>
                <w:color w:val="000000" w:themeColor="text1"/>
                <w:sz w:val="18"/>
                <w:szCs w:val="18"/>
                <w:lang w:val="en-US"/>
              </w:rPr>
            </w:pPr>
            <w:r w:rsidRPr="00EA22B8">
              <w:rPr>
                <w:rFonts w:ascii="Calibri" w:hAnsi="Calibri"/>
                <w:iCs/>
                <w:sz w:val="18"/>
                <w:szCs w:val="18"/>
              </w:rPr>
              <w:t xml:space="preserve">Capital paid-in from the State Budget  </w:t>
            </w:r>
          </w:p>
        </w:tc>
        <w:tc>
          <w:tcPr>
            <w:tcW w:w="617" w:type="pct"/>
            <w:tcBorders>
              <w:top w:val="single" w:sz="4" w:space="0" w:color="auto"/>
              <w:left w:val="nil"/>
              <w:right w:val="nil"/>
            </w:tcBorders>
            <w:shd w:val="clear" w:color="auto" w:fill="auto"/>
            <w:vAlign w:val="bottom"/>
          </w:tcPr>
          <w:p w14:paraId="260D9746" w14:textId="49C4D960" w:rsidR="00D81A17" w:rsidRPr="00537128" w:rsidRDefault="00D81A17" w:rsidP="00D81A17">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5" w:type="pct"/>
            <w:tcBorders>
              <w:top w:val="single" w:sz="4" w:space="0" w:color="auto"/>
              <w:left w:val="nil"/>
              <w:right w:val="nil"/>
            </w:tcBorders>
            <w:shd w:val="clear" w:color="auto" w:fill="auto"/>
            <w:vAlign w:val="bottom"/>
          </w:tcPr>
          <w:p w14:paraId="72712D9F" w14:textId="1FD42160" w:rsidR="00D81A17" w:rsidRPr="00537128" w:rsidRDefault="00D81A17" w:rsidP="00D81A17">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539" w:type="pct"/>
            <w:tcBorders>
              <w:top w:val="single" w:sz="4" w:space="0" w:color="auto"/>
              <w:left w:val="nil"/>
              <w:right w:val="nil"/>
            </w:tcBorders>
            <w:shd w:val="clear" w:color="auto" w:fill="auto"/>
            <w:vAlign w:val="bottom"/>
          </w:tcPr>
          <w:p w14:paraId="7AF01AC1" w14:textId="28113020" w:rsidR="00D81A17" w:rsidRPr="00537128" w:rsidRDefault="00D81A17" w:rsidP="00D81A17">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6" w:type="pct"/>
            <w:tcBorders>
              <w:top w:val="single" w:sz="4" w:space="0" w:color="auto"/>
              <w:left w:val="nil"/>
              <w:right w:val="nil"/>
            </w:tcBorders>
            <w:shd w:val="clear" w:color="auto" w:fill="auto"/>
            <w:vAlign w:val="bottom"/>
          </w:tcPr>
          <w:p w14:paraId="683F50D4" w14:textId="367003B5" w:rsidR="00D81A17" w:rsidRPr="00537128" w:rsidRDefault="00D81A17" w:rsidP="00D81A17">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6" w:type="pct"/>
            <w:tcBorders>
              <w:top w:val="single" w:sz="4" w:space="0" w:color="auto"/>
              <w:left w:val="nil"/>
              <w:right w:val="nil"/>
            </w:tcBorders>
            <w:shd w:val="clear" w:color="auto" w:fill="auto"/>
            <w:vAlign w:val="bottom"/>
          </w:tcPr>
          <w:p w14:paraId="600CB273" w14:textId="024B068E" w:rsidR="00D81A17" w:rsidRPr="00537128" w:rsidRDefault="00D81A17" w:rsidP="00D81A17">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w:t>
            </w:r>
          </w:p>
        </w:tc>
        <w:tc>
          <w:tcPr>
            <w:tcW w:w="688" w:type="pct"/>
            <w:tcBorders>
              <w:top w:val="single" w:sz="4" w:space="0" w:color="auto"/>
              <w:left w:val="nil"/>
              <w:right w:val="nil"/>
            </w:tcBorders>
            <w:shd w:val="clear" w:color="auto" w:fill="auto"/>
            <w:vAlign w:val="bottom"/>
          </w:tcPr>
          <w:p w14:paraId="6226D305" w14:textId="13473A39" w:rsidR="00D81A17" w:rsidRPr="00537128" w:rsidRDefault="00D81A17" w:rsidP="00D81A17">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w:t>
            </w:r>
          </w:p>
        </w:tc>
      </w:tr>
      <w:tr w:rsidR="00D81A17" w:rsidRPr="00537128" w14:paraId="371BC179" w14:textId="77777777" w:rsidTr="009D2E25">
        <w:trPr>
          <w:trHeight w:val="72"/>
        </w:trPr>
        <w:tc>
          <w:tcPr>
            <w:tcW w:w="1309" w:type="pct"/>
            <w:vAlign w:val="bottom"/>
          </w:tcPr>
          <w:p w14:paraId="69EE739B" w14:textId="7204BDEE" w:rsidR="00D81A17" w:rsidRPr="00537128" w:rsidRDefault="00D81A17" w:rsidP="00D81A17">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Transfer of profit 202</w:t>
            </w:r>
            <w:r>
              <w:rPr>
                <w:rFonts w:eastAsia="Times New Roman" w:cs="Arial"/>
                <w:iCs/>
                <w:noProof/>
                <w:color w:val="000000" w:themeColor="text1"/>
                <w:sz w:val="18"/>
                <w:szCs w:val="18"/>
                <w:lang w:val="en-US"/>
              </w:rPr>
              <w:t>1</w:t>
            </w:r>
            <w:r w:rsidRPr="00537128">
              <w:rPr>
                <w:rFonts w:eastAsia="Times New Roman" w:cs="Arial"/>
                <w:iCs/>
                <w:noProof/>
                <w:color w:val="000000" w:themeColor="text1"/>
                <w:sz w:val="18"/>
                <w:szCs w:val="18"/>
                <w:lang w:val="en-US"/>
              </w:rPr>
              <w:t xml:space="preserve"> to retained earnings </w:t>
            </w:r>
          </w:p>
        </w:tc>
        <w:tc>
          <w:tcPr>
            <w:tcW w:w="617" w:type="pct"/>
            <w:tcBorders>
              <w:bottom w:val="single" w:sz="12" w:space="0" w:color="auto"/>
            </w:tcBorders>
            <w:vAlign w:val="bottom"/>
          </w:tcPr>
          <w:p w14:paraId="7BD5E9FB" w14:textId="2E915EDF" w:rsidR="00D81A17" w:rsidRPr="00537128" w:rsidRDefault="00D81A17" w:rsidP="00D81A17">
            <w:pPr>
              <w:tabs>
                <w:tab w:val="right" w:pos="1202"/>
              </w:tabs>
              <w:spacing w:after="0" w:line="240" w:lineRule="auto"/>
              <w:jc w:val="right"/>
              <w:outlineLvl w:val="0"/>
              <w:rPr>
                <w:rFonts w:eastAsia="Times New Roman" w:cs="Arial"/>
                <w:iCs/>
                <w:noProof/>
                <w:color w:val="000000" w:themeColor="text1"/>
                <w:sz w:val="18"/>
                <w:szCs w:val="18"/>
                <w:lang w:val="en-US"/>
              </w:rPr>
            </w:pPr>
            <w:r w:rsidRPr="00EA3621">
              <w:rPr>
                <w:rFonts w:eastAsia="Times New Roman" w:cstheme="minorHAnsi"/>
                <w:iCs/>
                <w:color w:val="000000" w:themeColor="text1"/>
                <w:sz w:val="18"/>
                <w:szCs w:val="18"/>
              </w:rPr>
              <w:t>-</w:t>
            </w:r>
          </w:p>
        </w:tc>
        <w:tc>
          <w:tcPr>
            <w:tcW w:w="615" w:type="pct"/>
            <w:tcBorders>
              <w:bottom w:val="single" w:sz="12" w:space="0" w:color="auto"/>
            </w:tcBorders>
            <w:vAlign w:val="bottom"/>
          </w:tcPr>
          <w:p w14:paraId="587E38DE" w14:textId="17D6A9DA" w:rsidR="00D81A17" w:rsidRPr="00537128" w:rsidRDefault="00D81A17" w:rsidP="00D81A17">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188</w:t>
            </w:r>
            <w:r w:rsidR="00837004">
              <w:rPr>
                <w:rFonts w:eastAsia="Times New Roman" w:cstheme="minorHAnsi"/>
                <w:iCs/>
                <w:color w:val="000000" w:themeColor="text1"/>
                <w:sz w:val="18"/>
                <w:szCs w:val="18"/>
              </w:rPr>
              <w:t>,</w:t>
            </w:r>
            <w:r>
              <w:rPr>
                <w:rFonts w:eastAsia="Times New Roman" w:cstheme="minorHAnsi"/>
                <w:iCs/>
                <w:color w:val="000000" w:themeColor="text1"/>
                <w:sz w:val="18"/>
                <w:szCs w:val="18"/>
              </w:rPr>
              <w:t>185</w:t>
            </w:r>
          </w:p>
        </w:tc>
        <w:tc>
          <w:tcPr>
            <w:tcW w:w="539" w:type="pct"/>
            <w:tcBorders>
              <w:bottom w:val="single" w:sz="12" w:space="0" w:color="auto"/>
            </w:tcBorders>
            <w:vAlign w:val="bottom"/>
          </w:tcPr>
          <w:p w14:paraId="7D58920F" w14:textId="5D8BBFA4" w:rsidR="00D81A17" w:rsidRPr="00537128" w:rsidRDefault="00D81A17" w:rsidP="00D81A17">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6" w:type="pct"/>
            <w:tcBorders>
              <w:bottom w:val="single" w:sz="12" w:space="0" w:color="auto"/>
            </w:tcBorders>
            <w:vAlign w:val="bottom"/>
          </w:tcPr>
          <w:p w14:paraId="49E83B7D" w14:textId="00B745B8" w:rsidR="00D81A17" w:rsidRPr="00537128" w:rsidRDefault="00D81A17" w:rsidP="00D81A17">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(188</w:t>
            </w:r>
            <w:r w:rsidR="00837004">
              <w:rPr>
                <w:rFonts w:eastAsia="Times New Roman" w:cstheme="minorHAnsi"/>
                <w:iCs/>
                <w:color w:val="000000" w:themeColor="text1"/>
                <w:sz w:val="18"/>
                <w:szCs w:val="18"/>
              </w:rPr>
              <w:t>,</w:t>
            </w:r>
            <w:r>
              <w:rPr>
                <w:rFonts w:eastAsia="Times New Roman" w:cstheme="minorHAnsi"/>
                <w:iCs/>
                <w:color w:val="000000" w:themeColor="text1"/>
                <w:sz w:val="18"/>
                <w:szCs w:val="18"/>
              </w:rPr>
              <w:t>185)</w:t>
            </w:r>
          </w:p>
        </w:tc>
        <w:tc>
          <w:tcPr>
            <w:tcW w:w="616" w:type="pct"/>
            <w:tcBorders>
              <w:bottom w:val="single" w:sz="12" w:space="0" w:color="auto"/>
            </w:tcBorders>
            <w:vAlign w:val="bottom"/>
          </w:tcPr>
          <w:p w14:paraId="6D3F15EE" w14:textId="2942C0A5" w:rsidR="00D81A17" w:rsidRPr="00537128" w:rsidRDefault="00D81A17" w:rsidP="00D81A17">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w:t>
            </w:r>
          </w:p>
        </w:tc>
        <w:tc>
          <w:tcPr>
            <w:tcW w:w="688" w:type="pct"/>
            <w:tcBorders>
              <w:bottom w:val="single" w:sz="12" w:space="0" w:color="auto"/>
            </w:tcBorders>
            <w:vAlign w:val="bottom"/>
          </w:tcPr>
          <w:p w14:paraId="28393E67" w14:textId="00E53477" w:rsidR="00D81A17" w:rsidRPr="00537128" w:rsidRDefault="00D81A17" w:rsidP="00D81A17">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w:t>
            </w:r>
          </w:p>
        </w:tc>
      </w:tr>
      <w:tr w:rsidR="00D81A17" w:rsidRPr="00537128" w14:paraId="1694A222" w14:textId="77777777" w:rsidTr="00CE00C1">
        <w:trPr>
          <w:trHeight w:hRule="exact" w:val="65"/>
        </w:trPr>
        <w:tc>
          <w:tcPr>
            <w:tcW w:w="1309" w:type="pct"/>
            <w:vAlign w:val="bottom"/>
          </w:tcPr>
          <w:p w14:paraId="3EDA0072" w14:textId="77777777" w:rsidR="00D81A17" w:rsidRPr="00537128" w:rsidRDefault="00D81A17" w:rsidP="00D81A17">
            <w:pPr>
              <w:tabs>
                <w:tab w:val="right" w:pos="1202"/>
              </w:tabs>
              <w:spacing w:after="0" w:line="240" w:lineRule="auto"/>
              <w:outlineLvl w:val="0"/>
              <w:rPr>
                <w:rFonts w:eastAsia="Times New Roman" w:cs="Arial"/>
                <w:iCs/>
                <w:noProof/>
                <w:color w:val="000000" w:themeColor="text1"/>
                <w:sz w:val="18"/>
                <w:szCs w:val="18"/>
                <w:lang w:val="en-US"/>
              </w:rPr>
            </w:pPr>
          </w:p>
        </w:tc>
        <w:tc>
          <w:tcPr>
            <w:tcW w:w="617" w:type="pct"/>
            <w:tcBorders>
              <w:top w:val="single" w:sz="12" w:space="0" w:color="auto"/>
              <w:left w:val="nil"/>
              <w:right w:val="nil"/>
            </w:tcBorders>
            <w:shd w:val="clear" w:color="auto" w:fill="auto"/>
            <w:vAlign w:val="bottom"/>
          </w:tcPr>
          <w:p w14:paraId="4C4FE5D0" w14:textId="77777777" w:rsidR="00D81A17" w:rsidRPr="00537128" w:rsidRDefault="00D81A17" w:rsidP="00D81A17">
            <w:pPr>
              <w:tabs>
                <w:tab w:val="right" w:pos="1202"/>
              </w:tabs>
              <w:spacing w:after="0" w:line="240" w:lineRule="auto"/>
              <w:jc w:val="right"/>
              <w:outlineLvl w:val="0"/>
              <w:rPr>
                <w:rFonts w:eastAsia="Times New Roman" w:cs="Arial"/>
                <w:iCs/>
                <w:noProof/>
                <w:color w:val="000000" w:themeColor="text1"/>
                <w:sz w:val="18"/>
                <w:szCs w:val="18"/>
                <w:lang w:val="en-US"/>
              </w:rPr>
            </w:pPr>
          </w:p>
        </w:tc>
        <w:tc>
          <w:tcPr>
            <w:tcW w:w="615" w:type="pct"/>
            <w:tcBorders>
              <w:top w:val="single" w:sz="12" w:space="0" w:color="auto"/>
              <w:left w:val="nil"/>
              <w:right w:val="nil"/>
            </w:tcBorders>
            <w:shd w:val="clear" w:color="auto" w:fill="auto"/>
            <w:vAlign w:val="bottom"/>
          </w:tcPr>
          <w:p w14:paraId="30303295" w14:textId="77777777" w:rsidR="00D81A17" w:rsidRPr="00537128" w:rsidRDefault="00D81A17" w:rsidP="00D81A17">
            <w:pPr>
              <w:tabs>
                <w:tab w:val="right" w:pos="1202"/>
              </w:tabs>
              <w:spacing w:after="0" w:line="240" w:lineRule="auto"/>
              <w:jc w:val="right"/>
              <w:outlineLvl w:val="0"/>
              <w:rPr>
                <w:rFonts w:eastAsia="Times New Roman" w:cs="Arial"/>
                <w:iCs/>
                <w:noProof/>
                <w:color w:val="000000" w:themeColor="text1"/>
                <w:sz w:val="18"/>
                <w:szCs w:val="18"/>
                <w:lang w:val="en-US"/>
              </w:rPr>
            </w:pPr>
          </w:p>
        </w:tc>
        <w:tc>
          <w:tcPr>
            <w:tcW w:w="539" w:type="pct"/>
            <w:tcBorders>
              <w:top w:val="single" w:sz="12" w:space="0" w:color="auto"/>
              <w:left w:val="nil"/>
              <w:right w:val="nil"/>
            </w:tcBorders>
            <w:shd w:val="clear" w:color="auto" w:fill="auto"/>
            <w:vAlign w:val="bottom"/>
          </w:tcPr>
          <w:p w14:paraId="441145AF" w14:textId="77777777" w:rsidR="00D81A17" w:rsidRPr="00537128" w:rsidRDefault="00D81A17" w:rsidP="00D81A17">
            <w:pPr>
              <w:tabs>
                <w:tab w:val="right" w:pos="1202"/>
              </w:tabs>
              <w:spacing w:after="0" w:line="240" w:lineRule="auto"/>
              <w:jc w:val="right"/>
              <w:outlineLvl w:val="0"/>
              <w:rPr>
                <w:rFonts w:eastAsia="Times New Roman" w:cs="Arial"/>
                <w:iCs/>
                <w:noProof/>
                <w:color w:val="000000" w:themeColor="text1"/>
                <w:sz w:val="18"/>
                <w:szCs w:val="18"/>
                <w:lang w:val="en-US"/>
              </w:rPr>
            </w:pPr>
          </w:p>
        </w:tc>
        <w:tc>
          <w:tcPr>
            <w:tcW w:w="616" w:type="pct"/>
            <w:tcBorders>
              <w:top w:val="single" w:sz="12" w:space="0" w:color="auto"/>
              <w:left w:val="nil"/>
              <w:right w:val="nil"/>
            </w:tcBorders>
            <w:shd w:val="clear" w:color="auto" w:fill="auto"/>
            <w:vAlign w:val="bottom"/>
          </w:tcPr>
          <w:p w14:paraId="65AB3652" w14:textId="77777777" w:rsidR="00D81A17" w:rsidRPr="00537128" w:rsidRDefault="00D81A17" w:rsidP="00D81A17">
            <w:pPr>
              <w:tabs>
                <w:tab w:val="right" w:pos="1202"/>
              </w:tabs>
              <w:spacing w:after="0" w:line="240" w:lineRule="auto"/>
              <w:jc w:val="right"/>
              <w:outlineLvl w:val="0"/>
              <w:rPr>
                <w:rFonts w:eastAsia="Times New Roman" w:cs="Arial"/>
                <w:iCs/>
                <w:noProof/>
                <w:color w:val="000000" w:themeColor="text1"/>
                <w:sz w:val="18"/>
                <w:szCs w:val="18"/>
                <w:lang w:val="en-US"/>
              </w:rPr>
            </w:pPr>
          </w:p>
        </w:tc>
        <w:tc>
          <w:tcPr>
            <w:tcW w:w="616" w:type="pct"/>
            <w:tcBorders>
              <w:top w:val="single" w:sz="12" w:space="0" w:color="auto"/>
              <w:left w:val="nil"/>
              <w:right w:val="nil"/>
            </w:tcBorders>
            <w:vAlign w:val="bottom"/>
          </w:tcPr>
          <w:p w14:paraId="744FC945" w14:textId="77777777" w:rsidR="00D81A17" w:rsidRPr="00537128" w:rsidRDefault="00D81A17" w:rsidP="00D81A17">
            <w:pPr>
              <w:tabs>
                <w:tab w:val="right" w:pos="1202"/>
              </w:tabs>
              <w:spacing w:after="0" w:line="240" w:lineRule="auto"/>
              <w:jc w:val="right"/>
              <w:outlineLvl w:val="0"/>
              <w:rPr>
                <w:rFonts w:eastAsia="Times New Roman" w:cs="Arial"/>
                <w:b/>
                <w:iCs/>
                <w:noProof/>
                <w:color w:val="000000" w:themeColor="text1"/>
                <w:sz w:val="18"/>
                <w:szCs w:val="18"/>
                <w:lang w:val="en-US"/>
              </w:rPr>
            </w:pPr>
          </w:p>
        </w:tc>
        <w:tc>
          <w:tcPr>
            <w:tcW w:w="688" w:type="pct"/>
            <w:tcBorders>
              <w:top w:val="single" w:sz="12" w:space="0" w:color="auto"/>
              <w:left w:val="nil"/>
              <w:right w:val="nil"/>
            </w:tcBorders>
            <w:shd w:val="clear" w:color="auto" w:fill="auto"/>
            <w:vAlign w:val="bottom"/>
          </w:tcPr>
          <w:p w14:paraId="33E941F8" w14:textId="77777777" w:rsidR="00D81A17" w:rsidRPr="00537128" w:rsidRDefault="00D81A17" w:rsidP="00D81A17">
            <w:pPr>
              <w:tabs>
                <w:tab w:val="right" w:pos="1202"/>
              </w:tabs>
              <w:spacing w:after="0" w:line="240" w:lineRule="auto"/>
              <w:jc w:val="right"/>
              <w:outlineLvl w:val="0"/>
              <w:rPr>
                <w:rFonts w:eastAsia="Times New Roman" w:cs="Arial"/>
                <w:b/>
                <w:iCs/>
                <w:noProof/>
                <w:color w:val="000000" w:themeColor="text1"/>
                <w:sz w:val="18"/>
                <w:szCs w:val="18"/>
                <w:lang w:val="en-US"/>
              </w:rPr>
            </w:pPr>
          </w:p>
        </w:tc>
      </w:tr>
      <w:tr w:rsidR="00D81A17" w:rsidRPr="00537128" w14:paraId="767F66B3" w14:textId="77777777" w:rsidTr="00A1123E">
        <w:trPr>
          <w:trHeight w:hRule="exact" w:val="486"/>
        </w:trPr>
        <w:tc>
          <w:tcPr>
            <w:tcW w:w="1309" w:type="pct"/>
            <w:vAlign w:val="bottom"/>
          </w:tcPr>
          <w:p w14:paraId="5F1CC06D" w14:textId="63ED264C" w:rsidR="00D81A17" w:rsidRPr="00537128" w:rsidRDefault="00D81A17" w:rsidP="00D81A17">
            <w:pPr>
              <w:tabs>
                <w:tab w:val="right" w:pos="1202"/>
              </w:tabs>
              <w:spacing w:after="0" w:line="240" w:lineRule="auto"/>
              <w:outlineLvl w:val="0"/>
              <w:rPr>
                <w:rFonts w:eastAsia="Times New Roman" w:cs="Arial"/>
                <w:b/>
                <w:iCs/>
                <w:noProof/>
                <w:color w:val="000000" w:themeColor="text1"/>
                <w:sz w:val="18"/>
                <w:szCs w:val="18"/>
                <w:lang w:val="en-US"/>
              </w:rPr>
            </w:pPr>
            <w:r w:rsidRPr="00537128">
              <w:rPr>
                <w:rFonts w:eastAsia="Times New Roman" w:cs="Arial"/>
                <w:b/>
                <w:iCs/>
                <w:noProof/>
                <w:color w:val="000000" w:themeColor="text1"/>
                <w:sz w:val="18"/>
                <w:szCs w:val="18"/>
                <w:lang w:val="en-US"/>
              </w:rPr>
              <w:t>Balance as at 31 March 202</w:t>
            </w:r>
            <w:r>
              <w:rPr>
                <w:rFonts w:eastAsia="Times New Roman" w:cs="Arial"/>
                <w:b/>
                <w:iCs/>
                <w:noProof/>
                <w:color w:val="000000" w:themeColor="text1"/>
                <w:sz w:val="18"/>
                <w:szCs w:val="18"/>
                <w:lang w:val="en-US"/>
              </w:rPr>
              <w:t>2</w:t>
            </w:r>
          </w:p>
        </w:tc>
        <w:tc>
          <w:tcPr>
            <w:tcW w:w="617" w:type="pct"/>
            <w:tcBorders>
              <w:top w:val="nil"/>
              <w:left w:val="nil"/>
              <w:bottom w:val="single" w:sz="12" w:space="0" w:color="auto"/>
              <w:right w:val="nil"/>
            </w:tcBorders>
            <w:shd w:val="clear" w:color="auto" w:fill="auto"/>
            <w:vAlign w:val="bottom"/>
          </w:tcPr>
          <w:p w14:paraId="6D0EF9C6" w14:textId="0DF3BB86" w:rsidR="00D81A17" w:rsidRPr="00537128" w:rsidRDefault="00D81A17" w:rsidP="00D81A17">
            <w:pPr>
              <w:tabs>
                <w:tab w:val="right" w:pos="1202"/>
              </w:tabs>
              <w:spacing w:after="0" w:line="320" w:lineRule="exact"/>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7</w:t>
            </w:r>
            <w:r w:rsidR="00837004">
              <w:rPr>
                <w:rFonts w:eastAsia="Times New Roman" w:cstheme="minorHAnsi"/>
                <w:b/>
                <w:iCs/>
                <w:color w:val="000000" w:themeColor="text1"/>
                <w:sz w:val="18"/>
                <w:szCs w:val="18"/>
              </w:rPr>
              <w:t>,</w:t>
            </w:r>
            <w:r>
              <w:rPr>
                <w:rFonts w:eastAsia="Times New Roman" w:cstheme="minorHAnsi"/>
                <w:b/>
                <w:iCs/>
                <w:color w:val="000000" w:themeColor="text1"/>
                <w:sz w:val="18"/>
                <w:szCs w:val="18"/>
              </w:rPr>
              <w:t>184</w:t>
            </w:r>
            <w:r w:rsidR="00837004">
              <w:rPr>
                <w:rFonts w:eastAsia="Times New Roman" w:cstheme="minorHAnsi"/>
                <w:b/>
                <w:iCs/>
                <w:color w:val="000000" w:themeColor="text1"/>
                <w:sz w:val="18"/>
                <w:szCs w:val="18"/>
              </w:rPr>
              <w:t>,</w:t>
            </w:r>
            <w:r>
              <w:rPr>
                <w:rFonts w:eastAsia="Times New Roman" w:cstheme="minorHAnsi"/>
                <w:b/>
                <w:iCs/>
                <w:color w:val="000000" w:themeColor="text1"/>
                <w:sz w:val="18"/>
                <w:szCs w:val="18"/>
              </w:rPr>
              <w:t>632</w:t>
            </w:r>
          </w:p>
        </w:tc>
        <w:tc>
          <w:tcPr>
            <w:tcW w:w="615" w:type="pct"/>
            <w:tcBorders>
              <w:left w:val="nil"/>
              <w:bottom w:val="single" w:sz="12" w:space="0" w:color="auto"/>
              <w:right w:val="nil"/>
            </w:tcBorders>
            <w:shd w:val="clear" w:color="auto" w:fill="auto"/>
            <w:vAlign w:val="bottom"/>
          </w:tcPr>
          <w:p w14:paraId="72911B82" w14:textId="430400D2" w:rsidR="00D81A17" w:rsidRPr="00537128" w:rsidRDefault="00D81A17" w:rsidP="00D81A17">
            <w:pPr>
              <w:tabs>
                <w:tab w:val="right" w:pos="1202"/>
              </w:tabs>
              <w:spacing w:after="0" w:line="320" w:lineRule="exact"/>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3</w:t>
            </w:r>
            <w:r w:rsidR="00837004">
              <w:rPr>
                <w:rFonts w:eastAsia="Times New Roman" w:cstheme="minorHAnsi"/>
                <w:b/>
                <w:iCs/>
                <w:color w:val="000000" w:themeColor="text1"/>
                <w:sz w:val="18"/>
                <w:szCs w:val="18"/>
              </w:rPr>
              <w:t>,</w:t>
            </w:r>
            <w:r>
              <w:rPr>
                <w:rFonts w:eastAsia="Times New Roman" w:cstheme="minorHAnsi"/>
                <w:b/>
                <w:iCs/>
                <w:color w:val="000000" w:themeColor="text1"/>
                <w:sz w:val="18"/>
                <w:szCs w:val="18"/>
              </w:rPr>
              <w:t>345</w:t>
            </w:r>
            <w:r w:rsidR="00837004">
              <w:rPr>
                <w:rFonts w:eastAsia="Times New Roman" w:cstheme="minorHAnsi"/>
                <w:b/>
                <w:iCs/>
                <w:color w:val="000000" w:themeColor="text1"/>
                <w:sz w:val="18"/>
                <w:szCs w:val="18"/>
              </w:rPr>
              <w:t>,</w:t>
            </w:r>
            <w:r>
              <w:rPr>
                <w:rFonts w:eastAsia="Times New Roman" w:cstheme="minorHAnsi"/>
                <w:b/>
                <w:iCs/>
                <w:color w:val="000000" w:themeColor="text1"/>
                <w:sz w:val="18"/>
                <w:szCs w:val="18"/>
              </w:rPr>
              <w:t>869</w:t>
            </w:r>
          </w:p>
        </w:tc>
        <w:tc>
          <w:tcPr>
            <w:tcW w:w="539" w:type="pct"/>
            <w:tcBorders>
              <w:left w:val="nil"/>
              <w:bottom w:val="single" w:sz="12" w:space="0" w:color="auto"/>
              <w:right w:val="nil"/>
            </w:tcBorders>
            <w:shd w:val="clear" w:color="auto" w:fill="auto"/>
            <w:vAlign w:val="bottom"/>
          </w:tcPr>
          <w:p w14:paraId="43D950B9" w14:textId="1EFA5EFE" w:rsidR="00D81A17" w:rsidRPr="00537128" w:rsidRDefault="00D81A17" w:rsidP="00D81A17">
            <w:pPr>
              <w:tabs>
                <w:tab w:val="right" w:pos="1202"/>
              </w:tabs>
              <w:spacing w:after="0" w:line="320" w:lineRule="exact"/>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5</w:t>
            </w:r>
            <w:r w:rsidR="00837004">
              <w:rPr>
                <w:rFonts w:eastAsia="Times New Roman" w:cstheme="minorHAnsi"/>
                <w:b/>
                <w:iCs/>
                <w:color w:val="000000" w:themeColor="text1"/>
                <w:sz w:val="18"/>
                <w:szCs w:val="18"/>
              </w:rPr>
              <w:t>,</w:t>
            </w:r>
            <w:r>
              <w:rPr>
                <w:rFonts w:eastAsia="Times New Roman" w:cstheme="minorHAnsi"/>
                <w:b/>
                <w:iCs/>
                <w:color w:val="000000" w:themeColor="text1"/>
                <w:sz w:val="18"/>
                <w:szCs w:val="18"/>
              </w:rPr>
              <w:t>282</w:t>
            </w:r>
          </w:p>
        </w:tc>
        <w:tc>
          <w:tcPr>
            <w:tcW w:w="616" w:type="pct"/>
            <w:tcBorders>
              <w:left w:val="nil"/>
              <w:bottom w:val="single" w:sz="12" w:space="0" w:color="auto"/>
              <w:right w:val="nil"/>
            </w:tcBorders>
            <w:shd w:val="clear" w:color="auto" w:fill="auto"/>
            <w:vAlign w:val="bottom"/>
          </w:tcPr>
          <w:p w14:paraId="02FAA4D9" w14:textId="53B9A313" w:rsidR="00D81A17" w:rsidRPr="00537128" w:rsidRDefault="00D81A17" w:rsidP="00D81A17">
            <w:pPr>
              <w:tabs>
                <w:tab w:val="right" w:pos="1202"/>
              </w:tabs>
              <w:spacing w:after="0" w:line="320" w:lineRule="exact"/>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230</w:t>
            </w:r>
            <w:r w:rsidR="00837004">
              <w:rPr>
                <w:rFonts w:eastAsia="Times New Roman" w:cstheme="minorHAnsi"/>
                <w:b/>
                <w:iCs/>
                <w:color w:val="000000" w:themeColor="text1"/>
                <w:sz w:val="18"/>
                <w:szCs w:val="18"/>
              </w:rPr>
              <w:t>,</w:t>
            </w:r>
            <w:r>
              <w:rPr>
                <w:rFonts w:eastAsia="Times New Roman" w:cstheme="minorHAnsi"/>
                <w:b/>
                <w:iCs/>
                <w:color w:val="000000" w:themeColor="text1"/>
                <w:sz w:val="18"/>
                <w:szCs w:val="18"/>
              </w:rPr>
              <w:t>100</w:t>
            </w:r>
          </w:p>
        </w:tc>
        <w:tc>
          <w:tcPr>
            <w:tcW w:w="616" w:type="pct"/>
            <w:tcBorders>
              <w:left w:val="nil"/>
              <w:bottom w:val="single" w:sz="12" w:space="0" w:color="auto"/>
              <w:right w:val="nil"/>
            </w:tcBorders>
            <w:shd w:val="clear" w:color="auto" w:fill="auto"/>
            <w:vAlign w:val="bottom"/>
          </w:tcPr>
          <w:p w14:paraId="6492D1ED" w14:textId="2AFF3418" w:rsidR="00D81A17" w:rsidRPr="00537128" w:rsidRDefault="00D81A17" w:rsidP="00D81A17">
            <w:pPr>
              <w:tabs>
                <w:tab w:val="right" w:pos="1202"/>
              </w:tabs>
              <w:spacing w:after="0" w:line="320" w:lineRule="exact"/>
              <w:jc w:val="right"/>
              <w:outlineLvl w:val="0"/>
              <w:rPr>
                <w:rFonts w:eastAsia="Times New Roman" w:cs="Arial"/>
                <w:b/>
                <w:iCs/>
                <w:noProof/>
                <w:color w:val="000000" w:themeColor="text1"/>
                <w:sz w:val="18"/>
                <w:szCs w:val="18"/>
                <w:lang w:val="en-US"/>
              </w:rPr>
            </w:pPr>
            <w:r>
              <w:rPr>
                <w:rFonts w:eastAsia="Times New Roman" w:cstheme="minorHAnsi"/>
                <w:b/>
                <w:bCs/>
                <w:color w:val="000000" w:themeColor="text1"/>
                <w:sz w:val="18"/>
                <w:szCs w:val="18"/>
              </w:rPr>
              <w:t>12</w:t>
            </w:r>
            <w:r w:rsidR="00837004">
              <w:rPr>
                <w:rFonts w:eastAsia="Times New Roman" w:cstheme="minorHAnsi"/>
                <w:b/>
                <w:bCs/>
                <w:color w:val="000000" w:themeColor="text1"/>
                <w:sz w:val="18"/>
                <w:szCs w:val="18"/>
              </w:rPr>
              <w:t>,</w:t>
            </w:r>
            <w:r>
              <w:rPr>
                <w:rFonts w:eastAsia="Times New Roman" w:cstheme="minorHAnsi"/>
                <w:b/>
                <w:bCs/>
                <w:color w:val="000000" w:themeColor="text1"/>
                <w:sz w:val="18"/>
                <w:szCs w:val="18"/>
              </w:rPr>
              <w:t>406</w:t>
            </w:r>
          </w:p>
        </w:tc>
        <w:tc>
          <w:tcPr>
            <w:tcW w:w="688" w:type="pct"/>
            <w:tcBorders>
              <w:left w:val="nil"/>
              <w:bottom w:val="single" w:sz="12" w:space="0" w:color="auto"/>
              <w:right w:val="nil"/>
            </w:tcBorders>
            <w:shd w:val="clear" w:color="auto" w:fill="auto"/>
            <w:vAlign w:val="bottom"/>
          </w:tcPr>
          <w:p w14:paraId="6F8C5AAC" w14:textId="4047FF16" w:rsidR="00D81A17" w:rsidRPr="00537128" w:rsidRDefault="00D81A17" w:rsidP="00D81A17">
            <w:pPr>
              <w:tabs>
                <w:tab w:val="right" w:pos="1202"/>
              </w:tabs>
              <w:spacing w:after="0" w:line="320" w:lineRule="exact"/>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10</w:t>
            </w:r>
            <w:r w:rsidR="00837004">
              <w:rPr>
                <w:rFonts w:eastAsia="Times New Roman" w:cstheme="minorHAnsi"/>
                <w:b/>
                <w:iCs/>
                <w:color w:val="000000" w:themeColor="text1"/>
                <w:sz w:val="18"/>
                <w:szCs w:val="18"/>
              </w:rPr>
              <w:t>,</w:t>
            </w:r>
            <w:r>
              <w:rPr>
                <w:rFonts w:eastAsia="Times New Roman" w:cstheme="minorHAnsi"/>
                <w:b/>
                <w:iCs/>
                <w:color w:val="000000" w:themeColor="text1"/>
                <w:sz w:val="18"/>
                <w:szCs w:val="18"/>
              </w:rPr>
              <w:t>778</w:t>
            </w:r>
            <w:r w:rsidR="00837004">
              <w:rPr>
                <w:rFonts w:eastAsia="Times New Roman" w:cstheme="minorHAnsi"/>
                <w:b/>
                <w:iCs/>
                <w:color w:val="000000" w:themeColor="text1"/>
                <w:sz w:val="18"/>
                <w:szCs w:val="18"/>
              </w:rPr>
              <w:t>,</w:t>
            </w:r>
            <w:r>
              <w:rPr>
                <w:rFonts w:eastAsia="Times New Roman" w:cstheme="minorHAnsi"/>
                <w:b/>
                <w:iCs/>
                <w:color w:val="000000" w:themeColor="text1"/>
                <w:sz w:val="18"/>
                <w:szCs w:val="18"/>
              </w:rPr>
              <w:t>289</w:t>
            </w:r>
          </w:p>
        </w:tc>
      </w:tr>
    </w:tbl>
    <w:p w14:paraId="32EB2C80" w14:textId="77777777" w:rsidR="00A67EEA" w:rsidRPr="00537128" w:rsidRDefault="00A67EEA" w:rsidP="001A7A19">
      <w:pPr>
        <w:spacing w:after="0" w:line="240" w:lineRule="auto"/>
        <w:ind w:right="284"/>
        <w:rPr>
          <w:rFonts w:eastAsia="Times New Roman" w:cs="Arial"/>
          <w:noProof/>
          <w:color w:val="000000" w:themeColor="text1"/>
          <w:szCs w:val="32"/>
          <w:lang w:val="en-US"/>
        </w:rPr>
      </w:pPr>
    </w:p>
    <w:p w14:paraId="0317088A" w14:textId="77777777" w:rsidR="00BA3E05" w:rsidRPr="00537128" w:rsidRDefault="00BA3E05" w:rsidP="001A7A19">
      <w:pPr>
        <w:spacing w:after="0" w:line="240" w:lineRule="auto"/>
        <w:ind w:right="284"/>
        <w:rPr>
          <w:rFonts w:eastAsia="Times New Roman" w:cs="Arial"/>
          <w:noProof/>
          <w:color w:val="000000" w:themeColor="text1"/>
          <w:szCs w:val="32"/>
          <w:lang w:val="en-US"/>
        </w:rPr>
      </w:pPr>
    </w:p>
    <w:p w14:paraId="25AF4809" w14:textId="77777777" w:rsidR="00BA3E05" w:rsidRPr="00537128" w:rsidRDefault="00BA3E05" w:rsidP="001A7A19">
      <w:pPr>
        <w:spacing w:after="0" w:line="240" w:lineRule="auto"/>
        <w:ind w:right="284"/>
        <w:rPr>
          <w:rFonts w:eastAsia="Times New Roman" w:cs="Arial"/>
          <w:noProof/>
          <w:color w:val="000000" w:themeColor="text1"/>
          <w:szCs w:val="32"/>
          <w:lang w:val="en-US"/>
        </w:rPr>
      </w:pPr>
    </w:p>
    <w:p w14:paraId="506B5A10" w14:textId="77777777" w:rsidR="00BA3E05" w:rsidRPr="00537128" w:rsidRDefault="00BA3E05" w:rsidP="001A7A19">
      <w:pPr>
        <w:spacing w:after="0" w:line="240" w:lineRule="auto"/>
        <w:ind w:right="284"/>
        <w:rPr>
          <w:rFonts w:eastAsia="Times New Roman" w:cs="Arial"/>
          <w:noProof/>
          <w:color w:val="000000" w:themeColor="text1"/>
          <w:szCs w:val="32"/>
          <w:lang w:val="en-US"/>
        </w:rPr>
      </w:pPr>
    </w:p>
    <w:p w14:paraId="416AEBA8" w14:textId="77777777" w:rsidR="00BA3E05" w:rsidRPr="00537128" w:rsidRDefault="00BA3E05" w:rsidP="004A3447">
      <w:pPr>
        <w:spacing w:after="0" w:line="240" w:lineRule="auto"/>
        <w:rPr>
          <w:rFonts w:ascii="Arial" w:eastAsia="Times New Roman" w:hAnsi="Arial" w:cs="Arial"/>
          <w:noProof/>
          <w:color w:val="000000" w:themeColor="text1"/>
          <w:sz w:val="19"/>
          <w:szCs w:val="20"/>
          <w:lang w:val="en-US"/>
        </w:rPr>
      </w:pPr>
    </w:p>
    <w:p w14:paraId="3DDF6FB0" w14:textId="77777777" w:rsidR="004A3447" w:rsidRPr="00A1123E" w:rsidRDefault="00BA3E05" w:rsidP="00BA3E05">
      <w:pPr>
        <w:spacing w:after="0" w:line="240" w:lineRule="auto"/>
        <w:rPr>
          <w:rFonts w:cs="Arial"/>
          <w:noProof/>
          <w:color w:val="000000" w:themeColor="text1"/>
          <w:lang w:val="en-US"/>
        </w:rPr>
      </w:pPr>
      <w:r w:rsidRPr="00A1123E">
        <w:rPr>
          <w:rFonts w:cs="Arial"/>
          <w:noProof/>
          <w:color w:val="000000" w:themeColor="text1"/>
          <w:lang w:val="en-US"/>
        </w:rPr>
        <w:t>The accompanying accounting policies and notes are an integral part of these financial statements.</w:t>
      </w:r>
    </w:p>
    <w:p w14:paraId="3FCC7CBE" w14:textId="77777777" w:rsidR="00BA3E05" w:rsidRPr="00537128" w:rsidRDefault="00BA3E05" w:rsidP="00BA3E05">
      <w:pPr>
        <w:spacing w:after="0" w:line="240" w:lineRule="auto"/>
        <w:rPr>
          <w:rFonts w:ascii="Arial" w:eastAsia="Times New Roman" w:hAnsi="Arial" w:cs="Arial"/>
          <w:noProof/>
          <w:color w:val="000000" w:themeColor="text1"/>
          <w:sz w:val="19"/>
          <w:szCs w:val="20"/>
          <w:lang w:val="en-US"/>
        </w:rPr>
      </w:pPr>
    </w:p>
    <w:p w14:paraId="22DA5BA5" w14:textId="77777777" w:rsidR="00BA3E05" w:rsidRPr="00537128" w:rsidRDefault="00BA3E05" w:rsidP="00BA3E05">
      <w:pPr>
        <w:spacing w:after="0" w:line="240" w:lineRule="auto"/>
        <w:rPr>
          <w:rFonts w:ascii="Arial" w:eastAsia="Times New Roman" w:hAnsi="Arial" w:cs="Arial"/>
          <w:noProof/>
          <w:color w:val="000000" w:themeColor="text1"/>
          <w:sz w:val="19"/>
          <w:szCs w:val="20"/>
          <w:lang w:val="en-US"/>
        </w:rPr>
      </w:pPr>
    </w:p>
    <w:p w14:paraId="2DFA7B85" w14:textId="77777777" w:rsidR="00BA3E05" w:rsidRPr="00537128" w:rsidRDefault="00BA3E05" w:rsidP="00BA3E05">
      <w:pPr>
        <w:spacing w:after="0" w:line="240" w:lineRule="auto"/>
        <w:rPr>
          <w:rFonts w:ascii="Arial" w:eastAsia="Times New Roman" w:hAnsi="Arial" w:cs="Arial"/>
          <w:noProof/>
          <w:color w:val="000000" w:themeColor="text1"/>
          <w:sz w:val="19"/>
          <w:szCs w:val="20"/>
          <w:lang w:val="en-US"/>
        </w:rPr>
        <w:sectPr w:rsidR="00BA3E05" w:rsidRPr="00537128">
          <w:headerReference w:type="default" r:id="rId22"/>
          <w:pgSz w:w="11906" w:h="16838"/>
          <w:pgMar w:top="1417" w:right="1417" w:bottom="1417" w:left="1417" w:header="708" w:footer="708" w:gutter="0"/>
          <w:cols w:space="708"/>
          <w:docGrid w:linePitch="360"/>
        </w:sectPr>
      </w:pPr>
    </w:p>
    <w:p w14:paraId="7D616817"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p w14:paraId="1CE34533"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Y="2641"/>
        <w:tblW w:w="5000" w:type="pct"/>
        <w:tblLayout w:type="fixed"/>
        <w:tblCellMar>
          <w:left w:w="119" w:type="dxa"/>
          <w:right w:w="119" w:type="dxa"/>
        </w:tblCellMar>
        <w:tblLook w:val="0000" w:firstRow="0" w:lastRow="0" w:firstColumn="0" w:lastColumn="0" w:noHBand="0" w:noVBand="0"/>
      </w:tblPr>
      <w:tblGrid>
        <w:gridCol w:w="4739"/>
        <w:gridCol w:w="1085"/>
        <w:gridCol w:w="1624"/>
        <w:gridCol w:w="1624"/>
      </w:tblGrid>
      <w:tr w:rsidR="00732009" w:rsidRPr="00537128" w14:paraId="2FBC89D5" w14:textId="77777777" w:rsidTr="00CE00C1">
        <w:trPr>
          <w:trHeight w:val="480"/>
        </w:trPr>
        <w:tc>
          <w:tcPr>
            <w:tcW w:w="2612" w:type="pct"/>
            <w:vAlign w:val="bottom"/>
          </w:tcPr>
          <w:p w14:paraId="065D12EF" w14:textId="77777777" w:rsidR="00732009" w:rsidRPr="00537128" w:rsidRDefault="00732009" w:rsidP="00CE00C1">
            <w:pPr>
              <w:tabs>
                <w:tab w:val="right" w:pos="1202"/>
              </w:tabs>
              <w:spacing w:after="0" w:line="301" w:lineRule="exact"/>
              <w:outlineLvl w:val="0"/>
              <w:rPr>
                <w:rFonts w:ascii="Calibri" w:eastAsia="Times New Roman" w:hAnsi="Calibri" w:cs="Calibri"/>
                <w:b/>
                <w:bCs/>
                <w:noProof/>
                <w:color w:val="000000" w:themeColor="text1"/>
                <w:lang w:val="en-US"/>
              </w:rPr>
            </w:pPr>
          </w:p>
        </w:tc>
        <w:tc>
          <w:tcPr>
            <w:tcW w:w="598" w:type="pct"/>
            <w:vAlign w:val="bottom"/>
          </w:tcPr>
          <w:p w14:paraId="3BABFC18" w14:textId="77777777" w:rsidR="00732009" w:rsidRPr="00537128" w:rsidRDefault="00732009" w:rsidP="00CE00C1">
            <w:pPr>
              <w:tabs>
                <w:tab w:val="right" w:pos="1202"/>
              </w:tabs>
              <w:spacing w:after="0" w:line="301" w:lineRule="exact"/>
              <w:ind w:left="-15" w:firstLine="15"/>
              <w:jc w:val="center"/>
              <w:outlineLvl w:val="0"/>
              <w:rPr>
                <w:rFonts w:ascii="Calibri" w:eastAsia="Times New Roman" w:hAnsi="Calibri" w:cs="Calibri"/>
                <w:b/>
                <w:bCs/>
                <w:noProof/>
                <w:color w:val="000000" w:themeColor="text1"/>
                <w:lang w:val="en-US"/>
              </w:rPr>
            </w:pPr>
            <w:bookmarkStart w:id="97" w:name="_Toc4057246"/>
            <w:r w:rsidRPr="00537128">
              <w:rPr>
                <w:rFonts w:ascii="Calibri" w:eastAsia="Times New Roman" w:hAnsi="Calibri" w:cs="Calibri"/>
                <w:b/>
                <w:bCs/>
                <w:noProof/>
                <w:color w:val="000000" w:themeColor="text1"/>
                <w:spacing w:val="-1"/>
                <w:lang w:val="en-US"/>
              </w:rPr>
              <w:t>Notes</w:t>
            </w:r>
            <w:bookmarkEnd w:id="97"/>
          </w:p>
        </w:tc>
        <w:tc>
          <w:tcPr>
            <w:tcW w:w="895" w:type="pct"/>
            <w:vAlign w:val="bottom"/>
          </w:tcPr>
          <w:p w14:paraId="4FF2F112" w14:textId="4B8A315F" w:rsidR="00732009" w:rsidRPr="00537128" w:rsidRDefault="00732009" w:rsidP="00CE00C1">
            <w:pPr>
              <w:spacing w:after="0" w:line="301" w:lineRule="exact"/>
              <w:jc w:val="right"/>
              <w:outlineLvl w:val="0"/>
              <w:rPr>
                <w:rFonts w:ascii="Calibri" w:eastAsia="Times New Roman" w:hAnsi="Calibri" w:cs="Calibri"/>
                <w:b/>
                <w:bCs/>
                <w:noProof/>
                <w:color w:val="000000" w:themeColor="text1"/>
                <w:lang w:val="en-US"/>
              </w:rPr>
            </w:pPr>
            <w:bookmarkStart w:id="98" w:name="_Toc4057247"/>
            <w:r w:rsidRPr="00537128">
              <w:rPr>
                <w:rFonts w:ascii="Calibri" w:eastAsia="Times New Roman" w:hAnsi="Calibri" w:cs="Calibri"/>
                <w:b/>
                <w:bCs/>
                <w:noProof/>
                <w:color w:val="000000" w:themeColor="text1"/>
                <w:lang w:val="en-US"/>
              </w:rPr>
              <w:t>20</w:t>
            </w:r>
            <w:bookmarkEnd w:id="98"/>
            <w:r w:rsidRPr="00537128">
              <w:rPr>
                <w:rFonts w:ascii="Calibri" w:eastAsia="Times New Roman" w:hAnsi="Calibri" w:cs="Calibri"/>
                <w:b/>
                <w:bCs/>
                <w:noProof/>
                <w:color w:val="000000" w:themeColor="text1"/>
                <w:lang w:val="en-US"/>
              </w:rPr>
              <w:t>2</w:t>
            </w:r>
            <w:r w:rsidR="005B7A29">
              <w:rPr>
                <w:rFonts w:ascii="Calibri" w:eastAsia="Times New Roman" w:hAnsi="Calibri" w:cs="Calibri"/>
                <w:b/>
                <w:bCs/>
                <w:noProof/>
                <w:color w:val="000000" w:themeColor="text1"/>
                <w:lang w:val="en-US"/>
              </w:rPr>
              <w:t>2</w:t>
            </w:r>
          </w:p>
        </w:tc>
        <w:tc>
          <w:tcPr>
            <w:tcW w:w="895" w:type="pct"/>
            <w:vAlign w:val="bottom"/>
          </w:tcPr>
          <w:p w14:paraId="36171CE7" w14:textId="01E6C38B" w:rsidR="00732009" w:rsidRPr="00537128" w:rsidRDefault="00732009" w:rsidP="00CE00C1">
            <w:pPr>
              <w:spacing w:after="0" w:line="301" w:lineRule="exact"/>
              <w:jc w:val="right"/>
              <w:outlineLvl w:val="0"/>
              <w:rPr>
                <w:rFonts w:ascii="Calibri" w:eastAsia="Times New Roman" w:hAnsi="Calibri" w:cs="Calibri"/>
                <w:b/>
                <w:bCs/>
                <w:noProof/>
                <w:color w:val="000000" w:themeColor="text1"/>
                <w:lang w:val="en-US"/>
              </w:rPr>
            </w:pPr>
            <w:r w:rsidRPr="00537128">
              <w:rPr>
                <w:rFonts w:ascii="Calibri" w:eastAsia="Times New Roman" w:hAnsi="Calibri" w:cs="Calibri"/>
                <w:b/>
                <w:bCs/>
                <w:noProof/>
                <w:color w:val="000000" w:themeColor="text1"/>
                <w:lang w:val="en-US"/>
              </w:rPr>
              <w:t>20</w:t>
            </w:r>
            <w:r w:rsidR="00CE00C1" w:rsidRPr="00537128">
              <w:rPr>
                <w:rFonts w:ascii="Calibri" w:eastAsia="Times New Roman" w:hAnsi="Calibri" w:cs="Calibri"/>
                <w:b/>
                <w:bCs/>
                <w:noProof/>
                <w:color w:val="000000" w:themeColor="text1"/>
                <w:lang w:val="en-US"/>
              </w:rPr>
              <w:t>2</w:t>
            </w:r>
            <w:r w:rsidR="005B7A29">
              <w:rPr>
                <w:rFonts w:ascii="Calibri" w:eastAsia="Times New Roman" w:hAnsi="Calibri" w:cs="Calibri"/>
                <w:b/>
                <w:bCs/>
                <w:noProof/>
                <w:color w:val="000000" w:themeColor="text1"/>
                <w:lang w:val="en-US"/>
              </w:rPr>
              <w:t>1</w:t>
            </w:r>
          </w:p>
        </w:tc>
      </w:tr>
      <w:tr w:rsidR="00732009" w:rsidRPr="00537128" w14:paraId="3B2E1ADF" w14:textId="77777777" w:rsidTr="00CE00C1">
        <w:tc>
          <w:tcPr>
            <w:tcW w:w="2612" w:type="pct"/>
          </w:tcPr>
          <w:p w14:paraId="6F0087E5" w14:textId="77777777" w:rsidR="00732009" w:rsidRPr="00537128" w:rsidRDefault="00732009" w:rsidP="00CE00C1">
            <w:pPr>
              <w:tabs>
                <w:tab w:val="right" w:pos="1202"/>
              </w:tabs>
              <w:spacing w:after="0" w:line="301" w:lineRule="exact"/>
              <w:outlineLvl w:val="0"/>
              <w:rPr>
                <w:rFonts w:ascii="Calibri" w:eastAsia="Times New Roman" w:hAnsi="Calibri" w:cs="Calibri"/>
                <w:b/>
                <w:bCs/>
                <w:noProof/>
                <w:color w:val="000000" w:themeColor="text1"/>
                <w:lang w:val="en-US"/>
              </w:rPr>
            </w:pPr>
          </w:p>
        </w:tc>
        <w:tc>
          <w:tcPr>
            <w:tcW w:w="598" w:type="pct"/>
          </w:tcPr>
          <w:p w14:paraId="026A3C07" w14:textId="77777777" w:rsidR="00732009" w:rsidRPr="00537128" w:rsidRDefault="00732009" w:rsidP="00CE00C1">
            <w:pPr>
              <w:tabs>
                <w:tab w:val="right" w:pos="1202"/>
              </w:tabs>
              <w:spacing w:after="0" w:line="301" w:lineRule="exact"/>
              <w:jc w:val="center"/>
              <w:outlineLvl w:val="0"/>
              <w:rPr>
                <w:rFonts w:ascii="Calibri" w:eastAsia="Times New Roman" w:hAnsi="Calibri" w:cs="Calibri"/>
                <w:b/>
                <w:bCs/>
                <w:noProof/>
                <w:color w:val="000000" w:themeColor="text1"/>
                <w:spacing w:val="-1"/>
                <w:lang w:val="en-US"/>
              </w:rPr>
            </w:pPr>
          </w:p>
        </w:tc>
        <w:tc>
          <w:tcPr>
            <w:tcW w:w="895" w:type="pct"/>
          </w:tcPr>
          <w:p w14:paraId="408D984F" w14:textId="77777777" w:rsidR="00732009" w:rsidRPr="00537128" w:rsidRDefault="00732009" w:rsidP="00CE00C1">
            <w:pPr>
              <w:spacing w:after="0" w:line="301" w:lineRule="exact"/>
              <w:jc w:val="right"/>
              <w:outlineLvl w:val="0"/>
              <w:rPr>
                <w:rFonts w:ascii="Calibri" w:eastAsia="Times New Roman" w:hAnsi="Calibri" w:cs="Calibri"/>
                <w:b/>
                <w:bCs/>
                <w:noProof/>
                <w:color w:val="000000" w:themeColor="text1"/>
                <w:lang w:val="en-US"/>
              </w:rPr>
            </w:pPr>
            <w:bookmarkStart w:id="99" w:name="_Toc4057249"/>
            <w:r w:rsidRPr="00537128">
              <w:rPr>
                <w:rFonts w:ascii="Calibri" w:eastAsia="Times New Roman" w:hAnsi="Calibri" w:cs="Calibri"/>
                <w:b/>
                <w:bCs/>
                <w:noProof/>
                <w:color w:val="000000" w:themeColor="text1"/>
                <w:lang w:val="en-US"/>
              </w:rPr>
              <w:t>HRK ‘000</w:t>
            </w:r>
            <w:bookmarkEnd w:id="99"/>
            <w:r w:rsidRPr="00537128">
              <w:rPr>
                <w:rFonts w:ascii="Calibri" w:eastAsia="Times New Roman" w:hAnsi="Calibri" w:cs="Calibri"/>
                <w:b/>
                <w:bCs/>
                <w:noProof/>
                <w:color w:val="000000" w:themeColor="text1"/>
                <w:lang w:val="en-US"/>
              </w:rPr>
              <w:t xml:space="preserve"> </w:t>
            </w:r>
          </w:p>
        </w:tc>
        <w:tc>
          <w:tcPr>
            <w:tcW w:w="895" w:type="pct"/>
          </w:tcPr>
          <w:p w14:paraId="1318D849" w14:textId="77777777" w:rsidR="00732009" w:rsidRPr="00537128" w:rsidRDefault="00732009" w:rsidP="00CE00C1">
            <w:pPr>
              <w:spacing w:after="0" w:line="301" w:lineRule="exact"/>
              <w:jc w:val="right"/>
              <w:outlineLvl w:val="0"/>
              <w:rPr>
                <w:rFonts w:ascii="Calibri" w:eastAsia="Times New Roman" w:hAnsi="Calibri" w:cs="Calibri"/>
                <w:b/>
                <w:bCs/>
                <w:noProof/>
                <w:color w:val="000000" w:themeColor="text1"/>
                <w:lang w:val="en-US"/>
              </w:rPr>
            </w:pPr>
            <w:r w:rsidRPr="00537128">
              <w:rPr>
                <w:rFonts w:ascii="Calibri" w:eastAsia="Times New Roman" w:hAnsi="Calibri" w:cs="Calibri"/>
                <w:b/>
                <w:bCs/>
                <w:noProof/>
                <w:color w:val="000000" w:themeColor="text1"/>
                <w:lang w:val="en-US"/>
              </w:rPr>
              <w:t xml:space="preserve">HRK ‘000 </w:t>
            </w:r>
          </w:p>
        </w:tc>
      </w:tr>
      <w:tr w:rsidR="00732009" w:rsidRPr="00537128" w14:paraId="687C0C43" w14:textId="77777777" w:rsidTr="00CE00C1">
        <w:tc>
          <w:tcPr>
            <w:tcW w:w="2612" w:type="pct"/>
          </w:tcPr>
          <w:p w14:paraId="72C9B93F" w14:textId="77777777" w:rsidR="00732009" w:rsidRPr="00537128" w:rsidRDefault="00732009" w:rsidP="00CE00C1">
            <w:pPr>
              <w:tabs>
                <w:tab w:val="right" w:pos="1202"/>
              </w:tabs>
              <w:spacing w:after="0" w:line="301" w:lineRule="exact"/>
              <w:outlineLvl w:val="0"/>
              <w:rPr>
                <w:rFonts w:ascii="Calibri" w:eastAsia="Times New Roman" w:hAnsi="Calibri" w:cs="Calibri"/>
                <w:noProof/>
                <w:color w:val="000000" w:themeColor="text1"/>
                <w:lang w:val="en-US"/>
              </w:rPr>
            </w:pPr>
          </w:p>
        </w:tc>
        <w:tc>
          <w:tcPr>
            <w:tcW w:w="598" w:type="pct"/>
          </w:tcPr>
          <w:p w14:paraId="3FD496BB" w14:textId="77777777" w:rsidR="00732009" w:rsidRPr="00537128" w:rsidRDefault="00732009" w:rsidP="00CE00C1">
            <w:pPr>
              <w:tabs>
                <w:tab w:val="right" w:pos="1202"/>
              </w:tabs>
              <w:spacing w:after="0" w:line="301" w:lineRule="exact"/>
              <w:jc w:val="center"/>
              <w:outlineLvl w:val="0"/>
              <w:rPr>
                <w:rFonts w:ascii="Calibri" w:eastAsia="Times New Roman" w:hAnsi="Calibri" w:cs="Calibri"/>
                <w:b/>
                <w:noProof/>
                <w:color w:val="000000" w:themeColor="text1"/>
                <w:spacing w:val="-1"/>
                <w:lang w:val="en-US"/>
              </w:rPr>
            </w:pPr>
          </w:p>
        </w:tc>
        <w:tc>
          <w:tcPr>
            <w:tcW w:w="895" w:type="pct"/>
          </w:tcPr>
          <w:p w14:paraId="59A74CB0" w14:textId="77777777" w:rsidR="00732009" w:rsidRPr="00537128" w:rsidRDefault="00732009" w:rsidP="00CE00C1">
            <w:pPr>
              <w:spacing w:after="0" w:line="301" w:lineRule="exact"/>
              <w:jc w:val="right"/>
              <w:outlineLvl w:val="0"/>
              <w:rPr>
                <w:rFonts w:ascii="Calibri" w:eastAsia="Times New Roman" w:hAnsi="Calibri" w:cs="Calibri"/>
                <w:b/>
                <w:noProof/>
                <w:color w:val="000000" w:themeColor="text1"/>
                <w:lang w:val="en-US"/>
              </w:rPr>
            </w:pPr>
          </w:p>
        </w:tc>
        <w:tc>
          <w:tcPr>
            <w:tcW w:w="895" w:type="pct"/>
          </w:tcPr>
          <w:p w14:paraId="0235E418" w14:textId="77777777" w:rsidR="00732009" w:rsidRPr="00537128" w:rsidRDefault="00732009" w:rsidP="00CE00C1">
            <w:pPr>
              <w:spacing w:after="0" w:line="301" w:lineRule="exact"/>
              <w:jc w:val="right"/>
              <w:outlineLvl w:val="0"/>
              <w:rPr>
                <w:rFonts w:ascii="Calibri" w:eastAsia="Times New Roman" w:hAnsi="Calibri" w:cs="Calibri"/>
                <w:b/>
                <w:noProof/>
                <w:color w:val="000000" w:themeColor="text1"/>
                <w:lang w:val="en-US"/>
              </w:rPr>
            </w:pPr>
          </w:p>
        </w:tc>
      </w:tr>
      <w:tr w:rsidR="000C08A6" w:rsidRPr="00537128" w14:paraId="6AB8D814" w14:textId="77777777" w:rsidTr="00161C5C">
        <w:tc>
          <w:tcPr>
            <w:tcW w:w="2612" w:type="pct"/>
          </w:tcPr>
          <w:p w14:paraId="79EF523C" w14:textId="77777777" w:rsidR="000C08A6" w:rsidRPr="00537128" w:rsidRDefault="000C08A6" w:rsidP="000C08A6">
            <w:pPr>
              <w:tabs>
                <w:tab w:val="right" w:pos="1202"/>
              </w:tabs>
              <w:spacing w:after="0" w:line="301" w:lineRule="exact"/>
              <w:outlineLvl w:val="0"/>
              <w:rPr>
                <w:rFonts w:ascii="Calibri" w:eastAsia="Times New Roman" w:hAnsi="Calibri" w:cs="Calibri"/>
                <w:bCs/>
                <w:noProof/>
                <w:color w:val="000000" w:themeColor="text1"/>
                <w:spacing w:val="-2"/>
                <w:lang w:val="en-US"/>
              </w:rPr>
            </w:pPr>
            <w:bookmarkStart w:id="100" w:name="_Toc4057251"/>
            <w:r w:rsidRPr="00537128">
              <w:rPr>
                <w:rFonts w:ascii="Calibri" w:eastAsia="Times New Roman" w:hAnsi="Calibri" w:cs="Calibri"/>
                <w:bCs/>
                <w:noProof/>
                <w:color w:val="000000" w:themeColor="text1"/>
                <w:spacing w:val="-2"/>
                <w:lang w:val="en-US"/>
              </w:rPr>
              <w:t>Interest income calculated using the effective interest method</w:t>
            </w:r>
            <w:bookmarkEnd w:id="100"/>
          </w:p>
        </w:tc>
        <w:tc>
          <w:tcPr>
            <w:tcW w:w="598" w:type="pct"/>
            <w:vAlign w:val="bottom"/>
          </w:tcPr>
          <w:p w14:paraId="6D32CE37" w14:textId="77777777" w:rsidR="000C08A6" w:rsidRPr="00A1123E" w:rsidRDefault="000C08A6" w:rsidP="000C08A6">
            <w:pPr>
              <w:tabs>
                <w:tab w:val="right" w:pos="1202"/>
              </w:tabs>
              <w:spacing w:after="0" w:line="301" w:lineRule="exact"/>
              <w:jc w:val="center"/>
              <w:outlineLvl w:val="0"/>
              <w:rPr>
                <w:rFonts w:ascii="Calibri" w:eastAsia="Times New Roman" w:hAnsi="Calibri" w:cs="Calibri"/>
                <w:bCs/>
                <w:noProof/>
                <w:color w:val="000000" w:themeColor="text1"/>
                <w:lang w:val="en-US"/>
              </w:rPr>
            </w:pPr>
            <w:bookmarkStart w:id="101" w:name="_Toc4057252"/>
            <w:r w:rsidRPr="00A1123E">
              <w:rPr>
                <w:rFonts w:ascii="Calibri" w:eastAsia="Times New Roman" w:hAnsi="Calibri" w:cs="Calibri"/>
                <w:bCs/>
                <w:noProof/>
                <w:color w:val="000000" w:themeColor="text1"/>
                <w:lang w:val="en-US"/>
              </w:rPr>
              <w:t>5</w:t>
            </w:r>
            <w:bookmarkEnd w:id="101"/>
          </w:p>
        </w:tc>
        <w:tc>
          <w:tcPr>
            <w:tcW w:w="895" w:type="pct"/>
            <w:tcBorders>
              <w:top w:val="nil"/>
              <w:left w:val="nil"/>
              <w:bottom w:val="nil"/>
              <w:right w:val="nil"/>
            </w:tcBorders>
            <w:vAlign w:val="bottom"/>
          </w:tcPr>
          <w:p w14:paraId="511E0F16" w14:textId="6FAE278C" w:rsidR="000C08A6" w:rsidRPr="00537128" w:rsidRDefault="000C08A6" w:rsidP="000C08A6">
            <w:pPr>
              <w:spacing w:after="0" w:line="301" w:lineRule="exact"/>
              <w:jc w:val="right"/>
              <w:outlineLvl w:val="0"/>
              <w:rPr>
                <w:rFonts w:ascii="Calibri" w:eastAsia="Times New Roman" w:hAnsi="Calibri" w:cs="Calibri"/>
                <w:bCs/>
                <w:noProof/>
                <w:color w:val="000000" w:themeColor="text1"/>
                <w:spacing w:val="-2"/>
                <w:lang w:val="en-US"/>
              </w:rPr>
            </w:pPr>
            <w:r>
              <w:rPr>
                <w:rFonts w:cstheme="minorHAnsi"/>
                <w:bCs/>
                <w:color w:val="000000" w:themeColor="text1"/>
                <w:spacing w:val="-2"/>
              </w:rPr>
              <w:t>185</w:t>
            </w:r>
            <w:r w:rsidR="00012194">
              <w:rPr>
                <w:rFonts w:cstheme="minorHAnsi"/>
                <w:bCs/>
                <w:color w:val="000000" w:themeColor="text1"/>
                <w:spacing w:val="-2"/>
              </w:rPr>
              <w:t>,</w:t>
            </w:r>
            <w:r>
              <w:rPr>
                <w:rFonts w:cstheme="minorHAnsi"/>
                <w:bCs/>
                <w:color w:val="000000" w:themeColor="text1"/>
                <w:spacing w:val="-2"/>
              </w:rPr>
              <w:t>009</w:t>
            </w:r>
          </w:p>
        </w:tc>
        <w:tc>
          <w:tcPr>
            <w:tcW w:w="895" w:type="pct"/>
            <w:tcBorders>
              <w:top w:val="nil"/>
              <w:left w:val="nil"/>
              <w:bottom w:val="nil"/>
              <w:right w:val="nil"/>
            </w:tcBorders>
            <w:shd w:val="clear" w:color="auto" w:fill="auto"/>
            <w:vAlign w:val="bottom"/>
          </w:tcPr>
          <w:p w14:paraId="0935A99E" w14:textId="7ACEE888" w:rsidR="000C08A6" w:rsidRPr="00537128" w:rsidRDefault="000C08A6" w:rsidP="000C08A6">
            <w:pPr>
              <w:spacing w:after="0" w:line="301" w:lineRule="exact"/>
              <w:jc w:val="right"/>
              <w:outlineLvl w:val="0"/>
              <w:rPr>
                <w:rFonts w:ascii="Calibri" w:eastAsia="Times New Roman" w:hAnsi="Calibri" w:cs="Calibri"/>
                <w:bCs/>
                <w:noProof/>
                <w:color w:val="000000" w:themeColor="text1"/>
                <w:spacing w:val="-2"/>
                <w:lang w:val="en-US"/>
              </w:rPr>
            </w:pPr>
            <w:r>
              <w:rPr>
                <w:rFonts w:cstheme="minorHAnsi"/>
                <w:bCs/>
                <w:color w:val="000000" w:themeColor="text1"/>
                <w:spacing w:val="-2"/>
              </w:rPr>
              <w:t>169,789</w:t>
            </w:r>
          </w:p>
        </w:tc>
      </w:tr>
      <w:tr w:rsidR="000C08A6" w:rsidRPr="00537128" w14:paraId="730D27CB" w14:textId="77777777" w:rsidTr="00161C5C">
        <w:tc>
          <w:tcPr>
            <w:tcW w:w="2612" w:type="pct"/>
          </w:tcPr>
          <w:p w14:paraId="5046749F" w14:textId="77777777" w:rsidR="000C08A6" w:rsidRPr="00537128" w:rsidRDefault="000C08A6" w:rsidP="000C08A6">
            <w:pPr>
              <w:tabs>
                <w:tab w:val="right" w:pos="1202"/>
              </w:tabs>
              <w:spacing w:after="0" w:line="301" w:lineRule="exact"/>
              <w:outlineLvl w:val="0"/>
              <w:rPr>
                <w:rFonts w:ascii="Calibri" w:eastAsia="Times New Roman" w:hAnsi="Calibri" w:cs="Calibri"/>
                <w:bCs/>
                <w:noProof/>
                <w:color w:val="000000" w:themeColor="text1"/>
                <w:spacing w:val="-2"/>
                <w:lang w:val="en-US"/>
              </w:rPr>
            </w:pPr>
            <w:bookmarkStart w:id="102" w:name="_Toc4057255"/>
            <w:r w:rsidRPr="00537128">
              <w:rPr>
                <w:rFonts w:ascii="Calibri" w:eastAsia="Times New Roman" w:hAnsi="Calibri" w:cs="Calibri"/>
                <w:bCs/>
                <w:noProof/>
                <w:color w:val="000000" w:themeColor="text1"/>
                <w:spacing w:val="-2"/>
                <w:lang w:val="en-US"/>
              </w:rPr>
              <w:t>Interest expense</w:t>
            </w:r>
            <w:bookmarkEnd w:id="102"/>
          </w:p>
        </w:tc>
        <w:tc>
          <w:tcPr>
            <w:tcW w:w="598" w:type="pct"/>
            <w:vAlign w:val="bottom"/>
          </w:tcPr>
          <w:p w14:paraId="39F4CD2E" w14:textId="77777777" w:rsidR="000C08A6" w:rsidRPr="00A1123E" w:rsidRDefault="000C08A6" w:rsidP="000C08A6">
            <w:pPr>
              <w:tabs>
                <w:tab w:val="right" w:pos="1202"/>
              </w:tabs>
              <w:spacing w:after="0" w:line="301" w:lineRule="exact"/>
              <w:jc w:val="center"/>
              <w:outlineLvl w:val="0"/>
              <w:rPr>
                <w:rFonts w:ascii="Calibri" w:eastAsia="Times New Roman" w:hAnsi="Calibri" w:cs="Calibri"/>
                <w:bCs/>
                <w:noProof/>
                <w:color w:val="000000" w:themeColor="text1"/>
                <w:spacing w:val="-2"/>
                <w:lang w:val="en-US"/>
              </w:rPr>
            </w:pPr>
            <w:bookmarkStart w:id="103" w:name="_Toc4057256"/>
            <w:r w:rsidRPr="00A1123E">
              <w:rPr>
                <w:rFonts w:ascii="Calibri" w:eastAsia="Times New Roman" w:hAnsi="Calibri" w:cs="Calibri"/>
                <w:bCs/>
                <w:noProof/>
                <w:color w:val="000000" w:themeColor="text1"/>
                <w:spacing w:val="-2"/>
                <w:lang w:val="en-US"/>
              </w:rPr>
              <w:t>6</w:t>
            </w:r>
            <w:bookmarkEnd w:id="103"/>
          </w:p>
        </w:tc>
        <w:tc>
          <w:tcPr>
            <w:tcW w:w="895" w:type="pct"/>
            <w:tcBorders>
              <w:top w:val="nil"/>
              <w:left w:val="nil"/>
              <w:bottom w:val="nil"/>
              <w:right w:val="nil"/>
            </w:tcBorders>
            <w:vAlign w:val="bottom"/>
          </w:tcPr>
          <w:p w14:paraId="7F703A3E" w14:textId="5D258613" w:rsidR="000C08A6" w:rsidRPr="00537128" w:rsidRDefault="000C08A6" w:rsidP="000C08A6">
            <w:pPr>
              <w:spacing w:after="0" w:line="301" w:lineRule="exact"/>
              <w:jc w:val="right"/>
              <w:outlineLvl w:val="0"/>
              <w:rPr>
                <w:rFonts w:ascii="Calibri" w:eastAsia="Times New Roman" w:hAnsi="Calibri" w:cs="Calibri"/>
                <w:bCs/>
                <w:noProof/>
                <w:color w:val="000000" w:themeColor="text1"/>
                <w:spacing w:val="-2"/>
                <w:lang w:val="en-US"/>
              </w:rPr>
            </w:pPr>
            <w:r>
              <w:rPr>
                <w:rFonts w:cstheme="minorHAnsi"/>
                <w:bCs/>
                <w:color w:val="000000" w:themeColor="text1"/>
                <w:spacing w:val="-2"/>
              </w:rPr>
              <w:t>(40</w:t>
            </w:r>
            <w:r w:rsidR="00012194">
              <w:rPr>
                <w:rFonts w:cstheme="minorHAnsi"/>
                <w:bCs/>
                <w:color w:val="000000" w:themeColor="text1"/>
                <w:spacing w:val="-2"/>
              </w:rPr>
              <w:t>,</w:t>
            </w:r>
            <w:r>
              <w:rPr>
                <w:rFonts w:cstheme="minorHAnsi"/>
                <w:bCs/>
                <w:color w:val="000000" w:themeColor="text1"/>
                <w:spacing w:val="-2"/>
              </w:rPr>
              <w:t>231)</w:t>
            </w:r>
          </w:p>
        </w:tc>
        <w:tc>
          <w:tcPr>
            <w:tcW w:w="895" w:type="pct"/>
            <w:tcBorders>
              <w:top w:val="nil"/>
              <w:left w:val="nil"/>
              <w:bottom w:val="nil"/>
              <w:right w:val="nil"/>
            </w:tcBorders>
            <w:shd w:val="clear" w:color="auto" w:fill="auto"/>
            <w:vAlign w:val="bottom"/>
          </w:tcPr>
          <w:p w14:paraId="0F77693E" w14:textId="315DCC4C" w:rsidR="000C08A6" w:rsidRPr="00537128" w:rsidRDefault="000C08A6" w:rsidP="000C08A6">
            <w:pPr>
              <w:spacing w:after="0" w:line="301" w:lineRule="exact"/>
              <w:jc w:val="right"/>
              <w:outlineLvl w:val="0"/>
              <w:rPr>
                <w:rFonts w:ascii="Calibri" w:eastAsia="Times New Roman" w:hAnsi="Calibri" w:cs="Calibri"/>
                <w:bCs/>
                <w:noProof/>
                <w:color w:val="000000" w:themeColor="text1"/>
                <w:spacing w:val="-2"/>
                <w:lang w:val="en-US"/>
              </w:rPr>
            </w:pPr>
            <w:r>
              <w:rPr>
                <w:rFonts w:cstheme="minorHAnsi"/>
                <w:bCs/>
                <w:color w:val="000000" w:themeColor="text1"/>
                <w:spacing w:val="-2"/>
              </w:rPr>
              <w:t>(49,776)</w:t>
            </w:r>
          </w:p>
        </w:tc>
      </w:tr>
      <w:tr w:rsidR="000C08A6" w:rsidRPr="00537128" w14:paraId="7062B66B" w14:textId="77777777" w:rsidTr="00CE00C1">
        <w:tc>
          <w:tcPr>
            <w:tcW w:w="2612" w:type="pct"/>
          </w:tcPr>
          <w:p w14:paraId="5ABC8065" w14:textId="77777777" w:rsidR="000C08A6" w:rsidRPr="00537128" w:rsidRDefault="000C08A6" w:rsidP="000C08A6">
            <w:pPr>
              <w:tabs>
                <w:tab w:val="right" w:pos="1202"/>
              </w:tabs>
              <w:spacing w:after="0" w:line="340" w:lineRule="exact"/>
              <w:outlineLvl w:val="0"/>
              <w:rPr>
                <w:rFonts w:ascii="Calibri" w:eastAsia="Times New Roman" w:hAnsi="Calibri" w:cs="Calibri"/>
                <w:b/>
                <w:bCs/>
                <w:noProof/>
                <w:color w:val="000000" w:themeColor="text1"/>
                <w:vertAlign w:val="superscript"/>
                <w:lang w:val="en-US"/>
              </w:rPr>
            </w:pPr>
            <w:bookmarkStart w:id="104" w:name="_Toc4057259"/>
            <w:r w:rsidRPr="00537128">
              <w:rPr>
                <w:rFonts w:ascii="Calibri" w:eastAsia="Times New Roman" w:hAnsi="Calibri" w:cs="Calibri"/>
                <w:b/>
                <w:bCs/>
                <w:noProof/>
                <w:color w:val="000000" w:themeColor="text1"/>
                <w:lang w:val="en-US"/>
              </w:rPr>
              <w:t>Net interest income</w:t>
            </w:r>
            <w:bookmarkEnd w:id="104"/>
          </w:p>
        </w:tc>
        <w:tc>
          <w:tcPr>
            <w:tcW w:w="598" w:type="pct"/>
            <w:vAlign w:val="bottom"/>
          </w:tcPr>
          <w:p w14:paraId="0C968108" w14:textId="77777777" w:rsidR="000C08A6" w:rsidRPr="00A1123E" w:rsidRDefault="000C08A6" w:rsidP="000C08A6">
            <w:pPr>
              <w:tabs>
                <w:tab w:val="right" w:pos="1202"/>
              </w:tabs>
              <w:spacing w:after="0" w:line="340" w:lineRule="exact"/>
              <w:jc w:val="center"/>
              <w:outlineLvl w:val="0"/>
              <w:rPr>
                <w:rFonts w:ascii="Calibri" w:eastAsia="Times New Roman" w:hAnsi="Calibri" w:cs="Calibri"/>
                <w:b/>
                <w:bCs/>
                <w:noProof/>
                <w:color w:val="000000" w:themeColor="text1"/>
                <w:lang w:val="en-US"/>
              </w:rPr>
            </w:pPr>
          </w:p>
        </w:tc>
        <w:tc>
          <w:tcPr>
            <w:tcW w:w="895" w:type="pct"/>
            <w:tcBorders>
              <w:top w:val="single" w:sz="4" w:space="0" w:color="auto"/>
              <w:bottom w:val="single" w:sz="12" w:space="0" w:color="auto"/>
            </w:tcBorders>
            <w:vAlign w:val="bottom"/>
          </w:tcPr>
          <w:p w14:paraId="04E0B753" w14:textId="181FA2FF" w:rsidR="000C08A6" w:rsidRPr="00537128" w:rsidRDefault="000C08A6" w:rsidP="000C08A6">
            <w:pPr>
              <w:spacing w:after="0" w:line="340" w:lineRule="exact"/>
              <w:jc w:val="right"/>
              <w:outlineLvl w:val="0"/>
              <w:rPr>
                <w:rFonts w:ascii="Calibri" w:eastAsia="Times New Roman" w:hAnsi="Calibri" w:cs="Calibri"/>
                <w:b/>
                <w:noProof/>
                <w:color w:val="000000" w:themeColor="text1"/>
                <w:spacing w:val="-2"/>
                <w:lang w:val="en-US"/>
              </w:rPr>
            </w:pPr>
            <w:r>
              <w:rPr>
                <w:rFonts w:ascii="Calibri" w:eastAsia="Times New Roman" w:hAnsi="Calibri" w:cs="Calibri"/>
                <w:b/>
                <w:bCs/>
                <w:color w:val="000000" w:themeColor="text1"/>
              </w:rPr>
              <w:t>144</w:t>
            </w:r>
            <w:r w:rsidR="00012194">
              <w:rPr>
                <w:rFonts w:ascii="Calibri" w:eastAsia="Times New Roman" w:hAnsi="Calibri" w:cs="Calibri"/>
                <w:b/>
                <w:bCs/>
                <w:color w:val="000000" w:themeColor="text1"/>
              </w:rPr>
              <w:t>,</w:t>
            </w:r>
            <w:r>
              <w:rPr>
                <w:rFonts w:ascii="Calibri" w:eastAsia="Times New Roman" w:hAnsi="Calibri" w:cs="Calibri"/>
                <w:b/>
                <w:bCs/>
                <w:color w:val="000000" w:themeColor="text1"/>
              </w:rPr>
              <w:t>778</w:t>
            </w:r>
          </w:p>
        </w:tc>
        <w:tc>
          <w:tcPr>
            <w:tcW w:w="895" w:type="pct"/>
            <w:tcBorders>
              <w:top w:val="single" w:sz="4" w:space="0" w:color="auto"/>
              <w:bottom w:val="single" w:sz="12" w:space="0" w:color="auto"/>
            </w:tcBorders>
            <w:vAlign w:val="bottom"/>
          </w:tcPr>
          <w:p w14:paraId="3BE58D18" w14:textId="41D9A6D9" w:rsidR="000C08A6" w:rsidRPr="00537128" w:rsidRDefault="000C08A6" w:rsidP="000C08A6">
            <w:pPr>
              <w:spacing w:after="0" w:line="340" w:lineRule="exact"/>
              <w:jc w:val="right"/>
              <w:outlineLvl w:val="0"/>
              <w:rPr>
                <w:rFonts w:ascii="Calibri" w:eastAsia="Times New Roman" w:hAnsi="Calibri" w:cs="Calibri"/>
                <w:b/>
                <w:bCs/>
                <w:noProof/>
                <w:color w:val="000000" w:themeColor="text1"/>
                <w:spacing w:val="-2"/>
                <w:lang w:val="en-US"/>
              </w:rPr>
            </w:pPr>
            <w:r>
              <w:rPr>
                <w:rFonts w:ascii="Calibri" w:eastAsia="Times New Roman" w:hAnsi="Calibri" w:cs="Calibri"/>
                <w:b/>
                <w:bCs/>
                <w:color w:val="000000" w:themeColor="text1"/>
              </w:rPr>
              <w:t>120,013</w:t>
            </w:r>
          </w:p>
        </w:tc>
      </w:tr>
      <w:tr w:rsidR="000C08A6" w:rsidRPr="00537128" w14:paraId="4E1C0207" w14:textId="77777777" w:rsidTr="00CE00C1">
        <w:tc>
          <w:tcPr>
            <w:tcW w:w="2612" w:type="pct"/>
          </w:tcPr>
          <w:p w14:paraId="15FD2BDF" w14:textId="77777777" w:rsidR="000C08A6" w:rsidRPr="00537128" w:rsidRDefault="000C08A6" w:rsidP="000C08A6">
            <w:pPr>
              <w:tabs>
                <w:tab w:val="right" w:pos="1202"/>
              </w:tabs>
              <w:spacing w:after="0" w:line="301" w:lineRule="exact"/>
              <w:outlineLvl w:val="0"/>
              <w:rPr>
                <w:rFonts w:ascii="Calibri" w:eastAsia="Times New Roman" w:hAnsi="Calibri" w:cs="Calibri"/>
                <w:bCs/>
                <w:noProof/>
                <w:color w:val="000000" w:themeColor="text1"/>
                <w:spacing w:val="-2"/>
                <w:lang w:val="en-US"/>
              </w:rPr>
            </w:pPr>
          </w:p>
        </w:tc>
        <w:tc>
          <w:tcPr>
            <w:tcW w:w="598" w:type="pct"/>
            <w:vAlign w:val="bottom"/>
          </w:tcPr>
          <w:p w14:paraId="2C88CD60" w14:textId="77777777" w:rsidR="000C08A6" w:rsidRPr="00A1123E" w:rsidRDefault="000C08A6" w:rsidP="000C08A6">
            <w:pPr>
              <w:tabs>
                <w:tab w:val="right" w:pos="1202"/>
              </w:tabs>
              <w:spacing w:after="0" w:line="301" w:lineRule="exact"/>
              <w:jc w:val="center"/>
              <w:outlineLvl w:val="0"/>
              <w:rPr>
                <w:rFonts w:ascii="Calibri" w:eastAsia="Times New Roman" w:hAnsi="Calibri" w:cs="Calibri"/>
                <w:bCs/>
                <w:noProof/>
                <w:color w:val="000000" w:themeColor="text1"/>
                <w:lang w:val="en-US"/>
              </w:rPr>
            </w:pPr>
          </w:p>
        </w:tc>
        <w:tc>
          <w:tcPr>
            <w:tcW w:w="895" w:type="pct"/>
            <w:tcBorders>
              <w:top w:val="single" w:sz="12" w:space="0" w:color="auto"/>
            </w:tcBorders>
            <w:vAlign w:val="bottom"/>
          </w:tcPr>
          <w:p w14:paraId="173B9AAB" w14:textId="77777777" w:rsidR="000C08A6" w:rsidRPr="00537128" w:rsidRDefault="000C08A6" w:rsidP="000C08A6">
            <w:pPr>
              <w:spacing w:after="0" w:line="301" w:lineRule="exact"/>
              <w:jc w:val="right"/>
              <w:outlineLvl w:val="0"/>
              <w:rPr>
                <w:rFonts w:ascii="Calibri" w:eastAsia="Times New Roman" w:hAnsi="Calibri" w:cs="Calibri"/>
                <w:bCs/>
                <w:noProof/>
                <w:color w:val="000000" w:themeColor="text1"/>
                <w:spacing w:val="-2"/>
                <w:lang w:val="en-US"/>
              </w:rPr>
            </w:pPr>
          </w:p>
        </w:tc>
        <w:tc>
          <w:tcPr>
            <w:tcW w:w="895" w:type="pct"/>
            <w:tcBorders>
              <w:top w:val="single" w:sz="12" w:space="0" w:color="auto"/>
            </w:tcBorders>
            <w:vAlign w:val="bottom"/>
          </w:tcPr>
          <w:p w14:paraId="64A94DD6" w14:textId="77777777" w:rsidR="000C08A6" w:rsidRPr="00537128" w:rsidRDefault="000C08A6" w:rsidP="000C08A6">
            <w:pPr>
              <w:spacing w:after="0" w:line="301" w:lineRule="exact"/>
              <w:jc w:val="right"/>
              <w:outlineLvl w:val="0"/>
              <w:rPr>
                <w:rFonts w:ascii="Calibri" w:eastAsia="Times New Roman" w:hAnsi="Calibri" w:cs="Calibri"/>
                <w:bCs/>
                <w:noProof/>
                <w:color w:val="000000" w:themeColor="text1"/>
                <w:spacing w:val="-2"/>
                <w:lang w:val="en-US"/>
              </w:rPr>
            </w:pPr>
          </w:p>
        </w:tc>
      </w:tr>
      <w:tr w:rsidR="000C08A6" w:rsidRPr="00537128" w14:paraId="0051950D" w14:textId="77777777" w:rsidTr="00CE00C1">
        <w:tc>
          <w:tcPr>
            <w:tcW w:w="2612" w:type="pct"/>
          </w:tcPr>
          <w:p w14:paraId="2386A6FA" w14:textId="77777777" w:rsidR="000C08A6" w:rsidRPr="00537128" w:rsidRDefault="000C08A6" w:rsidP="000C08A6">
            <w:pPr>
              <w:tabs>
                <w:tab w:val="right" w:pos="1202"/>
              </w:tabs>
              <w:spacing w:after="0" w:line="301" w:lineRule="exact"/>
              <w:outlineLvl w:val="0"/>
              <w:rPr>
                <w:rFonts w:ascii="Calibri" w:eastAsia="Times New Roman" w:hAnsi="Calibri" w:cs="Calibri"/>
                <w:bCs/>
                <w:noProof/>
                <w:color w:val="000000" w:themeColor="text1"/>
                <w:lang w:val="en-US"/>
              </w:rPr>
            </w:pPr>
            <w:bookmarkStart w:id="105" w:name="_Toc4057262"/>
            <w:r w:rsidRPr="00537128">
              <w:rPr>
                <w:rFonts w:ascii="Calibri" w:eastAsia="Times New Roman" w:hAnsi="Calibri" w:cs="Calibri"/>
                <w:bCs/>
                <w:noProof/>
                <w:color w:val="000000" w:themeColor="text1"/>
                <w:spacing w:val="-2"/>
                <w:lang w:val="en-US"/>
              </w:rPr>
              <w:t>Fee and commission income</w:t>
            </w:r>
            <w:bookmarkEnd w:id="105"/>
          </w:p>
        </w:tc>
        <w:tc>
          <w:tcPr>
            <w:tcW w:w="598" w:type="pct"/>
          </w:tcPr>
          <w:p w14:paraId="7FC095E4" w14:textId="77777777" w:rsidR="000C08A6" w:rsidRPr="00A1123E" w:rsidRDefault="000C08A6" w:rsidP="000C08A6">
            <w:pPr>
              <w:tabs>
                <w:tab w:val="right" w:pos="1202"/>
              </w:tabs>
              <w:spacing w:after="0" w:line="301" w:lineRule="exact"/>
              <w:jc w:val="center"/>
              <w:outlineLvl w:val="0"/>
              <w:rPr>
                <w:rFonts w:ascii="Calibri" w:eastAsia="Times New Roman" w:hAnsi="Calibri" w:cs="Calibri"/>
                <w:bCs/>
                <w:noProof/>
                <w:color w:val="000000" w:themeColor="text1"/>
                <w:lang w:val="en-US"/>
              </w:rPr>
            </w:pPr>
          </w:p>
        </w:tc>
        <w:tc>
          <w:tcPr>
            <w:tcW w:w="895" w:type="pct"/>
            <w:tcBorders>
              <w:top w:val="nil"/>
              <w:left w:val="nil"/>
              <w:bottom w:val="nil"/>
              <w:right w:val="nil"/>
            </w:tcBorders>
            <w:shd w:val="clear" w:color="auto" w:fill="auto"/>
            <w:vAlign w:val="bottom"/>
          </w:tcPr>
          <w:p w14:paraId="1A433A33" w14:textId="34CABD90" w:rsidR="000C08A6" w:rsidRPr="00537128" w:rsidRDefault="000C08A6" w:rsidP="000C08A6">
            <w:pPr>
              <w:spacing w:after="0" w:line="240" w:lineRule="auto"/>
              <w:jc w:val="right"/>
              <w:rPr>
                <w:rFonts w:ascii="Calibri" w:eastAsia="Arial Unicode MS" w:hAnsi="Calibri" w:cs="Calibri"/>
                <w:noProof/>
                <w:color w:val="000000" w:themeColor="text1"/>
                <w:lang w:val="en-US"/>
              </w:rPr>
            </w:pPr>
            <w:r>
              <w:rPr>
                <w:rFonts w:ascii="Calibri" w:hAnsi="Calibri" w:cs="Calibri"/>
                <w:color w:val="000000" w:themeColor="text1"/>
              </w:rPr>
              <w:t>5</w:t>
            </w:r>
            <w:r w:rsidR="00012194">
              <w:rPr>
                <w:rFonts w:ascii="Calibri" w:hAnsi="Calibri" w:cs="Calibri"/>
                <w:color w:val="000000" w:themeColor="text1"/>
              </w:rPr>
              <w:t>,</w:t>
            </w:r>
            <w:r>
              <w:rPr>
                <w:rFonts w:ascii="Calibri" w:hAnsi="Calibri" w:cs="Calibri"/>
                <w:color w:val="000000" w:themeColor="text1"/>
              </w:rPr>
              <w:t>799</w:t>
            </w:r>
          </w:p>
        </w:tc>
        <w:tc>
          <w:tcPr>
            <w:tcW w:w="895" w:type="pct"/>
            <w:tcBorders>
              <w:top w:val="nil"/>
              <w:left w:val="nil"/>
              <w:bottom w:val="nil"/>
              <w:right w:val="nil"/>
            </w:tcBorders>
            <w:shd w:val="clear" w:color="auto" w:fill="auto"/>
            <w:vAlign w:val="bottom"/>
          </w:tcPr>
          <w:p w14:paraId="201C7F6F" w14:textId="32D0CA37" w:rsidR="000C08A6" w:rsidRPr="00537128" w:rsidRDefault="000C08A6" w:rsidP="000C08A6">
            <w:pPr>
              <w:spacing w:after="0" w:line="240" w:lineRule="auto"/>
              <w:jc w:val="right"/>
              <w:rPr>
                <w:rFonts w:ascii="Calibri" w:eastAsia="Arial Unicode MS" w:hAnsi="Calibri" w:cs="Calibri"/>
                <w:noProof/>
                <w:color w:val="000000" w:themeColor="text1"/>
                <w:lang w:val="en-US"/>
              </w:rPr>
            </w:pPr>
            <w:r>
              <w:rPr>
                <w:rFonts w:ascii="Calibri" w:hAnsi="Calibri" w:cs="Calibri"/>
                <w:color w:val="000000" w:themeColor="text1"/>
              </w:rPr>
              <w:t>7,098</w:t>
            </w:r>
          </w:p>
        </w:tc>
      </w:tr>
      <w:tr w:rsidR="000C08A6" w:rsidRPr="00537128" w14:paraId="793D4986" w14:textId="77777777" w:rsidTr="00CE00C1">
        <w:trPr>
          <w:trHeight w:val="377"/>
        </w:trPr>
        <w:tc>
          <w:tcPr>
            <w:tcW w:w="2612" w:type="pct"/>
            <w:vAlign w:val="center"/>
          </w:tcPr>
          <w:p w14:paraId="54CFD163" w14:textId="77777777" w:rsidR="000C08A6" w:rsidRPr="00537128" w:rsidRDefault="000C08A6" w:rsidP="000C08A6">
            <w:pPr>
              <w:tabs>
                <w:tab w:val="right" w:pos="1202"/>
              </w:tabs>
              <w:spacing w:after="0" w:line="301" w:lineRule="exact"/>
              <w:outlineLvl w:val="0"/>
              <w:rPr>
                <w:rFonts w:ascii="Calibri" w:eastAsia="Times New Roman" w:hAnsi="Calibri" w:cs="Calibri"/>
                <w:bCs/>
                <w:noProof/>
                <w:color w:val="000000" w:themeColor="text1"/>
                <w:spacing w:val="-2"/>
                <w:lang w:val="en-US"/>
              </w:rPr>
            </w:pPr>
            <w:bookmarkStart w:id="106" w:name="_Toc4057264"/>
            <w:r w:rsidRPr="00537128">
              <w:rPr>
                <w:rFonts w:ascii="Calibri" w:eastAsia="Times New Roman" w:hAnsi="Calibri" w:cs="Calibri"/>
                <w:bCs/>
                <w:noProof/>
                <w:color w:val="000000" w:themeColor="text1"/>
                <w:spacing w:val="-2"/>
                <w:lang w:val="en-US"/>
              </w:rPr>
              <w:t>Fee and commission expense</w:t>
            </w:r>
            <w:bookmarkEnd w:id="106"/>
          </w:p>
        </w:tc>
        <w:tc>
          <w:tcPr>
            <w:tcW w:w="598" w:type="pct"/>
            <w:vAlign w:val="center"/>
          </w:tcPr>
          <w:p w14:paraId="43A0AF9D" w14:textId="77777777" w:rsidR="000C08A6" w:rsidRPr="00A1123E" w:rsidRDefault="000C08A6" w:rsidP="000C08A6">
            <w:pPr>
              <w:tabs>
                <w:tab w:val="right" w:pos="1202"/>
              </w:tabs>
              <w:spacing w:after="0" w:line="301" w:lineRule="exact"/>
              <w:jc w:val="center"/>
              <w:outlineLvl w:val="0"/>
              <w:rPr>
                <w:rFonts w:ascii="Calibri" w:eastAsia="Times New Roman" w:hAnsi="Calibri" w:cs="Calibri"/>
                <w:bCs/>
                <w:noProof/>
                <w:color w:val="000000" w:themeColor="text1"/>
                <w:spacing w:val="-2"/>
                <w:lang w:val="en-US"/>
              </w:rPr>
            </w:pPr>
          </w:p>
        </w:tc>
        <w:tc>
          <w:tcPr>
            <w:tcW w:w="895" w:type="pct"/>
            <w:tcBorders>
              <w:top w:val="nil"/>
              <w:left w:val="nil"/>
              <w:bottom w:val="nil"/>
              <w:right w:val="nil"/>
            </w:tcBorders>
            <w:shd w:val="clear" w:color="auto" w:fill="auto"/>
            <w:vAlign w:val="bottom"/>
          </w:tcPr>
          <w:p w14:paraId="067DEA70" w14:textId="3378492E" w:rsidR="000C08A6" w:rsidRPr="00537128" w:rsidRDefault="000C08A6" w:rsidP="000C08A6">
            <w:pPr>
              <w:spacing w:after="0" w:line="240" w:lineRule="auto"/>
              <w:jc w:val="right"/>
              <w:rPr>
                <w:rFonts w:ascii="Calibri" w:eastAsia="Arial Unicode MS" w:hAnsi="Calibri" w:cs="Calibri"/>
                <w:noProof/>
                <w:color w:val="000000" w:themeColor="text1"/>
                <w:lang w:val="en-US"/>
              </w:rPr>
            </w:pPr>
            <w:r>
              <w:rPr>
                <w:rFonts w:ascii="Calibri" w:hAnsi="Calibri" w:cs="Calibri"/>
                <w:color w:val="000000" w:themeColor="text1"/>
              </w:rPr>
              <w:t>(1</w:t>
            </w:r>
            <w:r w:rsidR="00012194">
              <w:rPr>
                <w:rFonts w:ascii="Calibri" w:hAnsi="Calibri" w:cs="Calibri"/>
                <w:color w:val="000000" w:themeColor="text1"/>
              </w:rPr>
              <w:t>,</w:t>
            </w:r>
            <w:r>
              <w:rPr>
                <w:rFonts w:ascii="Calibri" w:hAnsi="Calibri" w:cs="Calibri"/>
                <w:color w:val="000000" w:themeColor="text1"/>
              </w:rPr>
              <w:t>231)</w:t>
            </w:r>
          </w:p>
        </w:tc>
        <w:tc>
          <w:tcPr>
            <w:tcW w:w="895" w:type="pct"/>
            <w:tcBorders>
              <w:top w:val="nil"/>
              <w:left w:val="nil"/>
              <w:bottom w:val="nil"/>
              <w:right w:val="nil"/>
            </w:tcBorders>
            <w:shd w:val="clear" w:color="auto" w:fill="auto"/>
            <w:vAlign w:val="bottom"/>
          </w:tcPr>
          <w:p w14:paraId="27977A58" w14:textId="505C6C7C" w:rsidR="000C08A6" w:rsidRPr="00537128" w:rsidRDefault="000C08A6" w:rsidP="000C08A6">
            <w:pPr>
              <w:spacing w:after="0" w:line="240" w:lineRule="auto"/>
              <w:jc w:val="right"/>
              <w:rPr>
                <w:rFonts w:ascii="Calibri" w:eastAsia="Arial Unicode MS" w:hAnsi="Calibri" w:cs="Calibri"/>
                <w:noProof/>
                <w:color w:val="000000" w:themeColor="text1"/>
                <w:lang w:val="en-US"/>
              </w:rPr>
            </w:pPr>
            <w:r>
              <w:rPr>
                <w:rFonts w:ascii="Calibri" w:hAnsi="Calibri" w:cs="Calibri"/>
                <w:color w:val="000000" w:themeColor="text1"/>
              </w:rPr>
              <w:t>(3,004)</w:t>
            </w:r>
          </w:p>
        </w:tc>
      </w:tr>
      <w:tr w:rsidR="000C08A6" w:rsidRPr="00537128" w14:paraId="2568D2E1" w14:textId="77777777" w:rsidTr="00CE00C1">
        <w:tc>
          <w:tcPr>
            <w:tcW w:w="2612" w:type="pct"/>
          </w:tcPr>
          <w:p w14:paraId="3F3A856D" w14:textId="77777777" w:rsidR="000C08A6" w:rsidRPr="00537128" w:rsidRDefault="000C08A6" w:rsidP="000C08A6">
            <w:pPr>
              <w:tabs>
                <w:tab w:val="right" w:pos="1202"/>
              </w:tabs>
              <w:spacing w:after="0" w:line="340" w:lineRule="exact"/>
              <w:outlineLvl w:val="0"/>
              <w:rPr>
                <w:rFonts w:ascii="Calibri" w:eastAsia="Times New Roman" w:hAnsi="Calibri" w:cs="Calibri"/>
                <w:b/>
                <w:bCs/>
                <w:noProof/>
                <w:color w:val="000000" w:themeColor="text1"/>
                <w:vertAlign w:val="superscript"/>
                <w:lang w:val="en-US"/>
              </w:rPr>
            </w:pPr>
            <w:bookmarkStart w:id="107" w:name="_Toc4057266"/>
            <w:r w:rsidRPr="00537128">
              <w:rPr>
                <w:rFonts w:ascii="Calibri" w:eastAsia="Times New Roman" w:hAnsi="Calibri" w:cs="Calibri"/>
                <w:b/>
                <w:bCs/>
                <w:noProof/>
                <w:color w:val="000000" w:themeColor="text1"/>
                <w:lang w:val="en-US"/>
              </w:rPr>
              <w:t>Net fee and commission income</w:t>
            </w:r>
            <w:bookmarkEnd w:id="107"/>
          </w:p>
        </w:tc>
        <w:tc>
          <w:tcPr>
            <w:tcW w:w="598" w:type="pct"/>
            <w:vAlign w:val="bottom"/>
          </w:tcPr>
          <w:p w14:paraId="431D883B" w14:textId="77777777" w:rsidR="000C08A6" w:rsidRPr="00A1123E" w:rsidRDefault="000C08A6" w:rsidP="000C08A6">
            <w:pPr>
              <w:tabs>
                <w:tab w:val="right" w:pos="1202"/>
              </w:tabs>
              <w:spacing w:after="0" w:line="340" w:lineRule="exact"/>
              <w:jc w:val="center"/>
              <w:outlineLvl w:val="0"/>
              <w:rPr>
                <w:rFonts w:ascii="Calibri" w:eastAsia="Times New Roman" w:hAnsi="Calibri" w:cs="Calibri"/>
                <w:b/>
                <w:bCs/>
                <w:noProof/>
                <w:color w:val="000000" w:themeColor="text1"/>
                <w:lang w:val="en-US"/>
              </w:rPr>
            </w:pPr>
          </w:p>
        </w:tc>
        <w:tc>
          <w:tcPr>
            <w:tcW w:w="895" w:type="pct"/>
            <w:tcBorders>
              <w:top w:val="single" w:sz="4" w:space="0" w:color="auto"/>
              <w:bottom w:val="single" w:sz="12" w:space="0" w:color="auto"/>
            </w:tcBorders>
            <w:vAlign w:val="bottom"/>
          </w:tcPr>
          <w:p w14:paraId="5F000CE8" w14:textId="0ED81E63" w:rsidR="000C08A6" w:rsidRPr="00537128" w:rsidRDefault="000C08A6" w:rsidP="000C08A6">
            <w:pPr>
              <w:spacing w:after="0" w:line="340" w:lineRule="exact"/>
              <w:jc w:val="right"/>
              <w:outlineLvl w:val="0"/>
              <w:rPr>
                <w:rFonts w:ascii="Calibri" w:eastAsia="Times New Roman" w:hAnsi="Calibri" w:cs="Calibri"/>
                <w:b/>
                <w:bCs/>
                <w:noProof/>
                <w:color w:val="000000" w:themeColor="text1"/>
                <w:spacing w:val="-2"/>
                <w:lang w:val="en-US"/>
              </w:rPr>
            </w:pPr>
            <w:r>
              <w:rPr>
                <w:rFonts w:ascii="Calibri" w:eastAsia="Times New Roman" w:hAnsi="Calibri" w:cs="Calibri"/>
                <w:b/>
                <w:bCs/>
                <w:color w:val="000000" w:themeColor="text1"/>
              </w:rPr>
              <w:t>4</w:t>
            </w:r>
            <w:r w:rsidR="00012194">
              <w:rPr>
                <w:rFonts w:ascii="Calibri" w:eastAsia="Times New Roman" w:hAnsi="Calibri" w:cs="Calibri"/>
                <w:b/>
                <w:bCs/>
                <w:color w:val="000000" w:themeColor="text1"/>
              </w:rPr>
              <w:t>,</w:t>
            </w:r>
            <w:r>
              <w:rPr>
                <w:rFonts w:ascii="Calibri" w:eastAsia="Times New Roman" w:hAnsi="Calibri" w:cs="Calibri"/>
                <w:b/>
                <w:bCs/>
                <w:color w:val="000000" w:themeColor="text1"/>
              </w:rPr>
              <w:t>568</w:t>
            </w:r>
          </w:p>
        </w:tc>
        <w:tc>
          <w:tcPr>
            <w:tcW w:w="895" w:type="pct"/>
            <w:tcBorders>
              <w:top w:val="single" w:sz="4" w:space="0" w:color="auto"/>
              <w:bottom w:val="single" w:sz="12" w:space="0" w:color="auto"/>
            </w:tcBorders>
            <w:vAlign w:val="bottom"/>
          </w:tcPr>
          <w:p w14:paraId="1FFC1971" w14:textId="07156555" w:rsidR="000C08A6" w:rsidRPr="00537128" w:rsidRDefault="000C08A6" w:rsidP="000C08A6">
            <w:pPr>
              <w:spacing w:after="0" w:line="340" w:lineRule="exact"/>
              <w:jc w:val="right"/>
              <w:outlineLvl w:val="0"/>
              <w:rPr>
                <w:rFonts w:ascii="Calibri" w:eastAsia="Times New Roman" w:hAnsi="Calibri" w:cs="Calibri"/>
                <w:b/>
                <w:bCs/>
                <w:noProof/>
                <w:color w:val="000000" w:themeColor="text1"/>
                <w:spacing w:val="-2"/>
                <w:lang w:val="en-US"/>
              </w:rPr>
            </w:pPr>
            <w:r>
              <w:rPr>
                <w:rFonts w:ascii="Calibri" w:eastAsia="Times New Roman" w:hAnsi="Calibri" w:cs="Calibri"/>
                <w:b/>
                <w:bCs/>
                <w:color w:val="000000" w:themeColor="text1"/>
              </w:rPr>
              <w:t>4,094</w:t>
            </w:r>
          </w:p>
        </w:tc>
      </w:tr>
      <w:tr w:rsidR="000C08A6" w:rsidRPr="00537128" w14:paraId="24A465D7" w14:textId="77777777" w:rsidTr="00CE00C1">
        <w:tc>
          <w:tcPr>
            <w:tcW w:w="2612" w:type="pct"/>
          </w:tcPr>
          <w:p w14:paraId="416EB883" w14:textId="77777777" w:rsidR="000C08A6" w:rsidRPr="00537128" w:rsidRDefault="000C08A6" w:rsidP="000C08A6">
            <w:pPr>
              <w:tabs>
                <w:tab w:val="right" w:pos="1202"/>
              </w:tabs>
              <w:spacing w:after="0" w:line="301" w:lineRule="exact"/>
              <w:outlineLvl w:val="0"/>
              <w:rPr>
                <w:rFonts w:ascii="Calibri" w:eastAsia="Times New Roman" w:hAnsi="Calibri" w:cs="Calibri"/>
                <w:noProof/>
                <w:color w:val="000000" w:themeColor="text1"/>
                <w:lang w:val="en-US"/>
              </w:rPr>
            </w:pPr>
          </w:p>
        </w:tc>
        <w:tc>
          <w:tcPr>
            <w:tcW w:w="598" w:type="pct"/>
            <w:vAlign w:val="bottom"/>
          </w:tcPr>
          <w:p w14:paraId="4FA94AF6" w14:textId="77777777" w:rsidR="000C08A6" w:rsidRPr="00A1123E" w:rsidRDefault="000C08A6" w:rsidP="000C08A6">
            <w:pPr>
              <w:tabs>
                <w:tab w:val="right" w:pos="1202"/>
              </w:tabs>
              <w:spacing w:after="0" w:line="301" w:lineRule="exact"/>
              <w:jc w:val="center"/>
              <w:outlineLvl w:val="0"/>
              <w:rPr>
                <w:rFonts w:ascii="Calibri" w:eastAsia="Times New Roman" w:hAnsi="Calibri" w:cs="Calibri"/>
                <w:noProof/>
                <w:color w:val="000000" w:themeColor="text1"/>
                <w:lang w:val="en-US"/>
              </w:rPr>
            </w:pPr>
          </w:p>
        </w:tc>
        <w:tc>
          <w:tcPr>
            <w:tcW w:w="895" w:type="pct"/>
            <w:tcBorders>
              <w:top w:val="single" w:sz="12" w:space="0" w:color="auto"/>
            </w:tcBorders>
            <w:vAlign w:val="bottom"/>
          </w:tcPr>
          <w:p w14:paraId="2CADA340" w14:textId="77777777" w:rsidR="000C08A6" w:rsidRPr="00537128" w:rsidRDefault="000C08A6" w:rsidP="000C08A6">
            <w:pPr>
              <w:tabs>
                <w:tab w:val="right" w:pos="1202"/>
              </w:tabs>
              <w:spacing w:after="0" w:line="301" w:lineRule="exact"/>
              <w:jc w:val="right"/>
              <w:outlineLvl w:val="0"/>
              <w:rPr>
                <w:rFonts w:ascii="Calibri" w:eastAsia="Times New Roman" w:hAnsi="Calibri" w:cs="Calibri"/>
                <w:noProof/>
                <w:color w:val="000000" w:themeColor="text1"/>
                <w:lang w:val="en-US"/>
              </w:rPr>
            </w:pPr>
          </w:p>
        </w:tc>
        <w:tc>
          <w:tcPr>
            <w:tcW w:w="895" w:type="pct"/>
            <w:tcBorders>
              <w:top w:val="single" w:sz="12" w:space="0" w:color="auto"/>
            </w:tcBorders>
            <w:vAlign w:val="bottom"/>
          </w:tcPr>
          <w:p w14:paraId="1C5C8699" w14:textId="77777777" w:rsidR="000C08A6" w:rsidRPr="00537128" w:rsidRDefault="000C08A6" w:rsidP="000C08A6">
            <w:pPr>
              <w:tabs>
                <w:tab w:val="right" w:pos="1202"/>
              </w:tabs>
              <w:spacing w:after="0" w:line="301" w:lineRule="exact"/>
              <w:jc w:val="right"/>
              <w:outlineLvl w:val="0"/>
              <w:rPr>
                <w:rFonts w:ascii="Calibri" w:eastAsia="Times New Roman" w:hAnsi="Calibri" w:cs="Calibri"/>
                <w:noProof/>
                <w:color w:val="000000" w:themeColor="text1"/>
                <w:lang w:val="en-US"/>
              </w:rPr>
            </w:pPr>
          </w:p>
        </w:tc>
      </w:tr>
      <w:tr w:rsidR="00FE7528" w:rsidRPr="00537128" w14:paraId="78299D72" w14:textId="77777777" w:rsidTr="00CE00C1">
        <w:tc>
          <w:tcPr>
            <w:tcW w:w="2612" w:type="pct"/>
          </w:tcPr>
          <w:p w14:paraId="51E39CCE" w14:textId="77777777" w:rsidR="00FE7528" w:rsidRPr="008D5B31" w:rsidRDefault="00FE7528" w:rsidP="00FE7528">
            <w:pPr>
              <w:tabs>
                <w:tab w:val="right" w:pos="1202"/>
              </w:tabs>
              <w:spacing w:after="0" w:line="301" w:lineRule="exact"/>
              <w:outlineLvl w:val="0"/>
              <w:rPr>
                <w:rFonts w:ascii="Calibri" w:eastAsia="Times New Roman" w:hAnsi="Calibri" w:cs="Calibri"/>
                <w:noProof/>
                <w:color w:val="000000" w:themeColor="text1"/>
                <w:lang w:val="en-US"/>
              </w:rPr>
            </w:pPr>
            <w:bookmarkStart w:id="108" w:name="_Toc4057269"/>
            <w:r w:rsidRPr="008D5B31">
              <w:rPr>
                <w:rFonts w:ascii="Calibri" w:eastAsia="Times New Roman" w:hAnsi="Calibri" w:cs="Calibri"/>
                <w:noProof/>
                <w:color w:val="000000" w:themeColor="text1"/>
                <w:lang w:val="en-US"/>
              </w:rPr>
              <w:t xml:space="preserve">Net </w:t>
            </w:r>
            <w:r w:rsidRPr="00A1123E">
              <w:rPr>
                <w:rFonts w:ascii="Calibri" w:eastAsia="Times New Roman" w:hAnsi="Calibri" w:cs="Calibri"/>
                <w:noProof/>
                <w:color w:val="000000" w:themeColor="text1"/>
                <w:lang w:val="en-US"/>
              </w:rPr>
              <w:t>gains/(losses)</w:t>
            </w:r>
            <w:r w:rsidRPr="008D5B31">
              <w:rPr>
                <w:rFonts w:ascii="Calibri" w:eastAsia="Times New Roman" w:hAnsi="Calibri" w:cs="Calibri"/>
                <w:noProof/>
                <w:color w:val="000000" w:themeColor="text1"/>
                <w:lang w:val="en-US"/>
              </w:rPr>
              <w:t xml:space="preserve"> on financial operations</w:t>
            </w:r>
            <w:bookmarkEnd w:id="108"/>
          </w:p>
        </w:tc>
        <w:tc>
          <w:tcPr>
            <w:tcW w:w="598" w:type="pct"/>
            <w:vAlign w:val="bottom"/>
          </w:tcPr>
          <w:p w14:paraId="2403716A" w14:textId="77777777" w:rsidR="00FE7528" w:rsidRPr="00A1123E" w:rsidRDefault="00FE7528" w:rsidP="00FE7528">
            <w:pPr>
              <w:tabs>
                <w:tab w:val="right" w:pos="1202"/>
              </w:tabs>
              <w:spacing w:after="0" w:line="301" w:lineRule="exact"/>
              <w:jc w:val="center"/>
              <w:outlineLvl w:val="0"/>
              <w:rPr>
                <w:rFonts w:ascii="Calibri" w:eastAsia="Times New Roman" w:hAnsi="Calibri" w:cs="Calibri"/>
                <w:noProof/>
                <w:color w:val="000000" w:themeColor="text1"/>
                <w:lang w:val="en-US"/>
              </w:rPr>
            </w:pPr>
          </w:p>
        </w:tc>
        <w:tc>
          <w:tcPr>
            <w:tcW w:w="895" w:type="pct"/>
            <w:tcBorders>
              <w:top w:val="nil"/>
              <w:left w:val="nil"/>
              <w:bottom w:val="nil"/>
              <w:right w:val="nil"/>
            </w:tcBorders>
            <w:shd w:val="clear" w:color="auto" w:fill="auto"/>
            <w:vAlign w:val="bottom"/>
          </w:tcPr>
          <w:p w14:paraId="3322BC89" w14:textId="24BF9767" w:rsidR="00FE7528" w:rsidRPr="00537128" w:rsidRDefault="00FE7528" w:rsidP="00FE7528">
            <w:pPr>
              <w:tabs>
                <w:tab w:val="right" w:pos="1202"/>
              </w:tabs>
              <w:spacing w:after="0" w:line="301" w:lineRule="exact"/>
              <w:jc w:val="right"/>
              <w:outlineLvl w:val="0"/>
              <w:rPr>
                <w:rFonts w:ascii="Calibri" w:eastAsia="Times New Roman" w:hAnsi="Calibri" w:cs="Calibri"/>
                <w:bCs/>
                <w:noProof/>
                <w:color w:val="000000" w:themeColor="text1"/>
                <w:spacing w:val="-2"/>
                <w:lang w:val="en-US"/>
              </w:rPr>
            </w:pPr>
            <w:r>
              <w:rPr>
                <w:rFonts w:ascii="Calibri" w:eastAsia="Times New Roman" w:hAnsi="Calibri" w:cs="Calibri"/>
                <w:color w:val="000000" w:themeColor="text1"/>
              </w:rPr>
              <w:t>4</w:t>
            </w:r>
            <w:r w:rsidR="00012194">
              <w:rPr>
                <w:rFonts w:ascii="Calibri" w:eastAsia="Times New Roman" w:hAnsi="Calibri" w:cs="Calibri"/>
                <w:color w:val="000000" w:themeColor="text1"/>
              </w:rPr>
              <w:t>,</w:t>
            </w:r>
            <w:r>
              <w:rPr>
                <w:rFonts w:ascii="Calibri" w:eastAsia="Times New Roman" w:hAnsi="Calibri" w:cs="Calibri"/>
                <w:color w:val="000000" w:themeColor="text1"/>
              </w:rPr>
              <w:t>074</w:t>
            </w:r>
          </w:p>
        </w:tc>
        <w:tc>
          <w:tcPr>
            <w:tcW w:w="895" w:type="pct"/>
            <w:tcBorders>
              <w:top w:val="nil"/>
              <w:left w:val="nil"/>
              <w:bottom w:val="nil"/>
              <w:right w:val="nil"/>
            </w:tcBorders>
            <w:shd w:val="clear" w:color="auto" w:fill="auto"/>
            <w:vAlign w:val="bottom"/>
          </w:tcPr>
          <w:p w14:paraId="56A7A31E" w14:textId="75F0520A" w:rsidR="00FE7528" w:rsidRPr="00537128" w:rsidRDefault="00FE7528" w:rsidP="00FE7528">
            <w:pPr>
              <w:tabs>
                <w:tab w:val="right" w:pos="1202"/>
              </w:tabs>
              <w:spacing w:after="0" w:line="301" w:lineRule="exact"/>
              <w:jc w:val="right"/>
              <w:outlineLvl w:val="0"/>
              <w:rPr>
                <w:rFonts w:ascii="Calibri" w:eastAsia="Times New Roman" w:hAnsi="Calibri" w:cs="Calibri"/>
                <w:bCs/>
                <w:noProof/>
                <w:color w:val="000000" w:themeColor="text1"/>
                <w:spacing w:val="-2"/>
                <w:lang w:val="en-US"/>
              </w:rPr>
            </w:pPr>
            <w:r>
              <w:rPr>
                <w:rFonts w:ascii="Calibri" w:eastAsia="Times New Roman" w:hAnsi="Calibri" w:cs="Calibri"/>
                <w:color w:val="000000" w:themeColor="text1"/>
              </w:rPr>
              <w:t>(5,372)</w:t>
            </w:r>
          </w:p>
        </w:tc>
      </w:tr>
      <w:tr w:rsidR="00FE7528" w:rsidRPr="00537128" w14:paraId="038760F4" w14:textId="77777777" w:rsidTr="00CE00C1">
        <w:tc>
          <w:tcPr>
            <w:tcW w:w="2612" w:type="pct"/>
          </w:tcPr>
          <w:p w14:paraId="6F8A1FAA" w14:textId="77777777" w:rsidR="00FE7528" w:rsidRPr="00537128" w:rsidRDefault="00FE7528" w:rsidP="00FE7528">
            <w:pPr>
              <w:tabs>
                <w:tab w:val="right" w:pos="1202"/>
              </w:tabs>
              <w:spacing w:after="0" w:line="340" w:lineRule="exact"/>
              <w:outlineLvl w:val="0"/>
              <w:rPr>
                <w:rFonts w:ascii="Calibri" w:eastAsia="Times New Roman" w:hAnsi="Calibri" w:cs="Calibri"/>
                <w:noProof/>
                <w:color w:val="000000" w:themeColor="text1"/>
                <w:lang w:val="en-US"/>
              </w:rPr>
            </w:pPr>
            <w:bookmarkStart w:id="109" w:name="_Toc4057273"/>
            <w:r w:rsidRPr="00537128">
              <w:rPr>
                <w:rFonts w:ascii="Calibri" w:eastAsia="Times New Roman" w:hAnsi="Calibri" w:cs="Calibri"/>
                <w:noProof/>
                <w:color w:val="000000" w:themeColor="text1"/>
                <w:lang w:val="en-US"/>
              </w:rPr>
              <w:t>Other income</w:t>
            </w:r>
            <w:bookmarkEnd w:id="109"/>
          </w:p>
        </w:tc>
        <w:tc>
          <w:tcPr>
            <w:tcW w:w="598" w:type="pct"/>
            <w:vAlign w:val="bottom"/>
          </w:tcPr>
          <w:p w14:paraId="20EDA356" w14:textId="77777777" w:rsidR="00FE7528" w:rsidRPr="00A1123E" w:rsidRDefault="00FE7528" w:rsidP="00FE7528">
            <w:pPr>
              <w:tabs>
                <w:tab w:val="right" w:pos="1202"/>
              </w:tabs>
              <w:spacing w:after="0" w:line="340" w:lineRule="exact"/>
              <w:jc w:val="center"/>
              <w:outlineLvl w:val="0"/>
              <w:rPr>
                <w:rFonts w:ascii="Calibri" w:eastAsia="Times New Roman" w:hAnsi="Calibri" w:cs="Calibri"/>
                <w:b/>
                <w:bCs/>
                <w:noProof/>
                <w:color w:val="000000" w:themeColor="text1"/>
                <w:lang w:val="en-US"/>
              </w:rPr>
            </w:pPr>
          </w:p>
        </w:tc>
        <w:tc>
          <w:tcPr>
            <w:tcW w:w="895" w:type="pct"/>
            <w:tcBorders>
              <w:top w:val="nil"/>
              <w:left w:val="nil"/>
              <w:bottom w:val="nil"/>
              <w:right w:val="nil"/>
            </w:tcBorders>
            <w:shd w:val="clear" w:color="auto" w:fill="auto"/>
            <w:vAlign w:val="bottom"/>
          </w:tcPr>
          <w:p w14:paraId="579FE758" w14:textId="1A054D37" w:rsidR="00FE7528" w:rsidRPr="00537128" w:rsidRDefault="00FE7528" w:rsidP="00FE7528">
            <w:pPr>
              <w:tabs>
                <w:tab w:val="right" w:pos="1202"/>
              </w:tabs>
              <w:spacing w:after="0" w:line="301" w:lineRule="exact"/>
              <w:jc w:val="right"/>
              <w:outlineLvl w:val="0"/>
              <w:rPr>
                <w:rFonts w:ascii="Calibri" w:eastAsia="Times New Roman" w:hAnsi="Calibri" w:cs="Calibri"/>
                <w:noProof/>
                <w:color w:val="000000" w:themeColor="text1"/>
                <w:lang w:val="en-US"/>
              </w:rPr>
            </w:pPr>
            <w:r>
              <w:rPr>
                <w:rFonts w:ascii="Calibri" w:eastAsia="Times New Roman" w:hAnsi="Calibri" w:cs="Calibri"/>
                <w:color w:val="000000" w:themeColor="text1"/>
              </w:rPr>
              <w:t>4</w:t>
            </w:r>
            <w:r w:rsidR="00012194">
              <w:rPr>
                <w:rFonts w:ascii="Calibri" w:eastAsia="Times New Roman" w:hAnsi="Calibri" w:cs="Calibri"/>
                <w:color w:val="000000" w:themeColor="text1"/>
              </w:rPr>
              <w:t>,</w:t>
            </w:r>
            <w:r>
              <w:rPr>
                <w:rFonts w:ascii="Calibri" w:eastAsia="Times New Roman" w:hAnsi="Calibri" w:cs="Calibri"/>
                <w:color w:val="000000" w:themeColor="text1"/>
              </w:rPr>
              <w:t>161</w:t>
            </w:r>
          </w:p>
        </w:tc>
        <w:tc>
          <w:tcPr>
            <w:tcW w:w="895" w:type="pct"/>
            <w:tcBorders>
              <w:top w:val="nil"/>
              <w:left w:val="nil"/>
              <w:bottom w:val="nil"/>
              <w:right w:val="nil"/>
            </w:tcBorders>
            <w:shd w:val="clear" w:color="auto" w:fill="auto"/>
            <w:vAlign w:val="bottom"/>
          </w:tcPr>
          <w:p w14:paraId="2C7AF14A" w14:textId="4BC47A35" w:rsidR="00FE7528" w:rsidRPr="00537128" w:rsidRDefault="00FE7528" w:rsidP="00FE7528">
            <w:pPr>
              <w:tabs>
                <w:tab w:val="right" w:pos="1202"/>
              </w:tabs>
              <w:spacing w:after="0" w:line="301" w:lineRule="exact"/>
              <w:jc w:val="right"/>
              <w:outlineLvl w:val="0"/>
              <w:rPr>
                <w:rFonts w:ascii="Calibri" w:eastAsia="Times New Roman" w:hAnsi="Calibri" w:cs="Calibri"/>
                <w:noProof/>
                <w:color w:val="000000" w:themeColor="text1"/>
                <w:lang w:val="en-US"/>
              </w:rPr>
            </w:pPr>
            <w:r>
              <w:rPr>
                <w:rFonts w:ascii="Calibri" w:eastAsia="Times New Roman" w:hAnsi="Calibri" w:cs="Calibri"/>
                <w:color w:val="000000" w:themeColor="text1"/>
              </w:rPr>
              <w:t>4,455</w:t>
            </w:r>
          </w:p>
        </w:tc>
      </w:tr>
      <w:tr w:rsidR="00FE7528" w:rsidRPr="00537128" w14:paraId="63BF4317" w14:textId="77777777" w:rsidTr="00CE00C1">
        <w:tc>
          <w:tcPr>
            <w:tcW w:w="2612" w:type="pct"/>
          </w:tcPr>
          <w:p w14:paraId="7B9F2589" w14:textId="77777777" w:rsidR="00FE7528" w:rsidRPr="00537128" w:rsidRDefault="00FE7528" w:rsidP="00FE7528">
            <w:pPr>
              <w:tabs>
                <w:tab w:val="right" w:pos="1202"/>
              </w:tabs>
              <w:spacing w:after="0" w:line="340" w:lineRule="exact"/>
              <w:outlineLvl w:val="0"/>
              <w:rPr>
                <w:rFonts w:ascii="Calibri" w:eastAsia="Times New Roman" w:hAnsi="Calibri" w:cs="Calibri"/>
                <w:b/>
                <w:bCs/>
                <w:noProof/>
                <w:color w:val="000000" w:themeColor="text1"/>
                <w:lang w:val="en-US"/>
              </w:rPr>
            </w:pPr>
          </w:p>
        </w:tc>
        <w:tc>
          <w:tcPr>
            <w:tcW w:w="598" w:type="pct"/>
            <w:vAlign w:val="bottom"/>
          </w:tcPr>
          <w:p w14:paraId="2370021D" w14:textId="77777777" w:rsidR="00FE7528" w:rsidRPr="00A1123E" w:rsidRDefault="00FE7528" w:rsidP="00FE7528">
            <w:pPr>
              <w:tabs>
                <w:tab w:val="right" w:pos="1202"/>
              </w:tabs>
              <w:spacing w:after="0" w:line="340" w:lineRule="exact"/>
              <w:jc w:val="center"/>
              <w:outlineLvl w:val="0"/>
              <w:rPr>
                <w:rFonts w:ascii="Calibri" w:eastAsia="Times New Roman" w:hAnsi="Calibri" w:cs="Calibri"/>
                <w:b/>
                <w:bCs/>
                <w:noProof/>
                <w:color w:val="000000" w:themeColor="text1"/>
                <w:lang w:val="en-US"/>
              </w:rPr>
            </w:pPr>
          </w:p>
        </w:tc>
        <w:tc>
          <w:tcPr>
            <w:tcW w:w="895" w:type="pct"/>
            <w:tcBorders>
              <w:top w:val="single" w:sz="4" w:space="0" w:color="auto"/>
              <w:bottom w:val="single" w:sz="12" w:space="0" w:color="auto"/>
            </w:tcBorders>
            <w:vAlign w:val="bottom"/>
          </w:tcPr>
          <w:p w14:paraId="1B0DEA6E" w14:textId="5B8D5921" w:rsidR="00FE7528" w:rsidRPr="00537128" w:rsidRDefault="00FE7528" w:rsidP="00FE7528">
            <w:pPr>
              <w:tabs>
                <w:tab w:val="right" w:pos="1202"/>
              </w:tabs>
              <w:spacing w:after="0" w:line="340" w:lineRule="exact"/>
              <w:jc w:val="right"/>
              <w:outlineLvl w:val="0"/>
              <w:rPr>
                <w:rFonts w:ascii="Calibri" w:eastAsia="Times New Roman" w:hAnsi="Calibri" w:cs="Calibri"/>
                <w:b/>
                <w:bCs/>
                <w:noProof/>
                <w:color w:val="000000" w:themeColor="text1"/>
                <w:lang w:val="en-US"/>
              </w:rPr>
            </w:pPr>
            <w:r>
              <w:rPr>
                <w:rFonts w:ascii="Calibri" w:eastAsia="Times New Roman" w:hAnsi="Calibri" w:cs="Calibri"/>
                <w:b/>
                <w:bCs/>
                <w:color w:val="000000" w:themeColor="text1"/>
              </w:rPr>
              <w:t>157</w:t>
            </w:r>
            <w:r w:rsidR="00012194">
              <w:rPr>
                <w:rFonts w:ascii="Calibri" w:eastAsia="Times New Roman" w:hAnsi="Calibri" w:cs="Calibri"/>
                <w:b/>
                <w:bCs/>
                <w:color w:val="000000" w:themeColor="text1"/>
              </w:rPr>
              <w:t>,</w:t>
            </w:r>
            <w:r>
              <w:rPr>
                <w:rFonts w:ascii="Calibri" w:eastAsia="Times New Roman" w:hAnsi="Calibri" w:cs="Calibri"/>
                <w:b/>
                <w:bCs/>
                <w:color w:val="000000" w:themeColor="text1"/>
              </w:rPr>
              <w:t>581</w:t>
            </w:r>
          </w:p>
        </w:tc>
        <w:tc>
          <w:tcPr>
            <w:tcW w:w="895" w:type="pct"/>
            <w:tcBorders>
              <w:top w:val="single" w:sz="4" w:space="0" w:color="auto"/>
              <w:bottom w:val="single" w:sz="12" w:space="0" w:color="auto"/>
            </w:tcBorders>
            <w:vAlign w:val="bottom"/>
          </w:tcPr>
          <w:p w14:paraId="7FE733E8" w14:textId="1B8B7712" w:rsidR="00FE7528" w:rsidRPr="00537128" w:rsidRDefault="00FE7528" w:rsidP="00FE7528">
            <w:pPr>
              <w:tabs>
                <w:tab w:val="right" w:pos="1202"/>
              </w:tabs>
              <w:spacing w:after="0" w:line="340" w:lineRule="exact"/>
              <w:jc w:val="right"/>
              <w:outlineLvl w:val="0"/>
              <w:rPr>
                <w:rFonts w:ascii="Calibri" w:eastAsia="Times New Roman" w:hAnsi="Calibri" w:cs="Calibri"/>
                <w:b/>
                <w:bCs/>
                <w:noProof/>
                <w:color w:val="000000" w:themeColor="text1"/>
                <w:lang w:val="en-US"/>
              </w:rPr>
            </w:pPr>
            <w:r>
              <w:rPr>
                <w:rFonts w:ascii="Calibri" w:eastAsia="Times New Roman" w:hAnsi="Calibri" w:cs="Calibri"/>
                <w:b/>
                <w:bCs/>
                <w:color w:val="000000" w:themeColor="text1"/>
              </w:rPr>
              <w:t>123,190</w:t>
            </w:r>
          </w:p>
        </w:tc>
      </w:tr>
      <w:tr w:rsidR="00FE7528" w:rsidRPr="00537128" w14:paraId="550F78A6" w14:textId="77777777" w:rsidTr="00CE00C1">
        <w:tc>
          <w:tcPr>
            <w:tcW w:w="2612" w:type="pct"/>
          </w:tcPr>
          <w:p w14:paraId="3B7DB447" w14:textId="77777777" w:rsidR="00FE7528" w:rsidRPr="00537128" w:rsidRDefault="00FE7528" w:rsidP="00FE7528">
            <w:pPr>
              <w:tabs>
                <w:tab w:val="right" w:pos="1202"/>
              </w:tabs>
              <w:spacing w:after="0" w:line="301" w:lineRule="exact"/>
              <w:outlineLvl w:val="0"/>
              <w:rPr>
                <w:rFonts w:ascii="Calibri" w:eastAsia="Times New Roman" w:hAnsi="Calibri" w:cs="Calibri"/>
                <w:bCs/>
                <w:noProof/>
                <w:color w:val="000000" w:themeColor="text1"/>
                <w:spacing w:val="-2"/>
                <w:lang w:val="en-US"/>
              </w:rPr>
            </w:pPr>
          </w:p>
        </w:tc>
        <w:tc>
          <w:tcPr>
            <w:tcW w:w="598" w:type="pct"/>
            <w:vAlign w:val="bottom"/>
          </w:tcPr>
          <w:p w14:paraId="6079E959" w14:textId="77777777" w:rsidR="00FE7528" w:rsidRPr="00A1123E" w:rsidRDefault="00FE7528" w:rsidP="00FE7528">
            <w:pPr>
              <w:tabs>
                <w:tab w:val="right" w:pos="1202"/>
              </w:tabs>
              <w:spacing w:after="0" w:line="301" w:lineRule="exact"/>
              <w:jc w:val="center"/>
              <w:outlineLvl w:val="0"/>
              <w:rPr>
                <w:rFonts w:ascii="Calibri" w:eastAsia="Times New Roman" w:hAnsi="Calibri" w:cs="Calibri"/>
                <w:bCs/>
                <w:noProof/>
                <w:color w:val="000000" w:themeColor="text1"/>
                <w:spacing w:val="-2"/>
                <w:lang w:val="en-US"/>
              </w:rPr>
            </w:pPr>
          </w:p>
        </w:tc>
        <w:tc>
          <w:tcPr>
            <w:tcW w:w="895" w:type="pct"/>
            <w:tcBorders>
              <w:top w:val="single" w:sz="12" w:space="0" w:color="auto"/>
            </w:tcBorders>
            <w:vAlign w:val="bottom"/>
          </w:tcPr>
          <w:p w14:paraId="3FF9E834" w14:textId="77777777" w:rsidR="00FE7528" w:rsidRPr="00537128" w:rsidRDefault="00FE7528" w:rsidP="00FE7528">
            <w:pPr>
              <w:spacing w:after="0" w:line="301" w:lineRule="exact"/>
              <w:jc w:val="right"/>
              <w:outlineLvl w:val="0"/>
              <w:rPr>
                <w:rFonts w:ascii="Calibri" w:eastAsia="Times New Roman" w:hAnsi="Calibri" w:cs="Calibri"/>
                <w:bCs/>
                <w:noProof/>
                <w:color w:val="000000" w:themeColor="text1"/>
                <w:spacing w:val="-2"/>
                <w:lang w:val="en-US"/>
              </w:rPr>
            </w:pPr>
          </w:p>
        </w:tc>
        <w:tc>
          <w:tcPr>
            <w:tcW w:w="895" w:type="pct"/>
            <w:tcBorders>
              <w:top w:val="single" w:sz="12" w:space="0" w:color="auto"/>
            </w:tcBorders>
            <w:vAlign w:val="bottom"/>
          </w:tcPr>
          <w:p w14:paraId="714DE9CE" w14:textId="77777777" w:rsidR="00FE7528" w:rsidRPr="00537128" w:rsidRDefault="00FE7528" w:rsidP="00FE7528">
            <w:pPr>
              <w:spacing w:after="0" w:line="301" w:lineRule="exact"/>
              <w:jc w:val="right"/>
              <w:outlineLvl w:val="0"/>
              <w:rPr>
                <w:rFonts w:ascii="Calibri" w:eastAsia="Times New Roman" w:hAnsi="Calibri" w:cs="Calibri"/>
                <w:bCs/>
                <w:noProof/>
                <w:color w:val="000000" w:themeColor="text1"/>
                <w:spacing w:val="-2"/>
                <w:lang w:val="en-US"/>
              </w:rPr>
            </w:pPr>
          </w:p>
        </w:tc>
      </w:tr>
      <w:tr w:rsidR="00A26696" w:rsidRPr="00537128" w14:paraId="5465A7DA" w14:textId="77777777" w:rsidTr="00CE00C1">
        <w:tc>
          <w:tcPr>
            <w:tcW w:w="2612" w:type="pct"/>
            <w:vAlign w:val="bottom"/>
          </w:tcPr>
          <w:p w14:paraId="4D945909" w14:textId="77777777" w:rsidR="00A26696" w:rsidRPr="00537128" w:rsidRDefault="00A26696" w:rsidP="00A26696">
            <w:pPr>
              <w:tabs>
                <w:tab w:val="right" w:pos="1202"/>
              </w:tabs>
              <w:spacing w:after="0" w:line="301" w:lineRule="exact"/>
              <w:outlineLvl w:val="0"/>
              <w:rPr>
                <w:rFonts w:ascii="Calibri" w:eastAsia="Times New Roman" w:hAnsi="Calibri" w:cs="Calibri"/>
                <w:bCs/>
                <w:noProof/>
                <w:color w:val="000000" w:themeColor="text1"/>
                <w:spacing w:val="-2"/>
                <w:lang w:val="en-US"/>
              </w:rPr>
            </w:pPr>
            <w:bookmarkStart w:id="110" w:name="_Toc4057278"/>
            <w:r w:rsidRPr="00537128">
              <w:rPr>
                <w:rFonts w:ascii="Calibri" w:eastAsia="Times New Roman" w:hAnsi="Calibri" w:cs="Calibri"/>
                <w:bCs/>
                <w:noProof/>
                <w:color w:val="000000" w:themeColor="text1"/>
                <w:spacing w:val="-2"/>
                <w:lang w:val="en-US"/>
              </w:rPr>
              <w:t>Employee expenses</w:t>
            </w:r>
            <w:bookmarkEnd w:id="110"/>
          </w:p>
        </w:tc>
        <w:tc>
          <w:tcPr>
            <w:tcW w:w="598" w:type="pct"/>
            <w:vAlign w:val="bottom"/>
          </w:tcPr>
          <w:p w14:paraId="4F289B37" w14:textId="77777777" w:rsidR="00A26696" w:rsidRPr="00A1123E" w:rsidRDefault="00A26696" w:rsidP="00A26696">
            <w:pPr>
              <w:tabs>
                <w:tab w:val="right" w:pos="1202"/>
              </w:tabs>
              <w:spacing w:after="0" w:line="301" w:lineRule="exact"/>
              <w:jc w:val="center"/>
              <w:outlineLvl w:val="0"/>
              <w:rPr>
                <w:rFonts w:ascii="Calibri" w:eastAsia="Times New Roman" w:hAnsi="Calibri" w:cs="Calibri"/>
                <w:bCs/>
                <w:noProof/>
                <w:color w:val="000000" w:themeColor="text1"/>
                <w:spacing w:val="-2"/>
                <w:lang w:val="en-US"/>
              </w:rPr>
            </w:pPr>
            <w:bookmarkStart w:id="111" w:name="_Toc4057279"/>
            <w:r w:rsidRPr="00A1123E">
              <w:rPr>
                <w:rFonts w:ascii="Calibri" w:eastAsia="Times New Roman" w:hAnsi="Calibri" w:cs="Calibri"/>
                <w:bCs/>
                <w:noProof/>
                <w:color w:val="000000" w:themeColor="text1"/>
                <w:spacing w:val="-2"/>
                <w:lang w:val="en-US"/>
              </w:rPr>
              <w:t>7 a)</w:t>
            </w:r>
            <w:bookmarkEnd w:id="111"/>
          </w:p>
        </w:tc>
        <w:tc>
          <w:tcPr>
            <w:tcW w:w="895" w:type="pct"/>
            <w:tcBorders>
              <w:top w:val="nil"/>
              <w:left w:val="nil"/>
              <w:bottom w:val="nil"/>
              <w:right w:val="nil"/>
            </w:tcBorders>
            <w:shd w:val="clear" w:color="auto" w:fill="auto"/>
            <w:vAlign w:val="bottom"/>
          </w:tcPr>
          <w:p w14:paraId="63D76ADD" w14:textId="37C01ED6" w:rsidR="00A26696" w:rsidRPr="00537128" w:rsidRDefault="00A26696" w:rsidP="00A26696">
            <w:pPr>
              <w:spacing w:after="0" w:line="301" w:lineRule="exact"/>
              <w:jc w:val="right"/>
              <w:outlineLvl w:val="0"/>
              <w:rPr>
                <w:rFonts w:ascii="Calibri" w:eastAsia="Times New Roman" w:hAnsi="Calibri" w:cs="Calibri"/>
                <w:bCs/>
                <w:noProof/>
                <w:color w:val="000000" w:themeColor="text1"/>
                <w:spacing w:val="-2"/>
                <w:lang w:val="en-US"/>
              </w:rPr>
            </w:pPr>
            <w:r>
              <w:rPr>
                <w:rFonts w:ascii="Calibri" w:eastAsia="Times New Roman" w:hAnsi="Calibri" w:cs="Calibri"/>
                <w:color w:val="000000" w:themeColor="text1"/>
              </w:rPr>
              <w:t>(24</w:t>
            </w:r>
            <w:r w:rsidR="00012194">
              <w:rPr>
                <w:rFonts w:ascii="Calibri" w:eastAsia="Times New Roman" w:hAnsi="Calibri" w:cs="Calibri"/>
                <w:color w:val="000000" w:themeColor="text1"/>
              </w:rPr>
              <w:t>,</w:t>
            </w:r>
            <w:r>
              <w:rPr>
                <w:rFonts w:ascii="Calibri" w:eastAsia="Times New Roman" w:hAnsi="Calibri" w:cs="Calibri"/>
                <w:color w:val="000000" w:themeColor="text1"/>
              </w:rPr>
              <w:t>355)</w:t>
            </w:r>
          </w:p>
        </w:tc>
        <w:tc>
          <w:tcPr>
            <w:tcW w:w="895" w:type="pct"/>
            <w:tcBorders>
              <w:top w:val="nil"/>
              <w:left w:val="nil"/>
              <w:bottom w:val="nil"/>
              <w:right w:val="nil"/>
            </w:tcBorders>
            <w:shd w:val="clear" w:color="auto" w:fill="auto"/>
            <w:vAlign w:val="bottom"/>
          </w:tcPr>
          <w:p w14:paraId="5A2B90FA" w14:textId="2420133F" w:rsidR="00A26696" w:rsidRPr="00537128" w:rsidRDefault="00A26696" w:rsidP="00A26696">
            <w:pPr>
              <w:spacing w:after="0" w:line="301" w:lineRule="exact"/>
              <w:jc w:val="right"/>
              <w:outlineLvl w:val="0"/>
              <w:rPr>
                <w:rFonts w:ascii="Calibri" w:eastAsia="Times New Roman" w:hAnsi="Calibri" w:cs="Calibri"/>
                <w:bCs/>
                <w:noProof/>
                <w:color w:val="000000" w:themeColor="text1"/>
                <w:spacing w:val="-2"/>
                <w:lang w:val="en-US"/>
              </w:rPr>
            </w:pPr>
            <w:r>
              <w:rPr>
                <w:rFonts w:ascii="Calibri" w:eastAsia="Times New Roman" w:hAnsi="Calibri" w:cs="Calibri"/>
                <w:color w:val="000000" w:themeColor="text1"/>
              </w:rPr>
              <w:t>(22,729)</w:t>
            </w:r>
          </w:p>
        </w:tc>
      </w:tr>
      <w:tr w:rsidR="00A26696" w:rsidRPr="00537128" w14:paraId="63A4E48E" w14:textId="77777777" w:rsidTr="00CE00C1">
        <w:tc>
          <w:tcPr>
            <w:tcW w:w="2612" w:type="pct"/>
            <w:vAlign w:val="bottom"/>
          </w:tcPr>
          <w:p w14:paraId="5AE538A6" w14:textId="77777777" w:rsidR="00A26696" w:rsidRPr="00537128" w:rsidRDefault="00A26696" w:rsidP="00A26696">
            <w:pPr>
              <w:tabs>
                <w:tab w:val="right" w:pos="1202"/>
              </w:tabs>
              <w:spacing w:after="0" w:line="301" w:lineRule="exact"/>
              <w:outlineLvl w:val="0"/>
              <w:rPr>
                <w:rFonts w:ascii="Calibri" w:eastAsia="Times New Roman" w:hAnsi="Calibri" w:cs="Calibri"/>
                <w:bCs/>
                <w:noProof/>
                <w:color w:val="000000" w:themeColor="text1"/>
                <w:spacing w:val="-2"/>
                <w:lang w:val="en-US"/>
              </w:rPr>
            </w:pPr>
            <w:bookmarkStart w:id="112" w:name="_Toc4057282"/>
            <w:r w:rsidRPr="00537128">
              <w:rPr>
                <w:rFonts w:ascii="Calibri" w:eastAsia="Times New Roman" w:hAnsi="Calibri" w:cs="Calibri"/>
                <w:bCs/>
                <w:noProof/>
                <w:color w:val="000000" w:themeColor="text1"/>
                <w:spacing w:val="-2"/>
                <w:lang w:val="en-US"/>
              </w:rPr>
              <w:t>Depreciation and amortization</w:t>
            </w:r>
            <w:bookmarkEnd w:id="112"/>
          </w:p>
        </w:tc>
        <w:tc>
          <w:tcPr>
            <w:tcW w:w="598" w:type="pct"/>
            <w:vAlign w:val="bottom"/>
          </w:tcPr>
          <w:p w14:paraId="26BB2C12" w14:textId="77777777" w:rsidR="00A26696" w:rsidRPr="00A1123E" w:rsidRDefault="00A26696" w:rsidP="00A26696">
            <w:pPr>
              <w:tabs>
                <w:tab w:val="right" w:pos="1202"/>
              </w:tabs>
              <w:spacing w:after="0" w:line="301" w:lineRule="exact"/>
              <w:jc w:val="center"/>
              <w:outlineLvl w:val="0"/>
              <w:rPr>
                <w:rFonts w:ascii="Calibri" w:eastAsia="Times New Roman" w:hAnsi="Calibri" w:cs="Calibri"/>
                <w:bCs/>
                <w:noProof/>
                <w:color w:val="000000" w:themeColor="text1"/>
                <w:spacing w:val="-2"/>
                <w:lang w:val="en-US"/>
              </w:rPr>
            </w:pPr>
            <w:bookmarkStart w:id="113" w:name="_Toc4057283"/>
            <w:r w:rsidRPr="00A1123E">
              <w:rPr>
                <w:rFonts w:ascii="Calibri" w:eastAsia="Times New Roman" w:hAnsi="Calibri" w:cs="Calibri"/>
                <w:bCs/>
                <w:noProof/>
                <w:color w:val="000000" w:themeColor="text1"/>
                <w:spacing w:val="-2"/>
                <w:lang w:val="en-US"/>
              </w:rPr>
              <w:t>7 b)</w:t>
            </w:r>
            <w:bookmarkEnd w:id="113"/>
          </w:p>
        </w:tc>
        <w:tc>
          <w:tcPr>
            <w:tcW w:w="895" w:type="pct"/>
            <w:tcBorders>
              <w:top w:val="nil"/>
              <w:left w:val="nil"/>
              <w:bottom w:val="nil"/>
              <w:right w:val="nil"/>
            </w:tcBorders>
            <w:shd w:val="clear" w:color="auto" w:fill="auto"/>
            <w:vAlign w:val="bottom"/>
          </w:tcPr>
          <w:p w14:paraId="75967A5D" w14:textId="21ECC2F8" w:rsidR="00A26696" w:rsidRPr="00537128" w:rsidRDefault="00A26696" w:rsidP="00A26696">
            <w:pPr>
              <w:spacing w:after="0" w:line="301" w:lineRule="exact"/>
              <w:jc w:val="right"/>
              <w:outlineLvl w:val="0"/>
              <w:rPr>
                <w:rFonts w:ascii="Calibri" w:eastAsia="Times New Roman" w:hAnsi="Calibri" w:cs="Calibri"/>
                <w:bCs/>
                <w:noProof/>
                <w:color w:val="000000" w:themeColor="text1"/>
                <w:spacing w:val="-2"/>
                <w:lang w:val="en-US"/>
              </w:rPr>
            </w:pPr>
            <w:r>
              <w:rPr>
                <w:rFonts w:ascii="Calibri" w:eastAsia="Times New Roman" w:hAnsi="Calibri" w:cs="Calibri"/>
                <w:color w:val="000000" w:themeColor="text1"/>
              </w:rPr>
              <w:t>(2</w:t>
            </w:r>
            <w:r w:rsidR="00012194">
              <w:rPr>
                <w:rFonts w:ascii="Calibri" w:eastAsia="Times New Roman" w:hAnsi="Calibri" w:cs="Calibri"/>
                <w:color w:val="000000" w:themeColor="text1"/>
              </w:rPr>
              <w:t>,</w:t>
            </w:r>
            <w:r>
              <w:rPr>
                <w:rFonts w:ascii="Calibri" w:eastAsia="Times New Roman" w:hAnsi="Calibri" w:cs="Calibri"/>
                <w:color w:val="000000" w:themeColor="text1"/>
              </w:rPr>
              <w:t>818)</w:t>
            </w:r>
          </w:p>
        </w:tc>
        <w:tc>
          <w:tcPr>
            <w:tcW w:w="895" w:type="pct"/>
            <w:tcBorders>
              <w:top w:val="nil"/>
              <w:left w:val="nil"/>
              <w:bottom w:val="nil"/>
              <w:right w:val="nil"/>
            </w:tcBorders>
            <w:shd w:val="clear" w:color="auto" w:fill="auto"/>
            <w:vAlign w:val="bottom"/>
          </w:tcPr>
          <w:p w14:paraId="28E13B19" w14:textId="74CD73C8" w:rsidR="00A26696" w:rsidRPr="00537128" w:rsidRDefault="00A26696" w:rsidP="00A26696">
            <w:pPr>
              <w:spacing w:after="0" w:line="301" w:lineRule="exact"/>
              <w:jc w:val="right"/>
              <w:outlineLvl w:val="0"/>
              <w:rPr>
                <w:rFonts w:ascii="Calibri" w:eastAsia="Times New Roman" w:hAnsi="Calibri" w:cs="Calibri"/>
                <w:bCs/>
                <w:noProof/>
                <w:color w:val="000000" w:themeColor="text1"/>
                <w:spacing w:val="-2"/>
                <w:lang w:val="en-US"/>
              </w:rPr>
            </w:pPr>
            <w:r>
              <w:rPr>
                <w:rFonts w:ascii="Calibri" w:eastAsia="Times New Roman" w:hAnsi="Calibri" w:cs="Calibri"/>
                <w:color w:val="000000" w:themeColor="text1"/>
              </w:rPr>
              <w:t>(2,476)</w:t>
            </w:r>
          </w:p>
        </w:tc>
      </w:tr>
      <w:tr w:rsidR="00A26696" w:rsidRPr="00537128" w14:paraId="20D23EA7" w14:textId="77777777" w:rsidTr="00CE00C1">
        <w:tc>
          <w:tcPr>
            <w:tcW w:w="2612" w:type="pct"/>
            <w:vAlign w:val="bottom"/>
          </w:tcPr>
          <w:p w14:paraId="47E0F773" w14:textId="77777777" w:rsidR="00A26696" w:rsidRPr="00537128" w:rsidRDefault="00A26696" w:rsidP="00A26696">
            <w:pPr>
              <w:tabs>
                <w:tab w:val="right" w:pos="1202"/>
              </w:tabs>
              <w:spacing w:after="0" w:line="301" w:lineRule="exact"/>
              <w:outlineLvl w:val="0"/>
              <w:rPr>
                <w:rFonts w:ascii="Calibri" w:eastAsia="Times New Roman" w:hAnsi="Calibri" w:cs="Calibri"/>
                <w:bCs/>
                <w:noProof/>
                <w:color w:val="000000" w:themeColor="text1"/>
                <w:spacing w:val="-2"/>
                <w:lang w:val="en-US"/>
              </w:rPr>
            </w:pPr>
            <w:bookmarkStart w:id="114" w:name="_Toc4057286"/>
            <w:r w:rsidRPr="00537128">
              <w:rPr>
                <w:rFonts w:ascii="Calibri" w:eastAsia="Times New Roman" w:hAnsi="Calibri" w:cs="Calibri"/>
                <w:bCs/>
                <w:noProof/>
                <w:color w:val="000000" w:themeColor="text1"/>
                <w:spacing w:val="-2"/>
                <w:lang w:val="en-US"/>
              </w:rPr>
              <w:t>Other expenses</w:t>
            </w:r>
            <w:bookmarkEnd w:id="114"/>
          </w:p>
        </w:tc>
        <w:tc>
          <w:tcPr>
            <w:tcW w:w="598" w:type="pct"/>
            <w:vAlign w:val="bottom"/>
          </w:tcPr>
          <w:p w14:paraId="1C81C4C8" w14:textId="77777777" w:rsidR="00A26696" w:rsidRPr="00A1123E" w:rsidRDefault="00A26696" w:rsidP="00A26696">
            <w:pPr>
              <w:tabs>
                <w:tab w:val="right" w:pos="1202"/>
              </w:tabs>
              <w:spacing w:after="0" w:line="301" w:lineRule="exact"/>
              <w:jc w:val="center"/>
              <w:outlineLvl w:val="0"/>
              <w:rPr>
                <w:rFonts w:ascii="Calibri" w:eastAsia="Times New Roman" w:hAnsi="Calibri" w:cs="Calibri"/>
                <w:bCs/>
                <w:noProof/>
                <w:color w:val="000000" w:themeColor="text1"/>
                <w:spacing w:val="-2"/>
                <w:lang w:val="en-US"/>
              </w:rPr>
            </w:pPr>
            <w:bookmarkStart w:id="115" w:name="_Toc4057287"/>
            <w:r w:rsidRPr="00A1123E">
              <w:rPr>
                <w:rFonts w:ascii="Calibri" w:eastAsia="Times New Roman" w:hAnsi="Calibri" w:cs="Calibri"/>
                <w:bCs/>
                <w:noProof/>
                <w:color w:val="000000" w:themeColor="text1"/>
                <w:spacing w:val="-2"/>
                <w:lang w:val="en-US"/>
              </w:rPr>
              <w:t>7 c)</w:t>
            </w:r>
            <w:bookmarkEnd w:id="115"/>
          </w:p>
        </w:tc>
        <w:tc>
          <w:tcPr>
            <w:tcW w:w="895" w:type="pct"/>
            <w:tcBorders>
              <w:top w:val="nil"/>
              <w:left w:val="nil"/>
              <w:bottom w:val="nil"/>
              <w:right w:val="nil"/>
            </w:tcBorders>
            <w:shd w:val="clear" w:color="auto" w:fill="auto"/>
            <w:vAlign w:val="bottom"/>
          </w:tcPr>
          <w:p w14:paraId="3966E381" w14:textId="1190922B" w:rsidR="00A26696" w:rsidRPr="00537128" w:rsidRDefault="00A26696" w:rsidP="00A26696">
            <w:pPr>
              <w:spacing w:after="0" w:line="301" w:lineRule="exact"/>
              <w:jc w:val="right"/>
              <w:outlineLvl w:val="0"/>
              <w:rPr>
                <w:rFonts w:ascii="Calibri" w:eastAsia="Times New Roman" w:hAnsi="Calibri" w:cs="Calibri"/>
                <w:bCs/>
                <w:noProof/>
                <w:color w:val="000000" w:themeColor="text1"/>
                <w:spacing w:val="-2"/>
                <w:lang w:val="en-US"/>
              </w:rPr>
            </w:pPr>
            <w:r>
              <w:rPr>
                <w:rFonts w:ascii="Calibri" w:eastAsia="Times New Roman" w:hAnsi="Calibri" w:cs="Calibri"/>
                <w:color w:val="000000" w:themeColor="text1"/>
              </w:rPr>
              <w:t>(30</w:t>
            </w:r>
            <w:r w:rsidR="00012194">
              <w:rPr>
                <w:rFonts w:ascii="Calibri" w:eastAsia="Times New Roman" w:hAnsi="Calibri" w:cs="Calibri"/>
                <w:color w:val="000000" w:themeColor="text1"/>
              </w:rPr>
              <w:t>,</w:t>
            </w:r>
            <w:r>
              <w:rPr>
                <w:rFonts w:ascii="Calibri" w:eastAsia="Times New Roman" w:hAnsi="Calibri" w:cs="Calibri"/>
                <w:color w:val="000000" w:themeColor="text1"/>
              </w:rPr>
              <w:t>455)</w:t>
            </w:r>
          </w:p>
        </w:tc>
        <w:tc>
          <w:tcPr>
            <w:tcW w:w="895" w:type="pct"/>
            <w:tcBorders>
              <w:top w:val="nil"/>
              <w:left w:val="nil"/>
              <w:bottom w:val="nil"/>
              <w:right w:val="nil"/>
            </w:tcBorders>
            <w:shd w:val="clear" w:color="auto" w:fill="auto"/>
            <w:vAlign w:val="bottom"/>
          </w:tcPr>
          <w:p w14:paraId="3B32A434" w14:textId="07B6D05E" w:rsidR="00A26696" w:rsidRPr="00537128" w:rsidRDefault="00A26696" w:rsidP="00A26696">
            <w:pPr>
              <w:spacing w:after="0" w:line="301" w:lineRule="exact"/>
              <w:jc w:val="right"/>
              <w:outlineLvl w:val="0"/>
              <w:rPr>
                <w:rFonts w:ascii="Calibri" w:eastAsia="Times New Roman" w:hAnsi="Calibri" w:cs="Calibri"/>
                <w:bCs/>
                <w:noProof/>
                <w:color w:val="000000" w:themeColor="text1"/>
                <w:spacing w:val="-2"/>
                <w:lang w:val="en-US"/>
              </w:rPr>
            </w:pPr>
            <w:r>
              <w:rPr>
                <w:rFonts w:ascii="Calibri" w:eastAsia="Times New Roman" w:hAnsi="Calibri" w:cs="Calibri"/>
                <w:color w:val="000000" w:themeColor="text1"/>
              </w:rPr>
              <w:t>(19,825)</w:t>
            </w:r>
          </w:p>
        </w:tc>
      </w:tr>
      <w:tr w:rsidR="00A26696" w:rsidRPr="00537128" w14:paraId="034C73BD" w14:textId="77777777" w:rsidTr="00CE00C1">
        <w:tc>
          <w:tcPr>
            <w:tcW w:w="2612" w:type="pct"/>
          </w:tcPr>
          <w:p w14:paraId="3CBA4564" w14:textId="31D5D2CD" w:rsidR="00A26696" w:rsidRPr="00537128" w:rsidRDefault="00A26696" w:rsidP="00A26696">
            <w:pPr>
              <w:tabs>
                <w:tab w:val="right" w:pos="1202"/>
              </w:tabs>
              <w:spacing w:after="0" w:line="301" w:lineRule="exact"/>
              <w:outlineLvl w:val="0"/>
              <w:rPr>
                <w:rFonts w:eastAsia="Times New Roman" w:cstheme="minorHAnsi"/>
                <w:bCs/>
                <w:noProof/>
                <w:color w:val="000000" w:themeColor="text1"/>
                <w:spacing w:val="-2"/>
                <w:lang w:val="en-US"/>
              </w:rPr>
            </w:pPr>
            <w:r w:rsidRPr="00537128">
              <w:rPr>
                <w:rFonts w:eastAsia="Times New Roman" w:cstheme="minorHAnsi"/>
                <w:color w:val="000000" w:themeColor="text1"/>
                <w:lang w:val="en-US"/>
              </w:rPr>
              <w:t xml:space="preserve">Impairment </w:t>
            </w:r>
            <w:r>
              <w:rPr>
                <w:rFonts w:eastAsia="Times New Roman" w:cstheme="minorHAnsi"/>
                <w:color w:val="000000" w:themeColor="text1"/>
                <w:lang w:val="en-US"/>
              </w:rPr>
              <w:t>gain/</w:t>
            </w:r>
            <w:r w:rsidRPr="00537128">
              <w:rPr>
                <w:rFonts w:eastAsia="Times New Roman" w:cstheme="minorHAnsi"/>
                <w:color w:val="000000" w:themeColor="text1"/>
                <w:lang w:val="en-US"/>
              </w:rPr>
              <w:t xml:space="preserve">loss and provisions </w:t>
            </w:r>
          </w:p>
        </w:tc>
        <w:tc>
          <w:tcPr>
            <w:tcW w:w="598" w:type="pct"/>
            <w:vAlign w:val="bottom"/>
          </w:tcPr>
          <w:p w14:paraId="5104D40F" w14:textId="77777777" w:rsidR="00A26696" w:rsidRPr="00A1123E" w:rsidRDefault="00A26696" w:rsidP="00A26696">
            <w:pPr>
              <w:tabs>
                <w:tab w:val="right" w:pos="1202"/>
              </w:tabs>
              <w:spacing w:after="0" w:line="301" w:lineRule="exact"/>
              <w:jc w:val="center"/>
              <w:outlineLvl w:val="0"/>
              <w:rPr>
                <w:rFonts w:ascii="Calibri" w:eastAsia="Times New Roman" w:hAnsi="Calibri" w:cs="Calibri"/>
                <w:bCs/>
                <w:noProof/>
                <w:color w:val="000000" w:themeColor="text1"/>
                <w:spacing w:val="-2"/>
                <w:lang w:val="en-US"/>
              </w:rPr>
            </w:pPr>
            <w:r w:rsidRPr="00A1123E">
              <w:rPr>
                <w:rFonts w:ascii="Calibri" w:eastAsia="Times New Roman" w:hAnsi="Calibri" w:cs="Calibri"/>
                <w:bCs/>
                <w:noProof/>
                <w:color w:val="000000" w:themeColor="text1"/>
                <w:spacing w:val="-2"/>
                <w:lang w:val="en-US"/>
              </w:rPr>
              <w:t>8</w:t>
            </w:r>
          </w:p>
        </w:tc>
        <w:tc>
          <w:tcPr>
            <w:tcW w:w="895" w:type="pct"/>
            <w:tcBorders>
              <w:top w:val="nil"/>
              <w:left w:val="nil"/>
              <w:bottom w:val="nil"/>
              <w:right w:val="nil"/>
            </w:tcBorders>
            <w:shd w:val="clear" w:color="auto" w:fill="auto"/>
            <w:vAlign w:val="bottom"/>
          </w:tcPr>
          <w:p w14:paraId="41482F45" w14:textId="3D6DBCA4" w:rsidR="00A26696" w:rsidRPr="00537128" w:rsidRDefault="00A26696" w:rsidP="00A26696">
            <w:pPr>
              <w:spacing w:after="0" w:line="301" w:lineRule="exact"/>
              <w:jc w:val="right"/>
              <w:outlineLvl w:val="0"/>
              <w:rPr>
                <w:rFonts w:eastAsia="Times New Roman" w:cstheme="minorHAnsi"/>
                <w:color w:val="000000" w:themeColor="text1"/>
                <w:lang w:val="en-US"/>
              </w:rPr>
            </w:pPr>
            <w:r>
              <w:rPr>
                <w:rFonts w:ascii="Calibri" w:eastAsia="Times New Roman" w:hAnsi="Calibri" w:cs="Calibri"/>
                <w:color w:val="000000" w:themeColor="text1"/>
              </w:rPr>
              <w:t>130</w:t>
            </w:r>
            <w:r w:rsidR="00012194">
              <w:rPr>
                <w:rFonts w:ascii="Calibri" w:eastAsia="Times New Roman" w:hAnsi="Calibri" w:cs="Calibri"/>
                <w:color w:val="000000" w:themeColor="text1"/>
              </w:rPr>
              <w:t>,</w:t>
            </w:r>
            <w:r>
              <w:rPr>
                <w:rFonts w:ascii="Calibri" w:eastAsia="Times New Roman" w:hAnsi="Calibri" w:cs="Calibri"/>
                <w:color w:val="000000" w:themeColor="text1"/>
              </w:rPr>
              <w:t>391</w:t>
            </w:r>
          </w:p>
        </w:tc>
        <w:tc>
          <w:tcPr>
            <w:tcW w:w="895" w:type="pct"/>
            <w:tcBorders>
              <w:top w:val="nil"/>
              <w:left w:val="nil"/>
              <w:bottom w:val="nil"/>
              <w:right w:val="nil"/>
            </w:tcBorders>
            <w:shd w:val="clear" w:color="auto" w:fill="auto"/>
            <w:vAlign w:val="bottom"/>
          </w:tcPr>
          <w:p w14:paraId="094A5285" w14:textId="22C3CCD4" w:rsidR="00A26696" w:rsidRPr="00537128" w:rsidRDefault="00A26696" w:rsidP="00A26696">
            <w:pPr>
              <w:spacing w:after="0" w:line="301" w:lineRule="exact"/>
              <w:jc w:val="right"/>
              <w:outlineLvl w:val="0"/>
              <w:rPr>
                <w:rFonts w:eastAsia="Times New Roman" w:cstheme="minorHAnsi"/>
                <w:color w:val="000000" w:themeColor="text1"/>
                <w:lang w:val="en-US"/>
              </w:rPr>
            </w:pPr>
            <w:r>
              <w:rPr>
                <w:rFonts w:ascii="Calibri" w:eastAsia="Times New Roman" w:hAnsi="Calibri" w:cs="Calibri"/>
                <w:color w:val="000000" w:themeColor="text1"/>
              </w:rPr>
              <w:t>9,640</w:t>
            </w:r>
          </w:p>
        </w:tc>
      </w:tr>
      <w:tr w:rsidR="00A26696" w:rsidRPr="00537128" w14:paraId="12078475" w14:textId="77777777" w:rsidTr="00CE00C1">
        <w:tc>
          <w:tcPr>
            <w:tcW w:w="2612" w:type="pct"/>
          </w:tcPr>
          <w:p w14:paraId="2700CEB6" w14:textId="77777777" w:rsidR="00A26696" w:rsidRPr="00537128" w:rsidRDefault="00A26696" w:rsidP="00A26696">
            <w:pPr>
              <w:tabs>
                <w:tab w:val="right" w:pos="1202"/>
              </w:tabs>
              <w:spacing w:after="0" w:line="340" w:lineRule="exact"/>
              <w:outlineLvl w:val="0"/>
              <w:rPr>
                <w:rFonts w:ascii="Calibri" w:eastAsia="Times New Roman" w:hAnsi="Calibri" w:cs="Calibri"/>
                <w:b/>
                <w:bCs/>
                <w:noProof/>
                <w:color w:val="000000" w:themeColor="text1"/>
                <w:lang w:val="en-US"/>
              </w:rPr>
            </w:pPr>
            <w:bookmarkStart w:id="116" w:name="_Toc4057294"/>
            <w:r w:rsidRPr="00537128">
              <w:rPr>
                <w:rFonts w:ascii="Calibri" w:eastAsia="Times New Roman" w:hAnsi="Calibri" w:cs="Calibri"/>
                <w:b/>
                <w:bCs/>
                <w:noProof/>
                <w:color w:val="000000" w:themeColor="text1"/>
                <w:lang w:val="en-US"/>
              </w:rPr>
              <w:t>Profit before income tax</w:t>
            </w:r>
            <w:bookmarkEnd w:id="116"/>
          </w:p>
        </w:tc>
        <w:tc>
          <w:tcPr>
            <w:tcW w:w="598" w:type="pct"/>
            <w:vAlign w:val="bottom"/>
          </w:tcPr>
          <w:p w14:paraId="6506E6AC" w14:textId="77777777" w:rsidR="00A26696" w:rsidRPr="00537128" w:rsidRDefault="00A26696" w:rsidP="00A26696">
            <w:pPr>
              <w:tabs>
                <w:tab w:val="right" w:pos="1202"/>
              </w:tabs>
              <w:spacing w:after="0" w:line="340" w:lineRule="exact"/>
              <w:jc w:val="center"/>
              <w:outlineLvl w:val="0"/>
              <w:rPr>
                <w:rFonts w:ascii="Calibri" w:eastAsia="Times New Roman" w:hAnsi="Calibri" w:cs="Calibri"/>
                <w:b/>
                <w:bCs/>
                <w:noProof/>
                <w:color w:val="000000" w:themeColor="text1"/>
                <w:lang w:val="en-US"/>
              </w:rPr>
            </w:pPr>
          </w:p>
        </w:tc>
        <w:tc>
          <w:tcPr>
            <w:tcW w:w="895" w:type="pct"/>
            <w:tcBorders>
              <w:top w:val="single" w:sz="4" w:space="0" w:color="auto"/>
              <w:bottom w:val="single" w:sz="12" w:space="0" w:color="auto"/>
            </w:tcBorders>
            <w:vAlign w:val="bottom"/>
          </w:tcPr>
          <w:p w14:paraId="54CC3B0F" w14:textId="0950CA1D" w:rsidR="00A26696" w:rsidRPr="00537128" w:rsidRDefault="00A26696" w:rsidP="00A26696">
            <w:pPr>
              <w:tabs>
                <w:tab w:val="right" w:pos="1202"/>
              </w:tabs>
              <w:spacing w:after="0" w:line="340" w:lineRule="exact"/>
              <w:jc w:val="right"/>
              <w:outlineLvl w:val="0"/>
              <w:rPr>
                <w:rFonts w:eastAsia="Times New Roman" w:cstheme="minorHAnsi"/>
                <w:b/>
                <w:bCs/>
                <w:noProof/>
                <w:color w:val="000000" w:themeColor="text1"/>
                <w:lang w:val="en-US"/>
              </w:rPr>
            </w:pPr>
            <w:r>
              <w:rPr>
                <w:rFonts w:ascii="Calibri" w:eastAsia="Times New Roman" w:hAnsi="Calibri" w:cs="Calibri"/>
                <w:b/>
                <w:bCs/>
                <w:color w:val="000000" w:themeColor="text1"/>
              </w:rPr>
              <w:t>230</w:t>
            </w:r>
            <w:r w:rsidR="00012194">
              <w:rPr>
                <w:rFonts w:ascii="Calibri" w:eastAsia="Times New Roman" w:hAnsi="Calibri" w:cs="Calibri"/>
                <w:b/>
                <w:bCs/>
                <w:color w:val="000000" w:themeColor="text1"/>
              </w:rPr>
              <w:t>,</w:t>
            </w:r>
            <w:r>
              <w:rPr>
                <w:rFonts w:ascii="Calibri" w:eastAsia="Times New Roman" w:hAnsi="Calibri" w:cs="Calibri"/>
                <w:b/>
                <w:bCs/>
                <w:color w:val="000000" w:themeColor="text1"/>
              </w:rPr>
              <w:t>344</w:t>
            </w:r>
          </w:p>
        </w:tc>
        <w:tc>
          <w:tcPr>
            <w:tcW w:w="895" w:type="pct"/>
            <w:tcBorders>
              <w:top w:val="single" w:sz="4" w:space="0" w:color="auto"/>
              <w:bottom w:val="single" w:sz="12" w:space="0" w:color="auto"/>
            </w:tcBorders>
            <w:vAlign w:val="bottom"/>
          </w:tcPr>
          <w:p w14:paraId="3A02A1D7" w14:textId="214ED8DF" w:rsidR="00A26696" w:rsidRPr="00537128" w:rsidRDefault="00A26696" w:rsidP="00A26696">
            <w:pPr>
              <w:tabs>
                <w:tab w:val="right" w:pos="1202"/>
              </w:tabs>
              <w:spacing w:after="0" w:line="340" w:lineRule="exact"/>
              <w:jc w:val="right"/>
              <w:outlineLvl w:val="0"/>
              <w:rPr>
                <w:rFonts w:eastAsia="Times New Roman" w:cstheme="minorHAnsi"/>
                <w:b/>
                <w:bCs/>
                <w:noProof/>
                <w:color w:val="000000" w:themeColor="text1"/>
                <w:lang w:val="en-US"/>
              </w:rPr>
            </w:pPr>
            <w:r>
              <w:rPr>
                <w:rFonts w:ascii="Calibri" w:eastAsia="Times New Roman" w:hAnsi="Calibri" w:cs="Calibri"/>
                <w:b/>
                <w:bCs/>
                <w:color w:val="000000" w:themeColor="text1"/>
              </w:rPr>
              <w:t>87,800</w:t>
            </w:r>
          </w:p>
        </w:tc>
      </w:tr>
      <w:tr w:rsidR="00A26696" w:rsidRPr="00537128" w14:paraId="1DE46C38" w14:textId="77777777" w:rsidTr="00CE00C1">
        <w:tc>
          <w:tcPr>
            <w:tcW w:w="2612" w:type="pct"/>
          </w:tcPr>
          <w:p w14:paraId="45713DB1" w14:textId="77777777" w:rsidR="00A26696" w:rsidRPr="00537128" w:rsidRDefault="00A26696" w:rsidP="00A26696">
            <w:pPr>
              <w:tabs>
                <w:tab w:val="right" w:pos="1202"/>
              </w:tabs>
              <w:spacing w:after="0" w:line="340" w:lineRule="exact"/>
              <w:outlineLvl w:val="0"/>
              <w:rPr>
                <w:rFonts w:ascii="Calibri" w:eastAsia="Times New Roman" w:hAnsi="Calibri" w:cs="Calibri"/>
                <w:b/>
                <w:bCs/>
                <w:noProof/>
                <w:color w:val="000000" w:themeColor="text1"/>
                <w:lang w:val="en-US"/>
              </w:rPr>
            </w:pPr>
          </w:p>
        </w:tc>
        <w:tc>
          <w:tcPr>
            <w:tcW w:w="598" w:type="pct"/>
            <w:vAlign w:val="bottom"/>
          </w:tcPr>
          <w:p w14:paraId="24588A31" w14:textId="77777777" w:rsidR="00A26696" w:rsidRPr="00537128" w:rsidRDefault="00A26696" w:rsidP="00A26696">
            <w:pPr>
              <w:tabs>
                <w:tab w:val="right" w:pos="1202"/>
              </w:tabs>
              <w:spacing w:after="0" w:line="340" w:lineRule="exact"/>
              <w:jc w:val="center"/>
              <w:outlineLvl w:val="0"/>
              <w:rPr>
                <w:rFonts w:ascii="Calibri" w:eastAsia="Times New Roman" w:hAnsi="Calibri" w:cs="Calibri"/>
                <w:b/>
                <w:bCs/>
                <w:noProof/>
                <w:color w:val="000000" w:themeColor="text1"/>
                <w:lang w:val="en-US"/>
              </w:rPr>
            </w:pPr>
          </w:p>
        </w:tc>
        <w:tc>
          <w:tcPr>
            <w:tcW w:w="895" w:type="pct"/>
            <w:tcBorders>
              <w:top w:val="single" w:sz="12" w:space="0" w:color="auto"/>
            </w:tcBorders>
            <w:vAlign w:val="bottom"/>
          </w:tcPr>
          <w:p w14:paraId="73BA39F0" w14:textId="77777777" w:rsidR="00A26696" w:rsidRPr="00537128" w:rsidRDefault="00A26696" w:rsidP="00A26696">
            <w:pPr>
              <w:tabs>
                <w:tab w:val="right" w:pos="1202"/>
              </w:tabs>
              <w:spacing w:after="0" w:line="340" w:lineRule="exact"/>
              <w:jc w:val="right"/>
              <w:outlineLvl w:val="0"/>
              <w:rPr>
                <w:rFonts w:ascii="Calibri" w:eastAsia="Times New Roman" w:hAnsi="Calibri" w:cs="Calibri"/>
                <w:b/>
                <w:bCs/>
                <w:noProof/>
                <w:color w:val="000000" w:themeColor="text1"/>
                <w:lang w:val="en-US"/>
              </w:rPr>
            </w:pPr>
          </w:p>
        </w:tc>
        <w:tc>
          <w:tcPr>
            <w:tcW w:w="895" w:type="pct"/>
            <w:tcBorders>
              <w:top w:val="single" w:sz="12" w:space="0" w:color="auto"/>
            </w:tcBorders>
            <w:vAlign w:val="bottom"/>
          </w:tcPr>
          <w:p w14:paraId="4A4D989C" w14:textId="77777777" w:rsidR="00A26696" w:rsidRPr="00537128" w:rsidRDefault="00A26696" w:rsidP="00A26696">
            <w:pPr>
              <w:tabs>
                <w:tab w:val="right" w:pos="1202"/>
              </w:tabs>
              <w:spacing w:after="0" w:line="340" w:lineRule="exact"/>
              <w:jc w:val="right"/>
              <w:outlineLvl w:val="0"/>
              <w:rPr>
                <w:rFonts w:ascii="Calibri" w:eastAsia="Times New Roman" w:hAnsi="Calibri" w:cs="Calibri"/>
                <w:b/>
                <w:bCs/>
                <w:noProof/>
                <w:color w:val="000000" w:themeColor="text1"/>
                <w:lang w:val="en-US"/>
              </w:rPr>
            </w:pPr>
          </w:p>
        </w:tc>
      </w:tr>
      <w:tr w:rsidR="00012194" w:rsidRPr="00537128" w14:paraId="246E3825" w14:textId="77777777" w:rsidTr="00CE00C1">
        <w:tc>
          <w:tcPr>
            <w:tcW w:w="2612" w:type="pct"/>
          </w:tcPr>
          <w:p w14:paraId="5F186820" w14:textId="77777777" w:rsidR="00012194" w:rsidRPr="00537128" w:rsidRDefault="00012194" w:rsidP="00012194">
            <w:pPr>
              <w:tabs>
                <w:tab w:val="right" w:pos="1202"/>
              </w:tabs>
              <w:spacing w:after="0" w:line="340" w:lineRule="exact"/>
              <w:outlineLvl w:val="0"/>
              <w:rPr>
                <w:rFonts w:ascii="Calibri" w:eastAsia="Times New Roman" w:hAnsi="Calibri" w:cs="Calibri"/>
                <w:noProof/>
                <w:color w:val="000000" w:themeColor="text1"/>
                <w:lang w:val="en-US"/>
              </w:rPr>
            </w:pPr>
            <w:bookmarkStart w:id="117" w:name="_Toc4057297"/>
            <w:r w:rsidRPr="00537128">
              <w:rPr>
                <w:rFonts w:ascii="Calibri" w:eastAsia="Times New Roman" w:hAnsi="Calibri" w:cs="Calibri"/>
                <w:noProof/>
                <w:color w:val="000000" w:themeColor="text1"/>
                <w:lang w:val="en-US"/>
              </w:rPr>
              <w:t>Income tax</w:t>
            </w:r>
            <w:bookmarkEnd w:id="117"/>
          </w:p>
        </w:tc>
        <w:tc>
          <w:tcPr>
            <w:tcW w:w="598" w:type="pct"/>
            <w:vAlign w:val="bottom"/>
          </w:tcPr>
          <w:p w14:paraId="465F6DEA" w14:textId="77777777" w:rsidR="00012194" w:rsidRPr="00537128" w:rsidRDefault="00012194" w:rsidP="00012194">
            <w:pPr>
              <w:tabs>
                <w:tab w:val="right" w:pos="1202"/>
              </w:tabs>
              <w:spacing w:after="0" w:line="340" w:lineRule="exact"/>
              <w:jc w:val="center"/>
              <w:outlineLvl w:val="0"/>
              <w:rPr>
                <w:rFonts w:ascii="Calibri" w:eastAsia="Times New Roman" w:hAnsi="Calibri" w:cs="Calibri"/>
                <w:noProof/>
                <w:color w:val="000000" w:themeColor="text1"/>
                <w:lang w:val="en-US"/>
              </w:rPr>
            </w:pPr>
          </w:p>
        </w:tc>
        <w:tc>
          <w:tcPr>
            <w:tcW w:w="895" w:type="pct"/>
            <w:tcBorders>
              <w:bottom w:val="single" w:sz="4" w:space="0" w:color="auto"/>
            </w:tcBorders>
            <w:vAlign w:val="bottom"/>
          </w:tcPr>
          <w:p w14:paraId="56087F20" w14:textId="1A8CC194" w:rsidR="00012194" w:rsidRPr="00537128" w:rsidRDefault="00012194" w:rsidP="00012194">
            <w:pPr>
              <w:tabs>
                <w:tab w:val="right" w:pos="1202"/>
              </w:tabs>
              <w:spacing w:after="0" w:line="340" w:lineRule="exact"/>
              <w:jc w:val="right"/>
              <w:outlineLvl w:val="0"/>
              <w:rPr>
                <w:rFonts w:ascii="Calibri" w:eastAsia="Times New Roman" w:hAnsi="Calibri" w:cs="Calibri"/>
                <w:noProof/>
                <w:color w:val="000000" w:themeColor="text1"/>
                <w:lang w:val="en-US"/>
              </w:rPr>
            </w:pPr>
            <w:r>
              <w:rPr>
                <w:rFonts w:eastAsia="Times New Roman" w:cs="Arial"/>
                <w:color w:val="000000" w:themeColor="text1"/>
              </w:rPr>
              <w:t>-</w:t>
            </w:r>
          </w:p>
        </w:tc>
        <w:tc>
          <w:tcPr>
            <w:tcW w:w="895" w:type="pct"/>
            <w:tcBorders>
              <w:bottom w:val="single" w:sz="4" w:space="0" w:color="auto"/>
            </w:tcBorders>
            <w:vAlign w:val="bottom"/>
          </w:tcPr>
          <w:p w14:paraId="1F01D5A7" w14:textId="5F230B91" w:rsidR="00012194" w:rsidRPr="00537128" w:rsidRDefault="00012194" w:rsidP="00012194">
            <w:pPr>
              <w:tabs>
                <w:tab w:val="right" w:pos="1202"/>
              </w:tabs>
              <w:spacing w:after="0" w:line="340" w:lineRule="exact"/>
              <w:jc w:val="right"/>
              <w:outlineLvl w:val="0"/>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w:t>
            </w:r>
          </w:p>
        </w:tc>
      </w:tr>
      <w:tr w:rsidR="00012194" w:rsidRPr="00537128" w14:paraId="3DF7670D" w14:textId="77777777" w:rsidTr="00CE00C1">
        <w:tc>
          <w:tcPr>
            <w:tcW w:w="2612" w:type="pct"/>
          </w:tcPr>
          <w:p w14:paraId="336C9A11" w14:textId="77777777" w:rsidR="00012194" w:rsidRPr="00537128" w:rsidRDefault="00012194" w:rsidP="00012194">
            <w:pPr>
              <w:tabs>
                <w:tab w:val="right" w:pos="1202"/>
              </w:tabs>
              <w:spacing w:after="0" w:line="340" w:lineRule="exact"/>
              <w:outlineLvl w:val="0"/>
              <w:rPr>
                <w:rFonts w:ascii="Calibri" w:eastAsia="Times New Roman" w:hAnsi="Calibri" w:cs="Calibri"/>
                <w:b/>
                <w:bCs/>
                <w:noProof/>
                <w:color w:val="000000" w:themeColor="text1"/>
                <w:lang w:val="en-US"/>
              </w:rPr>
            </w:pPr>
            <w:bookmarkStart w:id="118" w:name="_Toc4057301"/>
            <w:r w:rsidRPr="00537128">
              <w:rPr>
                <w:rFonts w:ascii="Calibri" w:eastAsia="Times New Roman" w:hAnsi="Calibri" w:cs="Calibri"/>
                <w:b/>
                <w:bCs/>
                <w:noProof/>
                <w:color w:val="000000" w:themeColor="text1"/>
                <w:lang w:val="en-US"/>
              </w:rPr>
              <w:t>Profit for the period</w:t>
            </w:r>
            <w:bookmarkEnd w:id="118"/>
          </w:p>
        </w:tc>
        <w:tc>
          <w:tcPr>
            <w:tcW w:w="598" w:type="pct"/>
            <w:vAlign w:val="bottom"/>
          </w:tcPr>
          <w:p w14:paraId="685F419C" w14:textId="77777777" w:rsidR="00012194" w:rsidRPr="00537128" w:rsidRDefault="00012194" w:rsidP="00012194">
            <w:pPr>
              <w:tabs>
                <w:tab w:val="right" w:pos="1202"/>
              </w:tabs>
              <w:spacing w:after="0" w:line="340" w:lineRule="exact"/>
              <w:jc w:val="center"/>
              <w:outlineLvl w:val="0"/>
              <w:rPr>
                <w:rFonts w:ascii="Calibri" w:eastAsia="Times New Roman" w:hAnsi="Calibri" w:cs="Calibri"/>
                <w:b/>
                <w:bCs/>
                <w:noProof/>
                <w:color w:val="000000" w:themeColor="text1"/>
                <w:lang w:val="en-US"/>
              </w:rPr>
            </w:pPr>
          </w:p>
        </w:tc>
        <w:tc>
          <w:tcPr>
            <w:tcW w:w="895" w:type="pct"/>
            <w:tcBorders>
              <w:top w:val="single" w:sz="4" w:space="0" w:color="auto"/>
              <w:bottom w:val="single" w:sz="12" w:space="0" w:color="auto"/>
            </w:tcBorders>
            <w:vAlign w:val="bottom"/>
          </w:tcPr>
          <w:p w14:paraId="2964E9CC" w14:textId="26549B35" w:rsidR="00012194" w:rsidRPr="00537128" w:rsidRDefault="00012194" w:rsidP="00012194">
            <w:pPr>
              <w:tabs>
                <w:tab w:val="right" w:pos="1202"/>
              </w:tabs>
              <w:spacing w:after="0" w:line="340" w:lineRule="exact"/>
              <w:jc w:val="right"/>
              <w:outlineLvl w:val="0"/>
              <w:rPr>
                <w:rFonts w:ascii="Calibri" w:eastAsia="Times New Roman" w:hAnsi="Calibri" w:cs="Calibri"/>
                <w:b/>
                <w:bCs/>
                <w:noProof/>
                <w:color w:val="000000" w:themeColor="text1"/>
                <w:lang w:val="en-US"/>
              </w:rPr>
            </w:pPr>
            <w:r>
              <w:rPr>
                <w:rFonts w:ascii="Calibri" w:eastAsia="Times New Roman" w:hAnsi="Calibri" w:cs="Calibri"/>
                <w:b/>
                <w:bCs/>
                <w:color w:val="000000" w:themeColor="text1"/>
              </w:rPr>
              <w:t>230,344</w:t>
            </w:r>
          </w:p>
        </w:tc>
        <w:tc>
          <w:tcPr>
            <w:tcW w:w="895" w:type="pct"/>
            <w:tcBorders>
              <w:top w:val="single" w:sz="4" w:space="0" w:color="auto"/>
              <w:bottom w:val="single" w:sz="12" w:space="0" w:color="auto"/>
            </w:tcBorders>
            <w:vAlign w:val="bottom"/>
          </w:tcPr>
          <w:p w14:paraId="1F69EEB5" w14:textId="4E3BB93D" w:rsidR="00012194" w:rsidRPr="00537128" w:rsidRDefault="00012194" w:rsidP="00012194">
            <w:pPr>
              <w:tabs>
                <w:tab w:val="right" w:pos="1202"/>
              </w:tabs>
              <w:spacing w:after="0" w:line="340" w:lineRule="exact"/>
              <w:jc w:val="right"/>
              <w:outlineLvl w:val="0"/>
              <w:rPr>
                <w:rFonts w:ascii="Calibri" w:eastAsia="Times New Roman" w:hAnsi="Calibri" w:cs="Calibri"/>
                <w:b/>
                <w:bCs/>
                <w:noProof/>
                <w:color w:val="000000" w:themeColor="text1"/>
                <w:lang w:val="en-US"/>
              </w:rPr>
            </w:pPr>
            <w:r>
              <w:rPr>
                <w:rFonts w:ascii="Calibri" w:eastAsia="Times New Roman" w:hAnsi="Calibri" w:cs="Calibri"/>
                <w:b/>
                <w:bCs/>
                <w:color w:val="000000" w:themeColor="text1"/>
              </w:rPr>
              <w:t>87,800</w:t>
            </w:r>
          </w:p>
        </w:tc>
      </w:tr>
      <w:tr w:rsidR="00012194" w:rsidRPr="00537128" w14:paraId="25281977" w14:textId="77777777" w:rsidTr="00CE00C1">
        <w:trPr>
          <w:trHeight w:val="87"/>
        </w:trPr>
        <w:tc>
          <w:tcPr>
            <w:tcW w:w="2612" w:type="pct"/>
          </w:tcPr>
          <w:p w14:paraId="57393AA2" w14:textId="77777777" w:rsidR="00012194" w:rsidRPr="00537128" w:rsidRDefault="00012194" w:rsidP="00012194">
            <w:pPr>
              <w:keepNext/>
              <w:keepLines/>
              <w:tabs>
                <w:tab w:val="decimal" w:pos="1202"/>
              </w:tabs>
              <w:spacing w:after="0" w:line="301" w:lineRule="exact"/>
              <w:rPr>
                <w:rFonts w:ascii="Calibri" w:eastAsia="Times New Roman" w:hAnsi="Calibri" w:cs="Calibri"/>
                <w:b/>
                <w:noProof/>
                <w:color w:val="000000" w:themeColor="text1"/>
                <w:position w:val="4"/>
                <w:lang w:val="en-US"/>
              </w:rPr>
            </w:pPr>
          </w:p>
        </w:tc>
        <w:tc>
          <w:tcPr>
            <w:tcW w:w="598" w:type="pct"/>
            <w:vAlign w:val="bottom"/>
          </w:tcPr>
          <w:p w14:paraId="498B3BAF" w14:textId="77777777" w:rsidR="00012194" w:rsidRPr="00537128" w:rsidRDefault="00012194" w:rsidP="00012194">
            <w:pPr>
              <w:keepNext/>
              <w:keepLines/>
              <w:tabs>
                <w:tab w:val="decimal" w:pos="1202"/>
              </w:tabs>
              <w:spacing w:after="0" w:line="301" w:lineRule="exact"/>
              <w:rPr>
                <w:rFonts w:ascii="Calibri" w:eastAsia="Times New Roman" w:hAnsi="Calibri" w:cs="Calibri"/>
                <w:b/>
                <w:noProof/>
                <w:color w:val="000000" w:themeColor="text1"/>
                <w:position w:val="4"/>
                <w:u w:val="thick"/>
                <w:lang w:val="en-US"/>
              </w:rPr>
            </w:pPr>
          </w:p>
        </w:tc>
        <w:tc>
          <w:tcPr>
            <w:tcW w:w="895" w:type="pct"/>
            <w:tcBorders>
              <w:top w:val="single" w:sz="12" w:space="0" w:color="auto"/>
            </w:tcBorders>
            <w:vAlign w:val="bottom"/>
          </w:tcPr>
          <w:p w14:paraId="7D7D7273" w14:textId="77777777" w:rsidR="00012194" w:rsidRPr="00537128" w:rsidRDefault="00012194" w:rsidP="00012194">
            <w:pPr>
              <w:keepNext/>
              <w:keepLines/>
              <w:spacing w:after="0" w:line="240" w:lineRule="exact"/>
              <w:jc w:val="right"/>
              <w:rPr>
                <w:rFonts w:ascii="Calibri" w:eastAsia="Times New Roman" w:hAnsi="Calibri" w:cs="Calibri"/>
                <w:b/>
                <w:noProof/>
                <w:color w:val="000000" w:themeColor="text1"/>
                <w:position w:val="4"/>
                <w:u w:val="thick"/>
                <w:lang w:val="en-US"/>
              </w:rPr>
            </w:pPr>
          </w:p>
        </w:tc>
        <w:tc>
          <w:tcPr>
            <w:tcW w:w="895" w:type="pct"/>
            <w:tcBorders>
              <w:top w:val="single" w:sz="12" w:space="0" w:color="auto"/>
            </w:tcBorders>
            <w:vAlign w:val="bottom"/>
          </w:tcPr>
          <w:p w14:paraId="509CA9BA" w14:textId="77777777" w:rsidR="00012194" w:rsidRPr="00537128" w:rsidRDefault="00012194" w:rsidP="00012194">
            <w:pPr>
              <w:keepNext/>
              <w:keepLines/>
              <w:spacing w:after="0" w:line="240" w:lineRule="exact"/>
              <w:jc w:val="right"/>
              <w:rPr>
                <w:rFonts w:ascii="Calibri" w:eastAsia="Times New Roman" w:hAnsi="Calibri" w:cs="Calibri"/>
                <w:b/>
                <w:noProof/>
                <w:color w:val="000000" w:themeColor="text1"/>
                <w:position w:val="4"/>
                <w:u w:val="thick"/>
                <w:lang w:val="en-US"/>
              </w:rPr>
            </w:pPr>
          </w:p>
        </w:tc>
      </w:tr>
      <w:tr w:rsidR="00012194" w:rsidRPr="00537128" w14:paraId="63DBB820" w14:textId="77777777" w:rsidTr="00CE00C1">
        <w:trPr>
          <w:trHeight w:val="80"/>
        </w:trPr>
        <w:tc>
          <w:tcPr>
            <w:tcW w:w="2612" w:type="pct"/>
          </w:tcPr>
          <w:p w14:paraId="0E65BC5B" w14:textId="77777777" w:rsidR="00012194" w:rsidRPr="00537128" w:rsidRDefault="00012194" w:rsidP="00012194">
            <w:pPr>
              <w:keepNext/>
              <w:keepLines/>
              <w:tabs>
                <w:tab w:val="decimal" w:pos="1202"/>
              </w:tabs>
              <w:spacing w:after="0" w:line="301" w:lineRule="exact"/>
              <w:rPr>
                <w:rFonts w:ascii="Calibri" w:eastAsia="Times New Roman" w:hAnsi="Calibri" w:cs="Calibri"/>
                <w:b/>
                <w:noProof/>
                <w:color w:val="000000" w:themeColor="text1"/>
                <w:position w:val="4"/>
                <w:lang w:val="en-US"/>
              </w:rPr>
            </w:pPr>
          </w:p>
        </w:tc>
        <w:tc>
          <w:tcPr>
            <w:tcW w:w="598" w:type="pct"/>
            <w:vAlign w:val="bottom"/>
          </w:tcPr>
          <w:p w14:paraId="6FF7A587" w14:textId="77777777" w:rsidR="00012194" w:rsidRPr="00537128" w:rsidRDefault="00012194" w:rsidP="00012194">
            <w:pPr>
              <w:keepNext/>
              <w:keepLines/>
              <w:tabs>
                <w:tab w:val="decimal" w:pos="1202"/>
              </w:tabs>
              <w:spacing w:after="0" w:line="301" w:lineRule="exact"/>
              <w:rPr>
                <w:rFonts w:ascii="Calibri" w:eastAsia="Times New Roman" w:hAnsi="Calibri" w:cs="Calibri"/>
                <w:b/>
                <w:noProof/>
                <w:color w:val="000000" w:themeColor="text1"/>
                <w:position w:val="4"/>
                <w:u w:val="thick"/>
                <w:lang w:val="en-US"/>
              </w:rPr>
            </w:pPr>
          </w:p>
        </w:tc>
        <w:tc>
          <w:tcPr>
            <w:tcW w:w="895" w:type="pct"/>
            <w:vAlign w:val="bottom"/>
          </w:tcPr>
          <w:p w14:paraId="0A962E46" w14:textId="77777777" w:rsidR="00012194" w:rsidRPr="00537128" w:rsidRDefault="00012194" w:rsidP="00012194">
            <w:pPr>
              <w:keepNext/>
              <w:keepLines/>
              <w:spacing w:after="0" w:line="240" w:lineRule="exact"/>
              <w:jc w:val="right"/>
              <w:rPr>
                <w:rFonts w:ascii="Calibri" w:eastAsia="Times New Roman" w:hAnsi="Calibri" w:cs="Calibri"/>
                <w:b/>
                <w:noProof/>
                <w:color w:val="000000" w:themeColor="text1"/>
                <w:position w:val="4"/>
                <w:u w:val="thick"/>
                <w:lang w:val="en-US"/>
              </w:rPr>
            </w:pPr>
          </w:p>
        </w:tc>
        <w:tc>
          <w:tcPr>
            <w:tcW w:w="895" w:type="pct"/>
            <w:vAlign w:val="bottom"/>
          </w:tcPr>
          <w:p w14:paraId="3E79DB38" w14:textId="77777777" w:rsidR="00012194" w:rsidRPr="00537128" w:rsidRDefault="00012194" w:rsidP="00012194">
            <w:pPr>
              <w:keepNext/>
              <w:keepLines/>
              <w:spacing w:after="0" w:line="240" w:lineRule="exact"/>
              <w:jc w:val="right"/>
              <w:rPr>
                <w:rFonts w:ascii="Calibri" w:eastAsia="Times New Roman" w:hAnsi="Calibri" w:cs="Calibri"/>
                <w:b/>
                <w:noProof/>
                <w:color w:val="000000" w:themeColor="text1"/>
                <w:position w:val="4"/>
                <w:u w:val="thick"/>
                <w:lang w:val="en-US"/>
              </w:rPr>
            </w:pPr>
          </w:p>
        </w:tc>
      </w:tr>
      <w:tr w:rsidR="00012194" w:rsidRPr="00537128" w14:paraId="273CDCAE" w14:textId="77777777" w:rsidTr="00CE00C1">
        <w:trPr>
          <w:trHeight w:val="70"/>
        </w:trPr>
        <w:tc>
          <w:tcPr>
            <w:tcW w:w="2612" w:type="pct"/>
          </w:tcPr>
          <w:p w14:paraId="7F339A15" w14:textId="77777777" w:rsidR="00012194" w:rsidRPr="00537128" w:rsidRDefault="00012194" w:rsidP="00012194">
            <w:pPr>
              <w:keepNext/>
              <w:keepLines/>
              <w:tabs>
                <w:tab w:val="decimal" w:pos="1202"/>
              </w:tabs>
              <w:spacing w:after="0" w:line="301" w:lineRule="exact"/>
              <w:rPr>
                <w:rFonts w:ascii="Calibri" w:eastAsia="Times New Roman" w:hAnsi="Calibri" w:cs="Calibri"/>
                <w:b/>
                <w:noProof/>
                <w:color w:val="000000" w:themeColor="text1"/>
                <w:position w:val="4"/>
                <w:lang w:val="en-US"/>
              </w:rPr>
            </w:pPr>
            <w:r w:rsidRPr="00537128">
              <w:rPr>
                <w:rFonts w:ascii="Calibri" w:eastAsia="Times New Roman" w:hAnsi="Calibri" w:cs="Calibri"/>
                <w:b/>
                <w:noProof/>
                <w:color w:val="000000" w:themeColor="text1"/>
                <w:position w:val="4"/>
                <w:lang w:val="en-US"/>
              </w:rPr>
              <w:t>Attributable to:</w:t>
            </w:r>
          </w:p>
        </w:tc>
        <w:tc>
          <w:tcPr>
            <w:tcW w:w="598" w:type="pct"/>
            <w:vAlign w:val="bottom"/>
          </w:tcPr>
          <w:p w14:paraId="79AB1E7F" w14:textId="77777777" w:rsidR="00012194" w:rsidRPr="00537128" w:rsidRDefault="00012194" w:rsidP="00012194">
            <w:pPr>
              <w:keepNext/>
              <w:keepLines/>
              <w:tabs>
                <w:tab w:val="decimal" w:pos="1202"/>
              </w:tabs>
              <w:spacing w:after="0" w:line="301" w:lineRule="exact"/>
              <w:rPr>
                <w:rFonts w:ascii="Calibri" w:eastAsia="Times New Roman" w:hAnsi="Calibri" w:cs="Calibri"/>
                <w:b/>
                <w:noProof/>
                <w:color w:val="000000" w:themeColor="text1"/>
                <w:position w:val="4"/>
                <w:u w:val="thick"/>
                <w:lang w:val="en-US"/>
              </w:rPr>
            </w:pPr>
          </w:p>
        </w:tc>
        <w:tc>
          <w:tcPr>
            <w:tcW w:w="895" w:type="pct"/>
            <w:vAlign w:val="bottom"/>
          </w:tcPr>
          <w:p w14:paraId="34BDEC8B" w14:textId="77777777" w:rsidR="00012194" w:rsidRPr="00537128" w:rsidRDefault="00012194" w:rsidP="00012194">
            <w:pPr>
              <w:keepNext/>
              <w:keepLines/>
              <w:spacing w:after="0" w:line="301" w:lineRule="exact"/>
              <w:jc w:val="right"/>
              <w:rPr>
                <w:rFonts w:ascii="Calibri" w:eastAsia="Times New Roman" w:hAnsi="Calibri" w:cs="Calibri"/>
                <w:b/>
                <w:noProof/>
                <w:color w:val="000000" w:themeColor="text1"/>
                <w:position w:val="4"/>
                <w:u w:val="thick"/>
                <w:lang w:val="en-US"/>
              </w:rPr>
            </w:pPr>
          </w:p>
        </w:tc>
        <w:tc>
          <w:tcPr>
            <w:tcW w:w="895" w:type="pct"/>
            <w:vAlign w:val="bottom"/>
          </w:tcPr>
          <w:p w14:paraId="75285474" w14:textId="77777777" w:rsidR="00012194" w:rsidRPr="00537128" w:rsidRDefault="00012194" w:rsidP="00012194">
            <w:pPr>
              <w:keepNext/>
              <w:keepLines/>
              <w:spacing w:after="0" w:line="301" w:lineRule="exact"/>
              <w:jc w:val="right"/>
              <w:rPr>
                <w:rFonts w:ascii="Calibri" w:eastAsia="Times New Roman" w:hAnsi="Calibri" w:cs="Calibri"/>
                <w:b/>
                <w:noProof/>
                <w:color w:val="000000" w:themeColor="text1"/>
                <w:position w:val="4"/>
                <w:u w:val="thick"/>
                <w:lang w:val="en-US"/>
              </w:rPr>
            </w:pPr>
          </w:p>
        </w:tc>
      </w:tr>
      <w:tr w:rsidR="00012194" w:rsidRPr="00537128" w14:paraId="636FCC47" w14:textId="77777777" w:rsidTr="00CE00C1">
        <w:trPr>
          <w:trHeight w:val="70"/>
        </w:trPr>
        <w:tc>
          <w:tcPr>
            <w:tcW w:w="2612" w:type="pct"/>
          </w:tcPr>
          <w:p w14:paraId="64EAC079" w14:textId="77777777" w:rsidR="00012194" w:rsidRPr="00537128" w:rsidRDefault="00012194" w:rsidP="00012194">
            <w:pPr>
              <w:keepNext/>
              <w:keepLines/>
              <w:tabs>
                <w:tab w:val="decimal" w:pos="1202"/>
              </w:tabs>
              <w:spacing w:after="0" w:line="240" w:lineRule="auto"/>
              <w:rPr>
                <w:rFonts w:ascii="Calibri" w:eastAsia="Times New Roman" w:hAnsi="Calibri" w:cs="Calibri"/>
                <w:b/>
                <w:noProof/>
                <w:color w:val="000000" w:themeColor="text1"/>
                <w:position w:val="4"/>
                <w:lang w:val="en-US"/>
              </w:rPr>
            </w:pPr>
            <w:r w:rsidRPr="00537128">
              <w:rPr>
                <w:rFonts w:ascii="Calibri" w:eastAsia="Times New Roman" w:hAnsi="Calibri" w:cs="Calibri"/>
                <w:b/>
                <w:noProof/>
                <w:color w:val="000000" w:themeColor="text1"/>
                <w:position w:val="4"/>
                <w:lang w:val="en-US"/>
              </w:rPr>
              <w:t>Owner of the Bank</w:t>
            </w:r>
          </w:p>
        </w:tc>
        <w:tc>
          <w:tcPr>
            <w:tcW w:w="598" w:type="pct"/>
            <w:vAlign w:val="bottom"/>
          </w:tcPr>
          <w:p w14:paraId="1CE6C3D1" w14:textId="77777777" w:rsidR="00012194" w:rsidRPr="00537128" w:rsidRDefault="00012194" w:rsidP="00012194">
            <w:pPr>
              <w:keepNext/>
              <w:keepLines/>
              <w:tabs>
                <w:tab w:val="decimal" w:pos="1202"/>
              </w:tabs>
              <w:spacing w:after="0" w:line="240" w:lineRule="auto"/>
              <w:rPr>
                <w:rFonts w:ascii="Calibri" w:eastAsia="Times New Roman" w:hAnsi="Calibri" w:cs="Calibri"/>
                <w:b/>
                <w:noProof/>
                <w:color w:val="000000" w:themeColor="text1"/>
                <w:position w:val="4"/>
                <w:u w:val="thick"/>
                <w:lang w:val="en-US"/>
              </w:rPr>
            </w:pPr>
          </w:p>
        </w:tc>
        <w:tc>
          <w:tcPr>
            <w:tcW w:w="895" w:type="pct"/>
            <w:tcBorders>
              <w:bottom w:val="single" w:sz="12" w:space="0" w:color="auto"/>
            </w:tcBorders>
            <w:vAlign w:val="bottom"/>
          </w:tcPr>
          <w:p w14:paraId="5BF2E4F1" w14:textId="3A5AEAE0" w:rsidR="00012194" w:rsidRPr="00537128" w:rsidRDefault="00012194" w:rsidP="00012194">
            <w:pPr>
              <w:keepNext/>
              <w:keepLines/>
              <w:spacing w:after="0" w:line="240" w:lineRule="auto"/>
              <w:jc w:val="right"/>
              <w:rPr>
                <w:rFonts w:ascii="Calibri" w:eastAsia="Times New Roman" w:hAnsi="Calibri" w:cs="Calibri"/>
                <w:b/>
                <w:noProof/>
                <w:color w:val="000000" w:themeColor="text1"/>
                <w:position w:val="4"/>
                <w:lang w:val="en-US"/>
              </w:rPr>
            </w:pPr>
            <w:r>
              <w:rPr>
                <w:rFonts w:eastAsia="Times New Roman" w:cs="Arial"/>
                <w:b/>
                <w:color w:val="000000" w:themeColor="text1"/>
                <w:position w:val="4"/>
              </w:rPr>
              <w:t>230,344</w:t>
            </w:r>
          </w:p>
        </w:tc>
        <w:tc>
          <w:tcPr>
            <w:tcW w:w="895" w:type="pct"/>
            <w:tcBorders>
              <w:bottom w:val="single" w:sz="12" w:space="0" w:color="auto"/>
            </w:tcBorders>
            <w:vAlign w:val="bottom"/>
          </w:tcPr>
          <w:p w14:paraId="1045DE5A" w14:textId="4298E8C4" w:rsidR="00012194" w:rsidRPr="00537128" w:rsidRDefault="00012194" w:rsidP="00012194">
            <w:pPr>
              <w:keepNext/>
              <w:keepLines/>
              <w:spacing w:after="0" w:line="240" w:lineRule="auto"/>
              <w:jc w:val="right"/>
              <w:rPr>
                <w:rFonts w:ascii="Calibri" w:eastAsia="Times New Roman" w:hAnsi="Calibri" w:cs="Calibri"/>
                <w:b/>
                <w:noProof/>
                <w:color w:val="000000" w:themeColor="text1"/>
                <w:position w:val="4"/>
                <w:lang w:val="en-US"/>
              </w:rPr>
            </w:pPr>
            <w:r>
              <w:rPr>
                <w:rFonts w:eastAsia="Times New Roman" w:cs="Arial"/>
                <w:b/>
                <w:color w:val="000000" w:themeColor="text1"/>
                <w:position w:val="4"/>
              </w:rPr>
              <w:t>87,800</w:t>
            </w:r>
          </w:p>
        </w:tc>
      </w:tr>
    </w:tbl>
    <w:p w14:paraId="213BBA0A"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p w14:paraId="0B5CE4BB" w14:textId="77777777" w:rsidR="00A678F1" w:rsidRPr="00537128" w:rsidRDefault="00A678F1" w:rsidP="00BA3E05">
      <w:pPr>
        <w:spacing w:after="0" w:line="240" w:lineRule="auto"/>
        <w:rPr>
          <w:rFonts w:cs="Arial"/>
          <w:noProof/>
          <w:color w:val="000000" w:themeColor="text1"/>
          <w:lang w:val="en-US"/>
        </w:rPr>
      </w:pPr>
    </w:p>
    <w:p w14:paraId="05BF9E46" w14:textId="77777777" w:rsidR="006D20DD" w:rsidRPr="00537128" w:rsidRDefault="006D20DD" w:rsidP="00BA3E05">
      <w:pPr>
        <w:spacing w:after="0" w:line="240" w:lineRule="auto"/>
        <w:rPr>
          <w:rFonts w:cs="Arial"/>
          <w:noProof/>
          <w:color w:val="000000" w:themeColor="text1"/>
          <w:lang w:val="en-US"/>
        </w:rPr>
      </w:pPr>
      <w:r w:rsidRPr="00537128">
        <w:rPr>
          <w:rFonts w:cs="Arial"/>
          <w:noProof/>
          <w:color w:val="000000" w:themeColor="text1"/>
          <w:lang w:val="en-US"/>
        </w:rPr>
        <w:t xml:space="preserve">The accompanying accounting policies and notes are an integral part of these financial statements. </w:t>
      </w:r>
    </w:p>
    <w:p w14:paraId="232789B8"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sectPr w:rsidR="006D20DD" w:rsidRPr="00537128">
          <w:headerReference w:type="default" r:id="rId23"/>
          <w:pgSz w:w="11906" w:h="16838"/>
          <w:pgMar w:top="1417" w:right="1417" w:bottom="1417" w:left="1417" w:header="708" w:footer="708" w:gutter="0"/>
          <w:cols w:space="708"/>
          <w:docGrid w:linePitch="360"/>
        </w:sectPr>
      </w:pPr>
    </w:p>
    <w:p w14:paraId="3EDB2AB7"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p w14:paraId="79028445"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Y="2793"/>
        <w:tblW w:w="4843" w:type="pct"/>
        <w:tblLayout w:type="fixed"/>
        <w:tblCellMar>
          <w:left w:w="119" w:type="dxa"/>
          <w:right w:w="119" w:type="dxa"/>
        </w:tblCellMar>
        <w:tblLook w:val="0000" w:firstRow="0" w:lastRow="0" w:firstColumn="0" w:lastColumn="0" w:noHBand="0" w:noVBand="0"/>
      </w:tblPr>
      <w:tblGrid>
        <w:gridCol w:w="5859"/>
        <w:gridCol w:w="1466"/>
        <w:gridCol w:w="1462"/>
      </w:tblGrid>
      <w:tr w:rsidR="00CE00C1" w:rsidRPr="00537128" w14:paraId="1CEBC149" w14:textId="77777777" w:rsidTr="00CE00C1">
        <w:trPr>
          <w:trHeight w:val="199"/>
        </w:trPr>
        <w:tc>
          <w:tcPr>
            <w:tcW w:w="3334" w:type="pct"/>
            <w:vAlign w:val="center"/>
          </w:tcPr>
          <w:p w14:paraId="29503EAF" w14:textId="77777777" w:rsidR="00CE00C1" w:rsidRPr="00537128" w:rsidRDefault="00CE00C1" w:rsidP="00CE00C1">
            <w:pPr>
              <w:tabs>
                <w:tab w:val="right" w:pos="1202"/>
              </w:tabs>
              <w:spacing w:after="0" w:line="301" w:lineRule="exact"/>
              <w:jc w:val="center"/>
              <w:outlineLvl w:val="0"/>
              <w:rPr>
                <w:rFonts w:eastAsia="Times New Roman" w:cs="Arial"/>
                <w:b/>
                <w:bCs/>
                <w:noProof/>
                <w:color w:val="000000" w:themeColor="text1"/>
                <w:sz w:val="20"/>
                <w:szCs w:val="20"/>
                <w:lang w:val="en-US"/>
              </w:rPr>
            </w:pPr>
          </w:p>
        </w:tc>
        <w:tc>
          <w:tcPr>
            <w:tcW w:w="834" w:type="pct"/>
            <w:vAlign w:val="bottom"/>
          </w:tcPr>
          <w:p w14:paraId="06817967" w14:textId="7CED9B77" w:rsidR="00CE00C1" w:rsidRPr="00537128" w:rsidRDefault="00CE00C1" w:rsidP="00CE00C1">
            <w:pPr>
              <w:spacing w:after="0" w:line="301" w:lineRule="exact"/>
              <w:jc w:val="right"/>
              <w:outlineLvl w:val="0"/>
              <w:rPr>
                <w:rFonts w:eastAsia="Times New Roman" w:cs="Arial"/>
                <w:b/>
                <w:bCs/>
                <w:noProof/>
                <w:color w:val="000000" w:themeColor="text1"/>
                <w:sz w:val="20"/>
                <w:szCs w:val="20"/>
                <w:lang w:val="en-US"/>
              </w:rPr>
            </w:pPr>
            <w:r w:rsidRPr="00537128">
              <w:rPr>
                <w:rFonts w:eastAsia="Times New Roman" w:cs="Arial"/>
                <w:b/>
                <w:bCs/>
                <w:noProof/>
                <w:color w:val="000000" w:themeColor="text1"/>
                <w:sz w:val="20"/>
                <w:szCs w:val="20"/>
                <w:lang w:val="en-US"/>
              </w:rPr>
              <w:t>202</w:t>
            </w:r>
            <w:r w:rsidR="00CA7301">
              <w:rPr>
                <w:rFonts w:eastAsia="Times New Roman" w:cs="Arial"/>
                <w:b/>
                <w:bCs/>
                <w:noProof/>
                <w:color w:val="000000" w:themeColor="text1"/>
                <w:sz w:val="20"/>
                <w:szCs w:val="20"/>
                <w:lang w:val="en-US"/>
              </w:rPr>
              <w:t>2</w:t>
            </w:r>
          </w:p>
        </w:tc>
        <w:tc>
          <w:tcPr>
            <w:tcW w:w="832" w:type="pct"/>
            <w:vAlign w:val="bottom"/>
          </w:tcPr>
          <w:p w14:paraId="301B2874" w14:textId="4C64B4E0" w:rsidR="00CE00C1" w:rsidRPr="00537128" w:rsidDel="00077D3D" w:rsidRDefault="00CE00C1" w:rsidP="00CE00C1">
            <w:pPr>
              <w:spacing w:after="0" w:line="301" w:lineRule="exact"/>
              <w:jc w:val="right"/>
              <w:outlineLvl w:val="0"/>
              <w:rPr>
                <w:rFonts w:eastAsia="Times New Roman" w:cs="Arial"/>
                <w:b/>
                <w:bCs/>
                <w:noProof/>
                <w:color w:val="000000" w:themeColor="text1"/>
                <w:sz w:val="20"/>
                <w:szCs w:val="20"/>
                <w:lang w:val="en-US"/>
              </w:rPr>
            </w:pPr>
            <w:bookmarkStart w:id="119" w:name="_Toc4057304"/>
            <w:bookmarkStart w:id="120" w:name="_Toc4057305"/>
            <w:r w:rsidRPr="00537128">
              <w:rPr>
                <w:rFonts w:eastAsia="Times New Roman" w:cs="Arial"/>
                <w:b/>
                <w:bCs/>
                <w:noProof/>
                <w:color w:val="000000" w:themeColor="text1"/>
                <w:sz w:val="20"/>
                <w:szCs w:val="20"/>
                <w:lang w:val="en-US"/>
              </w:rPr>
              <w:t>20</w:t>
            </w:r>
            <w:bookmarkEnd w:id="119"/>
            <w:bookmarkEnd w:id="120"/>
            <w:r w:rsidRPr="00537128">
              <w:rPr>
                <w:rFonts w:eastAsia="Times New Roman" w:cs="Arial"/>
                <w:b/>
                <w:bCs/>
                <w:noProof/>
                <w:color w:val="000000" w:themeColor="text1"/>
                <w:sz w:val="20"/>
                <w:szCs w:val="20"/>
                <w:lang w:val="en-US"/>
              </w:rPr>
              <w:t>2</w:t>
            </w:r>
            <w:r w:rsidR="00CA7301">
              <w:rPr>
                <w:rFonts w:eastAsia="Times New Roman" w:cs="Arial"/>
                <w:b/>
                <w:bCs/>
                <w:noProof/>
                <w:color w:val="000000" w:themeColor="text1"/>
                <w:sz w:val="20"/>
                <w:szCs w:val="20"/>
                <w:lang w:val="en-US"/>
              </w:rPr>
              <w:t>1</w:t>
            </w:r>
          </w:p>
        </w:tc>
      </w:tr>
      <w:tr w:rsidR="00CE00C1" w:rsidRPr="00537128" w14:paraId="2EEB0255" w14:textId="77777777" w:rsidTr="00CE00C1">
        <w:trPr>
          <w:trHeight w:val="128"/>
        </w:trPr>
        <w:tc>
          <w:tcPr>
            <w:tcW w:w="3334" w:type="pct"/>
            <w:vAlign w:val="center"/>
          </w:tcPr>
          <w:p w14:paraId="1B62CA84" w14:textId="77777777" w:rsidR="00CE00C1" w:rsidRPr="00537128" w:rsidRDefault="00CE00C1" w:rsidP="00CE00C1">
            <w:pPr>
              <w:tabs>
                <w:tab w:val="right" w:pos="1202"/>
              </w:tabs>
              <w:spacing w:after="0" w:line="301" w:lineRule="exact"/>
              <w:jc w:val="center"/>
              <w:outlineLvl w:val="0"/>
              <w:rPr>
                <w:rFonts w:eastAsia="Times New Roman" w:cs="Arial"/>
                <w:b/>
                <w:bCs/>
                <w:noProof/>
                <w:color w:val="000000" w:themeColor="text1"/>
                <w:sz w:val="20"/>
                <w:szCs w:val="20"/>
                <w:lang w:val="en-US"/>
              </w:rPr>
            </w:pPr>
          </w:p>
        </w:tc>
        <w:tc>
          <w:tcPr>
            <w:tcW w:w="834" w:type="pct"/>
            <w:vAlign w:val="bottom"/>
          </w:tcPr>
          <w:p w14:paraId="37FFD7E3" w14:textId="77777777" w:rsidR="00CE00C1" w:rsidRPr="00537128" w:rsidRDefault="00CE00C1" w:rsidP="00CE00C1">
            <w:pPr>
              <w:spacing w:after="0" w:line="301" w:lineRule="exact"/>
              <w:jc w:val="right"/>
              <w:outlineLvl w:val="0"/>
              <w:rPr>
                <w:rFonts w:eastAsia="Times New Roman" w:cs="Arial"/>
                <w:b/>
                <w:bCs/>
                <w:noProof/>
                <w:color w:val="000000" w:themeColor="text1"/>
                <w:sz w:val="20"/>
                <w:szCs w:val="20"/>
                <w:lang w:val="en-US"/>
              </w:rPr>
            </w:pPr>
            <w:bookmarkStart w:id="121" w:name="_Toc4057306"/>
            <w:r w:rsidRPr="00537128">
              <w:rPr>
                <w:rFonts w:eastAsia="Times New Roman" w:cs="Arial"/>
                <w:b/>
                <w:bCs/>
                <w:noProof/>
                <w:color w:val="000000" w:themeColor="text1"/>
                <w:sz w:val="20"/>
                <w:szCs w:val="20"/>
                <w:lang w:val="en-US"/>
              </w:rPr>
              <w:t>HRK ‘000</w:t>
            </w:r>
            <w:bookmarkEnd w:id="121"/>
            <w:r w:rsidRPr="00537128">
              <w:rPr>
                <w:rFonts w:eastAsia="Times New Roman" w:cs="Arial"/>
                <w:b/>
                <w:bCs/>
                <w:noProof/>
                <w:color w:val="000000" w:themeColor="text1"/>
                <w:sz w:val="20"/>
                <w:szCs w:val="20"/>
                <w:lang w:val="en-US"/>
              </w:rPr>
              <w:t xml:space="preserve"> </w:t>
            </w:r>
          </w:p>
        </w:tc>
        <w:tc>
          <w:tcPr>
            <w:tcW w:w="832" w:type="pct"/>
            <w:vAlign w:val="bottom"/>
          </w:tcPr>
          <w:p w14:paraId="6D09E033" w14:textId="77777777" w:rsidR="00CE00C1" w:rsidRPr="00537128" w:rsidDel="00077D3D" w:rsidRDefault="00CE00C1" w:rsidP="00CE00C1">
            <w:pPr>
              <w:spacing w:after="0" w:line="301" w:lineRule="exact"/>
              <w:jc w:val="right"/>
              <w:outlineLvl w:val="0"/>
              <w:rPr>
                <w:rFonts w:eastAsia="Times New Roman" w:cs="Arial"/>
                <w:b/>
                <w:bCs/>
                <w:noProof/>
                <w:color w:val="000000" w:themeColor="text1"/>
                <w:sz w:val="20"/>
                <w:szCs w:val="20"/>
                <w:lang w:val="en-US"/>
              </w:rPr>
            </w:pPr>
            <w:bookmarkStart w:id="122" w:name="_Toc4057307"/>
            <w:r w:rsidRPr="00537128">
              <w:rPr>
                <w:rFonts w:eastAsia="Times New Roman" w:cs="Arial"/>
                <w:b/>
                <w:bCs/>
                <w:noProof/>
                <w:color w:val="000000" w:themeColor="text1"/>
                <w:sz w:val="20"/>
                <w:szCs w:val="20"/>
                <w:lang w:val="en-US"/>
              </w:rPr>
              <w:t>HRK ‘000</w:t>
            </w:r>
            <w:bookmarkEnd w:id="122"/>
            <w:r w:rsidRPr="00537128">
              <w:rPr>
                <w:rFonts w:eastAsia="Times New Roman" w:cs="Arial"/>
                <w:b/>
                <w:bCs/>
                <w:noProof/>
                <w:color w:val="000000" w:themeColor="text1"/>
                <w:sz w:val="20"/>
                <w:szCs w:val="20"/>
                <w:lang w:val="en-US"/>
              </w:rPr>
              <w:t xml:space="preserve"> </w:t>
            </w:r>
          </w:p>
        </w:tc>
      </w:tr>
      <w:tr w:rsidR="00CE00C1" w:rsidRPr="00537128" w14:paraId="292BCCC3" w14:textId="77777777" w:rsidTr="00CE00C1">
        <w:trPr>
          <w:trHeight w:val="128"/>
        </w:trPr>
        <w:tc>
          <w:tcPr>
            <w:tcW w:w="3334" w:type="pct"/>
            <w:vAlign w:val="center"/>
          </w:tcPr>
          <w:p w14:paraId="08C54FD3" w14:textId="77777777" w:rsidR="00CE00C1" w:rsidRPr="00537128" w:rsidRDefault="00CE00C1" w:rsidP="00CE00C1">
            <w:pPr>
              <w:tabs>
                <w:tab w:val="right" w:pos="1202"/>
              </w:tabs>
              <w:spacing w:after="0" w:line="301" w:lineRule="exact"/>
              <w:jc w:val="center"/>
              <w:outlineLvl w:val="0"/>
              <w:rPr>
                <w:rFonts w:eastAsia="Times New Roman" w:cs="Arial"/>
                <w:b/>
                <w:bCs/>
                <w:noProof/>
                <w:color w:val="000000" w:themeColor="text1"/>
                <w:sz w:val="20"/>
                <w:szCs w:val="20"/>
                <w:lang w:val="en-US"/>
              </w:rPr>
            </w:pPr>
          </w:p>
        </w:tc>
        <w:tc>
          <w:tcPr>
            <w:tcW w:w="834" w:type="pct"/>
          </w:tcPr>
          <w:p w14:paraId="1493F612" w14:textId="77777777" w:rsidR="00CE00C1" w:rsidRPr="00537128" w:rsidRDefault="00CE00C1" w:rsidP="00CE00C1">
            <w:pPr>
              <w:spacing w:after="0" w:line="301" w:lineRule="exact"/>
              <w:jc w:val="right"/>
              <w:outlineLvl w:val="0"/>
              <w:rPr>
                <w:rFonts w:eastAsia="Times New Roman" w:cs="Arial"/>
                <w:b/>
                <w:bCs/>
                <w:noProof/>
                <w:color w:val="000000" w:themeColor="text1"/>
                <w:sz w:val="20"/>
                <w:szCs w:val="20"/>
                <w:lang w:val="en-US"/>
              </w:rPr>
            </w:pPr>
          </w:p>
        </w:tc>
        <w:tc>
          <w:tcPr>
            <w:tcW w:w="832" w:type="pct"/>
          </w:tcPr>
          <w:p w14:paraId="0B53CEA8" w14:textId="77777777" w:rsidR="00CE00C1" w:rsidRPr="00537128" w:rsidRDefault="00CE00C1" w:rsidP="00CE00C1">
            <w:pPr>
              <w:spacing w:after="0" w:line="301" w:lineRule="exact"/>
              <w:jc w:val="right"/>
              <w:outlineLvl w:val="0"/>
              <w:rPr>
                <w:rFonts w:eastAsia="Times New Roman" w:cs="Arial"/>
                <w:b/>
                <w:bCs/>
                <w:noProof/>
                <w:color w:val="000000" w:themeColor="text1"/>
                <w:sz w:val="20"/>
                <w:szCs w:val="20"/>
                <w:lang w:val="en-US"/>
              </w:rPr>
            </w:pPr>
          </w:p>
        </w:tc>
      </w:tr>
      <w:tr w:rsidR="00CD2D87" w:rsidRPr="00537128" w14:paraId="454C796C" w14:textId="77777777" w:rsidTr="00CE00C1">
        <w:trPr>
          <w:trHeight w:val="127"/>
        </w:trPr>
        <w:tc>
          <w:tcPr>
            <w:tcW w:w="3334" w:type="pct"/>
          </w:tcPr>
          <w:p w14:paraId="105B247E" w14:textId="7C8F6C3E" w:rsidR="00CD2D87" w:rsidRPr="00537128" w:rsidRDefault="00CD2D87" w:rsidP="00CD2D87">
            <w:pPr>
              <w:tabs>
                <w:tab w:val="right" w:pos="1202"/>
              </w:tabs>
              <w:spacing w:after="0" w:line="340" w:lineRule="exact"/>
              <w:outlineLvl w:val="0"/>
              <w:rPr>
                <w:rFonts w:eastAsia="Times New Roman" w:cs="Arial"/>
                <w:b/>
                <w:bCs/>
                <w:noProof/>
                <w:color w:val="000000" w:themeColor="text1"/>
                <w:sz w:val="20"/>
                <w:szCs w:val="20"/>
                <w:lang w:val="en-US"/>
              </w:rPr>
            </w:pPr>
            <w:bookmarkStart w:id="123" w:name="_Toc4057308"/>
            <w:r w:rsidRPr="00537128">
              <w:rPr>
                <w:rFonts w:eastAsia="Times New Roman" w:cs="Arial"/>
                <w:b/>
                <w:bCs/>
                <w:noProof/>
                <w:color w:val="000000" w:themeColor="text1"/>
                <w:sz w:val="20"/>
                <w:szCs w:val="20"/>
                <w:lang w:val="en-US"/>
              </w:rPr>
              <w:t xml:space="preserve">Profit for the </w:t>
            </w:r>
            <w:r w:rsidR="003C1C3A">
              <w:rPr>
                <w:rFonts w:eastAsia="Times New Roman" w:cs="Arial"/>
                <w:b/>
                <w:bCs/>
                <w:noProof/>
                <w:color w:val="000000" w:themeColor="text1"/>
                <w:sz w:val="20"/>
                <w:szCs w:val="20"/>
                <w:lang w:val="en-US"/>
              </w:rPr>
              <w:t>period</w:t>
            </w:r>
            <w:bookmarkEnd w:id="123"/>
          </w:p>
        </w:tc>
        <w:tc>
          <w:tcPr>
            <w:tcW w:w="834" w:type="pct"/>
            <w:tcBorders>
              <w:bottom w:val="single" w:sz="12" w:space="0" w:color="auto"/>
            </w:tcBorders>
            <w:vAlign w:val="center"/>
          </w:tcPr>
          <w:p w14:paraId="1393AC79" w14:textId="324FFC68" w:rsidR="00CD2D87" w:rsidRPr="00537128" w:rsidRDefault="00CD2D87" w:rsidP="00CD2D87">
            <w:pPr>
              <w:tabs>
                <w:tab w:val="right" w:pos="1202"/>
              </w:tabs>
              <w:spacing w:after="0" w:line="340" w:lineRule="exact"/>
              <w:jc w:val="right"/>
              <w:outlineLvl w:val="0"/>
              <w:rPr>
                <w:rFonts w:eastAsia="Times New Roman" w:cs="Arial"/>
                <w:b/>
                <w:bCs/>
                <w:noProof/>
                <w:color w:val="000000" w:themeColor="text1"/>
                <w:sz w:val="20"/>
                <w:szCs w:val="20"/>
                <w:lang w:val="en-US"/>
              </w:rPr>
            </w:pPr>
            <w:r>
              <w:rPr>
                <w:rFonts w:eastAsia="Times New Roman" w:cs="Arial"/>
                <w:b/>
                <w:bCs/>
                <w:color w:val="000000" w:themeColor="text1"/>
                <w:sz w:val="20"/>
                <w:szCs w:val="20"/>
              </w:rPr>
              <w:t>230</w:t>
            </w:r>
            <w:r w:rsidR="00241915">
              <w:rPr>
                <w:rFonts w:eastAsia="Times New Roman" w:cs="Arial"/>
                <w:b/>
                <w:bCs/>
                <w:color w:val="000000" w:themeColor="text1"/>
                <w:sz w:val="20"/>
                <w:szCs w:val="20"/>
              </w:rPr>
              <w:t>,</w:t>
            </w:r>
            <w:r>
              <w:rPr>
                <w:rFonts w:eastAsia="Times New Roman" w:cs="Arial"/>
                <w:b/>
                <w:bCs/>
                <w:color w:val="000000" w:themeColor="text1"/>
                <w:sz w:val="20"/>
                <w:szCs w:val="20"/>
              </w:rPr>
              <w:t>344</w:t>
            </w:r>
          </w:p>
        </w:tc>
        <w:tc>
          <w:tcPr>
            <w:tcW w:w="832" w:type="pct"/>
            <w:tcBorders>
              <w:bottom w:val="single" w:sz="12" w:space="0" w:color="auto"/>
            </w:tcBorders>
            <w:vAlign w:val="center"/>
          </w:tcPr>
          <w:p w14:paraId="234C685D" w14:textId="28499404" w:rsidR="00CD2D87" w:rsidRPr="00537128" w:rsidRDefault="00CD2D87" w:rsidP="00CD2D87">
            <w:pPr>
              <w:tabs>
                <w:tab w:val="right" w:pos="1202"/>
              </w:tabs>
              <w:spacing w:after="0" w:line="340" w:lineRule="exact"/>
              <w:jc w:val="right"/>
              <w:outlineLvl w:val="0"/>
              <w:rPr>
                <w:rFonts w:eastAsia="Times New Roman" w:cs="Arial"/>
                <w:b/>
                <w:bCs/>
                <w:noProof/>
                <w:color w:val="000000" w:themeColor="text1"/>
                <w:sz w:val="20"/>
                <w:szCs w:val="20"/>
                <w:lang w:val="en-US"/>
              </w:rPr>
            </w:pPr>
            <w:r>
              <w:rPr>
                <w:rFonts w:eastAsia="Times New Roman" w:cs="Arial"/>
                <w:b/>
                <w:bCs/>
                <w:color w:val="000000" w:themeColor="text1"/>
                <w:sz w:val="20"/>
                <w:szCs w:val="20"/>
              </w:rPr>
              <w:t>87,800</w:t>
            </w:r>
          </w:p>
        </w:tc>
      </w:tr>
      <w:tr w:rsidR="00CD2D87" w:rsidRPr="00537128" w14:paraId="297ED624" w14:textId="77777777" w:rsidTr="00CE00C1">
        <w:trPr>
          <w:trHeight w:val="339"/>
        </w:trPr>
        <w:tc>
          <w:tcPr>
            <w:tcW w:w="3334" w:type="pct"/>
            <w:vAlign w:val="center"/>
          </w:tcPr>
          <w:p w14:paraId="21DB0292" w14:textId="77777777" w:rsidR="00CD2D87" w:rsidRPr="00537128" w:rsidRDefault="00CD2D87" w:rsidP="00CD2D87">
            <w:pPr>
              <w:tabs>
                <w:tab w:val="right" w:pos="1202"/>
              </w:tabs>
              <w:spacing w:after="0" w:line="280" w:lineRule="exact"/>
              <w:outlineLvl w:val="0"/>
              <w:rPr>
                <w:rFonts w:cs="Arial"/>
                <w:b/>
                <w:bCs/>
                <w:noProof/>
                <w:color w:val="000000" w:themeColor="text1"/>
                <w:sz w:val="20"/>
                <w:szCs w:val="20"/>
                <w:lang w:val="en-US"/>
              </w:rPr>
            </w:pPr>
            <w:bookmarkStart w:id="124" w:name="_Toc4057311"/>
            <w:r w:rsidRPr="00537128">
              <w:rPr>
                <w:rFonts w:cs="Arial"/>
                <w:b/>
                <w:bCs/>
                <w:noProof/>
                <w:color w:val="000000" w:themeColor="text1"/>
                <w:sz w:val="20"/>
                <w:szCs w:val="20"/>
                <w:lang w:val="en-US"/>
              </w:rPr>
              <w:t>Other comprehensive income</w:t>
            </w:r>
            <w:bookmarkEnd w:id="124"/>
          </w:p>
        </w:tc>
        <w:tc>
          <w:tcPr>
            <w:tcW w:w="834" w:type="pct"/>
            <w:vAlign w:val="center"/>
          </w:tcPr>
          <w:p w14:paraId="69FE68D0" w14:textId="77777777" w:rsidR="00CD2D87" w:rsidRPr="00537128" w:rsidRDefault="00CD2D87" w:rsidP="00CD2D87">
            <w:pPr>
              <w:keepNext/>
              <w:keepLines/>
              <w:spacing w:after="0" w:line="100" w:lineRule="exact"/>
              <w:jc w:val="right"/>
              <w:rPr>
                <w:rFonts w:eastAsia="Times New Roman" w:cs="Arial"/>
                <w:b/>
                <w:noProof/>
                <w:color w:val="000000" w:themeColor="text1"/>
                <w:position w:val="4"/>
                <w:sz w:val="20"/>
                <w:szCs w:val="20"/>
                <w:u w:val="thick"/>
                <w:lang w:val="en-US"/>
              </w:rPr>
            </w:pPr>
          </w:p>
        </w:tc>
        <w:tc>
          <w:tcPr>
            <w:tcW w:w="832" w:type="pct"/>
            <w:vAlign w:val="center"/>
          </w:tcPr>
          <w:p w14:paraId="6007E23B" w14:textId="77777777" w:rsidR="00CD2D87" w:rsidRPr="00537128" w:rsidRDefault="00CD2D87" w:rsidP="00CD2D87">
            <w:pPr>
              <w:keepNext/>
              <w:keepLines/>
              <w:spacing w:after="0" w:line="100" w:lineRule="exact"/>
              <w:jc w:val="right"/>
              <w:rPr>
                <w:rFonts w:eastAsia="Times New Roman" w:cs="Arial"/>
                <w:b/>
                <w:noProof/>
                <w:color w:val="000000" w:themeColor="text1"/>
                <w:position w:val="4"/>
                <w:sz w:val="20"/>
                <w:szCs w:val="20"/>
                <w:u w:val="thick"/>
                <w:lang w:val="en-US"/>
              </w:rPr>
            </w:pPr>
          </w:p>
        </w:tc>
      </w:tr>
      <w:tr w:rsidR="00CD2D87" w:rsidRPr="00537128" w14:paraId="617B8058" w14:textId="77777777" w:rsidTr="00CE00C1">
        <w:trPr>
          <w:trHeight w:val="413"/>
        </w:trPr>
        <w:tc>
          <w:tcPr>
            <w:tcW w:w="3334" w:type="pct"/>
            <w:vAlign w:val="bottom"/>
          </w:tcPr>
          <w:p w14:paraId="01E9DB5A" w14:textId="77777777" w:rsidR="00CD2D87" w:rsidRPr="00537128" w:rsidRDefault="00CD2D87" w:rsidP="00CD2D87">
            <w:pPr>
              <w:tabs>
                <w:tab w:val="right" w:pos="1202"/>
              </w:tabs>
              <w:spacing w:after="0" w:line="340" w:lineRule="exact"/>
              <w:outlineLvl w:val="0"/>
              <w:rPr>
                <w:rFonts w:eastAsia="Times New Roman" w:cs="Arial"/>
                <w:b/>
                <w:bCs/>
                <w:noProof/>
                <w:color w:val="000000" w:themeColor="text1"/>
                <w:sz w:val="20"/>
                <w:szCs w:val="20"/>
                <w:lang w:val="en-US"/>
              </w:rPr>
            </w:pPr>
            <w:bookmarkStart w:id="125" w:name="_Toc4057319"/>
            <w:r w:rsidRPr="00537128">
              <w:rPr>
                <w:rFonts w:eastAsia="Times New Roman" w:cs="Arial"/>
                <w:b/>
                <w:bCs/>
                <w:noProof/>
                <w:color w:val="000000" w:themeColor="text1"/>
                <w:sz w:val="20"/>
                <w:szCs w:val="20"/>
                <w:lang w:val="en-US"/>
              </w:rPr>
              <w:t>Items that may be reclassified subsequently to profit or loss:</w:t>
            </w:r>
            <w:bookmarkEnd w:id="125"/>
          </w:p>
        </w:tc>
        <w:tc>
          <w:tcPr>
            <w:tcW w:w="834" w:type="pct"/>
            <w:vAlign w:val="center"/>
          </w:tcPr>
          <w:p w14:paraId="0390CEFC" w14:textId="77777777" w:rsidR="00CD2D87" w:rsidRPr="00537128" w:rsidRDefault="00CD2D87" w:rsidP="00CD2D87">
            <w:pPr>
              <w:tabs>
                <w:tab w:val="right" w:pos="1202"/>
              </w:tabs>
              <w:spacing w:after="0" w:line="340" w:lineRule="exact"/>
              <w:jc w:val="right"/>
              <w:outlineLvl w:val="0"/>
              <w:rPr>
                <w:rFonts w:eastAsia="Times New Roman" w:cs="Arial"/>
                <w:b/>
                <w:bCs/>
                <w:noProof/>
                <w:color w:val="000000" w:themeColor="text1"/>
                <w:sz w:val="20"/>
                <w:szCs w:val="20"/>
                <w:lang w:val="en-US"/>
              </w:rPr>
            </w:pPr>
          </w:p>
        </w:tc>
        <w:tc>
          <w:tcPr>
            <w:tcW w:w="832" w:type="pct"/>
            <w:vAlign w:val="center"/>
          </w:tcPr>
          <w:p w14:paraId="6561515E" w14:textId="77777777" w:rsidR="00CD2D87" w:rsidRPr="00537128" w:rsidRDefault="00CD2D87" w:rsidP="00CD2D87">
            <w:pPr>
              <w:tabs>
                <w:tab w:val="right" w:pos="1202"/>
              </w:tabs>
              <w:spacing w:after="0" w:line="340" w:lineRule="exact"/>
              <w:jc w:val="right"/>
              <w:outlineLvl w:val="0"/>
              <w:rPr>
                <w:rFonts w:eastAsia="Times New Roman" w:cs="Arial"/>
                <w:b/>
                <w:bCs/>
                <w:noProof/>
                <w:color w:val="000000" w:themeColor="text1"/>
                <w:sz w:val="20"/>
                <w:szCs w:val="20"/>
                <w:lang w:val="en-US"/>
              </w:rPr>
            </w:pPr>
          </w:p>
        </w:tc>
      </w:tr>
      <w:tr w:rsidR="00CD2D87" w:rsidRPr="00537128" w14:paraId="1511616C" w14:textId="77777777" w:rsidTr="00CE00C1">
        <w:trPr>
          <w:trHeight w:val="160"/>
        </w:trPr>
        <w:tc>
          <w:tcPr>
            <w:tcW w:w="3334" w:type="pct"/>
            <w:vAlign w:val="bottom"/>
          </w:tcPr>
          <w:p w14:paraId="59F78E87" w14:textId="77777777" w:rsidR="00CD2D87" w:rsidRPr="00537128" w:rsidRDefault="00CD2D87" w:rsidP="00CD2D87">
            <w:pPr>
              <w:tabs>
                <w:tab w:val="right" w:pos="1202"/>
              </w:tabs>
              <w:spacing w:after="0" w:line="340" w:lineRule="exact"/>
              <w:outlineLvl w:val="0"/>
              <w:rPr>
                <w:rFonts w:eastAsia="Times New Roman" w:cs="Arial"/>
                <w:b/>
                <w:bCs/>
                <w:noProof/>
                <w:color w:val="000000" w:themeColor="text1"/>
                <w:sz w:val="20"/>
                <w:szCs w:val="20"/>
                <w:lang w:val="en-US"/>
              </w:rPr>
            </w:pPr>
            <w:bookmarkStart w:id="126" w:name="_Toc4057320"/>
            <w:r w:rsidRPr="00537128">
              <w:rPr>
                <w:rFonts w:eastAsia="Times New Roman" w:cs="Arial"/>
                <w:bCs/>
                <w:noProof/>
                <w:color w:val="000000" w:themeColor="text1"/>
                <w:sz w:val="20"/>
                <w:szCs w:val="20"/>
                <w:lang w:val="en-US"/>
              </w:rPr>
              <w:t>Net changes in financial assets at fair value through other comprehensive income</w:t>
            </w:r>
            <w:bookmarkEnd w:id="126"/>
          </w:p>
        </w:tc>
        <w:tc>
          <w:tcPr>
            <w:tcW w:w="834" w:type="pct"/>
            <w:tcBorders>
              <w:top w:val="nil"/>
              <w:left w:val="nil"/>
              <w:bottom w:val="nil"/>
              <w:right w:val="nil"/>
            </w:tcBorders>
            <w:shd w:val="clear" w:color="auto" w:fill="auto"/>
            <w:vAlign w:val="bottom"/>
          </w:tcPr>
          <w:p w14:paraId="0923B3BA" w14:textId="3CF469A5" w:rsidR="00CD2D87" w:rsidRPr="00537128" w:rsidRDefault="00CD2D87" w:rsidP="00CD2D87">
            <w:pPr>
              <w:tabs>
                <w:tab w:val="right" w:pos="1202"/>
              </w:tabs>
              <w:spacing w:after="0" w:line="340" w:lineRule="exact"/>
              <w:jc w:val="right"/>
              <w:outlineLvl w:val="0"/>
              <w:rPr>
                <w:rFonts w:eastAsia="Times New Roman" w:cs="Arial"/>
                <w:bCs/>
                <w:noProof/>
                <w:color w:val="000000" w:themeColor="text1"/>
                <w:sz w:val="20"/>
                <w:szCs w:val="20"/>
                <w:lang w:val="en-US"/>
              </w:rPr>
            </w:pPr>
            <w:r>
              <w:rPr>
                <w:rFonts w:eastAsia="Times New Roman" w:cs="Arial"/>
                <w:bCs/>
                <w:color w:val="000000" w:themeColor="text1"/>
                <w:sz w:val="20"/>
                <w:szCs w:val="20"/>
              </w:rPr>
              <w:t>(25</w:t>
            </w:r>
            <w:r w:rsidR="00241915">
              <w:rPr>
                <w:rFonts w:eastAsia="Times New Roman" w:cs="Arial"/>
                <w:bCs/>
                <w:color w:val="000000" w:themeColor="text1"/>
                <w:sz w:val="20"/>
                <w:szCs w:val="20"/>
              </w:rPr>
              <w:t>,</w:t>
            </w:r>
            <w:r>
              <w:rPr>
                <w:rFonts w:eastAsia="Times New Roman" w:cs="Arial"/>
                <w:bCs/>
                <w:color w:val="000000" w:themeColor="text1"/>
                <w:sz w:val="20"/>
                <w:szCs w:val="20"/>
              </w:rPr>
              <w:t>925)</w:t>
            </w:r>
          </w:p>
        </w:tc>
        <w:tc>
          <w:tcPr>
            <w:tcW w:w="832" w:type="pct"/>
            <w:tcBorders>
              <w:top w:val="nil"/>
              <w:left w:val="nil"/>
              <w:bottom w:val="nil"/>
              <w:right w:val="nil"/>
            </w:tcBorders>
            <w:shd w:val="clear" w:color="auto" w:fill="auto"/>
            <w:vAlign w:val="bottom"/>
          </w:tcPr>
          <w:p w14:paraId="39B2A283" w14:textId="4A1F5792" w:rsidR="00CD2D87" w:rsidRPr="00537128" w:rsidRDefault="00CD2D87" w:rsidP="00CD2D87">
            <w:pPr>
              <w:tabs>
                <w:tab w:val="right" w:pos="1202"/>
              </w:tabs>
              <w:spacing w:after="0" w:line="340" w:lineRule="exact"/>
              <w:jc w:val="right"/>
              <w:outlineLvl w:val="0"/>
              <w:rPr>
                <w:rFonts w:eastAsia="Times New Roman" w:cs="Arial"/>
                <w:bCs/>
                <w:noProof/>
                <w:color w:val="000000" w:themeColor="text1"/>
                <w:sz w:val="20"/>
                <w:szCs w:val="20"/>
                <w:lang w:val="en-US"/>
              </w:rPr>
            </w:pPr>
            <w:r>
              <w:rPr>
                <w:rFonts w:eastAsia="Times New Roman" w:cs="Arial"/>
                <w:bCs/>
                <w:color w:val="000000" w:themeColor="text1"/>
                <w:sz w:val="20"/>
                <w:szCs w:val="20"/>
              </w:rPr>
              <w:t>(5,660)</w:t>
            </w:r>
          </w:p>
        </w:tc>
      </w:tr>
      <w:tr w:rsidR="00CD2D87" w:rsidRPr="00537128" w14:paraId="2620EA8B" w14:textId="77777777" w:rsidTr="00CE00C1">
        <w:trPr>
          <w:trHeight w:val="160"/>
        </w:trPr>
        <w:tc>
          <w:tcPr>
            <w:tcW w:w="3334" w:type="pct"/>
            <w:vAlign w:val="bottom"/>
          </w:tcPr>
          <w:p w14:paraId="56D319F1" w14:textId="77777777" w:rsidR="00CD2D87" w:rsidRPr="00537128" w:rsidRDefault="00CD2D87" w:rsidP="00CD2D87">
            <w:pPr>
              <w:tabs>
                <w:tab w:val="right" w:pos="1202"/>
              </w:tabs>
              <w:spacing w:after="0" w:line="340" w:lineRule="exact"/>
              <w:outlineLvl w:val="0"/>
              <w:rPr>
                <w:rFonts w:eastAsia="Times New Roman" w:cs="Arial"/>
                <w:b/>
                <w:bCs/>
                <w:noProof/>
                <w:color w:val="000000" w:themeColor="text1"/>
                <w:sz w:val="20"/>
                <w:szCs w:val="20"/>
                <w:lang w:val="en-US"/>
              </w:rPr>
            </w:pPr>
            <w:bookmarkStart w:id="127" w:name="_Toc4057323"/>
            <w:r w:rsidRPr="00537128">
              <w:rPr>
                <w:rFonts w:eastAsia="Times New Roman" w:cs="Arial"/>
                <w:bCs/>
                <w:noProof/>
                <w:color w:val="000000" w:themeColor="text1"/>
                <w:sz w:val="20"/>
                <w:szCs w:val="20"/>
                <w:lang w:val="en-US"/>
              </w:rPr>
              <w:t>Net foreign exchange on equity instruments</w:t>
            </w:r>
            <w:bookmarkEnd w:id="127"/>
          </w:p>
        </w:tc>
        <w:tc>
          <w:tcPr>
            <w:tcW w:w="834" w:type="pct"/>
            <w:tcBorders>
              <w:top w:val="nil"/>
              <w:left w:val="nil"/>
              <w:bottom w:val="nil"/>
              <w:right w:val="nil"/>
            </w:tcBorders>
            <w:shd w:val="clear" w:color="auto" w:fill="auto"/>
            <w:vAlign w:val="bottom"/>
          </w:tcPr>
          <w:p w14:paraId="7B9704BE" w14:textId="0C2C070A" w:rsidR="00CD2D87" w:rsidRPr="00537128" w:rsidRDefault="00CD2D87" w:rsidP="00CD2D87">
            <w:pPr>
              <w:tabs>
                <w:tab w:val="right" w:pos="1202"/>
              </w:tabs>
              <w:spacing w:after="0" w:line="340" w:lineRule="exact"/>
              <w:jc w:val="right"/>
              <w:outlineLvl w:val="0"/>
              <w:rPr>
                <w:rFonts w:eastAsia="Times New Roman" w:cs="Arial"/>
                <w:bCs/>
                <w:noProof/>
                <w:color w:val="000000" w:themeColor="text1"/>
                <w:sz w:val="20"/>
                <w:szCs w:val="20"/>
                <w:lang w:val="en-US"/>
              </w:rPr>
            </w:pPr>
            <w:r>
              <w:rPr>
                <w:rFonts w:eastAsia="Times New Roman" w:cs="Arial"/>
                <w:bCs/>
                <w:color w:val="000000" w:themeColor="text1"/>
                <w:sz w:val="20"/>
                <w:szCs w:val="20"/>
              </w:rPr>
              <w:t>340</w:t>
            </w:r>
          </w:p>
        </w:tc>
        <w:tc>
          <w:tcPr>
            <w:tcW w:w="832" w:type="pct"/>
            <w:tcBorders>
              <w:top w:val="nil"/>
              <w:left w:val="nil"/>
              <w:bottom w:val="nil"/>
              <w:right w:val="nil"/>
            </w:tcBorders>
            <w:shd w:val="clear" w:color="auto" w:fill="auto"/>
            <w:vAlign w:val="bottom"/>
          </w:tcPr>
          <w:p w14:paraId="6B9DF730" w14:textId="5CB7507D" w:rsidR="00CD2D87" w:rsidRPr="00537128" w:rsidRDefault="00CD2D87" w:rsidP="00CD2D87">
            <w:pPr>
              <w:tabs>
                <w:tab w:val="right" w:pos="1202"/>
              </w:tabs>
              <w:spacing w:after="0" w:line="340" w:lineRule="exact"/>
              <w:jc w:val="right"/>
              <w:outlineLvl w:val="0"/>
              <w:rPr>
                <w:rFonts w:eastAsia="Times New Roman" w:cs="Arial"/>
                <w:bCs/>
                <w:noProof/>
                <w:color w:val="000000" w:themeColor="text1"/>
                <w:sz w:val="20"/>
                <w:szCs w:val="20"/>
                <w:lang w:val="en-US"/>
              </w:rPr>
            </w:pPr>
            <w:r>
              <w:rPr>
                <w:rFonts w:eastAsia="Times New Roman" w:cs="Arial"/>
                <w:bCs/>
                <w:color w:val="000000" w:themeColor="text1"/>
                <w:sz w:val="20"/>
                <w:szCs w:val="20"/>
              </w:rPr>
              <w:t>116</w:t>
            </w:r>
          </w:p>
        </w:tc>
      </w:tr>
      <w:tr w:rsidR="00CD2D87" w:rsidRPr="00537128" w14:paraId="10A03E76" w14:textId="77777777" w:rsidTr="00A1123E">
        <w:trPr>
          <w:trHeight w:val="431"/>
        </w:trPr>
        <w:tc>
          <w:tcPr>
            <w:tcW w:w="3334" w:type="pct"/>
            <w:vAlign w:val="bottom"/>
          </w:tcPr>
          <w:p w14:paraId="57D2A4F2" w14:textId="77777777" w:rsidR="00CD2D87" w:rsidRPr="00537128" w:rsidRDefault="00CD2D87" w:rsidP="00CD2D87">
            <w:pPr>
              <w:tabs>
                <w:tab w:val="right" w:pos="1202"/>
              </w:tabs>
              <w:spacing w:after="0" w:line="280" w:lineRule="exact"/>
              <w:outlineLvl w:val="0"/>
              <w:rPr>
                <w:rFonts w:cs="Arial"/>
                <w:b/>
                <w:bCs/>
                <w:noProof/>
                <w:color w:val="000000" w:themeColor="text1"/>
                <w:sz w:val="20"/>
                <w:szCs w:val="20"/>
                <w:lang w:val="en-US"/>
              </w:rPr>
            </w:pPr>
            <w:bookmarkStart w:id="128" w:name="_Toc4057329"/>
            <w:r w:rsidRPr="00537128">
              <w:rPr>
                <w:rFonts w:cs="Arial"/>
                <w:b/>
                <w:bCs/>
                <w:noProof/>
                <w:color w:val="000000" w:themeColor="text1"/>
                <w:sz w:val="20"/>
                <w:szCs w:val="20"/>
                <w:lang w:val="en-US"/>
              </w:rPr>
              <w:t>Total items that may be reclassified subsequently to profit or loss</w:t>
            </w:r>
            <w:bookmarkEnd w:id="128"/>
          </w:p>
        </w:tc>
        <w:tc>
          <w:tcPr>
            <w:tcW w:w="834" w:type="pct"/>
            <w:tcBorders>
              <w:top w:val="single" w:sz="4" w:space="0" w:color="auto"/>
              <w:bottom w:val="single" w:sz="12" w:space="0" w:color="auto"/>
            </w:tcBorders>
            <w:vAlign w:val="bottom"/>
          </w:tcPr>
          <w:p w14:paraId="470EB892" w14:textId="2DC9FC74" w:rsidR="00CD2D87" w:rsidRPr="00537128" w:rsidRDefault="00CD2D87" w:rsidP="00CD2D87">
            <w:pPr>
              <w:tabs>
                <w:tab w:val="right" w:pos="1202"/>
              </w:tabs>
              <w:spacing w:after="0" w:line="340" w:lineRule="exact"/>
              <w:jc w:val="right"/>
              <w:outlineLvl w:val="0"/>
              <w:rPr>
                <w:rFonts w:eastAsia="Times New Roman" w:cs="Arial"/>
                <w:b/>
                <w:bCs/>
                <w:noProof/>
                <w:color w:val="000000" w:themeColor="text1"/>
                <w:sz w:val="20"/>
                <w:szCs w:val="20"/>
                <w:lang w:val="en-US"/>
              </w:rPr>
            </w:pPr>
            <w:r>
              <w:rPr>
                <w:rFonts w:eastAsia="Times New Roman" w:cs="Arial"/>
                <w:b/>
                <w:bCs/>
                <w:color w:val="000000" w:themeColor="text1"/>
                <w:sz w:val="20"/>
                <w:szCs w:val="20"/>
              </w:rPr>
              <w:t>(25</w:t>
            </w:r>
            <w:r w:rsidR="00241915">
              <w:rPr>
                <w:rFonts w:eastAsia="Times New Roman" w:cs="Arial"/>
                <w:b/>
                <w:bCs/>
                <w:color w:val="000000" w:themeColor="text1"/>
                <w:sz w:val="20"/>
                <w:szCs w:val="20"/>
              </w:rPr>
              <w:t>,</w:t>
            </w:r>
            <w:r>
              <w:rPr>
                <w:rFonts w:eastAsia="Times New Roman" w:cs="Arial"/>
                <w:b/>
                <w:bCs/>
                <w:color w:val="000000" w:themeColor="text1"/>
                <w:sz w:val="20"/>
                <w:szCs w:val="20"/>
              </w:rPr>
              <w:t>585)</w:t>
            </w:r>
          </w:p>
        </w:tc>
        <w:tc>
          <w:tcPr>
            <w:tcW w:w="832" w:type="pct"/>
            <w:tcBorders>
              <w:top w:val="single" w:sz="4" w:space="0" w:color="auto"/>
              <w:bottom w:val="single" w:sz="12" w:space="0" w:color="auto"/>
            </w:tcBorders>
            <w:vAlign w:val="bottom"/>
          </w:tcPr>
          <w:p w14:paraId="1ACB9F05" w14:textId="77E1F776" w:rsidR="00CD2D87" w:rsidRPr="00537128" w:rsidRDefault="00CD2D87" w:rsidP="00CD2D87">
            <w:pPr>
              <w:tabs>
                <w:tab w:val="right" w:pos="1202"/>
              </w:tabs>
              <w:spacing w:after="0" w:line="340" w:lineRule="exact"/>
              <w:jc w:val="right"/>
              <w:outlineLvl w:val="0"/>
              <w:rPr>
                <w:rFonts w:eastAsia="Times New Roman" w:cs="Arial"/>
                <w:b/>
                <w:bCs/>
                <w:noProof/>
                <w:color w:val="000000" w:themeColor="text1"/>
                <w:sz w:val="20"/>
                <w:szCs w:val="20"/>
                <w:lang w:val="en-US"/>
              </w:rPr>
            </w:pPr>
            <w:r>
              <w:rPr>
                <w:rFonts w:eastAsia="Times New Roman" w:cs="Arial"/>
                <w:b/>
                <w:bCs/>
                <w:color w:val="000000" w:themeColor="text1"/>
                <w:sz w:val="20"/>
                <w:szCs w:val="20"/>
              </w:rPr>
              <w:t>(5,544)</w:t>
            </w:r>
          </w:p>
        </w:tc>
      </w:tr>
      <w:tr w:rsidR="00CD2D87" w:rsidRPr="00537128" w14:paraId="725A41E3" w14:textId="77777777" w:rsidTr="00A1123E">
        <w:trPr>
          <w:trHeight w:val="431"/>
        </w:trPr>
        <w:tc>
          <w:tcPr>
            <w:tcW w:w="3334" w:type="pct"/>
            <w:vAlign w:val="bottom"/>
          </w:tcPr>
          <w:p w14:paraId="6E88FED2" w14:textId="77777777" w:rsidR="00CD2D87" w:rsidRPr="00537128" w:rsidRDefault="00CD2D87" w:rsidP="00CD2D87">
            <w:pPr>
              <w:tabs>
                <w:tab w:val="right" w:pos="1202"/>
              </w:tabs>
              <w:spacing w:after="0" w:line="340" w:lineRule="exact"/>
              <w:outlineLvl w:val="0"/>
              <w:rPr>
                <w:rFonts w:eastAsia="Times New Roman" w:cs="Arial"/>
                <w:b/>
                <w:bCs/>
                <w:noProof/>
                <w:color w:val="000000" w:themeColor="text1"/>
                <w:sz w:val="20"/>
                <w:szCs w:val="20"/>
                <w:lang w:val="en-US"/>
              </w:rPr>
            </w:pPr>
            <w:bookmarkStart w:id="129" w:name="_Toc4057332"/>
            <w:r w:rsidRPr="00537128">
              <w:rPr>
                <w:rFonts w:eastAsia="Times New Roman" w:cs="Arial"/>
                <w:b/>
                <w:bCs/>
                <w:noProof/>
                <w:color w:val="000000" w:themeColor="text1"/>
                <w:sz w:val="20"/>
                <w:szCs w:val="20"/>
                <w:lang w:val="en-US"/>
              </w:rPr>
              <w:t>Other comprehensive income after income tax</w:t>
            </w:r>
            <w:bookmarkEnd w:id="129"/>
          </w:p>
        </w:tc>
        <w:tc>
          <w:tcPr>
            <w:tcW w:w="834" w:type="pct"/>
            <w:tcBorders>
              <w:top w:val="single" w:sz="4" w:space="0" w:color="auto"/>
              <w:bottom w:val="single" w:sz="12" w:space="0" w:color="auto"/>
            </w:tcBorders>
            <w:vAlign w:val="bottom"/>
          </w:tcPr>
          <w:p w14:paraId="18A4A2D8" w14:textId="06C6CE8D" w:rsidR="00CD2D87" w:rsidRPr="00537128" w:rsidRDefault="00CD2D87" w:rsidP="00CD2D87">
            <w:pPr>
              <w:tabs>
                <w:tab w:val="right" w:pos="1202"/>
              </w:tabs>
              <w:spacing w:after="0" w:line="340" w:lineRule="exact"/>
              <w:jc w:val="right"/>
              <w:outlineLvl w:val="0"/>
              <w:rPr>
                <w:rFonts w:eastAsia="Times New Roman" w:cs="Arial"/>
                <w:b/>
                <w:bCs/>
                <w:noProof/>
                <w:color w:val="000000" w:themeColor="text1"/>
                <w:sz w:val="20"/>
                <w:szCs w:val="20"/>
                <w:lang w:val="en-US"/>
              </w:rPr>
            </w:pPr>
            <w:r>
              <w:rPr>
                <w:rFonts w:eastAsia="Times New Roman" w:cs="Arial"/>
                <w:b/>
                <w:bCs/>
                <w:color w:val="000000" w:themeColor="text1"/>
                <w:sz w:val="20"/>
                <w:szCs w:val="20"/>
              </w:rPr>
              <w:t>(25</w:t>
            </w:r>
            <w:r w:rsidR="00241915">
              <w:rPr>
                <w:rFonts w:eastAsia="Times New Roman" w:cs="Arial"/>
                <w:b/>
                <w:bCs/>
                <w:color w:val="000000" w:themeColor="text1"/>
                <w:sz w:val="20"/>
                <w:szCs w:val="20"/>
              </w:rPr>
              <w:t>,</w:t>
            </w:r>
            <w:r>
              <w:rPr>
                <w:rFonts w:eastAsia="Times New Roman" w:cs="Arial"/>
                <w:b/>
                <w:bCs/>
                <w:color w:val="000000" w:themeColor="text1"/>
                <w:sz w:val="20"/>
                <w:szCs w:val="20"/>
              </w:rPr>
              <w:t>585)</w:t>
            </w:r>
          </w:p>
        </w:tc>
        <w:tc>
          <w:tcPr>
            <w:tcW w:w="832" w:type="pct"/>
            <w:tcBorders>
              <w:top w:val="single" w:sz="12" w:space="0" w:color="auto"/>
              <w:bottom w:val="single" w:sz="12" w:space="0" w:color="auto"/>
            </w:tcBorders>
            <w:vAlign w:val="bottom"/>
          </w:tcPr>
          <w:p w14:paraId="7F080950" w14:textId="3FAA49A6" w:rsidR="00CD2D87" w:rsidRPr="00537128" w:rsidRDefault="00CD2D87" w:rsidP="00CD2D87">
            <w:pPr>
              <w:tabs>
                <w:tab w:val="right" w:pos="1202"/>
              </w:tabs>
              <w:spacing w:after="0" w:line="340" w:lineRule="exact"/>
              <w:jc w:val="right"/>
              <w:outlineLvl w:val="0"/>
              <w:rPr>
                <w:rFonts w:eastAsia="Times New Roman" w:cs="Arial"/>
                <w:b/>
                <w:bCs/>
                <w:noProof/>
                <w:color w:val="000000" w:themeColor="text1"/>
                <w:sz w:val="20"/>
                <w:szCs w:val="20"/>
                <w:lang w:val="en-US"/>
              </w:rPr>
            </w:pPr>
            <w:r>
              <w:rPr>
                <w:rFonts w:eastAsia="Times New Roman" w:cs="Arial"/>
                <w:b/>
                <w:bCs/>
                <w:color w:val="000000" w:themeColor="text1"/>
                <w:sz w:val="20"/>
                <w:szCs w:val="20"/>
              </w:rPr>
              <w:t>(5,544)</w:t>
            </w:r>
          </w:p>
        </w:tc>
      </w:tr>
      <w:tr w:rsidR="00CD2D87" w:rsidRPr="00537128" w14:paraId="6AE899AA" w14:textId="77777777" w:rsidTr="00A1123E">
        <w:trPr>
          <w:trHeight w:val="431"/>
        </w:trPr>
        <w:tc>
          <w:tcPr>
            <w:tcW w:w="3334" w:type="pct"/>
            <w:vAlign w:val="bottom"/>
          </w:tcPr>
          <w:p w14:paraId="0B9E9D2D" w14:textId="77777777" w:rsidR="00CD2D87" w:rsidRPr="00537128" w:rsidRDefault="00CD2D87" w:rsidP="00CD2D87">
            <w:pPr>
              <w:tabs>
                <w:tab w:val="right" w:pos="1202"/>
              </w:tabs>
              <w:spacing w:after="0" w:line="340" w:lineRule="exact"/>
              <w:outlineLvl w:val="0"/>
              <w:rPr>
                <w:rFonts w:eastAsia="Times New Roman" w:cs="Arial"/>
                <w:b/>
                <w:bCs/>
                <w:noProof/>
                <w:color w:val="000000" w:themeColor="text1"/>
                <w:sz w:val="20"/>
                <w:szCs w:val="20"/>
                <w:lang w:val="en-US"/>
              </w:rPr>
            </w:pPr>
            <w:bookmarkStart w:id="130" w:name="_Toc4057335"/>
            <w:r w:rsidRPr="00537128">
              <w:rPr>
                <w:rFonts w:eastAsia="Times New Roman" w:cs="Arial"/>
                <w:b/>
                <w:bCs/>
                <w:noProof/>
                <w:color w:val="000000" w:themeColor="text1"/>
                <w:sz w:val="20"/>
                <w:szCs w:val="20"/>
                <w:lang w:val="en-US"/>
              </w:rPr>
              <w:t>Total comprehensive income after income tax</w:t>
            </w:r>
            <w:bookmarkEnd w:id="130"/>
          </w:p>
        </w:tc>
        <w:tc>
          <w:tcPr>
            <w:tcW w:w="834" w:type="pct"/>
            <w:tcBorders>
              <w:bottom w:val="single" w:sz="12" w:space="0" w:color="auto"/>
            </w:tcBorders>
            <w:vAlign w:val="bottom"/>
          </w:tcPr>
          <w:p w14:paraId="5F0076A0" w14:textId="471A1B0F" w:rsidR="00CD2D87" w:rsidRPr="00537128" w:rsidRDefault="00CD2D87" w:rsidP="00CD2D87">
            <w:pPr>
              <w:tabs>
                <w:tab w:val="right" w:pos="1202"/>
              </w:tabs>
              <w:spacing w:after="0" w:line="340" w:lineRule="exact"/>
              <w:jc w:val="right"/>
              <w:outlineLvl w:val="0"/>
              <w:rPr>
                <w:rFonts w:eastAsia="Times New Roman" w:cs="Arial"/>
                <w:b/>
                <w:bCs/>
                <w:noProof/>
                <w:color w:val="000000" w:themeColor="text1"/>
                <w:sz w:val="20"/>
                <w:szCs w:val="20"/>
                <w:lang w:val="en-US"/>
              </w:rPr>
            </w:pPr>
            <w:r>
              <w:rPr>
                <w:rFonts w:eastAsia="Times New Roman" w:cs="Arial"/>
                <w:b/>
                <w:bCs/>
                <w:color w:val="000000" w:themeColor="text1"/>
                <w:sz w:val="20"/>
                <w:szCs w:val="20"/>
              </w:rPr>
              <w:t>204</w:t>
            </w:r>
            <w:r w:rsidR="00241915">
              <w:rPr>
                <w:rFonts w:eastAsia="Times New Roman" w:cs="Arial"/>
                <w:b/>
                <w:bCs/>
                <w:color w:val="000000" w:themeColor="text1"/>
                <w:sz w:val="20"/>
                <w:szCs w:val="20"/>
              </w:rPr>
              <w:t>,</w:t>
            </w:r>
            <w:r>
              <w:rPr>
                <w:rFonts w:eastAsia="Times New Roman" w:cs="Arial"/>
                <w:b/>
                <w:bCs/>
                <w:color w:val="000000" w:themeColor="text1"/>
                <w:sz w:val="20"/>
                <w:szCs w:val="20"/>
              </w:rPr>
              <w:t>759</w:t>
            </w:r>
          </w:p>
        </w:tc>
        <w:tc>
          <w:tcPr>
            <w:tcW w:w="832" w:type="pct"/>
            <w:tcBorders>
              <w:top w:val="single" w:sz="12" w:space="0" w:color="auto"/>
              <w:bottom w:val="single" w:sz="12" w:space="0" w:color="auto"/>
            </w:tcBorders>
            <w:vAlign w:val="bottom"/>
          </w:tcPr>
          <w:p w14:paraId="2FD3C991" w14:textId="3CC4A292" w:rsidR="00CD2D87" w:rsidRPr="00537128" w:rsidRDefault="00CD2D87" w:rsidP="00CD2D87">
            <w:pPr>
              <w:tabs>
                <w:tab w:val="right" w:pos="1202"/>
              </w:tabs>
              <w:spacing w:after="0" w:line="340" w:lineRule="exact"/>
              <w:jc w:val="right"/>
              <w:outlineLvl w:val="0"/>
              <w:rPr>
                <w:rFonts w:eastAsia="Times New Roman" w:cs="Arial"/>
                <w:b/>
                <w:bCs/>
                <w:noProof/>
                <w:color w:val="000000" w:themeColor="text1"/>
                <w:sz w:val="20"/>
                <w:szCs w:val="20"/>
                <w:lang w:val="en-US"/>
              </w:rPr>
            </w:pPr>
            <w:r>
              <w:rPr>
                <w:rFonts w:eastAsia="Times New Roman" w:cs="Arial"/>
                <w:b/>
                <w:bCs/>
                <w:color w:val="000000" w:themeColor="text1"/>
                <w:sz w:val="20"/>
                <w:szCs w:val="20"/>
              </w:rPr>
              <w:t>82,256</w:t>
            </w:r>
          </w:p>
        </w:tc>
      </w:tr>
      <w:tr w:rsidR="00CD2D87" w:rsidRPr="00537128" w14:paraId="5DC24E25" w14:textId="77777777" w:rsidTr="00CE00C1">
        <w:trPr>
          <w:trHeight w:val="113"/>
        </w:trPr>
        <w:tc>
          <w:tcPr>
            <w:tcW w:w="3334" w:type="pct"/>
          </w:tcPr>
          <w:p w14:paraId="785BEE5D" w14:textId="77777777" w:rsidR="00CD2D87" w:rsidRPr="00537128" w:rsidRDefault="00CD2D87" w:rsidP="00CD2D87">
            <w:pPr>
              <w:tabs>
                <w:tab w:val="right" w:pos="1202"/>
              </w:tabs>
              <w:spacing w:after="0" w:line="301" w:lineRule="exact"/>
              <w:outlineLvl w:val="0"/>
              <w:rPr>
                <w:rFonts w:eastAsia="Times New Roman" w:cs="Arial"/>
                <w:b/>
                <w:bCs/>
                <w:noProof/>
                <w:color w:val="000000" w:themeColor="text1"/>
                <w:sz w:val="20"/>
                <w:szCs w:val="20"/>
                <w:lang w:val="en-US"/>
              </w:rPr>
            </w:pPr>
          </w:p>
        </w:tc>
        <w:tc>
          <w:tcPr>
            <w:tcW w:w="834" w:type="pct"/>
            <w:vAlign w:val="center"/>
          </w:tcPr>
          <w:p w14:paraId="79D45D4B" w14:textId="77777777" w:rsidR="00CD2D87" w:rsidRPr="00537128" w:rsidRDefault="00CD2D87" w:rsidP="00CD2D87">
            <w:pPr>
              <w:keepNext/>
              <w:keepLines/>
              <w:spacing w:after="0" w:line="301" w:lineRule="exact"/>
              <w:jc w:val="right"/>
              <w:rPr>
                <w:rFonts w:eastAsia="Times New Roman" w:cs="Arial"/>
                <w:b/>
                <w:noProof/>
                <w:color w:val="000000" w:themeColor="text1"/>
                <w:position w:val="4"/>
                <w:sz w:val="20"/>
                <w:szCs w:val="20"/>
                <w:lang w:val="en-US"/>
              </w:rPr>
            </w:pPr>
          </w:p>
        </w:tc>
        <w:tc>
          <w:tcPr>
            <w:tcW w:w="832" w:type="pct"/>
            <w:vAlign w:val="center"/>
          </w:tcPr>
          <w:p w14:paraId="630BFBA8" w14:textId="77777777" w:rsidR="00CD2D87" w:rsidRPr="00537128" w:rsidRDefault="00CD2D87" w:rsidP="00CD2D87">
            <w:pPr>
              <w:keepNext/>
              <w:keepLines/>
              <w:spacing w:after="0" w:line="301" w:lineRule="exact"/>
              <w:jc w:val="right"/>
              <w:rPr>
                <w:rFonts w:eastAsia="Times New Roman" w:cs="Arial"/>
                <w:b/>
                <w:noProof/>
                <w:color w:val="000000" w:themeColor="text1"/>
                <w:position w:val="4"/>
                <w:sz w:val="20"/>
                <w:szCs w:val="20"/>
                <w:lang w:val="en-US"/>
              </w:rPr>
            </w:pPr>
          </w:p>
        </w:tc>
      </w:tr>
      <w:tr w:rsidR="00CD2D87" w:rsidRPr="00537128" w14:paraId="467FAD64" w14:textId="77777777" w:rsidTr="00CE00C1">
        <w:trPr>
          <w:trHeight w:val="110"/>
        </w:trPr>
        <w:tc>
          <w:tcPr>
            <w:tcW w:w="3334" w:type="pct"/>
          </w:tcPr>
          <w:p w14:paraId="023CD3C9" w14:textId="77777777" w:rsidR="00CD2D87" w:rsidRPr="00537128" w:rsidRDefault="00CD2D87" w:rsidP="00CD2D87">
            <w:pPr>
              <w:tabs>
                <w:tab w:val="right" w:pos="1202"/>
              </w:tabs>
              <w:spacing w:after="0" w:line="301" w:lineRule="exact"/>
              <w:outlineLvl w:val="0"/>
              <w:rPr>
                <w:rFonts w:eastAsia="Times New Roman" w:cs="Arial"/>
                <w:b/>
                <w:bCs/>
                <w:noProof/>
                <w:color w:val="000000" w:themeColor="text1"/>
                <w:sz w:val="20"/>
                <w:szCs w:val="20"/>
                <w:lang w:val="en-US"/>
              </w:rPr>
            </w:pPr>
            <w:bookmarkStart w:id="131" w:name="_Toc4057338"/>
            <w:r w:rsidRPr="00537128">
              <w:rPr>
                <w:rFonts w:eastAsia="Times New Roman" w:cs="Arial"/>
                <w:b/>
                <w:noProof/>
                <w:color w:val="000000" w:themeColor="text1"/>
                <w:sz w:val="20"/>
                <w:szCs w:val="20"/>
                <w:lang w:val="en-US"/>
              </w:rPr>
              <w:t>Attributable to:</w:t>
            </w:r>
            <w:bookmarkEnd w:id="131"/>
          </w:p>
        </w:tc>
        <w:tc>
          <w:tcPr>
            <w:tcW w:w="834" w:type="pct"/>
            <w:vAlign w:val="center"/>
          </w:tcPr>
          <w:p w14:paraId="72958089" w14:textId="77777777" w:rsidR="00CD2D87" w:rsidRPr="00537128" w:rsidRDefault="00CD2D87" w:rsidP="00CD2D87">
            <w:pPr>
              <w:keepNext/>
              <w:keepLines/>
              <w:spacing w:after="0" w:line="301" w:lineRule="exact"/>
              <w:jc w:val="right"/>
              <w:rPr>
                <w:rFonts w:eastAsia="Times New Roman" w:cs="Arial"/>
                <w:b/>
                <w:noProof/>
                <w:color w:val="000000" w:themeColor="text1"/>
                <w:position w:val="4"/>
                <w:sz w:val="20"/>
                <w:szCs w:val="20"/>
                <w:lang w:val="en-US"/>
              </w:rPr>
            </w:pPr>
          </w:p>
        </w:tc>
        <w:tc>
          <w:tcPr>
            <w:tcW w:w="832" w:type="pct"/>
            <w:vAlign w:val="center"/>
          </w:tcPr>
          <w:p w14:paraId="6C7102A7" w14:textId="77777777" w:rsidR="00CD2D87" w:rsidRPr="00537128" w:rsidRDefault="00CD2D87" w:rsidP="00CD2D87">
            <w:pPr>
              <w:keepNext/>
              <w:keepLines/>
              <w:spacing w:after="0" w:line="301" w:lineRule="exact"/>
              <w:jc w:val="right"/>
              <w:rPr>
                <w:rFonts w:eastAsia="Times New Roman" w:cs="Arial"/>
                <w:b/>
                <w:noProof/>
                <w:color w:val="000000" w:themeColor="text1"/>
                <w:position w:val="4"/>
                <w:sz w:val="20"/>
                <w:szCs w:val="20"/>
                <w:lang w:val="en-US"/>
              </w:rPr>
            </w:pPr>
          </w:p>
        </w:tc>
      </w:tr>
      <w:tr w:rsidR="00CD2D87" w:rsidRPr="00537128" w14:paraId="508C1205" w14:textId="77777777" w:rsidTr="00CE00C1">
        <w:trPr>
          <w:trHeight w:val="371"/>
        </w:trPr>
        <w:tc>
          <w:tcPr>
            <w:tcW w:w="3334" w:type="pct"/>
            <w:vAlign w:val="bottom"/>
          </w:tcPr>
          <w:p w14:paraId="2B2B9E63" w14:textId="77777777" w:rsidR="00CD2D87" w:rsidRPr="00537128" w:rsidRDefault="00CD2D87" w:rsidP="00CD2D87">
            <w:pPr>
              <w:tabs>
                <w:tab w:val="right" w:pos="1202"/>
              </w:tabs>
              <w:spacing w:after="0" w:line="301" w:lineRule="exact"/>
              <w:outlineLvl w:val="0"/>
              <w:rPr>
                <w:rFonts w:eastAsia="Times New Roman" w:cs="Arial"/>
                <w:b/>
                <w:bCs/>
                <w:noProof/>
                <w:color w:val="000000" w:themeColor="text1"/>
                <w:sz w:val="20"/>
                <w:szCs w:val="20"/>
                <w:lang w:val="en-US"/>
              </w:rPr>
            </w:pPr>
            <w:bookmarkStart w:id="132" w:name="_Toc4057339"/>
            <w:r w:rsidRPr="00537128">
              <w:rPr>
                <w:rFonts w:eastAsia="Times New Roman" w:cs="Arial"/>
                <w:b/>
                <w:noProof/>
                <w:color w:val="000000" w:themeColor="text1"/>
                <w:sz w:val="20"/>
                <w:szCs w:val="20"/>
                <w:lang w:val="en-US"/>
              </w:rPr>
              <w:t>Owner of the Bank</w:t>
            </w:r>
            <w:bookmarkEnd w:id="132"/>
          </w:p>
        </w:tc>
        <w:tc>
          <w:tcPr>
            <w:tcW w:w="834" w:type="pct"/>
            <w:tcBorders>
              <w:bottom w:val="single" w:sz="12" w:space="0" w:color="auto"/>
            </w:tcBorders>
            <w:vAlign w:val="bottom"/>
          </w:tcPr>
          <w:p w14:paraId="4367F343" w14:textId="6D8F9B58" w:rsidR="00CD2D87" w:rsidRPr="00537128" w:rsidRDefault="00CD2D87" w:rsidP="00CD2D87">
            <w:pPr>
              <w:tabs>
                <w:tab w:val="right" w:pos="1202"/>
              </w:tabs>
              <w:spacing w:after="0" w:line="340" w:lineRule="exact"/>
              <w:jc w:val="right"/>
              <w:outlineLvl w:val="0"/>
              <w:rPr>
                <w:rFonts w:eastAsia="Times New Roman" w:cs="Arial"/>
                <w:b/>
                <w:bCs/>
                <w:noProof/>
                <w:color w:val="000000" w:themeColor="text1"/>
                <w:sz w:val="20"/>
                <w:szCs w:val="20"/>
                <w:lang w:val="en-US"/>
              </w:rPr>
            </w:pPr>
            <w:r>
              <w:rPr>
                <w:rFonts w:eastAsia="Times New Roman" w:cs="Arial"/>
                <w:b/>
                <w:bCs/>
                <w:color w:val="000000" w:themeColor="text1"/>
                <w:sz w:val="20"/>
                <w:szCs w:val="20"/>
              </w:rPr>
              <w:t>204</w:t>
            </w:r>
            <w:r w:rsidR="00241915">
              <w:rPr>
                <w:rFonts w:eastAsia="Times New Roman" w:cs="Arial"/>
                <w:b/>
                <w:bCs/>
                <w:color w:val="000000" w:themeColor="text1"/>
                <w:sz w:val="20"/>
                <w:szCs w:val="20"/>
              </w:rPr>
              <w:t>,</w:t>
            </w:r>
            <w:r>
              <w:rPr>
                <w:rFonts w:eastAsia="Times New Roman" w:cs="Arial"/>
                <w:b/>
                <w:bCs/>
                <w:color w:val="000000" w:themeColor="text1"/>
                <w:sz w:val="20"/>
                <w:szCs w:val="20"/>
              </w:rPr>
              <w:t>759</w:t>
            </w:r>
          </w:p>
        </w:tc>
        <w:tc>
          <w:tcPr>
            <w:tcW w:w="832" w:type="pct"/>
            <w:tcBorders>
              <w:bottom w:val="single" w:sz="12" w:space="0" w:color="auto"/>
            </w:tcBorders>
            <w:vAlign w:val="bottom"/>
          </w:tcPr>
          <w:p w14:paraId="05EC2D22" w14:textId="5E908279" w:rsidR="00CD2D87" w:rsidRPr="00537128" w:rsidRDefault="00CD2D87" w:rsidP="00CD2D87">
            <w:pPr>
              <w:tabs>
                <w:tab w:val="right" w:pos="1202"/>
              </w:tabs>
              <w:spacing w:after="0" w:line="340" w:lineRule="exact"/>
              <w:jc w:val="right"/>
              <w:outlineLvl w:val="0"/>
              <w:rPr>
                <w:rFonts w:eastAsia="Times New Roman" w:cs="Arial"/>
                <w:b/>
                <w:bCs/>
                <w:noProof/>
                <w:color w:val="000000" w:themeColor="text1"/>
                <w:sz w:val="20"/>
                <w:szCs w:val="20"/>
                <w:lang w:val="en-US"/>
              </w:rPr>
            </w:pPr>
            <w:r>
              <w:rPr>
                <w:rFonts w:eastAsia="Times New Roman" w:cs="Arial"/>
                <w:b/>
                <w:bCs/>
                <w:color w:val="000000" w:themeColor="text1"/>
                <w:sz w:val="20"/>
                <w:szCs w:val="20"/>
              </w:rPr>
              <w:t>82,256</w:t>
            </w:r>
          </w:p>
        </w:tc>
      </w:tr>
    </w:tbl>
    <w:p w14:paraId="184C493F"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p w14:paraId="41A2B341"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p w14:paraId="19C39563"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p w14:paraId="7F46C975"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p w14:paraId="59AB8D2E" w14:textId="77777777" w:rsidR="006D20DD" w:rsidRPr="00537128" w:rsidRDefault="006D20DD" w:rsidP="00BA3E05">
      <w:pPr>
        <w:spacing w:after="0" w:line="240" w:lineRule="auto"/>
        <w:rPr>
          <w:rFonts w:cs="Arial"/>
          <w:noProof/>
          <w:color w:val="000000" w:themeColor="text1"/>
          <w:lang w:val="en-US"/>
        </w:rPr>
      </w:pPr>
      <w:r w:rsidRPr="00537128">
        <w:rPr>
          <w:rFonts w:cs="Arial"/>
          <w:noProof/>
          <w:color w:val="000000" w:themeColor="text1"/>
          <w:lang w:val="en-US"/>
        </w:rPr>
        <w:t>The accompanying accounting policies and notes are an integral part of these financial statements.</w:t>
      </w:r>
    </w:p>
    <w:p w14:paraId="25540B55" w14:textId="77777777" w:rsidR="006D20DD" w:rsidRPr="00537128" w:rsidRDefault="006D20DD" w:rsidP="00BA3E05">
      <w:pPr>
        <w:spacing w:after="0" w:line="240" w:lineRule="auto"/>
        <w:rPr>
          <w:rFonts w:cs="Arial"/>
          <w:noProof/>
          <w:color w:val="000000" w:themeColor="text1"/>
          <w:lang w:val="en-US"/>
        </w:rPr>
      </w:pPr>
    </w:p>
    <w:p w14:paraId="24438BC1"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sectPr w:rsidR="006D20DD" w:rsidRPr="00537128">
          <w:headerReference w:type="default" r:id="rId24"/>
          <w:pgSz w:w="11906" w:h="16838"/>
          <w:pgMar w:top="1417" w:right="1417" w:bottom="1417" w:left="1417" w:header="708" w:footer="708" w:gutter="0"/>
          <w:cols w:space="708"/>
          <w:docGrid w:linePitch="360"/>
        </w:sectPr>
      </w:pPr>
    </w:p>
    <w:p w14:paraId="4E5536B7"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tbl>
      <w:tblPr>
        <w:tblpPr w:leftFromText="181" w:rightFromText="181" w:vertAnchor="text" w:horzAnchor="margin" w:tblpY="360"/>
        <w:tblW w:w="4986" w:type="pct"/>
        <w:tblLayout w:type="fixed"/>
        <w:tblLook w:val="0000" w:firstRow="0" w:lastRow="0" w:firstColumn="0" w:lastColumn="0" w:noHBand="0" w:noVBand="0"/>
      </w:tblPr>
      <w:tblGrid>
        <w:gridCol w:w="4806"/>
        <w:gridCol w:w="1077"/>
        <w:gridCol w:w="1476"/>
        <w:gridCol w:w="268"/>
        <w:gridCol w:w="1420"/>
      </w:tblGrid>
      <w:tr w:rsidR="00CE00C1" w:rsidRPr="00537128" w14:paraId="559E833F" w14:textId="77777777" w:rsidTr="00CE00C1">
        <w:trPr>
          <w:trHeight w:val="277"/>
        </w:trPr>
        <w:tc>
          <w:tcPr>
            <w:tcW w:w="2656" w:type="pct"/>
            <w:vAlign w:val="bottom"/>
          </w:tcPr>
          <w:p w14:paraId="07383E67" w14:textId="77777777" w:rsidR="00CE00C1" w:rsidRPr="00537128" w:rsidRDefault="00CE00C1" w:rsidP="00CE00C1">
            <w:pPr>
              <w:spacing w:after="0" w:line="240" w:lineRule="auto"/>
              <w:rPr>
                <w:rFonts w:ascii="Calibri" w:eastAsia="Times New Roman" w:hAnsi="Calibri" w:cs="Arial"/>
                <w:lang w:val="en-US"/>
              </w:rPr>
            </w:pPr>
          </w:p>
          <w:p w14:paraId="13BE9F28" w14:textId="77777777" w:rsidR="00CE00C1" w:rsidRPr="00537128" w:rsidRDefault="00CE00C1" w:rsidP="00CE00C1">
            <w:pPr>
              <w:spacing w:after="0" w:line="240" w:lineRule="auto"/>
              <w:rPr>
                <w:rFonts w:ascii="Calibri" w:eastAsia="Times New Roman" w:hAnsi="Calibri" w:cs="Arial"/>
                <w:lang w:val="en-US"/>
              </w:rPr>
            </w:pPr>
          </w:p>
        </w:tc>
        <w:tc>
          <w:tcPr>
            <w:tcW w:w="595" w:type="pct"/>
            <w:vAlign w:val="center"/>
          </w:tcPr>
          <w:p w14:paraId="12EC7BAE" w14:textId="77777777" w:rsidR="00CE00C1" w:rsidRPr="00537128" w:rsidRDefault="00CE00C1" w:rsidP="00CE00C1">
            <w:pPr>
              <w:spacing w:after="0" w:line="240" w:lineRule="auto"/>
              <w:jc w:val="center"/>
              <w:rPr>
                <w:rFonts w:ascii="Calibri" w:eastAsia="Times New Roman" w:hAnsi="Calibri" w:cs="Arial"/>
                <w:b/>
                <w:highlight w:val="yellow"/>
                <w:lang w:val="en-US"/>
              </w:rPr>
            </w:pPr>
          </w:p>
        </w:tc>
        <w:tc>
          <w:tcPr>
            <w:tcW w:w="816" w:type="pct"/>
            <w:vAlign w:val="center"/>
          </w:tcPr>
          <w:p w14:paraId="54EC0089" w14:textId="77777777" w:rsidR="00CE00C1" w:rsidRPr="00537128" w:rsidRDefault="00CE00C1" w:rsidP="00CE00C1">
            <w:pPr>
              <w:spacing w:after="0" w:line="240" w:lineRule="auto"/>
              <w:jc w:val="right"/>
              <w:rPr>
                <w:rFonts w:ascii="Calibri" w:eastAsia="Times New Roman" w:hAnsi="Calibri" w:cs="Arial"/>
                <w:b/>
                <w:lang w:val="en-US"/>
              </w:rPr>
            </w:pPr>
            <w:r w:rsidRPr="00537128">
              <w:rPr>
                <w:rFonts w:ascii="Calibri" w:eastAsia="Times New Roman" w:hAnsi="Calibri" w:cs="Arial"/>
                <w:b/>
                <w:lang w:val="en-US"/>
              </w:rPr>
              <w:t xml:space="preserve">Mar 31, </w:t>
            </w:r>
          </w:p>
          <w:p w14:paraId="155173E4" w14:textId="4622FD47" w:rsidR="00CE00C1" w:rsidRPr="00537128" w:rsidRDefault="00CE00C1" w:rsidP="00CE00C1">
            <w:pPr>
              <w:spacing w:after="0" w:line="240" w:lineRule="auto"/>
              <w:jc w:val="right"/>
              <w:rPr>
                <w:rFonts w:ascii="Calibri" w:eastAsia="Times New Roman" w:hAnsi="Calibri" w:cs="Arial"/>
                <w:b/>
                <w:lang w:val="en-US"/>
              </w:rPr>
            </w:pPr>
            <w:r w:rsidRPr="00537128">
              <w:rPr>
                <w:rFonts w:ascii="Calibri" w:eastAsia="Times New Roman" w:hAnsi="Calibri" w:cs="Arial"/>
                <w:b/>
                <w:lang w:val="en-US"/>
              </w:rPr>
              <w:t>202</w:t>
            </w:r>
            <w:r w:rsidR="00CA7301">
              <w:rPr>
                <w:rFonts w:ascii="Calibri" w:eastAsia="Times New Roman" w:hAnsi="Calibri" w:cs="Arial"/>
                <w:b/>
                <w:lang w:val="en-US"/>
              </w:rPr>
              <w:t>2</w:t>
            </w:r>
          </w:p>
        </w:tc>
        <w:tc>
          <w:tcPr>
            <w:tcW w:w="148" w:type="pct"/>
            <w:vAlign w:val="center"/>
          </w:tcPr>
          <w:p w14:paraId="70D7B5B6" w14:textId="77777777" w:rsidR="00CE00C1" w:rsidRPr="00537128" w:rsidRDefault="00CE00C1" w:rsidP="00CE00C1">
            <w:pPr>
              <w:spacing w:after="0" w:line="240" w:lineRule="auto"/>
              <w:jc w:val="right"/>
              <w:rPr>
                <w:rFonts w:ascii="Calibri" w:eastAsia="Times New Roman" w:hAnsi="Calibri" w:cs="Arial"/>
                <w:b/>
                <w:lang w:val="en-US"/>
              </w:rPr>
            </w:pPr>
          </w:p>
        </w:tc>
        <w:tc>
          <w:tcPr>
            <w:tcW w:w="785" w:type="pct"/>
            <w:vAlign w:val="center"/>
          </w:tcPr>
          <w:p w14:paraId="64816D2A" w14:textId="77777777" w:rsidR="00CE00C1" w:rsidRPr="00537128" w:rsidRDefault="00CE00C1" w:rsidP="00CE00C1">
            <w:pPr>
              <w:spacing w:after="0" w:line="240" w:lineRule="auto"/>
              <w:jc w:val="right"/>
              <w:rPr>
                <w:rFonts w:ascii="Calibri" w:eastAsia="Times New Roman" w:hAnsi="Calibri" w:cs="Arial"/>
                <w:b/>
                <w:bCs/>
                <w:lang w:val="en-US"/>
              </w:rPr>
            </w:pPr>
            <w:r w:rsidRPr="00537128">
              <w:rPr>
                <w:rFonts w:ascii="Calibri" w:eastAsia="Times New Roman" w:hAnsi="Calibri" w:cs="Arial"/>
                <w:b/>
                <w:bCs/>
                <w:lang w:val="en-US"/>
              </w:rPr>
              <w:t xml:space="preserve">Dec 31, </w:t>
            </w:r>
          </w:p>
          <w:p w14:paraId="1E62F6B0" w14:textId="7CE098A2" w:rsidR="00CE00C1" w:rsidRPr="00537128" w:rsidRDefault="00CE00C1" w:rsidP="00CE00C1">
            <w:pPr>
              <w:spacing w:after="0" w:line="240" w:lineRule="auto"/>
              <w:jc w:val="right"/>
              <w:rPr>
                <w:rFonts w:ascii="Calibri" w:eastAsia="Times New Roman" w:hAnsi="Calibri" w:cs="Arial"/>
                <w:b/>
                <w:lang w:val="en-US"/>
              </w:rPr>
            </w:pPr>
            <w:r w:rsidRPr="00537128">
              <w:rPr>
                <w:rFonts w:ascii="Calibri" w:eastAsia="Times New Roman" w:hAnsi="Calibri" w:cs="Arial"/>
                <w:b/>
                <w:bCs/>
                <w:lang w:val="en-US"/>
              </w:rPr>
              <w:t>202</w:t>
            </w:r>
            <w:r w:rsidR="00CA7301">
              <w:rPr>
                <w:rFonts w:ascii="Calibri" w:eastAsia="Times New Roman" w:hAnsi="Calibri" w:cs="Arial"/>
                <w:b/>
                <w:bCs/>
                <w:lang w:val="en-US"/>
              </w:rPr>
              <w:t>1</w:t>
            </w:r>
          </w:p>
        </w:tc>
      </w:tr>
      <w:tr w:rsidR="00CE00C1" w:rsidRPr="00537128" w14:paraId="15CEE05C" w14:textId="77777777" w:rsidTr="00CE00C1">
        <w:trPr>
          <w:trHeight w:hRule="exact" w:val="271"/>
        </w:trPr>
        <w:tc>
          <w:tcPr>
            <w:tcW w:w="2656" w:type="pct"/>
            <w:vAlign w:val="bottom"/>
          </w:tcPr>
          <w:p w14:paraId="3D1DE267" w14:textId="77777777" w:rsidR="00CE00C1" w:rsidRPr="00537128" w:rsidRDefault="00CE00C1" w:rsidP="00CE00C1">
            <w:pPr>
              <w:spacing w:after="0" w:line="240" w:lineRule="auto"/>
              <w:rPr>
                <w:rFonts w:ascii="Calibri" w:eastAsia="Times New Roman" w:hAnsi="Calibri" w:cs="Arial"/>
                <w:lang w:val="en-US"/>
              </w:rPr>
            </w:pPr>
          </w:p>
        </w:tc>
        <w:tc>
          <w:tcPr>
            <w:tcW w:w="595" w:type="pct"/>
            <w:vAlign w:val="center"/>
          </w:tcPr>
          <w:p w14:paraId="3E834D14" w14:textId="77777777" w:rsidR="00CE00C1" w:rsidRPr="00537128" w:rsidRDefault="00CE00C1" w:rsidP="00CE00C1">
            <w:pPr>
              <w:spacing w:after="0" w:line="240" w:lineRule="auto"/>
              <w:jc w:val="center"/>
              <w:rPr>
                <w:rFonts w:ascii="Calibri" w:eastAsia="Times New Roman" w:hAnsi="Calibri" w:cs="Arial"/>
                <w:b/>
                <w:lang w:val="en-US"/>
              </w:rPr>
            </w:pPr>
            <w:r w:rsidRPr="00537128">
              <w:rPr>
                <w:rFonts w:ascii="Calibri" w:eastAsia="Times New Roman" w:hAnsi="Calibri" w:cs="Arial"/>
                <w:b/>
                <w:lang w:val="en-US"/>
              </w:rPr>
              <w:t>Notes</w:t>
            </w:r>
          </w:p>
        </w:tc>
        <w:tc>
          <w:tcPr>
            <w:tcW w:w="816" w:type="pct"/>
            <w:vAlign w:val="center"/>
          </w:tcPr>
          <w:p w14:paraId="4E30D2EE" w14:textId="77777777" w:rsidR="00CE00C1" w:rsidRPr="00537128" w:rsidRDefault="00CE00C1" w:rsidP="00CE00C1">
            <w:pPr>
              <w:spacing w:after="0" w:line="240" w:lineRule="auto"/>
              <w:jc w:val="right"/>
              <w:rPr>
                <w:rFonts w:ascii="Calibri" w:eastAsia="Times New Roman" w:hAnsi="Calibri" w:cs="Arial"/>
                <w:b/>
                <w:bCs/>
                <w:lang w:val="en-US"/>
              </w:rPr>
            </w:pPr>
            <w:r w:rsidRPr="00537128">
              <w:rPr>
                <w:rFonts w:ascii="Calibri" w:eastAsia="Times New Roman" w:hAnsi="Calibri" w:cs="Arial"/>
                <w:b/>
                <w:bCs/>
                <w:lang w:val="en-US"/>
              </w:rPr>
              <w:t>HRK ‘000</w:t>
            </w:r>
          </w:p>
        </w:tc>
        <w:tc>
          <w:tcPr>
            <w:tcW w:w="148" w:type="pct"/>
            <w:vAlign w:val="center"/>
          </w:tcPr>
          <w:p w14:paraId="4218C60F" w14:textId="77777777" w:rsidR="00CE00C1" w:rsidRPr="00537128" w:rsidRDefault="00CE00C1" w:rsidP="00CE00C1">
            <w:pPr>
              <w:spacing w:after="0" w:line="240" w:lineRule="auto"/>
              <w:jc w:val="right"/>
              <w:rPr>
                <w:rFonts w:ascii="Calibri" w:eastAsia="Times New Roman" w:hAnsi="Calibri" w:cs="Arial"/>
                <w:b/>
                <w:lang w:val="en-US"/>
              </w:rPr>
            </w:pPr>
          </w:p>
        </w:tc>
        <w:tc>
          <w:tcPr>
            <w:tcW w:w="785" w:type="pct"/>
            <w:vAlign w:val="center"/>
          </w:tcPr>
          <w:p w14:paraId="4B72FFDF" w14:textId="77777777" w:rsidR="00CE00C1" w:rsidRPr="00537128" w:rsidRDefault="00CE00C1" w:rsidP="00CE00C1">
            <w:pPr>
              <w:spacing w:after="0" w:line="240" w:lineRule="auto"/>
              <w:jc w:val="right"/>
              <w:rPr>
                <w:rFonts w:ascii="Calibri" w:eastAsia="Times New Roman" w:hAnsi="Calibri" w:cs="Arial"/>
                <w:b/>
                <w:lang w:val="en-US"/>
              </w:rPr>
            </w:pPr>
            <w:r w:rsidRPr="00537128">
              <w:rPr>
                <w:rFonts w:ascii="Calibri" w:eastAsia="Times New Roman" w:hAnsi="Calibri" w:cs="Arial"/>
                <w:b/>
                <w:lang w:val="en-US"/>
              </w:rPr>
              <w:t>HRK ‘000</w:t>
            </w:r>
          </w:p>
        </w:tc>
      </w:tr>
      <w:tr w:rsidR="00CE00C1" w:rsidRPr="00537128" w14:paraId="01929D0A" w14:textId="77777777" w:rsidTr="00CE00C1">
        <w:trPr>
          <w:trHeight w:hRule="exact" w:val="162"/>
        </w:trPr>
        <w:tc>
          <w:tcPr>
            <w:tcW w:w="2656" w:type="pct"/>
            <w:vAlign w:val="bottom"/>
          </w:tcPr>
          <w:p w14:paraId="3C81F4CD" w14:textId="77777777" w:rsidR="00CE00C1" w:rsidRPr="00537128" w:rsidRDefault="00CE00C1" w:rsidP="00CE00C1">
            <w:pPr>
              <w:spacing w:after="0" w:line="240" w:lineRule="auto"/>
              <w:rPr>
                <w:rFonts w:ascii="Calibri" w:eastAsia="Times New Roman" w:hAnsi="Calibri" w:cs="Arial"/>
                <w:lang w:val="en-US"/>
              </w:rPr>
            </w:pPr>
          </w:p>
        </w:tc>
        <w:tc>
          <w:tcPr>
            <w:tcW w:w="595" w:type="pct"/>
            <w:vAlign w:val="center"/>
          </w:tcPr>
          <w:p w14:paraId="60992BF8" w14:textId="77777777" w:rsidR="00CE00C1" w:rsidRPr="00537128" w:rsidRDefault="00CE00C1" w:rsidP="00CE00C1">
            <w:pPr>
              <w:spacing w:after="0" w:line="240" w:lineRule="auto"/>
              <w:jc w:val="center"/>
              <w:rPr>
                <w:rFonts w:ascii="Calibri" w:eastAsia="Times New Roman" w:hAnsi="Calibri" w:cs="Arial"/>
                <w:b/>
                <w:lang w:val="en-US"/>
              </w:rPr>
            </w:pPr>
          </w:p>
        </w:tc>
        <w:tc>
          <w:tcPr>
            <w:tcW w:w="816" w:type="pct"/>
            <w:vAlign w:val="center"/>
          </w:tcPr>
          <w:p w14:paraId="6F38BE94" w14:textId="77777777" w:rsidR="00CE00C1" w:rsidRPr="00537128" w:rsidRDefault="00CE00C1" w:rsidP="00CE00C1">
            <w:pPr>
              <w:spacing w:after="0" w:line="240" w:lineRule="auto"/>
              <w:jc w:val="right"/>
              <w:rPr>
                <w:rFonts w:ascii="Calibri" w:eastAsia="Times New Roman" w:hAnsi="Calibri" w:cs="Arial"/>
                <w:b/>
                <w:bCs/>
                <w:lang w:val="en-US"/>
              </w:rPr>
            </w:pPr>
          </w:p>
        </w:tc>
        <w:tc>
          <w:tcPr>
            <w:tcW w:w="148" w:type="pct"/>
            <w:vAlign w:val="center"/>
          </w:tcPr>
          <w:p w14:paraId="6EF42CC6" w14:textId="77777777" w:rsidR="00CE00C1" w:rsidRPr="00537128" w:rsidRDefault="00CE00C1" w:rsidP="00CE00C1">
            <w:pPr>
              <w:spacing w:after="0" w:line="240" w:lineRule="auto"/>
              <w:jc w:val="right"/>
              <w:rPr>
                <w:rFonts w:ascii="Calibri" w:eastAsia="Times New Roman" w:hAnsi="Calibri" w:cs="Arial"/>
                <w:b/>
                <w:lang w:val="en-US"/>
              </w:rPr>
            </w:pPr>
          </w:p>
        </w:tc>
        <w:tc>
          <w:tcPr>
            <w:tcW w:w="785" w:type="pct"/>
            <w:vAlign w:val="center"/>
          </w:tcPr>
          <w:p w14:paraId="28668F42" w14:textId="77777777" w:rsidR="00CE00C1" w:rsidRPr="00537128" w:rsidRDefault="00CE00C1" w:rsidP="00CE00C1">
            <w:pPr>
              <w:spacing w:after="0" w:line="240" w:lineRule="auto"/>
              <w:jc w:val="right"/>
              <w:rPr>
                <w:rFonts w:ascii="Calibri" w:eastAsia="Times New Roman" w:hAnsi="Calibri" w:cs="Arial"/>
                <w:b/>
                <w:lang w:val="en-US"/>
              </w:rPr>
            </w:pPr>
          </w:p>
        </w:tc>
      </w:tr>
      <w:tr w:rsidR="00CE00C1" w:rsidRPr="00537128" w14:paraId="7D33834E" w14:textId="77777777" w:rsidTr="00CE00C1">
        <w:trPr>
          <w:trHeight w:val="297"/>
        </w:trPr>
        <w:tc>
          <w:tcPr>
            <w:tcW w:w="2656" w:type="pct"/>
            <w:vAlign w:val="bottom"/>
          </w:tcPr>
          <w:p w14:paraId="709F35BD" w14:textId="77777777" w:rsidR="00CE00C1" w:rsidRPr="00537128" w:rsidRDefault="00CE00C1" w:rsidP="00CE00C1">
            <w:pPr>
              <w:tabs>
                <w:tab w:val="right" w:pos="1202"/>
              </w:tabs>
              <w:spacing w:after="0" w:line="240" w:lineRule="auto"/>
              <w:outlineLvl w:val="0"/>
              <w:rPr>
                <w:rFonts w:ascii="Calibri" w:eastAsia="Times New Roman" w:hAnsi="Calibri" w:cs="Arial"/>
                <w:b/>
                <w:bCs/>
                <w:lang w:val="en-US"/>
              </w:rPr>
            </w:pPr>
            <w:bookmarkStart w:id="133" w:name="_Toc4057342"/>
            <w:r w:rsidRPr="00537128">
              <w:rPr>
                <w:rFonts w:ascii="Calibri" w:eastAsia="Calibri" w:hAnsi="Calibri" w:cs="Arial"/>
                <w:b/>
                <w:bCs/>
                <w:lang w:val="en-US"/>
              </w:rPr>
              <w:t>Assets</w:t>
            </w:r>
            <w:bookmarkEnd w:id="133"/>
          </w:p>
        </w:tc>
        <w:tc>
          <w:tcPr>
            <w:tcW w:w="595" w:type="pct"/>
            <w:vAlign w:val="center"/>
          </w:tcPr>
          <w:p w14:paraId="26DD7AD7" w14:textId="77777777" w:rsidR="00CE00C1" w:rsidRPr="00537128" w:rsidRDefault="00CE00C1" w:rsidP="00CE00C1">
            <w:pPr>
              <w:tabs>
                <w:tab w:val="right" w:pos="1202"/>
              </w:tabs>
              <w:spacing w:after="0" w:line="240" w:lineRule="auto"/>
              <w:jc w:val="center"/>
              <w:outlineLvl w:val="0"/>
              <w:rPr>
                <w:rFonts w:ascii="Calibri" w:eastAsia="Times New Roman" w:hAnsi="Calibri" w:cs="Arial"/>
                <w:b/>
                <w:bCs/>
                <w:lang w:val="en-US"/>
              </w:rPr>
            </w:pPr>
          </w:p>
        </w:tc>
        <w:tc>
          <w:tcPr>
            <w:tcW w:w="816" w:type="pct"/>
            <w:vAlign w:val="center"/>
          </w:tcPr>
          <w:p w14:paraId="19BE4DC5" w14:textId="77777777" w:rsidR="00CE00C1" w:rsidRPr="00537128" w:rsidRDefault="00CE00C1" w:rsidP="00CE00C1">
            <w:pPr>
              <w:tabs>
                <w:tab w:val="right" w:pos="1202"/>
              </w:tabs>
              <w:spacing w:after="0" w:line="240" w:lineRule="auto"/>
              <w:jc w:val="right"/>
              <w:outlineLvl w:val="0"/>
              <w:rPr>
                <w:rFonts w:ascii="Calibri" w:eastAsia="Times New Roman" w:hAnsi="Calibri" w:cs="Arial"/>
                <w:b/>
                <w:bCs/>
                <w:lang w:val="en-US"/>
              </w:rPr>
            </w:pPr>
          </w:p>
        </w:tc>
        <w:tc>
          <w:tcPr>
            <w:tcW w:w="148" w:type="pct"/>
            <w:vAlign w:val="center"/>
          </w:tcPr>
          <w:p w14:paraId="34BA32DE" w14:textId="77777777" w:rsidR="00CE00C1" w:rsidRPr="00537128" w:rsidRDefault="00CE00C1" w:rsidP="00CE00C1">
            <w:pPr>
              <w:tabs>
                <w:tab w:val="right" w:pos="1202"/>
              </w:tabs>
              <w:spacing w:after="0" w:line="240" w:lineRule="auto"/>
              <w:jc w:val="right"/>
              <w:outlineLvl w:val="0"/>
              <w:rPr>
                <w:rFonts w:ascii="Calibri" w:eastAsia="Times New Roman" w:hAnsi="Calibri" w:cs="Arial"/>
                <w:b/>
                <w:bCs/>
                <w:lang w:val="en-US"/>
              </w:rPr>
            </w:pPr>
          </w:p>
        </w:tc>
        <w:tc>
          <w:tcPr>
            <w:tcW w:w="785" w:type="pct"/>
            <w:vAlign w:val="center"/>
          </w:tcPr>
          <w:p w14:paraId="663E403E" w14:textId="77777777" w:rsidR="00CE00C1" w:rsidRPr="00537128" w:rsidRDefault="00CE00C1" w:rsidP="00CE00C1">
            <w:pPr>
              <w:tabs>
                <w:tab w:val="right" w:pos="1202"/>
              </w:tabs>
              <w:spacing w:after="0" w:line="240" w:lineRule="auto"/>
              <w:jc w:val="right"/>
              <w:outlineLvl w:val="0"/>
              <w:rPr>
                <w:rFonts w:ascii="Calibri" w:eastAsia="Times New Roman" w:hAnsi="Calibri" w:cs="Arial"/>
                <w:b/>
                <w:bCs/>
                <w:lang w:val="en-US"/>
              </w:rPr>
            </w:pPr>
          </w:p>
        </w:tc>
      </w:tr>
      <w:tr w:rsidR="003A480F" w:rsidRPr="00537128" w14:paraId="7ECF3C7C" w14:textId="77777777" w:rsidTr="003A480F">
        <w:trPr>
          <w:trHeight w:val="297"/>
        </w:trPr>
        <w:tc>
          <w:tcPr>
            <w:tcW w:w="2656" w:type="pct"/>
            <w:vAlign w:val="bottom"/>
          </w:tcPr>
          <w:p w14:paraId="3C41400C" w14:textId="77777777" w:rsidR="003A480F" w:rsidRPr="00537128" w:rsidRDefault="003A480F" w:rsidP="003A480F">
            <w:pPr>
              <w:tabs>
                <w:tab w:val="right" w:pos="1202"/>
              </w:tabs>
              <w:spacing w:after="0" w:line="240" w:lineRule="auto"/>
              <w:outlineLvl w:val="0"/>
              <w:rPr>
                <w:rFonts w:ascii="Calibri" w:eastAsia="Times New Roman" w:hAnsi="Calibri" w:cs="Arial"/>
                <w:lang w:val="en-US"/>
              </w:rPr>
            </w:pPr>
            <w:bookmarkStart w:id="134" w:name="_Toc4057343"/>
            <w:r w:rsidRPr="00537128">
              <w:rPr>
                <w:rFonts w:ascii="Calibri" w:eastAsia="Calibri" w:hAnsi="Calibri" w:cs="Arial"/>
                <w:lang w:val="en-US"/>
              </w:rPr>
              <w:t>Cash on hand and current accounts with banks</w:t>
            </w:r>
            <w:bookmarkEnd w:id="134"/>
          </w:p>
        </w:tc>
        <w:tc>
          <w:tcPr>
            <w:tcW w:w="595" w:type="pct"/>
            <w:vAlign w:val="center"/>
          </w:tcPr>
          <w:p w14:paraId="2E42D7D0" w14:textId="4349AFEB" w:rsidR="003A480F" w:rsidRPr="00A1123E" w:rsidRDefault="003A480F" w:rsidP="003A480F">
            <w:pPr>
              <w:tabs>
                <w:tab w:val="right" w:pos="1202"/>
              </w:tabs>
              <w:spacing w:after="0" w:line="240" w:lineRule="auto"/>
              <w:jc w:val="center"/>
              <w:outlineLvl w:val="0"/>
              <w:rPr>
                <w:rFonts w:ascii="Calibri" w:eastAsia="Times New Roman" w:hAnsi="Calibri" w:cs="Arial"/>
                <w:snapToGrid w:val="0"/>
                <w:lang w:val="en-US"/>
              </w:rPr>
            </w:pPr>
            <w:r w:rsidRPr="00A1123E">
              <w:rPr>
                <w:rFonts w:ascii="Calibri" w:eastAsia="Times New Roman" w:hAnsi="Calibri" w:cs="Arial"/>
                <w:snapToGrid w:val="0"/>
                <w:lang w:val="en-US"/>
              </w:rPr>
              <w:t>9</w:t>
            </w:r>
          </w:p>
        </w:tc>
        <w:tc>
          <w:tcPr>
            <w:tcW w:w="816" w:type="pct"/>
            <w:tcBorders>
              <w:top w:val="nil"/>
              <w:left w:val="nil"/>
              <w:bottom w:val="nil"/>
              <w:right w:val="nil"/>
            </w:tcBorders>
            <w:shd w:val="clear" w:color="auto" w:fill="auto"/>
            <w:vAlign w:val="bottom"/>
          </w:tcPr>
          <w:p w14:paraId="555E1D07" w14:textId="4AF2446C" w:rsidR="003A480F" w:rsidRPr="00537128" w:rsidRDefault="003A480F" w:rsidP="003A480F">
            <w:pPr>
              <w:tabs>
                <w:tab w:val="right" w:pos="1202"/>
              </w:tabs>
              <w:spacing w:after="0" w:line="240" w:lineRule="auto"/>
              <w:jc w:val="right"/>
              <w:outlineLvl w:val="0"/>
              <w:rPr>
                <w:rFonts w:ascii="Calibri" w:eastAsia="Times New Roman" w:hAnsi="Calibri" w:cs="Calibri"/>
                <w:snapToGrid w:val="0"/>
                <w:lang w:val="en-US"/>
              </w:rPr>
            </w:pPr>
            <w:r>
              <w:rPr>
                <w:rFonts w:cstheme="minorHAnsi"/>
                <w:snapToGrid w:val="0"/>
                <w:color w:val="000000" w:themeColor="text1"/>
              </w:rPr>
              <w:t>1</w:t>
            </w:r>
            <w:r w:rsidR="0095076B">
              <w:rPr>
                <w:rFonts w:cstheme="minorHAnsi"/>
                <w:snapToGrid w:val="0"/>
                <w:color w:val="000000" w:themeColor="text1"/>
              </w:rPr>
              <w:t>,</w:t>
            </w:r>
            <w:r>
              <w:rPr>
                <w:rFonts w:cstheme="minorHAnsi"/>
                <w:snapToGrid w:val="0"/>
                <w:color w:val="000000" w:themeColor="text1"/>
              </w:rPr>
              <w:t>571</w:t>
            </w:r>
            <w:r w:rsidR="0095076B">
              <w:rPr>
                <w:rFonts w:cstheme="minorHAnsi"/>
                <w:snapToGrid w:val="0"/>
                <w:color w:val="000000" w:themeColor="text1"/>
              </w:rPr>
              <w:t>,</w:t>
            </w:r>
            <w:r>
              <w:rPr>
                <w:rFonts w:cstheme="minorHAnsi"/>
                <w:snapToGrid w:val="0"/>
                <w:color w:val="000000" w:themeColor="text1"/>
              </w:rPr>
              <w:t>206</w:t>
            </w:r>
          </w:p>
        </w:tc>
        <w:tc>
          <w:tcPr>
            <w:tcW w:w="148" w:type="pct"/>
            <w:vAlign w:val="bottom"/>
          </w:tcPr>
          <w:p w14:paraId="168C86EA" w14:textId="77777777" w:rsidR="003A480F" w:rsidRPr="00537128" w:rsidRDefault="003A480F" w:rsidP="003A480F">
            <w:pPr>
              <w:tabs>
                <w:tab w:val="right" w:pos="1202"/>
              </w:tabs>
              <w:spacing w:after="0" w:line="240" w:lineRule="auto"/>
              <w:jc w:val="right"/>
              <w:outlineLvl w:val="0"/>
              <w:rPr>
                <w:rFonts w:ascii="Calibri" w:eastAsia="Times New Roman" w:hAnsi="Calibri" w:cs="Arial"/>
                <w:snapToGrid w:val="0"/>
                <w:lang w:val="en-US"/>
              </w:rPr>
            </w:pPr>
          </w:p>
        </w:tc>
        <w:tc>
          <w:tcPr>
            <w:tcW w:w="785" w:type="pct"/>
            <w:tcBorders>
              <w:top w:val="nil"/>
              <w:left w:val="nil"/>
              <w:bottom w:val="nil"/>
              <w:right w:val="nil"/>
            </w:tcBorders>
            <w:shd w:val="clear" w:color="auto" w:fill="auto"/>
            <w:vAlign w:val="bottom"/>
          </w:tcPr>
          <w:p w14:paraId="28206BAB" w14:textId="6D16ACE3" w:rsidR="003A480F" w:rsidRPr="00537128" w:rsidRDefault="003A480F" w:rsidP="003A480F">
            <w:pPr>
              <w:tabs>
                <w:tab w:val="right" w:pos="1202"/>
              </w:tabs>
              <w:spacing w:after="0" w:line="301" w:lineRule="exact"/>
              <w:jc w:val="right"/>
              <w:outlineLvl w:val="0"/>
              <w:rPr>
                <w:rFonts w:ascii="Calibri" w:eastAsia="Times New Roman" w:hAnsi="Calibri" w:cs="Arial"/>
                <w:snapToGrid w:val="0"/>
                <w:lang w:val="en-US"/>
              </w:rPr>
            </w:pPr>
            <w:r w:rsidRPr="00D44F7C">
              <w:rPr>
                <w:rFonts w:cs="Arial"/>
                <w:snapToGrid w:val="0"/>
                <w:color w:val="000000" w:themeColor="text1"/>
              </w:rPr>
              <w:t>1</w:t>
            </w:r>
            <w:r>
              <w:rPr>
                <w:rFonts w:cs="Arial"/>
                <w:snapToGrid w:val="0"/>
                <w:color w:val="000000" w:themeColor="text1"/>
              </w:rPr>
              <w:t>,</w:t>
            </w:r>
            <w:r w:rsidRPr="00D44F7C">
              <w:rPr>
                <w:rFonts w:cs="Arial"/>
                <w:snapToGrid w:val="0"/>
                <w:color w:val="000000" w:themeColor="text1"/>
              </w:rPr>
              <w:t>958</w:t>
            </w:r>
            <w:r>
              <w:rPr>
                <w:rFonts w:cs="Arial"/>
                <w:snapToGrid w:val="0"/>
                <w:color w:val="000000" w:themeColor="text1"/>
              </w:rPr>
              <w:t>,</w:t>
            </w:r>
            <w:r w:rsidRPr="00D44F7C">
              <w:rPr>
                <w:rFonts w:cs="Arial"/>
                <w:snapToGrid w:val="0"/>
                <w:color w:val="000000" w:themeColor="text1"/>
              </w:rPr>
              <w:t>620</w:t>
            </w:r>
          </w:p>
        </w:tc>
      </w:tr>
      <w:tr w:rsidR="003A480F" w:rsidRPr="00537128" w14:paraId="122FC669" w14:textId="77777777" w:rsidTr="003A480F">
        <w:trPr>
          <w:trHeight w:val="297"/>
        </w:trPr>
        <w:tc>
          <w:tcPr>
            <w:tcW w:w="2656" w:type="pct"/>
            <w:vAlign w:val="bottom"/>
          </w:tcPr>
          <w:p w14:paraId="6F50582E" w14:textId="77777777" w:rsidR="003A480F" w:rsidRPr="00537128" w:rsidRDefault="003A480F" w:rsidP="003A480F">
            <w:pPr>
              <w:tabs>
                <w:tab w:val="right" w:pos="1202"/>
              </w:tabs>
              <w:spacing w:after="0" w:line="240" w:lineRule="auto"/>
              <w:outlineLvl w:val="0"/>
              <w:rPr>
                <w:rFonts w:ascii="Calibri" w:eastAsia="Times New Roman" w:hAnsi="Calibri" w:cs="Arial"/>
                <w:lang w:val="en-US"/>
              </w:rPr>
            </w:pPr>
            <w:bookmarkStart w:id="135" w:name="_Toc4057347"/>
            <w:r w:rsidRPr="00537128">
              <w:rPr>
                <w:rFonts w:ascii="Calibri" w:eastAsia="Calibri" w:hAnsi="Calibri" w:cs="Arial"/>
                <w:lang w:val="en-US"/>
              </w:rPr>
              <w:t>Deposits with other banks</w:t>
            </w:r>
            <w:bookmarkEnd w:id="135"/>
          </w:p>
        </w:tc>
        <w:tc>
          <w:tcPr>
            <w:tcW w:w="595" w:type="pct"/>
            <w:vAlign w:val="center"/>
          </w:tcPr>
          <w:p w14:paraId="7853D5B8" w14:textId="6B26F164" w:rsidR="003A480F" w:rsidRPr="00A1123E" w:rsidRDefault="003A480F" w:rsidP="003A480F">
            <w:pPr>
              <w:tabs>
                <w:tab w:val="right" w:pos="1202"/>
              </w:tabs>
              <w:spacing w:after="0" w:line="240" w:lineRule="auto"/>
              <w:jc w:val="center"/>
              <w:outlineLvl w:val="0"/>
              <w:rPr>
                <w:rFonts w:ascii="Calibri" w:eastAsia="Times New Roman" w:hAnsi="Calibri" w:cs="Arial"/>
                <w:snapToGrid w:val="0"/>
                <w:lang w:val="en-US"/>
              </w:rPr>
            </w:pPr>
            <w:bookmarkStart w:id="136" w:name="_Toc4057348"/>
            <w:r w:rsidRPr="00A1123E">
              <w:rPr>
                <w:rFonts w:ascii="Calibri" w:eastAsia="Times New Roman" w:hAnsi="Calibri" w:cs="Arial"/>
                <w:snapToGrid w:val="0"/>
                <w:lang w:val="en-US"/>
              </w:rPr>
              <w:t>1</w:t>
            </w:r>
            <w:bookmarkEnd w:id="136"/>
            <w:r w:rsidRPr="00A1123E">
              <w:rPr>
                <w:rFonts w:ascii="Calibri" w:eastAsia="Times New Roman" w:hAnsi="Calibri" w:cs="Arial"/>
                <w:snapToGrid w:val="0"/>
                <w:lang w:val="en-US"/>
              </w:rPr>
              <w:t>0</w:t>
            </w:r>
          </w:p>
        </w:tc>
        <w:tc>
          <w:tcPr>
            <w:tcW w:w="816" w:type="pct"/>
            <w:tcBorders>
              <w:top w:val="nil"/>
              <w:left w:val="nil"/>
              <w:bottom w:val="nil"/>
              <w:right w:val="nil"/>
            </w:tcBorders>
            <w:shd w:val="clear" w:color="auto" w:fill="auto"/>
            <w:vAlign w:val="bottom"/>
          </w:tcPr>
          <w:p w14:paraId="433ADB2C" w14:textId="340FB711" w:rsidR="003A480F" w:rsidRPr="00537128" w:rsidRDefault="003A480F" w:rsidP="003A480F">
            <w:pPr>
              <w:tabs>
                <w:tab w:val="right" w:pos="1202"/>
              </w:tabs>
              <w:spacing w:after="0" w:line="240" w:lineRule="auto"/>
              <w:jc w:val="right"/>
              <w:outlineLvl w:val="0"/>
              <w:rPr>
                <w:rFonts w:ascii="Calibri" w:eastAsia="Times New Roman" w:hAnsi="Calibri" w:cs="Calibri"/>
                <w:snapToGrid w:val="0"/>
                <w:lang w:val="en-US"/>
              </w:rPr>
            </w:pPr>
            <w:r>
              <w:rPr>
                <w:rFonts w:cstheme="minorHAnsi"/>
                <w:snapToGrid w:val="0"/>
                <w:color w:val="000000" w:themeColor="text1"/>
              </w:rPr>
              <w:t>15</w:t>
            </w:r>
            <w:r w:rsidR="0095076B">
              <w:rPr>
                <w:rFonts w:cstheme="minorHAnsi"/>
                <w:snapToGrid w:val="0"/>
                <w:color w:val="000000" w:themeColor="text1"/>
              </w:rPr>
              <w:t>,</w:t>
            </w:r>
            <w:r>
              <w:rPr>
                <w:rFonts w:cstheme="minorHAnsi"/>
                <w:snapToGrid w:val="0"/>
                <w:color w:val="000000" w:themeColor="text1"/>
              </w:rPr>
              <w:t>215</w:t>
            </w:r>
          </w:p>
        </w:tc>
        <w:tc>
          <w:tcPr>
            <w:tcW w:w="148" w:type="pct"/>
            <w:vAlign w:val="bottom"/>
          </w:tcPr>
          <w:p w14:paraId="43F6ED0B" w14:textId="77777777" w:rsidR="003A480F" w:rsidRPr="00537128" w:rsidRDefault="003A480F" w:rsidP="003A480F">
            <w:pPr>
              <w:tabs>
                <w:tab w:val="right" w:pos="1202"/>
              </w:tabs>
              <w:spacing w:after="0" w:line="240" w:lineRule="auto"/>
              <w:jc w:val="right"/>
              <w:outlineLvl w:val="0"/>
              <w:rPr>
                <w:rFonts w:ascii="Calibri" w:eastAsia="Times New Roman" w:hAnsi="Calibri" w:cs="Arial"/>
                <w:snapToGrid w:val="0"/>
                <w:lang w:val="en-US"/>
              </w:rPr>
            </w:pPr>
          </w:p>
        </w:tc>
        <w:tc>
          <w:tcPr>
            <w:tcW w:w="785" w:type="pct"/>
            <w:tcBorders>
              <w:top w:val="nil"/>
              <w:left w:val="nil"/>
              <w:bottom w:val="nil"/>
              <w:right w:val="nil"/>
            </w:tcBorders>
            <w:shd w:val="clear" w:color="auto" w:fill="auto"/>
            <w:vAlign w:val="bottom"/>
          </w:tcPr>
          <w:p w14:paraId="72F09277" w14:textId="2A2F3964" w:rsidR="003A480F" w:rsidRPr="00537128" w:rsidRDefault="003A480F" w:rsidP="003A480F">
            <w:pPr>
              <w:tabs>
                <w:tab w:val="right" w:pos="1202"/>
              </w:tabs>
              <w:spacing w:after="0" w:line="301" w:lineRule="exact"/>
              <w:jc w:val="right"/>
              <w:outlineLvl w:val="0"/>
              <w:rPr>
                <w:rFonts w:ascii="Calibri" w:eastAsia="Times New Roman" w:hAnsi="Calibri" w:cs="Arial"/>
                <w:snapToGrid w:val="0"/>
                <w:lang w:val="en-US"/>
              </w:rPr>
            </w:pPr>
            <w:r w:rsidRPr="00D44F7C">
              <w:rPr>
                <w:rFonts w:cs="Arial"/>
                <w:snapToGrid w:val="0"/>
                <w:color w:val="000000" w:themeColor="text1"/>
              </w:rPr>
              <w:t>7</w:t>
            </w:r>
            <w:r>
              <w:rPr>
                <w:rFonts w:cs="Arial"/>
                <w:snapToGrid w:val="0"/>
                <w:color w:val="000000" w:themeColor="text1"/>
              </w:rPr>
              <w:t>,</w:t>
            </w:r>
            <w:r w:rsidRPr="00D44F7C">
              <w:rPr>
                <w:rFonts w:cs="Arial"/>
                <w:snapToGrid w:val="0"/>
                <w:color w:val="000000" w:themeColor="text1"/>
              </w:rPr>
              <w:t>500</w:t>
            </w:r>
          </w:p>
        </w:tc>
      </w:tr>
      <w:tr w:rsidR="003A480F" w:rsidRPr="00537128" w14:paraId="024F034C" w14:textId="77777777" w:rsidTr="003A480F">
        <w:trPr>
          <w:trHeight w:val="307"/>
        </w:trPr>
        <w:tc>
          <w:tcPr>
            <w:tcW w:w="2656" w:type="pct"/>
            <w:vAlign w:val="bottom"/>
          </w:tcPr>
          <w:p w14:paraId="4DDB6244" w14:textId="77777777" w:rsidR="003A480F" w:rsidRPr="00537128" w:rsidRDefault="003A480F" w:rsidP="003A480F">
            <w:pPr>
              <w:tabs>
                <w:tab w:val="right" w:pos="1202"/>
              </w:tabs>
              <w:spacing w:after="0" w:line="240" w:lineRule="auto"/>
              <w:outlineLvl w:val="0"/>
              <w:rPr>
                <w:rFonts w:ascii="Calibri" w:eastAsia="Times New Roman" w:hAnsi="Calibri" w:cs="Arial"/>
                <w:lang w:val="en-US"/>
              </w:rPr>
            </w:pPr>
            <w:bookmarkStart w:id="137" w:name="_Toc4057351"/>
            <w:r w:rsidRPr="00537128">
              <w:rPr>
                <w:rFonts w:ascii="Calibri" w:eastAsia="Calibri" w:hAnsi="Calibri" w:cs="Arial"/>
                <w:lang w:val="en-US"/>
              </w:rPr>
              <w:t>Loans to financial institutions</w:t>
            </w:r>
            <w:bookmarkEnd w:id="137"/>
          </w:p>
        </w:tc>
        <w:tc>
          <w:tcPr>
            <w:tcW w:w="595" w:type="pct"/>
            <w:vAlign w:val="center"/>
          </w:tcPr>
          <w:p w14:paraId="7455A66A" w14:textId="47153320" w:rsidR="003A480F" w:rsidRPr="00A1123E" w:rsidRDefault="003A480F" w:rsidP="003A480F">
            <w:pPr>
              <w:tabs>
                <w:tab w:val="right" w:pos="1202"/>
              </w:tabs>
              <w:spacing w:after="0" w:line="240" w:lineRule="auto"/>
              <w:jc w:val="center"/>
              <w:outlineLvl w:val="0"/>
              <w:rPr>
                <w:rFonts w:ascii="Calibri" w:eastAsia="Times New Roman" w:hAnsi="Calibri" w:cs="Arial"/>
                <w:snapToGrid w:val="0"/>
                <w:lang w:val="en-US"/>
              </w:rPr>
            </w:pPr>
            <w:bookmarkStart w:id="138" w:name="_Toc4057352"/>
            <w:r w:rsidRPr="00A1123E">
              <w:rPr>
                <w:rFonts w:ascii="Calibri" w:eastAsia="Times New Roman" w:hAnsi="Calibri" w:cs="Arial"/>
                <w:snapToGrid w:val="0"/>
                <w:lang w:val="en-US"/>
              </w:rPr>
              <w:t>1</w:t>
            </w:r>
            <w:bookmarkEnd w:id="138"/>
            <w:r w:rsidRPr="00A1123E">
              <w:rPr>
                <w:rFonts w:ascii="Calibri" w:eastAsia="Times New Roman" w:hAnsi="Calibri" w:cs="Arial"/>
                <w:snapToGrid w:val="0"/>
                <w:lang w:val="en-US"/>
              </w:rPr>
              <w:t>1</w:t>
            </w:r>
          </w:p>
        </w:tc>
        <w:tc>
          <w:tcPr>
            <w:tcW w:w="816" w:type="pct"/>
            <w:tcBorders>
              <w:top w:val="nil"/>
              <w:left w:val="nil"/>
              <w:bottom w:val="nil"/>
              <w:right w:val="nil"/>
            </w:tcBorders>
            <w:shd w:val="clear" w:color="auto" w:fill="auto"/>
            <w:vAlign w:val="bottom"/>
          </w:tcPr>
          <w:p w14:paraId="14DE16F0" w14:textId="21F0E51F" w:rsidR="003A480F" w:rsidRPr="00537128" w:rsidRDefault="003A480F" w:rsidP="003A480F">
            <w:pPr>
              <w:tabs>
                <w:tab w:val="right" w:pos="1202"/>
              </w:tabs>
              <w:spacing w:after="0" w:line="240" w:lineRule="auto"/>
              <w:jc w:val="right"/>
              <w:outlineLvl w:val="0"/>
              <w:rPr>
                <w:rFonts w:ascii="Calibri" w:eastAsia="Times New Roman" w:hAnsi="Calibri" w:cs="Calibri"/>
                <w:snapToGrid w:val="0"/>
                <w:lang w:val="en-US"/>
              </w:rPr>
            </w:pPr>
            <w:r>
              <w:rPr>
                <w:rFonts w:cstheme="minorHAnsi"/>
                <w:snapToGrid w:val="0"/>
                <w:color w:val="000000" w:themeColor="text1"/>
              </w:rPr>
              <w:t>6</w:t>
            </w:r>
            <w:r w:rsidR="0095076B">
              <w:rPr>
                <w:rFonts w:cstheme="minorHAnsi"/>
                <w:snapToGrid w:val="0"/>
                <w:color w:val="000000" w:themeColor="text1"/>
              </w:rPr>
              <w:t>,</w:t>
            </w:r>
            <w:r>
              <w:rPr>
                <w:rFonts w:cstheme="minorHAnsi"/>
                <w:snapToGrid w:val="0"/>
                <w:color w:val="000000" w:themeColor="text1"/>
              </w:rPr>
              <w:t>941</w:t>
            </w:r>
            <w:r w:rsidR="0095076B">
              <w:rPr>
                <w:rFonts w:cstheme="minorHAnsi"/>
                <w:snapToGrid w:val="0"/>
                <w:color w:val="000000" w:themeColor="text1"/>
              </w:rPr>
              <w:t>,</w:t>
            </w:r>
            <w:r>
              <w:rPr>
                <w:rFonts w:cstheme="minorHAnsi"/>
                <w:snapToGrid w:val="0"/>
                <w:color w:val="000000" w:themeColor="text1"/>
              </w:rPr>
              <w:t>960</w:t>
            </w:r>
          </w:p>
        </w:tc>
        <w:tc>
          <w:tcPr>
            <w:tcW w:w="148" w:type="pct"/>
            <w:vAlign w:val="bottom"/>
          </w:tcPr>
          <w:p w14:paraId="2722B45B" w14:textId="77777777" w:rsidR="003A480F" w:rsidRPr="00537128" w:rsidRDefault="003A480F" w:rsidP="003A480F">
            <w:pPr>
              <w:tabs>
                <w:tab w:val="right" w:pos="1202"/>
              </w:tabs>
              <w:spacing w:after="0" w:line="240" w:lineRule="auto"/>
              <w:jc w:val="right"/>
              <w:outlineLvl w:val="0"/>
              <w:rPr>
                <w:rFonts w:ascii="Calibri" w:eastAsia="Times New Roman" w:hAnsi="Calibri" w:cs="Arial"/>
                <w:snapToGrid w:val="0"/>
                <w:lang w:val="en-US"/>
              </w:rPr>
            </w:pPr>
          </w:p>
        </w:tc>
        <w:tc>
          <w:tcPr>
            <w:tcW w:w="785" w:type="pct"/>
            <w:tcBorders>
              <w:top w:val="nil"/>
              <w:left w:val="nil"/>
              <w:bottom w:val="nil"/>
              <w:right w:val="nil"/>
            </w:tcBorders>
            <w:shd w:val="clear" w:color="auto" w:fill="auto"/>
            <w:vAlign w:val="bottom"/>
          </w:tcPr>
          <w:p w14:paraId="796DBF40" w14:textId="60F07F75" w:rsidR="003A480F" w:rsidRPr="00537128" w:rsidRDefault="003A480F" w:rsidP="003A480F">
            <w:pPr>
              <w:tabs>
                <w:tab w:val="right" w:pos="1202"/>
              </w:tabs>
              <w:spacing w:after="0" w:line="301" w:lineRule="exact"/>
              <w:jc w:val="right"/>
              <w:outlineLvl w:val="0"/>
              <w:rPr>
                <w:rFonts w:ascii="Calibri" w:eastAsia="Times New Roman" w:hAnsi="Calibri" w:cs="Arial"/>
                <w:snapToGrid w:val="0"/>
                <w:lang w:val="en-US"/>
              </w:rPr>
            </w:pPr>
            <w:r w:rsidRPr="00D44F7C">
              <w:rPr>
                <w:rFonts w:cs="Arial"/>
                <w:snapToGrid w:val="0"/>
                <w:color w:val="000000" w:themeColor="text1"/>
              </w:rPr>
              <w:t>7</w:t>
            </w:r>
            <w:r>
              <w:rPr>
                <w:rFonts w:cs="Arial"/>
                <w:snapToGrid w:val="0"/>
                <w:color w:val="000000" w:themeColor="text1"/>
              </w:rPr>
              <w:t>,</w:t>
            </w:r>
            <w:r w:rsidRPr="00D44F7C">
              <w:rPr>
                <w:rFonts w:cs="Arial"/>
                <w:snapToGrid w:val="0"/>
                <w:color w:val="000000" w:themeColor="text1"/>
              </w:rPr>
              <w:t>050</w:t>
            </w:r>
            <w:r>
              <w:rPr>
                <w:rFonts w:cs="Arial"/>
                <w:snapToGrid w:val="0"/>
                <w:color w:val="000000" w:themeColor="text1"/>
              </w:rPr>
              <w:t>,</w:t>
            </w:r>
            <w:r w:rsidRPr="00D44F7C">
              <w:rPr>
                <w:rFonts w:cs="Arial"/>
                <w:snapToGrid w:val="0"/>
                <w:color w:val="000000" w:themeColor="text1"/>
              </w:rPr>
              <w:t>143</w:t>
            </w:r>
          </w:p>
        </w:tc>
      </w:tr>
      <w:tr w:rsidR="003A480F" w:rsidRPr="00537128" w14:paraId="17C6C0F5" w14:textId="77777777" w:rsidTr="003A480F">
        <w:trPr>
          <w:trHeight w:val="297"/>
        </w:trPr>
        <w:tc>
          <w:tcPr>
            <w:tcW w:w="2656" w:type="pct"/>
            <w:vAlign w:val="bottom"/>
          </w:tcPr>
          <w:p w14:paraId="2C3E36A1" w14:textId="77777777" w:rsidR="003A480F" w:rsidRPr="00537128" w:rsidRDefault="003A480F" w:rsidP="003A480F">
            <w:pPr>
              <w:tabs>
                <w:tab w:val="right" w:pos="1202"/>
              </w:tabs>
              <w:spacing w:after="0" w:line="240" w:lineRule="auto"/>
              <w:outlineLvl w:val="0"/>
              <w:rPr>
                <w:rFonts w:ascii="Calibri" w:eastAsia="Times New Roman" w:hAnsi="Calibri" w:cs="Arial"/>
                <w:lang w:val="en-US"/>
              </w:rPr>
            </w:pPr>
            <w:bookmarkStart w:id="139" w:name="_Toc4057355"/>
            <w:r w:rsidRPr="00537128">
              <w:rPr>
                <w:rFonts w:ascii="Calibri" w:eastAsia="Calibri" w:hAnsi="Calibri" w:cs="Arial"/>
                <w:lang w:val="en-US"/>
              </w:rPr>
              <w:t>Loans to other customers</w:t>
            </w:r>
            <w:bookmarkEnd w:id="139"/>
          </w:p>
        </w:tc>
        <w:tc>
          <w:tcPr>
            <w:tcW w:w="595" w:type="pct"/>
            <w:vAlign w:val="center"/>
          </w:tcPr>
          <w:p w14:paraId="69C284EC" w14:textId="1334B8B0" w:rsidR="003A480F" w:rsidRPr="00A1123E" w:rsidRDefault="003A480F" w:rsidP="003A480F">
            <w:pPr>
              <w:tabs>
                <w:tab w:val="right" w:pos="1202"/>
              </w:tabs>
              <w:spacing w:after="0" w:line="240" w:lineRule="auto"/>
              <w:jc w:val="center"/>
              <w:outlineLvl w:val="0"/>
              <w:rPr>
                <w:rFonts w:ascii="Calibri" w:eastAsia="Times New Roman" w:hAnsi="Calibri" w:cs="Arial"/>
                <w:spacing w:val="-2"/>
                <w:lang w:val="en-US"/>
              </w:rPr>
            </w:pPr>
            <w:bookmarkStart w:id="140" w:name="_Toc4057356"/>
            <w:r w:rsidRPr="00A1123E">
              <w:rPr>
                <w:rFonts w:ascii="Calibri" w:eastAsia="Times New Roman" w:hAnsi="Calibri" w:cs="Arial"/>
                <w:snapToGrid w:val="0"/>
                <w:lang w:val="en-US"/>
              </w:rPr>
              <w:t>1</w:t>
            </w:r>
            <w:bookmarkEnd w:id="140"/>
            <w:r w:rsidRPr="00A1123E">
              <w:rPr>
                <w:rFonts w:ascii="Calibri" w:eastAsia="Times New Roman" w:hAnsi="Calibri" w:cs="Arial"/>
                <w:snapToGrid w:val="0"/>
                <w:lang w:val="en-US"/>
              </w:rPr>
              <w:t>2</w:t>
            </w:r>
          </w:p>
        </w:tc>
        <w:tc>
          <w:tcPr>
            <w:tcW w:w="816" w:type="pct"/>
            <w:tcBorders>
              <w:top w:val="nil"/>
              <w:left w:val="nil"/>
              <w:bottom w:val="nil"/>
              <w:right w:val="nil"/>
            </w:tcBorders>
            <w:shd w:val="clear" w:color="auto" w:fill="auto"/>
            <w:vAlign w:val="bottom"/>
          </w:tcPr>
          <w:p w14:paraId="667238AF" w14:textId="617B5E1E" w:rsidR="003A480F" w:rsidRPr="00537128" w:rsidRDefault="003A480F" w:rsidP="003A480F">
            <w:pPr>
              <w:tabs>
                <w:tab w:val="right" w:pos="1202"/>
              </w:tabs>
              <w:spacing w:after="0" w:line="240" w:lineRule="auto"/>
              <w:jc w:val="right"/>
              <w:outlineLvl w:val="0"/>
              <w:rPr>
                <w:rFonts w:ascii="Calibri" w:eastAsia="Times New Roman" w:hAnsi="Calibri" w:cs="Calibri"/>
                <w:spacing w:val="-2"/>
                <w:lang w:val="en-US"/>
              </w:rPr>
            </w:pPr>
            <w:r>
              <w:rPr>
                <w:rFonts w:cstheme="minorHAnsi"/>
                <w:color w:val="000000" w:themeColor="text1"/>
                <w:spacing w:val="-2"/>
              </w:rPr>
              <w:t>15</w:t>
            </w:r>
            <w:r w:rsidR="0095076B">
              <w:rPr>
                <w:rFonts w:cstheme="minorHAnsi"/>
                <w:color w:val="000000" w:themeColor="text1"/>
                <w:spacing w:val="-2"/>
              </w:rPr>
              <w:t>,</w:t>
            </w:r>
            <w:r>
              <w:rPr>
                <w:rFonts w:cstheme="minorHAnsi"/>
                <w:color w:val="000000" w:themeColor="text1"/>
                <w:spacing w:val="-2"/>
              </w:rPr>
              <w:t>726</w:t>
            </w:r>
            <w:r w:rsidR="0095076B">
              <w:rPr>
                <w:rFonts w:cstheme="minorHAnsi"/>
                <w:color w:val="000000" w:themeColor="text1"/>
                <w:spacing w:val="-2"/>
              </w:rPr>
              <w:t>,</w:t>
            </w:r>
            <w:r>
              <w:rPr>
                <w:rFonts w:cstheme="minorHAnsi"/>
                <w:color w:val="000000" w:themeColor="text1"/>
                <w:spacing w:val="-2"/>
              </w:rPr>
              <w:t>433</w:t>
            </w:r>
          </w:p>
        </w:tc>
        <w:tc>
          <w:tcPr>
            <w:tcW w:w="148" w:type="pct"/>
            <w:vAlign w:val="bottom"/>
          </w:tcPr>
          <w:p w14:paraId="46F58171" w14:textId="77777777" w:rsidR="003A480F" w:rsidRPr="00537128" w:rsidRDefault="003A480F" w:rsidP="003A480F">
            <w:pPr>
              <w:tabs>
                <w:tab w:val="right" w:pos="1202"/>
              </w:tabs>
              <w:spacing w:after="0" w:line="240" w:lineRule="auto"/>
              <w:jc w:val="right"/>
              <w:outlineLvl w:val="0"/>
              <w:rPr>
                <w:rFonts w:ascii="Calibri" w:eastAsia="Times New Roman" w:hAnsi="Calibri" w:cs="Arial"/>
                <w:spacing w:val="-2"/>
                <w:lang w:val="en-US"/>
              </w:rPr>
            </w:pPr>
          </w:p>
        </w:tc>
        <w:tc>
          <w:tcPr>
            <w:tcW w:w="785" w:type="pct"/>
            <w:tcBorders>
              <w:top w:val="nil"/>
              <w:left w:val="nil"/>
              <w:bottom w:val="nil"/>
              <w:right w:val="nil"/>
            </w:tcBorders>
            <w:shd w:val="clear" w:color="auto" w:fill="auto"/>
            <w:vAlign w:val="bottom"/>
          </w:tcPr>
          <w:p w14:paraId="5373AD28" w14:textId="494421AC" w:rsidR="003A480F" w:rsidRPr="00537128" w:rsidRDefault="003A480F" w:rsidP="003A480F">
            <w:pPr>
              <w:tabs>
                <w:tab w:val="right" w:pos="1202"/>
              </w:tabs>
              <w:spacing w:after="0" w:line="301" w:lineRule="exact"/>
              <w:jc w:val="right"/>
              <w:outlineLvl w:val="0"/>
              <w:rPr>
                <w:rFonts w:ascii="Calibri" w:eastAsia="Times New Roman" w:hAnsi="Calibri" w:cs="Arial"/>
                <w:spacing w:val="-2"/>
                <w:lang w:val="en-US"/>
              </w:rPr>
            </w:pPr>
            <w:r w:rsidRPr="00D44F7C">
              <w:rPr>
                <w:rFonts w:cs="Arial"/>
                <w:color w:val="000000" w:themeColor="text1"/>
                <w:spacing w:val="-2"/>
              </w:rPr>
              <w:t>15</w:t>
            </w:r>
            <w:r>
              <w:rPr>
                <w:rFonts w:cs="Arial"/>
                <w:color w:val="000000" w:themeColor="text1"/>
                <w:spacing w:val="-2"/>
              </w:rPr>
              <w:t>,</w:t>
            </w:r>
            <w:r w:rsidRPr="00D44F7C">
              <w:rPr>
                <w:rFonts w:cs="Arial"/>
                <w:color w:val="000000" w:themeColor="text1"/>
                <w:spacing w:val="-2"/>
              </w:rPr>
              <w:t>964</w:t>
            </w:r>
            <w:r>
              <w:rPr>
                <w:rFonts w:cs="Arial"/>
                <w:color w:val="000000" w:themeColor="text1"/>
                <w:spacing w:val="-2"/>
              </w:rPr>
              <w:t>,</w:t>
            </w:r>
            <w:r w:rsidRPr="00D44F7C">
              <w:rPr>
                <w:rFonts w:cs="Arial"/>
                <w:color w:val="000000" w:themeColor="text1"/>
                <w:spacing w:val="-2"/>
              </w:rPr>
              <w:t>376</w:t>
            </w:r>
          </w:p>
        </w:tc>
      </w:tr>
      <w:tr w:rsidR="003A480F" w:rsidRPr="00537128" w14:paraId="498EAAA6" w14:textId="77777777" w:rsidTr="003A480F">
        <w:trPr>
          <w:trHeight w:val="297"/>
        </w:trPr>
        <w:tc>
          <w:tcPr>
            <w:tcW w:w="2656" w:type="pct"/>
            <w:vAlign w:val="bottom"/>
          </w:tcPr>
          <w:p w14:paraId="3EE54049" w14:textId="77777777" w:rsidR="003A480F" w:rsidRPr="00537128" w:rsidRDefault="003A480F" w:rsidP="003A480F">
            <w:pPr>
              <w:tabs>
                <w:tab w:val="right" w:pos="1202"/>
              </w:tabs>
              <w:spacing w:after="0" w:line="240" w:lineRule="auto"/>
              <w:outlineLvl w:val="0"/>
              <w:rPr>
                <w:rFonts w:ascii="Calibri" w:eastAsia="Calibri" w:hAnsi="Calibri" w:cs="Arial"/>
                <w:lang w:val="en-US"/>
              </w:rPr>
            </w:pPr>
            <w:bookmarkStart w:id="141" w:name="_Toc4057359"/>
            <w:r w:rsidRPr="00537128">
              <w:rPr>
                <w:rFonts w:ascii="Calibri" w:eastAsia="Calibri" w:hAnsi="Calibri" w:cs="Calibri"/>
                <w:lang w:val="en-US"/>
              </w:rPr>
              <w:t>Financial assets at fair value through profit or loss</w:t>
            </w:r>
            <w:bookmarkEnd w:id="141"/>
          </w:p>
        </w:tc>
        <w:tc>
          <w:tcPr>
            <w:tcW w:w="595" w:type="pct"/>
            <w:vAlign w:val="center"/>
          </w:tcPr>
          <w:p w14:paraId="7BDFFCB8" w14:textId="103FD1F2" w:rsidR="003A480F" w:rsidRPr="00A1123E" w:rsidRDefault="003A480F" w:rsidP="003A480F">
            <w:pPr>
              <w:tabs>
                <w:tab w:val="right" w:pos="1202"/>
              </w:tabs>
              <w:spacing w:after="0" w:line="240" w:lineRule="auto"/>
              <w:jc w:val="center"/>
              <w:outlineLvl w:val="0"/>
              <w:rPr>
                <w:rFonts w:ascii="Calibri" w:eastAsia="Times New Roman" w:hAnsi="Calibri" w:cs="Arial"/>
                <w:spacing w:val="-2"/>
                <w:lang w:val="en-US"/>
              </w:rPr>
            </w:pPr>
            <w:bookmarkStart w:id="142" w:name="_Toc4057360"/>
            <w:r w:rsidRPr="00A1123E">
              <w:rPr>
                <w:rFonts w:ascii="Calibri" w:eastAsia="Times New Roman" w:hAnsi="Calibri" w:cs="Arial"/>
                <w:spacing w:val="-2"/>
                <w:lang w:val="en-US"/>
              </w:rPr>
              <w:t>1</w:t>
            </w:r>
            <w:bookmarkEnd w:id="142"/>
            <w:r w:rsidRPr="00A1123E">
              <w:rPr>
                <w:rFonts w:ascii="Calibri" w:eastAsia="Times New Roman" w:hAnsi="Calibri" w:cs="Arial"/>
                <w:spacing w:val="-2"/>
                <w:lang w:val="en-US"/>
              </w:rPr>
              <w:t>3</w:t>
            </w:r>
          </w:p>
        </w:tc>
        <w:tc>
          <w:tcPr>
            <w:tcW w:w="816" w:type="pct"/>
            <w:tcBorders>
              <w:top w:val="nil"/>
              <w:left w:val="nil"/>
              <w:bottom w:val="nil"/>
              <w:right w:val="nil"/>
            </w:tcBorders>
            <w:shd w:val="clear" w:color="auto" w:fill="auto"/>
            <w:vAlign w:val="bottom"/>
          </w:tcPr>
          <w:p w14:paraId="5AEF14A1" w14:textId="43980C88" w:rsidR="003A480F" w:rsidRPr="00537128" w:rsidRDefault="003A480F" w:rsidP="003A480F">
            <w:pPr>
              <w:tabs>
                <w:tab w:val="right" w:pos="1202"/>
              </w:tabs>
              <w:spacing w:after="0" w:line="240" w:lineRule="auto"/>
              <w:jc w:val="right"/>
              <w:outlineLvl w:val="0"/>
              <w:rPr>
                <w:rFonts w:ascii="Calibri" w:eastAsia="Times New Roman" w:hAnsi="Calibri" w:cs="Calibri"/>
                <w:spacing w:val="-2"/>
                <w:lang w:val="en-US"/>
              </w:rPr>
            </w:pPr>
            <w:r>
              <w:rPr>
                <w:rFonts w:cs="Arial"/>
                <w:color w:val="000000" w:themeColor="text1"/>
                <w:spacing w:val="-2"/>
              </w:rPr>
              <w:t>129</w:t>
            </w:r>
            <w:r w:rsidR="0095076B">
              <w:rPr>
                <w:rFonts w:cs="Arial"/>
                <w:color w:val="000000" w:themeColor="text1"/>
                <w:spacing w:val="-2"/>
              </w:rPr>
              <w:t>,</w:t>
            </w:r>
            <w:r>
              <w:rPr>
                <w:rFonts w:cs="Arial"/>
                <w:color w:val="000000" w:themeColor="text1"/>
                <w:spacing w:val="-2"/>
              </w:rPr>
              <w:t>544</w:t>
            </w:r>
          </w:p>
        </w:tc>
        <w:tc>
          <w:tcPr>
            <w:tcW w:w="148" w:type="pct"/>
            <w:vAlign w:val="bottom"/>
          </w:tcPr>
          <w:p w14:paraId="20F75302" w14:textId="77777777" w:rsidR="003A480F" w:rsidRPr="00537128" w:rsidRDefault="003A480F" w:rsidP="003A480F">
            <w:pPr>
              <w:tabs>
                <w:tab w:val="right" w:pos="1202"/>
              </w:tabs>
              <w:spacing w:after="0" w:line="240" w:lineRule="auto"/>
              <w:jc w:val="right"/>
              <w:outlineLvl w:val="0"/>
              <w:rPr>
                <w:rFonts w:ascii="Calibri" w:eastAsia="Times New Roman" w:hAnsi="Calibri" w:cs="Arial"/>
                <w:spacing w:val="-2"/>
                <w:lang w:val="en-US"/>
              </w:rPr>
            </w:pPr>
          </w:p>
        </w:tc>
        <w:tc>
          <w:tcPr>
            <w:tcW w:w="785" w:type="pct"/>
            <w:tcBorders>
              <w:top w:val="nil"/>
              <w:left w:val="nil"/>
              <w:bottom w:val="nil"/>
              <w:right w:val="nil"/>
            </w:tcBorders>
            <w:shd w:val="clear" w:color="auto" w:fill="auto"/>
            <w:vAlign w:val="bottom"/>
          </w:tcPr>
          <w:p w14:paraId="4B384A7E" w14:textId="2890AA3C" w:rsidR="003A480F" w:rsidRPr="00537128" w:rsidRDefault="003A480F" w:rsidP="003A480F">
            <w:pPr>
              <w:tabs>
                <w:tab w:val="right" w:pos="1202"/>
              </w:tabs>
              <w:spacing w:after="0" w:line="301" w:lineRule="exact"/>
              <w:jc w:val="right"/>
              <w:outlineLvl w:val="0"/>
              <w:rPr>
                <w:rFonts w:ascii="Calibri" w:eastAsia="Times New Roman" w:hAnsi="Calibri" w:cs="Calibri"/>
                <w:color w:val="000000"/>
                <w:lang w:val="en-US"/>
              </w:rPr>
            </w:pPr>
            <w:r w:rsidRPr="00D44F7C">
              <w:rPr>
                <w:rFonts w:cs="Arial"/>
                <w:color w:val="000000" w:themeColor="text1"/>
                <w:spacing w:val="-2"/>
              </w:rPr>
              <w:t>218</w:t>
            </w:r>
            <w:r>
              <w:rPr>
                <w:rFonts w:cs="Arial"/>
                <w:color w:val="000000" w:themeColor="text1"/>
                <w:spacing w:val="-2"/>
              </w:rPr>
              <w:t>,</w:t>
            </w:r>
            <w:r w:rsidRPr="00D44F7C">
              <w:rPr>
                <w:rFonts w:cs="Arial"/>
                <w:color w:val="000000" w:themeColor="text1"/>
                <w:spacing w:val="-2"/>
              </w:rPr>
              <w:t>984</w:t>
            </w:r>
          </w:p>
        </w:tc>
      </w:tr>
      <w:tr w:rsidR="003A480F" w:rsidRPr="00537128" w14:paraId="37D74A9E" w14:textId="77777777" w:rsidTr="003A480F">
        <w:trPr>
          <w:trHeight w:val="297"/>
        </w:trPr>
        <w:tc>
          <w:tcPr>
            <w:tcW w:w="2656" w:type="pct"/>
            <w:vAlign w:val="bottom"/>
          </w:tcPr>
          <w:p w14:paraId="01358B35" w14:textId="77777777" w:rsidR="003A480F" w:rsidRPr="00537128" w:rsidRDefault="003A480F" w:rsidP="003A480F">
            <w:pPr>
              <w:tabs>
                <w:tab w:val="right" w:pos="1202"/>
              </w:tabs>
              <w:spacing w:after="0" w:line="240" w:lineRule="auto"/>
              <w:outlineLvl w:val="0"/>
              <w:rPr>
                <w:rFonts w:ascii="Calibri" w:eastAsia="Calibri" w:hAnsi="Calibri" w:cs="Arial"/>
                <w:lang w:val="en-US"/>
              </w:rPr>
            </w:pPr>
            <w:bookmarkStart w:id="143" w:name="_Toc4057363"/>
            <w:r w:rsidRPr="00537128">
              <w:rPr>
                <w:rFonts w:ascii="Calibri" w:eastAsia="Calibri" w:hAnsi="Calibri" w:cs="Calibri"/>
                <w:lang w:val="en-US"/>
              </w:rPr>
              <w:t>Financial assets at fair value through other comprehensive income</w:t>
            </w:r>
            <w:bookmarkEnd w:id="143"/>
          </w:p>
        </w:tc>
        <w:tc>
          <w:tcPr>
            <w:tcW w:w="595" w:type="pct"/>
            <w:vAlign w:val="bottom"/>
          </w:tcPr>
          <w:p w14:paraId="7E2A2F1E" w14:textId="112828C9" w:rsidR="003A480F" w:rsidRPr="00A1123E" w:rsidRDefault="003A480F" w:rsidP="003A480F">
            <w:pPr>
              <w:tabs>
                <w:tab w:val="right" w:pos="1202"/>
              </w:tabs>
              <w:spacing w:after="0" w:line="240" w:lineRule="auto"/>
              <w:jc w:val="center"/>
              <w:outlineLvl w:val="0"/>
              <w:rPr>
                <w:rFonts w:ascii="Calibri" w:eastAsia="Times New Roman" w:hAnsi="Calibri" w:cs="Arial"/>
                <w:spacing w:val="-2"/>
                <w:lang w:val="en-US"/>
              </w:rPr>
            </w:pPr>
            <w:r w:rsidRPr="00A1123E">
              <w:rPr>
                <w:rFonts w:ascii="Calibri" w:eastAsia="Times New Roman" w:hAnsi="Calibri" w:cs="Arial"/>
                <w:snapToGrid w:val="0"/>
                <w:lang w:val="en-US"/>
              </w:rPr>
              <w:t>14</w:t>
            </w:r>
          </w:p>
        </w:tc>
        <w:tc>
          <w:tcPr>
            <w:tcW w:w="816" w:type="pct"/>
            <w:tcBorders>
              <w:top w:val="nil"/>
              <w:left w:val="nil"/>
              <w:bottom w:val="nil"/>
              <w:right w:val="nil"/>
            </w:tcBorders>
            <w:shd w:val="clear" w:color="auto" w:fill="auto"/>
            <w:vAlign w:val="bottom"/>
          </w:tcPr>
          <w:p w14:paraId="335E7AF3" w14:textId="3FADA491" w:rsidR="003A480F" w:rsidRPr="00537128" w:rsidRDefault="003A480F" w:rsidP="003A480F">
            <w:pPr>
              <w:tabs>
                <w:tab w:val="right" w:pos="1202"/>
              </w:tabs>
              <w:spacing w:after="0" w:line="240" w:lineRule="auto"/>
              <w:jc w:val="right"/>
              <w:outlineLvl w:val="0"/>
              <w:rPr>
                <w:rFonts w:ascii="Calibri" w:eastAsia="Times New Roman" w:hAnsi="Calibri" w:cs="Calibri"/>
                <w:spacing w:val="-2"/>
                <w:lang w:val="en-US"/>
              </w:rPr>
            </w:pPr>
            <w:r>
              <w:rPr>
                <w:rFonts w:cs="Arial"/>
                <w:color w:val="000000" w:themeColor="text1"/>
                <w:spacing w:val="-2"/>
              </w:rPr>
              <w:t>3</w:t>
            </w:r>
            <w:r w:rsidR="0095076B">
              <w:rPr>
                <w:rFonts w:cs="Arial"/>
                <w:color w:val="000000" w:themeColor="text1"/>
                <w:spacing w:val="-2"/>
              </w:rPr>
              <w:t>,</w:t>
            </w:r>
            <w:r>
              <w:rPr>
                <w:rFonts w:cs="Arial"/>
                <w:color w:val="000000" w:themeColor="text1"/>
                <w:spacing w:val="-2"/>
              </w:rPr>
              <w:t>195</w:t>
            </w:r>
            <w:r w:rsidR="0095076B">
              <w:rPr>
                <w:rFonts w:cs="Arial"/>
                <w:color w:val="000000" w:themeColor="text1"/>
                <w:spacing w:val="-2"/>
              </w:rPr>
              <w:t>,</w:t>
            </w:r>
            <w:r>
              <w:rPr>
                <w:rFonts w:cs="Arial"/>
                <w:color w:val="000000" w:themeColor="text1"/>
                <w:spacing w:val="-2"/>
              </w:rPr>
              <w:t>860</w:t>
            </w:r>
          </w:p>
        </w:tc>
        <w:tc>
          <w:tcPr>
            <w:tcW w:w="148" w:type="pct"/>
            <w:vAlign w:val="bottom"/>
          </w:tcPr>
          <w:p w14:paraId="4A9F949E" w14:textId="77777777" w:rsidR="003A480F" w:rsidRPr="00537128" w:rsidRDefault="003A480F" w:rsidP="003A480F">
            <w:pPr>
              <w:tabs>
                <w:tab w:val="right" w:pos="1202"/>
              </w:tabs>
              <w:spacing w:after="0" w:line="240" w:lineRule="auto"/>
              <w:jc w:val="right"/>
              <w:outlineLvl w:val="0"/>
              <w:rPr>
                <w:rFonts w:ascii="Calibri" w:eastAsia="Times New Roman" w:hAnsi="Calibri" w:cs="Arial"/>
                <w:spacing w:val="-2"/>
                <w:lang w:val="en-US"/>
              </w:rPr>
            </w:pPr>
          </w:p>
        </w:tc>
        <w:tc>
          <w:tcPr>
            <w:tcW w:w="785" w:type="pct"/>
            <w:tcBorders>
              <w:top w:val="nil"/>
              <w:left w:val="nil"/>
              <w:bottom w:val="nil"/>
              <w:right w:val="nil"/>
            </w:tcBorders>
            <w:shd w:val="clear" w:color="auto" w:fill="auto"/>
            <w:vAlign w:val="bottom"/>
          </w:tcPr>
          <w:p w14:paraId="67155128" w14:textId="55666B44" w:rsidR="003A480F" w:rsidRPr="00537128" w:rsidRDefault="003A480F" w:rsidP="003A480F">
            <w:pPr>
              <w:tabs>
                <w:tab w:val="right" w:pos="1202"/>
              </w:tabs>
              <w:spacing w:after="0" w:line="301" w:lineRule="exact"/>
              <w:jc w:val="right"/>
              <w:outlineLvl w:val="0"/>
              <w:rPr>
                <w:rFonts w:ascii="Calibri" w:eastAsia="Times New Roman" w:hAnsi="Calibri" w:cs="Calibri"/>
                <w:color w:val="000000"/>
                <w:lang w:val="en-US"/>
              </w:rPr>
            </w:pPr>
            <w:r w:rsidRPr="00D44F7C">
              <w:rPr>
                <w:rFonts w:cs="Arial"/>
                <w:color w:val="000000" w:themeColor="text1"/>
                <w:spacing w:val="-2"/>
              </w:rPr>
              <w:t>2</w:t>
            </w:r>
            <w:r>
              <w:rPr>
                <w:rFonts w:cs="Arial"/>
                <w:color w:val="000000" w:themeColor="text1"/>
                <w:spacing w:val="-2"/>
              </w:rPr>
              <w:t>,</w:t>
            </w:r>
            <w:r w:rsidRPr="00D44F7C">
              <w:rPr>
                <w:rFonts w:cs="Arial"/>
                <w:color w:val="000000" w:themeColor="text1"/>
                <w:spacing w:val="-2"/>
              </w:rPr>
              <w:t>915</w:t>
            </w:r>
            <w:r>
              <w:rPr>
                <w:rFonts w:cs="Arial"/>
                <w:color w:val="000000" w:themeColor="text1"/>
                <w:spacing w:val="-2"/>
              </w:rPr>
              <w:t>,</w:t>
            </w:r>
            <w:r w:rsidRPr="00D44F7C">
              <w:rPr>
                <w:rFonts w:cs="Arial"/>
                <w:color w:val="000000" w:themeColor="text1"/>
                <w:spacing w:val="-2"/>
              </w:rPr>
              <w:t>704</w:t>
            </w:r>
          </w:p>
        </w:tc>
      </w:tr>
      <w:tr w:rsidR="003A480F" w:rsidRPr="00537128" w14:paraId="6E3D8955" w14:textId="77777777" w:rsidTr="003A480F">
        <w:trPr>
          <w:trHeight w:val="297"/>
        </w:trPr>
        <w:tc>
          <w:tcPr>
            <w:tcW w:w="2656" w:type="pct"/>
            <w:vAlign w:val="bottom"/>
          </w:tcPr>
          <w:p w14:paraId="59565621" w14:textId="77777777" w:rsidR="003A480F" w:rsidRPr="00537128" w:rsidRDefault="003A480F" w:rsidP="003A480F">
            <w:pPr>
              <w:tabs>
                <w:tab w:val="right" w:pos="1202"/>
              </w:tabs>
              <w:spacing w:after="0" w:line="240" w:lineRule="auto"/>
              <w:outlineLvl w:val="0"/>
              <w:rPr>
                <w:rFonts w:ascii="Calibri" w:eastAsia="Times New Roman" w:hAnsi="Calibri" w:cs="Arial"/>
                <w:lang w:val="en-US"/>
              </w:rPr>
            </w:pPr>
            <w:bookmarkStart w:id="144" w:name="_Toc4057371"/>
            <w:r w:rsidRPr="00537128">
              <w:rPr>
                <w:rFonts w:ascii="Calibri" w:eastAsia="Calibri" w:hAnsi="Calibri" w:cs="Arial"/>
                <w:lang w:val="en-US"/>
              </w:rPr>
              <w:t>Investments in subsidiaries</w:t>
            </w:r>
            <w:bookmarkEnd w:id="144"/>
          </w:p>
        </w:tc>
        <w:tc>
          <w:tcPr>
            <w:tcW w:w="595" w:type="pct"/>
            <w:vAlign w:val="center"/>
          </w:tcPr>
          <w:p w14:paraId="60331BCF" w14:textId="4B28C8F7" w:rsidR="003A480F" w:rsidRPr="00537128" w:rsidRDefault="003A480F" w:rsidP="003A480F">
            <w:pPr>
              <w:tabs>
                <w:tab w:val="right" w:pos="1202"/>
              </w:tabs>
              <w:spacing w:after="0" w:line="240" w:lineRule="auto"/>
              <w:jc w:val="center"/>
              <w:outlineLvl w:val="0"/>
              <w:rPr>
                <w:rFonts w:ascii="Calibri" w:eastAsia="Times New Roman" w:hAnsi="Calibri" w:cs="Arial"/>
                <w:snapToGrid w:val="0"/>
                <w:highlight w:val="yellow"/>
                <w:lang w:val="en-US"/>
              </w:rPr>
            </w:pPr>
          </w:p>
        </w:tc>
        <w:tc>
          <w:tcPr>
            <w:tcW w:w="816" w:type="pct"/>
            <w:tcBorders>
              <w:top w:val="nil"/>
              <w:left w:val="nil"/>
              <w:bottom w:val="nil"/>
              <w:right w:val="nil"/>
            </w:tcBorders>
            <w:shd w:val="clear" w:color="auto" w:fill="auto"/>
            <w:vAlign w:val="bottom"/>
          </w:tcPr>
          <w:p w14:paraId="23BEBCA7" w14:textId="281A6A38" w:rsidR="003A480F" w:rsidRPr="00537128" w:rsidRDefault="003A480F" w:rsidP="003A480F">
            <w:pPr>
              <w:tabs>
                <w:tab w:val="right" w:pos="1202"/>
              </w:tabs>
              <w:spacing w:after="0" w:line="240" w:lineRule="auto"/>
              <w:jc w:val="right"/>
              <w:outlineLvl w:val="0"/>
              <w:rPr>
                <w:rFonts w:ascii="Calibri" w:eastAsia="Times New Roman" w:hAnsi="Calibri" w:cs="Calibri"/>
                <w:snapToGrid w:val="0"/>
                <w:lang w:val="en-US"/>
              </w:rPr>
            </w:pPr>
            <w:r>
              <w:rPr>
                <w:rFonts w:cs="Arial"/>
                <w:snapToGrid w:val="0"/>
                <w:color w:val="000000" w:themeColor="text1"/>
              </w:rPr>
              <w:t>36</w:t>
            </w:r>
            <w:r w:rsidR="0095076B">
              <w:rPr>
                <w:rFonts w:cs="Arial"/>
                <w:snapToGrid w:val="0"/>
                <w:color w:val="000000" w:themeColor="text1"/>
              </w:rPr>
              <w:t>,</w:t>
            </w:r>
            <w:r>
              <w:rPr>
                <w:rFonts w:cs="Arial"/>
                <w:snapToGrid w:val="0"/>
                <w:color w:val="000000" w:themeColor="text1"/>
              </w:rPr>
              <w:t>124</w:t>
            </w:r>
          </w:p>
        </w:tc>
        <w:tc>
          <w:tcPr>
            <w:tcW w:w="148" w:type="pct"/>
            <w:vAlign w:val="bottom"/>
          </w:tcPr>
          <w:p w14:paraId="67580E16" w14:textId="77777777" w:rsidR="003A480F" w:rsidRPr="00537128" w:rsidRDefault="003A480F" w:rsidP="003A480F">
            <w:pPr>
              <w:tabs>
                <w:tab w:val="right" w:pos="1202"/>
              </w:tabs>
              <w:spacing w:after="0" w:line="240" w:lineRule="auto"/>
              <w:jc w:val="right"/>
              <w:outlineLvl w:val="0"/>
              <w:rPr>
                <w:rFonts w:ascii="Calibri" w:eastAsia="Times New Roman" w:hAnsi="Calibri" w:cs="Arial"/>
                <w:snapToGrid w:val="0"/>
                <w:lang w:val="en-US"/>
              </w:rPr>
            </w:pPr>
          </w:p>
        </w:tc>
        <w:tc>
          <w:tcPr>
            <w:tcW w:w="785" w:type="pct"/>
            <w:tcBorders>
              <w:top w:val="nil"/>
              <w:left w:val="nil"/>
              <w:bottom w:val="nil"/>
              <w:right w:val="nil"/>
            </w:tcBorders>
            <w:shd w:val="clear" w:color="auto" w:fill="auto"/>
            <w:vAlign w:val="bottom"/>
          </w:tcPr>
          <w:p w14:paraId="38213D68" w14:textId="6033EAD6" w:rsidR="003A480F" w:rsidRPr="00537128" w:rsidRDefault="003A480F" w:rsidP="003A480F">
            <w:pPr>
              <w:tabs>
                <w:tab w:val="right" w:pos="1202"/>
              </w:tabs>
              <w:spacing w:after="0" w:line="301" w:lineRule="exact"/>
              <w:jc w:val="right"/>
              <w:outlineLvl w:val="0"/>
              <w:rPr>
                <w:rFonts w:ascii="Calibri" w:eastAsia="Times New Roman" w:hAnsi="Calibri" w:cs="Arial"/>
                <w:snapToGrid w:val="0"/>
                <w:lang w:val="en-US"/>
              </w:rPr>
            </w:pPr>
            <w:r w:rsidRPr="00D44F7C">
              <w:rPr>
                <w:rFonts w:cs="Arial"/>
                <w:snapToGrid w:val="0"/>
                <w:color w:val="000000" w:themeColor="text1"/>
              </w:rPr>
              <w:t>36</w:t>
            </w:r>
            <w:r>
              <w:rPr>
                <w:rFonts w:cs="Arial"/>
                <w:snapToGrid w:val="0"/>
                <w:color w:val="000000" w:themeColor="text1"/>
              </w:rPr>
              <w:t>,</w:t>
            </w:r>
            <w:r w:rsidRPr="00D44F7C">
              <w:rPr>
                <w:rFonts w:cs="Arial"/>
                <w:snapToGrid w:val="0"/>
                <w:color w:val="000000" w:themeColor="text1"/>
              </w:rPr>
              <w:t>124</w:t>
            </w:r>
          </w:p>
        </w:tc>
      </w:tr>
      <w:tr w:rsidR="003A480F" w:rsidRPr="00537128" w14:paraId="29B9E8BC" w14:textId="77777777" w:rsidTr="003A480F">
        <w:trPr>
          <w:trHeight w:val="297"/>
        </w:trPr>
        <w:tc>
          <w:tcPr>
            <w:tcW w:w="2656" w:type="pct"/>
            <w:vAlign w:val="bottom"/>
          </w:tcPr>
          <w:p w14:paraId="747E1D5A" w14:textId="77777777" w:rsidR="003A480F" w:rsidRPr="00537128" w:rsidRDefault="003A480F" w:rsidP="003A480F">
            <w:pPr>
              <w:tabs>
                <w:tab w:val="right" w:pos="1202"/>
              </w:tabs>
              <w:spacing w:after="0" w:line="240" w:lineRule="auto"/>
              <w:outlineLvl w:val="0"/>
              <w:rPr>
                <w:rFonts w:ascii="Calibri" w:eastAsia="Times New Roman" w:hAnsi="Calibri" w:cs="Arial"/>
                <w:lang w:val="en-US"/>
              </w:rPr>
            </w:pPr>
            <w:bookmarkStart w:id="145" w:name="_Toc4057379"/>
            <w:r w:rsidRPr="00537128">
              <w:rPr>
                <w:rFonts w:ascii="Calibri" w:eastAsia="Calibri" w:hAnsi="Calibri" w:cs="Arial"/>
                <w:lang w:val="en-US"/>
              </w:rPr>
              <w:t>Property, plant and equipment and intangible assets</w:t>
            </w:r>
            <w:bookmarkEnd w:id="145"/>
          </w:p>
        </w:tc>
        <w:tc>
          <w:tcPr>
            <w:tcW w:w="595" w:type="pct"/>
            <w:vAlign w:val="center"/>
          </w:tcPr>
          <w:p w14:paraId="2538F8B6" w14:textId="76B2772E" w:rsidR="003A480F" w:rsidRPr="00537128" w:rsidRDefault="003A480F" w:rsidP="003A480F">
            <w:pPr>
              <w:tabs>
                <w:tab w:val="right" w:pos="1202"/>
              </w:tabs>
              <w:spacing w:after="0" w:line="240" w:lineRule="auto"/>
              <w:jc w:val="center"/>
              <w:outlineLvl w:val="0"/>
              <w:rPr>
                <w:rFonts w:ascii="Calibri" w:eastAsia="Times New Roman" w:hAnsi="Calibri" w:cs="Arial"/>
                <w:snapToGrid w:val="0"/>
                <w:highlight w:val="yellow"/>
                <w:lang w:val="en-US"/>
              </w:rPr>
            </w:pPr>
          </w:p>
        </w:tc>
        <w:tc>
          <w:tcPr>
            <w:tcW w:w="816" w:type="pct"/>
            <w:tcBorders>
              <w:top w:val="nil"/>
              <w:left w:val="nil"/>
              <w:bottom w:val="nil"/>
              <w:right w:val="nil"/>
            </w:tcBorders>
            <w:shd w:val="clear" w:color="auto" w:fill="auto"/>
            <w:vAlign w:val="bottom"/>
          </w:tcPr>
          <w:p w14:paraId="15AA3111" w14:textId="2960DAE1" w:rsidR="003A480F" w:rsidRPr="00537128" w:rsidRDefault="003A480F" w:rsidP="003A480F">
            <w:pPr>
              <w:tabs>
                <w:tab w:val="right" w:pos="1202"/>
              </w:tabs>
              <w:spacing w:after="0" w:line="240" w:lineRule="auto"/>
              <w:jc w:val="right"/>
              <w:outlineLvl w:val="0"/>
              <w:rPr>
                <w:rFonts w:ascii="Calibri" w:eastAsia="Times New Roman" w:hAnsi="Calibri" w:cs="Calibri"/>
                <w:snapToGrid w:val="0"/>
                <w:lang w:val="en-US"/>
              </w:rPr>
            </w:pPr>
            <w:r>
              <w:rPr>
                <w:rFonts w:cs="Arial"/>
                <w:snapToGrid w:val="0"/>
                <w:color w:val="000000" w:themeColor="text1"/>
              </w:rPr>
              <w:t>42</w:t>
            </w:r>
            <w:r w:rsidR="0095076B">
              <w:rPr>
                <w:rFonts w:cs="Arial"/>
                <w:snapToGrid w:val="0"/>
                <w:color w:val="000000" w:themeColor="text1"/>
              </w:rPr>
              <w:t>,</w:t>
            </w:r>
            <w:r>
              <w:rPr>
                <w:rFonts w:cs="Arial"/>
                <w:snapToGrid w:val="0"/>
                <w:color w:val="000000" w:themeColor="text1"/>
              </w:rPr>
              <w:t>408</w:t>
            </w:r>
          </w:p>
        </w:tc>
        <w:tc>
          <w:tcPr>
            <w:tcW w:w="148" w:type="pct"/>
            <w:vAlign w:val="bottom"/>
          </w:tcPr>
          <w:p w14:paraId="3D290F93" w14:textId="77777777" w:rsidR="003A480F" w:rsidRPr="00537128" w:rsidRDefault="003A480F" w:rsidP="003A480F">
            <w:pPr>
              <w:tabs>
                <w:tab w:val="right" w:pos="1202"/>
              </w:tabs>
              <w:spacing w:after="0" w:line="240" w:lineRule="auto"/>
              <w:jc w:val="right"/>
              <w:outlineLvl w:val="0"/>
              <w:rPr>
                <w:rFonts w:ascii="Calibri" w:eastAsia="Times New Roman" w:hAnsi="Calibri" w:cs="Arial"/>
                <w:snapToGrid w:val="0"/>
                <w:lang w:val="en-US"/>
              </w:rPr>
            </w:pPr>
          </w:p>
        </w:tc>
        <w:tc>
          <w:tcPr>
            <w:tcW w:w="785" w:type="pct"/>
            <w:tcBorders>
              <w:top w:val="nil"/>
              <w:left w:val="nil"/>
              <w:bottom w:val="nil"/>
              <w:right w:val="nil"/>
            </w:tcBorders>
            <w:shd w:val="clear" w:color="auto" w:fill="auto"/>
            <w:vAlign w:val="bottom"/>
          </w:tcPr>
          <w:p w14:paraId="6B474F4B" w14:textId="189EB602" w:rsidR="003A480F" w:rsidRPr="00537128" w:rsidRDefault="003A480F" w:rsidP="003A480F">
            <w:pPr>
              <w:tabs>
                <w:tab w:val="right" w:pos="1202"/>
              </w:tabs>
              <w:spacing w:after="0" w:line="301" w:lineRule="exact"/>
              <w:jc w:val="right"/>
              <w:outlineLvl w:val="0"/>
              <w:rPr>
                <w:rFonts w:ascii="Calibri" w:eastAsia="Times New Roman" w:hAnsi="Calibri" w:cs="Arial"/>
                <w:snapToGrid w:val="0"/>
                <w:lang w:val="en-US"/>
              </w:rPr>
            </w:pPr>
            <w:r w:rsidRPr="00D44F7C">
              <w:rPr>
                <w:rFonts w:cs="Arial"/>
                <w:snapToGrid w:val="0"/>
                <w:color w:val="000000" w:themeColor="text1"/>
              </w:rPr>
              <w:t>42</w:t>
            </w:r>
            <w:r>
              <w:rPr>
                <w:rFonts w:cs="Arial"/>
                <w:snapToGrid w:val="0"/>
                <w:color w:val="000000" w:themeColor="text1"/>
              </w:rPr>
              <w:t>,</w:t>
            </w:r>
            <w:r w:rsidRPr="00D44F7C">
              <w:rPr>
                <w:rFonts w:cs="Arial"/>
                <w:snapToGrid w:val="0"/>
                <w:color w:val="000000" w:themeColor="text1"/>
              </w:rPr>
              <w:t>674</w:t>
            </w:r>
          </w:p>
        </w:tc>
      </w:tr>
      <w:tr w:rsidR="003A480F" w:rsidRPr="00537128" w14:paraId="5CBEA391" w14:textId="77777777" w:rsidTr="003A480F">
        <w:trPr>
          <w:trHeight w:val="297"/>
        </w:trPr>
        <w:tc>
          <w:tcPr>
            <w:tcW w:w="2656" w:type="pct"/>
            <w:vAlign w:val="bottom"/>
          </w:tcPr>
          <w:p w14:paraId="5C222AC5" w14:textId="77777777" w:rsidR="003A480F" w:rsidRPr="00537128" w:rsidRDefault="003A480F" w:rsidP="003A480F">
            <w:pPr>
              <w:tabs>
                <w:tab w:val="right" w:pos="1202"/>
              </w:tabs>
              <w:spacing w:after="0" w:line="240" w:lineRule="auto"/>
              <w:outlineLvl w:val="0"/>
              <w:rPr>
                <w:rFonts w:ascii="Calibri" w:eastAsia="Times New Roman" w:hAnsi="Calibri" w:cs="Arial"/>
                <w:lang w:val="en-US"/>
              </w:rPr>
            </w:pPr>
            <w:r w:rsidRPr="00537128">
              <w:rPr>
                <w:rFonts w:ascii="Calibri" w:eastAsia="Calibri" w:hAnsi="Calibri" w:cs="Arial"/>
                <w:lang w:val="en-US"/>
              </w:rPr>
              <w:t>Foreclosed assets</w:t>
            </w:r>
          </w:p>
        </w:tc>
        <w:tc>
          <w:tcPr>
            <w:tcW w:w="595" w:type="pct"/>
            <w:vAlign w:val="bottom"/>
          </w:tcPr>
          <w:p w14:paraId="25CFA36E" w14:textId="17E2BB36" w:rsidR="003A480F" w:rsidRPr="00537128" w:rsidRDefault="003A480F" w:rsidP="003A480F">
            <w:pPr>
              <w:tabs>
                <w:tab w:val="right" w:pos="1202"/>
              </w:tabs>
              <w:spacing w:after="0" w:line="240" w:lineRule="auto"/>
              <w:jc w:val="center"/>
              <w:outlineLvl w:val="0"/>
              <w:rPr>
                <w:rFonts w:ascii="Calibri" w:eastAsia="Times New Roman" w:hAnsi="Calibri" w:cs="Arial"/>
                <w:snapToGrid w:val="0"/>
                <w:highlight w:val="yellow"/>
                <w:lang w:val="en-US"/>
              </w:rPr>
            </w:pPr>
            <w:r w:rsidRPr="00811AC6">
              <w:rPr>
                <w:rFonts w:cs="Arial"/>
                <w:color w:val="000000" w:themeColor="text1"/>
              </w:rPr>
              <w:t>15</w:t>
            </w:r>
          </w:p>
        </w:tc>
        <w:tc>
          <w:tcPr>
            <w:tcW w:w="816" w:type="pct"/>
            <w:tcBorders>
              <w:top w:val="nil"/>
              <w:left w:val="nil"/>
              <w:bottom w:val="nil"/>
              <w:right w:val="nil"/>
            </w:tcBorders>
            <w:shd w:val="clear" w:color="auto" w:fill="auto"/>
            <w:vAlign w:val="bottom"/>
          </w:tcPr>
          <w:p w14:paraId="29BD80F7" w14:textId="08AAB547" w:rsidR="003A480F" w:rsidRPr="00537128" w:rsidRDefault="003A480F" w:rsidP="003A480F">
            <w:pPr>
              <w:tabs>
                <w:tab w:val="right" w:pos="1202"/>
              </w:tabs>
              <w:spacing w:after="0" w:line="240" w:lineRule="auto"/>
              <w:jc w:val="right"/>
              <w:outlineLvl w:val="0"/>
              <w:rPr>
                <w:rFonts w:ascii="Calibri" w:eastAsia="Times New Roman" w:hAnsi="Calibri" w:cs="Calibri"/>
                <w:snapToGrid w:val="0"/>
                <w:lang w:val="en-US"/>
              </w:rPr>
            </w:pPr>
            <w:r>
              <w:rPr>
                <w:rFonts w:cs="Arial"/>
                <w:snapToGrid w:val="0"/>
                <w:color w:val="000000" w:themeColor="text1"/>
              </w:rPr>
              <w:t>24</w:t>
            </w:r>
            <w:r w:rsidR="0095076B">
              <w:rPr>
                <w:rFonts w:cs="Arial"/>
                <w:snapToGrid w:val="0"/>
                <w:color w:val="000000" w:themeColor="text1"/>
              </w:rPr>
              <w:t>,</w:t>
            </w:r>
            <w:r>
              <w:rPr>
                <w:rFonts w:cs="Arial"/>
                <w:snapToGrid w:val="0"/>
                <w:color w:val="000000" w:themeColor="text1"/>
              </w:rPr>
              <w:t>996</w:t>
            </w:r>
          </w:p>
        </w:tc>
        <w:tc>
          <w:tcPr>
            <w:tcW w:w="148" w:type="pct"/>
            <w:vAlign w:val="bottom"/>
          </w:tcPr>
          <w:p w14:paraId="66093A93" w14:textId="77777777" w:rsidR="003A480F" w:rsidRPr="00537128" w:rsidRDefault="003A480F" w:rsidP="003A480F">
            <w:pPr>
              <w:tabs>
                <w:tab w:val="right" w:pos="1202"/>
              </w:tabs>
              <w:spacing w:after="0" w:line="240" w:lineRule="auto"/>
              <w:jc w:val="right"/>
              <w:outlineLvl w:val="0"/>
              <w:rPr>
                <w:rFonts w:ascii="Calibri" w:eastAsia="Times New Roman" w:hAnsi="Calibri" w:cs="Arial"/>
                <w:snapToGrid w:val="0"/>
                <w:lang w:val="en-US"/>
              </w:rPr>
            </w:pPr>
          </w:p>
        </w:tc>
        <w:tc>
          <w:tcPr>
            <w:tcW w:w="785" w:type="pct"/>
            <w:tcBorders>
              <w:top w:val="nil"/>
              <w:left w:val="nil"/>
              <w:bottom w:val="nil"/>
              <w:right w:val="nil"/>
            </w:tcBorders>
            <w:shd w:val="clear" w:color="auto" w:fill="auto"/>
            <w:vAlign w:val="bottom"/>
          </w:tcPr>
          <w:p w14:paraId="0B19181C" w14:textId="2BB6954D" w:rsidR="003A480F" w:rsidRPr="00537128" w:rsidRDefault="003A480F" w:rsidP="003A480F">
            <w:pPr>
              <w:tabs>
                <w:tab w:val="right" w:pos="1202"/>
              </w:tabs>
              <w:spacing w:after="0" w:line="301" w:lineRule="exact"/>
              <w:jc w:val="right"/>
              <w:outlineLvl w:val="0"/>
              <w:rPr>
                <w:rFonts w:ascii="Calibri" w:eastAsia="Times New Roman" w:hAnsi="Calibri" w:cs="Arial"/>
                <w:snapToGrid w:val="0"/>
                <w:lang w:val="en-US"/>
              </w:rPr>
            </w:pPr>
            <w:r w:rsidRPr="00D44F7C">
              <w:rPr>
                <w:rFonts w:cs="Arial"/>
                <w:snapToGrid w:val="0"/>
                <w:color w:val="000000" w:themeColor="text1"/>
              </w:rPr>
              <w:t>21</w:t>
            </w:r>
            <w:r>
              <w:rPr>
                <w:rFonts w:cs="Arial"/>
                <w:snapToGrid w:val="0"/>
                <w:color w:val="000000" w:themeColor="text1"/>
              </w:rPr>
              <w:t>,</w:t>
            </w:r>
            <w:r w:rsidRPr="00D44F7C">
              <w:rPr>
                <w:rFonts w:cs="Arial"/>
                <w:snapToGrid w:val="0"/>
                <w:color w:val="000000" w:themeColor="text1"/>
              </w:rPr>
              <w:t>369</w:t>
            </w:r>
          </w:p>
        </w:tc>
      </w:tr>
      <w:tr w:rsidR="003A480F" w:rsidRPr="00537128" w14:paraId="452C99A9" w14:textId="77777777" w:rsidTr="003A480F">
        <w:trPr>
          <w:trHeight w:val="297"/>
        </w:trPr>
        <w:tc>
          <w:tcPr>
            <w:tcW w:w="2656" w:type="pct"/>
            <w:vAlign w:val="bottom"/>
          </w:tcPr>
          <w:p w14:paraId="1895D0C3" w14:textId="77777777" w:rsidR="003A480F" w:rsidRPr="00537128" w:rsidRDefault="003A480F" w:rsidP="003A480F">
            <w:pPr>
              <w:tabs>
                <w:tab w:val="right" w:pos="1202"/>
              </w:tabs>
              <w:spacing w:after="0" w:line="240" w:lineRule="auto"/>
              <w:outlineLvl w:val="0"/>
              <w:rPr>
                <w:rFonts w:ascii="Calibri" w:eastAsia="Times New Roman" w:hAnsi="Calibri" w:cs="Arial"/>
                <w:lang w:val="en-US"/>
              </w:rPr>
            </w:pPr>
            <w:bookmarkStart w:id="146" w:name="_Toc4057387"/>
            <w:r w:rsidRPr="00537128">
              <w:rPr>
                <w:rFonts w:ascii="Calibri" w:eastAsia="Calibri" w:hAnsi="Calibri" w:cs="Arial"/>
                <w:lang w:val="en-US"/>
              </w:rPr>
              <w:t>Other assets</w:t>
            </w:r>
            <w:bookmarkEnd w:id="146"/>
          </w:p>
        </w:tc>
        <w:tc>
          <w:tcPr>
            <w:tcW w:w="595" w:type="pct"/>
            <w:vAlign w:val="bottom"/>
          </w:tcPr>
          <w:p w14:paraId="46768F92" w14:textId="228FE374" w:rsidR="003A480F" w:rsidRPr="00537128" w:rsidRDefault="003A480F" w:rsidP="003A480F">
            <w:pPr>
              <w:tabs>
                <w:tab w:val="right" w:pos="1202"/>
              </w:tabs>
              <w:spacing w:after="0" w:line="240" w:lineRule="auto"/>
              <w:jc w:val="center"/>
              <w:outlineLvl w:val="0"/>
              <w:rPr>
                <w:rFonts w:ascii="Calibri" w:eastAsia="Times New Roman" w:hAnsi="Calibri" w:cs="Arial"/>
                <w:snapToGrid w:val="0"/>
                <w:highlight w:val="yellow"/>
                <w:lang w:val="en-US"/>
              </w:rPr>
            </w:pPr>
            <w:r w:rsidRPr="00811AC6">
              <w:rPr>
                <w:rFonts w:cs="Arial"/>
                <w:color w:val="000000" w:themeColor="text1"/>
              </w:rPr>
              <w:t>16</w:t>
            </w:r>
          </w:p>
        </w:tc>
        <w:tc>
          <w:tcPr>
            <w:tcW w:w="816" w:type="pct"/>
            <w:tcBorders>
              <w:top w:val="nil"/>
              <w:left w:val="nil"/>
              <w:bottom w:val="nil"/>
              <w:right w:val="nil"/>
            </w:tcBorders>
            <w:shd w:val="clear" w:color="auto" w:fill="auto"/>
            <w:vAlign w:val="bottom"/>
          </w:tcPr>
          <w:p w14:paraId="4D6EBFDC" w14:textId="4A447F51" w:rsidR="003A480F" w:rsidRPr="00537128" w:rsidRDefault="003A480F" w:rsidP="003A480F">
            <w:pPr>
              <w:tabs>
                <w:tab w:val="right" w:pos="1202"/>
              </w:tabs>
              <w:spacing w:after="0" w:line="240" w:lineRule="auto"/>
              <w:jc w:val="right"/>
              <w:outlineLvl w:val="0"/>
              <w:rPr>
                <w:rFonts w:ascii="Calibri" w:eastAsia="Times New Roman" w:hAnsi="Calibri" w:cs="Calibri"/>
                <w:snapToGrid w:val="0"/>
                <w:lang w:val="en-US"/>
              </w:rPr>
            </w:pPr>
            <w:r>
              <w:rPr>
                <w:rFonts w:cs="Arial"/>
                <w:snapToGrid w:val="0"/>
                <w:color w:val="000000" w:themeColor="text1"/>
              </w:rPr>
              <w:t>38</w:t>
            </w:r>
            <w:r w:rsidR="0095076B">
              <w:rPr>
                <w:rFonts w:cs="Arial"/>
                <w:snapToGrid w:val="0"/>
                <w:color w:val="000000" w:themeColor="text1"/>
              </w:rPr>
              <w:t>,</w:t>
            </w:r>
            <w:r>
              <w:rPr>
                <w:rFonts w:cs="Arial"/>
                <w:snapToGrid w:val="0"/>
                <w:color w:val="000000" w:themeColor="text1"/>
              </w:rPr>
              <w:t>957</w:t>
            </w:r>
          </w:p>
        </w:tc>
        <w:tc>
          <w:tcPr>
            <w:tcW w:w="148" w:type="pct"/>
            <w:vAlign w:val="bottom"/>
          </w:tcPr>
          <w:p w14:paraId="2CC34360" w14:textId="77777777" w:rsidR="003A480F" w:rsidRPr="00537128" w:rsidRDefault="003A480F" w:rsidP="003A480F">
            <w:pPr>
              <w:tabs>
                <w:tab w:val="right" w:pos="1202"/>
              </w:tabs>
              <w:spacing w:after="0" w:line="240" w:lineRule="auto"/>
              <w:jc w:val="right"/>
              <w:outlineLvl w:val="0"/>
              <w:rPr>
                <w:rFonts w:ascii="Calibri" w:eastAsia="Times New Roman" w:hAnsi="Calibri" w:cs="Arial"/>
                <w:snapToGrid w:val="0"/>
                <w:lang w:val="en-US"/>
              </w:rPr>
            </w:pPr>
          </w:p>
        </w:tc>
        <w:tc>
          <w:tcPr>
            <w:tcW w:w="785" w:type="pct"/>
            <w:tcBorders>
              <w:top w:val="nil"/>
              <w:left w:val="nil"/>
              <w:bottom w:val="nil"/>
              <w:right w:val="nil"/>
            </w:tcBorders>
            <w:shd w:val="clear" w:color="auto" w:fill="auto"/>
            <w:vAlign w:val="bottom"/>
          </w:tcPr>
          <w:p w14:paraId="59FC754B" w14:textId="57951995" w:rsidR="003A480F" w:rsidRPr="00537128" w:rsidRDefault="003A480F" w:rsidP="003A480F">
            <w:pPr>
              <w:tabs>
                <w:tab w:val="right" w:pos="1202"/>
              </w:tabs>
              <w:spacing w:after="0" w:line="301" w:lineRule="exact"/>
              <w:jc w:val="right"/>
              <w:outlineLvl w:val="0"/>
              <w:rPr>
                <w:rFonts w:ascii="Calibri" w:eastAsia="Times New Roman" w:hAnsi="Calibri" w:cs="Arial"/>
                <w:snapToGrid w:val="0"/>
                <w:lang w:val="en-US"/>
              </w:rPr>
            </w:pPr>
            <w:r w:rsidRPr="00D44F7C">
              <w:rPr>
                <w:rFonts w:cs="Arial"/>
                <w:snapToGrid w:val="0"/>
                <w:color w:val="000000" w:themeColor="text1"/>
              </w:rPr>
              <w:t>34</w:t>
            </w:r>
            <w:r>
              <w:rPr>
                <w:rFonts w:cs="Arial"/>
                <w:snapToGrid w:val="0"/>
                <w:color w:val="000000" w:themeColor="text1"/>
              </w:rPr>
              <w:t>,</w:t>
            </w:r>
            <w:r w:rsidRPr="00D44F7C">
              <w:rPr>
                <w:rFonts w:cs="Arial"/>
                <w:snapToGrid w:val="0"/>
                <w:color w:val="000000" w:themeColor="text1"/>
              </w:rPr>
              <w:t>494</w:t>
            </w:r>
          </w:p>
        </w:tc>
      </w:tr>
      <w:tr w:rsidR="003A480F" w:rsidRPr="00537128" w14:paraId="4CE185A3" w14:textId="77777777" w:rsidTr="003A480F">
        <w:trPr>
          <w:trHeight w:hRule="exact" w:val="379"/>
        </w:trPr>
        <w:tc>
          <w:tcPr>
            <w:tcW w:w="2656" w:type="pct"/>
            <w:vAlign w:val="bottom"/>
          </w:tcPr>
          <w:p w14:paraId="5B0FB2F2" w14:textId="77777777" w:rsidR="003A480F" w:rsidRPr="00537128" w:rsidRDefault="003A480F" w:rsidP="003A480F">
            <w:pPr>
              <w:tabs>
                <w:tab w:val="right" w:pos="1202"/>
              </w:tabs>
              <w:spacing w:after="0" w:line="240" w:lineRule="auto"/>
              <w:outlineLvl w:val="0"/>
              <w:rPr>
                <w:rFonts w:ascii="Calibri" w:eastAsia="Times New Roman" w:hAnsi="Calibri" w:cs="Arial"/>
                <w:b/>
                <w:bCs/>
                <w:lang w:val="en-US"/>
              </w:rPr>
            </w:pPr>
            <w:bookmarkStart w:id="147" w:name="_Toc4057391"/>
            <w:r w:rsidRPr="00537128">
              <w:rPr>
                <w:rFonts w:ascii="Calibri" w:eastAsia="Calibri" w:hAnsi="Calibri" w:cs="Arial"/>
                <w:b/>
                <w:bCs/>
                <w:lang w:val="en-US"/>
              </w:rPr>
              <w:t>Total assets</w:t>
            </w:r>
            <w:bookmarkEnd w:id="147"/>
          </w:p>
        </w:tc>
        <w:tc>
          <w:tcPr>
            <w:tcW w:w="595" w:type="pct"/>
            <w:vAlign w:val="bottom"/>
          </w:tcPr>
          <w:p w14:paraId="0450E3DB" w14:textId="77777777" w:rsidR="003A480F" w:rsidRPr="00537128" w:rsidRDefault="003A480F" w:rsidP="003A480F">
            <w:pPr>
              <w:keepLines/>
              <w:spacing w:after="0" w:line="240" w:lineRule="auto"/>
              <w:jc w:val="center"/>
              <w:rPr>
                <w:rFonts w:ascii="Calibri" w:eastAsia="Times New Roman" w:hAnsi="Calibri" w:cs="Arial"/>
                <w:spacing w:val="-2"/>
                <w:position w:val="4"/>
                <w:highlight w:val="yellow"/>
                <w:lang w:val="en-US"/>
              </w:rPr>
            </w:pPr>
          </w:p>
        </w:tc>
        <w:tc>
          <w:tcPr>
            <w:tcW w:w="816" w:type="pct"/>
            <w:tcBorders>
              <w:top w:val="single" w:sz="4" w:space="0" w:color="auto"/>
              <w:left w:val="nil"/>
              <w:bottom w:val="single" w:sz="8" w:space="0" w:color="auto"/>
              <w:right w:val="nil"/>
            </w:tcBorders>
            <w:shd w:val="clear" w:color="auto" w:fill="auto"/>
            <w:vAlign w:val="bottom"/>
          </w:tcPr>
          <w:p w14:paraId="2E41F84A" w14:textId="1D14F8DB" w:rsidR="003A480F" w:rsidRPr="00537128" w:rsidRDefault="003A480F" w:rsidP="003A480F">
            <w:pPr>
              <w:tabs>
                <w:tab w:val="right" w:pos="1202"/>
              </w:tabs>
              <w:spacing w:after="0" w:line="340" w:lineRule="exact"/>
              <w:jc w:val="right"/>
              <w:outlineLvl w:val="0"/>
              <w:rPr>
                <w:rFonts w:ascii="Calibri" w:eastAsia="Times New Roman" w:hAnsi="Calibri" w:cs="Calibri"/>
                <w:b/>
                <w:bCs/>
                <w:lang w:val="en-US"/>
              </w:rPr>
            </w:pPr>
            <w:r>
              <w:rPr>
                <w:rFonts w:cs="Arial"/>
                <w:b/>
                <w:bCs/>
                <w:color w:val="000000" w:themeColor="text1"/>
              </w:rPr>
              <w:t>27</w:t>
            </w:r>
            <w:r w:rsidR="0095076B">
              <w:rPr>
                <w:rFonts w:cs="Arial"/>
                <w:b/>
                <w:bCs/>
                <w:color w:val="000000" w:themeColor="text1"/>
              </w:rPr>
              <w:t>,</w:t>
            </w:r>
            <w:r>
              <w:rPr>
                <w:rFonts w:cs="Arial"/>
                <w:b/>
                <w:bCs/>
                <w:color w:val="000000" w:themeColor="text1"/>
              </w:rPr>
              <w:t>722</w:t>
            </w:r>
            <w:r w:rsidR="0095076B">
              <w:rPr>
                <w:rFonts w:cs="Arial"/>
                <w:b/>
                <w:bCs/>
                <w:color w:val="000000" w:themeColor="text1"/>
              </w:rPr>
              <w:t>,</w:t>
            </w:r>
            <w:r>
              <w:rPr>
                <w:rFonts w:cs="Arial"/>
                <w:b/>
                <w:bCs/>
                <w:color w:val="000000" w:themeColor="text1"/>
              </w:rPr>
              <w:t>703</w:t>
            </w:r>
          </w:p>
        </w:tc>
        <w:tc>
          <w:tcPr>
            <w:tcW w:w="148" w:type="pct"/>
            <w:tcBorders>
              <w:top w:val="single" w:sz="4" w:space="0" w:color="auto"/>
              <w:bottom w:val="single" w:sz="12" w:space="0" w:color="auto"/>
            </w:tcBorders>
            <w:vAlign w:val="bottom"/>
          </w:tcPr>
          <w:p w14:paraId="33DEFD69" w14:textId="77777777" w:rsidR="003A480F" w:rsidRPr="00537128" w:rsidRDefault="003A480F" w:rsidP="003A480F">
            <w:pPr>
              <w:tabs>
                <w:tab w:val="right" w:pos="1202"/>
              </w:tabs>
              <w:spacing w:after="0" w:line="240" w:lineRule="auto"/>
              <w:jc w:val="right"/>
              <w:outlineLvl w:val="0"/>
              <w:rPr>
                <w:rFonts w:ascii="Calibri" w:eastAsia="Times New Roman" w:hAnsi="Calibri" w:cs="Arial"/>
                <w:b/>
                <w:bCs/>
                <w:lang w:val="en-US"/>
              </w:rPr>
            </w:pPr>
          </w:p>
        </w:tc>
        <w:tc>
          <w:tcPr>
            <w:tcW w:w="785" w:type="pct"/>
            <w:tcBorders>
              <w:top w:val="single" w:sz="4" w:space="0" w:color="auto"/>
              <w:left w:val="nil"/>
              <w:bottom w:val="single" w:sz="8" w:space="0" w:color="auto"/>
              <w:right w:val="nil"/>
            </w:tcBorders>
            <w:shd w:val="clear" w:color="auto" w:fill="auto"/>
            <w:vAlign w:val="bottom"/>
          </w:tcPr>
          <w:p w14:paraId="0CAC6669" w14:textId="4DE01EC2" w:rsidR="003A480F" w:rsidRPr="00537128" w:rsidRDefault="003A480F" w:rsidP="003A480F">
            <w:pPr>
              <w:tabs>
                <w:tab w:val="right" w:pos="1202"/>
              </w:tabs>
              <w:spacing w:after="0" w:line="340" w:lineRule="exact"/>
              <w:jc w:val="right"/>
              <w:outlineLvl w:val="0"/>
              <w:rPr>
                <w:rFonts w:ascii="Calibri" w:eastAsia="Times New Roman" w:hAnsi="Calibri" w:cs="Arial"/>
                <w:b/>
                <w:bCs/>
                <w:lang w:val="en-US"/>
              </w:rPr>
            </w:pPr>
            <w:r w:rsidRPr="00D44F7C">
              <w:rPr>
                <w:rFonts w:cs="Arial"/>
                <w:b/>
                <w:bCs/>
                <w:color w:val="000000" w:themeColor="text1"/>
              </w:rPr>
              <w:t>28</w:t>
            </w:r>
            <w:r>
              <w:rPr>
                <w:rFonts w:cs="Arial"/>
                <w:b/>
                <w:bCs/>
                <w:color w:val="000000" w:themeColor="text1"/>
              </w:rPr>
              <w:t>,</w:t>
            </w:r>
            <w:r w:rsidRPr="00D44F7C">
              <w:rPr>
                <w:rFonts w:cs="Arial"/>
                <w:b/>
                <w:bCs/>
                <w:color w:val="000000" w:themeColor="text1"/>
              </w:rPr>
              <w:t>249</w:t>
            </w:r>
            <w:r>
              <w:rPr>
                <w:rFonts w:cs="Arial"/>
                <w:b/>
                <w:bCs/>
                <w:color w:val="000000" w:themeColor="text1"/>
              </w:rPr>
              <w:t>,</w:t>
            </w:r>
            <w:r w:rsidRPr="00D44F7C">
              <w:rPr>
                <w:rFonts w:cs="Arial"/>
                <w:b/>
                <w:bCs/>
                <w:color w:val="000000" w:themeColor="text1"/>
              </w:rPr>
              <w:t>988</w:t>
            </w:r>
          </w:p>
        </w:tc>
      </w:tr>
      <w:tr w:rsidR="003A480F" w:rsidRPr="00537128" w14:paraId="0BA1C9BD" w14:textId="77777777" w:rsidTr="00CE00C1">
        <w:trPr>
          <w:trHeight w:val="307"/>
        </w:trPr>
        <w:tc>
          <w:tcPr>
            <w:tcW w:w="2656" w:type="pct"/>
            <w:vAlign w:val="bottom"/>
          </w:tcPr>
          <w:p w14:paraId="02D0A09A" w14:textId="77777777" w:rsidR="003A480F" w:rsidRPr="00537128" w:rsidRDefault="003A480F" w:rsidP="003A480F">
            <w:pPr>
              <w:tabs>
                <w:tab w:val="right" w:pos="1202"/>
              </w:tabs>
              <w:spacing w:after="0" w:line="240" w:lineRule="auto"/>
              <w:outlineLvl w:val="0"/>
              <w:rPr>
                <w:rFonts w:ascii="Calibri" w:eastAsia="Times New Roman" w:hAnsi="Calibri" w:cs="Arial"/>
                <w:b/>
                <w:bCs/>
                <w:lang w:val="en-US"/>
              </w:rPr>
            </w:pPr>
            <w:bookmarkStart w:id="148" w:name="_Toc4057394"/>
            <w:r w:rsidRPr="00537128">
              <w:rPr>
                <w:rFonts w:ascii="Calibri" w:eastAsia="Calibri" w:hAnsi="Calibri" w:cs="Arial"/>
                <w:b/>
                <w:bCs/>
                <w:lang w:val="en-US"/>
              </w:rPr>
              <w:t>Liabilities</w:t>
            </w:r>
            <w:bookmarkEnd w:id="148"/>
          </w:p>
        </w:tc>
        <w:tc>
          <w:tcPr>
            <w:tcW w:w="595" w:type="pct"/>
            <w:vAlign w:val="bottom"/>
          </w:tcPr>
          <w:p w14:paraId="18ADD404" w14:textId="77777777" w:rsidR="003A480F" w:rsidRPr="00537128" w:rsidRDefault="003A480F" w:rsidP="003A480F">
            <w:pPr>
              <w:keepNext/>
              <w:keepLines/>
              <w:tabs>
                <w:tab w:val="decimal" w:pos="1060"/>
              </w:tabs>
              <w:spacing w:after="0" w:line="240" w:lineRule="auto"/>
              <w:jc w:val="center"/>
              <w:rPr>
                <w:rFonts w:ascii="Calibri" w:eastAsia="Times New Roman" w:hAnsi="Calibri" w:cs="Arial"/>
                <w:b/>
                <w:position w:val="4"/>
                <w:highlight w:val="yellow"/>
                <w:u w:val="thick"/>
                <w:lang w:val="en-US"/>
              </w:rPr>
            </w:pPr>
          </w:p>
        </w:tc>
        <w:tc>
          <w:tcPr>
            <w:tcW w:w="816" w:type="pct"/>
            <w:tcBorders>
              <w:top w:val="single" w:sz="12" w:space="0" w:color="auto"/>
            </w:tcBorders>
            <w:vAlign w:val="bottom"/>
          </w:tcPr>
          <w:p w14:paraId="5FAB6D67" w14:textId="77777777" w:rsidR="003A480F" w:rsidRPr="00537128" w:rsidRDefault="003A480F" w:rsidP="003A480F">
            <w:pPr>
              <w:tabs>
                <w:tab w:val="right" w:pos="1202"/>
              </w:tabs>
              <w:spacing w:after="0" w:line="240" w:lineRule="auto"/>
              <w:jc w:val="right"/>
              <w:outlineLvl w:val="0"/>
              <w:rPr>
                <w:rFonts w:ascii="Calibri" w:eastAsia="Times New Roman" w:hAnsi="Calibri" w:cs="Calibri"/>
                <w:b/>
                <w:bCs/>
                <w:lang w:val="en-US"/>
              </w:rPr>
            </w:pPr>
          </w:p>
        </w:tc>
        <w:tc>
          <w:tcPr>
            <w:tcW w:w="148" w:type="pct"/>
            <w:tcBorders>
              <w:top w:val="single" w:sz="12" w:space="0" w:color="auto"/>
            </w:tcBorders>
            <w:vAlign w:val="bottom"/>
          </w:tcPr>
          <w:p w14:paraId="4E90F1FE" w14:textId="77777777" w:rsidR="003A480F" w:rsidRPr="00537128" w:rsidRDefault="003A480F" w:rsidP="003A480F">
            <w:pPr>
              <w:tabs>
                <w:tab w:val="right" w:pos="1202"/>
              </w:tabs>
              <w:spacing w:after="0" w:line="240" w:lineRule="auto"/>
              <w:jc w:val="right"/>
              <w:outlineLvl w:val="0"/>
              <w:rPr>
                <w:rFonts w:ascii="Calibri" w:eastAsia="Times New Roman" w:hAnsi="Calibri" w:cs="Arial"/>
                <w:b/>
                <w:bCs/>
                <w:lang w:val="en-US"/>
              </w:rPr>
            </w:pPr>
          </w:p>
        </w:tc>
        <w:tc>
          <w:tcPr>
            <w:tcW w:w="785" w:type="pct"/>
            <w:tcBorders>
              <w:top w:val="single" w:sz="12" w:space="0" w:color="auto"/>
            </w:tcBorders>
            <w:vAlign w:val="bottom"/>
          </w:tcPr>
          <w:p w14:paraId="29A0747E" w14:textId="77777777" w:rsidR="003A480F" w:rsidRPr="00537128" w:rsidRDefault="003A480F" w:rsidP="003A480F">
            <w:pPr>
              <w:tabs>
                <w:tab w:val="right" w:pos="1202"/>
              </w:tabs>
              <w:spacing w:after="0" w:line="240" w:lineRule="auto"/>
              <w:jc w:val="right"/>
              <w:outlineLvl w:val="0"/>
              <w:rPr>
                <w:rFonts w:ascii="Calibri" w:eastAsia="Times New Roman" w:hAnsi="Calibri" w:cs="Arial"/>
                <w:b/>
                <w:bCs/>
                <w:lang w:val="en-US"/>
              </w:rPr>
            </w:pPr>
          </w:p>
        </w:tc>
      </w:tr>
      <w:tr w:rsidR="00242A94" w:rsidRPr="00537128" w14:paraId="393A2159" w14:textId="77777777" w:rsidTr="0095076B">
        <w:trPr>
          <w:trHeight w:val="297"/>
        </w:trPr>
        <w:tc>
          <w:tcPr>
            <w:tcW w:w="2656" w:type="pct"/>
            <w:vAlign w:val="bottom"/>
          </w:tcPr>
          <w:p w14:paraId="58C50178" w14:textId="77777777" w:rsidR="00242A94" w:rsidRPr="00537128" w:rsidRDefault="00242A94" w:rsidP="00242A94">
            <w:pPr>
              <w:tabs>
                <w:tab w:val="right" w:pos="1202"/>
              </w:tabs>
              <w:spacing w:after="0" w:line="240" w:lineRule="auto"/>
              <w:outlineLvl w:val="0"/>
              <w:rPr>
                <w:rFonts w:ascii="Calibri" w:eastAsia="Times New Roman" w:hAnsi="Calibri" w:cs="Arial"/>
                <w:lang w:val="en-US"/>
              </w:rPr>
            </w:pPr>
            <w:bookmarkStart w:id="149" w:name="_Toc4057395"/>
            <w:r w:rsidRPr="00537128">
              <w:rPr>
                <w:rFonts w:ascii="Calibri" w:eastAsia="Calibri" w:hAnsi="Calibri" w:cs="Arial"/>
                <w:lang w:val="en-US"/>
              </w:rPr>
              <w:t>Deposits from customers</w:t>
            </w:r>
            <w:bookmarkEnd w:id="149"/>
          </w:p>
        </w:tc>
        <w:tc>
          <w:tcPr>
            <w:tcW w:w="595" w:type="pct"/>
            <w:vAlign w:val="bottom"/>
          </w:tcPr>
          <w:p w14:paraId="18D64013" w14:textId="418D346B" w:rsidR="00242A94" w:rsidRPr="00537128" w:rsidRDefault="00242A94" w:rsidP="00242A94">
            <w:pPr>
              <w:tabs>
                <w:tab w:val="right" w:pos="1202"/>
              </w:tabs>
              <w:spacing w:after="0" w:line="240" w:lineRule="auto"/>
              <w:jc w:val="center"/>
              <w:outlineLvl w:val="0"/>
              <w:rPr>
                <w:rFonts w:ascii="Calibri" w:eastAsia="Times New Roman" w:hAnsi="Calibri" w:cs="Arial"/>
                <w:bCs/>
                <w:highlight w:val="yellow"/>
                <w:lang w:val="en-US"/>
              </w:rPr>
            </w:pPr>
            <w:r w:rsidRPr="00811AC6">
              <w:rPr>
                <w:rFonts w:cs="Arial"/>
                <w:color w:val="000000" w:themeColor="text1"/>
              </w:rPr>
              <w:t>17</w:t>
            </w:r>
          </w:p>
        </w:tc>
        <w:tc>
          <w:tcPr>
            <w:tcW w:w="816" w:type="pct"/>
            <w:tcBorders>
              <w:top w:val="nil"/>
              <w:left w:val="nil"/>
              <w:bottom w:val="nil"/>
              <w:right w:val="nil"/>
            </w:tcBorders>
            <w:shd w:val="clear" w:color="auto" w:fill="auto"/>
            <w:vAlign w:val="bottom"/>
          </w:tcPr>
          <w:p w14:paraId="6E64C675" w14:textId="1908E439" w:rsidR="00242A94" w:rsidRPr="00537128" w:rsidRDefault="00242A94" w:rsidP="00242A94">
            <w:pPr>
              <w:tabs>
                <w:tab w:val="right" w:pos="1202"/>
              </w:tabs>
              <w:spacing w:after="0" w:line="240" w:lineRule="auto"/>
              <w:jc w:val="right"/>
              <w:outlineLvl w:val="0"/>
              <w:rPr>
                <w:rFonts w:ascii="Calibri" w:eastAsia="Times New Roman" w:hAnsi="Calibri" w:cs="Calibri"/>
                <w:lang w:val="en-US"/>
              </w:rPr>
            </w:pPr>
            <w:r>
              <w:rPr>
                <w:rFonts w:cs="Arial"/>
                <w:color w:val="000000" w:themeColor="text1"/>
              </w:rPr>
              <w:t>607</w:t>
            </w:r>
            <w:r w:rsidR="0095076B">
              <w:rPr>
                <w:rFonts w:cs="Arial"/>
                <w:color w:val="000000" w:themeColor="text1"/>
              </w:rPr>
              <w:t>,</w:t>
            </w:r>
            <w:r>
              <w:rPr>
                <w:rFonts w:cs="Arial"/>
                <w:color w:val="000000" w:themeColor="text1"/>
              </w:rPr>
              <w:t>537</w:t>
            </w:r>
          </w:p>
        </w:tc>
        <w:tc>
          <w:tcPr>
            <w:tcW w:w="148" w:type="pct"/>
            <w:vAlign w:val="bottom"/>
          </w:tcPr>
          <w:p w14:paraId="2B1E6121" w14:textId="77777777" w:rsidR="00242A94" w:rsidRPr="00537128" w:rsidRDefault="00242A94" w:rsidP="00242A94">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bottom w:val="nil"/>
              <w:right w:val="nil"/>
            </w:tcBorders>
            <w:shd w:val="clear" w:color="auto" w:fill="auto"/>
            <w:vAlign w:val="bottom"/>
          </w:tcPr>
          <w:p w14:paraId="4780F4BF" w14:textId="2F2E8276" w:rsidR="00242A94" w:rsidRPr="00537128" w:rsidRDefault="00242A94" w:rsidP="00242A94">
            <w:pPr>
              <w:tabs>
                <w:tab w:val="right" w:pos="1202"/>
              </w:tabs>
              <w:spacing w:after="0" w:line="301" w:lineRule="exact"/>
              <w:jc w:val="right"/>
              <w:outlineLvl w:val="0"/>
              <w:rPr>
                <w:rFonts w:ascii="Calibri" w:eastAsia="Times New Roman" w:hAnsi="Calibri" w:cs="Arial"/>
                <w:lang w:val="en-US"/>
              </w:rPr>
            </w:pPr>
            <w:r w:rsidRPr="00D44F7C">
              <w:rPr>
                <w:rFonts w:cs="Arial"/>
                <w:color w:val="000000" w:themeColor="text1"/>
              </w:rPr>
              <w:t>960</w:t>
            </w:r>
            <w:r>
              <w:rPr>
                <w:rFonts w:cs="Arial"/>
                <w:color w:val="000000" w:themeColor="text1"/>
              </w:rPr>
              <w:t>,</w:t>
            </w:r>
            <w:r w:rsidRPr="00D44F7C">
              <w:rPr>
                <w:rFonts w:cs="Arial"/>
                <w:color w:val="000000" w:themeColor="text1"/>
              </w:rPr>
              <w:t>541</w:t>
            </w:r>
          </w:p>
        </w:tc>
      </w:tr>
      <w:tr w:rsidR="00242A94" w:rsidRPr="00537128" w14:paraId="52D64B67" w14:textId="77777777" w:rsidTr="0095076B">
        <w:trPr>
          <w:trHeight w:val="297"/>
        </w:trPr>
        <w:tc>
          <w:tcPr>
            <w:tcW w:w="2656" w:type="pct"/>
            <w:vAlign w:val="bottom"/>
          </w:tcPr>
          <w:p w14:paraId="061E24A2" w14:textId="77777777" w:rsidR="00242A94" w:rsidRPr="00537128" w:rsidRDefault="00242A94" w:rsidP="00242A94">
            <w:pPr>
              <w:tabs>
                <w:tab w:val="right" w:pos="1202"/>
              </w:tabs>
              <w:spacing w:after="0" w:line="240" w:lineRule="auto"/>
              <w:outlineLvl w:val="0"/>
              <w:rPr>
                <w:rFonts w:ascii="Calibri" w:eastAsia="Times New Roman" w:hAnsi="Calibri" w:cs="Arial"/>
                <w:lang w:val="en-US"/>
              </w:rPr>
            </w:pPr>
            <w:bookmarkStart w:id="150" w:name="_Toc4057399"/>
            <w:r w:rsidRPr="00537128">
              <w:rPr>
                <w:rFonts w:ascii="Calibri" w:eastAsia="Calibri" w:hAnsi="Calibri" w:cs="Arial"/>
                <w:lang w:val="en-US"/>
              </w:rPr>
              <w:t>Borrowings</w:t>
            </w:r>
            <w:bookmarkEnd w:id="150"/>
          </w:p>
        </w:tc>
        <w:tc>
          <w:tcPr>
            <w:tcW w:w="595" w:type="pct"/>
            <w:vAlign w:val="bottom"/>
          </w:tcPr>
          <w:p w14:paraId="4D701166" w14:textId="6120CA15" w:rsidR="00242A94" w:rsidRPr="00537128" w:rsidRDefault="00242A94" w:rsidP="00242A94">
            <w:pPr>
              <w:tabs>
                <w:tab w:val="right" w:pos="1202"/>
              </w:tabs>
              <w:spacing w:after="0" w:line="240" w:lineRule="auto"/>
              <w:jc w:val="center"/>
              <w:outlineLvl w:val="0"/>
              <w:rPr>
                <w:rFonts w:ascii="Calibri" w:eastAsia="Times New Roman" w:hAnsi="Calibri" w:cs="Arial"/>
                <w:b/>
                <w:highlight w:val="yellow"/>
                <w:lang w:val="en-US"/>
              </w:rPr>
            </w:pPr>
            <w:r w:rsidRPr="00811AC6">
              <w:rPr>
                <w:rFonts w:cs="Arial"/>
                <w:color w:val="000000" w:themeColor="text1"/>
              </w:rPr>
              <w:t>18</w:t>
            </w:r>
          </w:p>
        </w:tc>
        <w:tc>
          <w:tcPr>
            <w:tcW w:w="816" w:type="pct"/>
            <w:tcBorders>
              <w:top w:val="nil"/>
              <w:left w:val="nil"/>
              <w:bottom w:val="nil"/>
              <w:right w:val="nil"/>
            </w:tcBorders>
            <w:shd w:val="clear" w:color="auto" w:fill="auto"/>
            <w:vAlign w:val="bottom"/>
          </w:tcPr>
          <w:p w14:paraId="5F5858E2" w14:textId="3D4362D0" w:rsidR="00242A94" w:rsidRPr="00537128" w:rsidRDefault="00242A94" w:rsidP="00242A94">
            <w:pPr>
              <w:tabs>
                <w:tab w:val="right" w:pos="1202"/>
              </w:tabs>
              <w:spacing w:after="0" w:line="240" w:lineRule="auto"/>
              <w:jc w:val="right"/>
              <w:outlineLvl w:val="0"/>
              <w:rPr>
                <w:rFonts w:ascii="Calibri" w:eastAsia="Times New Roman" w:hAnsi="Calibri" w:cs="Calibri"/>
                <w:lang w:val="en-US"/>
              </w:rPr>
            </w:pPr>
            <w:r>
              <w:rPr>
                <w:rFonts w:cs="Arial"/>
                <w:color w:val="000000" w:themeColor="text1"/>
              </w:rPr>
              <w:t>15</w:t>
            </w:r>
            <w:r w:rsidR="0095076B">
              <w:rPr>
                <w:rFonts w:cs="Arial"/>
                <w:color w:val="000000" w:themeColor="text1"/>
              </w:rPr>
              <w:t>,</w:t>
            </w:r>
            <w:r>
              <w:rPr>
                <w:rFonts w:cs="Arial"/>
                <w:color w:val="000000" w:themeColor="text1"/>
              </w:rPr>
              <w:t>828</w:t>
            </w:r>
            <w:r w:rsidR="0095076B">
              <w:rPr>
                <w:rFonts w:cs="Arial"/>
                <w:color w:val="000000" w:themeColor="text1"/>
              </w:rPr>
              <w:t>,</w:t>
            </w:r>
            <w:r>
              <w:rPr>
                <w:rFonts w:cs="Arial"/>
                <w:color w:val="000000" w:themeColor="text1"/>
              </w:rPr>
              <w:t>623</w:t>
            </w:r>
          </w:p>
        </w:tc>
        <w:tc>
          <w:tcPr>
            <w:tcW w:w="148" w:type="pct"/>
            <w:vAlign w:val="bottom"/>
          </w:tcPr>
          <w:p w14:paraId="5B56C658" w14:textId="77777777" w:rsidR="00242A94" w:rsidRPr="00537128" w:rsidRDefault="00242A94" w:rsidP="00242A94">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bottom w:val="nil"/>
              <w:right w:val="nil"/>
            </w:tcBorders>
            <w:shd w:val="clear" w:color="auto" w:fill="auto"/>
            <w:vAlign w:val="bottom"/>
          </w:tcPr>
          <w:p w14:paraId="2B03FB8E" w14:textId="6BA55A6C" w:rsidR="00242A94" w:rsidRPr="00537128" w:rsidRDefault="00242A94" w:rsidP="00242A94">
            <w:pPr>
              <w:tabs>
                <w:tab w:val="right" w:pos="1202"/>
              </w:tabs>
              <w:spacing w:after="0" w:line="301" w:lineRule="exact"/>
              <w:jc w:val="right"/>
              <w:outlineLvl w:val="0"/>
              <w:rPr>
                <w:rFonts w:ascii="Calibri" w:eastAsia="Times New Roman" w:hAnsi="Calibri" w:cs="Arial"/>
                <w:lang w:val="en-US"/>
              </w:rPr>
            </w:pPr>
            <w:r w:rsidRPr="00BE3CEF">
              <w:rPr>
                <w:rFonts w:cs="Arial"/>
                <w:color w:val="000000" w:themeColor="text1"/>
              </w:rPr>
              <w:t>16</w:t>
            </w:r>
            <w:r>
              <w:rPr>
                <w:rFonts w:cs="Arial"/>
                <w:color w:val="000000" w:themeColor="text1"/>
              </w:rPr>
              <w:t>,</w:t>
            </w:r>
            <w:r w:rsidRPr="00BE3CEF">
              <w:rPr>
                <w:rFonts w:cs="Arial"/>
                <w:color w:val="000000" w:themeColor="text1"/>
              </w:rPr>
              <w:t>115</w:t>
            </w:r>
            <w:r>
              <w:rPr>
                <w:rFonts w:cs="Arial"/>
                <w:color w:val="000000" w:themeColor="text1"/>
              </w:rPr>
              <w:t>,</w:t>
            </w:r>
            <w:r w:rsidRPr="00BE3CEF">
              <w:rPr>
                <w:rFonts w:cs="Arial"/>
                <w:color w:val="000000" w:themeColor="text1"/>
              </w:rPr>
              <w:t>237</w:t>
            </w:r>
          </w:p>
        </w:tc>
      </w:tr>
      <w:tr w:rsidR="00242A94" w:rsidRPr="00537128" w14:paraId="4154EC01" w14:textId="77777777" w:rsidTr="0095076B">
        <w:trPr>
          <w:trHeight w:val="297"/>
        </w:trPr>
        <w:tc>
          <w:tcPr>
            <w:tcW w:w="2656" w:type="pct"/>
            <w:vAlign w:val="bottom"/>
          </w:tcPr>
          <w:p w14:paraId="3186BFA4" w14:textId="77777777" w:rsidR="00242A94" w:rsidRPr="00537128" w:rsidRDefault="00242A94" w:rsidP="00242A94">
            <w:pPr>
              <w:tabs>
                <w:tab w:val="right" w:pos="1202"/>
              </w:tabs>
              <w:spacing w:after="0" w:line="240" w:lineRule="auto"/>
              <w:outlineLvl w:val="0"/>
              <w:rPr>
                <w:rFonts w:ascii="Calibri" w:eastAsia="Calibri" w:hAnsi="Calibri" w:cs="Arial"/>
                <w:lang w:val="en-US"/>
              </w:rPr>
            </w:pPr>
            <w:r w:rsidRPr="00537128">
              <w:rPr>
                <w:rFonts w:ascii="Calibri" w:eastAsia="Calibri" w:hAnsi="Calibri" w:cs="Arial"/>
                <w:lang w:val="en-US"/>
              </w:rPr>
              <w:t xml:space="preserve">Provisions for guarantees, </w:t>
            </w:r>
            <w:proofErr w:type="gramStart"/>
            <w:r w:rsidRPr="00537128">
              <w:rPr>
                <w:rFonts w:ascii="Calibri" w:eastAsia="Calibri" w:hAnsi="Calibri" w:cs="Arial"/>
                <w:lang w:val="en-US"/>
              </w:rPr>
              <w:t>commitments</w:t>
            </w:r>
            <w:proofErr w:type="gramEnd"/>
            <w:r w:rsidRPr="00537128">
              <w:rPr>
                <w:rFonts w:ascii="Calibri" w:eastAsia="Calibri" w:hAnsi="Calibri" w:cs="Arial"/>
                <w:lang w:val="en-US"/>
              </w:rPr>
              <w:t xml:space="preserve"> and other liabilities</w:t>
            </w:r>
          </w:p>
        </w:tc>
        <w:tc>
          <w:tcPr>
            <w:tcW w:w="595" w:type="pct"/>
            <w:vAlign w:val="bottom"/>
          </w:tcPr>
          <w:p w14:paraId="1972C302" w14:textId="41F55FF8" w:rsidR="00242A94" w:rsidRPr="00537128" w:rsidRDefault="00242A94" w:rsidP="00242A94">
            <w:pPr>
              <w:tabs>
                <w:tab w:val="right" w:pos="1202"/>
              </w:tabs>
              <w:spacing w:after="0" w:line="240" w:lineRule="auto"/>
              <w:jc w:val="center"/>
              <w:outlineLvl w:val="0"/>
              <w:rPr>
                <w:rFonts w:ascii="Calibri" w:eastAsia="Times New Roman" w:hAnsi="Calibri" w:cs="Arial"/>
                <w:highlight w:val="yellow"/>
                <w:lang w:val="en-US"/>
              </w:rPr>
            </w:pPr>
            <w:r w:rsidRPr="00811AC6">
              <w:rPr>
                <w:rFonts w:cs="Arial"/>
                <w:color w:val="000000" w:themeColor="text1"/>
              </w:rPr>
              <w:t>19</w:t>
            </w:r>
          </w:p>
        </w:tc>
        <w:tc>
          <w:tcPr>
            <w:tcW w:w="816" w:type="pct"/>
            <w:tcBorders>
              <w:top w:val="nil"/>
              <w:left w:val="nil"/>
              <w:bottom w:val="nil"/>
              <w:right w:val="nil"/>
            </w:tcBorders>
            <w:shd w:val="clear" w:color="auto" w:fill="auto"/>
            <w:vAlign w:val="bottom"/>
          </w:tcPr>
          <w:p w14:paraId="62AFE1B1" w14:textId="7B4216C4" w:rsidR="00242A94" w:rsidRPr="00537128" w:rsidRDefault="00242A94" w:rsidP="00242A94">
            <w:pPr>
              <w:tabs>
                <w:tab w:val="right" w:pos="1202"/>
              </w:tabs>
              <w:spacing w:after="0" w:line="240" w:lineRule="auto"/>
              <w:jc w:val="right"/>
              <w:outlineLvl w:val="0"/>
              <w:rPr>
                <w:rFonts w:ascii="Calibri" w:eastAsia="Times New Roman" w:hAnsi="Calibri" w:cs="Calibri"/>
                <w:color w:val="000000"/>
                <w:lang w:val="en-US"/>
              </w:rPr>
            </w:pPr>
            <w:r>
              <w:rPr>
                <w:rFonts w:cs="Calibri"/>
                <w:color w:val="000000" w:themeColor="text1"/>
              </w:rPr>
              <w:t>144</w:t>
            </w:r>
            <w:r w:rsidR="0095076B">
              <w:rPr>
                <w:rFonts w:cs="Calibri"/>
                <w:color w:val="000000" w:themeColor="text1"/>
              </w:rPr>
              <w:t>,</w:t>
            </w:r>
            <w:r>
              <w:rPr>
                <w:rFonts w:cs="Calibri"/>
                <w:color w:val="000000" w:themeColor="text1"/>
              </w:rPr>
              <w:t>648</w:t>
            </w:r>
          </w:p>
        </w:tc>
        <w:tc>
          <w:tcPr>
            <w:tcW w:w="148" w:type="pct"/>
            <w:vAlign w:val="bottom"/>
          </w:tcPr>
          <w:p w14:paraId="10722576" w14:textId="77777777" w:rsidR="00242A94" w:rsidRPr="00537128" w:rsidRDefault="00242A94" w:rsidP="00242A94">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bottom w:val="nil"/>
              <w:right w:val="nil"/>
            </w:tcBorders>
            <w:shd w:val="clear" w:color="auto" w:fill="auto"/>
            <w:vAlign w:val="bottom"/>
          </w:tcPr>
          <w:p w14:paraId="0613D166" w14:textId="0778DD21" w:rsidR="00242A94" w:rsidRPr="00537128" w:rsidRDefault="00242A94" w:rsidP="00242A94">
            <w:pPr>
              <w:tabs>
                <w:tab w:val="right" w:pos="1202"/>
              </w:tabs>
              <w:spacing w:after="0" w:line="301" w:lineRule="exact"/>
              <w:jc w:val="right"/>
              <w:outlineLvl w:val="0"/>
              <w:rPr>
                <w:rFonts w:ascii="Calibri" w:eastAsia="Times New Roman" w:hAnsi="Calibri" w:cs="Calibri"/>
                <w:color w:val="000000"/>
                <w:lang w:val="en-US"/>
              </w:rPr>
            </w:pPr>
            <w:r w:rsidRPr="00BE3CEF">
              <w:rPr>
                <w:rFonts w:ascii="Calibri" w:hAnsi="Calibri" w:cs="Calibri"/>
                <w:color w:val="000000" w:themeColor="text1"/>
              </w:rPr>
              <w:t>190</w:t>
            </w:r>
            <w:r>
              <w:rPr>
                <w:rFonts w:ascii="Calibri" w:hAnsi="Calibri" w:cs="Calibri"/>
                <w:color w:val="000000" w:themeColor="text1"/>
              </w:rPr>
              <w:t>,</w:t>
            </w:r>
            <w:r w:rsidRPr="00BE3CEF">
              <w:rPr>
                <w:rFonts w:ascii="Calibri" w:hAnsi="Calibri" w:cs="Calibri"/>
                <w:color w:val="000000" w:themeColor="text1"/>
              </w:rPr>
              <w:t>303</w:t>
            </w:r>
          </w:p>
        </w:tc>
      </w:tr>
      <w:tr w:rsidR="00242A94" w:rsidRPr="00537128" w14:paraId="111025EC" w14:textId="77777777" w:rsidTr="0095076B">
        <w:trPr>
          <w:trHeight w:val="297"/>
        </w:trPr>
        <w:tc>
          <w:tcPr>
            <w:tcW w:w="2656" w:type="pct"/>
            <w:vAlign w:val="bottom"/>
          </w:tcPr>
          <w:p w14:paraId="71EEB3CF" w14:textId="77777777" w:rsidR="00242A94" w:rsidRPr="00537128" w:rsidRDefault="00242A94" w:rsidP="00242A94">
            <w:pPr>
              <w:tabs>
                <w:tab w:val="right" w:pos="1202"/>
              </w:tabs>
              <w:spacing w:after="0" w:line="240" w:lineRule="auto"/>
              <w:outlineLvl w:val="0"/>
              <w:rPr>
                <w:rFonts w:ascii="Calibri" w:eastAsia="Times New Roman" w:hAnsi="Calibri" w:cs="Arial"/>
                <w:lang w:val="en-US"/>
              </w:rPr>
            </w:pPr>
            <w:bookmarkStart w:id="151" w:name="_Toc4057407"/>
            <w:r w:rsidRPr="00537128">
              <w:rPr>
                <w:rFonts w:ascii="Calibri" w:eastAsia="Calibri" w:hAnsi="Calibri" w:cs="Arial"/>
                <w:lang w:val="en-US"/>
              </w:rPr>
              <w:t>Other liabilities</w:t>
            </w:r>
            <w:bookmarkEnd w:id="151"/>
          </w:p>
        </w:tc>
        <w:tc>
          <w:tcPr>
            <w:tcW w:w="595" w:type="pct"/>
            <w:vAlign w:val="bottom"/>
          </w:tcPr>
          <w:p w14:paraId="6D74F70B" w14:textId="25005A14" w:rsidR="00242A94" w:rsidRPr="00537128" w:rsidRDefault="00242A94" w:rsidP="00242A94">
            <w:pPr>
              <w:tabs>
                <w:tab w:val="right" w:pos="1202"/>
              </w:tabs>
              <w:spacing w:after="0" w:line="240" w:lineRule="auto"/>
              <w:jc w:val="center"/>
              <w:outlineLvl w:val="0"/>
              <w:rPr>
                <w:rFonts w:ascii="Calibri" w:eastAsia="Times New Roman" w:hAnsi="Calibri" w:cs="Arial"/>
                <w:highlight w:val="yellow"/>
                <w:lang w:val="en-US"/>
              </w:rPr>
            </w:pPr>
            <w:r w:rsidRPr="00811AC6">
              <w:rPr>
                <w:rFonts w:cs="Arial"/>
                <w:color w:val="000000" w:themeColor="text1"/>
              </w:rPr>
              <w:t>20</w:t>
            </w:r>
          </w:p>
        </w:tc>
        <w:tc>
          <w:tcPr>
            <w:tcW w:w="816" w:type="pct"/>
            <w:tcBorders>
              <w:top w:val="nil"/>
              <w:left w:val="nil"/>
              <w:bottom w:val="nil"/>
              <w:right w:val="nil"/>
            </w:tcBorders>
            <w:shd w:val="clear" w:color="auto" w:fill="auto"/>
            <w:vAlign w:val="bottom"/>
          </w:tcPr>
          <w:p w14:paraId="3B366219" w14:textId="056C5986" w:rsidR="00242A94" w:rsidRPr="00537128" w:rsidRDefault="00242A94" w:rsidP="00242A94">
            <w:pPr>
              <w:tabs>
                <w:tab w:val="right" w:pos="1202"/>
              </w:tabs>
              <w:spacing w:after="0" w:line="240" w:lineRule="auto"/>
              <w:jc w:val="right"/>
              <w:outlineLvl w:val="0"/>
              <w:rPr>
                <w:rFonts w:ascii="Calibri" w:eastAsia="Times New Roman" w:hAnsi="Calibri" w:cs="Calibri"/>
                <w:lang w:val="en-US"/>
              </w:rPr>
            </w:pPr>
            <w:r>
              <w:rPr>
                <w:rFonts w:cs="Arial"/>
                <w:color w:val="000000" w:themeColor="text1"/>
              </w:rPr>
              <w:t>369</w:t>
            </w:r>
            <w:r w:rsidR="0095076B">
              <w:rPr>
                <w:rFonts w:cs="Arial"/>
                <w:color w:val="000000" w:themeColor="text1"/>
              </w:rPr>
              <w:t>,</w:t>
            </w:r>
            <w:r>
              <w:rPr>
                <w:rFonts w:cs="Arial"/>
                <w:color w:val="000000" w:themeColor="text1"/>
              </w:rPr>
              <w:t>31</w:t>
            </w:r>
            <w:r w:rsidR="002C3C0C">
              <w:rPr>
                <w:rFonts w:cs="Arial"/>
                <w:color w:val="000000" w:themeColor="text1"/>
              </w:rPr>
              <w:t>0</w:t>
            </w:r>
          </w:p>
        </w:tc>
        <w:tc>
          <w:tcPr>
            <w:tcW w:w="148" w:type="pct"/>
            <w:vAlign w:val="bottom"/>
          </w:tcPr>
          <w:p w14:paraId="305E31B9" w14:textId="77777777" w:rsidR="00242A94" w:rsidRPr="00537128" w:rsidRDefault="00242A94" w:rsidP="00242A94">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bottom w:val="nil"/>
              <w:right w:val="nil"/>
            </w:tcBorders>
            <w:shd w:val="clear" w:color="auto" w:fill="auto"/>
            <w:vAlign w:val="bottom"/>
          </w:tcPr>
          <w:p w14:paraId="28A65B7A" w14:textId="0A7BC3C3" w:rsidR="00242A94" w:rsidRPr="00537128" w:rsidRDefault="00242A94" w:rsidP="00242A94">
            <w:pPr>
              <w:tabs>
                <w:tab w:val="right" w:pos="1202"/>
              </w:tabs>
              <w:spacing w:after="0" w:line="301" w:lineRule="exact"/>
              <w:jc w:val="right"/>
              <w:outlineLvl w:val="0"/>
              <w:rPr>
                <w:rFonts w:ascii="Calibri" w:eastAsia="Times New Roman" w:hAnsi="Calibri" w:cs="Arial"/>
                <w:lang w:val="en-US"/>
              </w:rPr>
            </w:pPr>
            <w:r w:rsidRPr="00BE3CEF">
              <w:rPr>
                <w:rFonts w:cs="Arial"/>
                <w:color w:val="000000" w:themeColor="text1"/>
              </w:rPr>
              <w:t>416</w:t>
            </w:r>
            <w:r>
              <w:rPr>
                <w:rFonts w:cs="Arial"/>
                <w:color w:val="000000" w:themeColor="text1"/>
              </w:rPr>
              <w:t>,</w:t>
            </w:r>
            <w:r w:rsidRPr="00BE3CEF">
              <w:rPr>
                <w:rFonts w:cs="Arial"/>
                <w:color w:val="000000" w:themeColor="text1"/>
              </w:rPr>
              <w:t>178</w:t>
            </w:r>
          </w:p>
        </w:tc>
      </w:tr>
      <w:tr w:rsidR="00242A94" w:rsidRPr="00537128" w14:paraId="167D8E15" w14:textId="77777777" w:rsidTr="0095076B">
        <w:trPr>
          <w:trHeight w:val="342"/>
        </w:trPr>
        <w:tc>
          <w:tcPr>
            <w:tcW w:w="2656" w:type="pct"/>
            <w:vAlign w:val="bottom"/>
          </w:tcPr>
          <w:p w14:paraId="338B96F7" w14:textId="77777777" w:rsidR="00242A94" w:rsidRPr="00537128" w:rsidRDefault="00242A94" w:rsidP="00242A94">
            <w:pPr>
              <w:tabs>
                <w:tab w:val="right" w:pos="1202"/>
              </w:tabs>
              <w:spacing w:after="0" w:line="240" w:lineRule="auto"/>
              <w:outlineLvl w:val="0"/>
              <w:rPr>
                <w:rFonts w:ascii="Calibri" w:eastAsia="Times New Roman" w:hAnsi="Calibri" w:cs="Arial"/>
                <w:b/>
                <w:bCs/>
                <w:lang w:val="en-US"/>
              </w:rPr>
            </w:pPr>
            <w:bookmarkStart w:id="152" w:name="_Toc4057411"/>
            <w:r w:rsidRPr="00537128">
              <w:rPr>
                <w:rFonts w:ascii="Calibri" w:eastAsia="Calibri" w:hAnsi="Calibri" w:cs="Arial"/>
                <w:b/>
                <w:bCs/>
                <w:lang w:val="en-US"/>
              </w:rPr>
              <w:t>Total liabilities</w:t>
            </w:r>
            <w:bookmarkEnd w:id="152"/>
          </w:p>
        </w:tc>
        <w:tc>
          <w:tcPr>
            <w:tcW w:w="595" w:type="pct"/>
            <w:vAlign w:val="bottom"/>
          </w:tcPr>
          <w:p w14:paraId="0D2B5F78" w14:textId="77777777" w:rsidR="00242A94" w:rsidRPr="00537128" w:rsidRDefault="00242A94" w:rsidP="00242A94">
            <w:pPr>
              <w:tabs>
                <w:tab w:val="right" w:pos="1202"/>
              </w:tabs>
              <w:spacing w:after="0" w:line="240" w:lineRule="auto"/>
              <w:jc w:val="center"/>
              <w:outlineLvl w:val="0"/>
              <w:rPr>
                <w:rFonts w:ascii="Calibri" w:eastAsia="Times New Roman" w:hAnsi="Calibri" w:cs="Arial"/>
                <w:b/>
                <w:bCs/>
                <w:highlight w:val="yellow"/>
                <w:lang w:val="en-US"/>
              </w:rPr>
            </w:pPr>
          </w:p>
        </w:tc>
        <w:tc>
          <w:tcPr>
            <w:tcW w:w="816" w:type="pct"/>
            <w:tcBorders>
              <w:top w:val="single" w:sz="4" w:space="0" w:color="auto"/>
              <w:left w:val="nil"/>
              <w:bottom w:val="single" w:sz="8" w:space="0" w:color="auto"/>
              <w:right w:val="nil"/>
            </w:tcBorders>
            <w:shd w:val="clear" w:color="auto" w:fill="auto"/>
            <w:vAlign w:val="bottom"/>
          </w:tcPr>
          <w:p w14:paraId="53FA3AFC" w14:textId="04169CF0" w:rsidR="00242A94" w:rsidRPr="00537128" w:rsidRDefault="00242A94" w:rsidP="00242A94">
            <w:pPr>
              <w:tabs>
                <w:tab w:val="right" w:pos="1202"/>
              </w:tabs>
              <w:spacing w:after="0" w:line="340" w:lineRule="exact"/>
              <w:jc w:val="right"/>
              <w:outlineLvl w:val="0"/>
              <w:rPr>
                <w:rFonts w:ascii="Calibri" w:eastAsia="Times New Roman" w:hAnsi="Calibri" w:cs="Calibri"/>
                <w:b/>
                <w:bCs/>
                <w:lang w:val="en-US"/>
              </w:rPr>
            </w:pPr>
            <w:r>
              <w:rPr>
                <w:rFonts w:cs="Arial"/>
                <w:b/>
                <w:bCs/>
                <w:color w:val="000000" w:themeColor="text1"/>
              </w:rPr>
              <w:t>16</w:t>
            </w:r>
            <w:r w:rsidR="0095076B">
              <w:rPr>
                <w:rFonts w:cs="Arial"/>
                <w:b/>
                <w:bCs/>
                <w:color w:val="000000" w:themeColor="text1"/>
              </w:rPr>
              <w:t>,</w:t>
            </w:r>
            <w:r>
              <w:rPr>
                <w:rFonts w:cs="Arial"/>
                <w:b/>
                <w:bCs/>
                <w:color w:val="000000" w:themeColor="text1"/>
              </w:rPr>
              <w:t>950</w:t>
            </w:r>
            <w:r w:rsidR="0095076B">
              <w:rPr>
                <w:rFonts w:cs="Arial"/>
                <w:b/>
                <w:bCs/>
                <w:color w:val="000000" w:themeColor="text1"/>
              </w:rPr>
              <w:t>,</w:t>
            </w:r>
            <w:r>
              <w:rPr>
                <w:rFonts w:cs="Arial"/>
                <w:b/>
                <w:bCs/>
                <w:color w:val="000000" w:themeColor="text1"/>
              </w:rPr>
              <w:t>118</w:t>
            </w:r>
          </w:p>
        </w:tc>
        <w:tc>
          <w:tcPr>
            <w:tcW w:w="148" w:type="pct"/>
            <w:tcBorders>
              <w:top w:val="single" w:sz="4" w:space="0" w:color="auto"/>
              <w:bottom w:val="single" w:sz="12" w:space="0" w:color="auto"/>
            </w:tcBorders>
            <w:vAlign w:val="bottom"/>
          </w:tcPr>
          <w:p w14:paraId="41B5BED2" w14:textId="77777777" w:rsidR="00242A94" w:rsidRPr="00537128" w:rsidRDefault="00242A94" w:rsidP="00242A94">
            <w:pPr>
              <w:tabs>
                <w:tab w:val="right" w:pos="1202"/>
              </w:tabs>
              <w:spacing w:after="0" w:line="240" w:lineRule="auto"/>
              <w:jc w:val="right"/>
              <w:outlineLvl w:val="0"/>
              <w:rPr>
                <w:rFonts w:ascii="Calibri" w:eastAsia="Times New Roman" w:hAnsi="Calibri" w:cs="Arial"/>
                <w:b/>
                <w:bCs/>
                <w:lang w:val="en-US"/>
              </w:rPr>
            </w:pPr>
          </w:p>
        </w:tc>
        <w:tc>
          <w:tcPr>
            <w:tcW w:w="785" w:type="pct"/>
            <w:tcBorders>
              <w:top w:val="single" w:sz="4" w:space="0" w:color="auto"/>
              <w:left w:val="nil"/>
              <w:bottom w:val="single" w:sz="8" w:space="0" w:color="auto"/>
              <w:right w:val="nil"/>
            </w:tcBorders>
            <w:shd w:val="clear" w:color="auto" w:fill="auto"/>
            <w:vAlign w:val="bottom"/>
          </w:tcPr>
          <w:p w14:paraId="74665FFE" w14:textId="52494321" w:rsidR="00242A94" w:rsidRPr="00537128" w:rsidRDefault="00242A94" w:rsidP="00242A94">
            <w:pPr>
              <w:tabs>
                <w:tab w:val="right" w:pos="1202"/>
              </w:tabs>
              <w:spacing w:after="0" w:line="340" w:lineRule="exact"/>
              <w:jc w:val="right"/>
              <w:outlineLvl w:val="0"/>
              <w:rPr>
                <w:rFonts w:ascii="Calibri" w:eastAsia="Times New Roman" w:hAnsi="Calibri" w:cs="Arial"/>
                <w:b/>
                <w:bCs/>
                <w:lang w:val="en-US"/>
              </w:rPr>
            </w:pPr>
            <w:r w:rsidRPr="00BE3CEF">
              <w:rPr>
                <w:rFonts w:cs="Arial"/>
                <w:b/>
                <w:bCs/>
                <w:color w:val="000000" w:themeColor="text1"/>
              </w:rPr>
              <w:t>17</w:t>
            </w:r>
            <w:r>
              <w:rPr>
                <w:rFonts w:cs="Arial"/>
                <w:b/>
                <w:bCs/>
                <w:color w:val="000000" w:themeColor="text1"/>
              </w:rPr>
              <w:t>,</w:t>
            </w:r>
            <w:r w:rsidRPr="00BE3CEF">
              <w:rPr>
                <w:rFonts w:cs="Arial"/>
                <w:b/>
                <w:bCs/>
                <w:color w:val="000000" w:themeColor="text1"/>
              </w:rPr>
              <w:t>682</w:t>
            </w:r>
            <w:r>
              <w:rPr>
                <w:rFonts w:cs="Arial"/>
                <w:b/>
                <w:bCs/>
                <w:color w:val="000000" w:themeColor="text1"/>
              </w:rPr>
              <w:t>,</w:t>
            </w:r>
            <w:r w:rsidRPr="00BE3CEF">
              <w:rPr>
                <w:rFonts w:cs="Arial"/>
                <w:b/>
                <w:bCs/>
                <w:color w:val="000000" w:themeColor="text1"/>
              </w:rPr>
              <w:t>259</w:t>
            </w:r>
          </w:p>
        </w:tc>
      </w:tr>
      <w:tr w:rsidR="00242A94" w:rsidRPr="00537128" w14:paraId="66DBC6F1" w14:textId="77777777" w:rsidTr="0095076B">
        <w:trPr>
          <w:trHeight w:val="297"/>
        </w:trPr>
        <w:tc>
          <w:tcPr>
            <w:tcW w:w="2656" w:type="pct"/>
            <w:vAlign w:val="bottom"/>
          </w:tcPr>
          <w:p w14:paraId="69C08A60" w14:textId="77777777" w:rsidR="00242A94" w:rsidRPr="00537128" w:rsidRDefault="00242A94" w:rsidP="00242A94">
            <w:pPr>
              <w:tabs>
                <w:tab w:val="right" w:pos="1202"/>
              </w:tabs>
              <w:spacing w:after="0" w:line="240" w:lineRule="auto"/>
              <w:outlineLvl w:val="0"/>
              <w:rPr>
                <w:rFonts w:ascii="Calibri" w:eastAsia="Times New Roman" w:hAnsi="Calibri" w:cs="Arial"/>
                <w:b/>
                <w:bCs/>
                <w:lang w:val="en-US"/>
              </w:rPr>
            </w:pPr>
            <w:bookmarkStart w:id="153" w:name="_Toc4057414"/>
            <w:r w:rsidRPr="00537128">
              <w:rPr>
                <w:rFonts w:ascii="Calibri" w:eastAsia="Calibri" w:hAnsi="Calibri" w:cs="Arial"/>
                <w:b/>
                <w:bCs/>
                <w:lang w:val="en-US"/>
              </w:rPr>
              <w:t>Equity</w:t>
            </w:r>
            <w:bookmarkEnd w:id="153"/>
          </w:p>
        </w:tc>
        <w:tc>
          <w:tcPr>
            <w:tcW w:w="595" w:type="pct"/>
            <w:vAlign w:val="bottom"/>
          </w:tcPr>
          <w:p w14:paraId="1A898169" w14:textId="77777777" w:rsidR="00242A94" w:rsidRPr="00537128" w:rsidRDefault="00242A94" w:rsidP="00242A94">
            <w:pPr>
              <w:tabs>
                <w:tab w:val="right" w:pos="1202"/>
              </w:tabs>
              <w:spacing w:after="0" w:line="240" w:lineRule="auto"/>
              <w:jc w:val="center"/>
              <w:outlineLvl w:val="0"/>
              <w:rPr>
                <w:rFonts w:ascii="Calibri" w:eastAsia="Times New Roman" w:hAnsi="Calibri" w:cs="Arial"/>
                <w:b/>
                <w:bCs/>
                <w:highlight w:val="yellow"/>
                <w:lang w:val="en-US"/>
              </w:rPr>
            </w:pPr>
          </w:p>
        </w:tc>
        <w:tc>
          <w:tcPr>
            <w:tcW w:w="816" w:type="pct"/>
            <w:tcBorders>
              <w:top w:val="single" w:sz="12" w:space="0" w:color="auto"/>
            </w:tcBorders>
            <w:vAlign w:val="bottom"/>
          </w:tcPr>
          <w:p w14:paraId="28364847" w14:textId="77777777" w:rsidR="00242A94" w:rsidRPr="00537128" w:rsidRDefault="00242A94" w:rsidP="00242A94">
            <w:pPr>
              <w:tabs>
                <w:tab w:val="right" w:pos="1202"/>
              </w:tabs>
              <w:spacing w:after="0" w:line="240" w:lineRule="auto"/>
              <w:jc w:val="right"/>
              <w:outlineLvl w:val="0"/>
              <w:rPr>
                <w:rFonts w:ascii="Calibri" w:eastAsia="Times New Roman" w:hAnsi="Calibri" w:cs="Calibri"/>
                <w:b/>
                <w:bCs/>
                <w:lang w:val="en-US"/>
              </w:rPr>
            </w:pPr>
          </w:p>
        </w:tc>
        <w:tc>
          <w:tcPr>
            <w:tcW w:w="148" w:type="pct"/>
            <w:tcBorders>
              <w:top w:val="single" w:sz="12" w:space="0" w:color="auto"/>
            </w:tcBorders>
            <w:vAlign w:val="bottom"/>
          </w:tcPr>
          <w:p w14:paraId="457F88EF" w14:textId="77777777" w:rsidR="00242A94" w:rsidRPr="00537128" w:rsidRDefault="00242A94" w:rsidP="00242A94">
            <w:pPr>
              <w:tabs>
                <w:tab w:val="right" w:pos="1202"/>
              </w:tabs>
              <w:spacing w:after="0" w:line="240" w:lineRule="auto"/>
              <w:jc w:val="right"/>
              <w:outlineLvl w:val="0"/>
              <w:rPr>
                <w:rFonts w:ascii="Calibri" w:eastAsia="Times New Roman" w:hAnsi="Calibri" w:cs="Arial"/>
                <w:b/>
                <w:bCs/>
                <w:lang w:val="en-US"/>
              </w:rPr>
            </w:pPr>
          </w:p>
        </w:tc>
        <w:tc>
          <w:tcPr>
            <w:tcW w:w="785" w:type="pct"/>
            <w:tcBorders>
              <w:top w:val="single" w:sz="12" w:space="0" w:color="auto"/>
            </w:tcBorders>
            <w:vAlign w:val="bottom"/>
          </w:tcPr>
          <w:p w14:paraId="48B51B0E" w14:textId="77777777" w:rsidR="00242A94" w:rsidRPr="00537128" w:rsidRDefault="00242A94" w:rsidP="00242A94">
            <w:pPr>
              <w:tabs>
                <w:tab w:val="right" w:pos="1202"/>
              </w:tabs>
              <w:spacing w:after="0" w:line="240" w:lineRule="auto"/>
              <w:jc w:val="right"/>
              <w:outlineLvl w:val="0"/>
              <w:rPr>
                <w:rFonts w:ascii="Calibri" w:eastAsia="Times New Roman" w:hAnsi="Calibri" w:cs="Arial"/>
                <w:b/>
                <w:bCs/>
                <w:lang w:val="en-US"/>
              </w:rPr>
            </w:pPr>
          </w:p>
        </w:tc>
      </w:tr>
      <w:tr w:rsidR="0095076B" w:rsidRPr="00537128" w14:paraId="1768D2BE" w14:textId="77777777" w:rsidTr="0095076B">
        <w:trPr>
          <w:trHeight w:val="297"/>
        </w:trPr>
        <w:tc>
          <w:tcPr>
            <w:tcW w:w="2656" w:type="pct"/>
            <w:vAlign w:val="bottom"/>
          </w:tcPr>
          <w:p w14:paraId="186C0A1B" w14:textId="77777777" w:rsidR="0095076B" w:rsidRPr="00537128" w:rsidRDefault="0095076B" w:rsidP="0095076B">
            <w:pPr>
              <w:tabs>
                <w:tab w:val="right" w:pos="1202"/>
              </w:tabs>
              <w:spacing w:after="0" w:line="240" w:lineRule="auto"/>
              <w:outlineLvl w:val="0"/>
              <w:rPr>
                <w:rFonts w:ascii="Calibri" w:eastAsia="Times New Roman" w:hAnsi="Calibri" w:cs="Arial"/>
                <w:lang w:val="en-US"/>
              </w:rPr>
            </w:pPr>
            <w:bookmarkStart w:id="154" w:name="_Toc4057415"/>
            <w:r w:rsidRPr="00537128">
              <w:rPr>
                <w:rFonts w:ascii="Calibri" w:eastAsia="Calibri" w:hAnsi="Calibri" w:cs="Arial"/>
                <w:lang w:val="en-US"/>
              </w:rPr>
              <w:t>Founder’s capital</w:t>
            </w:r>
            <w:bookmarkEnd w:id="154"/>
          </w:p>
        </w:tc>
        <w:tc>
          <w:tcPr>
            <w:tcW w:w="595" w:type="pct"/>
            <w:vAlign w:val="bottom"/>
          </w:tcPr>
          <w:p w14:paraId="03CC7FA2" w14:textId="2923EFC1" w:rsidR="0095076B" w:rsidRPr="00A1123E" w:rsidRDefault="0095076B" w:rsidP="0095076B">
            <w:pPr>
              <w:tabs>
                <w:tab w:val="right" w:pos="1202"/>
              </w:tabs>
              <w:spacing w:after="0" w:line="240" w:lineRule="auto"/>
              <w:jc w:val="center"/>
              <w:outlineLvl w:val="0"/>
              <w:rPr>
                <w:rFonts w:ascii="Calibri" w:eastAsia="Times New Roman" w:hAnsi="Calibri" w:cs="Arial"/>
                <w:lang w:val="en-US"/>
              </w:rPr>
            </w:pPr>
            <w:r w:rsidRPr="00A1123E">
              <w:rPr>
                <w:rFonts w:ascii="Calibri" w:eastAsia="Times New Roman" w:hAnsi="Calibri" w:cs="Arial"/>
                <w:lang w:val="en-US"/>
              </w:rPr>
              <w:t>26</w:t>
            </w:r>
          </w:p>
        </w:tc>
        <w:tc>
          <w:tcPr>
            <w:tcW w:w="816" w:type="pct"/>
            <w:tcBorders>
              <w:top w:val="nil"/>
              <w:left w:val="nil"/>
              <w:bottom w:val="nil"/>
              <w:right w:val="nil"/>
            </w:tcBorders>
            <w:shd w:val="clear" w:color="auto" w:fill="auto"/>
            <w:vAlign w:val="bottom"/>
          </w:tcPr>
          <w:p w14:paraId="57492AD0" w14:textId="4C7069CA" w:rsidR="0095076B" w:rsidRPr="00537128" w:rsidRDefault="0095076B" w:rsidP="0095076B">
            <w:pPr>
              <w:tabs>
                <w:tab w:val="right" w:pos="1202"/>
              </w:tabs>
              <w:spacing w:after="0" w:line="240" w:lineRule="auto"/>
              <w:jc w:val="right"/>
              <w:outlineLvl w:val="0"/>
              <w:rPr>
                <w:rFonts w:ascii="Calibri" w:eastAsia="Times New Roman" w:hAnsi="Calibri" w:cs="Calibri"/>
                <w:lang w:val="en-US"/>
              </w:rPr>
            </w:pPr>
            <w:r>
              <w:rPr>
                <w:rFonts w:cs="Arial"/>
                <w:color w:val="000000" w:themeColor="text1"/>
              </w:rPr>
              <w:t>7,184,632</w:t>
            </w:r>
          </w:p>
        </w:tc>
        <w:tc>
          <w:tcPr>
            <w:tcW w:w="148" w:type="pct"/>
            <w:vAlign w:val="bottom"/>
          </w:tcPr>
          <w:p w14:paraId="2CFC59E9" w14:textId="77777777" w:rsidR="0095076B" w:rsidRPr="00537128" w:rsidRDefault="0095076B" w:rsidP="0095076B">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bottom w:val="nil"/>
              <w:right w:val="nil"/>
            </w:tcBorders>
            <w:shd w:val="clear" w:color="auto" w:fill="auto"/>
            <w:vAlign w:val="bottom"/>
          </w:tcPr>
          <w:p w14:paraId="68120C25" w14:textId="2A301796" w:rsidR="0095076B" w:rsidRPr="00537128" w:rsidRDefault="0095076B" w:rsidP="0095076B">
            <w:pPr>
              <w:tabs>
                <w:tab w:val="right" w:pos="1202"/>
              </w:tabs>
              <w:spacing w:after="0" w:line="301" w:lineRule="exact"/>
              <w:jc w:val="right"/>
              <w:outlineLvl w:val="0"/>
              <w:rPr>
                <w:rFonts w:ascii="Calibri" w:eastAsia="Times New Roman" w:hAnsi="Calibri" w:cs="Arial"/>
                <w:lang w:val="en-US"/>
              </w:rPr>
            </w:pPr>
            <w:r w:rsidRPr="00BE3CEF">
              <w:rPr>
                <w:rFonts w:cs="Arial"/>
                <w:color w:val="000000" w:themeColor="text1"/>
              </w:rPr>
              <w:t>7</w:t>
            </w:r>
            <w:r>
              <w:rPr>
                <w:rFonts w:cs="Arial"/>
                <w:color w:val="000000" w:themeColor="text1"/>
              </w:rPr>
              <w:t>,</w:t>
            </w:r>
            <w:r w:rsidRPr="00BE3CEF">
              <w:rPr>
                <w:rFonts w:cs="Arial"/>
                <w:color w:val="000000" w:themeColor="text1"/>
              </w:rPr>
              <w:t>184</w:t>
            </w:r>
            <w:r>
              <w:rPr>
                <w:rFonts w:cs="Arial"/>
                <w:color w:val="000000" w:themeColor="text1"/>
              </w:rPr>
              <w:t>,</w:t>
            </w:r>
            <w:r w:rsidRPr="00BE3CEF">
              <w:rPr>
                <w:rFonts w:cs="Arial"/>
                <w:color w:val="000000" w:themeColor="text1"/>
              </w:rPr>
              <w:t>632</w:t>
            </w:r>
          </w:p>
        </w:tc>
      </w:tr>
      <w:tr w:rsidR="0095076B" w:rsidRPr="00537128" w14:paraId="62634C57" w14:textId="77777777" w:rsidTr="0095076B">
        <w:trPr>
          <w:trHeight w:val="307"/>
        </w:trPr>
        <w:tc>
          <w:tcPr>
            <w:tcW w:w="2656" w:type="pct"/>
            <w:vAlign w:val="bottom"/>
          </w:tcPr>
          <w:p w14:paraId="2B697AB2" w14:textId="77777777" w:rsidR="0095076B" w:rsidRPr="00537128" w:rsidRDefault="0095076B" w:rsidP="0095076B">
            <w:pPr>
              <w:tabs>
                <w:tab w:val="right" w:pos="1202"/>
              </w:tabs>
              <w:spacing w:after="0" w:line="240" w:lineRule="auto"/>
              <w:outlineLvl w:val="0"/>
              <w:rPr>
                <w:rFonts w:ascii="Calibri" w:eastAsia="Times New Roman" w:hAnsi="Calibri" w:cs="Arial"/>
                <w:lang w:val="en-US"/>
              </w:rPr>
            </w:pPr>
            <w:bookmarkStart w:id="155" w:name="_Toc4057419"/>
            <w:r w:rsidRPr="00537128">
              <w:rPr>
                <w:rFonts w:ascii="Calibri" w:eastAsia="Calibri" w:hAnsi="Calibri" w:cs="Arial"/>
                <w:lang w:val="en-US"/>
              </w:rPr>
              <w:t>Retained earnings and reserves</w:t>
            </w:r>
            <w:bookmarkEnd w:id="155"/>
          </w:p>
        </w:tc>
        <w:tc>
          <w:tcPr>
            <w:tcW w:w="595" w:type="pct"/>
            <w:vAlign w:val="bottom"/>
          </w:tcPr>
          <w:p w14:paraId="0894D6EF" w14:textId="77777777" w:rsidR="0095076B" w:rsidRPr="00537128" w:rsidRDefault="0095076B" w:rsidP="0095076B">
            <w:pPr>
              <w:tabs>
                <w:tab w:val="right" w:pos="1202"/>
              </w:tabs>
              <w:spacing w:after="0" w:line="240" w:lineRule="auto"/>
              <w:jc w:val="center"/>
              <w:outlineLvl w:val="0"/>
              <w:rPr>
                <w:rFonts w:ascii="Calibri" w:eastAsia="Times New Roman" w:hAnsi="Calibri" w:cs="Arial"/>
                <w:lang w:val="en-US"/>
              </w:rPr>
            </w:pPr>
          </w:p>
        </w:tc>
        <w:tc>
          <w:tcPr>
            <w:tcW w:w="816" w:type="pct"/>
            <w:tcBorders>
              <w:top w:val="nil"/>
              <w:left w:val="nil"/>
              <w:bottom w:val="nil"/>
              <w:right w:val="nil"/>
            </w:tcBorders>
            <w:shd w:val="clear" w:color="auto" w:fill="auto"/>
            <w:vAlign w:val="bottom"/>
          </w:tcPr>
          <w:p w14:paraId="51064140" w14:textId="31FDE655" w:rsidR="0095076B" w:rsidRPr="00537128" w:rsidRDefault="0095076B" w:rsidP="0095076B">
            <w:pPr>
              <w:tabs>
                <w:tab w:val="right" w:pos="1202"/>
              </w:tabs>
              <w:spacing w:after="0" w:line="240" w:lineRule="auto"/>
              <w:jc w:val="right"/>
              <w:outlineLvl w:val="0"/>
              <w:rPr>
                <w:rFonts w:ascii="Calibri" w:eastAsia="Times New Roman" w:hAnsi="Calibri" w:cs="Calibri"/>
                <w:lang w:val="en-US"/>
              </w:rPr>
            </w:pPr>
            <w:r>
              <w:rPr>
                <w:rFonts w:cs="Arial"/>
                <w:color w:val="000000" w:themeColor="text1"/>
              </w:rPr>
              <w:t>3,340,827</w:t>
            </w:r>
          </w:p>
        </w:tc>
        <w:tc>
          <w:tcPr>
            <w:tcW w:w="148" w:type="pct"/>
            <w:vAlign w:val="bottom"/>
          </w:tcPr>
          <w:p w14:paraId="78021774" w14:textId="77777777" w:rsidR="0095076B" w:rsidRPr="00537128" w:rsidRDefault="0095076B" w:rsidP="0095076B">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bottom w:val="nil"/>
              <w:right w:val="nil"/>
            </w:tcBorders>
            <w:shd w:val="clear" w:color="auto" w:fill="auto"/>
            <w:vAlign w:val="bottom"/>
          </w:tcPr>
          <w:p w14:paraId="034AA9DE" w14:textId="37947A7E" w:rsidR="0095076B" w:rsidRPr="00537128" w:rsidRDefault="0095076B" w:rsidP="0095076B">
            <w:pPr>
              <w:tabs>
                <w:tab w:val="right" w:pos="1202"/>
              </w:tabs>
              <w:spacing w:after="0" w:line="301" w:lineRule="exact"/>
              <w:jc w:val="right"/>
              <w:outlineLvl w:val="0"/>
              <w:rPr>
                <w:rFonts w:ascii="Calibri" w:eastAsia="Times New Roman" w:hAnsi="Calibri" w:cs="Arial"/>
                <w:lang w:val="en-US"/>
              </w:rPr>
            </w:pPr>
            <w:r w:rsidRPr="00BE3CEF">
              <w:rPr>
                <w:rFonts w:cs="Arial"/>
                <w:color w:val="000000" w:themeColor="text1"/>
              </w:rPr>
              <w:t>3</w:t>
            </w:r>
            <w:r>
              <w:rPr>
                <w:rFonts w:cs="Arial"/>
                <w:color w:val="000000" w:themeColor="text1"/>
              </w:rPr>
              <w:t>,</w:t>
            </w:r>
            <w:r w:rsidRPr="00BE3CEF">
              <w:rPr>
                <w:rFonts w:cs="Arial"/>
                <w:color w:val="000000" w:themeColor="text1"/>
              </w:rPr>
              <w:t>153</w:t>
            </w:r>
            <w:r>
              <w:rPr>
                <w:rFonts w:cs="Arial"/>
                <w:color w:val="000000" w:themeColor="text1"/>
              </w:rPr>
              <w:t>,</w:t>
            </w:r>
            <w:r w:rsidRPr="00BE3CEF">
              <w:rPr>
                <w:rFonts w:cs="Arial"/>
                <w:color w:val="000000" w:themeColor="text1"/>
              </w:rPr>
              <w:t>745</w:t>
            </w:r>
          </w:p>
        </w:tc>
      </w:tr>
      <w:tr w:rsidR="0095076B" w:rsidRPr="00537128" w14:paraId="258B440E" w14:textId="77777777" w:rsidTr="0095076B">
        <w:trPr>
          <w:trHeight w:val="297"/>
        </w:trPr>
        <w:tc>
          <w:tcPr>
            <w:tcW w:w="2656" w:type="pct"/>
            <w:vAlign w:val="bottom"/>
          </w:tcPr>
          <w:p w14:paraId="16748345" w14:textId="77777777" w:rsidR="0095076B" w:rsidRPr="00537128" w:rsidRDefault="0095076B" w:rsidP="0095076B">
            <w:pPr>
              <w:tabs>
                <w:tab w:val="right" w:pos="1202"/>
              </w:tabs>
              <w:spacing w:after="0" w:line="240" w:lineRule="auto"/>
              <w:outlineLvl w:val="0"/>
              <w:rPr>
                <w:rFonts w:ascii="Calibri" w:eastAsia="Times New Roman" w:hAnsi="Calibri" w:cs="Arial"/>
                <w:lang w:val="en-US"/>
              </w:rPr>
            </w:pPr>
            <w:bookmarkStart w:id="156" w:name="_Toc4057422"/>
            <w:r w:rsidRPr="00537128">
              <w:rPr>
                <w:rFonts w:ascii="Calibri" w:eastAsia="Calibri" w:hAnsi="Calibri" w:cs="Arial"/>
                <w:lang w:val="en-US"/>
              </w:rPr>
              <w:t>Other reserves</w:t>
            </w:r>
            <w:bookmarkEnd w:id="156"/>
          </w:p>
        </w:tc>
        <w:tc>
          <w:tcPr>
            <w:tcW w:w="595" w:type="pct"/>
            <w:vAlign w:val="bottom"/>
          </w:tcPr>
          <w:p w14:paraId="0EDCBA7F" w14:textId="77777777" w:rsidR="0095076B" w:rsidRPr="00537128" w:rsidRDefault="0095076B" w:rsidP="0095076B">
            <w:pPr>
              <w:tabs>
                <w:tab w:val="right" w:pos="1202"/>
              </w:tabs>
              <w:spacing w:after="0" w:line="240" w:lineRule="auto"/>
              <w:jc w:val="center"/>
              <w:outlineLvl w:val="0"/>
              <w:rPr>
                <w:rFonts w:ascii="Calibri" w:eastAsia="Times New Roman" w:hAnsi="Calibri" w:cs="Arial"/>
                <w:lang w:val="en-US"/>
              </w:rPr>
            </w:pPr>
          </w:p>
        </w:tc>
        <w:tc>
          <w:tcPr>
            <w:tcW w:w="816" w:type="pct"/>
            <w:tcBorders>
              <w:top w:val="nil"/>
              <w:left w:val="nil"/>
              <w:bottom w:val="nil"/>
              <w:right w:val="nil"/>
            </w:tcBorders>
            <w:shd w:val="clear" w:color="auto" w:fill="auto"/>
            <w:vAlign w:val="bottom"/>
          </w:tcPr>
          <w:p w14:paraId="44EB581A" w14:textId="0BD7046B" w:rsidR="0095076B" w:rsidRPr="00537128" w:rsidRDefault="0095076B" w:rsidP="0095076B">
            <w:pPr>
              <w:tabs>
                <w:tab w:val="right" w:pos="1202"/>
              </w:tabs>
              <w:spacing w:after="0" w:line="240" w:lineRule="auto"/>
              <w:jc w:val="right"/>
              <w:outlineLvl w:val="0"/>
              <w:rPr>
                <w:rFonts w:ascii="Calibri" w:eastAsia="Times New Roman" w:hAnsi="Calibri" w:cs="Calibri"/>
                <w:lang w:val="en-US"/>
              </w:rPr>
            </w:pPr>
            <w:r>
              <w:rPr>
                <w:rFonts w:cs="Arial"/>
                <w:color w:val="000000" w:themeColor="text1"/>
              </w:rPr>
              <w:t>4,376</w:t>
            </w:r>
          </w:p>
        </w:tc>
        <w:tc>
          <w:tcPr>
            <w:tcW w:w="148" w:type="pct"/>
            <w:vAlign w:val="bottom"/>
          </w:tcPr>
          <w:p w14:paraId="139FBF9B" w14:textId="77777777" w:rsidR="0095076B" w:rsidRPr="00537128" w:rsidRDefault="0095076B" w:rsidP="0095076B">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bottom w:val="nil"/>
              <w:right w:val="nil"/>
            </w:tcBorders>
            <w:shd w:val="clear" w:color="auto" w:fill="auto"/>
            <w:vAlign w:val="bottom"/>
          </w:tcPr>
          <w:p w14:paraId="72864ED5" w14:textId="7401A6F8" w:rsidR="0095076B" w:rsidRPr="00537128" w:rsidRDefault="0095076B" w:rsidP="0095076B">
            <w:pPr>
              <w:tabs>
                <w:tab w:val="right" w:pos="1202"/>
              </w:tabs>
              <w:spacing w:after="0" w:line="301" w:lineRule="exact"/>
              <w:jc w:val="right"/>
              <w:outlineLvl w:val="0"/>
              <w:rPr>
                <w:rFonts w:ascii="Calibri" w:eastAsia="Times New Roman" w:hAnsi="Calibri" w:cs="Arial"/>
                <w:lang w:val="en-US"/>
              </w:rPr>
            </w:pPr>
            <w:r w:rsidRPr="00BE3CEF">
              <w:rPr>
                <w:rFonts w:cs="Arial"/>
                <w:color w:val="000000" w:themeColor="text1"/>
              </w:rPr>
              <w:t>29</w:t>
            </w:r>
            <w:r>
              <w:rPr>
                <w:rFonts w:cs="Arial"/>
                <w:color w:val="000000" w:themeColor="text1"/>
              </w:rPr>
              <w:t>,</w:t>
            </w:r>
            <w:r w:rsidRPr="00BE3CEF">
              <w:rPr>
                <w:rFonts w:cs="Arial"/>
                <w:color w:val="000000" w:themeColor="text1"/>
              </w:rPr>
              <w:t>961</w:t>
            </w:r>
          </w:p>
        </w:tc>
      </w:tr>
      <w:tr w:rsidR="0095076B" w:rsidRPr="00537128" w14:paraId="27CB44E5" w14:textId="77777777" w:rsidTr="0095076B">
        <w:trPr>
          <w:trHeight w:val="297"/>
        </w:trPr>
        <w:tc>
          <w:tcPr>
            <w:tcW w:w="2656" w:type="pct"/>
            <w:vAlign w:val="bottom"/>
          </w:tcPr>
          <w:p w14:paraId="6ABE9E88" w14:textId="14F242CC" w:rsidR="0095076B" w:rsidRPr="00537128" w:rsidRDefault="0095076B" w:rsidP="0095076B">
            <w:pPr>
              <w:tabs>
                <w:tab w:val="right" w:pos="1202"/>
              </w:tabs>
              <w:spacing w:after="0" w:line="240" w:lineRule="auto"/>
              <w:outlineLvl w:val="0"/>
              <w:rPr>
                <w:rFonts w:ascii="Calibri" w:eastAsia="Times New Roman" w:hAnsi="Calibri" w:cs="Arial"/>
                <w:lang w:val="en-US"/>
              </w:rPr>
            </w:pPr>
            <w:bookmarkStart w:id="157" w:name="_Toc4057425"/>
            <w:r w:rsidRPr="00537128">
              <w:rPr>
                <w:rFonts w:ascii="Calibri" w:eastAsia="Calibri" w:hAnsi="Calibri" w:cs="Arial"/>
                <w:lang w:val="en-US"/>
              </w:rPr>
              <w:t xml:space="preserve">Profit </w:t>
            </w:r>
            <w:r w:rsidRPr="003D4AA3">
              <w:rPr>
                <w:rFonts w:ascii="Calibri" w:eastAsia="Calibri" w:hAnsi="Calibri" w:cs="Arial"/>
                <w:lang w:val="en-US"/>
              </w:rPr>
              <w:t>for the period</w:t>
            </w:r>
            <w:bookmarkEnd w:id="157"/>
          </w:p>
        </w:tc>
        <w:tc>
          <w:tcPr>
            <w:tcW w:w="595" w:type="pct"/>
            <w:vAlign w:val="bottom"/>
          </w:tcPr>
          <w:p w14:paraId="2DD4B241" w14:textId="77777777" w:rsidR="0095076B" w:rsidRPr="00537128" w:rsidRDefault="0095076B" w:rsidP="0095076B">
            <w:pPr>
              <w:tabs>
                <w:tab w:val="right" w:pos="1202"/>
              </w:tabs>
              <w:spacing w:after="0" w:line="240" w:lineRule="auto"/>
              <w:jc w:val="center"/>
              <w:outlineLvl w:val="0"/>
              <w:rPr>
                <w:rFonts w:ascii="Calibri" w:eastAsia="Times New Roman" w:hAnsi="Calibri" w:cs="Arial"/>
                <w:lang w:val="en-US"/>
              </w:rPr>
            </w:pPr>
          </w:p>
        </w:tc>
        <w:tc>
          <w:tcPr>
            <w:tcW w:w="816" w:type="pct"/>
            <w:tcBorders>
              <w:top w:val="nil"/>
              <w:left w:val="nil"/>
              <w:bottom w:val="nil"/>
              <w:right w:val="nil"/>
            </w:tcBorders>
            <w:shd w:val="clear" w:color="auto" w:fill="auto"/>
            <w:vAlign w:val="bottom"/>
          </w:tcPr>
          <w:p w14:paraId="53C74233" w14:textId="3D80A048" w:rsidR="0095076B" w:rsidRPr="00537128" w:rsidRDefault="0095076B" w:rsidP="0095076B">
            <w:pPr>
              <w:tabs>
                <w:tab w:val="right" w:pos="1202"/>
              </w:tabs>
              <w:spacing w:after="0" w:line="240" w:lineRule="auto"/>
              <w:jc w:val="right"/>
              <w:outlineLvl w:val="0"/>
              <w:rPr>
                <w:rFonts w:ascii="Calibri" w:eastAsia="Times New Roman" w:hAnsi="Calibri" w:cs="Calibri"/>
                <w:lang w:val="en-US"/>
              </w:rPr>
            </w:pPr>
            <w:r>
              <w:rPr>
                <w:rFonts w:cs="Arial"/>
                <w:color w:val="000000" w:themeColor="text1"/>
              </w:rPr>
              <w:t>230,344</w:t>
            </w:r>
          </w:p>
        </w:tc>
        <w:tc>
          <w:tcPr>
            <w:tcW w:w="148" w:type="pct"/>
            <w:vAlign w:val="bottom"/>
          </w:tcPr>
          <w:p w14:paraId="1E438F86" w14:textId="77777777" w:rsidR="0095076B" w:rsidRPr="00537128" w:rsidRDefault="0095076B" w:rsidP="0095076B">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bottom w:val="nil"/>
              <w:right w:val="nil"/>
            </w:tcBorders>
            <w:shd w:val="clear" w:color="auto" w:fill="auto"/>
            <w:vAlign w:val="bottom"/>
          </w:tcPr>
          <w:p w14:paraId="20E5B7DC" w14:textId="15D12880" w:rsidR="0095076B" w:rsidRPr="00537128" w:rsidRDefault="0095076B" w:rsidP="0095076B">
            <w:pPr>
              <w:tabs>
                <w:tab w:val="right" w:pos="1202"/>
              </w:tabs>
              <w:spacing w:after="0" w:line="301" w:lineRule="exact"/>
              <w:jc w:val="right"/>
              <w:outlineLvl w:val="0"/>
              <w:rPr>
                <w:rFonts w:ascii="Calibri" w:eastAsia="Times New Roman" w:hAnsi="Calibri" w:cs="Arial"/>
                <w:lang w:val="en-US"/>
              </w:rPr>
            </w:pPr>
            <w:r w:rsidRPr="00BE3CEF">
              <w:rPr>
                <w:rFonts w:cs="Arial"/>
                <w:color w:val="000000" w:themeColor="text1"/>
              </w:rPr>
              <w:t>187</w:t>
            </w:r>
            <w:r>
              <w:rPr>
                <w:rFonts w:cs="Arial"/>
                <w:color w:val="000000" w:themeColor="text1"/>
              </w:rPr>
              <w:t>,</w:t>
            </w:r>
            <w:r w:rsidRPr="00BE3CEF">
              <w:rPr>
                <w:rFonts w:cs="Arial"/>
                <w:color w:val="000000" w:themeColor="text1"/>
              </w:rPr>
              <w:t>082</w:t>
            </w:r>
          </w:p>
        </w:tc>
      </w:tr>
      <w:tr w:rsidR="0095076B" w:rsidRPr="00537128" w14:paraId="06DDE6E4" w14:textId="77777777" w:rsidTr="0095076B">
        <w:trPr>
          <w:trHeight w:val="297"/>
        </w:trPr>
        <w:tc>
          <w:tcPr>
            <w:tcW w:w="2656" w:type="pct"/>
            <w:vAlign w:val="bottom"/>
          </w:tcPr>
          <w:p w14:paraId="3C1ED417" w14:textId="77777777" w:rsidR="0095076B" w:rsidRPr="00537128" w:rsidRDefault="0095076B" w:rsidP="0095076B">
            <w:pPr>
              <w:tabs>
                <w:tab w:val="right" w:pos="1202"/>
              </w:tabs>
              <w:spacing w:after="0" w:line="240" w:lineRule="auto"/>
              <w:outlineLvl w:val="0"/>
              <w:rPr>
                <w:rFonts w:ascii="Calibri" w:eastAsia="Calibri" w:hAnsi="Calibri" w:cs="Arial"/>
                <w:lang w:val="en-US"/>
              </w:rPr>
            </w:pPr>
            <w:bookmarkStart w:id="158" w:name="_Toc4057428"/>
            <w:r w:rsidRPr="00537128">
              <w:rPr>
                <w:rFonts w:ascii="Calibri" w:eastAsia="Calibri" w:hAnsi="Calibri" w:cs="Arial"/>
                <w:lang w:val="en-US"/>
              </w:rPr>
              <w:t>Guarantee fund</w:t>
            </w:r>
            <w:bookmarkEnd w:id="158"/>
            <w:r w:rsidRPr="00537128">
              <w:rPr>
                <w:rFonts w:ascii="Calibri" w:eastAsia="Calibri" w:hAnsi="Calibri" w:cs="Arial"/>
                <w:lang w:val="en-US"/>
              </w:rPr>
              <w:t xml:space="preserve">  </w:t>
            </w:r>
          </w:p>
        </w:tc>
        <w:tc>
          <w:tcPr>
            <w:tcW w:w="595" w:type="pct"/>
            <w:vAlign w:val="bottom"/>
          </w:tcPr>
          <w:p w14:paraId="05BB5A77" w14:textId="25328FDA" w:rsidR="0095076B" w:rsidRPr="00537128" w:rsidRDefault="0095076B" w:rsidP="0095076B">
            <w:pPr>
              <w:tabs>
                <w:tab w:val="right" w:pos="1202"/>
              </w:tabs>
              <w:spacing w:after="0" w:line="240" w:lineRule="auto"/>
              <w:jc w:val="center"/>
              <w:outlineLvl w:val="0"/>
              <w:rPr>
                <w:rFonts w:ascii="Calibri" w:eastAsia="Times New Roman" w:hAnsi="Calibri" w:cs="Arial"/>
                <w:lang w:val="en-US"/>
              </w:rPr>
            </w:pPr>
          </w:p>
        </w:tc>
        <w:tc>
          <w:tcPr>
            <w:tcW w:w="816" w:type="pct"/>
            <w:tcBorders>
              <w:top w:val="nil"/>
              <w:left w:val="nil"/>
              <w:bottom w:val="single" w:sz="4" w:space="0" w:color="auto"/>
              <w:right w:val="nil"/>
            </w:tcBorders>
            <w:shd w:val="clear" w:color="auto" w:fill="auto"/>
            <w:vAlign w:val="bottom"/>
          </w:tcPr>
          <w:p w14:paraId="7F8A2E1D" w14:textId="144FA85D" w:rsidR="0095076B" w:rsidRPr="00537128" w:rsidRDefault="0095076B" w:rsidP="0095076B">
            <w:pPr>
              <w:tabs>
                <w:tab w:val="right" w:pos="1202"/>
              </w:tabs>
              <w:spacing w:after="0" w:line="240" w:lineRule="auto"/>
              <w:jc w:val="right"/>
              <w:outlineLvl w:val="0"/>
              <w:rPr>
                <w:rFonts w:ascii="Calibri" w:eastAsia="Times New Roman" w:hAnsi="Calibri" w:cs="Calibri"/>
                <w:lang w:val="en-US"/>
              </w:rPr>
            </w:pPr>
            <w:r>
              <w:rPr>
                <w:rFonts w:cs="Calibri"/>
                <w:color w:val="000000" w:themeColor="text1"/>
              </w:rPr>
              <w:t>12,406</w:t>
            </w:r>
          </w:p>
        </w:tc>
        <w:tc>
          <w:tcPr>
            <w:tcW w:w="148" w:type="pct"/>
            <w:vAlign w:val="bottom"/>
          </w:tcPr>
          <w:p w14:paraId="73181926" w14:textId="77777777" w:rsidR="0095076B" w:rsidRPr="00537128" w:rsidRDefault="0095076B" w:rsidP="0095076B">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bottom w:val="single" w:sz="4" w:space="0" w:color="auto"/>
              <w:right w:val="nil"/>
            </w:tcBorders>
            <w:shd w:val="clear" w:color="auto" w:fill="auto"/>
            <w:vAlign w:val="bottom"/>
          </w:tcPr>
          <w:p w14:paraId="7E89C881" w14:textId="15046C76" w:rsidR="0095076B" w:rsidRPr="00537128" w:rsidRDefault="0095076B" w:rsidP="0095076B">
            <w:pPr>
              <w:tabs>
                <w:tab w:val="right" w:pos="1202"/>
              </w:tabs>
              <w:spacing w:after="0" w:line="301" w:lineRule="exact"/>
              <w:jc w:val="right"/>
              <w:outlineLvl w:val="0"/>
              <w:rPr>
                <w:rFonts w:ascii="Calibri" w:eastAsia="Times New Roman" w:hAnsi="Calibri" w:cs="Calibri"/>
                <w:color w:val="000000"/>
                <w:lang w:val="en-US"/>
              </w:rPr>
            </w:pPr>
            <w:r w:rsidRPr="00BE3CEF">
              <w:rPr>
                <w:rFonts w:ascii="Calibri" w:hAnsi="Calibri" w:cs="Calibri"/>
                <w:color w:val="000000" w:themeColor="text1"/>
              </w:rPr>
              <w:t>12</w:t>
            </w:r>
            <w:r>
              <w:rPr>
                <w:rFonts w:ascii="Calibri" w:hAnsi="Calibri" w:cs="Calibri"/>
                <w:color w:val="000000" w:themeColor="text1"/>
              </w:rPr>
              <w:t>,</w:t>
            </w:r>
            <w:r w:rsidRPr="00BE3CEF">
              <w:rPr>
                <w:rFonts w:ascii="Calibri" w:hAnsi="Calibri" w:cs="Calibri"/>
                <w:color w:val="000000" w:themeColor="text1"/>
              </w:rPr>
              <w:t>309</w:t>
            </w:r>
          </w:p>
        </w:tc>
      </w:tr>
      <w:tr w:rsidR="0095076B" w:rsidRPr="00537128" w14:paraId="335BA418" w14:textId="77777777" w:rsidTr="0095076B">
        <w:trPr>
          <w:trHeight w:val="329"/>
        </w:trPr>
        <w:tc>
          <w:tcPr>
            <w:tcW w:w="2656" w:type="pct"/>
            <w:vAlign w:val="bottom"/>
          </w:tcPr>
          <w:p w14:paraId="09EF6D35" w14:textId="77777777" w:rsidR="0095076B" w:rsidRPr="00537128" w:rsidRDefault="0095076B" w:rsidP="0095076B">
            <w:pPr>
              <w:tabs>
                <w:tab w:val="right" w:pos="1202"/>
              </w:tabs>
              <w:spacing w:after="0" w:line="240" w:lineRule="auto"/>
              <w:outlineLvl w:val="0"/>
              <w:rPr>
                <w:rFonts w:ascii="Calibri" w:eastAsia="Times New Roman" w:hAnsi="Calibri" w:cs="Arial"/>
                <w:b/>
                <w:bCs/>
                <w:lang w:val="en-US"/>
              </w:rPr>
            </w:pPr>
            <w:bookmarkStart w:id="159" w:name="_Toc4057432"/>
            <w:r w:rsidRPr="00537128">
              <w:rPr>
                <w:rFonts w:ascii="Calibri" w:eastAsia="Calibri" w:hAnsi="Calibri" w:cs="Arial"/>
                <w:b/>
                <w:lang w:val="en-US"/>
              </w:rPr>
              <w:t>Total equity</w:t>
            </w:r>
            <w:bookmarkEnd w:id="159"/>
          </w:p>
        </w:tc>
        <w:tc>
          <w:tcPr>
            <w:tcW w:w="595" w:type="pct"/>
            <w:vAlign w:val="bottom"/>
          </w:tcPr>
          <w:p w14:paraId="413D3C75" w14:textId="77777777" w:rsidR="0095076B" w:rsidRPr="00537128" w:rsidRDefault="0095076B" w:rsidP="0095076B">
            <w:pPr>
              <w:tabs>
                <w:tab w:val="right" w:pos="1202"/>
              </w:tabs>
              <w:spacing w:after="0" w:line="240" w:lineRule="auto"/>
              <w:jc w:val="center"/>
              <w:outlineLvl w:val="0"/>
              <w:rPr>
                <w:rFonts w:ascii="Calibri" w:eastAsia="Times New Roman" w:hAnsi="Calibri" w:cs="Arial"/>
                <w:b/>
                <w:bCs/>
                <w:lang w:val="en-US"/>
              </w:rPr>
            </w:pPr>
          </w:p>
        </w:tc>
        <w:tc>
          <w:tcPr>
            <w:tcW w:w="816" w:type="pct"/>
            <w:tcBorders>
              <w:top w:val="single" w:sz="4" w:space="0" w:color="auto"/>
              <w:left w:val="nil"/>
              <w:bottom w:val="single" w:sz="12" w:space="0" w:color="auto"/>
              <w:right w:val="nil"/>
            </w:tcBorders>
            <w:shd w:val="clear" w:color="auto" w:fill="auto"/>
            <w:vAlign w:val="bottom"/>
          </w:tcPr>
          <w:p w14:paraId="654522CD" w14:textId="5C9960A0" w:rsidR="0095076B" w:rsidRPr="00537128" w:rsidRDefault="0095076B" w:rsidP="0095076B">
            <w:pPr>
              <w:tabs>
                <w:tab w:val="right" w:pos="1202"/>
              </w:tabs>
              <w:spacing w:after="0" w:line="340" w:lineRule="exact"/>
              <w:jc w:val="right"/>
              <w:outlineLvl w:val="0"/>
              <w:rPr>
                <w:rFonts w:ascii="Calibri" w:eastAsia="Times New Roman" w:hAnsi="Calibri" w:cs="Calibri"/>
                <w:b/>
                <w:bCs/>
                <w:lang w:val="en-US"/>
              </w:rPr>
            </w:pPr>
            <w:r>
              <w:rPr>
                <w:rFonts w:cs="Calibri"/>
                <w:b/>
                <w:color w:val="000000" w:themeColor="text1"/>
              </w:rPr>
              <w:t>10,772,585</w:t>
            </w:r>
          </w:p>
        </w:tc>
        <w:tc>
          <w:tcPr>
            <w:tcW w:w="148" w:type="pct"/>
            <w:tcBorders>
              <w:top w:val="single" w:sz="4" w:space="0" w:color="auto"/>
              <w:bottom w:val="single" w:sz="12" w:space="0" w:color="auto"/>
            </w:tcBorders>
            <w:vAlign w:val="bottom"/>
          </w:tcPr>
          <w:p w14:paraId="28550B8F" w14:textId="77777777" w:rsidR="0095076B" w:rsidRPr="00537128" w:rsidRDefault="0095076B" w:rsidP="0095076B">
            <w:pPr>
              <w:tabs>
                <w:tab w:val="right" w:pos="1202"/>
              </w:tabs>
              <w:spacing w:after="0" w:line="240" w:lineRule="auto"/>
              <w:jc w:val="right"/>
              <w:outlineLvl w:val="0"/>
              <w:rPr>
                <w:rFonts w:ascii="Calibri" w:eastAsia="Times New Roman" w:hAnsi="Calibri" w:cs="Arial"/>
                <w:b/>
                <w:bCs/>
                <w:lang w:val="en-US"/>
              </w:rPr>
            </w:pPr>
          </w:p>
        </w:tc>
        <w:tc>
          <w:tcPr>
            <w:tcW w:w="785" w:type="pct"/>
            <w:tcBorders>
              <w:top w:val="single" w:sz="4" w:space="0" w:color="auto"/>
              <w:left w:val="nil"/>
              <w:bottom w:val="single" w:sz="12" w:space="0" w:color="auto"/>
              <w:right w:val="nil"/>
            </w:tcBorders>
            <w:shd w:val="clear" w:color="auto" w:fill="auto"/>
            <w:vAlign w:val="bottom"/>
          </w:tcPr>
          <w:p w14:paraId="61A934CE" w14:textId="12DEC0B4" w:rsidR="0095076B" w:rsidRPr="00537128" w:rsidRDefault="0095076B" w:rsidP="0095076B">
            <w:pPr>
              <w:tabs>
                <w:tab w:val="right" w:pos="1202"/>
              </w:tabs>
              <w:spacing w:after="0" w:line="340" w:lineRule="exact"/>
              <w:jc w:val="right"/>
              <w:outlineLvl w:val="0"/>
              <w:rPr>
                <w:rFonts w:ascii="Calibri" w:eastAsia="Times New Roman" w:hAnsi="Calibri" w:cs="Arial"/>
                <w:b/>
                <w:bCs/>
                <w:lang w:val="en-US"/>
              </w:rPr>
            </w:pPr>
            <w:r w:rsidRPr="00BE3CEF">
              <w:rPr>
                <w:rFonts w:ascii="Calibri" w:hAnsi="Calibri" w:cs="Calibri"/>
                <w:b/>
                <w:color w:val="000000" w:themeColor="text1"/>
              </w:rPr>
              <w:t>10</w:t>
            </w:r>
            <w:r>
              <w:rPr>
                <w:rFonts w:ascii="Calibri" w:hAnsi="Calibri" w:cs="Calibri"/>
                <w:b/>
                <w:color w:val="000000" w:themeColor="text1"/>
              </w:rPr>
              <w:t>,</w:t>
            </w:r>
            <w:r w:rsidRPr="00BE3CEF">
              <w:rPr>
                <w:rFonts w:ascii="Calibri" w:hAnsi="Calibri" w:cs="Calibri"/>
                <w:b/>
                <w:color w:val="000000" w:themeColor="text1"/>
              </w:rPr>
              <w:t>567</w:t>
            </w:r>
            <w:r>
              <w:rPr>
                <w:rFonts w:ascii="Calibri" w:hAnsi="Calibri" w:cs="Calibri"/>
                <w:b/>
                <w:color w:val="000000" w:themeColor="text1"/>
              </w:rPr>
              <w:t>,</w:t>
            </w:r>
            <w:r w:rsidRPr="00BE3CEF">
              <w:rPr>
                <w:rFonts w:ascii="Calibri" w:hAnsi="Calibri" w:cs="Calibri"/>
                <w:b/>
                <w:color w:val="000000" w:themeColor="text1"/>
              </w:rPr>
              <w:t>729</w:t>
            </w:r>
          </w:p>
        </w:tc>
      </w:tr>
      <w:tr w:rsidR="0095076B" w:rsidRPr="00537128" w14:paraId="79FEF42B" w14:textId="77777777" w:rsidTr="0095076B">
        <w:trPr>
          <w:trHeight w:hRule="exact" w:val="337"/>
        </w:trPr>
        <w:tc>
          <w:tcPr>
            <w:tcW w:w="2656" w:type="pct"/>
            <w:vAlign w:val="bottom"/>
          </w:tcPr>
          <w:p w14:paraId="5DB2FDB7" w14:textId="77777777" w:rsidR="0095076B" w:rsidRPr="00537128" w:rsidRDefault="0095076B" w:rsidP="0095076B">
            <w:pPr>
              <w:tabs>
                <w:tab w:val="right" w:pos="1202"/>
              </w:tabs>
              <w:spacing w:after="0" w:line="240" w:lineRule="auto"/>
              <w:outlineLvl w:val="0"/>
              <w:rPr>
                <w:rFonts w:ascii="Calibri" w:eastAsia="Times New Roman" w:hAnsi="Calibri" w:cs="Arial"/>
                <w:b/>
                <w:bCs/>
                <w:lang w:val="en-US"/>
              </w:rPr>
            </w:pPr>
            <w:bookmarkStart w:id="160" w:name="_Toc4057435"/>
            <w:r w:rsidRPr="00537128">
              <w:rPr>
                <w:rFonts w:ascii="Calibri" w:eastAsia="Calibri" w:hAnsi="Calibri" w:cs="Arial"/>
                <w:b/>
                <w:bCs/>
                <w:lang w:val="en-US"/>
              </w:rPr>
              <w:t>Total liabilities and total equity</w:t>
            </w:r>
            <w:bookmarkEnd w:id="160"/>
            <w:r w:rsidRPr="00537128">
              <w:rPr>
                <w:rFonts w:ascii="Calibri" w:eastAsia="Calibri" w:hAnsi="Calibri" w:cs="Arial"/>
                <w:b/>
                <w:bCs/>
                <w:lang w:val="en-US"/>
              </w:rPr>
              <w:t xml:space="preserve"> </w:t>
            </w:r>
          </w:p>
        </w:tc>
        <w:tc>
          <w:tcPr>
            <w:tcW w:w="595" w:type="pct"/>
            <w:vAlign w:val="bottom"/>
          </w:tcPr>
          <w:p w14:paraId="36BC3CE2" w14:textId="77777777" w:rsidR="0095076B" w:rsidRPr="00537128" w:rsidRDefault="0095076B" w:rsidP="0095076B">
            <w:pPr>
              <w:tabs>
                <w:tab w:val="right" w:pos="1202"/>
              </w:tabs>
              <w:spacing w:after="0" w:line="240" w:lineRule="auto"/>
              <w:jc w:val="center"/>
              <w:outlineLvl w:val="0"/>
              <w:rPr>
                <w:rFonts w:ascii="Calibri" w:eastAsia="Times New Roman" w:hAnsi="Calibri" w:cs="Arial"/>
                <w:b/>
                <w:bCs/>
                <w:lang w:val="en-US"/>
              </w:rPr>
            </w:pPr>
          </w:p>
        </w:tc>
        <w:tc>
          <w:tcPr>
            <w:tcW w:w="816" w:type="pct"/>
            <w:tcBorders>
              <w:top w:val="single" w:sz="12" w:space="0" w:color="auto"/>
              <w:left w:val="nil"/>
              <w:bottom w:val="single" w:sz="12" w:space="0" w:color="auto"/>
              <w:right w:val="nil"/>
            </w:tcBorders>
            <w:shd w:val="clear" w:color="auto" w:fill="auto"/>
            <w:vAlign w:val="bottom"/>
          </w:tcPr>
          <w:p w14:paraId="6E78770D" w14:textId="47C59DE7" w:rsidR="0095076B" w:rsidRPr="00537128" w:rsidRDefault="0095076B" w:rsidP="0095076B">
            <w:pPr>
              <w:tabs>
                <w:tab w:val="right" w:pos="1202"/>
              </w:tabs>
              <w:spacing w:after="0" w:line="240" w:lineRule="auto"/>
              <w:jc w:val="right"/>
              <w:outlineLvl w:val="0"/>
              <w:rPr>
                <w:rFonts w:ascii="Calibri" w:eastAsia="Times New Roman" w:hAnsi="Calibri" w:cs="Calibri"/>
                <w:b/>
                <w:bCs/>
                <w:lang w:val="en-US"/>
              </w:rPr>
            </w:pPr>
            <w:r>
              <w:rPr>
                <w:rFonts w:cs="Arial"/>
                <w:b/>
                <w:bCs/>
                <w:color w:val="000000" w:themeColor="text1"/>
              </w:rPr>
              <w:t>27,722,703</w:t>
            </w:r>
          </w:p>
        </w:tc>
        <w:tc>
          <w:tcPr>
            <w:tcW w:w="148" w:type="pct"/>
            <w:tcBorders>
              <w:top w:val="single" w:sz="12" w:space="0" w:color="auto"/>
              <w:bottom w:val="single" w:sz="12" w:space="0" w:color="auto"/>
            </w:tcBorders>
            <w:vAlign w:val="bottom"/>
          </w:tcPr>
          <w:p w14:paraId="1E7C1C78" w14:textId="77777777" w:rsidR="0095076B" w:rsidRPr="00537128" w:rsidRDefault="0095076B" w:rsidP="0095076B">
            <w:pPr>
              <w:tabs>
                <w:tab w:val="right" w:pos="1202"/>
              </w:tabs>
              <w:spacing w:after="0" w:line="240" w:lineRule="auto"/>
              <w:jc w:val="right"/>
              <w:outlineLvl w:val="0"/>
              <w:rPr>
                <w:rFonts w:ascii="Calibri" w:eastAsia="Times New Roman" w:hAnsi="Calibri" w:cs="Arial"/>
                <w:b/>
                <w:bCs/>
                <w:lang w:val="en-US"/>
              </w:rPr>
            </w:pPr>
          </w:p>
        </w:tc>
        <w:tc>
          <w:tcPr>
            <w:tcW w:w="785" w:type="pct"/>
            <w:tcBorders>
              <w:top w:val="single" w:sz="12" w:space="0" w:color="auto"/>
              <w:left w:val="nil"/>
              <w:bottom w:val="single" w:sz="12" w:space="0" w:color="auto"/>
              <w:right w:val="nil"/>
            </w:tcBorders>
            <w:shd w:val="clear" w:color="auto" w:fill="auto"/>
            <w:vAlign w:val="bottom"/>
          </w:tcPr>
          <w:p w14:paraId="1A5CED0E" w14:textId="175287F5" w:rsidR="0095076B" w:rsidRPr="00537128" w:rsidRDefault="0095076B" w:rsidP="0095076B">
            <w:pPr>
              <w:tabs>
                <w:tab w:val="right" w:pos="1202"/>
              </w:tabs>
              <w:spacing w:after="0" w:line="340" w:lineRule="exact"/>
              <w:jc w:val="right"/>
              <w:outlineLvl w:val="0"/>
              <w:rPr>
                <w:rFonts w:ascii="Calibri" w:eastAsia="Times New Roman" w:hAnsi="Calibri" w:cs="Arial"/>
                <w:b/>
                <w:bCs/>
                <w:lang w:val="en-US"/>
              </w:rPr>
            </w:pPr>
            <w:r w:rsidRPr="00BE3CEF">
              <w:rPr>
                <w:rFonts w:cs="Arial"/>
                <w:b/>
                <w:bCs/>
                <w:color w:val="000000" w:themeColor="text1"/>
              </w:rPr>
              <w:t>28</w:t>
            </w:r>
            <w:r>
              <w:rPr>
                <w:rFonts w:cs="Arial"/>
                <w:b/>
                <w:bCs/>
                <w:color w:val="000000" w:themeColor="text1"/>
              </w:rPr>
              <w:t>,</w:t>
            </w:r>
            <w:r w:rsidRPr="00BE3CEF">
              <w:rPr>
                <w:rFonts w:cs="Arial"/>
                <w:b/>
                <w:bCs/>
                <w:color w:val="000000" w:themeColor="text1"/>
              </w:rPr>
              <w:t>249</w:t>
            </w:r>
            <w:r>
              <w:rPr>
                <w:rFonts w:cs="Arial"/>
                <w:b/>
                <w:bCs/>
                <w:color w:val="000000" w:themeColor="text1"/>
              </w:rPr>
              <w:t>,</w:t>
            </w:r>
            <w:r w:rsidRPr="00BE3CEF">
              <w:rPr>
                <w:rFonts w:cs="Arial"/>
                <w:b/>
                <w:bCs/>
                <w:color w:val="000000" w:themeColor="text1"/>
              </w:rPr>
              <w:t>988</w:t>
            </w:r>
          </w:p>
        </w:tc>
      </w:tr>
    </w:tbl>
    <w:p w14:paraId="26EED6E2" w14:textId="77777777" w:rsidR="00965100" w:rsidRPr="00537128" w:rsidRDefault="00965100" w:rsidP="00BA3E05">
      <w:pPr>
        <w:spacing w:after="0" w:line="240" w:lineRule="auto"/>
        <w:rPr>
          <w:rFonts w:ascii="Arial" w:eastAsia="Times New Roman" w:hAnsi="Arial" w:cs="Arial"/>
          <w:noProof/>
          <w:color w:val="000000" w:themeColor="text1"/>
          <w:sz w:val="19"/>
          <w:szCs w:val="20"/>
          <w:lang w:val="en-US"/>
        </w:rPr>
      </w:pPr>
    </w:p>
    <w:p w14:paraId="33B65D97" w14:textId="77777777" w:rsidR="00CB571C" w:rsidRPr="00537128" w:rsidRDefault="00CB571C" w:rsidP="00BA3E05">
      <w:pPr>
        <w:spacing w:after="0" w:line="240" w:lineRule="auto"/>
        <w:rPr>
          <w:rFonts w:ascii="Arial" w:eastAsia="Times New Roman" w:hAnsi="Arial" w:cs="Arial"/>
          <w:noProof/>
          <w:color w:val="000000" w:themeColor="text1"/>
          <w:sz w:val="19"/>
          <w:szCs w:val="20"/>
          <w:lang w:val="en-US"/>
        </w:rPr>
      </w:pPr>
    </w:p>
    <w:p w14:paraId="76313A40" w14:textId="77777777" w:rsidR="00515321" w:rsidRPr="00537128" w:rsidRDefault="00515321" w:rsidP="00BA3E05">
      <w:pPr>
        <w:spacing w:after="0" w:line="240" w:lineRule="auto"/>
        <w:rPr>
          <w:rFonts w:ascii="Arial" w:eastAsia="Times New Roman" w:hAnsi="Arial" w:cs="Arial"/>
          <w:noProof/>
          <w:color w:val="000000" w:themeColor="text1"/>
          <w:sz w:val="19"/>
          <w:szCs w:val="20"/>
          <w:lang w:val="en-US"/>
        </w:rPr>
      </w:pPr>
    </w:p>
    <w:p w14:paraId="5994A5A1" w14:textId="77777777" w:rsidR="00515321" w:rsidRPr="00537128" w:rsidRDefault="00515321" w:rsidP="00BA3E05">
      <w:pPr>
        <w:spacing w:after="0" w:line="240" w:lineRule="auto"/>
        <w:rPr>
          <w:rFonts w:ascii="Arial" w:eastAsia="Times New Roman" w:hAnsi="Arial" w:cs="Arial"/>
          <w:noProof/>
          <w:color w:val="000000" w:themeColor="text1"/>
          <w:sz w:val="19"/>
          <w:szCs w:val="20"/>
          <w:lang w:val="en-US"/>
        </w:rPr>
      </w:pPr>
    </w:p>
    <w:p w14:paraId="36A2FF69" w14:textId="77777777" w:rsidR="00CB571C" w:rsidRPr="00537128" w:rsidRDefault="00515321" w:rsidP="00BA3E05">
      <w:pPr>
        <w:spacing w:after="0" w:line="240" w:lineRule="auto"/>
        <w:rPr>
          <w:rFonts w:cs="Arial"/>
          <w:noProof/>
          <w:color w:val="000000" w:themeColor="text1"/>
          <w:lang w:val="en-US"/>
        </w:rPr>
      </w:pPr>
      <w:r w:rsidRPr="00537128">
        <w:rPr>
          <w:rFonts w:cs="Arial"/>
          <w:noProof/>
          <w:color w:val="000000" w:themeColor="text1"/>
          <w:lang w:val="en-US"/>
        </w:rPr>
        <w:t>The accompanying accounting policies and notes are an integral part of these financial statements.</w:t>
      </w:r>
    </w:p>
    <w:p w14:paraId="262D2488" w14:textId="77777777" w:rsidR="00515321" w:rsidRPr="00537128" w:rsidRDefault="00515321" w:rsidP="00BA3E05">
      <w:pPr>
        <w:spacing w:after="0" w:line="240" w:lineRule="auto"/>
        <w:rPr>
          <w:rFonts w:ascii="Arial" w:eastAsia="Times New Roman" w:hAnsi="Arial" w:cs="Arial"/>
          <w:noProof/>
          <w:color w:val="000000" w:themeColor="text1"/>
          <w:sz w:val="19"/>
          <w:szCs w:val="20"/>
          <w:lang w:val="en-US"/>
        </w:rPr>
      </w:pPr>
    </w:p>
    <w:p w14:paraId="2CDF3087" w14:textId="77777777" w:rsidR="00CB571C" w:rsidRPr="00537128" w:rsidRDefault="00CB571C" w:rsidP="00BA3E05">
      <w:pPr>
        <w:spacing w:after="0" w:line="240" w:lineRule="auto"/>
        <w:rPr>
          <w:rFonts w:ascii="Arial" w:eastAsia="Times New Roman" w:hAnsi="Arial" w:cs="Arial"/>
          <w:noProof/>
          <w:color w:val="000000" w:themeColor="text1"/>
          <w:sz w:val="19"/>
          <w:szCs w:val="20"/>
          <w:lang w:val="en-US"/>
        </w:rPr>
        <w:sectPr w:rsidR="00CB571C" w:rsidRPr="00537128">
          <w:headerReference w:type="default" r:id="rId25"/>
          <w:pgSz w:w="11906" w:h="16838"/>
          <w:pgMar w:top="1417" w:right="1417" w:bottom="1417" w:left="1417" w:header="708" w:footer="708" w:gutter="0"/>
          <w:cols w:space="708"/>
          <w:docGrid w:linePitch="360"/>
        </w:sectPr>
      </w:pPr>
    </w:p>
    <w:p w14:paraId="09556A96" w14:textId="77777777" w:rsidR="00CB571C" w:rsidRPr="00537128" w:rsidRDefault="00CB571C" w:rsidP="00BA3E05">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Y="2799"/>
        <w:tblW w:w="5001" w:type="pct"/>
        <w:tblLayout w:type="fixed"/>
        <w:tblCellMar>
          <w:left w:w="119" w:type="dxa"/>
          <w:right w:w="119" w:type="dxa"/>
        </w:tblCellMar>
        <w:tblLook w:val="0000" w:firstRow="0" w:lastRow="0" w:firstColumn="0" w:lastColumn="0" w:noHBand="0" w:noVBand="0"/>
      </w:tblPr>
      <w:tblGrid>
        <w:gridCol w:w="6636"/>
        <w:gridCol w:w="1220"/>
        <w:gridCol w:w="1218"/>
      </w:tblGrid>
      <w:tr w:rsidR="00CE00C1" w:rsidRPr="00537128" w14:paraId="637BA93F" w14:textId="77777777" w:rsidTr="00CE00C1">
        <w:trPr>
          <w:trHeight w:hRule="exact" w:val="227"/>
        </w:trPr>
        <w:tc>
          <w:tcPr>
            <w:tcW w:w="3657" w:type="pct"/>
          </w:tcPr>
          <w:p w14:paraId="375EAD54" w14:textId="77777777" w:rsidR="00CE00C1" w:rsidRPr="00537128" w:rsidRDefault="00CE00C1" w:rsidP="00CE00C1">
            <w:pPr>
              <w:keepLines/>
              <w:tabs>
                <w:tab w:val="right" w:pos="1202"/>
              </w:tabs>
              <w:spacing w:after="0" w:line="240" w:lineRule="exact"/>
              <w:jc w:val="right"/>
              <w:outlineLvl w:val="0"/>
              <w:rPr>
                <w:rFonts w:ascii="Calibri" w:eastAsia="Calibri" w:hAnsi="Calibri" w:cs="Arial"/>
                <w:b/>
                <w:sz w:val="18"/>
                <w:szCs w:val="18"/>
                <w:lang w:val="en-US"/>
              </w:rPr>
            </w:pPr>
          </w:p>
        </w:tc>
        <w:tc>
          <w:tcPr>
            <w:tcW w:w="672" w:type="pct"/>
            <w:shd w:val="clear" w:color="auto" w:fill="auto"/>
            <w:vAlign w:val="bottom"/>
          </w:tcPr>
          <w:p w14:paraId="462C4F93" w14:textId="2057C15A" w:rsidR="00CE00C1" w:rsidRPr="00537128" w:rsidRDefault="00CE00C1" w:rsidP="00CE00C1">
            <w:pPr>
              <w:keepLines/>
              <w:tabs>
                <w:tab w:val="right" w:pos="1202"/>
              </w:tabs>
              <w:spacing w:after="0" w:line="240" w:lineRule="exact"/>
              <w:jc w:val="right"/>
              <w:outlineLvl w:val="0"/>
              <w:rPr>
                <w:rFonts w:ascii="Calibri" w:eastAsia="Calibri" w:hAnsi="Calibri" w:cs="Arial"/>
                <w:b/>
                <w:bCs/>
                <w:sz w:val="18"/>
                <w:szCs w:val="18"/>
                <w:lang w:val="en-US"/>
              </w:rPr>
            </w:pPr>
            <w:r w:rsidRPr="00537128">
              <w:rPr>
                <w:rFonts w:ascii="Calibri" w:eastAsia="Calibri" w:hAnsi="Calibri" w:cs="Arial"/>
                <w:b/>
                <w:bCs/>
                <w:sz w:val="18"/>
                <w:szCs w:val="18"/>
                <w:lang w:val="en-US"/>
              </w:rPr>
              <w:t>202</w:t>
            </w:r>
            <w:r w:rsidR="00A234BE">
              <w:rPr>
                <w:rFonts w:ascii="Calibri" w:eastAsia="Calibri" w:hAnsi="Calibri" w:cs="Arial"/>
                <w:b/>
                <w:bCs/>
                <w:sz w:val="18"/>
                <w:szCs w:val="18"/>
                <w:lang w:val="en-US"/>
              </w:rPr>
              <w:t>2</w:t>
            </w:r>
          </w:p>
        </w:tc>
        <w:tc>
          <w:tcPr>
            <w:tcW w:w="671" w:type="pct"/>
            <w:vAlign w:val="bottom"/>
          </w:tcPr>
          <w:p w14:paraId="2CF58EFF" w14:textId="7510B56E" w:rsidR="00CE00C1" w:rsidRPr="00537128" w:rsidRDefault="00CE00C1" w:rsidP="00CE00C1">
            <w:pPr>
              <w:keepLines/>
              <w:tabs>
                <w:tab w:val="right" w:pos="1202"/>
              </w:tabs>
              <w:spacing w:after="0" w:line="240" w:lineRule="exact"/>
              <w:jc w:val="right"/>
              <w:outlineLvl w:val="0"/>
              <w:rPr>
                <w:rFonts w:ascii="Calibri" w:eastAsia="Calibri" w:hAnsi="Calibri" w:cs="Arial"/>
                <w:b/>
                <w:bCs/>
                <w:sz w:val="18"/>
                <w:szCs w:val="18"/>
                <w:lang w:val="en-US"/>
              </w:rPr>
            </w:pPr>
            <w:bookmarkStart w:id="161" w:name="_Toc4057438"/>
            <w:r w:rsidRPr="00537128">
              <w:rPr>
                <w:rFonts w:ascii="Calibri" w:eastAsia="Calibri" w:hAnsi="Calibri" w:cs="Arial"/>
                <w:b/>
                <w:bCs/>
                <w:sz w:val="18"/>
                <w:szCs w:val="18"/>
                <w:lang w:val="en-US"/>
              </w:rPr>
              <w:t>20</w:t>
            </w:r>
            <w:bookmarkEnd w:id="161"/>
            <w:r w:rsidRPr="00537128">
              <w:rPr>
                <w:rFonts w:ascii="Calibri" w:eastAsia="Calibri" w:hAnsi="Calibri" w:cs="Arial"/>
                <w:b/>
                <w:bCs/>
                <w:sz w:val="18"/>
                <w:szCs w:val="18"/>
                <w:lang w:val="en-US"/>
              </w:rPr>
              <w:t>2</w:t>
            </w:r>
            <w:r w:rsidR="00A234BE">
              <w:rPr>
                <w:rFonts w:ascii="Calibri" w:eastAsia="Calibri" w:hAnsi="Calibri" w:cs="Arial"/>
                <w:b/>
                <w:bCs/>
                <w:sz w:val="18"/>
                <w:szCs w:val="18"/>
                <w:lang w:val="en-US"/>
              </w:rPr>
              <w:t>1</w:t>
            </w:r>
          </w:p>
        </w:tc>
      </w:tr>
      <w:tr w:rsidR="00CE00C1" w:rsidRPr="00537128" w14:paraId="09C16EF5" w14:textId="77777777" w:rsidTr="00CE00C1">
        <w:trPr>
          <w:trHeight w:hRule="exact" w:val="227"/>
        </w:trPr>
        <w:tc>
          <w:tcPr>
            <w:tcW w:w="3657" w:type="pct"/>
          </w:tcPr>
          <w:p w14:paraId="1A18C336" w14:textId="77777777" w:rsidR="00CE00C1" w:rsidRPr="00537128" w:rsidRDefault="00CE00C1" w:rsidP="00CE00C1">
            <w:pPr>
              <w:keepLines/>
              <w:tabs>
                <w:tab w:val="right" w:pos="1202"/>
              </w:tabs>
              <w:spacing w:after="0" w:line="240" w:lineRule="exact"/>
              <w:jc w:val="right"/>
              <w:outlineLvl w:val="0"/>
              <w:rPr>
                <w:rFonts w:ascii="Calibri" w:eastAsia="Calibri" w:hAnsi="Calibri" w:cs="Arial"/>
                <w:b/>
                <w:sz w:val="18"/>
                <w:szCs w:val="18"/>
                <w:lang w:val="en-US"/>
              </w:rPr>
            </w:pPr>
            <w:bookmarkStart w:id="162" w:name="_Toc4057440"/>
            <w:r w:rsidRPr="00537128">
              <w:rPr>
                <w:rFonts w:ascii="Calibri" w:eastAsia="Calibri" w:hAnsi="Calibri" w:cs="Arial"/>
                <w:b/>
                <w:sz w:val="18"/>
                <w:szCs w:val="18"/>
                <w:lang w:val="en-US"/>
              </w:rPr>
              <w:t>Notes</w:t>
            </w:r>
            <w:bookmarkEnd w:id="162"/>
          </w:p>
        </w:tc>
        <w:tc>
          <w:tcPr>
            <w:tcW w:w="672" w:type="pct"/>
            <w:shd w:val="clear" w:color="auto" w:fill="auto"/>
            <w:vAlign w:val="center"/>
          </w:tcPr>
          <w:p w14:paraId="4305A29E" w14:textId="77777777" w:rsidR="00CE00C1" w:rsidRPr="00537128" w:rsidRDefault="00CE00C1" w:rsidP="00CE00C1">
            <w:pPr>
              <w:keepLines/>
              <w:tabs>
                <w:tab w:val="right" w:pos="1202"/>
              </w:tabs>
              <w:spacing w:after="0" w:line="240" w:lineRule="exact"/>
              <w:jc w:val="right"/>
              <w:outlineLvl w:val="0"/>
              <w:rPr>
                <w:rFonts w:ascii="Calibri" w:eastAsia="Calibri" w:hAnsi="Calibri" w:cs="Arial"/>
                <w:b/>
                <w:bCs/>
                <w:sz w:val="18"/>
                <w:szCs w:val="18"/>
                <w:lang w:val="en-US"/>
              </w:rPr>
            </w:pPr>
            <w:bookmarkStart w:id="163" w:name="_Toc4057441"/>
            <w:r w:rsidRPr="00537128">
              <w:rPr>
                <w:rFonts w:ascii="Calibri" w:eastAsia="Times New Roman" w:hAnsi="Calibri" w:cs="Arial"/>
                <w:b/>
                <w:sz w:val="18"/>
                <w:szCs w:val="18"/>
                <w:lang w:val="en-US"/>
              </w:rPr>
              <w:t>HRK ‘000</w:t>
            </w:r>
            <w:bookmarkEnd w:id="163"/>
          </w:p>
        </w:tc>
        <w:tc>
          <w:tcPr>
            <w:tcW w:w="671" w:type="pct"/>
            <w:vAlign w:val="center"/>
          </w:tcPr>
          <w:p w14:paraId="4A3C637C" w14:textId="77777777" w:rsidR="00CE00C1" w:rsidRPr="00537128" w:rsidRDefault="00CE00C1" w:rsidP="00CE00C1">
            <w:pPr>
              <w:keepLines/>
              <w:tabs>
                <w:tab w:val="right" w:pos="1202"/>
              </w:tabs>
              <w:spacing w:after="0" w:line="240" w:lineRule="exact"/>
              <w:jc w:val="right"/>
              <w:outlineLvl w:val="0"/>
              <w:rPr>
                <w:rFonts w:ascii="Calibri" w:eastAsia="Calibri" w:hAnsi="Calibri" w:cs="Arial"/>
                <w:b/>
                <w:bCs/>
                <w:sz w:val="18"/>
                <w:szCs w:val="18"/>
                <w:lang w:val="en-US"/>
              </w:rPr>
            </w:pPr>
            <w:bookmarkStart w:id="164" w:name="_Toc4057442"/>
            <w:r w:rsidRPr="00537128">
              <w:rPr>
                <w:rFonts w:ascii="Calibri" w:eastAsia="Times New Roman" w:hAnsi="Calibri" w:cs="Arial"/>
                <w:b/>
                <w:sz w:val="18"/>
                <w:szCs w:val="18"/>
                <w:lang w:val="en-US"/>
              </w:rPr>
              <w:t>HRK ‘000</w:t>
            </w:r>
            <w:bookmarkEnd w:id="164"/>
          </w:p>
        </w:tc>
      </w:tr>
      <w:tr w:rsidR="00CE00C1" w:rsidRPr="00537128" w14:paraId="7F1C9DAB" w14:textId="77777777" w:rsidTr="00CE00C1">
        <w:trPr>
          <w:trHeight w:hRule="exact" w:val="227"/>
        </w:trPr>
        <w:tc>
          <w:tcPr>
            <w:tcW w:w="3657" w:type="pct"/>
          </w:tcPr>
          <w:p w14:paraId="5CCA577D" w14:textId="77777777" w:rsidR="00CE00C1" w:rsidRPr="00537128" w:rsidRDefault="00CE00C1" w:rsidP="00CE00C1">
            <w:pPr>
              <w:keepLines/>
              <w:tabs>
                <w:tab w:val="right" w:pos="1202"/>
                <w:tab w:val="left" w:pos="4633"/>
              </w:tabs>
              <w:spacing w:after="0" w:line="240" w:lineRule="exact"/>
              <w:outlineLvl w:val="0"/>
              <w:rPr>
                <w:rFonts w:ascii="Calibri" w:eastAsia="Calibri" w:hAnsi="Calibri" w:cs="Arial"/>
                <w:b/>
                <w:bCs/>
                <w:spacing w:val="-3"/>
                <w:sz w:val="18"/>
                <w:szCs w:val="18"/>
                <w:lang w:val="en-US"/>
              </w:rPr>
            </w:pPr>
            <w:bookmarkStart w:id="165" w:name="_Toc4057443"/>
            <w:r w:rsidRPr="00537128">
              <w:rPr>
                <w:rFonts w:ascii="Calibri" w:eastAsia="Calibri" w:hAnsi="Calibri" w:cs="Arial"/>
                <w:b/>
                <w:bCs/>
                <w:sz w:val="18"/>
                <w:szCs w:val="18"/>
                <w:lang w:val="en-US"/>
              </w:rPr>
              <w:t>Operating activities</w:t>
            </w:r>
            <w:bookmarkEnd w:id="165"/>
            <w:r w:rsidRPr="00537128">
              <w:rPr>
                <w:rFonts w:ascii="Calibri" w:eastAsia="Calibri" w:hAnsi="Calibri" w:cs="Arial"/>
                <w:b/>
                <w:bCs/>
                <w:sz w:val="18"/>
                <w:szCs w:val="18"/>
                <w:lang w:val="en-US"/>
              </w:rPr>
              <w:t xml:space="preserve"> </w:t>
            </w:r>
            <w:r w:rsidRPr="00537128">
              <w:rPr>
                <w:rFonts w:ascii="Calibri" w:eastAsia="Calibri" w:hAnsi="Calibri" w:cs="Arial"/>
                <w:b/>
                <w:bCs/>
                <w:sz w:val="18"/>
                <w:szCs w:val="18"/>
                <w:lang w:val="en-US"/>
              </w:rPr>
              <w:tab/>
            </w:r>
          </w:p>
        </w:tc>
        <w:tc>
          <w:tcPr>
            <w:tcW w:w="672" w:type="pct"/>
            <w:shd w:val="clear" w:color="auto" w:fill="auto"/>
            <w:vAlign w:val="bottom"/>
          </w:tcPr>
          <w:p w14:paraId="598B2FE0" w14:textId="77777777" w:rsidR="00CE00C1" w:rsidRPr="00537128" w:rsidRDefault="00CE00C1" w:rsidP="00CE00C1">
            <w:pPr>
              <w:keepLines/>
              <w:tabs>
                <w:tab w:val="right" w:pos="1202"/>
              </w:tabs>
              <w:spacing w:after="0" w:line="240" w:lineRule="exact"/>
              <w:jc w:val="right"/>
              <w:outlineLvl w:val="0"/>
              <w:rPr>
                <w:rFonts w:ascii="Calibri" w:eastAsia="Calibri" w:hAnsi="Calibri" w:cs="Arial"/>
                <w:sz w:val="18"/>
                <w:szCs w:val="18"/>
                <w:lang w:val="en-US"/>
              </w:rPr>
            </w:pPr>
          </w:p>
        </w:tc>
        <w:tc>
          <w:tcPr>
            <w:tcW w:w="671" w:type="pct"/>
            <w:vAlign w:val="bottom"/>
          </w:tcPr>
          <w:p w14:paraId="4BB87991" w14:textId="77777777" w:rsidR="00CE00C1" w:rsidRPr="00537128" w:rsidRDefault="00CE00C1" w:rsidP="00CE00C1">
            <w:pPr>
              <w:keepLines/>
              <w:tabs>
                <w:tab w:val="right" w:pos="1202"/>
              </w:tabs>
              <w:spacing w:after="0" w:line="240" w:lineRule="exact"/>
              <w:jc w:val="right"/>
              <w:outlineLvl w:val="0"/>
              <w:rPr>
                <w:rFonts w:ascii="Calibri" w:eastAsia="Calibri" w:hAnsi="Calibri" w:cs="Arial"/>
                <w:sz w:val="18"/>
                <w:szCs w:val="18"/>
                <w:lang w:val="en-US"/>
              </w:rPr>
            </w:pPr>
          </w:p>
        </w:tc>
      </w:tr>
      <w:tr w:rsidR="0045447D" w:rsidRPr="00537128" w14:paraId="19BD679E" w14:textId="77777777" w:rsidTr="00A93BE4">
        <w:trPr>
          <w:trHeight w:hRule="exact" w:val="227"/>
        </w:trPr>
        <w:tc>
          <w:tcPr>
            <w:tcW w:w="3657" w:type="pct"/>
            <w:vAlign w:val="bottom"/>
          </w:tcPr>
          <w:p w14:paraId="07D99BD7" w14:textId="77777777" w:rsidR="0045447D" w:rsidRPr="00537128" w:rsidRDefault="0045447D" w:rsidP="0045447D">
            <w:pPr>
              <w:keepLines/>
              <w:tabs>
                <w:tab w:val="right" w:pos="1202"/>
              </w:tabs>
              <w:spacing w:after="0" w:line="240" w:lineRule="exact"/>
              <w:outlineLvl w:val="0"/>
              <w:rPr>
                <w:rFonts w:ascii="Calibri" w:eastAsia="Calibri" w:hAnsi="Calibri" w:cs="Arial"/>
                <w:spacing w:val="-3"/>
                <w:sz w:val="18"/>
                <w:szCs w:val="18"/>
                <w:lang w:val="en-US"/>
              </w:rPr>
            </w:pPr>
            <w:bookmarkStart w:id="166" w:name="_Toc4057444"/>
            <w:r w:rsidRPr="00537128">
              <w:rPr>
                <w:rFonts w:ascii="Calibri" w:eastAsia="Calibri" w:hAnsi="Calibri" w:cs="Arial"/>
                <w:sz w:val="18"/>
                <w:szCs w:val="18"/>
                <w:lang w:val="en-US"/>
              </w:rPr>
              <w:t>Profit before income tax</w:t>
            </w:r>
            <w:bookmarkEnd w:id="166"/>
          </w:p>
        </w:tc>
        <w:tc>
          <w:tcPr>
            <w:tcW w:w="672" w:type="pct"/>
            <w:vAlign w:val="bottom"/>
          </w:tcPr>
          <w:p w14:paraId="423C3E2E" w14:textId="08569B9C" w:rsidR="0045447D" w:rsidRPr="00537128" w:rsidRDefault="0045447D" w:rsidP="0045447D">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230</w:t>
            </w:r>
            <w:r w:rsidR="006773EF">
              <w:rPr>
                <w:rFonts w:cstheme="minorHAnsi"/>
                <w:color w:val="000000" w:themeColor="text1"/>
                <w:sz w:val="18"/>
                <w:szCs w:val="18"/>
              </w:rPr>
              <w:t>,</w:t>
            </w:r>
            <w:r>
              <w:rPr>
                <w:rFonts w:cstheme="minorHAnsi"/>
                <w:color w:val="000000" w:themeColor="text1"/>
                <w:sz w:val="18"/>
                <w:szCs w:val="18"/>
              </w:rPr>
              <w:t>344</w:t>
            </w:r>
          </w:p>
        </w:tc>
        <w:tc>
          <w:tcPr>
            <w:tcW w:w="671" w:type="pct"/>
            <w:tcBorders>
              <w:top w:val="nil"/>
              <w:left w:val="nil"/>
              <w:bottom w:val="nil"/>
              <w:right w:val="nil"/>
            </w:tcBorders>
            <w:shd w:val="clear" w:color="auto" w:fill="FFFFFF"/>
            <w:vAlign w:val="bottom"/>
          </w:tcPr>
          <w:p w14:paraId="1C2A3198" w14:textId="130F7B81" w:rsidR="0045447D" w:rsidRPr="00537128" w:rsidRDefault="0045447D" w:rsidP="0045447D">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z w:val="18"/>
                <w:szCs w:val="18"/>
              </w:rPr>
              <w:t>87,800</w:t>
            </w:r>
          </w:p>
        </w:tc>
      </w:tr>
      <w:tr w:rsidR="0045447D" w:rsidRPr="00537128" w14:paraId="529AD836" w14:textId="77777777" w:rsidTr="00A93BE4">
        <w:trPr>
          <w:trHeight w:hRule="exact" w:val="227"/>
        </w:trPr>
        <w:tc>
          <w:tcPr>
            <w:tcW w:w="3657" w:type="pct"/>
            <w:vAlign w:val="bottom"/>
          </w:tcPr>
          <w:p w14:paraId="123CD23F" w14:textId="77777777" w:rsidR="0045447D" w:rsidRPr="00537128" w:rsidRDefault="0045447D" w:rsidP="0045447D">
            <w:pPr>
              <w:keepLines/>
              <w:tabs>
                <w:tab w:val="right" w:pos="1202"/>
              </w:tabs>
              <w:spacing w:after="0" w:line="240" w:lineRule="exact"/>
              <w:outlineLvl w:val="0"/>
              <w:rPr>
                <w:rFonts w:ascii="Calibri" w:eastAsia="Calibri" w:hAnsi="Calibri" w:cs="Arial"/>
                <w:i/>
                <w:sz w:val="18"/>
                <w:szCs w:val="18"/>
                <w:lang w:val="en-US"/>
              </w:rPr>
            </w:pPr>
            <w:bookmarkStart w:id="167" w:name="_Toc4057447"/>
            <w:r w:rsidRPr="00537128">
              <w:rPr>
                <w:rFonts w:ascii="Calibri" w:eastAsia="Calibri" w:hAnsi="Calibri" w:cs="Arial"/>
                <w:i/>
                <w:sz w:val="18"/>
                <w:szCs w:val="18"/>
                <w:lang w:val="en-US"/>
              </w:rPr>
              <w:t>Adjustments to reconcile to net cash from and used in operating activities:</w:t>
            </w:r>
            <w:bookmarkEnd w:id="167"/>
          </w:p>
        </w:tc>
        <w:tc>
          <w:tcPr>
            <w:tcW w:w="672" w:type="pct"/>
            <w:vAlign w:val="bottom"/>
          </w:tcPr>
          <w:p w14:paraId="425A770E" w14:textId="77777777" w:rsidR="0045447D" w:rsidRPr="00537128" w:rsidRDefault="0045447D" w:rsidP="0045447D">
            <w:pPr>
              <w:keepLines/>
              <w:tabs>
                <w:tab w:val="right" w:pos="1202"/>
              </w:tabs>
              <w:spacing w:after="0" w:line="240" w:lineRule="exact"/>
              <w:jc w:val="right"/>
              <w:outlineLvl w:val="0"/>
              <w:rPr>
                <w:rFonts w:ascii="Calibri" w:eastAsia="Calibri" w:hAnsi="Calibri" w:cs="Calibri"/>
                <w:bCs/>
                <w:sz w:val="18"/>
                <w:szCs w:val="18"/>
                <w:lang w:val="en-US"/>
              </w:rPr>
            </w:pPr>
          </w:p>
        </w:tc>
        <w:tc>
          <w:tcPr>
            <w:tcW w:w="671" w:type="pct"/>
            <w:tcBorders>
              <w:top w:val="nil"/>
              <w:left w:val="nil"/>
              <w:bottom w:val="nil"/>
              <w:right w:val="nil"/>
            </w:tcBorders>
            <w:shd w:val="clear" w:color="auto" w:fill="FFFFFF"/>
            <w:vAlign w:val="bottom"/>
          </w:tcPr>
          <w:p w14:paraId="23962875" w14:textId="77777777" w:rsidR="0045447D" w:rsidRPr="00537128" w:rsidRDefault="0045447D" w:rsidP="0045447D">
            <w:pPr>
              <w:keepLines/>
              <w:tabs>
                <w:tab w:val="right" w:pos="1202"/>
              </w:tabs>
              <w:spacing w:after="0" w:line="240" w:lineRule="exact"/>
              <w:jc w:val="right"/>
              <w:outlineLvl w:val="0"/>
              <w:rPr>
                <w:rFonts w:ascii="Calibri" w:eastAsia="Calibri" w:hAnsi="Calibri" w:cs="Arial"/>
                <w:bCs/>
                <w:sz w:val="18"/>
                <w:szCs w:val="18"/>
                <w:lang w:val="en-US"/>
              </w:rPr>
            </w:pPr>
          </w:p>
        </w:tc>
      </w:tr>
      <w:tr w:rsidR="0045447D" w:rsidRPr="00537128" w14:paraId="580B713E" w14:textId="77777777" w:rsidTr="00A93BE4">
        <w:trPr>
          <w:trHeight w:val="227"/>
        </w:trPr>
        <w:tc>
          <w:tcPr>
            <w:tcW w:w="3657" w:type="pct"/>
            <w:vAlign w:val="bottom"/>
          </w:tcPr>
          <w:p w14:paraId="196562F1" w14:textId="77777777" w:rsidR="0045447D" w:rsidRPr="00537128" w:rsidRDefault="0045447D" w:rsidP="0045447D">
            <w:pPr>
              <w:keepLines/>
              <w:tabs>
                <w:tab w:val="right" w:pos="1202"/>
              </w:tabs>
              <w:spacing w:after="0" w:line="240" w:lineRule="exact"/>
              <w:outlineLvl w:val="0"/>
              <w:rPr>
                <w:rFonts w:ascii="Calibri" w:eastAsia="Calibri" w:hAnsi="Calibri" w:cs="Arial"/>
                <w:spacing w:val="-3"/>
                <w:sz w:val="18"/>
                <w:szCs w:val="18"/>
                <w:lang w:val="en-US"/>
              </w:rPr>
            </w:pPr>
            <w:bookmarkStart w:id="168" w:name="_Toc4057448"/>
            <w:r w:rsidRPr="00537128">
              <w:rPr>
                <w:rFonts w:ascii="Calibri" w:eastAsia="Calibri" w:hAnsi="Calibri" w:cs="Arial"/>
                <w:sz w:val="18"/>
                <w:szCs w:val="18"/>
                <w:lang w:val="en-US"/>
              </w:rPr>
              <w:t>Depreciation</w:t>
            </w:r>
            <w:bookmarkEnd w:id="168"/>
            <w:r w:rsidRPr="00537128">
              <w:rPr>
                <w:rFonts w:ascii="Calibri" w:eastAsia="Calibri" w:hAnsi="Calibri" w:cs="Arial"/>
                <w:sz w:val="18"/>
                <w:szCs w:val="18"/>
                <w:lang w:val="en-US"/>
              </w:rPr>
              <w:t xml:space="preserve"> and amortization</w:t>
            </w:r>
          </w:p>
        </w:tc>
        <w:tc>
          <w:tcPr>
            <w:tcW w:w="672" w:type="pct"/>
            <w:vAlign w:val="bottom"/>
          </w:tcPr>
          <w:p w14:paraId="61916A6D" w14:textId="7307A0D0" w:rsidR="0045447D" w:rsidRPr="00537128" w:rsidRDefault="0045447D" w:rsidP="0045447D">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2</w:t>
            </w:r>
            <w:r w:rsidR="006773EF">
              <w:rPr>
                <w:rFonts w:cstheme="minorHAnsi"/>
                <w:color w:val="000000" w:themeColor="text1"/>
                <w:sz w:val="18"/>
                <w:szCs w:val="18"/>
              </w:rPr>
              <w:t>,</w:t>
            </w:r>
            <w:r>
              <w:rPr>
                <w:rFonts w:cstheme="minorHAnsi"/>
                <w:color w:val="000000" w:themeColor="text1"/>
                <w:sz w:val="18"/>
                <w:szCs w:val="18"/>
              </w:rPr>
              <w:t>818</w:t>
            </w:r>
          </w:p>
        </w:tc>
        <w:tc>
          <w:tcPr>
            <w:tcW w:w="671" w:type="pct"/>
            <w:tcBorders>
              <w:top w:val="nil"/>
              <w:left w:val="nil"/>
              <w:bottom w:val="nil"/>
              <w:right w:val="nil"/>
            </w:tcBorders>
            <w:shd w:val="clear" w:color="auto" w:fill="FFFFFF"/>
            <w:vAlign w:val="bottom"/>
          </w:tcPr>
          <w:p w14:paraId="22ACBE40" w14:textId="60C97771" w:rsidR="0045447D" w:rsidRPr="00537128" w:rsidRDefault="0045447D" w:rsidP="0045447D">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z w:val="18"/>
                <w:szCs w:val="18"/>
              </w:rPr>
              <w:t>2,476</w:t>
            </w:r>
          </w:p>
        </w:tc>
      </w:tr>
      <w:tr w:rsidR="0045447D" w:rsidRPr="00537128" w14:paraId="2FF92AB2" w14:textId="77777777" w:rsidTr="00A1123E">
        <w:trPr>
          <w:trHeight w:val="227"/>
        </w:trPr>
        <w:tc>
          <w:tcPr>
            <w:tcW w:w="3657" w:type="pct"/>
            <w:vAlign w:val="bottom"/>
          </w:tcPr>
          <w:p w14:paraId="4A04491D" w14:textId="77777777" w:rsidR="0045447D" w:rsidRPr="00537128" w:rsidRDefault="0045447D" w:rsidP="0045447D">
            <w:pPr>
              <w:tabs>
                <w:tab w:val="right" w:pos="1202"/>
              </w:tabs>
              <w:spacing w:after="0" w:line="240" w:lineRule="exact"/>
              <w:outlineLvl w:val="0"/>
              <w:rPr>
                <w:rFonts w:ascii="Calibri" w:eastAsia="Calibri" w:hAnsi="Calibri" w:cs="Arial"/>
                <w:bCs/>
                <w:spacing w:val="-2"/>
                <w:sz w:val="18"/>
                <w:szCs w:val="18"/>
                <w:lang w:val="en-US"/>
              </w:rPr>
            </w:pPr>
            <w:bookmarkStart w:id="169" w:name="_Toc4057451"/>
            <w:r w:rsidRPr="00537128">
              <w:rPr>
                <w:rFonts w:ascii="Calibri" w:eastAsia="Calibri" w:hAnsi="Calibri" w:cs="Arial"/>
                <w:bCs/>
                <w:spacing w:val="-2"/>
                <w:sz w:val="18"/>
                <w:szCs w:val="18"/>
                <w:lang w:val="en-US"/>
              </w:rPr>
              <w:t>Impairment loss and provisions</w:t>
            </w:r>
            <w:bookmarkEnd w:id="169"/>
            <w:r w:rsidRPr="00537128">
              <w:rPr>
                <w:rFonts w:ascii="Calibri" w:eastAsia="Calibri" w:hAnsi="Calibri" w:cs="Arial"/>
                <w:bCs/>
                <w:spacing w:val="-2"/>
                <w:sz w:val="18"/>
                <w:szCs w:val="18"/>
                <w:lang w:val="en-US"/>
              </w:rPr>
              <w:t xml:space="preserve"> </w:t>
            </w:r>
          </w:p>
        </w:tc>
        <w:tc>
          <w:tcPr>
            <w:tcW w:w="672" w:type="pct"/>
            <w:tcBorders>
              <w:top w:val="nil"/>
              <w:left w:val="nil"/>
              <w:bottom w:val="nil"/>
              <w:right w:val="nil"/>
            </w:tcBorders>
            <w:shd w:val="clear" w:color="auto" w:fill="auto"/>
            <w:vAlign w:val="bottom"/>
          </w:tcPr>
          <w:p w14:paraId="2175C576" w14:textId="566A615A" w:rsidR="0045447D" w:rsidRPr="00537128" w:rsidRDefault="0045447D" w:rsidP="0045447D">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(130</w:t>
            </w:r>
            <w:r w:rsidR="006773EF">
              <w:rPr>
                <w:rFonts w:cstheme="minorHAnsi"/>
                <w:color w:val="000000" w:themeColor="text1"/>
                <w:sz w:val="18"/>
                <w:szCs w:val="18"/>
              </w:rPr>
              <w:t>,</w:t>
            </w:r>
            <w:r>
              <w:rPr>
                <w:rFonts w:cstheme="minorHAnsi"/>
                <w:color w:val="000000" w:themeColor="text1"/>
                <w:sz w:val="18"/>
                <w:szCs w:val="18"/>
              </w:rPr>
              <w:t>391)</w:t>
            </w:r>
          </w:p>
        </w:tc>
        <w:tc>
          <w:tcPr>
            <w:tcW w:w="671" w:type="pct"/>
            <w:tcBorders>
              <w:top w:val="nil"/>
              <w:left w:val="nil"/>
              <w:bottom w:val="nil"/>
              <w:right w:val="nil"/>
            </w:tcBorders>
            <w:shd w:val="clear" w:color="auto" w:fill="FFFFFF"/>
            <w:vAlign w:val="bottom"/>
          </w:tcPr>
          <w:p w14:paraId="3E25173C" w14:textId="6477F679" w:rsidR="0045447D" w:rsidRPr="00537128" w:rsidRDefault="0045447D" w:rsidP="0045447D">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z w:val="18"/>
                <w:szCs w:val="18"/>
              </w:rPr>
              <w:t>(9,640)</w:t>
            </w:r>
          </w:p>
        </w:tc>
      </w:tr>
      <w:tr w:rsidR="0045447D" w:rsidRPr="00537128" w14:paraId="3D6D0DA9" w14:textId="77777777" w:rsidTr="00CE00C1">
        <w:trPr>
          <w:trHeight w:val="227"/>
        </w:trPr>
        <w:tc>
          <w:tcPr>
            <w:tcW w:w="3657" w:type="pct"/>
            <w:vAlign w:val="bottom"/>
          </w:tcPr>
          <w:p w14:paraId="04E7B699" w14:textId="77777777" w:rsidR="0045447D" w:rsidRPr="00537128" w:rsidRDefault="0045447D" w:rsidP="0045447D">
            <w:pPr>
              <w:keepLines/>
              <w:tabs>
                <w:tab w:val="right" w:pos="1202"/>
              </w:tabs>
              <w:spacing w:after="0" w:line="240" w:lineRule="exact"/>
              <w:outlineLvl w:val="0"/>
              <w:rPr>
                <w:rFonts w:ascii="Calibri" w:eastAsia="Calibri" w:hAnsi="Calibri" w:cs="Arial"/>
                <w:iCs/>
                <w:sz w:val="18"/>
                <w:szCs w:val="18"/>
                <w:lang w:val="en-US"/>
              </w:rPr>
            </w:pPr>
            <w:bookmarkStart w:id="170" w:name="_Toc4057454"/>
            <w:r w:rsidRPr="00537128">
              <w:rPr>
                <w:rFonts w:ascii="Calibri" w:eastAsia="Calibri" w:hAnsi="Calibri" w:cs="Arial"/>
                <w:iCs/>
                <w:sz w:val="18"/>
                <w:szCs w:val="18"/>
                <w:lang w:val="en-US"/>
              </w:rPr>
              <w:t>Accrued interest</w:t>
            </w:r>
            <w:bookmarkEnd w:id="170"/>
            <w:r w:rsidRPr="00537128">
              <w:rPr>
                <w:rFonts w:ascii="Calibri" w:eastAsia="Calibri" w:hAnsi="Calibri" w:cs="Arial"/>
                <w:iCs/>
                <w:sz w:val="18"/>
                <w:szCs w:val="18"/>
                <w:lang w:val="en-US"/>
              </w:rPr>
              <w:t xml:space="preserve"> </w:t>
            </w:r>
          </w:p>
        </w:tc>
        <w:tc>
          <w:tcPr>
            <w:tcW w:w="672" w:type="pct"/>
            <w:tcBorders>
              <w:top w:val="nil"/>
              <w:left w:val="nil"/>
              <w:bottom w:val="nil"/>
              <w:right w:val="nil"/>
            </w:tcBorders>
            <w:shd w:val="clear" w:color="auto" w:fill="auto"/>
            <w:vAlign w:val="bottom"/>
          </w:tcPr>
          <w:p w14:paraId="4854CD72" w14:textId="1FC792DD" w:rsidR="0045447D" w:rsidRPr="00537128" w:rsidRDefault="0045447D" w:rsidP="0045447D">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iCs/>
                <w:color w:val="000000" w:themeColor="text1"/>
                <w:sz w:val="18"/>
                <w:szCs w:val="18"/>
              </w:rPr>
              <w:t>33</w:t>
            </w:r>
            <w:r w:rsidR="006773EF">
              <w:rPr>
                <w:rFonts w:cstheme="minorHAnsi"/>
                <w:iCs/>
                <w:color w:val="000000" w:themeColor="text1"/>
                <w:sz w:val="18"/>
                <w:szCs w:val="18"/>
              </w:rPr>
              <w:t>,</w:t>
            </w:r>
            <w:r>
              <w:rPr>
                <w:rFonts w:cstheme="minorHAnsi"/>
                <w:iCs/>
                <w:color w:val="000000" w:themeColor="text1"/>
                <w:sz w:val="18"/>
                <w:szCs w:val="18"/>
              </w:rPr>
              <w:t>009</w:t>
            </w:r>
          </w:p>
        </w:tc>
        <w:tc>
          <w:tcPr>
            <w:tcW w:w="671" w:type="pct"/>
            <w:tcBorders>
              <w:top w:val="nil"/>
              <w:left w:val="nil"/>
              <w:bottom w:val="nil"/>
              <w:right w:val="nil"/>
            </w:tcBorders>
            <w:shd w:val="clear" w:color="auto" w:fill="FFFFFF"/>
            <w:vAlign w:val="bottom"/>
          </w:tcPr>
          <w:p w14:paraId="785A5B4A" w14:textId="0E203A65" w:rsidR="0045447D" w:rsidRPr="00537128" w:rsidRDefault="0045447D" w:rsidP="0045447D">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iCs/>
                <w:color w:val="000000" w:themeColor="text1"/>
                <w:sz w:val="18"/>
                <w:szCs w:val="18"/>
              </w:rPr>
              <w:t>(2,025)</w:t>
            </w:r>
          </w:p>
        </w:tc>
      </w:tr>
      <w:tr w:rsidR="0045447D" w:rsidRPr="00537128" w14:paraId="20FD4E92" w14:textId="77777777" w:rsidTr="00CE00C1">
        <w:trPr>
          <w:trHeight w:val="227"/>
        </w:trPr>
        <w:tc>
          <w:tcPr>
            <w:tcW w:w="3657" w:type="pct"/>
            <w:vAlign w:val="bottom"/>
          </w:tcPr>
          <w:p w14:paraId="1BB1D5E7" w14:textId="77777777" w:rsidR="0045447D" w:rsidRPr="00537128" w:rsidRDefault="0045447D" w:rsidP="0045447D">
            <w:pPr>
              <w:keepLines/>
              <w:tabs>
                <w:tab w:val="right" w:pos="1202"/>
              </w:tabs>
              <w:spacing w:after="0" w:line="240" w:lineRule="exact"/>
              <w:outlineLvl w:val="0"/>
              <w:rPr>
                <w:rFonts w:ascii="Calibri" w:eastAsia="Calibri" w:hAnsi="Calibri" w:cs="Arial"/>
                <w:i/>
                <w:iCs/>
                <w:sz w:val="18"/>
                <w:szCs w:val="18"/>
                <w:lang w:val="en-US"/>
              </w:rPr>
            </w:pPr>
            <w:bookmarkStart w:id="171" w:name="_Toc4057457"/>
            <w:r w:rsidRPr="00537128">
              <w:rPr>
                <w:rFonts w:ascii="Calibri" w:eastAsia="Calibri" w:hAnsi="Calibri" w:cs="Arial"/>
                <w:iCs/>
                <w:sz w:val="18"/>
                <w:szCs w:val="18"/>
                <w:lang w:val="en-US"/>
              </w:rPr>
              <w:t>Deferred fees</w:t>
            </w:r>
            <w:bookmarkEnd w:id="171"/>
            <w:r w:rsidRPr="00537128">
              <w:rPr>
                <w:rFonts w:ascii="Calibri" w:eastAsia="Calibri" w:hAnsi="Calibri" w:cs="Arial"/>
                <w:iCs/>
                <w:sz w:val="18"/>
                <w:szCs w:val="18"/>
                <w:lang w:val="en-US"/>
              </w:rPr>
              <w:t xml:space="preserve"> </w:t>
            </w:r>
          </w:p>
        </w:tc>
        <w:tc>
          <w:tcPr>
            <w:tcW w:w="672" w:type="pct"/>
            <w:tcBorders>
              <w:top w:val="nil"/>
              <w:left w:val="nil"/>
              <w:bottom w:val="nil"/>
              <w:right w:val="nil"/>
            </w:tcBorders>
            <w:shd w:val="clear" w:color="auto" w:fill="auto"/>
            <w:vAlign w:val="bottom"/>
          </w:tcPr>
          <w:p w14:paraId="1067B9AA" w14:textId="04640A92" w:rsidR="0045447D" w:rsidRPr="00537128" w:rsidRDefault="0045447D" w:rsidP="0045447D">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(7</w:t>
            </w:r>
            <w:r w:rsidR="006773EF">
              <w:rPr>
                <w:rFonts w:cstheme="minorHAnsi"/>
                <w:color w:val="000000" w:themeColor="text1"/>
                <w:sz w:val="18"/>
                <w:szCs w:val="18"/>
              </w:rPr>
              <w:t>,</w:t>
            </w:r>
            <w:r>
              <w:rPr>
                <w:rFonts w:cstheme="minorHAnsi"/>
                <w:color w:val="000000" w:themeColor="text1"/>
                <w:sz w:val="18"/>
                <w:szCs w:val="18"/>
              </w:rPr>
              <w:t>077)</w:t>
            </w:r>
          </w:p>
        </w:tc>
        <w:tc>
          <w:tcPr>
            <w:tcW w:w="671" w:type="pct"/>
            <w:tcBorders>
              <w:top w:val="nil"/>
              <w:left w:val="nil"/>
              <w:bottom w:val="nil"/>
              <w:right w:val="nil"/>
            </w:tcBorders>
            <w:shd w:val="clear" w:color="auto" w:fill="FFFFFF"/>
            <w:vAlign w:val="bottom"/>
          </w:tcPr>
          <w:p w14:paraId="764A71D1" w14:textId="3C9AFC3C" w:rsidR="0045447D" w:rsidRPr="00537128" w:rsidRDefault="0045447D" w:rsidP="0045447D">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z w:val="18"/>
                <w:szCs w:val="18"/>
              </w:rPr>
              <w:t>(410)</w:t>
            </w:r>
          </w:p>
        </w:tc>
      </w:tr>
      <w:tr w:rsidR="0045447D" w:rsidRPr="00537128" w14:paraId="5AD3F37F" w14:textId="77777777" w:rsidTr="00CE00C1">
        <w:trPr>
          <w:trHeight w:val="227"/>
        </w:trPr>
        <w:tc>
          <w:tcPr>
            <w:tcW w:w="3657" w:type="pct"/>
            <w:vAlign w:val="bottom"/>
          </w:tcPr>
          <w:p w14:paraId="30BC0364" w14:textId="583C78A4" w:rsidR="0045447D" w:rsidRPr="00537128" w:rsidRDefault="0045447D" w:rsidP="0045447D">
            <w:pPr>
              <w:spacing w:after="0" w:line="240" w:lineRule="auto"/>
              <w:rPr>
                <w:rFonts w:ascii="Calibri" w:eastAsia="Calibri" w:hAnsi="Calibri" w:cs="Calibri"/>
                <w:sz w:val="18"/>
                <w:szCs w:val="18"/>
                <w:lang w:val="en-US"/>
              </w:rPr>
            </w:pPr>
            <w:r w:rsidRPr="00537128">
              <w:rPr>
                <w:rFonts w:ascii="Calibri" w:eastAsia="Calibri" w:hAnsi="Calibri" w:cs="Calibri"/>
                <w:color w:val="000000"/>
                <w:sz w:val="18"/>
                <w:szCs w:val="18"/>
                <w:lang w:val="en-US"/>
              </w:rPr>
              <w:t xml:space="preserve">Net </w:t>
            </w:r>
            <w:r>
              <w:rPr>
                <w:rFonts w:ascii="Calibri" w:eastAsia="Calibri" w:hAnsi="Calibri" w:cs="Calibri"/>
                <w:color w:val="000000"/>
                <w:sz w:val="18"/>
                <w:szCs w:val="18"/>
                <w:lang w:val="en-US"/>
              </w:rPr>
              <w:t>loss</w:t>
            </w:r>
            <w:r w:rsidRPr="00537128">
              <w:rPr>
                <w:rFonts w:ascii="Calibri" w:eastAsia="Calibri" w:hAnsi="Calibri" w:cs="Calibri"/>
                <w:color w:val="000000"/>
                <w:sz w:val="18"/>
                <w:szCs w:val="18"/>
                <w:lang w:val="en-US"/>
              </w:rPr>
              <w:t xml:space="preserve"> from trading with derivative financial instruments</w:t>
            </w:r>
          </w:p>
        </w:tc>
        <w:tc>
          <w:tcPr>
            <w:tcW w:w="672" w:type="pct"/>
            <w:tcBorders>
              <w:top w:val="nil"/>
              <w:left w:val="nil"/>
              <w:bottom w:val="nil"/>
              <w:right w:val="nil"/>
            </w:tcBorders>
            <w:shd w:val="clear" w:color="auto" w:fill="auto"/>
            <w:vAlign w:val="bottom"/>
          </w:tcPr>
          <w:p w14:paraId="37DAF0B1" w14:textId="033DA764" w:rsidR="0045447D" w:rsidRPr="00537128" w:rsidRDefault="0045447D" w:rsidP="0045447D">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w:t>
            </w:r>
          </w:p>
        </w:tc>
        <w:tc>
          <w:tcPr>
            <w:tcW w:w="671" w:type="pct"/>
            <w:tcBorders>
              <w:top w:val="nil"/>
              <w:left w:val="nil"/>
              <w:bottom w:val="nil"/>
              <w:right w:val="nil"/>
            </w:tcBorders>
            <w:shd w:val="clear" w:color="auto" w:fill="FFFFFF"/>
            <w:vAlign w:val="bottom"/>
          </w:tcPr>
          <w:p w14:paraId="65507636" w14:textId="361351E1" w:rsidR="0045447D" w:rsidRPr="00537128" w:rsidRDefault="0045447D" w:rsidP="0045447D">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z w:val="18"/>
                <w:szCs w:val="18"/>
              </w:rPr>
              <w:t>1,928</w:t>
            </w:r>
          </w:p>
        </w:tc>
      </w:tr>
      <w:tr w:rsidR="0045447D" w:rsidRPr="00537128" w14:paraId="150D68B5" w14:textId="77777777" w:rsidTr="00CE00C1">
        <w:trPr>
          <w:trHeight w:val="227"/>
        </w:trPr>
        <w:tc>
          <w:tcPr>
            <w:tcW w:w="3657" w:type="pct"/>
            <w:vAlign w:val="bottom"/>
          </w:tcPr>
          <w:p w14:paraId="10312EF9" w14:textId="77777777" w:rsidR="0045447D" w:rsidRPr="00537128" w:rsidRDefault="0045447D" w:rsidP="0045447D">
            <w:pPr>
              <w:spacing w:after="0" w:line="240" w:lineRule="auto"/>
              <w:rPr>
                <w:rFonts w:ascii="Calibri" w:eastAsia="Calibri" w:hAnsi="Calibri" w:cs="Times New Roman"/>
                <w:sz w:val="18"/>
                <w:szCs w:val="18"/>
                <w:lang w:val="en-US"/>
              </w:rPr>
            </w:pPr>
            <w:r w:rsidRPr="00537128">
              <w:rPr>
                <w:rFonts w:ascii="Calibri" w:eastAsia="Calibri" w:hAnsi="Calibri" w:cs="Times New Roman"/>
                <w:sz w:val="18"/>
                <w:szCs w:val="18"/>
                <w:lang w:val="en-US"/>
              </w:rPr>
              <w:t>Other changes in assets at fair value</w:t>
            </w:r>
          </w:p>
        </w:tc>
        <w:tc>
          <w:tcPr>
            <w:tcW w:w="672" w:type="pct"/>
            <w:tcBorders>
              <w:top w:val="nil"/>
              <w:left w:val="nil"/>
              <w:bottom w:val="nil"/>
              <w:right w:val="nil"/>
            </w:tcBorders>
            <w:shd w:val="clear" w:color="auto" w:fill="auto"/>
            <w:vAlign w:val="bottom"/>
          </w:tcPr>
          <w:p w14:paraId="49E3C625" w14:textId="5C8D9803" w:rsidR="0045447D" w:rsidRPr="00537128" w:rsidRDefault="0045447D" w:rsidP="0045447D">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4</w:t>
            </w:r>
            <w:r w:rsidR="006773EF">
              <w:rPr>
                <w:rFonts w:cstheme="minorHAnsi"/>
                <w:color w:val="000000" w:themeColor="text1"/>
                <w:sz w:val="18"/>
                <w:szCs w:val="18"/>
              </w:rPr>
              <w:t>,</w:t>
            </w:r>
            <w:r>
              <w:rPr>
                <w:rFonts w:cstheme="minorHAnsi"/>
                <w:color w:val="000000" w:themeColor="text1"/>
                <w:sz w:val="18"/>
                <w:szCs w:val="18"/>
              </w:rPr>
              <w:t>412</w:t>
            </w:r>
          </w:p>
        </w:tc>
        <w:tc>
          <w:tcPr>
            <w:tcW w:w="671" w:type="pct"/>
            <w:tcBorders>
              <w:top w:val="nil"/>
              <w:left w:val="nil"/>
              <w:bottom w:val="nil"/>
              <w:right w:val="nil"/>
            </w:tcBorders>
            <w:shd w:val="clear" w:color="auto" w:fill="FFFFFF"/>
            <w:vAlign w:val="bottom"/>
          </w:tcPr>
          <w:p w14:paraId="4235626B" w14:textId="09943C13" w:rsidR="0045447D" w:rsidRPr="00537128" w:rsidRDefault="0045447D" w:rsidP="0045447D">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z w:val="18"/>
                <w:szCs w:val="18"/>
              </w:rPr>
              <w:t>(49,879)</w:t>
            </w:r>
          </w:p>
        </w:tc>
      </w:tr>
      <w:tr w:rsidR="0045447D" w:rsidRPr="00537128" w14:paraId="5583B9C3" w14:textId="77777777" w:rsidTr="00A93BE4">
        <w:trPr>
          <w:trHeight w:hRule="exact" w:val="227"/>
        </w:trPr>
        <w:tc>
          <w:tcPr>
            <w:tcW w:w="3657" w:type="pct"/>
            <w:vAlign w:val="bottom"/>
          </w:tcPr>
          <w:p w14:paraId="3E76A652" w14:textId="22ED2291" w:rsidR="0045447D" w:rsidRPr="00537128" w:rsidRDefault="0045447D" w:rsidP="0045447D">
            <w:pPr>
              <w:keepLines/>
              <w:tabs>
                <w:tab w:val="right" w:pos="1202"/>
              </w:tabs>
              <w:spacing w:after="0" w:line="240" w:lineRule="exact"/>
              <w:outlineLvl w:val="0"/>
              <w:rPr>
                <w:rFonts w:ascii="Calibri" w:eastAsia="Calibri" w:hAnsi="Calibri" w:cs="Arial"/>
                <w:i/>
                <w:iCs/>
                <w:sz w:val="18"/>
                <w:szCs w:val="18"/>
                <w:lang w:val="en-US"/>
              </w:rPr>
            </w:pPr>
            <w:bookmarkStart w:id="172" w:name="_Toc4057462"/>
            <w:r w:rsidRPr="00537128">
              <w:rPr>
                <w:rFonts w:ascii="Calibri" w:eastAsia="Calibri" w:hAnsi="Calibri" w:cs="Arial"/>
                <w:i/>
                <w:iCs/>
                <w:sz w:val="18"/>
                <w:szCs w:val="18"/>
                <w:lang w:val="en-US"/>
              </w:rPr>
              <w:t xml:space="preserve">Operating </w:t>
            </w:r>
            <w:r w:rsidRPr="00A1123E">
              <w:rPr>
                <w:rFonts w:ascii="Calibri" w:eastAsia="Calibri" w:hAnsi="Calibri" w:cs="Arial"/>
                <w:i/>
                <w:iCs/>
                <w:sz w:val="18"/>
                <w:szCs w:val="18"/>
                <w:lang w:val="en-US"/>
              </w:rPr>
              <w:t>profit</w:t>
            </w:r>
            <w:r w:rsidRPr="00537128">
              <w:rPr>
                <w:rFonts w:ascii="Calibri" w:eastAsia="Calibri" w:hAnsi="Calibri" w:cs="Arial"/>
                <w:i/>
                <w:iCs/>
                <w:sz w:val="18"/>
                <w:szCs w:val="18"/>
                <w:lang w:val="en-US"/>
              </w:rPr>
              <w:t xml:space="preserve"> before working capital changes</w:t>
            </w:r>
            <w:bookmarkEnd w:id="172"/>
          </w:p>
        </w:tc>
        <w:tc>
          <w:tcPr>
            <w:tcW w:w="672" w:type="pct"/>
            <w:vAlign w:val="bottom"/>
          </w:tcPr>
          <w:p w14:paraId="68D764F7" w14:textId="067A7B93" w:rsidR="0045447D" w:rsidRPr="00537128" w:rsidRDefault="0045447D" w:rsidP="0045447D">
            <w:pPr>
              <w:keepLines/>
              <w:tabs>
                <w:tab w:val="right" w:pos="1202"/>
              </w:tabs>
              <w:spacing w:after="0" w:line="240" w:lineRule="exact"/>
              <w:jc w:val="right"/>
              <w:outlineLvl w:val="0"/>
              <w:rPr>
                <w:rFonts w:ascii="Calibri" w:eastAsia="Calibri" w:hAnsi="Calibri" w:cs="Calibri"/>
                <w:bCs/>
                <w:i/>
                <w:iCs/>
                <w:sz w:val="18"/>
                <w:szCs w:val="18"/>
                <w:lang w:val="en-US"/>
              </w:rPr>
            </w:pPr>
            <w:r>
              <w:rPr>
                <w:rFonts w:cstheme="minorHAnsi"/>
                <w:i/>
                <w:color w:val="000000" w:themeColor="text1"/>
                <w:sz w:val="18"/>
                <w:szCs w:val="18"/>
              </w:rPr>
              <w:t>133</w:t>
            </w:r>
            <w:r w:rsidR="006773EF">
              <w:rPr>
                <w:rFonts w:cstheme="minorHAnsi"/>
                <w:i/>
                <w:color w:val="000000" w:themeColor="text1"/>
                <w:sz w:val="18"/>
                <w:szCs w:val="18"/>
              </w:rPr>
              <w:t>,</w:t>
            </w:r>
            <w:r>
              <w:rPr>
                <w:rFonts w:cstheme="minorHAnsi"/>
                <w:i/>
                <w:color w:val="000000" w:themeColor="text1"/>
                <w:sz w:val="18"/>
                <w:szCs w:val="18"/>
              </w:rPr>
              <w:t>115</w:t>
            </w:r>
          </w:p>
        </w:tc>
        <w:tc>
          <w:tcPr>
            <w:tcW w:w="671" w:type="pct"/>
            <w:tcBorders>
              <w:top w:val="nil"/>
              <w:left w:val="nil"/>
              <w:bottom w:val="nil"/>
              <w:right w:val="nil"/>
            </w:tcBorders>
            <w:shd w:val="clear" w:color="000000" w:fill="FFFFFF"/>
            <w:vAlign w:val="bottom"/>
          </w:tcPr>
          <w:p w14:paraId="2A493505" w14:textId="76FF0101" w:rsidR="0045447D" w:rsidRPr="00537128" w:rsidRDefault="0045447D" w:rsidP="0045447D">
            <w:pPr>
              <w:keepLines/>
              <w:tabs>
                <w:tab w:val="right" w:pos="1202"/>
              </w:tabs>
              <w:spacing w:after="0" w:line="240" w:lineRule="exact"/>
              <w:jc w:val="right"/>
              <w:outlineLvl w:val="0"/>
              <w:rPr>
                <w:rFonts w:ascii="Calibri" w:eastAsia="Calibri" w:hAnsi="Calibri" w:cs="Arial"/>
                <w:bCs/>
                <w:i/>
                <w:sz w:val="18"/>
                <w:szCs w:val="18"/>
                <w:lang w:val="en-US"/>
              </w:rPr>
            </w:pPr>
            <w:r>
              <w:rPr>
                <w:rFonts w:cstheme="minorHAnsi"/>
                <w:i/>
                <w:color w:val="000000" w:themeColor="text1"/>
                <w:sz w:val="18"/>
                <w:szCs w:val="18"/>
              </w:rPr>
              <w:t>30,250</w:t>
            </w:r>
          </w:p>
        </w:tc>
      </w:tr>
      <w:tr w:rsidR="0045447D" w:rsidRPr="00537128" w14:paraId="092216DE" w14:textId="77777777" w:rsidTr="00A93BE4">
        <w:trPr>
          <w:trHeight w:hRule="exact" w:val="227"/>
        </w:trPr>
        <w:tc>
          <w:tcPr>
            <w:tcW w:w="3657" w:type="pct"/>
            <w:vAlign w:val="bottom"/>
          </w:tcPr>
          <w:p w14:paraId="397A497A" w14:textId="77777777" w:rsidR="0045447D" w:rsidRPr="00537128" w:rsidRDefault="0045447D" w:rsidP="0045447D">
            <w:pPr>
              <w:keepLines/>
              <w:tabs>
                <w:tab w:val="right" w:pos="1202"/>
              </w:tabs>
              <w:spacing w:after="0" w:line="240" w:lineRule="exact"/>
              <w:outlineLvl w:val="0"/>
              <w:rPr>
                <w:rFonts w:ascii="Calibri" w:eastAsia="Calibri" w:hAnsi="Calibri" w:cs="Arial"/>
                <w:i/>
                <w:iCs/>
                <w:sz w:val="18"/>
                <w:szCs w:val="18"/>
                <w:lang w:val="en-US"/>
              </w:rPr>
            </w:pPr>
            <w:bookmarkStart w:id="173" w:name="_Toc4057465"/>
            <w:r w:rsidRPr="00537128">
              <w:rPr>
                <w:rFonts w:ascii="Calibri" w:eastAsia="Calibri" w:hAnsi="Calibri" w:cs="Arial"/>
                <w:i/>
                <w:iCs/>
                <w:sz w:val="18"/>
                <w:szCs w:val="18"/>
                <w:lang w:val="en-US"/>
              </w:rPr>
              <w:t>Changes in operating assets and liabilities:</w:t>
            </w:r>
            <w:bookmarkEnd w:id="173"/>
          </w:p>
        </w:tc>
        <w:tc>
          <w:tcPr>
            <w:tcW w:w="672" w:type="pct"/>
            <w:vAlign w:val="bottom"/>
          </w:tcPr>
          <w:p w14:paraId="2361ACC8" w14:textId="77777777" w:rsidR="0045447D" w:rsidRPr="00537128" w:rsidRDefault="0045447D" w:rsidP="0045447D">
            <w:pPr>
              <w:keepLines/>
              <w:tabs>
                <w:tab w:val="right" w:pos="1202"/>
              </w:tabs>
              <w:spacing w:after="0" w:line="240" w:lineRule="exact"/>
              <w:jc w:val="right"/>
              <w:outlineLvl w:val="0"/>
              <w:rPr>
                <w:rFonts w:ascii="Calibri" w:eastAsia="Calibri" w:hAnsi="Calibri" w:cs="Arial"/>
                <w:bCs/>
                <w:sz w:val="18"/>
                <w:szCs w:val="18"/>
                <w:lang w:val="en-US"/>
              </w:rPr>
            </w:pPr>
          </w:p>
        </w:tc>
        <w:tc>
          <w:tcPr>
            <w:tcW w:w="671" w:type="pct"/>
            <w:tcBorders>
              <w:top w:val="nil"/>
              <w:left w:val="nil"/>
              <w:bottom w:val="nil"/>
              <w:right w:val="nil"/>
            </w:tcBorders>
            <w:shd w:val="clear" w:color="auto" w:fill="FFFFFF"/>
            <w:vAlign w:val="bottom"/>
          </w:tcPr>
          <w:p w14:paraId="752E37DD" w14:textId="77777777" w:rsidR="0045447D" w:rsidRPr="00537128" w:rsidRDefault="0045447D" w:rsidP="0045447D">
            <w:pPr>
              <w:keepLines/>
              <w:tabs>
                <w:tab w:val="right" w:pos="1202"/>
              </w:tabs>
              <w:spacing w:after="0" w:line="240" w:lineRule="exact"/>
              <w:jc w:val="right"/>
              <w:outlineLvl w:val="0"/>
              <w:rPr>
                <w:rFonts w:ascii="Calibri" w:eastAsia="Calibri" w:hAnsi="Calibri" w:cs="Arial"/>
                <w:bCs/>
                <w:sz w:val="18"/>
                <w:szCs w:val="18"/>
                <w:lang w:val="en-US"/>
              </w:rPr>
            </w:pPr>
          </w:p>
        </w:tc>
      </w:tr>
      <w:tr w:rsidR="0045447D" w:rsidRPr="00537128" w14:paraId="0B94B694" w14:textId="77777777" w:rsidTr="00CE00C1">
        <w:trPr>
          <w:trHeight w:hRule="exact" w:val="227"/>
        </w:trPr>
        <w:tc>
          <w:tcPr>
            <w:tcW w:w="3657" w:type="pct"/>
            <w:vAlign w:val="bottom"/>
          </w:tcPr>
          <w:p w14:paraId="7BD4069B" w14:textId="3AC141F4" w:rsidR="0045447D" w:rsidRPr="00E145AF" w:rsidRDefault="0045447D" w:rsidP="0045447D">
            <w:pPr>
              <w:keepLines/>
              <w:tabs>
                <w:tab w:val="right" w:pos="1202"/>
              </w:tabs>
              <w:spacing w:after="0" w:line="240" w:lineRule="exact"/>
              <w:outlineLvl w:val="0"/>
              <w:rPr>
                <w:rFonts w:ascii="Calibri" w:eastAsia="Calibri" w:hAnsi="Calibri" w:cs="Arial"/>
                <w:sz w:val="18"/>
                <w:szCs w:val="18"/>
                <w:lang w:val="en-US"/>
              </w:rPr>
            </w:pPr>
            <w:bookmarkStart w:id="174" w:name="_Toc4057466"/>
            <w:r w:rsidRPr="009E0B26">
              <w:rPr>
                <w:rFonts w:ascii="Calibri" w:eastAsia="Calibri" w:hAnsi="Calibri" w:cs="Arial"/>
                <w:sz w:val="18"/>
                <w:szCs w:val="18"/>
                <w:lang w:val="en-US"/>
              </w:rPr>
              <w:t xml:space="preserve">Net </w:t>
            </w:r>
            <w:r w:rsidRPr="00A1123E">
              <w:rPr>
                <w:rFonts w:ascii="Calibri" w:eastAsia="Calibri" w:hAnsi="Calibri" w:cs="Arial"/>
                <w:sz w:val="18"/>
                <w:szCs w:val="18"/>
                <w:lang w:val="en-US"/>
              </w:rPr>
              <w:t>(increase)</w:t>
            </w:r>
            <w:r w:rsidRPr="009E0B26">
              <w:rPr>
                <w:rFonts w:ascii="Calibri" w:eastAsia="Calibri" w:hAnsi="Calibri" w:cs="Arial"/>
                <w:sz w:val="18"/>
                <w:szCs w:val="18"/>
                <w:lang w:val="en-US"/>
              </w:rPr>
              <w:t xml:space="preserve"> </w:t>
            </w:r>
            <w:r w:rsidRPr="00E145AF">
              <w:rPr>
                <w:rFonts w:ascii="Calibri" w:eastAsia="Calibri" w:hAnsi="Calibri" w:cs="Arial"/>
                <w:sz w:val="18"/>
                <w:szCs w:val="18"/>
                <w:lang w:val="en-US"/>
              </w:rPr>
              <w:t>in deposits with other banks, before impairment</w:t>
            </w:r>
            <w:bookmarkEnd w:id="174"/>
          </w:p>
        </w:tc>
        <w:tc>
          <w:tcPr>
            <w:tcW w:w="672" w:type="pct"/>
            <w:tcBorders>
              <w:top w:val="nil"/>
              <w:left w:val="nil"/>
              <w:bottom w:val="nil"/>
              <w:right w:val="nil"/>
            </w:tcBorders>
            <w:shd w:val="clear" w:color="auto" w:fill="auto"/>
            <w:vAlign w:val="bottom"/>
          </w:tcPr>
          <w:p w14:paraId="100E5ED9" w14:textId="65DA947D" w:rsidR="0045447D" w:rsidRPr="00537128" w:rsidRDefault="0045447D" w:rsidP="0045447D">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pacing w:val="-3"/>
                <w:sz w:val="18"/>
                <w:szCs w:val="18"/>
              </w:rPr>
              <w:t>(7</w:t>
            </w:r>
            <w:r w:rsidR="006773EF">
              <w:rPr>
                <w:rFonts w:cstheme="minorHAnsi"/>
                <w:color w:val="000000" w:themeColor="text1"/>
                <w:spacing w:val="-3"/>
                <w:sz w:val="18"/>
                <w:szCs w:val="18"/>
              </w:rPr>
              <w:t>,</w:t>
            </w:r>
            <w:r>
              <w:rPr>
                <w:rFonts w:cstheme="minorHAnsi"/>
                <w:color w:val="000000" w:themeColor="text1"/>
                <w:spacing w:val="-3"/>
                <w:sz w:val="18"/>
                <w:szCs w:val="18"/>
              </w:rPr>
              <w:t>714)</w:t>
            </w:r>
          </w:p>
        </w:tc>
        <w:tc>
          <w:tcPr>
            <w:tcW w:w="671" w:type="pct"/>
            <w:tcBorders>
              <w:top w:val="nil"/>
              <w:left w:val="nil"/>
              <w:bottom w:val="nil"/>
              <w:right w:val="nil"/>
            </w:tcBorders>
            <w:shd w:val="clear" w:color="auto" w:fill="FFFFFF"/>
            <w:vAlign w:val="bottom"/>
          </w:tcPr>
          <w:p w14:paraId="12596C19" w14:textId="51C49764" w:rsidR="0045447D" w:rsidRPr="00537128" w:rsidRDefault="0045447D" w:rsidP="0045447D">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3"/>
                <w:sz w:val="18"/>
                <w:szCs w:val="18"/>
              </w:rPr>
              <w:t>(28,881)</w:t>
            </w:r>
          </w:p>
        </w:tc>
      </w:tr>
      <w:tr w:rsidR="0045447D" w:rsidRPr="00537128" w14:paraId="2D8C5EEE" w14:textId="77777777" w:rsidTr="00CE00C1">
        <w:trPr>
          <w:trHeight w:hRule="exact" w:val="227"/>
        </w:trPr>
        <w:tc>
          <w:tcPr>
            <w:tcW w:w="3657" w:type="pct"/>
            <w:vAlign w:val="bottom"/>
          </w:tcPr>
          <w:p w14:paraId="632D07C8" w14:textId="77777777" w:rsidR="0045447D" w:rsidRPr="00E145AF" w:rsidRDefault="0045447D" w:rsidP="0045447D">
            <w:pPr>
              <w:keepLines/>
              <w:tabs>
                <w:tab w:val="right" w:pos="1202"/>
              </w:tabs>
              <w:spacing w:after="0" w:line="240" w:lineRule="exact"/>
              <w:outlineLvl w:val="0"/>
              <w:rPr>
                <w:rFonts w:ascii="Calibri" w:eastAsia="Calibri" w:hAnsi="Calibri" w:cs="Arial"/>
                <w:sz w:val="18"/>
                <w:szCs w:val="18"/>
                <w:lang w:val="en-US"/>
              </w:rPr>
            </w:pPr>
            <w:bookmarkStart w:id="175" w:name="_Toc4057469"/>
            <w:r w:rsidRPr="009E0B26">
              <w:rPr>
                <w:rFonts w:ascii="Calibri" w:eastAsia="Calibri" w:hAnsi="Calibri" w:cs="Arial"/>
                <w:sz w:val="18"/>
                <w:szCs w:val="18"/>
                <w:lang w:val="en-US"/>
              </w:rPr>
              <w:t xml:space="preserve">Net </w:t>
            </w:r>
            <w:r w:rsidRPr="00A1123E">
              <w:rPr>
                <w:rFonts w:ascii="Calibri" w:eastAsia="Calibri" w:hAnsi="Calibri" w:cs="Arial"/>
                <w:sz w:val="18"/>
                <w:szCs w:val="18"/>
                <w:lang w:val="en-US"/>
              </w:rPr>
              <w:t>decrease</w:t>
            </w:r>
            <w:r w:rsidRPr="009E0B26">
              <w:rPr>
                <w:rFonts w:ascii="Calibri" w:eastAsia="Calibri" w:hAnsi="Calibri" w:cs="Arial"/>
                <w:sz w:val="18"/>
                <w:szCs w:val="18"/>
                <w:lang w:val="en-US"/>
              </w:rPr>
              <w:t xml:space="preserve"> in loans to financial institutions, before impairment</w:t>
            </w:r>
            <w:bookmarkEnd w:id="175"/>
          </w:p>
        </w:tc>
        <w:tc>
          <w:tcPr>
            <w:tcW w:w="672" w:type="pct"/>
            <w:tcBorders>
              <w:top w:val="nil"/>
              <w:left w:val="nil"/>
              <w:bottom w:val="nil"/>
              <w:right w:val="nil"/>
            </w:tcBorders>
            <w:shd w:val="clear" w:color="auto" w:fill="auto"/>
            <w:vAlign w:val="bottom"/>
          </w:tcPr>
          <w:p w14:paraId="51907074" w14:textId="69C65B76" w:rsidR="0045447D" w:rsidRPr="00537128" w:rsidRDefault="0045447D" w:rsidP="0045447D">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pacing w:val="-3"/>
                <w:sz w:val="18"/>
                <w:szCs w:val="18"/>
              </w:rPr>
              <w:t>109</w:t>
            </w:r>
            <w:r w:rsidR="006773EF">
              <w:rPr>
                <w:rFonts w:cstheme="minorHAnsi"/>
                <w:color w:val="000000" w:themeColor="text1"/>
                <w:spacing w:val="-3"/>
                <w:sz w:val="18"/>
                <w:szCs w:val="18"/>
              </w:rPr>
              <w:t>,</w:t>
            </w:r>
            <w:r>
              <w:rPr>
                <w:rFonts w:cstheme="minorHAnsi"/>
                <w:color w:val="000000" w:themeColor="text1"/>
                <w:spacing w:val="-3"/>
                <w:sz w:val="18"/>
                <w:szCs w:val="18"/>
              </w:rPr>
              <w:t>691</w:t>
            </w:r>
          </w:p>
        </w:tc>
        <w:tc>
          <w:tcPr>
            <w:tcW w:w="671" w:type="pct"/>
            <w:tcBorders>
              <w:top w:val="nil"/>
              <w:left w:val="nil"/>
              <w:bottom w:val="nil"/>
              <w:right w:val="nil"/>
            </w:tcBorders>
            <w:shd w:val="clear" w:color="auto" w:fill="FFFFFF"/>
            <w:vAlign w:val="bottom"/>
          </w:tcPr>
          <w:p w14:paraId="2D36E217" w14:textId="19758602" w:rsidR="0045447D" w:rsidRPr="00537128" w:rsidRDefault="0045447D" w:rsidP="0045447D">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3"/>
                <w:sz w:val="18"/>
                <w:szCs w:val="18"/>
              </w:rPr>
              <w:t>350,588</w:t>
            </w:r>
          </w:p>
        </w:tc>
      </w:tr>
      <w:tr w:rsidR="0045447D" w:rsidRPr="00537128" w14:paraId="596040B9" w14:textId="77777777" w:rsidTr="00CE00C1">
        <w:trPr>
          <w:trHeight w:hRule="exact" w:val="227"/>
        </w:trPr>
        <w:tc>
          <w:tcPr>
            <w:tcW w:w="3657" w:type="pct"/>
            <w:vAlign w:val="bottom"/>
          </w:tcPr>
          <w:p w14:paraId="7D228A61" w14:textId="1FC03F92" w:rsidR="0045447D" w:rsidRPr="00E145AF" w:rsidRDefault="0045447D" w:rsidP="0045447D">
            <w:pPr>
              <w:keepLines/>
              <w:tabs>
                <w:tab w:val="right" w:pos="1202"/>
              </w:tabs>
              <w:spacing w:after="0" w:line="240" w:lineRule="exact"/>
              <w:outlineLvl w:val="0"/>
              <w:rPr>
                <w:rFonts w:ascii="Calibri" w:eastAsia="Calibri" w:hAnsi="Calibri" w:cs="Arial"/>
                <w:sz w:val="18"/>
                <w:szCs w:val="18"/>
                <w:lang w:val="en-US"/>
              </w:rPr>
            </w:pPr>
            <w:bookmarkStart w:id="176" w:name="_Toc4057472"/>
            <w:r w:rsidRPr="009E0B26">
              <w:rPr>
                <w:rFonts w:ascii="Calibri" w:eastAsia="Calibri" w:hAnsi="Calibri" w:cs="Arial"/>
                <w:sz w:val="18"/>
                <w:szCs w:val="18"/>
                <w:lang w:val="en-US"/>
              </w:rPr>
              <w:t>Net</w:t>
            </w:r>
            <w:r>
              <w:rPr>
                <w:rFonts w:ascii="Calibri" w:eastAsia="Calibri" w:hAnsi="Calibri" w:cs="Arial"/>
                <w:sz w:val="18"/>
                <w:szCs w:val="18"/>
                <w:lang w:val="en-US"/>
              </w:rPr>
              <w:t xml:space="preserve"> decrease/(</w:t>
            </w:r>
            <w:r w:rsidRPr="00A1123E">
              <w:rPr>
                <w:rFonts w:ascii="Calibri" w:eastAsia="Calibri" w:hAnsi="Calibri" w:cs="Arial"/>
                <w:sz w:val="18"/>
                <w:szCs w:val="18"/>
                <w:lang w:val="en-US"/>
              </w:rPr>
              <w:t>increase</w:t>
            </w:r>
            <w:r>
              <w:rPr>
                <w:rFonts w:ascii="Calibri" w:eastAsia="Calibri" w:hAnsi="Calibri" w:cs="Arial"/>
                <w:sz w:val="18"/>
                <w:szCs w:val="18"/>
                <w:lang w:val="en-US"/>
              </w:rPr>
              <w:t>)</w:t>
            </w:r>
            <w:r w:rsidRPr="009E0B26">
              <w:rPr>
                <w:rFonts w:ascii="Calibri" w:eastAsia="Calibri" w:hAnsi="Calibri" w:cs="Arial"/>
                <w:sz w:val="18"/>
                <w:szCs w:val="18"/>
                <w:lang w:val="en-US"/>
              </w:rPr>
              <w:t xml:space="preserve"> in loans to other customers, before impairment</w:t>
            </w:r>
            <w:bookmarkEnd w:id="176"/>
            <w:r w:rsidRPr="009E0B26">
              <w:rPr>
                <w:rFonts w:ascii="Calibri" w:eastAsia="Calibri" w:hAnsi="Calibri" w:cs="Arial"/>
                <w:sz w:val="18"/>
                <w:szCs w:val="18"/>
                <w:lang w:val="en-US"/>
              </w:rPr>
              <w:t xml:space="preserve"> </w:t>
            </w:r>
          </w:p>
        </w:tc>
        <w:tc>
          <w:tcPr>
            <w:tcW w:w="672" w:type="pct"/>
            <w:tcBorders>
              <w:top w:val="nil"/>
              <w:left w:val="nil"/>
              <w:bottom w:val="nil"/>
              <w:right w:val="nil"/>
            </w:tcBorders>
            <w:shd w:val="clear" w:color="auto" w:fill="auto"/>
            <w:vAlign w:val="bottom"/>
          </w:tcPr>
          <w:p w14:paraId="312394BD" w14:textId="65CDEDB3" w:rsidR="0045447D" w:rsidRPr="00537128" w:rsidRDefault="0045447D" w:rsidP="0045447D">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294</w:t>
            </w:r>
            <w:r w:rsidR="006773EF">
              <w:rPr>
                <w:rFonts w:cstheme="minorHAnsi"/>
                <w:color w:val="000000" w:themeColor="text1"/>
                <w:sz w:val="18"/>
                <w:szCs w:val="18"/>
              </w:rPr>
              <w:t>,</w:t>
            </w:r>
            <w:r>
              <w:rPr>
                <w:rFonts w:cstheme="minorHAnsi"/>
                <w:color w:val="000000" w:themeColor="text1"/>
                <w:sz w:val="18"/>
                <w:szCs w:val="18"/>
              </w:rPr>
              <w:t>866</w:t>
            </w:r>
          </w:p>
        </w:tc>
        <w:tc>
          <w:tcPr>
            <w:tcW w:w="671" w:type="pct"/>
            <w:tcBorders>
              <w:top w:val="nil"/>
              <w:left w:val="nil"/>
              <w:bottom w:val="nil"/>
              <w:right w:val="nil"/>
            </w:tcBorders>
            <w:shd w:val="clear" w:color="auto" w:fill="FFFFFF"/>
            <w:vAlign w:val="bottom"/>
          </w:tcPr>
          <w:p w14:paraId="3D0DE6E9" w14:textId="17389B9E" w:rsidR="0045447D" w:rsidRPr="00537128" w:rsidRDefault="0045447D" w:rsidP="0045447D">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z w:val="18"/>
                <w:szCs w:val="18"/>
              </w:rPr>
              <w:t>(451,503)</w:t>
            </w:r>
          </w:p>
        </w:tc>
      </w:tr>
      <w:tr w:rsidR="0045447D" w:rsidRPr="00537128" w14:paraId="12F35DB2" w14:textId="77777777" w:rsidTr="00A93BE4">
        <w:trPr>
          <w:trHeight w:hRule="exact" w:val="227"/>
        </w:trPr>
        <w:tc>
          <w:tcPr>
            <w:tcW w:w="3657" w:type="pct"/>
            <w:vAlign w:val="bottom"/>
          </w:tcPr>
          <w:p w14:paraId="5DBA50D8" w14:textId="424DBE07" w:rsidR="0045447D" w:rsidRPr="00E145AF" w:rsidRDefault="0045447D" w:rsidP="0045447D">
            <w:pPr>
              <w:keepLines/>
              <w:tabs>
                <w:tab w:val="right" w:pos="1202"/>
              </w:tabs>
              <w:spacing w:after="0" w:line="240" w:lineRule="exact"/>
              <w:outlineLvl w:val="0"/>
              <w:rPr>
                <w:rFonts w:ascii="Calibri" w:eastAsia="Calibri" w:hAnsi="Calibri" w:cs="Arial"/>
                <w:sz w:val="18"/>
                <w:szCs w:val="18"/>
                <w:lang w:val="en-US"/>
              </w:rPr>
            </w:pPr>
            <w:bookmarkStart w:id="177" w:name="_Toc4057478"/>
            <w:r w:rsidRPr="009E0B26">
              <w:rPr>
                <w:rFonts w:ascii="Calibri" w:eastAsia="Calibri" w:hAnsi="Calibri" w:cs="Arial"/>
                <w:sz w:val="18"/>
                <w:szCs w:val="18"/>
                <w:lang w:val="en-US"/>
              </w:rPr>
              <w:t>Net</w:t>
            </w:r>
            <w:r w:rsidRPr="00E145AF">
              <w:rPr>
                <w:rFonts w:ascii="Times New Roman" w:eastAsia="Times New Roman" w:hAnsi="Times New Roman" w:cs="Times New Roman"/>
                <w:sz w:val="18"/>
                <w:szCs w:val="18"/>
                <w:lang w:val="en-US"/>
              </w:rPr>
              <w:t xml:space="preserve"> </w:t>
            </w:r>
            <w:r w:rsidRPr="00A1123E">
              <w:rPr>
                <w:rFonts w:ascii="Calibri" w:eastAsia="Calibri" w:hAnsi="Calibri" w:cs="Arial"/>
                <w:sz w:val="18"/>
                <w:szCs w:val="18"/>
                <w:lang w:val="en-US"/>
              </w:rPr>
              <w:t>(increase)</w:t>
            </w:r>
            <w:r w:rsidRPr="009E0B26">
              <w:rPr>
                <w:rFonts w:ascii="Calibri" w:eastAsia="Calibri" w:hAnsi="Calibri" w:cs="Arial"/>
                <w:sz w:val="18"/>
                <w:szCs w:val="18"/>
                <w:lang w:val="en-US"/>
              </w:rPr>
              <w:t xml:space="preserve"> in </w:t>
            </w:r>
            <w:bookmarkEnd w:id="177"/>
            <w:r w:rsidRPr="009E0B26">
              <w:rPr>
                <w:rFonts w:ascii="Calibri" w:eastAsia="Calibri" w:hAnsi="Calibri" w:cs="Arial"/>
                <w:sz w:val="18"/>
                <w:szCs w:val="18"/>
                <w:lang w:val="en-US"/>
              </w:rPr>
              <w:t>foreclosed assets</w:t>
            </w:r>
          </w:p>
        </w:tc>
        <w:tc>
          <w:tcPr>
            <w:tcW w:w="672" w:type="pct"/>
            <w:tcBorders>
              <w:right w:val="nil"/>
            </w:tcBorders>
            <w:vAlign w:val="bottom"/>
          </w:tcPr>
          <w:p w14:paraId="4FBC5BA3" w14:textId="2AE66C59" w:rsidR="0045447D" w:rsidRPr="00537128" w:rsidRDefault="0045447D" w:rsidP="0045447D">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(3</w:t>
            </w:r>
            <w:r w:rsidR="006773EF">
              <w:rPr>
                <w:rFonts w:cstheme="minorHAnsi"/>
                <w:color w:val="000000" w:themeColor="text1"/>
                <w:sz w:val="18"/>
                <w:szCs w:val="18"/>
              </w:rPr>
              <w:t>,</w:t>
            </w:r>
            <w:r>
              <w:rPr>
                <w:rFonts w:cstheme="minorHAnsi"/>
                <w:color w:val="000000" w:themeColor="text1"/>
                <w:sz w:val="18"/>
                <w:szCs w:val="18"/>
              </w:rPr>
              <w:t>627)</w:t>
            </w:r>
          </w:p>
        </w:tc>
        <w:tc>
          <w:tcPr>
            <w:tcW w:w="671" w:type="pct"/>
            <w:tcBorders>
              <w:top w:val="nil"/>
              <w:left w:val="nil"/>
              <w:bottom w:val="nil"/>
              <w:right w:val="nil"/>
            </w:tcBorders>
            <w:shd w:val="clear" w:color="auto" w:fill="FFFFFF"/>
            <w:vAlign w:val="bottom"/>
          </w:tcPr>
          <w:p w14:paraId="08146F02" w14:textId="174CDF70" w:rsidR="0045447D" w:rsidRPr="00537128" w:rsidRDefault="0045447D" w:rsidP="0045447D">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z w:val="18"/>
                <w:szCs w:val="18"/>
              </w:rPr>
              <w:t>(14)</w:t>
            </w:r>
          </w:p>
        </w:tc>
      </w:tr>
      <w:tr w:rsidR="0045447D" w:rsidRPr="00537128" w14:paraId="7FEAEFCF" w14:textId="77777777" w:rsidTr="00A93BE4">
        <w:trPr>
          <w:trHeight w:hRule="exact" w:val="227"/>
        </w:trPr>
        <w:tc>
          <w:tcPr>
            <w:tcW w:w="3657" w:type="pct"/>
            <w:vAlign w:val="bottom"/>
          </w:tcPr>
          <w:p w14:paraId="1D5E3176" w14:textId="23BA49F6" w:rsidR="0045447D" w:rsidRPr="00E145AF" w:rsidRDefault="0045447D" w:rsidP="0045447D">
            <w:pPr>
              <w:keepLines/>
              <w:tabs>
                <w:tab w:val="right" w:pos="1202"/>
              </w:tabs>
              <w:spacing w:after="0" w:line="240" w:lineRule="exact"/>
              <w:outlineLvl w:val="0"/>
              <w:rPr>
                <w:rFonts w:ascii="Calibri" w:eastAsia="Calibri" w:hAnsi="Calibri" w:cs="Arial"/>
                <w:sz w:val="18"/>
                <w:szCs w:val="18"/>
                <w:lang w:val="en-US"/>
              </w:rPr>
            </w:pPr>
            <w:bookmarkStart w:id="178" w:name="_Toc4057481"/>
            <w:r w:rsidRPr="009E0B26">
              <w:rPr>
                <w:rFonts w:ascii="Calibri" w:eastAsia="Calibri" w:hAnsi="Calibri" w:cs="Arial"/>
                <w:sz w:val="18"/>
                <w:szCs w:val="18"/>
                <w:lang w:val="en-US"/>
              </w:rPr>
              <w:t xml:space="preserve">Net </w:t>
            </w:r>
            <w:r w:rsidRPr="00E145AF">
              <w:rPr>
                <w:rFonts w:ascii="Calibri" w:eastAsia="Calibri" w:hAnsi="Calibri" w:cs="Arial"/>
                <w:sz w:val="18"/>
                <w:szCs w:val="18"/>
                <w:lang w:val="en-US"/>
              </w:rPr>
              <w:t>(</w:t>
            </w:r>
            <w:r w:rsidRPr="00A1123E">
              <w:rPr>
                <w:rFonts w:ascii="Calibri" w:eastAsia="Calibri" w:hAnsi="Calibri" w:cs="Arial"/>
                <w:sz w:val="18"/>
                <w:szCs w:val="18"/>
                <w:lang w:val="en-US"/>
              </w:rPr>
              <w:t>increase</w:t>
            </w:r>
            <w:r w:rsidRPr="009E0B26">
              <w:rPr>
                <w:rFonts w:ascii="Calibri" w:eastAsia="Calibri" w:hAnsi="Calibri" w:cs="Arial"/>
                <w:sz w:val="18"/>
                <w:szCs w:val="18"/>
                <w:lang w:val="en-US"/>
              </w:rPr>
              <w:t>)</w:t>
            </w:r>
            <w:r w:rsidRPr="00E145AF">
              <w:rPr>
                <w:rFonts w:ascii="Calibri" w:eastAsia="Calibri" w:hAnsi="Calibri" w:cs="Arial"/>
                <w:sz w:val="18"/>
                <w:szCs w:val="18"/>
                <w:lang w:val="en-US"/>
              </w:rPr>
              <w:t xml:space="preserve"> in other assets, before impairment</w:t>
            </w:r>
            <w:bookmarkEnd w:id="178"/>
            <w:r w:rsidRPr="00E145AF">
              <w:rPr>
                <w:rFonts w:ascii="Calibri" w:eastAsia="Calibri" w:hAnsi="Calibri" w:cs="Arial"/>
                <w:sz w:val="18"/>
                <w:szCs w:val="18"/>
                <w:lang w:val="en-US"/>
              </w:rPr>
              <w:t xml:space="preserve"> </w:t>
            </w:r>
          </w:p>
        </w:tc>
        <w:tc>
          <w:tcPr>
            <w:tcW w:w="672" w:type="pct"/>
            <w:vAlign w:val="bottom"/>
          </w:tcPr>
          <w:p w14:paraId="419C2D65" w14:textId="37636566" w:rsidR="0045447D" w:rsidRPr="00537128" w:rsidRDefault="0045447D" w:rsidP="0045447D">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(7</w:t>
            </w:r>
            <w:r w:rsidR="006773EF">
              <w:rPr>
                <w:rFonts w:cstheme="minorHAnsi"/>
                <w:color w:val="000000" w:themeColor="text1"/>
                <w:sz w:val="18"/>
                <w:szCs w:val="18"/>
              </w:rPr>
              <w:t>,</w:t>
            </w:r>
            <w:r>
              <w:rPr>
                <w:rFonts w:cstheme="minorHAnsi"/>
                <w:color w:val="000000" w:themeColor="text1"/>
                <w:sz w:val="18"/>
                <w:szCs w:val="18"/>
              </w:rPr>
              <w:t>095)</w:t>
            </w:r>
          </w:p>
        </w:tc>
        <w:tc>
          <w:tcPr>
            <w:tcW w:w="671" w:type="pct"/>
            <w:tcBorders>
              <w:top w:val="nil"/>
              <w:left w:val="nil"/>
              <w:right w:val="nil"/>
            </w:tcBorders>
            <w:shd w:val="clear" w:color="auto" w:fill="FFFFFF"/>
            <w:vAlign w:val="bottom"/>
          </w:tcPr>
          <w:p w14:paraId="1F865801" w14:textId="4559DB76" w:rsidR="0045447D" w:rsidRPr="00537128" w:rsidRDefault="0045447D" w:rsidP="0045447D">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z w:val="18"/>
                <w:szCs w:val="18"/>
              </w:rPr>
              <w:t>(1,998)</w:t>
            </w:r>
          </w:p>
        </w:tc>
      </w:tr>
      <w:tr w:rsidR="0045447D" w:rsidRPr="00537128" w14:paraId="0FB7577B" w14:textId="77777777" w:rsidTr="00A93BE4">
        <w:trPr>
          <w:trHeight w:hRule="exact" w:val="227"/>
        </w:trPr>
        <w:tc>
          <w:tcPr>
            <w:tcW w:w="3657" w:type="pct"/>
            <w:vAlign w:val="bottom"/>
          </w:tcPr>
          <w:p w14:paraId="72FEC30B" w14:textId="3D666761" w:rsidR="0045447D" w:rsidRPr="00E145AF" w:rsidRDefault="0045447D" w:rsidP="0045447D">
            <w:pPr>
              <w:keepLines/>
              <w:tabs>
                <w:tab w:val="right" w:pos="1202"/>
              </w:tabs>
              <w:spacing w:after="0" w:line="240" w:lineRule="exact"/>
              <w:outlineLvl w:val="0"/>
              <w:rPr>
                <w:rFonts w:ascii="Calibri" w:eastAsia="Calibri" w:hAnsi="Calibri" w:cs="Arial"/>
                <w:sz w:val="18"/>
                <w:szCs w:val="18"/>
                <w:lang w:val="en-US"/>
              </w:rPr>
            </w:pPr>
            <w:bookmarkStart w:id="179" w:name="_Toc4057484"/>
            <w:r w:rsidRPr="009E0B26">
              <w:rPr>
                <w:rFonts w:ascii="Calibri" w:eastAsia="Calibri" w:hAnsi="Calibri" w:cs="Arial"/>
                <w:sz w:val="18"/>
                <w:szCs w:val="18"/>
                <w:lang w:val="en-US"/>
              </w:rPr>
              <w:t xml:space="preserve">Net </w:t>
            </w:r>
            <w:r>
              <w:rPr>
                <w:rFonts w:ascii="Calibri" w:eastAsia="Calibri" w:hAnsi="Calibri" w:cs="Arial"/>
                <w:sz w:val="18"/>
                <w:szCs w:val="18"/>
                <w:lang w:val="en-US"/>
              </w:rPr>
              <w:t>(decrease)/</w:t>
            </w:r>
            <w:r w:rsidRPr="00A1123E">
              <w:rPr>
                <w:rFonts w:ascii="Calibri" w:eastAsia="Calibri" w:hAnsi="Calibri" w:cs="Arial"/>
                <w:sz w:val="18"/>
                <w:szCs w:val="18"/>
                <w:lang w:val="en-US"/>
              </w:rPr>
              <w:t>increase</w:t>
            </w:r>
            <w:r w:rsidRPr="009E0B26">
              <w:rPr>
                <w:rFonts w:ascii="Calibri" w:eastAsia="Calibri" w:hAnsi="Calibri" w:cs="Arial"/>
                <w:sz w:val="18"/>
                <w:szCs w:val="18"/>
                <w:lang w:val="en-US"/>
              </w:rPr>
              <w:t xml:space="preserve"> in deposits from banks and companies</w:t>
            </w:r>
            <w:bookmarkEnd w:id="179"/>
            <w:r w:rsidRPr="009E0B26">
              <w:rPr>
                <w:rFonts w:ascii="Calibri" w:eastAsia="Calibri" w:hAnsi="Calibri" w:cs="Arial"/>
                <w:sz w:val="18"/>
                <w:szCs w:val="18"/>
                <w:lang w:val="en-US"/>
              </w:rPr>
              <w:t xml:space="preserve"> </w:t>
            </w:r>
          </w:p>
        </w:tc>
        <w:tc>
          <w:tcPr>
            <w:tcW w:w="672" w:type="pct"/>
            <w:vAlign w:val="bottom"/>
          </w:tcPr>
          <w:p w14:paraId="328D7E19" w14:textId="59C158DD" w:rsidR="0045447D" w:rsidRPr="00537128" w:rsidRDefault="0045447D" w:rsidP="0045447D">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(353</w:t>
            </w:r>
            <w:r w:rsidR="006773EF">
              <w:rPr>
                <w:rFonts w:cstheme="minorHAnsi"/>
                <w:color w:val="000000" w:themeColor="text1"/>
                <w:sz w:val="18"/>
                <w:szCs w:val="18"/>
              </w:rPr>
              <w:t>,</w:t>
            </w:r>
            <w:r>
              <w:rPr>
                <w:rFonts w:cstheme="minorHAnsi"/>
                <w:color w:val="000000" w:themeColor="text1"/>
                <w:sz w:val="18"/>
                <w:szCs w:val="18"/>
              </w:rPr>
              <w:t>004)</w:t>
            </w:r>
          </w:p>
        </w:tc>
        <w:tc>
          <w:tcPr>
            <w:tcW w:w="671" w:type="pct"/>
            <w:tcBorders>
              <w:top w:val="nil"/>
              <w:left w:val="nil"/>
              <w:bottom w:val="nil"/>
              <w:right w:val="nil"/>
            </w:tcBorders>
            <w:shd w:val="clear" w:color="000000" w:fill="FFFFFF"/>
            <w:vAlign w:val="bottom"/>
          </w:tcPr>
          <w:p w14:paraId="792B5DB8" w14:textId="2AEAE09A" w:rsidR="0045447D" w:rsidRPr="00537128" w:rsidRDefault="0045447D" w:rsidP="0045447D">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z w:val="18"/>
                <w:szCs w:val="18"/>
              </w:rPr>
              <w:t>869,530</w:t>
            </w:r>
          </w:p>
        </w:tc>
      </w:tr>
      <w:tr w:rsidR="0045447D" w:rsidRPr="00537128" w14:paraId="54D49764" w14:textId="77777777" w:rsidTr="00A93BE4">
        <w:trPr>
          <w:trHeight w:hRule="exact" w:val="227"/>
        </w:trPr>
        <w:tc>
          <w:tcPr>
            <w:tcW w:w="3657" w:type="pct"/>
            <w:vAlign w:val="bottom"/>
          </w:tcPr>
          <w:p w14:paraId="07A3B213" w14:textId="589A5662" w:rsidR="0045447D" w:rsidRPr="00E145AF" w:rsidRDefault="0045447D" w:rsidP="0045447D">
            <w:pPr>
              <w:keepLines/>
              <w:tabs>
                <w:tab w:val="right" w:pos="1202"/>
              </w:tabs>
              <w:spacing w:after="0" w:line="240" w:lineRule="exact"/>
              <w:outlineLvl w:val="0"/>
              <w:rPr>
                <w:rFonts w:ascii="Calibri" w:eastAsia="Calibri" w:hAnsi="Calibri" w:cs="Arial"/>
                <w:spacing w:val="-2"/>
                <w:sz w:val="18"/>
                <w:szCs w:val="18"/>
                <w:lang w:val="en-US"/>
              </w:rPr>
            </w:pPr>
            <w:bookmarkStart w:id="180" w:name="_Toc4057487"/>
            <w:r w:rsidRPr="009E0B26">
              <w:rPr>
                <w:rFonts w:ascii="Calibri" w:eastAsia="Calibri" w:hAnsi="Calibri" w:cs="Arial"/>
                <w:spacing w:val="-2"/>
                <w:sz w:val="18"/>
                <w:szCs w:val="18"/>
                <w:lang w:val="en-US"/>
              </w:rPr>
              <w:t>Net</w:t>
            </w:r>
            <w:r w:rsidRPr="00A1123E">
              <w:rPr>
                <w:rFonts w:ascii="Calibri" w:eastAsia="Calibri" w:hAnsi="Calibri" w:cs="Arial"/>
                <w:spacing w:val="-2"/>
                <w:sz w:val="18"/>
                <w:szCs w:val="18"/>
                <w:lang w:val="en-US"/>
              </w:rPr>
              <w:t xml:space="preserve"> (decrease)</w:t>
            </w:r>
            <w:r w:rsidRPr="009E0B26">
              <w:rPr>
                <w:rFonts w:ascii="Calibri" w:eastAsia="Calibri" w:hAnsi="Calibri" w:cs="Arial"/>
                <w:spacing w:val="-2"/>
                <w:sz w:val="18"/>
                <w:szCs w:val="18"/>
                <w:lang w:val="en-US"/>
              </w:rPr>
              <w:t xml:space="preserve"> in other liabilities, before provisions</w:t>
            </w:r>
            <w:bookmarkEnd w:id="180"/>
            <w:r w:rsidRPr="009E0B26">
              <w:rPr>
                <w:rFonts w:ascii="Calibri" w:eastAsia="Calibri" w:hAnsi="Calibri" w:cs="Arial"/>
                <w:spacing w:val="-2"/>
                <w:sz w:val="18"/>
                <w:szCs w:val="18"/>
                <w:lang w:val="en-US"/>
              </w:rPr>
              <w:t xml:space="preserve"> </w:t>
            </w:r>
          </w:p>
        </w:tc>
        <w:tc>
          <w:tcPr>
            <w:tcW w:w="672" w:type="pct"/>
            <w:tcBorders>
              <w:bottom w:val="single" w:sz="4" w:space="0" w:color="auto"/>
            </w:tcBorders>
            <w:vAlign w:val="bottom"/>
          </w:tcPr>
          <w:p w14:paraId="2DF332B5" w14:textId="2EF5AF4B" w:rsidR="0045447D" w:rsidRPr="00537128" w:rsidRDefault="0045447D" w:rsidP="0045447D">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(46</w:t>
            </w:r>
            <w:r w:rsidR="006773EF">
              <w:rPr>
                <w:rFonts w:cstheme="minorHAnsi"/>
                <w:color w:val="000000" w:themeColor="text1"/>
                <w:sz w:val="18"/>
                <w:szCs w:val="18"/>
              </w:rPr>
              <w:t>,</w:t>
            </w:r>
            <w:r>
              <w:rPr>
                <w:rFonts w:cstheme="minorHAnsi"/>
                <w:color w:val="000000" w:themeColor="text1"/>
                <w:sz w:val="18"/>
                <w:szCs w:val="18"/>
              </w:rPr>
              <w:t>868)</w:t>
            </w:r>
          </w:p>
        </w:tc>
        <w:tc>
          <w:tcPr>
            <w:tcW w:w="671" w:type="pct"/>
            <w:tcBorders>
              <w:top w:val="nil"/>
              <w:left w:val="nil"/>
              <w:bottom w:val="nil"/>
              <w:right w:val="nil"/>
            </w:tcBorders>
            <w:shd w:val="clear" w:color="000000" w:fill="FFFFFF"/>
            <w:vAlign w:val="bottom"/>
          </w:tcPr>
          <w:p w14:paraId="65ED1F3F" w14:textId="04BA3A82" w:rsidR="0045447D" w:rsidRPr="00537128" w:rsidRDefault="0045447D" w:rsidP="0045447D">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z w:val="18"/>
                <w:szCs w:val="18"/>
              </w:rPr>
              <w:t>(18,545)</w:t>
            </w:r>
          </w:p>
        </w:tc>
      </w:tr>
      <w:tr w:rsidR="0045447D" w:rsidRPr="00537128" w14:paraId="42341FE4" w14:textId="77777777" w:rsidTr="00A93BE4">
        <w:trPr>
          <w:trHeight w:hRule="exact" w:val="284"/>
        </w:trPr>
        <w:tc>
          <w:tcPr>
            <w:tcW w:w="3657" w:type="pct"/>
            <w:vAlign w:val="bottom"/>
          </w:tcPr>
          <w:p w14:paraId="7AC0B98E" w14:textId="0E87B8E9" w:rsidR="0045447D" w:rsidRPr="00E145AF" w:rsidRDefault="0045447D" w:rsidP="0045447D">
            <w:pPr>
              <w:keepLines/>
              <w:tabs>
                <w:tab w:val="right" w:pos="1202"/>
              </w:tabs>
              <w:spacing w:after="0" w:line="240" w:lineRule="exact"/>
              <w:outlineLvl w:val="0"/>
              <w:rPr>
                <w:rFonts w:ascii="Calibri" w:eastAsia="Calibri" w:hAnsi="Calibri" w:cs="Arial"/>
                <w:b/>
                <w:bCs/>
                <w:spacing w:val="-3"/>
                <w:sz w:val="18"/>
                <w:szCs w:val="18"/>
                <w:lang w:val="en-US"/>
              </w:rPr>
            </w:pPr>
            <w:bookmarkStart w:id="181" w:name="_Toc4057490"/>
            <w:r w:rsidRPr="009E0B26">
              <w:rPr>
                <w:rFonts w:ascii="Calibri" w:eastAsia="Calibri" w:hAnsi="Calibri" w:cs="Arial"/>
                <w:b/>
                <w:bCs/>
                <w:sz w:val="18"/>
                <w:szCs w:val="18"/>
                <w:lang w:val="en-US"/>
              </w:rPr>
              <w:t>Net cash</w:t>
            </w:r>
            <w:r w:rsidRPr="00E145AF">
              <w:rPr>
                <w:rFonts w:ascii="Calibri" w:eastAsia="Calibri" w:hAnsi="Calibri" w:cs="Arial"/>
                <w:b/>
                <w:bCs/>
                <w:sz w:val="24"/>
                <w:szCs w:val="24"/>
                <w:lang w:val="en-US"/>
              </w:rPr>
              <w:t xml:space="preserve"> </w:t>
            </w:r>
            <w:r w:rsidRPr="00A1123E">
              <w:rPr>
                <w:rFonts w:ascii="Calibri" w:eastAsia="Calibri" w:hAnsi="Calibri" w:cs="Arial"/>
                <w:b/>
                <w:bCs/>
                <w:sz w:val="18"/>
                <w:szCs w:val="18"/>
                <w:lang w:val="en-US"/>
              </w:rPr>
              <w:t>provided from</w:t>
            </w:r>
            <w:r w:rsidRPr="00E145AF">
              <w:rPr>
                <w:rFonts w:ascii="Calibri" w:eastAsia="Calibri" w:hAnsi="Calibri" w:cs="Arial"/>
                <w:b/>
                <w:bCs/>
                <w:sz w:val="18"/>
                <w:szCs w:val="18"/>
                <w:lang w:val="en-US"/>
              </w:rPr>
              <w:t xml:space="preserve"> operating activities</w:t>
            </w:r>
            <w:bookmarkEnd w:id="181"/>
            <w:r w:rsidRPr="00E145AF">
              <w:rPr>
                <w:rFonts w:ascii="Calibri" w:eastAsia="Calibri" w:hAnsi="Calibri" w:cs="Arial"/>
                <w:b/>
                <w:bCs/>
                <w:sz w:val="18"/>
                <w:szCs w:val="18"/>
                <w:lang w:val="en-US"/>
              </w:rPr>
              <w:t xml:space="preserve"> </w:t>
            </w:r>
          </w:p>
        </w:tc>
        <w:tc>
          <w:tcPr>
            <w:tcW w:w="672" w:type="pct"/>
            <w:tcBorders>
              <w:top w:val="single" w:sz="4" w:space="0" w:color="auto"/>
              <w:bottom w:val="single" w:sz="12" w:space="0" w:color="auto"/>
            </w:tcBorders>
            <w:vAlign w:val="bottom"/>
          </w:tcPr>
          <w:p w14:paraId="4E9B81CF" w14:textId="58B59B44" w:rsidR="0045447D" w:rsidRPr="00537128" w:rsidRDefault="0045447D" w:rsidP="0045447D">
            <w:pPr>
              <w:spacing w:after="0" w:line="240" w:lineRule="exact"/>
              <w:jc w:val="right"/>
              <w:rPr>
                <w:rFonts w:ascii="Calibri" w:eastAsia="Calibri" w:hAnsi="Calibri" w:cs="Calibri"/>
                <w:b/>
                <w:bCs/>
                <w:spacing w:val="-2"/>
                <w:sz w:val="18"/>
                <w:szCs w:val="18"/>
                <w:lang w:val="en-US"/>
              </w:rPr>
            </w:pPr>
            <w:r>
              <w:rPr>
                <w:rFonts w:cstheme="minorHAnsi"/>
                <w:b/>
                <w:color w:val="000000" w:themeColor="text1"/>
                <w:spacing w:val="-2"/>
                <w:sz w:val="18"/>
                <w:szCs w:val="18"/>
              </w:rPr>
              <w:t>119</w:t>
            </w:r>
            <w:r w:rsidR="006773EF">
              <w:rPr>
                <w:rFonts w:cstheme="minorHAnsi"/>
                <w:b/>
                <w:color w:val="000000" w:themeColor="text1"/>
                <w:spacing w:val="-2"/>
                <w:sz w:val="18"/>
                <w:szCs w:val="18"/>
              </w:rPr>
              <w:t>,</w:t>
            </w:r>
            <w:r>
              <w:rPr>
                <w:rFonts w:cstheme="minorHAnsi"/>
                <w:b/>
                <w:color w:val="000000" w:themeColor="text1"/>
                <w:spacing w:val="-2"/>
                <w:sz w:val="18"/>
                <w:szCs w:val="18"/>
              </w:rPr>
              <w:t>364</w:t>
            </w:r>
          </w:p>
        </w:tc>
        <w:tc>
          <w:tcPr>
            <w:tcW w:w="671" w:type="pct"/>
            <w:tcBorders>
              <w:top w:val="single" w:sz="2" w:space="0" w:color="auto"/>
            </w:tcBorders>
            <w:shd w:val="clear" w:color="auto" w:fill="auto"/>
            <w:vAlign w:val="bottom"/>
          </w:tcPr>
          <w:p w14:paraId="3ECFBA8A" w14:textId="35710E2B" w:rsidR="0045447D" w:rsidRPr="00537128" w:rsidRDefault="0045447D" w:rsidP="0045447D">
            <w:pPr>
              <w:spacing w:after="0" w:line="240" w:lineRule="exact"/>
              <w:jc w:val="right"/>
              <w:rPr>
                <w:rFonts w:ascii="Calibri" w:eastAsia="Calibri" w:hAnsi="Calibri" w:cs="Arial"/>
                <w:b/>
                <w:bCs/>
                <w:spacing w:val="-2"/>
                <w:sz w:val="18"/>
                <w:szCs w:val="18"/>
                <w:lang w:val="en-US"/>
              </w:rPr>
            </w:pPr>
            <w:r>
              <w:rPr>
                <w:rFonts w:cstheme="minorHAnsi"/>
                <w:b/>
                <w:color w:val="000000" w:themeColor="text1"/>
                <w:spacing w:val="-2"/>
                <w:sz w:val="18"/>
                <w:szCs w:val="18"/>
              </w:rPr>
              <w:t>749,427</w:t>
            </w:r>
          </w:p>
        </w:tc>
      </w:tr>
      <w:tr w:rsidR="0045447D" w:rsidRPr="00537128" w14:paraId="42932822" w14:textId="77777777" w:rsidTr="00CE00C1">
        <w:trPr>
          <w:trHeight w:hRule="exact" w:val="82"/>
        </w:trPr>
        <w:tc>
          <w:tcPr>
            <w:tcW w:w="3657" w:type="pct"/>
            <w:vAlign w:val="bottom"/>
          </w:tcPr>
          <w:p w14:paraId="64B84CE9" w14:textId="77777777" w:rsidR="0045447D" w:rsidRPr="00537128" w:rsidRDefault="0045447D" w:rsidP="0045447D">
            <w:pPr>
              <w:keepLines/>
              <w:tabs>
                <w:tab w:val="decimal" w:pos="1202"/>
              </w:tabs>
              <w:spacing w:after="0" w:line="240" w:lineRule="exact"/>
              <w:rPr>
                <w:rFonts w:ascii="Calibri" w:eastAsia="Calibri" w:hAnsi="Calibri" w:cs="Arial"/>
                <w:b/>
                <w:position w:val="4"/>
                <w:sz w:val="18"/>
                <w:szCs w:val="18"/>
                <w:u w:val="thick"/>
                <w:lang w:val="en-US"/>
              </w:rPr>
            </w:pPr>
          </w:p>
        </w:tc>
        <w:tc>
          <w:tcPr>
            <w:tcW w:w="672" w:type="pct"/>
            <w:tcBorders>
              <w:top w:val="single" w:sz="12" w:space="0" w:color="auto"/>
            </w:tcBorders>
            <w:shd w:val="clear" w:color="auto" w:fill="auto"/>
            <w:vAlign w:val="bottom"/>
          </w:tcPr>
          <w:p w14:paraId="0D6B73BE" w14:textId="77777777" w:rsidR="0045447D" w:rsidRPr="00537128" w:rsidRDefault="0045447D" w:rsidP="0045447D">
            <w:pPr>
              <w:keepLines/>
              <w:spacing w:after="0" w:line="240" w:lineRule="exact"/>
              <w:jc w:val="right"/>
              <w:rPr>
                <w:rFonts w:ascii="Calibri" w:eastAsia="Calibri" w:hAnsi="Calibri" w:cs="Arial"/>
                <w:b/>
                <w:position w:val="4"/>
                <w:sz w:val="18"/>
                <w:szCs w:val="18"/>
                <w:u w:val="thick"/>
                <w:lang w:val="en-US"/>
              </w:rPr>
            </w:pPr>
          </w:p>
        </w:tc>
        <w:tc>
          <w:tcPr>
            <w:tcW w:w="671" w:type="pct"/>
            <w:tcBorders>
              <w:top w:val="single" w:sz="12" w:space="0" w:color="auto"/>
            </w:tcBorders>
            <w:shd w:val="clear" w:color="auto" w:fill="auto"/>
            <w:vAlign w:val="bottom"/>
          </w:tcPr>
          <w:p w14:paraId="6E44057B" w14:textId="77777777" w:rsidR="0045447D" w:rsidRPr="00537128" w:rsidRDefault="0045447D" w:rsidP="0045447D">
            <w:pPr>
              <w:keepLines/>
              <w:spacing w:after="0" w:line="240" w:lineRule="exact"/>
              <w:jc w:val="right"/>
              <w:rPr>
                <w:rFonts w:ascii="Calibri" w:eastAsia="Calibri" w:hAnsi="Calibri" w:cs="Arial"/>
                <w:b/>
                <w:position w:val="4"/>
                <w:sz w:val="18"/>
                <w:szCs w:val="18"/>
                <w:u w:val="thick"/>
                <w:lang w:val="en-US"/>
              </w:rPr>
            </w:pPr>
          </w:p>
        </w:tc>
      </w:tr>
      <w:tr w:rsidR="0045447D" w:rsidRPr="00537128" w14:paraId="408DBC75" w14:textId="77777777" w:rsidTr="00CE00C1">
        <w:trPr>
          <w:trHeight w:hRule="exact" w:val="227"/>
        </w:trPr>
        <w:tc>
          <w:tcPr>
            <w:tcW w:w="3657" w:type="pct"/>
            <w:vAlign w:val="bottom"/>
          </w:tcPr>
          <w:p w14:paraId="22778249" w14:textId="77777777" w:rsidR="0045447D" w:rsidRPr="00537128" w:rsidRDefault="0045447D" w:rsidP="0045447D">
            <w:pPr>
              <w:keepLines/>
              <w:tabs>
                <w:tab w:val="right" w:pos="1202"/>
              </w:tabs>
              <w:spacing w:after="0" w:line="240" w:lineRule="exact"/>
              <w:outlineLvl w:val="0"/>
              <w:rPr>
                <w:rFonts w:ascii="Calibri" w:eastAsia="Calibri" w:hAnsi="Calibri" w:cs="Arial"/>
                <w:b/>
                <w:bCs/>
                <w:sz w:val="18"/>
                <w:szCs w:val="18"/>
                <w:lang w:val="en-US"/>
              </w:rPr>
            </w:pPr>
            <w:bookmarkStart w:id="182" w:name="_Toc4057491"/>
            <w:r w:rsidRPr="00537128">
              <w:rPr>
                <w:rFonts w:ascii="Calibri" w:eastAsia="Calibri" w:hAnsi="Calibri" w:cs="Arial"/>
                <w:b/>
                <w:bCs/>
                <w:sz w:val="18"/>
                <w:szCs w:val="18"/>
                <w:lang w:val="en-US"/>
              </w:rPr>
              <w:t>Investment activities</w:t>
            </w:r>
            <w:bookmarkEnd w:id="182"/>
            <w:r w:rsidRPr="00537128">
              <w:rPr>
                <w:rFonts w:ascii="Calibri" w:eastAsia="Calibri" w:hAnsi="Calibri" w:cs="Arial"/>
                <w:b/>
                <w:bCs/>
                <w:sz w:val="18"/>
                <w:szCs w:val="18"/>
                <w:lang w:val="en-US"/>
              </w:rPr>
              <w:t xml:space="preserve"> </w:t>
            </w:r>
          </w:p>
        </w:tc>
        <w:tc>
          <w:tcPr>
            <w:tcW w:w="672" w:type="pct"/>
            <w:shd w:val="clear" w:color="auto" w:fill="auto"/>
            <w:vAlign w:val="bottom"/>
          </w:tcPr>
          <w:p w14:paraId="5DCDED81" w14:textId="77777777" w:rsidR="0045447D" w:rsidRPr="00537128" w:rsidRDefault="0045447D" w:rsidP="0045447D">
            <w:pPr>
              <w:keepLines/>
              <w:tabs>
                <w:tab w:val="right" w:pos="1202"/>
              </w:tabs>
              <w:spacing w:after="0" w:line="240" w:lineRule="exact"/>
              <w:jc w:val="right"/>
              <w:outlineLvl w:val="0"/>
              <w:rPr>
                <w:rFonts w:ascii="Calibri" w:eastAsia="Calibri" w:hAnsi="Calibri" w:cs="Arial"/>
                <w:b/>
                <w:bCs/>
                <w:sz w:val="18"/>
                <w:szCs w:val="18"/>
                <w:lang w:val="en-US"/>
              </w:rPr>
            </w:pPr>
          </w:p>
        </w:tc>
        <w:tc>
          <w:tcPr>
            <w:tcW w:w="671" w:type="pct"/>
            <w:shd w:val="clear" w:color="auto" w:fill="auto"/>
            <w:vAlign w:val="bottom"/>
          </w:tcPr>
          <w:p w14:paraId="401D568A" w14:textId="77777777" w:rsidR="0045447D" w:rsidRPr="00537128" w:rsidRDefault="0045447D" w:rsidP="0045447D">
            <w:pPr>
              <w:keepLines/>
              <w:tabs>
                <w:tab w:val="right" w:pos="1202"/>
              </w:tabs>
              <w:spacing w:after="0" w:line="240" w:lineRule="exact"/>
              <w:jc w:val="right"/>
              <w:outlineLvl w:val="0"/>
              <w:rPr>
                <w:rFonts w:ascii="Calibri" w:eastAsia="Calibri" w:hAnsi="Calibri" w:cs="Arial"/>
                <w:b/>
                <w:bCs/>
                <w:sz w:val="18"/>
                <w:szCs w:val="18"/>
                <w:lang w:val="en-US"/>
              </w:rPr>
            </w:pPr>
          </w:p>
        </w:tc>
      </w:tr>
      <w:tr w:rsidR="00E94FE5" w:rsidRPr="00537128" w14:paraId="288F461F" w14:textId="77777777" w:rsidTr="00A1123E">
        <w:trPr>
          <w:trHeight w:hRule="exact" w:val="227"/>
        </w:trPr>
        <w:tc>
          <w:tcPr>
            <w:tcW w:w="3657" w:type="pct"/>
            <w:vAlign w:val="bottom"/>
          </w:tcPr>
          <w:p w14:paraId="1883A38E" w14:textId="44801E4A" w:rsidR="00E94FE5" w:rsidRPr="00537128" w:rsidRDefault="00E94FE5" w:rsidP="00E94FE5">
            <w:pPr>
              <w:keepLines/>
              <w:tabs>
                <w:tab w:val="right" w:pos="1202"/>
              </w:tabs>
              <w:spacing w:after="0" w:line="240" w:lineRule="exact"/>
              <w:outlineLvl w:val="0"/>
              <w:rPr>
                <w:rFonts w:ascii="Calibri" w:eastAsia="Calibri" w:hAnsi="Calibri" w:cs="Arial"/>
                <w:sz w:val="18"/>
                <w:szCs w:val="18"/>
                <w:lang w:val="en-US"/>
              </w:rPr>
            </w:pPr>
            <w:bookmarkStart w:id="183" w:name="_Toc4057499"/>
            <w:r w:rsidRPr="00537128">
              <w:rPr>
                <w:rFonts w:ascii="Calibri" w:eastAsia="Calibri" w:hAnsi="Calibri" w:cs="Arial"/>
                <w:sz w:val="18"/>
                <w:szCs w:val="18"/>
                <w:lang w:val="en-US"/>
              </w:rPr>
              <w:t xml:space="preserve">Purchase of financial assets </w:t>
            </w:r>
            <w:r w:rsidRPr="00537128">
              <w:rPr>
                <w:rFonts w:ascii="Calibri" w:eastAsia="Calibri" w:hAnsi="Calibri" w:cs="Times New Roman"/>
                <w:sz w:val="18"/>
                <w:szCs w:val="18"/>
                <w:lang w:val="en-US"/>
              </w:rPr>
              <w:t xml:space="preserve">at </w:t>
            </w:r>
            <w:r w:rsidRPr="00537128">
              <w:rPr>
                <w:rFonts w:ascii="Calibri" w:eastAsia="Calibri" w:hAnsi="Calibri" w:cs="Arial"/>
                <w:sz w:val="18"/>
                <w:szCs w:val="18"/>
                <w:lang w:val="en-US"/>
              </w:rPr>
              <w:t>fair value through profit or loss income</w:t>
            </w:r>
            <w:bookmarkEnd w:id="183"/>
          </w:p>
        </w:tc>
        <w:tc>
          <w:tcPr>
            <w:tcW w:w="672" w:type="pct"/>
            <w:tcBorders>
              <w:top w:val="nil"/>
              <w:left w:val="nil"/>
              <w:bottom w:val="nil"/>
              <w:right w:val="nil"/>
            </w:tcBorders>
            <w:shd w:val="clear" w:color="000000" w:fill="auto"/>
            <w:vAlign w:val="bottom"/>
          </w:tcPr>
          <w:p w14:paraId="0D264A44" w14:textId="3EF064ED" w:rsidR="00E94FE5" w:rsidRPr="00537128" w:rsidRDefault="00E94FE5" w:rsidP="00E94FE5">
            <w:pPr>
              <w:keepLines/>
              <w:spacing w:after="0" w:line="240" w:lineRule="exact"/>
              <w:jc w:val="right"/>
              <w:rPr>
                <w:rFonts w:ascii="Calibri" w:eastAsia="Calibri" w:hAnsi="Calibri" w:cs="Calibri"/>
                <w:bCs/>
                <w:sz w:val="18"/>
                <w:szCs w:val="18"/>
                <w:lang w:val="en-US"/>
              </w:rPr>
            </w:pPr>
            <w:r>
              <w:rPr>
                <w:rFonts w:cstheme="minorHAnsi"/>
                <w:color w:val="000000" w:themeColor="text1"/>
                <w:spacing w:val="-2"/>
                <w:sz w:val="18"/>
                <w:szCs w:val="18"/>
              </w:rPr>
              <w:t>(2</w:t>
            </w:r>
            <w:r w:rsidR="006773EF">
              <w:rPr>
                <w:rFonts w:cstheme="minorHAnsi"/>
                <w:color w:val="000000" w:themeColor="text1"/>
                <w:spacing w:val="-2"/>
                <w:sz w:val="18"/>
                <w:szCs w:val="18"/>
              </w:rPr>
              <w:t>,</w:t>
            </w:r>
            <w:r>
              <w:rPr>
                <w:rFonts w:cstheme="minorHAnsi"/>
                <w:color w:val="000000" w:themeColor="text1"/>
                <w:spacing w:val="-2"/>
                <w:sz w:val="18"/>
                <w:szCs w:val="18"/>
              </w:rPr>
              <w:t>639)</w:t>
            </w:r>
          </w:p>
        </w:tc>
        <w:tc>
          <w:tcPr>
            <w:tcW w:w="671" w:type="pct"/>
            <w:shd w:val="clear" w:color="auto" w:fill="FFFFFF"/>
            <w:vAlign w:val="bottom"/>
          </w:tcPr>
          <w:p w14:paraId="10FBD7B7" w14:textId="71B80D22" w:rsidR="00E94FE5" w:rsidRPr="00537128" w:rsidRDefault="00E94FE5" w:rsidP="00E94FE5">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(14,902)</w:t>
            </w:r>
          </w:p>
        </w:tc>
      </w:tr>
      <w:tr w:rsidR="00E94FE5" w:rsidRPr="00537128" w14:paraId="0AB95DB4" w14:textId="77777777" w:rsidTr="00A1123E">
        <w:trPr>
          <w:trHeight w:hRule="exact" w:val="227"/>
        </w:trPr>
        <w:tc>
          <w:tcPr>
            <w:tcW w:w="3657" w:type="pct"/>
            <w:vAlign w:val="bottom"/>
          </w:tcPr>
          <w:p w14:paraId="1B81E769" w14:textId="77777777" w:rsidR="00E94FE5" w:rsidRPr="00537128" w:rsidRDefault="00E94FE5" w:rsidP="00E94FE5">
            <w:pPr>
              <w:keepLines/>
              <w:tabs>
                <w:tab w:val="right" w:pos="1202"/>
              </w:tabs>
              <w:spacing w:after="0" w:line="240" w:lineRule="exact"/>
              <w:outlineLvl w:val="0"/>
              <w:rPr>
                <w:rFonts w:ascii="Calibri" w:eastAsia="Calibri" w:hAnsi="Calibri" w:cs="Arial"/>
                <w:sz w:val="18"/>
                <w:szCs w:val="18"/>
                <w:lang w:val="en-US"/>
              </w:rPr>
            </w:pPr>
            <w:bookmarkStart w:id="184" w:name="_Toc4057497"/>
            <w:r w:rsidRPr="00537128">
              <w:rPr>
                <w:rFonts w:ascii="Calibri" w:eastAsia="Calibri" w:hAnsi="Calibri" w:cs="Arial"/>
                <w:sz w:val="18"/>
                <w:szCs w:val="18"/>
                <w:lang w:val="en-US"/>
              </w:rPr>
              <w:t>Sale of financial assets at fair value through profit or loss</w:t>
            </w:r>
            <w:bookmarkEnd w:id="184"/>
          </w:p>
        </w:tc>
        <w:tc>
          <w:tcPr>
            <w:tcW w:w="672" w:type="pct"/>
            <w:tcBorders>
              <w:top w:val="nil"/>
              <w:left w:val="nil"/>
              <w:bottom w:val="nil"/>
              <w:right w:val="nil"/>
            </w:tcBorders>
            <w:shd w:val="clear" w:color="000000" w:fill="auto"/>
            <w:vAlign w:val="bottom"/>
          </w:tcPr>
          <w:p w14:paraId="619759F2" w14:textId="27547631" w:rsidR="00E94FE5" w:rsidRPr="00537128" w:rsidRDefault="00E94FE5" w:rsidP="00E94FE5">
            <w:pPr>
              <w:keepLines/>
              <w:spacing w:after="0" w:line="240" w:lineRule="exact"/>
              <w:jc w:val="right"/>
              <w:rPr>
                <w:rFonts w:ascii="Calibri" w:eastAsia="Calibri" w:hAnsi="Calibri" w:cs="Calibri"/>
                <w:bCs/>
                <w:sz w:val="18"/>
                <w:szCs w:val="18"/>
                <w:lang w:val="en-US"/>
              </w:rPr>
            </w:pPr>
            <w:r>
              <w:rPr>
                <w:rFonts w:cstheme="minorHAnsi"/>
                <w:color w:val="000000" w:themeColor="text1"/>
                <w:spacing w:val="-2"/>
                <w:sz w:val="18"/>
                <w:szCs w:val="18"/>
              </w:rPr>
              <w:t>97</w:t>
            </w:r>
            <w:r w:rsidR="006773EF">
              <w:rPr>
                <w:rFonts w:cstheme="minorHAnsi"/>
                <w:color w:val="000000" w:themeColor="text1"/>
                <w:spacing w:val="-2"/>
                <w:sz w:val="18"/>
                <w:szCs w:val="18"/>
              </w:rPr>
              <w:t>,</w:t>
            </w:r>
            <w:r>
              <w:rPr>
                <w:rFonts w:cstheme="minorHAnsi"/>
                <w:color w:val="000000" w:themeColor="text1"/>
                <w:spacing w:val="-2"/>
                <w:sz w:val="18"/>
                <w:szCs w:val="18"/>
              </w:rPr>
              <w:t>973</w:t>
            </w:r>
          </w:p>
        </w:tc>
        <w:tc>
          <w:tcPr>
            <w:tcW w:w="671" w:type="pct"/>
            <w:shd w:val="clear" w:color="auto" w:fill="FFFFFF"/>
            <w:vAlign w:val="bottom"/>
          </w:tcPr>
          <w:p w14:paraId="0662789A" w14:textId="7E49075D" w:rsidR="00E94FE5" w:rsidRPr="00537128" w:rsidRDefault="00E94FE5" w:rsidP="00E94FE5">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1,400</w:t>
            </w:r>
          </w:p>
        </w:tc>
      </w:tr>
      <w:tr w:rsidR="00E94FE5" w:rsidRPr="00537128" w14:paraId="221C5063" w14:textId="77777777" w:rsidTr="00A1123E">
        <w:trPr>
          <w:trHeight w:hRule="exact" w:val="227"/>
        </w:trPr>
        <w:tc>
          <w:tcPr>
            <w:tcW w:w="3657" w:type="pct"/>
            <w:vAlign w:val="bottom"/>
          </w:tcPr>
          <w:p w14:paraId="044C66E2" w14:textId="0216E603" w:rsidR="00E94FE5" w:rsidRPr="00537128" w:rsidRDefault="00E94FE5" w:rsidP="00E94FE5">
            <w:pPr>
              <w:keepLines/>
              <w:tabs>
                <w:tab w:val="right" w:pos="1202"/>
              </w:tabs>
              <w:spacing w:after="0" w:line="240" w:lineRule="exact"/>
              <w:outlineLvl w:val="0"/>
              <w:rPr>
                <w:rFonts w:ascii="Calibri" w:eastAsia="Calibri" w:hAnsi="Calibri" w:cs="Arial"/>
                <w:sz w:val="18"/>
                <w:szCs w:val="18"/>
                <w:lang w:val="en-US"/>
              </w:rPr>
            </w:pPr>
            <w:r w:rsidRPr="00537128">
              <w:rPr>
                <w:rFonts w:ascii="Calibri" w:eastAsia="Calibri" w:hAnsi="Calibri" w:cs="Arial"/>
                <w:sz w:val="18"/>
                <w:szCs w:val="18"/>
                <w:lang w:val="en-US"/>
              </w:rPr>
              <w:t>Purchase of financial assets at</w:t>
            </w:r>
            <w:r w:rsidRPr="00537128">
              <w:rPr>
                <w:rFonts w:ascii="Calibri" w:eastAsia="Calibri" w:hAnsi="Calibri" w:cs="Times New Roman"/>
                <w:sz w:val="18"/>
                <w:szCs w:val="18"/>
                <w:lang w:val="en-US"/>
              </w:rPr>
              <w:t xml:space="preserve"> </w:t>
            </w:r>
            <w:r w:rsidRPr="00537128">
              <w:rPr>
                <w:rFonts w:ascii="Calibri" w:eastAsia="Calibri" w:hAnsi="Calibri" w:cs="Arial"/>
                <w:sz w:val="18"/>
                <w:szCs w:val="18"/>
                <w:lang w:val="en-US"/>
              </w:rPr>
              <w:t>fair value through other comprehensive income</w:t>
            </w:r>
          </w:p>
        </w:tc>
        <w:tc>
          <w:tcPr>
            <w:tcW w:w="672" w:type="pct"/>
            <w:tcBorders>
              <w:top w:val="nil"/>
              <w:left w:val="nil"/>
              <w:right w:val="nil"/>
            </w:tcBorders>
            <w:shd w:val="clear" w:color="000000" w:fill="auto"/>
            <w:vAlign w:val="bottom"/>
          </w:tcPr>
          <w:p w14:paraId="0213B131" w14:textId="3649E299" w:rsidR="00E94FE5" w:rsidRPr="00537128" w:rsidRDefault="00E94FE5" w:rsidP="00E94FE5">
            <w:pPr>
              <w:keepLines/>
              <w:spacing w:after="0" w:line="240" w:lineRule="exact"/>
              <w:jc w:val="right"/>
              <w:rPr>
                <w:rFonts w:ascii="Calibri" w:eastAsia="Calibri" w:hAnsi="Calibri" w:cs="Calibri"/>
                <w:bCs/>
                <w:sz w:val="18"/>
                <w:szCs w:val="18"/>
                <w:lang w:val="en-US"/>
              </w:rPr>
            </w:pPr>
            <w:r>
              <w:rPr>
                <w:rFonts w:cstheme="minorHAnsi"/>
                <w:color w:val="000000" w:themeColor="text1"/>
                <w:spacing w:val="-2"/>
                <w:sz w:val="18"/>
                <w:szCs w:val="18"/>
              </w:rPr>
              <w:t>(841</w:t>
            </w:r>
            <w:r w:rsidR="006773EF">
              <w:rPr>
                <w:rFonts w:cstheme="minorHAnsi"/>
                <w:color w:val="000000" w:themeColor="text1"/>
                <w:spacing w:val="-2"/>
                <w:sz w:val="18"/>
                <w:szCs w:val="18"/>
              </w:rPr>
              <w:t>,</w:t>
            </w:r>
            <w:r>
              <w:rPr>
                <w:rFonts w:cstheme="minorHAnsi"/>
                <w:color w:val="000000" w:themeColor="text1"/>
                <w:spacing w:val="-2"/>
                <w:sz w:val="18"/>
                <w:szCs w:val="18"/>
              </w:rPr>
              <w:t>746)</w:t>
            </w:r>
          </w:p>
        </w:tc>
        <w:tc>
          <w:tcPr>
            <w:tcW w:w="671" w:type="pct"/>
            <w:shd w:val="clear" w:color="auto" w:fill="FFFFFF"/>
            <w:vAlign w:val="bottom"/>
          </w:tcPr>
          <w:p w14:paraId="4881440C" w14:textId="3E222BCB" w:rsidR="00E94FE5" w:rsidRPr="00537128" w:rsidRDefault="00E94FE5" w:rsidP="00E94FE5">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(475,514)</w:t>
            </w:r>
          </w:p>
        </w:tc>
      </w:tr>
      <w:tr w:rsidR="00E94FE5" w:rsidRPr="00537128" w14:paraId="19DA7040" w14:textId="77777777" w:rsidTr="00CE00C1">
        <w:trPr>
          <w:trHeight w:hRule="exact" w:val="227"/>
        </w:trPr>
        <w:tc>
          <w:tcPr>
            <w:tcW w:w="3657" w:type="pct"/>
            <w:vAlign w:val="bottom"/>
          </w:tcPr>
          <w:p w14:paraId="3344B025" w14:textId="4382AE7F" w:rsidR="00E94FE5" w:rsidRPr="00537128" w:rsidRDefault="00E94FE5" w:rsidP="00E94FE5">
            <w:pPr>
              <w:keepLines/>
              <w:tabs>
                <w:tab w:val="right" w:pos="1202"/>
              </w:tabs>
              <w:spacing w:after="0" w:line="240" w:lineRule="exact"/>
              <w:outlineLvl w:val="0"/>
              <w:rPr>
                <w:rFonts w:ascii="Calibri" w:eastAsia="Calibri" w:hAnsi="Calibri" w:cs="Arial"/>
                <w:sz w:val="18"/>
                <w:szCs w:val="18"/>
                <w:lang w:val="en-US"/>
              </w:rPr>
            </w:pPr>
            <w:bookmarkStart w:id="185" w:name="_Toc4057501"/>
            <w:r w:rsidRPr="00537128">
              <w:rPr>
                <w:rFonts w:ascii="Calibri" w:eastAsia="Times New Roman" w:hAnsi="Calibri" w:cs="Arial"/>
                <w:sz w:val="18"/>
                <w:szCs w:val="18"/>
                <w:lang w:val="en-US" w:eastAsia="hr-HR"/>
              </w:rPr>
              <w:t xml:space="preserve">Sale of financial assets </w:t>
            </w:r>
            <w:r w:rsidRPr="00537128">
              <w:rPr>
                <w:rFonts w:ascii="Calibri" w:eastAsia="Calibri" w:hAnsi="Calibri" w:cs="Times New Roman"/>
                <w:sz w:val="18"/>
                <w:szCs w:val="18"/>
                <w:lang w:val="en-US"/>
              </w:rPr>
              <w:t xml:space="preserve">at </w:t>
            </w:r>
            <w:r w:rsidRPr="00537128">
              <w:rPr>
                <w:rFonts w:ascii="Calibri" w:eastAsia="Times New Roman" w:hAnsi="Calibri" w:cs="Arial"/>
                <w:sz w:val="18"/>
                <w:szCs w:val="18"/>
                <w:lang w:val="en-US" w:eastAsia="hr-HR"/>
              </w:rPr>
              <w:t>fair value through other comprehensive income</w:t>
            </w:r>
            <w:bookmarkEnd w:id="185"/>
          </w:p>
        </w:tc>
        <w:tc>
          <w:tcPr>
            <w:tcW w:w="672" w:type="pct"/>
            <w:tcBorders>
              <w:top w:val="nil"/>
              <w:left w:val="nil"/>
              <w:right w:val="nil"/>
            </w:tcBorders>
            <w:shd w:val="clear" w:color="000000" w:fill="auto"/>
            <w:vAlign w:val="bottom"/>
          </w:tcPr>
          <w:p w14:paraId="6D264E89" w14:textId="0E215954" w:rsidR="00E94FE5" w:rsidRPr="00537128" w:rsidRDefault="00E94FE5" w:rsidP="00E94FE5">
            <w:pPr>
              <w:keepLines/>
              <w:tabs>
                <w:tab w:val="left" w:pos="1020"/>
              </w:tabs>
              <w:spacing w:after="0" w:line="240" w:lineRule="exact"/>
              <w:jc w:val="right"/>
              <w:rPr>
                <w:rFonts w:ascii="Calibri" w:eastAsia="Calibri" w:hAnsi="Calibri" w:cs="Calibri"/>
                <w:bCs/>
                <w:sz w:val="18"/>
                <w:szCs w:val="18"/>
                <w:lang w:val="en-US"/>
              </w:rPr>
            </w:pPr>
            <w:r>
              <w:rPr>
                <w:rFonts w:cstheme="minorHAnsi"/>
                <w:color w:val="000000" w:themeColor="text1"/>
                <w:spacing w:val="-2"/>
                <w:sz w:val="18"/>
                <w:szCs w:val="18"/>
              </w:rPr>
              <w:t>535</w:t>
            </w:r>
            <w:r w:rsidR="006773EF">
              <w:rPr>
                <w:rFonts w:cstheme="minorHAnsi"/>
                <w:color w:val="000000" w:themeColor="text1"/>
                <w:spacing w:val="-2"/>
                <w:sz w:val="18"/>
                <w:szCs w:val="18"/>
              </w:rPr>
              <w:t>,</w:t>
            </w:r>
            <w:r>
              <w:rPr>
                <w:rFonts w:cstheme="minorHAnsi"/>
                <w:color w:val="000000" w:themeColor="text1"/>
                <w:spacing w:val="-2"/>
                <w:sz w:val="18"/>
                <w:szCs w:val="18"/>
              </w:rPr>
              <w:t>036</w:t>
            </w:r>
          </w:p>
        </w:tc>
        <w:tc>
          <w:tcPr>
            <w:tcW w:w="671" w:type="pct"/>
            <w:shd w:val="clear" w:color="auto" w:fill="FFFFFF"/>
            <w:vAlign w:val="bottom"/>
          </w:tcPr>
          <w:p w14:paraId="719FC877" w14:textId="7C2DD15C" w:rsidR="00E94FE5" w:rsidRPr="00537128" w:rsidRDefault="00E94FE5" w:rsidP="00E94FE5">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150,000</w:t>
            </w:r>
          </w:p>
        </w:tc>
      </w:tr>
      <w:tr w:rsidR="00E94FE5" w:rsidRPr="00537128" w14:paraId="664A5E51" w14:textId="77777777" w:rsidTr="00CE00C1">
        <w:trPr>
          <w:trHeight w:hRule="exact" w:val="227"/>
        </w:trPr>
        <w:tc>
          <w:tcPr>
            <w:tcW w:w="3657" w:type="pct"/>
            <w:vAlign w:val="bottom"/>
          </w:tcPr>
          <w:p w14:paraId="6C10F3D4" w14:textId="77777777" w:rsidR="00E94FE5" w:rsidRPr="00537128" w:rsidRDefault="00E94FE5" w:rsidP="00E94FE5">
            <w:pPr>
              <w:keepLines/>
              <w:tabs>
                <w:tab w:val="right" w:pos="1202"/>
              </w:tabs>
              <w:spacing w:after="0" w:line="240" w:lineRule="exact"/>
              <w:outlineLvl w:val="0"/>
              <w:rPr>
                <w:rFonts w:ascii="Calibri" w:eastAsia="Calibri" w:hAnsi="Calibri" w:cs="Arial"/>
                <w:sz w:val="18"/>
                <w:szCs w:val="18"/>
                <w:highlight w:val="yellow"/>
                <w:lang w:val="en-US"/>
              </w:rPr>
            </w:pPr>
            <w:r w:rsidRPr="00537128">
              <w:rPr>
                <w:rFonts w:ascii="Calibri" w:eastAsia="Times New Roman" w:hAnsi="Calibri" w:cs="Calibri"/>
                <w:color w:val="000000"/>
                <w:sz w:val="18"/>
                <w:szCs w:val="18"/>
                <w:lang w:val="en-US"/>
              </w:rPr>
              <w:t>Investments in subsidiaries – sales and write-offs</w:t>
            </w:r>
          </w:p>
        </w:tc>
        <w:tc>
          <w:tcPr>
            <w:tcW w:w="672" w:type="pct"/>
            <w:tcBorders>
              <w:top w:val="nil"/>
              <w:left w:val="nil"/>
              <w:right w:val="nil"/>
            </w:tcBorders>
            <w:shd w:val="clear" w:color="000000" w:fill="auto"/>
            <w:vAlign w:val="bottom"/>
          </w:tcPr>
          <w:p w14:paraId="61670F23" w14:textId="6D6E1634" w:rsidR="00E94FE5" w:rsidRPr="00537128" w:rsidRDefault="00E94FE5" w:rsidP="00E94FE5">
            <w:pPr>
              <w:keepLines/>
              <w:spacing w:after="0" w:line="240" w:lineRule="exact"/>
              <w:jc w:val="right"/>
              <w:rPr>
                <w:rFonts w:ascii="Calibri" w:eastAsia="Times New Roman" w:hAnsi="Calibri" w:cs="Calibri"/>
                <w:color w:val="000000"/>
                <w:spacing w:val="-2"/>
                <w:sz w:val="18"/>
                <w:szCs w:val="18"/>
                <w:lang w:val="en-US"/>
              </w:rPr>
            </w:pPr>
            <w:r>
              <w:rPr>
                <w:rFonts w:cstheme="minorHAnsi"/>
                <w:color w:val="000000" w:themeColor="text1"/>
                <w:spacing w:val="-2"/>
                <w:sz w:val="18"/>
                <w:szCs w:val="18"/>
              </w:rPr>
              <w:t>-</w:t>
            </w:r>
          </w:p>
        </w:tc>
        <w:tc>
          <w:tcPr>
            <w:tcW w:w="671" w:type="pct"/>
            <w:shd w:val="clear" w:color="auto" w:fill="FFFFFF"/>
            <w:vAlign w:val="bottom"/>
          </w:tcPr>
          <w:p w14:paraId="49BCAD1F" w14:textId="31913790" w:rsidR="00E94FE5" w:rsidRPr="00537128" w:rsidRDefault="00E94FE5" w:rsidP="00E94FE5">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21</w:t>
            </w:r>
          </w:p>
        </w:tc>
      </w:tr>
      <w:tr w:rsidR="00E94FE5" w:rsidRPr="00537128" w14:paraId="32DE858D" w14:textId="77777777" w:rsidTr="00A1123E">
        <w:trPr>
          <w:trHeight w:hRule="exact" w:val="227"/>
        </w:trPr>
        <w:tc>
          <w:tcPr>
            <w:tcW w:w="3657" w:type="pct"/>
            <w:vAlign w:val="bottom"/>
          </w:tcPr>
          <w:p w14:paraId="4E114462" w14:textId="77777777" w:rsidR="00E94FE5" w:rsidRPr="00537128" w:rsidRDefault="00E94FE5" w:rsidP="00E94FE5">
            <w:pPr>
              <w:keepLines/>
              <w:tabs>
                <w:tab w:val="right" w:pos="1202"/>
              </w:tabs>
              <w:spacing w:after="0" w:line="240" w:lineRule="exact"/>
              <w:outlineLvl w:val="0"/>
              <w:rPr>
                <w:rFonts w:ascii="Calibri" w:eastAsia="Calibri" w:hAnsi="Calibri" w:cs="Arial"/>
                <w:sz w:val="18"/>
                <w:szCs w:val="18"/>
                <w:lang w:val="en-US"/>
              </w:rPr>
            </w:pPr>
            <w:bookmarkStart w:id="186" w:name="_Toc4057503"/>
            <w:r w:rsidRPr="00537128">
              <w:rPr>
                <w:rFonts w:ascii="Calibri" w:eastAsia="Calibri" w:hAnsi="Calibri" w:cs="Arial"/>
                <w:sz w:val="18"/>
                <w:szCs w:val="18"/>
                <w:lang w:val="en-US"/>
              </w:rPr>
              <w:t>Net purchase of property, plant and equipment and intangible assets</w:t>
            </w:r>
            <w:bookmarkEnd w:id="186"/>
          </w:p>
        </w:tc>
        <w:tc>
          <w:tcPr>
            <w:tcW w:w="672" w:type="pct"/>
            <w:tcBorders>
              <w:top w:val="nil"/>
              <w:left w:val="nil"/>
              <w:bottom w:val="single" w:sz="4" w:space="0" w:color="auto"/>
              <w:right w:val="nil"/>
            </w:tcBorders>
            <w:shd w:val="clear" w:color="000000" w:fill="auto"/>
            <w:vAlign w:val="bottom"/>
          </w:tcPr>
          <w:p w14:paraId="07794037" w14:textId="50BD97B9" w:rsidR="00E94FE5" w:rsidRPr="00537128" w:rsidRDefault="00E94FE5" w:rsidP="00E94FE5">
            <w:pPr>
              <w:keepLines/>
              <w:spacing w:after="0" w:line="240" w:lineRule="exact"/>
              <w:jc w:val="right"/>
              <w:rPr>
                <w:rFonts w:ascii="Calibri" w:eastAsia="Calibri" w:hAnsi="Calibri" w:cs="Calibri"/>
                <w:bCs/>
                <w:sz w:val="18"/>
                <w:szCs w:val="18"/>
                <w:lang w:val="en-US"/>
              </w:rPr>
            </w:pPr>
            <w:r>
              <w:rPr>
                <w:rFonts w:cstheme="minorHAnsi"/>
                <w:color w:val="000000" w:themeColor="text1"/>
                <w:spacing w:val="-2"/>
                <w:sz w:val="18"/>
                <w:szCs w:val="18"/>
              </w:rPr>
              <w:t>(2</w:t>
            </w:r>
            <w:r w:rsidR="006773EF">
              <w:rPr>
                <w:rFonts w:cstheme="minorHAnsi"/>
                <w:color w:val="000000" w:themeColor="text1"/>
                <w:spacing w:val="-2"/>
                <w:sz w:val="18"/>
                <w:szCs w:val="18"/>
              </w:rPr>
              <w:t>,</w:t>
            </w:r>
            <w:r>
              <w:rPr>
                <w:rFonts w:cstheme="minorHAnsi"/>
                <w:color w:val="000000" w:themeColor="text1"/>
                <w:spacing w:val="-2"/>
                <w:sz w:val="18"/>
                <w:szCs w:val="18"/>
              </w:rPr>
              <w:t>009)</w:t>
            </w:r>
          </w:p>
        </w:tc>
        <w:tc>
          <w:tcPr>
            <w:tcW w:w="671" w:type="pct"/>
            <w:shd w:val="clear" w:color="auto" w:fill="auto"/>
            <w:vAlign w:val="bottom"/>
          </w:tcPr>
          <w:p w14:paraId="51A144F0" w14:textId="3B9EF951" w:rsidR="00E94FE5" w:rsidRPr="00537128" w:rsidRDefault="00E94FE5" w:rsidP="00E94FE5">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(4,027)</w:t>
            </w:r>
          </w:p>
        </w:tc>
      </w:tr>
      <w:tr w:rsidR="00E94FE5" w:rsidRPr="00537128" w14:paraId="75D475C7" w14:textId="77777777" w:rsidTr="00CA26A1">
        <w:trPr>
          <w:trHeight w:hRule="exact" w:val="284"/>
        </w:trPr>
        <w:tc>
          <w:tcPr>
            <w:tcW w:w="3657" w:type="pct"/>
            <w:vAlign w:val="bottom"/>
          </w:tcPr>
          <w:p w14:paraId="0B9EF4B4" w14:textId="437109C3" w:rsidR="00E94FE5" w:rsidRPr="00567D93" w:rsidRDefault="00E94FE5" w:rsidP="00E94FE5">
            <w:pPr>
              <w:keepLines/>
              <w:tabs>
                <w:tab w:val="right" w:pos="1202"/>
              </w:tabs>
              <w:spacing w:after="0" w:line="240" w:lineRule="exact"/>
              <w:outlineLvl w:val="0"/>
              <w:rPr>
                <w:rFonts w:ascii="Calibri" w:eastAsia="Calibri" w:hAnsi="Calibri" w:cs="Arial"/>
                <w:b/>
                <w:bCs/>
                <w:sz w:val="18"/>
                <w:szCs w:val="18"/>
                <w:lang w:val="en-US"/>
              </w:rPr>
            </w:pPr>
            <w:bookmarkStart w:id="187" w:name="_Toc4057505"/>
            <w:r w:rsidRPr="009E0B26">
              <w:rPr>
                <w:rFonts w:ascii="Calibri" w:eastAsia="Calibri" w:hAnsi="Calibri" w:cs="Arial"/>
                <w:b/>
                <w:bCs/>
                <w:sz w:val="18"/>
                <w:szCs w:val="18"/>
                <w:lang w:val="en-US"/>
              </w:rPr>
              <w:t xml:space="preserve">Net cash </w:t>
            </w:r>
            <w:r w:rsidRPr="00A1123E">
              <w:rPr>
                <w:rFonts w:ascii="Calibri" w:eastAsia="Calibri" w:hAnsi="Calibri" w:cs="Arial"/>
                <w:b/>
                <w:bCs/>
                <w:sz w:val="18"/>
                <w:szCs w:val="18"/>
                <w:lang w:val="en-US"/>
              </w:rPr>
              <w:t>(used in)</w:t>
            </w:r>
            <w:r w:rsidRPr="009E0B26">
              <w:rPr>
                <w:rFonts w:ascii="Calibri" w:eastAsia="Calibri" w:hAnsi="Calibri" w:cs="Arial"/>
                <w:b/>
                <w:bCs/>
                <w:sz w:val="18"/>
                <w:szCs w:val="18"/>
                <w:lang w:val="en-US"/>
              </w:rPr>
              <w:t xml:space="preserve"> investment activities</w:t>
            </w:r>
            <w:bookmarkEnd w:id="187"/>
            <w:r w:rsidRPr="009E0B26">
              <w:rPr>
                <w:rFonts w:ascii="Calibri" w:eastAsia="Calibri" w:hAnsi="Calibri" w:cs="Arial"/>
                <w:b/>
                <w:bCs/>
                <w:sz w:val="18"/>
                <w:szCs w:val="18"/>
                <w:lang w:val="en-US"/>
              </w:rPr>
              <w:t xml:space="preserve"> </w:t>
            </w:r>
          </w:p>
        </w:tc>
        <w:tc>
          <w:tcPr>
            <w:tcW w:w="672" w:type="pct"/>
            <w:tcBorders>
              <w:top w:val="single" w:sz="4" w:space="0" w:color="auto"/>
              <w:bottom w:val="single" w:sz="12" w:space="0" w:color="auto"/>
            </w:tcBorders>
            <w:vAlign w:val="bottom"/>
          </w:tcPr>
          <w:p w14:paraId="6C1E60E6" w14:textId="057E8DD4" w:rsidR="00E94FE5" w:rsidRPr="00537128" w:rsidRDefault="00E94FE5" w:rsidP="00E94FE5">
            <w:pPr>
              <w:spacing w:after="0" w:line="240" w:lineRule="exact"/>
              <w:jc w:val="right"/>
              <w:rPr>
                <w:rFonts w:ascii="Calibri" w:eastAsia="Calibri" w:hAnsi="Calibri" w:cs="Calibri"/>
                <w:b/>
                <w:bCs/>
                <w:spacing w:val="-2"/>
                <w:sz w:val="18"/>
                <w:szCs w:val="18"/>
                <w:lang w:val="en-US"/>
              </w:rPr>
            </w:pPr>
            <w:r>
              <w:rPr>
                <w:rFonts w:cstheme="minorHAnsi"/>
                <w:b/>
                <w:bCs/>
                <w:color w:val="000000" w:themeColor="text1"/>
                <w:spacing w:val="-2"/>
                <w:sz w:val="18"/>
                <w:szCs w:val="18"/>
              </w:rPr>
              <w:t>(213</w:t>
            </w:r>
            <w:r w:rsidR="006773EF">
              <w:rPr>
                <w:rFonts w:cstheme="minorHAnsi"/>
                <w:b/>
                <w:bCs/>
                <w:color w:val="000000" w:themeColor="text1"/>
                <w:spacing w:val="-2"/>
                <w:sz w:val="18"/>
                <w:szCs w:val="18"/>
              </w:rPr>
              <w:t>,</w:t>
            </w:r>
            <w:r>
              <w:rPr>
                <w:rFonts w:cstheme="minorHAnsi"/>
                <w:b/>
                <w:bCs/>
                <w:color w:val="000000" w:themeColor="text1"/>
                <w:spacing w:val="-2"/>
                <w:sz w:val="18"/>
                <w:szCs w:val="18"/>
              </w:rPr>
              <w:t>385)</w:t>
            </w:r>
          </w:p>
        </w:tc>
        <w:tc>
          <w:tcPr>
            <w:tcW w:w="671" w:type="pct"/>
            <w:tcBorders>
              <w:top w:val="single" w:sz="4" w:space="0" w:color="auto"/>
              <w:bottom w:val="single" w:sz="12" w:space="0" w:color="auto"/>
            </w:tcBorders>
            <w:shd w:val="clear" w:color="auto" w:fill="auto"/>
            <w:vAlign w:val="bottom"/>
          </w:tcPr>
          <w:p w14:paraId="64784AA5" w14:textId="1B9660F1" w:rsidR="00E94FE5" w:rsidRPr="00537128" w:rsidRDefault="00E94FE5" w:rsidP="00E94FE5">
            <w:pPr>
              <w:spacing w:after="0" w:line="240" w:lineRule="exact"/>
              <w:jc w:val="right"/>
              <w:rPr>
                <w:rFonts w:ascii="Calibri" w:eastAsia="Calibri" w:hAnsi="Calibri" w:cs="Arial"/>
                <w:b/>
                <w:bCs/>
                <w:spacing w:val="-2"/>
                <w:sz w:val="18"/>
                <w:szCs w:val="18"/>
                <w:lang w:val="en-US"/>
              </w:rPr>
            </w:pPr>
            <w:r>
              <w:rPr>
                <w:rFonts w:cstheme="minorHAnsi"/>
                <w:b/>
                <w:bCs/>
                <w:color w:val="000000" w:themeColor="text1"/>
                <w:spacing w:val="-2"/>
                <w:sz w:val="18"/>
                <w:szCs w:val="18"/>
              </w:rPr>
              <w:t>(343,022)</w:t>
            </w:r>
          </w:p>
        </w:tc>
      </w:tr>
      <w:tr w:rsidR="00E94FE5" w:rsidRPr="00537128" w14:paraId="07BBA2B6" w14:textId="77777777" w:rsidTr="00CE00C1">
        <w:trPr>
          <w:trHeight w:hRule="exact" w:val="332"/>
        </w:trPr>
        <w:tc>
          <w:tcPr>
            <w:tcW w:w="3657" w:type="pct"/>
            <w:vAlign w:val="bottom"/>
          </w:tcPr>
          <w:p w14:paraId="72B74B53" w14:textId="77777777" w:rsidR="00E94FE5" w:rsidRPr="00537128" w:rsidRDefault="00E94FE5" w:rsidP="00E94FE5">
            <w:pPr>
              <w:keepLines/>
              <w:tabs>
                <w:tab w:val="right" w:pos="1202"/>
              </w:tabs>
              <w:spacing w:after="0" w:line="240" w:lineRule="exact"/>
              <w:outlineLvl w:val="0"/>
              <w:rPr>
                <w:rFonts w:ascii="Calibri" w:eastAsia="Calibri" w:hAnsi="Calibri" w:cs="Arial"/>
                <w:b/>
                <w:bCs/>
                <w:spacing w:val="-3"/>
                <w:sz w:val="18"/>
                <w:szCs w:val="18"/>
                <w:lang w:val="en-US"/>
              </w:rPr>
            </w:pPr>
            <w:bookmarkStart w:id="188" w:name="_Toc4057506"/>
            <w:r w:rsidRPr="00537128">
              <w:rPr>
                <w:rFonts w:ascii="Calibri" w:eastAsia="Calibri" w:hAnsi="Calibri" w:cs="Arial"/>
                <w:b/>
                <w:bCs/>
                <w:sz w:val="18"/>
                <w:szCs w:val="18"/>
                <w:lang w:val="en-US"/>
              </w:rPr>
              <w:t>Financing activities</w:t>
            </w:r>
            <w:bookmarkEnd w:id="188"/>
            <w:r w:rsidRPr="00537128">
              <w:rPr>
                <w:rFonts w:ascii="Calibri" w:eastAsia="Calibri" w:hAnsi="Calibri" w:cs="Arial"/>
                <w:b/>
                <w:bCs/>
                <w:sz w:val="18"/>
                <w:szCs w:val="18"/>
                <w:lang w:val="en-US"/>
              </w:rPr>
              <w:t xml:space="preserve"> </w:t>
            </w:r>
          </w:p>
        </w:tc>
        <w:tc>
          <w:tcPr>
            <w:tcW w:w="672" w:type="pct"/>
            <w:tcBorders>
              <w:top w:val="single" w:sz="12" w:space="0" w:color="auto"/>
            </w:tcBorders>
            <w:shd w:val="clear" w:color="auto" w:fill="auto"/>
            <w:vAlign w:val="bottom"/>
          </w:tcPr>
          <w:p w14:paraId="7CD1AF0D" w14:textId="77777777" w:rsidR="00E94FE5" w:rsidRPr="00537128" w:rsidRDefault="00E94FE5" w:rsidP="00E94FE5">
            <w:pPr>
              <w:keepLines/>
              <w:tabs>
                <w:tab w:val="right" w:pos="1202"/>
              </w:tabs>
              <w:spacing w:after="0" w:line="240" w:lineRule="exact"/>
              <w:jc w:val="right"/>
              <w:outlineLvl w:val="0"/>
              <w:rPr>
                <w:rFonts w:ascii="Calibri" w:eastAsia="Calibri" w:hAnsi="Calibri" w:cs="Arial"/>
                <w:b/>
                <w:bCs/>
                <w:sz w:val="18"/>
                <w:szCs w:val="18"/>
                <w:lang w:val="en-US"/>
              </w:rPr>
            </w:pPr>
          </w:p>
        </w:tc>
        <w:tc>
          <w:tcPr>
            <w:tcW w:w="671" w:type="pct"/>
            <w:tcBorders>
              <w:top w:val="single" w:sz="12" w:space="0" w:color="auto"/>
            </w:tcBorders>
            <w:shd w:val="clear" w:color="auto" w:fill="auto"/>
            <w:vAlign w:val="bottom"/>
          </w:tcPr>
          <w:p w14:paraId="13358853" w14:textId="77777777" w:rsidR="00E94FE5" w:rsidRPr="00537128" w:rsidRDefault="00E94FE5" w:rsidP="00E94FE5">
            <w:pPr>
              <w:keepLines/>
              <w:tabs>
                <w:tab w:val="right" w:pos="1202"/>
              </w:tabs>
              <w:spacing w:after="0" w:line="240" w:lineRule="exact"/>
              <w:jc w:val="right"/>
              <w:outlineLvl w:val="0"/>
              <w:rPr>
                <w:rFonts w:ascii="Calibri" w:eastAsia="Calibri" w:hAnsi="Calibri" w:cs="Arial"/>
                <w:b/>
                <w:bCs/>
                <w:sz w:val="18"/>
                <w:szCs w:val="18"/>
                <w:lang w:val="en-US"/>
              </w:rPr>
            </w:pPr>
          </w:p>
        </w:tc>
      </w:tr>
      <w:tr w:rsidR="0042275F" w:rsidRPr="00537128" w14:paraId="3BC231CA" w14:textId="77777777" w:rsidTr="00CE00C1">
        <w:trPr>
          <w:trHeight w:hRule="exact" w:val="227"/>
        </w:trPr>
        <w:tc>
          <w:tcPr>
            <w:tcW w:w="3657" w:type="pct"/>
            <w:vAlign w:val="bottom"/>
          </w:tcPr>
          <w:p w14:paraId="445DC954" w14:textId="77777777" w:rsidR="0042275F" w:rsidRPr="00537128" w:rsidRDefault="0042275F" w:rsidP="0042275F">
            <w:pPr>
              <w:keepLines/>
              <w:tabs>
                <w:tab w:val="right" w:pos="1202"/>
              </w:tabs>
              <w:spacing w:after="0" w:line="240" w:lineRule="exact"/>
              <w:outlineLvl w:val="0"/>
              <w:rPr>
                <w:rFonts w:ascii="Calibri" w:eastAsia="Calibri" w:hAnsi="Calibri" w:cs="Arial"/>
                <w:bCs/>
                <w:sz w:val="18"/>
                <w:szCs w:val="18"/>
                <w:lang w:val="en-US"/>
              </w:rPr>
            </w:pPr>
            <w:bookmarkStart w:id="189" w:name="_Toc4057507"/>
            <w:r w:rsidRPr="00537128">
              <w:rPr>
                <w:rFonts w:ascii="Calibri" w:eastAsia="Calibri" w:hAnsi="Calibri" w:cs="Arial"/>
                <w:bCs/>
                <w:sz w:val="18"/>
                <w:szCs w:val="18"/>
                <w:lang w:val="en-US"/>
              </w:rPr>
              <w:t>Increase in founder’s capital</w:t>
            </w:r>
            <w:bookmarkEnd w:id="189"/>
          </w:p>
        </w:tc>
        <w:tc>
          <w:tcPr>
            <w:tcW w:w="672" w:type="pct"/>
            <w:tcBorders>
              <w:top w:val="nil"/>
              <w:left w:val="nil"/>
              <w:bottom w:val="nil"/>
              <w:right w:val="nil"/>
            </w:tcBorders>
            <w:shd w:val="clear" w:color="auto" w:fill="auto"/>
            <w:vAlign w:val="bottom"/>
          </w:tcPr>
          <w:p w14:paraId="5D01719B" w14:textId="5F78817F" w:rsidR="0042275F" w:rsidRPr="00537128" w:rsidRDefault="0042275F" w:rsidP="0042275F">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w:t>
            </w:r>
          </w:p>
        </w:tc>
        <w:tc>
          <w:tcPr>
            <w:tcW w:w="671" w:type="pct"/>
            <w:shd w:val="clear" w:color="auto" w:fill="auto"/>
            <w:vAlign w:val="bottom"/>
          </w:tcPr>
          <w:p w14:paraId="1B703C33" w14:textId="3A3CD2E3" w:rsidR="0042275F" w:rsidRPr="00537128" w:rsidRDefault="0042275F" w:rsidP="0042275F">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w:t>
            </w:r>
          </w:p>
        </w:tc>
      </w:tr>
      <w:tr w:rsidR="0042275F" w:rsidRPr="00537128" w14:paraId="628AE668" w14:textId="77777777" w:rsidTr="00CE00C1">
        <w:trPr>
          <w:trHeight w:hRule="exact" w:val="227"/>
        </w:trPr>
        <w:tc>
          <w:tcPr>
            <w:tcW w:w="3657" w:type="pct"/>
            <w:vAlign w:val="bottom"/>
          </w:tcPr>
          <w:p w14:paraId="23FCF43E" w14:textId="77777777" w:rsidR="0042275F" w:rsidRPr="00537128" w:rsidRDefault="0042275F" w:rsidP="0042275F">
            <w:pPr>
              <w:keepLines/>
              <w:tabs>
                <w:tab w:val="right" w:pos="1202"/>
              </w:tabs>
              <w:spacing w:after="0" w:line="240" w:lineRule="exact"/>
              <w:outlineLvl w:val="0"/>
              <w:rPr>
                <w:rFonts w:ascii="Calibri" w:eastAsia="Calibri" w:hAnsi="Calibri" w:cs="Arial"/>
                <w:spacing w:val="-3"/>
                <w:sz w:val="18"/>
                <w:szCs w:val="18"/>
                <w:lang w:val="en-US"/>
              </w:rPr>
            </w:pPr>
            <w:bookmarkStart w:id="190" w:name="_Toc4057510"/>
            <w:r w:rsidRPr="00537128">
              <w:rPr>
                <w:rFonts w:ascii="Calibri" w:eastAsia="Calibri" w:hAnsi="Calibri" w:cs="Arial"/>
                <w:spacing w:val="-3"/>
                <w:sz w:val="18"/>
                <w:szCs w:val="18"/>
                <w:lang w:val="en-US"/>
              </w:rPr>
              <w:t>Increase in borrowings – withdrawn funds</w:t>
            </w:r>
            <w:bookmarkEnd w:id="190"/>
            <w:r w:rsidRPr="00537128">
              <w:rPr>
                <w:rFonts w:ascii="Calibri" w:eastAsia="Calibri" w:hAnsi="Calibri" w:cs="Arial"/>
                <w:spacing w:val="-3"/>
                <w:sz w:val="18"/>
                <w:szCs w:val="18"/>
                <w:lang w:val="en-US"/>
              </w:rPr>
              <w:t xml:space="preserve"> </w:t>
            </w:r>
          </w:p>
        </w:tc>
        <w:tc>
          <w:tcPr>
            <w:tcW w:w="672" w:type="pct"/>
            <w:tcBorders>
              <w:top w:val="nil"/>
              <w:left w:val="nil"/>
              <w:bottom w:val="nil"/>
              <w:right w:val="nil"/>
            </w:tcBorders>
            <w:shd w:val="clear" w:color="auto" w:fill="auto"/>
            <w:vAlign w:val="bottom"/>
          </w:tcPr>
          <w:p w14:paraId="3A32AA8B" w14:textId="0495CB92" w:rsidR="0042275F" w:rsidRPr="00537128" w:rsidRDefault="0042275F" w:rsidP="0042275F">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152</w:t>
            </w:r>
            <w:r w:rsidR="006773EF">
              <w:rPr>
                <w:rFonts w:cstheme="minorHAnsi"/>
                <w:color w:val="000000" w:themeColor="text1"/>
                <w:spacing w:val="-2"/>
                <w:sz w:val="18"/>
                <w:szCs w:val="18"/>
              </w:rPr>
              <w:t>,</w:t>
            </w:r>
            <w:r>
              <w:rPr>
                <w:rFonts w:cstheme="minorHAnsi"/>
                <w:color w:val="000000" w:themeColor="text1"/>
                <w:spacing w:val="-2"/>
                <w:sz w:val="18"/>
                <w:szCs w:val="18"/>
              </w:rPr>
              <w:t>693</w:t>
            </w:r>
          </w:p>
        </w:tc>
        <w:tc>
          <w:tcPr>
            <w:tcW w:w="671" w:type="pct"/>
            <w:tcBorders>
              <w:top w:val="nil"/>
              <w:left w:val="nil"/>
              <w:bottom w:val="nil"/>
              <w:right w:val="nil"/>
            </w:tcBorders>
            <w:shd w:val="clear" w:color="auto" w:fill="auto"/>
            <w:vAlign w:val="bottom"/>
          </w:tcPr>
          <w:p w14:paraId="44C55CEE" w14:textId="3CB902B6" w:rsidR="0042275F" w:rsidRPr="00537128" w:rsidRDefault="0042275F" w:rsidP="0042275F">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346,432</w:t>
            </w:r>
          </w:p>
        </w:tc>
      </w:tr>
      <w:tr w:rsidR="0042275F" w:rsidRPr="00537128" w14:paraId="77A26BDA" w14:textId="77777777" w:rsidTr="00CE00C1">
        <w:trPr>
          <w:trHeight w:hRule="exact" w:val="227"/>
        </w:trPr>
        <w:tc>
          <w:tcPr>
            <w:tcW w:w="3657" w:type="pct"/>
            <w:vAlign w:val="bottom"/>
          </w:tcPr>
          <w:p w14:paraId="05B61CB8" w14:textId="77777777" w:rsidR="0042275F" w:rsidRPr="00537128" w:rsidRDefault="0042275F" w:rsidP="0042275F">
            <w:pPr>
              <w:keepLines/>
              <w:tabs>
                <w:tab w:val="right" w:pos="1202"/>
              </w:tabs>
              <w:spacing w:after="0" w:line="240" w:lineRule="exact"/>
              <w:outlineLvl w:val="0"/>
              <w:rPr>
                <w:rFonts w:ascii="Calibri" w:eastAsia="Calibri" w:hAnsi="Calibri" w:cs="Arial"/>
                <w:spacing w:val="-3"/>
                <w:sz w:val="18"/>
                <w:szCs w:val="18"/>
                <w:lang w:val="en-US"/>
              </w:rPr>
            </w:pPr>
            <w:bookmarkStart w:id="191" w:name="_Toc4057513"/>
            <w:r w:rsidRPr="00537128">
              <w:rPr>
                <w:rFonts w:ascii="Calibri" w:eastAsia="Calibri" w:hAnsi="Calibri" w:cs="Arial"/>
                <w:spacing w:val="-3"/>
                <w:sz w:val="18"/>
                <w:szCs w:val="18"/>
                <w:lang w:val="en-US"/>
              </w:rPr>
              <w:t>Decrease in borrowings – repayments of principle</w:t>
            </w:r>
            <w:bookmarkEnd w:id="191"/>
            <w:r w:rsidRPr="00537128">
              <w:rPr>
                <w:rFonts w:ascii="Calibri" w:eastAsia="Calibri" w:hAnsi="Calibri" w:cs="Arial"/>
                <w:spacing w:val="-3"/>
                <w:sz w:val="18"/>
                <w:szCs w:val="18"/>
                <w:lang w:val="en-US"/>
              </w:rPr>
              <w:t xml:space="preserve"> </w:t>
            </w:r>
          </w:p>
        </w:tc>
        <w:tc>
          <w:tcPr>
            <w:tcW w:w="672" w:type="pct"/>
            <w:tcBorders>
              <w:top w:val="nil"/>
              <w:left w:val="nil"/>
              <w:right w:val="nil"/>
            </w:tcBorders>
            <w:shd w:val="clear" w:color="auto" w:fill="auto"/>
            <w:vAlign w:val="bottom"/>
          </w:tcPr>
          <w:p w14:paraId="367878C4" w14:textId="3F7131A0" w:rsidR="0042275F" w:rsidRPr="00537128" w:rsidRDefault="0042275F" w:rsidP="0042275F">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(559</w:t>
            </w:r>
            <w:r w:rsidR="006773EF">
              <w:rPr>
                <w:rFonts w:cstheme="minorHAnsi"/>
                <w:color w:val="000000" w:themeColor="text1"/>
                <w:spacing w:val="-2"/>
                <w:sz w:val="18"/>
                <w:szCs w:val="18"/>
              </w:rPr>
              <w:t>,</w:t>
            </w:r>
            <w:r>
              <w:rPr>
                <w:rFonts w:cstheme="minorHAnsi"/>
                <w:color w:val="000000" w:themeColor="text1"/>
                <w:spacing w:val="-2"/>
                <w:sz w:val="18"/>
                <w:szCs w:val="18"/>
              </w:rPr>
              <w:t>871)</w:t>
            </w:r>
          </w:p>
        </w:tc>
        <w:tc>
          <w:tcPr>
            <w:tcW w:w="671" w:type="pct"/>
            <w:tcBorders>
              <w:top w:val="nil"/>
              <w:left w:val="nil"/>
              <w:right w:val="nil"/>
            </w:tcBorders>
            <w:shd w:val="clear" w:color="auto" w:fill="auto"/>
            <w:vAlign w:val="bottom"/>
          </w:tcPr>
          <w:p w14:paraId="46BDBA57" w14:textId="2C441E66" w:rsidR="0042275F" w:rsidRPr="00537128" w:rsidRDefault="0042275F" w:rsidP="0042275F">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(636,069)</w:t>
            </w:r>
          </w:p>
        </w:tc>
      </w:tr>
      <w:tr w:rsidR="0042275F" w:rsidRPr="00537128" w14:paraId="35E91A0C" w14:textId="77777777" w:rsidTr="00CE00C1">
        <w:trPr>
          <w:trHeight w:hRule="exact" w:val="227"/>
        </w:trPr>
        <w:tc>
          <w:tcPr>
            <w:tcW w:w="3657" w:type="pct"/>
            <w:vAlign w:val="bottom"/>
          </w:tcPr>
          <w:p w14:paraId="05FB53AC" w14:textId="77777777" w:rsidR="0042275F" w:rsidRPr="00537128" w:rsidRDefault="0042275F" w:rsidP="0042275F">
            <w:pPr>
              <w:keepLines/>
              <w:tabs>
                <w:tab w:val="right" w:pos="1202"/>
              </w:tabs>
              <w:spacing w:after="0" w:line="240" w:lineRule="exact"/>
              <w:outlineLvl w:val="0"/>
              <w:rPr>
                <w:rFonts w:ascii="Calibri" w:eastAsia="Calibri" w:hAnsi="Calibri" w:cs="Arial"/>
                <w:sz w:val="18"/>
                <w:szCs w:val="18"/>
                <w:lang w:val="en-US"/>
              </w:rPr>
            </w:pPr>
            <w:bookmarkStart w:id="192" w:name="_Toc4057519"/>
            <w:r w:rsidRPr="00537128">
              <w:rPr>
                <w:rFonts w:ascii="Calibri" w:eastAsia="Calibri" w:hAnsi="Calibri" w:cs="Arial"/>
                <w:sz w:val="18"/>
                <w:szCs w:val="18"/>
                <w:lang w:val="en-US"/>
              </w:rPr>
              <w:t>Other</w:t>
            </w:r>
            <w:bookmarkEnd w:id="192"/>
          </w:p>
        </w:tc>
        <w:tc>
          <w:tcPr>
            <w:tcW w:w="672" w:type="pct"/>
            <w:tcBorders>
              <w:bottom w:val="single" w:sz="4" w:space="0" w:color="auto"/>
            </w:tcBorders>
            <w:vAlign w:val="bottom"/>
          </w:tcPr>
          <w:p w14:paraId="15C58F21" w14:textId="51042B78" w:rsidR="0042275F" w:rsidRPr="00537128" w:rsidRDefault="0042275F" w:rsidP="0042275F">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1</w:t>
            </w:r>
            <w:r w:rsidR="006773EF">
              <w:rPr>
                <w:rFonts w:cstheme="minorHAnsi"/>
                <w:color w:val="000000" w:themeColor="text1"/>
                <w:spacing w:val="-2"/>
                <w:sz w:val="18"/>
                <w:szCs w:val="18"/>
              </w:rPr>
              <w:t>,</w:t>
            </w:r>
            <w:r>
              <w:rPr>
                <w:rFonts w:cstheme="minorHAnsi"/>
                <w:color w:val="000000" w:themeColor="text1"/>
                <w:spacing w:val="-2"/>
                <w:sz w:val="18"/>
                <w:szCs w:val="18"/>
              </w:rPr>
              <w:t>94</w:t>
            </w:r>
            <w:r w:rsidR="007C2B48">
              <w:rPr>
                <w:rFonts w:cstheme="minorHAnsi"/>
                <w:color w:val="000000" w:themeColor="text1"/>
                <w:spacing w:val="-2"/>
                <w:sz w:val="18"/>
                <w:szCs w:val="18"/>
              </w:rPr>
              <w:t>3</w:t>
            </w:r>
          </w:p>
        </w:tc>
        <w:tc>
          <w:tcPr>
            <w:tcW w:w="671" w:type="pct"/>
            <w:shd w:val="clear" w:color="auto" w:fill="auto"/>
            <w:vAlign w:val="bottom"/>
          </w:tcPr>
          <w:p w14:paraId="5710ADD1" w14:textId="0A49A217" w:rsidR="0042275F" w:rsidRPr="00537128" w:rsidRDefault="0042275F" w:rsidP="0042275F">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(462)</w:t>
            </w:r>
          </w:p>
        </w:tc>
      </w:tr>
      <w:tr w:rsidR="0042275F" w:rsidRPr="00537128" w14:paraId="196AFB83" w14:textId="77777777" w:rsidTr="00CE00C1">
        <w:trPr>
          <w:trHeight w:hRule="exact" w:val="284"/>
        </w:trPr>
        <w:tc>
          <w:tcPr>
            <w:tcW w:w="3657" w:type="pct"/>
            <w:vAlign w:val="bottom"/>
          </w:tcPr>
          <w:p w14:paraId="4A990025" w14:textId="77777777" w:rsidR="0042275F" w:rsidRPr="00567D93" w:rsidRDefault="0042275F" w:rsidP="0042275F">
            <w:pPr>
              <w:keepLines/>
              <w:tabs>
                <w:tab w:val="right" w:pos="1202"/>
              </w:tabs>
              <w:spacing w:after="0" w:line="240" w:lineRule="exact"/>
              <w:outlineLvl w:val="0"/>
              <w:rPr>
                <w:rFonts w:ascii="Calibri" w:eastAsia="Calibri" w:hAnsi="Calibri" w:cs="Arial"/>
                <w:b/>
                <w:bCs/>
                <w:spacing w:val="-3"/>
                <w:sz w:val="18"/>
                <w:szCs w:val="18"/>
                <w:lang w:val="en-US"/>
              </w:rPr>
            </w:pPr>
            <w:bookmarkStart w:id="193" w:name="_Toc4057522"/>
            <w:r w:rsidRPr="009E0B26">
              <w:rPr>
                <w:rFonts w:ascii="Calibri" w:eastAsia="Calibri" w:hAnsi="Calibri" w:cs="Arial"/>
                <w:b/>
                <w:bCs/>
                <w:sz w:val="18"/>
                <w:szCs w:val="18"/>
                <w:lang w:val="en-US"/>
              </w:rPr>
              <w:t xml:space="preserve">Net cash </w:t>
            </w:r>
            <w:r w:rsidRPr="00A1123E">
              <w:rPr>
                <w:rFonts w:ascii="Calibri" w:eastAsia="Calibri" w:hAnsi="Calibri" w:cs="Arial"/>
                <w:b/>
                <w:bCs/>
                <w:sz w:val="18"/>
                <w:szCs w:val="18"/>
                <w:lang w:val="en-US"/>
              </w:rPr>
              <w:t>used in</w:t>
            </w:r>
            <w:r w:rsidRPr="009E0B26">
              <w:rPr>
                <w:rFonts w:ascii="Calibri" w:eastAsia="Calibri" w:hAnsi="Calibri" w:cs="Arial"/>
                <w:b/>
                <w:bCs/>
                <w:sz w:val="18"/>
                <w:szCs w:val="18"/>
                <w:lang w:val="en-US"/>
              </w:rPr>
              <w:t xml:space="preserve"> financing activities</w:t>
            </w:r>
            <w:bookmarkEnd w:id="193"/>
            <w:r w:rsidRPr="009E0B26">
              <w:rPr>
                <w:rFonts w:ascii="Calibri" w:eastAsia="Calibri" w:hAnsi="Calibri" w:cs="Arial"/>
                <w:b/>
                <w:bCs/>
                <w:sz w:val="18"/>
                <w:szCs w:val="18"/>
                <w:lang w:val="en-US"/>
              </w:rPr>
              <w:t xml:space="preserve"> </w:t>
            </w:r>
          </w:p>
        </w:tc>
        <w:tc>
          <w:tcPr>
            <w:tcW w:w="672" w:type="pct"/>
            <w:tcBorders>
              <w:top w:val="single" w:sz="4" w:space="0" w:color="auto"/>
              <w:bottom w:val="single" w:sz="12" w:space="0" w:color="auto"/>
            </w:tcBorders>
            <w:vAlign w:val="bottom"/>
          </w:tcPr>
          <w:p w14:paraId="6AA777B6" w14:textId="4F244A49" w:rsidR="0042275F" w:rsidRPr="00537128" w:rsidRDefault="0042275F" w:rsidP="0042275F">
            <w:pPr>
              <w:spacing w:after="0" w:line="240" w:lineRule="exact"/>
              <w:jc w:val="right"/>
              <w:rPr>
                <w:rFonts w:ascii="Calibri" w:eastAsia="Calibri" w:hAnsi="Calibri" w:cs="Arial"/>
                <w:b/>
                <w:bCs/>
                <w:spacing w:val="-2"/>
                <w:sz w:val="18"/>
                <w:szCs w:val="18"/>
                <w:lang w:val="en-US"/>
              </w:rPr>
            </w:pPr>
            <w:r>
              <w:rPr>
                <w:rFonts w:cstheme="minorHAnsi"/>
                <w:b/>
                <w:bCs/>
                <w:color w:val="000000" w:themeColor="text1"/>
                <w:sz w:val="18"/>
                <w:szCs w:val="18"/>
              </w:rPr>
              <w:t>(405</w:t>
            </w:r>
            <w:r w:rsidR="006773EF">
              <w:rPr>
                <w:rFonts w:cstheme="minorHAnsi"/>
                <w:b/>
                <w:bCs/>
                <w:color w:val="000000" w:themeColor="text1"/>
                <w:sz w:val="18"/>
                <w:szCs w:val="18"/>
              </w:rPr>
              <w:t>,</w:t>
            </w:r>
            <w:r>
              <w:rPr>
                <w:rFonts w:cstheme="minorHAnsi"/>
                <w:b/>
                <w:bCs/>
                <w:color w:val="000000" w:themeColor="text1"/>
                <w:sz w:val="18"/>
                <w:szCs w:val="18"/>
              </w:rPr>
              <w:t>23</w:t>
            </w:r>
            <w:r w:rsidR="007C2B48">
              <w:rPr>
                <w:rFonts w:cstheme="minorHAnsi"/>
                <w:b/>
                <w:bCs/>
                <w:color w:val="000000" w:themeColor="text1"/>
                <w:sz w:val="18"/>
                <w:szCs w:val="18"/>
              </w:rPr>
              <w:t>5</w:t>
            </w:r>
            <w:r>
              <w:rPr>
                <w:rFonts w:cstheme="minorHAnsi"/>
                <w:b/>
                <w:bCs/>
                <w:color w:val="000000" w:themeColor="text1"/>
                <w:sz w:val="18"/>
                <w:szCs w:val="18"/>
              </w:rPr>
              <w:t>)</w:t>
            </w:r>
          </w:p>
        </w:tc>
        <w:tc>
          <w:tcPr>
            <w:tcW w:w="671" w:type="pct"/>
            <w:tcBorders>
              <w:top w:val="single" w:sz="4" w:space="0" w:color="auto"/>
              <w:bottom w:val="single" w:sz="12" w:space="0" w:color="auto"/>
            </w:tcBorders>
            <w:shd w:val="clear" w:color="auto" w:fill="auto"/>
            <w:vAlign w:val="bottom"/>
          </w:tcPr>
          <w:p w14:paraId="35A86D04" w14:textId="2320897E" w:rsidR="0042275F" w:rsidRPr="00537128" w:rsidRDefault="0042275F" w:rsidP="0042275F">
            <w:pPr>
              <w:spacing w:after="0" w:line="240" w:lineRule="exact"/>
              <w:jc w:val="right"/>
              <w:rPr>
                <w:rFonts w:ascii="Calibri" w:eastAsia="Calibri" w:hAnsi="Calibri" w:cs="Arial"/>
                <w:b/>
                <w:bCs/>
                <w:spacing w:val="-2"/>
                <w:sz w:val="18"/>
                <w:szCs w:val="18"/>
                <w:lang w:val="en-US"/>
              </w:rPr>
            </w:pPr>
            <w:r>
              <w:rPr>
                <w:rFonts w:cstheme="minorHAnsi"/>
                <w:b/>
                <w:bCs/>
                <w:color w:val="000000" w:themeColor="text1"/>
                <w:sz w:val="18"/>
                <w:szCs w:val="18"/>
              </w:rPr>
              <w:t>(290,099)</w:t>
            </w:r>
          </w:p>
        </w:tc>
      </w:tr>
      <w:tr w:rsidR="0042275F" w:rsidRPr="00537128" w14:paraId="5CCF1246" w14:textId="77777777" w:rsidTr="00CE00C1">
        <w:trPr>
          <w:trHeight w:hRule="exact" w:val="356"/>
        </w:trPr>
        <w:tc>
          <w:tcPr>
            <w:tcW w:w="3657" w:type="pct"/>
            <w:vAlign w:val="bottom"/>
          </w:tcPr>
          <w:p w14:paraId="383F87E3" w14:textId="77777777" w:rsidR="0042275F" w:rsidRPr="00537128" w:rsidRDefault="0042275F" w:rsidP="0042275F">
            <w:pPr>
              <w:keepLines/>
              <w:tabs>
                <w:tab w:val="right" w:pos="1202"/>
              </w:tabs>
              <w:spacing w:after="0" w:line="240" w:lineRule="exact"/>
              <w:outlineLvl w:val="0"/>
              <w:rPr>
                <w:rFonts w:ascii="Calibri" w:eastAsia="Calibri" w:hAnsi="Calibri" w:cs="Arial"/>
                <w:b/>
                <w:bCs/>
                <w:sz w:val="18"/>
                <w:szCs w:val="18"/>
                <w:lang w:val="en-US"/>
              </w:rPr>
            </w:pPr>
            <w:bookmarkStart w:id="194" w:name="_Toc4057523"/>
            <w:r w:rsidRPr="00537128">
              <w:rPr>
                <w:rFonts w:ascii="Calibri" w:eastAsia="Calibri" w:hAnsi="Calibri" w:cs="Arial"/>
                <w:b/>
                <w:bCs/>
                <w:sz w:val="18"/>
                <w:szCs w:val="18"/>
                <w:lang w:val="en-US"/>
              </w:rPr>
              <w:t>Effect of foreign currency to cash and cash equivalents</w:t>
            </w:r>
            <w:bookmarkEnd w:id="194"/>
          </w:p>
        </w:tc>
        <w:tc>
          <w:tcPr>
            <w:tcW w:w="672" w:type="pct"/>
            <w:tcBorders>
              <w:top w:val="single" w:sz="12" w:space="0" w:color="auto"/>
            </w:tcBorders>
            <w:shd w:val="clear" w:color="auto" w:fill="auto"/>
            <w:vAlign w:val="bottom"/>
          </w:tcPr>
          <w:p w14:paraId="784CEB40" w14:textId="77777777" w:rsidR="0042275F" w:rsidRPr="00537128" w:rsidRDefault="0042275F" w:rsidP="0042275F">
            <w:pPr>
              <w:spacing w:after="0" w:line="240" w:lineRule="exact"/>
              <w:jc w:val="right"/>
              <w:rPr>
                <w:rFonts w:ascii="Calibri" w:eastAsia="Calibri" w:hAnsi="Calibri" w:cs="Arial"/>
                <w:b/>
                <w:bCs/>
                <w:sz w:val="18"/>
                <w:szCs w:val="18"/>
                <w:lang w:val="en-US"/>
              </w:rPr>
            </w:pPr>
          </w:p>
        </w:tc>
        <w:tc>
          <w:tcPr>
            <w:tcW w:w="671" w:type="pct"/>
            <w:tcBorders>
              <w:top w:val="single" w:sz="12" w:space="0" w:color="auto"/>
            </w:tcBorders>
            <w:shd w:val="clear" w:color="auto" w:fill="auto"/>
            <w:vAlign w:val="bottom"/>
          </w:tcPr>
          <w:p w14:paraId="39E9E3A5" w14:textId="77777777" w:rsidR="0042275F" w:rsidRPr="00537128" w:rsidRDefault="0042275F" w:rsidP="0042275F">
            <w:pPr>
              <w:spacing w:after="0" w:line="240" w:lineRule="exact"/>
              <w:jc w:val="right"/>
              <w:rPr>
                <w:rFonts w:ascii="Calibri" w:eastAsia="Calibri" w:hAnsi="Calibri" w:cs="Arial"/>
                <w:b/>
                <w:bCs/>
                <w:sz w:val="18"/>
                <w:szCs w:val="18"/>
                <w:lang w:val="en-US"/>
              </w:rPr>
            </w:pPr>
          </w:p>
        </w:tc>
      </w:tr>
      <w:tr w:rsidR="00941A83" w:rsidRPr="00537128" w14:paraId="4686B4E1" w14:textId="77777777" w:rsidTr="00CE00C1">
        <w:trPr>
          <w:trHeight w:hRule="exact" w:val="227"/>
        </w:trPr>
        <w:tc>
          <w:tcPr>
            <w:tcW w:w="3657" w:type="pct"/>
            <w:vAlign w:val="bottom"/>
          </w:tcPr>
          <w:p w14:paraId="0EFCDF66" w14:textId="77777777" w:rsidR="00941A83" w:rsidRPr="00537128" w:rsidRDefault="00941A83" w:rsidP="00941A83">
            <w:pPr>
              <w:keepLines/>
              <w:tabs>
                <w:tab w:val="right" w:pos="1202"/>
              </w:tabs>
              <w:spacing w:after="0" w:line="240" w:lineRule="exact"/>
              <w:outlineLvl w:val="0"/>
              <w:rPr>
                <w:rFonts w:ascii="Calibri" w:eastAsia="Calibri" w:hAnsi="Calibri" w:cs="Arial"/>
                <w:bCs/>
                <w:sz w:val="18"/>
                <w:szCs w:val="18"/>
                <w:lang w:val="en-US"/>
              </w:rPr>
            </w:pPr>
            <w:bookmarkStart w:id="195" w:name="_Toc4057524"/>
            <w:r w:rsidRPr="00537128">
              <w:rPr>
                <w:rFonts w:ascii="Calibri" w:eastAsia="Calibri" w:hAnsi="Calibri" w:cs="Arial"/>
                <w:bCs/>
                <w:sz w:val="18"/>
                <w:szCs w:val="18"/>
                <w:lang w:val="en-US"/>
              </w:rPr>
              <w:t>Net foreign exchange</w:t>
            </w:r>
            <w:bookmarkEnd w:id="195"/>
            <w:r w:rsidRPr="00537128">
              <w:rPr>
                <w:rFonts w:ascii="Calibri" w:eastAsia="Calibri" w:hAnsi="Calibri" w:cs="Arial"/>
                <w:bCs/>
                <w:sz w:val="18"/>
                <w:szCs w:val="18"/>
                <w:lang w:val="en-US"/>
              </w:rPr>
              <w:t xml:space="preserve"> </w:t>
            </w:r>
          </w:p>
        </w:tc>
        <w:tc>
          <w:tcPr>
            <w:tcW w:w="672" w:type="pct"/>
            <w:tcBorders>
              <w:bottom w:val="single" w:sz="4" w:space="0" w:color="auto"/>
            </w:tcBorders>
            <w:vAlign w:val="bottom"/>
          </w:tcPr>
          <w:p w14:paraId="161308F9" w14:textId="7760B4CC" w:rsidR="00941A83" w:rsidRPr="00537128" w:rsidRDefault="00941A83" w:rsidP="00941A83">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bCs/>
                <w:color w:val="000000" w:themeColor="text1"/>
                <w:sz w:val="18"/>
                <w:szCs w:val="18"/>
              </w:rPr>
              <w:t>111</w:t>
            </w:r>
            <w:r w:rsidR="006773EF">
              <w:rPr>
                <w:rFonts w:cstheme="minorHAnsi"/>
                <w:bCs/>
                <w:color w:val="000000" w:themeColor="text1"/>
                <w:sz w:val="18"/>
                <w:szCs w:val="18"/>
              </w:rPr>
              <w:t>,</w:t>
            </w:r>
            <w:r>
              <w:rPr>
                <w:rFonts w:cstheme="minorHAnsi"/>
                <w:bCs/>
                <w:color w:val="000000" w:themeColor="text1"/>
                <w:sz w:val="18"/>
                <w:szCs w:val="18"/>
              </w:rPr>
              <w:t>293</w:t>
            </w:r>
          </w:p>
        </w:tc>
        <w:tc>
          <w:tcPr>
            <w:tcW w:w="671" w:type="pct"/>
            <w:shd w:val="clear" w:color="auto" w:fill="auto"/>
            <w:vAlign w:val="bottom"/>
          </w:tcPr>
          <w:p w14:paraId="734C05C8" w14:textId="54031426" w:rsidR="00941A83" w:rsidRPr="00537128" w:rsidRDefault="00941A83" w:rsidP="00941A83">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bCs/>
                <w:color w:val="000000" w:themeColor="text1"/>
                <w:sz w:val="18"/>
                <w:szCs w:val="18"/>
              </w:rPr>
              <w:t>70,777</w:t>
            </w:r>
          </w:p>
        </w:tc>
      </w:tr>
      <w:tr w:rsidR="00941A83" w:rsidRPr="00537128" w14:paraId="7C776031" w14:textId="77777777" w:rsidTr="00CE00C1">
        <w:trPr>
          <w:trHeight w:hRule="exact" w:val="284"/>
        </w:trPr>
        <w:tc>
          <w:tcPr>
            <w:tcW w:w="3657" w:type="pct"/>
            <w:vAlign w:val="bottom"/>
          </w:tcPr>
          <w:p w14:paraId="38D5F2E1" w14:textId="076D1AD4" w:rsidR="00941A83" w:rsidRPr="00537128" w:rsidRDefault="00941A83" w:rsidP="00941A83">
            <w:pPr>
              <w:keepLines/>
              <w:tabs>
                <w:tab w:val="right" w:pos="1202"/>
              </w:tabs>
              <w:spacing w:after="0" w:line="240" w:lineRule="exact"/>
              <w:outlineLvl w:val="0"/>
              <w:rPr>
                <w:rFonts w:ascii="Calibri" w:eastAsia="Calibri" w:hAnsi="Calibri" w:cs="Arial"/>
                <w:b/>
                <w:spacing w:val="-3"/>
                <w:sz w:val="18"/>
                <w:szCs w:val="18"/>
                <w:lang w:val="en-US"/>
              </w:rPr>
            </w:pPr>
            <w:bookmarkStart w:id="196" w:name="_Toc4057527"/>
            <w:r w:rsidRPr="00537128">
              <w:rPr>
                <w:rFonts w:ascii="Calibri" w:eastAsia="Calibri" w:hAnsi="Calibri" w:cs="Arial"/>
                <w:b/>
                <w:spacing w:val="-3"/>
                <w:sz w:val="18"/>
                <w:szCs w:val="18"/>
                <w:lang w:val="en-US"/>
              </w:rPr>
              <w:t>Net effect</w:t>
            </w:r>
            <w:bookmarkEnd w:id="196"/>
          </w:p>
        </w:tc>
        <w:tc>
          <w:tcPr>
            <w:tcW w:w="672" w:type="pct"/>
            <w:tcBorders>
              <w:top w:val="single" w:sz="4" w:space="0" w:color="auto"/>
              <w:bottom w:val="single" w:sz="12" w:space="0" w:color="auto"/>
            </w:tcBorders>
            <w:vAlign w:val="bottom"/>
          </w:tcPr>
          <w:p w14:paraId="02D38519" w14:textId="5D4FF209" w:rsidR="00941A83" w:rsidRPr="00537128" w:rsidRDefault="00941A83" w:rsidP="00941A83">
            <w:pPr>
              <w:spacing w:after="0" w:line="240" w:lineRule="exact"/>
              <w:jc w:val="right"/>
              <w:rPr>
                <w:rFonts w:ascii="Calibri" w:eastAsia="Calibri" w:hAnsi="Calibri" w:cs="Arial"/>
                <w:b/>
                <w:bCs/>
                <w:spacing w:val="-2"/>
                <w:sz w:val="18"/>
                <w:szCs w:val="18"/>
                <w:lang w:val="en-US"/>
              </w:rPr>
            </w:pPr>
            <w:r>
              <w:rPr>
                <w:rFonts w:cstheme="minorHAnsi"/>
                <w:b/>
                <w:color w:val="000000" w:themeColor="text1"/>
                <w:spacing w:val="-3"/>
                <w:sz w:val="18"/>
                <w:szCs w:val="18"/>
              </w:rPr>
              <w:t>111</w:t>
            </w:r>
            <w:r w:rsidR="006773EF">
              <w:rPr>
                <w:rFonts w:cstheme="minorHAnsi"/>
                <w:b/>
                <w:color w:val="000000" w:themeColor="text1"/>
                <w:spacing w:val="-3"/>
                <w:sz w:val="18"/>
                <w:szCs w:val="18"/>
              </w:rPr>
              <w:t>,</w:t>
            </w:r>
            <w:r>
              <w:rPr>
                <w:rFonts w:cstheme="minorHAnsi"/>
                <w:b/>
                <w:color w:val="000000" w:themeColor="text1"/>
                <w:spacing w:val="-3"/>
                <w:sz w:val="18"/>
                <w:szCs w:val="18"/>
              </w:rPr>
              <w:t>293</w:t>
            </w:r>
          </w:p>
        </w:tc>
        <w:tc>
          <w:tcPr>
            <w:tcW w:w="671" w:type="pct"/>
            <w:tcBorders>
              <w:top w:val="single" w:sz="2" w:space="0" w:color="auto"/>
              <w:bottom w:val="single" w:sz="12" w:space="0" w:color="auto"/>
              <w:right w:val="nil"/>
            </w:tcBorders>
            <w:shd w:val="clear" w:color="auto" w:fill="auto"/>
            <w:vAlign w:val="bottom"/>
          </w:tcPr>
          <w:p w14:paraId="07A5BE04" w14:textId="5D6753EF" w:rsidR="00941A83" w:rsidRPr="00537128" w:rsidRDefault="00941A83" w:rsidP="00941A83">
            <w:pPr>
              <w:spacing w:after="0" w:line="240" w:lineRule="exact"/>
              <w:jc w:val="right"/>
              <w:rPr>
                <w:rFonts w:ascii="Calibri" w:eastAsia="Calibri" w:hAnsi="Calibri" w:cs="Arial"/>
                <w:b/>
                <w:bCs/>
                <w:spacing w:val="-2"/>
                <w:sz w:val="18"/>
                <w:szCs w:val="18"/>
                <w:lang w:val="en-US"/>
              </w:rPr>
            </w:pPr>
            <w:r>
              <w:rPr>
                <w:rFonts w:cstheme="minorHAnsi"/>
                <w:b/>
                <w:color w:val="000000" w:themeColor="text1"/>
                <w:spacing w:val="-3"/>
                <w:sz w:val="18"/>
                <w:szCs w:val="18"/>
              </w:rPr>
              <w:t>70,777</w:t>
            </w:r>
          </w:p>
        </w:tc>
      </w:tr>
      <w:tr w:rsidR="00941A83" w:rsidRPr="00537128" w14:paraId="515EBDC3" w14:textId="77777777" w:rsidTr="00977394">
        <w:trPr>
          <w:trHeight w:hRule="exact" w:val="113"/>
        </w:trPr>
        <w:tc>
          <w:tcPr>
            <w:tcW w:w="3657" w:type="pct"/>
            <w:vAlign w:val="bottom"/>
          </w:tcPr>
          <w:p w14:paraId="0AB2263D" w14:textId="77777777" w:rsidR="00941A83" w:rsidRPr="00537128" w:rsidRDefault="00941A83" w:rsidP="00941A83">
            <w:pPr>
              <w:keepLines/>
              <w:tabs>
                <w:tab w:val="right" w:pos="1202"/>
              </w:tabs>
              <w:spacing w:after="0" w:line="240" w:lineRule="exact"/>
              <w:outlineLvl w:val="0"/>
              <w:rPr>
                <w:rFonts w:ascii="Calibri" w:eastAsia="Calibri" w:hAnsi="Calibri" w:cs="Arial"/>
                <w:b/>
                <w:spacing w:val="-3"/>
                <w:sz w:val="18"/>
                <w:szCs w:val="18"/>
                <w:lang w:val="en-US"/>
              </w:rPr>
            </w:pPr>
          </w:p>
        </w:tc>
        <w:tc>
          <w:tcPr>
            <w:tcW w:w="672" w:type="pct"/>
            <w:tcBorders>
              <w:top w:val="single" w:sz="12" w:space="0" w:color="auto"/>
            </w:tcBorders>
            <w:vAlign w:val="bottom"/>
          </w:tcPr>
          <w:p w14:paraId="6F71B2D2" w14:textId="77777777" w:rsidR="00941A83" w:rsidRPr="00537128" w:rsidRDefault="00941A83" w:rsidP="00941A83">
            <w:pPr>
              <w:spacing w:after="0" w:line="240" w:lineRule="exact"/>
              <w:jc w:val="right"/>
              <w:rPr>
                <w:rFonts w:ascii="Calibri" w:eastAsia="Times New Roman" w:hAnsi="Calibri" w:cs="Calibri"/>
                <w:b/>
                <w:color w:val="000000"/>
                <w:spacing w:val="-3"/>
                <w:sz w:val="18"/>
                <w:szCs w:val="18"/>
                <w:lang w:val="en-US"/>
              </w:rPr>
            </w:pPr>
          </w:p>
        </w:tc>
        <w:tc>
          <w:tcPr>
            <w:tcW w:w="671" w:type="pct"/>
            <w:tcBorders>
              <w:top w:val="single" w:sz="2" w:space="0" w:color="auto"/>
              <w:right w:val="nil"/>
            </w:tcBorders>
            <w:shd w:val="clear" w:color="auto" w:fill="auto"/>
            <w:vAlign w:val="bottom"/>
          </w:tcPr>
          <w:p w14:paraId="77E6191F" w14:textId="77777777" w:rsidR="00941A83" w:rsidRPr="00537128" w:rsidRDefault="00941A83" w:rsidP="00941A83">
            <w:pPr>
              <w:spacing w:after="0" w:line="240" w:lineRule="exact"/>
              <w:jc w:val="right"/>
              <w:rPr>
                <w:rFonts w:ascii="Calibri" w:eastAsia="Calibri" w:hAnsi="Calibri" w:cs="Arial"/>
                <w:b/>
                <w:bCs/>
                <w:spacing w:val="-2"/>
                <w:sz w:val="18"/>
                <w:szCs w:val="18"/>
                <w:lang w:val="en-US"/>
              </w:rPr>
            </w:pPr>
          </w:p>
        </w:tc>
      </w:tr>
      <w:tr w:rsidR="00941A83" w:rsidRPr="00537128" w14:paraId="0501BF4B" w14:textId="77777777" w:rsidTr="00CE00C1">
        <w:trPr>
          <w:trHeight w:hRule="exact" w:val="284"/>
        </w:trPr>
        <w:tc>
          <w:tcPr>
            <w:tcW w:w="3657" w:type="pct"/>
            <w:vAlign w:val="bottom"/>
          </w:tcPr>
          <w:p w14:paraId="3AA2B34A" w14:textId="68EF00C9" w:rsidR="00941A83" w:rsidRPr="00567D93" w:rsidRDefault="00941A83" w:rsidP="00941A83">
            <w:pPr>
              <w:keepLines/>
              <w:tabs>
                <w:tab w:val="right" w:pos="1202"/>
              </w:tabs>
              <w:spacing w:after="0" w:line="240" w:lineRule="exact"/>
              <w:outlineLvl w:val="0"/>
              <w:rPr>
                <w:rFonts w:ascii="Calibri" w:eastAsia="Calibri" w:hAnsi="Calibri" w:cs="Arial"/>
                <w:sz w:val="18"/>
                <w:szCs w:val="18"/>
                <w:lang w:val="en-US"/>
              </w:rPr>
            </w:pPr>
            <w:bookmarkStart w:id="197" w:name="_Toc4057528"/>
            <w:r w:rsidRPr="009E0B26">
              <w:rPr>
                <w:rFonts w:ascii="Calibri" w:eastAsia="Calibri" w:hAnsi="Calibri" w:cs="Arial"/>
                <w:sz w:val="18"/>
                <w:szCs w:val="18"/>
                <w:lang w:val="en-US"/>
              </w:rPr>
              <w:t xml:space="preserve">Net </w:t>
            </w:r>
            <w:r>
              <w:rPr>
                <w:rFonts w:ascii="Calibri" w:eastAsia="Calibri" w:hAnsi="Calibri" w:cs="Arial"/>
                <w:sz w:val="18"/>
                <w:szCs w:val="18"/>
                <w:lang w:val="en-US"/>
              </w:rPr>
              <w:t>(decrease)/</w:t>
            </w:r>
            <w:r w:rsidRPr="00A1123E">
              <w:rPr>
                <w:rFonts w:ascii="Calibri" w:eastAsia="Calibri" w:hAnsi="Calibri" w:cs="Arial"/>
                <w:sz w:val="18"/>
                <w:szCs w:val="18"/>
                <w:lang w:val="en-US"/>
              </w:rPr>
              <w:t>increase</w:t>
            </w:r>
            <w:r w:rsidRPr="009E0B26">
              <w:rPr>
                <w:rFonts w:ascii="Calibri" w:eastAsia="Calibri" w:hAnsi="Calibri" w:cs="Arial"/>
                <w:sz w:val="18"/>
                <w:szCs w:val="18"/>
                <w:lang w:val="en-US"/>
              </w:rPr>
              <w:t xml:space="preserve"> in cash and cash equivalents</w:t>
            </w:r>
            <w:bookmarkEnd w:id="197"/>
            <w:r w:rsidRPr="009E0B26">
              <w:rPr>
                <w:rFonts w:ascii="Calibri" w:eastAsia="Calibri" w:hAnsi="Calibri" w:cs="Arial"/>
                <w:sz w:val="18"/>
                <w:szCs w:val="18"/>
                <w:lang w:val="en-US"/>
              </w:rPr>
              <w:t xml:space="preserve"> </w:t>
            </w:r>
          </w:p>
        </w:tc>
        <w:tc>
          <w:tcPr>
            <w:tcW w:w="672" w:type="pct"/>
            <w:vAlign w:val="bottom"/>
          </w:tcPr>
          <w:p w14:paraId="0EC4E25F" w14:textId="0FC0932A" w:rsidR="00941A83" w:rsidRPr="00537128" w:rsidRDefault="00941A83" w:rsidP="00941A83">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(387</w:t>
            </w:r>
            <w:r w:rsidR="006773EF">
              <w:rPr>
                <w:rFonts w:cstheme="minorHAnsi"/>
                <w:color w:val="000000" w:themeColor="text1"/>
                <w:spacing w:val="-2"/>
                <w:sz w:val="18"/>
                <w:szCs w:val="18"/>
              </w:rPr>
              <w:t>,</w:t>
            </w:r>
            <w:r>
              <w:rPr>
                <w:rFonts w:cstheme="minorHAnsi"/>
                <w:color w:val="000000" w:themeColor="text1"/>
                <w:spacing w:val="-2"/>
                <w:sz w:val="18"/>
                <w:szCs w:val="18"/>
              </w:rPr>
              <w:t>963</w:t>
            </w:r>
            <w:r w:rsidR="009C78C1">
              <w:rPr>
                <w:rFonts w:cstheme="minorHAnsi"/>
                <w:color w:val="000000" w:themeColor="text1"/>
                <w:spacing w:val="-2"/>
                <w:sz w:val="18"/>
                <w:szCs w:val="18"/>
              </w:rPr>
              <w:t>)</w:t>
            </w:r>
          </w:p>
        </w:tc>
        <w:tc>
          <w:tcPr>
            <w:tcW w:w="671" w:type="pct"/>
            <w:shd w:val="clear" w:color="auto" w:fill="auto"/>
            <w:vAlign w:val="bottom"/>
          </w:tcPr>
          <w:p w14:paraId="322D0ABD" w14:textId="5C8B63BE" w:rsidR="00941A83" w:rsidRPr="00537128" w:rsidRDefault="00941A83" w:rsidP="00941A83">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187,083</w:t>
            </w:r>
          </w:p>
        </w:tc>
      </w:tr>
      <w:tr w:rsidR="00941A83" w:rsidRPr="00537128" w14:paraId="3F589D4B" w14:textId="77777777" w:rsidTr="00CE00C1">
        <w:trPr>
          <w:trHeight w:hRule="exact" w:val="170"/>
        </w:trPr>
        <w:tc>
          <w:tcPr>
            <w:tcW w:w="3657" w:type="pct"/>
            <w:vAlign w:val="bottom"/>
          </w:tcPr>
          <w:p w14:paraId="2F14506D" w14:textId="77777777" w:rsidR="00941A83" w:rsidRPr="009E0B26" w:rsidRDefault="00941A83" w:rsidP="00941A83">
            <w:pPr>
              <w:keepLines/>
              <w:tabs>
                <w:tab w:val="right" w:pos="1202"/>
              </w:tabs>
              <w:spacing w:after="0" w:line="240" w:lineRule="exact"/>
              <w:outlineLvl w:val="0"/>
              <w:rPr>
                <w:rFonts w:ascii="Calibri" w:eastAsia="Calibri" w:hAnsi="Calibri" w:cs="Arial"/>
                <w:sz w:val="18"/>
                <w:szCs w:val="18"/>
                <w:lang w:val="en-US"/>
              </w:rPr>
            </w:pPr>
          </w:p>
        </w:tc>
        <w:tc>
          <w:tcPr>
            <w:tcW w:w="672" w:type="pct"/>
            <w:vAlign w:val="bottom"/>
          </w:tcPr>
          <w:p w14:paraId="395E3792" w14:textId="77777777" w:rsidR="00941A83" w:rsidRPr="00537128" w:rsidRDefault="00941A83" w:rsidP="00941A83">
            <w:pPr>
              <w:keepLines/>
              <w:tabs>
                <w:tab w:val="right" w:pos="1202"/>
              </w:tabs>
              <w:spacing w:after="0" w:line="240" w:lineRule="exact"/>
              <w:jc w:val="right"/>
              <w:outlineLvl w:val="0"/>
              <w:rPr>
                <w:rFonts w:ascii="Calibri" w:eastAsia="Calibri" w:hAnsi="Calibri" w:cs="Arial"/>
                <w:bCs/>
                <w:sz w:val="18"/>
                <w:szCs w:val="18"/>
                <w:lang w:val="en-US"/>
              </w:rPr>
            </w:pPr>
          </w:p>
        </w:tc>
        <w:tc>
          <w:tcPr>
            <w:tcW w:w="671" w:type="pct"/>
            <w:shd w:val="clear" w:color="auto" w:fill="auto"/>
            <w:vAlign w:val="bottom"/>
          </w:tcPr>
          <w:p w14:paraId="6E86AAF0" w14:textId="77777777" w:rsidR="00941A83" w:rsidRPr="00537128" w:rsidRDefault="00941A83" w:rsidP="00941A83">
            <w:pPr>
              <w:keepLines/>
              <w:tabs>
                <w:tab w:val="right" w:pos="1202"/>
              </w:tabs>
              <w:spacing w:after="0" w:line="240" w:lineRule="exact"/>
              <w:jc w:val="right"/>
              <w:outlineLvl w:val="0"/>
              <w:rPr>
                <w:rFonts w:ascii="Calibri" w:eastAsia="Calibri" w:hAnsi="Calibri" w:cs="Arial"/>
                <w:bCs/>
                <w:sz w:val="18"/>
                <w:szCs w:val="18"/>
                <w:lang w:val="en-US"/>
              </w:rPr>
            </w:pPr>
          </w:p>
        </w:tc>
      </w:tr>
      <w:tr w:rsidR="00941A83" w:rsidRPr="00537128" w14:paraId="133F69F8" w14:textId="77777777" w:rsidTr="00CE00C1">
        <w:trPr>
          <w:trHeight w:hRule="exact" w:val="227"/>
        </w:trPr>
        <w:tc>
          <w:tcPr>
            <w:tcW w:w="3657" w:type="pct"/>
            <w:vAlign w:val="bottom"/>
          </w:tcPr>
          <w:p w14:paraId="4597137F" w14:textId="77777777" w:rsidR="00941A83" w:rsidRPr="00567D93" w:rsidRDefault="00941A83" w:rsidP="00941A83">
            <w:pPr>
              <w:keepLines/>
              <w:tabs>
                <w:tab w:val="right" w:pos="1202"/>
              </w:tabs>
              <w:spacing w:after="0" w:line="240" w:lineRule="exact"/>
              <w:outlineLvl w:val="0"/>
              <w:rPr>
                <w:rFonts w:ascii="Calibri" w:eastAsia="Calibri" w:hAnsi="Calibri" w:cs="Arial"/>
                <w:sz w:val="18"/>
                <w:szCs w:val="18"/>
                <w:lang w:val="en-US"/>
              </w:rPr>
            </w:pPr>
            <w:bookmarkStart w:id="198" w:name="_Toc4057531"/>
            <w:r w:rsidRPr="009E0B26">
              <w:rPr>
                <w:rFonts w:ascii="Calibri" w:eastAsia="Calibri" w:hAnsi="Calibri" w:cs="Arial"/>
                <w:sz w:val="18"/>
                <w:szCs w:val="18"/>
                <w:lang w:val="en-US"/>
              </w:rPr>
              <w:t>Cash and cash equivalents balance as of 1 January, before impairment</w:t>
            </w:r>
            <w:bookmarkEnd w:id="198"/>
          </w:p>
        </w:tc>
        <w:tc>
          <w:tcPr>
            <w:tcW w:w="672" w:type="pct"/>
            <w:tcBorders>
              <w:top w:val="nil"/>
              <w:left w:val="nil"/>
              <w:bottom w:val="nil"/>
              <w:right w:val="nil"/>
            </w:tcBorders>
            <w:shd w:val="clear" w:color="auto" w:fill="auto"/>
            <w:vAlign w:val="bottom"/>
          </w:tcPr>
          <w:p w14:paraId="4FD3D364" w14:textId="296DC04C" w:rsidR="00941A83" w:rsidRPr="00537128" w:rsidRDefault="00941A83" w:rsidP="00941A83">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1</w:t>
            </w:r>
            <w:r w:rsidR="006773EF">
              <w:rPr>
                <w:rFonts w:cstheme="minorHAnsi"/>
                <w:color w:val="000000" w:themeColor="text1"/>
                <w:spacing w:val="-2"/>
                <w:sz w:val="18"/>
                <w:szCs w:val="18"/>
              </w:rPr>
              <w:t>,</w:t>
            </w:r>
            <w:r>
              <w:rPr>
                <w:rFonts w:cstheme="minorHAnsi"/>
                <w:color w:val="000000" w:themeColor="text1"/>
                <w:spacing w:val="-2"/>
                <w:sz w:val="18"/>
                <w:szCs w:val="18"/>
              </w:rPr>
              <w:t>960</w:t>
            </w:r>
            <w:r w:rsidR="006773EF">
              <w:rPr>
                <w:rFonts w:cstheme="minorHAnsi"/>
                <w:color w:val="000000" w:themeColor="text1"/>
                <w:spacing w:val="-2"/>
                <w:sz w:val="18"/>
                <w:szCs w:val="18"/>
              </w:rPr>
              <w:t>,</w:t>
            </w:r>
            <w:r>
              <w:rPr>
                <w:rFonts w:cstheme="minorHAnsi"/>
                <w:color w:val="000000" w:themeColor="text1"/>
                <w:spacing w:val="-2"/>
                <w:sz w:val="18"/>
                <w:szCs w:val="18"/>
              </w:rPr>
              <w:t>424</w:t>
            </w:r>
          </w:p>
        </w:tc>
        <w:tc>
          <w:tcPr>
            <w:tcW w:w="671" w:type="pct"/>
            <w:tcBorders>
              <w:top w:val="nil"/>
              <w:left w:val="nil"/>
              <w:bottom w:val="nil"/>
              <w:right w:val="nil"/>
            </w:tcBorders>
            <w:shd w:val="clear" w:color="auto" w:fill="auto"/>
            <w:vAlign w:val="bottom"/>
          </w:tcPr>
          <w:p w14:paraId="0C617E85" w14:textId="09B39729" w:rsidR="00941A83" w:rsidRPr="00537128" w:rsidRDefault="00941A83" w:rsidP="00941A83">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1,654,805</w:t>
            </w:r>
          </w:p>
        </w:tc>
      </w:tr>
      <w:tr w:rsidR="00941A83" w:rsidRPr="00537128" w14:paraId="00F33523" w14:textId="77777777" w:rsidTr="00CE00C1">
        <w:trPr>
          <w:trHeight w:hRule="exact" w:val="227"/>
        </w:trPr>
        <w:tc>
          <w:tcPr>
            <w:tcW w:w="3657" w:type="pct"/>
            <w:vAlign w:val="bottom"/>
          </w:tcPr>
          <w:p w14:paraId="02D104AC" w14:textId="0EAADA6C" w:rsidR="00941A83" w:rsidRPr="00567D93" w:rsidRDefault="00941A83" w:rsidP="00941A83">
            <w:pPr>
              <w:keepLines/>
              <w:tabs>
                <w:tab w:val="right" w:pos="1202"/>
              </w:tabs>
              <w:spacing w:after="0" w:line="260" w:lineRule="exact"/>
              <w:outlineLvl w:val="0"/>
              <w:rPr>
                <w:rFonts w:ascii="Calibri" w:eastAsia="Calibri" w:hAnsi="Calibri" w:cs="Arial"/>
                <w:sz w:val="18"/>
                <w:szCs w:val="18"/>
                <w:lang w:val="en-US"/>
              </w:rPr>
            </w:pPr>
            <w:bookmarkStart w:id="199" w:name="_Toc4057534"/>
            <w:proofErr w:type="gramStart"/>
            <w:r w:rsidRPr="009E0B26">
              <w:rPr>
                <w:rFonts w:ascii="Calibri" w:eastAsia="Calibri" w:hAnsi="Calibri" w:cs="Arial"/>
                <w:sz w:val="18"/>
                <w:szCs w:val="18"/>
                <w:lang w:val="en-US"/>
              </w:rPr>
              <w:t>Net</w:t>
            </w:r>
            <w:r>
              <w:rPr>
                <w:rFonts w:ascii="Calibri" w:eastAsia="Calibri" w:hAnsi="Calibri" w:cs="Arial"/>
                <w:sz w:val="18"/>
                <w:szCs w:val="18"/>
                <w:lang w:val="en-US"/>
              </w:rPr>
              <w:t xml:space="preserve"> </w:t>
            </w:r>
            <w:r w:rsidRPr="009E0B26">
              <w:rPr>
                <w:rFonts w:ascii="Calibri" w:eastAsia="Calibri" w:hAnsi="Calibri" w:cs="Arial"/>
                <w:sz w:val="18"/>
                <w:szCs w:val="18"/>
                <w:lang w:val="en-US"/>
              </w:rPr>
              <w:t xml:space="preserve"> </w:t>
            </w:r>
            <w:r>
              <w:rPr>
                <w:rFonts w:ascii="Calibri" w:eastAsia="Calibri" w:hAnsi="Calibri" w:cs="Arial"/>
                <w:sz w:val="18"/>
                <w:szCs w:val="18"/>
                <w:lang w:val="en-US"/>
              </w:rPr>
              <w:t>(</w:t>
            </w:r>
            <w:proofErr w:type="gramEnd"/>
            <w:r>
              <w:rPr>
                <w:rFonts w:ascii="Calibri" w:eastAsia="Calibri" w:hAnsi="Calibri" w:cs="Arial"/>
                <w:sz w:val="18"/>
                <w:szCs w:val="18"/>
                <w:lang w:val="en-US"/>
              </w:rPr>
              <w:t>decrease)/</w:t>
            </w:r>
            <w:r w:rsidRPr="00A1123E">
              <w:rPr>
                <w:rFonts w:ascii="Calibri" w:eastAsia="Calibri" w:hAnsi="Calibri" w:cs="Arial"/>
                <w:sz w:val="18"/>
                <w:szCs w:val="18"/>
                <w:lang w:val="en-US"/>
              </w:rPr>
              <w:t>increase</w:t>
            </w:r>
            <w:r w:rsidRPr="009E0B26">
              <w:rPr>
                <w:rFonts w:ascii="Calibri" w:eastAsia="Calibri" w:hAnsi="Calibri" w:cs="Arial"/>
                <w:sz w:val="18"/>
                <w:szCs w:val="18"/>
                <w:lang w:val="en-US"/>
              </w:rPr>
              <w:t xml:space="preserve"> in cash and cash equi</w:t>
            </w:r>
            <w:r w:rsidRPr="00567D93">
              <w:rPr>
                <w:rFonts w:ascii="Calibri" w:eastAsia="Calibri" w:hAnsi="Calibri" w:cs="Arial"/>
                <w:sz w:val="18"/>
                <w:szCs w:val="18"/>
                <w:lang w:val="en-US"/>
              </w:rPr>
              <w:t>valents</w:t>
            </w:r>
            <w:bookmarkEnd w:id="199"/>
          </w:p>
        </w:tc>
        <w:tc>
          <w:tcPr>
            <w:tcW w:w="672" w:type="pct"/>
            <w:tcBorders>
              <w:top w:val="nil"/>
              <w:left w:val="nil"/>
              <w:bottom w:val="nil"/>
              <w:right w:val="nil"/>
            </w:tcBorders>
            <w:shd w:val="clear" w:color="auto" w:fill="auto"/>
            <w:vAlign w:val="bottom"/>
          </w:tcPr>
          <w:p w14:paraId="27ACE917" w14:textId="589B6552" w:rsidR="00941A83" w:rsidRPr="00537128" w:rsidRDefault="00941A83" w:rsidP="00941A83">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(387</w:t>
            </w:r>
            <w:r w:rsidR="006773EF">
              <w:rPr>
                <w:rFonts w:cstheme="minorHAnsi"/>
                <w:color w:val="000000" w:themeColor="text1"/>
                <w:spacing w:val="-2"/>
                <w:sz w:val="18"/>
                <w:szCs w:val="18"/>
              </w:rPr>
              <w:t>,</w:t>
            </w:r>
            <w:r>
              <w:rPr>
                <w:rFonts w:cstheme="minorHAnsi"/>
                <w:color w:val="000000" w:themeColor="text1"/>
                <w:spacing w:val="-2"/>
                <w:sz w:val="18"/>
                <w:szCs w:val="18"/>
              </w:rPr>
              <w:t>963)</w:t>
            </w:r>
          </w:p>
        </w:tc>
        <w:tc>
          <w:tcPr>
            <w:tcW w:w="671" w:type="pct"/>
            <w:tcBorders>
              <w:top w:val="nil"/>
              <w:left w:val="nil"/>
              <w:bottom w:val="nil"/>
              <w:right w:val="nil"/>
            </w:tcBorders>
            <w:shd w:val="clear" w:color="auto" w:fill="auto"/>
            <w:vAlign w:val="bottom"/>
          </w:tcPr>
          <w:p w14:paraId="2F76F073" w14:textId="196F0179" w:rsidR="00941A83" w:rsidRPr="00537128" w:rsidRDefault="00941A83" w:rsidP="00941A83">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187,083</w:t>
            </w:r>
          </w:p>
        </w:tc>
      </w:tr>
      <w:tr w:rsidR="00941A83" w:rsidRPr="00537128" w14:paraId="6A32DDB2" w14:textId="77777777" w:rsidTr="00CE00C1">
        <w:trPr>
          <w:trHeight w:hRule="exact" w:val="304"/>
        </w:trPr>
        <w:tc>
          <w:tcPr>
            <w:tcW w:w="3657" w:type="pct"/>
            <w:vAlign w:val="bottom"/>
          </w:tcPr>
          <w:p w14:paraId="0D4A2C86" w14:textId="68569196" w:rsidR="00941A83" w:rsidRPr="00537128" w:rsidRDefault="00941A83" w:rsidP="00941A83">
            <w:pPr>
              <w:keepLines/>
              <w:tabs>
                <w:tab w:val="right" w:pos="1202"/>
              </w:tabs>
              <w:spacing w:after="0" w:line="240" w:lineRule="exact"/>
              <w:outlineLvl w:val="0"/>
              <w:rPr>
                <w:rFonts w:ascii="Calibri" w:eastAsia="Calibri" w:hAnsi="Calibri" w:cs="Arial"/>
                <w:b/>
                <w:bCs/>
                <w:sz w:val="18"/>
                <w:szCs w:val="18"/>
                <w:lang w:val="en-US"/>
              </w:rPr>
            </w:pPr>
            <w:bookmarkStart w:id="200" w:name="_Toc4057537"/>
            <w:r w:rsidRPr="00537128">
              <w:rPr>
                <w:rFonts w:ascii="Calibri" w:eastAsia="Calibri" w:hAnsi="Calibri" w:cs="Arial"/>
                <w:b/>
                <w:bCs/>
                <w:sz w:val="18"/>
                <w:szCs w:val="18"/>
                <w:lang w:val="en-US"/>
              </w:rPr>
              <w:t xml:space="preserve">Cash and cash equivalents balance as </w:t>
            </w:r>
            <w:proofErr w:type="gramStart"/>
            <w:r w:rsidRPr="00537128">
              <w:rPr>
                <w:rFonts w:ascii="Calibri" w:eastAsia="Calibri" w:hAnsi="Calibri" w:cs="Arial"/>
                <w:b/>
                <w:bCs/>
                <w:sz w:val="18"/>
                <w:szCs w:val="18"/>
                <w:lang w:val="en-US"/>
              </w:rPr>
              <w:t>at</w:t>
            </w:r>
            <w:proofErr w:type="gramEnd"/>
            <w:r w:rsidRPr="00537128">
              <w:rPr>
                <w:rFonts w:ascii="Calibri" w:eastAsia="Calibri" w:hAnsi="Calibri" w:cs="Arial"/>
                <w:b/>
                <w:bCs/>
                <w:sz w:val="18"/>
                <w:szCs w:val="18"/>
                <w:lang w:val="en-US"/>
              </w:rPr>
              <w:t xml:space="preserve"> 31 March, before</w:t>
            </w:r>
            <w:r w:rsidRPr="00537128">
              <w:rPr>
                <w:rFonts w:ascii="Calibri" w:eastAsia="Calibri" w:hAnsi="Calibri" w:cs="Times New Roman"/>
                <w:sz w:val="18"/>
                <w:szCs w:val="18"/>
                <w:lang w:val="en-US"/>
              </w:rPr>
              <w:t xml:space="preserve"> </w:t>
            </w:r>
            <w:r w:rsidRPr="009E0B26">
              <w:rPr>
                <w:rFonts w:ascii="Calibri" w:eastAsia="Calibri" w:hAnsi="Calibri" w:cs="Arial"/>
                <w:b/>
                <w:bCs/>
                <w:sz w:val="18"/>
                <w:szCs w:val="18"/>
                <w:lang w:val="en-US"/>
              </w:rPr>
              <w:t xml:space="preserve">impairment                     </w:t>
            </w:r>
            <w:r w:rsidRPr="00A1123E">
              <w:rPr>
                <w:rFonts w:ascii="Calibri" w:eastAsia="Calibri" w:hAnsi="Calibri" w:cs="Arial"/>
                <w:b/>
                <w:bCs/>
                <w:sz w:val="18"/>
                <w:szCs w:val="18"/>
                <w:lang w:val="en-US"/>
              </w:rPr>
              <w:t>9</w:t>
            </w:r>
            <w:r w:rsidRPr="00537128">
              <w:rPr>
                <w:rFonts w:ascii="Calibri" w:eastAsia="Calibri" w:hAnsi="Calibri" w:cs="Arial"/>
                <w:b/>
                <w:bCs/>
                <w:sz w:val="18"/>
                <w:szCs w:val="18"/>
                <w:lang w:val="en-US"/>
              </w:rPr>
              <w:t xml:space="preserve">    12</w:t>
            </w:r>
            <w:bookmarkEnd w:id="200"/>
          </w:p>
        </w:tc>
        <w:tc>
          <w:tcPr>
            <w:tcW w:w="672" w:type="pct"/>
            <w:tcBorders>
              <w:top w:val="single" w:sz="4" w:space="0" w:color="auto"/>
              <w:bottom w:val="single" w:sz="12" w:space="0" w:color="auto"/>
            </w:tcBorders>
            <w:vAlign w:val="bottom"/>
          </w:tcPr>
          <w:p w14:paraId="719ADBFB" w14:textId="2C2B4E6F" w:rsidR="00941A83" w:rsidRPr="00537128" w:rsidRDefault="00941A83" w:rsidP="00941A83">
            <w:pPr>
              <w:spacing w:after="0" w:line="240" w:lineRule="exact"/>
              <w:jc w:val="right"/>
              <w:rPr>
                <w:rFonts w:ascii="Calibri" w:eastAsia="Calibri" w:hAnsi="Calibri" w:cs="Arial"/>
                <w:b/>
                <w:bCs/>
                <w:spacing w:val="-2"/>
                <w:sz w:val="18"/>
                <w:szCs w:val="18"/>
                <w:lang w:val="en-US"/>
              </w:rPr>
            </w:pPr>
            <w:r>
              <w:rPr>
                <w:rFonts w:cstheme="minorHAnsi"/>
                <w:b/>
                <w:bCs/>
                <w:color w:val="000000" w:themeColor="text1"/>
                <w:spacing w:val="-2"/>
                <w:sz w:val="18"/>
                <w:szCs w:val="18"/>
              </w:rPr>
              <w:t>1</w:t>
            </w:r>
            <w:r w:rsidR="006773EF">
              <w:rPr>
                <w:rFonts w:cstheme="minorHAnsi"/>
                <w:b/>
                <w:bCs/>
                <w:color w:val="000000" w:themeColor="text1"/>
                <w:spacing w:val="-2"/>
                <w:sz w:val="18"/>
                <w:szCs w:val="18"/>
              </w:rPr>
              <w:t>,</w:t>
            </w:r>
            <w:r>
              <w:rPr>
                <w:rFonts w:cstheme="minorHAnsi"/>
                <w:b/>
                <w:bCs/>
                <w:color w:val="000000" w:themeColor="text1"/>
                <w:spacing w:val="-2"/>
                <w:sz w:val="18"/>
                <w:szCs w:val="18"/>
              </w:rPr>
              <w:t>572</w:t>
            </w:r>
            <w:r w:rsidR="006773EF">
              <w:rPr>
                <w:rFonts w:cstheme="minorHAnsi"/>
                <w:b/>
                <w:bCs/>
                <w:color w:val="000000" w:themeColor="text1"/>
                <w:spacing w:val="-2"/>
                <w:sz w:val="18"/>
                <w:szCs w:val="18"/>
              </w:rPr>
              <w:t>,</w:t>
            </w:r>
            <w:r>
              <w:rPr>
                <w:rFonts w:cstheme="minorHAnsi"/>
                <w:b/>
                <w:bCs/>
                <w:color w:val="000000" w:themeColor="text1"/>
                <w:spacing w:val="-2"/>
                <w:sz w:val="18"/>
                <w:szCs w:val="18"/>
              </w:rPr>
              <w:t>461</w:t>
            </w:r>
          </w:p>
        </w:tc>
        <w:tc>
          <w:tcPr>
            <w:tcW w:w="671" w:type="pct"/>
            <w:tcBorders>
              <w:top w:val="single" w:sz="4" w:space="0" w:color="auto"/>
              <w:bottom w:val="single" w:sz="12" w:space="0" w:color="auto"/>
            </w:tcBorders>
            <w:shd w:val="clear" w:color="auto" w:fill="auto"/>
            <w:vAlign w:val="bottom"/>
          </w:tcPr>
          <w:p w14:paraId="5CF62694" w14:textId="34F03132" w:rsidR="00941A83" w:rsidRPr="00537128" w:rsidRDefault="00941A83" w:rsidP="00941A83">
            <w:pPr>
              <w:keepLines/>
              <w:tabs>
                <w:tab w:val="right" w:pos="1202"/>
              </w:tabs>
              <w:spacing w:after="0" w:line="240" w:lineRule="exact"/>
              <w:jc w:val="right"/>
              <w:outlineLvl w:val="0"/>
              <w:rPr>
                <w:rFonts w:ascii="Calibri" w:eastAsia="Calibri" w:hAnsi="Calibri" w:cs="Arial"/>
                <w:b/>
                <w:sz w:val="18"/>
                <w:szCs w:val="18"/>
                <w:lang w:val="en-US"/>
              </w:rPr>
            </w:pPr>
            <w:r>
              <w:rPr>
                <w:rFonts w:cstheme="minorHAnsi"/>
                <w:b/>
                <w:bCs/>
                <w:color w:val="000000" w:themeColor="text1"/>
                <w:spacing w:val="-2"/>
                <w:sz w:val="18"/>
                <w:szCs w:val="18"/>
              </w:rPr>
              <w:t>1,841,888</w:t>
            </w:r>
          </w:p>
        </w:tc>
      </w:tr>
      <w:tr w:rsidR="00941A83" w:rsidRPr="00537128" w14:paraId="1C80EB18" w14:textId="77777777" w:rsidTr="00CE00C1">
        <w:trPr>
          <w:trHeight w:hRule="exact" w:val="113"/>
        </w:trPr>
        <w:tc>
          <w:tcPr>
            <w:tcW w:w="3657" w:type="pct"/>
            <w:vAlign w:val="bottom"/>
          </w:tcPr>
          <w:p w14:paraId="3C6FDF04" w14:textId="77777777" w:rsidR="00941A83" w:rsidRPr="00537128" w:rsidRDefault="00941A83" w:rsidP="00941A83">
            <w:pPr>
              <w:keepLines/>
              <w:tabs>
                <w:tab w:val="right" w:pos="1202"/>
              </w:tabs>
              <w:spacing w:after="0" w:line="240" w:lineRule="exact"/>
              <w:outlineLvl w:val="0"/>
              <w:rPr>
                <w:rFonts w:ascii="Calibri" w:eastAsia="Calibri" w:hAnsi="Calibri" w:cs="Arial"/>
                <w:b/>
                <w:bCs/>
                <w:sz w:val="18"/>
                <w:szCs w:val="18"/>
                <w:lang w:val="en-US"/>
              </w:rPr>
            </w:pPr>
          </w:p>
        </w:tc>
        <w:tc>
          <w:tcPr>
            <w:tcW w:w="672" w:type="pct"/>
            <w:tcBorders>
              <w:top w:val="single" w:sz="4" w:space="0" w:color="auto"/>
            </w:tcBorders>
            <w:shd w:val="clear" w:color="auto" w:fill="auto"/>
            <w:vAlign w:val="bottom"/>
          </w:tcPr>
          <w:p w14:paraId="2ACB5EC4" w14:textId="77777777" w:rsidR="00941A83" w:rsidRPr="00537128" w:rsidRDefault="00941A83" w:rsidP="00941A83">
            <w:pPr>
              <w:spacing w:after="0" w:line="240" w:lineRule="exact"/>
              <w:jc w:val="right"/>
              <w:rPr>
                <w:rFonts w:ascii="Calibri" w:eastAsia="Times New Roman" w:hAnsi="Calibri" w:cs="Arial"/>
                <w:b/>
                <w:bCs/>
                <w:spacing w:val="-2"/>
                <w:sz w:val="18"/>
                <w:szCs w:val="18"/>
                <w:lang w:val="en-US"/>
              </w:rPr>
            </w:pPr>
          </w:p>
        </w:tc>
        <w:tc>
          <w:tcPr>
            <w:tcW w:w="671" w:type="pct"/>
            <w:tcBorders>
              <w:top w:val="single" w:sz="4" w:space="0" w:color="auto"/>
            </w:tcBorders>
            <w:shd w:val="clear" w:color="auto" w:fill="auto"/>
            <w:vAlign w:val="bottom"/>
          </w:tcPr>
          <w:p w14:paraId="56FF5586" w14:textId="77777777" w:rsidR="00941A83" w:rsidRPr="00537128" w:rsidRDefault="00941A83" w:rsidP="00941A83">
            <w:pPr>
              <w:keepLines/>
              <w:tabs>
                <w:tab w:val="right" w:pos="1202"/>
              </w:tabs>
              <w:spacing w:after="0" w:line="240" w:lineRule="exact"/>
              <w:jc w:val="right"/>
              <w:outlineLvl w:val="0"/>
              <w:rPr>
                <w:rFonts w:ascii="Calibri" w:eastAsia="Calibri" w:hAnsi="Calibri" w:cs="Arial"/>
                <w:bCs/>
                <w:sz w:val="18"/>
                <w:szCs w:val="18"/>
                <w:lang w:val="en-US"/>
              </w:rPr>
            </w:pPr>
          </w:p>
        </w:tc>
      </w:tr>
      <w:tr w:rsidR="00941A83" w:rsidRPr="00537128" w14:paraId="6B51D511" w14:textId="77777777" w:rsidTr="00CE00C1">
        <w:trPr>
          <w:trHeight w:hRule="exact" w:val="227"/>
        </w:trPr>
        <w:tc>
          <w:tcPr>
            <w:tcW w:w="3657" w:type="pct"/>
            <w:vAlign w:val="bottom"/>
          </w:tcPr>
          <w:p w14:paraId="18C7C366" w14:textId="77777777" w:rsidR="00941A83" w:rsidRPr="00537128" w:rsidRDefault="00941A83" w:rsidP="00941A83">
            <w:pPr>
              <w:keepLines/>
              <w:tabs>
                <w:tab w:val="decimal" w:pos="1202"/>
              </w:tabs>
              <w:spacing w:after="0" w:line="240" w:lineRule="exact"/>
              <w:rPr>
                <w:rFonts w:ascii="Calibri" w:eastAsia="Calibri" w:hAnsi="Calibri" w:cs="Arial"/>
                <w:b/>
                <w:position w:val="4"/>
                <w:sz w:val="18"/>
                <w:szCs w:val="18"/>
                <w:lang w:val="en-US"/>
              </w:rPr>
            </w:pPr>
            <w:r w:rsidRPr="00537128">
              <w:rPr>
                <w:rFonts w:ascii="Calibri" w:eastAsia="Calibri" w:hAnsi="Calibri" w:cs="Arial"/>
                <w:b/>
                <w:position w:val="4"/>
                <w:sz w:val="18"/>
                <w:szCs w:val="18"/>
                <w:lang w:val="en-US"/>
              </w:rPr>
              <w:t xml:space="preserve">Additional note – operating activities </w:t>
            </w:r>
          </w:p>
        </w:tc>
        <w:tc>
          <w:tcPr>
            <w:tcW w:w="672" w:type="pct"/>
            <w:shd w:val="clear" w:color="auto" w:fill="auto"/>
            <w:vAlign w:val="bottom"/>
          </w:tcPr>
          <w:p w14:paraId="429FE510" w14:textId="77777777" w:rsidR="00941A83" w:rsidRPr="00537128" w:rsidRDefault="00941A83" w:rsidP="00941A83">
            <w:pPr>
              <w:keepLines/>
              <w:spacing w:after="0" w:line="240" w:lineRule="exact"/>
              <w:jc w:val="right"/>
              <w:rPr>
                <w:rFonts w:ascii="Calibri" w:eastAsia="Calibri" w:hAnsi="Calibri" w:cs="Arial"/>
                <w:b/>
                <w:position w:val="4"/>
                <w:sz w:val="18"/>
                <w:szCs w:val="18"/>
                <w:lang w:val="en-US"/>
              </w:rPr>
            </w:pPr>
          </w:p>
        </w:tc>
        <w:tc>
          <w:tcPr>
            <w:tcW w:w="671" w:type="pct"/>
            <w:shd w:val="clear" w:color="auto" w:fill="auto"/>
            <w:vAlign w:val="bottom"/>
          </w:tcPr>
          <w:p w14:paraId="0B237BD2" w14:textId="77777777" w:rsidR="00941A83" w:rsidRPr="00537128" w:rsidRDefault="00941A83" w:rsidP="00941A83">
            <w:pPr>
              <w:keepLines/>
              <w:tabs>
                <w:tab w:val="right" w:pos="1202"/>
              </w:tabs>
              <w:spacing w:after="0" w:line="240" w:lineRule="exact"/>
              <w:jc w:val="right"/>
              <w:outlineLvl w:val="0"/>
              <w:rPr>
                <w:rFonts w:ascii="Calibri" w:eastAsia="Calibri" w:hAnsi="Calibri" w:cs="Arial"/>
                <w:bCs/>
                <w:sz w:val="18"/>
                <w:szCs w:val="18"/>
                <w:lang w:val="en-US"/>
              </w:rPr>
            </w:pPr>
          </w:p>
        </w:tc>
      </w:tr>
      <w:tr w:rsidR="00B3166F" w:rsidRPr="00537128" w14:paraId="2C79A874" w14:textId="77777777" w:rsidTr="00CE00C1">
        <w:trPr>
          <w:trHeight w:hRule="exact" w:val="227"/>
        </w:trPr>
        <w:tc>
          <w:tcPr>
            <w:tcW w:w="3657" w:type="pct"/>
            <w:vAlign w:val="bottom"/>
          </w:tcPr>
          <w:p w14:paraId="3D67ECB4" w14:textId="77777777" w:rsidR="00B3166F" w:rsidRPr="00537128" w:rsidRDefault="00B3166F" w:rsidP="00B3166F">
            <w:pPr>
              <w:keepLines/>
              <w:tabs>
                <w:tab w:val="right" w:pos="1202"/>
              </w:tabs>
              <w:spacing w:after="0" w:line="240" w:lineRule="exact"/>
              <w:outlineLvl w:val="0"/>
              <w:rPr>
                <w:rFonts w:ascii="Calibri" w:eastAsia="Calibri" w:hAnsi="Calibri" w:cs="Arial"/>
                <w:sz w:val="18"/>
                <w:szCs w:val="18"/>
                <w:lang w:val="en-US"/>
              </w:rPr>
            </w:pPr>
            <w:r w:rsidRPr="00537128">
              <w:rPr>
                <w:rFonts w:ascii="Calibri" w:eastAsia="Calibri" w:hAnsi="Calibri" w:cs="Arial"/>
                <w:sz w:val="18"/>
                <w:szCs w:val="18"/>
                <w:lang w:val="en-US"/>
              </w:rPr>
              <w:t>Interest paid</w:t>
            </w:r>
          </w:p>
        </w:tc>
        <w:tc>
          <w:tcPr>
            <w:tcW w:w="672" w:type="pct"/>
            <w:tcBorders>
              <w:top w:val="nil"/>
              <w:left w:val="nil"/>
              <w:bottom w:val="nil"/>
              <w:right w:val="nil"/>
            </w:tcBorders>
            <w:shd w:val="clear" w:color="auto" w:fill="auto"/>
            <w:vAlign w:val="bottom"/>
          </w:tcPr>
          <w:p w14:paraId="56F09539" w14:textId="72C93F75" w:rsidR="00B3166F" w:rsidRPr="000C6FD7" w:rsidRDefault="000C6FD7" w:rsidP="00B3166F">
            <w:pPr>
              <w:keepLines/>
              <w:tabs>
                <w:tab w:val="right" w:pos="1202"/>
              </w:tabs>
              <w:spacing w:after="0" w:line="240" w:lineRule="exact"/>
              <w:jc w:val="right"/>
              <w:outlineLvl w:val="0"/>
              <w:rPr>
                <w:rFonts w:ascii="Calibri" w:eastAsia="Calibri" w:hAnsi="Calibri" w:cs="Arial"/>
                <w:bCs/>
                <w:sz w:val="18"/>
                <w:szCs w:val="18"/>
                <w:lang w:val="en-US"/>
              </w:rPr>
            </w:pPr>
            <w:r w:rsidRPr="000C6FD7">
              <w:rPr>
                <w:rFonts w:cstheme="minorHAnsi"/>
                <w:bCs/>
                <w:color w:val="000000" w:themeColor="text1"/>
                <w:spacing w:val="-2"/>
                <w:sz w:val="18"/>
                <w:szCs w:val="18"/>
              </w:rPr>
              <w:t>37,426</w:t>
            </w:r>
          </w:p>
        </w:tc>
        <w:tc>
          <w:tcPr>
            <w:tcW w:w="671" w:type="pct"/>
            <w:tcBorders>
              <w:top w:val="nil"/>
              <w:left w:val="nil"/>
              <w:bottom w:val="nil"/>
              <w:right w:val="nil"/>
            </w:tcBorders>
            <w:shd w:val="clear" w:color="auto" w:fill="auto"/>
            <w:vAlign w:val="bottom"/>
          </w:tcPr>
          <w:p w14:paraId="669991C2" w14:textId="57518711" w:rsidR="00B3166F" w:rsidRPr="00537128" w:rsidRDefault="00B3166F" w:rsidP="00B3166F">
            <w:pPr>
              <w:keepLines/>
              <w:tabs>
                <w:tab w:val="right" w:pos="1202"/>
              </w:tabs>
              <w:spacing w:after="0" w:line="240" w:lineRule="exact"/>
              <w:jc w:val="right"/>
              <w:outlineLvl w:val="0"/>
              <w:rPr>
                <w:rFonts w:ascii="Calibri" w:eastAsia="Calibri" w:hAnsi="Calibri" w:cs="Arial"/>
                <w:bCs/>
                <w:sz w:val="18"/>
                <w:szCs w:val="18"/>
                <w:lang w:val="en-US"/>
              </w:rPr>
            </w:pPr>
            <w:r w:rsidRPr="00002DBC">
              <w:rPr>
                <w:rFonts w:cstheme="minorHAnsi"/>
                <w:color w:val="000000" w:themeColor="text1"/>
                <w:spacing w:val="-2"/>
                <w:sz w:val="18"/>
                <w:szCs w:val="18"/>
              </w:rPr>
              <w:t>39</w:t>
            </w:r>
            <w:r>
              <w:rPr>
                <w:rFonts w:cstheme="minorHAnsi"/>
                <w:color w:val="000000" w:themeColor="text1"/>
                <w:spacing w:val="-2"/>
                <w:sz w:val="18"/>
                <w:szCs w:val="18"/>
              </w:rPr>
              <w:t>,</w:t>
            </w:r>
            <w:r w:rsidRPr="00002DBC">
              <w:rPr>
                <w:rFonts w:cstheme="minorHAnsi"/>
                <w:color w:val="000000" w:themeColor="text1"/>
                <w:spacing w:val="-2"/>
                <w:sz w:val="18"/>
                <w:szCs w:val="18"/>
              </w:rPr>
              <w:t>054</w:t>
            </w:r>
          </w:p>
        </w:tc>
      </w:tr>
      <w:tr w:rsidR="00B3166F" w:rsidRPr="00537128" w14:paraId="01D4015E" w14:textId="77777777" w:rsidTr="00CE00C1">
        <w:trPr>
          <w:trHeight w:hRule="exact" w:val="227"/>
        </w:trPr>
        <w:tc>
          <w:tcPr>
            <w:tcW w:w="3657" w:type="pct"/>
            <w:vAlign w:val="bottom"/>
          </w:tcPr>
          <w:p w14:paraId="52402FF9" w14:textId="77777777" w:rsidR="00B3166F" w:rsidRPr="00537128" w:rsidRDefault="00B3166F" w:rsidP="00B3166F">
            <w:pPr>
              <w:keepLines/>
              <w:tabs>
                <w:tab w:val="right" w:pos="1202"/>
              </w:tabs>
              <w:spacing w:after="0" w:line="240" w:lineRule="exact"/>
              <w:outlineLvl w:val="0"/>
              <w:rPr>
                <w:rFonts w:ascii="Calibri" w:eastAsia="Calibri" w:hAnsi="Calibri" w:cs="Arial"/>
                <w:sz w:val="18"/>
                <w:szCs w:val="18"/>
                <w:lang w:val="en-US"/>
              </w:rPr>
            </w:pPr>
            <w:r w:rsidRPr="00537128">
              <w:rPr>
                <w:rFonts w:ascii="Calibri" w:eastAsia="Calibri" w:hAnsi="Calibri" w:cs="Arial"/>
                <w:sz w:val="18"/>
                <w:szCs w:val="18"/>
                <w:lang w:val="en-US"/>
              </w:rPr>
              <w:t>Interest received</w:t>
            </w:r>
          </w:p>
        </w:tc>
        <w:tc>
          <w:tcPr>
            <w:tcW w:w="672" w:type="pct"/>
            <w:tcBorders>
              <w:top w:val="nil"/>
              <w:left w:val="nil"/>
              <w:bottom w:val="nil"/>
              <w:right w:val="nil"/>
            </w:tcBorders>
            <w:shd w:val="clear" w:color="auto" w:fill="auto"/>
            <w:vAlign w:val="bottom"/>
          </w:tcPr>
          <w:p w14:paraId="037D4864" w14:textId="6A2BE507" w:rsidR="00B3166F" w:rsidRPr="000C6FD7" w:rsidRDefault="000C6FD7" w:rsidP="00B3166F">
            <w:pPr>
              <w:keepLines/>
              <w:tabs>
                <w:tab w:val="right" w:pos="1202"/>
              </w:tabs>
              <w:spacing w:after="0" w:line="240" w:lineRule="exact"/>
              <w:jc w:val="right"/>
              <w:outlineLvl w:val="0"/>
              <w:rPr>
                <w:rFonts w:ascii="Calibri" w:eastAsia="Calibri" w:hAnsi="Calibri" w:cs="Arial"/>
                <w:bCs/>
                <w:sz w:val="18"/>
                <w:szCs w:val="18"/>
                <w:lang w:val="en-US"/>
              </w:rPr>
            </w:pPr>
            <w:r w:rsidRPr="000C6FD7">
              <w:rPr>
                <w:rFonts w:cstheme="minorHAnsi"/>
                <w:bCs/>
                <w:color w:val="000000" w:themeColor="text1"/>
                <w:spacing w:val="-2"/>
                <w:sz w:val="18"/>
                <w:szCs w:val="18"/>
              </w:rPr>
              <w:t>159,397</w:t>
            </w:r>
          </w:p>
        </w:tc>
        <w:tc>
          <w:tcPr>
            <w:tcW w:w="671" w:type="pct"/>
            <w:tcBorders>
              <w:top w:val="nil"/>
              <w:left w:val="nil"/>
              <w:bottom w:val="nil"/>
              <w:right w:val="nil"/>
            </w:tcBorders>
            <w:shd w:val="clear" w:color="auto" w:fill="auto"/>
            <w:vAlign w:val="bottom"/>
          </w:tcPr>
          <w:p w14:paraId="784ECB23" w14:textId="329F8ACE" w:rsidR="00B3166F" w:rsidRPr="00537128" w:rsidRDefault="00B3166F" w:rsidP="00B3166F">
            <w:pPr>
              <w:keepLines/>
              <w:tabs>
                <w:tab w:val="right" w:pos="1202"/>
              </w:tabs>
              <w:spacing w:after="0" w:line="240" w:lineRule="exact"/>
              <w:jc w:val="right"/>
              <w:outlineLvl w:val="0"/>
              <w:rPr>
                <w:rFonts w:ascii="Calibri" w:eastAsia="Calibri" w:hAnsi="Calibri" w:cs="Arial"/>
                <w:bCs/>
                <w:sz w:val="18"/>
                <w:szCs w:val="18"/>
                <w:lang w:val="en-US"/>
              </w:rPr>
            </w:pPr>
            <w:r w:rsidRPr="00002DBC">
              <w:rPr>
                <w:rFonts w:cstheme="minorHAnsi"/>
                <w:bCs/>
                <w:color w:val="000000" w:themeColor="text1"/>
                <w:spacing w:val="-2"/>
                <w:sz w:val="18"/>
                <w:szCs w:val="18"/>
              </w:rPr>
              <w:t>119</w:t>
            </w:r>
            <w:r>
              <w:rPr>
                <w:rFonts w:cstheme="minorHAnsi"/>
                <w:bCs/>
                <w:color w:val="000000" w:themeColor="text1"/>
                <w:spacing w:val="-2"/>
                <w:sz w:val="18"/>
                <w:szCs w:val="18"/>
              </w:rPr>
              <w:t>,</w:t>
            </w:r>
            <w:r w:rsidRPr="00002DBC">
              <w:rPr>
                <w:rFonts w:cstheme="minorHAnsi"/>
                <w:bCs/>
                <w:color w:val="000000" w:themeColor="text1"/>
                <w:spacing w:val="-2"/>
                <w:sz w:val="18"/>
                <w:szCs w:val="18"/>
              </w:rPr>
              <w:t>352</w:t>
            </w:r>
          </w:p>
        </w:tc>
      </w:tr>
    </w:tbl>
    <w:p w14:paraId="21149DB6" w14:textId="77777777" w:rsidR="00CE00C1" w:rsidRPr="00537128" w:rsidRDefault="00CE00C1" w:rsidP="00BA3E05">
      <w:pPr>
        <w:spacing w:after="0" w:line="240" w:lineRule="auto"/>
        <w:rPr>
          <w:rFonts w:cs="Arial"/>
          <w:noProof/>
          <w:color w:val="000000" w:themeColor="text1"/>
          <w:lang w:val="en-US"/>
        </w:rPr>
      </w:pPr>
    </w:p>
    <w:p w14:paraId="4CED4E38" w14:textId="77777777" w:rsidR="00645517" w:rsidRDefault="00645517" w:rsidP="00BA3E05">
      <w:pPr>
        <w:spacing w:after="0" w:line="240" w:lineRule="auto"/>
        <w:rPr>
          <w:rFonts w:cs="Arial"/>
          <w:noProof/>
          <w:color w:val="000000" w:themeColor="text1"/>
          <w:lang w:val="en-US"/>
        </w:rPr>
      </w:pPr>
    </w:p>
    <w:p w14:paraId="15719A13" w14:textId="25BFDF7C" w:rsidR="00CB571C" w:rsidRPr="00537128" w:rsidRDefault="00515321" w:rsidP="00BA3E05">
      <w:pPr>
        <w:spacing w:after="0" w:line="240" w:lineRule="auto"/>
        <w:rPr>
          <w:rFonts w:cs="Arial"/>
          <w:noProof/>
          <w:color w:val="000000" w:themeColor="text1"/>
          <w:lang w:val="en-US"/>
        </w:rPr>
      </w:pPr>
      <w:r w:rsidRPr="00537128">
        <w:rPr>
          <w:rFonts w:cs="Arial"/>
          <w:noProof/>
          <w:color w:val="000000" w:themeColor="text1"/>
          <w:lang w:val="en-US"/>
        </w:rPr>
        <w:t>The accompanying accounting policies and notes are an integral part of these financial statements</w:t>
      </w:r>
      <w:r w:rsidR="008852C8" w:rsidRPr="00537128">
        <w:rPr>
          <w:rFonts w:cs="Arial"/>
          <w:noProof/>
          <w:color w:val="000000" w:themeColor="text1"/>
          <w:lang w:val="en-US"/>
        </w:rPr>
        <w:t>.</w:t>
      </w:r>
    </w:p>
    <w:p w14:paraId="42309754"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sectPr w:rsidR="00D71142" w:rsidRPr="00537128">
          <w:headerReference w:type="default" r:id="rId26"/>
          <w:pgSz w:w="11906" w:h="16838"/>
          <w:pgMar w:top="1417" w:right="1417" w:bottom="1417" w:left="1417" w:header="708" w:footer="708" w:gutter="0"/>
          <w:cols w:space="708"/>
          <w:docGrid w:linePitch="360"/>
        </w:sectPr>
      </w:pPr>
    </w:p>
    <w:p w14:paraId="5D2A55D8"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pPr>
    </w:p>
    <w:p w14:paraId="3C2C21A0" w14:textId="77777777" w:rsidR="00CB571C" w:rsidRPr="00537128" w:rsidRDefault="00CB571C" w:rsidP="00BA3E05">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Y="2790"/>
        <w:tblW w:w="5235" w:type="pct"/>
        <w:tblLayout w:type="fixed"/>
        <w:tblCellMar>
          <w:left w:w="120" w:type="dxa"/>
          <w:right w:w="57" w:type="dxa"/>
        </w:tblCellMar>
        <w:tblLook w:val="0000" w:firstRow="0" w:lastRow="0" w:firstColumn="0" w:lastColumn="0" w:noHBand="0" w:noVBand="0"/>
      </w:tblPr>
      <w:tblGrid>
        <w:gridCol w:w="2977"/>
        <w:gridCol w:w="1134"/>
        <w:gridCol w:w="1134"/>
        <w:gridCol w:w="992"/>
        <w:gridCol w:w="993"/>
        <w:gridCol w:w="1134"/>
        <w:gridCol w:w="1134"/>
      </w:tblGrid>
      <w:tr w:rsidR="00CE00C1" w:rsidRPr="00537128" w14:paraId="42A74CDD" w14:textId="77777777" w:rsidTr="00CE00C1">
        <w:trPr>
          <w:trHeight w:val="803"/>
        </w:trPr>
        <w:tc>
          <w:tcPr>
            <w:tcW w:w="1567" w:type="pct"/>
          </w:tcPr>
          <w:p w14:paraId="6B856C1D" w14:textId="77777777" w:rsidR="00CE00C1" w:rsidRPr="00537128" w:rsidRDefault="00CE00C1" w:rsidP="00CE00C1">
            <w:pPr>
              <w:tabs>
                <w:tab w:val="right" w:pos="1202"/>
              </w:tabs>
              <w:spacing w:after="0" w:line="240" w:lineRule="auto"/>
              <w:outlineLvl w:val="0"/>
              <w:rPr>
                <w:rFonts w:cs="Arial"/>
                <w:b/>
                <w:iCs/>
                <w:noProof/>
                <w:color w:val="000000" w:themeColor="text1"/>
                <w:sz w:val="20"/>
                <w:szCs w:val="20"/>
                <w:lang w:val="en-US"/>
              </w:rPr>
            </w:pPr>
          </w:p>
        </w:tc>
        <w:tc>
          <w:tcPr>
            <w:tcW w:w="597" w:type="pct"/>
            <w:vAlign w:val="bottom"/>
          </w:tcPr>
          <w:p w14:paraId="7891768A"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r w:rsidRPr="00537128">
              <w:rPr>
                <w:rFonts w:cs="Arial"/>
                <w:b/>
                <w:iCs/>
                <w:noProof/>
                <w:color w:val="000000" w:themeColor="text1"/>
                <w:sz w:val="20"/>
                <w:szCs w:val="20"/>
                <w:lang w:val="en-US"/>
              </w:rPr>
              <w:t xml:space="preserve">Founder’s capital </w:t>
            </w:r>
          </w:p>
        </w:tc>
        <w:tc>
          <w:tcPr>
            <w:tcW w:w="597" w:type="pct"/>
            <w:vAlign w:val="bottom"/>
          </w:tcPr>
          <w:p w14:paraId="7F7D7C72"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r w:rsidRPr="00537128">
              <w:rPr>
                <w:rFonts w:cs="Arial"/>
                <w:b/>
                <w:iCs/>
                <w:noProof/>
                <w:color w:val="000000" w:themeColor="text1"/>
                <w:sz w:val="20"/>
                <w:szCs w:val="20"/>
                <w:lang w:val="en-US"/>
              </w:rPr>
              <w:t xml:space="preserve">Retained earnings and reserves </w:t>
            </w:r>
          </w:p>
        </w:tc>
        <w:tc>
          <w:tcPr>
            <w:tcW w:w="522" w:type="pct"/>
            <w:vAlign w:val="bottom"/>
          </w:tcPr>
          <w:p w14:paraId="0C1C2C69"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r w:rsidRPr="00537128">
              <w:rPr>
                <w:rFonts w:cs="Arial"/>
                <w:b/>
                <w:iCs/>
                <w:noProof/>
                <w:color w:val="000000" w:themeColor="text1"/>
                <w:sz w:val="20"/>
                <w:szCs w:val="20"/>
                <w:lang w:val="en-US"/>
              </w:rPr>
              <w:t xml:space="preserve">Other </w:t>
            </w:r>
          </w:p>
          <w:p w14:paraId="2FE06986"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r w:rsidRPr="00537128">
              <w:rPr>
                <w:rFonts w:cs="Arial"/>
                <w:b/>
                <w:iCs/>
                <w:noProof/>
                <w:color w:val="000000" w:themeColor="text1"/>
                <w:sz w:val="20"/>
                <w:szCs w:val="20"/>
                <w:lang w:val="en-US"/>
              </w:rPr>
              <w:t>reserves</w:t>
            </w:r>
          </w:p>
        </w:tc>
        <w:tc>
          <w:tcPr>
            <w:tcW w:w="523" w:type="pct"/>
            <w:vAlign w:val="bottom"/>
          </w:tcPr>
          <w:p w14:paraId="4F3D080E"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r w:rsidRPr="00537128">
              <w:rPr>
                <w:rFonts w:cs="Arial"/>
                <w:b/>
                <w:iCs/>
                <w:noProof/>
                <w:color w:val="000000" w:themeColor="text1"/>
                <w:sz w:val="20"/>
                <w:szCs w:val="20"/>
                <w:lang w:val="en-US"/>
              </w:rPr>
              <w:t xml:space="preserve">Net profit </w:t>
            </w:r>
          </w:p>
          <w:p w14:paraId="736ADAC6"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r w:rsidRPr="00537128">
              <w:rPr>
                <w:rFonts w:cs="Arial"/>
                <w:b/>
                <w:iCs/>
                <w:noProof/>
                <w:color w:val="000000" w:themeColor="text1"/>
                <w:sz w:val="20"/>
                <w:szCs w:val="20"/>
                <w:lang w:val="en-US"/>
              </w:rPr>
              <w:t xml:space="preserve">for the period </w:t>
            </w:r>
          </w:p>
        </w:tc>
        <w:tc>
          <w:tcPr>
            <w:tcW w:w="597" w:type="pct"/>
          </w:tcPr>
          <w:p w14:paraId="6557C807"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p>
          <w:p w14:paraId="73A1962C"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p>
          <w:p w14:paraId="190B09D4"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r w:rsidRPr="00537128">
              <w:rPr>
                <w:rFonts w:cs="Arial"/>
                <w:b/>
                <w:iCs/>
                <w:noProof/>
                <w:color w:val="000000" w:themeColor="text1"/>
                <w:sz w:val="20"/>
                <w:szCs w:val="20"/>
                <w:lang w:val="en-US"/>
              </w:rPr>
              <w:t>Guarantee fund</w:t>
            </w:r>
          </w:p>
        </w:tc>
        <w:tc>
          <w:tcPr>
            <w:tcW w:w="597" w:type="pct"/>
            <w:vAlign w:val="bottom"/>
          </w:tcPr>
          <w:p w14:paraId="5784B699"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r w:rsidRPr="00537128">
              <w:rPr>
                <w:rFonts w:cs="Arial"/>
                <w:b/>
                <w:iCs/>
                <w:noProof/>
                <w:color w:val="000000" w:themeColor="text1"/>
                <w:sz w:val="20"/>
                <w:szCs w:val="20"/>
                <w:lang w:val="en-US"/>
              </w:rPr>
              <w:t xml:space="preserve">Total </w:t>
            </w:r>
          </w:p>
          <w:p w14:paraId="195DE859"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r w:rsidRPr="00537128">
              <w:rPr>
                <w:rFonts w:cs="Arial"/>
                <w:b/>
                <w:iCs/>
                <w:noProof/>
                <w:color w:val="000000" w:themeColor="text1"/>
                <w:sz w:val="20"/>
                <w:szCs w:val="20"/>
                <w:lang w:val="en-US"/>
              </w:rPr>
              <w:t xml:space="preserve">equity </w:t>
            </w:r>
          </w:p>
        </w:tc>
      </w:tr>
      <w:tr w:rsidR="009C78C1" w:rsidRPr="00537128" w14:paraId="405280D2" w14:textId="77777777" w:rsidTr="005527C4">
        <w:trPr>
          <w:trHeight w:val="135"/>
        </w:trPr>
        <w:tc>
          <w:tcPr>
            <w:tcW w:w="1567" w:type="pct"/>
          </w:tcPr>
          <w:p w14:paraId="273C8C69" w14:textId="77777777" w:rsidR="009C78C1" w:rsidRPr="00537128" w:rsidRDefault="009C78C1" w:rsidP="009C78C1">
            <w:pPr>
              <w:tabs>
                <w:tab w:val="right" w:pos="1202"/>
              </w:tabs>
              <w:spacing w:after="0" w:line="240" w:lineRule="auto"/>
              <w:outlineLvl w:val="0"/>
              <w:rPr>
                <w:rFonts w:cs="Arial"/>
                <w:iCs/>
                <w:noProof/>
                <w:color w:val="000000" w:themeColor="text1"/>
                <w:sz w:val="20"/>
                <w:szCs w:val="20"/>
                <w:lang w:val="en-US"/>
              </w:rPr>
            </w:pPr>
          </w:p>
        </w:tc>
        <w:tc>
          <w:tcPr>
            <w:tcW w:w="597" w:type="pct"/>
            <w:vAlign w:val="center"/>
          </w:tcPr>
          <w:p w14:paraId="58E34E9E" w14:textId="4680658A" w:rsidR="009C78C1" w:rsidRPr="00537128" w:rsidRDefault="009C78C1" w:rsidP="009C78C1">
            <w:pPr>
              <w:tabs>
                <w:tab w:val="right" w:pos="1202"/>
              </w:tabs>
              <w:spacing w:after="0" w:line="240" w:lineRule="auto"/>
              <w:jc w:val="right"/>
              <w:outlineLvl w:val="0"/>
              <w:rPr>
                <w:rFonts w:cs="Arial"/>
                <w:b/>
                <w:bCs/>
                <w:noProof/>
                <w:color w:val="000000" w:themeColor="text1"/>
                <w:sz w:val="20"/>
                <w:szCs w:val="20"/>
                <w:lang w:val="en-US"/>
              </w:rPr>
            </w:pPr>
            <w:r w:rsidRPr="00537128">
              <w:rPr>
                <w:rFonts w:ascii="Calibri" w:hAnsi="Calibri" w:cs="Arial"/>
                <w:b/>
                <w:bCs/>
                <w:noProof/>
                <w:color w:val="000000" w:themeColor="text1"/>
                <w:sz w:val="18"/>
                <w:szCs w:val="18"/>
                <w:lang w:val="en-US"/>
              </w:rPr>
              <w:t>HRK ‘000</w:t>
            </w:r>
          </w:p>
        </w:tc>
        <w:tc>
          <w:tcPr>
            <w:tcW w:w="597" w:type="pct"/>
            <w:vAlign w:val="center"/>
          </w:tcPr>
          <w:p w14:paraId="234BDF43" w14:textId="46C43B72" w:rsidR="009C78C1" w:rsidRPr="00537128" w:rsidRDefault="009C78C1" w:rsidP="009C78C1">
            <w:pPr>
              <w:tabs>
                <w:tab w:val="right" w:pos="1202"/>
              </w:tabs>
              <w:spacing w:after="0" w:line="240" w:lineRule="auto"/>
              <w:jc w:val="right"/>
              <w:outlineLvl w:val="0"/>
              <w:rPr>
                <w:rFonts w:cs="Arial"/>
                <w:b/>
                <w:bCs/>
                <w:noProof/>
                <w:color w:val="000000" w:themeColor="text1"/>
                <w:sz w:val="20"/>
                <w:szCs w:val="20"/>
                <w:lang w:val="en-US"/>
              </w:rPr>
            </w:pPr>
            <w:r w:rsidRPr="00537128">
              <w:rPr>
                <w:rFonts w:ascii="Calibri" w:hAnsi="Calibri" w:cs="Arial"/>
                <w:b/>
                <w:bCs/>
                <w:noProof/>
                <w:color w:val="000000" w:themeColor="text1"/>
                <w:sz w:val="18"/>
                <w:szCs w:val="18"/>
                <w:lang w:val="en-US"/>
              </w:rPr>
              <w:t>HRK ‘000</w:t>
            </w:r>
          </w:p>
        </w:tc>
        <w:tc>
          <w:tcPr>
            <w:tcW w:w="522" w:type="pct"/>
            <w:vAlign w:val="center"/>
          </w:tcPr>
          <w:p w14:paraId="30C0DB57" w14:textId="712955DC" w:rsidR="009C78C1" w:rsidRPr="00537128" w:rsidRDefault="009C78C1" w:rsidP="009C78C1">
            <w:pPr>
              <w:tabs>
                <w:tab w:val="right" w:pos="1202"/>
              </w:tabs>
              <w:spacing w:after="0" w:line="240" w:lineRule="auto"/>
              <w:jc w:val="right"/>
              <w:outlineLvl w:val="0"/>
              <w:rPr>
                <w:rFonts w:cs="Arial"/>
                <w:b/>
                <w:bCs/>
                <w:noProof/>
                <w:color w:val="000000" w:themeColor="text1"/>
                <w:sz w:val="20"/>
                <w:szCs w:val="20"/>
                <w:lang w:val="en-US"/>
              </w:rPr>
            </w:pPr>
            <w:r w:rsidRPr="00537128">
              <w:rPr>
                <w:rFonts w:ascii="Calibri" w:hAnsi="Calibri" w:cs="Arial"/>
                <w:b/>
                <w:bCs/>
                <w:noProof/>
                <w:color w:val="000000" w:themeColor="text1"/>
                <w:sz w:val="18"/>
                <w:szCs w:val="18"/>
                <w:lang w:val="en-US"/>
              </w:rPr>
              <w:t>HRK ‘000</w:t>
            </w:r>
          </w:p>
        </w:tc>
        <w:tc>
          <w:tcPr>
            <w:tcW w:w="523" w:type="pct"/>
            <w:vAlign w:val="center"/>
          </w:tcPr>
          <w:p w14:paraId="71AB75D0" w14:textId="59CFC3C5" w:rsidR="009C78C1" w:rsidRPr="00537128" w:rsidRDefault="009C78C1" w:rsidP="009C78C1">
            <w:pPr>
              <w:tabs>
                <w:tab w:val="right" w:pos="1202"/>
              </w:tabs>
              <w:spacing w:after="0" w:line="240" w:lineRule="auto"/>
              <w:jc w:val="right"/>
              <w:outlineLvl w:val="0"/>
              <w:rPr>
                <w:rFonts w:cs="Arial"/>
                <w:b/>
                <w:bCs/>
                <w:noProof/>
                <w:color w:val="000000" w:themeColor="text1"/>
                <w:sz w:val="20"/>
                <w:szCs w:val="20"/>
                <w:lang w:val="en-US"/>
              </w:rPr>
            </w:pPr>
            <w:r w:rsidRPr="00537128">
              <w:rPr>
                <w:rFonts w:ascii="Calibri" w:hAnsi="Calibri" w:cs="Arial"/>
                <w:b/>
                <w:bCs/>
                <w:noProof/>
                <w:color w:val="000000" w:themeColor="text1"/>
                <w:sz w:val="18"/>
                <w:szCs w:val="18"/>
                <w:lang w:val="en-US"/>
              </w:rPr>
              <w:t>HRK ‘000</w:t>
            </w:r>
          </w:p>
        </w:tc>
        <w:tc>
          <w:tcPr>
            <w:tcW w:w="597" w:type="pct"/>
            <w:vAlign w:val="center"/>
          </w:tcPr>
          <w:p w14:paraId="59D3AB44" w14:textId="1296374F" w:rsidR="009C78C1" w:rsidRPr="00537128" w:rsidRDefault="009C78C1" w:rsidP="009C78C1">
            <w:pPr>
              <w:tabs>
                <w:tab w:val="right" w:pos="1202"/>
              </w:tabs>
              <w:spacing w:after="0" w:line="240" w:lineRule="auto"/>
              <w:jc w:val="right"/>
              <w:outlineLvl w:val="0"/>
              <w:rPr>
                <w:rFonts w:cs="Arial"/>
                <w:b/>
                <w:bCs/>
                <w:noProof/>
                <w:color w:val="000000" w:themeColor="text1"/>
                <w:sz w:val="20"/>
                <w:szCs w:val="20"/>
                <w:lang w:val="en-US"/>
              </w:rPr>
            </w:pPr>
            <w:r w:rsidRPr="00537128">
              <w:rPr>
                <w:rFonts w:ascii="Calibri" w:hAnsi="Calibri" w:cs="Arial"/>
                <w:b/>
                <w:bCs/>
                <w:noProof/>
                <w:color w:val="000000" w:themeColor="text1"/>
                <w:sz w:val="18"/>
                <w:szCs w:val="18"/>
                <w:lang w:val="en-US"/>
              </w:rPr>
              <w:t>HRK ‘000</w:t>
            </w:r>
          </w:p>
        </w:tc>
        <w:tc>
          <w:tcPr>
            <w:tcW w:w="597" w:type="pct"/>
            <w:vAlign w:val="center"/>
          </w:tcPr>
          <w:p w14:paraId="285E2F8A" w14:textId="27D483E7" w:rsidR="009C78C1" w:rsidRPr="00537128" w:rsidRDefault="009C78C1" w:rsidP="009C78C1">
            <w:pPr>
              <w:tabs>
                <w:tab w:val="right" w:pos="1202"/>
              </w:tabs>
              <w:spacing w:after="0" w:line="240" w:lineRule="auto"/>
              <w:jc w:val="right"/>
              <w:outlineLvl w:val="0"/>
              <w:rPr>
                <w:rFonts w:cs="Arial"/>
                <w:b/>
                <w:bCs/>
                <w:noProof/>
                <w:color w:val="000000" w:themeColor="text1"/>
                <w:sz w:val="20"/>
                <w:szCs w:val="20"/>
                <w:lang w:val="en-US"/>
              </w:rPr>
            </w:pPr>
            <w:r w:rsidRPr="00537128">
              <w:rPr>
                <w:rFonts w:ascii="Calibri" w:hAnsi="Calibri" w:cs="Arial"/>
                <w:b/>
                <w:bCs/>
                <w:noProof/>
                <w:color w:val="000000" w:themeColor="text1"/>
                <w:sz w:val="18"/>
                <w:szCs w:val="18"/>
                <w:lang w:val="en-US"/>
              </w:rPr>
              <w:t>HRK ‘000</w:t>
            </w:r>
          </w:p>
        </w:tc>
      </w:tr>
      <w:tr w:rsidR="009C78C1" w:rsidRPr="00537128" w14:paraId="6C4FC2D1" w14:textId="77777777" w:rsidTr="00CE00C1">
        <w:trPr>
          <w:trHeight w:val="467"/>
        </w:trPr>
        <w:tc>
          <w:tcPr>
            <w:tcW w:w="1567" w:type="pct"/>
            <w:vAlign w:val="bottom"/>
          </w:tcPr>
          <w:p w14:paraId="3824E144" w14:textId="02075485" w:rsidR="009C78C1" w:rsidRPr="00537128" w:rsidRDefault="009C78C1" w:rsidP="009C78C1">
            <w:pPr>
              <w:tabs>
                <w:tab w:val="right" w:pos="1202"/>
              </w:tabs>
              <w:spacing w:after="0" w:line="240" w:lineRule="auto"/>
              <w:outlineLvl w:val="0"/>
              <w:rPr>
                <w:rFonts w:eastAsia="Times New Roman" w:cs="Arial"/>
                <w:b/>
                <w:iCs/>
                <w:noProof/>
                <w:color w:val="000000" w:themeColor="text1"/>
                <w:sz w:val="20"/>
                <w:szCs w:val="20"/>
                <w:lang w:val="en-US"/>
              </w:rPr>
            </w:pPr>
            <w:r w:rsidRPr="00537128">
              <w:rPr>
                <w:rFonts w:eastAsia="Times New Roman" w:cs="Arial"/>
                <w:b/>
                <w:iCs/>
                <w:noProof/>
                <w:color w:val="000000" w:themeColor="text1"/>
                <w:sz w:val="20"/>
                <w:szCs w:val="20"/>
                <w:lang w:val="en-US"/>
              </w:rPr>
              <w:t>Balance as at 1 January 202</w:t>
            </w:r>
            <w:r>
              <w:rPr>
                <w:rFonts w:eastAsia="Times New Roman" w:cs="Arial"/>
                <w:b/>
                <w:iCs/>
                <w:noProof/>
                <w:color w:val="000000" w:themeColor="text1"/>
                <w:sz w:val="20"/>
                <w:szCs w:val="20"/>
                <w:lang w:val="en-US"/>
              </w:rPr>
              <w:t>1</w:t>
            </w:r>
          </w:p>
        </w:tc>
        <w:tc>
          <w:tcPr>
            <w:tcW w:w="597" w:type="pct"/>
            <w:tcBorders>
              <w:top w:val="nil"/>
              <w:left w:val="nil"/>
              <w:bottom w:val="single" w:sz="12" w:space="0" w:color="auto"/>
              <w:right w:val="nil"/>
            </w:tcBorders>
            <w:shd w:val="clear" w:color="auto" w:fill="auto"/>
            <w:vAlign w:val="bottom"/>
          </w:tcPr>
          <w:p w14:paraId="79E2B388" w14:textId="183A63E5" w:rsidR="009C78C1" w:rsidRPr="00537128" w:rsidRDefault="009C78C1" w:rsidP="009C78C1">
            <w:pPr>
              <w:tabs>
                <w:tab w:val="right" w:pos="1202"/>
              </w:tabs>
              <w:spacing w:after="0" w:line="240" w:lineRule="auto"/>
              <w:jc w:val="right"/>
              <w:outlineLvl w:val="0"/>
              <w:rPr>
                <w:rFonts w:eastAsia="Times New Roman" w:cs="Arial"/>
                <w:b/>
                <w:iCs/>
                <w:noProof/>
                <w:color w:val="000000" w:themeColor="text1"/>
                <w:sz w:val="20"/>
                <w:szCs w:val="20"/>
                <w:lang w:val="en-US"/>
              </w:rPr>
            </w:pPr>
            <w:r w:rsidRPr="00A1123E">
              <w:rPr>
                <w:rFonts w:ascii="Calibri" w:hAnsi="Calibri" w:cs="Calibri"/>
                <w:b/>
                <w:bCs/>
                <w:color w:val="000000" w:themeColor="text1"/>
                <w:sz w:val="20"/>
                <w:szCs w:val="20"/>
                <w:lang w:val="en-US"/>
              </w:rPr>
              <w:t>7,134,632</w:t>
            </w:r>
          </w:p>
        </w:tc>
        <w:tc>
          <w:tcPr>
            <w:tcW w:w="597" w:type="pct"/>
            <w:tcBorders>
              <w:top w:val="nil"/>
              <w:left w:val="nil"/>
              <w:bottom w:val="single" w:sz="12" w:space="0" w:color="auto"/>
              <w:right w:val="nil"/>
            </w:tcBorders>
            <w:shd w:val="clear" w:color="auto" w:fill="auto"/>
            <w:vAlign w:val="bottom"/>
          </w:tcPr>
          <w:p w14:paraId="090E73B4" w14:textId="7781CC99" w:rsidR="009C78C1" w:rsidRPr="00537128" w:rsidRDefault="009C78C1" w:rsidP="009C78C1">
            <w:pPr>
              <w:tabs>
                <w:tab w:val="right" w:pos="1202"/>
              </w:tabs>
              <w:spacing w:after="0" w:line="240" w:lineRule="auto"/>
              <w:jc w:val="right"/>
              <w:outlineLvl w:val="0"/>
              <w:rPr>
                <w:rFonts w:eastAsia="Times New Roman" w:cs="Arial"/>
                <w:b/>
                <w:iCs/>
                <w:noProof/>
                <w:color w:val="000000" w:themeColor="text1"/>
                <w:sz w:val="20"/>
                <w:szCs w:val="20"/>
                <w:lang w:val="en-US"/>
              </w:rPr>
            </w:pPr>
            <w:r w:rsidRPr="00A1123E">
              <w:rPr>
                <w:rFonts w:ascii="Calibri" w:hAnsi="Calibri" w:cs="Calibri"/>
                <w:b/>
                <w:bCs/>
                <w:color w:val="000000" w:themeColor="text1"/>
                <w:sz w:val="20"/>
                <w:szCs w:val="20"/>
                <w:lang w:val="en-US"/>
              </w:rPr>
              <w:t>3,074,406</w:t>
            </w:r>
          </w:p>
        </w:tc>
        <w:tc>
          <w:tcPr>
            <w:tcW w:w="522" w:type="pct"/>
            <w:tcBorders>
              <w:top w:val="nil"/>
              <w:left w:val="nil"/>
              <w:bottom w:val="single" w:sz="12" w:space="0" w:color="auto"/>
              <w:right w:val="nil"/>
            </w:tcBorders>
            <w:shd w:val="clear" w:color="auto" w:fill="auto"/>
            <w:vAlign w:val="bottom"/>
          </w:tcPr>
          <w:p w14:paraId="0A796748" w14:textId="28305E40" w:rsidR="009C78C1" w:rsidRPr="00537128" w:rsidRDefault="009C78C1" w:rsidP="009C78C1">
            <w:pPr>
              <w:tabs>
                <w:tab w:val="right" w:pos="1202"/>
              </w:tabs>
              <w:spacing w:after="0" w:line="240" w:lineRule="auto"/>
              <w:jc w:val="right"/>
              <w:outlineLvl w:val="0"/>
              <w:rPr>
                <w:rFonts w:eastAsia="Times New Roman" w:cs="Arial"/>
                <w:b/>
                <w:iCs/>
                <w:noProof/>
                <w:color w:val="000000" w:themeColor="text1"/>
                <w:sz w:val="20"/>
                <w:szCs w:val="20"/>
                <w:lang w:val="en-US"/>
              </w:rPr>
            </w:pPr>
            <w:r w:rsidRPr="00A1123E">
              <w:rPr>
                <w:rFonts w:ascii="Calibri" w:hAnsi="Calibri" w:cs="Calibri"/>
                <w:b/>
                <w:bCs/>
                <w:color w:val="000000" w:themeColor="text1"/>
                <w:sz w:val="20"/>
                <w:szCs w:val="20"/>
                <w:lang w:val="en-US"/>
              </w:rPr>
              <w:t>53,906</w:t>
            </w:r>
          </w:p>
        </w:tc>
        <w:tc>
          <w:tcPr>
            <w:tcW w:w="523" w:type="pct"/>
            <w:tcBorders>
              <w:top w:val="nil"/>
              <w:left w:val="nil"/>
              <w:bottom w:val="single" w:sz="12" w:space="0" w:color="auto"/>
              <w:right w:val="nil"/>
            </w:tcBorders>
            <w:shd w:val="clear" w:color="auto" w:fill="auto"/>
            <w:vAlign w:val="bottom"/>
          </w:tcPr>
          <w:p w14:paraId="6E7BF30B" w14:textId="2888EB21" w:rsidR="009C78C1" w:rsidRPr="00537128" w:rsidRDefault="009C78C1" w:rsidP="009C78C1">
            <w:pPr>
              <w:tabs>
                <w:tab w:val="right" w:pos="1202"/>
              </w:tabs>
              <w:spacing w:after="0" w:line="240" w:lineRule="auto"/>
              <w:jc w:val="right"/>
              <w:outlineLvl w:val="0"/>
              <w:rPr>
                <w:rFonts w:eastAsia="Times New Roman" w:cs="Arial"/>
                <w:b/>
                <w:iCs/>
                <w:noProof/>
                <w:color w:val="000000" w:themeColor="text1"/>
                <w:sz w:val="20"/>
                <w:szCs w:val="20"/>
                <w:lang w:val="en-US"/>
              </w:rPr>
            </w:pPr>
            <w:r w:rsidRPr="00A1123E">
              <w:rPr>
                <w:rFonts w:ascii="Calibri" w:hAnsi="Calibri" w:cs="Calibri"/>
                <w:b/>
                <w:bCs/>
                <w:color w:val="000000" w:themeColor="text1"/>
                <w:sz w:val="20"/>
                <w:szCs w:val="20"/>
                <w:lang w:val="en-US"/>
              </w:rPr>
              <w:t>79,339</w:t>
            </w:r>
          </w:p>
        </w:tc>
        <w:tc>
          <w:tcPr>
            <w:tcW w:w="597" w:type="pct"/>
            <w:tcBorders>
              <w:top w:val="nil"/>
              <w:left w:val="nil"/>
              <w:bottom w:val="single" w:sz="12" w:space="0" w:color="auto"/>
              <w:right w:val="nil"/>
            </w:tcBorders>
            <w:shd w:val="clear" w:color="auto" w:fill="auto"/>
            <w:vAlign w:val="bottom"/>
          </w:tcPr>
          <w:p w14:paraId="2427EE8D" w14:textId="509451E8" w:rsidR="009C78C1" w:rsidRPr="00537128" w:rsidRDefault="009C78C1" w:rsidP="009C78C1">
            <w:pPr>
              <w:tabs>
                <w:tab w:val="right" w:pos="1202"/>
              </w:tabs>
              <w:spacing w:after="0" w:line="240" w:lineRule="auto"/>
              <w:jc w:val="right"/>
              <w:outlineLvl w:val="0"/>
              <w:rPr>
                <w:rFonts w:eastAsia="Times New Roman" w:cs="Arial"/>
                <w:b/>
                <w:iCs/>
                <w:noProof/>
                <w:color w:val="000000" w:themeColor="text1"/>
                <w:sz w:val="20"/>
                <w:szCs w:val="20"/>
                <w:lang w:val="en-US"/>
              </w:rPr>
            </w:pPr>
            <w:r w:rsidRPr="00A1123E">
              <w:rPr>
                <w:rFonts w:ascii="Calibri" w:hAnsi="Calibri" w:cs="Calibri"/>
                <w:b/>
                <w:bCs/>
                <w:color w:val="000000" w:themeColor="text1"/>
                <w:sz w:val="20"/>
                <w:szCs w:val="20"/>
                <w:lang w:val="en-US"/>
              </w:rPr>
              <w:t>12,341</w:t>
            </w:r>
          </w:p>
        </w:tc>
        <w:tc>
          <w:tcPr>
            <w:tcW w:w="597" w:type="pct"/>
            <w:tcBorders>
              <w:top w:val="nil"/>
              <w:left w:val="nil"/>
              <w:bottom w:val="single" w:sz="12" w:space="0" w:color="auto"/>
              <w:right w:val="nil"/>
            </w:tcBorders>
            <w:shd w:val="clear" w:color="auto" w:fill="auto"/>
            <w:vAlign w:val="bottom"/>
          </w:tcPr>
          <w:p w14:paraId="2AF74CF3" w14:textId="3FB39A34" w:rsidR="009C78C1" w:rsidRPr="00537128" w:rsidRDefault="009C78C1" w:rsidP="009C78C1">
            <w:pPr>
              <w:tabs>
                <w:tab w:val="right" w:pos="1202"/>
              </w:tabs>
              <w:spacing w:after="0" w:line="240" w:lineRule="auto"/>
              <w:jc w:val="right"/>
              <w:outlineLvl w:val="0"/>
              <w:rPr>
                <w:rFonts w:eastAsia="Times New Roman" w:cs="Arial"/>
                <w:b/>
                <w:iCs/>
                <w:noProof/>
                <w:color w:val="000000" w:themeColor="text1"/>
                <w:sz w:val="20"/>
                <w:szCs w:val="20"/>
                <w:lang w:val="en-US"/>
              </w:rPr>
            </w:pPr>
            <w:r w:rsidRPr="00A1123E">
              <w:rPr>
                <w:rFonts w:ascii="Calibri" w:hAnsi="Calibri" w:cs="Calibri"/>
                <w:b/>
                <w:bCs/>
                <w:color w:val="000000" w:themeColor="text1"/>
                <w:sz w:val="20"/>
                <w:szCs w:val="20"/>
                <w:lang w:val="en-US"/>
              </w:rPr>
              <w:t>10,354,624</w:t>
            </w:r>
          </w:p>
        </w:tc>
      </w:tr>
      <w:tr w:rsidR="009C78C1" w:rsidRPr="00537128" w14:paraId="464C1CB3" w14:textId="77777777" w:rsidTr="00CE00C1">
        <w:trPr>
          <w:trHeight w:val="288"/>
        </w:trPr>
        <w:tc>
          <w:tcPr>
            <w:tcW w:w="1567" w:type="pct"/>
            <w:vAlign w:val="bottom"/>
          </w:tcPr>
          <w:p w14:paraId="4AF1C323" w14:textId="77777777" w:rsidR="009C78C1" w:rsidRPr="00537128" w:rsidRDefault="009C78C1" w:rsidP="009C78C1">
            <w:pPr>
              <w:tabs>
                <w:tab w:val="right" w:pos="1202"/>
              </w:tabs>
              <w:spacing w:after="0" w:line="240" w:lineRule="auto"/>
              <w:outlineLvl w:val="0"/>
              <w:rPr>
                <w:rFonts w:eastAsia="Times New Roman" w:cs="Arial"/>
                <w:iCs/>
                <w:noProof/>
                <w:color w:val="000000" w:themeColor="text1"/>
                <w:sz w:val="20"/>
                <w:szCs w:val="20"/>
                <w:lang w:val="en-US"/>
              </w:rPr>
            </w:pPr>
            <w:r w:rsidRPr="00537128">
              <w:rPr>
                <w:rFonts w:eastAsia="Times New Roman" w:cs="Arial"/>
                <w:iCs/>
                <w:noProof/>
                <w:color w:val="000000" w:themeColor="text1"/>
                <w:sz w:val="20"/>
                <w:szCs w:val="20"/>
                <w:lang w:val="en-US"/>
              </w:rPr>
              <w:t xml:space="preserve">Profit for the period </w:t>
            </w:r>
          </w:p>
        </w:tc>
        <w:tc>
          <w:tcPr>
            <w:tcW w:w="597" w:type="pct"/>
            <w:tcBorders>
              <w:top w:val="single" w:sz="12" w:space="0" w:color="auto"/>
            </w:tcBorders>
            <w:shd w:val="clear" w:color="auto" w:fill="auto"/>
            <w:vAlign w:val="bottom"/>
          </w:tcPr>
          <w:p w14:paraId="37D7EF41" w14:textId="298DE785" w:rsidR="009C78C1" w:rsidRPr="00537128"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sidRPr="006C6F8E">
              <w:rPr>
                <w:rFonts w:eastAsia="Times New Roman" w:cstheme="minorHAnsi"/>
                <w:color w:val="000000" w:themeColor="text1"/>
                <w:sz w:val="20"/>
                <w:szCs w:val="20"/>
              </w:rPr>
              <w:t>-</w:t>
            </w:r>
          </w:p>
        </w:tc>
        <w:tc>
          <w:tcPr>
            <w:tcW w:w="597" w:type="pct"/>
            <w:tcBorders>
              <w:top w:val="single" w:sz="12" w:space="0" w:color="auto"/>
            </w:tcBorders>
            <w:shd w:val="clear" w:color="auto" w:fill="auto"/>
            <w:vAlign w:val="bottom"/>
          </w:tcPr>
          <w:p w14:paraId="72026CC6" w14:textId="109557B9" w:rsidR="009C78C1" w:rsidRPr="00537128"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sidRPr="006C6F8E">
              <w:rPr>
                <w:rFonts w:eastAsia="Times New Roman" w:cstheme="minorHAnsi"/>
                <w:color w:val="000000" w:themeColor="text1"/>
                <w:sz w:val="20"/>
                <w:szCs w:val="20"/>
              </w:rPr>
              <w:t>-</w:t>
            </w:r>
          </w:p>
        </w:tc>
        <w:tc>
          <w:tcPr>
            <w:tcW w:w="522" w:type="pct"/>
            <w:tcBorders>
              <w:top w:val="single" w:sz="12" w:space="0" w:color="auto"/>
            </w:tcBorders>
            <w:shd w:val="clear" w:color="auto" w:fill="auto"/>
            <w:vAlign w:val="bottom"/>
          </w:tcPr>
          <w:p w14:paraId="6213D1CD" w14:textId="2AC1BA92" w:rsidR="009C78C1" w:rsidRPr="00537128"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sidRPr="006C6F8E">
              <w:rPr>
                <w:rFonts w:eastAsia="Times New Roman" w:cstheme="minorHAnsi"/>
                <w:color w:val="000000" w:themeColor="text1"/>
                <w:sz w:val="20"/>
                <w:szCs w:val="20"/>
              </w:rPr>
              <w:t>-</w:t>
            </w:r>
          </w:p>
        </w:tc>
        <w:tc>
          <w:tcPr>
            <w:tcW w:w="523" w:type="pct"/>
            <w:tcBorders>
              <w:top w:val="single" w:sz="12" w:space="0" w:color="auto"/>
            </w:tcBorders>
            <w:shd w:val="clear" w:color="auto" w:fill="auto"/>
            <w:vAlign w:val="bottom"/>
          </w:tcPr>
          <w:p w14:paraId="2D6498A4" w14:textId="7CD52568" w:rsidR="009C78C1" w:rsidRPr="00537128"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sidRPr="006C6F8E">
              <w:rPr>
                <w:rFonts w:eastAsia="Times New Roman" w:cstheme="minorHAnsi"/>
                <w:color w:val="000000" w:themeColor="text1"/>
                <w:sz w:val="20"/>
                <w:szCs w:val="20"/>
              </w:rPr>
              <w:t>87</w:t>
            </w:r>
            <w:r>
              <w:rPr>
                <w:rFonts w:eastAsia="Times New Roman" w:cstheme="minorHAnsi"/>
                <w:color w:val="000000" w:themeColor="text1"/>
                <w:sz w:val="20"/>
                <w:szCs w:val="20"/>
              </w:rPr>
              <w:t>,</w:t>
            </w:r>
            <w:r w:rsidRPr="006C6F8E">
              <w:rPr>
                <w:rFonts w:eastAsia="Times New Roman" w:cstheme="minorHAnsi"/>
                <w:color w:val="000000" w:themeColor="text1"/>
                <w:sz w:val="20"/>
                <w:szCs w:val="20"/>
              </w:rPr>
              <w:t>800</w:t>
            </w:r>
          </w:p>
        </w:tc>
        <w:tc>
          <w:tcPr>
            <w:tcW w:w="597" w:type="pct"/>
            <w:tcBorders>
              <w:top w:val="single" w:sz="12" w:space="0" w:color="auto"/>
            </w:tcBorders>
            <w:vAlign w:val="bottom"/>
          </w:tcPr>
          <w:p w14:paraId="07408607" w14:textId="2D4C8412" w:rsidR="009C78C1" w:rsidRPr="00537128" w:rsidRDefault="009C78C1" w:rsidP="009C78C1">
            <w:pPr>
              <w:tabs>
                <w:tab w:val="right" w:pos="1202"/>
              </w:tabs>
              <w:spacing w:after="0" w:line="240" w:lineRule="auto"/>
              <w:jc w:val="right"/>
              <w:outlineLvl w:val="0"/>
              <w:rPr>
                <w:rFonts w:eastAsia="Times New Roman" w:cs="Arial"/>
                <w:b/>
                <w:iCs/>
                <w:noProof/>
                <w:color w:val="000000" w:themeColor="text1"/>
                <w:sz w:val="20"/>
                <w:szCs w:val="20"/>
                <w:lang w:val="en-US"/>
              </w:rPr>
            </w:pPr>
            <w:r w:rsidRPr="006C6F8E">
              <w:rPr>
                <w:rFonts w:eastAsia="Times New Roman" w:cstheme="minorHAnsi"/>
                <w:color w:val="000000" w:themeColor="text1"/>
                <w:sz w:val="20"/>
                <w:szCs w:val="20"/>
              </w:rPr>
              <w:t>-</w:t>
            </w:r>
          </w:p>
        </w:tc>
        <w:tc>
          <w:tcPr>
            <w:tcW w:w="597" w:type="pct"/>
            <w:tcBorders>
              <w:top w:val="single" w:sz="12" w:space="0" w:color="auto"/>
            </w:tcBorders>
            <w:shd w:val="clear" w:color="auto" w:fill="auto"/>
            <w:vAlign w:val="bottom"/>
          </w:tcPr>
          <w:p w14:paraId="516261BB" w14:textId="47FFC732" w:rsidR="009C78C1" w:rsidRPr="00537128" w:rsidRDefault="009C78C1" w:rsidP="009C78C1">
            <w:pPr>
              <w:tabs>
                <w:tab w:val="right" w:pos="1202"/>
              </w:tabs>
              <w:spacing w:after="0" w:line="240" w:lineRule="auto"/>
              <w:jc w:val="right"/>
              <w:outlineLvl w:val="0"/>
              <w:rPr>
                <w:rFonts w:eastAsia="Times New Roman" w:cs="Arial"/>
                <w:b/>
                <w:iCs/>
                <w:noProof/>
                <w:color w:val="000000" w:themeColor="text1"/>
                <w:sz w:val="20"/>
                <w:szCs w:val="20"/>
                <w:lang w:val="en-US"/>
              </w:rPr>
            </w:pPr>
            <w:r w:rsidRPr="006C6F8E">
              <w:rPr>
                <w:rFonts w:eastAsia="Times New Roman" w:cstheme="minorHAnsi"/>
                <w:b/>
                <w:color w:val="000000" w:themeColor="text1"/>
                <w:sz w:val="20"/>
                <w:szCs w:val="20"/>
              </w:rPr>
              <w:t>87</w:t>
            </w:r>
            <w:r>
              <w:rPr>
                <w:rFonts w:eastAsia="Times New Roman" w:cstheme="minorHAnsi"/>
                <w:b/>
                <w:color w:val="000000" w:themeColor="text1"/>
                <w:sz w:val="20"/>
                <w:szCs w:val="20"/>
              </w:rPr>
              <w:t>,</w:t>
            </w:r>
            <w:r w:rsidRPr="006C6F8E">
              <w:rPr>
                <w:rFonts w:eastAsia="Times New Roman" w:cstheme="minorHAnsi"/>
                <w:b/>
                <w:color w:val="000000" w:themeColor="text1"/>
                <w:sz w:val="20"/>
                <w:szCs w:val="20"/>
              </w:rPr>
              <w:t>800</w:t>
            </w:r>
          </w:p>
        </w:tc>
      </w:tr>
      <w:tr w:rsidR="009C78C1" w:rsidRPr="00537128" w14:paraId="3EA90726" w14:textId="77777777" w:rsidTr="00CE00C1">
        <w:trPr>
          <w:trHeight w:val="270"/>
        </w:trPr>
        <w:tc>
          <w:tcPr>
            <w:tcW w:w="1567" w:type="pct"/>
            <w:vAlign w:val="bottom"/>
          </w:tcPr>
          <w:p w14:paraId="70F5C9BA" w14:textId="77777777" w:rsidR="009C78C1" w:rsidRPr="00537128" w:rsidRDefault="009C78C1" w:rsidP="009C78C1">
            <w:pPr>
              <w:tabs>
                <w:tab w:val="right" w:pos="1202"/>
              </w:tabs>
              <w:spacing w:after="0" w:line="240" w:lineRule="auto"/>
              <w:outlineLvl w:val="0"/>
              <w:rPr>
                <w:rFonts w:eastAsia="Times New Roman" w:cs="Arial"/>
                <w:iCs/>
                <w:noProof/>
                <w:color w:val="000000" w:themeColor="text1"/>
                <w:sz w:val="20"/>
                <w:szCs w:val="20"/>
                <w:lang w:val="en-US"/>
              </w:rPr>
            </w:pPr>
            <w:r w:rsidRPr="00537128">
              <w:rPr>
                <w:rFonts w:eastAsia="Times New Roman" w:cs="Arial"/>
                <w:iCs/>
                <w:noProof/>
                <w:color w:val="000000" w:themeColor="text1"/>
                <w:sz w:val="20"/>
                <w:szCs w:val="20"/>
                <w:lang w:val="en-US"/>
              </w:rPr>
              <w:t xml:space="preserve">Other comprehensive income </w:t>
            </w:r>
          </w:p>
        </w:tc>
        <w:tc>
          <w:tcPr>
            <w:tcW w:w="597" w:type="pct"/>
            <w:tcBorders>
              <w:bottom w:val="single" w:sz="4" w:space="0" w:color="auto"/>
            </w:tcBorders>
            <w:shd w:val="clear" w:color="auto" w:fill="auto"/>
            <w:vAlign w:val="bottom"/>
          </w:tcPr>
          <w:p w14:paraId="2048E872" w14:textId="4E5EA21A" w:rsidR="009C78C1" w:rsidRPr="00537128"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sidRPr="006C6F8E">
              <w:rPr>
                <w:rFonts w:eastAsia="Times New Roman" w:cstheme="minorHAnsi"/>
                <w:iCs/>
                <w:color w:val="000000" w:themeColor="text1"/>
                <w:sz w:val="20"/>
                <w:szCs w:val="20"/>
              </w:rPr>
              <w:t>-</w:t>
            </w:r>
          </w:p>
        </w:tc>
        <w:tc>
          <w:tcPr>
            <w:tcW w:w="597" w:type="pct"/>
            <w:tcBorders>
              <w:bottom w:val="single" w:sz="4" w:space="0" w:color="auto"/>
            </w:tcBorders>
            <w:shd w:val="clear" w:color="auto" w:fill="auto"/>
            <w:vAlign w:val="bottom"/>
          </w:tcPr>
          <w:p w14:paraId="280A2B44" w14:textId="31D886E6" w:rsidR="009C78C1" w:rsidRPr="00537128"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sidRPr="006C6F8E">
              <w:rPr>
                <w:rFonts w:eastAsia="Times New Roman" w:cstheme="minorHAnsi"/>
                <w:iCs/>
                <w:color w:val="000000" w:themeColor="text1"/>
                <w:sz w:val="20"/>
                <w:szCs w:val="20"/>
              </w:rPr>
              <w:t>-</w:t>
            </w:r>
          </w:p>
        </w:tc>
        <w:tc>
          <w:tcPr>
            <w:tcW w:w="522" w:type="pct"/>
            <w:tcBorders>
              <w:bottom w:val="single" w:sz="4" w:space="0" w:color="auto"/>
            </w:tcBorders>
            <w:shd w:val="clear" w:color="auto" w:fill="auto"/>
            <w:vAlign w:val="bottom"/>
          </w:tcPr>
          <w:p w14:paraId="292A9EFB" w14:textId="761CBB92" w:rsidR="009C78C1" w:rsidRPr="00537128"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sidRPr="006C6F8E">
              <w:rPr>
                <w:rFonts w:eastAsia="Times New Roman" w:cstheme="minorHAnsi"/>
                <w:iCs/>
                <w:color w:val="000000" w:themeColor="text1"/>
                <w:sz w:val="20"/>
                <w:szCs w:val="20"/>
              </w:rPr>
              <w:t>(5</w:t>
            </w:r>
            <w:r>
              <w:rPr>
                <w:rFonts w:eastAsia="Times New Roman" w:cstheme="minorHAnsi"/>
                <w:iCs/>
                <w:color w:val="000000" w:themeColor="text1"/>
                <w:sz w:val="20"/>
                <w:szCs w:val="20"/>
              </w:rPr>
              <w:t>,</w:t>
            </w:r>
            <w:r w:rsidRPr="006C6F8E">
              <w:rPr>
                <w:rFonts w:eastAsia="Times New Roman" w:cstheme="minorHAnsi"/>
                <w:iCs/>
                <w:color w:val="000000" w:themeColor="text1"/>
                <w:sz w:val="20"/>
                <w:szCs w:val="20"/>
              </w:rPr>
              <w:t>544)</w:t>
            </w:r>
          </w:p>
        </w:tc>
        <w:tc>
          <w:tcPr>
            <w:tcW w:w="523" w:type="pct"/>
            <w:tcBorders>
              <w:bottom w:val="single" w:sz="4" w:space="0" w:color="auto"/>
            </w:tcBorders>
            <w:shd w:val="clear" w:color="auto" w:fill="auto"/>
            <w:vAlign w:val="bottom"/>
          </w:tcPr>
          <w:p w14:paraId="6321BD67" w14:textId="1C2767E0" w:rsidR="009C78C1" w:rsidRPr="00537128"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sidRPr="006C6F8E">
              <w:rPr>
                <w:rFonts w:eastAsia="Times New Roman" w:cstheme="minorHAnsi"/>
                <w:iCs/>
                <w:color w:val="000000" w:themeColor="text1"/>
                <w:sz w:val="20"/>
                <w:szCs w:val="20"/>
              </w:rPr>
              <w:t>-</w:t>
            </w:r>
          </w:p>
        </w:tc>
        <w:tc>
          <w:tcPr>
            <w:tcW w:w="597" w:type="pct"/>
            <w:tcBorders>
              <w:bottom w:val="single" w:sz="4" w:space="0" w:color="auto"/>
            </w:tcBorders>
            <w:vAlign w:val="bottom"/>
          </w:tcPr>
          <w:p w14:paraId="206BF76E" w14:textId="6708CD98" w:rsidR="009C78C1" w:rsidRPr="00537128" w:rsidRDefault="009C78C1" w:rsidP="009C78C1">
            <w:pPr>
              <w:tabs>
                <w:tab w:val="right" w:pos="1202"/>
              </w:tabs>
              <w:spacing w:after="0" w:line="240" w:lineRule="auto"/>
              <w:jc w:val="right"/>
              <w:outlineLvl w:val="0"/>
              <w:rPr>
                <w:rFonts w:eastAsia="Times New Roman" w:cs="Arial"/>
                <w:b/>
                <w:iCs/>
                <w:noProof/>
                <w:color w:val="000000" w:themeColor="text1"/>
                <w:sz w:val="20"/>
                <w:szCs w:val="20"/>
                <w:lang w:val="en-US"/>
              </w:rPr>
            </w:pPr>
            <w:r w:rsidRPr="006C6F8E">
              <w:rPr>
                <w:rFonts w:eastAsia="Times New Roman" w:cstheme="minorHAnsi"/>
                <w:iCs/>
                <w:color w:val="000000" w:themeColor="text1"/>
                <w:sz w:val="20"/>
                <w:szCs w:val="20"/>
              </w:rPr>
              <w:t>-</w:t>
            </w:r>
          </w:p>
        </w:tc>
        <w:tc>
          <w:tcPr>
            <w:tcW w:w="597" w:type="pct"/>
            <w:tcBorders>
              <w:bottom w:val="single" w:sz="4" w:space="0" w:color="auto"/>
            </w:tcBorders>
            <w:shd w:val="clear" w:color="auto" w:fill="auto"/>
            <w:vAlign w:val="bottom"/>
          </w:tcPr>
          <w:p w14:paraId="68FFF6B9" w14:textId="1C280098" w:rsidR="009C78C1" w:rsidRPr="00537128" w:rsidRDefault="009C78C1" w:rsidP="009C78C1">
            <w:pPr>
              <w:tabs>
                <w:tab w:val="right" w:pos="1202"/>
              </w:tabs>
              <w:spacing w:after="0" w:line="240" w:lineRule="auto"/>
              <w:jc w:val="right"/>
              <w:outlineLvl w:val="0"/>
              <w:rPr>
                <w:rFonts w:eastAsia="Times New Roman" w:cs="Arial"/>
                <w:b/>
                <w:iCs/>
                <w:noProof/>
                <w:color w:val="000000" w:themeColor="text1"/>
                <w:sz w:val="20"/>
                <w:szCs w:val="20"/>
                <w:lang w:val="en-US"/>
              </w:rPr>
            </w:pPr>
            <w:r w:rsidRPr="006C6F8E">
              <w:rPr>
                <w:rFonts w:eastAsia="Times New Roman" w:cstheme="minorHAnsi"/>
                <w:b/>
                <w:iCs/>
                <w:color w:val="000000" w:themeColor="text1"/>
                <w:sz w:val="20"/>
                <w:szCs w:val="20"/>
              </w:rPr>
              <w:t>(5</w:t>
            </w:r>
            <w:r>
              <w:rPr>
                <w:rFonts w:eastAsia="Times New Roman" w:cstheme="minorHAnsi"/>
                <w:b/>
                <w:iCs/>
                <w:color w:val="000000" w:themeColor="text1"/>
                <w:sz w:val="20"/>
                <w:szCs w:val="20"/>
              </w:rPr>
              <w:t>,</w:t>
            </w:r>
            <w:r w:rsidRPr="006C6F8E">
              <w:rPr>
                <w:rFonts w:eastAsia="Times New Roman" w:cstheme="minorHAnsi"/>
                <w:b/>
                <w:iCs/>
                <w:color w:val="000000" w:themeColor="text1"/>
                <w:sz w:val="20"/>
                <w:szCs w:val="20"/>
              </w:rPr>
              <w:t>544)</w:t>
            </w:r>
          </w:p>
        </w:tc>
      </w:tr>
      <w:tr w:rsidR="009C78C1" w:rsidRPr="00537128" w14:paraId="35E54B55" w14:textId="77777777" w:rsidTr="00CE00C1">
        <w:trPr>
          <w:trHeight w:hRule="exact" w:val="397"/>
        </w:trPr>
        <w:tc>
          <w:tcPr>
            <w:tcW w:w="1567" w:type="pct"/>
            <w:vAlign w:val="bottom"/>
          </w:tcPr>
          <w:p w14:paraId="758424E1" w14:textId="77777777" w:rsidR="009C78C1" w:rsidRPr="00537128" w:rsidRDefault="009C78C1" w:rsidP="009C78C1">
            <w:pPr>
              <w:tabs>
                <w:tab w:val="right" w:pos="1202"/>
              </w:tabs>
              <w:spacing w:after="0" w:line="240" w:lineRule="auto"/>
              <w:outlineLvl w:val="0"/>
              <w:rPr>
                <w:rFonts w:eastAsia="Times New Roman" w:cs="Arial"/>
                <w:iCs/>
                <w:noProof/>
                <w:color w:val="000000" w:themeColor="text1"/>
                <w:sz w:val="20"/>
                <w:szCs w:val="20"/>
                <w:lang w:val="en-US"/>
              </w:rPr>
            </w:pPr>
            <w:r w:rsidRPr="00537128">
              <w:rPr>
                <w:rFonts w:eastAsia="Times New Roman" w:cs="Arial"/>
                <w:iCs/>
                <w:noProof/>
                <w:color w:val="000000" w:themeColor="text1"/>
                <w:sz w:val="20"/>
                <w:szCs w:val="20"/>
                <w:lang w:val="en-US"/>
              </w:rPr>
              <w:t xml:space="preserve">Total comprehensive income </w:t>
            </w:r>
          </w:p>
        </w:tc>
        <w:tc>
          <w:tcPr>
            <w:tcW w:w="597" w:type="pct"/>
            <w:tcBorders>
              <w:top w:val="single" w:sz="4" w:space="0" w:color="auto"/>
              <w:left w:val="nil"/>
              <w:bottom w:val="single" w:sz="4" w:space="0" w:color="auto"/>
              <w:right w:val="nil"/>
            </w:tcBorders>
            <w:shd w:val="clear" w:color="auto" w:fill="auto"/>
            <w:vAlign w:val="bottom"/>
          </w:tcPr>
          <w:p w14:paraId="6987B10A" w14:textId="60521C08" w:rsidR="009C78C1" w:rsidRPr="00537128"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sidRPr="006C6F8E">
              <w:rPr>
                <w:rFonts w:eastAsia="Times New Roman" w:cstheme="minorHAnsi"/>
                <w:iCs/>
                <w:color w:val="000000" w:themeColor="text1"/>
                <w:sz w:val="20"/>
                <w:szCs w:val="20"/>
              </w:rPr>
              <w:t>-</w:t>
            </w:r>
          </w:p>
        </w:tc>
        <w:tc>
          <w:tcPr>
            <w:tcW w:w="597" w:type="pct"/>
            <w:tcBorders>
              <w:top w:val="single" w:sz="4" w:space="0" w:color="auto"/>
              <w:left w:val="nil"/>
              <w:bottom w:val="single" w:sz="4" w:space="0" w:color="auto"/>
              <w:right w:val="nil"/>
            </w:tcBorders>
            <w:shd w:val="clear" w:color="auto" w:fill="auto"/>
            <w:vAlign w:val="bottom"/>
          </w:tcPr>
          <w:p w14:paraId="159FBCA7" w14:textId="28E4E0EA" w:rsidR="009C78C1" w:rsidRPr="00537128"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sidRPr="006C6F8E">
              <w:rPr>
                <w:rFonts w:eastAsia="Times New Roman" w:cstheme="minorHAnsi"/>
                <w:iCs/>
                <w:color w:val="000000" w:themeColor="text1"/>
                <w:sz w:val="20"/>
                <w:szCs w:val="20"/>
              </w:rPr>
              <w:t>-</w:t>
            </w:r>
          </w:p>
        </w:tc>
        <w:tc>
          <w:tcPr>
            <w:tcW w:w="522" w:type="pct"/>
            <w:tcBorders>
              <w:top w:val="single" w:sz="4" w:space="0" w:color="auto"/>
              <w:left w:val="nil"/>
              <w:bottom w:val="single" w:sz="4" w:space="0" w:color="auto"/>
              <w:right w:val="nil"/>
            </w:tcBorders>
            <w:shd w:val="clear" w:color="auto" w:fill="auto"/>
            <w:vAlign w:val="bottom"/>
          </w:tcPr>
          <w:p w14:paraId="2C151B5A" w14:textId="48EA4C1B" w:rsidR="009C78C1" w:rsidRPr="00537128"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sidRPr="006C6F8E">
              <w:rPr>
                <w:rFonts w:eastAsia="Times New Roman" w:cstheme="minorHAnsi"/>
                <w:iCs/>
                <w:color w:val="000000" w:themeColor="text1"/>
                <w:sz w:val="20"/>
                <w:szCs w:val="20"/>
              </w:rPr>
              <w:t>(5</w:t>
            </w:r>
            <w:r>
              <w:rPr>
                <w:rFonts w:eastAsia="Times New Roman" w:cstheme="minorHAnsi"/>
                <w:iCs/>
                <w:color w:val="000000" w:themeColor="text1"/>
                <w:sz w:val="20"/>
                <w:szCs w:val="20"/>
              </w:rPr>
              <w:t>,</w:t>
            </w:r>
            <w:r w:rsidRPr="006C6F8E">
              <w:rPr>
                <w:rFonts w:eastAsia="Times New Roman" w:cstheme="minorHAnsi"/>
                <w:iCs/>
                <w:color w:val="000000" w:themeColor="text1"/>
                <w:sz w:val="20"/>
                <w:szCs w:val="20"/>
              </w:rPr>
              <w:t>544)</w:t>
            </w:r>
          </w:p>
        </w:tc>
        <w:tc>
          <w:tcPr>
            <w:tcW w:w="523" w:type="pct"/>
            <w:tcBorders>
              <w:top w:val="single" w:sz="4" w:space="0" w:color="auto"/>
              <w:left w:val="nil"/>
              <w:bottom w:val="single" w:sz="4" w:space="0" w:color="auto"/>
              <w:right w:val="nil"/>
            </w:tcBorders>
            <w:shd w:val="clear" w:color="auto" w:fill="auto"/>
            <w:vAlign w:val="bottom"/>
          </w:tcPr>
          <w:p w14:paraId="40C70684" w14:textId="5F7E18CE" w:rsidR="009C78C1" w:rsidRPr="00537128"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sidRPr="006C6F8E">
              <w:rPr>
                <w:rFonts w:eastAsia="Times New Roman" w:cstheme="minorHAnsi"/>
                <w:iCs/>
                <w:color w:val="000000" w:themeColor="text1"/>
                <w:sz w:val="20"/>
                <w:szCs w:val="20"/>
              </w:rPr>
              <w:t>87</w:t>
            </w:r>
            <w:r>
              <w:rPr>
                <w:rFonts w:eastAsia="Times New Roman" w:cstheme="minorHAnsi"/>
                <w:iCs/>
                <w:color w:val="000000" w:themeColor="text1"/>
                <w:sz w:val="20"/>
                <w:szCs w:val="20"/>
              </w:rPr>
              <w:t>,</w:t>
            </w:r>
            <w:r w:rsidRPr="006C6F8E">
              <w:rPr>
                <w:rFonts w:eastAsia="Times New Roman" w:cstheme="minorHAnsi"/>
                <w:iCs/>
                <w:color w:val="000000" w:themeColor="text1"/>
                <w:sz w:val="20"/>
                <w:szCs w:val="20"/>
              </w:rPr>
              <w:t>800</w:t>
            </w:r>
          </w:p>
        </w:tc>
        <w:tc>
          <w:tcPr>
            <w:tcW w:w="597" w:type="pct"/>
            <w:tcBorders>
              <w:top w:val="single" w:sz="4" w:space="0" w:color="auto"/>
              <w:left w:val="nil"/>
              <w:bottom w:val="single" w:sz="4" w:space="0" w:color="auto"/>
              <w:right w:val="nil"/>
            </w:tcBorders>
            <w:shd w:val="clear" w:color="auto" w:fill="auto"/>
            <w:vAlign w:val="bottom"/>
          </w:tcPr>
          <w:p w14:paraId="2E51BFFC" w14:textId="71F1A46E" w:rsidR="009C78C1" w:rsidRPr="00537128" w:rsidRDefault="009C78C1" w:rsidP="009C78C1">
            <w:pPr>
              <w:tabs>
                <w:tab w:val="right" w:pos="1202"/>
              </w:tabs>
              <w:spacing w:after="0" w:line="240" w:lineRule="auto"/>
              <w:jc w:val="right"/>
              <w:outlineLvl w:val="0"/>
              <w:rPr>
                <w:rFonts w:eastAsia="Times New Roman" w:cs="Arial"/>
                <w:b/>
                <w:iCs/>
                <w:noProof/>
                <w:color w:val="000000" w:themeColor="text1"/>
                <w:sz w:val="20"/>
                <w:szCs w:val="20"/>
                <w:lang w:val="en-US"/>
              </w:rPr>
            </w:pPr>
            <w:r w:rsidRPr="006C6F8E">
              <w:rPr>
                <w:rFonts w:eastAsia="Times New Roman" w:cstheme="minorHAnsi"/>
                <w:color w:val="000000" w:themeColor="text1"/>
                <w:sz w:val="20"/>
                <w:szCs w:val="20"/>
              </w:rPr>
              <w:t>-</w:t>
            </w:r>
          </w:p>
        </w:tc>
        <w:tc>
          <w:tcPr>
            <w:tcW w:w="597" w:type="pct"/>
            <w:tcBorders>
              <w:top w:val="single" w:sz="4" w:space="0" w:color="auto"/>
              <w:left w:val="nil"/>
              <w:bottom w:val="single" w:sz="4" w:space="0" w:color="auto"/>
              <w:right w:val="nil"/>
            </w:tcBorders>
            <w:shd w:val="clear" w:color="auto" w:fill="auto"/>
            <w:vAlign w:val="bottom"/>
          </w:tcPr>
          <w:p w14:paraId="113EEBB5" w14:textId="0BC006E0" w:rsidR="009C78C1" w:rsidRPr="00537128" w:rsidRDefault="009C78C1" w:rsidP="009C78C1">
            <w:pPr>
              <w:tabs>
                <w:tab w:val="right" w:pos="1202"/>
              </w:tabs>
              <w:spacing w:after="0" w:line="240" w:lineRule="auto"/>
              <w:jc w:val="right"/>
              <w:outlineLvl w:val="0"/>
              <w:rPr>
                <w:rFonts w:eastAsia="Times New Roman" w:cs="Arial"/>
                <w:b/>
                <w:iCs/>
                <w:noProof/>
                <w:color w:val="000000" w:themeColor="text1"/>
                <w:sz w:val="20"/>
                <w:szCs w:val="20"/>
                <w:lang w:val="en-US"/>
              </w:rPr>
            </w:pPr>
            <w:r w:rsidRPr="006C6F8E">
              <w:rPr>
                <w:rFonts w:eastAsia="Times New Roman" w:cstheme="minorHAnsi"/>
                <w:b/>
                <w:iCs/>
                <w:color w:val="000000" w:themeColor="text1"/>
                <w:sz w:val="20"/>
                <w:szCs w:val="20"/>
              </w:rPr>
              <w:t>82</w:t>
            </w:r>
            <w:r>
              <w:rPr>
                <w:rFonts w:eastAsia="Times New Roman" w:cstheme="minorHAnsi"/>
                <w:b/>
                <w:iCs/>
                <w:color w:val="000000" w:themeColor="text1"/>
                <w:sz w:val="20"/>
                <w:szCs w:val="20"/>
              </w:rPr>
              <w:t>,</w:t>
            </w:r>
            <w:r w:rsidRPr="006C6F8E">
              <w:rPr>
                <w:rFonts w:eastAsia="Times New Roman" w:cstheme="minorHAnsi"/>
                <w:b/>
                <w:iCs/>
                <w:color w:val="000000" w:themeColor="text1"/>
                <w:sz w:val="20"/>
                <w:szCs w:val="20"/>
              </w:rPr>
              <w:t>256</w:t>
            </w:r>
          </w:p>
        </w:tc>
      </w:tr>
      <w:tr w:rsidR="009C78C1" w:rsidRPr="00537128" w14:paraId="2786C3F9" w14:textId="77777777" w:rsidTr="00CE00C1">
        <w:trPr>
          <w:trHeight w:val="479"/>
        </w:trPr>
        <w:tc>
          <w:tcPr>
            <w:tcW w:w="1567" w:type="pct"/>
            <w:vAlign w:val="bottom"/>
          </w:tcPr>
          <w:p w14:paraId="3887C7C8" w14:textId="77777777" w:rsidR="009C78C1" w:rsidRPr="00537128" w:rsidRDefault="009C78C1" w:rsidP="009C78C1">
            <w:pPr>
              <w:tabs>
                <w:tab w:val="right" w:pos="1202"/>
              </w:tabs>
              <w:spacing w:after="0" w:line="301" w:lineRule="exact"/>
              <w:outlineLvl w:val="0"/>
              <w:rPr>
                <w:rFonts w:eastAsia="Times New Roman" w:cs="Arial"/>
                <w:iCs/>
                <w:noProof/>
                <w:color w:val="000000" w:themeColor="text1"/>
                <w:sz w:val="20"/>
                <w:szCs w:val="20"/>
                <w:lang w:val="en-US"/>
              </w:rPr>
            </w:pPr>
            <w:r w:rsidRPr="00537128">
              <w:rPr>
                <w:rFonts w:eastAsia="Times New Roman" w:cs="Arial"/>
                <w:iCs/>
                <w:noProof/>
                <w:color w:val="000000" w:themeColor="text1"/>
                <w:sz w:val="20"/>
                <w:szCs w:val="20"/>
                <w:lang w:val="en-US"/>
              </w:rPr>
              <w:t>Net foreign exchange – Guarantee fund</w:t>
            </w:r>
          </w:p>
        </w:tc>
        <w:tc>
          <w:tcPr>
            <w:tcW w:w="597" w:type="pct"/>
            <w:tcBorders>
              <w:top w:val="single" w:sz="4" w:space="0" w:color="auto"/>
            </w:tcBorders>
            <w:shd w:val="clear" w:color="auto" w:fill="auto"/>
            <w:vAlign w:val="bottom"/>
          </w:tcPr>
          <w:p w14:paraId="4C081D92" w14:textId="1D8F4C87" w:rsidR="009C78C1" w:rsidRPr="00537128"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sidRPr="006C6F8E">
              <w:rPr>
                <w:rFonts w:eastAsia="Times New Roman" w:cstheme="minorHAnsi"/>
                <w:iCs/>
                <w:color w:val="000000" w:themeColor="text1"/>
                <w:sz w:val="20"/>
                <w:szCs w:val="20"/>
              </w:rPr>
              <w:t>-</w:t>
            </w:r>
          </w:p>
        </w:tc>
        <w:tc>
          <w:tcPr>
            <w:tcW w:w="597" w:type="pct"/>
            <w:tcBorders>
              <w:top w:val="single" w:sz="4" w:space="0" w:color="auto"/>
            </w:tcBorders>
            <w:shd w:val="clear" w:color="auto" w:fill="auto"/>
            <w:vAlign w:val="bottom"/>
          </w:tcPr>
          <w:p w14:paraId="6E6342AD" w14:textId="1017EA53" w:rsidR="009C78C1" w:rsidRPr="00537128"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sidRPr="006C6F8E">
              <w:rPr>
                <w:rFonts w:eastAsia="Times New Roman" w:cstheme="minorHAnsi"/>
                <w:iCs/>
                <w:color w:val="000000" w:themeColor="text1"/>
                <w:sz w:val="20"/>
                <w:szCs w:val="20"/>
              </w:rPr>
              <w:t>-</w:t>
            </w:r>
          </w:p>
        </w:tc>
        <w:tc>
          <w:tcPr>
            <w:tcW w:w="522" w:type="pct"/>
            <w:tcBorders>
              <w:top w:val="single" w:sz="4" w:space="0" w:color="auto"/>
            </w:tcBorders>
            <w:shd w:val="clear" w:color="auto" w:fill="auto"/>
            <w:vAlign w:val="bottom"/>
          </w:tcPr>
          <w:p w14:paraId="7101E27A" w14:textId="10E72D4F" w:rsidR="009C78C1" w:rsidRPr="00537128"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sidRPr="006C6F8E">
              <w:rPr>
                <w:rFonts w:eastAsia="Times New Roman" w:cstheme="minorHAnsi"/>
                <w:iCs/>
                <w:color w:val="000000" w:themeColor="text1"/>
                <w:sz w:val="20"/>
                <w:szCs w:val="20"/>
              </w:rPr>
              <w:t>-</w:t>
            </w:r>
          </w:p>
        </w:tc>
        <w:tc>
          <w:tcPr>
            <w:tcW w:w="523" w:type="pct"/>
            <w:tcBorders>
              <w:top w:val="single" w:sz="4" w:space="0" w:color="auto"/>
            </w:tcBorders>
            <w:shd w:val="clear" w:color="auto" w:fill="auto"/>
            <w:vAlign w:val="bottom"/>
          </w:tcPr>
          <w:p w14:paraId="705A576E" w14:textId="1B40BD84" w:rsidR="009C78C1" w:rsidRPr="00537128"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sidRPr="006C6F8E">
              <w:rPr>
                <w:rFonts w:eastAsia="Times New Roman" w:cstheme="minorHAnsi"/>
                <w:iCs/>
                <w:color w:val="000000" w:themeColor="text1"/>
                <w:sz w:val="20"/>
                <w:szCs w:val="20"/>
              </w:rPr>
              <w:t>-</w:t>
            </w:r>
          </w:p>
        </w:tc>
        <w:tc>
          <w:tcPr>
            <w:tcW w:w="597" w:type="pct"/>
            <w:tcBorders>
              <w:top w:val="single" w:sz="4" w:space="0" w:color="auto"/>
            </w:tcBorders>
            <w:vAlign w:val="bottom"/>
          </w:tcPr>
          <w:p w14:paraId="54D91391" w14:textId="7F6AB075" w:rsidR="009C78C1" w:rsidRPr="00537128" w:rsidRDefault="009C78C1" w:rsidP="009C78C1">
            <w:pPr>
              <w:tabs>
                <w:tab w:val="right" w:pos="1202"/>
              </w:tabs>
              <w:spacing w:after="0" w:line="240" w:lineRule="auto"/>
              <w:jc w:val="right"/>
              <w:outlineLvl w:val="0"/>
              <w:rPr>
                <w:rFonts w:eastAsia="Times New Roman" w:cs="Arial"/>
                <w:b/>
                <w:iCs/>
                <w:noProof/>
                <w:color w:val="000000" w:themeColor="text1"/>
                <w:sz w:val="20"/>
                <w:szCs w:val="20"/>
                <w:lang w:val="en-US"/>
              </w:rPr>
            </w:pPr>
            <w:r w:rsidRPr="006C6F8E">
              <w:rPr>
                <w:rFonts w:eastAsia="Times New Roman" w:cstheme="minorHAnsi"/>
                <w:color w:val="000000" w:themeColor="text1"/>
                <w:sz w:val="20"/>
                <w:szCs w:val="20"/>
              </w:rPr>
              <w:t>54</w:t>
            </w:r>
          </w:p>
        </w:tc>
        <w:tc>
          <w:tcPr>
            <w:tcW w:w="597" w:type="pct"/>
            <w:tcBorders>
              <w:top w:val="single" w:sz="4" w:space="0" w:color="auto"/>
            </w:tcBorders>
            <w:shd w:val="clear" w:color="auto" w:fill="auto"/>
            <w:vAlign w:val="bottom"/>
          </w:tcPr>
          <w:p w14:paraId="26D07E37" w14:textId="1BC33DCC" w:rsidR="009C78C1" w:rsidRPr="00537128" w:rsidRDefault="009C78C1" w:rsidP="009C78C1">
            <w:pPr>
              <w:tabs>
                <w:tab w:val="right" w:pos="1202"/>
              </w:tabs>
              <w:spacing w:after="0" w:line="240" w:lineRule="auto"/>
              <w:jc w:val="right"/>
              <w:outlineLvl w:val="0"/>
              <w:rPr>
                <w:rFonts w:eastAsia="Times New Roman" w:cs="Arial"/>
                <w:b/>
                <w:iCs/>
                <w:noProof/>
                <w:color w:val="000000" w:themeColor="text1"/>
                <w:sz w:val="20"/>
                <w:szCs w:val="20"/>
                <w:lang w:val="en-US"/>
              </w:rPr>
            </w:pPr>
            <w:r w:rsidRPr="006C6F8E">
              <w:rPr>
                <w:rFonts w:eastAsia="Times New Roman" w:cstheme="minorHAnsi"/>
                <w:b/>
                <w:iCs/>
                <w:color w:val="000000" w:themeColor="text1"/>
                <w:sz w:val="20"/>
                <w:szCs w:val="20"/>
              </w:rPr>
              <w:t>54</w:t>
            </w:r>
          </w:p>
        </w:tc>
      </w:tr>
      <w:tr w:rsidR="009C78C1" w:rsidRPr="00537128" w14:paraId="3C684EFD" w14:textId="77777777" w:rsidTr="00CE00C1">
        <w:trPr>
          <w:trHeight w:val="479"/>
        </w:trPr>
        <w:tc>
          <w:tcPr>
            <w:tcW w:w="1567" w:type="pct"/>
            <w:vAlign w:val="bottom"/>
          </w:tcPr>
          <w:p w14:paraId="563FBF1E" w14:textId="078E11EC" w:rsidR="009C78C1" w:rsidRPr="008D5B31" w:rsidRDefault="009C78C1" w:rsidP="009C78C1">
            <w:pPr>
              <w:tabs>
                <w:tab w:val="right" w:pos="1202"/>
              </w:tabs>
              <w:spacing w:after="0" w:line="301" w:lineRule="exact"/>
              <w:outlineLvl w:val="0"/>
              <w:rPr>
                <w:rFonts w:eastAsia="Times New Roman" w:cs="Arial"/>
                <w:iCs/>
                <w:noProof/>
                <w:color w:val="000000" w:themeColor="text1"/>
                <w:sz w:val="20"/>
                <w:szCs w:val="20"/>
                <w:lang w:val="en-US"/>
              </w:rPr>
            </w:pPr>
            <w:r w:rsidRPr="00A1123E">
              <w:rPr>
                <w:rFonts w:ascii="Calibri" w:hAnsi="Calibri"/>
                <w:iCs/>
                <w:sz w:val="20"/>
                <w:szCs w:val="20"/>
              </w:rPr>
              <w:t xml:space="preserve">Capital paid-in from the State Budget  </w:t>
            </w:r>
          </w:p>
        </w:tc>
        <w:tc>
          <w:tcPr>
            <w:tcW w:w="597" w:type="pct"/>
            <w:tcBorders>
              <w:top w:val="single" w:sz="4" w:space="0" w:color="auto"/>
            </w:tcBorders>
            <w:shd w:val="clear" w:color="auto" w:fill="auto"/>
            <w:vAlign w:val="bottom"/>
          </w:tcPr>
          <w:p w14:paraId="6693CBD8" w14:textId="1B2FF804" w:rsidR="009C78C1" w:rsidRPr="00537128" w:rsidRDefault="009C78C1" w:rsidP="009C78C1">
            <w:pPr>
              <w:tabs>
                <w:tab w:val="right" w:pos="1202"/>
              </w:tabs>
              <w:spacing w:after="0" w:line="240" w:lineRule="auto"/>
              <w:jc w:val="right"/>
              <w:outlineLvl w:val="0"/>
              <w:rPr>
                <w:sz w:val="20"/>
                <w:szCs w:val="20"/>
                <w:lang w:val="en-US"/>
              </w:rPr>
            </w:pPr>
            <w:r>
              <w:rPr>
                <w:sz w:val="20"/>
                <w:szCs w:val="20"/>
                <w:lang w:val="en-US"/>
              </w:rPr>
              <w:t>-</w:t>
            </w:r>
          </w:p>
        </w:tc>
        <w:tc>
          <w:tcPr>
            <w:tcW w:w="597" w:type="pct"/>
            <w:tcBorders>
              <w:top w:val="single" w:sz="4" w:space="0" w:color="auto"/>
            </w:tcBorders>
            <w:shd w:val="clear" w:color="auto" w:fill="auto"/>
            <w:vAlign w:val="bottom"/>
          </w:tcPr>
          <w:p w14:paraId="4F001787" w14:textId="1A4A7531" w:rsidR="009C78C1" w:rsidRPr="00537128" w:rsidRDefault="009C78C1" w:rsidP="009C78C1">
            <w:pPr>
              <w:tabs>
                <w:tab w:val="right" w:pos="1202"/>
              </w:tabs>
              <w:spacing w:after="0" w:line="240" w:lineRule="auto"/>
              <w:jc w:val="right"/>
              <w:outlineLvl w:val="0"/>
              <w:rPr>
                <w:sz w:val="20"/>
                <w:szCs w:val="20"/>
                <w:lang w:val="en-US"/>
              </w:rPr>
            </w:pPr>
            <w:r>
              <w:rPr>
                <w:sz w:val="20"/>
                <w:szCs w:val="20"/>
                <w:lang w:val="en-US"/>
              </w:rPr>
              <w:t>-</w:t>
            </w:r>
          </w:p>
        </w:tc>
        <w:tc>
          <w:tcPr>
            <w:tcW w:w="522" w:type="pct"/>
            <w:tcBorders>
              <w:top w:val="single" w:sz="4" w:space="0" w:color="auto"/>
            </w:tcBorders>
            <w:shd w:val="clear" w:color="auto" w:fill="auto"/>
            <w:vAlign w:val="bottom"/>
          </w:tcPr>
          <w:p w14:paraId="51936BC3" w14:textId="357EAB13" w:rsidR="009C78C1" w:rsidRPr="00537128" w:rsidRDefault="009C78C1" w:rsidP="009C78C1">
            <w:pPr>
              <w:tabs>
                <w:tab w:val="right" w:pos="1202"/>
              </w:tabs>
              <w:spacing w:after="0" w:line="240" w:lineRule="auto"/>
              <w:jc w:val="right"/>
              <w:outlineLvl w:val="0"/>
              <w:rPr>
                <w:sz w:val="20"/>
                <w:szCs w:val="20"/>
                <w:lang w:val="en-US"/>
              </w:rPr>
            </w:pPr>
            <w:r>
              <w:rPr>
                <w:sz w:val="20"/>
                <w:szCs w:val="20"/>
                <w:lang w:val="en-US"/>
              </w:rPr>
              <w:t>-</w:t>
            </w:r>
          </w:p>
        </w:tc>
        <w:tc>
          <w:tcPr>
            <w:tcW w:w="523" w:type="pct"/>
            <w:tcBorders>
              <w:top w:val="single" w:sz="4" w:space="0" w:color="auto"/>
            </w:tcBorders>
            <w:shd w:val="clear" w:color="auto" w:fill="auto"/>
            <w:vAlign w:val="bottom"/>
          </w:tcPr>
          <w:p w14:paraId="1F99E9E3" w14:textId="5775BC50" w:rsidR="009C78C1" w:rsidRPr="00537128" w:rsidRDefault="009C78C1" w:rsidP="009C78C1">
            <w:pPr>
              <w:tabs>
                <w:tab w:val="right" w:pos="1202"/>
              </w:tabs>
              <w:spacing w:after="0" w:line="240" w:lineRule="auto"/>
              <w:jc w:val="right"/>
              <w:outlineLvl w:val="0"/>
              <w:rPr>
                <w:sz w:val="20"/>
                <w:szCs w:val="20"/>
                <w:lang w:val="en-US"/>
              </w:rPr>
            </w:pPr>
            <w:r>
              <w:rPr>
                <w:sz w:val="20"/>
                <w:szCs w:val="20"/>
                <w:lang w:val="en-US"/>
              </w:rPr>
              <w:t>-</w:t>
            </w:r>
          </w:p>
        </w:tc>
        <w:tc>
          <w:tcPr>
            <w:tcW w:w="597" w:type="pct"/>
            <w:tcBorders>
              <w:top w:val="single" w:sz="4" w:space="0" w:color="auto"/>
            </w:tcBorders>
            <w:vAlign w:val="bottom"/>
          </w:tcPr>
          <w:p w14:paraId="6EAE7F55" w14:textId="5AC61CAE" w:rsidR="009C78C1" w:rsidRPr="00537128" w:rsidRDefault="009C78C1" w:rsidP="009C78C1">
            <w:pPr>
              <w:tabs>
                <w:tab w:val="right" w:pos="1202"/>
              </w:tabs>
              <w:spacing w:after="0" w:line="240" w:lineRule="auto"/>
              <w:jc w:val="right"/>
              <w:outlineLvl w:val="0"/>
              <w:rPr>
                <w:sz w:val="20"/>
                <w:szCs w:val="20"/>
                <w:lang w:val="en-US"/>
              </w:rPr>
            </w:pPr>
            <w:r>
              <w:rPr>
                <w:sz w:val="20"/>
                <w:szCs w:val="20"/>
                <w:lang w:val="en-US"/>
              </w:rPr>
              <w:t>-</w:t>
            </w:r>
          </w:p>
        </w:tc>
        <w:tc>
          <w:tcPr>
            <w:tcW w:w="597" w:type="pct"/>
            <w:tcBorders>
              <w:top w:val="single" w:sz="4" w:space="0" w:color="auto"/>
            </w:tcBorders>
            <w:shd w:val="clear" w:color="auto" w:fill="auto"/>
            <w:vAlign w:val="bottom"/>
          </w:tcPr>
          <w:p w14:paraId="3757BFDD" w14:textId="7D473452" w:rsidR="009C78C1" w:rsidRPr="00537128" w:rsidRDefault="009C78C1" w:rsidP="009C78C1">
            <w:pPr>
              <w:tabs>
                <w:tab w:val="right" w:pos="1202"/>
              </w:tabs>
              <w:spacing w:after="0" w:line="240" w:lineRule="auto"/>
              <w:jc w:val="right"/>
              <w:outlineLvl w:val="0"/>
              <w:rPr>
                <w:b/>
                <w:bCs/>
                <w:sz w:val="20"/>
                <w:szCs w:val="20"/>
                <w:lang w:val="en-US"/>
              </w:rPr>
            </w:pPr>
            <w:r>
              <w:rPr>
                <w:b/>
                <w:bCs/>
                <w:sz w:val="20"/>
                <w:szCs w:val="20"/>
                <w:lang w:val="en-US"/>
              </w:rPr>
              <w:t>-</w:t>
            </w:r>
          </w:p>
        </w:tc>
      </w:tr>
      <w:tr w:rsidR="009C78C1" w:rsidRPr="00537128" w14:paraId="2B63071B" w14:textId="77777777" w:rsidTr="00CE00C1">
        <w:trPr>
          <w:trHeight w:val="476"/>
        </w:trPr>
        <w:tc>
          <w:tcPr>
            <w:tcW w:w="1567" w:type="pct"/>
            <w:vAlign w:val="bottom"/>
          </w:tcPr>
          <w:p w14:paraId="7818DF93" w14:textId="04C1C1C8" w:rsidR="009C78C1" w:rsidRPr="00537128" w:rsidRDefault="009C78C1" w:rsidP="009C78C1">
            <w:pPr>
              <w:tabs>
                <w:tab w:val="right" w:pos="1202"/>
              </w:tabs>
              <w:spacing w:after="0" w:line="301" w:lineRule="exact"/>
              <w:outlineLvl w:val="0"/>
              <w:rPr>
                <w:rFonts w:eastAsia="Times New Roman" w:cs="Arial"/>
                <w:iCs/>
                <w:noProof/>
                <w:color w:val="000000" w:themeColor="text1"/>
                <w:sz w:val="20"/>
                <w:szCs w:val="20"/>
                <w:lang w:val="en-US"/>
              </w:rPr>
            </w:pPr>
            <w:r w:rsidRPr="00537128">
              <w:rPr>
                <w:rFonts w:eastAsia="Times New Roman" w:cs="Arial"/>
                <w:iCs/>
                <w:noProof/>
                <w:color w:val="000000" w:themeColor="text1"/>
                <w:sz w:val="20"/>
                <w:szCs w:val="20"/>
                <w:lang w:val="en-US"/>
              </w:rPr>
              <w:t>Transfer of profit 20</w:t>
            </w:r>
            <w:r>
              <w:rPr>
                <w:rFonts w:eastAsia="Times New Roman" w:cs="Arial"/>
                <w:iCs/>
                <w:noProof/>
                <w:color w:val="000000" w:themeColor="text1"/>
                <w:sz w:val="20"/>
                <w:szCs w:val="20"/>
                <w:lang w:val="en-US"/>
              </w:rPr>
              <w:t>20</w:t>
            </w:r>
            <w:r w:rsidRPr="00537128">
              <w:rPr>
                <w:rFonts w:eastAsia="Times New Roman" w:cs="Arial"/>
                <w:iCs/>
                <w:noProof/>
                <w:color w:val="000000" w:themeColor="text1"/>
                <w:sz w:val="20"/>
                <w:szCs w:val="20"/>
                <w:lang w:val="en-US"/>
              </w:rPr>
              <w:t xml:space="preserve"> to</w:t>
            </w:r>
          </w:p>
          <w:p w14:paraId="6D460C7A" w14:textId="77777777" w:rsidR="009C78C1" w:rsidRPr="00537128" w:rsidRDefault="009C78C1" w:rsidP="009C78C1">
            <w:pPr>
              <w:tabs>
                <w:tab w:val="right" w:pos="1202"/>
              </w:tabs>
              <w:spacing w:after="0" w:line="240" w:lineRule="auto"/>
              <w:outlineLvl w:val="0"/>
              <w:rPr>
                <w:rFonts w:eastAsia="Times New Roman" w:cs="Arial"/>
                <w:i/>
                <w:iCs/>
                <w:noProof/>
                <w:color w:val="000000" w:themeColor="text1"/>
                <w:sz w:val="20"/>
                <w:szCs w:val="20"/>
                <w:lang w:val="en-US"/>
              </w:rPr>
            </w:pPr>
            <w:r w:rsidRPr="00537128">
              <w:rPr>
                <w:rFonts w:eastAsia="Times New Roman" w:cs="Arial"/>
                <w:iCs/>
                <w:noProof/>
                <w:color w:val="000000" w:themeColor="text1"/>
                <w:sz w:val="20"/>
                <w:szCs w:val="20"/>
                <w:lang w:val="en-US"/>
              </w:rPr>
              <w:t>retained earnings</w:t>
            </w:r>
          </w:p>
        </w:tc>
        <w:tc>
          <w:tcPr>
            <w:tcW w:w="597" w:type="pct"/>
            <w:tcBorders>
              <w:bottom w:val="single" w:sz="12" w:space="0" w:color="auto"/>
            </w:tcBorders>
            <w:shd w:val="clear" w:color="auto" w:fill="auto"/>
            <w:vAlign w:val="bottom"/>
          </w:tcPr>
          <w:p w14:paraId="33598AC0" w14:textId="07391C53" w:rsidR="009C78C1" w:rsidRPr="00537128"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sidRPr="006C6F8E">
              <w:rPr>
                <w:rFonts w:eastAsia="Times New Roman" w:cstheme="minorHAnsi"/>
                <w:iCs/>
                <w:color w:val="000000" w:themeColor="text1"/>
                <w:sz w:val="20"/>
                <w:szCs w:val="20"/>
              </w:rPr>
              <w:t>-</w:t>
            </w:r>
          </w:p>
        </w:tc>
        <w:tc>
          <w:tcPr>
            <w:tcW w:w="597" w:type="pct"/>
            <w:tcBorders>
              <w:bottom w:val="single" w:sz="12" w:space="0" w:color="auto"/>
            </w:tcBorders>
            <w:shd w:val="clear" w:color="auto" w:fill="auto"/>
            <w:vAlign w:val="bottom"/>
          </w:tcPr>
          <w:p w14:paraId="0D2CA6EB" w14:textId="6943566A" w:rsidR="009C78C1" w:rsidRPr="00537128"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sidRPr="006C6F8E">
              <w:rPr>
                <w:rFonts w:eastAsia="Times New Roman" w:cstheme="minorHAnsi"/>
                <w:iCs/>
                <w:color w:val="000000" w:themeColor="text1"/>
                <w:sz w:val="20"/>
                <w:szCs w:val="20"/>
              </w:rPr>
              <w:t>79</w:t>
            </w:r>
            <w:r>
              <w:rPr>
                <w:rFonts w:eastAsia="Times New Roman" w:cstheme="minorHAnsi"/>
                <w:iCs/>
                <w:color w:val="000000" w:themeColor="text1"/>
                <w:sz w:val="20"/>
                <w:szCs w:val="20"/>
              </w:rPr>
              <w:t>,</w:t>
            </w:r>
            <w:r w:rsidRPr="006C6F8E">
              <w:rPr>
                <w:rFonts w:eastAsia="Times New Roman" w:cstheme="minorHAnsi"/>
                <w:iCs/>
                <w:color w:val="000000" w:themeColor="text1"/>
                <w:sz w:val="20"/>
                <w:szCs w:val="20"/>
              </w:rPr>
              <w:t>339</w:t>
            </w:r>
          </w:p>
        </w:tc>
        <w:tc>
          <w:tcPr>
            <w:tcW w:w="522" w:type="pct"/>
            <w:tcBorders>
              <w:bottom w:val="single" w:sz="12" w:space="0" w:color="auto"/>
            </w:tcBorders>
            <w:shd w:val="clear" w:color="auto" w:fill="auto"/>
            <w:vAlign w:val="bottom"/>
          </w:tcPr>
          <w:p w14:paraId="050C3D92" w14:textId="431348DC" w:rsidR="009C78C1" w:rsidRPr="00537128"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sidRPr="006C6F8E">
              <w:rPr>
                <w:rFonts w:eastAsia="Times New Roman" w:cstheme="minorHAnsi"/>
                <w:iCs/>
                <w:color w:val="000000" w:themeColor="text1"/>
                <w:sz w:val="20"/>
                <w:szCs w:val="20"/>
              </w:rPr>
              <w:t>-</w:t>
            </w:r>
          </w:p>
        </w:tc>
        <w:tc>
          <w:tcPr>
            <w:tcW w:w="523" w:type="pct"/>
            <w:tcBorders>
              <w:bottom w:val="single" w:sz="12" w:space="0" w:color="auto"/>
            </w:tcBorders>
            <w:shd w:val="clear" w:color="auto" w:fill="auto"/>
            <w:vAlign w:val="bottom"/>
          </w:tcPr>
          <w:p w14:paraId="41A2C65B" w14:textId="6717B463" w:rsidR="009C78C1" w:rsidRPr="00537128"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sidRPr="006C6F8E">
              <w:rPr>
                <w:rFonts w:eastAsia="Times New Roman" w:cstheme="minorHAnsi"/>
                <w:iCs/>
                <w:color w:val="000000" w:themeColor="text1"/>
                <w:sz w:val="20"/>
                <w:szCs w:val="20"/>
              </w:rPr>
              <w:t>(79</w:t>
            </w:r>
            <w:r>
              <w:rPr>
                <w:rFonts w:eastAsia="Times New Roman" w:cstheme="minorHAnsi"/>
                <w:iCs/>
                <w:color w:val="000000" w:themeColor="text1"/>
                <w:sz w:val="20"/>
                <w:szCs w:val="20"/>
              </w:rPr>
              <w:t>,</w:t>
            </w:r>
            <w:r w:rsidRPr="006C6F8E">
              <w:rPr>
                <w:rFonts w:eastAsia="Times New Roman" w:cstheme="minorHAnsi"/>
                <w:iCs/>
                <w:color w:val="000000" w:themeColor="text1"/>
                <w:sz w:val="20"/>
                <w:szCs w:val="20"/>
              </w:rPr>
              <w:t>339)</w:t>
            </w:r>
          </w:p>
        </w:tc>
        <w:tc>
          <w:tcPr>
            <w:tcW w:w="597" w:type="pct"/>
            <w:tcBorders>
              <w:bottom w:val="single" w:sz="12" w:space="0" w:color="auto"/>
            </w:tcBorders>
            <w:vAlign w:val="bottom"/>
          </w:tcPr>
          <w:p w14:paraId="1CA0735E" w14:textId="520465D9" w:rsidR="009C78C1" w:rsidRPr="00537128" w:rsidRDefault="009C78C1" w:rsidP="009C78C1">
            <w:pPr>
              <w:tabs>
                <w:tab w:val="right" w:pos="1202"/>
              </w:tabs>
              <w:spacing w:after="0" w:line="240" w:lineRule="auto"/>
              <w:jc w:val="right"/>
              <w:outlineLvl w:val="0"/>
              <w:rPr>
                <w:rFonts w:eastAsia="Times New Roman" w:cs="Arial"/>
                <w:b/>
                <w:iCs/>
                <w:noProof/>
                <w:color w:val="000000" w:themeColor="text1"/>
                <w:sz w:val="20"/>
                <w:szCs w:val="20"/>
                <w:lang w:val="en-US"/>
              </w:rPr>
            </w:pPr>
            <w:r w:rsidRPr="006C6F8E">
              <w:rPr>
                <w:rFonts w:eastAsia="Times New Roman" w:cstheme="minorHAnsi"/>
                <w:color w:val="000000" w:themeColor="text1"/>
                <w:sz w:val="20"/>
                <w:szCs w:val="20"/>
              </w:rPr>
              <w:t>-</w:t>
            </w:r>
          </w:p>
        </w:tc>
        <w:tc>
          <w:tcPr>
            <w:tcW w:w="597" w:type="pct"/>
            <w:tcBorders>
              <w:bottom w:val="single" w:sz="12" w:space="0" w:color="auto"/>
            </w:tcBorders>
            <w:shd w:val="clear" w:color="auto" w:fill="auto"/>
            <w:vAlign w:val="bottom"/>
          </w:tcPr>
          <w:p w14:paraId="52769C9D" w14:textId="3418DC7D" w:rsidR="009C78C1" w:rsidRPr="00537128" w:rsidRDefault="009C78C1" w:rsidP="009C78C1">
            <w:pPr>
              <w:tabs>
                <w:tab w:val="right" w:pos="1202"/>
              </w:tabs>
              <w:spacing w:after="0" w:line="240" w:lineRule="auto"/>
              <w:jc w:val="right"/>
              <w:outlineLvl w:val="0"/>
              <w:rPr>
                <w:rFonts w:eastAsia="Times New Roman" w:cs="Arial"/>
                <w:b/>
                <w:iCs/>
                <w:noProof/>
                <w:color w:val="000000" w:themeColor="text1"/>
                <w:sz w:val="20"/>
                <w:szCs w:val="20"/>
                <w:lang w:val="en-US"/>
              </w:rPr>
            </w:pPr>
            <w:r w:rsidRPr="006C6F8E">
              <w:rPr>
                <w:rFonts w:eastAsia="Times New Roman" w:cstheme="minorHAnsi"/>
                <w:b/>
                <w:iCs/>
                <w:color w:val="000000" w:themeColor="text1"/>
                <w:sz w:val="20"/>
                <w:szCs w:val="20"/>
              </w:rPr>
              <w:t>-</w:t>
            </w:r>
          </w:p>
        </w:tc>
      </w:tr>
      <w:tr w:rsidR="009C78C1" w:rsidRPr="00537128" w14:paraId="7E6828C1" w14:textId="77777777" w:rsidTr="004E2842">
        <w:trPr>
          <w:trHeight w:val="409"/>
        </w:trPr>
        <w:tc>
          <w:tcPr>
            <w:tcW w:w="1567" w:type="pct"/>
            <w:vAlign w:val="bottom"/>
          </w:tcPr>
          <w:p w14:paraId="11146902" w14:textId="78BF64CA" w:rsidR="009C78C1" w:rsidRPr="00537128" w:rsidRDefault="009C78C1" w:rsidP="009C78C1">
            <w:pPr>
              <w:tabs>
                <w:tab w:val="right" w:pos="1202"/>
              </w:tabs>
              <w:spacing w:after="0" w:line="240" w:lineRule="auto"/>
              <w:outlineLvl w:val="0"/>
              <w:rPr>
                <w:rFonts w:eastAsia="Times New Roman" w:cs="Arial"/>
                <w:b/>
                <w:iCs/>
                <w:noProof/>
                <w:color w:val="000000" w:themeColor="text1"/>
                <w:sz w:val="20"/>
                <w:szCs w:val="20"/>
                <w:lang w:val="en-US"/>
              </w:rPr>
            </w:pPr>
            <w:r w:rsidRPr="00537128">
              <w:rPr>
                <w:rFonts w:eastAsia="Times New Roman" w:cs="Arial"/>
                <w:b/>
                <w:iCs/>
                <w:noProof/>
                <w:color w:val="000000" w:themeColor="text1"/>
                <w:sz w:val="20"/>
                <w:szCs w:val="20"/>
                <w:lang w:val="en-US"/>
              </w:rPr>
              <w:t>Balance as at 31 March 202</w:t>
            </w:r>
            <w:r>
              <w:rPr>
                <w:rFonts w:eastAsia="Times New Roman" w:cs="Arial"/>
                <w:b/>
                <w:iCs/>
                <w:noProof/>
                <w:color w:val="000000" w:themeColor="text1"/>
                <w:sz w:val="20"/>
                <w:szCs w:val="20"/>
                <w:lang w:val="en-US"/>
              </w:rPr>
              <w:t>1</w:t>
            </w:r>
          </w:p>
        </w:tc>
        <w:tc>
          <w:tcPr>
            <w:tcW w:w="597" w:type="pct"/>
            <w:tcBorders>
              <w:top w:val="nil"/>
              <w:left w:val="nil"/>
              <w:bottom w:val="single" w:sz="12" w:space="0" w:color="auto"/>
              <w:right w:val="nil"/>
            </w:tcBorders>
            <w:shd w:val="clear" w:color="auto" w:fill="auto"/>
            <w:vAlign w:val="bottom"/>
          </w:tcPr>
          <w:p w14:paraId="570D2F2B" w14:textId="71762C27" w:rsidR="009C78C1" w:rsidRPr="00537128" w:rsidRDefault="009C78C1" w:rsidP="009C78C1">
            <w:pPr>
              <w:tabs>
                <w:tab w:val="right" w:pos="1202"/>
              </w:tabs>
              <w:spacing w:after="0" w:line="320" w:lineRule="exact"/>
              <w:jc w:val="right"/>
              <w:outlineLvl w:val="0"/>
              <w:rPr>
                <w:rFonts w:eastAsia="Times New Roman" w:cs="Arial"/>
                <w:b/>
                <w:iCs/>
                <w:noProof/>
                <w:color w:val="000000" w:themeColor="text1"/>
                <w:sz w:val="20"/>
                <w:szCs w:val="20"/>
                <w:lang w:val="en-US"/>
              </w:rPr>
            </w:pPr>
            <w:r w:rsidRPr="006C6F8E">
              <w:rPr>
                <w:rFonts w:ascii="Calibri" w:hAnsi="Calibri" w:cs="Calibri"/>
                <w:b/>
                <w:bCs/>
                <w:color w:val="000000" w:themeColor="text1"/>
                <w:sz w:val="20"/>
                <w:szCs w:val="20"/>
              </w:rPr>
              <w:t>7</w:t>
            </w:r>
            <w:r>
              <w:rPr>
                <w:rFonts w:ascii="Calibri" w:hAnsi="Calibri" w:cs="Calibri"/>
                <w:b/>
                <w:bCs/>
                <w:color w:val="000000" w:themeColor="text1"/>
                <w:sz w:val="20"/>
                <w:szCs w:val="20"/>
              </w:rPr>
              <w:t>,</w:t>
            </w:r>
            <w:r w:rsidRPr="006C6F8E">
              <w:rPr>
                <w:rFonts w:ascii="Calibri" w:hAnsi="Calibri" w:cs="Calibri"/>
                <w:b/>
                <w:bCs/>
                <w:color w:val="000000" w:themeColor="text1"/>
                <w:sz w:val="20"/>
                <w:szCs w:val="20"/>
              </w:rPr>
              <w:t>134</w:t>
            </w:r>
            <w:r>
              <w:rPr>
                <w:rFonts w:ascii="Calibri" w:hAnsi="Calibri" w:cs="Calibri"/>
                <w:b/>
                <w:bCs/>
                <w:color w:val="000000" w:themeColor="text1"/>
                <w:sz w:val="20"/>
                <w:szCs w:val="20"/>
              </w:rPr>
              <w:t>,</w:t>
            </w:r>
            <w:r w:rsidRPr="006C6F8E">
              <w:rPr>
                <w:rFonts w:ascii="Calibri" w:hAnsi="Calibri" w:cs="Calibri"/>
                <w:b/>
                <w:bCs/>
                <w:color w:val="000000" w:themeColor="text1"/>
                <w:sz w:val="20"/>
                <w:szCs w:val="20"/>
              </w:rPr>
              <w:t>632</w:t>
            </w:r>
          </w:p>
        </w:tc>
        <w:tc>
          <w:tcPr>
            <w:tcW w:w="597" w:type="pct"/>
            <w:tcBorders>
              <w:top w:val="single" w:sz="12" w:space="0" w:color="auto"/>
              <w:left w:val="nil"/>
              <w:bottom w:val="single" w:sz="12" w:space="0" w:color="auto"/>
              <w:right w:val="nil"/>
            </w:tcBorders>
            <w:shd w:val="clear" w:color="auto" w:fill="auto"/>
            <w:vAlign w:val="bottom"/>
          </w:tcPr>
          <w:p w14:paraId="2FD75C5D" w14:textId="64D5176E" w:rsidR="009C78C1" w:rsidRPr="00537128" w:rsidRDefault="009C78C1" w:rsidP="009C78C1">
            <w:pPr>
              <w:tabs>
                <w:tab w:val="right" w:pos="1202"/>
              </w:tabs>
              <w:spacing w:after="0" w:line="320" w:lineRule="exact"/>
              <w:jc w:val="right"/>
              <w:outlineLvl w:val="0"/>
              <w:rPr>
                <w:rFonts w:eastAsia="Times New Roman" w:cs="Arial"/>
                <w:b/>
                <w:iCs/>
                <w:noProof/>
                <w:color w:val="000000" w:themeColor="text1"/>
                <w:sz w:val="20"/>
                <w:szCs w:val="20"/>
                <w:lang w:val="en-US"/>
              </w:rPr>
            </w:pPr>
            <w:r w:rsidRPr="006C6F8E">
              <w:rPr>
                <w:rFonts w:eastAsia="Times New Roman" w:cstheme="minorHAnsi"/>
                <w:b/>
                <w:iCs/>
                <w:color w:val="000000" w:themeColor="text1"/>
                <w:sz w:val="20"/>
                <w:szCs w:val="20"/>
              </w:rPr>
              <w:t>3</w:t>
            </w:r>
            <w:r>
              <w:rPr>
                <w:rFonts w:eastAsia="Times New Roman" w:cstheme="minorHAnsi"/>
                <w:b/>
                <w:iCs/>
                <w:color w:val="000000" w:themeColor="text1"/>
                <w:sz w:val="20"/>
                <w:szCs w:val="20"/>
              </w:rPr>
              <w:t>,</w:t>
            </w:r>
            <w:r w:rsidRPr="006C6F8E">
              <w:rPr>
                <w:rFonts w:eastAsia="Times New Roman" w:cstheme="minorHAnsi"/>
                <w:b/>
                <w:iCs/>
                <w:color w:val="000000" w:themeColor="text1"/>
                <w:sz w:val="20"/>
                <w:szCs w:val="20"/>
              </w:rPr>
              <w:t>153</w:t>
            </w:r>
            <w:r>
              <w:rPr>
                <w:rFonts w:eastAsia="Times New Roman" w:cstheme="minorHAnsi"/>
                <w:b/>
                <w:iCs/>
                <w:color w:val="000000" w:themeColor="text1"/>
                <w:sz w:val="20"/>
                <w:szCs w:val="20"/>
              </w:rPr>
              <w:t>,</w:t>
            </w:r>
            <w:r w:rsidRPr="006C6F8E">
              <w:rPr>
                <w:rFonts w:eastAsia="Times New Roman" w:cstheme="minorHAnsi"/>
                <w:b/>
                <w:iCs/>
                <w:color w:val="000000" w:themeColor="text1"/>
                <w:sz w:val="20"/>
                <w:szCs w:val="20"/>
              </w:rPr>
              <w:t>745</w:t>
            </w:r>
          </w:p>
        </w:tc>
        <w:tc>
          <w:tcPr>
            <w:tcW w:w="522" w:type="pct"/>
            <w:tcBorders>
              <w:top w:val="single" w:sz="12" w:space="0" w:color="auto"/>
              <w:left w:val="nil"/>
              <w:bottom w:val="single" w:sz="12" w:space="0" w:color="auto"/>
              <w:right w:val="nil"/>
            </w:tcBorders>
            <w:shd w:val="clear" w:color="auto" w:fill="auto"/>
            <w:vAlign w:val="bottom"/>
          </w:tcPr>
          <w:p w14:paraId="73FF2A28" w14:textId="786A7B3C" w:rsidR="009C78C1" w:rsidRPr="00537128" w:rsidRDefault="009C78C1" w:rsidP="009C78C1">
            <w:pPr>
              <w:tabs>
                <w:tab w:val="right" w:pos="1202"/>
              </w:tabs>
              <w:spacing w:after="0" w:line="320" w:lineRule="exact"/>
              <w:jc w:val="right"/>
              <w:outlineLvl w:val="0"/>
              <w:rPr>
                <w:rFonts w:eastAsia="Times New Roman" w:cs="Arial"/>
                <w:b/>
                <w:iCs/>
                <w:noProof/>
                <w:color w:val="000000" w:themeColor="text1"/>
                <w:sz w:val="20"/>
                <w:szCs w:val="20"/>
                <w:lang w:val="en-US"/>
              </w:rPr>
            </w:pPr>
            <w:r w:rsidRPr="006C6F8E">
              <w:rPr>
                <w:rFonts w:eastAsia="Times New Roman" w:cstheme="minorHAnsi"/>
                <w:b/>
                <w:iCs/>
                <w:color w:val="000000" w:themeColor="text1"/>
                <w:sz w:val="20"/>
                <w:szCs w:val="20"/>
              </w:rPr>
              <w:t>48</w:t>
            </w:r>
            <w:r>
              <w:rPr>
                <w:rFonts w:eastAsia="Times New Roman" w:cstheme="minorHAnsi"/>
                <w:b/>
                <w:iCs/>
                <w:color w:val="000000" w:themeColor="text1"/>
                <w:sz w:val="20"/>
                <w:szCs w:val="20"/>
              </w:rPr>
              <w:t>,</w:t>
            </w:r>
            <w:r w:rsidRPr="006C6F8E">
              <w:rPr>
                <w:rFonts w:eastAsia="Times New Roman" w:cstheme="minorHAnsi"/>
                <w:b/>
                <w:iCs/>
                <w:color w:val="000000" w:themeColor="text1"/>
                <w:sz w:val="20"/>
                <w:szCs w:val="20"/>
              </w:rPr>
              <w:t>362</w:t>
            </w:r>
          </w:p>
        </w:tc>
        <w:tc>
          <w:tcPr>
            <w:tcW w:w="523" w:type="pct"/>
            <w:tcBorders>
              <w:top w:val="single" w:sz="12" w:space="0" w:color="auto"/>
              <w:left w:val="nil"/>
              <w:bottom w:val="single" w:sz="12" w:space="0" w:color="auto"/>
              <w:right w:val="nil"/>
            </w:tcBorders>
            <w:shd w:val="clear" w:color="auto" w:fill="auto"/>
            <w:vAlign w:val="bottom"/>
          </w:tcPr>
          <w:p w14:paraId="1F014096" w14:textId="1F36B811" w:rsidR="009C78C1" w:rsidRPr="00537128" w:rsidRDefault="009C78C1" w:rsidP="009C78C1">
            <w:pPr>
              <w:tabs>
                <w:tab w:val="right" w:pos="1202"/>
              </w:tabs>
              <w:spacing w:after="0" w:line="320" w:lineRule="exact"/>
              <w:jc w:val="right"/>
              <w:outlineLvl w:val="0"/>
              <w:rPr>
                <w:rFonts w:eastAsia="Times New Roman" w:cs="Arial"/>
                <w:b/>
                <w:iCs/>
                <w:noProof/>
                <w:color w:val="000000" w:themeColor="text1"/>
                <w:sz w:val="20"/>
                <w:szCs w:val="20"/>
                <w:lang w:val="en-US"/>
              </w:rPr>
            </w:pPr>
            <w:r w:rsidRPr="006C6F8E">
              <w:rPr>
                <w:rFonts w:eastAsia="Times New Roman" w:cstheme="minorHAnsi"/>
                <w:b/>
                <w:iCs/>
                <w:color w:val="000000" w:themeColor="text1"/>
                <w:sz w:val="20"/>
                <w:szCs w:val="20"/>
              </w:rPr>
              <w:t>87</w:t>
            </w:r>
            <w:r>
              <w:rPr>
                <w:rFonts w:eastAsia="Times New Roman" w:cstheme="minorHAnsi"/>
                <w:b/>
                <w:iCs/>
                <w:color w:val="000000" w:themeColor="text1"/>
                <w:sz w:val="20"/>
                <w:szCs w:val="20"/>
              </w:rPr>
              <w:t>,</w:t>
            </w:r>
            <w:r w:rsidRPr="006C6F8E">
              <w:rPr>
                <w:rFonts w:eastAsia="Times New Roman" w:cstheme="minorHAnsi"/>
                <w:b/>
                <w:iCs/>
                <w:color w:val="000000" w:themeColor="text1"/>
                <w:sz w:val="20"/>
                <w:szCs w:val="20"/>
              </w:rPr>
              <w:t>800</w:t>
            </w:r>
          </w:p>
        </w:tc>
        <w:tc>
          <w:tcPr>
            <w:tcW w:w="597" w:type="pct"/>
            <w:tcBorders>
              <w:top w:val="single" w:sz="12" w:space="0" w:color="auto"/>
              <w:left w:val="nil"/>
              <w:bottom w:val="single" w:sz="12" w:space="0" w:color="auto"/>
              <w:right w:val="nil"/>
            </w:tcBorders>
            <w:shd w:val="clear" w:color="auto" w:fill="auto"/>
            <w:vAlign w:val="bottom"/>
          </w:tcPr>
          <w:p w14:paraId="0E177E4E" w14:textId="66D4A56D" w:rsidR="009C78C1" w:rsidRPr="00537128" w:rsidRDefault="009C78C1" w:rsidP="009C78C1">
            <w:pPr>
              <w:tabs>
                <w:tab w:val="right" w:pos="1202"/>
              </w:tabs>
              <w:spacing w:after="0" w:line="320" w:lineRule="exact"/>
              <w:jc w:val="right"/>
              <w:outlineLvl w:val="0"/>
              <w:rPr>
                <w:rFonts w:eastAsia="Times New Roman" w:cs="Arial"/>
                <w:b/>
                <w:iCs/>
                <w:noProof/>
                <w:color w:val="000000" w:themeColor="text1"/>
                <w:sz w:val="20"/>
                <w:szCs w:val="20"/>
                <w:lang w:val="en-US"/>
              </w:rPr>
            </w:pPr>
            <w:r w:rsidRPr="006C6F8E">
              <w:rPr>
                <w:rFonts w:eastAsia="Times New Roman" w:cstheme="minorHAnsi"/>
                <w:b/>
                <w:bCs/>
                <w:color w:val="000000" w:themeColor="text1"/>
                <w:sz w:val="20"/>
                <w:szCs w:val="20"/>
              </w:rPr>
              <w:t>12</w:t>
            </w:r>
            <w:r>
              <w:rPr>
                <w:rFonts w:eastAsia="Times New Roman" w:cstheme="minorHAnsi"/>
                <w:b/>
                <w:bCs/>
                <w:color w:val="000000" w:themeColor="text1"/>
                <w:sz w:val="20"/>
                <w:szCs w:val="20"/>
              </w:rPr>
              <w:t>,</w:t>
            </w:r>
            <w:r w:rsidRPr="006C6F8E">
              <w:rPr>
                <w:rFonts w:eastAsia="Times New Roman" w:cstheme="minorHAnsi"/>
                <w:b/>
                <w:bCs/>
                <w:color w:val="000000" w:themeColor="text1"/>
                <w:sz w:val="20"/>
                <w:szCs w:val="20"/>
              </w:rPr>
              <w:t>395</w:t>
            </w:r>
          </w:p>
        </w:tc>
        <w:tc>
          <w:tcPr>
            <w:tcW w:w="597" w:type="pct"/>
            <w:tcBorders>
              <w:top w:val="single" w:sz="12" w:space="0" w:color="auto"/>
              <w:left w:val="nil"/>
              <w:bottom w:val="single" w:sz="12" w:space="0" w:color="auto"/>
              <w:right w:val="nil"/>
            </w:tcBorders>
            <w:shd w:val="clear" w:color="auto" w:fill="auto"/>
            <w:vAlign w:val="bottom"/>
          </w:tcPr>
          <w:p w14:paraId="36553893" w14:textId="246061D9" w:rsidR="009C78C1" w:rsidRPr="00537128" w:rsidRDefault="009C78C1" w:rsidP="009C78C1">
            <w:pPr>
              <w:tabs>
                <w:tab w:val="right" w:pos="1202"/>
              </w:tabs>
              <w:spacing w:after="0" w:line="320" w:lineRule="exact"/>
              <w:jc w:val="right"/>
              <w:outlineLvl w:val="0"/>
              <w:rPr>
                <w:rFonts w:eastAsia="Times New Roman" w:cs="Arial"/>
                <w:b/>
                <w:iCs/>
                <w:noProof/>
                <w:color w:val="000000" w:themeColor="text1"/>
                <w:sz w:val="20"/>
                <w:szCs w:val="20"/>
                <w:lang w:val="en-US"/>
              </w:rPr>
            </w:pPr>
            <w:r w:rsidRPr="006C6F8E">
              <w:rPr>
                <w:rFonts w:eastAsia="Times New Roman" w:cstheme="minorHAnsi"/>
                <w:b/>
                <w:iCs/>
                <w:color w:val="000000" w:themeColor="text1"/>
                <w:sz w:val="20"/>
                <w:szCs w:val="20"/>
              </w:rPr>
              <w:t>10</w:t>
            </w:r>
            <w:r>
              <w:rPr>
                <w:rFonts w:eastAsia="Times New Roman" w:cstheme="minorHAnsi"/>
                <w:b/>
                <w:iCs/>
                <w:color w:val="000000" w:themeColor="text1"/>
                <w:sz w:val="20"/>
                <w:szCs w:val="20"/>
              </w:rPr>
              <w:t>,</w:t>
            </w:r>
            <w:r w:rsidRPr="006C6F8E">
              <w:rPr>
                <w:rFonts w:eastAsia="Times New Roman" w:cstheme="minorHAnsi"/>
                <w:b/>
                <w:iCs/>
                <w:color w:val="000000" w:themeColor="text1"/>
                <w:sz w:val="20"/>
                <w:szCs w:val="20"/>
              </w:rPr>
              <w:t>436</w:t>
            </w:r>
            <w:r>
              <w:rPr>
                <w:rFonts w:eastAsia="Times New Roman" w:cstheme="minorHAnsi"/>
                <w:b/>
                <w:iCs/>
                <w:color w:val="000000" w:themeColor="text1"/>
                <w:sz w:val="20"/>
                <w:szCs w:val="20"/>
              </w:rPr>
              <w:t>,</w:t>
            </w:r>
            <w:r w:rsidRPr="006C6F8E">
              <w:rPr>
                <w:rFonts w:eastAsia="Times New Roman" w:cstheme="minorHAnsi"/>
                <w:b/>
                <w:iCs/>
                <w:color w:val="000000" w:themeColor="text1"/>
                <w:sz w:val="20"/>
                <w:szCs w:val="20"/>
              </w:rPr>
              <w:t>934</w:t>
            </w:r>
          </w:p>
        </w:tc>
      </w:tr>
      <w:tr w:rsidR="009C78C1" w:rsidRPr="00537128" w14:paraId="1BC3FC85" w14:textId="77777777" w:rsidTr="00CE00C1">
        <w:trPr>
          <w:trHeight w:hRule="exact" w:val="113"/>
        </w:trPr>
        <w:tc>
          <w:tcPr>
            <w:tcW w:w="1567" w:type="pct"/>
            <w:vAlign w:val="bottom"/>
          </w:tcPr>
          <w:p w14:paraId="7CF06DA5" w14:textId="77777777" w:rsidR="009C78C1" w:rsidRPr="00537128" w:rsidRDefault="009C78C1" w:rsidP="009C78C1">
            <w:pPr>
              <w:tabs>
                <w:tab w:val="right" w:pos="1202"/>
              </w:tabs>
              <w:spacing w:after="0" w:line="240" w:lineRule="auto"/>
              <w:outlineLvl w:val="0"/>
              <w:rPr>
                <w:rFonts w:eastAsia="Times New Roman" w:cs="Arial"/>
                <w:b/>
                <w:iCs/>
                <w:noProof/>
                <w:color w:val="000000" w:themeColor="text1"/>
                <w:sz w:val="20"/>
                <w:szCs w:val="20"/>
                <w:lang w:val="en-US"/>
              </w:rPr>
            </w:pPr>
          </w:p>
        </w:tc>
        <w:tc>
          <w:tcPr>
            <w:tcW w:w="597" w:type="pct"/>
            <w:tcBorders>
              <w:top w:val="single" w:sz="12" w:space="0" w:color="auto"/>
              <w:left w:val="nil"/>
              <w:right w:val="nil"/>
            </w:tcBorders>
            <w:shd w:val="clear" w:color="auto" w:fill="auto"/>
            <w:vAlign w:val="bottom"/>
          </w:tcPr>
          <w:p w14:paraId="2EAB44C2" w14:textId="77777777" w:rsidR="009C78C1" w:rsidRPr="00537128" w:rsidRDefault="009C78C1" w:rsidP="009C78C1">
            <w:pPr>
              <w:tabs>
                <w:tab w:val="right" w:pos="1202"/>
              </w:tabs>
              <w:spacing w:after="0" w:line="240" w:lineRule="auto"/>
              <w:jc w:val="right"/>
              <w:outlineLvl w:val="0"/>
              <w:rPr>
                <w:rFonts w:eastAsia="Times New Roman" w:cs="Calibri"/>
                <w:b/>
                <w:iCs/>
                <w:noProof/>
                <w:color w:val="000000" w:themeColor="text1"/>
                <w:sz w:val="20"/>
                <w:szCs w:val="20"/>
                <w:lang w:val="en-US"/>
              </w:rPr>
            </w:pPr>
          </w:p>
        </w:tc>
        <w:tc>
          <w:tcPr>
            <w:tcW w:w="597" w:type="pct"/>
            <w:tcBorders>
              <w:top w:val="single" w:sz="12" w:space="0" w:color="auto"/>
              <w:left w:val="nil"/>
              <w:right w:val="nil"/>
            </w:tcBorders>
            <w:shd w:val="clear" w:color="auto" w:fill="auto"/>
            <w:vAlign w:val="bottom"/>
          </w:tcPr>
          <w:p w14:paraId="7B799D04" w14:textId="77777777" w:rsidR="009C78C1" w:rsidRPr="00537128" w:rsidRDefault="009C78C1" w:rsidP="009C78C1">
            <w:pPr>
              <w:tabs>
                <w:tab w:val="right" w:pos="1202"/>
              </w:tabs>
              <w:spacing w:after="0" w:line="240" w:lineRule="auto"/>
              <w:jc w:val="right"/>
              <w:outlineLvl w:val="0"/>
              <w:rPr>
                <w:rFonts w:eastAsia="Times New Roman" w:cs="Calibri"/>
                <w:b/>
                <w:iCs/>
                <w:noProof/>
                <w:color w:val="000000" w:themeColor="text1"/>
                <w:sz w:val="20"/>
                <w:szCs w:val="20"/>
                <w:lang w:val="en-US"/>
              </w:rPr>
            </w:pPr>
          </w:p>
        </w:tc>
        <w:tc>
          <w:tcPr>
            <w:tcW w:w="522" w:type="pct"/>
            <w:tcBorders>
              <w:top w:val="single" w:sz="12" w:space="0" w:color="auto"/>
              <w:left w:val="nil"/>
              <w:right w:val="nil"/>
            </w:tcBorders>
            <w:shd w:val="clear" w:color="auto" w:fill="auto"/>
            <w:vAlign w:val="bottom"/>
          </w:tcPr>
          <w:p w14:paraId="03899ACB" w14:textId="77777777" w:rsidR="009C78C1" w:rsidRPr="00537128" w:rsidRDefault="009C78C1" w:rsidP="009C78C1">
            <w:pPr>
              <w:tabs>
                <w:tab w:val="right" w:pos="1202"/>
              </w:tabs>
              <w:spacing w:after="0" w:line="240" w:lineRule="auto"/>
              <w:jc w:val="right"/>
              <w:outlineLvl w:val="0"/>
              <w:rPr>
                <w:rFonts w:eastAsia="Times New Roman" w:cs="Calibri"/>
                <w:b/>
                <w:iCs/>
                <w:noProof/>
                <w:color w:val="000000" w:themeColor="text1"/>
                <w:sz w:val="20"/>
                <w:szCs w:val="20"/>
                <w:lang w:val="en-US"/>
              </w:rPr>
            </w:pPr>
          </w:p>
        </w:tc>
        <w:tc>
          <w:tcPr>
            <w:tcW w:w="523" w:type="pct"/>
            <w:tcBorders>
              <w:top w:val="single" w:sz="12" w:space="0" w:color="auto"/>
              <w:left w:val="nil"/>
              <w:right w:val="nil"/>
            </w:tcBorders>
            <w:shd w:val="clear" w:color="auto" w:fill="auto"/>
            <w:vAlign w:val="bottom"/>
          </w:tcPr>
          <w:p w14:paraId="5104066E" w14:textId="77777777" w:rsidR="009C78C1" w:rsidRPr="00537128" w:rsidRDefault="009C78C1" w:rsidP="009C78C1">
            <w:pPr>
              <w:tabs>
                <w:tab w:val="right" w:pos="1202"/>
              </w:tabs>
              <w:spacing w:after="0" w:line="240" w:lineRule="auto"/>
              <w:jc w:val="right"/>
              <w:outlineLvl w:val="0"/>
              <w:rPr>
                <w:rFonts w:eastAsia="Times New Roman" w:cs="Calibri"/>
                <w:b/>
                <w:iCs/>
                <w:noProof/>
                <w:color w:val="000000" w:themeColor="text1"/>
                <w:sz w:val="20"/>
                <w:szCs w:val="20"/>
                <w:lang w:val="en-US"/>
              </w:rPr>
            </w:pPr>
          </w:p>
        </w:tc>
        <w:tc>
          <w:tcPr>
            <w:tcW w:w="597" w:type="pct"/>
            <w:tcBorders>
              <w:top w:val="single" w:sz="12" w:space="0" w:color="auto"/>
              <w:left w:val="nil"/>
              <w:right w:val="nil"/>
            </w:tcBorders>
            <w:vAlign w:val="bottom"/>
          </w:tcPr>
          <w:p w14:paraId="22779C01" w14:textId="77777777" w:rsidR="009C78C1" w:rsidRPr="00537128" w:rsidRDefault="009C78C1" w:rsidP="009C78C1">
            <w:pPr>
              <w:tabs>
                <w:tab w:val="right" w:pos="1202"/>
              </w:tabs>
              <w:spacing w:after="0" w:line="240" w:lineRule="auto"/>
              <w:jc w:val="right"/>
              <w:outlineLvl w:val="0"/>
              <w:rPr>
                <w:rFonts w:eastAsia="Times New Roman" w:cs="Calibri"/>
                <w:b/>
                <w:iCs/>
                <w:noProof/>
                <w:color w:val="000000" w:themeColor="text1"/>
                <w:sz w:val="20"/>
                <w:szCs w:val="20"/>
                <w:lang w:val="en-US"/>
              </w:rPr>
            </w:pPr>
          </w:p>
        </w:tc>
        <w:tc>
          <w:tcPr>
            <w:tcW w:w="597" w:type="pct"/>
            <w:tcBorders>
              <w:top w:val="single" w:sz="12" w:space="0" w:color="auto"/>
              <w:left w:val="nil"/>
              <w:right w:val="nil"/>
            </w:tcBorders>
            <w:shd w:val="clear" w:color="auto" w:fill="auto"/>
            <w:vAlign w:val="bottom"/>
          </w:tcPr>
          <w:p w14:paraId="61A8975F" w14:textId="77777777" w:rsidR="009C78C1" w:rsidRPr="00537128" w:rsidRDefault="009C78C1" w:rsidP="009C78C1">
            <w:pPr>
              <w:tabs>
                <w:tab w:val="right" w:pos="1202"/>
              </w:tabs>
              <w:spacing w:after="0" w:line="240" w:lineRule="auto"/>
              <w:jc w:val="right"/>
              <w:outlineLvl w:val="0"/>
              <w:rPr>
                <w:rFonts w:eastAsia="Times New Roman" w:cs="Calibri"/>
                <w:b/>
                <w:iCs/>
                <w:noProof/>
                <w:color w:val="000000" w:themeColor="text1"/>
                <w:sz w:val="20"/>
                <w:szCs w:val="20"/>
                <w:lang w:val="en-US"/>
              </w:rPr>
            </w:pPr>
          </w:p>
        </w:tc>
      </w:tr>
      <w:tr w:rsidR="009C78C1" w:rsidRPr="00537128" w14:paraId="344AFDA5" w14:textId="77777777" w:rsidTr="005022AB">
        <w:trPr>
          <w:trHeight w:hRule="exact" w:val="428"/>
        </w:trPr>
        <w:tc>
          <w:tcPr>
            <w:tcW w:w="1567" w:type="pct"/>
            <w:vAlign w:val="bottom"/>
          </w:tcPr>
          <w:p w14:paraId="48BB2819" w14:textId="1E2FD5DC" w:rsidR="009C78C1" w:rsidRPr="00537128" w:rsidRDefault="009C78C1" w:rsidP="009C78C1">
            <w:pPr>
              <w:tabs>
                <w:tab w:val="right" w:pos="1202"/>
              </w:tabs>
              <w:spacing w:after="0" w:line="240" w:lineRule="auto"/>
              <w:outlineLvl w:val="0"/>
              <w:rPr>
                <w:rFonts w:eastAsia="Times New Roman" w:cs="Arial"/>
                <w:b/>
                <w:iCs/>
                <w:noProof/>
                <w:color w:val="000000" w:themeColor="text1"/>
                <w:sz w:val="20"/>
                <w:szCs w:val="20"/>
                <w:lang w:val="en-US"/>
              </w:rPr>
            </w:pPr>
            <w:r w:rsidRPr="00537128">
              <w:rPr>
                <w:rFonts w:eastAsia="Times New Roman" w:cs="Arial"/>
                <w:b/>
                <w:iCs/>
                <w:noProof/>
                <w:color w:val="000000" w:themeColor="text1"/>
                <w:sz w:val="20"/>
                <w:szCs w:val="20"/>
                <w:lang w:val="en-US"/>
              </w:rPr>
              <w:t>Balance as at 1 January 202</w:t>
            </w:r>
            <w:r>
              <w:rPr>
                <w:rFonts w:eastAsia="Times New Roman" w:cs="Arial"/>
                <w:b/>
                <w:iCs/>
                <w:noProof/>
                <w:color w:val="000000" w:themeColor="text1"/>
                <w:sz w:val="20"/>
                <w:szCs w:val="20"/>
                <w:lang w:val="en-US"/>
              </w:rPr>
              <w:t>2</w:t>
            </w:r>
          </w:p>
        </w:tc>
        <w:tc>
          <w:tcPr>
            <w:tcW w:w="597" w:type="pct"/>
            <w:tcBorders>
              <w:left w:val="nil"/>
              <w:bottom w:val="single" w:sz="12" w:space="0" w:color="auto"/>
              <w:right w:val="nil"/>
            </w:tcBorders>
            <w:shd w:val="clear" w:color="auto" w:fill="auto"/>
            <w:vAlign w:val="bottom"/>
          </w:tcPr>
          <w:p w14:paraId="4EFE203F" w14:textId="3E5A04C6" w:rsidR="009C78C1" w:rsidRPr="008D5B31" w:rsidRDefault="009C78C1" w:rsidP="009C78C1">
            <w:pPr>
              <w:tabs>
                <w:tab w:val="right" w:pos="1202"/>
              </w:tabs>
              <w:spacing w:after="0" w:line="240" w:lineRule="auto"/>
              <w:jc w:val="right"/>
              <w:outlineLvl w:val="0"/>
              <w:rPr>
                <w:rFonts w:eastAsia="Times New Roman" w:cs="Arial"/>
                <w:b/>
                <w:iCs/>
                <w:noProof/>
                <w:color w:val="000000" w:themeColor="text1"/>
                <w:sz w:val="20"/>
                <w:szCs w:val="20"/>
                <w:lang w:val="en-US"/>
              </w:rPr>
            </w:pPr>
            <w:r w:rsidRPr="00EB4DDE">
              <w:rPr>
                <w:rFonts w:ascii="Calibri" w:hAnsi="Calibri" w:cs="Calibri"/>
                <w:b/>
                <w:bCs/>
                <w:color w:val="000000"/>
                <w:sz w:val="20"/>
                <w:szCs w:val="20"/>
              </w:rPr>
              <w:t>7</w:t>
            </w:r>
            <w:r>
              <w:rPr>
                <w:rFonts w:ascii="Calibri" w:hAnsi="Calibri" w:cs="Calibri"/>
                <w:b/>
                <w:bCs/>
                <w:color w:val="000000"/>
                <w:sz w:val="20"/>
                <w:szCs w:val="20"/>
              </w:rPr>
              <w:t>,</w:t>
            </w:r>
            <w:r w:rsidRPr="00EB4DDE">
              <w:rPr>
                <w:rFonts w:ascii="Calibri" w:hAnsi="Calibri" w:cs="Calibri"/>
                <w:b/>
                <w:bCs/>
                <w:color w:val="000000"/>
                <w:sz w:val="20"/>
                <w:szCs w:val="20"/>
              </w:rPr>
              <w:t>184</w:t>
            </w:r>
            <w:r>
              <w:rPr>
                <w:rFonts w:ascii="Calibri" w:hAnsi="Calibri" w:cs="Calibri"/>
                <w:b/>
                <w:bCs/>
                <w:color w:val="000000"/>
                <w:sz w:val="20"/>
                <w:szCs w:val="20"/>
              </w:rPr>
              <w:t>,</w:t>
            </w:r>
            <w:r w:rsidRPr="00EB4DDE">
              <w:rPr>
                <w:rFonts w:ascii="Calibri" w:hAnsi="Calibri" w:cs="Calibri"/>
                <w:b/>
                <w:bCs/>
                <w:color w:val="000000"/>
                <w:sz w:val="20"/>
                <w:szCs w:val="20"/>
              </w:rPr>
              <w:t xml:space="preserve">632 </w:t>
            </w:r>
          </w:p>
        </w:tc>
        <w:tc>
          <w:tcPr>
            <w:tcW w:w="597" w:type="pct"/>
            <w:tcBorders>
              <w:left w:val="nil"/>
              <w:bottom w:val="single" w:sz="12" w:space="0" w:color="auto"/>
              <w:right w:val="nil"/>
            </w:tcBorders>
            <w:shd w:val="clear" w:color="auto" w:fill="auto"/>
            <w:vAlign w:val="bottom"/>
          </w:tcPr>
          <w:p w14:paraId="0627F093" w14:textId="2FDAECE9" w:rsidR="009C78C1" w:rsidRPr="008D5B31" w:rsidRDefault="009C78C1" w:rsidP="009C78C1">
            <w:pPr>
              <w:tabs>
                <w:tab w:val="right" w:pos="1202"/>
              </w:tabs>
              <w:spacing w:after="0" w:line="240" w:lineRule="auto"/>
              <w:jc w:val="right"/>
              <w:outlineLvl w:val="0"/>
              <w:rPr>
                <w:rFonts w:eastAsia="Times New Roman" w:cs="Arial"/>
                <w:b/>
                <w:iCs/>
                <w:noProof/>
                <w:color w:val="000000" w:themeColor="text1"/>
                <w:sz w:val="20"/>
                <w:szCs w:val="20"/>
                <w:lang w:val="en-US"/>
              </w:rPr>
            </w:pPr>
            <w:r w:rsidRPr="00EB4DDE">
              <w:rPr>
                <w:rFonts w:ascii="Calibri" w:hAnsi="Calibri" w:cs="Calibri"/>
                <w:b/>
                <w:bCs/>
                <w:color w:val="000000"/>
                <w:sz w:val="20"/>
                <w:szCs w:val="20"/>
              </w:rPr>
              <w:t>3</w:t>
            </w:r>
            <w:r>
              <w:rPr>
                <w:rFonts w:ascii="Calibri" w:hAnsi="Calibri" w:cs="Calibri"/>
                <w:b/>
                <w:bCs/>
                <w:color w:val="000000"/>
                <w:sz w:val="20"/>
                <w:szCs w:val="20"/>
              </w:rPr>
              <w:t>,</w:t>
            </w:r>
            <w:r w:rsidRPr="00EB4DDE">
              <w:rPr>
                <w:rFonts w:ascii="Calibri" w:hAnsi="Calibri" w:cs="Calibri"/>
                <w:b/>
                <w:bCs/>
                <w:color w:val="000000"/>
                <w:sz w:val="20"/>
                <w:szCs w:val="20"/>
              </w:rPr>
              <w:t>153</w:t>
            </w:r>
            <w:r>
              <w:rPr>
                <w:rFonts w:ascii="Calibri" w:hAnsi="Calibri" w:cs="Calibri"/>
                <w:b/>
                <w:bCs/>
                <w:color w:val="000000"/>
                <w:sz w:val="20"/>
                <w:szCs w:val="20"/>
              </w:rPr>
              <w:t>,</w:t>
            </w:r>
            <w:r w:rsidRPr="00EB4DDE">
              <w:rPr>
                <w:rFonts w:ascii="Calibri" w:hAnsi="Calibri" w:cs="Calibri"/>
                <w:b/>
                <w:bCs/>
                <w:color w:val="000000"/>
                <w:sz w:val="20"/>
                <w:szCs w:val="20"/>
              </w:rPr>
              <w:t xml:space="preserve">745 </w:t>
            </w:r>
          </w:p>
        </w:tc>
        <w:tc>
          <w:tcPr>
            <w:tcW w:w="522" w:type="pct"/>
            <w:tcBorders>
              <w:left w:val="nil"/>
              <w:bottom w:val="single" w:sz="12" w:space="0" w:color="auto"/>
              <w:right w:val="nil"/>
            </w:tcBorders>
            <w:shd w:val="clear" w:color="auto" w:fill="auto"/>
            <w:vAlign w:val="bottom"/>
          </w:tcPr>
          <w:p w14:paraId="4544E928" w14:textId="5701E5A0" w:rsidR="009C78C1" w:rsidRPr="008D5B31" w:rsidRDefault="009C78C1" w:rsidP="009C78C1">
            <w:pPr>
              <w:tabs>
                <w:tab w:val="right" w:pos="1202"/>
              </w:tabs>
              <w:spacing w:after="0" w:line="240" w:lineRule="auto"/>
              <w:jc w:val="right"/>
              <w:outlineLvl w:val="0"/>
              <w:rPr>
                <w:rFonts w:eastAsia="Times New Roman" w:cs="Arial"/>
                <w:b/>
                <w:iCs/>
                <w:noProof/>
                <w:color w:val="000000" w:themeColor="text1"/>
                <w:sz w:val="20"/>
                <w:szCs w:val="20"/>
                <w:lang w:val="en-US"/>
              </w:rPr>
            </w:pPr>
            <w:r w:rsidRPr="00EB4DDE">
              <w:rPr>
                <w:rFonts w:ascii="Calibri" w:hAnsi="Calibri" w:cs="Calibri"/>
                <w:b/>
                <w:bCs/>
                <w:color w:val="000000"/>
                <w:sz w:val="20"/>
                <w:szCs w:val="20"/>
              </w:rPr>
              <w:t xml:space="preserve"> 29</w:t>
            </w:r>
            <w:r>
              <w:rPr>
                <w:rFonts w:ascii="Calibri" w:hAnsi="Calibri" w:cs="Calibri"/>
                <w:b/>
                <w:bCs/>
                <w:color w:val="000000"/>
                <w:sz w:val="20"/>
                <w:szCs w:val="20"/>
              </w:rPr>
              <w:t>,</w:t>
            </w:r>
            <w:r w:rsidRPr="00EB4DDE">
              <w:rPr>
                <w:rFonts w:ascii="Calibri" w:hAnsi="Calibri" w:cs="Calibri"/>
                <w:b/>
                <w:bCs/>
                <w:color w:val="000000"/>
                <w:sz w:val="20"/>
                <w:szCs w:val="20"/>
              </w:rPr>
              <w:t xml:space="preserve">961 </w:t>
            </w:r>
          </w:p>
        </w:tc>
        <w:tc>
          <w:tcPr>
            <w:tcW w:w="523" w:type="pct"/>
            <w:tcBorders>
              <w:left w:val="nil"/>
              <w:bottom w:val="single" w:sz="12" w:space="0" w:color="auto"/>
              <w:right w:val="nil"/>
            </w:tcBorders>
            <w:shd w:val="clear" w:color="auto" w:fill="auto"/>
            <w:vAlign w:val="bottom"/>
          </w:tcPr>
          <w:p w14:paraId="7FB16E62" w14:textId="04439D6F" w:rsidR="009C78C1" w:rsidRPr="008D5B31" w:rsidRDefault="009C78C1" w:rsidP="009C78C1">
            <w:pPr>
              <w:tabs>
                <w:tab w:val="right" w:pos="1202"/>
              </w:tabs>
              <w:spacing w:after="0" w:line="240" w:lineRule="auto"/>
              <w:jc w:val="right"/>
              <w:outlineLvl w:val="0"/>
              <w:rPr>
                <w:rFonts w:eastAsia="Times New Roman" w:cs="Arial"/>
                <w:b/>
                <w:iCs/>
                <w:noProof/>
                <w:color w:val="000000" w:themeColor="text1"/>
                <w:sz w:val="20"/>
                <w:szCs w:val="20"/>
                <w:lang w:val="en-US"/>
              </w:rPr>
            </w:pPr>
            <w:r w:rsidRPr="00EB4DDE">
              <w:rPr>
                <w:rFonts w:ascii="Calibri" w:hAnsi="Calibri" w:cs="Calibri"/>
                <w:b/>
                <w:bCs/>
                <w:color w:val="000000"/>
                <w:sz w:val="20"/>
                <w:szCs w:val="20"/>
              </w:rPr>
              <w:t xml:space="preserve">   187</w:t>
            </w:r>
            <w:r>
              <w:rPr>
                <w:rFonts w:ascii="Calibri" w:hAnsi="Calibri" w:cs="Calibri"/>
                <w:b/>
                <w:bCs/>
                <w:color w:val="000000"/>
                <w:sz w:val="20"/>
                <w:szCs w:val="20"/>
              </w:rPr>
              <w:t>,</w:t>
            </w:r>
            <w:r w:rsidRPr="00EB4DDE">
              <w:rPr>
                <w:rFonts w:ascii="Calibri" w:hAnsi="Calibri" w:cs="Calibri"/>
                <w:b/>
                <w:bCs/>
                <w:color w:val="000000"/>
                <w:sz w:val="20"/>
                <w:szCs w:val="20"/>
              </w:rPr>
              <w:t xml:space="preserve">082 </w:t>
            </w:r>
          </w:p>
        </w:tc>
        <w:tc>
          <w:tcPr>
            <w:tcW w:w="597" w:type="pct"/>
            <w:tcBorders>
              <w:left w:val="nil"/>
              <w:bottom w:val="single" w:sz="12" w:space="0" w:color="auto"/>
              <w:right w:val="nil"/>
            </w:tcBorders>
            <w:shd w:val="clear" w:color="auto" w:fill="auto"/>
            <w:vAlign w:val="bottom"/>
          </w:tcPr>
          <w:p w14:paraId="54E4910C" w14:textId="3922911B" w:rsidR="009C78C1" w:rsidRPr="008D5B31" w:rsidRDefault="009C78C1" w:rsidP="009C78C1">
            <w:pPr>
              <w:tabs>
                <w:tab w:val="right" w:pos="1202"/>
              </w:tabs>
              <w:spacing w:after="0" w:line="240" w:lineRule="auto"/>
              <w:jc w:val="right"/>
              <w:outlineLvl w:val="0"/>
              <w:rPr>
                <w:rFonts w:eastAsia="Times New Roman" w:cs="Arial"/>
                <w:b/>
                <w:iCs/>
                <w:noProof/>
                <w:color w:val="000000" w:themeColor="text1"/>
                <w:sz w:val="20"/>
                <w:szCs w:val="20"/>
                <w:lang w:val="en-US"/>
              </w:rPr>
            </w:pPr>
            <w:r w:rsidRPr="00EB4DDE">
              <w:rPr>
                <w:rFonts w:ascii="Calibri" w:hAnsi="Calibri" w:cs="Calibri"/>
                <w:b/>
                <w:bCs/>
                <w:color w:val="000000"/>
                <w:sz w:val="20"/>
                <w:szCs w:val="20"/>
              </w:rPr>
              <w:t xml:space="preserve">  12</w:t>
            </w:r>
            <w:r>
              <w:rPr>
                <w:rFonts w:ascii="Calibri" w:hAnsi="Calibri" w:cs="Calibri"/>
                <w:b/>
                <w:bCs/>
                <w:color w:val="000000"/>
                <w:sz w:val="20"/>
                <w:szCs w:val="20"/>
              </w:rPr>
              <w:t>,</w:t>
            </w:r>
            <w:r w:rsidRPr="00EB4DDE">
              <w:rPr>
                <w:rFonts w:ascii="Calibri" w:hAnsi="Calibri" w:cs="Calibri"/>
                <w:b/>
                <w:bCs/>
                <w:color w:val="000000"/>
                <w:sz w:val="20"/>
                <w:szCs w:val="20"/>
              </w:rPr>
              <w:t xml:space="preserve">309 </w:t>
            </w:r>
          </w:p>
        </w:tc>
        <w:tc>
          <w:tcPr>
            <w:tcW w:w="597" w:type="pct"/>
            <w:tcBorders>
              <w:left w:val="nil"/>
              <w:bottom w:val="single" w:sz="12" w:space="0" w:color="auto"/>
              <w:right w:val="nil"/>
            </w:tcBorders>
            <w:shd w:val="clear" w:color="auto" w:fill="auto"/>
            <w:vAlign w:val="bottom"/>
          </w:tcPr>
          <w:p w14:paraId="5F9D657B" w14:textId="2BE5FE56" w:rsidR="009C78C1" w:rsidRPr="008D5B31" w:rsidRDefault="009C78C1" w:rsidP="009C78C1">
            <w:pPr>
              <w:tabs>
                <w:tab w:val="right" w:pos="1202"/>
              </w:tabs>
              <w:spacing w:after="0" w:line="240" w:lineRule="auto"/>
              <w:jc w:val="right"/>
              <w:outlineLvl w:val="0"/>
              <w:rPr>
                <w:rFonts w:eastAsia="Times New Roman" w:cs="Arial"/>
                <w:b/>
                <w:iCs/>
                <w:noProof/>
                <w:color w:val="000000" w:themeColor="text1"/>
                <w:sz w:val="20"/>
                <w:szCs w:val="20"/>
                <w:lang w:val="en-US"/>
              </w:rPr>
            </w:pPr>
            <w:r w:rsidRPr="00EB4DDE">
              <w:rPr>
                <w:rFonts w:ascii="Calibri" w:hAnsi="Calibri" w:cs="Calibri"/>
                <w:b/>
                <w:bCs/>
                <w:color w:val="000000"/>
                <w:sz w:val="20"/>
                <w:szCs w:val="20"/>
              </w:rPr>
              <w:t>10</w:t>
            </w:r>
            <w:r>
              <w:rPr>
                <w:rFonts w:ascii="Calibri" w:hAnsi="Calibri" w:cs="Calibri"/>
                <w:b/>
                <w:bCs/>
                <w:color w:val="000000"/>
                <w:sz w:val="20"/>
                <w:szCs w:val="20"/>
              </w:rPr>
              <w:t>,</w:t>
            </w:r>
            <w:r w:rsidRPr="00EB4DDE">
              <w:rPr>
                <w:rFonts w:ascii="Calibri" w:hAnsi="Calibri" w:cs="Calibri"/>
                <w:b/>
                <w:bCs/>
                <w:color w:val="000000"/>
                <w:sz w:val="20"/>
                <w:szCs w:val="20"/>
              </w:rPr>
              <w:t>567</w:t>
            </w:r>
            <w:r>
              <w:rPr>
                <w:rFonts w:ascii="Calibri" w:hAnsi="Calibri" w:cs="Calibri"/>
                <w:b/>
                <w:bCs/>
                <w:color w:val="000000"/>
                <w:sz w:val="20"/>
                <w:szCs w:val="20"/>
              </w:rPr>
              <w:t>,</w:t>
            </w:r>
            <w:r w:rsidRPr="00EB4DDE">
              <w:rPr>
                <w:rFonts w:ascii="Calibri" w:hAnsi="Calibri" w:cs="Calibri"/>
                <w:b/>
                <w:bCs/>
                <w:color w:val="000000"/>
                <w:sz w:val="20"/>
                <w:szCs w:val="20"/>
              </w:rPr>
              <w:t xml:space="preserve">729 </w:t>
            </w:r>
          </w:p>
        </w:tc>
      </w:tr>
      <w:tr w:rsidR="009C78C1" w:rsidRPr="00537128" w14:paraId="378CA179" w14:textId="77777777" w:rsidTr="00217664">
        <w:trPr>
          <w:trHeight w:val="283"/>
        </w:trPr>
        <w:tc>
          <w:tcPr>
            <w:tcW w:w="1567" w:type="pct"/>
            <w:vAlign w:val="bottom"/>
          </w:tcPr>
          <w:p w14:paraId="3BF1743D" w14:textId="77777777" w:rsidR="009C78C1" w:rsidRPr="00537128" w:rsidRDefault="009C78C1" w:rsidP="009C78C1">
            <w:pPr>
              <w:tabs>
                <w:tab w:val="right" w:pos="1202"/>
              </w:tabs>
              <w:spacing w:after="0" w:line="240" w:lineRule="auto"/>
              <w:outlineLvl w:val="0"/>
              <w:rPr>
                <w:rFonts w:eastAsia="Times New Roman" w:cs="Arial"/>
                <w:iCs/>
                <w:noProof/>
                <w:color w:val="000000" w:themeColor="text1"/>
                <w:sz w:val="20"/>
                <w:szCs w:val="20"/>
                <w:lang w:val="en-US"/>
              </w:rPr>
            </w:pPr>
            <w:r w:rsidRPr="00537128">
              <w:rPr>
                <w:rFonts w:eastAsia="Times New Roman" w:cs="Arial"/>
                <w:iCs/>
                <w:noProof/>
                <w:color w:val="000000" w:themeColor="text1"/>
                <w:sz w:val="20"/>
                <w:szCs w:val="20"/>
                <w:lang w:val="en-US"/>
              </w:rPr>
              <w:t xml:space="preserve">Profit for the period </w:t>
            </w:r>
          </w:p>
        </w:tc>
        <w:tc>
          <w:tcPr>
            <w:tcW w:w="597" w:type="pct"/>
            <w:tcBorders>
              <w:top w:val="single" w:sz="12" w:space="0" w:color="auto"/>
            </w:tcBorders>
            <w:vAlign w:val="bottom"/>
          </w:tcPr>
          <w:p w14:paraId="39052512" w14:textId="2332A8FC" w:rsidR="009C78C1" w:rsidRPr="008D5B31"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color w:val="000000" w:themeColor="text1"/>
                <w:sz w:val="20"/>
                <w:szCs w:val="20"/>
              </w:rPr>
              <w:t>-</w:t>
            </w:r>
          </w:p>
        </w:tc>
        <w:tc>
          <w:tcPr>
            <w:tcW w:w="597" w:type="pct"/>
            <w:tcBorders>
              <w:top w:val="single" w:sz="12" w:space="0" w:color="auto"/>
            </w:tcBorders>
            <w:vAlign w:val="bottom"/>
          </w:tcPr>
          <w:p w14:paraId="156C065F" w14:textId="6989865D" w:rsidR="009C78C1" w:rsidRPr="008D5B31"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color w:val="000000" w:themeColor="text1"/>
                <w:sz w:val="20"/>
                <w:szCs w:val="20"/>
              </w:rPr>
              <w:t>-</w:t>
            </w:r>
          </w:p>
        </w:tc>
        <w:tc>
          <w:tcPr>
            <w:tcW w:w="522" w:type="pct"/>
            <w:tcBorders>
              <w:top w:val="single" w:sz="12" w:space="0" w:color="auto"/>
            </w:tcBorders>
            <w:vAlign w:val="bottom"/>
          </w:tcPr>
          <w:p w14:paraId="6C3D3463" w14:textId="5BF48E2D" w:rsidR="009C78C1" w:rsidRPr="008D5B31"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color w:val="000000" w:themeColor="text1"/>
                <w:sz w:val="20"/>
                <w:szCs w:val="20"/>
              </w:rPr>
              <w:t>-</w:t>
            </w:r>
          </w:p>
        </w:tc>
        <w:tc>
          <w:tcPr>
            <w:tcW w:w="523" w:type="pct"/>
            <w:tcBorders>
              <w:top w:val="single" w:sz="12" w:space="0" w:color="auto"/>
            </w:tcBorders>
            <w:vAlign w:val="bottom"/>
          </w:tcPr>
          <w:p w14:paraId="030FBDEB" w14:textId="52284547" w:rsidR="009C78C1" w:rsidRPr="008D5B31"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color w:val="000000" w:themeColor="text1"/>
                <w:sz w:val="20"/>
                <w:szCs w:val="20"/>
              </w:rPr>
              <w:t>230,344</w:t>
            </w:r>
          </w:p>
        </w:tc>
        <w:tc>
          <w:tcPr>
            <w:tcW w:w="597" w:type="pct"/>
            <w:tcBorders>
              <w:top w:val="single" w:sz="12" w:space="0" w:color="auto"/>
            </w:tcBorders>
            <w:vAlign w:val="bottom"/>
          </w:tcPr>
          <w:p w14:paraId="0DF58EE8" w14:textId="0E421A97" w:rsidR="009C78C1" w:rsidRPr="008D5B31" w:rsidRDefault="009C78C1" w:rsidP="009C78C1">
            <w:pPr>
              <w:tabs>
                <w:tab w:val="right" w:pos="1202"/>
              </w:tabs>
              <w:spacing w:after="0" w:line="240" w:lineRule="auto"/>
              <w:jc w:val="right"/>
              <w:outlineLvl w:val="0"/>
              <w:rPr>
                <w:rFonts w:eastAsia="Times New Roman" w:cs="Arial"/>
                <w:b/>
                <w:iCs/>
                <w:noProof/>
                <w:color w:val="000000" w:themeColor="text1"/>
                <w:sz w:val="20"/>
                <w:szCs w:val="20"/>
                <w:lang w:val="en-US"/>
              </w:rPr>
            </w:pPr>
            <w:r>
              <w:rPr>
                <w:rFonts w:eastAsia="Times New Roman" w:cstheme="minorHAnsi"/>
                <w:color w:val="000000" w:themeColor="text1"/>
                <w:sz w:val="20"/>
                <w:szCs w:val="20"/>
              </w:rPr>
              <w:t>-</w:t>
            </w:r>
          </w:p>
        </w:tc>
        <w:tc>
          <w:tcPr>
            <w:tcW w:w="597" w:type="pct"/>
            <w:tcBorders>
              <w:top w:val="single" w:sz="12" w:space="0" w:color="auto"/>
            </w:tcBorders>
            <w:vAlign w:val="bottom"/>
          </w:tcPr>
          <w:p w14:paraId="2078060B" w14:textId="2657B3B3" w:rsidR="009C78C1" w:rsidRPr="008D5B31" w:rsidRDefault="009C78C1" w:rsidP="009C78C1">
            <w:pPr>
              <w:tabs>
                <w:tab w:val="right" w:pos="1202"/>
              </w:tabs>
              <w:spacing w:after="0" w:line="240" w:lineRule="auto"/>
              <w:jc w:val="right"/>
              <w:outlineLvl w:val="0"/>
              <w:rPr>
                <w:rFonts w:eastAsia="Times New Roman" w:cs="Arial"/>
                <w:b/>
                <w:bCs/>
                <w:iCs/>
                <w:noProof/>
                <w:color w:val="000000" w:themeColor="text1"/>
                <w:sz w:val="20"/>
                <w:szCs w:val="20"/>
                <w:lang w:val="en-US"/>
              </w:rPr>
            </w:pPr>
            <w:r>
              <w:rPr>
                <w:rFonts w:eastAsia="Times New Roman" w:cstheme="minorHAnsi"/>
                <w:b/>
                <w:color w:val="000000" w:themeColor="text1"/>
                <w:sz w:val="20"/>
                <w:szCs w:val="20"/>
              </w:rPr>
              <w:t>230,344</w:t>
            </w:r>
          </w:p>
        </w:tc>
      </w:tr>
      <w:tr w:rsidR="009C78C1" w:rsidRPr="00537128" w14:paraId="6660867C" w14:textId="77777777" w:rsidTr="00217664">
        <w:trPr>
          <w:trHeight w:val="283"/>
        </w:trPr>
        <w:tc>
          <w:tcPr>
            <w:tcW w:w="1567" w:type="pct"/>
            <w:vAlign w:val="bottom"/>
          </w:tcPr>
          <w:p w14:paraId="291B71C1" w14:textId="77777777" w:rsidR="009C78C1" w:rsidRPr="00537128" w:rsidRDefault="009C78C1" w:rsidP="009C78C1">
            <w:pPr>
              <w:tabs>
                <w:tab w:val="right" w:pos="1202"/>
              </w:tabs>
              <w:spacing w:after="0" w:line="240" w:lineRule="auto"/>
              <w:outlineLvl w:val="0"/>
              <w:rPr>
                <w:rFonts w:eastAsia="Times New Roman" w:cs="Arial"/>
                <w:iCs/>
                <w:noProof/>
                <w:color w:val="000000" w:themeColor="text1"/>
                <w:sz w:val="20"/>
                <w:szCs w:val="20"/>
                <w:lang w:val="en-US"/>
              </w:rPr>
            </w:pPr>
            <w:r w:rsidRPr="00537128">
              <w:rPr>
                <w:rFonts w:eastAsia="Times New Roman" w:cs="Arial"/>
                <w:iCs/>
                <w:noProof/>
                <w:color w:val="000000" w:themeColor="text1"/>
                <w:sz w:val="20"/>
                <w:szCs w:val="20"/>
                <w:lang w:val="en-US"/>
              </w:rPr>
              <w:t>Other comprehensive income</w:t>
            </w:r>
          </w:p>
        </w:tc>
        <w:tc>
          <w:tcPr>
            <w:tcW w:w="597" w:type="pct"/>
            <w:tcBorders>
              <w:bottom w:val="single" w:sz="4" w:space="0" w:color="auto"/>
            </w:tcBorders>
            <w:vAlign w:val="bottom"/>
          </w:tcPr>
          <w:p w14:paraId="1CE7C7F1" w14:textId="1E289265" w:rsidR="009C78C1" w:rsidRPr="008D5B31"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97" w:type="pct"/>
            <w:tcBorders>
              <w:bottom w:val="single" w:sz="4" w:space="0" w:color="auto"/>
            </w:tcBorders>
            <w:vAlign w:val="bottom"/>
          </w:tcPr>
          <w:p w14:paraId="02EE1F54" w14:textId="1584DEF9" w:rsidR="009C78C1" w:rsidRPr="008D5B31"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22" w:type="pct"/>
            <w:tcBorders>
              <w:bottom w:val="single" w:sz="4" w:space="0" w:color="auto"/>
            </w:tcBorders>
            <w:vAlign w:val="bottom"/>
          </w:tcPr>
          <w:p w14:paraId="04348487" w14:textId="3F0BCC65" w:rsidR="009C78C1" w:rsidRPr="008D5B31"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(25,585)</w:t>
            </w:r>
          </w:p>
        </w:tc>
        <w:tc>
          <w:tcPr>
            <w:tcW w:w="523" w:type="pct"/>
            <w:tcBorders>
              <w:bottom w:val="single" w:sz="4" w:space="0" w:color="auto"/>
            </w:tcBorders>
            <w:vAlign w:val="bottom"/>
          </w:tcPr>
          <w:p w14:paraId="6DCCEC8F" w14:textId="0756AF64" w:rsidR="009C78C1" w:rsidRPr="008D5B31"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97" w:type="pct"/>
            <w:tcBorders>
              <w:bottom w:val="single" w:sz="4" w:space="0" w:color="auto"/>
            </w:tcBorders>
            <w:vAlign w:val="bottom"/>
          </w:tcPr>
          <w:p w14:paraId="699C1FA6" w14:textId="23933133" w:rsidR="009C78C1" w:rsidRPr="008D5B31" w:rsidRDefault="009C78C1" w:rsidP="009C78C1">
            <w:pPr>
              <w:tabs>
                <w:tab w:val="right" w:pos="1202"/>
              </w:tabs>
              <w:spacing w:after="0" w:line="240" w:lineRule="auto"/>
              <w:jc w:val="right"/>
              <w:outlineLvl w:val="0"/>
              <w:rPr>
                <w:rFonts w:eastAsia="Times New Roman" w:cs="Arial"/>
                <w:b/>
                <w:iCs/>
                <w:noProof/>
                <w:color w:val="000000" w:themeColor="text1"/>
                <w:sz w:val="20"/>
                <w:szCs w:val="20"/>
                <w:lang w:val="en-US"/>
              </w:rPr>
            </w:pPr>
            <w:r>
              <w:rPr>
                <w:rFonts w:eastAsia="Times New Roman" w:cstheme="minorHAnsi"/>
                <w:iCs/>
                <w:color w:val="000000" w:themeColor="text1"/>
                <w:sz w:val="20"/>
                <w:szCs w:val="20"/>
              </w:rPr>
              <w:t>-</w:t>
            </w:r>
          </w:p>
        </w:tc>
        <w:tc>
          <w:tcPr>
            <w:tcW w:w="597" w:type="pct"/>
            <w:tcBorders>
              <w:bottom w:val="single" w:sz="4" w:space="0" w:color="auto"/>
            </w:tcBorders>
            <w:vAlign w:val="bottom"/>
          </w:tcPr>
          <w:p w14:paraId="25772203" w14:textId="06172522" w:rsidR="009C78C1" w:rsidRPr="008D5B31" w:rsidRDefault="009C78C1" w:rsidP="009C78C1">
            <w:pPr>
              <w:tabs>
                <w:tab w:val="right" w:pos="1202"/>
              </w:tabs>
              <w:spacing w:after="0" w:line="240" w:lineRule="auto"/>
              <w:jc w:val="right"/>
              <w:outlineLvl w:val="0"/>
              <w:rPr>
                <w:rFonts w:eastAsia="Times New Roman" w:cs="Arial"/>
                <w:b/>
                <w:bCs/>
                <w:iCs/>
                <w:noProof/>
                <w:color w:val="000000" w:themeColor="text1"/>
                <w:sz w:val="20"/>
                <w:szCs w:val="20"/>
                <w:lang w:val="en-US"/>
              </w:rPr>
            </w:pPr>
            <w:r>
              <w:rPr>
                <w:rFonts w:eastAsia="Times New Roman" w:cstheme="minorHAnsi"/>
                <w:b/>
                <w:iCs/>
                <w:color w:val="000000" w:themeColor="text1"/>
                <w:sz w:val="20"/>
                <w:szCs w:val="20"/>
              </w:rPr>
              <w:t>(25,585)</w:t>
            </w:r>
          </w:p>
        </w:tc>
      </w:tr>
      <w:tr w:rsidR="009C78C1" w:rsidRPr="00537128" w14:paraId="33F26CDD" w14:textId="77777777" w:rsidTr="00CE00C1">
        <w:trPr>
          <w:trHeight w:val="283"/>
        </w:trPr>
        <w:tc>
          <w:tcPr>
            <w:tcW w:w="1567" w:type="pct"/>
            <w:vAlign w:val="bottom"/>
          </w:tcPr>
          <w:p w14:paraId="20142222" w14:textId="77777777" w:rsidR="009C78C1" w:rsidRPr="00537128" w:rsidRDefault="009C78C1" w:rsidP="009C78C1">
            <w:pPr>
              <w:tabs>
                <w:tab w:val="right" w:pos="1202"/>
              </w:tabs>
              <w:spacing w:after="0" w:line="240" w:lineRule="auto"/>
              <w:outlineLvl w:val="0"/>
              <w:rPr>
                <w:rFonts w:eastAsia="Times New Roman" w:cs="Arial"/>
                <w:iCs/>
                <w:noProof/>
                <w:color w:val="000000" w:themeColor="text1"/>
                <w:sz w:val="20"/>
                <w:szCs w:val="20"/>
                <w:lang w:val="en-US"/>
              </w:rPr>
            </w:pPr>
            <w:r w:rsidRPr="00537128">
              <w:rPr>
                <w:rFonts w:eastAsia="Times New Roman" w:cs="Arial"/>
                <w:iCs/>
                <w:noProof/>
                <w:color w:val="000000" w:themeColor="text1"/>
                <w:sz w:val="20"/>
                <w:szCs w:val="20"/>
                <w:lang w:val="en-US"/>
              </w:rPr>
              <w:t xml:space="preserve">Total comprehensive income </w:t>
            </w:r>
          </w:p>
        </w:tc>
        <w:tc>
          <w:tcPr>
            <w:tcW w:w="597" w:type="pct"/>
            <w:tcBorders>
              <w:top w:val="single" w:sz="4" w:space="0" w:color="auto"/>
              <w:left w:val="nil"/>
              <w:bottom w:val="single" w:sz="4" w:space="0" w:color="auto"/>
              <w:right w:val="nil"/>
            </w:tcBorders>
            <w:shd w:val="clear" w:color="auto" w:fill="auto"/>
            <w:vAlign w:val="bottom"/>
          </w:tcPr>
          <w:p w14:paraId="3F6E3916" w14:textId="1FD4E250" w:rsidR="009C78C1" w:rsidRPr="008D5B31"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97" w:type="pct"/>
            <w:tcBorders>
              <w:top w:val="single" w:sz="4" w:space="0" w:color="auto"/>
              <w:left w:val="nil"/>
              <w:bottom w:val="single" w:sz="4" w:space="0" w:color="auto"/>
              <w:right w:val="nil"/>
            </w:tcBorders>
            <w:shd w:val="clear" w:color="auto" w:fill="auto"/>
            <w:vAlign w:val="bottom"/>
          </w:tcPr>
          <w:p w14:paraId="0290C674" w14:textId="44FAD9F9" w:rsidR="009C78C1" w:rsidRPr="008D5B31"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22" w:type="pct"/>
            <w:tcBorders>
              <w:top w:val="single" w:sz="4" w:space="0" w:color="auto"/>
              <w:left w:val="nil"/>
              <w:bottom w:val="single" w:sz="4" w:space="0" w:color="auto"/>
              <w:right w:val="nil"/>
            </w:tcBorders>
            <w:shd w:val="clear" w:color="auto" w:fill="auto"/>
            <w:vAlign w:val="bottom"/>
          </w:tcPr>
          <w:p w14:paraId="071A123B" w14:textId="0E875F96" w:rsidR="009C78C1" w:rsidRPr="008D5B31"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(25,585)</w:t>
            </w:r>
          </w:p>
        </w:tc>
        <w:tc>
          <w:tcPr>
            <w:tcW w:w="523" w:type="pct"/>
            <w:tcBorders>
              <w:top w:val="single" w:sz="4" w:space="0" w:color="auto"/>
              <w:left w:val="nil"/>
              <w:bottom w:val="single" w:sz="4" w:space="0" w:color="auto"/>
              <w:right w:val="nil"/>
            </w:tcBorders>
            <w:shd w:val="clear" w:color="auto" w:fill="auto"/>
            <w:vAlign w:val="bottom"/>
          </w:tcPr>
          <w:p w14:paraId="0E3A1CDC" w14:textId="6C6F909B" w:rsidR="009C78C1" w:rsidRPr="008D5B31"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230,344</w:t>
            </w:r>
          </w:p>
        </w:tc>
        <w:tc>
          <w:tcPr>
            <w:tcW w:w="597" w:type="pct"/>
            <w:tcBorders>
              <w:top w:val="single" w:sz="4" w:space="0" w:color="auto"/>
              <w:left w:val="nil"/>
              <w:bottom w:val="single" w:sz="4" w:space="0" w:color="auto"/>
              <w:right w:val="nil"/>
            </w:tcBorders>
            <w:shd w:val="clear" w:color="auto" w:fill="auto"/>
            <w:vAlign w:val="bottom"/>
          </w:tcPr>
          <w:p w14:paraId="6671C999" w14:textId="2C758A11" w:rsidR="009C78C1" w:rsidRPr="008D5B31" w:rsidRDefault="009C78C1" w:rsidP="009C78C1">
            <w:pPr>
              <w:tabs>
                <w:tab w:val="right" w:pos="1202"/>
              </w:tabs>
              <w:spacing w:after="0" w:line="240" w:lineRule="auto"/>
              <w:jc w:val="right"/>
              <w:outlineLvl w:val="0"/>
              <w:rPr>
                <w:rFonts w:eastAsia="Times New Roman" w:cs="Arial"/>
                <w:b/>
                <w:iCs/>
                <w:noProof/>
                <w:color w:val="000000" w:themeColor="text1"/>
                <w:sz w:val="20"/>
                <w:szCs w:val="20"/>
                <w:lang w:val="en-US"/>
              </w:rPr>
            </w:pPr>
            <w:r>
              <w:rPr>
                <w:rFonts w:eastAsia="Times New Roman" w:cstheme="minorHAnsi"/>
                <w:color w:val="000000" w:themeColor="text1"/>
                <w:sz w:val="20"/>
                <w:szCs w:val="20"/>
              </w:rPr>
              <w:t>-</w:t>
            </w:r>
          </w:p>
        </w:tc>
        <w:tc>
          <w:tcPr>
            <w:tcW w:w="597" w:type="pct"/>
            <w:tcBorders>
              <w:top w:val="single" w:sz="4" w:space="0" w:color="auto"/>
              <w:left w:val="nil"/>
              <w:bottom w:val="single" w:sz="4" w:space="0" w:color="auto"/>
              <w:right w:val="nil"/>
            </w:tcBorders>
            <w:shd w:val="clear" w:color="auto" w:fill="auto"/>
            <w:vAlign w:val="bottom"/>
          </w:tcPr>
          <w:p w14:paraId="364FF18D" w14:textId="45863B1A" w:rsidR="009C78C1" w:rsidRPr="008D5B31" w:rsidRDefault="009C78C1" w:rsidP="009C78C1">
            <w:pPr>
              <w:tabs>
                <w:tab w:val="right" w:pos="1202"/>
              </w:tabs>
              <w:spacing w:after="0" w:line="240" w:lineRule="auto"/>
              <w:jc w:val="right"/>
              <w:outlineLvl w:val="0"/>
              <w:rPr>
                <w:rFonts w:eastAsia="Times New Roman" w:cs="Arial"/>
                <w:b/>
                <w:bCs/>
                <w:iCs/>
                <w:noProof/>
                <w:color w:val="000000" w:themeColor="text1"/>
                <w:sz w:val="20"/>
                <w:szCs w:val="20"/>
                <w:lang w:val="en-US"/>
              </w:rPr>
            </w:pPr>
            <w:r>
              <w:rPr>
                <w:rFonts w:eastAsia="Times New Roman" w:cstheme="minorHAnsi"/>
                <w:b/>
                <w:iCs/>
                <w:color w:val="000000" w:themeColor="text1"/>
                <w:sz w:val="20"/>
                <w:szCs w:val="20"/>
              </w:rPr>
              <w:t>204,759</w:t>
            </w:r>
          </w:p>
        </w:tc>
      </w:tr>
      <w:tr w:rsidR="009C78C1" w:rsidRPr="00537128" w14:paraId="7F0283AF" w14:textId="77777777" w:rsidTr="00217664">
        <w:trPr>
          <w:trHeight w:val="283"/>
        </w:trPr>
        <w:tc>
          <w:tcPr>
            <w:tcW w:w="1567" w:type="pct"/>
            <w:vAlign w:val="bottom"/>
          </w:tcPr>
          <w:p w14:paraId="76472E6D" w14:textId="77777777" w:rsidR="009C78C1" w:rsidRPr="00537128" w:rsidRDefault="009C78C1" w:rsidP="009C78C1">
            <w:pPr>
              <w:tabs>
                <w:tab w:val="right" w:pos="1202"/>
              </w:tabs>
              <w:spacing w:after="0" w:line="240" w:lineRule="auto"/>
              <w:outlineLvl w:val="0"/>
              <w:rPr>
                <w:rFonts w:eastAsia="Times New Roman" w:cs="Arial"/>
                <w:iCs/>
                <w:noProof/>
                <w:color w:val="000000" w:themeColor="text1"/>
                <w:sz w:val="20"/>
                <w:szCs w:val="20"/>
                <w:lang w:val="en-US"/>
              </w:rPr>
            </w:pPr>
            <w:r w:rsidRPr="00537128">
              <w:rPr>
                <w:rFonts w:eastAsia="Times New Roman" w:cs="Arial"/>
                <w:iCs/>
                <w:noProof/>
                <w:color w:val="000000" w:themeColor="text1"/>
                <w:sz w:val="20"/>
                <w:szCs w:val="20"/>
                <w:lang w:val="en-US"/>
              </w:rPr>
              <w:t>Net foreign exchange – Guarantee fund</w:t>
            </w:r>
          </w:p>
        </w:tc>
        <w:tc>
          <w:tcPr>
            <w:tcW w:w="597" w:type="pct"/>
            <w:tcBorders>
              <w:top w:val="single" w:sz="4" w:space="0" w:color="auto"/>
            </w:tcBorders>
            <w:vAlign w:val="bottom"/>
          </w:tcPr>
          <w:p w14:paraId="23CD0B21" w14:textId="5C5CA57D" w:rsidR="009C78C1" w:rsidRPr="008D5B31"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97" w:type="pct"/>
            <w:tcBorders>
              <w:top w:val="single" w:sz="4" w:space="0" w:color="auto"/>
            </w:tcBorders>
            <w:vAlign w:val="bottom"/>
          </w:tcPr>
          <w:p w14:paraId="0C30AA76" w14:textId="69458F8A" w:rsidR="009C78C1" w:rsidRPr="008D5B31"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22" w:type="pct"/>
            <w:tcBorders>
              <w:top w:val="single" w:sz="4" w:space="0" w:color="auto"/>
            </w:tcBorders>
            <w:vAlign w:val="bottom"/>
          </w:tcPr>
          <w:p w14:paraId="4208308E" w14:textId="2CA086E3" w:rsidR="009C78C1" w:rsidRPr="008D5B31"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23" w:type="pct"/>
            <w:tcBorders>
              <w:top w:val="single" w:sz="4" w:space="0" w:color="auto"/>
            </w:tcBorders>
            <w:vAlign w:val="bottom"/>
          </w:tcPr>
          <w:p w14:paraId="4F3BA08F" w14:textId="25637F91" w:rsidR="009C78C1" w:rsidRPr="008D5B31"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97" w:type="pct"/>
            <w:tcBorders>
              <w:top w:val="single" w:sz="4" w:space="0" w:color="auto"/>
            </w:tcBorders>
            <w:vAlign w:val="bottom"/>
          </w:tcPr>
          <w:p w14:paraId="3D8B7A25" w14:textId="7521B3FE" w:rsidR="009C78C1" w:rsidRPr="008D5B31" w:rsidRDefault="009C78C1" w:rsidP="009C78C1">
            <w:pPr>
              <w:tabs>
                <w:tab w:val="right" w:pos="1202"/>
              </w:tabs>
              <w:spacing w:after="0" w:line="240" w:lineRule="auto"/>
              <w:jc w:val="right"/>
              <w:outlineLvl w:val="0"/>
              <w:rPr>
                <w:rFonts w:eastAsia="Times New Roman" w:cs="Arial"/>
                <w:b/>
                <w:iCs/>
                <w:noProof/>
                <w:color w:val="000000" w:themeColor="text1"/>
                <w:sz w:val="20"/>
                <w:szCs w:val="20"/>
                <w:lang w:val="en-US"/>
              </w:rPr>
            </w:pPr>
            <w:r>
              <w:rPr>
                <w:rFonts w:eastAsia="Times New Roman" w:cstheme="minorHAnsi"/>
                <w:color w:val="000000" w:themeColor="text1"/>
                <w:sz w:val="20"/>
                <w:szCs w:val="20"/>
              </w:rPr>
              <w:t>97</w:t>
            </w:r>
          </w:p>
        </w:tc>
        <w:tc>
          <w:tcPr>
            <w:tcW w:w="597" w:type="pct"/>
            <w:tcBorders>
              <w:top w:val="single" w:sz="4" w:space="0" w:color="auto"/>
            </w:tcBorders>
            <w:vAlign w:val="bottom"/>
          </w:tcPr>
          <w:p w14:paraId="2AD9C25F" w14:textId="2902FAB4" w:rsidR="009C78C1" w:rsidRPr="008D5B31" w:rsidRDefault="009C78C1" w:rsidP="009C78C1">
            <w:pPr>
              <w:tabs>
                <w:tab w:val="right" w:pos="1202"/>
              </w:tabs>
              <w:spacing w:after="0" w:line="240" w:lineRule="auto"/>
              <w:jc w:val="right"/>
              <w:outlineLvl w:val="0"/>
              <w:rPr>
                <w:rFonts w:eastAsia="Times New Roman" w:cs="Arial"/>
                <w:b/>
                <w:bCs/>
                <w:iCs/>
                <w:noProof/>
                <w:color w:val="000000" w:themeColor="text1"/>
                <w:sz w:val="20"/>
                <w:szCs w:val="20"/>
                <w:lang w:val="en-US"/>
              </w:rPr>
            </w:pPr>
            <w:r>
              <w:rPr>
                <w:rFonts w:eastAsia="Times New Roman" w:cstheme="minorHAnsi"/>
                <w:b/>
                <w:iCs/>
                <w:color w:val="000000" w:themeColor="text1"/>
                <w:sz w:val="20"/>
                <w:szCs w:val="20"/>
              </w:rPr>
              <w:t>97</w:t>
            </w:r>
          </w:p>
        </w:tc>
      </w:tr>
      <w:tr w:rsidR="009C78C1" w:rsidRPr="00537128" w14:paraId="43B954BB" w14:textId="77777777" w:rsidTr="00217664">
        <w:trPr>
          <w:trHeight w:val="283"/>
        </w:trPr>
        <w:tc>
          <w:tcPr>
            <w:tcW w:w="1567" w:type="pct"/>
            <w:vAlign w:val="bottom"/>
          </w:tcPr>
          <w:p w14:paraId="1BE5A84E" w14:textId="54329AD8" w:rsidR="009C78C1" w:rsidRPr="008D5B31" w:rsidRDefault="009C78C1" w:rsidP="009C78C1">
            <w:pPr>
              <w:tabs>
                <w:tab w:val="right" w:pos="1202"/>
              </w:tabs>
              <w:spacing w:after="0" w:line="240" w:lineRule="auto"/>
              <w:outlineLvl w:val="0"/>
              <w:rPr>
                <w:rFonts w:eastAsia="Times New Roman" w:cs="Arial"/>
                <w:iCs/>
                <w:noProof/>
                <w:color w:val="000000" w:themeColor="text1"/>
                <w:sz w:val="20"/>
                <w:szCs w:val="20"/>
                <w:lang w:val="en-US"/>
              </w:rPr>
            </w:pPr>
            <w:r w:rsidRPr="00A1123E">
              <w:rPr>
                <w:rFonts w:ascii="Calibri" w:hAnsi="Calibri"/>
                <w:iCs/>
                <w:sz w:val="20"/>
                <w:szCs w:val="20"/>
              </w:rPr>
              <w:t xml:space="preserve">Capital paid-in from the State Budget  </w:t>
            </w:r>
          </w:p>
        </w:tc>
        <w:tc>
          <w:tcPr>
            <w:tcW w:w="597" w:type="pct"/>
            <w:vAlign w:val="bottom"/>
          </w:tcPr>
          <w:p w14:paraId="54766E49" w14:textId="7258A6BA" w:rsidR="009C78C1" w:rsidRPr="008D5B31"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97" w:type="pct"/>
            <w:vAlign w:val="bottom"/>
          </w:tcPr>
          <w:p w14:paraId="5E71B7F7" w14:textId="4E011785" w:rsidR="009C78C1" w:rsidRPr="008D5B31"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22" w:type="pct"/>
            <w:vAlign w:val="bottom"/>
          </w:tcPr>
          <w:p w14:paraId="4BAB6994" w14:textId="1AF01D2A" w:rsidR="009C78C1" w:rsidRPr="008D5B31"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23" w:type="pct"/>
            <w:vAlign w:val="bottom"/>
          </w:tcPr>
          <w:p w14:paraId="09FE2D5C" w14:textId="089B918E" w:rsidR="009C78C1" w:rsidRPr="008D5B31"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97" w:type="pct"/>
            <w:vAlign w:val="bottom"/>
          </w:tcPr>
          <w:p w14:paraId="771EC6AF" w14:textId="532B9807" w:rsidR="009C78C1" w:rsidRPr="008D5B31" w:rsidRDefault="009C78C1" w:rsidP="009C78C1">
            <w:pPr>
              <w:tabs>
                <w:tab w:val="right" w:pos="1202"/>
              </w:tabs>
              <w:spacing w:after="0" w:line="240" w:lineRule="auto"/>
              <w:jc w:val="right"/>
              <w:outlineLvl w:val="0"/>
              <w:rPr>
                <w:rFonts w:eastAsia="Times New Roman" w:cs="Arial"/>
                <w:b/>
                <w:iCs/>
                <w:noProof/>
                <w:color w:val="000000" w:themeColor="text1"/>
                <w:sz w:val="20"/>
                <w:szCs w:val="20"/>
                <w:lang w:val="en-US"/>
              </w:rPr>
            </w:pPr>
            <w:r>
              <w:rPr>
                <w:rFonts w:eastAsia="Times New Roman" w:cstheme="minorHAnsi"/>
                <w:color w:val="000000" w:themeColor="text1"/>
                <w:sz w:val="20"/>
                <w:szCs w:val="20"/>
              </w:rPr>
              <w:t>-</w:t>
            </w:r>
          </w:p>
        </w:tc>
        <w:tc>
          <w:tcPr>
            <w:tcW w:w="597" w:type="pct"/>
            <w:vAlign w:val="bottom"/>
          </w:tcPr>
          <w:p w14:paraId="72B9247A" w14:textId="4A741B29" w:rsidR="009C78C1" w:rsidRPr="008D5B31" w:rsidRDefault="009C78C1" w:rsidP="009C78C1">
            <w:pPr>
              <w:tabs>
                <w:tab w:val="right" w:pos="1202"/>
              </w:tabs>
              <w:spacing w:after="0" w:line="240" w:lineRule="auto"/>
              <w:jc w:val="right"/>
              <w:outlineLvl w:val="0"/>
              <w:rPr>
                <w:rFonts w:eastAsia="Times New Roman" w:cs="Arial"/>
                <w:b/>
                <w:bCs/>
                <w:iCs/>
                <w:noProof/>
                <w:color w:val="000000" w:themeColor="text1"/>
                <w:sz w:val="20"/>
                <w:szCs w:val="20"/>
                <w:lang w:val="en-US"/>
              </w:rPr>
            </w:pPr>
            <w:r>
              <w:rPr>
                <w:rFonts w:eastAsia="Times New Roman" w:cstheme="minorHAnsi"/>
                <w:b/>
                <w:iCs/>
                <w:color w:val="000000" w:themeColor="text1"/>
                <w:sz w:val="20"/>
                <w:szCs w:val="20"/>
              </w:rPr>
              <w:t>-</w:t>
            </w:r>
          </w:p>
        </w:tc>
      </w:tr>
      <w:tr w:rsidR="009C78C1" w:rsidRPr="00537128" w14:paraId="737E8958" w14:textId="77777777" w:rsidTr="00217664">
        <w:trPr>
          <w:trHeight w:val="77"/>
        </w:trPr>
        <w:tc>
          <w:tcPr>
            <w:tcW w:w="1567" w:type="pct"/>
            <w:vAlign w:val="bottom"/>
          </w:tcPr>
          <w:p w14:paraId="1E82D43A" w14:textId="13A706D3" w:rsidR="009C78C1" w:rsidRPr="00537128" w:rsidRDefault="009C78C1" w:rsidP="009C78C1">
            <w:pPr>
              <w:tabs>
                <w:tab w:val="right" w:pos="1202"/>
              </w:tabs>
              <w:spacing w:after="0" w:line="240" w:lineRule="auto"/>
              <w:outlineLvl w:val="0"/>
              <w:rPr>
                <w:rFonts w:eastAsia="Times New Roman" w:cs="Arial"/>
                <w:iCs/>
                <w:noProof/>
                <w:color w:val="000000" w:themeColor="text1"/>
                <w:sz w:val="20"/>
                <w:szCs w:val="20"/>
                <w:lang w:val="en-US"/>
              </w:rPr>
            </w:pPr>
            <w:r w:rsidRPr="00537128">
              <w:rPr>
                <w:rFonts w:eastAsia="Times New Roman" w:cs="Arial"/>
                <w:iCs/>
                <w:noProof/>
                <w:color w:val="000000" w:themeColor="text1"/>
                <w:sz w:val="20"/>
                <w:szCs w:val="20"/>
                <w:lang w:val="en-US"/>
              </w:rPr>
              <w:t>Transfer of profit 202</w:t>
            </w:r>
            <w:r>
              <w:rPr>
                <w:rFonts w:eastAsia="Times New Roman" w:cs="Arial"/>
                <w:iCs/>
                <w:noProof/>
                <w:color w:val="000000" w:themeColor="text1"/>
                <w:sz w:val="20"/>
                <w:szCs w:val="20"/>
                <w:lang w:val="en-US"/>
              </w:rPr>
              <w:t>1</w:t>
            </w:r>
            <w:r w:rsidRPr="00537128">
              <w:rPr>
                <w:rFonts w:eastAsia="Times New Roman" w:cs="Arial"/>
                <w:iCs/>
                <w:noProof/>
                <w:color w:val="000000" w:themeColor="text1"/>
                <w:sz w:val="20"/>
                <w:szCs w:val="20"/>
                <w:lang w:val="en-US"/>
              </w:rPr>
              <w:t xml:space="preserve"> to retained earnings </w:t>
            </w:r>
          </w:p>
        </w:tc>
        <w:tc>
          <w:tcPr>
            <w:tcW w:w="597" w:type="pct"/>
            <w:tcBorders>
              <w:bottom w:val="single" w:sz="12" w:space="0" w:color="auto"/>
            </w:tcBorders>
            <w:vAlign w:val="bottom"/>
          </w:tcPr>
          <w:p w14:paraId="1C146E18" w14:textId="6342CCD5" w:rsidR="009C78C1" w:rsidRPr="008D5B31"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97" w:type="pct"/>
            <w:tcBorders>
              <w:bottom w:val="single" w:sz="12" w:space="0" w:color="auto"/>
            </w:tcBorders>
            <w:vAlign w:val="bottom"/>
          </w:tcPr>
          <w:p w14:paraId="56D04AF6" w14:textId="1ED136D8" w:rsidR="009C78C1" w:rsidRPr="008D5B31"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187,082</w:t>
            </w:r>
          </w:p>
        </w:tc>
        <w:tc>
          <w:tcPr>
            <w:tcW w:w="522" w:type="pct"/>
            <w:tcBorders>
              <w:bottom w:val="single" w:sz="12" w:space="0" w:color="auto"/>
            </w:tcBorders>
            <w:vAlign w:val="bottom"/>
          </w:tcPr>
          <w:p w14:paraId="0FD89AB5" w14:textId="1722EACC" w:rsidR="009C78C1" w:rsidRPr="008D5B31"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23" w:type="pct"/>
            <w:tcBorders>
              <w:bottom w:val="single" w:sz="12" w:space="0" w:color="auto"/>
            </w:tcBorders>
            <w:vAlign w:val="bottom"/>
          </w:tcPr>
          <w:p w14:paraId="03B3D558" w14:textId="1EC9EAF9" w:rsidR="009C78C1" w:rsidRPr="008D5B31" w:rsidRDefault="009C78C1" w:rsidP="009C78C1">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(187,082)</w:t>
            </w:r>
          </w:p>
        </w:tc>
        <w:tc>
          <w:tcPr>
            <w:tcW w:w="597" w:type="pct"/>
            <w:tcBorders>
              <w:bottom w:val="single" w:sz="12" w:space="0" w:color="auto"/>
            </w:tcBorders>
            <w:vAlign w:val="bottom"/>
          </w:tcPr>
          <w:p w14:paraId="250C3E4D" w14:textId="709AD0C0" w:rsidR="009C78C1" w:rsidRPr="008D5B31" w:rsidRDefault="009C78C1" w:rsidP="009C78C1">
            <w:pPr>
              <w:tabs>
                <w:tab w:val="right" w:pos="1202"/>
              </w:tabs>
              <w:spacing w:after="0" w:line="240" w:lineRule="auto"/>
              <w:jc w:val="right"/>
              <w:outlineLvl w:val="0"/>
              <w:rPr>
                <w:rFonts w:eastAsia="Times New Roman" w:cs="Arial"/>
                <w:b/>
                <w:iCs/>
                <w:noProof/>
                <w:color w:val="000000" w:themeColor="text1"/>
                <w:sz w:val="20"/>
                <w:szCs w:val="20"/>
                <w:lang w:val="en-US"/>
              </w:rPr>
            </w:pPr>
            <w:r>
              <w:rPr>
                <w:rFonts w:eastAsia="Times New Roman" w:cstheme="minorHAnsi"/>
                <w:color w:val="000000" w:themeColor="text1"/>
                <w:sz w:val="20"/>
                <w:szCs w:val="20"/>
              </w:rPr>
              <w:t>-</w:t>
            </w:r>
          </w:p>
        </w:tc>
        <w:tc>
          <w:tcPr>
            <w:tcW w:w="597" w:type="pct"/>
            <w:tcBorders>
              <w:bottom w:val="single" w:sz="12" w:space="0" w:color="auto"/>
            </w:tcBorders>
            <w:vAlign w:val="bottom"/>
          </w:tcPr>
          <w:p w14:paraId="61BEE5B0" w14:textId="7E47592C" w:rsidR="009C78C1" w:rsidRPr="008D5B31" w:rsidRDefault="009C78C1" w:rsidP="009C78C1">
            <w:pPr>
              <w:tabs>
                <w:tab w:val="right" w:pos="1202"/>
              </w:tabs>
              <w:spacing w:after="0" w:line="240" w:lineRule="auto"/>
              <w:jc w:val="right"/>
              <w:outlineLvl w:val="0"/>
              <w:rPr>
                <w:rFonts w:eastAsia="Times New Roman" w:cs="Arial"/>
                <w:b/>
                <w:bCs/>
                <w:iCs/>
                <w:noProof/>
                <w:color w:val="000000" w:themeColor="text1"/>
                <w:sz w:val="20"/>
                <w:szCs w:val="20"/>
                <w:lang w:val="en-US"/>
              </w:rPr>
            </w:pPr>
            <w:r>
              <w:rPr>
                <w:rFonts w:eastAsia="Times New Roman" w:cstheme="minorHAnsi"/>
                <w:b/>
                <w:iCs/>
                <w:color w:val="000000" w:themeColor="text1"/>
                <w:sz w:val="20"/>
                <w:szCs w:val="20"/>
              </w:rPr>
              <w:t>-</w:t>
            </w:r>
          </w:p>
        </w:tc>
      </w:tr>
      <w:tr w:rsidR="009C78C1" w:rsidRPr="00537128" w14:paraId="4056E1AD" w14:textId="77777777" w:rsidTr="00A1123E">
        <w:trPr>
          <w:trHeight w:hRule="exact" w:val="397"/>
        </w:trPr>
        <w:tc>
          <w:tcPr>
            <w:tcW w:w="1567" w:type="pct"/>
            <w:vAlign w:val="bottom"/>
          </w:tcPr>
          <w:p w14:paraId="5867F133" w14:textId="35036744" w:rsidR="009C78C1" w:rsidRPr="00537128" w:rsidRDefault="009C78C1" w:rsidP="009C78C1">
            <w:pPr>
              <w:tabs>
                <w:tab w:val="right" w:pos="1202"/>
              </w:tabs>
              <w:spacing w:after="0" w:line="320" w:lineRule="exact"/>
              <w:outlineLvl w:val="0"/>
              <w:rPr>
                <w:rFonts w:eastAsia="Times New Roman" w:cs="Arial"/>
                <w:b/>
                <w:iCs/>
                <w:noProof/>
                <w:color w:val="000000" w:themeColor="text1"/>
                <w:sz w:val="20"/>
                <w:szCs w:val="20"/>
                <w:lang w:val="en-US"/>
              </w:rPr>
            </w:pPr>
            <w:r w:rsidRPr="00537128">
              <w:rPr>
                <w:rFonts w:eastAsia="Times New Roman" w:cs="Arial"/>
                <w:b/>
                <w:iCs/>
                <w:noProof/>
                <w:color w:val="000000" w:themeColor="text1"/>
                <w:sz w:val="20"/>
                <w:szCs w:val="20"/>
                <w:lang w:val="en-US"/>
              </w:rPr>
              <w:t>Balance as at 31 March 202</w:t>
            </w:r>
            <w:r>
              <w:rPr>
                <w:rFonts w:eastAsia="Times New Roman" w:cs="Arial"/>
                <w:b/>
                <w:iCs/>
                <w:noProof/>
                <w:color w:val="000000" w:themeColor="text1"/>
                <w:sz w:val="20"/>
                <w:szCs w:val="20"/>
                <w:lang w:val="en-US"/>
              </w:rPr>
              <w:t>2</w:t>
            </w:r>
          </w:p>
        </w:tc>
        <w:tc>
          <w:tcPr>
            <w:tcW w:w="597" w:type="pct"/>
            <w:tcBorders>
              <w:top w:val="nil"/>
              <w:left w:val="nil"/>
              <w:bottom w:val="single" w:sz="12" w:space="0" w:color="auto"/>
              <w:right w:val="nil"/>
            </w:tcBorders>
            <w:shd w:val="clear" w:color="auto" w:fill="auto"/>
            <w:vAlign w:val="bottom"/>
          </w:tcPr>
          <w:p w14:paraId="269D11AA" w14:textId="1387699F" w:rsidR="009C78C1" w:rsidRPr="008D5B31" w:rsidRDefault="009C78C1" w:rsidP="009C78C1">
            <w:pPr>
              <w:tabs>
                <w:tab w:val="right" w:pos="1202"/>
              </w:tabs>
              <w:spacing w:after="0" w:line="320" w:lineRule="exact"/>
              <w:jc w:val="right"/>
              <w:outlineLvl w:val="0"/>
              <w:rPr>
                <w:rFonts w:eastAsia="Times New Roman" w:cs="Arial"/>
                <w:b/>
                <w:bCs/>
                <w:iCs/>
                <w:noProof/>
                <w:color w:val="000000" w:themeColor="text1"/>
                <w:sz w:val="20"/>
                <w:szCs w:val="20"/>
                <w:lang w:val="en-US"/>
              </w:rPr>
            </w:pPr>
            <w:r>
              <w:rPr>
                <w:rFonts w:eastAsia="Times New Roman" w:cstheme="minorHAnsi"/>
                <w:b/>
                <w:iCs/>
                <w:color w:val="000000" w:themeColor="text1"/>
                <w:sz w:val="20"/>
                <w:szCs w:val="20"/>
              </w:rPr>
              <w:t>7,184,632</w:t>
            </w:r>
          </w:p>
        </w:tc>
        <w:tc>
          <w:tcPr>
            <w:tcW w:w="597" w:type="pct"/>
            <w:tcBorders>
              <w:top w:val="single" w:sz="12" w:space="0" w:color="auto"/>
              <w:left w:val="nil"/>
              <w:bottom w:val="single" w:sz="12" w:space="0" w:color="auto"/>
              <w:right w:val="nil"/>
            </w:tcBorders>
            <w:shd w:val="clear" w:color="auto" w:fill="auto"/>
            <w:vAlign w:val="bottom"/>
          </w:tcPr>
          <w:p w14:paraId="72BB5BF4" w14:textId="305CD6B6" w:rsidR="009C78C1" w:rsidRPr="008D5B31" w:rsidRDefault="009C78C1" w:rsidP="009C78C1">
            <w:pPr>
              <w:tabs>
                <w:tab w:val="right" w:pos="1202"/>
              </w:tabs>
              <w:spacing w:after="0" w:line="320" w:lineRule="exact"/>
              <w:jc w:val="right"/>
              <w:outlineLvl w:val="0"/>
              <w:rPr>
                <w:rFonts w:eastAsia="Times New Roman" w:cs="Arial"/>
                <w:b/>
                <w:bCs/>
                <w:iCs/>
                <w:noProof/>
                <w:color w:val="000000" w:themeColor="text1"/>
                <w:sz w:val="20"/>
                <w:szCs w:val="20"/>
                <w:lang w:val="en-US"/>
              </w:rPr>
            </w:pPr>
            <w:r>
              <w:rPr>
                <w:rFonts w:eastAsia="Times New Roman" w:cstheme="minorHAnsi"/>
                <w:b/>
                <w:iCs/>
                <w:color w:val="000000" w:themeColor="text1"/>
                <w:sz w:val="20"/>
                <w:szCs w:val="20"/>
              </w:rPr>
              <w:t>3,340,827</w:t>
            </w:r>
          </w:p>
        </w:tc>
        <w:tc>
          <w:tcPr>
            <w:tcW w:w="522" w:type="pct"/>
            <w:tcBorders>
              <w:top w:val="single" w:sz="12" w:space="0" w:color="auto"/>
              <w:left w:val="nil"/>
              <w:bottom w:val="single" w:sz="12" w:space="0" w:color="auto"/>
              <w:right w:val="nil"/>
            </w:tcBorders>
            <w:shd w:val="clear" w:color="auto" w:fill="auto"/>
            <w:vAlign w:val="bottom"/>
          </w:tcPr>
          <w:p w14:paraId="18C39E7F" w14:textId="1732F4DB" w:rsidR="009C78C1" w:rsidRPr="008D5B31" w:rsidRDefault="009C78C1" w:rsidP="009C78C1">
            <w:pPr>
              <w:tabs>
                <w:tab w:val="right" w:pos="1202"/>
              </w:tabs>
              <w:spacing w:after="0" w:line="320" w:lineRule="exact"/>
              <w:jc w:val="right"/>
              <w:outlineLvl w:val="0"/>
              <w:rPr>
                <w:rFonts w:eastAsia="Times New Roman" w:cs="Arial"/>
                <w:b/>
                <w:bCs/>
                <w:iCs/>
                <w:noProof/>
                <w:color w:val="000000" w:themeColor="text1"/>
                <w:sz w:val="20"/>
                <w:szCs w:val="20"/>
                <w:lang w:val="en-US"/>
              </w:rPr>
            </w:pPr>
            <w:r>
              <w:rPr>
                <w:rFonts w:eastAsia="Times New Roman" w:cstheme="minorHAnsi"/>
                <w:b/>
                <w:iCs/>
                <w:color w:val="000000" w:themeColor="text1"/>
                <w:sz w:val="20"/>
                <w:szCs w:val="20"/>
              </w:rPr>
              <w:t>4,376</w:t>
            </w:r>
          </w:p>
        </w:tc>
        <w:tc>
          <w:tcPr>
            <w:tcW w:w="523" w:type="pct"/>
            <w:tcBorders>
              <w:top w:val="single" w:sz="12" w:space="0" w:color="auto"/>
              <w:left w:val="nil"/>
              <w:bottom w:val="single" w:sz="12" w:space="0" w:color="auto"/>
              <w:right w:val="nil"/>
            </w:tcBorders>
            <w:shd w:val="clear" w:color="auto" w:fill="auto"/>
            <w:vAlign w:val="bottom"/>
          </w:tcPr>
          <w:p w14:paraId="23A4358C" w14:textId="1EB181FA" w:rsidR="009C78C1" w:rsidRPr="008D5B31" w:rsidRDefault="009C78C1" w:rsidP="009C78C1">
            <w:pPr>
              <w:tabs>
                <w:tab w:val="right" w:pos="1202"/>
              </w:tabs>
              <w:spacing w:after="0" w:line="320" w:lineRule="exact"/>
              <w:jc w:val="right"/>
              <w:outlineLvl w:val="0"/>
              <w:rPr>
                <w:rFonts w:eastAsia="Times New Roman" w:cs="Arial"/>
                <w:b/>
                <w:bCs/>
                <w:iCs/>
                <w:noProof/>
                <w:color w:val="000000" w:themeColor="text1"/>
                <w:sz w:val="20"/>
                <w:szCs w:val="20"/>
                <w:lang w:val="en-US"/>
              </w:rPr>
            </w:pPr>
            <w:r>
              <w:rPr>
                <w:rFonts w:eastAsia="Times New Roman" w:cstheme="minorHAnsi"/>
                <w:b/>
                <w:iCs/>
                <w:color w:val="000000" w:themeColor="text1"/>
                <w:sz w:val="20"/>
                <w:szCs w:val="20"/>
              </w:rPr>
              <w:t>230,344</w:t>
            </w:r>
          </w:p>
        </w:tc>
        <w:tc>
          <w:tcPr>
            <w:tcW w:w="597" w:type="pct"/>
            <w:tcBorders>
              <w:top w:val="single" w:sz="12" w:space="0" w:color="auto"/>
              <w:left w:val="nil"/>
              <w:bottom w:val="single" w:sz="12" w:space="0" w:color="auto"/>
              <w:right w:val="nil"/>
            </w:tcBorders>
            <w:shd w:val="clear" w:color="auto" w:fill="auto"/>
            <w:vAlign w:val="bottom"/>
          </w:tcPr>
          <w:p w14:paraId="6DA6F34E" w14:textId="5561E6AC" w:rsidR="009C78C1" w:rsidRPr="008D5B31" w:rsidRDefault="009C78C1" w:rsidP="009C78C1">
            <w:pPr>
              <w:tabs>
                <w:tab w:val="right" w:pos="1202"/>
              </w:tabs>
              <w:spacing w:after="0" w:line="320" w:lineRule="exact"/>
              <w:jc w:val="right"/>
              <w:outlineLvl w:val="0"/>
              <w:rPr>
                <w:rFonts w:eastAsia="Times New Roman" w:cs="Arial"/>
                <w:b/>
                <w:bCs/>
                <w:iCs/>
                <w:noProof/>
                <w:color w:val="000000" w:themeColor="text1"/>
                <w:sz w:val="20"/>
                <w:szCs w:val="20"/>
                <w:lang w:val="en-US"/>
              </w:rPr>
            </w:pPr>
            <w:r>
              <w:rPr>
                <w:rFonts w:eastAsia="Times New Roman" w:cstheme="minorHAnsi"/>
                <w:b/>
                <w:bCs/>
                <w:color w:val="000000" w:themeColor="text1"/>
                <w:sz w:val="20"/>
                <w:szCs w:val="20"/>
              </w:rPr>
              <w:t>12,406</w:t>
            </w:r>
          </w:p>
        </w:tc>
        <w:tc>
          <w:tcPr>
            <w:tcW w:w="597" w:type="pct"/>
            <w:tcBorders>
              <w:top w:val="single" w:sz="12" w:space="0" w:color="auto"/>
              <w:left w:val="nil"/>
              <w:bottom w:val="single" w:sz="12" w:space="0" w:color="auto"/>
              <w:right w:val="nil"/>
            </w:tcBorders>
            <w:shd w:val="clear" w:color="auto" w:fill="auto"/>
            <w:vAlign w:val="bottom"/>
          </w:tcPr>
          <w:p w14:paraId="38D0E10F" w14:textId="29C245D7" w:rsidR="009C78C1" w:rsidRPr="008D5B31" w:rsidRDefault="009C78C1" w:rsidP="009C78C1">
            <w:pPr>
              <w:tabs>
                <w:tab w:val="right" w:pos="1202"/>
              </w:tabs>
              <w:spacing w:after="0" w:line="320" w:lineRule="exact"/>
              <w:jc w:val="right"/>
              <w:outlineLvl w:val="0"/>
              <w:rPr>
                <w:rFonts w:eastAsia="Times New Roman" w:cs="Arial"/>
                <w:b/>
                <w:bCs/>
                <w:iCs/>
                <w:noProof/>
                <w:color w:val="000000" w:themeColor="text1"/>
                <w:sz w:val="20"/>
                <w:szCs w:val="20"/>
                <w:lang w:val="en-US"/>
              </w:rPr>
            </w:pPr>
            <w:r>
              <w:rPr>
                <w:rFonts w:eastAsia="Times New Roman" w:cstheme="minorHAnsi"/>
                <w:b/>
                <w:iCs/>
                <w:color w:val="000000" w:themeColor="text1"/>
                <w:sz w:val="20"/>
                <w:szCs w:val="20"/>
              </w:rPr>
              <w:t>10,772,585</w:t>
            </w:r>
          </w:p>
        </w:tc>
      </w:tr>
    </w:tbl>
    <w:p w14:paraId="64339759"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pPr>
    </w:p>
    <w:p w14:paraId="2A421ECE"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pPr>
    </w:p>
    <w:p w14:paraId="45A486C6"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pPr>
    </w:p>
    <w:p w14:paraId="53D32DC6"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pPr>
    </w:p>
    <w:p w14:paraId="678FE895" w14:textId="77777777" w:rsidR="00D71142" w:rsidRPr="00537128" w:rsidRDefault="00D71142" w:rsidP="00BA3E05">
      <w:pPr>
        <w:spacing w:after="0" w:line="240" w:lineRule="auto"/>
        <w:rPr>
          <w:rFonts w:cstheme="minorHAnsi"/>
          <w:color w:val="000000" w:themeColor="text1"/>
          <w:lang w:val="en-US"/>
        </w:rPr>
      </w:pPr>
      <w:r w:rsidRPr="00537128">
        <w:rPr>
          <w:rFonts w:cstheme="minorHAnsi"/>
          <w:color w:val="000000" w:themeColor="text1"/>
          <w:lang w:val="en-US"/>
        </w:rPr>
        <w:t>The accompanying accounting policies and notes are an integral part of these financial statements</w:t>
      </w:r>
      <w:r w:rsidR="008852C8" w:rsidRPr="00537128">
        <w:rPr>
          <w:rFonts w:cstheme="minorHAnsi"/>
          <w:color w:val="000000" w:themeColor="text1"/>
          <w:lang w:val="en-US"/>
        </w:rPr>
        <w:t>.</w:t>
      </w:r>
    </w:p>
    <w:p w14:paraId="16DA8C4D" w14:textId="77777777" w:rsidR="00D71142" w:rsidRPr="00537128" w:rsidRDefault="00D71142" w:rsidP="00BA3E05">
      <w:pPr>
        <w:spacing w:after="0" w:line="240" w:lineRule="auto"/>
        <w:rPr>
          <w:rFonts w:cstheme="minorHAnsi"/>
          <w:color w:val="000000" w:themeColor="text1"/>
          <w:lang w:val="en-US"/>
        </w:rPr>
      </w:pPr>
    </w:p>
    <w:p w14:paraId="5945163A"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sectPr w:rsidR="00D71142" w:rsidRPr="00537128">
          <w:headerReference w:type="default" r:id="rId27"/>
          <w:pgSz w:w="11906" w:h="16838"/>
          <w:pgMar w:top="1417" w:right="1417" w:bottom="1417" w:left="1417" w:header="708" w:footer="708" w:gutter="0"/>
          <w:cols w:space="708"/>
          <w:docGrid w:linePitch="360"/>
        </w:sectPr>
      </w:pPr>
    </w:p>
    <w:p w14:paraId="4A728803"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pPr>
    </w:p>
    <w:p w14:paraId="26D8A5DF"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pPr>
    </w:p>
    <w:p w14:paraId="60601A20" w14:textId="77777777" w:rsidR="00D71142" w:rsidRPr="00537128" w:rsidRDefault="00D71142" w:rsidP="00D71142">
      <w:pPr>
        <w:keepNext/>
        <w:numPr>
          <w:ilvl w:val="0"/>
          <w:numId w:val="1"/>
        </w:numPr>
        <w:tabs>
          <w:tab w:val="left" w:pos="567"/>
        </w:tabs>
        <w:spacing w:after="0" w:line="240" w:lineRule="auto"/>
        <w:jc w:val="both"/>
        <w:rPr>
          <w:rFonts w:ascii="Calibri" w:eastAsia="Times New Roman" w:hAnsi="Calibri" w:cs="Arial"/>
          <w:b/>
          <w:bCs/>
          <w:color w:val="000000" w:themeColor="text1"/>
          <w:lang w:val="en-US"/>
        </w:rPr>
      </w:pPr>
      <w:bookmarkStart w:id="201" w:name="_Hlk36741489"/>
      <w:r w:rsidRPr="00537128">
        <w:rPr>
          <w:rFonts w:ascii="Calibri" w:eastAsia="Times New Roman" w:hAnsi="Calibri" w:cs="Arial"/>
          <w:b/>
          <w:bCs/>
          <w:color w:val="000000" w:themeColor="text1"/>
          <w:lang w:val="en-US"/>
        </w:rPr>
        <w:t>General information</w:t>
      </w:r>
    </w:p>
    <w:p w14:paraId="61D72DB7" w14:textId="77777777" w:rsidR="00D71142" w:rsidRPr="00537128" w:rsidRDefault="00D71142" w:rsidP="00D71142">
      <w:pPr>
        <w:spacing w:after="0" w:line="240" w:lineRule="auto"/>
        <w:rPr>
          <w:rFonts w:ascii="Times New Roman" w:eastAsia="Times New Roman" w:hAnsi="Times New Roman" w:cs="Times New Roman"/>
          <w:color w:val="000000" w:themeColor="text1"/>
          <w:sz w:val="24"/>
          <w:szCs w:val="24"/>
          <w:lang w:val="en-US"/>
        </w:rPr>
      </w:pPr>
    </w:p>
    <w:p w14:paraId="1701BB7F" w14:textId="77777777" w:rsidR="00D71142" w:rsidRPr="00537128" w:rsidRDefault="00D71142" w:rsidP="00D71142">
      <w:pPr>
        <w:numPr>
          <w:ilvl w:val="1"/>
          <w:numId w:val="1"/>
        </w:numPr>
        <w:tabs>
          <w:tab w:val="left" w:pos="567"/>
        </w:tabs>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Group:</w:t>
      </w:r>
    </w:p>
    <w:p w14:paraId="3882ADD6" w14:textId="77777777" w:rsidR="00D71142" w:rsidRPr="00537128" w:rsidRDefault="00D71142" w:rsidP="00D71142">
      <w:pPr>
        <w:tabs>
          <w:tab w:val="left" w:pos="567"/>
        </w:tabs>
        <w:spacing w:after="0" w:line="240" w:lineRule="auto"/>
        <w:ind w:left="570"/>
        <w:jc w:val="both"/>
        <w:rPr>
          <w:rFonts w:ascii="Calibri" w:eastAsia="Times New Roman" w:hAnsi="Calibri" w:cs="Arial"/>
          <w:b/>
          <w:color w:val="000000" w:themeColor="text1"/>
          <w:lang w:val="en-US" w:eastAsia="hr-HR"/>
        </w:rPr>
      </w:pPr>
    </w:p>
    <w:p w14:paraId="0853B526"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bookmarkStart w:id="202" w:name="_Toc4057683"/>
      <w:r w:rsidRPr="00537128">
        <w:rPr>
          <w:rFonts w:ascii="Calibri" w:eastAsia="Times New Roman" w:hAnsi="Calibri" w:cs="Arial"/>
          <w:color w:val="000000" w:themeColor="text1"/>
          <w:lang w:val="en-US"/>
        </w:rPr>
        <w:t>The Croatian Bank for Reconstruction and Development („</w:t>
      </w:r>
      <w:proofErr w:type="gramStart"/>
      <w:r w:rsidRPr="00537128">
        <w:rPr>
          <w:rFonts w:ascii="Calibri" w:eastAsia="Times New Roman" w:hAnsi="Calibri" w:cs="Arial"/>
          <w:color w:val="000000" w:themeColor="text1"/>
          <w:lang w:val="en-US"/>
        </w:rPr>
        <w:t>HBOR“ or</w:t>
      </w:r>
      <w:proofErr w:type="gramEnd"/>
      <w:r w:rsidRPr="00537128">
        <w:rPr>
          <w:rFonts w:ascii="Calibri" w:eastAsia="Times New Roman" w:hAnsi="Calibri" w:cs="Arial"/>
          <w:color w:val="000000" w:themeColor="text1"/>
          <w:lang w:val="en-US"/>
        </w:rPr>
        <w:t xml:space="preserve"> „the Bank“) is the parent company of the Croatian Bank for Reconstruction and Development Group („Group“) that operates in the Republic of Croatia</w:t>
      </w:r>
      <w:r w:rsidR="0028569C" w:rsidRPr="00537128">
        <w:rPr>
          <w:rFonts w:ascii="Calibri" w:eastAsia="Times New Roman" w:hAnsi="Calibri" w:cs="Arial"/>
          <w:color w:val="000000" w:themeColor="text1"/>
          <w:lang w:val="en-US"/>
        </w:rPr>
        <w:t>,</w:t>
      </w:r>
      <w:r w:rsidRPr="00537128">
        <w:rPr>
          <w:rFonts w:ascii="Calibri" w:eastAsia="Times New Roman" w:hAnsi="Calibri" w:cs="Arial"/>
          <w:color w:val="000000" w:themeColor="text1"/>
          <w:lang w:val="en-US"/>
        </w:rPr>
        <w:t xml:space="preserve"> The Group primarily performs banking activities and, to the lesser extent, insurance activities and credit risk assessment activities</w:t>
      </w:r>
      <w:r w:rsidR="0028569C" w:rsidRPr="00537128">
        <w:rPr>
          <w:rFonts w:ascii="Calibri" w:eastAsia="Times New Roman" w:hAnsi="Calibri" w:cs="Arial"/>
          <w:color w:val="000000" w:themeColor="text1"/>
          <w:lang w:val="en-US"/>
        </w:rPr>
        <w:t>,</w:t>
      </w:r>
      <w:r w:rsidRPr="00537128">
        <w:rPr>
          <w:rFonts w:ascii="Calibri" w:eastAsia="Times New Roman" w:hAnsi="Calibri" w:cs="Arial"/>
          <w:color w:val="000000" w:themeColor="text1"/>
          <w:lang w:val="en-US"/>
        </w:rPr>
        <w:t xml:space="preserve"> These Financial Statements include separate and consolidated financial statements of the Bank and the Group (“</w:t>
      </w:r>
      <w:r w:rsidR="00E12F76" w:rsidRPr="00537128">
        <w:rPr>
          <w:rFonts w:ascii="Calibri" w:eastAsia="Times New Roman" w:hAnsi="Calibri" w:cs="Arial"/>
          <w:color w:val="000000" w:themeColor="text1"/>
          <w:lang w:val="en-US"/>
        </w:rPr>
        <w:t xml:space="preserve">Condensed Interim </w:t>
      </w:r>
      <w:r w:rsidRPr="00537128">
        <w:rPr>
          <w:rFonts w:ascii="Calibri" w:eastAsia="Times New Roman" w:hAnsi="Calibri" w:cs="Arial"/>
          <w:color w:val="000000" w:themeColor="text1"/>
          <w:lang w:val="en-US"/>
        </w:rPr>
        <w:t>Financial Statements”)</w:t>
      </w:r>
      <w:bookmarkEnd w:id="202"/>
      <w:r w:rsidR="0028569C" w:rsidRPr="00537128">
        <w:rPr>
          <w:rFonts w:ascii="Calibri" w:eastAsia="Times New Roman" w:hAnsi="Calibri" w:cs="Arial"/>
          <w:color w:val="000000" w:themeColor="text1"/>
          <w:lang w:val="en-US"/>
        </w:rPr>
        <w:t>,</w:t>
      </w:r>
    </w:p>
    <w:p w14:paraId="0E593472"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p>
    <w:p w14:paraId="0F3DB164"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 xml:space="preserve">The headquarters of the Bank is located at </w:t>
      </w:r>
      <w:proofErr w:type="spellStart"/>
      <w:r w:rsidRPr="00537128">
        <w:rPr>
          <w:rFonts w:ascii="Calibri" w:eastAsia="Times New Roman" w:hAnsi="Calibri" w:cs="Arial"/>
          <w:color w:val="000000" w:themeColor="text1"/>
          <w:lang w:val="en-US"/>
        </w:rPr>
        <w:t>Strossmayerov</w:t>
      </w:r>
      <w:proofErr w:type="spellEnd"/>
      <w:r w:rsidRPr="00537128">
        <w:rPr>
          <w:rFonts w:ascii="Calibri" w:eastAsia="Times New Roman" w:hAnsi="Calibri" w:cs="Arial"/>
          <w:color w:val="000000" w:themeColor="text1"/>
          <w:lang w:val="en-US"/>
        </w:rPr>
        <w:t xml:space="preserve"> </w:t>
      </w:r>
      <w:proofErr w:type="spellStart"/>
      <w:r w:rsidRPr="00537128">
        <w:rPr>
          <w:rFonts w:ascii="Calibri" w:eastAsia="Times New Roman" w:hAnsi="Calibri" w:cs="Arial"/>
          <w:color w:val="000000" w:themeColor="text1"/>
          <w:lang w:val="en-US"/>
        </w:rPr>
        <w:t>trg</w:t>
      </w:r>
      <w:proofErr w:type="spellEnd"/>
      <w:r w:rsidRPr="00537128">
        <w:rPr>
          <w:rFonts w:ascii="Calibri" w:eastAsia="Times New Roman" w:hAnsi="Calibri" w:cs="Arial"/>
          <w:color w:val="000000" w:themeColor="text1"/>
          <w:lang w:val="en-US"/>
        </w:rPr>
        <w:t xml:space="preserve"> 9, Zagreb, Croatia</w:t>
      </w:r>
      <w:r w:rsidR="0028569C" w:rsidRPr="00537128">
        <w:rPr>
          <w:rFonts w:ascii="Calibri" w:eastAsia="Times New Roman" w:hAnsi="Calibri" w:cs="Arial"/>
          <w:color w:val="000000" w:themeColor="text1"/>
          <w:lang w:val="en-US"/>
        </w:rPr>
        <w:t>,</w:t>
      </w:r>
    </w:p>
    <w:p w14:paraId="4CCAF0BD"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p>
    <w:p w14:paraId="20827155"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 xml:space="preserve">The Group was formed in 2010, the Bank’s subsidiary companies are </w:t>
      </w:r>
      <w:proofErr w:type="spellStart"/>
      <w:r w:rsidRPr="00537128">
        <w:rPr>
          <w:rFonts w:ascii="Calibri" w:eastAsia="Times New Roman" w:hAnsi="Calibri" w:cs="Arial"/>
          <w:color w:val="000000" w:themeColor="text1"/>
          <w:lang w:val="en-US"/>
        </w:rPr>
        <w:t>Hrvatsko</w:t>
      </w:r>
      <w:proofErr w:type="spellEnd"/>
      <w:r w:rsidRPr="00537128">
        <w:rPr>
          <w:rFonts w:ascii="Calibri" w:eastAsia="Times New Roman" w:hAnsi="Calibri" w:cs="Arial"/>
          <w:color w:val="000000" w:themeColor="text1"/>
          <w:lang w:val="en-US"/>
        </w:rPr>
        <w:t xml:space="preserve"> </w:t>
      </w:r>
      <w:proofErr w:type="spellStart"/>
      <w:r w:rsidRPr="00537128">
        <w:rPr>
          <w:rFonts w:ascii="Calibri" w:eastAsia="Times New Roman" w:hAnsi="Calibri" w:cs="Arial"/>
          <w:color w:val="000000" w:themeColor="text1"/>
          <w:lang w:val="en-US"/>
        </w:rPr>
        <w:t>kreditno</w:t>
      </w:r>
      <w:proofErr w:type="spellEnd"/>
      <w:r w:rsidRPr="00537128">
        <w:rPr>
          <w:rFonts w:ascii="Calibri" w:eastAsia="Times New Roman" w:hAnsi="Calibri" w:cs="Arial"/>
          <w:color w:val="000000" w:themeColor="text1"/>
          <w:lang w:val="en-US"/>
        </w:rPr>
        <w:t xml:space="preserve"> </w:t>
      </w:r>
      <w:proofErr w:type="spellStart"/>
      <w:r w:rsidRPr="00537128">
        <w:rPr>
          <w:rFonts w:ascii="Calibri" w:eastAsia="Times New Roman" w:hAnsi="Calibri" w:cs="Arial"/>
          <w:color w:val="000000" w:themeColor="text1"/>
          <w:lang w:val="en-US"/>
        </w:rPr>
        <w:t>osiguranje</w:t>
      </w:r>
      <w:proofErr w:type="spellEnd"/>
      <w:r w:rsidRPr="00537128">
        <w:rPr>
          <w:rFonts w:ascii="Calibri" w:eastAsia="Times New Roman" w:hAnsi="Calibri" w:cs="Arial"/>
          <w:color w:val="000000" w:themeColor="text1"/>
          <w:lang w:val="en-US"/>
        </w:rPr>
        <w:t xml:space="preserve"> </w:t>
      </w:r>
      <w:proofErr w:type="spellStart"/>
      <w:proofErr w:type="gramStart"/>
      <w:r w:rsidRPr="00537128">
        <w:rPr>
          <w:rFonts w:ascii="Calibri" w:eastAsia="Times New Roman" w:hAnsi="Calibri" w:cs="Arial"/>
          <w:color w:val="000000" w:themeColor="text1"/>
          <w:lang w:val="en-US"/>
        </w:rPr>
        <w:t>d</w:t>
      </w:r>
      <w:r w:rsidR="0028569C" w:rsidRPr="00537128">
        <w:rPr>
          <w:rFonts w:ascii="Calibri" w:eastAsia="Times New Roman" w:hAnsi="Calibri" w:cs="Arial"/>
          <w:color w:val="000000" w:themeColor="text1"/>
          <w:lang w:val="en-US"/>
        </w:rPr>
        <w:t>,</w:t>
      </w:r>
      <w:r w:rsidRPr="00537128">
        <w:rPr>
          <w:rFonts w:ascii="Calibri" w:eastAsia="Times New Roman" w:hAnsi="Calibri" w:cs="Arial"/>
          <w:color w:val="000000" w:themeColor="text1"/>
          <w:lang w:val="en-US"/>
        </w:rPr>
        <w:t>d</w:t>
      </w:r>
      <w:proofErr w:type="spellEnd"/>
      <w:proofErr w:type="gramEnd"/>
      <w:r w:rsidR="0028569C" w:rsidRPr="00537128">
        <w:rPr>
          <w:rFonts w:ascii="Calibri" w:eastAsia="Times New Roman" w:hAnsi="Calibri" w:cs="Arial"/>
          <w:color w:val="000000" w:themeColor="text1"/>
          <w:lang w:val="en-US"/>
        </w:rPr>
        <w:t>,</w:t>
      </w:r>
      <w:r w:rsidRPr="00537128">
        <w:rPr>
          <w:rFonts w:ascii="Calibri" w:eastAsia="Times New Roman" w:hAnsi="Calibri" w:cs="Arial"/>
          <w:color w:val="000000" w:themeColor="text1"/>
          <w:lang w:val="en-US"/>
        </w:rPr>
        <w:t xml:space="preserve"> and </w:t>
      </w:r>
      <w:proofErr w:type="spellStart"/>
      <w:r w:rsidRPr="00537128">
        <w:rPr>
          <w:rFonts w:ascii="Calibri" w:eastAsia="Times New Roman" w:hAnsi="Calibri" w:cs="Arial"/>
          <w:color w:val="000000" w:themeColor="text1"/>
          <w:lang w:val="en-US"/>
        </w:rPr>
        <w:t>Poslovni</w:t>
      </w:r>
      <w:proofErr w:type="spellEnd"/>
      <w:r w:rsidRPr="00537128">
        <w:rPr>
          <w:rFonts w:ascii="Calibri" w:eastAsia="Times New Roman" w:hAnsi="Calibri" w:cs="Arial"/>
          <w:color w:val="000000" w:themeColor="text1"/>
          <w:lang w:val="en-US"/>
        </w:rPr>
        <w:t xml:space="preserve"> info </w:t>
      </w:r>
      <w:proofErr w:type="spellStart"/>
      <w:r w:rsidRPr="00537128">
        <w:rPr>
          <w:rFonts w:ascii="Calibri" w:eastAsia="Times New Roman" w:hAnsi="Calibri" w:cs="Arial"/>
          <w:color w:val="000000" w:themeColor="text1"/>
          <w:lang w:val="en-US"/>
        </w:rPr>
        <w:t>servis</w:t>
      </w:r>
      <w:proofErr w:type="spellEnd"/>
      <w:r w:rsidRPr="00537128">
        <w:rPr>
          <w:rFonts w:ascii="Calibri" w:eastAsia="Times New Roman" w:hAnsi="Calibri" w:cs="Arial"/>
          <w:color w:val="000000" w:themeColor="text1"/>
          <w:lang w:val="en-US"/>
        </w:rPr>
        <w:t xml:space="preserve"> d.o.o. that constitute the </w:t>
      </w:r>
      <w:proofErr w:type="spellStart"/>
      <w:r w:rsidRPr="00537128">
        <w:rPr>
          <w:rFonts w:ascii="Calibri" w:eastAsia="Times New Roman" w:hAnsi="Calibri" w:cs="Arial"/>
          <w:color w:val="000000" w:themeColor="text1"/>
          <w:lang w:val="en-US"/>
        </w:rPr>
        <w:t>Hrvatsko</w:t>
      </w:r>
      <w:proofErr w:type="spellEnd"/>
      <w:r w:rsidRPr="00537128">
        <w:rPr>
          <w:rFonts w:ascii="Calibri" w:eastAsia="Times New Roman" w:hAnsi="Calibri" w:cs="Arial"/>
          <w:color w:val="000000" w:themeColor="text1"/>
          <w:lang w:val="en-US"/>
        </w:rPr>
        <w:t xml:space="preserve"> </w:t>
      </w:r>
      <w:proofErr w:type="spellStart"/>
      <w:r w:rsidRPr="00537128">
        <w:rPr>
          <w:rFonts w:ascii="Calibri" w:eastAsia="Times New Roman" w:hAnsi="Calibri" w:cs="Arial"/>
          <w:color w:val="000000" w:themeColor="text1"/>
          <w:lang w:val="en-US"/>
        </w:rPr>
        <w:t>kreditno</w:t>
      </w:r>
      <w:proofErr w:type="spellEnd"/>
      <w:r w:rsidRPr="00537128">
        <w:rPr>
          <w:rFonts w:ascii="Calibri" w:eastAsia="Times New Roman" w:hAnsi="Calibri" w:cs="Arial"/>
          <w:color w:val="000000" w:themeColor="text1"/>
          <w:lang w:val="en-US"/>
        </w:rPr>
        <w:t xml:space="preserve"> </w:t>
      </w:r>
      <w:proofErr w:type="spellStart"/>
      <w:r w:rsidRPr="00537128">
        <w:rPr>
          <w:rFonts w:ascii="Calibri" w:eastAsia="Times New Roman" w:hAnsi="Calibri" w:cs="Arial"/>
          <w:color w:val="000000" w:themeColor="text1"/>
          <w:lang w:val="en-US"/>
        </w:rPr>
        <w:t>osiguranje</w:t>
      </w:r>
      <w:proofErr w:type="spellEnd"/>
      <w:r w:rsidRPr="00537128">
        <w:rPr>
          <w:rFonts w:ascii="Calibri" w:eastAsia="Times New Roman" w:hAnsi="Calibri" w:cs="Arial"/>
          <w:color w:val="000000" w:themeColor="text1"/>
          <w:lang w:val="en-US"/>
        </w:rPr>
        <w:t xml:space="preserve"> Group (“HKO Group”). </w:t>
      </w:r>
    </w:p>
    <w:p w14:paraId="47428838"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p>
    <w:p w14:paraId="5E70AAFA"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bookmarkStart w:id="203" w:name="_Hlk522991149"/>
      <w:r w:rsidRPr="00537128">
        <w:rPr>
          <w:rFonts w:ascii="Calibri" w:eastAsia="Times New Roman" w:hAnsi="Calibri" w:cs="Arial"/>
          <w:color w:val="000000" w:themeColor="text1"/>
          <w:lang w:val="en-US"/>
        </w:rPr>
        <w:t xml:space="preserve">The Croatian Bank for Reconstruction and Development is the 100% owner of HKO, </w:t>
      </w:r>
      <w:bookmarkEnd w:id="203"/>
      <w:r w:rsidRPr="00537128">
        <w:rPr>
          <w:rFonts w:ascii="Calibri" w:eastAsia="Times New Roman" w:hAnsi="Calibri" w:cs="Arial"/>
          <w:color w:val="000000" w:themeColor="text1"/>
          <w:lang w:val="en-US"/>
        </w:rPr>
        <w:t xml:space="preserve">which is 100% owner of </w:t>
      </w:r>
      <w:proofErr w:type="spellStart"/>
      <w:r w:rsidRPr="00537128">
        <w:rPr>
          <w:rFonts w:ascii="Calibri" w:eastAsia="Times New Roman" w:hAnsi="Calibri" w:cs="Arial"/>
          <w:color w:val="000000" w:themeColor="text1"/>
          <w:lang w:val="en-US"/>
        </w:rPr>
        <w:t>Poslovni</w:t>
      </w:r>
      <w:proofErr w:type="spellEnd"/>
      <w:r w:rsidRPr="00537128">
        <w:rPr>
          <w:rFonts w:ascii="Calibri" w:eastAsia="Times New Roman" w:hAnsi="Calibri" w:cs="Arial"/>
          <w:color w:val="000000" w:themeColor="text1"/>
          <w:lang w:val="en-US"/>
        </w:rPr>
        <w:t xml:space="preserve"> info </w:t>
      </w:r>
      <w:proofErr w:type="spellStart"/>
      <w:r w:rsidRPr="00537128">
        <w:rPr>
          <w:rFonts w:ascii="Calibri" w:eastAsia="Times New Roman" w:hAnsi="Calibri" w:cs="Arial"/>
          <w:color w:val="000000" w:themeColor="text1"/>
          <w:lang w:val="en-US"/>
        </w:rPr>
        <w:t>servis</w:t>
      </w:r>
      <w:proofErr w:type="spellEnd"/>
      <w:r w:rsidRPr="00537128">
        <w:rPr>
          <w:rFonts w:ascii="Calibri" w:eastAsia="Times New Roman" w:hAnsi="Calibri" w:cs="Arial"/>
          <w:color w:val="000000" w:themeColor="text1"/>
          <w:lang w:val="en-US"/>
        </w:rPr>
        <w:t xml:space="preserve"> d.o.o.</w:t>
      </w:r>
    </w:p>
    <w:p w14:paraId="235C2279"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p>
    <w:p w14:paraId="20A333C8"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 xml:space="preserve">The legal address of the HKO Group is Zagreb, </w:t>
      </w:r>
      <w:proofErr w:type="spellStart"/>
      <w:r w:rsidRPr="00537128">
        <w:rPr>
          <w:rFonts w:ascii="Calibri" w:eastAsia="Times New Roman" w:hAnsi="Calibri" w:cs="Arial"/>
          <w:color w:val="000000" w:themeColor="text1"/>
          <w:lang w:val="en-US"/>
        </w:rPr>
        <w:t>Bednjanska</w:t>
      </w:r>
      <w:proofErr w:type="spellEnd"/>
      <w:r w:rsidRPr="00537128">
        <w:rPr>
          <w:rFonts w:ascii="Calibri" w:eastAsia="Times New Roman" w:hAnsi="Calibri" w:cs="Arial"/>
          <w:color w:val="000000" w:themeColor="text1"/>
          <w:lang w:val="en-US"/>
        </w:rPr>
        <w:t xml:space="preserve"> 12.</w:t>
      </w:r>
    </w:p>
    <w:p w14:paraId="30063F7F"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p>
    <w:p w14:paraId="7ABEBBAE" w14:textId="1F913A2C" w:rsidR="00D71142" w:rsidRPr="00537128" w:rsidRDefault="00D71142" w:rsidP="00D71142">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As of 3</w:t>
      </w:r>
      <w:r w:rsidR="003E372D" w:rsidRPr="00537128">
        <w:rPr>
          <w:rFonts w:ascii="Calibri" w:eastAsia="Times New Roman" w:hAnsi="Calibri" w:cs="Arial"/>
          <w:color w:val="000000" w:themeColor="text1"/>
          <w:lang w:val="en-US"/>
        </w:rPr>
        <w:t>1</w:t>
      </w:r>
      <w:r w:rsidRPr="00537128">
        <w:rPr>
          <w:rFonts w:ascii="Calibri" w:eastAsia="Times New Roman" w:hAnsi="Calibri" w:cs="Arial"/>
          <w:color w:val="000000" w:themeColor="text1"/>
          <w:lang w:val="en-US"/>
        </w:rPr>
        <w:t xml:space="preserve"> </w:t>
      </w:r>
      <w:r w:rsidR="003E372D" w:rsidRPr="00537128">
        <w:rPr>
          <w:rFonts w:ascii="Calibri" w:eastAsia="Times New Roman" w:hAnsi="Calibri" w:cs="Arial"/>
          <w:color w:val="000000" w:themeColor="text1"/>
          <w:lang w:val="en-US"/>
        </w:rPr>
        <w:t>March</w:t>
      </w:r>
      <w:r w:rsidRPr="00537128">
        <w:rPr>
          <w:rFonts w:ascii="Calibri" w:eastAsia="Times New Roman" w:hAnsi="Calibri" w:cs="Arial"/>
          <w:color w:val="000000" w:themeColor="text1"/>
          <w:lang w:val="en-US"/>
        </w:rPr>
        <w:t xml:space="preserve"> 202</w:t>
      </w:r>
      <w:r w:rsidR="003C4C18">
        <w:rPr>
          <w:rFonts w:ascii="Calibri" w:eastAsia="Times New Roman" w:hAnsi="Calibri" w:cs="Arial"/>
          <w:color w:val="000000" w:themeColor="text1"/>
          <w:lang w:val="en-US"/>
        </w:rPr>
        <w:t>2</w:t>
      </w:r>
      <w:r w:rsidRPr="00537128">
        <w:rPr>
          <w:rFonts w:ascii="Calibri" w:eastAsia="Times New Roman" w:hAnsi="Calibri" w:cs="Arial"/>
          <w:color w:val="000000" w:themeColor="text1"/>
          <w:lang w:val="en-US"/>
        </w:rPr>
        <w:t xml:space="preserve">, the Group </w:t>
      </w:r>
      <w:r w:rsidRPr="008D5B31">
        <w:rPr>
          <w:rFonts w:ascii="Calibri" w:eastAsia="Times New Roman" w:hAnsi="Calibri" w:cs="Arial"/>
          <w:color w:val="000000" w:themeColor="text1"/>
          <w:lang w:val="en-US"/>
        </w:rPr>
        <w:t xml:space="preserve">had </w:t>
      </w:r>
      <w:r w:rsidR="002B291A">
        <w:rPr>
          <w:rFonts w:ascii="Calibri" w:eastAsia="Times New Roman" w:hAnsi="Calibri" w:cs="Arial"/>
          <w:color w:val="000000" w:themeColor="text1"/>
          <w:lang w:val="en-US"/>
        </w:rPr>
        <w:t>395</w:t>
      </w:r>
      <w:r w:rsidR="00FA71F0" w:rsidRPr="00537128">
        <w:rPr>
          <w:rFonts w:ascii="Calibri" w:eastAsia="Times New Roman" w:hAnsi="Calibri" w:cs="Arial"/>
          <w:color w:val="000000" w:themeColor="text1"/>
          <w:lang w:val="en-US"/>
        </w:rPr>
        <w:t xml:space="preserve"> </w:t>
      </w:r>
      <w:r w:rsidRPr="00537128">
        <w:rPr>
          <w:rFonts w:ascii="Calibri" w:eastAsia="Times New Roman" w:hAnsi="Calibri" w:cs="Arial"/>
          <w:color w:val="000000" w:themeColor="text1"/>
          <w:lang w:val="en-US"/>
        </w:rPr>
        <w:t>employees (3</w:t>
      </w:r>
      <w:r w:rsidR="003E372D" w:rsidRPr="00537128">
        <w:rPr>
          <w:rFonts w:ascii="Calibri" w:eastAsia="Times New Roman" w:hAnsi="Calibri" w:cs="Arial"/>
          <w:color w:val="000000" w:themeColor="text1"/>
          <w:lang w:val="en-US"/>
        </w:rPr>
        <w:t>1</w:t>
      </w:r>
      <w:r w:rsidRPr="00537128">
        <w:rPr>
          <w:rFonts w:ascii="Calibri" w:eastAsia="Times New Roman" w:hAnsi="Calibri" w:cs="Arial"/>
          <w:color w:val="000000" w:themeColor="text1"/>
          <w:lang w:val="en-US"/>
        </w:rPr>
        <w:t xml:space="preserve"> </w:t>
      </w:r>
      <w:r w:rsidR="003E372D" w:rsidRPr="00537128">
        <w:rPr>
          <w:rFonts w:ascii="Calibri" w:eastAsia="Times New Roman" w:hAnsi="Calibri" w:cs="Arial"/>
          <w:color w:val="000000" w:themeColor="text1"/>
          <w:lang w:val="en-US"/>
        </w:rPr>
        <w:t>March</w:t>
      </w:r>
      <w:r w:rsidRPr="00537128">
        <w:rPr>
          <w:rFonts w:ascii="Calibri" w:eastAsia="Times New Roman" w:hAnsi="Calibri" w:cs="Arial"/>
          <w:color w:val="000000" w:themeColor="text1"/>
          <w:lang w:val="en-US"/>
        </w:rPr>
        <w:t xml:space="preserve"> </w:t>
      </w:r>
      <w:r w:rsidR="00B12756" w:rsidRPr="00537128">
        <w:rPr>
          <w:rFonts w:ascii="Calibri" w:eastAsia="Times New Roman" w:hAnsi="Calibri" w:cs="Arial"/>
          <w:color w:val="000000" w:themeColor="text1"/>
          <w:lang w:val="en-US"/>
        </w:rPr>
        <w:t>20</w:t>
      </w:r>
      <w:r w:rsidR="003E372D" w:rsidRPr="00537128">
        <w:rPr>
          <w:rFonts w:ascii="Calibri" w:eastAsia="Times New Roman" w:hAnsi="Calibri" w:cs="Arial"/>
          <w:color w:val="000000" w:themeColor="text1"/>
          <w:lang w:val="en-US"/>
        </w:rPr>
        <w:t>2</w:t>
      </w:r>
      <w:r w:rsidR="003C4C18">
        <w:rPr>
          <w:rFonts w:ascii="Calibri" w:eastAsia="Times New Roman" w:hAnsi="Calibri" w:cs="Arial"/>
          <w:color w:val="000000" w:themeColor="text1"/>
          <w:lang w:val="en-US"/>
        </w:rPr>
        <w:t>1</w:t>
      </w:r>
      <w:r w:rsidRPr="00537128">
        <w:rPr>
          <w:rFonts w:ascii="Calibri" w:eastAsia="Times New Roman" w:hAnsi="Calibri" w:cs="Arial"/>
          <w:color w:val="000000" w:themeColor="text1"/>
          <w:lang w:val="en-US"/>
        </w:rPr>
        <w:t>: 3</w:t>
      </w:r>
      <w:r w:rsidR="003C4C18">
        <w:rPr>
          <w:rFonts w:ascii="Calibri" w:eastAsia="Times New Roman" w:hAnsi="Calibri" w:cs="Arial"/>
          <w:color w:val="000000" w:themeColor="text1"/>
          <w:lang w:val="en-US"/>
        </w:rPr>
        <w:t>77</w:t>
      </w:r>
      <w:r w:rsidRPr="00537128">
        <w:rPr>
          <w:rFonts w:ascii="Calibri" w:eastAsia="Times New Roman" w:hAnsi="Calibri" w:cs="Arial"/>
          <w:color w:val="000000" w:themeColor="text1"/>
          <w:lang w:val="en-US"/>
        </w:rPr>
        <w:t xml:space="preserve"> employees).</w:t>
      </w:r>
    </w:p>
    <w:p w14:paraId="02330C88" w14:textId="77777777" w:rsidR="00D71142" w:rsidRPr="00537128" w:rsidRDefault="00D71142" w:rsidP="00D71142">
      <w:pPr>
        <w:spacing w:after="0" w:line="240" w:lineRule="auto"/>
        <w:rPr>
          <w:rFonts w:ascii="Times New Roman" w:eastAsia="Times New Roman" w:hAnsi="Times New Roman" w:cs="Times New Roman"/>
          <w:color w:val="000000" w:themeColor="text1"/>
          <w:sz w:val="24"/>
          <w:szCs w:val="24"/>
          <w:lang w:val="en-US"/>
        </w:rPr>
      </w:pPr>
    </w:p>
    <w:p w14:paraId="7B747CDE" w14:textId="77777777" w:rsidR="00D71142" w:rsidRPr="00537128" w:rsidRDefault="00D71142" w:rsidP="00D71142">
      <w:p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1.2. Bank:</w:t>
      </w:r>
    </w:p>
    <w:p w14:paraId="3EE74B16" w14:textId="77777777" w:rsidR="00D71142" w:rsidRPr="00537128" w:rsidRDefault="00D71142" w:rsidP="00D71142">
      <w:pPr>
        <w:spacing w:after="0" w:line="240" w:lineRule="auto"/>
        <w:jc w:val="both"/>
        <w:rPr>
          <w:rFonts w:ascii="Calibri" w:eastAsia="Times New Roman" w:hAnsi="Calibri" w:cs="Arial"/>
          <w:b/>
          <w:color w:val="000000" w:themeColor="text1"/>
          <w:lang w:val="en-US" w:eastAsia="hr-HR"/>
        </w:rPr>
      </w:pPr>
    </w:p>
    <w:p w14:paraId="4A384DE7"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 xml:space="preserve">The Croatian Bank for Reconstruction and Development (“HBOR” or “the Bank”) was established on 12 June 1992 under the Act on the Croatian Credit Bank for Reconstruction (“HKBO”). In December 1995, the Bank changed its name to Croatian Bank for Reconstruction and Development. The founder and 100% owner of HBOR is the Republic of Croatia. </w:t>
      </w:r>
    </w:p>
    <w:p w14:paraId="6D11789F" w14:textId="77777777" w:rsidR="00D71142" w:rsidRPr="00537128" w:rsidRDefault="00D71142" w:rsidP="00D71142">
      <w:pPr>
        <w:spacing w:after="0" w:line="240" w:lineRule="auto"/>
        <w:rPr>
          <w:rFonts w:ascii="Times New Roman" w:eastAsia="Times New Roman" w:hAnsi="Times New Roman" w:cs="Times New Roman"/>
          <w:color w:val="000000" w:themeColor="text1"/>
          <w:sz w:val="24"/>
          <w:szCs w:val="24"/>
          <w:lang w:val="en-US"/>
        </w:rPr>
      </w:pPr>
    </w:p>
    <w:p w14:paraId="524D6692"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 xml:space="preserve">The Republic of Croatia guarantees HBOR’s liabilities unconditionally, irrevocably and on first call, without issuing any </w:t>
      </w:r>
      <w:proofErr w:type="gramStart"/>
      <w:r w:rsidRPr="00537128">
        <w:rPr>
          <w:rFonts w:ascii="Calibri" w:eastAsia="Times New Roman" w:hAnsi="Calibri" w:cs="Arial"/>
          <w:color w:val="000000" w:themeColor="text1"/>
          <w:lang w:val="en-US"/>
        </w:rPr>
        <w:t>particular guarantee</w:t>
      </w:r>
      <w:proofErr w:type="gramEnd"/>
      <w:r w:rsidRPr="00537128">
        <w:rPr>
          <w:rFonts w:ascii="Calibri" w:eastAsia="Times New Roman" w:hAnsi="Calibri" w:cs="Arial"/>
          <w:color w:val="000000" w:themeColor="text1"/>
          <w:lang w:val="en-US"/>
        </w:rPr>
        <w:t>. The responsibility of the Republic of Croatia as guarantor for HBOR´s liabilities is joint and unlimited.</w:t>
      </w:r>
    </w:p>
    <w:p w14:paraId="7E64BDC9"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p>
    <w:p w14:paraId="79D1C48C" w14:textId="77777777" w:rsidR="00D71142" w:rsidRPr="00537128" w:rsidRDefault="00D71142" w:rsidP="00623585">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With the Act on the Croatian Bank for Reconstruction and Development passed in December 2006, HBOR’s founding capital was HRK 7 billion, the payment schedule of which is determined by the State budget</w:t>
      </w:r>
      <w:bookmarkEnd w:id="201"/>
    </w:p>
    <w:p w14:paraId="7F6E2ADD" w14:textId="77777777" w:rsidR="00D71142" w:rsidRPr="00537128" w:rsidRDefault="00D71142" w:rsidP="00D71142">
      <w:pPr>
        <w:spacing w:after="0" w:line="240" w:lineRule="auto"/>
        <w:rPr>
          <w:rFonts w:ascii="Calibri" w:eastAsia="Times New Roman" w:hAnsi="Calibri" w:cs="Arial"/>
          <w:color w:val="000000" w:themeColor="text1"/>
          <w:lang w:val="en-US"/>
        </w:rPr>
      </w:pPr>
    </w:p>
    <w:p w14:paraId="406F51CD" w14:textId="77777777" w:rsidR="00D71142" w:rsidRPr="00537128" w:rsidRDefault="00D71142" w:rsidP="00D71142">
      <w:pPr>
        <w:spacing w:after="0" w:line="240" w:lineRule="auto"/>
        <w:rPr>
          <w:rFonts w:ascii="Arial" w:eastAsia="Times New Roman" w:hAnsi="Arial" w:cs="Arial"/>
          <w:noProof/>
          <w:color w:val="000000" w:themeColor="text1"/>
          <w:sz w:val="19"/>
          <w:szCs w:val="20"/>
          <w:lang w:val="en-US"/>
        </w:rPr>
        <w:sectPr w:rsidR="00D71142" w:rsidRPr="00537128">
          <w:headerReference w:type="default" r:id="rId28"/>
          <w:pgSz w:w="11906" w:h="16838"/>
          <w:pgMar w:top="1417" w:right="1417" w:bottom="1417" w:left="1417" w:header="708" w:footer="708" w:gutter="0"/>
          <w:cols w:space="708"/>
          <w:docGrid w:linePitch="360"/>
        </w:sectPr>
      </w:pPr>
    </w:p>
    <w:p w14:paraId="09A20682" w14:textId="77777777" w:rsidR="00D71142" w:rsidRPr="00537128" w:rsidRDefault="00D71142" w:rsidP="00D71142">
      <w:pPr>
        <w:spacing w:after="0" w:line="240" w:lineRule="auto"/>
        <w:rPr>
          <w:rFonts w:ascii="Arial" w:eastAsia="Times New Roman" w:hAnsi="Arial" w:cs="Arial"/>
          <w:noProof/>
          <w:color w:val="000000" w:themeColor="text1"/>
          <w:sz w:val="19"/>
          <w:szCs w:val="20"/>
          <w:lang w:val="en-US"/>
        </w:rPr>
      </w:pPr>
    </w:p>
    <w:p w14:paraId="27E06552" w14:textId="77777777" w:rsidR="00D71142" w:rsidRPr="00537128" w:rsidRDefault="00D71142" w:rsidP="00652829">
      <w:p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bCs/>
          <w:color w:val="000000" w:themeColor="text1"/>
          <w:lang w:val="en-US"/>
        </w:rPr>
        <w:t>1</w:t>
      </w:r>
      <w:r w:rsidRPr="00537128">
        <w:rPr>
          <w:rFonts w:ascii="Calibri" w:eastAsia="Times New Roman" w:hAnsi="Calibri" w:cs="Arial"/>
          <w:b/>
          <w:color w:val="000000" w:themeColor="text1"/>
          <w:lang w:val="en-US" w:eastAsia="hr-HR"/>
        </w:rPr>
        <w:t>.</w:t>
      </w:r>
      <w:r w:rsidRPr="00537128">
        <w:rPr>
          <w:rFonts w:ascii="Calibri" w:eastAsia="Times New Roman" w:hAnsi="Calibri" w:cs="Arial"/>
          <w:b/>
          <w:color w:val="000000" w:themeColor="text1"/>
          <w:lang w:val="en-US" w:eastAsia="hr-HR"/>
        </w:rPr>
        <w:tab/>
        <w:t>General information (continued)</w:t>
      </w:r>
    </w:p>
    <w:p w14:paraId="669BC830" w14:textId="77777777" w:rsidR="00D71142" w:rsidRPr="00537128" w:rsidRDefault="00D71142" w:rsidP="00652829">
      <w:pPr>
        <w:spacing w:after="0" w:line="240" w:lineRule="auto"/>
        <w:jc w:val="both"/>
        <w:rPr>
          <w:rFonts w:ascii="Calibri" w:eastAsia="Times New Roman" w:hAnsi="Calibri" w:cs="Arial"/>
          <w:b/>
          <w:color w:val="000000" w:themeColor="text1"/>
          <w:lang w:val="en-US" w:eastAsia="hr-HR"/>
        </w:rPr>
      </w:pPr>
    </w:p>
    <w:p w14:paraId="015BCBA2" w14:textId="77777777" w:rsidR="00D71142" w:rsidRPr="00537128" w:rsidRDefault="00D71142" w:rsidP="00652829">
      <w:p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 xml:space="preserve">1.2. </w:t>
      </w:r>
      <w:r w:rsidRPr="00537128">
        <w:rPr>
          <w:rFonts w:ascii="Calibri" w:eastAsia="Times New Roman" w:hAnsi="Calibri" w:cs="Arial"/>
          <w:b/>
          <w:color w:val="000000" w:themeColor="text1"/>
          <w:lang w:val="en-US" w:eastAsia="hr-HR"/>
        </w:rPr>
        <w:tab/>
        <w:t>Bank (continued):</w:t>
      </w:r>
    </w:p>
    <w:p w14:paraId="399FB26F" w14:textId="77777777" w:rsidR="00D71142" w:rsidRPr="00537128" w:rsidRDefault="00D71142" w:rsidP="00652829">
      <w:pPr>
        <w:spacing w:after="0" w:line="240" w:lineRule="auto"/>
        <w:jc w:val="both"/>
        <w:rPr>
          <w:rFonts w:ascii="Calibri" w:eastAsia="Times New Roman" w:hAnsi="Calibri" w:cs="Arial"/>
          <w:b/>
          <w:color w:val="000000" w:themeColor="text1"/>
          <w:lang w:val="en-US" w:eastAsia="hr-HR"/>
        </w:rPr>
      </w:pPr>
    </w:p>
    <w:p w14:paraId="3E8D2916" w14:textId="77777777" w:rsidR="00D71142" w:rsidRPr="00537128" w:rsidRDefault="00D71142" w:rsidP="00D71142">
      <w:pPr>
        <w:widowControl w:val="0"/>
        <w:spacing w:after="0" w:line="240" w:lineRule="auto"/>
        <w:jc w:val="both"/>
        <w:rPr>
          <w:rFonts w:ascii="Calibri" w:eastAsia="Times New Roman" w:hAnsi="Calibri" w:cs="Arial"/>
          <w:i/>
          <w:color w:val="000000" w:themeColor="text1"/>
          <w:lang w:val="en-US"/>
        </w:rPr>
      </w:pPr>
      <w:r w:rsidRPr="00537128">
        <w:rPr>
          <w:rFonts w:ascii="Calibri" w:eastAsia="Times New Roman" w:hAnsi="Calibri" w:cs="Arial"/>
          <w:i/>
          <w:color w:val="000000" w:themeColor="text1"/>
          <w:lang w:val="en-US"/>
        </w:rPr>
        <w:t>Supervisory Board</w:t>
      </w:r>
    </w:p>
    <w:p w14:paraId="7A88FED2" w14:textId="1ACF4A76" w:rsidR="005A2277" w:rsidRPr="00F649B5" w:rsidRDefault="005A2277" w:rsidP="005A2277">
      <w:pPr>
        <w:widowControl w:val="0"/>
        <w:jc w:val="both"/>
        <w:rPr>
          <w:rFonts w:cs="Arial"/>
        </w:rPr>
      </w:pPr>
      <w:r w:rsidRPr="00976B46">
        <w:rPr>
          <w:rFonts w:ascii="Calibri" w:hAnsi="Calibri" w:cs="Arial"/>
        </w:rPr>
        <w:t xml:space="preserve">As of 31 </w:t>
      </w:r>
      <w:r w:rsidR="00AA2BB8">
        <w:rPr>
          <w:rFonts w:ascii="Calibri" w:hAnsi="Calibri" w:cs="Arial"/>
        </w:rPr>
        <w:t>March</w:t>
      </w:r>
      <w:r w:rsidRPr="00976B46">
        <w:rPr>
          <w:rFonts w:ascii="Calibri" w:hAnsi="Calibri" w:cs="Arial"/>
        </w:rPr>
        <w:t xml:space="preserve"> </w:t>
      </w:r>
      <w:r w:rsidRPr="00394284">
        <w:rPr>
          <w:rFonts w:ascii="Calibri" w:hAnsi="Calibri" w:cs="Arial"/>
        </w:rPr>
        <w:t>20</w:t>
      </w:r>
      <w:r>
        <w:rPr>
          <w:rFonts w:ascii="Calibri" w:hAnsi="Calibri" w:cs="Arial"/>
        </w:rPr>
        <w:t>2</w:t>
      </w:r>
      <w:r w:rsidR="00AA2BB8">
        <w:rPr>
          <w:rFonts w:ascii="Calibri" w:hAnsi="Calibri" w:cs="Arial"/>
        </w:rPr>
        <w:t>2</w:t>
      </w:r>
      <w:r w:rsidRPr="00F649B5">
        <w:rPr>
          <w:rFonts w:cs="Arial"/>
        </w:rPr>
        <w:t>, members of the Supervisory Board were as follows:</w:t>
      </w:r>
    </w:p>
    <w:p w14:paraId="2F4E6E23" w14:textId="77777777" w:rsidR="003E372D" w:rsidRPr="00537128" w:rsidRDefault="003E372D" w:rsidP="003E372D">
      <w:pPr>
        <w:widowControl w:val="0"/>
        <w:numPr>
          <w:ilvl w:val="0"/>
          <w:numId w:val="4"/>
        </w:numPr>
        <w:spacing w:after="0" w:line="240" w:lineRule="auto"/>
        <w:ind w:left="851" w:hanging="142"/>
        <w:contextualSpacing/>
        <w:jc w:val="both"/>
        <w:rPr>
          <w:rFonts w:cs="Arial"/>
          <w:lang w:val="en-US"/>
        </w:rPr>
      </w:pPr>
      <w:r w:rsidRPr="00537128">
        <w:rPr>
          <w:rFonts w:cs="Arial"/>
          <w:lang w:val="en-US"/>
        </w:rPr>
        <w:t xml:space="preserve">Zdravko Marić, DSc, Deputy Prime Minister of the Republic of </w:t>
      </w:r>
      <w:proofErr w:type="gramStart"/>
      <w:r w:rsidRPr="00537128">
        <w:rPr>
          <w:rFonts w:cs="Arial"/>
          <w:lang w:val="en-US"/>
        </w:rPr>
        <w:t>Croatia</w:t>
      </w:r>
      <w:proofErr w:type="gramEnd"/>
      <w:r w:rsidRPr="00537128">
        <w:rPr>
          <w:rFonts w:cs="Arial"/>
          <w:lang w:val="en-US"/>
        </w:rPr>
        <w:t xml:space="preserve"> and </w:t>
      </w:r>
      <w:r w:rsidRPr="00537128">
        <w:rPr>
          <w:rFonts w:cs="Arial"/>
          <w:lang w:val="en-US" w:eastAsia="hr-HR"/>
        </w:rPr>
        <w:t>Minister of Finance - ex officio President of the Supervisory Board,</w:t>
      </w:r>
    </w:p>
    <w:p w14:paraId="6EE3F1A1" w14:textId="5037F9BD" w:rsidR="003E372D" w:rsidRPr="00537128" w:rsidRDefault="003E372D" w:rsidP="003E372D">
      <w:pPr>
        <w:widowControl w:val="0"/>
        <w:numPr>
          <w:ilvl w:val="0"/>
          <w:numId w:val="4"/>
        </w:numPr>
        <w:spacing w:after="0" w:line="240" w:lineRule="auto"/>
        <w:ind w:left="851" w:hanging="142"/>
        <w:contextualSpacing/>
        <w:jc w:val="both"/>
        <w:rPr>
          <w:rFonts w:ascii="Calibri" w:hAnsi="Calibri" w:cs="Arial"/>
          <w:color w:val="000000" w:themeColor="text1"/>
          <w:lang w:val="en-US"/>
        </w:rPr>
      </w:pPr>
      <w:r w:rsidRPr="00537128">
        <w:rPr>
          <w:rFonts w:ascii="Calibri" w:hAnsi="Calibri" w:cs="Arial"/>
          <w:color w:val="000000" w:themeColor="text1"/>
          <w:lang w:val="en-US"/>
        </w:rPr>
        <w:t xml:space="preserve">Tomislav </w:t>
      </w:r>
      <w:proofErr w:type="spellStart"/>
      <w:r w:rsidRPr="00537128">
        <w:rPr>
          <w:rFonts w:ascii="Calibri" w:hAnsi="Calibri" w:cs="Arial"/>
          <w:color w:val="000000" w:themeColor="text1"/>
          <w:lang w:val="en-US"/>
        </w:rPr>
        <w:t>Ćorić</w:t>
      </w:r>
      <w:proofErr w:type="spellEnd"/>
      <w:r w:rsidRPr="00537128">
        <w:rPr>
          <w:rFonts w:ascii="Calibri" w:hAnsi="Calibri" w:cs="Arial"/>
          <w:color w:val="000000" w:themeColor="text1"/>
          <w:lang w:val="en-US"/>
        </w:rPr>
        <w:t xml:space="preserve">, DSc, Minister of the Economy and Sustainable Development – ex officio </w:t>
      </w:r>
      <w:r w:rsidR="00E77003">
        <w:rPr>
          <w:rFonts w:ascii="Calibri" w:hAnsi="Calibri" w:cs="Arial"/>
          <w:color w:val="000000" w:themeColor="text1"/>
          <w:lang w:val="en-US"/>
        </w:rPr>
        <w:t>Deputy</w:t>
      </w:r>
      <w:r w:rsidRPr="00537128">
        <w:rPr>
          <w:rFonts w:ascii="Calibri" w:hAnsi="Calibri" w:cs="Arial"/>
          <w:color w:val="000000" w:themeColor="text1"/>
          <w:lang w:val="en-US"/>
        </w:rPr>
        <w:t xml:space="preserve"> President of the Supervisory Board,</w:t>
      </w:r>
    </w:p>
    <w:p w14:paraId="39B9A12E" w14:textId="77777777" w:rsidR="003E372D" w:rsidRPr="00537128" w:rsidRDefault="003E372D" w:rsidP="003E372D">
      <w:pPr>
        <w:widowControl w:val="0"/>
        <w:numPr>
          <w:ilvl w:val="0"/>
          <w:numId w:val="4"/>
        </w:numPr>
        <w:spacing w:after="0" w:line="240" w:lineRule="auto"/>
        <w:ind w:left="851" w:hanging="142"/>
        <w:contextualSpacing/>
        <w:jc w:val="both"/>
        <w:rPr>
          <w:rFonts w:ascii="Calibri" w:hAnsi="Calibri" w:cs="Arial"/>
          <w:color w:val="000000" w:themeColor="text1"/>
          <w:lang w:val="en-US"/>
        </w:rPr>
      </w:pPr>
      <w:r w:rsidRPr="00537128">
        <w:rPr>
          <w:rFonts w:ascii="Calibri" w:hAnsi="Calibri" w:cs="Arial"/>
          <w:color w:val="000000" w:themeColor="text1"/>
          <w:lang w:val="en-US"/>
        </w:rPr>
        <w:t xml:space="preserve">Nikolina </w:t>
      </w:r>
      <w:proofErr w:type="spellStart"/>
      <w:r w:rsidRPr="00537128">
        <w:rPr>
          <w:rFonts w:ascii="Calibri" w:hAnsi="Calibri" w:cs="Arial"/>
          <w:color w:val="000000" w:themeColor="text1"/>
          <w:lang w:val="en-US"/>
        </w:rPr>
        <w:t>Brnjac</w:t>
      </w:r>
      <w:proofErr w:type="spellEnd"/>
      <w:r w:rsidRPr="00537128">
        <w:rPr>
          <w:rFonts w:ascii="Calibri" w:hAnsi="Calibri" w:cs="Arial"/>
          <w:color w:val="000000" w:themeColor="text1"/>
          <w:lang w:val="en-US"/>
        </w:rPr>
        <w:t>, DSc, Minister of Tourism and Sports,</w:t>
      </w:r>
    </w:p>
    <w:p w14:paraId="59F9861B" w14:textId="77777777" w:rsidR="003E372D" w:rsidRPr="00537128" w:rsidRDefault="003E372D" w:rsidP="003E372D">
      <w:pPr>
        <w:numPr>
          <w:ilvl w:val="0"/>
          <w:numId w:val="4"/>
        </w:numPr>
        <w:spacing w:after="0" w:line="240" w:lineRule="auto"/>
        <w:ind w:left="851" w:hanging="142"/>
        <w:contextualSpacing/>
        <w:jc w:val="both"/>
        <w:rPr>
          <w:rFonts w:ascii="Calibri" w:eastAsia="Calibri" w:hAnsi="Calibri"/>
          <w:color w:val="000000" w:themeColor="text1"/>
          <w:lang w:val="en-US"/>
        </w:rPr>
      </w:pPr>
      <w:proofErr w:type="spellStart"/>
      <w:r w:rsidRPr="00537128">
        <w:rPr>
          <w:rFonts w:ascii="Calibri" w:eastAsia="Calibri" w:hAnsi="Calibri"/>
          <w:color w:val="000000" w:themeColor="text1"/>
          <w:lang w:val="en-US"/>
        </w:rPr>
        <w:t>Nataša</w:t>
      </w:r>
      <w:proofErr w:type="spellEnd"/>
      <w:r w:rsidRPr="00537128">
        <w:rPr>
          <w:rFonts w:ascii="Calibri" w:eastAsia="Calibri" w:hAnsi="Calibri"/>
          <w:color w:val="000000" w:themeColor="text1"/>
          <w:lang w:val="en-US"/>
        </w:rPr>
        <w:t xml:space="preserve"> </w:t>
      </w:r>
      <w:proofErr w:type="spellStart"/>
      <w:r w:rsidRPr="00537128">
        <w:rPr>
          <w:rFonts w:ascii="Calibri" w:eastAsia="Calibri" w:hAnsi="Calibri"/>
          <w:color w:val="000000" w:themeColor="text1"/>
          <w:lang w:val="en-US"/>
        </w:rPr>
        <w:t>Tramišak</w:t>
      </w:r>
      <w:proofErr w:type="spellEnd"/>
      <w:r w:rsidRPr="00537128">
        <w:rPr>
          <w:rFonts w:ascii="Calibri" w:eastAsia="Calibri" w:hAnsi="Calibri"/>
          <w:color w:val="000000" w:themeColor="text1"/>
          <w:lang w:val="en-US"/>
        </w:rPr>
        <w:t>, Minister of Regional Development and EU Funds,</w:t>
      </w:r>
    </w:p>
    <w:p w14:paraId="549A9632" w14:textId="2976372A" w:rsidR="003E372D" w:rsidRDefault="003E372D" w:rsidP="003E372D">
      <w:pPr>
        <w:widowControl w:val="0"/>
        <w:numPr>
          <w:ilvl w:val="0"/>
          <w:numId w:val="4"/>
        </w:numPr>
        <w:spacing w:after="0" w:line="240" w:lineRule="auto"/>
        <w:ind w:left="851" w:hanging="142"/>
        <w:contextualSpacing/>
        <w:jc w:val="both"/>
        <w:rPr>
          <w:rFonts w:cs="Arial"/>
          <w:lang w:val="en-US"/>
        </w:rPr>
      </w:pPr>
      <w:r w:rsidRPr="00537128">
        <w:rPr>
          <w:rFonts w:cs="Arial"/>
          <w:lang w:val="en-US"/>
        </w:rPr>
        <w:t xml:space="preserve">Marija </w:t>
      </w:r>
      <w:proofErr w:type="spellStart"/>
      <w:r w:rsidRPr="00537128">
        <w:rPr>
          <w:rFonts w:cs="Arial"/>
          <w:lang w:val="en-US"/>
        </w:rPr>
        <w:t>Vučković</w:t>
      </w:r>
      <w:proofErr w:type="spellEnd"/>
      <w:r w:rsidRPr="00537128">
        <w:rPr>
          <w:rFonts w:cs="Arial"/>
          <w:lang w:val="en-US"/>
        </w:rPr>
        <w:t>, MSc, Minister of Agriculture,</w:t>
      </w:r>
    </w:p>
    <w:p w14:paraId="372F1C34" w14:textId="37C38EDC" w:rsidR="00A324EC" w:rsidRPr="00537128" w:rsidRDefault="00A324EC" w:rsidP="003E372D">
      <w:pPr>
        <w:widowControl w:val="0"/>
        <w:numPr>
          <w:ilvl w:val="0"/>
          <w:numId w:val="4"/>
        </w:numPr>
        <w:spacing w:after="0" w:line="240" w:lineRule="auto"/>
        <w:ind w:left="851" w:hanging="142"/>
        <w:contextualSpacing/>
        <w:jc w:val="both"/>
        <w:rPr>
          <w:rFonts w:cs="Arial"/>
          <w:lang w:val="en-US"/>
        </w:rPr>
      </w:pPr>
      <w:r>
        <w:rPr>
          <w:rFonts w:cs="Arial"/>
          <w:lang w:val="en-US"/>
        </w:rPr>
        <w:t xml:space="preserve">Ivan </w:t>
      </w:r>
      <w:proofErr w:type="spellStart"/>
      <w:r>
        <w:rPr>
          <w:rFonts w:cs="Arial"/>
          <w:lang w:val="en-US"/>
        </w:rPr>
        <w:t>Paladina</w:t>
      </w:r>
      <w:proofErr w:type="spellEnd"/>
      <w:r>
        <w:rPr>
          <w:rFonts w:cs="Arial"/>
          <w:lang w:val="en-US"/>
        </w:rPr>
        <w:t>, Minister of Physical Planning, Construction and State Assets,</w:t>
      </w:r>
    </w:p>
    <w:p w14:paraId="4980D494" w14:textId="77777777" w:rsidR="003E372D" w:rsidRPr="00537128" w:rsidRDefault="003E372D" w:rsidP="003E372D">
      <w:pPr>
        <w:numPr>
          <w:ilvl w:val="0"/>
          <w:numId w:val="4"/>
        </w:numPr>
        <w:spacing w:after="0" w:line="240" w:lineRule="auto"/>
        <w:ind w:left="851" w:hanging="142"/>
        <w:contextualSpacing/>
        <w:jc w:val="both"/>
        <w:rPr>
          <w:rFonts w:ascii="Calibri" w:eastAsia="Calibri" w:hAnsi="Calibri"/>
          <w:lang w:val="en-US"/>
        </w:rPr>
      </w:pPr>
      <w:r w:rsidRPr="00537128">
        <w:rPr>
          <w:rFonts w:ascii="Calibri" w:eastAsia="Calibri" w:hAnsi="Calibri"/>
          <w:lang w:val="en-US"/>
        </w:rPr>
        <w:t xml:space="preserve">Luka </w:t>
      </w:r>
      <w:proofErr w:type="spellStart"/>
      <w:r w:rsidRPr="00537128">
        <w:rPr>
          <w:rFonts w:ascii="Calibri" w:eastAsia="Calibri" w:hAnsi="Calibri"/>
          <w:lang w:val="en-US"/>
        </w:rPr>
        <w:t>Burilović</w:t>
      </w:r>
      <w:proofErr w:type="spellEnd"/>
      <w:r w:rsidRPr="00537128">
        <w:rPr>
          <w:rFonts w:ascii="Calibri" w:eastAsia="Calibri" w:hAnsi="Calibri"/>
          <w:lang w:val="en-US"/>
        </w:rPr>
        <w:t>,</w:t>
      </w:r>
      <w:r w:rsidRPr="00537128">
        <w:rPr>
          <w:lang w:val="en-US"/>
        </w:rPr>
        <w:t xml:space="preserve"> </w:t>
      </w:r>
      <w:r w:rsidRPr="00537128">
        <w:rPr>
          <w:rFonts w:ascii="Calibri" w:eastAsia="Calibri" w:hAnsi="Calibri"/>
          <w:lang w:val="en-US"/>
        </w:rPr>
        <w:t>DSc, Chairman of the Croatian Chamber of Economy – ex officio Member of the Supervisory Board,</w:t>
      </w:r>
    </w:p>
    <w:p w14:paraId="6E68187D" w14:textId="77777777" w:rsidR="003E372D" w:rsidRPr="00537128" w:rsidRDefault="003E372D" w:rsidP="003E372D">
      <w:pPr>
        <w:numPr>
          <w:ilvl w:val="0"/>
          <w:numId w:val="4"/>
        </w:numPr>
        <w:spacing w:after="0" w:line="240" w:lineRule="auto"/>
        <w:ind w:left="851" w:hanging="142"/>
        <w:contextualSpacing/>
        <w:jc w:val="both"/>
        <w:rPr>
          <w:rFonts w:ascii="Calibri" w:eastAsia="Calibri" w:hAnsi="Calibri"/>
          <w:color w:val="000000" w:themeColor="text1"/>
          <w:lang w:val="en-US"/>
        </w:rPr>
      </w:pPr>
      <w:proofErr w:type="spellStart"/>
      <w:r w:rsidRPr="00537128">
        <w:rPr>
          <w:rFonts w:ascii="Calibri" w:eastAsia="Calibri" w:hAnsi="Calibri"/>
          <w:color w:val="000000" w:themeColor="text1"/>
          <w:lang w:val="en-US"/>
        </w:rPr>
        <w:t>Žarko</w:t>
      </w:r>
      <w:proofErr w:type="spellEnd"/>
      <w:r w:rsidRPr="00537128">
        <w:rPr>
          <w:rFonts w:ascii="Calibri" w:eastAsia="Calibri" w:hAnsi="Calibri"/>
          <w:color w:val="000000" w:themeColor="text1"/>
          <w:lang w:val="en-US"/>
        </w:rPr>
        <w:t xml:space="preserve"> </w:t>
      </w:r>
      <w:proofErr w:type="spellStart"/>
      <w:r w:rsidRPr="00537128">
        <w:rPr>
          <w:rFonts w:ascii="Calibri" w:eastAsia="Calibri" w:hAnsi="Calibri"/>
          <w:color w:val="000000" w:themeColor="text1"/>
          <w:lang w:val="en-US"/>
        </w:rPr>
        <w:t>Tušek</w:t>
      </w:r>
      <w:proofErr w:type="spellEnd"/>
      <w:r w:rsidRPr="00537128">
        <w:rPr>
          <w:rFonts w:ascii="Calibri" w:eastAsia="Calibri" w:hAnsi="Calibri"/>
          <w:color w:val="000000" w:themeColor="text1"/>
          <w:lang w:val="en-US"/>
        </w:rPr>
        <w:t>, member of Parliament,</w:t>
      </w:r>
    </w:p>
    <w:p w14:paraId="2A8074BD" w14:textId="77777777" w:rsidR="003E372D" w:rsidRPr="00537128" w:rsidRDefault="003E372D" w:rsidP="003E372D">
      <w:pPr>
        <w:numPr>
          <w:ilvl w:val="0"/>
          <w:numId w:val="4"/>
        </w:numPr>
        <w:spacing w:after="0" w:line="240" w:lineRule="auto"/>
        <w:ind w:left="851" w:hanging="142"/>
        <w:contextualSpacing/>
        <w:jc w:val="both"/>
        <w:rPr>
          <w:rFonts w:ascii="Calibri" w:eastAsia="Calibri" w:hAnsi="Calibri"/>
          <w:color w:val="000000" w:themeColor="text1"/>
          <w:lang w:val="en-US"/>
        </w:rPr>
      </w:pPr>
      <w:r w:rsidRPr="00537128">
        <w:rPr>
          <w:rFonts w:ascii="Calibri" w:eastAsia="Calibri" w:hAnsi="Calibri"/>
          <w:color w:val="000000" w:themeColor="text1"/>
          <w:lang w:val="en-US"/>
        </w:rPr>
        <w:t xml:space="preserve">Predrag </w:t>
      </w:r>
      <w:proofErr w:type="spellStart"/>
      <w:r w:rsidRPr="00537128">
        <w:rPr>
          <w:rFonts w:ascii="Calibri" w:eastAsia="Calibri" w:hAnsi="Calibri"/>
          <w:color w:val="000000" w:themeColor="text1"/>
          <w:lang w:val="en-US"/>
        </w:rPr>
        <w:t>Štromar</w:t>
      </w:r>
      <w:proofErr w:type="spellEnd"/>
      <w:r w:rsidRPr="00537128">
        <w:rPr>
          <w:rFonts w:ascii="Calibri" w:eastAsia="Calibri" w:hAnsi="Calibri"/>
          <w:color w:val="000000" w:themeColor="text1"/>
          <w:lang w:val="en-US"/>
        </w:rPr>
        <w:t>, member of Parliament,</w:t>
      </w:r>
    </w:p>
    <w:p w14:paraId="1D0B3DEB" w14:textId="77777777" w:rsidR="003E372D" w:rsidRPr="00537128" w:rsidRDefault="003E372D" w:rsidP="003E372D">
      <w:pPr>
        <w:numPr>
          <w:ilvl w:val="0"/>
          <w:numId w:val="4"/>
        </w:numPr>
        <w:spacing w:after="0" w:line="240" w:lineRule="auto"/>
        <w:ind w:left="851" w:hanging="142"/>
        <w:contextualSpacing/>
        <w:jc w:val="both"/>
        <w:rPr>
          <w:rFonts w:ascii="Calibri" w:eastAsia="Calibri" w:hAnsi="Calibri"/>
          <w:color w:val="000000" w:themeColor="text1"/>
          <w:lang w:val="en-US"/>
        </w:rPr>
      </w:pPr>
      <w:r w:rsidRPr="00537128">
        <w:rPr>
          <w:rFonts w:ascii="Calibri" w:eastAsia="Calibri" w:hAnsi="Calibri"/>
          <w:color w:val="000000" w:themeColor="text1"/>
          <w:lang w:val="en-US"/>
        </w:rPr>
        <w:t xml:space="preserve">Siniša </w:t>
      </w:r>
      <w:proofErr w:type="spellStart"/>
      <w:r w:rsidRPr="00537128">
        <w:rPr>
          <w:rFonts w:ascii="Calibri" w:eastAsia="Calibri" w:hAnsi="Calibri"/>
          <w:color w:val="000000" w:themeColor="text1"/>
          <w:lang w:val="en-US"/>
        </w:rPr>
        <w:t>Hajdaš</w:t>
      </w:r>
      <w:proofErr w:type="spellEnd"/>
      <w:r w:rsidRPr="00537128">
        <w:rPr>
          <w:rFonts w:ascii="Calibri" w:eastAsia="Calibri" w:hAnsi="Calibri"/>
          <w:color w:val="000000" w:themeColor="text1"/>
          <w:lang w:val="en-US"/>
        </w:rPr>
        <w:t xml:space="preserve"> </w:t>
      </w:r>
      <w:proofErr w:type="spellStart"/>
      <w:r w:rsidRPr="00537128">
        <w:rPr>
          <w:rFonts w:ascii="Calibri" w:eastAsia="Calibri" w:hAnsi="Calibri"/>
          <w:color w:val="000000" w:themeColor="text1"/>
          <w:lang w:val="en-US"/>
        </w:rPr>
        <w:t>Dončić</w:t>
      </w:r>
      <w:proofErr w:type="spellEnd"/>
      <w:r w:rsidRPr="00537128">
        <w:rPr>
          <w:rFonts w:ascii="Calibri" w:eastAsia="Calibri" w:hAnsi="Calibri"/>
          <w:color w:val="000000" w:themeColor="text1"/>
          <w:lang w:val="en-US"/>
        </w:rPr>
        <w:t>, DSc, member of Parliament.</w:t>
      </w:r>
    </w:p>
    <w:p w14:paraId="2E253C87" w14:textId="77777777" w:rsidR="00D71142" w:rsidRPr="00537128" w:rsidRDefault="00D71142" w:rsidP="00D71142">
      <w:pPr>
        <w:widowControl w:val="0"/>
        <w:spacing w:after="0" w:line="240" w:lineRule="auto"/>
        <w:ind w:firstLine="709"/>
        <w:jc w:val="both"/>
        <w:rPr>
          <w:rFonts w:ascii="Calibri" w:eastAsia="Times New Roman" w:hAnsi="Calibri" w:cs="Arial"/>
          <w:color w:val="000000" w:themeColor="text1"/>
          <w:lang w:val="en-US"/>
        </w:rPr>
      </w:pPr>
    </w:p>
    <w:p w14:paraId="1F4CC4E5" w14:textId="6F52ADCE" w:rsidR="00377F87" w:rsidRDefault="00377F87" w:rsidP="00855C6E">
      <w:pPr>
        <w:spacing w:after="0" w:line="240" w:lineRule="auto"/>
        <w:jc w:val="both"/>
        <w:rPr>
          <w:lang w:val="en-GB"/>
        </w:rPr>
      </w:pPr>
      <w:bookmarkStart w:id="204" w:name="_Hlk103862665"/>
      <w:bookmarkStart w:id="205" w:name="_Toc4057684"/>
      <w:r w:rsidRPr="00855C6E">
        <w:rPr>
          <w:lang w:val="en-GB"/>
        </w:rPr>
        <w:t xml:space="preserve">The Government of the Republic of Croatia, at its meeting held on 6 May 2022, adopted the Decision on the Appointment of Davor </w:t>
      </w:r>
      <w:proofErr w:type="spellStart"/>
      <w:r w:rsidRPr="00855C6E">
        <w:rPr>
          <w:lang w:val="en-GB"/>
        </w:rPr>
        <w:t>Filipović</w:t>
      </w:r>
      <w:proofErr w:type="spellEnd"/>
      <w:r w:rsidRPr="00855C6E">
        <w:rPr>
          <w:lang w:val="en-GB"/>
        </w:rPr>
        <w:t xml:space="preserve">, </w:t>
      </w:r>
      <w:r w:rsidR="00CA197F" w:rsidRPr="00855C6E">
        <w:rPr>
          <w:lang w:val="en-GB"/>
        </w:rPr>
        <w:t>DSc</w:t>
      </w:r>
      <w:r w:rsidRPr="00855C6E">
        <w:rPr>
          <w:lang w:val="en-GB"/>
        </w:rPr>
        <w:t xml:space="preserve">, Minister of the Economy and Sustainable Development as ex officio </w:t>
      </w:r>
      <w:r w:rsidR="00E77003">
        <w:rPr>
          <w:lang w:val="en-GB"/>
        </w:rPr>
        <w:t>Deputy</w:t>
      </w:r>
      <w:r w:rsidRPr="00855C6E">
        <w:rPr>
          <w:lang w:val="en-GB"/>
        </w:rPr>
        <w:t xml:space="preserve"> President of the Supervisory Board of the Croatian Bank for Reconstruction and Development as well as the Decision on the Dismissal of Tomislav </w:t>
      </w:r>
      <w:proofErr w:type="spellStart"/>
      <w:r w:rsidRPr="00855C6E">
        <w:rPr>
          <w:lang w:val="en-GB"/>
        </w:rPr>
        <w:t>Ćorić</w:t>
      </w:r>
      <w:proofErr w:type="spellEnd"/>
      <w:r w:rsidRPr="00855C6E">
        <w:rPr>
          <w:lang w:val="en-GB"/>
        </w:rPr>
        <w:t xml:space="preserve">, DSc, from the Position of ex officio </w:t>
      </w:r>
      <w:r w:rsidR="00E77003">
        <w:rPr>
          <w:lang w:val="en-GB"/>
        </w:rPr>
        <w:t>Deputy</w:t>
      </w:r>
      <w:r w:rsidRPr="00855C6E">
        <w:rPr>
          <w:lang w:val="en-GB"/>
        </w:rPr>
        <w:t xml:space="preserve"> President of the Supervisory </w:t>
      </w:r>
      <w:r w:rsidRPr="00B9224A">
        <w:rPr>
          <w:lang w:val="en-GB"/>
        </w:rPr>
        <w:t>Board of the Croatian Bank for Reconstruction and Development.</w:t>
      </w:r>
    </w:p>
    <w:p w14:paraId="61ECD02A" w14:textId="77777777" w:rsidR="00855C6E" w:rsidRPr="00B9224A" w:rsidRDefault="00855C6E" w:rsidP="00855C6E">
      <w:pPr>
        <w:spacing w:after="0" w:line="240" w:lineRule="auto"/>
        <w:jc w:val="both"/>
        <w:rPr>
          <w:lang w:val="en-GB"/>
        </w:rPr>
      </w:pPr>
    </w:p>
    <w:bookmarkEnd w:id="204"/>
    <w:p w14:paraId="658FCADA" w14:textId="3488D30D" w:rsidR="00D71142" w:rsidRPr="00537128" w:rsidRDefault="00D71142" w:rsidP="00652829">
      <w:pPr>
        <w:widowControl w:val="0"/>
        <w:spacing w:after="0" w:line="240" w:lineRule="auto"/>
        <w:jc w:val="both"/>
        <w:rPr>
          <w:rFonts w:ascii="Calibri" w:eastAsia="Times New Roman" w:hAnsi="Calibri" w:cs="Arial"/>
          <w:i/>
          <w:color w:val="000000" w:themeColor="text1"/>
          <w:lang w:val="en-US"/>
        </w:rPr>
      </w:pPr>
      <w:r w:rsidRPr="00537128">
        <w:rPr>
          <w:rFonts w:ascii="Calibri" w:eastAsia="Times New Roman" w:hAnsi="Calibri" w:cs="Arial"/>
          <w:i/>
          <w:color w:val="000000" w:themeColor="text1"/>
          <w:lang w:val="en-US"/>
        </w:rPr>
        <w:t>Management Board</w:t>
      </w:r>
      <w:bookmarkEnd w:id="205"/>
    </w:p>
    <w:p w14:paraId="5865F5CB" w14:textId="77777777" w:rsidR="00D71142" w:rsidRPr="00537128" w:rsidRDefault="00D71142" w:rsidP="00652829">
      <w:pPr>
        <w:widowControl w:val="0"/>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On the date of preparing these statements, members of the Management Board of HBOR were as follows:</w:t>
      </w:r>
    </w:p>
    <w:p w14:paraId="5A935C76" w14:textId="77777777" w:rsidR="00D71142" w:rsidRPr="00537128" w:rsidRDefault="00D71142" w:rsidP="00652829">
      <w:pPr>
        <w:widowControl w:val="0"/>
        <w:spacing w:after="0" w:line="240" w:lineRule="auto"/>
        <w:jc w:val="both"/>
        <w:rPr>
          <w:rFonts w:ascii="Calibri" w:eastAsia="Times New Roman" w:hAnsi="Calibri" w:cs="Arial"/>
          <w:color w:val="000000" w:themeColor="text1"/>
          <w:lang w:val="en-US"/>
        </w:rPr>
      </w:pPr>
    </w:p>
    <w:p w14:paraId="624F1466" w14:textId="77777777" w:rsidR="00D71142" w:rsidRPr="00537128" w:rsidRDefault="00D71142" w:rsidP="00D71142">
      <w:pPr>
        <w:keepNext/>
        <w:numPr>
          <w:ilvl w:val="0"/>
          <w:numId w:val="3"/>
        </w:numPr>
        <w:spacing w:after="0" w:line="240" w:lineRule="auto"/>
        <w:contextualSpacing/>
        <w:jc w:val="both"/>
        <w:rPr>
          <w:rFonts w:ascii="Calibri" w:eastAsia="Times New Roman" w:hAnsi="Calibri" w:cs="Arial"/>
          <w:color w:val="000000" w:themeColor="text1"/>
          <w:lang w:val="en-US"/>
        </w:rPr>
      </w:pPr>
      <w:r w:rsidRPr="00537128">
        <w:rPr>
          <w:rFonts w:ascii="Calibri" w:eastAsia="Times New Roman" w:hAnsi="Calibri" w:cs="Times New Roman"/>
          <w:color w:val="000000" w:themeColor="text1"/>
          <w:lang w:val="en-US"/>
        </w:rPr>
        <w:t>Tamara Perko</w:t>
      </w:r>
      <w:r w:rsidRPr="00537128">
        <w:rPr>
          <w:rFonts w:ascii="Calibri" w:eastAsia="Times New Roman" w:hAnsi="Calibri" w:cs="Arial"/>
          <w:color w:val="000000" w:themeColor="text1"/>
          <w:lang w:val="en-US"/>
        </w:rPr>
        <w:t>, MSc, President of the Management Board and</w:t>
      </w:r>
    </w:p>
    <w:p w14:paraId="0ECE7EB9" w14:textId="77777777" w:rsidR="00D71142" w:rsidRPr="00537128" w:rsidRDefault="00D71142" w:rsidP="00D71142">
      <w:pPr>
        <w:keepNext/>
        <w:numPr>
          <w:ilvl w:val="0"/>
          <w:numId w:val="3"/>
        </w:numPr>
        <w:spacing w:after="0" w:line="240" w:lineRule="auto"/>
        <w:contextualSpacing/>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Hrvoje Čuvalo, MSc, Member of the Management Board.</w:t>
      </w:r>
    </w:p>
    <w:p w14:paraId="22E047BD" w14:textId="77777777" w:rsidR="00D71142" w:rsidRPr="00537128" w:rsidRDefault="00D71142" w:rsidP="00D71142">
      <w:pPr>
        <w:keepNext/>
        <w:spacing w:after="0" w:line="240" w:lineRule="auto"/>
        <w:ind w:left="720"/>
        <w:contextualSpacing/>
        <w:jc w:val="both"/>
        <w:rPr>
          <w:rFonts w:ascii="Calibri" w:eastAsia="Calibri" w:hAnsi="Calibri" w:cs="Times New Roman"/>
          <w:color w:val="000000" w:themeColor="text1"/>
          <w:lang w:val="en-US"/>
        </w:rPr>
      </w:pPr>
    </w:p>
    <w:p w14:paraId="112CF0E9" w14:textId="7A8D1CA3" w:rsidR="00D71142" w:rsidRPr="00537128" w:rsidRDefault="00D71142" w:rsidP="00D71142">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As of 3</w:t>
      </w:r>
      <w:r w:rsidR="003E372D" w:rsidRPr="00537128">
        <w:rPr>
          <w:rFonts w:ascii="Calibri" w:eastAsia="Times New Roman" w:hAnsi="Calibri" w:cs="Arial"/>
          <w:color w:val="000000" w:themeColor="text1"/>
          <w:lang w:val="en-US"/>
        </w:rPr>
        <w:t>1</w:t>
      </w:r>
      <w:r w:rsidRPr="00537128">
        <w:rPr>
          <w:rFonts w:ascii="Calibri" w:eastAsia="Times New Roman" w:hAnsi="Calibri" w:cs="Arial"/>
          <w:color w:val="000000" w:themeColor="text1"/>
          <w:lang w:val="en-US"/>
        </w:rPr>
        <w:t xml:space="preserve"> </w:t>
      </w:r>
      <w:r w:rsidR="003E372D" w:rsidRPr="00537128">
        <w:rPr>
          <w:rFonts w:ascii="Calibri" w:eastAsia="Times New Roman" w:hAnsi="Calibri" w:cs="Arial"/>
          <w:color w:val="000000" w:themeColor="text1"/>
          <w:lang w:val="en-US"/>
        </w:rPr>
        <w:t>March</w:t>
      </w:r>
      <w:r w:rsidR="00652829" w:rsidRPr="00537128">
        <w:rPr>
          <w:rFonts w:ascii="Calibri" w:eastAsia="Times New Roman" w:hAnsi="Calibri" w:cs="Arial"/>
          <w:color w:val="000000" w:themeColor="text1"/>
          <w:lang w:val="en-US"/>
        </w:rPr>
        <w:t xml:space="preserve"> 202</w:t>
      </w:r>
      <w:r w:rsidR="003C4C18">
        <w:rPr>
          <w:rFonts w:ascii="Calibri" w:eastAsia="Times New Roman" w:hAnsi="Calibri" w:cs="Arial"/>
          <w:color w:val="000000" w:themeColor="text1"/>
          <w:lang w:val="en-US"/>
        </w:rPr>
        <w:t>2</w:t>
      </w:r>
      <w:r w:rsidRPr="00537128">
        <w:rPr>
          <w:rFonts w:ascii="Calibri" w:eastAsia="Times New Roman" w:hAnsi="Calibri" w:cs="Arial"/>
          <w:color w:val="000000" w:themeColor="text1"/>
          <w:lang w:val="en-US"/>
        </w:rPr>
        <w:t xml:space="preserve">, HBOR </w:t>
      </w:r>
      <w:r w:rsidRPr="008E2B60">
        <w:rPr>
          <w:rFonts w:ascii="Calibri" w:eastAsia="Times New Roman" w:hAnsi="Calibri" w:cs="Arial"/>
          <w:color w:val="000000" w:themeColor="text1"/>
          <w:lang w:val="en-US"/>
        </w:rPr>
        <w:t xml:space="preserve">had </w:t>
      </w:r>
      <w:r w:rsidR="003055A0">
        <w:rPr>
          <w:rFonts w:ascii="Calibri" w:eastAsia="Times New Roman" w:hAnsi="Calibri" w:cs="Arial"/>
          <w:color w:val="000000" w:themeColor="text1"/>
          <w:lang w:val="en-US"/>
        </w:rPr>
        <w:t>374</w:t>
      </w:r>
      <w:r w:rsidRPr="00537128">
        <w:rPr>
          <w:rFonts w:ascii="Calibri" w:eastAsia="Times New Roman" w:hAnsi="Calibri" w:cs="Arial"/>
          <w:color w:val="000000" w:themeColor="text1"/>
          <w:lang w:val="en-US"/>
        </w:rPr>
        <w:t xml:space="preserve"> employees (</w:t>
      </w:r>
      <w:r w:rsidR="00652829" w:rsidRPr="00537128">
        <w:rPr>
          <w:rFonts w:ascii="Calibri" w:eastAsia="Times New Roman" w:hAnsi="Calibri" w:cs="Arial"/>
          <w:color w:val="000000" w:themeColor="text1"/>
          <w:lang w:val="en-US"/>
        </w:rPr>
        <w:t>3</w:t>
      </w:r>
      <w:r w:rsidR="003E372D" w:rsidRPr="00537128">
        <w:rPr>
          <w:rFonts w:ascii="Calibri" w:eastAsia="Times New Roman" w:hAnsi="Calibri" w:cs="Arial"/>
          <w:color w:val="000000" w:themeColor="text1"/>
          <w:lang w:val="en-US"/>
        </w:rPr>
        <w:t>1</w:t>
      </w:r>
      <w:r w:rsidR="00652829" w:rsidRPr="00537128">
        <w:rPr>
          <w:rFonts w:ascii="Calibri" w:eastAsia="Times New Roman" w:hAnsi="Calibri" w:cs="Arial"/>
          <w:color w:val="000000" w:themeColor="text1"/>
          <w:lang w:val="en-US"/>
        </w:rPr>
        <w:t xml:space="preserve"> </w:t>
      </w:r>
      <w:r w:rsidR="003E372D" w:rsidRPr="00537128">
        <w:rPr>
          <w:rFonts w:ascii="Calibri" w:eastAsia="Times New Roman" w:hAnsi="Calibri" w:cs="Arial"/>
          <w:color w:val="000000" w:themeColor="text1"/>
          <w:lang w:val="en-US"/>
        </w:rPr>
        <w:t>March</w:t>
      </w:r>
      <w:r w:rsidR="00652829" w:rsidRPr="00537128">
        <w:rPr>
          <w:rFonts w:ascii="Calibri" w:eastAsia="Times New Roman" w:hAnsi="Calibri" w:cs="Arial"/>
          <w:color w:val="000000" w:themeColor="text1"/>
          <w:lang w:val="en-US"/>
        </w:rPr>
        <w:t xml:space="preserve"> 20</w:t>
      </w:r>
      <w:r w:rsidR="003E372D" w:rsidRPr="00537128">
        <w:rPr>
          <w:rFonts w:ascii="Calibri" w:eastAsia="Times New Roman" w:hAnsi="Calibri" w:cs="Arial"/>
          <w:color w:val="000000" w:themeColor="text1"/>
          <w:lang w:val="en-US"/>
        </w:rPr>
        <w:t>2</w:t>
      </w:r>
      <w:r w:rsidR="003C4C18">
        <w:rPr>
          <w:rFonts w:ascii="Calibri" w:eastAsia="Times New Roman" w:hAnsi="Calibri" w:cs="Arial"/>
          <w:color w:val="000000" w:themeColor="text1"/>
          <w:lang w:val="en-US"/>
        </w:rPr>
        <w:t>1</w:t>
      </w:r>
      <w:r w:rsidRPr="00537128">
        <w:rPr>
          <w:rFonts w:ascii="Calibri" w:eastAsia="Times New Roman" w:hAnsi="Calibri" w:cs="Arial"/>
          <w:color w:val="000000" w:themeColor="text1"/>
          <w:lang w:val="en-US"/>
        </w:rPr>
        <w:t>: 3</w:t>
      </w:r>
      <w:r w:rsidR="003C4C18">
        <w:rPr>
          <w:rFonts w:ascii="Calibri" w:eastAsia="Times New Roman" w:hAnsi="Calibri" w:cs="Arial"/>
          <w:color w:val="000000" w:themeColor="text1"/>
          <w:lang w:val="en-US"/>
        </w:rPr>
        <w:t>56</w:t>
      </w:r>
      <w:r w:rsidR="004F2394" w:rsidRPr="00537128">
        <w:rPr>
          <w:rFonts w:ascii="Calibri" w:eastAsia="Times New Roman" w:hAnsi="Calibri" w:cs="Arial"/>
          <w:color w:val="000000" w:themeColor="text1"/>
          <w:lang w:val="en-US"/>
        </w:rPr>
        <w:t xml:space="preserve"> </w:t>
      </w:r>
      <w:r w:rsidRPr="00537128">
        <w:rPr>
          <w:rFonts w:ascii="Calibri" w:eastAsia="Times New Roman" w:hAnsi="Calibri" w:cs="Arial"/>
          <w:color w:val="000000" w:themeColor="text1"/>
          <w:lang w:val="en-US"/>
        </w:rPr>
        <w:t>employees).</w:t>
      </w:r>
    </w:p>
    <w:p w14:paraId="0422C68E" w14:textId="77777777" w:rsidR="00D71142" w:rsidRPr="00537128" w:rsidRDefault="00D71142" w:rsidP="00D71142">
      <w:pPr>
        <w:keepNext/>
        <w:spacing w:after="0" w:line="240" w:lineRule="auto"/>
        <w:jc w:val="both"/>
        <w:rPr>
          <w:rFonts w:ascii="Calibri" w:eastAsia="Times New Roman" w:hAnsi="Calibri" w:cs="Arial"/>
          <w:color w:val="000000" w:themeColor="text1"/>
          <w:lang w:val="en-US"/>
        </w:rPr>
      </w:pPr>
    </w:p>
    <w:p w14:paraId="4527F9FF" w14:textId="77777777" w:rsidR="00D71142" w:rsidRPr="00537128" w:rsidRDefault="00D71142" w:rsidP="00652829">
      <w:pPr>
        <w:widowControl w:val="0"/>
        <w:spacing w:after="0" w:line="240" w:lineRule="auto"/>
        <w:jc w:val="both"/>
        <w:rPr>
          <w:rFonts w:ascii="Calibri" w:eastAsia="Times New Roman" w:hAnsi="Calibri" w:cs="Arial"/>
          <w:i/>
          <w:color w:val="000000" w:themeColor="text1"/>
          <w:lang w:val="en-US"/>
        </w:rPr>
      </w:pPr>
      <w:r w:rsidRPr="00537128">
        <w:rPr>
          <w:rFonts w:ascii="Calibri" w:eastAsia="Times New Roman" w:hAnsi="Calibri" w:cs="Arial"/>
          <w:i/>
          <w:color w:val="000000" w:themeColor="text1"/>
          <w:lang w:val="en-US"/>
        </w:rPr>
        <w:t xml:space="preserve">Audit Committee </w:t>
      </w:r>
    </w:p>
    <w:p w14:paraId="3B1155F5" w14:textId="45541486" w:rsidR="00A324EC" w:rsidRPr="00F649B5" w:rsidRDefault="00A324EC" w:rsidP="00A324EC">
      <w:pPr>
        <w:jc w:val="both"/>
        <w:rPr>
          <w:rFonts w:ascii="Calibri" w:eastAsia="Calibri" w:hAnsi="Calibri"/>
          <w:lang w:eastAsia="hr-HR"/>
        </w:rPr>
      </w:pPr>
      <w:r w:rsidRPr="00976B46">
        <w:rPr>
          <w:rFonts w:ascii="Calibri" w:hAnsi="Calibri" w:cs="Arial"/>
        </w:rPr>
        <w:t xml:space="preserve">As of 31 </w:t>
      </w:r>
      <w:r>
        <w:rPr>
          <w:rFonts w:ascii="Calibri" w:hAnsi="Calibri" w:cs="Arial"/>
        </w:rPr>
        <w:t>March</w:t>
      </w:r>
      <w:r w:rsidRPr="00976B46">
        <w:rPr>
          <w:rFonts w:ascii="Calibri" w:hAnsi="Calibri" w:cs="Arial"/>
        </w:rPr>
        <w:t xml:space="preserve"> </w:t>
      </w:r>
      <w:r w:rsidRPr="00394284">
        <w:rPr>
          <w:rFonts w:ascii="Calibri" w:hAnsi="Calibri" w:cs="Arial"/>
        </w:rPr>
        <w:t>20</w:t>
      </w:r>
      <w:r>
        <w:rPr>
          <w:rFonts w:ascii="Calibri" w:hAnsi="Calibri" w:cs="Arial"/>
        </w:rPr>
        <w:t>22</w:t>
      </w:r>
      <w:r w:rsidRPr="00F649B5">
        <w:rPr>
          <w:rFonts w:ascii="Calibri" w:eastAsia="Calibri" w:hAnsi="Calibri"/>
          <w:lang w:eastAsia="hr-HR"/>
        </w:rPr>
        <w:t xml:space="preserve">, </w:t>
      </w:r>
      <w:r w:rsidRPr="00F649B5">
        <w:rPr>
          <w:rFonts w:ascii="Calibri" w:hAnsi="Calibri" w:cs="Arial"/>
        </w:rPr>
        <w:t>members of the</w:t>
      </w:r>
      <w:r w:rsidRPr="00F649B5">
        <w:rPr>
          <w:rFonts w:ascii="Calibri" w:eastAsia="Calibri" w:hAnsi="Calibri"/>
          <w:lang w:eastAsia="hr-HR"/>
        </w:rPr>
        <w:t xml:space="preserve"> Audit Committee </w:t>
      </w:r>
      <w:r w:rsidRPr="00F649B5">
        <w:rPr>
          <w:rFonts w:ascii="Calibri" w:hAnsi="Calibri" w:cs="Arial"/>
        </w:rPr>
        <w:t>were as follows</w:t>
      </w:r>
      <w:r w:rsidRPr="00F649B5">
        <w:rPr>
          <w:rFonts w:ascii="Calibri" w:eastAsia="Calibri" w:hAnsi="Calibri"/>
          <w:lang w:eastAsia="hr-HR"/>
        </w:rPr>
        <w:t>:</w:t>
      </w:r>
    </w:p>
    <w:p w14:paraId="2993BA6A" w14:textId="77777777" w:rsidR="003E372D" w:rsidRPr="00537128" w:rsidRDefault="003E372D" w:rsidP="003E372D">
      <w:pPr>
        <w:numPr>
          <w:ilvl w:val="0"/>
          <w:numId w:val="2"/>
        </w:numPr>
        <w:spacing w:after="0" w:line="240" w:lineRule="auto"/>
        <w:contextualSpacing/>
        <w:jc w:val="both"/>
        <w:rPr>
          <w:rFonts w:eastAsia="Calibri" w:cstheme="minorHAnsi"/>
          <w:color w:val="000000" w:themeColor="text1"/>
          <w:lang w:val="en-US" w:eastAsia="hr-HR"/>
        </w:rPr>
      </w:pPr>
      <w:r w:rsidRPr="00537128">
        <w:rPr>
          <w:rFonts w:eastAsia="Calibri" w:cstheme="minorHAnsi"/>
          <w:lang w:val="en-US" w:eastAsia="hr-HR"/>
        </w:rPr>
        <w:t xml:space="preserve">Prof. DSc. </w:t>
      </w:r>
      <w:proofErr w:type="spellStart"/>
      <w:r w:rsidRPr="00537128">
        <w:rPr>
          <w:rFonts w:eastAsia="Calibri" w:cstheme="minorHAnsi"/>
          <w:lang w:val="en-US" w:eastAsia="hr-HR"/>
        </w:rPr>
        <w:t>Lajoš</w:t>
      </w:r>
      <w:proofErr w:type="spellEnd"/>
      <w:r w:rsidRPr="00537128">
        <w:rPr>
          <w:rFonts w:eastAsia="Calibri" w:cstheme="minorHAnsi"/>
          <w:lang w:val="en-US" w:eastAsia="hr-HR"/>
        </w:rPr>
        <w:t xml:space="preserve"> </w:t>
      </w:r>
      <w:proofErr w:type="spellStart"/>
      <w:r w:rsidRPr="00537128">
        <w:rPr>
          <w:rFonts w:eastAsia="Calibri" w:cstheme="minorHAnsi"/>
          <w:lang w:val="en-US" w:eastAsia="hr-HR"/>
        </w:rPr>
        <w:t>Žager</w:t>
      </w:r>
      <w:proofErr w:type="spellEnd"/>
      <w:r w:rsidRPr="00537128">
        <w:rPr>
          <w:rFonts w:eastAsia="Calibri" w:cstheme="minorHAnsi"/>
          <w:lang w:val="en-US" w:eastAsia="hr-HR"/>
        </w:rPr>
        <w:t xml:space="preserve">, </w:t>
      </w:r>
      <w:r w:rsidRPr="00537128">
        <w:rPr>
          <w:rFonts w:eastAsia="Calibri" w:cstheme="minorHAnsi"/>
          <w:color w:val="000000" w:themeColor="text1"/>
          <w:lang w:val="en-US" w:eastAsia="hr-HR"/>
        </w:rPr>
        <w:t>Faculty of Economics and Business of the University of Zagreb, Chairman of the Audit Committee,</w:t>
      </w:r>
    </w:p>
    <w:p w14:paraId="332924DC" w14:textId="77777777" w:rsidR="003E372D" w:rsidRPr="00537128" w:rsidRDefault="003E372D" w:rsidP="003E372D">
      <w:pPr>
        <w:numPr>
          <w:ilvl w:val="0"/>
          <w:numId w:val="2"/>
        </w:numPr>
        <w:spacing w:after="0" w:line="240" w:lineRule="auto"/>
        <w:contextualSpacing/>
        <w:jc w:val="both"/>
        <w:rPr>
          <w:rFonts w:eastAsia="Calibri" w:cstheme="minorHAnsi"/>
          <w:color w:val="000000" w:themeColor="text1"/>
          <w:lang w:val="en-US" w:eastAsia="hr-HR"/>
        </w:rPr>
      </w:pPr>
      <w:r w:rsidRPr="00537128">
        <w:rPr>
          <w:rFonts w:eastAsia="Calibri" w:cstheme="minorHAnsi"/>
          <w:color w:val="000000" w:themeColor="text1"/>
          <w:lang w:val="en-US" w:eastAsia="hr-HR"/>
        </w:rPr>
        <w:t xml:space="preserve">Predrag </w:t>
      </w:r>
      <w:proofErr w:type="spellStart"/>
      <w:r w:rsidRPr="00537128">
        <w:rPr>
          <w:rFonts w:eastAsia="Calibri" w:cstheme="minorHAnsi"/>
          <w:color w:val="000000" w:themeColor="text1"/>
          <w:lang w:val="en-US" w:eastAsia="hr-HR"/>
        </w:rPr>
        <w:t>Štromar</w:t>
      </w:r>
      <w:proofErr w:type="spellEnd"/>
      <w:r w:rsidRPr="00537128">
        <w:rPr>
          <w:rFonts w:eastAsia="Calibri" w:cstheme="minorHAnsi"/>
          <w:color w:val="000000" w:themeColor="text1"/>
          <w:lang w:val="en-US" w:eastAsia="hr-HR"/>
        </w:rPr>
        <w:t>, Chairman of the Physical Planning and Construction Committee of the Croatian Parliament, member of the Audit Committee.</w:t>
      </w:r>
    </w:p>
    <w:p w14:paraId="57B76DB7" w14:textId="7F58637B" w:rsidR="00652829" w:rsidRDefault="00652829" w:rsidP="00652829">
      <w:pPr>
        <w:spacing w:after="0" w:line="240" w:lineRule="auto"/>
        <w:contextualSpacing/>
        <w:jc w:val="both"/>
        <w:rPr>
          <w:rFonts w:ascii="Calibri" w:eastAsia="Calibri" w:hAnsi="Calibri" w:cs="Times New Roman"/>
          <w:color w:val="000000" w:themeColor="text1"/>
          <w:lang w:val="en-US" w:eastAsia="hr-HR"/>
        </w:rPr>
      </w:pPr>
    </w:p>
    <w:p w14:paraId="7CED5001" w14:textId="77777777" w:rsidR="003C1C3A" w:rsidRPr="00537128" w:rsidRDefault="003C1C3A" w:rsidP="00652829">
      <w:pPr>
        <w:spacing w:after="0" w:line="240" w:lineRule="auto"/>
        <w:contextualSpacing/>
        <w:jc w:val="both"/>
        <w:rPr>
          <w:rFonts w:ascii="Calibri" w:eastAsia="Calibri" w:hAnsi="Calibri" w:cs="Times New Roman"/>
          <w:color w:val="000000" w:themeColor="text1"/>
          <w:lang w:val="en-US" w:eastAsia="hr-HR"/>
        </w:rPr>
      </w:pPr>
    </w:p>
    <w:p w14:paraId="32F8E457" w14:textId="77777777" w:rsidR="006D6A2D" w:rsidRPr="00537128" w:rsidRDefault="006D6A2D" w:rsidP="00652829">
      <w:pPr>
        <w:spacing w:after="0" w:line="240" w:lineRule="auto"/>
        <w:contextualSpacing/>
        <w:jc w:val="both"/>
        <w:rPr>
          <w:rFonts w:ascii="Calibri" w:eastAsia="Calibri" w:hAnsi="Calibri" w:cs="Times New Roman"/>
          <w:color w:val="000000" w:themeColor="text1"/>
          <w:lang w:val="en-US" w:eastAsia="hr-HR"/>
        </w:rPr>
        <w:sectPr w:rsidR="006D6A2D" w:rsidRPr="00537128">
          <w:headerReference w:type="default" r:id="rId29"/>
          <w:pgSz w:w="11906" w:h="16838"/>
          <w:pgMar w:top="1417" w:right="1417" w:bottom="1417" w:left="1417" w:header="708" w:footer="708" w:gutter="0"/>
          <w:cols w:space="708"/>
          <w:docGrid w:linePitch="360"/>
        </w:sectPr>
      </w:pPr>
    </w:p>
    <w:p w14:paraId="115CB5CD" w14:textId="77777777" w:rsidR="00652829" w:rsidRPr="00537128" w:rsidRDefault="00652829" w:rsidP="00652829">
      <w:pPr>
        <w:spacing w:after="0" w:line="240" w:lineRule="auto"/>
        <w:contextualSpacing/>
        <w:jc w:val="both"/>
        <w:rPr>
          <w:rFonts w:ascii="Calibri" w:eastAsia="Calibri" w:hAnsi="Calibri" w:cs="Times New Roman"/>
          <w:color w:val="000000" w:themeColor="text1"/>
          <w:sz w:val="14"/>
          <w:szCs w:val="14"/>
          <w:lang w:val="en-US" w:eastAsia="hr-HR"/>
        </w:rPr>
      </w:pPr>
    </w:p>
    <w:p w14:paraId="2CB724EF" w14:textId="77777777" w:rsidR="00652829" w:rsidRPr="00537128" w:rsidRDefault="00652829" w:rsidP="00652829">
      <w:p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1.</w:t>
      </w:r>
      <w:r w:rsidRPr="00537128">
        <w:rPr>
          <w:rFonts w:ascii="Calibri" w:eastAsia="Times New Roman" w:hAnsi="Calibri" w:cs="Arial"/>
          <w:b/>
          <w:color w:val="000000" w:themeColor="text1"/>
          <w:lang w:val="en-US" w:eastAsia="hr-HR"/>
        </w:rPr>
        <w:tab/>
        <w:t>General information (continued)</w:t>
      </w:r>
    </w:p>
    <w:p w14:paraId="0910A5CA" w14:textId="77777777" w:rsidR="00652829" w:rsidRPr="00537128" w:rsidRDefault="00652829" w:rsidP="00652829">
      <w:pPr>
        <w:spacing w:after="0" w:line="240" w:lineRule="auto"/>
        <w:jc w:val="both"/>
        <w:rPr>
          <w:rFonts w:ascii="Calibri" w:eastAsia="Times New Roman" w:hAnsi="Calibri" w:cs="Arial"/>
          <w:b/>
          <w:color w:val="000000" w:themeColor="text1"/>
          <w:sz w:val="14"/>
          <w:szCs w:val="14"/>
          <w:lang w:val="en-US" w:eastAsia="hr-HR"/>
        </w:rPr>
      </w:pPr>
    </w:p>
    <w:p w14:paraId="5EB4FC5D" w14:textId="77777777" w:rsidR="00652829" w:rsidRPr="00537128" w:rsidRDefault="00652829" w:rsidP="00652829">
      <w:p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 xml:space="preserve">1.2. </w:t>
      </w:r>
      <w:r w:rsidRPr="00537128">
        <w:rPr>
          <w:rFonts w:ascii="Calibri" w:eastAsia="Times New Roman" w:hAnsi="Calibri" w:cs="Arial"/>
          <w:b/>
          <w:color w:val="000000" w:themeColor="text1"/>
          <w:lang w:val="en-US" w:eastAsia="hr-HR"/>
        </w:rPr>
        <w:tab/>
        <w:t>Bank (continued):</w:t>
      </w:r>
    </w:p>
    <w:p w14:paraId="60426EA6" w14:textId="77777777" w:rsidR="00652829" w:rsidRPr="00537128" w:rsidRDefault="00652829" w:rsidP="00652829">
      <w:pPr>
        <w:spacing w:after="0" w:line="240" w:lineRule="auto"/>
        <w:jc w:val="both"/>
        <w:rPr>
          <w:rFonts w:ascii="Calibri" w:eastAsia="Times New Roman" w:hAnsi="Calibri" w:cs="Arial"/>
          <w:b/>
          <w:color w:val="000000" w:themeColor="text1"/>
          <w:sz w:val="14"/>
          <w:szCs w:val="14"/>
          <w:lang w:val="en-US" w:eastAsia="hr-HR"/>
        </w:rPr>
      </w:pPr>
    </w:p>
    <w:p w14:paraId="6F9BC199" w14:textId="77777777" w:rsidR="00652829" w:rsidRPr="00537128" w:rsidRDefault="00652829" w:rsidP="00652829">
      <w:p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1.2.1. Activities of the Bank:</w:t>
      </w:r>
    </w:p>
    <w:p w14:paraId="455F0EFB" w14:textId="77777777" w:rsidR="00652829" w:rsidRPr="00537128" w:rsidRDefault="00652829" w:rsidP="00652829">
      <w:pPr>
        <w:spacing w:after="0" w:line="240" w:lineRule="auto"/>
        <w:jc w:val="both"/>
        <w:rPr>
          <w:rFonts w:ascii="Calibri" w:eastAsia="Times New Roman" w:hAnsi="Calibri" w:cs="Arial"/>
          <w:b/>
          <w:color w:val="000000" w:themeColor="text1"/>
          <w:sz w:val="16"/>
          <w:szCs w:val="16"/>
          <w:lang w:val="en-US" w:eastAsia="hr-HR"/>
        </w:rPr>
      </w:pPr>
    </w:p>
    <w:p w14:paraId="6ACE8B86" w14:textId="77777777" w:rsidR="00652829" w:rsidRPr="00537128" w:rsidRDefault="00652829" w:rsidP="00652829">
      <w:pPr>
        <w:spacing w:after="0" w:line="240" w:lineRule="auto"/>
        <w:jc w:val="both"/>
        <w:rPr>
          <w:rFonts w:ascii="Calibri" w:eastAsia="Times New Roman" w:hAnsi="Calibri" w:cs="Arial"/>
          <w:color w:val="000000" w:themeColor="text1"/>
          <w:lang w:val="en-US" w:eastAsia="hr-HR"/>
        </w:rPr>
      </w:pPr>
      <w:r w:rsidRPr="00537128">
        <w:rPr>
          <w:rFonts w:ascii="Calibri" w:eastAsia="Times New Roman" w:hAnsi="Calibri" w:cs="Arial"/>
          <w:color w:val="000000" w:themeColor="text1"/>
          <w:lang w:val="en-US" w:eastAsia="hr-HR"/>
        </w:rPr>
        <w:t xml:space="preserve">The principal activities of the Bank comprise the following: </w:t>
      </w:r>
    </w:p>
    <w:p w14:paraId="10CB7371" w14:textId="77777777" w:rsidR="00652829" w:rsidRPr="00537128" w:rsidRDefault="00652829" w:rsidP="00E10975">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537128">
        <w:rPr>
          <w:rFonts w:ascii="Calibri" w:eastAsia="Times New Roman" w:hAnsi="Calibri" w:cs="Arial"/>
          <w:color w:val="000000" w:themeColor="text1"/>
          <w:lang w:val="en-US" w:eastAsia="hr-HR"/>
        </w:rPr>
        <w:t xml:space="preserve">financing of reconstruction and development of the Croatian economy, </w:t>
      </w:r>
    </w:p>
    <w:p w14:paraId="68186EEB" w14:textId="77777777" w:rsidR="00652829" w:rsidRPr="00537128" w:rsidRDefault="00652829" w:rsidP="00BF3907">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537128">
        <w:rPr>
          <w:rFonts w:ascii="Calibri" w:eastAsia="Times New Roman" w:hAnsi="Calibri" w:cs="Arial"/>
          <w:color w:val="000000" w:themeColor="text1"/>
          <w:lang w:val="en-US" w:eastAsia="hr-HR"/>
        </w:rPr>
        <w:t xml:space="preserve">financing of infrastructure, </w:t>
      </w:r>
    </w:p>
    <w:p w14:paraId="0C642868" w14:textId="77777777" w:rsidR="00652829" w:rsidRPr="00537128" w:rsidRDefault="00652829" w:rsidP="00BF3907">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537128">
        <w:rPr>
          <w:rFonts w:ascii="Calibri" w:eastAsia="Times New Roman" w:hAnsi="Calibri" w:cs="Arial"/>
          <w:color w:val="000000" w:themeColor="text1"/>
          <w:lang w:val="en-US" w:eastAsia="hr-HR"/>
        </w:rPr>
        <w:t xml:space="preserve">promoting exports, </w:t>
      </w:r>
    </w:p>
    <w:p w14:paraId="796EDAFF" w14:textId="77777777" w:rsidR="00652829" w:rsidRPr="00537128" w:rsidRDefault="00652829" w:rsidP="00BF3907">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537128">
        <w:rPr>
          <w:rFonts w:ascii="Calibri" w:eastAsia="Times New Roman" w:hAnsi="Calibri" w:cs="Arial"/>
          <w:color w:val="000000" w:themeColor="text1"/>
          <w:lang w:val="en-US" w:eastAsia="hr-HR"/>
        </w:rPr>
        <w:t xml:space="preserve">providing support to the development of SMEs, </w:t>
      </w:r>
    </w:p>
    <w:p w14:paraId="4B35497D" w14:textId="77777777" w:rsidR="003E372D" w:rsidRPr="00537128" w:rsidRDefault="00652829" w:rsidP="003E372D">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537128">
        <w:rPr>
          <w:rFonts w:ascii="Calibri" w:eastAsia="Times New Roman" w:hAnsi="Calibri" w:cs="Arial"/>
          <w:color w:val="000000" w:themeColor="text1"/>
          <w:lang w:val="en-US" w:eastAsia="hr-HR"/>
        </w:rPr>
        <w:t xml:space="preserve">promoting environmental protection, and </w:t>
      </w:r>
    </w:p>
    <w:p w14:paraId="06F99C41" w14:textId="33C68066" w:rsidR="00652829" w:rsidRPr="00537128" w:rsidRDefault="00652829" w:rsidP="003E372D">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537128">
        <w:rPr>
          <w:rFonts w:ascii="Calibri" w:eastAsia="Times New Roman" w:hAnsi="Calibri" w:cs="Arial"/>
          <w:color w:val="000000" w:themeColor="text1"/>
          <w:lang w:val="en-US" w:eastAsia="hr-HR"/>
        </w:rPr>
        <w:t>providing domestic goods and services export insurance against non-market risks for and</w:t>
      </w:r>
      <w:r w:rsidR="003E372D" w:rsidRPr="00537128">
        <w:rPr>
          <w:rFonts w:ascii="Calibri" w:eastAsia="Times New Roman" w:hAnsi="Calibri" w:cs="Arial"/>
          <w:color w:val="000000" w:themeColor="text1"/>
          <w:lang w:val="en-US" w:eastAsia="hr-HR"/>
        </w:rPr>
        <w:t xml:space="preserve"> </w:t>
      </w:r>
      <w:r w:rsidRPr="00537128">
        <w:rPr>
          <w:rFonts w:ascii="Calibri" w:eastAsia="Times New Roman" w:hAnsi="Calibri" w:cs="Arial"/>
          <w:color w:val="000000" w:themeColor="text1"/>
          <w:lang w:val="en-US" w:eastAsia="hr-HR"/>
        </w:rPr>
        <w:t xml:space="preserve">on behalf of the Republic of Croatia. </w:t>
      </w:r>
    </w:p>
    <w:p w14:paraId="30EC118D" w14:textId="77777777" w:rsidR="00652829" w:rsidRPr="00537128" w:rsidRDefault="00652829" w:rsidP="00BF3907">
      <w:pPr>
        <w:tabs>
          <w:tab w:val="left" w:pos="-720"/>
        </w:tabs>
        <w:suppressAutoHyphens/>
        <w:spacing w:after="0" w:line="240" w:lineRule="auto"/>
        <w:rPr>
          <w:rFonts w:ascii="Calibri" w:eastAsia="Times New Roman" w:hAnsi="Calibri" w:cs="Calibri"/>
          <w:b/>
          <w:color w:val="000000" w:themeColor="text1"/>
          <w:spacing w:val="-3"/>
          <w:sz w:val="14"/>
          <w:szCs w:val="14"/>
          <w:lang w:val="en-US" w:eastAsia="hr-HR"/>
        </w:rPr>
      </w:pPr>
    </w:p>
    <w:p w14:paraId="6B6A20F1" w14:textId="77777777" w:rsidR="00652829" w:rsidRPr="00537128" w:rsidRDefault="00652829" w:rsidP="00BF3907">
      <w:pPr>
        <w:spacing w:after="0" w:line="240" w:lineRule="auto"/>
        <w:jc w:val="both"/>
        <w:rPr>
          <w:rFonts w:ascii="Calibri" w:eastAsia="Calibri" w:hAnsi="Calibri" w:cs="Times New Roman"/>
          <w:color w:val="000000" w:themeColor="text1"/>
          <w:lang w:val="en-US" w:eastAsia="hr-HR"/>
        </w:rPr>
      </w:pPr>
      <w:r w:rsidRPr="00537128">
        <w:rPr>
          <w:rFonts w:ascii="Calibri" w:eastAsia="Calibri" w:hAnsi="Calibri" w:cs="Times New Roman"/>
          <w:color w:val="000000" w:themeColor="text1"/>
          <w:lang w:val="en-US" w:eastAsia="hr-HR"/>
        </w:rPr>
        <w:t>HBOR may perform other financial activities according to the decisions of the Government of the Republic of Croatia if, in their opinion, it is in the best interest of the Republic of Croatia.</w:t>
      </w:r>
    </w:p>
    <w:p w14:paraId="617EABC5" w14:textId="77777777" w:rsidR="00652829" w:rsidRPr="00537128" w:rsidRDefault="00652829" w:rsidP="00652829">
      <w:pPr>
        <w:spacing w:after="0" w:line="240" w:lineRule="auto"/>
        <w:jc w:val="both"/>
        <w:rPr>
          <w:rFonts w:ascii="Calibri" w:eastAsia="Times New Roman" w:hAnsi="Calibri" w:cs="Times New Roman"/>
          <w:b/>
          <w:bCs/>
          <w:color w:val="000000" w:themeColor="text1"/>
          <w:lang w:val="en-US" w:eastAsia="hr-HR"/>
        </w:rPr>
      </w:pPr>
    </w:p>
    <w:p w14:paraId="539085E6" w14:textId="77777777" w:rsidR="00AE7780" w:rsidRPr="00537128" w:rsidRDefault="00AE7780" w:rsidP="00AE7780">
      <w:pPr>
        <w:spacing w:after="0" w:line="240" w:lineRule="auto"/>
        <w:jc w:val="both"/>
        <w:rPr>
          <w:rFonts w:ascii="Calibri" w:eastAsia="Times New Roman" w:hAnsi="Calibri" w:cs="Times New Roman"/>
          <w:b/>
          <w:bCs/>
          <w:color w:val="000000" w:themeColor="text1"/>
          <w:lang w:val="en-US" w:eastAsia="hr-HR"/>
        </w:rPr>
      </w:pPr>
      <w:r w:rsidRPr="00537128">
        <w:rPr>
          <w:rFonts w:ascii="Calibri" w:eastAsia="Times New Roman" w:hAnsi="Calibri" w:cs="Times New Roman"/>
          <w:b/>
          <w:bCs/>
          <w:color w:val="000000" w:themeColor="text1"/>
          <w:lang w:val="en-US" w:eastAsia="hr-HR"/>
        </w:rPr>
        <w:t>1.3. Impact of COVID-19 on HBOR's business and implementation of proposed measures to assist the</w:t>
      </w:r>
    </w:p>
    <w:p w14:paraId="6A6DA085" w14:textId="77777777" w:rsidR="00AE7780" w:rsidRPr="00537128" w:rsidRDefault="00AE7780" w:rsidP="00BF3907">
      <w:pPr>
        <w:spacing w:after="0" w:line="240" w:lineRule="auto"/>
        <w:jc w:val="both"/>
        <w:rPr>
          <w:rFonts w:ascii="Calibri" w:eastAsia="Times New Roman" w:hAnsi="Calibri" w:cs="Times New Roman"/>
          <w:b/>
          <w:bCs/>
          <w:color w:val="000000" w:themeColor="text1"/>
          <w:lang w:val="en-US" w:eastAsia="hr-HR"/>
        </w:rPr>
      </w:pPr>
      <w:r w:rsidRPr="00537128">
        <w:rPr>
          <w:rFonts w:ascii="Calibri" w:eastAsia="Times New Roman" w:hAnsi="Calibri" w:cs="Times New Roman"/>
          <w:b/>
          <w:bCs/>
          <w:color w:val="000000" w:themeColor="text1"/>
          <w:lang w:val="en-US" w:eastAsia="hr-HR"/>
        </w:rPr>
        <w:t xml:space="preserve">        economy in the coronavirus outbreak </w:t>
      </w:r>
    </w:p>
    <w:p w14:paraId="0AB3F19A" w14:textId="77777777" w:rsidR="00AE7780" w:rsidRPr="00537128" w:rsidRDefault="00AE7780" w:rsidP="00BF3907">
      <w:pPr>
        <w:spacing w:after="0" w:line="240" w:lineRule="auto"/>
        <w:jc w:val="both"/>
        <w:rPr>
          <w:rFonts w:ascii="Calibri" w:eastAsia="Times New Roman" w:hAnsi="Calibri" w:cs="Times New Roman"/>
          <w:color w:val="000000" w:themeColor="text1"/>
          <w:sz w:val="14"/>
          <w:szCs w:val="14"/>
          <w:lang w:val="en-US" w:eastAsia="hr-HR"/>
        </w:rPr>
      </w:pPr>
    </w:p>
    <w:p w14:paraId="427D2CA6" w14:textId="77777777" w:rsidR="00B528D4" w:rsidRPr="00B528D4" w:rsidRDefault="00B528D4" w:rsidP="00B528D4">
      <w:pPr>
        <w:spacing w:after="0" w:line="240" w:lineRule="auto"/>
        <w:jc w:val="both"/>
        <w:rPr>
          <w:rFonts w:ascii="Calibri" w:eastAsia="Times New Roman" w:hAnsi="Calibri" w:cs="Calibri"/>
          <w:color w:val="222222"/>
          <w:lang w:val="en-GB" w:eastAsia="hr-HR"/>
        </w:rPr>
      </w:pPr>
      <w:r w:rsidRPr="00B528D4">
        <w:rPr>
          <w:rFonts w:ascii="Calibri" w:eastAsia="Times New Roman" w:hAnsi="Calibri" w:cs="Calibri"/>
          <w:color w:val="000000"/>
          <w:lang w:val="en-US" w:eastAsia="hr-HR"/>
        </w:rPr>
        <w:t xml:space="preserve">The emergence of COVID-19 (coronavirus) and the global spread, </w:t>
      </w:r>
      <w:r w:rsidRPr="00B528D4">
        <w:rPr>
          <w:rFonts w:ascii="Calibri" w:eastAsia="Times New Roman" w:hAnsi="Calibri" w:cs="Calibri"/>
          <w:color w:val="222222"/>
          <w:lang w:val="en-GB" w:eastAsia="hr-HR"/>
        </w:rPr>
        <w:t>particularly since mid-March 2020, of the COVID-19 pandemic in most parts of the world, have created significant</w:t>
      </w:r>
      <w:r w:rsidRPr="00B528D4">
        <w:rPr>
          <w:rFonts w:ascii="Calibri" w:eastAsia="Times New Roman" w:hAnsi="Calibri" w:cs="Calibri"/>
          <w:color w:val="000000"/>
          <w:lang w:val="en-US" w:eastAsia="hr-HR"/>
        </w:rPr>
        <w:t xml:space="preserve"> immediate challenges and risks and have undoubtedly </w:t>
      </w:r>
      <w:r w:rsidRPr="00B528D4">
        <w:rPr>
          <w:rFonts w:ascii="Calibri" w:eastAsia="Times New Roman" w:hAnsi="Calibri" w:cs="Calibri"/>
          <w:color w:val="000000"/>
          <w:lang w:val="en-GB" w:eastAsia="hr-HR"/>
        </w:rPr>
        <w:t>affected economic activity in the Republic of Croatia</w:t>
      </w:r>
      <w:r w:rsidRPr="00B528D4">
        <w:rPr>
          <w:rFonts w:ascii="Calibri" w:eastAsia="Times New Roman" w:hAnsi="Calibri" w:cs="Calibri"/>
          <w:color w:val="222222"/>
          <w:lang w:val="en-GB" w:eastAsia="hr-HR"/>
        </w:rPr>
        <w:t xml:space="preserve">, including the HBOR Group. </w:t>
      </w:r>
    </w:p>
    <w:p w14:paraId="5726C607" w14:textId="77777777" w:rsidR="00B528D4" w:rsidRPr="00B528D4" w:rsidRDefault="00B528D4" w:rsidP="00B528D4">
      <w:pPr>
        <w:spacing w:after="0" w:line="240" w:lineRule="auto"/>
        <w:jc w:val="both"/>
        <w:rPr>
          <w:rFonts w:ascii="Calibri" w:eastAsia="Times New Roman" w:hAnsi="Calibri" w:cs="Times New Roman"/>
          <w:lang w:val="en-US" w:eastAsia="hr-HR"/>
        </w:rPr>
      </w:pPr>
    </w:p>
    <w:p w14:paraId="0587DFB3" w14:textId="0230908A" w:rsidR="00B528D4" w:rsidRPr="00B528D4" w:rsidRDefault="00B528D4" w:rsidP="00B528D4">
      <w:pPr>
        <w:spacing w:after="0" w:line="240" w:lineRule="auto"/>
        <w:jc w:val="both"/>
        <w:rPr>
          <w:rFonts w:ascii="Calibri" w:eastAsia="Times New Roman" w:hAnsi="Calibri" w:cs="Calibri"/>
        </w:rPr>
      </w:pPr>
      <w:proofErr w:type="gramStart"/>
      <w:r w:rsidRPr="00B528D4">
        <w:rPr>
          <w:rFonts w:ascii="Calibri" w:eastAsia="Times New Roman" w:hAnsi="Calibri" w:cs="Calibri"/>
          <w:lang w:val="en-US"/>
        </w:rPr>
        <w:t>In order to</w:t>
      </w:r>
      <w:proofErr w:type="gramEnd"/>
      <w:r w:rsidRPr="00B528D4">
        <w:rPr>
          <w:rFonts w:ascii="Calibri" w:eastAsia="Times New Roman" w:hAnsi="Calibri" w:cs="Calibri"/>
          <w:lang w:val="en-US"/>
        </w:rPr>
        <w:t xml:space="preserve"> facilitate the overcoming of the crisis situation caused by the epidemic in the Republic of Croatia, the Government of the Republic of Croatia adopted the Proposal of Measures to Assist the Economy Due to the Coronavirus Epidemic in 2020 with an objective of maintaining the level of economic activity, preserving the liquidity of economic entities and, most importantly, preserving the jobs. HBOR, as a development bank, has an extremely important role and was also in those changed conditions extremely active in the implementation of the COVID-19 Measures during 2020, which were continued in 2021</w:t>
      </w:r>
      <w:r w:rsidR="00A01D71">
        <w:rPr>
          <w:rFonts w:ascii="Calibri" w:eastAsia="Times New Roman" w:hAnsi="Calibri" w:cs="Calibri"/>
          <w:lang w:val="en-US"/>
        </w:rPr>
        <w:t>.</w:t>
      </w:r>
    </w:p>
    <w:p w14:paraId="489D91BF" w14:textId="77777777" w:rsidR="00B528D4" w:rsidRPr="00B528D4" w:rsidRDefault="00B528D4" w:rsidP="00B528D4">
      <w:pPr>
        <w:autoSpaceDE w:val="0"/>
        <w:autoSpaceDN w:val="0"/>
        <w:spacing w:after="0" w:line="240" w:lineRule="auto"/>
        <w:jc w:val="both"/>
        <w:rPr>
          <w:rFonts w:ascii="Calibri" w:eastAsia="Times New Roman" w:hAnsi="Calibri" w:cs="Calibri"/>
          <w:lang w:val="en-GB"/>
        </w:rPr>
      </w:pPr>
    </w:p>
    <w:p w14:paraId="5FED1D4F" w14:textId="1C25A373" w:rsidR="00B528D4" w:rsidRPr="00B528D4" w:rsidRDefault="00B528D4" w:rsidP="00B528D4">
      <w:pPr>
        <w:autoSpaceDE w:val="0"/>
        <w:autoSpaceDN w:val="0"/>
        <w:adjustRightInd w:val="0"/>
        <w:spacing w:after="0" w:line="240" w:lineRule="auto"/>
        <w:jc w:val="both"/>
        <w:rPr>
          <w:rFonts w:ascii="Calibri" w:eastAsia="Times New Roman" w:hAnsi="Calibri" w:cs="Calibri"/>
          <w:bCs/>
          <w:color w:val="FF0000"/>
          <w:lang w:val="en-US"/>
        </w:rPr>
      </w:pPr>
      <w:r w:rsidRPr="00B528D4">
        <w:rPr>
          <w:rFonts w:ascii="Calibri" w:eastAsia="Times New Roman" w:hAnsi="Calibri" w:cs="Calibri"/>
          <w:lang w:val="en-GB"/>
        </w:rPr>
        <w:t xml:space="preserve">The HBOR Group and HBOR focused on key risks arising from financial instruments, and </w:t>
      </w:r>
      <w:proofErr w:type="gramStart"/>
      <w:r w:rsidRPr="00B528D4">
        <w:rPr>
          <w:rFonts w:ascii="Calibri" w:eastAsia="Times New Roman" w:hAnsi="Calibri" w:cs="Calibri"/>
          <w:lang w:val="en-GB"/>
        </w:rPr>
        <w:t>in particular on</w:t>
      </w:r>
      <w:proofErr w:type="gramEnd"/>
      <w:r w:rsidRPr="00B528D4">
        <w:rPr>
          <w:rFonts w:ascii="Calibri" w:eastAsia="Times New Roman" w:hAnsi="Calibri" w:cs="Calibri"/>
          <w:lang w:val="en-GB"/>
        </w:rPr>
        <w:t xml:space="preserve"> estimating the amounts arising from expected credit losses. The Bank has applied the EBA and HNB guidelines for all direct clients with whom any deal has been </w:t>
      </w:r>
      <w:proofErr w:type="gramStart"/>
      <w:r w:rsidRPr="00B528D4">
        <w:rPr>
          <w:rFonts w:ascii="Calibri" w:eastAsia="Times New Roman" w:hAnsi="Calibri" w:cs="Calibri"/>
          <w:lang w:val="en-GB"/>
        </w:rPr>
        <w:t>made:</w:t>
      </w:r>
      <w:proofErr w:type="gramEnd"/>
      <w:r w:rsidRPr="00B528D4">
        <w:rPr>
          <w:rFonts w:ascii="Calibri" w:eastAsia="Times New Roman" w:hAnsi="Calibri" w:cs="Calibri"/>
          <w:lang w:val="en-GB"/>
        </w:rPr>
        <w:t xml:space="preserve"> moratorium or rescheduling for the purpose of mitigating the consequences of COVID-19. An obligation has been introduced to assess clients' financial difficulties </w:t>
      </w:r>
      <w:proofErr w:type="gramStart"/>
      <w:r w:rsidRPr="00B528D4">
        <w:rPr>
          <w:rFonts w:ascii="Calibri" w:eastAsia="Times New Roman" w:hAnsi="Calibri" w:cs="Calibri"/>
          <w:lang w:val="en-GB"/>
        </w:rPr>
        <w:t>in order to</w:t>
      </w:r>
      <w:proofErr w:type="gramEnd"/>
      <w:r w:rsidRPr="00B528D4">
        <w:rPr>
          <w:rFonts w:ascii="Calibri" w:eastAsia="Times New Roman" w:hAnsi="Calibri" w:cs="Calibri"/>
          <w:lang w:val="en-GB"/>
        </w:rPr>
        <w:t xml:space="preserve"> determine whether the difficulties caused by the pandemic are of a long-term or short-term nature and whether they have a minimum impact without affecting the client's business significantly.</w:t>
      </w:r>
    </w:p>
    <w:p w14:paraId="268A4022" w14:textId="77777777" w:rsidR="00B528D4" w:rsidRPr="00B528D4" w:rsidRDefault="00B528D4" w:rsidP="00B528D4">
      <w:pPr>
        <w:autoSpaceDE w:val="0"/>
        <w:autoSpaceDN w:val="0"/>
        <w:spacing w:after="0" w:line="240" w:lineRule="auto"/>
        <w:jc w:val="both"/>
        <w:rPr>
          <w:rFonts w:ascii="Calibri" w:eastAsia="Times New Roman" w:hAnsi="Calibri" w:cs="Calibri"/>
          <w:lang w:val="en-GB"/>
        </w:rPr>
      </w:pPr>
    </w:p>
    <w:p w14:paraId="16879188" w14:textId="77777777" w:rsidR="00B528D4" w:rsidRDefault="00B528D4" w:rsidP="00B528D4">
      <w:pPr>
        <w:pStyle w:val="NormalWeb"/>
        <w:spacing w:before="0" w:beforeAutospacing="0" w:after="0" w:afterAutospacing="0" w:line="240" w:lineRule="auto"/>
        <w:jc w:val="both"/>
        <w:rPr>
          <w:rFonts w:ascii="Calibri" w:hAnsi="Calibri" w:cs="Calibri"/>
          <w:color w:val="auto"/>
          <w:sz w:val="22"/>
          <w:szCs w:val="22"/>
          <w:lang w:val="en-US" w:eastAsia="en-US"/>
        </w:rPr>
      </w:pPr>
      <w:r w:rsidRPr="00B528D4">
        <w:rPr>
          <w:rFonts w:ascii="Calibri" w:hAnsi="Calibri" w:cs="Calibri"/>
          <w:color w:val="auto"/>
          <w:sz w:val="22"/>
          <w:szCs w:val="22"/>
          <w:lang w:val="en-GB" w:eastAsia="en-US"/>
        </w:rPr>
        <w:t>Although the long-term impact of the pandemic on the Group’s operations is currently difficult to quantify, the HBOR Group has a high level of capitalisation and liquidity and an appropriate level of provisions for exposures. Therefore, the Management Board of HBOR estimates that the continuity of business of the HBOR Group and HBOR is beyond doubt</w:t>
      </w:r>
      <w:r w:rsidRPr="00B528D4">
        <w:rPr>
          <w:rFonts w:ascii="Calibri" w:hAnsi="Calibri" w:cs="Calibri"/>
          <w:color w:val="auto"/>
          <w:sz w:val="22"/>
          <w:szCs w:val="22"/>
          <w:lang w:val="en-US" w:eastAsia="en-US"/>
        </w:rPr>
        <w:t>.</w:t>
      </w:r>
    </w:p>
    <w:p w14:paraId="576BECF5" w14:textId="77777777" w:rsidR="00B528D4" w:rsidRDefault="00B528D4" w:rsidP="00B528D4">
      <w:pPr>
        <w:pStyle w:val="NormalWeb"/>
        <w:spacing w:before="0" w:beforeAutospacing="0" w:after="0" w:afterAutospacing="0" w:line="240" w:lineRule="auto"/>
        <w:jc w:val="both"/>
        <w:rPr>
          <w:rFonts w:ascii="Calibri" w:hAnsi="Calibri" w:cs="Calibri"/>
          <w:color w:val="auto"/>
          <w:sz w:val="22"/>
          <w:szCs w:val="22"/>
          <w:lang w:val="en-US" w:eastAsia="en-US"/>
        </w:rPr>
      </w:pPr>
    </w:p>
    <w:p w14:paraId="39C27474" w14:textId="77777777" w:rsidR="00B528D4" w:rsidRDefault="00B528D4" w:rsidP="00623585">
      <w:pPr>
        <w:spacing w:after="0" w:line="240" w:lineRule="auto"/>
        <w:ind w:firstLine="708"/>
        <w:jc w:val="both"/>
        <w:rPr>
          <w:rFonts w:ascii="Calibri" w:eastAsia="Times New Roman" w:hAnsi="Calibri" w:cs="Times New Roman"/>
          <w:color w:val="000000" w:themeColor="text1"/>
          <w:lang w:val="en-US" w:eastAsia="hr-HR"/>
        </w:rPr>
        <w:sectPr w:rsidR="00B528D4" w:rsidSect="00C06CDD">
          <w:pgSz w:w="11907" w:h="16840" w:code="9"/>
          <w:pgMar w:top="1418" w:right="992" w:bottom="1134" w:left="1418" w:header="851" w:footer="851" w:gutter="0"/>
          <w:cols w:space="720"/>
          <w:noEndnote/>
        </w:sectPr>
      </w:pPr>
    </w:p>
    <w:p w14:paraId="6658CB59" w14:textId="6F62BB90" w:rsidR="00AE7780" w:rsidRPr="00537128" w:rsidRDefault="00AE7780" w:rsidP="00623585">
      <w:pPr>
        <w:spacing w:after="0" w:line="240" w:lineRule="auto"/>
        <w:ind w:firstLine="708"/>
        <w:jc w:val="both"/>
        <w:rPr>
          <w:rFonts w:ascii="Calibri" w:eastAsia="Times New Roman" w:hAnsi="Calibri" w:cs="Times New Roman"/>
          <w:color w:val="000000" w:themeColor="text1"/>
          <w:lang w:val="en-US" w:eastAsia="hr-HR"/>
        </w:rPr>
      </w:pPr>
    </w:p>
    <w:p w14:paraId="777DF6D0" w14:textId="77777777" w:rsidR="006D6A2D" w:rsidRPr="00537128" w:rsidRDefault="006D6A2D" w:rsidP="006D6A2D">
      <w:p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1.</w:t>
      </w:r>
      <w:r w:rsidRPr="00537128">
        <w:rPr>
          <w:rFonts w:ascii="Calibri" w:eastAsia="Times New Roman" w:hAnsi="Calibri" w:cs="Arial"/>
          <w:b/>
          <w:color w:val="000000" w:themeColor="text1"/>
          <w:lang w:val="en-US" w:eastAsia="hr-HR"/>
        </w:rPr>
        <w:tab/>
        <w:t>General information (continued)</w:t>
      </w:r>
    </w:p>
    <w:p w14:paraId="36726F77" w14:textId="77777777" w:rsidR="006D6A2D" w:rsidRPr="00537128" w:rsidRDefault="006D6A2D" w:rsidP="006D6A2D">
      <w:pPr>
        <w:spacing w:after="0" w:line="240" w:lineRule="auto"/>
        <w:jc w:val="both"/>
        <w:rPr>
          <w:rFonts w:ascii="Calibri" w:eastAsia="Times New Roman" w:hAnsi="Calibri" w:cs="Arial"/>
          <w:b/>
          <w:color w:val="000000" w:themeColor="text1"/>
          <w:lang w:val="en-US" w:eastAsia="hr-HR"/>
        </w:rPr>
      </w:pPr>
    </w:p>
    <w:p w14:paraId="5F2B0344" w14:textId="77777777" w:rsidR="006D6A2D" w:rsidRPr="00537128" w:rsidRDefault="006D6A2D" w:rsidP="006D6A2D">
      <w:pPr>
        <w:spacing w:after="0" w:line="240" w:lineRule="auto"/>
        <w:jc w:val="both"/>
        <w:rPr>
          <w:rFonts w:ascii="Calibri" w:eastAsia="Times New Roman" w:hAnsi="Calibri" w:cs="Times New Roman"/>
          <w:b/>
          <w:bCs/>
          <w:color w:val="000000" w:themeColor="text1"/>
          <w:lang w:val="en-US" w:eastAsia="hr-HR"/>
        </w:rPr>
      </w:pPr>
      <w:r w:rsidRPr="00537128">
        <w:rPr>
          <w:rFonts w:ascii="Calibri" w:eastAsia="Times New Roman" w:hAnsi="Calibri" w:cs="Times New Roman"/>
          <w:b/>
          <w:bCs/>
          <w:color w:val="000000" w:themeColor="text1"/>
          <w:lang w:val="en-US" w:eastAsia="hr-HR"/>
        </w:rPr>
        <w:t>1.3. Impact of COVID-19 on HBOR's business and implementation of proposed measures to assist the</w:t>
      </w:r>
    </w:p>
    <w:p w14:paraId="10293C25" w14:textId="77777777" w:rsidR="006D6A2D" w:rsidRPr="00537128" w:rsidRDefault="006D6A2D" w:rsidP="006D6A2D">
      <w:pPr>
        <w:spacing w:after="0" w:line="240" w:lineRule="auto"/>
        <w:jc w:val="both"/>
        <w:rPr>
          <w:rFonts w:ascii="Calibri" w:eastAsia="Times New Roman" w:hAnsi="Calibri" w:cs="Times New Roman"/>
          <w:b/>
          <w:bCs/>
          <w:color w:val="000000" w:themeColor="text1"/>
          <w:lang w:val="en-US" w:eastAsia="hr-HR"/>
        </w:rPr>
      </w:pPr>
      <w:r w:rsidRPr="00537128">
        <w:rPr>
          <w:rFonts w:ascii="Calibri" w:eastAsia="Times New Roman" w:hAnsi="Calibri" w:cs="Times New Roman"/>
          <w:b/>
          <w:bCs/>
          <w:color w:val="000000" w:themeColor="text1"/>
          <w:lang w:val="en-US" w:eastAsia="hr-HR"/>
        </w:rPr>
        <w:t xml:space="preserve">        economy in the coronavirus outbreak (continued)</w:t>
      </w:r>
    </w:p>
    <w:p w14:paraId="4BEECB14" w14:textId="77777777" w:rsidR="00F27A40" w:rsidRDefault="00F27A40" w:rsidP="003E372D">
      <w:pPr>
        <w:autoSpaceDE w:val="0"/>
        <w:autoSpaceDN w:val="0"/>
        <w:jc w:val="both"/>
        <w:rPr>
          <w:rFonts w:eastAsia="Calibri"/>
        </w:rPr>
      </w:pPr>
    </w:p>
    <w:p w14:paraId="6FCCE19E" w14:textId="77777777" w:rsidR="00133FEA" w:rsidRPr="003239B0" w:rsidRDefault="00133FEA" w:rsidP="00133FEA">
      <w:pPr>
        <w:pStyle w:val="NormalWeb"/>
        <w:spacing w:before="0" w:beforeAutospacing="0" w:after="0" w:afterAutospacing="0" w:line="240" w:lineRule="auto"/>
        <w:jc w:val="both"/>
        <w:rPr>
          <w:rFonts w:asciiTheme="minorHAnsi" w:hAnsiTheme="minorHAnsi" w:cstheme="minorHAnsi"/>
          <w:color w:val="000000"/>
          <w:sz w:val="22"/>
          <w:szCs w:val="22"/>
          <w:lang w:val="en"/>
        </w:rPr>
      </w:pPr>
      <w:proofErr w:type="gramStart"/>
      <w:r w:rsidRPr="003239B0">
        <w:rPr>
          <w:rFonts w:asciiTheme="minorHAnsi" w:hAnsiTheme="minorHAnsi" w:cstheme="minorHAnsi"/>
          <w:color w:val="000000"/>
          <w:sz w:val="22"/>
          <w:szCs w:val="22"/>
          <w:lang w:val="en"/>
        </w:rPr>
        <w:t>In order to</w:t>
      </w:r>
      <w:proofErr w:type="gramEnd"/>
      <w:r w:rsidRPr="003239B0">
        <w:rPr>
          <w:rFonts w:asciiTheme="minorHAnsi" w:hAnsiTheme="minorHAnsi" w:cstheme="minorHAnsi"/>
          <w:color w:val="000000"/>
          <w:sz w:val="22"/>
          <w:szCs w:val="22"/>
          <w:lang w:val="en"/>
        </w:rPr>
        <w:t xml:space="preserve"> mitigate the effects of COVID 19, the EBA has made certain recommendations to allow for greater flexibility in the implementation of accounting principles. HBOR </w:t>
      </w:r>
      <w:proofErr w:type="gramStart"/>
      <w:r w:rsidRPr="003239B0">
        <w:rPr>
          <w:rFonts w:asciiTheme="minorHAnsi" w:hAnsiTheme="minorHAnsi" w:cstheme="minorHAnsi"/>
          <w:color w:val="000000"/>
          <w:sz w:val="22"/>
          <w:szCs w:val="22"/>
          <w:lang w:val="en"/>
        </w:rPr>
        <w:t>took into account</w:t>
      </w:r>
      <w:proofErr w:type="gramEnd"/>
      <w:r w:rsidRPr="003239B0">
        <w:rPr>
          <w:rFonts w:asciiTheme="minorHAnsi" w:hAnsiTheme="minorHAnsi" w:cstheme="minorHAnsi"/>
          <w:color w:val="000000"/>
          <w:sz w:val="22"/>
          <w:szCs w:val="22"/>
          <w:lang w:val="en"/>
        </w:rPr>
        <w:t xml:space="preserve"> the above recommendations in the preparation of these financial statements. The impact of the COVID-19 effects on the Bank's and the Group's results is presented in the following notes:</w:t>
      </w:r>
    </w:p>
    <w:p w14:paraId="15E08BDD" w14:textId="788A2211" w:rsidR="003C4C18" w:rsidRPr="005A40C4" w:rsidRDefault="005A40C4" w:rsidP="003C4C18">
      <w:pPr>
        <w:pStyle w:val="NormalWeb"/>
        <w:numPr>
          <w:ilvl w:val="0"/>
          <w:numId w:val="78"/>
        </w:numPr>
        <w:spacing w:before="0" w:beforeAutospacing="0" w:after="0" w:afterAutospacing="0" w:line="240" w:lineRule="auto"/>
        <w:jc w:val="both"/>
        <w:rPr>
          <w:rFonts w:asciiTheme="minorHAnsi" w:hAnsiTheme="minorHAnsi" w:cstheme="minorHAnsi"/>
          <w:color w:val="000000"/>
          <w:sz w:val="22"/>
          <w:szCs w:val="22"/>
          <w:lang w:val="en"/>
        </w:rPr>
      </w:pPr>
      <w:r w:rsidRPr="005A40C4">
        <w:rPr>
          <w:rFonts w:asciiTheme="minorHAnsi" w:hAnsiTheme="minorHAnsi" w:cstheme="minorHAnsi"/>
          <w:color w:val="000000"/>
          <w:sz w:val="22"/>
          <w:szCs w:val="22"/>
          <w:lang w:val="en"/>
        </w:rPr>
        <w:t>8</w:t>
      </w:r>
      <w:r w:rsidR="003C4C18" w:rsidRPr="005A40C4">
        <w:rPr>
          <w:rFonts w:asciiTheme="minorHAnsi" w:hAnsiTheme="minorHAnsi" w:cstheme="minorHAnsi"/>
          <w:color w:val="000000"/>
          <w:sz w:val="22"/>
          <w:szCs w:val="22"/>
          <w:lang w:val="en"/>
        </w:rPr>
        <w:t xml:space="preserve">. Impairment loss and </w:t>
      </w:r>
      <w:proofErr w:type="gramStart"/>
      <w:r w:rsidR="003C4C18" w:rsidRPr="005A40C4">
        <w:rPr>
          <w:rFonts w:asciiTheme="minorHAnsi" w:hAnsiTheme="minorHAnsi" w:cstheme="minorHAnsi"/>
          <w:color w:val="000000"/>
          <w:sz w:val="22"/>
          <w:szCs w:val="22"/>
          <w:lang w:val="en"/>
        </w:rPr>
        <w:t>provisions;</w:t>
      </w:r>
      <w:proofErr w:type="gramEnd"/>
    </w:p>
    <w:p w14:paraId="62626391" w14:textId="60CDE53C" w:rsidR="003C4C18" w:rsidRPr="005A40C4" w:rsidRDefault="005A40C4" w:rsidP="003C4C18">
      <w:pPr>
        <w:pStyle w:val="NormalWeb"/>
        <w:numPr>
          <w:ilvl w:val="0"/>
          <w:numId w:val="78"/>
        </w:numPr>
        <w:spacing w:before="0" w:beforeAutospacing="0" w:after="0" w:afterAutospacing="0" w:line="240" w:lineRule="auto"/>
        <w:jc w:val="both"/>
        <w:rPr>
          <w:rFonts w:asciiTheme="minorHAnsi" w:hAnsiTheme="minorHAnsi" w:cstheme="minorHAnsi"/>
          <w:color w:val="000000"/>
          <w:sz w:val="22"/>
          <w:szCs w:val="22"/>
          <w:lang w:val="en"/>
        </w:rPr>
      </w:pPr>
      <w:r w:rsidRPr="005A40C4">
        <w:rPr>
          <w:rFonts w:asciiTheme="minorHAnsi" w:hAnsiTheme="minorHAnsi" w:cstheme="minorHAnsi"/>
          <w:color w:val="000000"/>
          <w:sz w:val="22"/>
          <w:szCs w:val="22"/>
          <w:lang w:val="en"/>
        </w:rPr>
        <w:t>23</w:t>
      </w:r>
      <w:r w:rsidR="003C4C18" w:rsidRPr="005A40C4">
        <w:rPr>
          <w:rFonts w:asciiTheme="minorHAnsi" w:hAnsiTheme="minorHAnsi" w:cstheme="minorHAnsi"/>
          <w:color w:val="000000"/>
          <w:sz w:val="22"/>
          <w:szCs w:val="22"/>
          <w:lang w:val="en"/>
        </w:rPr>
        <w:t xml:space="preserve">.3. Credit </w:t>
      </w:r>
      <w:proofErr w:type="gramStart"/>
      <w:r w:rsidR="003C4C18" w:rsidRPr="005A40C4">
        <w:rPr>
          <w:rFonts w:asciiTheme="minorHAnsi" w:hAnsiTheme="minorHAnsi" w:cstheme="minorHAnsi"/>
          <w:color w:val="000000"/>
          <w:sz w:val="22"/>
          <w:szCs w:val="22"/>
          <w:lang w:val="en"/>
        </w:rPr>
        <w:t>risk;</w:t>
      </w:r>
      <w:proofErr w:type="gramEnd"/>
    </w:p>
    <w:p w14:paraId="73929A0C" w14:textId="328D03BE" w:rsidR="003C4C18" w:rsidRPr="005A40C4" w:rsidRDefault="005A40C4" w:rsidP="003C4C18">
      <w:pPr>
        <w:pStyle w:val="NormalWeb"/>
        <w:numPr>
          <w:ilvl w:val="0"/>
          <w:numId w:val="78"/>
        </w:numPr>
        <w:spacing w:before="0" w:beforeAutospacing="0" w:after="0" w:afterAutospacing="0" w:line="240" w:lineRule="auto"/>
        <w:jc w:val="both"/>
        <w:rPr>
          <w:rFonts w:asciiTheme="minorHAnsi" w:hAnsiTheme="minorHAnsi" w:cstheme="minorHAnsi"/>
          <w:color w:val="000000"/>
          <w:sz w:val="22"/>
          <w:szCs w:val="22"/>
          <w:lang w:val="en"/>
        </w:rPr>
      </w:pPr>
      <w:r w:rsidRPr="005A40C4">
        <w:rPr>
          <w:rFonts w:asciiTheme="minorHAnsi" w:hAnsiTheme="minorHAnsi" w:cstheme="minorHAnsi"/>
          <w:color w:val="000000"/>
          <w:sz w:val="22"/>
          <w:szCs w:val="22"/>
          <w:lang w:val="en"/>
        </w:rPr>
        <w:t>23</w:t>
      </w:r>
      <w:r w:rsidR="003C4C18" w:rsidRPr="005A40C4">
        <w:rPr>
          <w:rFonts w:asciiTheme="minorHAnsi" w:hAnsiTheme="minorHAnsi" w:cstheme="minorHAnsi"/>
          <w:color w:val="000000"/>
          <w:sz w:val="22"/>
          <w:szCs w:val="22"/>
          <w:lang w:val="en"/>
        </w:rPr>
        <w:t xml:space="preserve">.3.3. Analysis of input for ECL model within the framework of impact of macroeconomic conditions on </w:t>
      </w:r>
      <w:proofErr w:type="gramStart"/>
      <w:r w:rsidR="003C4C18" w:rsidRPr="005A40C4">
        <w:rPr>
          <w:rFonts w:asciiTheme="minorHAnsi" w:hAnsiTheme="minorHAnsi" w:cstheme="minorHAnsi"/>
          <w:color w:val="000000"/>
          <w:sz w:val="22"/>
          <w:szCs w:val="22"/>
          <w:lang w:val="en"/>
        </w:rPr>
        <w:t>PD;</w:t>
      </w:r>
      <w:proofErr w:type="gramEnd"/>
    </w:p>
    <w:p w14:paraId="5A2CBF89" w14:textId="4F23368E" w:rsidR="003C4C18" w:rsidRPr="005A40C4" w:rsidRDefault="005A40C4" w:rsidP="003C4C18">
      <w:pPr>
        <w:pStyle w:val="NormalWeb"/>
        <w:numPr>
          <w:ilvl w:val="0"/>
          <w:numId w:val="78"/>
        </w:numPr>
        <w:spacing w:before="0" w:beforeAutospacing="0" w:after="0" w:afterAutospacing="0" w:line="240" w:lineRule="auto"/>
        <w:jc w:val="both"/>
        <w:rPr>
          <w:rFonts w:asciiTheme="minorHAnsi" w:hAnsiTheme="minorHAnsi" w:cstheme="minorHAnsi"/>
          <w:color w:val="000000"/>
          <w:sz w:val="22"/>
          <w:szCs w:val="22"/>
          <w:lang w:val="en"/>
        </w:rPr>
      </w:pPr>
      <w:r w:rsidRPr="005A40C4">
        <w:rPr>
          <w:rFonts w:asciiTheme="minorHAnsi" w:hAnsiTheme="minorHAnsi" w:cstheme="minorHAnsi"/>
          <w:color w:val="000000"/>
          <w:sz w:val="22"/>
          <w:szCs w:val="22"/>
          <w:lang w:val="en"/>
        </w:rPr>
        <w:t>23</w:t>
      </w:r>
      <w:r w:rsidR="003C4C18" w:rsidRPr="005A40C4">
        <w:rPr>
          <w:rFonts w:asciiTheme="minorHAnsi" w:hAnsiTheme="minorHAnsi" w:cstheme="minorHAnsi"/>
          <w:color w:val="000000"/>
          <w:sz w:val="22"/>
          <w:szCs w:val="22"/>
          <w:lang w:val="en"/>
        </w:rPr>
        <w:t>.3.2.5. Significant increase in credit risk and</w:t>
      </w:r>
    </w:p>
    <w:p w14:paraId="01BCCA4F" w14:textId="7213EDD3" w:rsidR="003C4C18" w:rsidRPr="005A40C4" w:rsidRDefault="005A40C4" w:rsidP="003C4C18">
      <w:pPr>
        <w:pStyle w:val="NormalWeb"/>
        <w:numPr>
          <w:ilvl w:val="0"/>
          <w:numId w:val="78"/>
        </w:numPr>
        <w:spacing w:before="0" w:beforeAutospacing="0" w:after="0" w:afterAutospacing="0" w:line="240" w:lineRule="auto"/>
        <w:jc w:val="both"/>
        <w:rPr>
          <w:rFonts w:asciiTheme="minorHAnsi" w:hAnsiTheme="minorHAnsi" w:cstheme="minorHAnsi"/>
          <w:color w:val="000000"/>
          <w:sz w:val="22"/>
          <w:szCs w:val="22"/>
          <w:lang w:val="en"/>
        </w:rPr>
      </w:pPr>
      <w:r w:rsidRPr="005A40C4">
        <w:rPr>
          <w:rFonts w:asciiTheme="minorHAnsi" w:hAnsiTheme="minorHAnsi" w:cstheme="minorHAnsi"/>
          <w:color w:val="000000"/>
          <w:sz w:val="22"/>
          <w:szCs w:val="22"/>
          <w:lang w:val="en"/>
        </w:rPr>
        <w:t>23.4</w:t>
      </w:r>
      <w:r w:rsidR="003C4C18" w:rsidRPr="005A40C4">
        <w:rPr>
          <w:rFonts w:asciiTheme="minorHAnsi" w:hAnsiTheme="minorHAnsi" w:cstheme="minorHAnsi"/>
          <w:color w:val="000000"/>
          <w:sz w:val="22"/>
          <w:szCs w:val="22"/>
          <w:lang w:val="en"/>
        </w:rPr>
        <w:t>. Liquidity risk.</w:t>
      </w:r>
    </w:p>
    <w:p w14:paraId="42A9DC84" w14:textId="77777777" w:rsidR="003C4C18" w:rsidRPr="003239B0" w:rsidRDefault="003C4C18" w:rsidP="003C4C18">
      <w:pPr>
        <w:spacing w:after="0" w:line="240" w:lineRule="auto"/>
        <w:jc w:val="both"/>
        <w:rPr>
          <w:rFonts w:cstheme="minorHAnsi"/>
          <w:lang w:val="en-GB"/>
        </w:rPr>
      </w:pPr>
    </w:p>
    <w:p w14:paraId="75741D90" w14:textId="77777777" w:rsidR="00A11BB8" w:rsidRPr="00A11BB8" w:rsidRDefault="00A11BB8" w:rsidP="00F42905">
      <w:pPr>
        <w:spacing w:after="0" w:line="240" w:lineRule="auto"/>
        <w:jc w:val="both"/>
        <w:rPr>
          <w:rFonts w:ascii="Times New Roman" w:eastAsia="Times New Roman" w:hAnsi="Times New Roman" w:cs="Times New Roman"/>
          <w:sz w:val="24"/>
          <w:szCs w:val="24"/>
          <w:lang w:val="en-GB"/>
        </w:rPr>
        <w:sectPr w:rsidR="00A11BB8" w:rsidRPr="00A11BB8" w:rsidSect="00C06CDD">
          <w:pgSz w:w="11907" w:h="16840" w:code="9"/>
          <w:pgMar w:top="1418" w:right="992" w:bottom="1134" w:left="1418" w:header="851" w:footer="851" w:gutter="0"/>
          <w:cols w:space="720"/>
          <w:noEndnote/>
        </w:sectPr>
      </w:pPr>
      <w:r w:rsidRPr="00A11BB8">
        <w:rPr>
          <w:rFonts w:ascii="Calibri" w:eastAsia="Times New Roman" w:hAnsi="Calibri" w:cs="Calibri"/>
          <w:lang w:val="en-GB"/>
        </w:rPr>
        <w:t xml:space="preserve">Furthermore, HBOR Group is comprised of HBOR as the parent company and of subsidiary companies: </w:t>
      </w:r>
      <w:proofErr w:type="spellStart"/>
      <w:r w:rsidRPr="00A11BB8">
        <w:rPr>
          <w:rFonts w:ascii="Calibri" w:eastAsia="Times New Roman" w:hAnsi="Calibri" w:cs="Calibri"/>
          <w:lang w:val="en-GB"/>
        </w:rPr>
        <w:t>Hrvatsko</w:t>
      </w:r>
      <w:proofErr w:type="spellEnd"/>
      <w:r w:rsidRPr="00A11BB8">
        <w:rPr>
          <w:rFonts w:ascii="Calibri" w:eastAsia="Times New Roman" w:hAnsi="Calibri" w:cs="Calibri"/>
          <w:lang w:val="en-GB"/>
        </w:rPr>
        <w:t xml:space="preserve"> </w:t>
      </w:r>
      <w:proofErr w:type="spellStart"/>
      <w:r w:rsidRPr="00A11BB8">
        <w:rPr>
          <w:rFonts w:ascii="Calibri" w:eastAsia="Times New Roman" w:hAnsi="Calibri" w:cs="Calibri"/>
          <w:lang w:val="en-GB"/>
        </w:rPr>
        <w:t>kreditno</w:t>
      </w:r>
      <w:proofErr w:type="spellEnd"/>
      <w:r w:rsidRPr="00A11BB8">
        <w:rPr>
          <w:rFonts w:ascii="Calibri" w:eastAsia="Times New Roman" w:hAnsi="Calibri" w:cs="Calibri"/>
          <w:lang w:val="en-GB"/>
        </w:rPr>
        <w:t xml:space="preserve"> </w:t>
      </w:r>
      <w:proofErr w:type="spellStart"/>
      <w:r w:rsidRPr="00A11BB8">
        <w:rPr>
          <w:rFonts w:ascii="Calibri" w:eastAsia="Times New Roman" w:hAnsi="Calibri" w:cs="Calibri"/>
          <w:lang w:val="en-GB"/>
        </w:rPr>
        <w:t>osiguranje</w:t>
      </w:r>
      <w:proofErr w:type="spellEnd"/>
      <w:r w:rsidRPr="00A11BB8">
        <w:rPr>
          <w:rFonts w:ascii="Calibri" w:eastAsia="Times New Roman" w:hAnsi="Calibri" w:cs="Calibri"/>
          <w:lang w:val="en-GB"/>
        </w:rPr>
        <w:t xml:space="preserve"> </w:t>
      </w:r>
      <w:proofErr w:type="spellStart"/>
      <w:r w:rsidRPr="00A11BB8">
        <w:rPr>
          <w:rFonts w:ascii="Calibri" w:eastAsia="Times New Roman" w:hAnsi="Calibri" w:cs="Calibri"/>
          <w:lang w:val="en-GB"/>
        </w:rPr>
        <w:t>d.d.</w:t>
      </w:r>
      <w:proofErr w:type="spellEnd"/>
      <w:r w:rsidRPr="00A11BB8">
        <w:rPr>
          <w:rFonts w:ascii="Calibri" w:eastAsia="Times New Roman" w:hAnsi="Calibri" w:cs="Calibri"/>
          <w:lang w:val="en-GB"/>
        </w:rPr>
        <w:t xml:space="preserve"> (hereinafter: HKO) and </w:t>
      </w:r>
      <w:proofErr w:type="spellStart"/>
      <w:r w:rsidRPr="00A11BB8">
        <w:rPr>
          <w:rFonts w:ascii="Calibri" w:eastAsia="Times New Roman" w:hAnsi="Calibri" w:cs="Calibri"/>
          <w:lang w:val="en-GB"/>
        </w:rPr>
        <w:t>Poslovni</w:t>
      </w:r>
      <w:proofErr w:type="spellEnd"/>
      <w:r w:rsidRPr="00A11BB8">
        <w:rPr>
          <w:rFonts w:ascii="Calibri" w:eastAsia="Times New Roman" w:hAnsi="Calibri" w:cs="Calibri"/>
          <w:lang w:val="en-GB"/>
        </w:rPr>
        <w:t xml:space="preserve"> info </w:t>
      </w:r>
      <w:proofErr w:type="spellStart"/>
      <w:r w:rsidRPr="00A11BB8">
        <w:rPr>
          <w:rFonts w:ascii="Calibri" w:eastAsia="Times New Roman" w:hAnsi="Calibri" w:cs="Calibri"/>
          <w:lang w:val="en-GB"/>
        </w:rPr>
        <w:t>servis</w:t>
      </w:r>
      <w:proofErr w:type="spellEnd"/>
      <w:r w:rsidRPr="00A11BB8">
        <w:rPr>
          <w:rFonts w:ascii="Calibri" w:eastAsia="Times New Roman" w:hAnsi="Calibri" w:cs="Calibri"/>
          <w:lang w:val="en-GB"/>
        </w:rPr>
        <w:t xml:space="preserve"> d.o.o. constituting HKO Group that </w:t>
      </w:r>
      <w:r w:rsidRPr="005A40C4">
        <w:rPr>
          <w:rFonts w:ascii="Calibri" w:eastAsia="Times New Roman" w:hAnsi="Calibri" w:cs="Calibri"/>
          <w:lang w:val="en-GB"/>
        </w:rPr>
        <w:t>represents 0.2%</w:t>
      </w:r>
      <w:r w:rsidRPr="00A11BB8">
        <w:rPr>
          <w:rFonts w:ascii="Calibri" w:eastAsia="Times New Roman" w:hAnsi="Calibri" w:cs="Calibri"/>
          <w:lang w:val="en-GB"/>
        </w:rPr>
        <w:t xml:space="preserve"> of the parent company’s total assets. The Management Board of the subsidiary companies</w:t>
      </w:r>
      <w:r w:rsidRPr="00A11BB8" w:rsidDel="00827531">
        <w:rPr>
          <w:rFonts w:ascii="Calibri" w:eastAsia="Times New Roman" w:hAnsi="Calibri" w:cs="Calibri"/>
          <w:lang w:val="en-GB"/>
        </w:rPr>
        <w:t xml:space="preserve"> </w:t>
      </w:r>
      <w:r w:rsidRPr="00A11BB8">
        <w:rPr>
          <w:rFonts w:ascii="Calibri" w:eastAsia="Times New Roman" w:hAnsi="Calibri" w:cs="Calibri"/>
          <w:lang w:val="en-GB"/>
        </w:rPr>
        <w:t>is taking the necessary measures to reduce the effects of the pandemic.</w:t>
      </w:r>
      <w:r w:rsidRPr="00A11BB8">
        <w:rPr>
          <w:rFonts w:ascii="Times New Roman" w:eastAsia="Times New Roman" w:hAnsi="Times New Roman" w:cs="Times New Roman"/>
          <w:sz w:val="24"/>
          <w:szCs w:val="24"/>
          <w:lang w:val="en-GB"/>
        </w:rPr>
        <w:t xml:space="preserve"> </w:t>
      </w:r>
    </w:p>
    <w:p w14:paraId="4878AE20" w14:textId="77777777" w:rsidR="003E372D" w:rsidRPr="00537128" w:rsidRDefault="003E372D" w:rsidP="00652829">
      <w:pPr>
        <w:spacing w:after="0" w:line="240" w:lineRule="auto"/>
        <w:jc w:val="both"/>
        <w:rPr>
          <w:rFonts w:ascii="Calibri" w:eastAsia="Times New Roman" w:hAnsi="Calibri" w:cs="Times New Roman"/>
          <w:color w:val="000000" w:themeColor="text1"/>
          <w:lang w:val="en-US" w:eastAsia="hr-HR"/>
        </w:rPr>
      </w:pPr>
    </w:p>
    <w:p w14:paraId="37498CFB" w14:textId="77777777" w:rsidR="00652829" w:rsidRPr="00537128" w:rsidRDefault="00652829" w:rsidP="00652829">
      <w:pPr>
        <w:pStyle w:val="ListParagraph"/>
        <w:numPr>
          <w:ilvl w:val="0"/>
          <w:numId w:val="1"/>
        </w:num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Basis of Preparation of the Financial Statements</w:t>
      </w:r>
    </w:p>
    <w:p w14:paraId="1BB255B9" w14:textId="77777777" w:rsidR="00652829" w:rsidRPr="00537128" w:rsidRDefault="00652829" w:rsidP="00652829">
      <w:pPr>
        <w:spacing w:after="0" w:line="240" w:lineRule="auto"/>
        <w:jc w:val="both"/>
        <w:rPr>
          <w:rFonts w:ascii="Calibri" w:eastAsia="Times New Roman" w:hAnsi="Calibri" w:cs="Arial"/>
          <w:b/>
          <w:color w:val="000000" w:themeColor="text1"/>
          <w:lang w:val="en-US" w:eastAsia="hr-HR"/>
        </w:rPr>
      </w:pPr>
    </w:p>
    <w:p w14:paraId="238F5A33" w14:textId="77777777" w:rsidR="00652829" w:rsidRPr="00537128" w:rsidRDefault="00652829" w:rsidP="00652829">
      <w:pPr>
        <w:pStyle w:val="ListParagraph"/>
        <w:numPr>
          <w:ilvl w:val="1"/>
          <w:numId w:val="1"/>
        </w:num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Statement of compliance</w:t>
      </w:r>
    </w:p>
    <w:p w14:paraId="4D840EA6" w14:textId="77777777" w:rsidR="00652829" w:rsidRPr="00537128" w:rsidRDefault="00652829" w:rsidP="00652829">
      <w:pPr>
        <w:spacing w:after="0" w:line="240" w:lineRule="auto"/>
        <w:jc w:val="both"/>
        <w:rPr>
          <w:rFonts w:ascii="Calibri" w:eastAsia="Times New Roman" w:hAnsi="Calibri" w:cs="Arial"/>
          <w:b/>
          <w:color w:val="000000" w:themeColor="text1"/>
          <w:lang w:val="en-US" w:eastAsia="hr-HR"/>
        </w:rPr>
      </w:pPr>
    </w:p>
    <w:p w14:paraId="5E32D204" w14:textId="2DE1C8B6" w:rsidR="00C64457" w:rsidRPr="00537128" w:rsidRDefault="00C64457" w:rsidP="00C64457">
      <w:pPr>
        <w:jc w:val="both"/>
        <w:rPr>
          <w:rFonts w:eastAsia="Times New Roman" w:cs="Arial"/>
          <w:noProof/>
          <w:lang w:val="en-US" w:eastAsia="hr-HR"/>
        </w:rPr>
      </w:pPr>
      <w:r w:rsidRPr="00537128">
        <w:rPr>
          <w:rFonts w:eastAsia="Times New Roman" w:cs="Arial"/>
          <w:noProof/>
          <w:lang w:val="en-US" w:eastAsia="hr-HR"/>
        </w:rPr>
        <w:t xml:space="preserve">The Condensed Interim Financial Statements of the Bank and HBOR Group for the period 1 January to </w:t>
      </w:r>
      <w:r w:rsidR="004F2394" w:rsidRPr="00537128">
        <w:rPr>
          <w:rFonts w:eastAsia="Times New Roman" w:cs="Arial"/>
          <w:noProof/>
          <w:lang w:val="en-US" w:eastAsia="hr-HR"/>
        </w:rPr>
        <w:t>3</w:t>
      </w:r>
      <w:r w:rsidR="003E372D" w:rsidRPr="00537128">
        <w:rPr>
          <w:rFonts w:eastAsia="Times New Roman" w:cs="Arial"/>
          <w:noProof/>
          <w:lang w:val="en-US" w:eastAsia="hr-HR"/>
        </w:rPr>
        <w:t>1</w:t>
      </w:r>
      <w:r w:rsidR="004F2394" w:rsidRPr="00537128">
        <w:rPr>
          <w:rFonts w:eastAsia="Times New Roman" w:cs="Arial"/>
          <w:noProof/>
          <w:lang w:val="en-US" w:eastAsia="hr-HR"/>
        </w:rPr>
        <w:t xml:space="preserve"> </w:t>
      </w:r>
      <w:r w:rsidR="003E372D" w:rsidRPr="00537128">
        <w:rPr>
          <w:rFonts w:eastAsia="Times New Roman" w:cs="Arial"/>
          <w:noProof/>
          <w:lang w:val="en-US" w:eastAsia="hr-HR"/>
        </w:rPr>
        <w:t>March</w:t>
      </w:r>
      <w:r w:rsidRPr="00537128">
        <w:rPr>
          <w:rFonts w:eastAsia="Times New Roman" w:cs="Arial"/>
          <w:noProof/>
          <w:lang w:val="en-US" w:eastAsia="hr-HR"/>
        </w:rPr>
        <w:t xml:space="preserve"> 202</w:t>
      </w:r>
      <w:r w:rsidR="00DD6989">
        <w:rPr>
          <w:rFonts w:eastAsia="Times New Roman" w:cs="Arial"/>
          <w:noProof/>
          <w:lang w:val="en-US" w:eastAsia="hr-HR"/>
        </w:rPr>
        <w:t>2</w:t>
      </w:r>
      <w:r w:rsidRPr="00537128">
        <w:rPr>
          <w:rFonts w:eastAsia="Times New Roman" w:cs="Arial"/>
          <w:noProof/>
          <w:lang w:val="en-US" w:eastAsia="hr-HR"/>
        </w:rPr>
        <w:t xml:space="preserve"> have been prepared in accordance with the International Accounting Standard 34 Interim Financial Reporting. </w:t>
      </w:r>
    </w:p>
    <w:p w14:paraId="5EAFC9E1" w14:textId="6A9DA543" w:rsidR="00C64457" w:rsidRPr="00537128" w:rsidRDefault="00C64457" w:rsidP="00C64457">
      <w:pPr>
        <w:jc w:val="both"/>
        <w:rPr>
          <w:rFonts w:eastAsia="Times New Roman" w:cs="Arial"/>
          <w:noProof/>
          <w:lang w:val="en-US" w:eastAsia="hr-HR"/>
        </w:rPr>
      </w:pPr>
      <w:r w:rsidRPr="00537128">
        <w:rPr>
          <w:rFonts w:eastAsia="Times New Roman" w:cs="Arial"/>
          <w:noProof/>
          <w:lang w:val="en-US" w:eastAsia="hr-HR"/>
        </w:rPr>
        <w:t>The Condensed Interim Financial Statements for the period from 1 January to 3</w:t>
      </w:r>
      <w:r w:rsidR="003E372D" w:rsidRPr="00537128">
        <w:rPr>
          <w:rFonts w:eastAsia="Times New Roman" w:cs="Arial"/>
          <w:noProof/>
          <w:lang w:val="en-US" w:eastAsia="hr-HR"/>
        </w:rPr>
        <w:t>1</w:t>
      </w:r>
      <w:r w:rsidR="004F2394" w:rsidRPr="00537128">
        <w:rPr>
          <w:rFonts w:eastAsia="Times New Roman" w:cs="Arial"/>
          <w:noProof/>
          <w:lang w:val="en-US" w:eastAsia="hr-HR"/>
        </w:rPr>
        <w:t xml:space="preserve"> </w:t>
      </w:r>
      <w:r w:rsidR="003E372D" w:rsidRPr="00537128">
        <w:rPr>
          <w:rFonts w:eastAsia="Times New Roman" w:cs="Arial"/>
          <w:noProof/>
          <w:lang w:val="en-US" w:eastAsia="hr-HR"/>
        </w:rPr>
        <w:t>March</w:t>
      </w:r>
      <w:r w:rsidRPr="00537128">
        <w:rPr>
          <w:rFonts w:eastAsia="Times New Roman" w:cs="Arial"/>
          <w:noProof/>
          <w:lang w:val="en-US" w:eastAsia="hr-HR"/>
        </w:rPr>
        <w:t xml:space="preserve"> 202</w:t>
      </w:r>
      <w:r w:rsidR="00DD6989">
        <w:rPr>
          <w:rFonts w:eastAsia="Times New Roman" w:cs="Arial"/>
          <w:noProof/>
          <w:lang w:val="en-US" w:eastAsia="hr-HR"/>
        </w:rPr>
        <w:t>2</w:t>
      </w:r>
      <w:r w:rsidRPr="00537128">
        <w:rPr>
          <w:rFonts w:eastAsia="Times New Roman" w:cs="Arial"/>
          <w:noProof/>
          <w:lang w:val="en-US" w:eastAsia="hr-HR"/>
        </w:rPr>
        <w:t xml:space="preserve"> do not include all information and disclosures that are required in the annual financial statements and should be read in combination with the annual financial statements of the HBOR Group for the year ended 31 December 20</w:t>
      </w:r>
      <w:r w:rsidR="003E372D" w:rsidRPr="00537128">
        <w:rPr>
          <w:rFonts w:eastAsia="Times New Roman" w:cs="Arial"/>
          <w:noProof/>
          <w:lang w:val="en-US" w:eastAsia="hr-HR"/>
        </w:rPr>
        <w:t>2</w:t>
      </w:r>
      <w:r w:rsidR="00DD6989">
        <w:rPr>
          <w:rFonts w:eastAsia="Times New Roman" w:cs="Arial"/>
          <w:noProof/>
          <w:lang w:val="en-US" w:eastAsia="hr-HR"/>
        </w:rPr>
        <w:t>1</w:t>
      </w:r>
      <w:r w:rsidRPr="00537128">
        <w:rPr>
          <w:rFonts w:eastAsia="Times New Roman" w:cs="Arial"/>
          <w:noProof/>
          <w:lang w:val="en-US" w:eastAsia="hr-HR"/>
        </w:rPr>
        <w:t xml:space="preserve">. </w:t>
      </w:r>
    </w:p>
    <w:p w14:paraId="18E0A232" w14:textId="77777777" w:rsidR="00652829" w:rsidRPr="00537128" w:rsidRDefault="00652829" w:rsidP="00652829">
      <w:pPr>
        <w:pStyle w:val="ListParagraph"/>
        <w:numPr>
          <w:ilvl w:val="1"/>
          <w:numId w:val="1"/>
        </w:num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Measurement</w:t>
      </w:r>
    </w:p>
    <w:p w14:paraId="7CBB0963" w14:textId="77777777" w:rsidR="00652829" w:rsidRPr="00537128" w:rsidRDefault="00652829" w:rsidP="00652829">
      <w:pPr>
        <w:spacing w:after="0" w:line="240" w:lineRule="auto"/>
        <w:jc w:val="both"/>
        <w:rPr>
          <w:rFonts w:ascii="Calibri" w:eastAsia="Times New Roman" w:hAnsi="Calibri" w:cs="Arial"/>
          <w:b/>
          <w:color w:val="000000" w:themeColor="text1"/>
          <w:lang w:val="en-US" w:eastAsia="hr-HR"/>
        </w:rPr>
      </w:pPr>
    </w:p>
    <w:p w14:paraId="7618DEE7" w14:textId="77777777" w:rsidR="003E372D" w:rsidRPr="00537128" w:rsidRDefault="003E372D" w:rsidP="003E372D">
      <w:pPr>
        <w:jc w:val="both"/>
        <w:rPr>
          <w:rFonts w:eastAsia="Times New Roman" w:cs="Arial"/>
          <w:noProof/>
          <w:lang w:val="en-US" w:eastAsia="hr-HR"/>
        </w:rPr>
      </w:pPr>
      <w:r w:rsidRPr="00537128">
        <w:rPr>
          <w:rFonts w:eastAsia="Times New Roman" w:cs="Arial"/>
          <w:noProof/>
          <w:lang w:val="en-US" w:eastAsia="hr-HR"/>
        </w:rPr>
        <w:t>The financial statements are prepared on the fair value basis for financial assets and liabilities at fair value through profit or loss and financial assets at fair value through other comprehensive income. Other financial assets and liabilities, and non-financial assets and liabilities, are stated at amortised or historical cost.</w:t>
      </w:r>
    </w:p>
    <w:p w14:paraId="68EE66A4" w14:textId="77777777" w:rsidR="003E372D" w:rsidRPr="00537128" w:rsidRDefault="003E372D" w:rsidP="003E372D">
      <w:pPr>
        <w:spacing w:after="0"/>
        <w:jc w:val="both"/>
        <w:rPr>
          <w:rFonts w:eastAsia="Times New Roman" w:cs="Arial"/>
          <w:noProof/>
          <w:lang w:val="en-US" w:eastAsia="hr-HR"/>
        </w:rPr>
      </w:pPr>
    </w:p>
    <w:p w14:paraId="404498CA" w14:textId="0012B675" w:rsidR="003E372D" w:rsidRPr="00537128" w:rsidRDefault="003E372D" w:rsidP="003E372D">
      <w:pPr>
        <w:jc w:val="both"/>
        <w:rPr>
          <w:rFonts w:eastAsia="Times New Roman" w:cs="Arial"/>
          <w:noProof/>
          <w:lang w:val="en-US" w:eastAsia="hr-HR"/>
        </w:rPr>
      </w:pPr>
      <w:r w:rsidRPr="00537128">
        <w:rPr>
          <w:rFonts w:eastAsia="Times New Roman" w:cs="Arial"/>
          <w:noProof/>
          <w:lang w:val="en-US" w:eastAsia="hr-HR"/>
        </w:rPr>
        <w:t>The financial statements are prepared on an accrual and a going concern basis.</w:t>
      </w:r>
    </w:p>
    <w:p w14:paraId="165E8E85" w14:textId="77777777" w:rsidR="00896A51" w:rsidRPr="00537128" w:rsidRDefault="00896A51" w:rsidP="003E372D">
      <w:pPr>
        <w:spacing w:after="0"/>
        <w:jc w:val="both"/>
        <w:rPr>
          <w:rFonts w:eastAsia="Times New Roman" w:cs="Arial"/>
          <w:noProof/>
          <w:lang w:val="en-US" w:eastAsia="hr-HR"/>
        </w:rPr>
      </w:pPr>
    </w:p>
    <w:p w14:paraId="448E54A4" w14:textId="77777777" w:rsidR="00896A51" w:rsidRPr="00537128" w:rsidRDefault="00896A51" w:rsidP="00896A51">
      <w:pPr>
        <w:pStyle w:val="ListParagraph"/>
        <w:numPr>
          <w:ilvl w:val="1"/>
          <w:numId w:val="1"/>
        </w:num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Functional and presentation currency</w:t>
      </w:r>
    </w:p>
    <w:p w14:paraId="2351E6A1" w14:textId="77777777" w:rsidR="00896A51" w:rsidRPr="00537128" w:rsidRDefault="00896A51" w:rsidP="00896A51">
      <w:pPr>
        <w:spacing w:after="0" w:line="240" w:lineRule="auto"/>
        <w:jc w:val="both"/>
        <w:rPr>
          <w:rFonts w:ascii="Calibri" w:eastAsia="Calibri" w:hAnsi="Calibri" w:cs="Times New Roman"/>
          <w:color w:val="000000" w:themeColor="text1"/>
          <w:lang w:val="en-US" w:eastAsia="hr-HR"/>
        </w:rPr>
      </w:pPr>
    </w:p>
    <w:p w14:paraId="2B366D63" w14:textId="7DED6993" w:rsidR="003E372D" w:rsidRPr="00537128" w:rsidRDefault="003E372D" w:rsidP="00896A51">
      <w:pPr>
        <w:spacing w:after="0" w:line="240" w:lineRule="auto"/>
        <w:jc w:val="both"/>
        <w:rPr>
          <w:rFonts w:ascii="Calibri" w:eastAsia="Calibri" w:hAnsi="Calibri" w:cs="Times New Roman"/>
          <w:color w:val="000000" w:themeColor="text1"/>
          <w:lang w:val="en-US" w:eastAsia="hr-HR"/>
        </w:rPr>
      </w:pPr>
      <w:r w:rsidRPr="00537128">
        <w:rPr>
          <w:rFonts w:ascii="Calibri" w:eastAsia="Calibri" w:hAnsi="Calibri" w:cs="Times New Roman"/>
          <w:color w:val="000000" w:themeColor="text1"/>
          <w:lang w:val="en-US" w:eastAsia="hr-HR"/>
        </w:rPr>
        <w:t xml:space="preserve">These financial statements of the Bank and the Group are presented in Croatian Kuna (HRK), which is the Bank’s functional currency. All amounts have been rounded to the nearest </w:t>
      </w:r>
      <w:proofErr w:type="spellStart"/>
      <w:r w:rsidRPr="00537128">
        <w:rPr>
          <w:rFonts w:ascii="Calibri" w:eastAsia="Calibri" w:hAnsi="Calibri" w:cs="Times New Roman"/>
          <w:color w:val="000000" w:themeColor="text1"/>
          <w:lang w:val="en-US" w:eastAsia="hr-HR"/>
        </w:rPr>
        <w:t>thousand</w:t>
      </w:r>
      <w:proofErr w:type="spellEnd"/>
      <w:r w:rsidRPr="00537128">
        <w:rPr>
          <w:rFonts w:ascii="Calibri" w:eastAsia="Calibri" w:hAnsi="Calibri" w:cs="Times New Roman"/>
          <w:color w:val="000000" w:themeColor="text1"/>
          <w:lang w:val="en-US" w:eastAsia="hr-HR"/>
        </w:rPr>
        <w:t>, except when otherwise indicated.</w:t>
      </w:r>
    </w:p>
    <w:p w14:paraId="17F8330D" w14:textId="77777777" w:rsidR="003E372D" w:rsidRPr="00537128" w:rsidRDefault="003E372D" w:rsidP="00896A51">
      <w:pPr>
        <w:spacing w:after="0" w:line="240" w:lineRule="auto"/>
        <w:jc w:val="both"/>
        <w:rPr>
          <w:rFonts w:ascii="Calibri" w:eastAsia="Calibri" w:hAnsi="Calibri" w:cs="Times New Roman"/>
          <w:color w:val="000000" w:themeColor="text1"/>
          <w:lang w:val="en-US" w:eastAsia="hr-HR"/>
        </w:rPr>
      </w:pPr>
    </w:p>
    <w:p w14:paraId="2FA66D7E" w14:textId="77777777" w:rsidR="00896A51" w:rsidRPr="00537128" w:rsidRDefault="00896A51" w:rsidP="00896A51">
      <w:pPr>
        <w:pStyle w:val="ListParagraph"/>
        <w:numPr>
          <w:ilvl w:val="0"/>
          <w:numId w:val="1"/>
        </w:num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Use of judgements and estimates</w:t>
      </w:r>
    </w:p>
    <w:p w14:paraId="1EC34EEC" w14:textId="77777777" w:rsidR="00896A51" w:rsidRPr="00537128" w:rsidRDefault="00896A51" w:rsidP="00896A51">
      <w:pPr>
        <w:spacing w:after="0" w:line="240" w:lineRule="auto"/>
        <w:jc w:val="both"/>
        <w:rPr>
          <w:rFonts w:ascii="Calibri" w:eastAsia="Times New Roman" w:hAnsi="Calibri" w:cs="Arial"/>
          <w:b/>
          <w:color w:val="000000" w:themeColor="text1"/>
          <w:lang w:val="en-US" w:eastAsia="hr-HR"/>
        </w:rPr>
      </w:pPr>
    </w:p>
    <w:p w14:paraId="6D9B36B6" w14:textId="77777777" w:rsidR="003E372D" w:rsidRPr="00537128" w:rsidRDefault="003E372D" w:rsidP="00896A51">
      <w:pPr>
        <w:autoSpaceDE w:val="0"/>
        <w:autoSpaceDN w:val="0"/>
        <w:adjustRightInd w:val="0"/>
        <w:spacing w:after="0" w:line="240" w:lineRule="auto"/>
        <w:jc w:val="both"/>
        <w:rPr>
          <w:rFonts w:cstheme="minorHAnsi"/>
          <w:noProof/>
          <w:color w:val="000000" w:themeColor="text1"/>
          <w:lang w:val="en-US"/>
        </w:rPr>
      </w:pPr>
      <w:r w:rsidRPr="00537128">
        <w:rPr>
          <w:rFonts w:cstheme="minorHAnsi"/>
          <w:noProof/>
          <w:color w:val="000000" w:themeColor="text1"/>
          <w:lang w:val="en-US"/>
        </w:rPr>
        <w:t>For the preparation of financial statements in accordance with IFRSs, the Management Board is required to give estimations and make assumptions that influence the reported balances of assets and liabilities and to disclose contingent assets and liabilities at the date of financial statements, and present income and expense for the reporting period. Estimations and related assumptions are based on historical experience and various other factors that are considered to be reasonable in the given circumstances and with available information as of the date of preparation of the financial statements, which together form the basis for estimating the carrying amount of assets and liabilities that cannot be easily identified from other sources. Actual results may differ from these estimations. Estimations and related assumptions are continuously reviewed. Changes in accounting estimates are recognised in the period in which the estimate is changed if the change affects only that period, or in the period of change or future periods if the change affects the current and future periods.</w:t>
      </w:r>
    </w:p>
    <w:p w14:paraId="60B7C81B" w14:textId="77777777" w:rsidR="003E372D" w:rsidRPr="00537128" w:rsidRDefault="003E372D" w:rsidP="00896A51">
      <w:pPr>
        <w:autoSpaceDE w:val="0"/>
        <w:autoSpaceDN w:val="0"/>
        <w:adjustRightInd w:val="0"/>
        <w:spacing w:after="0" w:line="240" w:lineRule="auto"/>
        <w:jc w:val="both"/>
        <w:rPr>
          <w:rFonts w:cstheme="minorHAnsi"/>
          <w:noProof/>
          <w:color w:val="000000" w:themeColor="text1"/>
          <w:lang w:val="en-US"/>
        </w:rPr>
      </w:pPr>
    </w:p>
    <w:p w14:paraId="27E57574" w14:textId="768ED615" w:rsidR="00896A51" w:rsidRPr="00537128" w:rsidRDefault="00896A51" w:rsidP="00896A51">
      <w:pPr>
        <w:autoSpaceDE w:val="0"/>
        <w:autoSpaceDN w:val="0"/>
        <w:adjustRightInd w:val="0"/>
        <w:spacing w:after="0" w:line="240" w:lineRule="auto"/>
        <w:jc w:val="both"/>
        <w:rPr>
          <w:rFonts w:cstheme="minorHAnsi"/>
          <w:color w:val="000000" w:themeColor="text1"/>
          <w:lang w:val="en-US" w:eastAsia="hr-HR"/>
        </w:rPr>
      </w:pPr>
      <w:r w:rsidRPr="00537128">
        <w:rPr>
          <w:rFonts w:cstheme="minorHAnsi"/>
          <w:noProof/>
          <w:color w:val="000000"/>
          <w:lang w:val="en-US"/>
        </w:rPr>
        <w:t>Significant accounting judgements and estimates were the same as those described in the last annual financial statements.</w:t>
      </w:r>
      <w:r w:rsidRPr="00537128" w:rsidDel="00486A1F">
        <w:rPr>
          <w:rFonts w:cstheme="minorHAnsi"/>
          <w:noProof/>
          <w:color w:val="000000" w:themeColor="text1"/>
          <w:lang w:val="en-US"/>
        </w:rPr>
        <w:t xml:space="preserve"> </w:t>
      </w:r>
    </w:p>
    <w:p w14:paraId="77379DD4" w14:textId="77777777" w:rsidR="00896A51" w:rsidRPr="00537128" w:rsidRDefault="00896A51" w:rsidP="00652829">
      <w:pPr>
        <w:spacing w:after="0" w:line="240" w:lineRule="auto"/>
        <w:jc w:val="both"/>
        <w:rPr>
          <w:rFonts w:ascii="Calibri" w:eastAsia="Calibri" w:hAnsi="Calibri" w:cs="Times New Roman"/>
          <w:color w:val="000000" w:themeColor="text1"/>
          <w:lang w:val="en-US" w:eastAsia="hr-HR"/>
        </w:rPr>
      </w:pPr>
    </w:p>
    <w:p w14:paraId="2BAEB977" w14:textId="77777777" w:rsidR="00486A1F" w:rsidRPr="00537128" w:rsidRDefault="00486A1F" w:rsidP="00652829">
      <w:pPr>
        <w:spacing w:after="0" w:line="240" w:lineRule="auto"/>
        <w:jc w:val="both"/>
        <w:rPr>
          <w:rFonts w:ascii="Calibri" w:eastAsia="Calibri" w:hAnsi="Calibri" w:cs="Times New Roman"/>
          <w:color w:val="000000" w:themeColor="text1"/>
          <w:lang w:val="en-US" w:eastAsia="hr-HR"/>
        </w:rPr>
        <w:sectPr w:rsidR="00486A1F" w:rsidRPr="00537128">
          <w:pgSz w:w="11906" w:h="16838"/>
          <w:pgMar w:top="1417" w:right="1417" w:bottom="1417" w:left="1417" w:header="708" w:footer="708" w:gutter="0"/>
          <w:cols w:space="708"/>
          <w:docGrid w:linePitch="360"/>
        </w:sectPr>
      </w:pPr>
    </w:p>
    <w:p w14:paraId="690DCFFD" w14:textId="77777777" w:rsidR="00486A1F" w:rsidRPr="00537128" w:rsidRDefault="00486A1F" w:rsidP="00652829">
      <w:pPr>
        <w:autoSpaceDE w:val="0"/>
        <w:autoSpaceDN w:val="0"/>
        <w:adjustRightInd w:val="0"/>
        <w:spacing w:after="0" w:line="240" w:lineRule="auto"/>
        <w:jc w:val="both"/>
        <w:rPr>
          <w:rFonts w:cstheme="minorHAnsi"/>
          <w:color w:val="000000" w:themeColor="text1"/>
          <w:highlight w:val="yellow"/>
          <w:lang w:val="en-US" w:eastAsia="hr-HR"/>
        </w:rPr>
      </w:pPr>
    </w:p>
    <w:p w14:paraId="51F0FADF" w14:textId="77777777" w:rsidR="00652829" w:rsidRPr="00537128" w:rsidRDefault="00652829" w:rsidP="00652829">
      <w:pPr>
        <w:pStyle w:val="ListParagraph"/>
        <w:numPr>
          <w:ilvl w:val="0"/>
          <w:numId w:val="1"/>
        </w:num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Summary of significant accounting policies</w:t>
      </w:r>
    </w:p>
    <w:p w14:paraId="24D50E50" w14:textId="77777777" w:rsidR="00652829" w:rsidRPr="00537128" w:rsidRDefault="00652829" w:rsidP="00652829">
      <w:pPr>
        <w:autoSpaceDE w:val="0"/>
        <w:autoSpaceDN w:val="0"/>
        <w:adjustRightInd w:val="0"/>
        <w:spacing w:after="0" w:line="240" w:lineRule="auto"/>
        <w:jc w:val="both"/>
        <w:rPr>
          <w:rFonts w:cstheme="minorHAnsi"/>
          <w:color w:val="000000" w:themeColor="text1"/>
          <w:highlight w:val="yellow"/>
          <w:lang w:val="en-US" w:eastAsia="hr-HR"/>
        </w:rPr>
      </w:pPr>
    </w:p>
    <w:p w14:paraId="12B6B4D3" w14:textId="7D7C1448" w:rsidR="005A40C4" w:rsidRDefault="00486A1F" w:rsidP="005A40C4">
      <w:pPr>
        <w:ind w:left="567" w:hanging="567"/>
        <w:jc w:val="both"/>
        <w:rPr>
          <w:rFonts w:ascii="Calibri" w:eastAsia="Calibri" w:hAnsi="Calibri"/>
          <w:b/>
          <w:bCs/>
        </w:rPr>
      </w:pPr>
      <w:r w:rsidRPr="00A1123E">
        <w:rPr>
          <w:b/>
          <w:bCs/>
          <w:noProof/>
          <w:lang w:val="en-US"/>
        </w:rPr>
        <w:t>4.1.    </w:t>
      </w:r>
      <w:r w:rsidR="005A40C4" w:rsidRPr="003F6AB0">
        <w:rPr>
          <w:rFonts w:ascii="Calibri" w:eastAsia="Calibri" w:hAnsi="Calibri"/>
          <w:b/>
          <w:bCs/>
        </w:rPr>
        <w:t xml:space="preserve">Adoption of new and amended International Financial Reporting Standards (“IFRS”) and </w:t>
      </w:r>
      <w:r w:rsidR="005A40C4">
        <w:rPr>
          <w:rFonts w:ascii="Calibri" w:eastAsia="Calibri" w:hAnsi="Calibri"/>
          <w:b/>
          <w:bCs/>
        </w:rPr>
        <w:t xml:space="preserve"> </w:t>
      </w:r>
      <w:r w:rsidR="005A40C4" w:rsidRPr="003F6AB0">
        <w:rPr>
          <w:rFonts w:ascii="Calibri" w:eastAsia="Calibri" w:hAnsi="Calibri"/>
          <w:b/>
          <w:bCs/>
        </w:rPr>
        <w:t>Interpretations</w:t>
      </w:r>
    </w:p>
    <w:p w14:paraId="0A4776D7" w14:textId="4D51F7B6" w:rsidR="003A206C" w:rsidRDefault="003A206C" w:rsidP="003A206C">
      <w:pPr>
        <w:jc w:val="both"/>
        <w:rPr>
          <w:rFonts w:cstheme="minorHAnsi"/>
          <w:b/>
          <w:bCs/>
          <w:i/>
          <w:iCs/>
          <w:color w:val="3C4043"/>
        </w:rPr>
      </w:pPr>
      <w:r w:rsidRPr="000239F2">
        <w:rPr>
          <w:rFonts w:cstheme="minorHAnsi"/>
          <w:b/>
          <w:bCs/>
          <w:i/>
          <w:iCs/>
          <w:color w:val="3C4043"/>
        </w:rPr>
        <w:t xml:space="preserve">First application of new </w:t>
      </w:r>
      <w:r>
        <w:rPr>
          <w:rFonts w:cstheme="minorHAnsi"/>
          <w:b/>
          <w:bCs/>
          <w:i/>
          <w:iCs/>
          <w:color w:val="3C4043"/>
        </w:rPr>
        <w:t xml:space="preserve">and </w:t>
      </w:r>
      <w:r w:rsidRPr="000239F2">
        <w:rPr>
          <w:rFonts w:cstheme="minorHAnsi"/>
          <w:b/>
          <w:bCs/>
          <w:i/>
          <w:iCs/>
          <w:color w:val="3C4043"/>
        </w:rPr>
        <w:t xml:space="preserve">amendments to existing standards </w:t>
      </w:r>
      <w:r>
        <w:rPr>
          <w:rFonts w:cstheme="minorHAnsi"/>
          <w:b/>
          <w:bCs/>
          <w:i/>
          <w:iCs/>
          <w:color w:val="3C4043"/>
        </w:rPr>
        <w:t xml:space="preserve">in force </w:t>
      </w:r>
      <w:r w:rsidRPr="000239F2">
        <w:rPr>
          <w:rFonts w:cstheme="minorHAnsi"/>
          <w:b/>
          <w:bCs/>
          <w:i/>
          <w:iCs/>
          <w:color w:val="3C4043"/>
        </w:rPr>
        <w:t>in the current reporting</w:t>
      </w:r>
      <w:r>
        <w:rPr>
          <w:rFonts w:cstheme="minorHAnsi"/>
          <w:b/>
          <w:bCs/>
          <w:i/>
          <w:iCs/>
          <w:color w:val="3C4043"/>
        </w:rPr>
        <w:t xml:space="preserve"> </w:t>
      </w:r>
      <w:r w:rsidRPr="000239F2">
        <w:rPr>
          <w:rFonts w:cstheme="minorHAnsi"/>
          <w:b/>
          <w:bCs/>
          <w:i/>
          <w:iCs/>
          <w:color w:val="3C4043"/>
        </w:rPr>
        <w:t>period</w:t>
      </w:r>
    </w:p>
    <w:p w14:paraId="21F0376B" w14:textId="39C23D42" w:rsidR="003A206C" w:rsidRDefault="003A206C" w:rsidP="003A206C">
      <w:pPr>
        <w:jc w:val="both"/>
        <w:rPr>
          <w:rFonts w:eastAsia="Calibri" w:cstheme="minorHAnsi"/>
          <w:lang w:eastAsia="hr-HR"/>
        </w:rPr>
      </w:pPr>
      <w:r w:rsidRPr="003A206C">
        <w:rPr>
          <w:rFonts w:cstheme="minorHAnsi"/>
          <w:color w:val="3C4043"/>
          <w:lang w:val="pl-PL"/>
        </w:rPr>
        <w:t>In the current reporting period, the following amendments to existing standards</w:t>
      </w:r>
      <w:r w:rsidRPr="003A206C">
        <w:rPr>
          <w:rFonts w:cstheme="minorHAnsi"/>
          <w:color w:val="3C4043"/>
        </w:rPr>
        <w:t xml:space="preserve"> are in force, published</w:t>
      </w:r>
      <w:r w:rsidRPr="003A206C">
        <w:rPr>
          <w:rFonts w:cstheme="minorHAnsi"/>
          <w:color w:val="3C4043"/>
          <w:lang w:val="pl-PL"/>
        </w:rPr>
        <w:t xml:space="preserve"> by the International Accounting Standards Board (“IASB”) and adopted by the European Union</w:t>
      </w:r>
      <w:r w:rsidRPr="003A206C">
        <w:rPr>
          <w:rFonts w:cstheme="minorHAnsi"/>
          <w:color w:val="3C4043"/>
        </w:rPr>
        <w:t>:</w:t>
      </w:r>
      <w:r w:rsidRPr="003A206C" w:rsidDel="003F6AB0">
        <w:rPr>
          <w:rFonts w:eastAsia="Calibri" w:cstheme="minorHAnsi"/>
          <w:lang w:eastAsia="hr-HR"/>
        </w:rPr>
        <w:t xml:space="preserve"> </w:t>
      </w:r>
    </w:p>
    <w:p w14:paraId="13FC8923" w14:textId="7AC0A0C0" w:rsidR="003A206C" w:rsidRPr="00865CBF" w:rsidRDefault="003A206C" w:rsidP="003A206C">
      <w:pPr>
        <w:tabs>
          <w:tab w:val="left" w:pos="567"/>
        </w:tabs>
        <w:ind w:left="709" w:hanging="142"/>
        <w:jc w:val="both"/>
        <w:rPr>
          <w:rFonts w:eastAsia="Calibri" w:cstheme="minorHAnsi"/>
          <w:lang w:eastAsia="hr-HR"/>
        </w:rPr>
      </w:pPr>
      <w:r>
        <w:rPr>
          <w:rFonts w:cstheme="minorHAnsi"/>
        </w:rPr>
        <w:t xml:space="preserve">- </w:t>
      </w:r>
      <w:r w:rsidRPr="000239F2">
        <w:rPr>
          <w:rFonts w:cstheme="minorHAnsi"/>
        </w:rPr>
        <w:t>Annual Improvements 2018-2020</w:t>
      </w:r>
      <w:r>
        <w:rPr>
          <w:rFonts w:cstheme="minorHAnsi"/>
        </w:rPr>
        <w:t xml:space="preserve"> cycle – (effective for annual periods beginning on or after 1 January 2022);</w:t>
      </w:r>
    </w:p>
    <w:p w14:paraId="5A25CBDF" w14:textId="77777777" w:rsidR="003A206C" w:rsidRDefault="003A206C" w:rsidP="003A206C">
      <w:pPr>
        <w:ind w:left="709" w:hanging="142"/>
        <w:rPr>
          <w:rFonts w:eastAsia="Calibri" w:cstheme="minorHAnsi"/>
          <w:lang w:eastAsia="hr-HR"/>
        </w:rPr>
      </w:pPr>
      <w:r w:rsidRPr="00797229">
        <w:rPr>
          <w:rFonts w:eastAsia="Calibri" w:cstheme="minorHAnsi"/>
          <w:lang w:eastAsia="hr-HR"/>
        </w:rPr>
        <w:t xml:space="preserve">- IAS 37 Provisions, Contingent Liabilities and Contingent Assets (Amendment - Onerous Contracts </w:t>
      </w:r>
      <w:r>
        <w:rPr>
          <w:rFonts w:eastAsia="Calibri" w:cstheme="minorHAnsi"/>
          <w:lang w:eastAsia="hr-HR"/>
        </w:rPr>
        <w:t>–</w:t>
      </w:r>
      <w:r w:rsidRPr="00797229">
        <w:rPr>
          <w:rFonts w:eastAsia="Calibri" w:cstheme="minorHAnsi"/>
          <w:lang w:eastAsia="hr-HR"/>
        </w:rPr>
        <w:t xml:space="preserve"> Co</w:t>
      </w:r>
      <w:r>
        <w:rPr>
          <w:rFonts w:eastAsia="Calibri" w:cstheme="minorHAnsi"/>
          <w:lang w:eastAsia="hr-HR"/>
        </w:rPr>
        <w:t>st of Fulfilling a</w:t>
      </w:r>
      <w:r w:rsidRPr="00797229">
        <w:rPr>
          <w:rFonts w:eastAsia="Calibri" w:cstheme="minorHAnsi"/>
          <w:lang w:eastAsia="hr-HR"/>
        </w:rPr>
        <w:t xml:space="preserve"> Co</w:t>
      </w:r>
      <w:r>
        <w:rPr>
          <w:rFonts w:eastAsia="Calibri" w:cstheme="minorHAnsi"/>
          <w:lang w:eastAsia="hr-HR"/>
        </w:rPr>
        <w:t>ntract</w:t>
      </w:r>
      <w:r w:rsidRPr="00797229">
        <w:rPr>
          <w:rFonts w:eastAsia="Calibri" w:cstheme="minorHAnsi"/>
          <w:lang w:eastAsia="hr-HR"/>
        </w:rPr>
        <w:t xml:space="preserve">): </w:t>
      </w:r>
      <w:r>
        <w:rPr>
          <w:rFonts w:eastAsia="Calibri" w:cstheme="minorHAnsi"/>
          <w:lang w:eastAsia="hr-HR"/>
        </w:rPr>
        <w:t>amending the standard regarding costs a company should include as the cost of fulfilling a contract when assessing whether a contract is onerous (effective for annual periods beginning on or after 1 January 2022);</w:t>
      </w:r>
    </w:p>
    <w:p w14:paraId="770B00C7" w14:textId="77777777" w:rsidR="003A206C" w:rsidRDefault="003A206C" w:rsidP="003A206C">
      <w:pPr>
        <w:ind w:left="709" w:hanging="142"/>
        <w:jc w:val="both"/>
        <w:rPr>
          <w:rFonts w:eastAsia="Calibri" w:cstheme="minorHAnsi"/>
          <w:lang w:eastAsia="hr-HR"/>
        </w:rPr>
      </w:pPr>
      <w:r w:rsidRPr="000239F2">
        <w:rPr>
          <w:rStyle w:val="jlqj4b"/>
          <w:rFonts w:cstheme="minorHAnsi"/>
        </w:rPr>
        <w:t>- IAS</w:t>
      </w:r>
      <w:r>
        <w:rPr>
          <w:rStyle w:val="jlqj4b"/>
          <w:rFonts w:cstheme="minorHAnsi"/>
        </w:rPr>
        <w:t xml:space="preserve"> 16 </w:t>
      </w:r>
      <w:r w:rsidRPr="00BB3AC7">
        <w:rPr>
          <w:rStyle w:val="jlqj4b"/>
          <w:rFonts w:cstheme="minorHAnsi"/>
        </w:rPr>
        <w:t>Property, Plant and Equipment</w:t>
      </w:r>
      <w:r>
        <w:rPr>
          <w:rStyle w:val="jlqj4b"/>
          <w:rFonts w:cstheme="minorHAnsi"/>
        </w:rPr>
        <w:t xml:space="preserve"> (amendment – Proceeds before Intended Use): </w:t>
      </w:r>
      <w:r w:rsidRPr="00BB3AC7">
        <w:rPr>
          <w:rStyle w:val="jlqj4b"/>
          <w:rFonts w:cstheme="minorHAnsi"/>
        </w:rPr>
        <w:t>amends the standard to prohibit deducting from the cost of an item of property, plant and equipment any proceeds from selling items produced while bringing that asset to the location and condition necessary for it to be capable of operating in the manner intended by management. Instead, an entity recognises the proceeds from selling such items, and the cost of producing those items, in profit or loss</w:t>
      </w:r>
      <w:r>
        <w:rPr>
          <w:rStyle w:val="jlqj4b"/>
          <w:rFonts w:cstheme="minorHAnsi"/>
        </w:rPr>
        <w:t xml:space="preserve"> </w:t>
      </w:r>
      <w:r>
        <w:rPr>
          <w:rFonts w:eastAsia="Calibri" w:cstheme="minorHAnsi"/>
          <w:lang w:eastAsia="hr-HR"/>
        </w:rPr>
        <w:t>(effective for annual periods beginning on or after 1 January 2022);</w:t>
      </w:r>
    </w:p>
    <w:p w14:paraId="7C29B92B" w14:textId="7A4A5E42" w:rsidR="003A206C" w:rsidRPr="00404E72" w:rsidRDefault="003A206C" w:rsidP="003A206C">
      <w:pPr>
        <w:ind w:left="709" w:hanging="142"/>
        <w:jc w:val="both"/>
        <w:rPr>
          <w:rFonts w:eastAsia="Calibri" w:cstheme="minorHAnsi"/>
          <w:lang w:eastAsia="hr-HR"/>
        </w:rPr>
      </w:pPr>
      <w:r>
        <w:rPr>
          <w:rFonts w:eastAsia="Calibri" w:cstheme="minorHAnsi"/>
          <w:lang w:eastAsia="hr-HR"/>
        </w:rPr>
        <w:t xml:space="preserve">- IFRS 3 </w:t>
      </w:r>
      <w:r w:rsidRPr="006D7245">
        <w:rPr>
          <w:rFonts w:cstheme="minorHAnsi"/>
          <w:color w:val="000000"/>
        </w:rPr>
        <w:t>Business Combinations</w:t>
      </w:r>
      <w:r>
        <w:rPr>
          <w:rFonts w:cstheme="minorHAnsi"/>
          <w:color w:val="000000"/>
        </w:rPr>
        <w:t xml:space="preserve"> - </w:t>
      </w:r>
      <w:r w:rsidRPr="000239F2">
        <w:rPr>
          <w:rFonts w:cstheme="minorHAnsi"/>
          <w:lang w:eastAsia="hr-HR"/>
        </w:rPr>
        <w:t>Reference to the Conceptual Framework</w:t>
      </w:r>
      <w:r>
        <w:rPr>
          <w:rFonts w:cstheme="minorHAnsi"/>
          <w:lang w:eastAsia="hr-HR"/>
        </w:rPr>
        <w:t xml:space="preserve"> </w:t>
      </w:r>
      <w:r>
        <w:rPr>
          <w:rFonts w:eastAsia="Calibri" w:cstheme="minorHAnsi"/>
          <w:lang w:eastAsia="hr-HR"/>
        </w:rPr>
        <w:t>(effective for annual periods beginning on or after 1 January 2022)</w:t>
      </w:r>
      <w:r w:rsidR="00D0464E">
        <w:rPr>
          <w:rFonts w:eastAsia="Calibri" w:cstheme="minorHAnsi"/>
          <w:lang w:eastAsia="hr-HR"/>
        </w:rPr>
        <w:t>.</w:t>
      </w:r>
    </w:p>
    <w:p w14:paraId="6A60464A" w14:textId="1DF9C91F" w:rsidR="003A206C" w:rsidRDefault="003A206C" w:rsidP="003A206C">
      <w:pPr>
        <w:spacing w:after="0" w:line="240" w:lineRule="auto"/>
        <w:jc w:val="both"/>
        <w:rPr>
          <w:rFonts w:cstheme="minorHAnsi"/>
          <w:color w:val="3C4043"/>
        </w:rPr>
      </w:pPr>
      <w:r w:rsidRPr="00F57BAD">
        <w:rPr>
          <w:rFonts w:cstheme="minorHAnsi"/>
          <w:color w:val="3C4043"/>
        </w:rPr>
        <w:t>The adoption of these amendments to existing standards did not result in significant changes in the Group's financial statements.</w:t>
      </w:r>
    </w:p>
    <w:p w14:paraId="12A57D5C" w14:textId="77777777" w:rsidR="003A206C" w:rsidRPr="00F57BAD" w:rsidRDefault="003A206C" w:rsidP="003A206C">
      <w:pPr>
        <w:spacing w:after="0" w:line="240" w:lineRule="auto"/>
        <w:jc w:val="both"/>
        <w:rPr>
          <w:rFonts w:eastAsia="Calibri" w:cstheme="minorHAnsi"/>
          <w:lang w:eastAsia="hr-HR"/>
        </w:rPr>
      </w:pPr>
    </w:p>
    <w:p w14:paraId="78F53D20" w14:textId="77777777" w:rsidR="003A206C" w:rsidRDefault="003A206C" w:rsidP="003A206C">
      <w:pPr>
        <w:jc w:val="both"/>
        <w:rPr>
          <w:rFonts w:cstheme="minorHAnsi"/>
          <w:b/>
          <w:bCs/>
          <w:i/>
          <w:iCs/>
          <w:color w:val="3C4043"/>
        </w:rPr>
      </w:pPr>
      <w:r w:rsidRPr="000239F2">
        <w:rPr>
          <w:rFonts w:cstheme="minorHAnsi"/>
          <w:b/>
          <w:bCs/>
          <w:i/>
          <w:iCs/>
          <w:color w:val="3C4043"/>
        </w:rPr>
        <w:t>Standards and amendments to existing standards published by the IASB and adopted in the European Union, but not yet in force</w:t>
      </w:r>
    </w:p>
    <w:p w14:paraId="209DEA68" w14:textId="74098BE9" w:rsidR="003A206C" w:rsidRDefault="003A206C" w:rsidP="003A206C">
      <w:pPr>
        <w:spacing w:after="0" w:line="240" w:lineRule="auto"/>
        <w:ind w:left="709" w:hanging="142"/>
        <w:jc w:val="both"/>
        <w:rPr>
          <w:rFonts w:eastAsia="Calibri" w:cstheme="minorHAnsi"/>
          <w:lang w:eastAsia="hr-HR"/>
        </w:rPr>
      </w:pPr>
      <w:r>
        <w:rPr>
          <w:rFonts w:cstheme="minorHAnsi"/>
        </w:rPr>
        <w:t xml:space="preserve">- IAS 1 Presentation of Financial Statements and IFRS Practice Statement 2 (amendment -  Disclosure of Accounting Policies) </w:t>
      </w:r>
      <w:r>
        <w:rPr>
          <w:rFonts w:eastAsia="Calibri" w:cstheme="minorHAnsi"/>
          <w:lang w:eastAsia="hr-HR"/>
        </w:rPr>
        <w:t>(effective for annual periods beginning on or after 1 January 2023);</w:t>
      </w:r>
    </w:p>
    <w:p w14:paraId="4FD2B82E" w14:textId="4AAB12E5" w:rsidR="003A206C" w:rsidRDefault="003A206C" w:rsidP="003A206C">
      <w:pPr>
        <w:spacing w:after="0" w:line="240" w:lineRule="auto"/>
        <w:ind w:left="709" w:hanging="142"/>
        <w:jc w:val="both"/>
        <w:rPr>
          <w:rFonts w:eastAsia="Calibri" w:cstheme="minorHAnsi"/>
          <w:lang w:eastAsia="hr-HR"/>
        </w:rPr>
      </w:pPr>
      <w:r>
        <w:rPr>
          <w:rFonts w:cstheme="minorHAnsi"/>
        </w:rPr>
        <w:t xml:space="preserve">- IAS 8  Accounting Policies – Changes in Accounting Estimates and Errors (amendment – Definition of Accounting Estimates) </w:t>
      </w:r>
      <w:r>
        <w:rPr>
          <w:rFonts w:eastAsia="Calibri" w:cstheme="minorHAnsi"/>
          <w:lang w:eastAsia="hr-HR"/>
        </w:rPr>
        <w:t>(effective for annual periods beginning on or after 1 January 2023).</w:t>
      </w:r>
    </w:p>
    <w:p w14:paraId="1D7922AC" w14:textId="77777777" w:rsidR="00B86BE5" w:rsidRDefault="00B86BE5" w:rsidP="003A206C">
      <w:pPr>
        <w:spacing w:after="0" w:line="240" w:lineRule="auto"/>
        <w:ind w:left="720" w:hanging="153"/>
        <w:jc w:val="both"/>
        <w:rPr>
          <w:rFonts w:cstheme="minorHAnsi"/>
        </w:rPr>
        <w:sectPr w:rsidR="00B86BE5">
          <w:pgSz w:w="11906" w:h="16838"/>
          <w:pgMar w:top="1417" w:right="1417" w:bottom="1417" w:left="1417" w:header="708" w:footer="708" w:gutter="0"/>
          <w:cols w:space="708"/>
          <w:docGrid w:linePitch="360"/>
        </w:sectPr>
      </w:pPr>
    </w:p>
    <w:p w14:paraId="749C7982" w14:textId="6609B532" w:rsidR="003A206C" w:rsidRDefault="003A206C" w:rsidP="003A206C">
      <w:pPr>
        <w:spacing w:after="0" w:line="240" w:lineRule="auto"/>
        <w:ind w:left="720" w:hanging="153"/>
        <w:jc w:val="both"/>
        <w:rPr>
          <w:rFonts w:cstheme="minorHAnsi"/>
        </w:rPr>
      </w:pPr>
    </w:p>
    <w:p w14:paraId="78EDA61D" w14:textId="330D0C15" w:rsidR="00B86BE5" w:rsidRPr="00537128" w:rsidRDefault="00B86BE5" w:rsidP="00B86BE5">
      <w:pPr>
        <w:pStyle w:val="ListParagraph"/>
        <w:numPr>
          <w:ilvl w:val="0"/>
          <w:numId w:val="1"/>
        </w:num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Summary of significant accounting policies</w:t>
      </w:r>
      <w:r>
        <w:rPr>
          <w:rFonts w:ascii="Calibri" w:eastAsia="Times New Roman" w:hAnsi="Calibri" w:cs="Arial"/>
          <w:b/>
          <w:color w:val="000000" w:themeColor="text1"/>
          <w:lang w:val="en-US" w:eastAsia="hr-HR"/>
        </w:rPr>
        <w:t xml:space="preserve"> (continued)</w:t>
      </w:r>
    </w:p>
    <w:p w14:paraId="500A8DDC" w14:textId="77777777" w:rsidR="00B86BE5" w:rsidRPr="00537128" w:rsidRDefault="00B86BE5" w:rsidP="00B86BE5">
      <w:pPr>
        <w:autoSpaceDE w:val="0"/>
        <w:autoSpaceDN w:val="0"/>
        <w:adjustRightInd w:val="0"/>
        <w:spacing w:after="0" w:line="240" w:lineRule="auto"/>
        <w:jc w:val="both"/>
        <w:rPr>
          <w:rFonts w:cstheme="minorHAnsi"/>
          <w:color w:val="000000" w:themeColor="text1"/>
          <w:highlight w:val="yellow"/>
          <w:lang w:val="en-US" w:eastAsia="hr-HR"/>
        </w:rPr>
      </w:pPr>
    </w:p>
    <w:p w14:paraId="3FF11D58" w14:textId="4803E5AF" w:rsidR="00B86BE5" w:rsidRDefault="00B86BE5" w:rsidP="00B86BE5">
      <w:pPr>
        <w:ind w:left="567" w:hanging="567"/>
        <w:jc w:val="both"/>
        <w:rPr>
          <w:rFonts w:ascii="Calibri" w:eastAsia="Calibri" w:hAnsi="Calibri"/>
          <w:b/>
          <w:bCs/>
        </w:rPr>
      </w:pPr>
      <w:r w:rsidRPr="00A1123E">
        <w:rPr>
          <w:b/>
          <w:bCs/>
          <w:noProof/>
          <w:lang w:val="en-US"/>
        </w:rPr>
        <w:t>4.1.    </w:t>
      </w:r>
      <w:r w:rsidRPr="003F6AB0">
        <w:rPr>
          <w:rFonts w:ascii="Calibri" w:eastAsia="Calibri" w:hAnsi="Calibri"/>
          <w:b/>
          <w:bCs/>
        </w:rPr>
        <w:t xml:space="preserve">Adoption of new and amended International Financial Reporting Standards (“IFRS”) and </w:t>
      </w:r>
      <w:r>
        <w:rPr>
          <w:rFonts w:ascii="Calibri" w:eastAsia="Calibri" w:hAnsi="Calibri"/>
          <w:b/>
          <w:bCs/>
        </w:rPr>
        <w:t xml:space="preserve"> </w:t>
      </w:r>
      <w:r w:rsidRPr="003F6AB0">
        <w:rPr>
          <w:rFonts w:ascii="Calibri" w:eastAsia="Calibri" w:hAnsi="Calibri"/>
          <w:b/>
          <w:bCs/>
        </w:rPr>
        <w:t>Interpretations</w:t>
      </w:r>
      <w:r>
        <w:rPr>
          <w:rFonts w:ascii="Calibri" w:eastAsia="Calibri" w:hAnsi="Calibri"/>
          <w:b/>
          <w:bCs/>
        </w:rPr>
        <w:t xml:space="preserve"> (continued)</w:t>
      </w:r>
    </w:p>
    <w:p w14:paraId="6F47F251" w14:textId="77777777" w:rsidR="003A206C" w:rsidRPr="000239F2" w:rsidRDefault="003A206C" w:rsidP="003A206C">
      <w:pPr>
        <w:shd w:val="clear" w:color="auto" w:fill="FFFFFF"/>
        <w:jc w:val="both"/>
        <w:rPr>
          <w:rStyle w:val="jlqj4b"/>
          <w:rFonts w:cstheme="minorHAnsi"/>
          <w:b/>
          <w:bCs/>
          <w:i/>
          <w:iCs/>
          <w:lang w:val="en"/>
        </w:rPr>
      </w:pPr>
      <w:r w:rsidRPr="000239F2">
        <w:rPr>
          <w:rStyle w:val="jlqj4b"/>
          <w:rFonts w:cstheme="minorHAnsi"/>
          <w:b/>
          <w:bCs/>
          <w:i/>
          <w:iCs/>
          <w:lang w:val="en"/>
        </w:rPr>
        <w:t>New standards and amendments to existing standards published by the IASB, but not yet adopted in the European Union</w:t>
      </w:r>
    </w:p>
    <w:p w14:paraId="5672C279" w14:textId="7FBFF20D" w:rsidR="003A206C" w:rsidRDefault="003A206C" w:rsidP="003A206C">
      <w:pPr>
        <w:shd w:val="clear" w:color="auto" w:fill="FFFFFF"/>
        <w:jc w:val="both"/>
        <w:rPr>
          <w:rStyle w:val="jlqj4b"/>
          <w:rFonts w:cstheme="minorHAnsi"/>
        </w:rPr>
      </w:pPr>
      <w:r w:rsidRPr="00404E72">
        <w:rPr>
          <w:rStyle w:val="jlqj4b"/>
          <w:rFonts w:cstheme="minorHAnsi"/>
        </w:rPr>
        <w:t xml:space="preserve">IFRS currently adopted in the European Union do not differ significantly from the regulations adopted by the International Accounting Standards Board (IASB), except for the following new standards and amendments to existing standards, the adoption of which the European Union on 31 </w:t>
      </w:r>
      <w:r w:rsidR="00D23F47">
        <w:rPr>
          <w:rStyle w:val="jlqj4b"/>
          <w:rFonts w:cstheme="minorHAnsi"/>
        </w:rPr>
        <w:t>March</w:t>
      </w:r>
      <w:r w:rsidRPr="00404E72">
        <w:rPr>
          <w:rStyle w:val="jlqj4b"/>
          <w:rFonts w:cstheme="minorHAnsi"/>
        </w:rPr>
        <w:t xml:space="preserve"> 202</w:t>
      </w:r>
      <w:r w:rsidR="00D23F47">
        <w:rPr>
          <w:rStyle w:val="jlqj4b"/>
          <w:rFonts w:cstheme="minorHAnsi"/>
        </w:rPr>
        <w:t>2</w:t>
      </w:r>
      <w:r w:rsidRPr="00404E72">
        <w:rPr>
          <w:rStyle w:val="jlqj4b"/>
          <w:rFonts w:cstheme="minorHAnsi"/>
        </w:rPr>
        <w:t xml:space="preserve"> has not yet decided (</w:t>
      </w:r>
      <w:r>
        <w:rPr>
          <w:rStyle w:val="jlqj4b"/>
          <w:rFonts w:cstheme="minorHAnsi"/>
        </w:rPr>
        <w:t>t</w:t>
      </w:r>
      <w:r w:rsidRPr="00404E72">
        <w:rPr>
          <w:rStyle w:val="jlqj4b"/>
          <w:rFonts w:cstheme="minorHAnsi"/>
        </w:rPr>
        <w:t>he effective dates set out below refer to IFRSs issued by the IASB):</w:t>
      </w:r>
    </w:p>
    <w:p w14:paraId="3AAC8D77" w14:textId="77777777" w:rsidR="00D23F47" w:rsidRPr="000F022E" w:rsidRDefault="00D23F47" w:rsidP="00D23F47">
      <w:pPr>
        <w:pStyle w:val="ListParagraph"/>
        <w:numPr>
          <w:ilvl w:val="0"/>
          <w:numId w:val="93"/>
        </w:numPr>
        <w:spacing w:before="120" w:line="276" w:lineRule="auto"/>
        <w:jc w:val="both"/>
        <w:rPr>
          <w:rFonts w:ascii="Calibri" w:eastAsia="Calibri" w:hAnsi="Calibri" w:cs="Calibri"/>
        </w:rPr>
      </w:pPr>
      <w:r w:rsidRPr="000F022E">
        <w:rPr>
          <w:rFonts w:ascii="Calibri" w:eastAsia="Calibri" w:hAnsi="Calibri" w:cs="Calibri"/>
        </w:rPr>
        <w:t>IFRS 17 Insurance Contracts and amendments to IFRS 17 Insurance Contracts (effective for annual periods beginning on or after 1 January 2023)</w:t>
      </w:r>
    </w:p>
    <w:p w14:paraId="2C77FB11" w14:textId="77777777" w:rsidR="00D23F47" w:rsidRDefault="00D23F47" w:rsidP="00D23F47">
      <w:pPr>
        <w:jc w:val="both"/>
        <w:rPr>
          <w:rFonts w:cstheme="minorHAnsi"/>
          <w:lang w:val="en-GB"/>
        </w:rPr>
      </w:pPr>
      <w:r w:rsidRPr="000239F2">
        <w:t>HBOR Group is preparing to apply IFRS 17 Insurance Contracts, including amendments to IFRS 17 (effective in the EU from 1 January 2023).</w:t>
      </w:r>
      <w:r w:rsidRPr="000239F2">
        <w:rPr>
          <w:rFonts w:cstheme="minorHAnsi"/>
          <w:lang w:val="en-GB"/>
        </w:rPr>
        <w:t>Testing of the application is in progress and a simulation of new calculations of technical reserves and recording scheme has been made to be followed by an update of internal documents related to the standard.</w:t>
      </w:r>
      <w:r>
        <w:rPr>
          <w:rFonts w:cstheme="minorHAnsi"/>
          <w:lang w:val="en-GB"/>
        </w:rPr>
        <w:t xml:space="preserve"> </w:t>
      </w:r>
      <w:r w:rsidRPr="000239F2">
        <w:rPr>
          <w:rFonts w:cstheme="minorHAnsi"/>
          <w:lang w:val="en-GB"/>
        </w:rPr>
        <w:t>The impact of the application will be quantified during 2022.</w:t>
      </w:r>
    </w:p>
    <w:p w14:paraId="79FC2C58" w14:textId="77777777" w:rsidR="00D23F47" w:rsidRPr="000F022E" w:rsidRDefault="00D23F47" w:rsidP="00D23F47">
      <w:pPr>
        <w:spacing w:before="120" w:line="276" w:lineRule="auto"/>
        <w:jc w:val="both"/>
        <w:rPr>
          <w:rFonts w:ascii="Calibri" w:hAnsi="Calibri" w:cs="Calibri"/>
        </w:rPr>
      </w:pPr>
      <w:r w:rsidRPr="000F022E">
        <w:rPr>
          <w:rFonts w:ascii="Calibri" w:hAnsi="Calibri" w:cs="Calibri"/>
        </w:rPr>
        <w:t>Furthermore, the Group expects that the adoption of the following new standards and amendments to existing standards will not lead to significant changes in the Group's financial statements in the period of first application of the standards:</w:t>
      </w:r>
    </w:p>
    <w:p w14:paraId="339BA7C3" w14:textId="694A5F74" w:rsidR="00D23F47" w:rsidRDefault="00D23F47" w:rsidP="00D23F47">
      <w:pPr>
        <w:ind w:left="720" w:hanging="153"/>
        <w:jc w:val="both"/>
        <w:rPr>
          <w:rFonts w:cstheme="minorHAnsi"/>
        </w:rPr>
      </w:pPr>
      <w:r>
        <w:rPr>
          <w:rFonts w:cstheme="minorHAnsi"/>
          <w:lang w:val="en-GB"/>
        </w:rPr>
        <w:t xml:space="preserve">- IAS 1 Presentation of Financial Statements (amendment - </w:t>
      </w:r>
      <w:r w:rsidRPr="000239F2">
        <w:rPr>
          <w:rFonts w:cstheme="minorHAnsi"/>
        </w:rPr>
        <w:t>Classification of Liabilities as Current or Non-current</w:t>
      </w:r>
      <w:proofErr w:type="gramStart"/>
      <w:r>
        <w:rPr>
          <w:rFonts w:cstheme="minorHAnsi"/>
        </w:rPr>
        <w:t>);</w:t>
      </w:r>
      <w:proofErr w:type="gramEnd"/>
    </w:p>
    <w:p w14:paraId="6BA887F6" w14:textId="77777777" w:rsidR="00D23F47" w:rsidRPr="000239F2" w:rsidRDefault="00D23F47" w:rsidP="00D23F47">
      <w:pPr>
        <w:ind w:left="720" w:hanging="153"/>
        <w:jc w:val="both"/>
        <w:rPr>
          <w:rFonts w:cstheme="minorHAnsi"/>
          <w:lang w:val="en-GB"/>
        </w:rPr>
      </w:pPr>
      <w:r>
        <w:rPr>
          <w:rFonts w:cstheme="minorHAnsi"/>
        </w:rPr>
        <w:t>IAS 12 Income Taxes (amendment – Deferred tax related to assets and liabilities arising from a single transaction).</w:t>
      </w:r>
    </w:p>
    <w:p w14:paraId="01B5E8B1" w14:textId="69B989C2" w:rsidR="00D23F47" w:rsidRDefault="00D23F47" w:rsidP="00D23F47">
      <w:pPr>
        <w:jc w:val="both"/>
        <w:rPr>
          <w:rStyle w:val="jlqj4b"/>
          <w:rFonts w:cstheme="minorHAnsi"/>
        </w:rPr>
      </w:pPr>
      <w:r w:rsidRPr="000239F2">
        <w:rPr>
          <w:rStyle w:val="jlqj4b"/>
          <w:rFonts w:cstheme="minorHAnsi"/>
          <w:lang w:val="en"/>
        </w:rPr>
        <w:t>The above changes are effective for annual periods beginning on or after 1 January 202</w:t>
      </w:r>
      <w:r>
        <w:rPr>
          <w:rStyle w:val="jlqj4b"/>
          <w:rFonts w:cstheme="minorHAnsi"/>
          <w:lang w:val="en"/>
        </w:rPr>
        <w:t>3.</w:t>
      </w:r>
    </w:p>
    <w:p w14:paraId="4825DACE" w14:textId="77777777" w:rsidR="003A206C" w:rsidRDefault="003A206C" w:rsidP="003A206C">
      <w:pPr>
        <w:spacing w:after="0" w:line="240" w:lineRule="auto"/>
        <w:ind w:left="720" w:hanging="153"/>
        <w:jc w:val="both"/>
        <w:rPr>
          <w:rFonts w:cstheme="minorHAnsi"/>
        </w:rPr>
      </w:pPr>
    </w:p>
    <w:p w14:paraId="2D496B0C" w14:textId="77777777" w:rsidR="003A206C" w:rsidRPr="00404E72" w:rsidRDefault="003A206C" w:rsidP="003A206C">
      <w:pPr>
        <w:ind w:left="709" w:hanging="142"/>
        <w:jc w:val="both"/>
        <w:rPr>
          <w:rFonts w:eastAsia="Calibri" w:cstheme="minorHAnsi"/>
          <w:lang w:eastAsia="hr-HR"/>
        </w:rPr>
      </w:pPr>
    </w:p>
    <w:p w14:paraId="244D6987" w14:textId="65365E70" w:rsidR="003A206C" w:rsidRDefault="003A206C" w:rsidP="003A206C">
      <w:pPr>
        <w:ind w:left="720" w:hanging="153"/>
        <w:jc w:val="both"/>
        <w:rPr>
          <w:rFonts w:cstheme="minorHAnsi"/>
        </w:rPr>
      </w:pPr>
    </w:p>
    <w:p w14:paraId="41663239" w14:textId="77777777" w:rsidR="00486A1F" w:rsidRPr="00537128" w:rsidRDefault="00486A1F" w:rsidP="00486A1F">
      <w:pPr>
        <w:rPr>
          <w:noProof/>
          <w:lang w:val="en-US"/>
        </w:rPr>
      </w:pPr>
    </w:p>
    <w:p w14:paraId="2F4CF58D" w14:textId="50149A09" w:rsidR="00D555B9" w:rsidRPr="00537128" w:rsidRDefault="00D555B9" w:rsidP="00486A1F">
      <w:pPr>
        <w:rPr>
          <w:noProof/>
          <w:lang w:val="en-US"/>
        </w:rPr>
        <w:sectPr w:rsidR="00D555B9" w:rsidRPr="00537128">
          <w:pgSz w:w="11906" w:h="16838"/>
          <w:pgMar w:top="1417" w:right="1417" w:bottom="1417" w:left="1417" w:header="708" w:footer="708" w:gutter="0"/>
          <w:cols w:space="708"/>
          <w:docGrid w:linePitch="360"/>
        </w:sectPr>
      </w:pPr>
    </w:p>
    <w:p w14:paraId="3674F8B1" w14:textId="77777777" w:rsidR="00652829" w:rsidRPr="00537128" w:rsidRDefault="00652829" w:rsidP="00652829">
      <w:pPr>
        <w:autoSpaceDE w:val="0"/>
        <w:autoSpaceDN w:val="0"/>
        <w:adjustRightInd w:val="0"/>
        <w:spacing w:after="0" w:line="240" w:lineRule="auto"/>
        <w:jc w:val="both"/>
        <w:rPr>
          <w:rFonts w:cstheme="minorHAnsi"/>
          <w:color w:val="000000" w:themeColor="text1"/>
          <w:highlight w:val="yellow"/>
          <w:lang w:val="en-US" w:eastAsia="hr-HR"/>
        </w:rPr>
      </w:pPr>
      <w:bookmarkStart w:id="206" w:name="_Hlk42860989"/>
    </w:p>
    <w:p w14:paraId="4075694E" w14:textId="40246DD7" w:rsidR="00652829" w:rsidRPr="00B86BE5" w:rsidRDefault="00B86BE5" w:rsidP="00B86BE5">
      <w:pPr>
        <w:spacing w:after="0" w:line="240" w:lineRule="auto"/>
        <w:jc w:val="both"/>
        <w:rPr>
          <w:rFonts w:ascii="Calibri" w:eastAsia="Times New Roman" w:hAnsi="Calibri" w:cs="Arial"/>
          <w:b/>
          <w:color w:val="000000" w:themeColor="text1"/>
          <w:lang w:val="en-US" w:eastAsia="hr-HR"/>
        </w:rPr>
      </w:pPr>
      <w:bookmarkStart w:id="207" w:name="F15634947"/>
      <w:bookmarkStart w:id="208" w:name="para_42A_b"/>
      <w:bookmarkEnd w:id="207"/>
      <w:bookmarkEnd w:id="208"/>
      <w:r>
        <w:rPr>
          <w:rFonts w:ascii="Calibri" w:eastAsia="Times New Roman" w:hAnsi="Calibri" w:cs="Arial"/>
          <w:b/>
          <w:color w:val="000000" w:themeColor="text1"/>
          <w:lang w:val="en-US" w:eastAsia="hr-HR"/>
        </w:rPr>
        <w:t xml:space="preserve">5. </w:t>
      </w:r>
      <w:r>
        <w:rPr>
          <w:rFonts w:ascii="Calibri" w:eastAsia="Times New Roman" w:hAnsi="Calibri" w:cs="Arial"/>
          <w:b/>
          <w:color w:val="000000" w:themeColor="text1"/>
          <w:lang w:val="en-US" w:eastAsia="hr-HR"/>
        </w:rPr>
        <w:tab/>
      </w:r>
      <w:r w:rsidR="00652829" w:rsidRPr="00B86BE5">
        <w:rPr>
          <w:rFonts w:ascii="Calibri" w:eastAsia="Times New Roman" w:hAnsi="Calibri" w:cs="Arial"/>
          <w:b/>
          <w:color w:val="000000" w:themeColor="text1"/>
          <w:lang w:val="en-US" w:eastAsia="hr-HR"/>
        </w:rPr>
        <w:t>Interest income calculated using the effective interest method</w:t>
      </w:r>
    </w:p>
    <w:p w14:paraId="7355A85B" w14:textId="77777777" w:rsidR="00652829" w:rsidRPr="00537128" w:rsidRDefault="00652829" w:rsidP="00652829">
      <w:pPr>
        <w:spacing w:after="0" w:line="240" w:lineRule="auto"/>
        <w:rPr>
          <w:rFonts w:ascii="Calibri" w:eastAsia="Times New Roman" w:hAnsi="Calibri" w:cs="Arial"/>
          <w:bCs/>
          <w:color w:val="000000" w:themeColor="text1"/>
          <w:sz w:val="16"/>
          <w:szCs w:val="16"/>
          <w:lang w:val="en-US"/>
        </w:rPr>
      </w:pPr>
    </w:p>
    <w:bookmarkEnd w:id="206"/>
    <w:p w14:paraId="38288ECA" w14:textId="77777777" w:rsidR="00652829" w:rsidRPr="00537128" w:rsidRDefault="00652829" w:rsidP="00D35D5C">
      <w:pPr>
        <w:jc w:val="both"/>
        <w:rPr>
          <w:rFonts w:cstheme="minorHAnsi"/>
          <w:noProof/>
          <w:color w:val="000000" w:themeColor="text1"/>
          <w:lang w:val="en-US" w:eastAsia="hr-HR"/>
        </w:rPr>
      </w:pPr>
      <w:r w:rsidRPr="00537128">
        <w:rPr>
          <w:rFonts w:cstheme="minorHAnsi"/>
          <w:noProof/>
          <w:color w:val="000000" w:themeColor="text1"/>
          <w:lang w:val="en-US" w:eastAsia="hr-HR"/>
        </w:rPr>
        <w:t>Interest income by borrowers:</w:t>
      </w:r>
    </w:p>
    <w:tbl>
      <w:tblPr>
        <w:tblW w:w="5081" w:type="pct"/>
        <w:tblLayout w:type="fixed"/>
        <w:tblLook w:val="0000" w:firstRow="0" w:lastRow="0" w:firstColumn="0" w:lastColumn="0" w:noHBand="0" w:noVBand="0"/>
      </w:tblPr>
      <w:tblGrid>
        <w:gridCol w:w="4008"/>
        <w:gridCol w:w="1304"/>
        <w:gridCol w:w="1305"/>
        <w:gridCol w:w="1304"/>
        <w:gridCol w:w="1298"/>
      </w:tblGrid>
      <w:tr w:rsidR="008537D6" w:rsidRPr="00537128" w14:paraId="58FD629A" w14:textId="77777777" w:rsidTr="009E5940">
        <w:trPr>
          <w:trHeight w:val="221"/>
        </w:trPr>
        <w:tc>
          <w:tcPr>
            <w:tcW w:w="2174" w:type="pct"/>
          </w:tcPr>
          <w:p w14:paraId="056920A0" w14:textId="77777777" w:rsidR="008537D6" w:rsidRPr="00537128" w:rsidRDefault="008537D6" w:rsidP="009E5940">
            <w:pPr>
              <w:tabs>
                <w:tab w:val="left" w:pos="-720"/>
              </w:tabs>
              <w:suppressAutoHyphens/>
              <w:spacing w:after="0" w:line="240" w:lineRule="auto"/>
              <w:ind w:right="4144"/>
              <w:jc w:val="right"/>
              <w:rPr>
                <w:rFonts w:cs="Arial"/>
                <w:noProof/>
                <w:color w:val="000000" w:themeColor="text1"/>
                <w:lang w:val="en-US"/>
              </w:rPr>
            </w:pPr>
          </w:p>
        </w:tc>
        <w:tc>
          <w:tcPr>
            <w:tcW w:w="707" w:type="pct"/>
          </w:tcPr>
          <w:p w14:paraId="2D1556E5" w14:textId="77777777" w:rsidR="008537D6" w:rsidRPr="00537128" w:rsidRDefault="008537D6" w:rsidP="009E5940">
            <w:pPr>
              <w:tabs>
                <w:tab w:val="right" w:pos="1202"/>
              </w:tabs>
              <w:spacing w:after="0" w:line="240" w:lineRule="auto"/>
              <w:jc w:val="right"/>
              <w:outlineLvl w:val="0"/>
              <w:rPr>
                <w:rFonts w:eastAsia="Times New Roman" w:cs="Arial"/>
                <w:b/>
                <w:noProof/>
                <w:color w:val="000000" w:themeColor="text1"/>
                <w:lang w:val="en-US"/>
              </w:rPr>
            </w:pPr>
          </w:p>
        </w:tc>
        <w:tc>
          <w:tcPr>
            <w:tcW w:w="708" w:type="pct"/>
          </w:tcPr>
          <w:p w14:paraId="26B36594" w14:textId="77777777" w:rsidR="008537D6" w:rsidRPr="00537128" w:rsidRDefault="008537D6" w:rsidP="009E5940">
            <w:pPr>
              <w:tabs>
                <w:tab w:val="right" w:pos="1202"/>
              </w:tabs>
              <w:spacing w:after="0" w:line="240" w:lineRule="auto"/>
              <w:jc w:val="right"/>
              <w:outlineLvl w:val="0"/>
              <w:rPr>
                <w:rFonts w:eastAsia="Times New Roman" w:cs="Arial"/>
                <w:b/>
                <w:noProof/>
                <w:color w:val="000000" w:themeColor="text1"/>
                <w:lang w:val="en-US"/>
              </w:rPr>
            </w:pPr>
            <w:bookmarkStart w:id="209" w:name="_Toc4057745"/>
            <w:r w:rsidRPr="00537128">
              <w:rPr>
                <w:rFonts w:eastAsia="Times New Roman" w:cs="Arial"/>
                <w:b/>
                <w:noProof/>
                <w:color w:val="000000" w:themeColor="text1"/>
                <w:lang w:val="en-US"/>
              </w:rPr>
              <w:t>Group</w:t>
            </w:r>
            <w:bookmarkEnd w:id="209"/>
          </w:p>
        </w:tc>
        <w:tc>
          <w:tcPr>
            <w:tcW w:w="707" w:type="pct"/>
          </w:tcPr>
          <w:p w14:paraId="4B4C938D" w14:textId="77777777" w:rsidR="008537D6" w:rsidRPr="00537128" w:rsidRDefault="008537D6" w:rsidP="009E5940">
            <w:pPr>
              <w:tabs>
                <w:tab w:val="right" w:pos="1202"/>
              </w:tabs>
              <w:spacing w:after="0" w:line="240" w:lineRule="auto"/>
              <w:jc w:val="right"/>
              <w:outlineLvl w:val="0"/>
              <w:rPr>
                <w:rFonts w:eastAsia="Times New Roman" w:cs="Arial"/>
                <w:b/>
                <w:noProof/>
                <w:color w:val="000000" w:themeColor="text1"/>
                <w:lang w:val="en-US"/>
              </w:rPr>
            </w:pPr>
          </w:p>
        </w:tc>
        <w:tc>
          <w:tcPr>
            <w:tcW w:w="704" w:type="pct"/>
          </w:tcPr>
          <w:p w14:paraId="53C573EE" w14:textId="77777777" w:rsidR="008537D6" w:rsidRPr="00537128" w:rsidRDefault="008537D6" w:rsidP="009E5940">
            <w:pPr>
              <w:tabs>
                <w:tab w:val="right" w:pos="1202"/>
              </w:tabs>
              <w:spacing w:after="0" w:line="240" w:lineRule="auto"/>
              <w:jc w:val="right"/>
              <w:outlineLvl w:val="0"/>
              <w:rPr>
                <w:rFonts w:eastAsia="Times New Roman" w:cs="Arial"/>
                <w:b/>
                <w:noProof/>
                <w:color w:val="000000" w:themeColor="text1"/>
                <w:lang w:val="en-US"/>
              </w:rPr>
            </w:pPr>
            <w:bookmarkStart w:id="210" w:name="_Toc4057746"/>
            <w:r w:rsidRPr="00537128">
              <w:rPr>
                <w:rFonts w:eastAsia="Times New Roman" w:cs="Arial"/>
                <w:b/>
                <w:noProof/>
                <w:color w:val="000000" w:themeColor="text1"/>
                <w:lang w:val="en-US"/>
              </w:rPr>
              <w:t>Bank</w:t>
            </w:r>
            <w:bookmarkEnd w:id="210"/>
          </w:p>
        </w:tc>
      </w:tr>
      <w:tr w:rsidR="008537D6" w:rsidRPr="00537128" w14:paraId="2AF462CE" w14:textId="77777777" w:rsidTr="009E5940">
        <w:trPr>
          <w:trHeight w:val="298"/>
        </w:trPr>
        <w:tc>
          <w:tcPr>
            <w:tcW w:w="2174" w:type="pct"/>
          </w:tcPr>
          <w:p w14:paraId="0BBC926D" w14:textId="77777777" w:rsidR="008537D6" w:rsidRPr="00537128" w:rsidRDefault="008537D6" w:rsidP="008537D6">
            <w:pPr>
              <w:tabs>
                <w:tab w:val="left" w:pos="-720"/>
              </w:tabs>
              <w:suppressAutoHyphens/>
              <w:spacing w:after="0" w:line="240" w:lineRule="auto"/>
              <w:ind w:right="4144"/>
              <w:jc w:val="right"/>
              <w:rPr>
                <w:rFonts w:cs="Arial"/>
                <w:noProof/>
                <w:color w:val="000000" w:themeColor="text1"/>
                <w:lang w:val="en-US"/>
              </w:rPr>
            </w:pPr>
          </w:p>
        </w:tc>
        <w:tc>
          <w:tcPr>
            <w:tcW w:w="707" w:type="pct"/>
            <w:vAlign w:val="center"/>
          </w:tcPr>
          <w:p w14:paraId="5C4A2953" w14:textId="2B1C1338" w:rsidR="008537D6" w:rsidRPr="00537128" w:rsidRDefault="008537D6" w:rsidP="008537D6">
            <w:pPr>
              <w:tabs>
                <w:tab w:val="right" w:pos="1202"/>
              </w:tabs>
              <w:spacing w:after="0" w:line="240" w:lineRule="atLeast"/>
              <w:jc w:val="right"/>
              <w:outlineLvl w:val="0"/>
              <w:rPr>
                <w:rFonts w:eastAsia="Times New Roman" w:cstheme="minorHAnsi"/>
                <w:b/>
                <w:noProof/>
                <w:color w:val="000000" w:themeColor="text1"/>
                <w:lang w:val="en-US"/>
              </w:rPr>
            </w:pPr>
            <w:r w:rsidRPr="00537128">
              <w:rPr>
                <w:rFonts w:eastAsia="Times New Roman" w:cstheme="minorHAnsi"/>
                <w:b/>
                <w:bCs/>
                <w:noProof/>
                <w:color w:val="000000" w:themeColor="text1"/>
                <w:lang w:val="en-US"/>
              </w:rPr>
              <w:t>Jan 1 - Mar 31, 202</w:t>
            </w:r>
            <w:r w:rsidR="003E2079">
              <w:rPr>
                <w:rFonts w:eastAsia="Times New Roman" w:cstheme="minorHAnsi"/>
                <w:b/>
                <w:bCs/>
                <w:noProof/>
                <w:color w:val="000000" w:themeColor="text1"/>
                <w:lang w:val="en-US"/>
              </w:rPr>
              <w:t>2</w:t>
            </w:r>
          </w:p>
        </w:tc>
        <w:tc>
          <w:tcPr>
            <w:tcW w:w="708" w:type="pct"/>
            <w:vAlign w:val="center"/>
          </w:tcPr>
          <w:p w14:paraId="24204B2B" w14:textId="566DCC23" w:rsidR="008537D6" w:rsidRPr="00537128" w:rsidRDefault="008537D6" w:rsidP="008537D6">
            <w:pPr>
              <w:tabs>
                <w:tab w:val="right" w:pos="1202"/>
              </w:tabs>
              <w:spacing w:after="0" w:line="240" w:lineRule="atLeast"/>
              <w:jc w:val="right"/>
              <w:outlineLvl w:val="0"/>
              <w:rPr>
                <w:rFonts w:eastAsia="Times New Roman" w:cstheme="minorHAnsi"/>
                <w:b/>
                <w:noProof/>
                <w:color w:val="000000" w:themeColor="text1"/>
                <w:lang w:val="en-US"/>
              </w:rPr>
            </w:pPr>
            <w:r w:rsidRPr="00537128">
              <w:rPr>
                <w:rFonts w:eastAsia="Times New Roman" w:cstheme="minorHAnsi"/>
                <w:b/>
                <w:bCs/>
                <w:noProof/>
                <w:color w:val="000000" w:themeColor="text1"/>
                <w:lang w:val="en-US"/>
              </w:rPr>
              <w:t>Jan 1 - Mar 31, 202</w:t>
            </w:r>
            <w:r w:rsidR="003E2079">
              <w:rPr>
                <w:rFonts w:eastAsia="Times New Roman" w:cstheme="minorHAnsi"/>
                <w:b/>
                <w:bCs/>
                <w:noProof/>
                <w:color w:val="000000" w:themeColor="text1"/>
                <w:lang w:val="en-US"/>
              </w:rPr>
              <w:t>1</w:t>
            </w:r>
          </w:p>
        </w:tc>
        <w:tc>
          <w:tcPr>
            <w:tcW w:w="707" w:type="pct"/>
            <w:vAlign w:val="center"/>
          </w:tcPr>
          <w:p w14:paraId="05F06753" w14:textId="416EEDBD" w:rsidR="008537D6" w:rsidRPr="00537128" w:rsidRDefault="008537D6" w:rsidP="008537D6">
            <w:pPr>
              <w:tabs>
                <w:tab w:val="right" w:pos="1202"/>
              </w:tabs>
              <w:spacing w:after="0" w:line="240" w:lineRule="atLeast"/>
              <w:jc w:val="right"/>
              <w:outlineLvl w:val="0"/>
              <w:rPr>
                <w:rFonts w:eastAsia="Times New Roman" w:cstheme="minorHAnsi"/>
                <w:b/>
                <w:noProof/>
                <w:color w:val="000000" w:themeColor="text1"/>
                <w:lang w:val="en-US"/>
              </w:rPr>
            </w:pPr>
            <w:r w:rsidRPr="00537128">
              <w:rPr>
                <w:rFonts w:eastAsia="Times New Roman" w:cstheme="minorHAnsi"/>
                <w:b/>
                <w:bCs/>
                <w:noProof/>
                <w:color w:val="000000" w:themeColor="text1"/>
                <w:lang w:val="en-US"/>
              </w:rPr>
              <w:t>Jan 1 - Mar 31, 202</w:t>
            </w:r>
            <w:r w:rsidR="003E2079">
              <w:rPr>
                <w:rFonts w:eastAsia="Times New Roman" w:cstheme="minorHAnsi"/>
                <w:b/>
                <w:bCs/>
                <w:noProof/>
                <w:color w:val="000000" w:themeColor="text1"/>
                <w:lang w:val="en-US"/>
              </w:rPr>
              <w:t>2</w:t>
            </w:r>
          </w:p>
        </w:tc>
        <w:tc>
          <w:tcPr>
            <w:tcW w:w="704" w:type="pct"/>
            <w:vAlign w:val="center"/>
          </w:tcPr>
          <w:p w14:paraId="72B87F31" w14:textId="2E3DCAB5"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theme="minorHAnsi"/>
                <w:b/>
                <w:bCs/>
                <w:noProof/>
                <w:color w:val="000000" w:themeColor="text1"/>
                <w:lang w:val="en-US"/>
              </w:rPr>
              <w:t>Jan 1 - Mar 31, 202</w:t>
            </w:r>
            <w:r w:rsidR="003E2079">
              <w:rPr>
                <w:rFonts w:eastAsia="Times New Roman" w:cstheme="minorHAnsi"/>
                <w:b/>
                <w:bCs/>
                <w:noProof/>
                <w:color w:val="000000" w:themeColor="text1"/>
                <w:lang w:val="en-US"/>
              </w:rPr>
              <w:t>1</w:t>
            </w:r>
          </w:p>
        </w:tc>
      </w:tr>
      <w:tr w:rsidR="008537D6" w:rsidRPr="00537128" w14:paraId="7098C999" w14:textId="77777777" w:rsidTr="009E5940">
        <w:trPr>
          <w:trHeight w:val="183"/>
        </w:trPr>
        <w:tc>
          <w:tcPr>
            <w:tcW w:w="2174" w:type="pct"/>
          </w:tcPr>
          <w:p w14:paraId="7C7F30CE" w14:textId="77777777" w:rsidR="008537D6" w:rsidRPr="00537128" w:rsidRDefault="008537D6" w:rsidP="008537D6">
            <w:pPr>
              <w:tabs>
                <w:tab w:val="left" w:pos="-720"/>
              </w:tabs>
              <w:suppressAutoHyphens/>
              <w:spacing w:after="0" w:line="240" w:lineRule="auto"/>
              <w:ind w:right="4144"/>
              <w:jc w:val="right"/>
              <w:rPr>
                <w:rFonts w:cs="Arial"/>
                <w:noProof/>
                <w:color w:val="000000" w:themeColor="text1"/>
                <w:lang w:val="en-US"/>
              </w:rPr>
            </w:pPr>
          </w:p>
        </w:tc>
        <w:tc>
          <w:tcPr>
            <w:tcW w:w="707" w:type="pct"/>
          </w:tcPr>
          <w:p w14:paraId="368042FA" w14:textId="77777777"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bookmarkStart w:id="211" w:name="_Toc4057751"/>
            <w:r w:rsidRPr="00537128">
              <w:rPr>
                <w:rFonts w:eastAsia="Times New Roman" w:cs="Arial"/>
                <w:b/>
                <w:noProof/>
                <w:color w:val="000000" w:themeColor="text1"/>
                <w:lang w:val="en-US"/>
              </w:rPr>
              <w:t>HRK ‘000</w:t>
            </w:r>
            <w:bookmarkEnd w:id="211"/>
          </w:p>
        </w:tc>
        <w:tc>
          <w:tcPr>
            <w:tcW w:w="708" w:type="pct"/>
          </w:tcPr>
          <w:p w14:paraId="71963946" w14:textId="5B69D25C"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Arial"/>
                <w:b/>
                <w:noProof/>
                <w:color w:val="000000" w:themeColor="text1"/>
                <w:lang w:val="en-US"/>
              </w:rPr>
              <w:t>HRK ‘000</w:t>
            </w:r>
          </w:p>
        </w:tc>
        <w:tc>
          <w:tcPr>
            <w:tcW w:w="707" w:type="pct"/>
          </w:tcPr>
          <w:p w14:paraId="2B202512" w14:textId="7DFBBF27"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Arial"/>
                <w:b/>
                <w:noProof/>
                <w:color w:val="000000" w:themeColor="text1"/>
                <w:lang w:val="en-US"/>
              </w:rPr>
              <w:t>HRK ‘000</w:t>
            </w:r>
          </w:p>
        </w:tc>
        <w:tc>
          <w:tcPr>
            <w:tcW w:w="704" w:type="pct"/>
          </w:tcPr>
          <w:p w14:paraId="0B3AFA16" w14:textId="03BB2855"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Arial"/>
                <w:b/>
                <w:noProof/>
                <w:color w:val="000000" w:themeColor="text1"/>
                <w:lang w:val="en-US"/>
              </w:rPr>
              <w:t>HRK ‘000</w:t>
            </w:r>
          </w:p>
        </w:tc>
      </w:tr>
      <w:tr w:rsidR="008537D6" w:rsidRPr="00537128" w14:paraId="5367041D" w14:textId="77777777" w:rsidTr="009E5940">
        <w:trPr>
          <w:trHeight w:val="183"/>
        </w:trPr>
        <w:tc>
          <w:tcPr>
            <w:tcW w:w="2174" w:type="pct"/>
          </w:tcPr>
          <w:p w14:paraId="307AE7D9" w14:textId="77777777" w:rsidR="008537D6" w:rsidRPr="00537128" w:rsidRDefault="008537D6" w:rsidP="008537D6">
            <w:pPr>
              <w:tabs>
                <w:tab w:val="left" w:pos="-720"/>
              </w:tabs>
              <w:suppressAutoHyphens/>
              <w:spacing w:after="0" w:line="240" w:lineRule="auto"/>
              <w:ind w:right="4144"/>
              <w:jc w:val="right"/>
              <w:rPr>
                <w:rFonts w:cs="Arial"/>
                <w:noProof/>
                <w:color w:val="000000" w:themeColor="text1"/>
                <w:sz w:val="18"/>
                <w:szCs w:val="18"/>
                <w:lang w:val="en-US"/>
              </w:rPr>
            </w:pPr>
          </w:p>
        </w:tc>
        <w:tc>
          <w:tcPr>
            <w:tcW w:w="707" w:type="pct"/>
          </w:tcPr>
          <w:p w14:paraId="761D2DA5" w14:textId="77777777" w:rsidR="008537D6" w:rsidRPr="00537128" w:rsidRDefault="008537D6" w:rsidP="008537D6">
            <w:pPr>
              <w:suppressAutoHyphens/>
              <w:spacing w:after="0" w:line="240" w:lineRule="auto"/>
              <w:jc w:val="right"/>
              <w:rPr>
                <w:rFonts w:cs="Arial"/>
                <w:b/>
                <w:noProof/>
                <w:color w:val="000000" w:themeColor="text1"/>
                <w:sz w:val="18"/>
                <w:szCs w:val="18"/>
                <w:lang w:val="en-US"/>
              </w:rPr>
            </w:pPr>
          </w:p>
        </w:tc>
        <w:tc>
          <w:tcPr>
            <w:tcW w:w="708" w:type="pct"/>
          </w:tcPr>
          <w:p w14:paraId="586D0D86" w14:textId="77777777" w:rsidR="008537D6" w:rsidRPr="00537128" w:rsidRDefault="008537D6" w:rsidP="008537D6">
            <w:pPr>
              <w:suppressAutoHyphens/>
              <w:spacing w:after="0" w:line="240" w:lineRule="auto"/>
              <w:jc w:val="right"/>
              <w:rPr>
                <w:rFonts w:cs="Arial"/>
                <w:b/>
                <w:noProof/>
                <w:color w:val="000000" w:themeColor="text1"/>
                <w:sz w:val="18"/>
                <w:szCs w:val="18"/>
                <w:lang w:val="en-US"/>
              </w:rPr>
            </w:pPr>
          </w:p>
        </w:tc>
        <w:tc>
          <w:tcPr>
            <w:tcW w:w="707" w:type="pct"/>
          </w:tcPr>
          <w:p w14:paraId="6AACADCF" w14:textId="77777777" w:rsidR="008537D6" w:rsidRPr="00537128" w:rsidRDefault="008537D6" w:rsidP="008537D6">
            <w:pPr>
              <w:suppressAutoHyphens/>
              <w:spacing w:after="0" w:line="240" w:lineRule="auto"/>
              <w:jc w:val="right"/>
              <w:rPr>
                <w:rFonts w:cs="Arial"/>
                <w:b/>
                <w:noProof/>
                <w:color w:val="000000" w:themeColor="text1"/>
                <w:sz w:val="18"/>
                <w:szCs w:val="18"/>
                <w:lang w:val="en-US"/>
              </w:rPr>
            </w:pPr>
          </w:p>
        </w:tc>
        <w:tc>
          <w:tcPr>
            <w:tcW w:w="704" w:type="pct"/>
          </w:tcPr>
          <w:p w14:paraId="7D94E01F" w14:textId="77777777" w:rsidR="008537D6" w:rsidRPr="00537128" w:rsidRDefault="008537D6" w:rsidP="008537D6">
            <w:pPr>
              <w:suppressAutoHyphens/>
              <w:spacing w:after="0" w:line="240" w:lineRule="auto"/>
              <w:jc w:val="right"/>
              <w:rPr>
                <w:rFonts w:cs="Arial"/>
                <w:b/>
                <w:noProof/>
                <w:color w:val="000000" w:themeColor="text1"/>
                <w:sz w:val="18"/>
                <w:szCs w:val="18"/>
                <w:lang w:val="en-US"/>
              </w:rPr>
            </w:pPr>
          </w:p>
        </w:tc>
      </w:tr>
      <w:tr w:rsidR="00AC7FD6" w:rsidRPr="00537128" w14:paraId="511700FE" w14:textId="77777777" w:rsidTr="00AD08EF">
        <w:trPr>
          <w:trHeight w:val="295"/>
        </w:trPr>
        <w:tc>
          <w:tcPr>
            <w:tcW w:w="2174" w:type="pct"/>
          </w:tcPr>
          <w:p w14:paraId="3215BA4E" w14:textId="2CB80653" w:rsidR="00AC7FD6" w:rsidRPr="00537128" w:rsidRDefault="00AC7FD6" w:rsidP="00AC7FD6">
            <w:pPr>
              <w:tabs>
                <w:tab w:val="right" w:pos="1202"/>
              </w:tabs>
              <w:spacing w:after="0" w:line="301" w:lineRule="exact"/>
              <w:outlineLvl w:val="0"/>
              <w:rPr>
                <w:rFonts w:eastAsia="Times New Roman" w:cs="Arial"/>
                <w:noProof/>
                <w:color w:val="000000" w:themeColor="text1"/>
                <w:lang w:val="en-US"/>
              </w:rPr>
            </w:pPr>
            <w:bookmarkStart w:id="212" w:name="_Toc4057755"/>
            <w:r w:rsidRPr="00537128">
              <w:rPr>
                <w:rFonts w:eastAsia="Times New Roman" w:cs="Arial"/>
                <w:noProof/>
                <w:color w:val="000000" w:themeColor="text1"/>
                <w:lang w:val="en-US"/>
              </w:rPr>
              <w:t>Public sector</w:t>
            </w:r>
            <w:bookmarkEnd w:id="212"/>
          </w:p>
        </w:tc>
        <w:tc>
          <w:tcPr>
            <w:tcW w:w="707" w:type="pct"/>
            <w:tcBorders>
              <w:top w:val="nil"/>
              <w:left w:val="nil"/>
              <w:bottom w:val="nil"/>
              <w:right w:val="nil"/>
            </w:tcBorders>
            <w:shd w:val="clear" w:color="auto" w:fill="auto"/>
          </w:tcPr>
          <w:p w14:paraId="06992026" w14:textId="25754C62" w:rsidR="00AC7FD6" w:rsidRPr="00537128" w:rsidRDefault="00AC7FD6" w:rsidP="00AC7FD6">
            <w:pPr>
              <w:tabs>
                <w:tab w:val="right" w:pos="1202"/>
              </w:tabs>
              <w:spacing w:after="0" w:line="301" w:lineRule="exact"/>
              <w:jc w:val="right"/>
              <w:outlineLvl w:val="0"/>
              <w:rPr>
                <w:rFonts w:eastAsia="Times New Roman" w:cs="Arial"/>
                <w:noProof/>
                <w:color w:val="000000" w:themeColor="text1"/>
                <w:lang w:val="en-US"/>
              </w:rPr>
            </w:pPr>
            <w:r>
              <w:rPr>
                <w:rFonts w:eastAsia="Times New Roman" w:cs="Arial"/>
                <w:color w:val="000000" w:themeColor="text1"/>
              </w:rPr>
              <w:t>35,562</w:t>
            </w:r>
          </w:p>
        </w:tc>
        <w:tc>
          <w:tcPr>
            <w:tcW w:w="708" w:type="pct"/>
            <w:tcBorders>
              <w:top w:val="nil"/>
              <w:left w:val="nil"/>
              <w:bottom w:val="nil"/>
              <w:right w:val="nil"/>
            </w:tcBorders>
            <w:shd w:val="clear" w:color="auto" w:fill="auto"/>
          </w:tcPr>
          <w:p w14:paraId="3B73152A" w14:textId="7E3B9200" w:rsidR="00AC7FD6" w:rsidRPr="00537128" w:rsidRDefault="00AC7FD6" w:rsidP="00AC7FD6">
            <w:pPr>
              <w:tabs>
                <w:tab w:val="right" w:pos="1202"/>
              </w:tabs>
              <w:spacing w:after="0" w:line="301" w:lineRule="exact"/>
              <w:jc w:val="right"/>
              <w:outlineLvl w:val="0"/>
              <w:rPr>
                <w:rFonts w:eastAsia="Times New Roman" w:cs="Arial"/>
                <w:noProof/>
                <w:color w:val="000000" w:themeColor="text1"/>
                <w:lang w:val="en-US"/>
              </w:rPr>
            </w:pPr>
            <w:r w:rsidRPr="0000105D">
              <w:t xml:space="preserve"> 33</w:t>
            </w:r>
            <w:r>
              <w:t>,</w:t>
            </w:r>
            <w:r w:rsidRPr="0000105D">
              <w:t xml:space="preserve">831 </w:t>
            </w:r>
          </w:p>
        </w:tc>
        <w:tc>
          <w:tcPr>
            <w:tcW w:w="707" w:type="pct"/>
            <w:tcBorders>
              <w:top w:val="nil"/>
              <w:left w:val="nil"/>
              <w:bottom w:val="nil"/>
              <w:right w:val="nil"/>
            </w:tcBorders>
            <w:shd w:val="clear" w:color="auto" w:fill="auto"/>
          </w:tcPr>
          <w:p w14:paraId="48FFD169" w14:textId="3FDD1AE8" w:rsidR="00AC7FD6" w:rsidRPr="00537128" w:rsidRDefault="00AC7FD6" w:rsidP="00AC7FD6">
            <w:pPr>
              <w:tabs>
                <w:tab w:val="right" w:pos="1202"/>
              </w:tabs>
              <w:spacing w:after="0" w:line="301" w:lineRule="exact"/>
              <w:jc w:val="right"/>
              <w:outlineLvl w:val="0"/>
              <w:rPr>
                <w:rFonts w:eastAsia="Times New Roman" w:cs="Arial"/>
                <w:noProof/>
                <w:color w:val="000000" w:themeColor="text1"/>
                <w:lang w:val="en-US"/>
              </w:rPr>
            </w:pPr>
            <w:r>
              <w:rPr>
                <w:rFonts w:eastAsia="Times New Roman" w:cs="Arial"/>
                <w:noProof/>
                <w:color w:val="000000" w:themeColor="text1"/>
              </w:rPr>
              <w:t>35,232</w:t>
            </w:r>
          </w:p>
        </w:tc>
        <w:tc>
          <w:tcPr>
            <w:tcW w:w="704" w:type="pct"/>
            <w:tcBorders>
              <w:top w:val="nil"/>
              <w:left w:val="nil"/>
              <w:bottom w:val="nil"/>
              <w:right w:val="nil"/>
            </w:tcBorders>
            <w:shd w:val="clear" w:color="auto" w:fill="auto"/>
          </w:tcPr>
          <w:p w14:paraId="19118B3A" w14:textId="1BC13329" w:rsidR="00AC7FD6" w:rsidRPr="00537128" w:rsidRDefault="00AC7FD6" w:rsidP="00AC7FD6">
            <w:pPr>
              <w:tabs>
                <w:tab w:val="right" w:pos="1202"/>
              </w:tabs>
              <w:spacing w:after="0" w:line="301" w:lineRule="exact"/>
              <w:jc w:val="right"/>
              <w:outlineLvl w:val="0"/>
              <w:rPr>
                <w:rFonts w:eastAsia="Times New Roman" w:cs="Arial"/>
                <w:noProof/>
                <w:color w:val="000000" w:themeColor="text1"/>
                <w:lang w:val="en-US"/>
              </w:rPr>
            </w:pPr>
            <w:r w:rsidRPr="00184E1D">
              <w:t xml:space="preserve"> 33</w:t>
            </w:r>
            <w:r>
              <w:t>,</w:t>
            </w:r>
            <w:r w:rsidRPr="00184E1D">
              <w:t xml:space="preserve">514 </w:t>
            </w:r>
          </w:p>
        </w:tc>
      </w:tr>
      <w:tr w:rsidR="00AC7FD6" w:rsidRPr="00537128" w14:paraId="71265DC3" w14:textId="77777777" w:rsidTr="00AD08EF">
        <w:trPr>
          <w:trHeight w:val="295"/>
        </w:trPr>
        <w:tc>
          <w:tcPr>
            <w:tcW w:w="2174" w:type="pct"/>
          </w:tcPr>
          <w:p w14:paraId="7A8DF0B4" w14:textId="49422B3F" w:rsidR="00AC7FD6" w:rsidRPr="00537128" w:rsidRDefault="00AC7FD6" w:rsidP="00AC7FD6">
            <w:pPr>
              <w:tabs>
                <w:tab w:val="right" w:pos="1202"/>
              </w:tabs>
              <w:spacing w:after="0" w:line="301" w:lineRule="exact"/>
              <w:outlineLvl w:val="0"/>
              <w:rPr>
                <w:rFonts w:eastAsia="Times New Roman" w:cs="Arial"/>
                <w:noProof/>
                <w:color w:val="000000" w:themeColor="text1"/>
                <w:lang w:val="en-US"/>
              </w:rPr>
            </w:pPr>
            <w:bookmarkStart w:id="213" w:name="_Toc4057760"/>
            <w:r w:rsidRPr="00537128">
              <w:rPr>
                <w:rFonts w:eastAsia="Times New Roman" w:cs="Arial"/>
                <w:noProof/>
                <w:color w:val="000000" w:themeColor="text1"/>
                <w:lang w:val="en-US"/>
              </w:rPr>
              <w:t>State-owned companies</w:t>
            </w:r>
            <w:bookmarkEnd w:id="213"/>
          </w:p>
        </w:tc>
        <w:tc>
          <w:tcPr>
            <w:tcW w:w="707" w:type="pct"/>
            <w:tcBorders>
              <w:top w:val="nil"/>
              <w:left w:val="nil"/>
              <w:bottom w:val="nil"/>
              <w:right w:val="nil"/>
            </w:tcBorders>
            <w:shd w:val="clear" w:color="auto" w:fill="auto"/>
          </w:tcPr>
          <w:p w14:paraId="325820D4" w14:textId="51670069" w:rsidR="00AC7FD6" w:rsidRPr="00537128" w:rsidRDefault="00AC7FD6" w:rsidP="00AC7FD6">
            <w:pPr>
              <w:tabs>
                <w:tab w:val="right" w:pos="1202"/>
              </w:tabs>
              <w:spacing w:after="0" w:line="301" w:lineRule="exact"/>
              <w:jc w:val="right"/>
              <w:outlineLvl w:val="0"/>
              <w:rPr>
                <w:rFonts w:eastAsia="Times New Roman" w:cs="Arial"/>
                <w:noProof/>
                <w:color w:val="000000" w:themeColor="text1"/>
                <w:lang w:val="en-US"/>
              </w:rPr>
            </w:pPr>
            <w:r>
              <w:rPr>
                <w:rFonts w:eastAsia="Times New Roman" w:cs="Arial"/>
                <w:color w:val="000000" w:themeColor="text1"/>
              </w:rPr>
              <w:t>6,249</w:t>
            </w:r>
          </w:p>
        </w:tc>
        <w:tc>
          <w:tcPr>
            <w:tcW w:w="708" w:type="pct"/>
            <w:tcBorders>
              <w:top w:val="nil"/>
              <w:left w:val="nil"/>
              <w:bottom w:val="nil"/>
              <w:right w:val="nil"/>
            </w:tcBorders>
            <w:shd w:val="clear" w:color="auto" w:fill="auto"/>
          </w:tcPr>
          <w:p w14:paraId="79F02D2B" w14:textId="637CB1B4" w:rsidR="00AC7FD6" w:rsidRPr="00537128" w:rsidRDefault="00AC7FD6" w:rsidP="00AC7FD6">
            <w:pPr>
              <w:tabs>
                <w:tab w:val="right" w:pos="1202"/>
              </w:tabs>
              <w:spacing w:after="0" w:line="301" w:lineRule="exact"/>
              <w:jc w:val="right"/>
              <w:outlineLvl w:val="0"/>
              <w:rPr>
                <w:rFonts w:eastAsia="Times New Roman" w:cs="Arial"/>
                <w:noProof/>
                <w:color w:val="000000" w:themeColor="text1"/>
                <w:lang w:val="en-US"/>
              </w:rPr>
            </w:pPr>
            <w:r w:rsidRPr="0000105D">
              <w:t xml:space="preserve"> 9</w:t>
            </w:r>
            <w:r>
              <w:t>,</w:t>
            </w:r>
            <w:r w:rsidRPr="0000105D">
              <w:t xml:space="preserve">779 </w:t>
            </w:r>
          </w:p>
        </w:tc>
        <w:tc>
          <w:tcPr>
            <w:tcW w:w="707" w:type="pct"/>
            <w:tcBorders>
              <w:top w:val="nil"/>
              <w:left w:val="nil"/>
              <w:bottom w:val="nil"/>
              <w:right w:val="nil"/>
            </w:tcBorders>
            <w:shd w:val="clear" w:color="auto" w:fill="auto"/>
          </w:tcPr>
          <w:p w14:paraId="0E01C7C1" w14:textId="286F0C43" w:rsidR="00AC7FD6" w:rsidRPr="00537128" w:rsidRDefault="00AC7FD6" w:rsidP="00AC7FD6">
            <w:pPr>
              <w:tabs>
                <w:tab w:val="right" w:pos="1202"/>
              </w:tabs>
              <w:spacing w:after="0" w:line="301" w:lineRule="exact"/>
              <w:jc w:val="right"/>
              <w:outlineLvl w:val="0"/>
              <w:rPr>
                <w:rFonts w:eastAsia="Times New Roman" w:cs="Arial"/>
                <w:noProof/>
                <w:color w:val="000000" w:themeColor="text1"/>
                <w:lang w:val="en-US"/>
              </w:rPr>
            </w:pPr>
            <w:r>
              <w:rPr>
                <w:rFonts w:eastAsia="Times New Roman" w:cs="Arial"/>
                <w:noProof/>
                <w:color w:val="000000" w:themeColor="text1"/>
              </w:rPr>
              <w:t>6,249</w:t>
            </w:r>
          </w:p>
        </w:tc>
        <w:tc>
          <w:tcPr>
            <w:tcW w:w="704" w:type="pct"/>
            <w:tcBorders>
              <w:top w:val="nil"/>
              <w:left w:val="nil"/>
              <w:bottom w:val="nil"/>
              <w:right w:val="nil"/>
            </w:tcBorders>
            <w:shd w:val="clear" w:color="auto" w:fill="auto"/>
          </w:tcPr>
          <w:p w14:paraId="7558F7C6" w14:textId="3B4C83CA" w:rsidR="00AC7FD6" w:rsidRPr="00537128" w:rsidRDefault="00AC7FD6" w:rsidP="00AC7FD6">
            <w:pPr>
              <w:tabs>
                <w:tab w:val="right" w:pos="1202"/>
              </w:tabs>
              <w:spacing w:after="0" w:line="301" w:lineRule="exact"/>
              <w:jc w:val="right"/>
              <w:outlineLvl w:val="0"/>
              <w:rPr>
                <w:rFonts w:eastAsia="Times New Roman" w:cs="Arial"/>
                <w:noProof/>
                <w:color w:val="000000" w:themeColor="text1"/>
                <w:lang w:val="en-US"/>
              </w:rPr>
            </w:pPr>
            <w:r w:rsidRPr="00184E1D">
              <w:t xml:space="preserve"> 9</w:t>
            </w:r>
            <w:r>
              <w:t>,</w:t>
            </w:r>
            <w:r w:rsidRPr="00184E1D">
              <w:t xml:space="preserve">779 </w:t>
            </w:r>
          </w:p>
        </w:tc>
      </w:tr>
      <w:tr w:rsidR="00AC7FD6" w:rsidRPr="00537128" w14:paraId="17544472" w14:textId="77777777" w:rsidTr="00AD08EF">
        <w:trPr>
          <w:trHeight w:val="295"/>
        </w:trPr>
        <w:tc>
          <w:tcPr>
            <w:tcW w:w="2174" w:type="pct"/>
          </w:tcPr>
          <w:p w14:paraId="67E80556" w14:textId="0321B566" w:rsidR="00AC7FD6" w:rsidRPr="00537128" w:rsidRDefault="00AC7FD6" w:rsidP="00AC7FD6">
            <w:pPr>
              <w:tabs>
                <w:tab w:val="right" w:pos="1202"/>
              </w:tabs>
              <w:spacing w:after="0" w:line="301" w:lineRule="exact"/>
              <w:outlineLvl w:val="0"/>
              <w:rPr>
                <w:rFonts w:eastAsia="Times New Roman" w:cs="Arial"/>
                <w:noProof/>
                <w:color w:val="000000" w:themeColor="text1"/>
                <w:lang w:val="en-US"/>
              </w:rPr>
            </w:pPr>
            <w:bookmarkStart w:id="214" w:name="_Toc4057765"/>
            <w:r w:rsidRPr="00537128">
              <w:rPr>
                <w:rFonts w:eastAsia="Times New Roman" w:cs="Arial"/>
                <w:noProof/>
                <w:color w:val="000000" w:themeColor="text1"/>
                <w:lang w:val="en-US"/>
              </w:rPr>
              <w:t>Foreign companies</w:t>
            </w:r>
            <w:bookmarkEnd w:id="214"/>
          </w:p>
        </w:tc>
        <w:tc>
          <w:tcPr>
            <w:tcW w:w="707" w:type="pct"/>
            <w:tcBorders>
              <w:top w:val="nil"/>
              <w:left w:val="nil"/>
              <w:bottom w:val="nil"/>
              <w:right w:val="nil"/>
            </w:tcBorders>
            <w:shd w:val="clear" w:color="auto" w:fill="auto"/>
          </w:tcPr>
          <w:p w14:paraId="4B21AC0D" w14:textId="05AB0902" w:rsidR="00AC7FD6" w:rsidRPr="00537128" w:rsidRDefault="00AC7FD6" w:rsidP="00AC7FD6">
            <w:pPr>
              <w:tabs>
                <w:tab w:val="right" w:pos="1202"/>
              </w:tabs>
              <w:spacing w:after="0" w:line="301" w:lineRule="exact"/>
              <w:jc w:val="right"/>
              <w:outlineLvl w:val="0"/>
              <w:rPr>
                <w:rFonts w:eastAsia="Times New Roman" w:cs="Arial"/>
                <w:noProof/>
                <w:color w:val="000000" w:themeColor="text1"/>
                <w:lang w:val="en-US"/>
              </w:rPr>
            </w:pPr>
            <w:r>
              <w:rPr>
                <w:rFonts w:eastAsia="Times New Roman" w:cs="Arial"/>
                <w:color w:val="000000" w:themeColor="text1"/>
              </w:rPr>
              <w:t>7,216</w:t>
            </w:r>
          </w:p>
        </w:tc>
        <w:tc>
          <w:tcPr>
            <w:tcW w:w="708" w:type="pct"/>
            <w:tcBorders>
              <w:top w:val="nil"/>
              <w:left w:val="nil"/>
              <w:bottom w:val="nil"/>
              <w:right w:val="nil"/>
            </w:tcBorders>
            <w:shd w:val="clear" w:color="auto" w:fill="auto"/>
          </w:tcPr>
          <w:p w14:paraId="65D25992" w14:textId="1EE8CCC9" w:rsidR="00AC7FD6" w:rsidRPr="00537128" w:rsidRDefault="00AC7FD6" w:rsidP="00AC7FD6">
            <w:pPr>
              <w:tabs>
                <w:tab w:val="right" w:pos="1202"/>
              </w:tabs>
              <w:spacing w:after="0" w:line="301" w:lineRule="exact"/>
              <w:jc w:val="right"/>
              <w:outlineLvl w:val="0"/>
              <w:rPr>
                <w:rFonts w:eastAsia="Times New Roman" w:cs="Arial"/>
                <w:noProof/>
                <w:color w:val="000000" w:themeColor="text1"/>
                <w:lang w:val="en-US"/>
              </w:rPr>
            </w:pPr>
            <w:r w:rsidRPr="00E623E7">
              <w:t xml:space="preserve"> 7</w:t>
            </w:r>
            <w:r>
              <w:t>,</w:t>
            </w:r>
            <w:r w:rsidRPr="00E623E7">
              <w:t xml:space="preserve">800 </w:t>
            </w:r>
          </w:p>
        </w:tc>
        <w:tc>
          <w:tcPr>
            <w:tcW w:w="707" w:type="pct"/>
            <w:tcBorders>
              <w:top w:val="nil"/>
              <w:left w:val="nil"/>
              <w:bottom w:val="nil"/>
              <w:right w:val="nil"/>
            </w:tcBorders>
            <w:shd w:val="clear" w:color="auto" w:fill="auto"/>
          </w:tcPr>
          <w:p w14:paraId="51C310A0" w14:textId="4F5D4F4D" w:rsidR="00AC7FD6" w:rsidRPr="00537128" w:rsidRDefault="00AC7FD6" w:rsidP="00AC7FD6">
            <w:pPr>
              <w:tabs>
                <w:tab w:val="right" w:pos="1202"/>
              </w:tabs>
              <w:spacing w:after="0" w:line="301" w:lineRule="exact"/>
              <w:jc w:val="right"/>
              <w:outlineLvl w:val="0"/>
              <w:rPr>
                <w:rFonts w:eastAsia="Times New Roman" w:cs="Arial"/>
                <w:noProof/>
                <w:color w:val="000000" w:themeColor="text1"/>
                <w:lang w:val="en-US"/>
              </w:rPr>
            </w:pPr>
            <w:r>
              <w:rPr>
                <w:rFonts w:eastAsia="Times New Roman" w:cs="Arial"/>
                <w:noProof/>
                <w:color w:val="000000" w:themeColor="text1"/>
              </w:rPr>
              <w:t>7,216</w:t>
            </w:r>
          </w:p>
        </w:tc>
        <w:tc>
          <w:tcPr>
            <w:tcW w:w="704" w:type="pct"/>
            <w:tcBorders>
              <w:top w:val="nil"/>
              <w:left w:val="nil"/>
              <w:bottom w:val="nil"/>
              <w:right w:val="nil"/>
            </w:tcBorders>
            <w:shd w:val="clear" w:color="auto" w:fill="auto"/>
          </w:tcPr>
          <w:p w14:paraId="4361BB1E" w14:textId="2AC447A1" w:rsidR="00AC7FD6" w:rsidRPr="00537128" w:rsidRDefault="00AC7FD6" w:rsidP="00AC7FD6">
            <w:pPr>
              <w:tabs>
                <w:tab w:val="right" w:pos="1202"/>
              </w:tabs>
              <w:spacing w:after="0" w:line="301" w:lineRule="exact"/>
              <w:jc w:val="right"/>
              <w:outlineLvl w:val="0"/>
              <w:rPr>
                <w:rFonts w:eastAsia="Times New Roman" w:cs="Arial"/>
                <w:noProof/>
                <w:color w:val="000000" w:themeColor="text1"/>
                <w:lang w:val="en-US"/>
              </w:rPr>
            </w:pPr>
            <w:r w:rsidRPr="00184E1D">
              <w:t xml:space="preserve"> 7</w:t>
            </w:r>
            <w:r>
              <w:t>,</w:t>
            </w:r>
            <w:r w:rsidRPr="00184E1D">
              <w:t xml:space="preserve">800 </w:t>
            </w:r>
          </w:p>
        </w:tc>
      </w:tr>
      <w:tr w:rsidR="00AC7FD6" w:rsidRPr="00537128" w14:paraId="26F7930F" w14:textId="77777777" w:rsidTr="00AD08EF">
        <w:trPr>
          <w:trHeight w:val="295"/>
        </w:trPr>
        <w:tc>
          <w:tcPr>
            <w:tcW w:w="2174" w:type="pct"/>
          </w:tcPr>
          <w:p w14:paraId="16D27506" w14:textId="00E5A78F" w:rsidR="00AC7FD6" w:rsidRPr="00537128" w:rsidRDefault="00AC7FD6" w:rsidP="00AC7FD6">
            <w:pPr>
              <w:tabs>
                <w:tab w:val="right" w:pos="1202"/>
              </w:tabs>
              <w:spacing w:after="0" w:line="301" w:lineRule="exact"/>
              <w:outlineLvl w:val="0"/>
              <w:rPr>
                <w:rFonts w:eastAsia="Times New Roman" w:cs="Arial"/>
                <w:noProof/>
                <w:color w:val="000000" w:themeColor="text1"/>
                <w:lang w:val="en-US"/>
              </w:rPr>
            </w:pPr>
            <w:bookmarkStart w:id="215" w:name="_Toc4057770"/>
            <w:r w:rsidRPr="00537128">
              <w:rPr>
                <w:rFonts w:eastAsia="Times New Roman" w:cs="Arial"/>
                <w:noProof/>
                <w:color w:val="000000" w:themeColor="text1"/>
                <w:lang w:val="en-US"/>
              </w:rPr>
              <w:t>Domestic companies</w:t>
            </w:r>
            <w:bookmarkEnd w:id="215"/>
          </w:p>
        </w:tc>
        <w:tc>
          <w:tcPr>
            <w:tcW w:w="707" w:type="pct"/>
            <w:tcBorders>
              <w:top w:val="nil"/>
              <w:left w:val="nil"/>
              <w:bottom w:val="nil"/>
              <w:right w:val="nil"/>
            </w:tcBorders>
            <w:shd w:val="clear" w:color="auto" w:fill="auto"/>
          </w:tcPr>
          <w:p w14:paraId="22E03615" w14:textId="35758510" w:rsidR="00AC7FD6" w:rsidRPr="00537128" w:rsidRDefault="00AC7FD6" w:rsidP="00AC7FD6">
            <w:pPr>
              <w:tabs>
                <w:tab w:val="right" w:pos="1202"/>
              </w:tabs>
              <w:spacing w:after="0" w:line="301" w:lineRule="exact"/>
              <w:jc w:val="right"/>
              <w:outlineLvl w:val="0"/>
              <w:rPr>
                <w:rFonts w:eastAsia="Times New Roman" w:cs="Arial"/>
                <w:noProof/>
                <w:color w:val="000000" w:themeColor="text1"/>
                <w:lang w:val="en-US"/>
              </w:rPr>
            </w:pPr>
            <w:r>
              <w:rPr>
                <w:rFonts w:eastAsia="Times New Roman" w:cs="Arial"/>
                <w:color w:val="000000" w:themeColor="text1"/>
              </w:rPr>
              <w:t>94,709</w:t>
            </w:r>
          </w:p>
        </w:tc>
        <w:tc>
          <w:tcPr>
            <w:tcW w:w="708" w:type="pct"/>
            <w:tcBorders>
              <w:top w:val="nil"/>
              <w:left w:val="nil"/>
              <w:bottom w:val="nil"/>
              <w:right w:val="nil"/>
            </w:tcBorders>
            <w:shd w:val="clear" w:color="auto" w:fill="auto"/>
          </w:tcPr>
          <w:p w14:paraId="0E878160" w14:textId="2EE79129" w:rsidR="00AC7FD6" w:rsidRPr="00537128" w:rsidRDefault="00AC7FD6" w:rsidP="00AC7FD6">
            <w:pPr>
              <w:tabs>
                <w:tab w:val="right" w:pos="1202"/>
              </w:tabs>
              <w:spacing w:after="0" w:line="301" w:lineRule="exact"/>
              <w:jc w:val="right"/>
              <w:outlineLvl w:val="0"/>
              <w:rPr>
                <w:rFonts w:eastAsia="Times New Roman" w:cs="Arial"/>
                <w:noProof/>
                <w:color w:val="000000" w:themeColor="text1"/>
                <w:lang w:val="en-US"/>
              </w:rPr>
            </w:pPr>
            <w:r w:rsidRPr="00E623E7">
              <w:t xml:space="preserve"> 77</w:t>
            </w:r>
            <w:r>
              <w:t>,</w:t>
            </w:r>
            <w:r w:rsidRPr="00E623E7">
              <w:t xml:space="preserve">024 </w:t>
            </w:r>
          </w:p>
        </w:tc>
        <w:tc>
          <w:tcPr>
            <w:tcW w:w="707" w:type="pct"/>
            <w:tcBorders>
              <w:top w:val="nil"/>
              <w:left w:val="nil"/>
              <w:bottom w:val="nil"/>
              <w:right w:val="nil"/>
            </w:tcBorders>
            <w:shd w:val="clear" w:color="auto" w:fill="auto"/>
          </w:tcPr>
          <w:p w14:paraId="7F7AE6C2" w14:textId="2B605E41" w:rsidR="00AC7FD6" w:rsidRPr="00537128" w:rsidRDefault="00AC7FD6" w:rsidP="00AC7FD6">
            <w:pPr>
              <w:tabs>
                <w:tab w:val="right" w:pos="1202"/>
              </w:tabs>
              <w:spacing w:after="0" w:line="301" w:lineRule="exact"/>
              <w:jc w:val="right"/>
              <w:outlineLvl w:val="0"/>
              <w:rPr>
                <w:rFonts w:eastAsia="Times New Roman" w:cs="Arial"/>
                <w:noProof/>
                <w:color w:val="000000" w:themeColor="text1"/>
                <w:lang w:val="en-US"/>
              </w:rPr>
            </w:pPr>
            <w:r>
              <w:rPr>
                <w:rFonts w:eastAsia="Times New Roman" w:cs="Arial"/>
                <w:noProof/>
                <w:color w:val="000000" w:themeColor="text1"/>
              </w:rPr>
              <w:t>94,709</w:t>
            </w:r>
          </w:p>
        </w:tc>
        <w:tc>
          <w:tcPr>
            <w:tcW w:w="704" w:type="pct"/>
            <w:tcBorders>
              <w:top w:val="nil"/>
              <w:left w:val="nil"/>
              <w:bottom w:val="nil"/>
              <w:right w:val="nil"/>
            </w:tcBorders>
            <w:shd w:val="clear" w:color="auto" w:fill="auto"/>
          </w:tcPr>
          <w:p w14:paraId="28F3AB18" w14:textId="66C9CB9D" w:rsidR="00AC7FD6" w:rsidRPr="00537128" w:rsidRDefault="00AC7FD6" w:rsidP="00AC7FD6">
            <w:pPr>
              <w:tabs>
                <w:tab w:val="right" w:pos="1202"/>
              </w:tabs>
              <w:spacing w:after="0" w:line="301" w:lineRule="exact"/>
              <w:jc w:val="right"/>
              <w:outlineLvl w:val="0"/>
              <w:rPr>
                <w:rFonts w:eastAsia="Times New Roman" w:cs="Arial"/>
                <w:noProof/>
                <w:color w:val="000000" w:themeColor="text1"/>
                <w:lang w:val="en-US"/>
              </w:rPr>
            </w:pPr>
            <w:r w:rsidRPr="00184E1D">
              <w:t xml:space="preserve"> 77</w:t>
            </w:r>
            <w:r>
              <w:t>,</w:t>
            </w:r>
            <w:r w:rsidRPr="00184E1D">
              <w:t xml:space="preserve">024 </w:t>
            </w:r>
          </w:p>
        </w:tc>
      </w:tr>
      <w:tr w:rsidR="00AC7FD6" w:rsidRPr="00537128" w14:paraId="0FA52E8D" w14:textId="77777777" w:rsidTr="00AD08EF">
        <w:trPr>
          <w:trHeight w:val="295"/>
        </w:trPr>
        <w:tc>
          <w:tcPr>
            <w:tcW w:w="2174" w:type="pct"/>
          </w:tcPr>
          <w:p w14:paraId="02D16A0A" w14:textId="6FBC4C38" w:rsidR="00AC7FD6" w:rsidRPr="00537128" w:rsidRDefault="00AC7FD6" w:rsidP="00AC7FD6">
            <w:pPr>
              <w:tabs>
                <w:tab w:val="right" w:pos="1202"/>
              </w:tabs>
              <w:spacing w:after="0" w:line="301" w:lineRule="exact"/>
              <w:outlineLvl w:val="0"/>
              <w:rPr>
                <w:rFonts w:eastAsia="Times New Roman" w:cs="Arial"/>
                <w:noProof/>
                <w:color w:val="000000" w:themeColor="text1"/>
                <w:lang w:val="en-US"/>
              </w:rPr>
            </w:pPr>
            <w:bookmarkStart w:id="216" w:name="_Toc4057775"/>
            <w:r w:rsidRPr="00537128">
              <w:rPr>
                <w:rFonts w:eastAsia="Times New Roman" w:cs="Arial"/>
                <w:noProof/>
                <w:color w:val="000000" w:themeColor="text1"/>
                <w:lang w:val="en-US"/>
              </w:rPr>
              <w:t>Domestic financial institutions</w:t>
            </w:r>
            <w:bookmarkEnd w:id="216"/>
          </w:p>
        </w:tc>
        <w:tc>
          <w:tcPr>
            <w:tcW w:w="707" w:type="pct"/>
            <w:tcBorders>
              <w:top w:val="nil"/>
              <w:left w:val="nil"/>
              <w:bottom w:val="nil"/>
              <w:right w:val="nil"/>
            </w:tcBorders>
            <w:shd w:val="clear" w:color="auto" w:fill="auto"/>
          </w:tcPr>
          <w:p w14:paraId="36DDAEF7" w14:textId="208DF6AE" w:rsidR="00AC7FD6" w:rsidRPr="00537128" w:rsidRDefault="00AC7FD6" w:rsidP="00AC7FD6">
            <w:pPr>
              <w:tabs>
                <w:tab w:val="right" w:pos="1202"/>
              </w:tabs>
              <w:spacing w:after="0" w:line="301" w:lineRule="exact"/>
              <w:jc w:val="right"/>
              <w:outlineLvl w:val="0"/>
              <w:rPr>
                <w:rFonts w:eastAsia="Times New Roman" w:cs="Arial"/>
                <w:noProof/>
                <w:color w:val="000000" w:themeColor="text1"/>
                <w:lang w:val="en-US"/>
              </w:rPr>
            </w:pPr>
            <w:r>
              <w:rPr>
                <w:rFonts w:eastAsia="Times New Roman" w:cs="Arial"/>
                <w:color w:val="000000" w:themeColor="text1"/>
              </w:rPr>
              <w:t>20,824</w:t>
            </w:r>
          </w:p>
        </w:tc>
        <w:tc>
          <w:tcPr>
            <w:tcW w:w="708" w:type="pct"/>
            <w:tcBorders>
              <w:top w:val="nil"/>
              <w:left w:val="nil"/>
              <w:bottom w:val="nil"/>
              <w:right w:val="nil"/>
            </w:tcBorders>
            <w:shd w:val="clear" w:color="auto" w:fill="auto"/>
          </w:tcPr>
          <w:p w14:paraId="718E0F73" w14:textId="38EC5C23" w:rsidR="00AC7FD6" w:rsidRPr="00537128" w:rsidRDefault="00AC7FD6" w:rsidP="00AC7FD6">
            <w:pPr>
              <w:tabs>
                <w:tab w:val="right" w:pos="1202"/>
              </w:tabs>
              <w:spacing w:after="0" w:line="301" w:lineRule="exact"/>
              <w:jc w:val="right"/>
              <w:outlineLvl w:val="0"/>
              <w:rPr>
                <w:rFonts w:eastAsia="Times New Roman" w:cs="Arial"/>
                <w:noProof/>
                <w:color w:val="000000" w:themeColor="text1"/>
                <w:lang w:val="en-US"/>
              </w:rPr>
            </w:pPr>
            <w:r w:rsidRPr="00E623E7">
              <w:t xml:space="preserve"> 28</w:t>
            </w:r>
            <w:r>
              <w:t>,</w:t>
            </w:r>
            <w:r w:rsidRPr="00E623E7">
              <w:t xml:space="preserve">990 </w:t>
            </w:r>
          </w:p>
        </w:tc>
        <w:tc>
          <w:tcPr>
            <w:tcW w:w="707" w:type="pct"/>
            <w:tcBorders>
              <w:top w:val="nil"/>
              <w:left w:val="nil"/>
              <w:bottom w:val="nil"/>
              <w:right w:val="nil"/>
            </w:tcBorders>
            <w:shd w:val="clear" w:color="auto" w:fill="auto"/>
          </w:tcPr>
          <w:p w14:paraId="71F397D3" w14:textId="246CE651" w:rsidR="00AC7FD6" w:rsidRPr="00537128" w:rsidRDefault="00AC7FD6" w:rsidP="00AC7FD6">
            <w:pPr>
              <w:tabs>
                <w:tab w:val="right" w:pos="1202"/>
              </w:tabs>
              <w:spacing w:after="0" w:line="301" w:lineRule="exact"/>
              <w:jc w:val="right"/>
              <w:outlineLvl w:val="0"/>
              <w:rPr>
                <w:rFonts w:eastAsia="Times New Roman" w:cs="Arial"/>
                <w:noProof/>
                <w:color w:val="000000" w:themeColor="text1"/>
                <w:lang w:val="en-US"/>
              </w:rPr>
            </w:pPr>
            <w:r>
              <w:rPr>
                <w:rFonts w:eastAsia="Times New Roman" w:cs="Arial"/>
                <w:noProof/>
                <w:color w:val="000000" w:themeColor="text1"/>
              </w:rPr>
              <w:t>20,824</w:t>
            </w:r>
          </w:p>
        </w:tc>
        <w:tc>
          <w:tcPr>
            <w:tcW w:w="704" w:type="pct"/>
            <w:tcBorders>
              <w:top w:val="nil"/>
              <w:left w:val="nil"/>
              <w:bottom w:val="nil"/>
              <w:right w:val="nil"/>
            </w:tcBorders>
            <w:shd w:val="clear" w:color="auto" w:fill="auto"/>
          </w:tcPr>
          <w:p w14:paraId="29146CF8" w14:textId="0602575D" w:rsidR="00AC7FD6" w:rsidRPr="00537128" w:rsidRDefault="00AC7FD6" w:rsidP="00AC7FD6">
            <w:pPr>
              <w:tabs>
                <w:tab w:val="right" w:pos="1202"/>
              </w:tabs>
              <w:spacing w:after="0" w:line="301" w:lineRule="exact"/>
              <w:jc w:val="right"/>
              <w:outlineLvl w:val="0"/>
              <w:rPr>
                <w:rFonts w:eastAsia="Times New Roman" w:cs="Arial"/>
                <w:noProof/>
                <w:color w:val="000000" w:themeColor="text1"/>
                <w:lang w:val="en-US"/>
              </w:rPr>
            </w:pPr>
            <w:r w:rsidRPr="00184E1D">
              <w:t xml:space="preserve"> 28</w:t>
            </w:r>
            <w:r>
              <w:t>,</w:t>
            </w:r>
            <w:r w:rsidRPr="00184E1D">
              <w:t xml:space="preserve">990 </w:t>
            </w:r>
          </w:p>
        </w:tc>
      </w:tr>
      <w:tr w:rsidR="00AC7FD6" w:rsidRPr="00537128" w14:paraId="174552C1" w14:textId="77777777" w:rsidTr="00AD08EF">
        <w:trPr>
          <w:trHeight w:val="295"/>
        </w:trPr>
        <w:tc>
          <w:tcPr>
            <w:tcW w:w="2174" w:type="pct"/>
          </w:tcPr>
          <w:p w14:paraId="4EF7A380" w14:textId="06401A09" w:rsidR="00AC7FD6" w:rsidRPr="00537128" w:rsidRDefault="00AC7FD6" w:rsidP="00AC7FD6">
            <w:pPr>
              <w:tabs>
                <w:tab w:val="right" w:pos="1202"/>
              </w:tabs>
              <w:spacing w:after="0" w:line="301" w:lineRule="exact"/>
              <w:outlineLvl w:val="0"/>
              <w:rPr>
                <w:rFonts w:eastAsia="Times New Roman" w:cs="Arial"/>
                <w:noProof/>
                <w:color w:val="000000" w:themeColor="text1"/>
                <w:lang w:val="en-US"/>
              </w:rPr>
            </w:pPr>
            <w:bookmarkStart w:id="217" w:name="_Toc4057780"/>
            <w:r w:rsidRPr="00537128">
              <w:rPr>
                <w:rFonts w:eastAsia="Times New Roman" w:cs="Arial"/>
                <w:noProof/>
                <w:color w:val="000000" w:themeColor="text1"/>
                <w:lang w:val="en-US"/>
              </w:rPr>
              <w:t>Foreign financial institutions</w:t>
            </w:r>
            <w:bookmarkEnd w:id="217"/>
          </w:p>
        </w:tc>
        <w:tc>
          <w:tcPr>
            <w:tcW w:w="707" w:type="pct"/>
            <w:tcBorders>
              <w:top w:val="nil"/>
              <w:left w:val="nil"/>
              <w:bottom w:val="nil"/>
              <w:right w:val="nil"/>
            </w:tcBorders>
            <w:shd w:val="clear" w:color="auto" w:fill="auto"/>
          </w:tcPr>
          <w:p w14:paraId="0D483BE5" w14:textId="78F1FF08" w:rsidR="00AC7FD6" w:rsidRPr="00537128" w:rsidRDefault="00AC7FD6" w:rsidP="00AC7FD6">
            <w:pPr>
              <w:tabs>
                <w:tab w:val="right" w:pos="1202"/>
              </w:tabs>
              <w:spacing w:after="0" w:line="301" w:lineRule="exact"/>
              <w:jc w:val="right"/>
              <w:outlineLvl w:val="0"/>
              <w:rPr>
                <w:rFonts w:eastAsia="Times New Roman" w:cs="Arial"/>
                <w:noProof/>
                <w:color w:val="000000" w:themeColor="text1"/>
                <w:lang w:val="en-US"/>
              </w:rPr>
            </w:pPr>
            <w:r>
              <w:rPr>
                <w:rFonts w:eastAsia="Times New Roman" w:cs="Arial"/>
                <w:color w:val="000000" w:themeColor="text1"/>
              </w:rPr>
              <w:t>211</w:t>
            </w:r>
          </w:p>
        </w:tc>
        <w:tc>
          <w:tcPr>
            <w:tcW w:w="708" w:type="pct"/>
            <w:tcBorders>
              <w:top w:val="nil"/>
              <w:left w:val="nil"/>
              <w:bottom w:val="nil"/>
              <w:right w:val="nil"/>
            </w:tcBorders>
            <w:shd w:val="clear" w:color="auto" w:fill="auto"/>
          </w:tcPr>
          <w:p w14:paraId="272E843A" w14:textId="750FF567" w:rsidR="00AC7FD6" w:rsidRPr="00537128" w:rsidRDefault="00AC7FD6" w:rsidP="00AC7FD6">
            <w:pPr>
              <w:tabs>
                <w:tab w:val="right" w:pos="1202"/>
              </w:tabs>
              <w:spacing w:after="0" w:line="301" w:lineRule="exact"/>
              <w:jc w:val="right"/>
              <w:outlineLvl w:val="0"/>
              <w:rPr>
                <w:rFonts w:eastAsia="Times New Roman" w:cs="Arial"/>
                <w:noProof/>
                <w:color w:val="000000" w:themeColor="text1"/>
                <w:lang w:val="en-US"/>
              </w:rPr>
            </w:pPr>
            <w:r w:rsidRPr="00E623E7">
              <w:t xml:space="preserve"> 662 </w:t>
            </w:r>
          </w:p>
        </w:tc>
        <w:tc>
          <w:tcPr>
            <w:tcW w:w="707" w:type="pct"/>
            <w:tcBorders>
              <w:top w:val="nil"/>
              <w:left w:val="nil"/>
              <w:bottom w:val="nil"/>
              <w:right w:val="nil"/>
            </w:tcBorders>
            <w:shd w:val="clear" w:color="auto" w:fill="auto"/>
          </w:tcPr>
          <w:p w14:paraId="3E937C36" w14:textId="351AC282" w:rsidR="00AC7FD6" w:rsidRPr="00537128" w:rsidRDefault="00AC7FD6" w:rsidP="00AC7FD6">
            <w:pPr>
              <w:tabs>
                <w:tab w:val="right" w:pos="1202"/>
              </w:tabs>
              <w:spacing w:after="0" w:line="301" w:lineRule="exact"/>
              <w:jc w:val="right"/>
              <w:outlineLvl w:val="0"/>
              <w:rPr>
                <w:rFonts w:eastAsia="Times New Roman" w:cs="Arial"/>
                <w:noProof/>
                <w:color w:val="000000" w:themeColor="text1"/>
                <w:lang w:val="en-US"/>
              </w:rPr>
            </w:pPr>
            <w:r>
              <w:rPr>
                <w:rFonts w:eastAsia="Times New Roman" w:cs="Arial"/>
                <w:noProof/>
                <w:color w:val="000000" w:themeColor="text1"/>
              </w:rPr>
              <w:t>211</w:t>
            </w:r>
          </w:p>
        </w:tc>
        <w:tc>
          <w:tcPr>
            <w:tcW w:w="704" w:type="pct"/>
            <w:tcBorders>
              <w:top w:val="nil"/>
              <w:left w:val="nil"/>
              <w:bottom w:val="nil"/>
              <w:right w:val="nil"/>
            </w:tcBorders>
            <w:shd w:val="clear" w:color="auto" w:fill="auto"/>
          </w:tcPr>
          <w:p w14:paraId="3B1106F9" w14:textId="443AF42D" w:rsidR="00AC7FD6" w:rsidRPr="00537128" w:rsidRDefault="00AC7FD6" w:rsidP="00AC7FD6">
            <w:pPr>
              <w:tabs>
                <w:tab w:val="right" w:pos="1202"/>
              </w:tabs>
              <w:spacing w:after="0" w:line="301" w:lineRule="exact"/>
              <w:jc w:val="right"/>
              <w:outlineLvl w:val="0"/>
              <w:rPr>
                <w:rFonts w:eastAsia="Times New Roman" w:cs="Arial"/>
                <w:noProof/>
                <w:color w:val="000000" w:themeColor="text1"/>
                <w:lang w:val="en-US"/>
              </w:rPr>
            </w:pPr>
            <w:r w:rsidRPr="00184E1D">
              <w:t xml:space="preserve"> 662 </w:t>
            </w:r>
          </w:p>
        </w:tc>
      </w:tr>
      <w:tr w:rsidR="00AC7FD6" w:rsidRPr="00537128" w14:paraId="24D2DC3D" w14:textId="77777777" w:rsidTr="00AD08EF">
        <w:trPr>
          <w:trHeight w:val="295"/>
        </w:trPr>
        <w:tc>
          <w:tcPr>
            <w:tcW w:w="2174" w:type="pct"/>
          </w:tcPr>
          <w:p w14:paraId="598476DA" w14:textId="685C34A1" w:rsidR="00AC7FD6" w:rsidRPr="00537128" w:rsidRDefault="00AC7FD6" w:rsidP="00AC7FD6">
            <w:pPr>
              <w:tabs>
                <w:tab w:val="right" w:pos="1202"/>
              </w:tabs>
              <w:spacing w:after="0" w:line="301" w:lineRule="exact"/>
              <w:outlineLvl w:val="0"/>
              <w:rPr>
                <w:rFonts w:eastAsia="Times New Roman" w:cs="Arial"/>
                <w:noProof/>
                <w:color w:val="000000" w:themeColor="text1"/>
                <w:lang w:val="en-US"/>
              </w:rPr>
            </w:pPr>
            <w:bookmarkStart w:id="218" w:name="_Toc4057785"/>
            <w:r w:rsidRPr="00537128">
              <w:rPr>
                <w:rFonts w:eastAsia="Times New Roman" w:cs="Arial"/>
                <w:noProof/>
                <w:color w:val="000000" w:themeColor="text1"/>
                <w:lang w:val="en-US"/>
              </w:rPr>
              <w:t>Penalty interest</w:t>
            </w:r>
            <w:bookmarkEnd w:id="218"/>
          </w:p>
        </w:tc>
        <w:tc>
          <w:tcPr>
            <w:tcW w:w="707" w:type="pct"/>
            <w:tcBorders>
              <w:top w:val="nil"/>
              <w:left w:val="nil"/>
              <w:bottom w:val="nil"/>
              <w:right w:val="nil"/>
            </w:tcBorders>
            <w:shd w:val="clear" w:color="auto" w:fill="auto"/>
          </w:tcPr>
          <w:p w14:paraId="49D060A3" w14:textId="3C3C4F9C" w:rsidR="00AC7FD6" w:rsidRPr="00537128" w:rsidRDefault="00AC7FD6" w:rsidP="00AC7FD6">
            <w:pPr>
              <w:tabs>
                <w:tab w:val="right" w:pos="1202"/>
              </w:tabs>
              <w:spacing w:after="0" w:line="301" w:lineRule="exact"/>
              <w:jc w:val="right"/>
              <w:outlineLvl w:val="0"/>
              <w:rPr>
                <w:rFonts w:eastAsia="Times New Roman" w:cs="Arial"/>
                <w:noProof/>
                <w:color w:val="000000" w:themeColor="text1"/>
                <w:lang w:val="en-US"/>
              </w:rPr>
            </w:pPr>
            <w:r>
              <w:rPr>
                <w:rFonts w:eastAsia="Times New Roman" w:cs="Arial"/>
                <w:color w:val="000000" w:themeColor="text1"/>
              </w:rPr>
              <w:t>16,478</w:t>
            </w:r>
          </w:p>
        </w:tc>
        <w:tc>
          <w:tcPr>
            <w:tcW w:w="708" w:type="pct"/>
            <w:tcBorders>
              <w:top w:val="nil"/>
              <w:left w:val="nil"/>
              <w:bottom w:val="nil"/>
              <w:right w:val="nil"/>
            </w:tcBorders>
            <w:shd w:val="clear" w:color="auto" w:fill="auto"/>
          </w:tcPr>
          <w:p w14:paraId="5A182614" w14:textId="27F405C0" w:rsidR="00AC7FD6" w:rsidRPr="00537128" w:rsidRDefault="00AC7FD6" w:rsidP="00AC7FD6">
            <w:pPr>
              <w:tabs>
                <w:tab w:val="right" w:pos="1202"/>
              </w:tabs>
              <w:spacing w:after="0" w:line="301" w:lineRule="exact"/>
              <w:jc w:val="right"/>
              <w:outlineLvl w:val="0"/>
              <w:rPr>
                <w:rFonts w:eastAsia="Times New Roman" w:cs="Arial"/>
                <w:noProof/>
                <w:color w:val="000000" w:themeColor="text1"/>
                <w:lang w:val="en-US"/>
              </w:rPr>
            </w:pPr>
            <w:r w:rsidRPr="00E623E7">
              <w:t xml:space="preserve"> 6</w:t>
            </w:r>
            <w:r>
              <w:t>,</w:t>
            </w:r>
            <w:r w:rsidRPr="00E623E7">
              <w:t xml:space="preserve">448 </w:t>
            </w:r>
          </w:p>
        </w:tc>
        <w:tc>
          <w:tcPr>
            <w:tcW w:w="707" w:type="pct"/>
            <w:tcBorders>
              <w:top w:val="nil"/>
              <w:left w:val="nil"/>
              <w:bottom w:val="nil"/>
              <w:right w:val="nil"/>
            </w:tcBorders>
            <w:shd w:val="clear" w:color="auto" w:fill="auto"/>
          </w:tcPr>
          <w:p w14:paraId="6B79B770" w14:textId="196BF506" w:rsidR="00AC7FD6" w:rsidRPr="00537128" w:rsidRDefault="00AC7FD6" w:rsidP="00AC7FD6">
            <w:pPr>
              <w:tabs>
                <w:tab w:val="right" w:pos="1202"/>
              </w:tabs>
              <w:spacing w:after="0" w:line="301" w:lineRule="exact"/>
              <w:jc w:val="right"/>
              <w:outlineLvl w:val="0"/>
              <w:rPr>
                <w:rFonts w:eastAsia="Times New Roman" w:cs="Arial"/>
                <w:noProof/>
                <w:color w:val="000000" w:themeColor="text1"/>
                <w:lang w:val="en-US"/>
              </w:rPr>
            </w:pPr>
            <w:r>
              <w:rPr>
                <w:rFonts w:eastAsia="Times New Roman" w:cs="Arial"/>
                <w:noProof/>
                <w:color w:val="000000" w:themeColor="text1"/>
              </w:rPr>
              <w:t>16,478</w:t>
            </w:r>
          </w:p>
        </w:tc>
        <w:tc>
          <w:tcPr>
            <w:tcW w:w="704" w:type="pct"/>
            <w:tcBorders>
              <w:top w:val="nil"/>
              <w:left w:val="nil"/>
              <w:bottom w:val="nil"/>
              <w:right w:val="nil"/>
            </w:tcBorders>
            <w:shd w:val="clear" w:color="auto" w:fill="auto"/>
          </w:tcPr>
          <w:p w14:paraId="377F2C4A" w14:textId="7B47509A" w:rsidR="00AC7FD6" w:rsidRPr="00537128" w:rsidRDefault="00AC7FD6" w:rsidP="00AC7FD6">
            <w:pPr>
              <w:tabs>
                <w:tab w:val="right" w:pos="1202"/>
              </w:tabs>
              <w:spacing w:after="0" w:line="301" w:lineRule="exact"/>
              <w:jc w:val="right"/>
              <w:outlineLvl w:val="0"/>
              <w:rPr>
                <w:rFonts w:eastAsia="Times New Roman" w:cs="Arial"/>
                <w:noProof/>
                <w:color w:val="000000" w:themeColor="text1"/>
                <w:lang w:val="en-US"/>
              </w:rPr>
            </w:pPr>
            <w:r w:rsidRPr="00184E1D">
              <w:t xml:space="preserve"> 6</w:t>
            </w:r>
            <w:r>
              <w:t>,</w:t>
            </w:r>
            <w:r w:rsidRPr="00184E1D">
              <w:t xml:space="preserve">448 </w:t>
            </w:r>
          </w:p>
        </w:tc>
      </w:tr>
      <w:tr w:rsidR="00AC7FD6" w:rsidRPr="00537128" w14:paraId="470A5455" w14:textId="77777777" w:rsidTr="00AD08EF">
        <w:trPr>
          <w:trHeight w:val="295"/>
        </w:trPr>
        <w:tc>
          <w:tcPr>
            <w:tcW w:w="2174" w:type="pct"/>
          </w:tcPr>
          <w:p w14:paraId="4857E355" w14:textId="7AFAD54D" w:rsidR="00AC7FD6" w:rsidRPr="00537128" w:rsidRDefault="00AC7FD6" w:rsidP="00AC7FD6">
            <w:pPr>
              <w:tabs>
                <w:tab w:val="right" w:pos="1202"/>
              </w:tabs>
              <w:spacing w:after="0" w:line="301" w:lineRule="exact"/>
              <w:outlineLvl w:val="0"/>
              <w:rPr>
                <w:rFonts w:eastAsia="Times New Roman" w:cs="Arial"/>
                <w:noProof/>
                <w:color w:val="000000" w:themeColor="text1"/>
                <w:lang w:val="en-US"/>
              </w:rPr>
            </w:pPr>
            <w:bookmarkStart w:id="219" w:name="_Toc4057790"/>
            <w:r w:rsidRPr="00537128">
              <w:rPr>
                <w:rFonts w:eastAsia="Times New Roman" w:cs="Arial"/>
                <w:noProof/>
                <w:color w:val="000000" w:themeColor="text1"/>
                <w:lang w:val="en-US"/>
              </w:rPr>
              <w:t>Other</w:t>
            </w:r>
            <w:bookmarkEnd w:id="219"/>
          </w:p>
        </w:tc>
        <w:tc>
          <w:tcPr>
            <w:tcW w:w="707" w:type="pct"/>
            <w:tcBorders>
              <w:top w:val="nil"/>
              <w:left w:val="nil"/>
              <w:bottom w:val="nil"/>
              <w:right w:val="nil"/>
            </w:tcBorders>
            <w:shd w:val="clear" w:color="auto" w:fill="auto"/>
          </w:tcPr>
          <w:p w14:paraId="6EB8FF2E" w14:textId="67C47876" w:rsidR="00AC7FD6" w:rsidRPr="00537128" w:rsidRDefault="00AC7FD6" w:rsidP="00AC7FD6">
            <w:pPr>
              <w:tabs>
                <w:tab w:val="right" w:pos="1202"/>
              </w:tabs>
              <w:spacing w:after="0" w:line="301" w:lineRule="exact"/>
              <w:jc w:val="right"/>
              <w:outlineLvl w:val="0"/>
              <w:rPr>
                <w:rFonts w:eastAsia="Times New Roman" w:cs="Arial"/>
                <w:noProof/>
                <w:color w:val="000000" w:themeColor="text1"/>
                <w:lang w:val="en-US"/>
              </w:rPr>
            </w:pPr>
            <w:r>
              <w:rPr>
                <w:rFonts w:eastAsia="Times New Roman" w:cs="Arial"/>
                <w:color w:val="000000" w:themeColor="text1"/>
              </w:rPr>
              <w:t>4,090</w:t>
            </w:r>
          </w:p>
        </w:tc>
        <w:tc>
          <w:tcPr>
            <w:tcW w:w="708" w:type="pct"/>
            <w:tcBorders>
              <w:top w:val="nil"/>
              <w:left w:val="nil"/>
              <w:bottom w:val="nil"/>
              <w:right w:val="nil"/>
            </w:tcBorders>
            <w:shd w:val="clear" w:color="auto" w:fill="auto"/>
          </w:tcPr>
          <w:p w14:paraId="4A22769B" w14:textId="66E05F86" w:rsidR="00AC7FD6" w:rsidRPr="00537128" w:rsidRDefault="00AC7FD6" w:rsidP="00AC7FD6">
            <w:pPr>
              <w:tabs>
                <w:tab w:val="right" w:pos="1202"/>
              </w:tabs>
              <w:spacing w:after="0" w:line="301" w:lineRule="exact"/>
              <w:jc w:val="right"/>
              <w:outlineLvl w:val="0"/>
              <w:rPr>
                <w:rFonts w:eastAsia="Times New Roman" w:cs="Arial"/>
                <w:noProof/>
                <w:color w:val="000000" w:themeColor="text1"/>
                <w:lang w:val="en-US"/>
              </w:rPr>
            </w:pPr>
            <w:r w:rsidRPr="00E623E7">
              <w:t xml:space="preserve"> 5</w:t>
            </w:r>
            <w:r>
              <w:t>,</w:t>
            </w:r>
            <w:r w:rsidRPr="00E623E7">
              <w:t xml:space="preserve">572 </w:t>
            </w:r>
          </w:p>
        </w:tc>
        <w:tc>
          <w:tcPr>
            <w:tcW w:w="707" w:type="pct"/>
            <w:tcBorders>
              <w:top w:val="nil"/>
              <w:left w:val="nil"/>
              <w:bottom w:val="nil"/>
              <w:right w:val="nil"/>
            </w:tcBorders>
            <w:shd w:val="clear" w:color="auto" w:fill="auto"/>
          </w:tcPr>
          <w:p w14:paraId="272CEB8E" w14:textId="0DC7B4B8" w:rsidR="00AC7FD6" w:rsidRPr="00537128" w:rsidRDefault="00AC7FD6" w:rsidP="00AC7FD6">
            <w:pPr>
              <w:tabs>
                <w:tab w:val="right" w:pos="1202"/>
              </w:tabs>
              <w:spacing w:after="0" w:line="301" w:lineRule="exact"/>
              <w:jc w:val="right"/>
              <w:outlineLvl w:val="0"/>
              <w:rPr>
                <w:rFonts w:eastAsia="Times New Roman" w:cs="Arial"/>
                <w:noProof/>
                <w:color w:val="000000" w:themeColor="text1"/>
                <w:lang w:val="en-US"/>
              </w:rPr>
            </w:pPr>
            <w:r>
              <w:rPr>
                <w:rFonts w:eastAsia="Times New Roman" w:cs="Arial"/>
                <w:noProof/>
                <w:color w:val="000000" w:themeColor="text1"/>
              </w:rPr>
              <w:t>4,090</w:t>
            </w:r>
          </w:p>
        </w:tc>
        <w:tc>
          <w:tcPr>
            <w:tcW w:w="704" w:type="pct"/>
            <w:tcBorders>
              <w:top w:val="nil"/>
              <w:left w:val="nil"/>
              <w:bottom w:val="single" w:sz="2" w:space="0" w:color="auto"/>
              <w:right w:val="nil"/>
            </w:tcBorders>
            <w:shd w:val="clear" w:color="auto" w:fill="auto"/>
          </w:tcPr>
          <w:p w14:paraId="015578DD" w14:textId="721CC42B" w:rsidR="00AC7FD6" w:rsidRPr="00537128" w:rsidRDefault="00AC7FD6" w:rsidP="00AC7FD6">
            <w:pPr>
              <w:tabs>
                <w:tab w:val="right" w:pos="1202"/>
              </w:tabs>
              <w:spacing w:after="0" w:line="301" w:lineRule="exact"/>
              <w:jc w:val="right"/>
              <w:outlineLvl w:val="0"/>
              <w:rPr>
                <w:rFonts w:eastAsia="Times New Roman" w:cs="Arial"/>
                <w:noProof/>
                <w:color w:val="000000" w:themeColor="text1"/>
                <w:lang w:val="en-US"/>
              </w:rPr>
            </w:pPr>
            <w:r w:rsidRPr="00184E1D">
              <w:t xml:space="preserve"> 5</w:t>
            </w:r>
            <w:r>
              <w:t>,</w:t>
            </w:r>
            <w:r w:rsidRPr="00184E1D">
              <w:t xml:space="preserve">572 </w:t>
            </w:r>
          </w:p>
        </w:tc>
      </w:tr>
      <w:tr w:rsidR="00AC7FD6" w:rsidRPr="00537128" w14:paraId="5D0C974F" w14:textId="77777777" w:rsidTr="009E5940">
        <w:trPr>
          <w:trHeight w:val="332"/>
        </w:trPr>
        <w:tc>
          <w:tcPr>
            <w:tcW w:w="2174" w:type="pct"/>
          </w:tcPr>
          <w:p w14:paraId="7252147F" w14:textId="77777777" w:rsidR="00AC7FD6" w:rsidRPr="00537128" w:rsidRDefault="00AC7FD6" w:rsidP="00AC7FD6">
            <w:pPr>
              <w:tabs>
                <w:tab w:val="right" w:pos="1202"/>
              </w:tabs>
              <w:spacing w:after="0" w:line="340" w:lineRule="exact"/>
              <w:outlineLvl w:val="0"/>
              <w:rPr>
                <w:rFonts w:eastAsia="Times New Roman" w:cs="Arial"/>
                <w:b/>
                <w:bCs/>
                <w:noProof/>
                <w:color w:val="000000" w:themeColor="text1"/>
                <w:lang w:val="en-US"/>
              </w:rPr>
            </w:pPr>
          </w:p>
        </w:tc>
        <w:tc>
          <w:tcPr>
            <w:tcW w:w="707" w:type="pct"/>
            <w:tcBorders>
              <w:top w:val="single" w:sz="4" w:space="0" w:color="auto"/>
              <w:bottom w:val="single" w:sz="12" w:space="0" w:color="auto"/>
            </w:tcBorders>
            <w:vAlign w:val="bottom"/>
          </w:tcPr>
          <w:p w14:paraId="51E94CB7" w14:textId="019DD427" w:rsidR="00AC7FD6" w:rsidRPr="00537128" w:rsidRDefault="00AC7FD6" w:rsidP="00AC7FD6">
            <w:pPr>
              <w:tabs>
                <w:tab w:val="right" w:pos="1202"/>
              </w:tabs>
              <w:spacing w:after="0" w:line="340" w:lineRule="exact"/>
              <w:jc w:val="right"/>
              <w:outlineLvl w:val="0"/>
              <w:rPr>
                <w:rFonts w:eastAsia="Times New Roman" w:cs="Arial"/>
                <w:b/>
                <w:bCs/>
                <w:noProof/>
                <w:color w:val="000000" w:themeColor="text1"/>
                <w:lang w:val="en-US"/>
              </w:rPr>
            </w:pPr>
            <w:r>
              <w:rPr>
                <w:rFonts w:eastAsia="Times New Roman" w:cs="Arial"/>
                <w:b/>
                <w:bCs/>
                <w:color w:val="000000" w:themeColor="text1"/>
              </w:rPr>
              <w:t>185,339</w:t>
            </w:r>
          </w:p>
        </w:tc>
        <w:tc>
          <w:tcPr>
            <w:tcW w:w="708" w:type="pct"/>
            <w:tcBorders>
              <w:top w:val="single" w:sz="4" w:space="0" w:color="auto"/>
              <w:bottom w:val="single" w:sz="12" w:space="0" w:color="auto"/>
            </w:tcBorders>
            <w:vAlign w:val="bottom"/>
          </w:tcPr>
          <w:p w14:paraId="7E30D6A1" w14:textId="2C7B6AA5" w:rsidR="00AC7FD6" w:rsidRPr="00537128" w:rsidRDefault="00AC7FD6" w:rsidP="00AC7FD6">
            <w:pPr>
              <w:tabs>
                <w:tab w:val="right" w:pos="1202"/>
              </w:tabs>
              <w:spacing w:after="0" w:line="340" w:lineRule="exact"/>
              <w:jc w:val="right"/>
              <w:outlineLvl w:val="0"/>
              <w:rPr>
                <w:rFonts w:eastAsia="Times New Roman" w:cs="Arial"/>
                <w:b/>
                <w:bCs/>
                <w:noProof/>
                <w:color w:val="000000" w:themeColor="text1"/>
                <w:lang w:val="en-US"/>
              </w:rPr>
            </w:pPr>
            <w:r w:rsidRPr="00EA2FCA">
              <w:rPr>
                <w:rFonts w:eastAsia="Times New Roman" w:cs="Arial"/>
                <w:b/>
                <w:bCs/>
                <w:color w:val="000000" w:themeColor="text1"/>
              </w:rPr>
              <w:t>170</w:t>
            </w:r>
            <w:r>
              <w:rPr>
                <w:rFonts w:eastAsia="Times New Roman" w:cs="Arial"/>
                <w:b/>
                <w:bCs/>
                <w:color w:val="000000" w:themeColor="text1"/>
              </w:rPr>
              <w:t>,</w:t>
            </w:r>
            <w:r w:rsidRPr="00EA2FCA">
              <w:rPr>
                <w:rFonts w:eastAsia="Times New Roman" w:cs="Arial"/>
                <w:b/>
                <w:bCs/>
                <w:color w:val="000000" w:themeColor="text1"/>
              </w:rPr>
              <w:t>106</w:t>
            </w:r>
          </w:p>
        </w:tc>
        <w:tc>
          <w:tcPr>
            <w:tcW w:w="707" w:type="pct"/>
            <w:tcBorders>
              <w:top w:val="single" w:sz="4" w:space="0" w:color="auto"/>
              <w:bottom w:val="single" w:sz="12" w:space="0" w:color="auto"/>
            </w:tcBorders>
            <w:vAlign w:val="bottom"/>
          </w:tcPr>
          <w:p w14:paraId="32A6C9A3" w14:textId="29692DCE" w:rsidR="00AC7FD6" w:rsidRPr="00537128" w:rsidRDefault="00AC7FD6" w:rsidP="00AC7FD6">
            <w:pPr>
              <w:tabs>
                <w:tab w:val="right" w:pos="1202"/>
              </w:tabs>
              <w:spacing w:after="0" w:line="340" w:lineRule="exact"/>
              <w:jc w:val="right"/>
              <w:outlineLvl w:val="0"/>
              <w:rPr>
                <w:rFonts w:eastAsia="Times New Roman" w:cs="Arial"/>
                <w:b/>
                <w:bCs/>
                <w:noProof/>
                <w:color w:val="000000" w:themeColor="text1"/>
                <w:lang w:val="en-US"/>
              </w:rPr>
            </w:pPr>
            <w:r>
              <w:rPr>
                <w:rFonts w:eastAsia="Times New Roman" w:cs="Arial"/>
                <w:b/>
                <w:bCs/>
                <w:noProof/>
                <w:color w:val="000000" w:themeColor="text1"/>
              </w:rPr>
              <w:t>185,009</w:t>
            </w:r>
          </w:p>
        </w:tc>
        <w:tc>
          <w:tcPr>
            <w:tcW w:w="704" w:type="pct"/>
            <w:tcBorders>
              <w:top w:val="single" w:sz="2" w:space="0" w:color="auto"/>
              <w:left w:val="nil"/>
              <w:bottom w:val="single" w:sz="12" w:space="0" w:color="auto"/>
              <w:right w:val="nil"/>
            </w:tcBorders>
            <w:shd w:val="clear" w:color="auto" w:fill="auto"/>
            <w:vAlign w:val="bottom"/>
          </w:tcPr>
          <w:p w14:paraId="43924277" w14:textId="63FEF066" w:rsidR="00AC7FD6" w:rsidRPr="00537128" w:rsidRDefault="00AC7FD6" w:rsidP="00AC7FD6">
            <w:pPr>
              <w:tabs>
                <w:tab w:val="right" w:pos="1202"/>
              </w:tabs>
              <w:spacing w:after="0" w:line="340" w:lineRule="exact"/>
              <w:jc w:val="right"/>
              <w:outlineLvl w:val="0"/>
              <w:rPr>
                <w:rFonts w:eastAsia="Times New Roman" w:cs="Arial"/>
                <w:b/>
                <w:bCs/>
                <w:noProof/>
                <w:color w:val="000000" w:themeColor="text1"/>
                <w:lang w:val="en-US"/>
              </w:rPr>
            </w:pPr>
            <w:r w:rsidRPr="00EA2FCA">
              <w:rPr>
                <w:rFonts w:eastAsia="Times New Roman" w:cs="Arial"/>
                <w:b/>
                <w:bCs/>
                <w:noProof/>
                <w:color w:val="000000" w:themeColor="text1"/>
              </w:rPr>
              <w:t>169</w:t>
            </w:r>
            <w:r>
              <w:rPr>
                <w:rFonts w:eastAsia="Times New Roman" w:cs="Arial"/>
                <w:b/>
                <w:bCs/>
                <w:noProof/>
                <w:color w:val="000000" w:themeColor="text1"/>
              </w:rPr>
              <w:t>,</w:t>
            </w:r>
            <w:r w:rsidRPr="00EA2FCA">
              <w:rPr>
                <w:rFonts w:eastAsia="Times New Roman" w:cs="Arial"/>
                <w:b/>
                <w:bCs/>
                <w:noProof/>
                <w:color w:val="000000" w:themeColor="text1"/>
              </w:rPr>
              <w:t>789</w:t>
            </w:r>
          </w:p>
        </w:tc>
      </w:tr>
    </w:tbl>
    <w:p w14:paraId="7CCD4402" w14:textId="77777777" w:rsidR="008537D6" w:rsidRPr="00537128" w:rsidRDefault="008537D6" w:rsidP="00D35D5C">
      <w:pPr>
        <w:jc w:val="both"/>
        <w:rPr>
          <w:rFonts w:cstheme="minorHAnsi"/>
          <w:b/>
          <w:bCs/>
          <w:noProof/>
          <w:color w:val="000000" w:themeColor="text1"/>
          <w:lang w:val="en-US" w:eastAsia="hr-HR"/>
        </w:rPr>
      </w:pPr>
    </w:p>
    <w:p w14:paraId="7FAFCEF4" w14:textId="1313E1E2" w:rsidR="0067409C" w:rsidRPr="00537128" w:rsidRDefault="0067409C" w:rsidP="00D35D5C">
      <w:pPr>
        <w:jc w:val="both"/>
        <w:rPr>
          <w:rFonts w:cstheme="minorHAnsi"/>
          <w:noProof/>
          <w:color w:val="000000" w:themeColor="text1"/>
          <w:lang w:val="en-US" w:eastAsia="hr-HR"/>
        </w:rPr>
      </w:pPr>
      <w:r w:rsidRPr="00537128">
        <w:rPr>
          <w:rFonts w:cstheme="minorHAnsi"/>
          <w:noProof/>
          <w:color w:val="000000" w:themeColor="text1"/>
          <w:lang w:val="en-US" w:eastAsia="hr-HR"/>
        </w:rPr>
        <w:t>Interest income by type of facility:</w:t>
      </w:r>
    </w:p>
    <w:tbl>
      <w:tblPr>
        <w:tblW w:w="5115" w:type="pct"/>
        <w:tblLayout w:type="fixed"/>
        <w:tblCellMar>
          <w:left w:w="122" w:type="dxa"/>
          <w:right w:w="122" w:type="dxa"/>
        </w:tblCellMar>
        <w:tblLook w:val="0000" w:firstRow="0" w:lastRow="0" w:firstColumn="0" w:lastColumn="0" w:noHBand="0" w:noVBand="0"/>
      </w:tblPr>
      <w:tblGrid>
        <w:gridCol w:w="4036"/>
        <w:gridCol w:w="1312"/>
        <w:gridCol w:w="1312"/>
        <w:gridCol w:w="1312"/>
        <w:gridCol w:w="1309"/>
      </w:tblGrid>
      <w:tr w:rsidR="008537D6" w:rsidRPr="00537128" w14:paraId="59A3C32D" w14:textId="77777777" w:rsidTr="009E5940">
        <w:trPr>
          <w:trHeight w:val="125"/>
        </w:trPr>
        <w:tc>
          <w:tcPr>
            <w:tcW w:w="2174" w:type="pct"/>
          </w:tcPr>
          <w:p w14:paraId="0B1A6B56" w14:textId="77777777" w:rsidR="008537D6" w:rsidRPr="00537128" w:rsidRDefault="008537D6" w:rsidP="009E5940">
            <w:pPr>
              <w:tabs>
                <w:tab w:val="left" w:pos="-720"/>
              </w:tabs>
              <w:suppressAutoHyphens/>
              <w:spacing w:after="0" w:line="240" w:lineRule="auto"/>
              <w:jc w:val="right"/>
              <w:rPr>
                <w:rFonts w:cs="Arial"/>
                <w:noProof/>
                <w:color w:val="000000" w:themeColor="text1"/>
                <w:spacing w:val="-3"/>
                <w:sz w:val="18"/>
                <w:szCs w:val="18"/>
                <w:lang w:val="en-US"/>
              </w:rPr>
            </w:pPr>
          </w:p>
        </w:tc>
        <w:tc>
          <w:tcPr>
            <w:tcW w:w="707" w:type="pct"/>
          </w:tcPr>
          <w:p w14:paraId="0F947592" w14:textId="77777777" w:rsidR="008537D6" w:rsidRPr="00537128" w:rsidRDefault="008537D6" w:rsidP="009E5940">
            <w:pPr>
              <w:tabs>
                <w:tab w:val="right" w:pos="1202"/>
              </w:tabs>
              <w:spacing w:after="0" w:line="240" w:lineRule="atLeast"/>
              <w:jc w:val="right"/>
              <w:outlineLvl w:val="0"/>
              <w:rPr>
                <w:rFonts w:eastAsia="Times New Roman" w:cs="Arial"/>
                <w:b/>
                <w:noProof/>
                <w:color w:val="000000" w:themeColor="text1"/>
                <w:lang w:val="en-US"/>
              </w:rPr>
            </w:pPr>
          </w:p>
        </w:tc>
        <w:tc>
          <w:tcPr>
            <w:tcW w:w="707" w:type="pct"/>
          </w:tcPr>
          <w:p w14:paraId="4D6F25C6" w14:textId="77777777" w:rsidR="008537D6" w:rsidRPr="00537128" w:rsidRDefault="008537D6" w:rsidP="009E5940">
            <w:pPr>
              <w:tabs>
                <w:tab w:val="right" w:pos="1202"/>
              </w:tabs>
              <w:spacing w:after="0" w:line="240" w:lineRule="atLeast"/>
              <w:jc w:val="right"/>
              <w:outlineLvl w:val="0"/>
              <w:rPr>
                <w:rFonts w:eastAsia="Times New Roman" w:cs="Arial"/>
                <w:b/>
                <w:noProof/>
                <w:color w:val="000000" w:themeColor="text1"/>
                <w:lang w:val="en-US"/>
              </w:rPr>
            </w:pPr>
            <w:bookmarkStart w:id="220" w:name="_Toc4057799"/>
            <w:r w:rsidRPr="00537128">
              <w:rPr>
                <w:rFonts w:eastAsia="Times New Roman" w:cs="Arial"/>
                <w:b/>
                <w:noProof/>
                <w:color w:val="000000" w:themeColor="text1"/>
                <w:lang w:val="en-US"/>
              </w:rPr>
              <w:t>Group</w:t>
            </w:r>
            <w:bookmarkEnd w:id="220"/>
          </w:p>
        </w:tc>
        <w:tc>
          <w:tcPr>
            <w:tcW w:w="707" w:type="pct"/>
          </w:tcPr>
          <w:p w14:paraId="3C08FE90" w14:textId="77777777" w:rsidR="008537D6" w:rsidRPr="00537128" w:rsidRDefault="008537D6" w:rsidP="009E5940">
            <w:pPr>
              <w:tabs>
                <w:tab w:val="right" w:pos="1202"/>
              </w:tabs>
              <w:spacing w:after="0" w:line="240" w:lineRule="atLeast"/>
              <w:jc w:val="right"/>
              <w:outlineLvl w:val="0"/>
              <w:rPr>
                <w:rFonts w:eastAsia="Times New Roman" w:cs="Arial"/>
                <w:b/>
                <w:noProof/>
                <w:color w:val="000000" w:themeColor="text1"/>
                <w:lang w:val="en-US"/>
              </w:rPr>
            </w:pPr>
          </w:p>
        </w:tc>
        <w:tc>
          <w:tcPr>
            <w:tcW w:w="705" w:type="pct"/>
          </w:tcPr>
          <w:p w14:paraId="401AA7CA" w14:textId="77777777" w:rsidR="008537D6" w:rsidRPr="00537128" w:rsidRDefault="008537D6" w:rsidP="009E5940">
            <w:pPr>
              <w:tabs>
                <w:tab w:val="right" w:pos="1202"/>
              </w:tabs>
              <w:spacing w:after="0" w:line="240" w:lineRule="atLeast"/>
              <w:jc w:val="right"/>
              <w:outlineLvl w:val="0"/>
              <w:rPr>
                <w:rFonts w:eastAsia="Times New Roman" w:cs="Arial"/>
                <w:b/>
                <w:noProof/>
                <w:color w:val="000000" w:themeColor="text1"/>
                <w:lang w:val="en-US"/>
              </w:rPr>
            </w:pPr>
            <w:bookmarkStart w:id="221" w:name="_Toc4057800"/>
            <w:r w:rsidRPr="00537128">
              <w:rPr>
                <w:rFonts w:eastAsia="Times New Roman" w:cs="Arial"/>
                <w:b/>
                <w:noProof/>
                <w:color w:val="000000" w:themeColor="text1"/>
                <w:lang w:val="en-US"/>
              </w:rPr>
              <w:t>Bank</w:t>
            </w:r>
            <w:bookmarkEnd w:id="221"/>
          </w:p>
        </w:tc>
      </w:tr>
      <w:tr w:rsidR="008537D6" w:rsidRPr="00537128" w14:paraId="4E6AD97F" w14:textId="77777777" w:rsidTr="009E5940">
        <w:trPr>
          <w:trHeight w:val="219"/>
        </w:trPr>
        <w:tc>
          <w:tcPr>
            <w:tcW w:w="2174" w:type="pct"/>
          </w:tcPr>
          <w:p w14:paraId="7A838A88" w14:textId="77777777" w:rsidR="008537D6" w:rsidRPr="00537128" w:rsidRDefault="008537D6" w:rsidP="008537D6">
            <w:pPr>
              <w:tabs>
                <w:tab w:val="left" w:pos="-720"/>
              </w:tabs>
              <w:suppressAutoHyphens/>
              <w:spacing w:after="0" w:line="240" w:lineRule="auto"/>
              <w:jc w:val="right"/>
              <w:rPr>
                <w:rFonts w:cs="Arial"/>
                <w:noProof/>
                <w:color w:val="000000" w:themeColor="text1"/>
                <w:spacing w:val="-3"/>
                <w:lang w:val="en-US"/>
              </w:rPr>
            </w:pPr>
          </w:p>
        </w:tc>
        <w:tc>
          <w:tcPr>
            <w:tcW w:w="707" w:type="pct"/>
            <w:vAlign w:val="center"/>
          </w:tcPr>
          <w:p w14:paraId="236686E8" w14:textId="078933F3"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theme="minorHAnsi"/>
                <w:b/>
                <w:bCs/>
                <w:noProof/>
                <w:color w:val="000000" w:themeColor="text1"/>
                <w:lang w:val="en-US"/>
              </w:rPr>
              <w:t>Jan 1 - Mar 31, 202</w:t>
            </w:r>
            <w:r w:rsidR="003E2079">
              <w:rPr>
                <w:rFonts w:eastAsia="Times New Roman" w:cstheme="minorHAnsi"/>
                <w:b/>
                <w:bCs/>
                <w:noProof/>
                <w:color w:val="000000" w:themeColor="text1"/>
                <w:lang w:val="en-US"/>
              </w:rPr>
              <w:t>2</w:t>
            </w:r>
          </w:p>
        </w:tc>
        <w:tc>
          <w:tcPr>
            <w:tcW w:w="707" w:type="pct"/>
            <w:vAlign w:val="center"/>
          </w:tcPr>
          <w:p w14:paraId="2F5243BB" w14:textId="55D7270F"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theme="minorHAnsi"/>
                <w:b/>
                <w:bCs/>
                <w:noProof/>
                <w:color w:val="000000" w:themeColor="text1"/>
                <w:lang w:val="en-US"/>
              </w:rPr>
              <w:t>Jan 1 - Mar 31, 202</w:t>
            </w:r>
            <w:r w:rsidR="003E2079">
              <w:rPr>
                <w:rFonts w:eastAsia="Times New Roman" w:cstheme="minorHAnsi"/>
                <w:b/>
                <w:bCs/>
                <w:noProof/>
                <w:color w:val="000000" w:themeColor="text1"/>
                <w:lang w:val="en-US"/>
              </w:rPr>
              <w:t>1</w:t>
            </w:r>
          </w:p>
        </w:tc>
        <w:tc>
          <w:tcPr>
            <w:tcW w:w="707" w:type="pct"/>
            <w:vAlign w:val="center"/>
          </w:tcPr>
          <w:p w14:paraId="01FD216C" w14:textId="47865DD4"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theme="minorHAnsi"/>
                <w:b/>
                <w:bCs/>
                <w:noProof/>
                <w:color w:val="000000" w:themeColor="text1"/>
                <w:lang w:val="en-US"/>
              </w:rPr>
              <w:t>Jan 1 - Mar 31, 202</w:t>
            </w:r>
            <w:r w:rsidR="003E2079">
              <w:rPr>
                <w:rFonts w:eastAsia="Times New Roman" w:cstheme="minorHAnsi"/>
                <w:b/>
                <w:bCs/>
                <w:noProof/>
                <w:color w:val="000000" w:themeColor="text1"/>
                <w:lang w:val="en-US"/>
              </w:rPr>
              <w:t>2</w:t>
            </w:r>
          </w:p>
        </w:tc>
        <w:tc>
          <w:tcPr>
            <w:tcW w:w="705" w:type="pct"/>
            <w:vAlign w:val="center"/>
          </w:tcPr>
          <w:p w14:paraId="66F7E075" w14:textId="0811413E"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theme="minorHAnsi"/>
                <w:b/>
                <w:bCs/>
                <w:noProof/>
                <w:color w:val="000000" w:themeColor="text1"/>
                <w:lang w:val="en-US"/>
              </w:rPr>
              <w:t>Jan 1 - Mar 31, 202</w:t>
            </w:r>
            <w:r w:rsidR="003E2079">
              <w:rPr>
                <w:rFonts w:eastAsia="Times New Roman" w:cstheme="minorHAnsi"/>
                <w:b/>
                <w:bCs/>
                <w:noProof/>
                <w:color w:val="000000" w:themeColor="text1"/>
                <w:lang w:val="en-US"/>
              </w:rPr>
              <w:t>1</w:t>
            </w:r>
          </w:p>
        </w:tc>
      </w:tr>
      <w:tr w:rsidR="006429DB" w:rsidRPr="00537128" w14:paraId="0FD9FF0D" w14:textId="77777777" w:rsidTr="009E5940">
        <w:tblPrEx>
          <w:tblCellMar>
            <w:left w:w="108" w:type="dxa"/>
            <w:right w:w="108" w:type="dxa"/>
          </w:tblCellMar>
        </w:tblPrEx>
        <w:trPr>
          <w:trHeight w:val="136"/>
        </w:trPr>
        <w:tc>
          <w:tcPr>
            <w:tcW w:w="2174" w:type="pct"/>
          </w:tcPr>
          <w:p w14:paraId="7426CAAE" w14:textId="77777777" w:rsidR="006429DB" w:rsidRPr="00537128" w:rsidRDefault="006429DB" w:rsidP="006429DB">
            <w:pPr>
              <w:tabs>
                <w:tab w:val="left" w:pos="-720"/>
              </w:tabs>
              <w:suppressAutoHyphens/>
              <w:spacing w:after="0" w:line="240" w:lineRule="auto"/>
              <w:ind w:right="4144"/>
              <w:jc w:val="right"/>
              <w:rPr>
                <w:rFonts w:cs="Arial"/>
                <w:noProof/>
                <w:color w:val="000000" w:themeColor="text1"/>
                <w:lang w:val="en-US"/>
              </w:rPr>
            </w:pPr>
          </w:p>
        </w:tc>
        <w:tc>
          <w:tcPr>
            <w:tcW w:w="707" w:type="pct"/>
          </w:tcPr>
          <w:p w14:paraId="0F3A647C" w14:textId="54265572" w:rsidR="006429DB" w:rsidRPr="00537128" w:rsidRDefault="006429DB" w:rsidP="006429DB">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Arial"/>
                <w:b/>
                <w:noProof/>
                <w:color w:val="000000" w:themeColor="text1"/>
                <w:lang w:val="en-US"/>
              </w:rPr>
              <w:t>HRK ‘000</w:t>
            </w:r>
          </w:p>
        </w:tc>
        <w:tc>
          <w:tcPr>
            <w:tcW w:w="707" w:type="pct"/>
          </w:tcPr>
          <w:p w14:paraId="4E2D927B" w14:textId="5DA8DC17" w:rsidR="006429DB" w:rsidRPr="00537128" w:rsidRDefault="006429DB" w:rsidP="006429DB">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Arial"/>
                <w:b/>
                <w:noProof/>
                <w:color w:val="000000" w:themeColor="text1"/>
                <w:lang w:val="en-US"/>
              </w:rPr>
              <w:t>HRK ‘000</w:t>
            </w:r>
          </w:p>
        </w:tc>
        <w:tc>
          <w:tcPr>
            <w:tcW w:w="707" w:type="pct"/>
          </w:tcPr>
          <w:p w14:paraId="455963AE" w14:textId="361467A2" w:rsidR="006429DB" w:rsidRPr="00537128" w:rsidRDefault="006429DB" w:rsidP="006429DB">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Arial"/>
                <w:b/>
                <w:noProof/>
                <w:color w:val="000000" w:themeColor="text1"/>
                <w:lang w:val="en-US"/>
              </w:rPr>
              <w:t>HRK ‘000</w:t>
            </w:r>
          </w:p>
        </w:tc>
        <w:tc>
          <w:tcPr>
            <w:tcW w:w="705" w:type="pct"/>
          </w:tcPr>
          <w:p w14:paraId="1151F2BD" w14:textId="47D894E8" w:rsidR="006429DB" w:rsidRPr="00537128" w:rsidRDefault="006429DB" w:rsidP="006429DB">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Arial"/>
                <w:b/>
                <w:noProof/>
                <w:color w:val="000000" w:themeColor="text1"/>
                <w:lang w:val="en-US"/>
              </w:rPr>
              <w:t>HRK ‘000</w:t>
            </w:r>
          </w:p>
        </w:tc>
      </w:tr>
      <w:tr w:rsidR="006429DB" w:rsidRPr="00537128" w14:paraId="1E884A67" w14:textId="77777777" w:rsidTr="009E5940">
        <w:trPr>
          <w:trHeight w:val="219"/>
        </w:trPr>
        <w:tc>
          <w:tcPr>
            <w:tcW w:w="2174" w:type="pct"/>
          </w:tcPr>
          <w:p w14:paraId="391A46A7" w14:textId="77777777" w:rsidR="006429DB" w:rsidRPr="00537128" w:rsidRDefault="006429DB" w:rsidP="006429DB">
            <w:pPr>
              <w:tabs>
                <w:tab w:val="right" w:pos="1202"/>
              </w:tabs>
              <w:spacing w:after="0" w:line="301" w:lineRule="exact"/>
              <w:outlineLvl w:val="0"/>
              <w:rPr>
                <w:rFonts w:eastAsia="Times New Roman" w:cs="Arial"/>
                <w:noProof/>
                <w:color w:val="000000" w:themeColor="text1"/>
                <w:lang w:val="en-US"/>
              </w:rPr>
            </w:pPr>
            <w:bookmarkStart w:id="222" w:name="_Toc4057809"/>
            <w:r w:rsidRPr="00537128">
              <w:rPr>
                <w:rFonts w:eastAsia="Times New Roman" w:cs="Arial"/>
                <w:noProof/>
                <w:color w:val="000000" w:themeColor="text1"/>
                <w:lang w:val="en-US"/>
              </w:rPr>
              <w:t>Interest on loans</w:t>
            </w:r>
            <w:bookmarkEnd w:id="222"/>
          </w:p>
        </w:tc>
        <w:tc>
          <w:tcPr>
            <w:tcW w:w="707" w:type="pct"/>
          </w:tcPr>
          <w:p w14:paraId="40153F99" w14:textId="77777777" w:rsidR="006429DB" w:rsidRPr="00537128" w:rsidRDefault="006429DB" w:rsidP="006429DB">
            <w:pPr>
              <w:tabs>
                <w:tab w:val="right" w:pos="1202"/>
              </w:tabs>
              <w:spacing w:after="0" w:line="301" w:lineRule="exact"/>
              <w:jc w:val="right"/>
              <w:outlineLvl w:val="0"/>
              <w:rPr>
                <w:rFonts w:eastAsia="Times New Roman" w:cs="Arial"/>
                <w:noProof/>
                <w:color w:val="000000" w:themeColor="text1"/>
                <w:spacing w:val="-2"/>
                <w:lang w:val="en-US"/>
              </w:rPr>
            </w:pPr>
          </w:p>
        </w:tc>
        <w:tc>
          <w:tcPr>
            <w:tcW w:w="707" w:type="pct"/>
          </w:tcPr>
          <w:p w14:paraId="0A359CA3" w14:textId="77777777" w:rsidR="006429DB" w:rsidRPr="00537128" w:rsidRDefault="006429DB" w:rsidP="006429DB">
            <w:pPr>
              <w:tabs>
                <w:tab w:val="right" w:pos="1202"/>
              </w:tabs>
              <w:spacing w:after="0" w:line="301" w:lineRule="exact"/>
              <w:jc w:val="right"/>
              <w:outlineLvl w:val="0"/>
              <w:rPr>
                <w:rFonts w:eastAsia="Times New Roman" w:cs="Arial"/>
                <w:noProof/>
                <w:color w:val="000000" w:themeColor="text1"/>
                <w:spacing w:val="-2"/>
                <w:lang w:val="en-US"/>
              </w:rPr>
            </w:pPr>
          </w:p>
        </w:tc>
        <w:tc>
          <w:tcPr>
            <w:tcW w:w="707" w:type="pct"/>
          </w:tcPr>
          <w:p w14:paraId="45C6DAB4" w14:textId="77777777" w:rsidR="006429DB" w:rsidRPr="00537128" w:rsidRDefault="006429DB" w:rsidP="006429DB">
            <w:pPr>
              <w:tabs>
                <w:tab w:val="right" w:pos="1202"/>
              </w:tabs>
              <w:spacing w:after="0" w:line="301" w:lineRule="exact"/>
              <w:jc w:val="right"/>
              <w:outlineLvl w:val="0"/>
              <w:rPr>
                <w:rFonts w:eastAsia="Times New Roman" w:cs="Arial"/>
                <w:noProof/>
                <w:color w:val="000000" w:themeColor="text1"/>
                <w:spacing w:val="-2"/>
                <w:lang w:val="en-US"/>
              </w:rPr>
            </w:pPr>
          </w:p>
        </w:tc>
        <w:tc>
          <w:tcPr>
            <w:tcW w:w="705" w:type="pct"/>
          </w:tcPr>
          <w:p w14:paraId="78C0FBC9" w14:textId="77777777" w:rsidR="006429DB" w:rsidRPr="00537128" w:rsidRDefault="006429DB" w:rsidP="006429DB">
            <w:pPr>
              <w:tabs>
                <w:tab w:val="right" w:pos="1202"/>
              </w:tabs>
              <w:spacing w:after="0" w:line="301" w:lineRule="exact"/>
              <w:jc w:val="right"/>
              <w:outlineLvl w:val="0"/>
              <w:rPr>
                <w:rFonts w:eastAsia="Times New Roman" w:cs="Arial"/>
                <w:noProof/>
                <w:color w:val="000000" w:themeColor="text1"/>
                <w:spacing w:val="-2"/>
                <w:lang w:val="en-US"/>
              </w:rPr>
            </w:pPr>
          </w:p>
        </w:tc>
      </w:tr>
      <w:tr w:rsidR="006429DB" w:rsidRPr="00537128" w14:paraId="660ABE3B" w14:textId="77777777" w:rsidTr="00DF0F8C">
        <w:trPr>
          <w:trHeight w:val="219"/>
        </w:trPr>
        <w:tc>
          <w:tcPr>
            <w:tcW w:w="2174" w:type="pct"/>
          </w:tcPr>
          <w:p w14:paraId="6D9B18F9" w14:textId="77777777" w:rsidR="006429DB" w:rsidRPr="00537128" w:rsidRDefault="006429DB" w:rsidP="006429DB">
            <w:pPr>
              <w:tabs>
                <w:tab w:val="right" w:pos="1202"/>
              </w:tabs>
              <w:spacing w:after="0" w:line="301" w:lineRule="exact"/>
              <w:outlineLvl w:val="0"/>
              <w:rPr>
                <w:rFonts w:eastAsia="Times New Roman" w:cs="Arial"/>
                <w:noProof/>
                <w:color w:val="000000" w:themeColor="text1"/>
                <w:lang w:val="en-US"/>
              </w:rPr>
            </w:pPr>
            <w:bookmarkStart w:id="223" w:name="_Toc4057810"/>
            <w:r w:rsidRPr="00537128">
              <w:rPr>
                <w:rFonts w:eastAsia="Times New Roman" w:cs="Arial"/>
                <w:noProof/>
                <w:color w:val="000000" w:themeColor="text1"/>
                <w:lang w:val="en-US"/>
              </w:rPr>
              <w:t>- financial institutions</w:t>
            </w:r>
            <w:bookmarkEnd w:id="223"/>
          </w:p>
        </w:tc>
        <w:tc>
          <w:tcPr>
            <w:tcW w:w="707" w:type="pct"/>
            <w:tcBorders>
              <w:top w:val="nil"/>
              <w:left w:val="nil"/>
              <w:bottom w:val="nil"/>
              <w:right w:val="nil"/>
            </w:tcBorders>
            <w:shd w:val="clear" w:color="auto" w:fill="auto"/>
          </w:tcPr>
          <w:p w14:paraId="7219F434" w14:textId="29500917" w:rsidR="006429DB" w:rsidRPr="00537128" w:rsidRDefault="006429DB" w:rsidP="006429DB">
            <w:pPr>
              <w:tabs>
                <w:tab w:val="right" w:pos="1202"/>
              </w:tabs>
              <w:spacing w:after="0" w:line="301" w:lineRule="exact"/>
              <w:jc w:val="right"/>
              <w:outlineLvl w:val="0"/>
              <w:rPr>
                <w:rFonts w:ascii="Calibri" w:eastAsia="Times New Roman" w:hAnsi="Calibri" w:cs="Calibri"/>
                <w:noProof/>
                <w:color w:val="000000" w:themeColor="text1"/>
                <w:lang w:val="en-US"/>
              </w:rPr>
            </w:pPr>
            <w:r>
              <w:rPr>
                <w:rFonts w:ascii="Calibri" w:eastAsia="Times New Roman" w:hAnsi="Calibri" w:cs="Calibri"/>
                <w:color w:val="000000" w:themeColor="text1"/>
              </w:rPr>
              <w:t>20,825</w:t>
            </w:r>
          </w:p>
        </w:tc>
        <w:tc>
          <w:tcPr>
            <w:tcW w:w="707" w:type="pct"/>
            <w:tcBorders>
              <w:top w:val="nil"/>
              <w:left w:val="nil"/>
              <w:bottom w:val="nil"/>
              <w:right w:val="nil"/>
            </w:tcBorders>
            <w:shd w:val="clear" w:color="auto" w:fill="auto"/>
          </w:tcPr>
          <w:p w14:paraId="68BA5085" w14:textId="1AA69D0D" w:rsidR="006429DB" w:rsidRPr="00537128" w:rsidRDefault="006429DB" w:rsidP="006429DB">
            <w:pPr>
              <w:tabs>
                <w:tab w:val="right" w:pos="1202"/>
              </w:tabs>
              <w:spacing w:after="0" w:line="301" w:lineRule="exact"/>
              <w:jc w:val="right"/>
              <w:outlineLvl w:val="0"/>
              <w:rPr>
                <w:rFonts w:ascii="Calibri" w:eastAsia="Times New Roman" w:hAnsi="Calibri" w:cs="Calibri"/>
                <w:noProof/>
                <w:color w:val="000000" w:themeColor="text1"/>
                <w:lang w:val="en-US"/>
              </w:rPr>
            </w:pPr>
            <w:r w:rsidRPr="001F5C13">
              <w:t xml:space="preserve"> 28</w:t>
            </w:r>
            <w:r>
              <w:t>,</w:t>
            </w:r>
            <w:r w:rsidRPr="001F5C13">
              <w:t xml:space="preserve">995 </w:t>
            </w:r>
          </w:p>
        </w:tc>
        <w:tc>
          <w:tcPr>
            <w:tcW w:w="707" w:type="pct"/>
            <w:tcBorders>
              <w:top w:val="nil"/>
              <w:left w:val="nil"/>
              <w:bottom w:val="nil"/>
              <w:right w:val="nil"/>
            </w:tcBorders>
            <w:shd w:val="clear" w:color="auto" w:fill="auto"/>
          </w:tcPr>
          <w:p w14:paraId="4EAFF23B" w14:textId="13F5B431" w:rsidR="006429DB" w:rsidRPr="00537128" w:rsidRDefault="006429DB" w:rsidP="006429DB">
            <w:pPr>
              <w:tabs>
                <w:tab w:val="right" w:pos="1202"/>
              </w:tabs>
              <w:spacing w:after="0" w:line="301" w:lineRule="exact"/>
              <w:jc w:val="right"/>
              <w:outlineLvl w:val="0"/>
              <w:rPr>
                <w:rFonts w:ascii="Calibri" w:eastAsia="Times New Roman" w:hAnsi="Calibri" w:cs="Calibri"/>
                <w:noProof/>
                <w:color w:val="000000" w:themeColor="text1"/>
                <w:lang w:val="en-US"/>
              </w:rPr>
            </w:pPr>
            <w:r>
              <w:rPr>
                <w:rFonts w:cs="Arial"/>
              </w:rPr>
              <w:t>20,825</w:t>
            </w:r>
          </w:p>
        </w:tc>
        <w:tc>
          <w:tcPr>
            <w:tcW w:w="705" w:type="pct"/>
            <w:tcBorders>
              <w:top w:val="nil"/>
              <w:left w:val="nil"/>
              <w:bottom w:val="nil"/>
              <w:right w:val="nil"/>
            </w:tcBorders>
            <w:shd w:val="clear" w:color="auto" w:fill="auto"/>
          </w:tcPr>
          <w:p w14:paraId="4EEC9B32" w14:textId="05768DF9" w:rsidR="006429DB" w:rsidRPr="00537128" w:rsidRDefault="006429DB" w:rsidP="006429DB">
            <w:pPr>
              <w:tabs>
                <w:tab w:val="right" w:pos="1202"/>
              </w:tabs>
              <w:spacing w:after="0" w:line="301" w:lineRule="exact"/>
              <w:jc w:val="right"/>
              <w:outlineLvl w:val="0"/>
              <w:rPr>
                <w:rFonts w:ascii="Calibri" w:eastAsia="Times New Roman" w:hAnsi="Calibri" w:cs="Calibri"/>
                <w:noProof/>
                <w:color w:val="000000" w:themeColor="text1"/>
                <w:lang w:val="en-US"/>
              </w:rPr>
            </w:pPr>
            <w:r w:rsidRPr="008C0D19">
              <w:t xml:space="preserve"> 28</w:t>
            </w:r>
            <w:r>
              <w:t>,</w:t>
            </w:r>
            <w:r w:rsidRPr="008C0D19">
              <w:t xml:space="preserve">995 </w:t>
            </w:r>
          </w:p>
        </w:tc>
      </w:tr>
      <w:tr w:rsidR="006429DB" w:rsidRPr="00537128" w14:paraId="41C0AB02" w14:textId="77777777" w:rsidTr="00DF0F8C">
        <w:trPr>
          <w:trHeight w:val="219"/>
        </w:trPr>
        <w:tc>
          <w:tcPr>
            <w:tcW w:w="2174" w:type="pct"/>
          </w:tcPr>
          <w:p w14:paraId="4530BAF2" w14:textId="77777777" w:rsidR="006429DB" w:rsidRPr="00537128" w:rsidRDefault="006429DB" w:rsidP="006429DB">
            <w:pPr>
              <w:tabs>
                <w:tab w:val="right" w:pos="1202"/>
              </w:tabs>
              <w:spacing w:after="0" w:line="301" w:lineRule="exact"/>
              <w:outlineLvl w:val="0"/>
              <w:rPr>
                <w:rFonts w:eastAsia="Times New Roman" w:cs="Arial"/>
                <w:noProof/>
                <w:color w:val="000000" w:themeColor="text1"/>
                <w:lang w:val="en-US"/>
              </w:rPr>
            </w:pPr>
            <w:bookmarkStart w:id="224" w:name="_Toc4057815"/>
            <w:r w:rsidRPr="00537128">
              <w:rPr>
                <w:rFonts w:eastAsia="Times New Roman" w:cs="Arial"/>
                <w:noProof/>
                <w:color w:val="000000" w:themeColor="text1"/>
                <w:lang w:val="en-US"/>
              </w:rPr>
              <w:t>- other customers</w:t>
            </w:r>
            <w:bookmarkEnd w:id="224"/>
            <w:r w:rsidRPr="00537128">
              <w:rPr>
                <w:rFonts w:eastAsia="Times New Roman" w:cs="Arial"/>
                <w:noProof/>
                <w:color w:val="000000" w:themeColor="text1"/>
                <w:lang w:val="en-US"/>
              </w:rPr>
              <w:t xml:space="preserve"> </w:t>
            </w:r>
          </w:p>
        </w:tc>
        <w:tc>
          <w:tcPr>
            <w:tcW w:w="707" w:type="pct"/>
            <w:tcBorders>
              <w:top w:val="nil"/>
              <w:left w:val="nil"/>
              <w:bottom w:val="single" w:sz="4" w:space="0" w:color="auto"/>
              <w:right w:val="nil"/>
            </w:tcBorders>
            <w:shd w:val="clear" w:color="auto" w:fill="auto"/>
          </w:tcPr>
          <w:p w14:paraId="7980A3C3" w14:textId="48A1CA89" w:rsidR="006429DB" w:rsidRPr="00537128" w:rsidRDefault="006429DB" w:rsidP="006429DB">
            <w:pPr>
              <w:tabs>
                <w:tab w:val="right" w:pos="1202"/>
              </w:tabs>
              <w:spacing w:after="0" w:line="301" w:lineRule="exact"/>
              <w:jc w:val="right"/>
              <w:outlineLvl w:val="0"/>
              <w:rPr>
                <w:rFonts w:ascii="Calibri" w:eastAsia="Times New Roman" w:hAnsi="Calibri" w:cs="Calibri"/>
                <w:noProof/>
                <w:color w:val="000000" w:themeColor="text1"/>
                <w:lang w:val="en-US"/>
              </w:rPr>
            </w:pPr>
            <w:r>
              <w:rPr>
                <w:rFonts w:ascii="Calibri" w:eastAsia="Times New Roman" w:hAnsi="Calibri" w:cs="Calibri"/>
                <w:color w:val="000000" w:themeColor="text1"/>
              </w:rPr>
              <w:t>158,109</w:t>
            </w:r>
          </w:p>
        </w:tc>
        <w:tc>
          <w:tcPr>
            <w:tcW w:w="707" w:type="pct"/>
            <w:tcBorders>
              <w:top w:val="nil"/>
              <w:left w:val="nil"/>
              <w:bottom w:val="single" w:sz="4" w:space="0" w:color="auto"/>
              <w:right w:val="nil"/>
            </w:tcBorders>
            <w:shd w:val="clear" w:color="auto" w:fill="auto"/>
          </w:tcPr>
          <w:p w14:paraId="5717657A" w14:textId="2FFB4FB9" w:rsidR="006429DB" w:rsidRPr="00537128" w:rsidRDefault="006429DB" w:rsidP="006429DB">
            <w:pPr>
              <w:tabs>
                <w:tab w:val="right" w:pos="1202"/>
              </w:tabs>
              <w:spacing w:after="0" w:line="301" w:lineRule="exact"/>
              <w:jc w:val="right"/>
              <w:outlineLvl w:val="0"/>
              <w:rPr>
                <w:rFonts w:ascii="Calibri" w:eastAsia="Times New Roman" w:hAnsi="Calibri" w:cs="Calibri"/>
                <w:noProof/>
                <w:color w:val="000000" w:themeColor="text1"/>
                <w:lang w:val="en-US"/>
              </w:rPr>
            </w:pPr>
            <w:r w:rsidRPr="001F5C13">
              <w:t xml:space="preserve"> 132</w:t>
            </w:r>
            <w:r>
              <w:t>,</w:t>
            </w:r>
            <w:r w:rsidRPr="001F5C13">
              <w:t xml:space="preserve">503 </w:t>
            </w:r>
          </w:p>
        </w:tc>
        <w:tc>
          <w:tcPr>
            <w:tcW w:w="707" w:type="pct"/>
            <w:tcBorders>
              <w:top w:val="nil"/>
              <w:left w:val="nil"/>
              <w:bottom w:val="single" w:sz="4" w:space="0" w:color="auto"/>
              <w:right w:val="nil"/>
            </w:tcBorders>
            <w:shd w:val="clear" w:color="auto" w:fill="auto"/>
          </w:tcPr>
          <w:p w14:paraId="379CDA0E" w14:textId="1824DCBF" w:rsidR="006429DB" w:rsidRPr="00537128" w:rsidRDefault="006429DB" w:rsidP="006429DB">
            <w:pPr>
              <w:tabs>
                <w:tab w:val="right" w:pos="1202"/>
              </w:tabs>
              <w:spacing w:after="0" w:line="301" w:lineRule="exact"/>
              <w:jc w:val="right"/>
              <w:outlineLvl w:val="0"/>
              <w:rPr>
                <w:rFonts w:eastAsia="Times New Roman" w:cs="Arial"/>
                <w:noProof/>
                <w:color w:val="000000" w:themeColor="text1"/>
                <w:spacing w:val="-2"/>
                <w:lang w:val="en-US"/>
              </w:rPr>
            </w:pPr>
            <w:r>
              <w:rPr>
                <w:rFonts w:cs="Arial"/>
              </w:rPr>
              <w:t>158,109</w:t>
            </w:r>
          </w:p>
        </w:tc>
        <w:tc>
          <w:tcPr>
            <w:tcW w:w="705" w:type="pct"/>
            <w:tcBorders>
              <w:top w:val="nil"/>
              <w:left w:val="nil"/>
              <w:bottom w:val="nil"/>
              <w:right w:val="nil"/>
            </w:tcBorders>
            <w:shd w:val="clear" w:color="auto" w:fill="auto"/>
          </w:tcPr>
          <w:p w14:paraId="176611AC" w14:textId="6B493683" w:rsidR="006429DB" w:rsidRPr="00537128" w:rsidRDefault="006429DB" w:rsidP="006429DB">
            <w:pPr>
              <w:tabs>
                <w:tab w:val="right" w:pos="1202"/>
              </w:tabs>
              <w:spacing w:after="0" w:line="301" w:lineRule="exact"/>
              <w:jc w:val="right"/>
              <w:outlineLvl w:val="0"/>
              <w:rPr>
                <w:rFonts w:ascii="Calibri" w:eastAsia="Times New Roman" w:hAnsi="Calibri" w:cs="Calibri"/>
                <w:noProof/>
                <w:color w:val="000000" w:themeColor="text1"/>
                <w:lang w:val="en-US"/>
              </w:rPr>
            </w:pPr>
            <w:r w:rsidRPr="008C0D19">
              <w:t xml:space="preserve"> 132</w:t>
            </w:r>
            <w:r>
              <w:t>,</w:t>
            </w:r>
            <w:r w:rsidRPr="008C0D19">
              <w:t xml:space="preserve">503 </w:t>
            </w:r>
          </w:p>
        </w:tc>
      </w:tr>
      <w:tr w:rsidR="006429DB" w:rsidRPr="00537128" w14:paraId="5B7C9E7B" w14:textId="77777777" w:rsidTr="00C01D6E">
        <w:trPr>
          <w:trHeight w:val="241"/>
        </w:trPr>
        <w:tc>
          <w:tcPr>
            <w:tcW w:w="2174" w:type="pct"/>
          </w:tcPr>
          <w:p w14:paraId="176D360F" w14:textId="77777777" w:rsidR="006429DB" w:rsidRPr="00537128" w:rsidRDefault="006429DB" w:rsidP="006429DB">
            <w:pPr>
              <w:tabs>
                <w:tab w:val="right" w:pos="1202"/>
              </w:tabs>
              <w:spacing w:after="0" w:line="340" w:lineRule="exact"/>
              <w:outlineLvl w:val="0"/>
              <w:rPr>
                <w:rFonts w:eastAsia="Times New Roman" w:cs="Arial"/>
                <w:noProof/>
                <w:color w:val="000000" w:themeColor="text1"/>
                <w:lang w:val="en-US"/>
              </w:rPr>
            </w:pPr>
          </w:p>
        </w:tc>
        <w:tc>
          <w:tcPr>
            <w:tcW w:w="707" w:type="pct"/>
            <w:tcBorders>
              <w:top w:val="single" w:sz="4" w:space="0" w:color="auto"/>
              <w:left w:val="nil"/>
              <w:bottom w:val="single" w:sz="12" w:space="0" w:color="auto"/>
              <w:right w:val="nil"/>
            </w:tcBorders>
            <w:shd w:val="clear" w:color="auto" w:fill="auto"/>
          </w:tcPr>
          <w:p w14:paraId="53BF981E" w14:textId="6B4F063C" w:rsidR="006429DB" w:rsidRPr="00537128" w:rsidRDefault="006429DB" w:rsidP="006429DB">
            <w:pPr>
              <w:tabs>
                <w:tab w:val="right" w:pos="1202"/>
              </w:tabs>
              <w:spacing w:after="0" w:line="301" w:lineRule="exact"/>
              <w:jc w:val="right"/>
              <w:outlineLvl w:val="0"/>
              <w:rPr>
                <w:rFonts w:ascii="Calibri" w:eastAsia="Times New Roman" w:hAnsi="Calibri" w:cs="Calibri"/>
                <w:color w:val="000000" w:themeColor="text1"/>
                <w:lang w:val="en-US"/>
              </w:rPr>
            </w:pPr>
            <w:r>
              <w:rPr>
                <w:rFonts w:ascii="Calibri" w:eastAsia="Times New Roman" w:hAnsi="Calibri" w:cs="Calibri"/>
                <w:color w:val="000000" w:themeColor="text1"/>
              </w:rPr>
              <w:t>178,934</w:t>
            </w:r>
          </w:p>
        </w:tc>
        <w:tc>
          <w:tcPr>
            <w:tcW w:w="707" w:type="pct"/>
            <w:tcBorders>
              <w:top w:val="single" w:sz="4" w:space="0" w:color="auto"/>
              <w:left w:val="nil"/>
              <w:bottom w:val="single" w:sz="12" w:space="0" w:color="auto"/>
              <w:right w:val="nil"/>
            </w:tcBorders>
            <w:shd w:val="clear" w:color="auto" w:fill="auto"/>
            <w:vAlign w:val="center"/>
          </w:tcPr>
          <w:p w14:paraId="783B995A" w14:textId="2442378B" w:rsidR="006429DB" w:rsidRPr="00537128" w:rsidRDefault="006429DB" w:rsidP="006429DB">
            <w:pPr>
              <w:tabs>
                <w:tab w:val="right" w:pos="1202"/>
              </w:tabs>
              <w:spacing w:after="0" w:line="301" w:lineRule="exact"/>
              <w:jc w:val="right"/>
              <w:outlineLvl w:val="0"/>
              <w:rPr>
                <w:rFonts w:ascii="Calibri" w:eastAsia="Times New Roman" w:hAnsi="Calibri" w:cs="Calibri"/>
                <w:color w:val="000000" w:themeColor="text1"/>
                <w:lang w:val="en-US"/>
              </w:rPr>
            </w:pPr>
            <w:r w:rsidRPr="001F5C13">
              <w:t xml:space="preserve"> 161</w:t>
            </w:r>
            <w:r>
              <w:t>,</w:t>
            </w:r>
            <w:r w:rsidRPr="001F5C13">
              <w:t xml:space="preserve">498 </w:t>
            </w:r>
          </w:p>
        </w:tc>
        <w:tc>
          <w:tcPr>
            <w:tcW w:w="707" w:type="pct"/>
            <w:tcBorders>
              <w:top w:val="single" w:sz="4" w:space="0" w:color="auto"/>
              <w:left w:val="nil"/>
              <w:bottom w:val="single" w:sz="12" w:space="0" w:color="auto"/>
              <w:right w:val="nil"/>
            </w:tcBorders>
            <w:shd w:val="clear" w:color="auto" w:fill="auto"/>
          </w:tcPr>
          <w:p w14:paraId="21770576" w14:textId="436C64E5" w:rsidR="006429DB" w:rsidRPr="00537128" w:rsidRDefault="006429DB" w:rsidP="006429DB">
            <w:pPr>
              <w:tabs>
                <w:tab w:val="right" w:pos="1202"/>
              </w:tabs>
              <w:spacing w:after="0" w:line="340" w:lineRule="exact"/>
              <w:jc w:val="right"/>
              <w:outlineLvl w:val="0"/>
              <w:rPr>
                <w:rFonts w:ascii="Calibri" w:eastAsia="Times New Roman" w:hAnsi="Calibri" w:cs="Calibri"/>
                <w:color w:val="000000" w:themeColor="text1"/>
                <w:lang w:val="en-US"/>
              </w:rPr>
            </w:pPr>
            <w:r>
              <w:rPr>
                <w:rFonts w:cs="Arial"/>
              </w:rPr>
              <w:t>178,934</w:t>
            </w:r>
          </w:p>
        </w:tc>
        <w:tc>
          <w:tcPr>
            <w:tcW w:w="705" w:type="pct"/>
            <w:tcBorders>
              <w:top w:val="single" w:sz="4" w:space="0" w:color="auto"/>
              <w:left w:val="nil"/>
              <w:bottom w:val="single" w:sz="4" w:space="0" w:color="auto"/>
              <w:right w:val="nil"/>
            </w:tcBorders>
            <w:shd w:val="clear" w:color="auto" w:fill="auto"/>
            <w:vAlign w:val="center"/>
          </w:tcPr>
          <w:p w14:paraId="6E194BC4" w14:textId="5F3FB7C5" w:rsidR="006429DB" w:rsidRPr="00537128" w:rsidRDefault="006429DB" w:rsidP="006429DB">
            <w:pPr>
              <w:tabs>
                <w:tab w:val="right" w:pos="1202"/>
              </w:tabs>
              <w:spacing w:after="0" w:line="340" w:lineRule="exact"/>
              <w:jc w:val="right"/>
              <w:outlineLvl w:val="0"/>
              <w:rPr>
                <w:rFonts w:ascii="Calibri" w:eastAsia="Times New Roman" w:hAnsi="Calibri" w:cs="Calibri"/>
                <w:color w:val="000000" w:themeColor="text1"/>
                <w:lang w:val="en-US"/>
              </w:rPr>
            </w:pPr>
            <w:r w:rsidRPr="008C0D19">
              <w:t xml:space="preserve"> 161</w:t>
            </w:r>
            <w:r>
              <w:t>,</w:t>
            </w:r>
            <w:r w:rsidRPr="008C0D19">
              <w:t xml:space="preserve">498 </w:t>
            </w:r>
          </w:p>
        </w:tc>
      </w:tr>
      <w:tr w:rsidR="006429DB" w:rsidRPr="00537128" w14:paraId="02CFC08F" w14:textId="77777777" w:rsidTr="00EA64CA">
        <w:tblPrEx>
          <w:tblCellMar>
            <w:left w:w="119" w:type="dxa"/>
            <w:right w:w="119" w:type="dxa"/>
          </w:tblCellMar>
        </w:tblPrEx>
        <w:trPr>
          <w:trHeight w:val="219"/>
        </w:trPr>
        <w:tc>
          <w:tcPr>
            <w:tcW w:w="2174" w:type="pct"/>
          </w:tcPr>
          <w:p w14:paraId="56D8AD53" w14:textId="77777777" w:rsidR="006429DB" w:rsidRPr="00537128" w:rsidRDefault="006429DB" w:rsidP="006429DB">
            <w:pPr>
              <w:tabs>
                <w:tab w:val="right" w:pos="1202"/>
              </w:tabs>
              <w:spacing w:after="0" w:line="301" w:lineRule="exact"/>
              <w:outlineLvl w:val="0"/>
              <w:rPr>
                <w:rFonts w:eastAsia="Times New Roman" w:cs="Arial"/>
                <w:noProof/>
                <w:color w:val="000000" w:themeColor="text1"/>
                <w:sz w:val="16"/>
                <w:szCs w:val="16"/>
                <w:lang w:val="en-US"/>
              </w:rPr>
            </w:pPr>
          </w:p>
        </w:tc>
        <w:tc>
          <w:tcPr>
            <w:tcW w:w="707" w:type="pct"/>
            <w:tcBorders>
              <w:top w:val="single" w:sz="12" w:space="0" w:color="auto"/>
            </w:tcBorders>
            <w:vAlign w:val="bottom"/>
          </w:tcPr>
          <w:p w14:paraId="517E1E6C" w14:textId="77777777" w:rsidR="006429DB" w:rsidRPr="00537128" w:rsidRDefault="006429DB" w:rsidP="006429DB">
            <w:pPr>
              <w:tabs>
                <w:tab w:val="right" w:pos="1202"/>
              </w:tabs>
              <w:spacing w:after="0" w:line="301" w:lineRule="exact"/>
              <w:outlineLvl w:val="0"/>
              <w:rPr>
                <w:rFonts w:eastAsia="Times New Roman" w:cs="Arial"/>
                <w:noProof/>
                <w:color w:val="000000" w:themeColor="text1"/>
                <w:sz w:val="16"/>
                <w:szCs w:val="16"/>
                <w:lang w:val="en-US"/>
              </w:rPr>
            </w:pPr>
          </w:p>
        </w:tc>
        <w:tc>
          <w:tcPr>
            <w:tcW w:w="707" w:type="pct"/>
            <w:tcBorders>
              <w:top w:val="single" w:sz="12" w:space="0" w:color="auto"/>
            </w:tcBorders>
            <w:vAlign w:val="bottom"/>
          </w:tcPr>
          <w:p w14:paraId="6E61E3D5" w14:textId="77777777" w:rsidR="006429DB" w:rsidRPr="00537128" w:rsidRDefault="006429DB" w:rsidP="006429DB">
            <w:pPr>
              <w:tabs>
                <w:tab w:val="right" w:pos="1202"/>
              </w:tabs>
              <w:spacing w:after="0" w:line="301" w:lineRule="exact"/>
              <w:outlineLvl w:val="0"/>
              <w:rPr>
                <w:rFonts w:eastAsia="Times New Roman" w:cs="Arial"/>
                <w:noProof/>
                <w:color w:val="000000" w:themeColor="text1"/>
                <w:sz w:val="16"/>
                <w:szCs w:val="16"/>
                <w:lang w:val="en-US"/>
              </w:rPr>
            </w:pPr>
          </w:p>
        </w:tc>
        <w:tc>
          <w:tcPr>
            <w:tcW w:w="707" w:type="pct"/>
            <w:tcBorders>
              <w:top w:val="single" w:sz="12" w:space="0" w:color="auto"/>
            </w:tcBorders>
            <w:vAlign w:val="bottom"/>
          </w:tcPr>
          <w:p w14:paraId="3C6E50F9" w14:textId="77777777" w:rsidR="006429DB" w:rsidRPr="00537128" w:rsidRDefault="006429DB" w:rsidP="006429DB">
            <w:pPr>
              <w:tabs>
                <w:tab w:val="right" w:pos="1202"/>
              </w:tabs>
              <w:spacing w:after="0" w:line="301" w:lineRule="exact"/>
              <w:outlineLvl w:val="0"/>
              <w:rPr>
                <w:rFonts w:eastAsia="Times New Roman" w:cs="Arial"/>
                <w:noProof/>
                <w:color w:val="000000" w:themeColor="text1"/>
                <w:sz w:val="16"/>
                <w:szCs w:val="16"/>
                <w:lang w:val="en-US"/>
              </w:rPr>
            </w:pPr>
          </w:p>
        </w:tc>
        <w:tc>
          <w:tcPr>
            <w:tcW w:w="705" w:type="pct"/>
            <w:tcBorders>
              <w:top w:val="single" w:sz="12" w:space="0" w:color="auto"/>
            </w:tcBorders>
            <w:vAlign w:val="bottom"/>
          </w:tcPr>
          <w:p w14:paraId="6F253E31" w14:textId="77777777" w:rsidR="006429DB" w:rsidRPr="00537128" w:rsidRDefault="006429DB" w:rsidP="006429DB">
            <w:pPr>
              <w:tabs>
                <w:tab w:val="right" w:pos="1202"/>
              </w:tabs>
              <w:spacing w:after="0" w:line="301" w:lineRule="exact"/>
              <w:outlineLvl w:val="0"/>
              <w:rPr>
                <w:rFonts w:eastAsia="Times New Roman" w:cs="Arial"/>
                <w:noProof/>
                <w:color w:val="000000" w:themeColor="text1"/>
                <w:sz w:val="16"/>
                <w:szCs w:val="16"/>
                <w:lang w:val="en-US"/>
              </w:rPr>
            </w:pPr>
          </w:p>
        </w:tc>
      </w:tr>
      <w:tr w:rsidR="006429DB" w:rsidRPr="00537128" w14:paraId="0EC78DE9" w14:textId="77777777" w:rsidTr="00A1123E">
        <w:trPr>
          <w:trHeight w:val="219"/>
        </w:trPr>
        <w:tc>
          <w:tcPr>
            <w:tcW w:w="2174" w:type="pct"/>
          </w:tcPr>
          <w:p w14:paraId="771AF102" w14:textId="77777777" w:rsidR="006429DB" w:rsidRPr="00537128" w:rsidRDefault="006429DB" w:rsidP="006429DB">
            <w:pPr>
              <w:tabs>
                <w:tab w:val="right" w:pos="1202"/>
              </w:tabs>
              <w:spacing w:after="0" w:line="301" w:lineRule="exact"/>
              <w:outlineLvl w:val="0"/>
              <w:rPr>
                <w:rFonts w:eastAsia="Times New Roman" w:cs="Arial"/>
                <w:noProof/>
                <w:color w:val="000000" w:themeColor="text1"/>
                <w:lang w:val="en-US"/>
              </w:rPr>
            </w:pPr>
            <w:bookmarkStart w:id="225" w:name="_Toc4057824"/>
            <w:r w:rsidRPr="00537128">
              <w:rPr>
                <w:rFonts w:eastAsia="Times New Roman" w:cs="Arial"/>
                <w:noProof/>
                <w:color w:val="000000" w:themeColor="text1"/>
                <w:lang w:val="en-US"/>
              </w:rPr>
              <w:t>Investments in securities</w:t>
            </w:r>
            <w:bookmarkEnd w:id="225"/>
          </w:p>
        </w:tc>
        <w:tc>
          <w:tcPr>
            <w:tcW w:w="707" w:type="pct"/>
            <w:tcBorders>
              <w:top w:val="nil"/>
              <w:left w:val="nil"/>
              <w:bottom w:val="nil"/>
              <w:right w:val="nil"/>
            </w:tcBorders>
            <w:shd w:val="clear" w:color="auto" w:fill="auto"/>
            <w:vAlign w:val="bottom"/>
          </w:tcPr>
          <w:p w14:paraId="5F9CC95F" w14:textId="0CAF5106" w:rsidR="006429DB" w:rsidRPr="00537128" w:rsidRDefault="006429DB" w:rsidP="006429DB">
            <w:pPr>
              <w:tabs>
                <w:tab w:val="right" w:pos="1202"/>
              </w:tabs>
              <w:spacing w:after="0" w:line="301" w:lineRule="exact"/>
              <w:jc w:val="right"/>
              <w:outlineLvl w:val="0"/>
              <w:rPr>
                <w:rFonts w:eastAsia="Times New Roman" w:cs="Arial"/>
                <w:noProof/>
                <w:color w:val="000000" w:themeColor="text1"/>
                <w:lang w:val="en-US"/>
              </w:rPr>
            </w:pPr>
            <w:r>
              <w:rPr>
                <w:rFonts w:ascii="Calibri" w:eastAsia="Times New Roman" w:hAnsi="Calibri" w:cs="Calibri"/>
                <w:color w:val="000000" w:themeColor="text1"/>
              </w:rPr>
              <w:t>6,194</w:t>
            </w:r>
          </w:p>
        </w:tc>
        <w:tc>
          <w:tcPr>
            <w:tcW w:w="707" w:type="pct"/>
            <w:tcBorders>
              <w:top w:val="nil"/>
              <w:left w:val="nil"/>
              <w:bottom w:val="nil"/>
              <w:right w:val="nil"/>
            </w:tcBorders>
            <w:shd w:val="clear" w:color="auto" w:fill="auto"/>
            <w:vAlign w:val="bottom"/>
          </w:tcPr>
          <w:p w14:paraId="1CE624CB" w14:textId="572A17CA" w:rsidR="006429DB" w:rsidRPr="00537128" w:rsidRDefault="006429DB" w:rsidP="006429DB">
            <w:pPr>
              <w:tabs>
                <w:tab w:val="right" w:pos="1202"/>
              </w:tabs>
              <w:spacing w:after="0" w:line="301" w:lineRule="exact"/>
              <w:jc w:val="right"/>
              <w:outlineLvl w:val="0"/>
              <w:rPr>
                <w:rFonts w:eastAsia="Times New Roman" w:cs="Arial"/>
                <w:noProof/>
                <w:color w:val="000000" w:themeColor="text1"/>
                <w:lang w:val="en-US"/>
              </w:rPr>
            </w:pPr>
            <w:r w:rsidRPr="008F0333">
              <w:t xml:space="preserve"> 7</w:t>
            </w:r>
            <w:r>
              <w:t>,</w:t>
            </w:r>
            <w:r w:rsidRPr="008F0333">
              <w:t xml:space="preserve">946 </w:t>
            </w:r>
          </w:p>
        </w:tc>
        <w:tc>
          <w:tcPr>
            <w:tcW w:w="707" w:type="pct"/>
            <w:tcBorders>
              <w:top w:val="nil"/>
              <w:left w:val="nil"/>
              <w:bottom w:val="nil"/>
              <w:right w:val="nil"/>
            </w:tcBorders>
            <w:shd w:val="clear" w:color="auto" w:fill="auto"/>
            <w:vAlign w:val="bottom"/>
          </w:tcPr>
          <w:p w14:paraId="441E4D12" w14:textId="464617F4" w:rsidR="006429DB" w:rsidRPr="00537128" w:rsidRDefault="006429DB" w:rsidP="006429DB">
            <w:pPr>
              <w:tabs>
                <w:tab w:val="right" w:pos="1202"/>
              </w:tabs>
              <w:spacing w:after="0" w:line="301" w:lineRule="exact"/>
              <w:jc w:val="right"/>
              <w:outlineLvl w:val="0"/>
              <w:rPr>
                <w:rFonts w:eastAsia="Times New Roman" w:cs="Arial"/>
                <w:noProof/>
                <w:color w:val="000000" w:themeColor="text1"/>
                <w:lang w:val="en-US"/>
              </w:rPr>
            </w:pPr>
            <w:r>
              <w:rPr>
                <w:rFonts w:eastAsia="Times New Roman" w:cs="Arial"/>
                <w:noProof/>
                <w:color w:val="000000" w:themeColor="text1"/>
              </w:rPr>
              <w:t>5,864</w:t>
            </w:r>
          </w:p>
        </w:tc>
        <w:tc>
          <w:tcPr>
            <w:tcW w:w="705" w:type="pct"/>
            <w:tcBorders>
              <w:top w:val="nil"/>
              <w:left w:val="nil"/>
              <w:bottom w:val="nil"/>
              <w:right w:val="nil"/>
            </w:tcBorders>
            <w:shd w:val="clear" w:color="auto" w:fill="auto"/>
            <w:vAlign w:val="bottom"/>
          </w:tcPr>
          <w:p w14:paraId="597F96C3" w14:textId="22A7F7D5" w:rsidR="006429DB" w:rsidRPr="00537128" w:rsidRDefault="006429DB" w:rsidP="006429DB">
            <w:pPr>
              <w:tabs>
                <w:tab w:val="right" w:pos="1202"/>
              </w:tabs>
              <w:spacing w:after="0" w:line="301" w:lineRule="exact"/>
              <w:jc w:val="right"/>
              <w:outlineLvl w:val="0"/>
              <w:rPr>
                <w:rFonts w:eastAsia="Times New Roman" w:cs="Arial"/>
                <w:noProof/>
                <w:color w:val="000000" w:themeColor="text1"/>
                <w:lang w:val="en-US"/>
              </w:rPr>
            </w:pPr>
            <w:r w:rsidRPr="00270C5B">
              <w:t xml:space="preserve"> 7</w:t>
            </w:r>
            <w:r>
              <w:t>,</w:t>
            </w:r>
            <w:r w:rsidRPr="00270C5B">
              <w:t xml:space="preserve">629 </w:t>
            </w:r>
          </w:p>
        </w:tc>
      </w:tr>
      <w:tr w:rsidR="006429DB" w:rsidRPr="00537128" w14:paraId="4B498344" w14:textId="77777777" w:rsidTr="00A1123E">
        <w:trPr>
          <w:trHeight w:val="230"/>
        </w:trPr>
        <w:tc>
          <w:tcPr>
            <w:tcW w:w="2174" w:type="pct"/>
            <w:vAlign w:val="bottom"/>
          </w:tcPr>
          <w:p w14:paraId="189BD9AC" w14:textId="77777777" w:rsidR="006429DB" w:rsidRPr="00537128" w:rsidRDefault="006429DB" w:rsidP="006429DB">
            <w:pPr>
              <w:tabs>
                <w:tab w:val="right" w:pos="1202"/>
              </w:tabs>
              <w:spacing w:after="0" w:line="301" w:lineRule="exact"/>
              <w:outlineLvl w:val="0"/>
              <w:rPr>
                <w:rFonts w:eastAsia="Times New Roman" w:cstheme="minorHAnsi"/>
                <w:noProof/>
                <w:color w:val="000000" w:themeColor="text1"/>
                <w:lang w:val="en-US"/>
              </w:rPr>
            </w:pPr>
            <w:bookmarkStart w:id="226" w:name="_Toc4057829"/>
            <w:r w:rsidRPr="00537128">
              <w:rPr>
                <w:rFonts w:eastAsia="Times New Roman" w:cstheme="minorHAnsi"/>
                <w:i/>
                <w:noProof/>
                <w:color w:val="000000" w:themeColor="text1"/>
                <w:lang w:val="en-US"/>
              </w:rPr>
              <w:t>-  Bonds of the Republic of Croatia</w:t>
            </w:r>
            <w:bookmarkEnd w:id="226"/>
          </w:p>
        </w:tc>
        <w:tc>
          <w:tcPr>
            <w:tcW w:w="707" w:type="pct"/>
            <w:tcBorders>
              <w:top w:val="nil"/>
              <w:left w:val="nil"/>
              <w:bottom w:val="nil"/>
              <w:right w:val="nil"/>
            </w:tcBorders>
            <w:shd w:val="clear" w:color="auto" w:fill="auto"/>
            <w:vAlign w:val="bottom"/>
          </w:tcPr>
          <w:p w14:paraId="2DFA4D8A" w14:textId="68BD5B3D" w:rsidR="006429DB" w:rsidRPr="008023F6" w:rsidDel="00781822" w:rsidRDefault="006429DB" w:rsidP="006429DB">
            <w:pPr>
              <w:tabs>
                <w:tab w:val="right" w:pos="1202"/>
              </w:tabs>
              <w:spacing w:after="0" w:line="301" w:lineRule="exact"/>
              <w:jc w:val="right"/>
              <w:outlineLvl w:val="0"/>
              <w:rPr>
                <w:rFonts w:ascii="Calibri" w:eastAsia="Times New Roman" w:hAnsi="Calibri" w:cs="Calibri"/>
                <w:i/>
                <w:iCs/>
                <w:noProof/>
                <w:color w:val="000000" w:themeColor="text1"/>
                <w:lang w:val="en-US"/>
              </w:rPr>
            </w:pPr>
            <w:r>
              <w:rPr>
                <w:rFonts w:ascii="Calibri" w:eastAsia="Times New Roman" w:hAnsi="Calibri" w:cs="Calibri"/>
                <w:i/>
                <w:iCs/>
                <w:color w:val="000000" w:themeColor="text1"/>
              </w:rPr>
              <w:t>6,090</w:t>
            </w:r>
          </w:p>
        </w:tc>
        <w:tc>
          <w:tcPr>
            <w:tcW w:w="707" w:type="pct"/>
            <w:tcBorders>
              <w:top w:val="nil"/>
              <w:left w:val="nil"/>
              <w:bottom w:val="nil"/>
              <w:right w:val="nil"/>
            </w:tcBorders>
            <w:shd w:val="clear" w:color="auto" w:fill="auto"/>
            <w:vAlign w:val="bottom"/>
          </w:tcPr>
          <w:p w14:paraId="767D677E" w14:textId="0B3E5B72" w:rsidR="006429DB" w:rsidRPr="00A1123E" w:rsidDel="00781822" w:rsidRDefault="006429DB" w:rsidP="006429DB">
            <w:pPr>
              <w:tabs>
                <w:tab w:val="right" w:pos="1202"/>
              </w:tabs>
              <w:spacing w:after="0" w:line="301" w:lineRule="exact"/>
              <w:jc w:val="right"/>
              <w:outlineLvl w:val="0"/>
              <w:rPr>
                <w:rFonts w:ascii="Calibri" w:eastAsia="Times New Roman" w:hAnsi="Calibri" w:cs="Calibri"/>
                <w:i/>
                <w:iCs/>
                <w:noProof/>
                <w:color w:val="000000" w:themeColor="text1"/>
                <w:lang w:val="en-US"/>
              </w:rPr>
            </w:pPr>
            <w:r w:rsidRPr="00A1123E">
              <w:rPr>
                <w:i/>
                <w:iCs/>
              </w:rPr>
              <w:t xml:space="preserve"> 7,666 </w:t>
            </w:r>
          </w:p>
        </w:tc>
        <w:tc>
          <w:tcPr>
            <w:tcW w:w="707" w:type="pct"/>
            <w:tcBorders>
              <w:top w:val="nil"/>
              <w:left w:val="nil"/>
              <w:bottom w:val="nil"/>
              <w:right w:val="nil"/>
            </w:tcBorders>
            <w:shd w:val="clear" w:color="auto" w:fill="auto"/>
            <w:vAlign w:val="bottom"/>
          </w:tcPr>
          <w:p w14:paraId="43F84E1A" w14:textId="2728C1AD" w:rsidR="006429DB" w:rsidRPr="008023F6" w:rsidRDefault="006429DB" w:rsidP="006429DB">
            <w:pPr>
              <w:tabs>
                <w:tab w:val="right" w:pos="1202"/>
              </w:tabs>
              <w:spacing w:after="0" w:line="301" w:lineRule="exact"/>
              <w:jc w:val="right"/>
              <w:outlineLvl w:val="0"/>
              <w:rPr>
                <w:rFonts w:ascii="Calibri" w:eastAsia="Times New Roman" w:hAnsi="Calibri" w:cs="Calibri"/>
                <w:i/>
                <w:iCs/>
                <w:noProof/>
                <w:color w:val="000000" w:themeColor="text1"/>
                <w:lang w:val="en-US"/>
              </w:rPr>
            </w:pPr>
            <w:r>
              <w:rPr>
                <w:rFonts w:ascii="Calibri" w:eastAsia="Times New Roman" w:hAnsi="Calibri" w:cs="Calibri"/>
                <w:i/>
                <w:iCs/>
                <w:noProof/>
                <w:color w:val="000000" w:themeColor="text1"/>
              </w:rPr>
              <w:t>5,768</w:t>
            </w:r>
          </w:p>
        </w:tc>
        <w:tc>
          <w:tcPr>
            <w:tcW w:w="705" w:type="pct"/>
            <w:shd w:val="clear" w:color="auto" w:fill="auto"/>
            <w:vAlign w:val="bottom"/>
          </w:tcPr>
          <w:p w14:paraId="27D902B4" w14:textId="1A69345A" w:rsidR="006429DB" w:rsidRPr="00A1123E" w:rsidDel="00781822" w:rsidRDefault="006429DB" w:rsidP="006429DB">
            <w:pPr>
              <w:tabs>
                <w:tab w:val="right" w:pos="1202"/>
              </w:tabs>
              <w:spacing w:after="0" w:line="301" w:lineRule="exact"/>
              <w:jc w:val="right"/>
              <w:outlineLvl w:val="0"/>
              <w:rPr>
                <w:rFonts w:ascii="Calibri" w:eastAsia="Times New Roman" w:hAnsi="Calibri" w:cs="Calibri"/>
                <w:i/>
                <w:iCs/>
                <w:noProof/>
                <w:color w:val="000000" w:themeColor="text1"/>
                <w:lang w:val="en-US"/>
              </w:rPr>
            </w:pPr>
            <w:r w:rsidRPr="00A1123E">
              <w:rPr>
                <w:i/>
                <w:iCs/>
              </w:rPr>
              <w:t xml:space="preserve"> 7,357 </w:t>
            </w:r>
          </w:p>
        </w:tc>
      </w:tr>
      <w:tr w:rsidR="006429DB" w:rsidRPr="00537128" w14:paraId="28E7585B" w14:textId="77777777" w:rsidTr="00A1123E">
        <w:trPr>
          <w:trHeight w:val="219"/>
        </w:trPr>
        <w:tc>
          <w:tcPr>
            <w:tcW w:w="2174" w:type="pct"/>
            <w:vAlign w:val="bottom"/>
          </w:tcPr>
          <w:p w14:paraId="5E3D934E" w14:textId="77777777" w:rsidR="006429DB" w:rsidRPr="00537128" w:rsidRDefault="006429DB" w:rsidP="006429DB">
            <w:pPr>
              <w:tabs>
                <w:tab w:val="right" w:pos="1202"/>
              </w:tabs>
              <w:spacing w:after="0" w:line="301" w:lineRule="exact"/>
              <w:outlineLvl w:val="0"/>
              <w:rPr>
                <w:rFonts w:eastAsia="Times New Roman" w:cstheme="minorHAnsi"/>
                <w:noProof/>
                <w:color w:val="000000" w:themeColor="text1"/>
                <w:lang w:val="en-US"/>
              </w:rPr>
            </w:pPr>
            <w:bookmarkStart w:id="227" w:name="_Toc4057834"/>
            <w:r w:rsidRPr="00537128">
              <w:rPr>
                <w:rFonts w:eastAsia="Times New Roman" w:cstheme="minorHAnsi"/>
                <w:i/>
                <w:noProof/>
                <w:color w:val="000000" w:themeColor="text1"/>
                <w:lang w:val="en-US"/>
              </w:rPr>
              <w:t>-  Corporate bonds</w:t>
            </w:r>
            <w:bookmarkEnd w:id="227"/>
          </w:p>
        </w:tc>
        <w:tc>
          <w:tcPr>
            <w:tcW w:w="707" w:type="pct"/>
            <w:tcBorders>
              <w:top w:val="nil"/>
              <w:left w:val="nil"/>
              <w:bottom w:val="nil"/>
              <w:right w:val="nil"/>
            </w:tcBorders>
            <w:shd w:val="clear" w:color="auto" w:fill="auto"/>
            <w:vAlign w:val="bottom"/>
          </w:tcPr>
          <w:p w14:paraId="7B48FBBD" w14:textId="6E85A815" w:rsidR="006429DB" w:rsidRPr="008023F6" w:rsidDel="00781822" w:rsidRDefault="006429DB" w:rsidP="006429DB">
            <w:pPr>
              <w:tabs>
                <w:tab w:val="right" w:pos="1202"/>
              </w:tabs>
              <w:spacing w:after="0" w:line="301" w:lineRule="exact"/>
              <w:jc w:val="right"/>
              <w:outlineLvl w:val="0"/>
              <w:rPr>
                <w:rFonts w:ascii="Calibri" w:eastAsia="Times New Roman" w:hAnsi="Calibri" w:cs="Calibri"/>
                <w:i/>
                <w:iCs/>
                <w:noProof/>
                <w:color w:val="000000" w:themeColor="text1"/>
                <w:lang w:val="en-US"/>
              </w:rPr>
            </w:pPr>
            <w:r>
              <w:rPr>
                <w:rFonts w:ascii="Calibri" w:eastAsia="Times New Roman" w:hAnsi="Calibri" w:cs="Calibri"/>
                <w:i/>
                <w:iCs/>
                <w:color w:val="000000" w:themeColor="text1"/>
              </w:rPr>
              <w:t>49</w:t>
            </w:r>
          </w:p>
        </w:tc>
        <w:tc>
          <w:tcPr>
            <w:tcW w:w="707" w:type="pct"/>
            <w:tcBorders>
              <w:top w:val="nil"/>
              <w:left w:val="nil"/>
              <w:bottom w:val="nil"/>
              <w:right w:val="nil"/>
            </w:tcBorders>
            <w:shd w:val="clear" w:color="auto" w:fill="auto"/>
            <w:vAlign w:val="bottom"/>
          </w:tcPr>
          <w:p w14:paraId="39EE6AC9" w14:textId="21E6823C" w:rsidR="006429DB" w:rsidRPr="00A1123E" w:rsidDel="00781822" w:rsidRDefault="006429DB" w:rsidP="006429DB">
            <w:pPr>
              <w:tabs>
                <w:tab w:val="right" w:pos="1202"/>
              </w:tabs>
              <w:spacing w:after="0" w:line="301" w:lineRule="exact"/>
              <w:jc w:val="right"/>
              <w:outlineLvl w:val="0"/>
              <w:rPr>
                <w:rFonts w:ascii="Calibri" w:eastAsia="Times New Roman" w:hAnsi="Calibri" w:cs="Calibri"/>
                <w:i/>
                <w:iCs/>
                <w:noProof/>
                <w:color w:val="000000" w:themeColor="text1"/>
                <w:lang w:val="en-US"/>
              </w:rPr>
            </w:pPr>
            <w:r w:rsidRPr="00A1123E">
              <w:rPr>
                <w:i/>
                <w:iCs/>
              </w:rPr>
              <w:t xml:space="preserve"> 48 </w:t>
            </w:r>
          </w:p>
        </w:tc>
        <w:tc>
          <w:tcPr>
            <w:tcW w:w="707" w:type="pct"/>
            <w:tcBorders>
              <w:top w:val="nil"/>
              <w:left w:val="nil"/>
              <w:bottom w:val="nil"/>
              <w:right w:val="nil"/>
            </w:tcBorders>
            <w:shd w:val="clear" w:color="auto" w:fill="auto"/>
            <w:vAlign w:val="bottom"/>
          </w:tcPr>
          <w:p w14:paraId="0A8374DE" w14:textId="625DE37E" w:rsidR="006429DB" w:rsidRPr="008023F6" w:rsidRDefault="006429DB" w:rsidP="006429DB">
            <w:pPr>
              <w:tabs>
                <w:tab w:val="right" w:pos="1202"/>
              </w:tabs>
              <w:spacing w:after="0" w:line="301" w:lineRule="exact"/>
              <w:jc w:val="right"/>
              <w:outlineLvl w:val="0"/>
              <w:rPr>
                <w:rFonts w:ascii="Calibri" w:eastAsia="Times New Roman" w:hAnsi="Calibri" w:cs="Calibri"/>
                <w:i/>
                <w:iCs/>
                <w:noProof/>
                <w:color w:val="000000" w:themeColor="text1"/>
                <w:lang w:val="en-US"/>
              </w:rPr>
            </w:pPr>
            <w:r>
              <w:rPr>
                <w:rFonts w:ascii="Calibri" w:eastAsia="Times New Roman" w:hAnsi="Calibri" w:cs="Calibri"/>
                <w:i/>
                <w:iCs/>
                <w:noProof/>
                <w:color w:val="000000" w:themeColor="text1"/>
              </w:rPr>
              <w:t>41</w:t>
            </w:r>
          </w:p>
        </w:tc>
        <w:tc>
          <w:tcPr>
            <w:tcW w:w="705" w:type="pct"/>
            <w:shd w:val="clear" w:color="auto" w:fill="auto"/>
            <w:vAlign w:val="bottom"/>
          </w:tcPr>
          <w:p w14:paraId="702725F0" w14:textId="0F1B7AF7" w:rsidR="006429DB" w:rsidRPr="00A1123E" w:rsidDel="00781822" w:rsidRDefault="006429DB" w:rsidP="006429DB">
            <w:pPr>
              <w:tabs>
                <w:tab w:val="right" w:pos="1202"/>
              </w:tabs>
              <w:spacing w:after="0" w:line="301" w:lineRule="exact"/>
              <w:jc w:val="right"/>
              <w:outlineLvl w:val="0"/>
              <w:rPr>
                <w:rFonts w:ascii="Calibri" w:eastAsia="Times New Roman" w:hAnsi="Calibri" w:cs="Calibri"/>
                <w:i/>
                <w:iCs/>
                <w:noProof/>
                <w:color w:val="000000" w:themeColor="text1"/>
                <w:lang w:val="en-US"/>
              </w:rPr>
            </w:pPr>
            <w:r w:rsidRPr="00A1123E">
              <w:rPr>
                <w:i/>
                <w:iCs/>
              </w:rPr>
              <w:t xml:space="preserve"> 40 </w:t>
            </w:r>
          </w:p>
        </w:tc>
      </w:tr>
      <w:tr w:rsidR="006429DB" w:rsidRPr="00537128" w14:paraId="6E8585C1" w14:textId="77777777" w:rsidTr="00A1123E">
        <w:trPr>
          <w:trHeight w:val="337"/>
        </w:trPr>
        <w:tc>
          <w:tcPr>
            <w:tcW w:w="2174" w:type="pct"/>
            <w:vAlign w:val="bottom"/>
          </w:tcPr>
          <w:p w14:paraId="4E3571C0" w14:textId="77777777" w:rsidR="006429DB" w:rsidRPr="00537128" w:rsidRDefault="006429DB" w:rsidP="006429DB">
            <w:pPr>
              <w:tabs>
                <w:tab w:val="right" w:pos="1202"/>
              </w:tabs>
              <w:spacing w:after="0" w:line="240" w:lineRule="auto"/>
              <w:outlineLvl w:val="0"/>
              <w:rPr>
                <w:noProof/>
                <w:color w:val="000000" w:themeColor="text1"/>
                <w:lang w:val="en-US"/>
              </w:rPr>
            </w:pPr>
            <w:bookmarkStart w:id="228" w:name="_Toc4057839"/>
            <w:bookmarkStart w:id="229" w:name="_Hlk8305200"/>
            <w:r w:rsidRPr="00537128">
              <w:rPr>
                <w:rFonts w:cstheme="minorHAnsi"/>
                <w:i/>
                <w:noProof/>
                <w:color w:val="000000" w:themeColor="text1"/>
                <w:lang w:val="en-US"/>
              </w:rPr>
              <w:t>-  Treasury bills of the Ministry of  Finance</w:t>
            </w:r>
            <w:bookmarkEnd w:id="228"/>
          </w:p>
        </w:tc>
        <w:tc>
          <w:tcPr>
            <w:tcW w:w="707" w:type="pct"/>
            <w:tcBorders>
              <w:top w:val="nil"/>
              <w:left w:val="nil"/>
              <w:bottom w:val="nil"/>
              <w:right w:val="nil"/>
            </w:tcBorders>
            <w:shd w:val="clear" w:color="auto" w:fill="auto"/>
            <w:vAlign w:val="bottom"/>
          </w:tcPr>
          <w:p w14:paraId="7359B2A8" w14:textId="188E24C5" w:rsidR="006429DB" w:rsidRPr="008023F6" w:rsidDel="00781822" w:rsidRDefault="006429DB" w:rsidP="006429DB">
            <w:pPr>
              <w:tabs>
                <w:tab w:val="right" w:pos="1202"/>
              </w:tabs>
              <w:spacing w:after="0" w:line="301" w:lineRule="exact"/>
              <w:jc w:val="right"/>
              <w:outlineLvl w:val="0"/>
              <w:rPr>
                <w:rFonts w:ascii="Calibri" w:eastAsia="Times New Roman" w:hAnsi="Calibri" w:cs="Calibri"/>
                <w:i/>
                <w:iCs/>
                <w:noProof/>
                <w:color w:val="000000" w:themeColor="text1"/>
                <w:lang w:val="en-US"/>
              </w:rPr>
            </w:pPr>
            <w:r>
              <w:rPr>
                <w:rFonts w:ascii="Calibri" w:eastAsia="Times New Roman" w:hAnsi="Calibri" w:cs="Calibri"/>
                <w:i/>
                <w:iCs/>
                <w:color w:val="000000" w:themeColor="text1"/>
              </w:rPr>
              <w:t>55</w:t>
            </w:r>
          </w:p>
        </w:tc>
        <w:tc>
          <w:tcPr>
            <w:tcW w:w="707" w:type="pct"/>
            <w:tcBorders>
              <w:top w:val="nil"/>
              <w:left w:val="nil"/>
              <w:bottom w:val="nil"/>
              <w:right w:val="nil"/>
            </w:tcBorders>
            <w:shd w:val="clear" w:color="auto" w:fill="auto"/>
            <w:vAlign w:val="bottom"/>
          </w:tcPr>
          <w:p w14:paraId="5327C40D" w14:textId="796A7217" w:rsidR="006429DB" w:rsidRPr="00A1123E" w:rsidDel="00781822" w:rsidRDefault="006429DB" w:rsidP="006429DB">
            <w:pPr>
              <w:tabs>
                <w:tab w:val="right" w:pos="1202"/>
              </w:tabs>
              <w:spacing w:after="0" w:line="301" w:lineRule="exact"/>
              <w:jc w:val="right"/>
              <w:outlineLvl w:val="0"/>
              <w:rPr>
                <w:rFonts w:ascii="Calibri" w:eastAsia="Times New Roman" w:hAnsi="Calibri" w:cs="Calibri"/>
                <w:i/>
                <w:iCs/>
                <w:noProof/>
                <w:color w:val="000000" w:themeColor="text1"/>
                <w:lang w:val="en-US"/>
              </w:rPr>
            </w:pPr>
            <w:r w:rsidRPr="00A1123E">
              <w:rPr>
                <w:i/>
                <w:iCs/>
              </w:rPr>
              <w:t xml:space="preserve"> 232 </w:t>
            </w:r>
          </w:p>
        </w:tc>
        <w:tc>
          <w:tcPr>
            <w:tcW w:w="707" w:type="pct"/>
            <w:tcBorders>
              <w:top w:val="nil"/>
              <w:left w:val="nil"/>
              <w:bottom w:val="nil"/>
              <w:right w:val="nil"/>
            </w:tcBorders>
            <w:shd w:val="clear" w:color="auto" w:fill="auto"/>
            <w:vAlign w:val="bottom"/>
          </w:tcPr>
          <w:p w14:paraId="37990BA7" w14:textId="46ED41E6" w:rsidR="006429DB" w:rsidRPr="008023F6" w:rsidRDefault="006429DB" w:rsidP="006429DB">
            <w:pPr>
              <w:tabs>
                <w:tab w:val="right" w:pos="1202"/>
              </w:tabs>
              <w:spacing w:after="0" w:line="301" w:lineRule="exact"/>
              <w:jc w:val="right"/>
              <w:outlineLvl w:val="0"/>
              <w:rPr>
                <w:rFonts w:ascii="Calibri" w:eastAsia="Times New Roman" w:hAnsi="Calibri" w:cs="Calibri"/>
                <w:i/>
                <w:iCs/>
                <w:noProof/>
                <w:color w:val="000000" w:themeColor="text1"/>
                <w:lang w:val="en-US"/>
              </w:rPr>
            </w:pPr>
            <w:r>
              <w:rPr>
                <w:rFonts w:ascii="Calibri" w:eastAsia="Times New Roman" w:hAnsi="Calibri" w:cs="Calibri"/>
                <w:i/>
                <w:iCs/>
                <w:noProof/>
                <w:color w:val="000000" w:themeColor="text1"/>
              </w:rPr>
              <w:t>55</w:t>
            </w:r>
          </w:p>
        </w:tc>
        <w:tc>
          <w:tcPr>
            <w:tcW w:w="705" w:type="pct"/>
            <w:shd w:val="clear" w:color="auto" w:fill="auto"/>
            <w:vAlign w:val="bottom"/>
          </w:tcPr>
          <w:p w14:paraId="0560D2D9" w14:textId="0840CFF3" w:rsidR="006429DB" w:rsidRPr="00A1123E" w:rsidDel="00781822" w:rsidRDefault="006429DB" w:rsidP="006429DB">
            <w:pPr>
              <w:tabs>
                <w:tab w:val="right" w:pos="1202"/>
              </w:tabs>
              <w:spacing w:after="0" w:line="301" w:lineRule="exact"/>
              <w:jc w:val="right"/>
              <w:outlineLvl w:val="0"/>
              <w:rPr>
                <w:rFonts w:ascii="Calibri" w:eastAsia="Times New Roman" w:hAnsi="Calibri" w:cs="Calibri"/>
                <w:i/>
                <w:iCs/>
                <w:noProof/>
                <w:color w:val="000000" w:themeColor="text1"/>
                <w:lang w:val="en-US"/>
              </w:rPr>
            </w:pPr>
            <w:r w:rsidRPr="00A1123E">
              <w:rPr>
                <w:i/>
                <w:iCs/>
              </w:rPr>
              <w:t xml:space="preserve"> 232 </w:t>
            </w:r>
          </w:p>
        </w:tc>
      </w:tr>
      <w:tr w:rsidR="006429DB" w:rsidRPr="00537128" w14:paraId="358558F0" w14:textId="77777777" w:rsidTr="00A1123E">
        <w:trPr>
          <w:trHeight w:val="219"/>
        </w:trPr>
        <w:tc>
          <w:tcPr>
            <w:tcW w:w="2174" w:type="pct"/>
          </w:tcPr>
          <w:p w14:paraId="13691C6D" w14:textId="77777777" w:rsidR="006429DB" w:rsidRPr="00537128" w:rsidRDefault="006429DB" w:rsidP="006429DB">
            <w:pPr>
              <w:tabs>
                <w:tab w:val="right" w:pos="1202"/>
              </w:tabs>
              <w:spacing w:after="0" w:line="301" w:lineRule="exact"/>
              <w:outlineLvl w:val="0"/>
              <w:rPr>
                <w:rFonts w:eastAsia="Times New Roman" w:cs="Arial"/>
                <w:noProof/>
                <w:color w:val="000000" w:themeColor="text1"/>
                <w:lang w:val="en-US"/>
              </w:rPr>
            </w:pPr>
            <w:bookmarkStart w:id="230" w:name="_Toc4057844"/>
            <w:bookmarkEnd w:id="229"/>
            <w:r w:rsidRPr="00537128">
              <w:rPr>
                <w:rFonts w:eastAsia="Times New Roman" w:cs="Arial"/>
                <w:noProof/>
                <w:color w:val="000000" w:themeColor="text1"/>
                <w:lang w:val="en-US"/>
              </w:rPr>
              <w:t>Deposits</w:t>
            </w:r>
            <w:bookmarkEnd w:id="230"/>
          </w:p>
        </w:tc>
        <w:tc>
          <w:tcPr>
            <w:tcW w:w="707" w:type="pct"/>
            <w:tcBorders>
              <w:top w:val="nil"/>
              <w:left w:val="nil"/>
              <w:bottom w:val="nil"/>
              <w:right w:val="nil"/>
            </w:tcBorders>
            <w:shd w:val="clear" w:color="auto" w:fill="auto"/>
            <w:vAlign w:val="bottom"/>
          </w:tcPr>
          <w:p w14:paraId="427436DF" w14:textId="202545DA" w:rsidR="006429DB" w:rsidRPr="00537128" w:rsidRDefault="006429DB" w:rsidP="006429DB">
            <w:pPr>
              <w:tabs>
                <w:tab w:val="right" w:pos="1202"/>
              </w:tabs>
              <w:spacing w:after="0" w:line="301" w:lineRule="exact"/>
              <w:jc w:val="right"/>
              <w:outlineLvl w:val="0"/>
              <w:rPr>
                <w:rFonts w:eastAsia="Times New Roman" w:cs="Arial"/>
                <w:noProof/>
                <w:color w:val="000000" w:themeColor="text1"/>
                <w:lang w:val="en-US"/>
              </w:rPr>
            </w:pPr>
            <w:r>
              <w:rPr>
                <w:rFonts w:ascii="Calibri" w:eastAsia="Times New Roman" w:hAnsi="Calibri" w:cs="Calibri"/>
                <w:color w:val="000000" w:themeColor="text1"/>
              </w:rPr>
              <w:t>211</w:t>
            </w:r>
          </w:p>
        </w:tc>
        <w:tc>
          <w:tcPr>
            <w:tcW w:w="707" w:type="pct"/>
            <w:tcBorders>
              <w:top w:val="nil"/>
              <w:left w:val="nil"/>
              <w:bottom w:val="nil"/>
              <w:right w:val="nil"/>
            </w:tcBorders>
            <w:shd w:val="clear" w:color="auto" w:fill="auto"/>
            <w:vAlign w:val="bottom"/>
          </w:tcPr>
          <w:p w14:paraId="7F69E878" w14:textId="5A99E220" w:rsidR="006429DB" w:rsidRPr="00537128" w:rsidRDefault="006429DB" w:rsidP="006429DB">
            <w:pPr>
              <w:tabs>
                <w:tab w:val="right" w:pos="1202"/>
              </w:tabs>
              <w:spacing w:after="0" w:line="301" w:lineRule="exact"/>
              <w:jc w:val="right"/>
              <w:outlineLvl w:val="0"/>
              <w:rPr>
                <w:rFonts w:eastAsia="Times New Roman" w:cs="Arial"/>
                <w:noProof/>
                <w:color w:val="000000" w:themeColor="text1"/>
                <w:lang w:val="en-US"/>
              </w:rPr>
            </w:pPr>
            <w:r w:rsidRPr="008F0333">
              <w:t xml:space="preserve"> 662 </w:t>
            </w:r>
          </w:p>
        </w:tc>
        <w:tc>
          <w:tcPr>
            <w:tcW w:w="707" w:type="pct"/>
            <w:tcBorders>
              <w:top w:val="nil"/>
              <w:left w:val="nil"/>
              <w:bottom w:val="nil"/>
              <w:right w:val="nil"/>
            </w:tcBorders>
            <w:shd w:val="clear" w:color="auto" w:fill="auto"/>
            <w:vAlign w:val="bottom"/>
          </w:tcPr>
          <w:p w14:paraId="1D082D2C" w14:textId="1705E854" w:rsidR="006429DB" w:rsidRPr="00537128" w:rsidRDefault="006429DB" w:rsidP="006429DB">
            <w:pPr>
              <w:tabs>
                <w:tab w:val="right" w:pos="1202"/>
              </w:tabs>
              <w:spacing w:after="0" w:line="301" w:lineRule="exact"/>
              <w:jc w:val="right"/>
              <w:outlineLvl w:val="0"/>
              <w:rPr>
                <w:rFonts w:eastAsia="Times New Roman" w:cs="Arial"/>
                <w:noProof/>
                <w:color w:val="000000" w:themeColor="text1"/>
                <w:lang w:val="en-US"/>
              </w:rPr>
            </w:pPr>
            <w:r>
              <w:rPr>
                <w:rFonts w:eastAsia="Times New Roman" w:cs="Arial"/>
                <w:noProof/>
                <w:color w:val="000000" w:themeColor="text1"/>
              </w:rPr>
              <w:t>211</w:t>
            </w:r>
          </w:p>
        </w:tc>
        <w:tc>
          <w:tcPr>
            <w:tcW w:w="705" w:type="pct"/>
            <w:tcBorders>
              <w:top w:val="nil"/>
              <w:left w:val="nil"/>
              <w:bottom w:val="nil"/>
              <w:right w:val="nil"/>
            </w:tcBorders>
            <w:shd w:val="clear" w:color="auto" w:fill="auto"/>
            <w:vAlign w:val="bottom"/>
          </w:tcPr>
          <w:p w14:paraId="5DB9A1E9" w14:textId="08FF6511" w:rsidR="006429DB" w:rsidRPr="00537128" w:rsidRDefault="006429DB" w:rsidP="006429DB">
            <w:pPr>
              <w:tabs>
                <w:tab w:val="right" w:pos="1202"/>
              </w:tabs>
              <w:spacing w:after="0" w:line="301" w:lineRule="exact"/>
              <w:jc w:val="right"/>
              <w:outlineLvl w:val="0"/>
              <w:rPr>
                <w:rFonts w:eastAsia="Times New Roman" w:cs="Arial"/>
                <w:noProof/>
                <w:color w:val="000000" w:themeColor="text1"/>
                <w:lang w:val="en-US"/>
              </w:rPr>
            </w:pPr>
            <w:r w:rsidRPr="00270C5B">
              <w:t xml:space="preserve"> 662 </w:t>
            </w:r>
          </w:p>
        </w:tc>
      </w:tr>
      <w:tr w:rsidR="006429DB" w:rsidRPr="00537128" w14:paraId="7CD61DB2" w14:textId="77777777" w:rsidTr="009E5940">
        <w:trPr>
          <w:trHeight w:val="219"/>
        </w:trPr>
        <w:tc>
          <w:tcPr>
            <w:tcW w:w="2174" w:type="pct"/>
          </w:tcPr>
          <w:p w14:paraId="57B1BB3D" w14:textId="77777777" w:rsidR="006429DB" w:rsidRPr="00537128" w:rsidRDefault="006429DB" w:rsidP="006429DB">
            <w:pPr>
              <w:tabs>
                <w:tab w:val="right" w:pos="1202"/>
              </w:tabs>
              <w:spacing w:after="0" w:line="340" w:lineRule="exact"/>
              <w:jc w:val="right"/>
              <w:outlineLvl w:val="0"/>
              <w:rPr>
                <w:rFonts w:eastAsia="Times New Roman" w:cs="Arial"/>
                <w:b/>
                <w:bCs/>
                <w:noProof/>
                <w:color w:val="000000" w:themeColor="text1"/>
                <w:spacing w:val="-2"/>
                <w:lang w:val="en-US"/>
              </w:rPr>
            </w:pPr>
          </w:p>
        </w:tc>
        <w:tc>
          <w:tcPr>
            <w:tcW w:w="707" w:type="pct"/>
            <w:tcBorders>
              <w:top w:val="single" w:sz="4" w:space="0" w:color="auto"/>
              <w:bottom w:val="single" w:sz="12" w:space="0" w:color="auto"/>
            </w:tcBorders>
            <w:vAlign w:val="bottom"/>
          </w:tcPr>
          <w:p w14:paraId="5868FB02" w14:textId="0DBECCE1" w:rsidR="006429DB" w:rsidRPr="00537128" w:rsidRDefault="006429DB" w:rsidP="006429DB">
            <w:pPr>
              <w:tabs>
                <w:tab w:val="right" w:pos="1202"/>
              </w:tabs>
              <w:spacing w:after="0" w:line="340" w:lineRule="exact"/>
              <w:jc w:val="right"/>
              <w:outlineLvl w:val="0"/>
              <w:rPr>
                <w:rFonts w:eastAsia="Times New Roman" w:cs="Arial"/>
                <w:b/>
                <w:bCs/>
                <w:noProof/>
                <w:color w:val="000000" w:themeColor="text1"/>
                <w:spacing w:val="-2"/>
                <w:lang w:val="en-US"/>
              </w:rPr>
            </w:pPr>
            <w:r>
              <w:rPr>
                <w:rFonts w:eastAsia="Times New Roman" w:cs="Arial"/>
                <w:b/>
                <w:bCs/>
                <w:color w:val="000000" w:themeColor="text1"/>
                <w:spacing w:val="-2"/>
              </w:rPr>
              <w:t>185,339</w:t>
            </w:r>
          </w:p>
        </w:tc>
        <w:tc>
          <w:tcPr>
            <w:tcW w:w="707" w:type="pct"/>
            <w:tcBorders>
              <w:top w:val="single" w:sz="4" w:space="0" w:color="auto"/>
              <w:bottom w:val="single" w:sz="12" w:space="0" w:color="auto"/>
            </w:tcBorders>
            <w:vAlign w:val="bottom"/>
          </w:tcPr>
          <w:p w14:paraId="4E72727D" w14:textId="6CF6DB49" w:rsidR="006429DB" w:rsidRPr="00537128" w:rsidRDefault="006429DB" w:rsidP="006429DB">
            <w:pPr>
              <w:tabs>
                <w:tab w:val="right" w:pos="1202"/>
              </w:tabs>
              <w:spacing w:after="0" w:line="340" w:lineRule="exact"/>
              <w:jc w:val="right"/>
              <w:outlineLvl w:val="0"/>
              <w:rPr>
                <w:rFonts w:eastAsia="Times New Roman" w:cs="Arial"/>
                <w:b/>
                <w:bCs/>
                <w:noProof/>
                <w:color w:val="000000" w:themeColor="text1"/>
                <w:spacing w:val="-2"/>
                <w:lang w:val="en-US"/>
              </w:rPr>
            </w:pPr>
            <w:r w:rsidRPr="00811AC6">
              <w:rPr>
                <w:b/>
                <w:bCs/>
              </w:rPr>
              <w:t xml:space="preserve"> 170</w:t>
            </w:r>
            <w:r>
              <w:rPr>
                <w:b/>
                <w:bCs/>
              </w:rPr>
              <w:t>,</w:t>
            </w:r>
            <w:r w:rsidRPr="00811AC6">
              <w:rPr>
                <w:b/>
                <w:bCs/>
              </w:rPr>
              <w:t xml:space="preserve">106 </w:t>
            </w:r>
          </w:p>
        </w:tc>
        <w:tc>
          <w:tcPr>
            <w:tcW w:w="707" w:type="pct"/>
            <w:tcBorders>
              <w:top w:val="single" w:sz="4" w:space="0" w:color="auto"/>
              <w:bottom w:val="single" w:sz="12" w:space="0" w:color="auto"/>
            </w:tcBorders>
            <w:vAlign w:val="bottom"/>
          </w:tcPr>
          <w:p w14:paraId="179EFB6E" w14:textId="3D4ED759" w:rsidR="006429DB" w:rsidRPr="00537128" w:rsidRDefault="006429DB" w:rsidP="006429DB">
            <w:pPr>
              <w:tabs>
                <w:tab w:val="right" w:pos="1202"/>
              </w:tabs>
              <w:spacing w:after="0" w:line="340" w:lineRule="exact"/>
              <w:jc w:val="right"/>
              <w:outlineLvl w:val="0"/>
              <w:rPr>
                <w:rFonts w:eastAsia="Times New Roman" w:cs="Arial"/>
                <w:b/>
                <w:bCs/>
                <w:noProof/>
                <w:color w:val="000000" w:themeColor="text1"/>
                <w:spacing w:val="-2"/>
                <w:lang w:val="en-US"/>
              </w:rPr>
            </w:pPr>
            <w:r>
              <w:rPr>
                <w:rFonts w:eastAsia="Times New Roman" w:cs="Arial"/>
                <w:b/>
                <w:bCs/>
                <w:noProof/>
                <w:color w:val="000000" w:themeColor="text1"/>
                <w:spacing w:val="-2"/>
              </w:rPr>
              <w:t>185,009</w:t>
            </w:r>
          </w:p>
        </w:tc>
        <w:tc>
          <w:tcPr>
            <w:tcW w:w="705" w:type="pct"/>
            <w:tcBorders>
              <w:top w:val="single" w:sz="4" w:space="0" w:color="auto"/>
              <w:bottom w:val="single" w:sz="12" w:space="0" w:color="auto"/>
            </w:tcBorders>
            <w:vAlign w:val="bottom"/>
          </w:tcPr>
          <w:p w14:paraId="49207284" w14:textId="2DFE32E0" w:rsidR="006429DB" w:rsidRPr="00537128" w:rsidRDefault="006429DB" w:rsidP="006429DB">
            <w:pPr>
              <w:tabs>
                <w:tab w:val="right" w:pos="1202"/>
              </w:tabs>
              <w:spacing w:after="0" w:line="340" w:lineRule="exact"/>
              <w:jc w:val="right"/>
              <w:outlineLvl w:val="0"/>
              <w:rPr>
                <w:rFonts w:eastAsia="Times New Roman" w:cs="Arial"/>
                <w:b/>
                <w:bCs/>
                <w:noProof/>
                <w:color w:val="000000" w:themeColor="text1"/>
                <w:spacing w:val="-2"/>
                <w:lang w:val="en-US"/>
              </w:rPr>
            </w:pPr>
            <w:r w:rsidRPr="00811AC6">
              <w:rPr>
                <w:b/>
                <w:bCs/>
              </w:rPr>
              <w:t xml:space="preserve"> 169</w:t>
            </w:r>
            <w:r>
              <w:rPr>
                <w:b/>
                <w:bCs/>
              </w:rPr>
              <w:t>,</w:t>
            </w:r>
            <w:r w:rsidRPr="00811AC6">
              <w:rPr>
                <w:b/>
                <w:bCs/>
              </w:rPr>
              <w:t xml:space="preserve">789 </w:t>
            </w:r>
          </w:p>
        </w:tc>
      </w:tr>
    </w:tbl>
    <w:p w14:paraId="2323ADE1" w14:textId="69B707AC" w:rsidR="0067409C" w:rsidRPr="00537128" w:rsidRDefault="0067409C" w:rsidP="0067409C">
      <w:pPr>
        <w:tabs>
          <w:tab w:val="left" w:pos="426"/>
        </w:tabs>
        <w:spacing w:after="0" w:line="240" w:lineRule="auto"/>
        <w:jc w:val="both"/>
        <w:rPr>
          <w:rFonts w:eastAsia="Times New Roman" w:cs="Times New Roman"/>
          <w:bCs/>
          <w:noProof/>
          <w:color w:val="000000" w:themeColor="text1"/>
          <w:lang w:val="en-US"/>
        </w:rPr>
      </w:pPr>
    </w:p>
    <w:p w14:paraId="2DAE3092" w14:textId="77777777" w:rsidR="008537D6" w:rsidRPr="00537128" w:rsidRDefault="008537D6" w:rsidP="0067409C">
      <w:pPr>
        <w:tabs>
          <w:tab w:val="left" w:pos="426"/>
        </w:tabs>
        <w:spacing w:after="0" w:line="240" w:lineRule="auto"/>
        <w:jc w:val="both"/>
        <w:rPr>
          <w:rFonts w:eastAsia="Times New Roman" w:cs="Times New Roman"/>
          <w:bCs/>
          <w:noProof/>
          <w:color w:val="000000" w:themeColor="text1"/>
          <w:lang w:val="en-US"/>
        </w:rPr>
      </w:pPr>
    </w:p>
    <w:p w14:paraId="2AD25A3F" w14:textId="7D6D6680" w:rsidR="0067409C" w:rsidRPr="00537128" w:rsidRDefault="0067409C" w:rsidP="0067409C">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 xml:space="preserve">The main difference between interest income and interest received or collected (see Statement of Cash Flows) mostly relates to the income in respect to interest subsidies inflows that are recorded upon payment. The discounted amount of the interest subsidies provided for the final user is presented as deferred interest income and is recognized in profit or loss on a time basis during the repayment of the loan. Interest income earned on this basis for the period 1 January to </w:t>
      </w:r>
      <w:r w:rsidR="00C53AE2" w:rsidRPr="00537128">
        <w:rPr>
          <w:noProof/>
          <w:color w:val="000000" w:themeColor="text1"/>
          <w:lang w:val="en-US"/>
        </w:rPr>
        <w:t>3</w:t>
      </w:r>
      <w:r w:rsidR="008537D6" w:rsidRPr="00537128">
        <w:rPr>
          <w:noProof/>
          <w:color w:val="000000" w:themeColor="text1"/>
          <w:lang w:val="en-US"/>
        </w:rPr>
        <w:t>1</w:t>
      </w:r>
      <w:r w:rsidR="00C53AE2" w:rsidRPr="00537128">
        <w:rPr>
          <w:noProof/>
          <w:color w:val="000000" w:themeColor="text1"/>
          <w:lang w:val="en-US"/>
        </w:rPr>
        <w:t xml:space="preserve"> </w:t>
      </w:r>
      <w:r w:rsidR="008537D6" w:rsidRPr="00537128">
        <w:rPr>
          <w:noProof/>
          <w:color w:val="000000" w:themeColor="text1"/>
          <w:lang w:val="en-US"/>
        </w:rPr>
        <w:t>March</w:t>
      </w:r>
      <w:r w:rsidR="00C53AE2" w:rsidRPr="00537128">
        <w:rPr>
          <w:noProof/>
          <w:color w:val="000000" w:themeColor="text1"/>
          <w:lang w:val="en-US"/>
        </w:rPr>
        <w:t xml:space="preserve"> </w:t>
      </w:r>
      <w:r w:rsidRPr="00537128">
        <w:rPr>
          <w:noProof/>
          <w:color w:val="000000" w:themeColor="text1"/>
          <w:lang w:val="en-US"/>
        </w:rPr>
        <w:t>202</w:t>
      </w:r>
      <w:r w:rsidR="003E2079">
        <w:rPr>
          <w:noProof/>
          <w:color w:val="000000" w:themeColor="text1"/>
          <w:lang w:val="en-US"/>
        </w:rPr>
        <w:t>2</w:t>
      </w:r>
      <w:r w:rsidRPr="00537128">
        <w:rPr>
          <w:noProof/>
          <w:color w:val="000000" w:themeColor="text1"/>
          <w:lang w:val="en-US"/>
        </w:rPr>
        <w:t xml:space="preserve"> amounts to HRK </w:t>
      </w:r>
      <w:r w:rsidR="00625BC4">
        <w:rPr>
          <w:noProof/>
          <w:color w:val="000000" w:themeColor="text1"/>
          <w:lang w:val="en-US"/>
        </w:rPr>
        <w:t>12,846</w:t>
      </w:r>
      <w:r w:rsidR="005E0B68" w:rsidRPr="00E167A5">
        <w:rPr>
          <w:noProof/>
          <w:color w:val="000000" w:themeColor="text1"/>
          <w:lang w:val="en-US"/>
        </w:rPr>
        <w:t xml:space="preserve"> </w:t>
      </w:r>
      <w:r w:rsidRPr="00853373">
        <w:rPr>
          <w:noProof/>
          <w:color w:val="000000" w:themeColor="text1"/>
          <w:lang w:val="en-US"/>
        </w:rPr>
        <w:t>thousand</w:t>
      </w:r>
      <w:r w:rsidRPr="00537128">
        <w:rPr>
          <w:noProof/>
          <w:color w:val="000000" w:themeColor="text1"/>
          <w:lang w:val="en-US"/>
        </w:rPr>
        <w:t xml:space="preserve"> (1 January to </w:t>
      </w:r>
      <w:r w:rsidR="00C53AE2" w:rsidRPr="00537128">
        <w:rPr>
          <w:noProof/>
          <w:color w:val="000000" w:themeColor="text1"/>
          <w:lang w:val="en-US"/>
        </w:rPr>
        <w:t>3</w:t>
      </w:r>
      <w:r w:rsidR="008537D6" w:rsidRPr="00537128">
        <w:rPr>
          <w:noProof/>
          <w:color w:val="000000" w:themeColor="text1"/>
          <w:lang w:val="en-US"/>
        </w:rPr>
        <w:t>1</w:t>
      </w:r>
      <w:r w:rsidR="00C53AE2" w:rsidRPr="00537128">
        <w:rPr>
          <w:noProof/>
          <w:color w:val="000000" w:themeColor="text1"/>
          <w:lang w:val="en-US"/>
        </w:rPr>
        <w:t xml:space="preserve"> </w:t>
      </w:r>
      <w:r w:rsidR="008537D6" w:rsidRPr="00537128">
        <w:rPr>
          <w:noProof/>
          <w:color w:val="000000" w:themeColor="text1"/>
          <w:lang w:val="en-US"/>
        </w:rPr>
        <w:t xml:space="preserve">March </w:t>
      </w:r>
      <w:r w:rsidRPr="00537128">
        <w:rPr>
          <w:noProof/>
          <w:color w:val="000000" w:themeColor="text1"/>
          <w:lang w:val="en-US"/>
        </w:rPr>
        <w:t>20</w:t>
      </w:r>
      <w:r w:rsidR="008537D6" w:rsidRPr="00537128">
        <w:rPr>
          <w:noProof/>
          <w:color w:val="000000" w:themeColor="text1"/>
          <w:lang w:val="en-US"/>
        </w:rPr>
        <w:t>2</w:t>
      </w:r>
      <w:r w:rsidR="003E2079">
        <w:rPr>
          <w:noProof/>
          <w:color w:val="000000" w:themeColor="text1"/>
          <w:lang w:val="en-US"/>
        </w:rPr>
        <w:t>1</w:t>
      </w:r>
      <w:r w:rsidRPr="00537128">
        <w:rPr>
          <w:noProof/>
          <w:color w:val="000000" w:themeColor="text1"/>
          <w:lang w:val="en-US"/>
        </w:rPr>
        <w:t xml:space="preserve">: HRK </w:t>
      </w:r>
      <w:r w:rsidR="008537D6" w:rsidRPr="00537128">
        <w:rPr>
          <w:noProof/>
          <w:color w:val="000000" w:themeColor="text1"/>
          <w:lang w:val="en-US"/>
        </w:rPr>
        <w:t>10,</w:t>
      </w:r>
      <w:r w:rsidR="003E2079">
        <w:rPr>
          <w:noProof/>
          <w:color w:val="000000" w:themeColor="text1"/>
          <w:lang w:val="en-US"/>
        </w:rPr>
        <w:t>5</w:t>
      </w:r>
      <w:r w:rsidR="008537D6" w:rsidRPr="00537128">
        <w:rPr>
          <w:noProof/>
          <w:color w:val="000000" w:themeColor="text1"/>
          <w:lang w:val="en-US"/>
        </w:rPr>
        <w:t>4</w:t>
      </w:r>
      <w:r w:rsidR="003E2079">
        <w:rPr>
          <w:noProof/>
          <w:color w:val="000000" w:themeColor="text1"/>
          <w:lang w:val="en-US"/>
        </w:rPr>
        <w:t>2</w:t>
      </w:r>
      <w:r w:rsidR="008537D6" w:rsidRPr="00537128">
        <w:rPr>
          <w:noProof/>
          <w:color w:val="000000" w:themeColor="text1"/>
          <w:lang w:val="en-US"/>
        </w:rPr>
        <w:t xml:space="preserve"> </w:t>
      </w:r>
      <w:r w:rsidRPr="00537128">
        <w:rPr>
          <w:noProof/>
          <w:color w:val="000000" w:themeColor="text1"/>
          <w:lang w:val="en-US"/>
        </w:rPr>
        <w:t>thousand).</w:t>
      </w:r>
    </w:p>
    <w:p w14:paraId="62DCDDA1" w14:textId="77777777" w:rsidR="0067409C" w:rsidRPr="00537128" w:rsidRDefault="0067409C" w:rsidP="0067409C">
      <w:pPr>
        <w:autoSpaceDE w:val="0"/>
        <w:autoSpaceDN w:val="0"/>
        <w:adjustRightInd w:val="0"/>
        <w:spacing w:after="0" w:line="240" w:lineRule="auto"/>
        <w:jc w:val="both"/>
        <w:rPr>
          <w:rFonts w:cstheme="minorHAnsi"/>
          <w:color w:val="000000" w:themeColor="text1"/>
          <w:highlight w:val="yellow"/>
          <w:lang w:val="en-US" w:eastAsia="hr-HR"/>
        </w:rPr>
        <w:sectPr w:rsidR="0067409C" w:rsidRPr="00537128" w:rsidSect="00D555B9">
          <w:pgSz w:w="11906" w:h="16838"/>
          <w:pgMar w:top="1417" w:right="1417" w:bottom="1417" w:left="1417" w:header="708" w:footer="708" w:gutter="0"/>
          <w:cols w:space="708"/>
          <w:docGrid w:linePitch="360"/>
        </w:sectPr>
      </w:pPr>
    </w:p>
    <w:p w14:paraId="4E2F52E9" w14:textId="77777777" w:rsidR="0067409C" w:rsidRPr="00537128" w:rsidRDefault="0067409C" w:rsidP="00011933">
      <w:pPr>
        <w:spacing w:after="0" w:line="240" w:lineRule="auto"/>
        <w:jc w:val="both"/>
        <w:rPr>
          <w:rFonts w:ascii="Calibri" w:eastAsia="Times New Roman" w:hAnsi="Calibri" w:cs="Arial"/>
          <w:b/>
          <w:color w:val="000000" w:themeColor="text1"/>
          <w:lang w:val="en-US" w:eastAsia="hr-HR"/>
        </w:rPr>
      </w:pPr>
    </w:p>
    <w:p w14:paraId="088CA44B" w14:textId="77777777" w:rsidR="00011933" w:rsidRPr="00537128" w:rsidRDefault="00011933" w:rsidP="00011933">
      <w:pPr>
        <w:pStyle w:val="ListParagraph"/>
        <w:numPr>
          <w:ilvl w:val="0"/>
          <w:numId w:val="1"/>
        </w:num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Interest expense</w:t>
      </w:r>
    </w:p>
    <w:p w14:paraId="16877716" w14:textId="77777777" w:rsidR="00011933" w:rsidRPr="00537128" w:rsidRDefault="00011933" w:rsidP="00011933">
      <w:pPr>
        <w:spacing w:after="0" w:line="240" w:lineRule="auto"/>
        <w:jc w:val="both"/>
        <w:rPr>
          <w:rFonts w:ascii="Calibri" w:eastAsia="Times New Roman" w:hAnsi="Calibri" w:cs="Arial"/>
          <w:b/>
          <w:color w:val="000000" w:themeColor="text1"/>
          <w:lang w:val="en-US" w:eastAsia="hr-HR"/>
        </w:rPr>
      </w:pPr>
    </w:p>
    <w:p w14:paraId="65F0566A" w14:textId="77777777" w:rsidR="00011933" w:rsidRPr="00537128" w:rsidRDefault="00011933" w:rsidP="00011933">
      <w:pPr>
        <w:jc w:val="both"/>
        <w:rPr>
          <w:rFonts w:cstheme="minorHAnsi"/>
          <w:noProof/>
          <w:color w:val="000000" w:themeColor="text1"/>
          <w:lang w:val="en-US" w:eastAsia="hr-HR"/>
        </w:rPr>
      </w:pPr>
      <w:r w:rsidRPr="00537128">
        <w:rPr>
          <w:rFonts w:cstheme="minorHAnsi"/>
          <w:noProof/>
          <w:color w:val="000000" w:themeColor="text1"/>
          <w:lang w:val="en-US" w:eastAsia="hr-HR"/>
        </w:rPr>
        <w:t>Interest expense by type of payee:</w:t>
      </w:r>
    </w:p>
    <w:tbl>
      <w:tblPr>
        <w:tblW w:w="4979" w:type="pct"/>
        <w:tblLayout w:type="fixed"/>
        <w:tblCellMar>
          <w:left w:w="122" w:type="dxa"/>
          <w:right w:w="122" w:type="dxa"/>
        </w:tblCellMar>
        <w:tblLook w:val="0000" w:firstRow="0" w:lastRow="0" w:firstColumn="0" w:lastColumn="0" w:noHBand="0" w:noVBand="0"/>
      </w:tblPr>
      <w:tblGrid>
        <w:gridCol w:w="3972"/>
        <w:gridCol w:w="1265"/>
        <w:gridCol w:w="1267"/>
        <w:gridCol w:w="1267"/>
        <w:gridCol w:w="1263"/>
      </w:tblGrid>
      <w:tr w:rsidR="008537D6" w:rsidRPr="00537128" w14:paraId="226452E0" w14:textId="77777777" w:rsidTr="009E5940">
        <w:trPr>
          <w:trHeight w:val="312"/>
        </w:trPr>
        <w:tc>
          <w:tcPr>
            <w:tcW w:w="2198" w:type="pct"/>
          </w:tcPr>
          <w:p w14:paraId="0F62076C" w14:textId="77777777" w:rsidR="008537D6" w:rsidRPr="00537128" w:rsidRDefault="008537D6" w:rsidP="009E5940">
            <w:pPr>
              <w:tabs>
                <w:tab w:val="left" w:pos="-720"/>
              </w:tabs>
              <w:suppressAutoHyphens/>
              <w:spacing w:after="0" w:line="240" w:lineRule="auto"/>
              <w:jc w:val="right"/>
              <w:rPr>
                <w:rFonts w:cs="Arial"/>
                <w:noProof/>
                <w:color w:val="000000" w:themeColor="text1"/>
                <w:spacing w:val="-3"/>
                <w:lang w:val="en-US"/>
              </w:rPr>
            </w:pPr>
          </w:p>
        </w:tc>
        <w:tc>
          <w:tcPr>
            <w:tcW w:w="700" w:type="pct"/>
          </w:tcPr>
          <w:p w14:paraId="3EC367F1" w14:textId="77777777" w:rsidR="008537D6" w:rsidRPr="00537128" w:rsidRDefault="008537D6" w:rsidP="009E5940">
            <w:pPr>
              <w:tabs>
                <w:tab w:val="right" w:pos="1202"/>
              </w:tabs>
              <w:spacing w:after="0" w:line="240" w:lineRule="atLeast"/>
              <w:jc w:val="right"/>
              <w:outlineLvl w:val="0"/>
              <w:rPr>
                <w:rFonts w:eastAsia="Times New Roman" w:cs="Arial"/>
                <w:b/>
                <w:noProof/>
                <w:color w:val="000000" w:themeColor="text1"/>
                <w:lang w:val="en-US"/>
              </w:rPr>
            </w:pPr>
          </w:p>
        </w:tc>
        <w:tc>
          <w:tcPr>
            <w:tcW w:w="701" w:type="pct"/>
          </w:tcPr>
          <w:p w14:paraId="69775ABF" w14:textId="77777777" w:rsidR="008537D6" w:rsidRPr="00537128" w:rsidRDefault="008537D6" w:rsidP="009E5940">
            <w:pPr>
              <w:tabs>
                <w:tab w:val="right" w:pos="1202"/>
              </w:tabs>
              <w:spacing w:after="0" w:line="240" w:lineRule="atLeast"/>
              <w:jc w:val="right"/>
              <w:outlineLvl w:val="0"/>
              <w:rPr>
                <w:rFonts w:eastAsia="Times New Roman" w:cs="Arial"/>
                <w:b/>
                <w:noProof/>
                <w:color w:val="000000" w:themeColor="text1"/>
                <w:lang w:val="en-US"/>
              </w:rPr>
            </w:pPr>
            <w:bookmarkStart w:id="231" w:name="_Toc4057853"/>
            <w:r w:rsidRPr="00537128">
              <w:rPr>
                <w:rFonts w:eastAsia="Times New Roman" w:cs="Arial"/>
                <w:b/>
                <w:noProof/>
                <w:color w:val="000000" w:themeColor="text1"/>
                <w:lang w:val="en-US"/>
              </w:rPr>
              <w:t>Group</w:t>
            </w:r>
            <w:bookmarkEnd w:id="231"/>
          </w:p>
        </w:tc>
        <w:tc>
          <w:tcPr>
            <w:tcW w:w="701" w:type="pct"/>
          </w:tcPr>
          <w:p w14:paraId="22E13531" w14:textId="77777777" w:rsidR="008537D6" w:rsidRPr="00537128" w:rsidRDefault="008537D6" w:rsidP="009E5940">
            <w:pPr>
              <w:tabs>
                <w:tab w:val="right" w:pos="1202"/>
              </w:tabs>
              <w:spacing w:after="0" w:line="240" w:lineRule="atLeast"/>
              <w:jc w:val="right"/>
              <w:outlineLvl w:val="0"/>
              <w:rPr>
                <w:rFonts w:eastAsia="Times New Roman" w:cs="Arial"/>
                <w:b/>
                <w:noProof/>
                <w:color w:val="000000" w:themeColor="text1"/>
                <w:lang w:val="en-US"/>
              </w:rPr>
            </w:pPr>
          </w:p>
        </w:tc>
        <w:tc>
          <w:tcPr>
            <w:tcW w:w="699" w:type="pct"/>
          </w:tcPr>
          <w:p w14:paraId="34C2708B" w14:textId="77777777" w:rsidR="008537D6" w:rsidRPr="00537128" w:rsidRDefault="008537D6" w:rsidP="009E5940">
            <w:pPr>
              <w:tabs>
                <w:tab w:val="right" w:pos="1202"/>
              </w:tabs>
              <w:spacing w:after="0" w:line="240" w:lineRule="atLeast"/>
              <w:jc w:val="right"/>
              <w:outlineLvl w:val="0"/>
              <w:rPr>
                <w:rFonts w:eastAsia="Times New Roman" w:cs="Arial"/>
                <w:b/>
                <w:noProof/>
                <w:color w:val="000000" w:themeColor="text1"/>
                <w:lang w:val="en-US"/>
              </w:rPr>
            </w:pPr>
            <w:bookmarkStart w:id="232" w:name="_Toc4057854"/>
            <w:r w:rsidRPr="00537128">
              <w:rPr>
                <w:rFonts w:eastAsia="Times New Roman" w:cs="Arial"/>
                <w:b/>
                <w:noProof/>
                <w:color w:val="000000" w:themeColor="text1"/>
                <w:lang w:val="en-US"/>
              </w:rPr>
              <w:t>Bank</w:t>
            </w:r>
            <w:bookmarkEnd w:id="232"/>
          </w:p>
        </w:tc>
      </w:tr>
      <w:tr w:rsidR="008537D6" w:rsidRPr="00537128" w14:paraId="0F8D4704" w14:textId="77777777" w:rsidTr="009E5940">
        <w:trPr>
          <w:trHeight w:val="312"/>
        </w:trPr>
        <w:tc>
          <w:tcPr>
            <w:tcW w:w="2198" w:type="pct"/>
          </w:tcPr>
          <w:p w14:paraId="7DCC0EB3" w14:textId="77777777" w:rsidR="008537D6" w:rsidRPr="00537128" w:rsidRDefault="008537D6" w:rsidP="008537D6">
            <w:pPr>
              <w:tabs>
                <w:tab w:val="left" w:pos="-720"/>
              </w:tabs>
              <w:suppressAutoHyphens/>
              <w:spacing w:after="0" w:line="240" w:lineRule="auto"/>
              <w:jc w:val="right"/>
              <w:rPr>
                <w:rFonts w:cs="Arial"/>
                <w:noProof/>
                <w:color w:val="000000" w:themeColor="text1"/>
                <w:spacing w:val="-3"/>
                <w:lang w:val="en-US"/>
              </w:rPr>
            </w:pPr>
          </w:p>
        </w:tc>
        <w:tc>
          <w:tcPr>
            <w:tcW w:w="700" w:type="pct"/>
            <w:vAlign w:val="center"/>
          </w:tcPr>
          <w:p w14:paraId="185CD321" w14:textId="17551638"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theme="minorHAnsi"/>
                <w:b/>
                <w:bCs/>
                <w:noProof/>
                <w:color w:val="000000" w:themeColor="text1"/>
                <w:lang w:val="en-US"/>
              </w:rPr>
              <w:t>Jan 1 - Mar 31, 202</w:t>
            </w:r>
            <w:r w:rsidR="00B100AD">
              <w:rPr>
                <w:rFonts w:eastAsia="Times New Roman" w:cstheme="minorHAnsi"/>
                <w:b/>
                <w:bCs/>
                <w:noProof/>
                <w:color w:val="000000" w:themeColor="text1"/>
                <w:lang w:val="en-US"/>
              </w:rPr>
              <w:t>2</w:t>
            </w:r>
          </w:p>
        </w:tc>
        <w:tc>
          <w:tcPr>
            <w:tcW w:w="701" w:type="pct"/>
            <w:vAlign w:val="center"/>
          </w:tcPr>
          <w:p w14:paraId="3C1C5442" w14:textId="217F7D20"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theme="minorHAnsi"/>
                <w:b/>
                <w:bCs/>
                <w:noProof/>
                <w:color w:val="000000" w:themeColor="text1"/>
                <w:lang w:val="en-US"/>
              </w:rPr>
              <w:t>Jan 1 - Mar 31, 202</w:t>
            </w:r>
            <w:r w:rsidR="00B100AD">
              <w:rPr>
                <w:rFonts w:eastAsia="Times New Roman" w:cstheme="minorHAnsi"/>
                <w:b/>
                <w:bCs/>
                <w:noProof/>
                <w:color w:val="000000" w:themeColor="text1"/>
                <w:lang w:val="en-US"/>
              </w:rPr>
              <w:t>1</w:t>
            </w:r>
          </w:p>
        </w:tc>
        <w:tc>
          <w:tcPr>
            <w:tcW w:w="701" w:type="pct"/>
            <w:vAlign w:val="center"/>
          </w:tcPr>
          <w:p w14:paraId="25D93574" w14:textId="1CA50C68"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theme="minorHAnsi"/>
                <w:b/>
                <w:bCs/>
                <w:noProof/>
                <w:color w:val="000000" w:themeColor="text1"/>
                <w:lang w:val="en-US"/>
              </w:rPr>
              <w:t>Jan 1 - Mar 31, 202</w:t>
            </w:r>
            <w:r w:rsidR="00B100AD">
              <w:rPr>
                <w:rFonts w:eastAsia="Times New Roman" w:cstheme="minorHAnsi"/>
                <w:b/>
                <w:bCs/>
                <w:noProof/>
                <w:color w:val="000000" w:themeColor="text1"/>
                <w:lang w:val="en-US"/>
              </w:rPr>
              <w:t>2</w:t>
            </w:r>
          </w:p>
        </w:tc>
        <w:tc>
          <w:tcPr>
            <w:tcW w:w="699" w:type="pct"/>
            <w:vAlign w:val="center"/>
          </w:tcPr>
          <w:p w14:paraId="18E475F0" w14:textId="49C81A48"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theme="minorHAnsi"/>
                <w:b/>
                <w:bCs/>
                <w:noProof/>
                <w:color w:val="000000" w:themeColor="text1"/>
                <w:lang w:val="en-US"/>
              </w:rPr>
              <w:t>Jan 1 - Mar 31, 202</w:t>
            </w:r>
            <w:r w:rsidR="00B100AD">
              <w:rPr>
                <w:rFonts w:eastAsia="Times New Roman" w:cstheme="minorHAnsi"/>
                <w:b/>
                <w:bCs/>
                <w:noProof/>
                <w:color w:val="000000" w:themeColor="text1"/>
                <w:lang w:val="en-US"/>
              </w:rPr>
              <w:t>1</w:t>
            </w:r>
          </w:p>
        </w:tc>
      </w:tr>
      <w:tr w:rsidR="008537D6" w:rsidRPr="00537128" w14:paraId="07FE643A" w14:textId="77777777" w:rsidTr="009E5940">
        <w:tblPrEx>
          <w:tblCellMar>
            <w:left w:w="108" w:type="dxa"/>
            <w:right w:w="108" w:type="dxa"/>
          </w:tblCellMar>
        </w:tblPrEx>
        <w:trPr>
          <w:trHeight w:val="194"/>
        </w:trPr>
        <w:tc>
          <w:tcPr>
            <w:tcW w:w="2198" w:type="pct"/>
          </w:tcPr>
          <w:p w14:paraId="39EA1B3A" w14:textId="77777777" w:rsidR="008537D6" w:rsidRPr="00537128" w:rsidRDefault="008537D6" w:rsidP="008537D6">
            <w:pPr>
              <w:tabs>
                <w:tab w:val="left" w:pos="-720"/>
              </w:tabs>
              <w:suppressAutoHyphens/>
              <w:spacing w:after="0" w:line="240" w:lineRule="auto"/>
              <w:ind w:right="4144"/>
              <w:jc w:val="right"/>
              <w:rPr>
                <w:rFonts w:cs="Arial"/>
                <w:noProof/>
                <w:color w:val="000000" w:themeColor="text1"/>
                <w:lang w:val="en-US"/>
              </w:rPr>
            </w:pPr>
          </w:p>
        </w:tc>
        <w:tc>
          <w:tcPr>
            <w:tcW w:w="700" w:type="pct"/>
          </w:tcPr>
          <w:p w14:paraId="65235171" w14:textId="77777777"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bookmarkStart w:id="233" w:name="_Toc4057859"/>
            <w:r w:rsidRPr="00537128">
              <w:rPr>
                <w:rFonts w:eastAsia="Times New Roman" w:cs="Arial"/>
                <w:b/>
                <w:noProof/>
                <w:color w:val="000000" w:themeColor="text1"/>
                <w:lang w:val="en-US"/>
              </w:rPr>
              <w:t>HRK ‘000</w:t>
            </w:r>
            <w:bookmarkEnd w:id="233"/>
          </w:p>
        </w:tc>
        <w:tc>
          <w:tcPr>
            <w:tcW w:w="701" w:type="pct"/>
          </w:tcPr>
          <w:p w14:paraId="16F83FEF" w14:textId="0EFFC260"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Arial"/>
                <w:b/>
                <w:noProof/>
                <w:color w:val="000000" w:themeColor="text1"/>
                <w:lang w:val="en-US"/>
              </w:rPr>
              <w:t>HRK ‘000</w:t>
            </w:r>
          </w:p>
        </w:tc>
        <w:tc>
          <w:tcPr>
            <w:tcW w:w="701" w:type="pct"/>
          </w:tcPr>
          <w:p w14:paraId="4CB96C2B" w14:textId="4FBA6451"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Arial"/>
                <w:b/>
                <w:noProof/>
                <w:color w:val="000000" w:themeColor="text1"/>
                <w:lang w:val="en-US"/>
              </w:rPr>
              <w:t>HRK ‘000</w:t>
            </w:r>
          </w:p>
        </w:tc>
        <w:tc>
          <w:tcPr>
            <w:tcW w:w="699" w:type="pct"/>
          </w:tcPr>
          <w:p w14:paraId="00779E3E" w14:textId="797DF407"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Arial"/>
                <w:b/>
                <w:noProof/>
                <w:color w:val="000000" w:themeColor="text1"/>
                <w:lang w:val="en-US"/>
              </w:rPr>
              <w:t>HRK ‘000</w:t>
            </w:r>
          </w:p>
        </w:tc>
      </w:tr>
      <w:tr w:rsidR="00D7003B" w:rsidRPr="00537128" w14:paraId="41F407C0" w14:textId="77777777" w:rsidTr="009A30A9">
        <w:trPr>
          <w:trHeight w:val="117"/>
        </w:trPr>
        <w:tc>
          <w:tcPr>
            <w:tcW w:w="2198" w:type="pct"/>
          </w:tcPr>
          <w:p w14:paraId="4557C549" w14:textId="77777777" w:rsidR="00D7003B" w:rsidRPr="00537128" w:rsidRDefault="00D7003B" w:rsidP="00D7003B">
            <w:pPr>
              <w:tabs>
                <w:tab w:val="right" w:pos="1202"/>
              </w:tabs>
              <w:spacing w:after="0" w:line="301" w:lineRule="exact"/>
              <w:outlineLvl w:val="0"/>
              <w:rPr>
                <w:rFonts w:eastAsia="Times New Roman" w:cs="Arial"/>
                <w:noProof/>
                <w:color w:val="000000" w:themeColor="text1"/>
                <w:lang w:val="en-US"/>
              </w:rPr>
            </w:pPr>
            <w:bookmarkStart w:id="234" w:name="_Toc4057863"/>
            <w:r w:rsidRPr="00537128">
              <w:rPr>
                <w:rFonts w:eastAsia="Times New Roman" w:cs="Arial"/>
                <w:noProof/>
                <w:color w:val="000000" w:themeColor="text1"/>
                <w:lang w:val="en-US"/>
              </w:rPr>
              <w:t>Domestic financial institutions</w:t>
            </w:r>
            <w:bookmarkEnd w:id="234"/>
          </w:p>
        </w:tc>
        <w:tc>
          <w:tcPr>
            <w:tcW w:w="700" w:type="pct"/>
            <w:tcBorders>
              <w:top w:val="nil"/>
              <w:left w:val="nil"/>
              <w:bottom w:val="nil"/>
              <w:right w:val="nil"/>
            </w:tcBorders>
            <w:shd w:val="clear" w:color="auto" w:fill="auto"/>
            <w:vAlign w:val="bottom"/>
          </w:tcPr>
          <w:p w14:paraId="53385A0C" w14:textId="1B421475" w:rsidR="00D7003B" w:rsidRPr="00537128" w:rsidRDefault="00D7003B" w:rsidP="00D7003B">
            <w:pPr>
              <w:tabs>
                <w:tab w:val="right" w:pos="1202"/>
              </w:tabs>
              <w:spacing w:after="0" w:line="301" w:lineRule="exact"/>
              <w:jc w:val="right"/>
              <w:outlineLvl w:val="0"/>
              <w:rPr>
                <w:rFonts w:eastAsia="Times New Roman" w:cs="Arial"/>
                <w:noProof/>
                <w:color w:val="000000" w:themeColor="text1"/>
                <w:lang w:val="en-US"/>
              </w:rPr>
            </w:pPr>
            <w:r>
              <w:rPr>
                <w:rFonts w:eastAsia="Times New Roman" w:cs="Arial"/>
                <w:noProof/>
                <w:color w:val="000000" w:themeColor="text1"/>
              </w:rPr>
              <w:t>1</w:t>
            </w:r>
          </w:p>
        </w:tc>
        <w:tc>
          <w:tcPr>
            <w:tcW w:w="701" w:type="pct"/>
            <w:tcBorders>
              <w:top w:val="nil"/>
              <w:left w:val="nil"/>
              <w:bottom w:val="nil"/>
              <w:right w:val="nil"/>
            </w:tcBorders>
            <w:shd w:val="clear" w:color="auto" w:fill="auto"/>
          </w:tcPr>
          <w:p w14:paraId="33E35C52" w14:textId="0A39CB3A" w:rsidR="00D7003B" w:rsidRPr="00537128" w:rsidRDefault="00D7003B" w:rsidP="00D7003B">
            <w:pPr>
              <w:tabs>
                <w:tab w:val="right" w:pos="1202"/>
              </w:tabs>
              <w:spacing w:after="0" w:line="301" w:lineRule="exact"/>
              <w:jc w:val="right"/>
              <w:outlineLvl w:val="0"/>
              <w:rPr>
                <w:rFonts w:eastAsia="Times New Roman" w:cs="Arial"/>
                <w:noProof/>
                <w:color w:val="000000" w:themeColor="text1"/>
                <w:lang w:val="en-US"/>
              </w:rPr>
            </w:pPr>
            <w:r w:rsidRPr="007963F3">
              <w:t xml:space="preserve"> 6 </w:t>
            </w:r>
          </w:p>
        </w:tc>
        <w:tc>
          <w:tcPr>
            <w:tcW w:w="701" w:type="pct"/>
            <w:tcBorders>
              <w:top w:val="nil"/>
              <w:left w:val="nil"/>
              <w:bottom w:val="nil"/>
              <w:right w:val="nil"/>
            </w:tcBorders>
            <w:shd w:val="clear" w:color="auto" w:fill="auto"/>
            <w:vAlign w:val="bottom"/>
          </w:tcPr>
          <w:p w14:paraId="34598716" w14:textId="0EBD0DC3" w:rsidR="00D7003B" w:rsidRPr="00537128" w:rsidRDefault="00D7003B" w:rsidP="00D7003B">
            <w:pPr>
              <w:tabs>
                <w:tab w:val="right" w:pos="1202"/>
              </w:tabs>
              <w:spacing w:after="0" w:line="301" w:lineRule="exact"/>
              <w:jc w:val="right"/>
              <w:outlineLvl w:val="0"/>
              <w:rPr>
                <w:rFonts w:eastAsia="Times New Roman" w:cs="Arial"/>
                <w:noProof/>
                <w:color w:val="000000" w:themeColor="text1"/>
                <w:lang w:val="en-US"/>
              </w:rPr>
            </w:pPr>
            <w:r>
              <w:rPr>
                <w:rFonts w:cs="Arial"/>
              </w:rPr>
              <w:t>1</w:t>
            </w:r>
          </w:p>
        </w:tc>
        <w:tc>
          <w:tcPr>
            <w:tcW w:w="699" w:type="pct"/>
            <w:tcBorders>
              <w:top w:val="nil"/>
              <w:left w:val="nil"/>
              <w:bottom w:val="nil"/>
              <w:right w:val="nil"/>
            </w:tcBorders>
            <w:shd w:val="clear" w:color="auto" w:fill="auto"/>
          </w:tcPr>
          <w:p w14:paraId="69A033E7" w14:textId="63AF22F2" w:rsidR="00D7003B" w:rsidRPr="00537128" w:rsidRDefault="00D7003B" w:rsidP="00D7003B">
            <w:pPr>
              <w:tabs>
                <w:tab w:val="right" w:pos="1202"/>
              </w:tabs>
              <w:spacing w:after="0" w:line="301" w:lineRule="exact"/>
              <w:jc w:val="right"/>
              <w:outlineLvl w:val="0"/>
              <w:rPr>
                <w:rFonts w:eastAsia="Times New Roman" w:cs="Arial"/>
                <w:noProof/>
                <w:color w:val="000000" w:themeColor="text1"/>
                <w:lang w:val="en-US"/>
              </w:rPr>
            </w:pPr>
            <w:r w:rsidRPr="00EE15CA">
              <w:t xml:space="preserve"> 6 </w:t>
            </w:r>
          </w:p>
        </w:tc>
      </w:tr>
      <w:tr w:rsidR="00D7003B" w:rsidRPr="00537128" w14:paraId="00289BBB" w14:textId="77777777" w:rsidTr="009A30A9">
        <w:trPr>
          <w:trHeight w:val="117"/>
        </w:trPr>
        <w:tc>
          <w:tcPr>
            <w:tcW w:w="2198" w:type="pct"/>
          </w:tcPr>
          <w:p w14:paraId="49DA1AA1" w14:textId="77777777" w:rsidR="00D7003B" w:rsidRPr="00537128" w:rsidRDefault="00D7003B" w:rsidP="00D7003B">
            <w:pPr>
              <w:tabs>
                <w:tab w:val="right" w:pos="1202"/>
              </w:tabs>
              <w:spacing w:after="0" w:line="301" w:lineRule="exact"/>
              <w:outlineLvl w:val="0"/>
              <w:rPr>
                <w:rFonts w:eastAsia="Times New Roman" w:cs="Arial"/>
                <w:noProof/>
                <w:color w:val="000000" w:themeColor="text1"/>
                <w:lang w:val="en-US"/>
              </w:rPr>
            </w:pPr>
            <w:bookmarkStart w:id="235" w:name="_Toc4057868"/>
            <w:r w:rsidRPr="00537128">
              <w:rPr>
                <w:rFonts w:eastAsia="Times New Roman" w:cs="Arial"/>
                <w:noProof/>
                <w:color w:val="000000" w:themeColor="text1"/>
                <w:lang w:val="en-US"/>
              </w:rPr>
              <w:t>Foreign financial institutions</w:t>
            </w:r>
            <w:bookmarkEnd w:id="235"/>
          </w:p>
        </w:tc>
        <w:tc>
          <w:tcPr>
            <w:tcW w:w="700" w:type="pct"/>
            <w:tcBorders>
              <w:top w:val="nil"/>
              <w:left w:val="nil"/>
              <w:bottom w:val="nil"/>
              <w:right w:val="nil"/>
            </w:tcBorders>
            <w:shd w:val="clear" w:color="auto" w:fill="auto"/>
            <w:vAlign w:val="bottom"/>
          </w:tcPr>
          <w:p w14:paraId="4F3C7013" w14:textId="315C510F" w:rsidR="00D7003B" w:rsidRPr="00537128" w:rsidRDefault="00D7003B" w:rsidP="00D7003B">
            <w:pPr>
              <w:tabs>
                <w:tab w:val="right" w:pos="1202"/>
              </w:tabs>
              <w:spacing w:after="0" w:line="301" w:lineRule="exact"/>
              <w:jc w:val="right"/>
              <w:outlineLvl w:val="0"/>
              <w:rPr>
                <w:rFonts w:eastAsia="Times New Roman" w:cs="Arial"/>
                <w:noProof/>
                <w:color w:val="000000" w:themeColor="text1"/>
                <w:lang w:val="en-US"/>
              </w:rPr>
            </w:pPr>
            <w:r>
              <w:rPr>
                <w:rFonts w:eastAsia="Times New Roman" w:cs="Arial"/>
                <w:noProof/>
                <w:color w:val="000000" w:themeColor="text1"/>
              </w:rPr>
              <w:t>36</w:t>
            </w:r>
            <w:r w:rsidR="002D5310">
              <w:rPr>
                <w:rFonts w:eastAsia="Times New Roman" w:cs="Arial"/>
                <w:noProof/>
                <w:color w:val="000000" w:themeColor="text1"/>
              </w:rPr>
              <w:t>,</w:t>
            </w:r>
            <w:r>
              <w:rPr>
                <w:rFonts w:eastAsia="Times New Roman" w:cs="Arial"/>
                <w:noProof/>
                <w:color w:val="000000" w:themeColor="text1"/>
              </w:rPr>
              <w:t>832</w:t>
            </w:r>
          </w:p>
        </w:tc>
        <w:tc>
          <w:tcPr>
            <w:tcW w:w="701" w:type="pct"/>
            <w:tcBorders>
              <w:top w:val="nil"/>
              <w:left w:val="nil"/>
              <w:bottom w:val="nil"/>
              <w:right w:val="nil"/>
            </w:tcBorders>
            <w:shd w:val="clear" w:color="auto" w:fill="auto"/>
          </w:tcPr>
          <w:p w14:paraId="5CA45DB8" w14:textId="48E1424B" w:rsidR="00D7003B" w:rsidRPr="00537128" w:rsidRDefault="00D7003B" w:rsidP="00D7003B">
            <w:pPr>
              <w:tabs>
                <w:tab w:val="right" w:pos="1202"/>
              </w:tabs>
              <w:spacing w:after="0" w:line="301" w:lineRule="exact"/>
              <w:jc w:val="right"/>
              <w:outlineLvl w:val="0"/>
              <w:rPr>
                <w:rFonts w:eastAsia="Times New Roman" w:cs="Arial"/>
                <w:noProof/>
                <w:color w:val="000000" w:themeColor="text1"/>
                <w:lang w:val="en-US"/>
              </w:rPr>
            </w:pPr>
            <w:r w:rsidRPr="007963F3">
              <w:t xml:space="preserve"> 46</w:t>
            </w:r>
            <w:r>
              <w:t>,</w:t>
            </w:r>
            <w:r w:rsidRPr="007963F3">
              <w:t xml:space="preserve">375 </w:t>
            </w:r>
          </w:p>
        </w:tc>
        <w:tc>
          <w:tcPr>
            <w:tcW w:w="701" w:type="pct"/>
            <w:tcBorders>
              <w:top w:val="nil"/>
              <w:left w:val="nil"/>
              <w:bottom w:val="nil"/>
              <w:right w:val="nil"/>
            </w:tcBorders>
            <w:shd w:val="clear" w:color="auto" w:fill="auto"/>
            <w:vAlign w:val="bottom"/>
          </w:tcPr>
          <w:p w14:paraId="28AC4D5D" w14:textId="060B5120" w:rsidR="00D7003B" w:rsidRPr="00537128" w:rsidRDefault="00D7003B" w:rsidP="00D7003B">
            <w:pPr>
              <w:tabs>
                <w:tab w:val="right" w:pos="1202"/>
              </w:tabs>
              <w:spacing w:after="0" w:line="301" w:lineRule="exact"/>
              <w:jc w:val="right"/>
              <w:outlineLvl w:val="0"/>
              <w:rPr>
                <w:rFonts w:eastAsia="Times New Roman" w:cs="Arial"/>
                <w:noProof/>
                <w:color w:val="000000" w:themeColor="text1"/>
                <w:lang w:val="en-US"/>
              </w:rPr>
            </w:pPr>
            <w:r>
              <w:t>36</w:t>
            </w:r>
            <w:r w:rsidR="002D5310">
              <w:t>,</w:t>
            </w:r>
            <w:r>
              <w:t>832</w:t>
            </w:r>
          </w:p>
        </w:tc>
        <w:tc>
          <w:tcPr>
            <w:tcW w:w="699" w:type="pct"/>
            <w:tcBorders>
              <w:top w:val="nil"/>
              <w:left w:val="nil"/>
              <w:bottom w:val="nil"/>
              <w:right w:val="nil"/>
            </w:tcBorders>
            <w:shd w:val="clear" w:color="auto" w:fill="auto"/>
          </w:tcPr>
          <w:p w14:paraId="7520A360" w14:textId="36C26394" w:rsidR="00D7003B" w:rsidRPr="00537128" w:rsidRDefault="00D7003B" w:rsidP="00D7003B">
            <w:pPr>
              <w:tabs>
                <w:tab w:val="right" w:pos="1202"/>
              </w:tabs>
              <w:spacing w:after="0" w:line="301" w:lineRule="exact"/>
              <w:jc w:val="right"/>
              <w:outlineLvl w:val="0"/>
              <w:rPr>
                <w:rFonts w:eastAsia="Times New Roman" w:cs="Arial"/>
                <w:noProof/>
                <w:color w:val="000000" w:themeColor="text1"/>
                <w:lang w:val="en-US"/>
              </w:rPr>
            </w:pPr>
            <w:r w:rsidRPr="00EE15CA">
              <w:t xml:space="preserve"> 46</w:t>
            </w:r>
            <w:r>
              <w:t>,</w:t>
            </w:r>
            <w:r w:rsidRPr="00EE15CA">
              <w:t xml:space="preserve">375 </w:t>
            </w:r>
          </w:p>
        </w:tc>
      </w:tr>
      <w:tr w:rsidR="00D7003B" w:rsidRPr="00537128" w14:paraId="2CF63C32" w14:textId="77777777" w:rsidTr="009A30A9">
        <w:trPr>
          <w:trHeight w:val="117"/>
        </w:trPr>
        <w:tc>
          <w:tcPr>
            <w:tcW w:w="2198" w:type="pct"/>
          </w:tcPr>
          <w:p w14:paraId="7DD53D11" w14:textId="68E68D9B" w:rsidR="00D7003B" w:rsidRPr="00537128" w:rsidRDefault="00D7003B" w:rsidP="00D7003B">
            <w:pPr>
              <w:tabs>
                <w:tab w:val="right" w:pos="1202"/>
              </w:tabs>
              <w:spacing w:after="0" w:line="301" w:lineRule="exact"/>
              <w:outlineLvl w:val="0"/>
              <w:rPr>
                <w:rFonts w:eastAsia="Times New Roman" w:cs="Arial"/>
                <w:noProof/>
                <w:color w:val="000000" w:themeColor="text1"/>
                <w:lang w:val="en-US"/>
              </w:rPr>
            </w:pPr>
            <w:r>
              <w:rPr>
                <w:rFonts w:cs="Arial"/>
              </w:rPr>
              <w:t>State units</w:t>
            </w:r>
          </w:p>
        </w:tc>
        <w:tc>
          <w:tcPr>
            <w:tcW w:w="700" w:type="pct"/>
            <w:tcBorders>
              <w:top w:val="nil"/>
              <w:left w:val="nil"/>
              <w:bottom w:val="nil"/>
              <w:right w:val="nil"/>
            </w:tcBorders>
            <w:shd w:val="clear" w:color="auto" w:fill="auto"/>
            <w:vAlign w:val="bottom"/>
          </w:tcPr>
          <w:p w14:paraId="7894AAE3" w14:textId="14B2D391" w:rsidR="00D7003B" w:rsidRPr="00537128" w:rsidRDefault="00D7003B" w:rsidP="00D7003B">
            <w:pPr>
              <w:tabs>
                <w:tab w:val="right" w:pos="1202"/>
              </w:tabs>
              <w:spacing w:after="0" w:line="301" w:lineRule="exact"/>
              <w:jc w:val="right"/>
              <w:outlineLvl w:val="0"/>
              <w:rPr>
                <w:rFonts w:eastAsia="Times New Roman" w:cs="Arial"/>
                <w:noProof/>
                <w:color w:val="000000" w:themeColor="text1"/>
                <w:lang w:val="en-US"/>
              </w:rPr>
            </w:pPr>
            <w:r>
              <w:rPr>
                <w:rFonts w:eastAsia="Times New Roman" w:cs="Arial"/>
                <w:noProof/>
                <w:color w:val="000000" w:themeColor="text1"/>
              </w:rPr>
              <w:t>3</w:t>
            </w:r>
            <w:r w:rsidR="002D5310">
              <w:rPr>
                <w:rFonts w:eastAsia="Times New Roman" w:cs="Arial"/>
                <w:noProof/>
                <w:color w:val="000000" w:themeColor="text1"/>
              </w:rPr>
              <w:t>,</w:t>
            </w:r>
            <w:r>
              <w:rPr>
                <w:rFonts w:eastAsia="Times New Roman" w:cs="Arial"/>
                <w:noProof/>
                <w:color w:val="000000" w:themeColor="text1"/>
              </w:rPr>
              <w:t>394</w:t>
            </w:r>
          </w:p>
        </w:tc>
        <w:tc>
          <w:tcPr>
            <w:tcW w:w="701" w:type="pct"/>
            <w:tcBorders>
              <w:top w:val="nil"/>
              <w:left w:val="nil"/>
              <w:bottom w:val="nil"/>
              <w:right w:val="nil"/>
            </w:tcBorders>
            <w:shd w:val="clear" w:color="auto" w:fill="auto"/>
          </w:tcPr>
          <w:p w14:paraId="7A6CAE16" w14:textId="4D01D172" w:rsidR="00D7003B" w:rsidRPr="00537128" w:rsidRDefault="00D7003B" w:rsidP="00D7003B">
            <w:pPr>
              <w:tabs>
                <w:tab w:val="right" w:pos="1202"/>
              </w:tabs>
              <w:spacing w:after="0" w:line="301" w:lineRule="exact"/>
              <w:jc w:val="right"/>
              <w:outlineLvl w:val="0"/>
              <w:rPr>
                <w:rFonts w:eastAsia="Times New Roman" w:cs="Arial"/>
                <w:noProof/>
                <w:color w:val="000000" w:themeColor="text1"/>
                <w:lang w:val="en-US"/>
              </w:rPr>
            </w:pPr>
            <w:r w:rsidRPr="007963F3">
              <w:t xml:space="preserve"> 3</w:t>
            </w:r>
            <w:r>
              <w:t>,</w:t>
            </w:r>
            <w:r w:rsidRPr="007963F3">
              <w:t xml:space="preserve">375 </w:t>
            </w:r>
          </w:p>
        </w:tc>
        <w:tc>
          <w:tcPr>
            <w:tcW w:w="701" w:type="pct"/>
            <w:tcBorders>
              <w:top w:val="nil"/>
              <w:left w:val="nil"/>
              <w:bottom w:val="nil"/>
              <w:right w:val="nil"/>
            </w:tcBorders>
            <w:shd w:val="clear" w:color="auto" w:fill="auto"/>
            <w:vAlign w:val="bottom"/>
          </w:tcPr>
          <w:p w14:paraId="365F8A4A" w14:textId="44D55953" w:rsidR="00D7003B" w:rsidRPr="00537128" w:rsidRDefault="00D7003B" w:rsidP="00D7003B">
            <w:pPr>
              <w:tabs>
                <w:tab w:val="right" w:pos="1202"/>
              </w:tabs>
              <w:spacing w:after="0" w:line="301" w:lineRule="exact"/>
              <w:jc w:val="right"/>
              <w:outlineLvl w:val="0"/>
              <w:rPr>
                <w:rFonts w:eastAsia="Times New Roman" w:cs="Arial"/>
                <w:noProof/>
                <w:color w:val="000000" w:themeColor="text1"/>
                <w:lang w:val="en-US"/>
              </w:rPr>
            </w:pPr>
            <w:r>
              <w:rPr>
                <w:rFonts w:cs="Arial"/>
              </w:rPr>
              <w:t>3</w:t>
            </w:r>
            <w:r w:rsidR="002D5310">
              <w:rPr>
                <w:rFonts w:cs="Arial"/>
              </w:rPr>
              <w:t>,</w:t>
            </w:r>
            <w:r>
              <w:rPr>
                <w:rFonts w:cs="Arial"/>
              </w:rPr>
              <w:t>394</w:t>
            </w:r>
          </w:p>
        </w:tc>
        <w:tc>
          <w:tcPr>
            <w:tcW w:w="699" w:type="pct"/>
            <w:tcBorders>
              <w:top w:val="nil"/>
              <w:left w:val="nil"/>
              <w:bottom w:val="nil"/>
              <w:right w:val="nil"/>
            </w:tcBorders>
            <w:shd w:val="clear" w:color="auto" w:fill="auto"/>
          </w:tcPr>
          <w:p w14:paraId="0A48FBF2" w14:textId="0500BBA1" w:rsidR="00D7003B" w:rsidRPr="00537128" w:rsidRDefault="00D7003B" w:rsidP="00D7003B">
            <w:pPr>
              <w:tabs>
                <w:tab w:val="right" w:pos="1202"/>
              </w:tabs>
              <w:spacing w:after="0" w:line="301" w:lineRule="exact"/>
              <w:jc w:val="right"/>
              <w:outlineLvl w:val="0"/>
              <w:rPr>
                <w:rFonts w:cs="Arial"/>
                <w:lang w:val="en-US"/>
              </w:rPr>
            </w:pPr>
            <w:r w:rsidRPr="00EE15CA">
              <w:t xml:space="preserve"> 3</w:t>
            </w:r>
            <w:r>
              <w:t>,</w:t>
            </w:r>
            <w:r w:rsidRPr="00EE15CA">
              <w:t xml:space="preserve">375 </w:t>
            </w:r>
          </w:p>
        </w:tc>
      </w:tr>
      <w:tr w:rsidR="00D7003B" w:rsidRPr="00537128" w14:paraId="7EC9416E" w14:textId="77777777" w:rsidTr="009A30A9">
        <w:trPr>
          <w:trHeight w:val="117"/>
        </w:trPr>
        <w:tc>
          <w:tcPr>
            <w:tcW w:w="2198" w:type="pct"/>
          </w:tcPr>
          <w:p w14:paraId="30EB002B" w14:textId="77777777" w:rsidR="00D7003B" w:rsidRPr="00537128" w:rsidRDefault="00D7003B" w:rsidP="00D7003B">
            <w:pPr>
              <w:tabs>
                <w:tab w:val="right" w:pos="1202"/>
              </w:tabs>
              <w:spacing w:after="0" w:line="301" w:lineRule="exact"/>
              <w:outlineLvl w:val="0"/>
              <w:rPr>
                <w:rFonts w:eastAsia="Times New Roman" w:cs="Arial"/>
                <w:noProof/>
                <w:color w:val="000000" w:themeColor="text1"/>
                <w:lang w:val="en-US"/>
              </w:rPr>
            </w:pPr>
            <w:r w:rsidRPr="00537128">
              <w:rPr>
                <w:rFonts w:eastAsia="Times New Roman" w:cs="Arial"/>
                <w:noProof/>
                <w:color w:val="000000" w:themeColor="text1"/>
                <w:lang w:val="en-US"/>
              </w:rPr>
              <w:t>Other</w:t>
            </w:r>
          </w:p>
        </w:tc>
        <w:tc>
          <w:tcPr>
            <w:tcW w:w="700" w:type="pct"/>
            <w:tcBorders>
              <w:top w:val="nil"/>
              <w:left w:val="nil"/>
              <w:bottom w:val="nil"/>
              <w:right w:val="nil"/>
            </w:tcBorders>
            <w:shd w:val="clear" w:color="auto" w:fill="auto"/>
            <w:vAlign w:val="bottom"/>
          </w:tcPr>
          <w:p w14:paraId="4272440B" w14:textId="228F134F" w:rsidR="00D7003B" w:rsidRPr="00537128" w:rsidRDefault="00D7003B" w:rsidP="00D7003B">
            <w:pPr>
              <w:tabs>
                <w:tab w:val="right" w:pos="1202"/>
              </w:tabs>
              <w:spacing w:after="0" w:line="301" w:lineRule="exact"/>
              <w:jc w:val="right"/>
              <w:outlineLvl w:val="0"/>
              <w:rPr>
                <w:rFonts w:eastAsia="Times New Roman" w:cs="Arial"/>
                <w:noProof/>
                <w:color w:val="000000" w:themeColor="text1"/>
                <w:lang w:val="en-US"/>
              </w:rPr>
            </w:pPr>
            <w:r>
              <w:rPr>
                <w:rFonts w:eastAsia="Times New Roman" w:cs="Arial"/>
                <w:noProof/>
                <w:color w:val="000000" w:themeColor="text1"/>
              </w:rPr>
              <w:t>7</w:t>
            </w:r>
          </w:p>
        </w:tc>
        <w:tc>
          <w:tcPr>
            <w:tcW w:w="701" w:type="pct"/>
            <w:tcBorders>
              <w:top w:val="nil"/>
              <w:left w:val="nil"/>
              <w:bottom w:val="nil"/>
              <w:right w:val="nil"/>
            </w:tcBorders>
            <w:shd w:val="clear" w:color="auto" w:fill="auto"/>
          </w:tcPr>
          <w:p w14:paraId="34A93ABB" w14:textId="2366D892" w:rsidR="00D7003B" w:rsidRPr="00537128" w:rsidRDefault="00D7003B" w:rsidP="00D7003B">
            <w:pPr>
              <w:tabs>
                <w:tab w:val="right" w:pos="1202"/>
              </w:tabs>
              <w:spacing w:after="0" w:line="301" w:lineRule="exact"/>
              <w:jc w:val="right"/>
              <w:outlineLvl w:val="0"/>
              <w:rPr>
                <w:rFonts w:eastAsia="Times New Roman" w:cs="Arial"/>
                <w:noProof/>
                <w:color w:val="000000" w:themeColor="text1"/>
                <w:lang w:val="en-US"/>
              </w:rPr>
            </w:pPr>
            <w:r w:rsidRPr="007963F3">
              <w:t xml:space="preserve"> 25 </w:t>
            </w:r>
          </w:p>
        </w:tc>
        <w:tc>
          <w:tcPr>
            <w:tcW w:w="701" w:type="pct"/>
            <w:tcBorders>
              <w:top w:val="nil"/>
              <w:left w:val="nil"/>
              <w:bottom w:val="nil"/>
              <w:right w:val="nil"/>
            </w:tcBorders>
            <w:shd w:val="clear" w:color="auto" w:fill="auto"/>
            <w:vAlign w:val="bottom"/>
          </w:tcPr>
          <w:p w14:paraId="5B3EDE84" w14:textId="23A67342" w:rsidR="00D7003B" w:rsidRPr="00537128" w:rsidRDefault="00D7003B" w:rsidP="00D7003B">
            <w:pPr>
              <w:tabs>
                <w:tab w:val="right" w:pos="1202"/>
              </w:tabs>
              <w:spacing w:after="0" w:line="301" w:lineRule="exact"/>
              <w:jc w:val="right"/>
              <w:outlineLvl w:val="0"/>
              <w:rPr>
                <w:rFonts w:eastAsia="Times New Roman" w:cs="Arial"/>
                <w:noProof/>
                <w:color w:val="000000" w:themeColor="text1"/>
                <w:lang w:val="en-US"/>
              </w:rPr>
            </w:pPr>
            <w:r>
              <w:rPr>
                <w:rFonts w:cs="Arial"/>
              </w:rPr>
              <w:t>4</w:t>
            </w:r>
          </w:p>
        </w:tc>
        <w:tc>
          <w:tcPr>
            <w:tcW w:w="699" w:type="pct"/>
            <w:tcBorders>
              <w:top w:val="nil"/>
              <w:left w:val="nil"/>
              <w:bottom w:val="single" w:sz="4" w:space="0" w:color="auto"/>
              <w:right w:val="nil"/>
            </w:tcBorders>
            <w:shd w:val="clear" w:color="auto" w:fill="auto"/>
          </w:tcPr>
          <w:p w14:paraId="15EB4BD7" w14:textId="69196B56" w:rsidR="00D7003B" w:rsidRPr="00537128" w:rsidRDefault="00D7003B" w:rsidP="00D7003B">
            <w:pPr>
              <w:tabs>
                <w:tab w:val="right" w:pos="1202"/>
              </w:tabs>
              <w:spacing w:after="0" w:line="301" w:lineRule="exact"/>
              <w:jc w:val="right"/>
              <w:outlineLvl w:val="0"/>
              <w:rPr>
                <w:rFonts w:eastAsia="Times New Roman" w:cs="Arial"/>
                <w:noProof/>
                <w:color w:val="000000" w:themeColor="text1"/>
                <w:lang w:val="en-US"/>
              </w:rPr>
            </w:pPr>
            <w:r w:rsidRPr="00EE15CA">
              <w:t xml:space="preserve"> 20 </w:t>
            </w:r>
          </w:p>
        </w:tc>
      </w:tr>
      <w:tr w:rsidR="00D7003B" w:rsidRPr="00537128" w14:paraId="6263BB00" w14:textId="77777777" w:rsidTr="009E5940">
        <w:trPr>
          <w:trHeight w:val="117"/>
        </w:trPr>
        <w:tc>
          <w:tcPr>
            <w:tcW w:w="2198" w:type="pct"/>
          </w:tcPr>
          <w:p w14:paraId="09E0205C" w14:textId="77777777" w:rsidR="00D7003B" w:rsidRPr="00537128" w:rsidRDefault="00D7003B" w:rsidP="00D7003B">
            <w:pPr>
              <w:tabs>
                <w:tab w:val="right" w:pos="1202"/>
              </w:tabs>
              <w:spacing w:after="0" w:line="340" w:lineRule="exact"/>
              <w:outlineLvl w:val="0"/>
              <w:rPr>
                <w:rFonts w:eastAsia="Times New Roman" w:cs="Arial"/>
                <w:b/>
                <w:bCs/>
                <w:noProof/>
                <w:color w:val="000000" w:themeColor="text1"/>
                <w:lang w:val="en-US"/>
              </w:rPr>
            </w:pPr>
          </w:p>
        </w:tc>
        <w:tc>
          <w:tcPr>
            <w:tcW w:w="700" w:type="pct"/>
            <w:tcBorders>
              <w:top w:val="single" w:sz="4" w:space="0" w:color="auto"/>
              <w:bottom w:val="single" w:sz="12" w:space="0" w:color="auto"/>
            </w:tcBorders>
            <w:vAlign w:val="bottom"/>
          </w:tcPr>
          <w:p w14:paraId="76462596" w14:textId="298D06A7" w:rsidR="00D7003B" w:rsidRPr="00537128" w:rsidRDefault="00D7003B" w:rsidP="00D7003B">
            <w:pPr>
              <w:tabs>
                <w:tab w:val="right" w:pos="1202"/>
              </w:tabs>
              <w:spacing w:after="0" w:line="340" w:lineRule="exact"/>
              <w:jc w:val="right"/>
              <w:outlineLvl w:val="0"/>
              <w:rPr>
                <w:rFonts w:eastAsia="Times New Roman" w:cs="Arial"/>
                <w:b/>
                <w:bCs/>
                <w:noProof/>
                <w:color w:val="000000" w:themeColor="text1"/>
                <w:lang w:val="en-US"/>
              </w:rPr>
            </w:pPr>
            <w:r>
              <w:rPr>
                <w:rFonts w:eastAsia="Times New Roman" w:cs="Arial"/>
                <w:b/>
                <w:bCs/>
                <w:noProof/>
                <w:color w:val="000000" w:themeColor="text1"/>
              </w:rPr>
              <w:t>40</w:t>
            </w:r>
            <w:r w:rsidR="002D5310">
              <w:rPr>
                <w:rFonts w:eastAsia="Times New Roman" w:cs="Arial"/>
                <w:b/>
                <w:bCs/>
                <w:noProof/>
                <w:color w:val="000000" w:themeColor="text1"/>
              </w:rPr>
              <w:t>,</w:t>
            </w:r>
            <w:r>
              <w:rPr>
                <w:rFonts w:eastAsia="Times New Roman" w:cs="Arial"/>
                <w:b/>
                <w:bCs/>
                <w:noProof/>
                <w:color w:val="000000" w:themeColor="text1"/>
              </w:rPr>
              <w:t>234</w:t>
            </w:r>
          </w:p>
        </w:tc>
        <w:tc>
          <w:tcPr>
            <w:tcW w:w="701" w:type="pct"/>
            <w:tcBorders>
              <w:top w:val="single" w:sz="4" w:space="0" w:color="auto"/>
              <w:bottom w:val="single" w:sz="12" w:space="0" w:color="auto"/>
            </w:tcBorders>
            <w:vAlign w:val="bottom"/>
          </w:tcPr>
          <w:p w14:paraId="7C1CE639" w14:textId="7E15E520" w:rsidR="00D7003B" w:rsidRPr="00537128" w:rsidRDefault="00D7003B" w:rsidP="00D7003B">
            <w:pPr>
              <w:tabs>
                <w:tab w:val="right" w:pos="1202"/>
              </w:tabs>
              <w:spacing w:after="0" w:line="340" w:lineRule="exact"/>
              <w:jc w:val="right"/>
              <w:outlineLvl w:val="0"/>
              <w:rPr>
                <w:rFonts w:eastAsia="Times New Roman" w:cs="Arial"/>
                <w:b/>
                <w:bCs/>
                <w:noProof/>
                <w:color w:val="000000" w:themeColor="text1"/>
                <w:lang w:val="en-US"/>
              </w:rPr>
            </w:pPr>
            <w:r w:rsidRPr="00811AC6">
              <w:rPr>
                <w:b/>
                <w:bCs/>
              </w:rPr>
              <w:t xml:space="preserve"> 49</w:t>
            </w:r>
            <w:r>
              <w:rPr>
                <w:b/>
                <w:bCs/>
              </w:rPr>
              <w:t>,</w:t>
            </w:r>
            <w:r w:rsidRPr="00811AC6">
              <w:rPr>
                <w:b/>
                <w:bCs/>
              </w:rPr>
              <w:t xml:space="preserve">781 </w:t>
            </w:r>
          </w:p>
        </w:tc>
        <w:tc>
          <w:tcPr>
            <w:tcW w:w="701" w:type="pct"/>
            <w:tcBorders>
              <w:top w:val="single" w:sz="4" w:space="0" w:color="auto"/>
              <w:bottom w:val="single" w:sz="12" w:space="0" w:color="auto"/>
            </w:tcBorders>
            <w:vAlign w:val="bottom"/>
          </w:tcPr>
          <w:p w14:paraId="7BB906EC" w14:textId="4DCBE897" w:rsidR="00D7003B" w:rsidRPr="00537128" w:rsidRDefault="00D7003B" w:rsidP="00D7003B">
            <w:pPr>
              <w:tabs>
                <w:tab w:val="right" w:pos="1202"/>
              </w:tabs>
              <w:spacing w:after="0" w:line="340" w:lineRule="exact"/>
              <w:jc w:val="right"/>
              <w:outlineLvl w:val="0"/>
              <w:rPr>
                <w:rFonts w:eastAsia="Times New Roman" w:cs="Arial"/>
                <w:b/>
                <w:bCs/>
                <w:noProof/>
                <w:color w:val="000000" w:themeColor="text1"/>
                <w:lang w:val="en-US"/>
              </w:rPr>
            </w:pPr>
            <w:r>
              <w:rPr>
                <w:rFonts w:cs="Arial"/>
                <w:b/>
                <w:bCs/>
              </w:rPr>
              <w:t>40</w:t>
            </w:r>
            <w:r w:rsidR="002D5310">
              <w:rPr>
                <w:rFonts w:cs="Arial"/>
                <w:b/>
                <w:bCs/>
              </w:rPr>
              <w:t>,</w:t>
            </w:r>
            <w:r>
              <w:rPr>
                <w:rFonts w:cs="Arial"/>
                <w:b/>
                <w:bCs/>
              </w:rPr>
              <w:t>231</w:t>
            </w:r>
          </w:p>
        </w:tc>
        <w:tc>
          <w:tcPr>
            <w:tcW w:w="699" w:type="pct"/>
            <w:tcBorders>
              <w:top w:val="single" w:sz="4" w:space="0" w:color="auto"/>
              <w:left w:val="nil"/>
              <w:bottom w:val="single" w:sz="12" w:space="0" w:color="auto"/>
              <w:right w:val="nil"/>
            </w:tcBorders>
            <w:shd w:val="clear" w:color="auto" w:fill="auto"/>
            <w:vAlign w:val="bottom"/>
          </w:tcPr>
          <w:p w14:paraId="044B936F" w14:textId="648556A0" w:rsidR="00D7003B" w:rsidRPr="00537128" w:rsidRDefault="00D7003B" w:rsidP="00D7003B">
            <w:pPr>
              <w:tabs>
                <w:tab w:val="right" w:pos="1202"/>
              </w:tabs>
              <w:spacing w:after="0" w:line="340" w:lineRule="exact"/>
              <w:jc w:val="right"/>
              <w:outlineLvl w:val="0"/>
              <w:rPr>
                <w:rFonts w:eastAsia="Times New Roman" w:cstheme="minorHAnsi"/>
                <w:b/>
                <w:bCs/>
                <w:noProof/>
                <w:color w:val="000000" w:themeColor="text1"/>
                <w:lang w:val="en-US"/>
              </w:rPr>
            </w:pPr>
            <w:r w:rsidRPr="00811AC6">
              <w:rPr>
                <w:b/>
                <w:bCs/>
              </w:rPr>
              <w:t xml:space="preserve"> 49</w:t>
            </w:r>
            <w:r>
              <w:rPr>
                <w:b/>
                <w:bCs/>
              </w:rPr>
              <w:t>,</w:t>
            </w:r>
            <w:r w:rsidRPr="00811AC6">
              <w:rPr>
                <w:b/>
                <w:bCs/>
              </w:rPr>
              <w:t xml:space="preserve">776 </w:t>
            </w:r>
          </w:p>
        </w:tc>
      </w:tr>
    </w:tbl>
    <w:p w14:paraId="50300F07" w14:textId="77777777" w:rsidR="00011933" w:rsidRPr="00537128" w:rsidRDefault="00011933" w:rsidP="00011933">
      <w:pPr>
        <w:jc w:val="both"/>
        <w:rPr>
          <w:rFonts w:cstheme="minorHAnsi"/>
          <w:noProof/>
          <w:color w:val="000000" w:themeColor="text1"/>
          <w:lang w:val="en-US" w:eastAsia="hr-HR"/>
        </w:rPr>
      </w:pPr>
    </w:p>
    <w:p w14:paraId="2E389F08" w14:textId="77777777" w:rsidR="00011933" w:rsidRPr="00537128" w:rsidRDefault="00011933" w:rsidP="00011933">
      <w:pPr>
        <w:jc w:val="both"/>
        <w:rPr>
          <w:rFonts w:cstheme="minorHAnsi"/>
          <w:noProof/>
          <w:color w:val="000000" w:themeColor="text1"/>
          <w:lang w:val="en-US" w:eastAsia="hr-HR"/>
        </w:rPr>
      </w:pPr>
      <w:r w:rsidRPr="00537128">
        <w:rPr>
          <w:rFonts w:cstheme="minorHAnsi"/>
          <w:noProof/>
          <w:color w:val="000000" w:themeColor="text1"/>
          <w:lang w:val="en-US" w:eastAsia="hr-HR"/>
        </w:rPr>
        <w:t>Interest expense by type of facility:</w:t>
      </w:r>
    </w:p>
    <w:tbl>
      <w:tblPr>
        <w:tblW w:w="4987" w:type="pct"/>
        <w:tblLayout w:type="fixed"/>
        <w:tblCellMar>
          <w:left w:w="122" w:type="dxa"/>
          <w:right w:w="122" w:type="dxa"/>
        </w:tblCellMar>
        <w:tblLook w:val="0000" w:firstRow="0" w:lastRow="0" w:firstColumn="0" w:lastColumn="0" w:noHBand="0" w:noVBand="0"/>
      </w:tblPr>
      <w:tblGrid>
        <w:gridCol w:w="3977"/>
        <w:gridCol w:w="1268"/>
        <w:gridCol w:w="1269"/>
        <w:gridCol w:w="1269"/>
        <w:gridCol w:w="1265"/>
      </w:tblGrid>
      <w:tr w:rsidR="008537D6" w:rsidRPr="00537128" w14:paraId="0A370987" w14:textId="77777777" w:rsidTr="009E5940">
        <w:trPr>
          <w:trHeight w:val="316"/>
        </w:trPr>
        <w:tc>
          <w:tcPr>
            <w:tcW w:w="2198" w:type="pct"/>
          </w:tcPr>
          <w:p w14:paraId="2505B4ED" w14:textId="77777777" w:rsidR="008537D6" w:rsidRPr="00537128" w:rsidRDefault="008537D6" w:rsidP="009E5940">
            <w:pPr>
              <w:tabs>
                <w:tab w:val="left" w:pos="-720"/>
              </w:tabs>
              <w:suppressAutoHyphens/>
              <w:spacing w:after="0" w:line="240" w:lineRule="auto"/>
              <w:jc w:val="right"/>
              <w:rPr>
                <w:rFonts w:cs="Arial"/>
                <w:noProof/>
                <w:color w:val="000000" w:themeColor="text1"/>
                <w:spacing w:val="-3"/>
                <w:lang w:val="en-US"/>
              </w:rPr>
            </w:pPr>
          </w:p>
        </w:tc>
        <w:tc>
          <w:tcPr>
            <w:tcW w:w="701" w:type="pct"/>
          </w:tcPr>
          <w:p w14:paraId="66FAA5B0" w14:textId="77777777" w:rsidR="008537D6" w:rsidRPr="00537128" w:rsidRDefault="008537D6" w:rsidP="009E5940">
            <w:pPr>
              <w:tabs>
                <w:tab w:val="right" w:pos="1202"/>
              </w:tabs>
              <w:spacing w:after="0" w:line="240" w:lineRule="atLeast"/>
              <w:jc w:val="right"/>
              <w:outlineLvl w:val="0"/>
              <w:rPr>
                <w:rFonts w:eastAsia="Times New Roman" w:cs="Arial"/>
                <w:b/>
                <w:noProof/>
                <w:color w:val="000000" w:themeColor="text1"/>
                <w:lang w:val="en-US"/>
              </w:rPr>
            </w:pPr>
          </w:p>
        </w:tc>
        <w:tc>
          <w:tcPr>
            <w:tcW w:w="701" w:type="pct"/>
          </w:tcPr>
          <w:p w14:paraId="38B3369E" w14:textId="77777777" w:rsidR="008537D6" w:rsidRPr="00537128" w:rsidRDefault="008537D6" w:rsidP="009E5940">
            <w:pPr>
              <w:tabs>
                <w:tab w:val="right" w:pos="1202"/>
              </w:tabs>
              <w:spacing w:after="0" w:line="240" w:lineRule="atLeast"/>
              <w:jc w:val="right"/>
              <w:outlineLvl w:val="0"/>
              <w:rPr>
                <w:rFonts w:eastAsia="Times New Roman" w:cs="Arial"/>
                <w:b/>
                <w:noProof/>
                <w:color w:val="000000" w:themeColor="text1"/>
                <w:lang w:val="en-US"/>
              </w:rPr>
            </w:pPr>
            <w:bookmarkStart w:id="236" w:name="_Toc4057877"/>
            <w:r w:rsidRPr="00537128">
              <w:rPr>
                <w:rFonts w:eastAsia="Times New Roman" w:cs="Arial"/>
                <w:b/>
                <w:noProof/>
                <w:color w:val="000000" w:themeColor="text1"/>
                <w:lang w:val="en-US"/>
              </w:rPr>
              <w:t>Group</w:t>
            </w:r>
            <w:bookmarkEnd w:id="236"/>
          </w:p>
        </w:tc>
        <w:tc>
          <w:tcPr>
            <w:tcW w:w="701" w:type="pct"/>
          </w:tcPr>
          <w:p w14:paraId="4E431188" w14:textId="77777777" w:rsidR="008537D6" w:rsidRPr="00537128" w:rsidRDefault="008537D6" w:rsidP="009E5940">
            <w:pPr>
              <w:tabs>
                <w:tab w:val="right" w:pos="1202"/>
              </w:tabs>
              <w:spacing w:after="0" w:line="240" w:lineRule="atLeast"/>
              <w:jc w:val="right"/>
              <w:outlineLvl w:val="0"/>
              <w:rPr>
                <w:rFonts w:eastAsia="Times New Roman" w:cs="Arial"/>
                <w:b/>
                <w:noProof/>
                <w:color w:val="000000" w:themeColor="text1"/>
                <w:lang w:val="en-US"/>
              </w:rPr>
            </w:pPr>
          </w:p>
        </w:tc>
        <w:tc>
          <w:tcPr>
            <w:tcW w:w="699" w:type="pct"/>
          </w:tcPr>
          <w:p w14:paraId="7E0468D7" w14:textId="77777777" w:rsidR="008537D6" w:rsidRPr="00537128" w:rsidRDefault="008537D6" w:rsidP="009E5940">
            <w:pPr>
              <w:tabs>
                <w:tab w:val="right" w:pos="1202"/>
              </w:tabs>
              <w:spacing w:after="0" w:line="240" w:lineRule="atLeast"/>
              <w:jc w:val="right"/>
              <w:outlineLvl w:val="0"/>
              <w:rPr>
                <w:rFonts w:eastAsia="Times New Roman" w:cs="Arial"/>
                <w:b/>
                <w:noProof/>
                <w:color w:val="000000" w:themeColor="text1"/>
                <w:lang w:val="en-US"/>
              </w:rPr>
            </w:pPr>
            <w:bookmarkStart w:id="237" w:name="_Toc4057878"/>
            <w:r w:rsidRPr="00537128">
              <w:rPr>
                <w:rFonts w:eastAsia="Times New Roman" w:cs="Arial"/>
                <w:b/>
                <w:noProof/>
                <w:color w:val="000000" w:themeColor="text1"/>
                <w:lang w:val="en-US"/>
              </w:rPr>
              <w:t>Bank</w:t>
            </w:r>
            <w:bookmarkEnd w:id="237"/>
          </w:p>
        </w:tc>
      </w:tr>
      <w:tr w:rsidR="008537D6" w:rsidRPr="00537128" w14:paraId="32DAB92E" w14:textId="77777777" w:rsidTr="009E5940">
        <w:trPr>
          <w:trHeight w:val="316"/>
        </w:trPr>
        <w:tc>
          <w:tcPr>
            <w:tcW w:w="2198" w:type="pct"/>
          </w:tcPr>
          <w:p w14:paraId="7C75389C" w14:textId="77777777" w:rsidR="008537D6" w:rsidRPr="00537128" w:rsidRDefault="008537D6" w:rsidP="008537D6">
            <w:pPr>
              <w:tabs>
                <w:tab w:val="left" w:pos="-720"/>
              </w:tabs>
              <w:suppressAutoHyphens/>
              <w:spacing w:after="0" w:line="240" w:lineRule="auto"/>
              <w:jc w:val="right"/>
              <w:rPr>
                <w:rFonts w:cs="Arial"/>
                <w:noProof/>
                <w:color w:val="000000" w:themeColor="text1"/>
                <w:spacing w:val="-3"/>
                <w:lang w:val="en-US"/>
              </w:rPr>
            </w:pPr>
          </w:p>
        </w:tc>
        <w:tc>
          <w:tcPr>
            <w:tcW w:w="701" w:type="pct"/>
            <w:vAlign w:val="center"/>
          </w:tcPr>
          <w:p w14:paraId="3809BE32" w14:textId="66E31DBC"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theme="minorHAnsi"/>
                <w:b/>
                <w:bCs/>
                <w:noProof/>
                <w:color w:val="000000" w:themeColor="text1"/>
                <w:lang w:val="en-US"/>
              </w:rPr>
              <w:t>Jan 1 - Mar 31, 202</w:t>
            </w:r>
            <w:r w:rsidR="00B100AD">
              <w:rPr>
                <w:rFonts w:eastAsia="Times New Roman" w:cstheme="minorHAnsi"/>
                <w:b/>
                <w:bCs/>
                <w:noProof/>
                <w:color w:val="000000" w:themeColor="text1"/>
                <w:lang w:val="en-US"/>
              </w:rPr>
              <w:t>2</w:t>
            </w:r>
          </w:p>
        </w:tc>
        <w:tc>
          <w:tcPr>
            <w:tcW w:w="701" w:type="pct"/>
            <w:vAlign w:val="center"/>
          </w:tcPr>
          <w:p w14:paraId="68D25203" w14:textId="2A77E248"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theme="minorHAnsi"/>
                <w:b/>
                <w:bCs/>
                <w:noProof/>
                <w:color w:val="000000" w:themeColor="text1"/>
                <w:lang w:val="en-US"/>
              </w:rPr>
              <w:t>Jan 1 - Mar 31, 202</w:t>
            </w:r>
            <w:r w:rsidR="00B100AD">
              <w:rPr>
                <w:rFonts w:eastAsia="Times New Roman" w:cstheme="minorHAnsi"/>
                <w:b/>
                <w:bCs/>
                <w:noProof/>
                <w:color w:val="000000" w:themeColor="text1"/>
                <w:lang w:val="en-US"/>
              </w:rPr>
              <w:t>1</w:t>
            </w:r>
          </w:p>
        </w:tc>
        <w:tc>
          <w:tcPr>
            <w:tcW w:w="701" w:type="pct"/>
            <w:vAlign w:val="center"/>
          </w:tcPr>
          <w:p w14:paraId="67A132BA" w14:textId="6A049331"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theme="minorHAnsi"/>
                <w:b/>
                <w:bCs/>
                <w:noProof/>
                <w:color w:val="000000" w:themeColor="text1"/>
                <w:lang w:val="en-US"/>
              </w:rPr>
              <w:t>Jan 1 - Mar 31, 202</w:t>
            </w:r>
            <w:r w:rsidR="00B100AD">
              <w:rPr>
                <w:rFonts w:eastAsia="Times New Roman" w:cstheme="minorHAnsi"/>
                <w:b/>
                <w:bCs/>
                <w:noProof/>
                <w:color w:val="000000" w:themeColor="text1"/>
                <w:lang w:val="en-US"/>
              </w:rPr>
              <w:t>2</w:t>
            </w:r>
          </w:p>
        </w:tc>
        <w:tc>
          <w:tcPr>
            <w:tcW w:w="699" w:type="pct"/>
            <w:vAlign w:val="center"/>
          </w:tcPr>
          <w:p w14:paraId="2E23EA27" w14:textId="3CA31475"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theme="minorHAnsi"/>
                <w:b/>
                <w:bCs/>
                <w:noProof/>
                <w:color w:val="000000" w:themeColor="text1"/>
                <w:lang w:val="en-US"/>
              </w:rPr>
              <w:t>Jan 1 - Mar 31, 202</w:t>
            </w:r>
            <w:r w:rsidR="00B100AD">
              <w:rPr>
                <w:rFonts w:eastAsia="Times New Roman" w:cstheme="minorHAnsi"/>
                <w:b/>
                <w:bCs/>
                <w:noProof/>
                <w:color w:val="000000" w:themeColor="text1"/>
                <w:lang w:val="en-US"/>
              </w:rPr>
              <w:t>1</w:t>
            </w:r>
          </w:p>
        </w:tc>
      </w:tr>
      <w:tr w:rsidR="008537D6" w:rsidRPr="00537128" w14:paraId="1F12071A" w14:textId="77777777" w:rsidTr="009E5940">
        <w:tblPrEx>
          <w:tblCellMar>
            <w:left w:w="108" w:type="dxa"/>
            <w:right w:w="108" w:type="dxa"/>
          </w:tblCellMar>
        </w:tblPrEx>
        <w:trPr>
          <w:trHeight w:val="196"/>
        </w:trPr>
        <w:tc>
          <w:tcPr>
            <w:tcW w:w="2198" w:type="pct"/>
          </w:tcPr>
          <w:p w14:paraId="0BFED97A" w14:textId="77777777" w:rsidR="008537D6" w:rsidRPr="00537128" w:rsidRDefault="008537D6" w:rsidP="008537D6">
            <w:pPr>
              <w:tabs>
                <w:tab w:val="left" w:pos="-720"/>
              </w:tabs>
              <w:suppressAutoHyphens/>
              <w:spacing w:after="0" w:line="240" w:lineRule="auto"/>
              <w:ind w:right="4144"/>
              <w:jc w:val="right"/>
              <w:rPr>
                <w:rFonts w:cs="Arial"/>
                <w:noProof/>
                <w:color w:val="000000" w:themeColor="text1"/>
                <w:lang w:val="en-US"/>
              </w:rPr>
            </w:pPr>
          </w:p>
        </w:tc>
        <w:tc>
          <w:tcPr>
            <w:tcW w:w="701" w:type="pct"/>
          </w:tcPr>
          <w:p w14:paraId="4AE9E6E6" w14:textId="77777777"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Arial"/>
                <w:b/>
                <w:noProof/>
                <w:color w:val="000000" w:themeColor="text1"/>
                <w:lang w:val="en-US"/>
              </w:rPr>
              <w:t>HRK ‘000</w:t>
            </w:r>
          </w:p>
        </w:tc>
        <w:tc>
          <w:tcPr>
            <w:tcW w:w="701" w:type="pct"/>
          </w:tcPr>
          <w:p w14:paraId="0A4BEDA2" w14:textId="75DC546A"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Arial"/>
                <w:b/>
                <w:noProof/>
                <w:color w:val="000000" w:themeColor="text1"/>
                <w:lang w:val="en-US"/>
              </w:rPr>
              <w:t>HRK ‘000</w:t>
            </w:r>
          </w:p>
        </w:tc>
        <w:tc>
          <w:tcPr>
            <w:tcW w:w="701" w:type="pct"/>
          </w:tcPr>
          <w:p w14:paraId="1DE81ECB" w14:textId="1CBB96BC"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Arial"/>
                <w:b/>
                <w:noProof/>
                <w:color w:val="000000" w:themeColor="text1"/>
                <w:lang w:val="en-US"/>
              </w:rPr>
              <w:t>HRK ‘000</w:t>
            </w:r>
          </w:p>
        </w:tc>
        <w:tc>
          <w:tcPr>
            <w:tcW w:w="699" w:type="pct"/>
          </w:tcPr>
          <w:p w14:paraId="6CF21B66" w14:textId="017D6299"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Arial"/>
                <w:b/>
                <w:noProof/>
                <w:color w:val="000000" w:themeColor="text1"/>
                <w:lang w:val="en-US"/>
              </w:rPr>
              <w:t>HRK ‘000</w:t>
            </w:r>
          </w:p>
        </w:tc>
      </w:tr>
      <w:tr w:rsidR="002D5310" w:rsidRPr="00537128" w14:paraId="11D3A923" w14:textId="77777777" w:rsidTr="00A1123E">
        <w:trPr>
          <w:trHeight w:val="112"/>
        </w:trPr>
        <w:tc>
          <w:tcPr>
            <w:tcW w:w="2198" w:type="pct"/>
          </w:tcPr>
          <w:p w14:paraId="11A72B6B" w14:textId="77777777" w:rsidR="002D5310" w:rsidRPr="00537128" w:rsidRDefault="002D5310" w:rsidP="002D5310">
            <w:pPr>
              <w:tabs>
                <w:tab w:val="right" w:pos="1202"/>
              </w:tabs>
              <w:spacing w:after="0" w:line="301" w:lineRule="exact"/>
              <w:outlineLvl w:val="0"/>
              <w:rPr>
                <w:rFonts w:eastAsia="Times New Roman" w:cs="Arial"/>
                <w:noProof/>
                <w:color w:val="000000" w:themeColor="text1"/>
                <w:lang w:val="en-US"/>
              </w:rPr>
            </w:pPr>
            <w:bookmarkStart w:id="238" w:name="_Toc4057887"/>
            <w:r w:rsidRPr="00537128">
              <w:rPr>
                <w:rFonts w:eastAsia="Times New Roman" w:cs="Arial"/>
                <w:noProof/>
                <w:color w:val="000000" w:themeColor="text1"/>
                <w:lang w:val="en-US"/>
              </w:rPr>
              <w:t>Borrowings</w:t>
            </w:r>
            <w:bookmarkEnd w:id="238"/>
          </w:p>
        </w:tc>
        <w:tc>
          <w:tcPr>
            <w:tcW w:w="701" w:type="pct"/>
            <w:tcBorders>
              <w:top w:val="nil"/>
              <w:left w:val="nil"/>
              <w:bottom w:val="nil"/>
              <w:right w:val="nil"/>
            </w:tcBorders>
            <w:shd w:val="clear" w:color="auto" w:fill="auto"/>
            <w:vAlign w:val="bottom"/>
          </w:tcPr>
          <w:p w14:paraId="55395979" w14:textId="70E44B37" w:rsidR="002D5310" w:rsidRPr="00537128" w:rsidRDefault="002D5310" w:rsidP="002D5310">
            <w:pPr>
              <w:tabs>
                <w:tab w:val="right" w:pos="1202"/>
              </w:tabs>
              <w:spacing w:after="0" w:line="301" w:lineRule="exact"/>
              <w:ind w:left="65"/>
              <w:jc w:val="right"/>
              <w:outlineLvl w:val="0"/>
              <w:rPr>
                <w:rFonts w:eastAsia="Times New Roman" w:cs="Arial"/>
                <w:noProof/>
                <w:color w:val="000000" w:themeColor="text1"/>
                <w:lang w:val="en-US"/>
              </w:rPr>
            </w:pPr>
            <w:r>
              <w:rPr>
                <w:rFonts w:eastAsia="Times New Roman" w:cs="Arial"/>
                <w:noProof/>
                <w:color w:val="000000" w:themeColor="text1"/>
              </w:rPr>
              <w:t>40,161</w:t>
            </w:r>
          </w:p>
        </w:tc>
        <w:tc>
          <w:tcPr>
            <w:tcW w:w="701" w:type="pct"/>
            <w:tcBorders>
              <w:top w:val="nil"/>
              <w:left w:val="nil"/>
              <w:bottom w:val="nil"/>
              <w:right w:val="nil"/>
            </w:tcBorders>
            <w:shd w:val="clear" w:color="auto" w:fill="auto"/>
            <w:vAlign w:val="bottom"/>
          </w:tcPr>
          <w:p w14:paraId="142A5A3D" w14:textId="1B9042B2" w:rsidR="002D5310" w:rsidRPr="00537128" w:rsidRDefault="002D5310" w:rsidP="002D5310">
            <w:pPr>
              <w:tabs>
                <w:tab w:val="right" w:pos="1202"/>
              </w:tabs>
              <w:spacing w:after="0" w:line="301" w:lineRule="exact"/>
              <w:ind w:left="65"/>
              <w:jc w:val="right"/>
              <w:outlineLvl w:val="0"/>
              <w:rPr>
                <w:rFonts w:eastAsia="Times New Roman" w:cs="Arial"/>
                <w:noProof/>
                <w:color w:val="000000" w:themeColor="text1"/>
                <w:lang w:val="en-US"/>
              </w:rPr>
            </w:pPr>
            <w:r w:rsidRPr="00AE43AD">
              <w:t xml:space="preserve"> 49</w:t>
            </w:r>
            <w:r>
              <w:t>,</w:t>
            </w:r>
            <w:r w:rsidRPr="00AE43AD">
              <w:t xml:space="preserve">610 </w:t>
            </w:r>
          </w:p>
        </w:tc>
        <w:tc>
          <w:tcPr>
            <w:tcW w:w="701" w:type="pct"/>
            <w:tcBorders>
              <w:top w:val="nil"/>
              <w:left w:val="nil"/>
              <w:bottom w:val="nil"/>
              <w:right w:val="nil"/>
            </w:tcBorders>
            <w:shd w:val="clear" w:color="auto" w:fill="auto"/>
            <w:vAlign w:val="bottom"/>
          </w:tcPr>
          <w:p w14:paraId="37D4A37D" w14:textId="3ABA5B8C" w:rsidR="002D5310" w:rsidRPr="00537128" w:rsidRDefault="002D5310" w:rsidP="002D5310">
            <w:pPr>
              <w:tabs>
                <w:tab w:val="right" w:pos="1202"/>
              </w:tabs>
              <w:spacing w:after="0" w:line="301" w:lineRule="exact"/>
              <w:ind w:left="65"/>
              <w:jc w:val="right"/>
              <w:outlineLvl w:val="0"/>
              <w:rPr>
                <w:rFonts w:eastAsia="Times New Roman" w:cs="Arial"/>
                <w:noProof/>
                <w:color w:val="000000" w:themeColor="text1"/>
                <w:lang w:val="en-US"/>
              </w:rPr>
            </w:pPr>
            <w:r>
              <w:rPr>
                <w:rFonts w:cs="Arial"/>
              </w:rPr>
              <w:t>40,161</w:t>
            </w:r>
          </w:p>
        </w:tc>
        <w:tc>
          <w:tcPr>
            <w:tcW w:w="699" w:type="pct"/>
            <w:tcBorders>
              <w:top w:val="nil"/>
              <w:left w:val="nil"/>
              <w:bottom w:val="nil"/>
              <w:right w:val="nil"/>
            </w:tcBorders>
            <w:shd w:val="clear" w:color="auto" w:fill="auto"/>
            <w:vAlign w:val="bottom"/>
          </w:tcPr>
          <w:p w14:paraId="7390B744" w14:textId="06B6898C" w:rsidR="002D5310" w:rsidRPr="00537128" w:rsidRDefault="002D5310" w:rsidP="002D5310">
            <w:pPr>
              <w:tabs>
                <w:tab w:val="right" w:pos="1202"/>
              </w:tabs>
              <w:spacing w:after="0" w:line="301" w:lineRule="exact"/>
              <w:jc w:val="right"/>
              <w:outlineLvl w:val="0"/>
              <w:rPr>
                <w:rFonts w:eastAsia="Times New Roman" w:cs="Arial"/>
                <w:noProof/>
                <w:color w:val="000000" w:themeColor="text1"/>
                <w:lang w:val="en-US"/>
              </w:rPr>
            </w:pPr>
            <w:r w:rsidRPr="0030277C">
              <w:t xml:space="preserve"> 49</w:t>
            </w:r>
            <w:r>
              <w:t>,</w:t>
            </w:r>
            <w:r w:rsidRPr="0030277C">
              <w:t xml:space="preserve">610 </w:t>
            </w:r>
          </w:p>
        </w:tc>
      </w:tr>
      <w:tr w:rsidR="002D5310" w:rsidRPr="00537128" w14:paraId="37169D3E" w14:textId="77777777" w:rsidTr="00D7003B">
        <w:trPr>
          <w:trHeight w:val="112"/>
        </w:trPr>
        <w:tc>
          <w:tcPr>
            <w:tcW w:w="2198" w:type="pct"/>
          </w:tcPr>
          <w:p w14:paraId="38F3E5EB" w14:textId="4735D759" w:rsidR="002D5310" w:rsidRPr="00537128" w:rsidRDefault="002D5310" w:rsidP="002D5310">
            <w:pPr>
              <w:tabs>
                <w:tab w:val="right" w:pos="1202"/>
              </w:tabs>
              <w:spacing w:after="0" w:line="301" w:lineRule="exact"/>
              <w:outlineLvl w:val="0"/>
              <w:rPr>
                <w:rFonts w:eastAsia="Times New Roman" w:cs="Arial"/>
                <w:noProof/>
                <w:color w:val="000000" w:themeColor="text1"/>
                <w:lang w:val="en-US"/>
              </w:rPr>
            </w:pPr>
            <w:bookmarkStart w:id="239" w:name="_Toc4057897"/>
            <w:r w:rsidRPr="00537128">
              <w:rPr>
                <w:rFonts w:eastAsia="Times New Roman" w:cs="Arial"/>
                <w:noProof/>
                <w:color w:val="000000" w:themeColor="text1"/>
                <w:lang w:val="en-US"/>
              </w:rPr>
              <w:t>Deposits</w:t>
            </w:r>
            <w:bookmarkEnd w:id="239"/>
            <w:r w:rsidRPr="00537128">
              <w:rPr>
                <w:rFonts w:eastAsia="Times New Roman" w:cs="Arial"/>
                <w:noProof/>
                <w:color w:val="000000" w:themeColor="text1"/>
                <w:lang w:val="en-US"/>
              </w:rPr>
              <w:t xml:space="preserve"> </w:t>
            </w:r>
          </w:p>
        </w:tc>
        <w:tc>
          <w:tcPr>
            <w:tcW w:w="701" w:type="pct"/>
            <w:tcBorders>
              <w:top w:val="nil"/>
              <w:left w:val="nil"/>
              <w:bottom w:val="nil"/>
              <w:right w:val="nil"/>
            </w:tcBorders>
            <w:shd w:val="clear" w:color="auto" w:fill="auto"/>
            <w:vAlign w:val="bottom"/>
          </w:tcPr>
          <w:p w14:paraId="7FC841AF" w14:textId="6AAA2590" w:rsidR="002D5310" w:rsidRPr="00537128" w:rsidDel="00C928D9" w:rsidRDefault="002D5310" w:rsidP="002D5310">
            <w:pPr>
              <w:tabs>
                <w:tab w:val="right" w:pos="1202"/>
              </w:tabs>
              <w:spacing w:after="0" w:line="301" w:lineRule="exact"/>
              <w:ind w:left="65"/>
              <w:jc w:val="right"/>
              <w:outlineLvl w:val="0"/>
              <w:rPr>
                <w:rFonts w:eastAsia="Times New Roman" w:cs="Arial"/>
                <w:noProof/>
                <w:color w:val="000000" w:themeColor="text1"/>
                <w:lang w:val="en-US"/>
              </w:rPr>
            </w:pPr>
            <w:r>
              <w:rPr>
                <w:rFonts w:eastAsia="Times New Roman" w:cs="Arial"/>
                <w:noProof/>
                <w:color w:val="000000" w:themeColor="text1"/>
              </w:rPr>
              <w:t>47</w:t>
            </w:r>
          </w:p>
        </w:tc>
        <w:tc>
          <w:tcPr>
            <w:tcW w:w="701" w:type="pct"/>
            <w:tcBorders>
              <w:top w:val="nil"/>
              <w:left w:val="nil"/>
              <w:bottom w:val="nil"/>
              <w:right w:val="nil"/>
            </w:tcBorders>
            <w:shd w:val="clear" w:color="auto" w:fill="auto"/>
            <w:vAlign w:val="bottom"/>
          </w:tcPr>
          <w:p w14:paraId="408CC432" w14:textId="4E1D4D4F" w:rsidR="002D5310" w:rsidRPr="00537128" w:rsidDel="00C928D9" w:rsidRDefault="002D5310" w:rsidP="002D5310">
            <w:pPr>
              <w:tabs>
                <w:tab w:val="right" w:pos="1202"/>
              </w:tabs>
              <w:spacing w:after="0" w:line="301" w:lineRule="exact"/>
              <w:ind w:left="65"/>
              <w:jc w:val="right"/>
              <w:outlineLvl w:val="0"/>
              <w:rPr>
                <w:rFonts w:eastAsia="Times New Roman" w:cs="Arial"/>
                <w:noProof/>
                <w:color w:val="000000" w:themeColor="text1"/>
                <w:lang w:val="en-US"/>
              </w:rPr>
            </w:pPr>
            <w:r w:rsidRPr="00AE43AD">
              <w:t xml:space="preserve"> 146 </w:t>
            </w:r>
          </w:p>
        </w:tc>
        <w:tc>
          <w:tcPr>
            <w:tcW w:w="701" w:type="pct"/>
            <w:tcBorders>
              <w:top w:val="nil"/>
              <w:left w:val="nil"/>
              <w:bottom w:val="nil"/>
              <w:right w:val="nil"/>
            </w:tcBorders>
            <w:shd w:val="clear" w:color="auto" w:fill="auto"/>
            <w:vAlign w:val="bottom"/>
          </w:tcPr>
          <w:p w14:paraId="734F821C" w14:textId="0D972B66" w:rsidR="002D5310" w:rsidRPr="00537128" w:rsidRDefault="002D5310" w:rsidP="002D5310">
            <w:pPr>
              <w:tabs>
                <w:tab w:val="right" w:pos="1202"/>
              </w:tabs>
              <w:spacing w:after="0" w:line="301" w:lineRule="exact"/>
              <w:ind w:left="65"/>
              <w:jc w:val="right"/>
              <w:outlineLvl w:val="0"/>
              <w:rPr>
                <w:rFonts w:eastAsia="Times New Roman" w:cs="Arial"/>
                <w:noProof/>
                <w:color w:val="000000" w:themeColor="text1"/>
                <w:lang w:val="en-US"/>
              </w:rPr>
            </w:pPr>
            <w:r>
              <w:rPr>
                <w:rFonts w:cs="Arial"/>
              </w:rPr>
              <w:t>47</w:t>
            </w:r>
          </w:p>
        </w:tc>
        <w:tc>
          <w:tcPr>
            <w:tcW w:w="699" w:type="pct"/>
            <w:tcBorders>
              <w:top w:val="nil"/>
              <w:left w:val="nil"/>
              <w:right w:val="nil"/>
            </w:tcBorders>
            <w:shd w:val="clear" w:color="auto" w:fill="auto"/>
            <w:vAlign w:val="bottom"/>
          </w:tcPr>
          <w:p w14:paraId="4C3F651B" w14:textId="730FAC47" w:rsidR="002D5310" w:rsidRPr="00537128" w:rsidDel="00C928D9" w:rsidRDefault="002D5310" w:rsidP="002D5310">
            <w:pPr>
              <w:tabs>
                <w:tab w:val="right" w:pos="1202"/>
              </w:tabs>
              <w:spacing w:after="0" w:line="301" w:lineRule="exact"/>
              <w:ind w:left="65"/>
              <w:jc w:val="right"/>
              <w:outlineLvl w:val="0"/>
              <w:rPr>
                <w:rFonts w:eastAsia="Times New Roman" w:cs="Arial"/>
                <w:noProof/>
                <w:color w:val="000000" w:themeColor="text1"/>
                <w:lang w:val="en-US"/>
              </w:rPr>
            </w:pPr>
            <w:r w:rsidRPr="0030277C">
              <w:t xml:space="preserve"> 146 </w:t>
            </w:r>
          </w:p>
        </w:tc>
      </w:tr>
      <w:tr w:rsidR="002D5310" w:rsidRPr="00537128" w14:paraId="461AFC40" w14:textId="77777777" w:rsidTr="00D7003B">
        <w:trPr>
          <w:trHeight w:val="112"/>
        </w:trPr>
        <w:tc>
          <w:tcPr>
            <w:tcW w:w="2198" w:type="pct"/>
          </w:tcPr>
          <w:p w14:paraId="799B2498" w14:textId="77777777" w:rsidR="002D5310" w:rsidRPr="00537128" w:rsidRDefault="002D5310" w:rsidP="002D5310">
            <w:pPr>
              <w:tabs>
                <w:tab w:val="right" w:pos="1202"/>
              </w:tabs>
              <w:spacing w:after="0" w:line="301" w:lineRule="exact"/>
              <w:outlineLvl w:val="0"/>
              <w:rPr>
                <w:rFonts w:eastAsia="Times New Roman" w:cs="Arial"/>
                <w:noProof/>
                <w:color w:val="000000" w:themeColor="text1"/>
                <w:lang w:val="en-US"/>
              </w:rPr>
            </w:pPr>
            <w:r w:rsidRPr="00537128">
              <w:rPr>
                <w:rFonts w:eastAsia="Times New Roman" w:cs="Arial"/>
                <w:noProof/>
                <w:color w:val="000000" w:themeColor="text1"/>
                <w:lang w:val="en-US"/>
              </w:rPr>
              <w:t>Leases – interest expenses on long term contracts</w:t>
            </w:r>
          </w:p>
        </w:tc>
        <w:tc>
          <w:tcPr>
            <w:tcW w:w="701" w:type="pct"/>
            <w:tcBorders>
              <w:top w:val="nil"/>
              <w:left w:val="nil"/>
              <w:bottom w:val="nil"/>
              <w:right w:val="nil"/>
            </w:tcBorders>
            <w:shd w:val="clear" w:color="auto" w:fill="auto"/>
            <w:vAlign w:val="bottom"/>
          </w:tcPr>
          <w:p w14:paraId="4FD7C996" w14:textId="1C70001F" w:rsidR="002D5310" w:rsidRPr="00537128" w:rsidDel="00C928D9" w:rsidRDefault="002D5310" w:rsidP="002D5310">
            <w:pPr>
              <w:tabs>
                <w:tab w:val="right" w:pos="1202"/>
              </w:tabs>
              <w:spacing w:after="0" w:line="301" w:lineRule="exact"/>
              <w:ind w:left="65"/>
              <w:jc w:val="right"/>
              <w:outlineLvl w:val="0"/>
              <w:rPr>
                <w:rFonts w:eastAsia="Times New Roman" w:cs="Arial"/>
                <w:noProof/>
                <w:color w:val="000000" w:themeColor="text1"/>
                <w:lang w:val="en-US"/>
              </w:rPr>
            </w:pPr>
            <w:r>
              <w:rPr>
                <w:rFonts w:eastAsia="Times New Roman" w:cstheme="minorHAnsi"/>
                <w:color w:val="000000" w:themeColor="text1"/>
              </w:rPr>
              <w:t>7</w:t>
            </w:r>
          </w:p>
        </w:tc>
        <w:tc>
          <w:tcPr>
            <w:tcW w:w="701" w:type="pct"/>
            <w:tcBorders>
              <w:top w:val="nil"/>
              <w:left w:val="nil"/>
              <w:bottom w:val="nil"/>
              <w:right w:val="nil"/>
            </w:tcBorders>
            <w:shd w:val="clear" w:color="auto" w:fill="auto"/>
            <w:vAlign w:val="bottom"/>
          </w:tcPr>
          <w:p w14:paraId="245D6EC3" w14:textId="06282F6A" w:rsidR="002D5310" w:rsidRPr="00537128" w:rsidDel="00C928D9" w:rsidRDefault="002D5310" w:rsidP="002D5310">
            <w:pPr>
              <w:tabs>
                <w:tab w:val="right" w:pos="1202"/>
              </w:tabs>
              <w:spacing w:after="0" w:line="301" w:lineRule="exact"/>
              <w:ind w:left="65"/>
              <w:jc w:val="right"/>
              <w:outlineLvl w:val="0"/>
              <w:rPr>
                <w:rFonts w:eastAsia="Times New Roman" w:cs="Arial"/>
                <w:noProof/>
                <w:color w:val="000000" w:themeColor="text1"/>
                <w:lang w:val="en-US"/>
              </w:rPr>
            </w:pPr>
            <w:r w:rsidRPr="00AE43AD">
              <w:t xml:space="preserve"> 25 </w:t>
            </w:r>
          </w:p>
        </w:tc>
        <w:tc>
          <w:tcPr>
            <w:tcW w:w="701" w:type="pct"/>
            <w:tcBorders>
              <w:top w:val="nil"/>
              <w:left w:val="nil"/>
              <w:bottom w:val="nil"/>
              <w:right w:val="nil"/>
            </w:tcBorders>
            <w:shd w:val="clear" w:color="auto" w:fill="auto"/>
            <w:vAlign w:val="bottom"/>
          </w:tcPr>
          <w:p w14:paraId="2F6EFE91" w14:textId="7B689BFA" w:rsidR="002D5310" w:rsidRPr="00537128" w:rsidRDefault="002D5310" w:rsidP="002D5310">
            <w:pPr>
              <w:tabs>
                <w:tab w:val="right" w:pos="1202"/>
              </w:tabs>
              <w:spacing w:after="0" w:line="301" w:lineRule="exact"/>
              <w:ind w:left="65"/>
              <w:jc w:val="right"/>
              <w:outlineLvl w:val="0"/>
              <w:rPr>
                <w:rFonts w:eastAsia="Times New Roman" w:cs="Arial"/>
                <w:noProof/>
                <w:color w:val="000000" w:themeColor="text1"/>
                <w:lang w:val="en-US"/>
              </w:rPr>
            </w:pPr>
            <w:r>
              <w:rPr>
                <w:rFonts w:cs="Arial"/>
              </w:rPr>
              <w:t>4</w:t>
            </w:r>
          </w:p>
        </w:tc>
        <w:tc>
          <w:tcPr>
            <w:tcW w:w="699" w:type="pct"/>
            <w:tcBorders>
              <w:top w:val="nil"/>
              <w:left w:val="nil"/>
              <w:right w:val="nil"/>
            </w:tcBorders>
            <w:shd w:val="clear" w:color="auto" w:fill="auto"/>
            <w:vAlign w:val="bottom"/>
          </w:tcPr>
          <w:p w14:paraId="5028BE57" w14:textId="3028E3B3" w:rsidR="002D5310" w:rsidRPr="00537128" w:rsidDel="00C928D9" w:rsidRDefault="002D5310" w:rsidP="002D5310">
            <w:pPr>
              <w:tabs>
                <w:tab w:val="right" w:pos="1202"/>
              </w:tabs>
              <w:spacing w:after="0" w:line="301" w:lineRule="exact"/>
              <w:ind w:left="65"/>
              <w:jc w:val="right"/>
              <w:outlineLvl w:val="0"/>
              <w:rPr>
                <w:rFonts w:eastAsia="Times New Roman" w:cs="Arial"/>
                <w:noProof/>
                <w:color w:val="000000" w:themeColor="text1"/>
                <w:lang w:val="en-US"/>
              </w:rPr>
            </w:pPr>
            <w:r w:rsidRPr="0030277C">
              <w:t xml:space="preserve"> 20 </w:t>
            </w:r>
          </w:p>
        </w:tc>
      </w:tr>
      <w:tr w:rsidR="002D5310" w:rsidRPr="00537128" w14:paraId="3C6D184B" w14:textId="77777777" w:rsidTr="00D7003B">
        <w:trPr>
          <w:trHeight w:val="112"/>
        </w:trPr>
        <w:tc>
          <w:tcPr>
            <w:tcW w:w="2198" w:type="pct"/>
          </w:tcPr>
          <w:p w14:paraId="025D6AA5" w14:textId="0BB5120C" w:rsidR="002D5310" w:rsidRPr="00537128" w:rsidRDefault="002D5310" w:rsidP="002D5310">
            <w:pPr>
              <w:tabs>
                <w:tab w:val="right" w:pos="1202"/>
              </w:tabs>
              <w:spacing w:after="0" w:line="301" w:lineRule="exact"/>
              <w:outlineLvl w:val="0"/>
              <w:rPr>
                <w:rFonts w:eastAsia="Times New Roman" w:cs="Arial"/>
                <w:noProof/>
                <w:color w:val="000000" w:themeColor="text1"/>
                <w:lang w:val="en-US"/>
              </w:rPr>
            </w:pPr>
            <w:r>
              <w:rPr>
                <w:rFonts w:eastAsia="Times New Roman" w:cs="Arial"/>
                <w:noProof/>
                <w:color w:val="000000" w:themeColor="text1"/>
                <w:lang w:val="en-US"/>
              </w:rPr>
              <w:t>Other</w:t>
            </w:r>
          </w:p>
        </w:tc>
        <w:tc>
          <w:tcPr>
            <w:tcW w:w="701" w:type="pct"/>
            <w:tcBorders>
              <w:top w:val="nil"/>
              <w:left w:val="nil"/>
              <w:bottom w:val="nil"/>
              <w:right w:val="nil"/>
            </w:tcBorders>
            <w:shd w:val="clear" w:color="auto" w:fill="auto"/>
            <w:vAlign w:val="bottom"/>
          </w:tcPr>
          <w:p w14:paraId="54D0F4E3" w14:textId="0FC173F1" w:rsidR="002D5310" w:rsidRPr="00537128" w:rsidDel="00C928D9" w:rsidRDefault="002D5310" w:rsidP="002D5310">
            <w:pPr>
              <w:tabs>
                <w:tab w:val="right" w:pos="1202"/>
              </w:tabs>
              <w:spacing w:after="0" w:line="301" w:lineRule="exact"/>
              <w:ind w:left="65"/>
              <w:jc w:val="right"/>
              <w:outlineLvl w:val="0"/>
              <w:rPr>
                <w:rFonts w:eastAsia="Times New Roman" w:cs="Arial"/>
                <w:noProof/>
                <w:color w:val="000000" w:themeColor="text1"/>
                <w:lang w:val="en-US"/>
              </w:rPr>
            </w:pPr>
            <w:r>
              <w:rPr>
                <w:rFonts w:eastAsia="Times New Roman" w:cstheme="minorHAnsi"/>
                <w:color w:val="000000" w:themeColor="text1"/>
              </w:rPr>
              <w:t>19</w:t>
            </w:r>
          </w:p>
        </w:tc>
        <w:tc>
          <w:tcPr>
            <w:tcW w:w="701" w:type="pct"/>
            <w:tcBorders>
              <w:top w:val="nil"/>
              <w:left w:val="nil"/>
              <w:bottom w:val="nil"/>
              <w:right w:val="nil"/>
            </w:tcBorders>
            <w:shd w:val="clear" w:color="auto" w:fill="auto"/>
            <w:vAlign w:val="bottom"/>
          </w:tcPr>
          <w:p w14:paraId="6F4F841A" w14:textId="3C821AEB" w:rsidR="002D5310" w:rsidRPr="00AE43AD" w:rsidRDefault="002D5310" w:rsidP="002D5310">
            <w:pPr>
              <w:tabs>
                <w:tab w:val="right" w:pos="1202"/>
              </w:tabs>
              <w:spacing w:after="0" w:line="301" w:lineRule="exact"/>
              <w:ind w:left="65"/>
              <w:jc w:val="right"/>
              <w:outlineLvl w:val="0"/>
            </w:pPr>
            <w:r>
              <w:t>-</w:t>
            </w:r>
          </w:p>
        </w:tc>
        <w:tc>
          <w:tcPr>
            <w:tcW w:w="701" w:type="pct"/>
            <w:tcBorders>
              <w:top w:val="nil"/>
              <w:left w:val="nil"/>
              <w:bottom w:val="nil"/>
              <w:right w:val="nil"/>
            </w:tcBorders>
            <w:shd w:val="clear" w:color="auto" w:fill="auto"/>
            <w:vAlign w:val="bottom"/>
          </w:tcPr>
          <w:p w14:paraId="588BCFE8" w14:textId="7734C14D" w:rsidR="002D5310" w:rsidRPr="00537128" w:rsidRDefault="002D5310" w:rsidP="002D5310">
            <w:pPr>
              <w:tabs>
                <w:tab w:val="right" w:pos="1202"/>
              </w:tabs>
              <w:spacing w:after="0" w:line="301" w:lineRule="exact"/>
              <w:ind w:left="65"/>
              <w:jc w:val="right"/>
              <w:outlineLvl w:val="0"/>
              <w:rPr>
                <w:rFonts w:eastAsia="Times New Roman" w:cs="Arial"/>
                <w:noProof/>
                <w:color w:val="000000" w:themeColor="text1"/>
                <w:lang w:val="en-US"/>
              </w:rPr>
            </w:pPr>
            <w:r>
              <w:rPr>
                <w:rFonts w:cs="Arial"/>
              </w:rPr>
              <w:t>19</w:t>
            </w:r>
          </w:p>
        </w:tc>
        <w:tc>
          <w:tcPr>
            <w:tcW w:w="699" w:type="pct"/>
            <w:tcBorders>
              <w:left w:val="nil"/>
              <w:bottom w:val="single" w:sz="4" w:space="0" w:color="auto"/>
              <w:right w:val="nil"/>
            </w:tcBorders>
            <w:shd w:val="clear" w:color="auto" w:fill="auto"/>
            <w:vAlign w:val="bottom"/>
          </w:tcPr>
          <w:p w14:paraId="06B3D7DE" w14:textId="664F8AED" w:rsidR="002D5310" w:rsidRPr="0030277C" w:rsidRDefault="002D5310" w:rsidP="002D5310">
            <w:pPr>
              <w:tabs>
                <w:tab w:val="right" w:pos="1202"/>
              </w:tabs>
              <w:spacing w:after="0" w:line="301" w:lineRule="exact"/>
              <w:ind w:left="65"/>
              <w:jc w:val="right"/>
              <w:outlineLvl w:val="0"/>
            </w:pPr>
            <w:r>
              <w:t>-</w:t>
            </w:r>
          </w:p>
        </w:tc>
      </w:tr>
      <w:tr w:rsidR="002D5310" w:rsidRPr="00537128" w14:paraId="2FB2DB26" w14:textId="77777777" w:rsidTr="00A1123E">
        <w:trPr>
          <w:trHeight w:val="112"/>
        </w:trPr>
        <w:tc>
          <w:tcPr>
            <w:tcW w:w="2198" w:type="pct"/>
          </w:tcPr>
          <w:p w14:paraId="144C0BA1" w14:textId="77777777" w:rsidR="002D5310" w:rsidRPr="00537128" w:rsidRDefault="002D5310" w:rsidP="002D5310">
            <w:pPr>
              <w:tabs>
                <w:tab w:val="right" w:pos="1202"/>
              </w:tabs>
              <w:spacing w:after="0" w:line="340" w:lineRule="exact"/>
              <w:outlineLvl w:val="0"/>
              <w:rPr>
                <w:rFonts w:eastAsia="Times New Roman" w:cs="Arial"/>
                <w:b/>
                <w:bCs/>
                <w:noProof/>
                <w:color w:val="000000" w:themeColor="text1"/>
                <w:lang w:val="en-US"/>
              </w:rPr>
            </w:pPr>
          </w:p>
        </w:tc>
        <w:tc>
          <w:tcPr>
            <w:tcW w:w="701" w:type="pct"/>
            <w:tcBorders>
              <w:top w:val="single" w:sz="4" w:space="0" w:color="auto"/>
              <w:bottom w:val="single" w:sz="12" w:space="0" w:color="auto"/>
            </w:tcBorders>
            <w:vAlign w:val="bottom"/>
          </w:tcPr>
          <w:p w14:paraId="4466D3F0" w14:textId="13A938D0" w:rsidR="002D5310" w:rsidRPr="00537128" w:rsidRDefault="002D5310" w:rsidP="002D5310">
            <w:pPr>
              <w:tabs>
                <w:tab w:val="right" w:pos="1202"/>
              </w:tabs>
              <w:spacing w:after="0" w:line="340" w:lineRule="exact"/>
              <w:jc w:val="right"/>
              <w:outlineLvl w:val="0"/>
              <w:rPr>
                <w:rFonts w:eastAsia="Times New Roman" w:cs="Arial"/>
                <w:b/>
                <w:bCs/>
                <w:noProof/>
                <w:color w:val="000000" w:themeColor="text1"/>
                <w:lang w:val="en-US"/>
              </w:rPr>
            </w:pPr>
            <w:r>
              <w:rPr>
                <w:rFonts w:eastAsia="Times New Roman" w:cs="Arial"/>
                <w:b/>
                <w:bCs/>
                <w:noProof/>
                <w:color w:val="000000" w:themeColor="text1"/>
              </w:rPr>
              <w:t>40,234</w:t>
            </w:r>
          </w:p>
        </w:tc>
        <w:tc>
          <w:tcPr>
            <w:tcW w:w="701" w:type="pct"/>
            <w:tcBorders>
              <w:top w:val="single" w:sz="4" w:space="0" w:color="auto"/>
              <w:bottom w:val="single" w:sz="12" w:space="0" w:color="auto"/>
            </w:tcBorders>
            <w:vAlign w:val="bottom"/>
          </w:tcPr>
          <w:p w14:paraId="37DD7DB9" w14:textId="42C7AAAB" w:rsidR="002D5310" w:rsidRPr="00537128" w:rsidRDefault="002D5310" w:rsidP="002D5310">
            <w:pPr>
              <w:tabs>
                <w:tab w:val="right" w:pos="1202"/>
              </w:tabs>
              <w:spacing w:after="0" w:line="340" w:lineRule="exact"/>
              <w:jc w:val="right"/>
              <w:outlineLvl w:val="0"/>
              <w:rPr>
                <w:rFonts w:eastAsia="Times New Roman" w:cs="Arial"/>
                <w:b/>
                <w:bCs/>
                <w:noProof/>
                <w:color w:val="000000" w:themeColor="text1"/>
                <w:lang w:val="en-US"/>
              </w:rPr>
            </w:pPr>
            <w:r w:rsidRPr="00811AC6">
              <w:rPr>
                <w:b/>
                <w:bCs/>
              </w:rPr>
              <w:t xml:space="preserve"> 49</w:t>
            </w:r>
            <w:r>
              <w:rPr>
                <w:b/>
                <w:bCs/>
              </w:rPr>
              <w:t>,</w:t>
            </w:r>
            <w:r w:rsidRPr="00811AC6">
              <w:rPr>
                <w:b/>
                <w:bCs/>
              </w:rPr>
              <w:t xml:space="preserve">781 </w:t>
            </w:r>
          </w:p>
        </w:tc>
        <w:tc>
          <w:tcPr>
            <w:tcW w:w="701" w:type="pct"/>
            <w:tcBorders>
              <w:top w:val="single" w:sz="4" w:space="0" w:color="auto"/>
              <w:bottom w:val="single" w:sz="12" w:space="0" w:color="auto"/>
            </w:tcBorders>
            <w:vAlign w:val="bottom"/>
          </w:tcPr>
          <w:p w14:paraId="472CEC63" w14:textId="227895E0" w:rsidR="002D5310" w:rsidRPr="00537128" w:rsidRDefault="002D5310" w:rsidP="002D5310">
            <w:pPr>
              <w:tabs>
                <w:tab w:val="right" w:pos="1202"/>
              </w:tabs>
              <w:spacing w:after="0" w:line="340" w:lineRule="exact"/>
              <w:jc w:val="right"/>
              <w:outlineLvl w:val="0"/>
              <w:rPr>
                <w:rFonts w:eastAsia="Times New Roman" w:cs="Arial"/>
                <w:b/>
                <w:bCs/>
                <w:noProof/>
                <w:color w:val="000000" w:themeColor="text1"/>
                <w:lang w:val="en-US"/>
              </w:rPr>
            </w:pPr>
            <w:r>
              <w:rPr>
                <w:rFonts w:cs="Arial"/>
                <w:b/>
                <w:bCs/>
              </w:rPr>
              <w:t>40,231</w:t>
            </w:r>
          </w:p>
        </w:tc>
        <w:tc>
          <w:tcPr>
            <w:tcW w:w="699" w:type="pct"/>
            <w:tcBorders>
              <w:top w:val="single" w:sz="4" w:space="0" w:color="auto"/>
              <w:left w:val="nil"/>
              <w:bottom w:val="single" w:sz="12" w:space="0" w:color="auto"/>
              <w:right w:val="nil"/>
            </w:tcBorders>
            <w:shd w:val="clear" w:color="auto" w:fill="auto"/>
            <w:vAlign w:val="bottom"/>
          </w:tcPr>
          <w:p w14:paraId="21756510" w14:textId="352A975A" w:rsidR="002D5310" w:rsidRPr="00537128" w:rsidRDefault="002D5310" w:rsidP="002D5310">
            <w:pPr>
              <w:tabs>
                <w:tab w:val="right" w:pos="1202"/>
              </w:tabs>
              <w:spacing w:after="0" w:line="340" w:lineRule="exact"/>
              <w:jc w:val="right"/>
              <w:outlineLvl w:val="0"/>
              <w:rPr>
                <w:rFonts w:eastAsia="Times New Roman" w:cs="Arial"/>
                <w:b/>
                <w:bCs/>
                <w:noProof/>
                <w:color w:val="000000" w:themeColor="text1"/>
                <w:lang w:val="en-US"/>
              </w:rPr>
            </w:pPr>
            <w:r w:rsidRPr="00811AC6">
              <w:rPr>
                <w:b/>
                <w:bCs/>
              </w:rPr>
              <w:t xml:space="preserve"> 49</w:t>
            </w:r>
            <w:r>
              <w:rPr>
                <w:b/>
                <w:bCs/>
              </w:rPr>
              <w:t>,</w:t>
            </w:r>
            <w:r w:rsidRPr="00811AC6">
              <w:rPr>
                <w:b/>
                <w:bCs/>
              </w:rPr>
              <w:t xml:space="preserve">776 </w:t>
            </w:r>
          </w:p>
        </w:tc>
      </w:tr>
    </w:tbl>
    <w:p w14:paraId="2927D07D" w14:textId="77777777" w:rsidR="00402FAE" w:rsidRPr="00537128" w:rsidRDefault="00402FAE" w:rsidP="0067409C">
      <w:pPr>
        <w:autoSpaceDE w:val="0"/>
        <w:autoSpaceDN w:val="0"/>
        <w:adjustRightInd w:val="0"/>
        <w:spacing w:after="0" w:line="240" w:lineRule="auto"/>
        <w:jc w:val="both"/>
        <w:rPr>
          <w:rFonts w:eastAsia="Times New Roman" w:cs="Arial"/>
          <w:noProof/>
          <w:color w:val="000000" w:themeColor="text1"/>
          <w:sz w:val="18"/>
          <w:szCs w:val="18"/>
          <w:lang w:val="en-US"/>
        </w:rPr>
      </w:pPr>
    </w:p>
    <w:p w14:paraId="77761390" w14:textId="6EDBE855" w:rsidR="00011933" w:rsidRPr="00537128" w:rsidRDefault="00011933" w:rsidP="00011933">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 xml:space="preserve">The difference between interest expense and interest paid (see the Statement of Cash Flows) mostly relates to the changes in the amount of the interest accrued in relation to the prior </w:t>
      </w:r>
      <w:r w:rsidR="006560C2">
        <w:rPr>
          <w:noProof/>
          <w:color w:val="000000" w:themeColor="text1"/>
          <w:lang w:val="en-US"/>
        </w:rPr>
        <w:t>period</w:t>
      </w:r>
      <w:r w:rsidRPr="00537128">
        <w:rPr>
          <w:noProof/>
          <w:color w:val="000000" w:themeColor="text1"/>
          <w:lang w:val="en-US"/>
        </w:rPr>
        <w:t>.</w:t>
      </w:r>
    </w:p>
    <w:p w14:paraId="07D97872" w14:textId="77777777" w:rsidR="00011933" w:rsidRPr="00537128" w:rsidRDefault="00011933" w:rsidP="00011933">
      <w:pPr>
        <w:autoSpaceDE w:val="0"/>
        <w:autoSpaceDN w:val="0"/>
        <w:adjustRightInd w:val="0"/>
        <w:spacing w:after="0" w:line="240" w:lineRule="auto"/>
        <w:jc w:val="both"/>
        <w:rPr>
          <w:noProof/>
          <w:color w:val="000000" w:themeColor="text1"/>
          <w:lang w:val="en-US"/>
        </w:rPr>
      </w:pPr>
    </w:p>
    <w:p w14:paraId="3CEE6E14" w14:textId="77777777" w:rsidR="00011933" w:rsidRPr="00537128" w:rsidRDefault="00011933" w:rsidP="0067409C">
      <w:pPr>
        <w:autoSpaceDE w:val="0"/>
        <w:autoSpaceDN w:val="0"/>
        <w:adjustRightInd w:val="0"/>
        <w:spacing w:after="0" w:line="240" w:lineRule="auto"/>
        <w:jc w:val="both"/>
        <w:rPr>
          <w:noProof/>
          <w:color w:val="000000" w:themeColor="text1"/>
          <w:lang w:val="en-US"/>
        </w:rPr>
      </w:pPr>
    </w:p>
    <w:p w14:paraId="2201C5BE" w14:textId="77777777" w:rsidR="00011933" w:rsidRPr="00537128" w:rsidRDefault="00011933" w:rsidP="0067409C">
      <w:pPr>
        <w:autoSpaceDE w:val="0"/>
        <w:autoSpaceDN w:val="0"/>
        <w:adjustRightInd w:val="0"/>
        <w:spacing w:after="0" w:line="240" w:lineRule="auto"/>
        <w:jc w:val="both"/>
        <w:rPr>
          <w:noProof/>
          <w:color w:val="000000" w:themeColor="text1"/>
          <w:lang w:val="en-US"/>
        </w:rPr>
        <w:sectPr w:rsidR="00011933" w:rsidRPr="00537128" w:rsidSect="00D555B9">
          <w:pgSz w:w="11906" w:h="16838"/>
          <w:pgMar w:top="1417" w:right="1417" w:bottom="1417" w:left="1417" w:header="708" w:footer="708" w:gutter="0"/>
          <w:cols w:space="708"/>
          <w:docGrid w:linePitch="360"/>
        </w:sectPr>
      </w:pPr>
    </w:p>
    <w:p w14:paraId="390BC0A6" w14:textId="77777777" w:rsidR="00011933" w:rsidRPr="00537128" w:rsidRDefault="00011933" w:rsidP="0067409C">
      <w:pPr>
        <w:autoSpaceDE w:val="0"/>
        <w:autoSpaceDN w:val="0"/>
        <w:adjustRightInd w:val="0"/>
        <w:spacing w:after="0" w:line="240" w:lineRule="auto"/>
        <w:jc w:val="both"/>
        <w:rPr>
          <w:noProof/>
          <w:color w:val="000000" w:themeColor="text1"/>
          <w:lang w:val="en-US"/>
        </w:rPr>
      </w:pPr>
      <w:bookmarkStart w:id="240" w:name="_Hlk42862034"/>
    </w:p>
    <w:p w14:paraId="12EA63BE" w14:textId="77777777" w:rsidR="00011933" w:rsidRPr="00537128" w:rsidRDefault="00011933" w:rsidP="00011933">
      <w:pPr>
        <w:pStyle w:val="ListParagraph"/>
        <w:numPr>
          <w:ilvl w:val="0"/>
          <w:numId w:val="1"/>
        </w:num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Operating expenses</w:t>
      </w:r>
    </w:p>
    <w:p w14:paraId="450135C8" w14:textId="77777777" w:rsidR="00011933" w:rsidRPr="00537128" w:rsidRDefault="00011933" w:rsidP="00011933">
      <w:pPr>
        <w:tabs>
          <w:tab w:val="left" w:pos="-720"/>
          <w:tab w:val="left" w:pos="8789"/>
          <w:tab w:val="left" w:pos="8931"/>
        </w:tabs>
        <w:suppressAutoHyphens/>
        <w:spacing w:after="0" w:line="240" w:lineRule="auto"/>
        <w:rPr>
          <w:rFonts w:eastAsia="Times New Roman" w:cs="Arial"/>
          <w:b/>
          <w:bCs/>
          <w:noProof/>
          <w:color w:val="000000" w:themeColor="text1"/>
          <w:lang w:val="en-US"/>
        </w:rPr>
      </w:pPr>
    </w:p>
    <w:bookmarkEnd w:id="240"/>
    <w:p w14:paraId="5A79179D" w14:textId="77777777" w:rsidR="00011933" w:rsidRPr="00537128" w:rsidRDefault="00011933" w:rsidP="00011933">
      <w:pPr>
        <w:tabs>
          <w:tab w:val="left" w:pos="-720"/>
          <w:tab w:val="left" w:pos="8789"/>
          <w:tab w:val="left" w:pos="8931"/>
        </w:tabs>
        <w:suppressAutoHyphens/>
        <w:spacing w:after="0" w:line="240" w:lineRule="auto"/>
        <w:rPr>
          <w:rFonts w:ascii="Calibri" w:eastAsia="Times New Roman" w:hAnsi="Calibri" w:cs="Arial"/>
          <w:color w:val="000000" w:themeColor="text1"/>
          <w:spacing w:val="-3"/>
          <w:lang w:val="en-US"/>
        </w:rPr>
      </w:pPr>
      <w:r w:rsidRPr="00537128">
        <w:rPr>
          <w:rFonts w:ascii="Calibri" w:eastAsia="Times New Roman" w:hAnsi="Calibri" w:cs="Arial"/>
          <w:color w:val="000000" w:themeColor="text1"/>
          <w:spacing w:val="-3"/>
          <w:lang w:val="en-US"/>
        </w:rPr>
        <w:t>Operating expenses can be shown as follows:</w:t>
      </w:r>
    </w:p>
    <w:p w14:paraId="728BD9B1" w14:textId="40F2FD26" w:rsidR="00402FAE" w:rsidRPr="00537128" w:rsidRDefault="00402FAE" w:rsidP="00011933">
      <w:pPr>
        <w:tabs>
          <w:tab w:val="left" w:pos="-720"/>
          <w:tab w:val="left" w:pos="8789"/>
          <w:tab w:val="left" w:pos="8931"/>
        </w:tabs>
        <w:suppressAutoHyphens/>
        <w:spacing w:after="0" w:line="240" w:lineRule="auto"/>
        <w:rPr>
          <w:rFonts w:ascii="Calibri" w:eastAsia="Times New Roman" w:hAnsi="Calibri" w:cs="Arial"/>
          <w:color w:val="000000" w:themeColor="text1"/>
          <w:spacing w:val="-3"/>
          <w:lang w:val="en-US"/>
        </w:rPr>
      </w:pPr>
    </w:p>
    <w:tbl>
      <w:tblPr>
        <w:tblW w:w="5000" w:type="pct"/>
        <w:tblLayout w:type="fixed"/>
        <w:tblCellMar>
          <w:left w:w="122" w:type="dxa"/>
          <w:right w:w="122" w:type="dxa"/>
        </w:tblCellMar>
        <w:tblLook w:val="0000" w:firstRow="0" w:lastRow="0" w:firstColumn="0" w:lastColumn="0" w:noHBand="0" w:noVBand="0"/>
      </w:tblPr>
      <w:tblGrid>
        <w:gridCol w:w="3832"/>
        <w:gridCol w:w="1310"/>
        <w:gridCol w:w="1310"/>
        <w:gridCol w:w="1310"/>
        <w:gridCol w:w="1310"/>
      </w:tblGrid>
      <w:tr w:rsidR="00C47EEE" w:rsidRPr="00537128" w14:paraId="2CD5F660" w14:textId="77777777" w:rsidTr="009E5940">
        <w:trPr>
          <w:trHeight w:val="300"/>
        </w:trPr>
        <w:tc>
          <w:tcPr>
            <w:tcW w:w="2112" w:type="pct"/>
            <w:vAlign w:val="bottom"/>
          </w:tcPr>
          <w:p w14:paraId="6DB4EE6C" w14:textId="77777777" w:rsidR="00C47EEE" w:rsidRPr="00537128" w:rsidRDefault="00C47EEE" w:rsidP="009E5940">
            <w:pPr>
              <w:tabs>
                <w:tab w:val="left" w:pos="-720"/>
              </w:tabs>
              <w:suppressAutoHyphens/>
              <w:spacing w:after="0" w:line="240" w:lineRule="auto"/>
              <w:jc w:val="right"/>
              <w:rPr>
                <w:rFonts w:ascii="Calibri" w:eastAsia="Times New Roman" w:hAnsi="Calibri" w:cs="Arial"/>
                <w:color w:val="000000" w:themeColor="text1"/>
                <w:spacing w:val="-3"/>
                <w:lang w:val="en-US"/>
              </w:rPr>
            </w:pPr>
          </w:p>
        </w:tc>
        <w:tc>
          <w:tcPr>
            <w:tcW w:w="722" w:type="pct"/>
            <w:vAlign w:val="bottom"/>
          </w:tcPr>
          <w:p w14:paraId="512B9660" w14:textId="77777777" w:rsidR="00C47EEE" w:rsidRPr="00537128" w:rsidRDefault="00C47EEE" w:rsidP="009E5940">
            <w:pPr>
              <w:tabs>
                <w:tab w:val="right" w:pos="1202"/>
              </w:tabs>
              <w:spacing w:after="0" w:line="240" w:lineRule="auto"/>
              <w:jc w:val="right"/>
              <w:outlineLvl w:val="0"/>
              <w:rPr>
                <w:rFonts w:ascii="Calibri" w:eastAsia="Times New Roman" w:hAnsi="Calibri" w:cs="Arial"/>
                <w:b/>
                <w:color w:val="000000" w:themeColor="text1"/>
                <w:lang w:val="en-US"/>
              </w:rPr>
            </w:pPr>
          </w:p>
        </w:tc>
        <w:tc>
          <w:tcPr>
            <w:tcW w:w="722" w:type="pct"/>
            <w:vAlign w:val="bottom"/>
          </w:tcPr>
          <w:p w14:paraId="1034C582" w14:textId="77777777" w:rsidR="00C47EEE" w:rsidRPr="00537128" w:rsidRDefault="00C47EEE" w:rsidP="009E5940">
            <w:pPr>
              <w:tabs>
                <w:tab w:val="right" w:pos="1202"/>
              </w:tabs>
              <w:spacing w:after="0" w:line="240" w:lineRule="auto"/>
              <w:jc w:val="right"/>
              <w:outlineLvl w:val="0"/>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Group</w:t>
            </w:r>
          </w:p>
        </w:tc>
        <w:tc>
          <w:tcPr>
            <w:tcW w:w="722" w:type="pct"/>
            <w:vAlign w:val="bottom"/>
          </w:tcPr>
          <w:p w14:paraId="5389BD87" w14:textId="77777777" w:rsidR="00C47EEE" w:rsidRPr="00537128" w:rsidRDefault="00C47EEE" w:rsidP="009E5940">
            <w:pPr>
              <w:tabs>
                <w:tab w:val="right" w:pos="1202"/>
              </w:tabs>
              <w:spacing w:after="0" w:line="240" w:lineRule="auto"/>
              <w:jc w:val="right"/>
              <w:outlineLvl w:val="0"/>
              <w:rPr>
                <w:rFonts w:ascii="Calibri" w:eastAsia="Times New Roman" w:hAnsi="Calibri" w:cs="Arial"/>
                <w:b/>
                <w:color w:val="000000" w:themeColor="text1"/>
                <w:lang w:val="en-US"/>
              </w:rPr>
            </w:pPr>
          </w:p>
        </w:tc>
        <w:tc>
          <w:tcPr>
            <w:tcW w:w="722" w:type="pct"/>
            <w:vAlign w:val="bottom"/>
          </w:tcPr>
          <w:p w14:paraId="6638D1D0" w14:textId="77777777" w:rsidR="00C47EEE" w:rsidRPr="00537128" w:rsidRDefault="00C47EEE" w:rsidP="009E5940">
            <w:pPr>
              <w:tabs>
                <w:tab w:val="right" w:pos="1202"/>
              </w:tabs>
              <w:spacing w:after="0" w:line="240" w:lineRule="auto"/>
              <w:jc w:val="right"/>
              <w:outlineLvl w:val="0"/>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Bank</w:t>
            </w:r>
          </w:p>
        </w:tc>
      </w:tr>
      <w:tr w:rsidR="00C47EEE" w:rsidRPr="00537128" w14:paraId="607A2C7D" w14:textId="77777777" w:rsidTr="009E5940">
        <w:trPr>
          <w:trHeight w:val="225"/>
        </w:trPr>
        <w:tc>
          <w:tcPr>
            <w:tcW w:w="2112" w:type="pct"/>
            <w:vAlign w:val="bottom"/>
          </w:tcPr>
          <w:p w14:paraId="2759843D" w14:textId="77777777" w:rsidR="00C47EEE" w:rsidRPr="00537128" w:rsidRDefault="00C47EEE" w:rsidP="00C47EEE">
            <w:pPr>
              <w:tabs>
                <w:tab w:val="left" w:pos="-720"/>
              </w:tabs>
              <w:suppressAutoHyphens/>
              <w:spacing w:after="0" w:line="240" w:lineRule="auto"/>
              <w:jc w:val="right"/>
              <w:rPr>
                <w:rFonts w:ascii="Calibri" w:eastAsia="Times New Roman" w:hAnsi="Calibri" w:cs="Arial"/>
                <w:color w:val="000000" w:themeColor="text1"/>
                <w:spacing w:val="-3"/>
                <w:lang w:val="en-US"/>
              </w:rPr>
            </w:pPr>
          </w:p>
        </w:tc>
        <w:tc>
          <w:tcPr>
            <w:tcW w:w="722" w:type="pct"/>
            <w:vAlign w:val="bottom"/>
          </w:tcPr>
          <w:p w14:paraId="3032D6F4" w14:textId="5F83DECB" w:rsidR="00C47EEE" w:rsidRPr="00537128" w:rsidRDefault="00C47EEE" w:rsidP="00C47EEE">
            <w:pPr>
              <w:tabs>
                <w:tab w:val="right" w:pos="1202"/>
              </w:tabs>
              <w:spacing w:after="0" w:line="240" w:lineRule="auto"/>
              <w:jc w:val="right"/>
              <w:outlineLvl w:val="0"/>
              <w:rPr>
                <w:rFonts w:ascii="Calibri" w:eastAsia="Times New Roman" w:hAnsi="Calibri" w:cs="Arial"/>
                <w:b/>
                <w:color w:val="000000" w:themeColor="text1"/>
                <w:lang w:val="en-US"/>
              </w:rPr>
            </w:pPr>
            <w:r w:rsidRPr="00537128">
              <w:rPr>
                <w:rFonts w:cstheme="minorHAnsi"/>
                <w:b/>
                <w:bCs/>
                <w:noProof/>
                <w:color w:val="000000" w:themeColor="text1"/>
                <w:lang w:val="en-US"/>
              </w:rPr>
              <w:t>Jan 1 - Mar 31, 202</w:t>
            </w:r>
            <w:r w:rsidR="00957985">
              <w:rPr>
                <w:rFonts w:cstheme="minorHAnsi"/>
                <w:b/>
                <w:bCs/>
                <w:noProof/>
                <w:color w:val="000000" w:themeColor="text1"/>
                <w:lang w:val="en-US"/>
              </w:rPr>
              <w:t>2</w:t>
            </w:r>
          </w:p>
        </w:tc>
        <w:tc>
          <w:tcPr>
            <w:tcW w:w="722" w:type="pct"/>
            <w:vAlign w:val="bottom"/>
          </w:tcPr>
          <w:p w14:paraId="296D0A5C" w14:textId="65E9B8BA" w:rsidR="00C47EEE" w:rsidRPr="00537128" w:rsidRDefault="00C47EEE" w:rsidP="00C47EEE">
            <w:pPr>
              <w:tabs>
                <w:tab w:val="right" w:pos="1202"/>
              </w:tabs>
              <w:spacing w:after="0" w:line="240" w:lineRule="auto"/>
              <w:jc w:val="right"/>
              <w:outlineLvl w:val="0"/>
              <w:rPr>
                <w:rFonts w:ascii="Calibri" w:eastAsia="Times New Roman" w:hAnsi="Calibri" w:cs="Arial"/>
                <w:b/>
                <w:color w:val="000000" w:themeColor="text1"/>
                <w:lang w:val="en-US"/>
              </w:rPr>
            </w:pPr>
            <w:r w:rsidRPr="00537128">
              <w:rPr>
                <w:rFonts w:cstheme="minorHAnsi"/>
                <w:b/>
                <w:bCs/>
                <w:noProof/>
                <w:color w:val="000000" w:themeColor="text1"/>
                <w:lang w:val="en-US"/>
              </w:rPr>
              <w:t>Jan 1 - Mar 31, 202</w:t>
            </w:r>
            <w:r w:rsidR="00957985">
              <w:rPr>
                <w:rFonts w:cstheme="minorHAnsi"/>
                <w:b/>
                <w:bCs/>
                <w:noProof/>
                <w:color w:val="000000" w:themeColor="text1"/>
                <w:lang w:val="en-US"/>
              </w:rPr>
              <w:t>1</w:t>
            </w:r>
          </w:p>
        </w:tc>
        <w:tc>
          <w:tcPr>
            <w:tcW w:w="722" w:type="pct"/>
            <w:vAlign w:val="bottom"/>
          </w:tcPr>
          <w:p w14:paraId="57333C58" w14:textId="5E41349B" w:rsidR="00C47EEE" w:rsidRPr="00537128" w:rsidRDefault="00C47EEE" w:rsidP="00C47EEE">
            <w:pPr>
              <w:tabs>
                <w:tab w:val="right" w:pos="1202"/>
              </w:tabs>
              <w:spacing w:after="0" w:line="240" w:lineRule="auto"/>
              <w:jc w:val="right"/>
              <w:outlineLvl w:val="0"/>
              <w:rPr>
                <w:rFonts w:ascii="Calibri" w:eastAsia="Times New Roman" w:hAnsi="Calibri" w:cs="Arial"/>
                <w:b/>
                <w:color w:val="000000" w:themeColor="text1"/>
                <w:lang w:val="en-US"/>
              </w:rPr>
            </w:pPr>
            <w:r w:rsidRPr="00537128">
              <w:rPr>
                <w:rFonts w:cstheme="minorHAnsi"/>
                <w:b/>
                <w:bCs/>
                <w:noProof/>
                <w:color w:val="000000" w:themeColor="text1"/>
                <w:lang w:val="en-US"/>
              </w:rPr>
              <w:t>Jan 1 - Mar 31, 202</w:t>
            </w:r>
            <w:r w:rsidR="00957985">
              <w:rPr>
                <w:rFonts w:cstheme="minorHAnsi"/>
                <w:b/>
                <w:bCs/>
                <w:noProof/>
                <w:color w:val="000000" w:themeColor="text1"/>
                <w:lang w:val="en-US"/>
              </w:rPr>
              <w:t>2</w:t>
            </w:r>
          </w:p>
        </w:tc>
        <w:tc>
          <w:tcPr>
            <w:tcW w:w="722" w:type="pct"/>
            <w:vAlign w:val="bottom"/>
          </w:tcPr>
          <w:p w14:paraId="639EDC66" w14:textId="47842462" w:rsidR="00C47EEE" w:rsidRPr="00537128" w:rsidRDefault="00C47EEE" w:rsidP="00C47EEE">
            <w:pPr>
              <w:tabs>
                <w:tab w:val="right" w:pos="1202"/>
              </w:tabs>
              <w:spacing w:after="0" w:line="240" w:lineRule="auto"/>
              <w:jc w:val="right"/>
              <w:outlineLvl w:val="0"/>
              <w:rPr>
                <w:rFonts w:ascii="Calibri" w:eastAsia="Times New Roman" w:hAnsi="Calibri" w:cs="Arial"/>
                <w:b/>
                <w:color w:val="000000" w:themeColor="text1"/>
                <w:lang w:val="en-US"/>
              </w:rPr>
            </w:pPr>
            <w:r w:rsidRPr="00537128">
              <w:rPr>
                <w:rFonts w:cstheme="minorHAnsi"/>
                <w:b/>
                <w:bCs/>
                <w:noProof/>
                <w:color w:val="000000" w:themeColor="text1"/>
                <w:lang w:val="en-US"/>
              </w:rPr>
              <w:t>Jan 1 - Mar 31, 202</w:t>
            </w:r>
            <w:r w:rsidR="00957985">
              <w:rPr>
                <w:rFonts w:cstheme="minorHAnsi"/>
                <w:b/>
                <w:bCs/>
                <w:noProof/>
                <w:color w:val="000000" w:themeColor="text1"/>
                <w:lang w:val="en-US"/>
              </w:rPr>
              <w:t>1</w:t>
            </w:r>
          </w:p>
        </w:tc>
      </w:tr>
      <w:tr w:rsidR="00C47EEE" w:rsidRPr="00537128" w14:paraId="541C7383" w14:textId="77777777" w:rsidTr="009E5940">
        <w:tblPrEx>
          <w:tblCellMar>
            <w:left w:w="108" w:type="dxa"/>
            <w:right w:w="108" w:type="dxa"/>
          </w:tblCellMar>
        </w:tblPrEx>
        <w:trPr>
          <w:trHeight w:val="185"/>
        </w:trPr>
        <w:tc>
          <w:tcPr>
            <w:tcW w:w="2112" w:type="pct"/>
            <w:vAlign w:val="bottom"/>
          </w:tcPr>
          <w:p w14:paraId="4A09A5C7" w14:textId="77777777" w:rsidR="00C47EEE" w:rsidRPr="00537128" w:rsidRDefault="00C47EEE" w:rsidP="00C47EEE">
            <w:pPr>
              <w:tabs>
                <w:tab w:val="left" w:pos="-720"/>
              </w:tabs>
              <w:suppressAutoHyphens/>
              <w:spacing w:after="0" w:line="240" w:lineRule="auto"/>
              <w:ind w:right="4144"/>
              <w:jc w:val="right"/>
              <w:rPr>
                <w:rFonts w:ascii="Calibri" w:eastAsia="Times New Roman" w:hAnsi="Calibri" w:cs="Arial"/>
                <w:color w:val="000000" w:themeColor="text1"/>
                <w:lang w:val="en-US"/>
              </w:rPr>
            </w:pPr>
          </w:p>
        </w:tc>
        <w:tc>
          <w:tcPr>
            <w:tcW w:w="722" w:type="pct"/>
            <w:vAlign w:val="bottom"/>
          </w:tcPr>
          <w:p w14:paraId="6F29B27C" w14:textId="77777777" w:rsidR="00C47EEE" w:rsidRPr="00537128" w:rsidRDefault="00C47EEE" w:rsidP="00C47EEE">
            <w:pPr>
              <w:tabs>
                <w:tab w:val="right" w:pos="1202"/>
              </w:tabs>
              <w:spacing w:after="0" w:line="240" w:lineRule="auto"/>
              <w:jc w:val="right"/>
              <w:outlineLvl w:val="0"/>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HRK ‘000</w:t>
            </w:r>
          </w:p>
        </w:tc>
        <w:tc>
          <w:tcPr>
            <w:tcW w:w="722" w:type="pct"/>
            <w:vAlign w:val="bottom"/>
          </w:tcPr>
          <w:p w14:paraId="2DB12E2B" w14:textId="3E22A370" w:rsidR="00C47EEE" w:rsidRPr="00537128" w:rsidRDefault="00C47EEE" w:rsidP="00C47EEE">
            <w:pPr>
              <w:tabs>
                <w:tab w:val="right" w:pos="1202"/>
              </w:tabs>
              <w:spacing w:after="0" w:line="240" w:lineRule="auto"/>
              <w:jc w:val="right"/>
              <w:outlineLvl w:val="0"/>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HRK ‘000</w:t>
            </w:r>
          </w:p>
        </w:tc>
        <w:tc>
          <w:tcPr>
            <w:tcW w:w="722" w:type="pct"/>
            <w:vAlign w:val="bottom"/>
          </w:tcPr>
          <w:p w14:paraId="0144E97D" w14:textId="53D5DD93" w:rsidR="00C47EEE" w:rsidRPr="00537128" w:rsidRDefault="00C47EEE" w:rsidP="00C47EEE">
            <w:pPr>
              <w:tabs>
                <w:tab w:val="right" w:pos="1202"/>
              </w:tabs>
              <w:spacing w:after="0" w:line="240" w:lineRule="auto"/>
              <w:jc w:val="right"/>
              <w:outlineLvl w:val="0"/>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HRK ‘000</w:t>
            </w:r>
          </w:p>
        </w:tc>
        <w:tc>
          <w:tcPr>
            <w:tcW w:w="722" w:type="pct"/>
            <w:vAlign w:val="bottom"/>
          </w:tcPr>
          <w:p w14:paraId="4BBE06EC" w14:textId="4165F9BA" w:rsidR="00C47EEE" w:rsidRPr="00537128" w:rsidRDefault="00C47EEE" w:rsidP="00C47EEE">
            <w:pPr>
              <w:tabs>
                <w:tab w:val="right" w:pos="1202"/>
              </w:tabs>
              <w:spacing w:after="0" w:line="240" w:lineRule="auto"/>
              <w:jc w:val="right"/>
              <w:outlineLvl w:val="0"/>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HRK ‘000</w:t>
            </w:r>
          </w:p>
        </w:tc>
      </w:tr>
      <w:tr w:rsidR="00C47EEE" w:rsidRPr="00537128" w14:paraId="10B0FD05" w14:textId="77777777" w:rsidTr="009E5940">
        <w:trPr>
          <w:trHeight w:hRule="exact" w:val="88"/>
        </w:trPr>
        <w:tc>
          <w:tcPr>
            <w:tcW w:w="2112" w:type="pct"/>
            <w:vAlign w:val="bottom"/>
          </w:tcPr>
          <w:p w14:paraId="62883D7B" w14:textId="77777777" w:rsidR="00C47EEE" w:rsidRPr="00537128" w:rsidRDefault="00C47EEE" w:rsidP="00C47EEE">
            <w:pPr>
              <w:tabs>
                <w:tab w:val="right" w:pos="1202"/>
              </w:tabs>
              <w:spacing w:after="0" w:line="240" w:lineRule="auto"/>
              <w:outlineLvl w:val="0"/>
              <w:rPr>
                <w:rFonts w:ascii="Calibri" w:eastAsia="Times New Roman" w:hAnsi="Calibri" w:cs="Arial"/>
                <w:color w:val="000000" w:themeColor="text1"/>
                <w:lang w:val="en-US"/>
              </w:rPr>
            </w:pPr>
          </w:p>
        </w:tc>
        <w:tc>
          <w:tcPr>
            <w:tcW w:w="722" w:type="pct"/>
            <w:vAlign w:val="bottom"/>
          </w:tcPr>
          <w:p w14:paraId="1FAB902C" w14:textId="77777777" w:rsidR="00C47EEE" w:rsidRPr="00537128" w:rsidRDefault="00C47EEE" w:rsidP="00C47EEE">
            <w:pPr>
              <w:tabs>
                <w:tab w:val="right" w:pos="1202"/>
              </w:tabs>
              <w:spacing w:after="0" w:line="240" w:lineRule="auto"/>
              <w:jc w:val="right"/>
              <w:outlineLvl w:val="0"/>
              <w:rPr>
                <w:rFonts w:ascii="Calibri" w:eastAsia="Times New Roman" w:hAnsi="Calibri" w:cs="Arial"/>
                <w:color w:val="000000" w:themeColor="text1"/>
                <w:spacing w:val="-3"/>
                <w:lang w:val="en-US"/>
              </w:rPr>
            </w:pPr>
          </w:p>
        </w:tc>
        <w:tc>
          <w:tcPr>
            <w:tcW w:w="722" w:type="pct"/>
            <w:vAlign w:val="bottom"/>
          </w:tcPr>
          <w:p w14:paraId="13C69E76" w14:textId="77777777" w:rsidR="00C47EEE" w:rsidRPr="00537128" w:rsidRDefault="00C47EEE" w:rsidP="00C47EEE">
            <w:pPr>
              <w:tabs>
                <w:tab w:val="right" w:pos="1202"/>
              </w:tabs>
              <w:spacing w:after="0" w:line="240" w:lineRule="auto"/>
              <w:jc w:val="right"/>
              <w:outlineLvl w:val="0"/>
              <w:rPr>
                <w:rFonts w:ascii="Calibri" w:eastAsia="Times New Roman" w:hAnsi="Calibri" w:cs="Arial"/>
                <w:color w:val="000000" w:themeColor="text1"/>
                <w:spacing w:val="-3"/>
                <w:lang w:val="en-US"/>
              </w:rPr>
            </w:pPr>
          </w:p>
        </w:tc>
        <w:tc>
          <w:tcPr>
            <w:tcW w:w="722" w:type="pct"/>
            <w:vAlign w:val="bottom"/>
          </w:tcPr>
          <w:p w14:paraId="45B9CA5E" w14:textId="77777777" w:rsidR="00C47EEE" w:rsidRPr="00537128" w:rsidRDefault="00C47EEE" w:rsidP="00C47EEE">
            <w:pPr>
              <w:tabs>
                <w:tab w:val="right" w:pos="1202"/>
              </w:tabs>
              <w:spacing w:after="0" w:line="240" w:lineRule="auto"/>
              <w:jc w:val="right"/>
              <w:outlineLvl w:val="0"/>
              <w:rPr>
                <w:rFonts w:ascii="Calibri" w:eastAsia="Times New Roman" w:hAnsi="Calibri" w:cs="Arial"/>
                <w:color w:val="000000" w:themeColor="text1"/>
                <w:spacing w:val="-3"/>
                <w:lang w:val="en-US"/>
              </w:rPr>
            </w:pPr>
          </w:p>
        </w:tc>
        <w:tc>
          <w:tcPr>
            <w:tcW w:w="722" w:type="pct"/>
            <w:vAlign w:val="bottom"/>
          </w:tcPr>
          <w:p w14:paraId="03954627" w14:textId="77777777" w:rsidR="00C47EEE" w:rsidRPr="00537128" w:rsidRDefault="00C47EEE" w:rsidP="00C47EEE">
            <w:pPr>
              <w:tabs>
                <w:tab w:val="right" w:pos="1202"/>
              </w:tabs>
              <w:spacing w:after="0" w:line="240" w:lineRule="auto"/>
              <w:jc w:val="right"/>
              <w:outlineLvl w:val="0"/>
              <w:rPr>
                <w:rFonts w:ascii="Calibri" w:eastAsia="Times New Roman" w:hAnsi="Calibri" w:cs="Arial"/>
                <w:color w:val="000000" w:themeColor="text1"/>
                <w:spacing w:val="-3"/>
                <w:lang w:val="en-US"/>
              </w:rPr>
            </w:pPr>
          </w:p>
        </w:tc>
      </w:tr>
      <w:tr w:rsidR="00CA4BD2" w:rsidRPr="00537128" w14:paraId="5E2F583E" w14:textId="77777777" w:rsidTr="00EA5537">
        <w:trPr>
          <w:trHeight w:val="141"/>
        </w:trPr>
        <w:tc>
          <w:tcPr>
            <w:tcW w:w="2112" w:type="pct"/>
            <w:vAlign w:val="bottom"/>
          </w:tcPr>
          <w:p w14:paraId="70E75ACA" w14:textId="77777777" w:rsidR="00CA4BD2" w:rsidRPr="00537128" w:rsidRDefault="00CA4BD2" w:rsidP="00CA4BD2">
            <w:pPr>
              <w:tabs>
                <w:tab w:val="right" w:pos="1202"/>
              </w:tabs>
              <w:spacing w:after="0" w:line="240" w:lineRule="atLeast"/>
              <w:outlineLvl w:val="0"/>
              <w:rPr>
                <w:rFonts w:ascii="Calibri" w:eastAsia="Times New Roman" w:hAnsi="Calibri" w:cs="Arial"/>
                <w:color w:val="000000" w:themeColor="text1"/>
                <w:lang w:val="en-US"/>
              </w:rPr>
            </w:pPr>
            <w:r w:rsidRPr="00537128">
              <w:rPr>
                <w:rFonts w:ascii="Calibri" w:eastAsia="Times New Roman" w:hAnsi="Calibri" w:cs="Arial"/>
                <w:bCs/>
                <w:color w:val="000000" w:themeColor="text1"/>
                <w:spacing w:val="-2"/>
                <w:lang w:val="en-US"/>
              </w:rPr>
              <w:t>7 a) Employee expenses</w:t>
            </w:r>
          </w:p>
        </w:tc>
        <w:tc>
          <w:tcPr>
            <w:tcW w:w="722" w:type="pct"/>
            <w:tcBorders>
              <w:top w:val="nil"/>
              <w:left w:val="nil"/>
              <w:bottom w:val="nil"/>
              <w:right w:val="nil"/>
            </w:tcBorders>
            <w:shd w:val="clear" w:color="auto" w:fill="auto"/>
          </w:tcPr>
          <w:p w14:paraId="7692FD80" w14:textId="2A5A9298" w:rsidR="00CA4BD2" w:rsidRPr="00537128" w:rsidRDefault="00CA4BD2" w:rsidP="00CA4BD2">
            <w:pPr>
              <w:tabs>
                <w:tab w:val="right" w:pos="1202"/>
              </w:tabs>
              <w:spacing w:after="0" w:line="240" w:lineRule="auto"/>
              <w:jc w:val="right"/>
              <w:outlineLvl w:val="0"/>
              <w:rPr>
                <w:rFonts w:ascii="Calibri" w:eastAsia="Times New Roman" w:hAnsi="Calibri" w:cs="Arial"/>
                <w:color w:val="000000" w:themeColor="text1"/>
                <w:spacing w:val="-3"/>
                <w:lang w:val="en-US"/>
              </w:rPr>
            </w:pPr>
            <w:r w:rsidRPr="009C3D41">
              <w:rPr>
                <w:rFonts w:eastAsia="Times New Roman" w:cstheme="minorHAnsi"/>
                <w:color w:val="000000" w:themeColor="text1"/>
                <w:spacing w:val="-3"/>
              </w:rPr>
              <w:t>25</w:t>
            </w:r>
            <w:r w:rsidR="0092507B">
              <w:rPr>
                <w:rFonts w:eastAsia="Times New Roman" w:cstheme="minorHAnsi"/>
                <w:color w:val="000000" w:themeColor="text1"/>
                <w:spacing w:val="-3"/>
              </w:rPr>
              <w:t>,</w:t>
            </w:r>
            <w:r w:rsidRPr="009C3D41">
              <w:rPr>
                <w:rFonts w:eastAsia="Times New Roman" w:cstheme="minorHAnsi"/>
                <w:color w:val="000000" w:themeColor="text1"/>
                <w:spacing w:val="-3"/>
              </w:rPr>
              <w:t>557</w:t>
            </w:r>
          </w:p>
        </w:tc>
        <w:tc>
          <w:tcPr>
            <w:tcW w:w="722" w:type="pct"/>
            <w:tcBorders>
              <w:top w:val="nil"/>
              <w:left w:val="nil"/>
              <w:bottom w:val="nil"/>
              <w:right w:val="nil"/>
            </w:tcBorders>
            <w:shd w:val="clear" w:color="auto" w:fill="auto"/>
            <w:vAlign w:val="bottom"/>
          </w:tcPr>
          <w:p w14:paraId="00141D1A" w14:textId="42B7C42B" w:rsidR="00CA4BD2" w:rsidRPr="00537128" w:rsidRDefault="00CA4BD2" w:rsidP="00CA4BD2">
            <w:pPr>
              <w:tabs>
                <w:tab w:val="right" w:pos="1202"/>
              </w:tabs>
              <w:spacing w:after="0" w:line="240" w:lineRule="auto"/>
              <w:jc w:val="right"/>
              <w:outlineLvl w:val="0"/>
              <w:rPr>
                <w:rFonts w:ascii="Calibri" w:eastAsia="Times New Roman" w:hAnsi="Calibri" w:cs="Arial"/>
                <w:color w:val="000000" w:themeColor="text1"/>
                <w:spacing w:val="-3"/>
                <w:lang w:val="en-US"/>
              </w:rPr>
            </w:pPr>
            <w:r w:rsidRPr="004C795F">
              <w:t xml:space="preserve"> 23</w:t>
            </w:r>
            <w:r>
              <w:t>,</w:t>
            </w:r>
            <w:r w:rsidRPr="004C795F">
              <w:t>968</w:t>
            </w:r>
          </w:p>
        </w:tc>
        <w:tc>
          <w:tcPr>
            <w:tcW w:w="722" w:type="pct"/>
            <w:tcBorders>
              <w:top w:val="nil"/>
              <w:left w:val="nil"/>
              <w:bottom w:val="nil"/>
              <w:right w:val="nil"/>
            </w:tcBorders>
            <w:shd w:val="clear" w:color="auto" w:fill="auto"/>
          </w:tcPr>
          <w:p w14:paraId="1EAD1CD4" w14:textId="4C7CDF40" w:rsidR="00CA4BD2" w:rsidRPr="00537128" w:rsidRDefault="00CA4BD2" w:rsidP="00CA4BD2">
            <w:pPr>
              <w:tabs>
                <w:tab w:val="right" w:pos="1202"/>
              </w:tabs>
              <w:spacing w:after="0" w:line="240" w:lineRule="auto"/>
              <w:jc w:val="right"/>
              <w:outlineLvl w:val="0"/>
              <w:rPr>
                <w:rFonts w:ascii="Calibri" w:eastAsia="Times New Roman" w:hAnsi="Calibri" w:cs="Arial"/>
                <w:color w:val="000000" w:themeColor="text1"/>
                <w:spacing w:val="-3"/>
                <w:lang w:val="en-US"/>
              </w:rPr>
            </w:pPr>
            <w:r>
              <w:rPr>
                <w:rFonts w:eastAsia="Times New Roman" w:cs="Arial"/>
                <w:color w:val="000000" w:themeColor="text1"/>
                <w:spacing w:val="-3"/>
              </w:rPr>
              <w:t>24</w:t>
            </w:r>
            <w:r w:rsidR="0092507B">
              <w:rPr>
                <w:rFonts w:eastAsia="Times New Roman" w:cs="Arial"/>
                <w:color w:val="000000" w:themeColor="text1"/>
                <w:spacing w:val="-3"/>
              </w:rPr>
              <w:t>,</w:t>
            </w:r>
            <w:r>
              <w:rPr>
                <w:rFonts w:eastAsia="Times New Roman" w:cs="Arial"/>
                <w:color w:val="000000" w:themeColor="text1"/>
                <w:spacing w:val="-3"/>
              </w:rPr>
              <w:t>355</w:t>
            </w:r>
          </w:p>
        </w:tc>
        <w:tc>
          <w:tcPr>
            <w:tcW w:w="722" w:type="pct"/>
            <w:tcBorders>
              <w:top w:val="nil"/>
              <w:left w:val="nil"/>
              <w:bottom w:val="nil"/>
              <w:right w:val="nil"/>
            </w:tcBorders>
            <w:shd w:val="clear" w:color="auto" w:fill="auto"/>
            <w:vAlign w:val="bottom"/>
          </w:tcPr>
          <w:p w14:paraId="7237B533" w14:textId="440D1EC4" w:rsidR="00CA4BD2" w:rsidRPr="00537128" w:rsidRDefault="00CA4BD2" w:rsidP="00CA4BD2">
            <w:pPr>
              <w:tabs>
                <w:tab w:val="right" w:pos="1202"/>
              </w:tabs>
              <w:spacing w:after="0" w:line="240" w:lineRule="auto"/>
              <w:jc w:val="right"/>
              <w:outlineLvl w:val="0"/>
              <w:rPr>
                <w:rFonts w:ascii="Calibri" w:eastAsia="Times New Roman" w:hAnsi="Calibri" w:cs="Arial"/>
                <w:color w:val="000000" w:themeColor="text1"/>
                <w:spacing w:val="-3"/>
                <w:lang w:val="en-US"/>
              </w:rPr>
            </w:pPr>
            <w:r w:rsidRPr="00215F5E">
              <w:t xml:space="preserve"> 22</w:t>
            </w:r>
            <w:r>
              <w:t>,</w:t>
            </w:r>
            <w:r w:rsidRPr="00215F5E">
              <w:t xml:space="preserve">729 </w:t>
            </w:r>
          </w:p>
        </w:tc>
      </w:tr>
      <w:tr w:rsidR="00CA4BD2" w:rsidRPr="00537128" w14:paraId="7D120E9C" w14:textId="77777777" w:rsidTr="00EA5537">
        <w:trPr>
          <w:trHeight w:val="60"/>
        </w:trPr>
        <w:tc>
          <w:tcPr>
            <w:tcW w:w="2112" w:type="pct"/>
            <w:vAlign w:val="bottom"/>
          </w:tcPr>
          <w:p w14:paraId="59591FF5" w14:textId="77777777" w:rsidR="00CA4BD2" w:rsidRPr="00537128" w:rsidRDefault="00CA4BD2" w:rsidP="00CA4BD2">
            <w:pPr>
              <w:tabs>
                <w:tab w:val="right" w:pos="1202"/>
              </w:tabs>
              <w:spacing w:after="0" w:line="240" w:lineRule="atLeast"/>
              <w:outlineLvl w:val="0"/>
              <w:rPr>
                <w:rFonts w:ascii="Calibri" w:eastAsia="Times New Roman" w:hAnsi="Calibri" w:cs="Arial"/>
                <w:bCs/>
                <w:color w:val="000000" w:themeColor="text1"/>
                <w:spacing w:val="-2"/>
                <w:lang w:val="en-US"/>
              </w:rPr>
            </w:pPr>
          </w:p>
        </w:tc>
        <w:tc>
          <w:tcPr>
            <w:tcW w:w="722" w:type="pct"/>
            <w:tcBorders>
              <w:top w:val="nil"/>
              <w:left w:val="nil"/>
              <w:bottom w:val="nil"/>
              <w:right w:val="nil"/>
            </w:tcBorders>
            <w:shd w:val="clear" w:color="auto" w:fill="auto"/>
          </w:tcPr>
          <w:p w14:paraId="4B2BE740" w14:textId="77777777" w:rsidR="00CA4BD2" w:rsidRPr="00537128" w:rsidRDefault="00CA4BD2" w:rsidP="00CA4BD2">
            <w:pPr>
              <w:tabs>
                <w:tab w:val="right" w:pos="1202"/>
              </w:tabs>
              <w:spacing w:after="0" w:line="240" w:lineRule="auto"/>
              <w:jc w:val="right"/>
              <w:outlineLvl w:val="0"/>
              <w:rPr>
                <w:rFonts w:ascii="Calibri" w:eastAsia="Times New Roman" w:hAnsi="Calibri" w:cs="Arial"/>
                <w:color w:val="000000" w:themeColor="text1"/>
                <w:spacing w:val="-3"/>
                <w:lang w:val="en-US"/>
              </w:rPr>
            </w:pPr>
          </w:p>
        </w:tc>
        <w:tc>
          <w:tcPr>
            <w:tcW w:w="722" w:type="pct"/>
            <w:tcBorders>
              <w:top w:val="nil"/>
              <w:left w:val="nil"/>
              <w:bottom w:val="nil"/>
              <w:right w:val="nil"/>
            </w:tcBorders>
            <w:shd w:val="clear" w:color="auto" w:fill="auto"/>
            <w:vAlign w:val="bottom"/>
          </w:tcPr>
          <w:p w14:paraId="6E5355A5" w14:textId="77777777" w:rsidR="00CA4BD2" w:rsidRPr="00537128" w:rsidRDefault="00CA4BD2" w:rsidP="00CA4BD2">
            <w:pPr>
              <w:tabs>
                <w:tab w:val="right" w:pos="1202"/>
              </w:tabs>
              <w:spacing w:after="0" w:line="240" w:lineRule="auto"/>
              <w:jc w:val="right"/>
              <w:outlineLvl w:val="0"/>
              <w:rPr>
                <w:rFonts w:ascii="Calibri" w:eastAsia="Times New Roman" w:hAnsi="Calibri" w:cs="Arial"/>
                <w:color w:val="000000" w:themeColor="text1"/>
                <w:spacing w:val="-3"/>
                <w:lang w:val="en-US"/>
              </w:rPr>
            </w:pPr>
          </w:p>
        </w:tc>
        <w:tc>
          <w:tcPr>
            <w:tcW w:w="722" w:type="pct"/>
            <w:tcBorders>
              <w:top w:val="nil"/>
              <w:left w:val="nil"/>
              <w:bottom w:val="nil"/>
              <w:right w:val="nil"/>
            </w:tcBorders>
            <w:shd w:val="clear" w:color="auto" w:fill="auto"/>
          </w:tcPr>
          <w:p w14:paraId="0E097B27" w14:textId="77777777" w:rsidR="00CA4BD2" w:rsidRPr="00537128" w:rsidRDefault="00CA4BD2" w:rsidP="00CA4BD2">
            <w:pPr>
              <w:tabs>
                <w:tab w:val="right" w:pos="1202"/>
              </w:tabs>
              <w:spacing w:after="0" w:line="240" w:lineRule="auto"/>
              <w:jc w:val="right"/>
              <w:outlineLvl w:val="0"/>
              <w:rPr>
                <w:rFonts w:ascii="Calibri" w:eastAsia="Times New Roman" w:hAnsi="Calibri" w:cs="Calibri"/>
                <w:color w:val="000000" w:themeColor="text1"/>
                <w:lang w:val="en-US"/>
              </w:rPr>
            </w:pPr>
          </w:p>
        </w:tc>
        <w:tc>
          <w:tcPr>
            <w:tcW w:w="722" w:type="pct"/>
            <w:tcBorders>
              <w:top w:val="nil"/>
              <w:left w:val="nil"/>
              <w:bottom w:val="nil"/>
              <w:right w:val="nil"/>
            </w:tcBorders>
            <w:shd w:val="clear" w:color="auto" w:fill="auto"/>
            <w:vAlign w:val="bottom"/>
          </w:tcPr>
          <w:p w14:paraId="1CC64356" w14:textId="77777777" w:rsidR="00CA4BD2" w:rsidRPr="00537128" w:rsidRDefault="00CA4BD2" w:rsidP="00CA4BD2">
            <w:pPr>
              <w:tabs>
                <w:tab w:val="right" w:pos="1202"/>
              </w:tabs>
              <w:spacing w:after="0" w:line="240" w:lineRule="auto"/>
              <w:jc w:val="right"/>
              <w:outlineLvl w:val="0"/>
              <w:rPr>
                <w:rFonts w:ascii="Calibri" w:eastAsia="Times New Roman" w:hAnsi="Calibri" w:cs="Arial"/>
                <w:color w:val="000000" w:themeColor="text1"/>
                <w:spacing w:val="-3"/>
                <w:lang w:val="en-US"/>
              </w:rPr>
            </w:pPr>
          </w:p>
        </w:tc>
      </w:tr>
      <w:tr w:rsidR="00CA4BD2" w:rsidRPr="00537128" w14:paraId="2B89FA43" w14:textId="77777777" w:rsidTr="00EA5537">
        <w:trPr>
          <w:trHeight w:val="300"/>
        </w:trPr>
        <w:tc>
          <w:tcPr>
            <w:tcW w:w="2112" w:type="pct"/>
            <w:vAlign w:val="bottom"/>
          </w:tcPr>
          <w:p w14:paraId="38C764BE" w14:textId="77777777" w:rsidR="00CA4BD2" w:rsidRPr="00537128" w:rsidRDefault="00CA4BD2" w:rsidP="00CA4BD2">
            <w:pPr>
              <w:tabs>
                <w:tab w:val="right" w:pos="1202"/>
              </w:tabs>
              <w:spacing w:after="0" w:line="240" w:lineRule="atLeast"/>
              <w:outlineLvl w:val="0"/>
              <w:rPr>
                <w:rFonts w:ascii="Calibri" w:eastAsia="Times New Roman" w:hAnsi="Calibri" w:cs="Arial"/>
                <w:color w:val="000000" w:themeColor="text1"/>
                <w:lang w:val="en-US"/>
              </w:rPr>
            </w:pPr>
            <w:r w:rsidRPr="00537128">
              <w:rPr>
                <w:rFonts w:ascii="Calibri" w:eastAsia="Times New Roman" w:hAnsi="Calibri" w:cs="Arial"/>
                <w:bCs/>
                <w:color w:val="000000" w:themeColor="text1"/>
                <w:spacing w:val="-2"/>
                <w:lang w:val="en-US"/>
              </w:rPr>
              <w:t>7 b) Depreciation</w:t>
            </w:r>
          </w:p>
        </w:tc>
        <w:tc>
          <w:tcPr>
            <w:tcW w:w="722" w:type="pct"/>
            <w:tcBorders>
              <w:top w:val="nil"/>
              <w:left w:val="nil"/>
              <w:bottom w:val="nil"/>
              <w:right w:val="nil"/>
            </w:tcBorders>
            <w:shd w:val="clear" w:color="auto" w:fill="auto"/>
          </w:tcPr>
          <w:p w14:paraId="5470A06B" w14:textId="69E1830A" w:rsidR="00CA4BD2" w:rsidRPr="00537128" w:rsidRDefault="00CA4BD2" w:rsidP="00CA4BD2">
            <w:pPr>
              <w:tabs>
                <w:tab w:val="right" w:pos="1202"/>
              </w:tabs>
              <w:spacing w:after="0" w:line="240" w:lineRule="auto"/>
              <w:jc w:val="right"/>
              <w:outlineLvl w:val="0"/>
              <w:rPr>
                <w:rFonts w:ascii="Calibri" w:eastAsia="Times New Roman" w:hAnsi="Calibri" w:cs="Arial"/>
                <w:color w:val="000000" w:themeColor="text1"/>
                <w:spacing w:val="-3"/>
                <w:lang w:val="en-US"/>
              </w:rPr>
            </w:pPr>
            <w:r w:rsidRPr="009C3D41">
              <w:rPr>
                <w:rFonts w:eastAsia="Times New Roman" w:cstheme="minorHAnsi"/>
                <w:color w:val="000000" w:themeColor="text1"/>
                <w:spacing w:val="-3"/>
              </w:rPr>
              <w:t>2</w:t>
            </w:r>
            <w:r w:rsidR="0092507B">
              <w:rPr>
                <w:rFonts w:eastAsia="Times New Roman" w:cstheme="minorHAnsi"/>
                <w:color w:val="000000" w:themeColor="text1"/>
                <w:spacing w:val="-3"/>
              </w:rPr>
              <w:t>,</w:t>
            </w:r>
            <w:r w:rsidRPr="009C3D41">
              <w:rPr>
                <w:rFonts w:eastAsia="Times New Roman" w:cstheme="minorHAnsi"/>
                <w:color w:val="000000" w:themeColor="text1"/>
                <w:spacing w:val="-3"/>
              </w:rPr>
              <w:t>912</w:t>
            </w:r>
          </w:p>
        </w:tc>
        <w:tc>
          <w:tcPr>
            <w:tcW w:w="722" w:type="pct"/>
            <w:tcBorders>
              <w:top w:val="nil"/>
              <w:left w:val="nil"/>
              <w:bottom w:val="nil"/>
              <w:right w:val="nil"/>
            </w:tcBorders>
            <w:shd w:val="clear" w:color="auto" w:fill="auto"/>
            <w:vAlign w:val="bottom"/>
          </w:tcPr>
          <w:p w14:paraId="7FC70913" w14:textId="19E350A9" w:rsidR="00CA4BD2" w:rsidRPr="00537128" w:rsidRDefault="00CA4BD2" w:rsidP="00CA4BD2">
            <w:pPr>
              <w:tabs>
                <w:tab w:val="right" w:pos="1202"/>
              </w:tabs>
              <w:spacing w:after="0" w:line="240" w:lineRule="auto"/>
              <w:jc w:val="right"/>
              <w:outlineLvl w:val="0"/>
              <w:rPr>
                <w:rFonts w:ascii="Calibri" w:eastAsia="Times New Roman" w:hAnsi="Calibri" w:cs="Arial"/>
                <w:color w:val="000000" w:themeColor="text1"/>
                <w:spacing w:val="-3"/>
                <w:lang w:val="en-US"/>
              </w:rPr>
            </w:pPr>
            <w:r w:rsidRPr="004C795F">
              <w:t xml:space="preserve"> 2</w:t>
            </w:r>
            <w:r>
              <w:t>,</w:t>
            </w:r>
            <w:r w:rsidRPr="004C795F">
              <w:t xml:space="preserve">555 </w:t>
            </w:r>
          </w:p>
        </w:tc>
        <w:tc>
          <w:tcPr>
            <w:tcW w:w="722" w:type="pct"/>
            <w:tcBorders>
              <w:top w:val="nil"/>
              <w:left w:val="nil"/>
              <w:bottom w:val="nil"/>
              <w:right w:val="nil"/>
            </w:tcBorders>
            <w:shd w:val="clear" w:color="auto" w:fill="auto"/>
          </w:tcPr>
          <w:p w14:paraId="11B426CD" w14:textId="6ED9120A" w:rsidR="00CA4BD2" w:rsidRPr="00537128" w:rsidRDefault="00CA4BD2" w:rsidP="00CA4BD2">
            <w:pPr>
              <w:tabs>
                <w:tab w:val="right" w:pos="1202"/>
              </w:tabs>
              <w:spacing w:after="0" w:line="240" w:lineRule="auto"/>
              <w:jc w:val="right"/>
              <w:outlineLvl w:val="0"/>
              <w:rPr>
                <w:rFonts w:ascii="Calibri" w:eastAsia="Times New Roman" w:hAnsi="Calibri" w:cs="Arial"/>
                <w:color w:val="000000" w:themeColor="text1"/>
                <w:spacing w:val="-3"/>
                <w:lang w:val="en-US"/>
              </w:rPr>
            </w:pPr>
            <w:r>
              <w:rPr>
                <w:rFonts w:eastAsia="Times New Roman" w:cs="Arial"/>
                <w:color w:val="000000" w:themeColor="text1"/>
                <w:spacing w:val="-3"/>
              </w:rPr>
              <w:t>2</w:t>
            </w:r>
            <w:r w:rsidR="0092507B">
              <w:rPr>
                <w:rFonts w:eastAsia="Times New Roman" w:cs="Arial"/>
                <w:color w:val="000000" w:themeColor="text1"/>
                <w:spacing w:val="-3"/>
              </w:rPr>
              <w:t>,</w:t>
            </w:r>
            <w:r>
              <w:rPr>
                <w:rFonts w:eastAsia="Times New Roman" w:cs="Arial"/>
                <w:color w:val="000000" w:themeColor="text1"/>
                <w:spacing w:val="-3"/>
              </w:rPr>
              <w:t>818</w:t>
            </w:r>
          </w:p>
        </w:tc>
        <w:tc>
          <w:tcPr>
            <w:tcW w:w="722" w:type="pct"/>
            <w:tcBorders>
              <w:top w:val="nil"/>
              <w:left w:val="nil"/>
              <w:bottom w:val="nil"/>
              <w:right w:val="nil"/>
            </w:tcBorders>
            <w:shd w:val="clear" w:color="auto" w:fill="auto"/>
            <w:vAlign w:val="bottom"/>
          </w:tcPr>
          <w:p w14:paraId="4741348E" w14:textId="3DAC9667" w:rsidR="00CA4BD2" w:rsidRPr="00537128" w:rsidRDefault="00CA4BD2" w:rsidP="00CA4BD2">
            <w:pPr>
              <w:tabs>
                <w:tab w:val="right" w:pos="1202"/>
              </w:tabs>
              <w:spacing w:after="0" w:line="240" w:lineRule="auto"/>
              <w:jc w:val="right"/>
              <w:outlineLvl w:val="0"/>
              <w:rPr>
                <w:rFonts w:ascii="Calibri" w:eastAsia="Times New Roman" w:hAnsi="Calibri" w:cs="Arial"/>
                <w:color w:val="000000" w:themeColor="text1"/>
                <w:spacing w:val="-3"/>
                <w:lang w:val="en-US"/>
              </w:rPr>
            </w:pPr>
            <w:r w:rsidRPr="00215F5E">
              <w:t xml:space="preserve"> 2</w:t>
            </w:r>
            <w:r>
              <w:t>,</w:t>
            </w:r>
            <w:r w:rsidRPr="00215F5E">
              <w:t xml:space="preserve">476 </w:t>
            </w:r>
          </w:p>
        </w:tc>
      </w:tr>
      <w:tr w:rsidR="00CA4BD2" w:rsidRPr="00537128" w14:paraId="1B4348F4" w14:textId="77777777" w:rsidTr="00EA5537">
        <w:trPr>
          <w:trHeight w:val="198"/>
        </w:trPr>
        <w:tc>
          <w:tcPr>
            <w:tcW w:w="2112" w:type="pct"/>
            <w:vAlign w:val="bottom"/>
          </w:tcPr>
          <w:p w14:paraId="6752AB89" w14:textId="77777777" w:rsidR="00CA4BD2" w:rsidRPr="00537128" w:rsidRDefault="00CA4BD2" w:rsidP="00CA4BD2">
            <w:pPr>
              <w:tabs>
                <w:tab w:val="right" w:pos="1202"/>
              </w:tabs>
              <w:spacing w:after="0" w:line="240" w:lineRule="atLeast"/>
              <w:outlineLvl w:val="0"/>
              <w:rPr>
                <w:rFonts w:ascii="Calibri" w:eastAsia="Times New Roman" w:hAnsi="Calibri" w:cs="Arial"/>
                <w:bCs/>
                <w:color w:val="000000" w:themeColor="text1"/>
                <w:spacing w:val="-2"/>
                <w:lang w:val="en-US"/>
              </w:rPr>
            </w:pPr>
          </w:p>
        </w:tc>
        <w:tc>
          <w:tcPr>
            <w:tcW w:w="722" w:type="pct"/>
            <w:tcBorders>
              <w:top w:val="nil"/>
              <w:left w:val="nil"/>
              <w:bottom w:val="nil"/>
              <w:right w:val="nil"/>
            </w:tcBorders>
            <w:shd w:val="clear" w:color="auto" w:fill="auto"/>
          </w:tcPr>
          <w:p w14:paraId="698BA6BF" w14:textId="77777777" w:rsidR="00CA4BD2" w:rsidRPr="00537128" w:rsidRDefault="00CA4BD2" w:rsidP="00CA4BD2">
            <w:pPr>
              <w:tabs>
                <w:tab w:val="right" w:pos="1202"/>
              </w:tabs>
              <w:spacing w:after="0" w:line="240" w:lineRule="auto"/>
              <w:jc w:val="right"/>
              <w:outlineLvl w:val="0"/>
              <w:rPr>
                <w:rFonts w:ascii="Calibri" w:eastAsia="Times New Roman" w:hAnsi="Calibri" w:cs="Arial"/>
                <w:color w:val="000000" w:themeColor="text1"/>
                <w:spacing w:val="-3"/>
                <w:lang w:val="en-US"/>
              </w:rPr>
            </w:pPr>
          </w:p>
        </w:tc>
        <w:tc>
          <w:tcPr>
            <w:tcW w:w="722" w:type="pct"/>
            <w:tcBorders>
              <w:top w:val="nil"/>
              <w:left w:val="nil"/>
              <w:bottom w:val="nil"/>
              <w:right w:val="nil"/>
            </w:tcBorders>
            <w:shd w:val="clear" w:color="auto" w:fill="auto"/>
            <w:vAlign w:val="bottom"/>
          </w:tcPr>
          <w:p w14:paraId="2D88D085" w14:textId="77777777" w:rsidR="00CA4BD2" w:rsidRPr="00537128" w:rsidRDefault="00CA4BD2" w:rsidP="00CA4BD2">
            <w:pPr>
              <w:tabs>
                <w:tab w:val="right" w:pos="1202"/>
              </w:tabs>
              <w:spacing w:after="0" w:line="240" w:lineRule="auto"/>
              <w:jc w:val="right"/>
              <w:outlineLvl w:val="0"/>
              <w:rPr>
                <w:rFonts w:ascii="Calibri" w:eastAsia="Times New Roman" w:hAnsi="Calibri" w:cs="Arial"/>
                <w:color w:val="000000" w:themeColor="text1"/>
                <w:spacing w:val="-3"/>
                <w:lang w:val="en-US"/>
              </w:rPr>
            </w:pPr>
          </w:p>
        </w:tc>
        <w:tc>
          <w:tcPr>
            <w:tcW w:w="722" w:type="pct"/>
            <w:tcBorders>
              <w:top w:val="nil"/>
              <w:left w:val="nil"/>
              <w:bottom w:val="nil"/>
              <w:right w:val="nil"/>
            </w:tcBorders>
            <w:shd w:val="clear" w:color="auto" w:fill="auto"/>
          </w:tcPr>
          <w:p w14:paraId="74B43DB4" w14:textId="77777777" w:rsidR="00CA4BD2" w:rsidRPr="00537128" w:rsidRDefault="00CA4BD2" w:rsidP="00CA4BD2">
            <w:pPr>
              <w:tabs>
                <w:tab w:val="right" w:pos="1202"/>
              </w:tabs>
              <w:spacing w:after="0" w:line="240" w:lineRule="auto"/>
              <w:jc w:val="right"/>
              <w:outlineLvl w:val="0"/>
              <w:rPr>
                <w:rFonts w:ascii="Calibri" w:eastAsia="Times New Roman" w:hAnsi="Calibri" w:cs="Calibri"/>
                <w:color w:val="000000" w:themeColor="text1"/>
                <w:lang w:val="en-US"/>
              </w:rPr>
            </w:pPr>
          </w:p>
        </w:tc>
        <w:tc>
          <w:tcPr>
            <w:tcW w:w="722" w:type="pct"/>
            <w:tcBorders>
              <w:top w:val="nil"/>
              <w:left w:val="nil"/>
              <w:bottom w:val="nil"/>
              <w:right w:val="nil"/>
            </w:tcBorders>
            <w:shd w:val="clear" w:color="auto" w:fill="auto"/>
            <w:vAlign w:val="bottom"/>
          </w:tcPr>
          <w:p w14:paraId="41B015DB" w14:textId="77777777" w:rsidR="00CA4BD2" w:rsidRPr="00537128" w:rsidRDefault="00CA4BD2" w:rsidP="00CA4BD2">
            <w:pPr>
              <w:tabs>
                <w:tab w:val="right" w:pos="1202"/>
              </w:tabs>
              <w:spacing w:after="0" w:line="240" w:lineRule="auto"/>
              <w:jc w:val="right"/>
              <w:outlineLvl w:val="0"/>
              <w:rPr>
                <w:rFonts w:ascii="Calibri" w:eastAsia="Times New Roman" w:hAnsi="Calibri" w:cs="Arial"/>
                <w:color w:val="000000" w:themeColor="text1"/>
                <w:spacing w:val="-3"/>
                <w:lang w:val="en-US"/>
              </w:rPr>
            </w:pPr>
          </w:p>
        </w:tc>
      </w:tr>
      <w:tr w:rsidR="00CA4BD2" w:rsidRPr="00537128" w14:paraId="6208274D" w14:textId="77777777" w:rsidTr="00EA5537">
        <w:trPr>
          <w:trHeight w:val="211"/>
        </w:trPr>
        <w:tc>
          <w:tcPr>
            <w:tcW w:w="2112" w:type="pct"/>
            <w:vAlign w:val="bottom"/>
          </w:tcPr>
          <w:p w14:paraId="7F527CAC" w14:textId="77777777" w:rsidR="00CA4BD2" w:rsidRPr="00537128" w:rsidRDefault="00CA4BD2" w:rsidP="00CA4BD2">
            <w:pPr>
              <w:tabs>
                <w:tab w:val="right" w:pos="1202"/>
              </w:tabs>
              <w:spacing w:after="0" w:line="240" w:lineRule="atLeast"/>
              <w:outlineLvl w:val="0"/>
              <w:rPr>
                <w:rFonts w:ascii="Calibri" w:eastAsia="Times New Roman" w:hAnsi="Calibri" w:cs="Arial"/>
                <w:color w:val="000000" w:themeColor="text1"/>
                <w:lang w:val="en-US"/>
              </w:rPr>
            </w:pPr>
            <w:r w:rsidRPr="00537128">
              <w:rPr>
                <w:rFonts w:ascii="Calibri" w:eastAsia="Times New Roman" w:hAnsi="Calibri" w:cs="Arial"/>
                <w:bCs/>
                <w:color w:val="000000" w:themeColor="text1"/>
                <w:spacing w:val="-2"/>
                <w:lang w:val="en-US"/>
              </w:rPr>
              <w:t>7 c) Other expenses</w:t>
            </w:r>
          </w:p>
        </w:tc>
        <w:tc>
          <w:tcPr>
            <w:tcW w:w="722" w:type="pct"/>
            <w:tcBorders>
              <w:top w:val="nil"/>
              <w:left w:val="nil"/>
              <w:bottom w:val="nil"/>
              <w:right w:val="nil"/>
            </w:tcBorders>
            <w:shd w:val="clear" w:color="auto" w:fill="auto"/>
          </w:tcPr>
          <w:p w14:paraId="1A85CFFE" w14:textId="4B72119D" w:rsidR="00CA4BD2" w:rsidRPr="00537128" w:rsidRDefault="00CA4BD2" w:rsidP="00CA4BD2">
            <w:pPr>
              <w:tabs>
                <w:tab w:val="right" w:pos="1202"/>
              </w:tabs>
              <w:spacing w:after="0" w:line="240" w:lineRule="auto"/>
              <w:jc w:val="right"/>
              <w:outlineLvl w:val="0"/>
              <w:rPr>
                <w:rFonts w:ascii="Calibri" w:eastAsia="Times New Roman" w:hAnsi="Calibri" w:cs="Arial"/>
                <w:color w:val="000000" w:themeColor="text1"/>
                <w:spacing w:val="-3"/>
                <w:lang w:val="en-US"/>
              </w:rPr>
            </w:pPr>
            <w:r w:rsidRPr="009C3D41">
              <w:rPr>
                <w:rFonts w:eastAsia="Times New Roman" w:cstheme="minorHAnsi"/>
                <w:color w:val="000000" w:themeColor="text1"/>
              </w:rPr>
              <w:t>33</w:t>
            </w:r>
            <w:r w:rsidR="0092507B">
              <w:rPr>
                <w:rFonts w:eastAsia="Times New Roman" w:cstheme="minorHAnsi"/>
                <w:color w:val="000000" w:themeColor="text1"/>
              </w:rPr>
              <w:t>,</w:t>
            </w:r>
            <w:r w:rsidRPr="009C3D41">
              <w:rPr>
                <w:rFonts w:eastAsia="Times New Roman" w:cstheme="minorHAnsi"/>
                <w:color w:val="000000" w:themeColor="text1"/>
              </w:rPr>
              <w:t>306</w:t>
            </w:r>
          </w:p>
        </w:tc>
        <w:tc>
          <w:tcPr>
            <w:tcW w:w="722" w:type="pct"/>
            <w:tcBorders>
              <w:top w:val="nil"/>
              <w:left w:val="nil"/>
              <w:bottom w:val="nil"/>
              <w:right w:val="nil"/>
            </w:tcBorders>
            <w:shd w:val="clear" w:color="auto" w:fill="auto"/>
            <w:vAlign w:val="bottom"/>
          </w:tcPr>
          <w:p w14:paraId="1A890058" w14:textId="742CA682" w:rsidR="00CA4BD2" w:rsidRPr="00537128" w:rsidRDefault="00CA4BD2" w:rsidP="00CA4BD2">
            <w:pPr>
              <w:tabs>
                <w:tab w:val="right" w:pos="1202"/>
              </w:tabs>
              <w:spacing w:after="0" w:line="240" w:lineRule="auto"/>
              <w:jc w:val="right"/>
              <w:outlineLvl w:val="0"/>
              <w:rPr>
                <w:rFonts w:ascii="Calibri" w:eastAsia="Times New Roman" w:hAnsi="Calibri" w:cs="Arial"/>
                <w:color w:val="000000" w:themeColor="text1"/>
                <w:spacing w:val="-3"/>
                <w:lang w:val="en-US"/>
              </w:rPr>
            </w:pPr>
            <w:r w:rsidRPr="004C795F">
              <w:t xml:space="preserve"> 20</w:t>
            </w:r>
            <w:r>
              <w:t>,</w:t>
            </w:r>
            <w:r w:rsidRPr="004C795F">
              <w:t xml:space="preserve">712 </w:t>
            </w:r>
          </w:p>
        </w:tc>
        <w:tc>
          <w:tcPr>
            <w:tcW w:w="722" w:type="pct"/>
            <w:tcBorders>
              <w:top w:val="nil"/>
              <w:left w:val="nil"/>
              <w:bottom w:val="nil"/>
              <w:right w:val="nil"/>
            </w:tcBorders>
            <w:shd w:val="clear" w:color="auto" w:fill="auto"/>
          </w:tcPr>
          <w:p w14:paraId="14DEE4DF" w14:textId="01A76632" w:rsidR="00CA4BD2" w:rsidRPr="00537128" w:rsidRDefault="00CA4BD2" w:rsidP="00CA4BD2">
            <w:pPr>
              <w:tabs>
                <w:tab w:val="right" w:pos="1202"/>
              </w:tabs>
              <w:spacing w:after="0" w:line="240" w:lineRule="auto"/>
              <w:jc w:val="right"/>
              <w:outlineLvl w:val="0"/>
              <w:rPr>
                <w:rFonts w:ascii="Calibri" w:eastAsia="Times New Roman" w:hAnsi="Calibri" w:cs="Arial"/>
                <w:color w:val="000000" w:themeColor="text1"/>
                <w:spacing w:val="-3"/>
                <w:lang w:val="en-US"/>
              </w:rPr>
            </w:pPr>
            <w:r>
              <w:rPr>
                <w:rFonts w:ascii="Calibri" w:eastAsia="Times New Roman" w:hAnsi="Calibri" w:cs="Calibri"/>
                <w:color w:val="000000" w:themeColor="text1"/>
              </w:rPr>
              <w:t>30</w:t>
            </w:r>
            <w:r w:rsidR="0092507B">
              <w:rPr>
                <w:rFonts w:ascii="Calibri" w:eastAsia="Times New Roman" w:hAnsi="Calibri" w:cs="Calibri"/>
                <w:color w:val="000000" w:themeColor="text1"/>
              </w:rPr>
              <w:t>,</w:t>
            </w:r>
            <w:r>
              <w:rPr>
                <w:rFonts w:ascii="Calibri" w:eastAsia="Times New Roman" w:hAnsi="Calibri" w:cs="Calibri"/>
                <w:color w:val="000000" w:themeColor="text1"/>
              </w:rPr>
              <w:t>455</w:t>
            </w:r>
          </w:p>
        </w:tc>
        <w:tc>
          <w:tcPr>
            <w:tcW w:w="722" w:type="pct"/>
            <w:tcBorders>
              <w:top w:val="nil"/>
              <w:left w:val="nil"/>
              <w:bottom w:val="nil"/>
              <w:right w:val="nil"/>
            </w:tcBorders>
            <w:shd w:val="clear" w:color="auto" w:fill="auto"/>
            <w:vAlign w:val="bottom"/>
          </w:tcPr>
          <w:p w14:paraId="45FEFBA1" w14:textId="653FC581" w:rsidR="00CA4BD2" w:rsidRPr="00537128" w:rsidRDefault="00CA4BD2" w:rsidP="00CA4BD2">
            <w:pPr>
              <w:tabs>
                <w:tab w:val="right" w:pos="1202"/>
              </w:tabs>
              <w:spacing w:after="0" w:line="240" w:lineRule="auto"/>
              <w:jc w:val="right"/>
              <w:outlineLvl w:val="0"/>
              <w:rPr>
                <w:rFonts w:ascii="Calibri" w:eastAsia="Times New Roman" w:hAnsi="Calibri" w:cs="Arial"/>
                <w:color w:val="000000" w:themeColor="text1"/>
                <w:spacing w:val="-3"/>
                <w:lang w:val="en-US"/>
              </w:rPr>
            </w:pPr>
            <w:r w:rsidRPr="00215F5E">
              <w:t xml:space="preserve"> 19</w:t>
            </w:r>
            <w:r>
              <w:t>,</w:t>
            </w:r>
            <w:r w:rsidRPr="00215F5E">
              <w:t xml:space="preserve">825 </w:t>
            </w:r>
          </w:p>
        </w:tc>
      </w:tr>
      <w:tr w:rsidR="00CA4BD2" w:rsidRPr="00537128" w14:paraId="543FADC2" w14:textId="77777777" w:rsidTr="009E5940">
        <w:trPr>
          <w:trHeight w:hRule="exact" w:val="88"/>
        </w:trPr>
        <w:tc>
          <w:tcPr>
            <w:tcW w:w="2112" w:type="pct"/>
            <w:vAlign w:val="bottom"/>
          </w:tcPr>
          <w:p w14:paraId="6DD8B0AD" w14:textId="77777777" w:rsidR="00CA4BD2" w:rsidRPr="00537128" w:rsidRDefault="00CA4BD2" w:rsidP="00CA4BD2">
            <w:pPr>
              <w:tabs>
                <w:tab w:val="right" w:pos="1202"/>
              </w:tabs>
              <w:spacing w:after="0" w:line="240" w:lineRule="auto"/>
              <w:outlineLvl w:val="0"/>
              <w:rPr>
                <w:rFonts w:ascii="Calibri" w:eastAsia="Times New Roman" w:hAnsi="Calibri" w:cs="Arial"/>
                <w:bCs/>
                <w:i/>
                <w:color w:val="000000" w:themeColor="text1"/>
                <w:spacing w:val="-2"/>
                <w:lang w:val="en-US"/>
              </w:rPr>
            </w:pPr>
          </w:p>
        </w:tc>
        <w:tc>
          <w:tcPr>
            <w:tcW w:w="722" w:type="pct"/>
            <w:tcBorders>
              <w:top w:val="nil"/>
              <w:left w:val="nil"/>
              <w:bottom w:val="nil"/>
              <w:right w:val="nil"/>
            </w:tcBorders>
            <w:shd w:val="clear" w:color="auto" w:fill="auto"/>
            <w:vAlign w:val="bottom"/>
          </w:tcPr>
          <w:p w14:paraId="2CFED8C8" w14:textId="77777777" w:rsidR="00CA4BD2" w:rsidRPr="00537128" w:rsidRDefault="00CA4BD2" w:rsidP="00CA4BD2">
            <w:pPr>
              <w:tabs>
                <w:tab w:val="right" w:pos="1202"/>
              </w:tabs>
              <w:spacing w:after="0" w:line="240" w:lineRule="auto"/>
              <w:jc w:val="right"/>
              <w:outlineLvl w:val="0"/>
              <w:rPr>
                <w:rFonts w:ascii="Calibri" w:eastAsia="Times New Roman" w:hAnsi="Calibri" w:cs="Arial"/>
                <w:bCs/>
                <w:i/>
                <w:color w:val="000000" w:themeColor="text1"/>
                <w:spacing w:val="-2"/>
                <w:lang w:val="en-US"/>
              </w:rPr>
            </w:pPr>
          </w:p>
        </w:tc>
        <w:tc>
          <w:tcPr>
            <w:tcW w:w="722" w:type="pct"/>
            <w:tcBorders>
              <w:top w:val="nil"/>
              <w:left w:val="nil"/>
              <w:bottom w:val="nil"/>
              <w:right w:val="nil"/>
            </w:tcBorders>
            <w:shd w:val="clear" w:color="auto" w:fill="auto"/>
            <w:vAlign w:val="bottom"/>
          </w:tcPr>
          <w:p w14:paraId="47CF34EA" w14:textId="77777777" w:rsidR="00CA4BD2" w:rsidRPr="00537128" w:rsidRDefault="00CA4BD2" w:rsidP="00CA4BD2">
            <w:pPr>
              <w:tabs>
                <w:tab w:val="right" w:pos="1202"/>
              </w:tabs>
              <w:spacing w:after="0" w:line="240" w:lineRule="auto"/>
              <w:jc w:val="right"/>
              <w:outlineLvl w:val="0"/>
              <w:rPr>
                <w:rFonts w:ascii="Calibri" w:eastAsia="Times New Roman" w:hAnsi="Calibri" w:cs="Arial"/>
                <w:bCs/>
                <w:i/>
                <w:color w:val="000000" w:themeColor="text1"/>
                <w:spacing w:val="-2"/>
                <w:lang w:val="en-US"/>
              </w:rPr>
            </w:pPr>
          </w:p>
        </w:tc>
        <w:tc>
          <w:tcPr>
            <w:tcW w:w="722" w:type="pct"/>
            <w:tcBorders>
              <w:top w:val="nil"/>
              <w:left w:val="nil"/>
              <w:bottom w:val="nil"/>
              <w:right w:val="nil"/>
            </w:tcBorders>
            <w:shd w:val="clear" w:color="auto" w:fill="auto"/>
            <w:vAlign w:val="bottom"/>
          </w:tcPr>
          <w:p w14:paraId="732DE10D" w14:textId="77777777" w:rsidR="00CA4BD2" w:rsidRPr="00537128" w:rsidRDefault="00CA4BD2" w:rsidP="00CA4BD2">
            <w:pPr>
              <w:tabs>
                <w:tab w:val="right" w:pos="1202"/>
              </w:tabs>
              <w:spacing w:after="0" w:line="240" w:lineRule="auto"/>
              <w:jc w:val="right"/>
              <w:outlineLvl w:val="0"/>
              <w:rPr>
                <w:rFonts w:ascii="Calibri" w:eastAsia="Times New Roman" w:hAnsi="Calibri" w:cs="Arial"/>
                <w:bCs/>
                <w:i/>
                <w:color w:val="000000" w:themeColor="text1"/>
                <w:spacing w:val="-2"/>
                <w:lang w:val="en-US"/>
              </w:rPr>
            </w:pPr>
          </w:p>
        </w:tc>
        <w:tc>
          <w:tcPr>
            <w:tcW w:w="722" w:type="pct"/>
            <w:tcBorders>
              <w:top w:val="nil"/>
              <w:left w:val="nil"/>
              <w:bottom w:val="nil"/>
              <w:right w:val="nil"/>
            </w:tcBorders>
            <w:shd w:val="clear" w:color="auto" w:fill="auto"/>
            <w:vAlign w:val="bottom"/>
          </w:tcPr>
          <w:p w14:paraId="421FAD14" w14:textId="77777777" w:rsidR="00CA4BD2" w:rsidRPr="00537128" w:rsidRDefault="00CA4BD2" w:rsidP="00CA4BD2">
            <w:pPr>
              <w:tabs>
                <w:tab w:val="right" w:pos="1202"/>
              </w:tabs>
              <w:spacing w:after="0" w:line="240" w:lineRule="auto"/>
              <w:jc w:val="right"/>
              <w:outlineLvl w:val="0"/>
              <w:rPr>
                <w:rFonts w:ascii="Calibri" w:eastAsia="Times New Roman" w:hAnsi="Calibri" w:cs="Arial"/>
                <w:bCs/>
                <w:i/>
                <w:color w:val="000000" w:themeColor="text1"/>
                <w:spacing w:val="-2"/>
                <w:lang w:val="en-US"/>
              </w:rPr>
            </w:pPr>
          </w:p>
        </w:tc>
      </w:tr>
      <w:tr w:rsidR="00CA4BD2" w:rsidRPr="00537128" w14:paraId="2CA1A7B5" w14:textId="77777777" w:rsidTr="009E5940">
        <w:trPr>
          <w:trHeight w:val="260"/>
        </w:trPr>
        <w:tc>
          <w:tcPr>
            <w:tcW w:w="2112" w:type="pct"/>
            <w:vAlign w:val="bottom"/>
          </w:tcPr>
          <w:p w14:paraId="29F9CEFC" w14:textId="77777777" w:rsidR="00CA4BD2" w:rsidRPr="00537128" w:rsidRDefault="00CA4BD2" w:rsidP="00CA4BD2">
            <w:pPr>
              <w:tabs>
                <w:tab w:val="right" w:pos="1202"/>
              </w:tabs>
              <w:spacing w:after="0" w:line="240" w:lineRule="auto"/>
              <w:outlineLvl w:val="0"/>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Of which:</w:t>
            </w:r>
          </w:p>
        </w:tc>
        <w:tc>
          <w:tcPr>
            <w:tcW w:w="722" w:type="pct"/>
            <w:tcBorders>
              <w:top w:val="nil"/>
              <w:left w:val="nil"/>
              <w:bottom w:val="nil"/>
              <w:right w:val="nil"/>
            </w:tcBorders>
            <w:shd w:val="clear" w:color="auto" w:fill="auto"/>
            <w:vAlign w:val="bottom"/>
          </w:tcPr>
          <w:p w14:paraId="6F865569" w14:textId="77777777" w:rsidR="00CA4BD2" w:rsidRPr="00537128" w:rsidRDefault="00CA4BD2" w:rsidP="00CA4BD2">
            <w:pPr>
              <w:tabs>
                <w:tab w:val="right" w:pos="1202"/>
              </w:tabs>
              <w:spacing w:after="0" w:line="240" w:lineRule="auto"/>
              <w:jc w:val="right"/>
              <w:outlineLvl w:val="0"/>
              <w:rPr>
                <w:rFonts w:ascii="Calibri" w:eastAsia="Times New Roman" w:hAnsi="Calibri" w:cs="Arial"/>
                <w:color w:val="000000" w:themeColor="text1"/>
                <w:spacing w:val="-3"/>
                <w:lang w:val="en-US"/>
              </w:rPr>
            </w:pPr>
          </w:p>
        </w:tc>
        <w:tc>
          <w:tcPr>
            <w:tcW w:w="722" w:type="pct"/>
            <w:tcBorders>
              <w:top w:val="nil"/>
              <w:left w:val="nil"/>
              <w:bottom w:val="nil"/>
              <w:right w:val="nil"/>
            </w:tcBorders>
            <w:shd w:val="clear" w:color="auto" w:fill="auto"/>
            <w:vAlign w:val="bottom"/>
          </w:tcPr>
          <w:p w14:paraId="0F87A25F" w14:textId="77777777" w:rsidR="00CA4BD2" w:rsidRPr="00537128" w:rsidRDefault="00CA4BD2" w:rsidP="00CA4BD2">
            <w:pPr>
              <w:tabs>
                <w:tab w:val="right" w:pos="1202"/>
              </w:tabs>
              <w:spacing w:after="0" w:line="240" w:lineRule="auto"/>
              <w:jc w:val="right"/>
              <w:outlineLvl w:val="0"/>
              <w:rPr>
                <w:rFonts w:ascii="Calibri" w:eastAsia="Times New Roman" w:hAnsi="Calibri" w:cs="Arial"/>
                <w:color w:val="000000" w:themeColor="text1"/>
                <w:spacing w:val="-3"/>
                <w:lang w:val="en-US"/>
              </w:rPr>
            </w:pPr>
          </w:p>
        </w:tc>
        <w:tc>
          <w:tcPr>
            <w:tcW w:w="722" w:type="pct"/>
            <w:tcBorders>
              <w:top w:val="nil"/>
              <w:left w:val="nil"/>
              <w:bottom w:val="nil"/>
              <w:right w:val="nil"/>
            </w:tcBorders>
            <w:shd w:val="clear" w:color="auto" w:fill="auto"/>
            <w:vAlign w:val="bottom"/>
          </w:tcPr>
          <w:p w14:paraId="616CC87D" w14:textId="77777777" w:rsidR="00CA4BD2" w:rsidRPr="00537128" w:rsidRDefault="00CA4BD2" w:rsidP="00CA4BD2">
            <w:pPr>
              <w:tabs>
                <w:tab w:val="right" w:pos="1202"/>
              </w:tabs>
              <w:spacing w:after="0" w:line="240" w:lineRule="auto"/>
              <w:jc w:val="right"/>
              <w:outlineLvl w:val="0"/>
              <w:rPr>
                <w:rFonts w:ascii="Calibri" w:eastAsia="Times New Roman" w:hAnsi="Calibri" w:cs="Arial"/>
                <w:color w:val="000000" w:themeColor="text1"/>
                <w:spacing w:val="-3"/>
                <w:lang w:val="en-US"/>
              </w:rPr>
            </w:pPr>
          </w:p>
        </w:tc>
        <w:tc>
          <w:tcPr>
            <w:tcW w:w="722" w:type="pct"/>
            <w:vAlign w:val="bottom"/>
          </w:tcPr>
          <w:p w14:paraId="2554432C" w14:textId="77777777" w:rsidR="00CA4BD2" w:rsidRPr="00537128" w:rsidRDefault="00CA4BD2" w:rsidP="00CA4BD2">
            <w:pPr>
              <w:tabs>
                <w:tab w:val="right" w:pos="1202"/>
              </w:tabs>
              <w:spacing w:after="0" w:line="240" w:lineRule="auto"/>
              <w:jc w:val="right"/>
              <w:outlineLvl w:val="0"/>
              <w:rPr>
                <w:rFonts w:ascii="Calibri" w:eastAsia="Times New Roman" w:hAnsi="Calibri" w:cs="Arial"/>
                <w:color w:val="000000" w:themeColor="text1"/>
                <w:spacing w:val="-3"/>
                <w:lang w:val="en-US"/>
              </w:rPr>
            </w:pPr>
          </w:p>
        </w:tc>
      </w:tr>
      <w:tr w:rsidR="00CA4BD2" w:rsidRPr="00537128" w14:paraId="72965095" w14:textId="77777777" w:rsidTr="00CA4BD2">
        <w:trPr>
          <w:trHeight w:val="278"/>
        </w:trPr>
        <w:tc>
          <w:tcPr>
            <w:tcW w:w="2112" w:type="pct"/>
            <w:vAlign w:val="bottom"/>
          </w:tcPr>
          <w:p w14:paraId="50AB917C" w14:textId="77777777" w:rsidR="00CA4BD2" w:rsidRPr="00537128" w:rsidRDefault="00CA4BD2" w:rsidP="00CA4BD2">
            <w:pPr>
              <w:tabs>
                <w:tab w:val="right" w:pos="1202"/>
              </w:tabs>
              <w:spacing w:after="0" w:line="240" w:lineRule="auto"/>
              <w:outlineLvl w:val="0"/>
              <w:rPr>
                <w:rFonts w:ascii="Calibri" w:eastAsia="Times New Roman" w:hAnsi="Calibri" w:cs="Arial"/>
                <w:bCs/>
                <w:i/>
                <w:color w:val="000000" w:themeColor="text1"/>
                <w:spacing w:val="-2"/>
                <w:sz w:val="20"/>
                <w:szCs w:val="20"/>
                <w:lang w:val="en-US"/>
              </w:rPr>
            </w:pPr>
            <w:r w:rsidRPr="00537128">
              <w:rPr>
                <w:rFonts w:ascii="Calibri" w:eastAsia="Times New Roman" w:hAnsi="Calibri" w:cs="Arial"/>
                <w:bCs/>
                <w:i/>
                <w:color w:val="000000" w:themeColor="text1"/>
                <w:spacing w:val="-2"/>
                <w:sz w:val="20"/>
                <w:szCs w:val="20"/>
                <w:lang w:val="en-US"/>
              </w:rPr>
              <w:t>Administration expenses</w:t>
            </w:r>
          </w:p>
        </w:tc>
        <w:tc>
          <w:tcPr>
            <w:tcW w:w="722" w:type="pct"/>
            <w:tcBorders>
              <w:top w:val="nil"/>
              <w:left w:val="nil"/>
              <w:bottom w:val="nil"/>
              <w:right w:val="nil"/>
            </w:tcBorders>
            <w:shd w:val="clear" w:color="auto" w:fill="auto"/>
            <w:vAlign w:val="bottom"/>
          </w:tcPr>
          <w:p w14:paraId="60F92DDE" w14:textId="6C8CD31D" w:rsidR="00CA4BD2" w:rsidRPr="00A1123E" w:rsidRDefault="00CA4BD2" w:rsidP="00CA4BD2">
            <w:pPr>
              <w:tabs>
                <w:tab w:val="right" w:pos="1202"/>
              </w:tabs>
              <w:spacing w:after="0" w:line="240" w:lineRule="auto"/>
              <w:outlineLvl w:val="0"/>
              <w:rPr>
                <w:rFonts w:eastAsia="Times New Roman" w:cstheme="minorHAnsi"/>
                <w:i/>
                <w:color w:val="000000" w:themeColor="text1"/>
                <w:sz w:val="20"/>
                <w:szCs w:val="20"/>
                <w:lang w:val="en-US"/>
              </w:rPr>
            </w:pPr>
            <w:r>
              <w:rPr>
                <w:rFonts w:ascii="Calibri" w:hAnsi="Calibri" w:cs="Calibri"/>
                <w:i/>
                <w:iCs/>
                <w:color w:val="000000"/>
                <w:sz w:val="19"/>
                <w:szCs w:val="19"/>
              </w:rPr>
              <w:t xml:space="preserve">              4</w:t>
            </w:r>
            <w:r w:rsidR="0092507B">
              <w:rPr>
                <w:rFonts w:ascii="Calibri" w:hAnsi="Calibri" w:cs="Calibri"/>
                <w:i/>
                <w:iCs/>
                <w:color w:val="000000"/>
                <w:sz w:val="19"/>
                <w:szCs w:val="19"/>
              </w:rPr>
              <w:t>,</w:t>
            </w:r>
            <w:r>
              <w:rPr>
                <w:rFonts w:ascii="Calibri" w:hAnsi="Calibri" w:cs="Calibri"/>
                <w:i/>
                <w:iCs/>
                <w:color w:val="000000"/>
                <w:sz w:val="19"/>
                <w:szCs w:val="19"/>
              </w:rPr>
              <w:t xml:space="preserve">946 </w:t>
            </w:r>
          </w:p>
        </w:tc>
        <w:tc>
          <w:tcPr>
            <w:tcW w:w="722" w:type="pct"/>
            <w:tcBorders>
              <w:top w:val="nil"/>
              <w:left w:val="nil"/>
              <w:bottom w:val="nil"/>
              <w:right w:val="nil"/>
            </w:tcBorders>
            <w:shd w:val="clear" w:color="auto" w:fill="auto"/>
            <w:vAlign w:val="bottom"/>
          </w:tcPr>
          <w:p w14:paraId="52618619" w14:textId="4B5BC5A9" w:rsidR="00CA4BD2" w:rsidRPr="00A1123E" w:rsidRDefault="00CA4BD2" w:rsidP="00CA4BD2">
            <w:pPr>
              <w:tabs>
                <w:tab w:val="right" w:pos="1202"/>
              </w:tabs>
              <w:spacing w:after="0" w:line="240" w:lineRule="auto"/>
              <w:jc w:val="right"/>
              <w:outlineLvl w:val="0"/>
              <w:rPr>
                <w:rFonts w:eastAsia="Times New Roman" w:cstheme="minorHAnsi"/>
                <w:i/>
                <w:color w:val="000000" w:themeColor="text1"/>
                <w:sz w:val="20"/>
                <w:szCs w:val="20"/>
                <w:lang w:val="en-US"/>
              </w:rPr>
            </w:pPr>
            <w:r w:rsidRPr="00A1123E">
              <w:rPr>
                <w:rFonts w:eastAsia="Times New Roman" w:cstheme="minorHAnsi"/>
                <w:i/>
                <w:color w:val="000000" w:themeColor="text1"/>
                <w:sz w:val="20"/>
                <w:szCs w:val="20"/>
                <w:lang w:val="en-US"/>
              </w:rPr>
              <w:t xml:space="preserve"> 3,300 </w:t>
            </w:r>
          </w:p>
        </w:tc>
        <w:tc>
          <w:tcPr>
            <w:tcW w:w="722" w:type="pct"/>
            <w:tcBorders>
              <w:top w:val="nil"/>
              <w:left w:val="nil"/>
              <w:bottom w:val="nil"/>
              <w:right w:val="nil"/>
            </w:tcBorders>
            <w:shd w:val="clear" w:color="auto" w:fill="auto"/>
            <w:vAlign w:val="bottom"/>
          </w:tcPr>
          <w:p w14:paraId="02624EDE" w14:textId="1EE98509" w:rsidR="00CA4BD2" w:rsidRPr="00A1123E" w:rsidRDefault="00CA4BD2" w:rsidP="00CA4BD2">
            <w:pPr>
              <w:tabs>
                <w:tab w:val="right" w:pos="1202"/>
              </w:tabs>
              <w:spacing w:after="0" w:line="240" w:lineRule="auto"/>
              <w:jc w:val="right"/>
              <w:outlineLvl w:val="0"/>
              <w:rPr>
                <w:rFonts w:eastAsia="Times New Roman" w:cstheme="minorHAnsi"/>
                <w:i/>
                <w:color w:val="000000" w:themeColor="text1"/>
                <w:sz w:val="20"/>
                <w:szCs w:val="20"/>
                <w:lang w:val="en-US"/>
              </w:rPr>
            </w:pPr>
            <w:r>
              <w:rPr>
                <w:rFonts w:eastAsia="Times New Roman" w:cstheme="minorHAnsi"/>
                <w:i/>
                <w:color w:val="000000" w:themeColor="text1"/>
                <w:sz w:val="20"/>
                <w:szCs w:val="20"/>
              </w:rPr>
              <w:t>4</w:t>
            </w:r>
            <w:r w:rsidR="0092507B">
              <w:rPr>
                <w:rFonts w:eastAsia="Times New Roman" w:cstheme="minorHAnsi"/>
                <w:i/>
                <w:color w:val="000000" w:themeColor="text1"/>
                <w:sz w:val="20"/>
                <w:szCs w:val="20"/>
              </w:rPr>
              <w:t>,</w:t>
            </w:r>
            <w:r>
              <w:rPr>
                <w:rFonts w:eastAsia="Times New Roman" w:cstheme="minorHAnsi"/>
                <w:i/>
                <w:color w:val="000000" w:themeColor="text1"/>
                <w:sz w:val="20"/>
                <w:szCs w:val="20"/>
              </w:rPr>
              <w:t>867</w:t>
            </w:r>
          </w:p>
        </w:tc>
        <w:tc>
          <w:tcPr>
            <w:tcW w:w="722" w:type="pct"/>
            <w:tcBorders>
              <w:top w:val="nil"/>
              <w:left w:val="nil"/>
              <w:bottom w:val="nil"/>
              <w:right w:val="nil"/>
            </w:tcBorders>
            <w:shd w:val="clear" w:color="auto" w:fill="auto"/>
            <w:vAlign w:val="bottom"/>
          </w:tcPr>
          <w:p w14:paraId="10784FB3" w14:textId="4EA7661A" w:rsidR="00CA4BD2" w:rsidRPr="00A1123E" w:rsidRDefault="00CA4BD2" w:rsidP="00CA4BD2">
            <w:pPr>
              <w:tabs>
                <w:tab w:val="right" w:pos="1202"/>
              </w:tabs>
              <w:spacing w:after="0" w:line="240" w:lineRule="auto"/>
              <w:jc w:val="right"/>
              <w:outlineLvl w:val="0"/>
              <w:rPr>
                <w:rFonts w:eastAsia="Times New Roman" w:cstheme="minorHAnsi"/>
                <w:i/>
                <w:color w:val="000000" w:themeColor="text1"/>
                <w:sz w:val="20"/>
                <w:szCs w:val="20"/>
                <w:lang w:val="en-US"/>
              </w:rPr>
            </w:pPr>
            <w:r w:rsidRPr="00A1123E">
              <w:rPr>
                <w:rFonts w:eastAsia="Times New Roman" w:cstheme="minorHAnsi"/>
                <w:i/>
                <w:color w:val="000000" w:themeColor="text1"/>
                <w:sz w:val="20"/>
                <w:szCs w:val="20"/>
                <w:lang w:val="en-US"/>
              </w:rPr>
              <w:t xml:space="preserve"> 3,231 </w:t>
            </w:r>
          </w:p>
        </w:tc>
      </w:tr>
      <w:tr w:rsidR="00CA4BD2" w:rsidRPr="00537128" w14:paraId="0576B912" w14:textId="77777777" w:rsidTr="00CA4BD2">
        <w:trPr>
          <w:trHeight w:val="278"/>
        </w:trPr>
        <w:tc>
          <w:tcPr>
            <w:tcW w:w="2112" w:type="pct"/>
            <w:vAlign w:val="bottom"/>
          </w:tcPr>
          <w:p w14:paraId="0B9E4AB6" w14:textId="77777777" w:rsidR="00CA4BD2" w:rsidRPr="00537128" w:rsidRDefault="00CA4BD2" w:rsidP="00CA4BD2">
            <w:pPr>
              <w:tabs>
                <w:tab w:val="right" w:pos="1202"/>
              </w:tabs>
              <w:spacing w:after="0" w:line="240" w:lineRule="auto"/>
              <w:outlineLvl w:val="0"/>
              <w:rPr>
                <w:rFonts w:ascii="Calibri" w:eastAsia="Times New Roman" w:hAnsi="Calibri" w:cs="Arial"/>
                <w:bCs/>
                <w:i/>
                <w:color w:val="000000" w:themeColor="text1"/>
                <w:spacing w:val="-2"/>
                <w:sz w:val="20"/>
                <w:szCs w:val="20"/>
                <w:lang w:val="en-US"/>
              </w:rPr>
            </w:pPr>
            <w:r w:rsidRPr="00537128">
              <w:rPr>
                <w:rFonts w:ascii="Calibri" w:eastAsia="Times New Roman" w:hAnsi="Calibri" w:cs="Arial"/>
                <w:bCs/>
                <w:i/>
                <w:color w:val="000000" w:themeColor="text1"/>
                <w:spacing w:val="-2"/>
                <w:sz w:val="20"/>
                <w:szCs w:val="20"/>
                <w:lang w:val="en-US"/>
              </w:rPr>
              <w:t>Material and services</w:t>
            </w:r>
          </w:p>
        </w:tc>
        <w:tc>
          <w:tcPr>
            <w:tcW w:w="722" w:type="pct"/>
            <w:tcBorders>
              <w:top w:val="nil"/>
              <w:left w:val="nil"/>
              <w:bottom w:val="nil"/>
              <w:right w:val="nil"/>
            </w:tcBorders>
            <w:shd w:val="clear" w:color="auto" w:fill="auto"/>
            <w:vAlign w:val="bottom"/>
          </w:tcPr>
          <w:p w14:paraId="52A4CEDB" w14:textId="6D53F185" w:rsidR="00CA4BD2" w:rsidRPr="00A1123E" w:rsidRDefault="00CA4BD2" w:rsidP="00CA4BD2">
            <w:pPr>
              <w:tabs>
                <w:tab w:val="right" w:pos="1202"/>
              </w:tabs>
              <w:spacing w:after="0" w:line="240" w:lineRule="auto"/>
              <w:outlineLvl w:val="0"/>
              <w:rPr>
                <w:rFonts w:eastAsia="Times New Roman" w:cstheme="minorHAnsi"/>
                <w:i/>
                <w:color w:val="000000" w:themeColor="text1"/>
                <w:sz w:val="20"/>
                <w:szCs w:val="20"/>
                <w:lang w:val="en-US"/>
              </w:rPr>
            </w:pPr>
            <w:r>
              <w:rPr>
                <w:rFonts w:ascii="Calibri" w:hAnsi="Calibri" w:cs="Calibri"/>
                <w:i/>
                <w:iCs/>
                <w:color w:val="000000"/>
                <w:sz w:val="19"/>
                <w:szCs w:val="19"/>
              </w:rPr>
              <w:t xml:space="preserve">              7</w:t>
            </w:r>
            <w:r w:rsidR="0092507B">
              <w:rPr>
                <w:rFonts w:ascii="Calibri" w:hAnsi="Calibri" w:cs="Calibri"/>
                <w:i/>
                <w:iCs/>
                <w:color w:val="000000"/>
                <w:sz w:val="19"/>
                <w:szCs w:val="19"/>
              </w:rPr>
              <w:t>,</w:t>
            </w:r>
            <w:r>
              <w:rPr>
                <w:rFonts w:ascii="Calibri" w:hAnsi="Calibri" w:cs="Calibri"/>
                <w:i/>
                <w:iCs/>
                <w:color w:val="000000"/>
                <w:sz w:val="19"/>
                <w:szCs w:val="19"/>
              </w:rPr>
              <w:t xml:space="preserve">593 </w:t>
            </w:r>
          </w:p>
        </w:tc>
        <w:tc>
          <w:tcPr>
            <w:tcW w:w="722" w:type="pct"/>
            <w:tcBorders>
              <w:top w:val="nil"/>
              <w:left w:val="nil"/>
              <w:right w:val="nil"/>
            </w:tcBorders>
            <w:shd w:val="clear" w:color="auto" w:fill="auto"/>
            <w:vAlign w:val="bottom"/>
          </w:tcPr>
          <w:p w14:paraId="17A07DE1" w14:textId="0BFAF4A0" w:rsidR="00CA4BD2" w:rsidRPr="00A1123E" w:rsidRDefault="00CA4BD2" w:rsidP="00CA4BD2">
            <w:pPr>
              <w:tabs>
                <w:tab w:val="right" w:pos="1202"/>
              </w:tabs>
              <w:spacing w:after="0" w:line="240" w:lineRule="auto"/>
              <w:jc w:val="right"/>
              <w:outlineLvl w:val="0"/>
              <w:rPr>
                <w:rFonts w:eastAsia="Times New Roman" w:cstheme="minorHAnsi"/>
                <w:i/>
                <w:color w:val="000000" w:themeColor="text1"/>
                <w:sz w:val="20"/>
                <w:szCs w:val="20"/>
                <w:lang w:val="en-US"/>
              </w:rPr>
            </w:pPr>
            <w:r w:rsidRPr="00A1123E">
              <w:rPr>
                <w:rFonts w:eastAsia="Times New Roman" w:cstheme="minorHAnsi"/>
                <w:i/>
                <w:color w:val="000000" w:themeColor="text1"/>
                <w:sz w:val="20"/>
                <w:szCs w:val="20"/>
                <w:lang w:val="en-US"/>
              </w:rPr>
              <w:t xml:space="preserve"> 6,619 </w:t>
            </w:r>
          </w:p>
        </w:tc>
        <w:tc>
          <w:tcPr>
            <w:tcW w:w="722" w:type="pct"/>
            <w:tcBorders>
              <w:top w:val="nil"/>
              <w:left w:val="nil"/>
              <w:right w:val="nil"/>
            </w:tcBorders>
            <w:shd w:val="clear" w:color="auto" w:fill="auto"/>
            <w:vAlign w:val="bottom"/>
          </w:tcPr>
          <w:p w14:paraId="0309DDCF" w14:textId="77AAF5C9" w:rsidR="00CA4BD2" w:rsidRPr="00A1123E" w:rsidRDefault="00CA4BD2" w:rsidP="00CA4BD2">
            <w:pPr>
              <w:tabs>
                <w:tab w:val="right" w:pos="1202"/>
              </w:tabs>
              <w:spacing w:after="0" w:line="240" w:lineRule="auto"/>
              <w:jc w:val="right"/>
              <w:outlineLvl w:val="0"/>
              <w:rPr>
                <w:rFonts w:eastAsia="Times New Roman" w:cstheme="minorHAnsi"/>
                <w:i/>
                <w:color w:val="000000" w:themeColor="text1"/>
                <w:sz w:val="20"/>
                <w:szCs w:val="20"/>
                <w:lang w:val="en-US"/>
              </w:rPr>
            </w:pPr>
            <w:r>
              <w:rPr>
                <w:rFonts w:eastAsia="Times New Roman" w:cstheme="minorHAnsi"/>
                <w:i/>
                <w:color w:val="000000" w:themeColor="text1"/>
                <w:sz w:val="20"/>
                <w:szCs w:val="20"/>
              </w:rPr>
              <w:t>7</w:t>
            </w:r>
            <w:r w:rsidR="0092507B">
              <w:rPr>
                <w:rFonts w:eastAsia="Times New Roman" w:cstheme="minorHAnsi"/>
                <w:i/>
                <w:color w:val="000000" w:themeColor="text1"/>
                <w:sz w:val="20"/>
                <w:szCs w:val="20"/>
              </w:rPr>
              <w:t>,</w:t>
            </w:r>
            <w:r>
              <w:rPr>
                <w:rFonts w:eastAsia="Times New Roman" w:cstheme="minorHAnsi"/>
                <w:i/>
                <w:color w:val="000000" w:themeColor="text1"/>
                <w:sz w:val="20"/>
                <w:szCs w:val="20"/>
              </w:rPr>
              <w:t>172</w:t>
            </w:r>
          </w:p>
        </w:tc>
        <w:tc>
          <w:tcPr>
            <w:tcW w:w="722" w:type="pct"/>
            <w:tcBorders>
              <w:top w:val="nil"/>
              <w:left w:val="nil"/>
              <w:bottom w:val="nil"/>
              <w:right w:val="nil"/>
            </w:tcBorders>
            <w:shd w:val="clear" w:color="auto" w:fill="auto"/>
            <w:vAlign w:val="bottom"/>
          </w:tcPr>
          <w:p w14:paraId="2C8F031A" w14:textId="5D1668C5" w:rsidR="00CA4BD2" w:rsidRPr="00A1123E" w:rsidRDefault="00CA4BD2" w:rsidP="00CA4BD2">
            <w:pPr>
              <w:tabs>
                <w:tab w:val="right" w:pos="1202"/>
              </w:tabs>
              <w:spacing w:after="0" w:line="240" w:lineRule="auto"/>
              <w:jc w:val="right"/>
              <w:outlineLvl w:val="0"/>
              <w:rPr>
                <w:rFonts w:eastAsia="Times New Roman" w:cstheme="minorHAnsi"/>
                <w:i/>
                <w:color w:val="000000" w:themeColor="text1"/>
                <w:sz w:val="20"/>
                <w:szCs w:val="20"/>
                <w:lang w:val="en-US"/>
              </w:rPr>
            </w:pPr>
            <w:r w:rsidRPr="00A1123E">
              <w:rPr>
                <w:rFonts w:eastAsia="Times New Roman" w:cstheme="minorHAnsi"/>
                <w:i/>
                <w:color w:val="000000" w:themeColor="text1"/>
                <w:sz w:val="20"/>
                <w:szCs w:val="20"/>
                <w:lang w:val="en-US"/>
              </w:rPr>
              <w:t xml:space="preserve"> 6,204 </w:t>
            </w:r>
          </w:p>
        </w:tc>
      </w:tr>
      <w:tr w:rsidR="00CA4BD2" w:rsidRPr="00537128" w14:paraId="137BC56B" w14:textId="77777777" w:rsidTr="00CA4BD2">
        <w:trPr>
          <w:trHeight w:val="278"/>
        </w:trPr>
        <w:tc>
          <w:tcPr>
            <w:tcW w:w="2112" w:type="pct"/>
            <w:vAlign w:val="bottom"/>
          </w:tcPr>
          <w:p w14:paraId="36A689A2" w14:textId="77777777" w:rsidR="00CA4BD2" w:rsidRPr="00537128" w:rsidRDefault="00CA4BD2" w:rsidP="00CA4BD2">
            <w:pPr>
              <w:tabs>
                <w:tab w:val="right" w:pos="1202"/>
              </w:tabs>
              <w:spacing w:after="0" w:line="240" w:lineRule="auto"/>
              <w:outlineLvl w:val="0"/>
              <w:rPr>
                <w:rFonts w:ascii="Calibri" w:eastAsia="Times New Roman" w:hAnsi="Calibri" w:cs="Arial"/>
                <w:bCs/>
                <w:i/>
                <w:color w:val="000000" w:themeColor="text1"/>
                <w:spacing w:val="-2"/>
                <w:sz w:val="20"/>
                <w:szCs w:val="20"/>
                <w:lang w:val="en-US"/>
              </w:rPr>
            </w:pPr>
            <w:r w:rsidRPr="00537128">
              <w:rPr>
                <w:rFonts w:ascii="Calibri" w:eastAsia="Times New Roman" w:hAnsi="Calibri" w:cs="Arial"/>
                <w:bCs/>
                <w:i/>
                <w:color w:val="000000" w:themeColor="text1"/>
                <w:spacing w:val="-2"/>
                <w:sz w:val="20"/>
                <w:szCs w:val="20"/>
                <w:lang w:val="en-US"/>
              </w:rPr>
              <w:t>Other expenses</w:t>
            </w:r>
          </w:p>
        </w:tc>
        <w:tc>
          <w:tcPr>
            <w:tcW w:w="722" w:type="pct"/>
            <w:tcBorders>
              <w:top w:val="nil"/>
              <w:left w:val="nil"/>
              <w:bottom w:val="nil"/>
              <w:right w:val="nil"/>
            </w:tcBorders>
            <w:shd w:val="clear" w:color="auto" w:fill="auto"/>
            <w:vAlign w:val="bottom"/>
          </w:tcPr>
          <w:p w14:paraId="2DFAD821" w14:textId="560DACB2" w:rsidR="00CA4BD2" w:rsidRPr="00A1123E" w:rsidRDefault="00CA4BD2" w:rsidP="00CA4BD2">
            <w:pPr>
              <w:tabs>
                <w:tab w:val="right" w:pos="1202"/>
              </w:tabs>
              <w:spacing w:after="0" w:line="240" w:lineRule="auto"/>
              <w:outlineLvl w:val="0"/>
              <w:rPr>
                <w:rFonts w:eastAsia="Times New Roman" w:cstheme="minorHAnsi"/>
                <w:i/>
                <w:color w:val="000000" w:themeColor="text1"/>
                <w:sz w:val="20"/>
                <w:szCs w:val="20"/>
                <w:lang w:val="en-US"/>
              </w:rPr>
            </w:pPr>
            <w:r>
              <w:rPr>
                <w:rFonts w:ascii="Calibri" w:hAnsi="Calibri" w:cs="Calibri"/>
                <w:i/>
                <w:iCs/>
                <w:color w:val="000000"/>
                <w:sz w:val="19"/>
                <w:szCs w:val="19"/>
              </w:rPr>
              <w:t xml:space="preserve">            20</w:t>
            </w:r>
            <w:r w:rsidR="0092507B">
              <w:rPr>
                <w:rFonts w:ascii="Calibri" w:hAnsi="Calibri" w:cs="Calibri"/>
                <w:i/>
                <w:iCs/>
                <w:color w:val="000000"/>
                <w:sz w:val="19"/>
                <w:szCs w:val="19"/>
              </w:rPr>
              <w:t>,</w:t>
            </w:r>
            <w:r>
              <w:rPr>
                <w:rFonts w:ascii="Calibri" w:hAnsi="Calibri" w:cs="Calibri"/>
                <w:i/>
                <w:iCs/>
                <w:color w:val="000000"/>
                <w:sz w:val="19"/>
                <w:szCs w:val="19"/>
              </w:rPr>
              <w:t xml:space="preserve">767 </w:t>
            </w:r>
          </w:p>
        </w:tc>
        <w:tc>
          <w:tcPr>
            <w:tcW w:w="722" w:type="pct"/>
            <w:tcBorders>
              <w:top w:val="nil"/>
              <w:left w:val="nil"/>
              <w:bottom w:val="single" w:sz="4" w:space="0" w:color="auto"/>
              <w:right w:val="nil"/>
            </w:tcBorders>
            <w:shd w:val="clear" w:color="auto" w:fill="auto"/>
            <w:vAlign w:val="bottom"/>
          </w:tcPr>
          <w:p w14:paraId="0B424062" w14:textId="219D6647" w:rsidR="00CA4BD2" w:rsidRPr="00A1123E" w:rsidRDefault="00CA4BD2" w:rsidP="00CA4BD2">
            <w:pPr>
              <w:tabs>
                <w:tab w:val="right" w:pos="1202"/>
              </w:tabs>
              <w:spacing w:after="0" w:line="240" w:lineRule="auto"/>
              <w:jc w:val="right"/>
              <w:outlineLvl w:val="0"/>
              <w:rPr>
                <w:rFonts w:eastAsia="Times New Roman" w:cstheme="minorHAnsi"/>
                <w:i/>
                <w:color w:val="000000" w:themeColor="text1"/>
                <w:sz w:val="20"/>
                <w:szCs w:val="20"/>
                <w:lang w:val="en-US"/>
              </w:rPr>
            </w:pPr>
            <w:r w:rsidRPr="00A1123E">
              <w:rPr>
                <w:rFonts w:eastAsia="Times New Roman" w:cstheme="minorHAnsi"/>
                <w:i/>
                <w:color w:val="000000" w:themeColor="text1"/>
                <w:sz w:val="20"/>
                <w:szCs w:val="20"/>
                <w:lang w:val="en-US"/>
              </w:rPr>
              <w:t xml:space="preserve"> 10,793 </w:t>
            </w:r>
          </w:p>
        </w:tc>
        <w:tc>
          <w:tcPr>
            <w:tcW w:w="722" w:type="pct"/>
            <w:tcBorders>
              <w:top w:val="nil"/>
              <w:left w:val="nil"/>
              <w:bottom w:val="single" w:sz="4" w:space="0" w:color="auto"/>
              <w:right w:val="nil"/>
            </w:tcBorders>
            <w:shd w:val="clear" w:color="auto" w:fill="auto"/>
            <w:vAlign w:val="bottom"/>
          </w:tcPr>
          <w:p w14:paraId="07ACB3A4" w14:textId="51D5EF05" w:rsidR="00CA4BD2" w:rsidRPr="00A1123E" w:rsidRDefault="00CA4BD2" w:rsidP="00CA4BD2">
            <w:pPr>
              <w:tabs>
                <w:tab w:val="right" w:pos="1202"/>
              </w:tabs>
              <w:spacing w:after="0" w:line="240" w:lineRule="auto"/>
              <w:jc w:val="right"/>
              <w:outlineLvl w:val="0"/>
              <w:rPr>
                <w:rFonts w:eastAsia="Times New Roman" w:cstheme="minorHAnsi"/>
                <w:i/>
                <w:color w:val="000000" w:themeColor="text1"/>
                <w:sz w:val="20"/>
                <w:szCs w:val="20"/>
                <w:lang w:val="en-US"/>
              </w:rPr>
            </w:pPr>
            <w:r>
              <w:rPr>
                <w:rFonts w:eastAsia="Times New Roman" w:cstheme="minorHAnsi"/>
                <w:i/>
                <w:color w:val="000000" w:themeColor="text1"/>
                <w:sz w:val="20"/>
                <w:szCs w:val="20"/>
              </w:rPr>
              <w:t>18</w:t>
            </w:r>
            <w:r w:rsidR="0092507B">
              <w:rPr>
                <w:rFonts w:eastAsia="Times New Roman" w:cstheme="minorHAnsi"/>
                <w:i/>
                <w:color w:val="000000" w:themeColor="text1"/>
                <w:sz w:val="20"/>
                <w:szCs w:val="20"/>
              </w:rPr>
              <w:t>,</w:t>
            </w:r>
            <w:r>
              <w:rPr>
                <w:rFonts w:eastAsia="Times New Roman" w:cstheme="minorHAnsi"/>
                <w:i/>
                <w:color w:val="000000" w:themeColor="text1"/>
                <w:sz w:val="20"/>
                <w:szCs w:val="20"/>
              </w:rPr>
              <w:t>416</w:t>
            </w:r>
          </w:p>
        </w:tc>
        <w:tc>
          <w:tcPr>
            <w:tcW w:w="722" w:type="pct"/>
            <w:tcBorders>
              <w:top w:val="nil"/>
              <w:left w:val="nil"/>
              <w:bottom w:val="nil"/>
              <w:right w:val="nil"/>
            </w:tcBorders>
            <w:shd w:val="clear" w:color="auto" w:fill="auto"/>
            <w:vAlign w:val="bottom"/>
          </w:tcPr>
          <w:p w14:paraId="07744B5C" w14:textId="7E8460BB" w:rsidR="00CA4BD2" w:rsidRPr="00A1123E" w:rsidRDefault="00CA4BD2" w:rsidP="00CA4BD2">
            <w:pPr>
              <w:tabs>
                <w:tab w:val="right" w:pos="1202"/>
              </w:tabs>
              <w:spacing w:after="0" w:line="240" w:lineRule="auto"/>
              <w:jc w:val="right"/>
              <w:outlineLvl w:val="0"/>
              <w:rPr>
                <w:rFonts w:eastAsia="Times New Roman" w:cstheme="minorHAnsi"/>
                <w:i/>
                <w:color w:val="000000" w:themeColor="text1"/>
                <w:sz w:val="20"/>
                <w:szCs w:val="20"/>
                <w:lang w:val="en-US"/>
              </w:rPr>
            </w:pPr>
            <w:r w:rsidRPr="00A1123E">
              <w:rPr>
                <w:rFonts w:eastAsia="Times New Roman" w:cstheme="minorHAnsi"/>
                <w:i/>
                <w:color w:val="000000" w:themeColor="text1"/>
                <w:sz w:val="20"/>
                <w:szCs w:val="20"/>
                <w:lang w:val="en-US"/>
              </w:rPr>
              <w:t xml:space="preserve"> 10,390 </w:t>
            </w:r>
          </w:p>
        </w:tc>
      </w:tr>
      <w:tr w:rsidR="00CA4BD2" w:rsidRPr="00537128" w14:paraId="115C9553" w14:textId="77777777" w:rsidTr="0070357E">
        <w:trPr>
          <w:trHeight w:val="278"/>
        </w:trPr>
        <w:tc>
          <w:tcPr>
            <w:tcW w:w="2112" w:type="pct"/>
            <w:vAlign w:val="bottom"/>
          </w:tcPr>
          <w:p w14:paraId="0E5147CE" w14:textId="77777777" w:rsidR="00CA4BD2" w:rsidRPr="00537128" w:rsidRDefault="00CA4BD2" w:rsidP="00CA4BD2">
            <w:pPr>
              <w:tabs>
                <w:tab w:val="right" w:pos="1202"/>
              </w:tabs>
              <w:spacing w:after="0" w:line="240" w:lineRule="auto"/>
              <w:outlineLvl w:val="0"/>
              <w:rPr>
                <w:rFonts w:ascii="Calibri" w:eastAsia="Times New Roman" w:hAnsi="Calibri" w:cs="Arial"/>
                <w:b/>
                <w:bCs/>
                <w:color w:val="000000" w:themeColor="text1"/>
                <w:lang w:val="en-US"/>
              </w:rPr>
            </w:pPr>
          </w:p>
        </w:tc>
        <w:tc>
          <w:tcPr>
            <w:tcW w:w="722" w:type="pct"/>
            <w:tcBorders>
              <w:top w:val="single" w:sz="4" w:space="0" w:color="auto"/>
              <w:left w:val="nil"/>
              <w:bottom w:val="single" w:sz="12" w:space="0" w:color="auto"/>
              <w:right w:val="nil"/>
            </w:tcBorders>
            <w:shd w:val="clear" w:color="auto" w:fill="auto"/>
            <w:vAlign w:val="center"/>
          </w:tcPr>
          <w:p w14:paraId="5F3C6A93" w14:textId="7754F968" w:rsidR="00CA4BD2" w:rsidRPr="00537128" w:rsidRDefault="00CA4BD2" w:rsidP="00CA4BD2">
            <w:pPr>
              <w:tabs>
                <w:tab w:val="right" w:pos="1202"/>
              </w:tabs>
              <w:spacing w:after="0" w:line="340" w:lineRule="exact"/>
              <w:jc w:val="right"/>
              <w:outlineLvl w:val="0"/>
              <w:rPr>
                <w:rFonts w:eastAsia="Times New Roman" w:cstheme="minorHAnsi"/>
                <w:b/>
                <w:color w:val="000000" w:themeColor="text1"/>
                <w:sz w:val="19"/>
                <w:szCs w:val="20"/>
                <w:lang w:val="en-US"/>
              </w:rPr>
            </w:pPr>
            <w:r>
              <w:rPr>
                <w:rFonts w:eastAsia="Times New Roman" w:cstheme="minorHAnsi"/>
                <w:b/>
                <w:color w:val="000000" w:themeColor="text1"/>
              </w:rPr>
              <w:t>61</w:t>
            </w:r>
            <w:r w:rsidR="0092507B">
              <w:rPr>
                <w:rFonts w:eastAsia="Times New Roman" w:cstheme="minorHAnsi"/>
                <w:b/>
                <w:color w:val="000000" w:themeColor="text1"/>
              </w:rPr>
              <w:t>,</w:t>
            </w:r>
            <w:r>
              <w:rPr>
                <w:rFonts w:eastAsia="Times New Roman" w:cstheme="minorHAnsi"/>
                <w:b/>
                <w:color w:val="000000" w:themeColor="text1"/>
              </w:rPr>
              <w:t>775</w:t>
            </w:r>
          </w:p>
        </w:tc>
        <w:tc>
          <w:tcPr>
            <w:tcW w:w="722" w:type="pct"/>
            <w:tcBorders>
              <w:top w:val="single" w:sz="4" w:space="0" w:color="auto"/>
              <w:left w:val="nil"/>
              <w:bottom w:val="single" w:sz="12" w:space="0" w:color="auto"/>
              <w:right w:val="nil"/>
            </w:tcBorders>
            <w:shd w:val="clear" w:color="auto" w:fill="auto"/>
            <w:vAlign w:val="center"/>
          </w:tcPr>
          <w:p w14:paraId="2BD160D8" w14:textId="1E3084CA" w:rsidR="00CA4BD2" w:rsidRPr="00537128" w:rsidRDefault="00CA4BD2" w:rsidP="00CA4BD2">
            <w:pPr>
              <w:tabs>
                <w:tab w:val="right" w:pos="1202"/>
              </w:tabs>
              <w:spacing w:after="0" w:line="340" w:lineRule="exact"/>
              <w:jc w:val="right"/>
              <w:outlineLvl w:val="0"/>
              <w:rPr>
                <w:rFonts w:eastAsia="Times New Roman" w:cstheme="minorHAnsi"/>
                <w:b/>
                <w:color w:val="000000" w:themeColor="text1"/>
                <w:sz w:val="19"/>
                <w:szCs w:val="20"/>
                <w:lang w:val="en-US"/>
              </w:rPr>
            </w:pPr>
            <w:r w:rsidRPr="00091E29">
              <w:rPr>
                <w:rFonts w:eastAsia="Times New Roman" w:cstheme="minorHAnsi"/>
                <w:b/>
                <w:color w:val="000000" w:themeColor="text1"/>
              </w:rPr>
              <w:t>47</w:t>
            </w:r>
            <w:r>
              <w:rPr>
                <w:rFonts w:eastAsia="Times New Roman" w:cstheme="minorHAnsi"/>
                <w:b/>
                <w:color w:val="000000" w:themeColor="text1"/>
              </w:rPr>
              <w:t>,</w:t>
            </w:r>
            <w:r w:rsidRPr="00091E29">
              <w:rPr>
                <w:rFonts w:eastAsia="Times New Roman" w:cstheme="minorHAnsi"/>
                <w:b/>
                <w:color w:val="000000" w:themeColor="text1"/>
              </w:rPr>
              <w:t>235</w:t>
            </w:r>
          </w:p>
        </w:tc>
        <w:tc>
          <w:tcPr>
            <w:tcW w:w="722" w:type="pct"/>
            <w:tcBorders>
              <w:top w:val="single" w:sz="4" w:space="0" w:color="auto"/>
              <w:left w:val="nil"/>
              <w:bottom w:val="single" w:sz="12" w:space="0" w:color="auto"/>
              <w:right w:val="nil"/>
            </w:tcBorders>
            <w:shd w:val="clear" w:color="auto" w:fill="auto"/>
          </w:tcPr>
          <w:p w14:paraId="1A7D1756" w14:textId="66C0BCFB" w:rsidR="00CA4BD2" w:rsidRPr="00537128" w:rsidRDefault="00CA4BD2" w:rsidP="00CA4BD2">
            <w:pPr>
              <w:tabs>
                <w:tab w:val="right" w:pos="1202"/>
              </w:tabs>
              <w:spacing w:after="0" w:line="340" w:lineRule="exact"/>
              <w:jc w:val="right"/>
              <w:outlineLvl w:val="0"/>
              <w:rPr>
                <w:rFonts w:eastAsia="Times New Roman" w:cstheme="minorHAnsi"/>
                <w:b/>
                <w:bCs/>
                <w:color w:val="000000" w:themeColor="text1"/>
                <w:sz w:val="19"/>
                <w:szCs w:val="20"/>
                <w:lang w:val="en-US"/>
              </w:rPr>
            </w:pPr>
            <w:r>
              <w:rPr>
                <w:rFonts w:ascii="Calibri" w:eastAsia="Times New Roman" w:hAnsi="Calibri" w:cs="Calibri"/>
                <w:b/>
                <w:color w:val="000000" w:themeColor="text1"/>
              </w:rPr>
              <w:t>57</w:t>
            </w:r>
            <w:r w:rsidR="0092507B">
              <w:rPr>
                <w:rFonts w:ascii="Calibri" w:eastAsia="Times New Roman" w:hAnsi="Calibri" w:cs="Calibri"/>
                <w:b/>
                <w:color w:val="000000" w:themeColor="text1"/>
              </w:rPr>
              <w:t>,</w:t>
            </w:r>
            <w:r>
              <w:rPr>
                <w:rFonts w:ascii="Calibri" w:eastAsia="Times New Roman" w:hAnsi="Calibri" w:cs="Calibri"/>
                <w:b/>
                <w:color w:val="000000" w:themeColor="text1"/>
              </w:rPr>
              <w:t>628</w:t>
            </w:r>
          </w:p>
        </w:tc>
        <w:tc>
          <w:tcPr>
            <w:tcW w:w="722" w:type="pct"/>
            <w:tcBorders>
              <w:top w:val="single" w:sz="4" w:space="0" w:color="auto"/>
              <w:bottom w:val="single" w:sz="12" w:space="0" w:color="auto"/>
            </w:tcBorders>
          </w:tcPr>
          <w:p w14:paraId="4BF5020D" w14:textId="423C2C8F" w:rsidR="00CA4BD2" w:rsidRPr="00537128" w:rsidRDefault="00CA4BD2" w:rsidP="00CA4BD2">
            <w:pPr>
              <w:tabs>
                <w:tab w:val="right" w:pos="1202"/>
              </w:tabs>
              <w:spacing w:after="0" w:line="340" w:lineRule="exact"/>
              <w:jc w:val="right"/>
              <w:outlineLvl w:val="0"/>
              <w:rPr>
                <w:rFonts w:eastAsia="Times New Roman" w:cstheme="minorHAnsi"/>
                <w:b/>
                <w:color w:val="000000" w:themeColor="text1"/>
                <w:sz w:val="19"/>
                <w:szCs w:val="20"/>
                <w:lang w:val="en-US"/>
              </w:rPr>
            </w:pPr>
            <w:r w:rsidRPr="00811AC6">
              <w:rPr>
                <w:b/>
              </w:rPr>
              <w:t xml:space="preserve"> 45</w:t>
            </w:r>
            <w:r>
              <w:rPr>
                <w:b/>
              </w:rPr>
              <w:t>,</w:t>
            </w:r>
            <w:r w:rsidRPr="00811AC6">
              <w:rPr>
                <w:b/>
              </w:rPr>
              <w:t xml:space="preserve">030 </w:t>
            </w:r>
          </w:p>
        </w:tc>
      </w:tr>
    </w:tbl>
    <w:p w14:paraId="44E6843B" w14:textId="77777777" w:rsidR="00C47EEE" w:rsidRPr="00537128" w:rsidRDefault="00C47EEE" w:rsidP="00011933">
      <w:pPr>
        <w:tabs>
          <w:tab w:val="left" w:pos="-720"/>
          <w:tab w:val="left" w:pos="8789"/>
          <w:tab w:val="left" w:pos="8931"/>
        </w:tabs>
        <w:suppressAutoHyphens/>
        <w:spacing w:after="0" w:line="240" w:lineRule="auto"/>
        <w:rPr>
          <w:rFonts w:ascii="Calibri" w:eastAsia="Times New Roman" w:hAnsi="Calibri" w:cs="Arial"/>
          <w:color w:val="000000" w:themeColor="text1"/>
          <w:spacing w:val="-3"/>
          <w:lang w:val="en-US"/>
        </w:rPr>
      </w:pPr>
    </w:p>
    <w:p w14:paraId="047DC484" w14:textId="77777777" w:rsidR="00011933" w:rsidRPr="00537128" w:rsidRDefault="00011933" w:rsidP="00011933">
      <w:pPr>
        <w:spacing w:after="0" w:line="240" w:lineRule="auto"/>
        <w:rPr>
          <w:rFonts w:cs="Arial"/>
          <w:noProof/>
          <w:color w:val="000000" w:themeColor="text1"/>
          <w:lang w:val="en-US"/>
        </w:rPr>
      </w:pPr>
      <w:r w:rsidRPr="00537128">
        <w:rPr>
          <w:rFonts w:cs="Arial"/>
          <w:noProof/>
          <w:color w:val="000000" w:themeColor="text1"/>
          <w:lang w:val="en-US"/>
        </w:rPr>
        <w:t>Other expenses of the Group presented contain changes in technical reserves:</w:t>
      </w:r>
    </w:p>
    <w:p w14:paraId="300810F0" w14:textId="5A6B94B6" w:rsidR="00AB15DE" w:rsidRPr="00537128" w:rsidRDefault="00AB15DE" w:rsidP="00011933">
      <w:pPr>
        <w:spacing w:after="0" w:line="240" w:lineRule="auto"/>
        <w:rPr>
          <w:rFonts w:eastAsia="Times New Roman" w:cs="Arial"/>
          <w:noProof/>
          <w:color w:val="000000" w:themeColor="text1"/>
          <w:lang w:val="en-US"/>
        </w:rPr>
      </w:pPr>
    </w:p>
    <w:tbl>
      <w:tblPr>
        <w:tblW w:w="5000" w:type="pct"/>
        <w:tblLayout w:type="fixed"/>
        <w:tblCellMar>
          <w:left w:w="122" w:type="dxa"/>
          <w:right w:w="122" w:type="dxa"/>
        </w:tblCellMar>
        <w:tblLook w:val="0000" w:firstRow="0" w:lastRow="0" w:firstColumn="0" w:lastColumn="0" w:noHBand="0" w:noVBand="0"/>
      </w:tblPr>
      <w:tblGrid>
        <w:gridCol w:w="3832"/>
        <w:gridCol w:w="1310"/>
        <w:gridCol w:w="1310"/>
        <w:gridCol w:w="1310"/>
        <w:gridCol w:w="1310"/>
      </w:tblGrid>
      <w:tr w:rsidR="00C47EEE" w:rsidRPr="00537128" w14:paraId="6F3CAA27" w14:textId="77777777" w:rsidTr="00C47EEE">
        <w:trPr>
          <w:trHeight w:val="298"/>
        </w:trPr>
        <w:tc>
          <w:tcPr>
            <w:tcW w:w="2112" w:type="pct"/>
            <w:shd w:val="clear" w:color="auto" w:fill="auto"/>
          </w:tcPr>
          <w:p w14:paraId="1EF58788" w14:textId="77777777" w:rsidR="00C47EEE" w:rsidRPr="00537128" w:rsidRDefault="00C47EEE" w:rsidP="009E5940">
            <w:pPr>
              <w:tabs>
                <w:tab w:val="left" w:pos="-720"/>
              </w:tabs>
              <w:suppressAutoHyphens/>
              <w:spacing w:after="0" w:line="240" w:lineRule="auto"/>
              <w:jc w:val="right"/>
              <w:rPr>
                <w:rFonts w:cs="Arial"/>
                <w:noProof/>
                <w:color w:val="000000" w:themeColor="text1"/>
                <w:spacing w:val="-3"/>
                <w:lang w:val="en-US"/>
              </w:rPr>
            </w:pPr>
            <w:r w:rsidRPr="00537128">
              <w:rPr>
                <w:rFonts w:cs="Arial"/>
                <w:noProof/>
                <w:color w:val="000000" w:themeColor="text1"/>
                <w:spacing w:val="-3"/>
                <w:lang w:val="en-US"/>
              </w:rPr>
              <w:t xml:space="preserve">         </w:t>
            </w:r>
          </w:p>
        </w:tc>
        <w:tc>
          <w:tcPr>
            <w:tcW w:w="722" w:type="pct"/>
          </w:tcPr>
          <w:p w14:paraId="4C5D26C6" w14:textId="77777777" w:rsidR="00C47EEE" w:rsidRPr="00537128" w:rsidRDefault="00C47EEE" w:rsidP="009E5940">
            <w:pPr>
              <w:tabs>
                <w:tab w:val="right" w:pos="1202"/>
              </w:tabs>
              <w:spacing w:after="0" w:line="240" w:lineRule="auto"/>
              <w:jc w:val="right"/>
              <w:outlineLvl w:val="0"/>
              <w:rPr>
                <w:rFonts w:eastAsia="Times New Roman" w:cs="Arial"/>
                <w:b/>
                <w:noProof/>
                <w:color w:val="000000" w:themeColor="text1"/>
                <w:lang w:val="en-US"/>
              </w:rPr>
            </w:pPr>
          </w:p>
        </w:tc>
        <w:tc>
          <w:tcPr>
            <w:tcW w:w="722" w:type="pct"/>
            <w:shd w:val="clear" w:color="auto" w:fill="auto"/>
          </w:tcPr>
          <w:p w14:paraId="2CA566E0" w14:textId="77777777" w:rsidR="00C47EEE" w:rsidRPr="00537128" w:rsidRDefault="00C47EEE" w:rsidP="009E5940">
            <w:pPr>
              <w:tabs>
                <w:tab w:val="right" w:pos="1202"/>
              </w:tabs>
              <w:spacing w:after="0" w:line="240" w:lineRule="auto"/>
              <w:jc w:val="right"/>
              <w:outlineLvl w:val="0"/>
              <w:rPr>
                <w:rFonts w:eastAsia="Times New Roman" w:cs="Arial"/>
                <w:b/>
                <w:noProof/>
                <w:color w:val="000000" w:themeColor="text1"/>
                <w:lang w:val="en-US"/>
              </w:rPr>
            </w:pPr>
            <w:bookmarkStart w:id="241" w:name="_Toc4058057"/>
            <w:r w:rsidRPr="00537128">
              <w:rPr>
                <w:rFonts w:eastAsia="Times New Roman" w:cs="Arial"/>
                <w:b/>
                <w:noProof/>
                <w:color w:val="000000" w:themeColor="text1"/>
                <w:lang w:val="en-US"/>
              </w:rPr>
              <w:t>Group</w:t>
            </w:r>
            <w:bookmarkEnd w:id="241"/>
          </w:p>
        </w:tc>
        <w:tc>
          <w:tcPr>
            <w:tcW w:w="722" w:type="pct"/>
            <w:shd w:val="clear" w:color="auto" w:fill="auto"/>
          </w:tcPr>
          <w:p w14:paraId="60687D42" w14:textId="77777777" w:rsidR="00C47EEE" w:rsidRPr="00537128" w:rsidRDefault="00C47EEE" w:rsidP="009E5940">
            <w:pPr>
              <w:tabs>
                <w:tab w:val="right" w:pos="1202"/>
              </w:tabs>
              <w:spacing w:after="0" w:line="240" w:lineRule="auto"/>
              <w:jc w:val="right"/>
              <w:outlineLvl w:val="0"/>
              <w:rPr>
                <w:rFonts w:eastAsia="Times New Roman" w:cs="Arial"/>
                <w:b/>
                <w:noProof/>
                <w:color w:val="000000" w:themeColor="text1"/>
                <w:lang w:val="en-US"/>
              </w:rPr>
            </w:pPr>
          </w:p>
        </w:tc>
        <w:tc>
          <w:tcPr>
            <w:tcW w:w="722" w:type="pct"/>
            <w:shd w:val="clear" w:color="auto" w:fill="auto"/>
          </w:tcPr>
          <w:p w14:paraId="239A3DAC" w14:textId="77777777" w:rsidR="00C47EEE" w:rsidRPr="00537128" w:rsidRDefault="00C47EEE" w:rsidP="009E5940">
            <w:pPr>
              <w:tabs>
                <w:tab w:val="right" w:pos="1202"/>
              </w:tabs>
              <w:spacing w:after="0" w:line="240" w:lineRule="auto"/>
              <w:jc w:val="right"/>
              <w:outlineLvl w:val="0"/>
              <w:rPr>
                <w:rFonts w:eastAsia="Times New Roman" w:cs="Arial"/>
                <w:b/>
                <w:noProof/>
                <w:color w:val="000000" w:themeColor="text1"/>
                <w:lang w:val="en-US"/>
              </w:rPr>
            </w:pPr>
            <w:bookmarkStart w:id="242" w:name="_Toc4058058"/>
            <w:r w:rsidRPr="00537128">
              <w:rPr>
                <w:rFonts w:eastAsia="Times New Roman" w:cs="Arial"/>
                <w:b/>
                <w:noProof/>
                <w:color w:val="000000" w:themeColor="text1"/>
                <w:lang w:val="en-US"/>
              </w:rPr>
              <w:t>Bank</w:t>
            </w:r>
            <w:bookmarkEnd w:id="242"/>
          </w:p>
        </w:tc>
      </w:tr>
      <w:tr w:rsidR="00C47EEE" w:rsidRPr="00537128" w14:paraId="34016FB5" w14:textId="77777777" w:rsidTr="00C47EEE">
        <w:trPr>
          <w:trHeight w:val="209"/>
        </w:trPr>
        <w:tc>
          <w:tcPr>
            <w:tcW w:w="2112" w:type="pct"/>
            <w:shd w:val="clear" w:color="auto" w:fill="auto"/>
          </w:tcPr>
          <w:p w14:paraId="05587CA1" w14:textId="77777777" w:rsidR="00C47EEE" w:rsidRPr="00537128" w:rsidRDefault="00C47EEE" w:rsidP="00C47EEE">
            <w:pPr>
              <w:tabs>
                <w:tab w:val="left" w:pos="-720"/>
              </w:tabs>
              <w:suppressAutoHyphens/>
              <w:spacing w:after="0" w:line="240" w:lineRule="auto"/>
              <w:jc w:val="right"/>
              <w:rPr>
                <w:rFonts w:cs="Arial"/>
                <w:noProof/>
                <w:color w:val="000000" w:themeColor="text1"/>
                <w:spacing w:val="-3"/>
                <w:lang w:val="en-US"/>
              </w:rPr>
            </w:pPr>
          </w:p>
        </w:tc>
        <w:tc>
          <w:tcPr>
            <w:tcW w:w="722" w:type="pct"/>
            <w:vAlign w:val="bottom"/>
          </w:tcPr>
          <w:p w14:paraId="2EB1D3AD" w14:textId="60C71202" w:rsidR="00C47EEE" w:rsidRPr="00537128" w:rsidRDefault="00C47EEE" w:rsidP="00C47EEE">
            <w:pPr>
              <w:tabs>
                <w:tab w:val="right" w:pos="1202"/>
              </w:tabs>
              <w:spacing w:after="0" w:line="240" w:lineRule="auto"/>
              <w:jc w:val="right"/>
              <w:outlineLvl w:val="0"/>
              <w:rPr>
                <w:rFonts w:eastAsia="Times New Roman" w:cs="Arial"/>
                <w:b/>
                <w:noProof/>
                <w:color w:val="000000" w:themeColor="text1"/>
                <w:lang w:val="en-US"/>
              </w:rPr>
            </w:pPr>
            <w:r w:rsidRPr="00537128">
              <w:rPr>
                <w:rFonts w:eastAsia="Times New Roman" w:cstheme="minorHAnsi"/>
                <w:b/>
                <w:bCs/>
                <w:noProof/>
                <w:color w:val="000000" w:themeColor="text1"/>
                <w:lang w:val="en-US"/>
              </w:rPr>
              <w:t>Jan 1 - Mar 31, 202</w:t>
            </w:r>
            <w:r w:rsidR="00957985">
              <w:rPr>
                <w:rFonts w:eastAsia="Times New Roman" w:cstheme="minorHAnsi"/>
                <w:b/>
                <w:bCs/>
                <w:noProof/>
                <w:color w:val="000000" w:themeColor="text1"/>
                <w:lang w:val="en-US"/>
              </w:rPr>
              <w:t>2</w:t>
            </w:r>
          </w:p>
        </w:tc>
        <w:tc>
          <w:tcPr>
            <w:tcW w:w="722" w:type="pct"/>
            <w:vAlign w:val="bottom"/>
          </w:tcPr>
          <w:p w14:paraId="77126D9C" w14:textId="46D3A8F3" w:rsidR="00C47EEE" w:rsidRPr="00537128" w:rsidRDefault="00C47EEE" w:rsidP="00C47EEE">
            <w:pPr>
              <w:tabs>
                <w:tab w:val="right" w:pos="1202"/>
              </w:tabs>
              <w:spacing w:after="0" w:line="240" w:lineRule="auto"/>
              <w:jc w:val="right"/>
              <w:outlineLvl w:val="0"/>
              <w:rPr>
                <w:rFonts w:eastAsia="Times New Roman" w:cs="Arial"/>
                <w:b/>
                <w:noProof/>
                <w:color w:val="000000" w:themeColor="text1"/>
                <w:lang w:val="en-US"/>
              </w:rPr>
            </w:pPr>
            <w:r w:rsidRPr="00537128">
              <w:rPr>
                <w:rFonts w:eastAsia="Times New Roman" w:cstheme="minorHAnsi"/>
                <w:b/>
                <w:bCs/>
                <w:noProof/>
                <w:color w:val="000000" w:themeColor="text1"/>
                <w:lang w:val="en-US"/>
              </w:rPr>
              <w:t>Jan 1 - Mar 31, 202</w:t>
            </w:r>
            <w:r w:rsidR="00957985">
              <w:rPr>
                <w:rFonts w:eastAsia="Times New Roman" w:cstheme="minorHAnsi"/>
                <w:b/>
                <w:bCs/>
                <w:noProof/>
                <w:color w:val="000000" w:themeColor="text1"/>
                <w:lang w:val="en-US"/>
              </w:rPr>
              <w:t>1</w:t>
            </w:r>
          </w:p>
        </w:tc>
        <w:tc>
          <w:tcPr>
            <w:tcW w:w="722" w:type="pct"/>
            <w:vAlign w:val="bottom"/>
          </w:tcPr>
          <w:p w14:paraId="1903EABE" w14:textId="376F3310" w:rsidR="00C47EEE" w:rsidRPr="00537128" w:rsidRDefault="00C47EEE" w:rsidP="00C47EEE">
            <w:pPr>
              <w:tabs>
                <w:tab w:val="right" w:pos="1202"/>
              </w:tabs>
              <w:spacing w:after="0" w:line="240" w:lineRule="auto"/>
              <w:jc w:val="right"/>
              <w:outlineLvl w:val="0"/>
              <w:rPr>
                <w:rFonts w:eastAsia="Times New Roman" w:cs="Arial"/>
                <w:b/>
                <w:noProof/>
                <w:color w:val="000000" w:themeColor="text1"/>
                <w:lang w:val="en-US"/>
              </w:rPr>
            </w:pPr>
            <w:r w:rsidRPr="00537128">
              <w:rPr>
                <w:rFonts w:eastAsia="Times New Roman" w:cstheme="minorHAnsi"/>
                <w:b/>
                <w:bCs/>
                <w:noProof/>
                <w:color w:val="000000" w:themeColor="text1"/>
                <w:lang w:val="en-US"/>
              </w:rPr>
              <w:t>Jan 1 - Mar 31, 202</w:t>
            </w:r>
            <w:r w:rsidR="00957985">
              <w:rPr>
                <w:rFonts w:eastAsia="Times New Roman" w:cstheme="minorHAnsi"/>
                <w:b/>
                <w:bCs/>
                <w:noProof/>
                <w:color w:val="000000" w:themeColor="text1"/>
                <w:lang w:val="en-US"/>
              </w:rPr>
              <w:t>2</w:t>
            </w:r>
          </w:p>
        </w:tc>
        <w:tc>
          <w:tcPr>
            <w:tcW w:w="722" w:type="pct"/>
            <w:vAlign w:val="bottom"/>
          </w:tcPr>
          <w:p w14:paraId="4651323F" w14:textId="11D1C495" w:rsidR="00C47EEE" w:rsidRPr="00537128" w:rsidRDefault="00C47EEE" w:rsidP="00C47EEE">
            <w:pPr>
              <w:tabs>
                <w:tab w:val="right" w:pos="1202"/>
              </w:tabs>
              <w:spacing w:after="0" w:line="240" w:lineRule="auto"/>
              <w:jc w:val="right"/>
              <w:outlineLvl w:val="0"/>
              <w:rPr>
                <w:rFonts w:eastAsia="Times New Roman" w:cs="Arial"/>
                <w:b/>
                <w:noProof/>
                <w:color w:val="000000" w:themeColor="text1"/>
                <w:lang w:val="en-US"/>
              </w:rPr>
            </w:pPr>
            <w:r w:rsidRPr="00537128">
              <w:rPr>
                <w:rFonts w:eastAsia="Times New Roman" w:cstheme="minorHAnsi"/>
                <w:b/>
                <w:bCs/>
                <w:noProof/>
                <w:color w:val="000000" w:themeColor="text1"/>
                <w:lang w:val="en-US"/>
              </w:rPr>
              <w:t>Jan 1 - Mar 31, 202</w:t>
            </w:r>
            <w:r w:rsidR="00957985">
              <w:rPr>
                <w:rFonts w:eastAsia="Times New Roman" w:cstheme="minorHAnsi"/>
                <w:b/>
                <w:bCs/>
                <w:noProof/>
                <w:color w:val="000000" w:themeColor="text1"/>
                <w:lang w:val="en-US"/>
              </w:rPr>
              <w:t>1</w:t>
            </w:r>
          </w:p>
        </w:tc>
      </w:tr>
      <w:tr w:rsidR="00C47EEE" w:rsidRPr="00537128" w14:paraId="15024410" w14:textId="77777777" w:rsidTr="00C47EEE">
        <w:tblPrEx>
          <w:tblCellMar>
            <w:left w:w="108" w:type="dxa"/>
            <w:right w:w="108" w:type="dxa"/>
          </w:tblCellMar>
        </w:tblPrEx>
        <w:trPr>
          <w:trHeight w:val="186"/>
        </w:trPr>
        <w:tc>
          <w:tcPr>
            <w:tcW w:w="2112" w:type="pct"/>
            <w:shd w:val="clear" w:color="auto" w:fill="auto"/>
          </w:tcPr>
          <w:p w14:paraId="36273DE8" w14:textId="77777777" w:rsidR="00C47EEE" w:rsidRPr="00537128" w:rsidRDefault="00C47EEE" w:rsidP="00C47EEE">
            <w:pPr>
              <w:tabs>
                <w:tab w:val="left" w:pos="-720"/>
              </w:tabs>
              <w:suppressAutoHyphens/>
              <w:spacing w:after="0" w:line="240" w:lineRule="auto"/>
              <w:ind w:right="4144"/>
              <w:jc w:val="right"/>
              <w:rPr>
                <w:rFonts w:cs="Arial"/>
                <w:noProof/>
                <w:color w:val="000000" w:themeColor="text1"/>
                <w:lang w:val="en-US"/>
              </w:rPr>
            </w:pPr>
          </w:p>
        </w:tc>
        <w:tc>
          <w:tcPr>
            <w:tcW w:w="722" w:type="pct"/>
          </w:tcPr>
          <w:p w14:paraId="1A7ECE3E" w14:textId="77777777" w:rsidR="00C47EEE" w:rsidRPr="00537128" w:rsidRDefault="00C47EEE" w:rsidP="00C47EEE">
            <w:pPr>
              <w:spacing w:after="0" w:line="240" w:lineRule="auto"/>
              <w:jc w:val="right"/>
              <w:rPr>
                <w:rFonts w:cs="Arial"/>
                <w:b/>
                <w:noProof/>
                <w:color w:val="000000" w:themeColor="text1"/>
                <w:lang w:val="en-US"/>
              </w:rPr>
            </w:pPr>
            <w:r w:rsidRPr="00537128">
              <w:rPr>
                <w:rFonts w:cs="Arial"/>
                <w:b/>
                <w:noProof/>
                <w:color w:val="000000" w:themeColor="text1"/>
                <w:lang w:val="en-US"/>
              </w:rPr>
              <w:t>HRK ‘000</w:t>
            </w:r>
          </w:p>
        </w:tc>
        <w:tc>
          <w:tcPr>
            <w:tcW w:w="722" w:type="pct"/>
          </w:tcPr>
          <w:p w14:paraId="0DBAD5A7" w14:textId="36313FD5" w:rsidR="00C47EEE" w:rsidRPr="00537128" w:rsidRDefault="00C47EEE" w:rsidP="00C47EEE">
            <w:pPr>
              <w:spacing w:after="0" w:line="240" w:lineRule="auto"/>
              <w:jc w:val="right"/>
              <w:rPr>
                <w:rFonts w:cs="Arial"/>
                <w:b/>
                <w:noProof/>
                <w:color w:val="000000" w:themeColor="text1"/>
                <w:lang w:val="en-US"/>
              </w:rPr>
            </w:pPr>
            <w:r w:rsidRPr="00537128">
              <w:rPr>
                <w:rFonts w:cs="Arial"/>
                <w:b/>
                <w:noProof/>
                <w:color w:val="000000" w:themeColor="text1"/>
                <w:lang w:val="en-US"/>
              </w:rPr>
              <w:t>HRK ‘000</w:t>
            </w:r>
          </w:p>
        </w:tc>
        <w:tc>
          <w:tcPr>
            <w:tcW w:w="722" w:type="pct"/>
          </w:tcPr>
          <w:p w14:paraId="53A312D3" w14:textId="04CD8BAC" w:rsidR="00C47EEE" w:rsidRPr="00537128" w:rsidRDefault="00C47EEE" w:rsidP="00C47EEE">
            <w:pPr>
              <w:spacing w:after="0" w:line="240" w:lineRule="auto"/>
              <w:jc w:val="right"/>
              <w:rPr>
                <w:rFonts w:cs="Arial"/>
                <w:b/>
                <w:noProof/>
                <w:color w:val="000000" w:themeColor="text1"/>
                <w:lang w:val="en-US"/>
              </w:rPr>
            </w:pPr>
            <w:r w:rsidRPr="00537128">
              <w:rPr>
                <w:rFonts w:cs="Arial"/>
                <w:b/>
                <w:noProof/>
                <w:color w:val="000000" w:themeColor="text1"/>
                <w:lang w:val="en-US"/>
              </w:rPr>
              <w:t>HRK ‘000</w:t>
            </w:r>
          </w:p>
        </w:tc>
        <w:tc>
          <w:tcPr>
            <w:tcW w:w="722" w:type="pct"/>
          </w:tcPr>
          <w:p w14:paraId="32161A78" w14:textId="679BAD1E" w:rsidR="00C47EEE" w:rsidRPr="00537128" w:rsidRDefault="00C47EEE" w:rsidP="00C47EEE">
            <w:pPr>
              <w:spacing w:after="0" w:line="240" w:lineRule="auto"/>
              <w:jc w:val="right"/>
              <w:rPr>
                <w:rFonts w:cs="Arial"/>
                <w:b/>
                <w:noProof/>
                <w:color w:val="000000" w:themeColor="text1"/>
                <w:lang w:val="en-US"/>
              </w:rPr>
            </w:pPr>
            <w:r w:rsidRPr="00537128">
              <w:rPr>
                <w:rFonts w:cs="Arial"/>
                <w:b/>
                <w:noProof/>
                <w:color w:val="000000" w:themeColor="text1"/>
                <w:lang w:val="en-US"/>
              </w:rPr>
              <w:t>HRK ‘000</w:t>
            </w:r>
          </w:p>
        </w:tc>
      </w:tr>
      <w:tr w:rsidR="0092507B" w:rsidRPr="00537128" w14:paraId="011B6B24" w14:textId="77777777" w:rsidTr="00C47EEE">
        <w:trPr>
          <w:trHeight w:val="390"/>
        </w:trPr>
        <w:tc>
          <w:tcPr>
            <w:tcW w:w="2112" w:type="pct"/>
            <w:shd w:val="clear" w:color="auto" w:fill="auto"/>
            <w:vAlign w:val="bottom"/>
          </w:tcPr>
          <w:p w14:paraId="12F9E4D2" w14:textId="77777777" w:rsidR="0092507B" w:rsidRPr="00537128" w:rsidRDefault="0092507B" w:rsidP="0092507B">
            <w:pPr>
              <w:spacing w:after="0" w:line="240" w:lineRule="auto"/>
              <w:rPr>
                <w:rFonts w:cs="Arial"/>
                <w:noProof/>
                <w:color w:val="000000" w:themeColor="text1"/>
                <w:lang w:val="en-US"/>
              </w:rPr>
            </w:pPr>
            <w:r w:rsidRPr="00537128">
              <w:rPr>
                <w:rFonts w:cs="Arial"/>
                <w:noProof/>
                <w:color w:val="000000" w:themeColor="text1"/>
                <w:lang w:val="en-US"/>
              </w:rPr>
              <w:t xml:space="preserve">Change in the claims provision </w:t>
            </w:r>
          </w:p>
        </w:tc>
        <w:tc>
          <w:tcPr>
            <w:tcW w:w="722" w:type="pct"/>
            <w:tcBorders>
              <w:top w:val="nil"/>
              <w:left w:val="nil"/>
              <w:bottom w:val="nil"/>
              <w:right w:val="nil"/>
            </w:tcBorders>
            <w:shd w:val="clear" w:color="auto" w:fill="auto"/>
            <w:vAlign w:val="bottom"/>
          </w:tcPr>
          <w:p w14:paraId="17CBF8F3" w14:textId="3B53F37E" w:rsidR="0092507B" w:rsidRPr="00537128" w:rsidRDefault="0092507B" w:rsidP="0092507B">
            <w:pPr>
              <w:tabs>
                <w:tab w:val="right" w:pos="1202"/>
              </w:tabs>
              <w:spacing w:after="0" w:line="240" w:lineRule="auto"/>
              <w:ind w:left="65"/>
              <w:jc w:val="right"/>
              <w:outlineLvl w:val="0"/>
              <w:rPr>
                <w:rFonts w:eastAsia="Times New Roman" w:cs="Times New Roman"/>
                <w:noProof/>
                <w:color w:val="000000" w:themeColor="text1"/>
                <w:lang w:val="en-US"/>
              </w:rPr>
            </w:pPr>
            <w:r>
              <w:rPr>
                <w:rFonts w:eastAsia="Times New Roman" w:cstheme="minorHAnsi"/>
                <w:color w:val="000000" w:themeColor="text1"/>
              </w:rPr>
              <w:t>2,171</w:t>
            </w:r>
          </w:p>
        </w:tc>
        <w:tc>
          <w:tcPr>
            <w:tcW w:w="722" w:type="pct"/>
            <w:tcBorders>
              <w:top w:val="nil"/>
              <w:left w:val="nil"/>
              <w:bottom w:val="nil"/>
              <w:right w:val="nil"/>
            </w:tcBorders>
            <w:shd w:val="clear" w:color="auto" w:fill="auto"/>
            <w:vAlign w:val="bottom"/>
          </w:tcPr>
          <w:p w14:paraId="071A3FA6" w14:textId="73E85FC0" w:rsidR="0092507B" w:rsidRPr="00537128" w:rsidRDefault="0092507B" w:rsidP="0092507B">
            <w:pPr>
              <w:tabs>
                <w:tab w:val="right" w:pos="1202"/>
              </w:tabs>
              <w:spacing w:after="0" w:line="240" w:lineRule="auto"/>
              <w:ind w:left="65"/>
              <w:jc w:val="right"/>
              <w:outlineLvl w:val="0"/>
              <w:rPr>
                <w:rFonts w:eastAsia="Times New Roman" w:cs="Times New Roman"/>
                <w:noProof/>
                <w:color w:val="000000" w:themeColor="text1"/>
                <w:lang w:val="en-US"/>
              </w:rPr>
            </w:pPr>
            <w:r w:rsidRPr="00514218">
              <w:t xml:space="preserve"> 122 </w:t>
            </w:r>
          </w:p>
        </w:tc>
        <w:tc>
          <w:tcPr>
            <w:tcW w:w="722" w:type="pct"/>
            <w:tcBorders>
              <w:top w:val="nil"/>
              <w:left w:val="nil"/>
              <w:bottom w:val="nil"/>
              <w:right w:val="nil"/>
            </w:tcBorders>
            <w:shd w:val="clear" w:color="auto" w:fill="auto"/>
            <w:vAlign w:val="bottom"/>
          </w:tcPr>
          <w:p w14:paraId="15086DB8" w14:textId="00C10BA7" w:rsidR="0092507B" w:rsidRPr="00537128" w:rsidRDefault="0092507B" w:rsidP="0092507B">
            <w:pPr>
              <w:tabs>
                <w:tab w:val="right" w:pos="1202"/>
              </w:tabs>
              <w:spacing w:after="0" w:line="240" w:lineRule="auto"/>
              <w:ind w:left="65"/>
              <w:jc w:val="right"/>
              <w:outlineLvl w:val="0"/>
              <w:rPr>
                <w:rFonts w:eastAsia="Times New Roman" w:cs="Times New Roman"/>
                <w:noProof/>
                <w:color w:val="000000" w:themeColor="text1"/>
                <w:lang w:val="en-US"/>
              </w:rPr>
            </w:pPr>
            <w:r w:rsidRPr="00537128">
              <w:rPr>
                <w:rFonts w:eastAsia="Times New Roman" w:cs="Times New Roman"/>
                <w:noProof/>
                <w:color w:val="000000" w:themeColor="text1"/>
                <w:lang w:val="en-US"/>
              </w:rPr>
              <w:t>-</w:t>
            </w:r>
          </w:p>
        </w:tc>
        <w:tc>
          <w:tcPr>
            <w:tcW w:w="722" w:type="pct"/>
            <w:tcBorders>
              <w:top w:val="nil"/>
              <w:left w:val="nil"/>
              <w:bottom w:val="nil"/>
              <w:right w:val="nil"/>
            </w:tcBorders>
            <w:shd w:val="clear" w:color="auto" w:fill="auto"/>
            <w:vAlign w:val="bottom"/>
          </w:tcPr>
          <w:p w14:paraId="7F65D7F9" w14:textId="01FBD026" w:rsidR="0092507B" w:rsidRPr="00537128" w:rsidRDefault="0092507B" w:rsidP="0092507B">
            <w:pPr>
              <w:tabs>
                <w:tab w:val="right" w:pos="1202"/>
              </w:tabs>
              <w:spacing w:after="0" w:line="240" w:lineRule="auto"/>
              <w:jc w:val="right"/>
              <w:outlineLvl w:val="0"/>
              <w:rPr>
                <w:rFonts w:eastAsia="Times New Roman" w:cs="Arial"/>
                <w:noProof/>
                <w:color w:val="000000" w:themeColor="text1"/>
                <w:lang w:val="en-US"/>
              </w:rPr>
            </w:pPr>
            <w:r w:rsidRPr="00537128">
              <w:rPr>
                <w:rFonts w:eastAsia="Times New Roman" w:cs="Times New Roman"/>
                <w:noProof/>
                <w:color w:val="000000" w:themeColor="text1"/>
                <w:lang w:val="en-US"/>
              </w:rPr>
              <w:t>-</w:t>
            </w:r>
          </w:p>
        </w:tc>
      </w:tr>
      <w:tr w:rsidR="0092507B" w:rsidRPr="00537128" w14:paraId="067641DD" w14:textId="77777777" w:rsidTr="00C47EEE">
        <w:trPr>
          <w:trHeight w:val="481"/>
        </w:trPr>
        <w:tc>
          <w:tcPr>
            <w:tcW w:w="2112" w:type="pct"/>
            <w:shd w:val="clear" w:color="auto" w:fill="auto"/>
            <w:vAlign w:val="bottom"/>
          </w:tcPr>
          <w:p w14:paraId="13E9E4FA" w14:textId="77777777" w:rsidR="0092507B" w:rsidRPr="00537128" w:rsidRDefault="0092507B" w:rsidP="0092507B">
            <w:pPr>
              <w:spacing w:after="0" w:line="240" w:lineRule="auto"/>
              <w:rPr>
                <w:rFonts w:cs="Arial"/>
                <w:noProof/>
                <w:color w:val="000000" w:themeColor="text1"/>
                <w:lang w:val="en-US"/>
              </w:rPr>
            </w:pPr>
            <w:r w:rsidRPr="00537128">
              <w:rPr>
                <w:rFonts w:cs="Arial"/>
                <w:noProof/>
                <w:color w:val="000000" w:themeColor="text1"/>
                <w:lang w:val="en-US"/>
              </w:rPr>
              <w:t>Change in the claims provision, reinsurer’s share</w:t>
            </w:r>
          </w:p>
        </w:tc>
        <w:tc>
          <w:tcPr>
            <w:tcW w:w="722" w:type="pct"/>
            <w:tcBorders>
              <w:top w:val="nil"/>
              <w:left w:val="nil"/>
              <w:bottom w:val="single" w:sz="4" w:space="0" w:color="auto"/>
              <w:right w:val="nil"/>
            </w:tcBorders>
            <w:shd w:val="clear" w:color="auto" w:fill="auto"/>
            <w:vAlign w:val="bottom"/>
          </w:tcPr>
          <w:p w14:paraId="0F01F456" w14:textId="0BBCAE1A" w:rsidR="0092507B" w:rsidRPr="00537128" w:rsidRDefault="0092507B" w:rsidP="0092507B">
            <w:pPr>
              <w:tabs>
                <w:tab w:val="right" w:pos="1202"/>
              </w:tabs>
              <w:spacing w:after="0" w:line="240" w:lineRule="auto"/>
              <w:jc w:val="right"/>
              <w:outlineLvl w:val="0"/>
              <w:rPr>
                <w:rFonts w:eastAsia="Times New Roman" w:cs="Times New Roman"/>
                <w:noProof/>
                <w:color w:val="000000" w:themeColor="text1"/>
                <w:lang w:val="en-US"/>
              </w:rPr>
            </w:pPr>
            <w:r>
              <w:rPr>
                <w:rFonts w:eastAsia="Times New Roman" w:cstheme="minorHAnsi"/>
                <w:color w:val="000000" w:themeColor="text1"/>
              </w:rPr>
              <w:t>(295)</w:t>
            </w:r>
          </w:p>
        </w:tc>
        <w:tc>
          <w:tcPr>
            <w:tcW w:w="722" w:type="pct"/>
            <w:tcBorders>
              <w:top w:val="nil"/>
              <w:left w:val="nil"/>
              <w:bottom w:val="single" w:sz="4" w:space="0" w:color="auto"/>
              <w:right w:val="nil"/>
            </w:tcBorders>
            <w:shd w:val="clear" w:color="auto" w:fill="auto"/>
            <w:vAlign w:val="bottom"/>
          </w:tcPr>
          <w:p w14:paraId="590737FB" w14:textId="1CBE8F90" w:rsidR="0092507B" w:rsidRPr="00537128" w:rsidRDefault="0092507B" w:rsidP="0092507B">
            <w:pPr>
              <w:tabs>
                <w:tab w:val="right" w:pos="1202"/>
              </w:tabs>
              <w:spacing w:after="0" w:line="240" w:lineRule="auto"/>
              <w:jc w:val="right"/>
              <w:outlineLvl w:val="0"/>
              <w:rPr>
                <w:rFonts w:eastAsia="Times New Roman" w:cs="Times New Roman"/>
                <w:noProof/>
                <w:color w:val="000000" w:themeColor="text1"/>
                <w:lang w:val="en-US"/>
              </w:rPr>
            </w:pPr>
            <w:r w:rsidRPr="00514218">
              <w:t xml:space="preserve"> (2</w:t>
            </w:r>
            <w:r>
              <w:t>0</w:t>
            </w:r>
            <w:r w:rsidRPr="00514218">
              <w:t>)</w:t>
            </w:r>
          </w:p>
        </w:tc>
        <w:tc>
          <w:tcPr>
            <w:tcW w:w="722" w:type="pct"/>
            <w:tcBorders>
              <w:top w:val="nil"/>
              <w:left w:val="nil"/>
              <w:bottom w:val="single" w:sz="4" w:space="0" w:color="auto"/>
              <w:right w:val="nil"/>
            </w:tcBorders>
            <w:shd w:val="clear" w:color="auto" w:fill="auto"/>
            <w:vAlign w:val="bottom"/>
          </w:tcPr>
          <w:p w14:paraId="04FB8B3D" w14:textId="08E8B121" w:rsidR="0092507B" w:rsidRPr="00537128" w:rsidRDefault="0092507B" w:rsidP="0092507B">
            <w:pPr>
              <w:tabs>
                <w:tab w:val="right" w:pos="1202"/>
              </w:tabs>
              <w:spacing w:after="0" w:line="240" w:lineRule="auto"/>
              <w:jc w:val="right"/>
              <w:outlineLvl w:val="0"/>
              <w:rPr>
                <w:rFonts w:eastAsia="Times New Roman" w:cs="Times New Roman"/>
                <w:noProof/>
                <w:color w:val="000000" w:themeColor="text1"/>
                <w:lang w:val="en-US"/>
              </w:rPr>
            </w:pPr>
            <w:r w:rsidRPr="00537128">
              <w:rPr>
                <w:rFonts w:eastAsia="Times New Roman" w:cs="Times New Roman"/>
                <w:noProof/>
                <w:color w:val="000000" w:themeColor="text1"/>
                <w:lang w:val="en-US"/>
              </w:rPr>
              <w:t>-</w:t>
            </w:r>
          </w:p>
        </w:tc>
        <w:tc>
          <w:tcPr>
            <w:tcW w:w="722" w:type="pct"/>
            <w:tcBorders>
              <w:top w:val="nil"/>
              <w:left w:val="nil"/>
              <w:bottom w:val="single" w:sz="4" w:space="0" w:color="auto"/>
              <w:right w:val="nil"/>
            </w:tcBorders>
            <w:shd w:val="clear" w:color="auto" w:fill="auto"/>
            <w:vAlign w:val="bottom"/>
          </w:tcPr>
          <w:p w14:paraId="4119664C" w14:textId="4DBAE2BF" w:rsidR="0092507B" w:rsidRPr="00537128" w:rsidRDefault="0092507B" w:rsidP="0092507B">
            <w:pPr>
              <w:tabs>
                <w:tab w:val="right" w:pos="1202"/>
              </w:tabs>
              <w:spacing w:after="0" w:line="240" w:lineRule="auto"/>
              <w:jc w:val="right"/>
              <w:outlineLvl w:val="0"/>
              <w:rPr>
                <w:rFonts w:eastAsia="Times New Roman" w:cs="Arial"/>
                <w:noProof/>
                <w:color w:val="000000" w:themeColor="text1"/>
                <w:lang w:val="en-US"/>
              </w:rPr>
            </w:pPr>
            <w:r w:rsidRPr="00537128">
              <w:rPr>
                <w:rFonts w:eastAsia="Times New Roman" w:cs="Times New Roman"/>
                <w:noProof/>
                <w:color w:val="000000" w:themeColor="text1"/>
                <w:lang w:val="en-US"/>
              </w:rPr>
              <w:t>-</w:t>
            </w:r>
          </w:p>
        </w:tc>
      </w:tr>
      <w:tr w:rsidR="0092507B" w:rsidRPr="00537128" w14:paraId="757DBF23" w14:textId="77777777" w:rsidTr="001B4458">
        <w:trPr>
          <w:trHeight w:val="123"/>
        </w:trPr>
        <w:tc>
          <w:tcPr>
            <w:tcW w:w="2112" w:type="pct"/>
            <w:shd w:val="clear" w:color="auto" w:fill="auto"/>
            <w:vAlign w:val="bottom"/>
          </w:tcPr>
          <w:p w14:paraId="01C95D02" w14:textId="77777777" w:rsidR="0092507B" w:rsidRPr="00537128" w:rsidRDefault="0092507B" w:rsidP="0092507B">
            <w:pPr>
              <w:tabs>
                <w:tab w:val="right" w:pos="1202"/>
              </w:tabs>
              <w:spacing w:after="0" w:line="240" w:lineRule="auto"/>
              <w:outlineLvl w:val="0"/>
              <w:rPr>
                <w:rFonts w:eastAsia="Times New Roman" w:cs="Arial"/>
                <w:b/>
                <w:bCs/>
                <w:noProof/>
                <w:color w:val="000000" w:themeColor="text1"/>
                <w:lang w:val="en-US"/>
              </w:rPr>
            </w:pPr>
            <w:bookmarkStart w:id="243" w:name="_Toc4058071"/>
            <w:r w:rsidRPr="00537128">
              <w:rPr>
                <w:rFonts w:eastAsia="Times New Roman" w:cs="Arial"/>
                <w:b/>
                <w:noProof/>
                <w:color w:val="000000" w:themeColor="text1"/>
                <w:lang w:val="en-US"/>
              </w:rPr>
              <w:t>Expenses of insurance operations</w:t>
            </w:r>
            <w:bookmarkEnd w:id="243"/>
          </w:p>
        </w:tc>
        <w:tc>
          <w:tcPr>
            <w:tcW w:w="722" w:type="pct"/>
            <w:tcBorders>
              <w:top w:val="single" w:sz="4" w:space="0" w:color="auto"/>
              <w:left w:val="nil"/>
              <w:bottom w:val="single" w:sz="12" w:space="0" w:color="auto"/>
              <w:right w:val="nil"/>
            </w:tcBorders>
            <w:shd w:val="clear" w:color="auto" w:fill="auto"/>
          </w:tcPr>
          <w:p w14:paraId="2501BF2A" w14:textId="05E987CA" w:rsidR="0092507B" w:rsidRPr="00537128" w:rsidRDefault="0092507B" w:rsidP="0092507B">
            <w:pPr>
              <w:tabs>
                <w:tab w:val="right" w:pos="1202"/>
              </w:tabs>
              <w:spacing w:after="0" w:line="340" w:lineRule="exact"/>
              <w:jc w:val="right"/>
              <w:outlineLvl w:val="0"/>
              <w:rPr>
                <w:rFonts w:ascii="Calibri" w:eastAsia="Times New Roman" w:hAnsi="Calibri" w:cs="Calibri"/>
                <w:b/>
                <w:bCs/>
                <w:color w:val="000000" w:themeColor="text1"/>
                <w:lang w:val="en-US"/>
              </w:rPr>
            </w:pPr>
            <w:r>
              <w:rPr>
                <w:rFonts w:eastAsia="Times New Roman" w:cs="Arial"/>
                <w:b/>
                <w:bCs/>
                <w:color w:val="000000" w:themeColor="text1"/>
              </w:rPr>
              <w:t>1,876</w:t>
            </w:r>
          </w:p>
        </w:tc>
        <w:tc>
          <w:tcPr>
            <w:tcW w:w="722" w:type="pct"/>
            <w:tcBorders>
              <w:top w:val="single" w:sz="4" w:space="0" w:color="auto"/>
              <w:left w:val="nil"/>
              <w:bottom w:val="single" w:sz="12" w:space="0" w:color="auto"/>
              <w:right w:val="nil"/>
            </w:tcBorders>
            <w:shd w:val="clear" w:color="auto" w:fill="auto"/>
          </w:tcPr>
          <w:p w14:paraId="4F0F72E5" w14:textId="02092A26" w:rsidR="0092507B" w:rsidRPr="00537128" w:rsidRDefault="0092507B" w:rsidP="0092507B">
            <w:pPr>
              <w:tabs>
                <w:tab w:val="right" w:pos="1202"/>
              </w:tabs>
              <w:spacing w:after="0" w:line="340" w:lineRule="exact"/>
              <w:jc w:val="right"/>
              <w:outlineLvl w:val="0"/>
              <w:rPr>
                <w:rFonts w:ascii="Calibri" w:eastAsia="Times New Roman" w:hAnsi="Calibri" w:cs="Calibri"/>
                <w:b/>
                <w:bCs/>
                <w:color w:val="000000" w:themeColor="text1"/>
                <w:lang w:val="en-US"/>
              </w:rPr>
            </w:pPr>
            <w:r w:rsidRPr="00811AC6">
              <w:rPr>
                <w:b/>
                <w:bCs/>
              </w:rPr>
              <w:t xml:space="preserve"> 10</w:t>
            </w:r>
            <w:r>
              <w:rPr>
                <w:b/>
                <w:bCs/>
              </w:rPr>
              <w:t>2</w:t>
            </w:r>
            <w:r w:rsidRPr="00811AC6">
              <w:rPr>
                <w:b/>
                <w:bCs/>
              </w:rPr>
              <w:t xml:space="preserve"> </w:t>
            </w:r>
          </w:p>
        </w:tc>
        <w:tc>
          <w:tcPr>
            <w:tcW w:w="722" w:type="pct"/>
            <w:tcBorders>
              <w:top w:val="single" w:sz="4" w:space="0" w:color="auto"/>
              <w:bottom w:val="single" w:sz="12" w:space="0" w:color="auto"/>
            </w:tcBorders>
            <w:vAlign w:val="bottom"/>
          </w:tcPr>
          <w:p w14:paraId="1EB7945C" w14:textId="61DFFFF3" w:rsidR="0092507B" w:rsidRPr="00537128" w:rsidRDefault="0092507B" w:rsidP="0092507B">
            <w:pPr>
              <w:tabs>
                <w:tab w:val="right" w:pos="1202"/>
              </w:tabs>
              <w:spacing w:after="0" w:line="340" w:lineRule="exact"/>
              <w:jc w:val="right"/>
              <w:outlineLvl w:val="0"/>
              <w:rPr>
                <w:rFonts w:ascii="Calibri" w:eastAsia="Times New Roman" w:hAnsi="Calibri" w:cs="Calibri"/>
                <w:b/>
                <w:bCs/>
                <w:color w:val="000000" w:themeColor="text1"/>
                <w:lang w:val="en-US"/>
              </w:rPr>
            </w:pPr>
            <w:r w:rsidRPr="00537128">
              <w:rPr>
                <w:rFonts w:ascii="Calibri" w:eastAsia="Times New Roman" w:hAnsi="Calibri" w:cs="Calibri"/>
                <w:b/>
                <w:bCs/>
                <w:color w:val="000000" w:themeColor="text1"/>
                <w:lang w:val="en-US"/>
              </w:rPr>
              <w:t>-</w:t>
            </w:r>
          </w:p>
        </w:tc>
        <w:tc>
          <w:tcPr>
            <w:tcW w:w="722" w:type="pct"/>
            <w:tcBorders>
              <w:top w:val="single" w:sz="4" w:space="0" w:color="auto"/>
              <w:bottom w:val="single" w:sz="12" w:space="0" w:color="auto"/>
            </w:tcBorders>
            <w:vAlign w:val="bottom"/>
          </w:tcPr>
          <w:p w14:paraId="03C346BF" w14:textId="0EB63FFA" w:rsidR="0092507B" w:rsidRPr="00537128" w:rsidRDefault="0092507B" w:rsidP="0092507B">
            <w:pPr>
              <w:tabs>
                <w:tab w:val="right" w:pos="1202"/>
              </w:tabs>
              <w:spacing w:after="0" w:line="340" w:lineRule="exact"/>
              <w:jc w:val="right"/>
              <w:outlineLvl w:val="0"/>
              <w:rPr>
                <w:rFonts w:ascii="Calibri" w:eastAsia="Times New Roman" w:hAnsi="Calibri" w:cs="Calibri"/>
                <w:b/>
                <w:bCs/>
                <w:color w:val="000000" w:themeColor="text1"/>
                <w:lang w:val="en-US"/>
              </w:rPr>
            </w:pPr>
            <w:r w:rsidRPr="00537128">
              <w:rPr>
                <w:rFonts w:ascii="Calibri" w:eastAsia="Times New Roman" w:hAnsi="Calibri" w:cs="Calibri"/>
                <w:b/>
                <w:bCs/>
                <w:color w:val="000000" w:themeColor="text1"/>
                <w:lang w:val="en-US"/>
              </w:rPr>
              <w:t>-</w:t>
            </w:r>
          </w:p>
        </w:tc>
      </w:tr>
    </w:tbl>
    <w:p w14:paraId="6C34FCAE" w14:textId="77777777" w:rsidR="00C47EEE" w:rsidRPr="00537128" w:rsidRDefault="00C47EEE" w:rsidP="00011933">
      <w:pPr>
        <w:spacing w:after="0" w:line="240" w:lineRule="auto"/>
        <w:rPr>
          <w:rFonts w:eastAsia="Times New Roman" w:cs="Arial"/>
          <w:noProof/>
          <w:color w:val="000000" w:themeColor="text1"/>
          <w:lang w:val="en-US"/>
        </w:rPr>
      </w:pPr>
    </w:p>
    <w:p w14:paraId="407E890D" w14:textId="3C155385" w:rsidR="00011933" w:rsidRPr="00537128" w:rsidRDefault="00011933" w:rsidP="00623585">
      <w:pPr>
        <w:jc w:val="both"/>
        <w:rPr>
          <w:rFonts w:eastAsia="Times New Roman" w:cs="Arial"/>
          <w:noProof/>
          <w:color w:val="000000" w:themeColor="text1"/>
          <w:lang w:val="en-US"/>
        </w:rPr>
      </w:pPr>
      <w:r w:rsidRPr="00A1123E">
        <w:rPr>
          <w:rFonts w:eastAsia="Times New Roman" w:cs="Arial"/>
          <w:noProof/>
          <w:color w:val="000000" w:themeColor="text1"/>
          <w:lang w:val="en-US"/>
        </w:rPr>
        <w:t>Loss provisions as at 3</w:t>
      </w:r>
      <w:r w:rsidR="00143885" w:rsidRPr="00A1123E">
        <w:rPr>
          <w:rFonts w:eastAsia="Times New Roman" w:cs="Arial"/>
          <w:noProof/>
          <w:color w:val="000000" w:themeColor="text1"/>
          <w:lang w:val="en-US"/>
        </w:rPr>
        <w:t>1 March</w:t>
      </w:r>
      <w:r w:rsidR="005E0B68" w:rsidRPr="00A1123E">
        <w:rPr>
          <w:rFonts w:eastAsia="Times New Roman" w:cs="Arial"/>
          <w:noProof/>
          <w:color w:val="000000" w:themeColor="text1"/>
          <w:lang w:val="en-US"/>
        </w:rPr>
        <w:t xml:space="preserve"> </w:t>
      </w:r>
      <w:r w:rsidRPr="00A1123E">
        <w:rPr>
          <w:rFonts w:eastAsia="Times New Roman" w:cs="Arial"/>
          <w:noProof/>
          <w:color w:val="000000" w:themeColor="text1"/>
          <w:lang w:val="en-US"/>
        </w:rPr>
        <w:t>202</w:t>
      </w:r>
      <w:r w:rsidR="00957985">
        <w:rPr>
          <w:rFonts w:eastAsia="Times New Roman" w:cs="Arial"/>
          <w:noProof/>
          <w:color w:val="000000" w:themeColor="text1"/>
          <w:lang w:val="en-US"/>
        </w:rPr>
        <w:t>2</w:t>
      </w:r>
      <w:r w:rsidRPr="00A1123E">
        <w:rPr>
          <w:rFonts w:eastAsia="Times New Roman" w:cs="Arial"/>
          <w:noProof/>
          <w:color w:val="000000" w:themeColor="text1"/>
          <w:lang w:val="en-US"/>
        </w:rPr>
        <w:t xml:space="preserve"> consisted of reported and unreported losses in the approximate proportion </w:t>
      </w:r>
      <w:r w:rsidR="0092507B" w:rsidRPr="0092507B">
        <w:rPr>
          <w:rFonts w:eastAsia="Times New Roman" w:cs="Arial"/>
          <w:noProof/>
          <w:color w:val="000000" w:themeColor="text1"/>
          <w:lang w:val="en-US"/>
        </w:rPr>
        <w:t>55</w:t>
      </w:r>
      <w:r w:rsidRPr="0092507B">
        <w:rPr>
          <w:rFonts w:eastAsia="Times New Roman" w:cs="Arial"/>
          <w:noProof/>
          <w:color w:val="000000" w:themeColor="text1"/>
          <w:lang w:val="en-US"/>
        </w:rPr>
        <w:t>:</w:t>
      </w:r>
      <w:r w:rsidR="0092507B" w:rsidRPr="0092507B">
        <w:rPr>
          <w:rFonts w:eastAsia="Times New Roman" w:cs="Arial"/>
          <w:noProof/>
          <w:color w:val="000000" w:themeColor="text1"/>
          <w:lang w:val="en-US"/>
        </w:rPr>
        <w:t>45</w:t>
      </w:r>
      <w:r w:rsidRPr="0092507B">
        <w:rPr>
          <w:rFonts w:eastAsia="Times New Roman" w:cs="Arial"/>
          <w:noProof/>
          <w:color w:val="000000" w:themeColor="text1"/>
          <w:lang w:val="en-US"/>
        </w:rPr>
        <w:t xml:space="preserve">. </w:t>
      </w:r>
      <w:r w:rsidR="00FF52A6" w:rsidRPr="0092507B">
        <w:rPr>
          <w:lang w:val="en-US"/>
        </w:rPr>
        <w:t>At</w:t>
      </w:r>
      <w:r w:rsidR="00FF52A6" w:rsidRPr="00A1123E">
        <w:rPr>
          <w:lang w:val="en-US"/>
        </w:rPr>
        <w:t xml:space="preserve"> the end of </w:t>
      </w:r>
      <w:r w:rsidR="005E0B68" w:rsidRPr="00A1123E">
        <w:rPr>
          <w:lang w:val="en-US"/>
        </w:rPr>
        <w:t>Q</w:t>
      </w:r>
      <w:r w:rsidR="009D5856">
        <w:rPr>
          <w:lang w:val="en-US"/>
        </w:rPr>
        <w:t>1</w:t>
      </w:r>
      <w:r w:rsidR="005E0B68" w:rsidRPr="00A1123E">
        <w:rPr>
          <w:lang w:val="en-US"/>
        </w:rPr>
        <w:t xml:space="preserve"> </w:t>
      </w:r>
      <w:r w:rsidR="00FF52A6" w:rsidRPr="00A1123E">
        <w:rPr>
          <w:lang w:val="en-US"/>
        </w:rPr>
        <w:t>202</w:t>
      </w:r>
      <w:r w:rsidR="00957985">
        <w:rPr>
          <w:lang w:val="en-US"/>
        </w:rPr>
        <w:t>2</w:t>
      </w:r>
      <w:r w:rsidR="00FF52A6" w:rsidRPr="00A1123E">
        <w:rPr>
          <w:lang w:val="en-US"/>
        </w:rPr>
        <w:t>, total reserves exceeded those at the end of 20</w:t>
      </w:r>
      <w:r w:rsidR="00143885" w:rsidRPr="00A1123E">
        <w:rPr>
          <w:lang w:val="en-US"/>
        </w:rPr>
        <w:t>2</w:t>
      </w:r>
      <w:r w:rsidR="00957985">
        <w:rPr>
          <w:lang w:val="en-US"/>
        </w:rPr>
        <w:t>1</w:t>
      </w:r>
      <w:r w:rsidR="00FF52A6" w:rsidRPr="00A1123E">
        <w:rPr>
          <w:lang w:val="en-US"/>
        </w:rPr>
        <w:t xml:space="preserve"> </w:t>
      </w:r>
      <w:r w:rsidR="00FF52A6" w:rsidRPr="0092507B">
        <w:rPr>
          <w:lang w:val="en-US"/>
        </w:rPr>
        <w:t xml:space="preserve">by </w:t>
      </w:r>
      <w:r w:rsidR="0092507B" w:rsidRPr="0092507B">
        <w:rPr>
          <w:lang w:val="en-US"/>
        </w:rPr>
        <w:t>20</w:t>
      </w:r>
      <w:r w:rsidR="00E31C44" w:rsidRPr="0092507B">
        <w:rPr>
          <w:lang w:val="en-US"/>
        </w:rPr>
        <w:t>.</w:t>
      </w:r>
      <w:r w:rsidR="0092507B" w:rsidRPr="0092507B">
        <w:rPr>
          <w:lang w:val="en-US"/>
        </w:rPr>
        <w:t>0</w:t>
      </w:r>
      <w:r w:rsidR="00FF52A6" w:rsidRPr="0092507B">
        <w:rPr>
          <w:lang w:val="en-US"/>
        </w:rPr>
        <w:t>%.</w:t>
      </w:r>
      <w:r w:rsidR="00FF52A6" w:rsidRPr="00A1123E">
        <w:rPr>
          <w:lang w:val="en-US"/>
        </w:rPr>
        <w:t xml:space="preserve"> </w:t>
      </w:r>
      <w:r w:rsidRPr="00A1123E">
        <w:rPr>
          <w:rFonts w:eastAsia="Times New Roman" w:cs="Arial"/>
          <w:noProof/>
          <w:color w:val="000000" w:themeColor="text1"/>
          <w:lang w:val="en-US"/>
        </w:rPr>
        <w:t>The Bornhuetter-Ferguson method was used for gross provisions for unreported losses, and for reported losses, the amount was taken according to actual data on loss incurred. The reinsurance share was determined in accordance with the valid terms and conditions of the reinsurance contract.</w:t>
      </w:r>
    </w:p>
    <w:p w14:paraId="6557C95B" w14:textId="77777777" w:rsidR="00011933" w:rsidRPr="00537128" w:rsidRDefault="00011933" w:rsidP="00011933">
      <w:pPr>
        <w:autoSpaceDE w:val="0"/>
        <w:autoSpaceDN w:val="0"/>
        <w:adjustRightInd w:val="0"/>
        <w:spacing w:after="0" w:line="240" w:lineRule="auto"/>
        <w:jc w:val="both"/>
        <w:rPr>
          <w:rFonts w:eastAsia="Times New Roman" w:cs="Arial"/>
          <w:noProof/>
          <w:color w:val="000000" w:themeColor="text1"/>
          <w:lang w:val="en-US"/>
        </w:rPr>
      </w:pPr>
    </w:p>
    <w:p w14:paraId="73D497D9" w14:textId="77777777" w:rsidR="00011933" w:rsidRPr="00537128" w:rsidRDefault="00011933" w:rsidP="00011933">
      <w:pPr>
        <w:autoSpaceDE w:val="0"/>
        <w:autoSpaceDN w:val="0"/>
        <w:adjustRightInd w:val="0"/>
        <w:spacing w:after="0" w:line="240" w:lineRule="auto"/>
        <w:jc w:val="both"/>
        <w:rPr>
          <w:noProof/>
          <w:color w:val="000000" w:themeColor="text1"/>
          <w:lang w:val="en-US"/>
        </w:rPr>
        <w:sectPr w:rsidR="00011933" w:rsidRPr="00537128" w:rsidSect="00D555B9">
          <w:pgSz w:w="11906" w:h="16838"/>
          <w:pgMar w:top="1417" w:right="1417" w:bottom="1417" w:left="1417" w:header="708" w:footer="708" w:gutter="0"/>
          <w:cols w:space="708"/>
          <w:docGrid w:linePitch="360"/>
        </w:sectPr>
      </w:pPr>
    </w:p>
    <w:p w14:paraId="3DD26056" w14:textId="77777777" w:rsidR="008A32FC" w:rsidRPr="00537128" w:rsidRDefault="008A32FC" w:rsidP="00D3297A">
      <w:pPr>
        <w:autoSpaceDE w:val="0"/>
        <w:autoSpaceDN w:val="0"/>
        <w:adjustRightInd w:val="0"/>
        <w:spacing w:after="0" w:line="240" w:lineRule="auto"/>
        <w:jc w:val="both"/>
        <w:rPr>
          <w:noProof/>
          <w:color w:val="000000" w:themeColor="text1"/>
          <w:sz w:val="12"/>
          <w:szCs w:val="12"/>
          <w:lang w:val="en-US"/>
        </w:rPr>
      </w:pPr>
    </w:p>
    <w:p w14:paraId="4AC68A80" w14:textId="0FE51677" w:rsidR="008A32FC" w:rsidRPr="00537128" w:rsidRDefault="008A32FC" w:rsidP="00D3297A">
      <w:pPr>
        <w:pStyle w:val="ListParagraph"/>
        <w:numPr>
          <w:ilvl w:val="0"/>
          <w:numId w:val="1"/>
        </w:numPr>
        <w:autoSpaceDE w:val="0"/>
        <w:autoSpaceDN w:val="0"/>
        <w:adjustRightInd w:val="0"/>
        <w:spacing w:after="0" w:line="240" w:lineRule="auto"/>
        <w:jc w:val="both"/>
        <w:rPr>
          <w:b/>
          <w:noProof/>
          <w:color w:val="000000" w:themeColor="text1"/>
          <w:lang w:val="en-US"/>
        </w:rPr>
      </w:pPr>
      <w:r w:rsidRPr="00112168">
        <w:rPr>
          <w:b/>
          <w:noProof/>
          <w:color w:val="000000" w:themeColor="text1"/>
          <w:lang w:val="en-US"/>
        </w:rPr>
        <w:t xml:space="preserve">Impairment </w:t>
      </w:r>
      <w:r w:rsidR="00B057E5" w:rsidRPr="00112168">
        <w:rPr>
          <w:b/>
          <w:noProof/>
          <w:color w:val="000000" w:themeColor="text1"/>
          <w:lang w:val="en-US"/>
        </w:rPr>
        <w:t>gain/</w:t>
      </w:r>
      <w:r w:rsidRPr="00112168">
        <w:rPr>
          <w:b/>
          <w:noProof/>
          <w:color w:val="000000" w:themeColor="text1"/>
          <w:lang w:val="en-US"/>
        </w:rPr>
        <w:t>loss and</w:t>
      </w:r>
      <w:r w:rsidRPr="00537128">
        <w:rPr>
          <w:b/>
          <w:noProof/>
          <w:color w:val="000000" w:themeColor="text1"/>
          <w:lang w:val="en-US"/>
        </w:rPr>
        <w:t xml:space="preserve"> provisions</w:t>
      </w:r>
    </w:p>
    <w:p w14:paraId="3DBC2060" w14:textId="77777777" w:rsidR="008A32FC" w:rsidRPr="00537128" w:rsidRDefault="008A32FC" w:rsidP="00D3297A">
      <w:pPr>
        <w:autoSpaceDE w:val="0"/>
        <w:autoSpaceDN w:val="0"/>
        <w:adjustRightInd w:val="0"/>
        <w:spacing w:after="0" w:line="240" w:lineRule="auto"/>
        <w:jc w:val="both"/>
        <w:rPr>
          <w:noProof/>
          <w:color w:val="000000" w:themeColor="text1"/>
          <w:sz w:val="6"/>
          <w:szCs w:val="6"/>
          <w:lang w:val="en-US"/>
        </w:rPr>
      </w:pPr>
    </w:p>
    <w:p w14:paraId="7532CE7A" w14:textId="77777777" w:rsidR="00D3297A" w:rsidRPr="00537128" w:rsidRDefault="008A32FC" w:rsidP="00D3297A">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The provision for impairment losses/(gains) on placements may be summarized as follows:</w:t>
      </w:r>
    </w:p>
    <w:p w14:paraId="392802BA" w14:textId="77777777" w:rsidR="00D3297A" w:rsidRPr="00537128" w:rsidRDefault="00D3297A" w:rsidP="00D3297A">
      <w:pPr>
        <w:autoSpaceDE w:val="0"/>
        <w:autoSpaceDN w:val="0"/>
        <w:adjustRightInd w:val="0"/>
        <w:spacing w:after="0" w:line="240" w:lineRule="auto"/>
        <w:jc w:val="both"/>
        <w:rPr>
          <w:rFonts w:eastAsia="Times New Roman" w:cs="Arial"/>
          <w:b/>
          <w:bCs/>
          <w:noProof/>
          <w:color w:val="000000" w:themeColor="text1"/>
          <w:sz w:val="6"/>
          <w:szCs w:val="6"/>
          <w:lang w:val="en-US"/>
        </w:rPr>
      </w:pPr>
    </w:p>
    <w:p w14:paraId="4EFD5C55" w14:textId="4351A067" w:rsidR="008A32FC" w:rsidRPr="00537128" w:rsidRDefault="008A32FC" w:rsidP="005B7D9D">
      <w:pPr>
        <w:pStyle w:val="ListParagraph"/>
        <w:numPr>
          <w:ilvl w:val="0"/>
          <w:numId w:val="8"/>
        </w:numPr>
        <w:autoSpaceDE w:val="0"/>
        <w:autoSpaceDN w:val="0"/>
        <w:adjustRightInd w:val="0"/>
        <w:spacing w:after="0" w:line="240" w:lineRule="auto"/>
        <w:jc w:val="both"/>
        <w:rPr>
          <w:noProof/>
          <w:color w:val="000000" w:themeColor="text1"/>
          <w:lang w:val="en-US"/>
        </w:rPr>
      </w:pPr>
      <w:r w:rsidRPr="00537128">
        <w:rPr>
          <w:rFonts w:eastAsia="Times New Roman" w:cs="Arial"/>
          <w:b/>
          <w:bCs/>
          <w:noProof/>
          <w:color w:val="000000" w:themeColor="text1"/>
          <w:lang w:val="en-US"/>
        </w:rPr>
        <w:t xml:space="preserve">Impairment </w:t>
      </w:r>
      <w:r w:rsidR="00B057E5">
        <w:rPr>
          <w:rFonts w:eastAsia="Times New Roman" w:cs="Arial"/>
          <w:b/>
          <w:bCs/>
          <w:noProof/>
          <w:color w:val="000000" w:themeColor="text1"/>
          <w:lang w:val="en-US"/>
        </w:rPr>
        <w:t>gain/</w:t>
      </w:r>
      <w:r w:rsidRPr="00537128">
        <w:rPr>
          <w:rFonts w:eastAsia="Times New Roman" w:cs="Arial"/>
          <w:b/>
          <w:bCs/>
          <w:noProof/>
          <w:color w:val="000000" w:themeColor="text1"/>
          <w:lang w:val="en-US"/>
        </w:rPr>
        <w:t>loss and provisions on financial instruments in accordance with IFRS 9</w:t>
      </w:r>
    </w:p>
    <w:p w14:paraId="68CBFCA6" w14:textId="77777777" w:rsidR="00D3297A" w:rsidRPr="00537128" w:rsidRDefault="00D3297A" w:rsidP="00D3297A">
      <w:pPr>
        <w:autoSpaceDE w:val="0"/>
        <w:autoSpaceDN w:val="0"/>
        <w:adjustRightInd w:val="0"/>
        <w:spacing w:after="0" w:line="240" w:lineRule="auto"/>
        <w:jc w:val="both"/>
        <w:rPr>
          <w:noProof/>
          <w:color w:val="000000" w:themeColor="text1"/>
          <w:sz w:val="6"/>
          <w:szCs w:val="6"/>
          <w:lang w:val="en-US"/>
        </w:rPr>
      </w:pPr>
    </w:p>
    <w:tbl>
      <w:tblPr>
        <w:tblW w:w="5313" w:type="pct"/>
        <w:tblInd w:w="-284" w:type="dxa"/>
        <w:tblLayout w:type="fixed"/>
        <w:tblCellMar>
          <w:left w:w="120" w:type="dxa"/>
          <w:right w:w="120" w:type="dxa"/>
        </w:tblCellMar>
        <w:tblLook w:val="0000" w:firstRow="0" w:lastRow="0" w:firstColumn="0" w:lastColumn="0" w:noHBand="0" w:noVBand="0"/>
      </w:tblPr>
      <w:tblGrid>
        <w:gridCol w:w="4541"/>
        <w:gridCol w:w="1277"/>
        <w:gridCol w:w="1274"/>
        <w:gridCol w:w="1276"/>
        <w:gridCol w:w="1272"/>
      </w:tblGrid>
      <w:tr w:rsidR="00391095" w:rsidRPr="00041119" w14:paraId="687AC441" w14:textId="77777777" w:rsidTr="000D2791">
        <w:trPr>
          <w:trHeight w:val="291"/>
        </w:trPr>
        <w:tc>
          <w:tcPr>
            <w:tcW w:w="2355" w:type="pct"/>
          </w:tcPr>
          <w:p w14:paraId="54AE95AD" w14:textId="77777777" w:rsidR="00C47EEE" w:rsidRPr="00041119" w:rsidRDefault="00C47EEE" w:rsidP="009E5940">
            <w:pPr>
              <w:tabs>
                <w:tab w:val="right" w:pos="1202"/>
              </w:tabs>
              <w:spacing w:after="0" w:line="300" w:lineRule="exact"/>
              <w:outlineLvl w:val="0"/>
              <w:rPr>
                <w:rFonts w:eastAsia="Times New Roman" w:cs="Arial"/>
                <w:b/>
                <w:noProof/>
                <w:color w:val="000000" w:themeColor="text1"/>
                <w:sz w:val="20"/>
                <w:szCs w:val="20"/>
                <w:lang w:val="en-US"/>
              </w:rPr>
            </w:pPr>
          </w:p>
        </w:tc>
        <w:tc>
          <w:tcPr>
            <w:tcW w:w="662" w:type="pct"/>
          </w:tcPr>
          <w:p w14:paraId="48B0F8EC" w14:textId="77777777" w:rsidR="00C47EEE" w:rsidRPr="00041119" w:rsidRDefault="00C47EEE" w:rsidP="009E5940">
            <w:pPr>
              <w:tabs>
                <w:tab w:val="right" w:pos="1202"/>
              </w:tabs>
              <w:spacing w:after="0" w:line="240" w:lineRule="atLeast"/>
              <w:jc w:val="right"/>
              <w:outlineLvl w:val="0"/>
              <w:rPr>
                <w:rFonts w:eastAsia="Times New Roman" w:cs="Arial"/>
                <w:b/>
                <w:noProof/>
                <w:color w:val="000000" w:themeColor="text1"/>
                <w:sz w:val="20"/>
                <w:szCs w:val="20"/>
                <w:lang w:val="en-US"/>
              </w:rPr>
            </w:pPr>
          </w:p>
        </w:tc>
        <w:tc>
          <w:tcPr>
            <w:tcW w:w="661" w:type="pct"/>
          </w:tcPr>
          <w:p w14:paraId="484A3EDD" w14:textId="77777777" w:rsidR="00C47EEE" w:rsidRPr="00041119" w:rsidRDefault="00C47EEE" w:rsidP="009E5940">
            <w:pPr>
              <w:tabs>
                <w:tab w:val="right" w:pos="1202"/>
              </w:tabs>
              <w:spacing w:after="0" w:line="240" w:lineRule="atLeast"/>
              <w:jc w:val="right"/>
              <w:outlineLvl w:val="0"/>
              <w:rPr>
                <w:rFonts w:eastAsia="Times New Roman" w:cs="Arial"/>
                <w:b/>
                <w:noProof/>
                <w:color w:val="000000" w:themeColor="text1"/>
                <w:sz w:val="20"/>
                <w:szCs w:val="20"/>
                <w:lang w:val="en-US"/>
              </w:rPr>
            </w:pPr>
            <w:bookmarkStart w:id="244" w:name="_Toc4058076"/>
            <w:r w:rsidRPr="00041119">
              <w:rPr>
                <w:rFonts w:eastAsia="Times New Roman" w:cs="Arial"/>
                <w:b/>
                <w:noProof/>
                <w:color w:val="000000" w:themeColor="text1"/>
                <w:sz w:val="20"/>
                <w:szCs w:val="20"/>
                <w:lang w:val="en-US"/>
              </w:rPr>
              <w:t>Group</w:t>
            </w:r>
            <w:bookmarkEnd w:id="244"/>
          </w:p>
        </w:tc>
        <w:tc>
          <w:tcPr>
            <w:tcW w:w="662" w:type="pct"/>
          </w:tcPr>
          <w:p w14:paraId="635A88E9" w14:textId="77777777" w:rsidR="00C47EEE" w:rsidRPr="00041119" w:rsidRDefault="00C47EEE" w:rsidP="009E5940">
            <w:pPr>
              <w:tabs>
                <w:tab w:val="right" w:pos="1202"/>
              </w:tabs>
              <w:spacing w:after="0" w:line="240" w:lineRule="atLeast"/>
              <w:jc w:val="right"/>
              <w:outlineLvl w:val="0"/>
              <w:rPr>
                <w:rFonts w:eastAsia="Times New Roman" w:cs="Arial"/>
                <w:b/>
                <w:noProof/>
                <w:color w:val="000000" w:themeColor="text1"/>
                <w:sz w:val="20"/>
                <w:szCs w:val="20"/>
                <w:lang w:val="en-US"/>
              </w:rPr>
            </w:pPr>
          </w:p>
        </w:tc>
        <w:tc>
          <w:tcPr>
            <w:tcW w:w="661" w:type="pct"/>
          </w:tcPr>
          <w:p w14:paraId="234350AD" w14:textId="77777777" w:rsidR="00C47EEE" w:rsidRPr="00041119" w:rsidRDefault="00C47EEE" w:rsidP="009E5940">
            <w:pPr>
              <w:tabs>
                <w:tab w:val="right" w:pos="1202"/>
              </w:tabs>
              <w:spacing w:after="0" w:line="240" w:lineRule="atLeast"/>
              <w:jc w:val="right"/>
              <w:outlineLvl w:val="0"/>
              <w:rPr>
                <w:rFonts w:eastAsia="Times New Roman" w:cs="Arial"/>
                <w:b/>
                <w:noProof/>
                <w:color w:val="000000" w:themeColor="text1"/>
                <w:sz w:val="20"/>
                <w:szCs w:val="20"/>
                <w:lang w:val="en-US"/>
              </w:rPr>
            </w:pPr>
            <w:bookmarkStart w:id="245" w:name="_Toc4058077"/>
            <w:r w:rsidRPr="00041119">
              <w:rPr>
                <w:rFonts w:eastAsia="Times New Roman" w:cs="Arial"/>
                <w:b/>
                <w:noProof/>
                <w:color w:val="000000" w:themeColor="text1"/>
                <w:sz w:val="20"/>
                <w:szCs w:val="20"/>
                <w:lang w:val="en-US"/>
              </w:rPr>
              <w:t>Bank</w:t>
            </w:r>
            <w:bookmarkEnd w:id="245"/>
          </w:p>
        </w:tc>
      </w:tr>
      <w:tr w:rsidR="00391095" w:rsidRPr="00041119" w14:paraId="31C05970" w14:textId="77777777" w:rsidTr="000D2791">
        <w:trPr>
          <w:trHeight w:hRule="exact" w:val="511"/>
        </w:trPr>
        <w:tc>
          <w:tcPr>
            <w:tcW w:w="2355" w:type="pct"/>
          </w:tcPr>
          <w:p w14:paraId="48C7CF6C" w14:textId="77777777" w:rsidR="00C47EEE" w:rsidRPr="00041119" w:rsidRDefault="00C47EEE" w:rsidP="00C47EEE">
            <w:pPr>
              <w:tabs>
                <w:tab w:val="right" w:pos="1202"/>
              </w:tabs>
              <w:spacing w:after="0" w:line="300" w:lineRule="exact"/>
              <w:outlineLvl w:val="0"/>
              <w:rPr>
                <w:rFonts w:eastAsia="Times New Roman" w:cs="Arial"/>
                <w:b/>
                <w:noProof/>
                <w:color w:val="000000" w:themeColor="text1"/>
                <w:sz w:val="20"/>
                <w:szCs w:val="20"/>
                <w:lang w:val="en-US"/>
              </w:rPr>
            </w:pPr>
          </w:p>
        </w:tc>
        <w:tc>
          <w:tcPr>
            <w:tcW w:w="662" w:type="pct"/>
            <w:vAlign w:val="bottom"/>
          </w:tcPr>
          <w:p w14:paraId="346D4BF6" w14:textId="34B7B5F4" w:rsidR="00C47EEE" w:rsidRPr="00041119" w:rsidRDefault="00C47EEE" w:rsidP="00C47EEE">
            <w:pPr>
              <w:tabs>
                <w:tab w:val="right" w:pos="1202"/>
              </w:tabs>
              <w:spacing w:after="0" w:line="240" w:lineRule="atLeast"/>
              <w:jc w:val="right"/>
              <w:outlineLvl w:val="0"/>
              <w:rPr>
                <w:rFonts w:eastAsia="Times New Roman" w:cs="Arial"/>
                <w:b/>
                <w:noProof/>
                <w:color w:val="000000" w:themeColor="text1"/>
                <w:sz w:val="20"/>
                <w:szCs w:val="20"/>
                <w:lang w:val="en-US"/>
              </w:rPr>
            </w:pPr>
            <w:r w:rsidRPr="00041119">
              <w:rPr>
                <w:rFonts w:eastAsia="Times New Roman" w:cstheme="minorHAnsi"/>
                <w:b/>
                <w:bCs/>
                <w:noProof/>
                <w:color w:val="000000" w:themeColor="text1"/>
                <w:sz w:val="20"/>
                <w:szCs w:val="20"/>
                <w:lang w:val="en-US"/>
              </w:rPr>
              <w:t>Jan 1 - Mar 31, 202</w:t>
            </w:r>
            <w:r w:rsidR="00112168" w:rsidRPr="00041119">
              <w:rPr>
                <w:rFonts w:eastAsia="Times New Roman" w:cstheme="minorHAnsi"/>
                <w:b/>
                <w:bCs/>
                <w:noProof/>
                <w:color w:val="000000" w:themeColor="text1"/>
                <w:sz w:val="20"/>
                <w:szCs w:val="20"/>
                <w:lang w:val="en-US"/>
              </w:rPr>
              <w:t>2</w:t>
            </w:r>
          </w:p>
        </w:tc>
        <w:tc>
          <w:tcPr>
            <w:tcW w:w="661" w:type="pct"/>
            <w:vAlign w:val="bottom"/>
          </w:tcPr>
          <w:p w14:paraId="6007DB28" w14:textId="0D44F5D4" w:rsidR="00C47EEE" w:rsidRPr="00041119" w:rsidRDefault="00C47EEE" w:rsidP="00C47EEE">
            <w:pPr>
              <w:tabs>
                <w:tab w:val="right" w:pos="1202"/>
              </w:tabs>
              <w:spacing w:after="0" w:line="240" w:lineRule="atLeast"/>
              <w:jc w:val="right"/>
              <w:outlineLvl w:val="0"/>
              <w:rPr>
                <w:rFonts w:eastAsia="Times New Roman" w:cs="Arial"/>
                <w:b/>
                <w:noProof/>
                <w:color w:val="000000" w:themeColor="text1"/>
                <w:sz w:val="20"/>
                <w:szCs w:val="20"/>
                <w:lang w:val="en-US"/>
              </w:rPr>
            </w:pPr>
            <w:r w:rsidRPr="00041119">
              <w:rPr>
                <w:rFonts w:eastAsia="Times New Roman" w:cstheme="minorHAnsi"/>
                <w:b/>
                <w:bCs/>
                <w:noProof/>
                <w:color w:val="000000" w:themeColor="text1"/>
                <w:sz w:val="20"/>
                <w:szCs w:val="20"/>
                <w:lang w:val="en-US"/>
              </w:rPr>
              <w:t>Jan 1 - Mar 31, 202</w:t>
            </w:r>
            <w:r w:rsidR="00112168" w:rsidRPr="00041119">
              <w:rPr>
                <w:rFonts w:eastAsia="Times New Roman" w:cstheme="minorHAnsi"/>
                <w:b/>
                <w:bCs/>
                <w:noProof/>
                <w:color w:val="000000" w:themeColor="text1"/>
                <w:sz w:val="20"/>
                <w:szCs w:val="20"/>
                <w:lang w:val="en-US"/>
              </w:rPr>
              <w:t>1</w:t>
            </w:r>
          </w:p>
        </w:tc>
        <w:tc>
          <w:tcPr>
            <w:tcW w:w="662" w:type="pct"/>
            <w:vAlign w:val="bottom"/>
          </w:tcPr>
          <w:p w14:paraId="286F6F9D" w14:textId="46724A7D" w:rsidR="00C47EEE" w:rsidRPr="00041119" w:rsidRDefault="00C47EEE" w:rsidP="00C47EEE">
            <w:pPr>
              <w:tabs>
                <w:tab w:val="right" w:pos="1202"/>
              </w:tabs>
              <w:spacing w:after="0" w:line="240" w:lineRule="atLeast"/>
              <w:jc w:val="right"/>
              <w:outlineLvl w:val="0"/>
              <w:rPr>
                <w:rFonts w:eastAsia="Times New Roman" w:cs="Arial"/>
                <w:b/>
                <w:noProof/>
                <w:color w:val="000000" w:themeColor="text1"/>
                <w:sz w:val="20"/>
                <w:szCs w:val="20"/>
                <w:lang w:val="en-US"/>
              </w:rPr>
            </w:pPr>
            <w:r w:rsidRPr="00041119">
              <w:rPr>
                <w:rFonts w:eastAsia="Times New Roman" w:cstheme="minorHAnsi"/>
                <w:b/>
                <w:bCs/>
                <w:noProof/>
                <w:color w:val="000000" w:themeColor="text1"/>
                <w:sz w:val="20"/>
                <w:szCs w:val="20"/>
                <w:lang w:val="en-US"/>
              </w:rPr>
              <w:t>Jan 1 - Mar 31, 202</w:t>
            </w:r>
            <w:r w:rsidR="00112168" w:rsidRPr="00041119">
              <w:rPr>
                <w:rFonts w:eastAsia="Times New Roman" w:cstheme="minorHAnsi"/>
                <w:b/>
                <w:bCs/>
                <w:noProof/>
                <w:color w:val="000000" w:themeColor="text1"/>
                <w:sz w:val="20"/>
                <w:szCs w:val="20"/>
                <w:lang w:val="en-US"/>
              </w:rPr>
              <w:t>2</w:t>
            </w:r>
          </w:p>
        </w:tc>
        <w:tc>
          <w:tcPr>
            <w:tcW w:w="661" w:type="pct"/>
            <w:vAlign w:val="bottom"/>
          </w:tcPr>
          <w:p w14:paraId="5619AAF5" w14:textId="75CD4C33" w:rsidR="00C47EEE" w:rsidRPr="00041119" w:rsidRDefault="00C47EEE" w:rsidP="00C47EEE">
            <w:pPr>
              <w:tabs>
                <w:tab w:val="right" w:pos="1202"/>
              </w:tabs>
              <w:spacing w:after="0" w:line="240" w:lineRule="atLeast"/>
              <w:jc w:val="right"/>
              <w:outlineLvl w:val="0"/>
              <w:rPr>
                <w:rFonts w:eastAsia="Times New Roman" w:cs="Arial"/>
                <w:b/>
                <w:noProof/>
                <w:color w:val="000000" w:themeColor="text1"/>
                <w:sz w:val="20"/>
                <w:szCs w:val="20"/>
                <w:lang w:val="en-US"/>
              </w:rPr>
            </w:pPr>
            <w:r w:rsidRPr="00041119">
              <w:rPr>
                <w:rFonts w:eastAsia="Times New Roman" w:cstheme="minorHAnsi"/>
                <w:b/>
                <w:bCs/>
                <w:noProof/>
                <w:color w:val="000000" w:themeColor="text1"/>
                <w:sz w:val="20"/>
                <w:szCs w:val="20"/>
                <w:lang w:val="en-US"/>
              </w:rPr>
              <w:t>Jan 1 - Mar 31, 202</w:t>
            </w:r>
            <w:r w:rsidR="00112168" w:rsidRPr="00041119">
              <w:rPr>
                <w:rFonts w:eastAsia="Times New Roman" w:cstheme="minorHAnsi"/>
                <w:b/>
                <w:bCs/>
                <w:noProof/>
                <w:color w:val="000000" w:themeColor="text1"/>
                <w:sz w:val="20"/>
                <w:szCs w:val="20"/>
                <w:lang w:val="en-US"/>
              </w:rPr>
              <w:t>1</w:t>
            </w:r>
          </w:p>
        </w:tc>
      </w:tr>
      <w:tr w:rsidR="00391095" w:rsidRPr="00041119" w14:paraId="4444AD15" w14:textId="77777777" w:rsidTr="000D2791">
        <w:trPr>
          <w:trHeight w:val="291"/>
        </w:trPr>
        <w:tc>
          <w:tcPr>
            <w:tcW w:w="2355" w:type="pct"/>
          </w:tcPr>
          <w:p w14:paraId="3B33EEC3" w14:textId="77777777" w:rsidR="00C47EEE" w:rsidRPr="00041119" w:rsidRDefault="00C47EEE" w:rsidP="00C47EEE">
            <w:pPr>
              <w:tabs>
                <w:tab w:val="right" w:pos="1202"/>
              </w:tabs>
              <w:spacing w:after="0" w:line="300" w:lineRule="exact"/>
              <w:outlineLvl w:val="0"/>
              <w:rPr>
                <w:rFonts w:eastAsia="Times New Roman" w:cs="Arial"/>
                <w:b/>
                <w:noProof/>
                <w:color w:val="000000" w:themeColor="text1"/>
                <w:sz w:val="20"/>
                <w:szCs w:val="20"/>
                <w:lang w:val="en-US"/>
              </w:rPr>
            </w:pPr>
          </w:p>
        </w:tc>
        <w:tc>
          <w:tcPr>
            <w:tcW w:w="662" w:type="pct"/>
          </w:tcPr>
          <w:p w14:paraId="525B76D8" w14:textId="77777777" w:rsidR="00C47EEE" w:rsidRPr="00041119" w:rsidRDefault="00C47EEE" w:rsidP="00C47EEE">
            <w:pPr>
              <w:tabs>
                <w:tab w:val="right" w:pos="1202"/>
              </w:tabs>
              <w:spacing w:after="0" w:line="300" w:lineRule="exact"/>
              <w:jc w:val="right"/>
              <w:outlineLvl w:val="0"/>
              <w:rPr>
                <w:rFonts w:eastAsia="Times New Roman" w:cs="Arial"/>
                <w:b/>
                <w:noProof/>
                <w:color w:val="000000" w:themeColor="text1"/>
                <w:sz w:val="20"/>
                <w:szCs w:val="20"/>
                <w:lang w:val="en-US"/>
              </w:rPr>
            </w:pPr>
            <w:bookmarkStart w:id="246" w:name="_Toc4058082"/>
            <w:r w:rsidRPr="00041119">
              <w:rPr>
                <w:rFonts w:eastAsia="Times New Roman" w:cs="Arial"/>
                <w:b/>
                <w:noProof/>
                <w:color w:val="000000" w:themeColor="text1"/>
                <w:sz w:val="20"/>
                <w:szCs w:val="20"/>
                <w:lang w:val="en-US"/>
              </w:rPr>
              <w:t>HRK ‘000</w:t>
            </w:r>
            <w:bookmarkEnd w:id="246"/>
          </w:p>
        </w:tc>
        <w:tc>
          <w:tcPr>
            <w:tcW w:w="661" w:type="pct"/>
          </w:tcPr>
          <w:p w14:paraId="19EB2BAA" w14:textId="440767D3" w:rsidR="00C47EEE" w:rsidRPr="00041119" w:rsidRDefault="00C47EEE" w:rsidP="00C47EEE">
            <w:pPr>
              <w:tabs>
                <w:tab w:val="right" w:pos="1202"/>
              </w:tabs>
              <w:spacing w:after="0" w:line="300" w:lineRule="exact"/>
              <w:jc w:val="right"/>
              <w:outlineLvl w:val="0"/>
              <w:rPr>
                <w:rFonts w:eastAsia="Times New Roman" w:cs="Arial"/>
                <w:b/>
                <w:noProof/>
                <w:color w:val="000000" w:themeColor="text1"/>
                <w:sz w:val="20"/>
                <w:szCs w:val="20"/>
                <w:lang w:val="en-US"/>
              </w:rPr>
            </w:pPr>
            <w:r w:rsidRPr="00041119">
              <w:rPr>
                <w:rFonts w:eastAsia="Times New Roman" w:cs="Arial"/>
                <w:b/>
                <w:noProof/>
                <w:color w:val="000000" w:themeColor="text1"/>
                <w:sz w:val="20"/>
                <w:szCs w:val="20"/>
                <w:lang w:val="en-US"/>
              </w:rPr>
              <w:t>HRK ‘000</w:t>
            </w:r>
          </w:p>
        </w:tc>
        <w:tc>
          <w:tcPr>
            <w:tcW w:w="662" w:type="pct"/>
          </w:tcPr>
          <w:p w14:paraId="6DF6E183" w14:textId="4CB8EF8B" w:rsidR="00C47EEE" w:rsidRPr="00041119" w:rsidRDefault="00C47EEE" w:rsidP="00C47EEE">
            <w:pPr>
              <w:tabs>
                <w:tab w:val="right" w:pos="1202"/>
              </w:tabs>
              <w:spacing w:after="0" w:line="300" w:lineRule="exact"/>
              <w:jc w:val="right"/>
              <w:outlineLvl w:val="0"/>
              <w:rPr>
                <w:rFonts w:eastAsia="Times New Roman" w:cs="Arial"/>
                <w:b/>
                <w:noProof/>
                <w:color w:val="000000" w:themeColor="text1"/>
                <w:sz w:val="20"/>
                <w:szCs w:val="20"/>
                <w:lang w:val="en-US"/>
              </w:rPr>
            </w:pPr>
            <w:r w:rsidRPr="00041119">
              <w:rPr>
                <w:rFonts w:eastAsia="Times New Roman" w:cs="Arial"/>
                <w:b/>
                <w:noProof/>
                <w:color w:val="000000" w:themeColor="text1"/>
                <w:sz w:val="20"/>
                <w:szCs w:val="20"/>
                <w:lang w:val="en-US"/>
              </w:rPr>
              <w:t>HRK ‘000</w:t>
            </w:r>
          </w:p>
        </w:tc>
        <w:tc>
          <w:tcPr>
            <w:tcW w:w="661" w:type="pct"/>
          </w:tcPr>
          <w:p w14:paraId="333646BE" w14:textId="0F76F365" w:rsidR="00C47EEE" w:rsidRPr="00041119" w:rsidRDefault="00C47EEE" w:rsidP="00C47EEE">
            <w:pPr>
              <w:tabs>
                <w:tab w:val="right" w:pos="1202"/>
              </w:tabs>
              <w:spacing w:after="0" w:line="300" w:lineRule="exact"/>
              <w:jc w:val="right"/>
              <w:outlineLvl w:val="0"/>
              <w:rPr>
                <w:rFonts w:eastAsia="Times New Roman" w:cs="Arial"/>
                <w:b/>
                <w:noProof/>
                <w:color w:val="000000" w:themeColor="text1"/>
                <w:sz w:val="20"/>
                <w:szCs w:val="20"/>
                <w:lang w:val="en-US"/>
              </w:rPr>
            </w:pPr>
            <w:r w:rsidRPr="00041119">
              <w:rPr>
                <w:rFonts w:eastAsia="Times New Roman" w:cs="Arial"/>
                <w:b/>
                <w:noProof/>
                <w:color w:val="000000" w:themeColor="text1"/>
                <w:sz w:val="20"/>
                <w:szCs w:val="20"/>
                <w:lang w:val="en-US"/>
              </w:rPr>
              <w:t>HRK ‘000</w:t>
            </w:r>
          </w:p>
        </w:tc>
      </w:tr>
      <w:tr w:rsidR="000D2791" w:rsidRPr="00041119" w14:paraId="14A84534" w14:textId="77777777" w:rsidTr="000D2791">
        <w:trPr>
          <w:trHeight w:val="582"/>
        </w:trPr>
        <w:tc>
          <w:tcPr>
            <w:tcW w:w="2355" w:type="pct"/>
            <w:vAlign w:val="bottom"/>
          </w:tcPr>
          <w:p w14:paraId="19B0D21A" w14:textId="331FE340" w:rsidR="000D2791" w:rsidRPr="00041119" w:rsidRDefault="000D2791" w:rsidP="000D2791">
            <w:pPr>
              <w:tabs>
                <w:tab w:val="right" w:pos="1202"/>
              </w:tabs>
              <w:spacing w:after="0" w:line="300" w:lineRule="exact"/>
              <w:outlineLvl w:val="0"/>
              <w:rPr>
                <w:rFonts w:eastAsia="Times New Roman" w:cs="Arial"/>
                <w:noProof/>
                <w:color w:val="000000" w:themeColor="text1"/>
                <w:sz w:val="20"/>
                <w:szCs w:val="20"/>
                <w:lang w:val="en-US"/>
              </w:rPr>
            </w:pPr>
            <w:bookmarkStart w:id="247" w:name="_Toc4058086"/>
            <w:r w:rsidRPr="00041119">
              <w:rPr>
                <w:rFonts w:eastAsia="Times New Roman" w:cs="Arial"/>
                <w:noProof/>
                <w:color w:val="000000" w:themeColor="text1"/>
                <w:sz w:val="20"/>
                <w:szCs w:val="20"/>
                <w:lang w:val="en-US"/>
              </w:rPr>
              <w:t>Impairment losses on cash on hand and due from financial institutions</w:t>
            </w:r>
            <w:bookmarkEnd w:id="247"/>
          </w:p>
        </w:tc>
        <w:tc>
          <w:tcPr>
            <w:tcW w:w="662" w:type="pct"/>
            <w:tcBorders>
              <w:top w:val="nil"/>
              <w:left w:val="nil"/>
              <w:bottom w:val="nil"/>
              <w:right w:val="nil"/>
            </w:tcBorders>
            <w:shd w:val="clear" w:color="auto" w:fill="auto"/>
            <w:vAlign w:val="bottom"/>
          </w:tcPr>
          <w:p w14:paraId="2F78F042" w14:textId="35CE314C" w:rsidR="000D2791" w:rsidRPr="004B1C54" w:rsidRDefault="000D2791" w:rsidP="000D2791">
            <w:pPr>
              <w:tabs>
                <w:tab w:val="right" w:pos="1202"/>
              </w:tabs>
              <w:spacing w:after="0" w:line="301" w:lineRule="exact"/>
              <w:jc w:val="right"/>
              <w:outlineLvl w:val="0"/>
              <w:rPr>
                <w:rFonts w:eastAsia="Times New Roman" w:cs="Arial"/>
                <w:noProof/>
                <w:color w:val="000000" w:themeColor="text1"/>
                <w:sz w:val="20"/>
                <w:szCs w:val="20"/>
                <w:lang w:val="en-US"/>
              </w:rPr>
            </w:pPr>
            <w:r w:rsidRPr="004B1C54">
              <w:rPr>
                <w:rFonts w:ascii="Calibri" w:eastAsia="Times New Roman" w:hAnsi="Calibri" w:cs="Calibri"/>
                <w:color w:val="000000" w:themeColor="text1"/>
                <w:sz w:val="20"/>
                <w:szCs w:val="20"/>
              </w:rPr>
              <w:t>(547)</w:t>
            </w:r>
          </w:p>
        </w:tc>
        <w:tc>
          <w:tcPr>
            <w:tcW w:w="661" w:type="pct"/>
            <w:tcBorders>
              <w:top w:val="nil"/>
              <w:left w:val="nil"/>
              <w:bottom w:val="nil"/>
              <w:right w:val="nil"/>
            </w:tcBorders>
            <w:shd w:val="clear" w:color="auto" w:fill="auto"/>
            <w:vAlign w:val="bottom"/>
          </w:tcPr>
          <w:p w14:paraId="4DA5F263" w14:textId="1C6177A8" w:rsidR="000D2791" w:rsidRPr="00041119" w:rsidRDefault="000D2791" w:rsidP="000D2791">
            <w:pPr>
              <w:tabs>
                <w:tab w:val="right" w:pos="1202"/>
              </w:tabs>
              <w:spacing w:after="0" w:line="301" w:lineRule="exact"/>
              <w:jc w:val="right"/>
              <w:outlineLvl w:val="0"/>
              <w:rPr>
                <w:rFonts w:eastAsia="Times New Roman" w:cs="Arial"/>
                <w:noProof/>
                <w:color w:val="000000" w:themeColor="text1"/>
                <w:sz w:val="20"/>
                <w:szCs w:val="20"/>
                <w:lang w:val="en-US"/>
              </w:rPr>
            </w:pPr>
            <w:r w:rsidRPr="00041119">
              <w:rPr>
                <w:sz w:val="20"/>
                <w:szCs w:val="20"/>
              </w:rPr>
              <w:t xml:space="preserve"> (313)</w:t>
            </w:r>
          </w:p>
        </w:tc>
        <w:tc>
          <w:tcPr>
            <w:tcW w:w="662" w:type="pct"/>
            <w:tcBorders>
              <w:top w:val="nil"/>
              <w:left w:val="nil"/>
              <w:bottom w:val="nil"/>
              <w:right w:val="nil"/>
            </w:tcBorders>
            <w:shd w:val="clear" w:color="auto" w:fill="auto"/>
            <w:vAlign w:val="bottom"/>
          </w:tcPr>
          <w:p w14:paraId="725094B5" w14:textId="488EE754" w:rsidR="000D2791" w:rsidRPr="000D2791" w:rsidRDefault="000D2791" w:rsidP="000D2791">
            <w:pPr>
              <w:tabs>
                <w:tab w:val="right" w:pos="1202"/>
              </w:tabs>
              <w:spacing w:after="0" w:line="301" w:lineRule="exact"/>
              <w:jc w:val="right"/>
              <w:outlineLvl w:val="0"/>
              <w:rPr>
                <w:rFonts w:eastAsia="Times New Roman" w:cs="Arial"/>
                <w:noProof/>
                <w:color w:val="000000" w:themeColor="text1"/>
                <w:sz w:val="20"/>
                <w:szCs w:val="20"/>
                <w:lang w:val="en-US"/>
              </w:rPr>
            </w:pPr>
            <w:r w:rsidRPr="000D2791">
              <w:rPr>
                <w:rFonts w:cstheme="minorHAnsi"/>
                <w:sz w:val="20"/>
                <w:szCs w:val="20"/>
              </w:rPr>
              <w:t>(549)</w:t>
            </w:r>
          </w:p>
        </w:tc>
        <w:tc>
          <w:tcPr>
            <w:tcW w:w="661" w:type="pct"/>
            <w:tcBorders>
              <w:top w:val="nil"/>
              <w:left w:val="nil"/>
              <w:bottom w:val="nil"/>
              <w:right w:val="nil"/>
            </w:tcBorders>
            <w:shd w:val="clear" w:color="auto" w:fill="auto"/>
            <w:vAlign w:val="bottom"/>
          </w:tcPr>
          <w:p w14:paraId="1865CE4E" w14:textId="6BDB0857" w:rsidR="000D2791" w:rsidRPr="00041119" w:rsidRDefault="000D2791" w:rsidP="000D2791">
            <w:pPr>
              <w:tabs>
                <w:tab w:val="right" w:pos="1202"/>
              </w:tabs>
              <w:spacing w:after="0" w:line="301" w:lineRule="exact"/>
              <w:jc w:val="right"/>
              <w:outlineLvl w:val="0"/>
              <w:rPr>
                <w:rFonts w:eastAsia="Times New Roman" w:cs="Arial"/>
                <w:noProof/>
                <w:color w:val="000000" w:themeColor="text1"/>
                <w:sz w:val="20"/>
                <w:szCs w:val="20"/>
                <w:lang w:val="en-US"/>
              </w:rPr>
            </w:pPr>
            <w:r w:rsidRPr="00041119">
              <w:rPr>
                <w:sz w:val="20"/>
                <w:szCs w:val="20"/>
              </w:rPr>
              <w:t xml:space="preserve"> (314)</w:t>
            </w:r>
          </w:p>
        </w:tc>
      </w:tr>
      <w:tr w:rsidR="000D2791" w:rsidRPr="00041119" w14:paraId="3C9BC509" w14:textId="77777777" w:rsidTr="000D2791">
        <w:trPr>
          <w:trHeight w:val="291"/>
        </w:trPr>
        <w:tc>
          <w:tcPr>
            <w:tcW w:w="2355" w:type="pct"/>
            <w:vAlign w:val="bottom"/>
          </w:tcPr>
          <w:p w14:paraId="16739E94" w14:textId="1A7F039B" w:rsidR="000D2791" w:rsidRPr="00041119" w:rsidRDefault="000D2791" w:rsidP="000D2791">
            <w:pPr>
              <w:tabs>
                <w:tab w:val="right" w:pos="1202"/>
              </w:tabs>
              <w:spacing w:after="0" w:line="300" w:lineRule="exact"/>
              <w:outlineLvl w:val="0"/>
              <w:rPr>
                <w:rFonts w:eastAsia="Times New Roman" w:cs="Arial"/>
                <w:noProof/>
                <w:color w:val="000000" w:themeColor="text1"/>
                <w:sz w:val="20"/>
                <w:szCs w:val="20"/>
                <w:lang w:val="en-US"/>
              </w:rPr>
            </w:pPr>
            <w:bookmarkStart w:id="248" w:name="_Toc4058091"/>
            <w:r w:rsidRPr="00041119">
              <w:rPr>
                <w:rFonts w:eastAsia="Times New Roman" w:cs="Arial"/>
                <w:noProof/>
                <w:color w:val="000000" w:themeColor="text1"/>
                <w:sz w:val="20"/>
                <w:szCs w:val="20"/>
                <w:lang w:val="en-US"/>
              </w:rPr>
              <w:t>Impairment losses on deposits with other banks</w:t>
            </w:r>
            <w:bookmarkEnd w:id="248"/>
          </w:p>
        </w:tc>
        <w:tc>
          <w:tcPr>
            <w:tcW w:w="662" w:type="pct"/>
            <w:tcBorders>
              <w:top w:val="nil"/>
              <w:left w:val="nil"/>
              <w:bottom w:val="nil"/>
              <w:right w:val="nil"/>
            </w:tcBorders>
            <w:shd w:val="clear" w:color="auto" w:fill="auto"/>
            <w:vAlign w:val="bottom"/>
          </w:tcPr>
          <w:p w14:paraId="6C976091" w14:textId="42460B7F" w:rsidR="000D2791" w:rsidRPr="004B1C54" w:rsidRDefault="000D2791" w:rsidP="000D2791">
            <w:pPr>
              <w:tabs>
                <w:tab w:val="right" w:pos="1202"/>
              </w:tabs>
              <w:spacing w:after="0" w:line="301" w:lineRule="exact"/>
              <w:jc w:val="right"/>
              <w:outlineLvl w:val="0"/>
              <w:rPr>
                <w:rFonts w:eastAsia="Times New Roman" w:cs="Arial"/>
                <w:noProof/>
                <w:color w:val="000000" w:themeColor="text1"/>
                <w:sz w:val="20"/>
                <w:szCs w:val="20"/>
                <w:lang w:val="en-US"/>
              </w:rPr>
            </w:pPr>
            <w:r w:rsidRPr="004B1C54">
              <w:rPr>
                <w:rFonts w:ascii="Calibri" w:eastAsia="Times New Roman" w:hAnsi="Calibri" w:cs="Calibri"/>
                <w:color w:val="000000" w:themeColor="text1"/>
                <w:sz w:val="20"/>
                <w:szCs w:val="20"/>
              </w:rPr>
              <w:t>(1)</w:t>
            </w:r>
          </w:p>
        </w:tc>
        <w:tc>
          <w:tcPr>
            <w:tcW w:w="661" w:type="pct"/>
            <w:tcBorders>
              <w:top w:val="nil"/>
              <w:left w:val="nil"/>
              <w:bottom w:val="nil"/>
              <w:right w:val="nil"/>
            </w:tcBorders>
            <w:shd w:val="clear" w:color="auto" w:fill="auto"/>
            <w:vAlign w:val="bottom"/>
          </w:tcPr>
          <w:p w14:paraId="06607B7D" w14:textId="1EA0AF19" w:rsidR="000D2791" w:rsidRPr="00041119" w:rsidRDefault="000D2791" w:rsidP="000D2791">
            <w:pPr>
              <w:tabs>
                <w:tab w:val="right" w:pos="1202"/>
              </w:tabs>
              <w:spacing w:after="0" w:line="301" w:lineRule="exact"/>
              <w:jc w:val="right"/>
              <w:outlineLvl w:val="0"/>
              <w:rPr>
                <w:rFonts w:eastAsia="Times New Roman" w:cs="Arial"/>
                <w:noProof/>
                <w:color w:val="000000" w:themeColor="text1"/>
                <w:sz w:val="20"/>
                <w:szCs w:val="20"/>
                <w:lang w:val="en-US"/>
              </w:rPr>
            </w:pPr>
            <w:r w:rsidRPr="00041119">
              <w:rPr>
                <w:sz w:val="20"/>
                <w:szCs w:val="20"/>
              </w:rPr>
              <w:t xml:space="preserve"> 10 </w:t>
            </w:r>
          </w:p>
        </w:tc>
        <w:tc>
          <w:tcPr>
            <w:tcW w:w="662" w:type="pct"/>
            <w:tcBorders>
              <w:top w:val="nil"/>
              <w:left w:val="nil"/>
              <w:bottom w:val="nil"/>
              <w:right w:val="nil"/>
            </w:tcBorders>
            <w:shd w:val="clear" w:color="auto" w:fill="auto"/>
            <w:vAlign w:val="bottom"/>
          </w:tcPr>
          <w:p w14:paraId="3E6E1199" w14:textId="2D4D5F07" w:rsidR="000D2791" w:rsidRPr="000D2791" w:rsidRDefault="000D2791" w:rsidP="000D2791">
            <w:pPr>
              <w:tabs>
                <w:tab w:val="right" w:pos="1202"/>
              </w:tabs>
              <w:spacing w:after="0" w:line="301" w:lineRule="exact"/>
              <w:jc w:val="right"/>
              <w:outlineLvl w:val="0"/>
              <w:rPr>
                <w:rFonts w:eastAsia="Times New Roman" w:cs="Arial"/>
                <w:noProof/>
                <w:color w:val="000000" w:themeColor="text1"/>
                <w:sz w:val="20"/>
                <w:szCs w:val="20"/>
                <w:lang w:val="en-US"/>
              </w:rPr>
            </w:pPr>
            <w:r w:rsidRPr="000D2791">
              <w:rPr>
                <w:rFonts w:cstheme="minorHAnsi"/>
                <w:sz w:val="20"/>
                <w:szCs w:val="20"/>
              </w:rPr>
              <w:t>(1)</w:t>
            </w:r>
          </w:p>
        </w:tc>
        <w:tc>
          <w:tcPr>
            <w:tcW w:w="661" w:type="pct"/>
            <w:tcBorders>
              <w:top w:val="nil"/>
              <w:left w:val="nil"/>
              <w:bottom w:val="nil"/>
              <w:right w:val="nil"/>
            </w:tcBorders>
            <w:shd w:val="clear" w:color="auto" w:fill="auto"/>
            <w:vAlign w:val="bottom"/>
          </w:tcPr>
          <w:p w14:paraId="1FA5F459" w14:textId="2C76A858" w:rsidR="000D2791" w:rsidRPr="00041119" w:rsidRDefault="000D2791" w:rsidP="000D2791">
            <w:pPr>
              <w:tabs>
                <w:tab w:val="right" w:pos="1202"/>
              </w:tabs>
              <w:spacing w:after="0" w:line="301" w:lineRule="exact"/>
              <w:jc w:val="right"/>
              <w:outlineLvl w:val="0"/>
              <w:rPr>
                <w:rFonts w:eastAsia="Times New Roman" w:cs="Arial"/>
                <w:noProof/>
                <w:color w:val="000000" w:themeColor="text1"/>
                <w:sz w:val="20"/>
                <w:szCs w:val="20"/>
                <w:lang w:val="en-US"/>
              </w:rPr>
            </w:pPr>
            <w:r w:rsidRPr="00041119">
              <w:rPr>
                <w:sz w:val="20"/>
                <w:szCs w:val="20"/>
              </w:rPr>
              <w:t xml:space="preserve"> 10 </w:t>
            </w:r>
          </w:p>
        </w:tc>
      </w:tr>
      <w:tr w:rsidR="000D2791" w:rsidRPr="00041119" w14:paraId="5FEAE157" w14:textId="77777777" w:rsidTr="000D2791">
        <w:trPr>
          <w:trHeight w:val="302"/>
        </w:trPr>
        <w:tc>
          <w:tcPr>
            <w:tcW w:w="2355" w:type="pct"/>
            <w:vAlign w:val="bottom"/>
          </w:tcPr>
          <w:p w14:paraId="3EE2C7C8" w14:textId="5270C8ED" w:rsidR="000D2791" w:rsidRPr="00041119" w:rsidRDefault="000D2791" w:rsidP="000D2791">
            <w:pPr>
              <w:tabs>
                <w:tab w:val="right" w:pos="1202"/>
              </w:tabs>
              <w:spacing w:after="0" w:line="300" w:lineRule="exact"/>
              <w:outlineLvl w:val="0"/>
              <w:rPr>
                <w:rFonts w:eastAsia="Times New Roman" w:cs="Arial"/>
                <w:noProof/>
                <w:color w:val="000000" w:themeColor="text1"/>
                <w:sz w:val="20"/>
                <w:szCs w:val="20"/>
                <w:lang w:val="en-US"/>
              </w:rPr>
            </w:pPr>
            <w:bookmarkStart w:id="249" w:name="_Toc4058096"/>
            <w:r w:rsidRPr="00041119">
              <w:rPr>
                <w:rFonts w:eastAsia="Times New Roman" w:cs="Arial"/>
                <w:noProof/>
                <w:color w:val="000000" w:themeColor="text1"/>
                <w:sz w:val="20"/>
                <w:szCs w:val="20"/>
                <w:lang w:val="en-US"/>
              </w:rPr>
              <w:t>Impairment losses on loans to financial institutions</w:t>
            </w:r>
            <w:bookmarkEnd w:id="249"/>
          </w:p>
        </w:tc>
        <w:tc>
          <w:tcPr>
            <w:tcW w:w="662" w:type="pct"/>
            <w:tcBorders>
              <w:top w:val="nil"/>
              <w:left w:val="nil"/>
              <w:bottom w:val="nil"/>
              <w:right w:val="nil"/>
            </w:tcBorders>
            <w:shd w:val="clear" w:color="auto" w:fill="auto"/>
            <w:vAlign w:val="bottom"/>
          </w:tcPr>
          <w:p w14:paraId="1D171182" w14:textId="4B447ACB" w:rsidR="000D2791" w:rsidRPr="004B1C54" w:rsidRDefault="000D2791" w:rsidP="000D2791">
            <w:pPr>
              <w:tabs>
                <w:tab w:val="right" w:pos="1202"/>
              </w:tabs>
              <w:spacing w:after="0" w:line="301" w:lineRule="exact"/>
              <w:jc w:val="right"/>
              <w:outlineLvl w:val="0"/>
              <w:rPr>
                <w:rFonts w:eastAsia="Times New Roman" w:cs="Arial"/>
                <w:noProof/>
                <w:color w:val="000000" w:themeColor="text1"/>
                <w:sz w:val="20"/>
                <w:szCs w:val="20"/>
                <w:lang w:val="en-US"/>
              </w:rPr>
            </w:pPr>
            <w:r w:rsidRPr="004B1C54">
              <w:rPr>
                <w:rFonts w:ascii="Calibri" w:eastAsia="Times New Roman" w:hAnsi="Calibri" w:cs="Calibri"/>
                <w:color w:val="000000" w:themeColor="text1"/>
                <w:sz w:val="20"/>
                <w:szCs w:val="20"/>
              </w:rPr>
              <w:t>(1</w:t>
            </w:r>
            <w:r>
              <w:rPr>
                <w:rFonts w:ascii="Calibri" w:eastAsia="Times New Roman" w:hAnsi="Calibri" w:cs="Calibri"/>
                <w:color w:val="000000" w:themeColor="text1"/>
                <w:sz w:val="20"/>
                <w:szCs w:val="20"/>
              </w:rPr>
              <w:t>,</w:t>
            </w:r>
            <w:r w:rsidRPr="004B1C54">
              <w:rPr>
                <w:rFonts w:ascii="Calibri" w:eastAsia="Times New Roman" w:hAnsi="Calibri" w:cs="Calibri"/>
                <w:color w:val="000000" w:themeColor="text1"/>
                <w:sz w:val="20"/>
                <w:szCs w:val="20"/>
              </w:rPr>
              <w:t>105)</w:t>
            </w:r>
          </w:p>
        </w:tc>
        <w:tc>
          <w:tcPr>
            <w:tcW w:w="661" w:type="pct"/>
            <w:tcBorders>
              <w:top w:val="nil"/>
              <w:left w:val="nil"/>
              <w:bottom w:val="nil"/>
              <w:right w:val="nil"/>
            </w:tcBorders>
            <w:shd w:val="clear" w:color="auto" w:fill="auto"/>
            <w:vAlign w:val="bottom"/>
          </w:tcPr>
          <w:p w14:paraId="19077781" w14:textId="216C5937" w:rsidR="000D2791" w:rsidRPr="00041119" w:rsidRDefault="000D2791" w:rsidP="000D2791">
            <w:pPr>
              <w:tabs>
                <w:tab w:val="right" w:pos="1202"/>
              </w:tabs>
              <w:spacing w:after="0" w:line="301" w:lineRule="exact"/>
              <w:jc w:val="right"/>
              <w:outlineLvl w:val="0"/>
              <w:rPr>
                <w:rFonts w:eastAsia="Times New Roman" w:cs="Arial"/>
                <w:noProof/>
                <w:color w:val="000000" w:themeColor="text1"/>
                <w:sz w:val="20"/>
                <w:szCs w:val="20"/>
                <w:lang w:val="en-US"/>
              </w:rPr>
            </w:pPr>
            <w:r w:rsidRPr="00041119">
              <w:rPr>
                <w:sz w:val="20"/>
                <w:szCs w:val="20"/>
              </w:rPr>
              <w:t xml:space="preserve"> (6,454)</w:t>
            </w:r>
          </w:p>
        </w:tc>
        <w:tc>
          <w:tcPr>
            <w:tcW w:w="662" w:type="pct"/>
            <w:tcBorders>
              <w:top w:val="nil"/>
              <w:left w:val="nil"/>
              <w:bottom w:val="nil"/>
              <w:right w:val="nil"/>
            </w:tcBorders>
            <w:shd w:val="clear" w:color="auto" w:fill="auto"/>
            <w:vAlign w:val="bottom"/>
          </w:tcPr>
          <w:p w14:paraId="4E804A15" w14:textId="12458ECC" w:rsidR="000D2791" w:rsidRPr="000D2791" w:rsidRDefault="000D2791" w:rsidP="000D2791">
            <w:pPr>
              <w:tabs>
                <w:tab w:val="right" w:pos="1202"/>
              </w:tabs>
              <w:spacing w:after="0" w:line="301" w:lineRule="exact"/>
              <w:jc w:val="right"/>
              <w:outlineLvl w:val="0"/>
              <w:rPr>
                <w:rFonts w:eastAsia="Times New Roman" w:cs="Arial"/>
                <w:noProof/>
                <w:color w:val="000000" w:themeColor="text1"/>
                <w:sz w:val="20"/>
                <w:szCs w:val="20"/>
                <w:lang w:val="en-US"/>
              </w:rPr>
            </w:pPr>
            <w:r w:rsidRPr="000D2791">
              <w:rPr>
                <w:rFonts w:cstheme="minorHAnsi"/>
                <w:sz w:val="20"/>
                <w:szCs w:val="20"/>
              </w:rPr>
              <w:t>(1</w:t>
            </w:r>
            <w:r>
              <w:rPr>
                <w:rFonts w:cstheme="minorHAnsi"/>
                <w:sz w:val="20"/>
                <w:szCs w:val="20"/>
              </w:rPr>
              <w:t>,</w:t>
            </w:r>
            <w:r w:rsidRPr="000D2791">
              <w:rPr>
                <w:rFonts w:cstheme="minorHAnsi"/>
                <w:sz w:val="20"/>
                <w:szCs w:val="20"/>
              </w:rPr>
              <w:t>105)</w:t>
            </w:r>
          </w:p>
        </w:tc>
        <w:tc>
          <w:tcPr>
            <w:tcW w:w="661" w:type="pct"/>
            <w:tcBorders>
              <w:top w:val="nil"/>
              <w:left w:val="nil"/>
              <w:bottom w:val="nil"/>
              <w:right w:val="nil"/>
            </w:tcBorders>
            <w:shd w:val="clear" w:color="auto" w:fill="auto"/>
            <w:vAlign w:val="bottom"/>
          </w:tcPr>
          <w:p w14:paraId="2AA6E6A4" w14:textId="2B236FA4" w:rsidR="000D2791" w:rsidRPr="00041119" w:rsidRDefault="000D2791" w:rsidP="000D2791">
            <w:pPr>
              <w:tabs>
                <w:tab w:val="right" w:pos="1202"/>
              </w:tabs>
              <w:spacing w:after="0" w:line="301" w:lineRule="exact"/>
              <w:jc w:val="right"/>
              <w:outlineLvl w:val="0"/>
              <w:rPr>
                <w:rFonts w:eastAsia="Times New Roman" w:cs="Arial"/>
                <w:noProof/>
                <w:color w:val="000000" w:themeColor="text1"/>
                <w:sz w:val="20"/>
                <w:szCs w:val="20"/>
                <w:lang w:val="en-US"/>
              </w:rPr>
            </w:pPr>
            <w:r w:rsidRPr="00041119">
              <w:rPr>
                <w:sz w:val="20"/>
                <w:szCs w:val="20"/>
              </w:rPr>
              <w:t xml:space="preserve"> (6,454)</w:t>
            </w:r>
          </w:p>
        </w:tc>
      </w:tr>
      <w:tr w:rsidR="000D2791" w:rsidRPr="00041119" w14:paraId="086E4FF3" w14:textId="77777777" w:rsidTr="000D2791">
        <w:trPr>
          <w:trHeight w:val="582"/>
        </w:trPr>
        <w:tc>
          <w:tcPr>
            <w:tcW w:w="2355" w:type="pct"/>
            <w:vAlign w:val="bottom"/>
          </w:tcPr>
          <w:p w14:paraId="50D3B68C" w14:textId="230D8ABF" w:rsidR="000D2791" w:rsidRPr="00041119" w:rsidRDefault="000D2791" w:rsidP="000D2791">
            <w:pPr>
              <w:tabs>
                <w:tab w:val="right" w:pos="1202"/>
              </w:tabs>
              <w:spacing w:after="0" w:line="300" w:lineRule="exact"/>
              <w:outlineLvl w:val="0"/>
              <w:rPr>
                <w:rFonts w:eastAsia="Times New Roman" w:cs="Arial"/>
                <w:noProof/>
                <w:color w:val="000000" w:themeColor="text1"/>
                <w:sz w:val="20"/>
                <w:szCs w:val="20"/>
                <w:lang w:val="en-US"/>
              </w:rPr>
            </w:pPr>
            <w:bookmarkStart w:id="250" w:name="_Toc4058101"/>
            <w:r w:rsidRPr="00041119">
              <w:rPr>
                <w:rFonts w:eastAsia="Times New Roman" w:cs="Arial"/>
                <w:noProof/>
                <w:color w:val="000000" w:themeColor="text1"/>
                <w:sz w:val="20"/>
                <w:szCs w:val="20"/>
                <w:lang w:val="en-US"/>
              </w:rPr>
              <w:t>Impairment losses on loans to other customers and interest</w:t>
            </w:r>
            <w:bookmarkEnd w:id="250"/>
          </w:p>
        </w:tc>
        <w:tc>
          <w:tcPr>
            <w:tcW w:w="662" w:type="pct"/>
            <w:tcBorders>
              <w:top w:val="nil"/>
              <w:left w:val="nil"/>
              <w:bottom w:val="nil"/>
              <w:right w:val="nil"/>
            </w:tcBorders>
            <w:shd w:val="clear" w:color="auto" w:fill="auto"/>
            <w:vAlign w:val="bottom"/>
          </w:tcPr>
          <w:p w14:paraId="650F00EF" w14:textId="0C6BE592" w:rsidR="000D2791" w:rsidRPr="004B1C54" w:rsidRDefault="000D2791" w:rsidP="000D2791">
            <w:pPr>
              <w:tabs>
                <w:tab w:val="right" w:pos="1202"/>
              </w:tabs>
              <w:spacing w:after="0" w:line="301" w:lineRule="exact"/>
              <w:jc w:val="right"/>
              <w:outlineLvl w:val="0"/>
              <w:rPr>
                <w:rFonts w:eastAsia="Times New Roman" w:cs="Arial"/>
                <w:noProof/>
                <w:color w:val="000000" w:themeColor="text1"/>
                <w:sz w:val="20"/>
                <w:szCs w:val="20"/>
                <w:lang w:val="en-US"/>
              </w:rPr>
            </w:pPr>
            <w:r w:rsidRPr="004B1C54">
              <w:rPr>
                <w:rFonts w:ascii="Calibri" w:eastAsia="Times New Roman" w:hAnsi="Calibri" w:cs="Calibri"/>
                <w:color w:val="000000" w:themeColor="text1"/>
                <w:sz w:val="20"/>
                <w:szCs w:val="20"/>
              </w:rPr>
              <w:t>(121</w:t>
            </w:r>
            <w:r>
              <w:rPr>
                <w:rFonts w:ascii="Calibri" w:eastAsia="Times New Roman" w:hAnsi="Calibri" w:cs="Calibri"/>
                <w:color w:val="000000" w:themeColor="text1"/>
                <w:sz w:val="20"/>
                <w:szCs w:val="20"/>
              </w:rPr>
              <w:t>,</w:t>
            </w:r>
            <w:r w:rsidRPr="004B1C54">
              <w:rPr>
                <w:rFonts w:ascii="Calibri" w:eastAsia="Times New Roman" w:hAnsi="Calibri" w:cs="Calibri"/>
                <w:color w:val="000000" w:themeColor="text1"/>
                <w:sz w:val="20"/>
                <w:szCs w:val="20"/>
              </w:rPr>
              <w:t>000)</w:t>
            </w:r>
          </w:p>
        </w:tc>
        <w:tc>
          <w:tcPr>
            <w:tcW w:w="661" w:type="pct"/>
            <w:tcBorders>
              <w:top w:val="nil"/>
              <w:left w:val="nil"/>
              <w:bottom w:val="nil"/>
              <w:right w:val="nil"/>
            </w:tcBorders>
            <w:shd w:val="clear" w:color="auto" w:fill="auto"/>
            <w:vAlign w:val="bottom"/>
          </w:tcPr>
          <w:p w14:paraId="0BA3B621" w14:textId="3368C418" w:rsidR="000D2791" w:rsidRPr="00041119" w:rsidRDefault="000D2791" w:rsidP="000D2791">
            <w:pPr>
              <w:tabs>
                <w:tab w:val="right" w:pos="1202"/>
              </w:tabs>
              <w:spacing w:after="0" w:line="301" w:lineRule="exact"/>
              <w:jc w:val="right"/>
              <w:outlineLvl w:val="0"/>
              <w:rPr>
                <w:rFonts w:eastAsia="Times New Roman" w:cs="Arial"/>
                <w:noProof/>
                <w:color w:val="000000" w:themeColor="text1"/>
                <w:sz w:val="20"/>
                <w:szCs w:val="20"/>
                <w:lang w:val="en-US"/>
              </w:rPr>
            </w:pPr>
            <w:r w:rsidRPr="00041119">
              <w:rPr>
                <w:sz w:val="20"/>
                <w:szCs w:val="20"/>
              </w:rPr>
              <w:t xml:space="preserve"> (54,545)</w:t>
            </w:r>
          </w:p>
        </w:tc>
        <w:tc>
          <w:tcPr>
            <w:tcW w:w="662" w:type="pct"/>
            <w:tcBorders>
              <w:top w:val="nil"/>
              <w:left w:val="nil"/>
              <w:bottom w:val="nil"/>
              <w:right w:val="nil"/>
            </w:tcBorders>
            <w:shd w:val="clear" w:color="auto" w:fill="auto"/>
            <w:vAlign w:val="bottom"/>
          </w:tcPr>
          <w:p w14:paraId="228ED9A5" w14:textId="5CB80764" w:rsidR="000D2791" w:rsidRPr="000D2791" w:rsidRDefault="000D2791" w:rsidP="000D2791">
            <w:pPr>
              <w:tabs>
                <w:tab w:val="right" w:pos="1202"/>
              </w:tabs>
              <w:spacing w:after="0" w:line="301" w:lineRule="exact"/>
              <w:jc w:val="right"/>
              <w:outlineLvl w:val="0"/>
              <w:rPr>
                <w:rFonts w:eastAsia="Times New Roman" w:cs="Arial"/>
                <w:noProof/>
                <w:color w:val="000000" w:themeColor="text1"/>
                <w:sz w:val="20"/>
                <w:szCs w:val="20"/>
                <w:lang w:val="en-US"/>
              </w:rPr>
            </w:pPr>
            <w:r w:rsidRPr="000D2791">
              <w:rPr>
                <w:rFonts w:cstheme="minorHAnsi"/>
                <w:sz w:val="20"/>
                <w:szCs w:val="20"/>
              </w:rPr>
              <w:t>(121</w:t>
            </w:r>
            <w:r>
              <w:rPr>
                <w:rFonts w:cstheme="minorHAnsi"/>
                <w:sz w:val="20"/>
                <w:szCs w:val="20"/>
              </w:rPr>
              <w:t>,</w:t>
            </w:r>
            <w:r w:rsidRPr="000D2791">
              <w:rPr>
                <w:rFonts w:cstheme="minorHAnsi"/>
                <w:sz w:val="20"/>
                <w:szCs w:val="20"/>
              </w:rPr>
              <w:t>000)</w:t>
            </w:r>
          </w:p>
        </w:tc>
        <w:tc>
          <w:tcPr>
            <w:tcW w:w="661" w:type="pct"/>
            <w:tcBorders>
              <w:top w:val="nil"/>
              <w:left w:val="nil"/>
              <w:bottom w:val="nil"/>
              <w:right w:val="nil"/>
            </w:tcBorders>
            <w:shd w:val="clear" w:color="auto" w:fill="auto"/>
            <w:vAlign w:val="bottom"/>
          </w:tcPr>
          <w:p w14:paraId="5D40579F" w14:textId="5D4CCA31" w:rsidR="000D2791" w:rsidRPr="00041119" w:rsidRDefault="000D2791" w:rsidP="000D2791">
            <w:pPr>
              <w:tabs>
                <w:tab w:val="right" w:pos="1202"/>
              </w:tabs>
              <w:spacing w:after="0" w:line="301" w:lineRule="exact"/>
              <w:jc w:val="right"/>
              <w:outlineLvl w:val="0"/>
              <w:rPr>
                <w:rFonts w:eastAsia="Times New Roman" w:cs="Arial"/>
                <w:noProof/>
                <w:color w:val="000000" w:themeColor="text1"/>
                <w:sz w:val="20"/>
                <w:szCs w:val="20"/>
                <w:lang w:val="en-US"/>
              </w:rPr>
            </w:pPr>
            <w:r w:rsidRPr="00041119">
              <w:rPr>
                <w:sz w:val="20"/>
                <w:szCs w:val="20"/>
              </w:rPr>
              <w:t xml:space="preserve"> (54,545)</w:t>
            </w:r>
          </w:p>
        </w:tc>
      </w:tr>
      <w:tr w:rsidR="000D2791" w:rsidRPr="00041119" w14:paraId="278BAE4B" w14:textId="77777777" w:rsidTr="000D2791">
        <w:trPr>
          <w:trHeight w:val="303"/>
        </w:trPr>
        <w:tc>
          <w:tcPr>
            <w:tcW w:w="2355" w:type="pct"/>
            <w:vAlign w:val="bottom"/>
          </w:tcPr>
          <w:p w14:paraId="0AFDC0F2" w14:textId="7BA549C6" w:rsidR="000D2791" w:rsidRPr="00041119" w:rsidRDefault="000D2791" w:rsidP="000D2791">
            <w:pPr>
              <w:tabs>
                <w:tab w:val="right" w:pos="1202"/>
              </w:tabs>
              <w:spacing w:after="0" w:line="300" w:lineRule="exact"/>
              <w:outlineLvl w:val="0"/>
              <w:rPr>
                <w:rFonts w:eastAsia="Times New Roman" w:cs="Arial"/>
                <w:noProof/>
                <w:color w:val="000000" w:themeColor="text1"/>
                <w:sz w:val="20"/>
                <w:szCs w:val="20"/>
                <w:lang w:val="en-US"/>
              </w:rPr>
            </w:pPr>
            <w:bookmarkStart w:id="251" w:name="_Toc4058106"/>
            <w:r w:rsidRPr="00041119">
              <w:rPr>
                <w:rFonts w:eastAsia="Times New Roman" w:cs="Arial"/>
                <w:noProof/>
                <w:color w:val="000000" w:themeColor="text1"/>
                <w:sz w:val="20"/>
                <w:szCs w:val="20"/>
                <w:lang w:val="en-US"/>
              </w:rPr>
              <w:t xml:space="preserve">Modification </w:t>
            </w:r>
            <w:r>
              <w:rPr>
                <w:rFonts w:eastAsia="Times New Roman" w:cs="Arial"/>
                <w:noProof/>
                <w:color w:val="000000" w:themeColor="text1"/>
                <w:sz w:val="20"/>
                <w:szCs w:val="20"/>
                <w:lang w:val="en-US"/>
              </w:rPr>
              <w:t>(gain)</w:t>
            </w:r>
            <w:r w:rsidRPr="00041119">
              <w:rPr>
                <w:rFonts w:eastAsia="Times New Roman" w:cs="Arial"/>
                <w:noProof/>
                <w:color w:val="000000" w:themeColor="text1"/>
                <w:sz w:val="20"/>
                <w:szCs w:val="20"/>
                <w:lang w:val="en-US"/>
              </w:rPr>
              <w:t xml:space="preserve"> – financial institutions</w:t>
            </w:r>
            <w:bookmarkEnd w:id="251"/>
          </w:p>
        </w:tc>
        <w:tc>
          <w:tcPr>
            <w:tcW w:w="662" w:type="pct"/>
            <w:tcBorders>
              <w:top w:val="nil"/>
              <w:left w:val="nil"/>
              <w:bottom w:val="nil"/>
              <w:right w:val="nil"/>
            </w:tcBorders>
            <w:shd w:val="clear" w:color="auto" w:fill="auto"/>
            <w:vAlign w:val="bottom"/>
          </w:tcPr>
          <w:p w14:paraId="43DFC913" w14:textId="08AAAAB0" w:rsidR="000D2791" w:rsidRPr="004B1C54" w:rsidRDefault="000D2791" w:rsidP="000D2791">
            <w:pPr>
              <w:tabs>
                <w:tab w:val="right" w:pos="1202"/>
              </w:tabs>
              <w:spacing w:after="0" w:line="301" w:lineRule="exact"/>
              <w:jc w:val="right"/>
              <w:outlineLvl w:val="0"/>
              <w:rPr>
                <w:rFonts w:ascii="Calibri" w:eastAsia="Times New Roman" w:hAnsi="Calibri" w:cs="Calibri"/>
                <w:noProof/>
                <w:color w:val="000000" w:themeColor="text1"/>
                <w:sz w:val="20"/>
                <w:szCs w:val="20"/>
                <w:lang w:val="en-US"/>
              </w:rPr>
            </w:pPr>
            <w:r w:rsidRPr="004B1C54">
              <w:rPr>
                <w:rFonts w:ascii="Calibri" w:eastAsia="Times New Roman" w:hAnsi="Calibri" w:cs="Calibri"/>
                <w:color w:val="000000" w:themeColor="text1"/>
                <w:sz w:val="20"/>
                <w:szCs w:val="20"/>
              </w:rPr>
              <w:t>(330)</w:t>
            </w:r>
          </w:p>
        </w:tc>
        <w:tc>
          <w:tcPr>
            <w:tcW w:w="661" w:type="pct"/>
            <w:tcBorders>
              <w:top w:val="nil"/>
              <w:left w:val="nil"/>
              <w:bottom w:val="nil"/>
              <w:right w:val="nil"/>
            </w:tcBorders>
            <w:shd w:val="clear" w:color="auto" w:fill="auto"/>
            <w:vAlign w:val="bottom"/>
          </w:tcPr>
          <w:p w14:paraId="7B31AA7A" w14:textId="53176C75" w:rsidR="000D2791" w:rsidRPr="00041119" w:rsidRDefault="000D2791" w:rsidP="000D2791">
            <w:pPr>
              <w:tabs>
                <w:tab w:val="right" w:pos="1202"/>
              </w:tabs>
              <w:spacing w:after="0" w:line="301" w:lineRule="exact"/>
              <w:jc w:val="right"/>
              <w:outlineLvl w:val="0"/>
              <w:rPr>
                <w:rFonts w:ascii="Calibri" w:eastAsia="Times New Roman" w:hAnsi="Calibri" w:cs="Calibri"/>
                <w:noProof/>
                <w:color w:val="000000" w:themeColor="text1"/>
                <w:sz w:val="20"/>
                <w:szCs w:val="20"/>
                <w:lang w:val="en-US"/>
              </w:rPr>
            </w:pPr>
            <w:r w:rsidRPr="00041119">
              <w:rPr>
                <w:sz w:val="20"/>
                <w:szCs w:val="20"/>
              </w:rPr>
              <w:t xml:space="preserve"> (627)</w:t>
            </w:r>
          </w:p>
        </w:tc>
        <w:tc>
          <w:tcPr>
            <w:tcW w:w="662" w:type="pct"/>
            <w:tcBorders>
              <w:top w:val="nil"/>
              <w:left w:val="nil"/>
              <w:bottom w:val="nil"/>
              <w:right w:val="nil"/>
            </w:tcBorders>
            <w:shd w:val="clear" w:color="auto" w:fill="auto"/>
            <w:vAlign w:val="bottom"/>
          </w:tcPr>
          <w:p w14:paraId="3B65FC96" w14:textId="59AB7650" w:rsidR="000D2791" w:rsidRPr="000D2791" w:rsidRDefault="000D2791" w:rsidP="000D2791">
            <w:pPr>
              <w:tabs>
                <w:tab w:val="right" w:pos="1202"/>
              </w:tabs>
              <w:spacing w:after="0" w:line="301" w:lineRule="exact"/>
              <w:jc w:val="right"/>
              <w:outlineLvl w:val="0"/>
              <w:rPr>
                <w:rFonts w:eastAsia="Times New Roman" w:cs="Arial"/>
                <w:noProof/>
                <w:color w:val="000000" w:themeColor="text1"/>
                <w:sz w:val="20"/>
                <w:szCs w:val="20"/>
                <w:lang w:val="en-US"/>
              </w:rPr>
            </w:pPr>
            <w:r w:rsidRPr="000D2791">
              <w:rPr>
                <w:rFonts w:cstheme="minorHAnsi"/>
                <w:sz w:val="20"/>
                <w:szCs w:val="20"/>
              </w:rPr>
              <w:t>(330)</w:t>
            </w:r>
          </w:p>
        </w:tc>
        <w:tc>
          <w:tcPr>
            <w:tcW w:w="661" w:type="pct"/>
            <w:tcBorders>
              <w:top w:val="nil"/>
              <w:left w:val="nil"/>
              <w:bottom w:val="nil"/>
              <w:right w:val="nil"/>
            </w:tcBorders>
            <w:shd w:val="clear" w:color="auto" w:fill="auto"/>
            <w:vAlign w:val="bottom"/>
          </w:tcPr>
          <w:p w14:paraId="5297E07B" w14:textId="1919AD28" w:rsidR="000D2791" w:rsidRPr="00041119" w:rsidRDefault="000D2791" w:rsidP="000D2791">
            <w:pPr>
              <w:tabs>
                <w:tab w:val="right" w:pos="1202"/>
              </w:tabs>
              <w:spacing w:after="0" w:line="301" w:lineRule="exact"/>
              <w:jc w:val="right"/>
              <w:outlineLvl w:val="0"/>
              <w:rPr>
                <w:rFonts w:eastAsia="Times New Roman" w:cs="Arial"/>
                <w:noProof/>
                <w:color w:val="000000" w:themeColor="text1"/>
                <w:sz w:val="20"/>
                <w:szCs w:val="20"/>
                <w:lang w:val="en-US"/>
              </w:rPr>
            </w:pPr>
            <w:r w:rsidRPr="00041119">
              <w:rPr>
                <w:sz w:val="20"/>
                <w:szCs w:val="20"/>
              </w:rPr>
              <w:t xml:space="preserve"> (627)</w:t>
            </w:r>
          </w:p>
        </w:tc>
      </w:tr>
      <w:tr w:rsidR="000D2791" w:rsidRPr="00041119" w14:paraId="5FB1A1AB" w14:textId="77777777" w:rsidTr="000D2791">
        <w:trPr>
          <w:trHeight w:val="77"/>
        </w:trPr>
        <w:tc>
          <w:tcPr>
            <w:tcW w:w="2355" w:type="pct"/>
            <w:vAlign w:val="bottom"/>
          </w:tcPr>
          <w:p w14:paraId="34AA4465" w14:textId="2B856BE2" w:rsidR="000D2791" w:rsidRPr="00041119" w:rsidRDefault="000D2791" w:rsidP="000D2791">
            <w:pPr>
              <w:tabs>
                <w:tab w:val="right" w:pos="1202"/>
              </w:tabs>
              <w:spacing w:after="0" w:line="300" w:lineRule="exact"/>
              <w:outlineLvl w:val="0"/>
              <w:rPr>
                <w:rFonts w:eastAsia="Times New Roman" w:cs="Arial"/>
                <w:noProof/>
                <w:color w:val="000000" w:themeColor="text1"/>
                <w:sz w:val="20"/>
                <w:szCs w:val="20"/>
                <w:lang w:val="en-US"/>
              </w:rPr>
            </w:pPr>
            <w:bookmarkStart w:id="252" w:name="_Toc4058111"/>
            <w:r w:rsidRPr="00041119">
              <w:rPr>
                <w:rFonts w:eastAsia="Times New Roman" w:cs="Arial"/>
                <w:noProof/>
                <w:color w:val="000000" w:themeColor="text1"/>
                <w:sz w:val="20"/>
                <w:szCs w:val="20"/>
                <w:lang w:val="en-US"/>
              </w:rPr>
              <w:t>Modification loss</w:t>
            </w:r>
            <w:r>
              <w:rPr>
                <w:rFonts w:eastAsia="Times New Roman" w:cs="Arial"/>
                <w:noProof/>
                <w:color w:val="000000" w:themeColor="text1"/>
                <w:sz w:val="20"/>
                <w:szCs w:val="20"/>
                <w:lang w:val="en-US"/>
              </w:rPr>
              <w:t>/(gain)</w:t>
            </w:r>
            <w:r w:rsidRPr="00041119">
              <w:rPr>
                <w:rFonts w:eastAsia="Times New Roman" w:cs="Arial"/>
                <w:noProof/>
                <w:color w:val="000000" w:themeColor="text1"/>
                <w:sz w:val="20"/>
                <w:szCs w:val="20"/>
                <w:lang w:val="en-US"/>
              </w:rPr>
              <w:t xml:space="preserve"> – other customers</w:t>
            </w:r>
            <w:bookmarkEnd w:id="252"/>
          </w:p>
        </w:tc>
        <w:tc>
          <w:tcPr>
            <w:tcW w:w="662" w:type="pct"/>
            <w:tcBorders>
              <w:top w:val="nil"/>
              <w:left w:val="nil"/>
              <w:bottom w:val="nil"/>
              <w:right w:val="nil"/>
            </w:tcBorders>
            <w:shd w:val="clear" w:color="auto" w:fill="auto"/>
            <w:vAlign w:val="bottom"/>
          </w:tcPr>
          <w:p w14:paraId="030EA5AB" w14:textId="7A5A0C3F" w:rsidR="000D2791" w:rsidRPr="004B1C54" w:rsidRDefault="000D2791" w:rsidP="000D2791">
            <w:pPr>
              <w:tabs>
                <w:tab w:val="right" w:pos="1202"/>
              </w:tabs>
              <w:spacing w:after="0" w:line="301" w:lineRule="exact"/>
              <w:jc w:val="right"/>
              <w:outlineLvl w:val="0"/>
              <w:rPr>
                <w:rFonts w:ascii="Calibri" w:eastAsia="Times New Roman" w:hAnsi="Calibri" w:cs="Calibri"/>
                <w:noProof/>
                <w:color w:val="000000" w:themeColor="text1"/>
                <w:sz w:val="20"/>
                <w:szCs w:val="20"/>
                <w:lang w:val="en-US"/>
              </w:rPr>
            </w:pPr>
            <w:r w:rsidRPr="004B1C54">
              <w:rPr>
                <w:rFonts w:ascii="Calibri" w:eastAsia="Times New Roman" w:hAnsi="Calibri" w:cs="Calibri"/>
                <w:color w:val="000000" w:themeColor="text1"/>
                <w:sz w:val="20"/>
                <w:szCs w:val="20"/>
              </w:rPr>
              <w:t>24</w:t>
            </w:r>
            <w:r>
              <w:rPr>
                <w:rFonts w:ascii="Calibri" w:eastAsia="Times New Roman" w:hAnsi="Calibri" w:cs="Calibri"/>
                <w:color w:val="000000" w:themeColor="text1"/>
                <w:sz w:val="20"/>
                <w:szCs w:val="20"/>
              </w:rPr>
              <w:t>,</w:t>
            </w:r>
            <w:r w:rsidRPr="004B1C54">
              <w:rPr>
                <w:rFonts w:ascii="Calibri" w:eastAsia="Times New Roman" w:hAnsi="Calibri" w:cs="Calibri"/>
                <w:color w:val="000000" w:themeColor="text1"/>
                <w:sz w:val="20"/>
                <w:szCs w:val="20"/>
              </w:rPr>
              <w:t>143</w:t>
            </w:r>
          </w:p>
        </w:tc>
        <w:tc>
          <w:tcPr>
            <w:tcW w:w="661" w:type="pct"/>
            <w:tcBorders>
              <w:top w:val="nil"/>
              <w:left w:val="nil"/>
              <w:bottom w:val="nil"/>
              <w:right w:val="nil"/>
            </w:tcBorders>
            <w:shd w:val="clear" w:color="auto" w:fill="auto"/>
            <w:vAlign w:val="bottom"/>
          </w:tcPr>
          <w:p w14:paraId="63F655D4" w14:textId="13EF0639" w:rsidR="000D2791" w:rsidRPr="00041119" w:rsidRDefault="000D2791" w:rsidP="000D2791">
            <w:pPr>
              <w:tabs>
                <w:tab w:val="right" w:pos="1202"/>
              </w:tabs>
              <w:spacing w:after="0" w:line="301" w:lineRule="exact"/>
              <w:jc w:val="right"/>
              <w:outlineLvl w:val="0"/>
              <w:rPr>
                <w:rFonts w:ascii="Calibri" w:eastAsia="Times New Roman" w:hAnsi="Calibri" w:cs="Calibri"/>
                <w:noProof/>
                <w:color w:val="000000" w:themeColor="text1"/>
                <w:sz w:val="20"/>
                <w:szCs w:val="20"/>
                <w:lang w:val="en-US"/>
              </w:rPr>
            </w:pPr>
            <w:r w:rsidRPr="00041119">
              <w:rPr>
                <w:sz w:val="20"/>
                <w:szCs w:val="20"/>
              </w:rPr>
              <w:t xml:space="preserve"> (4,216)</w:t>
            </w:r>
          </w:p>
        </w:tc>
        <w:tc>
          <w:tcPr>
            <w:tcW w:w="662" w:type="pct"/>
            <w:tcBorders>
              <w:top w:val="nil"/>
              <w:left w:val="nil"/>
              <w:bottom w:val="nil"/>
              <w:right w:val="nil"/>
            </w:tcBorders>
            <w:shd w:val="clear" w:color="auto" w:fill="auto"/>
            <w:vAlign w:val="bottom"/>
          </w:tcPr>
          <w:p w14:paraId="7C479582" w14:textId="42BE48DE" w:rsidR="000D2791" w:rsidRPr="000D2791" w:rsidRDefault="000D2791" w:rsidP="000D2791">
            <w:pPr>
              <w:tabs>
                <w:tab w:val="right" w:pos="1202"/>
              </w:tabs>
              <w:spacing w:after="0" w:line="301" w:lineRule="exact"/>
              <w:jc w:val="right"/>
              <w:outlineLvl w:val="0"/>
              <w:rPr>
                <w:rFonts w:eastAsia="Times New Roman" w:cs="Arial"/>
                <w:noProof/>
                <w:color w:val="000000" w:themeColor="text1"/>
                <w:sz w:val="20"/>
                <w:szCs w:val="20"/>
                <w:lang w:val="en-US"/>
              </w:rPr>
            </w:pPr>
            <w:r w:rsidRPr="000D2791">
              <w:rPr>
                <w:rFonts w:cstheme="minorHAnsi"/>
                <w:sz w:val="20"/>
                <w:szCs w:val="20"/>
              </w:rPr>
              <w:t>24</w:t>
            </w:r>
            <w:r>
              <w:rPr>
                <w:rFonts w:cstheme="minorHAnsi"/>
                <w:sz w:val="20"/>
                <w:szCs w:val="20"/>
              </w:rPr>
              <w:t>,</w:t>
            </w:r>
            <w:r w:rsidRPr="000D2791">
              <w:rPr>
                <w:rFonts w:cstheme="minorHAnsi"/>
                <w:sz w:val="20"/>
                <w:szCs w:val="20"/>
              </w:rPr>
              <w:t>143</w:t>
            </w:r>
          </w:p>
        </w:tc>
        <w:tc>
          <w:tcPr>
            <w:tcW w:w="661" w:type="pct"/>
            <w:tcBorders>
              <w:top w:val="nil"/>
              <w:left w:val="nil"/>
              <w:bottom w:val="nil"/>
              <w:right w:val="nil"/>
            </w:tcBorders>
            <w:shd w:val="clear" w:color="auto" w:fill="auto"/>
            <w:vAlign w:val="bottom"/>
          </w:tcPr>
          <w:p w14:paraId="613F97DB" w14:textId="78670C61" w:rsidR="000D2791" w:rsidRPr="00041119" w:rsidRDefault="000D2791" w:rsidP="000D2791">
            <w:pPr>
              <w:tabs>
                <w:tab w:val="right" w:pos="1202"/>
              </w:tabs>
              <w:spacing w:after="0" w:line="301" w:lineRule="exact"/>
              <w:jc w:val="right"/>
              <w:outlineLvl w:val="0"/>
              <w:rPr>
                <w:rFonts w:eastAsia="Times New Roman" w:cs="Arial"/>
                <w:noProof/>
                <w:color w:val="000000" w:themeColor="text1"/>
                <w:sz w:val="20"/>
                <w:szCs w:val="20"/>
                <w:lang w:val="en-US"/>
              </w:rPr>
            </w:pPr>
            <w:r w:rsidRPr="00041119">
              <w:rPr>
                <w:sz w:val="20"/>
                <w:szCs w:val="20"/>
              </w:rPr>
              <w:t xml:space="preserve"> (4,216)</w:t>
            </w:r>
          </w:p>
        </w:tc>
      </w:tr>
      <w:tr w:rsidR="000D2791" w:rsidRPr="00041119" w14:paraId="5DDB406D" w14:textId="77777777" w:rsidTr="000D2791">
        <w:trPr>
          <w:trHeight w:val="582"/>
        </w:trPr>
        <w:tc>
          <w:tcPr>
            <w:tcW w:w="2355" w:type="pct"/>
            <w:vAlign w:val="bottom"/>
          </w:tcPr>
          <w:p w14:paraId="3C9419A7" w14:textId="45E6A671" w:rsidR="000D2791" w:rsidRPr="00041119" w:rsidRDefault="000D2791" w:rsidP="000D2791">
            <w:pPr>
              <w:tabs>
                <w:tab w:val="right" w:pos="1202"/>
              </w:tabs>
              <w:spacing w:after="0" w:line="300" w:lineRule="exact"/>
              <w:outlineLvl w:val="0"/>
              <w:rPr>
                <w:rFonts w:eastAsia="Times New Roman" w:cs="Arial"/>
                <w:noProof/>
                <w:color w:val="000000" w:themeColor="text1"/>
                <w:sz w:val="20"/>
                <w:szCs w:val="20"/>
                <w:lang w:val="en-US"/>
              </w:rPr>
            </w:pPr>
            <w:bookmarkStart w:id="253" w:name="_Toc4058116"/>
            <w:r w:rsidRPr="00041119">
              <w:rPr>
                <w:rFonts w:eastAsia="Times New Roman" w:cs="Arial"/>
                <w:noProof/>
                <w:color w:val="000000" w:themeColor="text1"/>
                <w:sz w:val="20"/>
                <w:szCs w:val="20"/>
                <w:lang w:val="en-US"/>
              </w:rPr>
              <w:t>POCI assets – fair value adjustment at initial recognition</w:t>
            </w:r>
            <w:bookmarkEnd w:id="253"/>
          </w:p>
        </w:tc>
        <w:tc>
          <w:tcPr>
            <w:tcW w:w="662" w:type="pct"/>
            <w:tcBorders>
              <w:top w:val="nil"/>
              <w:left w:val="nil"/>
              <w:bottom w:val="nil"/>
              <w:right w:val="nil"/>
            </w:tcBorders>
            <w:shd w:val="clear" w:color="auto" w:fill="auto"/>
            <w:vAlign w:val="bottom"/>
          </w:tcPr>
          <w:p w14:paraId="18A8F12A" w14:textId="7038E02E" w:rsidR="000D2791" w:rsidRPr="004B1C54" w:rsidRDefault="000D2791" w:rsidP="000D2791">
            <w:pPr>
              <w:tabs>
                <w:tab w:val="right" w:pos="1202"/>
              </w:tabs>
              <w:spacing w:after="0" w:line="301" w:lineRule="exact"/>
              <w:jc w:val="right"/>
              <w:outlineLvl w:val="0"/>
              <w:rPr>
                <w:rFonts w:ascii="Calibri" w:eastAsia="Times New Roman" w:hAnsi="Calibri" w:cs="Calibri"/>
                <w:noProof/>
                <w:color w:val="000000" w:themeColor="text1"/>
                <w:sz w:val="20"/>
                <w:szCs w:val="20"/>
                <w:lang w:val="en-US"/>
              </w:rPr>
            </w:pPr>
            <w:r w:rsidRPr="004B1C54">
              <w:rPr>
                <w:rFonts w:ascii="Calibri" w:eastAsia="Times New Roman" w:hAnsi="Calibri" w:cs="Calibri"/>
                <w:color w:val="000000" w:themeColor="text1"/>
                <w:sz w:val="20"/>
                <w:szCs w:val="20"/>
              </w:rPr>
              <w:t>13</w:t>
            </w:r>
            <w:r>
              <w:rPr>
                <w:rFonts w:ascii="Calibri" w:eastAsia="Times New Roman" w:hAnsi="Calibri" w:cs="Calibri"/>
                <w:color w:val="000000" w:themeColor="text1"/>
                <w:sz w:val="20"/>
                <w:szCs w:val="20"/>
              </w:rPr>
              <w:t>,</w:t>
            </w:r>
            <w:r w:rsidRPr="004B1C54">
              <w:rPr>
                <w:rFonts w:ascii="Calibri" w:eastAsia="Times New Roman" w:hAnsi="Calibri" w:cs="Calibri"/>
                <w:color w:val="000000" w:themeColor="text1"/>
                <w:sz w:val="20"/>
                <w:szCs w:val="20"/>
              </w:rPr>
              <w:t>040</w:t>
            </w:r>
          </w:p>
        </w:tc>
        <w:tc>
          <w:tcPr>
            <w:tcW w:w="661" w:type="pct"/>
            <w:tcBorders>
              <w:top w:val="nil"/>
              <w:left w:val="nil"/>
              <w:bottom w:val="nil"/>
              <w:right w:val="nil"/>
            </w:tcBorders>
            <w:shd w:val="clear" w:color="auto" w:fill="auto"/>
            <w:vAlign w:val="bottom"/>
          </w:tcPr>
          <w:p w14:paraId="24389567" w14:textId="2FFC858D" w:rsidR="000D2791" w:rsidRPr="00041119" w:rsidRDefault="000D2791" w:rsidP="000D2791">
            <w:pPr>
              <w:tabs>
                <w:tab w:val="right" w:pos="1202"/>
              </w:tabs>
              <w:spacing w:after="0" w:line="301" w:lineRule="exact"/>
              <w:jc w:val="right"/>
              <w:outlineLvl w:val="0"/>
              <w:rPr>
                <w:rFonts w:ascii="Calibri" w:eastAsia="Times New Roman" w:hAnsi="Calibri" w:cs="Calibri"/>
                <w:noProof/>
                <w:color w:val="000000" w:themeColor="text1"/>
                <w:sz w:val="20"/>
                <w:szCs w:val="20"/>
                <w:lang w:val="en-US"/>
              </w:rPr>
            </w:pPr>
            <w:r w:rsidRPr="00041119">
              <w:rPr>
                <w:sz w:val="20"/>
                <w:szCs w:val="20"/>
              </w:rPr>
              <w:t xml:space="preserve"> 41,035 </w:t>
            </w:r>
          </w:p>
        </w:tc>
        <w:tc>
          <w:tcPr>
            <w:tcW w:w="662" w:type="pct"/>
            <w:tcBorders>
              <w:top w:val="nil"/>
              <w:left w:val="nil"/>
              <w:bottom w:val="nil"/>
              <w:right w:val="nil"/>
            </w:tcBorders>
            <w:shd w:val="clear" w:color="auto" w:fill="auto"/>
            <w:vAlign w:val="bottom"/>
          </w:tcPr>
          <w:p w14:paraId="29C84C4A" w14:textId="1D3E6E4B" w:rsidR="000D2791" w:rsidRPr="000D2791" w:rsidRDefault="000D2791" w:rsidP="000D2791">
            <w:pPr>
              <w:tabs>
                <w:tab w:val="right" w:pos="1202"/>
              </w:tabs>
              <w:spacing w:after="0" w:line="301" w:lineRule="exact"/>
              <w:jc w:val="right"/>
              <w:outlineLvl w:val="0"/>
              <w:rPr>
                <w:rFonts w:eastAsia="Times New Roman" w:cs="Arial"/>
                <w:noProof/>
                <w:color w:val="000000" w:themeColor="text1"/>
                <w:sz w:val="20"/>
                <w:szCs w:val="20"/>
                <w:lang w:val="en-US"/>
              </w:rPr>
            </w:pPr>
            <w:r w:rsidRPr="000D2791">
              <w:rPr>
                <w:rFonts w:cstheme="minorHAnsi"/>
                <w:sz w:val="20"/>
                <w:szCs w:val="20"/>
              </w:rPr>
              <w:t>13</w:t>
            </w:r>
            <w:r>
              <w:rPr>
                <w:rFonts w:cstheme="minorHAnsi"/>
                <w:sz w:val="20"/>
                <w:szCs w:val="20"/>
              </w:rPr>
              <w:t>,</w:t>
            </w:r>
            <w:r w:rsidRPr="000D2791">
              <w:rPr>
                <w:rFonts w:cstheme="minorHAnsi"/>
                <w:sz w:val="20"/>
                <w:szCs w:val="20"/>
              </w:rPr>
              <w:t>040</w:t>
            </w:r>
          </w:p>
        </w:tc>
        <w:tc>
          <w:tcPr>
            <w:tcW w:w="661" w:type="pct"/>
            <w:tcBorders>
              <w:top w:val="nil"/>
              <w:left w:val="nil"/>
              <w:bottom w:val="nil"/>
              <w:right w:val="nil"/>
            </w:tcBorders>
            <w:shd w:val="clear" w:color="auto" w:fill="auto"/>
            <w:vAlign w:val="bottom"/>
          </w:tcPr>
          <w:p w14:paraId="04236B62" w14:textId="1CCE3F7D" w:rsidR="000D2791" w:rsidRPr="00041119" w:rsidRDefault="000D2791" w:rsidP="000D2791">
            <w:pPr>
              <w:tabs>
                <w:tab w:val="right" w:pos="1202"/>
              </w:tabs>
              <w:spacing w:after="0" w:line="301" w:lineRule="exact"/>
              <w:jc w:val="right"/>
              <w:outlineLvl w:val="0"/>
              <w:rPr>
                <w:rFonts w:eastAsia="Times New Roman" w:cs="Arial"/>
                <w:noProof/>
                <w:color w:val="000000" w:themeColor="text1"/>
                <w:sz w:val="20"/>
                <w:szCs w:val="20"/>
                <w:lang w:val="en-US"/>
              </w:rPr>
            </w:pPr>
            <w:r w:rsidRPr="00041119">
              <w:rPr>
                <w:sz w:val="20"/>
                <w:szCs w:val="20"/>
              </w:rPr>
              <w:t xml:space="preserve"> 41,035 </w:t>
            </w:r>
          </w:p>
        </w:tc>
      </w:tr>
      <w:tr w:rsidR="000D2791" w:rsidRPr="00041119" w14:paraId="2C8838CD" w14:textId="77777777" w:rsidTr="000D2791">
        <w:trPr>
          <w:trHeight w:val="582"/>
        </w:trPr>
        <w:tc>
          <w:tcPr>
            <w:tcW w:w="2355" w:type="pct"/>
            <w:vAlign w:val="bottom"/>
          </w:tcPr>
          <w:p w14:paraId="3F438DC8" w14:textId="1FBA8796" w:rsidR="000D2791" w:rsidRPr="00041119" w:rsidRDefault="000D2791" w:rsidP="000D2791">
            <w:pPr>
              <w:tabs>
                <w:tab w:val="right" w:pos="1202"/>
              </w:tabs>
              <w:spacing w:after="0" w:line="300" w:lineRule="exact"/>
              <w:outlineLvl w:val="0"/>
              <w:rPr>
                <w:rFonts w:eastAsia="Times New Roman" w:cs="Arial"/>
                <w:noProof/>
                <w:color w:val="000000" w:themeColor="text1"/>
                <w:sz w:val="20"/>
                <w:szCs w:val="20"/>
                <w:lang w:val="en-US"/>
              </w:rPr>
            </w:pPr>
            <w:bookmarkStart w:id="254" w:name="_Toc4058121"/>
            <w:r w:rsidRPr="00041119">
              <w:rPr>
                <w:rFonts w:eastAsia="Times New Roman" w:cs="Arial"/>
                <w:noProof/>
                <w:color w:val="000000" w:themeColor="text1"/>
                <w:sz w:val="20"/>
                <w:szCs w:val="20"/>
                <w:lang w:val="en-US"/>
              </w:rPr>
              <w:t>Impairment of  financial assets at fair value through other comprehensive income</w:t>
            </w:r>
            <w:bookmarkEnd w:id="254"/>
          </w:p>
        </w:tc>
        <w:tc>
          <w:tcPr>
            <w:tcW w:w="662" w:type="pct"/>
            <w:tcBorders>
              <w:top w:val="nil"/>
              <w:left w:val="nil"/>
              <w:bottom w:val="nil"/>
              <w:right w:val="nil"/>
            </w:tcBorders>
            <w:shd w:val="clear" w:color="auto" w:fill="auto"/>
            <w:vAlign w:val="bottom"/>
          </w:tcPr>
          <w:p w14:paraId="1DA318FC" w14:textId="5A08FFA3" w:rsidR="000D2791" w:rsidRPr="004B1C54" w:rsidRDefault="000D2791" w:rsidP="000D2791">
            <w:pPr>
              <w:tabs>
                <w:tab w:val="right" w:pos="1202"/>
              </w:tabs>
              <w:spacing w:after="0" w:line="301" w:lineRule="exact"/>
              <w:jc w:val="right"/>
              <w:outlineLvl w:val="0"/>
              <w:rPr>
                <w:rFonts w:ascii="Calibri" w:eastAsia="Times New Roman" w:hAnsi="Calibri" w:cs="Calibri"/>
                <w:noProof/>
                <w:color w:val="000000" w:themeColor="text1"/>
                <w:sz w:val="20"/>
                <w:szCs w:val="20"/>
                <w:lang w:val="en-US"/>
              </w:rPr>
            </w:pPr>
            <w:r w:rsidRPr="004B1C54">
              <w:rPr>
                <w:rFonts w:ascii="Calibri" w:eastAsia="Times New Roman" w:hAnsi="Calibri" w:cs="Calibri"/>
                <w:color w:val="000000" w:themeColor="text1"/>
                <w:sz w:val="20"/>
                <w:szCs w:val="20"/>
              </w:rPr>
              <w:t>328</w:t>
            </w:r>
          </w:p>
        </w:tc>
        <w:tc>
          <w:tcPr>
            <w:tcW w:w="661" w:type="pct"/>
            <w:tcBorders>
              <w:top w:val="nil"/>
              <w:left w:val="nil"/>
              <w:bottom w:val="nil"/>
              <w:right w:val="nil"/>
            </w:tcBorders>
            <w:shd w:val="clear" w:color="auto" w:fill="auto"/>
            <w:vAlign w:val="bottom"/>
          </w:tcPr>
          <w:p w14:paraId="15024188" w14:textId="55F40C71" w:rsidR="000D2791" w:rsidRPr="00041119" w:rsidRDefault="000D2791" w:rsidP="000D2791">
            <w:pPr>
              <w:tabs>
                <w:tab w:val="right" w:pos="1202"/>
              </w:tabs>
              <w:spacing w:after="0" w:line="301" w:lineRule="exact"/>
              <w:jc w:val="right"/>
              <w:outlineLvl w:val="0"/>
              <w:rPr>
                <w:rFonts w:ascii="Calibri" w:eastAsia="Times New Roman" w:hAnsi="Calibri" w:cs="Calibri"/>
                <w:noProof/>
                <w:color w:val="000000" w:themeColor="text1"/>
                <w:sz w:val="20"/>
                <w:szCs w:val="20"/>
                <w:lang w:val="en-US"/>
              </w:rPr>
            </w:pPr>
            <w:r w:rsidRPr="00041119">
              <w:rPr>
                <w:sz w:val="20"/>
                <w:szCs w:val="20"/>
              </w:rPr>
              <w:t xml:space="preserve"> 337 </w:t>
            </w:r>
          </w:p>
        </w:tc>
        <w:tc>
          <w:tcPr>
            <w:tcW w:w="662" w:type="pct"/>
            <w:tcBorders>
              <w:top w:val="nil"/>
              <w:left w:val="nil"/>
              <w:bottom w:val="nil"/>
              <w:right w:val="nil"/>
            </w:tcBorders>
            <w:shd w:val="clear" w:color="auto" w:fill="auto"/>
            <w:vAlign w:val="bottom"/>
          </w:tcPr>
          <w:p w14:paraId="1298CAE9" w14:textId="7BDAABB3" w:rsidR="000D2791" w:rsidRPr="000D2791" w:rsidRDefault="000D2791" w:rsidP="000D2791">
            <w:pPr>
              <w:tabs>
                <w:tab w:val="right" w:pos="1202"/>
              </w:tabs>
              <w:spacing w:after="0" w:line="301" w:lineRule="exact"/>
              <w:jc w:val="right"/>
              <w:outlineLvl w:val="0"/>
              <w:rPr>
                <w:rFonts w:eastAsia="Times New Roman" w:cs="Arial"/>
                <w:noProof/>
                <w:color w:val="000000" w:themeColor="text1"/>
                <w:sz w:val="20"/>
                <w:szCs w:val="20"/>
                <w:lang w:val="en-US"/>
              </w:rPr>
            </w:pPr>
            <w:r w:rsidRPr="000D2791">
              <w:rPr>
                <w:rFonts w:cstheme="minorHAnsi"/>
                <w:sz w:val="20"/>
                <w:szCs w:val="20"/>
              </w:rPr>
              <w:t>320</w:t>
            </w:r>
          </w:p>
        </w:tc>
        <w:tc>
          <w:tcPr>
            <w:tcW w:w="661" w:type="pct"/>
            <w:tcBorders>
              <w:top w:val="nil"/>
              <w:left w:val="nil"/>
              <w:bottom w:val="nil"/>
              <w:right w:val="nil"/>
            </w:tcBorders>
            <w:shd w:val="clear" w:color="auto" w:fill="auto"/>
            <w:vAlign w:val="bottom"/>
          </w:tcPr>
          <w:p w14:paraId="0AAD1195" w14:textId="08372B67" w:rsidR="000D2791" w:rsidRPr="00041119" w:rsidRDefault="000D2791" w:rsidP="000D2791">
            <w:pPr>
              <w:tabs>
                <w:tab w:val="right" w:pos="1202"/>
              </w:tabs>
              <w:spacing w:after="0" w:line="301" w:lineRule="exact"/>
              <w:jc w:val="right"/>
              <w:outlineLvl w:val="0"/>
              <w:rPr>
                <w:rFonts w:eastAsia="Times New Roman" w:cs="Arial"/>
                <w:noProof/>
                <w:color w:val="000000" w:themeColor="text1"/>
                <w:sz w:val="20"/>
                <w:szCs w:val="20"/>
                <w:lang w:val="en-US"/>
              </w:rPr>
            </w:pPr>
            <w:r w:rsidRPr="00041119">
              <w:rPr>
                <w:sz w:val="20"/>
                <w:szCs w:val="20"/>
              </w:rPr>
              <w:t xml:space="preserve"> 336 </w:t>
            </w:r>
          </w:p>
        </w:tc>
      </w:tr>
      <w:tr w:rsidR="000D2791" w:rsidRPr="00041119" w14:paraId="5D046D4D" w14:textId="77777777" w:rsidTr="000D2791">
        <w:trPr>
          <w:trHeight w:val="375"/>
        </w:trPr>
        <w:tc>
          <w:tcPr>
            <w:tcW w:w="2355" w:type="pct"/>
            <w:vAlign w:val="bottom"/>
          </w:tcPr>
          <w:p w14:paraId="00F7E8BE" w14:textId="4A5F297F" w:rsidR="000D2791" w:rsidRPr="00041119" w:rsidRDefault="000D2791" w:rsidP="000D2791">
            <w:pPr>
              <w:tabs>
                <w:tab w:val="right" w:pos="1202"/>
              </w:tabs>
              <w:spacing w:after="0" w:line="300" w:lineRule="exact"/>
              <w:outlineLvl w:val="0"/>
              <w:rPr>
                <w:rFonts w:eastAsia="Times New Roman" w:cs="Arial"/>
                <w:noProof/>
                <w:color w:val="000000" w:themeColor="text1"/>
                <w:sz w:val="20"/>
                <w:szCs w:val="20"/>
                <w:lang w:val="en-US"/>
              </w:rPr>
            </w:pPr>
            <w:bookmarkStart w:id="255" w:name="_Toc4058126"/>
            <w:r w:rsidRPr="00041119">
              <w:rPr>
                <w:rFonts w:eastAsia="Times New Roman" w:cs="Arial"/>
                <w:noProof/>
                <w:color w:val="000000" w:themeColor="text1"/>
                <w:sz w:val="20"/>
                <w:szCs w:val="20"/>
                <w:lang w:val="en-US"/>
              </w:rPr>
              <w:t>Impairment losses on other assets</w:t>
            </w:r>
            <w:bookmarkEnd w:id="255"/>
          </w:p>
        </w:tc>
        <w:tc>
          <w:tcPr>
            <w:tcW w:w="662" w:type="pct"/>
            <w:tcBorders>
              <w:top w:val="nil"/>
              <w:left w:val="nil"/>
              <w:bottom w:val="nil"/>
              <w:right w:val="nil"/>
            </w:tcBorders>
            <w:shd w:val="clear" w:color="auto" w:fill="auto"/>
            <w:vAlign w:val="bottom"/>
          </w:tcPr>
          <w:p w14:paraId="41A87373" w14:textId="23D9C929" w:rsidR="000D2791" w:rsidRPr="004B1C54" w:rsidRDefault="000D2791" w:rsidP="000D2791">
            <w:pPr>
              <w:tabs>
                <w:tab w:val="right" w:pos="1202"/>
              </w:tabs>
              <w:spacing w:after="0" w:line="301" w:lineRule="exact"/>
              <w:jc w:val="right"/>
              <w:outlineLvl w:val="0"/>
              <w:rPr>
                <w:rFonts w:ascii="Calibri" w:eastAsia="Times New Roman" w:hAnsi="Calibri" w:cs="Calibri"/>
                <w:noProof/>
                <w:color w:val="000000" w:themeColor="text1"/>
                <w:sz w:val="20"/>
                <w:szCs w:val="20"/>
                <w:lang w:val="en-US"/>
              </w:rPr>
            </w:pPr>
            <w:r w:rsidRPr="004B1C54">
              <w:rPr>
                <w:rFonts w:ascii="Calibri" w:eastAsia="Times New Roman" w:hAnsi="Calibri" w:cs="Calibri"/>
                <w:color w:val="000000" w:themeColor="text1"/>
                <w:sz w:val="20"/>
                <w:szCs w:val="20"/>
              </w:rPr>
              <w:t>2</w:t>
            </w:r>
            <w:r>
              <w:rPr>
                <w:rFonts w:ascii="Calibri" w:eastAsia="Times New Roman" w:hAnsi="Calibri" w:cs="Calibri"/>
                <w:color w:val="000000" w:themeColor="text1"/>
                <w:sz w:val="20"/>
                <w:szCs w:val="20"/>
              </w:rPr>
              <w:t>,</w:t>
            </w:r>
            <w:r w:rsidRPr="004B1C54">
              <w:rPr>
                <w:rFonts w:ascii="Calibri" w:eastAsia="Times New Roman" w:hAnsi="Calibri" w:cs="Calibri"/>
                <w:color w:val="000000" w:themeColor="text1"/>
                <w:sz w:val="20"/>
                <w:szCs w:val="20"/>
              </w:rPr>
              <w:t>112</w:t>
            </w:r>
          </w:p>
        </w:tc>
        <w:tc>
          <w:tcPr>
            <w:tcW w:w="661" w:type="pct"/>
            <w:tcBorders>
              <w:top w:val="nil"/>
              <w:left w:val="nil"/>
              <w:bottom w:val="nil"/>
              <w:right w:val="nil"/>
            </w:tcBorders>
            <w:shd w:val="clear" w:color="auto" w:fill="auto"/>
            <w:vAlign w:val="bottom"/>
          </w:tcPr>
          <w:p w14:paraId="7661E5FB" w14:textId="024EC0C8" w:rsidR="000D2791" w:rsidRPr="00041119" w:rsidRDefault="000D2791" w:rsidP="000D2791">
            <w:pPr>
              <w:tabs>
                <w:tab w:val="right" w:pos="1202"/>
              </w:tabs>
              <w:spacing w:after="0" w:line="301" w:lineRule="exact"/>
              <w:jc w:val="right"/>
              <w:outlineLvl w:val="0"/>
              <w:rPr>
                <w:rFonts w:ascii="Calibri" w:eastAsia="Times New Roman" w:hAnsi="Calibri" w:cs="Calibri"/>
                <w:noProof/>
                <w:color w:val="000000" w:themeColor="text1"/>
                <w:sz w:val="20"/>
                <w:szCs w:val="20"/>
                <w:lang w:val="en-US"/>
              </w:rPr>
            </w:pPr>
            <w:r w:rsidRPr="00041119">
              <w:rPr>
                <w:sz w:val="20"/>
                <w:szCs w:val="20"/>
              </w:rPr>
              <w:t xml:space="preserve"> 358 </w:t>
            </w:r>
          </w:p>
        </w:tc>
        <w:tc>
          <w:tcPr>
            <w:tcW w:w="662" w:type="pct"/>
            <w:tcBorders>
              <w:top w:val="nil"/>
              <w:left w:val="nil"/>
              <w:bottom w:val="nil"/>
              <w:right w:val="nil"/>
            </w:tcBorders>
            <w:shd w:val="clear" w:color="auto" w:fill="auto"/>
            <w:vAlign w:val="bottom"/>
          </w:tcPr>
          <w:p w14:paraId="24C0C65F" w14:textId="256CBFE8" w:rsidR="000D2791" w:rsidRPr="000D2791" w:rsidRDefault="000D2791" w:rsidP="000D2791">
            <w:pPr>
              <w:tabs>
                <w:tab w:val="right" w:pos="1202"/>
              </w:tabs>
              <w:spacing w:after="0" w:line="301" w:lineRule="exact"/>
              <w:jc w:val="right"/>
              <w:outlineLvl w:val="0"/>
              <w:rPr>
                <w:rFonts w:eastAsia="Times New Roman" w:cs="Arial"/>
                <w:noProof/>
                <w:color w:val="000000" w:themeColor="text1"/>
                <w:sz w:val="20"/>
                <w:szCs w:val="20"/>
                <w:lang w:val="en-US"/>
              </w:rPr>
            </w:pPr>
            <w:r w:rsidRPr="000D2791">
              <w:rPr>
                <w:rFonts w:cstheme="minorHAnsi"/>
                <w:sz w:val="20"/>
                <w:szCs w:val="20"/>
              </w:rPr>
              <w:t>2</w:t>
            </w:r>
            <w:r>
              <w:rPr>
                <w:rFonts w:cstheme="minorHAnsi"/>
                <w:sz w:val="20"/>
                <w:szCs w:val="20"/>
              </w:rPr>
              <w:t>,</w:t>
            </w:r>
            <w:r w:rsidRPr="000D2791">
              <w:rPr>
                <w:rFonts w:cstheme="minorHAnsi"/>
                <w:sz w:val="20"/>
                <w:szCs w:val="20"/>
              </w:rPr>
              <w:t>081</w:t>
            </w:r>
          </w:p>
        </w:tc>
        <w:tc>
          <w:tcPr>
            <w:tcW w:w="661" w:type="pct"/>
            <w:tcBorders>
              <w:top w:val="nil"/>
              <w:left w:val="nil"/>
              <w:bottom w:val="nil"/>
              <w:right w:val="nil"/>
            </w:tcBorders>
            <w:shd w:val="clear" w:color="auto" w:fill="auto"/>
            <w:vAlign w:val="bottom"/>
          </w:tcPr>
          <w:p w14:paraId="1286EB7A" w14:textId="62BA346D" w:rsidR="000D2791" w:rsidRPr="00041119" w:rsidRDefault="000D2791" w:rsidP="000D2791">
            <w:pPr>
              <w:tabs>
                <w:tab w:val="right" w:pos="1202"/>
              </w:tabs>
              <w:spacing w:after="0" w:line="301" w:lineRule="exact"/>
              <w:jc w:val="right"/>
              <w:outlineLvl w:val="0"/>
              <w:rPr>
                <w:rFonts w:eastAsia="Times New Roman" w:cs="Arial"/>
                <w:noProof/>
                <w:color w:val="000000" w:themeColor="text1"/>
                <w:sz w:val="20"/>
                <w:szCs w:val="20"/>
                <w:lang w:val="en-US"/>
              </w:rPr>
            </w:pPr>
            <w:r w:rsidRPr="00041119">
              <w:rPr>
                <w:sz w:val="20"/>
                <w:szCs w:val="20"/>
              </w:rPr>
              <w:t xml:space="preserve"> 317 </w:t>
            </w:r>
          </w:p>
        </w:tc>
      </w:tr>
      <w:tr w:rsidR="000D2791" w:rsidRPr="00041119" w14:paraId="48070C51" w14:textId="77777777" w:rsidTr="000D2791">
        <w:trPr>
          <w:trHeight w:val="227"/>
        </w:trPr>
        <w:tc>
          <w:tcPr>
            <w:tcW w:w="2355" w:type="pct"/>
            <w:vAlign w:val="bottom"/>
          </w:tcPr>
          <w:p w14:paraId="0DE215D7" w14:textId="33347C37" w:rsidR="000D2791" w:rsidRPr="00041119" w:rsidRDefault="000D2791" w:rsidP="000D2791">
            <w:pPr>
              <w:tabs>
                <w:tab w:val="right" w:pos="1202"/>
              </w:tabs>
              <w:spacing w:after="0" w:line="300" w:lineRule="exact"/>
              <w:outlineLvl w:val="0"/>
              <w:rPr>
                <w:rFonts w:eastAsia="Times New Roman" w:cs="Arial"/>
                <w:noProof/>
                <w:color w:val="000000" w:themeColor="text1"/>
                <w:sz w:val="20"/>
                <w:szCs w:val="20"/>
                <w:lang w:val="en-US"/>
              </w:rPr>
            </w:pPr>
            <w:bookmarkStart w:id="256" w:name="_Toc4058131"/>
            <w:r w:rsidRPr="00041119">
              <w:rPr>
                <w:rFonts w:eastAsia="Times New Roman" w:cs="Arial"/>
                <w:noProof/>
                <w:color w:val="000000" w:themeColor="text1"/>
                <w:sz w:val="20"/>
                <w:szCs w:val="20"/>
                <w:lang w:val="en-US"/>
              </w:rPr>
              <w:t>Provisions for commitments</w:t>
            </w:r>
            <w:bookmarkEnd w:id="256"/>
          </w:p>
        </w:tc>
        <w:tc>
          <w:tcPr>
            <w:tcW w:w="662" w:type="pct"/>
            <w:tcBorders>
              <w:top w:val="nil"/>
              <w:left w:val="nil"/>
              <w:right w:val="nil"/>
            </w:tcBorders>
            <w:shd w:val="clear" w:color="auto" w:fill="auto"/>
            <w:vAlign w:val="bottom"/>
          </w:tcPr>
          <w:p w14:paraId="356C9E0A" w14:textId="373CEAB2" w:rsidR="000D2791" w:rsidRPr="004B1C54" w:rsidRDefault="000D2791" w:rsidP="000D2791">
            <w:pPr>
              <w:tabs>
                <w:tab w:val="right" w:pos="1202"/>
              </w:tabs>
              <w:spacing w:after="0" w:line="301" w:lineRule="exact"/>
              <w:jc w:val="right"/>
              <w:outlineLvl w:val="0"/>
              <w:rPr>
                <w:rFonts w:eastAsia="Times New Roman" w:cs="Arial"/>
                <w:noProof/>
                <w:color w:val="000000" w:themeColor="text1"/>
                <w:sz w:val="20"/>
                <w:szCs w:val="20"/>
                <w:lang w:val="en-US"/>
              </w:rPr>
            </w:pPr>
            <w:r w:rsidRPr="004B1C54">
              <w:rPr>
                <w:rFonts w:ascii="Calibri" w:eastAsia="Times New Roman" w:hAnsi="Calibri" w:cs="Calibri"/>
                <w:color w:val="000000" w:themeColor="text1"/>
                <w:sz w:val="20"/>
                <w:szCs w:val="20"/>
              </w:rPr>
              <w:t>(20</w:t>
            </w:r>
            <w:r>
              <w:rPr>
                <w:rFonts w:ascii="Calibri" w:eastAsia="Times New Roman" w:hAnsi="Calibri" w:cs="Calibri"/>
                <w:color w:val="000000" w:themeColor="text1"/>
                <w:sz w:val="20"/>
                <w:szCs w:val="20"/>
              </w:rPr>
              <w:t>,</w:t>
            </w:r>
            <w:r w:rsidRPr="004B1C54">
              <w:rPr>
                <w:rFonts w:ascii="Calibri" w:eastAsia="Times New Roman" w:hAnsi="Calibri" w:cs="Calibri"/>
                <w:color w:val="000000" w:themeColor="text1"/>
                <w:sz w:val="20"/>
                <w:szCs w:val="20"/>
              </w:rPr>
              <w:t>381)</w:t>
            </w:r>
          </w:p>
        </w:tc>
        <w:tc>
          <w:tcPr>
            <w:tcW w:w="661" w:type="pct"/>
            <w:tcBorders>
              <w:top w:val="nil"/>
              <w:left w:val="nil"/>
              <w:right w:val="nil"/>
            </w:tcBorders>
            <w:shd w:val="clear" w:color="auto" w:fill="auto"/>
            <w:vAlign w:val="bottom"/>
          </w:tcPr>
          <w:p w14:paraId="22F7C3AB" w14:textId="04B1AEE1" w:rsidR="000D2791" w:rsidRPr="00041119" w:rsidRDefault="000D2791" w:rsidP="000D2791">
            <w:pPr>
              <w:tabs>
                <w:tab w:val="right" w:pos="1202"/>
              </w:tabs>
              <w:spacing w:after="0" w:line="301" w:lineRule="exact"/>
              <w:jc w:val="right"/>
              <w:outlineLvl w:val="0"/>
              <w:rPr>
                <w:rFonts w:eastAsia="Times New Roman" w:cs="Arial"/>
                <w:noProof/>
                <w:color w:val="000000" w:themeColor="text1"/>
                <w:sz w:val="20"/>
                <w:szCs w:val="20"/>
                <w:lang w:val="en-US"/>
              </w:rPr>
            </w:pPr>
            <w:r w:rsidRPr="00041119">
              <w:rPr>
                <w:sz w:val="20"/>
                <w:szCs w:val="20"/>
              </w:rPr>
              <w:t xml:space="preserve"> (627)</w:t>
            </w:r>
          </w:p>
        </w:tc>
        <w:tc>
          <w:tcPr>
            <w:tcW w:w="662" w:type="pct"/>
            <w:tcBorders>
              <w:top w:val="nil"/>
              <w:left w:val="nil"/>
              <w:right w:val="nil"/>
            </w:tcBorders>
            <w:shd w:val="clear" w:color="auto" w:fill="auto"/>
            <w:vAlign w:val="bottom"/>
          </w:tcPr>
          <w:p w14:paraId="161A4F64" w14:textId="435A5585" w:rsidR="000D2791" w:rsidRPr="000D2791" w:rsidRDefault="000D2791" w:rsidP="000D2791">
            <w:pPr>
              <w:tabs>
                <w:tab w:val="right" w:pos="1202"/>
              </w:tabs>
              <w:spacing w:after="0" w:line="301" w:lineRule="exact"/>
              <w:jc w:val="right"/>
              <w:outlineLvl w:val="0"/>
              <w:rPr>
                <w:rFonts w:eastAsia="Times New Roman" w:cs="Arial"/>
                <w:noProof/>
                <w:color w:val="000000" w:themeColor="text1"/>
                <w:sz w:val="20"/>
                <w:szCs w:val="20"/>
                <w:lang w:val="en-US"/>
              </w:rPr>
            </w:pPr>
            <w:r w:rsidRPr="000D2791">
              <w:rPr>
                <w:rFonts w:ascii="Calibri" w:eastAsia="Times New Roman" w:hAnsi="Calibri" w:cs="Calibri"/>
                <w:color w:val="000000" w:themeColor="text1"/>
                <w:sz w:val="20"/>
                <w:szCs w:val="20"/>
              </w:rPr>
              <w:t>(20</w:t>
            </w:r>
            <w:r>
              <w:rPr>
                <w:rFonts w:ascii="Calibri" w:eastAsia="Times New Roman" w:hAnsi="Calibri" w:cs="Calibri"/>
                <w:color w:val="000000" w:themeColor="text1"/>
                <w:sz w:val="20"/>
                <w:szCs w:val="20"/>
              </w:rPr>
              <w:t>,</w:t>
            </w:r>
            <w:r w:rsidRPr="000D2791">
              <w:rPr>
                <w:rFonts w:ascii="Calibri" w:eastAsia="Times New Roman" w:hAnsi="Calibri" w:cs="Calibri"/>
                <w:color w:val="000000" w:themeColor="text1"/>
                <w:sz w:val="20"/>
                <w:szCs w:val="20"/>
              </w:rPr>
              <w:t>381)</w:t>
            </w:r>
          </w:p>
        </w:tc>
        <w:tc>
          <w:tcPr>
            <w:tcW w:w="661" w:type="pct"/>
            <w:tcBorders>
              <w:top w:val="nil"/>
              <w:left w:val="nil"/>
              <w:right w:val="nil"/>
            </w:tcBorders>
            <w:shd w:val="clear" w:color="auto" w:fill="auto"/>
            <w:vAlign w:val="bottom"/>
          </w:tcPr>
          <w:p w14:paraId="0A6461C2" w14:textId="12AD1CD6" w:rsidR="000D2791" w:rsidRPr="00041119" w:rsidRDefault="000D2791" w:rsidP="000D2791">
            <w:pPr>
              <w:tabs>
                <w:tab w:val="right" w:pos="1202"/>
              </w:tabs>
              <w:spacing w:after="0" w:line="301" w:lineRule="exact"/>
              <w:jc w:val="right"/>
              <w:outlineLvl w:val="0"/>
              <w:rPr>
                <w:rFonts w:eastAsia="Times New Roman" w:cs="Arial"/>
                <w:noProof/>
                <w:color w:val="000000" w:themeColor="text1"/>
                <w:sz w:val="20"/>
                <w:szCs w:val="20"/>
                <w:lang w:val="en-US"/>
              </w:rPr>
            </w:pPr>
            <w:r w:rsidRPr="00041119">
              <w:rPr>
                <w:sz w:val="20"/>
                <w:szCs w:val="20"/>
              </w:rPr>
              <w:t xml:space="preserve"> (627)</w:t>
            </w:r>
          </w:p>
        </w:tc>
      </w:tr>
      <w:tr w:rsidR="000D2791" w:rsidRPr="00041119" w14:paraId="78CE6561" w14:textId="77777777" w:rsidTr="000D2791">
        <w:trPr>
          <w:trHeight w:val="227"/>
        </w:trPr>
        <w:tc>
          <w:tcPr>
            <w:tcW w:w="2355" w:type="pct"/>
            <w:vAlign w:val="bottom"/>
          </w:tcPr>
          <w:p w14:paraId="51706C25" w14:textId="77777777" w:rsidR="000D2791" w:rsidRPr="00041119" w:rsidRDefault="000D2791" w:rsidP="000D2791">
            <w:pPr>
              <w:tabs>
                <w:tab w:val="right" w:pos="1202"/>
              </w:tabs>
              <w:spacing w:after="0" w:line="300" w:lineRule="exact"/>
              <w:outlineLvl w:val="0"/>
              <w:rPr>
                <w:rFonts w:eastAsia="Times New Roman" w:cs="Arial"/>
                <w:noProof/>
                <w:color w:val="000000" w:themeColor="text1"/>
                <w:sz w:val="20"/>
                <w:szCs w:val="20"/>
                <w:lang w:val="en-US"/>
              </w:rPr>
            </w:pPr>
            <w:r w:rsidRPr="00041119">
              <w:rPr>
                <w:rFonts w:eastAsia="Times New Roman" w:cs="Arial"/>
                <w:noProof/>
                <w:color w:val="000000" w:themeColor="text1"/>
                <w:sz w:val="20"/>
                <w:szCs w:val="20"/>
                <w:lang w:val="en-US"/>
              </w:rPr>
              <w:t xml:space="preserve">Provision for guarantees </w:t>
            </w:r>
          </w:p>
        </w:tc>
        <w:tc>
          <w:tcPr>
            <w:tcW w:w="662" w:type="pct"/>
            <w:tcBorders>
              <w:top w:val="nil"/>
              <w:left w:val="nil"/>
              <w:bottom w:val="single" w:sz="4" w:space="0" w:color="auto"/>
              <w:right w:val="nil"/>
            </w:tcBorders>
            <w:shd w:val="clear" w:color="auto" w:fill="auto"/>
            <w:vAlign w:val="bottom"/>
          </w:tcPr>
          <w:p w14:paraId="60F1B6C8" w14:textId="5022C32B" w:rsidR="000D2791" w:rsidRPr="004B1C54" w:rsidRDefault="000D2791" w:rsidP="000D2791">
            <w:pPr>
              <w:tabs>
                <w:tab w:val="right" w:pos="1202"/>
              </w:tabs>
              <w:spacing w:after="0" w:line="301" w:lineRule="exact"/>
              <w:jc w:val="right"/>
              <w:outlineLvl w:val="0"/>
              <w:rPr>
                <w:rFonts w:eastAsia="Times New Roman" w:cs="Arial"/>
                <w:noProof/>
                <w:color w:val="000000" w:themeColor="text1"/>
                <w:spacing w:val="-2"/>
                <w:sz w:val="20"/>
                <w:szCs w:val="20"/>
                <w:lang w:val="en-US"/>
              </w:rPr>
            </w:pPr>
            <w:r w:rsidRPr="004B1C54">
              <w:rPr>
                <w:rFonts w:ascii="Calibri" w:eastAsia="Times New Roman" w:hAnsi="Calibri" w:cs="Calibri"/>
                <w:color w:val="000000" w:themeColor="text1"/>
                <w:sz w:val="20"/>
                <w:szCs w:val="20"/>
              </w:rPr>
              <w:t>(26</w:t>
            </w:r>
            <w:r>
              <w:rPr>
                <w:rFonts w:ascii="Calibri" w:eastAsia="Times New Roman" w:hAnsi="Calibri" w:cs="Calibri"/>
                <w:color w:val="000000" w:themeColor="text1"/>
                <w:sz w:val="20"/>
                <w:szCs w:val="20"/>
              </w:rPr>
              <w:t>,</w:t>
            </w:r>
            <w:r w:rsidRPr="004B1C54">
              <w:rPr>
                <w:rFonts w:ascii="Calibri" w:eastAsia="Times New Roman" w:hAnsi="Calibri" w:cs="Calibri"/>
                <w:color w:val="000000" w:themeColor="text1"/>
                <w:sz w:val="20"/>
                <w:szCs w:val="20"/>
              </w:rPr>
              <w:t>194)</w:t>
            </w:r>
          </w:p>
        </w:tc>
        <w:tc>
          <w:tcPr>
            <w:tcW w:w="661" w:type="pct"/>
            <w:tcBorders>
              <w:top w:val="nil"/>
              <w:left w:val="nil"/>
              <w:bottom w:val="single" w:sz="4" w:space="0" w:color="auto"/>
              <w:right w:val="nil"/>
            </w:tcBorders>
            <w:shd w:val="clear" w:color="auto" w:fill="auto"/>
            <w:vAlign w:val="bottom"/>
          </w:tcPr>
          <w:p w14:paraId="33FE13B6" w14:textId="0FDC74DC" w:rsidR="000D2791" w:rsidRPr="00041119" w:rsidRDefault="000D2791" w:rsidP="000D2791">
            <w:pPr>
              <w:tabs>
                <w:tab w:val="right" w:pos="1202"/>
              </w:tabs>
              <w:spacing w:after="0" w:line="301" w:lineRule="exact"/>
              <w:jc w:val="right"/>
              <w:outlineLvl w:val="0"/>
              <w:rPr>
                <w:rFonts w:eastAsia="Times New Roman" w:cs="Arial"/>
                <w:noProof/>
                <w:color w:val="000000" w:themeColor="text1"/>
                <w:spacing w:val="-2"/>
                <w:sz w:val="20"/>
                <w:szCs w:val="20"/>
                <w:lang w:val="en-US"/>
              </w:rPr>
            </w:pPr>
            <w:r w:rsidRPr="00041119">
              <w:rPr>
                <w:sz w:val="20"/>
                <w:szCs w:val="20"/>
              </w:rPr>
              <w:t xml:space="preserve"> 15,485 </w:t>
            </w:r>
          </w:p>
        </w:tc>
        <w:tc>
          <w:tcPr>
            <w:tcW w:w="662" w:type="pct"/>
            <w:tcBorders>
              <w:top w:val="nil"/>
              <w:left w:val="nil"/>
              <w:bottom w:val="single" w:sz="4" w:space="0" w:color="auto"/>
              <w:right w:val="nil"/>
            </w:tcBorders>
            <w:shd w:val="clear" w:color="auto" w:fill="auto"/>
            <w:vAlign w:val="bottom"/>
          </w:tcPr>
          <w:p w14:paraId="35470D07" w14:textId="63EEB339" w:rsidR="000D2791" w:rsidRPr="000D2791" w:rsidRDefault="000D2791" w:rsidP="000D2791">
            <w:pPr>
              <w:tabs>
                <w:tab w:val="right" w:pos="1202"/>
              </w:tabs>
              <w:spacing w:after="0" w:line="301" w:lineRule="exact"/>
              <w:jc w:val="right"/>
              <w:outlineLvl w:val="0"/>
              <w:rPr>
                <w:rFonts w:eastAsia="Times New Roman" w:cs="Arial"/>
                <w:noProof/>
                <w:color w:val="000000" w:themeColor="text1"/>
                <w:spacing w:val="-2"/>
                <w:sz w:val="20"/>
                <w:szCs w:val="20"/>
                <w:lang w:val="en-US"/>
              </w:rPr>
            </w:pPr>
            <w:r w:rsidRPr="000D2791">
              <w:rPr>
                <w:rFonts w:ascii="Calibri" w:eastAsia="Times New Roman" w:hAnsi="Calibri" w:cs="Calibri"/>
                <w:color w:val="000000" w:themeColor="text1"/>
                <w:sz w:val="20"/>
                <w:szCs w:val="20"/>
              </w:rPr>
              <w:t>(26</w:t>
            </w:r>
            <w:r>
              <w:rPr>
                <w:rFonts w:ascii="Calibri" w:eastAsia="Times New Roman" w:hAnsi="Calibri" w:cs="Calibri"/>
                <w:color w:val="000000" w:themeColor="text1"/>
                <w:sz w:val="20"/>
                <w:szCs w:val="20"/>
              </w:rPr>
              <w:t>,</w:t>
            </w:r>
            <w:r w:rsidRPr="000D2791">
              <w:rPr>
                <w:rFonts w:ascii="Calibri" w:eastAsia="Times New Roman" w:hAnsi="Calibri" w:cs="Calibri"/>
                <w:color w:val="000000" w:themeColor="text1"/>
                <w:sz w:val="20"/>
                <w:szCs w:val="20"/>
              </w:rPr>
              <w:t>194)</w:t>
            </w:r>
          </w:p>
        </w:tc>
        <w:tc>
          <w:tcPr>
            <w:tcW w:w="661" w:type="pct"/>
            <w:tcBorders>
              <w:top w:val="nil"/>
              <w:left w:val="nil"/>
              <w:bottom w:val="single" w:sz="4" w:space="0" w:color="auto"/>
              <w:right w:val="nil"/>
            </w:tcBorders>
            <w:shd w:val="clear" w:color="auto" w:fill="auto"/>
            <w:vAlign w:val="bottom"/>
          </w:tcPr>
          <w:p w14:paraId="01CB8C34" w14:textId="7C7E13E2" w:rsidR="000D2791" w:rsidRPr="00041119" w:rsidRDefault="000D2791" w:rsidP="000D2791">
            <w:pPr>
              <w:tabs>
                <w:tab w:val="right" w:pos="1202"/>
              </w:tabs>
              <w:spacing w:after="0" w:line="301" w:lineRule="exact"/>
              <w:jc w:val="right"/>
              <w:outlineLvl w:val="0"/>
              <w:rPr>
                <w:rFonts w:eastAsia="Times New Roman" w:cs="Arial"/>
                <w:noProof/>
                <w:color w:val="000000" w:themeColor="text1"/>
                <w:spacing w:val="-2"/>
                <w:sz w:val="20"/>
                <w:szCs w:val="20"/>
                <w:lang w:val="en-US"/>
              </w:rPr>
            </w:pPr>
            <w:r w:rsidRPr="00041119">
              <w:rPr>
                <w:sz w:val="20"/>
                <w:szCs w:val="20"/>
              </w:rPr>
              <w:t xml:space="preserve"> 15,485 </w:t>
            </w:r>
          </w:p>
        </w:tc>
      </w:tr>
      <w:tr w:rsidR="000D2791" w:rsidRPr="00041119" w14:paraId="1C08D86A" w14:textId="77777777" w:rsidTr="000D2791">
        <w:trPr>
          <w:trHeight w:val="385"/>
        </w:trPr>
        <w:tc>
          <w:tcPr>
            <w:tcW w:w="2355" w:type="pct"/>
            <w:vAlign w:val="bottom"/>
          </w:tcPr>
          <w:p w14:paraId="211426D0" w14:textId="38B38DDB" w:rsidR="000D2791" w:rsidRPr="00041119" w:rsidRDefault="000D2791" w:rsidP="000D2791">
            <w:pPr>
              <w:tabs>
                <w:tab w:val="right" w:pos="1202"/>
              </w:tabs>
              <w:spacing w:after="0" w:line="300" w:lineRule="exact"/>
              <w:outlineLvl w:val="0"/>
              <w:rPr>
                <w:rFonts w:eastAsia="Times New Roman" w:cs="Arial"/>
                <w:b/>
                <w:noProof/>
                <w:color w:val="000000" w:themeColor="text1"/>
                <w:sz w:val="20"/>
                <w:szCs w:val="20"/>
                <w:lang w:val="en-US"/>
              </w:rPr>
            </w:pPr>
            <w:bookmarkStart w:id="257" w:name="_Toc4058136"/>
            <w:r w:rsidRPr="00041119">
              <w:rPr>
                <w:rFonts w:eastAsia="Times New Roman" w:cs="Arial"/>
                <w:b/>
                <w:noProof/>
                <w:color w:val="000000" w:themeColor="text1"/>
                <w:sz w:val="20"/>
                <w:szCs w:val="20"/>
                <w:lang w:val="en-US"/>
              </w:rPr>
              <w:t>Total</w:t>
            </w:r>
            <w:bookmarkEnd w:id="257"/>
          </w:p>
        </w:tc>
        <w:tc>
          <w:tcPr>
            <w:tcW w:w="662" w:type="pct"/>
            <w:tcBorders>
              <w:top w:val="single" w:sz="4" w:space="0" w:color="auto"/>
              <w:left w:val="nil"/>
              <w:bottom w:val="single" w:sz="12" w:space="0" w:color="auto"/>
              <w:right w:val="nil"/>
            </w:tcBorders>
            <w:shd w:val="clear" w:color="auto" w:fill="auto"/>
            <w:vAlign w:val="bottom"/>
          </w:tcPr>
          <w:p w14:paraId="1D21CB9D" w14:textId="5E39558B" w:rsidR="000D2791" w:rsidRPr="004B1C54" w:rsidRDefault="000D2791" w:rsidP="000D2791">
            <w:pPr>
              <w:tabs>
                <w:tab w:val="right" w:pos="1202"/>
              </w:tabs>
              <w:spacing w:after="0" w:line="301" w:lineRule="exact"/>
              <w:jc w:val="right"/>
              <w:outlineLvl w:val="0"/>
              <w:rPr>
                <w:rFonts w:eastAsia="Times New Roman" w:cs="Arial"/>
                <w:b/>
                <w:noProof/>
                <w:color w:val="000000" w:themeColor="text1"/>
                <w:sz w:val="20"/>
                <w:szCs w:val="20"/>
                <w:lang w:val="en-US"/>
              </w:rPr>
            </w:pPr>
            <w:r w:rsidRPr="004B1C54">
              <w:rPr>
                <w:rFonts w:ascii="Calibri" w:eastAsia="Times New Roman" w:hAnsi="Calibri" w:cs="Calibri"/>
                <w:b/>
                <w:color w:val="000000" w:themeColor="text1"/>
                <w:sz w:val="20"/>
                <w:szCs w:val="20"/>
              </w:rPr>
              <w:t>(129</w:t>
            </w:r>
            <w:r>
              <w:rPr>
                <w:rFonts w:ascii="Calibri" w:eastAsia="Times New Roman" w:hAnsi="Calibri" w:cs="Calibri"/>
                <w:b/>
                <w:color w:val="000000" w:themeColor="text1"/>
                <w:sz w:val="20"/>
                <w:szCs w:val="20"/>
              </w:rPr>
              <w:t>,</w:t>
            </w:r>
            <w:r w:rsidRPr="004B1C54">
              <w:rPr>
                <w:rFonts w:ascii="Calibri" w:eastAsia="Times New Roman" w:hAnsi="Calibri" w:cs="Calibri"/>
                <w:b/>
                <w:color w:val="000000" w:themeColor="text1"/>
                <w:sz w:val="20"/>
                <w:szCs w:val="20"/>
              </w:rPr>
              <w:t>935)</w:t>
            </w:r>
          </w:p>
        </w:tc>
        <w:tc>
          <w:tcPr>
            <w:tcW w:w="661" w:type="pct"/>
            <w:tcBorders>
              <w:top w:val="single" w:sz="4" w:space="0" w:color="auto"/>
              <w:left w:val="nil"/>
              <w:bottom w:val="single" w:sz="12" w:space="0" w:color="auto"/>
              <w:right w:val="nil"/>
            </w:tcBorders>
            <w:shd w:val="clear" w:color="auto" w:fill="auto"/>
            <w:vAlign w:val="bottom"/>
          </w:tcPr>
          <w:p w14:paraId="348CF58A" w14:textId="0517FEFD" w:rsidR="000D2791" w:rsidRPr="00041119" w:rsidRDefault="000D2791" w:rsidP="000D2791">
            <w:pPr>
              <w:tabs>
                <w:tab w:val="right" w:pos="1202"/>
              </w:tabs>
              <w:spacing w:after="0" w:line="301" w:lineRule="exact"/>
              <w:jc w:val="right"/>
              <w:outlineLvl w:val="0"/>
              <w:rPr>
                <w:rFonts w:eastAsia="Times New Roman" w:cs="Arial"/>
                <w:b/>
                <w:noProof/>
                <w:color w:val="000000" w:themeColor="text1"/>
                <w:sz w:val="20"/>
                <w:szCs w:val="20"/>
                <w:lang w:val="en-US"/>
              </w:rPr>
            </w:pPr>
            <w:r w:rsidRPr="00041119">
              <w:rPr>
                <w:b/>
                <w:sz w:val="20"/>
                <w:szCs w:val="20"/>
              </w:rPr>
              <w:t xml:space="preserve"> (9,557)</w:t>
            </w:r>
          </w:p>
        </w:tc>
        <w:tc>
          <w:tcPr>
            <w:tcW w:w="662" w:type="pct"/>
            <w:tcBorders>
              <w:top w:val="single" w:sz="4" w:space="0" w:color="auto"/>
              <w:left w:val="nil"/>
              <w:bottom w:val="single" w:sz="12" w:space="0" w:color="auto"/>
              <w:right w:val="nil"/>
            </w:tcBorders>
            <w:shd w:val="clear" w:color="auto" w:fill="auto"/>
            <w:vAlign w:val="bottom"/>
          </w:tcPr>
          <w:p w14:paraId="1EB48F1E" w14:textId="341BF7CE" w:rsidR="000D2791" w:rsidRPr="000D2791" w:rsidRDefault="000D2791" w:rsidP="000D2791">
            <w:pPr>
              <w:tabs>
                <w:tab w:val="right" w:pos="1202"/>
              </w:tabs>
              <w:spacing w:after="0" w:line="301" w:lineRule="exact"/>
              <w:jc w:val="right"/>
              <w:outlineLvl w:val="0"/>
              <w:rPr>
                <w:rFonts w:eastAsia="Times New Roman" w:cs="Arial"/>
                <w:b/>
                <w:noProof/>
                <w:color w:val="000000" w:themeColor="text1"/>
                <w:sz w:val="20"/>
                <w:szCs w:val="20"/>
                <w:lang w:val="en-US"/>
              </w:rPr>
            </w:pPr>
            <w:r w:rsidRPr="000D2791">
              <w:rPr>
                <w:rFonts w:eastAsia="Times New Roman" w:cstheme="minorHAnsi"/>
                <w:b/>
                <w:color w:val="000000" w:themeColor="text1"/>
                <w:sz w:val="20"/>
                <w:szCs w:val="20"/>
              </w:rPr>
              <w:t>(129</w:t>
            </w:r>
            <w:r>
              <w:rPr>
                <w:rFonts w:eastAsia="Times New Roman" w:cstheme="minorHAnsi"/>
                <w:b/>
                <w:color w:val="000000" w:themeColor="text1"/>
                <w:sz w:val="20"/>
                <w:szCs w:val="20"/>
              </w:rPr>
              <w:t>,</w:t>
            </w:r>
            <w:r w:rsidRPr="000D2791">
              <w:rPr>
                <w:rFonts w:eastAsia="Times New Roman" w:cstheme="minorHAnsi"/>
                <w:b/>
                <w:color w:val="000000" w:themeColor="text1"/>
                <w:sz w:val="20"/>
                <w:szCs w:val="20"/>
              </w:rPr>
              <w:t>976)</w:t>
            </w:r>
          </w:p>
        </w:tc>
        <w:tc>
          <w:tcPr>
            <w:tcW w:w="661" w:type="pct"/>
            <w:tcBorders>
              <w:top w:val="single" w:sz="4" w:space="0" w:color="auto"/>
              <w:left w:val="nil"/>
              <w:bottom w:val="single" w:sz="12" w:space="0" w:color="auto"/>
              <w:right w:val="nil"/>
            </w:tcBorders>
            <w:shd w:val="clear" w:color="auto" w:fill="auto"/>
            <w:vAlign w:val="bottom"/>
          </w:tcPr>
          <w:p w14:paraId="0FE33F87" w14:textId="6CC15991" w:rsidR="000D2791" w:rsidRPr="00041119" w:rsidRDefault="000D2791" w:rsidP="000D2791">
            <w:pPr>
              <w:tabs>
                <w:tab w:val="right" w:pos="1202"/>
              </w:tabs>
              <w:spacing w:after="0" w:line="301" w:lineRule="exact"/>
              <w:jc w:val="right"/>
              <w:outlineLvl w:val="0"/>
              <w:rPr>
                <w:rFonts w:eastAsia="Times New Roman" w:cs="Arial"/>
                <w:b/>
                <w:noProof/>
                <w:color w:val="000000" w:themeColor="text1"/>
                <w:sz w:val="20"/>
                <w:szCs w:val="20"/>
                <w:lang w:val="en-US"/>
              </w:rPr>
            </w:pPr>
            <w:r w:rsidRPr="00041119">
              <w:rPr>
                <w:b/>
                <w:sz w:val="20"/>
                <w:szCs w:val="20"/>
              </w:rPr>
              <w:t xml:space="preserve"> (9,600)</w:t>
            </w:r>
          </w:p>
        </w:tc>
      </w:tr>
    </w:tbl>
    <w:p w14:paraId="120A38DA" w14:textId="77777777" w:rsidR="00C47EEE" w:rsidRPr="00537128" w:rsidRDefault="00C47EEE" w:rsidP="00C47EEE">
      <w:pPr>
        <w:autoSpaceDE w:val="0"/>
        <w:autoSpaceDN w:val="0"/>
        <w:adjustRightInd w:val="0"/>
        <w:spacing w:after="0" w:line="240" w:lineRule="auto"/>
        <w:jc w:val="both"/>
        <w:rPr>
          <w:rFonts w:eastAsia="Times New Roman" w:cs="Arial"/>
          <w:b/>
          <w:bCs/>
          <w:noProof/>
          <w:color w:val="000000" w:themeColor="text1"/>
          <w:lang w:val="en-US"/>
        </w:rPr>
      </w:pPr>
    </w:p>
    <w:p w14:paraId="1DE1F95C" w14:textId="3E54CB78" w:rsidR="008A32FC" w:rsidRPr="00537128" w:rsidRDefault="008A32FC" w:rsidP="005B7D9D">
      <w:pPr>
        <w:pStyle w:val="ListParagraph"/>
        <w:numPr>
          <w:ilvl w:val="0"/>
          <w:numId w:val="8"/>
        </w:numPr>
        <w:autoSpaceDE w:val="0"/>
        <w:autoSpaceDN w:val="0"/>
        <w:adjustRightInd w:val="0"/>
        <w:spacing w:after="0" w:line="240" w:lineRule="auto"/>
        <w:jc w:val="both"/>
        <w:rPr>
          <w:rFonts w:eastAsia="Times New Roman" w:cs="Arial"/>
          <w:b/>
          <w:bCs/>
          <w:noProof/>
          <w:color w:val="000000" w:themeColor="text1"/>
          <w:lang w:val="en-US"/>
        </w:rPr>
      </w:pPr>
      <w:r w:rsidRPr="00537128">
        <w:rPr>
          <w:rFonts w:eastAsia="Times New Roman" w:cs="Arial"/>
          <w:b/>
          <w:bCs/>
          <w:noProof/>
          <w:color w:val="000000" w:themeColor="text1"/>
          <w:lang w:val="en-US"/>
        </w:rPr>
        <w:t xml:space="preserve">Other impairment </w:t>
      </w:r>
      <w:r w:rsidR="00E563CF">
        <w:rPr>
          <w:rFonts w:eastAsia="Times New Roman" w:cs="Arial"/>
          <w:b/>
          <w:bCs/>
          <w:noProof/>
          <w:color w:val="000000" w:themeColor="text1"/>
          <w:lang w:val="en-US"/>
        </w:rPr>
        <w:t>gains/</w:t>
      </w:r>
      <w:r w:rsidRPr="00537128">
        <w:rPr>
          <w:rFonts w:eastAsia="Times New Roman" w:cs="Arial"/>
          <w:b/>
          <w:bCs/>
          <w:noProof/>
          <w:color w:val="000000" w:themeColor="text1"/>
          <w:lang w:val="en-US"/>
        </w:rPr>
        <w:t>losses and provisions</w:t>
      </w:r>
    </w:p>
    <w:p w14:paraId="0A0946B4" w14:textId="77777777" w:rsidR="00C47EEE" w:rsidRPr="00537128" w:rsidRDefault="00C47EEE" w:rsidP="00C47EEE">
      <w:pPr>
        <w:autoSpaceDE w:val="0"/>
        <w:autoSpaceDN w:val="0"/>
        <w:adjustRightInd w:val="0"/>
        <w:spacing w:after="0" w:line="240" w:lineRule="auto"/>
        <w:jc w:val="both"/>
        <w:rPr>
          <w:rFonts w:eastAsia="Times New Roman" w:cs="Arial"/>
          <w:b/>
          <w:bCs/>
          <w:noProof/>
          <w:color w:val="000000" w:themeColor="text1"/>
          <w:lang w:val="en-US"/>
        </w:rPr>
      </w:pPr>
    </w:p>
    <w:tbl>
      <w:tblPr>
        <w:tblW w:w="5235" w:type="pct"/>
        <w:tblInd w:w="-142" w:type="dxa"/>
        <w:tblLayout w:type="fixed"/>
        <w:tblCellMar>
          <w:left w:w="120" w:type="dxa"/>
          <w:right w:w="120" w:type="dxa"/>
        </w:tblCellMar>
        <w:tblLook w:val="0000" w:firstRow="0" w:lastRow="0" w:firstColumn="0" w:lastColumn="0" w:noHBand="0" w:noVBand="0"/>
      </w:tblPr>
      <w:tblGrid>
        <w:gridCol w:w="4252"/>
        <w:gridCol w:w="1277"/>
        <w:gridCol w:w="1417"/>
        <w:gridCol w:w="1275"/>
        <w:gridCol w:w="1277"/>
      </w:tblGrid>
      <w:tr w:rsidR="00CB6E00" w:rsidRPr="00417D5C" w14:paraId="17E11A1B" w14:textId="77777777" w:rsidTr="000D1529">
        <w:trPr>
          <w:trHeight w:val="281"/>
        </w:trPr>
        <w:tc>
          <w:tcPr>
            <w:tcW w:w="2238" w:type="pct"/>
          </w:tcPr>
          <w:p w14:paraId="18802280" w14:textId="77777777" w:rsidR="00C47EEE" w:rsidRPr="00417D5C" w:rsidRDefault="00C47EEE" w:rsidP="00C47EEE">
            <w:pPr>
              <w:tabs>
                <w:tab w:val="right" w:pos="1202"/>
              </w:tabs>
              <w:spacing w:after="0" w:line="300" w:lineRule="exact"/>
              <w:outlineLvl w:val="0"/>
              <w:rPr>
                <w:rFonts w:eastAsia="Times New Roman" w:cs="Arial"/>
                <w:b/>
                <w:noProof/>
                <w:color w:val="000000" w:themeColor="text1"/>
                <w:sz w:val="20"/>
                <w:szCs w:val="20"/>
                <w:lang w:val="en-US"/>
              </w:rPr>
            </w:pPr>
          </w:p>
        </w:tc>
        <w:tc>
          <w:tcPr>
            <w:tcW w:w="672" w:type="pct"/>
          </w:tcPr>
          <w:p w14:paraId="06B855D4" w14:textId="77777777" w:rsidR="00C47EEE" w:rsidRPr="00417D5C" w:rsidRDefault="00C47EEE" w:rsidP="00C47EEE">
            <w:pPr>
              <w:tabs>
                <w:tab w:val="right" w:pos="1202"/>
              </w:tabs>
              <w:spacing w:after="0" w:line="240" w:lineRule="atLeast"/>
              <w:jc w:val="right"/>
              <w:outlineLvl w:val="0"/>
              <w:rPr>
                <w:rFonts w:eastAsia="Times New Roman" w:cs="Arial"/>
                <w:b/>
                <w:noProof/>
                <w:color w:val="000000" w:themeColor="text1"/>
                <w:sz w:val="20"/>
                <w:szCs w:val="20"/>
                <w:lang w:val="en-US"/>
              </w:rPr>
            </w:pPr>
          </w:p>
        </w:tc>
        <w:tc>
          <w:tcPr>
            <w:tcW w:w="746" w:type="pct"/>
          </w:tcPr>
          <w:p w14:paraId="68C16ADF" w14:textId="77777777" w:rsidR="00C47EEE" w:rsidRPr="00417D5C" w:rsidRDefault="00C47EEE" w:rsidP="00C47EEE">
            <w:pPr>
              <w:tabs>
                <w:tab w:val="right" w:pos="1202"/>
              </w:tabs>
              <w:spacing w:after="0" w:line="240" w:lineRule="atLeast"/>
              <w:jc w:val="right"/>
              <w:outlineLvl w:val="0"/>
              <w:rPr>
                <w:rFonts w:eastAsia="Times New Roman" w:cs="Arial"/>
                <w:b/>
                <w:noProof/>
                <w:color w:val="000000" w:themeColor="text1"/>
                <w:sz w:val="20"/>
                <w:szCs w:val="20"/>
                <w:lang w:val="en-US"/>
              </w:rPr>
            </w:pPr>
            <w:bookmarkStart w:id="258" w:name="_Toc4058141"/>
            <w:r w:rsidRPr="00417D5C">
              <w:rPr>
                <w:rFonts w:eastAsia="Times New Roman" w:cs="Arial"/>
                <w:b/>
                <w:noProof/>
                <w:color w:val="000000" w:themeColor="text1"/>
                <w:sz w:val="20"/>
                <w:szCs w:val="20"/>
                <w:lang w:val="en-US"/>
              </w:rPr>
              <w:t>Group</w:t>
            </w:r>
            <w:bookmarkEnd w:id="258"/>
          </w:p>
        </w:tc>
        <w:tc>
          <w:tcPr>
            <w:tcW w:w="671" w:type="pct"/>
          </w:tcPr>
          <w:p w14:paraId="5F2DEA71" w14:textId="77777777" w:rsidR="00C47EEE" w:rsidRPr="00417D5C" w:rsidRDefault="00C47EEE" w:rsidP="00C47EEE">
            <w:pPr>
              <w:tabs>
                <w:tab w:val="right" w:pos="1202"/>
              </w:tabs>
              <w:spacing w:after="0" w:line="240" w:lineRule="atLeast"/>
              <w:jc w:val="right"/>
              <w:outlineLvl w:val="0"/>
              <w:rPr>
                <w:rFonts w:eastAsia="Times New Roman" w:cs="Arial"/>
                <w:b/>
                <w:noProof/>
                <w:color w:val="000000" w:themeColor="text1"/>
                <w:sz w:val="20"/>
                <w:szCs w:val="20"/>
                <w:lang w:val="en-US"/>
              </w:rPr>
            </w:pPr>
          </w:p>
        </w:tc>
        <w:tc>
          <w:tcPr>
            <w:tcW w:w="672" w:type="pct"/>
          </w:tcPr>
          <w:p w14:paraId="7F87CD6F" w14:textId="77777777" w:rsidR="00C47EEE" w:rsidRPr="00417D5C" w:rsidRDefault="00C47EEE" w:rsidP="00C47EEE">
            <w:pPr>
              <w:tabs>
                <w:tab w:val="right" w:pos="1202"/>
              </w:tabs>
              <w:spacing w:after="0" w:line="240" w:lineRule="atLeast"/>
              <w:jc w:val="right"/>
              <w:outlineLvl w:val="0"/>
              <w:rPr>
                <w:rFonts w:eastAsia="Times New Roman" w:cs="Arial"/>
                <w:b/>
                <w:noProof/>
                <w:color w:val="000000" w:themeColor="text1"/>
                <w:sz w:val="20"/>
                <w:szCs w:val="20"/>
                <w:lang w:val="en-US"/>
              </w:rPr>
            </w:pPr>
            <w:bookmarkStart w:id="259" w:name="_Toc4058142"/>
            <w:r w:rsidRPr="00417D5C">
              <w:rPr>
                <w:rFonts w:eastAsia="Times New Roman" w:cs="Arial"/>
                <w:b/>
                <w:noProof/>
                <w:color w:val="000000" w:themeColor="text1"/>
                <w:sz w:val="20"/>
                <w:szCs w:val="20"/>
                <w:lang w:val="en-US"/>
              </w:rPr>
              <w:t>Bank</w:t>
            </w:r>
            <w:bookmarkEnd w:id="259"/>
          </w:p>
        </w:tc>
      </w:tr>
      <w:tr w:rsidR="00CB6E00" w:rsidRPr="00417D5C" w14:paraId="25C5257F" w14:textId="77777777" w:rsidTr="000D1529">
        <w:trPr>
          <w:trHeight w:hRule="exact" w:val="502"/>
        </w:trPr>
        <w:tc>
          <w:tcPr>
            <w:tcW w:w="2238" w:type="pct"/>
          </w:tcPr>
          <w:p w14:paraId="31B33E2C" w14:textId="77777777" w:rsidR="00C47EEE" w:rsidRPr="00417D5C" w:rsidRDefault="00C47EEE" w:rsidP="00C47EEE">
            <w:pPr>
              <w:tabs>
                <w:tab w:val="right" w:pos="1202"/>
              </w:tabs>
              <w:spacing w:after="0" w:line="300" w:lineRule="exact"/>
              <w:outlineLvl w:val="0"/>
              <w:rPr>
                <w:rFonts w:eastAsia="Times New Roman" w:cs="Arial"/>
                <w:b/>
                <w:noProof/>
                <w:color w:val="000000" w:themeColor="text1"/>
                <w:sz w:val="20"/>
                <w:szCs w:val="20"/>
                <w:lang w:val="en-US"/>
              </w:rPr>
            </w:pPr>
          </w:p>
        </w:tc>
        <w:tc>
          <w:tcPr>
            <w:tcW w:w="672" w:type="pct"/>
            <w:vAlign w:val="bottom"/>
          </w:tcPr>
          <w:p w14:paraId="4464F8F3" w14:textId="5F87D80E" w:rsidR="00C47EEE" w:rsidRPr="00417D5C" w:rsidRDefault="00C47EEE" w:rsidP="00C47EEE">
            <w:pPr>
              <w:tabs>
                <w:tab w:val="right" w:pos="1202"/>
              </w:tabs>
              <w:spacing w:after="0" w:line="240" w:lineRule="atLeast"/>
              <w:jc w:val="right"/>
              <w:outlineLvl w:val="0"/>
              <w:rPr>
                <w:rFonts w:eastAsia="Times New Roman" w:cs="Arial"/>
                <w:b/>
                <w:noProof/>
                <w:color w:val="000000" w:themeColor="text1"/>
                <w:sz w:val="20"/>
                <w:szCs w:val="20"/>
                <w:lang w:val="en-US"/>
              </w:rPr>
            </w:pPr>
            <w:r w:rsidRPr="00417D5C">
              <w:rPr>
                <w:rFonts w:eastAsia="Times New Roman" w:cstheme="minorHAnsi"/>
                <w:b/>
                <w:bCs/>
                <w:noProof/>
                <w:color w:val="000000" w:themeColor="text1"/>
                <w:sz w:val="20"/>
                <w:szCs w:val="20"/>
                <w:lang w:val="en-US"/>
              </w:rPr>
              <w:t>Jan 1 - Mar 31, 202</w:t>
            </w:r>
            <w:r w:rsidR="00112168" w:rsidRPr="00417D5C">
              <w:rPr>
                <w:rFonts w:eastAsia="Times New Roman" w:cstheme="minorHAnsi"/>
                <w:b/>
                <w:bCs/>
                <w:noProof/>
                <w:color w:val="000000" w:themeColor="text1"/>
                <w:sz w:val="20"/>
                <w:szCs w:val="20"/>
                <w:lang w:val="en-US"/>
              </w:rPr>
              <w:t>2</w:t>
            </w:r>
          </w:p>
        </w:tc>
        <w:tc>
          <w:tcPr>
            <w:tcW w:w="746" w:type="pct"/>
            <w:vAlign w:val="bottom"/>
          </w:tcPr>
          <w:p w14:paraId="70AF4962" w14:textId="1E935647" w:rsidR="00C47EEE" w:rsidRPr="00417D5C" w:rsidRDefault="00C47EEE" w:rsidP="00C47EEE">
            <w:pPr>
              <w:tabs>
                <w:tab w:val="right" w:pos="1202"/>
              </w:tabs>
              <w:spacing w:after="0" w:line="240" w:lineRule="atLeast"/>
              <w:jc w:val="right"/>
              <w:outlineLvl w:val="0"/>
              <w:rPr>
                <w:rFonts w:eastAsia="Times New Roman" w:cs="Arial"/>
                <w:b/>
                <w:noProof/>
                <w:color w:val="000000" w:themeColor="text1"/>
                <w:sz w:val="20"/>
                <w:szCs w:val="20"/>
                <w:lang w:val="en-US"/>
              </w:rPr>
            </w:pPr>
            <w:r w:rsidRPr="00417D5C">
              <w:rPr>
                <w:rFonts w:eastAsia="Times New Roman" w:cstheme="minorHAnsi"/>
                <w:b/>
                <w:bCs/>
                <w:noProof/>
                <w:color w:val="000000" w:themeColor="text1"/>
                <w:sz w:val="20"/>
                <w:szCs w:val="20"/>
                <w:lang w:val="en-US"/>
              </w:rPr>
              <w:t>Jan 1 - Mar 31, 202</w:t>
            </w:r>
            <w:r w:rsidR="00112168" w:rsidRPr="00417D5C">
              <w:rPr>
                <w:rFonts w:eastAsia="Times New Roman" w:cstheme="minorHAnsi"/>
                <w:b/>
                <w:bCs/>
                <w:noProof/>
                <w:color w:val="000000" w:themeColor="text1"/>
                <w:sz w:val="20"/>
                <w:szCs w:val="20"/>
                <w:lang w:val="en-US"/>
              </w:rPr>
              <w:t>1</w:t>
            </w:r>
          </w:p>
        </w:tc>
        <w:tc>
          <w:tcPr>
            <w:tcW w:w="671" w:type="pct"/>
            <w:vAlign w:val="bottom"/>
          </w:tcPr>
          <w:p w14:paraId="0F9F1CE8" w14:textId="5C9F7E9D" w:rsidR="00C47EEE" w:rsidRPr="00417D5C" w:rsidRDefault="00C47EEE" w:rsidP="00C47EEE">
            <w:pPr>
              <w:tabs>
                <w:tab w:val="right" w:pos="1202"/>
              </w:tabs>
              <w:spacing w:after="0" w:line="240" w:lineRule="atLeast"/>
              <w:jc w:val="right"/>
              <w:outlineLvl w:val="0"/>
              <w:rPr>
                <w:rFonts w:eastAsia="Times New Roman" w:cs="Arial"/>
                <w:b/>
                <w:noProof/>
                <w:color w:val="000000" w:themeColor="text1"/>
                <w:sz w:val="20"/>
                <w:szCs w:val="20"/>
                <w:lang w:val="en-US"/>
              </w:rPr>
            </w:pPr>
            <w:r w:rsidRPr="00417D5C">
              <w:rPr>
                <w:rFonts w:eastAsia="Times New Roman" w:cstheme="minorHAnsi"/>
                <w:b/>
                <w:bCs/>
                <w:noProof/>
                <w:color w:val="000000" w:themeColor="text1"/>
                <w:sz w:val="20"/>
                <w:szCs w:val="20"/>
                <w:lang w:val="en-US"/>
              </w:rPr>
              <w:t>Jan 1 - Mar 31, 202</w:t>
            </w:r>
            <w:r w:rsidR="00112168" w:rsidRPr="00417D5C">
              <w:rPr>
                <w:rFonts w:eastAsia="Times New Roman" w:cstheme="minorHAnsi"/>
                <w:b/>
                <w:bCs/>
                <w:noProof/>
                <w:color w:val="000000" w:themeColor="text1"/>
                <w:sz w:val="20"/>
                <w:szCs w:val="20"/>
                <w:lang w:val="en-US"/>
              </w:rPr>
              <w:t>2</w:t>
            </w:r>
          </w:p>
        </w:tc>
        <w:tc>
          <w:tcPr>
            <w:tcW w:w="672" w:type="pct"/>
            <w:vAlign w:val="bottom"/>
          </w:tcPr>
          <w:p w14:paraId="66249DC3" w14:textId="5D34FF62" w:rsidR="00C47EEE" w:rsidRPr="00417D5C" w:rsidRDefault="00C47EEE" w:rsidP="00C47EEE">
            <w:pPr>
              <w:tabs>
                <w:tab w:val="right" w:pos="1202"/>
              </w:tabs>
              <w:spacing w:after="0" w:line="240" w:lineRule="atLeast"/>
              <w:jc w:val="right"/>
              <w:outlineLvl w:val="0"/>
              <w:rPr>
                <w:rFonts w:eastAsia="Times New Roman" w:cs="Arial"/>
                <w:b/>
                <w:noProof/>
                <w:color w:val="000000" w:themeColor="text1"/>
                <w:sz w:val="20"/>
                <w:szCs w:val="20"/>
                <w:lang w:val="en-US"/>
              </w:rPr>
            </w:pPr>
            <w:r w:rsidRPr="00417D5C">
              <w:rPr>
                <w:rFonts w:eastAsia="Times New Roman" w:cstheme="minorHAnsi"/>
                <w:b/>
                <w:bCs/>
                <w:noProof/>
                <w:color w:val="000000" w:themeColor="text1"/>
                <w:sz w:val="20"/>
                <w:szCs w:val="20"/>
                <w:lang w:val="en-US"/>
              </w:rPr>
              <w:t>Jan 1 - Mar 31, 202</w:t>
            </w:r>
            <w:r w:rsidR="00112168" w:rsidRPr="00417D5C">
              <w:rPr>
                <w:rFonts w:eastAsia="Times New Roman" w:cstheme="minorHAnsi"/>
                <w:b/>
                <w:bCs/>
                <w:noProof/>
                <w:color w:val="000000" w:themeColor="text1"/>
                <w:sz w:val="20"/>
                <w:szCs w:val="20"/>
                <w:lang w:val="en-US"/>
              </w:rPr>
              <w:t>1</w:t>
            </w:r>
          </w:p>
        </w:tc>
      </w:tr>
      <w:tr w:rsidR="00CB6E00" w:rsidRPr="00417D5C" w14:paraId="75DADA5C" w14:textId="77777777" w:rsidTr="000D1529">
        <w:trPr>
          <w:trHeight w:val="383"/>
        </w:trPr>
        <w:tc>
          <w:tcPr>
            <w:tcW w:w="2238" w:type="pct"/>
          </w:tcPr>
          <w:p w14:paraId="173C42F2" w14:textId="77777777" w:rsidR="00C47EEE" w:rsidRPr="00417D5C" w:rsidRDefault="00C47EEE" w:rsidP="00C47EEE">
            <w:pPr>
              <w:tabs>
                <w:tab w:val="right" w:pos="1202"/>
              </w:tabs>
              <w:spacing w:after="0" w:line="300" w:lineRule="exact"/>
              <w:outlineLvl w:val="0"/>
              <w:rPr>
                <w:rFonts w:eastAsia="Times New Roman" w:cs="Arial"/>
                <w:b/>
                <w:noProof/>
                <w:color w:val="000000" w:themeColor="text1"/>
                <w:sz w:val="20"/>
                <w:szCs w:val="20"/>
                <w:lang w:val="en-US"/>
              </w:rPr>
            </w:pPr>
          </w:p>
        </w:tc>
        <w:tc>
          <w:tcPr>
            <w:tcW w:w="672" w:type="pct"/>
          </w:tcPr>
          <w:p w14:paraId="7DE0EE2A" w14:textId="77777777" w:rsidR="00C47EEE" w:rsidRPr="00417D5C" w:rsidRDefault="00C47EEE" w:rsidP="00C47EEE">
            <w:pPr>
              <w:tabs>
                <w:tab w:val="right" w:pos="1202"/>
              </w:tabs>
              <w:spacing w:after="0" w:line="300" w:lineRule="exact"/>
              <w:jc w:val="right"/>
              <w:outlineLvl w:val="0"/>
              <w:rPr>
                <w:rFonts w:eastAsia="Times New Roman" w:cs="Arial"/>
                <w:b/>
                <w:noProof/>
                <w:color w:val="000000" w:themeColor="text1"/>
                <w:sz w:val="20"/>
                <w:szCs w:val="20"/>
                <w:lang w:val="en-US"/>
              </w:rPr>
            </w:pPr>
            <w:r w:rsidRPr="00417D5C">
              <w:rPr>
                <w:rFonts w:eastAsia="Times New Roman" w:cs="Arial"/>
                <w:b/>
                <w:noProof/>
                <w:color w:val="000000" w:themeColor="text1"/>
                <w:sz w:val="20"/>
                <w:szCs w:val="20"/>
                <w:lang w:val="en-US"/>
              </w:rPr>
              <w:t>HRK ‘000</w:t>
            </w:r>
          </w:p>
        </w:tc>
        <w:tc>
          <w:tcPr>
            <w:tcW w:w="746" w:type="pct"/>
          </w:tcPr>
          <w:p w14:paraId="391DC090" w14:textId="6601898F" w:rsidR="00C47EEE" w:rsidRPr="00417D5C" w:rsidRDefault="00C47EEE" w:rsidP="00C47EEE">
            <w:pPr>
              <w:tabs>
                <w:tab w:val="right" w:pos="1202"/>
              </w:tabs>
              <w:spacing w:after="0" w:line="300" w:lineRule="exact"/>
              <w:jc w:val="right"/>
              <w:outlineLvl w:val="0"/>
              <w:rPr>
                <w:rFonts w:eastAsia="Times New Roman" w:cs="Arial"/>
                <w:b/>
                <w:noProof/>
                <w:color w:val="000000" w:themeColor="text1"/>
                <w:sz w:val="20"/>
                <w:szCs w:val="20"/>
                <w:lang w:val="en-US"/>
              </w:rPr>
            </w:pPr>
            <w:r w:rsidRPr="00417D5C">
              <w:rPr>
                <w:rFonts w:eastAsia="Times New Roman" w:cs="Arial"/>
                <w:b/>
                <w:noProof/>
                <w:color w:val="000000" w:themeColor="text1"/>
                <w:sz w:val="20"/>
                <w:szCs w:val="20"/>
                <w:lang w:val="en-US"/>
              </w:rPr>
              <w:t>HRK ‘000</w:t>
            </w:r>
          </w:p>
        </w:tc>
        <w:tc>
          <w:tcPr>
            <w:tcW w:w="671" w:type="pct"/>
          </w:tcPr>
          <w:p w14:paraId="45711F2A" w14:textId="00A74ED9" w:rsidR="00C47EEE" w:rsidRPr="00417D5C" w:rsidRDefault="00C47EEE" w:rsidP="00C47EEE">
            <w:pPr>
              <w:tabs>
                <w:tab w:val="right" w:pos="1202"/>
              </w:tabs>
              <w:spacing w:after="0" w:line="300" w:lineRule="exact"/>
              <w:jc w:val="right"/>
              <w:outlineLvl w:val="0"/>
              <w:rPr>
                <w:rFonts w:eastAsia="Times New Roman" w:cs="Arial"/>
                <w:b/>
                <w:noProof/>
                <w:color w:val="000000" w:themeColor="text1"/>
                <w:sz w:val="20"/>
                <w:szCs w:val="20"/>
                <w:lang w:val="en-US"/>
              </w:rPr>
            </w:pPr>
            <w:r w:rsidRPr="00417D5C">
              <w:rPr>
                <w:rFonts w:eastAsia="Times New Roman" w:cs="Arial"/>
                <w:b/>
                <w:noProof/>
                <w:color w:val="000000" w:themeColor="text1"/>
                <w:sz w:val="20"/>
                <w:szCs w:val="20"/>
                <w:lang w:val="en-US"/>
              </w:rPr>
              <w:t>HRK ‘000</w:t>
            </w:r>
          </w:p>
        </w:tc>
        <w:tc>
          <w:tcPr>
            <w:tcW w:w="672" w:type="pct"/>
          </w:tcPr>
          <w:p w14:paraId="1FC579B5" w14:textId="6A440452" w:rsidR="00C47EEE" w:rsidRPr="00417D5C" w:rsidRDefault="00C47EEE" w:rsidP="00C47EEE">
            <w:pPr>
              <w:tabs>
                <w:tab w:val="right" w:pos="1202"/>
              </w:tabs>
              <w:spacing w:after="0" w:line="300" w:lineRule="exact"/>
              <w:jc w:val="right"/>
              <w:outlineLvl w:val="0"/>
              <w:rPr>
                <w:rFonts w:eastAsia="Times New Roman" w:cs="Arial"/>
                <w:b/>
                <w:noProof/>
                <w:color w:val="000000" w:themeColor="text1"/>
                <w:sz w:val="20"/>
                <w:szCs w:val="20"/>
                <w:lang w:val="en-US"/>
              </w:rPr>
            </w:pPr>
            <w:r w:rsidRPr="00417D5C">
              <w:rPr>
                <w:rFonts w:eastAsia="Times New Roman" w:cs="Arial"/>
                <w:b/>
                <w:noProof/>
                <w:color w:val="000000" w:themeColor="text1"/>
                <w:sz w:val="20"/>
                <w:szCs w:val="20"/>
                <w:lang w:val="en-US"/>
              </w:rPr>
              <w:t>HRK ‘000</w:t>
            </w:r>
          </w:p>
        </w:tc>
      </w:tr>
      <w:tr w:rsidR="002F0FA9" w:rsidRPr="00417D5C" w14:paraId="5E154C01" w14:textId="77777777" w:rsidTr="007C1E45">
        <w:trPr>
          <w:trHeight w:val="281"/>
        </w:trPr>
        <w:tc>
          <w:tcPr>
            <w:tcW w:w="2238" w:type="pct"/>
          </w:tcPr>
          <w:p w14:paraId="7C44B086" w14:textId="001CF9C5" w:rsidR="002F0FA9" w:rsidRPr="00417D5C" w:rsidRDefault="002F0FA9" w:rsidP="002F0FA9">
            <w:pPr>
              <w:tabs>
                <w:tab w:val="right" w:pos="1202"/>
              </w:tabs>
              <w:spacing w:after="0" w:line="300" w:lineRule="exact"/>
              <w:outlineLvl w:val="0"/>
              <w:rPr>
                <w:rFonts w:eastAsia="Times New Roman" w:cs="Arial"/>
                <w:noProof/>
                <w:color w:val="000000" w:themeColor="text1"/>
                <w:sz w:val="20"/>
                <w:szCs w:val="20"/>
                <w:lang w:val="en-US"/>
              </w:rPr>
            </w:pPr>
            <w:bookmarkStart w:id="260" w:name="_Toc4058161"/>
            <w:r w:rsidRPr="00417D5C">
              <w:rPr>
                <w:rFonts w:eastAsia="Times New Roman" w:cs="Arial"/>
                <w:noProof/>
                <w:color w:val="000000" w:themeColor="text1"/>
                <w:sz w:val="20"/>
                <w:szCs w:val="20"/>
                <w:lang w:val="en-US"/>
              </w:rPr>
              <w:t>Provision for other liabilities</w:t>
            </w:r>
            <w:bookmarkEnd w:id="260"/>
          </w:p>
        </w:tc>
        <w:tc>
          <w:tcPr>
            <w:tcW w:w="672" w:type="pct"/>
            <w:tcBorders>
              <w:top w:val="nil"/>
              <w:left w:val="nil"/>
              <w:bottom w:val="nil"/>
              <w:right w:val="nil"/>
            </w:tcBorders>
            <w:shd w:val="clear" w:color="auto" w:fill="auto"/>
            <w:vAlign w:val="bottom"/>
          </w:tcPr>
          <w:p w14:paraId="723504CE" w14:textId="003AF071" w:rsidR="002F0FA9" w:rsidRPr="00012101" w:rsidRDefault="002F0FA9" w:rsidP="002F0FA9">
            <w:pPr>
              <w:tabs>
                <w:tab w:val="right" w:pos="1202"/>
              </w:tabs>
              <w:spacing w:after="0" w:line="301" w:lineRule="exact"/>
              <w:jc w:val="right"/>
              <w:outlineLvl w:val="0"/>
              <w:rPr>
                <w:rFonts w:eastAsia="Times New Roman" w:cs="Arial"/>
                <w:noProof/>
                <w:color w:val="000000" w:themeColor="text1"/>
                <w:spacing w:val="-2"/>
                <w:sz w:val="20"/>
                <w:szCs w:val="20"/>
                <w:lang w:val="en-US"/>
              </w:rPr>
            </w:pPr>
            <w:r w:rsidRPr="00012101">
              <w:rPr>
                <w:rFonts w:eastAsia="Times New Roman" w:cstheme="minorHAnsi"/>
                <w:color w:val="000000" w:themeColor="text1"/>
                <w:spacing w:val="-2"/>
                <w:sz w:val="20"/>
                <w:szCs w:val="20"/>
              </w:rPr>
              <w:t>(415)</w:t>
            </w:r>
          </w:p>
        </w:tc>
        <w:tc>
          <w:tcPr>
            <w:tcW w:w="746" w:type="pct"/>
            <w:tcBorders>
              <w:top w:val="nil"/>
              <w:left w:val="nil"/>
              <w:bottom w:val="nil"/>
              <w:right w:val="nil"/>
            </w:tcBorders>
            <w:shd w:val="clear" w:color="auto" w:fill="auto"/>
          </w:tcPr>
          <w:p w14:paraId="7706440D" w14:textId="6537404A" w:rsidR="002F0FA9" w:rsidRPr="00012101" w:rsidRDefault="002F0FA9" w:rsidP="002F0FA9">
            <w:pPr>
              <w:tabs>
                <w:tab w:val="right" w:pos="1202"/>
              </w:tabs>
              <w:spacing w:after="0" w:line="301" w:lineRule="exact"/>
              <w:jc w:val="right"/>
              <w:outlineLvl w:val="0"/>
              <w:rPr>
                <w:rFonts w:eastAsia="Times New Roman" w:cs="Arial"/>
                <w:noProof/>
                <w:color w:val="000000" w:themeColor="text1"/>
                <w:spacing w:val="-2"/>
                <w:sz w:val="20"/>
                <w:szCs w:val="20"/>
                <w:lang w:val="en-US"/>
              </w:rPr>
            </w:pPr>
            <w:r w:rsidRPr="00012101">
              <w:rPr>
                <w:sz w:val="20"/>
                <w:szCs w:val="20"/>
              </w:rPr>
              <w:t xml:space="preserve"> (40)</w:t>
            </w:r>
          </w:p>
        </w:tc>
        <w:tc>
          <w:tcPr>
            <w:tcW w:w="671" w:type="pct"/>
            <w:tcBorders>
              <w:top w:val="nil"/>
              <w:left w:val="nil"/>
              <w:bottom w:val="nil"/>
              <w:right w:val="nil"/>
            </w:tcBorders>
            <w:shd w:val="clear" w:color="auto" w:fill="auto"/>
            <w:vAlign w:val="bottom"/>
          </w:tcPr>
          <w:p w14:paraId="466D923F" w14:textId="050B3AD5" w:rsidR="002F0FA9" w:rsidRPr="00012101" w:rsidRDefault="002F0FA9" w:rsidP="002F0FA9">
            <w:pPr>
              <w:tabs>
                <w:tab w:val="right" w:pos="1202"/>
              </w:tabs>
              <w:spacing w:after="0" w:line="301" w:lineRule="exact"/>
              <w:jc w:val="right"/>
              <w:outlineLvl w:val="0"/>
              <w:rPr>
                <w:rFonts w:eastAsia="Times New Roman" w:cs="Arial"/>
                <w:noProof/>
                <w:color w:val="000000" w:themeColor="text1"/>
                <w:spacing w:val="-2"/>
                <w:sz w:val="20"/>
                <w:szCs w:val="20"/>
                <w:lang w:val="en-US"/>
              </w:rPr>
            </w:pPr>
            <w:r w:rsidRPr="00012101">
              <w:rPr>
                <w:rFonts w:eastAsia="Times New Roman" w:cstheme="minorHAnsi"/>
                <w:color w:val="000000" w:themeColor="text1"/>
                <w:spacing w:val="-2"/>
                <w:sz w:val="20"/>
                <w:szCs w:val="20"/>
              </w:rPr>
              <w:t>(415)</w:t>
            </w:r>
          </w:p>
        </w:tc>
        <w:tc>
          <w:tcPr>
            <w:tcW w:w="672" w:type="pct"/>
            <w:tcBorders>
              <w:top w:val="nil"/>
              <w:left w:val="nil"/>
              <w:right w:val="nil"/>
            </w:tcBorders>
            <w:shd w:val="clear" w:color="auto" w:fill="auto"/>
          </w:tcPr>
          <w:p w14:paraId="74904789" w14:textId="0703D49D" w:rsidR="002F0FA9" w:rsidRPr="00417D5C" w:rsidRDefault="002F0FA9" w:rsidP="002F0FA9">
            <w:pPr>
              <w:tabs>
                <w:tab w:val="right" w:pos="1202"/>
              </w:tabs>
              <w:spacing w:after="0" w:line="301" w:lineRule="exact"/>
              <w:jc w:val="right"/>
              <w:outlineLvl w:val="0"/>
              <w:rPr>
                <w:rFonts w:eastAsia="Times New Roman" w:cs="Arial"/>
                <w:noProof/>
                <w:color w:val="000000" w:themeColor="text1"/>
                <w:spacing w:val="-2"/>
                <w:sz w:val="20"/>
                <w:szCs w:val="20"/>
                <w:lang w:val="en-US"/>
              </w:rPr>
            </w:pPr>
            <w:r w:rsidRPr="00417D5C">
              <w:rPr>
                <w:sz w:val="20"/>
                <w:szCs w:val="20"/>
              </w:rPr>
              <w:t xml:space="preserve"> (40)</w:t>
            </w:r>
          </w:p>
        </w:tc>
      </w:tr>
      <w:tr w:rsidR="002F0FA9" w:rsidRPr="00417D5C" w14:paraId="178ACA6B" w14:textId="77777777" w:rsidTr="000D1529">
        <w:trPr>
          <w:trHeight w:val="362"/>
        </w:trPr>
        <w:tc>
          <w:tcPr>
            <w:tcW w:w="2238" w:type="pct"/>
            <w:vAlign w:val="bottom"/>
          </w:tcPr>
          <w:p w14:paraId="7211984E" w14:textId="4DB9A106" w:rsidR="002F0FA9" w:rsidRPr="00417D5C" w:rsidRDefault="002F0FA9" w:rsidP="002F0FA9">
            <w:pPr>
              <w:tabs>
                <w:tab w:val="right" w:pos="1202"/>
              </w:tabs>
              <w:spacing w:after="0" w:line="300" w:lineRule="exact"/>
              <w:outlineLvl w:val="0"/>
              <w:rPr>
                <w:rFonts w:eastAsia="Times New Roman" w:cs="Arial"/>
                <w:b/>
                <w:bCs/>
                <w:noProof/>
                <w:color w:val="000000" w:themeColor="text1"/>
                <w:sz w:val="20"/>
                <w:szCs w:val="20"/>
                <w:lang w:val="en-US"/>
              </w:rPr>
            </w:pPr>
            <w:bookmarkStart w:id="261" w:name="_Toc4058166"/>
            <w:r w:rsidRPr="00417D5C">
              <w:rPr>
                <w:rFonts w:eastAsia="Times New Roman" w:cs="Arial"/>
                <w:b/>
                <w:bCs/>
                <w:noProof/>
                <w:color w:val="000000" w:themeColor="text1"/>
                <w:sz w:val="20"/>
                <w:szCs w:val="20"/>
                <w:lang w:val="en-US"/>
              </w:rPr>
              <w:t>Total</w:t>
            </w:r>
            <w:bookmarkEnd w:id="261"/>
            <w:r w:rsidRPr="00417D5C">
              <w:rPr>
                <w:rFonts w:eastAsia="Times New Roman" w:cs="Arial"/>
                <w:b/>
                <w:bCs/>
                <w:noProof/>
                <w:color w:val="000000" w:themeColor="text1"/>
                <w:sz w:val="20"/>
                <w:szCs w:val="20"/>
                <w:lang w:val="en-US"/>
              </w:rPr>
              <w:t xml:space="preserve"> </w:t>
            </w:r>
          </w:p>
        </w:tc>
        <w:tc>
          <w:tcPr>
            <w:tcW w:w="672" w:type="pct"/>
            <w:tcBorders>
              <w:top w:val="single" w:sz="4" w:space="0" w:color="auto"/>
              <w:bottom w:val="single" w:sz="12" w:space="0" w:color="auto"/>
            </w:tcBorders>
            <w:vAlign w:val="bottom"/>
          </w:tcPr>
          <w:p w14:paraId="280CCF4A" w14:textId="7026CFAD" w:rsidR="002F0FA9" w:rsidRPr="00012101" w:rsidRDefault="002F0FA9" w:rsidP="002F0FA9">
            <w:pPr>
              <w:tabs>
                <w:tab w:val="right" w:pos="1202"/>
              </w:tabs>
              <w:spacing w:after="0" w:line="340" w:lineRule="exact"/>
              <w:jc w:val="right"/>
              <w:outlineLvl w:val="0"/>
              <w:rPr>
                <w:rFonts w:eastAsia="Times New Roman" w:cs="Arial"/>
                <w:b/>
                <w:bCs/>
                <w:noProof/>
                <w:color w:val="000000" w:themeColor="text1"/>
                <w:spacing w:val="-2"/>
                <w:sz w:val="20"/>
                <w:szCs w:val="20"/>
                <w:lang w:val="en-US"/>
              </w:rPr>
            </w:pPr>
            <w:r w:rsidRPr="00012101">
              <w:rPr>
                <w:rFonts w:eastAsia="Times New Roman" w:cstheme="minorHAnsi"/>
                <w:b/>
                <w:bCs/>
                <w:color w:val="000000" w:themeColor="text1"/>
                <w:spacing w:val="-2"/>
                <w:sz w:val="20"/>
                <w:szCs w:val="20"/>
              </w:rPr>
              <w:t>(415)</w:t>
            </w:r>
          </w:p>
        </w:tc>
        <w:tc>
          <w:tcPr>
            <w:tcW w:w="746" w:type="pct"/>
            <w:tcBorders>
              <w:top w:val="single" w:sz="4" w:space="0" w:color="auto"/>
              <w:bottom w:val="single" w:sz="12" w:space="0" w:color="auto"/>
            </w:tcBorders>
            <w:vAlign w:val="bottom"/>
          </w:tcPr>
          <w:p w14:paraId="0E79138A" w14:textId="0460CC45" w:rsidR="002F0FA9" w:rsidRPr="00012101" w:rsidRDefault="002F0FA9" w:rsidP="002F0FA9">
            <w:pPr>
              <w:tabs>
                <w:tab w:val="right" w:pos="1202"/>
              </w:tabs>
              <w:spacing w:after="0" w:line="340" w:lineRule="exact"/>
              <w:jc w:val="right"/>
              <w:outlineLvl w:val="0"/>
              <w:rPr>
                <w:rFonts w:eastAsia="Times New Roman" w:cs="Arial"/>
                <w:b/>
                <w:bCs/>
                <w:noProof/>
                <w:color w:val="000000" w:themeColor="text1"/>
                <w:spacing w:val="-2"/>
                <w:sz w:val="20"/>
                <w:szCs w:val="20"/>
                <w:lang w:val="en-US"/>
              </w:rPr>
            </w:pPr>
            <w:r w:rsidRPr="00012101">
              <w:rPr>
                <w:b/>
                <w:bCs/>
                <w:sz w:val="20"/>
                <w:szCs w:val="20"/>
              </w:rPr>
              <w:t xml:space="preserve"> (40)</w:t>
            </w:r>
          </w:p>
        </w:tc>
        <w:tc>
          <w:tcPr>
            <w:tcW w:w="671" w:type="pct"/>
            <w:tcBorders>
              <w:top w:val="single" w:sz="4" w:space="0" w:color="auto"/>
              <w:bottom w:val="single" w:sz="12" w:space="0" w:color="auto"/>
            </w:tcBorders>
            <w:vAlign w:val="bottom"/>
          </w:tcPr>
          <w:p w14:paraId="55EF5DD0" w14:textId="1ADCAB50" w:rsidR="002F0FA9" w:rsidRPr="00012101" w:rsidRDefault="002F0FA9" w:rsidP="002F0FA9">
            <w:pPr>
              <w:tabs>
                <w:tab w:val="right" w:pos="1202"/>
              </w:tabs>
              <w:spacing w:after="0" w:line="340" w:lineRule="exact"/>
              <w:jc w:val="right"/>
              <w:outlineLvl w:val="0"/>
              <w:rPr>
                <w:rFonts w:eastAsia="Times New Roman" w:cs="Arial"/>
                <w:b/>
                <w:bCs/>
                <w:noProof/>
                <w:color w:val="000000" w:themeColor="text1"/>
                <w:spacing w:val="-2"/>
                <w:sz w:val="20"/>
                <w:szCs w:val="20"/>
                <w:lang w:val="en-US"/>
              </w:rPr>
            </w:pPr>
            <w:r w:rsidRPr="00012101">
              <w:rPr>
                <w:rFonts w:eastAsia="Times New Roman" w:cs="Arial"/>
                <w:b/>
                <w:bCs/>
                <w:color w:val="000000" w:themeColor="text1"/>
                <w:spacing w:val="-2"/>
                <w:sz w:val="20"/>
                <w:szCs w:val="20"/>
              </w:rPr>
              <w:t>(415)</w:t>
            </w:r>
          </w:p>
        </w:tc>
        <w:tc>
          <w:tcPr>
            <w:tcW w:w="672" w:type="pct"/>
            <w:tcBorders>
              <w:top w:val="single" w:sz="4" w:space="0" w:color="auto"/>
              <w:bottom w:val="single" w:sz="12" w:space="0" w:color="auto"/>
            </w:tcBorders>
            <w:vAlign w:val="bottom"/>
          </w:tcPr>
          <w:p w14:paraId="5AEED5BE" w14:textId="577F6F60" w:rsidR="002F0FA9" w:rsidRPr="00417D5C" w:rsidRDefault="002F0FA9" w:rsidP="002F0FA9">
            <w:pPr>
              <w:tabs>
                <w:tab w:val="right" w:pos="1202"/>
              </w:tabs>
              <w:spacing w:after="0" w:line="340" w:lineRule="exact"/>
              <w:jc w:val="right"/>
              <w:outlineLvl w:val="0"/>
              <w:rPr>
                <w:rFonts w:eastAsia="Times New Roman" w:cs="Arial"/>
                <w:b/>
                <w:bCs/>
                <w:noProof/>
                <w:color w:val="000000" w:themeColor="text1"/>
                <w:spacing w:val="-2"/>
                <w:sz w:val="20"/>
                <w:szCs w:val="20"/>
                <w:lang w:val="en-US"/>
              </w:rPr>
            </w:pPr>
            <w:r w:rsidRPr="00417D5C">
              <w:rPr>
                <w:b/>
                <w:bCs/>
                <w:sz w:val="20"/>
                <w:szCs w:val="20"/>
              </w:rPr>
              <w:t xml:space="preserve"> (40)</w:t>
            </w:r>
          </w:p>
        </w:tc>
      </w:tr>
      <w:tr w:rsidR="002F0FA9" w:rsidRPr="00417D5C" w14:paraId="6FB91751" w14:textId="77777777" w:rsidTr="000D1529">
        <w:trPr>
          <w:trHeight w:hRule="exact" w:val="216"/>
        </w:trPr>
        <w:tc>
          <w:tcPr>
            <w:tcW w:w="2238" w:type="pct"/>
            <w:vAlign w:val="bottom"/>
          </w:tcPr>
          <w:p w14:paraId="42843008" w14:textId="77777777" w:rsidR="002F0FA9" w:rsidRPr="00417D5C" w:rsidRDefault="002F0FA9" w:rsidP="002F0FA9">
            <w:pPr>
              <w:tabs>
                <w:tab w:val="right" w:pos="1202"/>
              </w:tabs>
              <w:spacing w:after="0" w:line="300" w:lineRule="exact"/>
              <w:outlineLvl w:val="0"/>
              <w:rPr>
                <w:rFonts w:eastAsia="Times New Roman" w:cs="Arial"/>
                <w:b/>
                <w:bCs/>
                <w:noProof/>
                <w:color w:val="000000" w:themeColor="text1"/>
                <w:sz w:val="20"/>
                <w:szCs w:val="20"/>
                <w:lang w:val="en-US"/>
              </w:rPr>
            </w:pPr>
          </w:p>
        </w:tc>
        <w:tc>
          <w:tcPr>
            <w:tcW w:w="672" w:type="pct"/>
            <w:tcBorders>
              <w:top w:val="single" w:sz="12" w:space="0" w:color="auto"/>
            </w:tcBorders>
            <w:vAlign w:val="bottom"/>
          </w:tcPr>
          <w:p w14:paraId="64336F7B" w14:textId="77777777" w:rsidR="002F0FA9" w:rsidRPr="00012101" w:rsidRDefault="002F0FA9" w:rsidP="002F0FA9">
            <w:pPr>
              <w:tabs>
                <w:tab w:val="right" w:pos="1202"/>
              </w:tabs>
              <w:spacing w:after="0" w:line="340" w:lineRule="exact"/>
              <w:jc w:val="right"/>
              <w:outlineLvl w:val="0"/>
              <w:rPr>
                <w:rFonts w:eastAsia="Times New Roman" w:cs="Arial"/>
                <w:b/>
                <w:bCs/>
                <w:noProof/>
                <w:color w:val="000000" w:themeColor="text1"/>
                <w:spacing w:val="-2"/>
                <w:sz w:val="20"/>
                <w:szCs w:val="20"/>
                <w:lang w:val="en-US"/>
              </w:rPr>
            </w:pPr>
          </w:p>
        </w:tc>
        <w:tc>
          <w:tcPr>
            <w:tcW w:w="746" w:type="pct"/>
            <w:tcBorders>
              <w:top w:val="single" w:sz="12" w:space="0" w:color="auto"/>
            </w:tcBorders>
            <w:vAlign w:val="bottom"/>
          </w:tcPr>
          <w:p w14:paraId="2448B3F4" w14:textId="77777777" w:rsidR="002F0FA9" w:rsidRPr="00012101" w:rsidRDefault="002F0FA9" w:rsidP="002F0FA9">
            <w:pPr>
              <w:tabs>
                <w:tab w:val="right" w:pos="1202"/>
              </w:tabs>
              <w:spacing w:after="0" w:line="340" w:lineRule="exact"/>
              <w:jc w:val="right"/>
              <w:outlineLvl w:val="0"/>
              <w:rPr>
                <w:rFonts w:eastAsia="Times New Roman" w:cs="Arial"/>
                <w:b/>
                <w:bCs/>
                <w:noProof/>
                <w:color w:val="000000" w:themeColor="text1"/>
                <w:spacing w:val="-2"/>
                <w:sz w:val="20"/>
                <w:szCs w:val="20"/>
                <w:lang w:val="en-US"/>
              </w:rPr>
            </w:pPr>
          </w:p>
        </w:tc>
        <w:tc>
          <w:tcPr>
            <w:tcW w:w="671" w:type="pct"/>
            <w:tcBorders>
              <w:top w:val="single" w:sz="12" w:space="0" w:color="auto"/>
            </w:tcBorders>
            <w:vAlign w:val="bottom"/>
          </w:tcPr>
          <w:p w14:paraId="142C4B32" w14:textId="77777777" w:rsidR="002F0FA9" w:rsidRPr="00012101" w:rsidRDefault="002F0FA9" w:rsidP="002F0FA9">
            <w:pPr>
              <w:tabs>
                <w:tab w:val="right" w:pos="1202"/>
              </w:tabs>
              <w:spacing w:after="0" w:line="340" w:lineRule="exact"/>
              <w:jc w:val="right"/>
              <w:outlineLvl w:val="0"/>
              <w:rPr>
                <w:rFonts w:eastAsia="Times New Roman" w:cs="Arial"/>
                <w:b/>
                <w:bCs/>
                <w:noProof/>
                <w:color w:val="000000" w:themeColor="text1"/>
                <w:spacing w:val="-2"/>
                <w:sz w:val="20"/>
                <w:szCs w:val="20"/>
                <w:lang w:val="en-US"/>
              </w:rPr>
            </w:pPr>
          </w:p>
        </w:tc>
        <w:tc>
          <w:tcPr>
            <w:tcW w:w="672" w:type="pct"/>
            <w:tcBorders>
              <w:top w:val="single" w:sz="12" w:space="0" w:color="auto"/>
            </w:tcBorders>
            <w:vAlign w:val="bottom"/>
          </w:tcPr>
          <w:p w14:paraId="024D6F72" w14:textId="77777777" w:rsidR="002F0FA9" w:rsidRPr="00417D5C" w:rsidRDefault="002F0FA9" w:rsidP="002F0FA9">
            <w:pPr>
              <w:tabs>
                <w:tab w:val="right" w:pos="1202"/>
              </w:tabs>
              <w:spacing w:after="0" w:line="340" w:lineRule="exact"/>
              <w:jc w:val="right"/>
              <w:outlineLvl w:val="0"/>
              <w:rPr>
                <w:rFonts w:eastAsia="Times New Roman" w:cs="Arial"/>
                <w:b/>
                <w:bCs/>
                <w:noProof/>
                <w:color w:val="000000" w:themeColor="text1"/>
                <w:spacing w:val="-2"/>
                <w:sz w:val="20"/>
                <w:szCs w:val="20"/>
                <w:lang w:val="en-US"/>
              </w:rPr>
            </w:pPr>
          </w:p>
        </w:tc>
      </w:tr>
      <w:tr w:rsidR="002F0FA9" w:rsidRPr="00417D5C" w14:paraId="47F47E5F" w14:textId="77777777" w:rsidTr="000D1529">
        <w:trPr>
          <w:trHeight w:val="282"/>
        </w:trPr>
        <w:tc>
          <w:tcPr>
            <w:tcW w:w="2238" w:type="pct"/>
            <w:vAlign w:val="bottom"/>
          </w:tcPr>
          <w:p w14:paraId="2AC07365" w14:textId="0B960D45" w:rsidR="002F0FA9" w:rsidRPr="00417D5C" w:rsidRDefault="002F0FA9" w:rsidP="002F0FA9">
            <w:pPr>
              <w:tabs>
                <w:tab w:val="right" w:pos="1202"/>
              </w:tabs>
              <w:spacing w:after="0" w:line="300" w:lineRule="exact"/>
              <w:outlineLvl w:val="0"/>
              <w:rPr>
                <w:rFonts w:eastAsia="Times New Roman" w:cs="Arial"/>
                <w:b/>
                <w:bCs/>
                <w:noProof/>
                <w:color w:val="000000" w:themeColor="text1"/>
                <w:sz w:val="20"/>
                <w:szCs w:val="20"/>
                <w:lang w:val="en-US"/>
              </w:rPr>
            </w:pPr>
            <w:bookmarkStart w:id="262" w:name="_Toc4058171"/>
            <w:r w:rsidRPr="00417D5C">
              <w:rPr>
                <w:rFonts w:eastAsia="Times New Roman" w:cs="Arial"/>
                <w:b/>
                <w:bCs/>
                <w:noProof/>
                <w:color w:val="000000" w:themeColor="text1"/>
                <w:sz w:val="20"/>
                <w:szCs w:val="20"/>
                <w:lang w:val="en-US"/>
              </w:rPr>
              <w:t>Total</w:t>
            </w:r>
            <w:bookmarkEnd w:id="262"/>
          </w:p>
        </w:tc>
        <w:tc>
          <w:tcPr>
            <w:tcW w:w="672" w:type="pct"/>
            <w:tcBorders>
              <w:bottom w:val="single" w:sz="12" w:space="0" w:color="auto"/>
            </w:tcBorders>
            <w:vAlign w:val="bottom"/>
          </w:tcPr>
          <w:p w14:paraId="3417A290" w14:textId="502722E6" w:rsidR="002F0FA9" w:rsidRPr="00012101" w:rsidRDefault="002F0FA9" w:rsidP="002F0FA9">
            <w:pPr>
              <w:tabs>
                <w:tab w:val="right" w:pos="1202"/>
              </w:tabs>
              <w:spacing w:after="0" w:line="340" w:lineRule="exact"/>
              <w:jc w:val="right"/>
              <w:outlineLvl w:val="0"/>
              <w:rPr>
                <w:rFonts w:eastAsia="Times New Roman" w:cs="Arial"/>
                <w:b/>
                <w:bCs/>
                <w:noProof/>
                <w:color w:val="000000" w:themeColor="text1"/>
                <w:spacing w:val="-2"/>
                <w:sz w:val="20"/>
                <w:szCs w:val="20"/>
                <w:lang w:val="en-US"/>
              </w:rPr>
            </w:pPr>
            <w:r w:rsidRPr="00012101">
              <w:rPr>
                <w:rFonts w:eastAsia="Times New Roman" w:cs="Arial"/>
                <w:b/>
                <w:bCs/>
                <w:color w:val="000000" w:themeColor="text1"/>
                <w:spacing w:val="-2"/>
                <w:sz w:val="20"/>
                <w:szCs w:val="20"/>
              </w:rPr>
              <w:t>(130</w:t>
            </w:r>
            <w:r w:rsidR="00012101">
              <w:rPr>
                <w:rFonts w:eastAsia="Times New Roman" w:cs="Arial"/>
                <w:b/>
                <w:bCs/>
                <w:color w:val="000000" w:themeColor="text1"/>
                <w:spacing w:val="-2"/>
                <w:sz w:val="20"/>
                <w:szCs w:val="20"/>
              </w:rPr>
              <w:t>,</w:t>
            </w:r>
            <w:r w:rsidRPr="00012101">
              <w:rPr>
                <w:rFonts w:eastAsia="Times New Roman" w:cs="Arial"/>
                <w:b/>
                <w:bCs/>
                <w:color w:val="000000" w:themeColor="text1"/>
                <w:spacing w:val="-2"/>
                <w:sz w:val="20"/>
                <w:szCs w:val="20"/>
              </w:rPr>
              <w:t>350)</w:t>
            </w:r>
          </w:p>
        </w:tc>
        <w:tc>
          <w:tcPr>
            <w:tcW w:w="746" w:type="pct"/>
            <w:tcBorders>
              <w:bottom w:val="single" w:sz="12" w:space="0" w:color="auto"/>
            </w:tcBorders>
            <w:vAlign w:val="bottom"/>
          </w:tcPr>
          <w:p w14:paraId="09C442FC" w14:textId="77BB1E1F" w:rsidR="002F0FA9" w:rsidRPr="00012101" w:rsidRDefault="002F0FA9" w:rsidP="002F0FA9">
            <w:pPr>
              <w:tabs>
                <w:tab w:val="right" w:pos="1202"/>
              </w:tabs>
              <w:spacing w:after="0" w:line="340" w:lineRule="exact"/>
              <w:jc w:val="right"/>
              <w:outlineLvl w:val="0"/>
              <w:rPr>
                <w:rFonts w:eastAsia="Times New Roman" w:cs="Arial"/>
                <w:b/>
                <w:bCs/>
                <w:noProof/>
                <w:color w:val="000000" w:themeColor="text1"/>
                <w:spacing w:val="-2"/>
                <w:sz w:val="20"/>
                <w:szCs w:val="20"/>
                <w:lang w:val="en-US"/>
              </w:rPr>
            </w:pPr>
            <w:r w:rsidRPr="00012101">
              <w:rPr>
                <w:rFonts w:eastAsia="Times New Roman" w:cs="Arial"/>
                <w:b/>
                <w:bCs/>
                <w:color w:val="000000" w:themeColor="text1"/>
                <w:spacing w:val="-2"/>
                <w:sz w:val="20"/>
                <w:szCs w:val="20"/>
              </w:rPr>
              <w:t>(9,597)</w:t>
            </w:r>
          </w:p>
        </w:tc>
        <w:tc>
          <w:tcPr>
            <w:tcW w:w="671" w:type="pct"/>
            <w:tcBorders>
              <w:bottom w:val="single" w:sz="12" w:space="0" w:color="auto"/>
            </w:tcBorders>
            <w:vAlign w:val="bottom"/>
          </w:tcPr>
          <w:p w14:paraId="494A7AC3" w14:textId="326B1043" w:rsidR="002F0FA9" w:rsidRPr="00012101" w:rsidRDefault="002F0FA9" w:rsidP="002F0FA9">
            <w:pPr>
              <w:tabs>
                <w:tab w:val="right" w:pos="1202"/>
              </w:tabs>
              <w:spacing w:after="0" w:line="340" w:lineRule="exact"/>
              <w:jc w:val="right"/>
              <w:outlineLvl w:val="0"/>
              <w:rPr>
                <w:rFonts w:eastAsia="Times New Roman" w:cs="Arial"/>
                <w:b/>
                <w:bCs/>
                <w:noProof/>
                <w:color w:val="000000" w:themeColor="text1"/>
                <w:spacing w:val="-2"/>
                <w:sz w:val="20"/>
                <w:szCs w:val="20"/>
                <w:lang w:val="en-US"/>
              </w:rPr>
            </w:pPr>
            <w:r w:rsidRPr="00012101">
              <w:rPr>
                <w:rFonts w:eastAsia="Times New Roman" w:cs="Arial"/>
                <w:b/>
                <w:bCs/>
                <w:color w:val="000000" w:themeColor="text1"/>
                <w:spacing w:val="-2"/>
                <w:sz w:val="20"/>
                <w:szCs w:val="20"/>
              </w:rPr>
              <w:t>(130</w:t>
            </w:r>
            <w:r w:rsidR="00012101">
              <w:rPr>
                <w:rFonts w:eastAsia="Times New Roman" w:cs="Arial"/>
                <w:b/>
                <w:bCs/>
                <w:color w:val="000000" w:themeColor="text1"/>
                <w:spacing w:val="-2"/>
                <w:sz w:val="20"/>
                <w:szCs w:val="20"/>
              </w:rPr>
              <w:t>,</w:t>
            </w:r>
            <w:r w:rsidRPr="00012101">
              <w:rPr>
                <w:rFonts w:eastAsia="Times New Roman" w:cs="Arial"/>
                <w:b/>
                <w:bCs/>
                <w:color w:val="000000" w:themeColor="text1"/>
                <w:spacing w:val="-2"/>
                <w:sz w:val="20"/>
                <w:szCs w:val="20"/>
              </w:rPr>
              <w:t>391)</w:t>
            </w:r>
          </w:p>
        </w:tc>
        <w:tc>
          <w:tcPr>
            <w:tcW w:w="672" w:type="pct"/>
            <w:tcBorders>
              <w:bottom w:val="single" w:sz="12" w:space="0" w:color="auto"/>
            </w:tcBorders>
            <w:vAlign w:val="bottom"/>
          </w:tcPr>
          <w:p w14:paraId="4954740A" w14:textId="1A04397D" w:rsidR="002F0FA9" w:rsidRPr="00417D5C" w:rsidRDefault="002F0FA9" w:rsidP="002F0FA9">
            <w:pPr>
              <w:tabs>
                <w:tab w:val="right" w:pos="1202"/>
              </w:tabs>
              <w:spacing w:after="0" w:line="340" w:lineRule="exact"/>
              <w:jc w:val="right"/>
              <w:outlineLvl w:val="0"/>
              <w:rPr>
                <w:rFonts w:eastAsia="Times New Roman" w:cs="Arial"/>
                <w:b/>
                <w:bCs/>
                <w:noProof/>
                <w:color w:val="000000" w:themeColor="text1"/>
                <w:spacing w:val="-2"/>
                <w:sz w:val="20"/>
                <w:szCs w:val="20"/>
                <w:lang w:val="en-US"/>
              </w:rPr>
            </w:pPr>
            <w:r w:rsidRPr="00417D5C">
              <w:rPr>
                <w:rFonts w:eastAsia="Times New Roman" w:cs="Arial"/>
                <w:b/>
                <w:bCs/>
                <w:color w:val="000000" w:themeColor="text1"/>
                <w:spacing w:val="-2"/>
                <w:sz w:val="20"/>
                <w:szCs w:val="20"/>
              </w:rPr>
              <w:t>(9,640)</w:t>
            </w:r>
          </w:p>
        </w:tc>
      </w:tr>
    </w:tbl>
    <w:p w14:paraId="67825C41" w14:textId="77777777" w:rsidR="008A32FC" w:rsidRPr="00537128" w:rsidRDefault="008A32FC" w:rsidP="008A32FC">
      <w:pPr>
        <w:spacing w:after="0" w:line="240" w:lineRule="auto"/>
        <w:rPr>
          <w:noProof/>
          <w:color w:val="000000" w:themeColor="text1"/>
          <w:lang w:val="en-US"/>
        </w:rPr>
      </w:pPr>
    </w:p>
    <w:p w14:paraId="0F1A1FEE" w14:textId="77777777" w:rsidR="003B7D00" w:rsidRPr="00537128" w:rsidRDefault="003B7D00" w:rsidP="003B7D00">
      <w:pPr>
        <w:autoSpaceDE w:val="0"/>
        <w:autoSpaceDN w:val="0"/>
        <w:adjustRightInd w:val="0"/>
        <w:spacing w:after="0" w:line="240" w:lineRule="auto"/>
        <w:jc w:val="both"/>
        <w:rPr>
          <w:noProof/>
          <w:color w:val="000000" w:themeColor="text1"/>
          <w:lang w:val="en-US"/>
        </w:rPr>
      </w:pPr>
    </w:p>
    <w:p w14:paraId="784799AA" w14:textId="77777777" w:rsidR="00AB15DE" w:rsidRPr="00537128" w:rsidRDefault="00AB15DE" w:rsidP="00011933">
      <w:pPr>
        <w:autoSpaceDE w:val="0"/>
        <w:autoSpaceDN w:val="0"/>
        <w:adjustRightInd w:val="0"/>
        <w:spacing w:after="0" w:line="240" w:lineRule="auto"/>
        <w:jc w:val="both"/>
        <w:rPr>
          <w:noProof/>
          <w:color w:val="000000" w:themeColor="text1"/>
          <w:lang w:val="en-US"/>
        </w:rPr>
        <w:sectPr w:rsidR="00AB15DE" w:rsidRPr="00537128" w:rsidSect="00D555B9">
          <w:pgSz w:w="11906" w:h="16838"/>
          <w:pgMar w:top="1417" w:right="1417" w:bottom="1417" w:left="1417" w:header="708" w:footer="708" w:gutter="0"/>
          <w:cols w:space="708"/>
          <w:docGrid w:linePitch="360"/>
        </w:sectPr>
      </w:pPr>
    </w:p>
    <w:p w14:paraId="6DDF1567" w14:textId="77777777" w:rsidR="00F241D4" w:rsidRPr="00537128" w:rsidRDefault="00F241D4" w:rsidP="00D3297A">
      <w:pPr>
        <w:autoSpaceDE w:val="0"/>
        <w:autoSpaceDN w:val="0"/>
        <w:adjustRightInd w:val="0"/>
        <w:spacing w:after="0" w:line="240" w:lineRule="auto"/>
        <w:jc w:val="both"/>
        <w:rPr>
          <w:b/>
          <w:noProof/>
          <w:color w:val="000000" w:themeColor="text1"/>
          <w:lang w:val="en-US"/>
        </w:rPr>
      </w:pPr>
    </w:p>
    <w:p w14:paraId="2244F9FE" w14:textId="3757536C" w:rsidR="00F241D4" w:rsidRPr="00537128" w:rsidRDefault="00F241D4" w:rsidP="00D3297A">
      <w:pPr>
        <w:pStyle w:val="ListParagraph"/>
        <w:numPr>
          <w:ilvl w:val="0"/>
          <w:numId w:val="1"/>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Cash on hand and current accounts with banks</w:t>
      </w:r>
    </w:p>
    <w:p w14:paraId="2C283791" w14:textId="77777777" w:rsidR="009E5940" w:rsidRPr="00537128" w:rsidRDefault="009E5940" w:rsidP="009E5940">
      <w:pPr>
        <w:autoSpaceDE w:val="0"/>
        <w:autoSpaceDN w:val="0"/>
        <w:adjustRightInd w:val="0"/>
        <w:spacing w:after="0" w:line="240" w:lineRule="auto"/>
        <w:jc w:val="both"/>
        <w:rPr>
          <w:b/>
          <w:noProof/>
          <w:color w:val="000000" w:themeColor="text1"/>
          <w:lang w:val="en-US"/>
        </w:rPr>
      </w:pPr>
    </w:p>
    <w:tbl>
      <w:tblPr>
        <w:tblW w:w="5269" w:type="pct"/>
        <w:tblInd w:w="-142" w:type="dxa"/>
        <w:tblLayout w:type="fixed"/>
        <w:tblLook w:val="0000" w:firstRow="0" w:lastRow="0" w:firstColumn="0" w:lastColumn="0" w:noHBand="0" w:noVBand="0"/>
      </w:tblPr>
      <w:tblGrid>
        <w:gridCol w:w="4138"/>
        <w:gridCol w:w="1356"/>
        <w:gridCol w:w="1356"/>
        <w:gridCol w:w="1356"/>
        <w:gridCol w:w="1354"/>
      </w:tblGrid>
      <w:tr w:rsidR="009E5940" w:rsidRPr="00537128" w14:paraId="1FE54F86" w14:textId="77777777" w:rsidTr="009E5940">
        <w:trPr>
          <w:trHeight w:val="212"/>
        </w:trPr>
        <w:tc>
          <w:tcPr>
            <w:tcW w:w="2164" w:type="pct"/>
          </w:tcPr>
          <w:p w14:paraId="20825DDB" w14:textId="77777777" w:rsidR="009E5940" w:rsidRPr="00537128" w:rsidRDefault="009E5940" w:rsidP="009E5940">
            <w:pPr>
              <w:tabs>
                <w:tab w:val="left" w:pos="-720"/>
              </w:tabs>
              <w:suppressAutoHyphens/>
              <w:spacing w:after="0" w:line="220" w:lineRule="exact"/>
              <w:rPr>
                <w:rFonts w:ascii="Calibri" w:eastAsia="Times New Roman" w:hAnsi="Calibri" w:cs="Arial"/>
                <w:sz w:val="20"/>
                <w:szCs w:val="20"/>
                <w:lang w:val="en-US"/>
              </w:rPr>
            </w:pPr>
          </w:p>
        </w:tc>
        <w:tc>
          <w:tcPr>
            <w:tcW w:w="709" w:type="pct"/>
          </w:tcPr>
          <w:p w14:paraId="445770A7" w14:textId="77777777" w:rsidR="009E5940" w:rsidRPr="00537128" w:rsidRDefault="009E5940" w:rsidP="009E5940">
            <w:pPr>
              <w:tabs>
                <w:tab w:val="right" w:pos="1202"/>
              </w:tabs>
              <w:spacing w:after="0" w:line="240" w:lineRule="atLeast"/>
              <w:jc w:val="right"/>
              <w:outlineLvl w:val="0"/>
              <w:rPr>
                <w:rFonts w:ascii="Calibri" w:eastAsia="Times New Roman" w:hAnsi="Calibri" w:cs="Arial"/>
                <w:b/>
                <w:sz w:val="20"/>
                <w:szCs w:val="20"/>
                <w:lang w:val="en-US"/>
              </w:rPr>
            </w:pPr>
          </w:p>
        </w:tc>
        <w:tc>
          <w:tcPr>
            <w:tcW w:w="709" w:type="pct"/>
          </w:tcPr>
          <w:p w14:paraId="69898531" w14:textId="77777777" w:rsidR="009E5940" w:rsidRPr="00537128" w:rsidRDefault="009E5940" w:rsidP="009E5940">
            <w:pPr>
              <w:tabs>
                <w:tab w:val="right" w:pos="1202"/>
              </w:tabs>
              <w:spacing w:after="0" w:line="240" w:lineRule="atLeast"/>
              <w:jc w:val="right"/>
              <w:outlineLvl w:val="0"/>
              <w:rPr>
                <w:rFonts w:ascii="Calibri" w:eastAsia="Times New Roman" w:hAnsi="Calibri" w:cs="Arial"/>
                <w:b/>
                <w:sz w:val="20"/>
                <w:szCs w:val="20"/>
                <w:lang w:val="en-US"/>
              </w:rPr>
            </w:pPr>
            <w:bookmarkStart w:id="263" w:name="_Toc4058205"/>
            <w:r w:rsidRPr="00537128">
              <w:rPr>
                <w:rFonts w:ascii="Calibri" w:eastAsia="Times New Roman" w:hAnsi="Calibri" w:cs="Arial"/>
                <w:b/>
                <w:sz w:val="20"/>
                <w:szCs w:val="20"/>
                <w:lang w:val="en-US"/>
              </w:rPr>
              <w:t>Group</w:t>
            </w:r>
            <w:bookmarkEnd w:id="263"/>
          </w:p>
        </w:tc>
        <w:tc>
          <w:tcPr>
            <w:tcW w:w="709" w:type="pct"/>
          </w:tcPr>
          <w:p w14:paraId="5BC7906D" w14:textId="77777777" w:rsidR="009E5940" w:rsidRPr="00537128" w:rsidRDefault="009E5940" w:rsidP="009E5940">
            <w:pPr>
              <w:tabs>
                <w:tab w:val="right" w:pos="1202"/>
              </w:tabs>
              <w:spacing w:after="0" w:line="240" w:lineRule="atLeast"/>
              <w:jc w:val="right"/>
              <w:outlineLvl w:val="0"/>
              <w:rPr>
                <w:rFonts w:ascii="Calibri" w:eastAsia="Times New Roman" w:hAnsi="Calibri" w:cs="Arial"/>
                <w:b/>
                <w:sz w:val="20"/>
                <w:szCs w:val="20"/>
                <w:lang w:val="en-US"/>
              </w:rPr>
            </w:pPr>
          </w:p>
        </w:tc>
        <w:tc>
          <w:tcPr>
            <w:tcW w:w="708" w:type="pct"/>
          </w:tcPr>
          <w:p w14:paraId="11FC8775" w14:textId="77777777" w:rsidR="009E5940" w:rsidRPr="00537128" w:rsidRDefault="009E5940" w:rsidP="009E5940">
            <w:pPr>
              <w:tabs>
                <w:tab w:val="right" w:pos="1202"/>
              </w:tabs>
              <w:spacing w:after="0" w:line="240" w:lineRule="atLeast"/>
              <w:jc w:val="right"/>
              <w:outlineLvl w:val="0"/>
              <w:rPr>
                <w:rFonts w:ascii="Calibri" w:eastAsia="Times New Roman" w:hAnsi="Calibri" w:cs="Arial"/>
                <w:b/>
                <w:sz w:val="20"/>
                <w:szCs w:val="20"/>
                <w:lang w:val="en-US"/>
              </w:rPr>
            </w:pPr>
            <w:bookmarkStart w:id="264" w:name="_Toc4058206"/>
            <w:r w:rsidRPr="00537128">
              <w:rPr>
                <w:rFonts w:ascii="Calibri" w:eastAsia="Times New Roman" w:hAnsi="Calibri" w:cs="Arial"/>
                <w:b/>
                <w:sz w:val="20"/>
                <w:szCs w:val="20"/>
                <w:lang w:val="en-US"/>
              </w:rPr>
              <w:t>Bank</w:t>
            </w:r>
            <w:bookmarkEnd w:id="264"/>
          </w:p>
        </w:tc>
      </w:tr>
      <w:tr w:rsidR="009E5940" w:rsidRPr="00537128" w14:paraId="4687785E" w14:textId="77777777" w:rsidTr="009E5940">
        <w:trPr>
          <w:trHeight w:val="337"/>
        </w:trPr>
        <w:tc>
          <w:tcPr>
            <w:tcW w:w="2164" w:type="pct"/>
          </w:tcPr>
          <w:p w14:paraId="3B288E1D" w14:textId="77777777" w:rsidR="009E5940" w:rsidRPr="00537128" w:rsidRDefault="009E5940" w:rsidP="009E5940">
            <w:pPr>
              <w:tabs>
                <w:tab w:val="left" w:pos="-720"/>
              </w:tabs>
              <w:suppressAutoHyphens/>
              <w:spacing w:after="0" w:line="220" w:lineRule="exact"/>
              <w:rPr>
                <w:rFonts w:ascii="Calibri" w:eastAsia="Times New Roman" w:hAnsi="Calibri" w:cs="Arial"/>
                <w:sz w:val="20"/>
                <w:szCs w:val="20"/>
                <w:lang w:val="en-US"/>
              </w:rPr>
            </w:pPr>
          </w:p>
        </w:tc>
        <w:tc>
          <w:tcPr>
            <w:tcW w:w="709" w:type="pct"/>
            <w:shd w:val="clear" w:color="auto" w:fill="auto"/>
            <w:vAlign w:val="center"/>
          </w:tcPr>
          <w:p w14:paraId="1DE0BE7C" w14:textId="71AF1D1A" w:rsidR="009E5940" w:rsidRPr="00537128" w:rsidRDefault="009E5940" w:rsidP="009E5940">
            <w:pPr>
              <w:tabs>
                <w:tab w:val="right" w:pos="1202"/>
              </w:tabs>
              <w:spacing w:after="0" w:line="240" w:lineRule="atLeast"/>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31 March 202</w:t>
            </w:r>
            <w:r w:rsidR="00246A0A">
              <w:rPr>
                <w:rFonts w:ascii="Calibri" w:eastAsia="Times New Roman" w:hAnsi="Calibri" w:cs="Arial"/>
                <w:b/>
                <w:sz w:val="20"/>
                <w:szCs w:val="20"/>
                <w:lang w:val="en-US"/>
              </w:rPr>
              <w:t>2</w:t>
            </w:r>
          </w:p>
        </w:tc>
        <w:tc>
          <w:tcPr>
            <w:tcW w:w="709" w:type="pct"/>
            <w:shd w:val="clear" w:color="auto" w:fill="auto"/>
            <w:vAlign w:val="center"/>
          </w:tcPr>
          <w:p w14:paraId="51F86D9E" w14:textId="1BE39975" w:rsidR="009E5940" w:rsidRPr="00537128" w:rsidRDefault="009E5940" w:rsidP="009E5940">
            <w:pPr>
              <w:tabs>
                <w:tab w:val="right" w:pos="1202"/>
              </w:tabs>
              <w:spacing w:after="0" w:line="240" w:lineRule="atLeast"/>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31 December 202</w:t>
            </w:r>
            <w:r w:rsidR="00246A0A">
              <w:rPr>
                <w:rFonts w:ascii="Calibri" w:eastAsia="Times New Roman" w:hAnsi="Calibri" w:cs="Arial"/>
                <w:b/>
                <w:sz w:val="20"/>
                <w:szCs w:val="20"/>
                <w:lang w:val="en-US"/>
              </w:rPr>
              <w:t>1</w:t>
            </w:r>
          </w:p>
        </w:tc>
        <w:tc>
          <w:tcPr>
            <w:tcW w:w="709" w:type="pct"/>
            <w:shd w:val="clear" w:color="auto" w:fill="auto"/>
            <w:vAlign w:val="center"/>
          </w:tcPr>
          <w:p w14:paraId="429226AE" w14:textId="022D4DCC" w:rsidR="009E5940" w:rsidRPr="00537128" w:rsidRDefault="009E5940" w:rsidP="009E5940">
            <w:pPr>
              <w:tabs>
                <w:tab w:val="right" w:pos="1202"/>
              </w:tabs>
              <w:spacing w:after="0" w:line="240" w:lineRule="atLeast"/>
              <w:jc w:val="right"/>
              <w:outlineLvl w:val="0"/>
              <w:rPr>
                <w:rFonts w:ascii="Calibri" w:eastAsia="Times New Roman" w:hAnsi="Calibri" w:cs="Arial"/>
                <w:b/>
                <w:sz w:val="20"/>
                <w:szCs w:val="20"/>
                <w:lang w:val="en-US"/>
              </w:rPr>
            </w:pPr>
            <w:bookmarkStart w:id="265" w:name="_Toc4058207"/>
            <w:r w:rsidRPr="00537128">
              <w:rPr>
                <w:rFonts w:ascii="Calibri" w:eastAsia="Times New Roman" w:hAnsi="Calibri" w:cs="Arial"/>
                <w:b/>
                <w:sz w:val="20"/>
                <w:szCs w:val="20"/>
                <w:lang w:val="en-US"/>
              </w:rPr>
              <w:t xml:space="preserve">31 March </w:t>
            </w:r>
            <w:bookmarkEnd w:id="265"/>
            <w:r w:rsidRPr="00537128">
              <w:rPr>
                <w:rFonts w:ascii="Calibri" w:eastAsia="Times New Roman" w:hAnsi="Calibri" w:cs="Arial"/>
                <w:b/>
                <w:sz w:val="20"/>
                <w:szCs w:val="20"/>
                <w:lang w:val="en-US"/>
              </w:rPr>
              <w:t>202</w:t>
            </w:r>
            <w:r w:rsidR="00246A0A">
              <w:rPr>
                <w:rFonts w:ascii="Calibri" w:eastAsia="Times New Roman" w:hAnsi="Calibri" w:cs="Arial"/>
                <w:b/>
                <w:sz w:val="20"/>
                <w:szCs w:val="20"/>
                <w:lang w:val="en-US"/>
              </w:rPr>
              <w:t>2</w:t>
            </w:r>
          </w:p>
        </w:tc>
        <w:tc>
          <w:tcPr>
            <w:tcW w:w="708" w:type="pct"/>
            <w:shd w:val="clear" w:color="auto" w:fill="auto"/>
            <w:vAlign w:val="center"/>
          </w:tcPr>
          <w:p w14:paraId="7BE2CAB5" w14:textId="07C5D148" w:rsidR="009E5940" w:rsidRPr="00537128" w:rsidRDefault="009E5940" w:rsidP="009E5940">
            <w:pPr>
              <w:tabs>
                <w:tab w:val="right" w:pos="1202"/>
              </w:tabs>
              <w:spacing w:after="0" w:line="240" w:lineRule="atLeast"/>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31 December 202</w:t>
            </w:r>
            <w:r w:rsidR="00246A0A">
              <w:rPr>
                <w:rFonts w:ascii="Calibri" w:eastAsia="Times New Roman" w:hAnsi="Calibri" w:cs="Arial"/>
                <w:b/>
                <w:sz w:val="20"/>
                <w:szCs w:val="20"/>
                <w:lang w:val="en-US"/>
              </w:rPr>
              <w:t>1</w:t>
            </w:r>
          </w:p>
        </w:tc>
      </w:tr>
      <w:tr w:rsidR="00E36929" w:rsidRPr="00537128" w14:paraId="26F4F84F" w14:textId="77777777" w:rsidTr="009E5940">
        <w:trPr>
          <w:trHeight w:val="228"/>
        </w:trPr>
        <w:tc>
          <w:tcPr>
            <w:tcW w:w="2164" w:type="pct"/>
          </w:tcPr>
          <w:p w14:paraId="5621764E" w14:textId="77777777" w:rsidR="00E36929" w:rsidRPr="00537128" w:rsidRDefault="00E36929" w:rsidP="00E36929">
            <w:pPr>
              <w:tabs>
                <w:tab w:val="left" w:pos="-720"/>
              </w:tabs>
              <w:suppressAutoHyphens/>
              <w:spacing w:after="0" w:line="220" w:lineRule="exact"/>
              <w:rPr>
                <w:rFonts w:ascii="Calibri" w:eastAsia="Times New Roman" w:hAnsi="Calibri" w:cs="Arial"/>
                <w:sz w:val="20"/>
                <w:szCs w:val="20"/>
                <w:lang w:val="en-US"/>
              </w:rPr>
            </w:pPr>
          </w:p>
        </w:tc>
        <w:tc>
          <w:tcPr>
            <w:tcW w:w="709" w:type="pct"/>
          </w:tcPr>
          <w:p w14:paraId="5CC4651A" w14:textId="43FDA850" w:rsidR="00E36929" w:rsidRPr="00537128" w:rsidRDefault="00E36929" w:rsidP="00E36929">
            <w:pPr>
              <w:tabs>
                <w:tab w:val="right" w:pos="1202"/>
              </w:tabs>
              <w:spacing w:after="0" w:line="220" w:lineRule="exact"/>
              <w:jc w:val="right"/>
              <w:outlineLvl w:val="0"/>
              <w:rPr>
                <w:rFonts w:ascii="Calibri" w:eastAsia="Times New Roman" w:hAnsi="Calibri" w:cs="Arial"/>
                <w:b/>
                <w:sz w:val="20"/>
                <w:szCs w:val="20"/>
                <w:lang w:val="en-US"/>
              </w:rPr>
            </w:pPr>
            <w:r w:rsidRPr="00417D5C">
              <w:rPr>
                <w:rFonts w:eastAsia="Times New Roman" w:cs="Arial"/>
                <w:b/>
                <w:noProof/>
                <w:color w:val="000000" w:themeColor="text1"/>
                <w:sz w:val="20"/>
                <w:szCs w:val="20"/>
                <w:lang w:val="en-US"/>
              </w:rPr>
              <w:t>HRK ‘000</w:t>
            </w:r>
          </w:p>
        </w:tc>
        <w:tc>
          <w:tcPr>
            <w:tcW w:w="709" w:type="pct"/>
          </w:tcPr>
          <w:p w14:paraId="75677D52" w14:textId="24211EF6" w:rsidR="00E36929" w:rsidRPr="00537128" w:rsidRDefault="00E36929" w:rsidP="00E36929">
            <w:pPr>
              <w:tabs>
                <w:tab w:val="right" w:pos="1202"/>
              </w:tabs>
              <w:spacing w:after="0" w:line="220" w:lineRule="exact"/>
              <w:jc w:val="right"/>
              <w:outlineLvl w:val="0"/>
              <w:rPr>
                <w:rFonts w:ascii="Calibri" w:eastAsia="Times New Roman" w:hAnsi="Calibri" w:cs="Arial"/>
                <w:b/>
                <w:sz w:val="20"/>
                <w:szCs w:val="20"/>
                <w:lang w:val="en-US"/>
              </w:rPr>
            </w:pPr>
            <w:r w:rsidRPr="00417D5C">
              <w:rPr>
                <w:rFonts w:eastAsia="Times New Roman" w:cs="Arial"/>
                <w:b/>
                <w:noProof/>
                <w:color w:val="000000" w:themeColor="text1"/>
                <w:sz w:val="20"/>
                <w:szCs w:val="20"/>
                <w:lang w:val="en-US"/>
              </w:rPr>
              <w:t>HRK ‘000</w:t>
            </w:r>
          </w:p>
        </w:tc>
        <w:tc>
          <w:tcPr>
            <w:tcW w:w="709" w:type="pct"/>
          </w:tcPr>
          <w:p w14:paraId="1E3F9BB1" w14:textId="0BCEC178" w:rsidR="00E36929" w:rsidRPr="00537128" w:rsidRDefault="00E36929" w:rsidP="00E36929">
            <w:pPr>
              <w:tabs>
                <w:tab w:val="right" w:pos="1202"/>
              </w:tabs>
              <w:spacing w:after="0" w:line="220" w:lineRule="exact"/>
              <w:jc w:val="right"/>
              <w:outlineLvl w:val="0"/>
              <w:rPr>
                <w:rFonts w:ascii="Calibri" w:eastAsia="Times New Roman" w:hAnsi="Calibri" w:cs="Arial"/>
                <w:b/>
                <w:sz w:val="20"/>
                <w:szCs w:val="20"/>
                <w:lang w:val="en-US"/>
              </w:rPr>
            </w:pPr>
            <w:r w:rsidRPr="00417D5C">
              <w:rPr>
                <w:rFonts w:eastAsia="Times New Roman" w:cs="Arial"/>
                <w:b/>
                <w:noProof/>
                <w:color w:val="000000" w:themeColor="text1"/>
                <w:sz w:val="20"/>
                <w:szCs w:val="20"/>
                <w:lang w:val="en-US"/>
              </w:rPr>
              <w:t>HRK ‘000</w:t>
            </w:r>
          </w:p>
        </w:tc>
        <w:tc>
          <w:tcPr>
            <w:tcW w:w="708" w:type="pct"/>
          </w:tcPr>
          <w:p w14:paraId="0944942B" w14:textId="6EA801B0" w:rsidR="00E36929" w:rsidRPr="00537128" w:rsidRDefault="00E36929" w:rsidP="00E36929">
            <w:pPr>
              <w:tabs>
                <w:tab w:val="right" w:pos="1202"/>
              </w:tabs>
              <w:spacing w:after="0" w:line="220" w:lineRule="exact"/>
              <w:jc w:val="right"/>
              <w:outlineLvl w:val="0"/>
              <w:rPr>
                <w:rFonts w:ascii="Calibri" w:eastAsia="Times New Roman" w:hAnsi="Calibri" w:cs="Arial"/>
                <w:b/>
                <w:sz w:val="20"/>
                <w:szCs w:val="20"/>
                <w:lang w:val="en-US"/>
              </w:rPr>
            </w:pPr>
            <w:r w:rsidRPr="00417D5C">
              <w:rPr>
                <w:rFonts w:eastAsia="Times New Roman" w:cs="Arial"/>
                <w:b/>
                <w:noProof/>
                <w:color w:val="000000" w:themeColor="text1"/>
                <w:sz w:val="20"/>
                <w:szCs w:val="20"/>
                <w:lang w:val="en-US"/>
              </w:rPr>
              <w:t>HRK ‘000</w:t>
            </w:r>
          </w:p>
        </w:tc>
      </w:tr>
      <w:tr w:rsidR="00E36929" w:rsidRPr="00537128" w14:paraId="16937B0B" w14:textId="77777777" w:rsidTr="00045755">
        <w:trPr>
          <w:trHeight w:val="340"/>
        </w:trPr>
        <w:tc>
          <w:tcPr>
            <w:tcW w:w="2164" w:type="pct"/>
            <w:vAlign w:val="bottom"/>
          </w:tcPr>
          <w:p w14:paraId="1EE6BB81" w14:textId="77777777" w:rsidR="00E36929" w:rsidRPr="00537128" w:rsidRDefault="00E36929" w:rsidP="00E36929">
            <w:pPr>
              <w:tabs>
                <w:tab w:val="right" w:pos="1202"/>
              </w:tabs>
              <w:spacing w:after="0" w:line="240" w:lineRule="exact"/>
              <w:outlineLvl w:val="0"/>
              <w:rPr>
                <w:rFonts w:ascii="Calibri" w:eastAsia="Times New Roman" w:hAnsi="Calibri" w:cs="Arial"/>
                <w:sz w:val="20"/>
                <w:szCs w:val="20"/>
                <w:lang w:val="en-US"/>
              </w:rPr>
            </w:pPr>
            <w:bookmarkStart w:id="266" w:name="_Toc4058215"/>
            <w:r w:rsidRPr="00537128">
              <w:rPr>
                <w:rFonts w:ascii="Calibri" w:eastAsia="Times New Roman" w:hAnsi="Calibri" w:cs="Arial"/>
                <w:sz w:val="20"/>
                <w:szCs w:val="20"/>
                <w:lang w:val="en-US"/>
              </w:rPr>
              <w:t>Account with the Croatian National Bank</w:t>
            </w:r>
            <w:bookmarkEnd w:id="266"/>
          </w:p>
        </w:tc>
        <w:tc>
          <w:tcPr>
            <w:tcW w:w="709" w:type="pct"/>
            <w:tcBorders>
              <w:top w:val="nil"/>
              <w:left w:val="nil"/>
              <w:bottom w:val="nil"/>
              <w:right w:val="nil"/>
            </w:tcBorders>
            <w:shd w:val="clear" w:color="auto" w:fill="auto"/>
            <w:vAlign w:val="bottom"/>
          </w:tcPr>
          <w:p w14:paraId="14B3FE4F" w14:textId="24008278" w:rsidR="00E36929" w:rsidRPr="00537128" w:rsidRDefault="00E36929" w:rsidP="00E36929">
            <w:pPr>
              <w:tabs>
                <w:tab w:val="right" w:pos="1202"/>
              </w:tabs>
              <w:spacing w:after="0" w:line="240" w:lineRule="exact"/>
              <w:jc w:val="right"/>
              <w:outlineLvl w:val="0"/>
              <w:rPr>
                <w:rFonts w:ascii="Calibri" w:eastAsia="Times New Roman" w:hAnsi="Calibri" w:cs="Arial"/>
                <w:sz w:val="20"/>
                <w:szCs w:val="20"/>
                <w:lang w:val="en-US"/>
              </w:rPr>
            </w:pPr>
            <w:r>
              <w:rPr>
                <w:rFonts w:ascii="Calibri" w:hAnsi="Calibri" w:cs="Calibri"/>
                <w:color w:val="000000"/>
                <w:sz w:val="20"/>
                <w:szCs w:val="20"/>
              </w:rPr>
              <w:t xml:space="preserve">          1,191,738 </w:t>
            </w:r>
          </w:p>
        </w:tc>
        <w:tc>
          <w:tcPr>
            <w:tcW w:w="709" w:type="pct"/>
            <w:tcBorders>
              <w:top w:val="nil"/>
              <w:left w:val="nil"/>
              <w:bottom w:val="nil"/>
              <w:right w:val="nil"/>
            </w:tcBorders>
            <w:shd w:val="clear" w:color="auto" w:fill="auto"/>
            <w:vAlign w:val="bottom"/>
          </w:tcPr>
          <w:p w14:paraId="582FEA40" w14:textId="29892C39" w:rsidR="00E36929" w:rsidRPr="00537128" w:rsidRDefault="00E36929" w:rsidP="00E36929">
            <w:pPr>
              <w:tabs>
                <w:tab w:val="right" w:pos="1202"/>
              </w:tabs>
              <w:spacing w:after="0" w:line="240" w:lineRule="exact"/>
              <w:jc w:val="right"/>
              <w:outlineLvl w:val="0"/>
              <w:rPr>
                <w:rFonts w:ascii="Calibri" w:eastAsia="Times New Roman" w:hAnsi="Calibri" w:cs="Arial"/>
                <w:sz w:val="20"/>
                <w:szCs w:val="20"/>
                <w:lang w:val="en-US"/>
              </w:rPr>
            </w:pPr>
            <w:r w:rsidRPr="00C04249">
              <w:rPr>
                <w:rFonts w:cstheme="minorHAnsi"/>
                <w:color w:val="000000" w:themeColor="text1"/>
                <w:sz w:val="20"/>
              </w:rPr>
              <w:t>1</w:t>
            </w:r>
            <w:r>
              <w:rPr>
                <w:rFonts w:cstheme="minorHAnsi"/>
                <w:color w:val="000000" w:themeColor="text1"/>
                <w:sz w:val="20"/>
              </w:rPr>
              <w:t>,</w:t>
            </w:r>
            <w:r w:rsidRPr="00C04249">
              <w:rPr>
                <w:rFonts w:cstheme="minorHAnsi"/>
                <w:color w:val="000000" w:themeColor="text1"/>
                <w:sz w:val="20"/>
              </w:rPr>
              <w:t>879</w:t>
            </w:r>
            <w:r>
              <w:rPr>
                <w:rFonts w:cstheme="minorHAnsi"/>
                <w:color w:val="000000" w:themeColor="text1"/>
                <w:sz w:val="20"/>
              </w:rPr>
              <w:t>,</w:t>
            </w:r>
            <w:r w:rsidRPr="00C04249">
              <w:rPr>
                <w:rFonts w:cstheme="minorHAnsi"/>
                <w:color w:val="000000" w:themeColor="text1"/>
                <w:sz w:val="20"/>
              </w:rPr>
              <w:t>493</w:t>
            </w:r>
          </w:p>
        </w:tc>
        <w:tc>
          <w:tcPr>
            <w:tcW w:w="709" w:type="pct"/>
            <w:tcBorders>
              <w:top w:val="nil"/>
              <w:left w:val="nil"/>
              <w:bottom w:val="nil"/>
              <w:right w:val="nil"/>
            </w:tcBorders>
            <w:shd w:val="clear" w:color="auto" w:fill="auto"/>
            <w:vAlign w:val="bottom"/>
          </w:tcPr>
          <w:p w14:paraId="413A7304" w14:textId="5AC8B082" w:rsidR="00E36929" w:rsidRPr="00537128" w:rsidRDefault="00E36929" w:rsidP="00E36929">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color w:val="000000"/>
                <w:sz w:val="20"/>
                <w:szCs w:val="20"/>
              </w:rPr>
              <w:t>1,191,738</w:t>
            </w:r>
          </w:p>
        </w:tc>
        <w:tc>
          <w:tcPr>
            <w:tcW w:w="708" w:type="pct"/>
            <w:tcBorders>
              <w:top w:val="nil"/>
              <w:left w:val="nil"/>
              <w:bottom w:val="nil"/>
              <w:right w:val="nil"/>
            </w:tcBorders>
            <w:shd w:val="clear" w:color="auto" w:fill="auto"/>
            <w:vAlign w:val="bottom"/>
          </w:tcPr>
          <w:p w14:paraId="7A5B2B27" w14:textId="4820E661" w:rsidR="00E36929" w:rsidRPr="00537128" w:rsidRDefault="00E36929" w:rsidP="00E36929">
            <w:pPr>
              <w:tabs>
                <w:tab w:val="right" w:pos="1202"/>
              </w:tabs>
              <w:spacing w:after="0" w:line="240" w:lineRule="exact"/>
              <w:jc w:val="right"/>
              <w:outlineLvl w:val="0"/>
              <w:rPr>
                <w:rFonts w:ascii="Calibri" w:eastAsia="Times New Roman" w:hAnsi="Calibri" w:cs="Arial"/>
                <w:sz w:val="20"/>
                <w:szCs w:val="20"/>
                <w:lang w:val="en-US"/>
              </w:rPr>
            </w:pPr>
            <w:r w:rsidRPr="00C04249">
              <w:rPr>
                <w:rFonts w:cstheme="minorHAnsi"/>
                <w:color w:val="000000" w:themeColor="text1"/>
                <w:sz w:val="20"/>
              </w:rPr>
              <w:t>1</w:t>
            </w:r>
            <w:r>
              <w:rPr>
                <w:rFonts w:cstheme="minorHAnsi"/>
                <w:color w:val="000000" w:themeColor="text1"/>
                <w:sz w:val="20"/>
              </w:rPr>
              <w:t>,</w:t>
            </w:r>
            <w:r w:rsidRPr="00C04249">
              <w:rPr>
                <w:rFonts w:cstheme="minorHAnsi"/>
                <w:color w:val="000000" w:themeColor="text1"/>
                <w:sz w:val="20"/>
              </w:rPr>
              <w:t>879</w:t>
            </w:r>
            <w:r>
              <w:rPr>
                <w:rFonts w:cstheme="minorHAnsi"/>
                <w:color w:val="000000" w:themeColor="text1"/>
                <w:sz w:val="20"/>
              </w:rPr>
              <w:t>,</w:t>
            </w:r>
            <w:r w:rsidRPr="00C04249">
              <w:rPr>
                <w:rFonts w:cstheme="minorHAnsi"/>
                <w:color w:val="000000" w:themeColor="text1"/>
                <w:sz w:val="20"/>
              </w:rPr>
              <w:t>493</w:t>
            </w:r>
          </w:p>
        </w:tc>
      </w:tr>
      <w:tr w:rsidR="00E36929" w:rsidRPr="00537128" w14:paraId="66D3F1DA" w14:textId="77777777" w:rsidTr="00045755">
        <w:trPr>
          <w:trHeight w:val="340"/>
        </w:trPr>
        <w:tc>
          <w:tcPr>
            <w:tcW w:w="2164" w:type="pct"/>
            <w:vAlign w:val="bottom"/>
          </w:tcPr>
          <w:p w14:paraId="32E422D9" w14:textId="77777777" w:rsidR="00E36929" w:rsidRPr="00537128" w:rsidRDefault="00E36929" w:rsidP="00E36929">
            <w:pPr>
              <w:tabs>
                <w:tab w:val="right" w:pos="1202"/>
              </w:tabs>
              <w:spacing w:after="0" w:line="240" w:lineRule="exact"/>
              <w:outlineLvl w:val="0"/>
              <w:rPr>
                <w:rFonts w:ascii="Calibri" w:eastAsia="Times New Roman" w:hAnsi="Calibri" w:cs="Arial"/>
                <w:sz w:val="20"/>
                <w:szCs w:val="20"/>
                <w:lang w:val="en-US"/>
              </w:rPr>
            </w:pPr>
            <w:bookmarkStart w:id="267" w:name="_Toc4058220"/>
            <w:r w:rsidRPr="00537128">
              <w:rPr>
                <w:rFonts w:ascii="Calibri" w:eastAsia="Times New Roman" w:hAnsi="Calibri" w:cs="Arial"/>
                <w:sz w:val="20"/>
                <w:szCs w:val="20"/>
                <w:lang w:val="en-US"/>
              </w:rPr>
              <w:t>Cash on hand</w:t>
            </w:r>
            <w:bookmarkEnd w:id="267"/>
          </w:p>
        </w:tc>
        <w:tc>
          <w:tcPr>
            <w:tcW w:w="709" w:type="pct"/>
            <w:tcBorders>
              <w:top w:val="nil"/>
              <w:left w:val="nil"/>
              <w:bottom w:val="nil"/>
              <w:right w:val="nil"/>
            </w:tcBorders>
            <w:shd w:val="clear" w:color="auto" w:fill="auto"/>
            <w:vAlign w:val="bottom"/>
          </w:tcPr>
          <w:p w14:paraId="7519AE1A" w14:textId="5C6AEEEE" w:rsidR="00E36929" w:rsidRPr="00537128" w:rsidDel="00711365" w:rsidRDefault="00E36929" w:rsidP="00E36929">
            <w:pPr>
              <w:tabs>
                <w:tab w:val="right" w:pos="1202"/>
              </w:tabs>
              <w:spacing w:after="0" w:line="240" w:lineRule="exact"/>
              <w:outlineLvl w:val="0"/>
              <w:rPr>
                <w:rFonts w:ascii="Calibri" w:eastAsia="Times New Roman" w:hAnsi="Calibri" w:cs="Calibri"/>
                <w:color w:val="000000"/>
                <w:sz w:val="20"/>
                <w:szCs w:val="20"/>
                <w:lang w:val="en-US"/>
              </w:rPr>
            </w:pPr>
            <w:r>
              <w:rPr>
                <w:rFonts w:ascii="Calibri" w:hAnsi="Calibri" w:cs="Calibri"/>
                <w:color w:val="000000"/>
                <w:sz w:val="20"/>
                <w:szCs w:val="20"/>
              </w:rPr>
              <w:t xml:space="preserve">                      1 </w:t>
            </w:r>
          </w:p>
        </w:tc>
        <w:tc>
          <w:tcPr>
            <w:tcW w:w="709" w:type="pct"/>
            <w:tcBorders>
              <w:top w:val="nil"/>
              <w:left w:val="nil"/>
              <w:bottom w:val="nil"/>
              <w:right w:val="nil"/>
            </w:tcBorders>
            <w:shd w:val="clear" w:color="auto" w:fill="auto"/>
            <w:vAlign w:val="bottom"/>
          </w:tcPr>
          <w:p w14:paraId="75392263" w14:textId="407A901D" w:rsidR="00E36929" w:rsidRPr="00537128" w:rsidRDefault="00E36929" w:rsidP="00E36929">
            <w:pPr>
              <w:tabs>
                <w:tab w:val="right" w:pos="1202"/>
              </w:tabs>
              <w:spacing w:after="0" w:line="240" w:lineRule="exact"/>
              <w:jc w:val="right"/>
              <w:outlineLvl w:val="0"/>
              <w:rPr>
                <w:rFonts w:ascii="Calibri" w:eastAsia="Times New Roman" w:hAnsi="Calibri" w:cs="Calibri"/>
                <w:color w:val="000000"/>
                <w:sz w:val="20"/>
                <w:szCs w:val="20"/>
                <w:lang w:val="en-US"/>
              </w:rPr>
            </w:pPr>
            <w:r>
              <w:rPr>
                <w:rFonts w:cstheme="minorHAnsi"/>
                <w:color w:val="000000" w:themeColor="text1"/>
                <w:sz w:val="20"/>
              </w:rPr>
              <w:t>1</w:t>
            </w:r>
          </w:p>
        </w:tc>
        <w:tc>
          <w:tcPr>
            <w:tcW w:w="709" w:type="pct"/>
            <w:tcBorders>
              <w:top w:val="nil"/>
              <w:left w:val="nil"/>
              <w:bottom w:val="nil"/>
              <w:right w:val="nil"/>
            </w:tcBorders>
            <w:shd w:val="clear" w:color="auto" w:fill="auto"/>
            <w:vAlign w:val="bottom"/>
          </w:tcPr>
          <w:p w14:paraId="2BE9356A" w14:textId="5613EF11" w:rsidR="00E36929" w:rsidRPr="00537128" w:rsidDel="00711365" w:rsidRDefault="00E36929" w:rsidP="00E36929">
            <w:pPr>
              <w:tabs>
                <w:tab w:val="right" w:pos="1202"/>
              </w:tabs>
              <w:spacing w:after="0" w:line="240" w:lineRule="exact"/>
              <w:jc w:val="right"/>
              <w:outlineLvl w:val="0"/>
              <w:rPr>
                <w:rFonts w:ascii="Calibri" w:eastAsia="Times New Roman" w:hAnsi="Calibri" w:cs="Calibri"/>
                <w:color w:val="000000"/>
                <w:sz w:val="20"/>
                <w:szCs w:val="20"/>
                <w:lang w:val="en-US"/>
              </w:rPr>
            </w:pPr>
            <w:r>
              <w:rPr>
                <w:rFonts w:ascii="Calibri" w:eastAsia="Times New Roman" w:hAnsi="Calibri" w:cs="Calibri"/>
                <w:color w:val="000000"/>
                <w:sz w:val="20"/>
                <w:szCs w:val="20"/>
              </w:rPr>
              <w:t>1</w:t>
            </w:r>
          </w:p>
        </w:tc>
        <w:tc>
          <w:tcPr>
            <w:tcW w:w="708" w:type="pct"/>
            <w:tcBorders>
              <w:top w:val="nil"/>
              <w:left w:val="nil"/>
              <w:bottom w:val="nil"/>
              <w:right w:val="nil"/>
            </w:tcBorders>
            <w:shd w:val="clear" w:color="auto" w:fill="auto"/>
            <w:vAlign w:val="bottom"/>
          </w:tcPr>
          <w:p w14:paraId="2CB2EA51" w14:textId="11E2DDC3" w:rsidR="00E36929" w:rsidRPr="00537128" w:rsidRDefault="00E36929" w:rsidP="00E36929">
            <w:pPr>
              <w:tabs>
                <w:tab w:val="right" w:pos="1202"/>
              </w:tabs>
              <w:spacing w:after="0" w:line="240" w:lineRule="exact"/>
              <w:jc w:val="right"/>
              <w:outlineLvl w:val="0"/>
              <w:rPr>
                <w:rFonts w:ascii="Calibri" w:eastAsia="Times New Roman" w:hAnsi="Calibri" w:cs="Calibri"/>
                <w:color w:val="000000"/>
                <w:sz w:val="20"/>
                <w:szCs w:val="20"/>
                <w:lang w:val="en-US"/>
              </w:rPr>
            </w:pPr>
            <w:r>
              <w:rPr>
                <w:rFonts w:cstheme="minorHAnsi"/>
                <w:color w:val="000000" w:themeColor="text1"/>
                <w:sz w:val="20"/>
              </w:rPr>
              <w:t>1</w:t>
            </w:r>
          </w:p>
        </w:tc>
      </w:tr>
      <w:tr w:rsidR="00E36929" w:rsidRPr="00537128" w14:paraId="3B587AA5" w14:textId="77777777" w:rsidTr="00045755">
        <w:trPr>
          <w:trHeight w:val="340"/>
        </w:trPr>
        <w:tc>
          <w:tcPr>
            <w:tcW w:w="2164" w:type="pct"/>
            <w:vAlign w:val="bottom"/>
          </w:tcPr>
          <w:p w14:paraId="6BF21C86" w14:textId="77777777" w:rsidR="00E36929" w:rsidRPr="00537128" w:rsidRDefault="00E36929" w:rsidP="00E36929">
            <w:pPr>
              <w:tabs>
                <w:tab w:val="right" w:pos="1202"/>
              </w:tabs>
              <w:spacing w:after="0" w:line="240" w:lineRule="exact"/>
              <w:outlineLvl w:val="0"/>
              <w:rPr>
                <w:rFonts w:ascii="Calibri" w:eastAsia="Times New Roman" w:hAnsi="Calibri" w:cs="Arial"/>
                <w:sz w:val="20"/>
                <w:szCs w:val="20"/>
                <w:lang w:val="en-US"/>
              </w:rPr>
            </w:pPr>
            <w:bookmarkStart w:id="268" w:name="_Toc4058225"/>
            <w:r w:rsidRPr="00537128">
              <w:rPr>
                <w:rFonts w:ascii="Calibri" w:eastAsia="Times New Roman" w:hAnsi="Calibri" w:cs="Arial"/>
                <w:sz w:val="20"/>
                <w:szCs w:val="20"/>
                <w:lang w:val="en-US"/>
              </w:rPr>
              <w:t>Foreign currency account - domestic banks</w:t>
            </w:r>
            <w:bookmarkEnd w:id="268"/>
          </w:p>
        </w:tc>
        <w:tc>
          <w:tcPr>
            <w:tcW w:w="709" w:type="pct"/>
            <w:tcBorders>
              <w:top w:val="nil"/>
              <w:left w:val="nil"/>
              <w:bottom w:val="nil"/>
              <w:right w:val="nil"/>
            </w:tcBorders>
            <w:shd w:val="clear" w:color="auto" w:fill="auto"/>
            <w:vAlign w:val="bottom"/>
          </w:tcPr>
          <w:p w14:paraId="423D22D6" w14:textId="42519546" w:rsidR="00E36929" w:rsidRPr="00537128" w:rsidRDefault="00E36929" w:rsidP="00E36929">
            <w:pPr>
              <w:tabs>
                <w:tab w:val="right" w:pos="1202"/>
              </w:tabs>
              <w:spacing w:after="0" w:line="240" w:lineRule="exact"/>
              <w:outlineLvl w:val="0"/>
              <w:rPr>
                <w:rFonts w:ascii="Calibri" w:eastAsia="Times New Roman" w:hAnsi="Calibri" w:cs="Arial"/>
                <w:sz w:val="20"/>
                <w:szCs w:val="20"/>
                <w:lang w:val="en-US"/>
              </w:rPr>
            </w:pPr>
            <w:r>
              <w:rPr>
                <w:rFonts w:ascii="Calibri" w:hAnsi="Calibri" w:cs="Calibri"/>
                <w:color w:val="000000"/>
                <w:sz w:val="20"/>
                <w:szCs w:val="20"/>
              </w:rPr>
              <w:t xml:space="preserve">                      9 </w:t>
            </w:r>
          </w:p>
        </w:tc>
        <w:tc>
          <w:tcPr>
            <w:tcW w:w="709" w:type="pct"/>
            <w:tcBorders>
              <w:top w:val="nil"/>
              <w:left w:val="nil"/>
              <w:bottom w:val="nil"/>
              <w:right w:val="nil"/>
            </w:tcBorders>
            <w:shd w:val="clear" w:color="auto" w:fill="auto"/>
            <w:vAlign w:val="bottom"/>
          </w:tcPr>
          <w:p w14:paraId="3E6E43C9" w14:textId="0B59E2A7" w:rsidR="00E36929" w:rsidRPr="00537128" w:rsidRDefault="00E36929" w:rsidP="00E36929">
            <w:pPr>
              <w:tabs>
                <w:tab w:val="right" w:pos="1202"/>
              </w:tabs>
              <w:spacing w:after="0" w:line="240" w:lineRule="exact"/>
              <w:jc w:val="right"/>
              <w:outlineLvl w:val="0"/>
              <w:rPr>
                <w:rFonts w:ascii="Calibri" w:eastAsia="Times New Roman" w:hAnsi="Calibri" w:cs="Arial"/>
                <w:sz w:val="20"/>
                <w:szCs w:val="20"/>
                <w:lang w:val="en-US"/>
              </w:rPr>
            </w:pPr>
            <w:r w:rsidRPr="00C04249">
              <w:rPr>
                <w:rFonts w:cstheme="minorHAnsi"/>
                <w:color w:val="000000" w:themeColor="text1"/>
                <w:sz w:val="20"/>
              </w:rPr>
              <w:t>9</w:t>
            </w:r>
          </w:p>
        </w:tc>
        <w:tc>
          <w:tcPr>
            <w:tcW w:w="709" w:type="pct"/>
            <w:tcBorders>
              <w:top w:val="nil"/>
              <w:left w:val="nil"/>
              <w:bottom w:val="nil"/>
              <w:right w:val="nil"/>
            </w:tcBorders>
            <w:shd w:val="clear" w:color="auto" w:fill="auto"/>
            <w:vAlign w:val="bottom"/>
          </w:tcPr>
          <w:p w14:paraId="272B39E8" w14:textId="55C73B09" w:rsidR="00E36929" w:rsidRPr="00537128" w:rsidRDefault="00E36929" w:rsidP="00E36929">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color w:val="000000"/>
                <w:sz w:val="20"/>
                <w:szCs w:val="20"/>
              </w:rPr>
              <w:t>-</w:t>
            </w:r>
          </w:p>
        </w:tc>
        <w:tc>
          <w:tcPr>
            <w:tcW w:w="708" w:type="pct"/>
            <w:tcBorders>
              <w:top w:val="nil"/>
              <w:left w:val="nil"/>
              <w:bottom w:val="nil"/>
              <w:right w:val="nil"/>
            </w:tcBorders>
            <w:shd w:val="clear" w:color="auto" w:fill="auto"/>
            <w:vAlign w:val="bottom"/>
          </w:tcPr>
          <w:p w14:paraId="4059427D" w14:textId="1FFA1B33" w:rsidR="00E36929" w:rsidRPr="00537128" w:rsidRDefault="00E36929" w:rsidP="00E36929">
            <w:pPr>
              <w:tabs>
                <w:tab w:val="right" w:pos="1202"/>
              </w:tabs>
              <w:spacing w:after="0" w:line="240" w:lineRule="exact"/>
              <w:jc w:val="right"/>
              <w:outlineLvl w:val="0"/>
              <w:rPr>
                <w:rFonts w:ascii="Calibri" w:eastAsia="Times New Roman" w:hAnsi="Calibri" w:cs="Arial"/>
                <w:sz w:val="20"/>
                <w:szCs w:val="20"/>
                <w:lang w:val="en-US"/>
              </w:rPr>
            </w:pPr>
            <w:r w:rsidRPr="00C04249">
              <w:rPr>
                <w:rFonts w:cstheme="minorHAnsi"/>
                <w:color w:val="000000" w:themeColor="text1"/>
                <w:sz w:val="20"/>
              </w:rPr>
              <w:t xml:space="preserve">-    </w:t>
            </w:r>
          </w:p>
        </w:tc>
      </w:tr>
      <w:tr w:rsidR="00E36929" w:rsidRPr="00537128" w14:paraId="0F1904EA" w14:textId="77777777" w:rsidTr="00045755">
        <w:trPr>
          <w:trHeight w:val="340"/>
        </w:trPr>
        <w:tc>
          <w:tcPr>
            <w:tcW w:w="2164" w:type="pct"/>
            <w:vAlign w:val="bottom"/>
          </w:tcPr>
          <w:p w14:paraId="4C65DF7C" w14:textId="77777777" w:rsidR="00E36929" w:rsidRPr="00537128" w:rsidRDefault="00E36929" w:rsidP="00E36929">
            <w:pPr>
              <w:tabs>
                <w:tab w:val="right" w:pos="1202"/>
              </w:tabs>
              <w:spacing w:after="0" w:line="240" w:lineRule="exact"/>
              <w:outlineLvl w:val="0"/>
              <w:rPr>
                <w:rFonts w:ascii="Calibri" w:eastAsia="Times New Roman" w:hAnsi="Calibri" w:cs="Arial"/>
                <w:sz w:val="20"/>
                <w:szCs w:val="20"/>
                <w:lang w:val="en-US"/>
              </w:rPr>
            </w:pPr>
            <w:bookmarkStart w:id="269" w:name="_Toc4058230"/>
            <w:r w:rsidRPr="00537128">
              <w:rPr>
                <w:rFonts w:ascii="Calibri" w:eastAsia="Times New Roman" w:hAnsi="Calibri" w:cs="Arial"/>
                <w:sz w:val="20"/>
                <w:szCs w:val="20"/>
                <w:lang w:val="en-US"/>
              </w:rPr>
              <w:t>Foreign currency account - foreign banks</w:t>
            </w:r>
            <w:bookmarkEnd w:id="269"/>
          </w:p>
        </w:tc>
        <w:tc>
          <w:tcPr>
            <w:tcW w:w="709" w:type="pct"/>
            <w:tcBorders>
              <w:top w:val="nil"/>
              <w:left w:val="nil"/>
              <w:bottom w:val="nil"/>
              <w:right w:val="nil"/>
            </w:tcBorders>
            <w:shd w:val="clear" w:color="auto" w:fill="auto"/>
            <w:vAlign w:val="bottom"/>
          </w:tcPr>
          <w:p w14:paraId="7B3B8630" w14:textId="06B18F0A" w:rsidR="00E36929" w:rsidRPr="00537128" w:rsidRDefault="00E36929" w:rsidP="00E36929">
            <w:pPr>
              <w:tabs>
                <w:tab w:val="right" w:pos="1202"/>
              </w:tabs>
              <w:spacing w:after="0" w:line="240" w:lineRule="exact"/>
              <w:outlineLvl w:val="0"/>
              <w:rPr>
                <w:rFonts w:ascii="Calibri" w:eastAsia="Times New Roman" w:hAnsi="Calibri" w:cs="Arial"/>
                <w:sz w:val="20"/>
                <w:szCs w:val="20"/>
                <w:lang w:val="en-US"/>
              </w:rPr>
            </w:pPr>
            <w:r>
              <w:rPr>
                <w:rFonts w:ascii="Calibri" w:hAnsi="Calibri" w:cs="Calibri"/>
                <w:color w:val="000000"/>
                <w:sz w:val="20"/>
                <w:szCs w:val="20"/>
              </w:rPr>
              <w:t xml:space="preserve">          380,726 </w:t>
            </w:r>
          </w:p>
        </w:tc>
        <w:tc>
          <w:tcPr>
            <w:tcW w:w="709" w:type="pct"/>
            <w:tcBorders>
              <w:top w:val="nil"/>
              <w:left w:val="nil"/>
              <w:bottom w:val="nil"/>
              <w:right w:val="nil"/>
            </w:tcBorders>
            <w:shd w:val="clear" w:color="auto" w:fill="auto"/>
            <w:vAlign w:val="bottom"/>
          </w:tcPr>
          <w:p w14:paraId="3597E017" w14:textId="0CDB40F9" w:rsidR="00E36929" w:rsidRPr="00537128" w:rsidRDefault="00E36929" w:rsidP="00E36929">
            <w:pPr>
              <w:tabs>
                <w:tab w:val="right" w:pos="1202"/>
              </w:tabs>
              <w:spacing w:after="0" w:line="240" w:lineRule="exact"/>
              <w:jc w:val="right"/>
              <w:outlineLvl w:val="0"/>
              <w:rPr>
                <w:rFonts w:ascii="Calibri" w:eastAsia="Times New Roman" w:hAnsi="Calibri" w:cs="Arial"/>
                <w:sz w:val="20"/>
                <w:szCs w:val="20"/>
                <w:lang w:val="en-US"/>
              </w:rPr>
            </w:pPr>
            <w:r w:rsidRPr="00C04249">
              <w:rPr>
                <w:rFonts w:cstheme="minorHAnsi"/>
                <w:color w:val="000000" w:themeColor="text1"/>
                <w:sz w:val="20"/>
              </w:rPr>
              <w:t>80</w:t>
            </w:r>
            <w:r>
              <w:rPr>
                <w:rFonts w:cstheme="minorHAnsi"/>
                <w:color w:val="000000" w:themeColor="text1"/>
                <w:sz w:val="20"/>
              </w:rPr>
              <w:t>,</w:t>
            </w:r>
            <w:r w:rsidRPr="00C04249">
              <w:rPr>
                <w:rFonts w:cstheme="minorHAnsi"/>
                <w:color w:val="000000" w:themeColor="text1"/>
                <w:sz w:val="20"/>
              </w:rPr>
              <w:t>938</w:t>
            </w:r>
          </w:p>
        </w:tc>
        <w:tc>
          <w:tcPr>
            <w:tcW w:w="709" w:type="pct"/>
            <w:tcBorders>
              <w:top w:val="nil"/>
              <w:left w:val="nil"/>
              <w:bottom w:val="nil"/>
              <w:right w:val="nil"/>
            </w:tcBorders>
            <w:shd w:val="clear" w:color="auto" w:fill="auto"/>
            <w:vAlign w:val="bottom"/>
          </w:tcPr>
          <w:p w14:paraId="1E7CA78D" w14:textId="1143EED1" w:rsidR="00E36929" w:rsidRPr="00537128" w:rsidRDefault="00E36929" w:rsidP="00E36929">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color w:val="000000"/>
                <w:sz w:val="20"/>
                <w:szCs w:val="20"/>
              </w:rPr>
              <w:t>380,722</w:t>
            </w:r>
          </w:p>
        </w:tc>
        <w:tc>
          <w:tcPr>
            <w:tcW w:w="708" w:type="pct"/>
            <w:tcBorders>
              <w:top w:val="nil"/>
              <w:left w:val="nil"/>
              <w:bottom w:val="nil"/>
              <w:right w:val="nil"/>
            </w:tcBorders>
            <w:shd w:val="clear" w:color="auto" w:fill="auto"/>
            <w:vAlign w:val="bottom"/>
          </w:tcPr>
          <w:p w14:paraId="2F3493DB" w14:textId="1EC5BE6A" w:rsidR="00E36929" w:rsidRPr="00537128" w:rsidRDefault="00E36929" w:rsidP="00E36929">
            <w:pPr>
              <w:tabs>
                <w:tab w:val="right" w:pos="1202"/>
              </w:tabs>
              <w:spacing w:after="0" w:line="240" w:lineRule="exact"/>
              <w:jc w:val="right"/>
              <w:outlineLvl w:val="0"/>
              <w:rPr>
                <w:rFonts w:ascii="Calibri" w:eastAsia="Times New Roman" w:hAnsi="Calibri" w:cs="Arial"/>
                <w:sz w:val="20"/>
                <w:szCs w:val="20"/>
                <w:lang w:val="en-US"/>
              </w:rPr>
            </w:pPr>
            <w:r w:rsidRPr="00C04249">
              <w:rPr>
                <w:rFonts w:cstheme="minorHAnsi"/>
                <w:color w:val="000000" w:themeColor="text1"/>
                <w:sz w:val="20"/>
              </w:rPr>
              <w:t>80</w:t>
            </w:r>
            <w:r>
              <w:rPr>
                <w:rFonts w:cstheme="minorHAnsi"/>
                <w:color w:val="000000" w:themeColor="text1"/>
                <w:sz w:val="20"/>
              </w:rPr>
              <w:t>,</w:t>
            </w:r>
            <w:r w:rsidRPr="00C04249">
              <w:rPr>
                <w:rFonts w:cstheme="minorHAnsi"/>
                <w:color w:val="000000" w:themeColor="text1"/>
                <w:sz w:val="20"/>
              </w:rPr>
              <w:t>930</w:t>
            </w:r>
          </w:p>
        </w:tc>
      </w:tr>
      <w:tr w:rsidR="00E36929" w:rsidRPr="00537128" w14:paraId="509F988E" w14:textId="77777777" w:rsidTr="00045755">
        <w:trPr>
          <w:trHeight w:val="340"/>
        </w:trPr>
        <w:tc>
          <w:tcPr>
            <w:tcW w:w="2164" w:type="pct"/>
            <w:vAlign w:val="bottom"/>
          </w:tcPr>
          <w:p w14:paraId="4DDE3C01" w14:textId="77777777" w:rsidR="00E36929" w:rsidRPr="00537128" w:rsidRDefault="00E36929" w:rsidP="00E36929">
            <w:pPr>
              <w:tabs>
                <w:tab w:val="right" w:pos="1202"/>
              </w:tabs>
              <w:spacing w:after="0" w:line="240" w:lineRule="exact"/>
              <w:outlineLvl w:val="0"/>
              <w:rPr>
                <w:rFonts w:ascii="Calibri" w:eastAsia="Times New Roman" w:hAnsi="Calibri" w:cs="Arial"/>
                <w:sz w:val="20"/>
                <w:szCs w:val="20"/>
                <w:lang w:val="en-US"/>
              </w:rPr>
            </w:pPr>
            <w:bookmarkStart w:id="270" w:name="_Toc4058235"/>
            <w:r w:rsidRPr="00537128">
              <w:rPr>
                <w:rFonts w:ascii="Calibri" w:eastAsia="Times New Roman" w:hAnsi="Calibri" w:cs="Arial"/>
                <w:sz w:val="20"/>
                <w:szCs w:val="20"/>
                <w:lang w:val="en-US"/>
              </w:rPr>
              <w:t>Domestic currency account - domestic banks</w:t>
            </w:r>
            <w:bookmarkEnd w:id="270"/>
          </w:p>
        </w:tc>
        <w:tc>
          <w:tcPr>
            <w:tcW w:w="709" w:type="pct"/>
            <w:tcBorders>
              <w:top w:val="nil"/>
              <w:left w:val="nil"/>
              <w:bottom w:val="nil"/>
              <w:right w:val="nil"/>
            </w:tcBorders>
            <w:shd w:val="clear" w:color="auto" w:fill="auto"/>
            <w:vAlign w:val="bottom"/>
          </w:tcPr>
          <w:p w14:paraId="61B0D8A3" w14:textId="4A2EACBA" w:rsidR="00E36929" w:rsidRPr="00537128" w:rsidRDefault="00E36929" w:rsidP="00E36929">
            <w:pPr>
              <w:tabs>
                <w:tab w:val="right" w:pos="1202"/>
              </w:tabs>
              <w:spacing w:after="0" w:line="240" w:lineRule="exact"/>
              <w:outlineLvl w:val="0"/>
              <w:rPr>
                <w:rFonts w:ascii="Calibri" w:eastAsia="Times New Roman" w:hAnsi="Calibri" w:cs="Arial"/>
                <w:sz w:val="20"/>
                <w:szCs w:val="20"/>
                <w:lang w:val="en-US"/>
              </w:rPr>
            </w:pPr>
            <w:r>
              <w:rPr>
                <w:rFonts w:ascii="Calibri" w:hAnsi="Calibri" w:cs="Calibri"/>
                <w:color w:val="000000"/>
                <w:sz w:val="20"/>
                <w:szCs w:val="20"/>
              </w:rPr>
              <w:t xml:space="preserve">               6,356 </w:t>
            </w:r>
          </w:p>
        </w:tc>
        <w:tc>
          <w:tcPr>
            <w:tcW w:w="709" w:type="pct"/>
            <w:tcBorders>
              <w:top w:val="nil"/>
              <w:left w:val="nil"/>
              <w:bottom w:val="nil"/>
              <w:right w:val="nil"/>
            </w:tcBorders>
            <w:shd w:val="clear" w:color="auto" w:fill="auto"/>
            <w:vAlign w:val="bottom"/>
          </w:tcPr>
          <w:p w14:paraId="5873E318" w14:textId="1BA25F91" w:rsidR="00E36929" w:rsidRPr="00537128" w:rsidRDefault="00E36929" w:rsidP="00E36929">
            <w:pPr>
              <w:tabs>
                <w:tab w:val="right" w:pos="1202"/>
              </w:tabs>
              <w:spacing w:after="0" w:line="240" w:lineRule="exact"/>
              <w:jc w:val="right"/>
              <w:outlineLvl w:val="0"/>
              <w:rPr>
                <w:rFonts w:ascii="Calibri" w:eastAsia="Times New Roman" w:hAnsi="Calibri" w:cs="Arial"/>
                <w:sz w:val="20"/>
                <w:szCs w:val="20"/>
                <w:lang w:val="en-US"/>
              </w:rPr>
            </w:pPr>
            <w:r w:rsidRPr="00C04249">
              <w:rPr>
                <w:rFonts w:cstheme="minorHAnsi"/>
                <w:color w:val="000000" w:themeColor="text1"/>
                <w:sz w:val="20"/>
              </w:rPr>
              <w:t>3</w:t>
            </w:r>
            <w:r>
              <w:rPr>
                <w:rFonts w:cstheme="minorHAnsi"/>
                <w:color w:val="000000" w:themeColor="text1"/>
                <w:sz w:val="20"/>
              </w:rPr>
              <w:t>,</w:t>
            </w:r>
            <w:r w:rsidRPr="00C04249">
              <w:rPr>
                <w:rFonts w:cstheme="minorHAnsi"/>
                <w:color w:val="000000" w:themeColor="text1"/>
                <w:sz w:val="20"/>
              </w:rPr>
              <w:t>354</w:t>
            </w:r>
          </w:p>
        </w:tc>
        <w:tc>
          <w:tcPr>
            <w:tcW w:w="709" w:type="pct"/>
            <w:tcBorders>
              <w:top w:val="nil"/>
              <w:left w:val="nil"/>
              <w:bottom w:val="nil"/>
              <w:right w:val="nil"/>
            </w:tcBorders>
            <w:shd w:val="clear" w:color="auto" w:fill="auto"/>
            <w:vAlign w:val="bottom"/>
          </w:tcPr>
          <w:p w14:paraId="70DBEF8D" w14:textId="03C17011" w:rsidR="00E36929" w:rsidRPr="00537128" w:rsidRDefault="00E36929" w:rsidP="00E36929">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color w:val="000000"/>
                <w:sz w:val="20"/>
                <w:szCs w:val="20"/>
              </w:rPr>
              <w:t>-</w:t>
            </w:r>
          </w:p>
        </w:tc>
        <w:tc>
          <w:tcPr>
            <w:tcW w:w="708" w:type="pct"/>
            <w:tcBorders>
              <w:top w:val="nil"/>
              <w:left w:val="nil"/>
              <w:bottom w:val="nil"/>
              <w:right w:val="nil"/>
            </w:tcBorders>
            <w:shd w:val="clear" w:color="auto" w:fill="auto"/>
            <w:vAlign w:val="bottom"/>
          </w:tcPr>
          <w:p w14:paraId="4081DA46" w14:textId="33932989" w:rsidR="00E36929" w:rsidRPr="00537128" w:rsidRDefault="00E36929" w:rsidP="00E36929">
            <w:pPr>
              <w:tabs>
                <w:tab w:val="right" w:pos="1202"/>
              </w:tabs>
              <w:spacing w:after="0" w:line="240" w:lineRule="exact"/>
              <w:jc w:val="right"/>
              <w:outlineLvl w:val="0"/>
              <w:rPr>
                <w:rFonts w:ascii="Calibri" w:eastAsia="Times New Roman" w:hAnsi="Calibri" w:cs="Arial"/>
                <w:sz w:val="20"/>
                <w:szCs w:val="20"/>
                <w:lang w:val="en-US"/>
              </w:rPr>
            </w:pPr>
            <w:r>
              <w:rPr>
                <w:rFonts w:cstheme="minorHAnsi"/>
                <w:color w:val="000000" w:themeColor="text1"/>
                <w:sz w:val="20"/>
              </w:rPr>
              <w:t>-</w:t>
            </w:r>
          </w:p>
        </w:tc>
      </w:tr>
      <w:tr w:rsidR="00E36929" w:rsidRPr="00537128" w14:paraId="0C519F7F" w14:textId="77777777" w:rsidTr="009E5940">
        <w:trPr>
          <w:trHeight w:val="349"/>
        </w:trPr>
        <w:tc>
          <w:tcPr>
            <w:tcW w:w="2164" w:type="pct"/>
            <w:vAlign w:val="bottom"/>
          </w:tcPr>
          <w:p w14:paraId="15AC535C" w14:textId="77777777" w:rsidR="00E36929" w:rsidRPr="00537128" w:rsidRDefault="00E36929" w:rsidP="00E36929">
            <w:pPr>
              <w:tabs>
                <w:tab w:val="right" w:pos="1202"/>
              </w:tabs>
              <w:spacing w:after="0" w:line="240" w:lineRule="exact"/>
              <w:outlineLvl w:val="0"/>
              <w:rPr>
                <w:rFonts w:ascii="Calibri" w:eastAsia="Times New Roman" w:hAnsi="Calibri" w:cs="Arial"/>
                <w:iCs/>
                <w:sz w:val="20"/>
                <w:szCs w:val="20"/>
                <w:lang w:val="en-US"/>
              </w:rPr>
            </w:pPr>
          </w:p>
        </w:tc>
        <w:tc>
          <w:tcPr>
            <w:tcW w:w="709" w:type="pct"/>
            <w:tcBorders>
              <w:top w:val="single" w:sz="4" w:space="0" w:color="auto"/>
              <w:bottom w:val="single" w:sz="4" w:space="0" w:color="auto"/>
            </w:tcBorders>
            <w:vAlign w:val="bottom"/>
          </w:tcPr>
          <w:p w14:paraId="0F06A6C0" w14:textId="0D8162AC" w:rsidR="00E36929" w:rsidRPr="00537128" w:rsidRDefault="00E36929" w:rsidP="00E36929">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color w:val="000000"/>
                <w:sz w:val="20"/>
                <w:szCs w:val="20"/>
              </w:rPr>
              <w:t>1,578,830</w:t>
            </w:r>
          </w:p>
        </w:tc>
        <w:tc>
          <w:tcPr>
            <w:tcW w:w="709" w:type="pct"/>
            <w:tcBorders>
              <w:top w:val="single" w:sz="4" w:space="0" w:color="auto"/>
              <w:bottom w:val="single" w:sz="4" w:space="0" w:color="auto"/>
            </w:tcBorders>
            <w:vAlign w:val="bottom"/>
          </w:tcPr>
          <w:p w14:paraId="0D37BB51" w14:textId="7250D5EE" w:rsidR="00E36929" w:rsidRPr="00537128" w:rsidRDefault="00E36929" w:rsidP="00E36929">
            <w:pPr>
              <w:tabs>
                <w:tab w:val="right" w:pos="1202"/>
              </w:tabs>
              <w:spacing w:after="0" w:line="240" w:lineRule="exact"/>
              <w:jc w:val="right"/>
              <w:outlineLvl w:val="0"/>
              <w:rPr>
                <w:rFonts w:ascii="Calibri" w:eastAsia="Times New Roman" w:hAnsi="Calibri" w:cs="Arial"/>
                <w:sz w:val="20"/>
                <w:szCs w:val="20"/>
                <w:lang w:val="en-US"/>
              </w:rPr>
            </w:pPr>
            <w:r w:rsidRPr="00C04249">
              <w:rPr>
                <w:rFonts w:cstheme="minorHAnsi"/>
                <w:color w:val="000000" w:themeColor="text1"/>
                <w:sz w:val="20"/>
              </w:rPr>
              <w:t>1</w:t>
            </w:r>
            <w:r>
              <w:rPr>
                <w:rFonts w:cstheme="minorHAnsi"/>
                <w:color w:val="000000" w:themeColor="text1"/>
                <w:sz w:val="20"/>
              </w:rPr>
              <w:t>,</w:t>
            </w:r>
            <w:r w:rsidRPr="00C04249">
              <w:rPr>
                <w:rFonts w:cstheme="minorHAnsi"/>
                <w:color w:val="000000" w:themeColor="text1"/>
                <w:sz w:val="20"/>
              </w:rPr>
              <w:t>963</w:t>
            </w:r>
            <w:r>
              <w:rPr>
                <w:rFonts w:cstheme="minorHAnsi"/>
                <w:color w:val="000000" w:themeColor="text1"/>
                <w:sz w:val="20"/>
              </w:rPr>
              <w:t>,</w:t>
            </w:r>
            <w:r w:rsidRPr="00C04249">
              <w:rPr>
                <w:rFonts w:cstheme="minorHAnsi"/>
                <w:color w:val="000000" w:themeColor="text1"/>
                <w:sz w:val="20"/>
              </w:rPr>
              <w:t>795</w:t>
            </w:r>
          </w:p>
        </w:tc>
        <w:tc>
          <w:tcPr>
            <w:tcW w:w="709" w:type="pct"/>
            <w:tcBorders>
              <w:top w:val="single" w:sz="4" w:space="0" w:color="auto"/>
              <w:bottom w:val="single" w:sz="4" w:space="0" w:color="auto"/>
            </w:tcBorders>
            <w:vAlign w:val="bottom"/>
          </w:tcPr>
          <w:p w14:paraId="2E19C24E" w14:textId="62650837" w:rsidR="00E36929" w:rsidRPr="00537128" w:rsidRDefault="00E36929" w:rsidP="00E36929">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color w:val="000000"/>
                <w:sz w:val="20"/>
                <w:szCs w:val="20"/>
              </w:rPr>
              <w:t>1,572,461</w:t>
            </w:r>
          </w:p>
        </w:tc>
        <w:tc>
          <w:tcPr>
            <w:tcW w:w="708" w:type="pct"/>
            <w:tcBorders>
              <w:top w:val="single" w:sz="4" w:space="0" w:color="auto"/>
              <w:bottom w:val="single" w:sz="4" w:space="0" w:color="auto"/>
            </w:tcBorders>
            <w:vAlign w:val="bottom"/>
          </w:tcPr>
          <w:p w14:paraId="2D4006CD" w14:textId="0A9949BB" w:rsidR="00E36929" w:rsidRPr="00537128" w:rsidRDefault="00E36929" w:rsidP="00E36929">
            <w:pPr>
              <w:tabs>
                <w:tab w:val="right" w:pos="1202"/>
              </w:tabs>
              <w:spacing w:after="0" w:line="240" w:lineRule="exact"/>
              <w:jc w:val="right"/>
              <w:outlineLvl w:val="0"/>
              <w:rPr>
                <w:rFonts w:ascii="Calibri" w:eastAsia="Times New Roman" w:hAnsi="Calibri" w:cs="Arial"/>
                <w:sz w:val="20"/>
                <w:szCs w:val="20"/>
                <w:lang w:val="en-US"/>
              </w:rPr>
            </w:pPr>
            <w:r w:rsidRPr="00C04249">
              <w:rPr>
                <w:rFonts w:cstheme="minorHAnsi"/>
                <w:color w:val="000000" w:themeColor="text1"/>
                <w:sz w:val="20"/>
              </w:rPr>
              <w:t>1</w:t>
            </w:r>
            <w:r>
              <w:rPr>
                <w:rFonts w:cstheme="minorHAnsi"/>
                <w:color w:val="000000" w:themeColor="text1"/>
                <w:sz w:val="20"/>
              </w:rPr>
              <w:t>,</w:t>
            </w:r>
            <w:r w:rsidRPr="00C04249">
              <w:rPr>
                <w:rFonts w:cstheme="minorHAnsi"/>
                <w:color w:val="000000" w:themeColor="text1"/>
                <w:sz w:val="20"/>
              </w:rPr>
              <w:t>960</w:t>
            </w:r>
            <w:r>
              <w:rPr>
                <w:rFonts w:cstheme="minorHAnsi"/>
                <w:color w:val="000000" w:themeColor="text1"/>
                <w:sz w:val="20"/>
              </w:rPr>
              <w:t>,</w:t>
            </w:r>
            <w:r w:rsidRPr="00C04249">
              <w:rPr>
                <w:rFonts w:cstheme="minorHAnsi"/>
                <w:color w:val="000000" w:themeColor="text1"/>
                <w:sz w:val="20"/>
              </w:rPr>
              <w:t>424</w:t>
            </w:r>
          </w:p>
        </w:tc>
      </w:tr>
      <w:tr w:rsidR="00E36929" w:rsidRPr="00537128" w14:paraId="601F0C67" w14:textId="77777777" w:rsidTr="009E5940">
        <w:trPr>
          <w:trHeight w:val="349"/>
        </w:trPr>
        <w:tc>
          <w:tcPr>
            <w:tcW w:w="2164" w:type="pct"/>
            <w:vAlign w:val="bottom"/>
          </w:tcPr>
          <w:p w14:paraId="32608761" w14:textId="77777777" w:rsidR="00E36929" w:rsidRPr="00537128" w:rsidRDefault="00E36929" w:rsidP="00E36929">
            <w:pPr>
              <w:tabs>
                <w:tab w:val="right" w:pos="1202"/>
              </w:tabs>
              <w:spacing w:after="0" w:line="240" w:lineRule="exact"/>
              <w:outlineLvl w:val="0"/>
              <w:rPr>
                <w:rFonts w:ascii="Calibri" w:eastAsia="Times New Roman" w:hAnsi="Calibri" w:cs="Arial"/>
                <w:sz w:val="20"/>
                <w:szCs w:val="20"/>
                <w:lang w:val="en-US"/>
              </w:rPr>
            </w:pPr>
            <w:bookmarkStart w:id="271" w:name="_Toc4058244"/>
            <w:r w:rsidRPr="00537128">
              <w:rPr>
                <w:rFonts w:ascii="Calibri" w:eastAsia="Times New Roman" w:hAnsi="Calibri" w:cs="Arial"/>
                <w:sz w:val="20"/>
                <w:szCs w:val="20"/>
                <w:lang w:val="en-US"/>
              </w:rPr>
              <w:t>Loss allowances</w:t>
            </w:r>
            <w:bookmarkEnd w:id="271"/>
          </w:p>
        </w:tc>
        <w:tc>
          <w:tcPr>
            <w:tcW w:w="709" w:type="pct"/>
            <w:tcBorders>
              <w:top w:val="single" w:sz="4" w:space="0" w:color="auto"/>
              <w:bottom w:val="single" w:sz="4" w:space="0" w:color="auto"/>
            </w:tcBorders>
            <w:vAlign w:val="bottom"/>
          </w:tcPr>
          <w:p w14:paraId="3C366F94" w14:textId="67046439" w:rsidR="00E36929" w:rsidRPr="00537128" w:rsidRDefault="00E36929" w:rsidP="00E36929">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color w:val="000000"/>
                <w:sz w:val="20"/>
                <w:szCs w:val="20"/>
              </w:rPr>
              <w:t>(1,262)</w:t>
            </w:r>
          </w:p>
        </w:tc>
        <w:tc>
          <w:tcPr>
            <w:tcW w:w="709" w:type="pct"/>
            <w:tcBorders>
              <w:top w:val="single" w:sz="4" w:space="0" w:color="auto"/>
              <w:bottom w:val="single" w:sz="4" w:space="0" w:color="auto"/>
            </w:tcBorders>
            <w:vAlign w:val="bottom"/>
          </w:tcPr>
          <w:p w14:paraId="0F63445B" w14:textId="7AE4998F" w:rsidR="00E36929" w:rsidRPr="00537128" w:rsidRDefault="00E36929" w:rsidP="00E36929">
            <w:pPr>
              <w:tabs>
                <w:tab w:val="right" w:pos="1202"/>
              </w:tabs>
              <w:spacing w:after="0" w:line="240" w:lineRule="exact"/>
              <w:jc w:val="right"/>
              <w:outlineLvl w:val="0"/>
              <w:rPr>
                <w:rFonts w:ascii="Calibri" w:eastAsia="Times New Roman" w:hAnsi="Calibri" w:cs="Arial"/>
                <w:sz w:val="20"/>
                <w:szCs w:val="20"/>
                <w:lang w:val="en-US"/>
              </w:rPr>
            </w:pPr>
            <w:r w:rsidRPr="00C04249">
              <w:rPr>
                <w:rFonts w:cstheme="minorHAnsi"/>
                <w:color w:val="000000" w:themeColor="text1"/>
                <w:sz w:val="20"/>
              </w:rPr>
              <w:t>(1</w:t>
            </w:r>
            <w:r>
              <w:rPr>
                <w:rFonts w:cstheme="minorHAnsi"/>
                <w:color w:val="000000" w:themeColor="text1"/>
                <w:sz w:val="20"/>
              </w:rPr>
              <w:t>,</w:t>
            </w:r>
            <w:r w:rsidRPr="00C04249">
              <w:rPr>
                <w:rFonts w:cstheme="minorHAnsi"/>
                <w:color w:val="000000" w:themeColor="text1"/>
                <w:sz w:val="20"/>
              </w:rPr>
              <w:t>809)</w:t>
            </w:r>
          </w:p>
        </w:tc>
        <w:tc>
          <w:tcPr>
            <w:tcW w:w="709" w:type="pct"/>
            <w:tcBorders>
              <w:top w:val="single" w:sz="4" w:space="0" w:color="auto"/>
              <w:bottom w:val="single" w:sz="4" w:space="0" w:color="auto"/>
            </w:tcBorders>
            <w:vAlign w:val="bottom"/>
          </w:tcPr>
          <w:p w14:paraId="6E420463" w14:textId="5BE2FA92" w:rsidR="00E36929" w:rsidRPr="00537128" w:rsidRDefault="00E36929" w:rsidP="00E36929">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color w:val="000000"/>
                <w:sz w:val="20"/>
                <w:szCs w:val="20"/>
              </w:rPr>
              <w:t>(1,255)</w:t>
            </w:r>
          </w:p>
        </w:tc>
        <w:tc>
          <w:tcPr>
            <w:tcW w:w="708" w:type="pct"/>
            <w:tcBorders>
              <w:top w:val="single" w:sz="4" w:space="0" w:color="auto"/>
              <w:bottom w:val="single" w:sz="4" w:space="0" w:color="auto"/>
            </w:tcBorders>
            <w:vAlign w:val="bottom"/>
          </w:tcPr>
          <w:p w14:paraId="75AF460B" w14:textId="7D6514CF" w:rsidR="00E36929" w:rsidRPr="00537128" w:rsidRDefault="00E36929" w:rsidP="00E36929">
            <w:pPr>
              <w:tabs>
                <w:tab w:val="right" w:pos="1202"/>
              </w:tabs>
              <w:spacing w:after="0" w:line="240" w:lineRule="exact"/>
              <w:jc w:val="right"/>
              <w:outlineLvl w:val="0"/>
              <w:rPr>
                <w:rFonts w:ascii="Calibri" w:eastAsia="Times New Roman" w:hAnsi="Calibri" w:cs="Arial"/>
                <w:sz w:val="20"/>
                <w:szCs w:val="20"/>
                <w:lang w:val="en-US"/>
              </w:rPr>
            </w:pPr>
            <w:r w:rsidRPr="00C04249">
              <w:rPr>
                <w:rFonts w:cstheme="minorHAnsi"/>
                <w:color w:val="000000" w:themeColor="text1"/>
                <w:sz w:val="20"/>
              </w:rPr>
              <w:t>(1</w:t>
            </w:r>
            <w:r>
              <w:rPr>
                <w:rFonts w:cstheme="minorHAnsi"/>
                <w:color w:val="000000" w:themeColor="text1"/>
                <w:sz w:val="20"/>
              </w:rPr>
              <w:t>,</w:t>
            </w:r>
            <w:r w:rsidRPr="00C04249">
              <w:rPr>
                <w:rFonts w:cstheme="minorHAnsi"/>
                <w:color w:val="000000" w:themeColor="text1"/>
                <w:sz w:val="20"/>
              </w:rPr>
              <w:t>804)</w:t>
            </w:r>
          </w:p>
        </w:tc>
      </w:tr>
      <w:tr w:rsidR="00E36929" w:rsidRPr="00537128" w14:paraId="39BCA412" w14:textId="77777777" w:rsidTr="009E5940">
        <w:trPr>
          <w:trHeight w:val="349"/>
        </w:trPr>
        <w:tc>
          <w:tcPr>
            <w:tcW w:w="2164" w:type="pct"/>
            <w:vAlign w:val="bottom"/>
          </w:tcPr>
          <w:p w14:paraId="222BC7BA" w14:textId="77777777" w:rsidR="00E36929" w:rsidRPr="00537128" w:rsidRDefault="00E36929" w:rsidP="00E36929">
            <w:pPr>
              <w:tabs>
                <w:tab w:val="right" w:pos="1202"/>
              </w:tabs>
              <w:spacing w:after="0" w:line="240" w:lineRule="exact"/>
              <w:outlineLvl w:val="0"/>
              <w:rPr>
                <w:rFonts w:ascii="Calibri" w:eastAsia="Times New Roman" w:hAnsi="Calibri" w:cs="Arial"/>
                <w:b/>
                <w:bCs/>
                <w:sz w:val="20"/>
                <w:szCs w:val="20"/>
                <w:lang w:val="en-US"/>
              </w:rPr>
            </w:pPr>
          </w:p>
        </w:tc>
        <w:tc>
          <w:tcPr>
            <w:tcW w:w="709" w:type="pct"/>
            <w:tcBorders>
              <w:top w:val="single" w:sz="4" w:space="0" w:color="auto"/>
              <w:bottom w:val="single" w:sz="12" w:space="0" w:color="auto"/>
            </w:tcBorders>
            <w:vAlign w:val="bottom"/>
          </w:tcPr>
          <w:p w14:paraId="0499EB2A" w14:textId="6498BE68" w:rsidR="00E36929" w:rsidRPr="00537128" w:rsidRDefault="00E36929" w:rsidP="00E36929">
            <w:pPr>
              <w:tabs>
                <w:tab w:val="right" w:pos="1202"/>
              </w:tabs>
              <w:spacing w:after="0" w:line="240" w:lineRule="exact"/>
              <w:jc w:val="right"/>
              <w:outlineLvl w:val="0"/>
              <w:rPr>
                <w:rFonts w:ascii="Calibri" w:eastAsia="Times New Roman" w:hAnsi="Calibri" w:cs="Arial"/>
                <w:b/>
                <w:bCs/>
                <w:snapToGrid w:val="0"/>
                <w:sz w:val="20"/>
                <w:szCs w:val="20"/>
                <w:lang w:val="en-US"/>
              </w:rPr>
            </w:pPr>
            <w:r>
              <w:rPr>
                <w:rFonts w:ascii="Calibri" w:eastAsia="Times New Roman" w:hAnsi="Calibri" w:cs="Calibri"/>
                <w:b/>
                <w:bCs/>
                <w:color w:val="000000"/>
                <w:sz w:val="20"/>
                <w:szCs w:val="20"/>
              </w:rPr>
              <w:t>1,577,568</w:t>
            </w:r>
          </w:p>
        </w:tc>
        <w:tc>
          <w:tcPr>
            <w:tcW w:w="709" w:type="pct"/>
            <w:tcBorders>
              <w:top w:val="single" w:sz="4" w:space="0" w:color="auto"/>
              <w:bottom w:val="single" w:sz="12" w:space="0" w:color="auto"/>
            </w:tcBorders>
            <w:vAlign w:val="bottom"/>
          </w:tcPr>
          <w:p w14:paraId="1FDF4D67" w14:textId="6DF8A631" w:rsidR="00E36929" w:rsidRPr="00537128" w:rsidRDefault="00E36929" w:rsidP="00E36929">
            <w:pPr>
              <w:tabs>
                <w:tab w:val="right" w:pos="1202"/>
              </w:tabs>
              <w:spacing w:after="0" w:line="240" w:lineRule="exact"/>
              <w:jc w:val="right"/>
              <w:outlineLvl w:val="0"/>
              <w:rPr>
                <w:rFonts w:ascii="Calibri" w:eastAsia="Times New Roman" w:hAnsi="Calibri" w:cs="Arial"/>
                <w:b/>
                <w:bCs/>
                <w:snapToGrid w:val="0"/>
                <w:sz w:val="20"/>
                <w:szCs w:val="20"/>
                <w:lang w:val="en-US"/>
              </w:rPr>
            </w:pPr>
            <w:r w:rsidRPr="00C04249">
              <w:rPr>
                <w:rFonts w:cstheme="minorHAnsi"/>
                <w:b/>
                <w:color w:val="000000" w:themeColor="text1"/>
                <w:sz w:val="20"/>
              </w:rPr>
              <w:t>1</w:t>
            </w:r>
            <w:r>
              <w:rPr>
                <w:rFonts w:cstheme="minorHAnsi"/>
                <w:b/>
                <w:color w:val="000000" w:themeColor="text1"/>
                <w:sz w:val="20"/>
              </w:rPr>
              <w:t>,</w:t>
            </w:r>
            <w:r w:rsidRPr="00C04249">
              <w:rPr>
                <w:rFonts w:cstheme="minorHAnsi"/>
                <w:b/>
                <w:color w:val="000000" w:themeColor="text1"/>
                <w:sz w:val="20"/>
              </w:rPr>
              <w:t>961</w:t>
            </w:r>
            <w:r>
              <w:rPr>
                <w:rFonts w:cstheme="minorHAnsi"/>
                <w:b/>
                <w:color w:val="000000" w:themeColor="text1"/>
                <w:sz w:val="20"/>
              </w:rPr>
              <w:t>,</w:t>
            </w:r>
            <w:r w:rsidRPr="00C04249">
              <w:rPr>
                <w:rFonts w:cstheme="minorHAnsi"/>
                <w:b/>
                <w:color w:val="000000" w:themeColor="text1"/>
                <w:sz w:val="20"/>
              </w:rPr>
              <w:t>986</w:t>
            </w:r>
          </w:p>
        </w:tc>
        <w:tc>
          <w:tcPr>
            <w:tcW w:w="709" w:type="pct"/>
            <w:tcBorders>
              <w:top w:val="single" w:sz="4" w:space="0" w:color="auto"/>
              <w:bottom w:val="single" w:sz="12" w:space="0" w:color="auto"/>
            </w:tcBorders>
            <w:vAlign w:val="bottom"/>
          </w:tcPr>
          <w:p w14:paraId="54A92329" w14:textId="171D11A5" w:rsidR="00E36929" w:rsidRPr="00537128" w:rsidRDefault="00E36929" w:rsidP="00E36929">
            <w:pPr>
              <w:tabs>
                <w:tab w:val="right" w:pos="1202"/>
              </w:tabs>
              <w:spacing w:after="0" w:line="240" w:lineRule="exact"/>
              <w:jc w:val="right"/>
              <w:outlineLvl w:val="0"/>
              <w:rPr>
                <w:rFonts w:ascii="Calibri" w:eastAsia="Times New Roman" w:hAnsi="Calibri" w:cs="Arial"/>
                <w:b/>
                <w:bCs/>
                <w:snapToGrid w:val="0"/>
                <w:sz w:val="20"/>
                <w:szCs w:val="20"/>
                <w:lang w:val="en-US"/>
              </w:rPr>
            </w:pPr>
            <w:r>
              <w:rPr>
                <w:rFonts w:ascii="Calibri" w:eastAsia="Times New Roman" w:hAnsi="Calibri" w:cs="Calibri"/>
                <w:b/>
                <w:bCs/>
                <w:color w:val="000000"/>
                <w:sz w:val="20"/>
                <w:szCs w:val="20"/>
              </w:rPr>
              <w:t>1,571,206</w:t>
            </w:r>
          </w:p>
        </w:tc>
        <w:tc>
          <w:tcPr>
            <w:tcW w:w="708" w:type="pct"/>
            <w:tcBorders>
              <w:top w:val="single" w:sz="4" w:space="0" w:color="auto"/>
              <w:bottom w:val="single" w:sz="12" w:space="0" w:color="auto"/>
            </w:tcBorders>
            <w:vAlign w:val="bottom"/>
          </w:tcPr>
          <w:p w14:paraId="77B6C551" w14:textId="04104741" w:rsidR="00E36929" w:rsidRPr="00537128" w:rsidRDefault="00E36929" w:rsidP="00E36929">
            <w:pPr>
              <w:tabs>
                <w:tab w:val="right" w:pos="1202"/>
              </w:tabs>
              <w:spacing w:after="0" w:line="240" w:lineRule="exact"/>
              <w:jc w:val="right"/>
              <w:outlineLvl w:val="0"/>
              <w:rPr>
                <w:rFonts w:ascii="Calibri" w:eastAsia="Times New Roman" w:hAnsi="Calibri" w:cs="Arial"/>
                <w:b/>
                <w:bCs/>
                <w:snapToGrid w:val="0"/>
                <w:sz w:val="20"/>
                <w:szCs w:val="20"/>
                <w:lang w:val="en-US"/>
              </w:rPr>
            </w:pPr>
            <w:r w:rsidRPr="00C04249">
              <w:rPr>
                <w:rFonts w:cstheme="minorHAnsi"/>
                <w:b/>
                <w:color w:val="000000" w:themeColor="text1"/>
                <w:sz w:val="20"/>
              </w:rPr>
              <w:t>1</w:t>
            </w:r>
            <w:r>
              <w:rPr>
                <w:rFonts w:cstheme="minorHAnsi"/>
                <w:b/>
                <w:color w:val="000000" w:themeColor="text1"/>
                <w:sz w:val="20"/>
              </w:rPr>
              <w:t>,</w:t>
            </w:r>
            <w:r w:rsidRPr="00C04249">
              <w:rPr>
                <w:rFonts w:cstheme="minorHAnsi"/>
                <w:b/>
                <w:color w:val="000000" w:themeColor="text1"/>
                <w:sz w:val="20"/>
              </w:rPr>
              <w:t>958</w:t>
            </w:r>
            <w:r>
              <w:rPr>
                <w:rFonts w:cstheme="minorHAnsi"/>
                <w:b/>
                <w:color w:val="000000" w:themeColor="text1"/>
                <w:sz w:val="20"/>
              </w:rPr>
              <w:t>,</w:t>
            </w:r>
            <w:r w:rsidRPr="00C04249">
              <w:rPr>
                <w:rFonts w:cstheme="minorHAnsi"/>
                <w:b/>
                <w:color w:val="000000" w:themeColor="text1"/>
                <w:sz w:val="20"/>
              </w:rPr>
              <w:t>620</w:t>
            </w:r>
          </w:p>
        </w:tc>
      </w:tr>
    </w:tbl>
    <w:p w14:paraId="4B375C91" w14:textId="77777777" w:rsidR="00F241D4" w:rsidRPr="00537128" w:rsidRDefault="00F241D4" w:rsidP="00D3297A">
      <w:pPr>
        <w:autoSpaceDE w:val="0"/>
        <w:autoSpaceDN w:val="0"/>
        <w:adjustRightInd w:val="0"/>
        <w:spacing w:after="0" w:line="240" w:lineRule="auto"/>
        <w:jc w:val="both"/>
        <w:rPr>
          <w:b/>
          <w:noProof/>
          <w:color w:val="000000" w:themeColor="text1"/>
          <w:lang w:val="en-US"/>
        </w:rPr>
      </w:pPr>
    </w:p>
    <w:p w14:paraId="1D43F686"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bookmarkStart w:id="272" w:name="_Hlk534724271"/>
    </w:p>
    <w:p w14:paraId="53552BD9" w14:textId="77777777" w:rsidR="00F241D4" w:rsidRPr="00537128" w:rsidRDefault="00F241D4" w:rsidP="00D3297A">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The following tables sets out information about the credit quality of financial assets measured at amortised cost, The amounts in the table represent gross carrying amounts:</w:t>
      </w:r>
      <w:bookmarkEnd w:id="272"/>
    </w:p>
    <w:p w14:paraId="05801461" w14:textId="77777777" w:rsidR="00F241D4" w:rsidRPr="00537128" w:rsidRDefault="00F241D4" w:rsidP="00D3297A">
      <w:pPr>
        <w:autoSpaceDE w:val="0"/>
        <w:autoSpaceDN w:val="0"/>
        <w:adjustRightInd w:val="0"/>
        <w:spacing w:after="0" w:line="240" w:lineRule="auto"/>
        <w:jc w:val="both"/>
        <w:rPr>
          <w:noProof/>
          <w:color w:val="000000" w:themeColor="text1"/>
          <w:lang w:val="en-US"/>
        </w:rPr>
      </w:pPr>
    </w:p>
    <w:p w14:paraId="468AD290" w14:textId="77777777" w:rsidR="00F241D4" w:rsidRPr="00537128" w:rsidRDefault="00F241D4" w:rsidP="00D3297A">
      <w:pPr>
        <w:autoSpaceDE w:val="0"/>
        <w:autoSpaceDN w:val="0"/>
        <w:adjustRightInd w:val="0"/>
        <w:spacing w:after="0" w:line="240" w:lineRule="auto"/>
        <w:jc w:val="both"/>
        <w:rPr>
          <w:noProof/>
          <w:color w:val="000000" w:themeColor="text1"/>
          <w:lang w:val="en-US"/>
        </w:rPr>
      </w:pPr>
    </w:p>
    <w:tbl>
      <w:tblPr>
        <w:tblW w:w="5391" w:type="pct"/>
        <w:tblInd w:w="-142" w:type="dxa"/>
        <w:tblLayout w:type="fixed"/>
        <w:tblLook w:val="0000" w:firstRow="0" w:lastRow="0" w:firstColumn="0" w:lastColumn="0" w:noHBand="0" w:noVBand="0"/>
      </w:tblPr>
      <w:tblGrid>
        <w:gridCol w:w="1808"/>
        <w:gridCol w:w="1088"/>
        <w:gridCol w:w="935"/>
        <w:gridCol w:w="935"/>
        <w:gridCol w:w="1045"/>
        <w:gridCol w:w="994"/>
        <w:gridCol w:w="992"/>
        <w:gridCol w:w="994"/>
        <w:gridCol w:w="990"/>
      </w:tblGrid>
      <w:tr w:rsidR="009E5940" w:rsidRPr="004A18E6" w14:paraId="4EC5B580" w14:textId="77777777" w:rsidTr="00E36929">
        <w:trPr>
          <w:trHeight w:val="239"/>
        </w:trPr>
        <w:tc>
          <w:tcPr>
            <w:tcW w:w="925" w:type="pct"/>
            <w:vAlign w:val="bottom"/>
          </w:tcPr>
          <w:p w14:paraId="1F9AEEF9" w14:textId="6A6071D8" w:rsidR="009E5940" w:rsidRPr="004A18E6" w:rsidRDefault="009E5940" w:rsidP="001A4C97">
            <w:pPr>
              <w:tabs>
                <w:tab w:val="left" w:pos="-720"/>
              </w:tabs>
              <w:suppressAutoHyphens/>
              <w:spacing w:after="0" w:line="220" w:lineRule="exact"/>
              <w:rPr>
                <w:rFonts w:cstheme="minorHAnsi"/>
                <w:b/>
                <w:sz w:val="19"/>
                <w:szCs w:val="19"/>
                <w:lang w:val="en-US"/>
              </w:rPr>
            </w:pPr>
            <w:r w:rsidRPr="004A18E6">
              <w:rPr>
                <w:rFonts w:cstheme="minorHAnsi"/>
                <w:b/>
                <w:sz w:val="19"/>
                <w:szCs w:val="19"/>
                <w:lang w:val="en-US"/>
              </w:rPr>
              <w:t>31 March 202</w:t>
            </w:r>
            <w:r w:rsidR="008234A8" w:rsidRPr="004A18E6">
              <w:rPr>
                <w:rFonts w:cstheme="minorHAnsi"/>
                <w:b/>
                <w:sz w:val="19"/>
                <w:szCs w:val="19"/>
                <w:lang w:val="en-US"/>
              </w:rPr>
              <w:t>2</w:t>
            </w:r>
          </w:p>
        </w:tc>
        <w:tc>
          <w:tcPr>
            <w:tcW w:w="556" w:type="pct"/>
            <w:vAlign w:val="bottom"/>
          </w:tcPr>
          <w:p w14:paraId="15CE80C1" w14:textId="77777777" w:rsidR="009E5940" w:rsidRPr="004A18E6" w:rsidRDefault="009E5940" w:rsidP="009E5940">
            <w:pPr>
              <w:pStyle w:val="TH"/>
              <w:jc w:val="right"/>
              <w:rPr>
                <w:rFonts w:asciiTheme="minorHAnsi" w:hAnsiTheme="minorHAnsi" w:cstheme="minorHAnsi"/>
                <w:szCs w:val="19"/>
                <w:lang w:val="en-US"/>
              </w:rPr>
            </w:pPr>
          </w:p>
        </w:tc>
        <w:tc>
          <w:tcPr>
            <w:tcW w:w="478" w:type="pct"/>
            <w:shd w:val="clear" w:color="auto" w:fill="auto"/>
            <w:vAlign w:val="bottom"/>
          </w:tcPr>
          <w:p w14:paraId="2E2E2BBB" w14:textId="77777777" w:rsidR="009E5940" w:rsidRPr="004A18E6" w:rsidRDefault="009E5940" w:rsidP="009E5940">
            <w:pPr>
              <w:pStyle w:val="TH"/>
              <w:jc w:val="right"/>
              <w:rPr>
                <w:rFonts w:asciiTheme="minorHAnsi" w:hAnsiTheme="minorHAnsi" w:cstheme="minorHAnsi"/>
                <w:szCs w:val="19"/>
                <w:lang w:val="en-US"/>
              </w:rPr>
            </w:pPr>
          </w:p>
        </w:tc>
        <w:tc>
          <w:tcPr>
            <w:tcW w:w="478" w:type="pct"/>
            <w:shd w:val="clear" w:color="auto" w:fill="auto"/>
            <w:vAlign w:val="bottom"/>
          </w:tcPr>
          <w:p w14:paraId="3C506094" w14:textId="77777777" w:rsidR="009E5940" w:rsidRPr="004A18E6" w:rsidRDefault="009E5940" w:rsidP="009E5940">
            <w:pPr>
              <w:pStyle w:val="TH"/>
              <w:spacing w:line="220" w:lineRule="exact"/>
              <w:jc w:val="right"/>
              <w:rPr>
                <w:rFonts w:asciiTheme="minorHAnsi" w:hAnsiTheme="minorHAnsi" w:cstheme="minorHAnsi"/>
                <w:szCs w:val="19"/>
                <w:lang w:val="en-US"/>
              </w:rPr>
            </w:pPr>
          </w:p>
        </w:tc>
        <w:tc>
          <w:tcPr>
            <w:tcW w:w="534" w:type="pct"/>
            <w:vAlign w:val="bottom"/>
          </w:tcPr>
          <w:p w14:paraId="7295D7B8" w14:textId="77777777" w:rsidR="009E5940" w:rsidRPr="004A18E6" w:rsidRDefault="009E5940" w:rsidP="009E5940">
            <w:pPr>
              <w:pStyle w:val="TH"/>
              <w:jc w:val="right"/>
              <w:rPr>
                <w:rFonts w:asciiTheme="minorHAnsi" w:hAnsiTheme="minorHAnsi" w:cstheme="minorHAnsi"/>
                <w:szCs w:val="19"/>
                <w:lang w:val="en-US"/>
              </w:rPr>
            </w:pPr>
            <w:bookmarkStart w:id="273" w:name="_Toc4058253"/>
            <w:r w:rsidRPr="004A18E6">
              <w:rPr>
                <w:rFonts w:asciiTheme="minorHAnsi" w:hAnsiTheme="minorHAnsi" w:cstheme="minorHAnsi"/>
                <w:szCs w:val="19"/>
                <w:lang w:val="en-US"/>
              </w:rPr>
              <w:t>Group</w:t>
            </w:r>
            <w:bookmarkEnd w:id="273"/>
          </w:p>
        </w:tc>
        <w:tc>
          <w:tcPr>
            <w:tcW w:w="508" w:type="pct"/>
            <w:vAlign w:val="bottom"/>
          </w:tcPr>
          <w:p w14:paraId="79819265" w14:textId="77777777" w:rsidR="009E5940" w:rsidRPr="004A18E6" w:rsidRDefault="009E5940" w:rsidP="009E5940">
            <w:pPr>
              <w:pStyle w:val="TH"/>
              <w:jc w:val="right"/>
              <w:rPr>
                <w:rFonts w:asciiTheme="minorHAnsi" w:hAnsiTheme="minorHAnsi" w:cstheme="minorHAnsi"/>
                <w:szCs w:val="19"/>
                <w:lang w:val="en-US"/>
              </w:rPr>
            </w:pPr>
          </w:p>
        </w:tc>
        <w:tc>
          <w:tcPr>
            <w:tcW w:w="507" w:type="pct"/>
            <w:shd w:val="clear" w:color="auto" w:fill="auto"/>
            <w:vAlign w:val="bottom"/>
          </w:tcPr>
          <w:p w14:paraId="7ADA23E6" w14:textId="77777777" w:rsidR="009E5940" w:rsidRPr="004A18E6" w:rsidRDefault="009E5940" w:rsidP="009E5940">
            <w:pPr>
              <w:pStyle w:val="TH"/>
              <w:jc w:val="right"/>
              <w:rPr>
                <w:rFonts w:asciiTheme="minorHAnsi" w:hAnsiTheme="minorHAnsi" w:cstheme="minorHAnsi"/>
                <w:szCs w:val="19"/>
                <w:lang w:val="en-US"/>
              </w:rPr>
            </w:pPr>
          </w:p>
        </w:tc>
        <w:tc>
          <w:tcPr>
            <w:tcW w:w="508" w:type="pct"/>
            <w:shd w:val="clear" w:color="auto" w:fill="auto"/>
            <w:vAlign w:val="bottom"/>
          </w:tcPr>
          <w:p w14:paraId="1DA02E76" w14:textId="77777777" w:rsidR="009E5940" w:rsidRPr="004A18E6" w:rsidRDefault="009E5940" w:rsidP="009E5940">
            <w:pPr>
              <w:pStyle w:val="TH"/>
              <w:spacing w:line="220" w:lineRule="exact"/>
              <w:jc w:val="right"/>
              <w:rPr>
                <w:rFonts w:asciiTheme="minorHAnsi" w:hAnsiTheme="minorHAnsi" w:cstheme="minorHAnsi"/>
                <w:szCs w:val="19"/>
                <w:lang w:val="en-US"/>
              </w:rPr>
            </w:pPr>
          </w:p>
        </w:tc>
        <w:tc>
          <w:tcPr>
            <w:tcW w:w="508" w:type="pct"/>
            <w:vAlign w:val="bottom"/>
          </w:tcPr>
          <w:p w14:paraId="25231ABE" w14:textId="77777777" w:rsidR="009E5940" w:rsidRPr="004A18E6" w:rsidRDefault="009E5940" w:rsidP="009E5940">
            <w:pPr>
              <w:pStyle w:val="TH"/>
              <w:spacing w:line="220" w:lineRule="exact"/>
              <w:jc w:val="right"/>
              <w:rPr>
                <w:rFonts w:asciiTheme="minorHAnsi" w:hAnsiTheme="minorHAnsi" w:cstheme="minorHAnsi"/>
                <w:szCs w:val="19"/>
                <w:lang w:val="en-US"/>
              </w:rPr>
            </w:pPr>
            <w:bookmarkStart w:id="274" w:name="_Toc4058254"/>
            <w:r w:rsidRPr="004A18E6">
              <w:rPr>
                <w:rFonts w:asciiTheme="minorHAnsi" w:hAnsiTheme="minorHAnsi" w:cstheme="minorHAnsi"/>
                <w:szCs w:val="19"/>
                <w:lang w:val="en-US"/>
              </w:rPr>
              <w:t>Bank</w:t>
            </w:r>
            <w:bookmarkEnd w:id="274"/>
          </w:p>
        </w:tc>
      </w:tr>
      <w:tr w:rsidR="009E5940" w:rsidRPr="004A18E6" w14:paraId="69A5B1DE" w14:textId="77777777" w:rsidTr="00E36929">
        <w:trPr>
          <w:trHeight w:val="278"/>
        </w:trPr>
        <w:tc>
          <w:tcPr>
            <w:tcW w:w="925" w:type="pct"/>
            <w:vAlign w:val="bottom"/>
          </w:tcPr>
          <w:p w14:paraId="11D0DE79" w14:textId="77777777" w:rsidR="009E5940" w:rsidRPr="004A18E6" w:rsidRDefault="009E5940" w:rsidP="00987F88">
            <w:pPr>
              <w:tabs>
                <w:tab w:val="left" w:pos="-720"/>
              </w:tabs>
              <w:suppressAutoHyphens/>
              <w:spacing w:after="0" w:line="220" w:lineRule="exact"/>
              <w:rPr>
                <w:rFonts w:eastAsia="Times New Roman" w:cstheme="minorHAnsi"/>
                <w:sz w:val="19"/>
                <w:szCs w:val="19"/>
                <w:lang w:val="en-US"/>
              </w:rPr>
            </w:pPr>
          </w:p>
        </w:tc>
        <w:tc>
          <w:tcPr>
            <w:tcW w:w="556" w:type="pct"/>
            <w:vAlign w:val="bottom"/>
          </w:tcPr>
          <w:p w14:paraId="14F37BCF" w14:textId="77777777" w:rsidR="009E5940" w:rsidRPr="004A18E6" w:rsidRDefault="009E5940" w:rsidP="009E5940">
            <w:pPr>
              <w:pStyle w:val="TH"/>
              <w:spacing w:line="220" w:lineRule="exact"/>
              <w:jc w:val="right"/>
              <w:rPr>
                <w:rFonts w:asciiTheme="minorHAnsi" w:hAnsiTheme="minorHAnsi" w:cstheme="minorHAnsi"/>
                <w:szCs w:val="19"/>
                <w:lang w:val="en-US"/>
              </w:rPr>
            </w:pPr>
            <w:bookmarkStart w:id="275" w:name="_Toc4058255"/>
            <w:r w:rsidRPr="004A18E6">
              <w:rPr>
                <w:rFonts w:asciiTheme="minorHAnsi" w:hAnsiTheme="minorHAnsi" w:cstheme="minorHAnsi"/>
                <w:szCs w:val="19"/>
                <w:lang w:val="en-US"/>
              </w:rPr>
              <w:t>Stage 1</w:t>
            </w:r>
            <w:bookmarkEnd w:id="275"/>
          </w:p>
        </w:tc>
        <w:tc>
          <w:tcPr>
            <w:tcW w:w="478" w:type="pct"/>
            <w:vAlign w:val="bottom"/>
          </w:tcPr>
          <w:p w14:paraId="5BE18259" w14:textId="77777777" w:rsidR="009E5940" w:rsidRPr="004A18E6" w:rsidRDefault="009E5940" w:rsidP="009E5940">
            <w:pPr>
              <w:pStyle w:val="TH"/>
              <w:spacing w:line="220" w:lineRule="exact"/>
              <w:jc w:val="right"/>
              <w:rPr>
                <w:rFonts w:asciiTheme="minorHAnsi" w:hAnsiTheme="minorHAnsi" w:cstheme="minorHAnsi"/>
                <w:szCs w:val="19"/>
                <w:lang w:val="en-US"/>
              </w:rPr>
            </w:pPr>
            <w:bookmarkStart w:id="276" w:name="_Toc4058256"/>
            <w:r w:rsidRPr="004A18E6">
              <w:rPr>
                <w:rFonts w:asciiTheme="minorHAnsi" w:hAnsiTheme="minorHAnsi" w:cstheme="minorHAnsi"/>
                <w:szCs w:val="19"/>
                <w:lang w:val="en-US"/>
              </w:rPr>
              <w:t>Stage 2</w:t>
            </w:r>
            <w:bookmarkEnd w:id="276"/>
          </w:p>
        </w:tc>
        <w:tc>
          <w:tcPr>
            <w:tcW w:w="478" w:type="pct"/>
            <w:vAlign w:val="bottom"/>
          </w:tcPr>
          <w:p w14:paraId="75527B7A" w14:textId="77777777" w:rsidR="009E5940" w:rsidRPr="004A18E6" w:rsidRDefault="009E5940" w:rsidP="009E5940">
            <w:pPr>
              <w:pStyle w:val="TH"/>
              <w:spacing w:line="220" w:lineRule="exact"/>
              <w:jc w:val="right"/>
              <w:rPr>
                <w:rFonts w:asciiTheme="minorHAnsi" w:hAnsiTheme="minorHAnsi" w:cstheme="minorHAnsi"/>
                <w:szCs w:val="19"/>
                <w:lang w:val="en-US"/>
              </w:rPr>
            </w:pPr>
            <w:bookmarkStart w:id="277" w:name="_Toc4058257"/>
            <w:r w:rsidRPr="004A18E6">
              <w:rPr>
                <w:rFonts w:asciiTheme="minorHAnsi" w:hAnsiTheme="minorHAnsi" w:cstheme="minorHAnsi"/>
                <w:szCs w:val="19"/>
                <w:lang w:val="en-US"/>
              </w:rPr>
              <w:t>Stage 3</w:t>
            </w:r>
            <w:bookmarkEnd w:id="277"/>
          </w:p>
        </w:tc>
        <w:tc>
          <w:tcPr>
            <w:tcW w:w="534" w:type="pct"/>
            <w:vAlign w:val="bottom"/>
          </w:tcPr>
          <w:p w14:paraId="7857EDC7" w14:textId="77777777" w:rsidR="009E5940" w:rsidRPr="004A18E6" w:rsidRDefault="009E5940" w:rsidP="009E5940">
            <w:pPr>
              <w:pStyle w:val="TH"/>
              <w:spacing w:line="220" w:lineRule="exact"/>
              <w:jc w:val="right"/>
              <w:rPr>
                <w:rFonts w:asciiTheme="minorHAnsi" w:hAnsiTheme="minorHAnsi" w:cstheme="minorHAnsi"/>
                <w:szCs w:val="19"/>
                <w:lang w:val="en-US"/>
              </w:rPr>
            </w:pPr>
            <w:bookmarkStart w:id="278" w:name="_Toc4058258"/>
            <w:r w:rsidRPr="004A18E6">
              <w:rPr>
                <w:rFonts w:asciiTheme="minorHAnsi" w:hAnsiTheme="minorHAnsi" w:cstheme="minorHAnsi"/>
                <w:szCs w:val="19"/>
                <w:lang w:val="en-US"/>
              </w:rPr>
              <w:t>Total</w:t>
            </w:r>
            <w:bookmarkEnd w:id="278"/>
          </w:p>
        </w:tc>
        <w:tc>
          <w:tcPr>
            <w:tcW w:w="508" w:type="pct"/>
            <w:vAlign w:val="bottom"/>
          </w:tcPr>
          <w:p w14:paraId="6049F23D" w14:textId="77777777" w:rsidR="009E5940" w:rsidRPr="004A18E6" w:rsidRDefault="009E5940" w:rsidP="009E5940">
            <w:pPr>
              <w:pStyle w:val="TH"/>
              <w:spacing w:line="220" w:lineRule="exact"/>
              <w:jc w:val="right"/>
              <w:rPr>
                <w:rFonts w:asciiTheme="minorHAnsi" w:hAnsiTheme="minorHAnsi" w:cstheme="minorHAnsi"/>
                <w:szCs w:val="19"/>
                <w:lang w:val="en-US"/>
              </w:rPr>
            </w:pPr>
            <w:bookmarkStart w:id="279" w:name="_Toc4058259"/>
            <w:r w:rsidRPr="004A18E6">
              <w:rPr>
                <w:rFonts w:asciiTheme="minorHAnsi" w:hAnsiTheme="minorHAnsi" w:cstheme="minorHAnsi"/>
                <w:szCs w:val="19"/>
                <w:lang w:val="en-US"/>
              </w:rPr>
              <w:t>Stage 1</w:t>
            </w:r>
            <w:bookmarkEnd w:id="279"/>
          </w:p>
        </w:tc>
        <w:tc>
          <w:tcPr>
            <w:tcW w:w="507" w:type="pct"/>
            <w:vAlign w:val="bottom"/>
          </w:tcPr>
          <w:p w14:paraId="0FDEED3F" w14:textId="77777777" w:rsidR="009E5940" w:rsidRPr="004A18E6" w:rsidRDefault="009E5940" w:rsidP="009E5940">
            <w:pPr>
              <w:pStyle w:val="TH"/>
              <w:spacing w:line="220" w:lineRule="exact"/>
              <w:jc w:val="right"/>
              <w:rPr>
                <w:rFonts w:asciiTheme="minorHAnsi" w:hAnsiTheme="minorHAnsi" w:cstheme="minorHAnsi"/>
                <w:szCs w:val="19"/>
                <w:lang w:val="en-US"/>
              </w:rPr>
            </w:pPr>
            <w:bookmarkStart w:id="280" w:name="_Toc4058260"/>
            <w:r w:rsidRPr="004A18E6">
              <w:rPr>
                <w:rFonts w:asciiTheme="minorHAnsi" w:hAnsiTheme="minorHAnsi" w:cstheme="minorHAnsi"/>
                <w:szCs w:val="19"/>
                <w:lang w:val="en-US"/>
              </w:rPr>
              <w:t>Stage 2</w:t>
            </w:r>
            <w:bookmarkEnd w:id="280"/>
          </w:p>
        </w:tc>
        <w:tc>
          <w:tcPr>
            <w:tcW w:w="508" w:type="pct"/>
            <w:vAlign w:val="bottom"/>
          </w:tcPr>
          <w:p w14:paraId="7640509E" w14:textId="77777777" w:rsidR="009E5940" w:rsidRPr="004A18E6" w:rsidRDefault="009E5940" w:rsidP="009E5940">
            <w:pPr>
              <w:pStyle w:val="TH"/>
              <w:spacing w:line="220" w:lineRule="exact"/>
              <w:jc w:val="right"/>
              <w:rPr>
                <w:rFonts w:asciiTheme="minorHAnsi" w:hAnsiTheme="minorHAnsi" w:cstheme="minorHAnsi"/>
                <w:szCs w:val="19"/>
                <w:lang w:val="en-US"/>
              </w:rPr>
            </w:pPr>
            <w:bookmarkStart w:id="281" w:name="_Toc4058261"/>
            <w:r w:rsidRPr="004A18E6">
              <w:rPr>
                <w:rFonts w:asciiTheme="minorHAnsi" w:hAnsiTheme="minorHAnsi" w:cstheme="minorHAnsi"/>
                <w:szCs w:val="19"/>
                <w:lang w:val="en-US"/>
              </w:rPr>
              <w:t>Stage 3</w:t>
            </w:r>
            <w:bookmarkEnd w:id="281"/>
          </w:p>
        </w:tc>
        <w:tc>
          <w:tcPr>
            <w:tcW w:w="508" w:type="pct"/>
            <w:vAlign w:val="bottom"/>
          </w:tcPr>
          <w:p w14:paraId="1C61A939" w14:textId="77777777" w:rsidR="009E5940" w:rsidRPr="004A18E6" w:rsidRDefault="009E5940" w:rsidP="009E5940">
            <w:pPr>
              <w:pStyle w:val="TH"/>
              <w:spacing w:line="220" w:lineRule="exact"/>
              <w:jc w:val="right"/>
              <w:rPr>
                <w:rFonts w:asciiTheme="minorHAnsi" w:hAnsiTheme="minorHAnsi" w:cstheme="minorHAnsi"/>
                <w:szCs w:val="19"/>
                <w:lang w:val="en-US"/>
              </w:rPr>
            </w:pPr>
            <w:bookmarkStart w:id="282" w:name="_Toc4058262"/>
            <w:r w:rsidRPr="004A18E6">
              <w:rPr>
                <w:rFonts w:asciiTheme="minorHAnsi" w:hAnsiTheme="minorHAnsi" w:cstheme="minorHAnsi"/>
                <w:szCs w:val="19"/>
                <w:lang w:val="en-US"/>
              </w:rPr>
              <w:t>Total</w:t>
            </w:r>
            <w:bookmarkEnd w:id="282"/>
          </w:p>
        </w:tc>
      </w:tr>
      <w:tr w:rsidR="009E5940" w:rsidRPr="004A18E6" w14:paraId="78F2AA0D" w14:textId="77777777" w:rsidTr="00E36929">
        <w:trPr>
          <w:trHeight w:val="278"/>
        </w:trPr>
        <w:tc>
          <w:tcPr>
            <w:tcW w:w="925" w:type="pct"/>
            <w:vAlign w:val="bottom"/>
          </w:tcPr>
          <w:p w14:paraId="14A57A67" w14:textId="77777777" w:rsidR="009E5940" w:rsidRPr="004A18E6" w:rsidRDefault="009E5940" w:rsidP="00987F88">
            <w:pPr>
              <w:tabs>
                <w:tab w:val="left" w:pos="-720"/>
              </w:tabs>
              <w:suppressAutoHyphens/>
              <w:spacing w:after="0" w:line="220" w:lineRule="exact"/>
              <w:rPr>
                <w:rFonts w:eastAsia="Times New Roman" w:cstheme="minorHAnsi"/>
                <w:sz w:val="19"/>
                <w:szCs w:val="19"/>
                <w:lang w:val="en-US"/>
              </w:rPr>
            </w:pPr>
          </w:p>
        </w:tc>
        <w:tc>
          <w:tcPr>
            <w:tcW w:w="556" w:type="pct"/>
            <w:vAlign w:val="bottom"/>
          </w:tcPr>
          <w:p w14:paraId="2B557259" w14:textId="4C5D0AA8" w:rsidR="009E5940" w:rsidRPr="004A18E6" w:rsidRDefault="009E5940" w:rsidP="009E5940">
            <w:pPr>
              <w:pStyle w:val="TH"/>
              <w:spacing w:line="220" w:lineRule="exact"/>
              <w:jc w:val="right"/>
              <w:rPr>
                <w:rFonts w:asciiTheme="minorHAnsi" w:hAnsiTheme="minorHAnsi" w:cstheme="minorHAnsi"/>
                <w:szCs w:val="19"/>
                <w:lang w:val="en-US"/>
              </w:rPr>
            </w:pPr>
            <w:bookmarkStart w:id="283" w:name="_Toc4058263"/>
            <w:r w:rsidRPr="004A18E6">
              <w:rPr>
                <w:rFonts w:asciiTheme="minorHAnsi" w:hAnsiTheme="minorHAnsi" w:cstheme="minorHAnsi"/>
                <w:szCs w:val="19"/>
                <w:lang w:val="en-US"/>
              </w:rPr>
              <w:t xml:space="preserve">HRK </w:t>
            </w:r>
            <w:r w:rsidR="00E36929">
              <w:rPr>
                <w:rFonts w:asciiTheme="minorHAnsi" w:hAnsiTheme="minorHAnsi" w:cstheme="minorHAnsi"/>
                <w:szCs w:val="19"/>
                <w:lang w:val="en-US"/>
              </w:rPr>
              <w:t>‘</w:t>
            </w:r>
            <w:r w:rsidRPr="004A18E6">
              <w:rPr>
                <w:rFonts w:asciiTheme="minorHAnsi" w:hAnsiTheme="minorHAnsi" w:cstheme="minorHAnsi"/>
                <w:szCs w:val="19"/>
                <w:lang w:val="en-US"/>
              </w:rPr>
              <w:t>000</w:t>
            </w:r>
            <w:bookmarkEnd w:id="283"/>
          </w:p>
        </w:tc>
        <w:tc>
          <w:tcPr>
            <w:tcW w:w="478" w:type="pct"/>
            <w:vAlign w:val="bottom"/>
          </w:tcPr>
          <w:p w14:paraId="08108B44" w14:textId="3407E9D1" w:rsidR="009E5940" w:rsidRPr="004A18E6" w:rsidRDefault="009E5940" w:rsidP="009E5940">
            <w:pPr>
              <w:pStyle w:val="TH"/>
              <w:spacing w:line="220" w:lineRule="exact"/>
              <w:jc w:val="right"/>
              <w:rPr>
                <w:rFonts w:asciiTheme="minorHAnsi" w:hAnsiTheme="minorHAnsi" w:cstheme="minorHAnsi"/>
                <w:szCs w:val="19"/>
                <w:lang w:val="en-US"/>
              </w:rPr>
            </w:pPr>
            <w:bookmarkStart w:id="284" w:name="_Toc4058264"/>
            <w:r w:rsidRPr="004A18E6">
              <w:rPr>
                <w:rFonts w:asciiTheme="minorHAnsi" w:hAnsiTheme="minorHAnsi" w:cstheme="minorHAnsi"/>
                <w:szCs w:val="19"/>
                <w:lang w:val="en-US"/>
              </w:rPr>
              <w:t xml:space="preserve">HRK </w:t>
            </w:r>
            <w:r w:rsidR="00E36929">
              <w:rPr>
                <w:rFonts w:asciiTheme="minorHAnsi" w:hAnsiTheme="minorHAnsi" w:cstheme="minorHAnsi"/>
                <w:szCs w:val="19"/>
                <w:lang w:val="en-US"/>
              </w:rPr>
              <w:t>‘</w:t>
            </w:r>
            <w:r w:rsidRPr="004A18E6">
              <w:rPr>
                <w:rFonts w:asciiTheme="minorHAnsi" w:hAnsiTheme="minorHAnsi" w:cstheme="minorHAnsi"/>
                <w:szCs w:val="19"/>
                <w:lang w:val="en-US"/>
              </w:rPr>
              <w:t>000</w:t>
            </w:r>
            <w:bookmarkEnd w:id="284"/>
          </w:p>
        </w:tc>
        <w:tc>
          <w:tcPr>
            <w:tcW w:w="478" w:type="pct"/>
            <w:vAlign w:val="bottom"/>
          </w:tcPr>
          <w:p w14:paraId="7DBB5563" w14:textId="6B2C0331" w:rsidR="009E5940" w:rsidRPr="004A18E6" w:rsidRDefault="009E5940" w:rsidP="009E5940">
            <w:pPr>
              <w:pStyle w:val="TH"/>
              <w:spacing w:line="220" w:lineRule="exact"/>
              <w:jc w:val="right"/>
              <w:rPr>
                <w:rFonts w:asciiTheme="minorHAnsi" w:hAnsiTheme="minorHAnsi" w:cstheme="minorHAnsi"/>
                <w:szCs w:val="19"/>
                <w:lang w:val="en-US"/>
              </w:rPr>
            </w:pPr>
            <w:bookmarkStart w:id="285" w:name="_Toc4058265"/>
            <w:r w:rsidRPr="004A18E6">
              <w:rPr>
                <w:rFonts w:asciiTheme="minorHAnsi" w:hAnsiTheme="minorHAnsi" w:cstheme="minorHAnsi"/>
                <w:szCs w:val="19"/>
                <w:lang w:val="en-US"/>
              </w:rPr>
              <w:t xml:space="preserve">HRK </w:t>
            </w:r>
            <w:r w:rsidR="00E36929">
              <w:rPr>
                <w:rFonts w:asciiTheme="minorHAnsi" w:hAnsiTheme="minorHAnsi" w:cstheme="minorHAnsi"/>
                <w:szCs w:val="19"/>
                <w:lang w:val="en-US"/>
              </w:rPr>
              <w:t>‘</w:t>
            </w:r>
            <w:r w:rsidRPr="004A18E6">
              <w:rPr>
                <w:rFonts w:asciiTheme="minorHAnsi" w:hAnsiTheme="minorHAnsi" w:cstheme="minorHAnsi"/>
                <w:szCs w:val="19"/>
                <w:lang w:val="en-US"/>
              </w:rPr>
              <w:t>000</w:t>
            </w:r>
            <w:bookmarkEnd w:id="285"/>
          </w:p>
        </w:tc>
        <w:tc>
          <w:tcPr>
            <w:tcW w:w="534" w:type="pct"/>
            <w:vAlign w:val="bottom"/>
          </w:tcPr>
          <w:p w14:paraId="16C7C52E" w14:textId="4772C79E" w:rsidR="009E5940" w:rsidRPr="004A18E6" w:rsidRDefault="009E5940" w:rsidP="009E5940">
            <w:pPr>
              <w:pStyle w:val="TH"/>
              <w:spacing w:line="220" w:lineRule="exact"/>
              <w:jc w:val="right"/>
              <w:rPr>
                <w:rFonts w:asciiTheme="minorHAnsi" w:hAnsiTheme="minorHAnsi" w:cstheme="minorHAnsi"/>
                <w:szCs w:val="19"/>
                <w:lang w:val="en-US"/>
              </w:rPr>
            </w:pPr>
            <w:bookmarkStart w:id="286" w:name="_Toc4058266"/>
            <w:r w:rsidRPr="004A18E6">
              <w:rPr>
                <w:rFonts w:asciiTheme="minorHAnsi" w:hAnsiTheme="minorHAnsi" w:cstheme="minorHAnsi"/>
                <w:szCs w:val="19"/>
                <w:lang w:val="en-US"/>
              </w:rPr>
              <w:t xml:space="preserve">HRK </w:t>
            </w:r>
            <w:r w:rsidR="00E36929">
              <w:rPr>
                <w:rFonts w:asciiTheme="minorHAnsi" w:hAnsiTheme="minorHAnsi" w:cstheme="minorHAnsi"/>
                <w:szCs w:val="19"/>
                <w:lang w:val="en-US"/>
              </w:rPr>
              <w:t>‘</w:t>
            </w:r>
            <w:r w:rsidRPr="004A18E6">
              <w:rPr>
                <w:rFonts w:asciiTheme="minorHAnsi" w:hAnsiTheme="minorHAnsi" w:cstheme="minorHAnsi"/>
                <w:szCs w:val="19"/>
                <w:lang w:val="en-US"/>
              </w:rPr>
              <w:t>000</w:t>
            </w:r>
            <w:bookmarkEnd w:id="286"/>
          </w:p>
        </w:tc>
        <w:tc>
          <w:tcPr>
            <w:tcW w:w="508" w:type="pct"/>
            <w:vAlign w:val="bottom"/>
          </w:tcPr>
          <w:p w14:paraId="08E44643" w14:textId="0F54E1EE" w:rsidR="009E5940" w:rsidRPr="004A18E6" w:rsidRDefault="009E5940" w:rsidP="009E5940">
            <w:pPr>
              <w:pStyle w:val="TH"/>
              <w:spacing w:line="220" w:lineRule="exact"/>
              <w:jc w:val="right"/>
              <w:rPr>
                <w:rFonts w:asciiTheme="minorHAnsi" w:hAnsiTheme="minorHAnsi" w:cstheme="minorHAnsi"/>
                <w:szCs w:val="19"/>
                <w:lang w:val="en-US"/>
              </w:rPr>
            </w:pPr>
            <w:bookmarkStart w:id="287" w:name="_Toc4058267"/>
            <w:r w:rsidRPr="004A18E6">
              <w:rPr>
                <w:rFonts w:asciiTheme="minorHAnsi" w:hAnsiTheme="minorHAnsi" w:cstheme="minorHAnsi"/>
                <w:szCs w:val="19"/>
                <w:lang w:val="en-US"/>
              </w:rPr>
              <w:t xml:space="preserve">HRK </w:t>
            </w:r>
            <w:r w:rsidR="00E36929">
              <w:rPr>
                <w:rFonts w:asciiTheme="minorHAnsi" w:hAnsiTheme="minorHAnsi" w:cstheme="minorHAnsi"/>
                <w:szCs w:val="19"/>
                <w:lang w:val="en-US"/>
              </w:rPr>
              <w:t>‘</w:t>
            </w:r>
            <w:r w:rsidRPr="004A18E6">
              <w:rPr>
                <w:rFonts w:asciiTheme="minorHAnsi" w:hAnsiTheme="minorHAnsi" w:cstheme="minorHAnsi"/>
                <w:szCs w:val="19"/>
                <w:lang w:val="en-US"/>
              </w:rPr>
              <w:t>000</w:t>
            </w:r>
            <w:bookmarkEnd w:id="287"/>
          </w:p>
        </w:tc>
        <w:tc>
          <w:tcPr>
            <w:tcW w:w="507" w:type="pct"/>
            <w:vAlign w:val="bottom"/>
          </w:tcPr>
          <w:p w14:paraId="386835EF" w14:textId="4CCCE90E" w:rsidR="009E5940" w:rsidRPr="004A18E6" w:rsidRDefault="009E5940" w:rsidP="009E5940">
            <w:pPr>
              <w:pStyle w:val="TH"/>
              <w:spacing w:line="220" w:lineRule="exact"/>
              <w:jc w:val="right"/>
              <w:rPr>
                <w:rFonts w:asciiTheme="minorHAnsi" w:hAnsiTheme="minorHAnsi" w:cstheme="minorHAnsi"/>
                <w:szCs w:val="19"/>
                <w:lang w:val="en-US"/>
              </w:rPr>
            </w:pPr>
            <w:bookmarkStart w:id="288" w:name="_Toc4058268"/>
            <w:r w:rsidRPr="004A18E6">
              <w:rPr>
                <w:rFonts w:asciiTheme="minorHAnsi" w:hAnsiTheme="minorHAnsi" w:cstheme="minorHAnsi"/>
                <w:szCs w:val="19"/>
                <w:lang w:val="en-US"/>
              </w:rPr>
              <w:t xml:space="preserve">HRK </w:t>
            </w:r>
            <w:r w:rsidR="00E36929">
              <w:rPr>
                <w:rFonts w:asciiTheme="minorHAnsi" w:hAnsiTheme="minorHAnsi" w:cstheme="minorHAnsi"/>
                <w:szCs w:val="19"/>
                <w:lang w:val="en-US"/>
              </w:rPr>
              <w:t>‘</w:t>
            </w:r>
            <w:r w:rsidRPr="004A18E6">
              <w:rPr>
                <w:rFonts w:asciiTheme="minorHAnsi" w:hAnsiTheme="minorHAnsi" w:cstheme="minorHAnsi"/>
                <w:szCs w:val="19"/>
                <w:lang w:val="en-US"/>
              </w:rPr>
              <w:t>000</w:t>
            </w:r>
            <w:bookmarkEnd w:id="288"/>
          </w:p>
        </w:tc>
        <w:tc>
          <w:tcPr>
            <w:tcW w:w="508" w:type="pct"/>
            <w:vAlign w:val="bottom"/>
          </w:tcPr>
          <w:p w14:paraId="10E9D124" w14:textId="20303EBF" w:rsidR="009E5940" w:rsidRPr="004A18E6" w:rsidRDefault="009E5940" w:rsidP="009E5940">
            <w:pPr>
              <w:pStyle w:val="TH"/>
              <w:spacing w:line="220" w:lineRule="exact"/>
              <w:jc w:val="right"/>
              <w:rPr>
                <w:rFonts w:asciiTheme="minorHAnsi" w:hAnsiTheme="minorHAnsi" w:cstheme="minorHAnsi"/>
                <w:szCs w:val="19"/>
                <w:lang w:val="en-US"/>
              </w:rPr>
            </w:pPr>
            <w:bookmarkStart w:id="289" w:name="_Toc4058269"/>
            <w:r w:rsidRPr="004A18E6">
              <w:rPr>
                <w:rFonts w:asciiTheme="minorHAnsi" w:hAnsiTheme="minorHAnsi" w:cstheme="minorHAnsi"/>
                <w:szCs w:val="19"/>
                <w:lang w:val="en-US"/>
              </w:rPr>
              <w:t xml:space="preserve">HRK </w:t>
            </w:r>
            <w:r w:rsidR="00E36929">
              <w:rPr>
                <w:rFonts w:asciiTheme="minorHAnsi" w:hAnsiTheme="minorHAnsi" w:cstheme="minorHAnsi"/>
                <w:szCs w:val="19"/>
                <w:lang w:val="en-US"/>
              </w:rPr>
              <w:t>‘</w:t>
            </w:r>
            <w:r w:rsidRPr="004A18E6">
              <w:rPr>
                <w:rFonts w:asciiTheme="minorHAnsi" w:hAnsiTheme="minorHAnsi" w:cstheme="minorHAnsi"/>
                <w:szCs w:val="19"/>
                <w:lang w:val="en-US"/>
              </w:rPr>
              <w:t>000</w:t>
            </w:r>
            <w:bookmarkEnd w:id="289"/>
          </w:p>
        </w:tc>
        <w:tc>
          <w:tcPr>
            <w:tcW w:w="508" w:type="pct"/>
            <w:vAlign w:val="bottom"/>
          </w:tcPr>
          <w:p w14:paraId="75091835" w14:textId="75D7A433" w:rsidR="009E5940" w:rsidRPr="004A18E6" w:rsidRDefault="009E5940" w:rsidP="009E5940">
            <w:pPr>
              <w:pStyle w:val="TH"/>
              <w:spacing w:line="220" w:lineRule="exact"/>
              <w:jc w:val="right"/>
              <w:rPr>
                <w:rFonts w:asciiTheme="minorHAnsi" w:hAnsiTheme="minorHAnsi" w:cstheme="minorHAnsi"/>
                <w:szCs w:val="19"/>
                <w:lang w:val="en-US"/>
              </w:rPr>
            </w:pPr>
            <w:bookmarkStart w:id="290" w:name="_Toc4058270"/>
            <w:r w:rsidRPr="004A18E6">
              <w:rPr>
                <w:rFonts w:asciiTheme="minorHAnsi" w:hAnsiTheme="minorHAnsi" w:cstheme="minorHAnsi"/>
                <w:szCs w:val="19"/>
                <w:lang w:val="en-US"/>
              </w:rPr>
              <w:t xml:space="preserve">HRK </w:t>
            </w:r>
            <w:r w:rsidR="00E36929">
              <w:rPr>
                <w:rFonts w:asciiTheme="minorHAnsi" w:hAnsiTheme="minorHAnsi" w:cstheme="minorHAnsi"/>
                <w:szCs w:val="19"/>
                <w:lang w:val="en-US"/>
              </w:rPr>
              <w:t>‘</w:t>
            </w:r>
            <w:r w:rsidRPr="004A18E6">
              <w:rPr>
                <w:rFonts w:asciiTheme="minorHAnsi" w:hAnsiTheme="minorHAnsi" w:cstheme="minorHAnsi"/>
                <w:szCs w:val="19"/>
                <w:lang w:val="en-US"/>
              </w:rPr>
              <w:t>000</w:t>
            </w:r>
            <w:bookmarkEnd w:id="290"/>
          </w:p>
        </w:tc>
      </w:tr>
      <w:tr w:rsidR="0083771A" w:rsidRPr="004A18E6" w14:paraId="4DB6980E" w14:textId="77777777" w:rsidTr="00E36929">
        <w:trPr>
          <w:trHeight w:val="278"/>
        </w:trPr>
        <w:tc>
          <w:tcPr>
            <w:tcW w:w="925" w:type="pct"/>
            <w:vAlign w:val="bottom"/>
          </w:tcPr>
          <w:p w14:paraId="1072BE38" w14:textId="42BE1442" w:rsidR="0083771A" w:rsidRPr="004A18E6" w:rsidRDefault="0083771A" w:rsidP="0083771A">
            <w:pPr>
              <w:pStyle w:val="TT"/>
              <w:spacing w:line="240" w:lineRule="exact"/>
              <w:rPr>
                <w:rFonts w:asciiTheme="minorHAnsi" w:hAnsiTheme="minorHAnsi" w:cstheme="minorHAnsi"/>
                <w:szCs w:val="19"/>
                <w:lang w:val="en-US"/>
              </w:rPr>
            </w:pPr>
            <w:bookmarkStart w:id="291" w:name="_Toc4058271"/>
            <w:r w:rsidRPr="004A18E6">
              <w:rPr>
                <w:rFonts w:asciiTheme="minorHAnsi" w:hAnsiTheme="minorHAnsi" w:cstheme="minorHAnsi"/>
                <w:szCs w:val="19"/>
                <w:lang w:val="en-US"/>
              </w:rPr>
              <w:t>Gross amount</w:t>
            </w:r>
            <w:bookmarkEnd w:id="291"/>
          </w:p>
        </w:tc>
        <w:tc>
          <w:tcPr>
            <w:tcW w:w="556" w:type="pct"/>
            <w:tcBorders>
              <w:top w:val="nil"/>
              <w:left w:val="nil"/>
              <w:bottom w:val="nil"/>
              <w:right w:val="nil"/>
            </w:tcBorders>
            <w:shd w:val="clear" w:color="auto" w:fill="auto"/>
            <w:vAlign w:val="bottom"/>
          </w:tcPr>
          <w:p w14:paraId="1CF829CF" w14:textId="74767682" w:rsidR="0083771A" w:rsidRPr="004A18E6" w:rsidRDefault="0083771A" w:rsidP="0083771A">
            <w:pPr>
              <w:pStyle w:val="TT"/>
              <w:spacing w:line="240" w:lineRule="exact"/>
              <w:jc w:val="right"/>
              <w:rPr>
                <w:rFonts w:asciiTheme="minorHAnsi" w:hAnsiTheme="minorHAnsi" w:cstheme="minorHAnsi"/>
                <w:szCs w:val="19"/>
                <w:lang w:val="en-US"/>
              </w:rPr>
            </w:pPr>
            <w:r w:rsidRPr="004A18E6">
              <w:rPr>
                <w:rFonts w:asciiTheme="minorHAnsi" w:hAnsiTheme="minorHAnsi" w:cstheme="minorHAnsi"/>
                <w:szCs w:val="19"/>
              </w:rPr>
              <w:t xml:space="preserve"> 1</w:t>
            </w:r>
            <w:r w:rsidR="00631A56">
              <w:rPr>
                <w:rFonts w:asciiTheme="minorHAnsi" w:hAnsiTheme="minorHAnsi" w:cstheme="minorHAnsi"/>
                <w:szCs w:val="19"/>
              </w:rPr>
              <w:t>,</w:t>
            </w:r>
            <w:r w:rsidRPr="004A18E6">
              <w:rPr>
                <w:rFonts w:asciiTheme="minorHAnsi" w:hAnsiTheme="minorHAnsi" w:cstheme="minorHAnsi"/>
                <w:szCs w:val="19"/>
              </w:rPr>
              <w:t>578</w:t>
            </w:r>
            <w:r w:rsidR="00631A56">
              <w:rPr>
                <w:rFonts w:asciiTheme="minorHAnsi" w:hAnsiTheme="minorHAnsi" w:cstheme="minorHAnsi"/>
                <w:szCs w:val="19"/>
              </w:rPr>
              <w:t>,</w:t>
            </w:r>
            <w:r w:rsidRPr="004A18E6">
              <w:rPr>
                <w:rFonts w:asciiTheme="minorHAnsi" w:hAnsiTheme="minorHAnsi" w:cstheme="minorHAnsi"/>
                <w:szCs w:val="19"/>
              </w:rPr>
              <w:t xml:space="preserve">829 </w:t>
            </w:r>
          </w:p>
        </w:tc>
        <w:tc>
          <w:tcPr>
            <w:tcW w:w="478" w:type="pct"/>
            <w:tcBorders>
              <w:top w:val="nil"/>
              <w:left w:val="nil"/>
              <w:bottom w:val="nil"/>
              <w:right w:val="nil"/>
            </w:tcBorders>
            <w:shd w:val="clear" w:color="auto" w:fill="auto"/>
            <w:vAlign w:val="bottom"/>
          </w:tcPr>
          <w:p w14:paraId="7768BE44" w14:textId="166A1662" w:rsidR="0083771A" w:rsidRPr="004A18E6" w:rsidRDefault="0083771A" w:rsidP="0083771A">
            <w:pPr>
              <w:pStyle w:val="TT"/>
              <w:spacing w:line="240" w:lineRule="exact"/>
              <w:jc w:val="right"/>
              <w:rPr>
                <w:rFonts w:asciiTheme="minorHAnsi" w:hAnsiTheme="minorHAnsi" w:cstheme="minorHAnsi"/>
                <w:szCs w:val="19"/>
                <w:lang w:val="en-US"/>
              </w:rPr>
            </w:pPr>
            <w:r w:rsidRPr="004A18E6">
              <w:rPr>
                <w:rFonts w:asciiTheme="minorHAnsi" w:hAnsiTheme="minorHAnsi" w:cstheme="minorHAnsi"/>
                <w:color w:val="000000"/>
                <w:szCs w:val="19"/>
              </w:rPr>
              <w:t>-</w:t>
            </w:r>
          </w:p>
        </w:tc>
        <w:tc>
          <w:tcPr>
            <w:tcW w:w="478" w:type="pct"/>
            <w:tcBorders>
              <w:top w:val="nil"/>
              <w:left w:val="nil"/>
              <w:bottom w:val="nil"/>
              <w:right w:val="nil"/>
            </w:tcBorders>
            <w:shd w:val="clear" w:color="auto" w:fill="auto"/>
            <w:vAlign w:val="bottom"/>
          </w:tcPr>
          <w:p w14:paraId="08582F44" w14:textId="7EE97049" w:rsidR="0083771A" w:rsidRPr="004A18E6" w:rsidRDefault="0083771A" w:rsidP="0083771A">
            <w:pPr>
              <w:pStyle w:val="TT"/>
              <w:spacing w:line="240" w:lineRule="exact"/>
              <w:jc w:val="right"/>
              <w:rPr>
                <w:rFonts w:asciiTheme="minorHAnsi" w:hAnsiTheme="minorHAnsi" w:cstheme="minorHAnsi"/>
                <w:szCs w:val="19"/>
                <w:lang w:val="en-US"/>
              </w:rPr>
            </w:pPr>
            <w:r w:rsidRPr="004A18E6">
              <w:rPr>
                <w:rFonts w:asciiTheme="minorHAnsi" w:hAnsiTheme="minorHAnsi" w:cstheme="minorHAnsi"/>
                <w:color w:val="000000"/>
                <w:szCs w:val="19"/>
              </w:rPr>
              <w:t>-</w:t>
            </w:r>
          </w:p>
        </w:tc>
        <w:tc>
          <w:tcPr>
            <w:tcW w:w="534" w:type="pct"/>
            <w:tcBorders>
              <w:top w:val="nil"/>
              <w:left w:val="nil"/>
              <w:bottom w:val="nil"/>
              <w:right w:val="nil"/>
            </w:tcBorders>
            <w:shd w:val="clear" w:color="auto" w:fill="auto"/>
            <w:vAlign w:val="bottom"/>
          </w:tcPr>
          <w:p w14:paraId="3A1A0138" w14:textId="717DD341" w:rsidR="0083771A" w:rsidRPr="004A18E6" w:rsidRDefault="0083771A" w:rsidP="0083771A">
            <w:pPr>
              <w:pStyle w:val="TT"/>
              <w:spacing w:line="240" w:lineRule="exact"/>
              <w:jc w:val="right"/>
              <w:rPr>
                <w:rFonts w:asciiTheme="minorHAnsi" w:hAnsiTheme="minorHAnsi" w:cstheme="minorHAnsi"/>
                <w:b/>
                <w:bCs/>
                <w:szCs w:val="19"/>
                <w:lang w:val="en-US"/>
              </w:rPr>
            </w:pPr>
            <w:r w:rsidRPr="004A18E6">
              <w:rPr>
                <w:rFonts w:asciiTheme="minorHAnsi" w:hAnsiTheme="minorHAnsi" w:cstheme="minorHAnsi"/>
                <w:b/>
                <w:bCs/>
                <w:szCs w:val="19"/>
              </w:rPr>
              <w:t xml:space="preserve"> 1</w:t>
            </w:r>
            <w:r w:rsidR="00631A56">
              <w:rPr>
                <w:rFonts w:asciiTheme="minorHAnsi" w:hAnsiTheme="minorHAnsi" w:cstheme="minorHAnsi"/>
                <w:b/>
                <w:bCs/>
                <w:szCs w:val="19"/>
              </w:rPr>
              <w:t>,</w:t>
            </w:r>
            <w:r w:rsidRPr="004A18E6">
              <w:rPr>
                <w:rFonts w:asciiTheme="minorHAnsi" w:hAnsiTheme="minorHAnsi" w:cstheme="minorHAnsi"/>
                <w:b/>
                <w:bCs/>
                <w:szCs w:val="19"/>
              </w:rPr>
              <w:t>578</w:t>
            </w:r>
            <w:r w:rsidR="00631A56">
              <w:rPr>
                <w:rFonts w:asciiTheme="minorHAnsi" w:hAnsiTheme="minorHAnsi" w:cstheme="minorHAnsi"/>
                <w:b/>
                <w:bCs/>
                <w:szCs w:val="19"/>
              </w:rPr>
              <w:t>,</w:t>
            </w:r>
            <w:r w:rsidRPr="004A18E6">
              <w:rPr>
                <w:rFonts w:asciiTheme="minorHAnsi" w:hAnsiTheme="minorHAnsi" w:cstheme="minorHAnsi"/>
                <w:b/>
                <w:bCs/>
                <w:szCs w:val="19"/>
              </w:rPr>
              <w:t xml:space="preserve">829 </w:t>
            </w:r>
          </w:p>
        </w:tc>
        <w:tc>
          <w:tcPr>
            <w:tcW w:w="508" w:type="pct"/>
            <w:tcBorders>
              <w:top w:val="nil"/>
              <w:left w:val="nil"/>
              <w:bottom w:val="nil"/>
              <w:right w:val="nil"/>
            </w:tcBorders>
            <w:shd w:val="clear" w:color="auto" w:fill="auto"/>
            <w:vAlign w:val="bottom"/>
          </w:tcPr>
          <w:p w14:paraId="12ADA00E" w14:textId="427831FF" w:rsidR="0083771A" w:rsidRPr="004A18E6" w:rsidRDefault="0083771A" w:rsidP="0083771A">
            <w:pPr>
              <w:pStyle w:val="TT"/>
              <w:spacing w:line="240" w:lineRule="exact"/>
              <w:jc w:val="right"/>
              <w:rPr>
                <w:rFonts w:asciiTheme="minorHAnsi" w:hAnsiTheme="minorHAnsi" w:cstheme="minorHAnsi"/>
                <w:szCs w:val="19"/>
                <w:lang w:val="en-US"/>
              </w:rPr>
            </w:pPr>
            <w:r w:rsidRPr="004A18E6">
              <w:rPr>
                <w:rFonts w:asciiTheme="minorHAnsi" w:hAnsiTheme="minorHAnsi" w:cstheme="minorHAnsi"/>
                <w:szCs w:val="19"/>
              </w:rPr>
              <w:t xml:space="preserve"> 1</w:t>
            </w:r>
            <w:r w:rsidR="00631A56">
              <w:rPr>
                <w:rFonts w:asciiTheme="minorHAnsi" w:hAnsiTheme="minorHAnsi" w:cstheme="minorHAnsi"/>
                <w:szCs w:val="19"/>
              </w:rPr>
              <w:t>,</w:t>
            </w:r>
            <w:r w:rsidRPr="004A18E6">
              <w:rPr>
                <w:rFonts w:asciiTheme="minorHAnsi" w:hAnsiTheme="minorHAnsi" w:cstheme="minorHAnsi"/>
                <w:szCs w:val="19"/>
              </w:rPr>
              <w:t>572</w:t>
            </w:r>
            <w:r w:rsidR="00631A56">
              <w:rPr>
                <w:rFonts w:asciiTheme="minorHAnsi" w:hAnsiTheme="minorHAnsi" w:cstheme="minorHAnsi"/>
                <w:szCs w:val="19"/>
              </w:rPr>
              <w:t>,</w:t>
            </w:r>
            <w:r w:rsidRPr="004A18E6">
              <w:rPr>
                <w:rFonts w:asciiTheme="minorHAnsi" w:hAnsiTheme="minorHAnsi" w:cstheme="minorHAnsi"/>
                <w:szCs w:val="19"/>
              </w:rPr>
              <w:t xml:space="preserve">460 </w:t>
            </w:r>
          </w:p>
        </w:tc>
        <w:tc>
          <w:tcPr>
            <w:tcW w:w="507" w:type="pct"/>
            <w:tcBorders>
              <w:top w:val="nil"/>
              <w:left w:val="nil"/>
              <w:bottom w:val="nil"/>
              <w:right w:val="nil"/>
            </w:tcBorders>
            <w:shd w:val="clear" w:color="auto" w:fill="auto"/>
            <w:vAlign w:val="bottom"/>
          </w:tcPr>
          <w:p w14:paraId="29E20357" w14:textId="35963A06" w:rsidR="0083771A" w:rsidRPr="004A18E6" w:rsidRDefault="0083771A" w:rsidP="0083771A">
            <w:pPr>
              <w:pStyle w:val="TT"/>
              <w:spacing w:line="240" w:lineRule="exact"/>
              <w:jc w:val="right"/>
              <w:rPr>
                <w:rFonts w:asciiTheme="minorHAnsi" w:hAnsiTheme="minorHAnsi" w:cstheme="minorHAnsi"/>
                <w:szCs w:val="19"/>
                <w:lang w:val="en-US"/>
              </w:rPr>
            </w:pPr>
            <w:r w:rsidRPr="004A18E6">
              <w:rPr>
                <w:rFonts w:asciiTheme="minorHAnsi" w:hAnsiTheme="minorHAnsi" w:cstheme="minorHAnsi"/>
                <w:color w:val="000000"/>
                <w:szCs w:val="19"/>
              </w:rPr>
              <w:t>-</w:t>
            </w:r>
          </w:p>
        </w:tc>
        <w:tc>
          <w:tcPr>
            <w:tcW w:w="508" w:type="pct"/>
            <w:tcBorders>
              <w:top w:val="nil"/>
              <w:left w:val="nil"/>
              <w:bottom w:val="nil"/>
              <w:right w:val="nil"/>
            </w:tcBorders>
            <w:shd w:val="clear" w:color="auto" w:fill="auto"/>
            <w:vAlign w:val="bottom"/>
          </w:tcPr>
          <w:p w14:paraId="5EA6FAAB" w14:textId="5F3CCDD2" w:rsidR="0083771A" w:rsidRPr="004A18E6" w:rsidRDefault="0083771A" w:rsidP="0083771A">
            <w:pPr>
              <w:pStyle w:val="TT"/>
              <w:spacing w:line="240" w:lineRule="exact"/>
              <w:jc w:val="right"/>
              <w:rPr>
                <w:rFonts w:asciiTheme="minorHAnsi" w:hAnsiTheme="minorHAnsi" w:cstheme="minorHAnsi"/>
                <w:szCs w:val="19"/>
                <w:lang w:val="en-US"/>
              </w:rPr>
            </w:pPr>
            <w:r w:rsidRPr="004A18E6">
              <w:rPr>
                <w:rFonts w:asciiTheme="minorHAnsi" w:hAnsiTheme="minorHAnsi" w:cstheme="minorHAnsi"/>
                <w:color w:val="000000"/>
                <w:szCs w:val="19"/>
              </w:rPr>
              <w:t>-</w:t>
            </w:r>
          </w:p>
        </w:tc>
        <w:tc>
          <w:tcPr>
            <w:tcW w:w="508" w:type="pct"/>
            <w:tcBorders>
              <w:top w:val="nil"/>
              <w:left w:val="nil"/>
              <w:bottom w:val="nil"/>
              <w:right w:val="nil"/>
            </w:tcBorders>
            <w:shd w:val="clear" w:color="auto" w:fill="auto"/>
            <w:vAlign w:val="bottom"/>
          </w:tcPr>
          <w:p w14:paraId="46EB58B3" w14:textId="39261E23" w:rsidR="0083771A" w:rsidRPr="004A18E6" w:rsidRDefault="0083771A" w:rsidP="0083771A">
            <w:pPr>
              <w:pStyle w:val="TT"/>
              <w:spacing w:line="240" w:lineRule="exact"/>
              <w:jc w:val="right"/>
              <w:rPr>
                <w:rFonts w:asciiTheme="minorHAnsi" w:hAnsiTheme="minorHAnsi" w:cstheme="minorHAnsi"/>
                <w:b/>
                <w:bCs/>
                <w:szCs w:val="19"/>
                <w:lang w:val="en-US"/>
              </w:rPr>
            </w:pPr>
            <w:r w:rsidRPr="004A18E6">
              <w:rPr>
                <w:rFonts w:asciiTheme="minorHAnsi" w:hAnsiTheme="minorHAnsi" w:cstheme="minorHAnsi"/>
                <w:b/>
                <w:bCs/>
                <w:szCs w:val="19"/>
              </w:rPr>
              <w:t xml:space="preserve"> 1</w:t>
            </w:r>
            <w:r w:rsidR="00631A56">
              <w:rPr>
                <w:rFonts w:asciiTheme="minorHAnsi" w:hAnsiTheme="minorHAnsi" w:cstheme="minorHAnsi"/>
                <w:b/>
                <w:bCs/>
                <w:szCs w:val="19"/>
              </w:rPr>
              <w:t>,</w:t>
            </w:r>
            <w:r w:rsidRPr="004A18E6">
              <w:rPr>
                <w:rFonts w:asciiTheme="minorHAnsi" w:hAnsiTheme="minorHAnsi" w:cstheme="minorHAnsi"/>
                <w:b/>
                <w:bCs/>
                <w:szCs w:val="19"/>
              </w:rPr>
              <w:t>572</w:t>
            </w:r>
            <w:r w:rsidR="00631A56">
              <w:rPr>
                <w:rFonts w:asciiTheme="minorHAnsi" w:hAnsiTheme="minorHAnsi" w:cstheme="minorHAnsi"/>
                <w:b/>
                <w:bCs/>
                <w:szCs w:val="19"/>
              </w:rPr>
              <w:t>,</w:t>
            </w:r>
            <w:r w:rsidRPr="004A18E6">
              <w:rPr>
                <w:rFonts w:asciiTheme="minorHAnsi" w:hAnsiTheme="minorHAnsi" w:cstheme="minorHAnsi"/>
                <w:b/>
                <w:bCs/>
                <w:szCs w:val="19"/>
              </w:rPr>
              <w:t xml:space="preserve">460 </w:t>
            </w:r>
          </w:p>
        </w:tc>
      </w:tr>
      <w:tr w:rsidR="0083771A" w:rsidRPr="004A18E6" w14:paraId="1E5240EE" w14:textId="77777777" w:rsidTr="00E36929">
        <w:trPr>
          <w:trHeight w:val="278"/>
        </w:trPr>
        <w:tc>
          <w:tcPr>
            <w:tcW w:w="925" w:type="pct"/>
            <w:vAlign w:val="bottom"/>
          </w:tcPr>
          <w:p w14:paraId="70F4206F" w14:textId="3A188306" w:rsidR="0083771A" w:rsidRPr="004A18E6" w:rsidRDefault="0083771A" w:rsidP="0083771A">
            <w:pPr>
              <w:pStyle w:val="TT"/>
              <w:spacing w:line="240" w:lineRule="exact"/>
              <w:rPr>
                <w:rFonts w:asciiTheme="minorHAnsi" w:hAnsiTheme="minorHAnsi" w:cstheme="minorHAnsi"/>
                <w:szCs w:val="19"/>
                <w:lang w:val="en-US"/>
              </w:rPr>
            </w:pPr>
            <w:bookmarkStart w:id="292" w:name="_Toc4058280"/>
            <w:r w:rsidRPr="004A18E6">
              <w:rPr>
                <w:rFonts w:asciiTheme="minorHAnsi" w:hAnsiTheme="minorHAnsi" w:cstheme="minorHAnsi"/>
                <w:szCs w:val="19"/>
                <w:lang w:val="en-US"/>
              </w:rPr>
              <w:t>Loss allowances</w:t>
            </w:r>
            <w:bookmarkEnd w:id="292"/>
          </w:p>
        </w:tc>
        <w:tc>
          <w:tcPr>
            <w:tcW w:w="556" w:type="pct"/>
            <w:tcBorders>
              <w:top w:val="nil"/>
              <w:left w:val="nil"/>
              <w:bottom w:val="nil"/>
              <w:right w:val="nil"/>
            </w:tcBorders>
            <w:shd w:val="clear" w:color="auto" w:fill="auto"/>
            <w:vAlign w:val="bottom"/>
          </w:tcPr>
          <w:p w14:paraId="608D29E0" w14:textId="027E401C" w:rsidR="0083771A" w:rsidRPr="004A18E6" w:rsidRDefault="0083771A" w:rsidP="0083771A">
            <w:pPr>
              <w:pStyle w:val="TT"/>
              <w:spacing w:line="240" w:lineRule="exact"/>
              <w:jc w:val="right"/>
              <w:rPr>
                <w:rFonts w:asciiTheme="minorHAnsi" w:hAnsiTheme="minorHAnsi" w:cstheme="minorHAnsi"/>
                <w:szCs w:val="19"/>
                <w:lang w:val="en-US"/>
              </w:rPr>
            </w:pPr>
            <w:r w:rsidRPr="004A18E6">
              <w:rPr>
                <w:rFonts w:asciiTheme="minorHAnsi" w:hAnsiTheme="minorHAnsi" w:cstheme="minorHAnsi"/>
                <w:szCs w:val="19"/>
              </w:rPr>
              <w:t xml:space="preserve"> (1</w:t>
            </w:r>
            <w:r w:rsidR="00631A56">
              <w:rPr>
                <w:rFonts w:asciiTheme="minorHAnsi" w:hAnsiTheme="minorHAnsi" w:cstheme="minorHAnsi"/>
                <w:szCs w:val="19"/>
              </w:rPr>
              <w:t>,</w:t>
            </w:r>
            <w:r w:rsidRPr="004A18E6">
              <w:rPr>
                <w:rFonts w:asciiTheme="minorHAnsi" w:hAnsiTheme="minorHAnsi" w:cstheme="minorHAnsi"/>
                <w:szCs w:val="19"/>
              </w:rPr>
              <w:t>262)</w:t>
            </w:r>
          </w:p>
        </w:tc>
        <w:tc>
          <w:tcPr>
            <w:tcW w:w="478" w:type="pct"/>
            <w:tcBorders>
              <w:top w:val="nil"/>
              <w:left w:val="nil"/>
              <w:bottom w:val="nil"/>
              <w:right w:val="nil"/>
            </w:tcBorders>
            <w:shd w:val="clear" w:color="auto" w:fill="auto"/>
            <w:vAlign w:val="bottom"/>
          </w:tcPr>
          <w:p w14:paraId="228C516A" w14:textId="53DEB258" w:rsidR="0083771A" w:rsidRPr="004A18E6" w:rsidRDefault="0083771A" w:rsidP="0083771A">
            <w:pPr>
              <w:pStyle w:val="TT"/>
              <w:spacing w:line="240" w:lineRule="exact"/>
              <w:jc w:val="right"/>
              <w:rPr>
                <w:rFonts w:asciiTheme="minorHAnsi" w:hAnsiTheme="minorHAnsi" w:cstheme="minorHAnsi"/>
                <w:szCs w:val="19"/>
                <w:lang w:val="en-US"/>
              </w:rPr>
            </w:pPr>
            <w:r w:rsidRPr="004A18E6">
              <w:rPr>
                <w:rFonts w:asciiTheme="minorHAnsi" w:hAnsiTheme="minorHAnsi" w:cstheme="minorHAnsi"/>
                <w:color w:val="000000"/>
                <w:szCs w:val="19"/>
              </w:rPr>
              <w:t>-</w:t>
            </w:r>
          </w:p>
        </w:tc>
        <w:tc>
          <w:tcPr>
            <w:tcW w:w="478" w:type="pct"/>
            <w:tcBorders>
              <w:top w:val="nil"/>
              <w:left w:val="nil"/>
              <w:bottom w:val="nil"/>
              <w:right w:val="nil"/>
            </w:tcBorders>
            <w:shd w:val="clear" w:color="auto" w:fill="auto"/>
            <w:vAlign w:val="bottom"/>
          </w:tcPr>
          <w:p w14:paraId="7C1C1D94" w14:textId="216CAB1E" w:rsidR="0083771A" w:rsidRPr="004A18E6" w:rsidRDefault="0083771A" w:rsidP="0083771A">
            <w:pPr>
              <w:pStyle w:val="TT"/>
              <w:spacing w:line="240" w:lineRule="exact"/>
              <w:jc w:val="right"/>
              <w:rPr>
                <w:rFonts w:asciiTheme="minorHAnsi" w:hAnsiTheme="minorHAnsi" w:cstheme="minorHAnsi"/>
                <w:szCs w:val="19"/>
                <w:lang w:val="en-US"/>
              </w:rPr>
            </w:pPr>
            <w:r w:rsidRPr="004A18E6">
              <w:rPr>
                <w:rFonts w:asciiTheme="minorHAnsi" w:hAnsiTheme="minorHAnsi" w:cstheme="minorHAnsi"/>
                <w:color w:val="000000"/>
                <w:szCs w:val="19"/>
              </w:rPr>
              <w:t>-</w:t>
            </w:r>
          </w:p>
        </w:tc>
        <w:tc>
          <w:tcPr>
            <w:tcW w:w="534" w:type="pct"/>
            <w:tcBorders>
              <w:top w:val="nil"/>
              <w:left w:val="nil"/>
              <w:bottom w:val="nil"/>
              <w:right w:val="nil"/>
            </w:tcBorders>
            <w:shd w:val="clear" w:color="auto" w:fill="auto"/>
            <w:vAlign w:val="bottom"/>
          </w:tcPr>
          <w:p w14:paraId="5DA7C14E" w14:textId="5E3990DF" w:rsidR="0083771A" w:rsidRPr="004A18E6" w:rsidRDefault="0083771A" w:rsidP="0083771A">
            <w:pPr>
              <w:pStyle w:val="TT"/>
              <w:spacing w:line="240" w:lineRule="exact"/>
              <w:jc w:val="right"/>
              <w:rPr>
                <w:rFonts w:asciiTheme="minorHAnsi" w:hAnsiTheme="minorHAnsi" w:cstheme="minorHAnsi"/>
                <w:b/>
                <w:bCs/>
                <w:szCs w:val="19"/>
                <w:lang w:val="en-US"/>
              </w:rPr>
            </w:pPr>
            <w:r w:rsidRPr="004A18E6">
              <w:rPr>
                <w:rFonts w:asciiTheme="minorHAnsi" w:hAnsiTheme="minorHAnsi" w:cstheme="minorHAnsi"/>
                <w:b/>
                <w:bCs/>
                <w:szCs w:val="19"/>
              </w:rPr>
              <w:t xml:space="preserve"> (1</w:t>
            </w:r>
            <w:r w:rsidR="00631A56">
              <w:rPr>
                <w:rFonts w:asciiTheme="minorHAnsi" w:hAnsiTheme="minorHAnsi" w:cstheme="minorHAnsi"/>
                <w:b/>
                <w:bCs/>
                <w:szCs w:val="19"/>
              </w:rPr>
              <w:t>,</w:t>
            </w:r>
            <w:r w:rsidRPr="004A18E6">
              <w:rPr>
                <w:rFonts w:asciiTheme="minorHAnsi" w:hAnsiTheme="minorHAnsi" w:cstheme="minorHAnsi"/>
                <w:b/>
                <w:bCs/>
                <w:szCs w:val="19"/>
              </w:rPr>
              <w:t>262)</w:t>
            </w:r>
          </w:p>
        </w:tc>
        <w:tc>
          <w:tcPr>
            <w:tcW w:w="508" w:type="pct"/>
            <w:tcBorders>
              <w:top w:val="nil"/>
              <w:left w:val="nil"/>
              <w:bottom w:val="nil"/>
              <w:right w:val="nil"/>
            </w:tcBorders>
            <w:shd w:val="clear" w:color="auto" w:fill="auto"/>
            <w:vAlign w:val="bottom"/>
          </w:tcPr>
          <w:p w14:paraId="07AFC7FF" w14:textId="46BDFC87" w:rsidR="0083771A" w:rsidRPr="004A18E6" w:rsidRDefault="0083771A" w:rsidP="0083771A">
            <w:pPr>
              <w:pStyle w:val="TT"/>
              <w:spacing w:line="240" w:lineRule="exact"/>
              <w:jc w:val="right"/>
              <w:rPr>
                <w:rFonts w:asciiTheme="minorHAnsi" w:hAnsiTheme="minorHAnsi" w:cstheme="minorHAnsi"/>
                <w:szCs w:val="19"/>
                <w:lang w:val="en-US"/>
              </w:rPr>
            </w:pPr>
            <w:r w:rsidRPr="004A18E6">
              <w:rPr>
                <w:rFonts w:asciiTheme="minorHAnsi" w:hAnsiTheme="minorHAnsi" w:cstheme="minorHAnsi"/>
                <w:szCs w:val="19"/>
              </w:rPr>
              <w:t xml:space="preserve"> (1</w:t>
            </w:r>
            <w:r w:rsidR="00631A56">
              <w:rPr>
                <w:rFonts w:asciiTheme="minorHAnsi" w:hAnsiTheme="minorHAnsi" w:cstheme="minorHAnsi"/>
                <w:szCs w:val="19"/>
              </w:rPr>
              <w:t>,</w:t>
            </w:r>
            <w:r w:rsidRPr="004A18E6">
              <w:rPr>
                <w:rFonts w:asciiTheme="minorHAnsi" w:hAnsiTheme="minorHAnsi" w:cstheme="minorHAnsi"/>
                <w:szCs w:val="19"/>
              </w:rPr>
              <w:t>255)</w:t>
            </w:r>
          </w:p>
        </w:tc>
        <w:tc>
          <w:tcPr>
            <w:tcW w:w="507" w:type="pct"/>
            <w:tcBorders>
              <w:top w:val="nil"/>
              <w:left w:val="nil"/>
              <w:bottom w:val="nil"/>
              <w:right w:val="nil"/>
            </w:tcBorders>
            <w:shd w:val="clear" w:color="auto" w:fill="auto"/>
            <w:vAlign w:val="bottom"/>
          </w:tcPr>
          <w:p w14:paraId="7D98425F" w14:textId="52CF1F1F" w:rsidR="0083771A" w:rsidRPr="004A18E6" w:rsidRDefault="0083771A" w:rsidP="0083771A">
            <w:pPr>
              <w:pStyle w:val="TT"/>
              <w:spacing w:line="240" w:lineRule="exact"/>
              <w:jc w:val="right"/>
              <w:rPr>
                <w:rFonts w:asciiTheme="minorHAnsi" w:hAnsiTheme="minorHAnsi" w:cstheme="minorHAnsi"/>
                <w:szCs w:val="19"/>
                <w:lang w:val="en-US"/>
              </w:rPr>
            </w:pPr>
            <w:r w:rsidRPr="004A18E6">
              <w:rPr>
                <w:rFonts w:asciiTheme="minorHAnsi" w:hAnsiTheme="minorHAnsi" w:cstheme="minorHAnsi"/>
                <w:color w:val="000000"/>
                <w:szCs w:val="19"/>
              </w:rPr>
              <w:t>-</w:t>
            </w:r>
          </w:p>
        </w:tc>
        <w:tc>
          <w:tcPr>
            <w:tcW w:w="508" w:type="pct"/>
            <w:tcBorders>
              <w:top w:val="nil"/>
              <w:left w:val="nil"/>
              <w:bottom w:val="nil"/>
              <w:right w:val="nil"/>
            </w:tcBorders>
            <w:shd w:val="clear" w:color="auto" w:fill="auto"/>
            <w:vAlign w:val="bottom"/>
          </w:tcPr>
          <w:p w14:paraId="55373451" w14:textId="6EE9CCE3" w:rsidR="0083771A" w:rsidRPr="004A18E6" w:rsidRDefault="0083771A" w:rsidP="0083771A">
            <w:pPr>
              <w:pStyle w:val="TT"/>
              <w:spacing w:line="240" w:lineRule="exact"/>
              <w:jc w:val="right"/>
              <w:rPr>
                <w:rFonts w:asciiTheme="minorHAnsi" w:hAnsiTheme="minorHAnsi" w:cstheme="minorHAnsi"/>
                <w:szCs w:val="19"/>
                <w:lang w:val="en-US"/>
              </w:rPr>
            </w:pPr>
            <w:r w:rsidRPr="004A18E6">
              <w:rPr>
                <w:rFonts w:asciiTheme="minorHAnsi" w:hAnsiTheme="minorHAnsi" w:cstheme="minorHAnsi"/>
                <w:color w:val="000000"/>
                <w:szCs w:val="19"/>
              </w:rPr>
              <w:t>-</w:t>
            </w:r>
          </w:p>
        </w:tc>
        <w:tc>
          <w:tcPr>
            <w:tcW w:w="508" w:type="pct"/>
            <w:tcBorders>
              <w:top w:val="nil"/>
              <w:left w:val="nil"/>
              <w:bottom w:val="nil"/>
              <w:right w:val="nil"/>
            </w:tcBorders>
            <w:shd w:val="clear" w:color="auto" w:fill="auto"/>
            <w:vAlign w:val="bottom"/>
          </w:tcPr>
          <w:p w14:paraId="41DEE05E" w14:textId="303F7CD6" w:rsidR="0083771A" w:rsidRPr="004A18E6" w:rsidRDefault="0083771A" w:rsidP="0083771A">
            <w:pPr>
              <w:pStyle w:val="TT"/>
              <w:spacing w:line="240" w:lineRule="exact"/>
              <w:jc w:val="right"/>
              <w:rPr>
                <w:rFonts w:asciiTheme="minorHAnsi" w:hAnsiTheme="minorHAnsi" w:cstheme="minorHAnsi"/>
                <w:b/>
                <w:bCs/>
                <w:szCs w:val="19"/>
                <w:lang w:val="en-US"/>
              </w:rPr>
            </w:pPr>
            <w:r w:rsidRPr="004A18E6">
              <w:rPr>
                <w:rFonts w:asciiTheme="minorHAnsi" w:hAnsiTheme="minorHAnsi" w:cstheme="minorHAnsi"/>
                <w:b/>
                <w:bCs/>
                <w:szCs w:val="19"/>
              </w:rPr>
              <w:t xml:space="preserve"> (1</w:t>
            </w:r>
            <w:r w:rsidR="00631A56">
              <w:rPr>
                <w:rFonts w:asciiTheme="minorHAnsi" w:hAnsiTheme="minorHAnsi" w:cstheme="minorHAnsi"/>
                <w:b/>
                <w:bCs/>
                <w:szCs w:val="19"/>
              </w:rPr>
              <w:t>,</w:t>
            </w:r>
            <w:r w:rsidRPr="004A18E6">
              <w:rPr>
                <w:rFonts w:asciiTheme="minorHAnsi" w:hAnsiTheme="minorHAnsi" w:cstheme="minorHAnsi"/>
                <w:b/>
                <w:bCs/>
                <w:szCs w:val="19"/>
              </w:rPr>
              <w:t>255)</w:t>
            </w:r>
          </w:p>
        </w:tc>
      </w:tr>
      <w:tr w:rsidR="0083771A" w:rsidRPr="004A18E6" w14:paraId="23611765" w14:textId="77777777" w:rsidTr="00E36929">
        <w:trPr>
          <w:trHeight w:val="510"/>
        </w:trPr>
        <w:tc>
          <w:tcPr>
            <w:tcW w:w="925" w:type="pct"/>
            <w:vAlign w:val="bottom"/>
          </w:tcPr>
          <w:p w14:paraId="5491A893" w14:textId="3AFC3DC3" w:rsidR="0083771A" w:rsidRPr="004A18E6" w:rsidRDefault="0083771A" w:rsidP="0083771A">
            <w:pPr>
              <w:pStyle w:val="TT"/>
              <w:spacing w:line="240" w:lineRule="exact"/>
              <w:rPr>
                <w:rFonts w:asciiTheme="minorHAnsi" w:hAnsiTheme="minorHAnsi" w:cstheme="minorHAnsi"/>
                <w:b/>
                <w:iCs/>
                <w:szCs w:val="19"/>
                <w:lang w:val="en-US"/>
              </w:rPr>
            </w:pPr>
            <w:bookmarkStart w:id="293" w:name="_Toc4058289"/>
            <w:r w:rsidRPr="004A18E6">
              <w:rPr>
                <w:rFonts w:asciiTheme="minorHAnsi" w:hAnsiTheme="minorHAnsi" w:cstheme="minorHAnsi"/>
                <w:b/>
                <w:iCs/>
                <w:szCs w:val="19"/>
                <w:lang w:val="en-US"/>
              </w:rPr>
              <w:t>Balance as of 31 March 202</w:t>
            </w:r>
            <w:bookmarkEnd w:id="293"/>
            <w:r w:rsidRPr="004A18E6">
              <w:rPr>
                <w:rFonts w:asciiTheme="minorHAnsi" w:hAnsiTheme="minorHAnsi" w:cstheme="minorHAnsi"/>
                <w:b/>
                <w:iCs/>
                <w:szCs w:val="19"/>
                <w:lang w:val="en-US"/>
              </w:rPr>
              <w:t>2</w:t>
            </w:r>
          </w:p>
        </w:tc>
        <w:tc>
          <w:tcPr>
            <w:tcW w:w="556" w:type="pct"/>
            <w:tcBorders>
              <w:top w:val="single" w:sz="4" w:space="0" w:color="auto"/>
              <w:left w:val="nil"/>
              <w:bottom w:val="single" w:sz="12" w:space="0" w:color="auto"/>
              <w:right w:val="nil"/>
            </w:tcBorders>
            <w:shd w:val="clear" w:color="auto" w:fill="auto"/>
            <w:vAlign w:val="bottom"/>
          </w:tcPr>
          <w:p w14:paraId="72FCFF7E" w14:textId="1A1BF6DD" w:rsidR="0083771A" w:rsidRPr="004A18E6" w:rsidRDefault="0083771A" w:rsidP="0083771A">
            <w:pPr>
              <w:pStyle w:val="Tot"/>
              <w:spacing w:line="240" w:lineRule="exact"/>
              <w:jc w:val="right"/>
              <w:rPr>
                <w:rFonts w:asciiTheme="minorHAnsi" w:hAnsiTheme="minorHAnsi" w:cstheme="minorHAnsi"/>
                <w:b/>
                <w:bCs/>
                <w:szCs w:val="19"/>
                <w:lang w:val="en-US"/>
              </w:rPr>
            </w:pPr>
            <w:r w:rsidRPr="004A18E6">
              <w:rPr>
                <w:rFonts w:asciiTheme="minorHAnsi" w:hAnsiTheme="minorHAnsi" w:cstheme="minorHAnsi"/>
                <w:b/>
                <w:bCs/>
                <w:color w:val="000000"/>
                <w:szCs w:val="19"/>
              </w:rPr>
              <w:t>1</w:t>
            </w:r>
            <w:r w:rsidR="00631A56">
              <w:rPr>
                <w:rFonts w:asciiTheme="minorHAnsi" w:hAnsiTheme="minorHAnsi" w:cstheme="minorHAnsi"/>
                <w:b/>
                <w:bCs/>
                <w:color w:val="000000"/>
                <w:szCs w:val="19"/>
              </w:rPr>
              <w:t>,</w:t>
            </w:r>
            <w:r w:rsidRPr="004A18E6">
              <w:rPr>
                <w:rFonts w:asciiTheme="minorHAnsi" w:hAnsiTheme="minorHAnsi" w:cstheme="minorHAnsi"/>
                <w:b/>
                <w:bCs/>
                <w:color w:val="000000"/>
                <w:szCs w:val="19"/>
              </w:rPr>
              <w:t>577</w:t>
            </w:r>
            <w:r w:rsidR="00631A56">
              <w:rPr>
                <w:rFonts w:asciiTheme="minorHAnsi" w:hAnsiTheme="minorHAnsi" w:cstheme="minorHAnsi"/>
                <w:b/>
                <w:bCs/>
                <w:color w:val="000000"/>
                <w:szCs w:val="19"/>
              </w:rPr>
              <w:t>,</w:t>
            </w:r>
            <w:r w:rsidRPr="004A18E6">
              <w:rPr>
                <w:rFonts w:asciiTheme="minorHAnsi" w:hAnsiTheme="minorHAnsi" w:cstheme="minorHAnsi"/>
                <w:b/>
                <w:bCs/>
                <w:color w:val="000000"/>
                <w:szCs w:val="19"/>
              </w:rPr>
              <w:t>567</w:t>
            </w:r>
          </w:p>
        </w:tc>
        <w:tc>
          <w:tcPr>
            <w:tcW w:w="478" w:type="pct"/>
            <w:tcBorders>
              <w:top w:val="single" w:sz="4" w:space="0" w:color="auto"/>
              <w:left w:val="nil"/>
              <w:bottom w:val="single" w:sz="12" w:space="0" w:color="auto"/>
              <w:right w:val="nil"/>
            </w:tcBorders>
            <w:shd w:val="clear" w:color="auto" w:fill="auto"/>
            <w:vAlign w:val="bottom"/>
          </w:tcPr>
          <w:p w14:paraId="6EE27AC8" w14:textId="2EC3330D" w:rsidR="0083771A" w:rsidRPr="004A18E6" w:rsidRDefault="0083771A" w:rsidP="0083771A">
            <w:pPr>
              <w:pStyle w:val="Tot"/>
              <w:spacing w:line="240" w:lineRule="exact"/>
              <w:jc w:val="right"/>
              <w:rPr>
                <w:rFonts w:asciiTheme="minorHAnsi" w:hAnsiTheme="minorHAnsi" w:cstheme="minorHAnsi"/>
                <w:b/>
                <w:bCs/>
                <w:szCs w:val="19"/>
                <w:lang w:val="en-US"/>
              </w:rPr>
            </w:pPr>
            <w:r w:rsidRPr="004A18E6">
              <w:rPr>
                <w:rFonts w:asciiTheme="minorHAnsi" w:hAnsiTheme="minorHAnsi" w:cstheme="minorHAnsi"/>
                <w:b/>
                <w:bCs/>
                <w:color w:val="000000"/>
                <w:szCs w:val="19"/>
              </w:rPr>
              <w:t>-</w:t>
            </w:r>
          </w:p>
        </w:tc>
        <w:tc>
          <w:tcPr>
            <w:tcW w:w="478" w:type="pct"/>
            <w:tcBorders>
              <w:top w:val="single" w:sz="4" w:space="0" w:color="auto"/>
              <w:left w:val="nil"/>
              <w:bottom w:val="single" w:sz="12" w:space="0" w:color="auto"/>
              <w:right w:val="nil"/>
            </w:tcBorders>
            <w:shd w:val="clear" w:color="auto" w:fill="auto"/>
            <w:vAlign w:val="bottom"/>
          </w:tcPr>
          <w:p w14:paraId="018D4E29" w14:textId="118A34D8" w:rsidR="0083771A" w:rsidRPr="004A18E6" w:rsidRDefault="0083771A" w:rsidP="0083771A">
            <w:pPr>
              <w:pStyle w:val="Tot"/>
              <w:spacing w:line="240" w:lineRule="exact"/>
              <w:jc w:val="right"/>
              <w:rPr>
                <w:rFonts w:asciiTheme="minorHAnsi" w:hAnsiTheme="minorHAnsi" w:cstheme="minorHAnsi"/>
                <w:b/>
                <w:bCs/>
                <w:szCs w:val="19"/>
                <w:lang w:val="en-US"/>
              </w:rPr>
            </w:pPr>
            <w:r w:rsidRPr="004A18E6">
              <w:rPr>
                <w:rFonts w:asciiTheme="minorHAnsi" w:hAnsiTheme="minorHAnsi" w:cstheme="minorHAnsi"/>
                <w:b/>
                <w:bCs/>
                <w:color w:val="000000"/>
                <w:szCs w:val="19"/>
              </w:rPr>
              <w:t>-</w:t>
            </w:r>
          </w:p>
        </w:tc>
        <w:tc>
          <w:tcPr>
            <w:tcW w:w="534" w:type="pct"/>
            <w:tcBorders>
              <w:top w:val="single" w:sz="4" w:space="0" w:color="auto"/>
              <w:left w:val="nil"/>
              <w:bottom w:val="single" w:sz="12" w:space="0" w:color="auto"/>
              <w:right w:val="nil"/>
            </w:tcBorders>
            <w:shd w:val="clear" w:color="auto" w:fill="auto"/>
            <w:vAlign w:val="bottom"/>
          </w:tcPr>
          <w:p w14:paraId="24FC25FB" w14:textId="4F5C2F9E" w:rsidR="0083771A" w:rsidRPr="004A18E6" w:rsidRDefault="0083771A" w:rsidP="0083771A">
            <w:pPr>
              <w:pStyle w:val="Tot"/>
              <w:spacing w:line="240" w:lineRule="exact"/>
              <w:jc w:val="right"/>
              <w:rPr>
                <w:rFonts w:asciiTheme="minorHAnsi" w:hAnsiTheme="minorHAnsi" w:cstheme="minorHAnsi"/>
                <w:b/>
                <w:bCs/>
                <w:szCs w:val="19"/>
                <w:lang w:val="en-US"/>
              </w:rPr>
            </w:pPr>
            <w:r w:rsidRPr="004A18E6">
              <w:rPr>
                <w:rFonts w:asciiTheme="minorHAnsi" w:hAnsiTheme="minorHAnsi" w:cstheme="minorHAnsi"/>
                <w:b/>
                <w:bCs/>
                <w:color w:val="000000"/>
                <w:szCs w:val="19"/>
              </w:rPr>
              <w:t>1</w:t>
            </w:r>
            <w:r w:rsidR="00631A56">
              <w:rPr>
                <w:rFonts w:asciiTheme="minorHAnsi" w:hAnsiTheme="minorHAnsi" w:cstheme="minorHAnsi"/>
                <w:b/>
                <w:bCs/>
                <w:color w:val="000000"/>
                <w:szCs w:val="19"/>
              </w:rPr>
              <w:t>,</w:t>
            </w:r>
            <w:r w:rsidRPr="004A18E6">
              <w:rPr>
                <w:rFonts w:asciiTheme="minorHAnsi" w:hAnsiTheme="minorHAnsi" w:cstheme="minorHAnsi"/>
                <w:b/>
                <w:bCs/>
                <w:color w:val="000000"/>
                <w:szCs w:val="19"/>
              </w:rPr>
              <w:t>577</w:t>
            </w:r>
            <w:r w:rsidR="00631A56">
              <w:rPr>
                <w:rFonts w:asciiTheme="minorHAnsi" w:hAnsiTheme="minorHAnsi" w:cstheme="minorHAnsi"/>
                <w:b/>
                <w:bCs/>
                <w:color w:val="000000"/>
                <w:szCs w:val="19"/>
              </w:rPr>
              <w:t>,</w:t>
            </w:r>
            <w:r w:rsidRPr="004A18E6">
              <w:rPr>
                <w:rFonts w:asciiTheme="minorHAnsi" w:hAnsiTheme="minorHAnsi" w:cstheme="minorHAnsi"/>
                <w:b/>
                <w:bCs/>
                <w:color w:val="000000"/>
                <w:szCs w:val="19"/>
              </w:rPr>
              <w:t>567</w:t>
            </w:r>
          </w:p>
        </w:tc>
        <w:tc>
          <w:tcPr>
            <w:tcW w:w="508" w:type="pct"/>
            <w:tcBorders>
              <w:top w:val="single" w:sz="4" w:space="0" w:color="auto"/>
              <w:left w:val="nil"/>
              <w:bottom w:val="single" w:sz="12" w:space="0" w:color="auto"/>
              <w:right w:val="nil"/>
            </w:tcBorders>
            <w:shd w:val="clear" w:color="auto" w:fill="auto"/>
            <w:vAlign w:val="bottom"/>
          </w:tcPr>
          <w:p w14:paraId="7849D2AB" w14:textId="103CC742" w:rsidR="0083771A" w:rsidRPr="004A18E6" w:rsidRDefault="0083771A" w:rsidP="0083771A">
            <w:pPr>
              <w:pStyle w:val="Tot"/>
              <w:spacing w:line="240" w:lineRule="exact"/>
              <w:jc w:val="right"/>
              <w:rPr>
                <w:rFonts w:asciiTheme="minorHAnsi" w:hAnsiTheme="minorHAnsi" w:cstheme="minorHAnsi"/>
                <w:b/>
                <w:bCs/>
                <w:szCs w:val="19"/>
                <w:lang w:val="en-US"/>
              </w:rPr>
            </w:pPr>
            <w:r w:rsidRPr="004A18E6">
              <w:rPr>
                <w:rFonts w:asciiTheme="minorHAnsi" w:hAnsiTheme="minorHAnsi" w:cstheme="minorHAnsi"/>
                <w:b/>
                <w:bCs/>
                <w:szCs w:val="19"/>
              </w:rPr>
              <w:t xml:space="preserve"> 1</w:t>
            </w:r>
            <w:r w:rsidR="00631A56">
              <w:rPr>
                <w:rFonts w:asciiTheme="minorHAnsi" w:hAnsiTheme="minorHAnsi" w:cstheme="minorHAnsi"/>
                <w:b/>
                <w:bCs/>
                <w:szCs w:val="19"/>
              </w:rPr>
              <w:t>,</w:t>
            </w:r>
            <w:r w:rsidRPr="004A18E6">
              <w:rPr>
                <w:rFonts w:asciiTheme="minorHAnsi" w:hAnsiTheme="minorHAnsi" w:cstheme="minorHAnsi"/>
                <w:b/>
                <w:bCs/>
                <w:szCs w:val="19"/>
              </w:rPr>
              <w:t>571</w:t>
            </w:r>
            <w:r w:rsidR="00631A56">
              <w:rPr>
                <w:rFonts w:asciiTheme="minorHAnsi" w:hAnsiTheme="minorHAnsi" w:cstheme="minorHAnsi"/>
                <w:b/>
                <w:bCs/>
                <w:szCs w:val="19"/>
              </w:rPr>
              <w:t>,</w:t>
            </w:r>
            <w:r w:rsidRPr="004A18E6">
              <w:rPr>
                <w:rFonts w:asciiTheme="minorHAnsi" w:hAnsiTheme="minorHAnsi" w:cstheme="minorHAnsi"/>
                <w:b/>
                <w:bCs/>
                <w:szCs w:val="19"/>
              </w:rPr>
              <w:t xml:space="preserve">205 </w:t>
            </w:r>
          </w:p>
        </w:tc>
        <w:tc>
          <w:tcPr>
            <w:tcW w:w="507" w:type="pct"/>
            <w:tcBorders>
              <w:top w:val="single" w:sz="4" w:space="0" w:color="auto"/>
              <w:left w:val="nil"/>
              <w:bottom w:val="single" w:sz="12" w:space="0" w:color="auto"/>
              <w:right w:val="nil"/>
            </w:tcBorders>
            <w:shd w:val="clear" w:color="auto" w:fill="auto"/>
            <w:vAlign w:val="bottom"/>
          </w:tcPr>
          <w:p w14:paraId="4323D036" w14:textId="16A0EA5B" w:rsidR="0083771A" w:rsidRPr="004A18E6" w:rsidRDefault="0083771A" w:rsidP="0083771A">
            <w:pPr>
              <w:pStyle w:val="Tot"/>
              <w:spacing w:line="240" w:lineRule="exact"/>
              <w:jc w:val="right"/>
              <w:rPr>
                <w:rFonts w:asciiTheme="minorHAnsi" w:hAnsiTheme="minorHAnsi" w:cstheme="minorHAnsi"/>
                <w:b/>
                <w:bCs/>
                <w:szCs w:val="19"/>
                <w:lang w:val="en-US"/>
              </w:rPr>
            </w:pPr>
            <w:r w:rsidRPr="004A18E6">
              <w:rPr>
                <w:rFonts w:asciiTheme="minorHAnsi" w:hAnsiTheme="minorHAnsi" w:cstheme="minorHAnsi"/>
                <w:b/>
                <w:bCs/>
                <w:color w:val="000000"/>
                <w:szCs w:val="19"/>
              </w:rPr>
              <w:t>-</w:t>
            </w:r>
          </w:p>
        </w:tc>
        <w:tc>
          <w:tcPr>
            <w:tcW w:w="508" w:type="pct"/>
            <w:tcBorders>
              <w:top w:val="single" w:sz="4" w:space="0" w:color="auto"/>
              <w:left w:val="nil"/>
              <w:bottom w:val="single" w:sz="12" w:space="0" w:color="auto"/>
              <w:right w:val="nil"/>
            </w:tcBorders>
            <w:shd w:val="clear" w:color="auto" w:fill="auto"/>
            <w:vAlign w:val="bottom"/>
          </w:tcPr>
          <w:p w14:paraId="4FF78102" w14:textId="364B69D8" w:rsidR="0083771A" w:rsidRPr="004A18E6" w:rsidRDefault="0083771A" w:rsidP="0083771A">
            <w:pPr>
              <w:pStyle w:val="Tot"/>
              <w:spacing w:line="240" w:lineRule="exact"/>
              <w:jc w:val="right"/>
              <w:rPr>
                <w:rFonts w:asciiTheme="minorHAnsi" w:hAnsiTheme="minorHAnsi" w:cstheme="minorHAnsi"/>
                <w:b/>
                <w:bCs/>
                <w:szCs w:val="19"/>
                <w:lang w:val="en-US"/>
              </w:rPr>
            </w:pPr>
            <w:r w:rsidRPr="004A18E6">
              <w:rPr>
                <w:rFonts w:asciiTheme="minorHAnsi" w:hAnsiTheme="minorHAnsi" w:cstheme="minorHAnsi"/>
                <w:b/>
                <w:bCs/>
                <w:color w:val="000000"/>
                <w:szCs w:val="19"/>
              </w:rPr>
              <w:t>-</w:t>
            </w:r>
          </w:p>
        </w:tc>
        <w:tc>
          <w:tcPr>
            <w:tcW w:w="508" w:type="pct"/>
            <w:tcBorders>
              <w:top w:val="single" w:sz="4" w:space="0" w:color="auto"/>
              <w:left w:val="nil"/>
              <w:bottom w:val="single" w:sz="12" w:space="0" w:color="auto"/>
              <w:right w:val="nil"/>
            </w:tcBorders>
            <w:shd w:val="clear" w:color="auto" w:fill="auto"/>
            <w:vAlign w:val="bottom"/>
          </w:tcPr>
          <w:p w14:paraId="651CF7F3" w14:textId="5BBB683C" w:rsidR="0083771A" w:rsidRPr="004A18E6" w:rsidRDefault="0083771A" w:rsidP="0083771A">
            <w:pPr>
              <w:pStyle w:val="Tot"/>
              <w:spacing w:line="240" w:lineRule="exact"/>
              <w:jc w:val="right"/>
              <w:rPr>
                <w:rFonts w:asciiTheme="minorHAnsi" w:hAnsiTheme="minorHAnsi" w:cstheme="minorHAnsi"/>
                <w:b/>
                <w:bCs/>
                <w:szCs w:val="19"/>
                <w:lang w:val="en-US"/>
              </w:rPr>
            </w:pPr>
            <w:r w:rsidRPr="004A18E6">
              <w:rPr>
                <w:rFonts w:asciiTheme="minorHAnsi" w:hAnsiTheme="minorHAnsi" w:cstheme="minorHAnsi"/>
                <w:b/>
                <w:bCs/>
                <w:szCs w:val="19"/>
              </w:rPr>
              <w:t xml:space="preserve"> 1</w:t>
            </w:r>
            <w:r w:rsidR="00631A56">
              <w:rPr>
                <w:rFonts w:asciiTheme="minorHAnsi" w:hAnsiTheme="minorHAnsi" w:cstheme="minorHAnsi"/>
                <w:b/>
                <w:bCs/>
                <w:szCs w:val="19"/>
              </w:rPr>
              <w:t>,</w:t>
            </w:r>
            <w:r w:rsidRPr="004A18E6">
              <w:rPr>
                <w:rFonts w:asciiTheme="minorHAnsi" w:hAnsiTheme="minorHAnsi" w:cstheme="minorHAnsi"/>
                <w:b/>
                <w:bCs/>
                <w:szCs w:val="19"/>
              </w:rPr>
              <w:t>571</w:t>
            </w:r>
            <w:r w:rsidR="00631A56">
              <w:rPr>
                <w:rFonts w:asciiTheme="minorHAnsi" w:hAnsiTheme="minorHAnsi" w:cstheme="minorHAnsi"/>
                <w:b/>
                <w:bCs/>
                <w:szCs w:val="19"/>
              </w:rPr>
              <w:t>,</w:t>
            </w:r>
            <w:r w:rsidRPr="004A18E6">
              <w:rPr>
                <w:rFonts w:asciiTheme="minorHAnsi" w:hAnsiTheme="minorHAnsi" w:cstheme="minorHAnsi"/>
                <w:b/>
                <w:bCs/>
                <w:szCs w:val="19"/>
              </w:rPr>
              <w:t xml:space="preserve">205 </w:t>
            </w:r>
          </w:p>
        </w:tc>
      </w:tr>
    </w:tbl>
    <w:p w14:paraId="56BCBD78" w14:textId="355C9662" w:rsidR="00F241D4" w:rsidRPr="00537128" w:rsidRDefault="00F241D4" w:rsidP="00D3297A">
      <w:pPr>
        <w:autoSpaceDE w:val="0"/>
        <w:autoSpaceDN w:val="0"/>
        <w:adjustRightInd w:val="0"/>
        <w:spacing w:after="0" w:line="240" w:lineRule="auto"/>
        <w:jc w:val="both"/>
        <w:rPr>
          <w:noProof/>
          <w:color w:val="000000" w:themeColor="text1"/>
          <w:lang w:val="en-US"/>
        </w:rPr>
      </w:pPr>
    </w:p>
    <w:p w14:paraId="3C01EDD1" w14:textId="77777777" w:rsidR="00987F88" w:rsidRPr="00537128" w:rsidRDefault="00987F88" w:rsidP="00D3297A">
      <w:pPr>
        <w:autoSpaceDE w:val="0"/>
        <w:autoSpaceDN w:val="0"/>
        <w:adjustRightInd w:val="0"/>
        <w:spacing w:after="0" w:line="240" w:lineRule="auto"/>
        <w:jc w:val="both"/>
        <w:rPr>
          <w:noProof/>
          <w:color w:val="000000" w:themeColor="text1"/>
          <w:lang w:val="en-US"/>
        </w:rPr>
      </w:pPr>
    </w:p>
    <w:tbl>
      <w:tblPr>
        <w:tblW w:w="5347" w:type="pct"/>
        <w:tblInd w:w="-142" w:type="dxa"/>
        <w:tblLayout w:type="fixed"/>
        <w:tblLook w:val="0000" w:firstRow="0" w:lastRow="0" w:firstColumn="0" w:lastColumn="0" w:noHBand="0" w:noVBand="0"/>
      </w:tblPr>
      <w:tblGrid>
        <w:gridCol w:w="1811"/>
        <w:gridCol w:w="1084"/>
        <w:gridCol w:w="935"/>
        <w:gridCol w:w="935"/>
        <w:gridCol w:w="992"/>
        <w:gridCol w:w="992"/>
        <w:gridCol w:w="935"/>
        <w:gridCol w:w="935"/>
        <w:gridCol w:w="1083"/>
      </w:tblGrid>
      <w:tr w:rsidR="009E5940" w:rsidRPr="004E075C" w14:paraId="331BA78D" w14:textId="77777777" w:rsidTr="00DB57CD">
        <w:trPr>
          <w:trHeight w:val="239"/>
        </w:trPr>
        <w:tc>
          <w:tcPr>
            <w:tcW w:w="933" w:type="pct"/>
            <w:vAlign w:val="bottom"/>
          </w:tcPr>
          <w:p w14:paraId="5041FB44" w14:textId="478BAC8B" w:rsidR="009E5940" w:rsidRPr="00A1123E" w:rsidRDefault="009E5940" w:rsidP="009E5940">
            <w:pPr>
              <w:tabs>
                <w:tab w:val="left" w:pos="-720"/>
              </w:tabs>
              <w:suppressAutoHyphens/>
              <w:spacing w:after="0" w:line="220" w:lineRule="exact"/>
              <w:rPr>
                <w:rFonts w:ascii="Calibri" w:eastAsia="Times New Roman" w:hAnsi="Calibri" w:cs="Arial"/>
                <w:b/>
                <w:sz w:val="19"/>
                <w:szCs w:val="19"/>
                <w:lang w:val="en-US"/>
              </w:rPr>
            </w:pPr>
            <w:r w:rsidRPr="00A1123E">
              <w:rPr>
                <w:rFonts w:ascii="Calibri" w:eastAsia="Times New Roman" w:hAnsi="Calibri" w:cs="Arial"/>
                <w:b/>
                <w:sz w:val="19"/>
                <w:szCs w:val="19"/>
                <w:lang w:val="en-US"/>
              </w:rPr>
              <w:t>31 December 202</w:t>
            </w:r>
            <w:r w:rsidR="00171DB9">
              <w:rPr>
                <w:rFonts w:ascii="Calibri" w:eastAsia="Times New Roman" w:hAnsi="Calibri" w:cs="Arial"/>
                <w:b/>
                <w:sz w:val="19"/>
                <w:szCs w:val="19"/>
                <w:lang w:val="en-US"/>
              </w:rPr>
              <w:t>1</w:t>
            </w:r>
          </w:p>
        </w:tc>
        <w:tc>
          <w:tcPr>
            <w:tcW w:w="558" w:type="pct"/>
            <w:vAlign w:val="bottom"/>
          </w:tcPr>
          <w:p w14:paraId="0E514862" w14:textId="77777777" w:rsidR="009E5940" w:rsidRPr="00A1123E" w:rsidRDefault="009E5940" w:rsidP="009E5940">
            <w:pPr>
              <w:tabs>
                <w:tab w:val="right" w:pos="1202"/>
              </w:tabs>
              <w:spacing w:after="0" w:line="240" w:lineRule="atLeast"/>
              <w:jc w:val="right"/>
              <w:outlineLvl w:val="0"/>
              <w:rPr>
                <w:rFonts w:ascii="Calibri" w:eastAsia="Times New Roman" w:hAnsi="Calibri" w:cs="Arial"/>
                <w:b/>
                <w:sz w:val="19"/>
                <w:szCs w:val="19"/>
                <w:lang w:val="en-US"/>
              </w:rPr>
            </w:pPr>
          </w:p>
        </w:tc>
        <w:tc>
          <w:tcPr>
            <w:tcW w:w="482" w:type="pct"/>
            <w:shd w:val="clear" w:color="auto" w:fill="auto"/>
            <w:vAlign w:val="bottom"/>
          </w:tcPr>
          <w:p w14:paraId="5F52818F" w14:textId="77777777" w:rsidR="009E5940" w:rsidRPr="00A1123E" w:rsidRDefault="009E5940" w:rsidP="009E5940">
            <w:pPr>
              <w:tabs>
                <w:tab w:val="right" w:pos="1202"/>
              </w:tabs>
              <w:spacing w:after="0" w:line="240" w:lineRule="atLeast"/>
              <w:jc w:val="right"/>
              <w:outlineLvl w:val="0"/>
              <w:rPr>
                <w:rFonts w:ascii="Calibri" w:eastAsia="Times New Roman" w:hAnsi="Calibri" w:cs="Arial"/>
                <w:b/>
                <w:sz w:val="19"/>
                <w:szCs w:val="19"/>
                <w:lang w:val="en-US"/>
              </w:rPr>
            </w:pPr>
          </w:p>
        </w:tc>
        <w:tc>
          <w:tcPr>
            <w:tcW w:w="482" w:type="pct"/>
            <w:shd w:val="clear" w:color="auto" w:fill="auto"/>
            <w:vAlign w:val="bottom"/>
          </w:tcPr>
          <w:p w14:paraId="7B41405C"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p>
        </w:tc>
        <w:tc>
          <w:tcPr>
            <w:tcW w:w="511" w:type="pct"/>
            <w:vAlign w:val="bottom"/>
          </w:tcPr>
          <w:p w14:paraId="114EFB77" w14:textId="77777777" w:rsidR="009E5940" w:rsidRPr="00A1123E" w:rsidRDefault="009E5940" w:rsidP="009E5940">
            <w:pPr>
              <w:tabs>
                <w:tab w:val="right" w:pos="1202"/>
              </w:tabs>
              <w:spacing w:after="0" w:line="240" w:lineRule="atLeas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Group</w:t>
            </w:r>
          </w:p>
        </w:tc>
        <w:tc>
          <w:tcPr>
            <w:tcW w:w="511" w:type="pct"/>
            <w:vAlign w:val="bottom"/>
          </w:tcPr>
          <w:p w14:paraId="1E11C964" w14:textId="77777777" w:rsidR="009E5940" w:rsidRPr="00A1123E" w:rsidRDefault="009E5940" w:rsidP="009E5940">
            <w:pPr>
              <w:tabs>
                <w:tab w:val="right" w:pos="1202"/>
              </w:tabs>
              <w:spacing w:after="0" w:line="240" w:lineRule="atLeast"/>
              <w:jc w:val="right"/>
              <w:outlineLvl w:val="0"/>
              <w:rPr>
                <w:rFonts w:ascii="Calibri" w:eastAsia="Times New Roman" w:hAnsi="Calibri" w:cs="Arial"/>
                <w:b/>
                <w:sz w:val="19"/>
                <w:szCs w:val="19"/>
                <w:lang w:val="en-US"/>
              </w:rPr>
            </w:pPr>
          </w:p>
        </w:tc>
        <w:tc>
          <w:tcPr>
            <w:tcW w:w="482" w:type="pct"/>
            <w:shd w:val="clear" w:color="auto" w:fill="auto"/>
            <w:vAlign w:val="bottom"/>
          </w:tcPr>
          <w:p w14:paraId="2B67CDE8" w14:textId="77777777" w:rsidR="009E5940" w:rsidRPr="00A1123E" w:rsidRDefault="009E5940" w:rsidP="009E5940">
            <w:pPr>
              <w:tabs>
                <w:tab w:val="right" w:pos="1202"/>
              </w:tabs>
              <w:spacing w:after="0" w:line="240" w:lineRule="atLeast"/>
              <w:jc w:val="right"/>
              <w:outlineLvl w:val="0"/>
              <w:rPr>
                <w:rFonts w:ascii="Calibri" w:eastAsia="Times New Roman" w:hAnsi="Calibri" w:cs="Arial"/>
                <w:b/>
                <w:sz w:val="19"/>
                <w:szCs w:val="19"/>
                <w:lang w:val="en-US"/>
              </w:rPr>
            </w:pPr>
          </w:p>
        </w:tc>
        <w:tc>
          <w:tcPr>
            <w:tcW w:w="482" w:type="pct"/>
            <w:shd w:val="clear" w:color="auto" w:fill="auto"/>
            <w:vAlign w:val="bottom"/>
          </w:tcPr>
          <w:p w14:paraId="4853092F"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p>
        </w:tc>
        <w:tc>
          <w:tcPr>
            <w:tcW w:w="558" w:type="pct"/>
            <w:vAlign w:val="bottom"/>
          </w:tcPr>
          <w:p w14:paraId="349429FD"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Bank</w:t>
            </w:r>
          </w:p>
        </w:tc>
      </w:tr>
      <w:tr w:rsidR="009E5940" w:rsidRPr="004E075C" w14:paraId="12F4487F" w14:textId="77777777" w:rsidTr="00DB57CD">
        <w:trPr>
          <w:trHeight w:val="278"/>
        </w:trPr>
        <w:tc>
          <w:tcPr>
            <w:tcW w:w="933" w:type="pct"/>
            <w:vAlign w:val="bottom"/>
          </w:tcPr>
          <w:p w14:paraId="46F7A17E" w14:textId="77777777" w:rsidR="009E5940" w:rsidRPr="00A1123E" w:rsidRDefault="009E5940" w:rsidP="009E5940">
            <w:pPr>
              <w:tabs>
                <w:tab w:val="left" w:pos="-720"/>
              </w:tabs>
              <w:suppressAutoHyphens/>
              <w:spacing w:after="0" w:line="220" w:lineRule="exact"/>
              <w:rPr>
                <w:rFonts w:ascii="Calibri" w:eastAsia="Times New Roman" w:hAnsi="Calibri" w:cs="Arial"/>
                <w:sz w:val="19"/>
                <w:szCs w:val="19"/>
                <w:lang w:val="en-US"/>
              </w:rPr>
            </w:pPr>
          </w:p>
        </w:tc>
        <w:tc>
          <w:tcPr>
            <w:tcW w:w="558" w:type="pct"/>
            <w:vAlign w:val="bottom"/>
          </w:tcPr>
          <w:p w14:paraId="24FB2D60"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Stage 1</w:t>
            </w:r>
          </w:p>
        </w:tc>
        <w:tc>
          <w:tcPr>
            <w:tcW w:w="482" w:type="pct"/>
            <w:vAlign w:val="bottom"/>
          </w:tcPr>
          <w:p w14:paraId="5308841B"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Stage 2</w:t>
            </w:r>
          </w:p>
        </w:tc>
        <w:tc>
          <w:tcPr>
            <w:tcW w:w="482" w:type="pct"/>
            <w:vAlign w:val="bottom"/>
          </w:tcPr>
          <w:p w14:paraId="08C0DD8C"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Stage 3</w:t>
            </w:r>
          </w:p>
        </w:tc>
        <w:tc>
          <w:tcPr>
            <w:tcW w:w="511" w:type="pct"/>
            <w:vAlign w:val="bottom"/>
          </w:tcPr>
          <w:p w14:paraId="6A000040"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Total</w:t>
            </w:r>
          </w:p>
        </w:tc>
        <w:tc>
          <w:tcPr>
            <w:tcW w:w="511" w:type="pct"/>
            <w:vAlign w:val="bottom"/>
          </w:tcPr>
          <w:p w14:paraId="1D168087"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Stage 1</w:t>
            </w:r>
          </w:p>
        </w:tc>
        <w:tc>
          <w:tcPr>
            <w:tcW w:w="482" w:type="pct"/>
            <w:vAlign w:val="bottom"/>
          </w:tcPr>
          <w:p w14:paraId="034D7664"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Stage 2</w:t>
            </w:r>
          </w:p>
        </w:tc>
        <w:tc>
          <w:tcPr>
            <w:tcW w:w="482" w:type="pct"/>
            <w:vAlign w:val="bottom"/>
          </w:tcPr>
          <w:p w14:paraId="4DC38869"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Stage 3</w:t>
            </w:r>
          </w:p>
        </w:tc>
        <w:tc>
          <w:tcPr>
            <w:tcW w:w="558" w:type="pct"/>
            <w:vAlign w:val="bottom"/>
          </w:tcPr>
          <w:p w14:paraId="6154F2D2"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Total</w:t>
            </w:r>
          </w:p>
        </w:tc>
      </w:tr>
      <w:tr w:rsidR="009E5940" w:rsidRPr="004E075C" w14:paraId="0693B0E4" w14:textId="77777777" w:rsidTr="00DB57CD">
        <w:trPr>
          <w:trHeight w:val="278"/>
        </w:trPr>
        <w:tc>
          <w:tcPr>
            <w:tcW w:w="933" w:type="pct"/>
            <w:vAlign w:val="bottom"/>
          </w:tcPr>
          <w:p w14:paraId="408DDA52" w14:textId="77777777" w:rsidR="009E5940" w:rsidRPr="00A1123E" w:rsidRDefault="009E5940" w:rsidP="009E5940">
            <w:pPr>
              <w:tabs>
                <w:tab w:val="left" w:pos="-720"/>
              </w:tabs>
              <w:suppressAutoHyphens/>
              <w:spacing w:after="0" w:line="220" w:lineRule="exact"/>
              <w:rPr>
                <w:rFonts w:ascii="Calibri" w:eastAsia="Times New Roman" w:hAnsi="Calibri" w:cs="Arial"/>
                <w:sz w:val="19"/>
                <w:szCs w:val="19"/>
                <w:lang w:val="en-US"/>
              </w:rPr>
            </w:pPr>
          </w:p>
        </w:tc>
        <w:tc>
          <w:tcPr>
            <w:tcW w:w="558" w:type="pct"/>
            <w:vAlign w:val="bottom"/>
          </w:tcPr>
          <w:p w14:paraId="1CFD5FBF" w14:textId="3E85F81F"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 xml:space="preserve">HRK </w:t>
            </w:r>
            <w:r w:rsidR="00E36929">
              <w:rPr>
                <w:rFonts w:ascii="Calibri" w:eastAsia="Times New Roman" w:hAnsi="Calibri" w:cs="Arial"/>
                <w:b/>
                <w:sz w:val="19"/>
                <w:szCs w:val="19"/>
                <w:lang w:val="en-US"/>
              </w:rPr>
              <w:t>‘</w:t>
            </w:r>
            <w:r w:rsidRPr="00A1123E">
              <w:rPr>
                <w:rFonts w:ascii="Calibri" w:eastAsia="Times New Roman" w:hAnsi="Calibri" w:cs="Arial"/>
                <w:b/>
                <w:sz w:val="19"/>
                <w:szCs w:val="19"/>
                <w:lang w:val="en-US"/>
              </w:rPr>
              <w:t>000</w:t>
            </w:r>
          </w:p>
        </w:tc>
        <w:tc>
          <w:tcPr>
            <w:tcW w:w="482" w:type="pct"/>
            <w:vAlign w:val="bottom"/>
          </w:tcPr>
          <w:p w14:paraId="3F4EE1B4" w14:textId="6AD981AE"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 xml:space="preserve">HRK </w:t>
            </w:r>
            <w:r w:rsidR="00E36929">
              <w:rPr>
                <w:rFonts w:ascii="Calibri" w:eastAsia="Times New Roman" w:hAnsi="Calibri" w:cs="Arial"/>
                <w:b/>
                <w:sz w:val="19"/>
                <w:szCs w:val="19"/>
                <w:lang w:val="en-US"/>
              </w:rPr>
              <w:t>‘</w:t>
            </w:r>
            <w:r w:rsidRPr="00A1123E">
              <w:rPr>
                <w:rFonts w:ascii="Calibri" w:eastAsia="Times New Roman" w:hAnsi="Calibri" w:cs="Arial"/>
                <w:b/>
                <w:sz w:val="19"/>
                <w:szCs w:val="19"/>
                <w:lang w:val="en-US"/>
              </w:rPr>
              <w:t>000</w:t>
            </w:r>
          </w:p>
        </w:tc>
        <w:tc>
          <w:tcPr>
            <w:tcW w:w="482" w:type="pct"/>
            <w:vAlign w:val="bottom"/>
          </w:tcPr>
          <w:p w14:paraId="50357C86" w14:textId="7EE929DE"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HRK</w:t>
            </w:r>
            <w:r w:rsidR="00E36929">
              <w:rPr>
                <w:rFonts w:ascii="Calibri" w:eastAsia="Times New Roman" w:hAnsi="Calibri" w:cs="Arial"/>
                <w:b/>
                <w:sz w:val="19"/>
                <w:szCs w:val="19"/>
                <w:lang w:val="en-US"/>
              </w:rPr>
              <w:t>’</w:t>
            </w:r>
            <w:r w:rsidRPr="00A1123E">
              <w:rPr>
                <w:rFonts w:ascii="Calibri" w:eastAsia="Times New Roman" w:hAnsi="Calibri" w:cs="Arial"/>
                <w:b/>
                <w:sz w:val="19"/>
                <w:szCs w:val="19"/>
                <w:lang w:val="en-US"/>
              </w:rPr>
              <w:t xml:space="preserve"> 000</w:t>
            </w:r>
          </w:p>
        </w:tc>
        <w:tc>
          <w:tcPr>
            <w:tcW w:w="511" w:type="pct"/>
            <w:vAlign w:val="bottom"/>
          </w:tcPr>
          <w:p w14:paraId="2EF6FB1F" w14:textId="09D48569"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 xml:space="preserve">HRK </w:t>
            </w:r>
            <w:r w:rsidR="00E36929">
              <w:rPr>
                <w:rFonts w:ascii="Calibri" w:eastAsia="Times New Roman" w:hAnsi="Calibri" w:cs="Arial"/>
                <w:b/>
                <w:sz w:val="19"/>
                <w:szCs w:val="19"/>
                <w:lang w:val="en-US"/>
              </w:rPr>
              <w:t>‘</w:t>
            </w:r>
            <w:r w:rsidRPr="00A1123E">
              <w:rPr>
                <w:rFonts w:ascii="Calibri" w:eastAsia="Times New Roman" w:hAnsi="Calibri" w:cs="Arial"/>
                <w:b/>
                <w:sz w:val="19"/>
                <w:szCs w:val="19"/>
                <w:lang w:val="en-US"/>
              </w:rPr>
              <w:t>000</w:t>
            </w:r>
          </w:p>
        </w:tc>
        <w:tc>
          <w:tcPr>
            <w:tcW w:w="511" w:type="pct"/>
            <w:vAlign w:val="bottom"/>
          </w:tcPr>
          <w:p w14:paraId="540C90F4" w14:textId="2B4A8C2D"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 xml:space="preserve">HRK </w:t>
            </w:r>
            <w:r w:rsidR="00E36929">
              <w:rPr>
                <w:rFonts w:ascii="Calibri" w:eastAsia="Times New Roman" w:hAnsi="Calibri" w:cs="Arial"/>
                <w:b/>
                <w:sz w:val="19"/>
                <w:szCs w:val="19"/>
                <w:lang w:val="en-US"/>
              </w:rPr>
              <w:t>‘</w:t>
            </w:r>
            <w:r w:rsidRPr="00A1123E">
              <w:rPr>
                <w:rFonts w:ascii="Calibri" w:eastAsia="Times New Roman" w:hAnsi="Calibri" w:cs="Arial"/>
                <w:b/>
                <w:sz w:val="19"/>
                <w:szCs w:val="19"/>
                <w:lang w:val="en-US"/>
              </w:rPr>
              <w:t>000</w:t>
            </w:r>
          </w:p>
        </w:tc>
        <w:tc>
          <w:tcPr>
            <w:tcW w:w="482" w:type="pct"/>
            <w:vAlign w:val="bottom"/>
          </w:tcPr>
          <w:p w14:paraId="0121BF6E" w14:textId="797086DB"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 xml:space="preserve">HRK </w:t>
            </w:r>
            <w:r w:rsidR="00E36929">
              <w:rPr>
                <w:rFonts w:ascii="Calibri" w:eastAsia="Times New Roman" w:hAnsi="Calibri" w:cs="Arial"/>
                <w:b/>
                <w:sz w:val="19"/>
                <w:szCs w:val="19"/>
                <w:lang w:val="en-US"/>
              </w:rPr>
              <w:t>‘</w:t>
            </w:r>
            <w:r w:rsidRPr="00A1123E">
              <w:rPr>
                <w:rFonts w:ascii="Calibri" w:eastAsia="Times New Roman" w:hAnsi="Calibri" w:cs="Arial"/>
                <w:b/>
                <w:sz w:val="19"/>
                <w:szCs w:val="19"/>
                <w:lang w:val="en-US"/>
              </w:rPr>
              <w:t>000</w:t>
            </w:r>
          </w:p>
        </w:tc>
        <w:tc>
          <w:tcPr>
            <w:tcW w:w="482" w:type="pct"/>
            <w:vAlign w:val="bottom"/>
          </w:tcPr>
          <w:p w14:paraId="06B989D3" w14:textId="0A8A285B"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 xml:space="preserve">HRK </w:t>
            </w:r>
            <w:r w:rsidR="00E36929">
              <w:rPr>
                <w:rFonts w:ascii="Calibri" w:eastAsia="Times New Roman" w:hAnsi="Calibri" w:cs="Arial"/>
                <w:b/>
                <w:sz w:val="19"/>
                <w:szCs w:val="19"/>
                <w:lang w:val="en-US"/>
              </w:rPr>
              <w:t>‘</w:t>
            </w:r>
            <w:r w:rsidRPr="00A1123E">
              <w:rPr>
                <w:rFonts w:ascii="Calibri" w:eastAsia="Times New Roman" w:hAnsi="Calibri" w:cs="Arial"/>
                <w:b/>
                <w:sz w:val="19"/>
                <w:szCs w:val="19"/>
                <w:lang w:val="en-US"/>
              </w:rPr>
              <w:t>000</w:t>
            </w:r>
          </w:p>
        </w:tc>
        <w:tc>
          <w:tcPr>
            <w:tcW w:w="558" w:type="pct"/>
            <w:vAlign w:val="bottom"/>
          </w:tcPr>
          <w:p w14:paraId="16E9133C" w14:textId="2B4AA481"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 xml:space="preserve">HRK </w:t>
            </w:r>
            <w:r w:rsidR="00E36929">
              <w:rPr>
                <w:rFonts w:ascii="Calibri" w:eastAsia="Times New Roman" w:hAnsi="Calibri" w:cs="Arial"/>
                <w:b/>
                <w:sz w:val="19"/>
                <w:szCs w:val="19"/>
                <w:lang w:val="en-US"/>
              </w:rPr>
              <w:t>‘</w:t>
            </w:r>
            <w:r w:rsidRPr="00A1123E">
              <w:rPr>
                <w:rFonts w:ascii="Calibri" w:eastAsia="Times New Roman" w:hAnsi="Calibri" w:cs="Arial"/>
                <w:b/>
                <w:sz w:val="19"/>
                <w:szCs w:val="19"/>
                <w:lang w:val="en-US"/>
              </w:rPr>
              <w:t>000</w:t>
            </w:r>
          </w:p>
        </w:tc>
      </w:tr>
      <w:tr w:rsidR="00DB57CD" w:rsidRPr="004E075C" w14:paraId="4A477ED5" w14:textId="77777777" w:rsidTr="00DB57CD">
        <w:trPr>
          <w:trHeight w:val="278"/>
        </w:trPr>
        <w:tc>
          <w:tcPr>
            <w:tcW w:w="933" w:type="pct"/>
            <w:vAlign w:val="bottom"/>
          </w:tcPr>
          <w:p w14:paraId="6AF5CC9E" w14:textId="77777777" w:rsidR="00DB57CD" w:rsidRPr="00A1123E" w:rsidRDefault="00DB57CD" w:rsidP="00DB57CD">
            <w:pPr>
              <w:tabs>
                <w:tab w:val="right" w:pos="1202"/>
              </w:tabs>
              <w:spacing w:after="0" w:line="240" w:lineRule="exact"/>
              <w:outlineLvl w:val="0"/>
              <w:rPr>
                <w:rFonts w:ascii="Calibri" w:eastAsia="Times New Roman" w:hAnsi="Calibri" w:cs="Arial"/>
                <w:sz w:val="19"/>
                <w:szCs w:val="19"/>
                <w:lang w:val="en-US"/>
              </w:rPr>
            </w:pPr>
            <w:r w:rsidRPr="00A1123E">
              <w:rPr>
                <w:rFonts w:ascii="Calibri" w:eastAsia="Times New Roman" w:hAnsi="Calibri" w:cs="Arial"/>
                <w:sz w:val="19"/>
                <w:szCs w:val="19"/>
                <w:lang w:val="en-US"/>
              </w:rPr>
              <w:t>Gross amount</w:t>
            </w:r>
          </w:p>
        </w:tc>
        <w:tc>
          <w:tcPr>
            <w:tcW w:w="558" w:type="pct"/>
            <w:tcBorders>
              <w:top w:val="nil"/>
              <w:left w:val="nil"/>
              <w:bottom w:val="nil"/>
              <w:right w:val="nil"/>
            </w:tcBorders>
            <w:shd w:val="clear" w:color="auto" w:fill="auto"/>
            <w:vAlign w:val="bottom"/>
          </w:tcPr>
          <w:p w14:paraId="72B7AAEA" w14:textId="5207282C" w:rsidR="00DB57CD" w:rsidRPr="00A1123E" w:rsidRDefault="00DB57CD" w:rsidP="00DB57CD">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sz w:val="19"/>
                <w:szCs w:val="19"/>
              </w:rPr>
              <w:t xml:space="preserve"> 1</w:t>
            </w:r>
            <w:r>
              <w:rPr>
                <w:rFonts w:cstheme="minorHAnsi"/>
                <w:sz w:val="19"/>
                <w:szCs w:val="19"/>
              </w:rPr>
              <w:t>,</w:t>
            </w:r>
            <w:r w:rsidRPr="00014DB6">
              <w:rPr>
                <w:rFonts w:cstheme="minorHAnsi"/>
                <w:sz w:val="19"/>
                <w:szCs w:val="19"/>
              </w:rPr>
              <w:t>963</w:t>
            </w:r>
            <w:r>
              <w:rPr>
                <w:rFonts w:cstheme="minorHAnsi"/>
                <w:sz w:val="19"/>
                <w:szCs w:val="19"/>
              </w:rPr>
              <w:t>,</w:t>
            </w:r>
            <w:r w:rsidRPr="00014DB6">
              <w:rPr>
                <w:rFonts w:cstheme="minorHAnsi"/>
                <w:sz w:val="19"/>
                <w:szCs w:val="19"/>
              </w:rPr>
              <w:t xml:space="preserve">794 </w:t>
            </w:r>
          </w:p>
        </w:tc>
        <w:tc>
          <w:tcPr>
            <w:tcW w:w="482" w:type="pct"/>
            <w:tcBorders>
              <w:top w:val="nil"/>
              <w:left w:val="nil"/>
              <w:bottom w:val="nil"/>
              <w:right w:val="nil"/>
            </w:tcBorders>
            <w:shd w:val="clear" w:color="auto" w:fill="auto"/>
            <w:vAlign w:val="bottom"/>
          </w:tcPr>
          <w:p w14:paraId="0B24CF9E" w14:textId="2C723E93" w:rsidR="00DB57CD" w:rsidRPr="00A1123E" w:rsidRDefault="00DB57CD" w:rsidP="00DB57CD">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sz w:val="19"/>
                <w:szCs w:val="19"/>
              </w:rPr>
              <w:t xml:space="preserve"> - </w:t>
            </w:r>
          </w:p>
        </w:tc>
        <w:tc>
          <w:tcPr>
            <w:tcW w:w="482" w:type="pct"/>
            <w:tcBorders>
              <w:top w:val="nil"/>
              <w:left w:val="nil"/>
              <w:bottom w:val="nil"/>
              <w:right w:val="nil"/>
            </w:tcBorders>
            <w:shd w:val="clear" w:color="auto" w:fill="auto"/>
            <w:vAlign w:val="bottom"/>
          </w:tcPr>
          <w:p w14:paraId="1E3D9693" w14:textId="22C61107" w:rsidR="00DB57CD" w:rsidRPr="00A1123E" w:rsidRDefault="00DB57CD" w:rsidP="00DB57CD">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sz w:val="19"/>
                <w:szCs w:val="19"/>
              </w:rPr>
              <w:t xml:space="preserve"> - </w:t>
            </w:r>
          </w:p>
        </w:tc>
        <w:tc>
          <w:tcPr>
            <w:tcW w:w="511" w:type="pct"/>
            <w:tcBorders>
              <w:top w:val="nil"/>
              <w:left w:val="nil"/>
              <w:bottom w:val="nil"/>
              <w:right w:val="nil"/>
            </w:tcBorders>
            <w:shd w:val="clear" w:color="auto" w:fill="auto"/>
            <w:vAlign w:val="bottom"/>
          </w:tcPr>
          <w:p w14:paraId="3BC64564" w14:textId="797B0AD6" w:rsidR="00DB57CD" w:rsidRPr="00A1123E" w:rsidRDefault="00DB57CD" w:rsidP="00DB57CD">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b/>
                <w:bCs/>
                <w:sz w:val="19"/>
                <w:szCs w:val="19"/>
              </w:rPr>
              <w:t xml:space="preserve"> 1</w:t>
            </w:r>
            <w:r>
              <w:rPr>
                <w:rFonts w:cstheme="minorHAnsi"/>
                <w:b/>
                <w:bCs/>
                <w:sz w:val="19"/>
                <w:szCs w:val="19"/>
              </w:rPr>
              <w:t>,</w:t>
            </w:r>
            <w:r w:rsidRPr="00014DB6">
              <w:rPr>
                <w:rFonts w:cstheme="minorHAnsi"/>
                <w:b/>
                <w:bCs/>
                <w:sz w:val="19"/>
                <w:szCs w:val="19"/>
              </w:rPr>
              <w:t>963</w:t>
            </w:r>
            <w:r>
              <w:rPr>
                <w:rFonts w:cstheme="minorHAnsi"/>
                <w:b/>
                <w:bCs/>
                <w:sz w:val="19"/>
                <w:szCs w:val="19"/>
              </w:rPr>
              <w:t>,</w:t>
            </w:r>
            <w:r w:rsidRPr="00014DB6">
              <w:rPr>
                <w:rFonts w:cstheme="minorHAnsi"/>
                <w:b/>
                <w:bCs/>
                <w:sz w:val="19"/>
                <w:szCs w:val="19"/>
              </w:rPr>
              <w:t xml:space="preserve">794 </w:t>
            </w:r>
          </w:p>
        </w:tc>
        <w:tc>
          <w:tcPr>
            <w:tcW w:w="511" w:type="pct"/>
            <w:tcBorders>
              <w:top w:val="nil"/>
              <w:left w:val="nil"/>
              <w:bottom w:val="nil"/>
              <w:right w:val="nil"/>
            </w:tcBorders>
            <w:shd w:val="clear" w:color="auto" w:fill="auto"/>
            <w:vAlign w:val="bottom"/>
          </w:tcPr>
          <w:p w14:paraId="4060EBD0" w14:textId="4FE75B12" w:rsidR="00DB57CD" w:rsidRPr="00A1123E" w:rsidRDefault="00DB57CD" w:rsidP="00DB57CD">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sz w:val="19"/>
                <w:szCs w:val="19"/>
              </w:rPr>
              <w:t xml:space="preserve"> 1</w:t>
            </w:r>
            <w:r>
              <w:rPr>
                <w:rFonts w:cstheme="minorHAnsi"/>
                <w:sz w:val="19"/>
                <w:szCs w:val="19"/>
              </w:rPr>
              <w:t>,</w:t>
            </w:r>
            <w:r w:rsidRPr="00014DB6">
              <w:rPr>
                <w:rFonts w:cstheme="minorHAnsi"/>
                <w:sz w:val="19"/>
                <w:szCs w:val="19"/>
              </w:rPr>
              <w:t>960</w:t>
            </w:r>
            <w:r>
              <w:rPr>
                <w:rFonts w:cstheme="minorHAnsi"/>
                <w:sz w:val="19"/>
                <w:szCs w:val="19"/>
              </w:rPr>
              <w:t>,</w:t>
            </w:r>
            <w:r w:rsidRPr="00014DB6">
              <w:rPr>
                <w:rFonts w:cstheme="minorHAnsi"/>
                <w:sz w:val="19"/>
                <w:szCs w:val="19"/>
              </w:rPr>
              <w:t xml:space="preserve">423 </w:t>
            </w:r>
          </w:p>
        </w:tc>
        <w:tc>
          <w:tcPr>
            <w:tcW w:w="482" w:type="pct"/>
            <w:tcBorders>
              <w:top w:val="nil"/>
              <w:left w:val="nil"/>
              <w:bottom w:val="nil"/>
              <w:right w:val="nil"/>
            </w:tcBorders>
            <w:shd w:val="clear" w:color="auto" w:fill="auto"/>
            <w:vAlign w:val="bottom"/>
          </w:tcPr>
          <w:p w14:paraId="61436646" w14:textId="01D07157" w:rsidR="00DB57CD" w:rsidRPr="00A1123E" w:rsidRDefault="00DB57CD" w:rsidP="00DB57CD">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sz w:val="19"/>
                <w:szCs w:val="19"/>
              </w:rPr>
              <w:t xml:space="preserve"> - </w:t>
            </w:r>
          </w:p>
        </w:tc>
        <w:tc>
          <w:tcPr>
            <w:tcW w:w="482" w:type="pct"/>
            <w:tcBorders>
              <w:top w:val="nil"/>
              <w:left w:val="nil"/>
              <w:bottom w:val="nil"/>
              <w:right w:val="nil"/>
            </w:tcBorders>
            <w:shd w:val="clear" w:color="auto" w:fill="auto"/>
            <w:vAlign w:val="bottom"/>
          </w:tcPr>
          <w:p w14:paraId="71B771DB" w14:textId="6481D9D2" w:rsidR="00DB57CD" w:rsidRPr="00A1123E" w:rsidRDefault="00DB57CD" w:rsidP="00DB57CD">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sz w:val="19"/>
                <w:szCs w:val="19"/>
              </w:rPr>
              <w:t xml:space="preserve"> - </w:t>
            </w:r>
          </w:p>
        </w:tc>
        <w:tc>
          <w:tcPr>
            <w:tcW w:w="558" w:type="pct"/>
            <w:tcBorders>
              <w:top w:val="nil"/>
              <w:left w:val="nil"/>
              <w:bottom w:val="nil"/>
              <w:right w:val="nil"/>
            </w:tcBorders>
            <w:shd w:val="clear" w:color="auto" w:fill="auto"/>
            <w:vAlign w:val="bottom"/>
          </w:tcPr>
          <w:p w14:paraId="2597C403" w14:textId="02979DC0" w:rsidR="00DB57CD" w:rsidRPr="00A1123E" w:rsidRDefault="00DB57CD" w:rsidP="00DB57CD">
            <w:pPr>
              <w:tabs>
                <w:tab w:val="right" w:pos="1202"/>
              </w:tabs>
              <w:spacing w:after="0" w:line="240" w:lineRule="exact"/>
              <w:jc w:val="right"/>
              <w:outlineLvl w:val="0"/>
              <w:rPr>
                <w:rFonts w:ascii="Calibri" w:eastAsia="Times New Roman" w:hAnsi="Calibri" w:cs="Arial"/>
                <w:b/>
                <w:sz w:val="19"/>
                <w:szCs w:val="19"/>
                <w:lang w:val="en-US"/>
              </w:rPr>
            </w:pPr>
            <w:r w:rsidRPr="00014DB6">
              <w:rPr>
                <w:rFonts w:cstheme="minorHAnsi"/>
                <w:b/>
                <w:bCs/>
                <w:sz w:val="19"/>
                <w:szCs w:val="19"/>
              </w:rPr>
              <w:t xml:space="preserve"> 1</w:t>
            </w:r>
            <w:r>
              <w:rPr>
                <w:rFonts w:cstheme="minorHAnsi"/>
                <w:b/>
                <w:bCs/>
                <w:sz w:val="19"/>
                <w:szCs w:val="19"/>
              </w:rPr>
              <w:t>,</w:t>
            </w:r>
            <w:r w:rsidRPr="00014DB6">
              <w:rPr>
                <w:rFonts w:cstheme="minorHAnsi"/>
                <w:b/>
                <w:bCs/>
                <w:sz w:val="19"/>
                <w:szCs w:val="19"/>
              </w:rPr>
              <w:t>960</w:t>
            </w:r>
            <w:r>
              <w:rPr>
                <w:rFonts w:cstheme="minorHAnsi"/>
                <w:b/>
                <w:bCs/>
                <w:sz w:val="19"/>
                <w:szCs w:val="19"/>
              </w:rPr>
              <w:t>,</w:t>
            </w:r>
            <w:r w:rsidRPr="00014DB6">
              <w:rPr>
                <w:rFonts w:cstheme="minorHAnsi"/>
                <w:b/>
                <w:bCs/>
                <w:sz w:val="19"/>
                <w:szCs w:val="19"/>
              </w:rPr>
              <w:t xml:space="preserve">423 </w:t>
            </w:r>
          </w:p>
        </w:tc>
      </w:tr>
      <w:tr w:rsidR="00DB57CD" w:rsidRPr="004E075C" w14:paraId="190B5A6F" w14:textId="77777777" w:rsidTr="00DB57CD">
        <w:trPr>
          <w:trHeight w:val="278"/>
        </w:trPr>
        <w:tc>
          <w:tcPr>
            <w:tcW w:w="933" w:type="pct"/>
            <w:vAlign w:val="bottom"/>
          </w:tcPr>
          <w:p w14:paraId="33D97FC1" w14:textId="77777777" w:rsidR="00DB57CD" w:rsidRPr="00A1123E" w:rsidRDefault="00DB57CD" w:rsidP="00DB57CD">
            <w:pPr>
              <w:tabs>
                <w:tab w:val="right" w:pos="1202"/>
              </w:tabs>
              <w:spacing w:after="0" w:line="240" w:lineRule="exact"/>
              <w:outlineLvl w:val="0"/>
              <w:rPr>
                <w:rFonts w:ascii="Calibri" w:eastAsia="Times New Roman" w:hAnsi="Calibri" w:cs="Arial"/>
                <w:sz w:val="19"/>
                <w:szCs w:val="19"/>
                <w:lang w:val="en-US"/>
              </w:rPr>
            </w:pPr>
            <w:r w:rsidRPr="00A1123E">
              <w:rPr>
                <w:rFonts w:ascii="Calibri" w:eastAsia="Times New Roman" w:hAnsi="Calibri" w:cs="Arial"/>
                <w:sz w:val="19"/>
                <w:szCs w:val="19"/>
                <w:lang w:val="en-US"/>
              </w:rPr>
              <w:t>Loss allowances</w:t>
            </w:r>
          </w:p>
        </w:tc>
        <w:tc>
          <w:tcPr>
            <w:tcW w:w="558" w:type="pct"/>
            <w:tcBorders>
              <w:top w:val="nil"/>
              <w:left w:val="nil"/>
              <w:bottom w:val="nil"/>
              <w:right w:val="nil"/>
            </w:tcBorders>
            <w:shd w:val="clear" w:color="auto" w:fill="auto"/>
            <w:vAlign w:val="bottom"/>
          </w:tcPr>
          <w:p w14:paraId="3A06E8CE" w14:textId="3E4EA2E1" w:rsidR="00DB57CD" w:rsidRPr="00A1123E" w:rsidRDefault="00DB57CD" w:rsidP="00DB57CD">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sz w:val="19"/>
                <w:szCs w:val="19"/>
              </w:rPr>
              <w:t xml:space="preserve"> (1</w:t>
            </w:r>
            <w:r>
              <w:rPr>
                <w:rFonts w:cstheme="minorHAnsi"/>
                <w:sz w:val="19"/>
                <w:szCs w:val="19"/>
              </w:rPr>
              <w:t>,</w:t>
            </w:r>
            <w:r w:rsidRPr="00014DB6">
              <w:rPr>
                <w:rFonts w:cstheme="minorHAnsi"/>
                <w:sz w:val="19"/>
                <w:szCs w:val="19"/>
              </w:rPr>
              <w:t>809)</w:t>
            </w:r>
          </w:p>
        </w:tc>
        <w:tc>
          <w:tcPr>
            <w:tcW w:w="482" w:type="pct"/>
            <w:tcBorders>
              <w:top w:val="nil"/>
              <w:left w:val="nil"/>
              <w:bottom w:val="nil"/>
              <w:right w:val="nil"/>
            </w:tcBorders>
            <w:shd w:val="clear" w:color="auto" w:fill="auto"/>
            <w:vAlign w:val="bottom"/>
          </w:tcPr>
          <w:p w14:paraId="361DEA92" w14:textId="5EBBA495" w:rsidR="00DB57CD" w:rsidRPr="00A1123E" w:rsidRDefault="00DB57CD" w:rsidP="00DB57CD">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sz w:val="19"/>
                <w:szCs w:val="19"/>
              </w:rPr>
              <w:t xml:space="preserve"> - </w:t>
            </w:r>
          </w:p>
        </w:tc>
        <w:tc>
          <w:tcPr>
            <w:tcW w:w="482" w:type="pct"/>
            <w:tcBorders>
              <w:top w:val="nil"/>
              <w:left w:val="nil"/>
              <w:bottom w:val="nil"/>
              <w:right w:val="nil"/>
            </w:tcBorders>
            <w:shd w:val="clear" w:color="auto" w:fill="auto"/>
            <w:vAlign w:val="bottom"/>
          </w:tcPr>
          <w:p w14:paraId="34BCC4AC" w14:textId="7805F69F" w:rsidR="00DB57CD" w:rsidRPr="00A1123E" w:rsidRDefault="00DB57CD" w:rsidP="00DB57CD">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sz w:val="19"/>
                <w:szCs w:val="19"/>
              </w:rPr>
              <w:t xml:space="preserve"> - </w:t>
            </w:r>
          </w:p>
        </w:tc>
        <w:tc>
          <w:tcPr>
            <w:tcW w:w="511" w:type="pct"/>
            <w:tcBorders>
              <w:top w:val="nil"/>
              <w:left w:val="nil"/>
              <w:bottom w:val="nil"/>
              <w:right w:val="nil"/>
            </w:tcBorders>
            <w:shd w:val="clear" w:color="auto" w:fill="auto"/>
            <w:vAlign w:val="bottom"/>
          </w:tcPr>
          <w:p w14:paraId="48D1C7F6" w14:textId="3C833795" w:rsidR="00DB57CD" w:rsidRPr="00A1123E" w:rsidRDefault="00DB57CD" w:rsidP="00DB57CD">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b/>
                <w:bCs/>
                <w:sz w:val="19"/>
                <w:szCs w:val="19"/>
              </w:rPr>
              <w:t xml:space="preserve"> (1</w:t>
            </w:r>
            <w:r>
              <w:rPr>
                <w:rFonts w:cstheme="minorHAnsi"/>
                <w:b/>
                <w:bCs/>
                <w:sz w:val="19"/>
                <w:szCs w:val="19"/>
              </w:rPr>
              <w:t>,</w:t>
            </w:r>
            <w:r w:rsidRPr="00014DB6">
              <w:rPr>
                <w:rFonts w:cstheme="minorHAnsi"/>
                <w:b/>
                <w:bCs/>
                <w:sz w:val="19"/>
                <w:szCs w:val="19"/>
              </w:rPr>
              <w:t>809)</w:t>
            </w:r>
          </w:p>
        </w:tc>
        <w:tc>
          <w:tcPr>
            <w:tcW w:w="511" w:type="pct"/>
            <w:tcBorders>
              <w:top w:val="nil"/>
              <w:left w:val="nil"/>
              <w:bottom w:val="nil"/>
              <w:right w:val="nil"/>
            </w:tcBorders>
            <w:shd w:val="clear" w:color="auto" w:fill="auto"/>
            <w:vAlign w:val="bottom"/>
          </w:tcPr>
          <w:p w14:paraId="32F0FB2A" w14:textId="1CFA903D" w:rsidR="00DB57CD" w:rsidRPr="00A1123E" w:rsidRDefault="00DB57CD" w:rsidP="00DB57CD">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sz w:val="19"/>
                <w:szCs w:val="19"/>
              </w:rPr>
              <w:t xml:space="preserve"> (1</w:t>
            </w:r>
            <w:r>
              <w:rPr>
                <w:rFonts w:cstheme="minorHAnsi"/>
                <w:sz w:val="19"/>
                <w:szCs w:val="19"/>
              </w:rPr>
              <w:t>,</w:t>
            </w:r>
            <w:r w:rsidRPr="00014DB6">
              <w:rPr>
                <w:rFonts w:cstheme="minorHAnsi"/>
                <w:sz w:val="19"/>
                <w:szCs w:val="19"/>
              </w:rPr>
              <w:t>804)</w:t>
            </w:r>
          </w:p>
        </w:tc>
        <w:tc>
          <w:tcPr>
            <w:tcW w:w="482" w:type="pct"/>
            <w:tcBorders>
              <w:top w:val="nil"/>
              <w:left w:val="nil"/>
              <w:bottom w:val="nil"/>
              <w:right w:val="nil"/>
            </w:tcBorders>
            <w:shd w:val="clear" w:color="auto" w:fill="auto"/>
            <w:vAlign w:val="bottom"/>
          </w:tcPr>
          <w:p w14:paraId="61E04915" w14:textId="7C2FC9D1" w:rsidR="00DB57CD" w:rsidRPr="00A1123E" w:rsidRDefault="00DB57CD" w:rsidP="00DB57CD">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sz w:val="19"/>
                <w:szCs w:val="19"/>
              </w:rPr>
              <w:t xml:space="preserve"> - </w:t>
            </w:r>
          </w:p>
        </w:tc>
        <w:tc>
          <w:tcPr>
            <w:tcW w:w="482" w:type="pct"/>
            <w:tcBorders>
              <w:top w:val="nil"/>
              <w:left w:val="nil"/>
              <w:bottom w:val="nil"/>
              <w:right w:val="nil"/>
            </w:tcBorders>
            <w:shd w:val="clear" w:color="auto" w:fill="auto"/>
            <w:vAlign w:val="bottom"/>
          </w:tcPr>
          <w:p w14:paraId="746087C3" w14:textId="4AA0E86F" w:rsidR="00DB57CD" w:rsidRPr="00A1123E" w:rsidRDefault="00DB57CD" w:rsidP="00DB57CD">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sz w:val="19"/>
                <w:szCs w:val="19"/>
              </w:rPr>
              <w:t xml:space="preserve"> - </w:t>
            </w:r>
          </w:p>
        </w:tc>
        <w:tc>
          <w:tcPr>
            <w:tcW w:w="558" w:type="pct"/>
            <w:tcBorders>
              <w:top w:val="nil"/>
              <w:left w:val="nil"/>
              <w:bottom w:val="nil"/>
              <w:right w:val="nil"/>
            </w:tcBorders>
            <w:shd w:val="clear" w:color="auto" w:fill="auto"/>
            <w:vAlign w:val="bottom"/>
          </w:tcPr>
          <w:p w14:paraId="36453B94" w14:textId="6173170F" w:rsidR="00DB57CD" w:rsidRPr="00A1123E" w:rsidRDefault="00DB57CD" w:rsidP="00DB57CD">
            <w:pPr>
              <w:tabs>
                <w:tab w:val="right" w:pos="1202"/>
              </w:tabs>
              <w:spacing w:after="0" w:line="240" w:lineRule="exact"/>
              <w:jc w:val="right"/>
              <w:outlineLvl w:val="0"/>
              <w:rPr>
                <w:rFonts w:ascii="Calibri" w:eastAsia="Times New Roman" w:hAnsi="Calibri" w:cs="Arial"/>
                <w:b/>
                <w:sz w:val="19"/>
                <w:szCs w:val="19"/>
                <w:lang w:val="en-US"/>
              </w:rPr>
            </w:pPr>
            <w:r w:rsidRPr="00014DB6">
              <w:rPr>
                <w:rFonts w:cstheme="minorHAnsi"/>
                <w:b/>
                <w:bCs/>
                <w:sz w:val="19"/>
                <w:szCs w:val="19"/>
              </w:rPr>
              <w:t xml:space="preserve"> (1</w:t>
            </w:r>
            <w:r>
              <w:rPr>
                <w:rFonts w:cstheme="minorHAnsi"/>
                <w:b/>
                <w:bCs/>
                <w:sz w:val="19"/>
                <w:szCs w:val="19"/>
              </w:rPr>
              <w:t>,</w:t>
            </w:r>
            <w:r w:rsidRPr="00014DB6">
              <w:rPr>
                <w:rFonts w:cstheme="minorHAnsi"/>
                <w:b/>
                <w:bCs/>
                <w:sz w:val="19"/>
                <w:szCs w:val="19"/>
              </w:rPr>
              <w:t>804)</w:t>
            </w:r>
          </w:p>
        </w:tc>
      </w:tr>
      <w:tr w:rsidR="00DB57CD" w:rsidRPr="004E075C" w14:paraId="71EF9A01" w14:textId="77777777" w:rsidTr="00DB57CD">
        <w:trPr>
          <w:trHeight w:val="510"/>
        </w:trPr>
        <w:tc>
          <w:tcPr>
            <w:tcW w:w="933" w:type="pct"/>
            <w:vAlign w:val="bottom"/>
          </w:tcPr>
          <w:p w14:paraId="63991A9B" w14:textId="147F7A8A" w:rsidR="00DB57CD" w:rsidRPr="00A1123E" w:rsidRDefault="00DB57CD" w:rsidP="00DB57CD">
            <w:pPr>
              <w:tabs>
                <w:tab w:val="right" w:pos="1202"/>
              </w:tabs>
              <w:spacing w:after="0" w:line="240" w:lineRule="exact"/>
              <w:outlineLvl w:val="0"/>
              <w:rPr>
                <w:rFonts w:ascii="Calibri" w:eastAsia="Times New Roman" w:hAnsi="Calibri" w:cs="Arial"/>
                <w:b/>
                <w:iCs/>
                <w:sz w:val="19"/>
                <w:szCs w:val="19"/>
                <w:lang w:val="en-US"/>
              </w:rPr>
            </w:pPr>
            <w:r w:rsidRPr="00A1123E">
              <w:rPr>
                <w:rFonts w:ascii="Calibri" w:eastAsia="Times New Roman" w:hAnsi="Calibri" w:cs="Arial"/>
                <w:b/>
                <w:iCs/>
                <w:sz w:val="19"/>
                <w:szCs w:val="19"/>
                <w:lang w:val="en-US"/>
              </w:rPr>
              <w:t>Balance as of 31 December 202</w:t>
            </w:r>
            <w:r>
              <w:rPr>
                <w:rFonts w:ascii="Calibri" w:eastAsia="Times New Roman" w:hAnsi="Calibri" w:cs="Arial"/>
                <w:b/>
                <w:iCs/>
                <w:sz w:val="19"/>
                <w:szCs w:val="19"/>
                <w:lang w:val="en-US"/>
              </w:rPr>
              <w:t>1</w:t>
            </w:r>
          </w:p>
        </w:tc>
        <w:tc>
          <w:tcPr>
            <w:tcW w:w="558" w:type="pct"/>
            <w:tcBorders>
              <w:top w:val="single" w:sz="4" w:space="0" w:color="auto"/>
              <w:left w:val="nil"/>
              <w:bottom w:val="single" w:sz="12" w:space="0" w:color="auto"/>
              <w:right w:val="nil"/>
            </w:tcBorders>
            <w:shd w:val="clear" w:color="auto" w:fill="auto"/>
            <w:vAlign w:val="bottom"/>
          </w:tcPr>
          <w:p w14:paraId="039E94B0" w14:textId="4D2F1123" w:rsidR="00DB57CD" w:rsidRPr="00A1123E" w:rsidRDefault="00DB57CD" w:rsidP="00DB57CD">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b/>
                <w:bCs/>
                <w:sz w:val="19"/>
                <w:szCs w:val="19"/>
              </w:rPr>
              <w:t xml:space="preserve"> 1</w:t>
            </w:r>
            <w:r>
              <w:rPr>
                <w:rFonts w:cstheme="minorHAnsi"/>
                <w:b/>
                <w:bCs/>
                <w:sz w:val="19"/>
                <w:szCs w:val="19"/>
              </w:rPr>
              <w:t>,</w:t>
            </w:r>
            <w:r w:rsidRPr="00014DB6">
              <w:rPr>
                <w:rFonts w:cstheme="minorHAnsi"/>
                <w:b/>
                <w:bCs/>
                <w:sz w:val="19"/>
                <w:szCs w:val="19"/>
              </w:rPr>
              <w:t>961</w:t>
            </w:r>
            <w:r>
              <w:rPr>
                <w:rFonts w:cstheme="minorHAnsi"/>
                <w:b/>
                <w:bCs/>
                <w:sz w:val="19"/>
                <w:szCs w:val="19"/>
              </w:rPr>
              <w:t>,</w:t>
            </w:r>
            <w:r w:rsidRPr="00014DB6">
              <w:rPr>
                <w:rFonts w:cstheme="minorHAnsi"/>
                <w:b/>
                <w:bCs/>
                <w:sz w:val="19"/>
                <w:szCs w:val="19"/>
              </w:rPr>
              <w:t xml:space="preserve">985 </w:t>
            </w:r>
          </w:p>
        </w:tc>
        <w:tc>
          <w:tcPr>
            <w:tcW w:w="482" w:type="pct"/>
            <w:tcBorders>
              <w:top w:val="single" w:sz="4" w:space="0" w:color="auto"/>
              <w:left w:val="nil"/>
              <w:bottom w:val="single" w:sz="12" w:space="0" w:color="auto"/>
              <w:right w:val="nil"/>
            </w:tcBorders>
            <w:shd w:val="clear" w:color="auto" w:fill="auto"/>
            <w:vAlign w:val="bottom"/>
          </w:tcPr>
          <w:p w14:paraId="75BAD862" w14:textId="334953F4" w:rsidR="00DB57CD" w:rsidRPr="00A1123E" w:rsidRDefault="00DB57CD" w:rsidP="00DB57CD">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b/>
                <w:bCs/>
                <w:sz w:val="19"/>
                <w:szCs w:val="19"/>
              </w:rPr>
              <w:t xml:space="preserve"> - </w:t>
            </w:r>
          </w:p>
        </w:tc>
        <w:tc>
          <w:tcPr>
            <w:tcW w:w="482" w:type="pct"/>
            <w:tcBorders>
              <w:top w:val="single" w:sz="4" w:space="0" w:color="auto"/>
              <w:left w:val="nil"/>
              <w:bottom w:val="single" w:sz="12" w:space="0" w:color="auto"/>
              <w:right w:val="nil"/>
            </w:tcBorders>
            <w:shd w:val="clear" w:color="auto" w:fill="auto"/>
            <w:vAlign w:val="bottom"/>
          </w:tcPr>
          <w:p w14:paraId="1C0C2D80" w14:textId="21C55A1B" w:rsidR="00DB57CD" w:rsidRPr="00A1123E" w:rsidRDefault="00DB57CD" w:rsidP="00DB57CD">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b/>
                <w:bCs/>
                <w:sz w:val="19"/>
                <w:szCs w:val="19"/>
              </w:rPr>
              <w:t xml:space="preserve"> - </w:t>
            </w:r>
          </w:p>
        </w:tc>
        <w:tc>
          <w:tcPr>
            <w:tcW w:w="511" w:type="pct"/>
            <w:tcBorders>
              <w:top w:val="single" w:sz="4" w:space="0" w:color="auto"/>
              <w:left w:val="nil"/>
              <w:bottom w:val="single" w:sz="12" w:space="0" w:color="auto"/>
              <w:right w:val="nil"/>
            </w:tcBorders>
            <w:shd w:val="clear" w:color="auto" w:fill="auto"/>
            <w:vAlign w:val="bottom"/>
          </w:tcPr>
          <w:p w14:paraId="1A3A51C2" w14:textId="7240AE4D" w:rsidR="00DB57CD" w:rsidRPr="00A1123E" w:rsidRDefault="00DB57CD" w:rsidP="00DB57CD">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b/>
                <w:bCs/>
                <w:sz w:val="19"/>
                <w:szCs w:val="19"/>
              </w:rPr>
              <w:t xml:space="preserve"> 1</w:t>
            </w:r>
            <w:r>
              <w:rPr>
                <w:rFonts w:cstheme="minorHAnsi"/>
                <w:b/>
                <w:bCs/>
                <w:sz w:val="19"/>
                <w:szCs w:val="19"/>
              </w:rPr>
              <w:t>,</w:t>
            </w:r>
            <w:r w:rsidRPr="00014DB6">
              <w:rPr>
                <w:rFonts w:cstheme="minorHAnsi"/>
                <w:b/>
                <w:bCs/>
                <w:sz w:val="19"/>
                <w:szCs w:val="19"/>
              </w:rPr>
              <w:t>961</w:t>
            </w:r>
            <w:r>
              <w:rPr>
                <w:rFonts w:cstheme="minorHAnsi"/>
                <w:b/>
                <w:bCs/>
                <w:sz w:val="19"/>
                <w:szCs w:val="19"/>
              </w:rPr>
              <w:t>,</w:t>
            </w:r>
            <w:r w:rsidRPr="00014DB6">
              <w:rPr>
                <w:rFonts w:cstheme="minorHAnsi"/>
                <w:b/>
                <w:bCs/>
                <w:sz w:val="19"/>
                <w:szCs w:val="19"/>
              </w:rPr>
              <w:t xml:space="preserve">985 </w:t>
            </w:r>
          </w:p>
        </w:tc>
        <w:tc>
          <w:tcPr>
            <w:tcW w:w="511" w:type="pct"/>
            <w:tcBorders>
              <w:top w:val="single" w:sz="4" w:space="0" w:color="auto"/>
              <w:left w:val="nil"/>
              <w:bottom w:val="single" w:sz="12" w:space="0" w:color="auto"/>
              <w:right w:val="nil"/>
            </w:tcBorders>
            <w:shd w:val="clear" w:color="auto" w:fill="auto"/>
            <w:vAlign w:val="bottom"/>
          </w:tcPr>
          <w:p w14:paraId="4A5F332D" w14:textId="10F9CF2F" w:rsidR="00DB57CD" w:rsidRPr="00A1123E" w:rsidRDefault="00DB57CD" w:rsidP="00DB57CD">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b/>
                <w:bCs/>
                <w:sz w:val="19"/>
                <w:szCs w:val="19"/>
              </w:rPr>
              <w:t xml:space="preserve"> 1</w:t>
            </w:r>
            <w:r>
              <w:rPr>
                <w:rFonts w:cstheme="minorHAnsi"/>
                <w:b/>
                <w:bCs/>
                <w:sz w:val="19"/>
                <w:szCs w:val="19"/>
              </w:rPr>
              <w:t>,</w:t>
            </w:r>
            <w:r w:rsidRPr="00014DB6">
              <w:rPr>
                <w:rFonts w:cstheme="minorHAnsi"/>
                <w:b/>
                <w:bCs/>
                <w:sz w:val="19"/>
                <w:szCs w:val="19"/>
              </w:rPr>
              <w:t>958</w:t>
            </w:r>
            <w:r>
              <w:rPr>
                <w:rFonts w:cstheme="minorHAnsi"/>
                <w:b/>
                <w:bCs/>
                <w:sz w:val="19"/>
                <w:szCs w:val="19"/>
              </w:rPr>
              <w:t>,</w:t>
            </w:r>
            <w:r w:rsidRPr="00014DB6">
              <w:rPr>
                <w:rFonts w:cstheme="minorHAnsi"/>
                <w:b/>
                <w:bCs/>
                <w:sz w:val="19"/>
                <w:szCs w:val="19"/>
              </w:rPr>
              <w:t xml:space="preserve">619 </w:t>
            </w:r>
          </w:p>
        </w:tc>
        <w:tc>
          <w:tcPr>
            <w:tcW w:w="482" w:type="pct"/>
            <w:tcBorders>
              <w:top w:val="single" w:sz="4" w:space="0" w:color="auto"/>
              <w:left w:val="nil"/>
              <w:bottom w:val="single" w:sz="12" w:space="0" w:color="auto"/>
              <w:right w:val="nil"/>
            </w:tcBorders>
            <w:shd w:val="clear" w:color="auto" w:fill="auto"/>
            <w:vAlign w:val="bottom"/>
          </w:tcPr>
          <w:p w14:paraId="413B2BED" w14:textId="4C4F5A1A" w:rsidR="00DB57CD" w:rsidRPr="00A1123E" w:rsidRDefault="00DB57CD" w:rsidP="00DB57CD">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b/>
                <w:bCs/>
                <w:sz w:val="19"/>
                <w:szCs w:val="19"/>
              </w:rPr>
              <w:t xml:space="preserve"> - </w:t>
            </w:r>
          </w:p>
        </w:tc>
        <w:tc>
          <w:tcPr>
            <w:tcW w:w="482" w:type="pct"/>
            <w:tcBorders>
              <w:top w:val="single" w:sz="4" w:space="0" w:color="auto"/>
              <w:left w:val="nil"/>
              <w:bottom w:val="single" w:sz="12" w:space="0" w:color="auto"/>
              <w:right w:val="nil"/>
            </w:tcBorders>
            <w:shd w:val="clear" w:color="auto" w:fill="auto"/>
            <w:vAlign w:val="bottom"/>
          </w:tcPr>
          <w:p w14:paraId="1610F020" w14:textId="12CB093F" w:rsidR="00DB57CD" w:rsidRPr="00A1123E" w:rsidRDefault="00DB57CD" w:rsidP="00DB57CD">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b/>
                <w:bCs/>
                <w:sz w:val="19"/>
                <w:szCs w:val="19"/>
              </w:rPr>
              <w:t xml:space="preserve"> - </w:t>
            </w:r>
          </w:p>
        </w:tc>
        <w:tc>
          <w:tcPr>
            <w:tcW w:w="558" w:type="pct"/>
            <w:tcBorders>
              <w:top w:val="single" w:sz="4" w:space="0" w:color="auto"/>
              <w:left w:val="nil"/>
              <w:bottom w:val="single" w:sz="12" w:space="0" w:color="auto"/>
              <w:right w:val="nil"/>
            </w:tcBorders>
            <w:shd w:val="clear" w:color="auto" w:fill="auto"/>
            <w:vAlign w:val="bottom"/>
          </w:tcPr>
          <w:p w14:paraId="22D8CAFA" w14:textId="03E847F3" w:rsidR="00DB57CD" w:rsidRPr="00A1123E" w:rsidRDefault="00DB57CD" w:rsidP="00DB57CD">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b/>
                <w:bCs/>
                <w:sz w:val="19"/>
                <w:szCs w:val="19"/>
              </w:rPr>
              <w:t xml:space="preserve"> 1</w:t>
            </w:r>
            <w:r>
              <w:rPr>
                <w:rFonts w:cstheme="minorHAnsi"/>
                <w:b/>
                <w:bCs/>
                <w:sz w:val="19"/>
                <w:szCs w:val="19"/>
              </w:rPr>
              <w:t>,</w:t>
            </w:r>
            <w:r w:rsidRPr="00014DB6">
              <w:rPr>
                <w:rFonts w:cstheme="minorHAnsi"/>
                <w:b/>
                <w:bCs/>
                <w:sz w:val="19"/>
                <w:szCs w:val="19"/>
              </w:rPr>
              <w:t>958</w:t>
            </w:r>
            <w:r>
              <w:rPr>
                <w:rFonts w:cstheme="minorHAnsi"/>
                <w:b/>
                <w:bCs/>
                <w:sz w:val="19"/>
                <w:szCs w:val="19"/>
              </w:rPr>
              <w:t>,</w:t>
            </w:r>
            <w:r w:rsidRPr="00014DB6">
              <w:rPr>
                <w:rFonts w:cstheme="minorHAnsi"/>
                <w:b/>
                <w:bCs/>
                <w:sz w:val="19"/>
                <w:szCs w:val="19"/>
              </w:rPr>
              <w:t xml:space="preserve">619 </w:t>
            </w:r>
          </w:p>
        </w:tc>
      </w:tr>
    </w:tbl>
    <w:p w14:paraId="5A44DC03"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p>
    <w:p w14:paraId="1EB93EDA" w14:textId="77777777" w:rsidR="00ED5B7E" w:rsidRPr="00537128" w:rsidRDefault="00ED5B7E" w:rsidP="00011933">
      <w:pPr>
        <w:autoSpaceDE w:val="0"/>
        <w:autoSpaceDN w:val="0"/>
        <w:adjustRightInd w:val="0"/>
        <w:spacing w:after="0" w:line="240" w:lineRule="auto"/>
        <w:jc w:val="both"/>
        <w:rPr>
          <w:noProof/>
          <w:color w:val="000000" w:themeColor="text1"/>
          <w:lang w:val="en-US"/>
        </w:rPr>
      </w:pPr>
    </w:p>
    <w:p w14:paraId="43ACE9EB" w14:textId="77777777" w:rsidR="00D3297A" w:rsidRPr="00537128" w:rsidRDefault="00D3297A" w:rsidP="00011933">
      <w:pPr>
        <w:autoSpaceDE w:val="0"/>
        <w:autoSpaceDN w:val="0"/>
        <w:adjustRightInd w:val="0"/>
        <w:spacing w:after="0" w:line="240" w:lineRule="auto"/>
        <w:jc w:val="both"/>
        <w:rPr>
          <w:noProof/>
          <w:color w:val="000000" w:themeColor="text1"/>
          <w:lang w:val="en-US"/>
        </w:rPr>
        <w:sectPr w:rsidR="00D3297A" w:rsidRPr="00537128">
          <w:pgSz w:w="11906" w:h="16838"/>
          <w:pgMar w:top="1417" w:right="1417" w:bottom="1417" w:left="1417" w:header="708" w:footer="708" w:gutter="0"/>
          <w:cols w:space="708"/>
          <w:docGrid w:linePitch="360"/>
        </w:sectPr>
      </w:pPr>
    </w:p>
    <w:p w14:paraId="5B96A31A"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p>
    <w:p w14:paraId="3CFC0845" w14:textId="77777777" w:rsidR="00D3297A" w:rsidRPr="00537128" w:rsidRDefault="00D3297A" w:rsidP="005B7D9D">
      <w:pPr>
        <w:pStyle w:val="ListParagraph"/>
        <w:numPr>
          <w:ilvl w:val="0"/>
          <w:numId w:val="9"/>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Cash on hand and current accounts with banks (continued)</w:t>
      </w:r>
    </w:p>
    <w:p w14:paraId="2BD60128"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p>
    <w:p w14:paraId="4BF716F3"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The movements in the loss allowances on amounts due from banks may be summarized as follows:</w:t>
      </w:r>
    </w:p>
    <w:p w14:paraId="613843B0" w14:textId="34278A12" w:rsidR="00D3297A" w:rsidRPr="00537128" w:rsidRDefault="00D3297A" w:rsidP="00D3297A">
      <w:pPr>
        <w:autoSpaceDE w:val="0"/>
        <w:autoSpaceDN w:val="0"/>
        <w:adjustRightInd w:val="0"/>
        <w:spacing w:after="0" w:line="240" w:lineRule="auto"/>
        <w:jc w:val="both"/>
        <w:rPr>
          <w:noProof/>
          <w:color w:val="000000" w:themeColor="text1"/>
          <w:lang w:val="en-US"/>
        </w:rPr>
      </w:pPr>
    </w:p>
    <w:tbl>
      <w:tblPr>
        <w:tblW w:w="5028" w:type="pct"/>
        <w:tblLayout w:type="fixed"/>
        <w:tblLook w:val="0000" w:firstRow="0" w:lastRow="0" w:firstColumn="0" w:lastColumn="0" w:noHBand="0" w:noVBand="0"/>
      </w:tblPr>
      <w:tblGrid>
        <w:gridCol w:w="4536"/>
        <w:gridCol w:w="1276"/>
        <w:gridCol w:w="1134"/>
        <w:gridCol w:w="1276"/>
        <w:gridCol w:w="1185"/>
      </w:tblGrid>
      <w:tr w:rsidR="00987F88" w:rsidRPr="00537128" w14:paraId="3AFD32ED" w14:textId="77777777" w:rsidTr="00272BE2">
        <w:trPr>
          <w:trHeight w:val="308"/>
        </w:trPr>
        <w:tc>
          <w:tcPr>
            <w:tcW w:w="2411" w:type="pct"/>
          </w:tcPr>
          <w:p w14:paraId="578ADB84" w14:textId="77777777" w:rsidR="00987F88" w:rsidRPr="00537128" w:rsidRDefault="00987F88" w:rsidP="00987F88">
            <w:pPr>
              <w:tabs>
                <w:tab w:val="left" w:pos="-720"/>
              </w:tabs>
              <w:suppressAutoHyphens/>
              <w:spacing w:after="0" w:line="220" w:lineRule="exact"/>
              <w:rPr>
                <w:rFonts w:ascii="Calibri" w:eastAsia="Calibri" w:hAnsi="Calibri" w:cs="Arial"/>
                <w:b/>
                <w:noProof/>
                <w:spacing w:val="-3"/>
                <w:sz w:val="20"/>
                <w:szCs w:val="20"/>
                <w:lang w:val="en-US"/>
              </w:rPr>
            </w:pPr>
          </w:p>
        </w:tc>
        <w:tc>
          <w:tcPr>
            <w:tcW w:w="678" w:type="pct"/>
            <w:vAlign w:val="bottom"/>
          </w:tcPr>
          <w:p w14:paraId="05142901" w14:textId="77777777" w:rsidR="00987F88" w:rsidRPr="00537128" w:rsidRDefault="00987F88" w:rsidP="00987F88">
            <w:pPr>
              <w:tabs>
                <w:tab w:val="right" w:pos="1202"/>
              </w:tabs>
              <w:spacing w:after="0" w:line="240" w:lineRule="atLeast"/>
              <w:jc w:val="right"/>
              <w:outlineLvl w:val="0"/>
              <w:rPr>
                <w:rFonts w:ascii="Calibri" w:eastAsia="Calibri" w:hAnsi="Calibri" w:cs="Arial"/>
                <w:b/>
                <w:noProof/>
                <w:sz w:val="20"/>
                <w:szCs w:val="20"/>
                <w:lang w:val="en-US"/>
              </w:rPr>
            </w:pPr>
          </w:p>
        </w:tc>
        <w:tc>
          <w:tcPr>
            <w:tcW w:w="603" w:type="pct"/>
            <w:vAlign w:val="bottom"/>
          </w:tcPr>
          <w:p w14:paraId="7175BADD" w14:textId="77777777" w:rsidR="00987F88" w:rsidRPr="00537128" w:rsidRDefault="00987F88" w:rsidP="00987F88">
            <w:pPr>
              <w:tabs>
                <w:tab w:val="right" w:pos="1202"/>
              </w:tabs>
              <w:spacing w:after="0" w:line="240" w:lineRule="atLeast"/>
              <w:jc w:val="right"/>
              <w:outlineLvl w:val="0"/>
              <w:rPr>
                <w:rFonts w:ascii="Calibri" w:eastAsia="Calibri" w:hAnsi="Calibri" w:cs="Arial"/>
                <w:b/>
                <w:noProof/>
                <w:sz w:val="20"/>
                <w:szCs w:val="20"/>
                <w:lang w:val="en-US"/>
              </w:rPr>
            </w:pPr>
            <w:r w:rsidRPr="00537128">
              <w:rPr>
                <w:rFonts w:ascii="Calibri" w:eastAsia="Calibri" w:hAnsi="Calibri" w:cs="Arial"/>
                <w:b/>
                <w:noProof/>
                <w:sz w:val="20"/>
                <w:szCs w:val="20"/>
                <w:lang w:val="en-US"/>
              </w:rPr>
              <w:t>Group</w:t>
            </w:r>
          </w:p>
        </w:tc>
        <w:tc>
          <w:tcPr>
            <w:tcW w:w="678" w:type="pct"/>
            <w:vAlign w:val="bottom"/>
          </w:tcPr>
          <w:p w14:paraId="4C8EB6A2" w14:textId="77777777" w:rsidR="00987F88" w:rsidRPr="00537128" w:rsidRDefault="00987F88" w:rsidP="00987F88">
            <w:pPr>
              <w:tabs>
                <w:tab w:val="right" w:pos="1202"/>
              </w:tabs>
              <w:spacing w:after="0" w:line="240" w:lineRule="atLeast"/>
              <w:jc w:val="right"/>
              <w:outlineLvl w:val="0"/>
              <w:rPr>
                <w:rFonts w:ascii="Calibri" w:eastAsia="Calibri" w:hAnsi="Calibri" w:cs="Arial"/>
                <w:b/>
                <w:noProof/>
                <w:sz w:val="20"/>
                <w:szCs w:val="20"/>
                <w:lang w:val="en-US"/>
              </w:rPr>
            </w:pPr>
          </w:p>
        </w:tc>
        <w:tc>
          <w:tcPr>
            <w:tcW w:w="630" w:type="pct"/>
            <w:vAlign w:val="bottom"/>
          </w:tcPr>
          <w:p w14:paraId="1A01328E" w14:textId="77777777" w:rsidR="00987F88" w:rsidRPr="00537128" w:rsidRDefault="00987F88" w:rsidP="00987F88">
            <w:pPr>
              <w:tabs>
                <w:tab w:val="right" w:pos="1202"/>
              </w:tabs>
              <w:spacing w:after="0" w:line="240" w:lineRule="atLeast"/>
              <w:jc w:val="right"/>
              <w:outlineLvl w:val="0"/>
              <w:rPr>
                <w:rFonts w:ascii="Calibri" w:eastAsia="Calibri" w:hAnsi="Calibri" w:cs="Arial"/>
                <w:b/>
                <w:noProof/>
                <w:sz w:val="20"/>
                <w:szCs w:val="20"/>
                <w:lang w:val="en-US"/>
              </w:rPr>
            </w:pPr>
            <w:r w:rsidRPr="00537128">
              <w:rPr>
                <w:rFonts w:ascii="Calibri" w:eastAsia="Calibri" w:hAnsi="Calibri" w:cs="Arial"/>
                <w:b/>
                <w:noProof/>
                <w:sz w:val="20"/>
                <w:szCs w:val="20"/>
                <w:lang w:val="en-US"/>
              </w:rPr>
              <w:t>Bank</w:t>
            </w:r>
          </w:p>
        </w:tc>
      </w:tr>
      <w:tr w:rsidR="00987F88" w:rsidRPr="00537128" w14:paraId="0FF78363" w14:textId="77777777" w:rsidTr="00272BE2">
        <w:trPr>
          <w:trHeight w:val="283"/>
        </w:trPr>
        <w:tc>
          <w:tcPr>
            <w:tcW w:w="2411" w:type="pct"/>
          </w:tcPr>
          <w:p w14:paraId="1E977090" w14:textId="77777777" w:rsidR="00987F88" w:rsidRPr="00537128" w:rsidRDefault="00987F88" w:rsidP="00987F88">
            <w:pPr>
              <w:tabs>
                <w:tab w:val="left" w:pos="-720"/>
              </w:tabs>
              <w:suppressAutoHyphens/>
              <w:spacing w:after="0" w:line="220" w:lineRule="exact"/>
              <w:rPr>
                <w:rFonts w:ascii="Calibri" w:eastAsia="Calibri" w:hAnsi="Calibri" w:cs="Arial"/>
                <w:b/>
                <w:noProof/>
                <w:spacing w:val="-3"/>
                <w:sz w:val="20"/>
                <w:szCs w:val="20"/>
                <w:lang w:val="en-US"/>
              </w:rPr>
            </w:pPr>
          </w:p>
        </w:tc>
        <w:tc>
          <w:tcPr>
            <w:tcW w:w="678" w:type="pct"/>
            <w:shd w:val="clear" w:color="auto" w:fill="auto"/>
            <w:vAlign w:val="bottom"/>
          </w:tcPr>
          <w:p w14:paraId="32C5FC36" w14:textId="7EE95B3B" w:rsidR="00987F88" w:rsidRPr="00537128" w:rsidRDefault="00987F88" w:rsidP="00987F88">
            <w:pPr>
              <w:tabs>
                <w:tab w:val="right" w:pos="1202"/>
              </w:tabs>
              <w:spacing w:after="0" w:line="220" w:lineRule="exact"/>
              <w:jc w:val="right"/>
              <w:outlineLvl w:val="0"/>
              <w:rPr>
                <w:rFonts w:ascii="Calibri" w:eastAsia="Calibri" w:hAnsi="Calibri" w:cs="Arial"/>
                <w:b/>
                <w:noProof/>
                <w:sz w:val="20"/>
                <w:szCs w:val="20"/>
                <w:lang w:val="en-US"/>
              </w:rPr>
            </w:pPr>
            <w:r w:rsidRPr="00537128">
              <w:rPr>
                <w:rFonts w:ascii="Calibri" w:eastAsia="Calibri" w:hAnsi="Calibri" w:cs="Calibri"/>
                <w:b/>
                <w:bCs/>
                <w:noProof/>
                <w:sz w:val="20"/>
                <w:szCs w:val="20"/>
                <w:lang w:val="en-US"/>
              </w:rPr>
              <w:t>Jan 1 - Mar 31, 202</w:t>
            </w:r>
            <w:r w:rsidR="00513D90">
              <w:rPr>
                <w:rFonts w:ascii="Calibri" w:eastAsia="Calibri" w:hAnsi="Calibri" w:cs="Calibri"/>
                <w:b/>
                <w:bCs/>
                <w:noProof/>
                <w:sz w:val="20"/>
                <w:szCs w:val="20"/>
                <w:lang w:val="en-US"/>
              </w:rPr>
              <w:t>2</w:t>
            </w:r>
          </w:p>
        </w:tc>
        <w:tc>
          <w:tcPr>
            <w:tcW w:w="603" w:type="pct"/>
            <w:shd w:val="clear" w:color="auto" w:fill="auto"/>
            <w:vAlign w:val="bottom"/>
          </w:tcPr>
          <w:p w14:paraId="70696A6C" w14:textId="6517F204" w:rsidR="00987F88" w:rsidRPr="00537128" w:rsidRDefault="00987F88" w:rsidP="00987F88">
            <w:pPr>
              <w:tabs>
                <w:tab w:val="right" w:pos="1202"/>
              </w:tabs>
              <w:spacing w:after="0" w:line="220" w:lineRule="exact"/>
              <w:jc w:val="right"/>
              <w:outlineLvl w:val="0"/>
              <w:rPr>
                <w:rFonts w:ascii="Calibri" w:eastAsia="Calibri" w:hAnsi="Calibri" w:cs="Calibri"/>
                <w:b/>
                <w:bCs/>
                <w:noProof/>
                <w:sz w:val="20"/>
                <w:szCs w:val="20"/>
                <w:lang w:val="en-US"/>
              </w:rPr>
            </w:pPr>
            <w:r w:rsidRPr="00537128">
              <w:rPr>
                <w:rFonts w:ascii="Calibri" w:eastAsia="Calibri" w:hAnsi="Calibri" w:cs="Calibri"/>
                <w:b/>
                <w:bCs/>
                <w:noProof/>
                <w:sz w:val="20"/>
                <w:szCs w:val="20"/>
                <w:lang w:val="en-US"/>
              </w:rPr>
              <w:t>Jan 1 - Dec 31, 202</w:t>
            </w:r>
            <w:r w:rsidR="00B7755F">
              <w:rPr>
                <w:rFonts w:ascii="Calibri" w:eastAsia="Calibri" w:hAnsi="Calibri" w:cs="Calibri"/>
                <w:b/>
                <w:bCs/>
                <w:noProof/>
                <w:sz w:val="20"/>
                <w:szCs w:val="20"/>
                <w:lang w:val="en-US"/>
              </w:rPr>
              <w:t>1</w:t>
            </w:r>
          </w:p>
        </w:tc>
        <w:tc>
          <w:tcPr>
            <w:tcW w:w="678" w:type="pct"/>
            <w:shd w:val="clear" w:color="auto" w:fill="auto"/>
            <w:vAlign w:val="bottom"/>
          </w:tcPr>
          <w:p w14:paraId="1724A407" w14:textId="182360C7" w:rsidR="00987F88" w:rsidRPr="00537128" w:rsidRDefault="00987F88" w:rsidP="00987F88">
            <w:pPr>
              <w:tabs>
                <w:tab w:val="right" w:pos="1202"/>
              </w:tabs>
              <w:spacing w:after="0" w:line="220" w:lineRule="exact"/>
              <w:jc w:val="right"/>
              <w:outlineLvl w:val="0"/>
              <w:rPr>
                <w:rFonts w:ascii="Calibri" w:eastAsia="Calibri" w:hAnsi="Calibri" w:cs="Arial"/>
                <w:b/>
                <w:noProof/>
                <w:sz w:val="20"/>
                <w:szCs w:val="20"/>
                <w:lang w:val="en-US"/>
              </w:rPr>
            </w:pPr>
            <w:r w:rsidRPr="00537128">
              <w:rPr>
                <w:rFonts w:ascii="Calibri" w:eastAsia="Calibri" w:hAnsi="Calibri" w:cs="Calibri"/>
                <w:b/>
                <w:bCs/>
                <w:noProof/>
                <w:sz w:val="20"/>
                <w:szCs w:val="20"/>
                <w:lang w:val="en-US"/>
              </w:rPr>
              <w:t>Jan 1 - Mar 31, 202</w:t>
            </w:r>
            <w:r w:rsidR="00513D90">
              <w:rPr>
                <w:rFonts w:ascii="Calibri" w:eastAsia="Calibri" w:hAnsi="Calibri" w:cs="Calibri"/>
                <w:b/>
                <w:bCs/>
                <w:noProof/>
                <w:sz w:val="20"/>
                <w:szCs w:val="20"/>
                <w:lang w:val="en-US"/>
              </w:rPr>
              <w:t>2</w:t>
            </w:r>
          </w:p>
        </w:tc>
        <w:tc>
          <w:tcPr>
            <w:tcW w:w="630" w:type="pct"/>
            <w:shd w:val="clear" w:color="auto" w:fill="auto"/>
            <w:vAlign w:val="bottom"/>
          </w:tcPr>
          <w:p w14:paraId="73B55E81" w14:textId="0A920BC4" w:rsidR="00987F88" w:rsidRPr="00537128" w:rsidRDefault="00987F88" w:rsidP="00987F88">
            <w:pPr>
              <w:tabs>
                <w:tab w:val="right" w:pos="1202"/>
              </w:tabs>
              <w:spacing w:after="0" w:line="220" w:lineRule="exact"/>
              <w:jc w:val="right"/>
              <w:outlineLvl w:val="0"/>
              <w:rPr>
                <w:rFonts w:ascii="Calibri" w:eastAsia="Calibri" w:hAnsi="Calibri" w:cs="Arial"/>
                <w:b/>
                <w:noProof/>
                <w:sz w:val="20"/>
                <w:szCs w:val="20"/>
                <w:lang w:val="en-US"/>
              </w:rPr>
            </w:pPr>
            <w:r w:rsidRPr="00537128">
              <w:rPr>
                <w:rFonts w:ascii="Calibri" w:eastAsia="Calibri" w:hAnsi="Calibri" w:cs="Calibri"/>
                <w:b/>
                <w:bCs/>
                <w:noProof/>
                <w:sz w:val="20"/>
                <w:szCs w:val="20"/>
                <w:lang w:val="en-US"/>
              </w:rPr>
              <w:t>Jan 1 - Dec 31, 202</w:t>
            </w:r>
            <w:r w:rsidR="00B7755F">
              <w:rPr>
                <w:rFonts w:ascii="Calibri" w:eastAsia="Calibri" w:hAnsi="Calibri" w:cs="Calibri"/>
                <w:b/>
                <w:bCs/>
                <w:noProof/>
                <w:sz w:val="20"/>
                <w:szCs w:val="20"/>
                <w:lang w:val="en-US"/>
              </w:rPr>
              <w:t>1</w:t>
            </w:r>
          </w:p>
        </w:tc>
      </w:tr>
      <w:tr w:rsidR="00987F88" w:rsidRPr="00537128" w14:paraId="399CB3DD" w14:textId="77777777" w:rsidTr="00272BE2">
        <w:trPr>
          <w:trHeight w:val="293"/>
        </w:trPr>
        <w:tc>
          <w:tcPr>
            <w:tcW w:w="2411" w:type="pct"/>
          </w:tcPr>
          <w:p w14:paraId="25781EA5" w14:textId="77777777" w:rsidR="00987F88" w:rsidRPr="00537128" w:rsidRDefault="00987F88" w:rsidP="00987F88">
            <w:pPr>
              <w:tabs>
                <w:tab w:val="left" w:pos="-720"/>
              </w:tabs>
              <w:suppressAutoHyphens/>
              <w:spacing w:after="0" w:line="140" w:lineRule="exact"/>
              <w:rPr>
                <w:rFonts w:ascii="Calibri" w:eastAsia="Calibri" w:hAnsi="Calibri" w:cs="Arial"/>
                <w:b/>
                <w:noProof/>
                <w:spacing w:val="-3"/>
                <w:sz w:val="20"/>
                <w:szCs w:val="20"/>
                <w:lang w:val="en-US"/>
              </w:rPr>
            </w:pPr>
          </w:p>
        </w:tc>
        <w:tc>
          <w:tcPr>
            <w:tcW w:w="678" w:type="pct"/>
            <w:vAlign w:val="bottom"/>
          </w:tcPr>
          <w:p w14:paraId="0C3C63D4" w14:textId="0F8269CD" w:rsidR="00987F88" w:rsidRPr="00537128" w:rsidRDefault="00987F88" w:rsidP="00987F88">
            <w:pPr>
              <w:spacing w:after="0" w:line="240" w:lineRule="exact"/>
              <w:jc w:val="right"/>
              <w:outlineLvl w:val="0"/>
              <w:rPr>
                <w:rFonts w:ascii="Calibri" w:eastAsia="Calibri" w:hAnsi="Calibri" w:cs="Arial"/>
                <w:b/>
                <w:bCs/>
                <w:noProof/>
                <w:sz w:val="20"/>
                <w:szCs w:val="20"/>
                <w:lang w:val="en-US"/>
              </w:rPr>
            </w:pPr>
            <w:r w:rsidRPr="00537128">
              <w:rPr>
                <w:rFonts w:ascii="Calibri" w:eastAsia="Calibri" w:hAnsi="Calibri" w:cs="Arial"/>
                <w:b/>
                <w:bCs/>
                <w:noProof/>
                <w:sz w:val="20"/>
                <w:szCs w:val="20"/>
                <w:lang w:val="en-US"/>
              </w:rPr>
              <w:t xml:space="preserve">HRK </w:t>
            </w:r>
            <w:r w:rsidR="00E36929">
              <w:rPr>
                <w:rFonts w:ascii="Calibri" w:eastAsia="Calibri" w:hAnsi="Calibri" w:cs="Arial"/>
                <w:b/>
                <w:bCs/>
                <w:noProof/>
                <w:sz w:val="20"/>
                <w:szCs w:val="20"/>
                <w:lang w:val="en-US"/>
              </w:rPr>
              <w:t>‘</w:t>
            </w:r>
            <w:r w:rsidRPr="00537128">
              <w:rPr>
                <w:rFonts w:ascii="Calibri" w:eastAsia="Calibri" w:hAnsi="Calibri" w:cs="Arial"/>
                <w:b/>
                <w:bCs/>
                <w:noProof/>
                <w:sz w:val="20"/>
                <w:szCs w:val="20"/>
                <w:lang w:val="en-US"/>
              </w:rPr>
              <w:t>000</w:t>
            </w:r>
          </w:p>
        </w:tc>
        <w:tc>
          <w:tcPr>
            <w:tcW w:w="603" w:type="pct"/>
            <w:vAlign w:val="bottom"/>
          </w:tcPr>
          <w:p w14:paraId="03CE8539" w14:textId="5B1F2596" w:rsidR="00987F88" w:rsidRPr="00537128" w:rsidRDefault="00987F88" w:rsidP="00987F88">
            <w:pPr>
              <w:spacing w:after="0" w:line="240" w:lineRule="exact"/>
              <w:jc w:val="right"/>
              <w:outlineLvl w:val="0"/>
              <w:rPr>
                <w:rFonts w:ascii="Calibri" w:eastAsia="Calibri" w:hAnsi="Calibri" w:cs="Arial"/>
                <w:b/>
                <w:bCs/>
                <w:noProof/>
                <w:sz w:val="20"/>
                <w:szCs w:val="20"/>
                <w:lang w:val="en-US"/>
              </w:rPr>
            </w:pPr>
            <w:r w:rsidRPr="00537128">
              <w:rPr>
                <w:rFonts w:ascii="Calibri" w:eastAsia="Calibri" w:hAnsi="Calibri" w:cs="Arial"/>
                <w:b/>
                <w:bCs/>
                <w:noProof/>
                <w:sz w:val="20"/>
                <w:szCs w:val="20"/>
                <w:lang w:val="en-US"/>
              </w:rPr>
              <w:t xml:space="preserve">HRK </w:t>
            </w:r>
            <w:r w:rsidR="00E36929">
              <w:rPr>
                <w:rFonts w:ascii="Calibri" w:eastAsia="Calibri" w:hAnsi="Calibri" w:cs="Arial"/>
                <w:b/>
                <w:bCs/>
                <w:noProof/>
                <w:sz w:val="20"/>
                <w:szCs w:val="20"/>
                <w:lang w:val="en-US"/>
              </w:rPr>
              <w:t>‘</w:t>
            </w:r>
            <w:r w:rsidRPr="00537128">
              <w:rPr>
                <w:rFonts w:ascii="Calibri" w:eastAsia="Calibri" w:hAnsi="Calibri" w:cs="Arial"/>
                <w:b/>
                <w:bCs/>
                <w:noProof/>
                <w:sz w:val="20"/>
                <w:szCs w:val="20"/>
                <w:lang w:val="en-US"/>
              </w:rPr>
              <w:t>000</w:t>
            </w:r>
          </w:p>
        </w:tc>
        <w:tc>
          <w:tcPr>
            <w:tcW w:w="678" w:type="pct"/>
            <w:vAlign w:val="bottom"/>
          </w:tcPr>
          <w:p w14:paraId="24D9A0F1" w14:textId="4611D72E" w:rsidR="00987F88" w:rsidRPr="00537128" w:rsidRDefault="00987F88" w:rsidP="00987F88">
            <w:pPr>
              <w:spacing w:after="0" w:line="240" w:lineRule="exact"/>
              <w:jc w:val="right"/>
              <w:outlineLvl w:val="0"/>
              <w:rPr>
                <w:rFonts w:ascii="Calibri" w:eastAsia="Calibri" w:hAnsi="Calibri" w:cs="Arial"/>
                <w:b/>
                <w:bCs/>
                <w:noProof/>
                <w:sz w:val="20"/>
                <w:szCs w:val="20"/>
                <w:lang w:val="en-US"/>
              </w:rPr>
            </w:pPr>
            <w:r w:rsidRPr="00537128">
              <w:rPr>
                <w:rFonts w:ascii="Calibri" w:eastAsia="Calibri" w:hAnsi="Calibri" w:cs="Arial"/>
                <w:b/>
                <w:bCs/>
                <w:noProof/>
                <w:sz w:val="20"/>
                <w:szCs w:val="20"/>
                <w:lang w:val="en-US"/>
              </w:rPr>
              <w:t xml:space="preserve">HRK </w:t>
            </w:r>
            <w:r w:rsidR="00E36929">
              <w:rPr>
                <w:rFonts w:ascii="Calibri" w:eastAsia="Calibri" w:hAnsi="Calibri" w:cs="Arial"/>
                <w:b/>
                <w:bCs/>
                <w:noProof/>
                <w:sz w:val="20"/>
                <w:szCs w:val="20"/>
                <w:lang w:val="en-US"/>
              </w:rPr>
              <w:t>‘</w:t>
            </w:r>
            <w:r w:rsidRPr="00537128">
              <w:rPr>
                <w:rFonts w:ascii="Calibri" w:eastAsia="Calibri" w:hAnsi="Calibri" w:cs="Arial"/>
                <w:b/>
                <w:bCs/>
                <w:noProof/>
                <w:sz w:val="20"/>
                <w:szCs w:val="20"/>
                <w:lang w:val="en-US"/>
              </w:rPr>
              <w:t>000</w:t>
            </w:r>
          </w:p>
        </w:tc>
        <w:tc>
          <w:tcPr>
            <w:tcW w:w="630" w:type="pct"/>
            <w:vAlign w:val="bottom"/>
          </w:tcPr>
          <w:p w14:paraId="4C001118" w14:textId="179A9059" w:rsidR="00987F88" w:rsidRPr="00537128" w:rsidRDefault="00987F88" w:rsidP="00987F88">
            <w:pPr>
              <w:spacing w:after="0" w:line="240" w:lineRule="exact"/>
              <w:jc w:val="right"/>
              <w:outlineLvl w:val="0"/>
              <w:rPr>
                <w:rFonts w:ascii="Calibri" w:eastAsia="Calibri" w:hAnsi="Calibri" w:cs="Arial"/>
                <w:b/>
                <w:bCs/>
                <w:noProof/>
                <w:sz w:val="20"/>
                <w:szCs w:val="20"/>
                <w:lang w:val="en-US"/>
              </w:rPr>
            </w:pPr>
            <w:r w:rsidRPr="00537128">
              <w:rPr>
                <w:rFonts w:ascii="Calibri" w:eastAsia="Calibri" w:hAnsi="Calibri" w:cs="Arial"/>
                <w:b/>
                <w:bCs/>
                <w:noProof/>
                <w:sz w:val="20"/>
                <w:szCs w:val="20"/>
                <w:lang w:val="en-US"/>
              </w:rPr>
              <w:t>HRK</w:t>
            </w:r>
            <w:r w:rsidR="00E36929">
              <w:rPr>
                <w:rFonts w:ascii="Calibri" w:eastAsia="Calibri" w:hAnsi="Calibri" w:cs="Arial"/>
                <w:b/>
                <w:bCs/>
                <w:noProof/>
                <w:sz w:val="20"/>
                <w:szCs w:val="20"/>
                <w:lang w:val="en-US"/>
              </w:rPr>
              <w:t>’</w:t>
            </w:r>
            <w:r w:rsidRPr="00537128">
              <w:rPr>
                <w:rFonts w:ascii="Calibri" w:eastAsia="Calibri" w:hAnsi="Calibri" w:cs="Arial"/>
                <w:b/>
                <w:bCs/>
                <w:noProof/>
                <w:sz w:val="20"/>
                <w:szCs w:val="20"/>
                <w:lang w:val="en-US"/>
              </w:rPr>
              <w:t xml:space="preserve"> 000</w:t>
            </w:r>
          </w:p>
        </w:tc>
      </w:tr>
      <w:tr w:rsidR="007649C3" w:rsidRPr="00537128" w14:paraId="32053712" w14:textId="77777777" w:rsidTr="00056C30">
        <w:trPr>
          <w:trHeight w:val="383"/>
        </w:trPr>
        <w:tc>
          <w:tcPr>
            <w:tcW w:w="2411" w:type="pct"/>
            <w:vAlign w:val="bottom"/>
          </w:tcPr>
          <w:p w14:paraId="4BACFF93" w14:textId="77777777" w:rsidR="007649C3" w:rsidRPr="00537128" w:rsidRDefault="007649C3" w:rsidP="007649C3">
            <w:pPr>
              <w:tabs>
                <w:tab w:val="right" w:pos="1202"/>
              </w:tabs>
              <w:spacing w:after="0" w:line="240" w:lineRule="exact"/>
              <w:outlineLvl w:val="0"/>
              <w:rPr>
                <w:rFonts w:ascii="Calibri" w:eastAsia="Calibri" w:hAnsi="Calibri" w:cs="Arial"/>
                <w:noProof/>
                <w:sz w:val="20"/>
                <w:szCs w:val="20"/>
                <w:lang w:val="en-US"/>
              </w:rPr>
            </w:pPr>
            <w:r w:rsidRPr="00537128">
              <w:rPr>
                <w:rFonts w:ascii="Calibri" w:eastAsia="Calibri" w:hAnsi="Calibri" w:cs="Arial"/>
                <w:noProof/>
                <w:sz w:val="20"/>
                <w:szCs w:val="20"/>
                <w:lang w:val="en-US"/>
              </w:rPr>
              <w:t>Balance as of 1 January</w:t>
            </w:r>
          </w:p>
        </w:tc>
        <w:tc>
          <w:tcPr>
            <w:tcW w:w="678" w:type="pct"/>
            <w:tcBorders>
              <w:top w:val="nil"/>
              <w:left w:val="nil"/>
              <w:bottom w:val="nil"/>
              <w:right w:val="nil"/>
            </w:tcBorders>
            <w:shd w:val="clear" w:color="auto" w:fill="auto"/>
            <w:vAlign w:val="bottom"/>
          </w:tcPr>
          <w:p w14:paraId="46D57F85" w14:textId="7FD4E16E" w:rsidR="007649C3" w:rsidRPr="00537128" w:rsidRDefault="007649C3" w:rsidP="007649C3">
            <w:pPr>
              <w:spacing w:after="0" w:line="240" w:lineRule="exact"/>
              <w:jc w:val="right"/>
              <w:outlineLvl w:val="0"/>
              <w:rPr>
                <w:rFonts w:ascii="Calibri" w:eastAsia="Calibri" w:hAnsi="Calibri" w:cs="Arial"/>
                <w:bCs/>
                <w:noProof/>
                <w:sz w:val="20"/>
                <w:szCs w:val="20"/>
                <w:lang w:val="en-US"/>
              </w:rPr>
            </w:pPr>
            <w:r>
              <w:rPr>
                <w:rFonts w:ascii="Calibri" w:eastAsia="Times New Roman" w:hAnsi="Calibri" w:cs="Calibri"/>
                <w:color w:val="000000"/>
                <w:sz w:val="20"/>
                <w:szCs w:val="20"/>
              </w:rPr>
              <w:t>1,809</w:t>
            </w:r>
          </w:p>
        </w:tc>
        <w:tc>
          <w:tcPr>
            <w:tcW w:w="603" w:type="pct"/>
            <w:tcBorders>
              <w:top w:val="nil"/>
              <w:left w:val="nil"/>
              <w:bottom w:val="nil"/>
              <w:right w:val="nil"/>
            </w:tcBorders>
            <w:shd w:val="clear" w:color="auto" w:fill="auto"/>
            <w:vAlign w:val="bottom"/>
          </w:tcPr>
          <w:p w14:paraId="0789F859" w14:textId="01807D2F" w:rsidR="007649C3" w:rsidRPr="00537128" w:rsidRDefault="007649C3" w:rsidP="007649C3">
            <w:pPr>
              <w:spacing w:after="0" w:line="240" w:lineRule="exact"/>
              <w:jc w:val="right"/>
              <w:outlineLvl w:val="0"/>
              <w:rPr>
                <w:rFonts w:ascii="Calibri" w:eastAsia="Calibri" w:hAnsi="Calibri" w:cs="Arial"/>
                <w:bCs/>
                <w:noProof/>
                <w:sz w:val="20"/>
                <w:szCs w:val="20"/>
                <w:lang w:val="en-US"/>
              </w:rPr>
            </w:pPr>
            <w:r w:rsidRPr="006C4609">
              <w:rPr>
                <w:rFonts w:cstheme="minorHAnsi"/>
                <w:color w:val="000000" w:themeColor="text1"/>
                <w:sz w:val="20"/>
                <w:szCs w:val="20"/>
              </w:rPr>
              <w:t>1</w:t>
            </w:r>
            <w:r>
              <w:rPr>
                <w:rFonts w:cstheme="minorHAnsi"/>
                <w:color w:val="000000" w:themeColor="text1"/>
                <w:sz w:val="20"/>
                <w:szCs w:val="20"/>
              </w:rPr>
              <w:t>,</w:t>
            </w:r>
            <w:r w:rsidRPr="006C4609">
              <w:rPr>
                <w:rFonts w:cstheme="minorHAnsi"/>
                <w:color w:val="000000" w:themeColor="text1"/>
                <w:sz w:val="20"/>
                <w:szCs w:val="20"/>
              </w:rPr>
              <w:t>652</w:t>
            </w:r>
          </w:p>
        </w:tc>
        <w:tc>
          <w:tcPr>
            <w:tcW w:w="678" w:type="pct"/>
            <w:tcBorders>
              <w:top w:val="nil"/>
              <w:left w:val="nil"/>
              <w:bottom w:val="nil"/>
              <w:right w:val="nil"/>
            </w:tcBorders>
            <w:shd w:val="clear" w:color="auto" w:fill="auto"/>
            <w:vAlign w:val="bottom"/>
          </w:tcPr>
          <w:p w14:paraId="53091871" w14:textId="3D9804D0" w:rsidR="007649C3" w:rsidRPr="00537128" w:rsidRDefault="007649C3" w:rsidP="007649C3">
            <w:pPr>
              <w:spacing w:after="0" w:line="240" w:lineRule="exact"/>
              <w:jc w:val="right"/>
              <w:outlineLvl w:val="0"/>
              <w:rPr>
                <w:rFonts w:ascii="Calibri" w:eastAsia="Calibri" w:hAnsi="Calibri" w:cs="Arial"/>
                <w:bCs/>
                <w:noProof/>
                <w:sz w:val="20"/>
                <w:szCs w:val="20"/>
                <w:lang w:val="en-US"/>
              </w:rPr>
            </w:pPr>
            <w:r>
              <w:rPr>
                <w:rFonts w:ascii="Calibri" w:eastAsia="Times New Roman" w:hAnsi="Calibri" w:cs="Calibri"/>
                <w:color w:val="000000"/>
                <w:sz w:val="20"/>
                <w:szCs w:val="20"/>
              </w:rPr>
              <w:t>1,804</w:t>
            </w:r>
          </w:p>
        </w:tc>
        <w:tc>
          <w:tcPr>
            <w:tcW w:w="630" w:type="pct"/>
            <w:tcBorders>
              <w:top w:val="nil"/>
              <w:left w:val="nil"/>
              <w:bottom w:val="nil"/>
              <w:right w:val="nil"/>
            </w:tcBorders>
            <w:shd w:val="clear" w:color="auto" w:fill="auto"/>
            <w:vAlign w:val="bottom"/>
          </w:tcPr>
          <w:p w14:paraId="1EFB840A" w14:textId="2EF4A3A5" w:rsidR="007649C3" w:rsidRPr="00537128" w:rsidRDefault="007649C3" w:rsidP="007649C3">
            <w:pPr>
              <w:spacing w:after="0" w:line="240" w:lineRule="exact"/>
              <w:jc w:val="right"/>
              <w:outlineLvl w:val="0"/>
              <w:rPr>
                <w:rFonts w:ascii="Calibri" w:eastAsia="Calibri" w:hAnsi="Calibri" w:cs="Arial"/>
                <w:bCs/>
                <w:noProof/>
                <w:sz w:val="20"/>
                <w:szCs w:val="20"/>
                <w:lang w:val="en-US"/>
              </w:rPr>
            </w:pPr>
            <w:r w:rsidRPr="006C4609">
              <w:rPr>
                <w:rFonts w:cstheme="minorHAnsi"/>
                <w:color w:val="000000" w:themeColor="text1"/>
                <w:sz w:val="20"/>
                <w:szCs w:val="20"/>
              </w:rPr>
              <w:t>1</w:t>
            </w:r>
            <w:r>
              <w:rPr>
                <w:rFonts w:cstheme="minorHAnsi"/>
                <w:color w:val="000000" w:themeColor="text1"/>
                <w:sz w:val="20"/>
                <w:szCs w:val="20"/>
              </w:rPr>
              <w:t>,</w:t>
            </w:r>
            <w:r w:rsidRPr="006C4609">
              <w:rPr>
                <w:rFonts w:cstheme="minorHAnsi"/>
                <w:color w:val="000000" w:themeColor="text1"/>
                <w:sz w:val="20"/>
                <w:szCs w:val="20"/>
              </w:rPr>
              <w:t>643</w:t>
            </w:r>
          </w:p>
        </w:tc>
      </w:tr>
      <w:tr w:rsidR="007649C3" w:rsidRPr="00537128" w14:paraId="47EA7AE1" w14:textId="77777777" w:rsidTr="00272BE2">
        <w:trPr>
          <w:trHeight w:val="383"/>
        </w:trPr>
        <w:tc>
          <w:tcPr>
            <w:tcW w:w="2411" w:type="pct"/>
            <w:vAlign w:val="bottom"/>
          </w:tcPr>
          <w:p w14:paraId="0D1E734D" w14:textId="77777777" w:rsidR="007649C3" w:rsidRPr="00537128" w:rsidRDefault="007649C3" w:rsidP="007649C3">
            <w:pPr>
              <w:tabs>
                <w:tab w:val="right" w:pos="1202"/>
              </w:tabs>
              <w:spacing w:after="0" w:line="240" w:lineRule="exact"/>
              <w:outlineLvl w:val="0"/>
              <w:rPr>
                <w:rFonts w:ascii="Calibri" w:eastAsia="Calibri" w:hAnsi="Calibri" w:cs="Arial"/>
                <w:b/>
                <w:bCs/>
                <w:noProof/>
                <w:sz w:val="20"/>
                <w:szCs w:val="20"/>
                <w:lang w:val="en-US"/>
              </w:rPr>
            </w:pPr>
            <w:r w:rsidRPr="00537128">
              <w:rPr>
                <w:rFonts w:ascii="Calibri" w:eastAsia="Calibri" w:hAnsi="Calibri" w:cs="Arial"/>
                <w:noProof/>
                <w:sz w:val="20"/>
                <w:szCs w:val="20"/>
                <w:lang w:val="en-US"/>
              </w:rPr>
              <w:t>Net (decrease)/increase of loss allowances on amounts due from banks</w:t>
            </w:r>
          </w:p>
        </w:tc>
        <w:tc>
          <w:tcPr>
            <w:tcW w:w="678" w:type="pct"/>
            <w:tcBorders>
              <w:top w:val="nil"/>
              <w:left w:val="nil"/>
              <w:right w:val="nil"/>
            </w:tcBorders>
            <w:shd w:val="clear" w:color="auto" w:fill="auto"/>
            <w:vAlign w:val="bottom"/>
          </w:tcPr>
          <w:p w14:paraId="643A0891" w14:textId="7C86866E" w:rsidR="007649C3" w:rsidRPr="00537128" w:rsidRDefault="007649C3" w:rsidP="007649C3">
            <w:pPr>
              <w:spacing w:after="0" w:line="240" w:lineRule="exact"/>
              <w:jc w:val="right"/>
              <w:outlineLvl w:val="0"/>
              <w:rPr>
                <w:rFonts w:ascii="Calibri" w:eastAsia="Calibri" w:hAnsi="Calibri" w:cs="Arial"/>
                <w:bCs/>
                <w:noProof/>
                <w:sz w:val="20"/>
                <w:szCs w:val="20"/>
                <w:lang w:val="en-US"/>
              </w:rPr>
            </w:pPr>
            <w:r>
              <w:rPr>
                <w:rFonts w:ascii="Calibri" w:eastAsia="Times New Roman" w:hAnsi="Calibri" w:cs="Calibri"/>
                <w:color w:val="000000"/>
                <w:sz w:val="20"/>
                <w:szCs w:val="20"/>
              </w:rPr>
              <w:t>(547)</w:t>
            </w:r>
          </w:p>
        </w:tc>
        <w:tc>
          <w:tcPr>
            <w:tcW w:w="603" w:type="pct"/>
            <w:tcBorders>
              <w:top w:val="nil"/>
              <w:left w:val="nil"/>
              <w:right w:val="nil"/>
            </w:tcBorders>
            <w:shd w:val="clear" w:color="auto" w:fill="auto"/>
            <w:vAlign w:val="bottom"/>
          </w:tcPr>
          <w:p w14:paraId="21679A57" w14:textId="5CCF95C9" w:rsidR="007649C3" w:rsidRPr="00537128" w:rsidRDefault="007649C3" w:rsidP="007649C3">
            <w:pPr>
              <w:spacing w:after="0" w:line="240" w:lineRule="exact"/>
              <w:jc w:val="right"/>
              <w:outlineLvl w:val="0"/>
              <w:rPr>
                <w:rFonts w:ascii="Calibri" w:eastAsia="Calibri" w:hAnsi="Calibri" w:cs="Arial"/>
                <w:bCs/>
                <w:noProof/>
                <w:sz w:val="20"/>
                <w:szCs w:val="20"/>
                <w:lang w:val="en-US"/>
              </w:rPr>
            </w:pPr>
            <w:r w:rsidRPr="006C4609">
              <w:rPr>
                <w:rFonts w:cstheme="minorHAnsi"/>
                <w:color w:val="000000" w:themeColor="text1"/>
                <w:sz w:val="20"/>
                <w:szCs w:val="20"/>
              </w:rPr>
              <w:t>156</w:t>
            </w:r>
          </w:p>
        </w:tc>
        <w:tc>
          <w:tcPr>
            <w:tcW w:w="678" w:type="pct"/>
            <w:tcBorders>
              <w:top w:val="nil"/>
              <w:left w:val="nil"/>
              <w:right w:val="nil"/>
            </w:tcBorders>
            <w:shd w:val="clear" w:color="auto" w:fill="auto"/>
            <w:vAlign w:val="bottom"/>
          </w:tcPr>
          <w:p w14:paraId="1E98B228" w14:textId="61246C1D" w:rsidR="007649C3" w:rsidRPr="00537128" w:rsidRDefault="007649C3" w:rsidP="007649C3">
            <w:pPr>
              <w:spacing w:after="0" w:line="240" w:lineRule="exact"/>
              <w:jc w:val="right"/>
              <w:outlineLvl w:val="0"/>
              <w:rPr>
                <w:rFonts w:ascii="Calibri" w:eastAsia="Calibri" w:hAnsi="Calibri" w:cs="Arial"/>
                <w:bCs/>
                <w:noProof/>
                <w:sz w:val="20"/>
                <w:szCs w:val="20"/>
                <w:lang w:val="en-US"/>
              </w:rPr>
            </w:pPr>
            <w:r>
              <w:rPr>
                <w:rFonts w:ascii="Calibri" w:eastAsia="Times New Roman" w:hAnsi="Calibri" w:cs="Calibri"/>
                <w:color w:val="000000"/>
                <w:sz w:val="20"/>
                <w:szCs w:val="20"/>
              </w:rPr>
              <w:t>(549)</w:t>
            </w:r>
          </w:p>
        </w:tc>
        <w:tc>
          <w:tcPr>
            <w:tcW w:w="630" w:type="pct"/>
            <w:tcBorders>
              <w:top w:val="nil"/>
              <w:left w:val="nil"/>
              <w:bottom w:val="nil"/>
              <w:right w:val="nil"/>
            </w:tcBorders>
            <w:shd w:val="clear" w:color="auto" w:fill="auto"/>
            <w:vAlign w:val="bottom"/>
          </w:tcPr>
          <w:p w14:paraId="62F764FF" w14:textId="3BBFBAE5" w:rsidR="007649C3" w:rsidRPr="00537128" w:rsidRDefault="007649C3" w:rsidP="007649C3">
            <w:pPr>
              <w:spacing w:after="0" w:line="240" w:lineRule="exact"/>
              <w:jc w:val="right"/>
              <w:outlineLvl w:val="0"/>
              <w:rPr>
                <w:rFonts w:ascii="Calibri" w:eastAsia="Calibri" w:hAnsi="Calibri" w:cs="Arial"/>
                <w:bCs/>
                <w:noProof/>
                <w:sz w:val="20"/>
                <w:szCs w:val="20"/>
                <w:lang w:val="en-US"/>
              </w:rPr>
            </w:pPr>
            <w:r w:rsidRPr="006C4609">
              <w:rPr>
                <w:rFonts w:cstheme="minorHAnsi"/>
                <w:color w:val="000000" w:themeColor="text1"/>
                <w:sz w:val="20"/>
                <w:szCs w:val="20"/>
              </w:rPr>
              <w:t>160</w:t>
            </w:r>
          </w:p>
        </w:tc>
      </w:tr>
      <w:tr w:rsidR="007649C3" w:rsidRPr="00537128" w14:paraId="3E3ED03C" w14:textId="77777777" w:rsidTr="00272BE2">
        <w:trPr>
          <w:trHeight w:val="383"/>
        </w:trPr>
        <w:tc>
          <w:tcPr>
            <w:tcW w:w="2411" w:type="pct"/>
            <w:vAlign w:val="bottom"/>
          </w:tcPr>
          <w:p w14:paraId="0978E754" w14:textId="147E1A98" w:rsidR="007649C3" w:rsidRPr="00537128" w:rsidRDefault="007649C3" w:rsidP="007649C3">
            <w:pPr>
              <w:tabs>
                <w:tab w:val="right" w:pos="1202"/>
              </w:tabs>
              <w:spacing w:after="0" w:line="240" w:lineRule="exact"/>
              <w:outlineLvl w:val="0"/>
              <w:rPr>
                <w:rFonts w:ascii="Calibri" w:eastAsia="Calibri" w:hAnsi="Calibri" w:cs="Arial"/>
                <w:i/>
                <w:noProof/>
                <w:sz w:val="20"/>
                <w:szCs w:val="20"/>
                <w:lang w:val="en-US"/>
              </w:rPr>
            </w:pPr>
            <w:r w:rsidRPr="00537128">
              <w:rPr>
                <w:rFonts w:ascii="Calibri" w:eastAsia="Calibri" w:hAnsi="Calibri" w:cs="Calibri"/>
                <w:i/>
                <w:noProof/>
                <w:sz w:val="20"/>
                <w:szCs w:val="20"/>
                <w:lang w:val="en-US"/>
              </w:rPr>
              <w:t xml:space="preserve">Total recognised through Income Statement </w:t>
            </w:r>
            <w:r w:rsidRPr="00E17188">
              <w:rPr>
                <w:rFonts w:ascii="Calibri" w:eastAsia="Calibri" w:hAnsi="Calibri" w:cs="Calibri"/>
                <w:i/>
                <w:noProof/>
                <w:sz w:val="20"/>
                <w:szCs w:val="20"/>
                <w:lang w:val="en-US"/>
              </w:rPr>
              <w:t>(</w:t>
            </w:r>
            <w:r w:rsidRPr="00A1123E">
              <w:rPr>
                <w:rFonts w:ascii="Calibri" w:eastAsia="Calibri" w:hAnsi="Calibri" w:cs="Calibri"/>
                <w:i/>
                <w:noProof/>
                <w:sz w:val="20"/>
                <w:szCs w:val="20"/>
                <w:lang w:val="en-US"/>
              </w:rPr>
              <w:t>Note 8)</w:t>
            </w:r>
          </w:p>
        </w:tc>
        <w:tc>
          <w:tcPr>
            <w:tcW w:w="678" w:type="pct"/>
            <w:tcBorders>
              <w:top w:val="single" w:sz="4" w:space="0" w:color="auto"/>
              <w:left w:val="nil"/>
              <w:bottom w:val="single" w:sz="4" w:space="0" w:color="auto"/>
              <w:right w:val="nil"/>
            </w:tcBorders>
            <w:shd w:val="clear" w:color="auto" w:fill="auto"/>
            <w:vAlign w:val="bottom"/>
          </w:tcPr>
          <w:p w14:paraId="7E4F2FF8" w14:textId="4FE01C73" w:rsidR="007649C3" w:rsidRPr="00537128" w:rsidRDefault="007649C3" w:rsidP="007649C3">
            <w:pPr>
              <w:spacing w:after="0" w:line="240" w:lineRule="exact"/>
              <w:jc w:val="right"/>
              <w:outlineLvl w:val="0"/>
              <w:rPr>
                <w:rFonts w:ascii="Calibri" w:eastAsia="Calibri" w:hAnsi="Calibri" w:cs="Calibri"/>
                <w:i/>
                <w:noProof/>
                <w:sz w:val="20"/>
                <w:szCs w:val="20"/>
                <w:lang w:val="en-US"/>
              </w:rPr>
            </w:pPr>
            <w:r>
              <w:rPr>
                <w:rFonts w:ascii="Calibri" w:eastAsia="Times New Roman" w:hAnsi="Calibri" w:cs="Calibri"/>
                <w:bCs/>
                <w:i/>
                <w:iCs/>
                <w:color w:val="000000"/>
                <w:sz w:val="20"/>
                <w:szCs w:val="20"/>
              </w:rPr>
              <w:t>(547)</w:t>
            </w:r>
          </w:p>
        </w:tc>
        <w:tc>
          <w:tcPr>
            <w:tcW w:w="603" w:type="pct"/>
            <w:tcBorders>
              <w:top w:val="single" w:sz="4" w:space="0" w:color="auto"/>
              <w:left w:val="nil"/>
              <w:bottom w:val="single" w:sz="4" w:space="0" w:color="auto"/>
              <w:right w:val="nil"/>
            </w:tcBorders>
            <w:shd w:val="clear" w:color="auto" w:fill="auto"/>
            <w:vAlign w:val="bottom"/>
          </w:tcPr>
          <w:p w14:paraId="3EF02E9C" w14:textId="28CFD97B" w:rsidR="007649C3" w:rsidRPr="00537128" w:rsidRDefault="007649C3" w:rsidP="007649C3">
            <w:pPr>
              <w:spacing w:after="0" w:line="240" w:lineRule="exact"/>
              <w:jc w:val="right"/>
              <w:outlineLvl w:val="0"/>
              <w:rPr>
                <w:rFonts w:ascii="Calibri" w:eastAsia="Calibri" w:hAnsi="Calibri" w:cs="Calibri"/>
                <w:i/>
                <w:noProof/>
                <w:sz w:val="20"/>
                <w:szCs w:val="20"/>
                <w:lang w:val="en-US"/>
              </w:rPr>
            </w:pPr>
            <w:r>
              <w:rPr>
                <w:rFonts w:cstheme="minorHAnsi"/>
                <w:bCs/>
                <w:i/>
                <w:color w:val="000000" w:themeColor="text1"/>
                <w:sz w:val="20"/>
                <w:szCs w:val="20"/>
              </w:rPr>
              <w:t>156</w:t>
            </w:r>
          </w:p>
        </w:tc>
        <w:tc>
          <w:tcPr>
            <w:tcW w:w="678" w:type="pct"/>
            <w:tcBorders>
              <w:top w:val="single" w:sz="4" w:space="0" w:color="auto"/>
              <w:left w:val="nil"/>
              <w:bottom w:val="single" w:sz="4" w:space="0" w:color="auto"/>
              <w:right w:val="nil"/>
            </w:tcBorders>
            <w:shd w:val="clear" w:color="auto" w:fill="auto"/>
            <w:vAlign w:val="bottom"/>
          </w:tcPr>
          <w:p w14:paraId="1F38F7B5" w14:textId="4D54787D" w:rsidR="007649C3" w:rsidRPr="00537128" w:rsidRDefault="007649C3" w:rsidP="007649C3">
            <w:pPr>
              <w:spacing w:after="0" w:line="240" w:lineRule="exact"/>
              <w:jc w:val="right"/>
              <w:outlineLvl w:val="0"/>
              <w:rPr>
                <w:rFonts w:ascii="Calibri" w:eastAsia="Calibri" w:hAnsi="Calibri" w:cs="Calibri"/>
                <w:i/>
                <w:noProof/>
                <w:sz w:val="20"/>
                <w:szCs w:val="20"/>
                <w:lang w:val="en-US"/>
              </w:rPr>
            </w:pPr>
            <w:r>
              <w:rPr>
                <w:rFonts w:ascii="Calibri" w:eastAsia="Times New Roman" w:hAnsi="Calibri" w:cs="Calibri"/>
                <w:bCs/>
                <w:i/>
                <w:iCs/>
                <w:color w:val="000000"/>
                <w:sz w:val="20"/>
                <w:szCs w:val="20"/>
              </w:rPr>
              <w:t>(549)</w:t>
            </w:r>
          </w:p>
        </w:tc>
        <w:tc>
          <w:tcPr>
            <w:tcW w:w="630" w:type="pct"/>
            <w:tcBorders>
              <w:top w:val="single" w:sz="4" w:space="0" w:color="auto"/>
              <w:left w:val="nil"/>
              <w:bottom w:val="single" w:sz="4" w:space="0" w:color="auto"/>
              <w:right w:val="nil"/>
            </w:tcBorders>
            <w:vAlign w:val="bottom"/>
          </w:tcPr>
          <w:p w14:paraId="678396D8" w14:textId="3908BB16" w:rsidR="007649C3" w:rsidRPr="00537128" w:rsidRDefault="007649C3" w:rsidP="007649C3">
            <w:pPr>
              <w:spacing w:after="0" w:line="240" w:lineRule="exact"/>
              <w:jc w:val="right"/>
              <w:outlineLvl w:val="0"/>
              <w:rPr>
                <w:rFonts w:ascii="Calibri" w:eastAsia="Calibri" w:hAnsi="Calibri" w:cs="Calibri"/>
                <w:i/>
                <w:noProof/>
                <w:sz w:val="20"/>
                <w:szCs w:val="20"/>
                <w:lang w:val="en-US"/>
              </w:rPr>
            </w:pPr>
            <w:r>
              <w:rPr>
                <w:rFonts w:cstheme="minorHAnsi"/>
                <w:bCs/>
                <w:i/>
                <w:color w:val="000000" w:themeColor="text1"/>
                <w:sz w:val="20"/>
                <w:szCs w:val="20"/>
              </w:rPr>
              <w:t>160</w:t>
            </w:r>
          </w:p>
        </w:tc>
      </w:tr>
      <w:tr w:rsidR="007649C3" w:rsidRPr="00537128" w14:paraId="392C9B59" w14:textId="77777777" w:rsidTr="00272BE2">
        <w:trPr>
          <w:trHeight w:val="383"/>
        </w:trPr>
        <w:tc>
          <w:tcPr>
            <w:tcW w:w="2411" w:type="pct"/>
            <w:vAlign w:val="bottom"/>
          </w:tcPr>
          <w:p w14:paraId="0AC759A1" w14:textId="77777777" w:rsidR="007649C3" w:rsidRPr="00537128" w:rsidRDefault="007649C3" w:rsidP="007649C3">
            <w:pPr>
              <w:tabs>
                <w:tab w:val="right" w:pos="1202"/>
              </w:tabs>
              <w:spacing w:after="0" w:line="240" w:lineRule="exact"/>
              <w:outlineLvl w:val="0"/>
              <w:rPr>
                <w:rFonts w:ascii="Calibri" w:eastAsia="Calibri" w:hAnsi="Calibri" w:cs="Calibri"/>
                <w:i/>
                <w:noProof/>
                <w:sz w:val="20"/>
                <w:szCs w:val="20"/>
                <w:lang w:val="en-US"/>
              </w:rPr>
            </w:pPr>
            <w:r w:rsidRPr="00537128">
              <w:rPr>
                <w:rFonts w:ascii="Calibri" w:eastAsia="Calibri" w:hAnsi="Calibri" w:cs="Arial"/>
                <w:noProof/>
                <w:sz w:val="20"/>
                <w:szCs w:val="20"/>
                <w:lang w:val="en-US"/>
              </w:rPr>
              <w:t>Net foreign exchange gain/loss on loss allowances</w:t>
            </w:r>
          </w:p>
        </w:tc>
        <w:tc>
          <w:tcPr>
            <w:tcW w:w="678" w:type="pct"/>
            <w:tcBorders>
              <w:top w:val="single" w:sz="4" w:space="0" w:color="auto"/>
              <w:left w:val="nil"/>
              <w:bottom w:val="single" w:sz="4" w:space="0" w:color="auto"/>
              <w:right w:val="nil"/>
            </w:tcBorders>
            <w:shd w:val="clear" w:color="auto" w:fill="auto"/>
            <w:vAlign w:val="bottom"/>
          </w:tcPr>
          <w:p w14:paraId="1CC62213" w14:textId="63B05698" w:rsidR="007649C3" w:rsidRPr="00537128" w:rsidDel="00A24340" w:rsidRDefault="007649C3" w:rsidP="007649C3">
            <w:pPr>
              <w:spacing w:after="0" w:line="240" w:lineRule="exact"/>
              <w:jc w:val="right"/>
              <w:outlineLvl w:val="0"/>
              <w:rPr>
                <w:rFonts w:ascii="Calibri" w:eastAsia="Calibri" w:hAnsi="Calibri" w:cs="Calibri"/>
                <w:noProof/>
                <w:sz w:val="20"/>
                <w:szCs w:val="20"/>
                <w:lang w:val="en-US"/>
              </w:rPr>
            </w:pPr>
            <w:r>
              <w:rPr>
                <w:rFonts w:ascii="Calibri" w:eastAsia="Times New Roman" w:hAnsi="Calibri" w:cs="Calibri"/>
                <w:color w:val="000000"/>
                <w:sz w:val="20"/>
                <w:szCs w:val="20"/>
              </w:rPr>
              <w:t>-</w:t>
            </w:r>
          </w:p>
        </w:tc>
        <w:tc>
          <w:tcPr>
            <w:tcW w:w="603" w:type="pct"/>
            <w:tcBorders>
              <w:top w:val="single" w:sz="4" w:space="0" w:color="auto"/>
              <w:left w:val="nil"/>
              <w:bottom w:val="single" w:sz="4" w:space="0" w:color="auto"/>
              <w:right w:val="nil"/>
            </w:tcBorders>
            <w:shd w:val="clear" w:color="auto" w:fill="auto"/>
            <w:vAlign w:val="bottom"/>
          </w:tcPr>
          <w:p w14:paraId="7815E94C" w14:textId="7ABD8716" w:rsidR="007649C3" w:rsidRPr="00537128" w:rsidDel="00A24340" w:rsidRDefault="007649C3" w:rsidP="007649C3">
            <w:pPr>
              <w:spacing w:after="0" w:line="240" w:lineRule="exact"/>
              <w:jc w:val="right"/>
              <w:outlineLvl w:val="0"/>
              <w:rPr>
                <w:rFonts w:ascii="Calibri" w:eastAsia="Calibri" w:hAnsi="Calibri" w:cs="Calibri"/>
                <w:noProof/>
                <w:sz w:val="20"/>
                <w:szCs w:val="20"/>
                <w:lang w:val="en-US"/>
              </w:rPr>
            </w:pPr>
            <w:r>
              <w:rPr>
                <w:rFonts w:cstheme="minorHAnsi"/>
                <w:color w:val="000000" w:themeColor="text1"/>
                <w:sz w:val="20"/>
                <w:szCs w:val="20"/>
              </w:rPr>
              <w:t>1</w:t>
            </w:r>
          </w:p>
        </w:tc>
        <w:tc>
          <w:tcPr>
            <w:tcW w:w="678" w:type="pct"/>
            <w:tcBorders>
              <w:top w:val="single" w:sz="4" w:space="0" w:color="auto"/>
              <w:left w:val="nil"/>
              <w:bottom w:val="single" w:sz="4" w:space="0" w:color="auto"/>
              <w:right w:val="nil"/>
            </w:tcBorders>
            <w:shd w:val="clear" w:color="auto" w:fill="auto"/>
            <w:vAlign w:val="bottom"/>
          </w:tcPr>
          <w:p w14:paraId="7BA403DD" w14:textId="3C9F3917" w:rsidR="007649C3" w:rsidRPr="00537128" w:rsidDel="00A24340" w:rsidRDefault="007649C3" w:rsidP="007649C3">
            <w:pPr>
              <w:spacing w:after="0" w:line="240" w:lineRule="exact"/>
              <w:jc w:val="right"/>
              <w:outlineLvl w:val="0"/>
              <w:rPr>
                <w:rFonts w:ascii="Calibri" w:eastAsia="Calibri" w:hAnsi="Calibri" w:cs="Calibri"/>
                <w:noProof/>
                <w:sz w:val="20"/>
                <w:szCs w:val="20"/>
                <w:lang w:val="en-US"/>
              </w:rPr>
            </w:pPr>
            <w:r>
              <w:rPr>
                <w:rFonts w:ascii="Calibri" w:eastAsia="Times New Roman" w:hAnsi="Calibri" w:cs="Calibri"/>
                <w:color w:val="000000"/>
                <w:sz w:val="20"/>
                <w:szCs w:val="20"/>
              </w:rPr>
              <w:t>-</w:t>
            </w:r>
          </w:p>
        </w:tc>
        <w:tc>
          <w:tcPr>
            <w:tcW w:w="630" w:type="pct"/>
            <w:tcBorders>
              <w:top w:val="single" w:sz="4" w:space="0" w:color="auto"/>
              <w:left w:val="nil"/>
              <w:bottom w:val="single" w:sz="4" w:space="0" w:color="auto"/>
              <w:right w:val="nil"/>
            </w:tcBorders>
            <w:vAlign w:val="bottom"/>
          </w:tcPr>
          <w:p w14:paraId="5E352DD8" w14:textId="124CF9C1" w:rsidR="007649C3" w:rsidRPr="00537128" w:rsidDel="00A24340" w:rsidRDefault="007649C3" w:rsidP="007649C3">
            <w:pPr>
              <w:spacing w:after="0" w:line="240" w:lineRule="exact"/>
              <w:jc w:val="right"/>
              <w:outlineLvl w:val="0"/>
              <w:rPr>
                <w:rFonts w:ascii="Calibri" w:eastAsia="Calibri" w:hAnsi="Calibri" w:cs="Calibri"/>
                <w:noProof/>
                <w:sz w:val="20"/>
                <w:szCs w:val="20"/>
                <w:lang w:val="en-US"/>
              </w:rPr>
            </w:pPr>
            <w:r>
              <w:rPr>
                <w:rFonts w:cstheme="minorHAnsi"/>
                <w:color w:val="000000" w:themeColor="text1"/>
                <w:sz w:val="20"/>
                <w:szCs w:val="20"/>
              </w:rPr>
              <w:t>1</w:t>
            </w:r>
          </w:p>
        </w:tc>
      </w:tr>
      <w:tr w:rsidR="007649C3" w:rsidRPr="00537128" w14:paraId="59770DAD" w14:textId="77777777" w:rsidTr="00272BE2">
        <w:trPr>
          <w:trHeight w:hRule="exact" w:val="571"/>
        </w:trPr>
        <w:tc>
          <w:tcPr>
            <w:tcW w:w="2411" w:type="pct"/>
            <w:vAlign w:val="bottom"/>
          </w:tcPr>
          <w:p w14:paraId="7F50840A" w14:textId="77777777" w:rsidR="007649C3" w:rsidRPr="00537128" w:rsidRDefault="007649C3" w:rsidP="007649C3">
            <w:pPr>
              <w:tabs>
                <w:tab w:val="right" w:pos="1202"/>
              </w:tabs>
              <w:spacing w:after="0" w:line="240" w:lineRule="exact"/>
              <w:outlineLvl w:val="0"/>
              <w:rPr>
                <w:rFonts w:ascii="Calibri" w:eastAsia="Calibri" w:hAnsi="Calibri" w:cs="Arial"/>
                <w:b/>
                <w:bCs/>
                <w:noProof/>
                <w:sz w:val="20"/>
                <w:szCs w:val="20"/>
                <w:highlight w:val="yellow"/>
                <w:lang w:val="en-US"/>
              </w:rPr>
            </w:pPr>
            <w:r w:rsidRPr="00537128">
              <w:rPr>
                <w:rFonts w:ascii="Calibri" w:eastAsia="Calibri" w:hAnsi="Calibri" w:cs="Arial"/>
                <w:b/>
                <w:bCs/>
                <w:noProof/>
                <w:sz w:val="20"/>
                <w:szCs w:val="20"/>
                <w:lang w:val="en-US"/>
              </w:rPr>
              <w:t>Balance at the end of the reporting period</w:t>
            </w:r>
          </w:p>
        </w:tc>
        <w:tc>
          <w:tcPr>
            <w:tcW w:w="678" w:type="pct"/>
            <w:tcBorders>
              <w:top w:val="single" w:sz="4" w:space="0" w:color="auto"/>
              <w:left w:val="nil"/>
              <w:bottom w:val="single" w:sz="12" w:space="0" w:color="auto"/>
              <w:right w:val="nil"/>
            </w:tcBorders>
            <w:shd w:val="clear" w:color="auto" w:fill="auto"/>
            <w:vAlign w:val="bottom"/>
          </w:tcPr>
          <w:p w14:paraId="4EE66440" w14:textId="176087FF" w:rsidR="007649C3" w:rsidRPr="00537128" w:rsidRDefault="007649C3" w:rsidP="007649C3">
            <w:pPr>
              <w:spacing w:after="0" w:line="240" w:lineRule="exact"/>
              <w:jc w:val="right"/>
              <w:outlineLvl w:val="0"/>
              <w:rPr>
                <w:rFonts w:ascii="Calibri" w:eastAsia="Calibri" w:hAnsi="Calibri" w:cs="Arial"/>
                <w:b/>
                <w:bCs/>
                <w:noProof/>
                <w:sz w:val="20"/>
                <w:szCs w:val="20"/>
                <w:lang w:val="en-US"/>
              </w:rPr>
            </w:pPr>
            <w:r>
              <w:rPr>
                <w:rFonts w:ascii="Calibri" w:eastAsia="Times New Roman" w:hAnsi="Calibri" w:cs="Calibri"/>
                <w:b/>
                <w:bCs/>
                <w:color w:val="000000"/>
                <w:sz w:val="20"/>
                <w:szCs w:val="20"/>
              </w:rPr>
              <w:t>1,262</w:t>
            </w:r>
          </w:p>
        </w:tc>
        <w:tc>
          <w:tcPr>
            <w:tcW w:w="603" w:type="pct"/>
            <w:tcBorders>
              <w:top w:val="single" w:sz="4" w:space="0" w:color="auto"/>
              <w:left w:val="nil"/>
              <w:bottom w:val="single" w:sz="12" w:space="0" w:color="auto"/>
              <w:right w:val="nil"/>
            </w:tcBorders>
            <w:shd w:val="clear" w:color="auto" w:fill="auto"/>
            <w:vAlign w:val="bottom"/>
          </w:tcPr>
          <w:p w14:paraId="77A0C563" w14:textId="20118EBB" w:rsidR="007649C3" w:rsidRPr="00537128" w:rsidRDefault="007649C3" w:rsidP="007649C3">
            <w:pPr>
              <w:spacing w:after="0" w:line="240" w:lineRule="exact"/>
              <w:jc w:val="right"/>
              <w:outlineLvl w:val="0"/>
              <w:rPr>
                <w:rFonts w:ascii="Calibri" w:eastAsia="Calibri" w:hAnsi="Calibri" w:cs="Arial"/>
                <w:b/>
                <w:bCs/>
                <w:noProof/>
                <w:sz w:val="20"/>
                <w:szCs w:val="20"/>
                <w:lang w:val="en-US"/>
              </w:rPr>
            </w:pPr>
            <w:r w:rsidRPr="006C4609">
              <w:rPr>
                <w:rFonts w:cstheme="minorHAnsi"/>
                <w:b/>
                <w:color w:val="000000" w:themeColor="text1"/>
                <w:sz w:val="20"/>
                <w:szCs w:val="20"/>
              </w:rPr>
              <w:t>1</w:t>
            </w:r>
            <w:r>
              <w:rPr>
                <w:rFonts w:cstheme="minorHAnsi"/>
                <w:b/>
                <w:color w:val="000000" w:themeColor="text1"/>
                <w:sz w:val="20"/>
                <w:szCs w:val="20"/>
              </w:rPr>
              <w:t>,</w:t>
            </w:r>
            <w:r w:rsidRPr="006C4609">
              <w:rPr>
                <w:rFonts w:cstheme="minorHAnsi"/>
                <w:b/>
                <w:color w:val="000000" w:themeColor="text1"/>
                <w:sz w:val="20"/>
                <w:szCs w:val="20"/>
              </w:rPr>
              <w:t>809</w:t>
            </w:r>
          </w:p>
        </w:tc>
        <w:tc>
          <w:tcPr>
            <w:tcW w:w="678" w:type="pct"/>
            <w:tcBorders>
              <w:top w:val="single" w:sz="4" w:space="0" w:color="auto"/>
              <w:left w:val="nil"/>
              <w:bottom w:val="single" w:sz="12" w:space="0" w:color="auto"/>
              <w:right w:val="nil"/>
            </w:tcBorders>
            <w:shd w:val="clear" w:color="auto" w:fill="auto"/>
            <w:vAlign w:val="bottom"/>
          </w:tcPr>
          <w:p w14:paraId="6DC15482" w14:textId="645C38B6" w:rsidR="007649C3" w:rsidRPr="00537128" w:rsidRDefault="007649C3" w:rsidP="007649C3">
            <w:pPr>
              <w:spacing w:after="0" w:line="240" w:lineRule="exact"/>
              <w:jc w:val="right"/>
              <w:outlineLvl w:val="0"/>
              <w:rPr>
                <w:rFonts w:ascii="Calibri" w:eastAsia="Calibri" w:hAnsi="Calibri" w:cs="Arial"/>
                <w:b/>
                <w:bCs/>
                <w:noProof/>
                <w:sz w:val="20"/>
                <w:szCs w:val="20"/>
                <w:lang w:val="en-US"/>
              </w:rPr>
            </w:pPr>
            <w:r>
              <w:rPr>
                <w:rFonts w:ascii="Calibri" w:eastAsia="Times New Roman" w:hAnsi="Calibri" w:cs="Calibri"/>
                <w:b/>
                <w:bCs/>
                <w:color w:val="000000"/>
                <w:sz w:val="20"/>
                <w:szCs w:val="20"/>
              </w:rPr>
              <w:t>1,255</w:t>
            </w:r>
          </w:p>
        </w:tc>
        <w:tc>
          <w:tcPr>
            <w:tcW w:w="630" w:type="pct"/>
            <w:tcBorders>
              <w:top w:val="single" w:sz="4" w:space="0" w:color="auto"/>
              <w:left w:val="nil"/>
              <w:bottom w:val="single" w:sz="12" w:space="0" w:color="auto"/>
              <w:right w:val="nil"/>
            </w:tcBorders>
            <w:vAlign w:val="bottom"/>
          </w:tcPr>
          <w:p w14:paraId="2CD3EEA5" w14:textId="1D381B93" w:rsidR="007649C3" w:rsidRPr="00537128" w:rsidRDefault="007649C3" w:rsidP="007649C3">
            <w:pPr>
              <w:spacing w:after="0" w:line="240" w:lineRule="exact"/>
              <w:jc w:val="right"/>
              <w:outlineLvl w:val="0"/>
              <w:rPr>
                <w:rFonts w:ascii="Calibri" w:eastAsia="Calibri" w:hAnsi="Calibri" w:cs="Arial"/>
                <w:b/>
                <w:bCs/>
                <w:noProof/>
                <w:sz w:val="20"/>
                <w:szCs w:val="20"/>
                <w:lang w:val="en-US"/>
              </w:rPr>
            </w:pPr>
            <w:r w:rsidRPr="006C4609">
              <w:rPr>
                <w:rFonts w:cstheme="minorHAnsi"/>
                <w:b/>
                <w:color w:val="000000" w:themeColor="text1"/>
                <w:sz w:val="20"/>
                <w:szCs w:val="20"/>
              </w:rPr>
              <w:t>1</w:t>
            </w:r>
            <w:r>
              <w:rPr>
                <w:rFonts w:cstheme="minorHAnsi"/>
                <w:b/>
                <w:color w:val="000000" w:themeColor="text1"/>
                <w:sz w:val="20"/>
                <w:szCs w:val="20"/>
              </w:rPr>
              <w:t>,</w:t>
            </w:r>
            <w:r w:rsidRPr="006C4609">
              <w:rPr>
                <w:rFonts w:cstheme="minorHAnsi"/>
                <w:b/>
                <w:color w:val="000000" w:themeColor="text1"/>
                <w:sz w:val="20"/>
                <w:szCs w:val="20"/>
              </w:rPr>
              <w:t>804</w:t>
            </w:r>
          </w:p>
        </w:tc>
      </w:tr>
    </w:tbl>
    <w:p w14:paraId="6BE8A83B" w14:textId="77777777" w:rsidR="00987F88" w:rsidRPr="00537128" w:rsidRDefault="00987F88" w:rsidP="00D3297A">
      <w:pPr>
        <w:autoSpaceDE w:val="0"/>
        <w:autoSpaceDN w:val="0"/>
        <w:adjustRightInd w:val="0"/>
        <w:spacing w:after="0" w:line="240" w:lineRule="auto"/>
        <w:jc w:val="both"/>
        <w:rPr>
          <w:noProof/>
          <w:color w:val="000000" w:themeColor="text1"/>
          <w:lang w:val="en-US"/>
        </w:rPr>
      </w:pPr>
    </w:p>
    <w:p w14:paraId="7F55428E"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p>
    <w:p w14:paraId="04E731D5" w14:textId="5F37810A" w:rsidR="00D3297A" w:rsidRPr="00537128" w:rsidRDefault="00D3297A" w:rsidP="00D3297A">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Net foreign exchange gain/loss on loss allowances are shown within net gains/(losses) from financial activities in the Income Statement</w:t>
      </w:r>
      <w:r w:rsidR="00112079">
        <w:rPr>
          <w:noProof/>
          <w:color w:val="000000" w:themeColor="text1"/>
          <w:lang w:val="en-US"/>
        </w:rPr>
        <w:t>.</w:t>
      </w:r>
    </w:p>
    <w:p w14:paraId="346F6FC0"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p>
    <w:p w14:paraId="321EFB82"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p>
    <w:p w14:paraId="69A36D23" w14:textId="77777777" w:rsidR="00D3297A" w:rsidRPr="00537128" w:rsidRDefault="00D3297A" w:rsidP="00D3297A">
      <w:pPr>
        <w:autoSpaceDE w:val="0"/>
        <w:autoSpaceDN w:val="0"/>
        <w:adjustRightInd w:val="0"/>
        <w:spacing w:after="0" w:line="240" w:lineRule="auto"/>
        <w:jc w:val="both"/>
        <w:rPr>
          <w:noProof/>
          <w:color w:val="000000" w:themeColor="text1"/>
          <w:lang w:val="en-US"/>
        </w:rPr>
        <w:sectPr w:rsidR="00D3297A" w:rsidRPr="00537128" w:rsidSect="007C40E2">
          <w:pgSz w:w="11907" w:h="16840" w:code="9"/>
          <w:pgMar w:top="1418" w:right="1134" w:bottom="1134" w:left="1418" w:header="851" w:footer="851" w:gutter="0"/>
          <w:cols w:space="720"/>
          <w:noEndnote/>
        </w:sectPr>
      </w:pPr>
    </w:p>
    <w:p w14:paraId="3D9EB96C" w14:textId="77777777" w:rsidR="00D3297A" w:rsidRPr="00537128" w:rsidRDefault="00D3297A" w:rsidP="005E1350">
      <w:pPr>
        <w:autoSpaceDE w:val="0"/>
        <w:autoSpaceDN w:val="0"/>
        <w:adjustRightInd w:val="0"/>
        <w:spacing w:after="0" w:line="240" w:lineRule="auto"/>
        <w:jc w:val="both"/>
        <w:rPr>
          <w:b/>
          <w:noProof/>
          <w:color w:val="000000" w:themeColor="text1"/>
          <w:lang w:val="en-US"/>
        </w:rPr>
      </w:pPr>
      <w:bookmarkStart w:id="294" w:name="_Hlk29295719"/>
    </w:p>
    <w:p w14:paraId="0D3C38AF" w14:textId="77777777" w:rsidR="00D3297A" w:rsidRPr="00537128" w:rsidRDefault="00D3297A" w:rsidP="005B7D9D">
      <w:pPr>
        <w:pStyle w:val="ListParagraph"/>
        <w:numPr>
          <w:ilvl w:val="0"/>
          <w:numId w:val="9"/>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Deposits with other banks</w:t>
      </w:r>
    </w:p>
    <w:bookmarkEnd w:id="294"/>
    <w:p w14:paraId="5A5739E2" w14:textId="77777777" w:rsidR="00D3297A" w:rsidRPr="00537128" w:rsidRDefault="00D3297A" w:rsidP="00D3297A">
      <w:pPr>
        <w:tabs>
          <w:tab w:val="left" w:pos="-720"/>
        </w:tabs>
        <w:suppressAutoHyphens/>
        <w:spacing w:after="0" w:line="240" w:lineRule="auto"/>
        <w:rPr>
          <w:rFonts w:ascii="Calibri" w:eastAsia="Times New Roman" w:hAnsi="Calibri" w:cs="Arial"/>
          <w:color w:val="000000" w:themeColor="text1"/>
          <w:lang w:val="en-US"/>
        </w:rPr>
      </w:pPr>
    </w:p>
    <w:tbl>
      <w:tblPr>
        <w:tblW w:w="4688" w:type="pct"/>
        <w:tblLayout w:type="fixed"/>
        <w:tblCellMar>
          <w:left w:w="122" w:type="dxa"/>
          <w:right w:w="122" w:type="dxa"/>
        </w:tblCellMar>
        <w:tblLook w:val="0000" w:firstRow="0" w:lastRow="0" w:firstColumn="0" w:lastColumn="0" w:noHBand="0" w:noVBand="0"/>
      </w:tblPr>
      <w:tblGrid>
        <w:gridCol w:w="5670"/>
        <w:gridCol w:w="1276"/>
        <w:gridCol w:w="1560"/>
      </w:tblGrid>
      <w:tr w:rsidR="00D17134" w:rsidRPr="00537128" w14:paraId="72F11843" w14:textId="77777777" w:rsidTr="00D17134">
        <w:trPr>
          <w:trHeight w:val="112"/>
        </w:trPr>
        <w:tc>
          <w:tcPr>
            <w:tcW w:w="3333" w:type="pct"/>
          </w:tcPr>
          <w:p w14:paraId="105D6C41" w14:textId="77777777" w:rsidR="00D17134" w:rsidRPr="00537128" w:rsidRDefault="00D17134" w:rsidP="00987F88">
            <w:pPr>
              <w:tabs>
                <w:tab w:val="left" w:pos="-720"/>
              </w:tabs>
              <w:suppressAutoHyphens/>
              <w:spacing w:after="0" w:line="240" w:lineRule="auto"/>
              <w:rPr>
                <w:rFonts w:ascii="Calibri" w:eastAsia="Times New Roman" w:hAnsi="Calibri" w:cs="Arial"/>
                <w:b/>
                <w:sz w:val="20"/>
                <w:szCs w:val="20"/>
                <w:lang w:val="en-US"/>
              </w:rPr>
            </w:pPr>
          </w:p>
        </w:tc>
        <w:tc>
          <w:tcPr>
            <w:tcW w:w="1667" w:type="pct"/>
            <w:gridSpan w:val="2"/>
          </w:tcPr>
          <w:p w14:paraId="03B93349" w14:textId="0BF7A3A5" w:rsidR="00D17134" w:rsidRPr="00537128" w:rsidRDefault="00D17134" w:rsidP="00987F88">
            <w:pPr>
              <w:tabs>
                <w:tab w:val="right" w:pos="1202"/>
              </w:tabs>
              <w:spacing w:after="0" w:line="240" w:lineRule="atLeast"/>
              <w:jc w:val="right"/>
              <w:outlineLvl w:val="0"/>
              <w:rPr>
                <w:rFonts w:ascii="Calibri" w:eastAsia="Times New Roman" w:hAnsi="Calibri" w:cs="Arial"/>
                <w:b/>
                <w:sz w:val="20"/>
                <w:szCs w:val="20"/>
                <w:lang w:val="en-US"/>
              </w:rPr>
            </w:pPr>
            <w:bookmarkStart w:id="295" w:name="_Toc4058336"/>
            <w:r>
              <w:rPr>
                <w:rFonts w:ascii="Calibri" w:eastAsia="Times New Roman" w:hAnsi="Calibri" w:cs="Arial"/>
                <w:b/>
                <w:sz w:val="20"/>
                <w:szCs w:val="20"/>
                <w:lang w:val="en-US"/>
              </w:rPr>
              <w:t xml:space="preserve">Group and </w:t>
            </w:r>
            <w:r w:rsidRPr="00537128">
              <w:rPr>
                <w:rFonts w:ascii="Calibri" w:eastAsia="Times New Roman" w:hAnsi="Calibri" w:cs="Arial"/>
                <w:b/>
                <w:sz w:val="20"/>
                <w:szCs w:val="20"/>
                <w:lang w:val="en-US"/>
              </w:rPr>
              <w:t>Bank</w:t>
            </w:r>
            <w:bookmarkEnd w:id="295"/>
          </w:p>
        </w:tc>
      </w:tr>
      <w:tr w:rsidR="00D17134" w:rsidRPr="00537128" w14:paraId="324000A5" w14:textId="77777777" w:rsidTr="00D17134">
        <w:trPr>
          <w:trHeight w:val="112"/>
        </w:trPr>
        <w:tc>
          <w:tcPr>
            <w:tcW w:w="3333" w:type="pct"/>
          </w:tcPr>
          <w:p w14:paraId="263CAAA4" w14:textId="77777777" w:rsidR="00D17134" w:rsidRPr="00537128" w:rsidRDefault="00D17134" w:rsidP="00987F88">
            <w:pPr>
              <w:tabs>
                <w:tab w:val="left" w:pos="-720"/>
              </w:tabs>
              <w:suppressAutoHyphens/>
              <w:spacing w:after="0" w:line="240" w:lineRule="auto"/>
              <w:rPr>
                <w:rFonts w:ascii="Calibri" w:eastAsia="Times New Roman" w:hAnsi="Calibri" w:cs="Arial"/>
                <w:b/>
                <w:sz w:val="20"/>
                <w:szCs w:val="20"/>
                <w:lang w:val="en-US"/>
              </w:rPr>
            </w:pPr>
          </w:p>
        </w:tc>
        <w:tc>
          <w:tcPr>
            <w:tcW w:w="750" w:type="pct"/>
            <w:shd w:val="clear" w:color="auto" w:fill="auto"/>
            <w:vAlign w:val="center"/>
          </w:tcPr>
          <w:p w14:paraId="4DD2AFA2" w14:textId="44A9E70A" w:rsidR="00D17134" w:rsidRPr="00537128" w:rsidRDefault="00D17134" w:rsidP="00987F88">
            <w:pPr>
              <w:tabs>
                <w:tab w:val="right" w:pos="1202"/>
              </w:tabs>
              <w:spacing w:after="0" w:line="240" w:lineRule="atLeast"/>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31 March 202</w:t>
            </w:r>
            <w:r>
              <w:rPr>
                <w:rFonts w:ascii="Calibri" w:eastAsia="Times New Roman" w:hAnsi="Calibri" w:cs="Arial"/>
                <w:b/>
                <w:sz w:val="20"/>
                <w:szCs w:val="20"/>
                <w:lang w:val="en-US"/>
              </w:rPr>
              <w:t>2</w:t>
            </w:r>
          </w:p>
        </w:tc>
        <w:tc>
          <w:tcPr>
            <w:tcW w:w="917" w:type="pct"/>
            <w:shd w:val="clear" w:color="auto" w:fill="auto"/>
            <w:vAlign w:val="center"/>
          </w:tcPr>
          <w:p w14:paraId="26A8BBF9" w14:textId="6AEEE676" w:rsidR="00D17134" w:rsidRPr="00537128" w:rsidRDefault="00D17134" w:rsidP="00987F88">
            <w:pPr>
              <w:tabs>
                <w:tab w:val="right" w:pos="1202"/>
              </w:tabs>
              <w:spacing w:after="0" w:line="240" w:lineRule="atLeast"/>
              <w:jc w:val="right"/>
              <w:outlineLvl w:val="0"/>
              <w:rPr>
                <w:rFonts w:ascii="Calibri" w:eastAsia="Times New Roman" w:hAnsi="Calibri" w:cs="Arial"/>
                <w:b/>
                <w:sz w:val="20"/>
                <w:szCs w:val="20"/>
                <w:lang w:val="en-US"/>
              </w:rPr>
            </w:pPr>
            <w:bookmarkStart w:id="296" w:name="_Toc4058339"/>
            <w:r w:rsidRPr="00537128">
              <w:rPr>
                <w:rFonts w:ascii="Calibri" w:eastAsia="Times New Roman" w:hAnsi="Calibri" w:cs="Arial"/>
                <w:b/>
                <w:sz w:val="20"/>
                <w:szCs w:val="20"/>
                <w:lang w:val="en-US"/>
              </w:rPr>
              <w:t xml:space="preserve">31 December </w:t>
            </w:r>
            <w:bookmarkEnd w:id="296"/>
            <w:r w:rsidRPr="00537128">
              <w:rPr>
                <w:rFonts w:ascii="Calibri" w:eastAsia="Times New Roman" w:hAnsi="Calibri" w:cs="Arial"/>
                <w:b/>
                <w:sz w:val="20"/>
                <w:szCs w:val="20"/>
                <w:lang w:val="en-US"/>
              </w:rPr>
              <w:t>2020</w:t>
            </w:r>
          </w:p>
        </w:tc>
      </w:tr>
      <w:tr w:rsidR="00D17134" w:rsidRPr="00537128" w14:paraId="2F744DDA" w14:textId="77777777" w:rsidTr="00D17134">
        <w:trPr>
          <w:trHeight w:val="229"/>
        </w:trPr>
        <w:tc>
          <w:tcPr>
            <w:tcW w:w="3333" w:type="pct"/>
          </w:tcPr>
          <w:p w14:paraId="5C6594D4" w14:textId="77777777" w:rsidR="00D17134" w:rsidRPr="00537128" w:rsidRDefault="00D17134" w:rsidP="00987F88">
            <w:pPr>
              <w:tabs>
                <w:tab w:val="left" w:pos="-720"/>
              </w:tabs>
              <w:suppressAutoHyphens/>
              <w:spacing w:after="0" w:line="240" w:lineRule="auto"/>
              <w:rPr>
                <w:rFonts w:ascii="Calibri" w:eastAsia="Times New Roman" w:hAnsi="Calibri" w:cs="Arial"/>
                <w:b/>
                <w:sz w:val="20"/>
                <w:szCs w:val="20"/>
                <w:lang w:val="en-US"/>
              </w:rPr>
            </w:pPr>
          </w:p>
        </w:tc>
        <w:tc>
          <w:tcPr>
            <w:tcW w:w="750" w:type="pct"/>
          </w:tcPr>
          <w:p w14:paraId="5BA1C158" w14:textId="51A1C0DC" w:rsidR="00D17134" w:rsidRPr="00537128" w:rsidRDefault="00D17134" w:rsidP="00987F88">
            <w:pPr>
              <w:tabs>
                <w:tab w:val="right" w:pos="1202"/>
              </w:tabs>
              <w:spacing w:after="0" w:line="240" w:lineRule="atLeast"/>
              <w:jc w:val="right"/>
              <w:outlineLvl w:val="0"/>
              <w:rPr>
                <w:rFonts w:ascii="Calibri" w:eastAsia="Times New Roman" w:hAnsi="Calibri" w:cs="Arial"/>
                <w:b/>
                <w:sz w:val="20"/>
                <w:szCs w:val="20"/>
                <w:lang w:val="en-US"/>
              </w:rPr>
            </w:pPr>
            <w:bookmarkStart w:id="297" w:name="_Toc4058342"/>
            <w:r w:rsidRPr="00537128">
              <w:rPr>
                <w:rFonts w:ascii="Calibri" w:eastAsia="Times New Roman" w:hAnsi="Calibri" w:cs="Arial"/>
                <w:b/>
                <w:sz w:val="20"/>
                <w:szCs w:val="20"/>
                <w:lang w:val="en-US"/>
              </w:rPr>
              <w:t>HRK ‘000</w:t>
            </w:r>
            <w:bookmarkEnd w:id="297"/>
          </w:p>
        </w:tc>
        <w:tc>
          <w:tcPr>
            <w:tcW w:w="917" w:type="pct"/>
          </w:tcPr>
          <w:p w14:paraId="67833425" w14:textId="0D9FB478" w:rsidR="00D17134" w:rsidRPr="00537128" w:rsidRDefault="00D17134" w:rsidP="00987F88">
            <w:pPr>
              <w:tabs>
                <w:tab w:val="right" w:pos="1202"/>
              </w:tabs>
              <w:spacing w:after="0" w:line="240" w:lineRule="atLeast"/>
              <w:jc w:val="right"/>
              <w:outlineLvl w:val="0"/>
              <w:rPr>
                <w:rFonts w:ascii="Calibri" w:eastAsia="Times New Roman" w:hAnsi="Calibri" w:cs="Arial"/>
                <w:b/>
                <w:sz w:val="20"/>
                <w:szCs w:val="20"/>
                <w:lang w:val="en-US"/>
              </w:rPr>
            </w:pPr>
            <w:bookmarkStart w:id="298" w:name="_Toc4058343"/>
            <w:r w:rsidRPr="00537128">
              <w:rPr>
                <w:rFonts w:ascii="Calibri" w:eastAsia="Times New Roman" w:hAnsi="Calibri" w:cs="Arial"/>
                <w:b/>
                <w:sz w:val="20"/>
                <w:szCs w:val="20"/>
                <w:lang w:val="en-US"/>
              </w:rPr>
              <w:t>HRK ‘000</w:t>
            </w:r>
            <w:bookmarkEnd w:id="298"/>
          </w:p>
        </w:tc>
      </w:tr>
      <w:tr w:rsidR="00D17134" w:rsidRPr="00537128" w14:paraId="101279B4" w14:textId="77777777" w:rsidTr="00D17134">
        <w:tc>
          <w:tcPr>
            <w:tcW w:w="3333" w:type="pct"/>
          </w:tcPr>
          <w:p w14:paraId="1BDB78F1" w14:textId="77777777" w:rsidR="00D17134" w:rsidRPr="00537128" w:rsidRDefault="00D17134" w:rsidP="00987F88">
            <w:pPr>
              <w:tabs>
                <w:tab w:val="left" w:pos="-720"/>
              </w:tabs>
              <w:suppressAutoHyphens/>
              <w:spacing w:after="0" w:line="240" w:lineRule="auto"/>
              <w:rPr>
                <w:rFonts w:ascii="Calibri" w:eastAsia="Times New Roman" w:hAnsi="Calibri" w:cs="Arial"/>
                <w:sz w:val="20"/>
                <w:szCs w:val="20"/>
                <w:lang w:val="en-US"/>
              </w:rPr>
            </w:pPr>
          </w:p>
        </w:tc>
        <w:tc>
          <w:tcPr>
            <w:tcW w:w="750" w:type="pct"/>
          </w:tcPr>
          <w:p w14:paraId="49136BFD" w14:textId="77777777" w:rsidR="00D17134" w:rsidRPr="00537128" w:rsidRDefault="00D17134" w:rsidP="00987F88">
            <w:pPr>
              <w:tabs>
                <w:tab w:val="left" w:pos="-720"/>
              </w:tabs>
              <w:suppressAutoHyphens/>
              <w:spacing w:after="0" w:line="240" w:lineRule="auto"/>
              <w:jc w:val="right"/>
              <w:rPr>
                <w:rFonts w:ascii="Calibri" w:eastAsia="Times New Roman" w:hAnsi="Calibri" w:cs="Arial"/>
                <w:sz w:val="20"/>
                <w:szCs w:val="20"/>
                <w:lang w:val="en-US"/>
              </w:rPr>
            </w:pPr>
          </w:p>
        </w:tc>
        <w:tc>
          <w:tcPr>
            <w:tcW w:w="917" w:type="pct"/>
            <w:vAlign w:val="bottom"/>
          </w:tcPr>
          <w:p w14:paraId="09229DF5" w14:textId="77777777" w:rsidR="00D17134" w:rsidRPr="00537128" w:rsidRDefault="00D17134" w:rsidP="00987F88">
            <w:pPr>
              <w:tabs>
                <w:tab w:val="left" w:pos="-720"/>
              </w:tabs>
              <w:suppressAutoHyphens/>
              <w:spacing w:after="0" w:line="240" w:lineRule="auto"/>
              <w:jc w:val="right"/>
              <w:rPr>
                <w:rFonts w:ascii="Calibri" w:eastAsia="Times New Roman" w:hAnsi="Calibri" w:cs="Arial"/>
                <w:sz w:val="20"/>
                <w:szCs w:val="20"/>
                <w:lang w:val="en-US"/>
              </w:rPr>
            </w:pPr>
          </w:p>
        </w:tc>
      </w:tr>
      <w:tr w:rsidR="000A40A0" w:rsidRPr="00537128" w14:paraId="26158C14" w14:textId="77777777" w:rsidTr="007C45A1">
        <w:tc>
          <w:tcPr>
            <w:tcW w:w="3333" w:type="pct"/>
          </w:tcPr>
          <w:p w14:paraId="2FD39C9F" w14:textId="77777777" w:rsidR="000A40A0" w:rsidRPr="00537128" w:rsidRDefault="000A40A0" w:rsidP="000A40A0">
            <w:pPr>
              <w:tabs>
                <w:tab w:val="left" w:pos="-720"/>
              </w:tabs>
              <w:suppressAutoHyphens/>
              <w:spacing w:after="0" w:line="240" w:lineRule="auto"/>
              <w:rPr>
                <w:rFonts w:ascii="Calibri" w:eastAsia="Times New Roman" w:hAnsi="Calibri" w:cs="Arial"/>
                <w:sz w:val="20"/>
                <w:szCs w:val="20"/>
                <w:lang w:val="en-US"/>
              </w:rPr>
            </w:pPr>
            <w:r w:rsidRPr="00537128">
              <w:rPr>
                <w:rFonts w:ascii="Calibri" w:eastAsia="Times New Roman" w:hAnsi="Calibri" w:cs="Arial"/>
                <w:sz w:val="20"/>
                <w:szCs w:val="20"/>
                <w:lang w:val="en-US"/>
              </w:rPr>
              <w:t>Deposits with foreign banks</w:t>
            </w:r>
          </w:p>
        </w:tc>
        <w:tc>
          <w:tcPr>
            <w:tcW w:w="750" w:type="pct"/>
            <w:tcBorders>
              <w:top w:val="nil"/>
              <w:left w:val="nil"/>
              <w:bottom w:val="nil"/>
              <w:right w:val="nil"/>
            </w:tcBorders>
            <w:shd w:val="clear" w:color="auto" w:fill="auto"/>
            <w:vAlign w:val="bottom"/>
          </w:tcPr>
          <w:p w14:paraId="06E0E6BF" w14:textId="67E4AC5D" w:rsidR="000A40A0" w:rsidRPr="00537128" w:rsidRDefault="000A40A0" w:rsidP="000A40A0">
            <w:pPr>
              <w:tabs>
                <w:tab w:val="left" w:pos="-720"/>
              </w:tabs>
              <w:suppressAutoHyphens/>
              <w:spacing w:after="0" w:line="240" w:lineRule="auto"/>
              <w:jc w:val="right"/>
              <w:rPr>
                <w:rFonts w:ascii="Calibri" w:eastAsia="Times New Roman" w:hAnsi="Calibri" w:cs="Arial"/>
                <w:sz w:val="20"/>
                <w:szCs w:val="20"/>
                <w:lang w:val="en-US"/>
              </w:rPr>
            </w:pPr>
            <w:r>
              <w:rPr>
                <w:rFonts w:cs="Arial"/>
                <w:color w:val="000000" w:themeColor="text1"/>
                <w:sz w:val="20"/>
                <w:szCs w:val="20"/>
              </w:rPr>
              <w:t>15</w:t>
            </w:r>
            <w:r w:rsidR="00D2438E">
              <w:rPr>
                <w:rFonts w:cs="Arial"/>
                <w:color w:val="000000" w:themeColor="text1"/>
                <w:sz w:val="20"/>
                <w:szCs w:val="20"/>
              </w:rPr>
              <w:t>,</w:t>
            </w:r>
            <w:r>
              <w:rPr>
                <w:rFonts w:cs="Arial"/>
                <w:color w:val="000000" w:themeColor="text1"/>
                <w:sz w:val="20"/>
                <w:szCs w:val="20"/>
              </w:rPr>
              <w:t>217</w:t>
            </w:r>
          </w:p>
        </w:tc>
        <w:tc>
          <w:tcPr>
            <w:tcW w:w="917" w:type="pct"/>
            <w:vAlign w:val="bottom"/>
          </w:tcPr>
          <w:p w14:paraId="7D00E31B" w14:textId="31DAECEA" w:rsidR="000A40A0" w:rsidRPr="00537128" w:rsidRDefault="000A40A0" w:rsidP="000A40A0">
            <w:pPr>
              <w:tabs>
                <w:tab w:val="left" w:pos="-720"/>
              </w:tabs>
              <w:suppressAutoHyphens/>
              <w:spacing w:after="0" w:line="240" w:lineRule="auto"/>
              <w:jc w:val="right"/>
              <w:rPr>
                <w:rFonts w:ascii="Calibri" w:eastAsia="Times New Roman" w:hAnsi="Calibri" w:cs="Arial"/>
                <w:sz w:val="20"/>
                <w:szCs w:val="20"/>
                <w:lang w:val="en-US"/>
              </w:rPr>
            </w:pPr>
            <w:r w:rsidRPr="006C4609">
              <w:rPr>
                <w:rFonts w:cs="Arial"/>
                <w:color w:val="000000" w:themeColor="text1"/>
                <w:sz w:val="20"/>
                <w:szCs w:val="20"/>
              </w:rPr>
              <w:t>7</w:t>
            </w:r>
            <w:r>
              <w:rPr>
                <w:rFonts w:cs="Arial"/>
                <w:color w:val="000000" w:themeColor="text1"/>
                <w:sz w:val="20"/>
                <w:szCs w:val="20"/>
              </w:rPr>
              <w:t>,</w:t>
            </w:r>
            <w:r w:rsidRPr="006C4609">
              <w:rPr>
                <w:rFonts w:cs="Arial"/>
                <w:color w:val="000000" w:themeColor="text1"/>
                <w:sz w:val="20"/>
                <w:szCs w:val="20"/>
              </w:rPr>
              <w:t>501</w:t>
            </w:r>
          </w:p>
        </w:tc>
      </w:tr>
      <w:tr w:rsidR="000A40A0" w:rsidRPr="00537128" w14:paraId="454F6425" w14:textId="77777777" w:rsidTr="007C45A1">
        <w:tc>
          <w:tcPr>
            <w:tcW w:w="3333" w:type="pct"/>
          </w:tcPr>
          <w:p w14:paraId="140A9580" w14:textId="42C8BDC6" w:rsidR="000A40A0" w:rsidRPr="00537128" w:rsidRDefault="000A40A0" w:rsidP="000A40A0">
            <w:pPr>
              <w:tabs>
                <w:tab w:val="right" w:pos="1202"/>
              </w:tabs>
              <w:spacing w:after="0" w:line="301" w:lineRule="exact"/>
              <w:outlineLvl w:val="0"/>
              <w:rPr>
                <w:rFonts w:ascii="Calibri" w:eastAsia="Times New Roman" w:hAnsi="Calibri" w:cs="Arial"/>
                <w:sz w:val="20"/>
                <w:szCs w:val="20"/>
                <w:lang w:val="en-US"/>
              </w:rPr>
            </w:pPr>
            <w:bookmarkStart w:id="299" w:name="_Toc4058350"/>
            <w:r w:rsidRPr="00537128">
              <w:rPr>
                <w:rFonts w:ascii="Calibri" w:eastAsia="Times New Roman" w:hAnsi="Calibri" w:cs="Arial"/>
                <w:sz w:val="20"/>
                <w:szCs w:val="20"/>
                <w:lang w:val="en-US"/>
              </w:rPr>
              <w:t>Accrued interest</w:t>
            </w:r>
            <w:bookmarkEnd w:id="299"/>
            <w:r w:rsidRPr="00537128">
              <w:rPr>
                <w:rFonts w:ascii="Calibri" w:eastAsia="Times New Roman" w:hAnsi="Calibri" w:cs="Arial"/>
                <w:sz w:val="20"/>
                <w:szCs w:val="20"/>
                <w:lang w:val="en-US"/>
              </w:rPr>
              <w:t xml:space="preserve"> </w:t>
            </w:r>
          </w:p>
        </w:tc>
        <w:tc>
          <w:tcPr>
            <w:tcW w:w="750" w:type="pct"/>
            <w:tcBorders>
              <w:top w:val="nil"/>
              <w:left w:val="nil"/>
              <w:bottom w:val="single" w:sz="4" w:space="0" w:color="auto"/>
              <w:right w:val="nil"/>
            </w:tcBorders>
            <w:shd w:val="clear" w:color="auto" w:fill="auto"/>
            <w:vAlign w:val="bottom"/>
          </w:tcPr>
          <w:p w14:paraId="51BDFC41" w14:textId="7C5A8677" w:rsidR="000A40A0" w:rsidRPr="00537128" w:rsidRDefault="000A40A0" w:rsidP="000A40A0">
            <w:pPr>
              <w:tabs>
                <w:tab w:val="right" w:pos="1202"/>
              </w:tabs>
              <w:spacing w:after="0" w:line="301" w:lineRule="exact"/>
              <w:jc w:val="right"/>
              <w:outlineLvl w:val="0"/>
              <w:rPr>
                <w:rFonts w:ascii="Calibri" w:eastAsia="Times New Roman" w:hAnsi="Calibri" w:cs="Arial"/>
                <w:sz w:val="20"/>
                <w:szCs w:val="20"/>
                <w:lang w:val="en-US"/>
              </w:rPr>
            </w:pPr>
            <w:r>
              <w:rPr>
                <w:rFonts w:cs="Arial"/>
                <w:color w:val="000000" w:themeColor="text1"/>
                <w:sz w:val="20"/>
              </w:rPr>
              <w:t>-</w:t>
            </w:r>
          </w:p>
        </w:tc>
        <w:tc>
          <w:tcPr>
            <w:tcW w:w="917" w:type="pct"/>
            <w:tcBorders>
              <w:top w:val="nil"/>
              <w:left w:val="nil"/>
              <w:bottom w:val="nil"/>
              <w:right w:val="nil"/>
            </w:tcBorders>
            <w:shd w:val="clear" w:color="auto" w:fill="auto"/>
            <w:vAlign w:val="bottom"/>
          </w:tcPr>
          <w:p w14:paraId="008339DC" w14:textId="556491E6" w:rsidR="000A40A0" w:rsidRPr="00537128" w:rsidRDefault="000A40A0" w:rsidP="000A40A0">
            <w:pPr>
              <w:tabs>
                <w:tab w:val="right" w:pos="1202"/>
              </w:tabs>
              <w:spacing w:after="0" w:line="301" w:lineRule="exact"/>
              <w:jc w:val="right"/>
              <w:outlineLvl w:val="0"/>
              <w:rPr>
                <w:rFonts w:ascii="Calibri" w:eastAsia="Times New Roman" w:hAnsi="Calibri" w:cs="Arial"/>
                <w:sz w:val="20"/>
                <w:szCs w:val="20"/>
                <w:lang w:val="en-US"/>
              </w:rPr>
            </w:pPr>
            <w:r>
              <w:rPr>
                <w:rFonts w:cs="Arial"/>
                <w:color w:val="000000" w:themeColor="text1"/>
                <w:sz w:val="20"/>
              </w:rPr>
              <w:t>-</w:t>
            </w:r>
          </w:p>
        </w:tc>
      </w:tr>
      <w:tr w:rsidR="000A40A0" w:rsidRPr="00537128" w14:paraId="4C129163" w14:textId="77777777" w:rsidTr="007C45A1">
        <w:tc>
          <w:tcPr>
            <w:tcW w:w="3333" w:type="pct"/>
          </w:tcPr>
          <w:p w14:paraId="11C1B444" w14:textId="77777777" w:rsidR="000A40A0" w:rsidRPr="00537128" w:rsidRDefault="000A40A0" w:rsidP="000A40A0">
            <w:pPr>
              <w:tabs>
                <w:tab w:val="right" w:pos="1202"/>
              </w:tabs>
              <w:spacing w:after="0" w:line="340" w:lineRule="exact"/>
              <w:outlineLvl w:val="0"/>
              <w:rPr>
                <w:rFonts w:ascii="Calibri" w:eastAsia="Times New Roman" w:hAnsi="Calibri" w:cs="Arial"/>
                <w:sz w:val="20"/>
                <w:szCs w:val="20"/>
                <w:lang w:val="en-US"/>
              </w:rPr>
            </w:pPr>
          </w:p>
        </w:tc>
        <w:tc>
          <w:tcPr>
            <w:tcW w:w="750" w:type="pct"/>
            <w:tcBorders>
              <w:top w:val="single" w:sz="4" w:space="0" w:color="auto"/>
              <w:left w:val="nil"/>
              <w:bottom w:val="single" w:sz="12" w:space="0" w:color="auto"/>
              <w:right w:val="nil"/>
            </w:tcBorders>
            <w:shd w:val="clear" w:color="auto" w:fill="auto"/>
            <w:vAlign w:val="bottom"/>
          </w:tcPr>
          <w:p w14:paraId="292A65B2" w14:textId="29424585" w:rsidR="000A40A0" w:rsidRPr="00537128" w:rsidRDefault="000A40A0" w:rsidP="000A40A0">
            <w:pPr>
              <w:tabs>
                <w:tab w:val="right" w:pos="1202"/>
              </w:tabs>
              <w:spacing w:after="0" w:line="340" w:lineRule="exact"/>
              <w:jc w:val="right"/>
              <w:outlineLvl w:val="0"/>
              <w:rPr>
                <w:rFonts w:ascii="Calibri" w:eastAsia="Times New Roman" w:hAnsi="Calibri" w:cs="Arial"/>
                <w:b/>
                <w:sz w:val="20"/>
                <w:szCs w:val="20"/>
                <w:lang w:val="en-US"/>
              </w:rPr>
            </w:pPr>
            <w:r>
              <w:rPr>
                <w:rFonts w:cs="Arial"/>
                <w:b/>
                <w:color w:val="000000" w:themeColor="text1"/>
                <w:sz w:val="20"/>
              </w:rPr>
              <w:t>15</w:t>
            </w:r>
            <w:r w:rsidR="00D2438E">
              <w:rPr>
                <w:rFonts w:cs="Arial"/>
                <w:b/>
                <w:color w:val="000000" w:themeColor="text1"/>
                <w:sz w:val="20"/>
              </w:rPr>
              <w:t>,</w:t>
            </w:r>
            <w:r>
              <w:rPr>
                <w:rFonts w:cs="Arial"/>
                <w:b/>
                <w:color w:val="000000" w:themeColor="text1"/>
                <w:sz w:val="20"/>
              </w:rPr>
              <w:t>217</w:t>
            </w:r>
          </w:p>
        </w:tc>
        <w:tc>
          <w:tcPr>
            <w:tcW w:w="917" w:type="pct"/>
            <w:tcBorders>
              <w:top w:val="single" w:sz="4" w:space="0" w:color="auto"/>
              <w:bottom w:val="single" w:sz="12" w:space="0" w:color="auto"/>
            </w:tcBorders>
            <w:vAlign w:val="bottom"/>
          </w:tcPr>
          <w:p w14:paraId="5A8C1BC7" w14:textId="6DB08FB2" w:rsidR="000A40A0" w:rsidRPr="00537128" w:rsidRDefault="000A40A0" w:rsidP="000A40A0">
            <w:pPr>
              <w:tabs>
                <w:tab w:val="right" w:pos="1202"/>
              </w:tabs>
              <w:spacing w:after="0" w:line="340" w:lineRule="exact"/>
              <w:jc w:val="right"/>
              <w:outlineLvl w:val="0"/>
              <w:rPr>
                <w:rFonts w:ascii="Calibri" w:eastAsia="Times New Roman" w:hAnsi="Calibri" w:cs="Arial"/>
                <w:b/>
                <w:sz w:val="20"/>
                <w:szCs w:val="20"/>
                <w:lang w:val="en-US"/>
              </w:rPr>
            </w:pPr>
            <w:r w:rsidRPr="006C4609">
              <w:rPr>
                <w:rFonts w:cs="Arial"/>
                <w:b/>
                <w:color w:val="000000" w:themeColor="text1"/>
                <w:sz w:val="20"/>
              </w:rPr>
              <w:t>7</w:t>
            </w:r>
            <w:r>
              <w:rPr>
                <w:rFonts w:cs="Arial"/>
                <w:b/>
                <w:color w:val="000000" w:themeColor="text1"/>
                <w:sz w:val="20"/>
              </w:rPr>
              <w:t>,</w:t>
            </w:r>
            <w:r w:rsidRPr="006C4609">
              <w:rPr>
                <w:rFonts w:cs="Arial"/>
                <w:b/>
                <w:color w:val="000000" w:themeColor="text1"/>
                <w:sz w:val="20"/>
              </w:rPr>
              <w:t>501</w:t>
            </w:r>
          </w:p>
        </w:tc>
      </w:tr>
      <w:tr w:rsidR="000A40A0" w:rsidRPr="00537128" w14:paraId="00023CDA" w14:textId="77777777" w:rsidTr="007C45A1">
        <w:tc>
          <w:tcPr>
            <w:tcW w:w="3333" w:type="pct"/>
          </w:tcPr>
          <w:p w14:paraId="7F60529C" w14:textId="77777777" w:rsidR="000A40A0" w:rsidRPr="00537128" w:rsidRDefault="000A40A0" w:rsidP="000A40A0">
            <w:pPr>
              <w:tabs>
                <w:tab w:val="left" w:pos="-720"/>
              </w:tabs>
              <w:suppressAutoHyphens/>
              <w:spacing w:after="0" w:line="240" w:lineRule="auto"/>
              <w:rPr>
                <w:rFonts w:ascii="Calibri" w:eastAsia="Times New Roman" w:hAnsi="Calibri" w:cs="Arial"/>
                <w:spacing w:val="-2"/>
                <w:sz w:val="20"/>
                <w:szCs w:val="20"/>
                <w:lang w:val="en-US"/>
              </w:rPr>
            </w:pPr>
          </w:p>
        </w:tc>
        <w:tc>
          <w:tcPr>
            <w:tcW w:w="750" w:type="pct"/>
            <w:tcBorders>
              <w:top w:val="nil"/>
              <w:left w:val="nil"/>
              <w:right w:val="nil"/>
            </w:tcBorders>
            <w:shd w:val="clear" w:color="auto" w:fill="auto"/>
            <w:vAlign w:val="bottom"/>
          </w:tcPr>
          <w:p w14:paraId="00D51FCB" w14:textId="77777777" w:rsidR="000A40A0" w:rsidRPr="00537128" w:rsidRDefault="000A40A0" w:rsidP="000A40A0">
            <w:pPr>
              <w:suppressAutoHyphens/>
              <w:spacing w:after="0" w:line="240" w:lineRule="auto"/>
              <w:jc w:val="right"/>
              <w:rPr>
                <w:rFonts w:ascii="Calibri" w:eastAsia="Times New Roman" w:hAnsi="Calibri" w:cs="Arial"/>
                <w:spacing w:val="-2"/>
                <w:sz w:val="20"/>
                <w:szCs w:val="20"/>
                <w:lang w:val="en-US"/>
              </w:rPr>
            </w:pPr>
          </w:p>
        </w:tc>
        <w:tc>
          <w:tcPr>
            <w:tcW w:w="917" w:type="pct"/>
            <w:tcBorders>
              <w:top w:val="single" w:sz="12" w:space="0" w:color="auto"/>
            </w:tcBorders>
            <w:vAlign w:val="bottom"/>
          </w:tcPr>
          <w:p w14:paraId="0B315E7B" w14:textId="77777777" w:rsidR="000A40A0" w:rsidRPr="00537128" w:rsidRDefault="000A40A0" w:rsidP="000A40A0">
            <w:pPr>
              <w:suppressAutoHyphens/>
              <w:spacing w:after="0" w:line="240" w:lineRule="auto"/>
              <w:jc w:val="right"/>
              <w:rPr>
                <w:rFonts w:ascii="Calibri" w:eastAsia="Times New Roman" w:hAnsi="Calibri" w:cs="Arial"/>
                <w:spacing w:val="-2"/>
                <w:sz w:val="20"/>
                <w:szCs w:val="20"/>
                <w:lang w:val="en-US"/>
              </w:rPr>
            </w:pPr>
          </w:p>
        </w:tc>
      </w:tr>
      <w:tr w:rsidR="000A40A0" w:rsidRPr="00537128" w14:paraId="272698E2" w14:textId="77777777" w:rsidTr="007C45A1">
        <w:tc>
          <w:tcPr>
            <w:tcW w:w="3333" w:type="pct"/>
          </w:tcPr>
          <w:p w14:paraId="70E51D98" w14:textId="15B1AF84" w:rsidR="000A40A0" w:rsidRPr="00537128" w:rsidRDefault="000A40A0" w:rsidP="000A40A0">
            <w:pPr>
              <w:tabs>
                <w:tab w:val="right" w:pos="1202"/>
              </w:tabs>
              <w:spacing w:after="0" w:line="301" w:lineRule="exact"/>
              <w:outlineLvl w:val="0"/>
              <w:rPr>
                <w:rFonts w:ascii="Calibri" w:eastAsia="Times New Roman" w:hAnsi="Calibri" w:cs="Arial"/>
                <w:sz w:val="20"/>
                <w:szCs w:val="20"/>
                <w:lang w:val="en-US"/>
              </w:rPr>
            </w:pPr>
            <w:bookmarkStart w:id="300" w:name="_Toc4058359"/>
            <w:r w:rsidRPr="00537128">
              <w:rPr>
                <w:rFonts w:ascii="Calibri" w:eastAsia="Times New Roman" w:hAnsi="Calibri" w:cs="Arial"/>
                <w:sz w:val="20"/>
                <w:szCs w:val="20"/>
                <w:lang w:val="en-US"/>
              </w:rPr>
              <w:t>Loss allowances</w:t>
            </w:r>
            <w:bookmarkEnd w:id="300"/>
          </w:p>
        </w:tc>
        <w:tc>
          <w:tcPr>
            <w:tcW w:w="750" w:type="pct"/>
            <w:tcBorders>
              <w:top w:val="nil"/>
              <w:left w:val="nil"/>
              <w:bottom w:val="single" w:sz="4" w:space="0" w:color="auto"/>
              <w:right w:val="nil"/>
            </w:tcBorders>
            <w:shd w:val="clear" w:color="auto" w:fill="auto"/>
            <w:vAlign w:val="bottom"/>
          </w:tcPr>
          <w:p w14:paraId="5254DD75" w14:textId="7A0A156A" w:rsidR="000A40A0" w:rsidRPr="00537128" w:rsidRDefault="000A40A0" w:rsidP="000A40A0">
            <w:pPr>
              <w:spacing w:after="0" w:line="301" w:lineRule="exact"/>
              <w:jc w:val="right"/>
              <w:outlineLvl w:val="0"/>
              <w:rPr>
                <w:rFonts w:ascii="Calibri" w:eastAsia="Times New Roman" w:hAnsi="Calibri" w:cs="Arial"/>
                <w:sz w:val="20"/>
                <w:szCs w:val="20"/>
                <w:lang w:val="en-US"/>
              </w:rPr>
            </w:pPr>
            <w:r>
              <w:rPr>
                <w:rFonts w:cs="Arial"/>
                <w:color w:val="000000" w:themeColor="text1"/>
                <w:sz w:val="20"/>
              </w:rPr>
              <w:t>(2)</w:t>
            </w:r>
          </w:p>
        </w:tc>
        <w:tc>
          <w:tcPr>
            <w:tcW w:w="917" w:type="pct"/>
            <w:tcBorders>
              <w:bottom w:val="single" w:sz="4" w:space="0" w:color="auto"/>
            </w:tcBorders>
            <w:vAlign w:val="bottom"/>
          </w:tcPr>
          <w:p w14:paraId="1CC0AFD7" w14:textId="58274911" w:rsidR="000A40A0" w:rsidRPr="00537128" w:rsidRDefault="000A40A0" w:rsidP="000A40A0">
            <w:pPr>
              <w:spacing w:after="0" w:line="301" w:lineRule="exact"/>
              <w:jc w:val="right"/>
              <w:outlineLvl w:val="0"/>
              <w:rPr>
                <w:rFonts w:ascii="Calibri" w:eastAsia="Times New Roman" w:hAnsi="Calibri" w:cs="Arial"/>
                <w:sz w:val="20"/>
                <w:szCs w:val="20"/>
                <w:lang w:val="en-US"/>
              </w:rPr>
            </w:pPr>
            <w:r w:rsidRPr="006C4609">
              <w:rPr>
                <w:rFonts w:cs="Arial"/>
                <w:color w:val="000000" w:themeColor="text1"/>
                <w:sz w:val="20"/>
              </w:rPr>
              <w:t xml:space="preserve">   (1)</w:t>
            </w:r>
          </w:p>
        </w:tc>
      </w:tr>
      <w:tr w:rsidR="000A40A0" w:rsidRPr="00537128" w14:paraId="064B0205" w14:textId="77777777" w:rsidTr="007C45A1">
        <w:tc>
          <w:tcPr>
            <w:tcW w:w="3333" w:type="pct"/>
          </w:tcPr>
          <w:p w14:paraId="0EC3DE69" w14:textId="77777777" w:rsidR="000A40A0" w:rsidRPr="00537128" w:rsidRDefault="000A40A0" w:rsidP="000A40A0">
            <w:pPr>
              <w:tabs>
                <w:tab w:val="left" w:pos="-720"/>
              </w:tabs>
              <w:suppressAutoHyphens/>
              <w:spacing w:after="0" w:line="240" w:lineRule="auto"/>
              <w:rPr>
                <w:rFonts w:ascii="Calibri" w:eastAsia="Times New Roman" w:hAnsi="Calibri" w:cs="Arial"/>
                <w:b/>
                <w:bCs/>
                <w:spacing w:val="-2"/>
                <w:sz w:val="20"/>
                <w:szCs w:val="20"/>
                <w:lang w:val="en-US"/>
              </w:rPr>
            </w:pPr>
          </w:p>
        </w:tc>
        <w:tc>
          <w:tcPr>
            <w:tcW w:w="750" w:type="pct"/>
            <w:tcBorders>
              <w:top w:val="single" w:sz="4" w:space="0" w:color="auto"/>
              <w:left w:val="nil"/>
              <w:bottom w:val="single" w:sz="12" w:space="0" w:color="auto"/>
              <w:right w:val="nil"/>
            </w:tcBorders>
            <w:shd w:val="clear" w:color="auto" w:fill="auto"/>
            <w:vAlign w:val="bottom"/>
          </w:tcPr>
          <w:p w14:paraId="3F56E3DC" w14:textId="1EA4FC3A" w:rsidR="000A40A0" w:rsidRPr="00537128" w:rsidRDefault="000A40A0" w:rsidP="000A40A0">
            <w:pPr>
              <w:spacing w:after="0" w:line="301" w:lineRule="exact"/>
              <w:jc w:val="right"/>
              <w:outlineLvl w:val="0"/>
              <w:rPr>
                <w:rFonts w:ascii="Calibri" w:eastAsia="Times New Roman" w:hAnsi="Calibri" w:cs="Arial"/>
                <w:b/>
                <w:bCs/>
                <w:sz w:val="20"/>
                <w:szCs w:val="20"/>
                <w:lang w:val="en-US"/>
              </w:rPr>
            </w:pPr>
            <w:r>
              <w:rPr>
                <w:rFonts w:cs="Arial"/>
                <w:b/>
                <w:bCs/>
                <w:color w:val="000000" w:themeColor="text1"/>
                <w:sz w:val="20"/>
              </w:rPr>
              <w:t>15</w:t>
            </w:r>
            <w:r w:rsidR="00D2438E">
              <w:rPr>
                <w:rFonts w:cs="Arial"/>
                <w:b/>
                <w:bCs/>
                <w:color w:val="000000" w:themeColor="text1"/>
                <w:sz w:val="20"/>
              </w:rPr>
              <w:t>,</w:t>
            </w:r>
            <w:r>
              <w:rPr>
                <w:rFonts w:cs="Arial"/>
                <w:b/>
                <w:bCs/>
                <w:color w:val="000000" w:themeColor="text1"/>
                <w:sz w:val="20"/>
              </w:rPr>
              <w:t>215</w:t>
            </w:r>
          </w:p>
        </w:tc>
        <w:tc>
          <w:tcPr>
            <w:tcW w:w="917" w:type="pct"/>
            <w:tcBorders>
              <w:top w:val="single" w:sz="4" w:space="0" w:color="auto"/>
              <w:bottom w:val="single" w:sz="12" w:space="0" w:color="auto"/>
            </w:tcBorders>
            <w:vAlign w:val="bottom"/>
          </w:tcPr>
          <w:p w14:paraId="03704D1D" w14:textId="058F6231" w:rsidR="000A40A0" w:rsidRPr="00537128" w:rsidRDefault="000A40A0" w:rsidP="000A40A0">
            <w:pPr>
              <w:spacing w:after="0" w:line="301" w:lineRule="exact"/>
              <w:jc w:val="right"/>
              <w:outlineLvl w:val="0"/>
              <w:rPr>
                <w:rFonts w:ascii="Calibri" w:eastAsia="Times New Roman" w:hAnsi="Calibri" w:cs="Arial"/>
                <w:b/>
                <w:bCs/>
                <w:sz w:val="20"/>
                <w:szCs w:val="20"/>
                <w:lang w:val="en-US"/>
              </w:rPr>
            </w:pPr>
            <w:r w:rsidRPr="006C4609">
              <w:rPr>
                <w:rFonts w:cs="Arial"/>
                <w:b/>
                <w:bCs/>
                <w:color w:val="000000" w:themeColor="text1"/>
                <w:sz w:val="20"/>
              </w:rPr>
              <w:t>7</w:t>
            </w:r>
            <w:r>
              <w:rPr>
                <w:rFonts w:cs="Arial"/>
                <w:b/>
                <w:bCs/>
                <w:color w:val="000000" w:themeColor="text1"/>
                <w:sz w:val="20"/>
              </w:rPr>
              <w:t>,</w:t>
            </w:r>
            <w:r w:rsidRPr="006C4609">
              <w:rPr>
                <w:rFonts w:cs="Arial"/>
                <w:b/>
                <w:bCs/>
                <w:color w:val="000000" w:themeColor="text1"/>
                <w:sz w:val="20"/>
              </w:rPr>
              <w:t>500</w:t>
            </w:r>
          </w:p>
        </w:tc>
      </w:tr>
    </w:tbl>
    <w:p w14:paraId="09277ACD" w14:textId="77777777" w:rsidR="00D3297A" w:rsidRPr="00537128" w:rsidRDefault="00D3297A" w:rsidP="005E1350">
      <w:pPr>
        <w:autoSpaceDE w:val="0"/>
        <w:autoSpaceDN w:val="0"/>
        <w:adjustRightInd w:val="0"/>
        <w:spacing w:after="0" w:line="240" w:lineRule="auto"/>
        <w:jc w:val="both"/>
        <w:rPr>
          <w:noProof/>
          <w:color w:val="000000" w:themeColor="text1"/>
          <w:lang w:val="en-US"/>
        </w:rPr>
      </w:pPr>
    </w:p>
    <w:p w14:paraId="4A9EB794" w14:textId="77777777" w:rsidR="00D3297A" w:rsidRPr="00537128" w:rsidRDefault="00D3297A" w:rsidP="005E1350">
      <w:pPr>
        <w:autoSpaceDE w:val="0"/>
        <w:autoSpaceDN w:val="0"/>
        <w:adjustRightInd w:val="0"/>
        <w:spacing w:after="0" w:line="240" w:lineRule="auto"/>
        <w:jc w:val="both"/>
        <w:rPr>
          <w:noProof/>
          <w:color w:val="000000" w:themeColor="text1"/>
          <w:lang w:val="en-US"/>
        </w:rPr>
      </w:pPr>
    </w:p>
    <w:p w14:paraId="45F58FF1" w14:textId="77777777" w:rsidR="00D3297A" w:rsidRPr="00537128" w:rsidRDefault="00D3297A" w:rsidP="005E1350">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The following tables sets out information about the credit quality of financial assets measured at amortised cost</w:t>
      </w:r>
      <w:r w:rsidR="00B340C4" w:rsidRPr="00537128">
        <w:rPr>
          <w:noProof/>
          <w:color w:val="000000" w:themeColor="text1"/>
          <w:lang w:val="en-US"/>
        </w:rPr>
        <w:t>,</w:t>
      </w:r>
      <w:r w:rsidRPr="00537128">
        <w:rPr>
          <w:noProof/>
          <w:color w:val="000000" w:themeColor="text1"/>
          <w:lang w:val="en-US"/>
        </w:rPr>
        <w:t xml:space="preserve"> The amounts in the table represent gross carrying amounts:</w:t>
      </w:r>
    </w:p>
    <w:p w14:paraId="789FEEF5" w14:textId="77777777" w:rsidR="00D3297A" w:rsidRPr="00537128" w:rsidRDefault="00D3297A" w:rsidP="005E1350">
      <w:pPr>
        <w:autoSpaceDE w:val="0"/>
        <w:autoSpaceDN w:val="0"/>
        <w:adjustRightInd w:val="0"/>
        <w:spacing w:after="0" w:line="240" w:lineRule="auto"/>
        <w:jc w:val="both"/>
        <w:rPr>
          <w:noProof/>
          <w:color w:val="000000" w:themeColor="text1"/>
          <w:lang w:val="en-US"/>
        </w:rPr>
      </w:pPr>
    </w:p>
    <w:tbl>
      <w:tblPr>
        <w:tblW w:w="4916" w:type="pct"/>
        <w:tblInd w:w="-414" w:type="dxa"/>
        <w:tblLayout w:type="fixed"/>
        <w:tblLook w:val="0000" w:firstRow="0" w:lastRow="0" w:firstColumn="0" w:lastColumn="0" w:noHBand="0" w:noVBand="0"/>
      </w:tblPr>
      <w:tblGrid>
        <w:gridCol w:w="4383"/>
        <w:gridCol w:w="1277"/>
        <w:gridCol w:w="990"/>
        <w:gridCol w:w="994"/>
        <w:gridCol w:w="1276"/>
      </w:tblGrid>
      <w:tr w:rsidR="004E5504" w:rsidRPr="00537128" w14:paraId="4996C09E" w14:textId="77777777" w:rsidTr="004E5504">
        <w:trPr>
          <w:trHeight w:val="270"/>
        </w:trPr>
        <w:tc>
          <w:tcPr>
            <w:tcW w:w="2457" w:type="pct"/>
            <w:vAlign w:val="bottom"/>
          </w:tcPr>
          <w:p w14:paraId="1C10DC8E" w14:textId="3CE7E5A5" w:rsidR="004E5504" w:rsidRPr="00537128" w:rsidRDefault="004E5504" w:rsidP="00987F88">
            <w:pPr>
              <w:tabs>
                <w:tab w:val="left" w:pos="-720"/>
              </w:tabs>
              <w:suppressAutoHyphens/>
              <w:spacing w:after="0" w:line="220" w:lineRule="exact"/>
              <w:rPr>
                <w:rFonts w:ascii="Calibri" w:eastAsia="Times New Roman" w:hAnsi="Calibri" w:cs="Arial"/>
                <w:b/>
                <w:sz w:val="20"/>
                <w:szCs w:val="20"/>
                <w:lang w:val="en-US"/>
              </w:rPr>
            </w:pPr>
            <w:r w:rsidRPr="00537128">
              <w:rPr>
                <w:rFonts w:ascii="Calibri" w:eastAsia="Times New Roman" w:hAnsi="Calibri" w:cs="Arial"/>
                <w:b/>
                <w:sz w:val="20"/>
                <w:szCs w:val="20"/>
                <w:lang w:val="en-US"/>
              </w:rPr>
              <w:t>31 March 202</w:t>
            </w:r>
            <w:r>
              <w:rPr>
                <w:rFonts w:ascii="Calibri" w:eastAsia="Times New Roman" w:hAnsi="Calibri" w:cs="Arial"/>
                <w:b/>
                <w:sz w:val="20"/>
                <w:szCs w:val="20"/>
                <w:lang w:val="en-US"/>
              </w:rPr>
              <w:t>2</w:t>
            </w:r>
          </w:p>
        </w:tc>
        <w:tc>
          <w:tcPr>
            <w:tcW w:w="716" w:type="pct"/>
            <w:vAlign w:val="bottom"/>
          </w:tcPr>
          <w:p w14:paraId="534FA01B" w14:textId="77777777" w:rsidR="004E5504" w:rsidRPr="00537128" w:rsidRDefault="004E5504" w:rsidP="00987F88">
            <w:pPr>
              <w:tabs>
                <w:tab w:val="right" w:pos="1202"/>
              </w:tabs>
              <w:spacing w:after="0" w:line="240" w:lineRule="atLeast"/>
              <w:jc w:val="right"/>
              <w:outlineLvl w:val="0"/>
              <w:rPr>
                <w:rFonts w:ascii="Calibri" w:eastAsia="Times New Roman" w:hAnsi="Calibri" w:cs="Arial"/>
                <w:b/>
                <w:sz w:val="20"/>
                <w:szCs w:val="20"/>
                <w:lang w:val="en-US"/>
              </w:rPr>
            </w:pPr>
          </w:p>
        </w:tc>
        <w:tc>
          <w:tcPr>
            <w:tcW w:w="555" w:type="pct"/>
            <w:shd w:val="clear" w:color="auto" w:fill="auto"/>
            <w:vAlign w:val="bottom"/>
          </w:tcPr>
          <w:p w14:paraId="30BE1AA1" w14:textId="77777777" w:rsidR="004E5504" w:rsidRPr="00537128" w:rsidRDefault="004E5504" w:rsidP="00987F88">
            <w:pPr>
              <w:tabs>
                <w:tab w:val="right" w:pos="1202"/>
              </w:tabs>
              <w:spacing w:after="0" w:line="240" w:lineRule="atLeast"/>
              <w:jc w:val="right"/>
              <w:outlineLvl w:val="0"/>
              <w:rPr>
                <w:rFonts w:ascii="Calibri" w:eastAsia="Times New Roman" w:hAnsi="Calibri" w:cs="Arial"/>
                <w:b/>
                <w:sz w:val="20"/>
                <w:szCs w:val="20"/>
                <w:lang w:val="en-US"/>
              </w:rPr>
            </w:pPr>
          </w:p>
        </w:tc>
        <w:tc>
          <w:tcPr>
            <w:tcW w:w="1272" w:type="pct"/>
            <w:gridSpan w:val="2"/>
            <w:shd w:val="clear" w:color="auto" w:fill="auto"/>
            <w:vAlign w:val="bottom"/>
          </w:tcPr>
          <w:p w14:paraId="77105B98" w14:textId="30ACE660" w:rsidR="004E5504" w:rsidRPr="00537128" w:rsidRDefault="004E5504" w:rsidP="00987F88">
            <w:pPr>
              <w:tabs>
                <w:tab w:val="right" w:pos="1202"/>
              </w:tabs>
              <w:spacing w:after="0" w:line="220" w:lineRule="exact"/>
              <w:jc w:val="right"/>
              <w:outlineLvl w:val="0"/>
              <w:rPr>
                <w:rFonts w:ascii="Calibri" w:eastAsia="Times New Roman" w:hAnsi="Calibri" w:cs="Arial"/>
                <w:b/>
                <w:sz w:val="20"/>
                <w:szCs w:val="20"/>
                <w:lang w:val="en-US"/>
              </w:rPr>
            </w:pPr>
            <w:bookmarkStart w:id="301" w:name="_Toc4058369"/>
            <w:r>
              <w:rPr>
                <w:rFonts w:ascii="Calibri" w:eastAsia="Times New Roman" w:hAnsi="Calibri" w:cs="Arial"/>
                <w:b/>
                <w:sz w:val="20"/>
                <w:szCs w:val="20"/>
                <w:lang w:val="en-US"/>
              </w:rPr>
              <w:t xml:space="preserve">Group and </w:t>
            </w:r>
            <w:r w:rsidRPr="00537128">
              <w:rPr>
                <w:rFonts w:ascii="Calibri" w:eastAsia="Times New Roman" w:hAnsi="Calibri" w:cs="Arial"/>
                <w:b/>
                <w:sz w:val="20"/>
                <w:szCs w:val="20"/>
                <w:lang w:val="en-US"/>
              </w:rPr>
              <w:t>Bank</w:t>
            </w:r>
            <w:bookmarkEnd w:id="301"/>
          </w:p>
        </w:tc>
      </w:tr>
      <w:tr w:rsidR="004E5504" w:rsidRPr="00537128" w14:paraId="10F93F80" w14:textId="77777777" w:rsidTr="004E5504">
        <w:trPr>
          <w:trHeight w:val="208"/>
        </w:trPr>
        <w:tc>
          <w:tcPr>
            <w:tcW w:w="2457" w:type="pct"/>
            <w:vAlign w:val="bottom"/>
          </w:tcPr>
          <w:p w14:paraId="3768448A" w14:textId="77777777" w:rsidR="004E5504" w:rsidRPr="00537128" w:rsidRDefault="004E5504" w:rsidP="00987F88">
            <w:pPr>
              <w:tabs>
                <w:tab w:val="left" w:pos="-720"/>
              </w:tabs>
              <w:suppressAutoHyphens/>
              <w:spacing w:after="0" w:line="220" w:lineRule="exact"/>
              <w:rPr>
                <w:rFonts w:ascii="Calibri" w:eastAsia="Times New Roman" w:hAnsi="Calibri" w:cs="Arial"/>
                <w:sz w:val="20"/>
                <w:szCs w:val="20"/>
                <w:lang w:val="en-US"/>
              </w:rPr>
            </w:pPr>
          </w:p>
        </w:tc>
        <w:tc>
          <w:tcPr>
            <w:tcW w:w="716" w:type="pct"/>
            <w:vAlign w:val="bottom"/>
          </w:tcPr>
          <w:p w14:paraId="774B4BEB" w14:textId="77777777" w:rsidR="004E5504" w:rsidRPr="00537128" w:rsidRDefault="004E5504" w:rsidP="00987F88">
            <w:pPr>
              <w:tabs>
                <w:tab w:val="right" w:pos="1202"/>
              </w:tabs>
              <w:spacing w:after="0" w:line="220" w:lineRule="exact"/>
              <w:jc w:val="right"/>
              <w:outlineLvl w:val="0"/>
              <w:rPr>
                <w:rFonts w:ascii="Calibri" w:eastAsia="Times New Roman" w:hAnsi="Calibri" w:cs="Arial"/>
                <w:b/>
                <w:sz w:val="20"/>
                <w:szCs w:val="20"/>
                <w:lang w:val="en-US"/>
              </w:rPr>
            </w:pPr>
            <w:bookmarkStart w:id="302" w:name="_Toc4058374"/>
            <w:r w:rsidRPr="00537128">
              <w:rPr>
                <w:rFonts w:ascii="Calibri" w:eastAsia="Times New Roman" w:hAnsi="Calibri" w:cs="Arial"/>
                <w:b/>
                <w:sz w:val="20"/>
                <w:szCs w:val="20"/>
                <w:lang w:val="en-US"/>
              </w:rPr>
              <w:t>Stage 1</w:t>
            </w:r>
            <w:bookmarkEnd w:id="302"/>
          </w:p>
        </w:tc>
        <w:tc>
          <w:tcPr>
            <w:tcW w:w="555" w:type="pct"/>
            <w:vAlign w:val="bottom"/>
          </w:tcPr>
          <w:p w14:paraId="1EAC6784" w14:textId="77777777" w:rsidR="004E5504" w:rsidRPr="00537128" w:rsidRDefault="004E5504" w:rsidP="00987F88">
            <w:pPr>
              <w:tabs>
                <w:tab w:val="right" w:pos="1202"/>
              </w:tabs>
              <w:spacing w:after="0" w:line="220" w:lineRule="exact"/>
              <w:jc w:val="right"/>
              <w:outlineLvl w:val="0"/>
              <w:rPr>
                <w:rFonts w:ascii="Calibri" w:eastAsia="Times New Roman" w:hAnsi="Calibri" w:cs="Arial"/>
                <w:b/>
                <w:sz w:val="20"/>
                <w:szCs w:val="20"/>
                <w:lang w:val="en-US"/>
              </w:rPr>
            </w:pPr>
            <w:bookmarkStart w:id="303" w:name="_Toc4058375"/>
            <w:r w:rsidRPr="00537128">
              <w:rPr>
                <w:rFonts w:ascii="Calibri" w:eastAsia="Times New Roman" w:hAnsi="Calibri" w:cs="Arial"/>
                <w:b/>
                <w:sz w:val="20"/>
                <w:szCs w:val="20"/>
                <w:lang w:val="en-US"/>
              </w:rPr>
              <w:t>Stage 2</w:t>
            </w:r>
            <w:bookmarkEnd w:id="303"/>
          </w:p>
        </w:tc>
        <w:tc>
          <w:tcPr>
            <w:tcW w:w="557" w:type="pct"/>
            <w:vAlign w:val="bottom"/>
          </w:tcPr>
          <w:p w14:paraId="570BF138" w14:textId="77777777" w:rsidR="004E5504" w:rsidRPr="00537128" w:rsidRDefault="004E5504" w:rsidP="00987F88">
            <w:pPr>
              <w:tabs>
                <w:tab w:val="right" w:pos="1202"/>
              </w:tabs>
              <w:spacing w:after="0" w:line="220" w:lineRule="exact"/>
              <w:jc w:val="right"/>
              <w:outlineLvl w:val="0"/>
              <w:rPr>
                <w:rFonts w:ascii="Calibri" w:eastAsia="Times New Roman" w:hAnsi="Calibri" w:cs="Arial"/>
                <w:b/>
                <w:sz w:val="20"/>
                <w:szCs w:val="20"/>
                <w:lang w:val="en-US"/>
              </w:rPr>
            </w:pPr>
            <w:bookmarkStart w:id="304" w:name="_Toc4058376"/>
            <w:r w:rsidRPr="00537128">
              <w:rPr>
                <w:rFonts w:ascii="Calibri" w:eastAsia="Times New Roman" w:hAnsi="Calibri" w:cs="Arial"/>
                <w:b/>
                <w:sz w:val="20"/>
                <w:szCs w:val="20"/>
                <w:lang w:val="en-US"/>
              </w:rPr>
              <w:t>Stage 3</w:t>
            </w:r>
            <w:bookmarkEnd w:id="304"/>
          </w:p>
        </w:tc>
        <w:tc>
          <w:tcPr>
            <w:tcW w:w="715" w:type="pct"/>
            <w:vAlign w:val="bottom"/>
          </w:tcPr>
          <w:p w14:paraId="0031C904" w14:textId="77777777" w:rsidR="004E5504" w:rsidRPr="00537128" w:rsidRDefault="004E5504" w:rsidP="00987F88">
            <w:pPr>
              <w:tabs>
                <w:tab w:val="right" w:pos="1202"/>
              </w:tabs>
              <w:spacing w:after="0" w:line="220" w:lineRule="exact"/>
              <w:jc w:val="right"/>
              <w:outlineLvl w:val="0"/>
              <w:rPr>
                <w:rFonts w:ascii="Calibri" w:eastAsia="Times New Roman" w:hAnsi="Calibri" w:cs="Arial"/>
                <w:b/>
                <w:sz w:val="20"/>
                <w:szCs w:val="20"/>
                <w:lang w:val="en-US"/>
              </w:rPr>
            </w:pPr>
            <w:bookmarkStart w:id="305" w:name="_Toc4058377"/>
            <w:r w:rsidRPr="00537128">
              <w:rPr>
                <w:rFonts w:ascii="Calibri" w:eastAsia="Times New Roman" w:hAnsi="Calibri" w:cs="Arial"/>
                <w:b/>
                <w:sz w:val="20"/>
                <w:szCs w:val="20"/>
                <w:lang w:val="en-US"/>
              </w:rPr>
              <w:t>Total</w:t>
            </w:r>
            <w:bookmarkEnd w:id="305"/>
          </w:p>
        </w:tc>
      </w:tr>
      <w:tr w:rsidR="004E5504" w:rsidRPr="00537128" w14:paraId="1AC8D8B9" w14:textId="77777777" w:rsidTr="004E5504">
        <w:trPr>
          <w:trHeight w:val="208"/>
        </w:trPr>
        <w:tc>
          <w:tcPr>
            <w:tcW w:w="2457" w:type="pct"/>
            <w:vAlign w:val="bottom"/>
          </w:tcPr>
          <w:p w14:paraId="4505C8F3" w14:textId="77777777" w:rsidR="004E5504" w:rsidRPr="00537128" w:rsidRDefault="004E5504" w:rsidP="00987F88">
            <w:pPr>
              <w:tabs>
                <w:tab w:val="left" w:pos="-720"/>
              </w:tabs>
              <w:suppressAutoHyphens/>
              <w:spacing w:after="0" w:line="220" w:lineRule="exact"/>
              <w:rPr>
                <w:rFonts w:ascii="Calibri" w:eastAsia="Times New Roman" w:hAnsi="Calibri" w:cs="Arial"/>
                <w:sz w:val="20"/>
                <w:szCs w:val="20"/>
                <w:lang w:val="en-US"/>
              </w:rPr>
            </w:pPr>
          </w:p>
        </w:tc>
        <w:tc>
          <w:tcPr>
            <w:tcW w:w="716" w:type="pct"/>
            <w:vAlign w:val="bottom"/>
          </w:tcPr>
          <w:p w14:paraId="3144E74A" w14:textId="738F2399" w:rsidR="004E5504" w:rsidRPr="00537128" w:rsidRDefault="004E5504" w:rsidP="00987F88">
            <w:pPr>
              <w:tabs>
                <w:tab w:val="right" w:pos="1202"/>
              </w:tabs>
              <w:spacing w:after="0" w:line="220" w:lineRule="exact"/>
              <w:jc w:val="right"/>
              <w:outlineLvl w:val="0"/>
              <w:rPr>
                <w:rFonts w:ascii="Calibri" w:eastAsia="Times New Roman" w:hAnsi="Calibri" w:cs="Arial"/>
                <w:b/>
                <w:sz w:val="20"/>
                <w:szCs w:val="20"/>
                <w:lang w:val="en-US"/>
              </w:rPr>
            </w:pPr>
            <w:bookmarkStart w:id="306" w:name="_Toc4058382"/>
            <w:r w:rsidRPr="00537128">
              <w:rPr>
                <w:rFonts w:ascii="Calibri" w:eastAsia="Times New Roman" w:hAnsi="Calibri" w:cs="Arial"/>
                <w:b/>
                <w:sz w:val="20"/>
                <w:szCs w:val="20"/>
                <w:lang w:val="en-US"/>
              </w:rPr>
              <w:t xml:space="preserve">HRK </w:t>
            </w:r>
            <w:r w:rsidR="00417C24">
              <w:rPr>
                <w:rFonts w:ascii="Calibri" w:eastAsia="Times New Roman" w:hAnsi="Calibri" w:cs="Arial"/>
                <w:b/>
                <w:sz w:val="20"/>
                <w:szCs w:val="20"/>
                <w:lang w:val="en-US"/>
              </w:rPr>
              <w:t>‘</w:t>
            </w:r>
            <w:r w:rsidRPr="00537128">
              <w:rPr>
                <w:rFonts w:ascii="Calibri" w:eastAsia="Times New Roman" w:hAnsi="Calibri" w:cs="Arial"/>
                <w:b/>
                <w:sz w:val="20"/>
                <w:szCs w:val="20"/>
                <w:lang w:val="en-US"/>
              </w:rPr>
              <w:t>000</w:t>
            </w:r>
            <w:bookmarkEnd w:id="306"/>
          </w:p>
        </w:tc>
        <w:tc>
          <w:tcPr>
            <w:tcW w:w="555" w:type="pct"/>
            <w:vAlign w:val="bottom"/>
          </w:tcPr>
          <w:p w14:paraId="3B69D3C8" w14:textId="2F3E35F5" w:rsidR="004E5504" w:rsidRPr="00537128" w:rsidRDefault="004E5504" w:rsidP="00987F88">
            <w:pPr>
              <w:tabs>
                <w:tab w:val="right" w:pos="1202"/>
              </w:tabs>
              <w:spacing w:after="0" w:line="220" w:lineRule="exact"/>
              <w:jc w:val="right"/>
              <w:outlineLvl w:val="0"/>
              <w:rPr>
                <w:rFonts w:ascii="Calibri" w:eastAsia="Times New Roman" w:hAnsi="Calibri" w:cs="Arial"/>
                <w:b/>
                <w:sz w:val="20"/>
                <w:szCs w:val="20"/>
                <w:lang w:val="en-US"/>
              </w:rPr>
            </w:pPr>
            <w:bookmarkStart w:id="307" w:name="_Toc4058383"/>
            <w:r w:rsidRPr="00537128">
              <w:rPr>
                <w:rFonts w:ascii="Calibri" w:eastAsia="Times New Roman" w:hAnsi="Calibri" w:cs="Arial"/>
                <w:b/>
                <w:sz w:val="20"/>
                <w:szCs w:val="20"/>
                <w:lang w:val="en-US"/>
              </w:rPr>
              <w:t xml:space="preserve">HRK </w:t>
            </w:r>
            <w:r w:rsidR="00417C24">
              <w:rPr>
                <w:rFonts w:ascii="Calibri" w:eastAsia="Times New Roman" w:hAnsi="Calibri" w:cs="Arial"/>
                <w:b/>
                <w:sz w:val="20"/>
                <w:szCs w:val="20"/>
                <w:lang w:val="en-US"/>
              </w:rPr>
              <w:t>‘</w:t>
            </w:r>
            <w:r w:rsidRPr="00537128">
              <w:rPr>
                <w:rFonts w:ascii="Calibri" w:eastAsia="Times New Roman" w:hAnsi="Calibri" w:cs="Arial"/>
                <w:b/>
                <w:sz w:val="20"/>
                <w:szCs w:val="20"/>
                <w:lang w:val="en-US"/>
              </w:rPr>
              <w:t>000</w:t>
            </w:r>
            <w:bookmarkEnd w:id="307"/>
          </w:p>
        </w:tc>
        <w:tc>
          <w:tcPr>
            <w:tcW w:w="557" w:type="pct"/>
            <w:vAlign w:val="bottom"/>
          </w:tcPr>
          <w:p w14:paraId="65EE6796" w14:textId="33DB4E78" w:rsidR="004E5504" w:rsidRPr="00537128" w:rsidRDefault="004E5504" w:rsidP="00987F88">
            <w:pPr>
              <w:tabs>
                <w:tab w:val="right" w:pos="1202"/>
              </w:tabs>
              <w:spacing w:after="0" w:line="220" w:lineRule="exact"/>
              <w:jc w:val="right"/>
              <w:outlineLvl w:val="0"/>
              <w:rPr>
                <w:rFonts w:ascii="Calibri" w:eastAsia="Times New Roman" w:hAnsi="Calibri" w:cs="Arial"/>
                <w:b/>
                <w:sz w:val="20"/>
                <w:szCs w:val="20"/>
                <w:lang w:val="en-US"/>
              </w:rPr>
            </w:pPr>
            <w:bookmarkStart w:id="308" w:name="_Toc4058384"/>
            <w:r w:rsidRPr="00537128">
              <w:rPr>
                <w:rFonts w:ascii="Calibri" w:eastAsia="Times New Roman" w:hAnsi="Calibri" w:cs="Arial"/>
                <w:b/>
                <w:sz w:val="20"/>
                <w:szCs w:val="20"/>
                <w:lang w:val="en-US"/>
              </w:rPr>
              <w:t xml:space="preserve">HRK </w:t>
            </w:r>
            <w:r w:rsidR="00417C24">
              <w:rPr>
                <w:rFonts w:ascii="Calibri" w:eastAsia="Times New Roman" w:hAnsi="Calibri" w:cs="Arial"/>
                <w:b/>
                <w:sz w:val="20"/>
                <w:szCs w:val="20"/>
                <w:lang w:val="en-US"/>
              </w:rPr>
              <w:t>‘</w:t>
            </w:r>
            <w:r w:rsidRPr="00537128">
              <w:rPr>
                <w:rFonts w:ascii="Calibri" w:eastAsia="Times New Roman" w:hAnsi="Calibri" w:cs="Arial"/>
                <w:b/>
                <w:sz w:val="20"/>
                <w:szCs w:val="20"/>
                <w:lang w:val="en-US"/>
              </w:rPr>
              <w:t>000</w:t>
            </w:r>
            <w:bookmarkEnd w:id="308"/>
          </w:p>
        </w:tc>
        <w:tc>
          <w:tcPr>
            <w:tcW w:w="715" w:type="pct"/>
            <w:vAlign w:val="bottom"/>
          </w:tcPr>
          <w:p w14:paraId="0608CDB9" w14:textId="3B15693C" w:rsidR="004E5504" w:rsidRPr="00537128" w:rsidRDefault="004E5504" w:rsidP="00987F88">
            <w:pPr>
              <w:tabs>
                <w:tab w:val="right" w:pos="1202"/>
              </w:tabs>
              <w:spacing w:after="0" w:line="220" w:lineRule="exact"/>
              <w:jc w:val="right"/>
              <w:outlineLvl w:val="0"/>
              <w:rPr>
                <w:rFonts w:ascii="Calibri" w:eastAsia="Times New Roman" w:hAnsi="Calibri" w:cs="Arial"/>
                <w:b/>
                <w:sz w:val="20"/>
                <w:szCs w:val="20"/>
                <w:lang w:val="en-US"/>
              </w:rPr>
            </w:pPr>
            <w:bookmarkStart w:id="309" w:name="_Toc4058385"/>
            <w:r w:rsidRPr="00537128">
              <w:rPr>
                <w:rFonts w:ascii="Calibri" w:eastAsia="Times New Roman" w:hAnsi="Calibri" w:cs="Arial"/>
                <w:b/>
                <w:sz w:val="20"/>
                <w:szCs w:val="20"/>
                <w:lang w:val="en-US"/>
              </w:rPr>
              <w:t xml:space="preserve">HRK </w:t>
            </w:r>
            <w:r w:rsidR="00417C24">
              <w:rPr>
                <w:rFonts w:ascii="Calibri" w:eastAsia="Times New Roman" w:hAnsi="Calibri" w:cs="Arial"/>
                <w:b/>
                <w:sz w:val="20"/>
                <w:szCs w:val="20"/>
                <w:lang w:val="en-US"/>
              </w:rPr>
              <w:t>‘</w:t>
            </w:r>
            <w:r w:rsidRPr="00537128">
              <w:rPr>
                <w:rFonts w:ascii="Calibri" w:eastAsia="Times New Roman" w:hAnsi="Calibri" w:cs="Arial"/>
                <w:b/>
                <w:sz w:val="20"/>
                <w:szCs w:val="20"/>
                <w:lang w:val="en-US"/>
              </w:rPr>
              <w:t>000</w:t>
            </w:r>
            <w:bookmarkEnd w:id="309"/>
          </w:p>
        </w:tc>
      </w:tr>
      <w:tr w:rsidR="004E5504" w:rsidRPr="00537128" w14:paraId="015836B6" w14:textId="77777777" w:rsidTr="004E5504">
        <w:trPr>
          <w:trHeight w:val="208"/>
        </w:trPr>
        <w:tc>
          <w:tcPr>
            <w:tcW w:w="2457" w:type="pct"/>
            <w:vAlign w:val="bottom"/>
          </w:tcPr>
          <w:p w14:paraId="262EF29F" w14:textId="77777777" w:rsidR="004E5504" w:rsidRPr="00537128" w:rsidRDefault="004E5504" w:rsidP="00987F88">
            <w:pPr>
              <w:tabs>
                <w:tab w:val="left" w:pos="-720"/>
              </w:tabs>
              <w:suppressAutoHyphens/>
              <w:spacing w:after="0" w:line="220" w:lineRule="exact"/>
              <w:rPr>
                <w:rFonts w:ascii="Calibri" w:eastAsia="Times New Roman" w:hAnsi="Calibri" w:cs="Arial"/>
                <w:sz w:val="20"/>
                <w:szCs w:val="20"/>
                <w:lang w:val="en-US"/>
              </w:rPr>
            </w:pPr>
          </w:p>
        </w:tc>
        <w:tc>
          <w:tcPr>
            <w:tcW w:w="716" w:type="pct"/>
            <w:vAlign w:val="bottom"/>
          </w:tcPr>
          <w:p w14:paraId="0D3B3582" w14:textId="77777777" w:rsidR="004E5504" w:rsidRPr="00537128" w:rsidRDefault="004E5504" w:rsidP="00987F88">
            <w:pPr>
              <w:tabs>
                <w:tab w:val="right" w:pos="1202"/>
              </w:tabs>
              <w:spacing w:after="0" w:line="220" w:lineRule="exact"/>
              <w:jc w:val="right"/>
              <w:outlineLvl w:val="0"/>
              <w:rPr>
                <w:rFonts w:ascii="Calibri" w:eastAsia="Times New Roman" w:hAnsi="Calibri" w:cs="Arial"/>
                <w:b/>
                <w:sz w:val="20"/>
                <w:szCs w:val="20"/>
                <w:lang w:val="en-US"/>
              </w:rPr>
            </w:pPr>
          </w:p>
        </w:tc>
        <w:tc>
          <w:tcPr>
            <w:tcW w:w="555" w:type="pct"/>
            <w:vAlign w:val="bottom"/>
          </w:tcPr>
          <w:p w14:paraId="33807A45" w14:textId="77777777" w:rsidR="004E5504" w:rsidRPr="00537128" w:rsidRDefault="004E5504" w:rsidP="00987F88">
            <w:pPr>
              <w:tabs>
                <w:tab w:val="right" w:pos="1202"/>
              </w:tabs>
              <w:spacing w:after="0" w:line="220" w:lineRule="exact"/>
              <w:jc w:val="right"/>
              <w:outlineLvl w:val="0"/>
              <w:rPr>
                <w:rFonts w:ascii="Calibri" w:eastAsia="Times New Roman" w:hAnsi="Calibri" w:cs="Arial"/>
                <w:b/>
                <w:sz w:val="20"/>
                <w:szCs w:val="20"/>
                <w:lang w:val="en-US"/>
              </w:rPr>
            </w:pPr>
          </w:p>
        </w:tc>
        <w:tc>
          <w:tcPr>
            <w:tcW w:w="557" w:type="pct"/>
            <w:vAlign w:val="bottom"/>
          </w:tcPr>
          <w:p w14:paraId="62DF6BD3" w14:textId="77777777" w:rsidR="004E5504" w:rsidRPr="00537128" w:rsidRDefault="004E5504" w:rsidP="00987F88">
            <w:pPr>
              <w:tabs>
                <w:tab w:val="right" w:pos="1202"/>
              </w:tabs>
              <w:spacing w:after="0" w:line="220" w:lineRule="exact"/>
              <w:jc w:val="right"/>
              <w:outlineLvl w:val="0"/>
              <w:rPr>
                <w:rFonts w:ascii="Calibri" w:eastAsia="Times New Roman" w:hAnsi="Calibri" w:cs="Arial"/>
                <w:b/>
                <w:sz w:val="20"/>
                <w:szCs w:val="20"/>
                <w:lang w:val="en-US"/>
              </w:rPr>
            </w:pPr>
          </w:p>
        </w:tc>
        <w:tc>
          <w:tcPr>
            <w:tcW w:w="715" w:type="pct"/>
            <w:vAlign w:val="bottom"/>
          </w:tcPr>
          <w:p w14:paraId="303877C9" w14:textId="77777777" w:rsidR="004E5504" w:rsidRPr="00537128" w:rsidRDefault="004E5504" w:rsidP="00987F88">
            <w:pPr>
              <w:tabs>
                <w:tab w:val="right" w:pos="1202"/>
              </w:tabs>
              <w:spacing w:after="0" w:line="220" w:lineRule="exact"/>
              <w:jc w:val="right"/>
              <w:outlineLvl w:val="0"/>
              <w:rPr>
                <w:rFonts w:ascii="Calibri" w:eastAsia="Times New Roman" w:hAnsi="Calibri" w:cs="Arial"/>
                <w:b/>
                <w:sz w:val="20"/>
                <w:szCs w:val="20"/>
                <w:lang w:val="en-US"/>
              </w:rPr>
            </w:pPr>
          </w:p>
        </w:tc>
      </w:tr>
      <w:tr w:rsidR="00D2438E" w:rsidRPr="00537128" w14:paraId="095EA61D" w14:textId="77777777" w:rsidTr="004E5504">
        <w:trPr>
          <w:trHeight w:val="279"/>
        </w:trPr>
        <w:tc>
          <w:tcPr>
            <w:tcW w:w="2457" w:type="pct"/>
            <w:vAlign w:val="bottom"/>
          </w:tcPr>
          <w:p w14:paraId="30378BAE" w14:textId="1F08C06C" w:rsidR="00D2438E" w:rsidRPr="00537128" w:rsidRDefault="00D2438E" w:rsidP="00D2438E">
            <w:pPr>
              <w:tabs>
                <w:tab w:val="right" w:pos="1202"/>
              </w:tabs>
              <w:spacing w:after="0" w:line="240" w:lineRule="exact"/>
              <w:outlineLvl w:val="0"/>
              <w:rPr>
                <w:rFonts w:ascii="Calibri" w:eastAsia="Times New Roman" w:hAnsi="Calibri" w:cs="Arial"/>
                <w:sz w:val="20"/>
                <w:szCs w:val="20"/>
                <w:lang w:val="en-US"/>
              </w:rPr>
            </w:pPr>
            <w:bookmarkStart w:id="310" w:name="_Toc4058386"/>
            <w:r w:rsidRPr="00537128">
              <w:rPr>
                <w:rFonts w:ascii="Calibri" w:eastAsia="Times New Roman" w:hAnsi="Calibri" w:cs="Arial"/>
                <w:sz w:val="20"/>
                <w:szCs w:val="20"/>
                <w:lang w:val="en-US"/>
              </w:rPr>
              <w:t>Gross amount</w:t>
            </w:r>
            <w:bookmarkEnd w:id="310"/>
          </w:p>
        </w:tc>
        <w:tc>
          <w:tcPr>
            <w:tcW w:w="716" w:type="pct"/>
            <w:tcBorders>
              <w:top w:val="nil"/>
              <w:left w:val="nil"/>
              <w:bottom w:val="nil"/>
              <w:right w:val="nil"/>
            </w:tcBorders>
            <w:shd w:val="clear" w:color="auto" w:fill="auto"/>
            <w:vAlign w:val="bottom"/>
          </w:tcPr>
          <w:p w14:paraId="011240C8" w14:textId="00F5F54B" w:rsidR="00D2438E" w:rsidRPr="00537128" w:rsidRDefault="00D2438E" w:rsidP="00D2438E">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color w:val="000000"/>
                <w:sz w:val="20"/>
                <w:szCs w:val="20"/>
              </w:rPr>
              <w:t>15,217</w:t>
            </w:r>
          </w:p>
        </w:tc>
        <w:tc>
          <w:tcPr>
            <w:tcW w:w="555" w:type="pct"/>
            <w:tcBorders>
              <w:top w:val="nil"/>
              <w:left w:val="nil"/>
              <w:bottom w:val="nil"/>
              <w:right w:val="nil"/>
            </w:tcBorders>
            <w:shd w:val="clear" w:color="auto" w:fill="auto"/>
            <w:vAlign w:val="bottom"/>
          </w:tcPr>
          <w:p w14:paraId="344BF892" w14:textId="28E220AA" w:rsidR="00D2438E" w:rsidRPr="00537128" w:rsidRDefault="00D2438E" w:rsidP="00D2438E">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color w:val="000000"/>
                <w:sz w:val="20"/>
                <w:szCs w:val="20"/>
              </w:rPr>
              <w:t>-</w:t>
            </w:r>
          </w:p>
        </w:tc>
        <w:tc>
          <w:tcPr>
            <w:tcW w:w="557" w:type="pct"/>
            <w:tcBorders>
              <w:top w:val="nil"/>
              <w:left w:val="nil"/>
              <w:bottom w:val="nil"/>
              <w:right w:val="nil"/>
            </w:tcBorders>
            <w:shd w:val="clear" w:color="auto" w:fill="auto"/>
            <w:vAlign w:val="bottom"/>
          </w:tcPr>
          <w:p w14:paraId="618BD08E" w14:textId="060BD122" w:rsidR="00D2438E" w:rsidRPr="00537128" w:rsidRDefault="00D2438E" w:rsidP="00D2438E">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color w:val="000000"/>
                <w:sz w:val="20"/>
                <w:szCs w:val="20"/>
              </w:rPr>
              <w:t>-</w:t>
            </w:r>
          </w:p>
        </w:tc>
        <w:tc>
          <w:tcPr>
            <w:tcW w:w="715" w:type="pct"/>
            <w:tcBorders>
              <w:top w:val="nil"/>
              <w:left w:val="nil"/>
              <w:bottom w:val="nil"/>
              <w:right w:val="nil"/>
            </w:tcBorders>
            <w:shd w:val="clear" w:color="auto" w:fill="auto"/>
            <w:vAlign w:val="bottom"/>
          </w:tcPr>
          <w:p w14:paraId="4BCCC2EC" w14:textId="2250D9B1" w:rsidR="00D2438E" w:rsidRPr="00537128" w:rsidRDefault="00D2438E" w:rsidP="00D2438E">
            <w:pPr>
              <w:tabs>
                <w:tab w:val="right" w:pos="1202"/>
              </w:tabs>
              <w:spacing w:after="0" w:line="240" w:lineRule="exact"/>
              <w:jc w:val="right"/>
              <w:outlineLvl w:val="0"/>
              <w:rPr>
                <w:rFonts w:ascii="Calibri" w:eastAsia="Times New Roman" w:hAnsi="Calibri" w:cs="Arial"/>
                <w:sz w:val="20"/>
                <w:szCs w:val="20"/>
                <w:lang w:val="en-US"/>
              </w:rPr>
            </w:pPr>
            <w:r w:rsidRPr="000B4564">
              <w:rPr>
                <w:rFonts w:ascii="Calibri" w:eastAsia="Times New Roman" w:hAnsi="Calibri" w:cs="Calibri"/>
                <w:b/>
                <w:bCs/>
                <w:color w:val="000000"/>
                <w:sz w:val="20"/>
                <w:szCs w:val="20"/>
              </w:rPr>
              <w:t>15</w:t>
            </w:r>
            <w:r>
              <w:rPr>
                <w:rFonts w:ascii="Calibri" w:eastAsia="Times New Roman" w:hAnsi="Calibri" w:cs="Calibri"/>
                <w:b/>
                <w:bCs/>
                <w:color w:val="000000"/>
                <w:sz w:val="20"/>
                <w:szCs w:val="20"/>
              </w:rPr>
              <w:t>,</w:t>
            </w:r>
            <w:r w:rsidRPr="000B4564">
              <w:rPr>
                <w:rFonts w:ascii="Calibri" w:eastAsia="Times New Roman" w:hAnsi="Calibri" w:cs="Calibri"/>
                <w:b/>
                <w:bCs/>
                <w:color w:val="000000"/>
                <w:sz w:val="20"/>
                <w:szCs w:val="20"/>
              </w:rPr>
              <w:t>217</w:t>
            </w:r>
          </w:p>
        </w:tc>
      </w:tr>
      <w:tr w:rsidR="00D2438E" w:rsidRPr="00537128" w14:paraId="2DA07731" w14:textId="77777777" w:rsidTr="004E5504">
        <w:trPr>
          <w:trHeight w:val="279"/>
        </w:trPr>
        <w:tc>
          <w:tcPr>
            <w:tcW w:w="2457" w:type="pct"/>
            <w:vAlign w:val="bottom"/>
          </w:tcPr>
          <w:p w14:paraId="0F1759DD" w14:textId="01CBA561" w:rsidR="00D2438E" w:rsidRPr="00537128" w:rsidRDefault="00D2438E" w:rsidP="00D2438E">
            <w:pPr>
              <w:tabs>
                <w:tab w:val="right" w:pos="1202"/>
              </w:tabs>
              <w:spacing w:after="0" w:line="240" w:lineRule="exact"/>
              <w:outlineLvl w:val="0"/>
              <w:rPr>
                <w:rFonts w:ascii="Calibri" w:eastAsia="Times New Roman" w:hAnsi="Calibri" w:cs="Arial"/>
                <w:sz w:val="20"/>
                <w:szCs w:val="20"/>
                <w:lang w:val="en-US"/>
              </w:rPr>
            </w:pPr>
            <w:bookmarkStart w:id="311" w:name="_Toc4058395"/>
            <w:r w:rsidRPr="00537128">
              <w:rPr>
                <w:rFonts w:ascii="Calibri" w:eastAsia="Times New Roman" w:hAnsi="Calibri" w:cs="Arial"/>
                <w:sz w:val="20"/>
                <w:szCs w:val="20"/>
                <w:lang w:val="en-US"/>
              </w:rPr>
              <w:t>Loss allowances</w:t>
            </w:r>
            <w:bookmarkEnd w:id="311"/>
          </w:p>
        </w:tc>
        <w:tc>
          <w:tcPr>
            <w:tcW w:w="716" w:type="pct"/>
            <w:tcBorders>
              <w:top w:val="nil"/>
              <w:left w:val="nil"/>
              <w:bottom w:val="nil"/>
              <w:right w:val="nil"/>
            </w:tcBorders>
            <w:shd w:val="clear" w:color="auto" w:fill="auto"/>
            <w:vAlign w:val="bottom"/>
          </w:tcPr>
          <w:p w14:paraId="5C51F7F8" w14:textId="7DAF7F4B" w:rsidR="00D2438E" w:rsidRPr="00537128" w:rsidRDefault="00D2438E" w:rsidP="00D2438E">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color w:val="000000"/>
                <w:sz w:val="20"/>
                <w:szCs w:val="20"/>
              </w:rPr>
              <w:t>(2)</w:t>
            </w:r>
          </w:p>
        </w:tc>
        <w:tc>
          <w:tcPr>
            <w:tcW w:w="555" w:type="pct"/>
            <w:tcBorders>
              <w:top w:val="nil"/>
              <w:left w:val="nil"/>
              <w:bottom w:val="nil"/>
              <w:right w:val="nil"/>
            </w:tcBorders>
            <w:shd w:val="clear" w:color="auto" w:fill="auto"/>
            <w:vAlign w:val="bottom"/>
          </w:tcPr>
          <w:p w14:paraId="4FA2C23B" w14:textId="50B36851" w:rsidR="00D2438E" w:rsidRPr="00537128" w:rsidRDefault="00D2438E" w:rsidP="00D2438E">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color w:val="000000"/>
                <w:sz w:val="20"/>
                <w:szCs w:val="20"/>
              </w:rPr>
              <w:t>-</w:t>
            </w:r>
          </w:p>
        </w:tc>
        <w:tc>
          <w:tcPr>
            <w:tcW w:w="557" w:type="pct"/>
            <w:tcBorders>
              <w:top w:val="nil"/>
              <w:left w:val="nil"/>
              <w:bottom w:val="nil"/>
              <w:right w:val="nil"/>
            </w:tcBorders>
            <w:shd w:val="clear" w:color="auto" w:fill="auto"/>
            <w:vAlign w:val="bottom"/>
          </w:tcPr>
          <w:p w14:paraId="320222CF" w14:textId="0DB5BFE0" w:rsidR="00D2438E" w:rsidRPr="00537128" w:rsidRDefault="00D2438E" w:rsidP="00D2438E">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color w:val="000000"/>
                <w:sz w:val="20"/>
                <w:szCs w:val="20"/>
              </w:rPr>
              <w:t>-</w:t>
            </w:r>
          </w:p>
        </w:tc>
        <w:tc>
          <w:tcPr>
            <w:tcW w:w="715" w:type="pct"/>
            <w:tcBorders>
              <w:top w:val="nil"/>
              <w:left w:val="nil"/>
              <w:bottom w:val="nil"/>
              <w:right w:val="nil"/>
            </w:tcBorders>
            <w:shd w:val="clear" w:color="auto" w:fill="auto"/>
            <w:vAlign w:val="bottom"/>
          </w:tcPr>
          <w:p w14:paraId="16FE1CB8" w14:textId="108E9CB1" w:rsidR="00D2438E" w:rsidRPr="00537128" w:rsidRDefault="00D2438E" w:rsidP="00D2438E">
            <w:pPr>
              <w:tabs>
                <w:tab w:val="right" w:pos="1202"/>
              </w:tabs>
              <w:spacing w:after="0" w:line="240" w:lineRule="exact"/>
              <w:jc w:val="right"/>
              <w:outlineLvl w:val="0"/>
              <w:rPr>
                <w:rFonts w:ascii="Calibri" w:eastAsia="Times New Roman" w:hAnsi="Calibri" w:cs="Arial"/>
                <w:sz w:val="20"/>
                <w:szCs w:val="20"/>
                <w:lang w:val="en-US"/>
              </w:rPr>
            </w:pPr>
            <w:r w:rsidRPr="000B4564">
              <w:rPr>
                <w:rFonts w:ascii="Calibri" w:eastAsia="Times New Roman" w:hAnsi="Calibri" w:cs="Calibri"/>
                <w:b/>
                <w:bCs/>
                <w:color w:val="000000"/>
                <w:sz w:val="20"/>
                <w:szCs w:val="20"/>
              </w:rPr>
              <w:t>(2)</w:t>
            </w:r>
          </w:p>
        </w:tc>
      </w:tr>
      <w:tr w:rsidR="00D2438E" w:rsidRPr="00537128" w14:paraId="56C88616" w14:textId="77777777" w:rsidTr="0057419D">
        <w:trPr>
          <w:trHeight w:val="374"/>
        </w:trPr>
        <w:tc>
          <w:tcPr>
            <w:tcW w:w="2457" w:type="pct"/>
            <w:vAlign w:val="bottom"/>
          </w:tcPr>
          <w:p w14:paraId="00095D0F" w14:textId="6E00503B" w:rsidR="00D2438E" w:rsidRPr="00537128" w:rsidRDefault="00D2438E" w:rsidP="00D2438E">
            <w:pPr>
              <w:tabs>
                <w:tab w:val="right" w:pos="1202"/>
              </w:tabs>
              <w:spacing w:after="0" w:line="240" w:lineRule="exact"/>
              <w:outlineLvl w:val="0"/>
              <w:rPr>
                <w:rFonts w:ascii="Calibri" w:eastAsia="Times New Roman" w:hAnsi="Calibri" w:cs="Arial"/>
                <w:b/>
                <w:iCs/>
                <w:sz w:val="20"/>
                <w:szCs w:val="20"/>
                <w:lang w:val="en-US"/>
              </w:rPr>
            </w:pPr>
            <w:bookmarkStart w:id="312" w:name="_Toc4058404"/>
            <w:r w:rsidRPr="00537128">
              <w:rPr>
                <w:rFonts w:ascii="Calibri" w:eastAsia="Times New Roman" w:hAnsi="Calibri" w:cs="Arial"/>
                <w:b/>
                <w:iCs/>
                <w:sz w:val="20"/>
                <w:szCs w:val="20"/>
                <w:lang w:val="en-US"/>
              </w:rPr>
              <w:t xml:space="preserve">Balance as of 31 March </w:t>
            </w:r>
            <w:bookmarkEnd w:id="312"/>
            <w:r w:rsidRPr="00537128">
              <w:rPr>
                <w:rFonts w:ascii="Calibri" w:eastAsia="Times New Roman" w:hAnsi="Calibri" w:cs="Arial"/>
                <w:b/>
                <w:iCs/>
                <w:sz w:val="20"/>
                <w:szCs w:val="20"/>
                <w:lang w:val="en-US"/>
              </w:rPr>
              <w:t>202</w:t>
            </w:r>
            <w:r>
              <w:rPr>
                <w:rFonts w:ascii="Calibri" w:eastAsia="Times New Roman" w:hAnsi="Calibri" w:cs="Arial"/>
                <w:b/>
                <w:iCs/>
                <w:sz w:val="20"/>
                <w:szCs w:val="20"/>
                <w:lang w:val="en-US"/>
              </w:rPr>
              <w:t>2</w:t>
            </w:r>
          </w:p>
        </w:tc>
        <w:tc>
          <w:tcPr>
            <w:tcW w:w="716" w:type="pct"/>
            <w:tcBorders>
              <w:top w:val="single" w:sz="4" w:space="0" w:color="auto"/>
              <w:left w:val="nil"/>
              <w:bottom w:val="single" w:sz="12" w:space="0" w:color="auto"/>
              <w:right w:val="nil"/>
            </w:tcBorders>
            <w:shd w:val="clear" w:color="auto" w:fill="auto"/>
            <w:vAlign w:val="bottom"/>
          </w:tcPr>
          <w:p w14:paraId="7BE2A6C4" w14:textId="581EC575" w:rsidR="00D2438E" w:rsidRPr="00537128" w:rsidRDefault="00D2438E" w:rsidP="00D2438E">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b/>
                <w:bCs/>
                <w:color w:val="000000"/>
                <w:sz w:val="20"/>
                <w:szCs w:val="20"/>
              </w:rPr>
              <w:t>15,215</w:t>
            </w:r>
          </w:p>
        </w:tc>
        <w:tc>
          <w:tcPr>
            <w:tcW w:w="555" w:type="pct"/>
            <w:tcBorders>
              <w:top w:val="single" w:sz="4" w:space="0" w:color="auto"/>
              <w:left w:val="nil"/>
              <w:bottom w:val="single" w:sz="12" w:space="0" w:color="auto"/>
              <w:right w:val="nil"/>
            </w:tcBorders>
            <w:shd w:val="clear" w:color="auto" w:fill="auto"/>
            <w:vAlign w:val="bottom"/>
          </w:tcPr>
          <w:p w14:paraId="4124AC82" w14:textId="766CA753" w:rsidR="00D2438E" w:rsidRPr="00537128" w:rsidRDefault="00D2438E" w:rsidP="00D2438E">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b/>
                <w:bCs/>
                <w:color w:val="000000"/>
                <w:sz w:val="20"/>
                <w:szCs w:val="20"/>
              </w:rPr>
              <w:t>-</w:t>
            </w:r>
          </w:p>
        </w:tc>
        <w:tc>
          <w:tcPr>
            <w:tcW w:w="557" w:type="pct"/>
            <w:tcBorders>
              <w:top w:val="single" w:sz="4" w:space="0" w:color="auto"/>
              <w:left w:val="nil"/>
              <w:bottom w:val="single" w:sz="12" w:space="0" w:color="auto"/>
              <w:right w:val="nil"/>
            </w:tcBorders>
            <w:shd w:val="clear" w:color="auto" w:fill="auto"/>
            <w:vAlign w:val="bottom"/>
          </w:tcPr>
          <w:p w14:paraId="36FAC215" w14:textId="415C24A5" w:rsidR="00D2438E" w:rsidRPr="00537128" w:rsidRDefault="00D2438E" w:rsidP="00D2438E">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b/>
                <w:bCs/>
                <w:color w:val="000000"/>
                <w:sz w:val="20"/>
                <w:szCs w:val="20"/>
              </w:rPr>
              <w:t>-</w:t>
            </w:r>
          </w:p>
        </w:tc>
        <w:tc>
          <w:tcPr>
            <w:tcW w:w="715" w:type="pct"/>
            <w:tcBorders>
              <w:top w:val="single" w:sz="4" w:space="0" w:color="auto"/>
              <w:left w:val="nil"/>
              <w:bottom w:val="single" w:sz="12" w:space="0" w:color="auto"/>
              <w:right w:val="nil"/>
            </w:tcBorders>
            <w:shd w:val="clear" w:color="auto" w:fill="auto"/>
            <w:vAlign w:val="bottom"/>
          </w:tcPr>
          <w:p w14:paraId="4CF464B6" w14:textId="5C712FCF" w:rsidR="00D2438E" w:rsidRPr="00537128" w:rsidRDefault="00D2438E" w:rsidP="00D2438E">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b/>
                <w:bCs/>
                <w:color w:val="000000"/>
                <w:sz w:val="20"/>
                <w:szCs w:val="20"/>
              </w:rPr>
              <w:t>15,215</w:t>
            </w:r>
          </w:p>
        </w:tc>
      </w:tr>
    </w:tbl>
    <w:p w14:paraId="3D1FF1CF" w14:textId="77777777" w:rsidR="008A32FC" w:rsidRPr="00537128" w:rsidRDefault="008A32FC" w:rsidP="00D3297A">
      <w:pPr>
        <w:autoSpaceDE w:val="0"/>
        <w:autoSpaceDN w:val="0"/>
        <w:adjustRightInd w:val="0"/>
        <w:spacing w:after="0" w:line="240" w:lineRule="auto"/>
        <w:jc w:val="both"/>
        <w:rPr>
          <w:noProof/>
          <w:color w:val="000000" w:themeColor="text1"/>
          <w:lang w:val="en-US"/>
        </w:rPr>
      </w:pPr>
    </w:p>
    <w:p w14:paraId="0D8C6D8A" w14:textId="057F431D" w:rsidR="00D3297A" w:rsidRPr="00537128" w:rsidRDefault="00D3297A" w:rsidP="00D3297A">
      <w:pPr>
        <w:autoSpaceDE w:val="0"/>
        <w:autoSpaceDN w:val="0"/>
        <w:adjustRightInd w:val="0"/>
        <w:spacing w:after="0" w:line="240" w:lineRule="auto"/>
        <w:jc w:val="both"/>
        <w:rPr>
          <w:noProof/>
          <w:color w:val="000000" w:themeColor="text1"/>
          <w:lang w:val="en-US"/>
        </w:rPr>
      </w:pPr>
    </w:p>
    <w:tbl>
      <w:tblPr>
        <w:tblW w:w="4920" w:type="pct"/>
        <w:tblInd w:w="-422" w:type="dxa"/>
        <w:tblLayout w:type="fixed"/>
        <w:tblLook w:val="0000" w:firstRow="0" w:lastRow="0" w:firstColumn="0" w:lastColumn="0" w:noHBand="0" w:noVBand="0"/>
      </w:tblPr>
      <w:tblGrid>
        <w:gridCol w:w="4391"/>
        <w:gridCol w:w="1134"/>
        <w:gridCol w:w="993"/>
        <w:gridCol w:w="1134"/>
        <w:gridCol w:w="1275"/>
      </w:tblGrid>
      <w:tr w:rsidR="004E5504" w:rsidRPr="00F342E3" w14:paraId="0F42339A" w14:textId="77777777" w:rsidTr="004E5504">
        <w:trPr>
          <w:trHeight w:val="270"/>
        </w:trPr>
        <w:tc>
          <w:tcPr>
            <w:tcW w:w="2459" w:type="pct"/>
            <w:vAlign w:val="bottom"/>
          </w:tcPr>
          <w:p w14:paraId="385573B0" w14:textId="1159C093" w:rsidR="004E5504" w:rsidRPr="00F342E3" w:rsidRDefault="004E5504" w:rsidP="00987F88">
            <w:pPr>
              <w:tabs>
                <w:tab w:val="left" w:pos="-720"/>
              </w:tabs>
              <w:suppressAutoHyphens/>
              <w:spacing w:after="0" w:line="220" w:lineRule="exact"/>
              <w:rPr>
                <w:rFonts w:ascii="Calibri" w:eastAsia="Times New Roman" w:hAnsi="Calibri" w:cs="Arial"/>
                <w:b/>
                <w:sz w:val="20"/>
                <w:szCs w:val="20"/>
                <w:lang w:val="en-US"/>
              </w:rPr>
            </w:pPr>
            <w:r w:rsidRPr="00F342E3">
              <w:rPr>
                <w:rFonts w:ascii="Calibri" w:eastAsia="Times New Roman" w:hAnsi="Calibri" w:cs="Arial"/>
                <w:b/>
                <w:sz w:val="20"/>
                <w:szCs w:val="20"/>
                <w:lang w:val="en-US"/>
              </w:rPr>
              <w:t>31 December 202</w:t>
            </w:r>
            <w:r w:rsidR="00970E05">
              <w:rPr>
                <w:rFonts w:ascii="Calibri" w:eastAsia="Times New Roman" w:hAnsi="Calibri" w:cs="Arial"/>
                <w:b/>
                <w:sz w:val="20"/>
                <w:szCs w:val="20"/>
                <w:lang w:val="en-US"/>
              </w:rPr>
              <w:t>1</w:t>
            </w:r>
          </w:p>
        </w:tc>
        <w:tc>
          <w:tcPr>
            <w:tcW w:w="635" w:type="pct"/>
            <w:vAlign w:val="bottom"/>
          </w:tcPr>
          <w:p w14:paraId="198E1E56" w14:textId="77777777" w:rsidR="004E5504" w:rsidRPr="00F342E3" w:rsidRDefault="004E5504" w:rsidP="00987F88">
            <w:pPr>
              <w:tabs>
                <w:tab w:val="right" w:pos="1202"/>
              </w:tabs>
              <w:spacing w:after="0" w:line="240" w:lineRule="atLeast"/>
              <w:jc w:val="right"/>
              <w:outlineLvl w:val="0"/>
              <w:rPr>
                <w:rFonts w:ascii="Calibri" w:eastAsia="Times New Roman" w:hAnsi="Calibri" w:cs="Arial"/>
                <w:b/>
                <w:sz w:val="20"/>
                <w:szCs w:val="20"/>
                <w:lang w:val="en-US"/>
              </w:rPr>
            </w:pPr>
          </w:p>
        </w:tc>
        <w:tc>
          <w:tcPr>
            <w:tcW w:w="556" w:type="pct"/>
            <w:shd w:val="clear" w:color="auto" w:fill="auto"/>
            <w:vAlign w:val="bottom"/>
          </w:tcPr>
          <w:p w14:paraId="7C2E85C8" w14:textId="77777777" w:rsidR="004E5504" w:rsidRPr="00F342E3" w:rsidRDefault="004E5504" w:rsidP="00987F88">
            <w:pPr>
              <w:tabs>
                <w:tab w:val="right" w:pos="1202"/>
              </w:tabs>
              <w:spacing w:after="0" w:line="240" w:lineRule="atLeast"/>
              <w:jc w:val="right"/>
              <w:outlineLvl w:val="0"/>
              <w:rPr>
                <w:rFonts w:ascii="Calibri" w:eastAsia="Times New Roman" w:hAnsi="Calibri" w:cs="Arial"/>
                <w:b/>
                <w:sz w:val="20"/>
                <w:szCs w:val="20"/>
                <w:lang w:val="en-US"/>
              </w:rPr>
            </w:pPr>
          </w:p>
        </w:tc>
        <w:tc>
          <w:tcPr>
            <w:tcW w:w="1349" w:type="pct"/>
            <w:gridSpan w:val="2"/>
            <w:shd w:val="clear" w:color="auto" w:fill="auto"/>
            <w:vAlign w:val="bottom"/>
          </w:tcPr>
          <w:p w14:paraId="6CF85E2F" w14:textId="3532929D" w:rsidR="004E5504" w:rsidRPr="00F342E3" w:rsidRDefault="004E5504" w:rsidP="00987F88">
            <w:pPr>
              <w:tabs>
                <w:tab w:val="right" w:pos="1202"/>
              </w:tabs>
              <w:spacing w:after="0" w:line="220" w:lineRule="exact"/>
              <w:jc w:val="right"/>
              <w:outlineLvl w:val="0"/>
              <w:rPr>
                <w:rFonts w:ascii="Calibri" w:eastAsia="Times New Roman" w:hAnsi="Calibri" w:cs="Arial"/>
                <w:b/>
                <w:sz w:val="20"/>
                <w:szCs w:val="20"/>
                <w:lang w:val="en-US"/>
              </w:rPr>
            </w:pPr>
            <w:r>
              <w:rPr>
                <w:rFonts w:ascii="Calibri" w:eastAsia="Times New Roman" w:hAnsi="Calibri" w:cs="Arial"/>
                <w:b/>
                <w:sz w:val="20"/>
                <w:szCs w:val="20"/>
                <w:lang w:val="en-US"/>
              </w:rPr>
              <w:t xml:space="preserve">Group and </w:t>
            </w:r>
            <w:r w:rsidRPr="00F342E3">
              <w:rPr>
                <w:rFonts w:ascii="Calibri" w:eastAsia="Times New Roman" w:hAnsi="Calibri" w:cs="Arial"/>
                <w:b/>
                <w:sz w:val="20"/>
                <w:szCs w:val="20"/>
                <w:lang w:val="en-US"/>
              </w:rPr>
              <w:t>Bank</w:t>
            </w:r>
          </w:p>
        </w:tc>
      </w:tr>
      <w:tr w:rsidR="004E5504" w:rsidRPr="00F342E3" w14:paraId="1A677751" w14:textId="77777777" w:rsidTr="004E5504">
        <w:trPr>
          <w:trHeight w:val="208"/>
        </w:trPr>
        <w:tc>
          <w:tcPr>
            <w:tcW w:w="2459" w:type="pct"/>
            <w:vAlign w:val="bottom"/>
          </w:tcPr>
          <w:p w14:paraId="79C25E9A" w14:textId="77777777" w:rsidR="004E5504" w:rsidRPr="00F342E3" w:rsidRDefault="004E5504" w:rsidP="00987F88">
            <w:pPr>
              <w:tabs>
                <w:tab w:val="left" w:pos="-720"/>
              </w:tabs>
              <w:suppressAutoHyphens/>
              <w:spacing w:after="0" w:line="220" w:lineRule="exact"/>
              <w:rPr>
                <w:rFonts w:ascii="Calibri" w:eastAsia="Times New Roman" w:hAnsi="Calibri" w:cs="Arial"/>
                <w:sz w:val="20"/>
                <w:szCs w:val="20"/>
                <w:lang w:val="en-US"/>
              </w:rPr>
            </w:pPr>
          </w:p>
        </w:tc>
        <w:tc>
          <w:tcPr>
            <w:tcW w:w="635" w:type="pct"/>
            <w:vAlign w:val="bottom"/>
          </w:tcPr>
          <w:p w14:paraId="1E1EF343" w14:textId="77777777" w:rsidR="004E5504" w:rsidRPr="00F342E3" w:rsidRDefault="004E5504" w:rsidP="00987F88">
            <w:pPr>
              <w:tabs>
                <w:tab w:val="right" w:pos="1202"/>
              </w:tabs>
              <w:spacing w:after="0" w:line="220" w:lineRule="exact"/>
              <w:jc w:val="right"/>
              <w:outlineLvl w:val="0"/>
              <w:rPr>
                <w:rFonts w:ascii="Calibri" w:eastAsia="Times New Roman" w:hAnsi="Calibri" w:cs="Arial"/>
                <w:b/>
                <w:sz w:val="20"/>
                <w:szCs w:val="20"/>
                <w:lang w:val="en-US"/>
              </w:rPr>
            </w:pPr>
            <w:r w:rsidRPr="00F342E3">
              <w:rPr>
                <w:rFonts w:ascii="Calibri" w:eastAsia="Times New Roman" w:hAnsi="Calibri" w:cs="Arial"/>
                <w:b/>
                <w:sz w:val="20"/>
                <w:szCs w:val="20"/>
                <w:lang w:val="en-US"/>
              </w:rPr>
              <w:t>Stage 1</w:t>
            </w:r>
          </w:p>
        </w:tc>
        <w:tc>
          <w:tcPr>
            <w:tcW w:w="556" w:type="pct"/>
            <w:vAlign w:val="bottom"/>
          </w:tcPr>
          <w:p w14:paraId="246720C4" w14:textId="77777777" w:rsidR="004E5504" w:rsidRPr="00F342E3" w:rsidRDefault="004E5504" w:rsidP="00987F88">
            <w:pPr>
              <w:tabs>
                <w:tab w:val="right" w:pos="1202"/>
              </w:tabs>
              <w:spacing w:after="0" w:line="220" w:lineRule="exact"/>
              <w:jc w:val="right"/>
              <w:outlineLvl w:val="0"/>
              <w:rPr>
                <w:rFonts w:ascii="Calibri" w:eastAsia="Times New Roman" w:hAnsi="Calibri" w:cs="Arial"/>
                <w:b/>
                <w:sz w:val="20"/>
                <w:szCs w:val="20"/>
                <w:lang w:val="en-US"/>
              </w:rPr>
            </w:pPr>
            <w:r w:rsidRPr="00F342E3">
              <w:rPr>
                <w:rFonts w:ascii="Calibri" w:eastAsia="Times New Roman" w:hAnsi="Calibri" w:cs="Arial"/>
                <w:b/>
                <w:sz w:val="20"/>
                <w:szCs w:val="20"/>
                <w:lang w:val="en-US"/>
              </w:rPr>
              <w:t>Stage 2</w:t>
            </w:r>
          </w:p>
        </w:tc>
        <w:tc>
          <w:tcPr>
            <w:tcW w:w="635" w:type="pct"/>
            <w:vAlign w:val="bottom"/>
          </w:tcPr>
          <w:p w14:paraId="2360C75C" w14:textId="77777777" w:rsidR="004E5504" w:rsidRPr="00F342E3" w:rsidRDefault="004E5504" w:rsidP="00987F88">
            <w:pPr>
              <w:tabs>
                <w:tab w:val="right" w:pos="1202"/>
              </w:tabs>
              <w:spacing w:after="0" w:line="220" w:lineRule="exact"/>
              <w:jc w:val="right"/>
              <w:outlineLvl w:val="0"/>
              <w:rPr>
                <w:rFonts w:ascii="Calibri" w:eastAsia="Times New Roman" w:hAnsi="Calibri" w:cs="Arial"/>
                <w:b/>
                <w:sz w:val="20"/>
                <w:szCs w:val="20"/>
                <w:lang w:val="en-US"/>
              </w:rPr>
            </w:pPr>
            <w:r w:rsidRPr="00F342E3">
              <w:rPr>
                <w:rFonts w:ascii="Calibri" w:eastAsia="Times New Roman" w:hAnsi="Calibri" w:cs="Arial"/>
                <w:b/>
                <w:sz w:val="20"/>
                <w:szCs w:val="20"/>
                <w:lang w:val="en-US"/>
              </w:rPr>
              <w:t>Stage 3</w:t>
            </w:r>
          </w:p>
        </w:tc>
        <w:tc>
          <w:tcPr>
            <w:tcW w:w="714" w:type="pct"/>
            <w:vAlign w:val="bottom"/>
          </w:tcPr>
          <w:p w14:paraId="52CCEB30" w14:textId="77777777" w:rsidR="004E5504" w:rsidRPr="00F342E3" w:rsidRDefault="004E5504" w:rsidP="00987F88">
            <w:pPr>
              <w:tabs>
                <w:tab w:val="right" w:pos="1202"/>
              </w:tabs>
              <w:spacing w:after="0" w:line="220" w:lineRule="exact"/>
              <w:jc w:val="right"/>
              <w:outlineLvl w:val="0"/>
              <w:rPr>
                <w:rFonts w:ascii="Calibri" w:eastAsia="Times New Roman" w:hAnsi="Calibri" w:cs="Arial"/>
                <w:b/>
                <w:sz w:val="20"/>
                <w:szCs w:val="20"/>
                <w:lang w:val="en-US"/>
              </w:rPr>
            </w:pPr>
            <w:r w:rsidRPr="00F342E3">
              <w:rPr>
                <w:rFonts w:ascii="Calibri" w:eastAsia="Times New Roman" w:hAnsi="Calibri" w:cs="Arial"/>
                <w:b/>
                <w:sz w:val="20"/>
                <w:szCs w:val="20"/>
                <w:lang w:val="en-US"/>
              </w:rPr>
              <w:t>Total</w:t>
            </w:r>
          </w:p>
        </w:tc>
      </w:tr>
      <w:tr w:rsidR="004E5504" w:rsidRPr="00F342E3" w14:paraId="5B00A5E5" w14:textId="77777777" w:rsidTr="004E5504">
        <w:trPr>
          <w:trHeight w:val="208"/>
        </w:trPr>
        <w:tc>
          <w:tcPr>
            <w:tcW w:w="2459" w:type="pct"/>
            <w:vAlign w:val="bottom"/>
          </w:tcPr>
          <w:p w14:paraId="0E5920F7" w14:textId="77777777" w:rsidR="004E5504" w:rsidRPr="00F342E3" w:rsidRDefault="004E5504" w:rsidP="00987F88">
            <w:pPr>
              <w:tabs>
                <w:tab w:val="left" w:pos="-720"/>
              </w:tabs>
              <w:suppressAutoHyphens/>
              <w:spacing w:after="0" w:line="220" w:lineRule="exact"/>
              <w:rPr>
                <w:rFonts w:ascii="Calibri" w:eastAsia="Times New Roman" w:hAnsi="Calibri" w:cs="Arial"/>
                <w:sz w:val="20"/>
                <w:szCs w:val="20"/>
                <w:lang w:val="en-US"/>
              </w:rPr>
            </w:pPr>
          </w:p>
        </w:tc>
        <w:tc>
          <w:tcPr>
            <w:tcW w:w="635" w:type="pct"/>
            <w:vAlign w:val="bottom"/>
          </w:tcPr>
          <w:p w14:paraId="3943B40E" w14:textId="134186E5" w:rsidR="004E5504" w:rsidRPr="00F342E3" w:rsidRDefault="004E5504" w:rsidP="00987F88">
            <w:pPr>
              <w:tabs>
                <w:tab w:val="right" w:pos="1202"/>
              </w:tabs>
              <w:spacing w:after="0" w:line="220" w:lineRule="exact"/>
              <w:jc w:val="right"/>
              <w:outlineLvl w:val="0"/>
              <w:rPr>
                <w:rFonts w:ascii="Calibri" w:eastAsia="Times New Roman" w:hAnsi="Calibri" w:cs="Arial"/>
                <w:b/>
                <w:sz w:val="20"/>
                <w:szCs w:val="20"/>
                <w:lang w:val="en-US"/>
              </w:rPr>
            </w:pPr>
            <w:r w:rsidRPr="00F342E3">
              <w:rPr>
                <w:rFonts w:ascii="Calibri" w:eastAsia="Times New Roman" w:hAnsi="Calibri" w:cs="Arial"/>
                <w:b/>
                <w:sz w:val="20"/>
                <w:szCs w:val="20"/>
                <w:lang w:val="en-US"/>
              </w:rPr>
              <w:t xml:space="preserve">HRK </w:t>
            </w:r>
            <w:r w:rsidR="00417C24">
              <w:rPr>
                <w:rFonts w:ascii="Calibri" w:eastAsia="Times New Roman" w:hAnsi="Calibri" w:cs="Arial"/>
                <w:b/>
                <w:sz w:val="20"/>
                <w:szCs w:val="20"/>
                <w:lang w:val="en-US"/>
              </w:rPr>
              <w:t>‘</w:t>
            </w:r>
            <w:r w:rsidRPr="00F342E3">
              <w:rPr>
                <w:rFonts w:ascii="Calibri" w:eastAsia="Times New Roman" w:hAnsi="Calibri" w:cs="Arial"/>
                <w:b/>
                <w:sz w:val="20"/>
                <w:szCs w:val="20"/>
                <w:lang w:val="en-US"/>
              </w:rPr>
              <w:t>000</w:t>
            </w:r>
          </w:p>
        </w:tc>
        <w:tc>
          <w:tcPr>
            <w:tcW w:w="556" w:type="pct"/>
            <w:vAlign w:val="bottom"/>
          </w:tcPr>
          <w:p w14:paraId="755F56D9" w14:textId="62A7B255" w:rsidR="004E5504" w:rsidRPr="00F342E3" w:rsidRDefault="004E5504" w:rsidP="00987F88">
            <w:pPr>
              <w:tabs>
                <w:tab w:val="right" w:pos="1202"/>
              </w:tabs>
              <w:spacing w:after="0" w:line="220" w:lineRule="exact"/>
              <w:jc w:val="right"/>
              <w:outlineLvl w:val="0"/>
              <w:rPr>
                <w:rFonts w:ascii="Calibri" w:eastAsia="Times New Roman" w:hAnsi="Calibri" w:cs="Arial"/>
                <w:b/>
                <w:sz w:val="20"/>
                <w:szCs w:val="20"/>
                <w:lang w:val="en-US"/>
              </w:rPr>
            </w:pPr>
            <w:r w:rsidRPr="00F342E3">
              <w:rPr>
                <w:rFonts w:ascii="Calibri" w:eastAsia="Times New Roman" w:hAnsi="Calibri" w:cs="Arial"/>
                <w:b/>
                <w:sz w:val="20"/>
                <w:szCs w:val="20"/>
                <w:lang w:val="en-US"/>
              </w:rPr>
              <w:t>HRK</w:t>
            </w:r>
            <w:r w:rsidR="00417C24">
              <w:rPr>
                <w:rFonts w:ascii="Calibri" w:eastAsia="Times New Roman" w:hAnsi="Calibri" w:cs="Arial"/>
                <w:b/>
                <w:sz w:val="20"/>
                <w:szCs w:val="20"/>
                <w:lang w:val="en-US"/>
              </w:rPr>
              <w:t>’</w:t>
            </w:r>
            <w:r w:rsidRPr="00F342E3">
              <w:rPr>
                <w:rFonts w:ascii="Calibri" w:eastAsia="Times New Roman" w:hAnsi="Calibri" w:cs="Arial"/>
                <w:b/>
                <w:sz w:val="20"/>
                <w:szCs w:val="20"/>
                <w:lang w:val="en-US"/>
              </w:rPr>
              <w:t xml:space="preserve"> 000</w:t>
            </w:r>
          </w:p>
        </w:tc>
        <w:tc>
          <w:tcPr>
            <w:tcW w:w="635" w:type="pct"/>
            <w:vAlign w:val="bottom"/>
          </w:tcPr>
          <w:p w14:paraId="6593B3E6" w14:textId="0F5D0921" w:rsidR="004E5504" w:rsidRPr="00F342E3" w:rsidRDefault="004E5504" w:rsidP="00987F88">
            <w:pPr>
              <w:tabs>
                <w:tab w:val="right" w:pos="1202"/>
              </w:tabs>
              <w:spacing w:after="0" w:line="220" w:lineRule="exact"/>
              <w:jc w:val="right"/>
              <w:outlineLvl w:val="0"/>
              <w:rPr>
                <w:rFonts w:ascii="Calibri" w:eastAsia="Times New Roman" w:hAnsi="Calibri" w:cs="Arial"/>
                <w:b/>
                <w:sz w:val="20"/>
                <w:szCs w:val="20"/>
                <w:lang w:val="en-US"/>
              </w:rPr>
            </w:pPr>
            <w:r w:rsidRPr="00F342E3">
              <w:rPr>
                <w:rFonts w:ascii="Calibri" w:eastAsia="Times New Roman" w:hAnsi="Calibri" w:cs="Arial"/>
                <w:b/>
                <w:sz w:val="20"/>
                <w:szCs w:val="20"/>
                <w:lang w:val="en-US"/>
              </w:rPr>
              <w:t xml:space="preserve">HRK </w:t>
            </w:r>
            <w:r w:rsidR="00417C24">
              <w:rPr>
                <w:rFonts w:ascii="Calibri" w:eastAsia="Times New Roman" w:hAnsi="Calibri" w:cs="Arial"/>
                <w:b/>
                <w:sz w:val="20"/>
                <w:szCs w:val="20"/>
                <w:lang w:val="en-US"/>
              </w:rPr>
              <w:t>‘</w:t>
            </w:r>
            <w:r w:rsidRPr="00F342E3">
              <w:rPr>
                <w:rFonts w:ascii="Calibri" w:eastAsia="Times New Roman" w:hAnsi="Calibri" w:cs="Arial"/>
                <w:b/>
                <w:sz w:val="20"/>
                <w:szCs w:val="20"/>
                <w:lang w:val="en-US"/>
              </w:rPr>
              <w:t>000</w:t>
            </w:r>
          </w:p>
        </w:tc>
        <w:tc>
          <w:tcPr>
            <w:tcW w:w="714" w:type="pct"/>
            <w:vAlign w:val="bottom"/>
          </w:tcPr>
          <w:p w14:paraId="6E695C23" w14:textId="5598853C" w:rsidR="004E5504" w:rsidRPr="00F342E3" w:rsidRDefault="004E5504" w:rsidP="00987F88">
            <w:pPr>
              <w:tabs>
                <w:tab w:val="right" w:pos="1202"/>
              </w:tabs>
              <w:spacing w:after="0" w:line="220" w:lineRule="exact"/>
              <w:jc w:val="right"/>
              <w:outlineLvl w:val="0"/>
              <w:rPr>
                <w:rFonts w:ascii="Calibri" w:eastAsia="Times New Roman" w:hAnsi="Calibri" w:cs="Arial"/>
                <w:b/>
                <w:sz w:val="20"/>
                <w:szCs w:val="20"/>
                <w:lang w:val="en-US"/>
              </w:rPr>
            </w:pPr>
            <w:r w:rsidRPr="00F342E3">
              <w:rPr>
                <w:rFonts w:ascii="Calibri" w:eastAsia="Times New Roman" w:hAnsi="Calibri" w:cs="Arial"/>
                <w:b/>
                <w:sz w:val="20"/>
                <w:szCs w:val="20"/>
                <w:lang w:val="en-US"/>
              </w:rPr>
              <w:t xml:space="preserve">HRK </w:t>
            </w:r>
            <w:r w:rsidR="00417C24">
              <w:rPr>
                <w:rFonts w:ascii="Calibri" w:eastAsia="Times New Roman" w:hAnsi="Calibri" w:cs="Arial"/>
                <w:b/>
                <w:sz w:val="20"/>
                <w:szCs w:val="20"/>
                <w:lang w:val="en-US"/>
              </w:rPr>
              <w:t>‘</w:t>
            </w:r>
            <w:r w:rsidRPr="00F342E3">
              <w:rPr>
                <w:rFonts w:ascii="Calibri" w:eastAsia="Times New Roman" w:hAnsi="Calibri" w:cs="Arial"/>
                <w:b/>
                <w:sz w:val="20"/>
                <w:szCs w:val="20"/>
                <w:lang w:val="en-US"/>
              </w:rPr>
              <w:t>000</w:t>
            </w:r>
          </w:p>
        </w:tc>
      </w:tr>
      <w:tr w:rsidR="004E5504" w:rsidRPr="00F342E3" w14:paraId="7D2014FA" w14:textId="77777777" w:rsidTr="004E5504">
        <w:trPr>
          <w:trHeight w:val="208"/>
        </w:trPr>
        <w:tc>
          <w:tcPr>
            <w:tcW w:w="2459" w:type="pct"/>
            <w:vAlign w:val="bottom"/>
          </w:tcPr>
          <w:p w14:paraId="42E933B5" w14:textId="77777777" w:rsidR="004E5504" w:rsidRPr="00F342E3" w:rsidRDefault="004E5504" w:rsidP="00987F88">
            <w:pPr>
              <w:tabs>
                <w:tab w:val="left" w:pos="-720"/>
              </w:tabs>
              <w:suppressAutoHyphens/>
              <w:spacing w:after="0" w:line="220" w:lineRule="exact"/>
              <w:rPr>
                <w:rFonts w:ascii="Calibri" w:eastAsia="Times New Roman" w:hAnsi="Calibri" w:cs="Arial"/>
                <w:sz w:val="20"/>
                <w:szCs w:val="20"/>
                <w:lang w:val="en-US"/>
              </w:rPr>
            </w:pPr>
          </w:p>
        </w:tc>
        <w:tc>
          <w:tcPr>
            <w:tcW w:w="635" w:type="pct"/>
            <w:vAlign w:val="bottom"/>
          </w:tcPr>
          <w:p w14:paraId="736B5ED8" w14:textId="77777777" w:rsidR="004E5504" w:rsidRPr="00F342E3" w:rsidRDefault="004E5504" w:rsidP="00987F88">
            <w:pPr>
              <w:tabs>
                <w:tab w:val="right" w:pos="1202"/>
              </w:tabs>
              <w:spacing w:after="0" w:line="220" w:lineRule="exact"/>
              <w:jc w:val="right"/>
              <w:outlineLvl w:val="0"/>
              <w:rPr>
                <w:rFonts w:ascii="Calibri" w:eastAsia="Times New Roman" w:hAnsi="Calibri" w:cs="Arial"/>
                <w:b/>
                <w:sz w:val="20"/>
                <w:szCs w:val="20"/>
                <w:lang w:val="en-US"/>
              </w:rPr>
            </w:pPr>
          </w:p>
        </w:tc>
        <w:tc>
          <w:tcPr>
            <w:tcW w:w="556" w:type="pct"/>
            <w:vAlign w:val="bottom"/>
          </w:tcPr>
          <w:p w14:paraId="792275FB" w14:textId="77777777" w:rsidR="004E5504" w:rsidRPr="00F342E3" w:rsidRDefault="004E5504" w:rsidP="00987F88">
            <w:pPr>
              <w:tabs>
                <w:tab w:val="right" w:pos="1202"/>
              </w:tabs>
              <w:spacing w:after="0" w:line="220" w:lineRule="exact"/>
              <w:jc w:val="right"/>
              <w:outlineLvl w:val="0"/>
              <w:rPr>
                <w:rFonts w:ascii="Calibri" w:eastAsia="Times New Roman" w:hAnsi="Calibri" w:cs="Arial"/>
                <w:b/>
                <w:sz w:val="20"/>
                <w:szCs w:val="20"/>
                <w:lang w:val="en-US"/>
              </w:rPr>
            </w:pPr>
          </w:p>
        </w:tc>
        <w:tc>
          <w:tcPr>
            <w:tcW w:w="635" w:type="pct"/>
            <w:vAlign w:val="bottom"/>
          </w:tcPr>
          <w:p w14:paraId="3A152594" w14:textId="77777777" w:rsidR="004E5504" w:rsidRPr="00F342E3" w:rsidRDefault="004E5504" w:rsidP="00987F88">
            <w:pPr>
              <w:tabs>
                <w:tab w:val="right" w:pos="1202"/>
              </w:tabs>
              <w:spacing w:after="0" w:line="220" w:lineRule="exact"/>
              <w:jc w:val="right"/>
              <w:outlineLvl w:val="0"/>
              <w:rPr>
                <w:rFonts w:ascii="Calibri" w:eastAsia="Times New Roman" w:hAnsi="Calibri" w:cs="Arial"/>
                <w:b/>
                <w:sz w:val="20"/>
                <w:szCs w:val="20"/>
                <w:lang w:val="en-US"/>
              </w:rPr>
            </w:pPr>
          </w:p>
        </w:tc>
        <w:tc>
          <w:tcPr>
            <w:tcW w:w="714" w:type="pct"/>
            <w:vAlign w:val="bottom"/>
          </w:tcPr>
          <w:p w14:paraId="584F814C" w14:textId="77777777" w:rsidR="004E5504" w:rsidRPr="00F342E3" w:rsidRDefault="004E5504" w:rsidP="00987F88">
            <w:pPr>
              <w:tabs>
                <w:tab w:val="right" w:pos="1202"/>
              </w:tabs>
              <w:spacing w:after="0" w:line="220" w:lineRule="exact"/>
              <w:jc w:val="right"/>
              <w:outlineLvl w:val="0"/>
              <w:rPr>
                <w:rFonts w:ascii="Calibri" w:eastAsia="Times New Roman" w:hAnsi="Calibri" w:cs="Arial"/>
                <w:b/>
                <w:sz w:val="20"/>
                <w:szCs w:val="20"/>
                <w:lang w:val="en-US"/>
              </w:rPr>
            </w:pPr>
          </w:p>
        </w:tc>
      </w:tr>
      <w:tr w:rsidR="005F07CF" w:rsidRPr="00F342E3" w14:paraId="7BE9D15A" w14:textId="77777777" w:rsidTr="004E5504">
        <w:trPr>
          <w:trHeight w:val="279"/>
        </w:trPr>
        <w:tc>
          <w:tcPr>
            <w:tcW w:w="2459" w:type="pct"/>
            <w:vAlign w:val="bottom"/>
          </w:tcPr>
          <w:p w14:paraId="52D1A8E4" w14:textId="77777777" w:rsidR="005F07CF" w:rsidRPr="00F342E3" w:rsidRDefault="005F07CF" w:rsidP="005F07CF">
            <w:pPr>
              <w:tabs>
                <w:tab w:val="right" w:pos="1202"/>
              </w:tabs>
              <w:spacing w:after="0" w:line="240" w:lineRule="exact"/>
              <w:outlineLvl w:val="0"/>
              <w:rPr>
                <w:rFonts w:ascii="Calibri" w:eastAsia="Times New Roman" w:hAnsi="Calibri" w:cs="Arial"/>
                <w:sz w:val="20"/>
                <w:szCs w:val="20"/>
                <w:lang w:val="en-US"/>
              </w:rPr>
            </w:pPr>
            <w:r w:rsidRPr="00F342E3">
              <w:rPr>
                <w:rFonts w:ascii="Calibri" w:eastAsia="Times New Roman" w:hAnsi="Calibri" w:cs="Arial"/>
                <w:sz w:val="20"/>
                <w:szCs w:val="20"/>
                <w:lang w:val="en-US"/>
              </w:rPr>
              <w:t>Gross amount</w:t>
            </w:r>
          </w:p>
        </w:tc>
        <w:tc>
          <w:tcPr>
            <w:tcW w:w="635" w:type="pct"/>
            <w:tcBorders>
              <w:top w:val="nil"/>
              <w:left w:val="nil"/>
              <w:bottom w:val="nil"/>
              <w:right w:val="nil"/>
            </w:tcBorders>
            <w:shd w:val="clear" w:color="auto" w:fill="auto"/>
            <w:vAlign w:val="bottom"/>
          </w:tcPr>
          <w:p w14:paraId="48E81992" w14:textId="07D6269C" w:rsidR="005F07CF" w:rsidRPr="00F342E3" w:rsidRDefault="005F07CF" w:rsidP="005F07CF">
            <w:pPr>
              <w:tabs>
                <w:tab w:val="right" w:pos="1202"/>
              </w:tabs>
              <w:spacing w:after="0" w:line="240" w:lineRule="exact"/>
              <w:jc w:val="right"/>
              <w:outlineLvl w:val="0"/>
              <w:rPr>
                <w:rFonts w:ascii="Calibri" w:eastAsia="Times New Roman" w:hAnsi="Calibri" w:cs="Arial"/>
                <w:sz w:val="20"/>
                <w:szCs w:val="20"/>
                <w:lang w:val="en-US"/>
              </w:rPr>
            </w:pPr>
            <w:r w:rsidRPr="00014DB6">
              <w:rPr>
                <w:rFonts w:cstheme="minorHAnsi"/>
                <w:sz w:val="19"/>
                <w:szCs w:val="19"/>
              </w:rPr>
              <w:t xml:space="preserve"> 7</w:t>
            </w:r>
            <w:r>
              <w:rPr>
                <w:rFonts w:cstheme="minorHAnsi"/>
                <w:sz w:val="19"/>
                <w:szCs w:val="19"/>
              </w:rPr>
              <w:t>,</w:t>
            </w:r>
            <w:r w:rsidRPr="00014DB6">
              <w:rPr>
                <w:rFonts w:cstheme="minorHAnsi"/>
                <w:sz w:val="19"/>
                <w:szCs w:val="19"/>
              </w:rPr>
              <w:t xml:space="preserve">501 </w:t>
            </w:r>
          </w:p>
        </w:tc>
        <w:tc>
          <w:tcPr>
            <w:tcW w:w="556" w:type="pct"/>
            <w:tcBorders>
              <w:top w:val="nil"/>
              <w:left w:val="nil"/>
              <w:bottom w:val="nil"/>
              <w:right w:val="nil"/>
            </w:tcBorders>
            <w:shd w:val="clear" w:color="auto" w:fill="auto"/>
            <w:vAlign w:val="bottom"/>
          </w:tcPr>
          <w:p w14:paraId="0B29C95D" w14:textId="599FF2D4" w:rsidR="005F07CF" w:rsidRPr="00F342E3" w:rsidRDefault="005F07CF" w:rsidP="005F07CF">
            <w:pPr>
              <w:tabs>
                <w:tab w:val="right" w:pos="1202"/>
              </w:tabs>
              <w:spacing w:after="0" w:line="240" w:lineRule="exact"/>
              <w:jc w:val="right"/>
              <w:outlineLvl w:val="0"/>
              <w:rPr>
                <w:rFonts w:ascii="Calibri" w:eastAsia="Times New Roman" w:hAnsi="Calibri" w:cs="Arial"/>
                <w:sz w:val="20"/>
                <w:szCs w:val="20"/>
                <w:lang w:val="en-US"/>
              </w:rPr>
            </w:pPr>
            <w:r w:rsidRPr="00014DB6">
              <w:rPr>
                <w:rFonts w:cstheme="minorHAnsi"/>
                <w:sz w:val="19"/>
                <w:szCs w:val="19"/>
              </w:rPr>
              <w:t xml:space="preserve"> - </w:t>
            </w:r>
          </w:p>
        </w:tc>
        <w:tc>
          <w:tcPr>
            <w:tcW w:w="635" w:type="pct"/>
            <w:tcBorders>
              <w:top w:val="nil"/>
              <w:left w:val="nil"/>
              <w:bottom w:val="nil"/>
              <w:right w:val="nil"/>
            </w:tcBorders>
            <w:shd w:val="clear" w:color="auto" w:fill="auto"/>
            <w:vAlign w:val="bottom"/>
          </w:tcPr>
          <w:p w14:paraId="5D1EA7A9" w14:textId="1E3DF267" w:rsidR="005F07CF" w:rsidRPr="00F342E3" w:rsidRDefault="005F07CF" w:rsidP="005F07CF">
            <w:pPr>
              <w:tabs>
                <w:tab w:val="right" w:pos="1202"/>
              </w:tabs>
              <w:spacing w:after="0" w:line="240" w:lineRule="exact"/>
              <w:jc w:val="right"/>
              <w:outlineLvl w:val="0"/>
              <w:rPr>
                <w:rFonts w:ascii="Calibri" w:eastAsia="Times New Roman" w:hAnsi="Calibri" w:cs="Arial"/>
                <w:sz w:val="20"/>
                <w:szCs w:val="20"/>
                <w:lang w:val="en-US"/>
              </w:rPr>
            </w:pPr>
            <w:r w:rsidRPr="00014DB6">
              <w:rPr>
                <w:rFonts w:cstheme="minorHAnsi"/>
                <w:sz w:val="19"/>
                <w:szCs w:val="19"/>
              </w:rPr>
              <w:t xml:space="preserve"> - </w:t>
            </w:r>
          </w:p>
        </w:tc>
        <w:tc>
          <w:tcPr>
            <w:tcW w:w="714" w:type="pct"/>
            <w:tcBorders>
              <w:top w:val="nil"/>
              <w:left w:val="nil"/>
              <w:bottom w:val="nil"/>
              <w:right w:val="nil"/>
            </w:tcBorders>
            <w:shd w:val="clear" w:color="auto" w:fill="auto"/>
            <w:vAlign w:val="bottom"/>
          </w:tcPr>
          <w:p w14:paraId="7C12E50B" w14:textId="6FD00106" w:rsidR="005F07CF" w:rsidRPr="00F342E3" w:rsidRDefault="005F07CF" w:rsidP="005F07CF">
            <w:pPr>
              <w:tabs>
                <w:tab w:val="right" w:pos="1202"/>
              </w:tabs>
              <w:spacing w:after="0" w:line="240" w:lineRule="exact"/>
              <w:jc w:val="right"/>
              <w:outlineLvl w:val="0"/>
              <w:rPr>
                <w:rFonts w:ascii="Calibri" w:eastAsia="Times New Roman" w:hAnsi="Calibri" w:cs="Arial"/>
                <w:sz w:val="20"/>
                <w:szCs w:val="20"/>
                <w:lang w:val="en-US"/>
              </w:rPr>
            </w:pPr>
            <w:r w:rsidRPr="00014DB6">
              <w:rPr>
                <w:rFonts w:cstheme="minorHAnsi"/>
                <w:b/>
                <w:bCs/>
                <w:sz w:val="19"/>
                <w:szCs w:val="19"/>
              </w:rPr>
              <w:t xml:space="preserve"> 7</w:t>
            </w:r>
            <w:r>
              <w:rPr>
                <w:rFonts w:cstheme="minorHAnsi"/>
                <w:b/>
                <w:bCs/>
                <w:sz w:val="19"/>
                <w:szCs w:val="19"/>
              </w:rPr>
              <w:t>,</w:t>
            </w:r>
            <w:r w:rsidRPr="00014DB6">
              <w:rPr>
                <w:rFonts w:cstheme="minorHAnsi"/>
                <w:b/>
                <w:bCs/>
                <w:sz w:val="19"/>
                <w:szCs w:val="19"/>
              </w:rPr>
              <w:t xml:space="preserve">501 </w:t>
            </w:r>
          </w:p>
        </w:tc>
      </w:tr>
      <w:tr w:rsidR="005F07CF" w:rsidRPr="00F342E3" w14:paraId="4502891C" w14:textId="77777777" w:rsidTr="004E5504">
        <w:trPr>
          <w:trHeight w:val="279"/>
        </w:trPr>
        <w:tc>
          <w:tcPr>
            <w:tcW w:w="2459" w:type="pct"/>
            <w:vAlign w:val="bottom"/>
          </w:tcPr>
          <w:p w14:paraId="54115B5C" w14:textId="77777777" w:rsidR="005F07CF" w:rsidRPr="00F342E3" w:rsidRDefault="005F07CF" w:rsidP="005F07CF">
            <w:pPr>
              <w:tabs>
                <w:tab w:val="right" w:pos="1202"/>
              </w:tabs>
              <w:spacing w:after="0" w:line="240" w:lineRule="exact"/>
              <w:outlineLvl w:val="0"/>
              <w:rPr>
                <w:rFonts w:ascii="Calibri" w:eastAsia="Times New Roman" w:hAnsi="Calibri" w:cs="Arial"/>
                <w:sz w:val="20"/>
                <w:szCs w:val="20"/>
                <w:lang w:val="en-US"/>
              </w:rPr>
            </w:pPr>
            <w:r w:rsidRPr="00F342E3">
              <w:rPr>
                <w:rFonts w:ascii="Calibri" w:eastAsia="Times New Roman" w:hAnsi="Calibri" w:cs="Arial"/>
                <w:sz w:val="20"/>
                <w:szCs w:val="20"/>
                <w:lang w:val="en-US"/>
              </w:rPr>
              <w:t>Loss allowances</w:t>
            </w:r>
          </w:p>
        </w:tc>
        <w:tc>
          <w:tcPr>
            <w:tcW w:w="635" w:type="pct"/>
            <w:tcBorders>
              <w:top w:val="nil"/>
              <w:left w:val="nil"/>
              <w:bottom w:val="nil"/>
              <w:right w:val="nil"/>
            </w:tcBorders>
            <w:shd w:val="clear" w:color="auto" w:fill="auto"/>
            <w:vAlign w:val="bottom"/>
          </w:tcPr>
          <w:p w14:paraId="04B60A75" w14:textId="1A1EA9CA" w:rsidR="005F07CF" w:rsidRPr="00F342E3" w:rsidRDefault="005F07CF" w:rsidP="005F07CF">
            <w:pPr>
              <w:tabs>
                <w:tab w:val="right" w:pos="1202"/>
              </w:tabs>
              <w:spacing w:after="0" w:line="240" w:lineRule="exact"/>
              <w:jc w:val="right"/>
              <w:outlineLvl w:val="0"/>
              <w:rPr>
                <w:rFonts w:ascii="Calibri" w:eastAsia="Times New Roman" w:hAnsi="Calibri" w:cs="Arial"/>
                <w:sz w:val="20"/>
                <w:szCs w:val="20"/>
                <w:lang w:val="en-US"/>
              </w:rPr>
            </w:pPr>
            <w:r w:rsidRPr="00014DB6">
              <w:rPr>
                <w:rFonts w:cstheme="minorHAnsi"/>
                <w:sz w:val="19"/>
                <w:szCs w:val="19"/>
              </w:rPr>
              <w:t xml:space="preserve"> (1)</w:t>
            </w:r>
          </w:p>
        </w:tc>
        <w:tc>
          <w:tcPr>
            <w:tcW w:w="556" w:type="pct"/>
            <w:tcBorders>
              <w:top w:val="nil"/>
              <w:left w:val="nil"/>
              <w:bottom w:val="nil"/>
              <w:right w:val="nil"/>
            </w:tcBorders>
            <w:shd w:val="clear" w:color="auto" w:fill="auto"/>
            <w:vAlign w:val="bottom"/>
          </w:tcPr>
          <w:p w14:paraId="56BBE4A6" w14:textId="19AD6D5A" w:rsidR="005F07CF" w:rsidRPr="00F342E3" w:rsidRDefault="005F07CF" w:rsidP="005F07CF">
            <w:pPr>
              <w:tabs>
                <w:tab w:val="right" w:pos="1202"/>
              </w:tabs>
              <w:spacing w:after="0" w:line="240" w:lineRule="exact"/>
              <w:jc w:val="right"/>
              <w:outlineLvl w:val="0"/>
              <w:rPr>
                <w:rFonts w:ascii="Calibri" w:eastAsia="Times New Roman" w:hAnsi="Calibri" w:cs="Arial"/>
                <w:sz w:val="20"/>
                <w:szCs w:val="20"/>
                <w:lang w:val="en-US"/>
              </w:rPr>
            </w:pPr>
            <w:r w:rsidRPr="00014DB6">
              <w:rPr>
                <w:rFonts w:cstheme="minorHAnsi"/>
                <w:sz w:val="19"/>
                <w:szCs w:val="19"/>
              </w:rPr>
              <w:t xml:space="preserve"> - </w:t>
            </w:r>
          </w:p>
        </w:tc>
        <w:tc>
          <w:tcPr>
            <w:tcW w:w="635" w:type="pct"/>
            <w:tcBorders>
              <w:top w:val="nil"/>
              <w:left w:val="nil"/>
              <w:bottom w:val="nil"/>
              <w:right w:val="nil"/>
            </w:tcBorders>
            <w:shd w:val="clear" w:color="auto" w:fill="auto"/>
            <w:vAlign w:val="bottom"/>
          </w:tcPr>
          <w:p w14:paraId="013F97D9" w14:textId="5CA52B4B" w:rsidR="005F07CF" w:rsidRPr="00F342E3" w:rsidRDefault="005F07CF" w:rsidP="005F07CF">
            <w:pPr>
              <w:tabs>
                <w:tab w:val="right" w:pos="1202"/>
              </w:tabs>
              <w:spacing w:after="0" w:line="240" w:lineRule="exact"/>
              <w:jc w:val="right"/>
              <w:outlineLvl w:val="0"/>
              <w:rPr>
                <w:rFonts w:ascii="Calibri" w:eastAsia="Times New Roman" w:hAnsi="Calibri" w:cs="Arial"/>
                <w:sz w:val="20"/>
                <w:szCs w:val="20"/>
                <w:lang w:val="en-US"/>
              </w:rPr>
            </w:pPr>
            <w:r w:rsidRPr="00014DB6">
              <w:rPr>
                <w:rFonts w:cstheme="minorHAnsi"/>
                <w:sz w:val="19"/>
                <w:szCs w:val="19"/>
              </w:rPr>
              <w:t xml:space="preserve"> - </w:t>
            </w:r>
          </w:p>
        </w:tc>
        <w:tc>
          <w:tcPr>
            <w:tcW w:w="714" w:type="pct"/>
            <w:tcBorders>
              <w:top w:val="nil"/>
              <w:left w:val="nil"/>
              <w:bottom w:val="nil"/>
              <w:right w:val="nil"/>
            </w:tcBorders>
            <w:shd w:val="clear" w:color="auto" w:fill="auto"/>
            <w:vAlign w:val="bottom"/>
          </w:tcPr>
          <w:p w14:paraId="7FB10465" w14:textId="4AC7AEBB" w:rsidR="005F07CF" w:rsidRPr="00F342E3" w:rsidRDefault="005F07CF" w:rsidP="005F07CF">
            <w:pPr>
              <w:tabs>
                <w:tab w:val="right" w:pos="1202"/>
              </w:tabs>
              <w:spacing w:after="0" w:line="240" w:lineRule="exact"/>
              <w:jc w:val="right"/>
              <w:outlineLvl w:val="0"/>
              <w:rPr>
                <w:rFonts w:ascii="Calibri" w:eastAsia="Times New Roman" w:hAnsi="Calibri" w:cs="Arial"/>
                <w:sz w:val="20"/>
                <w:szCs w:val="20"/>
                <w:lang w:val="en-US"/>
              </w:rPr>
            </w:pPr>
            <w:r w:rsidRPr="00014DB6">
              <w:rPr>
                <w:rFonts w:cstheme="minorHAnsi"/>
                <w:b/>
                <w:bCs/>
                <w:sz w:val="19"/>
                <w:szCs w:val="19"/>
              </w:rPr>
              <w:t xml:space="preserve"> (1)</w:t>
            </w:r>
          </w:p>
        </w:tc>
      </w:tr>
      <w:tr w:rsidR="005F07CF" w:rsidRPr="00F342E3" w14:paraId="74136DD2" w14:textId="77777777" w:rsidTr="0057419D">
        <w:trPr>
          <w:trHeight w:val="352"/>
        </w:trPr>
        <w:tc>
          <w:tcPr>
            <w:tcW w:w="2459" w:type="pct"/>
            <w:vAlign w:val="bottom"/>
          </w:tcPr>
          <w:p w14:paraId="0D52C447" w14:textId="422F696F" w:rsidR="005F07CF" w:rsidRPr="00F342E3" w:rsidRDefault="005F07CF" w:rsidP="005F07CF">
            <w:pPr>
              <w:tabs>
                <w:tab w:val="right" w:pos="1202"/>
              </w:tabs>
              <w:spacing w:after="0" w:line="240" w:lineRule="exact"/>
              <w:outlineLvl w:val="0"/>
              <w:rPr>
                <w:rFonts w:ascii="Calibri" w:eastAsia="Times New Roman" w:hAnsi="Calibri" w:cs="Arial"/>
                <w:b/>
                <w:iCs/>
                <w:sz w:val="20"/>
                <w:szCs w:val="20"/>
                <w:lang w:val="en-US"/>
              </w:rPr>
            </w:pPr>
            <w:r w:rsidRPr="00F342E3">
              <w:rPr>
                <w:rFonts w:ascii="Calibri" w:eastAsia="Times New Roman" w:hAnsi="Calibri" w:cs="Arial"/>
                <w:b/>
                <w:iCs/>
                <w:sz w:val="20"/>
                <w:szCs w:val="20"/>
                <w:lang w:val="en-US"/>
              </w:rPr>
              <w:t>Balance as of 31 December 202</w:t>
            </w:r>
            <w:r>
              <w:rPr>
                <w:rFonts w:ascii="Calibri" w:eastAsia="Times New Roman" w:hAnsi="Calibri" w:cs="Arial"/>
                <w:b/>
                <w:iCs/>
                <w:sz w:val="20"/>
                <w:szCs w:val="20"/>
                <w:lang w:val="en-US"/>
              </w:rPr>
              <w:t>1</w:t>
            </w:r>
          </w:p>
        </w:tc>
        <w:tc>
          <w:tcPr>
            <w:tcW w:w="635" w:type="pct"/>
            <w:tcBorders>
              <w:top w:val="single" w:sz="4" w:space="0" w:color="auto"/>
              <w:left w:val="nil"/>
              <w:bottom w:val="single" w:sz="12" w:space="0" w:color="auto"/>
              <w:right w:val="nil"/>
            </w:tcBorders>
            <w:shd w:val="clear" w:color="auto" w:fill="auto"/>
            <w:vAlign w:val="bottom"/>
          </w:tcPr>
          <w:p w14:paraId="43A73AB0" w14:textId="15A54307" w:rsidR="005F07CF" w:rsidRPr="00F342E3" w:rsidRDefault="005F07CF" w:rsidP="005F07CF">
            <w:pPr>
              <w:tabs>
                <w:tab w:val="right" w:pos="1202"/>
              </w:tabs>
              <w:spacing w:after="0" w:line="240" w:lineRule="exact"/>
              <w:jc w:val="right"/>
              <w:outlineLvl w:val="0"/>
              <w:rPr>
                <w:rFonts w:ascii="Calibri" w:eastAsia="Times New Roman" w:hAnsi="Calibri" w:cs="Arial"/>
                <w:sz w:val="20"/>
                <w:szCs w:val="20"/>
                <w:lang w:val="en-US"/>
              </w:rPr>
            </w:pPr>
            <w:r w:rsidRPr="00014DB6">
              <w:rPr>
                <w:rFonts w:cstheme="minorHAnsi"/>
                <w:sz w:val="19"/>
                <w:szCs w:val="19"/>
              </w:rPr>
              <w:t xml:space="preserve"> 7</w:t>
            </w:r>
            <w:r>
              <w:rPr>
                <w:rFonts w:cstheme="minorHAnsi"/>
                <w:sz w:val="19"/>
                <w:szCs w:val="19"/>
              </w:rPr>
              <w:t>,</w:t>
            </w:r>
            <w:r w:rsidRPr="00014DB6">
              <w:rPr>
                <w:rFonts w:cstheme="minorHAnsi"/>
                <w:sz w:val="19"/>
                <w:szCs w:val="19"/>
              </w:rPr>
              <w:t xml:space="preserve">500 </w:t>
            </w:r>
          </w:p>
        </w:tc>
        <w:tc>
          <w:tcPr>
            <w:tcW w:w="556" w:type="pct"/>
            <w:tcBorders>
              <w:top w:val="single" w:sz="4" w:space="0" w:color="auto"/>
              <w:left w:val="nil"/>
              <w:bottom w:val="single" w:sz="12" w:space="0" w:color="auto"/>
              <w:right w:val="nil"/>
            </w:tcBorders>
            <w:shd w:val="clear" w:color="auto" w:fill="auto"/>
            <w:vAlign w:val="bottom"/>
          </w:tcPr>
          <w:p w14:paraId="01834749" w14:textId="4894D217" w:rsidR="005F07CF" w:rsidRPr="00F342E3" w:rsidRDefault="005F07CF" w:rsidP="005F07CF">
            <w:pPr>
              <w:tabs>
                <w:tab w:val="right" w:pos="1202"/>
              </w:tabs>
              <w:spacing w:after="0" w:line="240" w:lineRule="exact"/>
              <w:jc w:val="right"/>
              <w:outlineLvl w:val="0"/>
              <w:rPr>
                <w:rFonts w:ascii="Calibri" w:eastAsia="Times New Roman" w:hAnsi="Calibri" w:cs="Arial"/>
                <w:sz w:val="20"/>
                <w:szCs w:val="20"/>
                <w:lang w:val="en-US"/>
              </w:rPr>
            </w:pPr>
            <w:r w:rsidRPr="00014DB6">
              <w:rPr>
                <w:rFonts w:cstheme="minorHAnsi"/>
                <w:sz w:val="19"/>
                <w:szCs w:val="19"/>
              </w:rPr>
              <w:t xml:space="preserve"> - </w:t>
            </w:r>
          </w:p>
        </w:tc>
        <w:tc>
          <w:tcPr>
            <w:tcW w:w="635" w:type="pct"/>
            <w:tcBorders>
              <w:top w:val="single" w:sz="4" w:space="0" w:color="auto"/>
              <w:left w:val="nil"/>
              <w:bottom w:val="single" w:sz="12" w:space="0" w:color="auto"/>
              <w:right w:val="nil"/>
            </w:tcBorders>
            <w:shd w:val="clear" w:color="auto" w:fill="auto"/>
            <w:vAlign w:val="bottom"/>
          </w:tcPr>
          <w:p w14:paraId="24526ABA" w14:textId="6697DD69" w:rsidR="005F07CF" w:rsidRPr="00F342E3" w:rsidRDefault="005F07CF" w:rsidP="005F07CF">
            <w:pPr>
              <w:tabs>
                <w:tab w:val="right" w:pos="1202"/>
              </w:tabs>
              <w:spacing w:after="0" w:line="240" w:lineRule="exact"/>
              <w:jc w:val="right"/>
              <w:outlineLvl w:val="0"/>
              <w:rPr>
                <w:rFonts w:ascii="Calibri" w:eastAsia="Times New Roman" w:hAnsi="Calibri" w:cs="Arial"/>
                <w:sz w:val="20"/>
                <w:szCs w:val="20"/>
                <w:lang w:val="en-US"/>
              </w:rPr>
            </w:pPr>
            <w:r w:rsidRPr="00014DB6">
              <w:rPr>
                <w:rFonts w:cstheme="minorHAnsi"/>
                <w:sz w:val="19"/>
                <w:szCs w:val="19"/>
              </w:rPr>
              <w:t xml:space="preserve"> - </w:t>
            </w:r>
          </w:p>
        </w:tc>
        <w:tc>
          <w:tcPr>
            <w:tcW w:w="714" w:type="pct"/>
            <w:tcBorders>
              <w:top w:val="single" w:sz="4" w:space="0" w:color="auto"/>
              <w:left w:val="nil"/>
              <w:bottom w:val="single" w:sz="12" w:space="0" w:color="auto"/>
              <w:right w:val="nil"/>
            </w:tcBorders>
            <w:shd w:val="clear" w:color="auto" w:fill="auto"/>
            <w:vAlign w:val="bottom"/>
          </w:tcPr>
          <w:p w14:paraId="08D525AF" w14:textId="7B54237D" w:rsidR="005F07CF" w:rsidRPr="00F342E3" w:rsidRDefault="005F07CF" w:rsidP="005F07CF">
            <w:pPr>
              <w:tabs>
                <w:tab w:val="right" w:pos="1202"/>
              </w:tabs>
              <w:spacing w:after="0" w:line="240" w:lineRule="exact"/>
              <w:jc w:val="right"/>
              <w:outlineLvl w:val="0"/>
              <w:rPr>
                <w:rFonts w:ascii="Calibri" w:eastAsia="Times New Roman" w:hAnsi="Calibri" w:cs="Arial"/>
                <w:sz w:val="20"/>
                <w:szCs w:val="20"/>
                <w:lang w:val="en-US"/>
              </w:rPr>
            </w:pPr>
            <w:r w:rsidRPr="00014DB6">
              <w:rPr>
                <w:rFonts w:cstheme="minorHAnsi"/>
                <w:b/>
                <w:bCs/>
                <w:sz w:val="19"/>
                <w:szCs w:val="19"/>
              </w:rPr>
              <w:t xml:space="preserve"> 7</w:t>
            </w:r>
            <w:r>
              <w:rPr>
                <w:rFonts w:cstheme="minorHAnsi"/>
                <w:b/>
                <w:bCs/>
                <w:sz w:val="19"/>
                <w:szCs w:val="19"/>
              </w:rPr>
              <w:t>,</w:t>
            </w:r>
            <w:r w:rsidRPr="00014DB6">
              <w:rPr>
                <w:rFonts w:cstheme="minorHAnsi"/>
                <w:b/>
                <w:bCs/>
                <w:sz w:val="19"/>
                <w:szCs w:val="19"/>
              </w:rPr>
              <w:t xml:space="preserve">500 </w:t>
            </w:r>
          </w:p>
        </w:tc>
      </w:tr>
    </w:tbl>
    <w:p w14:paraId="7E3E5525" w14:textId="77777777" w:rsidR="00987F88" w:rsidRPr="00537128" w:rsidRDefault="00987F88" w:rsidP="00D3297A">
      <w:pPr>
        <w:autoSpaceDE w:val="0"/>
        <w:autoSpaceDN w:val="0"/>
        <w:adjustRightInd w:val="0"/>
        <w:spacing w:after="0" w:line="240" w:lineRule="auto"/>
        <w:jc w:val="both"/>
        <w:rPr>
          <w:noProof/>
          <w:color w:val="000000" w:themeColor="text1"/>
          <w:lang w:val="en-US"/>
        </w:rPr>
      </w:pPr>
    </w:p>
    <w:p w14:paraId="190CC805"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p>
    <w:p w14:paraId="1A622E7A" w14:textId="77777777" w:rsidR="005E1350" w:rsidRPr="00537128" w:rsidRDefault="005E1350" w:rsidP="00D3297A">
      <w:pPr>
        <w:autoSpaceDE w:val="0"/>
        <w:autoSpaceDN w:val="0"/>
        <w:adjustRightInd w:val="0"/>
        <w:spacing w:after="0" w:line="240" w:lineRule="auto"/>
        <w:jc w:val="both"/>
        <w:rPr>
          <w:noProof/>
          <w:color w:val="000000" w:themeColor="text1"/>
          <w:lang w:val="en-US"/>
        </w:rPr>
      </w:pPr>
    </w:p>
    <w:p w14:paraId="439DBCD0" w14:textId="77777777" w:rsidR="005E1350" w:rsidRPr="00537128" w:rsidRDefault="005E1350" w:rsidP="00D3297A">
      <w:pPr>
        <w:autoSpaceDE w:val="0"/>
        <w:autoSpaceDN w:val="0"/>
        <w:adjustRightInd w:val="0"/>
        <w:spacing w:after="0" w:line="240" w:lineRule="auto"/>
        <w:jc w:val="both"/>
        <w:rPr>
          <w:noProof/>
          <w:color w:val="000000" w:themeColor="text1"/>
          <w:lang w:val="en-US"/>
        </w:rPr>
        <w:sectPr w:rsidR="005E1350" w:rsidRPr="00537128">
          <w:pgSz w:w="11906" w:h="16838"/>
          <w:pgMar w:top="1417" w:right="1417" w:bottom="1417" w:left="1417" w:header="708" w:footer="708" w:gutter="0"/>
          <w:cols w:space="708"/>
          <w:docGrid w:linePitch="360"/>
        </w:sectPr>
      </w:pPr>
    </w:p>
    <w:p w14:paraId="15613DC6" w14:textId="77777777" w:rsidR="005E1350" w:rsidRPr="00537128" w:rsidRDefault="005E1350" w:rsidP="005E1350">
      <w:pPr>
        <w:autoSpaceDE w:val="0"/>
        <w:autoSpaceDN w:val="0"/>
        <w:adjustRightInd w:val="0"/>
        <w:spacing w:after="0" w:line="240" w:lineRule="auto"/>
        <w:jc w:val="both"/>
        <w:rPr>
          <w:b/>
          <w:noProof/>
          <w:color w:val="000000" w:themeColor="text1"/>
          <w:lang w:val="en-US"/>
        </w:rPr>
      </w:pPr>
    </w:p>
    <w:p w14:paraId="4E8B8FF9" w14:textId="77777777" w:rsidR="005E1350" w:rsidRPr="00537128" w:rsidRDefault="005E1350" w:rsidP="005B7D9D">
      <w:pPr>
        <w:pStyle w:val="ListParagraph"/>
        <w:numPr>
          <w:ilvl w:val="0"/>
          <w:numId w:val="10"/>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Deposits with other banks (continued)</w:t>
      </w:r>
    </w:p>
    <w:p w14:paraId="5B1F2264" w14:textId="77777777" w:rsidR="005E1350" w:rsidRPr="00537128" w:rsidRDefault="005E1350" w:rsidP="005E1350">
      <w:pPr>
        <w:autoSpaceDE w:val="0"/>
        <w:autoSpaceDN w:val="0"/>
        <w:adjustRightInd w:val="0"/>
        <w:spacing w:after="0" w:line="240" w:lineRule="auto"/>
        <w:jc w:val="both"/>
        <w:rPr>
          <w:b/>
          <w:noProof/>
          <w:color w:val="000000" w:themeColor="text1"/>
          <w:lang w:val="en-US"/>
        </w:rPr>
      </w:pPr>
    </w:p>
    <w:p w14:paraId="5477357C" w14:textId="77777777" w:rsidR="005E1350" w:rsidRPr="00537128" w:rsidRDefault="005E1350" w:rsidP="005E1350">
      <w:pPr>
        <w:tabs>
          <w:tab w:val="left" w:pos="-720"/>
        </w:tabs>
        <w:suppressAutoHyphens/>
        <w:spacing w:after="0" w:line="240" w:lineRule="auto"/>
        <w:rPr>
          <w:rFonts w:ascii="Calibri" w:eastAsia="Times New Roman" w:hAnsi="Calibri" w:cs="Arial"/>
          <w:color w:val="000000" w:themeColor="text1"/>
          <w:spacing w:val="-3"/>
          <w:highlight w:val="yellow"/>
          <w:lang w:val="en-US"/>
        </w:rPr>
      </w:pPr>
      <w:r w:rsidRPr="00537128">
        <w:rPr>
          <w:rFonts w:ascii="Calibri" w:eastAsia="Times New Roman" w:hAnsi="Calibri" w:cs="Arial"/>
          <w:color w:val="000000" w:themeColor="text1"/>
          <w:lang w:val="en-US"/>
        </w:rPr>
        <w:t>The movements in the loss allowances on deposits with other banks may be summarized as follows:</w:t>
      </w:r>
    </w:p>
    <w:p w14:paraId="7C4BCA1C" w14:textId="77777777" w:rsidR="005E1350" w:rsidRPr="00537128" w:rsidRDefault="005E1350" w:rsidP="005E1350">
      <w:pPr>
        <w:tabs>
          <w:tab w:val="left" w:pos="-720"/>
        </w:tabs>
        <w:suppressAutoHyphens/>
        <w:spacing w:after="0" w:line="240" w:lineRule="auto"/>
        <w:ind w:right="-612"/>
        <w:rPr>
          <w:rFonts w:ascii="Calibri" w:eastAsia="Times New Roman" w:hAnsi="Calibri" w:cs="Arial"/>
          <w:color w:val="000000" w:themeColor="text1"/>
          <w:lang w:val="en-US"/>
        </w:rPr>
      </w:pPr>
    </w:p>
    <w:tbl>
      <w:tblPr>
        <w:tblW w:w="4773" w:type="pct"/>
        <w:tblLayout w:type="fixed"/>
        <w:tblLook w:val="0000" w:firstRow="0" w:lastRow="0" w:firstColumn="0" w:lastColumn="0" w:noHBand="0" w:noVBand="0"/>
      </w:tblPr>
      <w:tblGrid>
        <w:gridCol w:w="6237"/>
        <w:gridCol w:w="1418"/>
        <w:gridCol w:w="1275"/>
      </w:tblGrid>
      <w:tr w:rsidR="00C97837" w:rsidRPr="00537128" w14:paraId="24BE2059" w14:textId="77777777" w:rsidTr="00BB7680">
        <w:trPr>
          <w:trHeight w:val="295"/>
        </w:trPr>
        <w:tc>
          <w:tcPr>
            <w:tcW w:w="3492" w:type="pct"/>
          </w:tcPr>
          <w:p w14:paraId="1CD57596" w14:textId="77777777" w:rsidR="00C97837" w:rsidRPr="00537128" w:rsidRDefault="00C97837" w:rsidP="00987F88">
            <w:pPr>
              <w:tabs>
                <w:tab w:val="left" w:pos="-720"/>
              </w:tabs>
              <w:suppressAutoHyphens/>
              <w:spacing w:after="0" w:line="240" w:lineRule="auto"/>
              <w:rPr>
                <w:rFonts w:ascii="Calibri" w:eastAsia="Calibri" w:hAnsi="Calibri" w:cs="Arial"/>
                <w:b/>
                <w:noProof/>
                <w:spacing w:val="-3"/>
                <w:sz w:val="20"/>
                <w:szCs w:val="20"/>
                <w:lang w:val="en-US"/>
              </w:rPr>
            </w:pPr>
          </w:p>
        </w:tc>
        <w:tc>
          <w:tcPr>
            <w:tcW w:w="1508" w:type="pct"/>
            <w:gridSpan w:val="2"/>
            <w:vAlign w:val="bottom"/>
          </w:tcPr>
          <w:p w14:paraId="0875A817" w14:textId="38F30CAC" w:rsidR="00C97837" w:rsidRPr="00537128" w:rsidRDefault="00C97837" w:rsidP="00987F88">
            <w:pPr>
              <w:tabs>
                <w:tab w:val="right" w:pos="1202"/>
              </w:tabs>
              <w:spacing w:after="0" w:line="240" w:lineRule="auto"/>
              <w:jc w:val="right"/>
              <w:outlineLvl w:val="0"/>
              <w:rPr>
                <w:rFonts w:ascii="Calibri" w:eastAsia="Calibri" w:hAnsi="Calibri" w:cs="Arial"/>
                <w:b/>
                <w:noProof/>
                <w:sz w:val="20"/>
                <w:szCs w:val="20"/>
                <w:lang w:val="en-US"/>
              </w:rPr>
            </w:pPr>
            <w:r>
              <w:rPr>
                <w:rFonts w:ascii="Calibri" w:eastAsia="Calibri" w:hAnsi="Calibri" w:cs="Arial"/>
                <w:b/>
                <w:noProof/>
                <w:sz w:val="20"/>
                <w:szCs w:val="20"/>
                <w:lang w:val="en-US"/>
              </w:rPr>
              <w:t xml:space="preserve">Group and </w:t>
            </w:r>
            <w:r w:rsidRPr="00537128">
              <w:rPr>
                <w:rFonts w:ascii="Calibri" w:eastAsia="Calibri" w:hAnsi="Calibri" w:cs="Arial"/>
                <w:b/>
                <w:noProof/>
                <w:sz w:val="20"/>
                <w:szCs w:val="20"/>
                <w:lang w:val="en-US"/>
              </w:rPr>
              <w:t>Bank</w:t>
            </w:r>
          </w:p>
        </w:tc>
      </w:tr>
      <w:tr w:rsidR="00C97837" w:rsidRPr="00537128" w14:paraId="48B4763E" w14:textId="77777777" w:rsidTr="00BB7680">
        <w:trPr>
          <w:trHeight w:val="295"/>
        </w:trPr>
        <w:tc>
          <w:tcPr>
            <w:tcW w:w="3492" w:type="pct"/>
          </w:tcPr>
          <w:p w14:paraId="2CEBAD55" w14:textId="77777777" w:rsidR="00C97837" w:rsidRPr="00537128" w:rsidRDefault="00C97837" w:rsidP="00987F88">
            <w:pPr>
              <w:tabs>
                <w:tab w:val="left" w:pos="-720"/>
              </w:tabs>
              <w:suppressAutoHyphens/>
              <w:spacing w:after="0" w:line="240" w:lineRule="auto"/>
              <w:rPr>
                <w:rFonts w:ascii="Calibri" w:eastAsia="Calibri" w:hAnsi="Calibri" w:cs="Arial"/>
                <w:b/>
                <w:noProof/>
                <w:spacing w:val="-3"/>
                <w:sz w:val="20"/>
                <w:szCs w:val="20"/>
                <w:lang w:val="en-US"/>
              </w:rPr>
            </w:pPr>
          </w:p>
        </w:tc>
        <w:tc>
          <w:tcPr>
            <w:tcW w:w="794" w:type="pct"/>
            <w:vAlign w:val="bottom"/>
          </w:tcPr>
          <w:p w14:paraId="1810FE2D" w14:textId="1D8DB1AB" w:rsidR="00C97837" w:rsidRPr="00537128" w:rsidRDefault="00C97837" w:rsidP="00987F88">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Calibri"/>
                <w:b/>
                <w:bCs/>
                <w:noProof/>
                <w:sz w:val="20"/>
                <w:szCs w:val="20"/>
                <w:lang w:val="en-US"/>
              </w:rPr>
              <w:t>Jan 1 - Mar 31, 202</w:t>
            </w:r>
            <w:r w:rsidR="001B02A9">
              <w:rPr>
                <w:rFonts w:ascii="Calibri" w:eastAsia="Calibri" w:hAnsi="Calibri" w:cs="Calibri"/>
                <w:b/>
                <w:bCs/>
                <w:noProof/>
                <w:sz w:val="20"/>
                <w:szCs w:val="20"/>
                <w:lang w:val="en-US"/>
              </w:rPr>
              <w:t>2</w:t>
            </w:r>
          </w:p>
        </w:tc>
        <w:tc>
          <w:tcPr>
            <w:tcW w:w="714" w:type="pct"/>
            <w:vAlign w:val="bottom"/>
          </w:tcPr>
          <w:p w14:paraId="5EF3C409" w14:textId="0A821A66" w:rsidR="00C97837" w:rsidRPr="00537128" w:rsidRDefault="00C97837" w:rsidP="00987F88">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Calibri"/>
                <w:b/>
                <w:bCs/>
                <w:noProof/>
                <w:sz w:val="20"/>
                <w:szCs w:val="20"/>
                <w:lang w:val="en-US"/>
              </w:rPr>
              <w:t>Jan 1 – Dec 31,  202</w:t>
            </w:r>
            <w:r w:rsidR="001B02A9">
              <w:rPr>
                <w:rFonts w:ascii="Calibri" w:eastAsia="Calibri" w:hAnsi="Calibri" w:cs="Calibri"/>
                <w:b/>
                <w:bCs/>
                <w:noProof/>
                <w:sz w:val="20"/>
                <w:szCs w:val="20"/>
                <w:lang w:val="en-US"/>
              </w:rPr>
              <w:t>1</w:t>
            </w:r>
          </w:p>
        </w:tc>
      </w:tr>
      <w:tr w:rsidR="00C97837" w:rsidRPr="00537128" w14:paraId="5923792E" w14:textId="77777777" w:rsidTr="00BB7680">
        <w:trPr>
          <w:trHeight w:val="295"/>
        </w:trPr>
        <w:tc>
          <w:tcPr>
            <w:tcW w:w="3492" w:type="pct"/>
          </w:tcPr>
          <w:p w14:paraId="4E2914B8" w14:textId="77777777" w:rsidR="00C97837" w:rsidRPr="00537128" w:rsidRDefault="00C97837" w:rsidP="00987F88">
            <w:pPr>
              <w:tabs>
                <w:tab w:val="left" w:pos="-720"/>
              </w:tabs>
              <w:suppressAutoHyphens/>
              <w:spacing w:after="0" w:line="240" w:lineRule="auto"/>
              <w:rPr>
                <w:rFonts w:ascii="Calibri" w:eastAsia="Calibri" w:hAnsi="Calibri" w:cs="Arial"/>
                <w:b/>
                <w:noProof/>
                <w:spacing w:val="-3"/>
                <w:sz w:val="20"/>
                <w:szCs w:val="20"/>
                <w:lang w:val="en-US"/>
              </w:rPr>
            </w:pPr>
          </w:p>
        </w:tc>
        <w:tc>
          <w:tcPr>
            <w:tcW w:w="794" w:type="pct"/>
            <w:vAlign w:val="bottom"/>
          </w:tcPr>
          <w:p w14:paraId="5D82B118" w14:textId="55DDD3F1" w:rsidR="00C97837" w:rsidRPr="00537128" w:rsidRDefault="00C97837" w:rsidP="00987F88">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Arial"/>
                <w:b/>
                <w:bCs/>
                <w:noProof/>
                <w:sz w:val="20"/>
                <w:szCs w:val="20"/>
                <w:lang w:val="en-US"/>
              </w:rPr>
              <w:t xml:space="preserve">HRK </w:t>
            </w:r>
            <w:r w:rsidR="00417C24">
              <w:rPr>
                <w:rFonts w:ascii="Calibri" w:eastAsia="Calibri" w:hAnsi="Calibri" w:cs="Arial"/>
                <w:b/>
                <w:bCs/>
                <w:noProof/>
                <w:sz w:val="20"/>
                <w:szCs w:val="20"/>
                <w:lang w:val="en-US"/>
              </w:rPr>
              <w:t>‘</w:t>
            </w:r>
            <w:r w:rsidRPr="00537128">
              <w:rPr>
                <w:rFonts w:ascii="Calibri" w:eastAsia="Calibri" w:hAnsi="Calibri" w:cs="Arial"/>
                <w:b/>
                <w:bCs/>
                <w:noProof/>
                <w:sz w:val="20"/>
                <w:szCs w:val="20"/>
                <w:lang w:val="en-US"/>
              </w:rPr>
              <w:t>000</w:t>
            </w:r>
          </w:p>
        </w:tc>
        <w:tc>
          <w:tcPr>
            <w:tcW w:w="714" w:type="pct"/>
            <w:vAlign w:val="bottom"/>
          </w:tcPr>
          <w:p w14:paraId="79D0C506" w14:textId="565B38BB" w:rsidR="00C97837" w:rsidRPr="00537128" w:rsidRDefault="00C97837" w:rsidP="00987F88">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Arial"/>
                <w:b/>
                <w:bCs/>
                <w:noProof/>
                <w:sz w:val="20"/>
                <w:szCs w:val="20"/>
                <w:lang w:val="en-US"/>
              </w:rPr>
              <w:t xml:space="preserve">HRK </w:t>
            </w:r>
            <w:r w:rsidR="00417C24">
              <w:rPr>
                <w:rFonts w:ascii="Calibri" w:eastAsia="Calibri" w:hAnsi="Calibri" w:cs="Arial"/>
                <w:b/>
                <w:bCs/>
                <w:noProof/>
                <w:sz w:val="20"/>
                <w:szCs w:val="20"/>
                <w:lang w:val="en-US"/>
              </w:rPr>
              <w:t>‘</w:t>
            </w:r>
            <w:r w:rsidRPr="00537128">
              <w:rPr>
                <w:rFonts w:ascii="Calibri" w:eastAsia="Calibri" w:hAnsi="Calibri" w:cs="Arial"/>
                <w:b/>
                <w:bCs/>
                <w:noProof/>
                <w:sz w:val="20"/>
                <w:szCs w:val="20"/>
                <w:lang w:val="en-US"/>
              </w:rPr>
              <w:t>000</w:t>
            </w:r>
          </w:p>
        </w:tc>
      </w:tr>
      <w:tr w:rsidR="008D1757" w:rsidRPr="00537128" w14:paraId="218B976E" w14:textId="77777777" w:rsidTr="001856B4">
        <w:trPr>
          <w:trHeight w:val="395"/>
        </w:trPr>
        <w:tc>
          <w:tcPr>
            <w:tcW w:w="3492" w:type="pct"/>
            <w:vAlign w:val="bottom"/>
          </w:tcPr>
          <w:p w14:paraId="40ECB93F" w14:textId="77777777" w:rsidR="008D1757" w:rsidRPr="00537128" w:rsidRDefault="008D1757" w:rsidP="008D1757">
            <w:pPr>
              <w:tabs>
                <w:tab w:val="right" w:pos="1202"/>
              </w:tabs>
              <w:spacing w:after="0" w:line="240" w:lineRule="auto"/>
              <w:outlineLvl w:val="0"/>
              <w:rPr>
                <w:rFonts w:ascii="Calibri" w:eastAsia="Calibri" w:hAnsi="Calibri" w:cs="Arial"/>
                <w:bCs/>
                <w:noProof/>
                <w:sz w:val="20"/>
                <w:szCs w:val="20"/>
                <w:lang w:val="en-US"/>
              </w:rPr>
            </w:pPr>
            <w:r w:rsidRPr="00537128">
              <w:rPr>
                <w:rFonts w:ascii="Calibri" w:eastAsia="Calibri" w:hAnsi="Calibri" w:cs="Arial"/>
                <w:bCs/>
                <w:noProof/>
                <w:sz w:val="20"/>
                <w:szCs w:val="20"/>
                <w:lang w:val="en-US"/>
              </w:rPr>
              <w:t xml:space="preserve">Balance as of 1 January </w:t>
            </w:r>
          </w:p>
        </w:tc>
        <w:tc>
          <w:tcPr>
            <w:tcW w:w="794" w:type="pct"/>
            <w:tcBorders>
              <w:top w:val="nil"/>
              <w:left w:val="nil"/>
              <w:bottom w:val="nil"/>
              <w:right w:val="nil"/>
            </w:tcBorders>
            <w:shd w:val="clear" w:color="auto" w:fill="auto"/>
            <w:vAlign w:val="bottom"/>
          </w:tcPr>
          <w:p w14:paraId="1AF1B4C4" w14:textId="0F08B6A9" w:rsidR="008D1757" w:rsidRPr="00537128" w:rsidRDefault="008D1757" w:rsidP="008D1757">
            <w:pPr>
              <w:spacing w:after="0" w:line="240" w:lineRule="auto"/>
              <w:jc w:val="right"/>
              <w:outlineLvl w:val="0"/>
              <w:rPr>
                <w:rFonts w:ascii="Calibri" w:eastAsia="Calibri" w:hAnsi="Calibri" w:cs="Arial"/>
                <w:bCs/>
                <w:noProof/>
                <w:sz w:val="20"/>
                <w:szCs w:val="20"/>
                <w:lang w:val="en-US"/>
              </w:rPr>
            </w:pPr>
            <w:r>
              <w:rPr>
                <w:rFonts w:cstheme="minorHAnsi"/>
                <w:color w:val="000000" w:themeColor="text1"/>
                <w:sz w:val="20"/>
                <w:szCs w:val="20"/>
              </w:rPr>
              <w:t>1</w:t>
            </w:r>
          </w:p>
        </w:tc>
        <w:tc>
          <w:tcPr>
            <w:tcW w:w="714" w:type="pct"/>
            <w:tcBorders>
              <w:top w:val="nil"/>
              <w:left w:val="nil"/>
              <w:bottom w:val="nil"/>
              <w:right w:val="nil"/>
            </w:tcBorders>
            <w:shd w:val="clear" w:color="auto" w:fill="auto"/>
            <w:vAlign w:val="bottom"/>
          </w:tcPr>
          <w:p w14:paraId="45B08FDB" w14:textId="461D392D" w:rsidR="008D1757" w:rsidRPr="00537128" w:rsidRDefault="008D1757" w:rsidP="008D1757">
            <w:pPr>
              <w:spacing w:after="0" w:line="240" w:lineRule="auto"/>
              <w:jc w:val="right"/>
              <w:outlineLvl w:val="0"/>
              <w:rPr>
                <w:rFonts w:ascii="Calibri" w:eastAsia="Calibri" w:hAnsi="Calibri" w:cs="Arial"/>
                <w:bCs/>
                <w:noProof/>
                <w:sz w:val="20"/>
                <w:szCs w:val="20"/>
                <w:lang w:val="en-US"/>
              </w:rPr>
            </w:pPr>
            <w:r w:rsidRPr="004D396C">
              <w:rPr>
                <w:rFonts w:cstheme="minorHAnsi"/>
                <w:color w:val="000000" w:themeColor="text1"/>
                <w:sz w:val="20"/>
                <w:szCs w:val="20"/>
              </w:rPr>
              <w:t>1</w:t>
            </w:r>
          </w:p>
        </w:tc>
      </w:tr>
      <w:tr w:rsidR="008D1757" w:rsidRPr="00537128" w14:paraId="7E0D8E46" w14:textId="77777777" w:rsidTr="001856B4">
        <w:trPr>
          <w:trHeight w:val="291"/>
        </w:trPr>
        <w:tc>
          <w:tcPr>
            <w:tcW w:w="3492" w:type="pct"/>
            <w:vAlign w:val="bottom"/>
          </w:tcPr>
          <w:p w14:paraId="033D2CC2" w14:textId="791C00F8" w:rsidR="008D1757" w:rsidRPr="00537128" w:rsidRDefault="008D1757" w:rsidP="008D1757">
            <w:pPr>
              <w:tabs>
                <w:tab w:val="right" w:pos="1202"/>
              </w:tabs>
              <w:spacing w:after="0" w:line="240" w:lineRule="auto"/>
              <w:outlineLvl w:val="0"/>
              <w:rPr>
                <w:rFonts w:ascii="Calibri" w:eastAsia="Calibri" w:hAnsi="Calibri" w:cs="Arial"/>
                <w:b/>
                <w:bCs/>
                <w:noProof/>
                <w:sz w:val="20"/>
                <w:szCs w:val="20"/>
                <w:lang w:val="en-US"/>
              </w:rPr>
            </w:pPr>
            <w:r w:rsidRPr="00537128">
              <w:rPr>
                <w:rFonts w:ascii="Calibri" w:eastAsia="Calibri" w:hAnsi="Calibri" w:cs="Arial"/>
                <w:noProof/>
                <w:color w:val="000000"/>
                <w:sz w:val="20"/>
                <w:szCs w:val="20"/>
                <w:lang w:val="en-US"/>
              </w:rPr>
              <w:t xml:space="preserve">Net (decrease) of </w:t>
            </w:r>
            <w:r w:rsidRPr="00537128">
              <w:rPr>
                <w:rFonts w:ascii="Calibri" w:eastAsia="Calibri" w:hAnsi="Calibri" w:cs="Arial"/>
                <w:noProof/>
                <w:sz w:val="20"/>
                <w:szCs w:val="20"/>
                <w:lang w:val="en-US"/>
              </w:rPr>
              <w:t xml:space="preserve">loss allowances </w:t>
            </w:r>
            <w:r w:rsidRPr="00537128">
              <w:rPr>
                <w:rFonts w:ascii="Calibri" w:eastAsia="Calibri" w:hAnsi="Calibri" w:cs="Arial"/>
                <w:noProof/>
                <w:color w:val="000000"/>
                <w:sz w:val="20"/>
                <w:szCs w:val="20"/>
                <w:lang w:val="en-US"/>
              </w:rPr>
              <w:t>on deposits with other banks</w:t>
            </w:r>
          </w:p>
        </w:tc>
        <w:tc>
          <w:tcPr>
            <w:tcW w:w="794" w:type="pct"/>
            <w:tcBorders>
              <w:top w:val="nil"/>
              <w:left w:val="nil"/>
              <w:bottom w:val="nil"/>
              <w:right w:val="nil"/>
            </w:tcBorders>
            <w:shd w:val="clear" w:color="auto" w:fill="auto"/>
            <w:vAlign w:val="bottom"/>
          </w:tcPr>
          <w:p w14:paraId="575D83A8" w14:textId="5C5417D5" w:rsidR="008D1757" w:rsidRPr="00537128" w:rsidRDefault="008D1757" w:rsidP="008D1757">
            <w:pPr>
              <w:spacing w:after="0" w:line="240" w:lineRule="auto"/>
              <w:jc w:val="right"/>
              <w:outlineLvl w:val="0"/>
              <w:rPr>
                <w:rFonts w:ascii="Calibri" w:eastAsia="Calibri" w:hAnsi="Calibri" w:cs="Arial"/>
                <w:bCs/>
                <w:noProof/>
                <w:sz w:val="20"/>
                <w:szCs w:val="20"/>
                <w:lang w:val="en-US"/>
              </w:rPr>
            </w:pPr>
            <w:r>
              <w:rPr>
                <w:rFonts w:cstheme="minorHAnsi"/>
                <w:color w:val="000000" w:themeColor="text1"/>
                <w:sz w:val="20"/>
                <w:szCs w:val="20"/>
              </w:rPr>
              <w:t>(1)</w:t>
            </w:r>
          </w:p>
        </w:tc>
        <w:tc>
          <w:tcPr>
            <w:tcW w:w="714" w:type="pct"/>
            <w:tcBorders>
              <w:top w:val="nil"/>
              <w:left w:val="nil"/>
              <w:right w:val="nil"/>
            </w:tcBorders>
            <w:shd w:val="clear" w:color="auto" w:fill="auto"/>
            <w:vAlign w:val="bottom"/>
          </w:tcPr>
          <w:p w14:paraId="3990AB6F" w14:textId="7EBAF3C6" w:rsidR="008D1757" w:rsidRPr="00537128" w:rsidRDefault="008D1757" w:rsidP="008D1757">
            <w:pPr>
              <w:spacing w:after="0" w:line="240" w:lineRule="auto"/>
              <w:jc w:val="right"/>
              <w:outlineLvl w:val="0"/>
              <w:rPr>
                <w:rFonts w:ascii="Calibri" w:eastAsia="Calibri" w:hAnsi="Calibri" w:cs="Arial"/>
                <w:bCs/>
                <w:noProof/>
                <w:sz w:val="20"/>
                <w:szCs w:val="20"/>
                <w:lang w:val="en-US"/>
              </w:rPr>
            </w:pPr>
            <w:r w:rsidRPr="004D396C">
              <w:rPr>
                <w:rFonts w:cstheme="minorHAnsi"/>
                <w:color w:val="000000" w:themeColor="text1"/>
                <w:sz w:val="20"/>
                <w:szCs w:val="20"/>
              </w:rPr>
              <w:t>(1)</w:t>
            </w:r>
          </w:p>
        </w:tc>
      </w:tr>
      <w:tr w:rsidR="008D1757" w:rsidRPr="00537128" w14:paraId="795BE384" w14:textId="77777777" w:rsidTr="00BB7680">
        <w:trPr>
          <w:trHeight w:val="395"/>
        </w:trPr>
        <w:tc>
          <w:tcPr>
            <w:tcW w:w="3492" w:type="pct"/>
            <w:vAlign w:val="bottom"/>
          </w:tcPr>
          <w:p w14:paraId="6918022C" w14:textId="04FDC8FF" w:rsidR="008D1757" w:rsidRPr="00537128" w:rsidRDefault="008D1757" w:rsidP="008D1757">
            <w:pPr>
              <w:tabs>
                <w:tab w:val="right" w:pos="1202"/>
              </w:tabs>
              <w:spacing w:after="0" w:line="240" w:lineRule="auto"/>
              <w:outlineLvl w:val="0"/>
              <w:rPr>
                <w:rFonts w:ascii="Calibri" w:eastAsia="Calibri" w:hAnsi="Calibri" w:cs="Arial"/>
                <w:i/>
                <w:noProof/>
                <w:sz w:val="20"/>
                <w:szCs w:val="20"/>
                <w:lang w:val="en-US"/>
              </w:rPr>
            </w:pPr>
            <w:r w:rsidRPr="00537128">
              <w:rPr>
                <w:rFonts w:ascii="Calibri" w:eastAsia="Calibri" w:hAnsi="Calibri" w:cs="Calibri"/>
                <w:i/>
                <w:noProof/>
                <w:sz w:val="20"/>
                <w:szCs w:val="20"/>
                <w:lang w:val="en-US"/>
              </w:rPr>
              <w:t xml:space="preserve">Total recognised through Income Statement </w:t>
            </w:r>
            <w:r w:rsidRPr="003C2D4E">
              <w:rPr>
                <w:rFonts w:ascii="Calibri" w:eastAsia="Calibri" w:hAnsi="Calibri" w:cs="Calibri"/>
                <w:i/>
                <w:noProof/>
                <w:sz w:val="20"/>
                <w:szCs w:val="20"/>
                <w:lang w:val="en-US"/>
              </w:rPr>
              <w:t>(</w:t>
            </w:r>
            <w:r w:rsidRPr="00A1123E">
              <w:rPr>
                <w:rFonts w:ascii="Calibri" w:eastAsia="Calibri" w:hAnsi="Calibri" w:cs="Calibri"/>
                <w:i/>
                <w:noProof/>
                <w:sz w:val="20"/>
                <w:szCs w:val="20"/>
                <w:lang w:val="en-US"/>
              </w:rPr>
              <w:t>Note 8</w:t>
            </w:r>
            <w:r w:rsidRPr="003C2D4E">
              <w:rPr>
                <w:rFonts w:ascii="Calibri" w:eastAsia="Calibri" w:hAnsi="Calibri" w:cs="Calibri"/>
                <w:i/>
                <w:noProof/>
                <w:sz w:val="20"/>
                <w:szCs w:val="20"/>
                <w:lang w:val="en-US"/>
              </w:rPr>
              <w:t>)</w:t>
            </w:r>
          </w:p>
        </w:tc>
        <w:tc>
          <w:tcPr>
            <w:tcW w:w="794" w:type="pct"/>
            <w:tcBorders>
              <w:top w:val="single" w:sz="4" w:space="0" w:color="auto"/>
              <w:left w:val="nil"/>
              <w:bottom w:val="single" w:sz="4" w:space="0" w:color="auto"/>
              <w:right w:val="nil"/>
            </w:tcBorders>
            <w:shd w:val="clear" w:color="auto" w:fill="auto"/>
            <w:vAlign w:val="bottom"/>
          </w:tcPr>
          <w:p w14:paraId="559A024D" w14:textId="21232730" w:rsidR="008D1757" w:rsidRPr="00537128" w:rsidRDefault="008D1757" w:rsidP="008D1757">
            <w:pPr>
              <w:spacing w:after="0" w:line="240" w:lineRule="auto"/>
              <w:jc w:val="right"/>
              <w:outlineLvl w:val="0"/>
              <w:rPr>
                <w:rFonts w:ascii="Calibri" w:eastAsia="Calibri" w:hAnsi="Calibri" w:cs="Arial"/>
                <w:bCs/>
                <w:i/>
                <w:noProof/>
                <w:sz w:val="20"/>
                <w:szCs w:val="20"/>
                <w:lang w:val="en-US"/>
              </w:rPr>
            </w:pPr>
            <w:r>
              <w:rPr>
                <w:rFonts w:cstheme="minorHAnsi"/>
                <w:bCs/>
                <w:i/>
                <w:color w:val="000000" w:themeColor="text1"/>
                <w:sz w:val="20"/>
                <w:szCs w:val="20"/>
              </w:rPr>
              <w:t>(1)</w:t>
            </w:r>
          </w:p>
        </w:tc>
        <w:tc>
          <w:tcPr>
            <w:tcW w:w="714" w:type="pct"/>
            <w:tcBorders>
              <w:top w:val="single" w:sz="4" w:space="0" w:color="auto"/>
              <w:left w:val="nil"/>
              <w:bottom w:val="single" w:sz="4" w:space="0" w:color="auto"/>
              <w:right w:val="nil"/>
            </w:tcBorders>
            <w:shd w:val="clear" w:color="auto" w:fill="auto"/>
            <w:vAlign w:val="bottom"/>
          </w:tcPr>
          <w:p w14:paraId="10571F63" w14:textId="2041E895" w:rsidR="008D1757" w:rsidRPr="00537128" w:rsidRDefault="008D1757" w:rsidP="008D1757">
            <w:pPr>
              <w:spacing w:after="0" w:line="240" w:lineRule="auto"/>
              <w:jc w:val="right"/>
              <w:outlineLvl w:val="0"/>
              <w:rPr>
                <w:rFonts w:ascii="Calibri" w:eastAsia="Calibri" w:hAnsi="Calibri" w:cs="Arial"/>
                <w:bCs/>
                <w:i/>
                <w:noProof/>
                <w:sz w:val="20"/>
                <w:szCs w:val="20"/>
                <w:lang w:val="en-US"/>
              </w:rPr>
            </w:pPr>
            <w:r w:rsidRPr="004D396C">
              <w:rPr>
                <w:rFonts w:cstheme="minorHAnsi"/>
                <w:bCs/>
                <w:i/>
                <w:color w:val="000000" w:themeColor="text1"/>
                <w:sz w:val="20"/>
                <w:szCs w:val="20"/>
              </w:rPr>
              <w:t>(1)</w:t>
            </w:r>
          </w:p>
        </w:tc>
      </w:tr>
      <w:tr w:rsidR="008D1757" w:rsidRPr="00537128" w14:paraId="00D3AD98" w14:textId="77777777" w:rsidTr="001856B4">
        <w:trPr>
          <w:trHeight w:val="415"/>
        </w:trPr>
        <w:tc>
          <w:tcPr>
            <w:tcW w:w="3492" w:type="pct"/>
            <w:vAlign w:val="bottom"/>
          </w:tcPr>
          <w:p w14:paraId="553434E4" w14:textId="77777777" w:rsidR="008D1757" w:rsidRPr="00537128" w:rsidRDefault="008D1757" w:rsidP="008D1757">
            <w:pPr>
              <w:tabs>
                <w:tab w:val="right" w:pos="1202"/>
              </w:tabs>
              <w:spacing w:after="0" w:line="240" w:lineRule="auto"/>
              <w:outlineLvl w:val="0"/>
              <w:rPr>
                <w:rFonts w:ascii="Calibri" w:eastAsia="Calibri" w:hAnsi="Calibri" w:cs="Arial"/>
                <w:noProof/>
                <w:sz w:val="20"/>
                <w:szCs w:val="20"/>
                <w:lang w:val="en-US"/>
              </w:rPr>
            </w:pPr>
            <w:r w:rsidRPr="00537128">
              <w:rPr>
                <w:rFonts w:ascii="Calibri" w:eastAsia="Calibri" w:hAnsi="Calibri" w:cs="Arial"/>
                <w:noProof/>
                <w:sz w:val="20"/>
                <w:szCs w:val="20"/>
                <w:lang w:val="en-US"/>
              </w:rPr>
              <w:t>Net foreign exchange gain/loss on loss allowances</w:t>
            </w:r>
          </w:p>
        </w:tc>
        <w:tc>
          <w:tcPr>
            <w:tcW w:w="794" w:type="pct"/>
            <w:tcBorders>
              <w:top w:val="single" w:sz="4" w:space="0" w:color="auto"/>
              <w:left w:val="nil"/>
              <w:bottom w:val="single" w:sz="4" w:space="0" w:color="auto"/>
              <w:right w:val="nil"/>
            </w:tcBorders>
            <w:vAlign w:val="bottom"/>
          </w:tcPr>
          <w:p w14:paraId="58379F62" w14:textId="5CA329FD" w:rsidR="008D1757" w:rsidRPr="00537128" w:rsidRDefault="008D1757" w:rsidP="008D1757">
            <w:pPr>
              <w:spacing w:after="0" w:line="240" w:lineRule="auto"/>
              <w:jc w:val="right"/>
              <w:outlineLvl w:val="0"/>
              <w:rPr>
                <w:rFonts w:ascii="Calibri" w:eastAsia="Calibri" w:hAnsi="Calibri" w:cs="Arial"/>
                <w:bCs/>
                <w:noProof/>
                <w:sz w:val="20"/>
                <w:szCs w:val="20"/>
                <w:lang w:val="en-US"/>
              </w:rPr>
            </w:pPr>
            <w:r>
              <w:rPr>
                <w:rFonts w:cstheme="minorHAnsi"/>
                <w:color w:val="000000" w:themeColor="text1"/>
                <w:sz w:val="20"/>
                <w:szCs w:val="20"/>
              </w:rPr>
              <w:t>2</w:t>
            </w:r>
          </w:p>
        </w:tc>
        <w:tc>
          <w:tcPr>
            <w:tcW w:w="714" w:type="pct"/>
            <w:tcBorders>
              <w:top w:val="single" w:sz="4" w:space="0" w:color="auto"/>
              <w:left w:val="nil"/>
              <w:bottom w:val="single" w:sz="4" w:space="0" w:color="auto"/>
              <w:right w:val="nil"/>
            </w:tcBorders>
            <w:shd w:val="clear" w:color="auto" w:fill="auto"/>
            <w:vAlign w:val="bottom"/>
          </w:tcPr>
          <w:p w14:paraId="68EA5534" w14:textId="4280AA58" w:rsidR="008D1757" w:rsidRPr="00537128" w:rsidRDefault="008D1757" w:rsidP="008D1757">
            <w:pPr>
              <w:spacing w:after="0" w:line="240" w:lineRule="auto"/>
              <w:jc w:val="right"/>
              <w:outlineLvl w:val="0"/>
              <w:rPr>
                <w:rFonts w:ascii="Calibri" w:eastAsia="Calibri" w:hAnsi="Calibri" w:cs="Arial"/>
                <w:bCs/>
                <w:noProof/>
                <w:sz w:val="20"/>
                <w:szCs w:val="20"/>
                <w:lang w:val="en-US"/>
              </w:rPr>
            </w:pPr>
            <w:r w:rsidRPr="004D396C">
              <w:rPr>
                <w:rFonts w:cstheme="minorHAnsi"/>
                <w:color w:val="000000" w:themeColor="text1"/>
                <w:sz w:val="20"/>
                <w:szCs w:val="20"/>
              </w:rPr>
              <w:t>1</w:t>
            </w:r>
          </w:p>
        </w:tc>
      </w:tr>
      <w:tr w:rsidR="008D1757" w:rsidRPr="00537128" w14:paraId="5B0548B3" w14:textId="77777777" w:rsidTr="001856B4">
        <w:trPr>
          <w:trHeight w:val="420"/>
        </w:trPr>
        <w:tc>
          <w:tcPr>
            <w:tcW w:w="3492" w:type="pct"/>
            <w:vAlign w:val="bottom"/>
          </w:tcPr>
          <w:p w14:paraId="53B763CE" w14:textId="77777777" w:rsidR="008D1757" w:rsidRPr="00537128" w:rsidRDefault="008D1757" w:rsidP="008D1757">
            <w:pPr>
              <w:tabs>
                <w:tab w:val="right" w:pos="1202"/>
              </w:tabs>
              <w:spacing w:after="0" w:line="240" w:lineRule="auto"/>
              <w:outlineLvl w:val="0"/>
              <w:rPr>
                <w:rFonts w:ascii="Calibri" w:eastAsia="Calibri" w:hAnsi="Calibri" w:cs="Arial"/>
                <w:noProof/>
                <w:sz w:val="20"/>
                <w:szCs w:val="20"/>
                <w:lang w:val="en-US"/>
              </w:rPr>
            </w:pPr>
            <w:r w:rsidRPr="00537128">
              <w:rPr>
                <w:rFonts w:ascii="Calibri" w:eastAsia="Calibri" w:hAnsi="Calibri" w:cs="Arial"/>
                <w:b/>
                <w:bCs/>
                <w:noProof/>
                <w:sz w:val="20"/>
                <w:szCs w:val="20"/>
                <w:lang w:val="en-US"/>
              </w:rPr>
              <w:t>Balance at the end of the reporting period</w:t>
            </w:r>
          </w:p>
        </w:tc>
        <w:tc>
          <w:tcPr>
            <w:tcW w:w="794" w:type="pct"/>
            <w:tcBorders>
              <w:top w:val="single" w:sz="4" w:space="0" w:color="auto"/>
              <w:left w:val="nil"/>
              <w:bottom w:val="single" w:sz="12" w:space="0" w:color="auto"/>
              <w:right w:val="nil"/>
            </w:tcBorders>
            <w:vAlign w:val="bottom"/>
          </w:tcPr>
          <w:p w14:paraId="4CAA15E2" w14:textId="7A8EA8AC" w:rsidR="008D1757" w:rsidRPr="00537128" w:rsidRDefault="008D1757" w:rsidP="008D1757">
            <w:pPr>
              <w:spacing w:after="0" w:line="240" w:lineRule="auto"/>
              <w:jc w:val="right"/>
              <w:outlineLvl w:val="0"/>
              <w:rPr>
                <w:rFonts w:ascii="Calibri" w:eastAsia="Calibri" w:hAnsi="Calibri" w:cs="Arial"/>
                <w:b/>
                <w:bCs/>
                <w:noProof/>
                <w:sz w:val="20"/>
                <w:szCs w:val="20"/>
                <w:lang w:val="en-US"/>
              </w:rPr>
            </w:pPr>
            <w:r>
              <w:rPr>
                <w:rFonts w:cstheme="minorHAnsi"/>
                <w:b/>
                <w:color w:val="000000" w:themeColor="text1"/>
                <w:sz w:val="20"/>
                <w:szCs w:val="20"/>
              </w:rPr>
              <w:t>2</w:t>
            </w:r>
          </w:p>
        </w:tc>
        <w:tc>
          <w:tcPr>
            <w:tcW w:w="714" w:type="pct"/>
            <w:tcBorders>
              <w:top w:val="single" w:sz="4" w:space="0" w:color="auto"/>
              <w:left w:val="nil"/>
              <w:bottom w:val="single" w:sz="12" w:space="0" w:color="auto"/>
              <w:right w:val="nil"/>
            </w:tcBorders>
            <w:shd w:val="clear" w:color="auto" w:fill="auto"/>
            <w:vAlign w:val="bottom"/>
          </w:tcPr>
          <w:p w14:paraId="34166AA0" w14:textId="5D086427" w:rsidR="008D1757" w:rsidRPr="00537128" w:rsidRDefault="008D1757" w:rsidP="008D1757">
            <w:pPr>
              <w:spacing w:after="0" w:line="240" w:lineRule="auto"/>
              <w:jc w:val="right"/>
              <w:outlineLvl w:val="0"/>
              <w:rPr>
                <w:rFonts w:ascii="Calibri" w:eastAsia="Calibri" w:hAnsi="Calibri" w:cs="Arial"/>
                <w:b/>
                <w:bCs/>
                <w:noProof/>
                <w:sz w:val="20"/>
                <w:szCs w:val="20"/>
                <w:lang w:val="en-US"/>
              </w:rPr>
            </w:pPr>
            <w:r w:rsidRPr="004D396C">
              <w:rPr>
                <w:rFonts w:cstheme="minorHAnsi"/>
                <w:b/>
                <w:color w:val="000000" w:themeColor="text1"/>
                <w:sz w:val="20"/>
                <w:szCs w:val="20"/>
              </w:rPr>
              <w:t>1</w:t>
            </w:r>
          </w:p>
        </w:tc>
      </w:tr>
    </w:tbl>
    <w:p w14:paraId="43E518AA" w14:textId="77777777" w:rsidR="005E1350" w:rsidRPr="00537128" w:rsidRDefault="005E1350" w:rsidP="005E1350">
      <w:pPr>
        <w:autoSpaceDE w:val="0"/>
        <w:autoSpaceDN w:val="0"/>
        <w:adjustRightInd w:val="0"/>
        <w:spacing w:after="0" w:line="240" w:lineRule="auto"/>
        <w:jc w:val="both"/>
        <w:rPr>
          <w:noProof/>
          <w:color w:val="000000" w:themeColor="text1"/>
          <w:lang w:val="en-US"/>
        </w:rPr>
      </w:pPr>
    </w:p>
    <w:p w14:paraId="46F013EA" w14:textId="77777777" w:rsidR="005E1350" w:rsidRPr="00537128" w:rsidRDefault="005E1350" w:rsidP="005E1350">
      <w:pPr>
        <w:autoSpaceDE w:val="0"/>
        <w:autoSpaceDN w:val="0"/>
        <w:adjustRightInd w:val="0"/>
        <w:spacing w:after="0" w:line="240" w:lineRule="auto"/>
        <w:jc w:val="both"/>
        <w:rPr>
          <w:noProof/>
          <w:color w:val="000000" w:themeColor="text1"/>
          <w:lang w:val="en-US"/>
        </w:rPr>
      </w:pPr>
    </w:p>
    <w:p w14:paraId="0338CFE7" w14:textId="5747A86C" w:rsidR="005E1350" w:rsidRPr="00537128" w:rsidRDefault="005E1350" w:rsidP="005E1350">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Net foreign exchange gain/loss on loss allowances are shown within net gains/(losses) from financial activities in the Income Statement</w:t>
      </w:r>
      <w:r w:rsidR="00E17188">
        <w:rPr>
          <w:noProof/>
          <w:color w:val="000000" w:themeColor="text1"/>
          <w:lang w:val="en-US"/>
        </w:rPr>
        <w:t>.</w:t>
      </w:r>
    </w:p>
    <w:p w14:paraId="358C86DE" w14:textId="77777777" w:rsidR="005E1350" w:rsidRPr="00537128" w:rsidRDefault="005E1350" w:rsidP="005E1350">
      <w:pPr>
        <w:autoSpaceDE w:val="0"/>
        <w:autoSpaceDN w:val="0"/>
        <w:adjustRightInd w:val="0"/>
        <w:spacing w:after="0" w:line="240" w:lineRule="auto"/>
        <w:jc w:val="both"/>
        <w:rPr>
          <w:noProof/>
          <w:color w:val="000000" w:themeColor="text1"/>
          <w:lang w:val="en-US"/>
        </w:rPr>
      </w:pPr>
    </w:p>
    <w:p w14:paraId="6B1EC418" w14:textId="77777777" w:rsidR="005E1350" w:rsidRPr="00537128" w:rsidRDefault="005E1350" w:rsidP="005E1350">
      <w:pPr>
        <w:autoSpaceDE w:val="0"/>
        <w:autoSpaceDN w:val="0"/>
        <w:adjustRightInd w:val="0"/>
        <w:spacing w:after="0" w:line="240" w:lineRule="auto"/>
        <w:jc w:val="both"/>
        <w:rPr>
          <w:noProof/>
          <w:color w:val="000000" w:themeColor="text1"/>
          <w:lang w:val="en-US"/>
        </w:rPr>
      </w:pPr>
    </w:p>
    <w:p w14:paraId="1655CE93" w14:textId="77777777" w:rsidR="005E1350" w:rsidRPr="00537128" w:rsidRDefault="005E1350" w:rsidP="005E1350">
      <w:pPr>
        <w:keepNext/>
        <w:spacing w:after="0" w:line="240" w:lineRule="auto"/>
        <w:jc w:val="both"/>
        <w:rPr>
          <w:rFonts w:ascii="Calibri" w:eastAsia="Times New Roman" w:hAnsi="Calibri" w:cs="Arial"/>
          <w:b/>
          <w:bCs/>
          <w:color w:val="000000" w:themeColor="text1"/>
          <w:lang w:val="en-US"/>
        </w:rPr>
        <w:sectPr w:rsidR="005E1350" w:rsidRPr="00537128" w:rsidSect="007C40E2">
          <w:pgSz w:w="11907" w:h="16840" w:code="9"/>
          <w:pgMar w:top="1418" w:right="1134" w:bottom="1134" w:left="1418" w:header="851" w:footer="851" w:gutter="0"/>
          <w:cols w:space="720"/>
          <w:noEndnote/>
        </w:sectPr>
      </w:pPr>
    </w:p>
    <w:p w14:paraId="74E288A2" w14:textId="77777777" w:rsidR="005E1350" w:rsidRPr="00537128" w:rsidRDefault="005E1350" w:rsidP="00D3297A">
      <w:pPr>
        <w:autoSpaceDE w:val="0"/>
        <w:autoSpaceDN w:val="0"/>
        <w:adjustRightInd w:val="0"/>
        <w:spacing w:after="0" w:line="240" w:lineRule="auto"/>
        <w:jc w:val="both"/>
        <w:rPr>
          <w:noProof/>
          <w:color w:val="000000" w:themeColor="text1"/>
          <w:lang w:val="en-US"/>
        </w:rPr>
      </w:pPr>
    </w:p>
    <w:p w14:paraId="31A0A7A3" w14:textId="77777777" w:rsidR="005E1350" w:rsidRPr="00537128" w:rsidRDefault="005E1350" w:rsidP="005B7D9D">
      <w:pPr>
        <w:pStyle w:val="ListParagraph"/>
        <w:numPr>
          <w:ilvl w:val="0"/>
          <w:numId w:val="10"/>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Loans to financial institutions</w:t>
      </w:r>
    </w:p>
    <w:p w14:paraId="7B4BEA8F" w14:textId="77777777" w:rsidR="005E1350" w:rsidRPr="00537128" w:rsidRDefault="005E1350" w:rsidP="00FB32CA">
      <w:pPr>
        <w:autoSpaceDE w:val="0"/>
        <w:autoSpaceDN w:val="0"/>
        <w:adjustRightInd w:val="0"/>
        <w:spacing w:after="0" w:line="240" w:lineRule="auto"/>
        <w:jc w:val="both"/>
        <w:rPr>
          <w:noProof/>
          <w:color w:val="000000" w:themeColor="text1"/>
          <w:lang w:val="en-US"/>
        </w:rPr>
      </w:pPr>
    </w:p>
    <w:tbl>
      <w:tblPr>
        <w:tblW w:w="4440" w:type="pct"/>
        <w:tblInd w:w="567" w:type="dxa"/>
        <w:tblLayout w:type="fixed"/>
        <w:tblCellMar>
          <w:left w:w="119" w:type="dxa"/>
          <w:right w:w="119" w:type="dxa"/>
        </w:tblCellMar>
        <w:tblLook w:val="0000" w:firstRow="0" w:lastRow="0" w:firstColumn="0" w:lastColumn="0" w:noHBand="0" w:noVBand="0"/>
      </w:tblPr>
      <w:tblGrid>
        <w:gridCol w:w="4717"/>
        <w:gridCol w:w="1671"/>
        <w:gridCol w:w="1668"/>
      </w:tblGrid>
      <w:tr w:rsidR="00987F88" w:rsidRPr="00537128" w14:paraId="763B0CFE" w14:textId="77777777" w:rsidTr="00D873D7">
        <w:trPr>
          <w:trHeight w:val="134"/>
        </w:trPr>
        <w:tc>
          <w:tcPr>
            <w:tcW w:w="2928" w:type="pct"/>
          </w:tcPr>
          <w:p w14:paraId="5EC343F8" w14:textId="77777777" w:rsidR="00987F88" w:rsidRPr="00537128" w:rsidRDefault="00987F88" w:rsidP="00987F88">
            <w:pPr>
              <w:tabs>
                <w:tab w:val="left" w:pos="-720"/>
              </w:tabs>
              <w:suppressAutoHyphens/>
              <w:spacing w:after="0" w:line="280" w:lineRule="exact"/>
              <w:jc w:val="right"/>
              <w:rPr>
                <w:rFonts w:ascii="Calibri" w:eastAsia="Times New Roman" w:hAnsi="Calibri" w:cs="Arial"/>
                <w:spacing w:val="-3"/>
                <w:lang w:val="en-US"/>
              </w:rPr>
            </w:pPr>
          </w:p>
        </w:tc>
        <w:tc>
          <w:tcPr>
            <w:tcW w:w="2072" w:type="pct"/>
            <w:gridSpan w:val="2"/>
          </w:tcPr>
          <w:p w14:paraId="04135F48" w14:textId="77777777" w:rsidR="00987F88" w:rsidRPr="00537128" w:rsidRDefault="00987F88" w:rsidP="00987F88">
            <w:pPr>
              <w:tabs>
                <w:tab w:val="right" w:pos="1202"/>
              </w:tabs>
              <w:spacing w:after="0" w:line="240" w:lineRule="atLeast"/>
              <w:jc w:val="right"/>
              <w:outlineLvl w:val="0"/>
              <w:rPr>
                <w:rFonts w:ascii="Calibri" w:eastAsia="Times New Roman" w:hAnsi="Calibri" w:cs="Arial"/>
                <w:b/>
                <w:lang w:val="en-US"/>
              </w:rPr>
            </w:pPr>
            <w:bookmarkStart w:id="313" w:name="_Toc4058450"/>
            <w:r w:rsidRPr="00537128">
              <w:rPr>
                <w:rFonts w:ascii="Calibri" w:eastAsia="Times New Roman" w:hAnsi="Calibri" w:cs="Arial"/>
                <w:b/>
                <w:lang w:val="en-US"/>
              </w:rPr>
              <w:t>Group and Bank</w:t>
            </w:r>
            <w:bookmarkEnd w:id="313"/>
          </w:p>
        </w:tc>
      </w:tr>
      <w:tr w:rsidR="00987F88" w:rsidRPr="00537128" w14:paraId="2CF23AE2" w14:textId="77777777" w:rsidTr="00D873D7">
        <w:trPr>
          <w:trHeight w:val="75"/>
        </w:trPr>
        <w:tc>
          <w:tcPr>
            <w:tcW w:w="2928" w:type="pct"/>
          </w:tcPr>
          <w:p w14:paraId="526E632F" w14:textId="77777777" w:rsidR="00987F88" w:rsidRPr="00537128" w:rsidRDefault="00987F88" w:rsidP="00987F88">
            <w:pPr>
              <w:tabs>
                <w:tab w:val="left" w:pos="-720"/>
              </w:tabs>
              <w:suppressAutoHyphens/>
              <w:spacing w:after="0" w:line="280" w:lineRule="exact"/>
              <w:jc w:val="right"/>
              <w:rPr>
                <w:rFonts w:ascii="Calibri" w:eastAsia="Times New Roman" w:hAnsi="Calibri" w:cs="Arial"/>
                <w:spacing w:val="-3"/>
                <w:lang w:val="en-US"/>
              </w:rPr>
            </w:pPr>
          </w:p>
        </w:tc>
        <w:tc>
          <w:tcPr>
            <w:tcW w:w="1037" w:type="pct"/>
            <w:shd w:val="clear" w:color="auto" w:fill="auto"/>
            <w:vAlign w:val="center"/>
          </w:tcPr>
          <w:p w14:paraId="5C9EE01B" w14:textId="77777777" w:rsidR="00987F88" w:rsidRPr="00537128" w:rsidRDefault="00987F88" w:rsidP="00987F88">
            <w:pPr>
              <w:tabs>
                <w:tab w:val="right" w:pos="1202"/>
              </w:tabs>
              <w:spacing w:after="0" w:line="240" w:lineRule="atLeast"/>
              <w:jc w:val="right"/>
              <w:outlineLvl w:val="0"/>
              <w:rPr>
                <w:rFonts w:ascii="Calibri" w:eastAsia="Times New Roman" w:hAnsi="Calibri" w:cs="Arial"/>
                <w:b/>
                <w:lang w:val="en-US"/>
              </w:rPr>
            </w:pPr>
            <w:bookmarkStart w:id="314" w:name="_Toc4058451"/>
            <w:r w:rsidRPr="00537128">
              <w:rPr>
                <w:rFonts w:ascii="Calibri" w:eastAsia="Times New Roman" w:hAnsi="Calibri" w:cs="Arial"/>
                <w:b/>
                <w:lang w:val="en-US"/>
              </w:rPr>
              <w:t>31 March</w:t>
            </w:r>
          </w:p>
          <w:p w14:paraId="6FDFE61A" w14:textId="70674BEF" w:rsidR="00987F88" w:rsidRPr="00537128" w:rsidRDefault="00987F88" w:rsidP="00987F88">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 xml:space="preserve"> </w:t>
            </w:r>
            <w:bookmarkEnd w:id="314"/>
            <w:r w:rsidRPr="00537128">
              <w:rPr>
                <w:rFonts w:ascii="Calibri" w:eastAsia="Times New Roman" w:hAnsi="Calibri" w:cs="Arial"/>
                <w:b/>
                <w:lang w:val="en-US"/>
              </w:rPr>
              <w:t>202</w:t>
            </w:r>
            <w:r w:rsidR="004140B6">
              <w:rPr>
                <w:rFonts w:ascii="Calibri" w:eastAsia="Times New Roman" w:hAnsi="Calibri" w:cs="Arial"/>
                <w:b/>
                <w:lang w:val="en-US"/>
              </w:rPr>
              <w:t>2</w:t>
            </w:r>
          </w:p>
        </w:tc>
        <w:tc>
          <w:tcPr>
            <w:tcW w:w="1035" w:type="pct"/>
            <w:shd w:val="clear" w:color="auto" w:fill="auto"/>
            <w:vAlign w:val="center"/>
          </w:tcPr>
          <w:p w14:paraId="7B8B6017" w14:textId="2E8E84D0" w:rsidR="00987F88" w:rsidRPr="00537128" w:rsidRDefault="00987F88" w:rsidP="00987F88">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31 December 202</w:t>
            </w:r>
            <w:r w:rsidR="004140B6">
              <w:rPr>
                <w:rFonts w:ascii="Calibri" w:eastAsia="Times New Roman" w:hAnsi="Calibri" w:cs="Arial"/>
                <w:b/>
                <w:lang w:val="en-US"/>
              </w:rPr>
              <w:t>1</w:t>
            </w:r>
          </w:p>
        </w:tc>
      </w:tr>
      <w:tr w:rsidR="00987F88" w:rsidRPr="00537128" w14:paraId="2783B60C" w14:textId="77777777" w:rsidTr="00D873D7">
        <w:trPr>
          <w:trHeight w:val="134"/>
        </w:trPr>
        <w:tc>
          <w:tcPr>
            <w:tcW w:w="2928" w:type="pct"/>
          </w:tcPr>
          <w:p w14:paraId="63C9B290" w14:textId="77777777" w:rsidR="00987F88" w:rsidRPr="00537128" w:rsidRDefault="00987F88" w:rsidP="00987F88">
            <w:pPr>
              <w:tabs>
                <w:tab w:val="left" w:pos="-720"/>
              </w:tabs>
              <w:suppressAutoHyphens/>
              <w:spacing w:after="0" w:line="280" w:lineRule="exact"/>
              <w:jc w:val="right"/>
              <w:rPr>
                <w:rFonts w:ascii="Calibri" w:eastAsia="Times New Roman" w:hAnsi="Calibri" w:cs="Arial"/>
                <w:spacing w:val="-3"/>
                <w:lang w:val="en-US"/>
              </w:rPr>
            </w:pPr>
          </w:p>
        </w:tc>
        <w:tc>
          <w:tcPr>
            <w:tcW w:w="1037" w:type="pct"/>
          </w:tcPr>
          <w:p w14:paraId="4BD41C92" w14:textId="77777777" w:rsidR="00987F88" w:rsidRPr="00537128" w:rsidRDefault="00987F88" w:rsidP="00987F88">
            <w:pPr>
              <w:tabs>
                <w:tab w:val="right" w:pos="1202"/>
              </w:tabs>
              <w:spacing w:after="0" w:line="280" w:lineRule="exact"/>
              <w:jc w:val="right"/>
              <w:outlineLvl w:val="0"/>
              <w:rPr>
                <w:rFonts w:ascii="Calibri" w:eastAsia="Times New Roman" w:hAnsi="Calibri" w:cs="Arial"/>
                <w:b/>
                <w:lang w:val="en-US"/>
              </w:rPr>
            </w:pPr>
            <w:bookmarkStart w:id="315" w:name="_Toc4058453"/>
            <w:r w:rsidRPr="00537128">
              <w:rPr>
                <w:rFonts w:ascii="Calibri" w:eastAsia="Times New Roman" w:hAnsi="Calibri" w:cs="Arial"/>
                <w:b/>
                <w:lang w:val="en-US"/>
              </w:rPr>
              <w:t>HRK ‘000</w:t>
            </w:r>
            <w:bookmarkEnd w:id="315"/>
          </w:p>
        </w:tc>
        <w:tc>
          <w:tcPr>
            <w:tcW w:w="1035" w:type="pct"/>
          </w:tcPr>
          <w:p w14:paraId="2358FA36" w14:textId="011410DD" w:rsidR="00987F88" w:rsidRPr="00537128" w:rsidRDefault="00987F88" w:rsidP="00987F88">
            <w:pPr>
              <w:tabs>
                <w:tab w:val="right" w:pos="1202"/>
              </w:tabs>
              <w:spacing w:after="0" w:line="28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r>
      <w:tr w:rsidR="00987F88" w:rsidRPr="00537128" w14:paraId="6534742B" w14:textId="77777777" w:rsidTr="00D873D7">
        <w:trPr>
          <w:trHeight w:val="155"/>
        </w:trPr>
        <w:tc>
          <w:tcPr>
            <w:tcW w:w="2928" w:type="pct"/>
            <w:vAlign w:val="bottom"/>
          </w:tcPr>
          <w:p w14:paraId="02EBA854" w14:textId="77777777" w:rsidR="00987F88" w:rsidRPr="00537128" w:rsidRDefault="00987F88" w:rsidP="00987F88">
            <w:pPr>
              <w:tabs>
                <w:tab w:val="left" w:pos="-720"/>
              </w:tabs>
              <w:suppressAutoHyphens/>
              <w:spacing w:after="0" w:line="280" w:lineRule="exact"/>
              <w:rPr>
                <w:rFonts w:ascii="Calibri" w:eastAsia="Times New Roman" w:hAnsi="Calibri" w:cs="Arial"/>
                <w:spacing w:val="-2"/>
                <w:lang w:val="en-US"/>
              </w:rPr>
            </w:pPr>
          </w:p>
        </w:tc>
        <w:tc>
          <w:tcPr>
            <w:tcW w:w="1037" w:type="pct"/>
            <w:vAlign w:val="bottom"/>
          </w:tcPr>
          <w:p w14:paraId="25A55A4F" w14:textId="77777777" w:rsidR="00987F88" w:rsidRPr="00537128" w:rsidRDefault="00987F88" w:rsidP="00987F88">
            <w:pPr>
              <w:tabs>
                <w:tab w:val="left" w:pos="-720"/>
              </w:tabs>
              <w:suppressAutoHyphens/>
              <w:spacing w:after="0" w:line="280" w:lineRule="exact"/>
              <w:jc w:val="right"/>
              <w:rPr>
                <w:rFonts w:ascii="Calibri" w:eastAsia="Times New Roman" w:hAnsi="Calibri" w:cs="Arial"/>
                <w:spacing w:val="-2"/>
                <w:lang w:val="en-US"/>
              </w:rPr>
            </w:pPr>
          </w:p>
        </w:tc>
        <w:tc>
          <w:tcPr>
            <w:tcW w:w="1035" w:type="pct"/>
            <w:vAlign w:val="bottom"/>
          </w:tcPr>
          <w:p w14:paraId="53866097" w14:textId="77777777" w:rsidR="00987F88" w:rsidRPr="00537128" w:rsidRDefault="00987F88" w:rsidP="00987F88">
            <w:pPr>
              <w:tabs>
                <w:tab w:val="left" w:pos="-720"/>
              </w:tabs>
              <w:suppressAutoHyphens/>
              <w:spacing w:after="0" w:line="280" w:lineRule="exact"/>
              <w:jc w:val="right"/>
              <w:rPr>
                <w:rFonts w:ascii="Calibri" w:eastAsia="Times New Roman" w:hAnsi="Calibri" w:cs="Arial"/>
                <w:spacing w:val="-2"/>
                <w:lang w:val="en-US"/>
              </w:rPr>
            </w:pPr>
          </w:p>
        </w:tc>
      </w:tr>
      <w:tr w:rsidR="00987B26" w:rsidRPr="00537128" w14:paraId="7D6E0179" w14:textId="77777777" w:rsidTr="00A1123E">
        <w:trPr>
          <w:trHeight w:val="134"/>
        </w:trPr>
        <w:tc>
          <w:tcPr>
            <w:tcW w:w="2928" w:type="pct"/>
            <w:vAlign w:val="bottom"/>
          </w:tcPr>
          <w:p w14:paraId="2859845E" w14:textId="77777777" w:rsidR="00987B26" w:rsidRPr="00537128" w:rsidRDefault="00987B26" w:rsidP="00987B26">
            <w:pPr>
              <w:tabs>
                <w:tab w:val="right" w:pos="1202"/>
              </w:tabs>
              <w:spacing w:after="0" w:line="280" w:lineRule="exact"/>
              <w:outlineLvl w:val="0"/>
              <w:rPr>
                <w:rFonts w:ascii="Calibri" w:eastAsia="Times New Roman" w:hAnsi="Calibri" w:cs="Arial"/>
                <w:highlight w:val="yellow"/>
                <w:lang w:val="en-US"/>
              </w:rPr>
            </w:pPr>
            <w:bookmarkStart w:id="316" w:name="_Toc4058455"/>
            <w:r w:rsidRPr="00537128">
              <w:rPr>
                <w:rFonts w:ascii="Calibri" w:eastAsia="Times New Roman" w:hAnsi="Calibri" w:cs="Arial"/>
                <w:lang w:val="en-US"/>
              </w:rPr>
              <w:t xml:space="preserve">Long-term loans under loan </w:t>
            </w:r>
            <w:proofErr w:type="spellStart"/>
            <w:r w:rsidRPr="00537128">
              <w:rPr>
                <w:rFonts w:ascii="Calibri" w:eastAsia="Times New Roman" w:hAnsi="Calibri" w:cs="Arial"/>
                <w:lang w:val="en-US"/>
              </w:rPr>
              <w:t>programmes</w:t>
            </w:r>
            <w:bookmarkEnd w:id="316"/>
            <w:proofErr w:type="spellEnd"/>
          </w:p>
        </w:tc>
        <w:tc>
          <w:tcPr>
            <w:tcW w:w="1037" w:type="pct"/>
            <w:tcBorders>
              <w:top w:val="nil"/>
              <w:left w:val="nil"/>
              <w:bottom w:val="nil"/>
              <w:right w:val="nil"/>
            </w:tcBorders>
            <w:shd w:val="clear" w:color="auto" w:fill="auto"/>
          </w:tcPr>
          <w:p w14:paraId="0D37CF76" w14:textId="0BE4FA32" w:rsidR="00987B26" w:rsidRPr="00537128" w:rsidRDefault="00987B26" w:rsidP="00987B26">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color w:val="000000"/>
              </w:rPr>
              <w:t>6</w:t>
            </w:r>
            <w:r w:rsidR="00562B2C">
              <w:rPr>
                <w:rFonts w:ascii="Calibri" w:eastAsia="Times New Roman" w:hAnsi="Calibri" w:cs="Calibri"/>
                <w:color w:val="000000"/>
              </w:rPr>
              <w:t>,</w:t>
            </w:r>
            <w:r>
              <w:rPr>
                <w:rFonts w:ascii="Calibri" w:eastAsia="Times New Roman" w:hAnsi="Calibri" w:cs="Calibri"/>
                <w:color w:val="000000"/>
              </w:rPr>
              <w:t>889</w:t>
            </w:r>
            <w:r w:rsidR="00562B2C">
              <w:rPr>
                <w:rFonts w:ascii="Calibri" w:eastAsia="Times New Roman" w:hAnsi="Calibri" w:cs="Calibri"/>
                <w:color w:val="000000"/>
              </w:rPr>
              <w:t>,</w:t>
            </w:r>
            <w:r>
              <w:rPr>
                <w:rFonts w:ascii="Calibri" w:eastAsia="Times New Roman" w:hAnsi="Calibri" w:cs="Calibri"/>
                <w:color w:val="000000"/>
              </w:rPr>
              <w:t>790</w:t>
            </w:r>
          </w:p>
        </w:tc>
        <w:tc>
          <w:tcPr>
            <w:tcW w:w="1035" w:type="pct"/>
            <w:tcBorders>
              <w:top w:val="nil"/>
              <w:left w:val="nil"/>
              <w:bottom w:val="nil"/>
              <w:right w:val="nil"/>
            </w:tcBorders>
            <w:shd w:val="clear" w:color="auto" w:fill="auto"/>
            <w:vAlign w:val="center"/>
          </w:tcPr>
          <w:p w14:paraId="311E9605" w14:textId="6636CB80" w:rsidR="00987B26" w:rsidRPr="00537128" w:rsidRDefault="00987B26" w:rsidP="00987B26">
            <w:pPr>
              <w:tabs>
                <w:tab w:val="right" w:pos="1202"/>
              </w:tabs>
              <w:spacing w:after="0" w:line="301" w:lineRule="exact"/>
              <w:jc w:val="right"/>
              <w:outlineLvl w:val="0"/>
              <w:rPr>
                <w:rFonts w:ascii="Calibri" w:eastAsia="Times New Roman" w:hAnsi="Calibri" w:cs="Arial"/>
                <w:lang w:val="en-US"/>
              </w:rPr>
            </w:pPr>
            <w:r w:rsidRPr="006C4609">
              <w:rPr>
                <w:rFonts w:cstheme="minorHAnsi"/>
                <w:color w:val="000000" w:themeColor="text1"/>
              </w:rPr>
              <w:t>7</w:t>
            </w:r>
            <w:r>
              <w:rPr>
                <w:rFonts w:cstheme="minorHAnsi"/>
                <w:color w:val="000000" w:themeColor="text1"/>
              </w:rPr>
              <w:t>,</w:t>
            </w:r>
            <w:r w:rsidRPr="006C4609">
              <w:rPr>
                <w:rFonts w:cstheme="minorHAnsi"/>
                <w:color w:val="000000" w:themeColor="text1"/>
              </w:rPr>
              <w:t>043</w:t>
            </w:r>
            <w:r>
              <w:rPr>
                <w:rFonts w:cstheme="minorHAnsi"/>
                <w:color w:val="000000" w:themeColor="text1"/>
              </w:rPr>
              <w:t>,</w:t>
            </w:r>
            <w:r w:rsidRPr="006C4609">
              <w:rPr>
                <w:rFonts w:cstheme="minorHAnsi"/>
                <w:color w:val="000000" w:themeColor="text1"/>
              </w:rPr>
              <w:t>581</w:t>
            </w:r>
          </w:p>
        </w:tc>
      </w:tr>
      <w:tr w:rsidR="00987B26" w:rsidRPr="00537128" w14:paraId="0E4E13CA" w14:textId="77777777" w:rsidTr="00A1123E">
        <w:trPr>
          <w:trHeight w:val="250"/>
        </w:trPr>
        <w:tc>
          <w:tcPr>
            <w:tcW w:w="2928" w:type="pct"/>
            <w:vAlign w:val="bottom"/>
          </w:tcPr>
          <w:p w14:paraId="003B7FFD" w14:textId="77777777" w:rsidR="00987B26" w:rsidRPr="00537128" w:rsidRDefault="00987B26" w:rsidP="00987B26">
            <w:pPr>
              <w:tabs>
                <w:tab w:val="right" w:pos="1202"/>
              </w:tabs>
              <w:spacing w:after="0" w:line="280" w:lineRule="exact"/>
              <w:outlineLvl w:val="0"/>
              <w:rPr>
                <w:rFonts w:ascii="Calibri" w:eastAsia="Times New Roman" w:hAnsi="Calibri" w:cs="Arial"/>
                <w:highlight w:val="yellow"/>
                <w:lang w:val="en-US"/>
              </w:rPr>
            </w:pPr>
            <w:r w:rsidRPr="00537128">
              <w:rPr>
                <w:rFonts w:ascii="Calibri" w:eastAsia="Times New Roman" w:hAnsi="Calibri" w:cs="Arial"/>
                <w:lang w:val="en-US"/>
              </w:rPr>
              <w:tab/>
            </w:r>
            <w:bookmarkStart w:id="317" w:name="_Toc4058458"/>
            <w:r w:rsidRPr="00537128">
              <w:rPr>
                <w:rFonts w:ascii="Calibri" w:eastAsia="Times New Roman" w:hAnsi="Calibri" w:cs="Arial"/>
                <w:lang w:val="en-US"/>
              </w:rPr>
              <w:t>Short-term loans and reverse repo transactions</w:t>
            </w:r>
            <w:bookmarkEnd w:id="317"/>
          </w:p>
        </w:tc>
        <w:tc>
          <w:tcPr>
            <w:tcW w:w="1037" w:type="pct"/>
            <w:tcBorders>
              <w:top w:val="nil"/>
              <w:left w:val="nil"/>
              <w:bottom w:val="nil"/>
              <w:right w:val="nil"/>
            </w:tcBorders>
            <w:shd w:val="clear" w:color="auto" w:fill="auto"/>
          </w:tcPr>
          <w:p w14:paraId="05A9B84C" w14:textId="5B0451C6" w:rsidR="00987B26" w:rsidRPr="00537128" w:rsidRDefault="00987B26" w:rsidP="00987B26">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color w:val="000000"/>
              </w:rPr>
              <w:t>127</w:t>
            </w:r>
            <w:r w:rsidR="00562B2C">
              <w:rPr>
                <w:rFonts w:ascii="Calibri" w:eastAsia="Times New Roman" w:hAnsi="Calibri" w:cs="Calibri"/>
                <w:color w:val="000000"/>
              </w:rPr>
              <w:t>,</w:t>
            </w:r>
            <w:r>
              <w:rPr>
                <w:rFonts w:ascii="Calibri" w:eastAsia="Times New Roman" w:hAnsi="Calibri" w:cs="Calibri"/>
                <w:color w:val="000000"/>
              </w:rPr>
              <w:t>524</w:t>
            </w:r>
          </w:p>
        </w:tc>
        <w:tc>
          <w:tcPr>
            <w:tcW w:w="1035" w:type="pct"/>
            <w:tcBorders>
              <w:top w:val="nil"/>
              <w:left w:val="nil"/>
              <w:bottom w:val="nil"/>
              <w:right w:val="nil"/>
            </w:tcBorders>
            <w:shd w:val="clear" w:color="auto" w:fill="auto"/>
            <w:vAlign w:val="center"/>
          </w:tcPr>
          <w:p w14:paraId="5B0FF59B" w14:textId="64467E71" w:rsidR="00987B26" w:rsidRPr="00537128" w:rsidRDefault="00987B26" w:rsidP="00987B26">
            <w:pPr>
              <w:tabs>
                <w:tab w:val="right" w:pos="1202"/>
              </w:tabs>
              <w:spacing w:after="0" w:line="301" w:lineRule="exact"/>
              <w:jc w:val="right"/>
              <w:outlineLvl w:val="0"/>
              <w:rPr>
                <w:rFonts w:ascii="Calibri" w:eastAsia="Times New Roman" w:hAnsi="Calibri" w:cs="Arial"/>
                <w:lang w:val="en-US"/>
              </w:rPr>
            </w:pPr>
            <w:r w:rsidRPr="006C4609">
              <w:rPr>
                <w:rFonts w:cstheme="minorHAnsi"/>
                <w:color w:val="000000" w:themeColor="text1"/>
              </w:rPr>
              <w:t>83</w:t>
            </w:r>
            <w:r>
              <w:rPr>
                <w:rFonts w:cstheme="minorHAnsi"/>
                <w:color w:val="000000" w:themeColor="text1"/>
              </w:rPr>
              <w:t>,</w:t>
            </w:r>
            <w:r w:rsidRPr="006C4609">
              <w:rPr>
                <w:rFonts w:cstheme="minorHAnsi"/>
                <w:color w:val="000000" w:themeColor="text1"/>
              </w:rPr>
              <w:t>239</w:t>
            </w:r>
          </w:p>
        </w:tc>
      </w:tr>
      <w:tr w:rsidR="00987B26" w:rsidRPr="00537128" w14:paraId="5139F2C9" w14:textId="77777777" w:rsidTr="00D873D7">
        <w:trPr>
          <w:trHeight w:val="134"/>
        </w:trPr>
        <w:tc>
          <w:tcPr>
            <w:tcW w:w="2928" w:type="pct"/>
            <w:vAlign w:val="bottom"/>
          </w:tcPr>
          <w:p w14:paraId="6459DCDC" w14:textId="77777777" w:rsidR="00987B26" w:rsidRPr="00537128" w:rsidRDefault="00987B26" w:rsidP="00987B26">
            <w:pPr>
              <w:tabs>
                <w:tab w:val="right" w:pos="1202"/>
              </w:tabs>
              <w:spacing w:after="0" w:line="280" w:lineRule="exact"/>
              <w:outlineLvl w:val="0"/>
              <w:rPr>
                <w:rFonts w:ascii="Calibri" w:eastAsia="Times New Roman" w:hAnsi="Calibri" w:cs="Arial"/>
                <w:lang w:val="en-US"/>
              </w:rPr>
            </w:pPr>
            <w:bookmarkStart w:id="318" w:name="_Toc4058461"/>
            <w:r w:rsidRPr="00537128">
              <w:rPr>
                <w:rFonts w:ascii="Calibri" w:eastAsia="Times New Roman" w:hAnsi="Calibri" w:cs="Arial"/>
                <w:lang w:val="en-US"/>
              </w:rPr>
              <w:t>Accrued interest</w:t>
            </w:r>
            <w:bookmarkEnd w:id="318"/>
          </w:p>
        </w:tc>
        <w:tc>
          <w:tcPr>
            <w:tcW w:w="1037" w:type="pct"/>
            <w:tcBorders>
              <w:top w:val="nil"/>
              <w:left w:val="nil"/>
              <w:bottom w:val="nil"/>
              <w:right w:val="nil"/>
            </w:tcBorders>
            <w:shd w:val="clear" w:color="auto" w:fill="auto"/>
          </w:tcPr>
          <w:p w14:paraId="667AD1C4" w14:textId="6031CE3A" w:rsidR="00987B26" w:rsidRPr="00537128" w:rsidRDefault="00987B26" w:rsidP="00987B26">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color w:val="000000"/>
              </w:rPr>
              <w:t>2</w:t>
            </w:r>
            <w:r w:rsidR="00562B2C">
              <w:rPr>
                <w:rFonts w:ascii="Calibri" w:eastAsia="Times New Roman" w:hAnsi="Calibri" w:cs="Calibri"/>
                <w:color w:val="000000"/>
              </w:rPr>
              <w:t>,</w:t>
            </w:r>
            <w:r>
              <w:rPr>
                <w:rFonts w:ascii="Calibri" w:eastAsia="Times New Roman" w:hAnsi="Calibri" w:cs="Calibri"/>
                <w:color w:val="000000"/>
              </w:rPr>
              <w:t>981</w:t>
            </w:r>
          </w:p>
        </w:tc>
        <w:tc>
          <w:tcPr>
            <w:tcW w:w="1035" w:type="pct"/>
            <w:tcBorders>
              <w:top w:val="nil"/>
              <w:left w:val="nil"/>
              <w:bottom w:val="nil"/>
              <w:right w:val="nil"/>
            </w:tcBorders>
            <w:shd w:val="clear" w:color="auto" w:fill="auto"/>
          </w:tcPr>
          <w:p w14:paraId="10CE30FC" w14:textId="2E3F96C1" w:rsidR="00987B26" w:rsidRPr="00537128" w:rsidRDefault="00987B26" w:rsidP="00987B26">
            <w:pPr>
              <w:tabs>
                <w:tab w:val="right" w:pos="1202"/>
              </w:tabs>
              <w:spacing w:after="0" w:line="301" w:lineRule="exact"/>
              <w:jc w:val="right"/>
              <w:outlineLvl w:val="0"/>
              <w:rPr>
                <w:rFonts w:ascii="Calibri" w:eastAsia="Times New Roman" w:hAnsi="Calibri" w:cs="Arial"/>
                <w:lang w:val="en-US"/>
              </w:rPr>
            </w:pPr>
            <w:r w:rsidRPr="006C4609">
              <w:rPr>
                <w:rFonts w:cstheme="minorHAnsi"/>
                <w:color w:val="000000" w:themeColor="text1"/>
              </w:rPr>
              <w:t>3</w:t>
            </w:r>
            <w:r>
              <w:rPr>
                <w:rFonts w:cstheme="minorHAnsi"/>
                <w:color w:val="000000" w:themeColor="text1"/>
              </w:rPr>
              <w:t>,</w:t>
            </w:r>
            <w:r w:rsidRPr="006C4609">
              <w:rPr>
                <w:rFonts w:cstheme="minorHAnsi"/>
                <w:color w:val="000000" w:themeColor="text1"/>
              </w:rPr>
              <w:t>418</w:t>
            </w:r>
          </w:p>
        </w:tc>
      </w:tr>
      <w:tr w:rsidR="00987B26" w:rsidRPr="00537128" w14:paraId="40F1699B" w14:textId="77777777" w:rsidTr="00D873D7">
        <w:trPr>
          <w:trHeight w:val="134"/>
        </w:trPr>
        <w:tc>
          <w:tcPr>
            <w:tcW w:w="2928" w:type="pct"/>
            <w:vAlign w:val="bottom"/>
          </w:tcPr>
          <w:p w14:paraId="3723EE8C" w14:textId="77777777" w:rsidR="00987B26" w:rsidRPr="00537128" w:rsidRDefault="00987B26" w:rsidP="00987B26">
            <w:pPr>
              <w:tabs>
                <w:tab w:val="right" w:pos="1202"/>
              </w:tabs>
              <w:spacing w:after="0" w:line="280" w:lineRule="exact"/>
              <w:outlineLvl w:val="0"/>
              <w:rPr>
                <w:rFonts w:ascii="Calibri" w:eastAsia="Times New Roman" w:hAnsi="Calibri" w:cs="Arial"/>
                <w:lang w:val="en-US"/>
              </w:rPr>
            </w:pPr>
            <w:bookmarkStart w:id="319" w:name="_Toc4058464"/>
            <w:r w:rsidRPr="00537128">
              <w:rPr>
                <w:rFonts w:ascii="Calibri" w:eastAsia="Times New Roman" w:hAnsi="Calibri" w:cs="Arial"/>
                <w:lang w:val="en-US"/>
              </w:rPr>
              <w:t>Deferred recognition of loan origination fees</w:t>
            </w:r>
            <w:bookmarkEnd w:id="319"/>
            <w:r w:rsidRPr="00537128">
              <w:rPr>
                <w:rFonts w:ascii="Calibri" w:eastAsia="Times New Roman" w:hAnsi="Calibri" w:cs="Arial"/>
                <w:lang w:val="en-US"/>
              </w:rPr>
              <w:t xml:space="preserve"> </w:t>
            </w:r>
          </w:p>
        </w:tc>
        <w:tc>
          <w:tcPr>
            <w:tcW w:w="1037" w:type="pct"/>
            <w:tcBorders>
              <w:top w:val="nil"/>
              <w:left w:val="nil"/>
              <w:right w:val="nil"/>
            </w:tcBorders>
            <w:shd w:val="clear" w:color="auto" w:fill="auto"/>
          </w:tcPr>
          <w:p w14:paraId="78834F6A" w14:textId="23D1EF42" w:rsidR="00987B26" w:rsidRPr="00537128" w:rsidRDefault="00987B26" w:rsidP="00987B26">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color w:val="000000"/>
              </w:rPr>
              <w:t>(20</w:t>
            </w:r>
            <w:r w:rsidR="00562B2C">
              <w:rPr>
                <w:rFonts w:ascii="Calibri" w:eastAsia="Times New Roman" w:hAnsi="Calibri" w:cs="Calibri"/>
                <w:color w:val="000000"/>
              </w:rPr>
              <w:t>,</w:t>
            </w:r>
            <w:r>
              <w:rPr>
                <w:rFonts w:ascii="Calibri" w:eastAsia="Times New Roman" w:hAnsi="Calibri" w:cs="Calibri"/>
                <w:color w:val="000000"/>
              </w:rPr>
              <w:t>355)</w:t>
            </w:r>
          </w:p>
        </w:tc>
        <w:tc>
          <w:tcPr>
            <w:tcW w:w="1035" w:type="pct"/>
            <w:tcBorders>
              <w:top w:val="nil"/>
              <w:left w:val="nil"/>
              <w:right w:val="nil"/>
            </w:tcBorders>
            <w:shd w:val="clear" w:color="auto" w:fill="auto"/>
          </w:tcPr>
          <w:p w14:paraId="608A9E8D" w14:textId="5497E3BB" w:rsidR="00987B26" w:rsidRPr="00537128" w:rsidRDefault="00987B26" w:rsidP="00987B26">
            <w:pPr>
              <w:tabs>
                <w:tab w:val="right" w:pos="1202"/>
              </w:tabs>
              <w:spacing w:after="0" w:line="301" w:lineRule="exact"/>
              <w:jc w:val="right"/>
              <w:outlineLvl w:val="0"/>
              <w:rPr>
                <w:rFonts w:ascii="Calibri" w:eastAsia="Times New Roman" w:hAnsi="Calibri" w:cs="Arial"/>
                <w:lang w:val="en-US"/>
              </w:rPr>
            </w:pPr>
            <w:r w:rsidRPr="006C4609">
              <w:rPr>
                <w:rFonts w:cstheme="minorHAnsi"/>
                <w:color w:val="000000" w:themeColor="text1"/>
              </w:rPr>
              <w:t>(21</w:t>
            </w:r>
            <w:r>
              <w:rPr>
                <w:rFonts w:cstheme="minorHAnsi"/>
                <w:color w:val="000000" w:themeColor="text1"/>
              </w:rPr>
              <w:t>,</w:t>
            </w:r>
            <w:r w:rsidRPr="006C4609">
              <w:rPr>
                <w:rFonts w:cstheme="minorHAnsi"/>
                <w:color w:val="000000" w:themeColor="text1"/>
              </w:rPr>
              <w:t>195)</w:t>
            </w:r>
          </w:p>
        </w:tc>
      </w:tr>
      <w:tr w:rsidR="00987B26" w:rsidRPr="00537128" w14:paraId="6111E4D3" w14:textId="77777777" w:rsidTr="00D873D7">
        <w:trPr>
          <w:trHeight w:val="215"/>
        </w:trPr>
        <w:tc>
          <w:tcPr>
            <w:tcW w:w="2928" w:type="pct"/>
            <w:vAlign w:val="bottom"/>
          </w:tcPr>
          <w:p w14:paraId="086D25BF" w14:textId="77777777" w:rsidR="00987B26" w:rsidRPr="00537128" w:rsidRDefault="00987B26" w:rsidP="00987B26">
            <w:pPr>
              <w:tabs>
                <w:tab w:val="left" w:pos="-720"/>
              </w:tabs>
              <w:suppressAutoHyphens/>
              <w:spacing w:after="0" w:line="280" w:lineRule="exact"/>
              <w:rPr>
                <w:rFonts w:ascii="Calibri" w:eastAsia="Times New Roman" w:hAnsi="Calibri" w:cs="Arial"/>
                <w:iCs/>
                <w:spacing w:val="-2"/>
                <w:lang w:val="en-US"/>
              </w:rPr>
            </w:pPr>
          </w:p>
        </w:tc>
        <w:tc>
          <w:tcPr>
            <w:tcW w:w="1037" w:type="pct"/>
            <w:tcBorders>
              <w:top w:val="single" w:sz="4" w:space="0" w:color="auto"/>
              <w:bottom w:val="single" w:sz="4" w:space="0" w:color="auto"/>
            </w:tcBorders>
          </w:tcPr>
          <w:p w14:paraId="5E4DB9F8" w14:textId="4B907E77" w:rsidR="00987B26" w:rsidRPr="00537128" w:rsidRDefault="00987B26" w:rsidP="00987B26">
            <w:pPr>
              <w:tabs>
                <w:tab w:val="right" w:pos="1202"/>
              </w:tabs>
              <w:spacing w:after="0" w:line="340" w:lineRule="exact"/>
              <w:jc w:val="right"/>
              <w:outlineLvl w:val="0"/>
              <w:rPr>
                <w:rFonts w:ascii="Calibri" w:eastAsia="Times New Roman" w:hAnsi="Calibri" w:cs="Arial"/>
                <w:lang w:val="en-US"/>
              </w:rPr>
            </w:pPr>
            <w:r>
              <w:rPr>
                <w:rFonts w:ascii="Calibri" w:eastAsia="Times New Roman" w:hAnsi="Calibri" w:cs="Calibri"/>
                <w:color w:val="000000"/>
              </w:rPr>
              <w:t>6</w:t>
            </w:r>
            <w:r w:rsidR="00562B2C">
              <w:rPr>
                <w:rFonts w:ascii="Calibri" w:eastAsia="Times New Roman" w:hAnsi="Calibri" w:cs="Calibri"/>
                <w:color w:val="000000"/>
              </w:rPr>
              <w:t>,</w:t>
            </w:r>
            <w:r>
              <w:rPr>
                <w:rFonts w:ascii="Calibri" w:eastAsia="Times New Roman" w:hAnsi="Calibri" w:cs="Calibri"/>
                <w:color w:val="000000"/>
              </w:rPr>
              <w:t>999</w:t>
            </w:r>
            <w:r w:rsidR="00562B2C">
              <w:rPr>
                <w:rFonts w:ascii="Calibri" w:eastAsia="Times New Roman" w:hAnsi="Calibri" w:cs="Calibri"/>
                <w:color w:val="000000"/>
              </w:rPr>
              <w:t>,</w:t>
            </w:r>
            <w:r>
              <w:rPr>
                <w:rFonts w:ascii="Calibri" w:eastAsia="Times New Roman" w:hAnsi="Calibri" w:cs="Calibri"/>
                <w:color w:val="000000"/>
              </w:rPr>
              <w:t>940</w:t>
            </w:r>
          </w:p>
        </w:tc>
        <w:tc>
          <w:tcPr>
            <w:tcW w:w="1035" w:type="pct"/>
            <w:tcBorders>
              <w:top w:val="single" w:sz="4" w:space="0" w:color="auto"/>
              <w:bottom w:val="single" w:sz="4" w:space="0" w:color="auto"/>
            </w:tcBorders>
          </w:tcPr>
          <w:p w14:paraId="66E45807" w14:textId="094F54A9" w:rsidR="00987B26" w:rsidRPr="00537128" w:rsidRDefault="00987B26" w:rsidP="00987B26">
            <w:pPr>
              <w:tabs>
                <w:tab w:val="right" w:pos="1202"/>
              </w:tabs>
              <w:spacing w:after="0" w:line="340" w:lineRule="exact"/>
              <w:jc w:val="right"/>
              <w:outlineLvl w:val="0"/>
              <w:rPr>
                <w:rFonts w:ascii="Calibri" w:eastAsia="Times New Roman" w:hAnsi="Calibri" w:cs="Arial"/>
                <w:lang w:val="en-US"/>
              </w:rPr>
            </w:pPr>
            <w:r w:rsidRPr="006C4609">
              <w:rPr>
                <w:rFonts w:cstheme="minorHAnsi"/>
                <w:color w:val="000000" w:themeColor="text1"/>
              </w:rPr>
              <w:t>7</w:t>
            </w:r>
            <w:r>
              <w:rPr>
                <w:rFonts w:cstheme="minorHAnsi"/>
                <w:color w:val="000000" w:themeColor="text1"/>
              </w:rPr>
              <w:t>,</w:t>
            </w:r>
            <w:r w:rsidRPr="006C4609">
              <w:rPr>
                <w:rFonts w:cstheme="minorHAnsi"/>
                <w:color w:val="000000" w:themeColor="text1"/>
              </w:rPr>
              <w:t>109</w:t>
            </w:r>
            <w:r>
              <w:rPr>
                <w:rFonts w:cstheme="minorHAnsi"/>
                <w:color w:val="000000" w:themeColor="text1"/>
              </w:rPr>
              <w:t>,</w:t>
            </w:r>
            <w:r w:rsidRPr="006C4609">
              <w:rPr>
                <w:rFonts w:cstheme="minorHAnsi"/>
                <w:color w:val="000000" w:themeColor="text1"/>
              </w:rPr>
              <w:t>043</w:t>
            </w:r>
          </w:p>
        </w:tc>
      </w:tr>
      <w:tr w:rsidR="00987B26" w:rsidRPr="00537128" w14:paraId="77ACA470" w14:textId="77777777" w:rsidTr="00D873D7">
        <w:trPr>
          <w:trHeight w:val="215"/>
        </w:trPr>
        <w:tc>
          <w:tcPr>
            <w:tcW w:w="2928" w:type="pct"/>
            <w:vAlign w:val="bottom"/>
          </w:tcPr>
          <w:p w14:paraId="06845C28" w14:textId="77777777" w:rsidR="00987B26" w:rsidRPr="00537128" w:rsidRDefault="00987B26" w:rsidP="00987B26">
            <w:pPr>
              <w:tabs>
                <w:tab w:val="left" w:pos="-720"/>
              </w:tabs>
              <w:suppressAutoHyphens/>
              <w:spacing w:after="0" w:line="280" w:lineRule="exact"/>
              <w:rPr>
                <w:rFonts w:ascii="Calibri" w:eastAsia="Times New Roman" w:hAnsi="Calibri" w:cs="Arial"/>
                <w:iCs/>
                <w:spacing w:val="-2"/>
                <w:lang w:val="en-US"/>
              </w:rPr>
            </w:pPr>
          </w:p>
        </w:tc>
        <w:tc>
          <w:tcPr>
            <w:tcW w:w="1037" w:type="pct"/>
            <w:tcBorders>
              <w:top w:val="single" w:sz="4" w:space="0" w:color="auto"/>
            </w:tcBorders>
          </w:tcPr>
          <w:p w14:paraId="1ED0146B" w14:textId="77777777" w:rsidR="00987B26" w:rsidRPr="00537128" w:rsidRDefault="00987B26" w:rsidP="00987B26">
            <w:pPr>
              <w:tabs>
                <w:tab w:val="right" w:pos="1202"/>
              </w:tabs>
              <w:spacing w:after="0" w:line="340" w:lineRule="exact"/>
              <w:jc w:val="right"/>
              <w:outlineLvl w:val="0"/>
              <w:rPr>
                <w:rFonts w:ascii="Calibri" w:eastAsia="Times New Roman" w:hAnsi="Calibri" w:cs="Arial"/>
                <w:lang w:val="en-US"/>
              </w:rPr>
            </w:pPr>
          </w:p>
        </w:tc>
        <w:tc>
          <w:tcPr>
            <w:tcW w:w="1035" w:type="pct"/>
            <w:tcBorders>
              <w:top w:val="single" w:sz="4" w:space="0" w:color="auto"/>
            </w:tcBorders>
          </w:tcPr>
          <w:p w14:paraId="2FAC14F4" w14:textId="77777777" w:rsidR="00987B26" w:rsidRPr="00537128" w:rsidRDefault="00987B26" w:rsidP="00987B26">
            <w:pPr>
              <w:tabs>
                <w:tab w:val="right" w:pos="1202"/>
              </w:tabs>
              <w:spacing w:after="0" w:line="340" w:lineRule="exact"/>
              <w:jc w:val="right"/>
              <w:outlineLvl w:val="0"/>
              <w:rPr>
                <w:rFonts w:ascii="Calibri" w:eastAsia="Times New Roman" w:hAnsi="Calibri" w:cs="Arial"/>
                <w:lang w:val="en-US"/>
              </w:rPr>
            </w:pPr>
          </w:p>
        </w:tc>
      </w:tr>
      <w:tr w:rsidR="00987B26" w:rsidRPr="00537128" w14:paraId="6B3182AB" w14:textId="77777777" w:rsidTr="003E2D62">
        <w:trPr>
          <w:trHeight w:val="431"/>
        </w:trPr>
        <w:tc>
          <w:tcPr>
            <w:tcW w:w="2928" w:type="pct"/>
            <w:vAlign w:val="bottom"/>
          </w:tcPr>
          <w:p w14:paraId="352D47B0" w14:textId="77777777" w:rsidR="00987B26" w:rsidRPr="00537128" w:rsidRDefault="00987B26" w:rsidP="00987B26">
            <w:pPr>
              <w:tabs>
                <w:tab w:val="right" w:pos="1202"/>
              </w:tabs>
              <w:spacing w:after="0" w:line="280" w:lineRule="exact"/>
              <w:outlineLvl w:val="0"/>
              <w:rPr>
                <w:rFonts w:ascii="Calibri" w:eastAsia="Times New Roman" w:hAnsi="Calibri" w:cs="Arial"/>
                <w:lang w:val="en-US"/>
              </w:rPr>
            </w:pPr>
            <w:bookmarkStart w:id="320" w:name="_Toc4058469"/>
            <w:r w:rsidRPr="00537128">
              <w:rPr>
                <w:rFonts w:ascii="Calibri" w:eastAsia="Times New Roman" w:hAnsi="Calibri" w:cs="Arial"/>
                <w:lang w:val="en-US"/>
              </w:rPr>
              <w:t>Loss allowances</w:t>
            </w:r>
            <w:bookmarkEnd w:id="320"/>
          </w:p>
        </w:tc>
        <w:tc>
          <w:tcPr>
            <w:tcW w:w="1037" w:type="pct"/>
            <w:tcBorders>
              <w:bottom w:val="single" w:sz="4" w:space="0" w:color="auto"/>
            </w:tcBorders>
          </w:tcPr>
          <w:p w14:paraId="2523ED1A" w14:textId="06CA83AA" w:rsidR="00987B26" w:rsidRPr="00537128" w:rsidRDefault="00987B26" w:rsidP="00987B26">
            <w:pPr>
              <w:tabs>
                <w:tab w:val="left" w:pos="-720"/>
              </w:tabs>
              <w:suppressAutoHyphens/>
              <w:spacing w:after="0" w:line="240" w:lineRule="auto"/>
              <w:jc w:val="right"/>
              <w:rPr>
                <w:rFonts w:ascii="Calibri" w:eastAsia="Times New Roman" w:hAnsi="Calibri" w:cs="Arial"/>
                <w:lang w:val="en-US"/>
              </w:rPr>
            </w:pPr>
            <w:r>
              <w:rPr>
                <w:rFonts w:ascii="Calibri" w:eastAsia="Times New Roman" w:hAnsi="Calibri" w:cs="Calibri"/>
                <w:color w:val="000000"/>
              </w:rPr>
              <w:t>(57</w:t>
            </w:r>
            <w:r w:rsidR="00562B2C">
              <w:rPr>
                <w:rFonts w:ascii="Calibri" w:eastAsia="Times New Roman" w:hAnsi="Calibri" w:cs="Calibri"/>
                <w:color w:val="000000"/>
              </w:rPr>
              <w:t>,</w:t>
            </w:r>
            <w:r>
              <w:rPr>
                <w:rFonts w:ascii="Calibri" w:eastAsia="Times New Roman" w:hAnsi="Calibri" w:cs="Calibri"/>
                <w:color w:val="000000"/>
              </w:rPr>
              <w:t>980)</w:t>
            </w:r>
          </w:p>
        </w:tc>
        <w:tc>
          <w:tcPr>
            <w:tcW w:w="1035" w:type="pct"/>
            <w:tcBorders>
              <w:bottom w:val="single" w:sz="4" w:space="0" w:color="auto"/>
            </w:tcBorders>
          </w:tcPr>
          <w:p w14:paraId="6E4BC0D4" w14:textId="2B31E789" w:rsidR="00987B26" w:rsidRPr="00537128" w:rsidRDefault="00987B26" w:rsidP="00987B26">
            <w:pPr>
              <w:tabs>
                <w:tab w:val="left" w:pos="-720"/>
              </w:tabs>
              <w:suppressAutoHyphens/>
              <w:spacing w:after="0" w:line="240" w:lineRule="auto"/>
              <w:jc w:val="right"/>
              <w:rPr>
                <w:rFonts w:ascii="Calibri" w:eastAsia="Times New Roman" w:hAnsi="Calibri" w:cs="Arial"/>
                <w:lang w:val="en-US"/>
              </w:rPr>
            </w:pPr>
            <w:r w:rsidRPr="006C4609">
              <w:rPr>
                <w:rFonts w:cstheme="minorHAnsi"/>
                <w:color w:val="000000" w:themeColor="text1"/>
              </w:rPr>
              <w:t>(58</w:t>
            </w:r>
            <w:r>
              <w:rPr>
                <w:rFonts w:cstheme="minorHAnsi"/>
                <w:color w:val="000000" w:themeColor="text1"/>
              </w:rPr>
              <w:t>,</w:t>
            </w:r>
            <w:r w:rsidRPr="006C4609">
              <w:rPr>
                <w:rFonts w:cstheme="minorHAnsi"/>
                <w:color w:val="000000" w:themeColor="text1"/>
              </w:rPr>
              <w:t>900)</w:t>
            </w:r>
          </w:p>
        </w:tc>
      </w:tr>
      <w:tr w:rsidR="00987B26" w:rsidRPr="00537128" w14:paraId="2391B8F7" w14:textId="77777777" w:rsidTr="00D873D7">
        <w:trPr>
          <w:trHeight w:val="34"/>
        </w:trPr>
        <w:tc>
          <w:tcPr>
            <w:tcW w:w="2928" w:type="pct"/>
            <w:vAlign w:val="bottom"/>
          </w:tcPr>
          <w:p w14:paraId="656ECB7C" w14:textId="77777777" w:rsidR="00987B26" w:rsidRPr="00537128" w:rsidRDefault="00987B26" w:rsidP="00987B26">
            <w:pPr>
              <w:tabs>
                <w:tab w:val="left" w:pos="-720"/>
              </w:tabs>
              <w:suppressAutoHyphens/>
              <w:spacing w:after="0" w:line="280" w:lineRule="exact"/>
              <w:rPr>
                <w:rFonts w:ascii="Calibri" w:eastAsia="Times New Roman" w:hAnsi="Calibri" w:cs="Arial"/>
                <w:b/>
                <w:bCs/>
                <w:lang w:val="en-US"/>
              </w:rPr>
            </w:pPr>
          </w:p>
        </w:tc>
        <w:tc>
          <w:tcPr>
            <w:tcW w:w="1037" w:type="pct"/>
            <w:tcBorders>
              <w:top w:val="single" w:sz="4" w:space="0" w:color="auto"/>
              <w:bottom w:val="single" w:sz="12" w:space="0" w:color="auto"/>
            </w:tcBorders>
          </w:tcPr>
          <w:p w14:paraId="66814D81" w14:textId="53112FCD" w:rsidR="00987B26" w:rsidRPr="00537128" w:rsidRDefault="00987B26" w:rsidP="00987B26">
            <w:pPr>
              <w:tabs>
                <w:tab w:val="right" w:pos="1202"/>
              </w:tabs>
              <w:spacing w:after="0" w:line="340" w:lineRule="exact"/>
              <w:jc w:val="right"/>
              <w:outlineLvl w:val="0"/>
              <w:rPr>
                <w:rFonts w:ascii="Calibri" w:eastAsia="Times New Roman" w:hAnsi="Calibri" w:cs="Arial"/>
                <w:b/>
                <w:bCs/>
                <w:lang w:val="en-US"/>
              </w:rPr>
            </w:pPr>
            <w:r>
              <w:rPr>
                <w:rFonts w:ascii="Calibri" w:eastAsia="Times New Roman" w:hAnsi="Calibri" w:cs="Calibri"/>
                <w:b/>
                <w:bCs/>
                <w:color w:val="000000"/>
              </w:rPr>
              <w:t>6</w:t>
            </w:r>
            <w:r w:rsidR="00562B2C">
              <w:rPr>
                <w:rFonts w:ascii="Calibri" w:eastAsia="Times New Roman" w:hAnsi="Calibri" w:cs="Calibri"/>
                <w:b/>
                <w:bCs/>
                <w:color w:val="000000"/>
              </w:rPr>
              <w:t>,</w:t>
            </w:r>
            <w:r>
              <w:rPr>
                <w:rFonts w:ascii="Calibri" w:eastAsia="Times New Roman" w:hAnsi="Calibri" w:cs="Calibri"/>
                <w:b/>
                <w:bCs/>
                <w:color w:val="000000"/>
              </w:rPr>
              <w:t>941</w:t>
            </w:r>
            <w:r w:rsidR="00562B2C">
              <w:rPr>
                <w:rFonts w:ascii="Calibri" w:eastAsia="Times New Roman" w:hAnsi="Calibri" w:cs="Calibri"/>
                <w:b/>
                <w:bCs/>
                <w:color w:val="000000"/>
              </w:rPr>
              <w:t>,</w:t>
            </w:r>
            <w:r>
              <w:rPr>
                <w:rFonts w:ascii="Calibri" w:eastAsia="Times New Roman" w:hAnsi="Calibri" w:cs="Calibri"/>
                <w:b/>
                <w:bCs/>
                <w:color w:val="000000"/>
              </w:rPr>
              <w:t>960</w:t>
            </w:r>
          </w:p>
        </w:tc>
        <w:tc>
          <w:tcPr>
            <w:tcW w:w="1035" w:type="pct"/>
            <w:tcBorders>
              <w:top w:val="single" w:sz="4" w:space="0" w:color="auto"/>
              <w:bottom w:val="single" w:sz="12" w:space="0" w:color="auto"/>
            </w:tcBorders>
          </w:tcPr>
          <w:p w14:paraId="09873891" w14:textId="57AE11B5" w:rsidR="00987B26" w:rsidRPr="00537128" w:rsidRDefault="00987B26" w:rsidP="00987B26">
            <w:pPr>
              <w:tabs>
                <w:tab w:val="right" w:pos="1202"/>
              </w:tabs>
              <w:spacing w:after="0" w:line="340" w:lineRule="exact"/>
              <w:jc w:val="right"/>
              <w:outlineLvl w:val="0"/>
              <w:rPr>
                <w:rFonts w:ascii="Calibri" w:eastAsia="Times New Roman" w:hAnsi="Calibri" w:cs="Arial"/>
                <w:b/>
                <w:bCs/>
                <w:lang w:val="en-US"/>
              </w:rPr>
            </w:pPr>
            <w:r w:rsidRPr="006C4609">
              <w:rPr>
                <w:rFonts w:cstheme="minorHAnsi"/>
                <w:b/>
                <w:bCs/>
                <w:color w:val="000000" w:themeColor="text1"/>
              </w:rPr>
              <w:t>7</w:t>
            </w:r>
            <w:r>
              <w:rPr>
                <w:rFonts w:cstheme="minorHAnsi"/>
                <w:b/>
                <w:bCs/>
                <w:color w:val="000000" w:themeColor="text1"/>
              </w:rPr>
              <w:t>,</w:t>
            </w:r>
            <w:r w:rsidRPr="006C4609">
              <w:rPr>
                <w:rFonts w:cstheme="minorHAnsi"/>
                <w:b/>
                <w:bCs/>
                <w:color w:val="000000" w:themeColor="text1"/>
              </w:rPr>
              <w:t>050</w:t>
            </w:r>
            <w:r>
              <w:rPr>
                <w:rFonts w:cstheme="minorHAnsi"/>
                <w:b/>
                <w:bCs/>
                <w:color w:val="000000" w:themeColor="text1"/>
              </w:rPr>
              <w:t>,</w:t>
            </w:r>
            <w:r w:rsidRPr="006C4609">
              <w:rPr>
                <w:rFonts w:cstheme="minorHAnsi"/>
                <w:b/>
                <w:bCs/>
                <w:color w:val="000000" w:themeColor="text1"/>
              </w:rPr>
              <w:t>143</w:t>
            </w:r>
          </w:p>
        </w:tc>
      </w:tr>
    </w:tbl>
    <w:p w14:paraId="5249257A" w14:textId="77777777" w:rsidR="005E1350" w:rsidRPr="00537128" w:rsidRDefault="005E1350" w:rsidP="00FB32CA">
      <w:pPr>
        <w:autoSpaceDE w:val="0"/>
        <w:autoSpaceDN w:val="0"/>
        <w:adjustRightInd w:val="0"/>
        <w:spacing w:after="0" w:line="240" w:lineRule="auto"/>
        <w:jc w:val="both"/>
        <w:rPr>
          <w:b/>
          <w:noProof/>
          <w:color w:val="000000" w:themeColor="text1"/>
          <w:lang w:val="en-US"/>
        </w:rPr>
      </w:pPr>
    </w:p>
    <w:p w14:paraId="5B2F9A34" w14:textId="77777777" w:rsidR="005E1350" w:rsidRPr="00537128" w:rsidRDefault="005E1350" w:rsidP="00FB32CA">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The following tables sets out information about the credit quality of financial assets measured at amortised cost</w:t>
      </w:r>
      <w:r w:rsidR="0026413E" w:rsidRPr="00537128">
        <w:rPr>
          <w:noProof/>
          <w:color w:val="000000" w:themeColor="text1"/>
          <w:lang w:val="en-US"/>
        </w:rPr>
        <w:t>,</w:t>
      </w:r>
      <w:r w:rsidRPr="00537128">
        <w:rPr>
          <w:noProof/>
          <w:color w:val="000000" w:themeColor="text1"/>
          <w:lang w:val="en-US"/>
        </w:rPr>
        <w:t xml:space="preserve"> The amounts in the table represent gross carrying amounts:</w:t>
      </w:r>
    </w:p>
    <w:p w14:paraId="4C3B9169" w14:textId="77777777" w:rsidR="005E1350" w:rsidRPr="00537128" w:rsidRDefault="005E1350" w:rsidP="00FB32CA">
      <w:pPr>
        <w:autoSpaceDE w:val="0"/>
        <w:autoSpaceDN w:val="0"/>
        <w:adjustRightInd w:val="0"/>
        <w:spacing w:after="0" w:line="240" w:lineRule="auto"/>
        <w:jc w:val="both"/>
        <w:rPr>
          <w:noProof/>
          <w:color w:val="000000" w:themeColor="text1"/>
          <w:lang w:val="en-US"/>
        </w:rPr>
      </w:pPr>
    </w:p>
    <w:tbl>
      <w:tblPr>
        <w:tblW w:w="4469" w:type="pct"/>
        <w:tblInd w:w="567" w:type="dxa"/>
        <w:tblLayout w:type="fixed"/>
        <w:tblLook w:val="0000" w:firstRow="0" w:lastRow="0" w:firstColumn="0" w:lastColumn="0" w:noHBand="0" w:noVBand="0"/>
      </w:tblPr>
      <w:tblGrid>
        <w:gridCol w:w="2203"/>
        <w:gridCol w:w="1478"/>
        <w:gridCol w:w="1477"/>
        <w:gridCol w:w="1477"/>
        <w:gridCol w:w="1474"/>
      </w:tblGrid>
      <w:tr w:rsidR="0058555D" w:rsidRPr="00537128" w14:paraId="01917670" w14:textId="77777777" w:rsidTr="00562B2C">
        <w:trPr>
          <w:trHeight w:val="364"/>
        </w:trPr>
        <w:tc>
          <w:tcPr>
            <w:tcW w:w="1358" w:type="pct"/>
            <w:vAlign w:val="bottom"/>
          </w:tcPr>
          <w:p w14:paraId="41D381B5" w14:textId="4FDE8C4E" w:rsidR="0058555D" w:rsidRPr="00537128" w:rsidRDefault="0058555D" w:rsidP="0058555D">
            <w:pPr>
              <w:tabs>
                <w:tab w:val="left" w:pos="-720"/>
              </w:tabs>
              <w:suppressAutoHyphens/>
              <w:spacing w:after="0" w:line="220" w:lineRule="exact"/>
              <w:rPr>
                <w:rFonts w:ascii="Calibri" w:eastAsia="Times New Roman" w:hAnsi="Calibri" w:cs="Arial"/>
                <w:b/>
                <w:lang w:val="en-US"/>
              </w:rPr>
            </w:pPr>
            <w:r w:rsidRPr="00537128">
              <w:rPr>
                <w:rFonts w:ascii="Calibri" w:eastAsia="Times New Roman" w:hAnsi="Calibri" w:cs="Arial"/>
                <w:b/>
                <w:lang w:val="en-US"/>
              </w:rPr>
              <w:t>31 March 202</w:t>
            </w:r>
            <w:r w:rsidR="0039200F">
              <w:rPr>
                <w:rFonts w:ascii="Calibri" w:eastAsia="Times New Roman" w:hAnsi="Calibri" w:cs="Arial"/>
                <w:b/>
                <w:lang w:val="en-US"/>
              </w:rPr>
              <w:t>2</w:t>
            </w:r>
          </w:p>
        </w:tc>
        <w:tc>
          <w:tcPr>
            <w:tcW w:w="911" w:type="pct"/>
            <w:vAlign w:val="bottom"/>
          </w:tcPr>
          <w:p w14:paraId="6A23D445" w14:textId="77777777"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p>
        </w:tc>
        <w:tc>
          <w:tcPr>
            <w:tcW w:w="911" w:type="pct"/>
            <w:shd w:val="clear" w:color="auto" w:fill="auto"/>
            <w:vAlign w:val="bottom"/>
          </w:tcPr>
          <w:p w14:paraId="7B933AE5" w14:textId="77777777"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p>
        </w:tc>
        <w:tc>
          <w:tcPr>
            <w:tcW w:w="1820" w:type="pct"/>
            <w:gridSpan w:val="2"/>
            <w:shd w:val="clear" w:color="auto" w:fill="auto"/>
            <w:vAlign w:val="center"/>
          </w:tcPr>
          <w:p w14:paraId="5A476F9B"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bookmarkStart w:id="321" w:name="_Toc4058472"/>
            <w:r w:rsidRPr="00537128">
              <w:rPr>
                <w:rFonts w:ascii="Calibri" w:eastAsia="Times New Roman" w:hAnsi="Calibri" w:cs="Arial"/>
                <w:b/>
                <w:lang w:val="en-US"/>
              </w:rPr>
              <w:t>Group and Bank</w:t>
            </w:r>
            <w:bookmarkEnd w:id="321"/>
          </w:p>
        </w:tc>
      </w:tr>
      <w:tr w:rsidR="0058555D" w:rsidRPr="00537128" w14:paraId="50FE7361" w14:textId="77777777" w:rsidTr="00562B2C">
        <w:trPr>
          <w:trHeight w:val="280"/>
        </w:trPr>
        <w:tc>
          <w:tcPr>
            <w:tcW w:w="1358" w:type="pct"/>
            <w:vAlign w:val="bottom"/>
          </w:tcPr>
          <w:p w14:paraId="44795418" w14:textId="77777777" w:rsidR="0058555D" w:rsidRPr="00537128" w:rsidRDefault="0058555D" w:rsidP="0058555D">
            <w:pPr>
              <w:tabs>
                <w:tab w:val="left" w:pos="-720"/>
              </w:tabs>
              <w:suppressAutoHyphens/>
              <w:spacing w:after="0" w:line="220" w:lineRule="exact"/>
              <w:rPr>
                <w:rFonts w:ascii="Calibri" w:eastAsia="Times New Roman" w:hAnsi="Calibri" w:cs="Arial"/>
                <w:lang w:val="en-US"/>
              </w:rPr>
            </w:pPr>
          </w:p>
        </w:tc>
        <w:tc>
          <w:tcPr>
            <w:tcW w:w="911" w:type="pct"/>
            <w:vAlign w:val="bottom"/>
          </w:tcPr>
          <w:p w14:paraId="7D9BF967"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bookmarkStart w:id="322" w:name="_Toc4058473"/>
            <w:r w:rsidRPr="00537128">
              <w:rPr>
                <w:rFonts w:ascii="Calibri" w:eastAsia="Times New Roman" w:hAnsi="Calibri" w:cs="Arial"/>
                <w:b/>
                <w:lang w:val="en-US"/>
              </w:rPr>
              <w:t>Stage 1</w:t>
            </w:r>
            <w:bookmarkEnd w:id="322"/>
          </w:p>
        </w:tc>
        <w:tc>
          <w:tcPr>
            <w:tcW w:w="911" w:type="pct"/>
            <w:vAlign w:val="bottom"/>
          </w:tcPr>
          <w:p w14:paraId="63BBE42B"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bookmarkStart w:id="323" w:name="_Toc4058474"/>
            <w:r w:rsidRPr="00537128">
              <w:rPr>
                <w:rFonts w:ascii="Calibri" w:eastAsia="Times New Roman" w:hAnsi="Calibri" w:cs="Arial"/>
                <w:b/>
                <w:lang w:val="en-US"/>
              </w:rPr>
              <w:t>Stage 2</w:t>
            </w:r>
            <w:bookmarkEnd w:id="323"/>
          </w:p>
        </w:tc>
        <w:tc>
          <w:tcPr>
            <w:tcW w:w="911" w:type="pct"/>
            <w:vAlign w:val="bottom"/>
          </w:tcPr>
          <w:p w14:paraId="3A2D3A49"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bookmarkStart w:id="324" w:name="_Toc4058475"/>
            <w:r w:rsidRPr="00537128">
              <w:rPr>
                <w:rFonts w:ascii="Calibri" w:eastAsia="Times New Roman" w:hAnsi="Calibri" w:cs="Arial"/>
                <w:b/>
                <w:lang w:val="en-US"/>
              </w:rPr>
              <w:t>Stage 3</w:t>
            </w:r>
            <w:bookmarkEnd w:id="324"/>
          </w:p>
        </w:tc>
        <w:tc>
          <w:tcPr>
            <w:tcW w:w="909" w:type="pct"/>
            <w:vAlign w:val="bottom"/>
          </w:tcPr>
          <w:p w14:paraId="7421D53D"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bookmarkStart w:id="325" w:name="_Toc4058476"/>
            <w:r w:rsidRPr="00537128">
              <w:rPr>
                <w:rFonts w:ascii="Calibri" w:eastAsia="Times New Roman" w:hAnsi="Calibri" w:cs="Arial"/>
                <w:b/>
                <w:lang w:val="en-US"/>
              </w:rPr>
              <w:t>Total</w:t>
            </w:r>
            <w:bookmarkEnd w:id="325"/>
          </w:p>
        </w:tc>
      </w:tr>
      <w:tr w:rsidR="0058555D" w:rsidRPr="00537128" w14:paraId="2B4CBC2A" w14:textId="77777777" w:rsidTr="00562B2C">
        <w:trPr>
          <w:trHeight w:val="280"/>
        </w:trPr>
        <w:tc>
          <w:tcPr>
            <w:tcW w:w="1358" w:type="pct"/>
            <w:vAlign w:val="bottom"/>
          </w:tcPr>
          <w:p w14:paraId="4C9D3192" w14:textId="77777777" w:rsidR="0058555D" w:rsidRPr="00537128" w:rsidRDefault="0058555D" w:rsidP="0058555D">
            <w:pPr>
              <w:tabs>
                <w:tab w:val="left" w:pos="-720"/>
              </w:tabs>
              <w:suppressAutoHyphens/>
              <w:spacing w:after="0" w:line="220" w:lineRule="exact"/>
              <w:rPr>
                <w:rFonts w:ascii="Calibri" w:eastAsia="Times New Roman" w:hAnsi="Calibri" w:cs="Arial"/>
                <w:lang w:val="en-US"/>
              </w:rPr>
            </w:pPr>
          </w:p>
        </w:tc>
        <w:tc>
          <w:tcPr>
            <w:tcW w:w="911" w:type="pct"/>
            <w:vAlign w:val="bottom"/>
          </w:tcPr>
          <w:p w14:paraId="45838601" w14:textId="78D59905"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bookmarkStart w:id="326" w:name="_Toc4058477"/>
            <w:r w:rsidRPr="00537128">
              <w:rPr>
                <w:rFonts w:ascii="Calibri" w:eastAsia="Times New Roman" w:hAnsi="Calibri" w:cs="Arial"/>
                <w:b/>
                <w:lang w:val="en-US"/>
              </w:rPr>
              <w:t xml:space="preserve">HRK </w:t>
            </w:r>
            <w:r w:rsidR="00417C24">
              <w:rPr>
                <w:rFonts w:ascii="Calibri" w:eastAsia="Times New Roman" w:hAnsi="Calibri" w:cs="Arial"/>
                <w:b/>
                <w:lang w:val="en-US"/>
              </w:rPr>
              <w:t>‘</w:t>
            </w:r>
            <w:r w:rsidRPr="00537128">
              <w:rPr>
                <w:rFonts w:ascii="Calibri" w:eastAsia="Times New Roman" w:hAnsi="Calibri" w:cs="Arial"/>
                <w:b/>
                <w:lang w:val="en-US"/>
              </w:rPr>
              <w:t>000</w:t>
            </w:r>
            <w:bookmarkEnd w:id="326"/>
          </w:p>
        </w:tc>
        <w:tc>
          <w:tcPr>
            <w:tcW w:w="911" w:type="pct"/>
            <w:vAlign w:val="bottom"/>
          </w:tcPr>
          <w:p w14:paraId="61B8B7A4" w14:textId="7C1F03F8"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bookmarkStart w:id="327" w:name="_Toc4058478"/>
            <w:r w:rsidRPr="00537128">
              <w:rPr>
                <w:rFonts w:ascii="Calibri" w:eastAsia="Times New Roman" w:hAnsi="Calibri" w:cs="Arial"/>
                <w:b/>
                <w:lang w:val="en-US"/>
              </w:rPr>
              <w:t xml:space="preserve">HRK </w:t>
            </w:r>
            <w:r w:rsidR="00417C24">
              <w:rPr>
                <w:rFonts w:ascii="Calibri" w:eastAsia="Times New Roman" w:hAnsi="Calibri" w:cs="Arial"/>
                <w:b/>
                <w:lang w:val="en-US"/>
              </w:rPr>
              <w:t>‘</w:t>
            </w:r>
            <w:r w:rsidRPr="00537128">
              <w:rPr>
                <w:rFonts w:ascii="Calibri" w:eastAsia="Times New Roman" w:hAnsi="Calibri" w:cs="Arial"/>
                <w:b/>
                <w:lang w:val="en-US"/>
              </w:rPr>
              <w:t>000</w:t>
            </w:r>
            <w:bookmarkEnd w:id="327"/>
          </w:p>
        </w:tc>
        <w:tc>
          <w:tcPr>
            <w:tcW w:w="911" w:type="pct"/>
            <w:vAlign w:val="bottom"/>
          </w:tcPr>
          <w:p w14:paraId="066A0245" w14:textId="5C4202F2"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bookmarkStart w:id="328" w:name="_Toc4058479"/>
            <w:r w:rsidRPr="00537128">
              <w:rPr>
                <w:rFonts w:ascii="Calibri" w:eastAsia="Times New Roman" w:hAnsi="Calibri" w:cs="Arial"/>
                <w:b/>
                <w:lang w:val="en-US"/>
              </w:rPr>
              <w:t xml:space="preserve">HRK </w:t>
            </w:r>
            <w:r w:rsidR="00417C24">
              <w:rPr>
                <w:rFonts w:ascii="Calibri" w:eastAsia="Times New Roman" w:hAnsi="Calibri" w:cs="Arial"/>
                <w:b/>
                <w:lang w:val="en-US"/>
              </w:rPr>
              <w:t>‘</w:t>
            </w:r>
            <w:r w:rsidRPr="00537128">
              <w:rPr>
                <w:rFonts w:ascii="Calibri" w:eastAsia="Times New Roman" w:hAnsi="Calibri" w:cs="Arial"/>
                <w:b/>
                <w:lang w:val="en-US"/>
              </w:rPr>
              <w:t>000</w:t>
            </w:r>
            <w:bookmarkEnd w:id="328"/>
          </w:p>
        </w:tc>
        <w:tc>
          <w:tcPr>
            <w:tcW w:w="909" w:type="pct"/>
            <w:vAlign w:val="bottom"/>
          </w:tcPr>
          <w:p w14:paraId="2BE5D5ED" w14:textId="5F056731"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bookmarkStart w:id="329" w:name="_Toc4058480"/>
            <w:r w:rsidRPr="00537128">
              <w:rPr>
                <w:rFonts w:ascii="Calibri" w:eastAsia="Times New Roman" w:hAnsi="Calibri" w:cs="Arial"/>
                <w:b/>
                <w:lang w:val="en-US"/>
              </w:rPr>
              <w:t xml:space="preserve">HRK </w:t>
            </w:r>
            <w:r w:rsidR="00417C24">
              <w:rPr>
                <w:rFonts w:ascii="Calibri" w:eastAsia="Times New Roman" w:hAnsi="Calibri" w:cs="Arial"/>
                <w:b/>
                <w:lang w:val="en-US"/>
              </w:rPr>
              <w:t>‘</w:t>
            </w:r>
            <w:r w:rsidRPr="00537128">
              <w:rPr>
                <w:rFonts w:ascii="Calibri" w:eastAsia="Times New Roman" w:hAnsi="Calibri" w:cs="Arial"/>
                <w:b/>
                <w:lang w:val="en-US"/>
              </w:rPr>
              <w:t>000</w:t>
            </w:r>
            <w:bookmarkEnd w:id="329"/>
          </w:p>
        </w:tc>
      </w:tr>
      <w:tr w:rsidR="0058555D" w:rsidRPr="00537128" w14:paraId="6A24E7F7" w14:textId="77777777" w:rsidTr="00562B2C">
        <w:trPr>
          <w:trHeight w:val="181"/>
        </w:trPr>
        <w:tc>
          <w:tcPr>
            <w:tcW w:w="1358" w:type="pct"/>
            <w:vAlign w:val="bottom"/>
          </w:tcPr>
          <w:p w14:paraId="39DB73A5" w14:textId="77777777" w:rsidR="0058555D" w:rsidRPr="00537128" w:rsidRDefault="0058555D" w:rsidP="0058555D">
            <w:pPr>
              <w:tabs>
                <w:tab w:val="left" w:pos="-720"/>
              </w:tabs>
              <w:suppressAutoHyphens/>
              <w:spacing w:after="0" w:line="220" w:lineRule="exact"/>
              <w:rPr>
                <w:rFonts w:ascii="Calibri" w:eastAsia="Times New Roman" w:hAnsi="Calibri" w:cs="Arial"/>
                <w:lang w:val="en-US"/>
              </w:rPr>
            </w:pPr>
          </w:p>
        </w:tc>
        <w:tc>
          <w:tcPr>
            <w:tcW w:w="911" w:type="pct"/>
            <w:vAlign w:val="bottom"/>
          </w:tcPr>
          <w:p w14:paraId="32F0595C"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p>
        </w:tc>
        <w:tc>
          <w:tcPr>
            <w:tcW w:w="911" w:type="pct"/>
            <w:vAlign w:val="bottom"/>
          </w:tcPr>
          <w:p w14:paraId="49A0DEC9"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p>
        </w:tc>
        <w:tc>
          <w:tcPr>
            <w:tcW w:w="911" w:type="pct"/>
            <w:vAlign w:val="bottom"/>
          </w:tcPr>
          <w:p w14:paraId="3B8F9FFC"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p>
        </w:tc>
        <w:tc>
          <w:tcPr>
            <w:tcW w:w="909" w:type="pct"/>
            <w:vAlign w:val="bottom"/>
          </w:tcPr>
          <w:p w14:paraId="0FF94DA8"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p>
        </w:tc>
      </w:tr>
      <w:tr w:rsidR="00562B2C" w:rsidRPr="00537128" w14:paraId="5D54C3C0" w14:textId="77777777" w:rsidTr="00562B2C">
        <w:trPr>
          <w:trHeight w:val="383"/>
        </w:trPr>
        <w:tc>
          <w:tcPr>
            <w:tcW w:w="1358" w:type="pct"/>
            <w:vAlign w:val="bottom"/>
          </w:tcPr>
          <w:p w14:paraId="24E3E8F1" w14:textId="77777777" w:rsidR="00562B2C" w:rsidRPr="00537128" w:rsidRDefault="00562B2C" w:rsidP="00562B2C">
            <w:pPr>
              <w:tabs>
                <w:tab w:val="right" w:pos="1202"/>
              </w:tabs>
              <w:spacing w:after="0" w:line="240" w:lineRule="exact"/>
              <w:outlineLvl w:val="0"/>
              <w:rPr>
                <w:rFonts w:ascii="Calibri" w:eastAsia="Times New Roman" w:hAnsi="Calibri" w:cs="Arial"/>
                <w:lang w:val="en-US"/>
              </w:rPr>
            </w:pPr>
            <w:bookmarkStart w:id="330" w:name="_Toc4058481"/>
            <w:r w:rsidRPr="00537128">
              <w:rPr>
                <w:rFonts w:ascii="Calibri" w:eastAsia="Times New Roman" w:hAnsi="Calibri" w:cs="Arial"/>
                <w:lang w:val="en-US"/>
              </w:rPr>
              <w:t>Gross amount</w:t>
            </w:r>
            <w:bookmarkEnd w:id="330"/>
          </w:p>
        </w:tc>
        <w:tc>
          <w:tcPr>
            <w:tcW w:w="911" w:type="pct"/>
            <w:tcBorders>
              <w:top w:val="nil"/>
              <w:left w:val="nil"/>
              <w:bottom w:val="nil"/>
              <w:right w:val="nil"/>
            </w:tcBorders>
            <w:shd w:val="clear" w:color="auto" w:fill="auto"/>
            <w:vAlign w:val="bottom"/>
          </w:tcPr>
          <w:p w14:paraId="566C22D7" w14:textId="6DBF6790" w:rsidR="00562B2C" w:rsidRPr="00537128" w:rsidRDefault="00562B2C" w:rsidP="00562B2C">
            <w:pPr>
              <w:tabs>
                <w:tab w:val="right" w:pos="1202"/>
              </w:tabs>
              <w:spacing w:after="0" w:line="240" w:lineRule="exact"/>
              <w:jc w:val="right"/>
              <w:outlineLvl w:val="0"/>
              <w:rPr>
                <w:rFonts w:ascii="Calibri" w:eastAsia="Times New Roman" w:hAnsi="Calibri" w:cs="Arial"/>
                <w:lang w:val="en-US"/>
              </w:rPr>
            </w:pPr>
            <w:r w:rsidRPr="008703CD">
              <w:t>6</w:t>
            </w:r>
            <w:r>
              <w:t>,</w:t>
            </w:r>
            <w:r w:rsidRPr="008703CD">
              <w:t>786</w:t>
            </w:r>
            <w:r>
              <w:t>,</w:t>
            </w:r>
            <w:r w:rsidRPr="008703CD">
              <w:t>220</w:t>
            </w:r>
          </w:p>
        </w:tc>
        <w:tc>
          <w:tcPr>
            <w:tcW w:w="911" w:type="pct"/>
            <w:tcBorders>
              <w:top w:val="nil"/>
              <w:left w:val="nil"/>
              <w:bottom w:val="nil"/>
              <w:right w:val="nil"/>
            </w:tcBorders>
            <w:shd w:val="clear" w:color="auto" w:fill="auto"/>
            <w:vAlign w:val="bottom"/>
          </w:tcPr>
          <w:p w14:paraId="0D818247" w14:textId="679FEEE0" w:rsidR="00562B2C" w:rsidRPr="00537128" w:rsidRDefault="00562B2C" w:rsidP="00562B2C">
            <w:pPr>
              <w:tabs>
                <w:tab w:val="right" w:pos="1202"/>
              </w:tabs>
              <w:spacing w:after="0" w:line="240" w:lineRule="exact"/>
              <w:jc w:val="right"/>
              <w:outlineLvl w:val="0"/>
              <w:rPr>
                <w:rFonts w:ascii="Calibri" w:eastAsia="Times New Roman" w:hAnsi="Calibri" w:cs="Arial"/>
                <w:lang w:val="en-US"/>
              </w:rPr>
            </w:pPr>
            <w:r w:rsidRPr="00370CEA">
              <w:t>204</w:t>
            </w:r>
            <w:r>
              <w:t>,</w:t>
            </w:r>
            <w:r w:rsidRPr="00370CEA">
              <w:t>009</w:t>
            </w:r>
          </w:p>
        </w:tc>
        <w:tc>
          <w:tcPr>
            <w:tcW w:w="911" w:type="pct"/>
            <w:tcBorders>
              <w:top w:val="nil"/>
              <w:left w:val="nil"/>
              <w:bottom w:val="nil"/>
              <w:right w:val="nil"/>
            </w:tcBorders>
            <w:shd w:val="clear" w:color="auto" w:fill="auto"/>
            <w:vAlign w:val="bottom"/>
          </w:tcPr>
          <w:p w14:paraId="3C6F8E0C" w14:textId="64FE3465" w:rsidR="00562B2C" w:rsidRPr="00537128" w:rsidRDefault="00562B2C" w:rsidP="00562B2C">
            <w:pPr>
              <w:tabs>
                <w:tab w:val="right" w:pos="1202"/>
              </w:tabs>
              <w:spacing w:after="0" w:line="240" w:lineRule="exact"/>
              <w:jc w:val="right"/>
              <w:outlineLvl w:val="0"/>
              <w:rPr>
                <w:rFonts w:ascii="Calibri" w:eastAsia="Times New Roman" w:hAnsi="Calibri" w:cs="Arial"/>
                <w:lang w:val="en-US"/>
              </w:rPr>
            </w:pPr>
            <w:r w:rsidRPr="00BA7C0C">
              <w:t>9</w:t>
            </w:r>
            <w:r>
              <w:t>,</w:t>
            </w:r>
            <w:r w:rsidRPr="00BA7C0C">
              <w:t>711</w:t>
            </w:r>
          </w:p>
        </w:tc>
        <w:tc>
          <w:tcPr>
            <w:tcW w:w="909" w:type="pct"/>
            <w:tcBorders>
              <w:top w:val="nil"/>
              <w:left w:val="nil"/>
              <w:bottom w:val="nil"/>
              <w:right w:val="nil"/>
            </w:tcBorders>
            <w:shd w:val="clear" w:color="auto" w:fill="auto"/>
            <w:vAlign w:val="bottom"/>
          </w:tcPr>
          <w:p w14:paraId="1EA93B4D" w14:textId="3381D96E" w:rsidR="00562B2C" w:rsidRPr="00537128" w:rsidRDefault="00562B2C" w:rsidP="00562B2C">
            <w:pPr>
              <w:tabs>
                <w:tab w:val="right" w:pos="1202"/>
              </w:tabs>
              <w:spacing w:after="0" w:line="240" w:lineRule="exact"/>
              <w:jc w:val="right"/>
              <w:outlineLvl w:val="0"/>
              <w:rPr>
                <w:rFonts w:ascii="Calibri" w:eastAsia="Times New Roman" w:hAnsi="Calibri" w:cs="Arial"/>
                <w:lang w:val="en-US"/>
              </w:rPr>
            </w:pPr>
            <w:r w:rsidRPr="000B4564">
              <w:rPr>
                <w:b/>
                <w:bCs/>
              </w:rPr>
              <w:t xml:space="preserve"> 6</w:t>
            </w:r>
            <w:r>
              <w:rPr>
                <w:b/>
                <w:bCs/>
              </w:rPr>
              <w:t>,</w:t>
            </w:r>
            <w:r w:rsidRPr="000B4564">
              <w:rPr>
                <w:b/>
                <w:bCs/>
              </w:rPr>
              <w:t>999</w:t>
            </w:r>
            <w:r>
              <w:rPr>
                <w:b/>
                <w:bCs/>
              </w:rPr>
              <w:t>,</w:t>
            </w:r>
            <w:r w:rsidRPr="000B4564">
              <w:rPr>
                <w:b/>
                <w:bCs/>
              </w:rPr>
              <w:t xml:space="preserve">940 </w:t>
            </w:r>
          </w:p>
        </w:tc>
      </w:tr>
      <w:tr w:rsidR="00562B2C" w:rsidRPr="00537128" w14:paraId="58E18BBA" w14:textId="77777777" w:rsidTr="00562B2C">
        <w:trPr>
          <w:trHeight w:val="377"/>
        </w:trPr>
        <w:tc>
          <w:tcPr>
            <w:tcW w:w="1358" w:type="pct"/>
            <w:vAlign w:val="bottom"/>
          </w:tcPr>
          <w:p w14:paraId="17E6813B" w14:textId="77777777" w:rsidR="00562B2C" w:rsidRPr="00537128" w:rsidRDefault="00562B2C" w:rsidP="00562B2C">
            <w:pPr>
              <w:tabs>
                <w:tab w:val="right" w:pos="1202"/>
              </w:tabs>
              <w:spacing w:after="0" w:line="240" w:lineRule="exact"/>
              <w:outlineLvl w:val="0"/>
              <w:rPr>
                <w:rFonts w:ascii="Calibri" w:eastAsia="Times New Roman" w:hAnsi="Calibri" w:cs="Arial"/>
                <w:lang w:val="en-US"/>
              </w:rPr>
            </w:pPr>
            <w:bookmarkStart w:id="331" w:name="_Toc4058486"/>
            <w:r w:rsidRPr="00537128">
              <w:rPr>
                <w:rFonts w:ascii="Calibri" w:eastAsia="Times New Roman" w:hAnsi="Calibri" w:cs="Arial"/>
                <w:lang w:val="en-US"/>
              </w:rPr>
              <w:t>Loss allowances</w:t>
            </w:r>
            <w:bookmarkEnd w:id="331"/>
          </w:p>
        </w:tc>
        <w:tc>
          <w:tcPr>
            <w:tcW w:w="911" w:type="pct"/>
            <w:tcBorders>
              <w:top w:val="nil"/>
              <w:left w:val="nil"/>
              <w:bottom w:val="nil"/>
              <w:right w:val="nil"/>
            </w:tcBorders>
            <w:shd w:val="clear" w:color="auto" w:fill="auto"/>
            <w:vAlign w:val="bottom"/>
          </w:tcPr>
          <w:p w14:paraId="00F87E2B" w14:textId="00C2C6C4" w:rsidR="00562B2C" w:rsidRPr="00537128" w:rsidRDefault="00562B2C" w:rsidP="00562B2C">
            <w:pPr>
              <w:tabs>
                <w:tab w:val="right" w:pos="1202"/>
              </w:tabs>
              <w:spacing w:after="0" w:line="240" w:lineRule="exact"/>
              <w:jc w:val="right"/>
              <w:outlineLvl w:val="0"/>
              <w:rPr>
                <w:rFonts w:ascii="Calibri" w:eastAsia="Times New Roman" w:hAnsi="Calibri" w:cs="Arial"/>
                <w:lang w:val="en-US"/>
              </w:rPr>
            </w:pPr>
            <w:r w:rsidRPr="008703CD">
              <w:t xml:space="preserve"> (28</w:t>
            </w:r>
            <w:r>
              <w:t>,</w:t>
            </w:r>
            <w:r w:rsidRPr="008703CD">
              <w:t>627)</w:t>
            </w:r>
          </w:p>
        </w:tc>
        <w:tc>
          <w:tcPr>
            <w:tcW w:w="911" w:type="pct"/>
            <w:tcBorders>
              <w:top w:val="nil"/>
              <w:left w:val="nil"/>
              <w:bottom w:val="nil"/>
              <w:right w:val="nil"/>
            </w:tcBorders>
            <w:shd w:val="clear" w:color="auto" w:fill="auto"/>
            <w:vAlign w:val="bottom"/>
          </w:tcPr>
          <w:p w14:paraId="580CE0E8" w14:textId="54EC7F44" w:rsidR="00562B2C" w:rsidRPr="00537128" w:rsidRDefault="00562B2C" w:rsidP="00562B2C">
            <w:pPr>
              <w:tabs>
                <w:tab w:val="right" w:pos="1202"/>
              </w:tabs>
              <w:spacing w:after="0" w:line="240" w:lineRule="exact"/>
              <w:jc w:val="right"/>
              <w:outlineLvl w:val="0"/>
              <w:rPr>
                <w:rFonts w:ascii="Calibri" w:eastAsia="Times New Roman" w:hAnsi="Calibri" w:cs="Arial"/>
                <w:lang w:val="en-US"/>
              </w:rPr>
            </w:pPr>
            <w:r w:rsidRPr="00370CEA">
              <w:t xml:space="preserve"> (23</w:t>
            </w:r>
            <w:r>
              <w:t>,</w:t>
            </w:r>
            <w:r w:rsidRPr="00370CEA">
              <w:t>194)</w:t>
            </w:r>
          </w:p>
        </w:tc>
        <w:tc>
          <w:tcPr>
            <w:tcW w:w="911" w:type="pct"/>
            <w:tcBorders>
              <w:top w:val="nil"/>
              <w:left w:val="nil"/>
              <w:bottom w:val="nil"/>
              <w:right w:val="nil"/>
            </w:tcBorders>
            <w:shd w:val="clear" w:color="auto" w:fill="auto"/>
            <w:vAlign w:val="bottom"/>
          </w:tcPr>
          <w:p w14:paraId="011D0159" w14:textId="679711D8" w:rsidR="00562B2C" w:rsidRPr="00537128" w:rsidRDefault="00562B2C" w:rsidP="00562B2C">
            <w:pPr>
              <w:tabs>
                <w:tab w:val="right" w:pos="1202"/>
              </w:tabs>
              <w:spacing w:after="0" w:line="240" w:lineRule="exact"/>
              <w:jc w:val="right"/>
              <w:outlineLvl w:val="0"/>
              <w:rPr>
                <w:rFonts w:ascii="Calibri" w:eastAsia="Times New Roman" w:hAnsi="Calibri" w:cs="Arial"/>
                <w:lang w:val="en-US"/>
              </w:rPr>
            </w:pPr>
            <w:r w:rsidRPr="00BA7C0C">
              <w:t xml:space="preserve"> (6</w:t>
            </w:r>
            <w:r>
              <w:t>,</w:t>
            </w:r>
            <w:r w:rsidRPr="00BA7C0C">
              <w:t>159)</w:t>
            </w:r>
          </w:p>
        </w:tc>
        <w:tc>
          <w:tcPr>
            <w:tcW w:w="909" w:type="pct"/>
            <w:tcBorders>
              <w:top w:val="nil"/>
              <w:left w:val="nil"/>
              <w:bottom w:val="nil"/>
              <w:right w:val="nil"/>
            </w:tcBorders>
            <w:shd w:val="clear" w:color="auto" w:fill="auto"/>
            <w:vAlign w:val="bottom"/>
          </w:tcPr>
          <w:p w14:paraId="50C962D6" w14:textId="424EFC33" w:rsidR="00562B2C" w:rsidRPr="00537128" w:rsidRDefault="00562B2C" w:rsidP="00562B2C">
            <w:pPr>
              <w:tabs>
                <w:tab w:val="right" w:pos="1202"/>
              </w:tabs>
              <w:spacing w:after="0" w:line="240" w:lineRule="exact"/>
              <w:jc w:val="right"/>
              <w:outlineLvl w:val="0"/>
              <w:rPr>
                <w:rFonts w:ascii="Calibri" w:eastAsia="Times New Roman" w:hAnsi="Calibri" w:cs="Arial"/>
                <w:lang w:val="en-US"/>
              </w:rPr>
            </w:pPr>
            <w:r w:rsidRPr="000B4564">
              <w:rPr>
                <w:b/>
                <w:bCs/>
              </w:rPr>
              <w:t xml:space="preserve"> (57</w:t>
            </w:r>
            <w:r>
              <w:rPr>
                <w:b/>
                <w:bCs/>
              </w:rPr>
              <w:t>,</w:t>
            </w:r>
            <w:r w:rsidRPr="000B4564">
              <w:rPr>
                <w:b/>
                <w:bCs/>
              </w:rPr>
              <w:t>980)</w:t>
            </w:r>
          </w:p>
        </w:tc>
      </w:tr>
      <w:tr w:rsidR="00562B2C" w:rsidRPr="00537128" w14:paraId="6A8EAD38" w14:textId="77777777" w:rsidTr="00562B2C">
        <w:trPr>
          <w:trHeight w:val="554"/>
        </w:trPr>
        <w:tc>
          <w:tcPr>
            <w:tcW w:w="1358" w:type="pct"/>
            <w:vAlign w:val="bottom"/>
          </w:tcPr>
          <w:p w14:paraId="5FBA37A9" w14:textId="10FE8217" w:rsidR="00562B2C" w:rsidRPr="00537128" w:rsidRDefault="00562B2C" w:rsidP="00562B2C">
            <w:pPr>
              <w:tabs>
                <w:tab w:val="right" w:pos="1202"/>
              </w:tabs>
              <w:spacing w:after="0" w:line="240" w:lineRule="exact"/>
              <w:outlineLvl w:val="0"/>
              <w:rPr>
                <w:rFonts w:ascii="Calibri" w:eastAsia="Times New Roman" w:hAnsi="Calibri" w:cs="Arial"/>
                <w:b/>
                <w:iCs/>
                <w:lang w:val="en-US"/>
              </w:rPr>
            </w:pPr>
            <w:bookmarkStart w:id="332" w:name="_Toc4058491"/>
            <w:r w:rsidRPr="00537128">
              <w:rPr>
                <w:rFonts w:ascii="Calibri" w:eastAsia="Times New Roman" w:hAnsi="Calibri" w:cs="Arial"/>
                <w:b/>
                <w:iCs/>
                <w:lang w:val="en-US"/>
              </w:rPr>
              <w:t>Balance as of 31 March 202</w:t>
            </w:r>
            <w:bookmarkEnd w:id="332"/>
            <w:r>
              <w:rPr>
                <w:rFonts w:ascii="Calibri" w:eastAsia="Times New Roman" w:hAnsi="Calibri" w:cs="Arial"/>
                <w:b/>
                <w:iCs/>
                <w:lang w:val="en-US"/>
              </w:rPr>
              <w:t>2</w:t>
            </w:r>
          </w:p>
        </w:tc>
        <w:tc>
          <w:tcPr>
            <w:tcW w:w="911" w:type="pct"/>
            <w:tcBorders>
              <w:top w:val="single" w:sz="8" w:space="0" w:color="auto"/>
              <w:left w:val="nil"/>
              <w:bottom w:val="single" w:sz="12" w:space="0" w:color="000000"/>
              <w:right w:val="nil"/>
            </w:tcBorders>
            <w:shd w:val="clear" w:color="auto" w:fill="auto"/>
            <w:vAlign w:val="bottom"/>
          </w:tcPr>
          <w:p w14:paraId="05F6271D" w14:textId="05CA41C3" w:rsidR="00562B2C" w:rsidRPr="00537128" w:rsidRDefault="00562B2C" w:rsidP="00562B2C">
            <w:pPr>
              <w:tabs>
                <w:tab w:val="right" w:pos="1202"/>
              </w:tabs>
              <w:spacing w:after="0" w:line="240" w:lineRule="exact"/>
              <w:jc w:val="right"/>
              <w:outlineLvl w:val="0"/>
              <w:rPr>
                <w:rFonts w:ascii="Calibri" w:eastAsia="Times New Roman" w:hAnsi="Calibri" w:cs="Arial"/>
                <w:lang w:val="en-US"/>
              </w:rPr>
            </w:pPr>
            <w:r w:rsidRPr="000B4564">
              <w:rPr>
                <w:b/>
                <w:bCs/>
              </w:rPr>
              <w:t xml:space="preserve"> 6</w:t>
            </w:r>
            <w:r>
              <w:rPr>
                <w:b/>
                <w:bCs/>
              </w:rPr>
              <w:t>,</w:t>
            </w:r>
            <w:r w:rsidRPr="000B4564">
              <w:rPr>
                <w:b/>
                <w:bCs/>
              </w:rPr>
              <w:t>757</w:t>
            </w:r>
            <w:r>
              <w:rPr>
                <w:b/>
                <w:bCs/>
              </w:rPr>
              <w:t>,</w:t>
            </w:r>
            <w:r w:rsidRPr="000B4564">
              <w:rPr>
                <w:b/>
                <w:bCs/>
              </w:rPr>
              <w:t xml:space="preserve">593 </w:t>
            </w:r>
          </w:p>
        </w:tc>
        <w:tc>
          <w:tcPr>
            <w:tcW w:w="911" w:type="pct"/>
            <w:tcBorders>
              <w:top w:val="single" w:sz="8" w:space="0" w:color="auto"/>
              <w:left w:val="nil"/>
              <w:bottom w:val="single" w:sz="12" w:space="0" w:color="000000"/>
              <w:right w:val="nil"/>
            </w:tcBorders>
            <w:shd w:val="clear" w:color="auto" w:fill="auto"/>
            <w:vAlign w:val="bottom"/>
          </w:tcPr>
          <w:p w14:paraId="4F473968" w14:textId="1022AEB8" w:rsidR="00562B2C" w:rsidRPr="00537128" w:rsidRDefault="00562B2C" w:rsidP="00562B2C">
            <w:pPr>
              <w:tabs>
                <w:tab w:val="right" w:pos="1202"/>
              </w:tabs>
              <w:spacing w:after="0" w:line="240" w:lineRule="exact"/>
              <w:jc w:val="right"/>
              <w:outlineLvl w:val="0"/>
              <w:rPr>
                <w:rFonts w:ascii="Calibri" w:eastAsia="Times New Roman" w:hAnsi="Calibri" w:cs="Arial"/>
                <w:lang w:val="en-US"/>
              </w:rPr>
            </w:pPr>
            <w:r w:rsidRPr="000B4564">
              <w:rPr>
                <w:b/>
                <w:bCs/>
              </w:rPr>
              <w:t xml:space="preserve"> 180</w:t>
            </w:r>
            <w:r>
              <w:rPr>
                <w:b/>
                <w:bCs/>
              </w:rPr>
              <w:t>,</w:t>
            </w:r>
            <w:r w:rsidRPr="000B4564">
              <w:rPr>
                <w:b/>
                <w:bCs/>
              </w:rPr>
              <w:t xml:space="preserve">815 </w:t>
            </w:r>
          </w:p>
        </w:tc>
        <w:tc>
          <w:tcPr>
            <w:tcW w:w="911" w:type="pct"/>
            <w:tcBorders>
              <w:top w:val="single" w:sz="8" w:space="0" w:color="auto"/>
              <w:left w:val="nil"/>
              <w:bottom w:val="single" w:sz="12" w:space="0" w:color="000000"/>
              <w:right w:val="nil"/>
            </w:tcBorders>
            <w:shd w:val="clear" w:color="auto" w:fill="auto"/>
            <w:vAlign w:val="bottom"/>
          </w:tcPr>
          <w:p w14:paraId="7A723B9F" w14:textId="0DE2C407" w:rsidR="00562B2C" w:rsidRPr="00537128" w:rsidRDefault="00562B2C" w:rsidP="00562B2C">
            <w:pPr>
              <w:tabs>
                <w:tab w:val="right" w:pos="1202"/>
              </w:tabs>
              <w:spacing w:after="0" w:line="240" w:lineRule="exact"/>
              <w:jc w:val="right"/>
              <w:outlineLvl w:val="0"/>
              <w:rPr>
                <w:rFonts w:ascii="Calibri" w:eastAsia="Times New Roman" w:hAnsi="Calibri" w:cs="Arial"/>
                <w:lang w:val="en-US"/>
              </w:rPr>
            </w:pPr>
            <w:r w:rsidRPr="000B4564">
              <w:rPr>
                <w:b/>
                <w:bCs/>
              </w:rPr>
              <w:t xml:space="preserve"> 3</w:t>
            </w:r>
            <w:r>
              <w:rPr>
                <w:b/>
                <w:bCs/>
              </w:rPr>
              <w:t>,</w:t>
            </w:r>
            <w:r w:rsidRPr="000B4564">
              <w:rPr>
                <w:b/>
                <w:bCs/>
              </w:rPr>
              <w:t xml:space="preserve">552 </w:t>
            </w:r>
          </w:p>
        </w:tc>
        <w:tc>
          <w:tcPr>
            <w:tcW w:w="909" w:type="pct"/>
            <w:tcBorders>
              <w:top w:val="single" w:sz="8" w:space="0" w:color="auto"/>
              <w:left w:val="nil"/>
              <w:bottom w:val="single" w:sz="12" w:space="0" w:color="000000"/>
              <w:right w:val="nil"/>
            </w:tcBorders>
            <w:shd w:val="clear" w:color="auto" w:fill="auto"/>
            <w:vAlign w:val="bottom"/>
          </w:tcPr>
          <w:p w14:paraId="0B6631BC" w14:textId="573BE148" w:rsidR="00562B2C" w:rsidRPr="00537128" w:rsidRDefault="00562B2C" w:rsidP="00562B2C">
            <w:pPr>
              <w:tabs>
                <w:tab w:val="right" w:pos="1202"/>
              </w:tabs>
              <w:spacing w:after="0" w:line="240" w:lineRule="exact"/>
              <w:jc w:val="right"/>
              <w:outlineLvl w:val="0"/>
              <w:rPr>
                <w:rFonts w:ascii="Calibri" w:eastAsia="Times New Roman" w:hAnsi="Calibri" w:cs="Arial"/>
                <w:lang w:val="en-US"/>
              </w:rPr>
            </w:pPr>
            <w:r w:rsidRPr="000B4564">
              <w:rPr>
                <w:b/>
                <w:bCs/>
              </w:rPr>
              <w:t xml:space="preserve"> 6</w:t>
            </w:r>
            <w:r>
              <w:rPr>
                <w:b/>
                <w:bCs/>
              </w:rPr>
              <w:t>,</w:t>
            </w:r>
            <w:r w:rsidRPr="000B4564">
              <w:rPr>
                <w:b/>
                <w:bCs/>
              </w:rPr>
              <w:t>941</w:t>
            </w:r>
            <w:r>
              <w:rPr>
                <w:b/>
                <w:bCs/>
              </w:rPr>
              <w:t>,</w:t>
            </w:r>
            <w:r w:rsidRPr="000B4564">
              <w:rPr>
                <w:b/>
                <w:bCs/>
              </w:rPr>
              <w:t xml:space="preserve">960 </w:t>
            </w:r>
          </w:p>
        </w:tc>
      </w:tr>
    </w:tbl>
    <w:p w14:paraId="24463ECA" w14:textId="77777777" w:rsidR="00FB32CA" w:rsidRPr="00537128" w:rsidRDefault="00FB32CA" w:rsidP="00D3297A">
      <w:pPr>
        <w:autoSpaceDE w:val="0"/>
        <w:autoSpaceDN w:val="0"/>
        <w:adjustRightInd w:val="0"/>
        <w:spacing w:after="0" w:line="240" w:lineRule="auto"/>
        <w:jc w:val="both"/>
        <w:rPr>
          <w:b/>
          <w:noProof/>
          <w:color w:val="000000" w:themeColor="text1"/>
          <w:lang w:val="en-US"/>
        </w:rPr>
      </w:pPr>
    </w:p>
    <w:p w14:paraId="640EC81F" w14:textId="625E8815" w:rsidR="00FB32CA" w:rsidRPr="00537128" w:rsidRDefault="00FB32CA" w:rsidP="00D3297A">
      <w:pPr>
        <w:autoSpaceDE w:val="0"/>
        <w:autoSpaceDN w:val="0"/>
        <w:adjustRightInd w:val="0"/>
        <w:spacing w:after="0" w:line="240" w:lineRule="auto"/>
        <w:jc w:val="both"/>
        <w:rPr>
          <w:b/>
          <w:noProof/>
          <w:color w:val="000000" w:themeColor="text1"/>
          <w:lang w:val="en-US"/>
        </w:rPr>
      </w:pPr>
    </w:p>
    <w:tbl>
      <w:tblPr>
        <w:tblW w:w="4469" w:type="pct"/>
        <w:tblInd w:w="567" w:type="dxa"/>
        <w:tblLayout w:type="fixed"/>
        <w:tblLook w:val="0000" w:firstRow="0" w:lastRow="0" w:firstColumn="0" w:lastColumn="0" w:noHBand="0" w:noVBand="0"/>
      </w:tblPr>
      <w:tblGrid>
        <w:gridCol w:w="2203"/>
        <w:gridCol w:w="1478"/>
        <w:gridCol w:w="1477"/>
        <w:gridCol w:w="1477"/>
        <w:gridCol w:w="1474"/>
      </w:tblGrid>
      <w:tr w:rsidR="0058555D" w:rsidRPr="00537128" w14:paraId="46A5DB16" w14:textId="77777777" w:rsidTr="00417C24">
        <w:trPr>
          <w:trHeight w:val="364"/>
        </w:trPr>
        <w:tc>
          <w:tcPr>
            <w:tcW w:w="1358" w:type="pct"/>
            <w:vAlign w:val="bottom"/>
          </w:tcPr>
          <w:p w14:paraId="5317E256" w14:textId="101A0E48" w:rsidR="0058555D" w:rsidRPr="00537128" w:rsidRDefault="0058555D" w:rsidP="0058555D">
            <w:pPr>
              <w:tabs>
                <w:tab w:val="left" w:pos="-720"/>
              </w:tabs>
              <w:suppressAutoHyphens/>
              <w:spacing w:after="0" w:line="220" w:lineRule="exact"/>
              <w:rPr>
                <w:rFonts w:ascii="Calibri" w:eastAsia="Times New Roman" w:hAnsi="Calibri" w:cs="Arial"/>
                <w:b/>
                <w:lang w:val="en-US"/>
              </w:rPr>
            </w:pPr>
            <w:r w:rsidRPr="00537128">
              <w:rPr>
                <w:rFonts w:ascii="Calibri" w:eastAsia="Times New Roman" w:hAnsi="Calibri" w:cs="Arial"/>
                <w:b/>
                <w:lang w:val="en-US"/>
              </w:rPr>
              <w:t>31 December 202</w:t>
            </w:r>
            <w:r w:rsidR="0039200F">
              <w:rPr>
                <w:rFonts w:ascii="Calibri" w:eastAsia="Times New Roman" w:hAnsi="Calibri" w:cs="Arial"/>
                <w:b/>
                <w:lang w:val="en-US"/>
              </w:rPr>
              <w:t>1</w:t>
            </w:r>
          </w:p>
        </w:tc>
        <w:tc>
          <w:tcPr>
            <w:tcW w:w="911" w:type="pct"/>
            <w:vAlign w:val="bottom"/>
          </w:tcPr>
          <w:p w14:paraId="5652DE80" w14:textId="77777777"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p>
        </w:tc>
        <w:tc>
          <w:tcPr>
            <w:tcW w:w="911" w:type="pct"/>
            <w:shd w:val="clear" w:color="auto" w:fill="auto"/>
            <w:vAlign w:val="bottom"/>
          </w:tcPr>
          <w:p w14:paraId="442EA57F" w14:textId="77777777"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p>
        </w:tc>
        <w:tc>
          <w:tcPr>
            <w:tcW w:w="1820" w:type="pct"/>
            <w:gridSpan w:val="2"/>
            <w:shd w:val="clear" w:color="auto" w:fill="auto"/>
            <w:vAlign w:val="center"/>
          </w:tcPr>
          <w:p w14:paraId="4C8FE08A"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Group and Bank</w:t>
            </w:r>
          </w:p>
        </w:tc>
      </w:tr>
      <w:tr w:rsidR="0058555D" w:rsidRPr="00537128" w14:paraId="1CEFC4F2" w14:textId="77777777" w:rsidTr="00417C24">
        <w:trPr>
          <w:trHeight w:val="280"/>
        </w:trPr>
        <w:tc>
          <w:tcPr>
            <w:tcW w:w="1358" w:type="pct"/>
            <w:vAlign w:val="bottom"/>
          </w:tcPr>
          <w:p w14:paraId="63D2A35F" w14:textId="77777777" w:rsidR="0058555D" w:rsidRPr="00537128" w:rsidRDefault="0058555D" w:rsidP="0058555D">
            <w:pPr>
              <w:tabs>
                <w:tab w:val="left" w:pos="-720"/>
              </w:tabs>
              <w:suppressAutoHyphens/>
              <w:spacing w:after="0" w:line="220" w:lineRule="exact"/>
              <w:rPr>
                <w:rFonts w:ascii="Calibri" w:eastAsia="Times New Roman" w:hAnsi="Calibri" w:cs="Arial"/>
                <w:lang w:val="en-US"/>
              </w:rPr>
            </w:pPr>
          </w:p>
        </w:tc>
        <w:tc>
          <w:tcPr>
            <w:tcW w:w="911" w:type="pct"/>
            <w:vAlign w:val="bottom"/>
          </w:tcPr>
          <w:p w14:paraId="22D25F30"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Stage 1</w:t>
            </w:r>
          </w:p>
        </w:tc>
        <w:tc>
          <w:tcPr>
            <w:tcW w:w="911" w:type="pct"/>
            <w:vAlign w:val="bottom"/>
          </w:tcPr>
          <w:p w14:paraId="7B9A6896"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Stage 2</w:t>
            </w:r>
          </w:p>
        </w:tc>
        <w:tc>
          <w:tcPr>
            <w:tcW w:w="911" w:type="pct"/>
            <w:vAlign w:val="bottom"/>
          </w:tcPr>
          <w:p w14:paraId="6DAB2C83"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Stage 3</w:t>
            </w:r>
          </w:p>
        </w:tc>
        <w:tc>
          <w:tcPr>
            <w:tcW w:w="909" w:type="pct"/>
            <w:vAlign w:val="bottom"/>
          </w:tcPr>
          <w:p w14:paraId="5AD79EB1"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Total</w:t>
            </w:r>
          </w:p>
        </w:tc>
      </w:tr>
      <w:tr w:rsidR="00417C24" w:rsidRPr="00537128" w14:paraId="3FA29F4A" w14:textId="77777777" w:rsidTr="00417C24">
        <w:trPr>
          <w:trHeight w:val="280"/>
        </w:trPr>
        <w:tc>
          <w:tcPr>
            <w:tcW w:w="1358" w:type="pct"/>
            <w:vAlign w:val="bottom"/>
          </w:tcPr>
          <w:p w14:paraId="356326D2" w14:textId="77777777" w:rsidR="00417C24" w:rsidRPr="00537128" w:rsidRDefault="00417C24" w:rsidP="00417C24">
            <w:pPr>
              <w:tabs>
                <w:tab w:val="left" w:pos="-720"/>
              </w:tabs>
              <w:suppressAutoHyphens/>
              <w:spacing w:after="0" w:line="220" w:lineRule="exact"/>
              <w:rPr>
                <w:rFonts w:ascii="Calibri" w:eastAsia="Times New Roman" w:hAnsi="Calibri" w:cs="Arial"/>
                <w:lang w:val="en-US"/>
              </w:rPr>
            </w:pPr>
          </w:p>
        </w:tc>
        <w:tc>
          <w:tcPr>
            <w:tcW w:w="911" w:type="pct"/>
            <w:vAlign w:val="bottom"/>
          </w:tcPr>
          <w:p w14:paraId="37D514E4" w14:textId="4C4AF9B6" w:rsidR="00417C24" w:rsidRPr="00537128" w:rsidRDefault="00417C24" w:rsidP="00417C24">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 xml:space="preserve">HRK </w:t>
            </w:r>
            <w:r>
              <w:rPr>
                <w:rFonts w:ascii="Calibri" w:eastAsia="Times New Roman" w:hAnsi="Calibri" w:cs="Arial"/>
                <w:b/>
                <w:lang w:val="en-US"/>
              </w:rPr>
              <w:t>‘</w:t>
            </w:r>
            <w:r w:rsidRPr="00537128">
              <w:rPr>
                <w:rFonts w:ascii="Calibri" w:eastAsia="Times New Roman" w:hAnsi="Calibri" w:cs="Arial"/>
                <w:b/>
                <w:lang w:val="en-US"/>
              </w:rPr>
              <w:t>000</w:t>
            </w:r>
          </w:p>
        </w:tc>
        <w:tc>
          <w:tcPr>
            <w:tcW w:w="911" w:type="pct"/>
            <w:vAlign w:val="bottom"/>
          </w:tcPr>
          <w:p w14:paraId="048F3710" w14:textId="75844780" w:rsidR="00417C24" w:rsidRPr="00537128" w:rsidRDefault="00417C24" w:rsidP="00417C24">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 xml:space="preserve">HRK </w:t>
            </w:r>
            <w:r>
              <w:rPr>
                <w:rFonts w:ascii="Calibri" w:eastAsia="Times New Roman" w:hAnsi="Calibri" w:cs="Arial"/>
                <w:b/>
                <w:lang w:val="en-US"/>
              </w:rPr>
              <w:t>‘</w:t>
            </w:r>
            <w:r w:rsidRPr="00537128">
              <w:rPr>
                <w:rFonts w:ascii="Calibri" w:eastAsia="Times New Roman" w:hAnsi="Calibri" w:cs="Arial"/>
                <w:b/>
                <w:lang w:val="en-US"/>
              </w:rPr>
              <w:t>000</w:t>
            </w:r>
          </w:p>
        </w:tc>
        <w:tc>
          <w:tcPr>
            <w:tcW w:w="911" w:type="pct"/>
            <w:vAlign w:val="bottom"/>
          </w:tcPr>
          <w:p w14:paraId="05401830" w14:textId="2132D450" w:rsidR="00417C24" w:rsidRPr="00537128" w:rsidRDefault="00417C24" w:rsidP="00417C24">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 xml:space="preserve">HRK </w:t>
            </w:r>
            <w:r>
              <w:rPr>
                <w:rFonts w:ascii="Calibri" w:eastAsia="Times New Roman" w:hAnsi="Calibri" w:cs="Arial"/>
                <w:b/>
                <w:lang w:val="en-US"/>
              </w:rPr>
              <w:t>‘</w:t>
            </w:r>
            <w:r w:rsidRPr="00537128">
              <w:rPr>
                <w:rFonts w:ascii="Calibri" w:eastAsia="Times New Roman" w:hAnsi="Calibri" w:cs="Arial"/>
                <w:b/>
                <w:lang w:val="en-US"/>
              </w:rPr>
              <w:t>000</w:t>
            </w:r>
          </w:p>
        </w:tc>
        <w:tc>
          <w:tcPr>
            <w:tcW w:w="909" w:type="pct"/>
            <w:vAlign w:val="bottom"/>
          </w:tcPr>
          <w:p w14:paraId="06ECA5D5" w14:textId="65FE263E" w:rsidR="00417C24" w:rsidRPr="00537128" w:rsidRDefault="00417C24" w:rsidP="00417C24">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 xml:space="preserve">HRK </w:t>
            </w:r>
            <w:r>
              <w:rPr>
                <w:rFonts w:ascii="Calibri" w:eastAsia="Times New Roman" w:hAnsi="Calibri" w:cs="Arial"/>
                <w:b/>
                <w:lang w:val="en-US"/>
              </w:rPr>
              <w:t>‘</w:t>
            </w:r>
            <w:r w:rsidRPr="00537128">
              <w:rPr>
                <w:rFonts w:ascii="Calibri" w:eastAsia="Times New Roman" w:hAnsi="Calibri" w:cs="Arial"/>
                <w:b/>
                <w:lang w:val="en-US"/>
              </w:rPr>
              <w:t>000</w:t>
            </w:r>
          </w:p>
        </w:tc>
      </w:tr>
      <w:tr w:rsidR="00417C24" w:rsidRPr="00537128" w14:paraId="430EA473" w14:textId="77777777" w:rsidTr="00417C24">
        <w:trPr>
          <w:trHeight w:val="181"/>
        </w:trPr>
        <w:tc>
          <w:tcPr>
            <w:tcW w:w="1358" w:type="pct"/>
            <w:vAlign w:val="bottom"/>
          </w:tcPr>
          <w:p w14:paraId="5CC5BB96" w14:textId="77777777" w:rsidR="00417C24" w:rsidRPr="00537128" w:rsidRDefault="00417C24" w:rsidP="00417C24">
            <w:pPr>
              <w:tabs>
                <w:tab w:val="left" w:pos="-720"/>
              </w:tabs>
              <w:suppressAutoHyphens/>
              <w:spacing w:after="0" w:line="220" w:lineRule="exact"/>
              <w:rPr>
                <w:rFonts w:ascii="Calibri" w:eastAsia="Times New Roman" w:hAnsi="Calibri" w:cs="Arial"/>
                <w:lang w:val="en-US"/>
              </w:rPr>
            </w:pPr>
          </w:p>
        </w:tc>
        <w:tc>
          <w:tcPr>
            <w:tcW w:w="911" w:type="pct"/>
            <w:vAlign w:val="bottom"/>
          </w:tcPr>
          <w:p w14:paraId="28BA644D" w14:textId="77777777" w:rsidR="00417C24" w:rsidRPr="00537128" w:rsidRDefault="00417C24" w:rsidP="00417C24">
            <w:pPr>
              <w:tabs>
                <w:tab w:val="right" w:pos="1202"/>
              </w:tabs>
              <w:spacing w:after="0" w:line="220" w:lineRule="exact"/>
              <w:jc w:val="right"/>
              <w:outlineLvl w:val="0"/>
              <w:rPr>
                <w:rFonts w:ascii="Calibri" w:eastAsia="Times New Roman" w:hAnsi="Calibri" w:cs="Arial"/>
                <w:b/>
                <w:lang w:val="en-US"/>
              </w:rPr>
            </w:pPr>
          </w:p>
        </w:tc>
        <w:tc>
          <w:tcPr>
            <w:tcW w:w="911" w:type="pct"/>
            <w:vAlign w:val="bottom"/>
          </w:tcPr>
          <w:p w14:paraId="11A6ACA7" w14:textId="77777777" w:rsidR="00417C24" w:rsidRPr="00537128" w:rsidRDefault="00417C24" w:rsidP="00417C24">
            <w:pPr>
              <w:tabs>
                <w:tab w:val="right" w:pos="1202"/>
              </w:tabs>
              <w:spacing w:after="0" w:line="220" w:lineRule="exact"/>
              <w:jc w:val="right"/>
              <w:outlineLvl w:val="0"/>
              <w:rPr>
                <w:rFonts w:ascii="Calibri" w:eastAsia="Times New Roman" w:hAnsi="Calibri" w:cs="Arial"/>
                <w:b/>
                <w:lang w:val="en-US"/>
              </w:rPr>
            </w:pPr>
          </w:p>
        </w:tc>
        <w:tc>
          <w:tcPr>
            <w:tcW w:w="911" w:type="pct"/>
            <w:vAlign w:val="bottom"/>
          </w:tcPr>
          <w:p w14:paraId="423A2B81" w14:textId="77777777" w:rsidR="00417C24" w:rsidRPr="00537128" w:rsidRDefault="00417C24" w:rsidP="00417C24">
            <w:pPr>
              <w:tabs>
                <w:tab w:val="right" w:pos="1202"/>
              </w:tabs>
              <w:spacing w:after="0" w:line="220" w:lineRule="exact"/>
              <w:jc w:val="right"/>
              <w:outlineLvl w:val="0"/>
              <w:rPr>
                <w:rFonts w:ascii="Calibri" w:eastAsia="Times New Roman" w:hAnsi="Calibri" w:cs="Arial"/>
                <w:b/>
                <w:lang w:val="en-US"/>
              </w:rPr>
            </w:pPr>
          </w:p>
        </w:tc>
        <w:tc>
          <w:tcPr>
            <w:tcW w:w="909" w:type="pct"/>
            <w:vAlign w:val="bottom"/>
          </w:tcPr>
          <w:p w14:paraId="4CA3CD7A" w14:textId="77777777" w:rsidR="00417C24" w:rsidRPr="00537128" w:rsidRDefault="00417C24" w:rsidP="00417C24">
            <w:pPr>
              <w:tabs>
                <w:tab w:val="right" w:pos="1202"/>
              </w:tabs>
              <w:spacing w:after="0" w:line="220" w:lineRule="exact"/>
              <w:jc w:val="right"/>
              <w:outlineLvl w:val="0"/>
              <w:rPr>
                <w:rFonts w:ascii="Calibri" w:eastAsia="Times New Roman" w:hAnsi="Calibri" w:cs="Arial"/>
                <w:b/>
                <w:lang w:val="en-US"/>
              </w:rPr>
            </w:pPr>
          </w:p>
        </w:tc>
      </w:tr>
      <w:tr w:rsidR="00417C24" w:rsidRPr="00537128" w14:paraId="7CAE7245" w14:textId="77777777" w:rsidTr="00417C24">
        <w:trPr>
          <w:trHeight w:val="383"/>
        </w:trPr>
        <w:tc>
          <w:tcPr>
            <w:tcW w:w="1358" w:type="pct"/>
            <w:vAlign w:val="bottom"/>
          </w:tcPr>
          <w:p w14:paraId="23C7B588" w14:textId="77777777" w:rsidR="00417C24" w:rsidRPr="00537128" w:rsidRDefault="00417C24" w:rsidP="00417C24">
            <w:pPr>
              <w:tabs>
                <w:tab w:val="right" w:pos="1202"/>
              </w:tabs>
              <w:spacing w:after="0" w:line="240" w:lineRule="exact"/>
              <w:outlineLvl w:val="0"/>
              <w:rPr>
                <w:rFonts w:ascii="Calibri" w:eastAsia="Times New Roman" w:hAnsi="Calibri" w:cs="Arial"/>
                <w:lang w:val="en-US"/>
              </w:rPr>
            </w:pPr>
            <w:r w:rsidRPr="00537128">
              <w:rPr>
                <w:rFonts w:ascii="Calibri" w:eastAsia="Times New Roman" w:hAnsi="Calibri" w:cs="Arial"/>
                <w:lang w:val="en-US"/>
              </w:rPr>
              <w:t>Gross amount</w:t>
            </w:r>
          </w:p>
        </w:tc>
        <w:tc>
          <w:tcPr>
            <w:tcW w:w="911" w:type="pct"/>
            <w:tcBorders>
              <w:top w:val="nil"/>
              <w:left w:val="nil"/>
              <w:bottom w:val="nil"/>
              <w:right w:val="nil"/>
            </w:tcBorders>
            <w:shd w:val="clear" w:color="auto" w:fill="auto"/>
            <w:vAlign w:val="bottom"/>
          </w:tcPr>
          <w:p w14:paraId="3F8BEF82" w14:textId="7892954F" w:rsidR="00417C24" w:rsidRPr="00537128" w:rsidRDefault="00417C24" w:rsidP="00417C24">
            <w:pPr>
              <w:tabs>
                <w:tab w:val="right" w:pos="1202"/>
              </w:tabs>
              <w:spacing w:after="0" w:line="240" w:lineRule="exact"/>
              <w:jc w:val="right"/>
              <w:outlineLvl w:val="0"/>
              <w:rPr>
                <w:rFonts w:ascii="Calibri" w:eastAsia="Times New Roman" w:hAnsi="Calibri" w:cs="Arial"/>
                <w:lang w:val="en-US"/>
              </w:rPr>
            </w:pPr>
            <w:r w:rsidRPr="007F5B1C">
              <w:rPr>
                <w:rFonts w:cstheme="minorHAnsi"/>
              </w:rPr>
              <w:t>6</w:t>
            </w:r>
            <w:r>
              <w:rPr>
                <w:rFonts w:cstheme="minorHAnsi"/>
              </w:rPr>
              <w:t>,</w:t>
            </w:r>
            <w:r w:rsidRPr="007F5B1C">
              <w:rPr>
                <w:rFonts w:cstheme="minorHAnsi"/>
              </w:rPr>
              <w:t>895</w:t>
            </w:r>
            <w:r>
              <w:rPr>
                <w:rFonts w:cstheme="minorHAnsi"/>
              </w:rPr>
              <w:t>,</w:t>
            </w:r>
            <w:r w:rsidRPr="007F5B1C">
              <w:rPr>
                <w:rFonts w:cstheme="minorHAnsi"/>
              </w:rPr>
              <w:t>375</w:t>
            </w:r>
          </w:p>
        </w:tc>
        <w:tc>
          <w:tcPr>
            <w:tcW w:w="911" w:type="pct"/>
            <w:tcBorders>
              <w:top w:val="nil"/>
              <w:left w:val="nil"/>
              <w:bottom w:val="nil"/>
              <w:right w:val="nil"/>
            </w:tcBorders>
            <w:shd w:val="clear" w:color="auto" w:fill="auto"/>
            <w:vAlign w:val="bottom"/>
          </w:tcPr>
          <w:p w14:paraId="7670248A" w14:textId="30679239" w:rsidR="00417C24" w:rsidRPr="00537128" w:rsidRDefault="00417C24" w:rsidP="00417C24">
            <w:pPr>
              <w:tabs>
                <w:tab w:val="right" w:pos="1202"/>
              </w:tabs>
              <w:spacing w:after="0" w:line="240" w:lineRule="exact"/>
              <w:jc w:val="right"/>
              <w:outlineLvl w:val="0"/>
              <w:rPr>
                <w:rFonts w:ascii="Calibri" w:eastAsia="Times New Roman" w:hAnsi="Calibri" w:cs="Arial"/>
                <w:lang w:val="en-US"/>
              </w:rPr>
            </w:pPr>
            <w:r w:rsidRPr="007F5B1C">
              <w:rPr>
                <w:rFonts w:cstheme="minorHAnsi"/>
              </w:rPr>
              <w:t>203</w:t>
            </w:r>
            <w:r>
              <w:rPr>
                <w:rFonts w:cstheme="minorHAnsi"/>
              </w:rPr>
              <w:t>,</w:t>
            </w:r>
            <w:r w:rsidRPr="007F5B1C">
              <w:rPr>
                <w:rFonts w:cstheme="minorHAnsi"/>
              </w:rPr>
              <w:t>944</w:t>
            </w:r>
          </w:p>
        </w:tc>
        <w:tc>
          <w:tcPr>
            <w:tcW w:w="911" w:type="pct"/>
            <w:tcBorders>
              <w:top w:val="nil"/>
              <w:left w:val="nil"/>
              <w:bottom w:val="nil"/>
              <w:right w:val="nil"/>
            </w:tcBorders>
            <w:shd w:val="clear" w:color="auto" w:fill="auto"/>
            <w:vAlign w:val="bottom"/>
          </w:tcPr>
          <w:p w14:paraId="4736CBED" w14:textId="00FB0F27" w:rsidR="00417C24" w:rsidRPr="00537128" w:rsidRDefault="00417C24" w:rsidP="00417C24">
            <w:pPr>
              <w:tabs>
                <w:tab w:val="right" w:pos="1202"/>
              </w:tabs>
              <w:spacing w:after="0" w:line="240" w:lineRule="exact"/>
              <w:jc w:val="right"/>
              <w:outlineLvl w:val="0"/>
              <w:rPr>
                <w:rFonts w:ascii="Calibri" w:eastAsia="Times New Roman" w:hAnsi="Calibri" w:cs="Arial"/>
                <w:lang w:val="en-US"/>
              </w:rPr>
            </w:pPr>
            <w:r w:rsidRPr="007F5B1C">
              <w:rPr>
                <w:rFonts w:cstheme="minorHAnsi"/>
              </w:rPr>
              <w:t>9</w:t>
            </w:r>
            <w:r>
              <w:rPr>
                <w:rFonts w:cstheme="minorHAnsi"/>
              </w:rPr>
              <w:t>,</w:t>
            </w:r>
            <w:r w:rsidRPr="007F5B1C">
              <w:rPr>
                <w:rFonts w:cstheme="minorHAnsi"/>
              </w:rPr>
              <w:t>724</w:t>
            </w:r>
          </w:p>
        </w:tc>
        <w:tc>
          <w:tcPr>
            <w:tcW w:w="909" w:type="pct"/>
            <w:tcBorders>
              <w:top w:val="nil"/>
              <w:left w:val="nil"/>
              <w:bottom w:val="nil"/>
              <w:right w:val="nil"/>
            </w:tcBorders>
            <w:shd w:val="clear" w:color="auto" w:fill="auto"/>
            <w:vAlign w:val="bottom"/>
          </w:tcPr>
          <w:p w14:paraId="1C3A1E70" w14:textId="33CDBE1C" w:rsidR="00417C24" w:rsidRPr="00537128" w:rsidRDefault="00417C24" w:rsidP="00417C24">
            <w:pPr>
              <w:tabs>
                <w:tab w:val="right" w:pos="1202"/>
              </w:tabs>
              <w:spacing w:after="0" w:line="240" w:lineRule="exact"/>
              <w:jc w:val="right"/>
              <w:outlineLvl w:val="0"/>
              <w:rPr>
                <w:rFonts w:ascii="Calibri" w:eastAsia="Times New Roman" w:hAnsi="Calibri" w:cs="Arial"/>
                <w:lang w:val="en-US"/>
              </w:rPr>
            </w:pPr>
            <w:r w:rsidRPr="007F5B1C">
              <w:rPr>
                <w:rFonts w:cstheme="minorHAnsi"/>
                <w:b/>
                <w:bCs/>
              </w:rPr>
              <w:t xml:space="preserve"> 7</w:t>
            </w:r>
            <w:r>
              <w:rPr>
                <w:rFonts w:cstheme="minorHAnsi"/>
                <w:b/>
                <w:bCs/>
              </w:rPr>
              <w:t>,</w:t>
            </w:r>
            <w:r w:rsidRPr="007F5B1C">
              <w:rPr>
                <w:rFonts w:cstheme="minorHAnsi"/>
                <w:b/>
                <w:bCs/>
              </w:rPr>
              <w:t>109</w:t>
            </w:r>
            <w:r>
              <w:rPr>
                <w:rFonts w:cstheme="minorHAnsi"/>
                <w:b/>
                <w:bCs/>
              </w:rPr>
              <w:t>,</w:t>
            </w:r>
            <w:r w:rsidRPr="007F5B1C">
              <w:rPr>
                <w:rFonts w:cstheme="minorHAnsi"/>
                <w:b/>
                <w:bCs/>
              </w:rPr>
              <w:t xml:space="preserve">043 </w:t>
            </w:r>
          </w:p>
        </w:tc>
      </w:tr>
      <w:tr w:rsidR="00417C24" w:rsidRPr="00537128" w14:paraId="657CF6EC" w14:textId="77777777" w:rsidTr="00417C24">
        <w:trPr>
          <w:trHeight w:val="377"/>
        </w:trPr>
        <w:tc>
          <w:tcPr>
            <w:tcW w:w="1358" w:type="pct"/>
            <w:vAlign w:val="bottom"/>
          </w:tcPr>
          <w:p w14:paraId="4B62BB20" w14:textId="77777777" w:rsidR="00417C24" w:rsidRPr="00537128" w:rsidRDefault="00417C24" w:rsidP="00417C24">
            <w:pPr>
              <w:tabs>
                <w:tab w:val="right" w:pos="1202"/>
              </w:tabs>
              <w:spacing w:after="0" w:line="240" w:lineRule="exact"/>
              <w:outlineLvl w:val="0"/>
              <w:rPr>
                <w:rFonts w:ascii="Calibri" w:eastAsia="Times New Roman" w:hAnsi="Calibri" w:cs="Arial"/>
                <w:lang w:val="en-US"/>
              </w:rPr>
            </w:pPr>
            <w:r w:rsidRPr="00537128">
              <w:rPr>
                <w:rFonts w:ascii="Calibri" w:eastAsia="Times New Roman" w:hAnsi="Calibri" w:cs="Arial"/>
                <w:lang w:val="en-US"/>
              </w:rPr>
              <w:t>Loss allowances</w:t>
            </w:r>
          </w:p>
        </w:tc>
        <w:tc>
          <w:tcPr>
            <w:tcW w:w="911" w:type="pct"/>
            <w:tcBorders>
              <w:top w:val="nil"/>
              <w:left w:val="nil"/>
              <w:bottom w:val="nil"/>
              <w:right w:val="nil"/>
            </w:tcBorders>
            <w:shd w:val="clear" w:color="auto" w:fill="auto"/>
            <w:vAlign w:val="bottom"/>
          </w:tcPr>
          <w:p w14:paraId="25B1906B" w14:textId="48FCAF9C" w:rsidR="00417C24" w:rsidRPr="00537128" w:rsidRDefault="00417C24" w:rsidP="00417C24">
            <w:pPr>
              <w:tabs>
                <w:tab w:val="right" w:pos="1202"/>
              </w:tabs>
              <w:spacing w:after="0" w:line="240" w:lineRule="exact"/>
              <w:jc w:val="right"/>
              <w:outlineLvl w:val="0"/>
              <w:rPr>
                <w:rFonts w:ascii="Calibri" w:eastAsia="Times New Roman" w:hAnsi="Calibri" w:cs="Arial"/>
                <w:lang w:val="en-US"/>
              </w:rPr>
            </w:pPr>
            <w:r w:rsidRPr="007F5B1C">
              <w:rPr>
                <w:rFonts w:cstheme="minorHAnsi"/>
              </w:rPr>
              <w:t xml:space="preserve"> (29</w:t>
            </w:r>
            <w:r>
              <w:rPr>
                <w:rFonts w:cstheme="minorHAnsi"/>
              </w:rPr>
              <w:t>,</w:t>
            </w:r>
            <w:r w:rsidRPr="007F5B1C">
              <w:rPr>
                <w:rFonts w:cstheme="minorHAnsi"/>
              </w:rPr>
              <w:t>554)</w:t>
            </w:r>
          </w:p>
        </w:tc>
        <w:tc>
          <w:tcPr>
            <w:tcW w:w="911" w:type="pct"/>
            <w:tcBorders>
              <w:top w:val="nil"/>
              <w:left w:val="nil"/>
              <w:bottom w:val="nil"/>
              <w:right w:val="nil"/>
            </w:tcBorders>
            <w:shd w:val="clear" w:color="auto" w:fill="auto"/>
            <w:vAlign w:val="bottom"/>
          </w:tcPr>
          <w:p w14:paraId="27FE31E3" w14:textId="46105A28" w:rsidR="00417C24" w:rsidRPr="00537128" w:rsidRDefault="00417C24" w:rsidP="00417C24">
            <w:pPr>
              <w:tabs>
                <w:tab w:val="right" w:pos="1202"/>
              </w:tabs>
              <w:spacing w:after="0" w:line="240" w:lineRule="exact"/>
              <w:jc w:val="right"/>
              <w:outlineLvl w:val="0"/>
              <w:rPr>
                <w:rFonts w:ascii="Calibri" w:eastAsia="Times New Roman" w:hAnsi="Calibri" w:cs="Arial"/>
                <w:lang w:val="en-US"/>
              </w:rPr>
            </w:pPr>
            <w:r w:rsidRPr="007F5B1C">
              <w:rPr>
                <w:rFonts w:cstheme="minorHAnsi"/>
              </w:rPr>
              <w:t xml:space="preserve"> (23</w:t>
            </w:r>
            <w:r>
              <w:rPr>
                <w:rFonts w:cstheme="minorHAnsi"/>
              </w:rPr>
              <w:t>,</w:t>
            </w:r>
            <w:r w:rsidRPr="007F5B1C">
              <w:rPr>
                <w:rFonts w:cstheme="minorHAnsi"/>
              </w:rPr>
              <w:t>184)</w:t>
            </w:r>
          </w:p>
        </w:tc>
        <w:tc>
          <w:tcPr>
            <w:tcW w:w="911" w:type="pct"/>
            <w:tcBorders>
              <w:top w:val="nil"/>
              <w:left w:val="nil"/>
              <w:bottom w:val="nil"/>
              <w:right w:val="nil"/>
            </w:tcBorders>
            <w:shd w:val="clear" w:color="auto" w:fill="auto"/>
            <w:vAlign w:val="bottom"/>
          </w:tcPr>
          <w:p w14:paraId="5DCCA336" w14:textId="7801738B" w:rsidR="00417C24" w:rsidRPr="00537128" w:rsidRDefault="00417C24" w:rsidP="00417C24">
            <w:pPr>
              <w:tabs>
                <w:tab w:val="right" w:pos="1202"/>
              </w:tabs>
              <w:spacing w:after="0" w:line="240" w:lineRule="exact"/>
              <w:jc w:val="right"/>
              <w:outlineLvl w:val="0"/>
              <w:rPr>
                <w:rFonts w:ascii="Calibri" w:eastAsia="Times New Roman" w:hAnsi="Calibri" w:cs="Arial"/>
                <w:lang w:val="en-US"/>
              </w:rPr>
            </w:pPr>
            <w:r w:rsidRPr="007F5B1C">
              <w:rPr>
                <w:rFonts w:cstheme="minorHAnsi"/>
              </w:rPr>
              <w:t xml:space="preserve"> (6</w:t>
            </w:r>
            <w:r>
              <w:rPr>
                <w:rFonts w:cstheme="minorHAnsi"/>
              </w:rPr>
              <w:t>,</w:t>
            </w:r>
            <w:r w:rsidRPr="007F5B1C">
              <w:rPr>
                <w:rFonts w:cstheme="minorHAnsi"/>
              </w:rPr>
              <w:t>162)</w:t>
            </w:r>
          </w:p>
        </w:tc>
        <w:tc>
          <w:tcPr>
            <w:tcW w:w="909" w:type="pct"/>
            <w:tcBorders>
              <w:top w:val="nil"/>
              <w:left w:val="nil"/>
              <w:bottom w:val="nil"/>
              <w:right w:val="nil"/>
            </w:tcBorders>
            <w:shd w:val="clear" w:color="auto" w:fill="auto"/>
            <w:vAlign w:val="bottom"/>
          </w:tcPr>
          <w:p w14:paraId="0E9E2EFA" w14:textId="12B20243" w:rsidR="00417C24" w:rsidRPr="00537128" w:rsidRDefault="00417C24" w:rsidP="00417C24">
            <w:pPr>
              <w:tabs>
                <w:tab w:val="right" w:pos="1202"/>
              </w:tabs>
              <w:spacing w:after="0" w:line="240" w:lineRule="exact"/>
              <w:jc w:val="right"/>
              <w:outlineLvl w:val="0"/>
              <w:rPr>
                <w:rFonts w:ascii="Calibri" w:eastAsia="Times New Roman" w:hAnsi="Calibri" w:cs="Arial"/>
                <w:lang w:val="en-US"/>
              </w:rPr>
            </w:pPr>
            <w:r w:rsidRPr="007F5B1C">
              <w:rPr>
                <w:rFonts w:cstheme="minorHAnsi"/>
                <w:b/>
                <w:bCs/>
              </w:rPr>
              <w:t xml:space="preserve"> (58</w:t>
            </w:r>
            <w:r>
              <w:rPr>
                <w:rFonts w:cstheme="minorHAnsi"/>
                <w:b/>
                <w:bCs/>
              </w:rPr>
              <w:t>,</w:t>
            </w:r>
            <w:r w:rsidRPr="007F5B1C">
              <w:rPr>
                <w:rFonts w:cstheme="minorHAnsi"/>
                <w:b/>
                <w:bCs/>
              </w:rPr>
              <w:t>900)</w:t>
            </w:r>
          </w:p>
        </w:tc>
      </w:tr>
      <w:tr w:rsidR="00417C24" w:rsidRPr="00537128" w14:paraId="55395E50" w14:textId="77777777" w:rsidTr="00417C24">
        <w:trPr>
          <w:trHeight w:val="554"/>
        </w:trPr>
        <w:tc>
          <w:tcPr>
            <w:tcW w:w="1358" w:type="pct"/>
            <w:vAlign w:val="bottom"/>
          </w:tcPr>
          <w:p w14:paraId="0619AE3B" w14:textId="40E70C75" w:rsidR="00417C24" w:rsidRPr="00537128" w:rsidRDefault="00417C24" w:rsidP="00417C24">
            <w:pPr>
              <w:tabs>
                <w:tab w:val="right" w:pos="1202"/>
              </w:tabs>
              <w:spacing w:after="0" w:line="240" w:lineRule="exact"/>
              <w:outlineLvl w:val="0"/>
              <w:rPr>
                <w:rFonts w:ascii="Calibri" w:eastAsia="Times New Roman" w:hAnsi="Calibri" w:cs="Arial"/>
                <w:b/>
                <w:iCs/>
                <w:lang w:val="en-US"/>
              </w:rPr>
            </w:pPr>
            <w:r w:rsidRPr="00537128">
              <w:rPr>
                <w:rFonts w:ascii="Calibri" w:eastAsia="Times New Roman" w:hAnsi="Calibri" w:cs="Arial"/>
                <w:b/>
                <w:iCs/>
                <w:lang w:val="en-US"/>
              </w:rPr>
              <w:t>Balance as of 31 December 202</w:t>
            </w:r>
            <w:r>
              <w:rPr>
                <w:rFonts w:ascii="Calibri" w:eastAsia="Times New Roman" w:hAnsi="Calibri" w:cs="Arial"/>
                <w:b/>
                <w:iCs/>
                <w:lang w:val="en-US"/>
              </w:rPr>
              <w:t>1</w:t>
            </w:r>
          </w:p>
        </w:tc>
        <w:tc>
          <w:tcPr>
            <w:tcW w:w="911" w:type="pct"/>
            <w:tcBorders>
              <w:top w:val="single" w:sz="8" w:space="0" w:color="auto"/>
              <w:left w:val="nil"/>
              <w:bottom w:val="single" w:sz="12" w:space="0" w:color="000000"/>
              <w:right w:val="nil"/>
            </w:tcBorders>
            <w:shd w:val="clear" w:color="auto" w:fill="auto"/>
            <w:vAlign w:val="bottom"/>
          </w:tcPr>
          <w:p w14:paraId="223DAF87" w14:textId="57031F91" w:rsidR="00417C24" w:rsidRPr="00537128" w:rsidRDefault="00417C24" w:rsidP="00417C24">
            <w:pPr>
              <w:tabs>
                <w:tab w:val="right" w:pos="1202"/>
              </w:tabs>
              <w:spacing w:after="0" w:line="240" w:lineRule="exact"/>
              <w:jc w:val="right"/>
              <w:outlineLvl w:val="0"/>
              <w:rPr>
                <w:rFonts w:ascii="Calibri" w:eastAsia="Times New Roman" w:hAnsi="Calibri" w:cs="Arial"/>
                <w:lang w:val="en-US"/>
              </w:rPr>
            </w:pPr>
            <w:r w:rsidRPr="007F5B1C">
              <w:rPr>
                <w:rFonts w:cstheme="minorHAnsi"/>
                <w:b/>
                <w:bCs/>
              </w:rPr>
              <w:t xml:space="preserve"> 6</w:t>
            </w:r>
            <w:r>
              <w:rPr>
                <w:rFonts w:cstheme="minorHAnsi"/>
                <w:b/>
                <w:bCs/>
              </w:rPr>
              <w:t>,</w:t>
            </w:r>
            <w:r w:rsidRPr="007F5B1C">
              <w:rPr>
                <w:rFonts w:cstheme="minorHAnsi"/>
                <w:b/>
                <w:bCs/>
              </w:rPr>
              <w:t>865</w:t>
            </w:r>
            <w:r>
              <w:rPr>
                <w:rFonts w:cstheme="minorHAnsi"/>
                <w:b/>
                <w:bCs/>
              </w:rPr>
              <w:t>,</w:t>
            </w:r>
            <w:r w:rsidRPr="007F5B1C">
              <w:rPr>
                <w:rFonts w:cstheme="minorHAnsi"/>
                <w:b/>
                <w:bCs/>
              </w:rPr>
              <w:t xml:space="preserve">821 </w:t>
            </w:r>
          </w:p>
        </w:tc>
        <w:tc>
          <w:tcPr>
            <w:tcW w:w="911" w:type="pct"/>
            <w:tcBorders>
              <w:top w:val="single" w:sz="8" w:space="0" w:color="auto"/>
              <w:left w:val="nil"/>
              <w:bottom w:val="single" w:sz="12" w:space="0" w:color="000000"/>
              <w:right w:val="nil"/>
            </w:tcBorders>
            <w:shd w:val="clear" w:color="auto" w:fill="auto"/>
            <w:vAlign w:val="bottom"/>
          </w:tcPr>
          <w:p w14:paraId="33839A52" w14:textId="5A0448DB" w:rsidR="00417C24" w:rsidRPr="00537128" w:rsidRDefault="00417C24" w:rsidP="00417C24">
            <w:pPr>
              <w:tabs>
                <w:tab w:val="right" w:pos="1202"/>
              </w:tabs>
              <w:spacing w:after="0" w:line="240" w:lineRule="exact"/>
              <w:jc w:val="right"/>
              <w:outlineLvl w:val="0"/>
              <w:rPr>
                <w:rFonts w:ascii="Calibri" w:eastAsia="Times New Roman" w:hAnsi="Calibri" w:cs="Arial"/>
                <w:lang w:val="en-US"/>
              </w:rPr>
            </w:pPr>
            <w:r w:rsidRPr="007F5B1C">
              <w:rPr>
                <w:rFonts w:cstheme="minorHAnsi"/>
                <w:b/>
                <w:bCs/>
              </w:rPr>
              <w:t xml:space="preserve"> 180</w:t>
            </w:r>
            <w:r>
              <w:rPr>
                <w:rFonts w:cstheme="minorHAnsi"/>
                <w:b/>
                <w:bCs/>
              </w:rPr>
              <w:t>,</w:t>
            </w:r>
            <w:r w:rsidRPr="007F5B1C">
              <w:rPr>
                <w:rFonts w:cstheme="minorHAnsi"/>
                <w:b/>
                <w:bCs/>
              </w:rPr>
              <w:t xml:space="preserve">760 </w:t>
            </w:r>
          </w:p>
        </w:tc>
        <w:tc>
          <w:tcPr>
            <w:tcW w:w="911" w:type="pct"/>
            <w:tcBorders>
              <w:top w:val="single" w:sz="8" w:space="0" w:color="auto"/>
              <w:left w:val="nil"/>
              <w:bottom w:val="single" w:sz="12" w:space="0" w:color="000000"/>
              <w:right w:val="nil"/>
            </w:tcBorders>
            <w:shd w:val="clear" w:color="auto" w:fill="auto"/>
            <w:vAlign w:val="bottom"/>
          </w:tcPr>
          <w:p w14:paraId="5AC4122E" w14:textId="51D313A1" w:rsidR="00417C24" w:rsidRPr="00537128" w:rsidRDefault="00417C24" w:rsidP="00417C24">
            <w:pPr>
              <w:tabs>
                <w:tab w:val="right" w:pos="1202"/>
              </w:tabs>
              <w:spacing w:after="0" w:line="240" w:lineRule="exact"/>
              <w:jc w:val="right"/>
              <w:outlineLvl w:val="0"/>
              <w:rPr>
                <w:rFonts w:ascii="Calibri" w:eastAsia="Times New Roman" w:hAnsi="Calibri" w:cs="Arial"/>
                <w:lang w:val="en-US"/>
              </w:rPr>
            </w:pPr>
            <w:r w:rsidRPr="007F5B1C">
              <w:rPr>
                <w:rFonts w:cstheme="minorHAnsi"/>
                <w:b/>
                <w:bCs/>
              </w:rPr>
              <w:t xml:space="preserve"> 3</w:t>
            </w:r>
            <w:r>
              <w:rPr>
                <w:rFonts w:cstheme="minorHAnsi"/>
                <w:b/>
                <w:bCs/>
              </w:rPr>
              <w:t>,</w:t>
            </w:r>
            <w:r w:rsidRPr="007F5B1C">
              <w:rPr>
                <w:rFonts w:cstheme="minorHAnsi"/>
                <w:b/>
                <w:bCs/>
              </w:rPr>
              <w:t xml:space="preserve">562 </w:t>
            </w:r>
          </w:p>
        </w:tc>
        <w:tc>
          <w:tcPr>
            <w:tcW w:w="909" w:type="pct"/>
            <w:tcBorders>
              <w:top w:val="single" w:sz="8" w:space="0" w:color="auto"/>
              <w:left w:val="nil"/>
              <w:bottom w:val="single" w:sz="12" w:space="0" w:color="000000"/>
              <w:right w:val="nil"/>
            </w:tcBorders>
            <w:shd w:val="clear" w:color="auto" w:fill="auto"/>
            <w:vAlign w:val="bottom"/>
          </w:tcPr>
          <w:p w14:paraId="2EFA591C" w14:textId="79985F70" w:rsidR="00417C24" w:rsidRPr="00537128" w:rsidRDefault="00417C24" w:rsidP="00417C24">
            <w:pPr>
              <w:tabs>
                <w:tab w:val="right" w:pos="1202"/>
              </w:tabs>
              <w:spacing w:after="0" w:line="240" w:lineRule="exact"/>
              <w:jc w:val="right"/>
              <w:outlineLvl w:val="0"/>
              <w:rPr>
                <w:rFonts w:ascii="Calibri" w:eastAsia="Times New Roman" w:hAnsi="Calibri" w:cs="Arial"/>
                <w:lang w:val="en-US"/>
              </w:rPr>
            </w:pPr>
            <w:r w:rsidRPr="007F5B1C">
              <w:rPr>
                <w:rFonts w:cstheme="minorHAnsi"/>
                <w:b/>
                <w:bCs/>
              </w:rPr>
              <w:t xml:space="preserve"> 7</w:t>
            </w:r>
            <w:r>
              <w:rPr>
                <w:rFonts w:cstheme="minorHAnsi"/>
                <w:b/>
                <w:bCs/>
              </w:rPr>
              <w:t>,</w:t>
            </w:r>
            <w:r w:rsidRPr="007F5B1C">
              <w:rPr>
                <w:rFonts w:cstheme="minorHAnsi"/>
                <w:b/>
                <w:bCs/>
              </w:rPr>
              <w:t>050</w:t>
            </w:r>
            <w:r>
              <w:rPr>
                <w:rFonts w:cstheme="minorHAnsi"/>
                <w:b/>
                <w:bCs/>
              </w:rPr>
              <w:t>,</w:t>
            </w:r>
            <w:r w:rsidRPr="007F5B1C">
              <w:rPr>
                <w:rFonts w:cstheme="minorHAnsi"/>
                <w:b/>
                <w:bCs/>
              </w:rPr>
              <w:t xml:space="preserve">143 </w:t>
            </w:r>
          </w:p>
        </w:tc>
      </w:tr>
    </w:tbl>
    <w:p w14:paraId="5F9786B6" w14:textId="77777777" w:rsidR="0058555D" w:rsidRPr="00537128" w:rsidRDefault="0058555D" w:rsidP="00D3297A">
      <w:pPr>
        <w:autoSpaceDE w:val="0"/>
        <w:autoSpaceDN w:val="0"/>
        <w:adjustRightInd w:val="0"/>
        <w:spacing w:after="0" w:line="240" w:lineRule="auto"/>
        <w:jc w:val="both"/>
        <w:rPr>
          <w:b/>
          <w:noProof/>
          <w:color w:val="000000" w:themeColor="text1"/>
          <w:lang w:val="en-US"/>
        </w:rPr>
      </w:pPr>
    </w:p>
    <w:p w14:paraId="26202B86" w14:textId="77777777" w:rsidR="00FB32CA" w:rsidRPr="00537128" w:rsidRDefault="00FB32CA" w:rsidP="00D3297A">
      <w:pPr>
        <w:autoSpaceDE w:val="0"/>
        <w:autoSpaceDN w:val="0"/>
        <w:adjustRightInd w:val="0"/>
        <w:spacing w:after="0" w:line="240" w:lineRule="auto"/>
        <w:jc w:val="both"/>
        <w:rPr>
          <w:b/>
          <w:noProof/>
          <w:color w:val="000000" w:themeColor="text1"/>
          <w:lang w:val="en-US"/>
        </w:rPr>
      </w:pPr>
    </w:p>
    <w:p w14:paraId="5456CE9F" w14:textId="77777777" w:rsidR="00FB32CA" w:rsidRPr="00537128" w:rsidRDefault="00FB32CA" w:rsidP="00D3297A">
      <w:pPr>
        <w:autoSpaceDE w:val="0"/>
        <w:autoSpaceDN w:val="0"/>
        <w:adjustRightInd w:val="0"/>
        <w:spacing w:after="0" w:line="240" w:lineRule="auto"/>
        <w:jc w:val="both"/>
        <w:rPr>
          <w:b/>
          <w:noProof/>
          <w:color w:val="000000" w:themeColor="text1"/>
          <w:lang w:val="en-US"/>
        </w:rPr>
      </w:pPr>
    </w:p>
    <w:p w14:paraId="21417E6F" w14:textId="77777777" w:rsidR="00FB32CA" w:rsidRPr="00537128" w:rsidRDefault="00FB32CA" w:rsidP="00D3297A">
      <w:pPr>
        <w:autoSpaceDE w:val="0"/>
        <w:autoSpaceDN w:val="0"/>
        <w:adjustRightInd w:val="0"/>
        <w:spacing w:after="0" w:line="240" w:lineRule="auto"/>
        <w:jc w:val="both"/>
        <w:rPr>
          <w:b/>
          <w:noProof/>
          <w:color w:val="000000" w:themeColor="text1"/>
          <w:lang w:val="en-US"/>
        </w:rPr>
      </w:pPr>
    </w:p>
    <w:p w14:paraId="689C258A" w14:textId="77777777" w:rsidR="00FB32CA" w:rsidRPr="00537128" w:rsidRDefault="00FB32CA" w:rsidP="00D3297A">
      <w:pPr>
        <w:autoSpaceDE w:val="0"/>
        <w:autoSpaceDN w:val="0"/>
        <w:adjustRightInd w:val="0"/>
        <w:spacing w:after="0" w:line="240" w:lineRule="auto"/>
        <w:jc w:val="both"/>
        <w:rPr>
          <w:b/>
          <w:noProof/>
          <w:color w:val="000000" w:themeColor="text1"/>
          <w:lang w:val="en-US"/>
        </w:rPr>
        <w:sectPr w:rsidR="00FB32CA" w:rsidRPr="00537128">
          <w:pgSz w:w="11906" w:h="16838"/>
          <w:pgMar w:top="1417" w:right="1417" w:bottom="1417" w:left="1417" w:header="708" w:footer="708" w:gutter="0"/>
          <w:cols w:space="708"/>
          <w:docGrid w:linePitch="360"/>
        </w:sectPr>
      </w:pPr>
    </w:p>
    <w:p w14:paraId="49590855" w14:textId="77777777" w:rsidR="00FB32CA" w:rsidRPr="00537128" w:rsidRDefault="00FB32CA" w:rsidP="00D3297A">
      <w:pPr>
        <w:autoSpaceDE w:val="0"/>
        <w:autoSpaceDN w:val="0"/>
        <w:adjustRightInd w:val="0"/>
        <w:spacing w:after="0" w:line="240" w:lineRule="auto"/>
        <w:jc w:val="both"/>
        <w:rPr>
          <w:b/>
          <w:noProof/>
          <w:color w:val="000000" w:themeColor="text1"/>
          <w:lang w:val="en-US"/>
        </w:rPr>
      </w:pPr>
    </w:p>
    <w:p w14:paraId="77A17F9D" w14:textId="77777777" w:rsidR="00FB32CA" w:rsidRPr="00537128" w:rsidRDefault="00FB32CA" w:rsidP="005B7D9D">
      <w:pPr>
        <w:pStyle w:val="ListParagraph"/>
        <w:numPr>
          <w:ilvl w:val="0"/>
          <w:numId w:val="11"/>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Loans to financial institutions (continued)</w:t>
      </w:r>
    </w:p>
    <w:p w14:paraId="09A9A8F8" w14:textId="77777777" w:rsidR="00FB32CA" w:rsidRPr="00537128" w:rsidRDefault="00FB32CA" w:rsidP="003602EF">
      <w:pPr>
        <w:autoSpaceDE w:val="0"/>
        <w:autoSpaceDN w:val="0"/>
        <w:adjustRightInd w:val="0"/>
        <w:spacing w:after="0" w:line="240" w:lineRule="auto"/>
        <w:jc w:val="both"/>
        <w:rPr>
          <w:noProof/>
          <w:color w:val="000000" w:themeColor="text1"/>
          <w:lang w:val="en-US"/>
        </w:rPr>
      </w:pPr>
    </w:p>
    <w:p w14:paraId="4CC3DA2E" w14:textId="77777777" w:rsidR="00FB32CA" w:rsidRPr="00537128" w:rsidRDefault="00FB32CA" w:rsidP="003602EF">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The movements in the loss allowances on loans to financial institutions may be summarized as follows:</w:t>
      </w:r>
    </w:p>
    <w:p w14:paraId="1095F75F" w14:textId="52C269A6" w:rsidR="00FB32CA" w:rsidRPr="00537128" w:rsidRDefault="00FB32CA" w:rsidP="003602EF">
      <w:pPr>
        <w:autoSpaceDE w:val="0"/>
        <w:autoSpaceDN w:val="0"/>
        <w:adjustRightInd w:val="0"/>
        <w:spacing w:after="0" w:line="240" w:lineRule="auto"/>
        <w:jc w:val="both"/>
        <w:rPr>
          <w:noProof/>
          <w:color w:val="000000" w:themeColor="text1"/>
          <w:lang w:val="en-US"/>
        </w:rPr>
      </w:pPr>
    </w:p>
    <w:tbl>
      <w:tblPr>
        <w:tblW w:w="4887" w:type="pct"/>
        <w:tblInd w:w="50" w:type="dxa"/>
        <w:tblLayout w:type="fixed"/>
        <w:tblLook w:val="0000" w:firstRow="0" w:lastRow="0" w:firstColumn="0" w:lastColumn="0" w:noHBand="0" w:noVBand="0"/>
      </w:tblPr>
      <w:tblGrid>
        <w:gridCol w:w="5113"/>
        <w:gridCol w:w="1878"/>
        <w:gridCol w:w="1876"/>
      </w:tblGrid>
      <w:tr w:rsidR="0058555D" w:rsidRPr="00537128" w14:paraId="4F3A90FE" w14:textId="77777777" w:rsidTr="00D873D7">
        <w:trPr>
          <w:trHeight w:hRule="exact" w:val="241"/>
        </w:trPr>
        <w:tc>
          <w:tcPr>
            <w:tcW w:w="2883" w:type="pct"/>
            <w:vAlign w:val="bottom"/>
          </w:tcPr>
          <w:p w14:paraId="6E5AD445" w14:textId="77777777" w:rsidR="0058555D" w:rsidRPr="00537128" w:rsidRDefault="0058555D" w:rsidP="0058555D">
            <w:pPr>
              <w:tabs>
                <w:tab w:val="left" w:pos="-720"/>
              </w:tabs>
              <w:suppressAutoHyphens/>
              <w:spacing w:after="0" w:line="280" w:lineRule="exact"/>
              <w:rPr>
                <w:rFonts w:ascii="Calibri" w:eastAsia="Calibri" w:hAnsi="Calibri" w:cs="Arial"/>
                <w:b/>
                <w:noProof/>
                <w:spacing w:val="-3"/>
                <w:lang w:val="en-US"/>
              </w:rPr>
            </w:pPr>
          </w:p>
        </w:tc>
        <w:tc>
          <w:tcPr>
            <w:tcW w:w="1059" w:type="pct"/>
            <w:vAlign w:val="bottom"/>
          </w:tcPr>
          <w:p w14:paraId="2D8E4ADC" w14:textId="77777777" w:rsidR="0058555D" w:rsidRPr="00537128" w:rsidRDefault="0058555D" w:rsidP="0058555D">
            <w:pPr>
              <w:suppressAutoHyphens/>
              <w:spacing w:after="0" w:line="280" w:lineRule="exact"/>
              <w:ind w:hanging="108"/>
              <w:jc w:val="right"/>
              <w:rPr>
                <w:rFonts w:ascii="Calibri" w:eastAsia="Calibri" w:hAnsi="Calibri" w:cs="Arial"/>
                <w:b/>
                <w:noProof/>
                <w:spacing w:val="-3"/>
                <w:lang w:val="en-US"/>
              </w:rPr>
            </w:pPr>
          </w:p>
        </w:tc>
        <w:tc>
          <w:tcPr>
            <w:tcW w:w="1058" w:type="pct"/>
            <w:vAlign w:val="bottom"/>
          </w:tcPr>
          <w:p w14:paraId="46DAB40F" w14:textId="77777777" w:rsidR="0058555D" w:rsidRPr="00537128" w:rsidRDefault="0058555D" w:rsidP="0058555D">
            <w:pPr>
              <w:suppressAutoHyphens/>
              <w:spacing w:after="0" w:line="280" w:lineRule="exact"/>
              <w:ind w:hanging="108"/>
              <w:jc w:val="right"/>
              <w:rPr>
                <w:rFonts w:ascii="Calibri" w:eastAsia="Calibri" w:hAnsi="Calibri" w:cs="Arial"/>
                <w:b/>
                <w:noProof/>
                <w:spacing w:val="-3"/>
                <w:lang w:val="en-US"/>
              </w:rPr>
            </w:pPr>
            <w:r w:rsidRPr="00537128">
              <w:rPr>
                <w:rFonts w:ascii="Calibri" w:eastAsia="Calibri" w:hAnsi="Calibri" w:cs="Arial"/>
                <w:b/>
                <w:noProof/>
                <w:lang w:val="en-US"/>
              </w:rPr>
              <w:t>Group and Bank</w:t>
            </w:r>
          </w:p>
        </w:tc>
      </w:tr>
      <w:tr w:rsidR="0058555D" w:rsidRPr="00537128" w14:paraId="5E5F36FC" w14:textId="77777777" w:rsidTr="00D873D7">
        <w:trPr>
          <w:trHeight w:hRule="exact" w:val="532"/>
        </w:trPr>
        <w:tc>
          <w:tcPr>
            <w:tcW w:w="2883" w:type="pct"/>
            <w:vAlign w:val="bottom"/>
          </w:tcPr>
          <w:p w14:paraId="14D94F8B" w14:textId="77777777" w:rsidR="0058555D" w:rsidRPr="00537128" w:rsidRDefault="0058555D" w:rsidP="0058555D">
            <w:pPr>
              <w:tabs>
                <w:tab w:val="left" w:pos="-720"/>
              </w:tabs>
              <w:suppressAutoHyphens/>
              <w:spacing w:after="0" w:line="280" w:lineRule="exact"/>
              <w:rPr>
                <w:rFonts w:ascii="Calibri" w:eastAsia="Calibri" w:hAnsi="Calibri" w:cs="Arial"/>
                <w:b/>
                <w:noProof/>
                <w:spacing w:val="-3"/>
                <w:lang w:val="en-US"/>
              </w:rPr>
            </w:pPr>
          </w:p>
        </w:tc>
        <w:tc>
          <w:tcPr>
            <w:tcW w:w="1059" w:type="pct"/>
            <w:vAlign w:val="bottom"/>
          </w:tcPr>
          <w:p w14:paraId="6FCD5738" w14:textId="17BC0A90" w:rsidR="0058555D" w:rsidRPr="00537128" w:rsidRDefault="0058555D" w:rsidP="0058555D">
            <w:pPr>
              <w:suppressAutoHyphens/>
              <w:spacing w:after="0" w:line="280" w:lineRule="exact"/>
              <w:ind w:hanging="108"/>
              <w:jc w:val="right"/>
              <w:rPr>
                <w:rFonts w:ascii="Calibri" w:eastAsia="Calibri" w:hAnsi="Calibri" w:cs="Calibri"/>
                <w:b/>
                <w:bCs/>
                <w:noProof/>
                <w:lang w:val="en-US"/>
              </w:rPr>
            </w:pPr>
            <w:r w:rsidRPr="00537128">
              <w:rPr>
                <w:rFonts w:ascii="Calibri" w:eastAsia="Calibri" w:hAnsi="Calibri" w:cs="Calibri"/>
                <w:b/>
                <w:bCs/>
                <w:noProof/>
                <w:lang w:val="en-US"/>
              </w:rPr>
              <w:t xml:space="preserve">Jan 1 - Mar 31, </w:t>
            </w:r>
          </w:p>
          <w:p w14:paraId="3397E360" w14:textId="7D904748" w:rsidR="0058555D" w:rsidRPr="00537128" w:rsidRDefault="0058555D" w:rsidP="0058555D">
            <w:pPr>
              <w:suppressAutoHyphens/>
              <w:spacing w:after="0" w:line="280" w:lineRule="exact"/>
              <w:ind w:hanging="108"/>
              <w:jc w:val="right"/>
              <w:rPr>
                <w:rFonts w:ascii="Calibri" w:eastAsia="Calibri" w:hAnsi="Calibri" w:cs="Arial"/>
                <w:b/>
                <w:noProof/>
                <w:spacing w:val="-3"/>
                <w:lang w:val="en-US"/>
              </w:rPr>
            </w:pPr>
            <w:r w:rsidRPr="00537128">
              <w:rPr>
                <w:rFonts w:ascii="Calibri" w:eastAsia="Calibri" w:hAnsi="Calibri" w:cs="Calibri"/>
                <w:b/>
                <w:bCs/>
                <w:noProof/>
                <w:lang w:val="en-US"/>
              </w:rPr>
              <w:t>202</w:t>
            </w:r>
            <w:r w:rsidR="002B29FB">
              <w:rPr>
                <w:rFonts w:ascii="Calibri" w:eastAsia="Calibri" w:hAnsi="Calibri" w:cs="Calibri"/>
                <w:b/>
                <w:bCs/>
                <w:noProof/>
                <w:lang w:val="en-US"/>
              </w:rPr>
              <w:t>2</w:t>
            </w:r>
          </w:p>
        </w:tc>
        <w:tc>
          <w:tcPr>
            <w:tcW w:w="1058" w:type="pct"/>
            <w:vAlign w:val="bottom"/>
          </w:tcPr>
          <w:p w14:paraId="0556C879" w14:textId="77777777" w:rsidR="0058555D" w:rsidRPr="00537128" w:rsidRDefault="0058555D" w:rsidP="0058555D">
            <w:pPr>
              <w:suppressAutoHyphens/>
              <w:spacing w:after="0" w:line="280" w:lineRule="exact"/>
              <w:ind w:hanging="108"/>
              <w:jc w:val="right"/>
              <w:rPr>
                <w:rFonts w:ascii="Calibri" w:eastAsia="Calibri" w:hAnsi="Calibri" w:cs="Calibri"/>
                <w:b/>
                <w:bCs/>
                <w:noProof/>
                <w:lang w:val="en-US"/>
              </w:rPr>
            </w:pPr>
            <w:r w:rsidRPr="00537128">
              <w:rPr>
                <w:rFonts w:ascii="Calibri" w:eastAsia="Calibri" w:hAnsi="Calibri" w:cs="Calibri"/>
                <w:b/>
                <w:bCs/>
                <w:noProof/>
                <w:lang w:val="en-US"/>
              </w:rPr>
              <w:t xml:space="preserve">Jan 1 - Dec 31, </w:t>
            </w:r>
          </w:p>
          <w:p w14:paraId="7DE1E6C6" w14:textId="282A5FCD" w:rsidR="0058555D" w:rsidRPr="00537128" w:rsidRDefault="0058555D" w:rsidP="0058555D">
            <w:pPr>
              <w:suppressAutoHyphens/>
              <w:spacing w:after="0" w:line="280" w:lineRule="exact"/>
              <w:ind w:hanging="108"/>
              <w:jc w:val="right"/>
              <w:rPr>
                <w:rFonts w:ascii="Calibri" w:eastAsia="Calibri" w:hAnsi="Calibri" w:cs="Arial"/>
                <w:b/>
                <w:noProof/>
                <w:spacing w:val="-3"/>
                <w:lang w:val="en-US"/>
              </w:rPr>
            </w:pPr>
            <w:r w:rsidRPr="00537128">
              <w:rPr>
                <w:rFonts w:ascii="Calibri" w:eastAsia="Calibri" w:hAnsi="Calibri" w:cs="Calibri"/>
                <w:b/>
                <w:bCs/>
                <w:noProof/>
                <w:lang w:val="en-US"/>
              </w:rPr>
              <w:t>202</w:t>
            </w:r>
            <w:r w:rsidR="002B29FB">
              <w:rPr>
                <w:rFonts w:ascii="Calibri" w:eastAsia="Calibri" w:hAnsi="Calibri" w:cs="Calibri"/>
                <w:b/>
                <w:bCs/>
                <w:noProof/>
                <w:lang w:val="en-US"/>
              </w:rPr>
              <w:t>1</w:t>
            </w:r>
          </w:p>
        </w:tc>
      </w:tr>
      <w:tr w:rsidR="0058555D" w:rsidRPr="00537128" w14:paraId="6E9F6D28" w14:textId="77777777" w:rsidTr="00D873D7">
        <w:trPr>
          <w:trHeight w:hRule="exact" w:val="241"/>
        </w:trPr>
        <w:tc>
          <w:tcPr>
            <w:tcW w:w="2883" w:type="pct"/>
            <w:vAlign w:val="bottom"/>
          </w:tcPr>
          <w:p w14:paraId="05CD4189" w14:textId="77777777" w:rsidR="0058555D" w:rsidRPr="00537128" w:rsidRDefault="0058555D" w:rsidP="0058555D">
            <w:pPr>
              <w:tabs>
                <w:tab w:val="left" w:pos="-720"/>
              </w:tabs>
              <w:suppressAutoHyphens/>
              <w:spacing w:after="0" w:line="280" w:lineRule="exact"/>
              <w:rPr>
                <w:rFonts w:ascii="Calibri" w:eastAsia="Calibri" w:hAnsi="Calibri" w:cs="Arial"/>
                <w:b/>
                <w:noProof/>
                <w:spacing w:val="-3"/>
                <w:lang w:val="en-US"/>
              </w:rPr>
            </w:pPr>
          </w:p>
        </w:tc>
        <w:tc>
          <w:tcPr>
            <w:tcW w:w="1059" w:type="pct"/>
            <w:vAlign w:val="bottom"/>
          </w:tcPr>
          <w:p w14:paraId="2E57CC09" w14:textId="6F92AD00" w:rsidR="0058555D" w:rsidRPr="00537128" w:rsidRDefault="0058555D" w:rsidP="0058555D">
            <w:pPr>
              <w:suppressAutoHyphens/>
              <w:spacing w:after="0" w:line="280" w:lineRule="exact"/>
              <w:ind w:hanging="108"/>
              <w:jc w:val="right"/>
              <w:rPr>
                <w:rFonts w:ascii="Calibri" w:eastAsia="Calibri" w:hAnsi="Calibri" w:cs="Arial"/>
                <w:b/>
                <w:noProof/>
                <w:spacing w:val="-3"/>
                <w:lang w:val="en-US"/>
              </w:rPr>
            </w:pPr>
            <w:r w:rsidRPr="00537128">
              <w:rPr>
                <w:rFonts w:ascii="Calibri" w:eastAsia="Calibri" w:hAnsi="Calibri" w:cs="Arial"/>
                <w:b/>
                <w:bCs/>
                <w:noProof/>
                <w:lang w:val="en-US"/>
              </w:rPr>
              <w:t xml:space="preserve">HRK </w:t>
            </w:r>
            <w:r w:rsidR="00417C24">
              <w:rPr>
                <w:rFonts w:ascii="Calibri" w:eastAsia="Calibri" w:hAnsi="Calibri" w:cs="Arial"/>
                <w:b/>
                <w:bCs/>
                <w:noProof/>
                <w:lang w:val="en-US"/>
              </w:rPr>
              <w:t>‘</w:t>
            </w:r>
            <w:r w:rsidRPr="00537128">
              <w:rPr>
                <w:rFonts w:ascii="Calibri" w:eastAsia="Calibri" w:hAnsi="Calibri" w:cs="Arial"/>
                <w:b/>
                <w:bCs/>
                <w:noProof/>
                <w:lang w:val="en-US"/>
              </w:rPr>
              <w:t>000</w:t>
            </w:r>
          </w:p>
        </w:tc>
        <w:tc>
          <w:tcPr>
            <w:tcW w:w="1058" w:type="pct"/>
            <w:vAlign w:val="bottom"/>
          </w:tcPr>
          <w:p w14:paraId="793B2FA3" w14:textId="26704221" w:rsidR="0058555D" w:rsidRPr="00537128" w:rsidRDefault="0058555D" w:rsidP="0058555D">
            <w:pPr>
              <w:suppressAutoHyphens/>
              <w:spacing w:after="0" w:line="280" w:lineRule="exact"/>
              <w:ind w:hanging="108"/>
              <w:jc w:val="right"/>
              <w:rPr>
                <w:rFonts w:ascii="Calibri" w:eastAsia="Calibri" w:hAnsi="Calibri" w:cs="Arial"/>
                <w:b/>
                <w:noProof/>
                <w:spacing w:val="-3"/>
                <w:lang w:val="en-US"/>
              </w:rPr>
            </w:pPr>
            <w:r w:rsidRPr="00537128">
              <w:rPr>
                <w:rFonts w:ascii="Calibri" w:eastAsia="Calibri" w:hAnsi="Calibri" w:cs="Arial"/>
                <w:b/>
                <w:bCs/>
                <w:noProof/>
                <w:lang w:val="en-US"/>
              </w:rPr>
              <w:t xml:space="preserve">HRK </w:t>
            </w:r>
            <w:r w:rsidR="00417C24">
              <w:rPr>
                <w:rFonts w:ascii="Calibri" w:eastAsia="Calibri" w:hAnsi="Calibri" w:cs="Arial"/>
                <w:b/>
                <w:bCs/>
                <w:noProof/>
                <w:lang w:val="en-US"/>
              </w:rPr>
              <w:t>‘</w:t>
            </w:r>
            <w:r w:rsidRPr="00537128">
              <w:rPr>
                <w:rFonts w:ascii="Calibri" w:eastAsia="Calibri" w:hAnsi="Calibri" w:cs="Arial"/>
                <w:b/>
                <w:bCs/>
                <w:noProof/>
                <w:lang w:val="en-US"/>
              </w:rPr>
              <w:t>000</w:t>
            </w:r>
          </w:p>
        </w:tc>
      </w:tr>
      <w:tr w:rsidR="00C920FB" w:rsidRPr="00537128" w14:paraId="3580E764" w14:textId="77777777" w:rsidTr="00D873D7">
        <w:trPr>
          <w:trHeight w:val="486"/>
        </w:trPr>
        <w:tc>
          <w:tcPr>
            <w:tcW w:w="2883" w:type="pct"/>
            <w:vAlign w:val="bottom"/>
          </w:tcPr>
          <w:p w14:paraId="752B9BED" w14:textId="77777777" w:rsidR="00C920FB" w:rsidRPr="00537128" w:rsidRDefault="00C920FB" w:rsidP="00C920FB">
            <w:pPr>
              <w:tabs>
                <w:tab w:val="right" w:pos="1202"/>
              </w:tabs>
              <w:spacing w:after="0" w:line="280" w:lineRule="exact"/>
              <w:outlineLvl w:val="0"/>
              <w:rPr>
                <w:rFonts w:ascii="Calibri" w:eastAsia="Calibri" w:hAnsi="Calibri" w:cs="Arial"/>
                <w:bCs/>
                <w:noProof/>
                <w:lang w:val="en-US"/>
              </w:rPr>
            </w:pPr>
            <w:r w:rsidRPr="00537128">
              <w:rPr>
                <w:rFonts w:ascii="Calibri" w:eastAsia="Calibri" w:hAnsi="Calibri" w:cs="Arial"/>
                <w:bCs/>
                <w:noProof/>
                <w:lang w:val="en-US"/>
              </w:rPr>
              <w:t xml:space="preserve">Balance as of 1 January </w:t>
            </w:r>
          </w:p>
        </w:tc>
        <w:tc>
          <w:tcPr>
            <w:tcW w:w="1059" w:type="pct"/>
            <w:tcBorders>
              <w:top w:val="nil"/>
              <w:left w:val="nil"/>
              <w:right w:val="nil"/>
            </w:tcBorders>
            <w:shd w:val="clear" w:color="auto" w:fill="auto"/>
            <w:vAlign w:val="bottom"/>
          </w:tcPr>
          <w:p w14:paraId="2509D1CE" w14:textId="0FFA8479" w:rsidR="00C920FB" w:rsidRPr="00537128" w:rsidRDefault="00C920FB" w:rsidP="00C920FB">
            <w:pPr>
              <w:tabs>
                <w:tab w:val="right" w:pos="1202"/>
              </w:tabs>
              <w:spacing w:after="0" w:line="280" w:lineRule="exact"/>
              <w:jc w:val="right"/>
              <w:outlineLvl w:val="0"/>
              <w:rPr>
                <w:rFonts w:ascii="Calibri" w:eastAsia="Calibri" w:hAnsi="Calibri" w:cs="Arial"/>
                <w:noProof/>
                <w:lang w:val="en-US"/>
              </w:rPr>
            </w:pPr>
            <w:r>
              <w:rPr>
                <w:rFonts w:ascii="Calibri" w:eastAsia="Times New Roman" w:hAnsi="Calibri" w:cs="Calibri"/>
                <w:color w:val="000000"/>
              </w:rPr>
              <w:t>58,900</w:t>
            </w:r>
          </w:p>
        </w:tc>
        <w:tc>
          <w:tcPr>
            <w:tcW w:w="1058" w:type="pct"/>
            <w:tcBorders>
              <w:top w:val="nil"/>
              <w:left w:val="nil"/>
              <w:right w:val="nil"/>
            </w:tcBorders>
            <w:shd w:val="clear" w:color="auto" w:fill="auto"/>
            <w:vAlign w:val="bottom"/>
          </w:tcPr>
          <w:p w14:paraId="04C2854F" w14:textId="3C43CE0F" w:rsidR="00C920FB" w:rsidRPr="00537128" w:rsidRDefault="00C920FB" w:rsidP="00C920FB">
            <w:pPr>
              <w:tabs>
                <w:tab w:val="right" w:pos="1202"/>
              </w:tabs>
              <w:spacing w:after="0" w:line="280" w:lineRule="exact"/>
              <w:jc w:val="right"/>
              <w:outlineLvl w:val="0"/>
              <w:rPr>
                <w:rFonts w:ascii="Calibri" w:eastAsia="Calibri" w:hAnsi="Calibri" w:cs="Arial"/>
                <w:noProof/>
                <w:lang w:val="en-US"/>
              </w:rPr>
            </w:pPr>
            <w:r w:rsidRPr="004D396C">
              <w:rPr>
                <w:rFonts w:cstheme="minorHAnsi"/>
                <w:color w:val="000000" w:themeColor="text1"/>
              </w:rPr>
              <w:t>82</w:t>
            </w:r>
            <w:r>
              <w:rPr>
                <w:rFonts w:cstheme="minorHAnsi"/>
                <w:color w:val="000000" w:themeColor="text1"/>
              </w:rPr>
              <w:t>,</w:t>
            </w:r>
            <w:r w:rsidRPr="004D396C">
              <w:rPr>
                <w:rFonts w:cstheme="minorHAnsi"/>
                <w:color w:val="000000" w:themeColor="text1"/>
              </w:rPr>
              <w:t>797</w:t>
            </w:r>
          </w:p>
        </w:tc>
      </w:tr>
      <w:tr w:rsidR="00C920FB" w:rsidRPr="00537128" w14:paraId="133F7A96" w14:textId="77777777" w:rsidTr="00D873D7">
        <w:trPr>
          <w:trHeight w:val="348"/>
        </w:trPr>
        <w:tc>
          <w:tcPr>
            <w:tcW w:w="2883" w:type="pct"/>
            <w:vAlign w:val="bottom"/>
          </w:tcPr>
          <w:p w14:paraId="2D39A9F1" w14:textId="1CF52BC8" w:rsidR="00C920FB" w:rsidRPr="00537128" w:rsidRDefault="00C920FB" w:rsidP="00C920FB">
            <w:pPr>
              <w:tabs>
                <w:tab w:val="right" w:pos="1202"/>
              </w:tabs>
              <w:spacing w:after="0" w:line="280" w:lineRule="exact"/>
              <w:outlineLvl w:val="0"/>
              <w:rPr>
                <w:rFonts w:ascii="Calibri" w:eastAsia="Calibri" w:hAnsi="Calibri" w:cs="Arial"/>
                <w:b/>
                <w:bCs/>
                <w:noProof/>
                <w:lang w:val="en-US"/>
              </w:rPr>
            </w:pPr>
            <w:r w:rsidRPr="00537128">
              <w:rPr>
                <w:rFonts w:ascii="Calibri" w:eastAsia="Calibri" w:hAnsi="Calibri" w:cs="Arial"/>
                <w:noProof/>
                <w:lang w:val="en-US"/>
              </w:rPr>
              <w:t>Net (decrease) of loss allowances on loans to financial institutions</w:t>
            </w:r>
          </w:p>
        </w:tc>
        <w:tc>
          <w:tcPr>
            <w:tcW w:w="1059" w:type="pct"/>
            <w:tcBorders>
              <w:left w:val="nil"/>
              <w:bottom w:val="single" w:sz="4" w:space="0" w:color="auto"/>
              <w:right w:val="nil"/>
            </w:tcBorders>
            <w:shd w:val="clear" w:color="auto" w:fill="auto"/>
            <w:vAlign w:val="bottom"/>
          </w:tcPr>
          <w:p w14:paraId="18394863" w14:textId="023A2E57" w:rsidR="00C920FB" w:rsidRPr="00537128" w:rsidRDefault="00C920FB" w:rsidP="00C920FB">
            <w:pPr>
              <w:tabs>
                <w:tab w:val="right" w:pos="1202"/>
              </w:tabs>
              <w:spacing w:after="0" w:line="340" w:lineRule="exact"/>
              <w:jc w:val="right"/>
              <w:outlineLvl w:val="0"/>
              <w:rPr>
                <w:rFonts w:ascii="Calibri" w:eastAsia="Calibri" w:hAnsi="Calibri" w:cs="Arial"/>
                <w:bCs/>
                <w:noProof/>
                <w:lang w:val="en-US"/>
              </w:rPr>
            </w:pPr>
            <w:r>
              <w:rPr>
                <w:rFonts w:ascii="Calibri" w:eastAsia="Times New Roman" w:hAnsi="Calibri" w:cs="Calibri"/>
                <w:color w:val="000000"/>
              </w:rPr>
              <w:t>(1,105)</w:t>
            </w:r>
          </w:p>
        </w:tc>
        <w:tc>
          <w:tcPr>
            <w:tcW w:w="1058" w:type="pct"/>
            <w:tcBorders>
              <w:left w:val="nil"/>
              <w:bottom w:val="single" w:sz="4" w:space="0" w:color="auto"/>
              <w:right w:val="nil"/>
            </w:tcBorders>
            <w:shd w:val="clear" w:color="auto" w:fill="auto"/>
            <w:vAlign w:val="bottom"/>
          </w:tcPr>
          <w:p w14:paraId="689ABC87" w14:textId="3FB69A64" w:rsidR="00C920FB" w:rsidRPr="00537128" w:rsidRDefault="00C920FB" w:rsidP="00C920FB">
            <w:pPr>
              <w:tabs>
                <w:tab w:val="right" w:pos="1202"/>
              </w:tabs>
              <w:spacing w:after="0" w:line="340" w:lineRule="exact"/>
              <w:jc w:val="right"/>
              <w:outlineLvl w:val="0"/>
              <w:rPr>
                <w:rFonts w:ascii="Calibri" w:eastAsia="Calibri" w:hAnsi="Calibri" w:cs="Arial"/>
                <w:bCs/>
                <w:noProof/>
                <w:lang w:val="en-US"/>
              </w:rPr>
            </w:pPr>
            <w:r w:rsidRPr="004D396C">
              <w:rPr>
                <w:rFonts w:cstheme="minorHAnsi"/>
                <w:color w:val="000000" w:themeColor="text1"/>
              </w:rPr>
              <w:t>(23</w:t>
            </w:r>
            <w:r>
              <w:rPr>
                <w:rFonts w:cstheme="minorHAnsi"/>
                <w:color w:val="000000" w:themeColor="text1"/>
              </w:rPr>
              <w:t>,</w:t>
            </w:r>
            <w:r w:rsidRPr="004D396C">
              <w:rPr>
                <w:rFonts w:cstheme="minorHAnsi"/>
                <w:color w:val="000000" w:themeColor="text1"/>
              </w:rPr>
              <w:t>698)</w:t>
            </w:r>
          </w:p>
        </w:tc>
      </w:tr>
      <w:tr w:rsidR="00C920FB" w:rsidRPr="00537128" w14:paraId="75CDE4C5" w14:textId="77777777" w:rsidTr="00D873D7">
        <w:trPr>
          <w:trHeight w:val="348"/>
        </w:trPr>
        <w:tc>
          <w:tcPr>
            <w:tcW w:w="2883" w:type="pct"/>
            <w:vAlign w:val="bottom"/>
          </w:tcPr>
          <w:p w14:paraId="054E836B" w14:textId="412A10ED" w:rsidR="00C920FB" w:rsidRPr="00537128" w:rsidRDefault="00C920FB" w:rsidP="00C920FB">
            <w:pPr>
              <w:tabs>
                <w:tab w:val="right" w:pos="1202"/>
              </w:tabs>
              <w:spacing w:after="0" w:line="280" w:lineRule="exact"/>
              <w:outlineLvl w:val="0"/>
              <w:rPr>
                <w:rFonts w:ascii="Calibri" w:eastAsia="Calibri" w:hAnsi="Calibri" w:cs="Arial"/>
                <w:b/>
                <w:noProof/>
                <w:lang w:val="en-US"/>
              </w:rPr>
            </w:pPr>
            <w:r w:rsidRPr="00537128">
              <w:rPr>
                <w:rFonts w:ascii="Calibri" w:eastAsia="Calibri" w:hAnsi="Calibri" w:cs="Calibri"/>
                <w:i/>
                <w:noProof/>
                <w:lang w:val="en-US"/>
              </w:rPr>
              <w:t xml:space="preserve">Total recognised through Income </w:t>
            </w:r>
            <w:r w:rsidRPr="003C2D4E">
              <w:rPr>
                <w:rFonts w:ascii="Calibri" w:eastAsia="Calibri" w:hAnsi="Calibri" w:cs="Calibri"/>
                <w:i/>
                <w:noProof/>
                <w:lang w:val="en-US"/>
              </w:rPr>
              <w:t>Statement (</w:t>
            </w:r>
            <w:r w:rsidRPr="00A1123E">
              <w:rPr>
                <w:rFonts w:ascii="Calibri" w:eastAsia="Calibri" w:hAnsi="Calibri" w:cs="Calibri"/>
                <w:i/>
                <w:noProof/>
                <w:lang w:val="en-US"/>
              </w:rPr>
              <w:t>Note 8</w:t>
            </w:r>
            <w:r w:rsidRPr="003C2D4E">
              <w:rPr>
                <w:rFonts w:ascii="Calibri" w:eastAsia="Calibri" w:hAnsi="Calibri" w:cs="Calibri"/>
                <w:i/>
                <w:noProof/>
                <w:lang w:val="en-US"/>
              </w:rPr>
              <w:t>)</w:t>
            </w:r>
          </w:p>
        </w:tc>
        <w:tc>
          <w:tcPr>
            <w:tcW w:w="1059" w:type="pct"/>
            <w:tcBorders>
              <w:top w:val="single" w:sz="4" w:space="0" w:color="auto"/>
              <w:left w:val="nil"/>
              <w:bottom w:val="single" w:sz="4" w:space="0" w:color="auto"/>
              <w:right w:val="nil"/>
            </w:tcBorders>
            <w:shd w:val="clear" w:color="auto" w:fill="auto"/>
            <w:vAlign w:val="bottom"/>
          </w:tcPr>
          <w:p w14:paraId="301458D1" w14:textId="49753150" w:rsidR="00C920FB" w:rsidRPr="00537128" w:rsidRDefault="00C920FB" w:rsidP="00C920FB">
            <w:pPr>
              <w:tabs>
                <w:tab w:val="right" w:pos="1202"/>
              </w:tabs>
              <w:spacing w:after="0" w:line="340" w:lineRule="exact"/>
              <w:jc w:val="right"/>
              <w:outlineLvl w:val="0"/>
              <w:rPr>
                <w:rFonts w:ascii="Calibri" w:eastAsia="Calibri" w:hAnsi="Calibri" w:cs="Arial"/>
                <w:bCs/>
                <w:noProof/>
                <w:lang w:val="en-US"/>
              </w:rPr>
            </w:pPr>
            <w:r>
              <w:rPr>
                <w:rFonts w:ascii="Calibri" w:eastAsia="Times New Roman" w:hAnsi="Calibri" w:cs="Calibri"/>
                <w:bCs/>
                <w:i/>
                <w:iCs/>
                <w:color w:val="000000"/>
              </w:rPr>
              <w:t>(1,105)</w:t>
            </w:r>
          </w:p>
        </w:tc>
        <w:tc>
          <w:tcPr>
            <w:tcW w:w="1058" w:type="pct"/>
            <w:tcBorders>
              <w:top w:val="single" w:sz="4" w:space="0" w:color="auto"/>
              <w:left w:val="nil"/>
              <w:bottom w:val="single" w:sz="4" w:space="0" w:color="auto"/>
              <w:right w:val="nil"/>
            </w:tcBorders>
            <w:shd w:val="clear" w:color="auto" w:fill="auto"/>
            <w:vAlign w:val="bottom"/>
          </w:tcPr>
          <w:p w14:paraId="17A02591" w14:textId="522489DF" w:rsidR="00C920FB" w:rsidRPr="00537128" w:rsidRDefault="00C920FB" w:rsidP="00C920FB">
            <w:pPr>
              <w:tabs>
                <w:tab w:val="right" w:pos="1202"/>
              </w:tabs>
              <w:spacing w:after="0" w:line="340" w:lineRule="exact"/>
              <w:jc w:val="right"/>
              <w:outlineLvl w:val="0"/>
              <w:rPr>
                <w:rFonts w:ascii="Calibri" w:eastAsia="Calibri" w:hAnsi="Calibri" w:cs="Arial"/>
                <w:bCs/>
                <w:noProof/>
                <w:lang w:val="en-US"/>
              </w:rPr>
            </w:pPr>
            <w:r w:rsidRPr="004D396C">
              <w:rPr>
                <w:rFonts w:cstheme="minorHAnsi"/>
                <w:bCs/>
                <w:i/>
                <w:color w:val="000000" w:themeColor="text1"/>
              </w:rPr>
              <w:t>(23</w:t>
            </w:r>
            <w:r>
              <w:rPr>
                <w:rFonts w:cstheme="minorHAnsi"/>
                <w:bCs/>
                <w:i/>
                <w:color w:val="000000" w:themeColor="text1"/>
              </w:rPr>
              <w:t>,</w:t>
            </w:r>
            <w:r w:rsidRPr="004D396C">
              <w:rPr>
                <w:rFonts w:cstheme="minorHAnsi"/>
                <w:bCs/>
                <w:i/>
                <w:color w:val="000000" w:themeColor="text1"/>
              </w:rPr>
              <w:t>698)</w:t>
            </w:r>
          </w:p>
        </w:tc>
      </w:tr>
      <w:tr w:rsidR="00C920FB" w:rsidRPr="00537128" w14:paraId="21F890FA" w14:textId="77777777" w:rsidTr="00D873D7">
        <w:trPr>
          <w:trHeight w:val="348"/>
        </w:trPr>
        <w:tc>
          <w:tcPr>
            <w:tcW w:w="2883" w:type="pct"/>
            <w:vAlign w:val="bottom"/>
          </w:tcPr>
          <w:p w14:paraId="76CE4323" w14:textId="77777777" w:rsidR="00C920FB" w:rsidRPr="00537128" w:rsidRDefault="00C920FB" w:rsidP="00C920FB">
            <w:pPr>
              <w:tabs>
                <w:tab w:val="right" w:pos="1202"/>
              </w:tabs>
              <w:spacing w:after="0" w:line="280" w:lineRule="exact"/>
              <w:outlineLvl w:val="0"/>
              <w:rPr>
                <w:rFonts w:ascii="Calibri" w:eastAsia="Calibri" w:hAnsi="Calibri" w:cs="Arial"/>
                <w:noProof/>
                <w:lang w:val="en-US"/>
              </w:rPr>
            </w:pPr>
            <w:r w:rsidRPr="00537128">
              <w:rPr>
                <w:rFonts w:ascii="Calibri" w:eastAsia="Calibri" w:hAnsi="Calibri" w:cs="Arial"/>
                <w:noProof/>
                <w:lang w:val="en-US"/>
              </w:rPr>
              <w:t>Net foreign exchange gain/loss on loss allowances</w:t>
            </w:r>
          </w:p>
        </w:tc>
        <w:tc>
          <w:tcPr>
            <w:tcW w:w="1059" w:type="pct"/>
            <w:tcBorders>
              <w:top w:val="single" w:sz="4" w:space="0" w:color="auto"/>
              <w:left w:val="nil"/>
              <w:right w:val="nil"/>
            </w:tcBorders>
            <w:shd w:val="clear" w:color="auto" w:fill="auto"/>
            <w:vAlign w:val="bottom"/>
          </w:tcPr>
          <w:p w14:paraId="61F2935E" w14:textId="1511F08F" w:rsidR="00C920FB" w:rsidRPr="00537128" w:rsidRDefault="00C920FB" w:rsidP="00C920FB">
            <w:pPr>
              <w:tabs>
                <w:tab w:val="right" w:pos="1202"/>
              </w:tabs>
              <w:spacing w:after="0" w:line="280" w:lineRule="exact"/>
              <w:jc w:val="right"/>
              <w:outlineLvl w:val="0"/>
              <w:rPr>
                <w:rFonts w:ascii="Calibri" w:eastAsia="Calibri" w:hAnsi="Calibri" w:cs="Arial"/>
                <w:noProof/>
                <w:lang w:val="en-US"/>
              </w:rPr>
            </w:pPr>
            <w:r>
              <w:rPr>
                <w:rFonts w:ascii="Calibri" w:eastAsia="Times New Roman" w:hAnsi="Calibri" w:cs="Calibri"/>
                <w:color w:val="000000"/>
              </w:rPr>
              <w:t>185</w:t>
            </w:r>
          </w:p>
        </w:tc>
        <w:tc>
          <w:tcPr>
            <w:tcW w:w="1058" w:type="pct"/>
            <w:tcBorders>
              <w:top w:val="single" w:sz="4" w:space="0" w:color="auto"/>
              <w:left w:val="nil"/>
              <w:right w:val="nil"/>
            </w:tcBorders>
            <w:shd w:val="clear" w:color="auto" w:fill="auto"/>
            <w:vAlign w:val="bottom"/>
          </w:tcPr>
          <w:p w14:paraId="320C6E84" w14:textId="37B0C5E9" w:rsidR="00C920FB" w:rsidRPr="00537128" w:rsidRDefault="00C920FB" w:rsidP="00C920FB">
            <w:pPr>
              <w:tabs>
                <w:tab w:val="right" w:pos="1202"/>
              </w:tabs>
              <w:spacing w:after="0" w:line="280" w:lineRule="exact"/>
              <w:jc w:val="right"/>
              <w:outlineLvl w:val="0"/>
              <w:rPr>
                <w:rFonts w:ascii="Calibri" w:eastAsia="Calibri" w:hAnsi="Calibri" w:cs="Arial"/>
                <w:noProof/>
                <w:lang w:val="en-US"/>
              </w:rPr>
            </w:pPr>
            <w:r w:rsidRPr="004D396C">
              <w:rPr>
                <w:rFonts w:cstheme="minorHAnsi"/>
                <w:color w:val="000000" w:themeColor="text1"/>
              </w:rPr>
              <w:t>(97)</w:t>
            </w:r>
          </w:p>
        </w:tc>
      </w:tr>
      <w:tr w:rsidR="00C920FB" w:rsidRPr="00537128" w14:paraId="6D0E59D9" w14:textId="77777777" w:rsidTr="00D873D7">
        <w:trPr>
          <w:trHeight w:val="348"/>
        </w:trPr>
        <w:tc>
          <w:tcPr>
            <w:tcW w:w="2883" w:type="pct"/>
            <w:vAlign w:val="bottom"/>
          </w:tcPr>
          <w:p w14:paraId="57DE842F" w14:textId="77777777" w:rsidR="00C920FB" w:rsidRPr="00537128" w:rsidRDefault="00C920FB" w:rsidP="00C920FB">
            <w:pPr>
              <w:tabs>
                <w:tab w:val="right" w:pos="1202"/>
              </w:tabs>
              <w:spacing w:after="0" w:line="280" w:lineRule="exact"/>
              <w:outlineLvl w:val="0"/>
              <w:rPr>
                <w:rFonts w:ascii="Calibri" w:eastAsia="Calibri" w:hAnsi="Calibri" w:cs="Arial"/>
                <w:noProof/>
                <w:lang w:val="en-US"/>
              </w:rPr>
            </w:pPr>
            <w:r w:rsidRPr="00537128">
              <w:rPr>
                <w:rFonts w:ascii="Calibri" w:eastAsia="Calibri" w:hAnsi="Calibri" w:cs="Arial"/>
                <w:noProof/>
                <w:lang w:val="en-US"/>
              </w:rPr>
              <w:t>Loss allowances transferred to loans to other customers</w:t>
            </w:r>
          </w:p>
        </w:tc>
        <w:tc>
          <w:tcPr>
            <w:tcW w:w="1059" w:type="pct"/>
            <w:tcBorders>
              <w:left w:val="nil"/>
              <w:right w:val="nil"/>
            </w:tcBorders>
            <w:shd w:val="clear" w:color="auto" w:fill="auto"/>
            <w:vAlign w:val="bottom"/>
          </w:tcPr>
          <w:p w14:paraId="0E81F637" w14:textId="6C4652C5" w:rsidR="00C920FB" w:rsidRPr="00537128" w:rsidRDefault="00C920FB" w:rsidP="00C920FB">
            <w:pPr>
              <w:tabs>
                <w:tab w:val="right" w:pos="1202"/>
              </w:tabs>
              <w:spacing w:after="0" w:line="340" w:lineRule="exact"/>
              <w:jc w:val="right"/>
              <w:outlineLvl w:val="0"/>
              <w:rPr>
                <w:rFonts w:ascii="Calibri" w:eastAsia="Calibri" w:hAnsi="Calibri" w:cs="Arial"/>
                <w:bCs/>
                <w:noProof/>
                <w:lang w:val="en-US"/>
              </w:rPr>
            </w:pPr>
            <w:r>
              <w:rPr>
                <w:rFonts w:ascii="Calibri" w:eastAsia="Times New Roman" w:hAnsi="Calibri" w:cs="Calibri"/>
                <w:color w:val="000000"/>
              </w:rPr>
              <w:t>-</w:t>
            </w:r>
          </w:p>
        </w:tc>
        <w:tc>
          <w:tcPr>
            <w:tcW w:w="1058" w:type="pct"/>
            <w:tcBorders>
              <w:left w:val="nil"/>
              <w:right w:val="nil"/>
            </w:tcBorders>
            <w:shd w:val="clear" w:color="auto" w:fill="auto"/>
            <w:vAlign w:val="bottom"/>
          </w:tcPr>
          <w:p w14:paraId="2ACF481D" w14:textId="4585ED7B" w:rsidR="00C920FB" w:rsidRPr="00537128" w:rsidDel="00573DC9" w:rsidRDefault="00C920FB" w:rsidP="00C920FB">
            <w:pPr>
              <w:tabs>
                <w:tab w:val="right" w:pos="1202"/>
              </w:tabs>
              <w:spacing w:after="0" w:line="340" w:lineRule="exact"/>
              <w:jc w:val="right"/>
              <w:outlineLvl w:val="0"/>
              <w:rPr>
                <w:rFonts w:ascii="Calibri" w:eastAsia="Calibri" w:hAnsi="Calibri" w:cs="Arial"/>
                <w:bCs/>
                <w:noProof/>
                <w:lang w:val="en-US"/>
              </w:rPr>
            </w:pPr>
            <w:r w:rsidRPr="004D396C">
              <w:rPr>
                <w:rFonts w:cstheme="minorHAnsi"/>
                <w:color w:val="000000" w:themeColor="text1"/>
              </w:rPr>
              <w:t>(16)</w:t>
            </w:r>
          </w:p>
        </w:tc>
      </w:tr>
      <w:tr w:rsidR="00C920FB" w:rsidRPr="00537128" w14:paraId="2B493D62" w14:textId="77777777" w:rsidTr="00D873D7">
        <w:trPr>
          <w:trHeight w:val="348"/>
        </w:trPr>
        <w:tc>
          <w:tcPr>
            <w:tcW w:w="2883" w:type="pct"/>
            <w:vAlign w:val="bottom"/>
          </w:tcPr>
          <w:p w14:paraId="5A99C773" w14:textId="77777777" w:rsidR="00C920FB" w:rsidRPr="00537128" w:rsidRDefault="00C920FB" w:rsidP="00C920FB">
            <w:pPr>
              <w:tabs>
                <w:tab w:val="right" w:pos="1202"/>
              </w:tabs>
              <w:spacing w:after="0" w:line="280" w:lineRule="exact"/>
              <w:outlineLvl w:val="0"/>
              <w:rPr>
                <w:rFonts w:ascii="Calibri" w:eastAsia="Calibri" w:hAnsi="Calibri" w:cs="Arial"/>
                <w:noProof/>
                <w:lang w:val="en-US"/>
              </w:rPr>
            </w:pPr>
            <w:r w:rsidRPr="00537128">
              <w:rPr>
                <w:rFonts w:ascii="Calibri" w:eastAsia="Calibri" w:hAnsi="Calibri" w:cs="Arial"/>
                <w:noProof/>
                <w:lang w:val="en-US"/>
              </w:rPr>
              <w:t>Unwinding – changes due to the lapse of time</w:t>
            </w:r>
          </w:p>
        </w:tc>
        <w:tc>
          <w:tcPr>
            <w:tcW w:w="1059" w:type="pct"/>
            <w:tcBorders>
              <w:left w:val="nil"/>
              <w:bottom w:val="single" w:sz="4" w:space="0" w:color="auto"/>
              <w:right w:val="nil"/>
            </w:tcBorders>
            <w:shd w:val="clear" w:color="auto" w:fill="auto"/>
            <w:vAlign w:val="bottom"/>
          </w:tcPr>
          <w:p w14:paraId="58857D17" w14:textId="60E251F1" w:rsidR="00C920FB" w:rsidRPr="00537128" w:rsidRDefault="00C920FB" w:rsidP="00C920FB">
            <w:pPr>
              <w:tabs>
                <w:tab w:val="right" w:pos="1202"/>
              </w:tabs>
              <w:spacing w:after="0" w:line="340" w:lineRule="exact"/>
              <w:jc w:val="right"/>
              <w:outlineLvl w:val="0"/>
              <w:rPr>
                <w:rFonts w:ascii="Calibri" w:eastAsia="Calibri" w:hAnsi="Calibri" w:cs="Arial"/>
                <w:bCs/>
                <w:noProof/>
                <w:lang w:val="en-US"/>
              </w:rPr>
            </w:pPr>
            <w:r>
              <w:rPr>
                <w:rFonts w:ascii="Calibri" w:eastAsia="Times New Roman" w:hAnsi="Calibri" w:cs="Calibri"/>
                <w:color w:val="000000"/>
              </w:rPr>
              <w:t>-</w:t>
            </w:r>
          </w:p>
        </w:tc>
        <w:tc>
          <w:tcPr>
            <w:tcW w:w="1058" w:type="pct"/>
            <w:tcBorders>
              <w:left w:val="nil"/>
              <w:bottom w:val="single" w:sz="4" w:space="0" w:color="auto"/>
              <w:right w:val="nil"/>
            </w:tcBorders>
            <w:shd w:val="clear" w:color="auto" w:fill="auto"/>
            <w:vAlign w:val="bottom"/>
          </w:tcPr>
          <w:p w14:paraId="141CADEE" w14:textId="65594BD0" w:rsidR="00C920FB" w:rsidRPr="00537128" w:rsidRDefault="00C920FB" w:rsidP="00C920FB">
            <w:pPr>
              <w:tabs>
                <w:tab w:val="right" w:pos="1202"/>
              </w:tabs>
              <w:spacing w:after="0" w:line="340" w:lineRule="exact"/>
              <w:jc w:val="right"/>
              <w:outlineLvl w:val="0"/>
              <w:rPr>
                <w:rFonts w:ascii="Calibri" w:eastAsia="Calibri" w:hAnsi="Calibri" w:cs="Arial"/>
                <w:bCs/>
                <w:noProof/>
                <w:lang w:val="en-US"/>
              </w:rPr>
            </w:pPr>
            <w:r w:rsidRPr="004D396C">
              <w:rPr>
                <w:rFonts w:cstheme="minorHAnsi"/>
                <w:color w:val="000000" w:themeColor="text1"/>
              </w:rPr>
              <w:t>(86)</w:t>
            </w:r>
          </w:p>
        </w:tc>
      </w:tr>
      <w:tr w:rsidR="00C920FB" w:rsidRPr="00537128" w14:paraId="7C3D125E" w14:textId="77777777" w:rsidTr="00D873D7">
        <w:trPr>
          <w:trHeight w:val="348"/>
        </w:trPr>
        <w:tc>
          <w:tcPr>
            <w:tcW w:w="2883" w:type="pct"/>
            <w:vAlign w:val="bottom"/>
          </w:tcPr>
          <w:p w14:paraId="33C49BBD" w14:textId="77777777" w:rsidR="00C920FB" w:rsidRPr="00537128" w:rsidRDefault="00C920FB" w:rsidP="00C920FB">
            <w:pPr>
              <w:tabs>
                <w:tab w:val="right" w:pos="1202"/>
              </w:tabs>
              <w:spacing w:after="0" w:line="280" w:lineRule="exact"/>
              <w:outlineLvl w:val="0"/>
              <w:rPr>
                <w:rFonts w:ascii="Calibri" w:eastAsia="Calibri" w:hAnsi="Calibri" w:cs="Arial"/>
                <w:b/>
                <w:bCs/>
                <w:noProof/>
                <w:lang w:val="en-US"/>
              </w:rPr>
            </w:pPr>
            <w:r w:rsidRPr="00537128">
              <w:rPr>
                <w:rFonts w:ascii="Calibri" w:eastAsia="Calibri" w:hAnsi="Calibri" w:cs="Arial"/>
                <w:b/>
                <w:bCs/>
                <w:noProof/>
                <w:lang w:val="en-US"/>
              </w:rPr>
              <w:t>Balance at the end of the reporting period</w:t>
            </w:r>
          </w:p>
        </w:tc>
        <w:tc>
          <w:tcPr>
            <w:tcW w:w="1059" w:type="pct"/>
            <w:tcBorders>
              <w:top w:val="single" w:sz="4" w:space="0" w:color="auto"/>
              <w:left w:val="nil"/>
              <w:bottom w:val="single" w:sz="12" w:space="0" w:color="auto"/>
              <w:right w:val="nil"/>
            </w:tcBorders>
            <w:shd w:val="clear" w:color="auto" w:fill="auto"/>
            <w:vAlign w:val="bottom"/>
          </w:tcPr>
          <w:p w14:paraId="189771E9" w14:textId="6656F17D" w:rsidR="00C920FB" w:rsidRPr="00537128" w:rsidRDefault="00C920FB" w:rsidP="00C920FB">
            <w:pPr>
              <w:tabs>
                <w:tab w:val="right" w:pos="1202"/>
              </w:tabs>
              <w:spacing w:after="0" w:line="340" w:lineRule="exact"/>
              <w:jc w:val="right"/>
              <w:outlineLvl w:val="0"/>
              <w:rPr>
                <w:rFonts w:ascii="Calibri" w:eastAsia="Calibri" w:hAnsi="Calibri" w:cs="Arial"/>
                <w:b/>
                <w:bCs/>
                <w:noProof/>
                <w:lang w:val="en-US"/>
              </w:rPr>
            </w:pPr>
            <w:r>
              <w:rPr>
                <w:rFonts w:ascii="Calibri" w:eastAsia="Times New Roman" w:hAnsi="Calibri" w:cs="Calibri"/>
                <w:b/>
                <w:bCs/>
                <w:color w:val="000000"/>
              </w:rPr>
              <w:t>57,980</w:t>
            </w:r>
          </w:p>
        </w:tc>
        <w:tc>
          <w:tcPr>
            <w:tcW w:w="1058" w:type="pct"/>
            <w:tcBorders>
              <w:top w:val="single" w:sz="4" w:space="0" w:color="auto"/>
              <w:left w:val="nil"/>
              <w:bottom w:val="single" w:sz="12" w:space="0" w:color="auto"/>
              <w:right w:val="nil"/>
            </w:tcBorders>
            <w:shd w:val="clear" w:color="auto" w:fill="auto"/>
            <w:vAlign w:val="bottom"/>
          </w:tcPr>
          <w:p w14:paraId="04F9BFBB" w14:textId="06CC2EAD" w:rsidR="00C920FB" w:rsidRPr="00537128" w:rsidRDefault="00C920FB" w:rsidP="00C920FB">
            <w:pPr>
              <w:tabs>
                <w:tab w:val="right" w:pos="1202"/>
              </w:tabs>
              <w:spacing w:after="0" w:line="340" w:lineRule="exact"/>
              <w:jc w:val="right"/>
              <w:outlineLvl w:val="0"/>
              <w:rPr>
                <w:rFonts w:ascii="Calibri" w:eastAsia="Calibri" w:hAnsi="Calibri" w:cs="Arial"/>
                <w:b/>
                <w:bCs/>
                <w:noProof/>
                <w:lang w:val="en-US"/>
              </w:rPr>
            </w:pPr>
            <w:r w:rsidRPr="004D396C">
              <w:rPr>
                <w:rFonts w:cstheme="minorHAnsi"/>
                <w:b/>
                <w:color w:val="000000" w:themeColor="text1"/>
              </w:rPr>
              <w:t>58</w:t>
            </w:r>
            <w:r>
              <w:rPr>
                <w:rFonts w:cstheme="minorHAnsi"/>
                <w:b/>
                <w:color w:val="000000" w:themeColor="text1"/>
              </w:rPr>
              <w:t>,</w:t>
            </w:r>
            <w:r w:rsidRPr="004D396C">
              <w:rPr>
                <w:rFonts w:cstheme="minorHAnsi"/>
                <w:b/>
                <w:color w:val="000000" w:themeColor="text1"/>
              </w:rPr>
              <w:t>900</w:t>
            </w:r>
          </w:p>
        </w:tc>
      </w:tr>
    </w:tbl>
    <w:p w14:paraId="075BF88C" w14:textId="77777777" w:rsidR="0058555D" w:rsidRPr="00537128" w:rsidRDefault="0058555D" w:rsidP="003602EF">
      <w:pPr>
        <w:autoSpaceDE w:val="0"/>
        <w:autoSpaceDN w:val="0"/>
        <w:adjustRightInd w:val="0"/>
        <w:spacing w:after="0" w:line="240" w:lineRule="auto"/>
        <w:jc w:val="both"/>
        <w:rPr>
          <w:noProof/>
          <w:color w:val="000000" w:themeColor="text1"/>
          <w:lang w:val="en-US"/>
        </w:rPr>
      </w:pPr>
    </w:p>
    <w:p w14:paraId="565FCD3B" w14:textId="77777777" w:rsidR="00D9564E" w:rsidRPr="00537128" w:rsidRDefault="00D9564E" w:rsidP="003602EF">
      <w:pPr>
        <w:autoSpaceDE w:val="0"/>
        <w:autoSpaceDN w:val="0"/>
        <w:adjustRightInd w:val="0"/>
        <w:spacing w:after="0" w:line="240" w:lineRule="auto"/>
        <w:jc w:val="both"/>
        <w:rPr>
          <w:noProof/>
          <w:color w:val="000000" w:themeColor="text1"/>
          <w:lang w:val="en-US"/>
        </w:rPr>
      </w:pPr>
    </w:p>
    <w:p w14:paraId="345138BC" w14:textId="724B4AD0" w:rsidR="00FB32CA" w:rsidRPr="00537128" w:rsidRDefault="00FB32CA" w:rsidP="00FB32CA">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Net foreign exchange gain/loss on loss allowances are shown within net gains/(losses) from financial activities in the Income Statement</w:t>
      </w:r>
      <w:r w:rsidR="00112079">
        <w:rPr>
          <w:noProof/>
          <w:color w:val="000000" w:themeColor="text1"/>
          <w:lang w:val="en-US"/>
        </w:rPr>
        <w:t>.</w:t>
      </w:r>
    </w:p>
    <w:p w14:paraId="2AFA5825" w14:textId="77777777" w:rsidR="003602EF" w:rsidRPr="00537128" w:rsidRDefault="003602EF" w:rsidP="00FB32CA">
      <w:pPr>
        <w:autoSpaceDE w:val="0"/>
        <w:autoSpaceDN w:val="0"/>
        <w:adjustRightInd w:val="0"/>
        <w:spacing w:after="0" w:line="240" w:lineRule="auto"/>
        <w:jc w:val="both"/>
        <w:rPr>
          <w:noProof/>
          <w:color w:val="000000" w:themeColor="text1"/>
          <w:lang w:val="en-US"/>
        </w:rPr>
      </w:pPr>
    </w:p>
    <w:p w14:paraId="611440BB" w14:textId="77777777" w:rsidR="003602EF" w:rsidRPr="00537128" w:rsidRDefault="003602EF" w:rsidP="00FB32CA">
      <w:pPr>
        <w:autoSpaceDE w:val="0"/>
        <w:autoSpaceDN w:val="0"/>
        <w:adjustRightInd w:val="0"/>
        <w:spacing w:after="0" w:line="240" w:lineRule="auto"/>
        <w:jc w:val="both"/>
        <w:rPr>
          <w:noProof/>
          <w:color w:val="000000" w:themeColor="text1"/>
          <w:lang w:val="en-US"/>
        </w:rPr>
      </w:pPr>
    </w:p>
    <w:p w14:paraId="61043619" w14:textId="77777777" w:rsidR="003602EF" w:rsidRPr="00537128" w:rsidRDefault="003602EF" w:rsidP="00FB32CA">
      <w:pPr>
        <w:autoSpaceDE w:val="0"/>
        <w:autoSpaceDN w:val="0"/>
        <w:adjustRightInd w:val="0"/>
        <w:spacing w:after="0" w:line="240" w:lineRule="auto"/>
        <w:jc w:val="both"/>
        <w:rPr>
          <w:noProof/>
          <w:color w:val="000000" w:themeColor="text1"/>
          <w:lang w:val="en-US"/>
        </w:rPr>
        <w:sectPr w:rsidR="003602EF" w:rsidRPr="00537128">
          <w:pgSz w:w="11906" w:h="16838"/>
          <w:pgMar w:top="1417" w:right="1417" w:bottom="1417" w:left="1417" w:header="708" w:footer="708" w:gutter="0"/>
          <w:cols w:space="708"/>
          <w:docGrid w:linePitch="360"/>
        </w:sectPr>
      </w:pPr>
    </w:p>
    <w:p w14:paraId="799C5A0F" w14:textId="77777777" w:rsidR="003602EF" w:rsidRPr="00537128" w:rsidRDefault="003602EF" w:rsidP="003602EF">
      <w:pPr>
        <w:autoSpaceDE w:val="0"/>
        <w:autoSpaceDN w:val="0"/>
        <w:adjustRightInd w:val="0"/>
        <w:spacing w:after="0" w:line="240" w:lineRule="auto"/>
        <w:jc w:val="both"/>
        <w:rPr>
          <w:b/>
          <w:noProof/>
          <w:color w:val="000000" w:themeColor="text1"/>
          <w:lang w:val="en-US"/>
        </w:rPr>
      </w:pPr>
    </w:p>
    <w:p w14:paraId="7E37F0C0" w14:textId="77777777" w:rsidR="003602EF" w:rsidRPr="00537128" w:rsidRDefault="003602EF" w:rsidP="005B7D9D">
      <w:pPr>
        <w:pStyle w:val="ListParagraph"/>
        <w:numPr>
          <w:ilvl w:val="0"/>
          <w:numId w:val="12"/>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Loans to financial institutions (continued)</w:t>
      </w:r>
    </w:p>
    <w:p w14:paraId="431BE6F7" w14:textId="77777777" w:rsidR="003602EF" w:rsidRPr="00537128" w:rsidRDefault="003602EF" w:rsidP="003602EF">
      <w:pPr>
        <w:autoSpaceDE w:val="0"/>
        <w:autoSpaceDN w:val="0"/>
        <w:adjustRightInd w:val="0"/>
        <w:spacing w:after="0" w:line="240" w:lineRule="auto"/>
        <w:jc w:val="both"/>
        <w:rPr>
          <w:b/>
          <w:noProof/>
          <w:color w:val="000000" w:themeColor="text1"/>
          <w:lang w:val="en-US"/>
        </w:rPr>
      </w:pPr>
    </w:p>
    <w:p w14:paraId="20787D41" w14:textId="77777777" w:rsidR="003602EF" w:rsidRPr="00537128" w:rsidRDefault="003602EF" w:rsidP="003602EF">
      <w:pPr>
        <w:tabs>
          <w:tab w:val="left" w:pos="-720"/>
        </w:tabs>
        <w:suppressAutoHyphens/>
        <w:spacing w:after="0" w:line="240" w:lineRule="auto"/>
        <w:rPr>
          <w:rFonts w:ascii="Calibri" w:eastAsia="Times New Roman" w:hAnsi="Calibri" w:cs="Arial"/>
          <w:color w:val="000000" w:themeColor="text1"/>
          <w:spacing w:val="-3"/>
          <w:lang w:val="en-US"/>
        </w:rPr>
      </w:pPr>
      <w:r w:rsidRPr="00537128">
        <w:rPr>
          <w:rFonts w:ascii="Calibri" w:eastAsia="Times New Roman" w:hAnsi="Calibri" w:cs="Arial"/>
          <w:bCs/>
          <w:color w:val="000000" w:themeColor="text1"/>
          <w:lang w:val="en-US"/>
        </w:rPr>
        <w:t>Loans to financial institutions, impaired for loss allowances, by purpose of the loan programs:</w:t>
      </w:r>
    </w:p>
    <w:p w14:paraId="4969F331" w14:textId="77777777" w:rsidR="003602EF" w:rsidRPr="00537128" w:rsidRDefault="003602EF" w:rsidP="003602EF">
      <w:pPr>
        <w:tabs>
          <w:tab w:val="left" w:pos="-720"/>
        </w:tabs>
        <w:suppressAutoHyphens/>
        <w:spacing w:after="0" w:line="240" w:lineRule="auto"/>
        <w:rPr>
          <w:rFonts w:ascii="Calibri" w:eastAsia="Times New Roman" w:hAnsi="Calibri" w:cs="Arial"/>
          <w:color w:val="000000" w:themeColor="text1"/>
          <w:spacing w:val="-3"/>
          <w:lang w:val="en-US"/>
        </w:rPr>
      </w:pPr>
    </w:p>
    <w:tbl>
      <w:tblPr>
        <w:tblW w:w="4773" w:type="pct"/>
        <w:tblInd w:w="142" w:type="dxa"/>
        <w:tblLayout w:type="fixed"/>
        <w:tblCellMar>
          <w:left w:w="107" w:type="dxa"/>
          <w:right w:w="107" w:type="dxa"/>
        </w:tblCellMar>
        <w:tblLook w:val="0000" w:firstRow="0" w:lastRow="0" w:firstColumn="0" w:lastColumn="0" w:noHBand="0" w:noVBand="0"/>
      </w:tblPr>
      <w:tblGrid>
        <w:gridCol w:w="5360"/>
        <w:gridCol w:w="1651"/>
        <w:gridCol w:w="1649"/>
      </w:tblGrid>
      <w:tr w:rsidR="0058555D" w:rsidRPr="00537128" w14:paraId="4A456397" w14:textId="77777777" w:rsidTr="00D873D7">
        <w:trPr>
          <w:trHeight w:val="163"/>
        </w:trPr>
        <w:tc>
          <w:tcPr>
            <w:tcW w:w="3095" w:type="pct"/>
          </w:tcPr>
          <w:p w14:paraId="52225BE8" w14:textId="77777777" w:rsidR="0058555D" w:rsidRPr="00537128" w:rsidRDefault="0058555D" w:rsidP="0058555D">
            <w:pPr>
              <w:tabs>
                <w:tab w:val="left" w:pos="-720"/>
              </w:tabs>
              <w:suppressAutoHyphens/>
              <w:spacing w:after="0" w:line="240" w:lineRule="auto"/>
              <w:ind w:firstLine="35"/>
              <w:rPr>
                <w:rFonts w:ascii="Calibri" w:eastAsia="Times New Roman" w:hAnsi="Calibri" w:cs="Arial"/>
                <w:spacing w:val="-3"/>
                <w:lang w:val="en-US"/>
              </w:rPr>
            </w:pPr>
          </w:p>
        </w:tc>
        <w:tc>
          <w:tcPr>
            <w:tcW w:w="1905" w:type="pct"/>
            <w:gridSpan w:val="2"/>
          </w:tcPr>
          <w:p w14:paraId="0B2CA1BC" w14:textId="77777777"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bookmarkStart w:id="333" w:name="_Toc4058532"/>
            <w:r w:rsidRPr="00537128">
              <w:rPr>
                <w:rFonts w:ascii="Calibri" w:eastAsia="Times New Roman" w:hAnsi="Calibri" w:cs="Arial"/>
                <w:b/>
                <w:lang w:val="en-US"/>
              </w:rPr>
              <w:t>Group and Bank</w:t>
            </w:r>
            <w:bookmarkEnd w:id="333"/>
          </w:p>
        </w:tc>
      </w:tr>
      <w:tr w:rsidR="0058555D" w:rsidRPr="00537128" w14:paraId="123544EE" w14:textId="77777777" w:rsidTr="00D873D7">
        <w:trPr>
          <w:trHeight w:val="163"/>
        </w:trPr>
        <w:tc>
          <w:tcPr>
            <w:tcW w:w="3095" w:type="pct"/>
          </w:tcPr>
          <w:p w14:paraId="630A7DD5" w14:textId="77777777" w:rsidR="0058555D" w:rsidRPr="00537128" w:rsidRDefault="0058555D" w:rsidP="0058555D">
            <w:pPr>
              <w:tabs>
                <w:tab w:val="left" w:pos="-720"/>
              </w:tabs>
              <w:suppressAutoHyphens/>
              <w:spacing w:after="0" w:line="240" w:lineRule="auto"/>
              <w:ind w:firstLine="35"/>
              <w:rPr>
                <w:rFonts w:ascii="Calibri" w:eastAsia="Times New Roman" w:hAnsi="Calibri" w:cs="Arial"/>
                <w:spacing w:val="-3"/>
                <w:lang w:val="en-US"/>
              </w:rPr>
            </w:pPr>
          </w:p>
        </w:tc>
        <w:tc>
          <w:tcPr>
            <w:tcW w:w="953" w:type="pct"/>
            <w:vAlign w:val="center"/>
          </w:tcPr>
          <w:p w14:paraId="42C71D66" w14:textId="77777777"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bookmarkStart w:id="334" w:name="_Toc4058533"/>
            <w:r w:rsidRPr="00537128">
              <w:rPr>
                <w:rFonts w:ascii="Calibri" w:eastAsia="Times New Roman" w:hAnsi="Calibri" w:cs="Arial"/>
                <w:b/>
                <w:lang w:val="en-US"/>
              </w:rPr>
              <w:t>31 March</w:t>
            </w:r>
          </w:p>
          <w:p w14:paraId="248A3663" w14:textId="17FCB8C9"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 xml:space="preserve"> </w:t>
            </w:r>
            <w:bookmarkEnd w:id="334"/>
            <w:r w:rsidRPr="00537128">
              <w:rPr>
                <w:rFonts w:ascii="Calibri" w:eastAsia="Times New Roman" w:hAnsi="Calibri" w:cs="Arial"/>
                <w:b/>
                <w:lang w:val="en-US"/>
              </w:rPr>
              <w:t>202</w:t>
            </w:r>
            <w:r w:rsidR="00132FE9">
              <w:rPr>
                <w:rFonts w:ascii="Calibri" w:eastAsia="Times New Roman" w:hAnsi="Calibri" w:cs="Arial"/>
                <w:b/>
                <w:lang w:val="en-US"/>
              </w:rPr>
              <w:t>2</w:t>
            </w:r>
          </w:p>
        </w:tc>
        <w:tc>
          <w:tcPr>
            <w:tcW w:w="952" w:type="pct"/>
            <w:vAlign w:val="center"/>
          </w:tcPr>
          <w:p w14:paraId="65553DEB" w14:textId="0A434C17"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31 December 202</w:t>
            </w:r>
            <w:r w:rsidR="00132FE9">
              <w:rPr>
                <w:rFonts w:ascii="Calibri" w:eastAsia="Times New Roman" w:hAnsi="Calibri" w:cs="Arial"/>
                <w:b/>
                <w:lang w:val="en-US"/>
              </w:rPr>
              <w:t>1</w:t>
            </w:r>
          </w:p>
        </w:tc>
      </w:tr>
      <w:tr w:rsidR="0058555D" w:rsidRPr="00537128" w14:paraId="0DCCDC8E" w14:textId="77777777" w:rsidTr="00D873D7">
        <w:trPr>
          <w:trHeight w:val="153"/>
        </w:trPr>
        <w:tc>
          <w:tcPr>
            <w:tcW w:w="3095" w:type="pct"/>
          </w:tcPr>
          <w:p w14:paraId="20A208CC" w14:textId="77777777" w:rsidR="0058555D" w:rsidRPr="00537128" w:rsidRDefault="0058555D" w:rsidP="0058555D">
            <w:pPr>
              <w:tabs>
                <w:tab w:val="left" w:pos="-720"/>
              </w:tabs>
              <w:suppressAutoHyphens/>
              <w:spacing w:after="0" w:line="240" w:lineRule="auto"/>
              <w:ind w:firstLine="35"/>
              <w:rPr>
                <w:rFonts w:ascii="Calibri" w:eastAsia="Times New Roman" w:hAnsi="Calibri" w:cs="Arial"/>
                <w:spacing w:val="-3"/>
                <w:lang w:val="en-US"/>
              </w:rPr>
            </w:pPr>
          </w:p>
        </w:tc>
        <w:tc>
          <w:tcPr>
            <w:tcW w:w="953" w:type="pct"/>
          </w:tcPr>
          <w:p w14:paraId="033845A4" w14:textId="70C0B9F1"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bookmarkStart w:id="335" w:name="_Toc4058535"/>
            <w:r w:rsidRPr="00537128">
              <w:rPr>
                <w:rFonts w:ascii="Calibri" w:eastAsia="Times New Roman" w:hAnsi="Calibri" w:cs="Arial"/>
                <w:b/>
                <w:lang w:val="en-US"/>
              </w:rPr>
              <w:t>HRK ‘000</w:t>
            </w:r>
            <w:bookmarkEnd w:id="335"/>
          </w:p>
        </w:tc>
        <w:tc>
          <w:tcPr>
            <w:tcW w:w="952" w:type="pct"/>
          </w:tcPr>
          <w:p w14:paraId="20D45BA7" w14:textId="753C07E4"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HRK ‘000</w:t>
            </w:r>
          </w:p>
        </w:tc>
      </w:tr>
      <w:tr w:rsidR="0058555D" w:rsidRPr="00537128" w14:paraId="21D07BBA" w14:textId="77777777" w:rsidTr="00D873D7">
        <w:trPr>
          <w:trHeight w:val="128"/>
        </w:trPr>
        <w:tc>
          <w:tcPr>
            <w:tcW w:w="3095" w:type="pct"/>
          </w:tcPr>
          <w:p w14:paraId="0735F7A0" w14:textId="77777777" w:rsidR="0058555D" w:rsidRPr="00537128" w:rsidRDefault="0058555D" w:rsidP="0058555D">
            <w:pPr>
              <w:tabs>
                <w:tab w:val="left" w:pos="-720"/>
              </w:tabs>
              <w:suppressAutoHyphens/>
              <w:spacing w:after="0" w:line="240" w:lineRule="auto"/>
              <w:ind w:firstLine="35"/>
              <w:rPr>
                <w:rFonts w:ascii="Calibri" w:eastAsia="Times New Roman" w:hAnsi="Calibri" w:cs="Arial"/>
                <w:spacing w:val="-3"/>
                <w:lang w:val="en-US"/>
              </w:rPr>
            </w:pPr>
          </w:p>
        </w:tc>
        <w:tc>
          <w:tcPr>
            <w:tcW w:w="953" w:type="pct"/>
          </w:tcPr>
          <w:p w14:paraId="3C6965E7" w14:textId="77777777" w:rsidR="0058555D" w:rsidRPr="00537128" w:rsidRDefault="0058555D" w:rsidP="0058555D">
            <w:pPr>
              <w:tabs>
                <w:tab w:val="left" w:pos="-720"/>
              </w:tabs>
              <w:suppressAutoHyphens/>
              <w:spacing w:after="0" w:line="240" w:lineRule="auto"/>
              <w:jc w:val="right"/>
              <w:rPr>
                <w:rFonts w:ascii="Calibri" w:eastAsia="Times New Roman" w:hAnsi="Calibri" w:cs="Arial"/>
                <w:b/>
                <w:spacing w:val="-3"/>
                <w:lang w:val="en-US"/>
              </w:rPr>
            </w:pPr>
          </w:p>
        </w:tc>
        <w:tc>
          <w:tcPr>
            <w:tcW w:w="952" w:type="pct"/>
          </w:tcPr>
          <w:p w14:paraId="32773246" w14:textId="77777777" w:rsidR="0058555D" w:rsidRPr="00537128" w:rsidRDefault="0058555D" w:rsidP="0058555D">
            <w:pPr>
              <w:tabs>
                <w:tab w:val="left" w:pos="-720"/>
              </w:tabs>
              <w:suppressAutoHyphens/>
              <w:spacing w:after="0" w:line="240" w:lineRule="auto"/>
              <w:jc w:val="right"/>
              <w:rPr>
                <w:rFonts w:ascii="Calibri" w:eastAsia="Times New Roman" w:hAnsi="Calibri" w:cs="Arial"/>
                <w:b/>
                <w:spacing w:val="-3"/>
                <w:lang w:val="en-US"/>
              </w:rPr>
            </w:pPr>
          </w:p>
        </w:tc>
      </w:tr>
      <w:tr w:rsidR="0004599C" w:rsidRPr="00537128" w14:paraId="783259B9" w14:textId="77777777" w:rsidTr="00D873D7">
        <w:tc>
          <w:tcPr>
            <w:tcW w:w="3095" w:type="pct"/>
            <w:vAlign w:val="bottom"/>
          </w:tcPr>
          <w:p w14:paraId="56274F4F" w14:textId="77777777" w:rsidR="0004599C" w:rsidRPr="00537128" w:rsidRDefault="0004599C" w:rsidP="0004599C">
            <w:pPr>
              <w:tabs>
                <w:tab w:val="right" w:pos="1202"/>
                <w:tab w:val="left" w:pos="3256"/>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EU Projects</w:t>
            </w:r>
          </w:p>
        </w:tc>
        <w:tc>
          <w:tcPr>
            <w:tcW w:w="953" w:type="pct"/>
            <w:tcBorders>
              <w:top w:val="nil"/>
              <w:left w:val="nil"/>
              <w:bottom w:val="nil"/>
              <w:right w:val="nil"/>
            </w:tcBorders>
            <w:shd w:val="clear" w:color="auto" w:fill="auto"/>
            <w:vAlign w:val="bottom"/>
          </w:tcPr>
          <w:p w14:paraId="3D1A6124" w14:textId="3A0FAD3D" w:rsidR="0004599C" w:rsidRPr="00537128" w:rsidRDefault="0004599C" w:rsidP="0004599C">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color w:val="000000"/>
              </w:rPr>
              <w:t>214,305</w:t>
            </w:r>
          </w:p>
        </w:tc>
        <w:tc>
          <w:tcPr>
            <w:tcW w:w="952" w:type="pct"/>
            <w:tcBorders>
              <w:top w:val="nil"/>
              <w:left w:val="nil"/>
              <w:bottom w:val="nil"/>
              <w:right w:val="nil"/>
            </w:tcBorders>
            <w:shd w:val="clear" w:color="auto" w:fill="auto"/>
            <w:vAlign w:val="bottom"/>
          </w:tcPr>
          <w:p w14:paraId="380D7AF2" w14:textId="72868401" w:rsidR="0004599C" w:rsidRPr="00537128" w:rsidRDefault="0004599C" w:rsidP="0004599C">
            <w:pPr>
              <w:tabs>
                <w:tab w:val="right" w:pos="1202"/>
              </w:tabs>
              <w:spacing w:after="0" w:line="301" w:lineRule="exact"/>
              <w:jc w:val="right"/>
              <w:outlineLvl w:val="0"/>
              <w:rPr>
                <w:rFonts w:ascii="Calibri" w:eastAsia="Times New Roman" w:hAnsi="Calibri" w:cs="Arial"/>
                <w:color w:val="000000"/>
                <w:lang w:val="en-US"/>
              </w:rPr>
            </w:pPr>
            <w:r w:rsidRPr="005B77C3">
              <w:rPr>
                <w:rFonts w:cstheme="minorHAnsi"/>
                <w:color w:val="000000" w:themeColor="text1"/>
              </w:rPr>
              <w:t>205</w:t>
            </w:r>
            <w:r>
              <w:rPr>
                <w:rFonts w:cstheme="minorHAnsi"/>
                <w:color w:val="000000" w:themeColor="text1"/>
              </w:rPr>
              <w:t>,</w:t>
            </w:r>
            <w:r w:rsidRPr="005B77C3">
              <w:rPr>
                <w:rFonts w:cstheme="minorHAnsi"/>
                <w:color w:val="000000" w:themeColor="text1"/>
              </w:rPr>
              <w:t>630</w:t>
            </w:r>
          </w:p>
        </w:tc>
      </w:tr>
      <w:tr w:rsidR="0004599C" w:rsidRPr="00537128" w14:paraId="6060DBED" w14:textId="77777777" w:rsidTr="00D873D7">
        <w:tc>
          <w:tcPr>
            <w:tcW w:w="3095" w:type="pct"/>
            <w:vAlign w:val="bottom"/>
          </w:tcPr>
          <w:p w14:paraId="3EA8F6CF" w14:textId="77777777" w:rsidR="0004599C" w:rsidRPr="00537128" w:rsidRDefault="0004599C" w:rsidP="0004599C">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Financial Restructuring</w:t>
            </w:r>
          </w:p>
        </w:tc>
        <w:tc>
          <w:tcPr>
            <w:tcW w:w="953" w:type="pct"/>
            <w:tcBorders>
              <w:top w:val="nil"/>
              <w:left w:val="nil"/>
              <w:bottom w:val="nil"/>
              <w:right w:val="nil"/>
            </w:tcBorders>
            <w:shd w:val="clear" w:color="auto" w:fill="auto"/>
            <w:vAlign w:val="bottom"/>
          </w:tcPr>
          <w:p w14:paraId="73112C8D" w14:textId="186B6C30" w:rsidR="0004599C" w:rsidRPr="00537128" w:rsidRDefault="0004599C" w:rsidP="0004599C">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color w:val="000000"/>
              </w:rPr>
              <w:t>20,547</w:t>
            </w:r>
          </w:p>
        </w:tc>
        <w:tc>
          <w:tcPr>
            <w:tcW w:w="952" w:type="pct"/>
            <w:tcBorders>
              <w:top w:val="nil"/>
              <w:left w:val="nil"/>
              <w:bottom w:val="nil"/>
              <w:right w:val="nil"/>
            </w:tcBorders>
            <w:shd w:val="clear" w:color="auto" w:fill="auto"/>
            <w:vAlign w:val="bottom"/>
          </w:tcPr>
          <w:p w14:paraId="74E716C1" w14:textId="771B82BC" w:rsidR="0004599C" w:rsidRPr="00537128" w:rsidRDefault="0004599C" w:rsidP="0004599C">
            <w:pPr>
              <w:tabs>
                <w:tab w:val="right" w:pos="1202"/>
              </w:tabs>
              <w:spacing w:after="0" w:line="301" w:lineRule="exact"/>
              <w:jc w:val="right"/>
              <w:outlineLvl w:val="0"/>
              <w:rPr>
                <w:rFonts w:ascii="Calibri" w:eastAsia="Times New Roman" w:hAnsi="Calibri" w:cs="Arial"/>
                <w:color w:val="000000"/>
                <w:lang w:val="en-US"/>
              </w:rPr>
            </w:pPr>
            <w:r w:rsidRPr="005B77C3">
              <w:rPr>
                <w:rFonts w:cstheme="minorHAnsi"/>
                <w:color w:val="000000" w:themeColor="text1"/>
              </w:rPr>
              <w:t>23</w:t>
            </w:r>
            <w:r>
              <w:rPr>
                <w:rFonts w:cstheme="minorHAnsi"/>
                <w:color w:val="000000" w:themeColor="text1"/>
              </w:rPr>
              <w:t>,</w:t>
            </w:r>
            <w:r w:rsidRPr="005B77C3">
              <w:rPr>
                <w:rFonts w:cstheme="minorHAnsi"/>
                <w:color w:val="000000" w:themeColor="text1"/>
              </w:rPr>
              <w:t>247</w:t>
            </w:r>
          </w:p>
        </w:tc>
      </w:tr>
      <w:tr w:rsidR="0004599C" w:rsidRPr="00537128" w14:paraId="630ABAEC" w14:textId="77777777" w:rsidTr="00AA775F">
        <w:tc>
          <w:tcPr>
            <w:tcW w:w="3095" w:type="pct"/>
            <w:vAlign w:val="bottom"/>
          </w:tcPr>
          <w:p w14:paraId="7EE21000" w14:textId="77777777" w:rsidR="0004599C" w:rsidRPr="00537128" w:rsidRDefault="0004599C" w:rsidP="0004599C">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Pre-Export Finance</w:t>
            </w:r>
          </w:p>
        </w:tc>
        <w:tc>
          <w:tcPr>
            <w:tcW w:w="953" w:type="pct"/>
            <w:tcBorders>
              <w:top w:val="nil"/>
              <w:left w:val="nil"/>
              <w:bottom w:val="nil"/>
              <w:right w:val="nil"/>
            </w:tcBorders>
            <w:shd w:val="clear" w:color="auto" w:fill="auto"/>
            <w:vAlign w:val="bottom"/>
          </w:tcPr>
          <w:p w14:paraId="418CC856" w14:textId="6410F233" w:rsidR="0004599C" w:rsidRPr="00537128" w:rsidRDefault="0004599C" w:rsidP="0004599C">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color w:val="000000"/>
              </w:rPr>
              <w:t>1,021</w:t>
            </w:r>
          </w:p>
        </w:tc>
        <w:tc>
          <w:tcPr>
            <w:tcW w:w="952" w:type="pct"/>
            <w:tcBorders>
              <w:top w:val="nil"/>
              <w:left w:val="nil"/>
              <w:bottom w:val="nil"/>
              <w:right w:val="nil"/>
            </w:tcBorders>
            <w:shd w:val="clear" w:color="auto" w:fill="auto"/>
            <w:vAlign w:val="bottom"/>
          </w:tcPr>
          <w:p w14:paraId="50EE5A4A" w14:textId="1E6C6D7F" w:rsidR="0004599C" w:rsidRPr="00537128" w:rsidRDefault="0004599C" w:rsidP="0004599C">
            <w:pPr>
              <w:tabs>
                <w:tab w:val="right" w:pos="1202"/>
              </w:tabs>
              <w:spacing w:after="0" w:line="301" w:lineRule="exact"/>
              <w:jc w:val="right"/>
              <w:outlineLvl w:val="0"/>
              <w:rPr>
                <w:rFonts w:ascii="Calibri" w:eastAsia="Times New Roman" w:hAnsi="Calibri" w:cs="Arial"/>
                <w:color w:val="000000"/>
                <w:lang w:val="en-US"/>
              </w:rPr>
            </w:pPr>
            <w:r w:rsidRPr="005B77C3">
              <w:rPr>
                <w:rFonts w:cstheme="minorHAnsi"/>
                <w:color w:val="000000" w:themeColor="text1"/>
              </w:rPr>
              <w:t>1</w:t>
            </w:r>
            <w:r>
              <w:rPr>
                <w:rFonts w:cstheme="minorHAnsi"/>
                <w:color w:val="000000" w:themeColor="text1"/>
              </w:rPr>
              <w:t>,</w:t>
            </w:r>
            <w:r w:rsidRPr="005B77C3">
              <w:rPr>
                <w:rFonts w:cstheme="minorHAnsi"/>
                <w:color w:val="000000" w:themeColor="text1"/>
              </w:rPr>
              <w:t>013</w:t>
            </w:r>
          </w:p>
        </w:tc>
      </w:tr>
      <w:tr w:rsidR="0004599C" w:rsidRPr="00537128" w14:paraId="2C0B52EC" w14:textId="77777777" w:rsidTr="00AA775F">
        <w:tc>
          <w:tcPr>
            <w:tcW w:w="3095" w:type="pct"/>
            <w:vAlign w:val="bottom"/>
          </w:tcPr>
          <w:p w14:paraId="2DB1DB1C" w14:textId="77777777" w:rsidR="0004599C" w:rsidRPr="00537128" w:rsidRDefault="0004599C" w:rsidP="0004599C">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Public Sector Investment</w:t>
            </w:r>
          </w:p>
        </w:tc>
        <w:tc>
          <w:tcPr>
            <w:tcW w:w="953" w:type="pct"/>
            <w:tcBorders>
              <w:top w:val="nil"/>
              <w:left w:val="nil"/>
              <w:bottom w:val="nil"/>
              <w:right w:val="nil"/>
            </w:tcBorders>
            <w:shd w:val="clear" w:color="auto" w:fill="auto"/>
            <w:vAlign w:val="bottom"/>
          </w:tcPr>
          <w:p w14:paraId="1B2F7FD1" w14:textId="6E585915" w:rsidR="0004599C" w:rsidRPr="00537128" w:rsidRDefault="0004599C" w:rsidP="0004599C">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color w:val="000000"/>
              </w:rPr>
              <w:t>852,583</w:t>
            </w:r>
          </w:p>
        </w:tc>
        <w:tc>
          <w:tcPr>
            <w:tcW w:w="952" w:type="pct"/>
            <w:tcBorders>
              <w:top w:val="nil"/>
              <w:left w:val="nil"/>
              <w:bottom w:val="nil"/>
              <w:right w:val="nil"/>
            </w:tcBorders>
            <w:shd w:val="clear" w:color="auto" w:fill="auto"/>
            <w:vAlign w:val="bottom"/>
          </w:tcPr>
          <w:p w14:paraId="084722B6" w14:textId="197E506C" w:rsidR="0004599C" w:rsidRPr="00537128" w:rsidRDefault="0004599C" w:rsidP="0004599C">
            <w:pPr>
              <w:tabs>
                <w:tab w:val="right" w:pos="1202"/>
              </w:tabs>
              <w:spacing w:after="0" w:line="301" w:lineRule="exact"/>
              <w:jc w:val="right"/>
              <w:outlineLvl w:val="0"/>
              <w:rPr>
                <w:rFonts w:ascii="Calibri" w:eastAsia="Times New Roman" w:hAnsi="Calibri" w:cs="Arial"/>
                <w:color w:val="000000"/>
                <w:lang w:val="en-US"/>
              </w:rPr>
            </w:pPr>
            <w:r w:rsidRPr="005B77C3">
              <w:rPr>
                <w:rFonts w:cstheme="minorHAnsi"/>
                <w:color w:val="000000" w:themeColor="text1"/>
              </w:rPr>
              <w:t>826</w:t>
            </w:r>
            <w:r>
              <w:rPr>
                <w:rFonts w:cstheme="minorHAnsi"/>
                <w:color w:val="000000" w:themeColor="text1"/>
              </w:rPr>
              <w:t>,</w:t>
            </w:r>
            <w:r w:rsidRPr="005B77C3">
              <w:rPr>
                <w:rFonts w:cstheme="minorHAnsi"/>
                <w:color w:val="000000" w:themeColor="text1"/>
              </w:rPr>
              <w:t>013</w:t>
            </w:r>
          </w:p>
        </w:tc>
      </w:tr>
      <w:tr w:rsidR="0004599C" w:rsidRPr="00537128" w14:paraId="678E2378" w14:textId="77777777" w:rsidTr="00AA775F">
        <w:tc>
          <w:tcPr>
            <w:tcW w:w="3095" w:type="pct"/>
            <w:vAlign w:val="bottom"/>
          </w:tcPr>
          <w:p w14:paraId="4978E10E" w14:textId="77777777" w:rsidR="0004599C" w:rsidRPr="00537128" w:rsidRDefault="0004599C" w:rsidP="0004599C">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Private Sector Investment</w:t>
            </w:r>
          </w:p>
        </w:tc>
        <w:tc>
          <w:tcPr>
            <w:tcW w:w="953" w:type="pct"/>
            <w:tcBorders>
              <w:top w:val="nil"/>
              <w:left w:val="nil"/>
              <w:bottom w:val="nil"/>
              <w:right w:val="nil"/>
            </w:tcBorders>
            <w:shd w:val="clear" w:color="auto" w:fill="auto"/>
            <w:vAlign w:val="bottom"/>
          </w:tcPr>
          <w:p w14:paraId="3D5EAE34" w14:textId="34D651A0" w:rsidR="0004599C" w:rsidRPr="00537128" w:rsidRDefault="0004599C" w:rsidP="0004599C">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color w:val="000000"/>
              </w:rPr>
              <w:t>206,750</w:t>
            </w:r>
          </w:p>
        </w:tc>
        <w:tc>
          <w:tcPr>
            <w:tcW w:w="952" w:type="pct"/>
            <w:tcBorders>
              <w:top w:val="nil"/>
              <w:left w:val="nil"/>
              <w:bottom w:val="nil"/>
              <w:right w:val="nil"/>
            </w:tcBorders>
            <w:shd w:val="clear" w:color="auto" w:fill="auto"/>
            <w:vAlign w:val="bottom"/>
          </w:tcPr>
          <w:p w14:paraId="744DCBBE" w14:textId="11705281" w:rsidR="0004599C" w:rsidRPr="00537128" w:rsidRDefault="0004599C" w:rsidP="0004599C">
            <w:pPr>
              <w:tabs>
                <w:tab w:val="right" w:pos="1202"/>
              </w:tabs>
              <w:spacing w:after="0" w:line="301" w:lineRule="exact"/>
              <w:jc w:val="right"/>
              <w:outlineLvl w:val="0"/>
              <w:rPr>
                <w:rFonts w:ascii="Calibri" w:eastAsia="Times New Roman" w:hAnsi="Calibri" w:cs="Arial"/>
                <w:color w:val="000000"/>
                <w:lang w:val="en-US"/>
              </w:rPr>
            </w:pPr>
            <w:r w:rsidRPr="005B77C3">
              <w:rPr>
                <w:rFonts w:cstheme="minorHAnsi"/>
                <w:color w:val="000000" w:themeColor="text1"/>
              </w:rPr>
              <w:t>201</w:t>
            </w:r>
            <w:r>
              <w:rPr>
                <w:rFonts w:cstheme="minorHAnsi"/>
                <w:color w:val="000000" w:themeColor="text1"/>
              </w:rPr>
              <w:t>,</w:t>
            </w:r>
            <w:r w:rsidRPr="005B77C3">
              <w:rPr>
                <w:rFonts w:cstheme="minorHAnsi"/>
                <w:color w:val="000000" w:themeColor="text1"/>
              </w:rPr>
              <w:t>419</w:t>
            </w:r>
          </w:p>
        </w:tc>
      </w:tr>
      <w:tr w:rsidR="0004599C" w:rsidRPr="00537128" w14:paraId="52DF233E" w14:textId="77777777" w:rsidTr="00AA775F">
        <w:tc>
          <w:tcPr>
            <w:tcW w:w="3095" w:type="pct"/>
            <w:vAlign w:val="bottom"/>
          </w:tcPr>
          <w:p w14:paraId="52F39EB7" w14:textId="77777777" w:rsidR="0004599C" w:rsidRPr="00537128" w:rsidRDefault="0004599C" w:rsidP="0004599C">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Youth, Female, Start-up Entrepreneurship</w:t>
            </w:r>
          </w:p>
        </w:tc>
        <w:tc>
          <w:tcPr>
            <w:tcW w:w="953" w:type="pct"/>
            <w:tcBorders>
              <w:top w:val="nil"/>
              <w:left w:val="nil"/>
              <w:bottom w:val="nil"/>
              <w:right w:val="nil"/>
            </w:tcBorders>
            <w:shd w:val="clear" w:color="auto" w:fill="auto"/>
            <w:vAlign w:val="bottom"/>
          </w:tcPr>
          <w:p w14:paraId="671CB070" w14:textId="038FFACE" w:rsidR="0004599C" w:rsidRPr="00537128" w:rsidRDefault="0004599C" w:rsidP="0004599C">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color w:val="000000"/>
              </w:rPr>
              <w:t>59,551</w:t>
            </w:r>
          </w:p>
        </w:tc>
        <w:tc>
          <w:tcPr>
            <w:tcW w:w="952" w:type="pct"/>
            <w:tcBorders>
              <w:top w:val="nil"/>
              <w:left w:val="nil"/>
              <w:bottom w:val="nil"/>
              <w:right w:val="nil"/>
            </w:tcBorders>
            <w:shd w:val="clear" w:color="auto" w:fill="auto"/>
            <w:vAlign w:val="bottom"/>
          </w:tcPr>
          <w:p w14:paraId="52A9B059" w14:textId="10DCAFBA" w:rsidR="0004599C" w:rsidRPr="00537128" w:rsidRDefault="0004599C" w:rsidP="0004599C">
            <w:pPr>
              <w:tabs>
                <w:tab w:val="right" w:pos="1202"/>
              </w:tabs>
              <w:spacing w:after="0" w:line="301" w:lineRule="exact"/>
              <w:jc w:val="right"/>
              <w:outlineLvl w:val="0"/>
              <w:rPr>
                <w:rFonts w:ascii="Calibri" w:eastAsia="Times New Roman" w:hAnsi="Calibri" w:cs="Arial"/>
                <w:color w:val="000000"/>
                <w:lang w:val="en-US"/>
              </w:rPr>
            </w:pPr>
            <w:r w:rsidRPr="005B77C3">
              <w:rPr>
                <w:rFonts w:cstheme="minorHAnsi"/>
                <w:color w:val="000000" w:themeColor="text1"/>
              </w:rPr>
              <w:t>57</w:t>
            </w:r>
            <w:r>
              <w:rPr>
                <w:rFonts w:cstheme="minorHAnsi"/>
                <w:color w:val="000000" w:themeColor="text1"/>
              </w:rPr>
              <w:t>,</w:t>
            </w:r>
            <w:r w:rsidRPr="005B77C3">
              <w:rPr>
                <w:rFonts w:cstheme="minorHAnsi"/>
                <w:color w:val="000000" w:themeColor="text1"/>
              </w:rPr>
              <w:t>234</w:t>
            </w:r>
          </w:p>
        </w:tc>
      </w:tr>
      <w:tr w:rsidR="0004599C" w:rsidRPr="00537128" w14:paraId="59B1C4BF" w14:textId="77777777" w:rsidTr="00AA775F">
        <w:tc>
          <w:tcPr>
            <w:tcW w:w="3095" w:type="pct"/>
            <w:vAlign w:val="bottom"/>
          </w:tcPr>
          <w:p w14:paraId="5557E45A" w14:textId="77777777" w:rsidR="0004599C" w:rsidRPr="00537128" w:rsidRDefault="0004599C" w:rsidP="0004599C">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Working Capital</w:t>
            </w:r>
          </w:p>
        </w:tc>
        <w:tc>
          <w:tcPr>
            <w:tcW w:w="953" w:type="pct"/>
            <w:tcBorders>
              <w:top w:val="nil"/>
              <w:left w:val="nil"/>
              <w:bottom w:val="nil"/>
              <w:right w:val="nil"/>
            </w:tcBorders>
            <w:shd w:val="clear" w:color="auto" w:fill="auto"/>
            <w:vAlign w:val="bottom"/>
          </w:tcPr>
          <w:p w14:paraId="27E040F1" w14:textId="3B38BEF8" w:rsidR="0004599C" w:rsidRPr="00537128" w:rsidRDefault="0004599C" w:rsidP="0004599C">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color w:val="000000"/>
              </w:rPr>
              <w:t>13,438</w:t>
            </w:r>
          </w:p>
        </w:tc>
        <w:tc>
          <w:tcPr>
            <w:tcW w:w="952" w:type="pct"/>
            <w:tcBorders>
              <w:top w:val="nil"/>
              <w:left w:val="nil"/>
              <w:bottom w:val="nil"/>
              <w:right w:val="nil"/>
            </w:tcBorders>
            <w:shd w:val="clear" w:color="auto" w:fill="auto"/>
            <w:vAlign w:val="bottom"/>
          </w:tcPr>
          <w:p w14:paraId="612814C5" w14:textId="0F6FDE30" w:rsidR="0004599C" w:rsidRPr="00537128" w:rsidRDefault="0004599C" w:rsidP="0004599C">
            <w:pPr>
              <w:tabs>
                <w:tab w:val="right" w:pos="1202"/>
              </w:tabs>
              <w:spacing w:after="0" w:line="301" w:lineRule="exact"/>
              <w:jc w:val="right"/>
              <w:outlineLvl w:val="0"/>
              <w:rPr>
                <w:rFonts w:ascii="Calibri" w:eastAsia="Times New Roman" w:hAnsi="Calibri" w:cs="Arial"/>
                <w:color w:val="000000"/>
                <w:lang w:val="en-US"/>
              </w:rPr>
            </w:pPr>
            <w:r w:rsidRPr="005B77C3">
              <w:rPr>
                <w:rFonts w:cstheme="minorHAnsi"/>
                <w:color w:val="000000" w:themeColor="text1"/>
              </w:rPr>
              <w:t>12</w:t>
            </w:r>
            <w:r>
              <w:rPr>
                <w:rFonts w:cstheme="minorHAnsi"/>
                <w:color w:val="000000" w:themeColor="text1"/>
              </w:rPr>
              <w:t>,</w:t>
            </w:r>
            <w:r w:rsidRPr="005B77C3">
              <w:rPr>
                <w:rFonts w:cstheme="minorHAnsi"/>
                <w:color w:val="000000" w:themeColor="text1"/>
              </w:rPr>
              <w:t>556</w:t>
            </w:r>
          </w:p>
        </w:tc>
      </w:tr>
      <w:tr w:rsidR="0004599C" w:rsidRPr="00537128" w14:paraId="39AFEDCF" w14:textId="77777777" w:rsidTr="00AA775F">
        <w:tc>
          <w:tcPr>
            <w:tcW w:w="3095" w:type="pct"/>
            <w:vAlign w:val="bottom"/>
          </w:tcPr>
          <w:p w14:paraId="13D5C4E8" w14:textId="77777777" w:rsidR="0004599C" w:rsidRPr="00537128" w:rsidRDefault="0004599C" w:rsidP="0004599C">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Working Capital – COVID 19 measures</w:t>
            </w:r>
          </w:p>
        </w:tc>
        <w:tc>
          <w:tcPr>
            <w:tcW w:w="953" w:type="pct"/>
            <w:tcBorders>
              <w:top w:val="nil"/>
              <w:left w:val="nil"/>
              <w:bottom w:val="nil"/>
              <w:right w:val="nil"/>
            </w:tcBorders>
            <w:shd w:val="clear" w:color="auto" w:fill="auto"/>
            <w:vAlign w:val="bottom"/>
          </w:tcPr>
          <w:p w14:paraId="0AEFB2E1" w14:textId="3E72B3DE" w:rsidR="0004599C" w:rsidRPr="00537128" w:rsidRDefault="0004599C" w:rsidP="0004599C">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color w:val="000000"/>
              </w:rPr>
              <w:t>68,893</w:t>
            </w:r>
          </w:p>
        </w:tc>
        <w:tc>
          <w:tcPr>
            <w:tcW w:w="952" w:type="pct"/>
            <w:tcBorders>
              <w:top w:val="nil"/>
              <w:left w:val="nil"/>
              <w:bottom w:val="nil"/>
              <w:right w:val="nil"/>
            </w:tcBorders>
            <w:shd w:val="clear" w:color="auto" w:fill="auto"/>
            <w:vAlign w:val="bottom"/>
          </w:tcPr>
          <w:p w14:paraId="28AE16DD" w14:textId="16AC7C88" w:rsidR="0004599C" w:rsidRPr="00537128" w:rsidRDefault="0004599C" w:rsidP="0004599C">
            <w:pPr>
              <w:tabs>
                <w:tab w:val="right" w:pos="1202"/>
              </w:tabs>
              <w:spacing w:after="0" w:line="301" w:lineRule="exact"/>
              <w:jc w:val="right"/>
              <w:outlineLvl w:val="0"/>
              <w:rPr>
                <w:rFonts w:ascii="Calibri" w:eastAsia="Times New Roman" w:hAnsi="Calibri" w:cs="Arial"/>
                <w:color w:val="000000"/>
                <w:lang w:val="en-US"/>
              </w:rPr>
            </w:pPr>
            <w:r w:rsidRPr="005B77C3">
              <w:rPr>
                <w:rFonts w:cstheme="minorHAnsi"/>
                <w:color w:val="000000" w:themeColor="text1"/>
              </w:rPr>
              <w:t>72</w:t>
            </w:r>
            <w:r>
              <w:rPr>
                <w:rFonts w:cstheme="minorHAnsi"/>
                <w:color w:val="000000" w:themeColor="text1"/>
              </w:rPr>
              <w:t>,</w:t>
            </w:r>
            <w:r w:rsidRPr="005B77C3">
              <w:rPr>
                <w:rFonts w:cstheme="minorHAnsi"/>
                <w:color w:val="000000" w:themeColor="text1"/>
              </w:rPr>
              <w:t>067</w:t>
            </w:r>
          </w:p>
        </w:tc>
      </w:tr>
      <w:tr w:rsidR="0004599C" w:rsidRPr="00537128" w14:paraId="7945BCF0" w14:textId="77777777" w:rsidTr="00AA775F">
        <w:tc>
          <w:tcPr>
            <w:tcW w:w="3095" w:type="pct"/>
            <w:vAlign w:val="bottom"/>
          </w:tcPr>
          <w:p w14:paraId="2D42E9A7" w14:textId="77777777" w:rsidR="0004599C" w:rsidRPr="00537128" w:rsidRDefault="0004599C" w:rsidP="0004599C">
            <w:pPr>
              <w:tabs>
                <w:tab w:val="right" w:pos="1202"/>
              </w:tabs>
              <w:spacing w:after="0" w:line="301" w:lineRule="exact"/>
              <w:outlineLvl w:val="0"/>
              <w:rPr>
                <w:rFonts w:ascii="Calibri" w:eastAsia="Times New Roman" w:hAnsi="Calibri" w:cs="Arial"/>
                <w:lang w:val="en-US"/>
              </w:rPr>
            </w:pPr>
            <w:bookmarkStart w:id="336" w:name="_Toc4058537"/>
            <w:r w:rsidRPr="00537128">
              <w:rPr>
                <w:rFonts w:ascii="Calibri" w:eastAsia="Times New Roman" w:hAnsi="Calibri" w:cs="Arial"/>
                <w:lang w:val="en-US"/>
              </w:rPr>
              <w:t xml:space="preserve">Loan </w:t>
            </w:r>
            <w:proofErr w:type="spellStart"/>
            <w:r w:rsidRPr="00537128">
              <w:rPr>
                <w:rFonts w:ascii="Calibri" w:eastAsia="Times New Roman" w:hAnsi="Calibri" w:cs="Arial"/>
                <w:lang w:val="en-US"/>
              </w:rPr>
              <w:t>programme</w:t>
            </w:r>
            <w:proofErr w:type="spellEnd"/>
            <w:r w:rsidRPr="00537128">
              <w:rPr>
                <w:rFonts w:ascii="Calibri" w:eastAsia="Times New Roman" w:hAnsi="Calibri" w:cs="Arial"/>
                <w:lang w:val="en-US"/>
              </w:rPr>
              <w:t xml:space="preserve"> for reconstruction and development of the economy</w:t>
            </w:r>
            <w:bookmarkEnd w:id="336"/>
          </w:p>
        </w:tc>
        <w:tc>
          <w:tcPr>
            <w:tcW w:w="953" w:type="pct"/>
            <w:tcBorders>
              <w:top w:val="nil"/>
              <w:left w:val="nil"/>
              <w:bottom w:val="nil"/>
              <w:right w:val="nil"/>
            </w:tcBorders>
            <w:shd w:val="clear" w:color="auto" w:fill="auto"/>
            <w:vAlign w:val="bottom"/>
          </w:tcPr>
          <w:p w14:paraId="7B0A8222" w14:textId="0C29617A" w:rsidR="0004599C" w:rsidRPr="00537128" w:rsidRDefault="0004599C" w:rsidP="0004599C">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color w:val="000000"/>
              </w:rPr>
              <w:t>879,910</w:t>
            </w:r>
          </w:p>
        </w:tc>
        <w:tc>
          <w:tcPr>
            <w:tcW w:w="952" w:type="pct"/>
            <w:tcBorders>
              <w:top w:val="nil"/>
              <w:left w:val="nil"/>
              <w:bottom w:val="nil"/>
              <w:right w:val="nil"/>
            </w:tcBorders>
            <w:shd w:val="clear" w:color="auto" w:fill="auto"/>
            <w:vAlign w:val="bottom"/>
          </w:tcPr>
          <w:p w14:paraId="5D2F43B7" w14:textId="09D6989C" w:rsidR="0004599C" w:rsidRPr="00537128" w:rsidRDefault="0004599C" w:rsidP="0004599C">
            <w:pPr>
              <w:tabs>
                <w:tab w:val="right" w:pos="1202"/>
              </w:tabs>
              <w:spacing w:after="0" w:line="301" w:lineRule="exact"/>
              <w:jc w:val="right"/>
              <w:outlineLvl w:val="0"/>
              <w:rPr>
                <w:rFonts w:ascii="Calibri" w:eastAsia="Times New Roman" w:hAnsi="Calibri" w:cs="Arial"/>
                <w:lang w:val="en-US"/>
              </w:rPr>
            </w:pPr>
            <w:r w:rsidRPr="00186E95">
              <w:rPr>
                <w:rFonts w:cstheme="minorHAnsi"/>
                <w:color w:val="000000" w:themeColor="text1"/>
              </w:rPr>
              <w:t>926</w:t>
            </w:r>
            <w:r>
              <w:rPr>
                <w:rFonts w:cstheme="minorHAnsi"/>
                <w:color w:val="000000" w:themeColor="text1"/>
              </w:rPr>
              <w:t>,</w:t>
            </w:r>
            <w:r w:rsidRPr="00186E95">
              <w:rPr>
                <w:rFonts w:cstheme="minorHAnsi"/>
                <w:color w:val="000000" w:themeColor="text1"/>
              </w:rPr>
              <w:t>987</w:t>
            </w:r>
          </w:p>
        </w:tc>
      </w:tr>
      <w:tr w:rsidR="0004599C" w:rsidRPr="00537128" w14:paraId="14D8C25D" w14:textId="77777777" w:rsidTr="00AA775F">
        <w:tc>
          <w:tcPr>
            <w:tcW w:w="3095" w:type="pct"/>
            <w:vAlign w:val="bottom"/>
          </w:tcPr>
          <w:p w14:paraId="036E2DE4" w14:textId="77777777" w:rsidR="0004599C" w:rsidRPr="00537128" w:rsidRDefault="0004599C" w:rsidP="0004599C">
            <w:pPr>
              <w:tabs>
                <w:tab w:val="right" w:pos="1202"/>
              </w:tabs>
              <w:spacing w:after="0" w:line="301" w:lineRule="exact"/>
              <w:outlineLvl w:val="0"/>
              <w:rPr>
                <w:rFonts w:ascii="Calibri" w:eastAsia="Times New Roman" w:hAnsi="Calibri" w:cs="Arial"/>
                <w:lang w:val="en-US"/>
              </w:rPr>
            </w:pPr>
            <w:bookmarkStart w:id="337" w:name="_Toc4058540"/>
            <w:r w:rsidRPr="00537128">
              <w:rPr>
                <w:rFonts w:ascii="Calibri" w:eastAsia="Times New Roman" w:hAnsi="Calibri" w:cs="Arial"/>
                <w:lang w:val="en-US"/>
              </w:rPr>
              <w:t>Export financing</w:t>
            </w:r>
            <w:bookmarkEnd w:id="337"/>
          </w:p>
        </w:tc>
        <w:tc>
          <w:tcPr>
            <w:tcW w:w="953" w:type="pct"/>
            <w:tcBorders>
              <w:top w:val="nil"/>
              <w:left w:val="nil"/>
              <w:bottom w:val="nil"/>
              <w:right w:val="nil"/>
            </w:tcBorders>
            <w:shd w:val="clear" w:color="auto" w:fill="auto"/>
            <w:vAlign w:val="bottom"/>
          </w:tcPr>
          <w:p w14:paraId="34E32A1E" w14:textId="4B1E706A" w:rsidR="0004599C" w:rsidRPr="00537128" w:rsidRDefault="0004599C" w:rsidP="0004599C">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color w:val="000000"/>
              </w:rPr>
              <w:t>1,442,793</w:t>
            </w:r>
          </w:p>
        </w:tc>
        <w:tc>
          <w:tcPr>
            <w:tcW w:w="952" w:type="pct"/>
            <w:tcBorders>
              <w:top w:val="nil"/>
              <w:left w:val="nil"/>
              <w:bottom w:val="nil"/>
              <w:right w:val="nil"/>
            </w:tcBorders>
            <w:shd w:val="clear" w:color="auto" w:fill="auto"/>
            <w:vAlign w:val="bottom"/>
          </w:tcPr>
          <w:p w14:paraId="09D393C6" w14:textId="5E197198" w:rsidR="0004599C" w:rsidRPr="00537128" w:rsidRDefault="0004599C" w:rsidP="0004599C">
            <w:pPr>
              <w:tabs>
                <w:tab w:val="right" w:pos="1202"/>
              </w:tabs>
              <w:spacing w:after="0" w:line="301" w:lineRule="exact"/>
              <w:jc w:val="right"/>
              <w:outlineLvl w:val="0"/>
              <w:rPr>
                <w:rFonts w:ascii="Calibri" w:eastAsia="Times New Roman" w:hAnsi="Calibri" w:cs="Arial"/>
                <w:lang w:val="en-US"/>
              </w:rPr>
            </w:pPr>
            <w:r w:rsidRPr="00186E95">
              <w:rPr>
                <w:rFonts w:cstheme="minorHAnsi"/>
                <w:color w:val="000000" w:themeColor="text1"/>
              </w:rPr>
              <w:t>1</w:t>
            </w:r>
            <w:r>
              <w:rPr>
                <w:rFonts w:cstheme="minorHAnsi"/>
                <w:color w:val="000000" w:themeColor="text1"/>
              </w:rPr>
              <w:t>,</w:t>
            </w:r>
            <w:r w:rsidRPr="00186E95">
              <w:rPr>
                <w:rFonts w:cstheme="minorHAnsi"/>
                <w:color w:val="000000" w:themeColor="text1"/>
              </w:rPr>
              <w:t>459</w:t>
            </w:r>
            <w:r>
              <w:rPr>
                <w:rFonts w:cstheme="minorHAnsi"/>
                <w:color w:val="000000" w:themeColor="text1"/>
              </w:rPr>
              <w:t>,</w:t>
            </w:r>
            <w:r w:rsidRPr="00186E95">
              <w:rPr>
                <w:rFonts w:cstheme="minorHAnsi"/>
                <w:color w:val="000000" w:themeColor="text1"/>
              </w:rPr>
              <w:t>505</w:t>
            </w:r>
          </w:p>
        </w:tc>
      </w:tr>
      <w:tr w:rsidR="0004599C" w:rsidRPr="00537128" w14:paraId="3834B3AE" w14:textId="77777777" w:rsidTr="00AA775F">
        <w:tc>
          <w:tcPr>
            <w:tcW w:w="3095" w:type="pct"/>
            <w:vAlign w:val="bottom"/>
          </w:tcPr>
          <w:p w14:paraId="5AA51C6F" w14:textId="77777777" w:rsidR="0004599C" w:rsidRPr="00537128" w:rsidRDefault="0004599C" w:rsidP="0004599C">
            <w:pPr>
              <w:tabs>
                <w:tab w:val="right" w:pos="1202"/>
              </w:tabs>
              <w:spacing w:after="0" w:line="301" w:lineRule="exact"/>
              <w:outlineLvl w:val="0"/>
              <w:rPr>
                <w:rFonts w:ascii="Calibri" w:eastAsia="Times New Roman" w:hAnsi="Calibri" w:cs="Arial"/>
                <w:lang w:val="en-US"/>
              </w:rPr>
            </w:pPr>
            <w:bookmarkStart w:id="338" w:name="_Toc4058543"/>
            <w:r w:rsidRPr="00537128">
              <w:rPr>
                <w:rFonts w:ascii="Calibri" w:eastAsia="Times New Roman" w:hAnsi="Calibri" w:cs="Arial"/>
                <w:lang w:val="en-US"/>
              </w:rPr>
              <w:t xml:space="preserve">Loan </w:t>
            </w:r>
            <w:proofErr w:type="spellStart"/>
            <w:r w:rsidRPr="00537128">
              <w:rPr>
                <w:rFonts w:ascii="Calibri" w:eastAsia="Times New Roman" w:hAnsi="Calibri" w:cs="Arial"/>
                <w:lang w:val="en-US"/>
              </w:rPr>
              <w:t>programme</w:t>
            </w:r>
            <w:proofErr w:type="spellEnd"/>
            <w:r w:rsidRPr="00537128">
              <w:rPr>
                <w:rFonts w:ascii="Calibri" w:eastAsia="Times New Roman" w:hAnsi="Calibri" w:cs="Arial"/>
                <w:lang w:val="en-US"/>
              </w:rPr>
              <w:t xml:space="preserve"> for reconstruction and development of infrastructure in the Republic of Croatia</w:t>
            </w:r>
            <w:bookmarkEnd w:id="338"/>
          </w:p>
        </w:tc>
        <w:tc>
          <w:tcPr>
            <w:tcW w:w="953" w:type="pct"/>
            <w:tcBorders>
              <w:top w:val="nil"/>
              <w:left w:val="nil"/>
              <w:bottom w:val="nil"/>
              <w:right w:val="nil"/>
            </w:tcBorders>
            <w:shd w:val="clear" w:color="auto" w:fill="auto"/>
            <w:vAlign w:val="bottom"/>
          </w:tcPr>
          <w:p w14:paraId="0B40C670" w14:textId="3ED0D322" w:rsidR="0004599C" w:rsidRPr="00537128" w:rsidRDefault="0004599C" w:rsidP="0004599C">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color w:val="000000"/>
              </w:rPr>
              <w:t>924,167</w:t>
            </w:r>
          </w:p>
        </w:tc>
        <w:tc>
          <w:tcPr>
            <w:tcW w:w="952" w:type="pct"/>
            <w:tcBorders>
              <w:top w:val="nil"/>
              <w:left w:val="nil"/>
              <w:bottom w:val="nil"/>
              <w:right w:val="nil"/>
            </w:tcBorders>
            <w:shd w:val="clear" w:color="auto" w:fill="auto"/>
            <w:vAlign w:val="bottom"/>
          </w:tcPr>
          <w:p w14:paraId="4F0970AE" w14:textId="04224B69" w:rsidR="0004599C" w:rsidRPr="00537128" w:rsidRDefault="0004599C" w:rsidP="0004599C">
            <w:pPr>
              <w:tabs>
                <w:tab w:val="right" w:pos="1202"/>
              </w:tabs>
              <w:spacing w:after="0" w:line="301" w:lineRule="exact"/>
              <w:jc w:val="right"/>
              <w:outlineLvl w:val="0"/>
              <w:rPr>
                <w:rFonts w:ascii="Calibri" w:eastAsia="Times New Roman" w:hAnsi="Calibri" w:cs="Arial"/>
                <w:lang w:val="en-US"/>
              </w:rPr>
            </w:pPr>
            <w:r w:rsidRPr="00186E95">
              <w:rPr>
                <w:rFonts w:cstheme="minorHAnsi"/>
                <w:color w:val="000000" w:themeColor="text1"/>
              </w:rPr>
              <w:t>968</w:t>
            </w:r>
            <w:r>
              <w:rPr>
                <w:rFonts w:cstheme="minorHAnsi"/>
                <w:color w:val="000000" w:themeColor="text1"/>
              </w:rPr>
              <w:t>,</w:t>
            </w:r>
            <w:r w:rsidRPr="00186E95">
              <w:rPr>
                <w:rFonts w:cstheme="minorHAnsi"/>
                <w:color w:val="000000" w:themeColor="text1"/>
              </w:rPr>
              <w:t>724</w:t>
            </w:r>
          </w:p>
        </w:tc>
      </w:tr>
      <w:tr w:rsidR="0004599C" w:rsidRPr="00537128" w14:paraId="6056D2BF" w14:textId="77777777" w:rsidTr="00AA775F">
        <w:tc>
          <w:tcPr>
            <w:tcW w:w="3095" w:type="pct"/>
            <w:vAlign w:val="bottom"/>
          </w:tcPr>
          <w:p w14:paraId="58DDE656" w14:textId="77777777" w:rsidR="0004599C" w:rsidRPr="00537128" w:rsidRDefault="0004599C" w:rsidP="0004599C">
            <w:pPr>
              <w:tabs>
                <w:tab w:val="right" w:pos="1202"/>
              </w:tabs>
              <w:spacing w:after="0" w:line="301" w:lineRule="exact"/>
              <w:outlineLvl w:val="0"/>
              <w:rPr>
                <w:rFonts w:ascii="Calibri" w:eastAsia="Times New Roman" w:hAnsi="Calibri" w:cs="Arial"/>
                <w:lang w:val="en-US"/>
              </w:rPr>
            </w:pPr>
            <w:bookmarkStart w:id="339" w:name="_Toc4058546"/>
            <w:r w:rsidRPr="00537128">
              <w:rPr>
                <w:rFonts w:ascii="Calibri" w:eastAsia="Times New Roman" w:hAnsi="Calibri" w:cs="Arial"/>
                <w:lang w:val="en-US"/>
              </w:rPr>
              <w:t xml:space="preserve">Loan </w:t>
            </w:r>
            <w:proofErr w:type="spellStart"/>
            <w:r w:rsidRPr="00537128">
              <w:rPr>
                <w:rFonts w:ascii="Calibri" w:eastAsia="Times New Roman" w:hAnsi="Calibri" w:cs="Arial"/>
                <w:lang w:val="en-US"/>
              </w:rPr>
              <w:t>programme</w:t>
            </w:r>
            <w:proofErr w:type="spellEnd"/>
            <w:r w:rsidRPr="00537128">
              <w:rPr>
                <w:rFonts w:ascii="Calibri" w:eastAsia="Times New Roman" w:hAnsi="Calibri" w:cs="Arial"/>
                <w:lang w:val="en-US"/>
              </w:rPr>
              <w:t xml:space="preserve"> for small and medium-sized enterprises</w:t>
            </w:r>
            <w:bookmarkEnd w:id="339"/>
          </w:p>
        </w:tc>
        <w:tc>
          <w:tcPr>
            <w:tcW w:w="953" w:type="pct"/>
            <w:tcBorders>
              <w:top w:val="nil"/>
              <w:left w:val="nil"/>
              <w:bottom w:val="nil"/>
              <w:right w:val="nil"/>
            </w:tcBorders>
            <w:shd w:val="clear" w:color="auto" w:fill="auto"/>
            <w:vAlign w:val="bottom"/>
          </w:tcPr>
          <w:p w14:paraId="53DA600F" w14:textId="549E4121" w:rsidR="0004599C" w:rsidRPr="00537128" w:rsidRDefault="0004599C" w:rsidP="0004599C">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color w:val="000000"/>
              </w:rPr>
              <w:t>2,202,458</w:t>
            </w:r>
          </w:p>
        </w:tc>
        <w:tc>
          <w:tcPr>
            <w:tcW w:w="952" w:type="pct"/>
            <w:tcBorders>
              <w:top w:val="nil"/>
              <w:left w:val="nil"/>
              <w:bottom w:val="nil"/>
              <w:right w:val="nil"/>
            </w:tcBorders>
            <w:shd w:val="clear" w:color="auto" w:fill="auto"/>
            <w:vAlign w:val="bottom"/>
          </w:tcPr>
          <w:p w14:paraId="7BA41216" w14:textId="5BBCB3E8" w:rsidR="0004599C" w:rsidRPr="00537128" w:rsidRDefault="0004599C" w:rsidP="0004599C">
            <w:pPr>
              <w:tabs>
                <w:tab w:val="right" w:pos="1202"/>
              </w:tabs>
              <w:spacing w:after="0" w:line="301" w:lineRule="exact"/>
              <w:jc w:val="right"/>
              <w:outlineLvl w:val="0"/>
              <w:rPr>
                <w:rFonts w:ascii="Calibri" w:eastAsia="Times New Roman" w:hAnsi="Calibri" w:cs="Arial"/>
                <w:lang w:val="en-US"/>
              </w:rPr>
            </w:pPr>
            <w:r w:rsidRPr="00186E95">
              <w:rPr>
                <w:rFonts w:cstheme="minorHAnsi"/>
                <w:color w:val="000000" w:themeColor="text1"/>
              </w:rPr>
              <w:t>2</w:t>
            </w:r>
            <w:r>
              <w:rPr>
                <w:rFonts w:cstheme="minorHAnsi"/>
                <w:color w:val="000000" w:themeColor="text1"/>
              </w:rPr>
              <w:t>,</w:t>
            </w:r>
            <w:r w:rsidRPr="00186E95">
              <w:rPr>
                <w:rFonts w:cstheme="minorHAnsi"/>
                <w:color w:val="000000" w:themeColor="text1"/>
              </w:rPr>
              <w:t>285</w:t>
            </w:r>
            <w:r>
              <w:rPr>
                <w:rFonts w:cstheme="minorHAnsi"/>
                <w:color w:val="000000" w:themeColor="text1"/>
              </w:rPr>
              <w:t>,</w:t>
            </w:r>
            <w:r w:rsidRPr="00186E95">
              <w:rPr>
                <w:rFonts w:cstheme="minorHAnsi"/>
                <w:color w:val="000000" w:themeColor="text1"/>
              </w:rPr>
              <w:t>623</w:t>
            </w:r>
          </w:p>
        </w:tc>
      </w:tr>
      <w:tr w:rsidR="0004599C" w:rsidRPr="00537128" w14:paraId="190CE8C0" w14:textId="77777777" w:rsidTr="00AA775F">
        <w:tc>
          <w:tcPr>
            <w:tcW w:w="3095" w:type="pct"/>
            <w:vAlign w:val="bottom"/>
          </w:tcPr>
          <w:p w14:paraId="7DDFD3DB" w14:textId="77777777" w:rsidR="0004599C" w:rsidRPr="00537128" w:rsidRDefault="0004599C" w:rsidP="0004599C">
            <w:pPr>
              <w:tabs>
                <w:tab w:val="right" w:pos="1202"/>
              </w:tabs>
              <w:spacing w:after="0" w:line="301" w:lineRule="exact"/>
              <w:outlineLvl w:val="0"/>
              <w:rPr>
                <w:rFonts w:ascii="Calibri" w:eastAsia="Times New Roman" w:hAnsi="Calibri" w:cs="Arial"/>
                <w:lang w:val="en-US"/>
              </w:rPr>
            </w:pPr>
            <w:bookmarkStart w:id="340" w:name="_Toc4058549"/>
            <w:r w:rsidRPr="00537128">
              <w:rPr>
                <w:rFonts w:ascii="Calibri" w:eastAsia="Times New Roman" w:hAnsi="Calibri" w:cs="Arial"/>
                <w:lang w:val="en-US"/>
              </w:rPr>
              <w:t xml:space="preserve">Loan </w:t>
            </w:r>
            <w:proofErr w:type="spellStart"/>
            <w:r w:rsidRPr="00537128">
              <w:rPr>
                <w:rFonts w:ascii="Calibri" w:eastAsia="Times New Roman" w:hAnsi="Calibri" w:cs="Arial"/>
                <w:lang w:val="en-US"/>
              </w:rPr>
              <w:t>programme</w:t>
            </w:r>
            <w:proofErr w:type="spellEnd"/>
            <w:r w:rsidRPr="00537128">
              <w:rPr>
                <w:rFonts w:ascii="Calibri" w:eastAsia="Times New Roman" w:hAnsi="Calibri" w:cs="Arial"/>
                <w:lang w:val="en-US"/>
              </w:rPr>
              <w:t xml:space="preserve"> for war-torn and demolished housing and business facilities</w:t>
            </w:r>
            <w:bookmarkEnd w:id="340"/>
          </w:p>
        </w:tc>
        <w:tc>
          <w:tcPr>
            <w:tcW w:w="953" w:type="pct"/>
            <w:tcBorders>
              <w:top w:val="nil"/>
              <w:left w:val="nil"/>
              <w:bottom w:val="nil"/>
              <w:right w:val="nil"/>
            </w:tcBorders>
            <w:shd w:val="clear" w:color="auto" w:fill="auto"/>
            <w:vAlign w:val="bottom"/>
          </w:tcPr>
          <w:p w14:paraId="0ECF7D09" w14:textId="71D95FA7" w:rsidR="0004599C" w:rsidRPr="00537128" w:rsidRDefault="0004599C" w:rsidP="0004599C">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color w:val="000000"/>
              </w:rPr>
              <w:t>3,374</w:t>
            </w:r>
          </w:p>
        </w:tc>
        <w:tc>
          <w:tcPr>
            <w:tcW w:w="952" w:type="pct"/>
            <w:tcBorders>
              <w:top w:val="nil"/>
              <w:left w:val="nil"/>
              <w:bottom w:val="nil"/>
              <w:right w:val="nil"/>
            </w:tcBorders>
            <w:shd w:val="clear" w:color="auto" w:fill="auto"/>
            <w:vAlign w:val="bottom"/>
          </w:tcPr>
          <w:p w14:paraId="48FC7B24" w14:textId="5D5D79FF" w:rsidR="0004599C" w:rsidRPr="00537128" w:rsidRDefault="0004599C" w:rsidP="0004599C">
            <w:pPr>
              <w:tabs>
                <w:tab w:val="right" w:pos="1202"/>
              </w:tabs>
              <w:spacing w:after="0" w:line="301" w:lineRule="exact"/>
              <w:jc w:val="right"/>
              <w:outlineLvl w:val="0"/>
              <w:rPr>
                <w:rFonts w:ascii="Calibri" w:eastAsia="Times New Roman" w:hAnsi="Calibri" w:cs="Arial"/>
                <w:lang w:val="en-US"/>
              </w:rPr>
            </w:pPr>
            <w:r w:rsidRPr="00186E95">
              <w:rPr>
                <w:rFonts w:cstheme="minorHAnsi"/>
                <w:color w:val="000000" w:themeColor="text1"/>
              </w:rPr>
              <w:t>3</w:t>
            </w:r>
            <w:r>
              <w:rPr>
                <w:rFonts w:cstheme="minorHAnsi"/>
                <w:color w:val="000000" w:themeColor="text1"/>
              </w:rPr>
              <w:t>,</w:t>
            </w:r>
            <w:r w:rsidRPr="00186E95">
              <w:rPr>
                <w:rFonts w:cstheme="minorHAnsi"/>
                <w:color w:val="000000" w:themeColor="text1"/>
              </w:rPr>
              <w:t>563</w:t>
            </w:r>
          </w:p>
        </w:tc>
      </w:tr>
      <w:tr w:rsidR="0004599C" w:rsidRPr="00537128" w14:paraId="39220C2B" w14:textId="77777777" w:rsidTr="00AA775F">
        <w:tc>
          <w:tcPr>
            <w:tcW w:w="3095" w:type="pct"/>
            <w:vAlign w:val="bottom"/>
          </w:tcPr>
          <w:p w14:paraId="1F49CAF8" w14:textId="77777777" w:rsidR="0004599C" w:rsidRPr="00537128" w:rsidRDefault="0004599C" w:rsidP="0004599C">
            <w:pPr>
              <w:tabs>
                <w:tab w:val="right" w:pos="1202"/>
              </w:tabs>
              <w:spacing w:after="0" w:line="301" w:lineRule="exact"/>
              <w:outlineLvl w:val="0"/>
              <w:rPr>
                <w:rFonts w:ascii="Calibri" w:eastAsia="Times New Roman" w:hAnsi="Calibri" w:cs="Arial"/>
                <w:lang w:val="en-US"/>
              </w:rPr>
            </w:pPr>
            <w:bookmarkStart w:id="341" w:name="_Toc4058552"/>
            <w:r w:rsidRPr="00537128">
              <w:rPr>
                <w:rFonts w:ascii="Calibri" w:eastAsia="Times New Roman" w:hAnsi="Calibri" w:cs="Arial"/>
                <w:lang w:val="en-US"/>
              </w:rPr>
              <w:t>Other</w:t>
            </w:r>
            <w:bookmarkEnd w:id="341"/>
          </w:p>
        </w:tc>
        <w:tc>
          <w:tcPr>
            <w:tcW w:w="953" w:type="pct"/>
            <w:tcBorders>
              <w:top w:val="nil"/>
              <w:left w:val="nil"/>
              <w:bottom w:val="nil"/>
              <w:right w:val="nil"/>
            </w:tcBorders>
            <w:shd w:val="clear" w:color="auto" w:fill="auto"/>
            <w:vAlign w:val="bottom"/>
          </w:tcPr>
          <w:p w14:paraId="6CFC4EED" w14:textId="2CEF5B04" w:rsidR="0004599C" w:rsidRPr="00537128" w:rsidRDefault="0004599C" w:rsidP="0004599C">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color w:val="000000"/>
              </w:rPr>
              <w:t>127,524</w:t>
            </w:r>
          </w:p>
        </w:tc>
        <w:tc>
          <w:tcPr>
            <w:tcW w:w="952" w:type="pct"/>
            <w:tcBorders>
              <w:top w:val="nil"/>
              <w:left w:val="nil"/>
              <w:bottom w:val="nil"/>
              <w:right w:val="nil"/>
            </w:tcBorders>
            <w:shd w:val="clear" w:color="auto" w:fill="auto"/>
            <w:vAlign w:val="bottom"/>
          </w:tcPr>
          <w:p w14:paraId="266CDB33" w14:textId="4C30E235" w:rsidR="0004599C" w:rsidRPr="00537128" w:rsidRDefault="0004599C" w:rsidP="0004599C">
            <w:pPr>
              <w:tabs>
                <w:tab w:val="right" w:pos="1202"/>
              </w:tabs>
              <w:spacing w:after="0" w:line="301" w:lineRule="exact"/>
              <w:jc w:val="right"/>
              <w:outlineLvl w:val="0"/>
              <w:rPr>
                <w:rFonts w:ascii="Calibri" w:eastAsia="Times New Roman" w:hAnsi="Calibri" w:cs="Arial"/>
                <w:lang w:val="en-US"/>
              </w:rPr>
            </w:pPr>
            <w:r w:rsidRPr="00186E95">
              <w:rPr>
                <w:rFonts w:cstheme="minorHAnsi"/>
                <w:color w:val="000000" w:themeColor="text1"/>
              </w:rPr>
              <w:t>83</w:t>
            </w:r>
            <w:r>
              <w:rPr>
                <w:rFonts w:cstheme="minorHAnsi"/>
                <w:color w:val="000000" w:themeColor="text1"/>
              </w:rPr>
              <w:t>,</w:t>
            </w:r>
            <w:r w:rsidRPr="00186E95">
              <w:rPr>
                <w:rFonts w:cstheme="minorHAnsi"/>
                <w:color w:val="000000" w:themeColor="text1"/>
              </w:rPr>
              <w:t>239</w:t>
            </w:r>
          </w:p>
        </w:tc>
      </w:tr>
      <w:tr w:rsidR="0004599C" w:rsidRPr="00537128" w14:paraId="39349489" w14:textId="77777777" w:rsidTr="00AA775F">
        <w:tc>
          <w:tcPr>
            <w:tcW w:w="3095" w:type="pct"/>
            <w:vAlign w:val="bottom"/>
          </w:tcPr>
          <w:p w14:paraId="6A39A2E3" w14:textId="77777777" w:rsidR="0004599C" w:rsidRPr="00537128" w:rsidRDefault="0004599C" w:rsidP="0004599C">
            <w:pPr>
              <w:tabs>
                <w:tab w:val="right" w:pos="1202"/>
              </w:tabs>
              <w:spacing w:after="0" w:line="301" w:lineRule="exact"/>
              <w:outlineLvl w:val="0"/>
              <w:rPr>
                <w:rFonts w:ascii="Calibri" w:eastAsia="Times New Roman" w:hAnsi="Calibri" w:cs="Arial"/>
                <w:lang w:val="en-US"/>
              </w:rPr>
            </w:pPr>
            <w:bookmarkStart w:id="342" w:name="_Toc4058555"/>
            <w:r w:rsidRPr="00537128">
              <w:rPr>
                <w:rFonts w:ascii="Calibri" w:eastAsia="Times New Roman" w:hAnsi="Calibri" w:cs="Arial"/>
                <w:lang w:val="en-US"/>
              </w:rPr>
              <w:t>Accrued interest</w:t>
            </w:r>
            <w:bookmarkEnd w:id="342"/>
          </w:p>
        </w:tc>
        <w:tc>
          <w:tcPr>
            <w:tcW w:w="953" w:type="pct"/>
            <w:tcBorders>
              <w:top w:val="nil"/>
              <w:left w:val="nil"/>
              <w:bottom w:val="nil"/>
              <w:right w:val="nil"/>
            </w:tcBorders>
            <w:shd w:val="clear" w:color="auto" w:fill="auto"/>
            <w:vAlign w:val="bottom"/>
          </w:tcPr>
          <w:p w14:paraId="402AD36E" w14:textId="124E751D" w:rsidR="0004599C" w:rsidRPr="00537128" w:rsidRDefault="0004599C" w:rsidP="0004599C">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color w:val="000000"/>
              </w:rPr>
              <w:t>2,981</w:t>
            </w:r>
          </w:p>
        </w:tc>
        <w:tc>
          <w:tcPr>
            <w:tcW w:w="952" w:type="pct"/>
            <w:tcBorders>
              <w:top w:val="nil"/>
              <w:left w:val="nil"/>
              <w:bottom w:val="nil"/>
              <w:right w:val="nil"/>
            </w:tcBorders>
            <w:shd w:val="clear" w:color="auto" w:fill="auto"/>
            <w:vAlign w:val="bottom"/>
          </w:tcPr>
          <w:p w14:paraId="45FDEB31" w14:textId="101B3117" w:rsidR="0004599C" w:rsidRPr="00537128" w:rsidRDefault="0004599C" w:rsidP="0004599C">
            <w:pPr>
              <w:tabs>
                <w:tab w:val="right" w:pos="1202"/>
              </w:tabs>
              <w:spacing w:after="0" w:line="301" w:lineRule="exact"/>
              <w:jc w:val="right"/>
              <w:outlineLvl w:val="0"/>
              <w:rPr>
                <w:rFonts w:ascii="Calibri" w:eastAsia="Times New Roman" w:hAnsi="Calibri" w:cs="Arial"/>
                <w:lang w:val="en-US"/>
              </w:rPr>
            </w:pPr>
            <w:r w:rsidRPr="00186E95">
              <w:rPr>
                <w:rFonts w:cstheme="minorHAnsi"/>
                <w:color w:val="000000" w:themeColor="text1"/>
              </w:rPr>
              <w:t>3</w:t>
            </w:r>
            <w:r>
              <w:rPr>
                <w:rFonts w:cstheme="minorHAnsi"/>
                <w:color w:val="000000" w:themeColor="text1"/>
              </w:rPr>
              <w:t>,</w:t>
            </w:r>
            <w:r w:rsidRPr="00186E95">
              <w:rPr>
                <w:rFonts w:cstheme="minorHAnsi"/>
                <w:color w:val="000000" w:themeColor="text1"/>
              </w:rPr>
              <w:t>418</w:t>
            </w:r>
          </w:p>
        </w:tc>
      </w:tr>
      <w:tr w:rsidR="0004599C" w:rsidRPr="00537128" w14:paraId="199C1FC7" w14:textId="77777777" w:rsidTr="00AA775F">
        <w:tc>
          <w:tcPr>
            <w:tcW w:w="3095" w:type="pct"/>
            <w:vAlign w:val="bottom"/>
          </w:tcPr>
          <w:p w14:paraId="31332E87" w14:textId="77777777" w:rsidR="0004599C" w:rsidRPr="00537128" w:rsidRDefault="0004599C" w:rsidP="0004599C">
            <w:pPr>
              <w:tabs>
                <w:tab w:val="right" w:pos="1202"/>
              </w:tabs>
              <w:spacing w:after="0" w:line="301" w:lineRule="exact"/>
              <w:outlineLvl w:val="0"/>
              <w:rPr>
                <w:rFonts w:ascii="Calibri" w:eastAsia="Times New Roman" w:hAnsi="Calibri" w:cs="Arial"/>
                <w:lang w:val="en-US"/>
              </w:rPr>
            </w:pPr>
            <w:bookmarkStart w:id="343" w:name="_Toc4058558"/>
            <w:r w:rsidRPr="00537128">
              <w:rPr>
                <w:rFonts w:ascii="Calibri" w:eastAsia="Times New Roman" w:hAnsi="Calibri" w:cs="Arial"/>
                <w:lang w:val="en-US"/>
              </w:rPr>
              <w:t>Deferred recognition of loan fees</w:t>
            </w:r>
            <w:bookmarkEnd w:id="343"/>
          </w:p>
        </w:tc>
        <w:tc>
          <w:tcPr>
            <w:tcW w:w="953" w:type="pct"/>
            <w:tcBorders>
              <w:top w:val="nil"/>
              <w:left w:val="nil"/>
              <w:bottom w:val="nil"/>
              <w:right w:val="nil"/>
            </w:tcBorders>
            <w:shd w:val="clear" w:color="auto" w:fill="auto"/>
            <w:vAlign w:val="bottom"/>
          </w:tcPr>
          <w:p w14:paraId="138CB3F5" w14:textId="1FB50888" w:rsidR="0004599C" w:rsidRPr="00537128" w:rsidRDefault="0004599C" w:rsidP="0004599C">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color w:val="000000"/>
              </w:rPr>
              <w:t>(20,355)</w:t>
            </w:r>
          </w:p>
        </w:tc>
        <w:tc>
          <w:tcPr>
            <w:tcW w:w="952" w:type="pct"/>
            <w:tcBorders>
              <w:top w:val="nil"/>
              <w:left w:val="nil"/>
              <w:bottom w:val="nil"/>
              <w:right w:val="nil"/>
            </w:tcBorders>
            <w:shd w:val="clear" w:color="auto" w:fill="auto"/>
            <w:vAlign w:val="bottom"/>
          </w:tcPr>
          <w:p w14:paraId="17E0795A" w14:textId="66E5115A" w:rsidR="0004599C" w:rsidRPr="00537128" w:rsidRDefault="0004599C" w:rsidP="0004599C">
            <w:pPr>
              <w:tabs>
                <w:tab w:val="right" w:pos="1202"/>
              </w:tabs>
              <w:spacing w:after="0" w:line="301" w:lineRule="exact"/>
              <w:jc w:val="right"/>
              <w:outlineLvl w:val="0"/>
              <w:rPr>
                <w:rFonts w:ascii="Calibri" w:eastAsia="Times New Roman" w:hAnsi="Calibri" w:cs="Arial"/>
                <w:lang w:val="en-US"/>
              </w:rPr>
            </w:pPr>
            <w:r w:rsidRPr="00186E95">
              <w:rPr>
                <w:rFonts w:cstheme="minorHAnsi"/>
                <w:color w:val="000000" w:themeColor="text1"/>
              </w:rPr>
              <w:t>(21</w:t>
            </w:r>
            <w:r>
              <w:rPr>
                <w:rFonts w:cstheme="minorHAnsi"/>
                <w:color w:val="000000" w:themeColor="text1"/>
              </w:rPr>
              <w:t>,</w:t>
            </w:r>
            <w:r w:rsidRPr="00186E95">
              <w:rPr>
                <w:rFonts w:cstheme="minorHAnsi"/>
                <w:color w:val="000000" w:themeColor="text1"/>
              </w:rPr>
              <w:t>195)</w:t>
            </w:r>
          </w:p>
        </w:tc>
      </w:tr>
      <w:tr w:rsidR="0004599C" w:rsidRPr="00537128" w14:paraId="5A06C90D" w14:textId="77777777" w:rsidTr="00AA775F">
        <w:tc>
          <w:tcPr>
            <w:tcW w:w="3095" w:type="pct"/>
            <w:vAlign w:val="bottom"/>
          </w:tcPr>
          <w:p w14:paraId="157BE3F8" w14:textId="77777777" w:rsidR="0004599C" w:rsidRPr="00537128" w:rsidRDefault="0004599C" w:rsidP="0004599C">
            <w:pPr>
              <w:tabs>
                <w:tab w:val="right" w:pos="1202"/>
              </w:tabs>
              <w:spacing w:after="0" w:line="340" w:lineRule="exact"/>
              <w:jc w:val="right"/>
              <w:outlineLvl w:val="0"/>
              <w:rPr>
                <w:rFonts w:ascii="Calibri" w:eastAsia="Times New Roman" w:hAnsi="Calibri" w:cs="Arial"/>
                <w:lang w:val="en-US"/>
              </w:rPr>
            </w:pPr>
          </w:p>
        </w:tc>
        <w:tc>
          <w:tcPr>
            <w:tcW w:w="953" w:type="pct"/>
            <w:tcBorders>
              <w:top w:val="single" w:sz="4" w:space="0" w:color="auto"/>
              <w:bottom w:val="single" w:sz="4" w:space="0" w:color="auto"/>
            </w:tcBorders>
            <w:vAlign w:val="bottom"/>
          </w:tcPr>
          <w:p w14:paraId="4CE5704B" w14:textId="7AC023C3" w:rsidR="0004599C" w:rsidRPr="00537128" w:rsidRDefault="0004599C" w:rsidP="0004599C">
            <w:pPr>
              <w:tabs>
                <w:tab w:val="right" w:pos="1202"/>
              </w:tabs>
              <w:spacing w:after="0" w:line="340" w:lineRule="exact"/>
              <w:jc w:val="right"/>
              <w:outlineLvl w:val="0"/>
              <w:rPr>
                <w:rFonts w:ascii="Calibri" w:eastAsia="Times New Roman" w:hAnsi="Calibri" w:cs="Arial"/>
                <w:lang w:val="en-US"/>
              </w:rPr>
            </w:pPr>
            <w:r>
              <w:rPr>
                <w:rFonts w:ascii="Calibri" w:eastAsia="Times New Roman" w:hAnsi="Calibri" w:cs="Calibri"/>
                <w:color w:val="000000"/>
              </w:rPr>
              <w:t>6,999,940</w:t>
            </w:r>
          </w:p>
        </w:tc>
        <w:tc>
          <w:tcPr>
            <w:tcW w:w="952" w:type="pct"/>
            <w:tcBorders>
              <w:top w:val="single" w:sz="4" w:space="0" w:color="auto"/>
              <w:bottom w:val="single" w:sz="4" w:space="0" w:color="auto"/>
            </w:tcBorders>
            <w:vAlign w:val="bottom"/>
          </w:tcPr>
          <w:p w14:paraId="1911C6DD" w14:textId="067185C6" w:rsidR="0004599C" w:rsidRPr="00537128" w:rsidRDefault="0004599C" w:rsidP="0004599C">
            <w:pPr>
              <w:tabs>
                <w:tab w:val="right" w:pos="1202"/>
              </w:tabs>
              <w:spacing w:after="0" w:line="340" w:lineRule="exact"/>
              <w:jc w:val="right"/>
              <w:outlineLvl w:val="0"/>
              <w:rPr>
                <w:rFonts w:ascii="Calibri" w:eastAsia="Times New Roman" w:hAnsi="Calibri" w:cs="Arial"/>
                <w:lang w:val="en-US"/>
              </w:rPr>
            </w:pPr>
            <w:r w:rsidRPr="00186E95">
              <w:rPr>
                <w:rFonts w:cstheme="minorHAnsi"/>
                <w:color w:val="000000" w:themeColor="text1"/>
              </w:rPr>
              <w:t>7</w:t>
            </w:r>
            <w:r>
              <w:rPr>
                <w:rFonts w:cstheme="minorHAnsi"/>
                <w:color w:val="000000" w:themeColor="text1"/>
              </w:rPr>
              <w:t>,</w:t>
            </w:r>
            <w:r w:rsidRPr="00186E95">
              <w:rPr>
                <w:rFonts w:cstheme="minorHAnsi"/>
                <w:color w:val="000000" w:themeColor="text1"/>
              </w:rPr>
              <w:t>109</w:t>
            </w:r>
            <w:r>
              <w:rPr>
                <w:rFonts w:cstheme="minorHAnsi"/>
                <w:color w:val="000000" w:themeColor="text1"/>
              </w:rPr>
              <w:t>,</w:t>
            </w:r>
            <w:r w:rsidRPr="00186E95">
              <w:rPr>
                <w:rFonts w:cstheme="minorHAnsi"/>
                <w:color w:val="000000" w:themeColor="text1"/>
              </w:rPr>
              <w:t>043</w:t>
            </w:r>
          </w:p>
        </w:tc>
      </w:tr>
      <w:tr w:rsidR="0004599C" w:rsidRPr="00537128" w14:paraId="2EC6A3A7" w14:textId="77777777" w:rsidTr="00D873D7">
        <w:trPr>
          <w:trHeight w:val="352"/>
        </w:trPr>
        <w:tc>
          <w:tcPr>
            <w:tcW w:w="3095" w:type="pct"/>
            <w:vAlign w:val="bottom"/>
          </w:tcPr>
          <w:p w14:paraId="515BDD79" w14:textId="77777777" w:rsidR="0004599C" w:rsidRPr="00537128" w:rsidRDefault="0004599C" w:rsidP="0004599C">
            <w:pPr>
              <w:tabs>
                <w:tab w:val="right" w:pos="1202"/>
              </w:tabs>
              <w:spacing w:after="0" w:line="301" w:lineRule="exact"/>
              <w:outlineLvl w:val="0"/>
              <w:rPr>
                <w:rFonts w:ascii="Calibri" w:eastAsia="Times New Roman" w:hAnsi="Calibri" w:cs="Arial"/>
                <w:lang w:val="en-US"/>
              </w:rPr>
            </w:pPr>
            <w:bookmarkStart w:id="344" w:name="_Toc4058563"/>
            <w:r w:rsidRPr="00537128">
              <w:rPr>
                <w:rFonts w:ascii="Calibri" w:eastAsia="Times New Roman" w:hAnsi="Calibri" w:cs="Arial"/>
                <w:lang w:val="en-US"/>
              </w:rPr>
              <w:t>Loss allowances</w:t>
            </w:r>
            <w:bookmarkEnd w:id="344"/>
          </w:p>
        </w:tc>
        <w:tc>
          <w:tcPr>
            <w:tcW w:w="953" w:type="pct"/>
            <w:tcBorders>
              <w:top w:val="single" w:sz="4" w:space="0" w:color="auto"/>
              <w:bottom w:val="single" w:sz="4" w:space="0" w:color="auto"/>
            </w:tcBorders>
            <w:vAlign w:val="bottom"/>
          </w:tcPr>
          <w:p w14:paraId="4C4C5E6C" w14:textId="5FAD97C4" w:rsidR="0004599C" w:rsidRPr="00537128" w:rsidRDefault="0004599C" w:rsidP="0004599C">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color w:val="000000"/>
              </w:rPr>
              <w:t>(57,980)</w:t>
            </w:r>
          </w:p>
        </w:tc>
        <w:tc>
          <w:tcPr>
            <w:tcW w:w="952" w:type="pct"/>
            <w:tcBorders>
              <w:top w:val="single" w:sz="4" w:space="0" w:color="auto"/>
              <w:bottom w:val="single" w:sz="4" w:space="0" w:color="auto"/>
            </w:tcBorders>
            <w:vAlign w:val="bottom"/>
          </w:tcPr>
          <w:p w14:paraId="28CF2B8E" w14:textId="327BAF4F" w:rsidR="0004599C" w:rsidRPr="00537128" w:rsidRDefault="0004599C" w:rsidP="0004599C">
            <w:pPr>
              <w:tabs>
                <w:tab w:val="right" w:pos="1202"/>
              </w:tabs>
              <w:spacing w:after="0" w:line="301" w:lineRule="exact"/>
              <w:jc w:val="right"/>
              <w:outlineLvl w:val="0"/>
              <w:rPr>
                <w:rFonts w:ascii="Calibri" w:eastAsia="Times New Roman" w:hAnsi="Calibri" w:cs="Arial"/>
                <w:lang w:val="en-US"/>
              </w:rPr>
            </w:pPr>
            <w:r w:rsidRPr="00186E95">
              <w:rPr>
                <w:rFonts w:cstheme="minorHAnsi"/>
                <w:color w:val="000000" w:themeColor="text1"/>
              </w:rPr>
              <w:t>(58</w:t>
            </w:r>
            <w:r>
              <w:rPr>
                <w:rFonts w:cstheme="minorHAnsi"/>
                <w:color w:val="000000" w:themeColor="text1"/>
              </w:rPr>
              <w:t>,</w:t>
            </w:r>
            <w:r w:rsidRPr="00186E95">
              <w:rPr>
                <w:rFonts w:cstheme="minorHAnsi"/>
                <w:color w:val="000000" w:themeColor="text1"/>
              </w:rPr>
              <w:t>900)</w:t>
            </w:r>
          </w:p>
        </w:tc>
      </w:tr>
      <w:tr w:rsidR="0004599C" w:rsidRPr="00537128" w14:paraId="52E034FE" w14:textId="77777777" w:rsidTr="00D873D7">
        <w:tc>
          <w:tcPr>
            <w:tcW w:w="3095" w:type="pct"/>
          </w:tcPr>
          <w:p w14:paraId="158118EF" w14:textId="77777777" w:rsidR="0004599C" w:rsidRPr="00537128" w:rsidRDefault="0004599C" w:rsidP="0004599C">
            <w:pPr>
              <w:tabs>
                <w:tab w:val="right" w:pos="1202"/>
              </w:tabs>
              <w:spacing w:after="0" w:line="340" w:lineRule="exact"/>
              <w:jc w:val="right"/>
              <w:outlineLvl w:val="0"/>
              <w:rPr>
                <w:rFonts w:ascii="Calibri" w:eastAsia="Times New Roman" w:hAnsi="Calibri" w:cs="Arial"/>
                <w:b/>
                <w:bCs/>
                <w:lang w:val="en-US"/>
              </w:rPr>
            </w:pPr>
          </w:p>
        </w:tc>
        <w:tc>
          <w:tcPr>
            <w:tcW w:w="953" w:type="pct"/>
            <w:tcBorders>
              <w:top w:val="single" w:sz="4" w:space="0" w:color="auto"/>
              <w:bottom w:val="single" w:sz="12" w:space="0" w:color="auto"/>
            </w:tcBorders>
            <w:vAlign w:val="bottom"/>
          </w:tcPr>
          <w:p w14:paraId="14A64572" w14:textId="6C783C18" w:rsidR="0004599C" w:rsidRPr="00537128" w:rsidRDefault="0004599C" w:rsidP="0004599C">
            <w:pPr>
              <w:tabs>
                <w:tab w:val="right" w:pos="1202"/>
              </w:tabs>
              <w:spacing w:after="0" w:line="340" w:lineRule="exact"/>
              <w:jc w:val="right"/>
              <w:outlineLvl w:val="0"/>
              <w:rPr>
                <w:rFonts w:ascii="Calibri" w:eastAsia="Times New Roman" w:hAnsi="Calibri" w:cs="Arial"/>
                <w:b/>
                <w:bCs/>
                <w:lang w:val="en-US"/>
              </w:rPr>
            </w:pPr>
            <w:r>
              <w:rPr>
                <w:rFonts w:ascii="Calibri" w:eastAsia="Times New Roman" w:hAnsi="Calibri" w:cs="Calibri"/>
                <w:b/>
                <w:bCs/>
                <w:color w:val="000000"/>
              </w:rPr>
              <w:t>6,941,960</w:t>
            </w:r>
          </w:p>
        </w:tc>
        <w:tc>
          <w:tcPr>
            <w:tcW w:w="952" w:type="pct"/>
            <w:tcBorders>
              <w:top w:val="single" w:sz="4" w:space="0" w:color="auto"/>
              <w:bottom w:val="single" w:sz="12" w:space="0" w:color="auto"/>
            </w:tcBorders>
            <w:vAlign w:val="bottom"/>
          </w:tcPr>
          <w:p w14:paraId="49C2D7DE" w14:textId="6A5A9D1C" w:rsidR="0004599C" w:rsidRPr="00537128" w:rsidRDefault="0004599C" w:rsidP="0004599C">
            <w:pPr>
              <w:tabs>
                <w:tab w:val="right" w:pos="1202"/>
              </w:tabs>
              <w:spacing w:after="0" w:line="340" w:lineRule="exact"/>
              <w:jc w:val="right"/>
              <w:outlineLvl w:val="0"/>
              <w:rPr>
                <w:rFonts w:ascii="Calibri" w:eastAsia="Times New Roman" w:hAnsi="Calibri" w:cs="Arial"/>
                <w:b/>
                <w:bCs/>
                <w:lang w:val="en-US"/>
              </w:rPr>
            </w:pPr>
            <w:r w:rsidRPr="00186E95">
              <w:rPr>
                <w:rFonts w:cstheme="minorHAnsi"/>
                <w:b/>
                <w:bCs/>
                <w:color w:val="000000" w:themeColor="text1"/>
              </w:rPr>
              <w:t>7</w:t>
            </w:r>
            <w:r>
              <w:rPr>
                <w:rFonts w:cstheme="minorHAnsi"/>
                <w:b/>
                <w:bCs/>
                <w:color w:val="000000" w:themeColor="text1"/>
              </w:rPr>
              <w:t>,</w:t>
            </w:r>
            <w:r w:rsidRPr="00186E95">
              <w:rPr>
                <w:rFonts w:cstheme="minorHAnsi"/>
                <w:b/>
                <w:bCs/>
                <w:color w:val="000000" w:themeColor="text1"/>
              </w:rPr>
              <w:t>050</w:t>
            </w:r>
            <w:r>
              <w:rPr>
                <w:rFonts w:cstheme="minorHAnsi"/>
                <w:b/>
                <w:bCs/>
                <w:color w:val="000000" w:themeColor="text1"/>
              </w:rPr>
              <w:t>,</w:t>
            </w:r>
            <w:r w:rsidRPr="00186E95">
              <w:rPr>
                <w:rFonts w:cstheme="minorHAnsi"/>
                <w:b/>
                <w:bCs/>
                <w:color w:val="000000" w:themeColor="text1"/>
              </w:rPr>
              <w:t>143</w:t>
            </w:r>
          </w:p>
        </w:tc>
      </w:tr>
    </w:tbl>
    <w:p w14:paraId="6E36AA2C" w14:textId="77777777" w:rsidR="003602EF" w:rsidRPr="00537128" w:rsidRDefault="003602EF" w:rsidP="003602EF">
      <w:pPr>
        <w:autoSpaceDE w:val="0"/>
        <w:autoSpaceDN w:val="0"/>
        <w:adjustRightInd w:val="0"/>
        <w:spacing w:after="0" w:line="240" w:lineRule="auto"/>
        <w:jc w:val="both"/>
        <w:rPr>
          <w:noProof/>
          <w:color w:val="000000" w:themeColor="text1"/>
          <w:lang w:val="en-US"/>
        </w:rPr>
      </w:pPr>
    </w:p>
    <w:p w14:paraId="422B5312" w14:textId="7F67BCB6" w:rsidR="003602EF" w:rsidRPr="00537128" w:rsidRDefault="003602EF" w:rsidP="003602EF">
      <w:pPr>
        <w:autoSpaceDE w:val="0"/>
        <w:autoSpaceDN w:val="0"/>
        <w:adjustRightInd w:val="0"/>
        <w:spacing w:after="0" w:line="240" w:lineRule="auto"/>
        <w:jc w:val="both"/>
        <w:rPr>
          <w:noProof/>
          <w:color w:val="000000" w:themeColor="text1"/>
          <w:lang w:val="en-US"/>
        </w:rPr>
      </w:pPr>
      <w:r w:rsidRPr="003C2D4E">
        <w:rPr>
          <w:noProof/>
          <w:color w:val="000000" w:themeColor="text1"/>
          <w:lang w:val="en-US"/>
        </w:rPr>
        <w:t xml:space="preserve">Average interest rates for total loans to financial institutions are stated </w:t>
      </w:r>
      <w:r w:rsidRPr="00C920FB">
        <w:rPr>
          <w:noProof/>
          <w:color w:val="000000" w:themeColor="text1"/>
          <w:lang w:val="en-US"/>
        </w:rPr>
        <w:t xml:space="preserve">at </w:t>
      </w:r>
      <w:r w:rsidR="00FB7819" w:rsidRPr="00C920FB">
        <w:rPr>
          <w:noProof/>
          <w:color w:val="000000" w:themeColor="text1"/>
          <w:lang w:val="en-US"/>
        </w:rPr>
        <w:t>0</w:t>
      </w:r>
      <w:r w:rsidR="00A1618B" w:rsidRPr="00C920FB">
        <w:rPr>
          <w:noProof/>
          <w:color w:val="000000" w:themeColor="text1"/>
          <w:lang w:val="en-US"/>
        </w:rPr>
        <w:t>.</w:t>
      </w:r>
      <w:r w:rsidR="00C920FB" w:rsidRPr="00C920FB">
        <w:rPr>
          <w:noProof/>
          <w:color w:val="000000" w:themeColor="text1"/>
          <w:lang w:val="en-US"/>
        </w:rPr>
        <w:t>3</w:t>
      </w:r>
      <w:r w:rsidR="00A1618B" w:rsidRPr="00C920FB">
        <w:rPr>
          <w:noProof/>
          <w:color w:val="000000" w:themeColor="text1"/>
          <w:lang w:val="en-US"/>
        </w:rPr>
        <w:t>0</w:t>
      </w:r>
      <w:r w:rsidRPr="00C920FB">
        <w:rPr>
          <w:noProof/>
          <w:color w:val="000000" w:themeColor="text1"/>
          <w:lang w:val="en-US"/>
        </w:rPr>
        <w:t>% (</w:t>
      </w:r>
      <w:r w:rsidR="00B30200" w:rsidRPr="00C920FB">
        <w:rPr>
          <w:noProof/>
          <w:color w:val="000000" w:themeColor="text1"/>
          <w:lang w:val="en-US"/>
        </w:rPr>
        <w:t>1</w:t>
      </w:r>
      <w:r w:rsidR="00B30200" w:rsidRPr="00A1618B">
        <w:rPr>
          <w:noProof/>
          <w:color w:val="000000" w:themeColor="text1"/>
          <w:lang w:val="en-US"/>
        </w:rPr>
        <w:t xml:space="preserve"> Jaunary - </w:t>
      </w:r>
      <w:r w:rsidRPr="00A1618B">
        <w:rPr>
          <w:noProof/>
          <w:color w:val="000000" w:themeColor="text1"/>
          <w:lang w:val="en-US"/>
        </w:rPr>
        <w:t>3</w:t>
      </w:r>
      <w:r w:rsidR="0058555D" w:rsidRPr="00A1618B">
        <w:rPr>
          <w:noProof/>
          <w:color w:val="000000" w:themeColor="text1"/>
          <w:lang w:val="en-US"/>
        </w:rPr>
        <w:t>1</w:t>
      </w:r>
      <w:r w:rsidRPr="00A1618B">
        <w:rPr>
          <w:noProof/>
          <w:color w:val="000000" w:themeColor="text1"/>
          <w:lang w:val="en-US"/>
        </w:rPr>
        <w:t xml:space="preserve"> </w:t>
      </w:r>
      <w:r w:rsidR="0058555D" w:rsidRPr="00A1618B">
        <w:rPr>
          <w:noProof/>
          <w:color w:val="000000" w:themeColor="text1"/>
          <w:lang w:val="en-US"/>
        </w:rPr>
        <w:t>March</w:t>
      </w:r>
      <w:r w:rsidR="00F87CAD" w:rsidRPr="00A1618B">
        <w:rPr>
          <w:noProof/>
          <w:color w:val="000000" w:themeColor="text1"/>
          <w:lang w:val="en-US"/>
        </w:rPr>
        <w:t xml:space="preserve"> </w:t>
      </w:r>
      <w:r w:rsidR="00B30200" w:rsidRPr="00A1618B">
        <w:rPr>
          <w:noProof/>
          <w:color w:val="000000" w:themeColor="text1"/>
          <w:lang w:val="en-US"/>
        </w:rPr>
        <w:t>20</w:t>
      </w:r>
      <w:r w:rsidR="0058555D" w:rsidRPr="00A1618B">
        <w:rPr>
          <w:noProof/>
          <w:color w:val="000000" w:themeColor="text1"/>
          <w:lang w:val="en-US"/>
        </w:rPr>
        <w:t>2</w:t>
      </w:r>
      <w:r w:rsidR="00AA775F">
        <w:rPr>
          <w:noProof/>
          <w:color w:val="000000" w:themeColor="text1"/>
          <w:lang w:val="en-US"/>
        </w:rPr>
        <w:t>1</w:t>
      </w:r>
      <w:r w:rsidRPr="00A1618B">
        <w:rPr>
          <w:noProof/>
          <w:color w:val="000000" w:themeColor="text1"/>
          <w:lang w:val="en-US"/>
        </w:rPr>
        <w:t>: 0</w:t>
      </w:r>
      <w:r w:rsidR="00A1618B">
        <w:rPr>
          <w:noProof/>
          <w:color w:val="000000" w:themeColor="text1"/>
          <w:lang w:val="en-US"/>
        </w:rPr>
        <w:t>.</w:t>
      </w:r>
      <w:r w:rsidR="00AA775F">
        <w:rPr>
          <w:noProof/>
          <w:color w:val="000000" w:themeColor="text1"/>
          <w:lang w:val="en-US"/>
        </w:rPr>
        <w:t>40</w:t>
      </w:r>
      <w:r w:rsidRPr="00A1618B">
        <w:rPr>
          <w:noProof/>
          <w:color w:val="000000" w:themeColor="text1"/>
          <w:lang w:val="en-US"/>
        </w:rPr>
        <w:t>%) and are equal to average interests rates for lo</w:t>
      </w:r>
      <w:r w:rsidRPr="00537128">
        <w:rPr>
          <w:noProof/>
          <w:color w:val="000000" w:themeColor="text1"/>
          <w:lang w:val="en-US"/>
        </w:rPr>
        <w:t>ans under HBOR loan programmes excluding the liquidity reserve</w:t>
      </w:r>
      <w:r w:rsidR="00112079">
        <w:rPr>
          <w:noProof/>
          <w:color w:val="000000" w:themeColor="text1"/>
          <w:lang w:val="en-US"/>
        </w:rPr>
        <w:t>.</w:t>
      </w:r>
    </w:p>
    <w:p w14:paraId="131EA166" w14:textId="77777777" w:rsidR="003602EF" w:rsidRPr="00537128" w:rsidRDefault="003602EF" w:rsidP="003602EF">
      <w:pPr>
        <w:autoSpaceDE w:val="0"/>
        <w:autoSpaceDN w:val="0"/>
        <w:adjustRightInd w:val="0"/>
        <w:spacing w:after="0" w:line="240" w:lineRule="auto"/>
        <w:jc w:val="both"/>
        <w:rPr>
          <w:noProof/>
          <w:color w:val="000000" w:themeColor="text1"/>
          <w:lang w:val="en-US"/>
        </w:rPr>
      </w:pPr>
    </w:p>
    <w:p w14:paraId="192280F3" w14:textId="3EA606E8" w:rsidR="003602EF" w:rsidRPr="00537128" w:rsidRDefault="003602EF" w:rsidP="003602EF">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Average interest rates reflect the ratio of interest income generated from the mentioned placements and average assets</w:t>
      </w:r>
      <w:r w:rsidR="00112079">
        <w:rPr>
          <w:noProof/>
          <w:color w:val="000000" w:themeColor="text1"/>
          <w:lang w:val="en-US"/>
        </w:rPr>
        <w:t>.</w:t>
      </w:r>
    </w:p>
    <w:p w14:paraId="5BB9BB46" w14:textId="77777777" w:rsidR="003602EF" w:rsidRPr="00537128" w:rsidRDefault="003602EF" w:rsidP="003602EF">
      <w:pPr>
        <w:autoSpaceDE w:val="0"/>
        <w:autoSpaceDN w:val="0"/>
        <w:adjustRightInd w:val="0"/>
        <w:spacing w:after="0" w:line="240" w:lineRule="auto"/>
        <w:jc w:val="both"/>
        <w:rPr>
          <w:noProof/>
          <w:color w:val="000000" w:themeColor="text1"/>
          <w:lang w:val="en-US"/>
        </w:rPr>
      </w:pPr>
    </w:p>
    <w:p w14:paraId="7F5253D4" w14:textId="6B8911C1" w:rsidR="003602EF" w:rsidRPr="00537128" w:rsidRDefault="003602EF" w:rsidP="003602EF">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 xml:space="preserve">Item “Other” </w:t>
      </w:r>
      <w:r w:rsidRPr="003C2D4E">
        <w:rPr>
          <w:noProof/>
          <w:color w:val="000000" w:themeColor="text1"/>
          <w:lang w:val="en-US"/>
        </w:rPr>
        <w:t xml:space="preserve">refers to reverse repo agreements in the total amount of HRK </w:t>
      </w:r>
      <w:r w:rsidR="00FD7972">
        <w:rPr>
          <w:noProof/>
          <w:color w:val="000000" w:themeColor="text1"/>
          <w:lang w:val="en-US"/>
        </w:rPr>
        <w:t>7,524</w:t>
      </w:r>
      <w:r w:rsidR="007B0C27" w:rsidRPr="003C2D4E">
        <w:rPr>
          <w:noProof/>
          <w:color w:val="000000" w:themeColor="text1"/>
          <w:lang w:val="en-US"/>
        </w:rPr>
        <w:t xml:space="preserve"> </w:t>
      </w:r>
      <w:r w:rsidRPr="003C2D4E">
        <w:rPr>
          <w:noProof/>
          <w:color w:val="000000" w:themeColor="text1"/>
          <w:lang w:val="en-US"/>
        </w:rPr>
        <w:t>thousand (31 December 20</w:t>
      </w:r>
      <w:r w:rsidR="0058555D" w:rsidRPr="00A1618B">
        <w:rPr>
          <w:noProof/>
          <w:color w:val="000000" w:themeColor="text1"/>
          <w:lang w:val="en-US"/>
        </w:rPr>
        <w:t>2</w:t>
      </w:r>
      <w:r w:rsidR="00AA775F">
        <w:rPr>
          <w:noProof/>
          <w:color w:val="000000" w:themeColor="text1"/>
          <w:lang w:val="en-US"/>
        </w:rPr>
        <w:t>1</w:t>
      </w:r>
      <w:r w:rsidRPr="00A1618B">
        <w:rPr>
          <w:noProof/>
          <w:color w:val="000000" w:themeColor="text1"/>
          <w:lang w:val="en-US"/>
        </w:rPr>
        <w:t xml:space="preserve">: HRK </w:t>
      </w:r>
      <w:r w:rsidR="00AA775F">
        <w:rPr>
          <w:noProof/>
          <w:color w:val="000000" w:themeColor="text1"/>
          <w:lang w:val="en-US"/>
        </w:rPr>
        <w:t>8</w:t>
      </w:r>
      <w:r w:rsidR="006367F5">
        <w:rPr>
          <w:noProof/>
          <w:color w:val="000000" w:themeColor="text1"/>
          <w:lang w:val="en-US"/>
        </w:rPr>
        <w:t>,239</w:t>
      </w:r>
      <w:r w:rsidR="0058555D" w:rsidRPr="00A1618B">
        <w:rPr>
          <w:noProof/>
          <w:color w:val="000000" w:themeColor="text1"/>
          <w:lang w:val="en-US"/>
        </w:rPr>
        <w:t xml:space="preserve"> </w:t>
      </w:r>
      <w:r w:rsidRPr="00A1618B">
        <w:rPr>
          <w:noProof/>
          <w:color w:val="000000" w:themeColor="text1"/>
          <w:lang w:val="en-US"/>
        </w:rPr>
        <w:t>thousand)</w:t>
      </w:r>
      <w:r w:rsidR="00E17188" w:rsidRPr="00A1618B">
        <w:rPr>
          <w:noProof/>
          <w:color w:val="000000" w:themeColor="text1"/>
          <w:lang w:val="en-US"/>
        </w:rPr>
        <w:t>,</w:t>
      </w:r>
      <w:r w:rsidRPr="00A1618B">
        <w:rPr>
          <w:noProof/>
          <w:color w:val="000000" w:themeColor="text1"/>
          <w:lang w:val="en-US"/>
        </w:rPr>
        <w:t xml:space="preserve"> The above placements are collateralized by securities in the amount of HRK </w:t>
      </w:r>
      <w:r w:rsidR="00FD7972">
        <w:rPr>
          <w:noProof/>
          <w:color w:val="000000" w:themeColor="text1"/>
          <w:lang w:val="en-US"/>
        </w:rPr>
        <w:t>8,021</w:t>
      </w:r>
      <w:r w:rsidR="000C2E64" w:rsidRPr="003C2D4E">
        <w:rPr>
          <w:noProof/>
          <w:color w:val="000000" w:themeColor="text1"/>
          <w:lang w:val="en-US"/>
        </w:rPr>
        <w:t xml:space="preserve"> </w:t>
      </w:r>
      <w:r w:rsidRPr="003C2D4E">
        <w:rPr>
          <w:noProof/>
          <w:color w:val="000000" w:themeColor="text1"/>
          <w:lang w:val="en-US"/>
        </w:rPr>
        <w:t>thousand (31 December 20</w:t>
      </w:r>
      <w:r w:rsidR="0058555D" w:rsidRPr="00A1618B">
        <w:rPr>
          <w:noProof/>
          <w:color w:val="000000" w:themeColor="text1"/>
          <w:lang w:val="en-US"/>
        </w:rPr>
        <w:t>2</w:t>
      </w:r>
      <w:r w:rsidR="006367F5">
        <w:rPr>
          <w:noProof/>
          <w:color w:val="000000" w:themeColor="text1"/>
          <w:lang w:val="en-US"/>
        </w:rPr>
        <w:t>1</w:t>
      </w:r>
      <w:r w:rsidRPr="00A1618B">
        <w:rPr>
          <w:noProof/>
          <w:color w:val="000000" w:themeColor="text1"/>
          <w:lang w:val="en-US"/>
        </w:rPr>
        <w:t xml:space="preserve">: HRK </w:t>
      </w:r>
      <w:r w:rsidR="006367F5">
        <w:rPr>
          <w:noProof/>
          <w:color w:val="000000" w:themeColor="text1"/>
          <w:lang w:val="en-US"/>
        </w:rPr>
        <w:t>8,660</w:t>
      </w:r>
      <w:r w:rsidR="0058555D" w:rsidRPr="00A1618B">
        <w:rPr>
          <w:noProof/>
          <w:color w:val="000000" w:themeColor="text1"/>
          <w:lang w:val="en-US"/>
        </w:rPr>
        <w:t xml:space="preserve"> </w:t>
      </w:r>
      <w:r w:rsidRPr="00A1618B">
        <w:rPr>
          <w:noProof/>
          <w:color w:val="000000" w:themeColor="text1"/>
          <w:lang w:val="en-US"/>
        </w:rPr>
        <w:t>thousand)</w:t>
      </w:r>
      <w:r w:rsidR="00112079">
        <w:rPr>
          <w:noProof/>
          <w:color w:val="000000" w:themeColor="text1"/>
          <w:lang w:val="en-US"/>
        </w:rPr>
        <w:t>.</w:t>
      </w:r>
    </w:p>
    <w:p w14:paraId="1466DF55" w14:textId="77777777" w:rsidR="003602EF" w:rsidRPr="00537128" w:rsidRDefault="003602EF" w:rsidP="00FB32CA">
      <w:pPr>
        <w:autoSpaceDE w:val="0"/>
        <w:autoSpaceDN w:val="0"/>
        <w:adjustRightInd w:val="0"/>
        <w:spacing w:after="0" w:line="240" w:lineRule="auto"/>
        <w:jc w:val="both"/>
        <w:rPr>
          <w:noProof/>
          <w:color w:val="000000" w:themeColor="text1"/>
          <w:lang w:val="en-US"/>
        </w:rPr>
      </w:pPr>
    </w:p>
    <w:p w14:paraId="49928856" w14:textId="77777777" w:rsidR="007C40E2" w:rsidRPr="00537128" w:rsidRDefault="007C40E2" w:rsidP="00FB32CA">
      <w:pPr>
        <w:autoSpaceDE w:val="0"/>
        <w:autoSpaceDN w:val="0"/>
        <w:adjustRightInd w:val="0"/>
        <w:spacing w:after="0" w:line="240" w:lineRule="auto"/>
        <w:jc w:val="both"/>
        <w:rPr>
          <w:noProof/>
          <w:color w:val="000000" w:themeColor="text1"/>
          <w:lang w:val="en-US"/>
        </w:rPr>
        <w:sectPr w:rsidR="007C40E2" w:rsidRPr="00537128">
          <w:pgSz w:w="11906" w:h="16838"/>
          <w:pgMar w:top="1417" w:right="1417" w:bottom="1417" w:left="1417" w:header="708" w:footer="708" w:gutter="0"/>
          <w:cols w:space="708"/>
          <w:docGrid w:linePitch="360"/>
        </w:sectPr>
      </w:pPr>
    </w:p>
    <w:p w14:paraId="15851786" w14:textId="77777777" w:rsidR="007C40E2" w:rsidRPr="00537128" w:rsidRDefault="007C40E2" w:rsidP="00FB32CA">
      <w:pPr>
        <w:autoSpaceDE w:val="0"/>
        <w:autoSpaceDN w:val="0"/>
        <w:adjustRightInd w:val="0"/>
        <w:spacing w:after="0" w:line="240" w:lineRule="auto"/>
        <w:jc w:val="both"/>
        <w:rPr>
          <w:noProof/>
          <w:color w:val="000000" w:themeColor="text1"/>
          <w:lang w:val="en-US"/>
        </w:rPr>
      </w:pPr>
      <w:bookmarkStart w:id="345" w:name="_Hlk36812621"/>
    </w:p>
    <w:p w14:paraId="2DE41FB6" w14:textId="77777777" w:rsidR="007C40E2" w:rsidRPr="00537128" w:rsidRDefault="007C40E2" w:rsidP="005B7D9D">
      <w:pPr>
        <w:pStyle w:val="ListParagraph"/>
        <w:numPr>
          <w:ilvl w:val="0"/>
          <w:numId w:val="12"/>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 xml:space="preserve">Loans to other customers </w:t>
      </w:r>
    </w:p>
    <w:bookmarkEnd w:id="345"/>
    <w:p w14:paraId="23A14D27" w14:textId="77777777" w:rsidR="007C40E2" w:rsidRPr="00537128" w:rsidRDefault="007C40E2" w:rsidP="007C40E2">
      <w:pPr>
        <w:autoSpaceDE w:val="0"/>
        <w:autoSpaceDN w:val="0"/>
        <w:adjustRightInd w:val="0"/>
        <w:spacing w:after="0" w:line="240" w:lineRule="auto"/>
        <w:jc w:val="both"/>
        <w:rPr>
          <w:noProof/>
          <w:color w:val="000000" w:themeColor="text1"/>
          <w:lang w:val="en-US"/>
        </w:rPr>
      </w:pPr>
    </w:p>
    <w:p w14:paraId="7E19A84E" w14:textId="77777777" w:rsidR="007C40E2" w:rsidRPr="00537128" w:rsidRDefault="007C40E2" w:rsidP="007C40E2">
      <w:pPr>
        <w:autoSpaceDE w:val="0"/>
        <w:autoSpaceDN w:val="0"/>
        <w:adjustRightInd w:val="0"/>
        <w:spacing w:after="0" w:line="240" w:lineRule="auto"/>
        <w:jc w:val="both"/>
        <w:rPr>
          <w:noProof/>
          <w:color w:val="000000" w:themeColor="text1"/>
          <w:lang w:val="en-US"/>
        </w:rPr>
      </w:pPr>
      <w:bookmarkStart w:id="346" w:name="_Hlk3202346"/>
      <w:r w:rsidRPr="00537128">
        <w:rPr>
          <w:noProof/>
          <w:color w:val="000000" w:themeColor="text1"/>
          <w:lang w:val="en-US"/>
        </w:rPr>
        <w:t>Loans to other customers, impaired for loss allowances, may be summarized by sectors as follows:</w:t>
      </w:r>
    </w:p>
    <w:bookmarkEnd w:id="346"/>
    <w:p w14:paraId="395AC20E" w14:textId="68F62C9C" w:rsidR="007C40E2" w:rsidRPr="00537128" w:rsidRDefault="007C40E2" w:rsidP="007C40E2">
      <w:pPr>
        <w:autoSpaceDE w:val="0"/>
        <w:autoSpaceDN w:val="0"/>
        <w:adjustRightInd w:val="0"/>
        <w:spacing w:after="0" w:line="240" w:lineRule="auto"/>
        <w:jc w:val="both"/>
        <w:rPr>
          <w:noProof/>
          <w:color w:val="000000" w:themeColor="text1"/>
          <w:lang w:val="en-US"/>
        </w:rPr>
      </w:pPr>
    </w:p>
    <w:tbl>
      <w:tblPr>
        <w:tblW w:w="4619" w:type="pct"/>
        <w:tblInd w:w="426" w:type="dxa"/>
        <w:tblLayout w:type="fixed"/>
        <w:tblCellMar>
          <w:left w:w="119" w:type="dxa"/>
          <w:right w:w="119" w:type="dxa"/>
        </w:tblCellMar>
        <w:tblLook w:val="0000" w:firstRow="0" w:lastRow="0" w:firstColumn="0" w:lastColumn="0" w:noHBand="0" w:noVBand="0"/>
      </w:tblPr>
      <w:tblGrid>
        <w:gridCol w:w="5243"/>
        <w:gridCol w:w="1569"/>
        <w:gridCol w:w="1569"/>
      </w:tblGrid>
      <w:tr w:rsidR="00D873D7" w:rsidRPr="00537128" w14:paraId="2DBDCA43" w14:textId="77777777" w:rsidTr="00D873D7">
        <w:trPr>
          <w:trHeight w:val="347"/>
        </w:trPr>
        <w:tc>
          <w:tcPr>
            <w:tcW w:w="3128" w:type="pct"/>
          </w:tcPr>
          <w:p w14:paraId="54E3632A" w14:textId="77777777" w:rsidR="00D873D7" w:rsidRPr="00537128" w:rsidRDefault="00D873D7" w:rsidP="00D873D7">
            <w:pPr>
              <w:tabs>
                <w:tab w:val="left" w:pos="-720"/>
              </w:tabs>
              <w:suppressAutoHyphens/>
              <w:spacing w:after="0" w:line="240" w:lineRule="auto"/>
              <w:rPr>
                <w:rFonts w:ascii="Calibri" w:eastAsia="Times New Roman" w:hAnsi="Calibri" w:cs="Arial"/>
                <w:spacing w:val="-2"/>
                <w:lang w:val="en-US"/>
              </w:rPr>
            </w:pPr>
          </w:p>
        </w:tc>
        <w:tc>
          <w:tcPr>
            <w:tcW w:w="1872" w:type="pct"/>
            <w:gridSpan w:val="2"/>
          </w:tcPr>
          <w:p w14:paraId="326026D0"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bookmarkStart w:id="347" w:name="_Toc4058568"/>
            <w:r w:rsidRPr="00537128">
              <w:rPr>
                <w:rFonts w:ascii="Calibri" w:eastAsia="Times New Roman" w:hAnsi="Calibri" w:cs="Arial"/>
                <w:b/>
                <w:lang w:val="en-US"/>
              </w:rPr>
              <w:t>Group and Bank</w:t>
            </w:r>
            <w:bookmarkEnd w:id="347"/>
          </w:p>
        </w:tc>
      </w:tr>
      <w:tr w:rsidR="00D873D7" w:rsidRPr="00537128" w14:paraId="7815B3C4" w14:textId="77777777" w:rsidTr="00D873D7">
        <w:trPr>
          <w:trHeight w:val="347"/>
        </w:trPr>
        <w:tc>
          <w:tcPr>
            <w:tcW w:w="3128" w:type="pct"/>
          </w:tcPr>
          <w:p w14:paraId="650537DE" w14:textId="77777777" w:rsidR="00D873D7" w:rsidRPr="00537128" w:rsidRDefault="00D873D7" w:rsidP="00D873D7">
            <w:pPr>
              <w:tabs>
                <w:tab w:val="left" w:pos="-720"/>
              </w:tabs>
              <w:suppressAutoHyphens/>
              <w:spacing w:after="0" w:line="240" w:lineRule="auto"/>
              <w:rPr>
                <w:rFonts w:ascii="Calibri" w:eastAsia="Times New Roman" w:hAnsi="Calibri" w:cs="Arial"/>
                <w:spacing w:val="-2"/>
                <w:lang w:val="en-US"/>
              </w:rPr>
            </w:pPr>
          </w:p>
        </w:tc>
        <w:tc>
          <w:tcPr>
            <w:tcW w:w="936" w:type="pct"/>
            <w:shd w:val="clear" w:color="auto" w:fill="auto"/>
            <w:vAlign w:val="center"/>
          </w:tcPr>
          <w:p w14:paraId="143D1D16" w14:textId="14C7BE7B"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bookmarkStart w:id="348" w:name="_Toc4058569"/>
            <w:r w:rsidRPr="00537128">
              <w:rPr>
                <w:rFonts w:ascii="Calibri" w:eastAsia="Times New Roman" w:hAnsi="Calibri" w:cs="Arial"/>
                <w:b/>
                <w:lang w:val="en-US"/>
              </w:rPr>
              <w:t xml:space="preserve">31 </w:t>
            </w:r>
            <w:bookmarkEnd w:id="348"/>
            <w:r w:rsidRPr="00537128">
              <w:rPr>
                <w:rFonts w:ascii="Calibri" w:eastAsia="Times New Roman" w:hAnsi="Calibri" w:cs="Arial"/>
                <w:b/>
                <w:lang w:val="en-US"/>
              </w:rPr>
              <w:t>March 202</w:t>
            </w:r>
            <w:r w:rsidR="00A232FA">
              <w:rPr>
                <w:rFonts w:ascii="Calibri" w:eastAsia="Times New Roman" w:hAnsi="Calibri" w:cs="Arial"/>
                <w:b/>
                <w:lang w:val="en-US"/>
              </w:rPr>
              <w:t>2</w:t>
            </w:r>
          </w:p>
        </w:tc>
        <w:tc>
          <w:tcPr>
            <w:tcW w:w="936" w:type="pct"/>
            <w:shd w:val="clear" w:color="auto" w:fill="auto"/>
            <w:vAlign w:val="center"/>
          </w:tcPr>
          <w:p w14:paraId="07919BE1" w14:textId="1DBC67C0"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31 December 202</w:t>
            </w:r>
            <w:r w:rsidR="00A232FA">
              <w:rPr>
                <w:rFonts w:ascii="Calibri" w:eastAsia="Times New Roman" w:hAnsi="Calibri" w:cs="Arial"/>
                <w:b/>
                <w:lang w:val="en-US"/>
              </w:rPr>
              <w:t>1</w:t>
            </w:r>
          </w:p>
        </w:tc>
      </w:tr>
      <w:tr w:rsidR="00D873D7" w:rsidRPr="00537128" w14:paraId="3857FCBD" w14:textId="77777777" w:rsidTr="00D873D7">
        <w:trPr>
          <w:trHeight w:val="347"/>
        </w:trPr>
        <w:tc>
          <w:tcPr>
            <w:tcW w:w="3128" w:type="pct"/>
          </w:tcPr>
          <w:p w14:paraId="739E6CC6" w14:textId="77777777" w:rsidR="00D873D7" w:rsidRPr="00537128" w:rsidRDefault="00D873D7" w:rsidP="00D873D7">
            <w:pPr>
              <w:tabs>
                <w:tab w:val="left" w:pos="-720"/>
              </w:tabs>
              <w:suppressAutoHyphens/>
              <w:spacing w:after="0" w:line="240" w:lineRule="auto"/>
              <w:rPr>
                <w:rFonts w:ascii="Calibri" w:eastAsia="Times New Roman" w:hAnsi="Calibri" w:cs="Arial"/>
                <w:spacing w:val="-2"/>
                <w:lang w:val="en-US"/>
              </w:rPr>
            </w:pPr>
          </w:p>
        </w:tc>
        <w:tc>
          <w:tcPr>
            <w:tcW w:w="936" w:type="pct"/>
          </w:tcPr>
          <w:p w14:paraId="1FBFCA76"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bookmarkStart w:id="349" w:name="_Toc4058571"/>
            <w:r w:rsidRPr="00537128">
              <w:rPr>
                <w:rFonts w:ascii="Calibri" w:eastAsia="Times New Roman" w:hAnsi="Calibri" w:cs="Arial"/>
                <w:b/>
                <w:lang w:val="en-US"/>
              </w:rPr>
              <w:t>HRK ‘000</w:t>
            </w:r>
            <w:bookmarkEnd w:id="349"/>
          </w:p>
        </w:tc>
        <w:tc>
          <w:tcPr>
            <w:tcW w:w="936" w:type="pct"/>
          </w:tcPr>
          <w:p w14:paraId="1BC6E550" w14:textId="71EC481F"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HRK ‘000</w:t>
            </w:r>
          </w:p>
        </w:tc>
      </w:tr>
      <w:tr w:rsidR="00D873D7" w:rsidRPr="00537128" w14:paraId="4823594F" w14:textId="77777777" w:rsidTr="00D873D7">
        <w:trPr>
          <w:trHeight w:hRule="exact" w:val="159"/>
        </w:trPr>
        <w:tc>
          <w:tcPr>
            <w:tcW w:w="3128" w:type="pct"/>
          </w:tcPr>
          <w:p w14:paraId="2287ADDD" w14:textId="77777777" w:rsidR="00D873D7" w:rsidRPr="00537128" w:rsidRDefault="00D873D7" w:rsidP="00D873D7">
            <w:pPr>
              <w:tabs>
                <w:tab w:val="left" w:pos="-720"/>
              </w:tabs>
              <w:suppressAutoHyphens/>
              <w:spacing w:after="0" w:line="240" w:lineRule="auto"/>
              <w:rPr>
                <w:rFonts w:ascii="Calibri" w:eastAsia="Times New Roman" w:hAnsi="Calibri" w:cs="Arial"/>
                <w:spacing w:val="-2"/>
                <w:lang w:val="en-US"/>
              </w:rPr>
            </w:pPr>
          </w:p>
        </w:tc>
        <w:tc>
          <w:tcPr>
            <w:tcW w:w="936" w:type="pct"/>
            <w:vAlign w:val="bottom"/>
          </w:tcPr>
          <w:p w14:paraId="4A25AA89" w14:textId="77777777" w:rsidR="00D873D7" w:rsidRPr="00537128" w:rsidRDefault="00D873D7" w:rsidP="00D873D7">
            <w:pPr>
              <w:tabs>
                <w:tab w:val="left" w:pos="-720"/>
              </w:tabs>
              <w:suppressAutoHyphens/>
              <w:spacing w:after="0" w:line="240" w:lineRule="auto"/>
              <w:jc w:val="right"/>
              <w:rPr>
                <w:rFonts w:ascii="Calibri" w:eastAsia="Times New Roman" w:hAnsi="Calibri" w:cs="Arial"/>
                <w:b/>
                <w:spacing w:val="-2"/>
                <w:lang w:val="en-US"/>
              </w:rPr>
            </w:pPr>
          </w:p>
        </w:tc>
        <w:tc>
          <w:tcPr>
            <w:tcW w:w="936" w:type="pct"/>
            <w:vAlign w:val="bottom"/>
          </w:tcPr>
          <w:p w14:paraId="220C2CE7" w14:textId="77777777" w:rsidR="00D873D7" w:rsidRPr="00537128" w:rsidRDefault="00D873D7" w:rsidP="00D873D7">
            <w:pPr>
              <w:tabs>
                <w:tab w:val="left" w:pos="-720"/>
              </w:tabs>
              <w:suppressAutoHyphens/>
              <w:spacing w:after="0" w:line="240" w:lineRule="auto"/>
              <w:jc w:val="right"/>
              <w:rPr>
                <w:rFonts w:ascii="Calibri" w:eastAsia="Times New Roman" w:hAnsi="Calibri" w:cs="Arial"/>
                <w:b/>
                <w:spacing w:val="-2"/>
                <w:lang w:val="en-US"/>
              </w:rPr>
            </w:pPr>
          </w:p>
        </w:tc>
      </w:tr>
      <w:tr w:rsidR="001D39E2" w:rsidRPr="00537128" w14:paraId="2E4FE4D4" w14:textId="77777777" w:rsidTr="001D39E2">
        <w:trPr>
          <w:trHeight w:hRule="exact" w:val="363"/>
        </w:trPr>
        <w:tc>
          <w:tcPr>
            <w:tcW w:w="3128" w:type="pct"/>
            <w:vAlign w:val="bottom"/>
          </w:tcPr>
          <w:p w14:paraId="0F25F8CE" w14:textId="77777777" w:rsidR="001D39E2" w:rsidRPr="00537128" w:rsidRDefault="001D39E2" w:rsidP="001D39E2">
            <w:pPr>
              <w:tabs>
                <w:tab w:val="right" w:pos="1202"/>
              </w:tabs>
              <w:spacing w:after="0" w:line="301" w:lineRule="exact"/>
              <w:outlineLvl w:val="0"/>
              <w:rPr>
                <w:rFonts w:ascii="Calibri" w:eastAsia="Times New Roman" w:hAnsi="Calibri" w:cs="Arial"/>
                <w:lang w:val="en-US"/>
              </w:rPr>
            </w:pPr>
            <w:bookmarkStart w:id="350" w:name="_Toc4058573"/>
            <w:r w:rsidRPr="00537128">
              <w:rPr>
                <w:rFonts w:ascii="Calibri" w:eastAsia="Times New Roman" w:hAnsi="Calibri" w:cs="Arial"/>
                <w:lang w:val="en-US"/>
              </w:rPr>
              <w:t>Domestic companies</w:t>
            </w:r>
            <w:bookmarkEnd w:id="350"/>
          </w:p>
        </w:tc>
        <w:tc>
          <w:tcPr>
            <w:tcW w:w="936" w:type="pct"/>
            <w:tcBorders>
              <w:top w:val="nil"/>
              <w:left w:val="nil"/>
              <w:bottom w:val="nil"/>
              <w:right w:val="nil"/>
            </w:tcBorders>
            <w:shd w:val="clear" w:color="auto" w:fill="auto"/>
            <w:vAlign w:val="bottom"/>
          </w:tcPr>
          <w:p w14:paraId="3EC6A6CA" w14:textId="7768E022" w:rsidR="001D39E2" w:rsidRPr="00537128" w:rsidRDefault="001D39E2" w:rsidP="001D39E2">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rPr>
              <w:t>11</w:t>
            </w:r>
            <w:r w:rsidR="00E17C9F">
              <w:rPr>
                <w:rFonts w:ascii="Calibri" w:eastAsia="Times New Roman" w:hAnsi="Calibri" w:cs="Calibri"/>
              </w:rPr>
              <w:t>,</w:t>
            </w:r>
            <w:r>
              <w:rPr>
                <w:rFonts w:ascii="Calibri" w:eastAsia="Times New Roman" w:hAnsi="Calibri" w:cs="Calibri"/>
              </w:rPr>
              <w:t>5</w:t>
            </w:r>
            <w:r w:rsidR="00BE663E">
              <w:rPr>
                <w:rFonts w:ascii="Calibri" w:eastAsia="Times New Roman" w:hAnsi="Calibri" w:cs="Calibri"/>
              </w:rPr>
              <w:t>19</w:t>
            </w:r>
            <w:r w:rsidR="00E17C9F">
              <w:rPr>
                <w:rFonts w:ascii="Calibri" w:eastAsia="Times New Roman" w:hAnsi="Calibri" w:cs="Calibri"/>
              </w:rPr>
              <w:t>,</w:t>
            </w:r>
            <w:r w:rsidR="00BE663E">
              <w:rPr>
                <w:rFonts w:ascii="Calibri" w:eastAsia="Times New Roman" w:hAnsi="Calibri" w:cs="Calibri"/>
              </w:rPr>
              <w:t>807</w:t>
            </w:r>
          </w:p>
        </w:tc>
        <w:tc>
          <w:tcPr>
            <w:tcW w:w="936" w:type="pct"/>
            <w:tcBorders>
              <w:top w:val="nil"/>
              <w:left w:val="nil"/>
              <w:bottom w:val="nil"/>
              <w:right w:val="nil"/>
            </w:tcBorders>
            <w:shd w:val="clear" w:color="auto" w:fill="auto"/>
            <w:vAlign w:val="bottom"/>
          </w:tcPr>
          <w:p w14:paraId="65F976D0" w14:textId="4F3D11AB" w:rsidR="001D39E2" w:rsidRPr="00537128" w:rsidRDefault="001D39E2" w:rsidP="001D39E2">
            <w:pPr>
              <w:tabs>
                <w:tab w:val="right" w:pos="1202"/>
              </w:tabs>
              <w:spacing w:after="0" w:line="301" w:lineRule="exact"/>
              <w:jc w:val="right"/>
              <w:outlineLvl w:val="0"/>
              <w:rPr>
                <w:rFonts w:ascii="Calibri" w:eastAsia="Times New Roman" w:hAnsi="Calibri" w:cs="Arial"/>
                <w:lang w:val="en-US"/>
              </w:rPr>
            </w:pPr>
            <w:r w:rsidRPr="00186E95">
              <w:rPr>
                <w:rFonts w:cstheme="minorHAnsi"/>
                <w:lang w:val="en-US"/>
              </w:rPr>
              <w:t>11</w:t>
            </w:r>
            <w:r>
              <w:rPr>
                <w:rFonts w:cstheme="minorHAnsi"/>
                <w:lang w:val="en-US"/>
              </w:rPr>
              <w:t>,</w:t>
            </w:r>
            <w:r w:rsidRPr="00186E95">
              <w:rPr>
                <w:rFonts w:cstheme="minorHAnsi"/>
                <w:lang w:val="en-US"/>
              </w:rPr>
              <w:t>570</w:t>
            </w:r>
            <w:r>
              <w:rPr>
                <w:rFonts w:cstheme="minorHAnsi"/>
                <w:lang w:val="en-US"/>
              </w:rPr>
              <w:t>,</w:t>
            </w:r>
            <w:r w:rsidRPr="00186E95">
              <w:rPr>
                <w:rFonts w:cstheme="minorHAnsi"/>
                <w:lang w:val="en-US"/>
              </w:rPr>
              <w:t>002</w:t>
            </w:r>
          </w:p>
        </w:tc>
      </w:tr>
      <w:tr w:rsidR="001D39E2" w:rsidRPr="00537128" w14:paraId="5A5B62CC" w14:textId="77777777" w:rsidTr="001D39E2">
        <w:trPr>
          <w:trHeight w:hRule="exact" w:val="363"/>
        </w:trPr>
        <w:tc>
          <w:tcPr>
            <w:tcW w:w="3128" w:type="pct"/>
            <w:vAlign w:val="bottom"/>
          </w:tcPr>
          <w:p w14:paraId="4A0A55A2" w14:textId="77777777" w:rsidR="001D39E2" w:rsidRPr="00537128" w:rsidRDefault="001D39E2" w:rsidP="001D39E2">
            <w:pPr>
              <w:tabs>
                <w:tab w:val="right" w:pos="1202"/>
              </w:tabs>
              <w:spacing w:after="0" w:line="301" w:lineRule="exact"/>
              <w:outlineLvl w:val="0"/>
              <w:rPr>
                <w:rFonts w:ascii="Calibri" w:eastAsia="Times New Roman" w:hAnsi="Calibri" w:cs="Arial"/>
                <w:lang w:val="en-US"/>
              </w:rPr>
            </w:pPr>
            <w:bookmarkStart w:id="351" w:name="_Toc4058576"/>
            <w:r w:rsidRPr="00537128">
              <w:rPr>
                <w:rFonts w:ascii="Calibri" w:eastAsia="Times New Roman" w:hAnsi="Calibri" w:cs="Arial"/>
                <w:lang w:val="en-US"/>
              </w:rPr>
              <w:t>State-owned companies</w:t>
            </w:r>
            <w:bookmarkEnd w:id="351"/>
          </w:p>
        </w:tc>
        <w:tc>
          <w:tcPr>
            <w:tcW w:w="936" w:type="pct"/>
            <w:tcBorders>
              <w:top w:val="nil"/>
              <w:left w:val="nil"/>
              <w:bottom w:val="nil"/>
              <w:right w:val="nil"/>
            </w:tcBorders>
            <w:shd w:val="clear" w:color="auto" w:fill="auto"/>
            <w:vAlign w:val="bottom"/>
          </w:tcPr>
          <w:p w14:paraId="0983FFAC" w14:textId="1A411080" w:rsidR="001D39E2" w:rsidRPr="00537128" w:rsidRDefault="001D39E2" w:rsidP="001D39E2">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rPr>
              <w:t>9</w:t>
            </w:r>
            <w:r w:rsidR="00BE663E">
              <w:rPr>
                <w:rFonts w:ascii="Calibri" w:eastAsia="Times New Roman" w:hAnsi="Calibri" w:cs="Calibri"/>
              </w:rPr>
              <w:t>25</w:t>
            </w:r>
            <w:r w:rsidR="00E17C9F">
              <w:rPr>
                <w:rFonts w:ascii="Calibri" w:eastAsia="Times New Roman" w:hAnsi="Calibri" w:cs="Calibri"/>
              </w:rPr>
              <w:t>,</w:t>
            </w:r>
            <w:r w:rsidR="00BE663E">
              <w:rPr>
                <w:rFonts w:ascii="Calibri" w:eastAsia="Times New Roman" w:hAnsi="Calibri" w:cs="Calibri"/>
              </w:rPr>
              <w:t>659</w:t>
            </w:r>
          </w:p>
        </w:tc>
        <w:tc>
          <w:tcPr>
            <w:tcW w:w="936" w:type="pct"/>
            <w:tcBorders>
              <w:top w:val="nil"/>
              <w:left w:val="nil"/>
              <w:bottom w:val="nil"/>
              <w:right w:val="nil"/>
            </w:tcBorders>
            <w:shd w:val="clear" w:color="auto" w:fill="auto"/>
            <w:vAlign w:val="bottom"/>
          </w:tcPr>
          <w:p w14:paraId="27F41877" w14:textId="2CABF9FE" w:rsidR="001D39E2" w:rsidRPr="00537128" w:rsidRDefault="001D39E2" w:rsidP="001D39E2">
            <w:pPr>
              <w:tabs>
                <w:tab w:val="right" w:pos="1202"/>
              </w:tabs>
              <w:spacing w:after="0" w:line="301" w:lineRule="exact"/>
              <w:jc w:val="right"/>
              <w:outlineLvl w:val="0"/>
              <w:rPr>
                <w:rFonts w:ascii="Calibri" w:eastAsia="Times New Roman" w:hAnsi="Calibri" w:cs="Arial"/>
                <w:lang w:val="en-US"/>
              </w:rPr>
            </w:pPr>
            <w:r w:rsidRPr="00186E95">
              <w:rPr>
                <w:rFonts w:cstheme="minorHAnsi"/>
                <w:lang w:val="en-US"/>
              </w:rPr>
              <w:t>917</w:t>
            </w:r>
            <w:r>
              <w:rPr>
                <w:rFonts w:cstheme="minorHAnsi"/>
                <w:lang w:val="en-US"/>
              </w:rPr>
              <w:t>,</w:t>
            </w:r>
            <w:r w:rsidRPr="00186E95">
              <w:rPr>
                <w:rFonts w:cstheme="minorHAnsi"/>
                <w:lang w:val="en-US"/>
              </w:rPr>
              <w:t>403</w:t>
            </w:r>
          </w:p>
        </w:tc>
      </w:tr>
      <w:tr w:rsidR="001D39E2" w:rsidRPr="00537128" w14:paraId="4CDBBE6F" w14:textId="77777777" w:rsidTr="001D39E2">
        <w:trPr>
          <w:trHeight w:hRule="exact" w:val="363"/>
        </w:trPr>
        <w:tc>
          <w:tcPr>
            <w:tcW w:w="3128" w:type="pct"/>
            <w:vAlign w:val="bottom"/>
          </w:tcPr>
          <w:p w14:paraId="7EEA1694" w14:textId="77777777" w:rsidR="001D39E2" w:rsidRPr="00537128" w:rsidRDefault="001D39E2" w:rsidP="001D39E2">
            <w:pPr>
              <w:tabs>
                <w:tab w:val="right" w:pos="1202"/>
              </w:tabs>
              <w:spacing w:after="0" w:line="301" w:lineRule="exact"/>
              <w:outlineLvl w:val="0"/>
              <w:rPr>
                <w:rFonts w:ascii="Calibri" w:eastAsia="Times New Roman" w:hAnsi="Calibri" w:cs="Arial"/>
                <w:lang w:val="en-US"/>
              </w:rPr>
            </w:pPr>
            <w:bookmarkStart w:id="352" w:name="_Toc4058579"/>
            <w:r w:rsidRPr="00537128">
              <w:rPr>
                <w:rFonts w:ascii="Calibri" w:eastAsia="Times New Roman" w:hAnsi="Calibri" w:cs="Arial"/>
                <w:lang w:val="en-US"/>
              </w:rPr>
              <w:t>Public sector</w:t>
            </w:r>
            <w:bookmarkEnd w:id="352"/>
          </w:p>
        </w:tc>
        <w:tc>
          <w:tcPr>
            <w:tcW w:w="936" w:type="pct"/>
            <w:tcBorders>
              <w:top w:val="nil"/>
              <w:left w:val="nil"/>
              <w:bottom w:val="nil"/>
              <w:right w:val="nil"/>
            </w:tcBorders>
            <w:shd w:val="clear" w:color="auto" w:fill="auto"/>
            <w:vAlign w:val="bottom"/>
          </w:tcPr>
          <w:p w14:paraId="7571303C" w14:textId="4A231868" w:rsidR="001D39E2" w:rsidRPr="00537128" w:rsidRDefault="001D39E2" w:rsidP="001D39E2">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rPr>
              <w:t>5</w:t>
            </w:r>
            <w:r w:rsidR="00E17C9F">
              <w:rPr>
                <w:rFonts w:ascii="Calibri" w:eastAsia="Times New Roman" w:hAnsi="Calibri" w:cs="Calibri"/>
              </w:rPr>
              <w:t>,</w:t>
            </w:r>
            <w:r>
              <w:rPr>
                <w:rFonts w:ascii="Calibri" w:eastAsia="Times New Roman" w:hAnsi="Calibri" w:cs="Calibri"/>
              </w:rPr>
              <w:t>524</w:t>
            </w:r>
            <w:r w:rsidR="00E17C9F">
              <w:rPr>
                <w:rFonts w:ascii="Calibri" w:eastAsia="Times New Roman" w:hAnsi="Calibri" w:cs="Calibri"/>
              </w:rPr>
              <w:t>,</w:t>
            </w:r>
            <w:r>
              <w:rPr>
                <w:rFonts w:ascii="Calibri" w:eastAsia="Times New Roman" w:hAnsi="Calibri" w:cs="Calibri"/>
              </w:rPr>
              <w:t>982</w:t>
            </w:r>
          </w:p>
        </w:tc>
        <w:tc>
          <w:tcPr>
            <w:tcW w:w="936" w:type="pct"/>
            <w:tcBorders>
              <w:top w:val="nil"/>
              <w:left w:val="nil"/>
              <w:bottom w:val="nil"/>
              <w:right w:val="nil"/>
            </w:tcBorders>
            <w:shd w:val="clear" w:color="auto" w:fill="auto"/>
            <w:vAlign w:val="bottom"/>
          </w:tcPr>
          <w:p w14:paraId="12547366" w14:textId="74135298" w:rsidR="001D39E2" w:rsidRPr="00537128" w:rsidRDefault="001D39E2" w:rsidP="001D39E2">
            <w:pPr>
              <w:tabs>
                <w:tab w:val="right" w:pos="1202"/>
              </w:tabs>
              <w:spacing w:after="0" w:line="301" w:lineRule="exact"/>
              <w:jc w:val="right"/>
              <w:outlineLvl w:val="0"/>
              <w:rPr>
                <w:rFonts w:ascii="Calibri" w:eastAsia="Times New Roman" w:hAnsi="Calibri" w:cs="Arial"/>
                <w:lang w:val="en-US"/>
              </w:rPr>
            </w:pPr>
            <w:r w:rsidRPr="00186E95">
              <w:rPr>
                <w:rFonts w:cstheme="minorHAnsi"/>
                <w:lang w:val="en-US"/>
              </w:rPr>
              <w:t>5</w:t>
            </w:r>
            <w:r>
              <w:rPr>
                <w:rFonts w:cstheme="minorHAnsi"/>
                <w:lang w:val="en-US"/>
              </w:rPr>
              <w:t>,</w:t>
            </w:r>
            <w:r w:rsidRPr="00186E95">
              <w:rPr>
                <w:rFonts w:cstheme="minorHAnsi"/>
                <w:lang w:val="en-US"/>
              </w:rPr>
              <w:t>545</w:t>
            </w:r>
            <w:r>
              <w:rPr>
                <w:rFonts w:cstheme="minorHAnsi"/>
                <w:lang w:val="en-US"/>
              </w:rPr>
              <w:t>,</w:t>
            </w:r>
            <w:r w:rsidRPr="00186E95">
              <w:rPr>
                <w:rFonts w:cstheme="minorHAnsi"/>
                <w:lang w:val="en-US"/>
              </w:rPr>
              <w:t>114</w:t>
            </w:r>
          </w:p>
        </w:tc>
      </w:tr>
      <w:tr w:rsidR="001D39E2" w:rsidRPr="00537128" w14:paraId="7DB173A2" w14:textId="77777777" w:rsidTr="001D39E2">
        <w:trPr>
          <w:trHeight w:hRule="exact" w:val="363"/>
        </w:trPr>
        <w:tc>
          <w:tcPr>
            <w:tcW w:w="3128" w:type="pct"/>
            <w:vAlign w:val="bottom"/>
          </w:tcPr>
          <w:p w14:paraId="252592E0" w14:textId="77777777" w:rsidR="001D39E2" w:rsidRPr="00537128" w:rsidRDefault="001D39E2" w:rsidP="001D39E2">
            <w:pPr>
              <w:tabs>
                <w:tab w:val="right" w:pos="1202"/>
              </w:tabs>
              <w:spacing w:after="0" w:line="301" w:lineRule="exact"/>
              <w:outlineLvl w:val="0"/>
              <w:rPr>
                <w:rFonts w:ascii="Calibri" w:eastAsia="Times New Roman" w:hAnsi="Calibri" w:cs="Arial"/>
                <w:lang w:val="en-US"/>
              </w:rPr>
            </w:pPr>
            <w:bookmarkStart w:id="353" w:name="_Toc4058582"/>
            <w:r w:rsidRPr="00537128">
              <w:rPr>
                <w:rFonts w:ascii="Calibri" w:eastAsia="Times New Roman" w:hAnsi="Calibri" w:cs="Arial"/>
                <w:lang w:val="en-US"/>
              </w:rPr>
              <w:t>Foreign companies</w:t>
            </w:r>
            <w:bookmarkEnd w:id="353"/>
          </w:p>
        </w:tc>
        <w:tc>
          <w:tcPr>
            <w:tcW w:w="936" w:type="pct"/>
            <w:tcBorders>
              <w:top w:val="nil"/>
              <w:left w:val="nil"/>
              <w:bottom w:val="nil"/>
              <w:right w:val="nil"/>
            </w:tcBorders>
            <w:shd w:val="clear" w:color="auto" w:fill="auto"/>
            <w:vAlign w:val="bottom"/>
          </w:tcPr>
          <w:p w14:paraId="2D805A17" w14:textId="3449E426" w:rsidR="001D39E2" w:rsidRPr="00537128" w:rsidRDefault="001D39E2" w:rsidP="001D39E2">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rPr>
              <w:t>118</w:t>
            </w:r>
            <w:r w:rsidR="00E17C9F">
              <w:rPr>
                <w:rFonts w:ascii="Calibri" w:eastAsia="Times New Roman" w:hAnsi="Calibri" w:cs="Calibri"/>
              </w:rPr>
              <w:t>,</w:t>
            </w:r>
            <w:r>
              <w:rPr>
                <w:rFonts w:ascii="Calibri" w:eastAsia="Times New Roman" w:hAnsi="Calibri" w:cs="Calibri"/>
              </w:rPr>
              <w:t>871</w:t>
            </w:r>
          </w:p>
        </w:tc>
        <w:tc>
          <w:tcPr>
            <w:tcW w:w="936" w:type="pct"/>
            <w:tcBorders>
              <w:top w:val="nil"/>
              <w:left w:val="nil"/>
              <w:bottom w:val="nil"/>
              <w:right w:val="nil"/>
            </w:tcBorders>
            <w:shd w:val="clear" w:color="auto" w:fill="auto"/>
            <w:vAlign w:val="bottom"/>
          </w:tcPr>
          <w:p w14:paraId="300CFF78" w14:textId="57791ABA" w:rsidR="001D39E2" w:rsidRPr="00537128" w:rsidRDefault="001D39E2" w:rsidP="001D39E2">
            <w:pPr>
              <w:tabs>
                <w:tab w:val="right" w:pos="1202"/>
              </w:tabs>
              <w:spacing w:after="0" w:line="301" w:lineRule="exact"/>
              <w:jc w:val="right"/>
              <w:outlineLvl w:val="0"/>
              <w:rPr>
                <w:rFonts w:ascii="Calibri" w:eastAsia="Times New Roman" w:hAnsi="Calibri" w:cs="Arial"/>
                <w:lang w:val="en-US"/>
              </w:rPr>
            </w:pPr>
            <w:r w:rsidRPr="00186E95">
              <w:rPr>
                <w:rFonts w:cstheme="minorHAnsi"/>
                <w:lang w:val="en-US"/>
              </w:rPr>
              <w:t>377</w:t>
            </w:r>
            <w:r>
              <w:rPr>
                <w:rFonts w:cstheme="minorHAnsi"/>
                <w:lang w:val="en-US"/>
              </w:rPr>
              <w:t>,</w:t>
            </w:r>
            <w:r w:rsidRPr="00186E95">
              <w:rPr>
                <w:rFonts w:cstheme="minorHAnsi"/>
                <w:lang w:val="en-US"/>
              </w:rPr>
              <w:t>281</w:t>
            </w:r>
          </w:p>
        </w:tc>
      </w:tr>
      <w:tr w:rsidR="001D39E2" w:rsidRPr="00537128" w14:paraId="3F354A75" w14:textId="77777777" w:rsidTr="001D39E2">
        <w:trPr>
          <w:trHeight w:hRule="exact" w:val="363"/>
        </w:trPr>
        <w:tc>
          <w:tcPr>
            <w:tcW w:w="3128" w:type="pct"/>
            <w:vAlign w:val="bottom"/>
          </w:tcPr>
          <w:p w14:paraId="0693EC88" w14:textId="77777777" w:rsidR="001D39E2" w:rsidRPr="00537128" w:rsidRDefault="001D39E2" w:rsidP="001D39E2">
            <w:pPr>
              <w:tabs>
                <w:tab w:val="right" w:pos="1202"/>
              </w:tabs>
              <w:spacing w:after="0" w:line="301" w:lineRule="exact"/>
              <w:outlineLvl w:val="0"/>
              <w:rPr>
                <w:rFonts w:ascii="Calibri" w:eastAsia="Times New Roman" w:hAnsi="Calibri" w:cs="Arial"/>
                <w:lang w:val="en-US"/>
              </w:rPr>
            </w:pPr>
            <w:bookmarkStart w:id="354" w:name="_Toc4058588"/>
            <w:r w:rsidRPr="00537128">
              <w:rPr>
                <w:rFonts w:ascii="Calibri" w:eastAsia="Times New Roman" w:hAnsi="Calibri" w:cs="Arial"/>
                <w:lang w:val="en-US"/>
              </w:rPr>
              <w:t>Other</w:t>
            </w:r>
            <w:bookmarkEnd w:id="354"/>
          </w:p>
        </w:tc>
        <w:tc>
          <w:tcPr>
            <w:tcW w:w="936" w:type="pct"/>
            <w:tcBorders>
              <w:top w:val="nil"/>
              <w:left w:val="nil"/>
              <w:bottom w:val="nil"/>
              <w:right w:val="nil"/>
            </w:tcBorders>
            <w:shd w:val="clear" w:color="auto" w:fill="auto"/>
            <w:vAlign w:val="bottom"/>
          </w:tcPr>
          <w:p w14:paraId="73E5CF23" w14:textId="679CFCF7" w:rsidR="001D39E2" w:rsidRPr="00537128" w:rsidRDefault="001D39E2" w:rsidP="001D39E2">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rPr>
              <w:t>490</w:t>
            </w:r>
            <w:r w:rsidR="00E17C9F">
              <w:rPr>
                <w:rFonts w:ascii="Calibri" w:eastAsia="Times New Roman" w:hAnsi="Calibri" w:cs="Calibri"/>
              </w:rPr>
              <w:t>,</w:t>
            </w:r>
            <w:r>
              <w:rPr>
                <w:rFonts w:ascii="Calibri" w:eastAsia="Times New Roman" w:hAnsi="Calibri" w:cs="Calibri"/>
              </w:rPr>
              <w:t>425</w:t>
            </w:r>
          </w:p>
        </w:tc>
        <w:tc>
          <w:tcPr>
            <w:tcW w:w="936" w:type="pct"/>
            <w:tcBorders>
              <w:top w:val="nil"/>
              <w:left w:val="nil"/>
              <w:bottom w:val="nil"/>
              <w:right w:val="nil"/>
            </w:tcBorders>
            <w:shd w:val="clear" w:color="auto" w:fill="auto"/>
            <w:vAlign w:val="bottom"/>
          </w:tcPr>
          <w:p w14:paraId="52486AC8" w14:textId="02967672" w:rsidR="001D39E2" w:rsidRPr="00537128" w:rsidRDefault="001D39E2" w:rsidP="001D39E2">
            <w:pPr>
              <w:tabs>
                <w:tab w:val="right" w:pos="1202"/>
              </w:tabs>
              <w:spacing w:after="0" w:line="301" w:lineRule="exact"/>
              <w:jc w:val="right"/>
              <w:outlineLvl w:val="0"/>
              <w:rPr>
                <w:rFonts w:ascii="Calibri" w:eastAsia="Times New Roman" w:hAnsi="Calibri" w:cs="Arial"/>
                <w:lang w:val="en-US"/>
              </w:rPr>
            </w:pPr>
            <w:r w:rsidRPr="00186E95">
              <w:rPr>
                <w:rFonts w:cstheme="minorHAnsi"/>
                <w:lang w:val="en-US"/>
              </w:rPr>
              <w:t>498</w:t>
            </w:r>
            <w:r>
              <w:rPr>
                <w:rFonts w:cstheme="minorHAnsi"/>
                <w:lang w:val="en-US"/>
              </w:rPr>
              <w:t>,</w:t>
            </w:r>
            <w:r w:rsidRPr="00186E95">
              <w:rPr>
                <w:rFonts w:cstheme="minorHAnsi"/>
                <w:lang w:val="en-US"/>
              </w:rPr>
              <w:t>027</w:t>
            </w:r>
          </w:p>
        </w:tc>
      </w:tr>
      <w:tr w:rsidR="001D39E2" w:rsidRPr="00537128" w14:paraId="6F0F87CE" w14:textId="77777777" w:rsidTr="001D39E2">
        <w:trPr>
          <w:trHeight w:hRule="exact" w:val="363"/>
        </w:trPr>
        <w:tc>
          <w:tcPr>
            <w:tcW w:w="3128" w:type="pct"/>
            <w:vAlign w:val="bottom"/>
          </w:tcPr>
          <w:p w14:paraId="7A762F23" w14:textId="77777777" w:rsidR="001D39E2" w:rsidRPr="00537128" w:rsidRDefault="001D39E2" w:rsidP="001D39E2">
            <w:pPr>
              <w:tabs>
                <w:tab w:val="right" w:pos="1202"/>
              </w:tabs>
              <w:spacing w:after="0" w:line="301" w:lineRule="exact"/>
              <w:outlineLvl w:val="0"/>
              <w:rPr>
                <w:rFonts w:ascii="Calibri" w:eastAsia="Times New Roman" w:hAnsi="Calibri" w:cs="Arial"/>
                <w:lang w:val="en-US"/>
              </w:rPr>
            </w:pPr>
            <w:bookmarkStart w:id="355" w:name="_Toc4058591"/>
            <w:r w:rsidRPr="00537128">
              <w:rPr>
                <w:rFonts w:ascii="Calibri" w:eastAsia="Times New Roman" w:hAnsi="Calibri" w:cs="Arial"/>
                <w:lang w:val="en-US"/>
              </w:rPr>
              <w:t>Accrued interest</w:t>
            </w:r>
            <w:bookmarkEnd w:id="355"/>
            <w:r w:rsidRPr="00537128">
              <w:rPr>
                <w:rFonts w:ascii="Calibri" w:eastAsia="Times New Roman" w:hAnsi="Calibri" w:cs="Arial"/>
                <w:lang w:val="en-US"/>
              </w:rPr>
              <w:t xml:space="preserve"> </w:t>
            </w:r>
          </w:p>
        </w:tc>
        <w:tc>
          <w:tcPr>
            <w:tcW w:w="936" w:type="pct"/>
            <w:tcBorders>
              <w:top w:val="nil"/>
              <w:left w:val="nil"/>
              <w:bottom w:val="nil"/>
              <w:right w:val="nil"/>
            </w:tcBorders>
            <w:shd w:val="clear" w:color="auto" w:fill="auto"/>
            <w:vAlign w:val="bottom"/>
          </w:tcPr>
          <w:p w14:paraId="22FB3A3E" w14:textId="2C9A3B51" w:rsidR="001D39E2" w:rsidRPr="00537128" w:rsidRDefault="001D39E2" w:rsidP="001D39E2">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rPr>
              <w:t>371</w:t>
            </w:r>
            <w:r w:rsidR="00E17C9F">
              <w:rPr>
                <w:rFonts w:ascii="Calibri" w:eastAsia="Times New Roman" w:hAnsi="Calibri" w:cs="Calibri"/>
              </w:rPr>
              <w:t>,</w:t>
            </w:r>
            <w:r>
              <w:rPr>
                <w:rFonts w:ascii="Calibri" w:eastAsia="Times New Roman" w:hAnsi="Calibri" w:cs="Calibri"/>
              </w:rPr>
              <w:t>392</w:t>
            </w:r>
          </w:p>
        </w:tc>
        <w:tc>
          <w:tcPr>
            <w:tcW w:w="936" w:type="pct"/>
            <w:tcBorders>
              <w:top w:val="nil"/>
              <w:left w:val="nil"/>
              <w:bottom w:val="nil"/>
              <w:right w:val="nil"/>
            </w:tcBorders>
            <w:shd w:val="clear" w:color="auto" w:fill="auto"/>
            <w:vAlign w:val="bottom"/>
          </w:tcPr>
          <w:p w14:paraId="1AF61EFD" w14:textId="0A444FBC" w:rsidR="001D39E2" w:rsidRPr="00537128" w:rsidRDefault="001D39E2" w:rsidP="001D39E2">
            <w:pPr>
              <w:tabs>
                <w:tab w:val="right" w:pos="1202"/>
              </w:tabs>
              <w:spacing w:after="0" w:line="301" w:lineRule="exact"/>
              <w:jc w:val="right"/>
              <w:outlineLvl w:val="0"/>
              <w:rPr>
                <w:rFonts w:ascii="Calibri" w:eastAsia="Times New Roman" w:hAnsi="Calibri" w:cs="Arial"/>
                <w:lang w:val="en-US"/>
              </w:rPr>
            </w:pPr>
            <w:r w:rsidRPr="00186E95">
              <w:rPr>
                <w:rFonts w:cstheme="minorHAnsi"/>
                <w:lang w:val="en-US"/>
              </w:rPr>
              <w:t>393</w:t>
            </w:r>
            <w:r>
              <w:rPr>
                <w:rFonts w:cstheme="minorHAnsi"/>
                <w:lang w:val="en-US"/>
              </w:rPr>
              <w:t>,</w:t>
            </w:r>
            <w:r w:rsidRPr="00186E95">
              <w:rPr>
                <w:rFonts w:cstheme="minorHAnsi"/>
                <w:lang w:val="en-US"/>
              </w:rPr>
              <w:t>345</w:t>
            </w:r>
          </w:p>
        </w:tc>
      </w:tr>
      <w:tr w:rsidR="001D39E2" w:rsidRPr="00537128" w14:paraId="6513742E" w14:textId="77777777" w:rsidTr="001D39E2">
        <w:trPr>
          <w:trHeight w:hRule="exact" w:val="363"/>
        </w:trPr>
        <w:tc>
          <w:tcPr>
            <w:tcW w:w="3128" w:type="pct"/>
            <w:vAlign w:val="bottom"/>
          </w:tcPr>
          <w:p w14:paraId="41D9D702" w14:textId="77777777" w:rsidR="001D39E2" w:rsidRPr="00537128" w:rsidRDefault="001D39E2" w:rsidP="001D39E2">
            <w:pPr>
              <w:tabs>
                <w:tab w:val="right" w:pos="1202"/>
              </w:tabs>
              <w:spacing w:after="0" w:line="301" w:lineRule="exact"/>
              <w:outlineLvl w:val="0"/>
              <w:rPr>
                <w:rFonts w:ascii="Calibri" w:eastAsia="Times New Roman" w:hAnsi="Calibri" w:cs="Arial"/>
                <w:lang w:val="en-US"/>
              </w:rPr>
            </w:pPr>
            <w:bookmarkStart w:id="356" w:name="_Toc4058594"/>
            <w:r w:rsidRPr="00537128">
              <w:rPr>
                <w:rFonts w:ascii="Calibri" w:eastAsia="Times New Roman" w:hAnsi="Calibri" w:cs="Arial"/>
                <w:lang w:val="en-US"/>
              </w:rPr>
              <w:t>Deferred recognition of loan origination fees</w:t>
            </w:r>
            <w:bookmarkEnd w:id="356"/>
          </w:p>
        </w:tc>
        <w:tc>
          <w:tcPr>
            <w:tcW w:w="936" w:type="pct"/>
            <w:tcBorders>
              <w:top w:val="nil"/>
              <w:left w:val="nil"/>
              <w:right w:val="nil"/>
            </w:tcBorders>
            <w:shd w:val="clear" w:color="auto" w:fill="auto"/>
            <w:vAlign w:val="bottom"/>
          </w:tcPr>
          <w:p w14:paraId="5D1A343A" w14:textId="0F5AAA26" w:rsidR="001D39E2" w:rsidRPr="00537128" w:rsidRDefault="001D39E2" w:rsidP="001D39E2">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rPr>
              <w:t>(78</w:t>
            </w:r>
            <w:r w:rsidR="00E17C9F">
              <w:rPr>
                <w:rFonts w:ascii="Calibri" w:eastAsia="Times New Roman" w:hAnsi="Calibri" w:cs="Calibri"/>
              </w:rPr>
              <w:t>,</w:t>
            </w:r>
            <w:r>
              <w:rPr>
                <w:rFonts w:ascii="Calibri" w:eastAsia="Times New Roman" w:hAnsi="Calibri" w:cs="Calibri"/>
              </w:rPr>
              <w:t>710)</w:t>
            </w:r>
          </w:p>
        </w:tc>
        <w:tc>
          <w:tcPr>
            <w:tcW w:w="936" w:type="pct"/>
            <w:tcBorders>
              <w:top w:val="nil"/>
              <w:left w:val="nil"/>
              <w:right w:val="nil"/>
            </w:tcBorders>
            <w:shd w:val="clear" w:color="auto" w:fill="auto"/>
            <w:vAlign w:val="bottom"/>
          </w:tcPr>
          <w:p w14:paraId="5152805E" w14:textId="7B17F052" w:rsidR="001D39E2" w:rsidRPr="00537128" w:rsidRDefault="001D39E2" w:rsidP="001D39E2">
            <w:pPr>
              <w:tabs>
                <w:tab w:val="right" w:pos="1202"/>
              </w:tabs>
              <w:spacing w:after="0" w:line="301" w:lineRule="exact"/>
              <w:jc w:val="right"/>
              <w:outlineLvl w:val="0"/>
              <w:rPr>
                <w:rFonts w:ascii="Calibri" w:eastAsia="Times New Roman" w:hAnsi="Calibri" w:cs="Arial"/>
                <w:lang w:val="en-US"/>
              </w:rPr>
            </w:pPr>
            <w:r w:rsidRPr="00186E95">
              <w:rPr>
                <w:rFonts w:cstheme="minorHAnsi"/>
                <w:lang w:val="en-US"/>
              </w:rPr>
              <w:t>(80</w:t>
            </w:r>
            <w:r>
              <w:rPr>
                <w:rFonts w:cstheme="minorHAnsi"/>
                <w:lang w:val="en-US"/>
              </w:rPr>
              <w:t>,</w:t>
            </w:r>
            <w:r w:rsidRPr="00186E95">
              <w:rPr>
                <w:rFonts w:cstheme="minorHAnsi"/>
                <w:lang w:val="en-US"/>
              </w:rPr>
              <w:t>880)</w:t>
            </w:r>
          </w:p>
        </w:tc>
      </w:tr>
      <w:tr w:rsidR="001D39E2" w:rsidRPr="00537128" w14:paraId="2090A3EA" w14:textId="77777777" w:rsidTr="001D39E2">
        <w:trPr>
          <w:trHeight w:hRule="exact" w:val="405"/>
        </w:trPr>
        <w:tc>
          <w:tcPr>
            <w:tcW w:w="3128" w:type="pct"/>
            <w:vAlign w:val="bottom"/>
          </w:tcPr>
          <w:p w14:paraId="365D0757" w14:textId="77777777" w:rsidR="001D39E2" w:rsidRPr="00537128" w:rsidRDefault="001D39E2" w:rsidP="001D39E2">
            <w:pPr>
              <w:tabs>
                <w:tab w:val="right" w:pos="1202"/>
              </w:tabs>
              <w:spacing w:after="0" w:line="340" w:lineRule="exact"/>
              <w:outlineLvl w:val="0"/>
              <w:rPr>
                <w:rFonts w:ascii="Calibri" w:eastAsia="Times New Roman" w:hAnsi="Calibri" w:cs="Arial"/>
                <w:spacing w:val="-3"/>
                <w:lang w:val="en-US"/>
              </w:rPr>
            </w:pPr>
          </w:p>
        </w:tc>
        <w:tc>
          <w:tcPr>
            <w:tcW w:w="936" w:type="pct"/>
            <w:tcBorders>
              <w:top w:val="single" w:sz="4" w:space="0" w:color="auto"/>
              <w:bottom w:val="single" w:sz="4" w:space="0" w:color="auto"/>
            </w:tcBorders>
            <w:vAlign w:val="bottom"/>
          </w:tcPr>
          <w:p w14:paraId="29EF6D66" w14:textId="4B5A5779" w:rsidR="001D39E2" w:rsidRPr="00537128" w:rsidRDefault="001D39E2" w:rsidP="001D39E2">
            <w:pPr>
              <w:tabs>
                <w:tab w:val="right" w:pos="1202"/>
              </w:tabs>
              <w:spacing w:after="0" w:line="340" w:lineRule="exact"/>
              <w:jc w:val="right"/>
              <w:outlineLvl w:val="0"/>
              <w:rPr>
                <w:rFonts w:ascii="Calibri" w:eastAsia="Times New Roman" w:hAnsi="Calibri" w:cs="Arial"/>
                <w:lang w:val="en-US"/>
              </w:rPr>
            </w:pPr>
            <w:r>
              <w:rPr>
                <w:rFonts w:ascii="Calibri" w:eastAsia="Times New Roman" w:hAnsi="Calibri" w:cs="Calibri"/>
              </w:rPr>
              <w:t>18</w:t>
            </w:r>
            <w:r w:rsidR="00E17C9F">
              <w:rPr>
                <w:rFonts w:ascii="Calibri" w:eastAsia="Times New Roman" w:hAnsi="Calibri" w:cs="Calibri"/>
              </w:rPr>
              <w:t>,</w:t>
            </w:r>
            <w:r>
              <w:rPr>
                <w:rFonts w:ascii="Calibri" w:eastAsia="Times New Roman" w:hAnsi="Calibri" w:cs="Calibri"/>
              </w:rPr>
              <w:t>872</w:t>
            </w:r>
            <w:r w:rsidR="00E17C9F">
              <w:rPr>
                <w:rFonts w:ascii="Calibri" w:eastAsia="Times New Roman" w:hAnsi="Calibri" w:cs="Calibri"/>
              </w:rPr>
              <w:t>,</w:t>
            </w:r>
            <w:r>
              <w:rPr>
                <w:rFonts w:ascii="Calibri" w:eastAsia="Times New Roman" w:hAnsi="Calibri" w:cs="Calibri"/>
              </w:rPr>
              <w:t>426</w:t>
            </w:r>
          </w:p>
        </w:tc>
        <w:tc>
          <w:tcPr>
            <w:tcW w:w="936" w:type="pct"/>
            <w:tcBorders>
              <w:top w:val="single" w:sz="4" w:space="0" w:color="auto"/>
              <w:bottom w:val="single" w:sz="4" w:space="0" w:color="auto"/>
            </w:tcBorders>
            <w:vAlign w:val="bottom"/>
          </w:tcPr>
          <w:p w14:paraId="61449EE5" w14:textId="4DBE53C4" w:rsidR="001D39E2" w:rsidRPr="00537128" w:rsidRDefault="001D39E2" w:rsidP="001D39E2">
            <w:pPr>
              <w:tabs>
                <w:tab w:val="right" w:pos="1202"/>
              </w:tabs>
              <w:spacing w:after="0" w:line="340" w:lineRule="exact"/>
              <w:jc w:val="right"/>
              <w:outlineLvl w:val="0"/>
              <w:rPr>
                <w:rFonts w:ascii="Calibri" w:eastAsia="Times New Roman" w:hAnsi="Calibri" w:cs="Arial"/>
                <w:lang w:val="en-US"/>
              </w:rPr>
            </w:pPr>
            <w:r w:rsidRPr="00186E95">
              <w:rPr>
                <w:rFonts w:cstheme="minorHAnsi"/>
                <w:lang w:val="en-US"/>
              </w:rPr>
              <w:t>19</w:t>
            </w:r>
            <w:r>
              <w:rPr>
                <w:rFonts w:cstheme="minorHAnsi"/>
                <w:lang w:val="en-US"/>
              </w:rPr>
              <w:t>,</w:t>
            </w:r>
            <w:r w:rsidRPr="00186E95">
              <w:rPr>
                <w:rFonts w:cstheme="minorHAnsi"/>
                <w:lang w:val="en-US"/>
              </w:rPr>
              <w:t>220</w:t>
            </w:r>
            <w:r>
              <w:rPr>
                <w:rFonts w:cstheme="minorHAnsi"/>
                <w:lang w:val="en-US"/>
              </w:rPr>
              <w:t>,</w:t>
            </w:r>
            <w:r w:rsidRPr="00186E95">
              <w:rPr>
                <w:rFonts w:cstheme="minorHAnsi"/>
                <w:lang w:val="en-US"/>
              </w:rPr>
              <w:t>292</w:t>
            </w:r>
          </w:p>
        </w:tc>
      </w:tr>
      <w:tr w:rsidR="001D39E2" w:rsidRPr="00537128" w14:paraId="4C08EF37" w14:textId="77777777" w:rsidTr="001D39E2">
        <w:trPr>
          <w:trHeight w:val="377"/>
        </w:trPr>
        <w:tc>
          <w:tcPr>
            <w:tcW w:w="3128" w:type="pct"/>
            <w:vAlign w:val="bottom"/>
          </w:tcPr>
          <w:p w14:paraId="67ED10FC" w14:textId="77777777" w:rsidR="001D39E2" w:rsidRPr="00537128" w:rsidRDefault="001D39E2" w:rsidP="001D39E2">
            <w:pPr>
              <w:tabs>
                <w:tab w:val="right" w:pos="1202"/>
              </w:tabs>
              <w:spacing w:after="0" w:line="301" w:lineRule="exact"/>
              <w:outlineLvl w:val="0"/>
              <w:rPr>
                <w:rFonts w:ascii="Calibri" w:eastAsia="Times New Roman" w:hAnsi="Calibri" w:cs="Arial"/>
                <w:lang w:val="en-US"/>
              </w:rPr>
            </w:pPr>
            <w:bookmarkStart w:id="357" w:name="_Toc4058599"/>
            <w:r w:rsidRPr="00537128">
              <w:rPr>
                <w:rFonts w:ascii="Calibri" w:eastAsia="Times New Roman" w:hAnsi="Calibri" w:cs="Arial"/>
                <w:lang w:val="en-US"/>
              </w:rPr>
              <w:t>Loss allowances</w:t>
            </w:r>
            <w:bookmarkEnd w:id="357"/>
          </w:p>
        </w:tc>
        <w:tc>
          <w:tcPr>
            <w:tcW w:w="936" w:type="pct"/>
            <w:tcBorders>
              <w:top w:val="single" w:sz="4" w:space="0" w:color="auto"/>
              <w:bottom w:val="single" w:sz="4" w:space="0" w:color="auto"/>
            </w:tcBorders>
            <w:vAlign w:val="bottom"/>
          </w:tcPr>
          <w:p w14:paraId="0CB1909B" w14:textId="32BFE29E" w:rsidR="001D39E2" w:rsidRPr="00537128" w:rsidRDefault="001D39E2" w:rsidP="001D39E2">
            <w:pPr>
              <w:tabs>
                <w:tab w:val="right" w:pos="1202"/>
              </w:tabs>
              <w:spacing w:after="0" w:line="301" w:lineRule="exact"/>
              <w:jc w:val="right"/>
              <w:outlineLvl w:val="0"/>
              <w:rPr>
                <w:rFonts w:ascii="Calibri" w:eastAsia="Times New Roman" w:hAnsi="Calibri" w:cs="Arial"/>
                <w:spacing w:val="-2"/>
                <w:lang w:val="en-US"/>
              </w:rPr>
            </w:pPr>
            <w:r>
              <w:rPr>
                <w:rFonts w:ascii="Calibri" w:eastAsia="Times New Roman" w:hAnsi="Calibri" w:cs="Calibri"/>
              </w:rPr>
              <w:t>(3</w:t>
            </w:r>
            <w:r w:rsidR="00E17C9F">
              <w:rPr>
                <w:rFonts w:ascii="Calibri" w:eastAsia="Times New Roman" w:hAnsi="Calibri" w:cs="Calibri"/>
              </w:rPr>
              <w:t>,</w:t>
            </w:r>
            <w:r>
              <w:rPr>
                <w:rFonts w:ascii="Calibri" w:eastAsia="Times New Roman" w:hAnsi="Calibri" w:cs="Calibri"/>
              </w:rPr>
              <w:t>145</w:t>
            </w:r>
            <w:r w:rsidR="00E17C9F">
              <w:rPr>
                <w:rFonts w:ascii="Calibri" w:eastAsia="Times New Roman" w:hAnsi="Calibri" w:cs="Calibri"/>
              </w:rPr>
              <w:t>,</w:t>
            </w:r>
            <w:r>
              <w:rPr>
                <w:rFonts w:ascii="Calibri" w:eastAsia="Times New Roman" w:hAnsi="Calibri" w:cs="Calibri"/>
              </w:rPr>
              <w:t>993)</w:t>
            </w:r>
          </w:p>
        </w:tc>
        <w:tc>
          <w:tcPr>
            <w:tcW w:w="936" w:type="pct"/>
            <w:tcBorders>
              <w:top w:val="single" w:sz="4" w:space="0" w:color="auto"/>
              <w:bottom w:val="single" w:sz="4" w:space="0" w:color="auto"/>
            </w:tcBorders>
            <w:vAlign w:val="bottom"/>
          </w:tcPr>
          <w:p w14:paraId="130543DB" w14:textId="7AB46EED" w:rsidR="001D39E2" w:rsidRPr="00537128" w:rsidRDefault="001D39E2" w:rsidP="001D39E2">
            <w:pPr>
              <w:tabs>
                <w:tab w:val="right" w:pos="1202"/>
              </w:tabs>
              <w:spacing w:after="0" w:line="301" w:lineRule="exact"/>
              <w:jc w:val="right"/>
              <w:outlineLvl w:val="0"/>
              <w:rPr>
                <w:rFonts w:ascii="Calibri" w:eastAsia="Times New Roman" w:hAnsi="Calibri" w:cs="Arial"/>
                <w:spacing w:val="-2"/>
                <w:lang w:val="en-US"/>
              </w:rPr>
            </w:pPr>
            <w:r w:rsidRPr="00186E95">
              <w:rPr>
                <w:rFonts w:cstheme="minorHAnsi"/>
                <w:lang w:val="en-US"/>
              </w:rPr>
              <w:t>(3</w:t>
            </w:r>
            <w:r>
              <w:rPr>
                <w:rFonts w:cstheme="minorHAnsi"/>
                <w:lang w:val="en-US"/>
              </w:rPr>
              <w:t>,</w:t>
            </w:r>
            <w:r w:rsidRPr="00186E95">
              <w:rPr>
                <w:rFonts w:cstheme="minorHAnsi"/>
                <w:lang w:val="en-US"/>
              </w:rPr>
              <w:t>255</w:t>
            </w:r>
            <w:r>
              <w:rPr>
                <w:rFonts w:cstheme="minorHAnsi"/>
                <w:lang w:val="en-US"/>
              </w:rPr>
              <w:t>,</w:t>
            </w:r>
            <w:r w:rsidRPr="00186E95">
              <w:rPr>
                <w:rFonts w:cstheme="minorHAnsi"/>
                <w:lang w:val="en-US"/>
              </w:rPr>
              <w:t>916)</w:t>
            </w:r>
          </w:p>
        </w:tc>
      </w:tr>
      <w:tr w:rsidR="001D39E2" w:rsidRPr="00537128" w14:paraId="00872D64" w14:textId="77777777" w:rsidTr="001D39E2">
        <w:trPr>
          <w:trHeight w:hRule="exact" w:val="430"/>
        </w:trPr>
        <w:tc>
          <w:tcPr>
            <w:tcW w:w="3128" w:type="pct"/>
            <w:vAlign w:val="bottom"/>
          </w:tcPr>
          <w:p w14:paraId="0DCDF5D6" w14:textId="77777777" w:rsidR="001D39E2" w:rsidRPr="00537128" w:rsidRDefault="001D39E2" w:rsidP="001D39E2">
            <w:pPr>
              <w:tabs>
                <w:tab w:val="right" w:pos="1202"/>
              </w:tabs>
              <w:spacing w:after="0" w:line="340" w:lineRule="exact"/>
              <w:outlineLvl w:val="0"/>
              <w:rPr>
                <w:rFonts w:ascii="Calibri" w:eastAsia="Times New Roman" w:hAnsi="Calibri" w:cs="Arial"/>
                <w:b/>
                <w:bCs/>
                <w:lang w:val="en-US"/>
              </w:rPr>
            </w:pPr>
          </w:p>
          <w:p w14:paraId="315CD8F4" w14:textId="77777777" w:rsidR="001D39E2" w:rsidRPr="00537128" w:rsidRDefault="001D39E2" w:rsidP="001D39E2">
            <w:pPr>
              <w:tabs>
                <w:tab w:val="right" w:pos="1202"/>
              </w:tabs>
              <w:spacing w:after="0" w:line="340" w:lineRule="exact"/>
              <w:outlineLvl w:val="0"/>
              <w:rPr>
                <w:rFonts w:ascii="Calibri" w:eastAsia="Times New Roman" w:hAnsi="Calibri" w:cs="Arial"/>
                <w:b/>
                <w:bCs/>
                <w:lang w:val="en-US"/>
              </w:rPr>
            </w:pPr>
          </w:p>
        </w:tc>
        <w:tc>
          <w:tcPr>
            <w:tcW w:w="936" w:type="pct"/>
            <w:tcBorders>
              <w:top w:val="single" w:sz="4" w:space="0" w:color="auto"/>
              <w:bottom w:val="single" w:sz="12" w:space="0" w:color="auto"/>
            </w:tcBorders>
            <w:vAlign w:val="bottom"/>
          </w:tcPr>
          <w:p w14:paraId="51FBC3AF" w14:textId="1242A95F" w:rsidR="001D39E2" w:rsidRPr="00537128" w:rsidRDefault="001D39E2" w:rsidP="001D39E2">
            <w:pPr>
              <w:tabs>
                <w:tab w:val="right" w:pos="1202"/>
              </w:tabs>
              <w:spacing w:after="0" w:line="340" w:lineRule="exact"/>
              <w:jc w:val="right"/>
              <w:outlineLvl w:val="0"/>
              <w:rPr>
                <w:rFonts w:ascii="Calibri" w:eastAsia="Times New Roman" w:hAnsi="Calibri" w:cs="Arial"/>
                <w:b/>
                <w:bCs/>
                <w:lang w:val="en-US"/>
              </w:rPr>
            </w:pPr>
            <w:r>
              <w:rPr>
                <w:rFonts w:ascii="Calibri" w:eastAsia="Times New Roman" w:hAnsi="Calibri" w:cs="Calibri"/>
                <w:b/>
                <w:bCs/>
              </w:rPr>
              <w:t>15</w:t>
            </w:r>
            <w:r w:rsidR="00E17C9F">
              <w:rPr>
                <w:rFonts w:ascii="Calibri" w:eastAsia="Times New Roman" w:hAnsi="Calibri" w:cs="Calibri"/>
                <w:b/>
                <w:bCs/>
              </w:rPr>
              <w:t>,</w:t>
            </w:r>
            <w:r>
              <w:rPr>
                <w:rFonts w:ascii="Calibri" w:eastAsia="Times New Roman" w:hAnsi="Calibri" w:cs="Calibri"/>
                <w:b/>
                <w:bCs/>
              </w:rPr>
              <w:t>726</w:t>
            </w:r>
            <w:r w:rsidR="00E17C9F">
              <w:rPr>
                <w:rFonts w:ascii="Calibri" w:eastAsia="Times New Roman" w:hAnsi="Calibri" w:cs="Calibri"/>
                <w:b/>
                <w:bCs/>
              </w:rPr>
              <w:t>,</w:t>
            </w:r>
            <w:r>
              <w:rPr>
                <w:rFonts w:ascii="Calibri" w:eastAsia="Times New Roman" w:hAnsi="Calibri" w:cs="Calibri"/>
                <w:b/>
                <w:bCs/>
              </w:rPr>
              <w:t>433</w:t>
            </w:r>
          </w:p>
        </w:tc>
        <w:tc>
          <w:tcPr>
            <w:tcW w:w="936" w:type="pct"/>
            <w:tcBorders>
              <w:top w:val="single" w:sz="4" w:space="0" w:color="auto"/>
              <w:bottom w:val="single" w:sz="12" w:space="0" w:color="auto"/>
            </w:tcBorders>
            <w:vAlign w:val="bottom"/>
          </w:tcPr>
          <w:p w14:paraId="428EEF82" w14:textId="06EFC01A" w:rsidR="001D39E2" w:rsidRPr="00537128" w:rsidRDefault="001D39E2" w:rsidP="001D39E2">
            <w:pPr>
              <w:tabs>
                <w:tab w:val="right" w:pos="1202"/>
              </w:tabs>
              <w:spacing w:after="0" w:line="340" w:lineRule="exact"/>
              <w:jc w:val="right"/>
              <w:outlineLvl w:val="0"/>
              <w:rPr>
                <w:rFonts w:ascii="Calibri" w:eastAsia="Times New Roman" w:hAnsi="Calibri" w:cs="Arial"/>
                <w:b/>
                <w:bCs/>
                <w:lang w:val="en-US"/>
              </w:rPr>
            </w:pPr>
            <w:r w:rsidRPr="00186E95">
              <w:rPr>
                <w:rFonts w:cstheme="minorHAnsi"/>
                <w:b/>
                <w:bCs/>
                <w:lang w:val="en-US"/>
              </w:rPr>
              <w:t>15</w:t>
            </w:r>
            <w:r>
              <w:rPr>
                <w:rFonts w:cstheme="minorHAnsi"/>
                <w:b/>
                <w:bCs/>
                <w:lang w:val="en-US"/>
              </w:rPr>
              <w:t>,</w:t>
            </w:r>
            <w:r w:rsidRPr="00186E95">
              <w:rPr>
                <w:rFonts w:cstheme="minorHAnsi"/>
                <w:b/>
                <w:bCs/>
                <w:lang w:val="en-US"/>
              </w:rPr>
              <w:t>964</w:t>
            </w:r>
            <w:r>
              <w:rPr>
                <w:rFonts w:cstheme="minorHAnsi"/>
                <w:b/>
                <w:bCs/>
                <w:lang w:val="en-US"/>
              </w:rPr>
              <w:t>,</w:t>
            </w:r>
            <w:r w:rsidRPr="00186E95">
              <w:rPr>
                <w:rFonts w:cstheme="minorHAnsi"/>
                <w:b/>
                <w:bCs/>
                <w:lang w:val="en-US"/>
              </w:rPr>
              <w:t>376</w:t>
            </w:r>
          </w:p>
        </w:tc>
      </w:tr>
    </w:tbl>
    <w:p w14:paraId="6D96F0B6" w14:textId="77777777" w:rsidR="00D873D7" w:rsidRPr="00537128" w:rsidRDefault="00D873D7" w:rsidP="007C40E2">
      <w:pPr>
        <w:autoSpaceDE w:val="0"/>
        <w:autoSpaceDN w:val="0"/>
        <w:adjustRightInd w:val="0"/>
        <w:spacing w:after="0" w:line="240" w:lineRule="auto"/>
        <w:jc w:val="both"/>
        <w:rPr>
          <w:noProof/>
          <w:color w:val="000000" w:themeColor="text1"/>
          <w:lang w:val="en-US"/>
        </w:rPr>
      </w:pPr>
    </w:p>
    <w:p w14:paraId="7C2D4C6A" w14:textId="77777777" w:rsidR="00D873D7" w:rsidRPr="00537128" w:rsidRDefault="00D873D7" w:rsidP="007C40E2">
      <w:pPr>
        <w:autoSpaceDE w:val="0"/>
        <w:autoSpaceDN w:val="0"/>
        <w:adjustRightInd w:val="0"/>
        <w:spacing w:after="0" w:line="240" w:lineRule="auto"/>
        <w:jc w:val="both"/>
        <w:rPr>
          <w:noProof/>
          <w:color w:val="000000" w:themeColor="text1"/>
          <w:lang w:val="en-US"/>
        </w:rPr>
      </w:pPr>
    </w:p>
    <w:p w14:paraId="3CAF9235" w14:textId="3BE4D48E" w:rsidR="007C40E2" w:rsidRPr="00537128" w:rsidRDefault="007C40E2" w:rsidP="007C40E2">
      <w:pPr>
        <w:autoSpaceDE w:val="0"/>
        <w:autoSpaceDN w:val="0"/>
        <w:adjustRightInd w:val="0"/>
        <w:spacing w:after="0" w:line="240" w:lineRule="auto"/>
        <w:jc w:val="both"/>
        <w:rPr>
          <w:rFonts w:ascii="Calibri" w:eastAsia="Times New Roman" w:hAnsi="Calibri" w:cs="Arial"/>
          <w:color w:val="000000" w:themeColor="text1"/>
          <w:lang w:val="en-US"/>
        </w:rPr>
      </w:pPr>
      <w:r w:rsidRPr="00537128">
        <w:rPr>
          <w:noProof/>
          <w:color w:val="000000" w:themeColor="text1"/>
          <w:lang w:val="en-US"/>
        </w:rPr>
        <w:t>The following tables sets out information about the credit quality of financial assets measured at amortised</w:t>
      </w:r>
      <w:r w:rsidRPr="00537128">
        <w:rPr>
          <w:rFonts w:ascii="Calibri" w:eastAsia="Times New Roman" w:hAnsi="Calibri" w:cs="Arial"/>
          <w:color w:val="000000" w:themeColor="text1"/>
          <w:lang w:val="en-US"/>
        </w:rPr>
        <w:t xml:space="preserve"> cost</w:t>
      </w:r>
      <w:r w:rsidR="00666498">
        <w:rPr>
          <w:rFonts w:ascii="Calibri" w:eastAsia="Times New Roman" w:hAnsi="Calibri" w:cs="Arial"/>
          <w:color w:val="000000" w:themeColor="text1"/>
          <w:lang w:val="en-US"/>
        </w:rPr>
        <w:t>,</w:t>
      </w:r>
      <w:r w:rsidRPr="00537128">
        <w:rPr>
          <w:rFonts w:ascii="Calibri" w:eastAsia="Times New Roman" w:hAnsi="Calibri" w:cs="Arial"/>
          <w:color w:val="000000" w:themeColor="text1"/>
          <w:lang w:val="en-US"/>
        </w:rPr>
        <w:t xml:space="preserve"> The amounts in the table represent gross carrying amounts:</w:t>
      </w:r>
    </w:p>
    <w:p w14:paraId="67489538" w14:textId="55F07185" w:rsidR="007C40E2" w:rsidRPr="00537128" w:rsidRDefault="007C40E2" w:rsidP="00FB32CA">
      <w:pPr>
        <w:autoSpaceDE w:val="0"/>
        <w:autoSpaceDN w:val="0"/>
        <w:adjustRightInd w:val="0"/>
        <w:spacing w:after="0" w:line="240" w:lineRule="auto"/>
        <w:jc w:val="both"/>
        <w:rPr>
          <w:rFonts w:ascii="Arial" w:eastAsia="Times New Roman" w:hAnsi="Arial" w:cs="Times New Roman"/>
          <w:b/>
          <w:bCs/>
          <w:color w:val="000000" w:themeColor="text1"/>
          <w:sz w:val="19"/>
          <w:szCs w:val="20"/>
          <w:lang w:val="en-US"/>
        </w:rPr>
      </w:pPr>
    </w:p>
    <w:tbl>
      <w:tblPr>
        <w:tblW w:w="4681" w:type="pct"/>
        <w:tblInd w:w="426" w:type="dxa"/>
        <w:tblLayout w:type="fixed"/>
        <w:tblLook w:val="0000" w:firstRow="0" w:lastRow="0" w:firstColumn="0" w:lastColumn="0" w:noHBand="0" w:noVBand="0"/>
      </w:tblPr>
      <w:tblGrid>
        <w:gridCol w:w="2199"/>
        <w:gridCol w:w="1258"/>
        <w:gridCol w:w="1259"/>
        <w:gridCol w:w="1259"/>
        <w:gridCol w:w="1259"/>
        <w:gridCol w:w="1259"/>
      </w:tblGrid>
      <w:tr w:rsidR="00D873D7" w:rsidRPr="00EE31AE" w14:paraId="449612E4" w14:textId="77777777" w:rsidTr="00D873D7">
        <w:trPr>
          <w:trHeight w:val="227"/>
        </w:trPr>
        <w:tc>
          <w:tcPr>
            <w:tcW w:w="1295" w:type="pct"/>
            <w:vAlign w:val="bottom"/>
          </w:tcPr>
          <w:p w14:paraId="62D258F8" w14:textId="2B6FB585" w:rsidR="00D873D7" w:rsidRPr="00EE31AE" w:rsidRDefault="00D873D7" w:rsidP="00D873D7">
            <w:pPr>
              <w:tabs>
                <w:tab w:val="left" w:pos="-720"/>
              </w:tabs>
              <w:suppressAutoHyphens/>
              <w:spacing w:after="0" w:line="220" w:lineRule="exact"/>
              <w:rPr>
                <w:rFonts w:ascii="Calibri" w:eastAsia="Times New Roman" w:hAnsi="Calibri" w:cs="Arial"/>
                <w:b/>
                <w:sz w:val="21"/>
                <w:szCs w:val="21"/>
                <w:lang w:val="en-US"/>
              </w:rPr>
            </w:pPr>
            <w:r w:rsidRPr="00EE31AE">
              <w:rPr>
                <w:rFonts w:ascii="Calibri" w:eastAsia="Times New Roman" w:hAnsi="Calibri" w:cs="Arial"/>
                <w:b/>
                <w:sz w:val="21"/>
                <w:szCs w:val="21"/>
                <w:lang w:val="en-US"/>
              </w:rPr>
              <w:t>31 March 202</w:t>
            </w:r>
            <w:r w:rsidR="001078E6" w:rsidRPr="00EE31AE">
              <w:rPr>
                <w:rFonts w:ascii="Calibri" w:eastAsia="Times New Roman" w:hAnsi="Calibri" w:cs="Arial"/>
                <w:b/>
                <w:sz w:val="21"/>
                <w:szCs w:val="21"/>
                <w:lang w:val="en-US"/>
              </w:rPr>
              <w:t>2</w:t>
            </w:r>
          </w:p>
        </w:tc>
        <w:tc>
          <w:tcPr>
            <w:tcW w:w="741" w:type="pct"/>
            <w:vAlign w:val="bottom"/>
          </w:tcPr>
          <w:p w14:paraId="3AAC0F44" w14:textId="77777777" w:rsidR="00D873D7" w:rsidRPr="00EE31AE" w:rsidRDefault="00D873D7" w:rsidP="00D873D7">
            <w:pPr>
              <w:tabs>
                <w:tab w:val="right" w:pos="1202"/>
              </w:tabs>
              <w:spacing w:after="0" w:line="240" w:lineRule="atLeast"/>
              <w:jc w:val="right"/>
              <w:outlineLvl w:val="0"/>
              <w:rPr>
                <w:rFonts w:ascii="Calibri" w:eastAsia="Times New Roman" w:hAnsi="Calibri" w:cs="Arial"/>
                <w:b/>
                <w:sz w:val="21"/>
                <w:szCs w:val="21"/>
                <w:lang w:val="en-US"/>
              </w:rPr>
            </w:pPr>
          </w:p>
        </w:tc>
        <w:tc>
          <w:tcPr>
            <w:tcW w:w="741" w:type="pct"/>
            <w:shd w:val="clear" w:color="auto" w:fill="auto"/>
            <w:vAlign w:val="bottom"/>
          </w:tcPr>
          <w:p w14:paraId="75D27021" w14:textId="77777777" w:rsidR="00D873D7" w:rsidRPr="00EE31AE" w:rsidRDefault="00D873D7" w:rsidP="00D873D7">
            <w:pPr>
              <w:tabs>
                <w:tab w:val="right" w:pos="1202"/>
              </w:tabs>
              <w:spacing w:after="0" w:line="240" w:lineRule="atLeast"/>
              <w:jc w:val="right"/>
              <w:outlineLvl w:val="0"/>
              <w:rPr>
                <w:rFonts w:ascii="Calibri" w:eastAsia="Times New Roman" w:hAnsi="Calibri" w:cs="Arial"/>
                <w:b/>
                <w:sz w:val="21"/>
                <w:szCs w:val="21"/>
                <w:lang w:val="en-US"/>
              </w:rPr>
            </w:pPr>
          </w:p>
        </w:tc>
        <w:tc>
          <w:tcPr>
            <w:tcW w:w="741" w:type="pct"/>
            <w:shd w:val="clear" w:color="auto" w:fill="auto"/>
            <w:vAlign w:val="bottom"/>
          </w:tcPr>
          <w:p w14:paraId="25248652" w14:textId="77777777" w:rsidR="00D873D7" w:rsidRPr="00EE31AE" w:rsidRDefault="00D873D7" w:rsidP="00D873D7">
            <w:pPr>
              <w:tabs>
                <w:tab w:val="right" w:pos="1202"/>
              </w:tabs>
              <w:spacing w:after="0" w:line="220" w:lineRule="exact"/>
              <w:jc w:val="right"/>
              <w:outlineLvl w:val="0"/>
              <w:rPr>
                <w:rFonts w:ascii="Calibri" w:eastAsia="Times New Roman" w:hAnsi="Calibri" w:cs="Arial"/>
                <w:b/>
                <w:sz w:val="21"/>
                <w:szCs w:val="21"/>
                <w:lang w:val="en-US"/>
              </w:rPr>
            </w:pPr>
          </w:p>
        </w:tc>
        <w:tc>
          <w:tcPr>
            <w:tcW w:w="1482" w:type="pct"/>
            <w:gridSpan w:val="2"/>
            <w:vAlign w:val="bottom"/>
          </w:tcPr>
          <w:p w14:paraId="0541B3A9" w14:textId="77777777" w:rsidR="00D873D7" w:rsidRPr="00EE31AE" w:rsidRDefault="00D873D7" w:rsidP="00D873D7">
            <w:pPr>
              <w:tabs>
                <w:tab w:val="right" w:pos="1202"/>
              </w:tabs>
              <w:spacing w:after="0" w:line="240" w:lineRule="atLeast"/>
              <w:jc w:val="right"/>
              <w:outlineLvl w:val="0"/>
              <w:rPr>
                <w:rFonts w:ascii="Calibri" w:eastAsia="Times New Roman" w:hAnsi="Calibri" w:cs="Arial"/>
                <w:b/>
                <w:sz w:val="21"/>
                <w:szCs w:val="21"/>
                <w:lang w:val="en-US"/>
              </w:rPr>
            </w:pPr>
            <w:bookmarkStart w:id="358" w:name="_Toc4058604"/>
            <w:r w:rsidRPr="00EE31AE">
              <w:rPr>
                <w:rFonts w:ascii="Calibri" w:eastAsia="Times New Roman" w:hAnsi="Calibri" w:cs="Arial"/>
                <w:b/>
                <w:sz w:val="21"/>
                <w:szCs w:val="21"/>
                <w:lang w:val="en-US"/>
              </w:rPr>
              <w:t>Group and Bank</w:t>
            </w:r>
            <w:bookmarkEnd w:id="358"/>
          </w:p>
        </w:tc>
      </w:tr>
      <w:tr w:rsidR="00D873D7" w:rsidRPr="00EE31AE" w14:paraId="1421638D" w14:textId="77777777" w:rsidTr="00D873D7">
        <w:trPr>
          <w:trHeight w:val="227"/>
        </w:trPr>
        <w:tc>
          <w:tcPr>
            <w:tcW w:w="1295" w:type="pct"/>
            <w:vAlign w:val="bottom"/>
          </w:tcPr>
          <w:p w14:paraId="4C5F8D05" w14:textId="77777777" w:rsidR="00D873D7" w:rsidRPr="00EE31AE" w:rsidRDefault="00D873D7" w:rsidP="00D873D7">
            <w:pPr>
              <w:tabs>
                <w:tab w:val="left" w:pos="-720"/>
              </w:tabs>
              <w:suppressAutoHyphens/>
              <w:spacing w:after="0" w:line="220" w:lineRule="exact"/>
              <w:rPr>
                <w:rFonts w:ascii="Calibri" w:eastAsia="Times New Roman" w:hAnsi="Calibri" w:cs="Arial"/>
                <w:sz w:val="21"/>
                <w:szCs w:val="21"/>
                <w:lang w:val="en-US"/>
              </w:rPr>
            </w:pPr>
          </w:p>
        </w:tc>
        <w:tc>
          <w:tcPr>
            <w:tcW w:w="741" w:type="pct"/>
            <w:vAlign w:val="bottom"/>
          </w:tcPr>
          <w:p w14:paraId="08B1CAA4" w14:textId="77777777" w:rsidR="00D873D7" w:rsidRPr="00EE31AE" w:rsidRDefault="00D873D7" w:rsidP="00D873D7">
            <w:pPr>
              <w:tabs>
                <w:tab w:val="right" w:pos="1202"/>
              </w:tabs>
              <w:spacing w:after="0" w:line="220" w:lineRule="exact"/>
              <w:jc w:val="right"/>
              <w:outlineLvl w:val="0"/>
              <w:rPr>
                <w:rFonts w:ascii="Calibri" w:eastAsia="Times New Roman" w:hAnsi="Calibri" w:cs="Arial"/>
                <w:b/>
                <w:sz w:val="21"/>
                <w:szCs w:val="21"/>
                <w:lang w:val="en-US"/>
              </w:rPr>
            </w:pPr>
            <w:bookmarkStart w:id="359" w:name="_Toc4058605"/>
            <w:r w:rsidRPr="00EE31AE">
              <w:rPr>
                <w:rFonts w:ascii="Calibri" w:eastAsia="Times New Roman" w:hAnsi="Calibri" w:cs="Arial"/>
                <w:b/>
                <w:sz w:val="21"/>
                <w:szCs w:val="21"/>
                <w:lang w:val="en-US"/>
              </w:rPr>
              <w:t>Stage 1</w:t>
            </w:r>
            <w:bookmarkEnd w:id="359"/>
          </w:p>
        </w:tc>
        <w:tc>
          <w:tcPr>
            <w:tcW w:w="741" w:type="pct"/>
            <w:vAlign w:val="bottom"/>
          </w:tcPr>
          <w:p w14:paraId="27B7B68B" w14:textId="77777777" w:rsidR="00D873D7" w:rsidRPr="00EE31AE" w:rsidRDefault="00D873D7" w:rsidP="00D873D7">
            <w:pPr>
              <w:tabs>
                <w:tab w:val="right" w:pos="1202"/>
              </w:tabs>
              <w:spacing w:after="0" w:line="220" w:lineRule="exact"/>
              <w:jc w:val="right"/>
              <w:outlineLvl w:val="0"/>
              <w:rPr>
                <w:rFonts w:ascii="Calibri" w:eastAsia="Times New Roman" w:hAnsi="Calibri" w:cs="Arial"/>
                <w:b/>
                <w:sz w:val="21"/>
                <w:szCs w:val="21"/>
                <w:lang w:val="en-US"/>
              </w:rPr>
            </w:pPr>
            <w:bookmarkStart w:id="360" w:name="_Toc4058606"/>
            <w:r w:rsidRPr="00EE31AE">
              <w:rPr>
                <w:rFonts w:ascii="Calibri" w:eastAsia="Times New Roman" w:hAnsi="Calibri" w:cs="Arial"/>
                <w:b/>
                <w:sz w:val="21"/>
                <w:szCs w:val="21"/>
                <w:lang w:val="en-US"/>
              </w:rPr>
              <w:t>Stage 2</w:t>
            </w:r>
            <w:bookmarkEnd w:id="360"/>
          </w:p>
        </w:tc>
        <w:tc>
          <w:tcPr>
            <w:tcW w:w="741" w:type="pct"/>
            <w:vAlign w:val="bottom"/>
          </w:tcPr>
          <w:p w14:paraId="4DE2B87B" w14:textId="77777777" w:rsidR="00D873D7" w:rsidRPr="00EE31AE" w:rsidRDefault="00D873D7" w:rsidP="00D873D7">
            <w:pPr>
              <w:tabs>
                <w:tab w:val="right" w:pos="1202"/>
              </w:tabs>
              <w:spacing w:after="0" w:line="220" w:lineRule="exact"/>
              <w:jc w:val="right"/>
              <w:outlineLvl w:val="0"/>
              <w:rPr>
                <w:rFonts w:ascii="Calibri" w:eastAsia="Times New Roman" w:hAnsi="Calibri" w:cs="Arial"/>
                <w:b/>
                <w:sz w:val="21"/>
                <w:szCs w:val="21"/>
                <w:lang w:val="en-US"/>
              </w:rPr>
            </w:pPr>
            <w:bookmarkStart w:id="361" w:name="_Toc4058607"/>
            <w:r w:rsidRPr="00EE31AE">
              <w:rPr>
                <w:rFonts w:ascii="Calibri" w:eastAsia="Times New Roman" w:hAnsi="Calibri" w:cs="Arial"/>
                <w:b/>
                <w:sz w:val="21"/>
                <w:szCs w:val="21"/>
                <w:lang w:val="en-US"/>
              </w:rPr>
              <w:t>Stage 3</w:t>
            </w:r>
            <w:bookmarkEnd w:id="361"/>
          </w:p>
        </w:tc>
        <w:tc>
          <w:tcPr>
            <w:tcW w:w="741" w:type="pct"/>
            <w:vAlign w:val="bottom"/>
          </w:tcPr>
          <w:p w14:paraId="0DCC1330" w14:textId="77777777" w:rsidR="00D873D7" w:rsidRPr="00EE31AE" w:rsidRDefault="00D873D7" w:rsidP="00D873D7">
            <w:pPr>
              <w:tabs>
                <w:tab w:val="right" w:pos="1202"/>
              </w:tabs>
              <w:spacing w:after="0" w:line="220" w:lineRule="exact"/>
              <w:jc w:val="right"/>
              <w:outlineLvl w:val="0"/>
              <w:rPr>
                <w:rFonts w:ascii="Calibri" w:eastAsia="Times New Roman" w:hAnsi="Calibri" w:cs="Arial"/>
                <w:b/>
                <w:sz w:val="21"/>
                <w:szCs w:val="21"/>
                <w:lang w:val="en-US"/>
              </w:rPr>
            </w:pPr>
            <w:bookmarkStart w:id="362" w:name="_Toc4058608"/>
            <w:r w:rsidRPr="00EE31AE">
              <w:rPr>
                <w:rFonts w:ascii="Calibri" w:eastAsia="Times New Roman" w:hAnsi="Calibri" w:cs="Arial"/>
                <w:b/>
                <w:sz w:val="21"/>
                <w:szCs w:val="21"/>
                <w:lang w:val="en-US"/>
              </w:rPr>
              <w:t>POCI</w:t>
            </w:r>
            <w:bookmarkEnd w:id="362"/>
          </w:p>
        </w:tc>
        <w:tc>
          <w:tcPr>
            <w:tcW w:w="741" w:type="pct"/>
            <w:vAlign w:val="bottom"/>
          </w:tcPr>
          <w:p w14:paraId="6908DD5F" w14:textId="77777777" w:rsidR="00D873D7" w:rsidRPr="00EE31AE" w:rsidRDefault="00D873D7" w:rsidP="00D873D7">
            <w:pPr>
              <w:tabs>
                <w:tab w:val="right" w:pos="1202"/>
              </w:tabs>
              <w:spacing w:after="0" w:line="220" w:lineRule="exact"/>
              <w:jc w:val="right"/>
              <w:outlineLvl w:val="0"/>
              <w:rPr>
                <w:rFonts w:ascii="Calibri" w:eastAsia="Times New Roman" w:hAnsi="Calibri" w:cs="Arial"/>
                <w:b/>
                <w:sz w:val="21"/>
                <w:szCs w:val="21"/>
                <w:lang w:val="en-US"/>
              </w:rPr>
            </w:pPr>
            <w:bookmarkStart w:id="363" w:name="_Toc4058609"/>
            <w:r w:rsidRPr="00EE31AE">
              <w:rPr>
                <w:rFonts w:ascii="Calibri" w:eastAsia="Times New Roman" w:hAnsi="Calibri" w:cs="Arial"/>
                <w:b/>
                <w:sz w:val="21"/>
                <w:szCs w:val="21"/>
                <w:lang w:val="en-US"/>
              </w:rPr>
              <w:t>Total</w:t>
            </w:r>
            <w:bookmarkEnd w:id="363"/>
          </w:p>
        </w:tc>
      </w:tr>
      <w:tr w:rsidR="00D873D7" w:rsidRPr="00EE31AE" w14:paraId="4F8D593A" w14:textId="77777777" w:rsidTr="00D873D7">
        <w:trPr>
          <w:trHeight w:val="227"/>
        </w:trPr>
        <w:tc>
          <w:tcPr>
            <w:tcW w:w="1295" w:type="pct"/>
            <w:vAlign w:val="bottom"/>
          </w:tcPr>
          <w:p w14:paraId="5FF4CA20" w14:textId="77777777" w:rsidR="00D873D7" w:rsidRPr="00EE31AE" w:rsidRDefault="00D873D7" w:rsidP="00D873D7">
            <w:pPr>
              <w:tabs>
                <w:tab w:val="left" w:pos="-720"/>
              </w:tabs>
              <w:suppressAutoHyphens/>
              <w:spacing w:after="0" w:line="220" w:lineRule="exact"/>
              <w:rPr>
                <w:rFonts w:ascii="Calibri" w:eastAsia="Times New Roman" w:hAnsi="Calibri" w:cs="Arial"/>
                <w:sz w:val="21"/>
                <w:szCs w:val="21"/>
                <w:lang w:val="en-US"/>
              </w:rPr>
            </w:pPr>
          </w:p>
        </w:tc>
        <w:tc>
          <w:tcPr>
            <w:tcW w:w="741" w:type="pct"/>
            <w:vAlign w:val="bottom"/>
          </w:tcPr>
          <w:p w14:paraId="4CFB066A" w14:textId="6CC2AC7B" w:rsidR="00D873D7" w:rsidRPr="00EE31AE" w:rsidRDefault="00D873D7" w:rsidP="00D873D7">
            <w:pPr>
              <w:tabs>
                <w:tab w:val="right" w:pos="1202"/>
              </w:tabs>
              <w:spacing w:after="0" w:line="220" w:lineRule="exact"/>
              <w:jc w:val="right"/>
              <w:outlineLvl w:val="0"/>
              <w:rPr>
                <w:rFonts w:ascii="Calibri" w:eastAsia="Times New Roman" w:hAnsi="Calibri" w:cs="Arial"/>
                <w:b/>
                <w:sz w:val="21"/>
                <w:szCs w:val="21"/>
                <w:lang w:val="en-US"/>
              </w:rPr>
            </w:pPr>
            <w:bookmarkStart w:id="364" w:name="_Toc4058610"/>
            <w:r w:rsidRPr="00EE31AE">
              <w:rPr>
                <w:rFonts w:ascii="Calibri" w:eastAsia="Times New Roman" w:hAnsi="Calibri" w:cs="Arial"/>
                <w:b/>
                <w:sz w:val="21"/>
                <w:szCs w:val="21"/>
                <w:lang w:val="en-US"/>
              </w:rPr>
              <w:t xml:space="preserve">HRK </w:t>
            </w:r>
            <w:r w:rsidR="00417C24">
              <w:rPr>
                <w:rFonts w:ascii="Calibri" w:eastAsia="Times New Roman" w:hAnsi="Calibri" w:cs="Arial"/>
                <w:b/>
                <w:sz w:val="21"/>
                <w:szCs w:val="21"/>
                <w:lang w:val="en-US"/>
              </w:rPr>
              <w:t>‘</w:t>
            </w:r>
            <w:r w:rsidRPr="00EE31AE">
              <w:rPr>
                <w:rFonts w:ascii="Calibri" w:eastAsia="Times New Roman" w:hAnsi="Calibri" w:cs="Arial"/>
                <w:b/>
                <w:sz w:val="21"/>
                <w:szCs w:val="21"/>
                <w:lang w:val="en-US"/>
              </w:rPr>
              <w:t>000</w:t>
            </w:r>
            <w:bookmarkEnd w:id="364"/>
          </w:p>
        </w:tc>
        <w:tc>
          <w:tcPr>
            <w:tcW w:w="741" w:type="pct"/>
            <w:vAlign w:val="bottom"/>
          </w:tcPr>
          <w:p w14:paraId="5531F3B6" w14:textId="5E0B9B91" w:rsidR="00D873D7" w:rsidRPr="00EE31AE" w:rsidRDefault="00D873D7" w:rsidP="00D873D7">
            <w:pPr>
              <w:tabs>
                <w:tab w:val="right" w:pos="1202"/>
              </w:tabs>
              <w:spacing w:after="0" w:line="220" w:lineRule="exact"/>
              <w:jc w:val="right"/>
              <w:outlineLvl w:val="0"/>
              <w:rPr>
                <w:rFonts w:ascii="Calibri" w:eastAsia="Times New Roman" w:hAnsi="Calibri" w:cs="Arial"/>
                <w:b/>
                <w:sz w:val="21"/>
                <w:szCs w:val="21"/>
                <w:lang w:val="en-US"/>
              </w:rPr>
            </w:pPr>
            <w:bookmarkStart w:id="365" w:name="_Toc4058611"/>
            <w:r w:rsidRPr="00EE31AE">
              <w:rPr>
                <w:rFonts w:ascii="Calibri" w:eastAsia="Times New Roman" w:hAnsi="Calibri" w:cs="Arial"/>
                <w:b/>
                <w:sz w:val="21"/>
                <w:szCs w:val="21"/>
                <w:lang w:val="en-US"/>
              </w:rPr>
              <w:t xml:space="preserve">HRK </w:t>
            </w:r>
            <w:r w:rsidR="00417C24">
              <w:rPr>
                <w:rFonts w:ascii="Calibri" w:eastAsia="Times New Roman" w:hAnsi="Calibri" w:cs="Arial"/>
                <w:b/>
                <w:sz w:val="21"/>
                <w:szCs w:val="21"/>
                <w:lang w:val="en-US"/>
              </w:rPr>
              <w:t>‘</w:t>
            </w:r>
            <w:r w:rsidRPr="00EE31AE">
              <w:rPr>
                <w:rFonts w:ascii="Calibri" w:eastAsia="Times New Roman" w:hAnsi="Calibri" w:cs="Arial"/>
                <w:b/>
                <w:sz w:val="21"/>
                <w:szCs w:val="21"/>
                <w:lang w:val="en-US"/>
              </w:rPr>
              <w:t>000</w:t>
            </w:r>
            <w:bookmarkEnd w:id="365"/>
          </w:p>
        </w:tc>
        <w:tc>
          <w:tcPr>
            <w:tcW w:w="741" w:type="pct"/>
            <w:vAlign w:val="bottom"/>
          </w:tcPr>
          <w:p w14:paraId="785F79D6" w14:textId="3262A12D" w:rsidR="00D873D7" w:rsidRPr="00EE31AE" w:rsidRDefault="00D873D7" w:rsidP="00D873D7">
            <w:pPr>
              <w:tabs>
                <w:tab w:val="right" w:pos="1202"/>
              </w:tabs>
              <w:spacing w:after="0" w:line="220" w:lineRule="exact"/>
              <w:jc w:val="right"/>
              <w:outlineLvl w:val="0"/>
              <w:rPr>
                <w:rFonts w:ascii="Calibri" w:eastAsia="Times New Roman" w:hAnsi="Calibri" w:cs="Arial"/>
                <w:b/>
                <w:sz w:val="21"/>
                <w:szCs w:val="21"/>
                <w:lang w:val="en-US"/>
              </w:rPr>
            </w:pPr>
            <w:bookmarkStart w:id="366" w:name="_Toc4058612"/>
            <w:r w:rsidRPr="00EE31AE">
              <w:rPr>
                <w:rFonts w:ascii="Calibri" w:eastAsia="Times New Roman" w:hAnsi="Calibri" w:cs="Arial"/>
                <w:b/>
                <w:sz w:val="21"/>
                <w:szCs w:val="21"/>
                <w:lang w:val="en-US"/>
              </w:rPr>
              <w:t xml:space="preserve">HRK </w:t>
            </w:r>
            <w:r w:rsidR="00417C24">
              <w:rPr>
                <w:rFonts w:ascii="Calibri" w:eastAsia="Times New Roman" w:hAnsi="Calibri" w:cs="Arial"/>
                <w:b/>
                <w:sz w:val="21"/>
                <w:szCs w:val="21"/>
                <w:lang w:val="en-US"/>
              </w:rPr>
              <w:t>‘</w:t>
            </w:r>
            <w:r w:rsidRPr="00EE31AE">
              <w:rPr>
                <w:rFonts w:ascii="Calibri" w:eastAsia="Times New Roman" w:hAnsi="Calibri" w:cs="Arial"/>
                <w:b/>
                <w:sz w:val="21"/>
                <w:szCs w:val="21"/>
                <w:lang w:val="en-US"/>
              </w:rPr>
              <w:t>000</w:t>
            </w:r>
            <w:bookmarkEnd w:id="366"/>
          </w:p>
        </w:tc>
        <w:tc>
          <w:tcPr>
            <w:tcW w:w="741" w:type="pct"/>
            <w:vAlign w:val="bottom"/>
          </w:tcPr>
          <w:p w14:paraId="01D1F617" w14:textId="6265AEC8" w:rsidR="00D873D7" w:rsidRPr="00EE31AE" w:rsidRDefault="00D873D7" w:rsidP="00D873D7">
            <w:pPr>
              <w:tabs>
                <w:tab w:val="right" w:pos="1202"/>
              </w:tabs>
              <w:spacing w:after="0" w:line="220" w:lineRule="exact"/>
              <w:jc w:val="right"/>
              <w:outlineLvl w:val="0"/>
              <w:rPr>
                <w:rFonts w:ascii="Calibri" w:eastAsia="Times New Roman" w:hAnsi="Calibri" w:cs="Arial"/>
                <w:b/>
                <w:sz w:val="21"/>
                <w:szCs w:val="21"/>
                <w:lang w:val="en-US"/>
              </w:rPr>
            </w:pPr>
            <w:bookmarkStart w:id="367" w:name="_Toc4058613"/>
            <w:r w:rsidRPr="00EE31AE">
              <w:rPr>
                <w:rFonts w:ascii="Calibri" w:eastAsia="Times New Roman" w:hAnsi="Calibri" w:cs="Arial"/>
                <w:b/>
                <w:sz w:val="21"/>
                <w:szCs w:val="21"/>
                <w:lang w:val="en-US"/>
              </w:rPr>
              <w:t xml:space="preserve">HRK </w:t>
            </w:r>
            <w:r w:rsidR="00417C24">
              <w:rPr>
                <w:rFonts w:ascii="Calibri" w:eastAsia="Times New Roman" w:hAnsi="Calibri" w:cs="Arial"/>
                <w:b/>
                <w:sz w:val="21"/>
                <w:szCs w:val="21"/>
                <w:lang w:val="en-US"/>
              </w:rPr>
              <w:t>‘</w:t>
            </w:r>
            <w:r w:rsidRPr="00EE31AE">
              <w:rPr>
                <w:rFonts w:ascii="Calibri" w:eastAsia="Times New Roman" w:hAnsi="Calibri" w:cs="Arial"/>
                <w:b/>
                <w:sz w:val="21"/>
                <w:szCs w:val="21"/>
                <w:lang w:val="en-US"/>
              </w:rPr>
              <w:t>000</w:t>
            </w:r>
            <w:bookmarkEnd w:id="367"/>
          </w:p>
        </w:tc>
        <w:tc>
          <w:tcPr>
            <w:tcW w:w="741" w:type="pct"/>
            <w:vAlign w:val="bottom"/>
          </w:tcPr>
          <w:p w14:paraId="6EDA80D5" w14:textId="07BC4ADE" w:rsidR="00D873D7" w:rsidRPr="00EE31AE" w:rsidRDefault="00D873D7" w:rsidP="00D873D7">
            <w:pPr>
              <w:tabs>
                <w:tab w:val="right" w:pos="1202"/>
              </w:tabs>
              <w:spacing w:after="0" w:line="220" w:lineRule="exact"/>
              <w:jc w:val="right"/>
              <w:outlineLvl w:val="0"/>
              <w:rPr>
                <w:rFonts w:ascii="Calibri" w:eastAsia="Times New Roman" w:hAnsi="Calibri" w:cs="Arial"/>
                <w:b/>
                <w:sz w:val="21"/>
                <w:szCs w:val="21"/>
                <w:lang w:val="en-US"/>
              </w:rPr>
            </w:pPr>
            <w:bookmarkStart w:id="368" w:name="_Toc4058614"/>
            <w:r w:rsidRPr="00EE31AE">
              <w:rPr>
                <w:rFonts w:ascii="Calibri" w:eastAsia="Times New Roman" w:hAnsi="Calibri" w:cs="Arial"/>
                <w:b/>
                <w:sz w:val="21"/>
                <w:szCs w:val="21"/>
                <w:lang w:val="en-US"/>
              </w:rPr>
              <w:t xml:space="preserve">HRK </w:t>
            </w:r>
            <w:r w:rsidR="00417C24">
              <w:rPr>
                <w:rFonts w:ascii="Calibri" w:eastAsia="Times New Roman" w:hAnsi="Calibri" w:cs="Arial"/>
                <w:b/>
                <w:sz w:val="21"/>
                <w:szCs w:val="21"/>
                <w:lang w:val="en-US"/>
              </w:rPr>
              <w:t>‘</w:t>
            </w:r>
            <w:r w:rsidRPr="00EE31AE">
              <w:rPr>
                <w:rFonts w:ascii="Calibri" w:eastAsia="Times New Roman" w:hAnsi="Calibri" w:cs="Arial"/>
                <w:b/>
                <w:sz w:val="21"/>
                <w:szCs w:val="21"/>
                <w:lang w:val="en-US"/>
              </w:rPr>
              <w:t>000</w:t>
            </w:r>
            <w:bookmarkEnd w:id="368"/>
          </w:p>
        </w:tc>
      </w:tr>
      <w:tr w:rsidR="00D873D7" w:rsidRPr="00EE31AE" w14:paraId="6B33AD0A" w14:textId="77777777" w:rsidTr="00D873D7">
        <w:trPr>
          <w:trHeight w:val="213"/>
        </w:trPr>
        <w:tc>
          <w:tcPr>
            <w:tcW w:w="1295" w:type="pct"/>
            <w:vAlign w:val="bottom"/>
          </w:tcPr>
          <w:p w14:paraId="7CA4DB8F" w14:textId="77777777" w:rsidR="00D873D7" w:rsidRPr="00EE31AE" w:rsidRDefault="00D873D7" w:rsidP="00D873D7">
            <w:pPr>
              <w:tabs>
                <w:tab w:val="left" w:pos="-720"/>
              </w:tabs>
              <w:suppressAutoHyphens/>
              <w:spacing w:after="0" w:line="140" w:lineRule="exact"/>
              <w:rPr>
                <w:rFonts w:ascii="Calibri" w:eastAsia="Times New Roman" w:hAnsi="Calibri" w:cs="Arial"/>
                <w:sz w:val="21"/>
                <w:szCs w:val="21"/>
                <w:lang w:val="en-US"/>
              </w:rPr>
            </w:pPr>
          </w:p>
        </w:tc>
        <w:tc>
          <w:tcPr>
            <w:tcW w:w="741" w:type="pct"/>
            <w:vAlign w:val="bottom"/>
          </w:tcPr>
          <w:p w14:paraId="5B8806D1" w14:textId="77777777" w:rsidR="00D873D7" w:rsidRPr="00EE31AE" w:rsidRDefault="00D873D7" w:rsidP="00D873D7">
            <w:pPr>
              <w:tabs>
                <w:tab w:val="right" w:pos="1202"/>
              </w:tabs>
              <w:spacing w:after="0" w:line="140" w:lineRule="exact"/>
              <w:jc w:val="right"/>
              <w:outlineLvl w:val="0"/>
              <w:rPr>
                <w:rFonts w:ascii="Calibri" w:eastAsia="Times New Roman" w:hAnsi="Calibri" w:cs="Arial"/>
                <w:b/>
                <w:sz w:val="21"/>
                <w:szCs w:val="21"/>
                <w:lang w:val="en-US"/>
              </w:rPr>
            </w:pPr>
          </w:p>
        </w:tc>
        <w:tc>
          <w:tcPr>
            <w:tcW w:w="741" w:type="pct"/>
            <w:vAlign w:val="bottom"/>
          </w:tcPr>
          <w:p w14:paraId="0C7A6229" w14:textId="77777777" w:rsidR="00D873D7" w:rsidRPr="00EE31AE" w:rsidRDefault="00D873D7" w:rsidP="00D873D7">
            <w:pPr>
              <w:tabs>
                <w:tab w:val="right" w:pos="1202"/>
              </w:tabs>
              <w:spacing w:after="0" w:line="140" w:lineRule="exact"/>
              <w:jc w:val="right"/>
              <w:outlineLvl w:val="0"/>
              <w:rPr>
                <w:rFonts w:ascii="Calibri" w:eastAsia="Times New Roman" w:hAnsi="Calibri" w:cs="Arial"/>
                <w:b/>
                <w:sz w:val="21"/>
                <w:szCs w:val="21"/>
                <w:lang w:val="en-US"/>
              </w:rPr>
            </w:pPr>
          </w:p>
        </w:tc>
        <w:tc>
          <w:tcPr>
            <w:tcW w:w="741" w:type="pct"/>
            <w:vAlign w:val="bottom"/>
          </w:tcPr>
          <w:p w14:paraId="4E147764" w14:textId="77777777" w:rsidR="00D873D7" w:rsidRPr="00EE31AE" w:rsidRDefault="00D873D7" w:rsidP="00D873D7">
            <w:pPr>
              <w:tabs>
                <w:tab w:val="right" w:pos="1202"/>
              </w:tabs>
              <w:spacing w:after="0" w:line="140" w:lineRule="exact"/>
              <w:jc w:val="right"/>
              <w:outlineLvl w:val="0"/>
              <w:rPr>
                <w:rFonts w:ascii="Calibri" w:eastAsia="Times New Roman" w:hAnsi="Calibri" w:cs="Arial"/>
                <w:b/>
                <w:sz w:val="21"/>
                <w:szCs w:val="21"/>
                <w:lang w:val="en-US"/>
              </w:rPr>
            </w:pPr>
          </w:p>
        </w:tc>
        <w:tc>
          <w:tcPr>
            <w:tcW w:w="741" w:type="pct"/>
            <w:vAlign w:val="bottom"/>
          </w:tcPr>
          <w:p w14:paraId="02350F86" w14:textId="77777777" w:rsidR="00D873D7" w:rsidRPr="00EE31AE" w:rsidRDefault="00D873D7" w:rsidP="00D873D7">
            <w:pPr>
              <w:tabs>
                <w:tab w:val="right" w:pos="1202"/>
              </w:tabs>
              <w:spacing w:after="0" w:line="140" w:lineRule="exact"/>
              <w:jc w:val="right"/>
              <w:outlineLvl w:val="0"/>
              <w:rPr>
                <w:rFonts w:ascii="Calibri" w:eastAsia="Times New Roman" w:hAnsi="Calibri" w:cs="Arial"/>
                <w:b/>
                <w:sz w:val="21"/>
                <w:szCs w:val="21"/>
                <w:lang w:val="en-US"/>
              </w:rPr>
            </w:pPr>
          </w:p>
        </w:tc>
        <w:tc>
          <w:tcPr>
            <w:tcW w:w="741" w:type="pct"/>
            <w:vAlign w:val="bottom"/>
          </w:tcPr>
          <w:p w14:paraId="48A13323" w14:textId="77777777" w:rsidR="00D873D7" w:rsidRPr="00EE31AE" w:rsidRDefault="00D873D7" w:rsidP="00D873D7">
            <w:pPr>
              <w:tabs>
                <w:tab w:val="right" w:pos="1202"/>
              </w:tabs>
              <w:spacing w:after="0" w:line="140" w:lineRule="exact"/>
              <w:jc w:val="right"/>
              <w:outlineLvl w:val="0"/>
              <w:rPr>
                <w:rFonts w:ascii="Calibri" w:eastAsia="Times New Roman" w:hAnsi="Calibri" w:cs="Arial"/>
                <w:b/>
                <w:sz w:val="21"/>
                <w:szCs w:val="21"/>
                <w:lang w:val="en-US"/>
              </w:rPr>
            </w:pPr>
          </w:p>
        </w:tc>
      </w:tr>
      <w:tr w:rsidR="00EE31AE" w:rsidRPr="00EE31AE" w14:paraId="3000A84D" w14:textId="77777777" w:rsidTr="00A1123E">
        <w:trPr>
          <w:trHeight w:hRule="exact" w:val="284"/>
        </w:trPr>
        <w:tc>
          <w:tcPr>
            <w:tcW w:w="1295" w:type="pct"/>
            <w:vAlign w:val="bottom"/>
          </w:tcPr>
          <w:p w14:paraId="38825BFC" w14:textId="77777777" w:rsidR="00EE31AE" w:rsidRPr="00EE31AE" w:rsidRDefault="00EE31AE" w:rsidP="00EE31AE">
            <w:pPr>
              <w:tabs>
                <w:tab w:val="right" w:pos="1202"/>
              </w:tabs>
              <w:spacing w:after="0" w:line="240" w:lineRule="exact"/>
              <w:outlineLvl w:val="0"/>
              <w:rPr>
                <w:rFonts w:ascii="Calibri" w:eastAsia="Times New Roman" w:hAnsi="Calibri" w:cs="Arial"/>
                <w:sz w:val="21"/>
                <w:szCs w:val="21"/>
                <w:lang w:val="en-US"/>
              </w:rPr>
            </w:pPr>
            <w:bookmarkStart w:id="369" w:name="_Toc4058615"/>
            <w:r w:rsidRPr="00EE31AE">
              <w:rPr>
                <w:rFonts w:ascii="Calibri" w:eastAsia="Times New Roman" w:hAnsi="Calibri" w:cs="Arial"/>
                <w:sz w:val="21"/>
                <w:szCs w:val="21"/>
                <w:lang w:val="en-US"/>
              </w:rPr>
              <w:t>Gross amount</w:t>
            </w:r>
            <w:bookmarkEnd w:id="369"/>
          </w:p>
        </w:tc>
        <w:tc>
          <w:tcPr>
            <w:tcW w:w="741" w:type="pct"/>
            <w:tcBorders>
              <w:top w:val="nil"/>
              <w:left w:val="nil"/>
              <w:bottom w:val="nil"/>
              <w:right w:val="nil"/>
            </w:tcBorders>
            <w:shd w:val="clear" w:color="auto" w:fill="auto"/>
            <w:vAlign w:val="bottom"/>
          </w:tcPr>
          <w:p w14:paraId="7C0F960E" w14:textId="5516B1E3" w:rsidR="00EE31AE" w:rsidRPr="00EE31AE" w:rsidRDefault="00EE31AE" w:rsidP="00EE31AE">
            <w:pPr>
              <w:tabs>
                <w:tab w:val="right" w:pos="1202"/>
              </w:tabs>
              <w:spacing w:after="0" w:line="240" w:lineRule="exact"/>
              <w:jc w:val="right"/>
              <w:outlineLvl w:val="0"/>
              <w:rPr>
                <w:rFonts w:ascii="Calibri" w:eastAsia="Times New Roman" w:hAnsi="Calibri" w:cs="Arial"/>
                <w:sz w:val="21"/>
                <w:szCs w:val="21"/>
                <w:lang w:val="en-US"/>
              </w:rPr>
            </w:pPr>
            <w:r w:rsidRPr="00EE31AE">
              <w:rPr>
                <w:sz w:val="21"/>
                <w:szCs w:val="21"/>
              </w:rPr>
              <w:t>13</w:t>
            </w:r>
            <w:r w:rsidR="00E17C9F">
              <w:rPr>
                <w:sz w:val="21"/>
                <w:szCs w:val="21"/>
              </w:rPr>
              <w:t>,</w:t>
            </w:r>
            <w:r w:rsidRPr="00EE31AE">
              <w:rPr>
                <w:sz w:val="21"/>
                <w:szCs w:val="21"/>
              </w:rPr>
              <w:t>278</w:t>
            </w:r>
            <w:r w:rsidR="00E17C9F">
              <w:rPr>
                <w:sz w:val="21"/>
                <w:szCs w:val="21"/>
              </w:rPr>
              <w:t>,</w:t>
            </w:r>
            <w:r w:rsidRPr="00EE31AE">
              <w:rPr>
                <w:sz w:val="21"/>
                <w:szCs w:val="21"/>
              </w:rPr>
              <w:t>637</w:t>
            </w:r>
          </w:p>
        </w:tc>
        <w:tc>
          <w:tcPr>
            <w:tcW w:w="741" w:type="pct"/>
            <w:tcBorders>
              <w:top w:val="nil"/>
              <w:left w:val="nil"/>
              <w:bottom w:val="nil"/>
              <w:right w:val="nil"/>
            </w:tcBorders>
            <w:shd w:val="clear" w:color="auto" w:fill="auto"/>
            <w:vAlign w:val="bottom"/>
          </w:tcPr>
          <w:p w14:paraId="7CFC8A2C" w14:textId="292A3CDD" w:rsidR="00EE31AE" w:rsidRPr="00EE31AE" w:rsidRDefault="00EE31AE" w:rsidP="00EE31AE">
            <w:pPr>
              <w:tabs>
                <w:tab w:val="right" w:pos="1202"/>
              </w:tabs>
              <w:spacing w:after="0" w:line="240" w:lineRule="exact"/>
              <w:jc w:val="right"/>
              <w:outlineLvl w:val="0"/>
              <w:rPr>
                <w:rFonts w:ascii="Calibri" w:eastAsia="Times New Roman" w:hAnsi="Calibri" w:cs="Arial"/>
                <w:sz w:val="21"/>
                <w:szCs w:val="21"/>
                <w:lang w:val="en-US"/>
              </w:rPr>
            </w:pPr>
            <w:r w:rsidRPr="00EE31AE">
              <w:rPr>
                <w:sz w:val="21"/>
                <w:szCs w:val="21"/>
              </w:rPr>
              <w:t>1</w:t>
            </w:r>
            <w:r w:rsidR="00E17C9F">
              <w:rPr>
                <w:sz w:val="21"/>
                <w:szCs w:val="21"/>
              </w:rPr>
              <w:t>,</w:t>
            </w:r>
            <w:r w:rsidRPr="00EE31AE">
              <w:rPr>
                <w:sz w:val="21"/>
                <w:szCs w:val="21"/>
              </w:rPr>
              <w:t>437</w:t>
            </w:r>
            <w:r w:rsidR="00E17C9F">
              <w:rPr>
                <w:sz w:val="21"/>
                <w:szCs w:val="21"/>
              </w:rPr>
              <w:t>,</w:t>
            </w:r>
            <w:r w:rsidRPr="00EE31AE">
              <w:rPr>
                <w:sz w:val="21"/>
                <w:szCs w:val="21"/>
              </w:rPr>
              <w:t>697</w:t>
            </w:r>
          </w:p>
        </w:tc>
        <w:tc>
          <w:tcPr>
            <w:tcW w:w="741" w:type="pct"/>
            <w:tcBorders>
              <w:top w:val="nil"/>
              <w:left w:val="nil"/>
              <w:bottom w:val="nil"/>
              <w:right w:val="nil"/>
            </w:tcBorders>
            <w:shd w:val="clear" w:color="auto" w:fill="auto"/>
            <w:vAlign w:val="bottom"/>
          </w:tcPr>
          <w:p w14:paraId="7F4DBA2F" w14:textId="2E10D5D4" w:rsidR="00EE31AE" w:rsidRPr="00EE31AE" w:rsidRDefault="00EE31AE" w:rsidP="00EE31AE">
            <w:pPr>
              <w:tabs>
                <w:tab w:val="right" w:pos="1202"/>
              </w:tabs>
              <w:spacing w:after="0" w:line="240" w:lineRule="exact"/>
              <w:jc w:val="right"/>
              <w:outlineLvl w:val="0"/>
              <w:rPr>
                <w:rFonts w:ascii="Calibri" w:eastAsia="Times New Roman" w:hAnsi="Calibri" w:cs="Arial"/>
                <w:sz w:val="21"/>
                <w:szCs w:val="21"/>
                <w:lang w:val="en-US"/>
              </w:rPr>
            </w:pPr>
            <w:r w:rsidRPr="00EE31AE">
              <w:rPr>
                <w:sz w:val="21"/>
                <w:szCs w:val="21"/>
              </w:rPr>
              <w:t>2</w:t>
            </w:r>
            <w:r w:rsidR="00E17C9F">
              <w:rPr>
                <w:sz w:val="21"/>
                <w:szCs w:val="21"/>
              </w:rPr>
              <w:t>,</w:t>
            </w:r>
            <w:r w:rsidRPr="00EE31AE">
              <w:rPr>
                <w:sz w:val="21"/>
                <w:szCs w:val="21"/>
              </w:rPr>
              <w:t>946</w:t>
            </w:r>
            <w:r w:rsidR="00E17C9F">
              <w:rPr>
                <w:sz w:val="21"/>
                <w:szCs w:val="21"/>
              </w:rPr>
              <w:t>,</w:t>
            </w:r>
            <w:r w:rsidRPr="00EE31AE">
              <w:rPr>
                <w:sz w:val="21"/>
                <w:szCs w:val="21"/>
              </w:rPr>
              <w:t>913</w:t>
            </w:r>
          </w:p>
        </w:tc>
        <w:tc>
          <w:tcPr>
            <w:tcW w:w="741" w:type="pct"/>
            <w:tcBorders>
              <w:top w:val="nil"/>
              <w:left w:val="nil"/>
              <w:bottom w:val="nil"/>
              <w:right w:val="nil"/>
            </w:tcBorders>
            <w:shd w:val="clear" w:color="auto" w:fill="auto"/>
            <w:vAlign w:val="bottom"/>
          </w:tcPr>
          <w:p w14:paraId="63EC952F" w14:textId="64D49A2D" w:rsidR="00EE31AE" w:rsidRPr="00EE31AE" w:rsidRDefault="00EE31AE" w:rsidP="00EE31AE">
            <w:pPr>
              <w:tabs>
                <w:tab w:val="right" w:pos="1202"/>
              </w:tabs>
              <w:spacing w:after="0" w:line="240" w:lineRule="exact"/>
              <w:jc w:val="right"/>
              <w:outlineLvl w:val="0"/>
              <w:rPr>
                <w:rFonts w:ascii="Calibri" w:eastAsia="Times New Roman" w:hAnsi="Calibri" w:cs="Arial"/>
                <w:sz w:val="21"/>
                <w:szCs w:val="21"/>
                <w:lang w:val="en-US"/>
              </w:rPr>
            </w:pPr>
            <w:r w:rsidRPr="00EE31AE">
              <w:rPr>
                <w:sz w:val="21"/>
                <w:szCs w:val="21"/>
              </w:rPr>
              <w:t>1</w:t>
            </w:r>
            <w:r w:rsidR="00E17C9F">
              <w:rPr>
                <w:sz w:val="21"/>
                <w:szCs w:val="21"/>
              </w:rPr>
              <w:t>,</w:t>
            </w:r>
            <w:r w:rsidRPr="00EE31AE">
              <w:rPr>
                <w:sz w:val="21"/>
                <w:szCs w:val="21"/>
              </w:rPr>
              <w:t>209</w:t>
            </w:r>
            <w:r w:rsidR="00E17C9F">
              <w:rPr>
                <w:sz w:val="21"/>
                <w:szCs w:val="21"/>
              </w:rPr>
              <w:t>,</w:t>
            </w:r>
            <w:r w:rsidRPr="00EE31AE">
              <w:rPr>
                <w:sz w:val="21"/>
                <w:szCs w:val="21"/>
              </w:rPr>
              <w:t>179</w:t>
            </w:r>
          </w:p>
        </w:tc>
        <w:tc>
          <w:tcPr>
            <w:tcW w:w="741" w:type="pct"/>
            <w:tcBorders>
              <w:top w:val="nil"/>
              <w:left w:val="nil"/>
              <w:bottom w:val="nil"/>
              <w:right w:val="nil"/>
            </w:tcBorders>
            <w:shd w:val="clear" w:color="auto" w:fill="auto"/>
            <w:vAlign w:val="bottom"/>
          </w:tcPr>
          <w:p w14:paraId="06240C83" w14:textId="21A1109B" w:rsidR="00EE31AE" w:rsidRPr="00EE31AE" w:rsidRDefault="00EE31AE" w:rsidP="00EE31AE">
            <w:pPr>
              <w:tabs>
                <w:tab w:val="right" w:pos="1202"/>
              </w:tabs>
              <w:spacing w:after="0" w:line="240" w:lineRule="exact"/>
              <w:outlineLvl w:val="0"/>
              <w:rPr>
                <w:rFonts w:ascii="Calibri" w:eastAsia="Times New Roman" w:hAnsi="Calibri" w:cs="Arial"/>
                <w:sz w:val="21"/>
                <w:szCs w:val="21"/>
                <w:lang w:val="en-US"/>
              </w:rPr>
            </w:pPr>
            <w:r w:rsidRPr="00EE31AE">
              <w:rPr>
                <w:b/>
                <w:bCs/>
                <w:sz w:val="21"/>
                <w:szCs w:val="21"/>
              </w:rPr>
              <w:t xml:space="preserve"> 18</w:t>
            </w:r>
            <w:r w:rsidR="00E17C9F">
              <w:rPr>
                <w:b/>
                <w:bCs/>
                <w:sz w:val="21"/>
                <w:szCs w:val="21"/>
              </w:rPr>
              <w:t>,</w:t>
            </w:r>
            <w:r w:rsidRPr="00EE31AE">
              <w:rPr>
                <w:b/>
                <w:bCs/>
                <w:sz w:val="21"/>
                <w:szCs w:val="21"/>
              </w:rPr>
              <w:t>872</w:t>
            </w:r>
            <w:r w:rsidR="00E17C9F">
              <w:rPr>
                <w:b/>
                <w:bCs/>
                <w:sz w:val="21"/>
                <w:szCs w:val="21"/>
              </w:rPr>
              <w:t>,</w:t>
            </w:r>
            <w:r w:rsidRPr="00EE31AE">
              <w:rPr>
                <w:b/>
                <w:bCs/>
                <w:sz w:val="21"/>
                <w:szCs w:val="21"/>
              </w:rPr>
              <w:t xml:space="preserve">426 </w:t>
            </w:r>
          </w:p>
        </w:tc>
      </w:tr>
      <w:tr w:rsidR="00EE31AE" w:rsidRPr="00EE31AE" w14:paraId="73F8EACB" w14:textId="77777777" w:rsidTr="00A1123E">
        <w:trPr>
          <w:trHeight w:hRule="exact" w:val="284"/>
        </w:trPr>
        <w:tc>
          <w:tcPr>
            <w:tcW w:w="1295" w:type="pct"/>
            <w:vAlign w:val="bottom"/>
          </w:tcPr>
          <w:p w14:paraId="244559FB" w14:textId="77777777" w:rsidR="00EE31AE" w:rsidRPr="00EE31AE" w:rsidRDefault="00EE31AE" w:rsidP="00EE31AE">
            <w:pPr>
              <w:tabs>
                <w:tab w:val="right" w:pos="1202"/>
              </w:tabs>
              <w:spacing w:after="0" w:line="240" w:lineRule="exact"/>
              <w:outlineLvl w:val="0"/>
              <w:rPr>
                <w:rFonts w:ascii="Calibri" w:eastAsia="Times New Roman" w:hAnsi="Calibri" w:cs="Arial"/>
                <w:sz w:val="21"/>
                <w:szCs w:val="21"/>
                <w:lang w:val="en-US"/>
              </w:rPr>
            </w:pPr>
            <w:bookmarkStart w:id="370" w:name="_Toc4058621"/>
            <w:r w:rsidRPr="00EE31AE">
              <w:rPr>
                <w:rFonts w:ascii="Calibri" w:eastAsia="Times New Roman" w:hAnsi="Calibri" w:cs="Arial"/>
                <w:sz w:val="21"/>
                <w:szCs w:val="21"/>
                <w:lang w:val="en-US"/>
              </w:rPr>
              <w:t>Loss allowances</w:t>
            </w:r>
            <w:bookmarkEnd w:id="370"/>
          </w:p>
        </w:tc>
        <w:tc>
          <w:tcPr>
            <w:tcW w:w="741" w:type="pct"/>
            <w:tcBorders>
              <w:top w:val="nil"/>
              <w:left w:val="nil"/>
              <w:bottom w:val="nil"/>
              <w:right w:val="nil"/>
            </w:tcBorders>
            <w:shd w:val="clear" w:color="auto" w:fill="auto"/>
            <w:vAlign w:val="bottom"/>
          </w:tcPr>
          <w:p w14:paraId="1399BB04" w14:textId="0DE20BBA" w:rsidR="00EE31AE" w:rsidRPr="00EE31AE" w:rsidRDefault="00EE31AE" w:rsidP="00EE31AE">
            <w:pPr>
              <w:tabs>
                <w:tab w:val="right" w:pos="1202"/>
              </w:tabs>
              <w:spacing w:after="0" w:line="240" w:lineRule="exact"/>
              <w:jc w:val="right"/>
              <w:outlineLvl w:val="0"/>
              <w:rPr>
                <w:rFonts w:ascii="Calibri" w:eastAsia="Times New Roman" w:hAnsi="Calibri" w:cs="Arial"/>
                <w:sz w:val="21"/>
                <w:szCs w:val="21"/>
                <w:lang w:val="en-US"/>
              </w:rPr>
            </w:pPr>
            <w:r w:rsidRPr="00EE31AE">
              <w:rPr>
                <w:sz w:val="21"/>
                <w:szCs w:val="21"/>
              </w:rPr>
              <w:t xml:space="preserve"> (379</w:t>
            </w:r>
            <w:r w:rsidR="00E17C9F">
              <w:rPr>
                <w:sz w:val="21"/>
                <w:szCs w:val="21"/>
              </w:rPr>
              <w:t>,</w:t>
            </w:r>
            <w:r w:rsidRPr="00EE31AE">
              <w:rPr>
                <w:sz w:val="21"/>
                <w:szCs w:val="21"/>
              </w:rPr>
              <w:t>697)</w:t>
            </w:r>
          </w:p>
        </w:tc>
        <w:tc>
          <w:tcPr>
            <w:tcW w:w="741" w:type="pct"/>
            <w:tcBorders>
              <w:top w:val="nil"/>
              <w:left w:val="nil"/>
              <w:bottom w:val="nil"/>
              <w:right w:val="nil"/>
            </w:tcBorders>
            <w:shd w:val="clear" w:color="auto" w:fill="auto"/>
            <w:vAlign w:val="bottom"/>
          </w:tcPr>
          <w:p w14:paraId="0BA85136" w14:textId="7E70CE6C" w:rsidR="00EE31AE" w:rsidRPr="00EE31AE" w:rsidRDefault="00EE31AE" w:rsidP="00EE31AE">
            <w:pPr>
              <w:tabs>
                <w:tab w:val="right" w:pos="1202"/>
              </w:tabs>
              <w:spacing w:after="0" w:line="240" w:lineRule="exact"/>
              <w:jc w:val="right"/>
              <w:outlineLvl w:val="0"/>
              <w:rPr>
                <w:rFonts w:ascii="Calibri" w:eastAsia="Times New Roman" w:hAnsi="Calibri" w:cs="Arial"/>
                <w:sz w:val="21"/>
                <w:szCs w:val="21"/>
                <w:lang w:val="en-US"/>
              </w:rPr>
            </w:pPr>
            <w:r w:rsidRPr="00EE31AE">
              <w:rPr>
                <w:sz w:val="21"/>
                <w:szCs w:val="21"/>
              </w:rPr>
              <w:t xml:space="preserve"> (551</w:t>
            </w:r>
            <w:r w:rsidR="00E17C9F">
              <w:rPr>
                <w:sz w:val="21"/>
                <w:szCs w:val="21"/>
              </w:rPr>
              <w:t>,</w:t>
            </w:r>
            <w:r w:rsidRPr="00EE31AE">
              <w:rPr>
                <w:sz w:val="21"/>
                <w:szCs w:val="21"/>
              </w:rPr>
              <w:t>655)</w:t>
            </w:r>
          </w:p>
        </w:tc>
        <w:tc>
          <w:tcPr>
            <w:tcW w:w="741" w:type="pct"/>
            <w:tcBorders>
              <w:top w:val="nil"/>
              <w:left w:val="nil"/>
              <w:bottom w:val="nil"/>
              <w:right w:val="nil"/>
            </w:tcBorders>
            <w:shd w:val="clear" w:color="auto" w:fill="auto"/>
            <w:vAlign w:val="bottom"/>
          </w:tcPr>
          <w:p w14:paraId="53404667" w14:textId="7472237A" w:rsidR="00EE31AE" w:rsidRPr="00EE31AE" w:rsidRDefault="00EE31AE" w:rsidP="00EE31AE">
            <w:pPr>
              <w:tabs>
                <w:tab w:val="right" w:pos="1202"/>
              </w:tabs>
              <w:spacing w:after="0" w:line="240" w:lineRule="exact"/>
              <w:outlineLvl w:val="0"/>
              <w:rPr>
                <w:rFonts w:ascii="Calibri" w:eastAsia="Times New Roman" w:hAnsi="Calibri" w:cs="Arial"/>
                <w:sz w:val="21"/>
                <w:szCs w:val="21"/>
                <w:lang w:val="en-US"/>
              </w:rPr>
            </w:pPr>
            <w:r w:rsidRPr="00EE31AE">
              <w:rPr>
                <w:sz w:val="21"/>
                <w:szCs w:val="21"/>
              </w:rPr>
              <w:t xml:space="preserve"> (2</w:t>
            </w:r>
            <w:r w:rsidR="00E17C9F">
              <w:rPr>
                <w:sz w:val="21"/>
                <w:szCs w:val="21"/>
              </w:rPr>
              <w:t>,</w:t>
            </w:r>
            <w:r w:rsidRPr="00EE31AE">
              <w:rPr>
                <w:sz w:val="21"/>
                <w:szCs w:val="21"/>
              </w:rPr>
              <w:t>001</w:t>
            </w:r>
            <w:r w:rsidR="00E17C9F">
              <w:rPr>
                <w:sz w:val="21"/>
                <w:szCs w:val="21"/>
              </w:rPr>
              <w:t>,</w:t>
            </w:r>
            <w:r w:rsidRPr="00EE31AE">
              <w:rPr>
                <w:sz w:val="21"/>
                <w:szCs w:val="21"/>
              </w:rPr>
              <w:t>445)</w:t>
            </w:r>
          </w:p>
        </w:tc>
        <w:tc>
          <w:tcPr>
            <w:tcW w:w="741" w:type="pct"/>
            <w:tcBorders>
              <w:top w:val="nil"/>
              <w:left w:val="nil"/>
              <w:bottom w:val="nil"/>
              <w:right w:val="nil"/>
            </w:tcBorders>
            <w:shd w:val="clear" w:color="auto" w:fill="auto"/>
            <w:vAlign w:val="bottom"/>
          </w:tcPr>
          <w:p w14:paraId="63D9C9B0" w14:textId="67D67288" w:rsidR="00EE31AE" w:rsidRPr="00EE31AE" w:rsidRDefault="00EE31AE" w:rsidP="00EE31AE">
            <w:pPr>
              <w:tabs>
                <w:tab w:val="right" w:pos="1202"/>
              </w:tabs>
              <w:spacing w:after="0" w:line="240" w:lineRule="exact"/>
              <w:jc w:val="right"/>
              <w:outlineLvl w:val="0"/>
              <w:rPr>
                <w:rFonts w:ascii="Calibri" w:eastAsia="Times New Roman" w:hAnsi="Calibri" w:cs="Arial"/>
                <w:sz w:val="21"/>
                <w:szCs w:val="21"/>
                <w:lang w:val="en-US"/>
              </w:rPr>
            </w:pPr>
            <w:r w:rsidRPr="00EE31AE">
              <w:rPr>
                <w:sz w:val="21"/>
                <w:szCs w:val="21"/>
              </w:rPr>
              <w:t xml:space="preserve"> (213</w:t>
            </w:r>
            <w:r w:rsidR="00E17C9F">
              <w:rPr>
                <w:sz w:val="21"/>
                <w:szCs w:val="21"/>
              </w:rPr>
              <w:t>,</w:t>
            </w:r>
            <w:r w:rsidRPr="00EE31AE">
              <w:rPr>
                <w:sz w:val="21"/>
                <w:szCs w:val="21"/>
              </w:rPr>
              <w:t>196)</w:t>
            </w:r>
          </w:p>
        </w:tc>
        <w:tc>
          <w:tcPr>
            <w:tcW w:w="741" w:type="pct"/>
            <w:tcBorders>
              <w:top w:val="nil"/>
              <w:left w:val="nil"/>
              <w:bottom w:val="nil"/>
              <w:right w:val="nil"/>
            </w:tcBorders>
            <w:shd w:val="clear" w:color="auto" w:fill="auto"/>
            <w:vAlign w:val="bottom"/>
          </w:tcPr>
          <w:p w14:paraId="351B50D6" w14:textId="79E15DB3" w:rsidR="00EE31AE" w:rsidRPr="00EE31AE" w:rsidRDefault="00EE31AE" w:rsidP="00EE31AE">
            <w:pPr>
              <w:tabs>
                <w:tab w:val="right" w:pos="1202"/>
              </w:tabs>
              <w:spacing w:after="0" w:line="240" w:lineRule="exact"/>
              <w:outlineLvl w:val="0"/>
              <w:rPr>
                <w:rFonts w:ascii="Calibri" w:eastAsia="Times New Roman" w:hAnsi="Calibri" w:cs="Arial"/>
                <w:sz w:val="21"/>
                <w:szCs w:val="21"/>
                <w:lang w:val="en-US"/>
              </w:rPr>
            </w:pPr>
            <w:r w:rsidRPr="00EE31AE">
              <w:rPr>
                <w:b/>
                <w:bCs/>
                <w:sz w:val="21"/>
                <w:szCs w:val="21"/>
              </w:rPr>
              <w:t xml:space="preserve"> (3</w:t>
            </w:r>
            <w:r w:rsidR="00E17C9F">
              <w:rPr>
                <w:b/>
                <w:bCs/>
                <w:sz w:val="21"/>
                <w:szCs w:val="21"/>
              </w:rPr>
              <w:t>,</w:t>
            </w:r>
            <w:r w:rsidRPr="00EE31AE">
              <w:rPr>
                <w:b/>
                <w:bCs/>
                <w:sz w:val="21"/>
                <w:szCs w:val="21"/>
              </w:rPr>
              <w:t>145</w:t>
            </w:r>
            <w:r w:rsidR="00E17C9F">
              <w:rPr>
                <w:b/>
                <w:bCs/>
                <w:sz w:val="21"/>
                <w:szCs w:val="21"/>
              </w:rPr>
              <w:t>,</w:t>
            </w:r>
            <w:r w:rsidRPr="00EE31AE">
              <w:rPr>
                <w:b/>
                <w:bCs/>
                <w:sz w:val="21"/>
                <w:szCs w:val="21"/>
              </w:rPr>
              <w:t>993)</w:t>
            </w:r>
          </w:p>
        </w:tc>
      </w:tr>
      <w:tr w:rsidR="00EE31AE" w:rsidRPr="00EE31AE" w14:paraId="3D9502AB" w14:textId="77777777" w:rsidTr="00D873D7">
        <w:trPr>
          <w:trHeight w:val="564"/>
        </w:trPr>
        <w:tc>
          <w:tcPr>
            <w:tcW w:w="1295" w:type="pct"/>
            <w:vAlign w:val="bottom"/>
          </w:tcPr>
          <w:p w14:paraId="2F5471C5" w14:textId="709A455E" w:rsidR="00EE31AE" w:rsidRPr="00EE31AE" w:rsidRDefault="00EE31AE" w:rsidP="00EE31AE">
            <w:pPr>
              <w:tabs>
                <w:tab w:val="right" w:pos="1202"/>
              </w:tabs>
              <w:spacing w:after="0" w:line="240" w:lineRule="exact"/>
              <w:outlineLvl w:val="0"/>
              <w:rPr>
                <w:rFonts w:ascii="Calibri" w:eastAsia="Times New Roman" w:hAnsi="Calibri" w:cs="Arial"/>
                <w:b/>
                <w:iCs/>
                <w:sz w:val="21"/>
                <w:szCs w:val="21"/>
                <w:lang w:val="en-US"/>
              </w:rPr>
            </w:pPr>
            <w:bookmarkStart w:id="371" w:name="_Toc4058627"/>
            <w:r w:rsidRPr="00EE31AE">
              <w:rPr>
                <w:rFonts w:ascii="Calibri" w:eastAsia="Times New Roman" w:hAnsi="Calibri" w:cs="Arial"/>
                <w:b/>
                <w:iCs/>
                <w:sz w:val="21"/>
                <w:szCs w:val="21"/>
                <w:lang w:val="en-US"/>
              </w:rPr>
              <w:t xml:space="preserve">Balance as of </w:t>
            </w:r>
            <w:bookmarkEnd w:id="371"/>
            <w:r w:rsidRPr="00EE31AE">
              <w:rPr>
                <w:rFonts w:ascii="Calibri" w:eastAsia="Times New Roman" w:hAnsi="Calibri" w:cs="Arial"/>
                <w:b/>
                <w:iCs/>
                <w:sz w:val="21"/>
                <w:szCs w:val="21"/>
                <w:lang w:val="en-US"/>
              </w:rPr>
              <w:t>31 March 2022</w:t>
            </w:r>
          </w:p>
        </w:tc>
        <w:tc>
          <w:tcPr>
            <w:tcW w:w="741" w:type="pct"/>
            <w:tcBorders>
              <w:top w:val="single" w:sz="8" w:space="0" w:color="auto"/>
              <w:left w:val="nil"/>
              <w:bottom w:val="single" w:sz="12" w:space="0" w:color="000000"/>
              <w:right w:val="nil"/>
            </w:tcBorders>
            <w:shd w:val="clear" w:color="auto" w:fill="auto"/>
            <w:vAlign w:val="bottom"/>
          </w:tcPr>
          <w:p w14:paraId="559D6E81" w14:textId="2456C722" w:rsidR="00EE31AE" w:rsidRPr="00EE31AE" w:rsidRDefault="00EE31AE" w:rsidP="00EE31AE">
            <w:pPr>
              <w:tabs>
                <w:tab w:val="right" w:pos="1202"/>
              </w:tabs>
              <w:spacing w:after="0" w:line="240" w:lineRule="exact"/>
              <w:jc w:val="right"/>
              <w:outlineLvl w:val="0"/>
              <w:rPr>
                <w:rFonts w:ascii="Calibri" w:eastAsia="Times New Roman" w:hAnsi="Calibri" w:cs="Arial"/>
                <w:sz w:val="21"/>
                <w:szCs w:val="21"/>
                <w:lang w:val="en-US"/>
              </w:rPr>
            </w:pPr>
            <w:r w:rsidRPr="00EE31AE">
              <w:rPr>
                <w:b/>
                <w:bCs/>
                <w:sz w:val="21"/>
                <w:szCs w:val="21"/>
              </w:rPr>
              <w:t xml:space="preserve"> 12</w:t>
            </w:r>
            <w:r w:rsidR="00E17C9F">
              <w:rPr>
                <w:b/>
                <w:bCs/>
                <w:sz w:val="21"/>
                <w:szCs w:val="21"/>
              </w:rPr>
              <w:t>,</w:t>
            </w:r>
            <w:r w:rsidRPr="00EE31AE">
              <w:rPr>
                <w:b/>
                <w:bCs/>
                <w:sz w:val="21"/>
                <w:szCs w:val="21"/>
              </w:rPr>
              <w:t>898</w:t>
            </w:r>
            <w:r w:rsidR="00E17C9F">
              <w:rPr>
                <w:b/>
                <w:bCs/>
                <w:sz w:val="21"/>
                <w:szCs w:val="21"/>
              </w:rPr>
              <w:t>,</w:t>
            </w:r>
            <w:r w:rsidRPr="00EE31AE">
              <w:rPr>
                <w:b/>
                <w:bCs/>
                <w:sz w:val="21"/>
                <w:szCs w:val="21"/>
              </w:rPr>
              <w:t xml:space="preserve">940 </w:t>
            </w:r>
          </w:p>
        </w:tc>
        <w:tc>
          <w:tcPr>
            <w:tcW w:w="741" w:type="pct"/>
            <w:tcBorders>
              <w:top w:val="single" w:sz="8" w:space="0" w:color="auto"/>
              <w:left w:val="nil"/>
              <w:bottom w:val="single" w:sz="12" w:space="0" w:color="000000"/>
              <w:right w:val="nil"/>
            </w:tcBorders>
            <w:shd w:val="clear" w:color="auto" w:fill="auto"/>
            <w:vAlign w:val="bottom"/>
          </w:tcPr>
          <w:p w14:paraId="13A51FD6" w14:textId="2C5E94CD" w:rsidR="00EE31AE" w:rsidRPr="00EE31AE" w:rsidRDefault="00EE31AE" w:rsidP="00EE31AE">
            <w:pPr>
              <w:tabs>
                <w:tab w:val="right" w:pos="1202"/>
              </w:tabs>
              <w:spacing w:after="0" w:line="240" w:lineRule="exact"/>
              <w:jc w:val="right"/>
              <w:outlineLvl w:val="0"/>
              <w:rPr>
                <w:rFonts w:ascii="Calibri" w:eastAsia="Times New Roman" w:hAnsi="Calibri" w:cs="Arial"/>
                <w:sz w:val="21"/>
                <w:szCs w:val="21"/>
                <w:lang w:val="en-US"/>
              </w:rPr>
            </w:pPr>
            <w:r w:rsidRPr="00EE31AE">
              <w:rPr>
                <w:b/>
                <w:bCs/>
                <w:sz w:val="21"/>
                <w:szCs w:val="21"/>
              </w:rPr>
              <w:t xml:space="preserve"> 886</w:t>
            </w:r>
            <w:r w:rsidR="00E17C9F">
              <w:rPr>
                <w:b/>
                <w:bCs/>
                <w:sz w:val="21"/>
                <w:szCs w:val="21"/>
              </w:rPr>
              <w:t>,</w:t>
            </w:r>
            <w:r w:rsidRPr="00EE31AE">
              <w:rPr>
                <w:b/>
                <w:bCs/>
                <w:sz w:val="21"/>
                <w:szCs w:val="21"/>
              </w:rPr>
              <w:t xml:space="preserve">042 </w:t>
            </w:r>
          </w:p>
        </w:tc>
        <w:tc>
          <w:tcPr>
            <w:tcW w:w="741" w:type="pct"/>
            <w:tcBorders>
              <w:top w:val="single" w:sz="8" w:space="0" w:color="auto"/>
              <w:left w:val="nil"/>
              <w:bottom w:val="single" w:sz="12" w:space="0" w:color="000000"/>
              <w:right w:val="nil"/>
            </w:tcBorders>
            <w:shd w:val="clear" w:color="auto" w:fill="auto"/>
            <w:vAlign w:val="bottom"/>
          </w:tcPr>
          <w:p w14:paraId="40C30778" w14:textId="06AC11E9" w:rsidR="00EE31AE" w:rsidRPr="00EE31AE" w:rsidRDefault="00EE31AE" w:rsidP="00EE31AE">
            <w:pPr>
              <w:tabs>
                <w:tab w:val="right" w:pos="1202"/>
              </w:tabs>
              <w:spacing w:after="0" w:line="240" w:lineRule="exact"/>
              <w:jc w:val="right"/>
              <w:outlineLvl w:val="0"/>
              <w:rPr>
                <w:rFonts w:ascii="Calibri" w:eastAsia="Times New Roman" w:hAnsi="Calibri" w:cs="Arial"/>
                <w:sz w:val="21"/>
                <w:szCs w:val="21"/>
                <w:lang w:val="en-US"/>
              </w:rPr>
            </w:pPr>
            <w:r w:rsidRPr="00EE31AE">
              <w:rPr>
                <w:b/>
                <w:bCs/>
                <w:sz w:val="21"/>
                <w:szCs w:val="21"/>
              </w:rPr>
              <w:t xml:space="preserve"> 945</w:t>
            </w:r>
            <w:r w:rsidR="00E17C9F">
              <w:rPr>
                <w:b/>
                <w:bCs/>
                <w:sz w:val="21"/>
                <w:szCs w:val="21"/>
              </w:rPr>
              <w:t>,</w:t>
            </w:r>
            <w:r w:rsidRPr="00EE31AE">
              <w:rPr>
                <w:b/>
                <w:bCs/>
                <w:sz w:val="21"/>
                <w:szCs w:val="21"/>
              </w:rPr>
              <w:t xml:space="preserve">468 </w:t>
            </w:r>
          </w:p>
        </w:tc>
        <w:tc>
          <w:tcPr>
            <w:tcW w:w="741" w:type="pct"/>
            <w:tcBorders>
              <w:top w:val="single" w:sz="8" w:space="0" w:color="auto"/>
              <w:left w:val="nil"/>
              <w:bottom w:val="single" w:sz="12" w:space="0" w:color="000000"/>
              <w:right w:val="nil"/>
            </w:tcBorders>
            <w:shd w:val="clear" w:color="auto" w:fill="auto"/>
            <w:vAlign w:val="bottom"/>
          </w:tcPr>
          <w:p w14:paraId="15025F50" w14:textId="031BE30E" w:rsidR="00EE31AE" w:rsidRPr="00EE31AE" w:rsidRDefault="00EE31AE" w:rsidP="00EE31AE">
            <w:pPr>
              <w:tabs>
                <w:tab w:val="right" w:pos="1202"/>
              </w:tabs>
              <w:spacing w:after="0" w:line="240" w:lineRule="exact"/>
              <w:jc w:val="right"/>
              <w:outlineLvl w:val="0"/>
              <w:rPr>
                <w:rFonts w:ascii="Calibri" w:eastAsia="Times New Roman" w:hAnsi="Calibri" w:cs="Arial"/>
                <w:sz w:val="21"/>
                <w:szCs w:val="21"/>
                <w:lang w:val="en-US"/>
              </w:rPr>
            </w:pPr>
            <w:r w:rsidRPr="00EE31AE">
              <w:rPr>
                <w:b/>
                <w:bCs/>
                <w:sz w:val="21"/>
                <w:szCs w:val="21"/>
              </w:rPr>
              <w:t xml:space="preserve"> 995</w:t>
            </w:r>
            <w:r w:rsidR="00E17C9F">
              <w:rPr>
                <w:b/>
                <w:bCs/>
                <w:sz w:val="21"/>
                <w:szCs w:val="21"/>
              </w:rPr>
              <w:t>,</w:t>
            </w:r>
            <w:r w:rsidRPr="00EE31AE">
              <w:rPr>
                <w:b/>
                <w:bCs/>
                <w:sz w:val="21"/>
                <w:szCs w:val="21"/>
              </w:rPr>
              <w:t xml:space="preserve">983 </w:t>
            </w:r>
          </w:p>
        </w:tc>
        <w:tc>
          <w:tcPr>
            <w:tcW w:w="741" w:type="pct"/>
            <w:tcBorders>
              <w:top w:val="single" w:sz="8" w:space="0" w:color="auto"/>
              <w:left w:val="nil"/>
              <w:bottom w:val="single" w:sz="12" w:space="0" w:color="000000"/>
              <w:right w:val="nil"/>
            </w:tcBorders>
            <w:shd w:val="clear" w:color="auto" w:fill="auto"/>
            <w:vAlign w:val="bottom"/>
          </w:tcPr>
          <w:p w14:paraId="170F35F0" w14:textId="70046557" w:rsidR="00EE31AE" w:rsidRPr="00EE31AE" w:rsidRDefault="00EE31AE" w:rsidP="00EE31AE">
            <w:pPr>
              <w:tabs>
                <w:tab w:val="right" w:pos="1202"/>
              </w:tabs>
              <w:spacing w:after="0" w:line="240" w:lineRule="exact"/>
              <w:jc w:val="right"/>
              <w:outlineLvl w:val="0"/>
              <w:rPr>
                <w:rFonts w:ascii="Calibri" w:eastAsia="Times New Roman" w:hAnsi="Calibri" w:cs="Arial"/>
                <w:sz w:val="21"/>
                <w:szCs w:val="21"/>
                <w:lang w:val="en-US"/>
              </w:rPr>
            </w:pPr>
            <w:r w:rsidRPr="00EE31AE">
              <w:rPr>
                <w:b/>
                <w:bCs/>
                <w:sz w:val="21"/>
                <w:szCs w:val="21"/>
              </w:rPr>
              <w:t xml:space="preserve"> 15</w:t>
            </w:r>
            <w:r w:rsidR="00E17C9F">
              <w:rPr>
                <w:b/>
                <w:bCs/>
                <w:sz w:val="21"/>
                <w:szCs w:val="21"/>
              </w:rPr>
              <w:t>,</w:t>
            </w:r>
            <w:r w:rsidRPr="00EE31AE">
              <w:rPr>
                <w:b/>
                <w:bCs/>
                <w:sz w:val="21"/>
                <w:szCs w:val="21"/>
              </w:rPr>
              <w:t>726</w:t>
            </w:r>
            <w:r w:rsidR="00E17C9F">
              <w:rPr>
                <w:b/>
                <w:bCs/>
                <w:sz w:val="21"/>
                <w:szCs w:val="21"/>
              </w:rPr>
              <w:t>,</w:t>
            </w:r>
            <w:r w:rsidRPr="00EE31AE">
              <w:rPr>
                <w:b/>
                <w:bCs/>
                <w:sz w:val="21"/>
                <w:szCs w:val="21"/>
              </w:rPr>
              <w:t xml:space="preserve">433 </w:t>
            </w:r>
          </w:p>
        </w:tc>
      </w:tr>
    </w:tbl>
    <w:p w14:paraId="043FD5D5" w14:textId="1AB68F18" w:rsidR="00D873D7" w:rsidRDefault="00D873D7" w:rsidP="00FB32CA">
      <w:pPr>
        <w:autoSpaceDE w:val="0"/>
        <w:autoSpaceDN w:val="0"/>
        <w:adjustRightInd w:val="0"/>
        <w:spacing w:after="0" w:line="240" w:lineRule="auto"/>
        <w:jc w:val="both"/>
        <w:rPr>
          <w:noProof/>
          <w:color w:val="000000" w:themeColor="text1"/>
          <w:lang w:val="en-US"/>
        </w:rPr>
      </w:pPr>
    </w:p>
    <w:p w14:paraId="689C42B7" w14:textId="77777777" w:rsidR="000129B1" w:rsidRPr="00537128" w:rsidRDefault="000129B1" w:rsidP="00FB32CA">
      <w:pPr>
        <w:autoSpaceDE w:val="0"/>
        <w:autoSpaceDN w:val="0"/>
        <w:adjustRightInd w:val="0"/>
        <w:spacing w:after="0" w:line="240" w:lineRule="auto"/>
        <w:jc w:val="both"/>
        <w:rPr>
          <w:noProof/>
          <w:color w:val="000000" w:themeColor="text1"/>
          <w:lang w:val="en-US"/>
        </w:rPr>
      </w:pPr>
    </w:p>
    <w:tbl>
      <w:tblPr>
        <w:tblW w:w="4681" w:type="pct"/>
        <w:tblInd w:w="426" w:type="dxa"/>
        <w:tblLayout w:type="fixed"/>
        <w:tblLook w:val="0000" w:firstRow="0" w:lastRow="0" w:firstColumn="0" w:lastColumn="0" w:noHBand="0" w:noVBand="0"/>
      </w:tblPr>
      <w:tblGrid>
        <w:gridCol w:w="2199"/>
        <w:gridCol w:w="1258"/>
        <w:gridCol w:w="1259"/>
        <w:gridCol w:w="1259"/>
        <w:gridCol w:w="1259"/>
        <w:gridCol w:w="1259"/>
      </w:tblGrid>
      <w:tr w:rsidR="00D873D7" w:rsidRPr="000129B1" w14:paraId="5629800A" w14:textId="77777777" w:rsidTr="00D873D7">
        <w:trPr>
          <w:trHeight w:val="227"/>
        </w:trPr>
        <w:tc>
          <w:tcPr>
            <w:tcW w:w="1295" w:type="pct"/>
            <w:vAlign w:val="bottom"/>
          </w:tcPr>
          <w:p w14:paraId="67C94759" w14:textId="11F1B148" w:rsidR="00D873D7" w:rsidRPr="000129B1" w:rsidRDefault="00D873D7" w:rsidP="00D873D7">
            <w:pPr>
              <w:tabs>
                <w:tab w:val="left" w:pos="-720"/>
              </w:tabs>
              <w:suppressAutoHyphens/>
              <w:spacing w:after="0" w:line="220" w:lineRule="exact"/>
              <w:rPr>
                <w:rFonts w:ascii="Calibri" w:eastAsia="Times New Roman" w:hAnsi="Calibri" w:cs="Arial"/>
                <w:b/>
                <w:sz w:val="21"/>
                <w:szCs w:val="21"/>
                <w:lang w:val="en-US"/>
              </w:rPr>
            </w:pPr>
            <w:r w:rsidRPr="000129B1">
              <w:rPr>
                <w:rFonts w:ascii="Calibri" w:eastAsia="Times New Roman" w:hAnsi="Calibri" w:cs="Arial"/>
                <w:b/>
                <w:sz w:val="21"/>
                <w:szCs w:val="21"/>
                <w:lang w:val="en-US"/>
              </w:rPr>
              <w:t>31 December 202</w:t>
            </w:r>
            <w:r w:rsidR="00477182" w:rsidRPr="000129B1">
              <w:rPr>
                <w:rFonts w:ascii="Calibri" w:eastAsia="Times New Roman" w:hAnsi="Calibri" w:cs="Arial"/>
                <w:b/>
                <w:sz w:val="21"/>
                <w:szCs w:val="21"/>
                <w:lang w:val="en-US"/>
              </w:rPr>
              <w:t>1</w:t>
            </w:r>
          </w:p>
        </w:tc>
        <w:tc>
          <w:tcPr>
            <w:tcW w:w="741" w:type="pct"/>
            <w:vAlign w:val="bottom"/>
          </w:tcPr>
          <w:p w14:paraId="2FC308A9" w14:textId="77777777" w:rsidR="00D873D7" w:rsidRPr="000129B1" w:rsidRDefault="00D873D7" w:rsidP="00D873D7">
            <w:pPr>
              <w:tabs>
                <w:tab w:val="right" w:pos="1202"/>
              </w:tabs>
              <w:spacing w:after="0" w:line="240" w:lineRule="atLeast"/>
              <w:jc w:val="right"/>
              <w:outlineLvl w:val="0"/>
              <w:rPr>
                <w:rFonts w:ascii="Calibri" w:eastAsia="Times New Roman" w:hAnsi="Calibri" w:cs="Arial"/>
                <w:b/>
                <w:sz w:val="21"/>
                <w:szCs w:val="21"/>
                <w:lang w:val="en-US"/>
              </w:rPr>
            </w:pPr>
          </w:p>
        </w:tc>
        <w:tc>
          <w:tcPr>
            <w:tcW w:w="741" w:type="pct"/>
            <w:shd w:val="clear" w:color="auto" w:fill="auto"/>
            <w:vAlign w:val="bottom"/>
          </w:tcPr>
          <w:p w14:paraId="68300160" w14:textId="77777777" w:rsidR="00D873D7" w:rsidRPr="000129B1" w:rsidRDefault="00D873D7" w:rsidP="00D873D7">
            <w:pPr>
              <w:tabs>
                <w:tab w:val="right" w:pos="1202"/>
              </w:tabs>
              <w:spacing w:after="0" w:line="240" w:lineRule="atLeast"/>
              <w:jc w:val="right"/>
              <w:outlineLvl w:val="0"/>
              <w:rPr>
                <w:rFonts w:ascii="Calibri" w:eastAsia="Times New Roman" w:hAnsi="Calibri" w:cs="Arial"/>
                <w:b/>
                <w:sz w:val="21"/>
                <w:szCs w:val="21"/>
                <w:lang w:val="en-US"/>
              </w:rPr>
            </w:pPr>
          </w:p>
        </w:tc>
        <w:tc>
          <w:tcPr>
            <w:tcW w:w="741" w:type="pct"/>
            <w:shd w:val="clear" w:color="auto" w:fill="auto"/>
            <w:vAlign w:val="bottom"/>
          </w:tcPr>
          <w:p w14:paraId="14B1B2BE" w14:textId="77777777" w:rsidR="00D873D7" w:rsidRPr="000129B1" w:rsidRDefault="00D873D7" w:rsidP="00D873D7">
            <w:pPr>
              <w:tabs>
                <w:tab w:val="right" w:pos="1202"/>
              </w:tabs>
              <w:spacing w:after="0" w:line="220" w:lineRule="exact"/>
              <w:jc w:val="right"/>
              <w:outlineLvl w:val="0"/>
              <w:rPr>
                <w:rFonts w:ascii="Calibri" w:eastAsia="Times New Roman" w:hAnsi="Calibri" w:cs="Arial"/>
                <w:b/>
                <w:sz w:val="21"/>
                <w:szCs w:val="21"/>
                <w:lang w:val="en-US"/>
              </w:rPr>
            </w:pPr>
          </w:p>
        </w:tc>
        <w:tc>
          <w:tcPr>
            <w:tcW w:w="1482" w:type="pct"/>
            <w:gridSpan w:val="2"/>
            <w:vAlign w:val="bottom"/>
          </w:tcPr>
          <w:p w14:paraId="0022E7F6" w14:textId="77777777" w:rsidR="00D873D7" w:rsidRPr="000129B1" w:rsidRDefault="00D873D7" w:rsidP="00D873D7">
            <w:pPr>
              <w:tabs>
                <w:tab w:val="right" w:pos="1202"/>
              </w:tabs>
              <w:spacing w:after="0" w:line="240" w:lineRule="atLeast"/>
              <w:jc w:val="right"/>
              <w:outlineLvl w:val="0"/>
              <w:rPr>
                <w:rFonts w:ascii="Calibri" w:eastAsia="Times New Roman" w:hAnsi="Calibri" w:cs="Arial"/>
                <w:b/>
                <w:sz w:val="21"/>
                <w:szCs w:val="21"/>
                <w:lang w:val="en-US"/>
              </w:rPr>
            </w:pPr>
            <w:r w:rsidRPr="000129B1">
              <w:rPr>
                <w:rFonts w:ascii="Calibri" w:eastAsia="Times New Roman" w:hAnsi="Calibri" w:cs="Arial"/>
                <w:b/>
                <w:sz w:val="21"/>
                <w:szCs w:val="21"/>
                <w:lang w:val="en-US"/>
              </w:rPr>
              <w:t>Group and Bank</w:t>
            </w:r>
          </w:p>
        </w:tc>
      </w:tr>
      <w:tr w:rsidR="00D873D7" w:rsidRPr="000129B1" w14:paraId="74B4BFAB" w14:textId="77777777" w:rsidTr="00D873D7">
        <w:trPr>
          <w:trHeight w:val="227"/>
        </w:trPr>
        <w:tc>
          <w:tcPr>
            <w:tcW w:w="1295" w:type="pct"/>
            <w:vAlign w:val="bottom"/>
          </w:tcPr>
          <w:p w14:paraId="1121D7E7" w14:textId="77777777" w:rsidR="00D873D7" w:rsidRPr="000129B1" w:rsidRDefault="00D873D7" w:rsidP="00D873D7">
            <w:pPr>
              <w:tabs>
                <w:tab w:val="left" w:pos="-720"/>
              </w:tabs>
              <w:suppressAutoHyphens/>
              <w:spacing w:after="0" w:line="220" w:lineRule="exact"/>
              <w:rPr>
                <w:rFonts w:ascii="Calibri" w:eastAsia="Times New Roman" w:hAnsi="Calibri" w:cs="Arial"/>
                <w:sz w:val="21"/>
                <w:szCs w:val="21"/>
                <w:lang w:val="en-US"/>
              </w:rPr>
            </w:pPr>
          </w:p>
        </w:tc>
        <w:tc>
          <w:tcPr>
            <w:tcW w:w="741" w:type="pct"/>
            <w:vAlign w:val="bottom"/>
          </w:tcPr>
          <w:p w14:paraId="5A6479BB" w14:textId="77777777" w:rsidR="00D873D7" w:rsidRPr="000129B1" w:rsidRDefault="00D873D7" w:rsidP="00D873D7">
            <w:pPr>
              <w:tabs>
                <w:tab w:val="right" w:pos="1202"/>
              </w:tabs>
              <w:spacing w:after="0" w:line="220" w:lineRule="exact"/>
              <w:jc w:val="right"/>
              <w:outlineLvl w:val="0"/>
              <w:rPr>
                <w:rFonts w:ascii="Calibri" w:eastAsia="Times New Roman" w:hAnsi="Calibri" w:cs="Arial"/>
                <w:b/>
                <w:sz w:val="21"/>
                <w:szCs w:val="21"/>
                <w:lang w:val="en-US"/>
              </w:rPr>
            </w:pPr>
            <w:r w:rsidRPr="000129B1">
              <w:rPr>
                <w:rFonts w:ascii="Calibri" w:eastAsia="Times New Roman" w:hAnsi="Calibri" w:cs="Arial"/>
                <w:b/>
                <w:sz w:val="21"/>
                <w:szCs w:val="21"/>
                <w:lang w:val="en-US"/>
              </w:rPr>
              <w:t>Stage 1</w:t>
            </w:r>
          </w:p>
        </w:tc>
        <w:tc>
          <w:tcPr>
            <w:tcW w:w="741" w:type="pct"/>
            <w:vAlign w:val="bottom"/>
          </w:tcPr>
          <w:p w14:paraId="5B9ED958" w14:textId="77777777" w:rsidR="00D873D7" w:rsidRPr="000129B1" w:rsidRDefault="00D873D7" w:rsidP="00D873D7">
            <w:pPr>
              <w:tabs>
                <w:tab w:val="right" w:pos="1202"/>
              </w:tabs>
              <w:spacing w:after="0" w:line="220" w:lineRule="exact"/>
              <w:jc w:val="right"/>
              <w:outlineLvl w:val="0"/>
              <w:rPr>
                <w:rFonts w:ascii="Calibri" w:eastAsia="Times New Roman" w:hAnsi="Calibri" w:cs="Arial"/>
                <w:b/>
                <w:sz w:val="21"/>
                <w:szCs w:val="21"/>
                <w:lang w:val="en-US"/>
              </w:rPr>
            </w:pPr>
            <w:r w:rsidRPr="000129B1">
              <w:rPr>
                <w:rFonts w:ascii="Calibri" w:eastAsia="Times New Roman" w:hAnsi="Calibri" w:cs="Arial"/>
                <w:b/>
                <w:sz w:val="21"/>
                <w:szCs w:val="21"/>
                <w:lang w:val="en-US"/>
              </w:rPr>
              <w:t>Stage 2</w:t>
            </w:r>
          </w:p>
        </w:tc>
        <w:tc>
          <w:tcPr>
            <w:tcW w:w="741" w:type="pct"/>
            <w:vAlign w:val="bottom"/>
          </w:tcPr>
          <w:p w14:paraId="7804D9B6" w14:textId="77777777" w:rsidR="00D873D7" w:rsidRPr="000129B1" w:rsidRDefault="00D873D7" w:rsidP="00D873D7">
            <w:pPr>
              <w:tabs>
                <w:tab w:val="right" w:pos="1202"/>
              </w:tabs>
              <w:spacing w:after="0" w:line="220" w:lineRule="exact"/>
              <w:jc w:val="right"/>
              <w:outlineLvl w:val="0"/>
              <w:rPr>
                <w:rFonts w:ascii="Calibri" w:eastAsia="Times New Roman" w:hAnsi="Calibri" w:cs="Arial"/>
                <w:b/>
                <w:sz w:val="21"/>
                <w:szCs w:val="21"/>
                <w:lang w:val="en-US"/>
              </w:rPr>
            </w:pPr>
            <w:r w:rsidRPr="000129B1">
              <w:rPr>
                <w:rFonts w:ascii="Calibri" w:eastAsia="Times New Roman" w:hAnsi="Calibri" w:cs="Arial"/>
                <w:b/>
                <w:sz w:val="21"/>
                <w:szCs w:val="21"/>
                <w:lang w:val="en-US"/>
              </w:rPr>
              <w:t>Stage 3</w:t>
            </w:r>
          </w:p>
        </w:tc>
        <w:tc>
          <w:tcPr>
            <w:tcW w:w="741" w:type="pct"/>
            <w:vAlign w:val="bottom"/>
          </w:tcPr>
          <w:p w14:paraId="6D2105AA" w14:textId="77777777" w:rsidR="00D873D7" w:rsidRPr="000129B1" w:rsidRDefault="00D873D7" w:rsidP="00D873D7">
            <w:pPr>
              <w:tabs>
                <w:tab w:val="right" w:pos="1202"/>
              </w:tabs>
              <w:spacing w:after="0" w:line="220" w:lineRule="exact"/>
              <w:jc w:val="right"/>
              <w:outlineLvl w:val="0"/>
              <w:rPr>
                <w:rFonts w:ascii="Calibri" w:eastAsia="Times New Roman" w:hAnsi="Calibri" w:cs="Arial"/>
                <w:b/>
                <w:sz w:val="21"/>
                <w:szCs w:val="21"/>
                <w:lang w:val="en-US"/>
              </w:rPr>
            </w:pPr>
            <w:r w:rsidRPr="000129B1">
              <w:rPr>
                <w:rFonts w:ascii="Calibri" w:eastAsia="Times New Roman" w:hAnsi="Calibri" w:cs="Arial"/>
                <w:b/>
                <w:sz w:val="21"/>
                <w:szCs w:val="21"/>
                <w:lang w:val="en-US"/>
              </w:rPr>
              <w:t>POCI</w:t>
            </w:r>
          </w:p>
        </w:tc>
        <w:tc>
          <w:tcPr>
            <w:tcW w:w="741" w:type="pct"/>
            <w:vAlign w:val="bottom"/>
          </w:tcPr>
          <w:p w14:paraId="26E32FFD" w14:textId="77777777" w:rsidR="00D873D7" w:rsidRPr="000129B1" w:rsidRDefault="00D873D7" w:rsidP="00D873D7">
            <w:pPr>
              <w:tabs>
                <w:tab w:val="right" w:pos="1202"/>
              </w:tabs>
              <w:spacing w:after="0" w:line="220" w:lineRule="exact"/>
              <w:jc w:val="right"/>
              <w:outlineLvl w:val="0"/>
              <w:rPr>
                <w:rFonts w:ascii="Calibri" w:eastAsia="Times New Roman" w:hAnsi="Calibri" w:cs="Arial"/>
                <w:b/>
                <w:sz w:val="21"/>
                <w:szCs w:val="21"/>
                <w:lang w:val="en-US"/>
              </w:rPr>
            </w:pPr>
            <w:r w:rsidRPr="000129B1">
              <w:rPr>
                <w:rFonts w:ascii="Calibri" w:eastAsia="Times New Roman" w:hAnsi="Calibri" w:cs="Arial"/>
                <w:b/>
                <w:sz w:val="21"/>
                <w:szCs w:val="21"/>
                <w:lang w:val="en-US"/>
              </w:rPr>
              <w:t>Total</w:t>
            </w:r>
          </w:p>
        </w:tc>
      </w:tr>
      <w:tr w:rsidR="00D873D7" w:rsidRPr="000129B1" w14:paraId="0B41EE8C" w14:textId="77777777" w:rsidTr="00D873D7">
        <w:trPr>
          <w:trHeight w:val="227"/>
        </w:trPr>
        <w:tc>
          <w:tcPr>
            <w:tcW w:w="1295" w:type="pct"/>
            <w:vAlign w:val="bottom"/>
          </w:tcPr>
          <w:p w14:paraId="5529FD41" w14:textId="77777777" w:rsidR="00D873D7" w:rsidRPr="000129B1" w:rsidRDefault="00D873D7" w:rsidP="00D873D7">
            <w:pPr>
              <w:tabs>
                <w:tab w:val="left" w:pos="-720"/>
              </w:tabs>
              <w:suppressAutoHyphens/>
              <w:spacing w:after="0" w:line="220" w:lineRule="exact"/>
              <w:rPr>
                <w:rFonts w:ascii="Calibri" w:eastAsia="Times New Roman" w:hAnsi="Calibri" w:cs="Arial"/>
                <w:sz w:val="21"/>
                <w:szCs w:val="21"/>
                <w:lang w:val="en-US"/>
              </w:rPr>
            </w:pPr>
          </w:p>
        </w:tc>
        <w:tc>
          <w:tcPr>
            <w:tcW w:w="741" w:type="pct"/>
            <w:vAlign w:val="bottom"/>
          </w:tcPr>
          <w:p w14:paraId="46E58373" w14:textId="1F473821" w:rsidR="00D873D7" w:rsidRPr="000129B1" w:rsidRDefault="00D873D7" w:rsidP="00D873D7">
            <w:pPr>
              <w:tabs>
                <w:tab w:val="right" w:pos="1202"/>
              </w:tabs>
              <w:spacing w:after="0" w:line="220" w:lineRule="exact"/>
              <w:jc w:val="right"/>
              <w:outlineLvl w:val="0"/>
              <w:rPr>
                <w:rFonts w:ascii="Calibri" w:eastAsia="Times New Roman" w:hAnsi="Calibri" w:cs="Arial"/>
                <w:b/>
                <w:sz w:val="21"/>
                <w:szCs w:val="21"/>
                <w:lang w:val="en-US"/>
              </w:rPr>
            </w:pPr>
            <w:r w:rsidRPr="000129B1">
              <w:rPr>
                <w:rFonts w:ascii="Calibri" w:eastAsia="Times New Roman" w:hAnsi="Calibri" w:cs="Arial"/>
                <w:b/>
                <w:sz w:val="21"/>
                <w:szCs w:val="21"/>
                <w:lang w:val="en-US"/>
              </w:rPr>
              <w:t xml:space="preserve">HRK </w:t>
            </w:r>
            <w:r w:rsidR="00417C24">
              <w:rPr>
                <w:rFonts w:ascii="Calibri" w:eastAsia="Times New Roman" w:hAnsi="Calibri" w:cs="Arial"/>
                <w:b/>
                <w:sz w:val="21"/>
                <w:szCs w:val="21"/>
                <w:lang w:val="en-US"/>
              </w:rPr>
              <w:t>‘</w:t>
            </w:r>
            <w:r w:rsidRPr="000129B1">
              <w:rPr>
                <w:rFonts w:ascii="Calibri" w:eastAsia="Times New Roman" w:hAnsi="Calibri" w:cs="Arial"/>
                <w:b/>
                <w:sz w:val="21"/>
                <w:szCs w:val="21"/>
                <w:lang w:val="en-US"/>
              </w:rPr>
              <w:t>000</w:t>
            </w:r>
          </w:p>
        </w:tc>
        <w:tc>
          <w:tcPr>
            <w:tcW w:w="741" w:type="pct"/>
            <w:vAlign w:val="bottom"/>
          </w:tcPr>
          <w:p w14:paraId="6DF0AEA3" w14:textId="1B2835E5" w:rsidR="00D873D7" w:rsidRPr="000129B1" w:rsidRDefault="00D873D7" w:rsidP="00D873D7">
            <w:pPr>
              <w:tabs>
                <w:tab w:val="right" w:pos="1202"/>
              </w:tabs>
              <w:spacing w:after="0" w:line="220" w:lineRule="exact"/>
              <w:jc w:val="right"/>
              <w:outlineLvl w:val="0"/>
              <w:rPr>
                <w:rFonts w:ascii="Calibri" w:eastAsia="Times New Roman" w:hAnsi="Calibri" w:cs="Arial"/>
                <w:b/>
                <w:sz w:val="21"/>
                <w:szCs w:val="21"/>
                <w:lang w:val="en-US"/>
              </w:rPr>
            </w:pPr>
            <w:r w:rsidRPr="000129B1">
              <w:rPr>
                <w:rFonts w:ascii="Calibri" w:eastAsia="Times New Roman" w:hAnsi="Calibri" w:cs="Arial"/>
                <w:b/>
                <w:sz w:val="21"/>
                <w:szCs w:val="21"/>
                <w:lang w:val="en-US"/>
              </w:rPr>
              <w:t xml:space="preserve">HRK </w:t>
            </w:r>
            <w:r w:rsidR="00417C24">
              <w:rPr>
                <w:rFonts w:ascii="Calibri" w:eastAsia="Times New Roman" w:hAnsi="Calibri" w:cs="Arial"/>
                <w:b/>
                <w:sz w:val="21"/>
                <w:szCs w:val="21"/>
                <w:lang w:val="en-US"/>
              </w:rPr>
              <w:t>‘</w:t>
            </w:r>
            <w:r w:rsidRPr="000129B1">
              <w:rPr>
                <w:rFonts w:ascii="Calibri" w:eastAsia="Times New Roman" w:hAnsi="Calibri" w:cs="Arial"/>
                <w:b/>
                <w:sz w:val="21"/>
                <w:szCs w:val="21"/>
                <w:lang w:val="en-US"/>
              </w:rPr>
              <w:t>000</w:t>
            </w:r>
          </w:p>
        </w:tc>
        <w:tc>
          <w:tcPr>
            <w:tcW w:w="741" w:type="pct"/>
            <w:vAlign w:val="bottom"/>
          </w:tcPr>
          <w:p w14:paraId="45689794" w14:textId="69FC67EC" w:rsidR="00D873D7" w:rsidRPr="000129B1" w:rsidRDefault="00D873D7" w:rsidP="00D873D7">
            <w:pPr>
              <w:tabs>
                <w:tab w:val="right" w:pos="1202"/>
              </w:tabs>
              <w:spacing w:after="0" w:line="220" w:lineRule="exact"/>
              <w:jc w:val="right"/>
              <w:outlineLvl w:val="0"/>
              <w:rPr>
                <w:rFonts w:ascii="Calibri" w:eastAsia="Times New Roman" w:hAnsi="Calibri" w:cs="Arial"/>
                <w:b/>
                <w:sz w:val="21"/>
                <w:szCs w:val="21"/>
                <w:lang w:val="en-US"/>
              </w:rPr>
            </w:pPr>
            <w:r w:rsidRPr="000129B1">
              <w:rPr>
                <w:rFonts w:ascii="Calibri" w:eastAsia="Times New Roman" w:hAnsi="Calibri" w:cs="Arial"/>
                <w:b/>
                <w:sz w:val="21"/>
                <w:szCs w:val="21"/>
                <w:lang w:val="en-US"/>
              </w:rPr>
              <w:t xml:space="preserve">HRK </w:t>
            </w:r>
            <w:r w:rsidR="00417C24">
              <w:rPr>
                <w:rFonts w:ascii="Calibri" w:eastAsia="Times New Roman" w:hAnsi="Calibri" w:cs="Arial"/>
                <w:b/>
                <w:sz w:val="21"/>
                <w:szCs w:val="21"/>
                <w:lang w:val="en-US"/>
              </w:rPr>
              <w:t>‘</w:t>
            </w:r>
            <w:r w:rsidRPr="000129B1">
              <w:rPr>
                <w:rFonts w:ascii="Calibri" w:eastAsia="Times New Roman" w:hAnsi="Calibri" w:cs="Arial"/>
                <w:b/>
                <w:sz w:val="21"/>
                <w:szCs w:val="21"/>
                <w:lang w:val="en-US"/>
              </w:rPr>
              <w:t>000</w:t>
            </w:r>
          </w:p>
        </w:tc>
        <w:tc>
          <w:tcPr>
            <w:tcW w:w="741" w:type="pct"/>
            <w:vAlign w:val="bottom"/>
          </w:tcPr>
          <w:p w14:paraId="588BE60D" w14:textId="57EEBF09" w:rsidR="00D873D7" w:rsidRPr="000129B1" w:rsidRDefault="00D873D7" w:rsidP="00D873D7">
            <w:pPr>
              <w:tabs>
                <w:tab w:val="right" w:pos="1202"/>
              </w:tabs>
              <w:spacing w:after="0" w:line="220" w:lineRule="exact"/>
              <w:jc w:val="right"/>
              <w:outlineLvl w:val="0"/>
              <w:rPr>
                <w:rFonts w:ascii="Calibri" w:eastAsia="Times New Roman" w:hAnsi="Calibri" w:cs="Arial"/>
                <w:b/>
                <w:sz w:val="21"/>
                <w:szCs w:val="21"/>
                <w:lang w:val="en-US"/>
              </w:rPr>
            </w:pPr>
            <w:r w:rsidRPr="000129B1">
              <w:rPr>
                <w:rFonts w:ascii="Calibri" w:eastAsia="Times New Roman" w:hAnsi="Calibri" w:cs="Arial"/>
                <w:b/>
                <w:sz w:val="21"/>
                <w:szCs w:val="21"/>
                <w:lang w:val="en-US"/>
              </w:rPr>
              <w:t xml:space="preserve">HRK </w:t>
            </w:r>
            <w:r w:rsidR="00417C24">
              <w:rPr>
                <w:rFonts w:ascii="Calibri" w:eastAsia="Times New Roman" w:hAnsi="Calibri" w:cs="Arial"/>
                <w:b/>
                <w:sz w:val="21"/>
                <w:szCs w:val="21"/>
                <w:lang w:val="en-US"/>
              </w:rPr>
              <w:t>‘</w:t>
            </w:r>
            <w:r w:rsidRPr="000129B1">
              <w:rPr>
                <w:rFonts w:ascii="Calibri" w:eastAsia="Times New Roman" w:hAnsi="Calibri" w:cs="Arial"/>
                <w:b/>
                <w:sz w:val="21"/>
                <w:szCs w:val="21"/>
                <w:lang w:val="en-US"/>
              </w:rPr>
              <w:t>000</w:t>
            </w:r>
          </w:p>
        </w:tc>
        <w:tc>
          <w:tcPr>
            <w:tcW w:w="741" w:type="pct"/>
            <w:vAlign w:val="bottom"/>
          </w:tcPr>
          <w:p w14:paraId="0A056009" w14:textId="68E684A4" w:rsidR="00D873D7" w:rsidRPr="000129B1" w:rsidRDefault="00D873D7" w:rsidP="00D873D7">
            <w:pPr>
              <w:tabs>
                <w:tab w:val="right" w:pos="1202"/>
              </w:tabs>
              <w:spacing w:after="0" w:line="220" w:lineRule="exact"/>
              <w:jc w:val="right"/>
              <w:outlineLvl w:val="0"/>
              <w:rPr>
                <w:rFonts w:ascii="Calibri" w:eastAsia="Times New Roman" w:hAnsi="Calibri" w:cs="Arial"/>
                <w:b/>
                <w:sz w:val="21"/>
                <w:szCs w:val="21"/>
                <w:lang w:val="en-US"/>
              </w:rPr>
            </w:pPr>
            <w:r w:rsidRPr="000129B1">
              <w:rPr>
                <w:rFonts w:ascii="Calibri" w:eastAsia="Times New Roman" w:hAnsi="Calibri" w:cs="Arial"/>
                <w:b/>
                <w:sz w:val="21"/>
                <w:szCs w:val="21"/>
                <w:lang w:val="en-US"/>
              </w:rPr>
              <w:t xml:space="preserve">HRK </w:t>
            </w:r>
            <w:r w:rsidR="00417C24">
              <w:rPr>
                <w:rFonts w:ascii="Calibri" w:eastAsia="Times New Roman" w:hAnsi="Calibri" w:cs="Arial"/>
                <w:b/>
                <w:sz w:val="21"/>
                <w:szCs w:val="21"/>
                <w:lang w:val="en-US"/>
              </w:rPr>
              <w:t>‘</w:t>
            </w:r>
            <w:r w:rsidRPr="000129B1">
              <w:rPr>
                <w:rFonts w:ascii="Calibri" w:eastAsia="Times New Roman" w:hAnsi="Calibri" w:cs="Arial"/>
                <w:b/>
                <w:sz w:val="21"/>
                <w:szCs w:val="21"/>
                <w:lang w:val="en-US"/>
              </w:rPr>
              <w:t>000</w:t>
            </w:r>
          </w:p>
        </w:tc>
      </w:tr>
      <w:tr w:rsidR="00D873D7" w:rsidRPr="000129B1" w14:paraId="25009799" w14:textId="77777777" w:rsidTr="00D873D7">
        <w:trPr>
          <w:trHeight w:val="213"/>
        </w:trPr>
        <w:tc>
          <w:tcPr>
            <w:tcW w:w="1295" w:type="pct"/>
            <w:vAlign w:val="bottom"/>
          </w:tcPr>
          <w:p w14:paraId="7B6929F4" w14:textId="77777777" w:rsidR="00D873D7" w:rsidRPr="000129B1" w:rsidRDefault="00D873D7" w:rsidP="00D873D7">
            <w:pPr>
              <w:tabs>
                <w:tab w:val="left" w:pos="-720"/>
              </w:tabs>
              <w:suppressAutoHyphens/>
              <w:spacing w:after="0" w:line="140" w:lineRule="exact"/>
              <w:rPr>
                <w:rFonts w:ascii="Calibri" w:eastAsia="Times New Roman" w:hAnsi="Calibri" w:cs="Arial"/>
                <w:sz w:val="21"/>
                <w:szCs w:val="21"/>
                <w:lang w:val="en-US"/>
              </w:rPr>
            </w:pPr>
          </w:p>
        </w:tc>
        <w:tc>
          <w:tcPr>
            <w:tcW w:w="741" w:type="pct"/>
            <w:vAlign w:val="bottom"/>
          </w:tcPr>
          <w:p w14:paraId="0C7B5F38" w14:textId="77777777" w:rsidR="00D873D7" w:rsidRPr="000129B1" w:rsidRDefault="00D873D7" w:rsidP="00D873D7">
            <w:pPr>
              <w:tabs>
                <w:tab w:val="right" w:pos="1202"/>
              </w:tabs>
              <w:spacing w:after="0" w:line="140" w:lineRule="exact"/>
              <w:jc w:val="right"/>
              <w:outlineLvl w:val="0"/>
              <w:rPr>
                <w:rFonts w:ascii="Calibri" w:eastAsia="Times New Roman" w:hAnsi="Calibri" w:cs="Arial"/>
                <w:b/>
                <w:sz w:val="21"/>
                <w:szCs w:val="21"/>
                <w:lang w:val="en-US"/>
              </w:rPr>
            </w:pPr>
          </w:p>
        </w:tc>
        <w:tc>
          <w:tcPr>
            <w:tcW w:w="741" w:type="pct"/>
            <w:vAlign w:val="bottom"/>
          </w:tcPr>
          <w:p w14:paraId="74009845" w14:textId="77777777" w:rsidR="00D873D7" w:rsidRPr="000129B1" w:rsidRDefault="00D873D7" w:rsidP="00D873D7">
            <w:pPr>
              <w:tabs>
                <w:tab w:val="right" w:pos="1202"/>
              </w:tabs>
              <w:spacing w:after="0" w:line="140" w:lineRule="exact"/>
              <w:jc w:val="right"/>
              <w:outlineLvl w:val="0"/>
              <w:rPr>
                <w:rFonts w:ascii="Calibri" w:eastAsia="Times New Roman" w:hAnsi="Calibri" w:cs="Arial"/>
                <w:b/>
                <w:sz w:val="21"/>
                <w:szCs w:val="21"/>
                <w:lang w:val="en-US"/>
              </w:rPr>
            </w:pPr>
          </w:p>
        </w:tc>
        <w:tc>
          <w:tcPr>
            <w:tcW w:w="741" w:type="pct"/>
            <w:vAlign w:val="bottom"/>
          </w:tcPr>
          <w:p w14:paraId="55DE805B" w14:textId="77777777" w:rsidR="00D873D7" w:rsidRPr="000129B1" w:rsidRDefault="00D873D7" w:rsidP="00D873D7">
            <w:pPr>
              <w:tabs>
                <w:tab w:val="right" w:pos="1202"/>
              </w:tabs>
              <w:spacing w:after="0" w:line="140" w:lineRule="exact"/>
              <w:jc w:val="right"/>
              <w:outlineLvl w:val="0"/>
              <w:rPr>
                <w:rFonts w:ascii="Calibri" w:eastAsia="Times New Roman" w:hAnsi="Calibri" w:cs="Arial"/>
                <w:b/>
                <w:sz w:val="21"/>
                <w:szCs w:val="21"/>
                <w:lang w:val="en-US"/>
              </w:rPr>
            </w:pPr>
          </w:p>
        </w:tc>
        <w:tc>
          <w:tcPr>
            <w:tcW w:w="741" w:type="pct"/>
            <w:vAlign w:val="bottom"/>
          </w:tcPr>
          <w:p w14:paraId="53EF1579" w14:textId="77777777" w:rsidR="00D873D7" w:rsidRPr="000129B1" w:rsidRDefault="00D873D7" w:rsidP="00D873D7">
            <w:pPr>
              <w:tabs>
                <w:tab w:val="right" w:pos="1202"/>
              </w:tabs>
              <w:spacing w:after="0" w:line="140" w:lineRule="exact"/>
              <w:jc w:val="right"/>
              <w:outlineLvl w:val="0"/>
              <w:rPr>
                <w:rFonts w:ascii="Calibri" w:eastAsia="Times New Roman" w:hAnsi="Calibri" w:cs="Arial"/>
                <w:b/>
                <w:sz w:val="21"/>
                <w:szCs w:val="21"/>
                <w:lang w:val="en-US"/>
              </w:rPr>
            </w:pPr>
          </w:p>
        </w:tc>
        <w:tc>
          <w:tcPr>
            <w:tcW w:w="741" w:type="pct"/>
            <w:vAlign w:val="bottom"/>
          </w:tcPr>
          <w:p w14:paraId="1617AACF" w14:textId="77777777" w:rsidR="00D873D7" w:rsidRPr="000129B1" w:rsidRDefault="00D873D7" w:rsidP="00D873D7">
            <w:pPr>
              <w:tabs>
                <w:tab w:val="right" w:pos="1202"/>
              </w:tabs>
              <w:spacing w:after="0" w:line="140" w:lineRule="exact"/>
              <w:jc w:val="right"/>
              <w:outlineLvl w:val="0"/>
              <w:rPr>
                <w:rFonts w:ascii="Calibri" w:eastAsia="Times New Roman" w:hAnsi="Calibri" w:cs="Arial"/>
                <w:b/>
                <w:sz w:val="21"/>
                <w:szCs w:val="21"/>
                <w:lang w:val="en-US"/>
              </w:rPr>
            </w:pPr>
          </w:p>
        </w:tc>
      </w:tr>
      <w:tr w:rsidR="00615CD7" w:rsidRPr="000129B1" w14:paraId="4890FD65" w14:textId="77777777" w:rsidTr="00A1123E">
        <w:trPr>
          <w:trHeight w:hRule="exact" w:val="284"/>
        </w:trPr>
        <w:tc>
          <w:tcPr>
            <w:tcW w:w="1295" w:type="pct"/>
            <w:vAlign w:val="bottom"/>
          </w:tcPr>
          <w:p w14:paraId="22C49E9A" w14:textId="77777777" w:rsidR="00615CD7" w:rsidRPr="000129B1" w:rsidRDefault="00615CD7" w:rsidP="00615CD7">
            <w:pPr>
              <w:tabs>
                <w:tab w:val="right" w:pos="1202"/>
              </w:tabs>
              <w:spacing w:after="0" w:line="240" w:lineRule="exact"/>
              <w:outlineLvl w:val="0"/>
              <w:rPr>
                <w:rFonts w:ascii="Calibri" w:eastAsia="Times New Roman" w:hAnsi="Calibri" w:cs="Arial"/>
                <w:sz w:val="21"/>
                <w:szCs w:val="21"/>
                <w:lang w:val="en-US"/>
              </w:rPr>
            </w:pPr>
            <w:r w:rsidRPr="000129B1">
              <w:rPr>
                <w:rFonts w:ascii="Calibri" w:eastAsia="Times New Roman" w:hAnsi="Calibri" w:cs="Arial"/>
                <w:sz w:val="21"/>
                <w:szCs w:val="21"/>
                <w:lang w:val="en-US"/>
              </w:rPr>
              <w:t>Gross amount</w:t>
            </w:r>
          </w:p>
        </w:tc>
        <w:tc>
          <w:tcPr>
            <w:tcW w:w="741" w:type="pct"/>
            <w:tcBorders>
              <w:top w:val="nil"/>
              <w:left w:val="nil"/>
              <w:bottom w:val="nil"/>
              <w:right w:val="nil"/>
            </w:tcBorders>
            <w:shd w:val="clear" w:color="auto" w:fill="auto"/>
            <w:vAlign w:val="bottom"/>
          </w:tcPr>
          <w:p w14:paraId="6C054180" w14:textId="3246D26D" w:rsidR="00615CD7" w:rsidRPr="000129B1" w:rsidRDefault="00615CD7" w:rsidP="00615CD7">
            <w:pPr>
              <w:tabs>
                <w:tab w:val="right" w:pos="1202"/>
              </w:tabs>
              <w:spacing w:after="0" w:line="240" w:lineRule="exact"/>
              <w:jc w:val="right"/>
              <w:outlineLvl w:val="0"/>
              <w:rPr>
                <w:rFonts w:ascii="Calibri" w:eastAsia="Times New Roman" w:hAnsi="Calibri" w:cs="Arial"/>
                <w:sz w:val="21"/>
                <w:szCs w:val="21"/>
                <w:lang w:val="en-US"/>
              </w:rPr>
            </w:pPr>
            <w:r w:rsidRPr="000129B1">
              <w:rPr>
                <w:rFonts w:cstheme="minorHAnsi"/>
                <w:sz w:val="21"/>
                <w:szCs w:val="21"/>
              </w:rPr>
              <w:t>13,160,690</w:t>
            </w:r>
          </w:p>
        </w:tc>
        <w:tc>
          <w:tcPr>
            <w:tcW w:w="741" w:type="pct"/>
            <w:tcBorders>
              <w:top w:val="nil"/>
              <w:left w:val="nil"/>
              <w:bottom w:val="nil"/>
              <w:right w:val="nil"/>
            </w:tcBorders>
            <w:shd w:val="clear" w:color="auto" w:fill="auto"/>
            <w:vAlign w:val="bottom"/>
          </w:tcPr>
          <w:p w14:paraId="20AEB740" w14:textId="482BEBB5" w:rsidR="00615CD7" w:rsidRPr="000129B1" w:rsidRDefault="00615CD7" w:rsidP="00615CD7">
            <w:pPr>
              <w:tabs>
                <w:tab w:val="right" w:pos="1202"/>
              </w:tabs>
              <w:spacing w:after="0" w:line="240" w:lineRule="exact"/>
              <w:jc w:val="right"/>
              <w:outlineLvl w:val="0"/>
              <w:rPr>
                <w:rFonts w:ascii="Calibri" w:eastAsia="Times New Roman" w:hAnsi="Calibri" w:cs="Arial"/>
                <w:sz w:val="21"/>
                <w:szCs w:val="21"/>
                <w:lang w:val="en-US"/>
              </w:rPr>
            </w:pPr>
            <w:r w:rsidRPr="000129B1">
              <w:rPr>
                <w:rFonts w:cstheme="minorHAnsi"/>
                <w:sz w:val="21"/>
                <w:szCs w:val="21"/>
              </w:rPr>
              <w:t>1,383,772</w:t>
            </w:r>
          </w:p>
        </w:tc>
        <w:tc>
          <w:tcPr>
            <w:tcW w:w="741" w:type="pct"/>
            <w:tcBorders>
              <w:top w:val="nil"/>
              <w:left w:val="nil"/>
              <w:bottom w:val="nil"/>
              <w:right w:val="nil"/>
            </w:tcBorders>
            <w:shd w:val="clear" w:color="auto" w:fill="auto"/>
            <w:vAlign w:val="bottom"/>
          </w:tcPr>
          <w:p w14:paraId="69B8CD84" w14:textId="44D14395" w:rsidR="00615CD7" w:rsidRPr="000129B1" w:rsidRDefault="00615CD7" w:rsidP="00615CD7">
            <w:pPr>
              <w:tabs>
                <w:tab w:val="right" w:pos="1202"/>
              </w:tabs>
              <w:spacing w:after="0" w:line="240" w:lineRule="exact"/>
              <w:jc w:val="right"/>
              <w:outlineLvl w:val="0"/>
              <w:rPr>
                <w:rFonts w:ascii="Calibri" w:eastAsia="Times New Roman" w:hAnsi="Calibri" w:cs="Arial"/>
                <w:sz w:val="21"/>
                <w:szCs w:val="21"/>
                <w:lang w:val="en-US"/>
              </w:rPr>
            </w:pPr>
            <w:r w:rsidRPr="000129B1">
              <w:rPr>
                <w:rFonts w:cstheme="minorHAnsi"/>
                <w:sz w:val="21"/>
                <w:szCs w:val="21"/>
              </w:rPr>
              <w:t>3,262,835</w:t>
            </w:r>
          </w:p>
        </w:tc>
        <w:tc>
          <w:tcPr>
            <w:tcW w:w="741" w:type="pct"/>
            <w:tcBorders>
              <w:top w:val="nil"/>
              <w:left w:val="nil"/>
              <w:bottom w:val="nil"/>
              <w:right w:val="nil"/>
            </w:tcBorders>
            <w:shd w:val="clear" w:color="auto" w:fill="auto"/>
            <w:vAlign w:val="bottom"/>
          </w:tcPr>
          <w:p w14:paraId="71B134CA" w14:textId="4ABC4ECE" w:rsidR="00615CD7" w:rsidRPr="000129B1" w:rsidRDefault="00615CD7" w:rsidP="00615CD7">
            <w:pPr>
              <w:tabs>
                <w:tab w:val="right" w:pos="1202"/>
              </w:tabs>
              <w:spacing w:after="0" w:line="240" w:lineRule="exact"/>
              <w:jc w:val="right"/>
              <w:outlineLvl w:val="0"/>
              <w:rPr>
                <w:rFonts w:ascii="Calibri" w:eastAsia="Times New Roman" w:hAnsi="Calibri" w:cs="Arial"/>
                <w:sz w:val="21"/>
                <w:szCs w:val="21"/>
                <w:lang w:val="en-US"/>
              </w:rPr>
            </w:pPr>
            <w:r w:rsidRPr="000129B1">
              <w:rPr>
                <w:rFonts w:cstheme="minorHAnsi"/>
                <w:sz w:val="21"/>
                <w:szCs w:val="21"/>
              </w:rPr>
              <w:t>1,412,995</w:t>
            </w:r>
          </w:p>
        </w:tc>
        <w:tc>
          <w:tcPr>
            <w:tcW w:w="741" w:type="pct"/>
            <w:tcBorders>
              <w:top w:val="nil"/>
              <w:left w:val="nil"/>
              <w:bottom w:val="nil"/>
              <w:right w:val="nil"/>
            </w:tcBorders>
            <w:shd w:val="clear" w:color="auto" w:fill="auto"/>
            <w:vAlign w:val="bottom"/>
          </w:tcPr>
          <w:p w14:paraId="3643228B" w14:textId="641B6DC0" w:rsidR="00615CD7" w:rsidRPr="000129B1" w:rsidRDefault="00615CD7" w:rsidP="00615CD7">
            <w:pPr>
              <w:tabs>
                <w:tab w:val="right" w:pos="1202"/>
              </w:tabs>
              <w:spacing w:after="0" w:line="240" w:lineRule="exact"/>
              <w:outlineLvl w:val="0"/>
              <w:rPr>
                <w:rFonts w:ascii="Calibri" w:eastAsia="Times New Roman" w:hAnsi="Calibri" w:cs="Arial"/>
                <w:sz w:val="21"/>
                <w:szCs w:val="21"/>
                <w:lang w:val="en-US"/>
              </w:rPr>
            </w:pPr>
            <w:r w:rsidRPr="000129B1">
              <w:rPr>
                <w:rFonts w:cstheme="minorHAnsi"/>
                <w:b/>
                <w:bCs/>
                <w:sz w:val="21"/>
                <w:szCs w:val="21"/>
              </w:rPr>
              <w:t xml:space="preserve">19,220,292 </w:t>
            </w:r>
          </w:p>
        </w:tc>
      </w:tr>
      <w:tr w:rsidR="00615CD7" w:rsidRPr="000129B1" w14:paraId="38189F0F" w14:textId="77777777" w:rsidTr="00A1123E">
        <w:trPr>
          <w:trHeight w:hRule="exact" w:val="284"/>
        </w:trPr>
        <w:tc>
          <w:tcPr>
            <w:tcW w:w="1295" w:type="pct"/>
            <w:vAlign w:val="bottom"/>
          </w:tcPr>
          <w:p w14:paraId="7D55EFCB" w14:textId="77777777" w:rsidR="00615CD7" w:rsidRPr="000129B1" w:rsidRDefault="00615CD7" w:rsidP="00615CD7">
            <w:pPr>
              <w:tabs>
                <w:tab w:val="right" w:pos="1202"/>
              </w:tabs>
              <w:spacing w:after="0" w:line="240" w:lineRule="exact"/>
              <w:outlineLvl w:val="0"/>
              <w:rPr>
                <w:rFonts w:ascii="Calibri" w:eastAsia="Times New Roman" w:hAnsi="Calibri" w:cs="Arial"/>
                <w:sz w:val="21"/>
                <w:szCs w:val="21"/>
                <w:lang w:val="en-US"/>
              </w:rPr>
            </w:pPr>
            <w:r w:rsidRPr="000129B1">
              <w:rPr>
                <w:rFonts w:ascii="Calibri" w:eastAsia="Times New Roman" w:hAnsi="Calibri" w:cs="Arial"/>
                <w:sz w:val="21"/>
                <w:szCs w:val="21"/>
                <w:lang w:val="en-US"/>
              </w:rPr>
              <w:t>Loss allowances</w:t>
            </w:r>
          </w:p>
        </w:tc>
        <w:tc>
          <w:tcPr>
            <w:tcW w:w="741" w:type="pct"/>
            <w:tcBorders>
              <w:top w:val="nil"/>
              <w:left w:val="nil"/>
              <w:bottom w:val="nil"/>
              <w:right w:val="nil"/>
            </w:tcBorders>
            <w:shd w:val="clear" w:color="auto" w:fill="auto"/>
            <w:vAlign w:val="bottom"/>
          </w:tcPr>
          <w:p w14:paraId="64DD325C" w14:textId="574A5792" w:rsidR="00615CD7" w:rsidRPr="000129B1" w:rsidRDefault="00615CD7" w:rsidP="00615CD7">
            <w:pPr>
              <w:tabs>
                <w:tab w:val="right" w:pos="1202"/>
              </w:tabs>
              <w:spacing w:after="0" w:line="240" w:lineRule="exact"/>
              <w:jc w:val="right"/>
              <w:outlineLvl w:val="0"/>
              <w:rPr>
                <w:rFonts w:ascii="Calibri" w:eastAsia="Times New Roman" w:hAnsi="Calibri" w:cs="Arial"/>
                <w:sz w:val="21"/>
                <w:szCs w:val="21"/>
                <w:lang w:val="en-US"/>
              </w:rPr>
            </w:pPr>
            <w:r w:rsidRPr="000129B1">
              <w:rPr>
                <w:rFonts w:cstheme="minorHAnsi"/>
                <w:sz w:val="21"/>
                <w:szCs w:val="21"/>
              </w:rPr>
              <w:t xml:space="preserve"> (381,609)</w:t>
            </w:r>
          </w:p>
        </w:tc>
        <w:tc>
          <w:tcPr>
            <w:tcW w:w="741" w:type="pct"/>
            <w:tcBorders>
              <w:top w:val="nil"/>
              <w:left w:val="nil"/>
              <w:bottom w:val="nil"/>
              <w:right w:val="nil"/>
            </w:tcBorders>
            <w:shd w:val="clear" w:color="auto" w:fill="auto"/>
            <w:vAlign w:val="bottom"/>
          </w:tcPr>
          <w:p w14:paraId="14E1D7C1" w14:textId="76D2BE70" w:rsidR="00615CD7" w:rsidRPr="000129B1" w:rsidRDefault="00615CD7" w:rsidP="00615CD7">
            <w:pPr>
              <w:tabs>
                <w:tab w:val="right" w:pos="1202"/>
              </w:tabs>
              <w:spacing w:after="0" w:line="240" w:lineRule="exact"/>
              <w:jc w:val="right"/>
              <w:outlineLvl w:val="0"/>
              <w:rPr>
                <w:rFonts w:ascii="Calibri" w:eastAsia="Times New Roman" w:hAnsi="Calibri" w:cs="Arial"/>
                <w:sz w:val="21"/>
                <w:szCs w:val="21"/>
                <w:lang w:val="en-US"/>
              </w:rPr>
            </w:pPr>
            <w:r w:rsidRPr="000129B1">
              <w:rPr>
                <w:rFonts w:cstheme="minorHAnsi"/>
                <w:sz w:val="21"/>
                <w:szCs w:val="21"/>
              </w:rPr>
              <w:t xml:space="preserve"> (555,807)</w:t>
            </w:r>
          </w:p>
        </w:tc>
        <w:tc>
          <w:tcPr>
            <w:tcW w:w="741" w:type="pct"/>
            <w:tcBorders>
              <w:top w:val="nil"/>
              <w:left w:val="nil"/>
              <w:bottom w:val="nil"/>
              <w:right w:val="nil"/>
            </w:tcBorders>
            <w:shd w:val="clear" w:color="auto" w:fill="auto"/>
            <w:vAlign w:val="bottom"/>
          </w:tcPr>
          <w:p w14:paraId="371EC2E8" w14:textId="0CDB1ECC" w:rsidR="00615CD7" w:rsidRPr="000129B1" w:rsidRDefault="00615CD7" w:rsidP="00615CD7">
            <w:pPr>
              <w:tabs>
                <w:tab w:val="right" w:pos="1202"/>
              </w:tabs>
              <w:spacing w:after="0" w:line="240" w:lineRule="exact"/>
              <w:outlineLvl w:val="0"/>
              <w:rPr>
                <w:rFonts w:ascii="Calibri" w:eastAsia="Times New Roman" w:hAnsi="Calibri" w:cs="Arial"/>
                <w:sz w:val="21"/>
                <w:szCs w:val="21"/>
                <w:lang w:val="en-US"/>
              </w:rPr>
            </w:pPr>
            <w:r w:rsidRPr="000129B1">
              <w:rPr>
                <w:rFonts w:cstheme="minorHAnsi"/>
                <w:sz w:val="21"/>
                <w:szCs w:val="21"/>
              </w:rPr>
              <w:t>(2,099,064)</w:t>
            </w:r>
          </w:p>
        </w:tc>
        <w:tc>
          <w:tcPr>
            <w:tcW w:w="741" w:type="pct"/>
            <w:tcBorders>
              <w:top w:val="nil"/>
              <w:left w:val="nil"/>
              <w:bottom w:val="nil"/>
              <w:right w:val="nil"/>
            </w:tcBorders>
            <w:shd w:val="clear" w:color="auto" w:fill="auto"/>
            <w:vAlign w:val="bottom"/>
          </w:tcPr>
          <w:p w14:paraId="3228162C" w14:textId="5C4DB50A" w:rsidR="00615CD7" w:rsidRPr="000129B1" w:rsidRDefault="00615CD7" w:rsidP="00615CD7">
            <w:pPr>
              <w:tabs>
                <w:tab w:val="right" w:pos="1202"/>
              </w:tabs>
              <w:spacing w:after="0" w:line="240" w:lineRule="exact"/>
              <w:jc w:val="right"/>
              <w:outlineLvl w:val="0"/>
              <w:rPr>
                <w:rFonts w:ascii="Calibri" w:eastAsia="Times New Roman" w:hAnsi="Calibri" w:cs="Arial"/>
                <w:sz w:val="21"/>
                <w:szCs w:val="21"/>
                <w:lang w:val="en-US"/>
              </w:rPr>
            </w:pPr>
            <w:r w:rsidRPr="000129B1">
              <w:rPr>
                <w:rFonts w:cstheme="minorHAnsi"/>
                <w:sz w:val="21"/>
                <w:szCs w:val="21"/>
              </w:rPr>
              <w:t xml:space="preserve"> (219,436)</w:t>
            </w:r>
          </w:p>
        </w:tc>
        <w:tc>
          <w:tcPr>
            <w:tcW w:w="741" w:type="pct"/>
            <w:tcBorders>
              <w:top w:val="nil"/>
              <w:left w:val="nil"/>
              <w:bottom w:val="nil"/>
              <w:right w:val="nil"/>
            </w:tcBorders>
            <w:shd w:val="clear" w:color="auto" w:fill="auto"/>
            <w:vAlign w:val="bottom"/>
          </w:tcPr>
          <w:p w14:paraId="46E7724C" w14:textId="0DFE4479" w:rsidR="00615CD7" w:rsidRPr="000129B1" w:rsidRDefault="00615CD7" w:rsidP="00615CD7">
            <w:pPr>
              <w:tabs>
                <w:tab w:val="right" w:pos="1202"/>
              </w:tabs>
              <w:spacing w:after="0" w:line="240" w:lineRule="exact"/>
              <w:outlineLvl w:val="0"/>
              <w:rPr>
                <w:rFonts w:ascii="Calibri" w:eastAsia="Times New Roman" w:hAnsi="Calibri" w:cs="Arial"/>
                <w:sz w:val="21"/>
                <w:szCs w:val="21"/>
                <w:lang w:val="en-US"/>
              </w:rPr>
            </w:pPr>
            <w:r w:rsidRPr="000129B1">
              <w:rPr>
                <w:rFonts w:cstheme="minorHAnsi"/>
                <w:b/>
                <w:bCs/>
                <w:sz w:val="21"/>
                <w:szCs w:val="21"/>
              </w:rPr>
              <w:t>(3,255,916)</w:t>
            </w:r>
          </w:p>
        </w:tc>
      </w:tr>
      <w:tr w:rsidR="00615CD7" w:rsidRPr="000129B1" w14:paraId="5D46BF73" w14:textId="77777777" w:rsidTr="00D873D7">
        <w:trPr>
          <w:trHeight w:val="564"/>
        </w:trPr>
        <w:tc>
          <w:tcPr>
            <w:tcW w:w="1295" w:type="pct"/>
            <w:vAlign w:val="bottom"/>
          </w:tcPr>
          <w:p w14:paraId="239AC6F0" w14:textId="084CF0C1" w:rsidR="00615CD7" w:rsidRPr="000129B1" w:rsidRDefault="00615CD7" w:rsidP="00615CD7">
            <w:pPr>
              <w:tabs>
                <w:tab w:val="right" w:pos="1202"/>
              </w:tabs>
              <w:spacing w:after="0" w:line="240" w:lineRule="exact"/>
              <w:outlineLvl w:val="0"/>
              <w:rPr>
                <w:rFonts w:ascii="Calibri" w:eastAsia="Times New Roman" w:hAnsi="Calibri" w:cs="Arial"/>
                <w:b/>
                <w:iCs/>
                <w:sz w:val="21"/>
                <w:szCs w:val="21"/>
                <w:lang w:val="en-US"/>
              </w:rPr>
            </w:pPr>
            <w:r w:rsidRPr="000129B1">
              <w:rPr>
                <w:rFonts w:ascii="Calibri" w:eastAsia="Times New Roman" w:hAnsi="Calibri" w:cs="Arial"/>
                <w:b/>
                <w:iCs/>
                <w:sz w:val="21"/>
                <w:szCs w:val="21"/>
                <w:lang w:val="en-US"/>
              </w:rPr>
              <w:t>Balance as of 31 December 2021</w:t>
            </w:r>
          </w:p>
        </w:tc>
        <w:tc>
          <w:tcPr>
            <w:tcW w:w="741" w:type="pct"/>
            <w:tcBorders>
              <w:top w:val="single" w:sz="8" w:space="0" w:color="auto"/>
              <w:left w:val="nil"/>
              <w:bottom w:val="single" w:sz="12" w:space="0" w:color="000000"/>
              <w:right w:val="nil"/>
            </w:tcBorders>
            <w:shd w:val="clear" w:color="auto" w:fill="auto"/>
            <w:vAlign w:val="bottom"/>
          </w:tcPr>
          <w:p w14:paraId="03CE996B" w14:textId="690F7365" w:rsidR="00615CD7" w:rsidRPr="000129B1" w:rsidRDefault="00615CD7" w:rsidP="00615CD7">
            <w:pPr>
              <w:tabs>
                <w:tab w:val="right" w:pos="1202"/>
              </w:tabs>
              <w:spacing w:after="0" w:line="240" w:lineRule="exact"/>
              <w:jc w:val="right"/>
              <w:outlineLvl w:val="0"/>
              <w:rPr>
                <w:rFonts w:ascii="Calibri" w:eastAsia="Times New Roman" w:hAnsi="Calibri" w:cs="Arial"/>
                <w:sz w:val="21"/>
                <w:szCs w:val="21"/>
                <w:lang w:val="en-US"/>
              </w:rPr>
            </w:pPr>
            <w:r w:rsidRPr="000129B1">
              <w:rPr>
                <w:rFonts w:cstheme="minorHAnsi"/>
                <w:b/>
                <w:bCs/>
                <w:sz w:val="21"/>
                <w:szCs w:val="21"/>
              </w:rPr>
              <w:t xml:space="preserve"> 12,779,081 </w:t>
            </w:r>
          </w:p>
        </w:tc>
        <w:tc>
          <w:tcPr>
            <w:tcW w:w="741" w:type="pct"/>
            <w:tcBorders>
              <w:top w:val="single" w:sz="8" w:space="0" w:color="auto"/>
              <w:left w:val="nil"/>
              <w:bottom w:val="single" w:sz="12" w:space="0" w:color="000000"/>
              <w:right w:val="nil"/>
            </w:tcBorders>
            <w:shd w:val="clear" w:color="auto" w:fill="auto"/>
            <w:vAlign w:val="bottom"/>
          </w:tcPr>
          <w:p w14:paraId="27E04223" w14:textId="502BCE04" w:rsidR="00615CD7" w:rsidRPr="000129B1" w:rsidRDefault="00615CD7" w:rsidP="00615CD7">
            <w:pPr>
              <w:tabs>
                <w:tab w:val="right" w:pos="1202"/>
              </w:tabs>
              <w:spacing w:after="0" w:line="240" w:lineRule="exact"/>
              <w:jc w:val="right"/>
              <w:outlineLvl w:val="0"/>
              <w:rPr>
                <w:rFonts w:ascii="Calibri" w:eastAsia="Times New Roman" w:hAnsi="Calibri" w:cs="Arial"/>
                <w:sz w:val="21"/>
                <w:szCs w:val="21"/>
                <w:lang w:val="en-US"/>
              </w:rPr>
            </w:pPr>
            <w:r w:rsidRPr="000129B1">
              <w:rPr>
                <w:rFonts w:cstheme="minorHAnsi"/>
                <w:b/>
                <w:bCs/>
                <w:sz w:val="21"/>
                <w:szCs w:val="21"/>
              </w:rPr>
              <w:t xml:space="preserve"> 827,965 </w:t>
            </w:r>
          </w:p>
        </w:tc>
        <w:tc>
          <w:tcPr>
            <w:tcW w:w="741" w:type="pct"/>
            <w:tcBorders>
              <w:top w:val="single" w:sz="8" w:space="0" w:color="auto"/>
              <w:left w:val="nil"/>
              <w:bottom w:val="single" w:sz="12" w:space="0" w:color="000000"/>
              <w:right w:val="nil"/>
            </w:tcBorders>
            <w:shd w:val="clear" w:color="auto" w:fill="auto"/>
            <w:vAlign w:val="bottom"/>
          </w:tcPr>
          <w:p w14:paraId="61560F41" w14:textId="1DC9909C" w:rsidR="00615CD7" w:rsidRPr="000129B1" w:rsidRDefault="00615CD7" w:rsidP="00615CD7">
            <w:pPr>
              <w:tabs>
                <w:tab w:val="right" w:pos="1202"/>
              </w:tabs>
              <w:spacing w:after="0" w:line="240" w:lineRule="exact"/>
              <w:jc w:val="right"/>
              <w:outlineLvl w:val="0"/>
              <w:rPr>
                <w:rFonts w:ascii="Calibri" w:eastAsia="Times New Roman" w:hAnsi="Calibri" w:cs="Arial"/>
                <w:sz w:val="21"/>
                <w:szCs w:val="21"/>
                <w:lang w:val="en-US"/>
              </w:rPr>
            </w:pPr>
            <w:r w:rsidRPr="000129B1">
              <w:rPr>
                <w:rFonts w:cstheme="minorHAnsi"/>
                <w:b/>
                <w:bCs/>
                <w:sz w:val="21"/>
                <w:szCs w:val="21"/>
              </w:rPr>
              <w:t xml:space="preserve"> 1,163,771 </w:t>
            </w:r>
          </w:p>
        </w:tc>
        <w:tc>
          <w:tcPr>
            <w:tcW w:w="741" w:type="pct"/>
            <w:tcBorders>
              <w:top w:val="single" w:sz="8" w:space="0" w:color="auto"/>
              <w:left w:val="nil"/>
              <w:bottom w:val="single" w:sz="12" w:space="0" w:color="000000"/>
              <w:right w:val="nil"/>
            </w:tcBorders>
            <w:shd w:val="clear" w:color="auto" w:fill="auto"/>
            <w:vAlign w:val="bottom"/>
          </w:tcPr>
          <w:p w14:paraId="3D9428F3" w14:textId="02AD3187" w:rsidR="00615CD7" w:rsidRPr="000129B1" w:rsidRDefault="00615CD7" w:rsidP="00615CD7">
            <w:pPr>
              <w:tabs>
                <w:tab w:val="right" w:pos="1202"/>
              </w:tabs>
              <w:spacing w:after="0" w:line="240" w:lineRule="exact"/>
              <w:jc w:val="right"/>
              <w:outlineLvl w:val="0"/>
              <w:rPr>
                <w:rFonts w:ascii="Calibri" w:eastAsia="Times New Roman" w:hAnsi="Calibri" w:cs="Arial"/>
                <w:sz w:val="21"/>
                <w:szCs w:val="21"/>
                <w:lang w:val="en-US"/>
              </w:rPr>
            </w:pPr>
            <w:r w:rsidRPr="000129B1">
              <w:rPr>
                <w:rFonts w:cstheme="minorHAnsi"/>
                <w:b/>
                <w:bCs/>
                <w:sz w:val="21"/>
                <w:szCs w:val="21"/>
              </w:rPr>
              <w:t xml:space="preserve"> 1,193,559 </w:t>
            </w:r>
          </w:p>
        </w:tc>
        <w:tc>
          <w:tcPr>
            <w:tcW w:w="741" w:type="pct"/>
            <w:tcBorders>
              <w:top w:val="single" w:sz="8" w:space="0" w:color="auto"/>
              <w:left w:val="nil"/>
              <w:bottom w:val="single" w:sz="12" w:space="0" w:color="000000"/>
              <w:right w:val="nil"/>
            </w:tcBorders>
            <w:shd w:val="clear" w:color="auto" w:fill="auto"/>
            <w:vAlign w:val="bottom"/>
          </w:tcPr>
          <w:p w14:paraId="77F3C12C" w14:textId="0EF29F6F" w:rsidR="00615CD7" w:rsidRPr="000129B1" w:rsidRDefault="00615CD7" w:rsidP="00615CD7">
            <w:pPr>
              <w:tabs>
                <w:tab w:val="right" w:pos="1202"/>
              </w:tabs>
              <w:spacing w:after="0" w:line="240" w:lineRule="exact"/>
              <w:jc w:val="right"/>
              <w:outlineLvl w:val="0"/>
              <w:rPr>
                <w:rFonts w:ascii="Calibri" w:eastAsia="Times New Roman" w:hAnsi="Calibri" w:cs="Arial"/>
                <w:sz w:val="21"/>
                <w:szCs w:val="21"/>
                <w:lang w:val="en-US"/>
              </w:rPr>
            </w:pPr>
            <w:r w:rsidRPr="000129B1">
              <w:rPr>
                <w:rFonts w:cstheme="minorHAnsi"/>
                <w:b/>
                <w:bCs/>
                <w:sz w:val="21"/>
                <w:szCs w:val="21"/>
              </w:rPr>
              <w:t xml:space="preserve"> 15,964,376 </w:t>
            </w:r>
          </w:p>
        </w:tc>
      </w:tr>
    </w:tbl>
    <w:p w14:paraId="6C252354" w14:textId="77777777" w:rsidR="00D873D7" w:rsidRPr="00537128" w:rsidRDefault="00D873D7" w:rsidP="00FB32CA">
      <w:pPr>
        <w:autoSpaceDE w:val="0"/>
        <w:autoSpaceDN w:val="0"/>
        <w:adjustRightInd w:val="0"/>
        <w:spacing w:after="0" w:line="240" w:lineRule="auto"/>
        <w:jc w:val="both"/>
        <w:rPr>
          <w:noProof/>
          <w:color w:val="000000" w:themeColor="text1"/>
          <w:lang w:val="en-US"/>
        </w:rPr>
      </w:pPr>
    </w:p>
    <w:p w14:paraId="66917429" w14:textId="77777777" w:rsidR="008068CB" w:rsidRPr="00537128" w:rsidRDefault="008068CB" w:rsidP="00FB32CA">
      <w:pPr>
        <w:autoSpaceDE w:val="0"/>
        <w:autoSpaceDN w:val="0"/>
        <w:adjustRightInd w:val="0"/>
        <w:spacing w:after="0" w:line="240" w:lineRule="auto"/>
        <w:jc w:val="both"/>
        <w:rPr>
          <w:noProof/>
          <w:color w:val="000000" w:themeColor="text1"/>
          <w:lang w:val="en-US"/>
        </w:rPr>
      </w:pPr>
    </w:p>
    <w:p w14:paraId="75223B88" w14:textId="77777777" w:rsidR="00561218" w:rsidRPr="00537128" w:rsidRDefault="00561218" w:rsidP="00FB32CA">
      <w:pPr>
        <w:autoSpaceDE w:val="0"/>
        <w:autoSpaceDN w:val="0"/>
        <w:adjustRightInd w:val="0"/>
        <w:spacing w:after="0" w:line="240" w:lineRule="auto"/>
        <w:jc w:val="both"/>
        <w:rPr>
          <w:noProof/>
          <w:color w:val="000000" w:themeColor="text1"/>
          <w:lang w:val="en-US"/>
        </w:rPr>
        <w:sectPr w:rsidR="00561218" w:rsidRPr="00537128">
          <w:pgSz w:w="11906" w:h="16838"/>
          <w:pgMar w:top="1417" w:right="1417" w:bottom="1417" w:left="1417" w:header="708" w:footer="708" w:gutter="0"/>
          <w:cols w:space="708"/>
          <w:docGrid w:linePitch="360"/>
        </w:sectPr>
      </w:pPr>
    </w:p>
    <w:p w14:paraId="3D52CD2A" w14:textId="77777777" w:rsidR="008068CB" w:rsidRPr="00537128" w:rsidRDefault="008068CB" w:rsidP="008068CB">
      <w:pPr>
        <w:autoSpaceDE w:val="0"/>
        <w:autoSpaceDN w:val="0"/>
        <w:adjustRightInd w:val="0"/>
        <w:spacing w:after="0" w:line="240" w:lineRule="auto"/>
        <w:jc w:val="both"/>
        <w:rPr>
          <w:noProof/>
          <w:color w:val="000000" w:themeColor="text1"/>
          <w:lang w:val="en-US"/>
        </w:rPr>
      </w:pPr>
      <w:bookmarkStart w:id="372" w:name="_Hlk36812777"/>
    </w:p>
    <w:p w14:paraId="2C95885F" w14:textId="3A93B7D5" w:rsidR="008068CB" w:rsidRPr="00537128" w:rsidRDefault="008068CB" w:rsidP="005B7D9D">
      <w:pPr>
        <w:pStyle w:val="ListParagraph"/>
        <w:numPr>
          <w:ilvl w:val="0"/>
          <w:numId w:val="13"/>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 xml:space="preserve">Loans to other customers </w:t>
      </w:r>
      <w:r w:rsidR="00401370">
        <w:rPr>
          <w:b/>
          <w:noProof/>
          <w:color w:val="000000" w:themeColor="text1"/>
          <w:lang w:val="en-US"/>
        </w:rPr>
        <w:t>(continued)</w:t>
      </w:r>
    </w:p>
    <w:p w14:paraId="7F9D5C41" w14:textId="77777777" w:rsidR="003602EF" w:rsidRPr="00537128" w:rsidRDefault="003602EF" w:rsidP="00FB32CA">
      <w:pPr>
        <w:autoSpaceDE w:val="0"/>
        <w:autoSpaceDN w:val="0"/>
        <w:adjustRightInd w:val="0"/>
        <w:spacing w:after="0" w:line="240" w:lineRule="auto"/>
        <w:jc w:val="both"/>
        <w:rPr>
          <w:noProof/>
          <w:color w:val="000000" w:themeColor="text1"/>
          <w:lang w:val="en-US"/>
        </w:rPr>
      </w:pPr>
    </w:p>
    <w:bookmarkEnd w:id="372"/>
    <w:p w14:paraId="52E92F36" w14:textId="77777777" w:rsidR="00D7142E" w:rsidRPr="00537128" w:rsidRDefault="00D7142E" w:rsidP="00D7142E">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The movements in the loss allowances on loans to other customers may be summarized as follows:</w:t>
      </w:r>
    </w:p>
    <w:p w14:paraId="56C4FF5C" w14:textId="77777777" w:rsidR="00D7142E" w:rsidRPr="00537128" w:rsidRDefault="00D7142E" w:rsidP="00D7142E">
      <w:pPr>
        <w:autoSpaceDE w:val="0"/>
        <w:autoSpaceDN w:val="0"/>
        <w:adjustRightInd w:val="0"/>
        <w:spacing w:after="0" w:line="240" w:lineRule="auto"/>
        <w:jc w:val="both"/>
        <w:rPr>
          <w:noProof/>
          <w:color w:val="000000" w:themeColor="text1"/>
          <w:lang w:val="en-US"/>
        </w:rPr>
      </w:pPr>
    </w:p>
    <w:tbl>
      <w:tblPr>
        <w:tblW w:w="4990" w:type="pct"/>
        <w:tblLayout w:type="fixed"/>
        <w:tblLook w:val="0000" w:firstRow="0" w:lastRow="0" w:firstColumn="0" w:lastColumn="0" w:noHBand="0" w:noVBand="0"/>
      </w:tblPr>
      <w:tblGrid>
        <w:gridCol w:w="5669"/>
        <w:gridCol w:w="1456"/>
        <w:gridCol w:w="1929"/>
      </w:tblGrid>
      <w:tr w:rsidR="00D873D7" w:rsidRPr="00537128" w14:paraId="0ED14246" w14:textId="77777777" w:rsidTr="00B25C01">
        <w:trPr>
          <w:trHeight w:hRule="exact" w:val="234"/>
        </w:trPr>
        <w:tc>
          <w:tcPr>
            <w:tcW w:w="3131" w:type="pct"/>
          </w:tcPr>
          <w:p w14:paraId="0FDB9871" w14:textId="77777777" w:rsidR="00D873D7" w:rsidRPr="00537128" w:rsidRDefault="00D873D7" w:rsidP="00D873D7">
            <w:pPr>
              <w:tabs>
                <w:tab w:val="left" w:pos="-720"/>
              </w:tabs>
              <w:suppressAutoHyphens/>
              <w:spacing w:after="0" w:line="240" w:lineRule="auto"/>
              <w:rPr>
                <w:rFonts w:ascii="Calibri" w:eastAsia="Calibri" w:hAnsi="Calibri" w:cs="Arial"/>
                <w:b/>
                <w:noProof/>
                <w:spacing w:val="-3"/>
                <w:lang w:val="en-US"/>
              </w:rPr>
            </w:pPr>
          </w:p>
        </w:tc>
        <w:tc>
          <w:tcPr>
            <w:tcW w:w="804" w:type="pct"/>
            <w:vAlign w:val="bottom"/>
          </w:tcPr>
          <w:p w14:paraId="7673D0C9" w14:textId="77777777" w:rsidR="00D873D7" w:rsidRPr="00537128" w:rsidRDefault="00D873D7" w:rsidP="00D873D7">
            <w:pPr>
              <w:tabs>
                <w:tab w:val="right" w:pos="1202"/>
              </w:tabs>
              <w:spacing w:after="0" w:line="240" w:lineRule="auto"/>
              <w:jc w:val="right"/>
              <w:outlineLvl w:val="0"/>
              <w:rPr>
                <w:rFonts w:ascii="Calibri" w:eastAsia="Calibri" w:hAnsi="Calibri" w:cs="Arial"/>
                <w:b/>
                <w:noProof/>
                <w:lang w:val="en-US"/>
              </w:rPr>
            </w:pPr>
          </w:p>
        </w:tc>
        <w:tc>
          <w:tcPr>
            <w:tcW w:w="1065" w:type="pct"/>
            <w:vAlign w:val="bottom"/>
          </w:tcPr>
          <w:p w14:paraId="541D9B07" w14:textId="77777777" w:rsidR="00D873D7" w:rsidRPr="00537128" w:rsidRDefault="00D873D7" w:rsidP="00D873D7">
            <w:pPr>
              <w:tabs>
                <w:tab w:val="right" w:pos="1202"/>
              </w:tabs>
              <w:spacing w:after="0" w:line="240" w:lineRule="auto"/>
              <w:jc w:val="right"/>
              <w:outlineLvl w:val="0"/>
              <w:rPr>
                <w:rFonts w:ascii="Calibri" w:eastAsia="Calibri" w:hAnsi="Calibri" w:cs="Arial"/>
                <w:b/>
                <w:noProof/>
                <w:lang w:val="en-US"/>
              </w:rPr>
            </w:pPr>
            <w:r w:rsidRPr="00537128">
              <w:rPr>
                <w:rFonts w:ascii="Calibri" w:eastAsia="Calibri" w:hAnsi="Calibri" w:cs="Arial"/>
                <w:b/>
                <w:noProof/>
                <w:lang w:val="en-US"/>
              </w:rPr>
              <w:t>Group and Bank</w:t>
            </w:r>
          </w:p>
        </w:tc>
      </w:tr>
      <w:tr w:rsidR="00D873D7" w:rsidRPr="00537128" w14:paraId="1F7BF963" w14:textId="77777777" w:rsidTr="00B25C01">
        <w:trPr>
          <w:trHeight w:hRule="exact" w:val="502"/>
        </w:trPr>
        <w:tc>
          <w:tcPr>
            <w:tcW w:w="3131" w:type="pct"/>
          </w:tcPr>
          <w:p w14:paraId="0CE82C08" w14:textId="77777777" w:rsidR="00D873D7" w:rsidRPr="00537128" w:rsidRDefault="00D873D7" w:rsidP="00D873D7">
            <w:pPr>
              <w:tabs>
                <w:tab w:val="left" w:pos="-720"/>
              </w:tabs>
              <w:suppressAutoHyphens/>
              <w:spacing w:after="0" w:line="240" w:lineRule="auto"/>
              <w:rPr>
                <w:rFonts w:ascii="Calibri" w:eastAsia="Calibri" w:hAnsi="Calibri" w:cs="Arial"/>
                <w:b/>
                <w:noProof/>
                <w:spacing w:val="-3"/>
                <w:lang w:val="en-US"/>
              </w:rPr>
            </w:pPr>
          </w:p>
        </w:tc>
        <w:tc>
          <w:tcPr>
            <w:tcW w:w="804" w:type="pct"/>
            <w:vAlign w:val="bottom"/>
          </w:tcPr>
          <w:p w14:paraId="41EDF603" w14:textId="4995A6D1" w:rsidR="00D873D7" w:rsidRPr="00537128" w:rsidRDefault="00D873D7" w:rsidP="00D873D7">
            <w:pPr>
              <w:tabs>
                <w:tab w:val="right" w:pos="1202"/>
              </w:tabs>
              <w:spacing w:after="0" w:line="240" w:lineRule="auto"/>
              <w:jc w:val="right"/>
              <w:outlineLvl w:val="0"/>
              <w:rPr>
                <w:rFonts w:ascii="Calibri" w:eastAsia="Calibri" w:hAnsi="Calibri" w:cs="Calibri"/>
                <w:b/>
                <w:bCs/>
                <w:noProof/>
                <w:lang w:val="en-US"/>
              </w:rPr>
            </w:pPr>
            <w:r w:rsidRPr="00537128">
              <w:rPr>
                <w:rFonts w:ascii="Calibri" w:eastAsia="Calibri" w:hAnsi="Calibri" w:cs="Calibri"/>
                <w:b/>
                <w:bCs/>
                <w:noProof/>
                <w:lang w:val="en-US"/>
              </w:rPr>
              <w:t>Jan 1 - Mar 31,</w:t>
            </w:r>
          </w:p>
          <w:p w14:paraId="6103B963" w14:textId="265C10A0" w:rsidR="00D873D7" w:rsidRPr="00537128" w:rsidRDefault="00D873D7" w:rsidP="00D873D7">
            <w:pPr>
              <w:tabs>
                <w:tab w:val="right" w:pos="1202"/>
              </w:tabs>
              <w:spacing w:after="0" w:line="240" w:lineRule="auto"/>
              <w:jc w:val="right"/>
              <w:outlineLvl w:val="0"/>
              <w:rPr>
                <w:rFonts w:ascii="Calibri" w:eastAsia="Calibri" w:hAnsi="Calibri" w:cs="Arial"/>
                <w:b/>
                <w:noProof/>
                <w:lang w:val="en-US"/>
              </w:rPr>
            </w:pPr>
            <w:r w:rsidRPr="00537128">
              <w:rPr>
                <w:rFonts w:ascii="Calibri" w:eastAsia="Calibri" w:hAnsi="Calibri" w:cs="Calibri"/>
                <w:b/>
                <w:bCs/>
                <w:noProof/>
                <w:lang w:val="en-US"/>
              </w:rPr>
              <w:t xml:space="preserve"> 202</w:t>
            </w:r>
            <w:r w:rsidR="00A41091">
              <w:rPr>
                <w:rFonts w:ascii="Calibri" w:eastAsia="Calibri" w:hAnsi="Calibri" w:cs="Calibri"/>
                <w:b/>
                <w:bCs/>
                <w:noProof/>
                <w:lang w:val="en-US"/>
              </w:rPr>
              <w:t>2</w:t>
            </w:r>
          </w:p>
        </w:tc>
        <w:tc>
          <w:tcPr>
            <w:tcW w:w="1065" w:type="pct"/>
            <w:vAlign w:val="bottom"/>
          </w:tcPr>
          <w:p w14:paraId="531E4EB0" w14:textId="77777777" w:rsidR="00D873D7" w:rsidRPr="00537128" w:rsidRDefault="00D873D7" w:rsidP="00D873D7">
            <w:pPr>
              <w:tabs>
                <w:tab w:val="right" w:pos="1202"/>
              </w:tabs>
              <w:spacing w:after="0" w:line="240" w:lineRule="auto"/>
              <w:jc w:val="right"/>
              <w:outlineLvl w:val="0"/>
              <w:rPr>
                <w:rFonts w:ascii="Calibri" w:eastAsia="Calibri" w:hAnsi="Calibri" w:cs="Calibri"/>
                <w:b/>
                <w:bCs/>
                <w:noProof/>
                <w:lang w:val="en-US"/>
              </w:rPr>
            </w:pPr>
            <w:r w:rsidRPr="00537128">
              <w:rPr>
                <w:rFonts w:ascii="Calibri" w:eastAsia="Calibri" w:hAnsi="Calibri" w:cs="Calibri"/>
                <w:b/>
                <w:bCs/>
                <w:noProof/>
                <w:lang w:val="en-US"/>
              </w:rPr>
              <w:t>Jan 1 - Dec 31,</w:t>
            </w:r>
          </w:p>
          <w:p w14:paraId="078F4CA5" w14:textId="700F252C" w:rsidR="00D873D7" w:rsidRPr="00537128" w:rsidRDefault="00D873D7" w:rsidP="00D873D7">
            <w:pPr>
              <w:tabs>
                <w:tab w:val="right" w:pos="1202"/>
              </w:tabs>
              <w:spacing w:after="0" w:line="240" w:lineRule="auto"/>
              <w:jc w:val="right"/>
              <w:outlineLvl w:val="0"/>
              <w:rPr>
                <w:rFonts w:ascii="Calibri" w:eastAsia="Calibri" w:hAnsi="Calibri" w:cs="Calibri"/>
                <w:b/>
                <w:bCs/>
                <w:noProof/>
                <w:lang w:val="en-US"/>
              </w:rPr>
            </w:pPr>
            <w:r w:rsidRPr="00537128">
              <w:rPr>
                <w:rFonts w:ascii="Calibri" w:eastAsia="Calibri" w:hAnsi="Calibri" w:cs="Calibri"/>
                <w:b/>
                <w:bCs/>
                <w:noProof/>
                <w:lang w:val="en-US"/>
              </w:rPr>
              <w:t xml:space="preserve"> 202</w:t>
            </w:r>
            <w:r w:rsidR="00A41091">
              <w:rPr>
                <w:rFonts w:ascii="Calibri" w:eastAsia="Calibri" w:hAnsi="Calibri" w:cs="Calibri"/>
                <w:b/>
                <w:bCs/>
                <w:noProof/>
                <w:lang w:val="en-US"/>
              </w:rPr>
              <w:t>1</w:t>
            </w:r>
          </w:p>
        </w:tc>
      </w:tr>
      <w:tr w:rsidR="00D873D7" w:rsidRPr="00537128" w14:paraId="1CD0E2F6" w14:textId="77777777" w:rsidTr="00B25C01">
        <w:trPr>
          <w:trHeight w:hRule="exact" w:val="244"/>
        </w:trPr>
        <w:tc>
          <w:tcPr>
            <w:tcW w:w="3131" w:type="pct"/>
          </w:tcPr>
          <w:p w14:paraId="721AFB37" w14:textId="77777777" w:rsidR="00D873D7" w:rsidRPr="00537128" w:rsidRDefault="00D873D7" w:rsidP="00D873D7">
            <w:pPr>
              <w:tabs>
                <w:tab w:val="left" w:pos="-720"/>
              </w:tabs>
              <w:suppressAutoHyphens/>
              <w:spacing w:after="0" w:line="240" w:lineRule="auto"/>
              <w:rPr>
                <w:rFonts w:ascii="Calibri" w:eastAsia="Calibri" w:hAnsi="Calibri" w:cs="Arial"/>
                <w:b/>
                <w:noProof/>
                <w:spacing w:val="-3"/>
                <w:lang w:val="en-US"/>
              </w:rPr>
            </w:pPr>
          </w:p>
        </w:tc>
        <w:tc>
          <w:tcPr>
            <w:tcW w:w="804" w:type="pct"/>
            <w:vAlign w:val="bottom"/>
          </w:tcPr>
          <w:p w14:paraId="10246C49" w14:textId="396879B7" w:rsidR="00D873D7" w:rsidRPr="00537128" w:rsidRDefault="00D873D7" w:rsidP="00D873D7">
            <w:pPr>
              <w:tabs>
                <w:tab w:val="right" w:pos="1202"/>
              </w:tabs>
              <w:spacing w:after="0" w:line="240" w:lineRule="auto"/>
              <w:jc w:val="right"/>
              <w:outlineLvl w:val="0"/>
              <w:rPr>
                <w:rFonts w:ascii="Calibri" w:eastAsia="Calibri" w:hAnsi="Calibri" w:cs="Arial"/>
                <w:b/>
                <w:noProof/>
                <w:lang w:val="en-US"/>
              </w:rPr>
            </w:pPr>
            <w:r w:rsidRPr="00537128">
              <w:rPr>
                <w:rFonts w:ascii="Calibri" w:eastAsia="Calibri" w:hAnsi="Calibri" w:cs="Arial"/>
                <w:b/>
                <w:bCs/>
                <w:noProof/>
                <w:lang w:val="en-US"/>
              </w:rPr>
              <w:t xml:space="preserve">HRK </w:t>
            </w:r>
            <w:r w:rsidR="00417C24">
              <w:rPr>
                <w:rFonts w:ascii="Calibri" w:eastAsia="Calibri" w:hAnsi="Calibri" w:cs="Arial"/>
                <w:b/>
                <w:bCs/>
                <w:noProof/>
                <w:lang w:val="en-US"/>
              </w:rPr>
              <w:t>‘</w:t>
            </w:r>
            <w:r w:rsidRPr="00537128">
              <w:rPr>
                <w:rFonts w:ascii="Calibri" w:eastAsia="Calibri" w:hAnsi="Calibri" w:cs="Arial"/>
                <w:b/>
                <w:bCs/>
                <w:noProof/>
                <w:lang w:val="en-US"/>
              </w:rPr>
              <w:t>000</w:t>
            </w:r>
          </w:p>
        </w:tc>
        <w:tc>
          <w:tcPr>
            <w:tcW w:w="1065" w:type="pct"/>
            <w:vAlign w:val="bottom"/>
          </w:tcPr>
          <w:p w14:paraId="605AF75F" w14:textId="60AF50C7" w:rsidR="00D873D7" w:rsidRPr="00537128" w:rsidRDefault="00D873D7" w:rsidP="00D873D7">
            <w:pPr>
              <w:tabs>
                <w:tab w:val="right" w:pos="1202"/>
              </w:tabs>
              <w:spacing w:after="0" w:line="240" w:lineRule="auto"/>
              <w:jc w:val="right"/>
              <w:outlineLvl w:val="0"/>
              <w:rPr>
                <w:rFonts w:ascii="Calibri" w:eastAsia="Calibri" w:hAnsi="Calibri" w:cs="Arial"/>
                <w:b/>
                <w:noProof/>
                <w:lang w:val="en-US"/>
              </w:rPr>
            </w:pPr>
            <w:r w:rsidRPr="00537128">
              <w:rPr>
                <w:rFonts w:ascii="Calibri" w:eastAsia="Calibri" w:hAnsi="Calibri" w:cs="Arial"/>
                <w:b/>
                <w:bCs/>
                <w:noProof/>
                <w:lang w:val="en-US"/>
              </w:rPr>
              <w:t xml:space="preserve">HRK </w:t>
            </w:r>
            <w:r w:rsidR="00417C24">
              <w:rPr>
                <w:rFonts w:ascii="Calibri" w:eastAsia="Calibri" w:hAnsi="Calibri" w:cs="Arial"/>
                <w:b/>
                <w:bCs/>
                <w:noProof/>
                <w:lang w:val="en-US"/>
              </w:rPr>
              <w:t>‘</w:t>
            </w:r>
            <w:r w:rsidRPr="00537128">
              <w:rPr>
                <w:rFonts w:ascii="Calibri" w:eastAsia="Calibri" w:hAnsi="Calibri" w:cs="Arial"/>
                <w:b/>
                <w:bCs/>
                <w:noProof/>
                <w:lang w:val="en-US"/>
              </w:rPr>
              <w:t>000</w:t>
            </w:r>
          </w:p>
        </w:tc>
      </w:tr>
      <w:tr w:rsidR="002D4F17" w:rsidRPr="00537128" w14:paraId="08F022E4" w14:textId="77777777" w:rsidTr="000216EE">
        <w:trPr>
          <w:trHeight w:val="477"/>
        </w:trPr>
        <w:tc>
          <w:tcPr>
            <w:tcW w:w="3131" w:type="pct"/>
            <w:vAlign w:val="bottom"/>
          </w:tcPr>
          <w:p w14:paraId="149FBCFB" w14:textId="77777777" w:rsidR="002D4F17" w:rsidRPr="00537128" w:rsidRDefault="002D4F17" w:rsidP="002D4F17">
            <w:pPr>
              <w:tabs>
                <w:tab w:val="right" w:pos="1202"/>
              </w:tabs>
              <w:spacing w:after="0" w:line="240" w:lineRule="auto"/>
              <w:outlineLvl w:val="0"/>
              <w:rPr>
                <w:rFonts w:ascii="Calibri" w:eastAsia="Calibri" w:hAnsi="Calibri" w:cs="Arial"/>
                <w:bCs/>
                <w:noProof/>
                <w:lang w:val="en-US"/>
              </w:rPr>
            </w:pPr>
            <w:r w:rsidRPr="00537128">
              <w:rPr>
                <w:rFonts w:ascii="Calibri" w:eastAsia="Calibri" w:hAnsi="Calibri" w:cs="Arial"/>
                <w:bCs/>
                <w:noProof/>
                <w:lang w:val="en-US"/>
              </w:rPr>
              <w:t xml:space="preserve">Balance as of 1 January </w:t>
            </w:r>
          </w:p>
        </w:tc>
        <w:tc>
          <w:tcPr>
            <w:tcW w:w="804" w:type="pct"/>
            <w:tcBorders>
              <w:top w:val="nil"/>
              <w:left w:val="nil"/>
              <w:right w:val="nil"/>
            </w:tcBorders>
            <w:shd w:val="clear" w:color="auto" w:fill="auto"/>
            <w:vAlign w:val="bottom"/>
          </w:tcPr>
          <w:p w14:paraId="4F2192D8" w14:textId="13A983C7" w:rsidR="002D4F17" w:rsidRPr="00537128" w:rsidRDefault="002D4F17" w:rsidP="002D4F17">
            <w:pPr>
              <w:tabs>
                <w:tab w:val="right" w:pos="1202"/>
              </w:tabs>
              <w:spacing w:after="0" w:line="240" w:lineRule="auto"/>
              <w:jc w:val="right"/>
              <w:outlineLvl w:val="0"/>
              <w:rPr>
                <w:rFonts w:ascii="Calibri" w:eastAsia="Calibri" w:hAnsi="Calibri" w:cs="Calibri"/>
                <w:color w:val="000000"/>
                <w:lang w:val="en-US"/>
              </w:rPr>
            </w:pPr>
            <w:r>
              <w:rPr>
                <w:rFonts w:cstheme="minorHAnsi"/>
                <w:color w:val="000000" w:themeColor="text1"/>
              </w:rPr>
              <w:t>3</w:t>
            </w:r>
            <w:r w:rsidR="00D14C17">
              <w:rPr>
                <w:rFonts w:cstheme="minorHAnsi"/>
                <w:color w:val="000000" w:themeColor="text1"/>
              </w:rPr>
              <w:t>,</w:t>
            </w:r>
            <w:r>
              <w:rPr>
                <w:rFonts w:cstheme="minorHAnsi"/>
                <w:color w:val="000000" w:themeColor="text1"/>
              </w:rPr>
              <w:t>255</w:t>
            </w:r>
            <w:r w:rsidR="00D14C17">
              <w:rPr>
                <w:rFonts w:cstheme="minorHAnsi"/>
                <w:color w:val="000000" w:themeColor="text1"/>
              </w:rPr>
              <w:t>,</w:t>
            </w:r>
            <w:r>
              <w:rPr>
                <w:rFonts w:cstheme="minorHAnsi"/>
                <w:color w:val="000000" w:themeColor="text1"/>
              </w:rPr>
              <w:t>916</w:t>
            </w:r>
          </w:p>
        </w:tc>
        <w:tc>
          <w:tcPr>
            <w:tcW w:w="1065" w:type="pct"/>
            <w:tcBorders>
              <w:top w:val="nil"/>
              <w:left w:val="nil"/>
              <w:right w:val="nil"/>
            </w:tcBorders>
            <w:shd w:val="clear" w:color="auto" w:fill="auto"/>
            <w:vAlign w:val="bottom"/>
          </w:tcPr>
          <w:p w14:paraId="560B4202" w14:textId="50E21862" w:rsidR="002D4F17" w:rsidRPr="00537128" w:rsidRDefault="002D4F17" w:rsidP="002D4F17">
            <w:pPr>
              <w:tabs>
                <w:tab w:val="right" w:pos="1202"/>
              </w:tabs>
              <w:spacing w:after="0" w:line="240" w:lineRule="auto"/>
              <w:jc w:val="right"/>
              <w:outlineLvl w:val="0"/>
              <w:rPr>
                <w:rFonts w:ascii="Calibri" w:eastAsia="Calibri" w:hAnsi="Calibri" w:cs="Calibri"/>
                <w:color w:val="000000"/>
                <w:lang w:val="en-US"/>
              </w:rPr>
            </w:pPr>
            <w:r w:rsidRPr="00C20448">
              <w:rPr>
                <w:rFonts w:cstheme="minorHAnsi"/>
                <w:color w:val="000000" w:themeColor="text1"/>
              </w:rPr>
              <w:t>3</w:t>
            </w:r>
            <w:r>
              <w:rPr>
                <w:rFonts w:cstheme="minorHAnsi"/>
                <w:color w:val="000000" w:themeColor="text1"/>
              </w:rPr>
              <w:t>,</w:t>
            </w:r>
            <w:r w:rsidRPr="00C20448">
              <w:rPr>
                <w:rFonts w:cstheme="minorHAnsi"/>
                <w:color w:val="000000" w:themeColor="text1"/>
              </w:rPr>
              <w:t>475</w:t>
            </w:r>
            <w:r>
              <w:rPr>
                <w:rFonts w:cstheme="minorHAnsi"/>
                <w:color w:val="000000" w:themeColor="text1"/>
              </w:rPr>
              <w:t>,</w:t>
            </w:r>
            <w:r w:rsidRPr="00C20448">
              <w:rPr>
                <w:rFonts w:cstheme="minorHAnsi"/>
                <w:color w:val="000000" w:themeColor="text1"/>
              </w:rPr>
              <w:t>730</w:t>
            </w:r>
          </w:p>
        </w:tc>
      </w:tr>
      <w:tr w:rsidR="002D4F17" w:rsidRPr="00537128" w14:paraId="49935084" w14:textId="77777777" w:rsidTr="00B25C01">
        <w:trPr>
          <w:trHeight w:val="289"/>
        </w:trPr>
        <w:tc>
          <w:tcPr>
            <w:tcW w:w="3131" w:type="pct"/>
            <w:vAlign w:val="bottom"/>
          </w:tcPr>
          <w:p w14:paraId="7F774856" w14:textId="78824DCA" w:rsidR="002D4F17" w:rsidRPr="00537128" w:rsidRDefault="002D4F17" w:rsidP="002D4F17">
            <w:pPr>
              <w:tabs>
                <w:tab w:val="right" w:pos="1202"/>
              </w:tabs>
              <w:spacing w:after="0" w:line="240" w:lineRule="auto"/>
              <w:outlineLvl w:val="0"/>
              <w:rPr>
                <w:rFonts w:ascii="Calibri" w:eastAsia="Calibri" w:hAnsi="Calibri" w:cs="Arial"/>
                <w:b/>
                <w:bCs/>
                <w:noProof/>
                <w:lang w:val="en-US"/>
              </w:rPr>
            </w:pPr>
            <w:r w:rsidRPr="00537128">
              <w:rPr>
                <w:rFonts w:ascii="Calibri" w:eastAsia="Calibri" w:hAnsi="Calibri" w:cs="Arial"/>
                <w:noProof/>
                <w:lang w:val="en-US"/>
              </w:rPr>
              <w:t xml:space="preserve">Net </w:t>
            </w:r>
            <w:r w:rsidR="00E04363">
              <w:rPr>
                <w:rFonts w:ascii="Calibri" w:eastAsia="Calibri" w:hAnsi="Calibri" w:cs="Arial"/>
                <w:noProof/>
                <w:lang w:val="en-US"/>
              </w:rPr>
              <w:t>(de</w:t>
            </w:r>
            <w:r>
              <w:rPr>
                <w:rFonts w:ascii="Calibri" w:eastAsia="Calibri" w:hAnsi="Calibri" w:cs="Arial"/>
                <w:noProof/>
                <w:lang w:val="en-US"/>
              </w:rPr>
              <w:t>crease</w:t>
            </w:r>
            <w:r w:rsidR="00E04363">
              <w:rPr>
                <w:rFonts w:ascii="Calibri" w:eastAsia="Calibri" w:hAnsi="Calibri" w:cs="Arial"/>
                <w:noProof/>
                <w:lang w:val="en-US"/>
              </w:rPr>
              <w:t>)</w:t>
            </w:r>
            <w:r w:rsidR="00E3624A">
              <w:rPr>
                <w:rFonts w:ascii="Calibri" w:eastAsia="Calibri" w:hAnsi="Calibri" w:cs="Arial"/>
                <w:noProof/>
                <w:lang w:val="en-US"/>
              </w:rPr>
              <w:t>/increase</w:t>
            </w:r>
            <w:r w:rsidRPr="00537128">
              <w:rPr>
                <w:rFonts w:ascii="Calibri" w:eastAsia="Calibri" w:hAnsi="Calibri" w:cs="Arial"/>
                <w:noProof/>
                <w:lang w:val="en-US"/>
              </w:rPr>
              <w:t xml:space="preserve"> of loss allowances on loans to other customers and interest</w:t>
            </w:r>
          </w:p>
        </w:tc>
        <w:tc>
          <w:tcPr>
            <w:tcW w:w="804" w:type="pct"/>
            <w:tcBorders>
              <w:left w:val="nil"/>
              <w:bottom w:val="single" w:sz="4" w:space="0" w:color="auto"/>
              <w:right w:val="nil"/>
            </w:tcBorders>
            <w:shd w:val="clear" w:color="auto" w:fill="auto"/>
            <w:vAlign w:val="bottom"/>
          </w:tcPr>
          <w:p w14:paraId="1E1EFE56" w14:textId="1B9F8973" w:rsidR="002D4F17" w:rsidRPr="00537128" w:rsidRDefault="002D4F17" w:rsidP="002D4F17">
            <w:pPr>
              <w:tabs>
                <w:tab w:val="right" w:pos="1202"/>
              </w:tabs>
              <w:spacing w:after="0" w:line="240" w:lineRule="auto"/>
              <w:jc w:val="right"/>
              <w:outlineLvl w:val="0"/>
              <w:rPr>
                <w:rFonts w:ascii="Calibri" w:eastAsia="Calibri" w:hAnsi="Calibri" w:cs="Arial"/>
                <w:bCs/>
                <w:noProof/>
                <w:lang w:val="en-US"/>
              </w:rPr>
            </w:pPr>
            <w:r>
              <w:rPr>
                <w:rFonts w:cstheme="minorHAnsi"/>
                <w:color w:val="000000" w:themeColor="text1"/>
              </w:rPr>
              <w:t>(121</w:t>
            </w:r>
            <w:r w:rsidR="00D14C17">
              <w:rPr>
                <w:rFonts w:cstheme="minorHAnsi"/>
                <w:color w:val="000000" w:themeColor="text1"/>
              </w:rPr>
              <w:t>,</w:t>
            </w:r>
            <w:r>
              <w:rPr>
                <w:rFonts w:cstheme="minorHAnsi"/>
                <w:color w:val="000000" w:themeColor="text1"/>
              </w:rPr>
              <w:t>000)</w:t>
            </w:r>
          </w:p>
        </w:tc>
        <w:tc>
          <w:tcPr>
            <w:tcW w:w="1065" w:type="pct"/>
            <w:tcBorders>
              <w:left w:val="nil"/>
              <w:bottom w:val="single" w:sz="4" w:space="0" w:color="auto"/>
              <w:right w:val="nil"/>
            </w:tcBorders>
            <w:shd w:val="clear" w:color="auto" w:fill="auto"/>
            <w:vAlign w:val="bottom"/>
          </w:tcPr>
          <w:p w14:paraId="260FDCB8" w14:textId="60581638" w:rsidR="002D4F17" w:rsidRPr="00537128" w:rsidRDefault="002D4F17" w:rsidP="002D4F17">
            <w:pPr>
              <w:tabs>
                <w:tab w:val="right" w:pos="1202"/>
              </w:tabs>
              <w:spacing w:after="0" w:line="240" w:lineRule="auto"/>
              <w:jc w:val="right"/>
              <w:outlineLvl w:val="0"/>
              <w:rPr>
                <w:rFonts w:ascii="Calibri" w:eastAsia="Calibri" w:hAnsi="Calibri" w:cs="Arial"/>
                <w:bCs/>
                <w:noProof/>
                <w:lang w:val="en-US"/>
              </w:rPr>
            </w:pPr>
            <w:r w:rsidRPr="00C20448">
              <w:rPr>
                <w:rFonts w:cstheme="minorHAnsi"/>
                <w:color w:val="000000" w:themeColor="text1"/>
              </w:rPr>
              <w:t>78</w:t>
            </w:r>
            <w:r>
              <w:rPr>
                <w:rFonts w:cstheme="minorHAnsi"/>
                <w:color w:val="000000" w:themeColor="text1"/>
              </w:rPr>
              <w:t>,</w:t>
            </w:r>
            <w:r w:rsidRPr="00C20448">
              <w:rPr>
                <w:rFonts w:cstheme="minorHAnsi"/>
                <w:color w:val="000000" w:themeColor="text1"/>
              </w:rPr>
              <w:t>124</w:t>
            </w:r>
          </w:p>
        </w:tc>
      </w:tr>
      <w:tr w:rsidR="002D4F17" w:rsidRPr="00537128" w14:paraId="7D326B58" w14:textId="77777777" w:rsidTr="00B25C01">
        <w:trPr>
          <w:trHeight w:val="289"/>
        </w:trPr>
        <w:tc>
          <w:tcPr>
            <w:tcW w:w="3131" w:type="pct"/>
            <w:vAlign w:val="bottom"/>
          </w:tcPr>
          <w:p w14:paraId="3384B158" w14:textId="2A5C3A6D" w:rsidR="002D4F17" w:rsidRPr="00537128" w:rsidRDefault="002D4F17" w:rsidP="002D4F17">
            <w:pPr>
              <w:tabs>
                <w:tab w:val="right" w:pos="1202"/>
              </w:tabs>
              <w:spacing w:after="0" w:line="240" w:lineRule="auto"/>
              <w:outlineLvl w:val="0"/>
              <w:rPr>
                <w:rFonts w:ascii="Calibri" w:eastAsia="Calibri" w:hAnsi="Calibri" w:cs="Arial"/>
                <w:b/>
                <w:bCs/>
                <w:i/>
                <w:noProof/>
                <w:lang w:val="en-US"/>
              </w:rPr>
            </w:pPr>
            <w:r w:rsidRPr="00537128">
              <w:rPr>
                <w:rFonts w:ascii="Calibri" w:eastAsia="Calibri" w:hAnsi="Calibri" w:cs="Calibri"/>
                <w:i/>
                <w:noProof/>
                <w:lang w:val="en-US"/>
              </w:rPr>
              <w:t xml:space="preserve">Total recognised through Income </w:t>
            </w:r>
            <w:r w:rsidRPr="00E03045">
              <w:rPr>
                <w:rFonts w:ascii="Calibri" w:eastAsia="Calibri" w:hAnsi="Calibri" w:cs="Calibri"/>
                <w:i/>
                <w:noProof/>
                <w:lang w:val="en-US"/>
              </w:rPr>
              <w:t>Statement (</w:t>
            </w:r>
            <w:r w:rsidRPr="00A1123E">
              <w:rPr>
                <w:rFonts w:ascii="Calibri" w:eastAsia="Calibri" w:hAnsi="Calibri" w:cs="Calibri"/>
                <w:i/>
                <w:noProof/>
                <w:lang w:val="en-US"/>
              </w:rPr>
              <w:t>Note 8)</w:t>
            </w:r>
          </w:p>
        </w:tc>
        <w:tc>
          <w:tcPr>
            <w:tcW w:w="804" w:type="pct"/>
            <w:tcBorders>
              <w:top w:val="single" w:sz="4" w:space="0" w:color="auto"/>
              <w:left w:val="nil"/>
              <w:bottom w:val="single" w:sz="4" w:space="0" w:color="auto"/>
              <w:right w:val="nil"/>
            </w:tcBorders>
            <w:shd w:val="clear" w:color="auto" w:fill="auto"/>
            <w:vAlign w:val="bottom"/>
          </w:tcPr>
          <w:p w14:paraId="04944B33" w14:textId="16ACA9B8" w:rsidR="002D4F17" w:rsidRPr="00537128" w:rsidRDefault="002D4F17" w:rsidP="002D4F17">
            <w:pPr>
              <w:tabs>
                <w:tab w:val="right" w:pos="1202"/>
              </w:tabs>
              <w:spacing w:after="0" w:line="240" w:lineRule="auto"/>
              <w:jc w:val="right"/>
              <w:outlineLvl w:val="0"/>
              <w:rPr>
                <w:rFonts w:ascii="Calibri" w:eastAsia="Calibri" w:hAnsi="Calibri" w:cs="Arial"/>
                <w:bCs/>
                <w:i/>
                <w:noProof/>
                <w:lang w:val="en-US"/>
              </w:rPr>
            </w:pPr>
            <w:r>
              <w:rPr>
                <w:rFonts w:cstheme="minorHAnsi"/>
                <w:bCs/>
                <w:i/>
                <w:color w:val="000000" w:themeColor="text1"/>
              </w:rPr>
              <w:t>(121</w:t>
            </w:r>
            <w:r w:rsidR="00D14C17">
              <w:rPr>
                <w:rFonts w:cstheme="minorHAnsi"/>
                <w:bCs/>
                <w:i/>
                <w:color w:val="000000" w:themeColor="text1"/>
              </w:rPr>
              <w:t>,</w:t>
            </w:r>
            <w:r>
              <w:rPr>
                <w:rFonts w:cstheme="minorHAnsi"/>
                <w:bCs/>
                <w:i/>
                <w:color w:val="000000" w:themeColor="text1"/>
              </w:rPr>
              <w:t>000)</w:t>
            </w:r>
          </w:p>
        </w:tc>
        <w:tc>
          <w:tcPr>
            <w:tcW w:w="1065" w:type="pct"/>
            <w:tcBorders>
              <w:top w:val="single" w:sz="4" w:space="0" w:color="auto"/>
              <w:left w:val="nil"/>
              <w:bottom w:val="single" w:sz="4" w:space="0" w:color="auto"/>
              <w:right w:val="nil"/>
            </w:tcBorders>
            <w:shd w:val="clear" w:color="auto" w:fill="auto"/>
            <w:vAlign w:val="bottom"/>
          </w:tcPr>
          <w:p w14:paraId="481588EB" w14:textId="34C1F692" w:rsidR="002D4F17" w:rsidRPr="00537128" w:rsidRDefault="002D4F17" w:rsidP="002D4F17">
            <w:pPr>
              <w:tabs>
                <w:tab w:val="right" w:pos="1202"/>
              </w:tabs>
              <w:spacing w:after="0" w:line="240" w:lineRule="auto"/>
              <w:jc w:val="right"/>
              <w:outlineLvl w:val="0"/>
              <w:rPr>
                <w:rFonts w:ascii="Calibri" w:eastAsia="Calibri" w:hAnsi="Calibri" w:cs="Arial"/>
                <w:bCs/>
                <w:i/>
                <w:noProof/>
                <w:lang w:val="en-US"/>
              </w:rPr>
            </w:pPr>
            <w:r w:rsidRPr="00C20448">
              <w:rPr>
                <w:rFonts w:cstheme="minorHAnsi"/>
                <w:bCs/>
                <w:i/>
                <w:color w:val="000000" w:themeColor="text1"/>
              </w:rPr>
              <w:t>78</w:t>
            </w:r>
            <w:r>
              <w:rPr>
                <w:rFonts w:cstheme="minorHAnsi"/>
                <w:bCs/>
                <w:i/>
                <w:color w:val="000000" w:themeColor="text1"/>
              </w:rPr>
              <w:t>,</w:t>
            </w:r>
            <w:r w:rsidRPr="00C20448">
              <w:rPr>
                <w:rFonts w:cstheme="minorHAnsi"/>
                <w:bCs/>
                <w:i/>
                <w:color w:val="000000" w:themeColor="text1"/>
              </w:rPr>
              <w:t>124</w:t>
            </w:r>
          </w:p>
        </w:tc>
      </w:tr>
      <w:tr w:rsidR="002D4F17" w:rsidRPr="00537128" w14:paraId="1B18C46A" w14:textId="77777777" w:rsidTr="00B25C01">
        <w:trPr>
          <w:trHeight w:val="289"/>
        </w:trPr>
        <w:tc>
          <w:tcPr>
            <w:tcW w:w="3131" w:type="pct"/>
            <w:vAlign w:val="bottom"/>
          </w:tcPr>
          <w:p w14:paraId="124D1638" w14:textId="77777777" w:rsidR="002D4F17" w:rsidRPr="00537128" w:rsidRDefault="002D4F17" w:rsidP="002D4F17">
            <w:pPr>
              <w:tabs>
                <w:tab w:val="right" w:pos="1202"/>
              </w:tabs>
              <w:spacing w:after="0" w:line="240" w:lineRule="auto"/>
              <w:outlineLvl w:val="0"/>
              <w:rPr>
                <w:rFonts w:ascii="Calibri" w:eastAsia="Calibri" w:hAnsi="Calibri" w:cs="Calibri"/>
                <w:i/>
                <w:noProof/>
                <w:lang w:val="en-US"/>
              </w:rPr>
            </w:pPr>
            <w:r w:rsidRPr="00537128">
              <w:rPr>
                <w:rFonts w:ascii="Calibri" w:eastAsia="Calibri" w:hAnsi="Calibri" w:cs="Arial"/>
                <w:noProof/>
                <w:lang w:val="en-US"/>
              </w:rPr>
              <w:t>Net foreign exchange gain/loss on loss allowances</w:t>
            </w:r>
          </w:p>
        </w:tc>
        <w:tc>
          <w:tcPr>
            <w:tcW w:w="804" w:type="pct"/>
            <w:tcBorders>
              <w:top w:val="single" w:sz="4" w:space="0" w:color="auto"/>
              <w:left w:val="nil"/>
              <w:right w:val="nil"/>
            </w:tcBorders>
            <w:shd w:val="clear" w:color="auto" w:fill="auto"/>
            <w:vAlign w:val="bottom"/>
          </w:tcPr>
          <w:p w14:paraId="325A1093" w14:textId="50ADB7E0" w:rsidR="002D4F17" w:rsidRPr="00537128" w:rsidRDefault="002D4F17" w:rsidP="002D4F17">
            <w:pPr>
              <w:tabs>
                <w:tab w:val="right" w:pos="1202"/>
              </w:tabs>
              <w:spacing w:after="0" w:line="240" w:lineRule="auto"/>
              <w:jc w:val="right"/>
              <w:outlineLvl w:val="0"/>
              <w:rPr>
                <w:rFonts w:ascii="Calibri" w:eastAsia="Calibri" w:hAnsi="Calibri" w:cs="Arial"/>
                <w:bCs/>
                <w:noProof/>
                <w:lang w:val="en-US"/>
              </w:rPr>
            </w:pPr>
            <w:r>
              <w:rPr>
                <w:rFonts w:cstheme="minorHAnsi"/>
                <w:color w:val="000000" w:themeColor="text1"/>
              </w:rPr>
              <w:t>14</w:t>
            </w:r>
            <w:r w:rsidR="00D14C17">
              <w:rPr>
                <w:rFonts w:cstheme="minorHAnsi"/>
                <w:color w:val="000000" w:themeColor="text1"/>
              </w:rPr>
              <w:t>,</w:t>
            </w:r>
            <w:r>
              <w:rPr>
                <w:rFonts w:cstheme="minorHAnsi"/>
                <w:color w:val="000000" w:themeColor="text1"/>
              </w:rPr>
              <w:t>360</w:t>
            </w:r>
          </w:p>
        </w:tc>
        <w:tc>
          <w:tcPr>
            <w:tcW w:w="1065" w:type="pct"/>
            <w:tcBorders>
              <w:top w:val="single" w:sz="4" w:space="0" w:color="auto"/>
              <w:left w:val="nil"/>
              <w:right w:val="nil"/>
            </w:tcBorders>
            <w:shd w:val="clear" w:color="auto" w:fill="auto"/>
            <w:vAlign w:val="bottom"/>
          </w:tcPr>
          <w:p w14:paraId="443AB404" w14:textId="4356AF31" w:rsidR="002D4F17" w:rsidRPr="00537128" w:rsidRDefault="002D4F17" w:rsidP="002D4F17">
            <w:pPr>
              <w:tabs>
                <w:tab w:val="right" w:pos="1202"/>
              </w:tabs>
              <w:spacing w:after="0" w:line="240" w:lineRule="auto"/>
              <w:jc w:val="right"/>
              <w:outlineLvl w:val="0"/>
              <w:rPr>
                <w:rFonts w:ascii="Calibri" w:eastAsia="Calibri" w:hAnsi="Calibri" w:cs="Arial"/>
                <w:bCs/>
                <w:noProof/>
                <w:lang w:val="en-US"/>
              </w:rPr>
            </w:pPr>
            <w:r w:rsidRPr="00C20448">
              <w:rPr>
                <w:rFonts w:cstheme="minorHAnsi"/>
                <w:color w:val="000000" w:themeColor="text1"/>
              </w:rPr>
              <w:t>10</w:t>
            </w:r>
            <w:r>
              <w:rPr>
                <w:rFonts w:cstheme="minorHAnsi"/>
                <w:color w:val="000000" w:themeColor="text1"/>
              </w:rPr>
              <w:t>,</w:t>
            </w:r>
            <w:r w:rsidRPr="00C20448">
              <w:rPr>
                <w:rFonts w:cstheme="minorHAnsi"/>
                <w:color w:val="000000" w:themeColor="text1"/>
              </w:rPr>
              <w:t>478</w:t>
            </w:r>
          </w:p>
        </w:tc>
      </w:tr>
      <w:tr w:rsidR="002D4F17" w:rsidRPr="00537128" w14:paraId="4EC73EF1" w14:textId="77777777" w:rsidTr="00B25C01">
        <w:trPr>
          <w:trHeight w:val="289"/>
        </w:trPr>
        <w:tc>
          <w:tcPr>
            <w:tcW w:w="3131" w:type="pct"/>
            <w:vAlign w:val="bottom"/>
          </w:tcPr>
          <w:p w14:paraId="2033CA83" w14:textId="77777777" w:rsidR="002D4F17" w:rsidRPr="00537128" w:rsidRDefault="002D4F17" w:rsidP="002D4F17">
            <w:pPr>
              <w:tabs>
                <w:tab w:val="right" w:pos="1202"/>
              </w:tabs>
              <w:spacing w:after="0" w:line="240" w:lineRule="auto"/>
              <w:outlineLvl w:val="0"/>
              <w:rPr>
                <w:rFonts w:ascii="Calibri" w:eastAsia="Calibri" w:hAnsi="Calibri" w:cs="Calibri"/>
                <w:i/>
                <w:noProof/>
                <w:lang w:val="en-US"/>
              </w:rPr>
            </w:pPr>
            <w:r w:rsidRPr="00537128">
              <w:rPr>
                <w:rFonts w:ascii="Calibri" w:eastAsia="Calibri" w:hAnsi="Calibri" w:cs="Arial"/>
                <w:noProof/>
                <w:lang w:val="en-US"/>
              </w:rPr>
              <w:t>Write-offs</w:t>
            </w:r>
          </w:p>
        </w:tc>
        <w:tc>
          <w:tcPr>
            <w:tcW w:w="804" w:type="pct"/>
            <w:tcBorders>
              <w:left w:val="nil"/>
              <w:right w:val="nil"/>
            </w:tcBorders>
            <w:shd w:val="clear" w:color="auto" w:fill="auto"/>
            <w:vAlign w:val="bottom"/>
          </w:tcPr>
          <w:p w14:paraId="7DECB94F" w14:textId="7F6DA7FF" w:rsidR="002D4F17" w:rsidRPr="00537128" w:rsidRDefault="002D4F17" w:rsidP="002D4F17">
            <w:pPr>
              <w:tabs>
                <w:tab w:val="right" w:pos="1202"/>
              </w:tabs>
              <w:spacing w:after="0" w:line="240" w:lineRule="auto"/>
              <w:jc w:val="right"/>
              <w:outlineLvl w:val="0"/>
              <w:rPr>
                <w:rFonts w:ascii="Calibri" w:eastAsia="Calibri" w:hAnsi="Calibri" w:cs="Arial"/>
                <w:bCs/>
                <w:noProof/>
                <w:lang w:val="en-US"/>
              </w:rPr>
            </w:pPr>
            <w:r>
              <w:rPr>
                <w:rFonts w:cstheme="minorHAnsi"/>
                <w:color w:val="000000" w:themeColor="text1"/>
              </w:rPr>
              <w:t>(18</w:t>
            </w:r>
            <w:r w:rsidR="00D14C17">
              <w:rPr>
                <w:rFonts w:cstheme="minorHAnsi"/>
                <w:color w:val="000000" w:themeColor="text1"/>
              </w:rPr>
              <w:t>,</w:t>
            </w:r>
            <w:r>
              <w:rPr>
                <w:rFonts w:cstheme="minorHAnsi"/>
                <w:color w:val="000000" w:themeColor="text1"/>
              </w:rPr>
              <w:t>174)</w:t>
            </w:r>
          </w:p>
        </w:tc>
        <w:tc>
          <w:tcPr>
            <w:tcW w:w="1065" w:type="pct"/>
            <w:tcBorders>
              <w:left w:val="nil"/>
              <w:right w:val="nil"/>
            </w:tcBorders>
            <w:shd w:val="clear" w:color="auto" w:fill="auto"/>
            <w:vAlign w:val="bottom"/>
          </w:tcPr>
          <w:p w14:paraId="7D8E14F7" w14:textId="601A9837" w:rsidR="002D4F17" w:rsidRPr="00537128" w:rsidRDefault="002D4F17" w:rsidP="002D4F17">
            <w:pPr>
              <w:tabs>
                <w:tab w:val="right" w:pos="1202"/>
              </w:tabs>
              <w:spacing w:after="0" w:line="240" w:lineRule="auto"/>
              <w:jc w:val="right"/>
              <w:outlineLvl w:val="0"/>
              <w:rPr>
                <w:rFonts w:ascii="Calibri" w:eastAsia="Calibri" w:hAnsi="Calibri" w:cs="Arial"/>
                <w:bCs/>
                <w:noProof/>
                <w:lang w:val="en-US"/>
              </w:rPr>
            </w:pPr>
            <w:r w:rsidRPr="00C20448">
              <w:rPr>
                <w:rFonts w:cstheme="minorHAnsi"/>
                <w:color w:val="000000" w:themeColor="text1"/>
              </w:rPr>
              <w:t>(35</w:t>
            </w:r>
            <w:r>
              <w:rPr>
                <w:rFonts w:cstheme="minorHAnsi"/>
                <w:color w:val="000000" w:themeColor="text1"/>
              </w:rPr>
              <w:t>,</w:t>
            </w:r>
            <w:r w:rsidRPr="00C20448">
              <w:rPr>
                <w:rFonts w:cstheme="minorHAnsi"/>
                <w:color w:val="000000" w:themeColor="text1"/>
              </w:rPr>
              <w:t>053)</w:t>
            </w:r>
          </w:p>
        </w:tc>
      </w:tr>
      <w:tr w:rsidR="002D4F17" w:rsidRPr="00537128" w14:paraId="468E0C0A" w14:textId="77777777" w:rsidTr="00B25C01">
        <w:trPr>
          <w:trHeight w:hRule="exact" w:val="284"/>
        </w:trPr>
        <w:tc>
          <w:tcPr>
            <w:tcW w:w="3131" w:type="pct"/>
            <w:vAlign w:val="bottom"/>
          </w:tcPr>
          <w:p w14:paraId="1621E8F8" w14:textId="69289EE0" w:rsidR="002D4F17" w:rsidRDefault="002D4F17" w:rsidP="002D4F17">
            <w:pPr>
              <w:spacing w:line="240" w:lineRule="auto"/>
            </w:pPr>
            <w:r>
              <w:rPr>
                <w:rFonts w:ascii="Calibri" w:eastAsia="Calibri" w:hAnsi="Calibri" w:cs="Arial"/>
                <w:noProof/>
                <w:lang w:val="en-GB"/>
              </w:rPr>
              <w:t>Transfer to off-balance sheet records</w:t>
            </w:r>
          </w:p>
        </w:tc>
        <w:tc>
          <w:tcPr>
            <w:tcW w:w="804" w:type="pct"/>
            <w:tcBorders>
              <w:left w:val="nil"/>
              <w:right w:val="nil"/>
            </w:tcBorders>
            <w:shd w:val="clear" w:color="auto" w:fill="auto"/>
            <w:vAlign w:val="bottom"/>
          </w:tcPr>
          <w:p w14:paraId="2DF32486" w14:textId="6362493A" w:rsidR="002D4F17" w:rsidRPr="00537128" w:rsidRDefault="002D4F17" w:rsidP="002D4F17">
            <w:pPr>
              <w:tabs>
                <w:tab w:val="right" w:pos="1202"/>
              </w:tabs>
              <w:spacing w:after="0" w:line="240" w:lineRule="auto"/>
              <w:jc w:val="right"/>
              <w:outlineLvl w:val="0"/>
              <w:rPr>
                <w:rFonts w:ascii="Calibri" w:eastAsia="Calibri" w:hAnsi="Calibri" w:cs="Arial"/>
                <w:bCs/>
                <w:noProof/>
                <w:lang w:val="en-US"/>
              </w:rPr>
            </w:pPr>
            <w:r>
              <w:rPr>
                <w:rFonts w:cstheme="minorHAnsi"/>
                <w:color w:val="000000" w:themeColor="text1"/>
              </w:rPr>
              <w:t>-</w:t>
            </w:r>
          </w:p>
        </w:tc>
        <w:tc>
          <w:tcPr>
            <w:tcW w:w="1065" w:type="pct"/>
            <w:tcBorders>
              <w:left w:val="nil"/>
              <w:right w:val="nil"/>
            </w:tcBorders>
            <w:shd w:val="clear" w:color="auto" w:fill="auto"/>
            <w:vAlign w:val="bottom"/>
          </w:tcPr>
          <w:p w14:paraId="63CCE585" w14:textId="131C742B" w:rsidR="002D4F17" w:rsidRPr="00537128" w:rsidRDefault="002D4F17" w:rsidP="002D4F17">
            <w:pPr>
              <w:tabs>
                <w:tab w:val="right" w:pos="1202"/>
              </w:tabs>
              <w:spacing w:after="0" w:line="240" w:lineRule="auto"/>
              <w:jc w:val="right"/>
              <w:outlineLvl w:val="0"/>
              <w:rPr>
                <w:rFonts w:ascii="Calibri" w:eastAsia="Times New Roman" w:hAnsi="Calibri" w:cs="Calibri"/>
                <w:color w:val="000000"/>
                <w:lang w:val="en-US"/>
              </w:rPr>
            </w:pPr>
            <w:r w:rsidRPr="00104129">
              <w:rPr>
                <w:rFonts w:cstheme="minorHAnsi"/>
                <w:color w:val="000000" w:themeColor="text1"/>
              </w:rPr>
              <w:t>(271</w:t>
            </w:r>
            <w:r>
              <w:rPr>
                <w:rFonts w:cstheme="minorHAnsi"/>
                <w:color w:val="000000" w:themeColor="text1"/>
              </w:rPr>
              <w:t>,</w:t>
            </w:r>
            <w:r w:rsidRPr="00104129">
              <w:rPr>
                <w:rFonts w:cstheme="minorHAnsi"/>
                <w:color w:val="000000" w:themeColor="text1"/>
              </w:rPr>
              <w:t>036)</w:t>
            </w:r>
          </w:p>
        </w:tc>
      </w:tr>
      <w:tr w:rsidR="002D4F17" w:rsidRPr="00537128" w14:paraId="643E8DD1" w14:textId="77777777" w:rsidTr="007245E9">
        <w:trPr>
          <w:trHeight w:hRule="exact" w:val="479"/>
        </w:trPr>
        <w:tc>
          <w:tcPr>
            <w:tcW w:w="3131" w:type="pct"/>
            <w:vAlign w:val="bottom"/>
          </w:tcPr>
          <w:p w14:paraId="4CC67D17" w14:textId="714DB96A" w:rsidR="002D4F17" w:rsidRPr="00A1123E" w:rsidRDefault="002D4F17" w:rsidP="003C3F1B">
            <w:pPr>
              <w:spacing w:after="0" w:line="240" w:lineRule="auto"/>
            </w:pPr>
            <w:r>
              <w:rPr>
                <w:rFonts w:ascii="Calibri" w:hAnsi="Calibri"/>
              </w:rPr>
              <w:t>Derecognition due to the reduction to fair value as a result of the transfer to the portfolio of financial assets at FVPL</w:t>
            </w:r>
          </w:p>
        </w:tc>
        <w:tc>
          <w:tcPr>
            <w:tcW w:w="804" w:type="pct"/>
            <w:tcBorders>
              <w:left w:val="nil"/>
              <w:right w:val="nil"/>
            </w:tcBorders>
            <w:shd w:val="clear" w:color="auto" w:fill="auto"/>
            <w:vAlign w:val="bottom"/>
          </w:tcPr>
          <w:p w14:paraId="75B9B784" w14:textId="4CA01082" w:rsidR="002D4F17" w:rsidRPr="00537128" w:rsidRDefault="002D4F17" w:rsidP="003C3F1B">
            <w:pPr>
              <w:tabs>
                <w:tab w:val="right" w:pos="1202"/>
              </w:tabs>
              <w:spacing w:after="0" w:line="240" w:lineRule="auto"/>
              <w:jc w:val="right"/>
              <w:outlineLvl w:val="0"/>
              <w:rPr>
                <w:rFonts w:ascii="Calibri" w:eastAsia="Calibri" w:hAnsi="Calibri" w:cs="Arial"/>
                <w:bCs/>
                <w:noProof/>
                <w:lang w:val="en-US"/>
              </w:rPr>
            </w:pPr>
            <w:r>
              <w:rPr>
                <w:rFonts w:cstheme="minorHAnsi"/>
                <w:color w:val="000000" w:themeColor="text1"/>
              </w:rPr>
              <w:t>-</w:t>
            </w:r>
          </w:p>
        </w:tc>
        <w:tc>
          <w:tcPr>
            <w:tcW w:w="1065" w:type="pct"/>
            <w:tcBorders>
              <w:left w:val="nil"/>
              <w:right w:val="nil"/>
            </w:tcBorders>
            <w:shd w:val="clear" w:color="auto" w:fill="auto"/>
            <w:vAlign w:val="bottom"/>
          </w:tcPr>
          <w:p w14:paraId="70C22CD3" w14:textId="5B71E83B" w:rsidR="002D4F17" w:rsidRPr="00537128" w:rsidRDefault="002D4F17" w:rsidP="003C3F1B">
            <w:pPr>
              <w:tabs>
                <w:tab w:val="right" w:pos="1202"/>
              </w:tabs>
              <w:spacing w:after="0" w:line="240" w:lineRule="auto"/>
              <w:jc w:val="right"/>
              <w:outlineLvl w:val="0"/>
              <w:rPr>
                <w:rFonts w:ascii="Calibri" w:eastAsia="Calibri" w:hAnsi="Calibri" w:cs="Calibri"/>
                <w:color w:val="000000"/>
                <w:lang w:val="en-US"/>
              </w:rPr>
            </w:pPr>
            <w:r w:rsidRPr="00104129">
              <w:rPr>
                <w:rFonts w:cstheme="minorHAnsi"/>
                <w:color w:val="000000" w:themeColor="text1"/>
              </w:rPr>
              <w:t>(48</w:t>
            </w:r>
            <w:r>
              <w:rPr>
                <w:rFonts w:cstheme="minorHAnsi"/>
                <w:color w:val="000000" w:themeColor="text1"/>
              </w:rPr>
              <w:t>,</w:t>
            </w:r>
            <w:r w:rsidRPr="00104129">
              <w:rPr>
                <w:rFonts w:cstheme="minorHAnsi"/>
                <w:color w:val="000000" w:themeColor="text1"/>
              </w:rPr>
              <w:t>019)</w:t>
            </w:r>
          </w:p>
        </w:tc>
      </w:tr>
      <w:tr w:rsidR="002D4F17" w:rsidRPr="00537128" w14:paraId="60F8A3B0" w14:textId="77777777" w:rsidTr="009F2D69">
        <w:trPr>
          <w:trHeight w:val="64"/>
        </w:trPr>
        <w:tc>
          <w:tcPr>
            <w:tcW w:w="3131" w:type="pct"/>
            <w:vAlign w:val="bottom"/>
          </w:tcPr>
          <w:p w14:paraId="4018385F" w14:textId="527055C0" w:rsidR="002D4F17" w:rsidRPr="00537128" w:rsidRDefault="002D4F17" w:rsidP="002D4F17">
            <w:pPr>
              <w:tabs>
                <w:tab w:val="right" w:pos="1202"/>
              </w:tabs>
              <w:spacing w:after="0" w:line="240" w:lineRule="auto"/>
              <w:outlineLvl w:val="0"/>
              <w:rPr>
                <w:rFonts w:ascii="Calibri" w:eastAsia="Calibri" w:hAnsi="Calibri" w:cs="Arial"/>
                <w:noProof/>
                <w:lang w:val="en-US"/>
              </w:rPr>
            </w:pPr>
            <w:r w:rsidRPr="000239F2">
              <w:rPr>
                <w:rFonts w:cstheme="minorHAnsi"/>
                <w:color w:val="3C4043"/>
              </w:rPr>
              <w:t>Derecognition due to sale of receivables</w:t>
            </w:r>
          </w:p>
        </w:tc>
        <w:tc>
          <w:tcPr>
            <w:tcW w:w="804" w:type="pct"/>
            <w:tcBorders>
              <w:left w:val="nil"/>
              <w:right w:val="nil"/>
            </w:tcBorders>
            <w:shd w:val="clear" w:color="auto" w:fill="auto"/>
            <w:vAlign w:val="bottom"/>
          </w:tcPr>
          <w:p w14:paraId="7C376E59" w14:textId="33A62E48" w:rsidR="002D4F17" w:rsidRPr="00537128" w:rsidRDefault="002D4F17" w:rsidP="002D4F17">
            <w:pPr>
              <w:tabs>
                <w:tab w:val="right" w:pos="1202"/>
              </w:tabs>
              <w:spacing w:after="0" w:line="240" w:lineRule="auto"/>
              <w:jc w:val="right"/>
              <w:outlineLvl w:val="0"/>
              <w:rPr>
                <w:rFonts w:ascii="Calibri" w:eastAsia="Calibri" w:hAnsi="Calibri" w:cs="Calibri"/>
                <w:color w:val="000000"/>
                <w:lang w:val="en-US"/>
              </w:rPr>
            </w:pPr>
            <w:r>
              <w:rPr>
                <w:rFonts w:cstheme="minorHAnsi"/>
                <w:color w:val="000000" w:themeColor="text1"/>
              </w:rPr>
              <w:t>-</w:t>
            </w:r>
          </w:p>
        </w:tc>
        <w:tc>
          <w:tcPr>
            <w:tcW w:w="1065" w:type="pct"/>
            <w:tcBorders>
              <w:left w:val="nil"/>
              <w:right w:val="nil"/>
            </w:tcBorders>
            <w:shd w:val="clear" w:color="auto" w:fill="auto"/>
            <w:vAlign w:val="bottom"/>
          </w:tcPr>
          <w:p w14:paraId="7591445D" w14:textId="05DDDBB1" w:rsidR="002D4F17" w:rsidRPr="00537128" w:rsidRDefault="002D4F17" w:rsidP="002D4F17">
            <w:pPr>
              <w:tabs>
                <w:tab w:val="right" w:pos="1202"/>
              </w:tabs>
              <w:spacing w:after="0" w:line="240" w:lineRule="auto"/>
              <w:jc w:val="right"/>
              <w:outlineLvl w:val="0"/>
              <w:rPr>
                <w:rFonts w:ascii="Calibri" w:eastAsia="Times New Roman" w:hAnsi="Calibri" w:cs="Calibri"/>
                <w:color w:val="000000"/>
                <w:lang w:val="en-US"/>
              </w:rPr>
            </w:pPr>
            <w:r w:rsidRPr="00104129">
              <w:rPr>
                <w:rFonts w:cstheme="minorHAnsi"/>
                <w:color w:val="000000" w:themeColor="text1"/>
              </w:rPr>
              <w:t>(737)</w:t>
            </w:r>
          </w:p>
        </w:tc>
      </w:tr>
      <w:tr w:rsidR="002D4F17" w:rsidRPr="00537128" w14:paraId="7A98C67C" w14:textId="77777777" w:rsidTr="00B25C01">
        <w:trPr>
          <w:trHeight w:val="289"/>
        </w:trPr>
        <w:tc>
          <w:tcPr>
            <w:tcW w:w="3131" w:type="pct"/>
            <w:vAlign w:val="bottom"/>
          </w:tcPr>
          <w:p w14:paraId="4ED36BCF" w14:textId="77777777" w:rsidR="002D4F17" w:rsidRPr="00537128" w:rsidRDefault="002D4F17" w:rsidP="002D4F17">
            <w:pPr>
              <w:tabs>
                <w:tab w:val="right" w:pos="1202"/>
              </w:tabs>
              <w:spacing w:after="0" w:line="240" w:lineRule="auto"/>
              <w:outlineLvl w:val="0"/>
              <w:rPr>
                <w:rFonts w:ascii="Calibri" w:eastAsia="Calibri" w:hAnsi="Calibri" w:cs="Arial"/>
                <w:noProof/>
                <w:lang w:val="en-US"/>
              </w:rPr>
            </w:pPr>
            <w:r w:rsidRPr="00537128">
              <w:rPr>
                <w:rFonts w:ascii="Calibri" w:eastAsia="Calibri" w:hAnsi="Calibri" w:cs="Arial"/>
                <w:noProof/>
                <w:lang w:val="en-US"/>
              </w:rPr>
              <w:t xml:space="preserve">Loss allowances transferred from loans to financial institutions </w:t>
            </w:r>
          </w:p>
        </w:tc>
        <w:tc>
          <w:tcPr>
            <w:tcW w:w="804" w:type="pct"/>
            <w:tcBorders>
              <w:left w:val="nil"/>
              <w:right w:val="nil"/>
            </w:tcBorders>
            <w:shd w:val="clear" w:color="auto" w:fill="auto"/>
            <w:vAlign w:val="bottom"/>
          </w:tcPr>
          <w:p w14:paraId="1FDBB8B8" w14:textId="094A5EF2" w:rsidR="002D4F17" w:rsidRPr="00537128" w:rsidRDefault="002D4F17" w:rsidP="002D4F17">
            <w:pPr>
              <w:tabs>
                <w:tab w:val="right" w:pos="1202"/>
              </w:tabs>
              <w:spacing w:after="0" w:line="240" w:lineRule="auto"/>
              <w:jc w:val="right"/>
              <w:outlineLvl w:val="0"/>
              <w:rPr>
                <w:rFonts w:ascii="Calibri" w:eastAsia="Calibri" w:hAnsi="Calibri" w:cs="Calibri"/>
                <w:color w:val="000000"/>
                <w:lang w:val="en-US"/>
              </w:rPr>
            </w:pPr>
            <w:r>
              <w:rPr>
                <w:rFonts w:cstheme="minorHAnsi"/>
                <w:color w:val="000000" w:themeColor="text1"/>
              </w:rPr>
              <w:t>-</w:t>
            </w:r>
          </w:p>
        </w:tc>
        <w:tc>
          <w:tcPr>
            <w:tcW w:w="1065" w:type="pct"/>
            <w:tcBorders>
              <w:left w:val="nil"/>
              <w:right w:val="nil"/>
            </w:tcBorders>
            <w:shd w:val="clear" w:color="auto" w:fill="auto"/>
            <w:vAlign w:val="bottom"/>
          </w:tcPr>
          <w:p w14:paraId="4B4A407D" w14:textId="14AC5862" w:rsidR="002D4F17" w:rsidRPr="00537128" w:rsidRDefault="002D4F17" w:rsidP="002D4F17">
            <w:pPr>
              <w:tabs>
                <w:tab w:val="right" w:pos="1202"/>
              </w:tabs>
              <w:spacing w:after="0" w:line="240" w:lineRule="auto"/>
              <w:jc w:val="right"/>
              <w:outlineLvl w:val="0"/>
              <w:rPr>
                <w:rFonts w:ascii="Calibri" w:eastAsia="Calibri" w:hAnsi="Calibri" w:cs="Arial"/>
                <w:bCs/>
                <w:noProof/>
                <w:lang w:val="en-US"/>
              </w:rPr>
            </w:pPr>
            <w:r w:rsidRPr="00C20448">
              <w:rPr>
                <w:rFonts w:cstheme="minorHAnsi"/>
                <w:color w:val="000000" w:themeColor="text1"/>
              </w:rPr>
              <w:t>16</w:t>
            </w:r>
          </w:p>
        </w:tc>
      </w:tr>
      <w:tr w:rsidR="002D4F17" w:rsidRPr="00537128" w14:paraId="5167D625" w14:textId="77777777" w:rsidTr="00B25C01">
        <w:trPr>
          <w:trHeight w:val="289"/>
        </w:trPr>
        <w:tc>
          <w:tcPr>
            <w:tcW w:w="3131" w:type="pct"/>
            <w:vAlign w:val="bottom"/>
          </w:tcPr>
          <w:p w14:paraId="52038366" w14:textId="77777777" w:rsidR="002D4F17" w:rsidRPr="00537128" w:rsidRDefault="002D4F17" w:rsidP="002D4F17">
            <w:pPr>
              <w:tabs>
                <w:tab w:val="right" w:pos="1202"/>
              </w:tabs>
              <w:spacing w:after="0" w:line="240" w:lineRule="auto"/>
              <w:outlineLvl w:val="0"/>
              <w:rPr>
                <w:rFonts w:ascii="Calibri" w:eastAsia="Calibri" w:hAnsi="Calibri" w:cs="Calibri"/>
                <w:i/>
                <w:noProof/>
                <w:lang w:val="en-US"/>
              </w:rPr>
            </w:pPr>
            <w:r w:rsidRPr="00537128">
              <w:rPr>
                <w:rFonts w:ascii="Calibri" w:eastAsia="Calibri" w:hAnsi="Calibri" w:cs="Arial"/>
                <w:noProof/>
                <w:lang w:val="en-US"/>
              </w:rPr>
              <w:t>Unwinding – changes due to the lapse of time</w:t>
            </w:r>
          </w:p>
        </w:tc>
        <w:tc>
          <w:tcPr>
            <w:tcW w:w="804" w:type="pct"/>
            <w:tcBorders>
              <w:left w:val="nil"/>
              <w:right w:val="nil"/>
            </w:tcBorders>
            <w:shd w:val="clear" w:color="auto" w:fill="auto"/>
            <w:vAlign w:val="bottom"/>
          </w:tcPr>
          <w:p w14:paraId="6BD4BFBC" w14:textId="2EC7A288" w:rsidR="002D4F17" w:rsidRPr="00537128" w:rsidRDefault="002D4F17" w:rsidP="002D4F17">
            <w:pPr>
              <w:tabs>
                <w:tab w:val="right" w:pos="1202"/>
              </w:tabs>
              <w:spacing w:after="0" w:line="240" w:lineRule="auto"/>
              <w:jc w:val="right"/>
              <w:outlineLvl w:val="0"/>
              <w:rPr>
                <w:rFonts w:ascii="Calibri" w:eastAsia="Calibri" w:hAnsi="Calibri" w:cs="Arial"/>
                <w:bCs/>
                <w:noProof/>
                <w:lang w:val="en-US"/>
              </w:rPr>
            </w:pPr>
            <w:r>
              <w:rPr>
                <w:rFonts w:cstheme="minorHAnsi"/>
                <w:color w:val="000000" w:themeColor="text1"/>
              </w:rPr>
              <w:t>(4</w:t>
            </w:r>
            <w:r w:rsidR="00D14C17">
              <w:rPr>
                <w:rFonts w:cstheme="minorHAnsi"/>
                <w:color w:val="000000" w:themeColor="text1"/>
              </w:rPr>
              <w:t>,</w:t>
            </w:r>
            <w:r>
              <w:rPr>
                <w:rFonts w:cstheme="minorHAnsi"/>
                <w:color w:val="000000" w:themeColor="text1"/>
              </w:rPr>
              <w:t>316)</w:t>
            </w:r>
          </w:p>
        </w:tc>
        <w:tc>
          <w:tcPr>
            <w:tcW w:w="1065" w:type="pct"/>
            <w:tcBorders>
              <w:left w:val="nil"/>
              <w:right w:val="nil"/>
            </w:tcBorders>
            <w:shd w:val="clear" w:color="auto" w:fill="auto"/>
            <w:vAlign w:val="bottom"/>
          </w:tcPr>
          <w:p w14:paraId="5BCC8DC6" w14:textId="27F87877" w:rsidR="002D4F17" w:rsidRPr="00537128" w:rsidRDefault="002D4F17" w:rsidP="002D4F17">
            <w:pPr>
              <w:tabs>
                <w:tab w:val="right" w:pos="1202"/>
              </w:tabs>
              <w:spacing w:after="0" w:line="240" w:lineRule="auto"/>
              <w:jc w:val="right"/>
              <w:outlineLvl w:val="0"/>
              <w:rPr>
                <w:rFonts w:ascii="Calibri" w:eastAsia="Calibri" w:hAnsi="Calibri" w:cs="Arial"/>
                <w:bCs/>
                <w:noProof/>
                <w:lang w:val="en-US"/>
              </w:rPr>
            </w:pPr>
            <w:r w:rsidRPr="00C20448">
              <w:rPr>
                <w:rFonts w:cstheme="minorHAnsi"/>
                <w:color w:val="000000" w:themeColor="text1"/>
              </w:rPr>
              <w:t>25</w:t>
            </w:r>
            <w:r>
              <w:rPr>
                <w:rFonts w:cstheme="minorHAnsi"/>
                <w:color w:val="000000" w:themeColor="text1"/>
              </w:rPr>
              <w:t>,</w:t>
            </w:r>
            <w:r w:rsidRPr="00C20448">
              <w:rPr>
                <w:rFonts w:cstheme="minorHAnsi"/>
                <w:color w:val="000000" w:themeColor="text1"/>
              </w:rPr>
              <w:t>087</w:t>
            </w:r>
          </w:p>
        </w:tc>
      </w:tr>
      <w:tr w:rsidR="002D4F17" w:rsidRPr="00537128" w14:paraId="1AEECBA9" w14:textId="77777777" w:rsidTr="00B25C01">
        <w:trPr>
          <w:trHeight w:val="289"/>
        </w:trPr>
        <w:tc>
          <w:tcPr>
            <w:tcW w:w="3131" w:type="pct"/>
            <w:vAlign w:val="bottom"/>
          </w:tcPr>
          <w:p w14:paraId="178F34E4" w14:textId="77777777" w:rsidR="002D4F17" w:rsidRPr="00537128" w:rsidRDefault="002D4F17" w:rsidP="002D4F17">
            <w:pPr>
              <w:tabs>
                <w:tab w:val="right" w:pos="1202"/>
              </w:tabs>
              <w:spacing w:after="0" w:line="240" w:lineRule="auto"/>
              <w:outlineLvl w:val="0"/>
              <w:rPr>
                <w:rFonts w:ascii="Calibri" w:eastAsia="Calibri" w:hAnsi="Calibri" w:cs="Calibri"/>
                <w:i/>
                <w:noProof/>
                <w:lang w:val="en-US"/>
              </w:rPr>
            </w:pPr>
            <w:r w:rsidRPr="00537128">
              <w:rPr>
                <w:rFonts w:ascii="Calibri" w:eastAsia="Calibri" w:hAnsi="Calibri" w:cs="Arial"/>
                <w:noProof/>
                <w:lang w:val="en-US"/>
              </w:rPr>
              <w:t>Acquisition of immovable property</w:t>
            </w:r>
          </w:p>
        </w:tc>
        <w:tc>
          <w:tcPr>
            <w:tcW w:w="804" w:type="pct"/>
            <w:tcBorders>
              <w:left w:val="nil"/>
              <w:right w:val="nil"/>
            </w:tcBorders>
            <w:shd w:val="clear" w:color="auto" w:fill="auto"/>
            <w:vAlign w:val="bottom"/>
          </w:tcPr>
          <w:p w14:paraId="6BECD46F" w14:textId="140EC5E0" w:rsidR="002D4F17" w:rsidRPr="00537128" w:rsidRDefault="002D4F17" w:rsidP="002D4F17">
            <w:pPr>
              <w:tabs>
                <w:tab w:val="right" w:pos="1202"/>
              </w:tabs>
              <w:spacing w:after="0" w:line="240" w:lineRule="auto"/>
              <w:jc w:val="right"/>
              <w:outlineLvl w:val="0"/>
              <w:rPr>
                <w:rFonts w:ascii="Calibri" w:eastAsia="Calibri" w:hAnsi="Calibri" w:cs="Arial"/>
                <w:bCs/>
                <w:noProof/>
                <w:lang w:val="en-US"/>
              </w:rPr>
            </w:pPr>
            <w:r>
              <w:rPr>
                <w:rFonts w:cstheme="minorHAnsi"/>
                <w:color w:val="000000" w:themeColor="text1"/>
              </w:rPr>
              <w:t>-</w:t>
            </w:r>
          </w:p>
        </w:tc>
        <w:tc>
          <w:tcPr>
            <w:tcW w:w="1065" w:type="pct"/>
            <w:tcBorders>
              <w:left w:val="nil"/>
              <w:right w:val="nil"/>
            </w:tcBorders>
            <w:shd w:val="clear" w:color="auto" w:fill="auto"/>
            <w:vAlign w:val="bottom"/>
          </w:tcPr>
          <w:p w14:paraId="779E9CB5" w14:textId="109DE238" w:rsidR="002D4F17" w:rsidRPr="00537128" w:rsidRDefault="002D4F17" w:rsidP="002D4F17">
            <w:pPr>
              <w:tabs>
                <w:tab w:val="right" w:pos="1202"/>
              </w:tabs>
              <w:spacing w:after="0" w:line="240" w:lineRule="auto"/>
              <w:jc w:val="right"/>
              <w:outlineLvl w:val="0"/>
              <w:rPr>
                <w:rFonts w:ascii="Calibri" w:eastAsia="Calibri" w:hAnsi="Calibri" w:cs="Arial"/>
                <w:bCs/>
                <w:noProof/>
                <w:lang w:val="en-US"/>
              </w:rPr>
            </w:pPr>
            <w:r>
              <w:rPr>
                <w:rFonts w:cstheme="minorHAnsi"/>
                <w:color w:val="000000" w:themeColor="text1"/>
              </w:rPr>
              <w:t>-</w:t>
            </w:r>
          </w:p>
        </w:tc>
      </w:tr>
      <w:tr w:rsidR="002D4F17" w:rsidRPr="00537128" w14:paraId="5718D73D" w14:textId="77777777" w:rsidTr="00B25C01">
        <w:trPr>
          <w:trHeight w:val="289"/>
        </w:trPr>
        <w:tc>
          <w:tcPr>
            <w:tcW w:w="3131" w:type="pct"/>
            <w:vAlign w:val="bottom"/>
          </w:tcPr>
          <w:p w14:paraId="64C47E90" w14:textId="77777777" w:rsidR="002D4F17" w:rsidRPr="00537128" w:rsidRDefault="002D4F17" w:rsidP="002D4F17">
            <w:pPr>
              <w:tabs>
                <w:tab w:val="right" w:pos="1202"/>
              </w:tabs>
              <w:spacing w:after="0" w:line="240" w:lineRule="auto"/>
              <w:outlineLvl w:val="0"/>
              <w:rPr>
                <w:rFonts w:ascii="Calibri" w:eastAsia="Calibri" w:hAnsi="Calibri" w:cs="Calibri"/>
                <w:i/>
                <w:noProof/>
                <w:lang w:val="en-US"/>
              </w:rPr>
            </w:pPr>
            <w:r w:rsidRPr="00537128">
              <w:rPr>
                <w:rFonts w:ascii="Calibri" w:eastAsia="Calibri" w:hAnsi="Calibri" w:cs="Calibri"/>
                <w:noProof/>
                <w:lang w:val="en-US"/>
              </w:rPr>
              <w:t>Interest transferred from the off-balance sheet records and other</w:t>
            </w:r>
          </w:p>
        </w:tc>
        <w:tc>
          <w:tcPr>
            <w:tcW w:w="804" w:type="pct"/>
            <w:tcBorders>
              <w:left w:val="nil"/>
              <w:bottom w:val="single" w:sz="4" w:space="0" w:color="auto"/>
              <w:right w:val="nil"/>
            </w:tcBorders>
            <w:shd w:val="clear" w:color="auto" w:fill="auto"/>
            <w:vAlign w:val="bottom"/>
          </w:tcPr>
          <w:p w14:paraId="61384575" w14:textId="5B6BFB4C" w:rsidR="002D4F17" w:rsidRPr="00537128" w:rsidRDefault="002D4F17" w:rsidP="002D4F17">
            <w:pPr>
              <w:tabs>
                <w:tab w:val="right" w:pos="1202"/>
              </w:tabs>
              <w:spacing w:after="0" w:line="240" w:lineRule="auto"/>
              <w:jc w:val="right"/>
              <w:outlineLvl w:val="0"/>
              <w:rPr>
                <w:rFonts w:ascii="Calibri" w:eastAsia="Calibri" w:hAnsi="Calibri" w:cs="Arial"/>
                <w:bCs/>
                <w:noProof/>
                <w:lang w:val="en-US"/>
              </w:rPr>
            </w:pPr>
            <w:r>
              <w:rPr>
                <w:rFonts w:cstheme="minorHAnsi"/>
                <w:color w:val="000000" w:themeColor="text1"/>
              </w:rPr>
              <w:t>19</w:t>
            </w:r>
            <w:r w:rsidR="00D14C17">
              <w:rPr>
                <w:rFonts w:cstheme="minorHAnsi"/>
                <w:color w:val="000000" w:themeColor="text1"/>
              </w:rPr>
              <w:t>,</w:t>
            </w:r>
            <w:r>
              <w:rPr>
                <w:rFonts w:cstheme="minorHAnsi"/>
                <w:color w:val="000000" w:themeColor="text1"/>
              </w:rPr>
              <w:t>207</w:t>
            </w:r>
          </w:p>
        </w:tc>
        <w:tc>
          <w:tcPr>
            <w:tcW w:w="1065" w:type="pct"/>
            <w:tcBorders>
              <w:left w:val="nil"/>
              <w:bottom w:val="single" w:sz="4" w:space="0" w:color="auto"/>
              <w:right w:val="nil"/>
            </w:tcBorders>
            <w:shd w:val="clear" w:color="auto" w:fill="auto"/>
            <w:vAlign w:val="bottom"/>
          </w:tcPr>
          <w:p w14:paraId="46CD8FF7" w14:textId="59F4FC37" w:rsidR="002D4F17" w:rsidRPr="00537128" w:rsidRDefault="002D4F17" w:rsidP="002D4F17">
            <w:pPr>
              <w:tabs>
                <w:tab w:val="right" w:pos="1202"/>
              </w:tabs>
              <w:spacing w:after="0" w:line="240" w:lineRule="auto"/>
              <w:jc w:val="right"/>
              <w:outlineLvl w:val="0"/>
              <w:rPr>
                <w:rFonts w:ascii="Calibri" w:eastAsia="Calibri" w:hAnsi="Calibri" w:cs="Arial"/>
                <w:bCs/>
                <w:noProof/>
                <w:lang w:val="en-US"/>
              </w:rPr>
            </w:pPr>
            <w:r w:rsidRPr="00C20448">
              <w:rPr>
                <w:rFonts w:cstheme="minorHAnsi"/>
                <w:color w:val="000000" w:themeColor="text1"/>
              </w:rPr>
              <w:t>21</w:t>
            </w:r>
            <w:r>
              <w:rPr>
                <w:rFonts w:cstheme="minorHAnsi"/>
                <w:color w:val="000000" w:themeColor="text1"/>
              </w:rPr>
              <w:t>,</w:t>
            </w:r>
            <w:r w:rsidRPr="00C20448">
              <w:rPr>
                <w:rFonts w:cstheme="minorHAnsi"/>
                <w:color w:val="000000" w:themeColor="text1"/>
              </w:rPr>
              <w:t>326</w:t>
            </w:r>
          </w:p>
        </w:tc>
      </w:tr>
      <w:tr w:rsidR="002D4F17" w:rsidRPr="00537128" w14:paraId="10B1F37A" w14:textId="77777777" w:rsidTr="00B25C01">
        <w:trPr>
          <w:trHeight w:val="289"/>
        </w:trPr>
        <w:tc>
          <w:tcPr>
            <w:tcW w:w="3131" w:type="pct"/>
            <w:vAlign w:val="bottom"/>
          </w:tcPr>
          <w:p w14:paraId="6F061733" w14:textId="77777777" w:rsidR="002D4F17" w:rsidRPr="00537128" w:rsidRDefault="002D4F17" w:rsidP="002D4F17">
            <w:pPr>
              <w:tabs>
                <w:tab w:val="right" w:pos="1202"/>
              </w:tabs>
              <w:spacing w:after="0" w:line="240" w:lineRule="auto"/>
              <w:outlineLvl w:val="0"/>
              <w:rPr>
                <w:rFonts w:ascii="Calibri" w:eastAsia="Calibri" w:hAnsi="Calibri" w:cs="Arial"/>
                <w:b/>
                <w:bCs/>
                <w:noProof/>
                <w:lang w:val="en-US"/>
              </w:rPr>
            </w:pPr>
            <w:r w:rsidRPr="00537128">
              <w:rPr>
                <w:rFonts w:ascii="Calibri" w:eastAsia="Calibri" w:hAnsi="Calibri" w:cs="Arial"/>
                <w:b/>
                <w:bCs/>
                <w:noProof/>
                <w:lang w:val="en-US"/>
              </w:rPr>
              <w:t>Balance at the end of the reporting period</w:t>
            </w:r>
          </w:p>
        </w:tc>
        <w:tc>
          <w:tcPr>
            <w:tcW w:w="804" w:type="pct"/>
            <w:tcBorders>
              <w:top w:val="single" w:sz="4" w:space="0" w:color="auto"/>
              <w:left w:val="nil"/>
              <w:bottom w:val="single" w:sz="12" w:space="0" w:color="auto"/>
              <w:right w:val="nil"/>
            </w:tcBorders>
            <w:shd w:val="clear" w:color="auto" w:fill="auto"/>
            <w:vAlign w:val="bottom"/>
          </w:tcPr>
          <w:p w14:paraId="57B4E9C6" w14:textId="31683FA7" w:rsidR="002D4F17" w:rsidRPr="00537128" w:rsidRDefault="002D4F17" w:rsidP="002D4F17">
            <w:pPr>
              <w:tabs>
                <w:tab w:val="right" w:pos="1202"/>
              </w:tabs>
              <w:spacing w:after="0" w:line="240" w:lineRule="auto"/>
              <w:jc w:val="right"/>
              <w:outlineLvl w:val="0"/>
              <w:rPr>
                <w:rFonts w:ascii="Calibri" w:eastAsia="Calibri" w:hAnsi="Calibri" w:cs="Arial"/>
                <w:b/>
                <w:bCs/>
                <w:noProof/>
                <w:lang w:val="en-US"/>
              </w:rPr>
            </w:pPr>
            <w:r>
              <w:rPr>
                <w:rFonts w:cstheme="minorHAnsi"/>
                <w:b/>
                <w:color w:val="000000" w:themeColor="text1"/>
              </w:rPr>
              <w:t>3</w:t>
            </w:r>
            <w:r w:rsidR="00D14C17">
              <w:rPr>
                <w:rFonts w:cstheme="minorHAnsi"/>
                <w:b/>
                <w:color w:val="000000" w:themeColor="text1"/>
              </w:rPr>
              <w:t>,</w:t>
            </w:r>
            <w:r>
              <w:rPr>
                <w:rFonts w:cstheme="minorHAnsi"/>
                <w:b/>
                <w:color w:val="000000" w:themeColor="text1"/>
              </w:rPr>
              <w:t>145</w:t>
            </w:r>
            <w:r w:rsidR="00D14C17">
              <w:rPr>
                <w:rFonts w:cstheme="minorHAnsi"/>
                <w:b/>
                <w:color w:val="000000" w:themeColor="text1"/>
              </w:rPr>
              <w:t>,</w:t>
            </w:r>
            <w:r>
              <w:rPr>
                <w:rFonts w:cstheme="minorHAnsi"/>
                <w:b/>
                <w:color w:val="000000" w:themeColor="text1"/>
              </w:rPr>
              <w:t>993</w:t>
            </w:r>
          </w:p>
        </w:tc>
        <w:tc>
          <w:tcPr>
            <w:tcW w:w="1065" w:type="pct"/>
            <w:tcBorders>
              <w:top w:val="single" w:sz="4" w:space="0" w:color="auto"/>
              <w:left w:val="nil"/>
              <w:bottom w:val="single" w:sz="12" w:space="0" w:color="auto"/>
              <w:right w:val="nil"/>
            </w:tcBorders>
            <w:shd w:val="clear" w:color="auto" w:fill="auto"/>
            <w:vAlign w:val="bottom"/>
          </w:tcPr>
          <w:p w14:paraId="527940A6" w14:textId="05C301AA" w:rsidR="002D4F17" w:rsidRPr="00537128" w:rsidRDefault="002D4F17" w:rsidP="002D4F17">
            <w:pPr>
              <w:tabs>
                <w:tab w:val="right" w:pos="1202"/>
              </w:tabs>
              <w:spacing w:after="0" w:line="240" w:lineRule="auto"/>
              <w:jc w:val="right"/>
              <w:outlineLvl w:val="0"/>
              <w:rPr>
                <w:rFonts w:ascii="Calibri" w:eastAsia="Calibri" w:hAnsi="Calibri" w:cs="Arial"/>
                <w:b/>
                <w:bCs/>
                <w:noProof/>
                <w:lang w:val="en-US"/>
              </w:rPr>
            </w:pPr>
            <w:r w:rsidRPr="00113D86">
              <w:rPr>
                <w:rFonts w:cstheme="minorHAnsi"/>
                <w:b/>
                <w:color w:val="000000" w:themeColor="text1"/>
              </w:rPr>
              <w:t>3</w:t>
            </w:r>
            <w:r>
              <w:rPr>
                <w:rFonts w:cstheme="minorHAnsi"/>
                <w:b/>
                <w:color w:val="000000" w:themeColor="text1"/>
              </w:rPr>
              <w:t>,</w:t>
            </w:r>
            <w:r w:rsidRPr="00113D86">
              <w:rPr>
                <w:rFonts w:cstheme="minorHAnsi"/>
                <w:b/>
                <w:color w:val="000000" w:themeColor="text1"/>
              </w:rPr>
              <w:t>255</w:t>
            </w:r>
            <w:r>
              <w:rPr>
                <w:rFonts w:cstheme="minorHAnsi"/>
                <w:b/>
                <w:color w:val="000000" w:themeColor="text1"/>
              </w:rPr>
              <w:t>,</w:t>
            </w:r>
            <w:r w:rsidRPr="00113D86">
              <w:rPr>
                <w:rFonts w:cstheme="minorHAnsi"/>
                <w:b/>
                <w:color w:val="000000" w:themeColor="text1"/>
              </w:rPr>
              <w:t>916</w:t>
            </w:r>
          </w:p>
        </w:tc>
      </w:tr>
    </w:tbl>
    <w:p w14:paraId="77AFCA03" w14:textId="77777777" w:rsidR="00D7142E" w:rsidRPr="00537128" w:rsidRDefault="00D7142E" w:rsidP="00D7142E">
      <w:pPr>
        <w:autoSpaceDE w:val="0"/>
        <w:autoSpaceDN w:val="0"/>
        <w:adjustRightInd w:val="0"/>
        <w:spacing w:after="0" w:line="240" w:lineRule="auto"/>
        <w:jc w:val="both"/>
        <w:rPr>
          <w:noProof/>
          <w:color w:val="000000" w:themeColor="text1"/>
          <w:lang w:val="en-US"/>
        </w:rPr>
      </w:pPr>
    </w:p>
    <w:p w14:paraId="2DE5C123" w14:textId="77777777" w:rsidR="00D7142E" w:rsidRPr="00537128" w:rsidRDefault="00D7142E" w:rsidP="00D7142E">
      <w:pPr>
        <w:autoSpaceDE w:val="0"/>
        <w:autoSpaceDN w:val="0"/>
        <w:adjustRightInd w:val="0"/>
        <w:spacing w:after="0" w:line="240" w:lineRule="auto"/>
        <w:jc w:val="both"/>
        <w:rPr>
          <w:noProof/>
          <w:color w:val="000000" w:themeColor="text1"/>
          <w:lang w:val="en-US"/>
        </w:rPr>
      </w:pPr>
    </w:p>
    <w:p w14:paraId="622F32DB" w14:textId="77777777" w:rsidR="008068CB" w:rsidRPr="00537128" w:rsidRDefault="00D7142E" w:rsidP="00D7142E">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Net foreign exchange gain/loss on loss allowances are shown within net gains/(losses) from financial activities in the Income Statement.</w:t>
      </w:r>
    </w:p>
    <w:p w14:paraId="47BEDEEA" w14:textId="77777777" w:rsidR="00D7142E" w:rsidRPr="00537128" w:rsidRDefault="00D7142E" w:rsidP="00D7142E">
      <w:pPr>
        <w:autoSpaceDE w:val="0"/>
        <w:autoSpaceDN w:val="0"/>
        <w:adjustRightInd w:val="0"/>
        <w:spacing w:after="0" w:line="240" w:lineRule="auto"/>
        <w:jc w:val="both"/>
        <w:rPr>
          <w:noProof/>
          <w:color w:val="000000" w:themeColor="text1"/>
          <w:lang w:val="en-US"/>
        </w:rPr>
      </w:pPr>
    </w:p>
    <w:p w14:paraId="007A8B4E" w14:textId="77777777" w:rsidR="00D9564E" w:rsidRPr="00537128" w:rsidRDefault="00D9564E" w:rsidP="00D7142E">
      <w:pPr>
        <w:autoSpaceDE w:val="0"/>
        <w:autoSpaceDN w:val="0"/>
        <w:adjustRightInd w:val="0"/>
        <w:spacing w:after="0" w:line="240" w:lineRule="auto"/>
        <w:jc w:val="both"/>
        <w:rPr>
          <w:noProof/>
          <w:color w:val="000000" w:themeColor="text1"/>
          <w:lang w:val="en-US"/>
        </w:rPr>
      </w:pPr>
    </w:p>
    <w:p w14:paraId="2466D11B" w14:textId="0BA3CDC2" w:rsidR="003B533B" w:rsidRPr="000239F2" w:rsidRDefault="003B533B" w:rsidP="001F6205">
      <w:pPr>
        <w:spacing w:after="0" w:line="240" w:lineRule="auto"/>
        <w:jc w:val="both"/>
        <w:rPr>
          <w:rFonts w:ascii="Calibri" w:hAnsi="Calibri"/>
          <w:lang w:val="en-GB"/>
        </w:rPr>
      </w:pPr>
      <w:r w:rsidRPr="000239F2">
        <w:rPr>
          <w:rFonts w:ascii="Calibri" w:hAnsi="Calibri"/>
          <w:lang w:val="en-GB"/>
        </w:rPr>
        <w:t xml:space="preserve">The write-off of receivables in the amount of HRK </w:t>
      </w:r>
      <w:r w:rsidR="003C3F1B">
        <w:rPr>
          <w:rFonts w:ascii="Calibri" w:hAnsi="Calibri"/>
          <w:lang w:val="en-GB"/>
        </w:rPr>
        <w:t>18,174</w:t>
      </w:r>
      <w:r w:rsidRPr="000239F2">
        <w:rPr>
          <w:rFonts w:ascii="Calibri" w:hAnsi="Calibri"/>
          <w:lang w:val="en-GB"/>
        </w:rPr>
        <w:t xml:space="preserve"> thousand</w:t>
      </w:r>
      <w:r w:rsidR="003C3F1B">
        <w:rPr>
          <w:rFonts w:ascii="Calibri" w:hAnsi="Calibri"/>
          <w:lang w:val="en-GB"/>
        </w:rPr>
        <w:t xml:space="preserve"> (31 December 2021: </w:t>
      </w:r>
      <w:r w:rsidR="007245E9">
        <w:rPr>
          <w:rFonts w:ascii="Calibri" w:hAnsi="Calibri"/>
          <w:lang w:val="en-GB"/>
        </w:rPr>
        <w:t xml:space="preserve">HRK </w:t>
      </w:r>
      <w:r w:rsidR="003C3F1B">
        <w:rPr>
          <w:rFonts w:ascii="Calibri" w:hAnsi="Calibri"/>
          <w:lang w:val="en-GB"/>
        </w:rPr>
        <w:t>35,053</w:t>
      </w:r>
      <w:r w:rsidR="007245E9">
        <w:rPr>
          <w:rFonts w:ascii="Calibri" w:hAnsi="Calibri"/>
          <w:lang w:val="en-GB"/>
        </w:rPr>
        <w:t xml:space="preserve"> thousand)</w:t>
      </w:r>
      <w:r w:rsidRPr="000239F2">
        <w:rPr>
          <w:rFonts w:ascii="Calibri" w:hAnsi="Calibri"/>
          <w:lang w:val="en-GB"/>
        </w:rPr>
        <w:t xml:space="preserve"> </w:t>
      </w:r>
      <w:r w:rsidRPr="00263525">
        <w:rPr>
          <w:rFonts w:ascii="Calibri" w:hAnsi="Calibri"/>
          <w:lang w:val="en-GB"/>
        </w:rPr>
        <w:t>relates mostly to the permanent removal from the business records due to the sale of receivables, due to the debtor's bankruptcy proceedings, as well as due to the pre-bankruptcy settlement.</w:t>
      </w:r>
    </w:p>
    <w:p w14:paraId="1770BF9E" w14:textId="77777777" w:rsidR="003B533B" w:rsidRPr="000239F2" w:rsidRDefault="003B533B" w:rsidP="001F6205">
      <w:pPr>
        <w:spacing w:after="0" w:line="240" w:lineRule="auto"/>
        <w:jc w:val="both"/>
        <w:rPr>
          <w:rFonts w:ascii="Calibri" w:hAnsi="Calibri"/>
          <w:lang w:val="en-GB"/>
        </w:rPr>
      </w:pPr>
    </w:p>
    <w:p w14:paraId="5B73DCD3" w14:textId="7A3B8B9F" w:rsidR="003B533B" w:rsidRPr="000239F2" w:rsidRDefault="003B533B" w:rsidP="001F6205">
      <w:pPr>
        <w:spacing w:after="0" w:line="240" w:lineRule="auto"/>
        <w:jc w:val="both"/>
        <w:rPr>
          <w:rFonts w:ascii="Calibri" w:hAnsi="Calibri"/>
          <w:lang w:val="en-GB"/>
        </w:rPr>
      </w:pPr>
      <w:r w:rsidRPr="000239F2">
        <w:rPr>
          <w:rFonts w:ascii="Calibri" w:hAnsi="Calibri"/>
          <w:lang w:val="en-GB"/>
        </w:rPr>
        <w:t xml:space="preserve">The transfer to the off-balance sheet records in the amount of HRK </w:t>
      </w:r>
      <w:r w:rsidR="007245E9">
        <w:rPr>
          <w:rFonts w:ascii="Calibri" w:hAnsi="Calibri"/>
          <w:lang w:val="en-GB"/>
        </w:rPr>
        <w:t>0</w:t>
      </w:r>
      <w:r w:rsidRPr="000239F2">
        <w:rPr>
          <w:rFonts w:ascii="Calibri" w:hAnsi="Calibri"/>
          <w:lang w:val="en-GB"/>
        </w:rPr>
        <w:t xml:space="preserve"> thousand </w:t>
      </w:r>
      <w:r w:rsidR="007245E9">
        <w:rPr>
          <w:rFonts w:ascii="Calibri" w:hAnsi="Calibri"/>
          <w:lang w:val="en-GB"/>
        </w:rPr>
        <w:t xml:space="preserve">(31 December 2021: HRK 271,036 thousand) </w:t>
      </w:r>
      <w:r w:rsidRPr="000239F2">
        <w:rPr>
          <w:rFonts w:ascii="Calibri" w:hAnsi="Calibri"/>
          <w:lang w:val="en-GB"/>
        </w:rPr>
        <w:t xml:space="preserve">was performed </w:t>
      </w:r>
      <w:proofErr w:type="gramStart"/>
      <w:r w:rsidRPr="000239F2">
        <w:rPr>
          <w:rFonts w:ascii="Calibri" w:hAnsi="Calibri"/>
          <w:lang w:val="en-GB"/>
        </w:rPr>
        <w:t>on the basis of</w:t>
      </w:r>
      <w:proofErr w:type="gramEnd"/>
      <w:r w:rsidRPr="000239F2">
        <w:rPr>
          <w:rFonts w:ascii="Calibri" w:hAnsi="Calibri"/>
          <w:lang w:val="en-GB"/>
        </w:rPr>
        <w:t xml:space="preserve"> the prescribed criteria in the Methodology for the Write-off of Receivables.</w:t>
      </w:r>
    </w:p>
    <w:p w14:paraId="06EB6EFC" w14:textId="77777777" w:rsidR="003B533B" w:rsidRPr="000239F2" w:rsidRDefault="003B533B" w:rsidP="001F6205">
      <w:pPr>
        <w:spacing w:after="0" w:line="240" w:lineRule="auto"/>
        <w:jc w:val="both"/>
        <w:rPr>
          <w:rFonts w:ascii="Calibri" w:hAnsi="Calibri"/>
          <w:lang w:val="en-GB"/>
        </w:rPr>
      </w:pPr>
    </w:p>
    <w:p w14:paraId="110D7558" w14:textId="51A26A3F" w:rsidR="003B533B" w:rsidRPr="000239F2" w:rsidRDefault="003B533B" w:rsidP="001F6205">
      <w:pPr>
        <w:spacing w:after="0" w:line="240" w:lineRule="auto"/>
        <w:jc w:val="both"/>
        <w:rPr>
          <w:rFonts w:ascii="Calibri" w:hAnsi="Calibri"/>
          <w:lang w:val="en-GB"/>
        </w:rPr>
      </w:pPr>
      <w:r w:rsidRPr="000239F2">
        <w:rPr>
          <w:rFonts w:ascii="Calibri" w:hAnsi="Calibri"/>
          <w:lang w:val="en-GB"/>
        </w:rPr>
        <w:t xml:space="preserve">The cancellation of provisions due to the reduction to fair value in the amount of </w:t>
      </w:r>
      <w:r w:rsidR="00B01B2E">
        <w:rPr>
          <w:rFonts w:ascii="Calibri" w:hAnsi="Calibri"/>
          <w:lang w:val="en-GB"/>
        </w:rPr>
        <w:t xml:space="preserve">HRK 0 thousand (31 December 2021: </w:t>
      </w:r>
      <w:r w:rsidRPr="00B01B2E">
        <w:rPr>
          <w:rFonts w:ascii="Calibri" w:hAnsi="Calibri"/>
          <w:lang w:val="en-GB"/>
        </w:rPr>
        <w:t>HRK 48,019</w:t>
      </w:r>
      <w:r w:rsidRPr="000239F2">
        <w:rPr>
          <w:rFonts w:ascii="Calibri" w:hAnsi="Calibri"/>
          <w:lang w:val="en-GB"/>
        </w:rPr>
        <w:t xml:space="preserve"> thousand</w:t>
      </w:r>
      <w:r w:rsidR="00B01B2E">
        <w:rPr>
          <w:rFonts w:ascii="Calibri" w:hAnsi="Calibri"/>
          <w:lang w:val="en-GB"/>
        </w:rPr>
        <w:t>)</w:t>
      </w:r>
      <w:r w:rsidRPr="000239F2">
        <w:rPr>
          <w:rFonts w:ascii="Calibri" w:hAnsi="Calibri"/>
          <w:lang w:val="en-GB"/>
        </w:rPr>
        <w:t xml:space="preserve"> was carried out after the pre-bankruptcy settlement of the debtor, based on which 50% of the debt was converted into senior debt, and 50% into mezzanine debt. When reducing the mezzanine debt to fair value, the previously formed provisions were cancelled.</w:t>
      </w:r>
    </w:p>
    <w:p w14:paraId="783EF012" w14:textId="77777777" w:rsidR="00D7142E" w:rsidRPr="00537128" w:rsidRDefault="00D7142E" w:rsidP="00D7142E">
      <w:pPr>
        <w:autoSpaceDE w:val="0"/>
        <w:autoSpaceDN w:val="0"/>
        <w:adjustRightInd w:val="0"/>
        <w:spacing w:after="0" w:line="240" w:lineRule="auto"/>
        <w:jc w:val="both"/>
        <w:rPr>
          <w:noProof/>
          <w:color w:val="000000" w:themeColor="text1"/>
          <w:lang w:val="en-US"/>
        </w:rPr>
        <w:sectPr w:rsidR="00D7142E" w:rsidRPr="00537128">
          <w:pgSz w:w="11906" w:h="16838"/>
          <w:pgMar w:top="1417" w:right="1417" w:bottom="1417" w:left="1417" w:header="708" w:footer="708" w:gutter="0"/>
          <w:cols w:space="708"/>
          <w:docGrid w:linePitch="360"/>
        </w:sectPr>
      </w:pPr>
    </w:p>
    <w:p w14:paraId="218CE059" w14:textId="77777777" w:rsidR="00D7142E" w:rsidRPr="00537128" w:rsidRDefault="00D7142E" w:rsidP="00D7142E">
      <w:pPr>
        <w:autoSpaceDE w:val="0"/>
        <w:autoSpaceDN w:val="0"/>
        <w:adjustRightInd w:val="0"/>
        <w:spacing w:after="0" w:line="240" w:lineRule="auto"/>
        <w:jc w:val="both"/>
        <w:rPr>
          <w:noProof/>
          <w:color w:val="000000" w:themeColor="text1"/>
          <w:lang w:val="en-US"/>
        </w:rPr>
      </w:pPr>
    </w:p>
    <w:p w14:paraId="34877473" w14:textId="4E3A64F5" w:rsidR="00D7142E" w:rsidRPr="00537128" w:rsidRDefault="00D7142E" w:rsidP="005B7D9D">
      <w:pPr>
        <w:pStyle w:val="ListParagraph"/>
        <w:numPr>
          <w:ilvl w:val="0"/>
          <w:numId w:val="14"/>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 xml:space="preserve">Loans to other customers </w:t>
      </w:r>
      <w:r w:rsidR="00401370">
        <w:rPr>
          <w:b/>
          <w:noProof/>
          <w:color w:val="000000" w:themeColor="text1"/>
          <w:lang w:val="en-US"/>
        </w:rPr>
        <w:t>(continued)</w:t>
      </w:r>
    </w:p>
    <w:p w14:paraId="4B8B2982" w14:textId="77777777" w:rsidR="00D7142E" w:rsidRPr="00537128" w:rsidRDefault="00D7142E" w:rsidP="00D7142E">
      <w:pPr>
        <w:autoSpaceDE w:val="0"/>
        <w:autoSpaceDN w:val="0"/>
        <w:adjustRightInd w:val="0"/>
        <w:spacing w:after="0" w:line="240" w:lineRule="auto"/>
        <w:jc w:val="both"/>
        <w:rPr>
          <w:noProof/>
          <w:color w:val="000000" w:themeColor="text1"/>
          <w:lang w:val="en-US"/>
        </w:rPr>
      </w:pPr>
    </w:p>
    <w:p w14:paraId="34C42FE0" w14:textId="77777777" w:rsidR="00D7142E" w:rsidRPr="00537128" w:rsidRDefault="00D7142E" w:rsidP="00D7142E">
      <w:pPr>
        <w:tabs>
          <w:tab w:val="left" w:pos="-720"/>
          <w:tab w:val="left" w:pos="0"/>
          <w:tab w:val="left" w:pos="851"/>
        </w:tabs>
        <w:spacing w:after="120" w:line="240" w:lineRule="auto"/>
        <w:contextualSpacing/>
        <w:jc w:val="both"/>
        <w:rPr>
          <w:rFonts w:ascii="Calibri" w:eastAsia="Times New Roman" w:hAnsi="Calibri" w:cs="Calibri"/>
          <w:color w:val="000000" w:themeColor="text1"/>
          <w:lang w:val="en-US" w:eastAsia="hr-HR"/>
        </w:rPr>
      </w:pPr>
      <w:r w:rsidRPr="00537128">
        <w:rPr>
          <w:rFonts w:ascii="Calibri" w:eastAsia="Times New Roman" w:hAnsi="Calibri" w:cs="Calibri"/>
          <w:color w:val="000000" w:themeColor="text1"/>
          <w:lang w:val="en-US" w:eastAsia="hr-HR"/>
        </w:rPr>
        <w:t xml:space="preserve">Loans to other customers, net of loss allowances, may be summarized by loan </w:t>
      </w:r>
      <w:proofErr w:type="spellStart"/>
      <w:r w:rsidRPr="00537128">
        <w:rPr>
          <w:rFonts w:ascii="Calibri" w:eastAsia="Times New Roman" w:hAnsi="Calibri" w:cs="Calibri"/>
          <w:color w:val="000000" w:themeColor="text1"/>
          <w:lang w:val="en-US" w:eastAsia="hr-HR"/>
        </w:rPr>
        <w:t>programme</w:t>
      </w:r>
      <w:proofErr w:type="spellEnd"/>
      <w:r w:rsidRPr="00537128">
        <w:rPr>
          <w:rFonts w:ascii="Calibri" w:eastAsia="Times New Roman" w:hAnsi="Calibri" w:cs="Calibri"/>
          <w:color w:val="000000" w:themeColor="text1"/>
          <w:lang w:val="en-US" w:eastAsia="hr-HR"/>
        </w:rPr>
        <w:t xml:space="preserve"> as follows:</w:t>
      </w:r>
    </w:p>
    <w:p w14:paraId="54D3E666" w14:textId="77777777" w:rsidR="00D7142E" w:rsidRPr="00537128" w:rsidRDefault="00D7142E" w:rsidP="00D7142E">
      <w:pPr>
        <w:tabs>
          <w:tab w:val="left" w:pos="-720"/>
          <w:tab w:val="left" w:pos="0"/>
          <w:tab w:val="left" w:pos="851"/>
        </w:tabs>
        <w:spacing w:after="0" w:line="240" w:lineRule="auto"/>
        <w:contextualSpacing/>
        <w:jc w:val="both"/>
        <w:rPr>
          <w:rFonts w:ascii="Calibri" w:eastAsia="Times New Roman" w:hAnsi="Calibri" w:cs="Calibri"/>
          <w:color w:val="000000" w:themeColor="text1"/>
          <w:lang w:val="en-US" w:eastAsia="hr-HR"/>
        </w:rPr>
      </w:pPr>
    </w:p>
    <w:tbl>
      <w:tblPr>
        <w:tblpPr w:leftFromText="180" w:rightFromText="180" w:vertAnchor="text" w:horzAnchor="margin" w:tblpY="351"/>
        <w:tblW w:w="4797" w:type="pct"/>
        <w:tblLayout w:type="fixed"/>
        <w:tblCellMar>
          <w:left w:w="107" w:type="dxa"/>
          <w:right w:w="107" w:type="dxa"/>
        </w:tblCellMar>
        <w:tblLook w:val="0000" w:firstRow="0" w:lastRow="0" w:firstColumn="0" w:lastColumn="0" w:noHBand="0" w:noVBand="0"/>
      </w:tblPr>
      <w:tblGrid>
        <w:gridCol w:w="5774"/>
        <w:gridCol w:w="1464"/>
        <w:gridCol w:w="1466"/>
      </w:tblGrid>
      <w:tr w:rsidR="00D873D7" w:rsidRPr="00537128" w14:paraId="2D939478" w14:textId="77777777" w:rsidTr="00D873D7">
        <w:trPr>
          <w:trHeight w:val="290"/>
        </w:trPr>
        <w:tc>
          <w:tcPr>
            <w:tcW w:w="3317" w:type="pct"/>
          </w:tcPr>
          <w:p w14:paraId="4910B98A" w14:textId="77777777" w:rsidR="00D873D7" w:rsidRPr="00537128" w:rsidRDefault="00D873D7" w:rsidP="00D873D7">
            <w:pPr>
              <w:tabs>
                <w:tab w:val="left" w:pos="-720"/>
              </w:tabs>
              <w:suppressAutoHyphens/>
              <w:spacing w:after="0" w:line="240" w:lineRule="auto"/>
              <w:rPr>
                <w:rFonts w:ascii="Calibri" w:eastAsia="Times New Roman" w:hAnsi="Calibri" w:cs="Arial"/>
                <w:spacing w:val="-3"/>
                <w:lang w:val="en-US"/>
              </w:rPr>
            </w:pPr>
          </w:p>
        </w:tc>
        <w:tc>
          <w:tcPr>
            <w:tcW w:w="1683" w:type="pct"/>
            <w:gridSpan w:val="2"/>
          </w:tcPr>
          <w:p w14:paraId="21AAB94D"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bookmarkStart w:id="373" w:name="_Toc4058681"/>
            <w:r w:rsidRPr="00537128">
              <w:rPr>
                <w:rFonts w:ascii="Calibri" w:eastAsia="Times New Roman" w:hAnsi="Calibri" w:cs="Arial"/>
                <w:b/>
                <w:lang w:val="en-US"/>
              </w:rPr>
              <w:t>Group and Bank</w:t>
            </w:r>
            <w:bookmarkEnd w:id="373"/>
          </w:p>
        </w:tc>
      </w:tr>
      <w:tr w:rsidR="00D873D7" w:rsidRPr="00537128" w14:paraId="39DEF51C" w14:textId="77777777" w:rsidTr="00D873D7">
        <w:trPr>
          <w:trHeight w:val="232"/>
        </w:trPr>
        <w:tc>
          <w:tcPr>
            <w:tcW w:w="3317" w:type="pct"/>
          </w:tcPr>
          <w:p w14:paraId="11B37CBD" w14:textId="77777777" w:rsidR="00D873D7" w:rsidRPr="00537128" w:rsidRDefault="00D873D7" w:rsidP="00D873D7">
            <w:pPr>
              <w:tabs>
                <w:tab w:val="left" w:pos="-720"/>
              </w:tabs>
              <w:suppressAutoHyphens/>
              <w:spacing w:after="0" w:line="240" w:lineRule="auto"/>
              <w:rPr>
                <w:rFonts w:ascii="Calibri" w:eastAsia="Times New Roman" w:hAnsi="Calibri" w:cs="Arial"/>
                <w:spacing w:val="-3"/>
                <w:lang w:val="en-US"/>
              </w:rPr>
            </w:pPr>
          </w:p>
        </w:tc>
        <w:tc>
          <w:tcPr>
            <w:tcW w:w="841" w:type="pct"/>
            <w:vAlign w:val="center"/>
          </w:tcPr>
          <w:p w14:paraId="2DC51A88" w14:textId="6805FC5B"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bookmarkStart w:id="374" w:name="_Toc4058682"/>
            <w:r w:rsidRPr="00537128">
              <w:rPr>
                <w:rFonts w:ascii="Calibri" w:eastAsia="Times New Roman" w:hAnsi="Calibri" w:cs="Arial"/>
                <w:b/>
                <w:lang w:val="en-US"/>
              </w:rPr>
              <w:t xml:space="preserve">31 March </w:t>
            </w:r>
            <w:bookmarkEnd w:id="374"/>
            <w:r w:rsidRPr="00537128">
              <w:rPr>
                <w:rFonts w:ascii="Calibri" w:eastAsia="Times New Roman" w:hAnsi="Calibri" w:cs="Arial"/>
                <w:b/>
                <w:lang w:val="en-US"/>
              </w:rPr>
              <w:t>202</w:t>
            </w:r>
            <w:r w:rsidR="002E4EBC">
              <w:rPr>
                <w:rFonts w:ascii="Calibri" w:eastAsia="Times New Roman" w:hAnsi="Calibri" w:cs="Arial"/>
                <w:b/>
                <w:lang w:val="en-US"/>
              </w:rPr>
              <w:t>2</w:t>
            </w:r>
          </w:p>
        </w:tc>
        <w:tc>
          <w:tcPr>
            <w:tcW w:w="842" w:type="pct"/>
            <w:vAlign w:val="center"/>
          </w:tcPr>
          <w:p w14:paraId="7D978BE6" w14:textId="7F8A7EFD"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31 December 202</w:t>
            </w:r>
            <w:r w:rsidR="002E4EBC">
              <w:rPr>
                <w:rFonts w:ascii="Calibri" w:eastAsia="Times New Roman" w:hAnsi="Calibri" w:cs="Arial"/>
                <w:b/>
                <w:lang w:val="en-US"/>
              </w:rPr>
              <w:t>1</w:t>
            </w:r>
          </w:p>
        </w:tc>
      </w:tr>
      <w:tr w:rsidR="00D873D7" w:rsidRPr="00537128" w14:paraId="6F5D9F2A" w14:textId="77777777" w:rsidTr="00D873D7">
        <w:trPr>
          <w:trHeight w:val="161"/>
        </w:trPr>
        <w:tc>
          <w:tcPr>
            <w:tcW w:w="3317" w:type="pct"/>
          </w:tcPr>
          <w:p w14:paraId="396E0512" w14:textId="77777777" w:rsidR="00D873D7" w:rsidRPr="00537128" w:rsidRDefault="00D873D7" w:rsidP="00D873D7">
            <w:pPr>
              <w:tabs>
                <w:tab w:val="left" w:pos="-720"/>
              </w:tabs>
              <w:suppressAutoHyphens/>
              <w:spacing w:after="0" w:line="240" w:lineRule="auto"/>
              <w:rPr>
                <w:rFonts w:ascii="Calibri" w:eastAsia="Times New Roman" w:hAnsi="Calibri" w:cs="Arial"/>
                <w:spacing w:val="-3"/>
                <w:lang w:val="en-US"/>
              </w:rPr>
            </w:pPr>
          </w:p>
        </w:tc>
        <w:tc>
          <w:tcPr>
            <w:tcW w:w="841" w:type="pct"/>
            <w:vAlign w:val="center"/>
          </w:tcPr>
          <w:p w14:paraId="4CC54B78"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p>
        </w:tc>
        <w:tc>
          <w:tcPr>
            <w:tcW w:w="842" w:type="pct"/>
            <w:vAlign w:val="center"/>
          </w:tcPr>
          <w:p w14:paraId="47ED22D2"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p>
        </w:tc>
      </w:tr>
      <w:tr w:rsidR="00D873D7" w:rsidRPr="00537128" w14:paraId="5C46DBA3" w14:textId="77777777" w:rsidTr="00D873D7">
        <w:trPr>
          <w:trHeight w:val="190"/>
        </w:trPr>
        <w:tc>
          <w:tcPr>
            <w:tcW w:w="3317" w:type="pct"/>
          </w:tcPr>
          <w:p w14:paraId="75AFF608" w14:textId="77777777" w:rsidR="00D873D7" w:rsidRPr="00537128" w:rsidRDefault="00D873D7" w:rsidP="00D873D7">
            <w:pPr>
              <w:tabs>
                <w:tab w:val="left" w:pos="-720"/>
              </w:tabs>
              <w:suppressAutoHyphens/>
              <w:spacing w:after="0" w:line="240" w:lineRule="auto"/>
              <w:rPr>
                <w:rFonts w:ascii="Calibri" w:eastAsia="Times New Roman" w:hAnsi="Calibri" w:cs="Arial"/>
                <w:spacing w:val="-3"/>
                <w:lang w:val="en-US"/>
              </w:rPr>
            </w:pPr>
          </w:p>
        </w:tc>
        <w:tc>
          <w:tcPr>
            <w:tcW w:w="841" w:type="pct"/>
          </w:tcPr>
          <w:p w14:paraId="7A7E80C5"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bookmarkStart w:id="375" w:name="_Toc4058684"/>
            <w:r w:rsidRPr="00537128">
              <w:rPr>
                <w:rFonts w:ascii="Calibri" w:eastAsia="Times New Roman" w:hAnsi="Calibri" w:cs="Arial"/>
                <w:b/>
                <w:lang w:val="en-US"/>
              </w:rPr>
              <w:t>HRK ‘000</w:t>
            </w:r>
            <w:bookmarkEnd w:id="375"/>
          </w:p>
        </w:tc>
        <w:tc>
          <w:tcPr>
            <w:tcW w:w="842" w:type="pct"/>
          </w:tcPr>
          <w:p w14:paraId="621F0D1C" w14:textId="5964680E"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HRK ‘000</w:t>
            </w:r>
          </w:p>
        </w:tc>
      </w:tr>
      <w:tr w:rsidR="00AB53A2" w:rsidRPr="00537128" w14:paraId="2AFD6C96" w14:textId="77777777" w:rsidTr="00D873D7">
        <w:trPr>
          <w:trHeight w:val="359"/>
        </w:trPr>
        <w:tc>
          <w:tcPr>
            <w:tcW w:w="3317" w:type="pct"/>
            <w:vAlign w:val="bottom"/>
          </w:tcPr>
          <w:p w14:paraId="2564EEB5" w14:textId="77777777" w:rsidR="00AB53A2" w:rsidRPr="00537128" w:rsidRDefault="00AB53A2" w:rsidP="00AB53A2">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EU Projects</w:t>
            </w:r>
          </w:p>
        </w:tc>
        <w:tc>
          <w:tcPr>
            <w:tcW w:w="841" w:type="pct"/>
            <w:tcBorders>
              <w:top w:val="nil"/>
              <w:left w:val="nil"/>
              <w:bottom w:val="nil"/>
              <w:right w:val="nil"/>
            </w:tcBorders>
            <w:shd w:val="clear" w:color="auto" w:fill="auto"/>
            <w:vAlign w:val="bottom"/>
          </w:tcPr>
          <w:p w14:paraId="2C265E36" w14:textId="1DA637E0" w:rsidR="00AB53A2" w:rsidRPr="00537128" w:rsidRDefault="00AB53A2" w:rsidP="00AB53A2">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color w:val="000000"/>
              </w:rPr>
              <w:t>335</w:t>
            </w:r>
            <w:r w:rsidR="00BB1A91">
              <w:rPr>
                <w:rFonts w:ascii="Calibri" w:eastAsia="Times New Roman" w:hAnsi="Calibri" w:cs="Calibri"/>
                <w:color w:val="000000"/>
              </w:rPr>
              <w:t>,</w:t>
            </w:r>
            <w:r>
              <w:rPr>
                <w:rFonts w:ascii="Calibri" w:eastAsia="Times New Roman" w:hAnsi="Calibri" w:cs="Calibri"/>
                <w:color w:val="000000"/>
              </w:rPr>
              <w:t>860</w:t>
            </w:r>
          </w:p>
        </w:tc>
        <w:tc>
          <w:tcPr>
            <w:tcW w:w="842" w:type="pct"/>
            <w:tcBorders>
              <w:top w:val="nil"/>
              <w:left w:val="nil"/>
              <w:bottom w:val="nil"/>
              <w:right w:val="nil"/>
            </w:tcBorders>
            <w:shd w:val="clear" w:color="auto" w:fill="auto"/>
            <w:vAlign w:val="bottom"/>
          </w:tcPr>
          <w:p w14:paraId="56F909E5" w14:textId="6A74291E" w:rsidR="00AB53A2" w:rsidRPr="00537128" w:rsidRDefault="00AB53A2" w:rsidP="00AB53A2">
            <w:pPr>
              <w:tabs>
                <w:tab w:val="right" w:pos="1202"/>
              </w:tabs>
              <w:spacing w:after="0" w:line="301" w:lineRule="exact"/>
              <w:jc w:val="right"/>
              <w:outlineLvl w:val="0"/>
              <w:rPr>
                <w:rFonts w:ascii="Calibri" w:eastAsia="Times New Roman" w:hAnsi="Calibri" w:cs="Calibri"/>
                <w:color w:val="000000"/>
                <w:lang w:val="en-US"/>
              </w:rPr>
            </w:pPr>
            <w:r w:rsidRPr="00104129">
              <w:rPr>
                <w:rFonts w:cstheme="minorHAnsi"/>
                <w:color w:val="000000" w:themeColor="text1"/>
              </w:rPr>
              <w:t>308</w:t>
            </w:r>
            <w:r>
              <w:rPr>
                <w:rFonts w:cstheme="minorHAnsi"/>
                <w:color w:val="000000" w:themeColor="text1"/>
              </w:rPr>
              <w:t>,</w:t>
            </w:r>
            <w:r w:rsidRPr="00104129">
              <w:rPr>
                <w:rFonts w:cstheme="minorHAnsi"/>
                <w:color w:val="000000" w:themeColor="text1"/>
              </w:rPr>
              <w:t>294</w:t>
            </w:r>
          </w:p>
        </w:tc>
      </w:tr>
      <w:tr w:rsidR="00AB53A2" w:rsidRPr="00537128" w14:paraId="45694A41" w14:textId="77777777" w:rsidTr="00D873D7">
        <w:trPr>
          <w:trHeight w:val="359"/>
        </w:trPr>
        <w:tc>
          <w:tcPr>
            <w:tcW w:w="3317" w:type="pct"/>
            <w:vAlign w:val="bottom"/>
          </w:tcPr>
          <w:p w14:paraId="573B7A87" w14:textId="77777777" w:rsidR="00AB53A2" w:rsidRPr="00537128" w:rsidRDefault="00AB53A2" w:rsidP="00AB53A2">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Financial Restructuring</w:t>
            </w:r>
          </w:p>
        </w:tc>
        <w:tc>
          <w:tcPr>
            <w:tcW w:w="841" w:type="pct"/>
            <w:tcBorders>
              <w:top w:val="nil"/>
              <w:left w:val="nil"/>
              <w:bottom w:val="nil"/>
              <w:right w:val="nil"/>
            </w:tcBorders>
            <w:shd w:val="clear" w:color="auto" w:fill="auto"/>
            <w:vAlign w:val="bottom"/>
          </w:tcPr>
          <w:p w14:paraId="1FD86430" w14:textId="2A7DFEB2" w:rsidR="00AB53A2" w:rsidRPr="00537128" w:rsidRDefault="00AB53A2" w:rsidP="00AB53A2">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color w:val="000000"/>
              </w:rPr>
              <w:t>1</w:t>
            </w:r>
            <w:r w:rsidR="00BB1A91">
              <w:rPr>
                <w:rFonts w:ascii="Calibri" w:eastAsia="Times New Roman" w:hAnsi="Calibri" w:cs="Calibri"/>
                <w:color w:val="000000"/>
              </w:rPr>
              <w:t>,</w:t>
            </w:r>
            <w:r>
              <w:rPr>
                <w:rFonts w:ascii="Calibri" w:eastAsia="Times New Roman" w:hAnsi="Calibri" w:cs="Calibri"/>
                <w:color w:val="000000"/>
              </w:rPr>
              <w:t>181</w:t>
            </w:r>
            <w:r w:rsidR="00BB1A91">
              <w:rPr>
                <w:rFonts w:ascii="Calibri" w:eastAsia="Times New Roman" w:hAnsi="Calibri" w:cs="Calibri"/>
                <w:color w:val="000000"/>
              </w:rPr>
              <w:t>,</w:t>
            </w:r>
            <w:r>
              <w:rPr>
                <w:rFonts w:ascii="Calibri" w:eastAsia="Times New Roman" w:hAnsi="Calibri" w:cs="Calibri"/>
                <w:color w:val="000000"/>
              </w:rPr>
              <w:t>375</w:t>
            </w:r>
          </w:p>
        </w:tc>
        <w:tc>
          <w:tcPr>
            <w:tcW w:w="842" w:type="pct"/>
            <w:tcBorders>
              <w:top w:val="nil"/>
              <w:left w:val="nil"/>
              <w:bottom w:val="nil"/>
              <w:right w:val="nil"/>
            </w:tcBorders>
            <w:shd w:val="clear" w:color="auto" w:fill="auto"/>
            <w:vAlign w:val="bottom"/>
          </w:tcPr>
          <w:p w14:paraId="4B88426E" w14:textId="76EB1BAF" w:rsidR="00AB53A2" w:rsidRPr="00537128" w:rsidRDefault="00AB53A2" w:rsidP="00AB53A2">
            <w:pPr>
              <w:tabs>
                <w:tab w:val="right" w:pos="1202"/>
              </w:tabs>
              <w:spacing w:after="0" w:line="301" w:lineRule="exact"/>
              <w:jc w:val="right"/>
              <w:outlineLvl w:val="0"/>
              <w:rPr>
                <w:rFonts w:ascii="Calibri" w:eastAsia="Times New Roman" w:hAnsi="Calibri" w:cs="Calibri"/>
                <w:color w:val="000000"/>
                <w:lang w:val="en-US"/>
              </w:rPr>
            </w:pPr>
            <w:r w:rsidRPr="00104129">
              <w:rPr>
                <w:rFonts w:cstheme="minorHAnsi"/>
                <w:color w:val="000000" w:themeColor="text1"/>
              </w:rPr>
              <w:t>1</w:t>
            </w:r>
            <w:r>
              <w:rPr>
                <w:rFonts w:cstheme="minorHAnsi"/>
                <w:color w:val="000000" w:themeColor="text1"/>
              </w:rPr>
              <w:t>,</w:t>
            </w:r>
            <w:r w:rsidRPr="00104129">
              <w:rPr>
                <w:rFonts w:cstheme="minorHAnsi"/>
                <w:color w:val="000000" w:themeColor="text1"/>
              </w:rPr>
              <w:t>186</w:t>
            </w:r>
            <w:r>
              <w:rPr>
                <w:rFonts w:cstheme="minorHAnsi"/>
                <w:color w:val="000000" w:themeColor="text1"/>
              </w:rPr>
              <w:t>,</w:t>
            </w:r>
            <w:r w:rsidRPr="00104129">
              <w:rPr>
                <w:rFonts w:cstheme="minorHAnsi"/>
                <w:color w:val="000000" w:themeColor="text1"/>
              </w:rPr>
              <w:t>514</w:t>
            </w:r>
          </w:p>
        </w:tc>
      </w:tr>
      <w:tr w:rsidR="00AB53A2" w:rsidRPr="00537128" w14:paraId="580E8EA0" w14:textId="77777777" w:rsidTr="00D873D7">
        <w:trPr>
          <w:trHeight w:val="359"/>
        </w:trPr>
        <w:tc>
          <w:tcPr>
            <w:tcW w:w="3317" w:type="pct"/>
            <w:vAlign w:val="bottom"/>
          </w:tcPr>
          <w:p w14:paraId="735286B6" w14:textId="77777777" w:rsidR="00AB53A2" w:rsidRPr="00537128" w:rsidRDefault="00AB53A2" w:rsidP="00AB53A2">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Pre-Export Finance</w:t>
            </w:r>
          </w:p>
        </w:tc>
        <w:tc>
          <w:tcPr>
            <w:tcW w:w="841" w:type="pct"/>
            <w:tcBorders>
              <w:top w:val="nil"/>
              <w:left w:val="nil"/>
              <w:bottom w:val="nil"/>
              <w:right w:val="nil"/>
            </w:tcBorders>
            <w:shd w:val="clear" w:color="auto" w:fill="auto"/>
            <w:vAlign w:val="bottom"/>
          </w:tcPr>
          <w:p w14:paraId="4006F1EC" w14:textId="34E17B71" w:rsidR="00AB53A2" w:rsidRPr="00537128" w:rsidRDefault="00AB53A2" w:rsidP="00AB53A2">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color w:val="000000"/>
              </w:rPr>
              <w:t>89</w:t>
            </w:r>
            <w:r w:rsidR="00BB1A91">
              <w:rPr>
                <w:rFonts w:ascii="Calibri" w:eastAsia="Times New Roman" w:hAnsi="Calibri" w:cs="Calibri"/>
                <w:color w:val="000000"/>
              </w:rPr>
              <w:t>,</w:t>
            </w:r>
            <w:r>
              <w:rPr>
                <w:rFonts w:ascii="Calibri" w:eastAsia="Times New Roman" w:hAnsi="Calibri" w:cs="Calibri"/>
                <w:color w:val="000000"/>
              </w:rPr>
              <w:t>368</w:t>
            </w:r>
          </w:p>
        </w:tc>
        <w:tc>
          <w:tcPr>
            <w:tcW w:w="842" w:type="pct"/>
            <w:tcBorders>
              <w:top w:val="nil"/>
              <w:left w:val="nil"/>
              <w:bottom w:val="nil"/>
              <w:right w:val="nil"/>
            </w:tcBorders>
            <w:shd w:val="clear" w:color="auto" w:fill="auto"/>
            <w:vAlign w:val="bottom"/>
          </w:tcPr>
          <w:p w14:paraId="657BC3AC" w14:textId="5D9BF7C0" w:rsidR="00AB53A2" w:rsidRPr="00537128" w:rsidRDefault="00AB53A2" w:rsidP="00AB53A2">
            <w:pPr>
              <w:tabs>
                <w:tab w:val="right" w:pos="1202"/>
              </w:tabs>
              <w:spacing w:after="0" w:line="301" w:lineRule="exact"/>
              <w:jc w:val="right"/>
              <w:outlineLvl w:val="0"/>
              <w:rPr>
                <w:rFonts w:ascii="Calibri" w:eastAsia="Times New Roman" w:hAnsi="Calibri" w:cs="Calibri"/>
                <w:color w:val="000000"/>
                <w:lang w:val="en-US"/>
              </w:rPr>
            </w:pPr>
            <w:r w:rsidRPr="00104129">
              <w:rPr>
                <w:rFonts w:cstheme="minorHAnsi"/>
                <w:color w:val="000000" w:themeColor="text1"/>
              </w:rPr>
              <w:t>96</w:t>
            </w:r>
            <w:r>
              <w:rPr>
                <w:rFonts w:cstheme="minorHAnsi"/>
                <w:color w:val="000000" w:themeColor="text1"/>
              </w:rPr>
              <w:t>,</w:t>
            </w:r>
            <w:r w:rsidRPr="00104129">
              <w:rPr>
                <w:rFonts w:cstheme="minorHAnsi"/>
                <w:color w:val="000000" w:themeColor="text1"/>
              </w:rPr>
              <w:t>193</w:t>
            </w:r>
          </w:p>
        </w:tc>
      </w:tr>
      <w:tr w:rsidR="00AB53A2" w:rsidRPr="00537128" w14:paraId="3F6BC238" w14:textId="77777777" w:rsidTr="00D873D7">
        <w:trPr>
          <w:trHeight w:val="359"/>
        </w:trPr>
        <w:tc>
          <w:tcPr>
            <w:tcW w:w="3317" w:type="pct"/>
            <w:vAlign w:val="bottom"/>
          </w:tcPr>
          <w:p w14:paraId="4182749B" w14:textId="77777777" w:rsidR="00AB53A2" w:rsidRPr="00537128" w:rsidRDefault="00AB53A2" w:rsidP="00AB53A2">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Public Sector Investment</w:t>
            </w:r>
          </w:p>
        </w:tc>
        <w:tc>
          <w:tcPr>
            <w:tcW w:w="841" w:type="pct"/>
            <w:tcBorders>
              <w:top w:val="nil"/>
              <w:left w:val="nil"/>
              <w:bottom w:val="nil"/>
              <w:right w:val="nil"/>
            </w:tcBorders>
            <w:shd w:val="clear" w:color="auto" w:fill="auto"/>
            <w:vAlign w:val="bottom"/>
          </w:tcPr>
          <w:p w14:paraId="44C0280A" w14:textId="3F530599" w:rsidR="00AB53A2" w:rsidRPr="00537128" w:rsidRDefault="00AB53A2" w:rsidP="00AB53A2">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color w:val="000000"/>
              </w:rPr>
              <w:t>1</w:t>
            </w:r>
            <w:r w:rsidR="00BB1A91">
              <w:rPr>
                <w:rFonts w:ascii="Calibri" w:eastAsia="Times New Roman" w:hAnsi="Calibri" w:cs="Calibri"/>
                <w:color w:val="000000"/>
              </w:rPr>
              <w:t>,</w:t>
            </w:r>
            <w:r>
              <w:rPr>
                <w:rFonts w:ascii="Calibri" w:eastAsia="Times New Roman" w:hAnsi="Calibri" w:cs="Calibri"/>
                <w:color w:val="000000"/>
              </w:rPr>
              <w:t>508</w:t>
            </w:r>
            <w:r w:rsidR="00BB1A91">
              <w:rPr>
                <w:rFonts w:ascii="Calibri" w:eastAsia="Times New Roman" w:hAnsi="Calibri" w:cs="Calibri"/>
                <w:color w:val="000000"/>
              </w:rPr>
              <w:t>,</w:t>
            </w:r>
            <w:r>
              <w:rPr>
                <w:rFonts w:ascii="Calibri" w:eastAsia="Times New Roman" w:hAnsi="Calibri" w:cs="Calibri"/>
                <w:color w:val="000000"/>
              </w:rPr>
              <w:t>693</w:t>
            </w:r>
          </w:p>
        </w:tc>
        <w:tc>
          <w:tcPr>
            <w:tcW w:w="842" w:type="pct"/>
            <w:tcBorders>
              <w:top w:val="nil"/>
              <w:left w:val="nil"/>
              <w:bottom w:val="nil"/>
              <w:right w:val="nil"/>
            </w:tcBorders>
            <w:shd w:val="clear" w:color="auto" w:fill="auto"/>
            <w:vAlign w:val="bottom"/>
          </w:tcPr>
          <w:p w14:paraId="1ACCD749" w14:textId="34DEBA3A" w:rsidR="00AB53A2" w:rsidRPr="00537128" w:rsidRDefault="00AB53A2" w:rsidP="00AB53A2">
            <w:pPr>
              <w:tabs>
                <w:tab w:val="right" w:pos="1202"/>
              </w:tabs>
              <w:spacing w:after="0" w:line="301" w:lineRule="exact"/>
              <w:jc w:val="right"/>
              <w:outlineLvl w:val="0"/>
              <w:rPr>
                <w:rFonts w:ascii="Calibri" w:eastAsia="Times New Roman" w:hAnsi="Calibri" w:cs="Calibri"/>
                <w:color w:val="000000"/>
                <w:lang w:val="en-US"/>
              </w:rPr>
            </w:pPr>
            <w:r w:rsidRPr="00104129">
              <w:rPr>
                <w:rFonts w:cstheme="minorHAnsi"/>
                <w:color w:val="000000" w:themeColor="text1"/>
              </w:rPr>
              <w:t>1</w:t>
            </w:r>
            <w:r>
              <w:rPr>
                <w:rFonts w:cstheme="minorHAnsi"/>
                <w:color w:val="000000" w:themeColor="text1"/>
              </w:rPr>
              <w:t>,</w:t>
            </w:r>
            <w:r w:rsidRPr="00104129">
              <w:rPr>
                <w:rFonts w:cstheme="minorHAnsi"/>
                <w:color w:val="000000" w:themeColor="text1"/>
              </w:rPr>
              <w:t>478</w:t>
            </w:r>
            <w:r>
              <w:rPr>
                <w:rFonts w:cstheme="minorHAnsi"/>
                <w:color w:val="000000" w:themeColor="text1"/>
              </w:rPr>
              <w:t>,</w:t>
            </w:r>
            <w:r w:rsidRPr="00104129">
              <w:rPr>
                <w:rFonts w:cstheme="minorHAnsi"/>
                <w:color w:val="000000" w:themeColor="text1"/>
              </w:rPr>
              <w:t>380</w:t>
            </w:r>
          </w:p>
        </w:tc>
      </w:tr>
      <w:tr w:rsidR="00AB53A2" w:rsidRPr="00537128" w14:paraId="258802C0" w14:textId="77777777" w:rsidTr="00D873D7">
        <w:trPr>
          <w:trHeight w:val="359"/>
        </w:trPr>
        <w:tc>
          <w:tcPr>
            <w:tcW w:w="3317" w:type="pct"/>
            <w:vAlign w:val="bottom"/>
          </w:tcPr>
          <w:p w14:paraId="2406A8C0" w14:textId="77777777" w:rsidR="00AB53A2" w:rsidRPr="00537128" w:rsidRDefault="00AB53A2" w:rsidP="00AB53A2">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Private Sector Investment</w:t>
            </w:r>
          </w:p>
        </w:tc>
        <w:tc>
          <w:tcPr>
            <w:tcW w:w="841" w:type="pct"/>
            <w:tcBorders>
              <w:top w:val="nil"/>
              <w:left w:val="nil"/>
              <w:bottom w:val="nil"/>
              <w:right w:val="nil"/>
            </w:tcBorders>
            <w:shd w:val="clear" w:color="auto" w:fill="auto"/>
            <w:vAlign w:val="bottom"/>
          </w:tcPr>
          <w:p w14:paraId="2E848F63" w14:textId="0430B6A3" w:rsidR="00AB53A2" w:rsidRPr="00537128" w:rsidRDefault="00AB53A2" w:rsidP="00AB53A2">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color w:val="000000"/>
              </w:rPr>
              <w:t>1</w:t>
            </w:r>
            <w:r w:rsidR="00BB1A91">
              <w:rPr>
                <w:rFonts w:ascii="Calibri" w:eastAsia="Times New Roman" w:hAnsi="Calibri" w:cs="Calibri"/>
                <w:color w:val="000000"/>
              </w:rPr>
              <w:t>,</w:t>
            </w:r>
            <w:r>
              <w:rPr>
                <w:rFonts w:ascii="Calibri" w:eastAsia="Times New Roman" w:hAnsi="Calibri" w:cs="Calibri"/>
                <w:color w:val="000000"/>
              </w:rPr>
              <w:t>014</w:t>
            </w:r>
            <w:r w:rsidR="00BB1A91">
              <w:rPr>
                <w:rFonts w:ascii="Calibri" w:eastAsia="Times New Roman" w:hAnsi="Calibri" w:cs="Calibri"/>
                <w:color w:val="000000"/>
              </w:rPr>
              <w:t>,</w:t>
            </w:r>
            <w:r>
              <w:rPr>
                <w:rFonts w:ascii="Calibri" w:eastAsia="Times New Roman" w:hAnsi="Calibri" w:cs="Calibri"/>
                <w:color w:val="000000"/>
              </w:rPr>
              <w:t>553</w:t>
            </w:r>
          </w:p>
        </w:tc>
        <w:tc>
          <w:tcPr>
            <w:tcW w:w="842" w:type="pct"/>
            <w:tcBorders>
              <w:top w:val="nil"/>
              <w:left w:val="nil"/>
              <w:bottom w:val="nil"/>
              <w:right w:val="nil"/>
            </w:tcBorders>
            <w:shd w:val="clear" w:color="auto" w:fill="auto"/>
            <w:vAlign w:val="bottom"/>
          </w:tcPr>
          <w:p w14:paraId="2E7DA74D" w14:textId="5D82BEE0" w:rsidR="00AB53A2" w:rsidRPr="00537128" w:rsidRDefault="00AB53A2" w:rsidP="00AB53A2">
            <w:pPr>
              <w:tabs>
                <w:tab w:val="right" w:pos="1202"/>
              </w:tabs>
              <w:spacing w:after="0" w:line="301" w:lineRule="exact"/>
              <w:jc w:val="right"/>
              <w:outlineLvl w:val="0"/>
              <w:rPr>
                <w:rFonts w:ascii="Calibri" w:eastAsia="Times New Roman" w:hAnsi="Calibri" w:cs="Calibri"/>
                <w:color w:val="000000"/>
                <w:lang w:val="en-US"/>
              </w:rPr>
            </w:pPr>
            <w:r w:rsidRPr="00104129">
              <w:rPr>
                <w:rFonts w:cstheme="minorHAnsi"/>
                <w:color w:val="000000" w:themeColor="text1"/>
              </w:rPr>
              <w:t>730</w:t>
            </w:r>
            <w:r>
              <w:rPr>
                <w:rFonts w:cstheme="minorHAnsi"/>
                <w:color w:val="000000" w:themeColor="text1"/>
              </w:rPr>
              <w:t>,</w:t>
            </w:r>
            <w:r w:rsidRPr="00104129">
              <w:rPr>
                <w:rFonts w:cstheme="minorHAnsi"/>
                <w:color w:val="000000" w:themeColor="text1"/>
              </w:rPr>
              <w:t>358</w:t>
            </w:r>
          </w:p>
        </w:tc>
      </w:tr>
      <w:tr w:rsidR="00AB53A2" w:rsidRPr="00537128" w14:paraId="1936A41B" w14:textId="77777777" w:rsidTr="00D873D7">
        <w:trPr>
          <w:trHeight w:val="359"/>
        </w:trPr>
        <w:tc>
          <w:tcPr>
            <w:tcW w:w="3317" w:type="pct"/>
            <w:vAlign w:val="bottom"/>
          </w:tcPr>
          <w:p w14:paraId="6DDE480E" w14:textId="77777777" w:rsidR="00AB53A2" w:rsidRPr="00537128" w:rsidRDefault="00AB53A2" w:rsidP="00AB53A2">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Youth, Female, Start-up Entrepreneurship</w:t>
            </w:r>
          </w:p>
        </w:tc>
        <w:tc>
          <w:tcPr>
            <w:tcW w:w="841" w:type="pct"/>
            <w:tcBorders>
              <w:top w:val="nil"/>
              <w:left w:val="nil"/>
              <w:bottom w:val="nil"/>
              <w:right w:val="nil"/>
            </w:tcBorders>
            <w:shd w:val="clear" w:color="auto" w:fill="auto"/>
            <w:vAlign w:val="bottom"/>
          </w:tcPr>
          <w:p w14:paraId="037F25CB" w14:textId="04D5BFEB" w:rsidR="00AB53A2" w:rsidRPr="00537128" w:rsidRDefault="00AB53A2" w:rsidP="00AB53A2">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color w:val="000000"/>
              </w:rPr>
              <w:t>31</w:t>
            </w:r>
            <w:r w:rsidR="00BB1A91">
              <w:rPr>
                <w:rFonts w:ascii="Calibri" w:eastAsia="Times New Roman" w:hAnsi="Calibri" w:cs="Calibri"/>
                <w:color w:val="000000"/>
              </w:rPr>
              <w:t>,</w:t>
            </w:r>
            <w:r>
              <w:rPr>
                <w:rFonts w:ascii="Calibri" w:eastAsia="Times New Roman" w:hAnsi="Calibri" w:cs="Calibri"/>
                <w:color w:val="000000"/>
              </w:rPr>
              <w:t>999</w:t>
            </w:r>
          </w:p>
        </w:tc>
        <w:tc>
          <w:tcPr>
            <w:tcW w:w="842" w:type="pct"/>
            <w:tcBorders>
              <w:top w:val="nil"/>
              <w:left w:val="nil"/>
              <w:bottom w:val="nil"/>
              <w:right w:val="nil"/>
            </w:tcBorders>
            <w:shd w:val="clear" w:color="auto" w:fill="auto"/>
            <w:vAlign w:val="bottom"/>
          </w:tcPr>
          <w:p w14:paraId="3FD99505" w14:textId="1398B2F5" w:rsidR="00AB53A2" w:rsidRPr="00537128" w:rsidRDefault="00AB53A2" w:rsidP="00AB53A2">
            <w:pPr>
              <w:tabs>
                <w:tab w:val="right" w:pos="1202"/>
              </w:tabs>
              <w:spacing w:after="0" w:line="301" w:lineRule="exact"/>
              <w:jc w:val="right"/>
              <w:outlineLvl w:val="0"/>
              <w:rPr>
                <w:rFonts w:ascii="Calibri" w:eastAsia="Times New Roman" w:hAnsi="Calibri" w:cs="Calibri"/>
                <w:color w:val="000000"/>
                <w:lang w:val="en-US"/>
              </w:rPr>
            </w:pPr>
            <w:r w:rsidRPr="00104129">
              <w:rPr>
                <w:rFonts w:cstheme="minorHAnsi"/>
                <w:color w:val="000000" w:themeColor="text1"/>
              </w:rPr>
              <w:t>31</w:t>
            </w:r>
            <w:r>
              <w:rPr>
                <w:rFonts w:cstheme="minorHAnsi"/>
                <w:color w:val="000000" w:themeColor="text1"/>
              </w:rPr>
              <w:t>,</w:t>
            </w:r>
            <w:r w:rsidRPr="00104129">
              <w:rPr>
                <w:rFonts w:cstheme="minorHAnsi"/>
                <w:color w:val="000000" w:themeColor="text1"/>
              </w:rPr>
              <w:t>287</w:t>
            </w:r>
          </w:p>
        </w:tc>
      </w:tr>
      <w:tr w:rsidR="00AB53A2" w:rsidRPr="00537128" w14:paraId="58FF0FDC" w14:textId="77777777" w:rsidTr="00D873D7">
        <w:trPr>
          <w:trHeight w:val="359"/>
        </w:trPr>
        <w:tc>
          <w:tcPr>
            <w:tcW w:w="3317" w:type="pct"/>
            <w:vAlign w:val="bottom"/>
          </w:tcPr>
          <w:p w14:paraId="604257A1" w14:textId="77777777" w:rsidR="00AB53A2" w:rsidRPr="00537128" w:rsidRDefault="00AB53A2" w:rsidP="00AB53A2">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Working Capital</w:t>
            </w:r>
          </w:p>
        </w:tc>
        <w:tc>
          <w:tcPr>
            <w:tcW w:w="841" w:type="pct"/>
            <w:tcBorders>
              <w:top w:val="nil"/>
              <w:left w:val="nil"/>
              <w:bottom w:val="nil"/>
              <w:right w:val="nil"/>
            </w:tcBorders>
            <w:shd w:val="clear" w:color="auto" w:fill="auto"/>
            <w:vAlign w:val="bottom"/>
          </w:tcPr>
          <w:p w14:paraId="6C28A1B0" w14:textId="30DA0A04" w:rsidR="00AB53A2" w:rsidRPr="00537128" w:rsidRDefault="00AB53A2" w:rsidP="00AB53A2">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color w:val="000000"/>
              </w:rPr>
              <w:t>690</w:t>
            </w:r>
            <w:r w:rsidR="00BB1A91">
              <w:rPr>
                <w:rFonts w:ascii="Calibri" w:eastAsia="Times New Roman" w:hAnsi="Calibri" w:cs="Calibri"/>
                <w:color w:val="000000"/>
              </w:rPr>
              <w:t>,</w:t>
            </w:r>
            <w:r>
              <w:rPr>
                <w:rFonts w:ascii="Calibri" w:eastAsia="Times New Roman" w:hAnsi="Calibri" w:cs="Calibri"/>
                <w:color w:val="000000"/>
              </w:rPr>
              <w:t>797</w:t>
            </w:r>
          </w:p>
        </w:tc>
        <w:tc>
          <w:tcPr>
            <w:tcW w:w="842" w:type="pct"/>
            <w:tcBorders>
              <w:top w:val="nil"/>
              <w:left w:val="nil"/>
              <w:bottom w:val="nil"/>
              <w:right w:val="nil"/>
            </w:tcBorders>
            <w:shd w:val="clear" w:color="auto" w:fill="auto"/>
            <w:vAlign w:val="bottom"/>
          </w:tcPr>
          <w:p w14:paraId="6DCFD3D9" w14:textId="3DBAC8C1" w:rsidR="00AB53A2" w:rsidRPr="00537128" w:rsidRDefault="00AB53A2" w:rsidP="00AB53A2">
            <w:pPr>
              <w:tabs>
                <w:tab w:val="right" w:pos="1202"/>
              </w:tabs>
              <w:spacing w:after="0" w:line="301" w:lineRule="exact"/>
              <w:jc w:val="right"/>
              <w:outlineLvl w:val="0"/>
              <w:rPr>
                <w:rFonts w:ascii="Calibri" w:eastAsia="Times New Roman" w:hAnsi="Calibri" w:cs="Calibri"/>
                <w:color w:val="000000"/>
                <w:lang w:val="en-US"/>
              </w:rPr>
            </w:pPr>
            <w:r w:rsidRPr="00104129">
              <w:rPr>
                <w:rFonts w:cstheme="minorHAnsi"/>
                <w:color w:val="000000" w:themeColor="text1"/>
              </w:rPr>
              <w:t>690</w:t>
            </w:r>
            <w:r>
              <w:rPr>
                <w:rFonts w:cstheme="minorHAnsi"/>
                <w:color w:val="000000" w:themeColor="text1"/>
              </w:rPr>
              <w:t>,</w:t>
            </w:r>
            <w:r w:rsidRPr="00104129">
              <w:rPr>
                <w:rFonts w:cstheme="minorHAnsi"/>
                <w:color w:val="000000" w:themeColor="text1"/>
              </w:rPr>
              <w:t>681</w:t>
            </w:r>
          </w:p>
        </w:tc>
      </w:tr>
      <w:tr w:rsidR="00AB53A2" w:rsidRPr="00537128" w14:paraId="180EDE82" w14:textId="77777777" w:rsidTr="00D873D7">
        <w:trPr>
          <w:trHeight w:val="359"/>
        </w:trPr>
        <w:tc>
          <w:tcPr>
            <w:tcW w:w="3317" w:type="pct"/>
            <w:vAlign w:val="bottom"/>
          </w:tcPr>
          <w:p w14:paraId="4C1057A4" w14:textId="77777777" w:rsidR="00AB53A2" w:rsidRPr="00537128" w:rsidRDefault="00AB53A2" w:rsidP="00AB53A2">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Working Capital – COVID 19 measures</w:t>
            </w:r>
          </w:p>
        </w:tc>
        <w:tc>
          <w:tcPr>
            <w:tcW w:w="841" w:type="pct"/>
            <w:tcBorders>
              <w:top w:val="nil"/>
              <w:left w:val="nil"/>
              <w:bottom w:val="nil"/>
              <w:right w:val="nil"/>
            </w:tcBorders>
            <w:shd w:val="clear" w:color="auto" w:fill="auto"/>
            <w:vAlign w:val="bottom"/>
          </w:tcPr>
          <w:p w14:paraId="29FF1DEC" w14:textId="56D9CF14" w:rsidR="00AB53A2" w:rsidRPr="00537128" w:rsidRDefault="00AB53A2" w:rsidP="00AB53A2">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color w:val="000000"/>
              </w:rPr>
              <w:t>1</w:t>
            </w:r>
            <w:r w:rsidR="00BB1A91">
              <w:rPr>
                <w:rFonts w:ascii="Calibri" w:eastAsia="Times New Roman" w:hAnsi="Calibri" w:cs="Calibri"/>
                <w:color w:val="000000"/>
              </w:rPr>
              <w:t>,</w:t>
            </w:r>
            <w:r>
              <w:rPr>
                <w:rFonts w:ascii="Calibri" w:eastAsia="Times New Roman" w:hAnsi="Calibri" w:cs="Calibri"/>
                <w:color w:val="000000"/>
              </w:rPr>
              <w:t>652</w:t>
            </w:r>
            <w:r w:rsidR="00BB1A91">
              <w:rPr>
                <w:rFonts w:ascii="Calibri" w:eastAsia="Times New Roman" w:hAnsi="Calibri" w:cs="Calibri"/>
                <w:color w:val="000000"/>
              </w:rPr>
              <w:t>,</w:t>
            </w:r>
            <w:r>
              <w:rPr>
                <w:rFonts w:ascii="Calibri" w:eastAsia="Times New Roman" w:hAnsi="Calibri" w:cs="Calibri"/>
                <w:color w:val="000000"/>
              </w:rPr>
              <w:t>812</w:t>
            </w:r>
          </w:p>
        </w:tc>
        <w:tc>
          <w:tcPr>
            <w:tcW w:w="842" w:type="pct"/>
            <w:tcBorders>
              <w:top w:val="nil"/>
              <w:left w:val="nil"/>
              <w:bottom w:val="nil"/>
              <w:right w:val="nil"/>
            </w:tcBorders>
            <w:shd w:val="clear" w:color="auto" w:fill="auto"/>
            <w:vAlign w:val="bottom"/>
          </w:tcPr>
          <w:p w14:paraId="3B2BBD6D" w14:textId="45DC5C0F" w:rsidR="00AB53A2" w:rsidRPr="00537128" w:rsidRDefault="00AB53A2" w:rsidP="00AB53A2">
            <w:pPr>
              <w:tabs>
                <w:tab w:val="right" w:pos="1202"/>
              </w:tabs>
              <w:spacing w:after="0" w:line="301" w:lineRule="exact"/>
              <w:jc w:val="right"/>
              <w:outlineLvl w:val="0"/>
              <w:rPr>
                <w:rFonts w:ascii="Calibri" w:eastAsia="Times New Roman" w:hAnsi="Calibri" w:cs="Calibri"/>
                <w:color w:val="000000"/>
                <w:lang w:val="en-US"/>
              </w:rPr>
            </w:pPr>
            <w:r w:rsidRPr="00104129">
              <w:rPr>
                <w:rFonts w:cstheme="minorHAnsi"/>
                <w:color w:val="000000" w:themeColor="text1"/>
              </w:rPr>
              <w:t>1</w:t>
            </w:r>
            <w:r>
              <w:rPr>
                <w:rFonts w:cstheme="minorHAnsi"/>
                <w:color w:val="000000" w:themeColor="text1"/>
              </w:rPr>
              <w:t>,</w:t>
            </w:r>
            <w:r w:rsidRPr="00104129">
              <w:rPr>
                <w:rFonts w:cstheme="minorHAnsi"/>
                <w:color w:val="000000" w:themeColor="text1"/>
              </w:rPr>
              <w:t>645</w:t>
            </w:r>
            <w:r>
              <w:rPr>
                <w:rFonts w:cstheme="minorHAnsi"/>
                <w:color w:val="000000" w:themeColor="text1"/>
              </w:rPr>
              <w:t>,</w:t>
            </w:r>
            <w:r w:rsidRPr="00104129">
              <w:rPr>
                <w:rFonts w:cstheme="minorHAnsi"/>
                <w:color w:val="000000" w:themeColor="text1"/>
              </w:rPr>
              <w:t>736</w:t>
            </w:r>
          </w:p>
        </w:tc>
      </w:tr>
      <w:tr w:rsidR="00AB53A2" w:rsidRPr="00537128" w14:paraId="1C6C3707" w14:textId="77777777" w:rsidTr="00D873D7">
        <w:trPr>
          <w:trHeight w:val="359"/>
        </w:trPr>
        <w:tc>
          <w:tcPr>
            <w:tcW w:w="3317" w:type="pct"/>
            <w:vAlign w:val="bottom"/>
          </w:tcPr>
          <w:p w14:paraId="0D7AE7E3" w14:textId="77777777" w:rsidR="00AB53A2" w:rsidRPr="00537128" w:rsidRDefault="00AB53A2" w:rsidP="00AB53A2">
            <w:pPr>
              <w:tabs>
                <w:tab w:val="right" w:pos="1202"/>
              </w:tabs>
              <w:spacing w:after="0" w:line="301" w:lineRule="exact"/>
              <w:outlineLvl w:val="0"/>
              <w:rPr>
                <w:rFonts w:ascii="Calibri" w:eastAsia="Times New Roman" w:hAnsi="Calibri" w:cs="Arial"/>
                <w:lang w:val="en-US"/>
              </w:rPr>
            </w:pPr>
            <w:bookmarkStart w:id="376" w:name="_Toc4058686"/>
            <w:r w:rsidRPr="00537128">
              <w:rPr>
                <w:rFonts w:ascii="Calibri" w:eastAsia="Times New Roman" w:hAnsi="Calibri" w:cs="Arial"/>
                <w:lang w:val="en-US"/>
              </w:rPr>
              <w:t xml:space="preserve">Loan </w:t>
            </w:r>
            <w:proofErr w:type="spellStart"/>
            <w:r w:rsidRPr="00537128">
              <w:rPr>
                <w:rFonts w:ascii="Calibri" w:eastAsia="Times New Roman" w:hAnsi="Calibri" w:cs="Arial"/>
                <w:lang w:val="en-US"/>
              </w:rPr>
              <w:t>programme</w:t>
            </w:r>
            <w:proofErr w:type="spellEnd"/>
            <w:r w:rsidRPr="00537128">
              <w:rPr>
                <w:rFonts w:ascii="Calibri" w:eastAsia="Times New Roman" w:hAnsi="Calibri" w:cs="Arial"/>
                <w:lang w:val="en-US"/>
              </w:rPr>
              <w:t xml:space="preserve"> for reconstruction and development of the economy</w:t>
            </w:r>
            <w:bookmarkEnd w:id="376"/>
          </w:p>
        </w:tc>
        <w:tc>
          <w:tcPr>
            <w:tcW w:w="841" w:type="pct"/>
            <w:tcBorders>
              <w:top w:val="nil"/>
              <w:left w:val="nil"/>
              <w:bottom w:val="nil"/>
              <w:right w:val="nil"/>
            </w:tcBorders>
            <w:shd w:val="clear" w:color="auto" w:fill="auto"/>
            <w:vAlign w:val="bottom"/>
          </w:tcPr>
          <w:p w14:paraId="3F1EADF5" w14:textId="0400520C" w:rsidR="00AB53A2" w:rsidRPr="00537128" w:rsidRDefault="00AB53A2" w:rsidP="00AB53A2">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color w:val="000000"/>
              </w:rPr>
              <w:t>2</w:t>
            </w:r>
            <w:r w:rsidR="00BB1A91">
              <w:rPr>
                <w:rFonts w:ascii="Calibri" w:eastAsia="Times New Roman" w:hAnsi="Calibri" w:cs="Calibri"/>
                <w:color w:val="000000"/>
              </w:rPr>
              <w:t>,</w:t>
            </w:r>
            <w:r>
              <w:rPr>
                <w:rFonts w:ascii="Calibri" w:eastAsia="Times New Roman" w:hAnsi="Calibri" w:cs="Calibri"/>
                <w:color w:val="000000"/>
              </w:rPr>
              <w:t>176</w:t>
            </w:r>
            <w:r w:rsidR="00BB1A91">
              <w:rPr>
                <w:rFonts w:ascii="Calibri" w:eastAsia="Times New Roman" w:hAnsi="Calibri" w:cs="Calibri"/>
                <w:color w:val="000000"/>
              </w:rPr>
              <w:t>,</w:t>
            </w:r>
            <w:r>
              <w:rPr>
                <w:rFonts w:ascii="Calibri" w:eastAsia="Times New Roman" w:hAnsi="Calibri" w:cs="Calibri"/>
                <w:color w:val="000000"/>
              </w:rPr>
              <w:t>066</w:t>
            </w:r>
          </w:p>
        </w:tc>
        <w:tc>
          <w:tcPr>
            <w:tcW w:w="842" w:type="pct"/>
            <w:tcBorders>
              <w:top w:val="nil"/>
              <w:left w:val="nil"/>
              <w:bottom w:val="nil"/>
              <w:right w:val="nil"/>
            </w:tcBorders>
            <w:shd w:val="clear" w:color="auto" w:fill="auto"/>
            <w:vAlign w:val="bottom"/>
          </w:tcPr>
          <w:p w14:paraId="17045637" w14:textId="06673493" w:rsidR="00AB53A2" w:rsidRPr="00537128" w:rsidRDefault="00AB53A2" w:rsidP="00AB53A2">
            <w:pPr>
              <w:tabs>
                <w:tab w:val="right" w:pos="1202"/>
              </w:tabs>
              <w:spacing w:after="0" w:line="301" w:lineRule="exact"/>
              <w:jc w:val="right"/>
              <w:outlineLvl w:val="0"/>
              <w:rPr>
                <w:rFonts w:ascii="Calibri" w:eastAsia="Times New Roman" w:hAnsi="Calibri" w:cs="Arial"/>
                <w:lang w:val="en-US"/>
              </w:rPr>
            </w:pPr>
            <w:r w:rsidRPr="00104129">
              <w:rPr>
                <w:rFonts w:cstheme="minorHAnsi"/>
                <w:color w:val="000000" w:themeColor="text1"/>
              </w:rPr>
              <w:t>2</w:t>
            </w:r>
            <w:r>
              <w:rPr>
                <w:rFonts w:cstheme="minorHAnsi"/>
                <w:color w:val="000000" w:themeColor="text1"/>
              </w:rPr>
              <w:t>,</w:t>
            </w:r>
            <w:r w:rsidRPr="00104129">
              <w:rPr>
                <w:rFonts w:cstheme="minorHAnsi"/>
                <w:color w:val="000000" w:themeColor="text1"/>
              </w:rPr>
              <w:t>254</w:t>
            </w:r>
            <w:r>
              <w:rPr>
                <w:rFonts w:cstheme="minorHAnsi"/>
                <w:color w:val="000000" w:themeColor="text1"/>
              </w:rPr>
              <w:t>,</w:t>
            </w:r>
            <w:r w:rsidRPr="00104129">
              <w:rPr>
                <w:rFonts w:cstheme="minorHAnsi"/>
                <w:color w:val="000000" w:themeColor="text1"/>
              </w:rPr>
              <w:t>094</w:t>
            </w:r>
          </w:p>
        </w:tc>
      </w:tr>
      <w:tr w:rsidR="00AB53A2" w:rsidRPr="00537128" w14:paraId="1A59D83B" w14:textId="77777777" w:rsidTr="00D873D7">
        <w:trPr>
          <w:trHeight w:val="359"/>
        </w:trPr>
        <w:tc>
          <w:tcPr>
            <w:tcW w:w="3317" w:type="pct"/>
            <w:vAlign w:val="bottom"/>
          </w:tcPr>
          <w:p w14:paraId="7E87C01C" w14:textId="77777777" w:rsidR="00AB53A2" w:rsidRPr="00537128" w:rsidRDefault="00AB53A2" w:rsidP="00AB53A2">
            <w:pPr>
              <w:tabs>
                <w:tab w:val="right" w:pos="1202"/>
              </w:tabs>
              <w:spacing w:after="0" w:line="301" w:lineRule="exact"/>
              <w:outlineLvl w:val="0"/>
              <w:rPr>
                <w:rFonts w:ascii="Calibri" w:eastAsia="Times New Roman" w:hAnsi="Calibri" w:cs="Arial"/>
                <w:lang w:val="en-US"/>
              </w:rPr>
            </w:pPr>
            <w:bookmarkStart w:id="377" w:name="_Toc4058689"/>
            <w:r w:rsidRPr="00537128">
              <w:rPr>
                <w:rFonts w:ascii="Calibri" w:eastAsia="Times New Roman" w:hAnsi="Calibri" w:cs="Arial"/>
                <w:lang w:val="en-US"/>
              </w:rPr>
              <w:t>Export financing</w:t>
            </w:r>
            <w:bookmarkEnd w:id="377"/>
          </w:p>
        </w:tc>
        <w:tc>
          <w:tcPr>
            <w:tcW w:w="841" w:type="pct"/>
            <w:tcBorders>
              <w:top w:val="nil"/>
              <w:left w:val="nil"/>
              <w:bottom w:val="nil"/>
              <w:right w:val="nil"/>
            </w:tcBorders>
            <w:shd w:val="clear" w:color="auto" w:fill="auto"/>
            <w:vAlign w:val="bottom"/>
          </w:tcPr>
          <w:p w14:paraId="38E1F7B2" w14:textId="1438E1B0" w:rsidR="00AB53A2" w:rsidRPr="00537128" w:rsidRDefault="00AB53A2" w:rsidP="00AB53A2">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color w:val="000000"/>
              </w:rPr>
              <w:t>3</w:t>
            </w:r>
            <w:r w:rsidR="00BB1A91">
              <w:rPr>
                <w:rFonts w:ascii="Calibri" w:eastAsia="Times New Roman" w:hAnsi="Calibri" w:cs="Calibri"/>
                <w:color w:val="000000"/>
              </w:rPr>
              <w:t>,</w:t>
            </w:r>
            <w:r>
              <w:rPr>
                <w:rFonts w:ascii="Calibri" w:eastAsia="Times New Roman" w:hAnsi="Calibri" w:cs="Calibri"/>
                <w:color w:val="000000"/>
              </w:rPr>
              <w:t>859</w:t>
            </w:r>
            <w:r w:rsidR="00BB1A91">
              <w:rPr>
                <w:rFonts w:ascii="Calibri" w:eastAsia="Times New Roman" w:hAnsi="Calibri" w:cs="Calibri"/>
                <w:color w:val="000000"/>
              </w:rPr>
              <w:t>,</w:t>
            </w:r>
            <w:r>
              <w:rPr>
                <w:rFonts w:ascii="Calibri" w:eastAsia="Times New Roman" w:hAnsi="Calibri" w:cs="Calibri"/>
                <w:color w:val="000000"/>
              </w:rPr>
              <w:t>846</w:t>
            </w:r>
          </w:p>
        </w:tc>
        <w:tc>
          <w:tcPr>
            <w:tcW w:w="842" w:type="pct"/>
            <w:tcBorders>
              <w:top w:val="nil"/>
              <w:left w:val="nil"/>
              <w:bottom w:val="nil"/>
              <w:right w:val="nil"/>
            </w:tcBorders>
            <w:shd w:val="clear" w:color="auto" w:fill="auto"/>
            <w:vAlign w:val="bottom"/>
          </w:tcPr>
          <w:p w14:paraId="4FE83584" w14:textId="0840213E" w:rsidR="00AB53A2" w:rsidRPr="00537128" w:rsidRDefault="00AB53A2" w:rsidP="00AB53A2">
            <w:pPr>
              <w:tabs>
                <w:tab w:val="right" w:pos="1202"/>
              </w:tabs>
              <w:spacing w:after="0" w:line="301" w:lineRule="exact"/>
              <w:jc w:val="right"/>
              <w:outlineLvl w:val="0"/>
              <w:rPr>
                <w:rFonts w:ascii="Calibri" w:eastAsia="Times New Roman" w:hAnsi="Calibri" w:cs="Arial"/>
                <w:lang w:val="en-US"/>
              </w:rPr>
            </w:pPr>
            <w:r w:rsidRPr="00104129">
              <w:rPr>
                <w:rFonts w:cstheme="minorHAnsi"/>
                <w:color w:val="000000" w:themeColor="text1"/>
              </w:rPr>
              <w:t>4</w:t>
            </w:r>
            <w:r>
              <w:rPr>
                <w:rFonts w:cstheme="minorHAnsi"/>
                <w:color w:val="000000" w:themeColor="text1"/>
              </w:rPr>
              <w:t>,</w:t>
            </w:r>
            <w:r w:rsidRPr="00104129">
              <w:rPr>
                <w:rFonts w:cstheme="minorHAnsi"/>
                <w:color w:val="000000" w:themeColor="text1"/>
              </w:rPr>
              <w:t>375</w:t>
            </w:r>
            <w:r>
              <w:rPr>
                <w:rFonts w:cstheme="minorHAnsi"/>
                <w:color w:val="000000" w:themeColor="text1"/>
              </w:rPr>
              <w:t>,</w:t>
            </w:r>
            <w:r w:rsidRPr="00104129">
              <w:rPr>
                <w:rFonts w:cstheme="minorHAnsi"/>
                <w:color w:val="000000" w:themeColor="text1"/>
              </w:rPr>
              <w:t>411</w:t>
            </w:r>
          </w:p>
        </w:tc>
      </w:tr>
      <w:tr w:rsidR="00AB53A2" w:rsidRPr="00537128" w14:paraId="6E3F8466" w14:textId="77777777" w:rsidTr="00D873D7">
        <w:trPr>
          <w:trHeight w:val="616"/>
        </w:trPr>
        <w:tc>
          <w:tcPr>
            <w:tcW w:w="3317" w:type="pct"/>
            <w:vAlign w:val="bottom"/>
          </w:tcPr>
          <w:p w14:paraId="03C909A8" w14:textId="77777777" w:rsidR="00AB53A2" w:rsidRPr="00537128" w:rsidRDefault="00AB53A2" w:rsidP="00AB53A2">
            <w:pPr>
              <w:tabs>
                <w:tab w:val="right" w:pos="1202"/>
              </w:tabs>
              <w:spacing w:after="0" w:line="301" w:lineRule="exact"/>
              <w:outlineLvl w:val="0"/>
              <w:rPr>
                <w:rFonts w:ascii="Calibri" w:eastAsia="Times New Roman" w:hAnsi="Calibri" w:cs="Arial"/>
                <w:lang w:val="en-US"/>
              </w:rPr>
            </w:pPr>
            <w:bookmarkStart w:id="378" w:name="_Toc4058692"/>
            <w:r w:rsidRPr="00537128">
              <w:rPr>
                <w:rFonts w:ascii="Calibri" w:eastAsia="Times New Roman" w:hAnsi="Calibri" w:cs="Arial"/>
                <w:lang w:val="en-US"/>
              </w:rPr>
              <w:t xml:space="preserve">Loan </w:t>
            </w:r>
            <w:proofErr w:type="spellStart"/>
            <w:r w:rsidRPr="00537128">
              <w:rPr>
                <w:rFonts w:ascii="Calibri" w:eastAsia="Times New Roman" w:hAnsi="Calibri" w:cs="Arial"/>
                <w:lang w:val="en-US"/>
              </w:rPr>
              <w:t>programme</w:t>
            </w:r>
            <w:proofErr w:type="spellEnd"/>
            <w:r w:rsidRPr="00537128">
              <w:rPr>
                <w:rFonts w:ascii="Calibri" w:eastAsia="Times New Roman" w:hAnsi="Calibri" w:cs="Arial"/>
                <w:lang w:val="en-US"/>
              </w:rPr>
              <w:t xml:space="preserve"> for reconstruction and development of infrastructure in the Republic of Croatia</w:t>
            </w:r>
            <w:bookmarkEnd w:id="378"/>
          </w:p>
        </w:tc>
        <w:tc>
          <w:tcPr>
            <w:tcW w:w="841" w:type="pct"/>
            <w:tcBorders>
              <w:top w:val="nil"/>
              <w:left w:val="nil"/>
              <w:bottom w:val="nil"/>
              <w:right w:val="nil"/>
            </w:tcBorders>
            <w:shd w:val="clear" w:color="auto" w:fill="auto"/>
            <w:vAlign w:val="bottom"/>
          </w:tcPr>
          <w:p w14:paraId="52842AAD" w14:textId="651C35F7" w:rsidR="00AB53A2" w:rsidRPr="00537128" w:rsidRDefault="00AB53A2" w:rsidP="00AB53A2">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color w:val="000000"/>
              </w:rPr>
              <w:t>4</w:t>
            </w:r>
            <w:r w:rsidR="00BB1A91">
              <w:rPr>
                <w:rFonts w:ascii="Calibri" w:eastAsia="Times New Roman" w:hAnsi="Calibri" w:cs="Calibri"/>
                <w:color w:val="000000"/>
              </w:rPr>
              <w:t>,</w:t>
            </w:r>
            <w:r>
              <w:rPr>
                <w:rFonts w:ascii="Calibri" w:eastAsia="Times New Roman" w:hAnsi="Calibri" w:cs="Calibri"/>
                <w:color w:val="000000"/>
              </w:rPr>
              <w:t>640</w:t>
            </w:r>
            <w:r w:rsidR="00BB1A91">
              <w:rPr>
                <w:rFonts w:ascii="Calibri" w:eastAsia="Times New Roman" w:hAnsi="Calibri" w:cs="Calibri"/>
                <w:color w:val="000000"/>
              </w:rPr>
              <w:t>,</w:t>
            </w:r>
            <w:r>
              <w:rPr>
                <w:rFonts w:ascii="Calibri" w:eastAsia="Times New Roman" w:hAnsi="Calibri" w:cs="Calibri"/>
                <w:color w:val="000000"/>
              </w:rPr>
              <w:t>408</w:t>
            </w:r>
          </w:p>
        </w:tc>
        <w:tc>
          <w:tcPr>
            <w:tcW w:w="842" w:type="pct"/>
            <w:tcBorders>
              <w:top w:val="nil"/>
              <w:left w:val="nil"/>
              <w:bottom w:val="nil"/>
              <w:right w:val="nil"/>
            </w:tcBorders>
            <w:shd w:val="clear" w:color="auto" w:fill="auto"/>
            <w:vAlign w:val="bottom"/>
          </w:tcPr>
          <w:p w14:paraId="336614FA" w14:textId="24B773A2" w:rsidR="00AB53A2" w:rsidRPr="00537128" w:rsidRDefault="00AB53A2" w:rsidP="00AB53A2">
            <w:pPr>
              <w:tabs>
                <w:tab w:val="right" w:pos="1202"/>
              </w:tabs>
              <w:spacing w:after="0" w:line="301" w:lineRule="exact"/>
              <w:jc w:val="right"/>
              <w:outlineLvl w:val="0"/>
              <w:rPr>
                <w:rFonts w:ascii="Calibri" w:eastAsia="Times New Roman" w:hAnsi="Calibri" w:cs="Arial"/>
                <w:lang w:val="en-US"/>
              </w:rPr>
            </w:pPr>
            <w:r w:rsidRPr="00104129">
              <w:rPr>
                <w:rFonts w:cstheme="minorHAnsi"/>
                <w:color w:val="000000" w:themeColor="text1"/>
              </w:rPr>
              <w:t>4</w:t>
            </w:r>
            <w:r>
              <w:rPr>
                <w:rFonts w:cstheme="minorHAnsi"/>
                <w:color w:val="000000" w:themeColor="text1"/>
              </w:rPr>
              <w:t>,</w:t>
            </w:r>
            <w:r w:rsidRPr="00104129">
              <w:rPr>
                <w:rFonts w:cstheme="minorHAnsi"/>
                <w:color w:val="000000" w:themeColor="text1"/>
              </w:rPr>
              <w:t>713</w:t>
            </w:r>
            <w:r>
              <w:rPr>
                <w:rFonts w:cstheme="minorHAnsi"/>
                <w:color w:val="000000" w:themeColor="text1"/>
              </w:rPr>
              <w:t>,</w:t>
            </w:r>
            <w:r w:rsidRPr="00104129">
              <w:rPr>
                <w:rFonts w:cstheme="minorHAnsi"/>
                <w:color w:val="000000" w:themeColor="text1"/>
              </w:rPr>
              <w:t>628</w:t>
            </w:r>
          </w:p>
        </w:tc>
      </w:tr>
      <w:tr w:rsidR="00AB53A2" w:rsidRPr="00537128" w14:paraId="489C867D" w14:textId="77777777" w:rsidTr="00D873D7">
        <w:trPr>
          <w:trHeight w:val="340"/>
        </w:trPr>
        <w:tc>
          <w:tcPr>
            <w:tcW w:w="3317" w:type="pct"/>
            <w:vAlign w:val="bottom"/>
          </w:tcPr>
          <w:p w14:paraId="15C72522" w14:textId="77777777" w:rsidR="00AB53A2" w:rsidRPr="00537128" w:rsidRDefault="00AB53A2" w:rsidP="00AB53A2">
            <w:pPr>
              <w:tabs>
                <w:tab w:val="right" w:pos="1202"/>
              </w:tabs>
              <w:spacing w:after="0" w:line="301" w:lineRule="exact"/>
              <w:outlineLvl w:val="0"/>
              <w:rPr>
                <w:rFonts w:ascii="Calibri" w:eastAsia="Times New Roman" w:hAnsi="Calibri" w:cs="Arial"/>
                <w:lang w:val="en-US"/>
              </w:rPr>
            </w:pPr>
            <w:bookmarkStart w:id="379" w:name="_Toc4058695"/>
            <w:r w:rsidRPr="00537128">
              <w:rPr>
                <w:rFonts w:ascii="Calibri" w:eastAsia="Times New Roman" w:hAnsi="Calibri" w:cs="Arial"/>
                <w:lang w:val="en-US"/>
              </w:rPr>
              <w:t xml:space="preserve">Loan </w:t>
            </w:r>
            <w:proofErr w:type="spellStart"/>
            <w:r w:rsidRPr="00537128">
              <w:rPr>
                <w:rFonts w:ascii="Calibri" w:eastAsia="Times New Roman" w:hAnsi="Calibri" w:cs="Arial"/>
                <w:lang w:val="en-US"/>
              </w:rPr>
              <w:t>programme</w:t>
            </w:r>
            <w:proofErr w:type="spellEnd"/>
            <w:r w:rsidRPr="00537128">
              <w:rPr>
                <w:rFonts w:ascii="Calibri" w:eastAsia="Times New Roman" w:hAnsi="Calibri" w:cs="Arial"/>
                <w:lang w:val="en-US"/>
              </w:rPr>
              <w:t xml:space="preserve"> for small and medium-sized enterprises</w:t>
            </w:r>
            <w:bookmarkEnd w:id="379"/>
          </w:p>
        </w:tc>
        <w:tc>
          <w:tcPr>
            <w:tcW w:w="841" w:type="pct"/>
            <w:tcBorders>
              <w:top w:val="nil"/>
              <w:left w:val="nil"/>
              <w:bottom w:val="nil"/>
              <w:right w:val="nil"/>
            </w:tcBorders>
            <w:shd w:val="clear" w:color="auto" w:fill="auto"/>
            <w:vAlign w:val="bottom"/>
          </w:tcPr>
          <w:p w14:paraId="13E8485F" w14:textId="143CCF7A" w:rsidR="00AB53A2" w:rsidRPr="00537128" w:rsidRDefault="00AB53A2" w:rsidP="00AB53A2">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color w:val="000000"/>
              </w:rPr>
              <w:t>1</w:t>
            </w:r>
            <w:r w:rsidR="00BB1A91">
              <w:rPr>
                <w:rFonts w:ascii="Calibri" w:eastAsia="Times New Roman" w:hAnsi="Calibri" w:cs="Calibri"/>
                <w:color w:val="000000"/>
              </w:rPr>
              <w:t>,</w:t>
            </w:r>
            <w:r>
              <w:rPr>
                <w:rFonts w:ascii="Calibri" w:eastAsia="Times New Roman" w:hAnsi="Calibri" w:cs="Calibri"/>
                <w:color w:val="000000"/>
              </w:rPr>
              <w:t>093</w:t>
            </w:r>
            <w:r w:rsidR="00BB1A91">
              <w:rPr>
                <w:rFonts w:ascii="Calibri" w:eastAsia="Times New Roman" w:hAnsi="Calibri" w:cs="Calibri"/>
                <w:color w:val="000000"/>
              </w:rPr>
              <w:t>,</w:t>
            </w:r>
            <w:r>
              <w:rPr>
                <w:rFonts w:ascii="Calibri" w:eastAsia="Times New Roman" w:hAnsi="Calibri" w:cs="Calibri"/>
                <w:color w:val="000000"/>
              </w:rPr>
              <w:t>956</w:t>
            </w:r>
          </w:p>
        </w:tc>
        <w:tc>
          <w:tcPr>
            <w:tcW w:w="842" w:type="pct"/>
            <w:tcBorders>
              <w:top w:val="nil"/>
              <w:left w:val="nil"/>
              <w:bottom w:val="nil"/>
              <w:right w:val="nil"/>
            </w:tcBorders>
            <w:shd w:val="clear" w:color="auto" w:fill="auto"/>
            <w:vAlign w:val="bottom"/>
          </w:tcPr>
          <w:p w14:paraId="512D0EC5" w14:textId="427181F2" w:rsidR="00AB53A2" w:rsidRPr="00537128" w:rsidRDefault="00AB53A2" w:rsidP="00AB53A2">
            <w:pPr>
              <w:tabs>
                <w:tab w:val="right" w:pos="1202"/>
              </w:tabs>
              <w:spacing w:after="0" w:line="301" w:lineRule="exact"/>
              <w:jc w:val="right"/>
              <w:outlineLvl w:val="0"/>
              <w:rPr>
                <w:rFonts w:ascii="Calibri" w:eastAsia="Times New Roman" w:hAnsi="Calibri" w:cs="Arial"/>
                <w:lang w:val="en-US"/>
              </w:rPr>
            </w:pPr>
            <w:r w:rsidRPr="00104129">
              <w:rPr>
                <w:rFonts w:cstheme="minorHAnsi"/>
                <w:color w:val="000000" w:themeColor="text1"/>
              </w:rPr>
              <w:t>1</w:t>
            </w:r>
            <w:r>
              <w:rPr>
                <w:rFonts w:cstheme="minorHAnsi"/>
                <w:color w:val="000000" w:themeColor="text1"/>
              </w:rPr>
              <w:t>,</w:t>
            </w:r>
            <w:r w:rsidRPr="00104129">
              <w:rPr>
                <w:rFonts w:cstheme="minorHAnsi"/>
                <w:color w:val="000000" w:themeColor="text1"/>
              </w:rPr>
              <w:t>140</w:t>
            </w:r>
            <w:r>
              <w:rPr>
                <w:rFonts w:cstheme="minorHAnsi"/>
                <w:color w:val="000000" w:themeColor="text1"/>
              </w:rPr>
              <w:t>,</w:t>
            </w:r>
            <w:r w:rsidRPr="00104129">
              <w:rPr>
                <w:rFonts w:cstheme="minorHAnsi"/>
                <w:color w:val="000000" w:themeColor="text1"/>
              </w:rPr>
              <w:t>626</w:t>
            </w:r>
          </w:p>
        </w:tc>
      </w:tr>
      <w:tr w:rsidR="00AB53A2" w:rsidRPr="00537128" w14:paraId="638CD0BC" w14:textId="77777777" w:rsidTr="00D873D7">
        <w:trPr>
          <w:trHeight w:val="340"/>
        </w:trPr>
        <w:tc>
          <w:tcPr>
            <w:tcW w:w="3317" w:type="pct"/>
            <w:vAlign w:val="bottom"/>
          </w:tcPr>
          <w:p w14:paraId="37E04AF8" w14:textId="77777777" w:rsidR="00AB53A2" w:rsidRPr="00537128" w:rsidRDefault="00AB53A2" w:rsidP="00AB53A2">
            <w:pPr>
              <w:tabs>
                <w:tab w:val="right" w:pos="1202"/>
              </w:tabs>
              <w:spacing w:after="0" w:line="301" w:lineRule="exact"/>
              <w:outlineLvl w:val="0"/>
              <w:rPr>
                <w:rFonts w:ascii="Calibri" w:eastAsia="Times New Roman" w:hAnsi="Calibri" w:cs="Arial"/>
                <w:lang w:val="en-US"/>
              </w:rPr>
            </w:pPr>
            <w:bookmarkStart w:id="380" w:name="_Toc4058698"/>
            <w:r w:rsidRPr="00537128">
              <w:rPr>
                <w:rFonts w:ascii="Calibri" w:eastAsia="Times New Roman" w:hAnsi="Calibri" w:cs="Arial"/>
                <w:lang w:val="en-US"/>
              </w:rPr>
              <w:t>Other</w:t>
            </w:r>
            <w:bookmarkEnd w:id="380"/>
          </w:p>
        </w:tc>
        <w:tc>
          <w:tcPr>
            <w:tcW w:w="841" w:type="pct"/>
            <w:tcBorders>
              <w:top w:val="nil"/>
              <w:left w:val="nil"/>
              <w:bottom w:val="nil"/>
              <w:right w:val="nil"/>
            </w:tcBorders>
            <w:shd w:val="clear" w:color="auto" w:fill="auto"/>
            <w:vAlign w:val="bottom"/>
          </w:tcPr>
          <w:p w14:paraId="32A8D29A" w14:textId="4C172D8D" w:rsidR="00AB53A2" w:rsidRPr="00537128" w:rsidRDefault="00AB53A2" w:rsidP="00AB53A2">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color w:val="000000"/>
              </w:rPr>
              <w:t>304</w:t>
            </w:r>
            <w:r w:rsidR="00BB1A91">
              <w:rPr>
                <w:rFonts w:ascii="Calibri" w:eastAsia="Times New Roman" w:hAnsi="Calibri" w:cs="Calibri"/>
                <w:color w:val="000000"/>
              </w:rPr>
              <w:t>,</w:t>
            </w:r>
            <w:r>
              <w:rPr>
                <w:rFonts w:ascii="Calibri" w:eastAsia="Times New Roman" w:hAnsi="Calibri" w:cs="Calibri"/>
                <w:color w:val="000000"/>
              </w:rPr>
              <w:t>011</w:t>
            </w:r>
          </w:p>
        </w:tc>
        <w:tc>
          <w:tcPr>
            <w:tcW w:w="842" w:type="pct"/>
            <w:tcBorders>
              <w:top w:val="nil"/>
              <w:left w:val="nil"/>
              <w:bottom w:val="nil"/>
              <w:right w:val="nil"/>
            </w:tcBorders>
            <w:shd w:val="clear" w:color="auto" w:fill="auto"/>
            <w:vAlign w:val="bottom"/>
          </w:tcPr>
          <w:p w14:paraId="11A434DE" w14:textId="7E6AFB9B" w:rsidR="00AB53A2" w:rsidRPr="00537128" w:rsidRDefault="00AB53A2" w:rsidP="00AB53A2">
            <w:pPr>
              <w:tabs>
                <w:tab w:val="right" w:pos="1202"/>
              </w:tabs>
              <w:spacing w:after="0" w:line="301" w:lineRule="exact"/>
              <w:jc w:val="right"/>
              <w:outlineLvl w:val="0"/>
              <w:rPr>
                <w:rFonts w:ascii="Calibri" w:eastAsia="Times New Roman" w:hAnsi="Calibri" w:cs="Arial"/>
                <w:lang w:val="en-US"/>
              </w:rPr>
            </w:pPr>
            <w:r w:rsidRPr="00104129">
              <w:rPr>
                <w:rFonts w:cstheme="minorHAnsi"/>
                <w:color w:val="000000" w:themeColor="text1"/>
              </w:rPr>
              <w:t>256</w:t>
            </w:r>
            <w:r>
              <w:rPr>
                <w:rFonts w:cstheme="minorHAnsi"/>
                <w:color w:val="000000" w:themeColor="text1"/>
              </w:rPr>
              <w:t>,</w:t>
            </w:r>
            <w:r w:rsidRPr="00104129">
              <w:rPr>
                <w:rFonts w:cstheme="minorHAnsi"/>
                <w:color w:val="000000" w:themeColor="text1"/>
              </w:rPr>
              <w:t>625</w:t>
            </w:r>
          </w:p>
        </w:tc>
      </w:tr>
      <w:tr w:rsidR="00AB53A2" w:rsidRPr="00537128" w14:paraId="376504BC" w14:textId="77777777" w:rsidTr="00D873D7">
        <w:trPr>
          <w:trHeight w:val="340"/>
        </w:trPr>
        <w:tc>
          <w:tcPr>
            <w:tcW w:w="3317" w:type="pct"/>
            <w:vAlign w:val="bottom"/>
          </w:tcPr>
          <w:p w14:paraId="2C309CF5" w14:textId="77777777" w:rsidR="00AB53A2" w:rsidRPr="00537128" w:rsidRDefault="00AB53A2" w:rsidP="00AB53A2">
            <w:pPr>
              <w:tabs>
                <w:tab w:val="right" w:pos="1202"/>
              </w:tabs>
              <w:spacing w:after="0" w:line="301" w:lineRule="exact"/>
              <w:outlineLvl w:val="0"/>
              <w:rPr>
                <w:rFonts w:ascii="Calibri" w:eastAsia="Times New Roman" w:hAnsi="Calibri" w:cs="Arial"/>
                <w:lang w:val="en-US"/>
              </w:rPr>
            </w:pPr>
            <w:bookmarkStart w:id="381" w:name="_Toc4058701"/>
            <w:r w:rsidRPr="00537128">
              <w:rPr>
                <w:rFonts w:ascii="Calibri" w:eastAsia="Times New Roman" w:hAnsi="Calibri" w:cs="Arial"/>
                <w:lang w:val="en-US"/>
              </w:rPr>
              <w:t>Accrued interest</w:t>
            </w:r>
            <w:bookmarkEnd w:id="381"/>
          </w:p>
        </w:tc>
        <w:tc>
          <w:tcPr>
            <w:tcW w:w="841" w:type="pct"/>
            <w:tcBorders>
              <w:top w:val="nil"/>
              <w:left w:val="nil"/>
              <w:bottom w:val="nil"/>
              <w:right w:val="nil"/>
            </w:tcBorders>
            <w:shd w:val="clear" w:color="auto" w:fill="auto"/>
            <w:vAlign w:val="bottom"/>
          </w:tcPr>
          <w:p w14:paraId="6002229E" w14:textId="7084AAEE" w:rsidR="00AB53A2" w:rsidRPr="00537128" w:rsidRDefault="00AB53A2" w:rsidP="00AB53A2">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color w:val="000000"/>
              </w:rPr>
              <w:t>371</w:t>
            </w:r>
            <w:r w:rsidR="00BB1A91">
              <w:rPr>
                <w:rFonts w:ascii="Calibri" w:eastAsia="Times New Roman" w:hAnsi="Calibri" w:cs="Calibri"/>
                <w:color w:val="000000"/>
              </w:rPr>
              <w:t>,</w:t>
            </w:r>
            <w:r>
              <w:rPr>
                <w:rFonts w:ascii="Calibri" w:eastAsia="Times New Roman" w:hAnsi="Calibri" w:cs="Calibri"/>
                <w:color w:val="000000"/>
              </w:rPr>
              <w:t>392</w:t>
            </w:r>
          </w:p>
        </w:tc>
        <w:tc>
          <w:tcPr>
            <w:tcW w:w="842" w:type="pct"/>
            <w:tcBorders>
              <w:top w:val="nil"/>
              <w:left w:val="nil"/>
              <w:bottom w:val="nil"/>
              <w:right w:val="nil"/>
            </w:tcBorders>
            <w:shd w:val="clear" w:color="auto" w:fill="auto"/>
            <w:vAlign w:val="bottom"/>
          </w:tcPr>
          <w:p w14:paraId="4CF6E967" w14:textId="5B86C913" w:rsidR="00AB53A2" w:rsidRPr="00537128" w:rsidRDefault="00AB53A2" w:rsidP="00AB53A2">
            <w:pPr>
              <w:tabs>
                <w:tab w:val="right" w:pos="1202"/>
              </w:tabs>
              <w:spacing w:after="0" w:line="301" w:lineRule="exact"/>
              <w:jc w:val="right"/>
              <w:outlineLvl w:val="0"/>
              <w:rPr>
                <w:rFonts w:ascii="Calibri" w:eastAsia="Times New Roman" w:hAnsi="Calibri" w:cs="Arial"/>
                <w:lang w:val="en-US"/>
              </w:rPr>
            </w:pPr>
            <w:r w:rsidRPr="00104129">
              <w:rPr>
                <w:rFonts w:cstheme="minorHAnsi"/>
                <w:color w:val="000000" w:themeColor="text1"/>
              </w:rPr>
              <w:t>393</w:t>
            </w:r>
            <w:r>
              <w:rPr>
                <w:rFonts w:cstheme="minorHAnsi"/>
                <w:color w:val="000000" w:themeColor="text1"/>
              </w:rPr>
              <w:t>,</w:t>
            </w:r>
            <w:r w:rsidRPr="00104129">
              <w:rPr>
                <w:rFonts w:cstheme="minorHAnsi"/>
                <w:color w:val="000000" w:themeColor="text1"/>
              </w:rPr>
              <w:t>345</w:t>
            </w:r>
          </w:p>
        </w:tc>
      </w:tr>
      <w:tr w:rsidR="00AB53A2" w:rsidRPr="00537128" w14:paraId="5353C347" w14:textId="77777777" w:rsidTr="00D873D7">
        <w:trPr>
          <w:trHeight w:val="340"/>
        </w:trPr>
        <w:tc>
          <w:tcPr>
            <w:tcW w:w="3317" w:type="pct"/>
            <w:vAlign w:val="bottom"/>
          </w:tcPr>
          <w:p w14:paraId="397384DA" w14:textId="77777777" w:rsidR="00AB53A2" w:rsidRPr="00537128" w:rsidRDefault="00AB53A2" w:rsidP="00AB53A2">
            <w:pPr>
              <w:tabs>
                <w:tab w:val="right" w:pos="1202"/>
              </w:tabs>
              <w:spacing w:after="0" w:line="301" w:lineRule="exact"/>
              <w:outlineLvl w:val="0"/>
              <w:rPr>
                <w:rFonts w:ascii="Calibri" w:eastAsia="Times New Roman" w:hAnsi="Calibri" w:cs="Arial"/>
                <w:lang w:val="en-US"/>
              </w:rPr>
            </w:pPr>
            <w:bookmarkStart w:id="382" w:name="_Toc4058704"/>
            <w:r w:rsidRPr="00537128">
              <w:rPr>
                <w:rFonts w:ascii="Calibri" w:eastAsia="Times New Roman" w:hAnsi="Calibri" w:cs="Arial"/>
                <w:lang w:val="en-US"/>
              </w:rPr>
              <w:t>Deferred recognition of loan origination fees</w:t>
            </w:r>
            <w:bookmarkEnd w:id="382"/>
          </w:p>
        </w:tc>
        <w:tc>
          <w:tcPr>
            <w:tcW w:w="841" w:type="pct"/>
            <w:tcBorders>
              <w:top w:val="nil"/>
              <w:left w:val="nil"/>
              <w:right w:val="nil"/>
            </w:tcBorders>
            <w:shd w:val="clear" w:color="auto" w:fill="auto"/>
            <w:vAlign w:val="bottom"/>
          </w:tcPr>
          <w:p w14:paraId="1FBC6FE5" w14:textId="505A79F1" w:rsidR="00AB53A2" w:rsidRPr="00537128" w:rsidRDefault="00AB53A2" w:rsidP="00AB53A2">
            <w:pPr>
              <w:tabs>
                <w:tab w:val="right" w:pos="1202"/>
              </w:tabs>
              <w:spacing w:after="0" w:line="301" w:lineRule="exact"/>
              <w:jc w:val="right"/>
              <w:outlineLvl w:val="0"/>
              <w:rPr>
                <w:rFonts w:ascii="Calibri" w:eastAsia="Times New Roman" w:hAnsi="Calibri" w:cs="Arial"/>
                <w:spacing w:val="-3"/>
                <w:lang w:val="en-US"/>
              </w:rPr>
            </w:pPr>
            <w:r>
              <w:rPr>
                <w:rFonts w:ascii="Calibri" w:eastAsia="Times New Roman" w:hAnsi="Calibri" w:cs="Calibri"/>
                <w:color w:val="000000"/>
                <w:spacing w:val="-3"/>
              </w:rPr>
              <w:t>(78</w:t>
            </w:r>
            <w:r w:rsidR="00BB1A91">
              <w:rPr>
                <w:rFonts w:ascii="Calibri" w:eastAsia="Times New Roman" w:hAnsi="Calibri" w:cs="Calibri"/>
                <w:color w:val="000000"/>
                <w:spacing w:val="-3"/>
              </w:rPr>
              <w:t>,</w:t>
            </w:r>
            <w:r>
              <w:rPr>
                <w:rFonts w:ascii="Calibri" w:eastAsia="Times New Roman" w:hAnsi="Calibri" w:cs="Calibri"/>
                <w:color w:val="000000"/>
                <w:spacing w:val="-3"/>
              </w:rPr>
              <w:t>710)</w:t>
            </w:r>
          </w:p>
        </w:tc>
        <w:tc>
          <w:tcPr>
            <w:tcW w:w="842" w:type="pct"/>
            <w:tcBorders>
              <w:top w:val="nil"/>
              <w:left w:val="nil"/>
              <w:right w:val="nil"/>
            </w:tcBorders>
            <w:shd w:val="clear" w:color="auto" w:fill="auto"/>
            <w:vAlign w:val="bottom"/>
          </w:tcPr>
          <w:p w14:paraId="1B1D6FB9" w14:textId="1D5904FA" w:rsidR="00AB53A2" w:rsidRPr="00537128" w:rsidRDefault="00AB53A2" w:rsidP="00AB53A2">
            <w:pPr>
              <w:tabs>
                <w:tab w:val="right" w:pos="1202"/>
              </w:tabs>
              <w:spacing w:after="0" w:line="301" w:lineRule="exact"/>
              <w:jc w:val="right"/>
              <w:outlineLvl w:val="0"/>
              <w:rPr>
                <w:rFonts w:ascii="Calibri" w:eastAsia="Times New Roman" w:hAnsi="Calibri" w:cs="Arial"/>
                <w:spacing w:val="-3"/>
                <w:lang w:val="en-US"/>
              </w:rPr>
            </w:pPr>
            <w:r w:rsidRPr="00104129">
              <w:rPr>
                <w:rFonts w:cstheme="minorHAnsi"/>
                <w:color w:val="000000" w:themeColor="text1"/>
                <w:spacing w:val="-3"/>
              </w:rPr>
              <w:t>(80</w:t>
            </w:r>
            <w:r>
              <w:rPr>
                <w:rFonts w:cstheme="minorHAnsi"/>
                <w:color w:val="000000" w:themeColor="text1"/>
                <w:spacing w:val="-3"/>
              </w:rPr>
              <w:t>,</w:t>
            </w:r>
            <w:r w:rsidRPr="00104129">
              <w:rPr>
                <w:rFonts w:cstheme="minorHAnsi"/>
                <w:color w:val="000000" w:themeColor="text1"/>
                <w:spacing w:val="-3"/>
              </w:rPr>
              <w:t>880)</w:t>
            </w:r>
          </w:p>
        </w:tc>
      </w:tr>
      <w:tr w:rsidR="00AB53A2" w:rsidRPr="00537128" w14:paraId="4D5B9748" w14:textId="77777777" w:rsidTr="00D873D7">
        <w:trPr>
          <w:trHeight w:val="340"/>
        </w:trPr>
        <w:tc>
          <w:tcPr>
            <w:tcW w:w="3317" w:type="pct"/>
            <w:vAlign w:val="bottom"/>
          </w:tcPr>
          <w:p w14:paraId="4F77680A" w14:textId="77777777" w:rsidR="00AB53A2" w:rsidRPr="00537128" w:rsidRDefault="00AB53A2" w:rsidP="00AB53A2">
            <w:pPr>
              <w:tabs>
                <w:tab w:val="right" w:pos="1202"/>
              </w:tabs>
              <w:spacing w:after="0" w:line="340" w:lineRule="exact"/>
              <w:jc w:val="right"/>
              <w:outlineLvl w:val="0"/>
              <w:rPr>
                <w:rFonts w:ascii="Calibri" w:eastAsia="Times New Roman" w:hAnsi="Calibri" w:cs="Arial"/>
                <w:spacing w:val="-3"/>
                <w:lang w:val="en-US"/>
              </w:rPr>
            </w:pPr>
          </w:p>
        </w:tc>
        <w:tc>
          <w:tcPr>
            <w:tcW w:w="841" w:type="pct"/>
            <w:tcBorders>
              <w:top w:val="single" w:sz="4" w:space="0" w:color="auto"/>
              <w:left w:val="nil"/>
              <w:bottom w:val="single" w:sz="4" w:space="0" w:color="auto"/>
              <w:right w:val="nil"/>
            </w:tcBorders>
            <w:shd w:val="clear" w:color="auto" w:fill="auto"/>
            <w:vAlign w:val="bottom"/>
          </w:tcPr>
          <w:p w14:paraId="32DF1B07" w14:textId="4436503F" w:rsidR="00AB53A2" w:rsidRPr="00537128" w:rsidRDefault="00AB53A2" w:rsidP="00AB53A2">
            <w:pPr>
              <w:tabs>
                <w:tab w:val="right" w:pos="1202"/>
              </w:tabs>
              <w:spacing w:after="0" w:line="340" w:lineRule="exact"/>
              <w:jc w:val="right"/>
              <w:outlineLvl w:val="0"/>
              <w:rPr>
                <w:rFonts w:ascii="Calibri" w:eastAsia="Times New Roman" w:hAnsi="Calibri" w:cs="Arial"/>
                <w:lang w:val="en-US"/>
              </w:rPr>
            </w:pPr>
            <w:r>
              <w:rPr>
                <w:rFonts w:ascii="Calibri" w:eastAsia="Times New Roman" w:hAnsi="Calibri" w:cs="Calibri"/>
                <w:color w:val="000000"/>
              </w:rPr>
              <w:t>18</w:t>
            </w:r>
            <w:r w:rsidR="00BB1A91">
              <w:rPr>
                <w:rFonts w:ascii="Calibri" w:eastAsia="Times New Roman" w:hAnsi="Calibri" w:cs="Calibri"/>
                <w:color w:val="000000"/>
              </w:rPr>
              <w:t>,</w:t>
            </w:r>
            <w:r>
              <w:rPr>
                <w:rFonts w:ascii="Calibri" w:eastAsia="Times New Roman" w:hAnsi="Calibri" w:cs="Calibri"/>
                <w:color w:val="000000"/>
              </w:rPr>
              <w:t>872</w:t>
            </w:r>
            <w:r w:rsidR="00BB1A91">
              <w:rPr>
                <w:rFonts w:ascii="Calibri" w:eastAsia="Times New Roman" w:hAnsi="Calibri" w:cs="Calibri"/>
                <w:color w:val="000000"/>
              </w:rPr>
              <w:t>,</w:t>
            </w:r>
            <w:r>
              <w:rPr>
                <w:rFonts w:ascii="Calibri" w:eastAsia="Times New Roman" w:hAnsi="Calibri" w:cs="Calibri"/>
                <w:color w:val="000000"/>
              </w:rPr>
              <w:t>426</w:t>
            </w:r>
          </w:p>
        </w:tc>
        <w:tc>
          <w:tcPr>
            <w:tcW w:w="842" w:type="pct"/>
            <w:tcBorders>
              <w:top w:val="single" w:sz="4" w:space="0" w:color="auto"/>
              <w:left w:val="nil"/>
              <w:bottom w:val="single" w:sz="4" w:space="0" w:color="auto"/>
              <w:right w:val="nil"/>
            </w:tcBorders>
            <w:shd w:val="clear" w:color="auto" w:fill="auto"/>
            <w:vAlign w:val="bottom"/>
          </w:tcPr>
          <w:p w14:paraId="341CBBC0" w14:textId="1AD8971B" w:rsidR="00AB53A2" w:rsidRPr="00537128" w:rsidRDefault="00AB53A2" w:rsidP="00AB53A2">
            <w:pPr>
              <w:tabs>
                <w:tab w:val="right" w:pos="1202"/>
              </w:tabs>
              <w:spacing w:after="0" w:line="340" w:lineRule="exact"/>
              <w:jc w:val="right"/>
              <w:outlineLvl w:val="0"/>
              <w:rPr>
                <w:rFonts w:ascii="Calibri" w:eastAsia="Times New Roman" w:hAnsi="Calibri" w:cs="Arial"/>
                <w:lang w:val="en-US"/>
              </w:rPr>
            </w:pPr>
            <w:r w:rsidRPr="00104129">
              <w:rPr>
                <w:rFonts w:cstheme="minorHAnsi"/>
                <w:color w:val="000000" w:themeColor="text1"/>
              </w:rPr>
              <w:t>19</w:t>
            </w:r>
            <w:r>
              <w:rPr>
                <w:rFonts w:cstheme="minorHAnsi"/>
                <w:color w:val="000000" w:themeColor="text1"/>
              </w:rPr>
              <w:t>,</w:t>
            </w:r>
            <w:r w:rsidRPr="00104129">
              <w:rPr>
                <w:rFonts w:cstheme="minorHAnsi"/>
                <w:color w:val="000000" w:themeColor="text1"/>
              </w:rPr>
              <w:t>220</w:t>
            </w:r>
            <w:r>
              <w:rPr>
                <w:rFonts w:cstheme="minorHAnsi"/>
                <w:color w:val="000000" w:themeColor="text1"/>
              </w:rPr>
              <w:t>,</w:t>
            </w:r>
            <w:r w:rsidRPr="00104129">
              <w:rPr>
                <w:rFonts w:cstheme="minorHAnsi"/>
                <w:color w:val="000000" w:themeColor="text1"/>
              </w:rPr>
              <w:t>292</w:t>
            </w:r>
          </w:p>
        </w:tc>
      </w:tr>
      <w:tr w:rsidR="00AB53A2" w:rsidRPr="00537128" w14:paraId="65B40FC7" w14:textId="77777777" w:rsidTr="00D873D7">
        <w:trPr>
          <w:trHeight w:val="487"/>
        </w:trPr>
        <w:tc>
          <w:tcPr>
            <w:tcW w:w="3317" w:type="pct"/>
            <w:vAlign w:val="bottom"/>
          </w:tcPr>
          <w:p w14:paraId="4DC77986" w14:textId="77777777" w:rsidR="00AB53A2" w:rsidRPr="00537128" w:rsidRDefault="00AB53A2" w:rsidP="00AB53A2">
            <w:pPr>
              <w:tabs>
                <w:tab w:val="right" w:pos="1202"/>
              </w:tabs>
              <w:spacing w:after="0" w:line="301" w:lineRule="exact"/>
              <w:outlineLvl w:val="0"/>
              <w:rPr>
                <w:rFonts w:ascii="Calibri" w:eastAsia="Times New Roman" w:hAnsi="Calibri" w:cs="Arial"/>
                <w:lang w:val="en-US"/>
              </w:rPr>
            </w:pPr>
            <w:bookmarkStart w:id="383" w:name="_Toc4058709"/>
            <w:r w:rsidRPr="00537128">
              <w:rPr>
                <w:rFonts w:ascii="Calibri" w:eastAsia="Times New Roman" w:hAnsi="Calibri" w:cs="Arial"/>
                <w:lang w:val="en-US"/>
              </w:rPr>
              <w:t>Loss allowances</w:t>
            </w:r>
            <w:bookmarkEnd w:id="383"/>
          </w:p>
        </w:tc>
        <w:tc>
          <w:tcPr>
            <w:tcW w:w="841" w:type="pct"/>
            <w:tcBorders>
              <w:top w:val="nil"/>
              <w:left w:val="nil"/>
              <w:bottom w:val="nil"/>
              <w:right w:val="nil"/>
            </w:tcBorders>
            <w:shd w:val="clear" w:color="auto" w:fill="auto"/>
            <w:vAlign w:val="bottom"/>
          </w:tcPr>
          <w:p w14:paraId="788DF7BF" w14:textId="045297F2" w:rsidR="00AB53A2" w:rsidRPr="00537128" w:rsidRDefault="00AB53A2" w:rsidP="00AB53A2">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color w:val="000000"/>
              </w:rPr>
              <w:t>(3</w:t>
            </w:r>
            <w:r w:rsidR="00BB1A91">
              <w:rPr>
                <w:rFonts w:ascii="Calibri" w:eastAsia="Times New Roman" w:hAnsi="Calibri" w:cs="Calibri"/>
                <w:color w:val="000000"/>
              </w:rPr>
              <w:t>,</w:t>
            </w:r>
            <w:r>
              <w:rPr>
                <w:rFonts w:ascii="Calibri" w:eastAsia="Times New Roman" w:hAnsi="Calibri" w:cs="Calibri"/>
                <w:color w:val="000000"/>
              </w:rPr>
              <w:t>145</w:t>
            </w:r>
            <w:r w:rsidR="00BB1A91">
              <w:rPr>
                <w:rFonts w:ascii="Calibri" w:eastAsia="Times New Roman" w:hAnsi="Calibri" w:cs="Calibri"/>
                <w:color w:val="000000"/>
              </w:rPr>
              <w:t>,</w:t>
            </w:r>
            <w:r>
              <w:rPr>
                <w:rFonts w:ascii="Calibri" w:eastAsia="Times New Roman" w:hAnsi="Calibri" w:cs="Calibri"/>
                <w:color w:val="000000"/>
              </w:rPr>
              <w:t>993)</w:t>
            </w:r>
          </w:p>
        </w:tc>
        <w:tc>
          <w:tcPr>
            <w:tcW w:w="842" w:type="pct"/>
            <w:tcBorders>
              <w:top w:val="nil"/>
              <w:left w:val="nil"/>
              <w:bottom w:val="nil"/>
              <w:right w:val="nil"/>
            </w:tcBorders>
            <w:shd w:val="clear" w:color="auto" w:fill="auto"/>
            <w:vAlign w:val="bottom"/>
          </w:tcPr>
          <w:p w14:paraId="79665411" w14:textId="4D464AA3" w:rsidR="00AB53A2" w:rsidRPr="00537128" w:rsidRDefault="00AB53A2" w:rsidP="00AB53A2">
            <w:pPr>
              <w:tabs>
                <w:tab w:val="right" w:pos="1202"/>
              </w:tabs>
              <w:spacing w:after="0" w:line="301" w:lineRule="exact"/>
              <w:jc w:val="right"/>
              <w:outlineLvl w:val="0"/>
              <w:rPr>
                <w:rFonts w:ascii="Calibri" w:eastAsia="Times New Roman" w:hAnsi="Calibri" w:cs="Arial"/>
                <w:lang w:val="en-US"/>
              </w:rPr>
            </w:pPr>
            <w:r w:rsidRPr="00104129">
              <w:rPr>
                <w:rFonts w:cstheme="minorHAnsi"/>
                <w:color w:val="000000" w:themeColor="text1"/>
              </w:rPr>
              <w:t>(3</w:t>
            </w:r>
            <w:r>
              <w:rPr>
                <w:rFonts w:cstheme="minorHAnsi"/>
                <w:color w:val="000000" w:themeColor="text1"/>
              </w:rPr>
              <w:t>,</w:t>
            </w:r>
            <w:r w:rsidRPr="00104129">
              <w:rPr>
                <w:rFonts w:cstheme="minorHAnsi"/>
                <w:color w:val="000000" w:themeColor="text1"/>
              </w:rPr>
              <w:t>255</w:t>
            </w:r>
            <w:r>
              <w:rPr>
                <w:rFonts w:cstheme="minorHAnsi"/>
                <w:color w:val="000000" w:themeColor="text1"/>
              </w:rPr>
              <w:t>,</w:t>
            </w:r>
            <w:r w:rsidRPr="00104129">
              <w:rPr>
                <w:rFonts w:cstheme="minorHAnsi"/>
                <w:color w:val="000000" w:themeColor="text1"/>
              </w:rPr>
              <w:t>916)</w:t>
            </w:r>
          </w:p>
        </w:tc>
      </w:tr>
      <w:tr w:rsidR="00AB53A2" w:rsidRPr="00537128" w14:paraId="3DD24A24" w14:textId="77777777" w:rsidTr="00D873D7">
        <w:tblPrEx>
          <w:tblCellMar>
            <w:left w:w="119" w:type="dxa"/>
            <w:right w:w="119" w:type="dxa"/>
          </w:tblCellMar>
        </w:tblPrEx>
        <w:trPr>
          <w:trHeight w:val="211"/>
        </w:trPr>
        <w:tc>
          <w:tcPr>
            <w:tcW w:w="3317" w:type="pct"/>
          </w:tcPr>
          <w:p w14:paraId="47CE2C05" w14:textId="77777777" w:rsidR="00AB53A2" w:rsidRPr="00537128" w:rsidRDefault="00AB53A2" w:rsidP="00AB53A2">
            <w:pPr>
              <w:tabs>
                <w:tab w:val="right" w:pos="1202"/>
              </w:tabs>
              <w:spacing w:after="0" w:line="340" w:lineRule="exact"/>
              <w:outlineLvl w:val="0"/>
              <w:rPr>
                <w:rFonts w:ascii="Calibri" w:eastAsia="Times New Roman" w:hAnsi="Calibri" w:cs="Arial"/>
                <w:b/>
                <w:bCs/>
                <w:lang w:val="en-US"/>
              </w:rPr>
            </w:pPr>
          </w:p>
        </w:tc>
        <w:tc>
          <w:tcPr>
            <w:tcW w:w="841" w:type="pct"/>
            <w:tcBorders>
              <w:top w:val="single" w:sz="4" w:space="0" w:color="auto"/>
              <w:left w:val="nil"/>
              <w:bottom w:val="single" w:sz="12" w:space="0" w:color="auto"/>
              <w:right w:val="nil"/>
            </w:tcBorders>
            <w:shd w:val="clear" w:color="auto" w:fill="auto"/>
            <w:vAlign w:val="bottom"/>
          </w:tcPr>
          <w:p w14:paraId="4B7B96C7" w14:textId="6774282E" w:rsidR="00AB53A2" w:rsidRPr="00537128" w:rsidRDefault="00AB53A2" w:rsidP="00AB53A2">
            <w:pPr>
              <w:tabs>
                <w:tab w:val="right" w:pos="1202"/>
              </w:tabs>
              <w:spacing w:after="0" w:line="340" w:lineRule="exact"/>
              <w:jc w:val="right"/>
              <w:outlineLvl w:val="0"/>
              <w:rPr>
                <w:rFonts w:ascii="Calibri" w:eastAsia="Times New Roman" w:hAnsi="Calibri" w:cs="Arial"/>
                <w:b/>
                <w:bCs/>
                <w:spacing w:val="-2"/>
                <w:lang w:val="en-US"/>
              </w:rPr>
            </w:pPr>
            <w:r>
              <w:rPr>
                <w:rFonts w:ascii="Calibri" w:eastAsia="Times New Roman" w:hAnsi="Calibri" w:cs="Calibri"/>
                <w:b/>
                <w:bCs/>
                <w:color w:val="000000"/>
                <w:spacing w:val="-2"/>
              </w:rPr>
              <w:t>15</w:t>
            </w:r>
            <w:r w:rsidR="00BB1A91">
              <w:rPr>
                <w:rFonts w:ascii="Calibri" w:eastAsia="Times New Roman" w:hAnsi="Calibri" w:cs="Calibri"/>
                <w:b/>
                <w:bCs/>
                <w:color w:val="000000"/>
                <w:spacing w:val="-2"/>
              </w:rPr>
              <w:t>,</w:t>
            </w:r>
            <w:r>
              <w:rPr>
                <w:rFonts w:ascii="Calibri" w:eastAsia="Times New Roman" w:hAnsi="Calibri" w:cs="Calibri"/>
                <w:b/>
                <w:bCs/>
                <w:color w:val="000000"/>
                <w:spacing w:val="-2"/>
              </w:rPr>
              <w:t>726</w:t>
            </w:r>
            <w:r w:rsidR="00BB1A91">
              <w:rPr>
                <w:rFonts w:ascii="Calibri" w:eastAsia="Times New Roman" w:hAnsi="Calibri" w:cs="Calibri"/>
                <w:b/>
                <w:bCs/>
                <w:color w:val="000000"/>
                <w:spacing w:val="-2"/>
              </w:rPr>
              <w:t>,</w:t>
            </w:r>
            <w:r>
              <w:rPr>
                <w:rFonts w:ascii="Calibri" w:eastAsia="Times New Roman" w:hAnsi="Calibri" w:cs="Calibri"/>
                <w:b/>
                <w:bCs/>
                <w:color w:val="000000"/>
                <w:spacing w:val="-2"/>
              </w:rPr>
              <w:t>433</w:t>
            </w:r>
          </w:p>
        </w:tc>
        <w:tc>
          <w:tcPr>
            <w:tcW w:w="842" w:type="pct"/>
            <w:tcBorders>
              <w:top w:val="single" w:sz="4" w:space="0" w:color="auto"/>
              <w:left w:val="nil"/>
              <w:bottom w:val="single" w:sz="12" w:space="0" w:color="auto"/>
              <w:right w:val="nil"/>
            </w:tcBorders>
            <w:shd w:val="clear" w:color="auto" w:fill="auto"/>
            <w:vAlign w:val="bottom"/>
          </w:tcPr>
          <w:p w14:paraId="5F543DC3" w14:textId="27D13DC3" w:rsidR="00AB53A2" w:rsidRPr="00537128" w:rsidRDefault="00AB53A2" w:rsidP="00AB53A2">
            <w:pPr>
              <w:tabs>
                <w:tab w:val="right" w:pos="1202"/>
              </w:tabs>
              <w:spacing w:after="0" w:line="340" w:lineRule="exact"/>
              <w:jc w:val="right"/>
              <w:outlineLvl w:val="0"/>
              <w:rPr>
                <w:rFonts w:ascii="Calibri" w:eastAsia="Times New Roman" w:hAnsi="Calibri" w:cs="Arial"/>
                <w:b/>
                <w:bCs/>
                <w:spacing w:val="-2"/>
                <w:lang w:val="en-US"/>
              </w:rPr>
            </w:pPr>
            <w:r w:rsidRPr="00104129">
              <w:rPr>
                <w:rFonts w:cstheme="minorHAnsi"/>
                <w:b/>
                <w:bCs/>
                <w:color w:val="000000" w:themeColor="text1"/>
                <w:spacing w:val="-2"/>
              </w:rPr>
              <w:t>15</w:t>
            </w:r>
            <w:r>
              <w:rPr>
                <w:rFonts w:cstheme="minorHAnsi"/>
                <w:b/>
                <w:bCs/>
                <w:color w:val="000000" w:themeColor="text1"/>
                <w:spacing w:val="-2"/>
              </w:rPr>
              <w:t>,</w:t>
            </w:r>
            <w:r w:rsidRPr="00104129">
              <w:rPr>
                <w:rFonts w:cstheme="minorHAnsi"/>
                <w:b/>
                <w:bCs/>
                <w:color w:val="000000" w:themeColor="text1"/>
                <w:spacing w:val="-2"/>
              </w:rPr>
              <w:t>964</w:t>
            </w:r>
            <w:r>
              <w:rPr>
                <w:rFonts w:cstheme="minorHAnsi"/>
                <w:b/>
                <w:bCs/>
                <w:color w:val="000000" w:themeColor="text1"/>
                <w:spacing w:val="-2"/>
              </w:rPr>
              <w:t>,</w:t>
            </w:r>
            <w:r w:rsidRPr="00104129">
              <w:rPr>
                <w:rFonts w:cstheme="minorHAnsi"/>
                <w:b/>
                <w:bCs/>
                <w:color w:val="000000" w:themeColor="text1"/>
                <w:spacing w:val="-2"/>
              </w:rPr>
              <w:t>376</w:t>
            </w:r>
          </w:p>
        </w:tc>
      </w:tr>
    </w:tbl>
    <w:p w14:paraId="603AC7AC" w14:textId="391A674F" w:rsidR="00D7142E" w:rsidRPr="00537128" w:rsidRDefault="00D7142E" w:rsidP="00D9564E">
      <w:pPr>
        <w:spacing w:after="0" w:line="240" w:lineRule="auto"/>
        <w:jc w:val="both"/>
        <w:rPr>
          <w:rFonts w:ascii="Calibri" w:eastAsia="Times New Roman" w:hAnsi="Calibri" w:cs="Arial"/>
          <w:color w:val="000000" w:themeColor="text1"/>
          <w:sz w:val="20"/>
          <w:szCs w:val="20"/>
          <w:lang w:val="en-US"/>
        </w:rPr>
      </w:pPr>
    </w:p>
    <w:p w14:paraId="44FA1552" w14:textId="77777777" w:rsidR="00D873D7" w:rsidRPr="00537128" w:rsidRDefault="00D873D7" w:rsidP="00D9564E">
      <w:pPr>
        <w:spacing w:after="0" w:line="240" w:lineRule="auto"/>
        <w:jc w:val="both"/>
        <w:rPr>
          <w:rFonts w:ascii="Calibri" w:eastAsia="Times New Roman" w:hAnsi="Calibri" w:cs="Arial"/>
          <w:color w:val="000000" w:themeColor="text1"/>
          <w:sz w:val="20"/>
          <w:szCs w:val="20"/>
          <w:lang w:val="en-US"/>
        </w:rPr>
      </w:pPr>
    </w:p>
    <w:p w14:paraId="4A0AEB8C" w14:textId="5F946567" w:rsidR="00D7142E" w:rsidRPr="00537128" w:rsidRDefault="00D7142E" w:rsidP="00D7142E">
      <w:pPr>
        <w:spacing w:after="0" w:line="240" w:lineRule="auto"/>
        <w:jc w:val="both"/>
        <w:rPr>
          <w:rFonts w:ascii="Calibri" w:eastAsia="Times New Roman" w:hAnsi="Calibri" w:cs="Arial"/>
          <w:b/>
          <w:bCs/>
          <w:color w:val="000000" w:themeColor="text1"/>
          <w:lang w:val="en-US"/>
        </w:rPr>
      </w:pPr>
      <w:r w:rsidRPr="00537128">
        <w:rPr>
          <w:rFonts w:ascii="Calibri" w:eastAsia="Times New Roman" w:hAnsi="Calibri" w:cs="Arial"/>
          <w:bCs/>
          <w:color w:val="000000" w:themeColor="text1"/>
          <w:lang w:val="en-US"/>
        </w:rPr>
        <w:t xml:space="preserve">Average interest rates on loans to other customers are stated </w:t>
      </w:r>
      <w:r w:rsidRPr="009E0B26">
        <w:rPr>
          <w:rFonts w:ascii="Calibri" w:eastAsia="Times New Roman" w:hAnsi="Calibri" w:cs="Arial"/>
          <w:bCs/>
          <w:color w:val="000000" w:themeColor="text1"/>
          <w:lang w:val="en-US"/>
        </w:rPr>
        <w:t xml:space="preserve">at </w:t>
      </w:r>
      <w:bookmarkStart w:id="384" w:name="_Hlk43201145"/>
      <w:r w:rsidR="00BB1A91">
        <w:rPr>
          <w:rFonts w:ascii="Calibri" w:eastAsia="Times New Roman" w:hAnsi="Calibri" w:cs="Arial"/>
          <w:bCs/>
          <w:color w:val="000000" w:themeColor="text1"/>
          <w:lang w:val="en-US"/>
        </w:rPr>
        <w:t>2.26</w:t>
      </w:r>
      <w:bookmarkEnd w:id="384"/>
      <w:r w:rsidRPr="009E0B26">
        <w:rPr>
          <w:rFonts w:ascii="Calibri" w:eastAsia="Times New Roman" w:hAnsi="Calibri" w:cs="Arial"/>
          <w:bCs/>
          <w:color w:val="000000" w:themeColor="text1"/>
          <w:lang w:val="en-US"/>
        </w:rPr>
        <w:t>% (</w:t>
      </w:r>
      <w:r w:rsidR="00B30200" w:rsidRPr="00537128">
        <w:rPr>
          <w:rFonts w:ascii="Calibri" w:eastAsia="Times New Roman" w:hAnsi="Calibri" w:cs="Arial"/>
          <w:bCs/>
          <w:color w:val="000000" w:themeColor="text1"/>
          <w:lang w:val="en-US"/>
        </w:rPr>
        <w:t xml:space="preserve">1 January </w:t>
      </w:r>
      <w:r w:rsidR="00D873D7" w:rsidRPr="00537128">
        <w:rPr>
          <w:rFonts w:ascii="Calibri" w:eastAsia="Times New Roman" w:hAnsi="Calibri" w:cs="Arial"/>
          <w:bCs/>
          <w:color w:val="000000" w:themeColor="text1"/>
          <w:lang w:val="en-US"/>
        </w:rPr>
        <w:t>–</w:t>
      </w:r>
      <w:r w:rsidR="00B30200" w:rsidRPr="00537128">
        <w:rPr>
          <w:rFonts w:ascii="Calibri" w:eastAsia="Times New Roman" w:hAnsi="Calibri" w:cs="Arial"/>
          <w:bCs/>
          <w:color w:val="000000" w:themeColor="text1"/>
          <w:lang w:val="en-US"/>
        </w:rPr>
        <w:t xml:space="preserve"> </w:t>
      </w:r>
      <w:r w:rsidRPr="00537128">
        <w:rPr>
          <w:rFonts w:ascii="Calibri" w:eastAsia="Times New Roman" w:hAnsi="Calibri" w:cs="Arial"/>
          <w:bCs/>
          <w:color w:val="000000" w:themeColor="text1"/>
          <w:lang w:val="en-US"/>
        </w:rPr>
        <w:t>3</w:t>
      </w:r>
      <w:r w:rsidR="00D873D7" w:rsidRPr="00537128">
        <w:rPr>
          <w:rFonts w:ascii="Calibri" w:eastAsia="Times New Roman" w:hAnsi="Calibri" w:cs="Arial"/>
          <w:bCs/>
          <w:color w:val="000000" w:themeColor="text1"/>
          <w:lang w:val="en-US"/>
        </w:rPr>
        <w:t>1 March</w:t>
      </w:r>
      <w:r w:rsidRPr="00537128">
        <w:rPr>
          <w:rFonts w:ascii="Calibri" w:eastAsia="Times New Roman" w:hAnsi="Calibri" w:cs="Arial"/>
          <w:bCs/>
          <w:color w:val="000000" w:themeColor="text1"/>
          <w:lang w:val="en-US"/>
        </w:rPr>
        <w:t xml:space="preserve"> 20</w:t>
      </w:r>
      <w:r w:rsidR="00D873D7" w:rsidRPr="00537128">
        <w:rPr>
          <w:rFonts w:ascii="Calibri" w:eastAsia="Times New Roman" w:hAnsi="Calibri" w:cs="Arial"/>
          <w:bCs/>
          <w:color w:val="000000" w:themeColor="text1"/>
          <w:lang w:val="en-US"/>
        </w:rPr>
        <w:t>2</w:t>
      </w:r>
      <w:r w:rsidR="0053486B">
        <w:rPr>
          <w:rFonts w:ascii="Calibri" w:eastAsia="Times New Roman" w:hAnsi="Calibri" w:cs="Arial"/>
          <w:bCs/>
          <w:color w:val="000000" w:themeColor="text1"/>
          <w:lang w:val="en-US"/>
        </w:rPr>
        <w:t>1</w:t>
      </w:r>
      <w:r w:rsidRPr="00537128">
        <w:rPr>
          <w:rFonts w:ascii="Calibri" w:eastAsia="Times New Roman" w:hAnsi="Calibri" w:cs="Arial"/>
          <w:bCs/>
          <w:color w:val="000000" w:themeColor="text1"/>
          <w:lang w:val="en-US"/>
        </w:rPr>
        <w:t>: 1.</w:t>
      </w:r>
      <w:r w:rsidR="0053486B">
        <w:rPr>
          <w:rFonts w:ascii="Calibri" w:eastAsia="Times New Roman" w:hAnsi="Calibri" w:cs="Arial"/>
          <w:bCs/>
          <w:color w:val="000000" w:themeColor="text1"/>
          <w:lang w:val="en-US"/>
        </w:rPr>
        <w:t>82</w:t>
      </w:r>
      <w:r w:rsidRPr="00537128">
        <w:rPr>
          <w:rFonts w:ascii="Calibri" w:eastAsia="Times New Roman" w:hAnsi="Calibri" w:cs="Arial"/>
          <w:bCs/>
          <w:color w:val="000000" w:themeColor="text1"/>
          <w:lang w:val="en-US"/>
        </w:rPr>
        <w:t>%).</w:t>
      </w:r>
    </w:p>
    <w:p w14:paraId="1FFB4070" w14:textId="77777777" w:rsidR="00D7142E" w:rsidRPr="00537128" w:rsidRDefault="00D7142E" w:rsidP="00D7142E">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Average interest rates reflect the ratio of interest income from generated the mentioned placements and average assets.</w:t>
      </w:r>
    </w:p>
    <w:p w14:paraId="04E3D5B8" w14:textId="77777777" w:rsidR="00D7142E" w:rsidRPr="00537128" w:rsidRDefault="00D7142E" w:rsidP="00D7142E">
      <w:pPr>
        <w:autoSpaceDE w:val="0"/>
        <w:autoSpaceDN w:val="0"/>
        <w:adjustRightInd w:val="0"/>
        <w:spacing w:after="0" w:line="240" w:lineRule="auto"/>
        <w:jc w:val="both"/>
        <w:rPr>
          <w:noProof/>
          <w:color w:val="000000" w:themeColor="text1"/>
          <w:lang w:val="en-US"/>
        </w:rPr>
      </w:pPr>
    </w:p>
    <w:p w14:paraId="338A9CD5" w14:textId="77777777" w:rsidR="00436A23" w:rsidRPr="00537128" w:rsidRDefault="00436A23" w:rsidP="00D7142E">
      <w:pPr>
        <w:autoSpaceDE w:val="0"/>
        <w:autoSpaceDN w:val="0"/>
        <w:adjustRightInd w:val="0"/>
        <w:spacing w:after="0" w:line="240" w:lineRule="auto"/>
        <w:jc w:val="both"/>
        <w:rPr>
          <w:noProof/>
          <w:color w:val="000000" w:themeColor="text1"/>
          <w:lang w:val="en-US"/>
        </w:rPr>
      </w:pPr>
    </w:p>
    <w:p w14:paraId="67AF5890" w14:textId="77777777" w:rsidR="00436A23" w:rsidRPr="00537128" w:rsidRDefault="00436A23" w:rsidP="00D7142E">
      <w:pPr>
        <w:autoSpaceDE w:val="0"/>
        <w:autoSpaceDN w:val="0"/>
        <w:adjustRightInd w:val="0"/>
        <w:spacing w:after="0" w:line="240" w:lineRule="auto"/>
        <w:jc w:val="both"/>
        <w:rPr>
          <w:noProof/>
          <w:color w:val="000000" w:themeColor="text1"/>
          <w:lang w:val="en-US"/>
        </w:rPr>
        <w:sectPr w:rsidR="00436A23" w:rsidRPr="00537128">
          <w:pgSz w:w="11906" w:h="16838"/>
          <w:pgMar w:top="1417" w:right="1417" w:bottom="1417" w:left="1417" w:header="708" w:footer="708" w:gutter="0"/>
          <w:cols w:space="708"/>
          <w:docGrid w:linePitch="360"/>
        </w:sectPr>
      </w:pPr>
    </w:p>
    <w:p w14:paraId="4CE58D90" w14:textId="77777777" w:rsidR="00436A23" w:rsidRPr="00537128" w:rsidRDefault="00436A23" w:rsidP="00436A23">
      <w:pPr>
        <w:spacing w:after="0" w:line="240" w:lineRule="auto"/>
        <w:jc w:val="both"/>
        <w:rPr>
          <w:rFonts w:ascii="Calibri" w:eastAsia="Times New Roman" w:hAnsi="Calibri" w:cs="Arial"/>
          <w:b/>
          <w:bCs/>
          <w:color w:val="000000" w:themeColor="text1"/>
          <w:lang w:val="en-US"/>
        </w:rPr>
      </w:pPr>
    </w:p>
    <w:p w14:paraId="1D74B3D1" w14:textId="77777777" w:rsidR="00436A23" w:rsidRPr="00537128" w:rsidRDefault="00436A23" w:rsidP="005B7D9D">
      <w:pPr>
        <w:pStyle w:val="ListParagraph"/>
        <w:numPr>
          <w:ilvl w:val="0"/>
          <w:numId w:val="14"/>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Financial assets at fair value through profit or loss</w:t>
      </w:r>
    </w:p>
    <w:p w14:paraId="21231EFC" w14:textId="386227E7" w:rsidR="00436A23" w:rsidRPr="00537128" w:rsidRDefault="00436A23" w:rsidP="00436A23">
      <w:pPr>
        <w:spacing w:after="0" w:line="240" w:lineRule="auto"/>
        <w:jc w:val="both"/>
        <w:rPr>
          <w:rFonts w:ascii="Calibri" w:eastAsia="Times New Roman" w:hAnsi="Calibri" w:cs="Arial"/>
          <w:b/>
          <w:bCs/>
          <w:color w:val="000000" w:themeColor="text1"/>
          <w:sz w:val="18"/>
          <w:szCs w:val="18"/>
          <w:lang w:val="en-US"/>
        </w:rPr>
      </w:pPr>
    </w:p>
    <w:tbl>
      <w:tblPr>
        <w:tblpPr w:leftFromText="180" w:rightFromText="180" w:vertAnchor="text" w:horzAnchor="margin" w:tblpXSpec="center" w:tblpY="-44"/>
        <w:tblW w:w="4667" w:type="pct"/>
        <w:tblLayout w:type="fixed"/>
        <w:tblCellMar>
          <w:left w:w="122" w:type="dxa"/>
          <w:right w:w="122" w:type="dxa"/>
        </w:tblCellMar>
        <w:tblLook w:val="0000" w:firstRow="0" w:lastRow="0" w:firstColumn="0" w:lastColumn="0" w:noHBand="0" w:noVBand="0"/>
      </w:tblPr>
      <w:tblGrid>
        <w:gridCol w:w="5448"/>
        <w:gridCol w:w="1511"/>
        <w:gridCol w:w="1509"/>
      </w:tblGrid>
      <w:tr w:rsidR="001B1A56" w:rsidRPr="00537128" w14:paraId="30A91702" w14:textId="77777777" w:rsidTr="00062CB5">
        <w:trPr>
          <w:trHeight w:hRule="exact" w:val="284"/>
        </w:trPr>
        <w:tc>
          <w:tcPr>
            <w:tcW w:w="3217" w:type="pct"/>
          </w:tcPr>
          <w:p w14:paraId="23C5E4F3" w14:textId="77777777" w:rsidR="001B1A56" w:rsidRPr="00537128" w:rsidRDefault="001B1A56" w:rsidP="00D873D7">
            <w:pPr>
              <w:tabs>
                <w:tab w:val="right" w:pos="1202"/>
              </w:tabs>
              <w:spacing w:after="0" w:line="260" w:lineRule="exact"/>
              <w:jc w:val="center"/>
              <w:outlineLvl w:val="0"/>
              <w:rPr>
                <w:rFonts w:ascii="Calibri" w:eastAsia="Times New Roman" w:hAnsi="Calibri" w:cs="Arial"/>
                <w:b/>
                <w:spacing w:val="-2"/>
                <w:lang w:val="en-US"/>
              </w:rPr>
            </w:pPr>
          </w:p>
        </w:tc>
        <w:tc>
          <w:tcPr>
            <w:tcW w:w="1783" w:type="pct"/>
            <w:gridSpan w:val="2"/>
            <w:vAlign w:val="center"/>
          </w:tcPr>
          <w:p w14:paraId="14D7AA33" w14:textId="53AF919D" w:rsidR="001B1A56" w:rsidRPr="00537128" w:rsidRDefault="001B1A56" w:rsidP="00D873D7">
            <w:pPr>
              <w:tabs>
                <w:tab w:val="right" w:pos="1202"/>
              </w:tabs>
              <w:spacing w:after="0" w:line="260" w:lineRule="exact"/>
              <w:jc w:val="right"/>
              <w:outlineLvl w:val="0"/>
              <w:rPr>
                <w:rFonts w:ascii="Calibri" w:eastAsia="Times New Roman" w:hAnsi="Calibri" w:cs="Arial"/>
                <w:b/>
                <w:lang w:val="en-US"/>
              </w:rPr>
            </w:pPr>
            <w:bookmarkStart w:id="385" w:name="_Toc4058715"/>
            <w:r>
              <w:rPr>
                <w:rFonts w:ascii="Calibri" w:eastAsia="Times New Roman" w:hAnsi="Calibri" w:cs="Arial"/>
                <w:b/>
                <w:lang w:val="en-US"/>
              </w:rPr>
              <w:t xml:space="preserve">Group and </w:t>
            </w:r>
            <w:r w:rsidRPr="00537128">
              <w:rPr>
                <w:rFonts w:ascii="Calibri" w:eastAsia="Times New Roman" w:hAnsi="Calibri" w:cs="Arial"/>
                <w:b/>
                <w:lang w:val="en-US"/>
              </w:rPr>
              <w:t>Bank</w:t>
            </w:r>
            <w:bookmarkEnd w:id="385"/>
          </w:p>
        </w:tc>
      </w:tr>
      <w:tr w:rsidR="001B1A56" w:rsidRPr="00537128" w14:paraId="64BE5C2A" w14:textId="77777777" w:rsidTr="00E975B6">
        <w:trPr>
          <w:trHeight w:hRule="exact" w:val="567"/>
        </w:trPr>
        <w:tc>
          <w:tcPr>
            <w:tcW w:w="3217" w:type="pct"/>
          </w:tcPr>
          <w:p w14:paraId="61E46F35" w14:textId="77777777" w:rsidR="001B1A56" w:rsidRPr="00537128" w:rsidRDefault="001B1A56" w:rsidP="00D873D7">
            <w:pPr>
              <w:tabs>
                <w:tab w:val="right" w:pos="1202"/>
              </w:tabs>
              <w:spacing w:after="0" w:line="260" w:lineRule="exact"/>
              <w:outlineLvl w:val="0"/>
              <w:rPr>
                <w:rFonts w:ascii="Calibri" w:eastAsia="Times New Roman" w:hAnsi="Calibri" w:cs="Arial"/>
                <w:b/>
                <w:spacing w:val="-2"/>
                <w:lang w:val="en-US"/>
              </w:rPr>
            </w:pPr>
          </w:p>
        </w:tc>
        <w:tc>
          <w:tcPr>
            <w:tcW w:w="892" w:type="pct"/>
            <w:shd w:val="clear" w:color="auto" w:fill="auto"/>
            <w:vAlign w:val="center"/>
          </w:tcPr>
          <w:p w14:paraId="335749C1" w14:textId="3FA95411" w:rsidR="001B1A56" w:rsidRPr="00537128" w:rsidRDefault="001B1A56" w:rsidP="00D873D7">
            <w:pPr>
              <w:tabs>
                <w:tab w:val="right" w:pos="1202"/>
              </w:tabs>
              <w:spacing w:after="0" w:line="260" w:lineRule="exact"/>
              <w:jc w:val="right"/>
              <w:outlineLvl w:val="0"/>
              <w:rPr>
                <w:rFonts w:ascii="Calibri" w:eastAsia="Times New Roman" w:hAnsi="Calibri" w:cs="Arial"/>
                <w:lang w:val="en-US"/>
              </w:rPr>
            </w:pPr>
            <w:bookmarkStart w:id="386" w:name="_Toc4058717"/>
            <w:r w:rsidRPr="00537128">
              <w:rPr>
                <w:rFonts w:ascii="Calibri" w:eastAsia="Calibri" w:hAnsi="Calibri" w:cs="Calibri"/>
                <w:b/>
                <w:bCs/>
                <w:lang w:val="en-US"/>
              </w:rPr>
              <w:t xml:space="preserve">31 March </w:t>
            </w:r>
            <w:bookmarkEnd w:id="386"/>
            <w:r w:rsidRPr="00537128">
              <w:rPr>
                <w:rFonts w:ascii="Calibri" w:eastAsia="Calibri" w:hAnsi="Calibri" w:cs="Calibri"/>
                <w:b/>
                <w:bCs/>
                <w:lang w:val="en-US"/>
              </w:rPr>
              <w:t>202</w:t>
            </w:r>
            <w:r w:rsidR="00062CB5">
              <w:rPr>
                <w:rFonts w:ascii="Calibri" w:eastAsia="Calibri" w:hAnsi="Calibri" w:cs="Calibri"/>
                <w:b/>
                <w:bCs/>
                <w:lang w:val="en-US"/>
              </w:rPr>
              <w:t>2</w:t>
            </w:r>
          </w:p>
        </w:tc>
        <w:tc>
          <w:tcPr>
            <w:tcW w:w="891" w:type="pct"/>
            <w:shd w:val="clear" w:color="auto" w:fill="auto"/>
            <w:vAlign w:val="center"/>
          </w:tcPr>
          <w:p w14:paraId="36B54FAC" w14:textId="4A61ADA8" w:rsidR="001B1A56" w:rsidRPr="00537128" w:rsidRDefault="001B1A56" w:rsidP="00D873D7">
            <w:pPr>
              <w:tabs>
                <w:tab w:val="right" w:pos="1202"/>
              </w:tabs>
              <w:spacing w:after="0" w:line="260" w:lineRule="exact"/>
              <w:jc w:val="right"/>
              <w:outlineLvl w:val="0"/>
              <w:rPr>
                <w:rFonts w:ascii="Calibri" w:eastAsia="Times New Roman" w:hAnsi="Calibri" w:cs="Arial"/>
                <w:lang w:val="en-US"/>
              </w:rPr>
            </w:pPr>
            <w:bookmarkStart w:id="387" w:name="_Toc4058718"/>
            <w:r w:rsidRPr="00537128">
              <w:rPr>
                <w:rFonts w:ascii="Calibri" w:eastAsia="Calibri" w:hAnsi="Calibri" w:cs="Calibri"/>
                <w:b/>
                <w:bCs/>
                <w:lang w:val="en-US"/>
              </w:rPr>
              <w:t xml:space="preserve">31 December </w:t>
            </w:r>
            <w:bookmarkEnd w:id="387"/>
            <w:r w:rsidRPr="00537128">
              <w:rPr>
                <w:rFonts w:ascii="Calibri" w:eastAsia="Calibri" w:hAnsi="Calibri" w:cs="Calibri"/>
                <w:b/>
                <w:bCs/>
                <w:lang w:val="en-US"/>
              </w:rPr>
              <w:t>202</w:t>
            </w:r>
            <w:r w:rsidR="00062CB5">
              <w:rPr>
                <w:rFonts w:ascii="Calibri" w:eastAsia="Calibri" w:hAnsi="Calibri" w:cs="Calibri"/>
                <w:b/>
                <w:bCs/>
                <w:lang w:val="en-US"/>
              </w:rPr>
              <w:t>2</w:t>
            </w:r>
          </w:p>
        </w:tc>
      </w:tr>
      <w:tr w:rsidR="001B1A56" w:rsidRPr="00537128" w14:paraId="53187DC7" w14:textId="77777777" w:rsidTr="00E975B6">
        <w:trPr>
          <w:trHeight w:hRule="exact" w:val="284"/>
        </w:trPr>
        <w:tc>
          <w:tcPr>
            <w:tcW w:w="3217" w:type="pct"/>
          </w:tcPr>
          <w:p w14:paraId="75E29990" w14:textId="77777777" w:rsidR="001B1A56" w:rsidRPr="00537128" w:rsidRDefault="001B1A56" w:rsidP="00D873D7">
            <w:pPr>
              <w:tabs>
                <w:tab w:val="right" w:pos="1202"/>
              </w:tabs>
              <w:spacing w:after="0" w:line="260" w:lineRule="exact"/>
              <w:outlineLvl w:val="0"/>
              <w:rPr>
                <w:rFonts w:ascii="Calibri" w:eastAsia="Times New Roman" w:hAnsi="Calibri" w:cs="Arial"/>
                <w:b/>
                <w:spacing w:val="-2"/>
                <w:lang w:val="en-US"/>
              </w:rPr>
            </w:pPr>
          </w:p>
        </w:tc>
        <w:tc>
          <w:tcPr>
            <w:tcW w:w="892" w:type="pct"/>
          </w:tcPr>
          <w:p w14:paraId="5D42DFDF" w14:textId="5BA6E12E" w:rsidR="001B1A56" w:rsidRPr="00537128" w:rsidRDefault="001B1A56" w:rsidP="00D873D7">
            <w:pPr>
              <w:tabs>
                <w:tab w:val="right" w:pos="1202"/>
              </w:tabs>
              <w:spacing w:after="0" w:line="260" w:lineRule="exact"/>
              <w:jc w:val="right"/>
              <w:outlineLvl w:val="0"/>
              <w:rPr>
                <w:rFonts w:ascii="Calibri" w:eastAsia="Times New Roman" w:hAnsi="Calibri" w:cs="Arial"/>
                <w:lang w:val="en-US"/>
              </w:rPr>
            </w:pPr>
            <w:bookmarkStart w:id="388" w:name="_Toc4058721"/>
            <w:r w:rsidRPr="00537128">
              <w:rPr>
                <w:rFonts w:ascii="Calibri" w:eastAsia="Times New Roman" w:hAnsi="Calibri" w:cs="Arial"/>
                <w:b/>
                <w:lang w:val="en-US"/>
              </w:rPr>
              <w:t>HRK ‘000</w:t>
            </w:r>
            <w:bookmarkEnd w:id="388"/>
          </w:p>
        </w:tc>
        <w:tc>
          <w:tcPr>
            <w:tcW w:w="891" w:type="pct"/>
          </w:tcPr>
          <w:p w14:paraId="69934DB1" w14:textId="6B0146BC" w:rsidR="001B1A56" w:rsidRPr="00537128" w:rsidRDefault="001B1A56" w:rsidP="00D873D7">
            <w:pPr>
              <w:tabs>
                <w:tab w:val="right" w:pos="1202"/>
              </w:tabs>
              <w:spacing w:after="0" w:line="260" w:lineRule="exact"/>
              <w:jc w:val="right"/>
              <w:outlineLvl w:val="0"/>
              <w:rPr>
                <w:rFonts w:ascii="Calibri" w:eastAsia="Times New Roman" w:hAnsi="Calibri" w:cs="Arial"/>
                <w:lang w:val="en-US"/>
              </w:rPr>
            </w:pPr>
            <w:bookmarkStart w:id="389" w:name="_Toc4058722"/>
            <w:r w:rsidRPr="00537128">
              <w:rPr>
                <w:rFonts w:ascii="Calibri" w:eastAsia="Times New Roman" w:hAnsi="Calibri" w:cs="Arial"/>
                <w:b/>
                <w:lang w:val="en-US"/>
              </w:rPr>
              <w:t>HRK ‘000</w:t>
            </w:r>
            <w:bookmarkEnd w:id="389"/>
          </w:p>
        </w:tc>
      </w:tr>
      <w:tr w:rsidR="001B1A56" w:rsidRPr="00537128" w14:paraId="32966871" w14:textId="77777777" w:rsidTr="009E53E4">
        <w:trPr>
          <w:trHeight w:hRule="exact" w:val="271"/>
        </w:trPr>
        <w:tc>
          <w:tcPr>
            <w:tcW w:w="3217" w:type="pct"/>
            <w:vAlign w:val="center"/>
          </w:tcPr>
          <w:p w14:paraId="6D9E2C82" w14:textId="2B5ADDBD" w:rsidR="001B1A56" w:rsidRPr="00537128" w:rsidRDefault="001B1A56" w:rsidP="00D873D7">
            <w:pPr>
              <w:tabs>
                <w:tab w:val="right" w:pos="1202"/>
              </w:tabs>
              <w:spacing w:after="0" w:line="260" w:lineRule="exact"/>
              <w:outlineLvl w:val="0"/>
              <w:rPr>
                <w:rFonts w:ascii="Calibri" w:eastAsia="Times New Roman" w:hAnsi="Calibri" w:cs="Arial"/>
                <w:b/>
                <w:i/>
                <w:spacing w:val="-2"/>
                <w:lang w:val="en-US"/>
              </w:rPr>
            </w:pPr>
            <w:bookmarkStart w:id="390" w:name="_Toc4058724"/>
            <w:r w:rsidRPr="00537128">
              <w:rPr>
                <w:rFonts w:ascii="Calibri" w:eastAsia="Times New Roman" w:hAnsi="Calibri" w:cs="Arial"/>
                <w:b/>
                <w:i/>
                <w:spacing w:val="-2"/>
                <w:lang w:val="en-US"/>
              </w:rPr>
              <w:t>Loans at FVPL:</w:t>
            </w:r>
            <w:bookmarkEnd w:id="390"/>
          </w:p>
        </w:tc>
        <w:tc>
          <w:tcPr>
            <w:tcW w:w="892" w:type="pct"/>
          </w:tcPr>
          <w:p w14:paraId="02D3B446" w14:textId="77777777" w:rsidR="001B1A56" w:rsidRPr="00537128" w:rsidRDefault="001B1A56" w:rsidP="00D873D7">
            <w:pPr>
              <w:tabs>
                <w:tab w:val="right" w:pos="1202"/>
              </w:tabs>
              <w:spacing w:after="0" w:line="260" w:lineRule="exact"/>
              <w:jc w:val="right"/>
              <w:outlineLvl w:val="0"/>
              <w:rPr>
                <w:rFonts w:ascii="Calibri" w:eastAsia="Times New Roman" w:hAnsi="Calibri" w:cs="Arial"/>
                <w:lang w:val="en-US"/>
              </w:rPr>
            </w:pPr>
          </w:p>
        </w:tc>
        <w:tc>
          <w:tcPr>
            <w:tcW w:w="891" w:type="pct"/>
            <w:vAlign w:val="bottom"/>
          </w:tcPr>
          <w:p w14:paraId="0EB78C84" w14:textId="77777777" w:rsidR="001B1A56" w:rsidRPr="00537128" w:rsidRDefault="001B1A56" w:rsidP="00D873D7">
            <w:pPr>
              <w:tabs>
                <w:tab w:val="right" w:pos="1202"/>
              </w:tabs>
              <w:spacing w:after="0" w:line="260" w:lineRule="exact"/>
              <w:jc w:val="right"/>
              <w:outlineLvl w:val="0"/>
              <w:rPr>
                <w:rFonts w:ascii="Calibri" w:eastAsia="Times New Roman" w:hAnsi="Calibri" w:cs="Arial"/>
                <w:lang w:val="en-US"/>
              </w:rPr>
            </w:pPr>
          </w:p>
        </w:tc>
      </w:tr>
      <w:tr w:rsidR="0095625C" w:rsidRPr="00537128" w14:paraId="4DB99154" w14:textId="77777777" w:rsidTr="00E0116A">
        <w:trPr>
          <w:trHeight w:hRule="exact" w:val="284"/>
        </w:trPr>
        <w:tc>
          <w:tcPr>
            <w:tcW w:w="3217" w:type="pct"/>
            <w:vAlign w:val="center"/>
          </w:tcPr>
          <w:p w14:paraId="4F318247" w14:textId="2364FC94" w:rsidR="0095625C" w:rsidRPr="00537128" w:rsidRDefault="0095625C" w:rsidP="0095625C">
            <w:pPr>
              <w:tabs>
                <w:tab w:val="right" w:pos="1202"/>
              </w:tabs>
              <w:spacing w:after="0" w:line="260" w:lineRule="exact"/>
              <w:outlineLvl w:val="0"/>
              <w:rPr>
                <w:rFonts w:ascii="Calibri" w:eastAsia="Times New Roman" w:hAnsi="Calibri" w:cs="Arial"/>
                <w:spacing w:val="-2"/>
                <w:lang w:val="en-US"/>
              </w:rPr>
            </w:pPr>
            <w:bookmarkStart w:id="391" w:name="_Toc4058725"/>
            <w:r w:rsidRPr="00537128">
              <w:rPr>
                <w:rFonts w:ascii="Calibri" w:eastAsia="Times New Roman" w:hAnsi="Calibri" w:cs="Arial"/>
                <w:spacing w:val="-2"/>
                <w:lang w:val="en-US"/>
              </w:rPr>
              <w:t>Mezzanine loans</w:t>
            </w:r>
            <w:bookmarkEnd w:id="391"/>
          </w:p>
        </w:tc>
        <w:tc>
          <w:tcPr>
            <w:tcW w:w="892" w:type="pct"/>
            <w:tcBorders>
              <w:top w:val="nil"/>
              <w:left w:val="nil"/>
              <w:bottom w:val="nil"/>
              <w:right w:val="nil"/>
            </w:tcBorders>
            <w:shd w:val="clear" w:color="auto" w:fill="auto"/>
            <w:vAlign w:val="center"/>
          </w:tcPr>
          <w:p w14:paraId="34221884" w14:textId="665E77B5" w:rsidR="0095625C" w:rsidRPr="00537128" w:rsidRDefault="0095625C" w:rsidP="0095625C">
            <w:pPr>
              <w:tabs>
                <w:tab w:val="right" w:pos="1202"/>
              </w:tabs>
              <w:spacing w:after="0" w:line="260" w:lineRule="exact"/>
              <w:jc w:val="right"/>
              <w:outlineLvl w:val="0"/>
              <w:rPr>
                <w:rFonts w:ascii="Calibri" w:eastAsia="Times New Roman" w:hAnsi="Calibri" w:cs="Arial"/>
                <w:lang w:val="en-US"/>
              </w:rPr>
            </w:pPr>
            <w:r>
              <w:rPr>
                <w:rFonts w:eastAsia="Calibri" w:cstheme="minorHAnsi"/>
                <w:color w:val="000000" w:themeColor="text1"/>
              </w:rPr>
              <w:t>25</w:t>
            </w:r>
            <w:r w:rsidR="00B23A3E">
              <w:rPr>
                <w:rFonts w:eastAsia="Calibri" w:cstheme="minorHAnsi"/>
                <w:color w:val="000000" w:themeColor="text1"/>
              </w:rPr>
              <w:t>,</w:t>
            </w:r>
            <w:r>
              <w:rPr>
                <w:rFonts w:eastAsia="Calibri" w:cstheme="minorHAnsi"/>
                <w:color w:val="000000" w:themeColor="text1"/>
              </w:rPr>
              <w:t>652</w:t>
            </w:r>
          </w:p>
        </w:tc>
        <w:tc>
          <w:tcPr>
            <w:tcW w:w="891" w:type="pct"/>
            <w:tcBorders>
              <w:top w:val="nil"/>
              <w:left w:val="nil"/>
              <w:bottom w:val="single" w:sz="4" w:space="0" w:color="auto"/>
              <w:right w:val="nil"/>
            </w:tcBorders>
            <w:shd w:val="clear" w:color="auto" w:fill="auto"/>
            <w:vAlign w:val="center"/>
          </w:tcPr>
          <w:p w14:paraId="1B1347E3" w14:textId="64E96A06" w:rsidR="0095625C" w:rsidRPr="00537128" w:rsidRDefault="0095625C" w:rsidP="0095625C">
            <w:pPr>
              <w:tabs>
                <w:tab w:val="right" w:pos="1202"/>
              </w:tabs>
              <w:spacing w:after="0" w:line="260" w:lineRule="exact"/>
              <w:jc w:val="right"/>
              <w:outlineLvl w:val="0"/>
              <w:rPr>
                <w:rFonts w:ascii="Calibri" w:eastAsia="Times New Roman" w:hAnsi="Calibri" w:cs="Arial"/>
                <w:lang w:val="en-US"/>
              </w:rPr>
            </w:pPr>
            <w:r w:rsidRPr="0084783E">
              <w:rPr>
                <w:rFonts w:eastAsia="Calibri" w:cstheme="minorHAnsi"/>
                <w:color w:val="000000" w:themeColor="text1"/>
              </w:rPr>
              <w:t>16</w:t>
            </w:r>
            <w:r>
              <w:rPr>
                <w:rFonts w:eastAsia="Calibri" w:cstheme="minorHAnsi"/>
                <w:color w:val="000000" w:themeColor="text1"/>
              </w:rPr>
              <w:t>,</w:t>
            </w:r>
            <w:r w:rsidRPr="0084783E">
              <w:rPr>
                <w:rFonts w:eastAsia="Calibri" w:cstheme="minorHAnsi"/>
                <w:color w:val="000000" w:themeColor="text1"/>
              </w:rPr>
              <w:t>375</w:t>
            </w:r>
          </w:p>
        </w:tc>
      </w:tr>
      <w:tr w:rsidR="0095625C" w:rsidRPr="00537128" w14:paraId="601C9F4E" w14:textId="77777777" w:rsidTr="00E0116A">
        <w:trPr>
          <w:trHeight w:hRule="exact" w:val="284"/>
        </w:trPr>
        <w:tc>
          <w:tcPr>
            <w:tcW w:w="3217" w:type="pct"/>
            <w:vAlign w:val="center"/>
          </w:tcPr>
          <w:p w14:paraId="63091064" w14:textId="77777777" w:rsidR="0095625C" w:rsidRPr="00537128" w:rsidRDefault="0095625C" w:rsidP="0095625C">
            <w:pPr>
              <w:tabs>
                <w:tab w:val="right" w:pos="1202"/>
              </w:tabs>
              <w:spacing w:after="0" w:line="260" w:lineRule="exact"/>
              <w:outlineLvl w:val="0"/>
              <w:rPr>
                <w:rFonts w:ascii="Calibri" w:eastAsia="Times New Roman" w:hAnsi="Calibri" w:cs="Arial"/>
                <w:spacing w:val="-2"/>
                <w:lang w:val="en-US"/>
              </w:rPr>
            </w:pPr>
          </w:p>
        </w:tc>
        <w:tc>
          <w:tcPr>
            <w:tcW w:w="892" w:type="pct"/>
            <w:tcBorders>
              <w:top w:val="single" w:sz="4" w:space="0" w:color="auto"/>
              <w:left w:val="nil"/>
              <w:bottom w:val="single" w:sz="12" w:space="0" w:color="auto"/>
              <w:right w:val="nil"/>
            </w:tcBorders>
            <w:shd w:val="clear" w:color="auto" w:fill="auto"/>
            <w:vAlign w:val="center"/>
          </w:tcPr>
          <w:p w14:paraId="1FB8B34D" w14:textId="395C7777" w:rsidR="0095625C" w:rsidRPr="00537128" w:rsidRDefault="0095625C" w:rsidP="0095625C">
            <w:pPr>
              <w:tabs>
                <w:tab w:val="right" w:pos="1202"/>
              </w:tabs>
              <w:spacing w:after="0" w:line="260" w:lineRule="exact"/>
              <w:jc w:val="right"/>
              <w:outlineLvl w:val="0"/>
              <w:rPr>
                <w:rFonts w:ascii="Calibri" w:eastAsia="Times New Roman" w:hAnsi="Calibri" w:cs="Arial"/>
                <w:b/>
                <w:lang w:val="en-US"/>
              </w:rPr>
            </w:pPr>
            <w:r>
              <w:rPr>
                <w:rFonts w:eastAsia="Calibri" w:cstheme="minorHAnsi"/>
                <w:b/>
                <w:bCs/>
                <w:color w:val="000000" w:themeColor="text1"/>
              </w:rPr>
              <w:t>2</w:t>
            </w:r>
            <w:r w:rsidR="00E42936">
              <w:rPr>
                <w:rFonts w:eastAsia="Calibri" w:cstheme="minorHAnsi"/>
                <w:b/>
                <w:bCs/>
                <w:color w:val="000000" w:themeColor="text1"/>
              </w:rPr>
              <w:t>5</w:t>
            </w:r>
            <w:r w:rsidR="00B23A3E">
              <w:rPr>
                <w:rFonts w:eastAsia="Calibri" w:cstheme="minorHAnsi"/>
                <w:b/>
                <w:bCs/>
                <w:color w:val="000000" w:themeColor="text1"/>
              </w:rPr>
              <w:t>,</w:t>
            </w:r>
            <w:r>
              <w:rPr>
                <w:rFonts w:eastAsia="Calibri" w:cstheme="minorHAnsi"/>
                <w:b/>
                <w:bCs/>
                <w:color w:val="000000" w:themeColor="text1"/>
              </w:rPr>
              <w:t>652</w:t>
            </w:r>
          </w:p>
        </w:tc>
        <w:tc>
          <w:tcPr>
            <w:tcW w:w="891" w:type="pct"/>
            <w:tcBorders>
              <w:top w:val="single" w:sz="4" w:space="0" w:color="auto"/>
              <w:left w:val="nil"/>
              <w:bottom w:val="single" w:sz="12" w:space="0" w:color="auto"/>
              <w:right w:val="nil"/>
            </w:tcBorders>
            <w:shd w:val="clear" w:color="auto" w:fill="auto"/>
            <w:vAlign w:val="center"/>
          </w:tcPr>
          <w:p w14:paraId="0BC3583C" w14:textId="215425FC" w:rsidR="0095625C" w:rsidRPr="00537128" w:rsidRDefault="0095625C" w:rsidP="0095625C">
            <w:pPr>
              <w:tabs>
                <w:tab w:val="right" w:pos="1202"/>
              </w:tabs>
              <w:spacing w:after="0" w:line="260" w:lineRule="exact"/>
              <w:jc w:val="right"/>
              <w:outlineLvl w:val="0"/>
              <w:rPr>
                <w:rFonts w:ascii="Calibri" w:eastAsia="Times New Roman" w:hAnsi="Calibri" w:cs="Arial"/>
                <w:b/>
                <w:lang w:val="en-US"/>
              </w:rPr>
            </w:pPr>
            <w:r w:rsidRPr="0084783E">
              <w:rPr>
                <w:rFonts w:eastAsia="Calibri" w:cstheme="minorHAnsi"/>
                <w:b/>
                <w:bCs/>
                <w:color w:val="000000" w:themeColor="text1"/>
              </w:rPr>
              <w:t>16</w:t>
            </w:r>
            <w:r>
              <w:rPr>
                <w:rFonts w:eastAsia="Calibri" w:cstheme="minorHAnsi"/>
                <w:b/>
                <w:bCs/>
                <w:color w:val="000000" w:themeColor="text1"/>
              </w:rPr>
              <w:t>,</w:t>
            </w:r>
            <w:r w:rsidRPr="0084783E">
              <w:rPr>
                <w:rFonts w:eastAsia="Calibri" w:cstheme="minorHAnsi"/>
                <w:b/>
                <w:bCs/>
                <w:color w:val="000000" w:themeColor="text1"/>
              </w:rPr>
              <w:t>375</w:t>
            </w:r>
          </w:p>
        </w:tc>
      </w:tr>
      <w:tr w:rsidR="0095625C" w:rsidRPr="00537128" w14:paraId="1FBE9B8A" w14:textId="77777777" w:rsidTr="00745A49">
        <w:trPr>
          <w:trHeight w:hRule="exact" w:val="284"/>
        </w:trPr>
        <w:tc>
          <w:tcPr>
            <w:tcW w:w="3217" w:type="pct"/>
            <w:vAlign w:val="center"/>
          </w:tcPr>
          <w:p w14:paraId="4518654D" w14:textId="77777777" w:rsidR="0095625C" w:rsidRPr="00537128" w:rsidRDefault="0095625C" w:rsidP="0095625C">
            <w:pPr>
              <w:tabs>
                <w:tab w:val="right" w:pos="1202"/>
              </w:tabs>
              <w:spacing w:after="0" w:line="260" w:lineRule="exact"/>
              <w:outlineLvl w:val="0"/>
              <w:rPr>
                <w:rFonts w:ascii="Calibri" w:eastAsia="Times New Roman" w:hAnsi="Calibri" w:cs="Arial"/>
                <w:spacing w:val="-2"/>
                <w:lang w:val="en-US"/>
              </w:rPr>
            </w:pPr>
          </w:p>
        </w:tc>
        <w:tc>
          <w:tcPr>
            <w:tcW w:w="892" w:type="pct"/>
            <w:tcBorders>
              <w:top w:val="single" w:sz="2" w:space="0" w:color="auto"/>
            </w:tcBorders>
          </w:tcPr>
          <w:p w14:paraId="0A05C6C6" w14:textId="77777777" w:rsidR="0095625C" w:rsidRPr="00537128" w:rsidDel="003F59CB" w:rsidRDefault="0095625C" w:rsidP="0095625C">
            <w:pPr>
              <w:tabs>
                <w:tab w:val="right" w:pos="1202"/>
              </w:tabs>
              <w:spacing w:after="0" w:line="260" w:lineRule="exact"/>
              <w:jc w:val="right"/>
              <w:outlineLvl w:val="0"/>
              <w:rPr>
                <w:rFonts w:ascii="Calibri" w:eastAsia="Times New Roman" w:hAnsi="Calibri" w:cs="Arial"/>
                <w:b/>
                <w:lang w:val="en-US"/>
              </w:rPr>
            </w:pPr>
          </w:p>
        </w:tc>
        <w:tc>
          <w:tcPr>
            <w:tcW w:w="891" w:type="pct"/>
            <w:tcBorders>
              <w:top w:val="single" w:sz="12" w:space="0" w:color="auto"/>
              <w:left w:val="nil"/>
              <w:bottom w:val="nil"/>
              <w:right w:val="nil"/>
            </w:tcBorders>
            <w:shd w:val="clear" w:color="auto" w:fill="auto"/>
            <w:vAlign w:val="center"/>
          </w:tcPr>
          <w:p w14:paraId="1AA75041" w14:textId="77777777" w:rsidR="0095625C" w:rsidRPr="00537128" w:rsidRDefault="0095625C" w:rsidP="0095625C">
            <w:pPr>
              <w:tabs>
                <w:tab w:val="right" w:pos="1202"/>
              </w:tabs>
              <w:spacing w:after="0" w:line="260" w:lineRule="exact"/>
              <w:jc w:val="right"/>
              <w:outlineLvl w:val="0"/>
              <w:rPr>
                <w:rFonts w:ascii="Calibri" w:eastAsia="Times New Roman" w:hAnsi="Calibri" w:cs="Arial"/>
                <w:b/>
                <w:lang w:val="en-US"/>
              </w:rPr>
            </w:pPr>
          </w:p>
        </w:tc>
      </w:tr>
      <w:tr w:rsidR="0095625C" w:rsidRPr="00537128" w14:paraId="3178EA6C" w14:textId="77777777" w:rsidTr="009E53E4">
        <w:trPr>
          <w:trHeight w:hRule="exact" w:val="284"/>
        </w:trPr>
        <w:tc>
          <w:tcPr>
            <w:tcW w:w="3217" w:type="pct"/>
            <w:vAlign w:val="center"/>
          </w:tcPr>
          <w:p w14:paraId="6E61D35F" w14:textId="37536DB4" w:rsidR="0095625C" w:rsidRPr="00537128" w:rsidRDefault="0095625C" w:rsidP="0095625C">
            <w:pPr>
              <w:tabs>
                <w:tab w:val="right" w:pos="1202"/>
              </w:tabs>
              <w:spacing w:after="0" w:line="260" w:lineRule="exact"/>
              <w:outlineLvl w:val="0"/>
              <w:rPr>
                <w:rFonts w:ascii="Calibri" w:eastAsia="Calibri" w:hAnsi="Calibri" w:cs="Arial"/>
                <w:lang w:val="en-US"/>
              </w:rPr>
            </w:pPr>
            <w:bookmarkStart w:id="392" w:name="_Toc4058734"/>
            <w:r w:rsidRPr="00537128">
              <w:rPr>
                <w:rFonts w:ascii="Calibri" w:eastAsia="Calibri" w:hAnsi="Calibri" w:cs="Arial"/>
                <w:b/>
                <w:i/>
                <w:spacing w:val="-2"/>
                <w:lang w:val="en-US"/>
              </w:rPr>
              <w:t>Investments in investment funds:</w:t>
            </w:r>
            <w:bookmarkEnd w:id="392"/>
          </w:p>
        </w:tc>
        <w:tc>
          <w:tcPr>
            <w:tcW w:w="892" w:type="pct"/>
            <w:vAlign w:val="bottom"/>
          </w:tcPr>
          <w:p w14:paraId="2AFAAC79" w14:textId="77777777" w:rsidR="0095625C" w:rsidRPr="00537128" w:rsidRDefault="0095625C" w:rsidP="0095625C">
            <w:pPr>
              <w:tabs>
                <w:tab w:val="right" w:pos="1202"/>
              </w:tabs>
              <w:spacing w:after="0" w:line="260" w:lineRule="exact"/>
              <w:jc w:val="right"/>
              <w:outlineLvl w:val="0"/>
              <w:rPr>
                <w:rFonts w:ascii="Calibri" w:eastAsia="Times New Roman" w:hAnsi="Calibri" w:cs="Arial"/>
                <w:lang w:val="en-US"/>
              </w:rPr>
            </w:pPr>
          </w:p>
        </w:tc>
        <w:tc>
          <w:tcPr>
            <w:tcW w:w="891" w:type="pct"/>
            <w:tcBorders>
              <w:top w:val="nil"/>
              <w:left w:val="nil"/>
              <w:right w:val="nil"/>
            </w:tcBorders>
            <w:shd w:val="clear" w:color="auto" w:fill="auto"/>
            <w:vAlign w:val="center"/>
          </w:tcPr>
          <w:p w14:paraId="6DB7710D" w14:textId="77777777" w:rsidR="0095625C" w:rsidRPr="00537128" w:rsidRDefault="0095625C" w:rsidP="0095625C">
            <w:pPr>
              <w:tabs>
                <w:tab w:val="right" w:pos="1202"/>
              </w:tabs>
              <w:spacing w:after="0" w:line="260" w:lineRule="exact"/>
              <w:jc w:val="right"/>
              <w:outlineLvl w:val="0"/>
              <w:rPr>
                <w:rFonts w:ascii="Calibri" w:eastAsia="Times New Roman" w:hAnsi="Calibri" w:cs="Arial"/>
                <w:lang w:val="en-US"/>
              </w:rPr>
            </w:pPr>
          </w:p>
        </w:tc>
      </w:tr>
      <w:tr w:rsidR="00BB73B8" w:rsidRPr="00537128" w14:paraId="14B893F4" w14:textId="77777777" w:rsidTr="00342F86">
        <w:trPr>
          <w:trHeight w:hRule="exact" w:val="573"/>
        </w:trPr>
        <w:tc>
          <w:tcPr>
            <w:tcW w:w="3217" w:type="pct"/>
            <w:vAlign w:val="center"/>
          </w:tcPr>
          <w:p w14:paraId="06C5FDE4" w14:textId="6596248C" w:rsidR="00BB73B8" w:rsidRPr="00537128" w:rsidRDefault="00BB73B8" w:rsidP="00BB73B8">
            <w:pPr>
              <w:tabs>
                <w:tab w:val="right" w:pos="1202"/>
              </w:tabs>
              <w:spacing w:after="0" w:line="260" w:lineRule="exact"/>
              <w:outlineLvl w:val="0"/>
              <w:rPr>
                <w:rFonts w:ascii="Calibri" w:eastAsia="Calibri" w:hAnsi="Calibri" w:cs="Arial"/>
                <w:lang w:val="en-US"/>
              </w:rPr>
            </w:pPr>
            <w:bookmarkStart w:id="393" w:name="_Toc4058735"/>
            <w:r w:rsidRPr="00537128">
              <w:rPr>
                <w:rFonts w:ascii="Calibri" w:eastAsia="Calibri" w:hAnsi="Calibri" w:cs="Arial"/>
                <w:spacing w:val="-2"/>
                <w:lang w:val="en-US"/>
              </w:rPr>
              <w:t>Investments in investment funds</w:t>
            </w:r>
            <w:bookmarkEnd w:id="393"/>
            <w:r w:rsidRPr="00537128">
              <w:rPr>
                <w:rFonts w:ascii="Calibri" w:eastAsia="Calibri" w:hAnsi="Calibri" w:cs="Arial"/>
                <w:spacing w:val="-2"/>
                <w:lang w:val="en-US"/>
              </w:rPr>
              <w:t xml:space="preserve"> at FVPL</w:t>
            </w:r>
          </w:p>
        </w:tc>
        <w:tc>
          <w:tcPr>
            <w:tcW w:w="892" w:type="pct"/>
            <w:tcBorders>
              <w:top w:val="nil"/>
              <w:left w:val="nil"/>
              <w:bottom w:val="nil"/>
              <w:right w:val="nil"/>
            </w:tcBorders>
            <w:shd w:val="clear" w:color="auto" w:fill="auto"/>
            <w:vAlign w:val="bottom"/>
          </w:tcPr>
          <w:p w14:paraId="70E4275B" w14:textId="241A85DA" w:rsidR="00BB73B8" w:rsidRPr="00537128" w:rsidRDefault="00BB73B8" w:rsidP="00BB73B8">
            <w:pPr>
              <w:tabs>
                <w:tab w:val="right" w:pos="1202"/>
              </w:tabs>
              <w:spacing w:after="0" w:line="260" w:lineRule="exact"/>
              <w:jc w:val="right"/>
              <w:outlineLvl w:val="0"/>
              <w:rPr>
                <w:rFonts w:ascii="Calibri" w:eastAsia="Times New Roman" w:hAnsi="Calibri" w:cs="Arial"/>
                <w:lang w:val="en-US"/>
              </w:rPr>
            </w:pPr>
            <w:r>
              <w:rPr>
                <w:rFonts w:eastAsia="Calibri" w:cstheme="minorHAnsi"/>
                <w:color w:val="000000" w:themeColor="text1"/>
              </w:rPr>
              <w:t>103</w:t>
            </w:r>
            <w:r w:rsidR="00B23A3E">
              <w:rPr>
                <w:rFonts w:eastAsia="Calibri" w:cstheme="minorHAnsi"/>
                <w:color w:val="000000" w:themeColor="text1"/>
              </w:rPr>
              <w:t>,</w:t>
            </w:r>
            <w:r>
              <w:rPr>
                <w:rFonts w:eastAsia="Calibri" w:cstheme="minorHAnsi"/>
                <w:color w:val="000000" w:themeColor="text1"/>
              </w:rPr>
              <w:t>541</w:t>
            </w:r>
          </w:p>
        </w:tc>
        <w:tc>
          <w:tcPr>
            <w:tcW w:w="891" w:type="pct"/>
            <w:tcBorders>
              <w:top w:val="nil"/>
              <w:left w:val="nil"/>
              <w:bottom w:val="single" w:sz="4" w:space="0" w:color="auto"/>
              <w:right w:val="nil"/>
            </w:tcBorders>
            <w:shd w:val="clear" w:color="auto" w:fill="auto"/>
            <w:vAlign w:val="bottom"/>
          </w:tcPr>
          <w:p w14:paraId="7BC6CD22" w14:textId="643D4880" w:rsidR="00BB73B8" w:rsidRPr="00537128" w:rsidRDefault="00BB73B8" w:rsidP="00BB73B8">
            <w:pPr>
              <w:tabs>
                <w:tab w:val="right" w:pos="1202"/>
              </w:tabs>
              <w:spacing w:after="0" w:line="260" w:lineRule="exact"/>
              <w:jc w:val="right"/>
              <w:outlineLvl w:val="0"/>
              <w:rPr>
                <w:rFonts w:ascii="Calibri" w:eastAsia="Times New Roman" w:hAnsi="Calibri" w:cs="Arial"/>
                <w:lang w:val="en-US"/>
              </w:rPr>
            </w:pPr>
            <w:r w:rsidRPr="0084783E">
              <w:rPr>
                <w:rFonts w:eastAsia="Calibri" w:cstheme="minorHAnsi"/>
                <w:color w:val="000000" w:themeColor="text1"/>
              </w:rPr>
              <w:t>202</w:t>
            </w:r>
            <w:r>
              <w:rPr>
                <w:rFonts w:eastAsia="Calibri" w:cstheme="minorHAnsi"/>
                <w:color w:val="000000" w:themeColor="text1"/>
              </w:rPr>
              <w:t>,</w:t>
            </w:r>
            <w:r w:rsidRPr="0084783E">
              <w:rPr>
                <w:rFonts w:eastAsia="Calibri" w:cstheme="minorHAnsi"/>
                <w:color w:val="000000" w:themeColor="text1"/>
              </w:rPr>
              <w:t>260</w:t>
            </w:r>
          </w:p>
        </w:tc>
      </w:tr>
      <w:tr w:rsidR="00BB73B8" w:rsidRPr="00537128" w14:paraId="19E0E70A" w14:textId="77777777" w:rsidTr="00342F86">
        <w:trPr>
          <w:trHeight w:hRule="exact" w:val="284"/>
        </w:trPr>
        <w:tc>
          <w:tcPr>
            <w:tcW w:w="3217" w:type="pct"/>
            <w:vAlign w:val="center"/>
          </w:tcPr>
          <w:p w14:paraId="0810C233" w14:textId="77777777" w:rsidR="00BB73B8" w:rsidRPr="00537128" w:rsidRDefault="00BB73B8" w:rsidP="00BB73B8">
            <w:pPr>
              <w:tabs>
                <w:tab w:val="right" w:pos="1202"/>
              </w:tabs>
              <w:spacing w:after="0" w:line="260" w:lineRule="exact"/>
              <w:outlineLvl w:val="0"/>
              <w:rPr>
                <w:rFonts w:ascii="Calibri" w:eastAsia="Calibri" w:hAnsi="Calibri" w:cs="Arial"/>
                <w:lang w:val="en-US"/>
              </w:rPr>
            </w:pPr>
          </w:p>
        </w:tc>
        <w:tc>
          <w:tcPr>
            <w:tcW w:w="892" w:type="pct"/>
            <w:tcBorders>
              <w:top w:val="single" w:sz="4" w:space="0" w:color="auto"/>
              <w:left w:val="nil"/>
              <w:bottom w:val="single" w:sz="12" w:space="0" w:color="auto"/>
              <w:right w:val="nil"/>
            </w:tcBorders>
            <w:shd w:val="clear" w:color="auto" w:fill="auto"/>
            <w:vAlign w:val="bottom"/>
          </w:tcPr>
          <w:p w14:paraId="6DBA81A3" w14:textId="6264BF71" w:rsidR="00BB73B8" w:rsidRPr="00537128" w:rsidRDefault="00BB73B8" w:rsidP="00BB73B8">
            <w:pPr>
              <w:tabs>
                <w:tab w:val="right" w:pos="1202"/>
              </w:tabs>
              <w:spacing w:after="0" w:line="260" w:lineRule="exact"/>
              <w:jc w:val="right"/>
              <w:outlineLvl w:val="0"/>
              <w:rPr>
                <w:rFonts w:ascii="Calibri" w:eastAsia="Times New Roman" w:hAnsi="Calibri" w:cs="Arial"/>
                <w:b/>
                <w:lang w:val="en-US"/>
              </w:rPr>
            </w:pPr>
            <w:r>
              <w:rPr>
                <w:rFonts w:eastAsia="Calibri" w:cstheme="minorHAnsi"/>
                <w:b/>
                <w:bCs/>
                <w:color w:val="000000" w:themeColor="text1"/>
              </w:rPr>
              <w:t>103</w:t>
            </w:r>
            <w:r w:rsidR="00B23A3E">
              <w:rPr>
                <w:rFonts w:eastAsia="Calibri" w:cstheme="minorHAnsi"/>
                <w:b/>
                <w:bCs/>
                <w:color w:val="000000" w:themeColor="text1"/>
              </w:rPr>
              <w:t>,</w:t>
            </w:r>
            <w:r>
              <w:rPr>
                <w:rFonts w:eastAsia="Calibri" w:cstheme="minorHAnsi"/>
                <w:b/>
                <w:bCs/>
                <w:color w:val="000000" w:themeColor="text1"/>
              </w:rPr>
              <w:t>541</w:t>
            </w:r>
          </w:p>
        </w:tc>
        <w:tc>
          <w:tcPr>
            <w:tcW w:w="891" w:type="pct"/>
            <w:tcBorders>
              <w:top w:val="single" w:sz="4" w:space="0" w:color="auto"/>
              <w:left w:val="nil"/>
              <w:bottom w:val="single" w:sz="12" w:space="0" w:color="auto"/>
              <w:right w:val="nil"/>
            </w:tcBorders>
            <w:shd w:val="clear" w:color="auto" w:fill="auto"/>
            <w:vAlign w:val="bottom"/>
          </w:tcPr>
          <w:p w14:paraId="270C31D8" w14:textId="61438A80" w:rsidR="00BB73B8" w:rsidRPr="00537128" w:rsidRDefault="00BB73B8" w:rsidP="00BB73B8">
            <w:pPr>
              <w:tabs>
                <w:tab w:val="right" w:pos="1202"/>
              </w:tabs>
              <w:spacing w:after="0" w:line="260" w:lineRule="exact"/>
              <w:jc w:val="right"/>
              <w:outlineLvl w:val="0"/>
              <w:rPr>
                <w:rFonts w:ascii="Calibri" w:eastAsia="Times New Roman" w:hAnsi="Calibri" w:cs="Arial"/>
                <w:b/>
                <w:lang w:val="en-US"/>
              </w:rPr>
            </w:pPr>
            <w:r w:rsidRPr="0084783E">
              <w:rPr>
                <w:rFonts w:eastAsia="Calibri" w:cstheme="minorHAnsi"/>
                <w:b/>
                <w:bCs/>
                <w:color w:val="000000" w:themeColor="text1"/>
              </w:rPr>
              <w:t>202</w:t>
            </w:r>
            <w:r>
              <w:rPr>
                <w:rFonts w:eastAsia="Calibri" w:cstheme="minorHAnsi"/>
                <w:b/>
                <w:bCs/>
                <w:color w:val="000000" w:themeColor="text1"/>
              </w:rPr>
              <w:t>,</w:t>
            </w:r>
            <w:r w:rsidRPr="0084783E">
              <w:rPr>
                <w:rFonts w:eastAsia="Calibri" w:cstheme="minorHAnsi"/>
                <w:b/>
                <w:bCs/>
                <w:color w:val="000000" w:themeColor="text1"/>
              </w:rPr>
              <w:t>260</w:t>
            </w:r>
          </w:p>
        </w:tc>
      </w:tr>
      <w:tr w:rsidR="00BB73B8" w:rsidRPr="00537128" w14:paraId="00687E90" w14:textId="77777777" w:rsidTr="00745A49">
        <w:trPr>
          <w:trHeight w:hRule="exact" w:val="284"/>
        </w:trPr>
        <w:tc>
          <w:tcPr>
            <w:tcW w:w="3217" w:type="pct"/>
            <w:vAlign w:val="center"/>
          </w:tcPr>
          <w:p w14:paraId="640C2D9E" w14:textId="77777777" w:rsidR="00BB73B8" w:rsidRPr="00537128" w:rsidRDefault="00BB73B8" w:rsidP="00BB73B8">
            <w:pPr>
              <w:tabs>
                <w:tab w:val="right" w:pos="1202"/>
              </w:tabs>
              <w:spacing w:after="0" w:line="260" w:lineRule="exact"/>
              <w:outlineLvl w:val="0"/>
              <w:rPr>
                <w:rFonts w:ascii="Calibri" w:eastAsia="Calibri" w:hAnsi="Calibri" w:cs="Arial"/>
                <w:lang w:val="en-US"/>
              </w:rPr>
            </w:pPr>
          </w:p>
        </w:tc>
        <w:tc>
          <w:tcPr>
            <w:tcW w:w="892" w:type="pct"/>
            <w:tcBorders>
              <w:top w:val="single" w:sz="12" w:space="0" w:color="auto"/>
            </w:tcBorders>
            <w:vAlign w:val="bottom"/>
          </w:tcPr>
          <w:p w14:paraId="0DB88C20" w14:textId="77777777" w:rsidR="00BB73B8" w:rsidRPr="00537128" w:rsidDel="003F59CB" w:rsidRDefault="00BB73B8" w:rsidP="00BB73B8">
            <w:pPr>
              <w:tabs>
                <w:tab w:val="right" w:pos="1202"/>
              </w:tabs>
              <w:spacing w:after="0" w:line="260" w:lineRule="exact"/>
              <w:jc w:val="right"/>
              <w:outlineLvl w:val="0"/>
              <w:rPr>
                <w:rFonts w:ascii="Calibri" w:eastAsia="Times New Roman" w:hAnsi="Calibri" w:cs="Arial"/>
                <w:b/>
                <w:lang w:val="en-US"/>
              </w:rPr>
            </w:pPr>
          </w:p>
        </w:tc>
        <w:tc>
          <w:tcPr>
            <w:tcW w:w="891" w:type="pct"/>
            <w:tcBorders>
              <w:top w:val="single" w:sz="12" w:space="0" w:color="auto"/>
              <w:left w:val="nil"/>
              <w:right w:val="nil"/>
            </w:tcBorders>
            <w:shd w:val="clear" w:color="auto" w:fill="auto"/>
            <w:vAlign w:val="center"/>
          </w:tcPr>
          <w:p w14:paraId="7BE44CF0" w14:textId="77777777" w:rsidR="00BB73B8" w:rsidRPr="00537128" w:rsidRDefault="00BB73B8" w:rsidP="00BB73B8">
            <w:pPr>
              <w:tabs>
                <w:tab w:val="right" w:pos="1202"/>
              </w:tabs>
              <w:spacing w:after="0" w:line="260" w:lineRule="exact"/>
              <w:jc w:val="right"/>
              <w:outlineLvl w:val="0"/>
              <w:rPr>
                <w:rFonts w:ascii="Calibri" w:eastAsia="Times New Roman" w:hAnsi="Calibri" w:cs="Arial"/>
                <w:b/>
                <w:lang w:val="en-US"/>
              </w:rPr>
            </w:pPr>
          </w:p>
        </w:tc>
      </w:tr>
      <w:tr w:rsidR="00BB73B8" w:rsidRPr="00537128" w14:paraId="09D86BEA" w14:textId="77777777" w:rsidTr="00745A49">
        <w:trPr>
          <w:trHeight w:hRule="exact" w:val="284"/>
        </w:trPr>
        <w:tc>
          <w:tcPr>
            <w:tcW w:w="3217" w:type="pct"/>
            <w:vAlign w:val="center"/>
          </w:tcPr>
          <w:p w14:paraId="43CC1907" w14:textId="1E92A27E" w:rsidR="00BB73B8" w:rsidRPr="00537128" w:rsidRDefault="00BB73B8" w:rsidP="00BB73B8">
            <w:pPr>
              <w:tabs>
                <w:tab w:val="right" w:pos="1202"/>
              </w:tabs>
              <w:spacing w:after="0" w:line="260" w:lineRule="exact"/>
              <w:outlineLvl w:val="0"/>
              <w:rPr>
                <w:rFonts w:ascii="Calibri" w:eastAsia="Times New Roman" w:hAnsi="Calibri" w:cs="Arial"/>
                <w:b/>
                <w:i/>
                <w:spacing w:val="-2"/>
                <w:lang w:val="en-US"/>
              </w:rPr>
            </w:pPr>
            <w:bookmarkStart w:id="394" w:name="_Toc4058754"/>
            <w:r w:rsidRPr="00537128">
              <w:rPr>
                <w:rFonts w:ascii="Calibri" w:eastAsia="Calibri" w:hAnsi="Calibri" w:cs="Arial"/>
                <w:b/>
                <w:i/>
                <w:spacing w:val="-2"/>
                <w:lang w:val="en-US"/>
              </w:rPr>
              <w:t>Unlisted equity instruments:</w:t>
            </w:r>
            <w:bookmarkEnd w:id="394"/>
          </w:p>
        </w:tc>
        <w:tc>
          <w:tcPr>
            <w:tcW w:w="892" w:type="pct"/>
            <w:vAlign w:val="bottom"/>
          </w:tcPr>
          <w:p w14:paraId="5A4C3621" w14:textId="77777777" w:rsidR="00BB73B8" w:rsidRPr="00537128" w:rsidRDefault="00BB73B8" w:rsidP="00BB73B8">
            <w:pPr>
              <w:tabs>
                <w:tab w:val="right" w:pos="1202"/>
              </w:tabs>
              <w:spacing w:after="0" w:line="260" w:lineRule="exact"/>
              <w:jc w:val="right"/>
              <w:outlineLvl w:val="0"/>
              <w:rPr>
                <w:rFonts w:ascii="Calibri" w:eastAsia="Times New Roman" w:hAnsi="Calibri" w:cs="Arial"/>
                <w:lang w:val="en-US"/>
              </w:rPr>
            </w:pPr>
          </w:p>
        </w:tc>
        <w:tc>
          <w:tcPr>
            <w:tcW w:w="891" w:type="pct"/>
            <w:tcBorders>
              <w:top w:val="nil"/>
              <w:left w:val="nil"/>
              <w:bottom w:val="nil"/>
              <w:right w:val="nil"/>
            </w:tcBorders>
            <w:shd w:val="clear" w:color="auto" w:fill="auto"/>
            <w:vAlign w:val="center"/>
          </w:tcPr>
          <w:p w14:paraId="38C572F8" w14:textId="77777777" w:rsidR="00BB73B8" w:rsidRPr="00537128" w:rsidRDefault="00BB73B8" w:rsidP="00BB73B8">
            <w:pPr>
              <w:tabs>
                <w:tab w:val="right" w:pos="1202"/>
              </w:tabs>
              <w:spacing w:after="0" w:line="260" w:lineRule="exact"/>
              <w:jc w:val="right"/>
              <w:outlineLvl w:val="0"/>
              <w:rPr>
                <w:rFonts w:ascii="Calibri" w:eastAsia="Times New Roman" w:hAnsi="Calibri" w:cs="Arial"/>
                <w:lang w:val="en-US"/>
              </w:rPr>
            </w:pPr>
          </w:p>
        </w:tc>
      </w:tr>
      <w:tr w:rsidR="00CD6278" w:rsidRPr="00537128" w14:paraId="1142B06B" w14:textId="77777777" w:rsidTr="00EA19D2">
        <w:trPr>
          <w:trHeight w:hRule="exact" w:val="284"/>
        </w:trPr>
        <w:tc>
          <w:tcPr>
            <w:tcW w:w="3217" w:type="pct"/>
            <w:vAlign w:val="center"/>
          </w:tcPr>
          <w:p w14:paraId="4EB09EFD" w14:textId="7D9E7ACC" w:rsidR="00CD6278" w:rsidRPr="00537128" w:rsidRDefault="00CD6278" w:rsidP="00CD6278">
            <w:pPr>
              <w:tabs>
                <w:tab w:val="right" w:pos="1202"/>
              </w:tabs>
              <w:spacing w:after="0" w:line="260" w:lineRule="exact"/>
              <w:outlineLvl w:val="0"/>
              <w:rPr>
                <w:rFonts w:ascii="Calibri" w:eastAsia="Calibri" w:hAnsi="Calibri" w:cs="Arial"/>
                <w:b/>
                <w:i/>
                <w:spacing w:val="-2"/>
                <w:lang w:val="en-US"/>
              </w:rPr>
            </w:pPr>
            <w:bookmarkStart w:id="395" w:name="_Toc4058755"/>
            <w:r w:rsidRPr="00537128">
              <w:rPr>
                <w:rFonts w:ascii="Calibri" w:eastAsia="Calibri" w:hAnsi="Calibri" w:cs="Arial"/>
                <w:spacing w:val="-2"/>
                <w:lang w:val="en-US"/>
              </w:rPr>
              <w:t>Investments in corporate shares</w:t>
            </w:r>
            <w:bookmarkEnd w:id="395"/>
          </w:p>
        </w:tc>
        <w:tc>
          <w:tcPr>
            <w:tcW w:w="892" w:type="pct"/>
            <w:tcBorders>
              <w:top w:val="nil"/>
              <w:left w:val="nil"/>
              <w:bottom w:val="nil"/>
              <w:right w:val="nil"/>
            </w:tcBorders>
            <w:shd w:val="clear" w:color="auto" w:fill="auto"/>
            <w:vAlign w:val="bottom"/>
          </w:tcPr>
          <w:p w14:paraId="28AA80DC" w14:textId="4BCA966C" w:rsidR="00CD6278" w:rsidRPr="00537128" w:rsidRDefault="00CD6278" w:rsidP="00CD6278">
            <w:pPr>
              <w:tabs>
                <w:tab w:val="right" w:pos="1202"/>
              </w:tabs>
              <w:spacing w:after="0" w:line="260" w:lineRule="exact"/>
              <w:jc w:val="right"/>
              <w:outlineLvl w:val="0"/>
              <w:rPr>
                <w:rFonts w:ascii="Calibri" w:eastAsia="Times New Roman" w:hAnsi="Calibri" w:cs="Arial"/>
                <w:lang w:val="en-US"/>
              </w:rPr>
            </w:pPr>
            <w:r>
              <w:rPr>
                <w:rFonts w:eastAsia="Calibri" w:cstheme="minorHAnsi"/>
                <w:color w:val="000000" w:themeColor="text1"/>
              </w:rPr>
              <w:t>31</w:t>
            </w:r>
          </w:p>
        </w:tc>
        <w:tc>
          <w:tcPr>
            <w:tcW w:w="891" w:type="pct"/>
            <w:tcBorders>
              <w:top w:val="nil"/>
              <w:left w:val="nil"/>
              <w:right w:val="nil"/>
            </w:tcBorders>
            <w:shd w:val="clear" w:color="auto" w:fill="auto"/>
            <w:vAlign w:val="bottom"/>
          </w:tcPr>
          <w:p w14:paraId="301E30CB" w14:textId="78AB7C32" w:rsidR="00CD6278" w:rsidRPr="00537128" w:rsidRDefault="00CD6278" w:rsidP="00CD6278">
            <w:pPr>
              <w:tabs>
                <w:tab w:val="right" w:pos="1202"/>
              </w:tabs>
              <w:spacing w:after="0" w:line="260" w:lineRule="exact"/>
              <w:jc w:val="right"/>
              <w:outlineLvl w:val="0"/>
              <w:rPr>
                <w:rFonts w:ascii="Calibri" w:eastAsia="Times New Roman" w:hAnsi="Calibri" w:cs="Arial"/>
                <w:lang w:val="en-US"/>
              </w:rPr>
            </w:pPr>
            <w:r w:rsidRPr="0084783E">
              <w:rPr>
                <w:rFonts w:eastAsia="Calibri" w:cstheme="minorHAnsi"/>
                <w:color w:val="000000" w:themeColor="text1"/>
              </w:rPr>
              <w:t>31</w:t>
            </w:r>
          </w:p>
        </w:tc>
      </w:tr>
      <w:tr w:rsidR="00CD6278" w:rsidRPr="00537128" w14:paraId="4136D93D" w14:textId="77777777" w:rsidTr="00EA19D2">
        <w:trPr>
          <w:trHeight w:hRule="exact" w:val="284"/>
        </w:trPr>
        <w:tc>
          <w:tcPr>
            <w:tcW w:w="3217" w:type="pct"/>
            <w:vAlign w:val="center"/>
          </w:tcPr>
          <w:p w14:paraId="4676B616" w14:textId="77777777" w:rsidR="00CD6278" w:rsidRPr="00537128" w:rsidRDefault="00CD6278" w:rsidP="00CD6278">
            <w:pPr>
              <w:tabs>
                <w:tab w:val="right" w:pos="1202"/>
              </w:tabs>
              <w:spacing w:after="0" w:line="260" w:lineRule="exact"/>
              <w:outlineLvl w:val="0"/>
              <w:rPr>
                <w:rFonts w:ascii="Calibri" w:eastAsia="Calibri" w:hAnsi="Calibri" w:cs="Arial"/>
                <w:spacing w:val="-2"/>
                <w:lang w:val="en-US"/>
              </w:rPr>
            </w:pPr>
            <w:r w:rsidRPr="00537128">
              <w:rPr>
                <w:rFonts w:ascii="Calibri" w:eastAsia="Calibri" w:hAnsi="Calibri" w:cs="Arial"/>
                <w:spacing w:val="-2"/>
                <w:lang w:val="en-US"/>
              </w:rPr>
              <w:t>Depository receipt - DR</w:t>
            </w:r>
          </w:p>
        </w:tc>
        <w:tc>
          <w:tcPr>
            <w:tcW w:w="892" w:type="pct"/>
            <w:tcBorders>
              <w:top w:val="nil"/>
              <w:left w:val="nil"/>
              <w:bottom w:val="nil"/>
              <w:right w:val="nil"/>
            </w:tcBorders>
            <w:shd w:val="clear" w:color="auto" w:fill="auto"/>
            <w:vAlign w:val="bottom"/>
          </w:tcPr>
          <w:p w14:paraId="533FDBB2" w14:textId="35F990F7" w:rsidR="00CD6278" w:rsidRPr="00537128" w:rsidRDefault="00CD6278" w:rsidP="00CD6278">
            <w:pPr>
              <w:tabs>
                <w:tab w:val="right" w:pos="1202"/>
              </w:tabs>
              <w:spacing w:after="0" w:line="260" w:lineRule="exact"/>
              <w:jc w:val="right"/>
              <w:outlineLvl w:val="0"/>
              <w:rPr>
                <w:rFonts w:ascii="Calibri" w:eastAsia="Times New Roman" w:hAnsi="Calibri" w:cs="Arial"/>
                <w:lang w:val="en-US"/>
              </w:rPr>
            </w:pPr>
            <w:r>
              <w:rPr>
                <w:rFonts w:eastAsia="Calibri" w:cstheme="minorHAnsi"/>
                <w:color w:val="000000" w:themeColor="text1"/>
              </w:rPr>
              <w:t>320</w:t>
            </w:r>
          </w:p>
        </w:tc>
        <w:tc>
          <w:tcPr>
            <w:tcW w:w="891" w:type="pct"/>
            <w:tcBorders>
              <w:top w:val="nil"/>
              <w:left w:val="nil"/>
              <w:bottom w:val="single" w:sz="4" w:space="0" w:color="auto"/>
              <w:right w:val="nil"/>
            </w:tcBorders>
            <w:shd w:val="clear" w:color="auto" w:fill="auto"/>
            <w:vAlign w:val="bottom"/>
          </w:tcPr>
          <w:p w14:paraId="53DC3054" w14:textId="59C74604" w:rsidR="00CD6278" w:rsidRPr="00537128" w:rsidRDefault="00CD6278" w:rsidP="00CD6278">
            <w:pPr>
              <w:tabs>
                <w:tab w:val="right" w:pos="1202"/>
              </w:tabs>
              <w:spacing w:after="0" w:line="260" w:lineRule="exact"/>
              <w:jc w:val="right"/>
              <w:outlineLvl w:val="0"/>
              <w:rPr>
                <w:rFonts w:ascii="Calibri" w:eastAsia="Times New Roman" w:hAnsi="Calibri" w:cs="Arial"/>
                <w:lang w:val="en-US"/>
              </w:rPr>
            </w:pPr>
            <w:r w:rsidRPr="0084783E">
              <w:rPr>
                <w:rFonts w:eastAsia="Calibri" w:cstheme="minorHAnsi"/>
                <w:color w:val="000000" w:themeColor="text1"/>
              </w:rPr>
              <w:t>318</w:t>
            </w:r>
          </w:p>
        </w:tc>
      </w:tr>
      <w:tr w:rsidR="00CD6278" w:rsidRPr="00537128" w14:paraId="664EC8BE" w14:textId="77777777" w:rsidTr="00EA19D2">
        <w:trPr>
          <w:trHeight w:hRule="exact" w:val="284"/>
        </w:trPr>
        <w:tc>
          <w:tcPr>
            <w:tcW w:w="3217" w:type="pct"/>
          </w:tcPr>
          <w:p w14:paraId="722A00B1" w14:textId="77777777" w:rsidR="00CD6278" w:rsidRPr="00537128" w:rsidRDefault="00CD6278" w:rsidP="00CD6278">
            <w:pPr>
              <w:tabs>
                <w:tab w:val="right" w:pos="1202"/>
              </w:tabs>
              <w:spacing w:after="0" w:line="260" w:lineRule="exact"/>
              <w:outlineLvl w:val="0"/>
              <w:rPr>
                <w:rFonts w:ascii="Calibri" w:eastAsia="Times New Roman" w:hAnsi="Calibri" w:cs="Arial"/>
                <w:spacing w:val="-2"/>
                <w:lang w:val="en-US"/>
              </w:rPr>
            </w:pPr>
          </w:p>
        </w:tc>
        <w:tc>
          <w:tcPr>
            <w:tcW w:w="892" w:type="pct"/>
            <w:tcBorders>
              <w:top w:val="single" w:sz="4" w:space="0" w:color="auto"/>
              <w:left w:val="nil"/>
              <w:bottom w:val="single" w:sz="12" w:space="0" w:color="auto"/>
              <w:right w:val="nil"/>
            </w:tcBorders>
            <w:shd w:val="clear" w:color="auto" w:fill="auto"/>
            <w:vAlign w:val="bottom"/>
          </w:tcPr>
          <w:p w14:paraId="1101893D" w14:textId="423B2481" w:rsidR="00CD6278" w:rsidRPr="00537128" w:rsidRDefault="00CD6278" w:rsidP="00CD6278">
            <w:pPr>
              <w:tabs>
                <w:tab w:val="right" w:pos="1202"/>
              </w:tabs>
              <w:spacing w:after="0" w:line="260" w:lineRule="exact"/>
              <w:jc w:val="right"/>
              <w:outlineLvl w:val="0"/>
              <w:rPr>
                <w:rFonts w:ascii="Calibri" w:eastAsia="Times New Roman" w:hAnsi="Calibri" w:cs="Arial"/>
                <w:b/>
                <w:lang w:val="en-US"/>
              </w:rPr>
            </w:pPr>
            <w:r>
              <w:rPr>
                <w:rFonts w:eastAsia="Calibri" w:cstheme="minorHAnsi"/>
                <w:b/>
                <w:bCs/>
                <w:color w:val="000000" w:themeColor="text1"/>
              </w:rPr>
              <w:t>351</w:t>
            </w:r>
          </w:p>
        </w:tc>
        <w:tc>
          <w:tcPr>
            <w:tcW w:w="891" w:type="pct"/>
            <w:tcBorders>
              <w:top w:val="single" w:sz="4" w:space="0" w:color="auto"/>
              <w:left w:val="nil"/>
              <w:bottom w:val="single" w:sz="12" w:space="0" w:color="auto"/>
              <w:right w:val="nil"/>
            </w:tcBorders>
            <w:shd w:val="clear" w:color="auto" w:fill="auto"/>
            <w:vAlign w:val="bottom"/>
          </w:tcPr>
          <w:p w14:paraId="02FAB06C" w14:textId="43E32F69" w:rsidR="00CD6278" w:rsidRPr="00537128" w:rsidRDefault="00CD6278" w:rsidP="00CD6278">
            <w:pPr>
              <w:tabs>
                <w:tab w:val="right" w:pos="1202"/>
              </w:tabs>
              <w:spacing w:after="0" w:line="260" w:lineRule="exact"/>
              <w:jc w:val="right"/>
              <w:outlineLvl w:val="0"/>
              <w:rPr>
                <w:rFonts w:ascii="Calibri" w:eastAsia="Times New Roman" w:hAnsi="Calibri" w:cs="Arial"/>
                <w:b/>
                <w:lang w:val="en-US"/>
              </w:rPr>
            </w:pPr>
            <w:r w:rsidRPr="0084783E">
              <w:rPr>
                <w:rFonts w:eastAsia="Calibri" w:cstheme="minorHAnsi"/>
                <w:b/>
                <w:bCs/>
                <w:color w:val="000000" w:themeColor="text1"/>
              </w:rPr>
              <w:t>349</w:t>
            </w:r>
          </w:p>
        </w:tc>
      </w:tr>
      <w:tr w:rsidR="00CD6278" w:rsidRPr="00537128" w14:paraId="39B3FDC7" w14:textId="77777777" w:rsidTr="00EA19D2">
        <w:trPr>
          <w:trHeight w:hRule="exact" w:val="284"/>
        </w:trPr>
        <w:tc>
          <w:tcPr>
            <w:tcW w:w="3217" w:type="pct"/>
          </w:tcPr>
          <w:p w14:paraId="777812FD" w14:textId="77777777" w:rsidR="00CD6278" w:rsidRPr="00537128" w:rsidRDefault="00CD6278" w:rsidP="00CD6278">
            <w:pPr>
              <w:tabs>
                <w:tab w:val="right" w:pos="1202"/>
              </w:tabs>
              <w:spacing w:after="0" w:line="260" w:lineRule="exact"/>
              <w:outlineLvl w:val="0"/>
              <w:rPr>
                <w:rFonts w:ascii="Calibri" w:eastAsia="Times New Roman" w:hAnsi="Calibri" w:cs="Arial"/>
                <w:spacing w:val="-2"/>
                <w:lang w:val="en-US"/>
              </w:rPr>
            </w:pPr>
          </w:p>
        </w:tc>
        <w:tc>
          <w:tcPr>
            <w:tcW w:w="892" w:type="pct"/>
            <w:tcBorders>
              <w:left w:val="nil"/>
              <w:right w:val="nil"/>
            </w:tcBorders>
            <w:shd w:val="clear" w:color="auto" w:fill="auto"/>
            <w:vAlign w:val="bottom"/>
          </w:tcPr>
          <w:p w14:paraId="6C198782" w14:textId="77777777" w:rsidR="00CD6278" w:rsidRPr="00537128" w:rsidRDefault="00CD6278" w:rsidP="00CD6278">
            <w:pPr>
              <w:tabs>
                <w:tab w:val="right" w:pos="1202"/>
              </w:tabs>
              <w:spacing w:after="0" w:line="260" w:lineRule="exact"/>
              <w:jc w:val="right"/>
              <w:outlineLvl w:val="0"/>
              <w:rPr>
                <w:rFonts w:ascii="Calibri" w:eastAsia="Times New Roman" w:hAnsi="Calibri" w:cs="Arial"/>
                <w:b/>
                <w:lang w:val="en-US"/>
              </w:rPr>
            </w:pPr>
          </w:p>
        </w:tc>
        <w:tc>
          <w:tcPr>
            <w:tcW w:w="891" w:type="pct"/>
            <w:tcBorders>
              <w:left w:val="nil"/>
              <w:right w:val="nil"/>
            </w:tcBorders>
            <w:shd w:val="clear" w:color="auto" w:fill="auto"/>
            <w:vAlign w:val="bottom"/>
          </w:tcPr>
          <w:p w14:paraId="2A70853B" w14:textId="39F1FA24" w:rsidR="00CD6278" w:rsidRPr="00537128" w:rsidRDefault="00CD6278" w:rsidP="00CD6278">
            <w:pPr>
              <w:tabs>
                <w:tab w:val="right" w:pos="1202"/>
              </w:tabs>
              <w:spacing w:after="0" w:line="260" w:lineRule="exact"/>
              <w:jc w:val="right"/>
              <w:outlineLvl w:val="0"/>
              <w:rPr>
                <w:rFonts w:ascii="Calibri" w:eastAsia="Calibri" w:hAnsi="Calibri" w:cs="Times New Roman"/>
                <w:b/>
                <w:bCs/>
                <w:color w:val="000000"/>
                <w:lang w:val="en-US"/>
              </w:rPr>
            </w:pPr>
          </w:p>
        </w:tc>
      </w:tr>
      <w:tr w:rsidR="00CD6278" w:rsidRPr="00537128" w14:paraId="3E95191B" w14:textId="77777777" w:rsidTr="00EA19D2">
        <w:trPr>
          <w:trHeight w:hRule="exact" w:val="284"/>
        </w:trPr>
        <w:tc>
          <w:tcPr>
            <w:tcW w:w="3217" w:type="pct"/>
          </w:tcPr>
          <w:p w14:paraId="5201D9A7" w14:textId="77777777" w:rsidR="00CD6278" w:rsidRPr="00537128" w:rsidRDefault="00CD6278" w:rsidP="00CD6278">
            <w:pPr>
              <w:tabs>
                <w:tab w:val="right" w:pos="1202"/>
              </w:tabs>
              <w:spacing w:after="0" w:line="260" w:lineRule="exact"/>
              <w:outlineLvl w:val="0"/>
              <w:rPr>
                <w:rFonts w:ascii="Calibri" w:eastAsia="Times New Roman" w:hAnsi="Calibri" w:cs="Arial"/>
                <w:spacing w:val="-2"/>
                <w:lang w:val="en-US"/>
              </w:rPr>
            </w:pPr>
          </w:p>
        </w:tc>
        <w:tc>
          <w:tcPr>
            <w:tcW w:w="892" w:type="pct"/>
            <w:tcBorders>
              <w:left w:val="nil"/>
              <w:bottom w:val="single" w:sz="12" w:space="0" w:color="auto"/>
              <w:right w:val="nil"/>
            </w:tcBorders>
            <w:shd w:val="clear" w:color="auto" w:fill="auto"/>
            <w:vAlign w:val="bottom"/>
          </w:tcPr>
          <w:p w14:paraId="618E1215" w14:textId="07B5EE80" w:rsidR="00CD6278" w:rsidRPr="00537128" w:rsidRDefault="00CD6278" w:rsidP="00CD6278">
            <w:pPr>
              <w:tabs>
                <w:tab w:val="right" w:pos="1202"/>
              </w:tabs>
              <w:spacing w:after="0" w:line="260" w:lineRule="exact"/>
              <w:jc w:val="right"/>
              <w:outlineLvl w:val="0"/>
              <w:rPr>
                <w:rFonts w:ascii="Calibri" w:eastAsia="Times New Roman" w:hAnsi="Calibri" w:cs="Arial"/>
                <w:b/>
                <w:lang w:val="en-US"/>
              </w:rPr>
            </w:pPr>
            <w:r>
              <w:rPr>
                <w:rFonts w:eastAsia="Calibri" w:cstheme="minorHAnsi"/>
                <w:b/>
                <w:bCs/>
                <w:color w:val="000000" w:themeColor="text1"/>
              </w:rPr>
              <w:t>129</w:t>
            </w:r>
            <w:r w:rsidR="00B23A3E">
              <w:rPr>
                <w:rFonts w:eastAsia="Calibri" w:cstheme="minorHAnsi"/>
                <w:b/>
                <w:bCs/>
                <w:color w:val="000000" w:themeColor="text1"/>
              </w:rPr>
              <w:t>,</w:t>
            </w:r>
            <w:r>
              <w:rPr>
                <w:rFonts w:eastAsia="Calibri" w:cstheme="minorHAnsi"/>
                <w:b/>
                <w:bCs/>
                <w:color w:val="000000" w:themeColor="text1"/>
              </w:rPr>
              <w:t>544</w:t>
            </w:r>
          </w:p>
        </w:tc>
        <w:tc>
          <w:tcPr>
            <w:tcW w:w="891" w:type="pct"/>
            <w:tcBorders>
              <w:left w:val="nil"/>
              <w:bottom w:val="single" w:sz="12" w:space="0" w:color="auto"/>
              <w:right w:val="nil"/>
            </w:tcBorders>
            <w:shd w:val="clear" w:color="auto" w:fill="auto"/>
            <w:vAlign w:val="bottom"/>
          </w:tcPr>
          <w:p w14:paraId="2258AA97" w14:textId="69D00684" w:rsidR="00CD6278" w:rsidRPr="00537128" w:rsidRDefault="00CD6278" w:rsidP="00CD6278">
            <w:pPr>
              <w:tabs>
                <w:tab w:val="right" w:pos="1202"/>
              </w:tabs>
              <w:spacing w:after="0" w:line="260" w:lineRule="exact"/>
              <w:jc w:val="right"/>
              <w:outlineLvl w:val="0"/>
              <w:rPr>
                <w:rFonts w:ascii="Calibri" w:eastAsia="Times New Roman" w:hAnsi="Calibri" w:cs="Arial"/>
                <w:b/>
                <w:lang w:val="en-US"/>
              </w:rPr>
            </w:pPr>
            <w:r w:rsidRPr="0084783E">
              <w:rPr>
                <w:rFonts w:eastAsia="Calibri" w:cstheme="minorHAnsi"/>
                <w:b/>
                <w:bCs/>
                <w:color w:val="000000" w:themeColor="text1"/>
              </w:rPr>
              <w:t>218</w:t>
            </w:r>
            <w:r>
              <w:rPr>
                <w:rFonts w:eastAsia="Calibri" w:cstheme="minorHAnsi"/>
                <w:b/>
                <w:bCs/>
                <w:color w:val="000000" w:themeColor="text1"/>
              </w:rPr>
              <w:t>,</w:t>
            </w:r>
            <w:r w:rsidRPr="0084783E">
              <w:rPr>
                <w:rFonts w:eastAsia="Calibri" w:cstheme="minorHAnsi"/>
                <w:b/>
                <w:bCs/>
                <w:color w:val="000000" w:themeColor="text1"/>
              </w:rPr>
              <w:t>984</w:t>
            </w:r>
          </w:p>
        </w:tc>
      </w:tr>
    </w:tbl>
    <w:p w14:paraId="19F97AB8" w14:textId="77777777" w:rsidR="00D873D7" w:rsidRPr="00537128" w:rsidRDefault="00D873D7" w:rsidP="00D873D7">
      <w:pPr>
        <w:spacing w:after="0" w:line="240" w:lineRule="auto"/>
        <w:jc w:val="both"/>
        <w:rPr>
          <w:rFonts w:ascii="Calibri" w:eastAsia="Calibri" w:hAnsi="Calibri" w:cs="Calibri"/>
          <w:sz w:val="18"/>
          <w:szCs w:val="18"/>
          <w:highlight w:val="yellow"/>
          <w:lang w:val="en-US"/>
        </w:rPr>
      </w:pPr>
      <w:bookmarkStart w:id="396" w:name="_Hlk529873781"/>
    </w:p>
    <w:p w14:paraId="62B822D5" w14:textId="77777777" w:rsidR="00062CB5" w:rsidRDefault="00062CB5" w:rsidP="00D873D7">
      <w:pPr>
        <w:spacing w:after="0" w:line="240" w:lineRule="auto"/>
        <w:jc w:val="both"/>
        <w:rPr>
          <w:rFonts w:ascii="Calibri" w:eastAsia="Times New Roman" w:hAnsi="Calibri" w:cs="Calibri"/>
          <w:lang w:val="en-US"/>
        </w:rPr>
      </w:pPr>
    </w:p>
    <w:p w14:paraId="7556EA11" w14:textId="77777777" w:rsidR="00062CB5" w:rsidRDefault="00062CB5" w:rsidP="00D873D7">
      <w:pPr>
        <w:spacing w:after="0" w:line="240" w:lineRule="auto"/>
        <w:jc w:val="both"/>
        <w:rPr>
          <w:rFonts w:ascii="Calibri" w:eastAsia="Times New Roman" w:hAnsi="Calibri" w:cs="Calibri"/>
          <w:lang w:val="en-US"/>
        </w:rPr>
      </w:pPr>
    </w:p>
    <w:p w14:paraId="12E5AA4E" w14:textId="79C03D3B" w:rsidR="00D873D7" w:rsidRPr="00537128" w:rsidRDefault="00D873D7" w:rsidP="00D873D7">
      <w:pPr>
        <w:spacing w:after="0" w:line="240" w:lineRule="auto"/>
        <w:jc w:val="both"/>
        <w:rPr>
          <w:rFonts w:ascii="Calibri" w:eastAsia="Times New Roman" w:hAnsi="Calibri" w:cs="Calibri"/>
          <w:lang w:val="en-US"/>
        </w:rPr>
      </w:pPr>
      <w:r w:rsidRPr="00537128">
        <w:rPr>
          <w:rFonts w:ascii="Calibri" w:eastAsia="Times New Roman" w:hAnsi="Calibri" w:cs="Calibri"/>
          <w:lang w:val="en-US"/>
        </w:rPr>
        <w:t xml:space="preserve">The shares of companies not listed on the stock exchange in the amount of </w:t>
      </w:r>
      <w:r w:rsidRPr="009E0B26">
        <w:rPr>
          <w:rFonts w:ascii="Calibri" w:eastAsia="Times New Roman" w:hAnsi="Calibri" w:cs="Calibri"/>
          <w:lang w:val="en-US"/>
        </w:rPr>
        <w:t xml:space="preserve">HRK </w:t>
      </w:r>
      <w:r w:rsidRPr="00266377">
        <w:rPr>
          <w:rFonts w:ascii="Calibri" w:eastAsia="Times New Roman" w:hAnsi="Calibri" w:cs="Calibri"/>
          <w:lang w:val="en-US"/>
        </w:rPr>
        <w:t>31</w:t>
      </w:r>
      <w:r w:rsidRPr="009E0B26">
        <w:rPr>
          <w:rFonts w:ascii="Calibri" w:eastAsia="Times New Roman" w:hAnsi="Calibri" w:cs="Calibri"/>
          <w:lang w:val="en-US"/>
        </w:rPr>
        <w:t xml:space="preserve"> thousand</w:t>
      </w:r>
      <w:r w:rsidRPr="00537128">
        <w:rPr>
          <w:rFonts w:ascii="Calibri" w:eastAsia="Times New Roman" w:hAnsi="Calibri" w:cs="Calibri"/>
          <w:lang w:val="en-US"/>
        </w:rPr>
        <w:t xml:space="preserve"> (31 December 20</w:t>
      </w:r>
      <w:r w:rsidR="002E7785" w:rsidRPr="00537128">
        <w:rPr>
          <w:rFonts w:ascii="Calibri" w:eastAsia="Times New Roman" w:hAnsi="Calibri" w:cs="Calibri"/>
          <w:lang w:val="en-US"/>
        </w:rPr>
        <w:t>2</w:t>
      </w:r>
      <w:r w:rsidR="00506739">
        <w:rPr>
          <w:rFonts w:ascii="Calibri" w:eastAsia="Times New Roman" w:hAnsi="Calibri" w:cs="Calibri"/>
          <w:lang w:val="en-US"/>
        </w:rPr>
        <w:t>1</w:t>
      </w:r>
      <w:r w:rsidRPr="00537128">
        <w:rPr>
          <w:rFonts w:ascii="Calibri" w:eastAsia="Times New Roman" w:hAnsi="Calibri" w:cs="Calibri"/>
          <w:lang w:val="en-US"/>
        </w:rPr>
        <w:t xml:space="preserve">: HRK </w:t>
      </w:r>
      <w:r w:rsidR="002E7785" w:rsidRPr="00537128">
        <w:rPr>
          <w:rFonts w:ascii="Calibri" w:eastAsia="Times New Roman" w:hAnsi="Calibri" w:cs="Calibri"/>
          <w:lang w:val="en-US"/>
        </w:rPr>
        <w:t>31</w:t>
      </w:r>
      <w:r w:rsidRPr="00537128">
        <w:rPr>
          <w:rFonts w:ascii="Calibri" w:eastAsia="Times New Roman" w:hAnsi="Calibri" w:cs="Calibri"/>
          <w:lang w:val="en-US"/>
        </w:rPr>
        <w:t xml:space="preserve"> thousand) (0.03% portion) relate to the shares of the company Helios Faros </w:t>
      </w:r>
      <w:proofErr w:type="spellStart"/>
      <w:r w:rsidRPr="00537128">
        <w:rPr>
          <w:rFonts w:ascii="Calibri" w:eastAsia="Times New Roman" w:hAnsi="Calibri" w:cs="Calibri"/>
          <w:lang w:val="en-US"/>
        </w:rPr>
        <w:t>d.d.</w:t>
      </w:r>
      <w:proofErr w:type="spellEnd"/>
      <w:r w:rsidRPr="00537128">
        <w:rPr>
          <w:rFonts w:ascii="Calibri" w:eastAsia="Times New Roman" w:hAnsi="Calibri" w:cs="Calibri"/>
          <w:lang w:val="en-US"/>
        </w:rPr>
        <w:t>, in bankruptcy, acquired by HBOR in substitution for a portion of receivables by accepting the company’s bankruptcy restructuring plan.</w:t>
      </w:r>
    </w:p>
    <w:p w14:paraId="0FC3346D" w14:textId="77777777" w:rsidR="00D873D7" w:rsidRPr="00537128" w:rsidRDefault="00D873D7" w:rsidP="00D873D7">
      <w:pPr>
        <w:spacing w:after="0" w:line="240" w:lineRule="auto"/>
        <w:jc w:val="both"/>
        <w:rPr>
          <w:rFonts w:ascii="Calibri" w:eastAsia="Times New Roman" w:hAnsi="Calibri" w:cs="Calibri"/>
          <w:sz w:val="18"/>
          <w:szCs w:val="18"/>
          <w:highlight w:val="yellow"/>
          <w:lang w:val="en-US"/>
        </w:rPr>
      </w:pPr>
    </w:p>
    <w:p w14:paraId="4EBEF504" w14:textId="02D91C3B" w:rsidR="00D873D7" w:rsidRPr="00537128" w:rsidRDefault="00D873D7" w:rsidP="00D873D7">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 xml:space="preserve">Non-listed equity securities in the amount of </w:t>
      </w:r>
      <w:r w:rsidRPr="009E0B26">
        <w:rPr>
          <w:rFonts w:ascii="Calibri" w:eastAsia="Times New Roman" w:hAnsi="Calibri" w:cs="Times New Roman"/>
          <w:lang w:val="en-US"/>
        </w:rPr>
        <w:t xml:space="preserve">HRK </w:t>
      </w:r>
      <w:r w:rsidRPr="00266377">
        <w:rPr>
          <w:rFonts w:ascii="Calibri" w:eastAsia="Times New Roman" w:hAnsi="Calibri" w:cs="Times New Roman"/>
          <w:lang w:val="en-US"/>
        </w:rPr>
        <w:t>3</w:t>
      </w:r>
      <w:r w:rsidR="00E10DEE" w:rsidRPr="00266377">
        <w:rPr>
          <w:rFonts w:ascii="Calibri" w:eastAsia="Times New Roman" w:hAnsi="Calibri" w:cs="Times New Roman"/>
          <w:lang w:val="en-US"/>
        </w:rPr>
        <w:t>20</w:t>
      </w:r>
      <w:r w:rsidRPr="00266377">
        <w:rPr>
          <w:rFonts w:ascii="Calibri" w:eastAsia="Times New Roman" w:hAnsi="Calibri" w:cs="Times New Roman"/>
          <w:lang w:val="en-US"/>
        </w:rPr>
        <w:t xml:space="preserve"> t</w:t>
      </w:r>
      <w:r w:rsidRPr="009E0B26">
        <w:rPr>
          <w:rFonts w:ascii="Calibri" w:eastAsia="Times New Roman" w:hAnsi="Calibri" w:cs="Times New Roman"/>
          <w:lang w:val="en-US"/>
        </w:rPr>
        <w:t>housand</w:t>
      </w:r>
      <w:r w:rsidRPr="00537128">
        <w:rPr>
          <w:rFonts w:ascii="Calibri" w:eastAsia="Times New Roman" w:hAnsi="Calibri" w:cs="Times New Roman"/>
          <w:lang w:val="en-US"/>
        </w:rPr>
        <w:t xml:space="preserve"> (31 December 20</w:t>
      </w:r>
      <w:r w:rsidR="002E7785" w:rsidRPr="00537128">
        <w:rPr>
          <w:rFonts w:ascii="Calibri" w:eastAsia="Times New Roman" w:hAnsi="Calibri" w:cs="Times New Roman"/>
          <w:lang w:val="en-US"/>
        </w:rPr>
        <w:t>2</w:t>
      </w:r>
      <w:r w:rsidR="00266377">
        <w:rPr>
          <w:rFonts w:ascii="Calibri" w:eastAsia="Times New Roman" w:hAnsi="Calibri" w:cs="Times New Roman"/>
          <w:lang w:val="en-US"/>
        </w:rPr>
        <w:t>1</w:t>
      </w:r>
      <w:r w:rsidRPr="00537128">
        <w:rPr>
          <w:rFonts w:ascii="Calibri" w:eastAsia="Times New Roman" w:hAnsi="Calibri" w:cs="Times New Roman"/>
          <w:lang w:val="en-US"/>
        </w:rPr>
        <w:t xml:space="preserve">: HRK </w:t>
      </w:r>
      <w:r w:rsidR="002E7785" w:rsidRPr="00537128">
        <w:rPr>
          <w:rFonts w:ascii="Calibri" w:eastAsia="Times New Roman" w:hAnsi="Calibri" w:cs="Times New Roman"/>
          <w:lang w:val="en-US"/>
        </w:rPr>
        <w:t>31</w:t>
      </w:r>
      <w:r w:rsidR="00266377">
        <w:rPr>
          <w:rFonts w:ascii="Calibri" w:eastAsia="Times New Roman" w:hAnsi="Calibri" w:cs="Times New Roman"/>
          <w:lang w:val="en-US"/>
        </w:rPr>
        <w:t>8</w:t>
      </w:r>
      <w:r w:rsidRPr="00537128">
        <w:rPr>
          <w:rFonts w:ascii="Calibri" w:eastAsia="Times New Roman" w:hAnsi="Calibri" w:cs="Times New Roman"/>
          <w:lang w:val="en-US"/>
        </w:rPr>
        <w:t xml:space="preserve"> thousand) relate to depository receipts (DR) of the </w:t>
      </w:r>
      <w:proofErr w:type="spellStart"/>
      <w:r w:rsidRPr="00537128">
        <w:rPr>
          <w:rFonts w:ascii="Calibri" w:eastAsia="Times New Roman" w:hAnsi="Calibri" w:cs="Times New Roman"/>
          <w:lang w:val="en-US"/>
        </w:rPr>
        <w:t>Fortenova</w:t>
      </w:r>
      <w:proofErr w:type="spellEnd"/>
      <w:r w:rsidRPr="00537128">
        <w:rPr>
          <w:rFonts w:ascii="Calibri" w:eastAsia="Times New Roman" w:hAnsi="Calibri" w:cs="Times New Roman"/>
          <w:lang w:val="en-US"/>
        </w:rPr>
        <w:t xml:space="preserve"> Group STAK </w:t>
      </w:r>
      <w:proofErr w:type="spellStart"/>
      <w:r w:rsidRPr="00537128">
        <w:rPr>
          <w:rFonts w:ascii="Calibri" w:eastAsia="Times New Roman" w:hAnsi="Calibri" w:cs="Times New Roman"/>
          <w:lang w:val="en-US"/>
        </w:rPr>
        <w:t>Stichting</w:t>
      </w:r>
      <w:proofErr w:type="spellEnd"/>
      <w:r w:rsidRPr="00537128">
        <w:rPr>
          <w:rFonts w:ascii="Calibri" w:eastAsia="Times New Roman" w:hAnsi="Calibri" w:cs="Times New Roman"/>
          <w:lang w:val="en-US"/>
        </w:rPr>
        <w:t xml:space="preserve"> taken over through the Settlement under the Extraordinary Administration Proceedings against the company </w:t>
      </w:r>
      <w:proofErr w:type="spellStart"/>
      <w:r w:rsidRPr="00537128">
        <w:rPr>
          <w:rFonts w:ascii="Calibri" w:eastAsia="Times New Roman" w:hAnsi="Calibri" w:cs="Times New Roman"/>
          <w:lang w:val="en-US"/>
        </w:rPr>
        <w:t>Agrokor</w:t>
      </w:r>
      <w:proofErr w:type="spellEnd"/>
      <w:r w:rsidRPr="00537128">
        <w:rPr>
          <w:rFonts w:ascii="Calibri" w:eastAsia="Times New Roman" w:hAnsi="Calibri" w:cs="Times New Roman"/>
          <w:lang w:val="en-US"/>
        </w:rPr>
        <w:t xml:space="preserve"> </w:t>
      </w:r>
      <w:proofErr w:type="spellStart"/>
      <w:r w:rsidRPr="00537128">
        <w:rPr>
          <w:rFonts w:ascii="Calibri" w:eastAsia="Times New Roman" w:hAnsi="Calibri" w:cs="Times New Roman"/>
          <w:lang w:val="en-US"/>
        </w:rPr>
        <w:t>d.d.</w:t>
      </w:r>
      <w:proofErr w:type="spellEnd"/>
      <w:r w:rsidRPr="00537128">
        <w:rPr>
          <w:rFonts w:ascii="Calibri" w:eastAsia="Times New Roman" w:hAnsi="Calibri" w:cs="Times New Roman"/>
          <w:lang w:val="en-US"/>
        </w:rPr>
        <w:t xml:space="preserve"> et al.</w:t>
      </w:r>
    </w:p>
    <w:bookmarkEnd w:id="396"/>
    <w:p w14:paraId="0ECA75DE" w14:textId="77777777" w:rsidR="00D873D7" w:rsidRPr="00537128" w:rsidRDefault="00D873D7" w:rsidP="00D873D7">
      <w:pPr>
        <w:tabs>
          <w:tab w:val="left" w:pos="-720"/>
          <w:tab w:val="left" w:pos="567"/>
        </w:tabs>
        <w:spacing w:after="0" w:line="240" w:lineRule="auto"/>
        <w:jc w:val="both"/>
        <w:rPr>
          <w:rFonts w:ascii="Calibri" w:eastAsia="Calibri" w:hAnsi="Calibri" w:cs="Calibri"/>
          <w:sz w:val="18"/>
          <w:szCs w:val="18"/>
          <w:lang w:val="en-US"/>
        </w:rPr>
      </w:pPr>
    </w:p>
    <w:p w14:paraId="67B4DA15" w14:textId="77777777" w:rsidR="00436A23" w:rsidRPr="00537128" w:rsidRDefault="00436A23" w:rsidP="00436A23">
      <w:pPr>
        <w:autoSpaceDE w:val="0"/>
        <w:autoSpaceDN w:val="0"/>
        <w:adjustRightInd w:val="0"/>
        <w:spacing w:after="0" w:line="240" w:lineRule="auto"/>
        <w:jc w:val="both"/>
        <w:rPr>
          <w:noProof/>
          <w:color w:val="000000" w:themeColor="text1"/>
          <w:lang w:val="en-US"/>
        </w:rPr>
        <w:sectPr w:rsidR="00436A23" w:rsidRPr="00537128">
          <w:pgSz w:w="11906" w:h="16838"/>
          <w:pgMar w:top="1417" w:right="1417" w:bottom="1417" w:left="1417" w:header="708" w:footer="708" w:gutter="0"/>
          <w:cols w:space="708"/>
          <w:docGrid w:linePitch="360"/>
        </w:sectPr>
      </w:pPr>
    </w:p>
    <w:p w14:paraId="201F415B" w14:textId="77777777" w:rsidR="00436A23" w:rsidRPr="00A1123E" w:rsidRDefault="00436A23" w:rsidP="00436A23">
      <w:pPr>
        <w:autoSpaceDE w:val="0"/>
        <w:autoSpaceDN w:val="0"/>
        <w:adjustRightInd w:val="0"/>
        <w:spacing w:after="0" w:line="240" w:lineRule="auto"/>
        <w:jc w:val="both"/>
        <w:rPr>
          <w:noProof/>
          <w:color w:val="000000" w:themeColor="text1"/>
          <w:sz w:val="18"/>
          <w:szCs w:val="18"/>
          <w:lang w:val="en-US"/>
        </w:rPr>
      </w:pPr>
      <w:bookmarkStart w:id="397" w:name="_Hlk36813510"/>
    </w:p>
    <w:p w14:paraId="6A1AFED9" w14:textId="77777777" w:rsidR="00436A23" w:rsidRPr="00537128" w:rsidRDefault="00436A23" w:rsidP="005B7D9D">
      <w:pPr>
        <w:pStyle w:val="ListParagraph"/>
        <w:numPr>
          <w:ilvl w:val="0"/>
          <w:numId w:val="14"/>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Financial assets at fair value through other comprehensive income</w:t>
      </w:r>
    </w:p>
    <w:bookmarkEnd w:id="397"/>
    <w:p w14:paraId="28AFACEA" w14:textId="77777777" w:rsidR="007E6CE7" w:rsidRPr="00537128" w:rsidRDefault="007E6CE7" w:rsidP="007E6CE7">
      <w:pPr>
        <w:autoSpaceDE w:val="0"/>
        <w:autoSpaceDN w:val="0"/>
        <w:adjustRightInd w:val="0"/>
        <w:spacing w:after="0" w:line="240" w:lineRule="auto"/>
        <w:jc w:val="both"/>
        <w:rPr>
          <w:b/>
          <w:noProof/>
          <w:color w:val="000000" w:themeColor="text1"/>
          <w:sz w:val="10"/>
          <w:lang w:val="en-US"/>
        </w:rPr>
      </w:pPr>
    </w:p>
    <w:tbl>
      <w:tblPr>
        <w:tblpPr w:leftFromText="180" w:rightFromText="180" w:vertAnchor="text" w:horzAnchor="margin" w:tblpXSpec="center" w:tblpY="134"/>
        <w:tblW w:w="5071" w:type="pct"/>
        <w:tblLayout w:type="fixed"/>
        <w:tblCellMar>
          <w:left w:w="122" w:type="dxa"/>
          <w:right w:w="122" w:type="dxa"/>
        </w:tblCellMar>
        <w:tblLook w:val="0000" w:firstRow="0" w:lastRow="0" w:firstColumn="0" w:lastColumn="0" w:noHBand="0" w:noVBand="0"/>
      </w:tblPr>
      <w:tblGrid>
        <w:gridCol w:w="3627"/>
        <w:gridCol w:w="1393"/>
        <w:gridCol w:w="1395"/>
        <w:gridCol w:w="1393"/>
        <w:gridCol w:w="1393"/>
      </w:tblGrid>
      <w:tr w:rsidR="002E7785" w:rsidRPr="00537128" w14:paraId="11B9DA3A" w14:textId="77777777" w:rsidTr="002E7785">
        <w:trPr>
          <w:trHeight w:hRule="exact" w:val="211"/>
        </w:trPr>
        <w:tc>
          <w:tcPr>
            <w:tcW w:w="1971" w:type="pct"/>
          </w:tcPr>
          <w:p w14:paraId="5C33347C" w14:textId="77777777" w:rsidR="002E7785" w:rsidRPr="00537128" w:rsidRDefault="002E7785" w:rsidP="002E7785">
            <w:pPr>
              <w:tabs>
                <w:tab w:val="right" w:pos="1202"/>
              </w:tabs>
              <w:spacing w:after="0" w:line="260" w:lineRule="exact"/>
              <w:outlineLvl w:val="0"/>
              <w:rPr>
                <w:rFonts w:ascii="Calibri" w:eastAsia="Times New Roman" w:hAnsi="Calibri" w:cs="Arial"/>
                <w:b/>
                <w:spacing w:val="-2"/>
                <w:sz w:val="19"/>
                <w:szCs w:val="19"/>
                <w:lang w:val="en-US"/>
              </w:rPr>
            </w:pPr>
          </w:p>
        </w:tc>
        <w:tc>
          <w:tcPr>
            <w:tcW w:w="1515" w:type="pct"/>
            <w:gridSpan w:val="2"/>
          </w:tcPr>
          <w:p w14:paraId="33716792" w14:textId="77777777" w:rsidR="002E7785" w:rsidRPr="00537128" w:rsidRDefault="002E7785" w:rsidP="002E7785">
            <w:pPr>
              <w:tabs>
                <w:tab w:val="right" w:pos="1202"/>
              </w:tabs>
              <w:spacing w:after="0" w:line="260" w:lineRule="exact"/>
              <w:jc w:val="right"/>
              <w:outlineLvl w:val="0"/>
              <w:rPr>
                <w:rFonts w:ascii="Calibri" w:eastAsia="Times New Roman" w:hAnsi="Calibri" w:cs="Arial"/>
                <w:b/>
                <w:sz w:val="19"/>
                <w:szCs w:val="19"/>
                <w:lang w:val="en-US"/>
              </w:rPr>
            </w:pPr>
            <w:bookmarkStart w:id="398" w:name="_Toc4058773"/>
            <w:r w:rsidRPr="00537128">
              <w:rPr>
                <w:rFonts w:ascii="Calibri" w:eastAsia="Calibri" w:hAnsi="Calibri" w:cs="Times New Roman"/>
                <w:b/>
                <w:sz w:val="19"/>
                <w:szCs w:val="19"/>
                <w:lang w:val="en-US"/>
              </w:rPr>
              <w:t>Group</w:t>
            </w:r>
            <w:bookmarkEnd w:id="398"/>
          </w:p>
        </w:tc>
        <w:tc>
          <w:tcPr>
            <w:tcW w:w="1514" w:type="pct"/>
            <w:gridSpan w:val="2"/>
          </w:tcPr>
          <w:p w14:paraId="209F1373" w14:textId="77777777" w:rsidR="002E7785" w:rsidRPr="00537128" w:rsidRDefault="002E7785" w:rsidP="002E7785">
            <w:pPr>
              <w:tabs>
                <w:tab w:val="right" w:pos="1202"/>
              </w:tabs>
              <w:spacing w:after="0" w:line="260" w:lineRule="exact"/>
              <w:jc w:val="right"/>
              <w:outlineLvl w:val="0"/>
              <w:rPr>
                <w:rFonts w:ascii="Calibri" w:eastAsia="Times New Roman" w:hAnsi="Calibri" w:cs="Arial"/>
                <w:b/>
                <w:sz w:val="19"/>
                <w:szCs w:val="19"/>
                <w:lang w:val="en-US"/>
              </w:rPr>
            </w:pPr>
            <w:bookmarkStart w:id="399" w:name="_Toc4058774"/>
            <w:r w:rsidRPr="00537128">
              <w:rPr>
                <w:rFonts w:ascii="Calibri" w:eastAsia="Calibri" w:hAnsi="Calibri" w:cs="Times New Roman"/>
                <w:b/>
                <w:sz w:val="19"/>
                <w:szCs w:val="19"/>
                <w:lang w:val="en-US"/>
              </w:rPr>
              <w:t>Bank</w:t>
            </w:r>
            <w:bookmarkEnd w:id="399"/>
          </w:p>
        </w:tc>
      </w:tr>
      <w:tr w:rsidR="002E7785" w:rsidRPr="00537128" w14:paraId="7C1E8CC7" w14:textId="77777777" w:rsidTr="002E7785">
        <w:trPr>
          <w:trHeight w:hRule="exact" w:val="500"/>
        </w:trPr>
        <w:tc>
          <w:tcPr>
            <w:tcW w:w="1971" w:type="pct"/>
          </w:tcPr>
          <w:p w14:paraId="21F5A66F" w14:textId="77777777" w:rsidR="002E7785" w:rsidRPr="00537128" w:rsidRDefault="002E7785" w:rsidP="002E7785">
            <w:pPr>
              <w:tabs>
                <w:tab w:val="right" w:pos="1202"/>
              </w:tabs>
              <w:spacing w:after="0" w:line="260" w:lineRule="exact"/>
              <w:outlineLvl w:val="0"/>
              <w:rPr>
                <w:rFonts w:ascii="Calibri" w:eastAsia="Times New Roman" w:hAnsi="Calibri" w:cs="Arial"/>
                <w:b/>
                <w:spacing w:val="-2"/>
                <w:sz w:val="19"/>
                <w:szCs w:val="19"/>
                <w:lang w:val="en-US"/>
              </w:rPr>
            </w:pPr>
          </w:p>
        </w:tc>
        <w:tc>
          <w:tcPr>
            <w:tcW w:w="757" w:type="pct"/>
            <w:vAlign w:val="center"/>
          </w:tcPr>
          <w:p w14:paraId="67FEAF1D" w14:textId="52158D43" w:rsidR="002E7785" w:rsidRPr="00537128" w:rsidRDefault="002E7785" w:rsidP="002E7785">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Calibri" w:hAnsi="Calibri" w:cs="Calibri"/>
                <w:b/>
                <w:bCs/>
                <w:sz w:val="19"/>
                <w:szCs w:val="19"/>
                <w:lang w:val="en-US"/>
              </w:rPr>
              <w:t>31 March 202</w:t>
            </w:r>
            <w:r w:rsidR="00F74890">
              <w:rPr>
                <w:rFonts w:ascii="Calibri" w:eastAsia="Calibri" w:hAnsi="Calibri" w:cs="Calibri"/>
                <w:b/>
                <w:bCs/>
                <w:sz w:val="19"/>
                <w:szCs w:val="19"/>
                <w:lang w:val="en-US"/>
              </w:rPr>
              <w:t>2</w:t>
            </w:r>
          </w:p>
        </w:tc>
        <w:tc>
          <w:tcPr>
            <w:tcW w:w="758" w:type="pct"/>
            <w:vAlign w:val="center"/>
          </w:tcPr>
          <w:p w14:paraId="3090CD9E" w14:textId="6AC21708" w:rsidR="002E7785" w:rsidRPr="00537128" w:rsidRDefault="002E7785" w:rsidP="002E7785">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Calibri" w:hAnsi="Calibri" w:cs="Calibri"/>
                <w:b/>
                <w:bCs/>
                <w:sz w:val="19"/>
                <w:szCs w:val="19"/>
                <w:lang w:val="en-US"/>
              </w:rPr>
              <w:t>31 December 202</w:t>
            </w:r>
            <w:r w:rsidR="00F74890">
              <w:rPr>
                <w:rFonts w:ascii="Calibri" w:eastAsia="Calibri" w:hAnsi="Calibri" w:cs="Calibri"/>
                <w:b/>
                <w:bCs/>
                <w:sz w:val="19"/>
                <w:szCs w:val="19"/>
                <w:lang w:val="en-US"/>
              </w:rPr>
              <w:t>1</w:t>
            </w:r>
          </w:p>
        </w:tc>
        <w:tc>
          <w:tcPr>
            <w:tcW w:w="757" w:type="pct"/>
            <w:vAlign w:val="center"/>
          </w:tcPr>
          <w:p w14:paraId="3E2CF752" w14:textId="4E227CC3" w:rsidR="002E7785" w:rsidRPr="00537128" w:rsidRDefault="002E7785" w:rsidP="002E7785">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Calibri" w:hAnsi="Calibri" w:cs="Calibri"/>
                <w:b/>
                <w:bCs/>
                <w:sz w:val="19"/>
                <w:szCs w:val="19"/>
                <w:lang w:val="en-US"/>
              </w:rPr>
              <w:t>31 March 202</w:t>
            </w:r>
            <w:r w:rsidR="00F74890">
              <w:rPr>
                <w:rFonts w:ascii="Calibri" w:eastAsia="Calibri" w:hAnsi="Calibri" w:cs="Calibri"/>
                <w:b/>
                <w:bCs/>
                <w:sz w:val="19"/>
                <w:szCs w:val="19"/>
                <w:lang w:val="en-US"/>
              </w:rPr>
              <w:t>2</w:t>
            </w:r>
          </w:p>
        </w:tc>
        <w:tc>
          <w:tcPr>
            <w:tcW w:w="757" w:type="pct"/>
            <w:shd w:val="clear" w:color="auto" w:fill="auto"/>
            <w:vAlign w:val="center"/>
          </w:tcPr>
          <w:p w14:paraId="5E18E538" w14:textId="0AAF4B67" w:rsidR="002E7785" w:rsidRPr="00537128" w:rsidRDefault="002E7785" w:rsidP="002E7785">
            <w:pPr>
              <w:tabs>
                <w:tab w:val="right" w:pos="1202"/>
              </w:tabs>
              <w:spacing w:after="0" w:line="260" w:lineRule="exact"/>
              <w:jc w:val="right"/>
              <w:outlineLvl w:val="0"/>
              <w:rPr>
                <w:rFonts w:ascii="Calibri" w:eastAsia="Times New Roman" w:hAnsi="Calibri" w:cs="Arial"/>
                <w:sz w:val="19"/>
                <w:szCs w:val="19"/>
                <w:lang w:val="en-US"/>
              </w:rPr>
            </w:pPr>
            <w:bookmarkStart w:id="400" w:name="_Toc4058777"/>
            <w:r w:rsidRPr="00537128">
              <w:rPr>
                <w:rFonts w:ascii="Calibri" w:eastAsia="Calibri" w:hAnsi="Calibri" w:cs="Calibri"/>
                <w:b/>
                <w:bCs/>
                <w:sz w:val="19"/>
                <w:szCs w:val="19"/>
                <w:lang w:val="en-US"/>
              </w:rPr>
              <w:t xml:space="preserve">31 December </w:t>
            </w:r>
            <w:bookmarkEnd w:id="400"/>
            <w:r w:rsidRPr="00537128">
              <w:rPr>
                <w:rFonts w:ascii="Calibri" w:eastAsia="Calibri" w:hAnsi="Calibri" w:cs="Calibri"/>
                <w:b/>
                <w:bCs/>
                <w:sz w:val="19"/>
                <w:szCs w:val="19"/>
                <w:lang w:val="en-US"/>
              </w:rPr>
              <w:t>202</w:t>
            </w:r>
            <w:r w:rsidR="00F74890">
              <w:rPr>
                <w:rFonts w:ascii="Calibri" w:eastAsia="Calibri" w:hAnsi="Calibri" w:cs="Calibri"/>
                <w:b/>
                <w:bCs/>
                <w:sz w:val="19"/>
                <w:szCs w:val="19"/>
                <w:lang w:val="en-US"/>
              </w:rPr>
              <w:t>1</w:t>
            </w:r>
          </w:p>
        </w:tc>
      </w:tr>
      <w:tr w:rsidR="002E7785" w:rsidRPr="00537128" w14:paraId="2C354816" w14:textId="77777777" w:rsidTr="002E7785">
        <w:trPr>
          <w:trHeight w:hRule="exact" w:val="286"/>
        </w:trPr>
        <w:tc>
          <w:tcPr>
            <w:tcW w:w="1971" w:type="pct"/>
          </w:tcPr>
          <w:p w14:paraId="3B0B9CAA" w14:textId="77777777" w:rsidR="002E7785" w:rsidRPr="00537128" w:rsidRDefault="002E7785" w:rsidP="002E7785">
            <w:pPr>
              <w:tabs>
                <w:tab w:val="right" w:pos="1202"/>
              </w:tabs>
              <w:spacing w:after="0" w:line="260" w:lineRule="exact"/>
              <w:outlineLvl w:val="0"/>
              <w:rPr>
                <w:rFonts w:ascii="Calibri" w:eastAsia="Times New Roman" w:hAnsi="Calibri" w:cs="Arial"/>
                <w:b/>
                <w:spacing w:val="-2"/>
                <w:sz w:val="19"/>
                <w:szCs w:val="19"/>
                <w:lang w:val="en-US"/>
              </w:rPr>
            </w:pPr>
          </w:p>
        </w:tc>
        <w:tc>
          <w:tcPr>
            <w:tcW w:w="757" w:type="pct"/>
            <w:vAlign w:val="center"/>
          </w:tcPr>
          <w:p w14:paraId="4785EEAA" w14:textId="77777777" w:rsidR="002E7785" w:rsidRPr="00537128" w:rsidRDefault="002E7785" w:rsidP="002E7785">
            <w:pPr>
              <w:tabs>
                <w:tab w:val="right" w:pos="1202"/>
              </w:tabs>
              <w:spacing w:after="0" w:line="260" w:lineRule="exact"/>
              <w:jc w:val="right"/>
              <w:outlineLvl w:val="0"/>
              <w:rPr>
                <w:rFonts w:ascii="Calibri" w:eastAsia="Times New Roman" w:hAnsi="Calibri" w:cs="Arial"/>
                <w:sz w:val="19"/>
                <w:szCs w:val="19"/>
                <w:lang w:val="en-US"/>
              </w:rPr>
            </w:pPr>
            <w:bookmarkStart w:id="401" w:name="_Toc4058779"/>
            <w:r w:rsidRPr="00537128">
              <w:rPr>
                <w:rFonts w:ascii="Calibri" w:eastAsia="Times New Roman" w:hAnsi="Calibri" w:cs="Arial"/>
                <w:b/>
                <w:bCs/>
                <w:sz w:val="19"/>
                <w:szCs w:val="19"/>
                <w:lang w:val="en-US"/>
              </w:rPr>
              <w:t>HRK ‘000</w:t>
            </w:r>
            <w:bookmarkEnd w:id="401"/>
          </w:p>
        </w:tc>
        <w:tc>
          <w:tcPr>
            <w:tcW w:w="758" w:type="pct"/>
            <w:vAlign w:val="center"/>
          </w:tcPr>
          <w:p w14:paraId="7821BF7A" w14:textId="6C207678" w:rsidR="002E7785" w:rsidRPr="00537128" w:rsidRDefault="002E7785" w:rsidP="002E7785">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Arial"/>
                <w:b/>
                <w:bCs/>
                <w:sz w:val="19"/>
                <w:szCs w:val="19"/>
                <w:lang w:val="en-US"/>
              </w:rPr>
              <w:t>HRK ‘000</w:t>
            </w:r>
          </w:p>
        </w:tc>
        <w:tc>
          <w:tcPr>
            <w:tcW w:w="757" w:type="pct"/>
            <w:vAlign w:val="center"/>
          </w:tcPr>
          <w:p w14:paraId="41BBB5B7" w14:textId="7281E115" w:rsidR="002E7785" w:rsidRPr="00537128" w:rsidRDefault="002E7785" w:rsidP="002E7785">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Arial"/>
                <w:b/>
                <w:bCs/>
                <w:sz w:val="19"/>
                <w:szCs w:val="19"/>
                <w:lang w:val="en-US"/>
              </w:rPr>
              <w:t>HRK ‘000</w:t>
            </w:r>
          </w:p>
        </w:tc>
        <w:tc>
          <w:tcPr>
            <w:tcW w:w="757" w:type="pct"/>
            <w:vAlign w:val="center"/>
          </w:tcPr>
          <w:p w14:paraId="5936F3D6" w14:textId="01DEB1BC" w:rsidR="002E7785" w:rsidRPr="00537128" w:rsidRDefault="002E7785" w:rsidP="002E7785">
            <w:pPr>
              <w:tabs>
                <w:tab w:val="right" w:pos="1202"/>
              </w:tabs>
              <w:spacing w:after="0" w:line="260" w:lineRule="exact"/>
              <w:jc w:val="right"/>
              <w:outlineLvl w:val="0"/>
              <w:rPr>
                <w:rFonts w:ascii="Calibri" w:eastAsia="Times New Roman" w:hAnsi="Calibri" w:cs="Arial"/>
                <w:sz w:val="19"/>
                <w:szCs w:val="19"/>
                <w:lang w:val="en-US"/>
              </w:rPr>
            </w:pPr>
            <w:bookmarkStart w:id="402" w:name="_Toc4058781"/>
            <w:r w:rsidRPr="00537128">
              <w:rPr>
                <w:rFonts w:ascii="Calibri" w:eastAsia="Times New Roman" w:hAnsi="Calibri" w:cs="Arial"/>
                <w:b/>
                <w:sz w:val="19"/>
                <w:szCs w:val="19"/>
                <w:lang w:val="en-US"/>
              </w:rPr>
              <w:t>HRK ‘000</w:t>
            </w:r>
            <w:bookmarkEnd w:id="402"/>
          </w:p>
        </w:tc>
      </w:tr>
      <w:tr w:rsidR="002E7785" w:rsidRPr="00537128" w14:paraId="35CA7520" w14:textId="77777777" w:rsidTr="002E7785">
        <w:trPr>
          <w:trHeight w:val="275"/>
        </w:trPr>
        <w:tc>
          <w:tcPr>
            <w:tcW w:w="1971" w:type="pct"/>
          </w:tcPr>
          <w:p w14:paraId="131B4AB0" w14:textId="77777777" w:rsidR="002E7785" w:rsidRPr="00537128" w:rsidRDefault="002E7785" w:rsidP="002E7785">
            <w:pPr>
              <w:tabs>
                <w:tab w:val="right" w:pos="1202"/>
              </w:tabs>
              <w:spacing w:after="0" w:line="260" w:lineRule="exact"/>
              <w:outlineLvl w:val="0"/>
              <w:rPr>
                <w:rFonts w:ascii="Calibri" w:eastAsia="Times New Roman" w:hAnsi="Calibri" w:cs="Arial"/>
                <w:b/>
                <w:i/>
                <w:spacing w:val="-2"/>
                <w:sz w:val="19"/>
                <w:szCs w:val="19"/>
                <w:lang w:val="en-US"/>
              </w:rPr>
            </w:pPr>
            <w:bookmarkStart w:id="403" w:name="_Toc4058783"/>
            <w:r w:rsidRPr="00537128">
              <w:rPr>
                <w:rFonts w:ascii="Calibri" w:eastAsia="Times New Roman" w:hAnsi="Calibri" w:cs="Arial"/>
                <w:b/>
                <w:i/>
                <w:spacing w:val="-2"/>
                <w:sz w:val="19"/>
                <w:szCs w:val="19"/>
                <w:lang w:val="en-US"/>
              </w:rPr>
              <w:t>Debt instruments:</w:t>
            </w:r>
            <w:bookmarkEnd w:id="403"/>
          </w:p>
        </w:tc>
        <w:tc>
          <w:tcPr>
            <w:tcW w:w="757" w:type="pct"/>
          </w:tcPr>
          <w:p w14:paraId="190CFB7C" w14:textId="77777777" w:rsidR="002E7785" w:rsidRPr="00537128" w:rsidRDefault="002E7785" w:rsidP="002E7785">
            <w:pPr>
              <w:tabs>
                <w:tab w:val="right" w:pos="1202"/>
              </w:tabs>
              <w:spacing w:after="0" w:line="260" w:lineRule="exact"/>
              <w:jc w:val="right"/>
              <w:outlineLvl w:val="0"/>
              <w:rPr>
                <w:rFonts w:ascii="Calibri" w:eastAsia="Times New Roman" w:hAnsi="Calibri" w:cs="Arial"/>
                <w:b/>
                <w:bCs/>
                <w:sz w:val="19"/>
                <w:szCs w:val="19"/>
                <w:lang w:val="en-US"/>
              </w:rPr>
            </w:pPr>
          </w:p>
        </w:tc>
        <w:tc>
          <w:tcPr>
            <w:tcW w:w="758" w:type="pct"/>
          </w:tcPr>
          <w:p w14:paraId="22188AB5" w14:textId="77777777" w:rsidR="002E7785" w:rsidRPr="00537128" w:rsidRDefault="002E7785" w:rsidP="002E7785">
            <w:pPr>
              <w:tabs>
                <w:tab w:val="right" w:pos="1202"/>
              </w:tabs>
              <w:spacing w:after="0" w:line="260" w:lineRule="exact"/>
              <w:jc w:val="right"/>
              <w:outlineLvl w:val="0"/>
              <w:rPr>
                <w:rFonts w:ascii="Calibri" w:eastAsia="Times New Roman" w:hAnsi="Calibri" w:cs="Arial"/>
                <w:b/>
                <w:sz w:val="19"/>
                <w:szCs w:val="19"/>
                <w:lang w:val="en-US"/>
              </w:rPr>
            </w:pPr>
          </w:p>
        </w:tc>
        <w:tc>
          <w:tcPr>
            <w:tcW w:w="757" w:type="pct"/>
          </w:tcPr>
          <w:p w14:paraId="228E003F" w14:textId="77777777" w:rsidR="002E7785" w:rsidRPr="00537128" w:rsidRDefault="002E7785" w:rsidP="002E7785">
            <w:pPr>
              <w:tabs>
                <w:tab w:val="right" w:pos="1202"/>
              </w:tabs>
              <w:spacing w:after="0" w:line="260" w:lineRule="exact"/>
              <w:jc w:val="right"/>
              <w:outlineLvl w:val="0"/>
              <w:rPr>
                <w:rFonts w:ascii="Calibri" w:eastAsia="Times New Roman" w:hAnsi="Calibri" w:cs="Arial"/>
                <w:b/>
                <w:sz w:val="19"/>
                <w:szCs w:val="19"/>
                <w:lang w:val="en-US"/>
              </w:rPr>
            </w:pPr>
          </w:p>
        </w:tc>
        <w:tc>
          <w:tcPr>
            <w:tcW w:w="757" w:type="pct"/>
          </w:tcPr>
          <w:p w14:paraId="3CAC3718" w14:textId="77777777" w:rsidR="002E7785" w:rsidRPr="00537128" w:rsidRDefault="002E7785" w:rsidP="002E7785">
            <w:pPr>
              <w:tabs>
                <w:tab w:val="right" w:pos="1202"/>
              </w:tabs>
              <w:spacing w:after="0" w:line="260" w:lineRule="exact"/>
              <w:jc w:val="right"/>
              <w:outlineLvl w:val="0"/>
              <w:rPr>
                <w:rFonts w:ascii="Calibri" w:eastAsia="Times New Roman" w:hAnsi="Calibri" w:cs="Arial"/>
                <w:b/>
                <w:sz w:val="19"/>
                <w:szCs w:val="19"/>
                <w:lang w:val="en-US"/>
              </w:rPr>
            </w:pPr>
          </w:p>
        </w:tc>
      </w:tr>
      <w:tr w:rsidR="002E7785" w:rsidRPr="00537128" w14:paraId="5416BAE2" w14:textId="77777777" w:rsidTr="002E7785">
        <w:trPr>
          <w:trHeight w:val="275"/>
        </w:trPr>
        <w:tc>
          <w:tcPr>
            <w:tcW w:w="1971" w:type="pct"/>
          </w:tcPr>
          <w:p w14:paraId="32FC2B8F" w14:textId="77777777" w:rsidR="002E7785" w:rsidRPr="00537128" w:rsidRDefault="002E7785" w:rsidP="002E7785">
            <w:pPr>
              <w:tabs>
                <w:tab w:val="right" w:pos="1202"/>
              </w:tabs>
              <w:spacing w:after="0" w:line="260" w:lineRule="exact"/>
              <w:outlineLvl w:val="0"/>
              <w:rPr>
                <w:rFonts w:ascii="Calibri" w:eastAsia="Times New Roman" w:hAnsi="Calibri" w:cs="Arial"/>
                <w:b/>
                <w:spacing w:val="-2"/>
                <w:sz w:val="19"/>
                <w:szCs w:val="19"/>
                <w:lang w:val="en-US"/>
              </w:rPr>
            </w:pPr>
            <w:bookmarkStart w:id="404" w:name="_Toc4058784"/>
            <w:r w:rsidRPr="00537128">
              <w:rPr>
                <w:rFonts w:ascii="Calibri" w:eastAsia="Calibri" w:hAnsi="Calibri" w:cs="Arial"/>
                <w:b/>
                <w:spacing w:val="-2"/>
                <w:sz w:val="19"/>
                <w:szCs w:val="19"/>
                <w:lang w:val="en-US"/>
              </w:rPr>
              <w:t>Listed debt instruments:</w:t>
            </w:r>
            <w:bookmarkEnd w:id="404"/>
          </w:p>
        </w:tc>
        <w:tc>
          <w:tcPr>
            <w:tcW w:w="757" w:type="pct"/>
          </w:tcPr>
          <w:p w14:paraId="0F1FEC1D" w14:textId="77777777" w:rsidR="002E7785" w:rsidRPr="00537128" w:rsidRDefault="002E7785" w:rsidP="002E7785">
            <w:pPr>
              <w:tabs>
                <w:tab w:val="right" w:pos="1202"/>
              </w:tabs>
              <w:spacing w:after="0" w:line="260" w:lineRule="exact"/>
              <w:jc w:val="right"/>
              <w:outlineLvl w:val="0"/>
              <w:rPr>
                <w:rFonts w:ascii="Calibri" w:eastAsia="Times New Roman" w:hAnsi="Calibri" w:cs="Times New Roman"/>
                <w:sz w:val="19"/>
                <w:szCs w:val="19"/>
                <w:lang w:val="en-US"/>
              </w:rPr>
            </w:pPr>
          </w:p>
        </w:tc>
        <w:tc>
          <w:tcPr>
            <w:tcW w:w="758" w:type="pct"/>
          </w:tcPr>
          <w:p w14:paraId="56B1BBDF" w14:textId="77777777" w:rsidR="002E7785" w:rsidRPr="00537128" w:rsidRDefault="002E7785" w:rsidP="002E7785">
            <w:pPr>
              <w:tabs>
                <w:tab w:val="right" w:pos="1202"/>
              </w:tabs>
              <w:spacing w:after="0" w:line="260" w:lineRule="exact"/>
              <w:jc w:val="right"/>
              <w:outlineLvl w:val="0"/>
              <w:rPr>
                <w:rFonts w:ascii="Calibri" w:eastAsia="Times New Roman" w:hAnsi="Calibri" w:cs="Arial"/>
                <w:sz w:val="19"/>
                <w:szCs w:val="19"/>
                <w:lang w:val="en-US"/>
              </w:rPr>
            </w:pPr>
          </w:p>
        </w:tc>
        <w:tc>
          <w:tcPr>
            <w:tcW w:w="757" w:type="pct"/>
          </w:tcPr>
          <w:p w14:paraId="7B8141B6" w14:textId="77777777" w:rsidR="002E7785" w:rsidRPr="00537128" w:rsidRDefault="002E7785" w:rsidP="002E7785">
            <w:pPr>
              <w:tabs>
                <w:tab w:val="right" w:pos="1202"/>
              </w:tabs>
              <w:spacing w:after="0" w:line="260" w:lineRule="exact"/>
              <w:jc w:val="right"/>
              <w:outlineLvl w:val="0"/>
              <w:rPr>
                <w:rFonts w:ascii="Calibri" w:eastAsia="Times New Roman" w:hAnsi="Calibri" w:cs="Arial"/>
                <w:sz w:val="19"/>
                <w:szCs w:val="19"/>
                <w:lang w:val="en-US"/>
              </w:rPr>
            </w:pPr>
          </w:p>
        </w:tc>
        <w:tc>
          <w:tcPr>
            <w:tcW w:w="757" w:type="pct"/>
          </w:tcPr>
          <w:p w14:paraId="28C2CBF2" w14:textId="77777777" w:rsidR="002E7785" w:rsidRPr="00537128" w:rsidRDefault="002E7785" w:rsidP="002E7785">
            <w:pPr>
              <w:tabs>
                <w:tab w:val="right" w:pos="1202"/>
              </w:tabs>
              <w:spacing w:after="0" w:line="260" w:lineRule="exact"/>
              <w:jc w:val="right"/>
              <w:outlineLvl w:val="0"/>
              <w:rPr>
                <w:rFonts w:ascii="Calibri" w:eastAsia="Times New Roman" w:hAnsi="Calibri" w:cs="Arial"/>
                <w:sz w:val="19"/>
                <w:szCs w:val="19"/>
                <w:lang w:val="en-US"/>
              </w:rPr>
            </w:pPr>
          </w:p>
        </w:tc>
      </w:tr>
      <w:tr w:rsidR="0025353C" w:rsidRPr="00537128" w14:paraId="22C62F76" w14:textId="77777777" w:rsidTr="00745714">
        <w:trPr>
          <w:trHeight w:val="227"/>
        </w:trPr>
        <w:tc>
          <w:tcPr>
            <w:tcW w:w="1971" w:type="pct"/>
            <w:vAlign w:val="center"/>
          </w:tcPr>
          <w:p w14:paraId="070C643F" w14:textId="77777777" w:rsidR="0025353C" w:rsidRPr="00537128" w:rsidRDefault="0025353C" w:rsidP="0025353C">
            <w:pPr>
              <w:tabs>
                <w:tab w:val="right" w:pos="1202"/>
              </w:tabs>
              <w:spacing w:after="0" w:line="260" w:lineRule="exact"/>
              <w:outlineLvl w:val="0"/>
              <w:rPr>
                <w:rFonts w:ascii="Calibri" w:eastAsia="Times New Roman" w:hAnsi="Calibri" w:cs="Arial"/>
                <w:spacing w:val="-2"/>
                <w:sz w:val="19"/>
                <w:szCs w:val="19"/>
                <w:lang w:val="en-US"/>
              </w:rPr>
            </w:pPr>
            <w:bookmarkStart w:id="405" w:name="_Toc4058785"/>
            <w:r w:rsidRPr="00537128">
              <w:rPr>
                <w:rFonts w:ascii="Calibri" w:eastAsia="Times New Roman" w:hAnsi="Calibri" w:cs="Arial"/>
                <w:spacing w:val="-2"/>
                <w:sz w:val="19"/>
                <w:szCs w:val="19"/>
                <w:lang w:val="en-US"/>
              </w:rPr>
              <w:t>Bonds of the Republic of Croatia</w:t>
            </w:r>
            <w:bookmarkEnd w:id="405"/>
          </w:p>
        </w:tc>
        <w:tc>
          <w:tcPr>
            <w:tcW w:w="757" w:type="pct"/>
            <w:tcBorders>
              <w:top w:val="nil"/>
              <w:left w:val="nil"/>
              <w:bottom w:val="nil"/>
              <w:right w:val="nil"/>
            </w:tcBorders>
            <w:shd w:val="clear" w:color="auto" w:fill="auto"/>
          </w:tcPr>
          <w:p w14:paraId="016E66D5" w14:textId="6982BB2A" w:rsidR="0025353C" w:rsidRPr="00537128" w:rsidRDefault="0025353C" w:rsidP="0025353C">
            <w:pPr>
              <w:tabs>
                <w:tab w:val="right" w:pos="1202"/>
              </w:tabs>
              <w:spacing w:after="0" w:line="260" w:lineRule="exact"/>
              <w:jc w:val="right"/>
              <w:outlineLvl w:val="0"/>
              <w:rPr>
                <w:rFonts w:ascii="Calibri" w:eastAsia="Times New Roman" w:hAnsi="Calibri" w:cs="Times New Roman"/>
                <w:sz w:val="19"/>
                <w:szCs w:val="19"/>
                <w:lang w:val="en-US"/>
              </w:rPr>
            </w:pPr>
            <w:r w:rsidRPr="008E5C2B">
              <w:rPr>
                <w:sz w:val="20"/>
                <w:szCs w:val="20"/>
              </w:rPr>
              <w:t xml:space="preserve"> 1</w:t>
            </w:r>
            <w:r w:rsidR="00003367">
              <w:rPr>
                <w:sz w:val="20"/>
                <w:szCs w:val="20"/>
              </w:rPr>
              <w:t>,</w:t>
            </w:r>
            <w:r w:rsidRPr="008E5C2B">
              <w:rPr>
                <w:sz w:val="20"/>
                <w:szCs w:val="20"/>
              </w:rPr>
              <w:t>587</w:t>
            </w:r>
            <w:r w:rsidR="00003367">
              <w:rPr>
                <w:sz w:val="20"/>
                <w:szCs w:val="20"/>
              </w:rPr>
              <w:t>,</w:t>
            </w:r>
            <w:r w:rsidRPr="008E5C2B">
              <w:rPr>
                <w:sz w:val="20"/>
                <w:szCs w:val="20"/>
              </w:rPr>
              <w:t xml:space="preserve">711 </w:t>
            </w:r>
          </w:p>
        </w:tc>
        <w:tc>
          <w:tcPr>
            <w:tcW w:w="758" w:type="pct"/>
            <w:tcBorders>
              <w:top w:val="nil"/>
              <w:left w:val="nil"/>
              <w:bottom w:val="nil"/>
              <w:right w:val="nil"/>
            </w:tcBorders>
            <w:shd w:val="clear" w:color="auto" w:fill="auto"/>
          </w:tcPr>
          <w:p w14:paraId="036BB7B9" w14:textId="360237CA" w:rsidR="0025353C" w:rsidRPr="00537128" w:rsidRDefault="0025353C" w:rsidP="0025353C">
            <w:pPr>
              <w:tabs>
                <w:tab w:val="right" w:pos="1202"/>
              </w:tabs>
              <w:spacing w:after="0" w:line="260" w:lineRule="exact"/>
              <w:jc w:val="right"/>
              <w:outlineLvl w:val="0"/>
              <w:rPr>
                <w:rFonts w:ascii="Calibri" w:eastAsia="Times New Roman" w:hAnsi="Calibri" w:cs="Arial"/>
                <w:sz w:val="19"/>
                <w:szCs w:val="19"/>
                <w:lang w:val="en-US"/>
              </w:rPr>
            </w:pPr>
            <w:r w:rsidRPr="003C7812">
              <w:rPr>
                <w:rFonts w:eastAsia="Calibri" w:cstheme="minorHAnsi"/>
                <w:color w:val="000000" w:themeColor="text1"/>
                <w:sz w:val="20"/>
                <w:szCs w:val="20"/>
              </w:rPr>
              <w:t>1</w:t>
            </w:r>
            <w:r>
              <w:rPr>
                <w:rFonts w:eastAsia="Calibri" w:cstheme="minorHAnsi"/>
                <w:color w:val="000000" w:themeColor="text1"/>
                <w:sz w:val="20"/>
                <w:szCs w:val="20"/>
              </w:rPr>
              <w:t>,</w:t>
            </w:r>
            <w:r w:rsidRPr="003C7812">
              <w:rPr>
                <w:rFonts w:eastAsia="Calibri" w:cstheme="minorHAnsi"/>
                <w:color w:val="000000" w:themeColor="text1"/>
                <w:sz w:val="20"/>
                <w:szCs w:val="20"/>
              </w:rPr>
              <w:t>358</w:t>
            </w:r>
            <w:r>
              <w:rPr>
                <w:rFonts w:eastAsia="Calibri" w:cstheme="minorHAnsi"/>
                <w:color w:val="000000" w:themeColor="text1"/>
                <w:sz w:val="20"/>
                <w:szCs w:val="20"/>
              </w:rPr>
              <w:t>,</w:t>
            </w:r>
            <w:r w:rsidRPr="003C7812">
              <w:rPr>
                <w:rFonts w:eastAsia="Calibri" w:cstheme="minorHAnsi"/>
                <w:color w:val="000000" w:themeColor="text1"/>
                <w:sz w:val="20"/>
                <w:szCs w:val="20"/>
              </w:rPr>
              <w:t>981</w:t>
            </w:r>
          </w:p>
        </w:tc>
        <w:tc>
          <w:tcPr>
            <w:tcW w:w="757" w:type="pct"/>
            <w:tcBorders>
              <w:top w:val="nil"/>
              <w:left w:val="nil"/>
              <w:bottom w:val="nil"/>
              <w:right w:val="nil"/>
            </w:tcBorders>
            <w:shd w:val="clear" w:color="auto" w:fill="auto"/>
            <w:vAlign w:val="bottom"/>
          </w:tcPr>
          <w:p w14:paraId="5673EC7A" w14:textId="30305F3E" w:rsidR="0025353C" w:rsidRPr="00537128" w:rsidRDefault="0025353C" w:rsidP="0025353C">
            <w:pPr>
              <w:tabs>
                <w:tab w:val="right" w:pos="1202"/>
              </w:tabs>
              <w:spacing w:after="0" w:line="260" w:lineRule="exact"/>
              <w:jc w:val="right"/>
              <w:outlineLvl w:val="0"/>
              <w:rPr>
                <w:rFonts w:ascii="Calibri" w:eastAsia="Times New Roman" w:hAnsi="Calibri" w:cs="Calibri"/>
                <w:sz w:val="20"/>
                <w:szCs w:val="20"/>
                <w:lang w:val="en-US"/>
              </w:rPr>
            </w:pPr>
            <w:r>
              <w:rPr>
                <w:rFonts w:ascii="Calibri" w:eastAsia="Calibri" w:hAnsi="Calibri" w:cs="Calibri"/>
                <w:color w:val="000000"/>
                <w:sz w:val="20"/>
                <w:szCs w:val="20"/>
              </w:rPr>
              <w:t>1</w:t>
            </w:r>
            <w:r w:rsidR="00003367">
              <w:rPr>
                <w:rFonts w:ascii="Calibri" w:eastAsia="Calibri" w:hAnsi="Calibri" w:cs="Calibri"/>
                <w:color w:val="000000"/>
                <w:sz w:val="20"/>
                <w:szCs w:val="20"/>
              </w:rPr>
              <w:t>,</w:t>
            </w:r>
            <w:r>
              <w:rPr>
                <w:rFonts w:ascii="Calibri" w:eastAsia="Calibri" w:hAnsi="Calibri" w:cs="Calibri"/>
                <w:color w:val="000000"/>
                <w:sz w:val="20"/>
                <w:szCs w:val="20"/>
              </w:rPr>
              <w:t>537</w:t>
            </w:r>
            <w:r w:rsidR="00003367">
              <w:rPr>
                <w:rFonts w:ascii="Calibri" w:eastAsia="Calibri" w:hAnsi="Calibri" w:cs="Calibri"/>
                <w:color w:val="000000"/>
                <w:sz w:val="20"/>
                <w:szCs w:val="20"/>
              </w:rPr>
              <w:t>,</w:t>
            </w:r>
            <w:r>
              <w:rPr>
                <w:rFonts w:ascii="Calibri" w:eastAsia="Calibri" w:hAnsi="Calibri" w:cs="Calibri"/>
                <w:color w:val="000000"/>
                <w:sz w:val="20"/>
                <w:szCs w:val="20"/>
              </w:rPr>
              <w:t>295</w:t>
            </w:r>
          </w:p>
        </w:tc>
        <w:tc>
          <w:tcPr>
            <w:tcW w:w="757" w:type="pct"/>
            <w:tcBorders>
              <w:top w:val="nil"/>
              <w:left w:val="nil"/>
              <w:bottom w:val="nil"/>
              <w:right w:val="nil"/>
            </w:tcBorders>
            <w:shd w:val="clear" w:color="auto" w:fill="auto"/>
          </w:tcPr>
          <w:p w14:paraId="3843F978" w14:textId="0E52226D" w:rsidR="0025353C" w:rsidRPr="00537128" w:rsidRDefault="0025353C" w:rsidP="0025353C">
            <w:pPr>
              <w:tabs>
                <w:tab w:val="right" w:pos="1202"/>
              </w:tabs>
              <w:spacing w:after="0" w:line="260" w:lineRule="exact"/>
              <w:jc w:val="right"/>
              <w:outlineLvl w:val="0"/>
              <w:rPr>
                <w:rFonts w:ascii="Calibri" w:eastAsia="Times New Roman" w:hAnsi="Calibri" w:cs="Arial"/>
                <w:sz w:val="19"/>
                <w:szCs w:val="19"/>
                <w:lang w:val="en-US"/>
              </w:rPr>
            </w:pPr>
            <w:r w:rsidRPr="003C7812">
              <w:rPr>
                <w:rFonts w:eastAsia="Calibri" w:cstheme="minorHAnsi"/>
                <w:color w:val="000000" w:themeColor="text1"/>
                <w:sz w:val="20"/>
                <w:szCs w:val="20"/>
              </w:rPr>
              <w:t>1</w:t>
            </w:r>
            <w:r>
              <w:rPr>
                <w:rFonts w:eastAsia="Calibri" w:cstheme="minorHAnsi"/>
                <w:color w:val="000000" w:themeColor="text1"/>
                <w:sz w:val="20"/>
                <w:szCs w:val="20"/>
              </w:rPr>
              <w:t>,</w:t>
            </w:r>
            <w:r w:rsidRPr="003C7812">
              <w:rPr>
                <w:rFonts w:eastAsia="Calibri" w:cstheme="minorHAnsi"/>
                <w:color w:val="000000" w:themeColor="text1"/>
                <w:sz w:val="20"/>
                <w:szCs w:val="20"/>
              </w:rPr>
              <w:t>304</w:t>
            </w:r>
            <w:r>
              <w:rPr>
                <w:rFonts w:eastAsia="Calibri" w:cstheme="minorHAnsi"/>
                <w:color w:val="000000" w:themeColor="text1"/>
                <w:sz w:val="20"/>
                <w:szCs w:val="20"/>
              </w:rPr>
              <w:t>,</w:t>
            </w:r>
            <w:r w:rsidRPr="003C7812">
              <w:rPr>
                <w:rFonts w:eastAsia="Calibri" w:cstheme="minorHAnsi"/>
                <w:color w:val="000000" w:themeColor="text1"/>
                <w:sz w:val="20"/>
                <w:szCs w:val="20"/>
              </w:rPr>
              <w:t>974</w:t>
            </w:r>
          </w:p>
        </w:tc>
      </w:tr>
      <w:tr w:rsidR="0025353C" w:rsidRPr="00537128" w14:paraId="3827457B" w14:textId="77777777" w:rsidTr="00745714">
        <w:trPr>
          <w:trHeight w:val="227"/>
        </w:trPr>
        <w:tc>
          <w:tcPr>
            <w:tcW w:w="1971" w:type="pct"/>
            <w:vAlign w:val="center"/>
          </w:tcPr>
          <w:p w14:paraId="2817848E" w14:textId="77777777" w:rsidR="0025353C" w:rsidRPr="00537128" w:rsidRDefault="0025353C" w:rsidP="0025353C">
            <w:pPr>
              <w:tabs>
                <w:tab w:val="right" w:pos="1202"/>
              </w:tabs>
              <w:spacing w:after="0" w:line="260" w:lineRule="exact"/>
              <w:outlineLvl w:val="0"/>
              <w:rPr>
                <w:rFonts w:ascii="Calibri" w:eastAsia="Times New Roman" w:hAnsi="Calibri" w:cs="Arial"/>
                <w:spacing w:val="-2"/>
                <w:sz w:val="19"/>
                <w:szCs w:val="19"/>
                <w:lang w:val="en-US"/>
              </w:rPr>
            </w:pPr>
            <w:bookmarkStart w:id="406" w:name="_Toc4058790"/>
            <w:r w:rsidRPr="00537128">
              <w:rPr>
                <w:rFonts w:ascii="Calibri" w:eastAsia="Times New Roman" w:hAnsi="Calibri" w:cs="Arial"/>
                <w:spacing w:val="-2"/>
                <w:sz w:val="19"/>
                <w:szCs w:val="19"/>
                <w:lang w:val="en-US"/>
              </w:rPr>
              <w:t>Corporate bonds</w:t>
            </w:r>
            <w:bookmarkEnd w:id="406"/>
          </w:p>
        </w:tc>
        <w:tc>
          <w:tcPr>
            <w:tcW w:w="757" w:type="pct"/>
            <w:tcBorders>
              <w:top w:val="nil"/>
              <w:left w:val="nil"/>
              <w:bottom w:val="nil"/>
              <w:right w:val="nil"/>
            </w:tcBorders>
            <w:shd w:val="clear" w:color="auto" w:fill="auto"/>
          </w:tcPr>
          <w:p w14:paraId="29450864" w14:textId="26AD02B4" w:rsidR="0025353C" w:rsidRPr="00537128" w:rsidRDefault="0025353C" w:rsidP="0025353C">
            <w:pPr>
              <w:tabs>
                <w:tab w:val="right" w:pos="1202"/>
              </w:tabs>
              <w:spacing w:after="0" w:line="260" w:lineRule="exact"/>
              <w:jc w:val="right"/>
              <w:outlineLvl w:val="0"/>
              <w:rPr>
                <w:rFonts w:ascii="Calibri" w:eastAsia="Times New Roman" w:hAnsi="Calibri" w:cs="Times New Roman"/>
                <w:sz w:val="19"/>
                <w:szCs w:val="19"/>
                <w:lang w:val="en-US"/>
              </w:rPr>
            </w:pPr>
            <w:r w:rsidRPr="008E5C2B">
              <w:rPr>
                <w:sz w:val="20"/>
                <w:szCs w:val="20"/>
              </w:rPr>
              <w:t xml:space="preserve"> 2</w:t>
            </w:r>
            <w:r w:rsidR="00003367">
              <w:rPr>
                <w:sz w:val="20"/>
                <w:szCs w:val="20"/>
              </w:rPr>
              <w:t>,</w:t>
            </w:r>
            <w:r w:rsidRPr="008E5C2B">
              <w:rPr>
                <w:sz w:val="20"/>
                <w:szCs w:val="20"/>
              </w:rPr>
              <w:t xml:space="preserve">388 </w:t>
            </w:r>
          </w:p>
        </w:tc>
        <w:tc>
          <w:tcPr>
            <w:tcW w:w="758" w:type="pct"/>
            <w:tcBorders>
              <w:top w:val="nil"/>
              <w:left w:val="nil"/>
              <w:bottom w:val="nil"/>
              <w:right w:val="nil"/>
            </w:tcBorders>
            <w:shd w:val="clear" w:color="auto" w:fill="auto"/>
          </w:tcPr>
          <w:p w14:paraId="585F9EC5" w14:textId="022CD13A" w:rsidR="0025353C" w:rsidRPr="00537128" w:rsidRDefault="0025353C" w:rsidP="0025353C">
            <w:pPr>
              <w:tabs>
                <w:tab w:val="right" w:pos="1202"/>
              </w:tabs>
              <w:spacing w:after="0" w:line="260" w:lineRule="exact"/>
              <w:jc w:val="right"/>
              <w:outlineLvl w:val="0"/>
              <w:rPr>
                <w:rFonts w:ascii="Calibri" w:eastAsia="Times New Roman" w:hAnsi="Calibri" w:cs="Arial"/>
                <w:sz w:val="19"/>
                <w:szCs w:val="19"/>
                <w:lang w:val="en-US"/>
              </w:rPr>
            </w:pPr>
            <w:r w:rsidRPr="003C7812">
              <w:rPr>
                <w:rFonts w:eastAsia="Calibri" w:cstheme="minorHAnsi"/>
                <w:color w:val="000000" w:themeColor="text1"/>
                <w:sz w:val="20"/>
                <w:szCs w:val="20"/>
              </w:rPr>
              <w:t>2</w:t>
            </w:r>
            <w:r>
              <w:rPr>
                <w:rFonts w:eastAsia="Calibri" w:cstheme="minorHAnsi"/>
                <w:color w:val="000000" w:themeColor="text1"/>
                <w:sz w:val="20"/>
                <w:szCs w:val="20"/>
              </w:rPr>
              <w:t>,</w:t>
            </w:r>
            <w:r w:rsidRPr="003C7812">
              <w:rPr>
                <w:rFonts w:eastAsia="Calibri" w:cstheme="minorHAnsi"/>
                <w:color w:val="000000" w:themeColor="text1"/>
                <w:sz w:val="20"/>
                <w:szCs w:val="20"/>
              </w:rPr>
              <w:t>393</w:t>
            </w:r>
          </w:p>
        </w:tc>
        <w:tc>
          <w:tcPr>
            <w:tcW w:w="757" w:type="pct"/>
            <w:tcBorders>
              <w:top w:val="nil"/>
              <w:left w:val="nil"/>
              <w:bottom w:val="nil"/>
              <w:right w:val="nil"/>
            </w:tcBorders>
            <w:shd w:val="clear" w:color="auto" w:fill="auto"/>
            <w:vAlign w:val="bottom"/>
          </w:tcPr>
          <w:p w14:paraId="675ADF7A" w14:textId="18EBC78F" w:rsidR="0025353C" w:rsidRPr="00537128" w:rsidRDefault="0025353C" w:rsidP="0025353C">
            <w:pPr>
              <w:tabs>
                <w:tab w:val="right" w:pos="1202"/>
              </w:tabs>
              <w:spacing w:after="0" w:line="260" w:lineRule="exact"/>
              <w:jc w:val="right"/>
              <w:outlineLvl w:val="0"/>
              <w:rPr>
                <w:rFonts w:ascii="Calibri" w:eastAsia="Times New Roman" w:hAnsi="Calibri" w:cs="Calibri"/>
                <w:sz w:val="20"/>
                <w:szCs w:val="20"/>
                <w:lang w:val="en-US"/>
              </w:rPr>
            </w:pPr>
            <w:r>
              <w:rPr>
                <w:rFonts w:ascii="Calibri" w:eastAsia="Calibri" w:hAnsi="Calibri" w:cs="Calibri"/>
                <w:color w:val="000000"/>
                <w:sz w:val="20"/>
                <w:szCs w:val="20"/>
              </w:rPr>
              <w:t>-</w:t>
            </w:r>
          </w:p>
        </w:tc>
        <w:tc>
          <w:tcPr>
            <w:tcW w:w="757" w:type="pct"/>
            <w:tcBorders>
              <w:top w:val="nil"/>
              <w:left w:val="nil"/>
              <w:bottom w:val="nil"/>
              <w:right w:val="nil"/>
            </w:tcBorders>
            <w:shd w:val="clear" w:color="auto" w:fill="auto"/>
          </w:tcPr>
          <w:p w14:paraId="243C4B73" w14:textId="56DCB776" w:rsidR="0025353C" w:rsidRPr="00537128" w:rsidRDefault="0025353C" w:rsidP="0025353C">
            <w:pPr>
              <w:tabs>
                <w:tab w:val="right" w:pos="1202"/>
              </w:tabs>
              <w:spacing w:after="0" w:line="260" w:lineRule="exact"/>
              <w:jc w:val="right"/>
              <w:outlineLvl w:val="0"/>
              <w:rPr>
                <w:rFonts w:ascii="Calibri" w:eastAsia="Times New Roman" w:hAnsi="Calibri" w:cs="Arial"/>
                <w:sz w:val="19"/>
                <w:szCs w:val="19"/>
                <w:lang w:val="en-US"/>
              </w:rPr>
            </w:pPr>
            <w:r>
              <w:rPr>
                <w:rFonts w:eastAsia="Calibri" w:cstheme="minorHAnsi"/>
                <w:color w:val="000000" w:themeColor="text1"/>
                <w:sz w:val="20"/>
                <w:szCs w:val="20"/>
              </w:rPr>
              <w:t>-</w:t>
            </w:r>
          </w:p>
        </w:tc>
      </w:tr>
      <w:tr w:rsidR="0025353C" w:rsidRPr="00537128" w14:paraId="5C210C79" w14:textId="77777777" w:rsidTr="00745714">
        <w:trPr>
          <w:trHeight w:val="227"/>
        </w:trPr>
        <w:tc>
          <w:tcPr>
            <w:tcW w:w="1971" w:type="pct"/>
            <w:vAlign w:val="bottom"/>
          </w:tcPr>
          <w:p w14:paraId="55A15D31" w14:textId="77777777" w:rsidR="0025353C" w:rsidRPr="00537128" w:rsidRDefault="0025353C" w:rsidP="0025353C">
            <w:pPr>
              <w:tabs>
                <w:tab w:val="right" w:pos="1202"/>
              </w:tabs>
              <w:spacing w:after="0" w:line="240" w:lineRule="auto"/>
              <w:outlineLvl w:val="0"/>
              <w:rPr>
                <w:rFonts w:ascii="Calibri" w:eastAsia="Times New Roman" w:hAnsi="Calibri" w:cs="Arial"/>
                <w:spacing w:val="-2"/>
                <w:sz w:val="19"/>
                <w:szCs w:val="19"/>
                <w:lang w:val="en-US"/>
              </w:rPr>
            </w:pPr>
            <w:bookmarkStart w:id="407" w:name="_Toc4058795"/>
            <w:r w:rsidRPr="00537128">
              <w:rPr>
                <w:rFonts w:ascii="Calibri" w:eastAsia="Calibri" w:hAnsi="Calibri" w:cs="Arial"/>
                <w:spacing w:val="-2"/>
                <w:sz w:val="19"/>
                <w:szCs w:val="19"/>
                <w:lang w:val="en-US"/>
              </w:rPr>
              <w:t>Treasury bills of the Ministry of Finance</w:t>
            </w:r>
            <w:bookmarkEnd w:id="407"/>
            <w:r w:rsidRPr="00537128">
              <w:rPr>
                <w:rFonts w:ascii="Calibri" w:eastAsia="Calibri" w:hAnsi="Calibri" w:cs="Arial"/>
                <w:spacing w:val="-2"/>
                <w:sz w:val="19"/>
                <w:szCs w:val="19"/>
                <w:lang w:val="en-US"/>
              </w:rPr>
              <w:t xml:space="preserve"> </w:t>
            </w:r>
          </w:p>
        </w:tc>
        <w:tc>
          <w:tcPr>
            <w:tcW w:w="757" w:type="pct"/>
            <w:tcBorders>
              <w:top w:val="nil"/>
              <w:left w:val="nil"/>
              <w:bottom w:val="nil"/>
              <w:right w:val="nil"/>
            </w:tcBorders>
            <w:shd w:val="clear" w:color="auto" w:fill="auto"/>
          </w:tcPr>
          <w:p w14:paraId="2A811504" w14:textId="3FFA3E45" w:rsidR="0025353C" w:rsidRPr="00537128" w:rsidRDefault="0025353C" w:rsidP="0025353C">
            <w:pPr>
              <w:tabs>
                <w:tab w:val="right" w:pos="1202"/>
              </w:tabs>
              <w:spacing w:after="0" w:line="260" w:lineRule="exact"/>
              <w:jc w:val="right"/>
              <w:outlineLvl w:val="0"/>
              <w:rPr>
                <w:rFonts w:ascii="Calibri" w:eastAsia="Times New Roman" w:hAnsi="Calibri" w:cs="Times New Roman"/>
                <w:sz w:val="19"/>
                <w:szCs w:val="19"/>
                <w:lang w:val="en-US"/>
              </w:rPr>
            </w:pPr>
            <w:r w:rsidRPr="008E5C2B">
              <w:rPr>
                <w:sz w:val="20"/>
                <w:szCs w:val="20"/>
              </w:rPr>
              <w:t xml:space="preserve"> 1</w:t>
            </w:r>
            <w:r w:rsidR="00003367">
              <w:rPr>
                <w:sz w:val="20"/>
                <w:szCs w:val="20"/>
              </w:rPr>
              <w:t>,</w:t>
            </w:r>
            <w:r w:rsidRPr="008E5C2B">
              <w:rPr>
                <w:sz w:val="20"/>
                <w:szCs w:val="20"/>
              </w:rPr>
              <w:t>601</w:t>
            </w:r>
            <w:r w:rsidR="00003367">
              <w:rPr>
                <w:sz w:val="20"/>
                <w:szCs w:val="20"/>
              </w:rPr>
              <w:t>,</w:t>
            </w:r>
            <w:r w:rsidRPr="008E5C2B">
              <w:rPr>
                <w:sz w:val="20"/>
                <w:szCs w:val="20"/>
              </w:rPr>
              <w:t xml:space="preserve">342 </w:t>
            </w:r>
          </w:p>
        </w:tc>
        <w:tc>
          <w:tcPr>
            <w:tcW w:w="758" w:type="pct"/>
            <w:tcBorders>
              <w:top w:val="nil"/>
              <w:left w:val="nil"/>
              <w:bottom w:val="nil"/>
              <w:right w:val="nil"/>
            </w:tcBorders>
            <w:shd w:val="clear" w:color="auto" w:fill="auto"/>
          </w:tcPr>
          <w:p w14:paraId="351009BA" w14:textId="61DF6E67" w:rsidR="0025353C" w:rsidRPr="00537128" w:rsidRDefault="0025353C" w:rsidP="0025353C">
            <w:pPr>
              <w:tabs>
                <w:tab w:val="right" w:pos="1202"/>
              </w:tabs>
              <w:spacing w:after="0" w:line="260" w:lineRule="exact"/>
              <w:jc w:val="right"/>
              <w:outlineLvl w:val="0"/>
              <w:rPr>
                <w:rFonts w:ascii="Calibri" w:eastAsia="Times New Roman" w:hAnsi="Calibri" w:cs="Arial"/>
                <w:sz w:val="19"/>
                <w:szCs w:val="19"/>
                <w:lang w:val="en-US"/>
              </w:rPr>
            </w:pPr>
            <w:r w:rsidRPr="003C7812">
              <w:rPr>
                <w:rFonts w:eastAsia="Calibri" w:cstheme="minorHAnsi"/>
                <w:color w:val="000000" w:themeColor="text1"/>
                <w:sz w:val="20"/>
                <w:szCs w:val="20"/>
              </w:rPr>
              <w:t>1</w:t>
            </w:r>
            <w:r>
              <w:rPr>
                <w:rFonts w:eastAsia="Calibri" w:cstheme="minorHAnsi"/>
                <w:color w:val="000000" w:themeColor="text1"/>
                <w:sz w:val="20"/>
                <w:szCs w:val="20"/>
              </w:rPr>
              <w:t>,</w:t>
            </w:r>
            <w:r w:rsidRPr="003C7812">
              <w:rPr>
                <w:rFonts w:eastAsia="Calibri" w:cstheme="minorHAnsi"/>
                <w:color w:val="000000" w:themeColor="text1"/>
                <w:sz w:val="20"/>
                <w:szCs w:val="20"/>
              </w:rPr>
              <w:t>550</w:t>
            </w:r>
            <w:r>
              <w:rPr>
                <w:rFonts w:eastAsia="Calibri" w:cstheme="minorHAnsi"/>
                <w:color w:val="000000" w:themeColor="text1"/>
                <w:sz w:val="20"/>
                <w:szCs w:val="20"/>
              </w:rPr>
              <w:t>,</w:t>
            </w:r>
            <w:r w:rsidRPr="003C7812">
              <w:rPr>
                <w:rFonts w:eastAsia="Calibri" w:cstheme="minorHAnsi"/>
                <w:color w:val="000000" w:themeColor="text1"/>
                <w:sz w:val="20"/>
                <w:szCs w:val="20"/>
              </w:rPr>
              <w:t>344</w:t>
            </w:r>
          </w:p>
        </w:tc>
        <w:tc>
          <w:tcPr>
            <w:tcW w:w="757" w:type="pct"/>
            <w:tcBorders>
              <w:top w:val="nil"/>
              <w:left w:val="nil"/>
              <w:bottom w:val="nil"/>
              <w:right w:val="nil"/>
            </w:tcBorders>
            <w:shd w:val="clear" w:color="auto" w:fill="auto"/>
            <w:vAlign w:val="bottom"/>
          </w:tcPr>
          <w:p w14:paraId="43520527" w14:textId="1D3E9A8F" w:rsidR="0025353C" w:rsidRPr="00537128" w:rsidRDefault="0025353C" w:rsidP="0025353C">
            <w:pPr>
              <w:tabs>
                <w:tab w:val="right" w:pos="1202"/>
              </w:tabs>
              <w:spacing w:after="0" w:line="260" w:lineRule="exact"/>
              <w:jc w:val="right"/>
              <w:outlineLvl w:val="0"/>
              <w:rPr>
                <w:rFonts w:ascii="Calibri" w:eastAsia="Times New Roman" w:hAnsi="Calibri" w:cs="Calibri"/>
                <w:sz w:val="20"/>
                <w:szCs w:val="20"/>
                <w:lang w:val="en-US"/>
              </w:rPr>
            </w:pPr>
            <w:r>
              <w:rPr>
                <w:rFonts w:ascii="Calibri" w:eastAsia="Calibri" w:hAnsi="Calibri" w:cs="Calibri"/>
                <w:color w:val="000000"/>
                <w:sz w:val="20"/>
                <w:szCs w:val="20"/>
              </w:rPr>
              <w:t>1</w:t>
            </w:r>
            <w:r w:rsidR="00003367">
              <w:rPr>
                <w:rFonts w:ascii="Calibri" w:eastAsia="Calibri" w:hAnsi="Calibri" w:cs="Calibri"/>
                <w:color w:val="000000"/>
                <w:sz w:val="20"/>
                <w:szCs w:val="20"/>
              </w:rPr>
              <w:t>,</w:t>
            </w:r>
            <w:r>
              <w:rPr>
                <w:rFonts w:ascii="Calibri" w:eastAsia="Calibri" w:hAnsi="Calibri" w:cs="Calibri"/>
                <w:color w:val="000000"/>
                <w:sz w:val="20"/>
                <w:szCs w:val="20"/>
              </w:rPr>
              <w:t>601</w:t>
            </w:r>
            <w:r w:rsidR="00003367">
              <w:rPr>
                <w:rFonts w:ascii="Calibri" w:eastAsia="Calibri" w:hAnsi="Calibri" w:cs="Calibri"/>
                <w:color w:val="000000"/>
                <w:sz w:val="20"/>
                <w:szCs w:val="20"/>
              </w:rPr>
              <w:t>,</w:t>
            </w:r>
            <w:r>
              <w:rPr>
                <w:rFonts w:ascii="Calibri" w:eastAsia="Calibri" w:hAnsi="Calibri" w:cs="Calibri"/>
                <w:color w:val="000000"/>
                <w:sz w:val="20"/>
                <w:szCs w:val="20"/>
              </w:rPr>
              <w:t>342</w:t>
            </w:r>
          </w:p>
        </w:tc>
        <w:tc>
          <w:tcPr>
            <w:tcW w:w="757" w:type="pct"/>
            <w:tcBorders>
              <w:top w:val="nil"/>
              <w:left w:val="nil"/>
              <w:bottom w:val="nil"/>
              <w:right w:val="nil"/>
            </w:tcBorders>
            <w:shd w:val="clear" w:color="auto" w:fill="auto"/>
          </w:tcPr>
          <w:p w14:paraId="3C9C882D" w14:textId="7AFB2780" w:rsidR="0025353C" w:rsidRPr="00537128" w:rsidRDefault="0025353C" w:rsidP="0025353C">
            <w:pPr>
              <w:tabs>
                <w:tab w:val="right" w:pos="1202"/>
              </w:tabs>
              <w:spacing w:after="0" w:line="260" w:lineRule="exact"/>
              <w:jc w:val="right"/>
              <w:outlineLvl w:val="0"/>
              <w:rPr>
                <w:rFonts w:ascii="Calibri" w:eastAsia="Times New Roman" w:hAnsi="Calibri" w:cs="Arial"/>
                <w:sz w:val="19"/>
                <w:szCs w:val="19"/>
                <w:lang w:val="en-US"/>
              </w:rPr>
            </w:pPr>
            <w:r w:rsidRPr="003C7812">
              <w:rPr>
                <w:rFonts w:eastAsia="Calibri" w:cstheme="minorHAnsi"/>
                <w:color w:val="000000" w:themeColor="text1"/>
                <w:sz w:val="20"/>
                <w:szCs w:val="20"/>
              </w:rPr>
              <w:t>1</w:t>
            </w:r>
            <w:r>
              <w:rPr>
                <w:rFonts w:eastAsia="Calibri" w:cstheme="minorHAnsi"/>
                <w:color w:val="000000" w:themeColor="text1"/>
                <w:sz w:val="20"/>
                <w:szCs w:val="20"/>
              </w:rPr>
              <w:t>,</w:t>
            </w:r>
            <w:r w:rsidRPr="003C7812">
              <w:rPr>
                <w:rFonts w:eastAsia="Calibri" w:cstheme="minorHAnsi"/>
                <w:color w:val="000000" w:themeColor="text1"/>
                <w:sz w:val="20"/>
                <w:szCs w:val="20"/>
              </w:rPr>
              <w:t>550</w:t>
            </w:r>
            <w:r>
              <w:rPr>
                <w:rFonts w:eastAsia="Calibri" w:cstheme="minorHAnsi"/>
                <w:color w:val="000000" w:themeColor="text1"/>
                <w:sz w:val="20"/>
                <w:szCs w:val="20"/>
              </w:rPr>
              <w:t>,</w:t>
            </w:r>
            <w:r w:rsidRPr="003C7812">
              <w:rPr>
                <w:rFonts w:eastAsia="Calibri" w:cstheme="minorHAnsi"/>
                <w:color w:val="000000" w:themeColor="text1"/>
                <w:sz w:val="20"/>
                <w:szCs w:val="20"/>
              </w:rPr>
              <w:t>344</w:t>
            </w:r>
          </w:p>
        </w:tc>
      </w:tr>
      <w:tr w:rsidR="0025353C" w:rsidRPr="00537128" w14:paraId="30BA768B" w14:textId="77777777" w:rsidTr="00745714">
        <w:trPr>
          <w:trHeight w:val="227"/>
        </w:trPr>
        <w:tc>
          <w:tcPr>
            <w:tcW w:w="1971" w:type="pct"/>
            <w:vAlign w:val="center"/>
          </w:tcPr>
          <w:p w14:paraId="7AE86DE6" w14:textId="77777777" w:rsidR="0025353C" w:rsidRPr="00537128" w:rsidRDefault="0025353C" w:rsidP="0025353C">
            <w:pPr>
              <w:tabs>
                <w:tab w:val="right" w:pos="1202"/>
              </w:tabs>
              <w:spacing w:after="0" w:line="260" w:lineRule="exact"/>
              <w:outlineLvl w:val="0"/>
              <w:rPr>
                <w:rFonts w:ascii="Calibri" w:eastAsia="Times New Roman" w:hAnsi="Calibri" w:cs="Arial"/>
                <w:spacing w:val="-2"/>
                <w:sz w:val="19"/>
                <w:szCs w:val="19"/>
                <w:lang w:val="en-US"/>
              </w:rPr>
            </w:pPr>
            <w:bookmarkStart w:id="408" w:name="_Toc4058800"/>
            <w:r w:rsidRPr="00537128">
              <w:rPr>
                <w:rFonts w:ascii="Calibri" w:eastAsia="Calibri" w:hAnsi="Calibri" w:cs="Arial"/>
                <w:spacing w:val="-2"/>
                <w:sz w:val="19"/>
                <w:szCs w:val="19"/>
                <w:lang w:val="en-US"/>
              </w:rPr>
              <w:t>Accrued interest</w:t>
            </w:r>
            <w:bookmarkEnd w:id="408"/>
          </w:p>
        </w:tc>
        <w:tc>
          <w:tcPr>
            <w:tcW w:w="757" w:type="pct"/>
            <w:tcBorders>
              <w:top w:val="nil"/>
              <w:left w:val="nil"/>
              <w:bottom w:val="nil"/>
              <w:right w:val="nil"/>
            </w:tcBorders>
            <w:shd w:val="clear" w:color="auto" w:fill="auto"/>
          </w:tcPr>
          <w:p w14:paraId="41CCF8A1" w14:textId="1BC08895" w:rsidR="0025353C" w:rsidRPr="00537128" w:rsidRDefault="0025353C" w:rsidP="0025353C">
            <w:pPr>
              <w:tabs>
                <w:tab w:val="right" w:pos="1202"/>
              </w:tabs>
              <w:spacing w:after="0" w:line="260" w:lineRule="exact"/>
              <w:jc w:val="right"/>
              <w:outlineLvl w:val="0"/>
              <w:rPr>
                <w:rFonts w:ascii="Calibri" w:eastAsia="Times New Roman" w:hAnsi="Calibri" w:cs="Times New Roman"/>
                <w:sz w:val="19"/>
                <w:szCs w:val="19"/>
                <w:lang w:val="en-US"/>
              </w:rPr>
            </w:pPr>
            <w:r w:rsidRPr="008E5C2B">
              <w:rPr>
                <w:sz w:val="20"/>
                <w:szCs w:val="20"/>
              </w:rPr>
              <w:t xml:space="preserve"> 12</w:t>
            </w:r>
            <w:r w:rsidR="00003367">
              <w:rPr>
                <w:sz w:val="20"/>
                <w:szCs w:val="20"/>
              </w:rPr>
              <w:t>,</w:t>
            </w:r>
            <w:r w:rsidRPr="008E5C2B">
              <w:rPr>
                <w:sz w:val="20"/>
                <w:szCs w:val="20"/>
              </w:rPr>
              <w:t xml:space="preserve">055 </w:t>
            </w:r>
          </w:p>
        </w:tc>
        <w:tc>
          <w:tcPr>
            <w:tcW w:w="758" w:type="pct"/>
            <w:tcBorders>
              <w:top w:val="nil"/>
              <w:left w:val="nil"/>
              <w:bottom w:val="nil"/>
              <w:right w:val="nil"/>
            </w:tcBorders>
            <w:shd w:val="clear" w:color="auto" w:fill="auto"/>
          </w:tcPr>
          <w:p w14:paraId="6F6B1DDD" w14:textId="4E281CE7" w:rsidR="0025353C" w:rsidRPr="00537128" w:rsidRDefault="0025353C" w:rsidP="0025353C">
            <w:pPr>
              <w:tabs>
                <w:tab w:val="right" w:pos="1202"/>
              </w:tabs>
              <w:spacing w:after="0" w:line="260" w:lineRule="exact"/>
              <w:jc w:val="right"/>
              <w:outlineLvl w:val="0"/>
              <w:rPr>
                <w:rFonts w:ascii="Calibri" w:eastAsia="Times New Roman" w:hAnsi="Calibri" w:cs="Arial"/>
                <w:sz w:val="19"/>
                <w:szCs w:val="19"/>
                <w:lang w:val="en-US"/>
              </w:rPr>
            </w:pPr>
            <w:r w:rsidRPr="003C7812">
              <w:rPr>
                <w:rFonts w:eastAsia="Calibri" w:cstheme="minorHAnsi"/>
                <w:color w:val="000000" w:themeColor="text1"/>
                <w:sz w:val="20"/>
                <w:szCs w:val="20"/>
              </w:rPr>
              <w:t>15</w:t>
            </w:r>
            <w:r>
              <w:rPr>
                <w:rFonts w:eastAsia="Calibri" w:cstheme="minorHAnsi"/>
                <w:color w:val="000000" w:themeColor="text1"/>
                <w:sz w:val="20"/>
                <w:szCs w:val="20"/>
              </w:rPr>
              <w:t>,</w:t>
            </w:r>
            <w:r w:rsidRPr="003C7812">
              <w:rPr>
                <w:rFonts w:eastAsia="Calibri" w:cstheme="minorHAnsi"/>
                <w:color w:val="000000" w:themeColor="text1"/>
                <w:sz w:val="20"/>
                <w:szCs w:val="20"/>
              </w:rPr>
              <w:t>620</w:t>
            </w:r>
          </w:p>
        </w:tc>
        <w:tc>
          <w:tcPr>
            <w:tcW w:w="757" w:type="pct"/>
            <w:tcBorders>
              <w:top w:val="nil"/>
              <w:left w:val="nil"/>
              <w:bottom w:val="nil"/>
              <w:right w:val="nil"/>
            </w:tcBorders>
            <w:shd w:val="clear" w:color="auto" w:fill="auto"/>
            <w:vAlign w:val="bottom"/>
          </w:tcPr>
          <w:p w14:paraId="7B659E45" w14:textId="11FB8DA7" w:rsidR="0025353C" w:rsidRPr="00537128" w:rsidRDefault="0025353C" w:rsidP="0025353C">
            <w:pPr>
              <w:tabs>
                <w:tab w:val="right" w:pos="1202"/>
              </w:tabs>
              <w:spacing w:after="0" w:line="260" w:lineRule="exact"/>
              <w:jc w:val="right"/>
              <w:outlineLvl w:val="0"/>
              <w:rPr>
                <w:rFonts w:ascii="Calibri" w:eastAsia="Times New Roman" w:hAnsi="Calibri" w:cs="Calibri"/>
                <w:sz w:val="20"/>
                <w:szCs w:val="20"/>
                <w:lang w:val="en-US"/>
              </w:rPr>
            </w:pPr>
            <w:r>
              <w:rPr>
                <w:rFonts w:ascii="Calibri" w:eastAsia="Calibri" w:hAnsi="Calibri" w:cs="Calibri"/>
                <w:color w:val="000000"/>
                <w:sz w:val="20"/>
                <w:szCs w:val="20"/>
              </w:rPr>
              <w:t>11</w:t>
            </w:r>
            <w:r w:rsidR="00003367">
              <w:rPr>
                <w:rFonts w:ascii="Calibri" w:eastAsia="Calibri" w:hAnsi="Calibri" w:cs="Calibri"/>
                <w:color w:val="000000"/>
                <w:sz w:val="20"/>
                <w:szCs w:val="20"/>
              </w:rPr>
              <w:t>,</w:t>
            </w:r>
            <w:r>
              <w:rPr>
                <w:rFonts w:ascii="Calibri" w:eastAsia="Calibri" w:hAnsi="Calibri" w:cs="Calibri"/>
                <w:color w:val="000000"/>
                <w:sz w:val="20"/>
                <w:szCs w:val="20"/>
              </w:rPr>
              <w:t>716</w:t>
            </w:r>
          </w:p>
        </w:tc>
        <w:tc>
          <w:tcPr>
            <w:tcW w:w="757" w:type="pct"/>
            <w:tcBorders>
              <w:top w:val="nil"/>
              <w:left w:val="nil"/>
              <w:bottom w:val="nil"/>
              <w:right w:val="nil"/>
            </w:tcBorders>
            <w:shd w:val="clear" w:color="auto" w:fill="auto"/>
          </w:tcPr>
          <w:p w14:paraId="0475A7FE" w14:textId="64E8BEE6" w:rsidR="0025353C" w:rsidRPr="00537128" w:rsidRDefault="0025353C" w:rsidP="0025353C">
            <w:pPr>
              <w:tabs>
                <w:tab w:val="right" w:pos="1202"/>
              </w:tabs>
              <w:spacing w:after="0" w:line="260" w:lineRule="exact"/>
              <w:jc w:val="right"/>
              <w:outlineLvl w:val="0"/>
              <w:rPr>
                <w:rFonts w:ascii="Calibri" w:eastAsia="Times New Roman" w:hAnsi="Calibri" w:cs="Arial"/>
                <w:sz w:val="19"/>
                <w:szCs w:val="19"/>
                <w:lang w:val="en-US"/>
              </w:rPr>
            </w:pPr>
            <w:r w:rsidRPr="003C7812">
              <w:rPr>
                <w:rFonts w:eastAsia="Calibri" w:cstheme="minorHAnsi"/>
                <w:color w:val="000000" w:themeColor="text1"/>
                <w:sz w:val="20"/>
                <w:szCs w:val="20"/>
              </w:rPr>
              <w:t>15</w:t>
            </w:r>
            <w:r>
              <w:rPr>
                <w:rFonts w:eastAsia="Calibri" w:cstheme="minorHAnsi"/>
                <w:color w:val="000000" w:themeColor="text1"/>
                <w:sz w:val="20"/>
                <w:szCs w:val="20"/>
              </w:rPr>
              <w:t>,</w:t>
            </w:r>
            <w:r w:rsidRPr="003C7812">
              <w:rPr>
                <w:rFonts w:eastAsia="Calibri" w:cstheme="minorHAnsi"/>
                <w:color w:val="000000" w:themeColor="text1"/>
                <w:sz w:val="20"/>
                <w:szCs w:val="20"/>
              </w:rPr>
              <w:t>194</w:t>
            </w:r>
          </w:p>
        </w:tc>
      </w:tr>
      <w:tr w:rsidR="0025353C" w:rsidRPr="00537128" w14:paraId="757E3942" w14:textId="77777777" w:rsidTr="002E7785">
        <w:trPr>
          <w:trHeight w:val="275"/>
        </w:trPr>
        <w:tc>
          <w:tcPr>
            <w:tcW w:w="1971" w:type="pct"/>
          </w:tcPr>
          <w:p w14:paraId="7C627FF8" w14:textId="77777777" w:rsidR="0025353C" w:rsidRPr="00537128" w:rsidRDefault="0025353C" w:rsidP="0025353C">
            <w:pPr>
              <w:tabs>
                <w:tab w:val="right" w:pos="1202"/>
              </w:tabs>
              <w:spacing w:after="0" w:line="260" w:lineRule="exact"/>
              <w:outlineLvl w:val="0"/>
              <w:rPr>
                <w:rFonts w:ascii="Calibri" w:eastAsia="Times New Roman" w:hAnsi="Calibri" w:cs="Arial"/>
                <w:spacing w:val="-2"/>
                <w:sz w:val="19"/>
                <w:szCs w:val="19"/>
                <w:lang w:val="en-US"/>
              </w:rPr>
            </w:pPr>
          </w:p>
        </w:tc>
        <w:tc>
          <w:tcPr>
            <w:tcW w:w="757" w:type="pct"/>
            <w:tcBorders>
              <w:top w:val="single" w:sz="4" w:space="0" w:color="auto"/>
              <w:left w:val="nil"/>
              <w:bottom w:val="single" w:sz="12" w:space="0" w:color="auto"/>
              <w:right w:val="nil"/>
            </w:tcBorders>
            <w:shd w:val="clear" w:color="auto" w:fill="auto"/>
            <w:vAlign w:val="bottom"/>
          </w:tcPr>
          <w:p w14:paraId="69D44640" w14:textId="6E93E0B4" w:rsidR="0025353C" w:rsidRPr="00537128" w:rsidRDefault="0025353C" w:rsidP="0025353C">
            <w:pPr>
              <w:tabs>
                <w:tab w:val="right" w:pos="1202"/>
              </w:tabs>
              <w:spacing w:after="0" w:line="260" w:lineRule="exact"/>
              <w:jc w:val="right"/>
              <w:outlineLvl w:val="0"/>
              <w:rPr>
                <w:rFonts w:ascii="Calibri" w:eastAsia="Times New Roman" w:hAnsi="Calibri" w:cs="Times New Roman"/>
                <w:b/>
                <w:sz w:val="19"/>
                <w:szCs w:val="19"/>
                <w:lang w:val="en-US"/>
              </w:rPr>
            </w:pPr>
            <w:r w:rsidRPr="007B4BB4">
              <w:rPr>
                <w:rFonts w:ascii="Calibri" w:eastAsia="Calibri" w:hAnsi="Calibri" w:cs="Calibri"/>
                <w:b/>
                <w:bCs/>
                <w:color w:val="000000"/>
                <w:sz w:val="20"/>
                <w:szCs w:val="20"/>
              </w:rPr>
              <w:t>3</w:t>
            </w:r>
            <w:r w:rsidR="00003367">
              <w:rPr>
                <w:rFonts w:ascii="Calibri" w:eastAsia="Calibri" w:hAnsi="Calibri" w:cs="Calibri"/>
                <w:b/>
                <w:bCs/>
                <w:color w:val="000000"/>
                <w:sz w:val="20"/>
                <w:szCs w:val="20"/>
              </w:rPr>
              <w:t>,</w:t>
            </w:r>
            <w:r w:rsidRPr="007B4BB4">
              <w:rPr>
                <w:rFonts w:ascii="Calibri" w:eastAsia="Calibri" w:hAnsi="Calibri" w:cs="Calibri"/>
                <w:b/>
                <w:bCs/>
                <w:color w:val="000000"/>
                <w:sz w:val="20"/>
                <w:szCs w:val="20"/>
              </w:rPr>
              <w:t>203</w:t>
            </w:r>
            <w:r w:rsidR="00003367">
              <w:rPr>
                <w:rFonts w:ascii="Calibri" w:eastAsia="Calibri" w:hAnsi="Calibri" w:cs="Calibri"/>
                <w:b/>
                <w:bCs/>
                <w:color w:val="000000"/>
                <w:sz w:val="20"/>
                <w:szCs w:val="20"/>
              </w:rPr>
              <w:t>,</w:t>
            </w:r>
            <w:r w:rsidRPr="007B4BB4">
              <w:rPr>
                <w:rFonts w:ascii="Calibri" w:eastAsia="Calibri" w:hAnsi="Calibri" w:cs="Calibri"/>
                <w:b/>
                <w:bCs/>
                <w:color w:val="000000"/>
                <w:sz w:val="20"/>
                <w:szCs w:val="20"/>
              </w:rPr>
              <w:t>496</w:t>
            </w:r>
          </w:p>
        </w:tc>
        <w:tc>
          <w:tcPr>
            <w:tcW w:w="758" w:type="pct"/>
            <w:tcBorders>
              <w:top w:val="single" w:sz="4" w:space="0" w:color="auto"/>
              <w:left w:val="nil"/>
              <w:bottom w:val="single" w:sz="12" w:space="0" w:color="auto"/>
              <w:right w:val="nil"/>
            </w:tcBorders>
            <w:shd w:val="clear" w:color="auto" w:fill="auto"/>
            <w:vAlign w:val="bottom"/>
          </w:tcPr>
          <w:p w14:paraId="0F97FA84" w14:textId="207DC386" w:rsidR="0025353C" w:rsidRPr="00537128" w:rsidRDefault="0025353C" w:rsidP="0025353C">
            <w:pPr>
              <w:tabs>
                <w:tab w:val="right" w:pos="1202"/>
              </w:tabs>
              <w:spacing w:after="0" w:line="260" w:lineRule="exact"/>
              <w:jc w:val="right"/>
              <w:outlineLvl w:val="0"/>
              <w:rPr>
                <w:rFonts w:ascii="Calibri" w:eastAsia="Times New Roman" w:hAnsi="Calibri" w:cs="Arial"/>
                <w:b/>
                <w:sz w:val="19"/>
                <w:szCs w:val="19"/>
                <w:lang w:val="en-US"/>
              </w:rPr>
            </w:pPr>
            <w:r w:rsidRPr="003C7812">
              <w:rPr>
                <w:rFonts w:eastAsia="Calibri" w:cstheme="minorHAnsi"/>
                <w:b/>
                <w:bCs/>
                <w:color w:val="000000" w:themeColor="text1"/>
                <w:sz w:val="20"/>
                <w:szCs w:val="20"/>
              </w:rPr>
              <w:t>2</w:t>
            </w:r>
            <w:r>
              <w:rPr>
                <w:rFonts w:eastAsia="Calibri" w:cstheme="minorHAnsi"/>
                <w:b/>
                <w:bCs/>
                <w:color w:val="000000" w:themeColor="text1"/>
                <w:sz w:val="20"/>
                <w:szCs w:val="20"/>
              </w:rPr>
              <w:t>,</w:t>
            </w:r>
            <w:r w:rsidRPr="003C7812">
              <w:rPr>
                <w:rFonts w:eastAsia="Calibri" w:cstheme="minorHAnsi"/>
                <w:b/>
                <w:bCs/>
                <w:color w:val="000000" w:themeColor="text1"/>
                <w:sz w:val="20"/>
                <w:szCs w:val="20"/>
              </w:rPr>
              <w:t>927</w:t>
            </w:r>
            <w:r>
              <w:rPr>
                <w:rFonts w:eastAsia="Calibri" w:cstheme="minorHAnsi"/>
                <w:b/>
                <w:bCs/>
                <w:color w:val="000000" w:themeColor="text1"/>
                <w:sz w:val="20"/>
                <w:szCs w:val="20"/>
              </w:rPr>
              <w:t>,</w:t>
            </w:r>
            <w:r w:rsidRPr="003C7812">
              <w:rPr>
                <w:rFonts w:eastAsia="Calibri" w:cstheme="minorHAnsi"/>
                <w:b/>
                <w:bCs/>
                <w:color w:val="000000" w:themeColor="text1"/>
                <w:sz w:val="20"/>
                <w:szCs w:val="20"/>
              </w:rPr>
              <w:t>338</w:t>
            </w:r>
          </w:p>
        </w:tc>
        <w:tc>
          <w:tcPr>
            <w:tcW w:w="757" w:type="pct"/>
            <w:tcBorders>
              <w:top w:val="single" w:sz="4" w:space="0" w:color="auto"/>
              <w:left w:val="nil"/>
              <w:bottom w:val="single" w:sz="12" w:space="0" w:color="auto"/>
              <w:right w:val="nil"/>
            </w:tcBorders>
            <w:shd w:val="clear" w:color="auto" w:fill="auto"/>
            <w:vAlign w:val="bottom"/>
          </w:tcPr>
          <w:p w14:paraId="547257B1" w14:textId="6CD5D2C5" w:rsidR="0025353C" w:rsidRPr="00537128" w:rsidRDefault="0025353C" w:rsidP="0025353C">
            <w:pPr>
              <w:tabs>
                <w:tab w:val="right" w:pos="1202"/>
              </w:tabs>
              <w:spacing w:after="0" w:line="260" w:lineRule="exact"/>
              <w:jc w:val="right"/>
              <w:outlineLvl w:val="0"/>
              <w:rPr>
                <w:rFonts w:ascii="Calibri" w:eastAsia="Times New Roman" w:hAnsi="Calibri" w:cs="Arial"/>
                <w:b/>
                <w:sz w:val="19"/>
                <w:szCs w:val="19"/>
                <w:lang w:val="en-US"/>
              </w:rPr>
            </w:pPr>
            <w:r>
              <w:rPr>
                <w:rFonts w:ascii="Calibri" w:eastAsia="Calibri" w:hAnsi="Calibri" w:cs="Calibri"/>
                <w:b/>
                <w:bCs/>
                <w:color w:val="000000"/>
                <w:sz w:val="20"/>
                <w:szCs w:val="20"/>
              </w:rPr>
              <w:t>3</w:t>
            </w:r>
            <w:r w:rsidR="00003367">
              <w:rPr>
                <w:rFonts w:ascii="Calibri" w:eastAsia="Calibri" w:hAnsi="Calibri" w:cs="Calibri"/>
                <w:b/>
                <w:bCs/>
                <w:color w:val="000000"/>
                <w:sz w:val="20"/>
                <w:szCs w:val="20"/>
              </w:rPr>
              <w:t>,</w:t>
            </w:r>
            <w:r>
              <w:rPr>
                <w:rFonts w:ascii="Calibri" w:eastAsia="Calibri" w:hAnsi="Calibri" w:cs="Calibri"/>
                <w:b/>
                <w:bCs/>
                <w:color w:val="000000"/>
                <w:sz w:val="20"/>
                <w:szCs w:val="20"/>
              </w:rPr>
              <w:t>150</w:t>
            </w:r>
            <w:r w:rsidR="00003367">
              <w:rPr>
                <w:rFonts w:ascii="Calibri" w:eastAsia="Calibri" w:hAnsi="Calibri" w:cs="Calibri"/>
                <w:b/>
                <w:bCs/>
                <w:color w:val="000000"/>
                <w:sz w:val="20"/>
                <w:szCs w:val="20"/>
              </w:rPr>
              <w:t>,</w:t>
            </w:r>
            <w:r>
              <w:rPr>
                <w:rFonts w:ascii="Calibri" w:eastAsia="Calibri" w:hAnsi="Calibri" w:cs="Calibri"/>
                <w:b/>
                <w:bCs/>
                <w:color w:val="000000"/>
                <w:sz w:val="20"/>
                <w:szCs w:val="20"/>
              </w:rPr>
              <w:t>353</w:t>
            </w:r>
          </w:p>
        </w:tc>
        <w:tc>
          <w:tcPr>
            <w:tcW w:w="757" w:type="pct"/>
            <w:tcBorders>
              <w:top w:val="single" w:sz="4" w:space="0" w:color="auto"/>
              <w:left w:val="nil"/>
              <w:bottom w:val="single" w:sz="12" w:space="0" w:color="auto"/>
              <w:right w:val="nil"/>
            </w:tcBorders>
            <w:shd w:val="clear" w:color="auto" w:fill="auto"/>
            <w:vAlign w:val="bottom"/>
          </w:tcPr>
          <w:p w14:paraId="419B14EA" w14:textId="4F069DF2" w:rsidR="0025353C" w:rsidRPr="00537128" w:rsidRDefault="0025353C" w:rsidP="0025353C">
            <w:pPr>
              <w:tabs>
                <w:tab w:val="right" w:pos="1202"/>
              </w:tabs>
              <w:spacing w:after="0" w:line="260" w:lineRule="exact"/>
              <w:jc w:val="right"/>
              <w:outlineLvl w:val="0"/>
              <w:rPr>
                <w:rFonts w:ascii="Calibri" w:eastAsia="Times New Roman" w:hAnsi="Calibri" w:cs="Arial"/>
                <w:b/>
                <w:sz w:val="19"/>
                <w:szCs w:val="19"/>
                <w:lang w:val="en-US"/>
              </w:rPr>
            </w:pPr>
            <w:r w:rsidRPr="003C7812">
              <w:rPr>
                <w:rFonts w:eastAsia="Calibri" w:cstheme="minorHAnsi"/>
                <w:b/>
                <w:bCs/>
                <w:color w:val="000000" w:themeColor="text1"/>
                <w:sz w:val="20"/>
                <w:szCs w:val="20"/>
              </w:rPr>
              <w:t>2</w:t>
            </w:r>
            <w:r>
              <w:rPr>
                <w:rFonts w:eastAsia="Calibri" w:cstheme="minorHAnsi"/>
                <w:b/>
                <w:bCs/>
                <w:color w:val="000000" w:themeColor="text1"/>
                <w:sz w:val="20"/>
                <w:szCs w:val="20"/>
              </w:rPr>
              <w:t>,</w:t>
            </w:r>
            <w:r w:rsidRPr="003C7812">
              <w:rPr>
                <w:rFonts w:eastAsia="Calibri" w:cstheme="minorHAnsi"/>
                <w:b/>
                <w:bCs/>
                <w:color w:val="000000" w:themeColor="text1"/>
                <w:sz w:val="20"/>
                <w:szCs w:val="20"/>
              </w:rPr>
              <w:t>870</w:t>
            </w:r>
            <w:r>
              <w:rPr>
                <w:rFonts w:eastAsia="Calibri" w:cstheme="minorHAnsi"/>
                <w:b/>
                <w:bCs/>
                <w:color w:val="000000" w:themeColor="text1"/>
                <w:sz w:val="20"/>
                <w:szCs w:val="20"/>
              </w:rPr>
              <w:t>,</w:t>
            </w:r>
            <w:r w:rsidRPr="003C7812">
              <w:rPr>
                <w:rFonts w:eastAsia="Calibri" w:cstheme="minorHAnsi"/>
                <w:b/>
                <w:bCs/>
                <w:color w:val="000000" w:themeColor="text1"/>
                <w:sz w:val="20"/>
                <w:szCs w:val="20"/>
              </w:rPr>
              <w:t>512</w:t>
            </w:r>
          </w:p>
        </w:tc>
      </w:tr>
      <w:tr w:rsidR="0025353C" w:rsidRPr="00537128" w14:paraId="48D8186D" w14:textId="77777777" w:rsidTr="002E7785">
        <w:trPr>
          <w:trHeight w:val="275"/>
        </w:trPr>
        <w:tc>
          <w:tcPr>
            <w:tcW w:w="1971" w:type="pct"/>
            <w:vAlign w:val="bottom"/>
          </w:tcPr>
          <w:p w14:paraId="06679A88" w14:textId="77777777" w:rsidR="0025353C" w:rsidRPr="00537128" w:rsidRDefault="0025353C" w:rsidP="0025353C">
            <w:pPr>
              <w:tabs>
                <w:tab w:val="right" w:pos="1202"/>
              </w:tabs>
              <w:spacing w:after="0" w:line="260" w:lineRule="exact"/>
              <w:outlineLvl w:val="0"/>
              <w:rPr>
                <w:rFonts w:ascii="Calibri" w:eastAsia="Times New Roman" w:hAnsi="Calibri" w:cs="Arial"/>
                <w:b/>
                <w:spacing w:val="-2"/>
                <w:sz w:val="19"/>
                <w:szCs w:val="19"/>
                <w:lang w:val="en-US"/>
              </w:rPr>
            </w:pPr>
            <w:bookmarkStart w:id="409" w:name="_Toc4058809"/>
            <w:r w:rsidRPr="00537128">
              <w:rPr>
                <w:rFonts w:ascii="Calibri" w:eastAsia="Calibri" w:hAnsi="Calibri" w:cs="Arial"/>
                <w:b/>
                <w:spacing w:val="-2"/>
                <w:sz w:val="19"/>
                <w:szCs w:val="19"/>
                <w:lang w:val="en-US"/>
              </w:rPr>
              <w:t>Unlisted debt instruments:</w:t>
            </w:r>
            <w:bookmarkEnd w:id="409"/>
          </w:p>
        </w:tc>
        <w:tc>
          <w:tcPr>
            <w:tcW w:w="757" w:type="pct"/>
            <w:tcBorders>
              <w:top w:val="single" w:sz="12" w:space="0" w:color="auto"/>
            </w:tcBorders>
            <w:vAlign w:val="center"/>
          </w:tcPr>
          <w:p w14:paraId="4FA00921" w14:textId="77777777" w:rsidR="0025353C" w:rsidRPr="00537128" w:rsidRDefault="0025353C" w:rsidP="0025353C">
            <w:pPr>
              <w:tabs>
                <w:tab w:val="right" w:pos="1202"/>
              </w:tabs>
              <w:spacing w:after="0" w:line="260" w:lineRule="exact"/>
              <w:jc w:val="right"/>
              <w:outlineLvl w:val="0"/>
              <w:rPr>
                <w:rFonts w:ascii="Calibri" w:eastAsia="Times New Roman" w:hAnsi="Calibri" w:cs="Times New Roman"/>
                <w:sz w:val="19"/>
                <w:szCs w:val="19"/>
                <w:lang w:val="en-US"/>
              </w:rPr>
            </w:pPr>
          </w:p>
        </w:tc>
        <w:tc>
          <w:tcPr>
            <w:tcW w:w="758" w:type="pct"/>
            <w:tcBorders>
              <w:top w:val="single" w:sz="12" w:space="0" w:color="auto"/>
            </w:tcBorders>
            <w:vAlign w:val="center"/>
          </w:tcPr>
          <w:p w14:paraId="498B19E5" w14:textId="77777777" w:rsidR="0025353C" w:rsidRPr="00537128" w:rsidRDefault="0025353C" w:rsidP="0025353C">
            <w:pPr>
              <w:tabs>
                <w:tab w:val="right" w:pos="1202"/>
              </w:tabs>
              <w:spacing w:after="0" w:line="260" w:lineRule="exact"/>
              <w:jc w:val="right"/>
              <w:outlineLvl w:val="0"/>
              <w:rPr>
                <w:rFonts w:ascii="Calibri" w:eastAsia="Times New Roman" w:hAnsi="Calibri" w:cs="Arial"/>
                <w:sz w:val="19"/>
                <w:szCs w:val="19"/>
                <w:lang w:val="en-US"/>
              </w:rPr>
            </w:pPr>
          </w:p>
        </w:tc>
        <w:tc>
          <w:tcPr>
            <w:tcW w:w="757" w:type="pct"/>
            <w:tcBorders>
              <w:top w:val="single" w:sz="12" w:space="0" w:color="auto"/>
            </w:tcBorders>
            <w:vAlign w:val="center"/>
          </w:tcPr>
          <w:p w14:paraId="786D3709" w14:textId="77777777" w:rsidR="0025353C" w:rsidRPr="00537128" w:rsidRDefault="0025353C" w:rsidP="0025353C">
            <w:pPr>
              <w:tabs>
                <w:tab w:val="right" w:pos="1202"/>
              </w:tabs>
              <w:spacing w:after="0" w:line="260" w:lineRule="exact"/>
              <w:jc w:val="right"/>
              <w:outlineLvl w:val="0"/>
              <w:rPr>
                <w:rFonts w:ascii="Calibri" w:eastAsia="Times New Roman" w:hAnsi="Calibri" w:cs="Arial"/>
                <w:sz w:val="19"/>
                <w:szCs w:val="19"/>
                <w:lang w:val="en-US"/>
              </w:rPr>
            </w:pPr>
          </w:p>
        </w:tc>
        <w:tc>
          <w:tcPr>
            <w:tcW w:w="757" w:type="pct"/>
            <w:tcBorders>
              <w:top w:val="single" w:sz="12" w:space="0" w:color="auto"/>
            </w:tcBorders>
            <w:vAlign w:val="center"/>
          </w:tcPr>
          <w:p w14:paraId="10E5541A" w14:textId="77777777" w:rsidR="0025353C" w:rsidRPr="00537128" w:rsidRDefault="0025353C" w:rsidP="0025353C">
            <w:pPr>
              <w:tabs>
                <w:tab w:val="right" w:pos="1202"/>
              </w:tabs>
              <w:spacing w:after="0" w:line="260" w:lineRule="exact"/>
              <w:jc w:val="right"/>
              <w:outlineLvl w:val="0"/>
              <w:rPr>
                <w:rFonts w:ascii="Calibri" w:eastAsia="Times New Roman" w:hAnsi="Calibri" w:cs="Arial"/>
                <w:sz w:val="19"/>
                <w:szCs w:val="19"/>
                <w:lang w:val="en-US"/>
              </w:rPr>
            </w:pPr>
          </w:p>
        </w:tc>
      </w:tr>
      <w:tr w:rsidR="0034730B" w:rsidRPr="00537128" w14:paraId="1E2C9207" w14:textId="77777777" w:rsidTr="00BF0DC2">
        <w:trPr>
          <w:trHeight w:val="227"/>
        </w:trPr>
        <w:tc>
          <w:tcPr>
            <w:tcW w:w="1971" w:type="pct"/>
            <w:vAlign w:val="center"/>
          </w:tcPr>
          <w:p w14:paraId="252DE32B" w14:textId="77777777" w:rsidR="0034730B" w:rsidRPr="00537128" w:rsidRDefault="0034730B" w:rsidP="0034730B">
            <w:pPr>
              <w:tabs>
                <w:tab w:val="right" w:pos="1202"/>
              </w:tabs>
              <w:spacing w:after="0" w:line="260" w:lineRule="exact"/>
              <w:outlineLvl w:val="0"/>
              <w:rPr>
                <w:rFonts w:ascii="Calibri" w:eastAsia="Times New Roman" w:hAnsi="Calibri" w:cs="Arial"/>
                <w:b/>
                <w:spacing w:val="-2"/>
                <w:sz w:val="19"/>
                <w:szCs w:val="19"/>
                <w:lang w:val="en-US"/>
              </w:rPr>
            </w:pPr>
            <w:bookmarkStart w:id="410" w:name="_Toc4058810"/>
            <w:r w:rsidRPr="00537128">
              <w:rPr>
                <w:rFonts w:ascii="Calibri" w:eastAsia="Calibri" w:hAnsi="Calibri" w:cs="Arial"/>
                <w:sz w:val="19"/>
                <w:szCs w:val="19"/>
                <w:lang w:val="en-US"/>
              </w:rPr>
              <w:t>Corporate bonds</w:t>
            </w:r>
            <w:bookmarkEnd w:id="410"/>
          </w:p>
        </w:tc>
        <w:tc>
          <w:tcPr>
            <w:tcW w:w="757" w:type="pct"/>
            <w:tcBorders>
              <w:top w:val="nil"/>
              <w:left w:val="nil"/>
              <w:bottom w:val="nil"/>
              <w:right w:val="nil"/>
            </w:tcBorders>
            <w:shd w:val="clear" w:color="auto" w:fill="auto"/>
          </w:tcPr>
          <w:p w14:paraId="6C70ACBB" w14:textId="316A9952" w:rsidR="0034730B" w:rsidRPr="00537128" w:rsidRDefault="0034730B" w:rsidP="0034730B">
            <w:pPr>
              <w:tabs>
                <w:tab w:val="right" w:pos="1202"/>
              </w:tabs>
              <w:spacing w:after="0" w:line="260" w:lineRule="exact"/>
              <w:jc w:val="right"/>
              <w:outlineLvl w:val="0"/>
              <w:rPr>
                <w:rFonts w:ascii="Calibri" w:eastAsia="Times New Roman" w:hAnsi="Calibri" w:cs="Times New Roman"/>
                <w:sz w:val="19"/>
                <w:szCs w:val="19"/>
                <w:lang w:val="en-US"/>
              </w:rPr>
            </w:pPr>
            <w:r w:rsidRPr="008E5C2B">
              <w:rPr>
                <w:sz w:val="20"/>
                <w:szCs w:val="20"/>
              </w:rPr>
              <w:t xml:space="preserve"> 506 </w:t>
            </w:r>
          </w:p>
        </w:tc>
        <w:tc>
          <w:tcPr>
            <w:tcW w:w="758" w:type="pct"/>
            <w:tcBorders>
              <w:top w:val="nil"/>
              <w:left w:val="nil"/>
              <w:bottom w:val="nil"/>
              <w:right w:val="nil"/>
            </w:tcBorders>
            <w:shd w:val="clear" w:color="auto" w:fill="auto"/>
          </w:tcPr>
          <w:p w14:paraId="399F600B" w14:textId="4CAC7648" w:rsidR="0034730B" w:rsidRPr="00537128" w:rsidRDefault="0034730B" w:rsidP="0034730B">
            <w:pPr>
              <w:tabs>
                <w:tab w:val="right" w:pos="1202"/>
              </w:tabs>
              <w:spacing w:after="0" w:line="260" w:lineRule="exact"/>
              <w:jc w:val="right"/>
              <w:outlineLvl w:val="0"/>
              <w:rPr>
                <w:rFonts w:ascii="Calibri" w:eastAsia="Times New Roman" w:hAnsi="Calibri" w:cs="Arial"/>
                <w:sz w:val="19"/>
                <w:szCs w:val="19"/>
                <w:lang w:val="en-US"/>
              </w:rPr>
            </w:pPr>
            <w:r w:rsidRPr="00205610">
              <w:rPr>
                <w:rFonts w:eastAsia="Calibri" w:cstheme="minorHAnsi"/>
                <w:color w:val="000000" w:themeColor="text1"/>
                <w:sz w:val="20"/>
                <w:szCs w:val="20"/>
              </w:rPr>
              <w:t>532</w:t>
            </w:r>
          </w:p>
        </w:tc>
        <w:tc>
          <w:tcPr>
            <w:tcW w:w="757" w:type="pct"/>
            <w:tcBorders>
              <w:top w:val="nil"/>
              <w:left w:val="nil"/>
              <w:bottom w:val="nil"/>
              <w:right w:val="nil"/>
            </w:tcBorders>
            <w:shd w:val="clear" w:color="auto" w:fill="auto"/>
          </w:tcPr>
          <w:p w14:paraId="3234653B" w14:textId="751AA0EE" w:rsidR="0034730B" w:rsidRPr="00537128" w:rsidRDefault="0034730B" w:rsidP="0034730B">
            <w:pPr>
              <w:tabs>
                <w:tab w:val="center" w:pos="586"/>
                <w:tab w:val="right" w:pos="1172"/>
                <w:tab w:val="right" w:pos="1202"/>
              </w:tabs>
              <w:spacing w:after="0" w:line="260" w:lineRule="exact"/>
              <w:jc w:val="right"/>
              <w:outlineLvl w:val="0"/>
              <w:rPr>
                <w:rFonts w:ascii="Calibri" w:eastAsia="Times New Roman" w:hAnsi="Calibri" w:cs="Arial"/>
                <w:sz w:val="19"/>
                <w:szCs w:val="19"/>
                <w:lang w:val="en-US"/>
              </w:rPr>
            </w:pPr>
            <w:r w:rsidRPr="008E5C2B">
              <w:rPr>
                <w:sz w:val="20"/>
                <w:szCs w:val="20"/>
              </w:rPr>
              <w:t xml:space="preserve"> 506 </w:t>
            </w:r>
          </w:p>
        </w:tc>
        <w:tc>
          <w:tcPr>
            <w:tcW w:w="757" w:type="pct"/>
            <w:tcBorders>
              <w:top w:val="nil"/>
              <w:left w:val="nil"/>
              <w:bottom w:val="nil"/>
              <w:right w:val="nil"/>
            </w:tcBorders>
            <w:shd w:val="clear" w:color="auto" w:fill="auto"/>
          </w:tcPr>
          <w:p w14:paraId="1F1C5D1B" w14:textId="5F5E5B56" w:rsidR="0034730B" w:rsidRPr="00537128" w:rsidRDefault="0034730B" w:rsidP="0034730B">
            <w:pPr>
              <w:tabs>
                <w:tab w:val="right" w:pos="1202"/>
              </w:tabs>
              <w:spacing w:after="0" w:line="260" w:lineRule="exact"/>
              <w:jc w:val="right"/>
              <w:outlineLvl w:val="0"/>
              <w:rPr>
                <w:rFonts w:ascii="Calibri" w:eastAsia="Times New Roman" w:hAnsi="Calibri" w:cs="Arial"/>
                <w:sz w:val="19"/>
                <w:szCs w:val="19"/>
                <w:lang w:val="en-US"/>
              </w:rPr>
            </w:pPr>
            <w:r w:rsidRPr="00205610">
              <w:rPr>
                <w:rFonts w:eastAsia="Calibri" w:cstheme="minorHAnsi"/>
                <w:color w:val="000000" w:themeColor="text1"/>
                <w:sz w:val="20"/>
                <w:szCs w:val="20"/>
              </w:rPr>
              <w:t>532</w:t>
            </w:r>
          </w:p>
        </w:tc>
      </w:tr>
      <w:tr w:rsidR="0034730B" w:rsidRPr="00537128" w14:paraId="4AD0B3C0" w14:textId="77777777" w:rsidTr="00BF0DC2">
        <w:trPr>
          <w:trHeight w:val="227"/>
        </w:trPr>
        <w:tc>
          <w:tcPr>
            <w:tcW w:w="1971" w:type="pct"/>
            <w:vAlign w:val="center"/>
          </w:tcPr>
          <w:p w14:paraId="2EEAD961" w14:textId="77777777" w:rsidR="0034730B" w:rsidRPr="00537128" w:rsidRDefault="0034730B" w:rsidP="0034730B">
            <w:pPr>
              <w:tabs>
                <w:tab w:val="right" w:pos="1202"/>
              </w:tabs>
              <w:spacing w:after="0" w:line="260" w:lineRule="exact"/>
              <w:outlineLvl w:val="0"/>
              <w:rPr>
                <w:rFonts w:ascii="Calibri" w:eastAsia="Calibri" w:hAnsi="Calibri" w:cs="Arial"/>
                <w:sz w:val="19"/>
                <w:szCs w:val="19"/>
                <w:lang w:val="en-US"/>
              </w:rPr>
            </w:pPr>
            <w:r w:rsidRPr="00537128">
              <w:rPr>
                <w:rFonts w:ascii="Calibri" w:eastAsia="Calibri" w:hAnsi="Calibri" w:cs="Arial"/>
                <w:sz w:val="19"/>
                <w:szCs w:val="19"/>
                <w:lang w:val="en-US"/>
              </w:rPr>
              <w:t>Convertible bonds - CB</w:t>
            </w:r>
          </w:p>
        </w:tc>
        <w:tc>
          <w:tcPr>
            <w:tcW w:w="757" w:type="pct"/>
            <w:tcBorders>
              <w:top w:val="nil"/>
              <w:left w:val="nil"/>
              <w:bottom w:val="nil"/>
              <w:right w:val="nil"/>
            </w:tcBorders>
            <w:shd w:val="clear" w:color="auto" w:fill="auto"/>
          </w:tcPr>
          <w:p w14:paraId="02A238FB" w14:textId="42A07FDB" w:rsidR="0034730B" w:rsidRPr="00537128" w:rsidRDefault="0034730B" w:rsidP="0034730B">
            <w:pPr>
              <w:tabs>
                <w:tab w:val="right" w:pos="1202"/>
              </w:tabs>
              <w:spacing w:after="0" w:line="260" w:lineRule="exact"/>
              <w:jc w:val="right"/>
              <w:outlineLvl w:val="0"/>
              <w:rPr>
                <w:rFonts w:ascii="Calibri" w:eastAsia="Times New Roman" w:hAnsi="Calibri" w:cs="Times New Roman"/>
                <w:sz w:val="19"/>
                <w:szCs w:val="19"/>
                <w:lang w:val="en-US"/>
              </w:rPr>
            </w:pPr>
            <w:r w:rsidRPr="008E5C2B">
              <w:rPr>
                <w:sz w:val="20"/>
                <w:szCs w:val="20"/>
              </w:rPr>
              <w:t xml:space="preserve"> 1</w:t>
            </w:r>
            <w:r w:rsidR="00003367">
              <w:rPr>
                <w:sz w:val="20"/>
                <w:szCs w:val="20"/>
              </w:rPr>
              <w:t>,</w:t>
            </w:r>
            <w:r w:rsidRPr="008E5C2B">
              <w:rPr>
                <w:sz w:val="20"/>
                <w:szCs w:val="20"/>
              </w:rPr>
              <w:t xml:space="preserve">408 </w:t>
            </w:r>
          </w:p>
        </w:tc>
        <w:tc>
          <w:tcPr>
            <w:tcW w:w="758" w:type="pct"/>
            <w:tcBorders>
              <w:top w:val="nil"/>
              <w:left w:val="nil"/>
              <w:bottom w:val="nil"/>
              <w:right w:val="nil"/>
            </w:tcBorders>
            <w:shd w:val="clear" w:color="auto" w:fill="auto"/>
          </w:tcPr>
          <w:p w14:paraId="2470A763" w14:textId="559DA07A" w:rsidR="0034730B" w:rsidRPr="00537128" w:rsidRDefault="0034730B" w:rsidP="0034730B">
            <w:pPr>
              <w:tabs>
                <w:tab w:val="right" w:pos="1202"/>
              </w:tabs>
              <w:spacing w:after="0" w:line="260" w:lineRule="exact"/>
              <w:jc w:val="right"/>
              <w:outlineLvl w:val="0"/>
              <w:rPr>
                <w:rFonts w:ascii="Calibri" w:eastAsia="Times New Roman" w:hAnsi="Calibri" w:cs="Times New Roman"/>
                <w:color w:val="000000"/>
                <w:sz w:val="20"/>
                <w:szCs w:val="20"/>
                <w:lang w:val="en-US"/>
              </w:rPr>
            </w:pPr>
            <w:r w:rsidRPr="00205610">
              <w:rPr>
                <w:rFonts w:eastAsia="Calibri" w:cstheme="minorHAnsi"/>
                <w:color w:val="000000" w:themeColor="text1"/>
                <w:sz w:val="20"/>
                <w:szCs w:val="20"/>
              </w:rPr>
              <w:t>1</w:t>
            </w:r>
            <w:r>
              <w:rPr>
                <w:rFonts w:eastAsia="Calibri" w:cstheme="minorHAnsi"/>
                <w:color w:val="000000" w:themeColor="text1"/>
                <w:sz w:val="20"/>
                <w:szCs w:val="20"/>
              </w:rPr>
              <w:t>,</w:t>
            </w:r>
            <w:r w:rsidRPr="00205610">
              <w:rPr>
                <w:rFonts w:eastAsia="Calibri" w:cstheme="minorHAnsi"/>
                <w:color w:val="000000" w:themeColor="text1"/>
                <w:sz w:val="20"/>
                <w:szCs w:val="20"/>
              </w:rPr>
              <w:t>397</w:t>
            </w:r>
          </w:p>
        </w:tc>
        <w:tc>
          <w:tcPr>
            <w:tcW w:w="757" w:type="pct"/>
            <w:tcBorders>
              <w:top w:val="nil"/>
              <w:left w:val="nil"/>
              <w:bottom w:val="nil"/>
              <w:right w:val="nil"/>
            </w:tcBorders>
            <w:shd w:val="clear" w:color="auto" w:fill="auto"/>
          </w:tcPr>
          <w:p w14:paraId="10D24F45" w14:textId="4ECDE865" w:rsidR="0034730B" w:rsidRPr="00537128" w:rsidRDefault="0034730B" w:rsidP="0034730B">
            <w:pPr>
              <w:tabs>
                <w:tab w:val="center" w:pos="586"/>
                <w:tab w:val="right" w:pos="1172"/>
                <w:tab w:val="right" w:pos="1202"/>
              </w:tabs>
              <w:spacing w:after="0" w:line="260" w:lineRule="exact"/>
              <w:jc w:val="right"/>
              <w:outlineLvl w:val="0"/>
              <w:rPr>
                <w:rFonts w:ascii="Calibri" w:eastAsia="Times New Roman" w:hAnsi="Calibri" w:cs="Arial"/>
                <w:sz w:val="19"/>
                <w:szCs w:val="19"/>
                <w:lang w:val="en-US"/>
              </w:rPr>
            </w:pPr>
            <w:r w:rsidRPr="008E5C2B">
              <w:rPr>
                <w:sz w:val="20"/>
                <w:szCs w:val="20"/>
              </w:rPr>
              <w:t xml:space="preserve"> 1</w:t>
            </w:r>
            <w:r w:rsidR="00003367">
              <w:rPr>
                <w:sz w:val="20"/>
                <w:szCs w:val="20"/>
              </w:rPr>
              <w:t>,</w:t>
            </w:r>
            <w:r w:rsidRPr="008E5C2B">
              <w:rPr>
                <w:sz w:val="20"/>
                <w:szCs w:val="20"/>
              </w:rPr>
              <w:t xml:space="preserve">408 </w:t>
            </w:r>
          </w:p>
        </w:tc>
        <w:tc>
          <w:tcPr>
            <w:tcW w:w="757" w:type="pct"/>
            <w:tcBorders>
              <w:top w:val="nil"/>
              <w:left w:val="nil"/>
              <w:bottom w:val="nil"/>
              <w:right w:val="nil"/>
            </w:tcBorders>
            <w:shd w:val="clear" w:color="auto" w:fill="auto"/>
          </w:tcPr>
          <w:p w14:paraId="6F37CD6D" w14:textId="0D53A4EE" w:rsidR="0034730B" w:rsidRPr="00537128" w:rsidRDefault="0034730B" w:rsidP="0034730B">
            <w:pPr>
              <w:tabs>
                <w:tab w:val="right" w:pos="1202"/>
              </w:tabs>
              <w:spacing w:after="0" w:line="260" w:lineRule="exact"/>
              <w:jc w:val="right"/>
              <w:outlineLvl w:val="0"/>
              <w:rPr>
                <w:rFonts w:ascii="Calibri" w:eastAsia="Times New Roman" w:hAnsi="Calibri" w:cs="Times New Roman"/>
                <w:color w:val="000000"/>
                <w:sz w:val="20"/>
                <w:szCs w:val="20"/>
                <w:lang w:val="en-US"/>
              </w:rPr>
            </w:pPr>
            <w:r w:rsidRPr="00205610">
              <w:rPr>
                <w:rFonts w:eastAsia="Calibri" w:cstheme="minorHAnsi"/>
                <w:color w:val="000000" w:themeColor="text1"/>
                <w:sz w:val="20"/>
                <w:szCs w:val="20"/>
              </w:rPr>
              <w:t>1</w:t>
            </w:r>
            <w:r>
              <w:rPr>
                <w:rFonts w:eastAsia="Calibri" w:cstheme="minorHAnsi"/>
                <w:color w:val="000000" w:themeColor="text1"/>
                <w:sz w:val="20"/>
                <w:szCs w:val="20"/>
              </w:rPr>
              <w:t>,</w:t>
            </w:r>
            <w:r w:rsidRPr="00205610">
              <w:rPr>
                <w:rFonts w:eastAsia="Calibri" w:cstheme="minorHAnsi"/>
                <w:color w:val="000000" w:themeColor="text1"/>
                <w:sz w:val="20"/>
                <w:szCs w:val="20"/>
              </w:rPr>
              <w:t>397</w:t>
            </w:r>
          </w:p>
        </w:tc>
      </w:tr>
      <w:tr w:rsidR="0034730B" w:rsidRPr="00537128" w14:paraId="6F485851" w14:textId="77777777" w:rsidTr="00BF0DC2">
        <w:trPr>
          <w:trHeight w:val="227"/>
        </w:trPr>
        <w:tc>
          <w:tcPr>
            <w:tcW w:w="1971" w:type="pct"/>
            <w:vAlign w:val="center"/>
          </w:tcPr>
          <w:p w14:paraId="438CAEFB" w14:textId="77777777" w:rsidR="0034730B" w:rsidRPr="00537128" w:rsidRDefault="0034730B" w:rsidP="0034730B">
            <w:pPr>
              <w:tabs>
                <w:tab w:val="right" w:pos="1202"/>
              </w:tabs>
              <w:spacing w:after="0" w:line="260" w:lineRule="exact"/>
              <w:outlineLvl w:val="0"/>
              <w:rPr>
                <w:rFonts w:ascii="Calibri" w:eastAsia="Times New Roman" w:hAnsi="Calibri" w:cs="Arial"/>
                <w:b/>
                <w:spacing w:val="-2"/>
                <w:sz w:val="19"/>
                <w:szCs w:val="19"/>
                <w:lang w:val="en-US"/>
              </w:rPr>
            </w:pPr>
            <w:bookmarkStart w:id="411" w:name="_Toc4058815"/>
            <w:r w:rsidRPr="00537128">
              <w:rPr>
                <w:rFonts w:ascii="Calibri" w:eastAsia="Calibri" w:hAnsi="Calibri" w:cs="Arial"/>
                <w:sz w:val="19"/>
                <w:szCs w:val="19"/>
                <w:lang w:val="en-US"/>
              </w:rPr>
              <w:t>Accrued interest</w:t>
            </w:r>
            <w:bookmarkEnd w:id="411"/>
          </w:p>
        </w:tc>
        <w:tc>
          <w:tcPr>
            <w:tcW w:w="757" w:type="pct"/>
            <w:tcBorders>
              <w:top w:val="nil"/>
              <w:left w:val="nil"/>
              <w:bottom w:val="nil"/>
              <w:right w:val="nil"/>
            </w:tcBorders>
            <w:shd w:val="clear" w:color="auto" w:fill="auto"/>
          </w:tcPr>
          <w:p w14:paraId="0721B20C" w14:textId="50A1FDE4" w:rsidR="0034730B" w:rsidRPr="00537128" w:rsidRDefault="0034730B" w:rsidP="0034730B">
            <w:pPr>
              <w:tabs>
                <w:tab w:val="right" w:pos="1202"/>
              </w:tabs>
              <w:spacing w:after="0" w:line="260" w:lineRule="exact"/>
              <w:jc w:val="right"/>
              <w:outlineLvl w:val="0"/>
              <w:rPr>
                <w:rFonts w:ascii="Calibri" w:eastAsia="Times New Roman" w:hAnsi="Calibri" w:cs="Times New Roman"/>
                <w:sz w:val="19"/>
                <w:szCs w:val="19"/>
                <w:lang w:val="en-US"/>
              </w:rPr>
            </w:pPr>
            <w:r w:rsidRPr="008E5C2B">
              <w:rPr>
                <w:sz w:val="20"/>
                <w:szCs w:val="20"/>
              </w:rPr>
              <w:t xml:space="preserve"> 237 </w:t>
            </w:r>
          </w:p>
        </w:tc>
        <w:tc>
          <w:tcPr>
            <w:tcW w:w="758" w:type="pct"/>
            <w:tcBorders>
              <w:top w:val="nil"/>
              <w:left w:val="nil"/>
              <w:bottom w:val="nil"/>
              <w:right w:val="nil"/>
            </w:tcBorders>
            <w:shd w:val="clear" w:color="auto" w:fill="auto"/>
          </w:tcPr>
          <w:p w14:paraId="32B82830" w14:textId="32EB6CA4" w:rsidR="0034730B" w:rsidRPr="00537128" w:rsidRDefault="0034730B" w:rsidP="0034730B">
            <w:pPr>
              <w:tabs>
                <w:tab w:val="right" w:pos="1202"/>
              </w:tabs>
              <w:spacing w:after="0" w:line="260" w:lineRule="exact"/>
              <w:jc w:val="right"/>
              <w:outlineLvl w:val="0"/>
              <w:rPr>
                <w:rFonts w:ascii="Calibri" w:eastAsia="Times New Roman" w:hAnsi="Calibri" w:cs="Arial"/>
                <w:sz w:val="19"/>
                <w:szCs w:val="19"/>
                <w:lang w:val="en-US"/>
              </w:rPr>
            </w:pPr>
            <w:r w:rsidRPr="00205610">
              <w:rPr>
                <w:rFonts w:eastAsia="Calibri" w:cstheme="minorHAnsi"/>
                <w:color w:val="000000" w:themeColor="text1"/>
                <w:sz w:val="20"/>
                <w:szCs w:val="20"/>
              </w:rPr>
              <w:t>247</w:t>
            </w:r>
          </w:p>
        </w:tc>
        <w:tc>
          <w:tcPr>
            <w:tcW w:w="757" w:type="pct"/>
            <w:tcBorders>
              <w:top w:val="nil"/>
              <w:left w:val="nil"/>
              <w:bottom w:val="nil"/>
              <w:right w:val="nil"/>
            </w:tcBorders>
            <w:shd w:val="clear" w:color="auto" w:fill="auto"/>
          </w:tcPr>
          <w:p w14:paraId="5DEA8B42" w14:textId="2C20CFA6" w:rsidR="0034730B" w:rsidRPr="00537128" w:rsidRDefault="0034730B" w:rsidP="0034730B">
            <w:pPr>
              <w:tabs>
                <w:tab w:val="right" w:pos="1202"/>
              </w:tabs>
              <w:spacing w:after="0" w:line="260" w:lineRule="exact"/>
              <w:jc w:val="right"/>
              <w:outlineLvl w:val="0"/>
              <w:rPr>
                <w:rFonts w:ascii="Calibri" w:eastAsia="Times New Roman" w:hAnsi="Calibri" w:cs="Arial"/>
                <w:sz w:val="19"/>
                <w:szCs w:val="19"/>
                <w:lang w:val="en-US"/>
              </w:rPr>
            </w:pPr>
            <w:r w:rsidRPr="008E5C2B">
              <w:rPr>
                <w:sz w:val="20"/>
                <w:szCs w:val="20"/>
              </w:rPr>
              <w:t xml:space="preserve"> 237 </w:t>
            </w:r>
          </w:p>
        </w:tc>
        <w:tc>
          <w:tcPr>
            <w:tcW w:w="757" w:type="pct"/>
            <w:tcBorders>
              <w:top w:val="nil"/>
              <w:left w:val="nil"/>
              <w:bottom w:val="nil"/>
              <w:right w:val="nil"/>
            </w:tcBorders>
            <w:shd w:val="clear" w:color="auto" w:fill="auto"/>
          </w:tcPr>
          <w:p w14:paraId="09ED4A4E" w14:textId="5A7C4CA3" w:rsidR="0034730B" w:rsidRPr="00537128" w:rsidRDefault="0034730B" w:rsidP="0034730B">
            <w:pPr>
              <w:tabs>
                <w:tab w:val="right" w:pos="1202"/>
              </w:tabs>
              <w:spacing w:after="0" w:line="260" w:lineRule="exact"/>
              <w:jc w:val="right"/>
              <w:outlineLvl w:val="0"/>
              <w:rPr>
                <w:rFonts w:ascii="Calibri" w:eastAsia="Times New Roman" w:hAnsi="Calibri" w:cs="Arial"/>
                <w:sz w:val="19"/>
                <w:szCs w:val="19"/>
                <w:lang w:val="en-US"/>
              </w:rPr>
            </w:pPr>
            <w:r w:rsidRPr="00205610">
              <w:rPr>
                <w:rFonts w:eastAsia="Calibri" w:cstheme="minorHAnsi"/>
                <w:color w:val="000000" w:themeColor="text1"/>
                <w:sz w:val="20"/>
                <w:szCs w:val="20"/>
              </w:rPr>
              <w:t>247</w:t>
            </w:r>
          </w:p>
        </w:tc>
      </w:tr>
      <w:tr w:rsidR="0034730B" w:rsidRPr="00537128" w14:paraId="0F53F6F4" w14:textId="77777777" w:rsidTr="002E7785">
        <w:trPr>
          <w:trHeight w:val="275"/>
        </w:trPr>
        <w:tc>
          <w:tcPr>
            <w:tcW w:w="1971" w:type="pct"/>
          </w:tcPr>
          <w:p w14:paraId="45710E4A" w14:textId="77777777" w:rsidR="0034730B" w:rsidRPr="00537128" w:rsidRDefault="0034730B" w:rsidP="0034730B">
            <w:pPr>
              <w:tabs>
                <w:tab w:val="right" w:pos="1202"/>
              </w:tabs>
              <w:spacing w:after="0" w:line="260" w:lineRule="exact"/>
              <w:outlineLvl w:val="0"/>
              <w:rPr>
                <w:rFonts w:ascii="Calibri" w:eastAsia="Times New Roman" w:hAnsi="Calibri" w:cs="Arial"/>
                <w:b/>
                <w:i/>
                <w:spacing w:val="-2"/>
                <w:sz w:val="19"/>
                <w:szCs w:val="19"/>
                <w:lang w:val="en-US"/>
              </w:rPr>
            </w:pPr>
          </w:p>
        </w:tc>
        <w:tc>
          <w:tcPr>
            <w:tcW w:w="757" w:type="pct"/>
            <w:tcBorders>
              <w:top w:val="single" w:sz="4" w:space="0" w:color="auto"/>
              <w:left w:val="nil"/>
              <w:bottom w:val="single" w:sz="12" w:space="0" w:color="auto"/>
              <w:right w:val="nil"/>
            </w:tcBorders>
            <w:shd w:val="clear" w:color="auto" w:fill="auto"/>
            <w:vAlign w:val="bottom"/>
          </w:tcPr>
          <w:p w14:paraId="1D3E1842" w14:textId="159E9E7D" w:rsidR="0034730B" w:rsidRPr="00537128" w:rsidRDefault="0034730B" w:rsidP="0034730B">
            <w:pPr>
              <w:tabs>
                <w:tab w:val="right" w:pos="1202"/>
              </w:tabs>
              <w:spacing w:after="0" w:line="260" w:lineRule="exact"/>
              <w:jc w:val="right"/>
              <w:outlineLvl w:val="0"/>
              <w:rPr>
                <w:rFonts w:ascii="Calibri" w:eastAsia="Times New Roman" w:hAnsi="Calibri" w:cs="Times New Roman"/>
                <w:b/>
                <w:sz w:val="19"/>
                <w:szCs w:val="19"/>
                <w:lang w:val="en-US"/>
              </w:rPr>
            </w:pPr>
            <w:r>
              <w:rPr>
                <w:rFonts w:ascii="Calibri" w:eastAsia="Calibri" w:hAnsi="Calibri" w:cs="Calibri"/>
                <w:b/>
                <w:bCs/>
                <w:color w:val="000000"/>
                <w:sz w:val="20"/>
                <w:szCs w:val="20"/>
              </w:rPr>
              <w:t>2</w:t>
            </w:r>
            <w:r w:rsidR="00003367">
              <w:rPr>
                <w:rFonts w:ascii="Calibri" w:eastAsia="Calibri" w:hAnsi="Calibri" w:cs="Calibri"/>
                <w:b/>
                <w:bCs/>
                <w:color w:val="000000"/>
                <w:sz w:val="20"/>
                <w:szCs w:val="20"/>
              </w:rPr>
              <w:t>,</w:t>
            </w:r>
            <w:r>
              <w:rPr>
                <w:rFonts w:ascii="Calibri" w:eastAsia="Calibri" w:hAnsi="Calibri" w:cs="Calibri"/>
                <w:b/>
                <w:bCs/>
                <w:color w:val="000000"/>
                <w:sz w:val="20"/>
                <w:szCs w:val="20"/>
              </w:rPr>
              <w:t>151</w:t>
            </w:r>
          </w:p>
        </w:tc>
        <w:tc>
          <w:tcPr>
            <w:tcW w:w="758" w:type="pct"/>
            <w:tcBorders>
              <w:top w:val="single" w:sz="4" w:space="0" w:color="auto"/>
              <w:left w:val="nil"/>
              <w:bottom w:val="single" w:sz="12" w:space="0" w:color="auto"/>
              <w:right w:val="nil"/>
            </w:tcBorders>
            <w:shd w:val="clear" w:color="auto" w:fill="auto"/>
            <w:vAlign w:val="bottom"/>
          </w:tcPr>
          <w:p w14:paraId="72355A9D" w14:textId="3E27C0A6" w:rsidR="0034730B" w:rsidRPr="00537128" w:rsidRDefault="0034730B" w:rsidP="0034730B">
            <w:pPr>
              <w:tabs>
                <w:tab w:val="right" w:pos="1202"/>
              </w:tabs>
              <w:spacing w:after="0" w:line="260" w:lineRule="exact"/>
              <w:jc w:val="right"/>
              <w:outlineLvl w:val="0"/>
              <w:rPr>
                <w:rFonts w:ascii="Calibri" w:eastAsia="Times New Roman" w:hAnsi="Calibri" w:cs="Arial"/>
                <w:b/>
                <w:sz w:val="19"/>
                <w:szCs w:val="19"/>
                <w:lang w:val="en-US"/>
              </w:rPr>
            </w:pPr>
            <w:r w:rsidRPr="00205610">
              <w:rPr>
                <w:rFonts w:eastAsia="Calibri" w:cstheme="minorHAnsi"/>
                <w:b/>
                <w:bCs/>
                <w:color w:val="000000" w:themeColor="text1"/>
                <w:sz w:val="20"/>
                <w:szCs w:val="20"/>
              </w:rPr>
              <w:t>2</w:t>
            </w:r>
            <w:r>
              <w:rPr>
                <w:rFonts w:eastAsia="Calibri" w:cstheme="minorHAnsi"/>
                <w:b/>
                <w:bCs/>
                <w:color w:val="000000" w:themeColor="text1"/>
                <w:sz w:val="20"/>
                <w:szCs w:val="20"/>
              </w:rPr>
              <w:t>,</w:t>
            </w:r>
            <w:r w:rsidRPr="00205610">
              <w:rPr>
                <w:rFonts w:eastAsia="Calibri" w:cstheme="minorHAnsi"/>
                <w:b/>
                <w:bCs/>
                <w:color w:val="000000" w:themeColor="text1"/>
                <w:sz w:val="20"/>
                <w:szCs w:val="20"/>
              </w:rPr>
              <w:t>176</w:t>
            </w:r>
          </w:p>
        </w:tc>
        <w:tc>
          <w:tcPr>
            <w:tcW w:w="757" w:type="pct"/>
            <w:tcBorders>
              <w:top w:val="single" w:sz="4" w:space="0" w:color="auto"/>
              <w:left w:val="nil"/>
              <w:bottom w:val="single" w:sz="12" w:space="0" w:color="auto"/>
              <w:right w:val="nil"/>
            </w:tcBorders>
            <w:shd w:val="clear" w:color="auto" w:fill="auto"/>
            <w:vAlign w:val="bottom"/>
          </w:tcPr>
          <w:p w14:paraId="03E2338C" w14:textId="18991D8F" w:rsidR="0034730B" w:rsidRPr="00537128" w:rsidRDefault="0034730B" w:rsidP="0034730B">
            <w:pPr>
              <w:tabs>
                <w:tab w:val="right" w:pos="1202"/>
              </w:tabs>
              <w:spacing w:after="0" w:line="260" w:lineRule="exact"/>
              <w:jc w:val="right"/>
              <w:outlineLvl w:val="0"/>
              <w:rPr>
                <w:rFonts w:ascii="Calibri" w:eastAsia="Times New Roman" w:hAnsi="Calibri" w:cs="Arial"/>
                <w:b/>
                <w:sz w:val="19"/>
                <w:szCs w:val="19"/>
                <w:lang w:val="en-US"/>
              </w:rPr>
            </w:pPr>
            <w:r>
              <w:rPr>
                <w:rFonts w:ascii="Calibri" w:eastAsia="Calibri" w:hAnsi="Calibri" w:cs="Calibri"/>
                <w:b/>
                <w:bCs/>
                <w:color w:val="000000"/>
                <w:sz w:val="20"/>
                <w:szCs w:val="20"/>
              </w:rPr>
              <w:t>2</w:t>
            </w:r>
            <w:r w:rsidR="00003367">
              <w:rPr>
                <w:rFonts w:ascii="Calibri" w:eastAsia="Calibri" w:hAnsi="Calibri" w:cs="Calibri"/>
                <w:b/>
                <w:bCs/>
                <w:color w:val="000000"/>
                <w:sz w:val="20"/>
                <w:szCs w:val="20"/>
              </w:rPr>
              <w:t>,</w:t>
            </w:r>
            <w:r>
              <w:rPr>
                <w:rFonts w:ascii="Calibri" w:eastAsia="Calibri" w:hAnsi="Calibri" w:cs="Calibri"/>
                <w:b/>
                <w:bCs/>
                <w:color w:val="000000"/>
                <w:sz w:val="20"/>
                <w:szCs w:val="20"/>
              </w:rPr>
              <w:t>151</w:t>
            </w:r>
          </w:p>
        </w:tc>
        <w:tc>
          <w:tcPr>
            <w:tcW w:w="757" w:type="pct"/>
            <w:tcBorders>
              <w:top w:val="single" w:sz="4" w:space="0" w:color="auto"/>
              <w:left w:val="nil"/>
              <w:bottom w:val="single" w:sz="12" w:space="0" w:color="auto"/>
              <w:right w:val="nil"/>
            </w:tcBorders>
            <w:shd w:val="clear" w:color="auto" w:fill="auto"/>
            <w:vAlign w:val="bottom"/>
          </w:tcPr>
          <w:p w14:paraId="17E034BD" w14:textId="797AD68A" w:rsidR="0034730B" w:rsidRPr="00537128" w:rsidRDefault="0034730B" w:rsidP="0034730B">
            <w:pPr>
              <w:tabs>
                <w:tab w:val="right" w:pos="1202"/>
              </w:tabs>
              <w:spacing w:after="0" w:line="260" w:lineRule="exact"/>
              <w:jc w:val="right"/>
              <w:outlineLvl w:val="0"/>
              <w:rPr>
                <w:rFonts w:ascii="Calibri" w:eastAsia="Times New Roman" w:hAnsi="Calibri" w:cs="Arial"/>
                <w:b/>
                <w:sz w:val="19"/>
                <w:szCs w:val="19"/>
                <w:lang w:val="en-US"/>
              </w:rPr>
            </w:pPr>
            <w:r w:rsidRPr="00205610">
              <w:rPr>
                <w:rFonts w:eastAsia="Calibri" w:cstheme="minorHAnsi"/>
                <w:b/>
                <w:bCs/>
                <w:color w:val="000000" w:themeColor="text1"/>
                <w:sz w:val="20"/>
                <w:szCs w:val="20"/>
              </w:rPr>
              <w:t>2</w:t>
            </w:r>
            <w:r>
              <w:rPr>
                <w:rFonts w:eastAsia="Calibri" w:cstheme="minorHAnsi"/>
                <w:b/>
                <w:bCs/>
                <w:color w:val="000000" w:themeColor="text1"/>
                <w:sz w:val="20"/>
                <w:szCs w:val="20"/>
              </w:rPr>
              <w:t>,</w:t>
            </w:r>
            <w:r w:rsidRPr="00205610">
              <w:rPr>
                <w:rFonts w:eastAsia="Calibri" w:cstheme="minorHAnsi"/>
                <w:b/>
                <w:bCs/>
                <w:color w:val="000000" w:themeColor="text1"/>
                <w:sz w:val="20"/>
                <w:szCs w:val="20"/>
              </w:rPr>
              <w:t>176</w:t>
            </w:r>
          </w:p>
        </w:tc>
      </w:tr>
      <w:tr w:rsidR="0034730B" w:rsidRPr="00537128" w14:paraId="184CB027" w14:textId="77777777" w:rsidTr="002E7785">
        <w:trPr>
          <w:trHeight w:val="275"/>
        </w:trPr>
        <w:tc>
          <w:tcPr>
            <w:tcW w:w="1971" w:type="pct"/>
          </w:tcPr>
          <w:p w14:paraId="23359C46" w14:textId="77777777" w:rsidR="0034730B" w:rsidRPr="00537128" w:rsidRDefault="0034730B" w:rsidP="0034730B">
            <w:pPr>
              <w:tabs>
                <w:tab w:val="right" w:pos="1202"/>
              </w:tabs>
              <w:spacing w:after="0" w:line="260" w:lineRule="exact"/>
              <w:outlineLvl w:val="0"/>
              <w:rPr>
                <w:rFonts w:ascii="Calibri" w:eastAsia="Times New Roman" w:hAnsi="Calibri" w:cs="Arial"/>
                <w:b/>
                <w:i/>
                <w:spacing w:val="-2"/>
                <w:sz w:val="19"/>
                <w:szCs w:val="19"/>
                <w:lang w:val="en-US"/>
              </w:rPr>
            </w:pPr>
            <w:bookmarkStart w:id="412" w:name="_Toc4058824"/>
            <w:r w:rsidRPr="00537128">
              <w:rPr>
                <w:rFonts w:ascii="Calibri" w:eastAsia="Times New Roman" w:hAnsi="Calibri" w:cs="Arial"/>
                <w:b/>
                <w:i/>
                <w:spacing w:val="-2"/>
                <w:sz w:val="19"/>
                <w:szCs w:val="19"/>
                <w:lang w:val="en-US"/>
              </w:rPr>
              <w:t>Equity instruments:</w:t>
            </w:r>
            <w:bookmarkEnd w:id="412"/>
          </w:p>
        </w:tc>
        <w:tc>
          <w:tcPr>
            <w:tcW w:w="757" w:type="pct"/>
            <w:tcBorders>
              <w:top w:val="single" w:sz="4" w:space="0" w:color="auto"/>
            </w:tcBorders>
            <w:vAlign w:val="bottom"/>
          </w:tcPr>
          <w:p w14:paraId="5AB8F4A8" w14:textId="77777777" w:rsidR="0034730B" w:rsidRPr="00537128" w:rsidRDefault="0034730B" w:rsidP="0034730B">
            <w:pPr>
              <w:tabs>
                <w:tab w:val="right" w:pos="1202"/>
              </w:tabs>
              <w:spacing w:after="0" w:line="260" w:lineRule="exact"/>
              <w:jc w:val="right"/>
              <w:outlineLvl w:val="0"/>
              <w:rPr>
                <w:rFonts w:ascii="Calibri" w:eastAsia="Times New Roman" w:hAnsi="Calibri" w:cs="Times New Roman"/>
                <w:b/>
                <w:sz w:val="19"/>
                <w:szCs w:val="19"/>
                <w:lang w:val="en-US"/>
              </w:rPr>
            </w:pPr>
          </w:p>
        </w:tc>
        <w:tc>
          <w:tcPr>
            <w:tcW w:w="758" w:type="pct"/>
            <w:tcBorders>
              <w:top w:val="single" w:sz="4" w:space="0" w:color="auto"/>
            </w:tcBorders>
            <w:vAlign w:val="bottom"/>
          </w:tcPr>
          <w:p w14:paraId="048EB8F6" w14:textId="77777777" w:rsidR="0034730B" w:rsidRPr="00537128" w:rsidRDefault="0034730B" w:rsidP="0034730B">
            <w:pPr>
              <w:tabs>
                <w:tab w:val="right" w:pos="1202"/>
              </w:tabs>
              <w:spacing w:after="0" w:line="260" w:lineRule="exact"/>
              <w:jc w:val="right"/>
              <w:outlineLvl w:val="0"/>
              <w:rPr>
                <w:rFonts w:ascii="Calibri" w:eastAsia="Times New Roman" w:hAnsi="Calibri" w:cs="Arial"/>
                <w:b/>
                <w:sz w:val="19"/>
                <w:szCs w:val="19"/>
                <w:lang w:val="en-US"/>
              </w:rPr>
            </w:pPr>
          </w:p>
        </w:tc>
        <w:tc>
          <w:tcPr>
            <w:tcW w:w="757" w:type="pct"/>
            <w:tcBorders>
              <w:top w:val="single" w:sz="4" w:space="0" w:color="auto"/>
            </w:tcBorders>
            <w:vAlign w:val="bottom"/>
          </w:tcPr>
          <w:p w14:paraId="725A665E" w14:textId="77777777" w:rsidR="0034730B" w:rsidRPr="00537128" w:rsidRDefault="0034730B" w:rsidP="0034730B">
            <w:pPr>
              <w:tabs>
                <w:tab w:val="right" w:pos="1202"/>
              </w:tabs>
              <w:spacing w:after="0" w:line="260" w:lineRule="exact"/>
              <w:jc w:val="right"/>
              <w:outlineLvl w:val="0"/>
              <w:rPr>
                <w:rFonts w:ascii="Calibri" w:eastAsia="Times New Roman" w:hAnsi="Calibri" w:cs="Arial"/>
                <w:b/>
                <w:sz w:val="19"/>
                <w:szCs w:val="19"/>
                <w:lang w:val="en-US"/>
              </w:rPr>
            </w:pPr>
          </w:p>
        </w:tc>
        <w:tc>
          <w:tcPr>
            <w:tcW w:w="757" w:type="pct"/>
            <w:tcBorders>
              <w:top w:val="single" w:sz="4" w:space="0" w:color="auto"/>
            </w:tcBorders>
            <w:vAlign w:val="bottom"/>
          </w:tcPr>
          <w:p w14:paraId="11161C69" w14:textId="77777777" w:rsidR="0034730B" w:rsidRPr="00537128" w:rsidRDefault="0034730B" w:rsidP="0034730B">
            <w:pPr>
              <w:tabs>
                <w:tab w:val="right" w:pos="1202"/>
              </w:tabs>
              <w:spacing w:after="0" w:line="260" w:lineRule="exact"/>
              <w:jc w:val="right"/>
              <w:outlineLvl w:val="0"/>
              <w:rPr>
                <w:rFonts w:ascii="Calibri" w:eastAsia="Times New Roman" w:hAnsi="Calibri" w:cs="Arial"/>
                <w:b/>
                <w:sz w:val="19"/>
                <w:szCs w:val="19"/>
                <w:lang w:val="en-US"/>
              </w:rPr>
            </w:pPr>
          </w:p>
        </w:tc>
      </w:tr>
      <w:tr w:rsidR="0034730B" w:rsidRPr="00537128" w14:paraId="13901519" w14:textId="77777777" w:rsidTr="002E7785">
        <w:trPr>
          <w:trHeight w:val="275"/>
        </w:trPr>
        <w:tc>
          <w:tcPr>
            <w:tcW w:w="1971" w:type="pct"/>
          </w:tcPr>
          <w:p w14:paraId="510E90FF" w14:textId="77777777" w:rsidR="0034730B" w:rsidRPr="00537128" w:rsidRDefault="0034730B" w:rsidP="0034730B">
            <w:pPr>
              <w:tabs>
                <w:tab w:val="right" w:pos="1202"/>
              </w:tabs>
              <w:spacing w:after="0" w:line="260" w:lineRule="exact"/>
              <w:outlineLvl w:val="0"/>
              <w:rPr>
                <w:rFonts w:ascii="Calibri" w:eastAsia="Times New Roman" w:hAnsi="Calibri" w:cs="Arial"/>
                <w:b/>
                <w:spacing w:val="-2"/>
                <w:sz w:val="19"/>
                <w:szCs w:val="19"/>
                <w:lang w:val="en-US"/>
              </w:rPr>
            </w:pPr>
            <w:bookmarkStart w:id="413" w:name="_Toc4058825"/>
            <w:r w:rsidRPr="00537128">
              <w:rPr>
                <w:rFonts w:ascii="Calibri" w:eastAsia="Calibri" w:hAnsi="Calibri" w:cs="Arial"/>
                <w:b/>
                <w:spacing w:val="-2"/>
                <w:sz w:val="19"/>
                <w:szCs w:val="19"/>
                <w:lang w:val="en-US"/>
              </w:rPr>
              <w:t>Unlisted equity instruments:</w:t>
            </w:r>
            <w:bookmarkEnd w:id="413"/>
          </w:p>
        </w:tc>
        <w:tc>
          <w:tcPr>
            <w:tcW w:w="757" w:type="pct"/>
            <w:vAlign w:val="bottom"/>
          </w:tcPr>
          <w:p w14:paraId="36DD75C2" w14:textId="77777777" w:rsidR="0034730B" w:rsidRPr="00537128" w:rsidRDefault="0034730B" w:rsidP="0034730B">
            <w:pPr>
              <w:tabs>
                <w:tab w:val="right" w:pos="1202"/>
              </w:tabs>
              <w:spacing w:after="0" w:line="260" w:lineRule="exact"/>
              <w:jc w:val="right"/>
              <w:outlineLvl w:val="0"/>
              <w:rPr>
                <w:rFonts w:ascii="Calibri" w:eastAsia="Times New Roman" w:hAnsi="Calibri" w:cs="Times New Roman"/>
                <w:sz w:val="19"/>
                <w:szCs w:val="19"/>
                <w:lang w:val="en-US"/>
              </w:rPr>
            </w:pPr>
          </w:p>
        </w:tc>
        <w:tc>
          <w:tcPr>
            <w:tcW w:w="758" w:type="pct"/>
            <w:vAlign w:val="bottom"/>
          </w:tcPr>
          <w:p w14:paraId="68FB5543" w14:textId="77777777" w:rsidR="0034730B" w:rsidRPr="00537128" w:rsidRDefault="0034730B" w:rsidP="0034730B">
            <w:pPr>
              <w:tabs>
                <w:tab w:val="right" w:pos="1202"/>
              </w:tabs>
              <w:spacing w:after="0" w:line="260" w:lineRule="exact"/>
              <w:jc w:val="right"/>
              <w:outlineLvl w:val="0"/>
              <w:rPr>
                <w:rFonts w:ascii="Calibri" w:eastAsia="Times New Roman" w:hAnsi="Calibri" w:cs="Arial"/>
                <w:sz w:val="19"/>
                <w:szCs w:val="19"/>
                <w:lang w:val="en-US"/>
              </w:rPr>
            </w:pPr>
          </w:p>
        </w:tc>
        <w:tc>
          <w:tcPr>
            <w:tcW w:w="757" w:type="pct"/>
            <w:vAlign w:val="bottom"/>
          </w:tcPr>
          <w:p w14:paraId="0D02D79D" w14:textId="77777777" w:rsidR="0034730B" w:rsidRPr="00537128" w:rsidRDefault="0034730B" w:rsidP="0034730B">
            <w:pPr>
              <w:tabs>
                <w:tab w:val="right" w:pos="1202"/>
              </w:tabs>
              <w:spacing w:after="0" w:line="260" w:lineRule="exact"/>
              <w:jc w:val="right"/>
              <w:outlineLvl w:val="0"/>
              <w:rPr>
                <w:rFonts w:ascii="Calibri" w:eastAsia="Times New Roman" w:hAnsi="Calibri" w:cs="Arial"/>
                <w:sz w:val="19"/>
                <w:szCs w:val="19"/>
                <w:lang w:val="en-US"/>
              </w:rPr>
            </w:pPr>
          </w:p>
        </w:tc>
        <w:tc>
          <w:tcPr>
            <w:tcW w:w="757" w:type="pct"/>
            <w:vAlign w:val="bottom"/>
          </w:tcPr>
          <w:p w14:paraId="41166792" w14:textId="77777777" w:rsidR="0034730B" w:rsidRPr="00537128" w:rsidRDefault="0034730B" w:rsidP="0034730B">
            <w:pPr>
              <w:tabs>
                <w:tab w:val="right" w:pos="1202"/>
              </w:tabs>
              <w:spacing w:after="0" w:line="260" w:lineRule="exact"/>
              <w:jc w:val="right"/>
              <w:outlineLvl w:val="0"/>
              <w:rPr>
                <w:rFonts w:ascii="Calibri" w:eastAsia="Times New Roman" w:hAnsi="Calibri" w:cs="Arial"/>
                <w:sz w:val="19"/>
                <w:szCs w:val="19"/>
                <w:lang w:val="en-US"/>
              </w:rPr>
            </w:pPr>
          </w:p>
        </w:tc>
      </w:tr>
      <w:tr w:rsidR="00B86F1A" w:rsidRPr="00537128" w14:paraId="7B6A689E" w14:textId="77777777" w:rsidTr="002E7785">
        <w:trPr>
          <w:trHeight w:hRule="exact" w:val="506"/>
        </w:trPr>
        <w:tc>
          <w:tcPr>
            <w:tcW w:w="1971" w:type="pct"/>
            <w:vAlign w:val="bottom"/>
          </w:tcPr>
          <w:p w14:paraId="19861762" w14:textId="77777777" w:rsidR="00B86F1A" w:rsidRPr="00537128" w:rsidRDefault="00B86F1A" w:rsidP="00B86F1A">
            <w:pPr>
              <w:tabs>
                <w:tab w:val="right" w:pos="1202"/>
              </w:tabs>
              <w:spacing w:after="0" w:line="260" w:lineRule="exact"/>
              <w:outlineLvl w:val="0"/>
              <w:rPr>
                <w:rFonts w:ascii="Calibri" w:eastAsia="Times New Roman" w:hAnsi="Calibri" w:cs="Arial"/>
                <w:spacing w:val="-2"/>
                <w:sz w:val="19"/>
                <w:szCs w:val="19"/>
                <w:lang w:val="en-US"/>
              </w:rPr>
            </w:pPr>
            <w:bookmarkStart w:id="414" w:name="_Toc4058826"/>
            <w:r w:rsidRPr="00537128">
              <w:rPr>
                <w:rFonts w:ascii="Calibri" w:eastAsia="Calibri" w:hAnsi="Calibri" w:cs="Arial"/>
                <w:sz w:val="19"/>
                <w:szCs w:val="19"/>
                <w:lang w:val="en-US"/>
              </w:rPr>
              <w:t>Investments in shares of foreign legal entities - SWIFT</w:t>
            </w:r>
            <w:bookmarkEnd w:id="414"/>
          </w:p>
        </w:tc>
        <w:tc>
          <w:tcPr>
            <w:tcW w:w="757" w:type="pct"/>
            <w:tcBorders>
              <w:top w:val="nil"/>
              <w:left w:val="nil"/>
              <w:bottom w:val="nil"/>
              <w:right w:val="nil"/>
            </w:tcBorders>
            <w:shd w:val="clear" w:color="auto" w:fill="auto"/>
            <w:vAlign w:val="bottom"/>
          </w:tcPr>
          <w:p w14:paraId="483BC006" w14:textId="2E965369" w:rsidR="00B86F1A" w:rsidRPr="00537128" w:rsidRDefault="00B86F1A" w:rsidP="00B86F1A">
            <w:pPr>
              <w:tabs>
                <w:tab w:val="right" w:pos="1202"/>
              </w:tabs>
              <w:spacing w:after="0" w:line="260" w:lineRule="exact"/>
              <w:jc w:val="right"/>
              <w:outlineLvl w:val="0"/>
              <w:rPr>
                <w:rFonts w:ascii="Calibri" w:eastAsia="Times New Roman" w:hAnsi="Calibri" w:cs="Times New Roman"/>
                <w:sz w:val="19"/>
                <w:szCs w:val="19"/>
                <w:lang w:val="en-US"/>
              </w:rPr>
            </w:pPr>
            <w:r>
              <w:rPr>
                <w:rFonts w:ascii="Calibri" w:eastAsia="Calibri" w:hAnsi="Calibri" w:cs="Calibri"/>
                <w:color w:val="000000"/>
                <w:sz w:val="20"/>
                <w:szCs w:val="20"/>
              </w:rPr>
              <w:t>45</w:t>
            </w:r>
          </w:p>
        </w:tc>
        <w:tc>
          <w:tcPr>
            <w:tcW w:w="758" w:type="pct"/>
            <w:tcBorders>
              <w:top w:val="nil"/>
              <w:left w:val="nil"/>
              <w:bottom w:val="nil"/>
              <w:right w:val="nil"/>
            </w:tcBorders>
            <w:shd w:val="clear" w:color="auto" w:fill="auto"/>
            <w:vAlign w:val="bottom"/>
          </w:tcPr>
          <w:p w14:paraId="37429393" w14:textId="1EEB0926" w:rsidR="00B86F1A" w:rsidRPr="00537128" w:rsidRDefault="00B86F1A" w:rsidP="00B86F1A">
            <w:pPr>
              <w:tabs>
                <w:tab w:val="right" w:pos="1202"/>
              </w:tabs>
              <w:spacing w:after="0" w:line="260" w:lineRule="exact"/>
              <w:jc w:val="right"/>
              <w:outlineLvl w:val="0"/>
              <w:rPr>
                <w:rFonts w:ascii="Calibri" w:eastAsia="Times New Roman" w:hAnsi="Calibri" w:cs="Arial"/>
                <w:sz w:val="19"/>
                <w:szCs w:val="19"/>
                <w:lang w:val="en-US"/>
              </w:rPr>
            </w:pPr>
            <w:r w:rsidRPr="00EA3621">
              <w:rPr>
                <w:rFonts w:ascii="Calibri" w:eastAsia="Times New Roman" w:hAnsi="Calibri" w:cs="Calibri"/>
                <w:sz w:val="20"/>
                <w:szCs w:val="20"/>
              </w:rPr>
              <w:t xml:space="preserve"> 4</w:t>
            </w:r>
            <w:r>
              <w:rPr>
                <w:rFonts w:ascii="Calibri" w:eastAsia="Times New Roman" w:hAnsi="Calibri" w:cs="Calibri"/>
                <w:sz w:val="20"/>
                <w:szCs w:val="20"/>
              </w:rPr>
              <w:t>5</w:t>
            </w:r>
            <w:r w:rsidRPr="00EA3621">
              <w:rPr>
                <w:rFonts w:ascii="Calibri" w:eastAsia="Times New Roman" w:hAnsi="Calibri" w:cs="Calibri"/>
                <w:sz w:val="20"/>
                <w:szCs w:val="20"/>
              </w:rPr>
              <w:t xml:space="preserve"> </w:t>
            </w:r>
          </w:p>
        </w:tc>
        <w:tc>
          <w:tcPr>
            <w:tcW w:w="757" w:type="pct"/>
            <w:tcBorders>
              <w:top w:val="nil"/>
              <w:left w:val="nil"/>
              <w:bottom w:val="nil"/>
              <w:right w:val="nil"/>
            </w:tcBorders>
            <w:shd w:val="clear" w:color="auto" w:fill="auto"/>
            <w:vAlign w:val="bottom"/>
          </w:tcPr>
          <w:p w14:paraId="10244FBD" w14:textId="075B295F" w:rsidR="00B86F1A" w:rsidRPr="00537128" w:rsidRDefault="00B86F1A" w:rsidP="00B86F1A">
            <w:pPr>
              <w:tabs>
                <w:tab w:val="right" w:pos="1202"/>
              </w:tabs>
              <w:spacing w:after="0" w:line="260" w:lineRule="exact"/>
              <w:jc w:val="right"/>
              <w:outlineLvl w:val="0"/>
              <w:rPr>
                <w:rFonts w:ascii="Calibri" w:eastAsia="Times New Roman" w:hAnsi="Calibri" w:cs="Arial"/>
                <w:sz w:val="19"/>
                <w:szCs w:val="19"/>
                <w:lang w:val="en-US"/>
              </w:rPr>
            </w:pPr>
            <w:r>
              <w:rPr>
                <w:rFonts w:ascii="Calibri" w:eastAsia="Calibri" w:hAnsi="Calibri" w:cs="Calibri"/>
                <w:color w:val="000000"/>
                <w:sz w:val="20"/>
                <w:szCs w:val="20"/>
              </w:rPr>
              <w:t>45</w:t>
            </w:r>
          </w:p>
        </w:tc>
        <w:tc>
          <w:tcPr>
            <w:tcW w:w="757" w:type="pct"/>
            <w:tcBorders>
              <w:top w:val="nil"/>
              <w:left w:val="nil"/>
              <w:bottom w:val="nil"/>
              <w:right w:val="nil"/>
            </w:tcBorders>
            <w:shd w:val="clear" w:color="auto" w:fill="auto"/>
            <w:vAlign w:val="bottom"/>
          </w:tcPr>
          <w:p w14:paraId="5C13B743" w14:textId="1F859A5B" w:rsidR="00B86F1A" w:rsidRPr="00537128" w:rsidRDefault="00B86F1A" w:rsidP="00B86F1A">
            <w:pPr>
              <w:tabs>
                <w:tab w:val="right" w:pos="1202"/>
              </w:tabs>
              <w:spacing w:after="0" w:line="260" w:lineRule="exact"/>
              <w:jc w:val="right"/>
              <w:outlineLvl w:val="0"/>
              <w:rPr>
                <w:rFonts w:ascii="Calibri" w:eastAsia="Times New Roman" w:hAnsi="Calibri" w:cs="Arial"/>
                <w:sz w:val="19"/>
                <w:szCs w:val="19"/>
                <w:lang w:val="en-US"/>
              </w:rPr>
            </w:pPr>
            <w:r w:rsidRPr="00EA3621">
              <w:rPr>
                <w:rFonts w:ascii="Calibri" w:eastAsia="Times New Roman" w:hAnsi="Calibri" w:cs="Calibri"/>
                <w:sz w:val="20"/>
                <w:szCs w:val="20"/>
              </w:rPr>
              <w:t xml:space="preserve"> 4</w:t>
            </w:r>
            <w:r>
              <w:rPr>
                <w:rFonts w:ascii="Calibri" w:eastAsia="Times New Roman" w:hAnsi="Calibri" w:cs="Calibri"/>
                <w:sz w:val="20"/>
                <w:szCs w:val="20"/>
              </w:rPr>
              <w:t>5</w:t>
            </w:r>
            <w:r w:rsidRPr="00EA3621">
              <w:rPr>
                <w:rFonts w:ascii="Calibri" w:eastAsia="Times New Roman" w:hAnsi="Calibri" w:cs="Calibri"/>
                <w:sz w:val="20"/>
                <w:szCs w:val="20"/>
              </w:rPr>
              <w:t xml:space="preserve"> </w:t>
            </w:r>
          </w:p>
        </w:tc>
      </w:tr>
      <w:tr w:rsidR="00B86F1A" w:rsidRPr="00537128" w14:paraId="32351AFB" w14:textId="77777777" w:rsidTr="002E7785">
        <w:trPr>
          <w:trHeight w:hRule="exact" w:val="284"/>
        </w:trPr>
        <w:tc>
          <w:tcPr>
            <w:tcW w:w="1971" w:type="pct"/>
            <w:vAlign w:val="bottom"/>
          </w:tcPr>
          <w:p w14:paraId="3C3C6917" w14:textId="77777777" w:rsidR="00B86F1A" w:rsidRPr="00537128" w:rsidRDefault="00B86F1A" w:rsidP="00B86F1A">
            <w:pPr>
              <w:tabs>
                <w:tab w:val="right" w:pos="1202"/>
              </w:tabs>
              <w:spacing w:after="0" w:line="260" w:lineRule="exact"/>
              <w:outlineLvl w:val="0"/>
              <w:rPr>
                <w:rFonts w:ascii="Calibri" w:eastAsia="Calibri" w:hAnsi="Calibri" w:cs="Arial"/>
                <w:sz w:val="19"/>
                <w:szCs w:val="19"/>
                <w:lang w:val="en-US"/>
              </w:rPr>
            </w:pPr>
            <w:bookmarkStart w:id="415" w:name="_Toc4058831"/>
            <w:r w:rsidRPr="00537128">
              <w:rPr>
                <w:rFonts w:ascii="Calibri" w:eastAsia="Calibri" w:hAnsi="Calibri" w:cs="Arial"/>
                <w:sz w:val="19"/>
                <w:szCs w:val="19"/>
                <w:lang w:val="en-US"/>
              </w:rPr>
              <w:t>Shares of foreign financial institutions – EIF</w:t>
            </w:r>
            <w:bookmarkEnd w:id="415"/>
            <w:r w:rsidRPr="00537128">
              <w:rPr>
                <w:rFonts w:ascii="Calibri" w:eastAsia="Calibri" w:hAnsi="Calibri" w:cs="Arial"/>
                <w:sz w:val="19"/>
                <w:szCs w:val="19"/>
                <w:lang w:val="en-US"/>
              </w:rPr>
              <w:t xml:space="preserve"> </w:t>
            </w:r>
          </w:p>
        </w:tc>
        <w:tc>
          <w:tcPr>
            <w:tcW w:w="757" w:type="pct"/>
            <w:tcBorders>
              <w:top w:val="nil"/>
              <w:left w:val="nil"/>
              <w:bottom w:val="nil"/>
              <w:right w:val="nil"/>
            </w:tcBorders>
            <w:shd w:val="clear" w:color="auto" w:fill="auto"/>
            <w:vAlign w:val="bottom"/>
          </w:tcPr>
          <w:p w14:paraId="74985C36" w14:textId="0677045A" w:rsidR="00B86F1A" w:rsidRPr="00537128" w:rsidRDefault="00B86F1A" w:rsidP="00B86F1A">
            <w:pPr>
              <w:tabs>
                <w:tab w:val="right" w:pos="1202"/>
              </w:tabs>
              <w:spacing w:after="0" w:line="260" w:lineRule="exact"/>
              <w:jc w:val="right"/>
              <w:outlineLvl w:val="0"/>
              <w:rPr>
                <w:rFonts w:ascii="Calibri" w:eastAsia="Times New Roman" w:hAnsi="Calibri" w:cs="Times New Roman"/>
                <w:sz w:val="19"/>
                <w:szCs w:val="19"/>
                <w:lang w:val="en-US"/>
              </w:rPr>
            </w:pPr>
            <w:r>
              <w:rPr>
                <w:rFonts w:ascii="Calibri" w:eastAsia="Calibri" w:hAnsi="Calibri" w:cs="Calibri"/>
                <w:color w:val="000000"/>
                <w:sz w:val="20"/>
                <w:szCs w:val="20"/>
              </w:rPr>
              <w:t>43</w:t>
            </w:r>
            <w:r w:rsidR="00003367">
              <w:rPr>
                <w:rFonts w:ascii="Calibri" w:eastAsia="Calibri" w:hAnsi="Calibri" w:cs="Calibri"/>
                <w:color w:val="000000"/>
                <w:sz w:val="20"/>
                <w:szCs w:val="20"/>
              </w:rPr>
              <w:t>,</w:t>
            </w:r>
            <w:r>
              <w:rPr>
                <w:rFonts w:ascii="Calibri" w:eastAsia="Calibri" w:hAnsi="Calibri" w:cs="Calibri"/>
                <w:color w:val="000000"/>
                <w:sz w:val="20"/>
                <w:szCs w:val="20"/>
              </w:rPr>
              <w:t>311</w:t>
            </w:r>
          </w:p>
        </w:tc>
        <w:tc>
          <w:tcPr>
            <w:tcW w:w="758" w:type="pct"/>
            <w:tcBorders>
              <w:top w:val="nil"/>
              <w:left w:val="nil"/>
              <w:bottom w:val="nil"/>
              <w:right w:val="nil"/>
            </w:tcBorders>
            <w:shd w:val="clear" w:color="auto" w:fill="auto"/>
            <w:vAlign w:val="bottom"/>
          </w:tcPr>
          <w:p w14:paraId="1416810D" w14:textId="2F2D0CED" w:rsidR="00B86F1A" w:rsidRPr="00537128" w:rsidRDefault="00B86F1A" w:rsidP="00B86F1A">
            <w:pPr>
              <w:tabs>
                <w:tab w:val="right" w:pos="1202"/>
              </w:tabs>
              <w:spacing w:after="0" w:line="260" w:lineRule="exact"/>
              <w:jc w:val="right"/>
              <w:outlineLvl w:val="0"/>
              <w:rPr>
                <w:rFonts w:ascii="Calibri" w:eastAsia="Times New Roman" w:hAnsi="Calibri" w:cs="Arial"/>
                <w:sz w:val="19"/>
                <w:szCs w:val="19"/>
                <w:lang w:val="en-US"/>
              </w:rPr>
            </w:pPr>
            <w:r w:rsidRPr="00EA3621">
              <w:rPr>
                <w:rFonts w:ascii="Calibri" w:eastAsia="Times New Roman" w:hAnsi="Calibri" w:cs="Calibri"/>
                <w:sz w:val="20"/>
                <w:szCs w:val="20"/>
              </w:rPr>
              <w:t xml:space="preserve"> </w:t>
            </w:r>
            <w:r>
              <w:rPr>
                <w:rFonts w:ascii="Calibri" w:eastAsia="Times New Roman" w:hAnsi="Calibri" w:cs="Calibri"/>
                <w:sz w:val="20"/>
                <w:szCs w:val="20"/>
              </w:rPr>
              <w:t>42,971</w:t>
            </w:r>
            <w:r w:rsidRPr="00EA3621">
              <w:rPr>
                <w:rFonts w:ascii="Calibri" w:eastAsia="Times New Roman" w:hAnsi="Calibri" w:cs="Calibri"/>
                <w:sz w:val="20"/>
                <w:szCs w:val="20"/>
              </w:rPr>
              <w:t xml:space="preserve"> </w:t>
            </w:r>
          </w:p>
        </w:tc>
        <w:tc>
          <w:tcPr>
            <w:tcW w:w="757" w:type="pct"/>
            <w:tcBorders>
              <w:top w:val="nil"/>
              <w:left w:val="nil"/>
              <w:bottom w:val="nil"/>
              <w:right w:val="nil"/>
            </w:tcBorders>
            <w:shd w:val="clear" w:color="auto" w:fill="auto"/>
            <w:vAlign w:val="bottom"/>
          </w:tcPr>
          <w:p w14:paraId="3E6185E5" w14:textId="428D6FA2" w:rsidR="00B86F1A" w:rsidRPr="00537128" w:rsidRDefault="00B86F1A" w:rsidP="00B86F1A">
            <w:pPr>
              <w:tabs>
                <w:tab w:val="right" w:pos="1202"/>
              </w:tabs>
              <w:spacing w:after="0" w:line="260" w:lineRule="exact"/>
              <w:jc w:val="right"/>
              <w:outlineLvl w:val="0"/>
              <w:rPr>
                <w:rFonts w:ascii="Calibri" w:eastAsia="Times New Roman" w:hAnsi="Calibri" w:cs="Arial"/>
                <w:sz w:val="19"/>
                <w:szCs w:val="19"/>
                <w:lang w:val="en-US"/>
              </w:rPr>
            </w:pPr>
            <w:r>
              <w:rPr>
                <w:rFonts w:ascii="Calibri" w:eastAsia="Calibri" w:hAnsi="Calibri" w:cs="Calibri"/>
                <w:color w:val="000000"/>
                <w:sz w:val="20"/>
                <w:szCs w:val="20"/>
              </w:rPr>
              <w:t>43</w:t>
            </w:r>
            <w:r w:rsidR="00003367">
              <w:rPr>
                <w:rFonts w:ascii="Calibri" w:eastAsia="Calibri" w:hAnsi="Calibri" w:cs="Calibri"/>
                <w:color w:val="000000"/>
                <w:sz w:val="20"/>
                <w:szCs w:val="20"/>
              </w:rPr>
              <w:t>,</w:t>
            </w:r>
            <w:r>
              <w:rPr>
                <w:rFonts w:ascii="Calibri" w:eastAsia="Calibri" w:hAnsi="Calibri" w:cs="Calibri"/>
                <w:color w:val="000000"/>
                <w:sz w:val="20"/>
                <w:szCs w:val="20"/>
              </w:rPr>
              <w:t>311</w:t>
            </w:r>
          </w:p>
        </w:tc>
        <w:tc>
          <w:tcPr>
            <w:tcW w:w="757" w:type="pct"/>
            <w:tcBorders>
              <w:top w:val="nil"/>
              <w:left w:val="nil"/>
              <w:bottom w:val="nil"/>
              <w:right w:val="nil"/>
            </w:tcBorders>
            <w:shd w:val="clear" w:color="auto" w:fill="auto"/>
            <w:vAlign w:val="bottom"/>
          </w:tcPr>
          <w:p w14:paraId="3E5A888B" w14:textId="6633273E" w:rsidR="00B86F1A" w:rsidRPr="00537128" w:rsidRDefault="00B86F1A" w:rsidP="00B86F1A">
            <w:pPr>
              <w:tabs>
                <w:tab w:val="right" w:pos="1202"/>
              </w:tabs>
              <w:spacing w:after="0" w:line="260" w:lineRule="exact"/>
              <w:jc w:val="right"/>
              <w:outlineLvl w:val="0"/>
              <w:rPr>
                <w:rFonts w:ascii="Calibri" w:eastAsia="Times New Roman" w:hAnsi="Calibri" w:cs="Arial"/>
                <w:sz w:val="19"/>
                <w:szCs w:val="19"/>
                <w:lang w:val="en-US"/>
              </w:rPr>
            </w:pPr>
            <w:r w:rsidRPr="00EA3621">
              <w:rPr>
                <w:rFonts w:ascii="Calibri" w:eastAsia="Times New Roman" w:hAnsi="Calibri" w:cs="Calibri"/>
                <w:sz w:val="20"/>
                <w:szCs w:val="20"/>
              </w:rPr>
              <w:t xml:space="preserve"> </w:t>
            </w:r>
            <w:r>
              <w:rPr>
                <w:rFonts w:ascii="Calibri" w:eastAsia="Times New Roman" w:hAnsi="Calibri" w:cs="Calibri"/>
                <w:sz w:val="20"/>
                <w:szCs w:val="20"/>
              </w:rPr>
              <w:t>42,971</w:t>
            </w:r>
            <w:r w:rsidRPr="00EA3621">
              <w:rPr>
                <w:rFonts w:ascii="Calibri" w:eastAsia="Times New Roman" w:hAnsi="Calibri" w:cs="Calibri"/>
                <w:sz w:val="20"/>
                <w:szCs w:val="20"/>
              </w:rPr>
              <w:t xml:space="preserve"> </w:t>
            </w:r>
          </w:p>
        </w:tc>
      </w:tr>
      <w:tr w:rsidR="00B86F1A" w:rsidRPr="00537128" w14:paraId="29042B6B" w14:textId="77777777" w:rsidTr="002E7785">
        <w:trPr>
          <w:trHeight w:hRule="exact" w:val="316"/>
        </w:trPr>
        <w:tc>
          <w:tcPr>
            <w:tcW w:w="1971" w:type="pct"/>
          </w:tcPr>
          <w:p w14:paraId="3A58EAE6" w14:textId="77777777" w:rsidR="00B86F1A" w:rsidRPr="00537128" w:rsidRDefault="00B86F1A" w:rsidP="00B86F1A">
            <w:pPr>
              <w:tabs>
                <w:tab w:val="right" w:pos="1202"/>
              </w:tabs>
              <w:spacing w:after="0" w:line="260" w:lineRule="exact"/>
              <w:outlineLvl w:val="0"/>
              <w:rPr>
                <w:rFonts w:ascii="Calibri" w:eastAsia="Times New Roman" w:hAnsi="Calibri" w:cs="Arial"/>
                <w:spacing w:val="-2"/>
                <w:sz w:val="19"/>
                <w:szCs w:val="19"/>
                <w:lang w:val="en-US"/>
              </w:rPr>
            </w:pPr>
          </w:p>
        </w:tc>
        <w:tc>
          <w:tcPr>
            <w:tcW w:w="757" w:type="pct"/>
            <w:tcBorders>
              <w:top w:val="single" w:sz="4" w:space="0" w:color="auto"/>
              <w:left w:val="nil"/>
              <w:bottom w:val="single" w:sz="12" w:space="0" w:color="auto"/>
              <w:right w:val="nil"/>
            </w:tcBorders>
            <w:shd w:val="clear" w:color="auto" w:fill="auto"/>
            <w:vAlign w:val="bottom"/>
          </w:tcPr>
          <w:p w14:paraId="0038399F" w14:textId="76ED4446" w:rsidR="00B86F1A" w:rsidRPr="00537128" w:rsidRDefault="00B86F1A" w:rsidP="00B86F1A">
            <w:pPr>
              <w:tabs>
                <w:tab w:val="right" w:pos="1202"/>
              </w:tabs>
              <w:spacing w:after="0" w:line="260" w:lineRule="exact"/>
              <w:jc w:val="right"/>
              <w:outlineLvl w:val="0"/>
              <w:rPr>
                <w:rFonts w:ascii="Calibri" w:eastAsia="Times New Roman" w:hAnsi="Calibri" w:cs="Times New Roman"/>
                <w:b/>
                <w:sz w:val="19"/>
                <w:szCs w:val="19"/>
                <w:lang w:val="en-US"/>
              </w:rPr>
            </w:pPr>
            <w:r>
              <w:rPr>
                <w:rFonts w:ascii="Calibri" w:eastAsia="Calibri" w:hAnsi="Calibri" w:cs="Calibri"/>
                <w:b/>
                <w:bCs/>
                <w:color w:val="000000"/>
                <w:sz w:val="20"/>
                <w:szCs w:val="20"/>
              </w:rPr>
              <w:t>43</w:t>
            </w:r>
            <w:r w:rsidR="00003367">
              <w:rPr>
                <w:rFonts w:ascii="Calibri" w:eastAsia="Calibri" w:hAnsi="Calibri" w:cs="Calibri"/>
                <w:b/>
                <w:bCs/>
                <w:color w:val="000000"/>
                <w:sz w:val="20"/>
                <w:szCs w:val="20"/>
              </w:rPr>
              <w:t>,</w:t>
            </w:r>
            <w:r>
              <w:rPr>
                <w:rFonts w:ascii="Calibri" w:eastAsia="Calibri" w:hAnsi="Calibri" w:cs="Calibri"/>
                <w:b/>
                <w:bCs/>
                <w:color w:val="000000"/>
                <w:sz w:val="20"/>
                <w:szCs w:val="20"/>
              </w:rPr>
              <w:t>356</w:t>
            </w:r>
          </w:p>
        </w:tc>
        <w:tc>
          <w:tcPr>
            <w:tcW w:w="758" w:type="pct"/>
            <w:tcBorders>
              <w:top w:val="single" w:sz="4" w:space="0" w:color="auto"/>
              <w:left w:val="nil"/>
              <w:bottom w:val="single" w:sz="12" w:space="0" w:color="auto"/>
              <w:right w:val="nil"/>
            </w:tcBorders>
            <w:shd w:val="clear" w:color="auto" w:fill="auto"/>
            <w:vAlign w:val="bottom"/>
          </w:tcPr>
          <w:p w14:paraId="080747DB" w14:textId="588EDC24" w:rsidR="00B86F1A" w:rsidRPr="008C56EE" w:rsidRDefault="00B86F1A" w:rsidP="00B86F1A">
            <w:pPr>
              <w:tabs>
                <w:tab w:val="right" w:pos="1202"/>
              </w:tabs>
              <w:spacing w:after="0" w:line="260" w:lineRule="exact"/>
              <w:jc w:val="right"/>
              <w:outlineLvl w:val="0"/>
              <w:rPr>
                <w:rFonts w:ascii="Calibri" w:eastAsia="Times New Roman" w:hAnsi="Calibri" w:cs="Arial"/>
                <w:b/>
                <w:bCs/>
                <w:sz w:val="19"/>
                <w:szCs w:val="19"/>
                <w:lang w:val="en-US"/>
              </w:rPr>
            </w:pPr>
            <w:r w:rsidRPr="008C56EE">
              <w:rPr>
                <w:rFonts w:ascii="Calibri" w:eastAsia="Times New Roman" w:hAnsi="Calibri" w:cs="Calibri"/>
                <w:b/>
                <w:bCs/>
                <w:sz w:val="20"/>
                <w:szCs w:val="20"/>
                <w:lang w:val="en-US"/>
              </w:rPr>
              <w:t xml:space="preserve"> 43</w:t>
            </w:r>
            <w:r>
              <w:rPr>
                <w:rFonts w:ascii="Calibri" w:eastAsia="Times New Roman" w:hAnsi="Calibri" w:cs="Calibri"/>
                <w:b/>
                <w:bCs/>
                <w:sz w:val="20"/>
                <w:szCs w:val="20"/>
                <w:lang w:val="en-US"/>
              </w:rPr>
              <w:t>,</w:t>
            </w:r>
            <w:r w:rsidRPr="008C56EE">
              <w:rPr>
                <w:rFonts w:ascii="Calibri" w:eastAsia="Times New Roman" w:hAnsi="Calibri" w:cs="Calibri"/>
                <w:b/>
                <w:bCs/>
                <w:sz w:val="20"/>
                <w:szCs w:val="20"/>
                <w:lang w:val="en-US"/>
              </w:rPr>
              <w:t xml:space="preserve">016 </w:t>
            </w:r>
          </w:p>
        </w:tc>
        <w:tc>
          <w:tcPr>
            <w:tcW w:w="757" w:type="pct"/>
            <w:tcBorders>
              <w:top w:val="single" w:sz="4" w:space="0" w:color="auto"/>
              <w:left w:val="nil"/>
              <w:bottom w:val="single" w:sz="12" w:space="0" w:color="auto"/>
              <w:right w:val="nil"/>
            </w:tcBorders>
            <w:shd w:val="clear" w:color="auto" w:fill="auto"/>
            <w:vAlign w:val="bottom"/>
          </w:tcPr>
          <w:p w14:paraId="1A5C4DCA" w14:textId="333BEDBF" w:rsidR="00B86F1A" w:rsidRPr="008C56EE" w:rsidRDefault="00B86F1A" w:rsidP="00B86F1A">
            <w:pPr>
              <w:tabs>
                <w:tab w:val="right" w:pos="1202"/>
              </w:tabs>
              <w:spacing w:after="0" w:line="260" w:lineRule="exact"/>
              <w:jc w:val="right"/>
              <w:outlineLvl w:val="0"/>
              <w:rPr>
                <w:rFonts w:ascii="Calibri" w:eastAsia="Times New Roman" w:hAnsi="Calibri" w:cs="Arial"/>
                <w:b/>
                <w:bCs/>
                <w:sz w:val="19"/>
                <w:szCs w:val="19"/>
                <w:lang w:val="en-US"/>
              </w:rPr>
            </w:pPr>
            <w:r>
              <w:rPr>
                <w:rFonts w:ascii="Calibri" w:eastAsia="Calibri" w:hAnsi="Calibri" w:cs="Calibri"/>
                <w:b/>
                <w:bCs/>
                <w:color w:val="000000"/>
                <w:sz w:val="20"/>
                <w:szCs w:val="20"/>
              </w:rPr>
              <w:t>43</w:t>
            </w:r>
            <w:r w:rsidR="00003367">
              <w:rPr>
                <w:rFonts w:ascii="Calibri" w:eastAsia="Calibri" w:hAnsi="Calibri" w:cs="Calibri"/>
                <w:b/>
                <w:bCs/>
                <w:color w:val="000000"/>
                <w:sz w:val="20"/>
                <w:szCs w:val="20"/>
              </w:rPr>
              <w:t>,</w:t>
            </w:r>
            <w:r>
              <w:rPr>
                <w:rFonts w:ascii="Calibri" w:eastAsia="Calibri" w:hAnsi="Calibri" w:cs="Calibri"/>
                <w:b/>
                <w:bCs/>
                <w:color w:val="000000"/>
                <w:sz w:val="20"/>
                <w:szCs w:val="20"/>
              </w:rPr>
              <w:t>356</w:t>
            </w:r>
          </w:p>
        </w:tc>
        <w:tc>
          <w:tcPr>
            <w:tcW w:w="757" w:type="pct"/>
            <w:tcBorders>
              <w:top w:val="single" w:sz="4" w:space="0" w:color="auto"/>
              <w:left w:val="nil"/>
              <w:bottom w:val="single" w:sz="12" w:space="0" w:color="auto"/>
              <w:right w:val="nil"/>
            </w:tcBorders>
            <w:shd w:val="clear" w:color="auto" w:fill="auto"/>
            <w:vAlign w:val="bottom"/>
          </w:tcPr>
          <w:p w14:paraId="62210D32" w14:textId="4F2A5689" w:rsidR="00B86F1A" w:rsidRPr="008C56EE" w:rsidRDefault="00B86F1A" w:rsidP="00B86F1A">
            <w:pPr>
              <w:tabs>
                <w:tab w:val="right" w:pos="1202"/>
              </w:tabs>
              <w:spacing w:after="0" w:line="260" w:lineRule="exact"/>
              <w:jc w:val="right"/>
              <w:outlineLvl w:val="0"/>
              <w:rPr>
                <w:rFonts w:ascii="Calibri" w:eastAsia="Times New Roman" w:hAnsi="Calibri" w:cs="Arial"/>
                <w:b/>
                <w:bCs/>
                <w:sz w:val="19"/>
                <w:szCs w:val="19"/>
                <w:lang w:val="en-US"/>
              </w:rPr>
            </w:pPr>
            <w:r w:rsidRPr="008C56EE">
              <w:rPr>
                <w:rFonts w:ascii="Calibri" w:eastAsia="Times New Roman" w:hAnsi="Calibri" w:cs="Calibri"/>
                <w:b/>
                <w:bCs/>
                <w:sz w:val="20"/>
                <w:szCs w:val="20"/>
              </w:rPr>
              <w:t xml:space="preserve"> 43</w:t>
            </w:r>
            <w:r>
              <w:rPr>
                <w:rFonts w:ascii="Calibri" w:eastAsia="Times New Roman" w:hAnsi="Calibri" w:cs="Calibri"/>
                <w:b/>
                <w:bCs/>
                <w:sz w:val="20"/>
                <w:szCs w:val="20"/>
              </w:rPr>
              <w:t>,</w:t>
            </w:r>
            <w:r w:rsidRPr="008C56EE">
              <w:rPr>
                <w:rFonts w:ascii="Calibri" w:eastAsia="Times New Roman" w:hAnsi="Calibri" w:cs="Calibri"/>
                <w:b/>
                <w:bCs/>
                <w:sz w:val="20"/>
                <w:szCs w:val="20"/>
              </w:rPr>
              <w:t xml:space="preserve">016 </w:t>
            </w:r>
          </w:p>
        </w:tc>
      </w:tr>
      <w:tr w:rsidR="00B86F1A" w:rsidRPr="00537128" w14:paraId="7270D634" w14:textId="77777777" w:rsidTr="002E7785">
        <w:trPr>
          <w:trHeight w:hRule="exact" w:val="316"/>
        </w:trPr>
        <w:tc>
          <w:tcPr>
            <w:tcW w:w="1971" w:type="pct"/>
          </w:tcPr>
          <w:p w14:paraId="2002676A" w14:textId="77777777" w:rsidR="00B86F1A" w:rsidRPr="00537128" w:rsidRDefault="00B86F1A" w:rsidP="00B86F1A">
            <w:pPr>
              <w:tabs>
                <w:tab w:val="right" w:pos="1202"/>
              </w:tabs>
              <w:spacing w:after="0" w:line="260" w:lineRule="exact"/>
              <w:outlineLvl w:val="0"/>
              <w:rPr>
                <w:rFonts w:ascii="Calibri" w:eastAsia="Times New Roman" w:hAnsi="Calibri" w:cs="Arial"/>
                <w:spacing w:val="-2"/>
                <w:sz w:val="19"/>
                <w:szCs w:val="19"/>
                <w:lang w:val="en-US"/>
              </w:rPr>
            </w:pPr>
          </w:p>
        </w:tc>
        <w:tc>
          <w:tcPr>
            <w:tcW w:w="757" w:type="pct"/>
            <w:tcBorders>
              <w:top w:val="single" w:sz="12" w:space="0" w:color="auto"/>
              <w:left w:val="nil"/>
              <w:bottom w:val="single" w:sz="12" w:space="0" w:color="auto"/>
              <w:right w:val="nil"/>
            </w:tcBorders>
            <w:shd w:val="clear" w:color="auto" w:fill="auto"/>
            <w:vAlign w:val="bottom"/>
          </w:tcPr>
          <w:p w14:paraId="1746022F" w14:textId="7CAA9813" w:rsidR="00B86F1A" w:rsidRPr="00537128" w:rsidRDefault="00B86F1A" w:rsidP="00B86F1A">
            <w:pPr>
              <w:tabs>
                <w:tab w:val="right" w:pos="1202"/>
              </w:tabs>
              <w:spacing w:after="0" w:line="260" w:lineRule="exact"/>
              <w:jc w:val="right"/>
              <w:outlineLvl w:val="0"/>
              <w:rPr>
                <w:rFonts w:ascii="Calibri" w:eastAsia="Times New Roman" w:hAnsi="Calibri" w:cs="Times New Roman"/>
                <w:b/>
                <w:sz w:val="19"/>
                <w:szCs w:val="19"/>
                <w:lang w:val="en-US"/>
              </w:rPr>
            </w:pPr>
            <w:r>
              <w:rPr>
                <w:rFonts w:ascii="Calibri" w:eastAsia="Calibri" w:hAnsi="Calibri" w:cs="Calibri"/>
                <w:b/>
                <w:bCs/>
                <w:color w:val="000000"/>
                <w:sz w:val="20"/>
                <w:szCs w:val="20"/>
              </w:rPr>
              <w:t>3</w:t>
            </w:r>
            <w:r w:rsidR="00003367">
              <w:rPr>
                <w:rFonts w:ascii="Calibri" w:eastAsia="Calibri" w:hAnsi="Calibri" w:cs="Calibri"/>
                <w:b/>
                <w:bCs/>
                <w:color w:val="000000"/>
                <w:sz w:val="20"/>
                <w:szCs w:val="20"/>
              </w:rPr>
              <w:t>,</w:t>
            </w:r>
            <w:r>
              <w:rPr>
                <w:rFonts w:ascii="Calibri" w:eastAsia="Calibri" w:hAnsi="Calibri" w:cs="Calibri"/>
                <w:b/>
                <w:bCs/>
                <w:color w:val="000000"/>
                <w:sz w:val="20"/>
                <w:szCs w:val="20"/>
              </w:rPr>
              <w:t>249</w:t>
            </w:r>
            <w:r w:rsidR="00003367">
              <w:rPr>
                <w:rFonts w:ascii="Calibri" w:eastAsia="Calibri" w:hAnsi="Calibri" w:cs="Calibri"/>
                <w:b/>
                <w:bCs/>
                <w:color w:val="000000"/>
                <w:sz w:val="20"/>
                <w:szCs w:val="20"/>
              </w:rPr>
              <w:t>,</w:t>
            </w:r>
            <w:r>
              <w:rPr>
                <w:rFonts w:ascii="Calibri" w:eastAsia="Calibri" w:hAnsi="Calibri" w:cs="Calibri"/>
                <w:b/>
                <w:bCs/>
                <w:color w:val="000000"/>
                <w:sz w:val="20"/>
                <w:szCs w:val="20"/>
              </w:rPr>
              <w:t>003</w:t>
            </w:r>
          </w:p>
        </w:tc>
        <w:tc>
          <w:tcPr>
            <w:tcW w:w="758" w:type="pct"/>
            <w:tcBorders>
              <w:top w:val="single" w:sz="12" w:space="0" w:color="auto"/>
              <w:left w:val="nil"/>
              <w:bottom w:val="single" w:sz="12" w:space="0" w:color="auto"/>
              <w:right w:val="nil"/>
            </w:tcBorders>
            <w:shd w:val="clear" w:color="auto" w:fill="auto"/>
            <w:vAlign w:val="bottom"/>
          </w:tcPr>
          <w:p w14:paraId="73CE9326" w14:textId="65C74676" w:rsidR="00B86F1A" w:rsidRPr="00537128" w:rsidRDefault="00B86F1A" w:rsidP="00B86F1A">
            <w:pPr>
              <w:tabs>
                <w:tab w:val="right" w:pos="1202"/>
              </w:tabs>
              <w:spacing w:after="0" w:line="260" w:lineRule="exact"/>
              <w:jc w:val="right"/>
              <w:outlineLvl w:val="0"/>
              <w:rPr>
                <w:rFonts w:ascii="Calibri" w:eastAsia="Times New Roman" w:hAnsi="Calibri" w:cs="Arial"/>
                <w:b/>
                <w:sz w:val="19"/>
                <w:szCs w:val="19"/>
                <w:lang w:val="en-US"/>
              </w:rPr>
            </w:pPr>
            <w:r w:rsidRPr="00537128">
              <w:rPr>
                <w:rFonts w:ascii="Calibri" w:eastAsia="Times New Roman" w:hAnsi="Calibri" w:cs="Calibri"/>
                <w:b/>
                <w:bCs/>
                <w:sz w:val="20"/>
                <w:szCs w:val="20"/>
                <w:lang w:val="en-US"/>
              </w:rPr>
              <w:t xml:space="preserve"> </w:t>
            </w:r>
            <w:r>
              <w:rPr>
                <w:rFonts w:ascii="Calibri" w:eastAsia="Times New Roman" w:hAnsi="Calibri" w:cs="Calibri"/>
                <w:b/>
                <w:bCs/>
                <w:sz w:val="20"/>
                <w:szCs w:val="20"/>
                <w:lang w:val="en-US"/>
              </w:rPr>
              <w:t>2</w:t>
            </w:r>
            <w:r w:rsidRPr="00537128">
              <w:rPr>
                <w:rFonts w:ascii="Calibri" w:eastAsia="Times New Roman" w:hAnsi="Calibri" w:cs="Calibri"/>
                <w:b/>
                <w:bCs/>
                <w:sz w:val="20"/>
                <w:szCs w:val="20"/>
                <w:lang w:val="en-US"/>
              </w:rPr>
              <w:t>,</w:t>
            </w:r>
            <w:r>
              <w:rPr>
                <w:rFonts w:ascii="Calibri" w:eastAsia="Times New Roman" w:hAnsi="Calibri" w:cs="Calibri"/>
                <w:b/>
                <w:bCs/>
                <w:sz w:val="20"/>
                <w:szCs w:val="20"/>
                <w:lang w:val="en-US"/>
              </w:rPr>
              <w:t>972</w:t>
            </w:r>
            <w:r w:rsidRPr="00537128">
              <w:rPr>
                <w:rFonts w:ascii="Calibri" w:eastAsia="Times New Roman" w:hAnsi="Calibri" w:cs="Calibri"/>
                <w:b/>
                <w:bCs/>
                <w:sz w:val="20"/>
                <w:szCs w:val="20"/>
                <w:lang w:val="en-US"/>
              </w:rPr>
              <w:t>,</w:t>
            </w:r>
            <w:r>
              <w:rPr>
                <w:rFonts w:ascii="Calibri" w:eastAsia="Times New Roman" w:hAnsi="Calibri" w:cs="Calibri"/>
                <w:b/>
                <w:bCs/>
                <w:sz w:val="20"/>
                <w:szCs w:val="20"/>
                <w:lang w:val="en-US"/>
              </w:rPr>
              <w:t>530</w:t>
            </w:r>
            <w:r w:rsidRPr="00537128">
              <w:rPr>
                <w:rFonts w:ascii="Calibri" w:eastAsia="Times New Roman" w:hAnsi="Calibri" w:cs="Calibri"/>
                <w:b/>
                <w:bCs/>
                <w:sz w:val="20"/>
                <w:szCs w:val="20"/>
                <w:lang w:val="en-US"/>
              </w:rPr>
              <w:t xml:space="preserve"> </w:t>
            </w:r>
          </w:p>
        </w:tc>
        <w:tc>
          <w:tcPr>
            <w:tcW w:w="757" w:type="pct"/>
            <w:tcBorders>
              <w:top w:val="single" w:sz="12" w:space="0" w:color="auto"/>
              <w:left w:val="nil"/>
              <w:bottom w:val="single" w:sz="12" w:space="0" w:color="auto"/>
              <w:right w:val="nil"/>
            </w:tcBorders>
            <w:shd w:val="clear" w:color="auto" w:fill="auto"/>
            <w:vAlign w:val="bottom"/>
          </w:tcPr>
          <w:p w14:paraId="56EFFCFC" w14:textId="38092CB5" w:rsidR="00B86F1A" w:rsidRPr="00537128" w:rsidRDefault="00B86F1A" w:rsidP="00B86F1A">
            <w:pPr>
              <w:tabs>
                <w:tab w:val="right" w:pos="1202"/>
              </w:tabs>
              <w:spacing w:after="0" w:line="260" w:lineRule="exact"/>
              <w:jc w:val="right"/>
              <w:outlineLvl w:val="0"/>
              <w:rPr>
                <w:rFonts w:ascii="Calibri" w:eastAsia="Times New Roman" w:hAnsi="Calibri" w:cs="Arial"/>
                <w:b/>
                <w:sz w:val="19"/>
                <w:szCs w:val="19"/>
                <w:lang w:val="en-US"/>
              </w:rPr>
            </w:pPr>
            <w:r>
              <w:rPr>
                <w:rFonts w:ascii="Calibri" w:eastAsia="Calibri" w:hAnsi="Calibri" w:cs="Calibri"/>
                <w:b/>
                <w:bCs/>
                <w:color w:val="000000"/>
                <w:sz w:val="20"/>
                <w:szCs w:val="20"/>
              </w:rPr>
              <w:t>3</w:t>
            </w:r>
            <w:r w:rsidR="00003367">
              <w:rPr>
                <w:rFonts w:ascii="Calibri" w:eastAsia="Calibri" w:hAnsi="Calibri" w:cs="Calibri"/>
                <w:b/>
                <w:bCs/>
                <w:color w:val="000000"/>
                <w:sz w:val="20"/>
                <w:szCs w:val="20"/>
              </w:rPr>
              <w:t>,</w:t>
            </w:r>
            <w:r>
              <w:rPr>
                <w:rFonts w:ascii="Calibri" w:eastAsia="Calibri" w:hAnsi="Calibri" w:cs="Calibri"/>
                <w:b/>
                <w:bCs/>
                <w:color w:val="000000"/>
                <w:sz w:val="20"/>
                <w:szCs w:val="20"/>
              </w:rPr>
              <w:t>195</w:t>
            </w:r>
            <w:r w:rsidR="00003367">
              <w:rPr>
                <w:rFonts w:ascii="Calibri" w:eastAsia="Calibri" w:hAnsi="Calibri" w:cs="Calibri"/>
                <w:b/>
                <w:bCs/>
                <w:color w:val="000000"/>
                <w:sz w:val="20"/>
                <w:szCs w:val="20"/>
              </w:rPr>
              <w:t>,</w:t>
            </w:r>
            <w:r>
              <w:rPr>
                <w:rFonts w:ascii="Calibri" w:eastAsia="Calibri" w:hAnsi="Calibri" w:cs="Calibri"/>
                <w:b/>
                <w:bCs/>
                <w:color w:val="000000"/>
                <w:sz w:val="20"/>
                <w:szCs w:val="20"/>
              </w:rPr>
              <w:t>860</w:t>
            </w:r>
          </w:p>
        </w:tc>
        <w:tc>
          <w:tcPr>
            <w:tcW w:w="757" w:type="pct"/>
            <w:tcBorders>
              <w:top w:val="single" w:sz="12" w:space="0" w:color="auto"/>
              <w:left w:val="nil"/>
              <w:bottom w:val="single" w:sz="12" w:space="0" w:color="auto"/>
              <w:right w:val="nil"/>
            </w:tcBorders>
            <w:shd w:val="clear" w:color="auto" w:fill="auto"/>
            <w:vAlign w:val="bottom"/>
          </w:tcPr>
          <w:p w14:paraId="4FC923D7" w14:textId="19106095" w:rsidR="00B86F1A" w:rsidRPr="00537128" w:rsidRDefault="00B86F1A" w:rsidP="00B86F1A">
            <w:pPr>
              <w:tabs>
                <w:tab w:val="right" w:pos="1202"/>
              </w:tabs>
              <w:spacing w:after="0" w:line="260" w:lineRule="exact"/>
              <w:jc w:val="right"/>
              <w:outlineLvl w:val="0"/>
              <w:rPr>
                <w:rFonts w:ascii="Calibri" w:eastAsia="Times New Roman" w:hAnsi="Calibri" w:cs="Arial"/>
                <w:b/>
                <w:sz w:val="19"/>
                <w:szCs w:val="19"/>
                <w:lang w:val="en-US"/>
              </w:rPr>
            </w:pPr>
            <w:r w:rsidRPr="00EA3621">
              <w:rPr>
                <w:rFonts w:ascii="Calibri" w:eastAsia="Times New Roman" w:hAnsi="Calibri" w:cs="Calibri"/>
                <w:b/>
                <w:bCs/>
                <w:sz w:val="20"/>
                <w:szCs w:val="20"/>
              </w:rPr>
              <w:t xml:space="preserve"> </w:t>
            </w:r>
            <w:r>
              <w:rPr>
                <w:rFonts w:ascii="Calibri" w:eastAsia="Times New Roman" w:hAnsi="Calibri" w:cs="Calibri"/>
                <w:b/>
                <w:bCs/>
                <w:sz w:val="20"/>
                <w:szCs w:val="20"/>
              </w:rPr>
              <w:t>2,915,704</w:t>
            </w:r>
            <w:r w:rsidRPr="00EA3621">
              <w:rPr>
                <w:rFonts w:ascii="Calibri" w:eastAsia="Times New Roman" w:hAnsi="Calibri" w:cs="Calibri"/>
                <w:b/>
                <w:bCs/>
                <w:sz w:val="20"/>
                <w:szCs w:val="20"/>
              </w:rPr>
              <w:t xml:space="preserve"> </w:t>
            </w:r>
          </w:p>
        </w:tc>
      </w:tr>
    </w:tbl>
    <w:p w14:paraId="24881430" w14:textId="77777777" w:rsidR="00436A23" w:rsidRPr="00537128" w:rsidRDefault="00436A23" w:rsidP="00436A23">
      <w:pPr>
        <w:spacing w:after="0" w:line="240" w:lineRule="auto"/>
        <w:rPr>
          <w:rFonts w:ascii="Calibri" w:eastAsia="Calibri" w:hAnsi="Calibri" w:cs="Times New Roman"/>
          <w:color w:val="000000" w:themeColor="text1"/>
          <w:sz w:val="16"/>
          <w:szCs w:val="16"/>
          <w:lang w:val="en-US"/>
        </w:rPr>
      </w:pPr>
    </w:p>
    <w:p w14:paraId="770B689B" w14:textId="3F7CB88A" w:rsidR="00436A23" w:rsidRPr="00537128" w:rsidRDefault="002E7785" w:rsidP="00436A23">
      <w:pPr>
        <w:spacing w:after="0" w:line="240" w:lineRule="auto"/>
        <w:jc w:val="both"/>
        <w:rPr>
          <w:rFonts w:ascii="Calibri" w:eastAsia="Times New Roman" w:hAnsi="Calibri" w:cs="Times New Roman"/>
          <w:color w:val="000000" w:themeColor="text1"/>
          <w:lang w:val="en-US"/>
        </w:rPr>
      </w:pPr>
      <w:bookmarkStart w:id="416" w:name="_Hlk32916405"/>
      <w:r w:rsidRPr="00537128">
        <w:rPr>
          <w:rFonts w:ascii="Calibri" w:eastAsia="Times New Roman" w:hAnsi="Calibri" w:cs="Times New Roman"/>
          <w:color w:val="000000" w:themeColor="text1"/>
          <w:lang w:val="en-US"/>
        </w:rPr>
        <w:t xml:space="preserve">Non-listed convertible bonds (CB) of the </w:t>
      </w:r>
      <w:proofErr w:type="spellStart"/>
      <w:r w:rsidRPr="00537128">
        <w:rPr>
          <w:rFonts w:ascii="Calibri" w:eastAsia="Times New Roman" w:hAnsi="Calibri" w:cs="Times New Roman"/>
          <w:color w:val="000000" w:themeColor="text1"/>
          <w:lang w:val="en-US"/>
        </w:rPr>
        <w:t>Fortenova</w:t>
      </w:r>
      <w:proofErr w:type="spellEnd"/>
      <w:r w:rsidRPr="00537128">
        <w:rPr>
          <w:rFonts w:ascii="Calibri" w:eastAsia="Times New Roman" w:hAnsi="Calibri" w:cs="Times New Roman"/>
          <w:color w:val="000000" w:themeColor="text1"/>
          <w:lang w:val="en-US"/>
        </w:rPr>
        <w:t xml:space="preserve"> Group </w:t>
      </w:r>
      <w:proofErr w:type="spellStart"/>
      <w:r w:rsidRPr="00537128">
        <w:rPr>
          <w:rFonts w:ascii="Calibri" w:eastAsia="Times New Roman" w:hAnsi="Calibri" w:cs="Times New Roman"/>
          <w:color w:val="000000" w:themeColor="text1"/>
          <w:lang w:val="en-US"/>
        </w:rPr>
        <w:t>TopCo</w:t>
      </w:r>
      <w:proofErr w:type="spellEnd"/>
      <w:r w:rsidRPr="00537128">
        <w:rPr>
          <w:rFonts w:ascii="Calibri" w:eastAsia="Times New Roman" w:hAnsi="Calibri" w:cs="Times New Roman"/>
          <w:color w:val="000000" w:themeColor="text1"/>
          <w:lang w:val="en-US"/>
        </w:rPr>
        <w:t xml:space="preserve"> B.V. in the amount of HRK </w:t>
      </w:r>
      <w:r w:rsidRPr="00266377">
        <w:rPr>
          <w:rFonts w:ascii="Calibri" w:eastAsia="Times New Roman" w:hAnsi="Calibri" w:cs="Times New Roman"/>
          <w:color w:val="000000" w:themeColor="text1"/>
          <w:lang w:val="en-US"/>
        </w:rPr>
        <w:t>1,</w:t>
      </w:r>
      <w:r w:rsidR="00266377" w:rsidRPr="00266377">
        <w:rPr>
          <w:rFonts w:ascii="Calibri" w:eastAsia="Times New Roman" w:hAnsi="Calibri" w:cs="Times New Roman"/>
          <w:color w:val="000000" w:themeColor="text1"/>
          <w:lang w:val="en-US"/>
        </w:rPr>
        <w:t>408</w:t>
      </w:r>
      <w:r w:rsidRPr="00537128">
        <w:rPr>
          <w:rFonts w:ascii="Calibri" w:eastAsia="Times New Roman" w:hAnsi="Calibri" w:cs="Times New Roman"/>
          <w:color w:val="000000" w:themeColor="text1"/>
          <w:lang w:val="en-US"/>
        </w:rPr>
        <w:t xml:space="preserve"> thousand (31 December 202</w:t>
      </w:r>
      <w:r w:rsidR="007E10C9">
        <w:rPr>
          <w:rFonts w:ascii="Calibri" w:eastAsia="Times New Roman" w:hAnsi="Calibri" w:cs="Times New Roman"/>
          <w:color w:val="000000" w:themeColor="text1"/>
          <w:lang w:val="en-US"/>
        </w:rPr>
        <w:t>1</w:t>
      </w:r>
      <w:r w:rsidRPr="00537128">
        <w:rPr>
          <w:rFonts w:ascii="Calibri" w:eastAsia="Times New Roman" w:hAnsi="Calibri" w:cs="Times New Roman"/>
          <w:color w:val="000000" w:themeColor="text1"/>
          <w:lang w:val="en-US"/>
        </w:rPr>
        <w:t>: HRK 1,3</w:t>
      </w:r>
      <w:r w:rsidR="007E10C9">
        <w:rPr>
          <w:rFonts w:ascii="Calibri" w:eastAsia="Times New Roman" w:hAnsi="Calibri" w:cs="Times New Roman"/>
          <w:color w:val="000000" w:themeColor="text1"/>
          <w:lang w:val="en-US"/>
        </w:rPr>
        <w:t>9</w:t>
      </w:r>
      <w:r w:rsidRPr="00537128">
        <w:rPr>
          <w:rFonts w:ascii="Calibri" w:eastAsia="Times New Roman" w:hAnsi="Calibri" w:cs="Times New Roman"/>
          <w:color w:val="000000" w:themeColor="text1"/>
          <w:lang w:val="en-US"/>
        </w:rPr>
        <w:t xml:space="preserve">7 thousand) have been taken over through the Settlement under the Extraordinary Administration Proceedings against the company </w:t>
      </w:r>
      <w:proofErr w:type="spellStart"/>
      <w:r w:rsidRPr="00537128">
        <w:rPr>
          <w:rFonts w:ascii="Calibri" w:eastAsia="Times New Roman" w:hAnsi="Calibri" w:cs="Times New Roman"/>
          <w:color w:val="000000" w:themeColor="text1"/>
          <w:lang w:val="en-US"/>
        </w:rPr>
        <w:t>Agrokor</w:t>
      </w:r>
      <w:proofErr w:type="spellEnd"/>
      <w:r w:rsidRPr="00537128">
        <w:rPr>
          <w:rFonts w:ascii="Calibri" w:eastAsia="Times New Roman" w:hAnsi="Calibri" w:cs="Times New Roman"/>
          <w:color w:val="000000" w:themeColor="text1"/>
          <w:lang w:val="en-US"/>
        </w:rPr>
        <w:t xml:space="preserve"> </w:t>
      </w:r>
      <w:proofErr w:type="spellStart"/>
      <w:r w:rsidRPr="00537128">
        <w:rPr>
          <w:rFonts w:ascii="Calibri" w:eastAsia="Times New Roman" w:hAnsi="Calibri" w:cs="Times New Roman"/>
          <w:color w:val="000000" w:themeColor="text1"/>
          <w:lang w:val="en-US"/>
        </w:rPr>
        <w:t>d.d.</w:t>
      </w:r>
      <w:proofErr w:type="spellEnd"/>
      <w:r w:rsidRPr="00537128">
        <w:rPr>
          <w:rFonts w:ascii="Calibri" w:eastAsia="Times New Roman" w:hAnsi="Calibri" w:cs="Times New Roman"/>
          <w:color w:val="000000" w:themeColor="text1"/>
          <w:lang w:val="en-US"/>
        </w:rPr>
        <w:t xml:space="preserve"> et al.</w:t>
      </w:r>
    </w:p>
    <w:p w14:paraId="2E472E88" w14:textId="77777777" w:rsidR="002E7785" w:rsidRPr="00537128" w:rsidRDefault="002E7785" w:rsidP="00436A23">
      <w:pPr>
        <w:spacing w:after="0" w:line="240" w:lineRule="auto"/>
        <w:jc w:val="both"/>
        <w:rPr>
          <w:rFonts w:ascii="Calibri" w:eastAsia="Times New Roman" w:hAnsi="Calibri" w:cs="Times New Roman"/>
          <w:color w:val="000000" w:themeColor="text1"/>
          <w:sz w:val="20"/>
          <w:lang w:val="en-US"/>
        </w:rPr>
      </w:pPr>
    </w:p>
    <w:bookmarkEnd w:id="416"/>
    <w:p w14:paraId="0BB90CDB" w14:textId="77777777" w:rsidR="00436A23" w:rsidRPr="00537128" w:rsidRDefault="00436A23" w:rsidP="007E6CE7">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The following tables sets out information about the credit quality of financial assets measured at FVOCI. The amounts in the table represent gross carrying amounts:</w:t>
      </w:r>
    </w:p>
    <w:p w14:paraId="552EDB7D" w14:textId="77777777" w:rsidR="00436A23" w:rsidRPr="00537128" w:rsidRDefault="00436A23" w:rsidP="007E6CE7">
      <w:pPr>
        <w:spacing w:after="0" w:line="240" w:lineRule="auto"/>
        <w:jc w:val="both"/>
        <w:rPr>
          <w:rFonts w:ascii="Calibri" w:eastAsia="Times New Roman" w:hAnsi="Calibri" w:cs="Times New Roman"/>
          <w:color w:val="000000" w:themeColor="text1"/>
          <w:sz w:val="16"/>
          <w:szCs w:val="16"/>
          <w:lang w:val="en-US"/>
        </w:rPr>
      </w:pPr>
    </w:p>
    <w:tbl>
      <w:tblPr>
        <w:tblW w:w="5235" w:type="pct"/>
        <w:tblInd w:w="-142" w:type="dxa"/>
        <w:tblLayout w:type="fixed"/>
        <w:tblLook w:val="0000" w:firstRow="0" w:lastRow="0" w:firstColumn="0" w:lastColumn="0" w:noHBand="0" w:noVBand="0"/>
      </w:tblPr>
      <w:tblGrid>
        <w:gridCol w:w="1838"/>
        <w:gridCol w:w="953"/>
        <w:gridCol w:w="953"/>
        <w:gridCol w:w="954"/>
        <w:gridCol w:w="954"/>
        <w:gridCol w:w="954"/>
        <w:gridCol w:w="954"/>
        <w:gridCol w:w="954"/>
        <w:gridCol w:w="984"/>
      </w:tblGrid>
      <w:tr w:rsidR="002E7785" w:rsidRPr="00163273" w14:paraId="656AC312" w14:textId="77777777" w:rsidTr="00003367">
        <w:trPr>
          <w:trHeight w:val="326"/>
        </w:trPr>
        <w:tc>
          <w:tcPr>
            <w:tcW w:w="968" w:type="pct"/>
            <w:vAlign w:val="bottom"/>
          </w:tcPr>
          <w:p w14:paraId="16575143" w14:textId="416294E7" w:rsidR="002E7785" w:rsidRPr="00A1123E" w:rsidRDefault="002E7785" w:rsidP="002E7785">
            <w:pPr>
              <w:tabs>
                <w:tab w:val="left" w:pos="-720"/>
              </w:tabs>
              <w:suppressAutoHyphens/>
              <w:spacing w:after="0" w:line="220" w:lineRule="exact"/>
              <w:rPr>
                <w:rFonts w:ascii="Calibri" w:eastAsia="Times New Roman" w:hAnsi="Calibri" w:cs="Arial"/>
                <w:b/>
                <w:sz w:val="18"/>
                <w:szCs w:val="18"/>
                <w:lang w:val="en-US"/>
              </w:rPr>
            </w:pPr>
            <w:r w:rsidRPr="00A1123E">
              <w:rPr>
                <w:rFonts w:ascii="Calibri" w:eastAsia="Times New Roman" w:hAnsi="Calibri" w:cs="Arial"/>
                <w:b/>
                <w:sz w:val="18"/>
                <w:szCs w:val="18"/>
                <w:lang w:val="en-US"/>
              </w:rPr>
              <w:t>31 March 202</w:t>
            </w:r>
            <w:r w:rsidR="00095167">
              <w:rPr>
                <w:rFonts w:ascii="Calibri" w:eastAsia="Times New Roman" w:hAnsi="Calibri" w:cs="Arial"/>
                <w:b/>
                <w:sz w:val="18"/>
                <w:szCs w:val="18"/>
                <w:lang w:val="en-US"/>
              </w:rPr>
              <w:t>2</w:t>
            </w:r>
          </w:p>
        </w:tc>
        <w:tc>
          <w:tcPr>
            <w:tcW w:w="502" w:type="pct"/>
            <w:vAlign w:val="bottom"/>
          </w:tcPr>
          <w:p w14:paraId="2ED523B3" w14:textId="77777777" w:rsidR="002E7785" w:rsidRPr="00A1123E"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p>
        </w:tc>
        <w:tc>
          <w:tcPr>
            <w:tcW w:w="502" w:type="pct"/>
            <w:shd w:val="clear" w:color="auto" w:fill="auto"/>
            <w:vAlign w:val="bottom"/>
          </w:tcPr>
          <w:p w14:paraId="41C751E2" w14:textId="77777777" w:rsidR="002E7785" w:rsidRPr="00A1123E"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p>
        </w:tc>
        <w:tc>
          <w:tcPr>
            <w:tcW w:w="502" w:type="pct"/>
            <w:shd w:val="clear" w:color="auto" w:fill="auto"/>
            <w:vAlign w:val="bottom"/>
          </w:tcPr>
          <w:p w14:paraId="169D2C5D"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p>
        </w:tc>
        <w:tc>
          <w:tcPr>
            <w:tcW w:w="502" w:type="pct"/>
            <w:vAlign w:val="bottom"/>
          </w:tcPr>
          <w:p w14:paraId="26BB966C" w14:textId="77777777" w:rsidR="002E7785" w:rsidRPr="00A1123E"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bookmarkStart w:id="417" w:name="_Toc4058844"/>
            <w:r w:rsidRPr="00A1123E">
              <w:rPr>
                <w:rFonts w:ascii="Calibri" w:eastAsia="Times New Roman" w:hAnsi="Calibri" w:cs="Arial"/>
                <w:b/>
                <w:sz w:val="18"/>
                <w:szCs w:val="18"/>
                <w:lang w:val="en-US"/>
              </w:rPr>
              <w:t>Group</w:t>
            </w:r>
            <w:bookmarkEnd w:id="417"/>
          </w:p>
        </w:tc>
        <w:tc>
          <w:tcPr>
            <w:tcW w:w="502" w:type="pct"/>
            <w:vAlign w:val="bottom"/>
          </w:tcPr>
          <w:p w14:paraId="05866E47" w14:textId="77777777" w:rsidR="002E7785" w:rsidRPr="00A1123E"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p>
        </w:tc>
        <w:tc>
          <w:tcPr>
            <w:tcW w:w="502" w:type="pct"/>
            <w:shd w:val="clear" w:color="auto" w:fill="auto"/>
            <w:vAlign w:val="bottom"/>
          </w:tcPr>
          <w:p w14:paraId="11414062" w14:textId="77777777" w:rsidR="002E7785" w:rsidRPr="00A1123E"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p>
        </w:tc>
        <w:tc>
          <w:tcPr>
            <w:tcW w:w="502" w:type="pct"/>
            <w:shd w:val="clear" w:color="auto" w:fill="auto"/>
            <w:vAlign w:val="bottom"/>
          </w:tcPr>
          <w:p w14:paraId="0F4FB7FC"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p>
        </w:tc>
        <w:tc>
          <w:tcPr>
            <w:tcW w:w="518" w:type="pct"/>
            <w:vAlign w:val="bottom"/>
          </w:tcPr>
          <w:p w14:paraId="005203DC"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18" w:name="_Toc4058845"/>
            <w:r w:rsidRPr="00A1123E">
              <w:rPr>
                <w:rFonts w:ascii="Calibri" w:eastAsia="Times New Roman" w:hAnsi="Calibri" w:cs="Arial"/>
                <w:b/>
                <w:sz w:val="18"/>
                <w:szCs w:val="18"/>
                <w:lang w:val="en-US"/>
              </w:rPr>
              <w:t>Bank</w:t>
            </w:r>
            <w:bookmarkEnd w:id="418"/>
          </w:p>
        </w:tc>
      </w:tr>
      <w:tr w:rsidR="002E7785" w:rsidRPr="00163273" w14:paraId="48FE52E9" w14:textId="77777777" w:rsidTr="00003367">
        <w:trPr>
          <w:trHeight w:val="251"/>
        </w:trPr>
        <w:tc>
          <w:tcPr>
            <w:tcW w:w="968" w:type="pct"/>
            <w:vAlign w:val="bottom"/>
          </w:tcPr>
          <w:p w14:paraId="4BCA7390" w14:textId="77777777" w:rsidR="002E7785" w:rsidRPr="00A1123E" w:rsidRDefault="002E7785" w:rsidP="002E7785">
            <w:pPr>
              <w:tabs>
                <w:tab w:val="left" w:pos="-720"/>
              </w:tabs>
              <w:suppressAutoHyphens/>
              <w:spacing w:after="0" w:line="220" w:lineRule="exact"/>
              <w:rPr>
                <w:rFonts w:ascii="Calibri" w:eastAsia="Times New Roman" w:hAnsi="Calibri" w:cs="Arial"/>
                <w:sz w:val="18"/>
                <w:szCs w:val="18"/>
                <w:lang w:val="en-US"/>
              </w:rPr>
            </w:pPr>
          </w:p>
        </w:tc>
        <w:tc>
          <w:tcPr>
            <w:tcW w:w="502" w:type="pct"/>
            <w:vAlign w:val="bottom"/>
          </w:tcPr>
          <w:p w14:paraId="30C0445D"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19" w:name="_Toc4058846"/>
            <w:r w:rsidRPr="00A1123E">
              <w:rPr>
                <w:rFonts w:ascii="Calibri" w:eastAsia="Times New Roman" w:hAnsi="Calibri" w:cs="Arial"/>
                <w:b/>
                <w:sz w:val="18"/>
                <w:szCs w:val="18"/>
                <w:lang w:val="en-US"/>
              </w:rPr>
              <w:t>Stage 1</w:t>
            </w:r>
            <w:bookmarkEnd w:id="419"/>
          </w:p>
        </w:tc>
        <w:tc>
          <w:tcPr>
            <w:tcW w:w="502" w:type="pct"/>
            <w:vAlign w:val="bottom"/>
          </w:tcPr>
          <w:p w14:paraId="5B0B7096"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20" w:name="_Toc4058847"/>
            <w:r w:rsidRPr="00A1123E">
              <w:rPr>
                <w:rFonts w:ascii="Calibri" w:eastAsia="Times New Roman" w:hAnsi="Calibri" w:cs="Arial"/>
                <w:b/>
                <w:sz w:val="18"/>
                <w:szCs w:val="18"/>
                <w:lang w:val="en-US"/>
              </w:rPr>
              <w:t>Stage 2</w:t>
            </w:r>
            <w:bookmarkEnd w:id="420"/>
          </w:p>
        </w:tc>
        <w:tc>
          <w:tcPr>
            <w:tcW w:w="502" w:type="pct"/>
            <w:vAlign w:val="bottom"/>
          </w:tcPr>
          <w:p w14:paraId="60EB0B4C"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21" w:name="_Toc4058848"/>
            <w:r w:rsidRPr="00A1123E">
              <w:rPr>
                <w:rFonts w:ascii="Calibri" w:eastAsia="Times New Roman" w:hAnsi="Calibri" w:cs="Arial"/>
                <w:b/>
                <w:sz w:val="18"/>
                <w:szCs w:val="18"/>
                <w:lang w:val="en-US"/>
              </w:rPr>
              <w:t>Stage 3</w:t>
            </w:r>
            <w:bookmarkEnd w:id="421"/>
          </w:p>
        </w:tc>
        <w:tc>
          <w:tcPr>
            <w:tcW w:w="502" w:type="pct"/>
            <w:vAlign w:val="bottom"/>
          </w:tcPr>
          <w:p w14:paraId="341D5686"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22" w:name="_Toc4058849"/>
            <w:r w:rsidRPr="00A1123E">
              <w:rPr>
                <w:rFonts w:ascii="Calibri" w:eastAsia="Times New Roman" w:hAnsi="Calibri" w:cs="Arial"/>
                <w:b/>
                <w:sz w:val="18"/>
                <w:szCs w:val="18"/>
                <w:lang w:val="en-US"/>
              </w:rPr>
              <w:t>Total</w:t>
            </w:r>
            <w:bookmarkEnd w:id="422"/>
          </w:p>
        </w:tc>
        <w:tc>
          <w:tcPr>
            <w:tcW w:w="502" w:type="pct"/>
            <w:vAlign w:val="bottom"/>
          </w:tcPr>
          <w:p w14:paraId="648D2C71"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23" w:name="_Toc4058850"/>
            <w:r w:rsidRPr="00A1123E">
              <w:rPr>
                <w:rFonts w:ascii="Calibri" w:eastAsia="Times New Roman" w:hAnsi="Calibri" w:cs="Arial"/>
                <w:b/>
                <w:sz w:val="18"/>
                <w:szCs w:val="18"/>
                <w:lang w:val="en-US"/>
              </w:rPr>
              <w:t>Stage 1</w:t>
            </w:r>
            <w:bookmarkEnd w:id="423"/>
          </w:p>
        </w:tc>
        <w:tc>
          <w:tcPr>
            <w:tcW w:w="502" w:type="pct"/>
            <w:vAlign w:val="bottom"/>
          </w:tcPr>
          <w:p w14:paraId="16EEDC1F"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24" w:name="_Toc4058851"/>
            <w:r w:rsidRPr="00A1123E">
              <w:rPr>
                <w:rFonts w:ascii="Calibri" w:eastAsia="Times New Roman" w:hAnsi="Calibri" w:cs="Arial"/>
                <w:b/>
                <w:sz w:val="18"/>
                <w:szCs w:val="18"/>
                <w:lang w:val="en-US"/>
              </w:rPr>
              <w:t>Stage 2</w:t>
            </w:r>
            <w:bookmarkEnd w:id="424"/>
          </w:p>
        </w:tc>
        <w:tc>
          <w:tcPr>
            <w:tcW w:w="502" w:type="pct"/>
            <w:vAlign w:val="bottom"/>
          </w:tcPr>
          <w:p w14:paraId="647F4868"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25" w:name="_Toc4058852"/>
            <w:r w:rsidRPr="00A1123E">
              <w:rPr>
                <w:rFonts w:ascii="Calibri" w:eastAsia="Times New Roman" w:hAnsi="Calibri" w:cs="Arial"/>
                <w:b/>
                <w:sz w:val="18"/>
                <w:szCs w:val="18"/>
                <w:lang w:val="en-US"/>
              </w:rPr>
              <w:t>Stage 3</w:t>
            </w:r>
            <w:bookmarkEnd w:id="425"/>
          </w:p>
        </w:tc>
        <w:tc>
          <w:tcPr>
            <w:tcW w:w="518" w:type="pct"/>
            <w:vAlign w:val="bottom"/>
          </w:tcPr>
          <w:p w14:paraId="0209B200"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26" w:name="_Toc4058853"/>
            <w:r w:rsidRPr="00A1123E">
              <w:rPr>
                <w:rFonts w:ascii="Calibri" w:eastAsia="Times New Roman" w:hAnsi="Calibri" w:cs="Arial"/>
                <w:b/>
                <w:sz w:val="18"/>
                <w:szCs w:val="18"/>
                <w:lang w:val="en-US"/>
              </w:rPr>
              <w:t>Total</w:t>
            </w:r>
            <w:bookmarkEnd w:id="426"/>
          </w:p>
        </w:tc>
      </w:tr>
      <w:tr w:rsidR="002E7785" w:rsidRPr="00163273" w14:paraId="5EA840EC" w14:textId="77777777" w:rsidTr="00003367">
        <w:trPr>
          <w:trHeight w:val="251"/>
        </w:trPr>
        <w:tc>
          <w:tcPr>
            <w:tcW w:w="968" w:type="pct"/>
            <w:vAlign w:val="bottom"/>
          </w:tcPr>
          <w:p w14:paraId="5FBF953A" w14:textId="77777777" w:rsidR="002E7785" w:rsidRPr="00A1123E" w:rsidRDefault="002E7785" w:rsidP="002E7785">
            <w:pPr>
              <w:tabs>
                <w:tab w:val="left" w:pos="-720"/>
              </w:tabs>
              <w:suppressAutoHyphens/>
              <w:spacing w:after="0" w:line="220" w:lineRule="exact"/>
              <w:rPr>
                <w:rFonts w:ascii="Calibri" w:eastAsia="Times New Roman" w:hAnsi="Calibri" w:cs="Arial"/>
                <w:sz w:val="18"/>
                <w:szCs w:val="18"/>
                <w:lang w:val="en-US"/>
              </w:rPr>
            </w:pPr>
          </w:p>
        </w:tc>
        <w:tc>
          <w:tcPr>
            <w:tcW w:w="502" w:type="pct"/>
            <w:vAlign w:val="bottom"/>
          </w:tcPr>
          <w:p w14:paraId="53CCC815" w14:textId="1C68F283"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27" w:name="_Toc4058854"/>
            <w:r w:rsidRPr="00A1123E">
              <w:rPr>
                <w:rFonts w:ascii="Calibri" w:eastAsia="Times New Roman" w:hAnsi="Calibri" w:cs="Arial"/>
                <w:b/>
                <w:sz w:val="18"/>
                <w:szCs w:val="18"/>
                <w:lang w:val="en-US"/>
              </w:rPr>
              <w:t xml:space="preserve">HRK </w:t>
            </w:r>
            <w:r w:rsidR="00417C24">
              <w:rPr>
                <w:rFonts w:ascii="Calibri" w:eastAsia="Times New Roman" w:hAnsi="Calibri" w:cs="Arial"/>
                <w:b/>
                <w:sz w:val="18"/>
                <w:szCs w:val="18"/>
                <w:lang w:val="en-US"/>
              </w:rPr>
              <w:t>‘</w:t>
            </w:r>
            <w:r w:rsidRPr="00A1123E">
              <w:rPr>
                <w:rFonts w:ascii="Calibri" w:eastAsia="Times New Roman" w:hAnsi="Calibri" w:cs="Arial"/>
                <w:b/>
                <w:sz w:val="18"/>
                <w:szCs w:val="18"/>
                <w:lang w:val="en-US"/>
              </w:rPr>
              <w:t>000</w:t>
            </w:r>
            <w:bookmarkEnd w:id="427"/>
          </w:p>
        </w:tc>
        <w:tc>
          <w:tcPr>
            <w:tcW w:w="502" w:type="pct"/>
            <w:vAlign w:val="bottom"/>
          </w:tcPr>
          <w:p w14:paraId="7224AAB0" w14:textId="58B069DD"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28" w:name="_Toc4058855"/>
            <w:r w:rsidRPr="00A1123E">
              <w:rPr>
                <w:rFonts w:ascii="Calibri" w:eastAsia="Times New Roman" w:hAnsi="Calibri" w:cs="Arial"/>
                <w:b/>
                <w:sz w:val="18"/>
                <w:szCs w:val="18"/>
                <w:lang w:val="en-US"/>
              </w:rPr>
              <w:t xml:space="preserve">HRK </w:t>
            </w:r>
            <w:r w:rsidR="00417C24">
              <w:rPr>
                <w:rFonts w:ascii="Calibri" w:eastAsia="Times New Roman" w:hAnsi="Calibri" w:cs="Arial"/>
                <w:b/>
                <w:sz w:val="18"/>
                <w:szCs w:val="18"/>
                <w:lang w:val="en-US"/>
              </w:rPr>
              <w:t>‘</w:t>
            </w:r>
            <w:r w:rsidRPr="00A1123E">
              <w:rPr>
                <w:rFonts w:ascii="Calibri" w:eastAsia="Times New Roman" w:hAnsi="Calibri" w:cs="Arial"/>
                <w:b/>
                <w:sz w:val="18"/>
                <w:szCs w:val="18"/>
                <w:lang w:val="en-US"/>
              </w:rPr>
              <w:t>000</w:t>
            </w:r>
            <w:bookmarkEnd w:id="428"/>
          </w:p>
        </w:tc>
        <w:tc>
          <w:tcPr>
            <w:tcW w:w="502" w:type="pct"/>
            <w:vAlign w:val="bottom"/>
          </w:tcPr>
          <w:p w14:paraId="03B512B5" w14:textId="016CD64E"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29" w:name="_Toc4058856"/>
            <w:r w:rsidRPr="00A1123E">
              <w:rPr>
                <w:rFonts w:ascii="Calibri" w:eastAsia="Times New Roman" w:hAnsi="Calibri" w:cs="Arial"/>
                <w:b/>
                <w:sz w:val="18"/>
                <w:szCs w:val="18"/>
                <w:lang w:val="en-US"/>
              </w:rPr>
              <w:t xml:space="preserve">HRK </w:t>
            </w:r>
            <w:r w:rsidR="00417C24">
              <w:rPr>
                <w:rFonts w:ascii="Calibri" w:eastAsia="Times New Roman" w:hAnsi="Calibri" w:cs="Arial"/>
                <w:b/>
                <w:sz w:val="18"/>
                <w:szCs w:val="18"/>
                <w:lang w:val="en-US"/>
              </w:rPr>
              <w:t>‘</w:t>
            </w:r>
            <w:r w:rsidRPr="00A1123E">
              <w:rPr>
                <w:rFonts w:ascii="Calibri" w:eastAsia="Times New Roman" w:hAnsi="Calibri" w:cs="Arial"/>
                <w:b/>
                <w:sz w:val="18"/>
                <w:szCs w:val="18"/>
                <w:lang w:val="en-US"/>
              </w:rPr>
              <w:t>000</w:t>
            </w:r>
            <w:bookmarkEnd w:id="429"/>
          </w:p>
        </w:tc>
        <w:tc>
          <w:tcPr>
            <w:tcW w:w="502" w:type="pct"/>
            <w:vAlign w:val="bottom"/>
          </w:tcPr>
          <w:p w14:paraId="549B6B77" w14:textId="2BD613A5"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30" w:name="_Toc4058857"/>
            <w:r w:rsidRPr="00A1123E">
              <w:rPr>
                <w:rFonts w:ascii="Calibri" w:eastAsia="Times New Roman" w:hAnsi="Calibri" w:cs="Arial"/>
                <w:b/>
                <w:sz w:val="18"/>
                <w:szCs w:val="18"/>
                <w:lang w:val="en-US"/>
              </w:rPr>
              <w:t xml:space="preserve">HRK </w:t>
            </w:r>
            <w:r w:rsidR="00417C24">
              <w:rPr>
                <w:rFonts w:ascii="Calibri" w:eastAsia="Times New Roman" w:hAnsi="Calibri" w:cs="Arial"/>
                <w:b/>
                <w:sz w:val="18"/>
                <w:szCs w:val="18"/>
                <w:lang w:val="en-US"/>
              </w:rPr>
              <w:t>‘</w:t>
            </w:r>
            <w:r w:rsidRPr="00A1123E">
              <w:rPr>
                <w:rFonts w:ascii="Calibri" w:eastAsia="Times New Roman" w:hAnsi="Calibri" w:cs="Arial"/>
                <w:b/>
                <w:sz w:val="18"/>
                <w:szCs w:val="18"/>
                <w:lang w:val="en-US"/>
              </w:rPr>
              <w:t>000</w:t>
            </w:r>
            <w:bookmarkEnd w:id="430"/>
          </w:p>
        </w:tc>
        <w:tc>
          <w:tcPr>
            <w:tcW w:w="502" w:type="pct"/>
            <w:vAlign w:val="bottom"/>
          </w:tcPr>
          <w:p w14:paraId="69769988" w14:textId="524A2D70"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31" w:name="_Toc4058858"/>
            <w:r w:rsidRPr="00A1123E">
              <w:rPr>
                <w:rFonts w:ascii="Calibri" w:eastAsia="Times New Roman" w:hAnsi="Calibri" w:cs="Arial"/>
                <w:b/>
                <w:sz w:val="18"/>
                <w:szCs w:val="18"/>
                <w:lang w:val="en-US"/>
              </w:rPr>
              <w:t xml:space="preserve">HRK </w:t>
            </w:r>
            <w:r w:rsidR="00417C24">
              <w:rPr>
                <w:rFonts w:ascii="Calibri" w:eastAsia="Times New Roman" w:hAnsi="Calibri" w:cs="Arial"/>
                <w:b/>
                <w:sz w:val="18"/>
                <w:szCs w:val="18"/>
                <w:lang w:val="en-US"/>
              </w:rPr>
              <w:t>‘</w:t>
            </w:r>
            <w:r w:rsidRPr="00A1123E">
              <w:rPr>
                <w:rFonts w:ascii="Calibri" w:eastAsia="Times New Roman" w:hAnsi="Calibri" w:cs="Arial"/>
                <w:b/>
                <w:sz w:val="18"/>
                <w:szCs w:val="18"/>
                <w:lang w:val="en-US"/>
              </w:rPr>
              <w:t>000</w:t>
            </w:r>
            <w:bookmarkEnd w:id="431"/>
          </w:p>
        </w:tc>
        <w:tc>
          <w:tcPr>
            <w:tcW w:w="502" w:type="pct"/>
            <w:vAlign w:val="bottom"/>
          </w:tcPr>
          <w:p w14:paraId="05ECE66E" w14:textId="7E218F91"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32" w:name="_Toc4058859"/>
            <w:r w:rsidRPr="00A1123E">
              <w:rPr>
                <w:rFonts w:ascii="Calibri" w:eastAsia="Times New Roman" w:hAnsi="Calibri" w:cs="Arial"/>
                <w:b/>
                <w:sz w:val="18"/>
                <w:szCs w:val="18"/>
                <w:lang w:val="en-US"/>
              </w:rPr>
              <w:t xml:space="preserve">HRK </w:t>
            </w:r>
            <w:r w:rsidR="00417C24">
              <w:rPr>
                <w:rFonts w:ascii="Calibri" w:eastAsia="Times New Roman" w:hAnsi="Calibri" w:cs="Arial"/>
                <w:b/>
                <w:sz w:val="18"/>
                <w:szCs w:val="18"/>
                <w:lang w:val="en-US"/>
              </w:rPr>
              <w:t>‘</w:t>
            </w:r>
            <w:r w:rsidRPr="00A1123E">
              <w:rPr>
                <w:rFonts w:ascii="Calibri" w:eastAsia="Times New Roman" w:hAnsi="Calibri" w:cs="Arial"/>
                <w:b/>
                <w:sz w:val="18"/>
                <w:szCs w:val="18"/>
                <w:lang w:val="en-US"/>
              </w:rPr>
              <w:t>000</w:t>
            </w:r>
            <w:bookmarkEnd w:id="432"/>
          </w:p>
        </w:tc>
        <w:tc>
          <w:tcPr>
            <w:tcW w:w="502" w:type="pct"/>
            <w:vAlign w:val="bottom"/>
          </w:tcPr>
          <w:p w14:paraId="6C50AC47" w14:textId="3238DC3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33" w:name="_Toc4058860"/>
            <w:r w:rsidRPr="00A1123E">
              <w:rPr>
                <w:rFonts w:ascii="Calibri" w:eastAsia="Times New Roman" w:hAnsi="Calibri" w:cs="Arial"/>
                <w:b/>
                <w:sz w:val="18"/>
                <w:szCs w:val="18"/>
                <w:lang w:val="en-US"/>
              </w:rPr>
              <w:t xml:space="preserve">HRK </w:t>
            </w:r>
            <w:r w:rsidR="00417C24">
              <w:rPr>
                <w:rFonts w:ascii="Calibri" w:eastAsia="Times New Roman" w:hAnsi="Calibri" w:cs="Arial"/>
                <w:b/>
                <w:sz w:val="18"/>
                <w:szCs w:val="18"/>
                <w:lang w:val="en-US"/>
              </w:rPr>
              <w:t>‘</w:t>
            </w:r>
            <w:r w:rsidRPr="00A1123E">
              <w:rPr>
                <w:rFonts w:ascii="Calibri" w:eastAsia="Times New Roman" w:hAnsi="Calibri" w:cs="Arial"/>
                <w:b/>
                <w:sz w:val="18"/>
                <w:szCs w:val="18"/>
                <w:lang w:val="en-US"/>
              </w:rPr>
              <w:t>000</w:t>
            </w:r>
            <w:bookmarkEnd w:id="433"/>
          </w:p>
        </w:tc>
        <w:tc>
          <w:tcPr>
            <w:tcW w:w="518" w:type="pct"/>
            <w:vAlign w:val="bottom"/>
          </w:tcPr>
          <w:p w14:paraId="6DEE00F9" w14:textId="193281CB"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34" w:name="_Toc4058861"/>
            <w:r w:rsidRPr="00A1123E">
              <w:rPr>
                <w:rFonts w:ascii="Calibri" w:eastAsia="Times New Roman" w:hAnsi="Calibri" w:cs="Arial"/>
                <w:b/>
                <w:sz w:val="18"/>
                <w:szCs w:val="18"/>
                <w:lang w:val="en-US"/>
              </w:rPr>
              <w:t xml:space="preserve">HRK </w:t>
            </w:r>
            <w:r w:rsidR="00417C24">
              <w:rPr>
                <w:rFonts w:ascii="Calibri" w:eastAsia="Times New Roman" w:hAnsi="Calibri" w:cs="Arial"/>
                <w:b/>
                <w:sz w:val="18"/>
                <w:szCs w:val="18"/>
                <w:lang w:val="en-US"/>
              </w:rPr>
              <w:t>‘</w:t>
            </w:r>
            <w:r w:rsidRPr="00A1123E">
              <w:rPr>
                <w:rFonts w:ascii="Calibri" w:eastAsia="Times New Roman" w:hAnsi="Calibri" w:cs="Arial"/>
                <w:b/>
                <w:sz w:val="18"/>
                <w:szCs w:val="18"/>
                <w:lang w:val="en-US"/>
              </w:rPr>
              <w:t>000</w:t>
            </w:r>
            <w:bookmarkEnd w:id="434"/>
          </w:p>
        </w:tc>
      </w:tr>
      <w:tr w:rsidR="002E7785" w:rsidRPr="00163273" w14:paraId="1D3ABD54" w14:textId="77777777" w:rsidTr="00003367">
        <w:trPr>
          <w:trHeight w:val="177"/>
        </w:trPr>
        <w:tc>
          <w:tcPr>
            <w:tcW w:w="968" w:type="pct"/>
            <w:vAlign w:val="bottom"/>
          </w:tcPr>
          <w:p w14:paraId="77CF904C" w14:textId="77777777" w:rsidR="002E7785" w:rsidRPr="00A1123E" w:rsidRDefault="002E7785" w:rsidP="002E7785">
            <w:pPr>
              <w:tabs>
                <w:tab w:val="left" w:pos="-720"/>
              </w:tabs>
              <w:suppressAutoHyphens/>
              <w:spacing w:after="0" w:line="140" w:lineRule="exact"/>
              <w:rPr>
                <w:rFonts w:ascii="Calibri" w:eastAsia="Times New Roman" w:hAnsi="Calibri" w:cs="Arial"/>
                <w:sz w:val="18"/>
                <w:szCs w:val="18"/>
                <w:lang w:val="en-US"/>
              </w:rPr>
            </w:pPr>
          </w:p>
        </w:tc>
        <w:tc>
          <w:tcPr>
            <w:tcW w:w="502" w:type="pct"/>
            <w:vAlign w:val="bottom"/>
          </w:tcPr>
          <w:p w14:paraId="70DFA965" w14:textId="77777777" w:rsidR="002E7785" w:rsidRPr="00A1123E"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4F727636" w14:textId="77777777" w:rsidR="002E7785" w:rsidRPr="00A1123E"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752DCC75" w14:textId="77777777" w:rsidR="002E7785" w:rsidRPr="00A1123E"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79099258" w14:textId="77777777" w:rsidR="002E7785" w:rsidRPr="00A1123E"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7F404542" w14:textId="77777777" w:rsidR="002E7785" w:rsidRPr="00A1123E"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5FADE897" w14:textId="77777777" w:rsidR="002E7785" w:rsidRPr="00A1123E"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2DC0CD30" w14:textId="77777777" w:rsidR="002E7785" w:rsidRPr="00A1123E"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18" w:type="pct"/>
            <w:vAlign w:val="bottom"/>
          </w:tcPr>
          <w:p w14:paraId="588C663B" w14:textId="77777777" w:rsidR="002E7785" w:rsidRPr="00A1123E"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r>
      <w:tr w:rsidR="00003367" w:rsidRPr="00163273" w14:paraId="76FA3D33" w14:textId="77777777" w:rsidTr="00003367">
        <w:trPr>
          <w:trHeight w:val="337"/>
        </w:trPr>
        <w:tc>
          <w:tcPr>
            <w:tcW w:w="968" w:type="pct"/>
            <w:vAlign w:val="bottom"/>
          </w:tcPr>
          <w:p w14:paraId="717DF576" w14:textId="209BA35E" w:rsidR="00003367" w:rsidRPr="00A1123E" w:rsidRDefault="00003367" w:rsidP="00003367">
            <w:pPr>
              <w:tabs>
                <w:tab w:val="right" w:pos="1202"/>
              </w:tabs>
              <w:spacing w:after="0" w:line="240" w:lineRule="exact"/>
              <w:outlineLvl w:val="0"/>
              <w:rPr>
                <w:rFonts w:ascii="Calibri" w:eastAsia="Times New Roman" w:hAnsi="Calibri" w:cs="Arial"/>
                <w:sz w:val="18"/>
                <w:szCs w:val="18"/>
                <w:lang w:val="en-US"/>
              </w:rPr>
            </w:pPr>
            <w:bookmarkStart w:id="435" w:name="_Toc4058862"/>
            <w:r w:rsidRPr="00A1123E">
              <w:rPr>
                <w:rFonts w:ascii="Calibri" w:eastAsia="Times New Roman" w:hAnsi="Calibri" w:cs="Arial"/>
                <w:sz w:val="18"/>
                <w:szCs w:val="18"/>
                <w:lang w:val="en-US"/>
              </w:rPr>
              <w:t>Gross amount</w:t>
            </w:r>
            <w:bookmarkEnd w:id="435"/>
          </w:p>
        </w:tc>
        <w:tc>
          <w:tcPr>
            <w:tcW w:w="502" w:type="pct"/>
            <w:tcBorders>
              <w:top w:val="nil"/>
              <w:left w:val="nil"/>
              <w:bottom w:val="nil"/>
              <w:right w:val="nil"/>
            </w:tcBorders>
            <w:shd w:val="clear" w:color="auto" w:fill="auto"/>
            <w:vAlign w:val="bottom"/>
          </w:tcPr>
          <w:p w14:paraId="083EA7AE" w14:textId="315FBD28" w:rsidR="00003367" w:rsidRPr="00A1123E" w:rsidRDefault="00003367" w:rsidP="00003367">
            <w:pPr>
              <w:tabs>
                <w:tab w:val="right" w:pos="1202"/>
              </w:tabs>
              <w:spacing w:after="0" w:line="240" w:lineRule="exact"/>
              <w:outlineLvl w:val="0"/>
              <w:rPr>
                <w:rFonts w:ascii="Calibri" w:eastAsia="Times New Roman" w:hAnsi="Calibri" w:cs="Arial"/>
                <w:sz w:val="18"/>
                <w:szCs w:val="18"/>
                <w:lang w:val="en-US"/>
              </w:rPr>
            </w:pPr>
            <w:r w:rsidRPr="008E5C2B">
              <w:rPr>
                <w:sz w:val="18"/>
                <w:szCs w:val="18"/>
              </w:rPr>
              <w:t>3</w:t>
            </w:r>
            <w:r>
              <w:rPr>
                <w:sz w:val="18"/>
                <w:szCs w:val="18"/>
              </w:rPr>
              <w:t>,</w:t>
            </w:r>
            <w:r w:rsidRPr="008E5C2B">
              <w:rPr>
                <w:sz w:val="18"/>
                <w:szCs w:val="18"/>
              </w:rPr>
              <w:t>204</w:t>
            </w:r>
            <w:r>
              <w:rPr>
                <w:sz w:val="18"/>
                <w:szCs w:val="18"/>
              </w:rPr>
              <w:t>,</w:t>
            </w:r>
            <w:r w:rsidRPr="008E5C2B">
              <w:rPr>
                <w:sz w:val="18"/>
                <w:szCs w:val="18"/>
              </w:rPr>
              <w:t xml:space="preserve">143 </w:t>
            </w:r>
          </w:p>
        </w:tc>
        <w:tc>
          <w:tcPr>
            <w:tcW w:w="502" w:type="pct"/>
            <w:tcBorders>
              <w:top w:val="nil"/>
              <w:left w:val="nil"/>
              <w:bottom w:val="nil"/>
              <w:right w:val="nil"/>
            </w:tcBorders>
            <w:shd w:val="clear" w:color="auto" w:fill="auto"/>
            <w:vAlign w:val="bottom"/>
          </w:tcPr>
          <w:p w14:paraId="66B382C5" w14:textId="5B49736F" w:rsidR="00003367" w:rsidRPr="00A1123E" w:rsidRDefault="00003367" w:rsidP="00003367">
            <w:pPr>
              <w:tabs>
                <w:tab w:val="right" w:pos="1202"/>
              </w:tabs>
              <w:spacing w:after="0" w:line="240" w:lineRule="exact"/>
              <w:jc w:val="right"/>
              <w:outlineLvl w:val="0"/>
              <w:rPr>
                <w:rFonts w:ascii="Calibri" w:eastAsia="Times New Roman" w:hAnsi="Calibri" w:cs="Arial"/>
                <w:sz w:val="18"/>
                <w:szCs w:val="18"/>
                <w:lang w:val="en-US"/>
              </w:rPr>
            </w:pPr>
            <w:r w:rsidRPr="002408DF">
              <w:rPr>
                <w:rFonts w:ascii="Calibri" w:eastAsia="Times New Roman" w:hAnsi="Calibri" w:cs="Times New Roman"/>
                <w:color w:val="000000"/>
                <w:sz w:val="18"/>
                <w:szCs w:val="18"/>
              </w:rPr>
              <w:t>-</w:t>
            </w:r>
          </w:p>
        </w:tc>
        <w:tc>
          <w:tcPr>
            <w:tcW w:w="502" w:type="pct"/>
            <w:tcBorders>
              <w:top w:val="nil"/>
              <w:left w:val="nil"/>
              <w:bottom w:val="nil"/>
              <w:right w:val="nil"/>
            </w:tcBorders>
            <w:shd w:val="clear" w:color="auto" w:fill="auto"/>
            <w:vAlign w:val="bottom"/>
          </w:tcPr>
          <w:p w14:paraId="0FACA120" w14:textId="32DA69A2" w:rsidR="00003367" w:rsidRPr="00A1123E" w:rsidRDefault="00003367" w:rsidP="00003367">
            <w:pPr>
              <w:tabs>
                <w:tab w:val="right" w:pos="1202"/>
              </w:tabs>
              <w:spacing w:after="0" w:line="240" w:lineRule="exact"/>
              <w:jc w:val="right"/>
              <w:outlineLvl w:val="0"/>
              <w:rPr>
                <w:rFonts w:ascii="Calibri" w:eastAsia="Times New Roman" w:hAnsi="Calibri" w:cs="Arial"/>
                <w:sz w:val="18"/>
                <w:szCs w:val="18"/>
                <w:lang w:val="en-US"/>
              </w:rPr>
            </w:pPr>
            <w:r w:rsidRPr="002408DF">
              <w:rPr>
                <w:rFonts w:ascii="Calibri" w:eastAsia="Times New Roman" w:hAnsi="Calibri" w:cs="Times New Roman"/>
                <w:color w:val="000000"/>
                <w:sz w:val="18"/>
                <w:szCs w:val="18"/>
              </w:rPr>
              <w:t>1</w:t>
            </w:r>
            <w:r>
              <w:rPr>
                <w:rFonts w:ascii="Calibri" w:eastAsia="Times New Roman" w:hAnsi="Calibri" w:cs="Times New Roman"/>
                <w:color w:val="000000"/>
                <w:sz w:val="18"/>
                <w:szCs w:val="18"/>
              </w:rPr>
              <w:t>,</w:t>
            </w:r>
            <w:r w:rsidRPr="002408DF">
              <w:rPr>
                <w:rFonts w:ascii="Calibri" w:eastAsia="Times New Roman" w:hAnsi="Calibri" w:cs="Times New Roman"/>
                <w:color w:val="000000"/>
                <w:sz w:val="18"/>
                <w:szCs w:val="18"/>
              </w:rPr>
              <w:t>504</w:t>
            </w:r>
          </w:p>
        </w:tc>
        <w:tc>
          <w:tcPr>
            <w:tcW w:w="502" w:type="pct"/>
            <w:tcBorders>
              <w:top w:val="nil"/>
              <w:left w:val="nil"/>
              <w:bottom w:val="nil"/>
              <w:right w:val="nil"/>
            </w:tcBorders>
            <w:shd w:val="clear" w:color="auto" w:fill="auto"/>
            <w:vAlign w:val="bottom"/>
          </w:tcPr>
          <w:p w14:paraId="6CAE0F21" w14:textId="25FAAE8C" w:rsidR="00003367" w:rsidRPr="00A1123E" w:rsidRDefault="00003367" w:rsidP="00003367">
            <w:pPr>
              <w:tabs>
                <w:tab w:val="right" w:pos="1202"/>
              </w:tabs>
              <w:spacing w:after="0" w:line="240" w:lineRule="exact"/>
              <w:outlineLvl w:val="0"/>
              <w:rPr>
                <w:rFonts w:ascii="Calibri" w:eastAsia="Times New Roman" w:hAnsi="Calibri" w:cs="Arial"/>
                <w:sz w:val="18"/>
                <w:szCs w:val="18"/>
                <w:lang w:val="en-US"/>
              </w:rPr>
            </w:pPr>
            <w:r w:rsidRPr="008E5C2B">
              <w:rPr>
                <w:b/>
                <w:bCs/>
                <w:sz w:val="18"/>
                <w:szCs w:val="18"/>
              </w:rPr>
              <w:t>3</w:t>
            </w:r>
            <w:r>
              <w:rPr>
                <w:b/>
                <w:bCs/>
                <w:sz w:val="18"/>
                <w:szCs w:val="18"/>
              </w:rPr>
              <w:t>,</w:t>
            </w:r>
            <w:r w:rsidRPr="008E5C2B">
              <w:rPr>
                <w:b/>
                <w:bCs/>
                <w:sz w:val="18"/>
                <w:szCs w:val="18"/>
              </w:rPr>
              <w:t>205</w:t>
            </w:r>
            <w:r>
              <w:rPr>
                <w:b/>
                <w:bCs/>
                <w:sz w:val="18"/>
                <w:szCs w:val="18"/>
              </w:rPr>
              <w:t>,</w:t>
            </w:r>
            <w:r w:rsidRPr="008E5C2B">
              <w:rPr>
                <w:b/>
                <w:bCs/>
                <w:sz w:val="18"/>
                <w:szCs w:val="18"/>
              </w:rPr>
              <w:t xml:space="preserve">647 </w:t>
            </w:r>
          </w:p>
        </w:tc>
        <w:tc>
          <w:tcPr>
            <w:tcW w:w="502" w:type="pct"/>
            <w:tcBorders>
              <w:top w:val="nil"/>
              <w:left w:val="nil"/>
              <w:bottom w:val="nil"/>
              <w:right w:val="nil"/>
            </w:tcBorders>
            <w:shd w:val="clear" w:color="auto" w:fill="auto"/>
            <w:vAlign w:val="bottom"/>
          </w:tcPr>
          <w:p w14:paraId="6C876244" w14:textId="1512724C" w:rsidR="00003367" w:rsidRPr="00A1123E" w:rsidRDefault="00003367" w:rsidP="00003367">
            <w:pPr>
              <w:tabs>
                <w:tab w:val="right" w:pos="1202"/>
              </w:tabs>
              <w:spacing w:after="0" w:line="240" w:lineRule="exact"/>
              <w:outlineLvl w:val="0"/>
              <w:rPr>
                <w:rFonts w:ascii="Calibri" w:eastAsia="Times New Roman" w:hAnsi="Calibri" w:cs="Arial"/>
                <w:sz w:val="18"/>
                <w:szCs w:val="18"/>
                <w:lang w:val="en-US"/>
              </w:rPr>
            </w:pPr>
            <w:r w:rsidRPr="008E5C2B">
              <w:rPr>
                <w:sz w:val="18"/>
                <w:szCs w:val="18"/>
              </w:rPr>
              <w:t>3</w:t>
            </w:r>
            <w:r>
              <w:rPr>
                <w:sz w:val="18"/>
                <w:szCs w:val="18"/>
              </w:rPr>
              <w:t>,</w:t>
            </w:r>
            <w:r w:rsidRPr="008E5C2B">
              <w:rPr>
                <w:sz w:val="18"/>
                <w:szCs w:val="18"/>
              </w:rPr>
              <w:t>151</w:t>
            </w:r>
            <w:r>
              <w:rPr>
                <w:sz w:val="18"/>
                <w:szCs w:val="18"/>
              </w:rPr>
              <w:t>,</w:t>
            </w:r>
            <w:r w:rsidRPr="008E5C2B">
              <w:rPr>
                <w:sz w:val="18"/>
                <w:szCs w:val="18"/>
              </w:rPr>
              <w:t xml:space="preserve">000 </w:t>
            </w:r>
          </w:p>
        </w:tc>
        <w:tc>
          <w:tcPr>
            <w:tcW w:w="502" w:type="pct"/>
            <w:tcBorders>
              <w:top w:val="nil"/>
              <w:left w:val="nil"/>
              <w:bottom w:val="nil"/>
              <w:right w:val="nil"/>
            </w:tcBorders>
            <w:shd w:val="clear" w:color="auto" w:fill="auto"/>
            <w:vAlign w:val="bottom"/>
          </w:tcPr>
          <w:p w14:paraId="20D1BF85" w14:textId="06692059" w:rsidR="00003367" w:rsidRPr="00A1123E" w:rsidRDefault="00003367" w:rsidP="00003367">
            <w:pPr>
              <w:tabs>
                <w:tab w:val="right" w:pos="1202"/>
              </w:tabs>
              <w:spacing w:after="0" w:line="240" w:lineRule="exact"/>
              <w:jc w:val="right"/>
              <w:outlineLvl w:val="0"/>
              <w:rPr>
                <w:rFonts w:ascii="Calibri" w:eastAsia="Times New Roman" w:hAnsi="Calibri" w:cs="Arial"/>
                <w:sz w:val="18"/>
                <w:szCs w:val="18"/>
                <w:lang w:val="en-US"/>
              </w:rPr>
            </w:pPr>
            <w:r w:rsidRPr="002408DF">
              <w:rPr>
                <w:rFonts w:ascii="Calibri" w:eastAsia="Times New Roman" w:hAnsi="Calibri" w:cs="Times New Roman"/>
                <w:color w:val="000000"/>
                <w:sz w:val="18"/>
                <w:szCs w:val="18"/>
              </w:rPr>
              <w:t>-</w:t>
            </w:r>
          </w:p>
        </w:tc>
        <w:tc>
          <w:tcPr>
            <w:tcW w:w="502" w:type="pct"/>
            <w:tcBorders>
              <w:top w:val="nil"/>
              <w:left w:val="nil"/>
              <w:bottom w:val="nil"/>
              <w:right w:val="nil"/>
            </w:tcBorders>
            <w:shd w:val="clear" w:color="auto" w:fill="auto"/>
            <w:vAlign w:val="bottom"/>
          </w:tcPr>
          <w:p w14:paraId="29AD0BB0" w14:textId="3EDFCF28" w:rsidR="00003367" w:rsidRPr="00A1123E" w:rsidRDefault="00003367" w:rsidP="00003367">
            <w:pPr>
              <w:tabs>
                <w:tab w:val="right" w:pos="1202"/>
              </w:tabs>
              <w:spacing w:after="0" w:line="240" w:lineRule="exact"/>
              <w:jc w:val="right"/>
              <w:outlineLvl w:val="0"/>
              <w:rPr>
                <w:rFonts w:ascii="Calibri" w:eastAsia="Times New Roman" w:hAnsi="Calibri" w:cs="Arial"/>
                <w:sz w:val="18"/>
                <w:szCs w:val="18"/>
                <w:lang w:val="en-US"/>
              </w:rPr>
            </w:pPr>
            <w:r w:rsidRPr="002408DF">
              <w:rPr>
                <w:rFonts w:ascii="Calibri" w:eastAsia="Times New Roman" w:hAnsi="Calibri" w:cs="Times New Roman"/>
                <w:color w:val="000000"/>
                <w:sz w:val="18"/>
                <w:szCs w:val="18"/>
              </w:rPr>
              <w:t>1</w:t>
            </w:r>
            <w:r>
              <w:rPr>
                <w:rFonts w:ascii="Calibri" w:eastAsia="Times New Roman" w:hAnsi="Calibri" w:cs="Times New Roman"/>
                <w:color w:val="000000"/>
                <w:sz w:val="18"/>
                <w:szCs w:val="18"/>
              </w:rPr>
              <w:t>,</w:t>
            </w:r>
            <w:r w:rsidRPr="002408DF">
              <w:rPr>
                <w:rFonts w:ascii="Calibri" w:eastAsia="Times New Roman" w:hAnsi="Calibri" w:cs="Times New Roman"/>
                <w:color w:val="000000"/>
                <w:sz w:val="18"/>
                <w:szCs w:val="18"/>
              </w:rPr>
              <w:t>504</w:t>
            </w:r>
          </w:p>
        </w:tc>
        <w:tc>
          <w:tcPr>
            <w:tcW w:w="518" w:type="pct"/>
            <w:tcBorders>
              <w:top w:val="nil"/>
              <w:left w:val="nil"/>
              <w:bottom w:val="nil"/>
              <w:right w:val="nil"/>
            </w:tcBorders>
            <w:shd w:val="clear" w:color="auto" w:fill="auto"/>
            <w:vAlign w:val="bottom"/>
          </w:tcPr>
          <w:p w14:paraId="6EA62584" w14:textId="5ED8313F" w:rsidR="00003367" w:rsidRPr="00A1123E" w:rsidRDefault="00003367" w:rsidP="00003367">
            <w:pPr>
              <w:tabs>
                <w:tab w:val="right" w:pos="1202"/>
              </w:tabs>
              <w:spacing w:after="0" w:line="240" w:lineRule="exact"/>
              <w:jc w:val="right"/>
              <w:outlineLvl w:val="0"/>
              <w:rPr>
                <w:rFonts w:ascii="Calibri" w:eastAsia="Times New Roman" w:hAnsi="Calibri" w:cs="Arial"/>
                <w:sz w:val="18"/>
                <w:szCs w:val="18"/>
                <w:lang w:val="en-US"/>
              </w:rPr>
            </w:pPr>
            <w:r w:rsidRPr="008E5C2B">
              <w:rPr>
                <w:b/>
                <w:bCs/>
                <w:sz w:val="18"/>
                <w:szCs w:val="18"/>
              </w:rPr>
              <w:t>3</w:t>
            </w:r>
            <w:r>
              <w:rPr>
                <w:b/>
                <w:bCs/>
                <w:sz w:val="18"/>
                <w:szCs w:val="18"/>
              </w:rPr>
              <w:t>,</w:t>
            </w:r>
            <w:r w:rsidRPr="008E5C2B">
              <w:rPr>
                <w:b/>
                <w:bCs/>
                <w:sz w:val="18"/>
                <w:szCs w:val="18"/>
              </w:rPr>
              <w:t>152</w:t>
            </w:r>
            <w:r>
              <w:rPr>
                <w:b/>
                <w:bCs/>
                <w:sz w:val="18"/>
                <w:szCs w:val="18"/>
              </w:rPr>
              <w:t>,</w:t>
            </w:r>
            <w:r w:rsidRPr="008E5C2B">
              <w:rPr>
                <w:b/>
                <w:bCs/>
                <w:sz w:val="18"/>
                <w:szCs w:val="18"/>
              </w:rPr>
              <w:t xml:space="preserve">504 </w:t>
            </w:r>
          </w:p>
        </w:tc>
      </w:tr>
      <w:tr w:rsidR="00003367" w:rsidRPr="00163273" w14:paraId="6FAC2388" w14:textId="77777777" w:rsidTr="00003367">
        <w:trPr>
          <w:trHeight w:val="158"/>
        </w:trPr>
        <w:tc>
          <w:tcPr>
            <w:tcW w:w="968" w:type="pct"/>
            <w:vAlign w:val="bottom"/>
          </w:tcPr>
          <w:p w14:paraId="790ABE4B" w14:textId="10719684" w:rsidR="00003367" w:rsidRPr="00A1123E" w:rsidRDefault="00003367" w:rsidP="00003367">
            <w:pPr>
              <w:tabs>
                <w:tab w:val="right" w:pos="1202"/>
              </w:tabs>
              <w:spacing w:after="0" w:line="240" w:lineRule="exact"/>
              <w:outlineLvl w:val="0"/>
              <w:rPr>
                <w:rFonts w:ascii="Calibri" w:eastAsia="Times New Roman" w:hAnsi="Calibri" w:cs="Arial"/>
                <w:b/>
                <w:iCs/>
                <w:sz w:val="18"/>
                <w:szCs w:val="18"/>
                <w:lang w:val="en-US"/>
              </w:rPr>
            </w:pPr>
            <w:bookmarkStart w:id="436" w:name="_Toc4058871"/>
            <w:r w:rsidRPr="00A1123E">
              <w:rPr>
                <w:rFonts w:ascii="Calibri" w:eastAsia="Times New Roman" w:hAnsi="Calibri" w:cs="Arial"/>
                <w:b/>
                <w:iCs/>
                <w:sz w:val="18"/>
                <w:szCs w:val="18"/>
                <w:lang w:val="en-US"/>
              </w:rPr>
              <w:t xml:space="preserve">Balance as of 31 March </w:t>
            </w:r>
            <w:bookmarkEnd w:id="436"/>
            <w:r w:rsidRPr="00A1123E">
              <w:rPr>
                <w:rFonts w:ascii="Calibri" w:eastAsia="Times New Roman" w:hAnsi="Calibri" w:cs="Arial"/>
                <w:b/>
                <w:iCs/>
                <w:sz w:val="18"/>
                <w:szCs w:val="18"/>
                <w:lang w:val="en-US"/>
              </w:rPr>
              <w:t>202</w:t>
            </w:r>
            <w:r>
              <w:rPr>
                <w:rFonts w:ascii="Calibri" w:eastAsia="Times New Roman" w:hAnsi="Calibri" w:cs="Arial"/>
                <w:b/>
                <w:iCs/>
                <w:sz w:val="18"/>
                <w:szCs w:val="18"/>
                <w:lang w:val="en-US"/>
              </w:rPr>
              <w:t>2</w:t>
            </w:r>
          </w:p>
        </w:tc>
        <w:tc>
          <w:tcPr>
            <w:tcW w:w="502" w:type="pct"/>
            <w:tcBorders>
              <w:top w:val="single" w:sz="4" w:space="0" w:color="auto"/>
              <w:left w:val="nil"/>
              <w:bottom w:val="single" w:sz="12" w:space="0" w:color="auto"/>
              <w:right w:val="nil"/>
            </w:tcBorders>
            <w:shd w:val="clear" w:color="auto" w:fill="auto"/>
            <w:vAlign w:val="bottom"/>
          </w:tcPr>
          <w:p w14:paraId="2C332B53" w14:textId="04492FA8" w:rsidR="00003367" w:rsidRPr="00A1123E" w:rsidRDefault="00003367" w:rsidP="00003367">
            <w:pPr>
              <w:tabs>
                <w:tab w:val="right" w:pos="1202"/>
              </w:tabs>
              <w:spacing w:after="0" w:line="240" w:lineRule="exact"/>
              <w:jc w:val="right"/>
              <w:outlineLvl w:val="0"/>
              <w:rPr>
                <w:rFonts w:ascii="Calibri" w:eastAsia="Times New Roman" w:hAnsi="Calibri" w:cs="Arial"/>
                <w:sz w:val="18"/>
                <w:szCs w:val="18"/>
                <w:lang w:val="en-US"/>
              </w:rPr>
            </w:pPr>
            <w:r w:rsidRPr="008E5C2B">
              <w:rPr>
                <w:b/>
                <w:bCs/>
                <w:sz w:val="18"/>
                <w:szCs w:val="18"/>
              </w:rPr>
              <w:t xml:space="preserve"> 3</w:t>
            </w:r>
            <w:r>
              <w:rPr>
                <w:b/>
                <w:bCs/>
                <w:sz w:val="18"/>
                <w:szCs w:val="18"/>
              </w:rPr>
              <w:t>,</w:t>
            </w:r>
            <w:r w:rsidRPr="008E5C2B">
              <w:rPr>
                <w:b/>
                <w:bCs/>
                <w:sz w:val="18"/>
                <w:szCs w:val="18"/>
              </w:rPr>
              <w:t>204</w:t>
            </w:r>
            <w:r>
              <w:rPr>
                <w:b/>
                <w:bCs/>
                <w:sz w:val="18"/>
                <w:szCs w:val="18"/>
              </w:rPr>
              <w:t>,</w:t>
            </w:r>
            <w:r w:rsidRPr="008E5C2B">
              <w:rPr>
                <w:b/>
                <w:bCs/>
                <w:sz w:val="18"/>
                <w:szCs w:val="18"/>
              </w:rPr>
              <w:t xml:space="preserve">143 </w:t>
            </w:r>
          </w:p>
        </w:tc>
        <w:tc>
          <w:tcPr>
            <w:tcW w:w="502" w:type="pct"/>
            <w:tcBorders>
              <w:top w:val="single" w:sz="4" w:space="0" w:color="auto"/>
              <w:left w:val="nil"/>
              <w:bottom w:val="single" w:sz="12" w:space="0" w:color="auto"/>
              <w:right w:val="nil"/>
            </w:tcBorders>
            <w:shd w:val="clear" w:color="auto" w:fill="auto"/>
            <w:vAlign w:val="bottom"/>
          </w:tcPr>
          <w:p w14:paraId="4211CE2B" w14:textId="5FE0F2C8" w:rsidR="00003367" w:rsidRPr="00A1123E" w:rsidRDefault="00003367" w:rsidP="00003367">
            <w:pPr>
              <w:tabs>
                <w:tab w:val="right" w:pos="1202"/>
              </w:tabs>
              <w:spacing w:after="0" w:line="240" w:lineRule="exact"/>
              <w:jc w:val="right"/>
              <w:outlineLvl w:val="0"/>
              <w:rPr>
                <w:rFonts w:ascii="Calibri" w:eastAsia="Times New Roman" w:hAnsi="Calibri" w:cs="Arial"/>
                <w:sz w:val="18"/>
                <w:szCs w:val="18"/>
                <w:lang w:val="en-US"/>
              </w:rPr>
            </w:pPr>
            <w:r w:rsidRPr="002408DF">
              <w:rPr>
                <w:rFonts w:ascii="Calibri" w:eastAsia="Times New Roman" w:hAnsi="Calibri" w:cs="Times New Roman"/>
                <w:b/>
                <w:bCs/>
                <w:color w:val="000000"/>
                <w:sz w:val="18"/>
                <w:szCs w:val="18"/>
              </w:rPr>
              <w:t>-</w:t>
            </w:r>
          </w:p>
        </w:tc>
        <w:tc>
          <w:tcPr>
            <w:tcW w:w="502" w:type="pct"/>
            <w:tcBorders>
              <w:top w:val="single" w:sz="4" w:space="0" w:color="auto"/>
              <w:left w:val="nil"/>
              <w:bottom w:val="single" w:sz="12" w:space="0" w:color="auto"/>
              <w:right w:val="nil"/>
            </w:tcBorders>
            <w:shd w:val="clear" w:color="auto" w:fill="auto"/>
            <w:vAlign w:val="bottom"/>
          </w:tcPr>
          <w:p w14:paraId="401F183F" w14:textId="0DB30F3F" w:rsidR="00003367" w:rsidRPr="00A1123E" w:rsidRDefault="00003367" w:rsidP="00003367">
            <w:pPr>
              <w:tabs>
                <w:tab w:val="right" w:pos="1202"/>
              </w:tabs>
              <w:spacing w:after="0" w:line="240" w:lineRule="exact"/>
              <w:jc w:val="right"/>
              <w:outlineLvl w:val="0"/>
              <w:rPr>
                <w:rFonts w:ascii="Calibri" w:eastAsia="Times New Roman" w:hAnsi="Calibri" w:cs="Arial"/>
                <w:sz w:val="18"/>
                <w:szCs w:val="18"/>
                <w:lang w:val="en-US"/>
              </w:rPr>
            </w:pPr>
            <w:r w:rsidRPr="002408DF">
              <w:rPr>
                <w:rFonts w:ascii="Calibri" w:eastAsia="Times New Roman" w:hAnsi="Calibri" w:cs="Times New Roman"/>
                <w:b/>
                <w:bCs/>
                <w:color w:val="000000"/>
                <w:sz w:val="18"/>
                <w:szCs w:val="18"/>
              </w:rPr>
              <w:t>1</w:t>
            </w:r>
            <w:r>
              <w:rPr>
                <w:rFonts w:ascii="Calibri" w:eastAsia="Times New Roman" w:hAnsi="Calibri" w:cs="Times New Roman"/>
                <w:b/>
                <w:bCs/>
                <w:color w:val="000000"/>
                <w:sz w:val="18"/>
                <w:szCs w:val="18"/>
              </w:rPr>
              <w:t>,</w:t>
            </w:r>
            <w:r w:rsidRPr="002408DF">
              <w:rPr>
                <w:rFonts w:ascii="Calibri" w:eastAsia="Times New Roman" w:hAnsi="Calibri" w:cs="Times New Roman"/>
                <w:b/>
                <w:bCs/>
                <w:color w:val="000000"/>
                <w:sz w:val="18"/>
                <w:szCs w:val="18"/>
              </w:rPr>
              <w:t>504</w:t>
            </w:r>
          </w:p>
        </w:tc>
        <w:tc>
          <w:tcPr>
            <w:tcW w:w="502" w:type="pct"/>
            <w:tcBorders>
              <w:top w:val="single" w:sz="4" w:space="0" w:color="auto"/>
              <w:left w:val="nil"/>
              <w:bottom w:val="single" w:sz="12" w:space="0" w:color="auto"/>
              <w:right w:val="nil"/>
            </w:tcBorders>
            <w:shd w:val="clear" w:color="auto" w:fill="auto"/>
            <w:vAlign w:val="bottom"/>
          </w:tcPr>
          <w:p w14:paraId="03F1ED73" w14:textId="655F44FC" w:rsidR="00003367" w:rsidRPr="00A1123E" w:rsidRDefault="00003367" w:rsidP="00003367">
            <w:pPr>
              <w:tabs>
                <w:tab w:val="right" w:pos="1202"/>
              </w:tabs>
              <w:spacing w:after="0" w:line="240" w:lineRule="exact"/>
              <w:jc w:val="right"/>
              <w:outlineLvl w:val="0"/>
              <w:rPr>
                <w:rFonts w:ascii="Calibri" w:eastAsia="Times New Roman" w:hAnsi="Calibri" w:cs="Arial"/>
                <w:sz w:val="18"/>
                <w:szCs w:val="18"/>
                <w:lang w:val="en-US"/>
              </w:rPr>
            </w:pPr>
            <w:r w:rsidRPr="008E5C2B">
              <w:rPr>
                <w:b/>
                <w:bCs/>
                <w:sz w:val="18"/>
                <w:szCs w:val="18"/>
              </w:rPr>
              <w:t xml:space="preserve"> 3</w:t>
            </w:r>
            <w:r>
              <w:rPr>
                <w:b/>
                <w:bCs/>
                <w:sz w:val="18"/>
                <w:szCs w:val="18"/>
              </w:rPr>
              <w:t>,</w:t>
            </w:r>
            <w:r w:rsidRPr="008E5C2B">
              <w:rPr>
                <w:b/>
                <w:bCs/>
                <w:sz w:val="18"/>
                <w:szCs w:val="18"/>
              </w:rPr>
              <w:t>205</w:t>
            </w:r>
            <w:r>
              <w:rPr>
                <w:b/>
                <w:bCs/>
                <w:sz w:val="18"/>
                <w:szCs w:val="18"/>
              </w:rPr>
              <w:t>,</w:t>
            </w:r>
            <w:r w:rsidRPr="008E5C2B">
              <w:rPr>
                <w:b/>
                <w:bCs/>
                <w:sz w:val="18"/>
                <w:szCs w:val="18"/>
              </w:rPr>
              <w:t xml:space="preserve">647 </w:t>
            </w:r>
          </w:p>
        </w:tc>
        <w:tc>
          <w:tcPr>
            <w:tcW w:w="502" w:type="pct"/>
            <w:tcBorders>
              <w:top w:val="single" w:sz="4" w:space="0" w:color="auto"/>
              <w:left w:val="nil"/>
              <w:bottom w:val="single" w:sz="12" w:space="0" w:color="auto"/>
              <w:right w:val="nil"/>
            </w:tcBorders>
            <w:shd w:val="clear" w:color="auto" w:fill="auto"/>
            <w:vAlign w:val="bottom"/>
          </w:tcPr>
          <w:p w14:paraId="732F0FF8" w14:textId="128A2C45" w:rsidR="00003367" w:rsidRPr="00A1123E" w:rsidRDefault="00003367" w:rsidP="00003367">
            <w:pPr>
              <w:tabs>
                <w:tab w:val="right" w:pos="1202"/>
              </w:tabs>
              <w:spacing w:after="0" w:line="240" w:lineRule="exact"/>
              <w:jc w:val="right"/>
              <w:outlineLvl w:val="0"/>
              <w:rPr>
                <w:rFonts w:ascii="Calibri" w:eastAsia="Times New Roman" w:hAnsi="Calibri" w:cs="Arial"/>
                <w:sz w:val="18"/>
                <w:szCs w:val="18"/>
                <w:lang w:val="en-US"/>
              </w:rPr>
            </w:pPr>
            <w:r w:rsidRPr="008E5C2B">
              <w:rPr>
                <w:b/>
                <w:bCs/>
                <w:sz w:val="18"/>
                <w:szCs w:val="18"/>
              </w:rPr>
              <w:t xml:space="preserve"> 3</w:t>
            </w:r>
            <w:r>
              <w:rPr>
                <w:b/>
                <w:bCs/>
                <w:sz w:val="18"/>
                <w:szCs w:val="18"/>
              </w:rPr>
              <w:t>,</w:t>
            </w:r>
            <w:r w:rsidRPr="008E5C2B">
              <w:rPr>
                <w:b/>
                <w:bCs/>
                <w:sz w:val="18"/>
                <w:szCs w:val="18"/>
              </w:rPr>
              <w:t>151</w:t>
            </w:r>
            <w:r>
              <w:rPr>
                <w:b/>
                <w:bCs/>
                <w:sz w:val="18"/>
                <w:szCs w:val="18"/>
              </w:rPr>
              <w:t>,</w:t>
            </w:r>
            <w:r w:rsidRPr="008E5C2B">
              <w:rPr>
                <w:b/>
                <w:bCs/>
                <w:sz w:val="18"/>
                <w:szCs w:val="18"/>
              </w:rPr>
              <w:t xml:space="preserve">000 </w:t>
            </w:r>
          </w:p>
        </w:tc>
        <w:tc>
          <w:tcPr>
            <w:tcW w:w="502" w:type="pct"/>
            <w:tcBorders>
              <w:top w:val="single" w:sz="4" w:space="0" w:color="auto"/>
              <w:left w:val="nil"/>
              <w:bottom w:val="single" w:sz="12" w:space="0" w:color="auto"/>
              <w:right w:val="nil"/>
            </w:tcBorders>
            <w:shd w:val="clear" w:color="auto" w:fill="auto"/>
            <w:vAlign w:val="bottom"/>
          </w:tcPr>
          <w:p w14:paraId="6F8489F6" w14:textId="0E7D2E3B" w:rsidR="00003367" w:rsidRPr="00A1123E" w:rsidRDefault="00003367" w:rsidP="00003367">
            <w:pPr>
              <w:tabs>
                <w:tab w:val="right" w:pos="1202"/>
              </w:tabs>
              <w:spacing w:after="0" w:line="240" w:lineRule="exact"/>
              <w:jc w:val="right"/>
              <w:outlineLvl w:val="0"/>
              <w:rPr>
                <w:rFonts w:ascii="Calibri" w:eastAsia="Times New Roman" w:hAnsi="Calibri" w:cs="Arial"/>
                <w:sz w:val="18"/>
                <w:szCs w:val="18"/>
                <w:lang w:val="en-US"/>
              </w:rPr>
            </w:pPr>
            <w:r w:rsidRPr="002408DF">
              <w:rPr>
                <w:rFonts w:ascii="Calibri" w:eastAsia="Times New Roman" w:hAnsi="Calibri" w:cs="Times New Roman"/>
                <w:b/>
                <w:bCs/>
                <w:color w:val="000000"/>
                <w:sz w:val="18"/>
                <w:szCs w:val="18"/>
              </w:rPr>
              <w:t>-</w:t>
            </w:r>
          </w:p>
        </w:tc>
        <w:tc>
          <w:tcPr>
            <w:tcW w:w="502" w:type="pct"/>
            <w:tcBorders>
              <w:top w:val="single" w:sz="4" w:space="0" w:color="auto"/>
              <w:left w:val="nil"/>
              <w:bottom w:val="single" w:sz="12" w:space="0" w:color="auto"/>
              <w:right w:val="nil"/>
            </w:tcBorders>
            <w:shd w:val="clear" w:color="auto" w:fill="auto"/>
            <w:vAlign w:val="bottom"/>
          </w:tcPr>
          <w:p w14:paraId="4AAD9FB9" w14:textId="4533BA4E" w:rsidR="00003367" w:rsidRPr="00A1123E" w:rsidRDefault="00003367" w:rsidP="00003367">
            <w:pPr>
              <w:tabs>
                <w:tab w:val="right" w:pos="1202"/>
              </w:tabs>
              <w:spacing w:after="0" w:line="240" w:lineRule="exact"/>
              <w:jc w:val="right"/>
              <w:outlineLvl w:val="0"/>
              <w:rPr>
                <w:rFonts w:ascii="Calibri" w:eastAsia="Times New Roman" w:hAnsi="Calibri" w:cs="Arial"/>
                <w:sz w:val="18"/>
                <w:szCs w:val="18"/>
                <w:lang w:val="en-US"/>
              </w:rPr>
            </w:pPr>
            <w:r w:rsidRPr="002408DF">
              <w:rPr>
                <w:rFonts w:ascii="Calibri" w:eastAsia="Times New Roman" w:hAnsi="Calibri" w:cs="Times New Roman"/>
                <w:b/>
                <w:bCs/>
                <w:color w:val="000000"/>
                <w:sz w:val="18"/>
                <w:szCs w:val="18"/>
              </w:rPr>
              <w:t>1</w:t>
            </w:r>
            <w:r>
              <w:rPr>
                <w:rFonts w:ascii="Calibri" w:eastAsia="Times New Roman" w:hAnsi="Calibri" w:cs="Times New Roman"/>
                <w:b/>
                <w:bCs/>
                <w:color w:val="000000"/>
                <w:sz w:val="18"/>
                <w:szCs w:val="18"/>
              </w:rPr>
              <w:t>,</w:t>
            </w:r>
            <w:r w:rsidRPr="002408DF">
              <w:rPr>
                <w:rFonts w:ascii="Calibri" w:eastAsia="Times New Roman" w:hAnsi="Calibri" w:cs="Times New Roman"/>
                <w:b/>
                <w:bCs/>
                <w:color w:val="000000"/>
                <w:sz w:val="18"/>
                <w:szCs w:val="18"/>
              </w:rPr>
              <w:t>504</w:t>
            </w:r>
          </w:p>
        </w:tc>
        <w:tc>
          <w:tcPr>
            <w:tcW w:w="518" w:type="pct"/>
            <w:tcBorders>
              <w:top w:val="single" w:sz="4" w:space="0" w:color="auto"/>
              <w:left w:val="nil"/>
              <w:bottom w:val="single" w:sz="12" w:space="0" w:color="auto"/>
              <w:right w:val="nil"/>
            </w:tcBorders>
            <w:shd w:val="clear" w:color="auto" w:fill="auto"/>
            <w:vAlign w:val="bottom"/>
          </w:tcPr>
          <w:p w14:paraId="01D551B4" w14:textId="520B5CFA" w:rsidR="00003367" w:rsidRPr="00A1123E" w:rsidRDefault="00003367" w:rsidP="00003367">
            <w:pPr>
              <w:tabs>
                <w:tab w:val="right" w:pos="1202"/>
              </w:tabs>
              <w:spacing w:after="0" w:line="240" w:lineRule="exact"/>
              <w:jc w:val="right"/>
              <w:outlineLvl w:val="0"/>
              <w:rPr>
                <w:rFonts w:ascii="Calibri" w:eastAsia="Times New Roman" w:hAnsi="Calibri" w:cs="Arial"/>
                <w:sz w:val="18"/>
                <w:szCs w:val="18"/>
                <w:lang w:val="en-US"/>
              </w:rPr>
            </w:pPr>
            <w:r w:rsidRPr="008E5C2B">
              <w:rPr>
                <w:b/>
                <w:bCs/>
                <w:sz w:val="18"/>
                <w:szCs w:val="18"/>
              </w:rPr>
              <w:t xml:space="preserve"> 3</w:t>
            </w:r>
            <w:r>
              <w:rPr>
                <w:b/>
                <w:bCs/>
                <w:sz w:val="18"/>
                <w:szCs w:val="18"/>
              </w:rPr>
              <w:t>,</w:t>
            </w:r>
            <w:r w:rsidRPr="008E5C2B">
              <w:rPr>
                <w:b/>
                <w:bCs/>
                <w:sz w:val="18"/>
                <w:szCs w:val="18"/>
              </w:rPr>
              <w:t>152</w:t>
            </w:r>
            <w:r>
              <w:rPr>
                <w:b/>
                <w:bCs/>
                <w:sz w:val="18"/>
                <w:szCs w:val="18"/>
              </w:rPr>
              <w:t>,</w:t>
            </w:r>
            <w:r w:rsidRPr="008E5C2B">
              <w:rPr>
                <w:b/>
                <w:bCs/>
                <w:sz w:val="18"/>
                <w:szCs w:val="18"/>
              </w:rPr>
              <w:t xml:space="preserve">504 </w:t>
            </w:r>
          </w:p>
        </w:tc>
      </w:tr>
    </w:tbl>
    <w:p w14:paraId="60C608FC" w14:textId="64409A63" w:rsidR="00436A23" w:rsidRPr="00537128" w:rsidRDefault="00436A23" w:rsidP="00436A23">
      <w:pPr>
        <w:autoSpaceDE w:val="0"/>
        <w:autoSpaceDN w:val="0"/>
        <w:adjustRightInd w:val="0"/>
        <w:spacing w:after="0" w:line="240" w:lineRule="auto"/>
        <w:jc w:val="both"/>
        <w:rPr>
          <w:noProof/>
          <w:color w:val="000000" w:themeColor="text1"/>
          <w:lang w:val="en-US"/>
        </w:rPr>
      </w:pPr>
    </w:p>
    <w:tbl>
      <w:tblPr>
        <w:tblW w:w="5235" w:type="pct"/>
        <w:tblInd w:w="-142" w:type="dxa"/>
        <w:tblLayout w:type="fixed"/>
        <w:tblLook w:val="0000" w:firstRow="0" w:lastRow="0" w:firstColumn="0" w:lastColumn="0" w:noHBand="0" w:noVBand="0"/>
      </w:tblPr>
      <w:tblGrid>
        <w:gridCol w:w="1836"/>
        <w:gridCol w:w="953"/>
        <w:gridCol w:w="953"/>
        <w:gridCol w:w="954"/>
        <w:gridCol w:w="954"/>
        <w:gridCol w:w="954"/>
        <w:gridCol w:w="954"/>
        <w:gridCol w:w="954"/>
        <w:gridCol w:w="986"/>
      </w:tblGrid>
      <w:tr w:rsidR="002E7785" w:rsidRPr="00163273" w14:paraId="1ECE1256" w14:textId="77777777" w:rsidTr="00456F60">
        <w:trPr>
          <w:trHeight w:val="326"/>
        </w:trPr>
        <w:tc>
          <w:tcPr>
            <w:tcW w:w="967" w:type="pct"/>
            <w:vAlign w:val="bottom"/>
          </w:tcPr>
          <w:p w14:paraId="63B552EC" w14:textId="3BF54F6F" w:rsidR="002E7785" w:rsidRPr="00A1123E" w:rsidRDefault="002E7785" w:rsidP="002E7785">
            <w:pPr>
              <w:tabs>
                <w:tab w:val="left" w:pos="-720"/>
              </w:tabs>
              <w:suppressAutoHyphens/>
              <w:spacing w:after="0" w:line="220" w:lineRule="exact"/>
              <w:rPr>
                <w:rFonts w:ascii="Calibri" w:eastAsia="Times New Roman" w:hAnsi="Calibri" w:cs="Arial"/>
                <w:b/>
                <w:sz w:val="18"/>
                <w:szCs w:val="18"/>
                <w:lang w:val="en-US"/>
              </w:rPr>
            </w:pPr>
            <w:r w:rsidRPr="00A1123E">
              <w:rPr>
                <w:rFonts w:ascii="Calibri" w:eastAsia="Times New Roman" w:hAnsi="Calibri" w:cs="Arial"/>
                <w:b/>
                <w:sz w:val="18"/>
                <w:szCs w:val="18"/>
                <w:lang w:val="en-US"/>
              </w:rPr>
              <w:t>31 December 202</w:t>
            </w:r>
            <w:r w:rsidR="009010EB">
              <w:rPr>
                <w:rFonts w:ascii="Calibri" w:eastAsia="Times New Roman" w:hAnsi="Calibri" w:cs="Arial"/>
                <w:b/>
                <w:sz w:val="18"/>
                <w:szCs w:val="18"/>
                <w:lang w:val="en-US"/>
              </w:rPr>
              <w:t>1</w:t>
            </w:r>
          </w:p>
        </w:tc>
        <w:tc>
          <w:tcPr>
            <w:tcW w:w="502" w:type="pct"/>
            <w:vAlign w:val="bottom"/>
          </w:tcPr>
          <w:p w14:paraId="3E3B0E16" w14:textId="77777777" w:rsidR="002E7785" w:rsidRPr="00A1123E"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p>
        </w:tc>
        <w:tc>
          <w:tcPr>
            <w:tcW w:w="502" w:type="pct"/>
            <w:shd w:val="clear" w:color="auto" w:fill="auto"/>
            <w:vAlign w:val="bottom"/>
          </w:tcPr>
          <w:p w14:paraId="7A984079" w14:textId="77777777" w:rsidR="002E7785" w:rsidRPr="00A1123E"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p>
        </w:tc>
        <w:tc>
          <w:tcPr>
            <w:tcW w:w="502" w:type="pct"/>
            <w:shd w:val="clear" w:color="auto" w:fill="auto"/>
            <w:vAlign w:val="bottom"/>
          </w:tcPr>
          <w:p w14:paraId="3DEE6408"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p>
        </w:tc>
        <w:tc>
          <w:tcPr>
            <w:tcW w:w="502" w:type="pct"/>
            <w:vAlign w:val="bottom"/>
          </w:tcPr>
          <w:p w14:paraId="7D806D54" w14:textId="77777777" w:rsidR="002E7785" w:rsidRPr="00A1123E"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Group</w:t>
            </w:r>
          </w:p>
        </w:tc>
        <w:tc>
          <w:tcPr>
            <w:tcW w:w="502" w:type="pct"/>
            <w:vAlign w:val="bottom"/>
          </w:tcPr>
          <w:p w14:paraId="42EF3B55" w14:textId="77777777" w:rsidR="002E7785" w:rsidRPr="00A1123E"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p>
        </w:tc>
        <w:tc>
          <w:tcPr>
            <w:tcW w:w="502" w:type="pct"/>
            <w:shd w:val="clear" w:color="auto" w:fill="auto"/>
            <w:vAlign w:val="bottom"/>
          </w:tcPr>
          <w:p w14:paraId="6EC4039E" w14:textId="77777777" w:rsidR="002E7785" w:rsidRPr="00A1123E"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p>
        </w:tc>
        <w:tc>
          <w:tcPr>
            <w:tcW w:w="502" w:type="pct"/>
            <w:shd w:val="clear" w:color="auto" w:fill="auto"/>
            <w:vAlign w:val="bottom"/>
          </w:tcPr>
          <w:p w14:paraId="70CBB922"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p>
        </w:tc>
        <w:tc>
          <w:tcPr>
            <w:tcW w:w="519" w:type="pct"/>
            <w:vAlign w:val="bottom"/>
          </w:tcPr>
          <w:p w14:paraId="528A4D8E"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Bank</w:t>
            </w:r>
          </w:p>
        </w:tc>
      </w:tr>
      <w:tr w:rsidR="002E7785" w:rsidRPr="00163273" w14:paraId="06F24829" w14:textId="77777777" w:rsidTr="00456F60">
        <w:trPr>
          <w:trHeight w:val="251"/>
        </w:trPr>
        <w:tc>
          <w:tcPr>
            <w:tcW w:w="967" w:type="pct"/>
            <w:vAlign w:val="bottom"/>
          </w:tcPr>
          <w:p w14:paraId="62A2273C" w14:textId="77777777" w:rsidR="002E7785" w:rsidRPr="00A1123E" w:rsidRDefault="002E7785" w:rsidP="002E7785">
            <w:pPr>
              <w:tabs>
                <w:tab w:val="left" w:pos="-720"/>
              </w:tabs>
              <w:suppressAutoHyphens/>
              <w:spacing w:after="0" w:line="220" w:lineRule="exact"/>
              <w:rPr>
                <w:rFonts w:ascii="Calibri" w:eastAsia="Times New Roman" w:hAnsi="Calibri" w:cs="Arial"/>
                <w:sz w:val="18"/>
                <w:szCs w:val="18"/>
                <w:lang w:val="en-US"/>
              </w:rPr>
            </w:pPr>
          </w:p>
        </w:tc>
        <w:tc>
          <w:tcPr>
            <w:tcW w:w="502" w:type="pct"/>
            <w:vAlign w:val="bottom"/>
          </w:tcPr>
          <w:p w14:paraId="01C81945"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Stage 1</w:t>
            </w:r>
          </w:p>
        </w:tc>
        <w:tc>
          <w:tcPr>
            <w:tcW w:w="502" w:type="pct"/>
            <w:vAlign w:val="bottom"/>
          </w:tcPr>
          <w:p w14:paraId="747E11D4"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Stage 2</w:t>
            </w:r>
          </w:p>
        </w:tc>
        <w:tc>
          <w:tcPr>
            <w:tcW w:w="502" w:type="pct"/>
            <w:vAlign w:val="bottom"/>
          </w:tcPr>
          <w:p w14:paraId="237EE0D7"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Stage 3</w:t>
            </w:r>
          </w:p>
        </w:tc>
        <w:tc>
          <w:tcPr>
            <w:tcW w:w="502" w:type="pct"/>
            <w:vAlign w:val="bottom"/>
          </w:tcPr>
          <w:p w14:paraId="55845505"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Total</w:t>
            </w:r>
          </w:p>
        </w:tc>
        <w:tc>
          <w:tcPr>
            <w:tcW w:w="502" w:type="pct"/>
            <w:vAlign w:val="bottom"/>
          </w:tcPr>
          <w:p w14:paraId="50BE9481"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Stage 1</w:t>
            </w:r>
          </w:p>
        </w:tc>
        <w:tc>
          <w:tcPr>
            <w:tcW w:w="502" w:type="pct"/>
            <w:vAlign w:val="bottom"/>
          </w:tcPr>
          <w:p w14:paraId="3A540416"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Stage 2</w:t>
            </w:r>
          </w:p>
        </w:tc>
        <w:tc>
          <w:tcPr>
            <w:tcW w:w="502" w:type="pct"/>
            <w:vAlign w:val="bottom"/>
          </w:tcPr>
          <w:p w14:paraId="442D970F"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Stage 3</w:t>
            </w:r>
          </w:p>
        </w:tc>
        <w:tc>
          <w:tcPr>
            <w:tcW w:w="519" w:type="pct"/>
            <w:vAlign w:val="bottom"/>
          </w:tcPr>
          <w:p w14:paraId="2408F6D6"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Total</w:t>
            </w:r>
          </w:p>
        </w:tc>
      </w:tr>
      <w:tr w:rsidR="00417C24" w:rsidRPr="00163273" w14:paraId="7C844CD4" w14:textId="77777777" w:rsidTr="00456F60">
        <w:trPr>
          <w:trHeight w:val="251"/>
        </w:trPr>
        <w:tc>
          <w:tcPr>
            <w:tcW w:w="967" w:type="pct"/>
            <w:vAlign w:val="bottom"/>
          </w:tcPr>
          <w:p w14:paraId="17C70D43" w14:textId="77777777" w:rsidR="00417C24" w:rsidRPr="00A1123E" w:rsidRDefault="00417C24" w:rsidP="00417C24">
            <w:pPr>
              <w:tabs>
                <w:tab w:val="left" w:pos="-720"/>
              </w:tabs>
              <w:suppressAutoHyphens/>
              <w:spacing w:after="0" w:line="220" w:lineRule="exact"/>
              <w:rPr>
                <w:rFonts w:ascii="Calibri" w:eastAsia="Times New Roman" w:hAnsi="Calibri" w:cs="Arial"/>
                <w:sz w:val="18"/>
                <w:szCs w:val="18"/>
                <w:lang w:val="en-US"/>
              </w:rPr>
            </w:pPr>
          </w:p>
        </w:tc>
        <w:tc>
          <w:tcPr>
            <w:tcW w:w="502" w:type="pct"/>
            <w:vAlign w:val="bottom"/>
          </w:tcPr>
          <w:p w14:paraId="4A5477F0" w14:textId="3B8CFA4A" w:rsidR="00417C24" w:rsidRPr="00A1123E" w:rsidRDefault="00417C24" w:rsidP="00417C24">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 xml:space="preserve">HRK </w:t>
            </w:r>
            <w:r>
              <w:rPr>
                <w:rFonts w:ascii="Calibri" w:eastAsia="Times New Roman" w:hAnsi="Calibri" w:cs="Arial"/>
                <w:b/>
                <w:sz w:val="18"/>
                <w:szCs w:val="18"/>
                <w:lang w:val="en-US"/>
              </w:rPr>
              <w:t>‘</w:t>
            </w:r>
            <w:r w:rsidRPr="00A1123E">
              <w:rPr>
                <w:rFonts w:ascii="Calibri" w:eastAsia="Times New Roman" w:hAnsi="Calibri" w:cs="Arial"/>
                <w:b/>
                <w:sz w:val="18"/>
                <w:szCs w:val="18"/>
                <w:lang w:val="en-US"/>
              </w:rPr>
              <w:t>000</w:t>
            </w:r>
          </w:p>
        </w:tc>
        <w:tc>
          <w:tcPr>
            <w:tcW w:w="502" w:type="pct"/>
            <w:vAlign w:val="bottom"/>
          </w:tcPr>
          <w:p w14:paraId="258A1FA9" w14:textId="5BE84E73" w:rsidR="00417C24" w:rsidRPr="00A1123E" w:rsidRDefault="00417C24" w:rsidP="00417C24">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 xml:space="preserve">HRK </w:t>
            </w:r>
            <w:r>
              <w:rPr>
                <w:rFonts w:ascii="Calibri" w:eastAsia="Times New Roman" w:hAnsi="Calibri" w:cs="Arial"/>
                <w:b/>
                <w:sz w:val="18"/>
                <w:szCs w:val="18"/>
                <w:lang w:val="en-US"/>
              </w:rPr>
              <w:t>‘</w:t>
            </w:r>
            <w:r w:rsidRPr="00A1123E">
              <w:rPr>
                <w:rFonts w:ascii="Calibri" w:eastAsia="Times New Roman" w:hAnsi="Calibri" w:cs="Arial"/>
                <w:b/>
                <w:sz w:val="18"/>
                <w:szCs w:val="18"/>
                <w:lang w:val="en-US"/>
              </w:rPr>
              <w:t>000</w:t>
            </w:r>
          </w:p>
        </w:tc>
        <w:tc>
          <w:tcPr>
            <w:tcW w:w="502" w:type="pct"/>
            <w:vAlign w:val="bottom"/>
          </w:tcPr>
          <w:p w14:paraId="3EED5855" w14:textId="48CF6235" w:rsidR="00417C24" w:rsidRPr="00A1123E" w:rsidRDefault="00417C24" w:rsidP="00417C24">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 xml:space="preserve">HRK </w:t>
            </w:r>
            <w:r>
              <w:rPr>
                <w:rFonts w:ascii="Calibri" w:eastAsia="Times New Roman" w:hAnsi="Calibri" w:cs="Arial"/>
                <w:b/>
                <w:sz w:val="18"/>
                <w:szCs w:val="18"/>
                <w:lang w:val="en-US"/>
              </w:rPr>
              <w:t>‘</w:t>
            </w:r>
            <w:r w:rsidRPr="00A1123E">
              <w:rPr>
                <w:rFonts w:ascii="Calibri" w:eastAsia="Times New Roman" w:hAnsi="Calibri" w:cs="Arial"/>
                <w:b/>
                <w:sz w:val="18"/>
                <w:szCs w:val="18"/>
                <w:lang w:val="en-US"/>
              </w:rPr>
              <w:t>000</w:t>
            </w:r>
          </w:p>
        </w:tc>
        <w:tc>
          <w:tcPr>
            <w:tcW w:w="502" w:type="pct"/>
            <w:vAlign w:val="bottom"/>
          </w:tcPr>
          <w:p w14:paraId="326288BA" w14:textId="6E667EF0" w:rsidR="00417C24" w:rsidRPr="00A1123E" w:rsidRDefault="00417C24" w:rsidP="00417C24">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 xml:space="preserve">HRK </w:t>
            </w:r>
            <w:r>
              <w:rPr>
                <w:rFonts w:ascii="Calibri" w:eastAsia="Times New Roman" w:hAnsi="Calibri" w:cs="Arial"/>
                <w:b/>
                <w:sz w:val="18"/>
                <w:szCs w:val="18"/>
                <w:lang w:val="en-US"/>
              </w:rPr>
              <w:t>‘</w:t>
            </w:r>
            <w:r w:rsidRPr="00A1123E">
              <w:rPr>
                <w:rFonts w:ascii="Calibri" w:eastAsia="Times New Roman" w:hAnsi="Calibri" w:cs="Arial"/>
                <w:b/>
                <w:sz w:val="18"/>
                <w:szCs w:val="18"/>
                <w:lang w:val="en-US"/>
              </w:rPr>
              <w:t>000</w:t>
            </w:r>
          </w:p>
        </w:tc>
        <w:tc>
          <w:tcPr>
            <w:tcW w:w="502" w:type="pct"/>
            <w:vAlign w:val="bottom"/>
          </w:tcPr>
          <w:p w14:paraId="092404DE" w14:textId="1859E1C1" w:rsidR="00417C24" w:rsidRPr="00A1123E" w:rsidRDefault="00417C24" w:rsidP="00417C24">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 xml:space="preserve">HRK </w:t>
            </w:r>
            <w:r>
              <w:rPr>
                <w:rFonts w:ascii="Calibri" w:eastAsia="Times New Roman" w:hAnsi="Calibri" w:cs="Arial"/>
                <w:b/>
                <w:sz w:val="18"/>
                <w:szCs w:val="18"/>
                <w:lang w:val="en-US"/>
              </w:rPr>
              <w:t>‘</w:t>
            </w:r>
            <w:r w:rsidRPr="00A1123E">
              <w:rPr>
                <w:rFonts w:ascii="Calibri" w:eastAsia="Times New Roman" w:hAnsi="Calibri" w:cs="Arial"/>
                <w:b/>
                <w:sz w:val="18"/>
                <w:szCs w:val="18"/>
                <w:lang w:val="en-US"/>
              </w:rPr>
              <w:t>000</w:t>
            </w:r>
          </w:p>
        </w:tc>
        <w:tc>
          <w:tcPr>
            <w:tcW w:w="502" w:type="pct"/>
            <w:vAlign w:val="bottom"/>
          </w:tcPr>
          <w:p w14:paraId="45DB5C17" w14:textId="031CF568" w:rsidR="00417C24" w:rsidRPr="00A1123E" w:rsidRDefault="00417C24" w:rsidP="00417C24">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 xml:space="preserve">HRK </w:t>
            </w:r>
            <w:r>
              <w:rPr>
                <w:rFonts w:ascii="Calibri" w:eastAsia="Times New Roman" w:hAnsi="Calibri" w:cs="Arial"/>
                <w:b/>
                <w:sz w:val="18"/>
                <w:szCs w:val="18"/>
                <w:lang w:val="en-US"/>
              </w:rPr>
              <w:t>‘</w:t>
            </w:r>
            <w:r w:rsidRPr="00A1123E">
              <w:rPr>
                <w:rFonts w:ascii="Calibri" w:eastAsia="Times New Roman" w:hAnsi="Calibri" w:cs="Arial"/>
                <w:b/>
                <w:sz w:val="18"/>
                <w:szCs w:val="18"/>
                <w:lang w:val="en-US"/>
              </w:rPr>
              <w:t>000</w:t>
            </w:r>
          </w:p>
        </w:tc>
        <w:tc>
          <w:tcPr>
            <w:tcW w:w="502" w:type="pct"/>
            <w:vAlign w:val="bottom"/>
          </w:tcPr>
          <w:p w14:paraId="0B68B4FA" w14:textId="43D3A308" w:rsidR="00417C24" w:rsidRPr="00A1123E" w:rsidRDefault="00417C24" w:rsidP="00417C24">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 xml:space="preserve">HRK </w:t>
            </w:r>
            <w:r>
              <w:rPr>
                <w:rFonts w:ascii="Calibri" w:eastAsia="Times New Roman" w:hAnsi="Calibri" w:cs="Arial"/>
                <w:b/>
                <w:sz w:val="18"/>
                <w:szCs w:val="18"/>
                <w:lang w:val="en-US"/>
              </w:rPr>
              <w:t>‘</w:t>
            </w:r>
            <w:r w:rsidRPr="00A1123E">
              <w:rPr>
                <w:rFonts w:ascii="Calibri" w:eastAsia="Times New Roman" w:hAnsi="Calibri" w:cs="Arial"/>
                <w:b/>
                <w:sz w:val="18"/>
                <w:szCs w:val="18"/>
                <w:lang w:val="en-US"/>
              </w:rPr>
              <w:t>000</w:t>
            </w:r>
          </w:p>
        </w:tc>
        <w:tc>
          <w:tcPr>
            <w:tcW w:w="519" w:type="pct"/>
            <w:vAlign w:val="bottom"/>
          </w:tcPr>
          <w:p w14:paraId="4AF38D66" w14:textId="22C9C955" w:rsidR="00417C24" w:rsidRPr="00A1123E" w:rsidRDefault="00417C24" w:rsidP="00417C24">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 xml:space="preserve">HRK </w:t>
            </w:r>
            <w:r>
              <w:rPr>
                <w:rFonts w:ascii="Calibri" w:eastAsia="Times New Roman" w:hAnsi="Calibri" w:cs="Arial"/>
                <w:b/>
                <w:sz w:val="18"/>
                <w:szCs w:val="18"/>
                <w:lang w:val="en-US"/>
              </w:rPr>
              <w:t>‘</w:t>
            </w:r>
            <w:r w:rsidRPr="00A1123E">
              <w:rPr>
                <w:rFonts w:ascii="Calibri" w:eastAsia="Times New Roman" w:hAnsi="Calibri" w:cs="Arial"/>
                <w:b/>
                <w:sz w:val="18"/>
                <w:szCs w:val="18"/>
                <w:lang w:val="en-US"/>
              </w:rPr>
              <w:t>000</w:t>
            </w:r>
          </w:p>
        </w:tc>
      </w:tr>
      <w:tr w:rsidR="00417C24" w:rsidRPr="00163273" w14:paraId="734ED352" w14:textId="77777777" w:rsidTr="00456F60">
        <w:trPr>
          <w:trHeight w:val="177"/>
        </w:trPr>
        <w:tc>
          <w:tcPr>
            <w:tcW w:w="967" w:type="pct"/>
            <w:vAlign w:val="bottom"/>
          </w:tcPr>
          <w:p w14:paraId="7A846BDB" w14:textId="77777777" w:rsidR="00417C24" w:rsidRPr="00A1123E" w:rsidRDefault="00417C24" w:rsidP="00417C24">
            <w:pPr>
              <w:tabs>
                <w:tab w:val="left" w:pos="-720"/>
              </w:tabs>
              <w:suppressAutoHyphens/>
              <w:spacing w:after="0" w:line="140" w:lineRule="exact"/>
              <w:rPr>
                <w:rFonts w:ascii="Calibri" w:eastAsia="Times New Roman" w:hAnsi="Calibri" w:cs="Arial"/>
                <w:sz w:val="18"/>
                <w:szCs w:val="18"/>
                <w:lang w:val="en-US"/>
              </w:rPr>
            </w:pPr>
          </w:p>
        </w:tc>
        <w:tc>
          <w:tcPr>
            <w:tcW w:w="502" w:type="pct"/>
            <w:vAlign w:val="bottom"/>
          </w:tcPr>
          <w:p w14:paraId="452AA0BA" w14:textId="77777777" w:rsidR="00417C24" w:rsidRPr="00A1123E" w:rsidRDefault="00417C24" w:rsidP="00417C24">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0F64D644" w14:textId="77777777" w:rsidR="00417C24" w:rsidRPr="00A1123E" w:rsidRDefault="00417C24" w:rsidP="00417C24">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2A7CA840" w14:textId="77777777" w:rsidR="00417C24" w:rsidRPr="00A1123E" w:rsidRDefault="00417C24" w:rsidP="00417C24">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0B4F65E9" w14:textId="77777777" w:rsidR="00417C24" w:rsidRPr="00A1123E" w:rsidRDefault="00417C24" w:rsidP="00417C24">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00055A24" w14:textId="77777777" w:rsidR="00417C24" w:rsidRPr="00A1123E" w:rsidRDefault="00417C24" w:rsidP="00417C24">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685FB6EC" w14:textId="77777777" w:rsidR="00417C24" w:rsidRPr="00A1123E" w:rsidRDefault="00417C24" w:rsidP="00417C24">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3AF95D25" w14:textId="77777777" w:rsidR="00417C24" w:rsidRPr="00A1123E" w:rsidRDefault="00417C24" w:rsidP="00417C24">
            <w:pPr>
              <w:tabs>
                <w:tab w:val="right" w:pos="1202"/>
              </w:tabs>
              <w:spacing w:after="0" w:line="140" w:lineRule="exact"/>
              <w:jc w:val="right"/>
              <w:outlineLvl w:val="0"/>
              <w:rPr>
                <w:rFonts w:ascii="Calibri" w:eastAsia="Times New Roman" w:hAnsi="Calibri" w:cs="Arial"/>
                <w:b/>
                <w:sz w:val="18"/>
                <w:szCs w:val="18"/>
                <w:lang w:val="en-US"/>
              </w:rPr>
            </w:pPr>
          </w:p>
        </w:tc>
        <w:tc>
          <w:tcPr>
            <w:tcW w:w="519" w:type="pct"/>
            <w:vAlign w:val="bottom"/>
          </w:tcPr>
          <w:p w14:paraId="0B771AE1" w14:textId="77777777" w:rsidR="00417C24" w:rsidRPr="00A1123E" w:rsidRDefault="00417C24" w:rsidP="00417C24">
            <w:pPr>
              <w:tabs>
                <w:tab w:val="right" w:pos="1202"/>
              </w:tabs>
              <w:spacing w:after="0" w:line="140" w:lineRule="exact"/>
              <w:jc w:val="right"/>
              <w:outlineLvl w:val="0"/>
              <w:rPr>
                <w:rFonts w:ascii="Calibri" w:eastAsia="Times New Roman" w:hAnsi="Calibri" w:cs="Arial"/>
                <w:b/>
                <w:sz w:val="18"/>
                <w:szCs w:val="18"/>
                <w:lang w:val="en-US"/>
              </w:rPr>
            </w:pPr>
          </w:p>
        </w:tc>
      </w:tr>
      <w:tr w:rsidR="00417C24" w:rsidRPr="00163273" w14:paraId="27E20221" w14:textId="77777777" w:rsidTr="00456F60">
        <w:trPr>
          <w:trHeight w:val="337"/>
        </w:trPr>
        <w:tc>
          <w:tcPr>
            <w:tcW w:w="967" w:type="pct"/>
            <w:vAlign w:val="bottom"/>
          </w:tcPr>
          <w:p w14:paraId="320DE9B9" w14:textId="77777777" w:rsidR="00417C24" w:rsidRPr="00A1123E" w:rsidRDefault="00417C24" w:rsidP="00417C24">
            <w:pPr>
              <w:tabs>
                <w:tab w:val="right" w:pos="1202"/>
              </w:tabs>
              <w:spacing w:after="0" w:line="240" w:lineRule="exact"/>
              <w:outlineLvl w:val="0"/>
              <w:rPr>
                <w:rFonts w:ascii="Calibri" w:eastAsia="Times New Roman" w:hAnsi="Calibri" w:cs="Arial"/>
                <w:sz w:val="18"/>
                <w:szCs w:val="18"/>
                <w:lang w:val="en-US"/>
              </w:rPr>
            </w:pPr>
            <w:r w:rsidRPr="00A1123E">
              <w:rPr>
                <w:rFonts w:ascii="Calibri" w:eastAsia="Times New Roman" w:hAnsi="Calibri" w:cs="Arial"/>
                <w:sz w:val="18"/>
                <w:szCs w:val="18"/>
                <w:lang w:val="en-US"/>
              </w:rPr>
              <w:t>Gross amount</w:t>
            </w:r>
          </w:p>
        </w:tc>
        <w:tc>
          <w:tcPr>
            <w:tcW w:w="502" w:type="pct"/>
            <w:tcBorders>
              <w:top w:val="nil"/>
              <w:left w:val="nil"/>
              <w:bottom w:val="nil"/>
              <w:right w:val="nil"/>
            </w:tcBorders>
            <w:shd w:val="clear" w:color="auto" w:fill="auto"/>
            <w:vAlign w:val="bottom"/>
          </w:tcPr>
          <w:p w14:paraId="5ACC3EA3" w14:textId="5CAF281F" w:rsidR="00417C24" w:rsidRPr="00A1123E" w:rsidRDefault="00417C24" w:rsidP="00417C24">
            <w:pPr>
              <w:tabs>
                <w:tab w:val="right" w:pos="1202"/>
              </w:tabs>
              <w:spacing w:after="0" w:line="240" w:lineRule="exact"/>
              <w:outlineLvl w:val="0"/>
              <w:rPr>
                <w:rFonts w:ascii="Calibri" w:eastAsia="Times New Roman" w:hAnsi="Calibri" w:cs="Arial"/>
                <w:sz w:val="18"/>
                <w:szCs w:val="18"/>
                <w:lang w:val="en-US"/>
              </w:rPr>
            </w:pPr>
            <w:r w:rsidRPr="007F5B1C">
              <w:rPr>
                <w:rFonts w:cstheme="minorHAnsi"/>
                <w:sz w:val="18"/>
                <w:szCs w:val="18"/>
              </w:rPr>
              <w:t>2</w:t>
            </w:r>
            <w:r>
              <w:rPr>
                <w:rFonts w:cstheme="minorHAnsi"/>
                <w:sz w:val="18"/>
                <w:szCs w:val="18"/>
              </w:rPr>
              <w:t>,</w:t>
            </w:r>
            <w:r w:rsidRPr="007F5B1C">
              <w:rPr>
                <w:rFonts w:cstheme="minorHAnsi"/>
                <w:sz w:val="18"/>
                <w:szCs w:val="18"/>
              </w:rPr>
              <w:t>928</w:t>
            </w:r>
            <w:r>
              <w:rPr>
                <w:rFonts w:cstheme="minorHAnsi"/>
                <w:sz w:val="18"/>
                <w:szCs w:val="18"/>
              </w:rPr>
              <w:t>,</w:t>
            </w:r>
            <w:r w:rsidRPr="007F5B1C">
              <w:rPr>
                <w:rFonts w:cstheme="minorHAnsi"/>
                <w:sz w:val="18"/>
                <w:szCs w:val="18"/>
              </w:rPr>
              <w:t xml:space="preserve">045 </w:t>
            </w:r>
          </w:p>
        </w:tc>
        <w:tc>
          <w:tcPr>
            <w:tcW w:w="502" w:type="pct"/>
            <w:tcBorders>
              <w:top w:val="nil"/>
              <w:left w:val="nil"/>
              <w:bottom w:val="nil"/>
              <w:right w:val="nil"/>
            </w:tcBorders>
            <w:shd w:val="clear" w:color="auto" w:fill="auto"/>
            <w:vAlign w:val="bottom"/>
          </w:tcPr>
          <w:p w14:paraId="688BEAA6" w14:textId="5D3871C6" w:rsidR="00417C24" w:rsidRPr="00A1123E" w:rsidRDefault="00417C24" w:rsidP="00417C24">
            <w:pPr>
              <w:tabs>
                <w:tab w:val="right" w:pos="1202"/>
              </w:tabs>
              <w:spacing w:after="0" w:line="240" w:lineRule="exact"/>
              <w:jc w:val="right"/>
              <w:outlineLvl w:val="0"/>
              <w:rPr>
                <w:rFonts w:ascii="Calibri" w:eastAsia="Times New Roman" w:hAnsi="Calibri" w:cs="Arial"/>
                <w:sz w:val="18"/>
                <w:szCs w:val="18"/>
                <w:lang w:val="en-US"/>
              </w:rPr>
            </w:pPr>
            <w:r>
              <w:rPr>
                <w:rFonts w:cstheme="minorHAnsi"/>
                <w:color w:val="000000" w:themeColor="text1"/>
                <w:sz w:val="18"/>
                <w:szCs w:val="18"/>
              </w:rPr>
              <w:t>-</w:t>
            </w:r>
          </w:p>
        </w:tc>
        <w:tc>
          <w:tcPr>
            <w:tcW w:w="502" w:type="pct"/>
            <w:tcBorders>
              <w:top w:val="nil"/>
              <w:left w:val="nil"/>
              <w:bottom w:val="nil"/>
              <w:right w:val="nil"/>
            </w:tcBorders>
            <w:shd w:val="clear" w:color="auto" w:fill="auto"/>
            <w:vAlign w:val="bottom"/>
          </w:tcPr>
          <w:p w14:paraId="5AB5D0AC" w14:textId="78B01277" w:rsidR="00417C24" w:rsidRPr="00A1123E" w:rsidRDefault="00417C24" w:rsidP="00417C24">
            <w:pPr>
              <w:tabs>
                <w:tab w:val="right" w:pos="1202"/>
              </w:tabs>
              <w:spacing w:after="0" w:line="240" w:lineRule="exact"/>
              <w:jc w:val="right"/>
              <w:outlineLvl w:val="0"/>
              <w:rPr>
                <w:rFonts w:ascii="Calibri" w:eastAsia="Times New Roman" w:hAnsi="Calibri" w:cs="Arial"/>
                <w:sz w:val="18"/>
                <w:szCs w:val="18"/>
                <w:lang w:val="en-US"/>
              </w:rPr>
            </w:pPr>
            <w:r w:rsidRPr="007F5B1C">
              <w:rPr>
                <w:rFonts w:cstheme="minorHAnsi"/>
                <w:sz w:val="18"/>
                <w:szCs w:val="18"/>
              </w:rPr>
              <w:t xml:space="preserve"> 1</w:t>
            </w:r>
            <w:r>
              <w:rPr>
                <w:rFonts w:cstheme="minorHAnsi"/>
                <w:sz w:val="18"/>
                <w:szCs w:val="18"/>
              </w:rPr>
              <w:t>,</w:t>
            </w:r>
            <w:r w:rsidRPr="007F5B1C">
              <w:rPr>
                <w:rFonts w:cstheme="minorHAnsi"/>
                <w:sz w:val="18"/>
                <w:szCs w:val="18"/>
              </w:rPr>
              <w:t xml:space="preserve">469 </w:t>
            </w:r>
          </w:p>
        </w:tc>
        <w:tc>
          <w:tcPr>
            <w:tcW w:w="502" w:type="pct"/>
            <w:tcBorders>
              <w:top w:val="nil"/>
              <w:left w:val="nil"/>
              <w:bottom w:val="nil"/>
              <w:right w:val="nil"/>
            </w:tcBorders>
            <w:shd w:val="clear" w:color="auto" w:fill="auto"/>
            <w:vAlign w:val="bottom"/>
          </w:tcPr>
          <w:p w14:paraId="0C1345AE" w14:textId="7E0F1388" w:rsidR="00417C24" w:rsidRPr="00A1123E" w:rsidRDefault="00417C24" w:rsidP="00417C24">
            <w:pPr>
              <w:tabs>
                <w:tab w:val="right" w:pos="1202"/>
              </w:tabs>
              <w:spacing w:after="0" w:line="240" w:lineRule="exact"/>
              <w:outlineLvl w:val="0"/>
              <w:rPr>
                <w:rFonts w:ascii="Calibri" w:eastAsia="Times New Roman" w:hAnsi="Calibri" w:cs="Arial"/>
                <w:sz w:val="18"/>
                <w:szCs w:val="18"/>
                <w:lang w:val="en-US"/>
              </w:rPr>
            </w:pPr>
            <w:r w:rsidRPr="00AB5E26">
              <w:rPr>
                <w:rFonts w:cstheme="minorHAnsi"/>
                <w:b/>
                <w:bCs/>
                <w:sz w:val="18"/>
                <w:szCs w:val="18"/>
              </w:rPr>
              <w:t>2</w:t>
            </w:r>
            <w:r>
              <w:rPr>
                <w:rFonts w:cstheme="minorHAnsi"/>
                <w:b/>
                <w:bCs/>
                <w:sz w:val="18"/>
                <w:szCs w:val="18"/>
              </w:rPr>
              <w:t>,</w:t>
            </w:r>
            <w:r w:rsidRPr="00AB5E26">
              <w:rPr>
                <w:rFonts w:cstheme="minorHAnsi"/>
                <w:b/>
                <w:bCs/>
                <w:sz w:val="18"/>
                <w:szCs w:val="18"/>
              </w:rPr>
              <w:t>929</w:t>
            </w:r>
            <w:r>
              <w:rPr>
                <w:rFonts w:cstheme="minorHAnsi"/>
                <w:b/>
                <w:bCs/>
                <w:sz w:val="18"/>
                <w:szCs w:val="18"/>
              </w:rPr>
              <w:t>,</w:t>
            </w:r>
            <w:r w:rsidRPr="00AB5E26">
              <w:rPr>
                <w:rFonts w:cstheme="minorHAnsi"/>
                <w:b/>
                <w:bCs/>
                <w:sz w:val="18"/>
                <w:szCs w:val="18"/>
              </w:rPr>
              <w:t xml:space="preserve">514 </w:t>
            </w:r>
          </w:p>
        </w:tc>
        <w:tc>
          <w:tcPr>
            <w:tcW w:w="502" w:type="pct"/>
            <w:tcBorders>
              <w:top w:val="nil"/>
              <w:left w:val="nil"/>
              <w:bottom w:val="nil"/>
              <w:right w:val="nil"/>
            </w:tcBorders>
            <w:shd w:val="clear" w:color="auto" w:fill="auto"/>
            <w:vAlign w:val="bottom"/>
          </w:tcPr>
          <w:p w14:paraId="5A64ECF7" w14:textId="4C9B6234" w:rsidR="00417C24" w:rsidRPr="00A1123E" w:rsidRDefault="00417C24" w:rsidP="00417C24">
            <w:pPr>
              <w:tabs>
                <w:tab w:val="right" w:pos="1202"/>
              </w:tabs>
              <w:spacing w:after="0" w:line="240" w:lineRule="exact"/>
              <w:outlineLvl w:val="0"/>
              <w:rPr>
                <w:rFonts w:ascii="Calibri" w:eastAsia="Times New Roman" w:hAnsi="Calibri" w:cs="Arial"/>
                <w:sz w:val="18"/>
                <w:szCs w:val="18"/>
                <w:lang w:val="en-US"/>
              </w:rPr>
            </w:pPr>
            <w:r w:rsidRPr="007F5B1C">
              <w:rPr>
                <w:rFonts w:cstheme="minorHAnsi"/>
                <w:sz w:val="18"/>
                <w:szCs w:val="18"/>
              </w:rPr>
              <w:t>2</w:t>
            </w:r>
            <w:r>
              <w:rPr>
                <w:rFonts w:cstheme="minorHAnsi"/>
                <w:sz w:val="18"/>
                <w:szCs w:val="18"/>
              </w:rPr>
              <w:t>,</w:t>
            </w:r>
            <w:r w:rsidRPr="007F5B1C">
              <w:rPr>
                <w:rFonts w:cstheme="minorHAnsi"/>
                <w:sz w:val="18"/>
                <w:szCs w:val="18"/>
              </w:rPr>
              <w:t>871</w:t>
            </w:r>
            <w:r>
              <w:rPr>
                <w:rFonts w:cstheme="minorHAnsi"/>
                <w:sz w:val="18"/>
                <w:szCs w:val="18"/>
              </w:rPr>
              <w:t>,</w:t>
            </w:r>
            <w:r w:rsidRPr="007F5B1C">
              <w:rPr>
                <w:rFonts w:cstheme="minorHAnsi"/>
                <w:sz w:val="18"/>
                <w:szCs w:val="18"/>
              </w:rPr>
              <w:t xml:space="preserve">219 </w:t>
            </w:r>
          </w:p>
        </w:tc>
        <w:tc>
          <w:tcPr>
            <w:tcW w:w="502" w:type="pct"/>
            <w:tcBorders>
              <w:top w:val="nil"/>
              <w:left w:val="nil"/>
              <w:bottom w:val="nil"/>
              <w:right w:val="nil"/>
            </w:tcBorders>
            <w:shd w:val="clear" w:color="auto" w:fill="auto"/>
            <w:vAlign w:val="bottom"/>
          </w:tcPr>
          <w:p w14:paraId="6CE3A7E1" w14:textId="655238E8" w:rsidR="00417C24" w:rsidRPr="00A1123E" w:rsidRDefault="00417C24" w:rsidP="00417C24">
            <w:pPr>
              <w:tabs>
                <w:tab w:val="right" w:pos="1202"/>
              </w:tabs>
              <w:spacing w:after="0" w:line="240" w:lineRule="exact"/>
              <w:jc w:val="right"/>
              <w:outlineLvl w:val="0"/>
              <w:rPr>
                <w:rFonts w:ascii="Calibri" w:eastAsia="Times New Roman" w:hAnsi="Calibri" w:cs="Arial"/>
                <w:sz w:val="18"/>
                <w:szCs w:val="18"/>
                <w:lang w:val="en-US"/>
              </w:rPr>
            </w:pPr>
            <w:r w:rsidRPr="007F5B1C">
              <w:rPr>
                <w:rFonts w:cstheme="minorHAnsi"/>
                <w:sz w:val="18"/>
                <w:szCs w:val="18"/>
              </w:rPr>
              <w:t xml:space="preserve"> - </w:t>
            </w:r>
          </w:p>
        </w:tc>
        <w:tc>
          <w:tcPr>
            <w:tcW w:w="502" w:type="pct"/>
            <w:tcBorders>
              <w:top w:val="nil"/>
              <w:left w:val="nil"/>
              <w:bottom w:val="nil"/>
              <w:right w:val="nil"/>
            </w:tcBorders>
            <w:shd w:val="clear" w:color="auto" w:fill="auto"/>
            <w:vAlign w:val="bottom"/>
          </w:tcPr>
          <w:p w14:paraId="74AC4F02" w14:textId="7FA7A317" w:rsidR="00417C24" w:rsidRPr="00A1123E" w:rsidRDefault="00417C24" w:rsidP="00417C24">
            <w:pPr>
              <w:tabs>
                <w:tab w:val="right" w:pos="1202"/>
              </w:tabs>
              <w:spacing w:after="0" w:line="240" w:lineRule="exact"/>
              <w:jc w:val="right"/>
              <w:outlineLvl w:val="0"/>
              <w:rPr>
                <w:rFonts w:ascii="Calibri" w:eastAsia="Times New Roman" w:hAnsi="Calibri" w:cs="Arial"/>
                <w:sz w:val="18"/>
                <w:szCs w:val="18"/>
                <w:lang w:val="en-US"/>
              </w:rPr>
            </w:pPr>
            <w:r w:rsidRPr="007F5B1C">
              <w:rPr>
                <w:rFonts w:cstheme="minorHAnsi"/>
                <w:sz w:val="18"/>
                <w:szCs w:val="18"/>
              </w:rPr>
              <w:t xml:space="preserve"> 1</w:t>
            </w:r>
            <w:r>
              <w:rPr>
                <w:rFonts w:cstheme="minorHAnsi"/>
                <w:sz w:val="18"/>
                <w:szCs w:val="18"/>
              </w:rPr>
              <w:t>,</w:t>
            </w:r>
            <w:r w:rsidRPr="007F5B1C">
              <w:rPr>
                <w:rFonts w:cstheme="minorHAnsi"/>
                <w:sz w:val="18"/>
                <w:szCs w:val="18"/>
              </w:rPr>
              <w:t xml:space="preserve">469 </w:t>
            </w:r>
          </w:p>
        </w:tc>
        <w:tc>
          <w:tcPr>
            <w:tcW w:w="519" w:type="pct"/>
            <w:tcBorders>
              <w:top w:val="nil"/>
              <w:left w:val="nil"/>
              <w:bottom w:val="nil"/>
              <w:right w:val="nil"/>
            </w:tcBorders>
            <w:shd w:val="clear" w:color="auto" w:fill="auto"/>
            <w:vAlign w:val="bottom"/>
          </w:tcPr>
          <w:p w14:paraId="115FEBB4" w14:textId="6BD80BD3" w:rsidR="00417C24" w:rsidRPr="00A1123E" w:rsidRDefault="00417C24" w:rsidP="00417C24">
            <w:pPr>
              <w:tabs>
                <w:tab w:val="right" w:pos="1202"/>
              </w:tabs>
              <w:spacing w:after="0" w:line="240" w:lineRule="exact"/>
              <w:outlineLvl w:val="0"/>
              <w:rPr>
                <w:rFonts w:ascii="Calibri" w:eastAsia="Times New Roman" w:hAnsi="Calibri" w:cs="Arial"/>
                <w:sz w:val="18"/>
                <w:szCs w:val="18"/>
                <w:lang w:val="en-US"/>
              </w:rPr>
            </w:pPr>
            <w:r w:rsidRPr="00AB5E26">
              <w:rPr>
                <w:rFonts w:cstheme="minorHAnsi"/>
                <w:b/>
                <w:bCs/>
                <w:sz w:val="18"/>
                <w:szCs w:val="18"/>
              </w:rPr>
              <w:t>2</w:t>
            </w:r>
            <w:r>
              <w:rPr>
                <w:rFonts w:cstheme="minorHAnsi"/>
                <w:b/>
                <w:bCs/>
                <w:sz w:val="18"/>
                <w:szCs w:val="18"/>
              </w:rPr>
              <w:t>,</w:t>
            </w:r>
            <w:r w:rsidRPr="00AB5E26">
              <w:rPr>
                <w:rFonts w:cstheme="minorHAnsi"/>
                <w:b/>
                <w:bCs/>
                <w:sz w:val="18"/>
                <w:szCs w:val="18"/>
              </w:rPr>
              <w:t>872</w:t>
            </w:r>
            <w:r>
              <w:rPr>
                <w:rFonts w:cstheme="minorHAnsi"/>
                <w:b/>
                <w:bCs/>
                <w:sz w:val="18"/>
                <w:szCs w:val="18"/>
              </w:rPr>
              <w:t>,</w:t>
            </w:r>
            <w:r w:rsidRPr="00AB5E26">
              <w:rPr>
                <w:rFonts w:cstheme="minorHAnsi"/>
                <w:b/>
                <w:bCs/>
                <w:sz w:val="18"/>
                <w:szCs w:val="18"/>
              </w:rPr>
              <w:t xml:space="preserve">688 </w:t>
            </w:r>
          </w:p>
        </w:tc>
      </w:tr>
      <w:tr w:rsidR="00417C24" w:rsidRPr="00163273" w14:paraId="22A7004C" w14:textId="77777777" w:rsidTr="00456F60">
        <w:trPr>
          <w:trHeight w:val="158"/>
        </w:trPr>
        <w:tc>
          <w:tcPr>
            <w:tcW w:w="967" w:type="pct"/>
            <w:vAlign w:val="bottom"/>
          </w:tcPr>
          <w:p w14:paraId="24786622" w14:textId="760DC531" w:rsidR="00417C24" w:rsidRPr="00A1123E" w:rsidRDefault="00417C24" w:rsidP="00417C24">
            <w:pPr>
              <w:tabs>
                <w:tab w:val="right" w:pos="1202"/>
              </w:tabs>
              <w:spacing w:after="0" w:line="240" w:lineRule="exact"/>
              <w:outlineLvl w:val="0"/>
              <w:rPr>
                <w:rFonts w:ascii="Calibri" w:eastAsia="Times New Roman" w:hAnsi="Calibri" w:cs="Arial"/>
                <w:b/>
                <w:iCs/>
                <w:sz w:val="18"/>
                <w:szCs w:val="18"/>
                <w:lang w:val="en-US"/>
              </w:rPr>
            </w:pPr>
            <w:r w:rsidRPr="00A1123E">
              <w:rPr>
                <w:rFonts w:ascii="Calibri" w:eastAsia="Times New Roman" w:hAnsi="Calibri" w:cs="Arial"/>
                <w:b/>
                <w:iCs/>
                <w:sz w:val="18"/>
                <w:szCs w:val="18"/>
                <w:lang w:val="en-US"/>
              </w:rPr>
              <w:t>Balance as of 31 December 202</w:t>
            </w:r>
            <w:r>
              <w:rPr>
                <w:rFonts w:ascii="Calibri" w:eastAsia="Times New Roman" w:hAnsi="Calibri" w:cs="Arial"/>
                <w:b/>
                <w:iCs/>
                <w:sz w:val="18"/>
                <w:szCs w:val="18"/>
                <w:lang w:val="en-US"/>
              </w:rPr>
              <w:t>1</w:t>
            </w:r>
          </w:p>
        </w:tc>
        <w:tc>
          <w:tcPr>
            <w:tcW w:w="502" w:type="pct"/>
            <w:tcBorders>
              <w:top w:val="single" w:sz="4" w:space="0" w:color="auto"/>
              <w:left w:val="nil"/>
              <w:bottom w:val="single" w:sz="12" w:space="0" w:color="auto"/>
              <w:right w:val="nil"/>
            </w:tcBorders>
            <w:shd w:val="clear" w:color="auto" w:fill="auto"/>
            <w:vAlign w:val="bottom"/>
          </w:tcPr>
          <w:p w14:paraId="39F2FE65" w14:textId="258B921C" w:rsidR="00417C24" w:rsidRPr="00A1123E" w:rsidRDefault="00417C24" w:rsidP="00417C24">
            <w:pPr>
              <w:tabs>
                <w:tab w:val="right" w:pos="1202"/>
              </w:tabs>
              <w:spacing w:after="0" w:line="240" w:lineRule="exact"/>
              <w:jc w:val="right"/>
              <w:outlineLvl w:val="0"/>
              <w:rPr>
                <w:rFonts w:ascii="Calibri" w:eastAsia="Times New Roman" w:hAnsi="Calibri" w:cs="Arial"/>
                <w:sz w:val="18"/>
                <w:szCs w:val="18"/>
                <w:lang w:val="en-US"/>
              </w:rPr>
            </w:pPr>
            <w:r w:rsidRPr="007F5B1C">
              <w:rPr>
                <w:rFonts w:cstheme="minorHAnsi"/>
                <w:b/>
                <w:bCs/>
                <w:sz w:val="18"/>
                <w:szCs w:val="18"/>
              </w:rPr>
              <w:t xml:space="preserve"> 2</w:t>
            </w:r>
            <w:r>
              <w:rPr>
                <w:rFonts w:cstheme="minorHAnsi"/>
                <w:b/>
                <w:bCs/>
                <w:sz w:val="18"/>
                <w:szCs w:val="18"/>
              </w:rPr>
              <w:t>,</w:t>
            </w:r>
            <w:r w:rsidRPr="007F5B1C">
              <w:rPr>
                <w:rFonts w:cstheme="minorHAnsi"/>
                <w:b/>
                <w:bCs/>
                <w:sz w:val="18"/>
                <w:szCs w:val="18"/>
              </w:rPr>
              <w:t>928</w:t>
            </w:r>
            <w:r>
              <w:rPr>
                <w:rFonts w:cstheme="minorHAnsi"/>
                <w:b/>
                <w:bCs/>
                <w:sz w:val="18"/>
                <w:szCs w:val="18"/>
              </w:rPr>
              <w:t>,</w:t>
            </w:r>
            <w:r w:rsidRPr="007F5B1C">
              <w:rPr>
                <w:rFonts w:cstheme="minorHAnsi"/>
                <w:b/>
                <w:bCs/>
                <w:sz w:val="18"/>
                <w:szCs w:val="18"/>
              </w:rPr>
              <w:t xml:space="preserve">045 </w:t>
            </w:r>
          </w:p>
        </w:tc>
        <w:tc>
          <w:tcPr>
            <w:tcW w:w="502" w:type="pct"/>
            <w:tcBorders>
              <w:top w:val="single" w:sz="4" w:space="0" w:color="auto"/>
              <w:left w:val="nil"/>
              <w:bottom w:val="single" w:sz="12" w:space="0" w:color="auto"/>
              <w:right w:val="nil"/>
            </w:tcBorders>
            <w:shd w:val="clear" w:color="auto" w:fill="auto"/>
            <w:vAlign w:val="bottom"/>
          </w:tcPr>
          <w:p w14:paraId="3A162C94" w14:textId="6CEC0E22" w:rsidR="00417C24" w:rsidRPr="00A1123E" w:rsidRDefault="00417C24" w:rsidP="00417C24">
            <w:pPr>
              <w:tabs>
                <w:tab w:val="right" w:pos="1202"/>
              </w:tabs>
              <w:spacing w:after="0" w:line="240" w:lineRule="exact"/>
              <w:jc w:val="right"/>
              <w:outlineLvl w:val="0"/>
              <w:rPr>
                <w:rFonts w:ascii="Calibri" w:eastAsia="Times New Roman" w:hAnsi="Calibri" w:cs="Arial"/>
                <w:sz w:val="18"/>
                <w:szCs w:val="18"/>
                <w:lang w:val="en-US"/>
              </w:rPr>
            </w:pPr>
            <w:r>
              <w:rPr>
                <w:rFonts w:cstheme="minorHAnsi"/>
                <w:b/>
                <w:bCs/>
                <w:color w:val="000000" w:themeColor="text1"/>
                <w:sz w:val="18"/>
                <w:szCs w:val="18"/>
              </w:rPr>
              <w:t>-</w:t>
            </w:r>
          </w:p>
        </w:tc>
        <w:tc>
          <w:tcPr>
            <w:tcW w:w="502" w:type="pct"/>
            <w:tcBorders>
              <w:top w:val="single" w:sz="4" w:space="0" w:color="auto"/>
              <w:left w:val="nil"/>
              <w:bottom w:val="single" w:sz="12" w:space="0" w:color="auto"/>
              <w:right w:val="nil"/>
            </w:tcBorders>
            <w:shd w:val="clear" w:color="auto" w:fill="auto"/>
            <w:vAlign w:val="bottom"/>
          </w:tcPr>
          <w:p w14:paraId="7FB8F2F8" w14:textId="67CB8C46" w:rsidR="00417C24" w:rsidRPr="00A1123E" w:rsidRDefault="00417C24" w:rsidP="00417C24">
            <w:pPr>
              <w:tabs>
                <w:tab w:val="right" w:pos="1202"/>
              </w:tabs>
              <w:spacing w:after="0" w:line="240" w:lineRule="exact"/>
              <w:jc w:val="right"/>
              <w:outlineLvl w:val="0"/>
              <w:rPr>
                <w:rFonts w:ascii="Calibri" w:eastAsia="Times New Roman" w:hAnsi="Calibri" w:cs="Arial"/>
                <w:sz w:val="18"/>
                <w:szCs w:val="18"/>
                <w:lang w:val="en-US"/>
              </w:rPr>
            </w:pPr>
            <w:r w:rsidRPr="007F5B1C">
              <w:rPr>
                <w:rFonts w:cstheme="minorHAnsi"/>
                <w:b/>
                <w:bCs/>
                <w:sz w:val="18"/>
                <w:szCs w:val="18"/>
              </w:rPr>
              <w:t xml:space="preserve"> 1</w:t>
            </w:r>
            <w:r>
              <w:rPr>
                <w:rFonts w:cstheme="minorHAnsi"/>
                <w:b/>
                <w:bCs/>
                <w:sz w:val="18"/>
                <w:szCs w:val="18"/>
              </w:rPr>
              <w:t>,</w:t>
            </w:r>
            <w:r w:rsidRPr="007F5B1C">
              <w:rPr>
                <w:rFonts w:cstheme="minorHAnsi"/>
                <w:b/>
                <w:bCs/>
                <w:sz w:val="18"/>
                <w:szCs w:val="18"/>
              </w:rPr>
              <w:t xml:space="preserve">469 </w:t>
            </w:r>
          </w:p>
        </w:tc>
        <w:tc>
          <w:tcPr>
            <w:tcW w:w="502" w:type="pct"/>
            <w:tcBorders>
              <w:top w:val="single" w:sz="4" w:space="0" w:color="auto"/>
              <w:left w:val="nil"/>
              <w:bottom w:val="single" w:sz="12" w:space="0" w:color="auto"/>
              <w:right w:val="nil"/>
            </w:tcBorders>
            <w:shd w:val="clear" w:color="auto" w:fill="auto"/>
            <w:vAlign w:val="bottom"/>
          </w:tcPr>
          <w:p w14:paraId="754DFFB0" w14:textId="0453F505" w:rsidR="00417C24" w:rsidRPr="00A1123E" w:rsidRDefault="00417C24" w:rsidP="00417C24">
            <w:pPr>
              <w:tabs>
                <w:tab w:val="right" w:pos="1202"/>
              </w:tabs>
              <w:spacing w:after="0" w:line="240" w:lineRule="exact"/>
              <w:jc w:val="right"/>
              <w:outlineLvl w:val="0"/>
              <w:rPr>
                <w:rFonts w:ascii="Calibri" w:eastAsia="Times New Roman" w:hAnsi="Calibri" w:cs="Arial"/>
                <w:sz w:val="18"/>
                <w:szCs w:val="18"/>
                <w:lang w:val="en-US"/>
              </w:rPr>
            </w:pPr>
            <w:r w:rsidRPr="00A64A86">
              <w:rPr>
                <w:rFonts w:cstheme="minorHAnsi"/>
                <w:b/>
                <w:bCs/>
                <w:sz w:val="18"/>
                <w:szCs w:val="18"/>
              </w:rPr>
              <w:t xml:space="preserve"> 2</w:t>
            </w:r>
            <w:r>
              <w:rPr>
                <w:rFonts w:cstheme="minorHAnsi"/>
                <w:b/>
                <w:bCs/>
                <w:sz w:val="18"/>
                <w:szCs w:val="18"/>
              </w:rPr>
              <w:t>,</w:t>
            </w:r>
            <w:r w:rsidRPr="00A64A86">
              <w:rPr>
                <w:rFonts w:cstheme="minorHAnsi"/>
                <w:b/>
                <w:bCs/>
                <w:sz w:val="18"/>
                <w:szCs w:val="18"/>
              </w:rPr>
              <w:t>929</w:t>
            </w:r>
            <w:r>
              <w:rPr>
                <w:rFonts w:cstheme="minorHAnsi"/>
                <w:b/>
                <w:bCs/>
                <w:sz w:val="18"/>
                <w:szCs w:val="18"/>
              </w:rPr>
              <w:t>,</w:t>
            </w:r>
            <w:r w:rsidRPr="00A64A86">
              <w:rPr>
                <w:rFonts w:cstheme="minorHAnsi"/>
                <w:b/>
                <w:bCs/>
                <w:sz w:val="18"/>
                <w:szCs w:val="18"/>
              </w:rPr>
              <w:t xml:space="preserve">514 </w:t>
            </w:r>
          </w:p>
        </w:tc>
        <w:tc>
          <w:tcPr>
            <w:tcW w:w="502" w:type="pct"/>
            <w:tcBorders>
              <w:top w:val="single" w:sz="4" w:space="0" w:color="auto"/>
              <w:left w:val="nil"/>
              <w:bottom w:val="single" w:sz="12" w:space="0" w:color="auto"/>
              <w:right w:val="nil"/>
            </w:tcBorders>
            <w:shd w:val="clear" w:color="auto" w:fill="auto"/>
            <w:vAlign w:val="bottom"/>
          </w:tcPr>
          <w:p w14:paraId="4C56FCD8" w14:textId="22D5C4DD" w:rsidR="00417C24" w:rsidRPr="00A1123E" w:rsidRDefault="00417C24" w:rsidP="00417C24">
            <w:pPr>
              <w:tabs>
                <w:tab w:val="right" w:pos="1202"/>
              </w:tabs>
              <w:spacing w:after="0" w:line="240" w:lineRule="exact"/>
              <w:jc w:val="right"/>
              <w:outlineLvl w:val="0"/>
              <w:rPr>
                <w:rFonts w:ascii="Calibri" w:eastAsia="Times New Roman" w:hAnsi="Calibri" w:cs="Arial"/>
                <w:sz w:val="18"/>
                <w:szCs w:val="18"/>
                <w:lang w:val="en-US"/>
              </w:rPr>
            </w:pPr>
            <w:r w:rsidRPr="007F5B1C">
              <w:rPr>
                <w:rFonts w:cstheme="minorHAnsi"/>
                <w:b/>
                <w:bCs/>
                <w:sz w:val="18"/>
                <w:szCs w:val="18"/>
              </w:rPr>
              <w:t xml:space="preserve"> 2</w:t>
            </w:r>
            <w:r>
              <w:rPr>
                <w:rFonts w:cstheme="minorHAnsi"/>
                <w:b/>
                <w:bCs/>
                <w:sz w:val="18"/>
                <w:szCs w:val="18"/>
              </w:rPr>
              <w:t>,</w:t>
            </w:r>
            <w:r w:rsidRPr="007F5B1C">
              <w:rPr>
                <w:rFonts w:cstheme="minorHAnsi"/>
                <w:b/>
                <w:bCs/>
                <w:sz w:val="18"/>
                <w:szCs w:val="18"/>
              </w:rPr>
              <w:t>871</w:t>
            </w:r>
            <w:r>
              <w:rPr>
                <w:rFonts w:cstheme="minorHAnsi"/>
                <w:b/>
                <w:bCs/>
                <w:sz w:val="18"/>
                <w:szCs w:val="18"/>
              </w:rPr>
              <w:t>,</w:t>
            </w:r>
            <w:r w:rsidRPr="007F5B1C">
              <w:rPr>
                <w:rFonts w:cstheme="minorHAnsi"/>
                <w:b/>
                <w:bCs/>
                <w:sz w:val="18"/>
                <w:szCs w:val="18"/>
              </w:rPr>
              <w:t xml:space="preserve">219 </w:t>
            </w:r>
          </w:p>
        </w:tc>
        <w:tc>
          <w:tcPr>
            <w:tcW w:w="502" w:type="pct"/>
            <w:tcBorders>
              <w:top w:val="single" w:sz="4" w:space="0" w:color="auto"/>
              <w:left w:val="nil"/>
              <w:bottom w:val="single" w:sz="12" w:space="0" w:color="auto"/>
              <w:right w:val="nil"/>
            </w:tcBorders>
            <w:shd w:val="clear" w:color="auto" w:fill="auto"/>
            <w:vAlign w:val="bottom"/>
          </w:tcPr>
          <w:p w14:paraId="402ED8B0" w14:textId="6CCF7601" w:rsidR="00417C24" w:rsidRPr="00A1123E" w:rsidRDefault="00417C24" w:rsidP="00417C24">
            <w:pPr>
              <w:tabs>
                <w:tab w:val="right" w:pos="1202"/>
              </w:tabs>
              <w:spacing w:after="0" w:line="240" w:lineRule="exact"/>
              <w:jc w:val="right"/>
              <w:outlineLvl w:val="0"/>
              <w:rPr>
                <w:rFonts w:ascii="Calibri" w:eastAsia="Times New Roman" w:hAnsi="Calibri" w:cs="Arial"/>
                <w:sz w:val="18"/>
                <w:szCs w:val="18"/>
                <w:lang w:val="en-US"/>
              </w:rPr>
            </w:pPr>
            <w:r w:rsidRPr="007F5B1C">
              <w:rPr>
                <w:rFonts w:cstheme="minorHAnsi"/>
                <w:b/>
                <w:bCs/>
                <w:sz w:val="18"/>
                <w:szCs w:val="18"/>
              </w:rPr>
              <w:t xml:space="preserve"> - </w:t>
            </w:r>
          </w:p>
        </w:tc>
        <w:tc>
          <w:tcPr>
            <w:tcW w:w="502" w:type="pct"/>
            <w:tcBorders>
              <w:top w:val="single" w:sz="4" w:space="0" w:color="auto"/>
              <w:left w:val="nil"/>
              <w:bottom w:val="single" w:sz="12" w:space="0" w:color="auto"/>
              <w:right w:val="nil"/>
            </w:tcBorders>
            <w:shd w:val="clear" w:color="auto" w:fill="auto"/>
            <w:vAlign w:val="bottom"/>
          </w:tcPr>
          <w:p w14:paraId="603BB931" w14:textId="3400263B" w:rsidR="00417C24" w:rsidRPr="00A1123E" w:rsidRDefault="00417C24" w:rsidP="00417C24">
            <w:pPr>
              <w:tabs>
                <w:tab w:val="right" w:pos="1202"/>
              </w:tabs>
              <w:spacing w:after="0" w:line="240" w:lineRule="exact"/>
              <w:jc w:val="right"/>
              <w:outlineLvl w:val="0"/>
              <w:rPr>
                <w:rFonts w:ascii="Calibri" w:eastAsia="Times New Roman" w:hAnsi="Calibri" w:cs="Arial"/>
                <w:sz w:val="18"/>
                <w:szCs w:val="18"/>
                <w:lang w:val="en-US"/>
              </w:rPr>
            </w:pPr>
            <w:r w:rsidRPr="007F5B1C">
              <w:rPr>
                <w:rFonts w:cstheme="minorHAnsi"/>
                <w:b/>
                <w:bCs/>
                <w:sz w:val="18"/>
                <w:szCs w:val="18"/>
              </w:rPr>
              <w:t xml:space="preserve"> 1</w:t>
            </w:r>
            <w:r>
              <w:rPr>
                <w:rFonts w:cstheme="minorHAnsi"/>
                <w:b/>
                <w:bCs/>
                <w:sz w:val="18"/>
                <w:szCs w:val="18"/>
              </w:rPr>
              <w:t>,</w:t>
            </w:r>
            <w:r w:rsidRPr="007F5B1C">
              <w:rPr>
                <w:rFonts w:cstheme="minorHAnsi"/>
                <w:b/>
                <w:bCs/>
                <w:sz w:val="18"/>
                <w:szCs w:val="18"/>
              </w:rPr>
              <w:t xml:space="preserve">469 </w:t>
            </w:r>
          </w:p>
        </w:tc>
        <w:tc>
          <w:tcPr>
            <w:tcW w:w="519" w:type="pct"/>
            <w:tcBorders>
              <w:top w:val="single" w:sz="4" w:space="0" w:color="auto"/>
              <w:left w:val="nil"/>
              <w:bottom w:val="single" w:sz="12" w:space="0" w:color="auto"/>
              <w:right w:val="nil"/>
            </w:tcBorders>
            <w:shd w:val="clear" w:color="auto" w:fill="auto"/>
            <w:vAlign w:val="bottom"/>
          </w:tcPr>
          <w:p w14:paraId="6E3C8429" w14:textId="37A8CC78" w:rsidR="00417C24" w:rsidRPr="00A1123E" w:rsidRDefault="00417C24" w:rsidP="00417C24">
            <w:pPr>
              <w:tabs>
                <w:tab w:val="right" w:pos="1202"/>
              </w:tabs>
              <w:spacing w:after="0" w:line="240" w:lineRule="exact"/>
              <w:jc w:val="right"/>
              <w:outlineLvl w:val="0"/>
              <w:rPr>
                <w:rFonts w:ascii="Calibri" w:eastAsia="Times New Roman" w:hAnsi="Calibri" w:cs="Arial"/>
                <w:sz w:val="18"/>
                <w:szCs w:val="18"/>
                <w:lang w:val="en-US"/>
              </w:rPr>
            </w:pPr>
            <w:r w:rsidRPr="007F5B1C">
              <w:rPr>
                <w:rFonts w:cstheme="minorHAnsi"/>
                <w:b/>
                <w:bCs/>
                <w:sz w:val="18"/>
                <w:szCs w:val="18"/>
              </w:rPr>
              <w:t xml:space="preserve"> 2</w:t>
            </w:r>
            <w:r>
              <w:rPr>
                <w:rFonts w:cstheme="minorHAnsi"/>
                <w:b/>
                <w:bCs/>
                <w:sz w:val="18"/>
                <w:szCs w:val="18"/>
              </w:rPr>
              <w:t>,</w:t>
            </w:r>
            <w:r w:rsidRPr="007F5B1C">
              <w:rPr>
                <w:rFonts w:cstheme="minorHAnsi"/>
                <w:b/>
                <w:bCs/>
                <w:sz w:val="18"/>
                <w:szCs w:val="18"/>
              </w:rPr>
              <w:t>872</w:t>
            </w:r>
            <w:r>
              <w:rPr>
                <w:rFonts w:cstheme="minorHAnsi"/>
                <w:b/>
                <w:bCs/>
                <w:sz w:val="18"/>
                <w:szCs w:val="18"/>
              </w:rPr>
              <w:t>,</w:t>
            </w:r>
            <w:r w:rsidRPr="007F5B1C">
              <w:rPr>
                <w:rFonts w:cstheme="minorHAnsi"/>
                <w:b/>
                <w:bCs/>
                <w:sz w:val="18"/>
                <w:szCs w:val="18"/>
              </w:rPr>
              <w:t xml:space="preserve">688 </w:t>
            </w:r>
          </w:p>
        </w:tc>
      </w:tr>
    </w:tbl>
    <w:p w14:paraId="06BC9BF5" w14:textId="62225208" w:rsidR="002E7785" w:rsidRPr="00537128" w:rsidRDefault="002E7785" w:rsidP="00436A23">
      <w:pPr>
        <w:autoSpaceDE w:val="0"/>
        <w:autoSpaceDN w:val="0"/>
        <w:adjustRightInd w:val="0"/>
        <w:spacing w:after="0" w:line="240" w:lineRule="auto"/>
        <w:jc w:val="both"/>
        <w:rPr>
          <w:noProof/>
          <w:color w:val="000000" w:themeColor="text1"/>
          <w:lang w:val="en-US"/>
        </w:rPr>
        <w:sectPr w:rsidR="002E7785" w:rsidRPr="00537128">
          <w:pgSz w:w="11906" w:h="16838"/>
          <w:pgMar w:top="1417" w:right="1417" w:bottom="1417" w:left="1417" w:header="708" w:footer="708" w:gutter="0"/>
          <w:cols w:space="708"/>
          <w:docGrid w:linePitch="360"/>
        </w:sectPr>
      </w:pPr>
    </w:p>
    <w:p w14:paraId="0CB7C4A6" w14:textId="77777777" w:rsidR="007E6CE7" w:rsidRPr="00537128" w:rsidRDefault="007E6CE7" w:rsidP="007E6CE7">
      <w:pPr>
        <w:autoSpaceDE w:val="0"/>
        <w:autoSpaceDN w:val="0"/>
        <w:adjustRightInd w:val="0"/>
        <w:spacing w:after="0" w:line="240" w:lineRule="auto"/>
        <w:jc w:val="both"/>
        <w:rPr>
          <w:noProof/>
          <w:color w:val="000000" w:themeColor="text1"/>
          <w:lang w:val="en-US"/>
        </w:rPr>
      </w:pPr>
    </w:p>
    <w:p w14:paraId="00FFC217" w14:textId="21686BA0" w:rsidR="007E6CE7" w:rsidRPr="00537128" w:rsidRDefault="007E6CE7" w:rsidP="005B7D9D">
      <w:pPr>
        <w:pStyle w:val="ListParagraph"/>
        <w:numPr>
          <w:ilvl w:val="0"/>
          <w:numId w:val="15"/>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Financial assets at fair value through other comprehensive income</w:t>
      </w:r>
      <w:r w:rsidR="00401370">
        <w:rPr>
          <w:b/>
          <w:noProof/>
          <w:color w:val="000000" w:themeColor="text1"/>
          <w:lang w:val="en-US"/>
        </w:rPr>
        <w:t xml:space="preserve"> (continued)</w:t>
      </w:r>
    </w:p>
    <w:p w14:paraId="6EC59F28" w14:textId="77777777" w:rsidR="007E6CE7" w:rsidRPr="00537128" w:rsidRDefault="007E6CE7" w:rsidP="007E6CE7">
      <w:pPr>
        <w:spacing w:after="0" w:line="240" w:lineRule="auto"/>
        <w:jc w:val="both"/>
        <w:rPr>
          <w:rFonts w:ascii="Calibri" w:eastAsia="Times New Roman" w:hAnsi="Calibri" w:cs="Times New Roman"/>
          <w:color w:val="000000" w:themeColor="text1"/>
          <w:lang w:val="en-US"/>
        </w:rPr>
      </w:pPr>
    </w:p>
    <w:p w14:paraId="2E77A138" w14:textId="77777777" w:rsidR="007E6CE7" w:rsidRPr="00537128" w:rsidRDefault="007E6CE7" w:rsidP="007E6CE7">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Changes in the loss allowances of financial assets at fair value through other comprehensive income, do not impair the carrying value of financial assets, may be summarized as follows:</w:t>
      </w:r>
    </w:p>
    <w:p w14:paraId="3E709EB6" w14:textId="77777777" w:rsidR="007E6CE7" w:rsidRPr="00537128" w:rsidRDefault="007E6CE7" w:rsidP="007E6CE7">
      <w:pPr>
        <w:spacing w:after="0" w:line="240" w:lineRule="auto"/>
        <w:jc w:val="both"/>
        <w:rPr>
          <w:rFonts w:ascii="Calibri" w:eastAsia="Times New Roman" w:hAnsi="Calibri" w:cs="Times New Roman"/>
          <w:color w:val="000000" w:themeColor="text1"/>
          <w:lang w:val="en-US"/>
        </w:rPr>
      </w:pPr>
    </w:p>
    <w:tbl>
      <w:tblPr>
        <w:tblW w:w="5156" w:type="pct"/>
        <w:tblLayout w:type="fixed"/>
        <w:tblLook w:val="0000" w:firstRow="0" w:lastRow="0" w:firstColumn="0" w:lastColumn="0" w:noHBand="0" w:noVBand="0"/>
      </w:tblPr>
      <w:tblGrid>
        <w:gridCol w:w="3298"/>
        <w:gridCol w:w="1513"/>
        <w:gridCol w:w="1514"/>
        <w:gridCol w:w="1514"/>
        <w:gridCol w:w="1516"/>
      </w:tblGrid>
      <w:tr w:rsidR="002E7785" w:rsidRPr="00537128" w14:paraId="750C9B78" w14:textId="77777777" w:rsidTr="00270647">
        <w:trPr>
          <w:trHeight w:val="338"/>
        </w:trPr>
        <w:tc>
          <w:tcPr>
            <w:tcW w:w="1763" w:type="pct"/>
          </w:tcPr>
          <w:p w14:paraId="75F1A7F5" w14:textId="77777777" w:rsidR="002E7785" w:rsidRPr="00537128" w:rsidRDefault="002E7785" w:rsidP="002E7785">
            <w:pPr>
              <w:tabs>
                <w:tab w:val="left" w:pos="-720"/>
              </w:tabs>
              <w:suppressAutoHyphens/>
              <w:spacing w:after="0" w:line="240" w:lineRule="auto"/>
              <w:rPr>
                <w:rFonts w:ascii="Calibri" w:eastAsia="Calibri" w:hAnsi="Calibri" w:cs="Calibri"/>
                <w:b/>
                <w:noProof/>
                <w:spacing w:val="-3"/>
                <w:sz w:val="20"/>
                <w:szCs w:val="20"/>
                <w:lang w:val="en-US"/>
              </w:rPr>
            </w:pPr>
          </w:p>
        </w:tc>
        <w:tc>
          <w:tcPr>
            <w:tcW w:w="1618" w:type="pct"/>
            <w:gridSpan w:val="2"/>
          </w:tcPr>
          <w:p w14:paraId="52C54AD4" w14:textId="77777777"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Calibri"/>
                <w:b/>
                <w:noProof/>
                <w:sz w:val="20"/>
                <w:szCs w:val="20"/>
                <w:lang w:val="en-US"/>
              </w:rPr>
              <w:t>Group</w:t>
            </w:r>
          </w:p>
        </w:tc>
        <w:tc>
          <w:tcPr>
            <w:tcW w:w="1619" w:type="pct"/>
            <w:gridSpan w:val="2"/>
          </w:tcPr>
          <w:p w14:paraId="75D48559" w14:textId="77777777"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Calibri"/>
                <w:b/>
                <w:noProof/>
                <w:sz w:val="20"/>
                <w:szCs w:val="20"/>
                <w:lang w:val="en-US"/>
              </w:rPr>
              <w:t>Bank</w:t>
            </w:r>
          </w:p>
        </w:tc>
      </w:tr>
      <w:tr w:rsidR="002E7785" w:rsidRPr="00537128" w14:paraId="4B088924" w14:textId="77777777" w:rsidTr="002E7785">
        <w:trPr>
          <w:trHeight w:val="278"/>
        </w:trPr>
        <w:tc>
          <w:tcPr>
            <w:tcW w:w="1763" w:type="pct"/>
            <w:vAlign w:val="bottom"/>
          </w:tcPr>
          <w:p w14:paraId="7FB53969" w14:textId="77777777" w:rsidR="002E7785" w:rsidRPr="00537128" w:rsidRDefault="002E7785" w:rsidP="002E7785">
            <w:pPr>
              <w:tabs>
                <w:tab w:val="left" w:pos="-720"/>
              </w:tabs>
              <w:suppressAutoHyphens/>
              <w:spacing w:after="0" w:line="240" w:lineRule="auto"/>
              <w:rPr>
                <w:rFonts w:ascii="Calibri" w:eastAsia="Calibri" w:hAnsi="Calibri" w:cs="Calibri"/>
                <w:b/>
                <w:noProof/>
                <w:spacing w:val="-3"/>
                <w:sz w:val="20"/>
                <w:szCs w:val="20"/>
                <w:lang w:val="en-US"/>
              </w:rPr>
            </w:pPr>
          </w:p>
        </w:tc>
        <w:tc>
          <w:tcPr>
            <w:tcW w:w="809" w:type="pct"/>
            <w:vAlign w:val="bottom"/>
          </w:tcPr>
          <w:p w14:paraId="666863DC" w14:textId="614F763B"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Calibri"/>
                <w:b/>
                <w:bCs/>
                <w:noProof/>
                <w:sz w:val="20"/>
                <w:szCs w:val="20"/>
                <w:lang w:val="en-US"/>
              </w:rPr>
              <w:t>Jan 1 – Mar 31, 202</w:t>
            </w:r>
            <w:r w:rsidR="004D21FB">
              <w:rPr>
                <w:rFonts w:ascii="Calibri" w:eastAsia="Calibri" w:hAnsi="Calibri" w:cs="Calibri"/>
                <w:b/>
                <w:bCs/>
                <w:noProof/>
                <w:sz w:val="20"/>
                <w:szCs w:val="20"/>
                <w:lang w:val="en-US"/>
              </w:rPr>
              <w:t>2</w:t>
            </w:r>
          </w:p>
        </w:tc>
        <w:tc>
          <w:tcPr>
            <w:tcW w:w="809" w:type="pct"/>
            <w:vAlign w:val="bottom"/>
          </w:tcPr>
          <w:p w14:paraId="4DCBCC5B" w14:textId="4ABF688D"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Calibri"/>
                <w:b/>
                <w:bCs/>
                <w:noProof/>
                <w:sz w:val="20"/>
                <w:szCs w:val="20"/>
                <w:lang w:val="en-US"/>
              </w:rPr>
              <w:t>Jan 1 – Dec 31, 202</w:t>
            </w:r>
            <w:r w:rsidR="004D21FB">
              <w:rPr>
                <w:rFonts w:ascii="Calibri" w:eastAsia="Calibri" w:hAnsi="Calibri" w:cs="Calibri"/>
                <w:b/>
                <w:bCs/>
                <w:noProof/>
                <w:sz w:val="20"/>
                <w:szCs w:val="20"/>
                <w:lang w:val="en-US"/>
              </w:rPr>
              <w:t>1</w:t>
            </w:r>
          </w:p>
        </w:tc>
        <w:tc>
          <w:tcPr>
            <w:tcW w:w="809" w:type="pct"/>
            <w:shd w:val="clear" w:color="auto" w:fill="auto"/>
            <w:vAlign w:val="bottom"/>
          </w:tcPr>
          <w:p w14:paraId="1E6BAC4E" w14:textId="1ACB2233"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Calibri"/>
                <w:b/>
                <w:bCs/>
                <w:noProof/>
                <w:sz w:val="20"/>
                <w:szCs w:val="20"/>
                <w:lang w:val="en-US"/>
              </w:rPr>
              <w:t>Jan 1 – Mar 31, 202</w:t>
            </w:r>
            <w:r w:rsidR="004D21FB">
              <w:rPr>
                <w:rFonts w:ascii="Calibri" w:eastAsia="Calibri" w:hAnsi="Calibri" w:cs="Calibri"/>
                <w:b/>
                <w:bCs/>
                <w:noProof/>
                <w:sz w:val="20"/>
                <w:szCs w:val="20"/>
                <w:lang w:val="en-US"/>
              </w:rPr>
              <w:t>2</w:t>
            </w:r>
          </w:p>
        </w:tc>
        <w:tc>
          <w:tcPr>
            <w:tcW w:w="810" w:type="pct"/>
            <w:shd w:val="clear" w:color="auto" w:fill="auto"/>
            <w:vAlign w:val="bottom"/>
          </w:tcPr>
          <w:p w14:paraId="23BDFFBC" w14:textId="5A994E2D"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Calibri"/>
                <w:b/>
                <w:bCs/>
                <w:noProof/>
                <w:sz w:val="20"/>
                <w:szCs w:val="20"/>
                <w:lang w:val="en-US"/>
              </w:rPr>
              <w:t>Jan 1 – Dec 31, 202</w:t>
            </w:r>
            <w:r w:rsidR="004D21FB">
              <w:rPr>
                <w:rFonts w:ascii="Calibri" w:eastAsia="Calibri" w:hAnsi="Calibri" w:cs="Calibri"/>
                <w:b/>
                <w:bCs/>
                <w:noProof/>
                <w:sz w:val="20"/>
                <w:szCs w:val="20"/>
                <w:lang w:val="en-US"/>
              </w:rPr>
              <w:t>1</w:t>
            </w:r>
          </w:p>
        </w:tc>
      </w:tr>
      <w:tr w:rsidR="002E7785" w:rsidRPr="00537128" w14:paraId="00AA7AB7" w14:textId="77777777" w:rsidTr="002E7785">
        <w:trPr>
          <w:trHeight w:hRule="exact" w:val="278"/>
        </w:trPr>
        <w:tc>
          <w:tcPr>
            <w:tcW w:w="1763" w:type="pct"/>
            <w:vAlign w:val="bottom"/>
          </w:tcPr>
          <w:p w14:paraId="21820C9C" w14:textId="77777777" w:rsidR="002E7785" w:rsidRPr="00537128" w:rsidRDefault="002E7785" w:rsidP="002E7785">
            <w:pPr>
              <w:tabs>
                <w:tab w:val="left" w:pos="-720"/>
              </w:tabs>
              <w:suppressAutoHyphens/>
              <w:spacing w:after="0" w:line="240" w:lineRule="auto"/>
              <w:rPr>
                <w:rFonts w:ascii="Calibri" w:eastAsia="Calibri" w:hAnsi="Calibri" w:cs="Calibri"/>
                <w:b/>
                <w:noProof/>
                <w:spacing w:val="-3"/>
                <w:sz w:val="20"/>
                <w:szCs w:val="20"/>
                <w:lang w:val="en-US"/>
              </w:rPr>
            </w:pPr>
          </w:p>
        </w:tc>
        <w:tc>
          <w:tcPr>
            <w:tcW w:w="809" w:type="pct"/>
            <w:vAlign w:val="bottom"/>
          </w:tcPr>
          <w:p w14:paraId="152A910B" w14:textId="77106861"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Arial"/>
                <w:b/>
                <w:bCs/>
                <w:noProof/>
                <w:sz w:val="20"/>
                <w:szCs w:val="20"/>
                <w:lang w:val="en-US"/>
              </w:rPr>
              <w:t xml:space="preserve">HRK </w:t>
            </w:r>
            <w:r w:rsidR="00417C24">
              <w:rPr>
                <w:rFonts w:ascii="Calibri" w:eastAsia="Calibri" w:hAnsi="Calibri" w:cs="Arial"/>
                <w:b/>
                <w:bCs/>
                <w:noProof/>
                <w:sz w:val="20"/>
                <w:szCs w:val="20"/>
                <w:lang w:val="en-US"/>
              </w:rPr>
              <w:t>‘</w:t>
            </w:r>
            <w:r w:rsidRPr="00537128">
              <w:rPr>
                <w:rFonts w:ascii="Calibri" w:eastAsia="Calibri" w:hAnsi="Calibri" w:cs="Arial"/>
                <w:b/>
                <w:bCs/>
                <w:noProof/>
                <w:sz w:val="20"/>
                <w:szCs w:val="20"/>
                <w:lang w:val="en-US"/>
              </w:rPr>
              <w:t>000</w:t>
            </w:r>
          </w:p>
        </w:tc>
        <w:tc>
          <w:tcPr>
            <w:tcW w:w="809" w:type="pct"/>
            <w:vAlign w:val="bottom"/>
          </w:tcPr>
          <w:p w14:paraId="1D0B1AB4" w14:textId="03E9FEA9"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Arial"/>
                <w:b/>
                <w:bCs/>
                <w:noProof/>
                <w:sz w:val="20"/>
                <w:szCs w:val="20"/>
                <w:lang w:val="en-US"/>
              </w:rPr>
              <w:t xml:space="preserve">HRK </w:t>
            </w:r>
            <w:r w:rsidR="00417C24">
              <w:rPr>
                <w:rFonts w:ascii="Calibri" w:eastAsia="Calibri" w:hAnsi="Calibri" w:cs="Arial"/>
                <w:b/>
                <w:bCs/>
                <w:noProof/>
                <w:sz w:val="20"/>
                <w:szCs w:val="20"/>
                <w:lang w:val="en-US"/>
              </w:rPr>
              <w:t>‘</w:t>
            </w:r>
            <w:r w:rsidRPr="00537128">
              <w:rPr>
                <w:rFonts w:ascii="Calibri" w:eastAsia="Calibri" w:hAnsi="Calibri" w:cs="Arial"/>
                <w:b/>
                <w:bCs/>
                <w:noProof/>
                <w:sz w:val="20"/>
                <w:szCs w:val="20"/>
                <w:lang w:val="en-US"/>
              </w:rPr>
              <w:t>000</w:t>
            </w:r>
          </w:p>
        </w:tc>
        <w:tc>
          <w:tcPr>
            <w:tcW w:w="809" w:type="pct"/>
            <w:vAlign w:val="bottom"/>
          </w:tcPr>
          <w:p w14:paraId="4E0C3EB6" w14:textId="3FE5ADDF"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Arial"/>
                <w:b/>
                <w:bCs/>
                <w:noProof/>
                <w:sz w:val="20"/>
                <w:szCs w:val="20"/>
                <w:lang w:val="en-US"/>
              </w:rPr>
              <w:t xml:space="preserve">HRK </w:t>
            </w:r>
            <w:r w:rsidR="00417C24">
              <w:rPr>
                <w:rFonts w:ascii="Calibri" w:eastAsia="Calibri" w:hAnsi="Calibri" w:cs="Arial"/>
                <w:b/>
                <w:bCs/>
                <w:noProof/>
                <w:sz w:val="20"/>
                <w:szCs w:val="20"/>
                <w:lang w:val="en-US"/>
              </w:rPr>
              <w:t>‘</w:t>
            </w:r>
            <w:r w:rsidRPr="00537128">
              <w:rPr>
                <w:rFonts w:ascii="Calibri" w:eastAsia="Calibri" w:hAnsi="Calibri" w:cs="Arial"/>
                <w:b/>
                <w:bCs/>
                <w:noProof/>
                <w:sz w:val="20"/>
                <w:szCs w:val="20"/>
                <w:lang w:val="en-US"/>
              </w:rPr>
              <w:t>000</w:t>
            </w:r>
          </w:p>
        </w:tc>
        <w:tc>
          <w:tcPr>
            <w:tcW w:w="810" w:type="pct"/>
            <w:vAlign w:val="bottom"/>
          </w:tcPr>
          <w:p w14:paraId="46CEA55B" w14:textId="6FACEA68"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Arial"/>
                <w:b/>
                <w:bCs/>
                <w:noProof/>
                <w:sz w:val="20"/>
                <w:szCs w:val="20"/>
                <w:lang w:val="en-US"/>
              </w:rPr>
              <w:t xml:space="preserve">HRK </w:t>
            </w:r>
            <w:r w:rsidR="00417C24">
              <w:rPr>
                <w:rFonts w:ascii="Calibri" w:eastAsia="Calibri" w:hAnsi="Calibri" w:cs="Arial"/>
                <w:b/>
                <w:bCs/>
                <w:noProof/>
                <w:sz w:val="20"/>
                <w:szCs w:val="20"/>
                <w:lang w:val="en-US"/>
              </w:rPr>
              <w:t>‘</w:t>
            </w:r>
            <w:r w:rsidRPr="00537128">
              <w:rPr>
                <w:rFonts w:ascii="Calibri" w:eastAsia="Calibri" w:hAnsi="Calibri" w:cs="Arial"/>
                <w:b/>
                <w:bCs/>
                <w:noProof/>
                <w:sz w:val="20"/>
                <w:szCs w:val="20"/>
                <w:lang w:val="en-US"/>
              </w:rPr>
              <w:t>000</w:t>
            </w:r>
          </w:p>
        </w:tc>
      </w:tr>
      <w:tr w:rsidR="001D1317" w:rsidRPr="00537128" w14:paraId="3E824A44" w14:textId="77777777" w:rsidTr="002E7785">
        <w:trPr>
          <w:trHeight w:hRule="exact" w:val="401"/>
        </w:trPr>
        <w:tc>
          <w:tcPr>
            <w:tcW w:w="1763" w:type="pct"/>
            <w:vAlign w:val="bottom"/>
          </w:tcPr>
          <w:p w14:paraId="27326C1D" w14:textId="77777777" w:rsidR="001D1317" w:rsidRPr="00537128" w:rsidRDefault="001D1317" w:rsidP="001D1317">
            <w:pPr>
              <w:tabs>
                <w:tab w:val="right" w:pos="1202"/>
              </w:tabs>
              <w:spacing w:after="0" w:line="240" w:lineRule="auto"/>
              <w:outlineLvl w:val="0"/>
              <w:rPr>
                <w:rFonts w:ascii="Calibri" w:eastAsia="Calibri" w:hAnsi="Calibri" w:cs="Calibri"/>
                <w:bCs/>
                <w:noProof/>
                <w:sz w:val="20"/>
                <w:szCs w:val="20"/>
                <w:lang w:val="en-US"/>
              </w:rPr>
            </w:pPr>
            <w:r w:rsidRPr="00537128">
              <w:rPr>
                <w:rFonts w:ascii="Calibri" w:eastAsia="Calibri" w:hAnsi="Calibri" w:cs="Calibri"/>
                <w:bCs/>
                <w:noProof/>
                <w:sz w:val="20"/>
                <w:szCs w:val="20"/>
                <w:lang w:val="en-US"/>
              </w:rPr>
              <w:t xml:space="preserve">Balance as of 1 January </w:t>
            </w:r>
          </w:p>
        </w:tc>
        <w:tc>
          <w:tcPr>
            <w:tcW w:w="809" w:type="pct"/>
            <w:tcBorders>
              <w:top w:val="nil"/>
              <w:left w:val="nil"/>
              <w:bottom w:val="nil"/>
              <w:right w:val="nil"/>
            </w:tcBorders>
            <w:shd w:val="clear" w:color="auto" w:fill="auto"/>
            <w:vAlign w:val="bottom"/>
          </w:tcPr>
          <w:p w14:paraId="546A5FC3" w14:textId="3B84DEB7" w:rsidR="001D1317" w:rsidRPr="00537128" w:rsidRDefault="001D1317" w:rsidP="001D1317">
            <w:pPr>
              <w:tabs>
                <w:tab w:val="right" w:pos="1202"/>
              </w:tabs>
              <w:spacing w:after="0" w:line="240" w:lineRule="auto"/>
              <w:jc w:val="right"/>
              <w:outlineLvl w:val="0"/>
              <w:rPr>
                <w:rFonts w:ascii="Calibri" w:eastAsia="Calibri" w:hAnsi="Calibri" w:cs="Calibri"/>
                <w:bCs/>
                <w:noProof/>
                <w:sz w:val="20"/>
                <w:szCs w:val="20"/>
                <w:lang w:val="en-US"/>
              </w:rPr>
            </w:pPr>
            <w:r>
              <w:rPr>
                <w:rFonts w:ascii="Calibri" w:eastAsia="Calibri" w:hAnsi="Calibri" w:cs="Calibri"/>
                <w:color w:val="000000"/>
                <w:sz w:val="20"/>
                <w:szCs w:val="20"/>
              </w:rPr>
              <w:t>4,545</w:t>
            </w:r>
          </w:p>
        </w:tc>
        <w:tc>
          <w:tcPr>
            <w:tcW w:w="809" w:type="pct"/>
            <w:tcBorders>
              <w:top w:val="nil"/>
              <w:left w:val="nil"/>
              <w:bottom w:val="nil"/>
              <w:right w:val="nil"/>
            </w:tcBorders>
            <w:shd w:val="clear" w:color="auto" w:fill="auto"/>
            <w:vAlign w:val="bottom"/>
          </w:tcPr>
          <w:p w14:paraId="0FE8AF45" w14:textId="171B94EC" w:rsidR="001D1317" w:rsidRPr="00537128" w:rsidRDefault="001D1317" w:rsidP="001D1317">
            <w:pPr>
              <w:tabs>
                <w:tab w:val="right" w:pos="1202"/>
              </w:tabs>
              <w:spacing w:after="0" w:line="240" w:lineRule="auto"/>
              <w:jc w:val="right"/>
              <w:outlineLvl w:val="0"/>
              <w:rPr>
                <w:rFonts w:ascii="Calibri" w:eastAsia="Calibri" w:hAnsi="Calibri" w:cs="Calibri"/>
                <w:bCs/>
                <w:noProof/>
                <w:sz w:val="20"/>
                <w:szCs w:val="20"/>
                <w:lang w:val="en-US"/>
              </w:rPr>
            </w:pPr>
            <w:r w:rsidRPr="009105F1">
              <w:rPr>
                <w:rFonts w:ascii="Calibri" w:eastAsia="Calibri" w:hAnsi="Calibri" w:cs="Calibri"/>
                <w:color w:val="000000" w:themeColor="text1"/>
                <w:sz w:val="20"/>
                <w:szCs w:val="20"/>
              </w:rPr>
              <w:t>4</w:t>
            </w:r>
            <w:r>
              <w:rPr>
                <w:rFonts w:ascii="Calibri" w:eastAsia="Calibri" w:hAnsi="Calibri" w:cs="Calibri"/>
                <w:color w:val="000000" w:themeColor="text1"/>
                <w:sz w:val="20"/>
                <w:szCs w:val="20"/>
              </w:rPr>
              <w:t>,</w:t>
            </w:r>
            <w:r w:rsidRPr="009105F1">
              <w:rPr>
                <w:rFonts w:ascii="Calibri" w:eastAsia="Calibri" w:hAnsi="Calibri" w:cs="Calibri"/>
                <w:color w:val="000000" w:themeColor="text1"/>
                <w:sz w:val="20"/>
                <w:szCs w:val="20"/>
              </w:rPr>
              <w:t>582</w:t>
            </w:r>
          </w:p>
        </w:tc>
        <w:tc>
          <w:tcPr>
            <w:tcW w:w="809" w:type="pct"/>
            <w:tcBorders>
              <w:top w:val="nil"/>
              <w:left w:val="nil"/>
              <w:bottom w:val="nil"/>
              <w:right w:val="nil"/>
            </w:tcBorders>
            <w:shd w:val="clear" w:color="auto" w:fill="auto"/>
            <w:vAlign w:val="bottom"/>
          </w:tcPr>
          <w:p w14:paraId="6C98A9C1" w14:textId="6859B754" w:rsidR="001D1317" w:rsidRPr="00537128" w:rsidRDefault="001D1317" w:rsidP="001D1317">
            <w:pPr>
              <w:tabs>
                <w:tab w:val="right" w:pos="1202"/>
              </w:tabs>
              <w:spacing w:after="0" w:line="240" w:lineRule="auto"/>
              <w:jc w:val="right"/>
              <w:outlineLvl w:val="0"/>
              <w:rPr>
                <w:rFonts w:ascii="Calibri" w:eastAsia="Calibri" w:hAnsi="Calibri" w:cs="Calibri"/>
                <w:bCs/>
                <w:noProof/>
                <w:sz w:val="20"/>
                <w:szCs w:val="20"/>
                <w:lang w:val="en-US"/>
              </w:rPr>
            </w:pPr>
            <w:r>
              <w:rPr>
                <w:rFonts w:ascii="Calibri" w:eastAsia="Calibri" w:hAnsi="Calibri" w:cs="Calibri"/>
                <w:color w:val="000000"/>
                <w:sz w:val="20"/>
                <w:szCs w:val="20"/>
              </w:rPr>
              <w:t>4,455</w:t>
            </w:r>
          </w:p>
        </w:tc>
        <w:tc>
          <w:tcPr>
            <w:tcW w:w="810" w:type="pct"/>
            <w:tcBorders>
              <w:top w:val="nil"/>
              <w:left w:val="nil"/>
              <w:bottom w:val="nil"/>
              <w:right w:val="nil"/>
            </w:tcBorders>
            <w:shd w:val="clear" w:color="auto" w:fill="auto"/>
            <w:vAlign w:val="bottom"/>
          </w:tcPr>
          <w:p w14:paraId="37B53A17" w14:textId="0BF37F2C" w:rsidR="001D1317" w:rsidRPr="00537128" w:rsidRDefault="001D1317" w:rsidP="001D1317">
            <w:pPr>
              <w:tabs>
                <w:tab w:val="right" w:pos="1202"/>
              </w:tabs>
              <w:spacing w:after="0" w:line="240" w:lineRule="auto"/>
              <w:jc w:val="right"/>
              <w:outlineLvl w:val="0"/>
              <w:rPr>
                <w:rFonts w:ascii="Calibri" w:eastAsia="Calibri" w:hAnsi="Calibri" w:cs="Calibri"/>
                <w:bCs/>
                <w:noProof/>
                <w:sz w:val="20"/>
                <w:szCs w:val="20"/>
                <w:lang w:val="en-US"/>
              </w:rPr>
            </w:pPr>
            <w:r w:rsidRPr="008E545B">
              <w:rPr>
                <w:rFonts w:ascii="Calibri" w:eastAsia="Calibri" w:hAnsi="Calibri" w:cs="Calibri"/>
                <w:color w:val="000000" w:themeColor="text1"/>
                <w:sz w:val="20"/>
                <w:szCs w:val="20"/>
              </w:rPr>
              <w:t>4</w:t>
            </w:r>
            <w:r>
              <w:rPr>
                <w:rFonts w:ascii="Calibri" w:eastAsia="Calibri" w:hAnsi="Calibri" w:cs="Calibri"/>
                <w:color w:val="000000" w:themeColor="text1"/>
                <w:sz w:val="20"/>
                <w:szCs w:val="20"/>
              </w:rPr>
              <w:t>,</w:t>
            </w:r>
            <w:r w:rsidRPr="008E545B">
              <w:rPr>
                <w:rFonts w:ascii="Calibri" w:eastAsia="Calibri" w:hAnsi="Calibri" w:cs="Calibri"/>
                <w:color w:val="000000" w:themeColor="text1"/>
                <w:sz w:val="20"/>
                <w:szCs w:val="20"/>
              </w:rPr>
              <w:t>499</w:t>
            </w:r>
          </w:p>
        </w:tc>
      </w:tr>
      <w:tr w:rsidR="001D1317" w:rsidRPr="00537128" w14:paraId="178411EB" w14:textId="77777777" w:rsidTr="00A1123E">
        <w:trPr>
          <w:trHeight w:val="335"/>
        </w:trPr>
        <w:tc>
          <w:tcPr>
            <w:tcW w:w="1763" w:type="pct"/>
            <w:vAlign w:val="center"/>
          </w:tcPr>
          <w:p w14:paraId="2767D83D" w14:textId="39EEBACC" w:rsidR="001D1317" w:rsidRPr="00537128" w:rsidRDefault="001D1317" w:rsidP="001D1317">
            <w:pPr>
              <w:tabs>
                <w:tab w:val="right" w:pos="1202"/>
              </w:tabs>
              <w:spacing w:after="0" w:line="240" w:lineRule="auto"/>
              <w:outlineLvl w:val="0"/>
              <w:rPr>
                <w:rFonts w:ascii="Calibri" w:eastAsia="Calibri" w:hAnsi="Calibri" w:cs="Calibri"/>
                <w:b/>
                <w:bCs/>
                <w:noProof/>
                <w:sz w:val="20"/>
                <w:szCs w:val="20"/>
                <w:lang w:val="en-US"/>
              </w:rPr>
            </w:pPr>
            <w:r w:rsidRPr="00537128">
              <w:rPr>
                <w:rFonts w:ascii="Calibri" w:eastAsia="Calibri" w:hAnsi="Calibri" w:cs="Calibri"/>
                <w:noProof/>
                <w:sz w:val="20"/>
                <w:szCs w:val="20"/>
                <w:lang w:val="en-US"/>
              </w:rPr>
              <w:t>Net increase</w:t>
            </w:r>
            <w:r>
              <w:rPr>
                <w:rFonts w:ascii="Calibri" w:eastAsia="Calibri" w:hAnsi="Calibri" w:cs="Calibri"/>
                <w:noProof/>
                <w:sz w:val="20"/>
                <w:szCs w:val="20"/>
                <w:lang w:val="en-US"/>
              </w:rPr>
              <w:t xml:space="preserve"> </w:t>
            </w:r>
            <w:r w:rsidRPr="00537128">
              <w:rPr>
                <w:rFonts w:ascii="Calibri" w:eastAsia="Calibri" w:hAnsi="Calibri" w:cs="Calibri"/>
                <w:noProof/>
                <w:sz w:val="20"/>
                <w:szCs w:val="20"/>
                <w:lang w:val="en-US"/>
              </w:rPr>
              <w:t xml:space="preserve">of </w:t>
            </w:r>
            <w:r w:rsidRPr="00537128">
              <w:rPr>
                <w:rFonts w:ascii="Calibri" w:eastAsia="Calibri" w:hAnsi="Calibri" w:cs="Arial"/>
                <w:noProof/>
                <w:sz w:val="20"/>
                <w:szCs w:val="20"/>
                <w:lang w:val="en-US"/>
              </w:rPr>
              <w:t>loss allowances</w:t>
            </w:r>
            <w:r w:rsidRPr="00537128">
              <w:rPr>
                <w:rFonts w:ascii="Calibri" w:eastAsia="Calibri" w:hAnsi="Calibri" w:cs="Calibri"/>
                <w:noProof/>
                <w:sz w:val="20"/>
                <w:szCs w:val="20"/>
                <w:lang w:val="en-US"/>
              </w:rPr>
              <w:t xml:space="preserve"> </w:t>
            </w:r>
          </w:p>
        </w:tc>
        <w:tc>
          <w:tcPr>
            <w:tcW w:w="809" w:type="pct"/>
            <w:tcBorders>
              <w:top w:val="nil"/>
              <w:left w:val="nil"/>
              <w:right w:val="nil"/>
            </w:tcBorders>
            <w:shd w:val="clear" w:color="auto" w:fill="auto"/>
            <w:vAlign w:val="bottom"/>
          </w:tcPr>
          <w:p w14:paraId="55DF6537" w14:textId="36B4C33D" w:rsidR="001D1317" w:rsidRPr="00537128" w:rsidRDefault="001D1317" w:rsidP="001D1317">
            <w:pPr>
              <w:tabs>
                <w:tab w:val="right" w:pos="1202"/>
              </w:tabs>
              <w:spacing w:after="0" w:line="240" w:lineRule="auto"/>
              <w:jc w:val="right"/>
              <w:outlineLvl w:val="0"/>
              <w:rPr>
                <w:rFonts w:ascii="Calibri" w:eastAsia="Calibri" w:hAnsi="Calibri" w:cs="Calibri"/>
                <w:bCs/>
                <w:noProof/>
                <w:sz w:val="20"/>
                <w:szCs w:val="20"/>
                <w:lang w:val="en-US"/>
              </w:rPr>
            </w:pPr>
            <w:r>
              <w:rPr>
                <w:rFonts w:ascii="Calibri" w:eastAsia="Calibri" w:hAnsi="Calibri" w:cs="Calibri"/>
                <w:color w:val="000000"/>
                <w:sz w:val="20"/>
                <w:szCs w:val="20"/>
              </w:rPr>
              <w:t>328</w:t>
            </w:r>
          </w:p>
        </w:tc>
        <w:tc>
          <w:tcPr>
            <w:tcW w:w="809" w:type="pct"/>
            <w:tcBorders>
              <w:top w:val="nil"/>
              <w:left w:val="nil"/>
              <w:right w:val="nil"/>
            </w:tcBorders>
            <w:shd w:val="clear" w:color="auto" w:fill="auto"/>
            <w:vAlign w:val="bottom"/>
          </w:tcPr>
          <w:p w14:paraId="763ACCA3" w14:textId="6A98DE19" w:rsidR="001D1317" w:rsidRPr="00537128" w:rsidRDefault="001D1317" w:rsidP="001D1317">
            <w:pPr>
              <w:tabs>
                <w:tab w:val="right" w:pos="1202"/>
              </w:tabs>
              <w:spacing w:after="0" w:line="240" w:lineRule="auto"/>
              <w:jc w:val="right"/>
              <w:outlineLvl w:val="0"/>
              <w:rPr>
                <w:rFonts w:ascii="Calibri" w:eastAsia="Calibri" w:hAnsi="Calibri" w:cs="Calibri"/>
                <w:bCs/>
                <w:noProof/>
                <w:sz w:val="20"/>
                <w:szCs w:val="20"/>
                <w:lang w:val="en-US"/>
              </w:rPr>
            </w:pPr>
            <w:r w:rsidRPr="009105F1">
              <w:rPr>
                <w:rFonts w:ascii="Calibri" w:eastAsia="Calibri" w:hAnsi="Calibri" w:cs="Calibri"/>
                <w:color w:val="000000" w:themeColor="text1"/>
                <w:sz w:val="20"/>
                <w:szCs w:val="20"/>
              </w:rPr>
              <w:t>(29)</w:t>
            </w:r>
          </w:p>
        </w:tc>
        <w:tc>
          <w:tcPr>
            <w:tcW w:w="809" w:type="pct"/>
            <w:tcBorders>
              <w:top w:val="nil"/>
              <w:left w:val="nil"/>
              <w:right w:val="nil"/>
            </w:tcBorders>
            <w:shd w:val="clear" w:color="auto" w:fill="auto"/>
            <w:vAlign w:val="bottom"/>
          </w:tcPr>
          <w:p w14:paraId="48C98B5D" w14:textId="6E8E8DB3" w:rsidR="001D1317" w:rsidRPr="00537128" w:rsidRDefault="001D1317" w:rsidP="001D1317">
            <w:pPr>
              <w:tabs>
                <w:tab w:val="right" w:pos="1202"/>
              </w:tabs>
              <w:spacing w:after="0" w:line="240" w:lineRule="auto"/>
              <w:jc w:val="right"/>
              <w:outlineLvl w:val="0"/>
              <w:rPr>
                <w:rFonts w:ascii="Calibri" w:eastAsia="Calibri" w:hAnsi="Calibri" w:cs="Calibri"/>
                <w:bCs/>
                <w:noProof/>
                <w:sz w:val="20"/>
                <w:szCs w:val="20"/>
                <w:lang w:val="en-US"/>
              </w:rPr>
            </w:pPr>
            <w:r>
              <w:rPr>
                <w:rFonts w:ascii="Calibri" w:eastAsia="Calibri" w:hAnsi="Calibri" w:cs="Calibri"/>
                <w:color w:val="000000"/>
                <w:sz w:val="20"/>
                <w:szCs w:val="20"/>
              </w:rPr>
              <w:t>320</w:t>
            </w:r>
          </w:p>
        </w:tc>
        <w:tc>
          <w:tcPr>
            <w:tcW w:w="810" w:type="pct"/>
            <w:tcBorders>
              <w:top w:val="nil"/>
              <w:left w:val="nil"/>
              <w:bottom w:val="nil"/>
              <w:right w:val="nil"/>
            </w:tcBorders>
            <w:shd w:val="clear" w:color="auto" w:fill="auto"/>
            <w:vAlign w:val="bottom"/>
          </w:tcPr>
          <w:p w14:paraId="76F45C41" w14:textId="64041A9D" w:rsidR="001D1317" w:rsidRPr="00537128" w:rsidRDefault="001D1317" w:rsidP="001D1317">
            <w:pPr>
              <w:tabs>
                <w:tab w:val="right" w:pos="1202"/>
              </w:tabs>
              <w:spacing w:after="0" w:line="240" w:lineRule="auto"/>
              <w:jc w:val="right"/>
              <w:outlineLvl w:val="0"/>
              <w:rPr>
                <w:rFonts w:ascii="Calibri" w:eastAsia="Calibri" w:hAnsi="Calibri" w:cs="Calibri"/>
                <w:bCs/>
                <w:noProof/>
                <w:sz w:val="20"/>
                <w:szCs w:val="20"/>
                <w:lang w:val="en-US"/>
              </w:rPr>
            </w:pPr>
            <w:r w:rsidRPr="008E545B">
              <w:rPr>
                <w:rFonts w:ascii="Calibri" w:eastAsia="Calibri" w:hAnsi="Calibri" w:cs="Calibri"/>
                <w:color w:val="000000" w:themeColor="text1"/>
                <w:sz w:val="20"/>
                <w:szCs w:val="20"/>
              </w:rPr>
              <w:t>(36)</w:t>
            </w:r>
          </w:p>
        </w:tc>
      </w:tr>
      <w:tr w:rsidR="001D1317" w:rsidRPr="00537128" w14:paraId="406E7C76" w14:textId="77777777" w:rsidTr="00A1123E">
        <w:trPr>
          <w:trHeight w:hRule="exact" w:val="614"/>
        </w:trPr>
        <w:tc>
          <w:tcPr>
            <w:tcW w:w="1763" w:type="pct"/>
            <w:vAlign w:val="bottom"/>
          </w:tcPr>
          <w:p w14:paraId="40B011DA" w14:textId="702DD17C" w:rsidR="001D1317" w:rsidRPr="009E0B26" w:rsidRDefault="001D1317" w:rsidP="001D1317">
            <w:pPr>
              <w:tabs>
                <w:tab w:val="right" w:pos="1202"/>
              </w:tabs>
              <w:spacing w:after="0" w:line="240" w:lineRule="auto"/>
              <w:outlineLvl w:val="0"/>
              <w:rPr>
                <w:rFonts w:ascii="Calibri" w:eastAsia="Calibri" w:hAnsi="Calibri" w:cs="Calibri"/>
                <w:noProof/>
                <w:spacing w:val="-2"/>
                <w:sz w:val="20"/>
                <w:szCs w:val="20"/>
                <w:lang w:val="en-US"/>
              </w:rPr>
            </w:pPr>
            <w:r w:rsidRPr="009E0B26">
              <w:rPr>
                <w:rFonts w:ascii="Calibri" w:eastAsia="Calibri" w:hAnsi="Calibri" w:cs="Calibri"/>
                <w:i/>
                <w:noProof/>
                <w:sz w:val="20"/>
                <w:szCs w:val="20"/>
                <w:lang w:val="en-US"/>
              </w:rPr>
              <w:t xml:space="preserve">Total </w:t>
            </w:r>
            <w:r w:rsidRPr="009E0B26">
              <w:rPr>
                <w:rFonts w:ascii="Calibri" w:eastAsia="Calibri" w:hAnsi="Calibri" w:cs="Arial"/>
                <w:i/>
                <w:noProof/>
                <w:sz w:val="20"/>
                <w:szCs w:val="20"/>
                <w:lang w:val="en-US"/>
              </w:rPr>
              <w:t>recognised</w:t>
            </w:r>
            <w:r w:rsidRPr="00270647">
              <w:rPr>
                <w:rFonts w:ascii="Calibri" w:eastAsia="Calibri" w:hAnsi="Calibri" w:cs="Calibri"/>
                <w:i/>
                <w:noProof/>
                <w:sz w:val="20"/>
                <w:szCs w:val="20"/>
                <w:lang w:val="en-US"/>
              </w:rPr>
              <w:t xml:space="preserve"> through Income Statement (</w:t>
            </w:r>
            <w:r w:rsidRPr="00A1123E">
              <w:rPr>
                <w:rFonts w:ascii="Calibri" w:eastAsia="Calibri" w:hAnsi="Calibri" w:cs="Calibri"/>
                <w:i/>
                <w:noProof/>
                <w:sz w:val="20"/>
                <w:szCs w:val="20"/>
                <w:lang w:val="en-US"/>
              </w:rPr>
              <w:t>Note 8</w:t>
            </w:r>
            <w:r w:rsidRPr="009E0B26">
              <w:rPr>
                <w:rFonts w:ascii="Calibri" w:eastAsia="Calibri" w:hAnsi="Calibri" w:cs="Calibri"/>
                <w:i/>
                <w:noProof/>
                <w:sz w:val="20"/>
                <w:szCs w:val="20"/>
                <w:lang w:val="en-US"/>
              </w:rPr>
              <w:t>)</w:t>
            </w:r>
          </w:p>
        </w:tc>
        <w:tc>
          <w:tcPr>
            <w:tcW w:w="809" w:type="pct"/>
            <w:tcBorders>
              <w:top w:val="single" w:sz="4" w:space="0" w:color="auto"/>
              <w:left w:val="nil"/>
              <w:bottom w:val="single" w:sz="4" w:space="0" w:color="auto"/>
              <w:right w:val="nil"/>
            </w:tcBorders>
            <w:shd w:val="clear" w:color="auto" w:fill="auto"/>
            <w:vAlign w:val="bottom"/>
          </w:tcPr>
          <w:p w14:paraId="3DA9BBDA" w14:textId="4FB2D9B8" w:rsidR="001D1317" w:rsidRPr="00537128" w:rsidRDefault="001D1317" w:rsidP="001D1317">
            <w:pPr>
              <w:tabs>
                <w:tab w:val="right" w:pos="1202"/>
              </w:tabs>
              <w:spacing w:after="0" w:line="240" w:lineRule="auto"/>
              <w:jc w:val="right"/>
              <w:outlineLvl w:val="0"/>
              <w:rPr>
                <w:rFonts w:ascii="Calibri" w:eastAsia="Calibri" w:hAnsi="Calibri" w:cs="Calibri"/>
                <w:bCs/>
                <w:i/>
                <w:noProof/>
                <w:sz w:val="20"/>
                <w:szCs w:val="20"/>
                <w:lang w:val="en-US"/>
              </w:rPr>
            </w:pPr>
            <w:r>
              <w:rPr>
                <w:rFonts w:ascii="Calibri" w:eastAsia="Calibri" w:hAnsi="Calibri" w:cs="Calibri"/>
                <w:bCs/>
                <w:i/>
                <w:iCs/>
                <w:color w:val="000000"/>
                <w:sz w:val="20"/>
                <w:szCs w:val="20"/>
              </w:rPr>
              <w:t>328</w:t>
            </w:r>
          </w:p>
        </w:tc>
        <w:tc>
          <w:tcPr>
            <w:tcW w:w="809" w:type="pct"/>
            <w:tcBorders>
              <w:top w:val="single" w:sz="4" w:space="0" w:color="auto"/>
              <w:left w:val="nil"/>
              <w:bottom w:val="single" w:sz="4" w:space="0" w:color="auto"/>
              <w:right w:val="nil"/>
            </w:tcBorders>
            <w:shd w:val="clear" w:color="auto" w:fill="auto"/>
            <w:vAlign w:val="bottom"/>
          </w:tcPr>
          <w:p w14:paraId="33986400" w14:textId="198814D2" w:rsidR="001D1317" w:rsidRPr="00537128" w:rsidRDefault="001D1317" w:rsidP="001D1317">
            <w:pPr>
              <w:tabs>
                <w:tab w:val="right" w:pos="1202"/>
              </w:tabs>
              <w:spacing w:after="0" w:line="240" w:lineRule="auto"/>
              <w:jc w:val="right"/>
              <w:outlineLvl w:val="0"/>
              <w:rPr>
                <w:rFonts w:ascii="Calibri" w:eastAsia="Calibri" w:hAnsi="Calibri" w:cs="Calibri"/>
                <w:bCs/>
                <w:i/>
                <w:noProof/>
                <w:sz w:val="20"/>
                <w:szCs w:val="20"/>
                <w:lang w:val="en-US"/>
              </w:rPr>
            </w:pPr>
            <w:r w:rsidRPr="009105F1">
              <w:rPr>
                <w:rFonts w:ascii="Calibri" w:eastAsia="Calibri" w:hAnsi="Calibri" w:cs="Calibri"/>
                <w:bCs/>
                <w:i/>
                <w:color w:val="000000" w:themeColor="text1"/>
                <w:sz w:val="20"/>
                <w:szCs w:val="20"/>
              </w:rPr>
              <w:t>(29)</w:t>
            </w:r>
          </w:p>
        </w:tc>
        <w:tc>
          <w:tcPr>
            <w:tcW w:w="809" w:type="pct"/>
            <w:tcBorders>
              <w:top w:val="single" w:sz="4" w:space="0" w:color="auto"/>
              <w:left w:val="nil"/>
              <w:bottom w:val="single" w:sz="4" w:space="0" w:color="auto"/>
              <w:right w:val="nil"/>
            </w:tcBorders>
            <w:shd w:val="clear" w:color="auto" w:fill="auto"/>
            <w:vAlign w:val="bottom"/>
          </w:tcPr>
          <w:p w14:paraId="78412A9D" w14:textId="6DDEEB8F" w:rsidR="001D1317" w:rsidRPr="00537128" w:rsidRDefault="001D1317" w:rsidP="001D1317">
            <w:pPr>
              <w:tabs>
                <w:tab w:val="right" w:pos="1202"/>
              </w:tabs>
              <w:spacing w:after="0" w:line="240" w:lineRule="auto"/>
              <w:jc w:val="right"/>
              <w:outlineLvl w:val="0"/>
              <w:rPr>
                <w:rFonts w:ascii="Calibri" w:eastAsia="Calibri" w:hAnsi="Calibri" w:cs="Calibri"/>
                <w:bCs/>
                <w:i/>
                <w:noProof/>
                <w:sz w:val="20"/>
                <w:szCs w:val="20"/>
                <w:lang w:val="en-US"/>
              </w:rPr>
            </w:pPr>
            <w:r>
              <w:rPr>
                <w:rFonts w:ascii="Calibri" w:eastAsia="Calibri" w:hAnsi="Calibri" w:cs="Calibri"/>
                <w:bCs/>
                <w:i/>
                <w:iCs/>
                <w:color w:val="000000"/>
                <w:sz w:val="20"/>
                <w:szCs w:val="20"/>
              </w:rPr>
              <w:t>320</w:t>
            </w:r>
          </w:p>
        </w:tc>
        <w:tc>
          <w:tcPr>
            <w:tcW w:w="810" w:type="pct"/>
            <w:tcBorders>
              <w:top w:val="single" w:sz="4" w:space="0" w:color="auto"/>
              <w:left w:val="nil"/>
              <w:bottom w:val="single" w:sz="4" w:space="0" w:color="auto"/>
              <w:right w:val="nil"/>
            </w:tcBorders>
            <w:shd w:val="clear" w:color="auto" w:fill="auto"/>
            <w:vAlign w:val="bottom"/>
          </w:tcPr>
          <w:p w14:paraId="770CC856" w14:textId="557985BB" w:rsidR="001D1317" w:rsidRPr="00537128" w:rsidRDefault="001D1317" w:rsidP="001D1317">
            <w:pPr>
              <w:tabs>
                <w:tab w:val="right" w:pos="1202"/>
              </w:tabs>
              <w:spacing w:after="0" w:line="240" w:lineRule="auto"/>
              <w:jc w:val="right"/>
              <w:outlineLvl w:val="0"/>
              <w:rPr>
                <w:rFonts w:ascii="Calibri" w:eastAsia="Calibri" w:hAnsi="Calibri" w:cs="Calibri"/>
                <w:bCs/>
                <w:i/>
                <w:noProof/>
                <w:sz w:val="20"/>
                <w:szCs w:val="20"/>
                <w:lang w:val="en-US"/>
              </w:rPr>
            </w:pPr>
            <w:r w:rsidRPr="008E545B">
              <w:rPr>
                <w:rFonts w:ascii="Calibri" w:eastAsia="Calibri" w:hAnsi="Calibri" w:cs="Calibri"/>
                <w:bCs/>
                <w:i/>
                <w:color w:val="000000" w:themeColor="text1"/>
                <w:sz w:val="20"/>
                <w:szCs w:val="20"/>
              </w:rPr>
              <w:t>(36)</w:t>
            </w:r>
          </w:p>
        </w:tc>
      </w:tr>
      <w:tr w:rsidR="001D1317" w:rsidRPr="00537128" w14:paraId="32556A65" w14:textId="77777777" w:rsidTr="000236DF">
        <w:trPr>
          <w:trHeight w:hRule="exact" w:val="465"/>
        </w:trPr>
        <w:tc>
          <w:tcPr>
            <w:tcW w:w="1763" w:type="pct"/>
            <w:vAlign w:val="bottom"/>
          </w:tcPr>
          <w:p w14:paraId="69A98006" w14:textId="77777777" w:rsidR="001D1317" w:rsidRPr="00537128" w:rsidRDefault="001D1317" w:rsidP="001D1317">
            <w:pPr>
              <w:tabs>
                <w:tab w:val="right" w:pos="1202"/>
              </w:tabs>
              <w:spacing w:after="0" w:line="240" w:lineRule="auto"/>
              <w:outlineLvl w:val="0"/>
              <w:rPr>
                <w:rFonts w:ascii="Calibri" w:eastAsia="Calibri" w:hAnsi="Calibri" w:cs="Calibri"/>
                <w:noProof/>
                <w:sz w:val="20"/>
                <w:szCs w:val="20"/>
                <w:lang w:val="en-US"/>
              </w:rPr>
            </w:pPr>
            <w:r w:rsidRPr="00537128">
              <w:rPr>
                <w:rFonts w:ascii="Calibri" w:eastAsia="Calibri" w:hAnsi="Calibri" w:cs="Calibri"/>
                <w:noProof/>
                <w:sz w:val="20"/>
                <w:szCs w:val="20"/>
                <w:lang w:val="en-US"/>
              </w:rPr>
              <w:t>Net foreign exchange gain/loss on</w:t>
            </w:r>
            <w:r w:rsidRPr="00537128">
              <w:rPr>
                <w:rFonts w:ascii="Arial" w:eastAsia="Calibri" w:hAnsi="Arial" w:cs="Times New Roman"/>
                <w:noProof/>
                <w:sz w:val="20"/>
                <w:szCs w:val="20"/>
                <w:lang w:val="en-US"/>
              </w:rPr>
              <w:t xml:space="preserve"> </w:t>
            </w:r>
            <w:r w:rsidRPr="00537128">
              <w:rPr>
                <w:rFonts w:ascii="Calibri" w:eastAsia="Calibri" w:hAnsi="Calibri" w:cs="Calibri"/>
                <w:noProof/>
                <w:sz w:val="20"/>
                <w:szCs w:val="20"/>
                <w:lang w:val="en-US"/>
              </w:rPr>
              <w:t>loss allowances</w:t>
            </w:r>
          </w:p>
        </w:tc>
        <w:tc>
          <w:tcPr>
            <w:tcW w:w="809" w:type="pct"/>
            <w:tcBorders>
              <w:top w:val="single" w:sz="4" w:space="0" w:color="auto"/>
              <w:left w:val="nil"/>
              <w:right w:val="nil"/>
            </w:tcBorders>
            <w:shd w:val="clear" w:color="auto" w:fill="auto"/>
            <w:vAlign w:val="bottom"/>
          </w:tcPr>
          <w:p w14:paraId="26A1591F" w14:textId="1B574A87" w:rsidR="001D1317" w:rsidRPr="00537128" w:rsidRDefault="001D1317" w:rsidP="001D1317">
            <w:pPr>
              <w:tabs>
                <w:tab w:val="right" w:pos="1202"/>
              </w:tabs>
              <w:spacing w:after="0" w:line="240" w:lineRule="auto"/>
              <w:jc w:val="right"/>
              <w:outlineLvl w:val="0"/>
              <w:rPr>
                <w:rFonts w:ascii="Calibri" w:eastAsia="Calibri" w:hAnsi="Calibri" w:cs="Calibri"/>
                <w:bCs/>
                <w:noProof/>
                <w:sz w:val="20"/>
                <w:szCs w:val="20"/>
                <w:lang w:val="en-US"/>
              </w:rPr>
            </w:pPr>
            <w:r>
              <w:rPr>
                <w:rFonts w:ascii="Calibri" w:eastAsia="Calibri" w:hAnsi="Calibri" w:cs="Calibri"/>
                <w:color w:val="000000"/>
                <w:sz w:val="20"/>
                <w:szCs w:val="20"/>
              </w:rPr>
              <w:t>20</w:t>
            </w:r>
          </w:p>
        </w:tc>
        <w:tc>
          <w:tcPr>
            <w:tcW w:w="809" w:type="pct"/>
            <w:tcBorders>
              <w:top w:val="single" w:sz="4" w:space="0" w:color="auto"/>
              <w:left w:val="nil"/>
              <w:right w:val="nil"/>
            </w:tcBorders>
            <w:shd w:val="clear" w:color="auto" w:fill="auto"/>
            <w:vAlign w:val="bottom"/>
          </w:tcPr>
          <w:p w14:paraId="16E4C62B" w14:textId="76BAC94E" w:rsidR="001D1317" w:rsidRPr="00537128" w:rsidRDefault="001D1317" w:rsidP="001D1317">
            <w:pPr>
              <w:tabs>
                <w:tab w:val="right" w:pos="1202"/>
              </w:tabs>
              <w:spacing w:after="0" w:line="240" w:lineRule="auto"/>
              <w:jc w:val="right"/>
              <w:outlineLvl w:val="0"/>
              <w:rPr>
                <w:rFonts w:ascii="Calibri" w:eastAsia="Calibri" w:hAnsi="Calibri" w:cs="Calibri"/>
                <w:bCs/>
                <w:noProof/>
                <w:sz w:val="20"/>
                <w:szCs w:val="20"/>
                <w:lang w:val="en-US"/>
              </w:rPr>
            </w:pPr>
            <w:r w:rsidRPr="009105F1">
              <w:rPr>
                <w:rFonts w:ascii="Calibri" w:eastAsia="Calibri" w:hAnsi="Calibri" w:cs="Calibri"/>
                <w:color w:val="000000" w:themeColor="text1"/>
                <w:sz w:val="20"/>
                <w:szCs w:val="20"/>
              </w:rPr>
              <w:t>(8)</w:t>
            </w:r>
          </w:p>
        </w:tc>
        <w:tc>
          <w:tcPr>
            <w:tcW w:w="809" w:type="pct"/>
            <w:tcBorders>
              <w:top w:val="single" w:sz="4" w:space="0" w:color="auto"/>
              <w:left w:val="nil"/>
              <w:right w:val="nil"/>
            </w:tcBorders>
            <w:shd w:val="clear" w:color="auto" w:fill="auto"/>
            <w:vAlign w:val="bottom"/>
          </w:tcPr>
          <w:p w14:paraId="6193132C" w14:textId="1BFFBD92" w:rsidR="001D1317" w:rsidRPr="00537128" w:rsidRDefault="001D1317" w:rsidP="001D1317">
            <w:pPr>
              <w:tabs>
                <w:tab w:val="right" w:pos="1202"/>
              </w:tabs>
              <w:spacing w:after="0" w:line="240" w:lineRule="auto"/>
              <w:jc w:val="right"/>
              <w:outlineLvl w:val="0"/>
              <w:rPr>
                <w:rFonts w:ascii="Calibri" w:eastAsia="Calibri" w:hAnsi="Calibri" w:cs="Calibri"/>
                <w:bCs/>
                <w:noProof/>
                <w:sz w:val="20"/>
                <w:szCs w:val="20"/>
                <w:lang w:val="en-US"/>
              </w:rPr>
            </w:pPr>
            <w:r>
              <w:rPr>
                <w:rFonts w:ascii="Calibri" w:eastAsia="Calibri" w:hAnsi="Calibri" w:cs="Calibri"/>
                <w:color w:val="000000"/>
                <w:sz w:val="20"/>
                <w:szCs w:val="20"/>
              </w:rPr>
              <w:t>20</w:t>
            </w:r>
          </w:p>
        </w:tc>
        <w:tc>
          <w:tcPr>
            <w:tcW w:w="810" w:type="pct"/>
            <w:tcBorders>
              <w:top w:val="single" w:sz="4" w:space="0" w:color="auto"/>
              <w:left w:val="nil"/>
              <w:right w:val="nil"/>
            </w:tcBorders>
            <w:vAlign w:val="bottom"/>
          </w:tcPr>
          <w:p w14:paraId="6253579F" w14:textId="1AA0979E" w:rsidR="001D1317" w:rsidRPr="00537128" w:rsidRDefault="001D1317" w:rsidP="001D1317">
            <w:pPr>
              <w:tabs>
                <w:tab w:val="right" w:pos="1202"/>
              </w:tabs>
              <w:spacing w:after="0" w:line="240" w:lineRule="auto"/>
              <w:jc w:val="right"/>
              <w:outlineLvl w:val="0"/>
              <w:rPr>
                <w:rFonts w:ascii="Calibri" w:eastAsia="Calibri" w:hAnsi="Calibri" w:cs="Calibri"/>
                <w:bCs/>
                <w:noProof/>
                <w:sz w:val="20"/>
                <w:szCs w:val="20"/>
                <w:lang w:val="en-US"/>
              </w:rPr>
            </w:pPr>
            <w:r w:rsidRPr="008E545B">
              <w:rPr>
                <w:rFonts w:ascii="Calibri" w:eastAsia="Calibri" w:hAnsi="Calibri" w:cs="Calibri"/>
                <w:color w:val="000000" w:themeColor="text1"/>
                <w:sz w:val="20"/>
                <w:szCs w:val="20"/>
              </w:rPr>
              <w:t>(8)</w:t>
            </w:r>
          </w:p>
        </w:tc>
      </w:tr>
      <w:tr w:rsidR="001D1317" w:rsidRPr="00537128" w14:paraId="26B4C4F2" w14:textId="77777777" w:rsidTr="000236DF">
        <w:trPr>
          <w:trHeight w:val="419"/>
        </w:trPr>
        <w:tc>
          <w:tcPr>
            <w:tcW w:w="1763" w:type="pct"/>
            <w:vAlign w:val="bottom"/>
          </w:tcPr>
          <w:p w14:paraId="11DF734B" w14:textId="77777777" w:rsidR="001D1317" w:rsidRPr="00537128" w:rsidRDefault="001D1317" w:rsidP="001D1317">
            <w:pPr>
              <w:tabs>
                <w:tab w:val="right" w:pos="1202"/>
              </w:tabs>
              <w:spacing w:after="0" w:line="240" w:lineRule="auto"/>
              <w:outlineLvl w:val="0"/>
              <w:rPr>
                <w:rFonts w:ascii="Calibri" w:eastAsia="Calibri" w:hAnsi="Calibri" w:cs="Calibri"/>
                <w:b/>
                <w:bCs/>
                <w:noProof/>
                <w:sz w:val="20"/>
                <w:szCs w:val="20"/>
                <w:lang w:val="en-US"/>
              </w:rPr>
            </w:pPr>
            <w:r w:rsidRPr="00537128">
              <w:rPr>
                <w:rFonts w:ascii="Calibri" w:eastAsia="Calibri" w:hAnsi="Calibri" w:cs="Arial"/>
                <w:b/>
                <w:bCs/>
                <w:noProof/>
                <w:sz w:val="20"/>
                <w:szCs w:val="20"/>
                <w:lang w:val="en-US"/>
              </w:rPr>
              <w:t>Balance at the end of the reporting period</w:t>
            </w:r>
          </w:p>
        </w:tc>
        <w:tc>
          <w:tcPr>
            <w:tcW w:w="809" w:type="pct"/>
            <w:tcBorders>
              <w:top w:val="single" w:sz="4" w:space="0" w:color="auto"/>
              <w:left w:val="nil"/>
              <w:bottom w:val="single" w:sz="12" w:space="0" w:color="auto"/>
              <w:right w:val="nil"/>
            </w:tcBorders>
            <w:shd w:val="clear" w:color="auto" w:fill="auto"/>
            <w:vAlign w:val="bottom"/>
          </w:tcPr>
          <w:p w14:paraId="4456CC7A" w14:textId="72971946" w:rsidR="001D1317" w:rsidRPr="00537128" w:rsidRDefault="001D1317" w:rsidP="001D1317">
            <w:pPr>
              <w:tabs>
                <w:tab w:val="right" w:pos="1202"/>
              </w:tabs>
              <w:spacing w:after="0" w:line="240" w:lineRule="auto"/>
              <w:jc w:val="right"/>
              <w:outlineLvl w:val="0"/>
              <w:rPr>
                <w:rFonts w:ascii="Calibri" w:eastAsia="Calibri" w:hAnsi="Calibri" w:cs="Calibri"/>
                <w:b/>
                <w:bCs/>
                <w:noProof/>
                <w:sz w:val="20"/>
                <w:szCs w:val="20"/>
                <w:lang w:val="en-US"/>
              </w:rPr>
            </w:pPr>
            <w:r>
              <w:rPr>
                <w:rFonts w:ascii="Calibri" w:eastAsia="Calibri" w:hAnsi="Calibri" w:cs="Calibri"/>
                <w:b/>
                <w:bCs/>
                <w:color w:val="000000"/>
                <w:sz w:val="20"/>
                <w:szCs w:val="20"/>
              </w:rPr>
              <w:t>4,893</w:t>
            </w:r>
          </w:p>
        </w:tc>
        <w:tc>
          <w:tcPr>
            <w:tcW w:w="809" w:type="pct"/>
            <w:tcBorders>
              <w:top w:val="single" w:sz="4" w:space="0" w:color="auto"/>
              <w:left w:val="nil"/>
              <w:bottom w:val="single" w:sz="12" w:space="0" w:color="auto"/>
              <w:right w:val="nil"/>
            </w:tcBorders>
            <w:shd w:val="clear" w:color="auto" w:fill="auto"/>
            <w:vAlign w:val="bottom"/>
          </w:tcPr>
          <w:p w14:paraId="50EF420E" w14:textId="34C48718" w:rsidR="001D1317" w:rsidRPr="00537128" w:rsidRDefault="001D1317" w:rsidP="001D1317">
            <w:pPr>
              <w:tabs>
                <w:tab w:val="right" w:pos="1202"/>
              </w:tabs>
              <w:spacing w:after="0" w:line="240" w:lineRule="auto"/>
              <w:jc w:val="right"/>
              <w:outlineLvl w:val="0"/>
              <w:rPr>
                <w:rFonts w:ascii="Calibri" w:eastAsia="Calibri" w:hAnsi="Calibri" w:cs="Calibri"/>
                <w:b/>
                <w:bCs/>
                <w:noProof/>
                <w:sz w:val="20"/>
                <w:szCs w:val="20"/>
                <w:lang w:val="en-US"/>
              </w:rPr>
            </w:pPr>
            <w:r w:rsidRPr="009105F1">
              <w:rPr>
                <w:rFonts w:ascii="Calibri" w:eastAsia="Calibri" w:hAnsi="Calibri" w:cs="Calibri"/>
                <w:b/>
                <w:color w:val="000000" w:themeColor="text1"/>
                <w:sz w:val="20"/>
                <w:szCs w:val="20"/>
              </w:rPr>
              <w:t>4</w:t>
            </w:r>
            <w:r>
              <w:rPr>
                <w:rFonts w:ascii="Calibri" w:eastAsia="Calibri" w:hAnsi="Calibri" w:cs="Calibri"/>
                <w:b/>
                <w:color w:val="000000" w:themeColor="text1"/>
                <w:sz w:val="20"/>
                <w:szCs w:val="20"/>
              </w:rPr>
              <w:t>,</w:t>
            </w:r>
            <w:r w:rsidRPr="009105F1">
              <w:rPr>
                <w:rFonts w:ascii="Calibri" w:eastAsia="Calibri" w:hAnsi="Calibri" w:cs="Calibri"/>
                <w:b/>
                <w:color w:val="000000" w:themeColor="text1"/>
                <w:sz w:val="20"/>
                <w:szCs w:val="20"/>
              </w:rPr>
              <w:t>545</w:t>
            </w:r>
          </w:p>
        </w:tc>
        <w:tc>
          <w:tcPr>
            <w:tcW w:w="809" w:type="pct"/>
            <w:tcBorders>
              <w:top w:val="single" w:sz="4" w:space="0" w:color="auto"/>
              <w:left w:val="nil"/>
              <w:bottom w:val="single" w:sz="12" w:space="0" w:color="auto"/>
              <w:right w:val="nil"/>
            </w:tcBorders>
            <w:shd w:val="clear" w:color="auto" w:fill="auto"/>
            <w:vAlign w:val="bottom"/>
          </w:tcPr>
          <w:p w14:paraId="05C5F5D8" w14:textId="1911881B" w:rsidR="001D1317" w:rsidRPr="00537128" w:rsidRDefault="001D1317" w:rsidP="001D1317">
            <w:pPr>
              <w:tabs>
                <w:tab w:val="right" w:pos="1202"/>
              </w:tabs>
              <w:spacing w:after="0" w:line="240" w:lineRule="auto"/>
              <w:jc w:val="right"/>
              <w:outlineLvl w:val="0"/>
              <w:rPr>
                <w:rFonts w:ascii="Calibri" w:eastAsia="Calibri" w:hAnsi="Calibri" w:cs="Calibri"/>
                <w:b/>
                <w:bCs/>
                <w:noProof/>
                <w:sz w:val="20"/>
                <w:szCs w:val="20"/>
                <w:lang w:val="en-US"/>
              </w:rPr>
            </w:pPr>
            <w:r>
              <w:rPr>
                <w:rFonts w:ascii="Calibri" w:eastAsia="Calibri" w:hAnsi="Calibri" w:cs="Calibri"/>
                <w:b/>
                <w:bCs/>
                <w:color w:val="000000"/>
                <w:sz w:val="20"/>
                <w:szCs w:val="20"/>
              </w:rPr>
              <w:t>4,795</w:t>
            </w:r>
          </w:p>
        </w:tc>
        <w:tc>
          <w:tcPr>
            <w:tcW w:w="810" w:type="pct"/>
            <w:tcBorders>
              <w:top w:val="single" w:sz="4" w:space="0" w:color="auto"/>
              <w:left w:val="nil"/>
              <w:bottom w:val="single" w:sz="12" w:space="0" w:color="auto"/>
              <w:right w:val="nil"/>
            </w:tcBorders>
            <w:vAlign w:val="bottom"/>
          </w:tcPr>
          <w:p w14:paraId="16752262" w14:textId="1E7F79F4" w:rsidR="001D1317" w:rsidRPr="00537128" w:rsidRDefault="001D1317" w:rsidP="001D1317">
            <w:pPr>
              <w:tabs>
                <w:tab w:val="right" w:pos="1202"/>
              </w:tabs>
              <w:spacing w:after="0" w:line="240" w:lineRule="auto"/>
              <w:jc w:val="right"/>
              <w:outlineLvl w:val="0"/>
              <w:rPr>
                <w:rFonts w:ascii="Calibri" w:eastAsia="Calibri" w:hAnsi="Calibri" w:cs="Calibri"/>
                <w:b/>
                <w:bCs/>
                <w:noProof/>
                <w:sz w:val="20"/>
                <w:szCs w:val="20"/>
                <w:lang w:val="en-US"/>
              </w:rPr>
            </w:pPr>
            <w:r w:rsidRPr="008E545B">
              <w:rPr>
                <w:rFonts w:ascii="Calibri" w:eastAsia="Calibri" w:hAnsi="Calibri" w:cs="Calibri"/>
                <w:b/>
                <w:color w:val="000000" w:themeColor="text1"/>
                <w:sz w:val="20"/>
                <w:szCs w:val="20"/>
              </w:rPr>
              <w:t>4</w:t>
            </w:r>
            <w:r>
              <w:rPr>
                <w:rFonts w:ascii="Calibri" w:eastAsia="Calibri" w:hAnsi="Calibri" w:cs="Calibri"/>
                <w:b/>
                <w:color w:val="000000" w:themeColor="text1"/>
                <w:sz w:val="20"/>
                <w:szCs w:val="20"/>
              </w:rPr>
              <w:t>,</w:t>
            </w:r>
            <w:r w:rsidRPr="008E545B">
              <w:rPr>
                <w:rFonts w:ascii="Calibri" w:eastAsia="Calibri" w:hAnsi="Calibri" w:cs="Calibri"/>
                <w:b/>
                <w:color w:val="000000" w:themeColor="text1"/>
                <w:sz w:val="20"/>
                <w:szCs w:val="20"/>
              </w:rPr>
              <w:t>455</w:t>
            </w:r>
          </w:p>
        </w:tc>
      </w:tr>
    </w:tbl>
    <w:p w14:paraId="39DDAB85" w14:textId="67E853E2" w:rsidR="007E6CE7" w:rsidRPr="00537128" w:rsidRDefault="007E6CE7" w:rsidP="0018560E">
      <w:pPr>
        <w:spacing w:after="0" w:line="240" w:lineRule="auto"/>
        <w:jc w:val="both"/>
        <w:rPr>
          <w:rFonts w:ascii="Calibri" w:eastAsia="Times New Roman" w:hAnsi="Calibri" w:cs="Times New Roman"/>
          <w:color w:val="000000" w:themeColor="text1"/>
          <w:lang w:val="en-US"/>
        </w:rPr>
      </w:pPr>
    </w:p>
    <w:p w14:paraId="56E6F92A" w14:textId="77777777" w:rsidR="002E7785" w:rsidRPr="00537128" w:rsidRDefault="002E7785" w:rsidP="0018560E">
      <w:pPr>
        <w:spacing w:after="0" w:line="240" w:lineRule="auto"/>
        <w:jc w:val="both"/>
        <w:rPr>
          <w:rFonts w:ascii="Calibri" w:eastAsia="Times New Roman" w:hAnsi="Calibri" w:cs="Times New Roman"/>
          <w:color w:val="000000" w:themeColor="text1"/>
          <w:lang w:val="en-US"/>
        </w:rPr>
      </w:pPr>
    </w:p>
    <w:p w14:paraId="0809EC2E" w14:textId="77777777" w:rsidR="007E6CE7" w:rsidRPr="00537128" w:rsidRDefault="007E6CE7" w:rsidP="007E6CE7">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Net foreign exchange gain/loss on loss allowances are shown within net gains/(losses) from financial activities in the Income Statement.</w:t>
      </w:r>
    </w:p>
    <w:p w14:paraId="7FB65289" w14:textId="77777777" w:rsidR="007E6CE7" w:rsidRPr="00537128" w:rsidRDefault="007E6CE7" w:rsidP="007E6CE7">
      <w:pPr>
        <w:spacing w:after="0" w:line="240" w:lineRule="auto"/>
        <w:jc w:val="both"/>
        <w:rPr>
          <w:rFonts w:ascii="Calibri" w:eastAsia="Times New Roman" w:hAnsi="Calibri" w:cs="Times New Roman"/>
          <w:color w:val="000000" w:themeColor="text1"/>
          <w:lang w:val="en-US"/>
        </w:rPr>
      </w:pPr>
    </w:p>
    <w:p w14:paraId="108949F5" w14:textId="77777777" w:rsidR="007E6CE7" w:rsidRPr="00537128" w:rsidRDefault="007E6CE7" w:rsidP="007E6CE7">
      <w:pPr>
        <w:spacing w:after="0" w:line="240" w:lineRule="auto"/>
        <w:jc w:val="both"/>
        <w:rPr>
          <w:rFonts w:ascii="Calibri" w:eastAsia="Times New Roman" w:hAnsi="Calibri" w:cs="Times New Roman"/>
          <w:color w:val="000000" w:themeColor="text1"/>
          <w:lang w:val="en-US"/>
        </w:rPr>
      </w:pPr>
    </w:p>
    <w:p w14:paraId="7DE6FCF7" w14:textId="77777777" w:rsidR="007E6CE7" w:rsidRPr="00537128" w:rsidRDefault="007E6CE7" w:rsidP="007E6CE7">
      <w:pPr>
        <w:spacing w:after="0" w:line="240" w:lineRule="auto"/>
        <w:jc w:val="both"/>
        <w:rPr>
          <w:rFonts w:ascii="Calibri" w:eastAsia="Times New Roman" w:hAnsi="Calibri" w:cs="Times New Roman"/>
          <w:color w:val="000000" w:themeColor="text1"/>
          <w:lang w:val="en-US"/>
        </w:rPr>
        <w:sectPr w:rsidR="007E6CE7" w:rsidRPr="00537128">
          <w:pgSz w:w="11906" w:h="16838"/>
          <w:pgMar w:top="1417" w:right="1417" w:bottom="1417" w:left="1417" w:header="708" w:footer="708" w:gutter="0"/>
          <w:cols w:space="708"/>
          <w:docGrid w:linePitch="360"/>
        </w:sectPr>
      </w:pPr>
    </w:p>
    <w:p w14:paraId="21837C14" w14:textId="77777777" w:rsidR="00B45F12" w:rsidRPr="00537128" w:rsidRDefault="00B45F12" w:rsidP="007E6CE7">
      <w:pPr>
        <w:tabs>
          <w:tab w:val="left" w:pos="567"/>
        </w:tabs>
        <w:spacing w:after="0" w:line="240" w:lineRule="auto"/>
        <w:rPr>
          <w:rFonts w:ascii="Calibri" w:eastAsia="Times New Roman" w:hAnsi="Calibri" w:cs="Arial"/>
          <w:b/>
          <w:color w:val="000000" w:themeColor="text1"/>
          <w:lang w:val="en-US"/>
        </w:rPr>
      </w:pPr>
    </w:p>
    <w:p w14:paraId="4C3BD7EB" w14:textId="77777777" w:rsidR="007E6CE7" w:rsidRPr="00537128" w:rsidRDefault="00B45F12" w:rsidP="007E6CE7">
      <w:pPr>
        <w:tabs>
          <w:tab w:val="left" w:pos="567"/>
        </w:tabs>
        <w:spacing w:after="0" w:line="240" w:lineRule="auto"/>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14</w:t>
      </w:r>
      <w:r w:rsidR="007E6CE7" w:rsidRPr="00537128">
        <w:rPr>
          <w:rFonts w:ascii="Calibri" w:eastAsia="Times New Roman" w:hAnsi="Calibri" w:cs="Arial"/>
          <w:b/>
          <w:color w:val="000000" w:themeColor="text1"/>
          <w:lang w:val="en-US"/>
        </w:rPr>
        <w:t xml:space="preserve">. </w:t>
      </w:r>
      <w:r w:rsidR="007E6CE7" w:rsidRPr="00537128">
        <w:rPr>
          <w:rFonts w:ascii="Calibri" w:eastAsia="Times New Roman" w:hAnsi="Calibri" w:cs="Arial"/>
          <w:b/>
          <w:color w:val="000000" w:themeColor="text1"/>
          <w:lang w:val="en-US"/>
        </w:rPr>
        <w:tab/>
        <w:t>Financial assets</w:t>
      </w:r>
      <w:r w:rsidR="007E6CE7" w:rsidRPr="00537128">
        <w:rPr>
          <w:rFonts w:ascii="Calibri" w:eastAsia="Calibri" w:hAnsi="Calibri" w:cs="Times New Roman"/>
          <w:b/>
          <w:color w:val="000000" w:themeColor="text1"/>
          <w:lang w:val="en-US"/>
        </w:rPr>
        <w:t xml:space="preserve"> at fair value through other comprehensive income</w:t>
      </w:r>
      <w:r w:rsidR="007E6CE7" w:rsidRPr="00537128">
        <w:rPr>
          <w:rFonts w:ascii="Calibri" w:eastAsia="Times New Roman" w:hAnsi="Calibri" w:cs="Arial"/>
          <w:b/>
          <w:color w:val="000000" w:themeColor="text1"/>
          <w:lang w:val="en-US"/>
        </w:rPr>
        <w:t xml:space="preserve"> (continued)</w:t>
      </w:r>
    </w:p>
    <w:p w14:paraId="2ED7253E" w14:textId="77777777" w:rsidR="007E6CE7" w:rsidRPr="00537128" w:rsidRDefault="007E6CE7" w:rsidP="007E6CE7">
      <w:pPr>
        <w:spacing w:after="0" w:line="240" w:lineRule="auto"/>
        <w:rPr>
          <w:rFonts w:ascii="Calibri" w:eastAsia="Times New Roman" w:hAnsi="Calibri" w:cs="Arial"/>
          <w:b/>
          <w:color w:val="000000" w:themeColor="text1"/>
          <w:lang w:val="en-US"/>
        </w:rPr>
      </w:pPr>
    </w:p>
    <w:p w14:paraId="0EBC9152" w14:textId="77777777" w:rsidR="007E6CE7" w:rsidRPr="00537128" w:rsidRDefault="007E6CE7" w:rsidP="007E6CE7">
      <w:pPr>
        <w:tabs>
          <w:tab w:val="left" w:pos="-720"/>
        </w:tabs>
        <w:suppressAutoHyphens/>
        <w:spacing w:after="0" w:line="240" w:lineRule="auto"/>
        <w:rPr>
          <w:rFonts w:ascii="Calibri" w:eastAsia="Times New Roman" w:hAnsi="Calibri" w:cs="Arial"/>
          <w:color w:val="000000" w:themeColor="text1"/>
          <w:spacing w:val="-3"/>
          <w:lang w:val="en-US"/>
        </w:rPr>
      </w:pPr>
      <w:r w:rsidRPr="00537128">
        <w:rPr>
          <w:rFonts w:ascii="Calibri" w:eastAsia="Times New Roman" w:hAnsi="Calibri" w:cs="Arial"/>
          <w:color w:val="000000" w:themeColor="text1"/>
          <w:spacing w:val="-3"/>
          <w:lang w:val="en-US"/>
        </w:rPr>
        <w:t>The following text contains investment breakdown:</w:t>
      </w:r>
    </w:p>
    <w:p w14:paraId="731FA970" w14:textId="77777777" w:rsidR="007E6CE7" w:rsidRPr="00537128" w:rsidRDefault="007E6CE7" w:rsidP="007E6CE7">
      <w:pPr>
        <w:tabs>
          <w:tab w:val="left" w:pos="-720"/>
        </w:tabs>
        <w:suppressAutoHyphens/>
        <w:spacing w:after="0" w:line="240" w:lineRule="auto"/>
        <w:rPr>
          <w:rFonts w:ascii="Calibri" w:eastAsia="Times New Roman" w:hAnsi="Calibri" w:cs="Arial"/>
          <w:color w:val="000000" w:themeColor="text1"/>
          <w:spacing w:val="-3"/>
          <w:lang w:val="en-US"/>
        </w:rPr>
      </w:pPr>
    </w:p>
    <w:tbl>
      <w:tblPr>
        <w:tblW w:w="11057" w:type="dxa"/>
        <w:tblInd w:w="-851" w:type="dxa"/>
        <w:tblLayout w:type="fixed"/>
        <w:tblLook w:val="04A0" w:firstRow="1" w:lastRow="0" w:firstColumn="1" w:lastColumn="0" w:noHBand="0" w:noVBand="1"/>
      </w:tblPr>
      <w:tblGrid>
        <w:gridCol w:w="2798"/>
        <w:gridCol w:w="1120"/>
        <w:gridCol w:w="1121"/>
        <w:gridCol w:w="914"/>
        <w:gridCol w:w="277"/>
        <w:gridCol w:w="970"/>
        <w:gridCol w:w="29"/>
        <w:gridCol w:w="21"/>
        <w:gridCol w:w="1226"/>
        <w:gridCol w:w="21"/>
        <w:gridCol w:w="8"/>
        <w:gridCol w:w="1247"/>
        <w:gridCol w:w="21"/>
        <w:gridCol w:w="8"/>
        <w:gridCol w:w="1247"/>
        <w:gridCol w:w="21"/>
        <w:gridCol w:w="8"/>
      </w:tblGrid>
      <w:tr w:rsidR="002E7785" w:rsidRPr="00537128" w14:paraId="16370E81" w14:textId="77777777" w:rsidTr="005B3D2C">
        <w:trPr>
          <w:trHeight w:val="175"/>
        </w:trPr>
        <w:tc>
          <w:tcPr>
            <w:tcW w:w="2798" w:type="dxa"/>
            <w:tcBorders>
              <w:top w:val="nil"/>
              <w:left w:val="nil"/>
              <w:bottom w:val="nil"/>
              <w:right w:val="nil"/>
            </w:tcBorders>
            <w:shd w:val="clear" w:color="auto" w:fill="auto"/>
            <w:noWrap/>
            <w:vAlign w:val="bottom"/>
            <w:hideMark/>
          </w:tcPr>
          <w:p w14:paraId="08888D5C" w14:textId="77777777" w:rsidR="002E7785" w:rsidRPr="00537128" w:rsidRDefault="002E7785" w:rsidP="002E7785">
            <w:pPr>
              <w:spacing w:after="0" w:line="240" w:lineRule="auto"/>
              <w:rPr>
                <w:rFonts w:ascii="Calibri" w:eastAsia="Calibri" w:hAnsi="Calibri" w:cs="Times New Roman"/>
                <w:sz w:val="18"/>
                <w:szCs w:val="18"/>
                <w:lang w:val="en-US"/>
              </w:rPr>
            </w:pPr>
          </w:p>
        </w:tc>
        <w:tc>
          <w:tcPr>
            <w:tcW w:w="1120" w:type="dxa"/>
            <w:tcBorders>
              <w:top w:val="nil"/>
              <w:left w:val="nil"/>
              <w:bottom w:val="nil"/>
              <w:right w:val="nil"/>
            </w:tcBorders>
            <w:shd w:val="clear" w:color="auto" w:fill="auto"/>
            <w:vAlign w:val="center"/>
            <w:hideMark/>
          </w:tcPr>
          <w:p w14:paraId="79A3B7D8" w14:textId="77777777" w:rsidR="002E7785" w:rsidRPr="00537128" w:rsidRDefault="002E7785" w:rsidP="002E7785">
            <w:pPr>
              <w:spacing w:after="0" w:line="240" w:lineRule="auto"/>
              <w:rPr>
                <w:rFonts w:ascii="Calibri" w:eastAsia="Calibri" w:hAnsi="Calibri" w:cs="Times New Roman"/>
                <w:sz w:val="18"/>
                <w:szCs w:val="18"/>
                <w:lang w:val="en-US"/>
              </w:rPr>
            </w:pPr>
          </w:p>
        </w:tc>
        <w:tc>
          <w:tcPr>
            <w:tcW w:w="1121" w:type="dxa"/>
            <w:tcBorders>
              <w:top w:val="nil"/>
              <w:left w:val="nil"/>
              <w:bottom w:val="nil"/>
              <w:right w:val="nil"/>
            </w:tcBorders>
            <w:shd w:val="clear" w:color="auto" w:fill="auto"/>
            <w:vAlign w:val="center"/>
            <w:hideMark/>
          </w:tcPr>
          <w:p w14:paraId="18D0C6DE" w14:textId="77777777" w:rsidR="002E7785" w:rsidRPr="00537128" w:rsidRDefault="002E7785" w:rsidP="002E7785">
            <w:pPr>
              <w:spacing w:after="0" w:line="240" w:lineRule="auto"/>
              <w:jc w:val="center"/>
              <w:rPr>
                <w:rFonts w:ascii="Calibri" w:eastAsia="Calibri" w:hAnsi="Calibri" w:cs="Times New Roman"/>
                <w:sz w:val="18"/>
                <w:szCs w:val="18"/>
                <w:lang w:val="en-US"/>
              </w:rPr>
            </w:pPr>
          </w:p>
        </w:tc>
        <w:tc>
          <w:tcPr>
            <w:tcW w:w="914" w:type="dxa"/>
            <w:tcBorders>
              <w:top w:val="nil"/>
              <w:left w:val="nil"/>
              <w:bottom w:val="nil"/>
              <w:right w:val="nil"/>
            </w:tcBorders>
            <w:shd w:val="clear" w:color="auto" w:fill="auto"/>
            <w:vAlign w:val="center"/>
            <w:hideMark/>
          </w:tcPr>
          <w:p w14:paraId="1C69ED9F" w14:textId="77777777" w:rsidR="002E7785" w:rsidRPr="00537128" w:rsidRDefault="002E7785" w:rsidP="002E7785">
            <w:pPr>
              <w:spacing w:after="0" w:line="240" w:lineRule="auto"/>
              <w:jc w:val="center"/>
              <w:rPr>
                <w:rFonts w:ascii="Calibri" w:eastAsia="Calibri" w:hAnsi="Calibri" w:cs="Times New Roman"/>
                <w:sz w:val="18"/>
                <w:szCs w:val="18"/>
                <w:lang w:val="en-US"/>
              </w:rPr>
            </w:pPr>
          </w:p>
        </w:tc>
        <w:tc>
          <w:tcPr>
            <w:tcW w:w="2552" w:type="dxa"/>
            <w:gridSpan w:val="7"/>
            <w:tcBorders>
              <w:top w:val="nil"/>
              <w:left w:val="nil"/>
              <w:bottom w:val="nil"/>
              <w:right w:val="nil"/>
            </w:tcBorders>
            <w:shd w:val="clear" w:color="auto" w:fill="auto"/>
            <w:vAlign w:val="center"/>
            <w:hideMark/>
          </w:tcPr>
          <w:p w14:paraId="26CD9E5E" w14:textId="77777777" w:rsidR="002E7785" w:rsidRPr="00537128" w:rsidRDefault="002E7785" w:rsidP="002E7785">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color w:val="000000"/>
                <w:sz w:val="18"/>
                <w:szCs w:val="18"/>
                <w:lang w:val="en-US"/>
              </w:rPr>
              <w:t>Group</w:t>
            </w:r>
          </w:p>
        </w:tc>
        <w:tc>
          <w:tcPr>
            <w:tcW w:w="2552" w:type="dxa"/>
            <w:gridSpan w:val="6"/>
            <w:tcBorders>
              <w:top w:val="nil"/>
              <w:left w:val="nil"/>
              <w:bottom w:val="nil"/>
              <w:right w:val="nil"/>
            </w:tcBorders>
            <w:shd w:val="clear" w:color="auto" w:fill="auto"/>
            <w:vAlign w:val="center"/>
            <w:hideMark/>
          </w:tcPr>
          <w:p w14:paraId="39413911" w14:textId="77777777" w:rsidR="002E7785" w:rsidRPr="00537128" w:rsidRDefault="002E7785" w:rsidP="002E7785">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color w:val="000000"/>
                <w:sz w:val="18"/>
                <w:szCs w:val="18"/>
                <w:lang w:val="en-US"/>
              </w:rPr>
              <w:t>Bank</w:t>
            </w:r>
          </w:p>
        </w:tc>
      </w:tr>
      <w:tr w:rsidR="002E7785" w:rsidRPr="00537128" w14:paraId="1BC31B74" w14:textId="77777777" w:rsidTr="005B3D2C">
        <w:trPr>
          <w:gridAfter w:val="2"/>
          <w:wAfter w:w="29" w:type="dxa"/>
          <w:trHeight w:val="320"/>
        </w:trPr>
        <w:tc>
          <w:tcPr>
            <w:tcW w:w="2798" w:type="dxa"/>
            <w:tcBorders>
              <w:top w:val="nil"/>
              <w:left w:val="nil"/>
              <w:bottom w:val="nil"/>
              <w:right w:val="nil"/>
            </w:tcBorders>
            <w:shd w:val="clear" w:color="auto" w:fill="auto"/>
            <w:noWrap/>
            <w:vAlign w:val="center"/>
            <w:hideMark/>
          </w:tcPr>
          <w:p w14:paraId="59342FB9" w14:textId="77777777" w:rsidR="002E7785" w:rsidRPr="00537128" w:rsidRDefault="002E7785" w:rsidP="002E7785">
            <w:pPr>
              <w:spacing w:after="0" w:line="240" w:lineRule="auto"/>
              <w:jc w:val="right"/>
              <w:rPr>
                <w:rFonts w:ascii="Calibri" w:eastAsia="Calibri" w:hAnsi="Calibri" w:cs="Arial"/>
                <w:b/>
                <w:bCs/>
                <w:color w:val="000000"/>
                <w:sz w:val="18"/>
                <w:szCs w:val="18"/>
                <w:lang w:val="en-US"/>
              </w:rPr>
            </w:pPr>
          </w:p>
        </w:tc>
        <w:tc>
          <w:tcPr>
            <w:tcW w:w="1120" w:type="dxa"/>
            <w:tcBorders>
              <w:left w:val="nil"/>
              <w:right w:val="nil"/>
            </w:tcBorders>
            <w:shd w:val="clear" w:color="auto" w:fill="auto"/>
            <w:vAlign w:val="center"/>
            <w:hideMark/>
          </w:tcPr>
          <w:p w14:paraId="4217A346" w14:textId="77777777" w:rsidR="002E7785" w:rsidRPr="00537128" w:rsidRDefault="002E7785" w:rsidP="002E7785">
            <w:pPr>
              <w:spacing w:after="0" w:line="240" w:lineRule="auto"/>
              <w:jc w:val="center"/>
              <w:rPr>
                <w:rFonts w:ascii="Calibri" w:eastAsia="Calibri" w:hAnsi="Calibri" w:cs="Arial"/>
                <w:b/>
                <w:bCs/>
                <w:color w:val="000000"/>
                <w:sz w:val="18"/>
                <w:szCs w:val="18"/>
                <w:lang w:val="en-US"/>
              </w:rPr>
            </w:pPr>
            <w:r w:rsidRPr="00537128">
              <w:rPr>
                <w:rFonts w:ascii="Calibri" w:eastAsia="Calibri" w:hAnsi="Calibri" w:cs="Arial"/>
                <w:b/>
                <w:color w:val="000000"/>
                <w:sz w:val="18"/>
                <w:szCs w:val="18"/>
                <w:lang w:val="en-US" w:eastAsia="hr-HR"/>
              </w:rPr>
              <w:t>Date of issue</w:t>
            </w:r>
          </w:p>
        </w:tc>
        <w:tc>
          <w:tcPr>
            <w:tcW w:w="1121" w:type="dxa"/>
            <w:tcBorders>
              <w:left w:val="nil"/>
              <w:right w:val="nil"/>
            </w:tcBorders>
            <w:shd w:val="clear" w:color="auto" w:fill="auto"/>
            <w:vAlign w:val="center"/>
            <w:hideMark/>
          </w:tcPr>
          <w:p w14:paraId="1FDF90D2" w14:textId="77777777" w:rsidR="002E7785" w:rsidRPr="00537128" w:rsidRDefault="002E7785" w:rsidP="002E7785">
            <w:pPr>
              <w:spacing w:after="0" w:line="240" w:lineRule="auto"/>
              <w:jc w:val="center"/>
              <w:rPr>
                <w:rFonts w:ascii="Calibri" w:eastAsia="Calibri" w:hAnsi="Calibri" w:cs="Arial"/>
                <w:b/>
                <w:bCs/>
                <w:color w:val="000000"/>
                <w:sz w:val="18"/>
                <w:szCs w:val="18"/>
                <w:lang w:val="en-US"/>
              </w:rPr>
            </w:pPr>
            <w:r w:rsidRPr="00537128">
              <w:rPr>
                <w:rFonts w:ascii="Calibri" w:eastAsia="Calibri" w:hAnsi="Calibri" w:cs="Arial"/>
                <w:b/>
                <w:color w:val="000000"/>
                <w:sz w:val="18"/>
                <w:szCs w:val="18"/>
                <w:lang w:val="en-US" w:eastAsia="hr-HR"/>
              </w:rPr>
              <w:t>Date of maturity</w:t>
            </w:r>
          </w:p>
        </w:tc>
        <w:tc>
          <w:tcPr>
            <w:tcW w:w="914" w:type="dxa"/>
            <w:tcBorders>
              <w:left w:val="nil"/>
              <w:right w:val="nil"/>
            </w:tcBorders>
            <w:shd w:val="clear" w:color="auto" w:fill="auto"/>
            <w:vAlign w:val="center"/>
            <w:hideMark/>
          </w:tcPr>
          <w:p w14:paraId="5EC37A57" w14:textId="77777777" w:rsidR="002E7785" w:rsidRPr="00537128" w:rsidRDefault="002E7785" w:rsidP="002E7785">
            <w:pPr>
              <w:spacing w:after="0" w:line="240" w:lineRule="auto"/>
              <w:jc w:val="center"/>
              <w:rPr>
                <w:rFonts w:ascii="Calibri" w:eastAsia="Calibri" w:hAnsi="Calibri" w:cs="Arial"/>
                <w:b/>
                <w:color w:val="000000"/>
                <w:sz w:val="18"/>
                <w:szCs w:val="18"/>
                <w:lang w:val="en-US" w:eastAsia="hr-HR"/>
              </w:rPr>
            </w:pPr>
            <w:r w:rsidRPr="00537128">
              <w:rPr>
                <w:rFonts w:ascii="Calibri" w:eastAsia="Calibri" w:hAnsi="Calibri" w:cs="Arial"/>
                <w:b/>
                <w:color w:val="000000"/>
                <w:sz w:val="18"/>
                <w:szCs w:val="18"/>
                <w:lang w:val="en-US" w:eastAsia="hr-HR"/>
              </w:rPr>
              <w:t>Interest rate</w:t>
            </w:r>
          </w:p>
          <w:p w14:paraId="0C394256" w14:textId="77777777" w:rsidR="002E7785" w:rsidRPr="00537128" w:rsidRDefault="002E7785" w:rsidP="002E7785">
            <w:pPr>
              <w:spacing w:after="0" w:line="240" w:lineRule="auto"/>
              <w:jc w:val="center"/>
              <w:rPr>
                <w:rFonts w:ascii="Calibri" w:eastAsia="Calibri" w:hAnsi="Calibri" w:cs="Arial"/>
                <w:b/>
                <w:bCs/>
                <w:color w:val="000000"/>
                <w:sz w:val="18"/>
                <w:szCs w:val="18"/>
                <w:lang w:val="en-US"/>
              </w:rPr>
            </w:pPr>
            <w:r w:rsidRPr="00537128">
              <w:rPr>
                <w:rFonts w:ascii="Calibri" w:eastAsia="Calibri" w:hAnsi="Calibri" w:cs="Arial"/>
                <w:b/>
                <w:color w:val="000000"/>
                <w:sz w:val="18"/>
                <w:szCs w:val="18"/>
                <w:lang w:val="en-US" w:eastAsia="hr-HR"/>
              </w:rPr>
              <w:t>(%)</w:t>
            </w:r>
          </w:p>
        </w:tc>
        <w:tc>
          <w:tcPr>
            <w:tcW w:w="1247" w:type="dxa"/>
            <w:gridSpan w:val="2"/>
            <w:vAlign w:val="center"/>
            <w:hideMark/>
          </w:tcPr>
          <w:p w14:paraId="0BB291D8" w14:textId="5122CA9C" w:rsidR="002E7785" w:rsidRPr="00537128" w:rsidRDefault="002E7785" w:rsidP="002E7785">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sz w:val="18"/>
                <w:szCs w:val="18"/>
                <w:lang w:val="en-US"/>
              </w:rPr>
              <w:t>31 March 202</w:t>
            </w:r>
            <w:r w:rsidR="004709FB">
              <w:rPr>
                <w:rFonts w:ascii="Calibri" w:eastAsia="Calibri" w:hAnsi="Calibri" w:cs="Arial"/>
                <w:b/>
                <w:bCs/>
                <w:sz w:val="18"/>
                <w:szCs w:val="18"/>
                <w:lang w:val="en-US"/>
              </w:rPr>
              <w:t>2</w:t>
            </w:r>
          </w:p>
        </w:tc>
        <w:tc>
          <w:tcPr>
            <w:tcW w:w="1276" w:type="dxa"/>
            <w:gridSpan w:val="3"/>
            <w:vAlign w:val="center"/>
            <w:hideMark/>
          </w:tcPr>
          <w:p w14:paraId="5C91D293" w14:textId="47E5753D" w:rsidR="002E7785" w:rsidRPr="00537128" w:rsidRDefault="002E7785" w:rsidP="002E7785">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sz w:val="18"/>
                <w:szCs w:val="18"/>
                <w:lang w:val="en-US"/>
              </w:rPr>
              <w:t>31 December 202</w:t>
            </w:r>
            <w:r w:rsidR="002C062E">
              <w:rPr>
                <w:rFonts w:ascii="Calibri" w:eastAsia="Calibri" w:hAnsi="Calibri" w:cs="Arial"/>
                <w:b/>
                <w:bCs/>
                <w:sz w:val="18"/>
                <w:szCs w:val="18"/>
                <w:lang w:val="en-US"/>
              </w:rPr>
              <w:t>1</w:t>
            </w:r>
          </w:p>
        </w:tc>
        <w:tc>
          <w:tcPr>
            <w:tcW w:w="1276" w:type="dxa"/>
            <w:gridSpan w:val="3"/>
            <w:vAlign w:val="center"/>
            <w:hideMark/>
          </w:tcPr>
          <w:p w14:paraId="614839B3" w14:textId="36DD559E" w:rsidR="002E7785" w:rsidRPr="00537128" w:rsidRDefault="002E7785" w:rsidP="002E7785">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sz w:val="18"/>
                <w:szCs w:val="18"/>
                <w:lang w:val="en-US"/>
              </w:rPr>
              <w:t>31 March 202</w:t>
            </w:r>
            <w:r w:rsidR="002C062E">
              <w:rPr>
                <w:rFonts w:ascii="Calibri" w:eastAsia="Calibri" w:hAnsi="Calibri" w:cs="Arial"/>
                <w:b/>
                <w:bCs/>
                <w:sz w:val="18"/>
                <w:szCs w:val="18"/>
                <w:lang w:val="en-US"/>
              </w:rPr>
              <w:t>2</w:t>
            </w:r>
          </w:p>
        </w:tc>
        <w:tc>
          <w:tcPr>
            <w:tcW w:w="1276" w:type="dxa"/>
            <w:gridSpan w:val="3"/>
            <w:vAlign w:val="center"/>
            <w:hideMark/>
          </w:tcPr>
          <w:p w14:paraId="2ADA823D" w14:textId="5DC33817" w:rsidR="002E7785" w:rsidRPr="00537128" w:rsidRDefault="002E7785" w:rsidP="002E7785">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sz w:val="18"/>
                <w:szCs w:val="18"/>
                <w:lang w:val="en-US"/>
              </w:rPr>
              <w:t>31 December 202</w:t>
            </w:r>
            <w:r w:rsidR="002C062E">
              <w:rPr>
                <w:rFonts w:ascii="Calibri" w:eastAsia="Calibri" w:hAnsi="Calibri" w:cs="Arial"/>
                <w:b/>
                <w:bCs/>
                <w:sz w:val="18"/>
                <w:szCs w:val="18"/>
                <w:lang w:val="en-US"/>
              </w:rPr>
              <w:t>1</w:t>
            </w:r>
          </w:p>
        </w:tc>
      </w:tr>
      <w:tr w:rsidR="002E7785" w:rsidRPr="00537128" w14:paraId="7E903EDA" w14:textId="77777777" w:rsidTr="005B3D2C">
        <w:trPr>
          <w:gridAfter w:val="2"/>
          <w:wAfter w:w="29" w:type="dxa"/>
          <w:trHeight w:val="261"/>
        </w:trPr>
        <w:tc>
          <w:tcPr>
            <w:tcW w:w="2798" w:type="dxa"/>
            <w:tcBorders>
              <w:top w:val="nil"/>
              <w:left w:val="nil"/>
              <w:bottom w:val="nil"/>
              <w:right w:val="nil"/>
            </w:tcBorders>
            <w:shd w:val="clear" w:color="auto" w:fill="auto"/>
            <w:noWrap/>
            <w:vAlign w:val="center"/>
          </w:tcPr>
          <w:p w14:paraId="2700FAF2" w14:textId="77777777" w:rsidR="002E7785" w:rsidRPr="00537128" w:rsidRDefault="002E7785" w:rsidP="002E7785">
            <w:pPr>
              <w:spacing w:after="0" w:line="240" w:lineRule="auto"/>
              <w:jc w:val="right"/>
              <w:rPr>
                <w:rFonts w:ascii="Calibri" w:eastAsia="Calibri" w:hAnsi="Calibri" w:cs="Arial"/>
                <w:b/>
                <w:bCs/>
                <w:color w:val="000000"/>
                <w:sz w:val="18"/>
                <w:szCs w:val="18"/>
                <w:lang w:val="en-US"/>
              </w:rPr>
            </w:pPr>
          </w:p>
        </w:tc>
        <w:tc>
          <w:tcPr>
            <w:tcW w:w="1120" w:type="dxa"/>
            <w:tcBorders>
              <w:top w:val="nil"/>
              <w:left w:val="nil"/>
              <w:bottom w:val="nil"/>
              <w:right w:val="nil"/>
            </w:tcBorders>
            <w:shd w:val="clear" w:color="auto" w:fill="auto"/>
            <w:vAlign w:val="center"/>
          </w:tcPr>
          <w:p w14:paraId="6BA7EC87" w14:textId="77777777" w:rsidR="002E7785" w:rsidRPr="00537128" w:rsidRDefault="002E7785" w:rsidP="002E7785">
            <w:pPr>
              <w:spacing w:after="0" w:line="240" w:lineRule="auto"/>
              <w:jc w:val="center"/>
              <w:rPr>
                <w:rFonts w:ascii="Calibri" w:eastAsia="Calibri" w:hAnsi="Calibri" w:cs="Arial"/>
                <w:b/>
                <w:bCs/>
                <w:color w:val="000000"/>
                <w:sz w:val="18"/>
                <w:szCs w:val="18"/>
                <w:lang w:val="en-US"/>
              </w:rPr>
            </w:pPr>
          </w:p>
        </w:tc>
        <w:tc>
          <w:tcPr>
            <w:tcW w:w="1121" w:type="dxa"/>
            <w:tcBorders>
              <w:top w:val="nil"/>
              <w:left w:val="nil"/>
              <w:bottom w:val="nil"/>
              <w:right w:val="nil"/>
            </w:tcBorders>
            <w:shd w:val="clear" w:color="auto" w:fill="auto"/>
            <w:vAlign w:val="center"/>
          </w:tcPr>
          <w:p w14:paraId="2429F659" w14:textId="77777777" w:rsidR="002E7785" w:rsidRPr="00537128" w:rsidRDefault="002E7785" w:rsidP="002E7785">
            <w:pPr>
              <w:spacing w:after="0" w:line="240" w:lineRule="auto"/>
              <w:jc w:val="center"/>
              <w:rPr>
                <w:rFonts w:ascii="Calibri" w:eastAsia="Calibri" w:hAnsi="Calibri" w:cs="Arial"/>
                <w:b/>
                <w:bCs/>
                <w:color w:val="000000"/>
                <w:sz w:val="18"/>
                <w:szCs w:val="18"/>
                <w:lang w:val="en-US"/>
              </w:rPr>
            </w:pPr>
          </w:p>
        </w:tc>
        <w:tc>
          <w:tcPr>
            <w:tcW w:w="914" w:type="dxa"/>
            <w:tcBorders>
              <w:top w:val="nil"/>
              <w:left w:val="nil"/>
              <w:bottom w:val="nil"/>
              <w:right w:val="nil"/>
            </w:tcBorders>
            <w:shd w:val="clear" w:color="auto" w:fill="auto"/>
            <w:vAlign w:val="center"/>
          </w:tcPr>
          <w:p w14:paraId="78DC7F2F" w14:textId="77777777" w:rsidR="002E7785" w:rsidRPr="00537128" w:rsidRDefault="002E7785" w:rsidP="002E7785">
            <w:pPr>
              <w:spacing w:after="0" w:line="240" w:lineRule="auto"/>
              <w:jc w:val="center"/>
              <w:rPr>
                <w:rFonts w:ascii="Calibri" w:eastAsia="Calibri" w:hAnsi="Calibri" w:cs="Arial"/>
                <w:b/>
                <w:bCs/>
                <w:color w:val="000000"/>
                <w:sz w:val="18"/>
                <w:szCs w:val="18"/>
                <w:lang w:val="en-US"/>
              </w:rPr>
            </w:pPr>
          </w:p>
        </w:tc>
        <w:tc>
          <w:tcPr>
            <w:tcW w:w="1247" w:type="dxa"/>
            <w:gridSpan w:val="2"/>
            <w:shd w:val="clear" w:color="auto" w:fill="auto"/>
          </w:tcPr>
          <w:p w14:paraId="3E081986" w14:textId="77777777" w:rsidR="002E7785" w:rsidRPr="00537128" w:rsidRDefault="002E7785" w:rsidP="002E7785">
            <w:pPr>
              <w:spacing w:after="0" w:line="240" w:lineRule="auto"/>
              <w:jc w:val="right"/>
              <w:rPr>
                <w:rFonts w:ascii="Calibri" w:eastAsia="Calibri" w:hAnsi="Calibri" w:cs="Arial"/>
                <w:b/>
                <w:sz w:val="18"/>
                <w:szCs w:val="18"/>
                <w:lang w:val="en-US"/>
              </w:rPr>
            </w:pPr>
            <w:r w:rsidRPr="00537128">
              <w:rPr>
                <w:rFonts w:ascii="Calibri" w:eastAsia="Calibri" w:hAnsi="Calibri" w:cs="Arial"/>
                <w:b/>
                <w:bCs/>
                <w:sz w:val="18"/>
                <w:szCs w:val="18"/>
                <w:lang w:val="en-US"/>
              </w:rPr>
              <w:t>HRK ‘000</w:t>
            </w:r>
          </w:p>
        </w:tc>
        <w:tc>
          <w:tcPr>
            <w:tcW w:w="1276" w:type="dxa"/>
            <w:gridSpan w:val="3"/>
            <w:shd w:val="clear" w:color="auto" w:fill="auto"/>
          </w:tcPr>
          <w:p w14:paraId="57C7EF70" w14:textId="05C490E4" w:rsidR="002E7785" w:rsidRPr="00537128" w:rsidRDefault="002E7785" w:rsidP="002E7785">
            <w:pPr>
              <w:spacing w:after="0" w:line="240" w:lineRule="auto"/>
              <w:jc w:val="right"/>
              <w:rPr>
                <w:rFonts w:ascii="Calibri" w:eastAsia="Calibri" w:hAnsi="Calibri" w:cs="Arial"/>
                <w:b/>
                <w:sz w:val="18"/>
                <w:szCs w:val="18"/>
                <w:lang w:val="en-US"/>
              </w:rPr>
            </w:pPr>
            <w:r w:rsidRPr="00537128">
              <w:rPr>
                <w:rFonts w:ascii="Calibri" w:eastAsia="Calibri" w:hAnsi="Calibri" w:cs="Arial"/>
                <w:b/>
                <w:bCs/>
                <w:sz w:val="18"/>
                <w:szCs w:val="18"/>
                <w:lang w:val="en-US"/>
              </w:rPr>
              <w:t>HRK ‘000</w:t>
            </w:r>
          </w:p>
        </w:tc>
        <w:tc>
          <w:tcPr>
            <w:tcW w:w="1276" w:type="dxa"/>
            <w:gridSpan w:val="3"/>
            <w:shd w:val="clear" w:color="auto" w:fill="auto"/>
          </w:tcPr>
          <w:p w14:paraId="2C3979A6" w14:textId="035F730A" w:rsidR="002E7785" w:rsidRPr="00537128" w:rsidRDefault="002E7785" w:rsidP="002E7785">
            <w:pPr>
              <w:spacing w:after="0" w:line="240" w:lineRule="auto"/>
              <w:jc w:val="right"/>
              <w:rPr>
                <w:rFonts w:ascii="Calibri" w:eastAsia="Calibri" w:hAnsi="Calibri" w:cs="Arial"/>
                <w:b/>
                <w:sz w:val="18"/>
                <w:szCs w:val="18"/>
                <w:lang w:val="en-US"/>
              </w:rPr>
            </w:pPr>
            <w:r w:rsidRPr="00537128">
              <w:rPr>
                <w:rFonts w:ascii="Calibri" w:eastAsia="Calibri" w:hAnsi="Calibri" w:cs="Arial"/>
                <w:b/>
                <w:bCs/>
                <w:sz w:val="18"/>
                <w:szCs w:val="18"/>
                <w:lang w:val="en-US"/>
              </w:rPr>
              <w:t>HRK ‘000</w:t>
            </w:r>
          </w:p>
        </w:tc>
        <w:tc>
          <w:tcPr>
            <w:tcW w:w="1276" w:type="dxa"/>
            <w:gridSpan w:val="3"/>
            <w:shd w:val="clear" w:color="auto" w:fill="auto"/>
          </w:tcPr>
          <w:p w14:paraId="33FCA69A" w14:textId="782A98BE" w:rsidR="002E7785" w:rsidRPr="00537128" w:rsidRDefault="002E7785" w:rsidP="002E7785">
            <w:pPr>
              <w:spacing w:after="0" w:line="240" w:lineRule="auto"/>
              <w:jc w:val="right"/>
              <w:rPr>
                <w:rFonts w:ascii="Calibri" w:eastAsia="Calibri" w:hAnsi="Calibri" w:cs="Arial"/>
                <w:b/>
                <w:sz w:val="18"/>
                <w:szCs w:val="18"/>
                <w:lang w:val="en-US"/>
              </w:rPr>
            </w:pPr>
            <w:r w:rsidRPr="00537128">
              <w:rPr>
                <w:rFonts w:ascii="Calibri" w:eastAsia="Calibri" w:hAnsi="Calibri" w:cs="Arial"/>
                <w:b/>
                <w:sz w:val="18"/>
                <w:szCs w:val="18"/>
                <w:lang w:val="en-US"/>
              </w:rPr>
              <w:t>HRK ‘000</w:t>
            </w:r>
          </w:p>
        </w:tc>
      </w:tr>
      <w:tr w:rsidR="002E7785" w:rsidRPr="00537128" w14:paraId="036EC69C" w14:textId="77777777" w:rsidTr="005B3D2C">
        <w:trPr>
          <w:gridAfter w:val="2"/>
          <w:wAfter w:w="29" w:type="dxa"/>
          <w:trHeight w:val="175"/>
        </w:trPr>
        <w:tc>
          <w:tcPr>
            <w:tcW w:w="3918" w:type="dxa"/>
            <w:gridSpan w:val="2"/>
            <w:tcBorders>
              <w:top w:val="nil"/>
              <w:left w:val="nil"/>
              <w:bottom w:val="nil"/>
              <w:right w:val="nil"/>
            </w:tcBorders>
            <w:shd w:val="clear" w:color="auto" w:fill="auto"/>
            <w:noWrap/>
            <w:vAlign w:val="bottom"/>
            <w:hideMark/>
          </w:tcPr>
          <w:p w14:paraId="7EC83A63" w14:textId="77777777" w:rsidR="002E7785" w:rsidRPr="00537128" w:rsidRDefault="002E7785" w:rsidP="002E7785">
            <w:pPr>
              <w:spacing w:after="0" w:line="240" w:lineRule="auto"/>
              <w:jc w:val="both"/>
              <w:rPr>
                <w:rFonts w:ascii="Calibri" w:eastAsia="Calibri" w:hAnsi="Calibri" w:cs="Arial"/>
                <w:b/>
                <w:color w:val="000000"/>
                <w:sz w:val="18"/>
                <w:szCs w:val="18"/>
                <w:lang w:val="en-US"/>
              </w:rPr>
            </w:pPr>
            <w:r w:rsidRPr="00537128">
              <w:rPr>
                <w:rFonts w:ascii="Calibri" w:eastAsia="Calibri" w:hAnsi="Calibri" w:cs="Arial"/>
                <w:b/>
                <w:bCs/>
                <w:sz w:val="18"/>
                <w:szCs w:val="18"/>
                <w:lang w:val="en-US" w:eastAsia="hr-HR"/>
              </w:rPr>
              <w:t>Listed debt instruments:</w:t>
            </w:r>
          </w:p>
        </w:tc>
        <w:tc>
          <w:tcPr>
            <w:tcW w:w="1121" w:type="dxa"/>
            <w:tcBorders>
              <w:top w:val="nil"/>
              <w:left w:val="nil"/>
              <w:bottom w:val="nil"/>
              <w:right w:val="nil"/>
            </w:tcBorders>
            <w:shd w:val="clear" w:color="auto" w:fill="auto"/>
            <w:noWrap/>
            <w:vAlign w:val="center"/>
            <w:hideMark/>
          </w:tcPr>
          <w:p w14:paraId="6274D848" w14:textId="77777777" w:rsidR="002E7785" w:rsidRPr="00537128" w:rsidRDefault="002E7785" w:rsidP="002E7785">
            <w:pPr>
              <w:spacing w:after="0" w:line="240" w:lineRule="auto"/>
              <w:jc w:val="center"/>
              <w:rPr>
                <w:rFonts w:ascii="Calibri" w:eastAsia="Calibri" w:hAnsi="Calibri" w:cs="Times New Roman"/>
                <w:sz w:val="18"/>
                <w:szCs w:val="18"/>
                <w:lang w:val="en-US"/>
              </w:rPr>
            </w:pPr>
          </w:p>
        </w:tc>
        <w:tc>
          <w:tcPr>
            <w:tcW w:w="914" w:type="dxa"/>
            <w:tcBorders>
              <w:top w:val="nil"/>
              <w:left w:val="nil"/>
              <w:bottom w:val="nil"/>
              <w:right w:val="nil"/>
            </w:tcBorders>
            <w:shd w:val="clear" w:color="auto" w:fill="auto"/>
            <w:vAlign w:val="center"/>
            <w:hideMark/>
          </w:tcPr>
          <w:p w14:paraId="379A26C9"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c>
          <w:tcPr>
            <w:tcW w:w="1276" w:type="dxa"/>
            <w:gridSpan w:val="3"/>
            <w:tcBorders>
              <w:top w:val="nil"/>
              <w:left w:val="nil"/>
              <w:bottom w:val="nil"/>
              <w:right w:val="nil"/>
            </w:tcBorders>
            <w:shd w:val="clear" w:color="auto" w:fill="auto"/>
            <w:vAlign w:val="center"/>
            <w:hideMark/>
          </w:tcPr>
          <w:p w14:paraId="2FCEC4B0"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c>
          <w:tcPr>
            <w:tcW w:w="1247" w:type="dxa"/>
            <w:gridSpan w:val="2"/>
            <w:tcBorders>
              <w:top w:val="nil"/>
              <w:left w:val="nil"/>
              <w:bottom w:val="nil"/>
              <w:right w:val="nil"/>
            </w:tcBorders>
            <w:shd w:val="clear" w:color="auto" w:fill="auto"/>
            <w:vAlign w:val="center"/>
            <w:hideMark/>
          </w:tcPr>
          <w:p w14:paraId="2A5C5B59"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c>
          <w:tcPr>
            <w:tcW w:w="1276" w:type="dxa"/>
            <w:gridSpan w:val="3"/>
            <w:tcBorders>
              <w:top w:val="nil"/>
              <w:left w:val="nil"/>
              <w:bottom w:val="nil"/>
              <w:right w:val="nil"/>
            </w:tcBorders>
            <w:shd w:val="clear" w:color="auto" w:fill="auto"/>
            <w:vAlign w:val="center"/>
            <w:hideMark/>
          </w:tcPr>
          <w:p w14:paraId="34291CC8"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c>
          <w:tcPr>
            <w:tcW w:w="1276" w:type="dxa"/>
            <w:gridSpan w:val="3"/>
            <w:tcBorders>
              <w:top w:val="nil"/>
              <w:left w:val="nil"/>
              <w:bottom w:val="nil"/>
              <w:right w:val="nil"/>
            </w:tcBorders>
            <w:shd w:val="clear" w:color="auto" w:fill="auto"/>
            <w:vAlign w:val="center"/>
            <w:hideMark/>
          </w:tcPr>
          <w:p w14:paraId="2841E805"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r>
      <w:tr w:rsidR="002E7785" w:rsidRPr="00537128" w14:paraId="03DACBF6" w14:textId="77777777" w:rsidTr="005B3D2C">
        <w:trPr>
          <w:gridAfter w:val="2"/>
          <w:wAfter w:w="29" w:type="dxa"/>
          <w:trHeight w:val="175"/>
        </w:trPr>
        <w:tc>
          <w:tcPr>
            <w:tcW w:w="3918" w:type="dxa"/>
            <w:gridSpan w:val="2"/>
            <w:tcBorders>
              <w:top w:val="nil"/>
              <w:left w:val="nil"/>
              <w:bottom w:val="nil"/>
              <w:right w:val="nil"/>
            </w:tcBorders>
            <w:shd w:val="clear" w:color="auto" w:fill="auto"/>
            <w:noWrap/>
            <w:vAlign w:val="bottom"/>
          </w:tcPr>
          <w:p w14:paraId="4BC60A64" w14:textId="77777777" w:rsidR="002E7785" w:rsidRPr="00537128" w:rsidRDefault="002E7785" w:rsidP="002E7785">
            <w:pPr>
              <w:spacing w:after="0" w:line="240" w:lineRule="auto"/>
              <w:jc w:val="both"/>
              <w:rPr>
                <w:rFonts w:ascii="Calibri" w:eastAsia="Calibri" w:hAnsi="Calibri" w:cs="Arial"/>
                <w:bCs/>
                <w:sz w:val="18"/>
                <w:szCs w:val="18"/>
                <w:lang w:val="en-US" w:eastAsia="hr-HR"/>
              </w:rPr>
            </w:pPr>
            <w:r w:rsidRPr="00537128">
              <w:rPr>
                <w:rFonts w:ascii="Calibri" w:eastAsia="Calibri" w:hAnsi="Calibri" w:cs="Arial"/>
                <w:bCs/>
                <w:sz w:val="18"/>
                <w:szCs w:val="18"/>
                <w:lang w:val="en-US" w:eastAsia="hr-HR"/>
              </w:rPr>
              <w:t>Debt instruments:</w:t>
            </w:r>
          </w:p>
        </w:tc>
        <w:tc>
          <w:tcPr>
            <w:tcW w:w="1121" w:type="dxa"/>
            <w:tcBorders>
              <w:top w:val="nil"/>
              <w:left w:val="nil"/>
              <w:bottom w:val="nil"/>
              <w:right w:val="nil"/>
            </w:tcBorders>
            <w:shd w:val="clear" w:color="auto" w:fill="auto"/>
            <w:noWrap/>
            <w:vAlign w:val="bottom"/>
          </w:tcPr>
          <w:p w14:paraId="07896F41" w14:textId="77777777" w:rsidR="002E7785" w:rsidRPr="00537128" w:rsidRDefault="002E7785" w:rsidP="002E7785">
            <w:pPr>
              <w:spacing w:after="0" w:line="240" w:lineRule="auto"/>
              <w:jc w:val="center"/>
              <w:rPr>
                <w:rFonts w:ascii="Calibri" w:eastAsia="Calibri" w:hAnsi="Calibri" w:cs="Times New Roman"/>
                <w:sz w:val="18"/>
                <w:szCs w:val="18"/>
                <w:lang w:val="en-US"/>
              </w:rPr>
            </w:pPr>
          </w:p>
        </w:tc>
        <w:tc>
          <w:tcPr>
            <w:tcW w:w="914" w:type="dxa"/>
            <w:tcBorders>
              <w:top w:val="nil"/>
              <w:left w:val="nil"/>
              <w:bottom w:val="nil"/>
              <w:right w:val="nil"/>
            </w:tcBorders>
            <w:shd w:val="clear" w:color="auto" w:fill="auto"/>
            <w:vAlign w:val="bottom"/>
          </w:tcPr>
          <w:p w14:paraId="3E7DCAAF"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c>
          <w:tcPr>
            <w:tcW w:w="1276" w:type="dxa"/>
            <w:gridSpan w:val="3"/>
            <w:tcBorders>
              <w:top w:val="nil"/>
              <w:left w:val="nil"/>
              <w:bottom w:val="nil"/>
              <w:right w:val="nil"/>
            </w:tcBorders>
            <w:shd w:val="clear" w:color="auto" w:fill="auto"/>
            <w:vAlign w:val="bottom"/>
          </w:tcPr>
          <w:p w14:paraId="7AD56CA5"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c>
          <w:tcPr>
            <w:tcW w:w="1247" w:type="dxa"/>
            <w:gridSpan w:val="2"/>
            <w:tcBorders>
              <w:top w:val="nil"/>
              <w:left w:val="nil"/>
              <w:bottom w:val="nil"/>
              <w:right w:val="nil"/>
            </w:tcBorders>
            <w:shd w:val="clear" w:color="auto" w:fill="auto"/>
            <w:vAlign w:val="bottom"/>
          </w:tcPr>
          <w:p w14:paraId="68B5E44F"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c>
          <w:tcPr>
            <w:tcW w:w="1276" w:type="dxa"/>
            <w:gridSpan w:val="3"/>
            <w:tcBorders>
              <w:top w:val="nil"/>
              <w:left w:val="nil"/>
              <w:bottom w:val="nil"/>
              <w:right w:val="nil"/>
            </w:tcBorders>
            <w:shd w:val="clear" w:color="auto" w:fill="auto"/>
            <w:vAlign w:val="bottom"/>
          </w:tcPr>
          <w:p w14:paraId="250499F8"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c>
          <w:tcPr>
            <w:tcW w:w="1276" w:type="dxa"/>
            <w:gridSpan w:val="3"/>
            <w:tcBorders>
              <w:top w:val="nil"/>
              <w:left w:val="nil"/>
              <w:bottom w:val="nil"/>
              <w:right w:val="nil"/>
            </w:tcBorders>
            <w:shd w:val="clear" w:color="auto" w:fill="auto"/>
            <w:vAlign w:val="bottom"/>
          </w:tcPr>
          <w:p w14:paraId="3C938ED1"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r>
      <w:tr w:rsidR="002E7785" w:rsidRPr="00537128" w14:paraId="59A2438B" w14:textId="77777777" w:rsidTr="005B3D2C">
        <w:trPr>
          <w:gridAfter w:val="2"/>
          <w:wAfter w:w="29" w:type="dxa"/>
          <w:trHeight w:val="207"/>
        </w:trPr>
        <w:tc>
          <w:tcPr>
            <w:tcW w:w="5039" w:type="dxa"/>
            <w:gridSpan w:val="3"/>
            <w:tcBorders>
              <w:top w:val="nil"/>
              <w:left w:val="nil"/>
              <w:bottom w:val="nil"/>
              <w:right w:val="nil"/>
            </w:tcBorders>
            <w:shd w:val="clear" w:color="auto" w:fill="auto"/>
            <w:noWrap/>
            <w:vAlign w:val="bottom"/>
            <w:hideMark/>
          </w:tcPr>
          <w:p w14:paraId="7BCF3C49" w14:textId="1A916BA0" w:rsidR="002E7785" w:rsidRPr="00537128" w:rsidRDefault="002E7785" w:rsidP="002E7785">
            <w:pPr>
              <w:spacing w:after="0" w:line="240" w:lineRule="auto"/>
              <w:jc w:val="both"/>
              <w:rPr>
                <w:rFonts w:ascii="Calibri" w:eastAsia="Calibri" w:hAnsi="Calibri" w:cs="Arial"/>
                <w:i/>
                <w:iCs/>
                <w:color w:val="000000"/>
                <w:sz w:val="18"/>
                <w:szCs w:val="18"/>
                <w:lang w:val="en-US"/>
              </w:rPr>
            </w:pPr>
            <w:r w:rsidRPr="00537128">
              <w:rPr>
                <w:rFonts w:ascii="Calibri" w:eastAsia="Calibri" w:hAnsi="Calibri" w:cs="Arial"/>
                <w:i/>
                <w:color w:val="000000"/>
                <w:sz w:val="18"/>
                <w:szCs w:val="18"/>
                <w:lang w:val="en-US" w:eastAsia="hr-HR"/>
              </w:rPr>
              <w:t>Bonds of the Republic of Croatia with a currency clause:</w:t>
            </w:r>
          </w:p>
        </w:tc>
        <w:tc>
          <w:tcPr>
            <w:tcW w:w="914" w:type="dxa"/>
            <w:tcBorders>
              <w:top w:val="nil"/>
              <w:left w:val="nil"/>
              <w:bottom w:val="nil"/>
              <w:right w:val="nil"/>
            </w:tcBorders>
            <w:shd w:val="clear" w:color="auto" w:fill="auto"/>
            <w:noWrap/>
            <w:vAlign w:val="bottom"/>
            <w:hideMark/>
          </w:tcPr>
          <w:p w14:paraId="5848A4E5" w14:textId="77777777" w:rsidR="002E7785" w:rsidRPr="00537128" w:rsidRDefault="002E7785" w:rsidP="002E7785">
            <w:pPr>
              <w:spacing w:after="0" w:line="240" w:lineRule="auto"/>
              <w:jc w:val="both"/>
              <w:rPr>
                <w:rFonts w:ascii="Calibri" w:eastAsia="Calibri" w:hAnsi="Calibri" w:cs="Arial"/>
                <w:i/>
                <w:iCs/>
                <w:color w:val="000000"/>
                <w:sz w:val="18"/>
                <w:szCs w:val="18"/>
                <w:lang w:val="en-US"/>
              </w:rPr>
            </w:pPr>
          </w:p>
        </w:tc>
        <w:tc>
          <w:tcPr>
            <w:tcW w:w="1276" w:type="dxa"/>
            <w:gridSpan w:val="3"/>
            <w:tcBorders>
              <w:top w:val="nil"/>
              <w:left w:val="nil"/>
              <w:bottom w:val="nil"/>
              <w:right w:val="nil"/>
            </w:tcBorders>
            <w:shd w:val="clear" w:color="auto" w:fill="auto"/>
            <w:vAlign w:val="bottom"/>
            <w:hideMark/>
          </w:tcPr>
          <w:p w14:paraId="75EAC014" w14:textId="77777777" w:rsidR="002E7785" w:rsidRPr="00537128" w:rsidRDefault="002E7785" w:rsidP="002E7785">
            <w:pPr>
              <w:spacing w:after="0" w:line="240" w:lineRule="auto"/>
              <w:jc w:val="right"/>
              <w:rPr>
                <w:rFonts w:ascii="Calibri" w:eastAsia="Calibri" w:hAnsi="Calibri" w:cs="Times New Roman"/>
                <w:sz w:val="18"/>
                <w:szCs w:val="18"/>
                <w:lang w:val="en-US"/>
              </w:rPr>
            </w:pPr>
          </w:p>
        </w:tc>
        <w:tc>
          <w:tcPr>
            <w:tcW w:w="1276" w:type="dxa"/>
            <w:gridSpan w:val="4"/>
            <w:tcBorders>
              <w:top w:val="nil"/>
              <w:left w:val="nil"/>
              <w:bottom w:val="nil"/>
              <w:right w:val="nil"/>
            </w:tcBorders>
            <w:shd w:val="clear" w:color="auto" w:fill="auto"/>
            <w:vAlign w:val="bottom"/>
            <w:hideMark/>
          </w:tcPr>
          <w:p w14:paraId="49D7A5C4" w14:textId="77777777" w:rsidR="002E7785" w:rsidRPr="00537128" w:rsidRDefault="002E7785" w:rsidP="002E7785">
            <w:pPr>
              <w:spacing w:after="0" w:line="240" w:lineRule="auto"/>
              <w:jc w:val="right"/>
              <w:rPr>
                <w:rFonts w:ascii="Calibri" w:eastAsia="Calibri" w:hAnsi="Calibri" w:cs="Times New Roman"/>
                <w:sz w:val="18"/>
                <w:szCs w:val="18"/>
                <w:lang w:val="en-US"/>
              </w:rPr>
            </w:pPr>
          </w:p>
        </w:tc>
        <w:tc>
          <w:tcPr>
            <w:tcW w:w="1247" w:type="dxa"/>
            <w:tcBorders>
              <w:top w:val="nil"/>
              <w:left w:val="nil"/>
              <w:bottom w:val="nil"/>
              <w:right w:val="nil"/>
            </w:tcBorders>
            <w:shd w:val="clear" w:color="auto" w:fill="auto"/>
            <w:noWrap/>
            <w:vAlign w:val="bottom"/>
            <w:hideMark/>
          </w:tcPr>
          <w:p w14:paraId="70FF3C9F" w14:textId="77777777" w:rsidR="002E7785" w:rsidRPr="00537128" w:rsidRDefault="002E7785" w:rsidP="002E7785">
            <w:pPr>
              <w:spacing w:after="0" w:line="240" w:lineRule="auto"/>
              <w:jc w:val="right"/>
              <w:rPr>
                <w:rFonts w:ascii="Calibri" w:eastAsia="Calibri" w:hAnsi="Calibri" w:cs="Times New Roman"/>
                <w:sz w:val="18"/>
                <w:szCs w:val="18"/>
                <w:lang w:val="en-US"/>
              </w:rPr>
            </w:pPr>
          </w:p>
        </w:tc>
        <w:tc>
          <w:tcPr>
            <w:tcW w:w="1276" w:type="dxa"/>
            <w:gridSpan w:val="3"/>
            <w:tcBorders>
              <w:top w:val="nil"/>
              <w:left w:val="nil"/>
              <w:bottom w:val="nil"/>
              <w:right w:val="nil"/>
            </w:tcBorders>
            <w:shd w:val="clear" w:color="auto" w:fill="auto"/>
            <w:vAlign w:val="bottom"/>
            <w:hideMark/>
          </w:tcPr>
          <w:p w14:paraId="0AC59999" w14:textId="77777777" w:rsidR="002E7785" w:rsidRPr="00537128" w:rsidRDefault="002E7785" w:rsidP="002E7785">
            <w:pPr>
              <w:spacing w:after="0" w:line="240" w:lineRule="auto"/>
              <w:jc w:val="right"/>
              <w:rPr>
                <w:rFonts w:ascii="Calibri" w:eastAsia="Calibri" w:hAnsi="Calibri" w:cs="Times New Roman"/>
                <w:sz w:val="18"/>
                <w:szCs w:val="18"/>
                <w:lang w:val="en-US"/>
              </w:rPr>
            </w:pPr>
          </w:p>
        </w:tc>
      </w:tr>
      <w:tr w:rsidR="004A6905" w:rsidRPr="00537128" w14:paraId="22BB7206" w14:textId="77777777" w:rsidTr="005B3D2C">
        <w:trPr>
          <w:gridAfter w:val="2"/>
          <w:wAfter w:w="29" w:type="dxa"/>
          <w:trHeight w:val="175"/>
        </w:trPr>
        <w:tc>
          <w:tcPr>
            <w:tcW w:w="2798" w:type="dxa"/>
            <w:tcBorders>
              <w:top w:val="nil"/>
              <w:left w:val="nil"/>
              <w:bottom w:val="nil"/>
              <w:right w:val="nil"/>
            </w:tcBorders>
            <w:shd w:val="clear" w:color="auto" w:fill="auto"/>
            <w:noWrap/>
            <w:vAlign w:val="bottom"/>
            <w:hideMark/>
          </w:tcPr>
          <w:p w14:paraId="410617D8" w14:textId="77777777" w:rsidR="004A6905" w:rsidRPr="00537128" w:rsidRDefault="004A6905" w:rsidP="004A6905">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RHMF-O-227E</w:t>
            </w:r>
          </w:p>
        </w:tc>
        <w:tc>
          <w:tcPr>
            <w:tcW w:w="1120" w:type="dxa"/>
            <w:tcBorders>
              <w:top w:val="nil"/>
              <w:left w:val="nil"/>
              <w:bottom w:val="nil"/>
              <w:right w:val="nil"/>
            </w:tcBorders>
            <w:shd w:val="clear" w:color="auto" w:fill="auto"/>
            <w:noWrap/>
            <w:vAlign w:val="bottom"/>
            <w:hideMark/>
          </w:tcPr>
          <w:p w14:paraId="21CD85F9" w14:textId="77777777" w:rsidR="004A6905" w:rsidRPr="00537128" w:rsidRDefault="004A6905" w:rsidP="004A6905">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22.7.2011.</w:t>
            </w:r>
          </w:p>
        </w:tc>
        <w:tc>
          <w:tcPr>
            <w:tcW w:w="1121" w:type="dxa"/>
            <w:tcBorders>
              <w:top w:val="nil"/>
              <w:left w:val="nil"/>
              <w:bottom w:val="nil"/>
              <w:right w:val="nil"/>
            </w:tcBorders>
            <w:shd w:val="clear" w:color="auto" w:fill="auto"/>
            <w:noWrap/>
            <w:vAlign w:val="bottom"/>
            <w:hideMark/>
          </w:tcPr>
          <w:p w14:paraId="64996664" w14:textId="77777777" w:rsidR="004A6905" w:rsidRPr="00537128" w:rsidRDefault="004A6905" w:rsidP="004A6905">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22.7.2022.</w:t>
            </w:r>
          </w:p>
        </w:tc>
        <w:tc>
          <w:tcPr>
            <w:tcW w:w="914" w:type="dxa"/>
            <w:tcBorders>
              <w:top w:val="nil"/>
              <w:left w:val="nil"/>
              <w:bottom w:val="nil"/>
              <w:right w:val="nil"/>
            </w:tcBorders>
            <w:shd w:val="clear" w:color="auto" w:fill="auto"/>
            <w:noWrap/>
            <w:vAlign w:val="bottom"/>
            <w:hideMark/>
          </w:tcPr>
          <w:p w14:paraId="6BF9E85C" w14:textId="77777777" w:rsidR="004A6905" w:rsidRPr="00537128" w:rsidRDefault="004A6905" w:rsidP="004A6905">
            <w:pPr>
              <w:spacing w:after="0" w:line="240" w:lineRule="auto"/>
              <w:jc w:val="center"/>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6.5</w:t>
            </w:r>
          </w:p>
        </w:tc>
        <w:tc>
          <w:tcPr>
            <w:tcW w:w="1247" w:type="dxa"/>
            <w:gridSpan w:val="2"/>
            <w:tcBorders>
              <w:top w:val="nil"/>
              <w:left w:val="nil"/>
              <w:bottom w:val="nil"/>
              <w:right w:val="nil"/>
            </w:tcBorders>
          </w:tcPr>
          <w:p w14:paraId="6D54100C" w14:textId="69C8B9C0" w:rsidR="004A6905" w:rsidRPr="00A1123E" w:rsidRDefault="004A6905" w:rsidP="004A6905">
            <w:pPr>
              <w:spacing w:after="0" w:line="240" w:lineRule="auto"/>
              <w:jc w:val="right"/>
              <w:rPr>
                <w:sz w:val="18"/>
                <w:szCs w:val="18"/>
              </w:rPr>
            </w:pPr>
            <w:r>
              <w:rPr>
                <w:rFonts w:ascii="Calibri" w:eastAsia="Calibri" w:hAnsi="Calibri" w:cs="Calibri"/>
                <w:color w:val="000000"/>
                <w:sz w:val="18"/>
                <w:szCs w:val="18"/>
                <w:lang w:eastAsia="hr-HR"/>
              </w:rPr>
              <w:t>294</w:t>
            </w:r>
            <w:r w:rsidR="00EE68B4">
              <w:rPr>
                <w:rFonts w:ascii="Calibri" w:eastAsia="Calibri" w:hAnsi="Calibri" w:cs="Calibri"/>
                <w:color w:val="000000"/>
                <w:sz w:val="18"/>
                <w:szCs w:val="18"/>
                <w:lang w:eastAsia="hr-HR"/>
              </w:rPr>
              <w:t>,</w:t>
            </w:r>
            <w:r>
              <w:rPr>
                <w:rFonts w:ascii="Calibri" w:eastAsia="Calibri" w:hAnsi="Calibri" w:cs="Calibri"/>
                <w:color w:val="000000"/>
                <w:sz w:val="18"/>
                <w:szCs w:val="18"/>
                <w:lang w:eastAsia="hr-HR"/>
              </w:rPr>
              <w:t>038</w:t>
            </w:r>
          </w:p>
        </w:tc>
        <w:tc>
          <w:tcPr>
            <w:tcW w:w="1276" w:type="dxa"/>
            <w:gridSpan w:val="3"/>
            <w:tcBorders>
              <w:top w:val="nil"/>
              <w:left w:val="nil"/>
              <w:bottom w:val="nil"/>
              <w:right w:val="nil"/>
            </w:tcBorders>
            <w:vAlign w:val="bottom"/>
          </w:tcPr>
          <w:p w14:paraId="4CF89BA9" w14:textId="76F9CD3F" w:rsidR="004A6905" w:rsidRPr="00537128" w:rsidRDefault="004A6905" w:rsidP="004A6905">
            <w:pPr>
              <w:spacing w:after="0" w:line="240" w:lineRule="auto"/>
              <w:jc w:val="right"/>
              <w:rPr>
                <w:rFonts w:ascii="Calibri" w:eastAsia="Calibri" w:hAnsi="Calibri" w:cs="Arial"/>
                <w:sz w:val="18"/>
                <w:szCs w:val="18"/>
                <w:lang w:val="en-US"/>
              </w:rPr>
            </w:pPr>
            <w:r w:rsidRPr="00034BAA">
              <w:rPr>
                <w:rFonts w:ascii="Calibri" w:eastAsia="Calibri" w:hAnsi="Calibri"/>
                <w:color w:val="000000"/>
                <w:sz w:val="18"/>
                <w:szCs w:val="18"/>
              </w:rPr>
              <w:t>148</w:t>
            </w:r>
            <w:r>
              <w:rPr>
                <w:rFonts w:ascii="Calibri" w:eastAsia="Calibri" w:hAnsi="Calibri"/>
                <w:color w:val="000000"/>
                <w:sz w:val="18"/>
                <w:szCs w:val="18"/>
              </w:rPr>
              <w:t>,</w:t>
            </w:r>
            <w:r w:rsidRPr="00034BAA">
              <w:rPr>
                <w:rFonts w:ascii="Calibri" w:eastAsia="Calibri" w:hAnsi="Calibri"/>
                <w:color w:val="000000"/>
                <w:sz w:val="18"/>
                <w:szCs w:val="18"/>
              </w:rPr>
              <w:t>536</w:t>
            </w:r>
          </w:p>
        </w:tc>
        <w:tc>
          <w:tcPr>
            <w:tcW w:w="1276" w:type="dxa"/>
            <w:gridSpan w:val="3"/>
            <w:tcBorders>
              <w:top w:val="nil"/>
              <w:left w:val="nil"/>
              <w:bottom w:val="nil"/>
              <w:right w:val="nil"/>
            </w:tcBorders>
            <w:shd w:val="clear" w:color="auto" w:fill="auto"/>
          </w:tcPr>
          <w:p w14:paraId="7878939C" w14:textId="226E2631" w:rsidR="004A6905" w:rsidRPr="00537128" w:rsidRDefault="004A6905" w:rsidP="004A6905">
            <w:pPr>
              <w:spacing w:after="0" w:line="240" w:lineRule="auto"/>
              <w:jc w:val="right"/>
              <w:rPr>
                <w:rFonts w:ascii="Calibri" w:eastAsia="Calibri" w:hAnsi="Calibri" w:cs="Arial"/>
                <w:sz w:val="18"/>
                <w:szCs w:val="18"/>
                <w:lang w:val="en-US"/>
              </w:rPr>
            </w:pPr>
            <w:r>
              <w:rPr>
                <w:rFonts w:ascii="Calibri" w:eastAsia="Calibri" w:hAnsi="Calibri" w:cs="Calibri"/>
                <w:color w:val="000000"/>
                <w:sz w:val="18"/>
                <w:szCs w:val="18"/>
                <w:lang w:eastAsia="hr-HR"/>
              </w:rPr>
              <w:t>294</w:t>
            </w:r>
            <w:r w:rsidR="00EE68B4">
              <w:rPr>
                <w:rFonts w:ascii="Calibri" w:eastAsia="Calibri" w:hAnsi="Calibri" w:cs="Calibri"/>
                <w:color w:val="000000"/>
                <w:sz w:val="18"/>
                <w:szCs w:val="18"/>
                <w:lang w:eastAsia="hr-HR"/>
              </w:rPr>
              <w:t>,</w:t>
            </w:r>
            <w:r>
              <w:rPr>
                <w:rFonts w:ascii="Calibri" w:eastAsia="Calibri" w:hAnsi="Calibri" w:cs="Calibri"/>
                <w:color w:val="000000"/>
                <w:sz w:val="18"/>
                <w:szCs w:val="18"/>
                <w:lang w:eastAsia="hr-HR"/>
              </w:rPr>
              <w:t>038</w:t>
            </w:r>
          </w:p>
        </w:tc>
        <w:tc>
          <w:tcPr>
            <w:tcW w:w="1276" w:type="dxa"/>
            <w:gridSpan w:val="3"/>
            <w:tcBorders>
              <w:top w:val="nil"/>
              <w:left w:val="nil"/>
              <w:bottom w:val="nil"/>
              <w:right w:val="nil"/>
            </w:tcBorders>
            <w:vAlign w:val="bottom"/>
          </w:tcPr>
          <w:p w14:paraId="44C3B31E" w14:textId="7782FCA2" w:rsidR="004A6905" w:rsidRPr="00537128" w:rsidRDefault="004A6905" w:rsidP="004A6905">
            <w:pPr>
              <w:spacing w:after="0" w:line="240" w:lineRule="auto"/>
              <w:jc w:val="right"/>
              <w:rPr>
                <w:rFonts w:ascii="Calibri" w:eastAsia="Calibri" w:hAnsi="Calibri" w:cs="Arial"/>
                <w:sz w:val="18"/>
                <w:szCs w:val="18"/>
                <w:lang w:val="en-US"/>
              </w:rPr>
            </w:pPr>
            <w:r w:rsidRPr="00034BAA">
              <w:rPr>
                <w:rFonts w:ascii="Calibri" w:eastAsia="Calibri" w:hAnsi="Calibri" w:cs="Calibri"/>
                <w:color w:val="000000"/>
                <w:sz w:val="18"/>
                <w:szCs w:val="18"/>
                <w:lang w:eastAsia="hr-HR"/>
              </w:rPr>
              <w:t>148</w:t>
            </w:r>
            <w:r>
              <w:rPr>
                <w:rFonts w:ascii="Calibri" w:eastAsia="Calibri" w:hAnsi="Calibri" w:cs="Calibri"/>
                <w:color w:val="000000"/>
                <w:sz w:val="18"/>
                <w:szCs w:val="18"/>
                <w:lang w:eastAsia="hr-HR"/>
              </w:rPr>
              <w:t>,</w:t>
            </w:r>
            <w:r w:rsidRPr="00034BAA">
              <w:rPr>
                <w:rFonts w:ascii="Calibri" w:eastAsia="Calibri" w:hAnsi="Calibri" w:cs="Calibri"/>
                <w:color w:val="000000"/>
                <w:sz w:val="18"/>
                <w:szCs w:val="18"/>
                <w:lang w:eastAsia="hr-HR"/>
              </w:rPr>
              <w:t>536</w:t>
            </w:r>
          </w:p>
        </w:tc>
      </w:tr>
      <w:tr w:rsidR="004A6905" w:rsidRPr="00537128" w14:paraId="11D22FF7" w14:textId="77777777" w:rsidTr="005B3D2C">
        <w:trPr>
          <w:gridAfter w:val="2"/>
          <w:wAfter w:w="29" w:type="dxa"/>
          <w:trHeight w:val="175"/>
        </w:trPr>
        <w:tc>
          <w:tcPr>
            <w:tcW w:w="2798" w:type="dxa"/>
            <w:tcBorders>
              <w:top w:val="nil"/>
              <w:left w:val="nil"/>
              <w:bottom w:val="nil"/>
              <w:right w:val="nil"/>
            </w:tcBorders>
            <w:shd w:val="clear" w:color="auto" w:fill="auto"/>
            <w:noWrap/>
            <w:vAlign w:val="bottom"/>
            <w:hideMark/>
          </w:tcPr>
          <w:p w14:paraId="0C1207C8" w14:textId="77777777" w:rsidR="004A6905" w:rsidRPr="00537128" w:rsidRDefault="004A6905" w:rsidP="004A6905">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RHMF-O-247E</w:t>
            </w:r>
          </w:p>
        </w:tc>
        <w:tc>
          <w:tcPr>
            <w:tcW w:w="1120" w:type="dxa"/>
            <w:tcBorders>
              <w:top w:val="nil"/>
              <w:left w:val="nil"/>
              <w:bottom w:val="nil"/>
              <w:right w:val="nil"/>
            </w:tcBorders>
            <w:shd w:val="clear" w:color="auto" w:fill="auto"/>
            <w:noWrap/>
            <w:vAlign w:val="bottom"/>
            <w:hideMark/>
          </w:tcPr>
          <w:p w14:paraId="2AC12E97" w14:textId="77777777" w:rsidR="004A6905" w:rsidRPr="00537128" w:rsidRDefault="004A6905" w:rsidP="004A6905">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10.7.2013.</w:t>
            </w:r>
          </w:p>
        </w:tc>
        <w:tc>
          <w:tcPr>
            <w:tcW w:w="1121" w:type="dxa"/>
            <w:tcBorders>
              <w:top w:val="nil"/>
              <w:left w:val="nil"/>
              <w:bottom w:val="nil"/>
              <w:right w:val="nil"/>
            </w:tcBorders>
            <w:shd w:val="clear" w:color="auto" w:fill="auto"/>
            <w:noWrap/>
            <w:vAlign w:val="bottom"/>
            <w:hideMark/>
          </w:tcPr>
          <w:p w14:paraId="502533C4" w14:textId="77777777" w:rsidR="004A6905" w:rsidRPr="00537128" w:rsidRDefault="004A6905" w:rsidP="004A6905">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10.7.2024.</w:t>
            </w:r>
          </w:p>
        </w:tc>
        <w:tc>
          <w:tcPr>
            <w:tcW w:w="914" w:type="dxa"/>
            <w:tcBorders>
              <w:top w:val="nil"/>
              <w:left w:val="nil"/>
              <w:bottom w:val="nil"/>
              <w:right w:val="nil"/>
            </w:tcBorders>
            <w:shd w:val="clear" w:color="auto" w:fill="auto"/>
            <w:noWrap/>
            <w:vAlign w:val="bottom"/>
            <w:hideMark/>
          </w:tcPr>
          <w:p w14:paraId="3E3FC909" w14:textId="77777777" w:rsidR="004A6905" w:rsidRPr="00537128" w:rsidRDefault="004A6905" w:rsidP="004A6905">
            <w:pPr>
              <w:spacing w:after="0" w:line="240" w:lineRule="auto"/>
              <w:jc w:val="center"/>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5.75</w:t>
            </w:r>
          </w:p>
        </w:tc>
        <w:tc>
          <w:tcPr>
            <w:tcW w:w="1247" w:type="dxa"/>
            <w:gridSpan w:val="2"/>
            <w:tcBorders>
              <w:top w:val="nil"/>
              <w:left w:val="nil"/>
              <w:bottom w:val="nil"/>
              <w:right w:val="nil"/>
            </w:tcBorders>
          </w:tcPr>
          <w:p w14:paraId="30102826" w14:textId="7151A540" w:rsidR="004A6905" w:rsidRPr="00A1123E" w:rsidRDefault="004A6905" w:rsidP="004A6905">
            <w:pPr>
              <w:spacing w:after="0" w:line="240" w:lineRule="auto"/>
              <w:jc w:val="right"/>
              <w:rPr>
                <w:sz w:val="18"/>
                <w:szCs w:val="18"/>
              </w:rPr>
            </w:pPr>
            <w:r>
              <w:rPr>
                <w:rFonts w:ascii="Calibri" w:eastAsia="Calibri" w:hAnsi="Calibri" w:cs="Times New Roman"/>
                <w:color w:val="000000"/>
                <w:sz w:val="18"/>
                <w:szCs w:val="18"/>
              </w:rPr>
              <w:t>171</w:t>
            </w:r>
            <w:r w:rsidR="00EE68B4">
              <w:rPr>
                <w:rFonts w:ascii="Calibri" w:eastAsia="Calibri" w:hAnsi="Calibri" w:cs="Times New Roman"/>
                <w:color w:val="000000"/>
                <w:sz w:val="18"/>
                <w:szCs w:val="18"/>
              </w:rPr>
              <w:t>,</w:t>
            </w:r>
            <w:r>
              <w:rPr>
                <w:rFonts w:ascii="Calibri" w:eastAsia="Calibri" w:hAnsi="Calibri" w:cs="Times New Roman"/>
                <w:color w:val="000000"/>
                <w:sz w:val="18"/>
                <w:szCs w:val="18"/>
              </w:rPr>
              <w:t>201</w:t>
            </w:r>
          </w:p>
        </w:tc>
        <w:tc>
          <w:tcPr>
            <w:tcW w:w="1276" w:type="dxa"/>
            <w:gridSpan w:val="3"/>
            <w:tcBorders>
              <w:top w:val="nil"/>
              <w:left w:val="nil"/>
              <w:bottom w:val="nil"/>
              <w:right w:val="nil"/>
            </w:tcBorders>
            <w:vAlign w:val="bottom"/>
          </w:tcPr>
          <w:p w14:paraId="76E11763" w14:textId="2AB0641B" w:rsidR="004A6905" w:rsidRPr="00537128" w:rsidRDefault="004A6905" w:rsidP="004A6905">
            <w:pPr>
              <w:spacing w:after="0" w:line="240" w:lineRule="auto"/>
              <w:jc w:val="right"/>
              <w:rPr>
                <w:rFonts w:ascii="Calibri" w:eastAsia="Calibri" w:hAnsi="Calibri" w:cs="Arial"/>
                <w:sz w:val="18"/>
                <w:szCs w:val="18"/>
                <w:lang w:val="en-US"/>
              </w:rPr>
            </w:pPr>
            <w:r w:rsidRPr="00034BAA">
              <w:rPr>
                <w:rFonts w:ascii="Calibri" w:eastAsia="Calibri" w:hAnsi="Calibri"/>
                <w:color w:val="000000"/>
                <w:sz w:val="18"/>
                <w:szCs w:val="18"/>
              </w:rPr>
              <w:t>48</w:t>
            </w:r>
            <w:r>
              <w:rPr>
                <w:rFonts w:ascii="Calibri" w:eastAsia="Calibri" w:hAnsi="Calibri"/>
                <w:color w:val="000000"/>
                <w:sz w:val="18"/>
                <w:szCs w:val="18"/>
              </w:rPr>
              <w:t>,</w:t>
            </w:r>
            <w:r w:rsidRPr="00034BAA">
              <w:rPr>
                <w:rFonts w:ascii="Calibri" w:eastAsia="Calibri" w:hAnsi="Calibri"/>
                <w:color w:val="000000"/>
                <w:sz w:val="18"/>
                <w:szCs w:val="18"/>
              </w:rPr>
              <w:t>638</w:t>
            </w:r>
          </w:p>
        </w:tc>
        <w:tc>
          <w:tcPr>
            <w:tcW w:w="1276" w:type="dxa"/>
            <w:gridSpan w:val="3"/>
            <w:tcBorders>
              <w:top w:val="nil"/>
              <w:left w:val="nil"/>
              <w:bottom w:val="nil"/>
              <w:right w:val="nil"/>
            </w:tcBorders>
            <w:shd w:val="clear" w:color="auto" w:fill="auto"/>
          </w:tcPr>
          <w:p w14:paraId="344B2C26" w14:textId="20C1BC80" w:rsidR="004A6905" w:rsidRPr="00537128" w:rsidRDefault="004A6905" w:rsidP="004A6905">
            <w:pPr>
              <w:spacing w:after="0" w:line="240" w:lineRule="auto"/>
              <w:jc w:val="right"/>
              <w:rPr>
                <w:rFonts w:ascii="Calibri" w:eastAsia="Calibri" w:hAnsi="Calibri" w:cs="Arial"/>
                <w:sz w:val="18"/>
                <w:szCs w:val="18"/>
                <w:lang w:val="en-US"/>
              </w:rPr>
            </w:pPr>
            <w:r>
              <w:rPr>
                <w:rFonts w:ascii="Calibri" w:eastAsia="Calibri" w:hAnsi="Calibri" w:cs="Calibri"/>
                <w:color w:val="000000"/>
                <w:sz w:val="18"/>
                <w:szCs w:val="18"/>
                <w:lang w:eastAsia="hr-HR"/>
              </w:rPr>
              <w:t>166</w:t>
            </w:r>
            <w:r w:rsidR="00EE68B4">
              <w:rPr>
                <w:rFonts w:ascii="Calibri" w:eastAsia="Calibri" w:hAnsi="Calibri" w:cs="Calibri"/>
                <w:color w:val="000000"/>
                <w:sz w:val="18"/>
                <w:szCs w:val="18"/>
                <w:lang w:eastAsia="hr-HR"/>
              </w:rPr>
              <w:t>,</w:t>
            </w:r>
            <w:r>
              <w:rPr>
                <w:rFonts w:ascii="Calibri" w:eastAsia="Calibri" w:hAnsi="Calibri" w:cs="Calibri"/>
                <w:color w:val="000000"/>
                <w:sz w:val="18"/>
                <w:szCs w:val="18"/>
                <w:lang w:eastAsia="hr-HR"/>
              </w:rPr>
              <w:t>305</w:t>
            </w:r>
          </w:p>
        </w:tc>
        <w:tc>
          <w:tcPr>
            <w:tcW w:w="1276" w:type="dxa"/>
            <w:gridSpan w:val="3"/>
            <w:tcBorders>
              <w:top w:val="nil"/>
              <w:left w:val="nil"/>
              <w:bottom w:val="nil"/>
              <w:right w:val="nil"/>
            </w:tcBorders>
            <w:vAlign w:val="bottom"/>
          </w:tcPr>
          <w:p w14:paraId="42E978F5" w14:textId="0E7D6C75" w:rsidR="004A6905" w:rsidRPr="00537128" w:rsidRDefault="004A6905" w:rsidP="004A6905">
            <w:pPr>
              <w:spacing w:after="0" w:line="240" w:lineRule="auto"/>
              <w:jc w:val="right"/>
              <w:rPr>
                <w:rFonts w:ascii="Calibri" w:eastAsia="Calibri" w:hAnsi="Calibri" w:cs="Arial"/>
                <w:sz w:val="18"/>
                <w:szCs w:val="18"/>
                <w:lang w:val="en-US"/>
              </w:rPr>
            </w:pPr>
            <w:r w:rsidRPr="00034BAA">
              <w:rPr>
                <w:rFonts w:ascii="Calibri" w:eastAsia="Calibri" w:hAnsi="Calibri" w:cs="Calibri"/>
                <w:color w:val="000000"/>
                <w:sz w:val="18"/>
                <w:szCs w:val="18"/>
                <w:lang w:eastAsia="hr-HR"/>
              </w:rPr>
              <w:t>43</w:t>
            </w:r>
            <w:r>
              <w:rPr>
                <w:rFonts w:ascii="Calibri" w:eastAsia="Calibri" w:hAnsi="Calibri" w:cs="Calibri"/>
                <w:color w:val="000000"/>
                <w:sz w:val="18"/>
                <w:szCs w:val="18"/>
                <w:lang w:eastAsia="hr-HR"/>
              </w:rPr>
              <w:t>,</w:t>
            </w:r>
            <w:r w:rsidRPr="00034BAA">
              <w:rPr>
                <w:rFonts w:ascii="Calibri" w:eastAsia="Calibri" w:hAnsi="Calibri" w:cs="Calibri"/>
                <w:color w:val="000000"/>
                <w:sz w:val="18"/>
                <w:szCs w:val="18"/>
                <w:lang w:eastAsia="hr-HR"/>
              </w:rPr>
              <w:t>668</w:t>
            </w:r>
          </w:p>
        </w:tc>
      </w:tr>
      <w:tr w:rsidR="004A6905" w:rsidRPr="00537128" w14:paraId="1570DA73" w14:textId="77777777" w:rsidTr="005B3D2C">
        <w:trPr>
          <w:gridAfter w:val="2"/>
          <w:wAfter w:w="29" w:type="dxa"/>
          <w:trHeight w:val="175"/>
        </w:trPr>
        <w:tc>
          <w:tcPr>
            <w:tcW w:w="2798" w:type="dxa"/>
            <w:tcBorders>
              <w:top w:val="nil"/>
              <w:left w:val="nil"/>
              <w:bottom w:val="nil"/>
              <w:right w:val="nil"/>
            </w:tcBorders>
            <w:shd w:val="clear" w:color="auto" w:fill="auto"/>
            <w:noWrap/>
            <w:vAlign w:val="bottom"/>
          </w:tcPr>
          <w:p w14:paraId="6389F262" w14:textId="77777777" w:rsidR="004A6905" w:rsidRPr="00537128" w:rsidRDefault="004A6905" w:rsidP="004A6905">
            <w:pPr>
              <w:spacing w:after="0" w:line="240" w:lineRule="auto"/>
              <w:jc w:val="right"/>
              <w:rPr>
                <w:rFonts w:ascii="Calibri" w:eastAsia="Calibri" w:hAnsi="Calibri" w:cs="Arial"/>
                <w:sz w:val="18"/>
                <w:szCs w:val="18"/>
                <w:lang w:val="en-US"/>
              </w:rPr>
            </w:pPr>
            <w:r w:rsidRPr="00537128">
              <w:rPr>
                <w:rFonts w:ascii="Calibri" w:eastAsia="Times New Roman" w:hAnsi="Calibri" w:cs="Calibri"/>
                <w:sz w:val="18"/>
                <w:szCs w:val="18"/>
                <w:lang w:val="en-US" w:eastAsia="hr-HR"/>
              </w:rPr>
              <w:t>RHMF-O222E</w:t>
            </w:r>
          </w:p>
        </w:tc>
        <w:tc>
          <w:tcPr>
            <w:tcW w:w="1120" w:type="dxa"/>
            <w:tcBorders>
              <w:top w:val="nil"/>
              <w:left w:val="nil"/>
              <w:bottom w:val="nil"/>
              <w:right w:val="nil"/>
            </w:tcBorders>
            <w:shd w:val="clear" w:color="auto" w:fill="auto"/>
            <w:noWrap/>
            <w:vAlign w:val="bottom"/>
          </w:tcPr>
          <w:p w14:paraId="3E2472B1" w14:textId="77777777" w:rsidR="004A6905" w:rsidRPr="00537128" w:rsidRDefault="004A6905" w:rsidP="004A6905">
            <w:pPr>
              <w:spacing w:after="0" w:line="240" w:lineRule="auto"/>
              <w:jc w:val="right"/>
              <w:rPr>
                <w:rFonts w:ascii="Calibri" w:eastAsia="Calibri" w:hAnsi="Calibri" w:cs="Arial"/>
                <w:sz w:val="18"/>
                <w:szCs w:val="18"/>
                <w:lang w:val="en-US"/>
              </w:rPr>
            </w:pPr>
            <w:r w:rsidRPr="00537128">
              <w:rPr>
                <w:rFonts w:ascii="Calibri" w:eastAsia="Times New Roman" w:hAnsi="Calibri" w:cs="Calibri"/>
                <w:sz w:val="18"/>
                <w:szCs w:val="18"/>
                <w:lang w:val="en-US" w:eastAsia="hr-HR"/>
              </w:rPr>
              <w:t>5.2.2019.</w:t>
            </w:r>
          </w:p>
        </w:tc>
        <w:tc>
          <w:tcPr>
            <w:tcW w:w="1121" w:type="dxa"/>
            <w:tcBorders>
              <w:top w:val="nil"/>
              <w:left w:val="nil"/>
              <w:bottom w:val="nil"/>
              <w:right w:val="nil"/>
            </w:tcBorders>
            <w:shd w:val="clear" w:color="auto" w:fill="auto"/>
            <w:noWrap/>
            <w:vAlign w:val="bottom"/>
          </w:tcPr>
          <w:p w14:paraId="1750C905" w14:textId="77777777" w:rsidR="004A6905" w:rsidRPr="00537128" w:rsidRDefault="004A6905" w:rsidP="004A6905">
            <w:pPr>
              <w:spacing w:after="0" w:line="240" w:lineRule="auto"/>
              <w:jc w:val="right"/>
              <w:rPr>
                <w:rFonts w:ascii="Calibri" w:eastAsia="Calibri" w:hAnsi="Calibri" w:cs="Arial"/>
                <w:sz w:val="18"/>
                <w:szCs w:val="18"/>
                <w:lang w:val="en-US"/>
              </w:rPr>
            </w:pPr>
            <w:r w:rsidRPr="00537128">
              <w:rPr>
                <w:rFonts w:ascii="Calibri" w:eastAsia="Times New Roman" w:hAnsi="Calibri" w:cs="Calibri"/>
                <w:sz w:val="18"/>
                <w:szCs w:val="18"/>
                <w:lang w:val="en-US" w:eastAsia="hr-HR"/>
              </w:rPr>
              <w:t>5.2.2022.</w:t>
            </w:r>
          </w:p>
        </w:tc>
        <w:tc>
          <w:tcPr>
            <w:tcW w:w="914" w:type="dxa"/>
            <w:tcBorders>
              <w:top w:val="nil"/>
              <w:left w:val="nil"/>
              <w:bottom w:val="nil"/>
              <w:right w:val="nil"/>
            </w:tcBorders>
            <w:shd w:val="clear" w:color="auto" w:fill="auto"/>
            <w:noWrap/>
            <w:vAlign w:val="bottom"/>
          </w:tcPr>
          <w:p w14:paraId="113C7AB1" w14:textId="77777777" w:rsidR="004A6905" w:rsidRPr="00537128" w:rsidRDefault="004A6905" w:rsidP="004A6905">
            <w:pPr>
              <w:spacing w:after="0" w:line="240" w:lineRule="auto"/>
              <w:jc w:val="center"/>
              <w:rPr>
                <w:rFonts w:ascii="Calibri" w:eastAsia="Calibri" w:hAnsi="Calibri" w:cs="Arial"/>
                <w:sz w:val="18"/>
                <w:szCs w:val="18"/>
                <w:lang w:val="en-US"/>
              </w:rPr>
            </w:pPr>
            <w:r w:rsidRPr="00537128">
              <w:rPr>
                <w:rFonts w:ascii="Calibri" w:eastAsia="Times New Roman" w:hAnsi="Calibri" w:cs="Calibri"/>
                <w:sz w:val="18"/>
                <w:szCs w:val="18"/>
                <w:lang w:val="en-US" w:eastAsia="hr-HR"/>
              </w:rPr>
              <w:t>0.5</w:t>
            </w:r>
          </w:p>
        </w:tc>
        <w:tc>
          <w:tcPr>
            <w:tcW w:w="1247" w:type="dxa"/>
            <w:gridSpan w:val="2"/>
            <w:tcBorders>
              <w:top w:val="nil"/>
              <w:left w:val="nil"/>
              <w:bottom w:val="nil"/>
              <w:right w:val="nil"/>
            </w:tcBorders>
            <w:vAlign w:val="bottom"/>
          </w:tcPr>
          <w:p w14:paraId="583BA2C7" w14:textId="1DA7C30B" w:rsidR="004A6905" w:rsidRPr="00A1123E" w:rsidRDefault="004A6905" w:rsidP="004A6905">
            <w:pPr>
              <w:spacing w:after="0" w:line="240" w:lineRule="auto"/>
              <w:jc w:val="right"/>
              <w:rPr>
                <w:sz w:val="18"/>
                <w:szCs w:val="18"/>
              </w:rPr>
            </w:pPr>
            <w:r>
              <w:rPr>
                <w:rFonts w:ascii="Calibri" w:eastAsia="Calibri" w:hAnsi="Calibri" w:cs="Times New Roman"/>
                <w:color w:val="000000"/>
                <w:sz w:val="18"/>
                <w:szCs w:val="18"/>
              </w:rPr>
              <w:t>-</w:t>
            </w:r>
          </w:p>
        </w:tc>
        <w:tc>
          <w:tcPr>
            <w:tcW w:w="1276" w:type="dxa"/>
            <w:gridSpan w:val="3"/>
            <w:tcBorders>
              <w:top w:val="nil"/>
              <w:left w:val="nil"/>
              <w:bottom w:val="nil"/>
              <w:right w:val="nil"/>
            </w:tcBorders>
            <w:vAlign w:val="bottom"/>
          </w:tcPr>
          <w:p w14:paraId="02E09B44" w14:textId="4AB67CB4" w:rsidR="004A6905" w:rsidRPr="00537128" w:rsidRDefault="004A6905" w:rsidP="004A6905">
            <w:pPr>
              <w:spacing w:after="0" w:line="240" w:lineRule="auto"/>
              <w:jc w:val="right"/>
              <w:rPr>
                <w:rFonts w:ascii="Calibri" w:eastAsia="Calibri" w:hAnsi="Calibri" w:cs="Times New Roman"/>
                <w:sz w:val="18"/>
                <w:szCs w:val="18"/>
                <w:lang w:val="en-US"/>
              </w:rPr>
            </w:pPr>
            <w:r w:rsidRPr="00034BAA">
              <w:rPr>
                <w:rFonts w:ascii="Calibri" w:eastAsia="Calibri" w:hAnsi="Calibri"/>
                <w:color w:val="000000"/>
                <w:sz w:val="18"/>
                <w:szCs w:val="18"/>
              </w:rPr>
              <w:t>15</w:t>
            </w:r>
            <w:r>
              <w:rPr>
                <w:rFonts w:ascii="Calibri" w:eastAsia="Calibri" w:hAnsi="Calibri"/>
                <w:color w:val="000000"/>
                <w:sz w:val="18"/>
                <w:szCs w:val="18"/>
              </w:rPr>
              <w:t>,</w:t>
            </w:r>
            <w:r w:rsidRPr="00034BAA">
              <w:rPr>
                <w:rFonts w:ascii="Calibri" w:eastAsia="Calibri" w:hAnsi="Calibri"/>
                <w:color w:val="000000"/>
                <w:sz w:val="18"/>
                <w:szCs w:val="18"/>
              </w:rPr>
              <w:t>032</w:t>
            </w:r>
          </w:p>
        </w:tc>
        <w:tc>
          <w:tcPr>
            <w:tcW w:w="1276" w:type="dxa"/>
            <w:gridSpan w:val="3"/>
            <w:tcBorders>
              <w:top w:val="nil"/>
              <w:left w:val="nil"/>
              <w:bottom w:val="nil"/>
              <w:right w:val="nil"/>
            </w:tcBorders>
            <w:shd w:val="clear" w:color="auto" w:fill="auto"/>
            <w:vAlign w:val="bottom"/>
          </w:tcPr>
          <w:p w14:paraId="7DB1338D" w14:textId="44E5428B" w:rsidR="004A6905" w:rsidRPr="00537128" w:rsidRDefault="004A6905" w:rsidP="004A6905">
            <w:pPr>
              <w:spacing w:after="0" w:line="240" w:lineRule="auto"/>
              <w:jc w:val="right"/>
              <w:rPr>
                <w:rFonts w:ascii="Calibri" w:eastAsia="Calibri" w:hAnsi="Calibri" w:cs="Arial"/>
                <w:sz w:val="18"/>
                <w:szCs w:val="18"/>
                <w:lang w:val="en-US"/>
              </w:rPr>
            </w:pPr>
            <w:r>
              <w:rPr>
                <w:rFonts w:ascii="Calibri" w:eastAsia="Calibri" w:hAnsi="Calibri" w:cs="Calibri"/>
                <w:color w:val="000000"/>
                <w:sz w:val="18"/>
                <w:szCs w:val="18"/>
                <w:lang w:eastAsia="hr-HR"/>
              </w:rPr>
              <w:t>-</w:t>
            </w:r>
          </w:p>
        </w:tc>
        <w:tc>
          <w:tcPr>
            <w:tcW w:w="1276" w:type="dxa"/>
            <w:gridSpan w:val="3"/>
            <w:tcBorders>
              <w:top w:val="nil"/>
              <w:left w:val="nil"/>
              <w:bottom w:val="nil"/>
              <w:right w:val="nil"/>
            </w:tcBorders>
            <w:vAlign w:val="bottom"/>
          </w:tcPr>
          <w:p w14:paraId="12139CBE" w14:textId="02840310" w:rsidR="004A6905" w:rsidRPr="00537128" w:rsidRDefault="004A6905" w:rsidP="004A6905">
            <w:pPr>
              <w:spacing w:after="0" w:line="240" w:lineRule="auto"/>
              <w:jc w:val="right"/>
              <w:rPr>
                <w:rFonts w:ascii="Calibri" w:eastAsia="Calibri" w:hAnsi="Calibri" w:cs="Times New Roman"/>
                <w:sz w:val="18"/>
                <w:szCs w:val="18"/>
                <w:lang w:val="en-US"/>
              </w:rPr>
            </w:pPr>
            <w:r w:rsidRPr="00034BAA">
              <w:rPr>
                <w:rFonts w:ascii="Calibri" w:eastAsia="Calibri" w:hAnsi="Calibri" w:cs="Calibri"/>
                <w:color w:val="000000"/>
                <w:sz w:val="18"/>
                <w:szCs w:val="18"/>
                <w:lang w:eastAsia="hr-HR"/>
              </w:rPr>
              <w:t>15</w:t>
            </w:r>
            <w:r>
              <w:rPr>
                <w:rFonts w:ascii="Calibri" w:eastAsia="Calibri" w:hAnsi="Calibri" w:cs="Calibri"/>
                <w:color w:val="000000"/>
                <w:sz w:val="18"/>
                <w:szCs w:val="18"/>
                <w:lang w:eastAsia="hr-HR"/>
              </w:rPr>
              <w:t>,</w:t>
            </w:r>
            <w:r w:rsidRPr="00034BAA">
              <w:rPr>
                <w:rFonts w:ascii="Calibri" w:eastAsia="Calibri" w:hAnsi="Calibri" w:cs="Calibri"/>
                <w:color w:val="000000"/>
                <w:sz w:val="18"/>
                <w:szCs w:val="18"/>
                <w:lang w:eastAsia="hr-HR"/>
              </w:rPr>
              <w:t>032</w:t>
            </w:r>
          </w:p>
        </w:tc>
      </w:tr>
      <w:tr w:rsidR="004A6905" w:rsidRPr="00537128" w14:paraId="4E98FFE8" w14:textId="77777777" w:rsidTr="005B3D2C">
        <w:trPr>
          <w:gridAfter w:val="2"/>
          <w:wAfter w:w="29" w:type="dxa"/>
          <w:trHeight w:val="175"/>
        </w:trPr>
        <w:tc>
          <w:tcPr>
            <w:tcW w:w="5039" w:type="dxa"/>
            <w:gridSpan w:val="3"/>
            <w:tcBorders>
              <w:top w:val="nil"/>
              <w:left w:val="nil"/>
              <w:bottom w:val="nil"/>
              <w:right w:val="nil"/>
            </w:tcBorders>
            <w:shd w:val="clear" w:color="auto" w:fill="auto"/>
            <w:noWrap/>
            <w:vAlign w:val="bottom"/>
          </w:tcPr>
          <w:p w14:paraId="257934D0" w14:textId="77777777" w:rsidR="004A6905" w:rsidRPr="00537128" w:rsidRDefault="004A6905" w:rsidP="004A6905">
            <w:pPr>
              <w:spacing w:after="0" w:line="240" w:lineRule="auto"/>
              <w:rPr>
                <w:rFonts w:ascii="Calibri" w:eastAsia="Calibri" w:hAnsi="Calibri" w:cs="Arial"/>
                <w:i/>
                <w:sz w:val="18"/>
                <w:szCs w:val="18"/>
                <w:lang w:val="en-US"/>
              </w:rPr>
            </w:pPr>
            <w:r w:rsidRPr="00537128">
              <w:rPr>
                <w:rFonts w:ascii="Calibri" w:eastAsia="Calibri" w:hAnsi="Calibri" w:cs="Arial"/>
                <w:i/>
                <w:sz w:val="18"/>
                <w:szCs w:val="18"/>
                <w:lang w:val="en-US" w:eastAsia="hr-HR"/>
              </w:rPr>
              <w:t>Bonds of the Republic of Croatia in foreign currency:</w:t>
            </w:r>
          </w:p>
        </w:tc>
        <w:tc>
          <w:tcPr>
            <w:tcW w:w="914" w:type="dxa"/>
            <w:tcBorders>
              <w:top w:val="nil"/>
              <w:left w:val="nil"/>
              <w:bottom w:val="nil"/>
              <w:right w:val="nil"/>
            </w:tcBorders>
            <w:shd w:val="clear" w:color="auto" w:fill="auto"/>
            <w:noWrap/>
            <w:vAlign w:val="bottom"/>
          </w:tcPr>
          <w:p w14:paraId="35EBCA88" w14:textId="77777777" w:rsidR="004A6905" w:rsidRPr="00537128" w:rsidRDefault="004A6905" w:rsidP="004A6905">
            <w:pPr>
              <w:spacing w:after="0" w:line="240" w:lineRule="auto"/>
              <w:jc w:val="center"/>
              <w:rPr>
                <w:rFonts w:ascii="Calibri" w:eastAsia="Calibri" w:hAnsi="Calibri" w:cs="Arial"/>
                <w:sz w:val="18"/>
                <w:szCs w:val="18"/>
                <w:lang w:val="en-US"/>
              </w:rPr>
            </w:pPr>
          </w:p>
        </w:tc>
        <w:tc>
          <w:tcPr>
            <w:tcW w:w="1276" w:type="dxa"/>
            <w:gridSpan w:val="3"/>
            <w:tcBorders>
              <w:top w:val="nil"/>
              <w:left w:val="nil"/>
              <w:bottom w:val="nil"/>
              <w:right w:val="nil"/>
            </w:tcBorders>
            <w:shd w:val="clear" w:color="auto" w:fill="auto"/>
            <w:vAlign w:val="bottom"/>
          </w:tcPr>
          <w:p w14:paraId="31C59B60" w14:textId="77777777" w:rsidR="004A6905" w:rsidRPr="00A1123E" w:rsidRDefault="004A6905" w:rsidP="004A6905">
            <w:pPr>
              <w:spacing w:after="0" w:line="240" w:lineRule="auto"/>
              <w:jc w:val="right"/>
              <w:rPr>
                <w:sz w:val="18"/>
                <w:szCs w:val="18"/>
              </w:rPr>
            </w:pPr>
          </w:p>
        </w:tc>
        <w:tc>
          <w:tcPr>
            <w:tcW w:w="1276" w:type="dxa"/>
            <w:gridSpan w:val="4"/>
            <w:tcBorders>
              <w:top w:val="nil"/>
              <w:left w:val="nil"/>
              <w:bottom w:val="nil"/>
              <w:right w:val="nil"/>
            </w:tcBorders>
            <w:shd w:val="clear" w:color="auto" w:fill="auto"/>
            <w:vAlign w:val="bottom"/>
          </w:tcPr>
          <w:p w14:paraId="04E66ECC" w14:textId="77777777" w:rsidR="004A6905" w:rsidRPr="00537128" w:rsidRDefault="004A6905" w:rsidP="004A6905">
            <w:pPr>
              <w:spacing w:after="0" w:line="240" w:lineRule="auto"/>
              <w:jc w:val="right"/>
              <w:rPr>
                <w:rFonts w:ascii="Calibri" w:eastAsia="Calibri" w:hAnsi="Calibri" w:cs="Arial"/>
                <w:sz w:val="18"/>
                <w:szCs w:val="18"/>
                <w:lang w:val="en-US"/>
              </w:rPr>
            </w:pPr>
          </w:p>
        </w:tc>
        <w:tc>
          <w:tcPr>
            <w:tcW w:w="1247" w:type="dxa"/>
            <w:tcBorders>
              <w:top w:val="nil"/>
              <w:left w:val="nil"/>
              <w:bottom w:val="nil"/>
              <w:right w:val="nil"/>
            </w:tcBorders>
            <w:shd w:val="clear" w:color="auto" w:fill="auto"/>
            <w:vAlign w:val="bottom"/>
          </w:tcPr>
          <w:p w14:paraId="17352F13" w14:textId="77777777" w:rsidR="004A6905" w:rsidRPr="00537128" w:rsidRDefault="004A6905" w:rsidP="004A6905">
            <w:pPr>
              <w:spacing w:after="0" w:line="240" w:lineRule="auto"/>
              <w:jc w:val="right"/>
              <w:rPr>
                <w:rFonts w:ascii="Calibri" w:eastAsia="Calibri" w:hAnsi="Calibri" w:cs="Arial"/>
                <w:sz w:val="18"/>
                <w:szCs w:val="18"/>
                <w:lang w:val="en-US"/>
              </w:rPr>
            </w:pPr>
          </w:p>
        </w:tc>
        <w:tc>
          <w:tcPr>
            <w:tcW w:w="1276" w:type="dxa"/>
            <w:gridSpan w:val="3"/>
            <w:tcBorders>
              <w:top w:val="nil"/>
              <w:left w:val="nil"/>
              <w:bottom w:val="nil"/>
              <w:right w:val="nil"/>
            </w:tcBorders>
            <w:shd w:val="clear" w:color="auto" w:fill="auto"/>
            <w:vAlign w:val="bottom"/>
          </w:tcPr>
          <w:p w14:paraId="6E5BB0C2" w14:textId="77777777" w:rsidR="004A6905" w:rsidRPr="00537128" w:rsidRDefault="004A6905" w:rsidP="004A6905">
            <w:pPr>
              <w:spacing w:after="0" w:line="240" w:lineRule="auto"/>
              <w:jc w:val="right"/>
              <w:rPr>
                <w:rFonts w:ascii="Calibri" w:eastAsia="Calibri" w:hAnsi="Calibri" w:cs="Arial"/>
                <w:sz w:val="18"/>
                <w:szCs w:val="18"/>
                <w:lang w:val="en-US"/>
              </w:rPr>
            </w:pPr>
          </w:p>
        </w:tc>
      </w:tr>
      <w:tr w:rsidR="00102B4D" w:rsidRPr="00537128" w14:paraId="10C7344B" w14:textId="77777777" w:rsidTr="005B3D2C">
        <w:trPr>
          <w:gridAfter w:val="2"/>
          <w:wAfter w:w="29" w:type="dxa"/>
          <w:trHeight w:val="175"/>
        </w:trPr>
        <w:tc>
          <w:tcPr>
            <w:tcW w:w="2798" w:type="dxa"/>
            <w:tcBorders>
              <w:top w:val="nil"/>
              <w:left w:val="nil"/>
              <w:bottom w:val="nil"/>
              <w:right w:val="nil"/>
            </w:tcBorders>
            <w:shd w:val="clear" w:color="auto" w:fill="auto"/>
            <w:noWrap/>
            <w:vAlign w:val="bottom"/>
            <w:hideMark/>
          </w:tcPr>
          <w:p w14:paraId="5E9E43D1" w14:textId="77777777" w:rsidR="00102B4D" w:rsidRPr="00537128" w:rsidRDefault="00102B4D" w:rsidP="00102B4D">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XS1117298916</w:t>
            </w:r>
          </w:p>
        </w:tc>
        <w:tc>
          <w:tcPr>
            <w:tcW w:w="1120" w:type="dxa"/>
            <w:tcBorders>
              <w:top w:val="nil"/>
              <w:left w:val="nil"/>
              <w:bottom w:val="nil"/>
              <w:right w:val="nil"/>
            </w:tcBorders>
            <w:shd w:val="clear" w:color="auto" w:fill="auto"/>
            <w:noWrap/>
            <w:vAlign w:val="bottom"/>
            <w:hideMark/>
          </w:tcPr>
          <w:p w14:paraId="789C8F46" w14:textId="77777777" w:rsidR="00102B4D" w:rsidRPr="00537128" w:rsidRDefault="00102B4D" w:rsidP="00102B4D">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11.3.2015.</w:t>
            </w:r>
          </w:p>
        </w:tc>
        <w:tc>
          <w:tcPr>
            <w:tcW w:w="1121" w:type="dxa"/>
            <w:tcBorders>
              <w:top w:val="nil"/>
              <w:left w:val="nil"/>
              <w:bottom w:val="nil"/>
              <w:right w:val="nil"/>
            </w:tcBorders>
            <w:shd w:val="clear" w:color="auto" w:fill="auto"/>
            <w:noWrap/>
            <w:vAlign w:val="bottom"/>
            <w:hideMark/>
          </w:tcPr>
          <w:p w14:paraId="29317547" w14:textId="77777777" w:rsidR="00102B4D" w:rsidRPr="00537128" w:rsidRDefault="00102B4D" w:rsidP="00102B4D">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11.3.2025.</w:t>
            </w:r>
          </w:p>
        </w:tc>
        <w:tc>
          <w:tcPr>
            <w:tcW w:w="914" w:type="dxa"/>
            <w:tcBorders>
              <w:top w:val="nil"/>
              <w:left w:val="nil"/>
              <w:bottom w:val="nil"/>
              <w:right w:val="nil"/>
            </w:tcBorders>
            <w:shd w:val="clear" w:color="auto" w:fill="auto"/>
            <w:noWrap/>
            <w:vAlign w:val="bottom"/>
            <w:hideMark/>
          </w:tcPr>
          <w:p w14:paraId="696D0094" w14:textId="77777777" w:rsidR="00102B4D" w:rsidRPr="00537128" w:rsidRDefault="00102B4D" w:rsidP="00102B4D">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3.0</w:t>
            </w:r>
          </w:p>
        </w:tc>
        <w:tc>
          <w:tcPr>
            <w:tcW w:w="1247" w:type="dxa"/>
            <w:gridSpan w:val="2"/>
            <w:tcBorders>
              <w:top w:val="nil"/>
              <w:left w:val="nil"/>
              <w:bottom w:val="nil"/>
              <w:right w:val="nil"/>
            </w:tcBorders>
          </w:tcPr>
          <w:p w14:paraId="15BC1B2A" w14:textId="2801B7F4" w:rsidR="00102B4D" w:rsidRPr="00A1123E" w:rsidRDefault="00102B4D" w:rsidP="00102B4D">
            <w:pPr>
              <w:spacing w:after="0" w:line="240" w:lineRule="auto"/>
              <w:jc w:val="right"/>
              <w:rPr>
                <w:sz w:val="18"/>
                <w:szCs w:val="18"/>
              </w:rPr>
            </w:pPr>
            <w:r>
              <w:rPr>
                <w:rFonts w:ascii="Calibri" w:eastAsia="Calibri" w:hAnsi="Calibri" w:cs="Times New Roman"/>
                <w:color w:val="000000"/>
                <w:sz w:val="18"/>
                <w:szCs w:val="18"/>
              </w:rPr>
              <w:t>304</w:t>
            </w:r>
            <w:r w:rsidR="00EE68B4">
              <w:rPr>
                <w:rFonts w:ascii="Calibri" w:eastAsia="Calibri" w:hAnsi="Calibri" w:cs="Times New Roman"/>
                <w:color w:val="000000"/>
                <w:sz w:val="18"/>
                <w:szCs w:val="18"/>
              </w:rPr>
              <w:t>,</w:t>
            </w:r>
            <w:r>
              <w:rPr>
                <w:rFonts w:ascii="Calibri" w:eastAsia="Calibri" w:hAnsi="Calibri" w:cs="Times New Roman"/>
                <w:color w:val="000000"/>
                <w:sz w:val="18"/>
                <w:szCs w:val="18"/>
              </w:rPr>
              <w:t>684</w:t>
            </w:r>
          </w:p>
        </w:tc>
        <w:tc>
          <w:tcPr>
            <w:tcW w:w="1276" w:type="dxa"/>
            <w:gridSpan w:val="3"/>
            <w:tcBorders>
              <w:top w:val="nil"/>
              <w:left w:val="nil"/>
              <w:bottom w:val="nil"/>
              <w:right w:val="nil"/>
            </w:tcBorders>
            <w:vAlign w:val="bottom"/>
          </w:tcPr>
          <w:p w14:paraId="6C6AD539" w14:textId="48E669C7" w:rsidR="00102B4D" w:rsidRPr="00537128" w:rsidRDefault="00102B4D" w:rsidP="00102B4D">
            <w:pPr>
              <w:spacing w:after="0" w:line="240" w:lineRule="auto"/>
              <w:jc w:val="right"/>
              <w:rPr>
                <w:rFonts w:ascii="Calibri" w:eastAsia="Calibri" w:hAnsi="Calibri" w:cs="Arial"/>
                <w:sz w:val="18"/>
                <w:szCs w:val="18"/>
                <w:lang w:val="en-US"/>
              </w:rPr>
            </w:pPr>
            <w:r w:rsidRPr="00034BAA">
              <w:rPr>
                <w:rFonts w:ascii="Calibri" w:eastAsia="Calibri" w:hAnsi="Calibri"/>
                <w:color w:val="000000"/>
                <w:sz w:val="18"/>
                <w:szCs w:val="18"/>
              </w:rPr>
              <w:t>312</w:t>
            </w:r>
            <w:r>
              <w:rPr>
                <w:rFonts w:ascii="Calibri" w:eastAsia="Calibri" w:hAnsi="Calibri"/>
                <w:color w:val="000000"/>
                <w:sz w:val="18"/>
                <w:szCs w:val="18"/>
              </w:rPr>
              <w:t>,</w:t>
            </w:r>
            <w:r w:rsidRPr="00034BAA">
              <w:rPr>
                <w:rFonts w:ascii="Calibri" w:eastAsia="Calibri" w:hAnsi="Calibri"/>
                <w:color w:val="000000"/>
                <w:sz w:val="18"/>
                <w:szCs w:val="18"/>
              </w:rPr>
              <w:t>397</w:t>
            </w:r>
          </w:p>
        </w:tc>
        <w:tc>
          <w:tcPr>
            <w:tcW w:w="1276" w:type="dxa"/>
            <w:gridSpan w:val="3"/>
            <w:tcBorders>
              <w:top w:val="nil"/>
              <w:left w:val="nil"/>
              <w:bottom w:val="nil"/>
              <w:right w:val="nil"/>
            </w:tcBorders>
            <w:shd w:val="clear" w:color="auto" w:fill="auto"/>
          </w:tcPr>
          <w:p w14:paraId="5982EA09" w14:textId="375487A1" w:rsidR="00102B4D" w:rsidRPr="00537128" w:rsidRDefault="00102B4D" w:rsidP="00102B4D">
            <w:pPr>
              <w:spacing w:after="0" w:line="240" w:lineRule="auto"/>
              <w:jc w:val="right"/>
              <w:rPr>
                <w:rFonts w:ascii="Calibri" w:eastAsia="Calibri" w:hAnsi="Calibri" w:cs="Arial"/>
                <w:sz w:val="18"/>
                <w:szCs w:val="18"/>
                <w:lang w:val="en-US"/>
              </w:rPr>
            </w:pPr>
            <w:r w:rsidRPr="00006852">
              <w:rPr>
                <w:rFonts w:ascii="Calibri" w:eastAsia="Calibri" w:hAnsi="Calibri" w:cs="Calibri"/>
                <w:color w:val="000000"/>
                <w:sz w:val="18"/>
                <w:szCs w:val="18"/>
                <w:lang w:eastAsia="hr-HR"/>
              </w:rPr>
              <w:t>304</w:t>
            </w:r>
            <w:r w:rsidR="00EE68B4">
              <w:rPr>
                <w:rFonts w:ascii="Calibri" w:eastAsia="Calibri" w:hAnsi="Calibri" w:cs="Calibri"/>
                <w:color w:val="000000"/>
                <w:sz w:val="18"/>
                <w:szCs w:val="18"/>
                <w:lang w:eastAsia="hr-HR"/>
              </w:rPr>
              <w:t>,</w:t>
            </w:r>
            <w:r w:rsidRPr="00006852">
              <w:rPr>
                <w:rFonts w:ascii="Calibri" w:eastAsia="Calibri" w:hAnsi="Calibri" w:cs="Calibri"/>
                <w:color w:val="000000"/>
                <w:sz w:val="18"/>
                <w:szCs w:val="18"/>
                <w:lang w:eastAsia="hr-HR"/>
              </w:rPr>
              <w:t>684</w:t>
            </w:r>
          </w:p>
        </w:tc>
        <w:tc>
          <w:tcPr>
            <w:tcW w:w="1276" w:type="dxa"/>
            <w:gridSpan w:val="3"/>
            <w:tcBorders>
              <w:top w:val="nil"/>
              <w:left w:val="nil"/>
              <w:bottom w:val="nil"/>
              <w:right w:val="nil"/>
            </w:tcBorders>
            <w:shd w:val="clear" w:color="auto" w:fill="auto"/>
            <w:vAlign w:val="bottom"/>
          </w:tcPr>
          <w:p w14:paraId="0E593EB4" w14:textId="58CE6813" w:rsidR="00102B4D" w:rsidRPr="00537128" w:rsidRDefault="00102B4D" w:rsidP="00102B4D">
            <w:pPr>
              <w:spacing w:after="0" w:line="240" w:lineRule="auto"/>
              <w:jc w:val="right"/>
              <w:rPr>
                <w:rFonts w:ascii="Calibri" w:eastAsia="Calibri" w:hAnsi="Calibri" w:cs="Arial"/>
                <w:sz w:val="18"/>
                <w:szCs w:val="18"/>
                <w:lang w:val="en-US"/>
              </w:rPr>
            </w:pPr>
            <w:r w:rsidRPr="00034BAA">
              <w:rPr>
                <w:rFonts w:ascii="Calibri" w:eastAsia="Calibri" w:hAnsi="Calibri" w:cs="Calibri"/>
                <w:color w:val="000000"/>
                <w:sz w:val="18"/>
                <w:szCs w:val="18"/>
                <w:lang w:eastAsia="hr-HR"/>
              </w:rPr>
              <w:t>312</w:t>
            </w:r>
            <w:r>
              <w:rPr>
                <w:rFonts w:ascii="Calibri" w:eastAsia="Calibri" w:hAnsi="Calibri" w:cs="Calibri"/>
                <w:color w:val="000000"/>
                <w:sz w:val="18"/>
                <w:szCs w:val="18"/>
                <w:lang w:eastAsia="hr-HR"/>
              </w:rPr>
              <w:t>,</w:t>
            </w:r>
            <w:r w:rsidRPr="00034BAA">
              <w:rPr>
                <w:rFonts w:ascii="Calibri" w:eastAsia="Calibri" w:hAnsi="Calibri" w:cs="Calibri"/>
                <w:color w:val="000000"/>
                <w:sz w:val="18"/>
                <w:szCs w:val="18"/>
                <w:lang w:eastAsia="hr-HR"/>
              </w:rPr>
              <w:t>397</w:t>
            </w:r>
          </w:p>
        </w:tc>
      </w:tr>
      <w:tr w:rsidR="00102B4D" w:rsidRPr="00537128" w14:paraId="12F0281C" w14:textId="77777777" w:rsidTr="005B3D2C">
        <w:trPr>
          <w:gridAfter w:val="2"/>
          <w:wAfter w:w="29" w:type="dxa"/>
          <w:trHeight w:val="175"/>
        </w:trPr>
        <w:tc>
          <w:tcPr>
            <w:tcW w:w="2798" w:type="dxa"/>
            <w:tcBorders>
              <w:top w:val="nil"/>
              <w:left w:val="nil"/>
              <w:bottom w:val="nil"/>
              <w:right w:val="nil"/>
            </w:tcBorders>
            <w:shd w:val="clear" w:color="auto" w:fill="auto"/>
            <w:noWrap/>
            <w:vAlign w:val="bottom"/>
          </w:tcPr>
          <w:p w14:paraId="452DDDDD" w14:textId="77777777" w:rsidR="00102B4D" w:rsidRPr="00537128" w:rsidRDefault="00102B4D" w:rsidP="00102B4D">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XS1843434876</w:t>
            </w:r>
          </w:p>
        </w:tc>
        <w:tc>
          <w:tcPr>
            <w:tcW w:w="1120" w:type="dxa"/>
            <w:tcBorders>
              <w:top w:val="nil"/>
              <w:left w:val="nil"/>
              <w:bottom w:val="nil"/>
              <w:right w:val="nil"/>
            </w:tcBorders>
            <w:shd w:val="clear" w:color="auto" w:fill="auto"/>
            <w:noWrap/>
            <w:vAlign w:val="bottom"/>
          </w:tcPr>
          <w:p w14:paraId="0BA53F1B" w14:textId="77777777" w:rsidR="00102B4D" w:rsidRPr="00537128" w:rsidRDefault="00102B4D" w:rsidP="00102B4D">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19.6.2019.</w:t>
            </w:r>
          </w:p>
        </w:tc>
        <w:tc>
          <w:tcPr>
            <w:tcW w:w="1121" w:type="dxa"/>
            <w:tcBorders>
              <w:top w:val="nil"/>
              <w:left w:val="nil"/>
              <w:bottom w:val="nil"/>
              <w:right w:val="nil"/>
            </w:tcBorders>
            <w:shd w:val="clear" w:color="auto" w:fill="auto"/>
            <w:noWrap/>
            <w:vAlign w:val="bottom"/>
          </w:tcPr>
          <w:p w14:paraId="5D729DCA" w14:textId="77777777" w:rsidR="00102B4D" w:rsidRPr="00537128" w:rsidRDefault="00102B4D" w:rsidP="00102B4D">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19.10.2029.</w:t>
            </w:r>
          </w:p>
        </w:tc>
        <w:tc>
          <w:tcPr>
            <w:tcW w:w="914" w:type="dxa"/>
            <w:tcBorders>
              <w:top w:val="nil"/>
              <w:left w:val="nil"/>
              <w:bottom w:val="nil"/>
              <w:right w:val="nil"/>
            </w:tcBorders>
            <w:shd w:val="clear" w:color="auto" w:fill="auto"/>
            <w:noWrap/>
            <w:vAlign w:val="bottom"/>
          </w:tcPr>
          <w:p w14:paraId="111C23F4" w14:textId="77777777" w:rsidR="00102B4D" w:rsidRPr="00537128" w:rsidRDefault="00102B4D" w:rsidP="00102B4D">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1.125</w:t>
            </w:r>
          </w:p>
        </w:tc>
        <w:tc>
          <w:tcPr>
            <w:tcW w:w="1247" w:type="dxa"/>
            <w:gridSpan w:val="2"/>
            <w:tcBorders>
              <w:top w:val="nil"/>
              <w:left w:val="nil"/>
              <w:bottom w:val="nil"/>
              <w:right w:val="nil"/>
            </w:tcBorders>
            <w:shd w:val="clear" w:color="auto" w:fill="auto"/>
          </w:tcPr>
          <w:p w14:paraId="7F9C0BBF" w14:textId="08620FF0" w:rsidR="00102B4D" w:rsidRPr="00A1123E" w:rsidRDefault="00102B4D" w:rsidP="00102B4D">
            <w:pPr>
              <w:spacing w:after="0" w:line="240" w:lineRule="auto"/>
              <w:jc w:val="right"/>
              <w:rPr>
                <w:sz w:val="18"/>
                <w:szCs w:val="18"/>
              </w:rPr>
            </w:pPr>
            <w:r>
              <w:rPr>
                <w:rFonts w:ascii="Calibri" w:eastAsia="Calibri" w:hAnsi="Calibri" w:cs="Calibri"/>
                <w:color w:val="000000"/>
                <w:sz w:val="18"/>
                <w:szCs w:val="18"/>
                <w:lang w:eastAsia="hr-HR"/>
              </w:rPr>
              <w:t>14</w:t>
            </w:r>
            <w:r w:rsidR="00EE68B4">
              <w:rPr>
                <w:rFonts w:ascii="Calibri" w:eastAsia="Calibri" w:hAnsi="Calibri" w:cs="Calibri"/>
                <w:color w:val="000000"/>
                <w:sz w:val="18"/>
                <w:szCs w:val="18"/>
                <w:lang w:eastAsia="hr-HR"/>
              </w:rPr>
              <w:t>,</w:t>
            </w:r>
            <w:r>
              <w:rPr>
                <w:rFonts w:ascii="Calibri" w:eastAsia="Calibri" w:hAnsi="Calibri" w:cs="Calibri"/>
                <w:color w:val="000000"/>
                <w:sz w:val="18"/>
                <w:szCs w:val="18"/>
                <w:lang w:eastAsia="hr-HR"/>
              </w:rPr>
              <w:t>129</w:t>
            </w:r>
          </w:p>
        </w:tc>
        <w:tc>
          <w:tcPr>
            <w:tcW w:w="1276" w:type="dxa"/>
            <w:gridSpan w:val="3"/>
            <w:tcBorders>
              <w:top w:val="nil"/>
              <w:left w:val="nil"/>
              <w:bottom w:val="nil"/>
              <w:right w:val="nil"/>
            </w:tcBorders>
            <w:vAlign w:val="bottom"/>
          </w:tcPr>
          <w:p w14:paraId="207BA2DD" w14:textId="1758600E" w:rsidR="00102B4D" w:rsidRPr="00537128" w:rsidRDefault="00102B4D" w:rsidP="00102B4D">
            <w:pPr>
              <w:spacing w:after="0" w:line="240" w:lineRule="auto"/>
              <w:jc w:val="right"/>
              <w:rPr>
                <w:rFonts w:ascii="Calibri" w:eastAsia="Calibri" w:hAnsi="Calibri" w:cs="Arial"/>
                <w:sz w:val="18"/>
                <w:szCs w:val="18"/>
                <w:lang w:val="en-US"/>
              </w:rPr>
            </w:pPr>
            <w:r w:rsidRPr="00034BAA">
              <w:rPr>
                <w:rFonts w:ascii="Calibri" w:eastAsia="Calibri" w:hAnsi="Calibri"/>
                <w:color w:val="000000"/>
                <w:sz w:val="18"/>
                <w:szCs w:val="18"/>
              </w:rPr>
              <w:t>15</w:t>
            </w:r>
            <w:r>
              <w:rPr>
                <w:rFonts w:ascii="Calibri" w:eastAsia="Calibri" w:hAnsi="Calibri"/>
                <w:color w:val="000000"/>
                <w:sz w:val="18"/>
                <w:szCs w:val="18"/>
              </w:rPr>
              <w:t>,</w:t>
            </w:r>
            <w:r w:rsidRPr="00034BAA">
              <w:rPr>
                <w:rFonts w:ascii="Calibri" w:eastAsia="Calibri" w:hAnsi="Calibri"/>
                <w:color w:val="000000"/>
                <w:sz w:val="18"/>
                <w:szCs w:val="18"/>
              </w:rPr>
              <w:t>301</w:t>
            </w:r>
          </w:p>
        </w:tc>
        <w:tc>
          <w:tcPr>
            <w:tcW w:w="1276" w:type="dxa"/>
            <w:gridSpan w:val="3"/>
            <w:tcBorders>
              <w:top w:val="nil"/>
              <w:left w:val="nil"/>
              <w:bottom w:val="nil"/>
              <w:right w:val="nil"/>
            </w:tcBorders>
            <w:shd w:val="clear" w:color="auto" w:fill="auto"/>
          </w:tcPr>
          <w:p w14:paraId="4223B128" w14:textId="03D31A0A" w:rsidR="00102B4D" w:rsidRPr="00537128" w:rsidRDefault="00102B4D" w:rsidP="00102B4D">
            <w:pPr>
              <w:spacing w:after="0" w:line="240" w:lineRule="auto"/>
              <w:jc w:val="right"/>
              <w:rPr>
                <w:rFonts w:ascii="Calibri" w:eastAsia="Calibri" w:hAnsi="Calibri" w:cs="Arial"/>
                <w:sz w:val="18"/>
                <w:szCs w:val="18"/>
                <w:lang w:val="en-US"/>
              </w:rPr>
            </w:pPr>
            <w:r>
              <w:rPr>
                <w:rFonts w:ascii="Calibri" w:eastAsia="Calibri" w:hAnsi="Calibri" w:cs="Calibri"/>
                <w:color w:val="000000"/>
                <w:sz w:val="18"/>
                <w:szCs w:val="18"/>
                <w:lang w:eastAsia="hr-HR"/>
              </w:rPr>
              <w:t>14</w:t>
            </w:r>
            <w:r w:rsidR="00EE68B4">
              <w:rPr>
                <w:rFonts w:ascii="Calibri" w:eastAsia="Calibri" w:hAnsi="Calibri" w:cs="Calibri"/>
                <w:color w:val="000000"/>
                <w:sz w:val="18"/>
                <w:szCs w:val="18"/>
                <w:lang w:eastAsia="hr-HR"/>
              </w:rPr>
              <w:t>,</w:t>
            </w:r>
            <w:r>
              <w:rPr>
                <w:rFonts w:ascii="Calibri" w:eastAsia="Calibri" w:hAnsi="Calibri" w:cs="Calibri"/>
                <w:color w:val="000000"/>
                <w:sz w:val="18"/>
                <w:szCs w:val="18"/>
                <w:lang w:eastAsia="hr-HR"/>
              </w:rPr>
              <w:t>129</w:t>
            </w:r>
          </w:p>
        </w:tc>
        <w:tc>
          <w:tcPr>
            <w:tcW w:w="1276" w:type="dxa"/>
            <w:gridSpan w:val="3"/>
            <w:tcBorders>
              <w:top w:val="nil"/>
              <w:left w:val="nil"/>
              <w:bottom w:val="nil"/>
              <w:right w:val="nil"/>
            </w:tcBorders>
            <w:shd w:val="clear" w:color="auto" w:fill="auto"/>
            <w:vAlign w:val="bottom"/>
          </w:tcPr>
          <w:p w14:paraId="6E502033" w14:textId="7BE0DD02" w:rsidR="00102B4D" w:rsidRPr="00537128" w:rsidRDefault="00102B4D" w:rsidP="00102B4D">
            <w:pPr>
              <w:spacing w:after="0" w:line="240" w:lineRule="auto"/>
              <w:jc w:val="right"/>
              <w:rPr>
                <w:rFonts w:ascii="Calibri" w:eastAsia="Calibri" w:hAnsi="Calibri" w:cs="Arial"/>
                <w:sz w:val="18"/>
                <w:szCs w:val="18"/>
                <w:lang w:val="en-US"/>
              </w:rPr>
            </w:pPr>
            <w:r w:rsidRPr="00034BAA">
              <w:rPr>
                <w:rFonts w:ascii="Calibri" w:eastAsia="Calibri" w:hAnsi="Calibri" w:cs="Calibri"/>
                <w:color w:val="000000"/>
                <w:sz w:val="18"/>
                <w:szCs w:val="18"/>
                <w:lang w:eastAsia="hr-HR"/>
              </w:rPr>
              <w:t>15</w:t>
            </w:r>
            <w:r>
              <w:rPr>
                <w:rFonts w:ascii="Calibri" w:eastAsia="Calibri" w:hAnsi="Calibri" w:cs="Calibri"/>
                <w:color w:val="000000"/>
                <w:sz w:val="18"/>
                <w:szCs w:val="18"/>
                <w:lang w:eastAsia="hr-HR"/>
              </w:rPr>
              <w:t>,</w:t>
            </w:r>
            <w:r w:rsidRPr="00034BAA">
              <w:rPr>
                <w:rFonts w:ascii="Calibri" w:eastAsia="Calibri" w:hAnsi="Calibri" w:cs="Calibri"/>
                <w:color w:val="000000"/>
                <w:sz w:val="18"/>
                <w:szCs w:val="18"/>
                <w:lang w:eastAsia="hr-HR"/>
              </w:rPr>
              <w:t>301</w:t>
            </w:r>
          </w:p>
        </w:tc>
      </w:tr>
      <w:tr w:rsidR="00102B4D" w:rsidRPr="00537128" w14:paraId="184FF716" w14:textId="77777777" w:rsidTr="005B3D2C">
        <w:trPr>
          <w:gridAfter w:val="2"/>
          <w:wAfter w:w="29" w:type="dxa"/>
          <w:trHeight w:val="175"/>
        </w:trPr>
        <w:tc>
          <w:tcPr>
            <w:tcW w:w="2798" w:type="dxa"/>
            <w:tcBorders>
              <w:top w:val="nil"/>
              <w:left w:val="nil"/>
              <w:bottom w:val="nil"/>
              <w:right w:val="nil"/>
            </w:tcBorders>
            <w:shd w:val="clear" w:color="auto" w:fill="auto"/>
            <w:noWrap/>
            <w:vAlign w:val="bottom"/>
          </w:tcPr>
          <w:p w14:paraId="223F7D16" w14:textId="77777777" w:rsidR="00102B4D" w:rsidRPr="00537128" w:rsidRDefault="00102B4D" w:rsidP="00102B4D">
            <w:pPr>
              <w:spacing w:after="0" w:line="240" w:lineRule="auto"/>
              <w:jc w:val="right"/>
              <w:rPr>
                <w:rFonts w:ascii="Calibri" w:eastAsia="Calibri" w:hAnsi="Calibri" w:cs="Arial"/>
                <w:sz w:val="18"/>
                <w:szCs w:val="18"/>
                <w:lang w:val="en-US"/>
              </w:rPr>
            </w:pPr>
            <w:r w:rsidRPr="00537128">
              <w:rPr>
                <w:rFonts w:ascii="Calibri" w:eastAsia="Calibri" w:hAnsi="Calibri" w:cs="Calibri"/>
                <w:sz w:val="18"/>
                <w:szCs w:val="18"/>
                <w:lang w:val="en-US"/>
              </w:rPr>
              <w:t>XS1028953989</w:t>
            </w:r>
          </w:p>
        </w:tc>
        <w:tc>
          <w:tcPr>
            <w:tcW w:w="1120" w:type="dxa"/>
            <w:tcBorders>
              <w:top w:val="nil"/>
              <w:left w:val="nil"/>
              <w:bottom w:val="nil"/>
              <w:right w:val="nil"/>
            </w:tcBorders>
            <w:shd w:val="clear" w:color="auto" w:fill="auto"/>
            <w:noWrap/>
          </w:tcPr>
          <w:p w14:paraId="78AE7055" w14:textId="77777777" w:rsidR="00102B4D" w:rsidRPr="00537128" w:rsidRDefault="00102B4D" w:rsidP="00102B4D">
            <w:pPr>
              <w:spacing w:after="0" w:line="240" w:lineRule="auto"/>
              <w:jc w:val="right"/>
              <w:rPr>
                <w:rFonts w:ascii="Calibri" w:eastAsia="Calibri" w:hAnsi="Calibri" w:cs="Arial"/>
                <w:sz w:val="18"/>
                <w:szCs w:val="18"/>
                <w:lang w:val="en-US"/>
              </w:rPr>
            </w:pPr>
            <w:r w:rsidRPr="00537128">
              <w:rPr>
                <w:rFonts w:ascii="Calibri" w:eastAsia="Calibri" w:hAnsi="Calibri" w:cs="Times New Roman"/>
                <w:sz w:val="18"/>
                <w:szCs w:val="18"/>
                <w:lang w:val="en-US"/>
              </w:rPr>
              <w:t>17.06.2020.</w:t>
            </w:r>
          </w:p>
        </w:tc>
        <w:tc>
          <w:tcPr>
            <w:tcW w:w="1121" w:type="dxa"/>
            <w:tcBorders>
              <w:top w:val="nil"/>
              <w:left w:val="nil"/>
              <w:bottom w:val="nil"/>
              <w:right w:val="nil"/>
            </w:tcBorders>
            <w:shd w:val="clear" w:color="auto" w:fill="auto"/>
            <w:noWrap/>
          </w:tcPr>
          <w:p w14:paraId="571867AF" w14:textId="77777777" w:rsidR="00102B4D" w:rsidRPr="00537128" w:rsidRDefault="00102B4D" w:rsidP="00102B4D">
            <w:pPr>
              <w:spacing w:after="0" w:line="240" w:lineRule="auto"/>
              <w:jc w:val="right"/>
              <w:rPr>
                <w:rFonts w:ascii="Calibri" w:eastAsia="Calibri" w:hAnsi="Calibri" w:cs="Arial"/>
                <w:sz w:val="18"/>
                <w:szCs w:val="18"/>
                <w:lang w:val="en-US"/>
              </w:rPr>
            </w:pPr>
            <w:r w:rsidRPr="00537128">
              <w:rPr>
                <w:rFonts w:ascii="Calibri" w:eastAsia="Calibri" w:hAnsi="Calibri" w:cs="Times New Roman"/>
                <w:sz w:val="18"/>
                <w:szCs w:val="18"/>
                <w:lang w:val="en-US"/>
              </w:rPr>
              <w:t>17.06.2031.</w:t>
            </w:r>
          </w:p>
        </w:tc>
        <w:tc>
          <w:tcPr>
            <w:tcW w:w="914" w:type="dxa"/>
            <w:tcBorders>
              <w:top w:val="nil"/>
              <w:left w:val="nil"/>
              <w:bottom w:val="nil"/>
              <w:right w:val="nil"/>
            </w:tcBorders>
            <w:shd w:val="clear" w:color="auto" w:fill="auto"/>
            <w:noWrap/>
          </w:tcPr>
          <w:p w14:paraId="5E4E99B0" w14:textId="77777777" w:rsidR="00102B4D" w:rsidRPr="00537128" w:rsidRDefault="00102B4D" w:rsidP="00102B4D">
            <w:pPr>
              <w:spacing w:after="0" w:line="240" w:lineRule="auto"/>
              <w:jc w:val="center"/>
              <w:rPr>
                <w:rFonts w:ascii="Calibri" w:eastAsia="Calibri" w:hAnsi="Calibri" w:cs="Arial"/>
                <w:sz w:val="18"/>
                <w:szCs w:val="18"/>
                <w:lang w:val="en-US"/>
              </w:rPr>
            </w:pPr>
            <w:r w:rsidRPr="00537128">
              <w:rPr>
                <w:rFonts w:ascii="Calibri" w:eastAsia="Calibri" w:hAnsi="Calibri" w:cs="Times New Roman"/>
                <w:sz w:val="18"/>
                <w:szCs w:val="18"/>
                <w:lang w:val="en-US"/>
              </w:rPr>
              <w:t>1,500</w:t>
            </w:r>
          </w:p>
        </w:tc>
        <w:tc>
          <w:tcPr>
            <w:tcW w:w="1247" w:type="dxa"/>
            <w:gridSpan w:val="2"/>
            <w:tcBorders>
              <w:top w:val="nil"/>
              <w:left w:val="nil"/>
              <w:bottom w:val="nil"/>
              <w:right w:val="nil"/>
            </w:tcBorders>
            <w:shd w:val="clear" w:color="auto" w:fill="auto"/>
          </w:tcPr>
          <w:p w14:paraId="086ACB1C" w14:textId="5F04413B" w:rsidR="00102B4D" w:rsidRPr="00A1123E" w:rsidRDefault="00102B4D" w:rsidP="00102B4D">
            <w:pPr>
              <w:spacing w:after="0" w:line="240" w:lineRule="auto"/>
              <w:jc w:val="right"/>
              <w:rPr>
                <w:sz w:val="18"/>
                <w:szCs w:val="18"/>
              </w:rPr>
            </w:pPr>
            <w:r>
              <w:rPr>
                <w:rFonts w:ascii="Calibri" w:eastAsia="Calibri" w:hAnsi="Calibri" w:cs="Calibri"/>
                <w:color w:val="000000"/>
                <w:sz w:val="18"/>
                <w:szCs w:val="18"/>
                <w:lang w:eastAsia="hr-HR"/>
              </w:rPr>
              <w:t>54</w:t>
            </w:r>
            <w:r w:rsidR="00EE68B4">
              <w:rPr>
                <w:rFonts w:ascii="Calibri" w:eastAsia="Calibri" w:hAnsi="Calibri" w:cs="Calibri"/>
                <w:color w:val="000000"/>
                <w:sz w:val="18"/>
                <w:szCs w:val="18"/>
                <w:lang w:eastAsia="hr-HR"/>
              </w:rPr>
              <w:t>,</w:t>
            </w:r>
            <w:r>
              <w:rPr>
                <w:rFonts w:ascii="Calibri" w:eastAsia="Calibri" w:hAnsi="Calibri" w:cs="Calibri"/>
                <w:color w:val="000000"/>
                <w:sz w:val="18"/>
                <w:szCs w:val="18"/>
                <w:lang w:eastAsia="hr-HR"/>
              </w:rPr>
              <w:t>012</w:t>
            </w:r>
          </w:p>
        </w:tc>
        <w:tc>
          <w:tcPr>
            <w:tcW w:w="1276" w:type="dxa"/>
            <w:gridSpan w:val="3"/>
            <w:tcBorders>
              <w:top w:val="nil"/>
              <w:left w:val="nil"/>
              <w:bottom w:val="nil"/>
              <w:right w:val="nil"/>
            </w:tcBorders>
            <w:vAlign w:val="bottom"/>
          </w:tcPr>
          <w:p w14:paraId="03FEA04E" w14:textId="57EDC0E0" w:rsidR="00102B4D" w:rsidRPr="00537128" w:rsidRDefault="00102B4D" w:rsidP="00102B4D">
            <w:pPr>
              <w:spacing w:after="0" w:line="240" w:lineRule="auto"/>
              <w:jc w:val="right"/>
              <w:rPr>
                <w:rFonts w:ascii="Calibri" w:eastAsia="Calibri" w:hAnsi="Calibri" w:cs="Times New Roman"/>
                <w:color w:val="000000"/>
                <w:sz w:val="18"/>
                <w:szCs w:val="18"/>
                <w:lang w:val="en-US"/>
              </w:rPr>
            </w:pPr>
            <w:r w:rsidRPr="00034BAA">
              <w:rPr>
                <w:rFonts w:ascii="Calibri" w:eastAsia="Calibri" w:hAnsi="Calibri"/>
                <w:color w:val="000000"/>
                <w:sz w:val="18"/>
                <w:szCs w:val="18"/>
              </w:rPr>
              <w:t>54</w:t>
            </w:r>
            <w:r>
              <w:rPr>
                <w:rFonts w:ascii="Calibri" w:eastAsia="Calibri" w:hAnsi="Calibri"/>
                <w:color w:val="000000"/>
                <w:sz w:val="18"/>
                <w:szCs w:val="18"/>
              </w:rPr>
              <w:t>,</w:t>
            </w:r>
            <w:r w:rsidRPr="00034BAA">
              <w:rPr>
                <w:rFonts w:ascii="Calibri" w:eastAsia="Calibri" w:hAnsi="Calibri"/>
                <w:color w:val="000000"/>
                <w:sz w:val="18"/>
                <w:szCs w:val="18"/>
              </w:rPr>
              <w:t>241</w:t>
            </w:r>
          </w:p>
        </w:tc>
        <w:tc>
          <w:tcPr>
            <w:tcW w:w="1276" w:type="dxa"/>
            <w:gridSpan w:val="3"/>
            <w:tcBorders>
              <w:top w:val="nil"/>
              <w:left w:val="nil"/>
              <w:bottom w:val="nil"/>
              <w:right w:val="nil"/>
            </w:tcBorders>
            <w:shd w:val="clear" w:color="auto" w:fill="auto"/>
          </w:tcPr>
          <w:p w14:paraId="5A588D7A" w14:textId="4D4F62BD" w:rsidR="00102B4D" w:rsidRPr="00537128" w:rsidRDefault="00102B4D" w:rsidP="00102B4D">
            <w:pPr>
              <w:spacing w:after="0" w:line="240" w:lineRule="auto"/>
              <w:jc w:val="right"/>
              <w:rPr>
                <w:rFonts w:ascii="Calibri" w:eastAsia="Calibri" w:hAnsi="Calibri" w:cs="Arial"/>
                <w:sz w:val="18"/>
                <w:szCs w:val="18"/>
                <w:lang w:val="en-US"/>
              </w:rPr>
            </w:pPr>
            <w:r>
              <w:rPr>
                <w:rFonts w:ascii="Calibri" w:eastAsia="Calibri" w:hAnsi="Calibri" w:cs="Calibri"/>
                <w:color w:val="000000"/>
                <w:sz w:val="18"/>
                <w:szCs w:val="18"/>
                <w:lang w:eastAsia="hr-HR"/>
              </w:rPr>
              <w:t>54</w:t>
            </w:r>
            <w:r w:rsidR="00EE68B4">
              <w:rPr>
                <w:rFonts w:ascii="Calibri" w:eastAsia="Calibri" w:hAnsi="Calibri" w:cs="Calibri"/>
                <w:color w:val="000000"/>
                <w:sz w:val="18"/>
                <w:szCs w:val="18"/>
                <w:lang w:eastAsia="hr-HR"/>
              </w:rPr>
              <w:t>,</w:t>
            </w:r>
            <w:r>
              <w:rPr>
                <w:rFonts w:ascii="Calibri" w:eastAsia="Calibri" w:hAnsi="Calibri" w:cs="Calibri"/>
                <w:color w:val="000000"/>
                <w:sz w:val="18"/>
                <w:szCs w:val="18"/>
                <w:lang w:eastAsia="hr-HR"/>
              </w:rPr>
              <w:t>012</w:t>
            </w:r>
          </w:p>
        </w:tc>
        <w:tc>
          <w:tcPr>
            <w:tcW w:w="1276" w:type="dxa"/>
            <w:gridSpan w:val="3"/>
            <w:tcBorders>
              <w:top w:val="nil"/>
              <w:left w:val="nil"/>
              <w:bottom w:val="nil"/>
              <w:right w:val="nil"/>
            </w:tcBorders>
            <w:shd w:val="clear" w:color="auto" w:fill="auto"/>
            <w:vAlign w:val="bottom"/>
          </w:tcPr>
          <w:p w14:paraId="1238638E" w14:textId="101DDE88" w:rsidR="00102B4D" w:rsidRPr="00537128" w:rsidRDefault="00102B4D" w:rsidP="00102B4D">
            <w:pPr>
              <w:spacing w:after="0" w:line="240" w:lineRule="auto"/>
              <w:jc w:val="right"/>
              <w:rPr>
                <w:rFonts w:ascii="Calibri" w:eastAsia="Calibri" w:hAnsi="Calibri" w:cs="Times New Roman"/>
                <w:color w:val="000000"/>
                <w:sz w:val="18"/>
                <w:szCs w:val="18"/>
                <w:lang w:val="en-US"/>
              </w:rPr>
            </w:pPr>
            <w:r w:rsidRPr="00034BAA">
              <w:rPr>
                <w:rFonts w:ascii="Calibri" w:eastAsia="Calibri" w:hAnsi="Calibri" w:cs="Calibri"/>
                <w:color w:val="000000"/>
                <w:sz w:val="18"/>
                <w:szCs w:val="18"/>
                <w:lang w:eastAsia="hr-HR"/>
              </w:rPr>
              <w:t>54</w:t>
            </w:r>
            <w:r>
              <w:rPr>
                <w:rFonts w:ascii="Calibri" w:eastAsia="Calibri" w:hAnsi="Calibri" w:cs="Calibri"/>
                <w:color w:val="000000"/>
                <w:sz w:val="18"/>
                <w:szCs w:val="18"/>
                <w:lang w:eastAsia="hr-HR"/>
              </w:rPr>
              <w:t>,</w:t>
            </w:r>
            <w:r w:rsidRPr="00034BAA">
              <w:rPr>
                <w:rFonts w:ascii="Calibri" w:eastAsia="Calibri" w:hAnsi="Calibri" w:cs="Calibri"/>
                <w:color w:val="000000"/>
                <w:sz w:val="18"/>
                <w:szCs w:val="18"/>
                <w:lang w:eastAsia="hr-HR"/>
              </w:rPr>
              <w:t>241</w:t>
            </w:r>
          </w:p>
        </w:tc>
      </w:tr>
      <w:tr w:rsidR="00102B4D" w:rsidRPr="00537128" w14:paraId="246FA4F1" w14:textId="77777777" w:rsidTr="005B3D2C">
        <w:trPr>
          <w:gridAfter w:val="2"/>
          <w:wAfter w:w="29" w:type="dxa"/>
          <w:trHeight w:val="175"/>
        </w:trPr>
        <w:tc>
          <w:tcPr>
            <w:tcW w:w="3918" w:type="dxa"/>
            <w:gridSpan w:val="2"/>
            <w:tcBorders>
              <w:top w:val="nil"/>
              <w:left w:val="nil"/>
              <w:bottom w:val="nil"/>
              <w:right w:val="nil"/>
            </w:tcBorders>
            <w:shd w:val="clear" w:color="auto" w:fill="auto"/>
            <w:noWrap/>
            <w:vAlign w:val="bottom"/>
            <w:hideMark/>
          </w:tcPr>
          <w:p w14:paraId="4EC6B8D2" w14:textId="77777777" w:rsidR="00102B4D" w:rsidRPr="00537128" w:rsidRDefault="00102B4D" w:rsidP="00102B4D">
            <w:pPr>
              <w:spacing w:after="0" w:line="240" w:lineRule="auto"/>
              <w:rPr>
                <w:rFonts w:ascii="Calibri" w:eastAsia="Calibri" w:hAnsi="Calibri" w:cs="Arial"/>
                <w:i/>
                <w:iCs/>
                <w:sz w:val="18"/>
                <w:szCs w:val="18"/>
                <w:lang w:val="en-US"/>
              </w:rPr>
            </w:pPr>
            <w:r w:rsidRPr="00537128">
              <w:rPr>
                <w:rFonts w:ascii="Calibri" w:eastAsia="Calibri" w:hAnsi="Calibri" w:cs="Arial"/>
                <w:i/>
                <w:color w:val="000000"/>
                <w:sz w:val="18"/>
                <w:szCs w:val="18"/>
                <w:lang w:val="en-US" w:eastAsia="hr-HR"/>
              </w:rPr>
              <w:t>Bonds of the Republic of Croatia in HRK:</w:t>
            </w:r>
          </w:p>
        </w:tc>
        <w:tc>
          <w:tcPr>
            <w:tcW w:w="1121" w:type="dxa"/>
            <w:tcBorders>
              <w:top w:val="nil"/>
              <w:left w:val="nil"/>
              <w:bottom w:val="nil"/>
              <w:right w:val="nil"/>
            </w:tcBorders>
            <w:shd w:val="clear" w:color="auto" w:fill="auto"/>
            <w:noWrap/>
            <w:vAlign w:val="bottom"/>
            <w:hideMark/>
          </w:tcPr>
          <w:p w14:paraId="38AD221D" w14:textId="77777777" w:rsidR="00102B4D" w:rsidRPr="00537128" w:rsidRDefault="00102B4D" w:rsidP="00102B4D">
            <w:pPr>
              <w:spacing w:after="0" w:line="240" w:lineRule="auto"/>
              <w:rPr>
                <w:rFonts w:ascii="Calibri" w:eastAsia="Calibri" w:hAnsi="Calibri" w:cs="Arial"/>
                <w:i/>
                <w:iCs/>
                <w:sz w:val="18"/>
                <w:szCs w:val="18"/>
                <w:lang w:val="en-US"/>
              </w:rPr>
            </w:pPr>
          </w:p>
        </w:tc>
        <w:tc>
          <w:tcPr>
            <w:tcW w:w="914" w:type="dxa"/>
            <w:tcBorders>
              <w:top w:val="nil"/>
              <w:left w:val="nil"/>
              <w:bottom w:val="nil"/>
              <w:right w:val="nil"/>
            </w:tcBorders>
            <w:shd w:val="clear" w:color="auto" w:fill="auto"/>
            <w:noWrap/>
            <w:vAlign w:val="bottom"/>
            <w:hideMark/>
          </w:tcPr>
          <w:p w14:paraId="6502737F" w14:textId="77777777" w:rsidR="00102B4D" w:rsidRPr="00537128" w:rsidRDefault="00102B4D" w:rsidP="00102B4D">
            <w:pPr>
              <w:spacing w:after="0" w:line="240" w:lineRule="auto"/>
              <w:rPr>
                <w:rFonts w:ascii="Calibri" w:eastAsia="Calibri" w:hAnsi="Calibri" w:cs="Times New Roman"/>
                <w:sz w:val="18"/>
                <w:szCs w:val="18"/>
                <w:lang w:val="en-US"/>
              </w:rPr>
            </w:pPr>
          </w:p>
        </w:tc>
        <w:tc>
          <w:tcPr>
            <w:tcW w:w="1276" w:type="dxa"/>
            <w:gridSpan w:val="3"/>
            <w:tcBorders>
              <w:top w:val="nil"/>
              <w:left w:val="nil"/>
              <w:bottom w:val="nil"/>
              <w:right w:val="nil"/>
            </w:tcBorders>
            <w:shd w:val="clear" w:color="auto" w:fill="auto"/>
            <w:vAlign w:val="bottom"/>
          </w:tcPr>
          <w:p w14:paraId="2A15BB7C" w14:textId="77777777" w:rsidR="00102B4D" w:rsidRPr="00A1123E" w:rsidRDefault="00102B4D" w:rsidP="00102B4D">
            <w:pPr>
              <w:spacing w:after="0" w:line="240" w:lineRule="auto"/>
              <w:jc w:val="right"/>
              <w:rPr>
                <w:sz w:val="18"/>
                <w:szCs w:val="18"/>
              </w:rPr>
            </w:pPr>
          </w:p>
        </w:tc>
        <w:tc>
          <w:tcPr>
            <w:tcW w:w="1247" w:type="dxa"/>
            <w:gridSpan w:val="2"/>
            <w:tcBorders>
              <w:top w:val="nil"/>
              <w:left w:val="nil"/>
              <w:bottom w:val="nil"/>
              <w:right w:val="nil"/>
            </w:tcBorders>
            <w:shd w:val="clear" w:color="auto" w:fill="auto"/>
            <w:vAlign w:val="bottom"/>
          </w:tcPr>
          <w:p w14:paraId="1EC6508D" w14:textId="77777777" w:rsidR="00102B4D" w:rsidRPr="00537128" w:rsidRDefault="00102B4D" w:rsidP="00102B4D">
            <w:pPr>
              <w:spacing w:after="0" w:line="240" w:lineRule="auto"/>
              <w:jc w:val="right"/>
              <w:rPr>
                <w:rFonts w:ascii="Calibri" w:eastAsia="Calibri" w:hAnsi="Calibri" w:cs="Times New Roman"/>
                <w:sz w:val="18"/>
                <w:szCs w:val="18"/>
                <w:lang w:val="en-US"/>
              </w:rPr>
            </w:pPr>
          </w:p>
        </w:tc>
        <w:tc>
          <w:tcPr>
            <w:tcW w:w="1276" w:type="dxa"/>
            <w:gridSpan w:val="3"/>
            <w:tcBorders>
              <w:top w:val="nil"/>
              <w:left w:val="nil"/>
              <w:bottom w:val="nil"/>
              <w:right w:val="nil"/>
            </w:tcBorders>
            <w:shd w:val="clear" w:color="auto" w:fill="auto"/>
            <w:vAlign w:val="bottom"/>
          </w:tcPr>
          <w:p w14:paraId="390CF628" w14:textId="77777777" w:rsidR="00102B4D" w:rsidRPr="00537128" w:rsidRDefault="00102B4D" w:rsidP="00102B4D">
            <w:pPr>
              <w:spacing w:after="0" w:line="240" w:lineRule="auto"/>
              <w:jc w:val="center"/>
              <w:rPr>
                <w:rFonts w:ascii="Calibri" w:eastAsia="Calibri" w:hAnsi="Calibri" w:cs="Times New Roman"/>
                <w:sz w:val="18"/>
                <w:szCs w:val="18"/>
                <w:lang w:val="en-US"/>
              </w:rPr>
            </w:pPr>
          </w:p>
        </w:tc>
        <w:tc>
          <w:tcPr>
            <w:tcW w:w="1276" w:type="dxa"/>
            <w:gridSpan w:val="3"/>
            <w:tcBorders>
              <w:top w:val="nil"/>
              <w:left w:val="nil"/>
              <w:bottom w:val="nil"/>
              <w:right w:val="nil"/>
            </w:tcBorders>
            <w:shd w:val="clear" w:color="auto" w:fill="auto"/>
            <w:vAlign w:val="bottom"/>
          </w:tcPr>
          <w:p w14:paraId="414C3A91" w14:textId="77777777" w:rsidR="00102B4D" w:rsidRPr="00537128" w:rsidRDefault="00102B4D" w:rsidP="00102B4D">
            <w:pPr>
              <w:spacing w:after="0" w:line="240" w:lineRule="auto"/>
              <w:jc w:val="right"/>
              <w:rPr>
                <w:rFonts w:ascii="Calibri" w:eastAsia="Calibri" w:hAnsi="Calibri" w:cs="Times New Roman"/>
                <w:sz w:val="18"/>
                <w:szCs w:val="18"/>
                <w:lang w:val="en-US"/>
              </w:rPr>
            </w:pPr>
          </w:p>
        </w:tc>
      </w:tr>
      <w:tr w:rsidR="004513BA" w:rsidRPr="00537128" w14:paraId="676AFD0D" w14:textId="77777777" w:rsidTr="005B3D2C">
        <w:trPr>
          <w:gridAfter w:val="2"/>
          <w:wAfter w:w="29" w:type="dxa"/>
          <w:trHeight w:val="175"/>
        </w:trPr>
        <w:tc>
          <w:tcPr>
            <w:tcW w:w="2798" w:type="dxa"/>
            <w:tcBorders>
              <w:top w:val="nil"/>
              <w:left w:val="nil"/>
              <w:bottom w:val="nil"/>
              <w:right w:val="nil"/>
            </w:tcBorders>
            <w:shd w:val="clear" w:color="auto" w:fill="auto"/>
            <w:noWrap/>
            <w:vAlign w:val="bottom"/>
            <w:hideMark/>
          </w:tcPr>
          <w:p w14:paraId="5D741BBC" w14:textId="77777777" w:rsidR="004513BA" w:rsidRPr="00537128" w:rsidRDefault="004513BA" w:rsidP="004513BA">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RHMF-O-257A</w:t>
            </w:r>
          </w:p>
        </w:tc>
        <w:tc>
          <w:tcPr>
            <w:tcW w:w="1120" w:type="dxa"/>
            <w:tcBorders>
              <w:top w:val="nil"/>
              <w:left w:val="nil"/>
              <w:bottom w:val="nil"/>
              <w:right w:val="nil"/>
            </w:tcBorders>
            <w:shd w:val="clear" w:color="auto" w:fill="auto"/>
            <w:noWrap/>
            <w:vAlign w:val="bottom"/>
            <w:hideMark/>
          </w:tcPr>
          <w:p w14:paraId="4A58E4F2" w14:textId="77777777" w:rsidR="004513BA" w:rsidRPr="00537128" w:rsidRDefault="004513BA" w:rsidP="004513BA">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9.7.2015.</w:t>
            </w:r>
          </w:p>
        </w:tc>
        <w:tc>
          <w:tcPr>
            <w:tcW w:w="1121" w:type="dxa"/>
            <w:tcBorders>
              <w:top w:val="nil"/>
              <w:left w:val="nil"/>
              <w:bottom w:val="nil"/>
              <w:right w:val="nil"/>
            </w:tcBorders>
            <w:shd w:val="clear" w:color="auto" w:fill="auto"/>
            <w:noWrap/>
            <w:vAlign w:val="bottom"/>
            <w:hideMark/>
          </w:tcPr>
          <w:p w14:paraId="4F53F619" w14:textId="77777777" w:rsidR="004513BA" w:rsidRPr="00537128" w:rsidRDefault="004513BA" w:rsidP="004513BA">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9.7.2025.</w:t>
            </w:r>
          </w:p>
        </w:tc>
        <w:tc>
          <w:tcPr>
            <w:tcW w:w="914" w:type="dxa"/>
            <w:tcBorders>
              <w:top w:val="nil"/>
              <w:left w:val="nil"/>
              <w:bottom w:val="nil"/>
              <w:right w:val="nil"/>
            </w:tcBorders>
            <w:shd w:val="clear" w:color="auto" w:fill="auto"/>
            <w:noWrap/>
            <w:vAlign w:val="bottom"/>
            <w:hideMark/>
          </w:tcPr>
          <w:p w14:paraId="63150348" w14:textId="77777777" w:rsidR="004513BA" w:rsidRPr="00537128" w:rsidRDefault="004513BA" w:rsidP="004513BA">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4.5</w:t>
            </w:r>
          </w:p>
        </w:tc>
        <w:tc>
          <w:tcPr>
            <w:tcW w:w="1247" w:type="dxa"/>
            <w:gridSpan w:val="2"/>
            <w:tcBorders>
              <w:top w:val="nil"/>
              <w:left w:val="nil"/>
              <w:bottom w:val="nil"/>
              <w:right w:val="nil"/>
            </w:tcBorders>
          </w:tcPr>
          <w:p w14:paraId="382BD811" w14:textId="6B279BD8" w:rsidR="004513BA" w:rsidRPr="00A1123E" w:rsidRDefault="004513BA" w:rsidP="004513BA">
            <w:pPr>
              <w:spacing w:after="0" w:line="240" w:lineRule="auto"/>
              <w:jc w:val="right"/>
              <w:rPr>
                <w:sz w:val="18"/>
                <w:szCs w:val="18"/>
              </w:rPr>
            </w:pPr>
            <w:r>
              <w:rPr>
                <w:rFonts w:ascii="Calibri" w:eastAsia="Calibri" w:hAnsi="Calibri" w:cs="Times New Roman"/>
                <w:color w:val="000000"/>
                <w:sz w:val="18"/>
                <w:szCs w:val="18"/>
              </w:rPr>
              <w:t>9</w:t>
            </w:r>
            <w:r w:rsidR="00EE68B4">
              <w:rPr>
                <w:rFonts w:ascii="Calibri" w:eastAsia="Calibri" w:hAnsi="Calibri" w:cs="Times New Roman"/>
                <w:color w:val="000000"/>
                <w:sz w:val="18"/>
                <w:szCs w:val="18"/>
              </w:rPr>
              <w:t>,</w:t>
            </w:r>
            <w:r>
              <w:rPr>
                <w:rFonts w:ascii="Calibri" w:eastAsia="Calibri" w:hAnsi="Calibri" w:cs="Times New Roman"/>
                <w:color w:val="000000"/>
                <w:sz w:val="18"/>
                <w:szCs w:val="18"/>
              </w:rPr>
              <w:t>309</w:t>
            </w:r>
          </w:p>
        </w:tc>
        <w:tc>
          <w:tcPr>
            <w:tcW w:w="1276" w:type="dxa"/>
            <w:gridSpan w:val="3"/>
            <w:tcBorders>
              <w:top w:val="nil"/>
              <w:left w:val="nil"/>
              <w:bottom w:val="nil"/>
              <w:right w:val="nil"/>
            </w:tcBorders>
            <w:vAlign w:val="bottom"/>
          </w:tcPr>
          <w:p w14:paraId="050CE822" w14:textId="320E4E52" w:rsidR="004513BA" w:rsidRPr="00537128" w:rsidRDefault="004513BA" w:rsidP="004513BA">
            <w:pPr>
              <w:spacing w:after="0" w:line="240" w:lineRule="auto"/>
              <w:jc w:val="right"/>
              <w:rPr>
                <w:rFonts w:ascii="Calibri" w:eastAsia="Calibri" w:hAnsi="Calibri" w:cs="Arial"/>
                <w:sz w:val="18"/>
                <w:szCs w:val="18"/>
                <w:lang w:val="en-US"/>
              </w:rPr>
            </w:pPr>
            <w:r w:rsidRPr="00034BAA">
              <w:rPr>
                <w:rFonts w:ascii="Calibri" w:eastAsia="Calibri" w:hAnsi="Calibri"/>
                <w:color w:val="000000"/>
                <w:sz w:val="18"/>
                <w:szCs w:val="18"/>
              </w:rPr>
              <w:t>9</w:t>
            </w:r>
            <w:r>
              <w:rPr>
                <w:rFonts w:ascii="Calibri" w:eastAsia="Calibri" w:hAnsi="Calibri"/>
                <w:color w:val="000000"/>
                <w:sz w:val="18"/>
                <w:szCs w:val="18"/>
              </w:rPr>
              <w:t>,</w:t>
            </w:r>
            <w:r w:rsidRPr="00034BAA">
              <w:rPr>
                <w:rFonts w:ascii="Calibri" w:eastAsia="Calibri" w:hAnsi="Calibri"/>
                <w:color w:val="000000"/>
                <w:sz w:val="18"/>
                <w:szCs w:val="18"/>
              </w:rPr>
              <w:t>648</w:t>
            </w:r>
          </w:p>
        </w:tc>
        <w:tc>
          <w:tcPr>
            <w:tcW w:w="1276" w:type="dxa"/>
            <w:gridSpan w:val="3"/>
            <w:tcBorders>
              <w:top w:val="nil"/>
              <w:left w:val="nil"/>
              <w:bottom w:val="nil"/>
              <w:right w:val="nil"/>
            </w:tcBorders>
            <w:shd w:val="clear" w:color="auto" w:fill="auto"/>
            <w:vAlign w:val="bottom"/>
          </w:tcPr>
          <w:p w14:paraId="5B321FAA" w14:textId="5AE20B1F" w:rsidR="004513BA" w:rsidRPr="00537128" w:rsidRDefault="004513BA" w:rsidP="004513BA">
            <w:pPr>
              <w:spacing w:after="0" w:line="240" w:lineRule="auto"/>
              <w:jc w:val="right"/>
              <w:rPr>
                <w:rFonts w:ascii="Calibri" w:eastAsia="Calibri" w:hAnsi="Calibri" w:cs="Arial"/>
                <w:sz w:val="18"/>
                <w:szCs w:val="18"/>
                <w:lang w:val="en-US"/>
              </w:rPr>
            </w:pPr>
            <w:r>
              <w:rPr>
                <w:rFonts w:ascii="Calibri" w:eastAsia="Calibri" w:hAnsi="Calibri" w:cs="Calibri"/>
                <w:color w:val="000000"/>
                <w:sz w:val="18"/>
                <w:szCs w:val="18"/>
                <w:lang w:eastAsia="hr-HR"/>
              </w:rPr>
              <w:t>-</w:t>
            </w:r>
          </w:p>
        </w:tc>
        <w:tc>
          <w:tcPr>
            <w:tcW w:w="1276" w:type="dxa"/>
            <w:gridSpan w:val="3"/>
            <w:tcBorders>
              <w:top w:val="nil"/>
              <w:left w:val="nil"/>
              <w:bottom w:val="nil"/>
              <w:right w:val="nil"/>
            </w:tcBorders>
            <w:shd w:val="clear" w:color="auto" w:fill="auto"/>
            <w:vAlign w:val="bottom"/>
          </w:tcPr>
          <w:p w14:paraId="2CF5A941" w14:textId="6F404AC0" w:rsidR="004513BA" w:rsidRPr="00537128" w:rsidRDefault="004513BA" w:rsidP="004513BA">
            <w:pPr>
              <w:spacing w:after="0" w:line="240" w:lineRule="auto"/>
              <w:jc w:val="right"/>
              <w:rPr>
                <w:rFonts w:ascii="Calibri" w:eastAsia="Calibri" w:hAnsi="Calibri" w:cs="Arial"/>
                <w:sz w:val="18"/>
                <w:szCs w:val="18"/>
                <w:lang w:val="en-US"/>
              </w:rPr>
            </w:pPr>
            <w:r>
              <w:rPr>
                <w:rFonts w:ascii="Calibri" w:eastAsia="Calibri" w:hAnsi="Calibri" w:cs="Calibri"/>
                <w:color w:val="000000"/>
                <w:sz w:val="18"/>
                <w:szCs w:val="18"/>
                <w:lang w:eastAsia="hr-HR"/>
              </w:rPr>
              <w:t>-</w:t>
            </w:r>
          </w:p>
        </w:tc>
      </w:tr>
      <w:tr w:rsidR="004513BA" w:rsidRPr="00537128" w14:paraId="4AF9E76B" w14:textId="77777777" w:rsidTr="005B3D2C">
        <w:trPr>
          <w:gridAfter w:val="2"/>
          <w:wAfter w:w="29" w:type="dxa"/>
          <w:trHeight w:val="175"/>
        </w:trPr>
        <w:tc>
          <w:tcPr>
            <w:tcW w:w="2798" w:type="dxa"/>
            <w:tcBorders>
              <w:top w:val="nil"/>
              <w:left w:val="nil"/>
              <w:bottom w:val="nil"/>
              <w:right w:val="nil"/>
            </w:tcBorders>
            <w:shd w:val="clear" w:color="auto" w:fill="auto"/>
            <w:noWrap/>
            <w:vAlign w:val="bottom"/>
            <w:hideMark/>
          </w:tcPr>
          <w:p w14:paraId="0E7ABEC8" w14:textId="77777777" w:rsidR="004513BA" w:rsidRPr="00537128" w:rsidRDefault="004513BA" w:rsidP="004513BA">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RHMF-O-26CA</w:t>
            </w:r>
          </w:p>
        </w:tc>
        <w:tc>
          <w:tcPr>
            <w:tcW w:w="1120" w:type="dxa"/>
            <w:tcBorders>
              <w:top w:val="nil"/>
              <w:left w:val="nil"/>
              <w:bottom w:val="nil"/>
              <w:right w:val="nil"/>
            </w:tcBorders>
            <w:shd w:val="clear" w:color="auto" w:fill="auto"/>
            <w:noWrap/>
            <w:vAlign w:val="bottom"/>
            <w:hideMark/>
          </w:tcPr>
          <w:p w14:paraId="15F5B715" w14:textId="77777777" w:rsidR="004513BA" w:rsidRPr="00537128" w:rsidRDefault="004513BA" w:rsidP="004513BA">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14.12.2015.</w:t>
            </w:r>
          </w:p>
        </w:tc>
        <w:tc>
          <w:tcPr>
            <w:tcW w:w="1121" w:type="dxa"/>
            <w:tcBorders>
              <w:top w:val="nil"/>
              <w:left w:val="nil"/>
              <w:bottom w:val="nil"/>
              <w:right w:val="nil"/>
            </w:tcBorders>
            <w:shd w:val="clear" w:color="auto" w:fill="auto"/>
            <w:noWrap/>
            <w:vAlign w:val="bottom"/>
            <w:hideMark/>
          </w:tcPr>
          <w:p w14:paraId="0E7D4B7E" w14:textId="77777777" w:rsidR="004513BA" w:rsidRPr="00537128" w:rsidRDefault="004513BA" w:rsidP="004513BA">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14.12.2026.</w:t>
            </w:r>
          </w:p>
        </w:tc>
        <w:tc>
          <w:tcPr>
            <w:tcW w:w="914" w:type="dxa"/>
            <w:tcBorders>
              <w:top w:val="nil"/>
              <w:left w:val="nil"/>
              <w:bottom w:val="nil"/>
              <w:right w:val="nil"/>
            </w:tcBorders>
            <w:shd w:val="clear" w:color="auto" w:fill="auto"/>
            <w:noWrap/>
            <w:vAlign w:val="bottom"/>
            <w:hideMark/>
          </w:tcPr>
          <w:p w14:paraId="77C5D05A" w14:textId="77777777" w:rsidR="004513BA" w:rsidRPr="00537128" w:rsidRDefault="004513BA" w:rsidP="004513BA">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4.25</w:t>
            </w:r>
          </w:p>
        </w:tc>
        <w:tc>
          <w:tcPr>
            <w:tcW w:w="1247" w:type="dxa"/>
            <w:gridSpan w:val="2"/>
            <w:tcBorders>
              <w:top w:val="nil"/>
              <w:left w:val="nil"/>
              <w:bottom w:val="nil"/>
              <w:right w:val="nil"/>
            </w:tcBorders>
          </w:tcPr>
          <w:p w14:paraId="7AD6F3A5" w14:textId="398263A7" w:rsidR="004513BA" w:rsidRPr="00A1123E" w:rsidRDefault="004513BA" w:rsidP="004513BA">
            <w:pPr>
              <w:spacing w:after="0" w:line="240" w:lineRule="auto"/>
              <w:jc w:val="right"/>
              <w:rPr>
                <w:sz w:val="18"/>
                <w:szCs w:val="18"/>
              </w:rPr>
            </w:pPr>
            <w:r>
              <w:rPr>
                <w:rFonts w:ascii="Calibri" w:eastAsia="Calibri" w:hAnsi="Calibri" w:cs="Times New Roman"/>
                <w:color w:val="000000"/>
                <w:sz w:val="18"/>
                <w:szCs w:val="18"/>
              </w:rPr>
              <w:t>42</w:t>
            </w:r>
            <w:r w:rsidR="00EE68B4">
              <w:rPr>
                <w:rFonts w:ascii="Calibri" w:eastAsia="Calibri" w:hAnsi="Calibri" w:cs="Times New Roman"/>
                <w:color w:val="000000"/>
                <w:sz w:val="18"/>
                <w:szCs w:val="18"/>
              </w:rPr>
              <w:t>,</w:t>
            </w:r>
            <w:r>
              <w:rPr>
                <w:rFonts w:ascii="Calibri" w:eastAsia="Calibri" w:hAnsi="Calibri" w:cs="Times New Roman"/>
                <w:color w:val="000000"/>
                <w:sz w:val="18"/>
                <w:szCs w:val="18"/>
              </w:rPr>
              <w:t>716</w:t>
            </w:r>
          </w:p>
        </w:tc>
        <w:tc>
          <w:tcPr>
            <w:tcW w:w="1276" w:type="dxa"/>
            <w:gridSpan w:val="3"/>
            <w:tcBorders>
              <w:top w:val="nil"/>
              <w:left w:val="nil"/>
              <w:bottom w:val="nil"/>
              <w:right w:val="nil"/>
            </w:tcBorders>
            <w:vAlign w:val="bottom"/>
          </w:tcPr>
          <w:p w14:paraId="234DF0F6" w14:textId="3E0D5E5E" w:rsidR="004513BA" w:rsidRPr="00537128" w:rsidRDefault="004513BA" w:rsidP="004513BA">
            <w:pPr>
              <w:spacing w:after="0" w:line="240" w:lineRule="auto"/>
              <w:jc w:val="right"/>
              <w:rPr>
                <w:rFonts w:ascii="Calibri" w:eastAsia="Calibri" w:hAnsi="Calibri" w:cs="Arial"/>
                <w:sz w:val="18"/>
                <w:szCs w:val="18"/>
                <w:lang w:val="en-US"/>
              </w:rPr>
            </w:pPr>
            <w:r w:rsidRPr="00034BAA">
              <w:rPr>
                <w:rFonts w:ascii="Calibri" w:eastAsia="Calibri" w:hAnsi="Calibri"/>
                <w:color w:val="000000"/>
                <w:sz w:val="18"/>
                <w:szCs w:val="18"/>
              </w:rPr>
              <w:t>45</w:t>
            </w:r>
            <w:r>
              <w:rPr>
                <w:rFonts w:ascii="Calibri" w:eastAsia="Calibri" w:hAnsi="Calibri"/>
                <w:color w:val="000000"/>
                <w:sz w:val="18"/>
                <w:szCs w:val="18"/>
              </w:rPr>
              <w:t>,</w:t>
            </w:r>
            <w:r w:rsidRPr="00034BAA">
              <w:rPr>
                <w:rFonts w:ascii="Calibri" w:eastAsia="Calibri" w:hAnsi="Calibri"/>
                <w:color w:val="000000"/>
                <w:sz w:val="18"/>
                <w:szCs w:val="18"/>
              </w:rPr>
              <w:t>344</w:t>
            </w:r>
          </w:p>
        </w:tc>
        <w:tc>
          <w:tcPr>
            <w:tcW w:w="1276" w:type="dxa"/>
            <w:gridSpan w:val="3"/>
            <w:tcBorders>
              <w:top w:val="nil"/>
              <w:left w:val="nil"/>
              <w:bottom w:val="nil"/>
              <w:right w:val="nil"/>
            </w:tcBorders>
            <w:shd w:val="clear" w:color="auto" w:fill="auto"/>
          </w:tcPr>
          <w:p w14:paraId="0021D620" w14:textId="0200318A" w:rsidR="004513BA" w:rsidRPr="00537128" w:rsidRDefault="004513BA" w:rsidP="004513BA">
            <w:pPr>
              <w:spacing w:after="0" w:line="240" w:lineRule="auto"/>
              <w:jc w:val="right"/>
              <w:rPr>
                <w:rFonts w:ascii="Calibri" w:eastAsia="Calibri" w:hAnsi="Calibri" w:cs="Arial"/>
                <w:sz w:val="18"/>
                <w:szCs w:val="18"/>
                <w:lang w:val="en-US"/>
              </w:rPr>
            </w:pPr>
            <w:r>
              <w:rPr>
                <w:rFonts w:ascii="Calibri" w:eastAsia="Calibri" w:hAnsi="Calibri" w:cs="Times New Roman"/>
                <w:color w:val="000000"/>
                <w:sz w:val="18"/>
                <w:szCs w:val="18"/>
              </w:rPr>
              <w:t>33</w:t>
            </w:r>
            <w:r w:rsidR="00EE68B4">
              <w:rPr>
                <w:rFonts w:ascii="Calibri" w:eastAsia="Calibri" w:hAnsi="Calibri" w:cs="Times New Roman"/>
                <w:color w:val="000000"/>
                <w:sz w:val="18"/>
                <w:szCs w:val="18"/>
              </w:rPr>
              <w:t>,</w:t>
            </w:r>
            <w:r>
              <w:rPr>
                <w:rFonts w:ascii="Calibri" w:eastAsia="Calibri" w:hAnsi="Calibri" w:cs="Times New Roman"/>
                <w:color w:val="000000"/>
                <w:sz w:val="18"/>
                <w:szCs w:val="18"/>
              </w:rPr>
              <w:t>788</w:t>
            </w:r>
          </w:p>
        </w:tc>
        <w:tc>
          <w:tcPr>
            <w:tcW w:w="1276" w:type="dxa"/>
            <w:gridSpan w:val="3"/>
            <w:tcBorders>
              <w:top w:val="nil"/>
              <w:left w:val="nil"/>
              <w:bottom w:val="nil"/>
              <w:right w:val="nil"/>
            </w:tcBorders>
            <w:shd w:val="clear" w:color="auto" w:fill="auto"/>
            <w:vAlign w:val="bottom"/>
          </w:tcPr>
          <w:p w14:paraId="2D204B6A" w14:textId="3630BA04" w:rsidR="004513BA" w:rsidRPr="00537128" w:rsidRDefault="004513BA" w:rsidP="004513BA">
            <w:pPr>
              <w:spacing w:after="0" w:line="240" w:lineRule="auto"/>
              <w:jc w:val="right"/>
              <w:rPr>
                <w:rFonts w:ascii="Calibri" w:eastAsia="Calibri" w:hAnsi="Calibri" w:cs="Arial"/>
                <w:sz w:val="18"/>
                <w:szCs w:val="18"/>
                <w:lang w:val="en-US"/>
              </w:rPr>
            </w:pPr>
            <w:r w:rsidRPr="00034BAA">
              <w:rPr>
                <w:rFonts w:ascii="Calibri" w:eastAsia="Calibri" w:hAnsi="Calibri"/>
                <w:color w:val="000000"/>
                <w:sz w:val="18"/>
                <w:szCs w:val="18"/>
              </w:rPr>
              <w:t>35</w:t>
            </w:r>
            <w:r>
              <w:rPr>
                <w:rFonts w:ascii="Calibri" w:eastAsia="Calibri" w:hAnsi="Calibri"/>
                <w:color w:val="000000"/>
                <w:sz w:val="18"/>
                <w:szCs w:val="18"/>
              </w:rPr>
              <w:t>,</w:t>
            </w:r>
            <w:r w:rsidRPr="00034BAA">
              <w:rPr>
                <w:rFonts w:ascii="Calibri" w:eastAsia="Calibri" w:hAnsi="Calibri"/>
                <w:color w:val="000000"/>
                <w:sz w:val="18"/>
                <w:szCs w:val="18"/>
              </w:rPr>
              <w:t>815</w:t>
            </w:r>
          </w:p>
        </w:tc>
      </w:tr>
      <w:tr w:rsidR="004513BA" w:rsidRPr="00537128" w14:paraId="7D3618DD" w14:textId="77777777" w:rsidTr="005B3D2C">
        <w:trPr>
          <w:gridAfter w:val="2"/>
          <w:wAfter w:w="29" w:type="dxa"/>
          <w:trHeight w:val="175"/>
        </w:trPr>
        <w:tc>
          <w:tcPr>
            <w:tcW w:w="2798" w:type="dxa"/>
            <w:tcBorders>
              <w:top w:val="nil"/>
              <w:left w:val="nil"/>
              <w:bottom w:val="nil"/>
              <w:right w:val="nil"/>
            </w:tcBorders>
            <w:shd w:val="clear" w:color="auto" w:fill="auto"/>
            <w:noWrap/>
            <w:vAlign w:val="bottom"/>
          </w:tcPr>
          <w:p w14:paraId="311372C4" w14:textId="77777777" w:rsidR="004513BA" w:rsidRPr="00537128" w:rsidRDefault="004513BA" w:rsidP="004513BA">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RHMF-O-222A</w:t>
            </w:r>
          </w:p>
        </w:tc>
        <w:tc>
          <w:tcPr>
            <w:tcW w:w="1120" w:type="dxa"/>
            <w:tcBorders>
              <w:top w:val="nil"/>
              <w:left w:val="nil"/>
              <w:bottom w:val="nil"/>
              <w:right w:val="nil"/>
            </w:tcBorders>
            <w:shd w:val="clear" w:color="auto" w:fill="auto"/>
            <w:noWrap/>
            <w:vAlign w:val="bottom"/>
          </w:tcPr>
          <w:p w14:paraId="52269EFF" w14:textId="77777777" w:rsidR="004513BA" w:rsidRPr="00537128" w:rsidRDefault="004513BA" w:rsidP="004513BA">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7.2.2017.</w:t>
            </w:r>
          </w:p>
        </w:tc>
        <w:tc>
          <w:tcPr>
            <w:tcW w:w="1121" w:type="dxa"/>
            <w:tcBorders>
              <w:top w:val="nil"/>
              <w:left w:val="nil"/>
              <w:bottom w:val="nil"/>
              <w:right w:val="nil"/>
            </w:tcBorders>
            <w:shd w:val="clear" w:color="auto" w:fill="auto"/>
            <w:noWrap/>
            <w:vAlign w:val="bottom"/>
          </w:tcPr>
          <w:p w14:paraId="2EAE75A7" w14:textId="77777777" w:rsidR="004513BA" w:rsidRPr="00537128" w:rsidRDefault="004513BA" w:rsidP="004513BA">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7.2.2022.</w:t>
            </w:r>
          </w:p>
        </w:tc>
        <w:tc>
          <w:tcPr>
            <w:tcW w:w="914" w:type="dxa"/>
            <w:tcBorders>
              <w:top w:val="nil"/>
              <w:left w:val="nil"/>
              <w:bottom w:val="nil"/>
              <w:right w:val="nil"/>
            </w:tcBorders>
            <w:shd w:val="clear" w:color="auto" w:fill="auto"/>
            <w:noWrap/>
            <w:vAlign w:val="bottom"/>
          </w:tcPr>
          <w:p w14:paraId="75E45969" w14:textId="77777777" w:rsidR="004513BA" w:rsidRPr="00537128" w:rsidRDefault="004513BA" w:rsidP="004513BA">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2.25</w:t>
            </w:r>
          </w:p>
        </w:tc>
        <w:tc>
          <w:tcPr>
            <w:tcW w:w="1247" w:type="dxa"/>
            <w:gridSpan w:val="2"/>
            <w:tcBorders>
              <w:top w:val="nil"/>
              <w:left w:val="nil"/>
              <w:bottom w:val="nil"/>
              <w:right w:val="nil"/>
            </w:tcBorders>
          </w:tcPr>
          <w:p w14:paraId="544717DD" w14:textId="204C58E0" w:rsidR="004513BA" w:rsidRPr="00A1123E" w:rsidRDefault="004513BA" w:rsidP="004513BA">
            <w:pPr>
              <w:spacing w:after="0" w:line="240" w:lineRule="auto"/>
              <w:jc w:val="right"/>
              <w:rPr>
                <w:sz w:val="18"/>
                <w:szCs w:val="18"/>
              </w:rPr>
            </w:pPr>
            <w:r>
              <w:rPr>
                <w:rFonts w:ascii="Calibri" w:eastAsia="Calibri" w:hAnsi="Calibri" w:cs="Times New Roman"/>
                <w:color w:val="000000"/>
                <w:sz w:val="18"/>
                <w:szCs w:val="18"/>
              </w:rPr>
              <w:t>-</w:t>
            </w:r>
          </w:p>
        </w:tc>
        <w:tc>
          <w:tcPr>
            <w:tcW w:w="1276" w:type="dxa"/>
            <w:gridSpan w:val="3"/>
            <w:tcBorders>
              <w:top w:val="nil"/>
              <w:left w:val="nil"/>
              <w:bottom w:val="nil"/>
              <w:right w:val="nil"/>
            </w:tcBorders>
            <w:vAlign w:val="bottom"/>
          </w:tcPr>
          <w:p w14:paraId="466B69E7" w14:textId="2A88B189" w:rsidR="004513BA" w:rsidRPr="00537128" w:rsidRDefault="004513BA" w:rsidP="004513BA">
            <w:pPr>
              <w:spacing w:after="0" w:line="240" w:lineRule="auto"/>
              <w:jc w:val="right"/>
              <w:rPr>
                <w:rFonts w:ascii="Calibri" w:eastAsia="Calibri" w:hAnsi="Calibri" w:cs="Times New Roman"/>
                <w:sz w:val="18"/>
                <w:szCs w:val="18"/>
                <w:lang w:val="en-US"/>
              </w:rPr>
            </w:pPr>
            <w:r w:rsidRPr="00034BAA">
              <w:rPr>
                <w:rFonts w:ascii="Calibri" w:eastAsia="Calibri" w:hAnsi="Calibri"/>
                <w:color w:val="000000"/>
                <w:sz w:val="18"/>
                <w:szCs w:val="18"/>
              </w:rPr>
              <w:t>70</w:t>
            </w:r>
            <w:r>
              <w:rPr>
                <w:rFonts w:ascii="Calibri" w:eastAsia="Calibri" w:hAnsi="Calibri"/>
                <w:color w:val="000000"/>
                <w:sz w:val="18"/>
                <w:szCs w:val="18"/>
              </w:rPr>
              <w:t>,</w:t>
            </w:r>
            <w:r w:rsidRPr="00034BAA">
              <w:rPr>
                <w:rFonts w:ascii="Calibri" w:eastAsia="Calibri" w:hAnsi="Calibri"/>
                <w:color w:val="000000"/>
                <w:sz w:val="18"/>
                <w:szCs w:val="18"/>
              </w:rPr>
              <w:t>165</w:t>
            </w:r>
          </w:p>
        </w:tc>
        <w:tc>
          <w:tcPr>
            <w:tcW w:w="1276" w:type="dxa"/>
            <w:gridSpan w:val="3"/>
            <w:tcBorders>
              <w:top w:val="nil"/>
              <w:left w:val="nil"/>
              <w:bottom w:val="nil"/>
              <w:right w:val="nil"/>
            </w:tcBorders>
            <w:shd w:val="clear" w:color="auto" w:fill="auto"/>
          </w:tcPr>
          <w:p w14:paraId="21CA9CFC" w14:textId="7ED37B1A" w:rsidR="004513BA" w:rsidRPr="00537128" w:rsidRDefault="004513BA" w:rsidP="004513BA">
            <w:pPr>
              <w:spacing w:after="0" w:line="240" w:lineRule="auto"/>
              <w:jc w:val="right"/>
              <w:rPr>
                <w:rFonts w:ascii="Calibri" w:eastAsia="Calibri" w:hAnsi="Calibri" w:cs="Calibri"/>
                <w:sz w:val="18"/>
                <w:szCs w:val="18"/>
                <w:lang w:val="en-US"/>
              </w:rPr>
            </w:pPr>
            <w:r>
              <w:rPr>
                <w:rFonts w:ascii="Calibri" w:eastAsia="Calibri" w:hAnsi="Calibri" w:cs="Times New Roman"/>
                <w:color w:val="000000"/>
                <w:sz w:val="18"/>
                <w:szCs w:val="18"/>
              </w:rPr>
              <w:t>-</w:t>
            </w:r>
          </w:p>
        </w:tc>
        <w:tc>
          <w:tcPr>
            <w:tcW w:w="1276" w:type="dxa"/>
            <w:gridSpan w:val="3"/>
            <w:tcBorders>
              <w:top w:val="nil"/>
              <w:left w:val="nil"/>
              <w:bottom w:val="nil"/>
              <w:right w:val="nil"/>
            </w:tcBorders>
            <w:shd w:val="clear" w:color="auto" w:fill="auto"/>
            <w:vAlign w:val="bottom"/>
          </w:tcPr>
          <w:p w14:paraId="74F52FC2" w14:textId="37003E2E" w:rsidR="004513BA" w:rsidRPr="00537128" w:rsidRDefault="004513BA" w:rsidP="004513BA">
            <w:pPr>
              <w:spacing w:after="0" w:line="240" w:lineRule="auto"/>
              <w:jc w:val="right"/>
              <w:rPr>
                <w:rFonts w:ascii="Calibri" w:eastAsia="Calibri" w:hAnsi="Calibri" w:cs="Times New Roman"/>
                <w:sz w:val="18"/>
                <w:szCs w:val="18"/>
                <w:lang w:val="en-US"/>
              </w:rPr>
            </w:pPr>
            <w:r w:rsidRPr="00034BAA">
              <w:rPr>
                <w:rFonts w:ascii="Calibri" w:eastAsia="Calibri" w:hAnsi="Calibri"/>
                <w:color w:val="000000"/>
                <w:sz w:val="18"/>
                <w:szCs w:val="18"/>
              </w:rPr>
              <w:t>70</w:t>
            </w:r>
            <w:r>
              <w:rPr>
                <w:rFonts w:ascii="Calibri" w:eastAsia="Calibri" w:hAnsi="Calibri"/>
                <w:color w:val="000000"/>
                <w:sz w:val="18"/>
                <w:szCs w:val="18"/>
              </w:rPr>
              <w:t>,</w:t>
            </w:r>
            <w:r w:rsidRPr="00034BAA">
              <w:rPr>
                <w:rFonts w:ascii="Calibri" w:eastAsia="Calibri" w:hAnsi="Calibri"/>
                <w:color w:val="000000"/>
                <w:sz w:val="18"/>
                <w:szCs w:val="18"/>
              </w:rPr>
              <w:t>165</w:t>
            </w:r>
          </w:p>
        </w:tc>
      </w:tr>
      <w:tr w:rsidR="004513BA" w:rsidRPr="00537128" w14:paraId="22087CFA" w14:textId="77777777" w:rsidTr="005B3D2C">
        <w:trPr>
          <w:gridAfter w:val="2"/>
          <w:wAfter w:w="29" w:type="dxa"/>
          <w:trHeight w:val="175"/>
        </w:trPr>
        <w:tc>
          <w:tcPr>
            <w:tcW w:w="2798" w:type="dxa"/>
            <w:tcBorders>
              <w:top w:val="nil"/>
              <w:left w:val="nil"/>
              <w:bottom w:val="nil"/>
              <w:right w:val="nil"/>
            </w:tcBorders>
            <w:shd w:val="clear" w:color="auto" w:fill="auto"/>
            <w:noWrap/>
            <w:vAlign w:val="bottom"/>
          </w:tcPr>
          <w:p w14:paraId="1F64CC00" w14:textId="77777777" w:rsidR="004513BA" w:rsidRPr="00537128" w:rsidRDefault="004513BA" w:rsidP="004513BA">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RHMF-O-282A</w:t>
            </w:r>
          </w:p>
        </w:tc>
        <w:tc>
          <w:tcPr>
            <w:tcW w:w="1120" w:type="dxa"/>
            <w:tcBorders>
              <w:top w:val="nil"/>
              <w:left w:val="nil"/>
              <w:bottom w:val="nil"/>
              <w:right w:val="nil"/>
            </w:tcBorders>
            <w:shd w:val="clear" w:color="auto" w:fill="auto"/>
            <w:noWrap/>
            <w:vAlign w:val="bottom"/>
          </w:tcPr>
          <w:p w14:paraId="78F2DD42" w14:textId="77777777" w:rsidR="004513BA" w:rsidRPr="00537128" w:rsidRDefault="004513BA" w:rsidP="004513BA">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7.2.2017.</w:t>
            </w:r>
          </w:p>
        </w:tc>
        <w:tc>
          <w:tcPr>
            <w:tcW w:w="1121" w:type="dxa"/>
            <w:tcBorders>
              <w:top w:val="nil"/>
              <w:left w:val="nil"/>
              <w:bottom w:val="nil"/>
              <w:right w:val="nil"/>
            </w:tcBorders>
            <w:shd w:val="clear" w:color="auto" w:fill="auto"/>
            <w:noWrap/>
            <w:vAlign w:val="bottom"/>
          </w:tcPr>
          <w:p w14:paraId="181F3533" w14:textId="77777777" w:rsidR="004513BA" w:rsidRPr="00537128" w:rsidRDefault="004513BA" w:rsidP="004513BA">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7.2.2028.</w:t>
            </w:r>
          </w:p>
        </w:tc>
        <w:tc>
          <w:tcPr>
            <w:tcW w:w="914" w:type="dxa"/>
            <w:tcBorders>
              <w:top w:val="nil"/>
              <w:left w:val="nil"/>
              <w:bottom w:val="nil"/>
              <w:right w:val="nil"/>
            </w:tcBorders>
            <w:shd w:val="clear" w:color="auto" w:fill="auto"/>
            <w:noWrap/>
            <w:vAlign w:val="bottom"/>
          </w:tcPr>
          <w:p w14:paraId="0048A1B3" w14:textId="77777777" w:rsidR="004513BA" w:rsidRPr="00537128" w:rsidRDefault="004513BA" w:rsidP="004513BA">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2.875</w:t>
            </w:r>
          </w:p>
        </w:tc>
        <w:tc>
          <w:tcPr>
            <w:tcW w:w="1247" w:type="dxa"/>
            <w:gridSpan w:val="2"/>
            <w:tcBorders>
              <w:top w:val="nil"/>
              <w:left w:val="nil"/>
              <w:bottom w:val="nil"/>
              <w:right w:val="nil"/>
            </w:tcBorders>
          </w:tcPr>
          <w:p w14:paraId="7D6FFE08" w14:textId="5ADC32F6" w:rsidR="004513BA" w:rsidRPr="00A1123E" w:rsidRDefault="004513BA" w:rsidP="004513BA">
            <w:pPr>
              <w:spacing w:after="0" w:line="240" w:lineRule="auto"/>
              <w:jc w:val="right"/>
              <w:rPr>
                <w:sz w:val="18"/>
                <w:szCs w:val="18"/>
              </w:rPr>
            </w:pPr>
            <w:r>
              <w:rPr>
                <w:rFonts w:ascii="Calibri" w:eastAsia="Calibri" w:hAnsi="Calibri" w:cs="Times New Roman"/>
                <w:color w:val="000000"/>
                <w:sz w:val="18"/>
                <w:szCs w:val="18"/>
              </w:rPr>
              <w:t>12</w:t>
            </w:r>
            <w:r w:rsidR="00EE68B4">
              <w:rPr>
                <w:rFonts w:ascii="Calibri" w:eastAsia="Calibri" w:hAnsi="Calibri" w:cs="Times New Roman"/>
                <w:color w:val="000000"/>
                <w:sz w:val="18"/>
                <w:szCs w:val="18"/>
              </w:rPr>
              <w:t>,</w:t>
            </w:r>
            <w:r>
              <w:rPr>
                <w:rFonts w:ascii="Calibri" w:eastAsia="Calibri" w:hAnsi="Calibri" w:cs="Times New Roman"/>
                <w:color w:val="000000"/>
                <w:sz w:val="18"/>
                <w:szCs w:val="18"/>
              </w:rPr>
              <w:t>559</w:t>
            </w:r>
          </w:p>
        </w:tc>
        <w:tc>
          <w:tcPr>
            <w:tcW w:w="1276" w:type="dxa"/>
            <w:gridSpan w:val="3"/>
            <w:tcBorders>
              <w:top w:val="nil"/>
              <w:left w:val="nil"/>
              <w:bottom w:val="nil"/>
              <w:right w:val="nil"/>
            </w:tcBorders>
            <w:vAlign w:val="bottom"/>
          </w:tcPr>
          <w:p w14:paraId="4C7166FA" w14:textId="462990B1" w:rsidR="004513BA" w:rsidRPr="00537128" w:rsidRDefault="004513BA" w:rsidP="004513BA">
            <w:pPr>
              <w:spacing w:after="0" w:line="240" w:lineRule="auto"/>
              <w:jc w:val="right"/>
              <w:rPr>
                <w:rFonts w:ascii="Calibri" w:eastAsia="Calibri" w:hAnsi="Calibri" w:cs="Times New Roman"/>
                <w:sz w:val="18"/>
                <w:szCs w:val="18"/>
                <w:lang w:val="en-US"/>
              </w:rPr>
            </w:pPr>
            <w:r w:rsidRPr="00034BAA">
              <w:rPr>
                <w:rFonts w:ascii="Calibri" w:eastAsia="Calibri" w:hAnsi="Calibri"/>
                <w:color w:val="000000"/>
                <w:sz w:val="18"/>
                <w:szCs w:val="18"/>
              </w:rPr>
              <w:t>13</w:t>
            </w:r>
            <w:r>
              <w:rPr>
                <w:rFonts w:ascii="Calibri" w:eastAsia="Calibri" w:hAnsi="Calibri"/>
                <w:color w:val="000000"/>
                <w:sz w:val="18"/>
                <w:szCs w:val="18"/>
              </w:rPr>
              <w:t>,</w:t>
            </w:r>
            <w:r w:rsidRPr="00034BAA">
              <w:rPr>
                <w:rFonts w:ascii="Calibri" w:eastAsia="Calibri" w:hAnsi="Calibri"/>
                <w:color w:val="000000"/>
                <w:sz w:val="18"/>
                <w:szCs w:val="18"/>
              </w:rPr>
              <w:t>583</w:t>
            </w:r>
          </w:p>
        </w:tc>
        <w:tc>
          <w:tcPr>
            <w:tcW w:w="1276" w:type="dxa"/>
            <w:gridSpan w:val="3"/>
            <w:tcBorders>
              <w:top w:val="nil"/>
              <w:left w:val="nil"/>
              <w:bottom w:val="nil"/>
              <w:right w:val="nil"/>
            </w:tcBorders>
            <w:shd w:val="clear" w:color="auto" w:fill="auto"/>
          </w:tcPr>
          <w:p w14:paraId="3588669A" w14:textId="2EBBF6D5" w:rsidR="004513BA" w:rsidRPr="00537128" w:rsidRDefault="004513BA" w:rsidP="004513BA">
            <w:pPr>
              <w:spacing w:after="0" w:line="240" w:lineRule="auto"/>
              <w:jc w:val="right"/>
              <w:rPr>
                <w:rFonts w:ascii="Calibri" w:eastAsia="Calibri" w:hAnsi="Calibri" w:cs="Calibri"/>
                <w:sz w:val="18"/>
                <w:szCs w:val="18"/>
                <w:lang w:val="en-US"/>
              </w:rPr>
            </w:pPr>
            <w:r>
              <w:rPr>
                <w:rFonts w:ascii="Calibri" w:eastAsia="Calibri" w:hAnsi="Calibri" w:cs="Times New Roman"/>
                <w:color w:val="000000"/>
                <w:sz w:val="18"/>
                <w:szCs w:val="18"/>
              </w:rPr>
              <w:t>10</w:t>
            </w:r>
            <w:r w:rsidR="00EE68B4">
              <w:rPr>
                <w:rFonts w:ascii="Calibri" w:eastAsia="Calibri" w:hAnsi="Calibri" w:cs="Times New Roman"/>
                <w:color w:val="000000"/>
                <w:sz w:val="18"/>
                <w:szCs w:val="18"/>
              </w:rPr>
              <w:t>,</w:t>
            </w:r>
            <w:r>
              <w:rPr>
                <w:rFonts w:ascii="Calibri" w:eastAsia="Calibri" w:hAnsi="Calibri" w:cs="Times New Roman"/>
                <w:color w:val="000000"/>
                <w:sz w:val="18"/>
                <w:szCs w:val="18"/>
              </w:rPr>
              <w:t>561</w:t>
            </w:r>
          </w:p>
        </w:tc>
        <w:tc>
          <w:tcPr>
            <w:tcW w:w="1276" w:type="dxa"/>
            <w:gridSpan w:val="3"/>
            <w:tcBorders>
              <w:top w:val="nil"/>
              <w:left w:val="nil"/>
              <w:bottom w:val="nil"/>
              <w:right w:val="nil"/>
            </w:tcBorders>
            <w:shd w:val="clear" w:color="auto" w:fill="auto"/>
            <w:vAlign w:val="bottom"/>
          </w:tcPr>
          <w:p w14:paraId="4CD4FD5B" w14:textId="7F309E9D" w:rsidR="004513BA" w:rsidRPr="00537128" w:rsidRDefault="004513BA" w:rsidP="004513BA">
            <w:pPr>
              <w:spacing w:after="0" w:line="240" w:lineRule="auto"/>
              <w:jc w:val="right"/>
              <w:rPr>
                <w:rFonts w:ascii="Calibri" w:eastAsia="Calibri" w:hAnsi="Calibri" w:cs="Times New Roman"/>
                <w:sz w:val="18"/>
                <w:szCs w:val="18"/>
                <w:lang w:val="en-US"/>
              </w:rPr>
            </w:pPr>
            <w:r w:rsidRPr="00034BAA">
              <w:rPr>
                <w:rFonts w:ascii="Calibri" w:eastAsia="Calibri" w:hAnsi="Calibri"/>
                <w:color w:val="000000"/>
                <w:sz w:val="18"/>
                <w:szCs w:val="18"/>
              </w:rPr>
              <w:t>11</w:t>
            </w:r>
            <w:r>
              <w:rPr>
                <w:rFonts w:ascii="Calibri" w:eastAsia="Calibri" w:hAnsi="Calibri"/>
                <w:color w:val="000000"/>
                <w:sz w:val="18"/>
                <w:szCs w:val="18"/>
              </w:rPr>
              <w:t>,</w:t>
            </w:r>
            <w:r w:rsidRPr="00034BAA">
              <w:rPr>
                <w:rFonts w:ascii="Calibri" w:eastAsia="Calibri" w:hAnsi="Calibri"/>
                <w:color w:val="000000"/>
                <w:sz w:val="18"/>
                <w:szCs w:val="18"/>
              </w:rPr>
              <w:t>422</w:t>
            </w:r>
          </w:p>
        </w:tc>
      </w:tr>
      <w:tr w:rsidR="004513BA" w:rsidRPr="00537128" w14:paraId="708CA867" w14:textId="77777777" w:rsidTr="005B3D2C">
        <w:trPr>
          <w:gridAfter w:val="2"/>
          <w:wAfter w:w="29" w:type="dxa"/>
          <w:trHeight w:val="175"/>
        </w:trPr>
        <w:tc>
          <w:tcPr>
            <w:tcW w:w="2798" w:type="dxa"/>
            <w:tcBorders>
              <w:top w:val="nil"/>
              <w:left w:val="nil"/>
              <w:bottom w:val="nil"/>
              <w:right w:val="nil"/>
            </w:tcBorders>
            <w:shd w:val="clear" w:color="auto" w:fill="auto"/>
            <w:noWrap/>
            <w:vAlign w:val="bottom"/>
          </w:tcPr>
          <w:p w14:paraId="3AAF5265" w14:textId="3005A3BF" w:rsidR="004513BA" w:rsidRPr="00537128" w:rsidRDefault="004513BA" w:rsidP="004513BA">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RHMF-O-23BA</w:t>
            </w:r>
          </w:p>
        </w:tc>
        <w:tc>
          <w:tcPr>
            <w:tcW w:w="1120" w:type="dxa"/>
            <w:tcBorders>
              <w:top w:val="nil"/>
              <w:left w:val="nil"/>
              <w:bottom w:val="nil"/>
              <w:right w:val="nil"/>
            </w:tcBorders>
            <w:shd w:val="clear" w:color="auto" w:fill="auto"/>
            <w:noWrap/>
            <w:vAlign w:val="bottom"/>
          </w:tcPr>
          <w:p w14:paraId="72F8C2C8" w14:textId="77777777" w:rsidR="004513BA" w:rsidRPr="00537128" w:rsidRDefault="004513BA" w:rsidP="004513BA">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27.11.2017.</w:t>
            </w:r>
          </w:p>
        </w:tc>
        <w:tc>
          <w:tcPr>
            <w:tcW w:w="1121" w:type="dxa"/>
            <w:tcBorders>
              <w:top w:val="nil"/>
              <w:left w:val="nil"/>
              <w:bottom w:val="nil"/>
              <w:right w:val="nil"/>
            </w:tcBorders>
            <w:shd w:val="clear" w:color="auto" w:fill="auto"/>
            <w:noWrap/>
            <w:vAlign w:val="bottom"/>
          </w:tcPr>
          <w:p w14:paraId="4C55678B" w14:textId="77777777" w:rsidR="004513BA" w:rsidRPr="00537128" w:rsidRDefault="004513BA" w:rsidP="004513BA">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27.11.2023.</w:t>
            </w:r>
          </w:p>
        </w:tc>
        <w:tc>
          <w:tcPr>
            <w:tcW w:w="914" w:type="dxa"/>
            <w:tcBorders>
              <w:top w:val="nil"/>
              <w:left w:val="nil"/>
              <w:bottom w:val="nil"/>
              <w:right w:val="nil"/>
            </w:tcBorders>
            <w:shd w:val="clear" w:color="auto" w:fill="auto"/>
            <w:noWrap/>
            <w:vAlign w:val="bottom"/>
          </w:tcPr>
          <w:p w14:paraId="03722720" w14:textId="77777777" w:rsidR="004513BA" w:rsidRPr="00537128" w:rsidRDefault="004513BA" w:rsidP="004513BA">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1.75</w:t>
            </w:r>
          </w:p>
        </w:tc>
        <w:tc>
          <w:tcPr>
            <w:tcW w:w="1247" w:type="dxa"/>
            <w:gridSpan w:val="2"/>
            <w:tcBorders>
              <w:top w:val="nil"/>
              <w:left w:val="nil"/>
              <w:bottom w:val="nil"/>
              <w:right w:val="nil"/>
            </w:tcBorders>
            <w:shd w:val="clear" w:color="auto" w:fill="auto"/>
          </w:tcPr>
          <w:p w14:paraId="4D53B21E" w14:textId="1779AD9F" w:rsidR="004513BA" w:rsidRPr="00A1123E" w:rsidRDefault="004513BA" w:rsidP="004513BA">
            <w:pPr>
              <w:spacing w:after="0" w:line="240" w:lineRule="auto"/>
              <w:jc w:val="right"/>
              <w:rPr>
                <w:sz w:val="18"/>
                <w:szCs w:val="18"/>
              </w:rPr>
            </w:pPr>
            <w:r>
              <w:rPr>
                <w:rFonts w:ascii="Calibri" w:eastAsia="Calibri" w:hAnsi="Calibri" w:cs="Times New Roman"/>
                <w:color w:val="000000"/>
                <w:sz w:val="18"/>
                <w:szCs w:val="18"/>
              </w:rPr>
              <w:t>571</w:t>
            </w:r>
            <w:r w:rsidR="00EE68B4">
              <w:rPr>
                <w:rFonts w:ascii="Calibri" w:eastAsia="Calibri" w:hAnsi="Calibri" w:cs="Times New Roman"/>
                <w:color w:val="000000"/>
                <w:sz w:val="18"/>
                <w:szCs w:val="18"/>
              </w:rPr>
              <w:t>,</w:t>
            </w:r>
            <w:r>
              <w:rPr>
                <w:rFonts w:ascii="Calibri" w:eastAsia="Calibri" w:hAnsi="Calibri" w:cs="Times New Roman"/>
                <w:color w:val="000000"/>
                <w:sz w:val="18"/>
                <w:szCs w:val="18"/>
              </w:rPr>
              <w:t>780</w:t>
            </w:r>
          </w:p>
        </w:tc>
        <w:tc>
          <w:tcPr>
            <w:tcW w:w="1276" w:type="dxa"/>
            <w:gridSpan w:val="3"/>
            <w:tcBorders>
              <w:top w:val="nil"/>
              <w:left w:val="nil"/>
              <w:bottom w:val="nil"/>
              <w:right w:val="nil"/>
            </w:tcBorders>
            <w:vAlign w:val="bottom"/>
          </w:tcPr>
          <w:p w14:paraId="1EE50B48" w14:textId="0977C563" w:rsidR="004513BA" w:rsidRPr="00537128" w:rsidRDefault="004513BA" w:rsidP="004513BA">
            <w:pPr>
              <w:spacing w:after="0" w:line="240" w:lineRule="auto"/>
              <w:jc w:val="right"/>
              <w:rPr>
                <w:rFonts w:ascii="Calibri" w:eastAsia="Calibri" w:hAnsi="Calibri" w:cs="Times New Roman"/>
                <w:sz w:val="18"/>
                <w:szCs w:val="18"/>
                <w:lang w:val="en-US"/>
              </w:rPr>
            </w:pPr>
            <w:r w:rsidRPr="00034BAA">
              <w:rPr>
                <w:rFonts w:ascii="Calibri" w:eastAsia="Calibri" w:hAnsi="Calibri"/>
                <w:color w:val="000000"/>
                <w:sz w:val="18"/>
                <w:szCs w:val="18"/>
              </w:rPr>
              <w:t>508</w:t>
            </w:r>
            <w:r>
              <w:rPr>
                <w:rFonts w:ascii="Calibri" w:eastAsia="Calibri" w:hAnsi="Calibri"/>
                <w:color w:val="000000"/>
                <w:sz w:val="18"/>
                <w:szCs w:val="18"/>
              </w:rPr>
              <w:t>,</w:t>
            </w:r>
            <w:r w:rsidRPr="00034BAA">
              <w:rPr>
                <w:rFonts w:ascii="Calibri" w:eastAsia="Calibri" w:hAnsi="Calibri"/>
                <w:color w:val="000000"/>
                <w:sz w:val="18"/>
                <w:szCs w:val="18"/>
              </w:rPr>
              <w:t>648</w:t>
            </w:r>
          </w:p>
        </w:tc>
        <w:tc>
          <w:tcPr>
            <w:tcW w:w="1276" w:type="dxa"/>
            <w:gridSpan w:val="3"/>
            <w:tcBorders>
              <w:top w:val="nil"/>
              <w:left w:val="nil"/>
              <w:bottom w:val="nil"/>
              <w:right w:val="nil"/>
            </w:tcBorders>
            <w:shd w:val="clear" w:color="auto" w:fill="auto"/>
          </w:tcPr>
          <w:p w14:paraId="53EE8F97" w14:textId="1D98663D" w:rsidR="004513BA" w:rsidRPr="00537128" w:rsidRDefault="004513BA" w:rsidP="004513BA">
            <w:pPr>
              <w:spacing w:after="0" w:line="240" w:lineRule="auto"/>
              <w:jc w:val="right"/>
              <w:rPr>
                <w:rFonts w:ascii="Calibri" w:eastAsia="Calibri" w:hAnsi="Calibri" w:cs="Calibri"/>
                <w:sz w:val="18"/>
                <w:szCs w:val="18"/>
                <w:lang w:val="en-US"/>
              </w:rPr>
            </w:pPr>
            <w:r>
              <w:rPr>
                <w:rFonts w:ascii="Calibri" w:eastAsia="Calibri" w:hAnsi="Calibri" w:cs="Times New Roman"/>
                <w:color w:val="000000"/>
                <w:sz w:val="18"/>
                <w:szCs w:val="18"/>
              </w:rPr>
              <w:t>571</w:t>
            </w:r>
            <w:r w:rsidR="00EE68B4">
              <w:rPr>
                <w:rFonts w:ascii="Calibri" w:eastAsia="Calibri" w:hAnsi="Calibri" w:cs="Times New Roman"/>
                <w:color w:val="000000"/>
                <w:sz w:val="18"/>
                <w:szCs w:val="18"/>
              </w:rPr>
              <w:t>,</w:t>
            </w:r>
            <w:r>
              <w:rPr>
                <w:rFonts w:ascii="Calibri" w:eastAsia="Calibri" w:hAnsi="Calibri" w:cs="Times New Roman"/>
                <w:color w:val="000000"/>
                <w:sz w:val="18"/>
                <w:szCs w:val="18"/>
              </w:rPr>
              <w:t>780</w:t>
            </w:r>
          </w:p>
        </w:tc>
        <w:tc>
          <w:tcPr>
            <w:tcW w:w="1276" w:type="dxa"/>
            <w:gridSpan w:val="3"/>
            <w:tcBorders>
              <w:top w:val="nil"/>
              <w:left w:val="nil"/>
              <w:bottom w:val="nil"/>
              <w:right w:val="nil"/>
            </w:tcBorders>
            <w:shd w:val="clear" w:color="auto" w:fill="auto"/>
            <w:vAlign w:val="bottom"/>
          </w:tcPr>
          <w:p w14:paraId="020763CF" w14:textId="07DDC769" w:rsidR="004513BA" w:rsidRPr="00537128" w:rsidRDefault="004513BA" w:rsidP="004513BA">
            <w:pPr>
              <w:spacing w:after="0" w:line="240" w:lineRule="auto"/>
              <w:jc w:val="right"/>
              <w:rPr>
                <w:rFonts w:ascii="Calibri" w:eastAsia="Calibri" w:hAnsi="Calibri" w:cs="Times New Roman"/>
                <w:sz w:val="18"/>
                <w:szCs w:val="18"/>
                <w:lang w:val="en-US"/>
              </w:rPr>
            </w:pPr>
            <w:r w:rsidRPr="00034BAA">
              <w:rPr>
                <w:rFonts w:ascii="Calibri" w:eastAsia="Calibri" w:hAnsi="Calibri"/>
                <w:color w:val="000000"/>
                <w:sz w:val="18"/>
                <w:szCs w:val="18"/>
              </w:rPr>
              <w:t>508</w:t>
            </w:r>
            <w:r>
              <w:rPr>
                <w:rFonts w:ascii="Calibri" w:eastAsia="Calibri" w:hAnsi="Calibri"/>
                <w:color w:val="000000"/>
                <w:sz w:val="18"/>
                <w:szCs w:val="18"/>
              </w:rPr>
              <w:t>,</w:t>
            </w:r>
            <w:r w:rsidRPr="00034BAA">
              <w:rPr>
                <w:rFonts w:ascii="Calibri" w:eastAsia="Calibri" w:hAnsi="Calibri"/>
                <w:color w:val="000000"/>
                <w:sz w:val="18"/>
                <w:szCs w:val="18"/>
              </w:rPr>
              <w:t>648</w:t>
            </w:r>
          </w:p>
        </w:tc>
      </w:tr>
      <w:tr w:rsidR="004513BA" w:rsidRPr="00537128" w14:paraId="6BD1B980" w14:textId="77777777" w:rsidTr="005B3D2C">
        <w:trPr>
          <w:gridAfter w:val="2"/>
          <w:wAfter w:w="29" w:type="dxa"/>
          <w:trHeight w:val="175"/>
        </w:trPr>
        <w:tc>
          <w:tcPr>
            <w:tcW w:w="2798" w:type="dxa"/>
            <w:tcBorders>
              <w:top w:val="nil"/>
              <w:left w:val="nil"/>
              <w:bottom w:val="nil"/>
              <w:right w:val="nil"/>
            </w:tcBorders>
            <w:shd w:val="clear" w:color="auto" w:fill="auto"/>
            <w:noWrap/>
            <w:vAlign w:val="bottom"/>
          </w:tcPr>
          <w:p w14:paraId="5F257E11" w14:textId="77777777" w:rsidR="004513BA" w:rsidRPr="00537128" w:rsidRDefault="004513BA" w:rsidP="004513BA">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RHMF-O-297A</w:t>
            </w:r>
          </w:p>
        </w:tc>
        <w:tc>
          <w:tcPr>
            <w:tcW w:w="1120" w:type="dxa"/>
            <w:tcBorders>
              <w:top w:val="nil"/>
              <w:left w:val="nil"/>
              <w:bottom w:val="nil"/>
              <w:right w:val="nil"/>
            </w:tcBorders>
            <w:shd w:val="clear" w:color="auto" w:fill="auto"/>
            <w:noWrap/>
            <w:vAlign w:val="bottom"/>
          </w:tcPr>
          <w:p w14:paraId="3C622C51" w14:textId="77777777" w:rsidR="004513BA" w:rsidRPr="00537128" w:rsidRDefault="004513BA" w:rsidP="004513BA">
            <w:pPr>
              <w:spacing w:after="0" w:line="240" w:lineRule="auto"/>
              <w:jc w:val="right"/>
              <w:rPr>
                <w:rFonts w:ascii="Calibri" w:eastAsia="Calibri" w:hAnsi="Calibri" w:cs="Arial"/>
                <w:sz w:val="18"/>
                <w:szCs w:val="18"/>
                <w:lang w:val="en-US"/>
              </w:rPr>
            </w:pPr>
            <w:r w:rsidRPr="00537128">
              <w:rPr>
                <w:rFonts w:ascii="Calibri" w:eastAsia="Calibri" w:hAnsi="Calibri" w:cs="Times New Roman"/>
                <w:sz w:val="18"/>
                <w:szCs w:val="18"/>
                <w:lang w:val="en-US"/>
              </w:rPr>
              <w:t>9.7.2018.</w:t>
            </w:r>
          </w:p>
        </w:tc>
        <w:tc>
          <w:tcPr>
            <w:tcW w:w="1121" w:type="dxa"/>
            <w:tcBorders>
              <w:top w:val="nil"/>
              <w:left w:val="nil"/>
              <w:bottom w:val="nil"/>
              <w:right w:val="nil"/>
            </w:tcBorders>
            <w:shd w:val="clear" w:color="auto" w:fill="auto"/>
            <w:noWrap/>
            <w:vAlign w:val="bottom"/>
          </w:tcPr>
          <w:p w14:paraId="1D4AE69C" w14:textId="77777777" w:rsidR="004513BA" w:rsidRPr="00537128" w:rsidRDefault="004513BA" w:rsidP="004513BA">
            <w:pPr>
              <w:spacing w:after="0" w:line="240" w:lineRule="auto"/>
              <w:jc w:val="right"/>
              <w:rPr>
                <w:rFonts w:ascii="Calibri" w:eastAsia="Calibri" w:hAnsi="Calibri" w:cs="Arial"/>
                <w:sz w:val="18"/>
                <w:szCs w:val="18"/>
                <w:lang w:val="en-US"/>
              </w:rPr>
            </w:pPr>
            <w:r w:rsidRPr="00537128">
              <w:rPr>
                <w:rFonts w:ascii="Calibri" w:eastAsia="Calibri" w:hAnsi="Calibri" w:cs="Times New Roman"/>
                <w:sz w:val="18"/>
                <w:szCs w:val="18"/>
                <w:lang w:val="en-US"/>
              </w:rPr>
              <w:t>9.7.2029.</w:t>
            </w:r>
          </w:p>
        </w:tc>
        <w:tc>
          <w:tcPr>
            <w:tcW w:w="914" w:type="dxa"/>
            <w:tcBorders>
              <w:top w:val="nil"/>
              <w:left w:val="nil"/>
              <w:bottom w:val="nil"/>
              <w:right w:val="nil"/>
            </w:tcBorders>
            <w:shd w:val="clear" w:color="auto" w:fill="auto"/>
            <w:noWrap/>
            <w:vAlign w:val="bottom"/>
          </w:tcPr>
          <w:p w14:paraId="5D7DB793" w14:textId="77777777" w:rsidR="004513BA" w:rsidRPr="00537128" w:rsidRDefault="004513BA" w:rsidP="004513BA">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2.38</w:t>
            </w:r>
          </w:p>
        </w:tc>
        <w:tc>
          <w:tcPr>
            <w:tcW w:w="1247" w:type="dxa"/>
            <w:gridSpan w:val="2"/>
            <w:tcBorders>
              <w:top w:val="nil"/>
              <w:left w:val="nil"/>
              <w:bottom w:val="nil"/>
              <w:right w:val="nil"/>
            </w:tcBorders>
          </w:tcPr>
          <w:p w14:paraId="3AF8787D" w14:textId="3ACEE883" w:rsidR="004513BA" w:rsidRPr="00A1123E" w:rsidRDefault="004513BA" w:rsidP="004513BA">
            <w:pPr>
              <w:spacing w:after="0" w:line="240" w:lineRule="auto"/>
              <w:jc w:val="right"/>
              <w:rPr>
                <w:sz w:val="18"/>
                <w:szCs w:val="18"/>
              </w:rPr>
            </w:pPr>
            <w:r>
              <w:rPr>
                <w:rFonts w:ascii="Calibri" w:eastAsia="Calibri" w:hAnsi="Calibri" w:cs="Times New Roman"/>
                <w:color w:val="000000"/>
                <w:sz w:val="18"/>
                <w:szCs w:val="18"/>
              </w:rPr>
              <w:t>3</w:t>
            </w:r>
            <w:r w:rsidR="00EE68B4">
              <w:rPr>
                <w:rFonts w:ascii="Calibri" w:eastAsia="Calibri" w:hAnsi="Calibri" w:cs="Times New Roman"/>
                <w:color w:val="000000"/>
                <w:sz w:val="18"/>
                <w:szCs w:val="18"/>
              </w:rPr>
              <w:t>,</w:t>
            </w:r>
            <w:r>
              <w:rPr>
                <w:rFonts w:ascii="Calibri" w:eastAsia="Calibri" w:hAnsi="Calibri" w:cs="Times New Roman"/>
                <w:color w:val="000000"/>
                <w:sz w:val="18"/>
                <w:szCs w:val="18"/>
              </w:rPr>
              <w:t>069</w:t>
            </w:r>
          </w:p>
        </w:tc>
        <w:tc>
          <w:tcPr>
            <w:tcW w:w="1276" w:type="dxa"/>
            <w:gridSpan w:val="3"/>
            <w:tcBorders>
              <w:top w:val="nil"/>
              <w:left w:val="nil"/>
              <w:bottom w:val="nil"/>
              <w:right w:val="nil"/>
            </w:tcBorders>
            <w:vAlign w:val="bottom"/>
          </w:tcPr>
          <w:p w14:paraId="69333770" w14:textId="6281A09D" w:rsidR="004513BA" w:rsidRPr="00537128" w:rsidRDefault="004513BA" w:rsidP="004513BA">
            <w:pPr>
              <w:spacing w:after="0" w:line="240" w:lineRule="auto"/>
              <w:jc w:val="right"/>
              <w:rPr>
                <w:rFonts w:ascii="Calibri" w:eastAsia="Calibri" w:hAnsi="Calibri" w:cs="Arial"/>
                <w:sz w:val="18"/>
                <w:szCs w:val="18"/>
                <w:lang w:val="en-US"/>
              </w:rPr>
            </w:pPr>
            <w:r w:rsidRPr="00034BAA">
              <w:rPr>
                <w:rFonts w:ascii="Calibri" w:eastAsia="Calibri" w:hAnsi="Calibri"/>
                <w:color w:val="000000"/>
                <w:sz w:val="18"/>
                <w:szCs w:val="18"/>
              </w:rPr>
              <w:t>3</w:t>
            </w:r>
            <w:r>
              <w:rPr>
                <w:rFonts w:ascii="Calibri" w:eastAsia="Calibri" w:hAnsi="Calibri"/>
                <w:color w:val="000000"/>
                <w:sz w:val="18"/>
                <w:szCs w:val="18"/>
              </w:rPr>
              <w:t>,</w:t>
            </w:r>
            <w:r w:rsidRPr="00034BAA">
              <w:rPr>
                <w:rFonts w:ascii="Calibri" w:eastAsia="Calibri" w:hAnsi="Calibri"/>
                <w:color w:val="000000"/>
                <w:sz w:val="18"/>
                <w:szCs w:val="18"/>
              </w:rPr>
              <w:t>456</w:t>
            </w:r>
          </w:p>
        </w:tc>
        <w:tc>
          <w:tcPr>
            <w:tcW w:w="1276" w:type="dxa"/>
            <w:gridSpan w:val="3"/>
            <w:tcBorders>
              <w:top w:val="nil"/>
              <w:left w:val="nil"/>
              <w:bottom w:val="nil"/>
              <w:right w:val="nil"/>
            </w:tcBorders>
            <w:shd w:val="clear" w:color="auto" w:fill="auto"/>
            <w:vAlign w:val="bottom"/>
          </w:tcPr>
          <w:p w14:paraId="6CE2B055" w14:textId="1095F9F9" w:rsidR="004513BA" w:rsidRPr="00537128" w:rsidRDefault="004513BA" w:rsidP="004513BA">
            <w:pPr>
              <w:spacing w:after="0" w:line="240" w:lineRule="auto"/>
              <w:jc w:val="right"/>
              <w:rPr>
                <w:rFonts w:ascii="Calibri" w:eastAsia="Calibri" w:hAnsi="Calibri" w:cs="Calibri"/>
                <w:sz w:val="18"/>
                <w:szCs w:val="18"/>
                <w:lang w:val="en-US"/>
              </w:rPr>
            </w:pPr>
            <w:r>
              <w:rPr>
                <w:rFonts w:ascii="Calibri" w:eastAsia="Calibri" w:hAnsi="Calibri" w:cs="Calibri"/>
                <w:color w:val="000000"/>
                <w:sz w:val="18"/>
                <w:szCs w:val="18"/>
                <w:lang w:eastAsia="hr-HR"/>
              </w:rPr>
              <w:t>-</w:t>
            </w:r>
          </w:p>
        </w:tc>
        <w:tc>
          <w:tcPr>
            <w:tcW w:w="1276" w:type="dxa"/>
            <w:gridSpan w:val="3"/>
            <w:tcBorders>
              <w:top w:val="nil"/>
              <w:left w:val="nil"/>
              <w:bottom w:val="nil"/>
              <w:right w:val="nil"/>
            </w:tcBorders>
            <w:shd w:val="clear" w:color="auto" w:fill="auto"/>
            <w:vAlign w:val="bottom"/>
          </w:tcPr>
          <w:p w14:paraId="4F939541" w14:textId="1E0578DD" w:rsidR="004513BA" w:rsidRPr="00537128" w:rsidRDefault="004513BA" w:rsidP="004513BA">
            <w:pPr>
              <w:spacing w:after="0" w:line="240" w:lineRule="auto"/>
              <w:jc w:val="right"/>
              <w:rPr>
                <w:rFonts w:ascii="Calibri" w:eastAsia="Calibri" w:hAnsi="Calibri" w:cs="Arial"/>
                <w:sz w:val="18"/>
                <w:szCs w:val="18"/>
                <w:lang w:val="en-US"/>
              </w:rPr>
            </w:pPr>
            <w:r w:rsidRPr="00537128">
              <w:rPr>
                <w:rFonts w:ascii="Calibri" w:eastAsia="Calibri" w:hAnsi="Calibri" w:cs="Calibri"/>
                <w:color w:val="000000"/>
                <w:sz w:val="18"/>
                <w:szCs w:val="18"/>
                <w:lang w:val="en-US" w:eastAsia="hr-HR"/>
              </w:rPr>
              <w:t>-</w:t>
            </w:r>
          </w:p>
        </w:tc>
      </w:tr>
      <w:tr w:rsidR="004513BA" w:rsidRPr="00537128" w14:paraId="6DAC4B57" w14:textId="77777777" w:rsidTr="005B3D2C">
        <w:trPr>
          <w:gridAfter w:val="2"/>
          <w:wAfter w:w="29" w:type="dxa"/>
          <w:trHeight w:val="175"/>
        </w:trPr>
        <w:tc>
          <w:tcPr>
            <w:tcW w:w="2798" w:type="dxa"/>
            <w:tcBorders>
              <w:top w:val="nil"/>
              <w:left w:val="nil"/>
              <w:bottom w:val="nil"/>
              <w:right w:val="nil"/>
            </w:tcBorders>
            <w:shd w:val="clear" w:color="auto" w:fill="auto"/>
            <w:noWrap/>
            <w:vAlign w:val="bottom"/>
          </w:tcPr>
          <w:p w14:paraId="67C64A00" w14:textId="77777777" w:rsidR="004513BA" w:rsidRPr="00537128" w:rsidRDefault="004513BA" w:rsidP="004513BA">
            <w:pPr>
              <w:spacing w:after="0" w:line="240" w:lineRule="auto"/>
              <w:jc w:val="right"/>
              <w:rPr>
                <w:rFonts w:ascii="Calibri" w:eastAsia="Calibri" w:hAnsi="Calibri" w:cs="Arial"/>
                <w:sz w:val="18"/>
                <w:szCs w:val="18"/>
                <w:lang w:val="en-US"/>
              </w:rPr>
            </w:pPr>
            <w:r w:rsidRPr="00537128">
              <w:rPr>
                <w:rFonts w:ascii="Calibri" w:eastAsia="Calibri" w:hAnsi="Calibri" w:cs="Times New Roman"/>
                <w:color w:val="000000"/>
                <w:sz w:val="18"/>
                <w:szCs w:val="18"/>
                <w:lang w:val="en-US"/>
              </w:rPr>
              <w:t>RHMF-O-34BA</w:t>
            </w:r>
          </w:p>
        </w:tc>
        <w:tc>
          <w:tcPr>
            <w:tcW w:w="1120" w:type="dxa"/>
            <w:tcBorders>
              <w:top w:val="nil"/>
              <w:left w:val="nil"/>
              <w:bottom w:val="nil"/>
              <w:right w:val="nil"/>
            </w:tcBorders>
            <w:shd w:val="clear" w:color="auto" w:fill="auto"/>
            <w:noWrap/>
            <w:vAlign w:val="bottom"/>
          </w:tcPr>
          <w:p w14:paraId="3D11CE6C" w14:textId="77777777" w:rsidR="004513BA" w:rsidRPr="00537128" w:rsidRDefault="004513BA" w:rsidP="004513BA">
            <w:pPr>
              <w:spacing w:after="0" w:line="240" w:lineRule="auto"/>
              <w:jc w:val="right"/>
              <w:rPr>
                <w:rFonts w:ascii="Calibri" w:eastAsia="Calibri" w:hAnsi="Calibri" w:cs="Times New Roman"/>
                <w:sz w:val="18"/>
                <w:szCs w:val="18"/>
                <w:lang w:val="en-US"/>
              </w:rPr>
            </w:pPr>
            <w:r w:rsidRPr="00537128">
              <w:rPr>
                <w:rFonts w:ascii="Calibri" w:eastAsia="Calibri" w:hAnsi="Calibri" w:cs="Times New Roman"/>
                <w:color w:val="000000"/>
                <w:sz w:val="18"/>
                <w:szCs w:val="18"/>
                <w:lang w:val="en-US"/>
              </w:rPr>
              <w:t>27.11.2019.</w:t>
            </w:r>
          </w:p>
        </w:tc>
        <w:tc>
          <w:tcPr>
            <w:tcW w:w="1121" w:type="dxa"/>
            <w:tcBorders>
              <w:top w:val="nil"/>
              <w:left w:val="nil"/>
              <w:bottom w:val="nil"/>
              <w:right w:val="nil"/>
            </w:tcBorders>
            <w:shd w:val="clear" w:color="auto" w:fill="auto"/>
            <w:noWrap/>
            <w:vAlign w:val="bottom"/>
          </w:tcPr>
          <w:p w14:paraId="6F28D8B4" w14:textId="77777777" w:rsidR="004513BA" w:rsidRPr="00537128" w:rsidRDefault="004513BA" w:rsidP="004513BA">
            <w:pPr>
              <w:spacing w:after="0" w:line="240" w:lineRule="auto"/>
              <w:jc w:val="right"/>
              <w:rPr>
                <w:rFonts w:ascii="Calibri" w:eastAsia="Calibri" w:hAnsi="Calibri" w:cs="Times New Roman"/>
                <w:sz w:val="18"/>
                <w:szCs w:val="18"/>
                <w:lang w:val="en-US"/>
              </w:rPr>
            </w:pPr>
            <w:r w:rsidRPr="00537128">
              <w:rPr>
                <w:rFonts w:ascii="Calibri" w:eastAsia="Calibri" w:hAnsi="Calibri" w:cs="Times New Roman"/>
                <w:color w:val="000000"/>
                <w:sz w:val="18"/>
                <w:szCs w:val="18"/>
                <w:lang w:val="en-US"/>
              </w:rPr>
              <w:t>27.11.2034.</w:t>
            </w:r>
          </w:p>
        </w:tc>
        <w:tc>
          <w:tcPr>
            <w:tcW w:w="914" w:type="dxa"/>
            <w:tcBorders>
              <w:top w:val="nil"/>
              <w:left w:val="nil"/>
              <w:bottom w:val="nil"/>
              <w:right w:val="nil"/>
            </w:tcBorders>
            <w:shd w:val="clear" w:color="auto" w:fill="auto"/>
            <w:noWrap/>
            <w:vAlign w:val="bottom"/>
          </w:tcPr>
          <w:p w14:paraId="0D0E5892" w14:textId="77777777" w:rsidR="004513BA" w:rsidRPr="00537128" w:rsidRDefault="004513BA" w:rsidP="004513BA">
            <w:pPr>
              <w:spacing w:after="0" w:line="240" w:lineRule="auto"/>
              <w:jc w:val="center"/>
              <w:rPr>
                <w:rFonts w:ascii="Calibri" w:eastAsia="Calibri" w:hAnsi="Calibri" w:cs="Arial"/>
                <w:sz w:val="18"/>
                <w:szCs w:val="18"/>
                <w:lang w:val="en-US"/>
              </w:rPr>
            </w:pPr>
            <w:r w:rsidRPr="00537128">
              <w:rPr>
                <w:rFonts w:ascii="Calibri" w:eastAsia="Calibri" w:hAnsi="Calibri" w:cs="Times New Roman"/>
                <w:color w:val="000000"/>
                <w:sz w:val="18"/>
                <w:szCs w:val="18"/>
                <w:lang w:val="en-US"/>
              </w:rPr>
              <w:t>1.00</w:t>
            </w:r>
          </w:p>
        </w:tc>
        <w:tc>
          <w:tcPr>
            <w:tcW w:w="1247" w:type="dxa"/>
            <w:gridSpan w:val="2"/>
            <w:tcBorders>
              <w:top w:val="nil"/>
              <w:left w:val="nil"/>
              <w:bottom w:val="nil"/>
              <w:right w:val="nil"/>
            </w:tcBorders>
            <w:vAlign w:val="bottom"/>
          </w:tcPr>
          <w:p w14:paraId="7A689128" w14:textId="4D7809AD" w:rsidR="004513BA" w:rsidRPr="00A1123E" w:rsidRDefault="004513BA" w:rsidP="004513BA">
            <w:pPr>
              <w:spacing w:after="0" w:line="240" w:lineRule="auto"/>
              <w:jc w:val="right"/>
              <w:rPr>
                <w:sz w:val="18"/>
                <w:szCs w:val="18"/>
              </w:rPr>
            </w:pPr>
            <w:r>
              <w:rPr>
                <w:rFonts w:ascii="Calibri" w:eastAsia="Calibri" w:hAnsi="Calibri" w:cs="Times New Roman"/>
                <w:color w:val="000000"/>
                <w:sz w:val="18"/>
                <w:szCs w:val="18"/>
              </w:rPr>
              <w:t>14</w:t>
            </w:r>
            <w:r w:rsidR="00EE68B4">
              <w:rPr>
                <w:rFonts w:ascii="Calibri" w:eastAsia="Calibri" w:hAnsi="Calibri" w:cs="Times New Roman"/>
                <w:color w:val="000000"/>
                <w:sz w:val="18"/>
                <w:szCs w:val="18"/>
              </w:rPr>
              <w:t>,</w:t>
            </w:r>
            <w:r>
              <w:rPr>
                <w:rFonts w:ascii="Calibri" w:eastAsia="Calibri" w:hAnsi="Calibri" w:cs="Times New Roman"/>
                <w:color w:val="000000"/>
                <w:sz w:val="18"/>
                <w:szCs w:val="18"/>
              </w:rPr>
              <w:t>680</w:t>
            </w:r>
          </w:p>
        </w:tc>
        <w:tc>
          <w:tcPr>
            <w:tcW w:w="1276" w:type="dxa"/>
            <w:gridSpan w:val="3"/>
            <w:tcBorders>
              <w:top w:val="nil"/>
              <w:left w:val="nil"/>
              <w:bottom w:val="nil"/>
              <w:right w:val="nil"/>
            </w:tcBorders>
            <w:vAlign w:val="bottom"/>
          </w:tcPr>
          <w:p w14:paraId="1895AD9C" w14:textId="4E00E432" w:rsidR="004513BA" w:rsidRPr="00537128" w:rsidRDefault="004513BA" w:rsidP="004513BA">
            <w:pPr>
              <w:spacing w:after="0" w:line="240" w:lineRule="auto"/>
              <w:jc w:val="right"/>
              <w:rPr>
                <w:rFonts w:ascii="Calibri" w:eastAsia="Calibri" w:hAnsi="Calibri" w:cs="Times New Roman"/>
                <w:sz w:val="18"/>
                <w:szCs w:val="18"/>
                <w:lang w:val="en-US"/>
              </w:rPr>
            </w:pPr>
            <w:r w:rsidRPr="00034BAA">
              <w:rPr>
                <w:rFonts w:ascii="Calibri" w:eastAsia="Calibri" w:hAnsi="Calibri"/>
                <w:color w:val="000000"/>
                <w:sz w:val="18"/>
                <w:szCs w:val="18"/>
              </w:rPr>
              <w:t>15</w:t>
            </w:r>
            <w:r>
              <w:rPr>
                <w:rFonts w:ascii="Calibri" w:eastAsia="Calibri" w:hAnsi="Calibri"/>
                <w:color w:val="000000"/>
                <w:sz w:val="18"/>
                <w:szCs w:val="18"/>
              </w:rPr>
              <w:t>,</w:t>
            </w:r>
            <w:r w:rsidRPr="00034BAA">
              <w:rPr>
                <w:rFonts w:ascii="Calibri" w:eastAsia="Calibri" w:hAnsi="Calibri"/>
                <w:color w:val="000000"/>
                <w:sz w:val="18"/>
                <w:szCs w:val="18"/>
              </w:rPr>
              <w:t>743</w:t>
            </w:r>
          </w:p>
        </w:tc>
        <w:tc>
          <w:tcPr>
            <w:tcW w:w="1276" w:type="dxa"/>
            <w:gridSpan w:val="3"/>
            <w:tcBorders>
              <w:top w:val="nil"/>
              <w:left w:val="nil"/>
              <w:bottom w:val="nil"/>
              <w:right w:val="nil"/>
            </w:tcBorders>
            <w:shd w:val="clear" w:color="auto" w:fill="auto"/>
            <w:vAlign w:val="bottom"/>
          </w:tcPr>
          <w:p w14:paraId="4131F9BC" w14:textId="64A3879E" w:rsidR="004513BA" w:rsidRPr="00537128" w:rsidRDefault="004513BA" w:rsidP="004513BA">
            <w:pPr>
              <w:spacing w:after="0" w:line="240" w:lineRule="auto"/>
              <w:jc w:val="right"/>
              <w:rPr>
                <w:rFonts w:ascii="Calibri" w:eastAsia="Calibri" w:hAnsi="Calibri" w:cs="Times New Roman"/>
                <w:color w:val="000000"/>
                <w:sz w:val="18"/>
                <w:szCs w:val="18"/>
                <w:lang w:val="en-US"/>
              </w:rPr>
            </w:pPr>
            <w:r>
              <w:rPr>
                <w:rFonts w:ascii="Calibri" w:eastAsia="Calibri" w:hAnsi="Calibri" w:cs="Times New Roman"/>
                <w:color w:val="000000"/>
                <w:sz w:val="18"/>
                <w:szCs w:val="18"/>
              </w:rPr>
              <w:t>-</w:t>
            </w:r>
          </w:p>
        </w:tc>
        <w:tc>
          <w:tcPr>
            <w:tcW w:w="1276" w:type="dxa"/>
            <w:gridSpan w:val="3"/>
            <w:tcBorders>
              <w:top w:val="nil"/>
              <w:left w:val="nil"/>
              <w:bottom w:val="nil"/>
              <w:right w:val="nil"/>
            </w:tcBorders>
            <w:shd w:val="clear" w:color="auto" w:fill="auto"/>
            <w:vAlign w:val="bottom"/>
          </w:tcPr>
          <w:p w14:paraId="354686C0" w14:textId="7791C43E" w:rsidR="004513BA" w:rsidRPr="00537128" w:rsidRDefault="004513BA" w:rsidP="004513BA">
            <w:pPr>
              <w:spacing w:after="0" w:line="240" w:lineRule="auto"/>
              <w:jc w:val="right"/>
              <w:rPr>
                <w:rFonts w:ascii="Calibri" w:eastAsia="Calibri" w:hAnsi="Calibri" w:cs="Times New Roman"/>
                <w:sz w:val="18"/>
                <w:szCs w:val="18"/>
                <w:lang w:val="en-US"/>
              </w:rPr>
            </w:pPr>
            <w:r w:rsidRPr="00537128">
              <w:rPr>
                <w:rFonts w:ascii="Calibri" w:eastAsia="Calibri" w:hAnsi="Calibri" w:cs="Times New Roman"/>
                <w:color w:val="000000"/>
                <w:sz w:val="18"/>
                <w:szCs w:val="18"/>
                <w:lang w:val="en-US"/>
              </w:rPr>
              <w:t>-</w:t>
            </w:r>
          </w:p>
        </w:tc>
      </w:tr>
      <w:tr w:rsidR="004513BA" w:rsidRPr="00537128" w14:paraId="7B4CE924" w14:textId="77777777" w:rsidTr="005B3D2C">
        <w:trPr>
          <w:gridAfter w:val="2"/>
          <w:wAfter w:w="29" w:type="dxa"/>
          <w:trHeight w:val="175"/>
        </w:trPr>
        <w:tc>
          <w:tcPr>
            <w:tcW w:w="2798" w:type="dxa"/>
            <w:tcBorders>
              <w:top w:val="nil"/>
              <w:left w:val="nil"/>
              <w:bottom w:val="nil"/>
              <w:right w:val="nil"/>
            </w:tcBorders>
            <w:shd w:val="clear" w:color="auto" w:fill="auto"/>
            <w:noWrap/>
            <w:vAlign w:val="bottom"/>
          </w:tcPr>
          <w:p w14:paraId="05D32F69" w14:textId="77777777" w:rsidR="004513BA" w:rsidRPr="00537128" w:rsidRDefault="004513BA" w:rsidP="004513BA">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Times New Roman"/>
                <w:color w:val="000000"/>
                <w:sz w:val="18"/>
                <w:szCs w:val="18"/>
                <w:lang w:val="en-US"/>
              </w:rPr>
              <w:t>RHMF-O-403E</w:t>
            </w:r>
          </w:p>
        </w:tc>
        <w:tc>
          <w:tcPr>
            <w:tcW w:w="1120" w:type="dxa"/>
            <w:tcBorders>
              <w:top w:val="nil"/>
              <w:left w:val="nil"/>
              <w:bottom w:val="nil"/>
              <w:right w:val="nil"/>
            </w:tcBorders>
            <w:shd w:val="clear" w:color="auto" w:fill="auto"/>
            <w:noWrap/>
            <w:vAlign w:val="bottom"/>
          </w:tcPr>
          <w:p w14:paraId="11CE8AB7" w14:textId="77777777" w:rsidR="004513BA" w:rsidRPr="00537128" w:rsidRDefault="004513BA" w:rsidP="004513BA">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Times New Roman"/>
                <w:color w:val="000000"/>
                <w:sz w:val="18"/>
                <w:szCs w:val="18"/>
                <w:lang w:val="en-US"/>
              </w:rPr>
              <w:t>3.3.2020.</w:t>
            </w:r>
          </w:p>
        </w:tc>
        <w:tc>
          <w:tcPr>
            <w:tcW w:w="1121" w:type="dxa"/>
            <w:tcBorders>
              <w:top w:val="nil"/>
              <w:left w:val="nil"/>
              <w:bottom w:val="nil"/>
              <w:right w:val="nil"/>
            </w:tcBorders>
            <w:shd w:val="clear" w:color="auto" w:fill="auto"/>
            <w:noWrap/>
            <w:vAlign w:val="bottom"/>
          </w:tcPr>
          <w:p w14:paraId="3BAC5178" w14:textId="77777777" w:rsidR="004513BA" w:rsidRPr="00537128" w:rsidRDefault="004513BA" w:rsidP="004513BA">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Times New Roman"/>
                <w:color w:val="000000"/>
                <w:sz w:val="18"/>
                <w:szCs w:val="18"/>
                <w:lang w:val="en-US"/>
              </w:rPr>
              <w:t>3.3.2040.</w:t>
            </w:r>
          </w:p>
        </w:tc>
        <w:tc>
          <w:tcPr>
            <w:tcW w:w="914" w:type="dxa"/>
            <w:tcBorders>
              <w:top w:val="nil"/>
              <w:left w:val="nil"/>
              <w:bottom w:val="nil"/>
              <w:right w:val="nil"/>
            </w:tcBorders>
            <w:shd w:val="clear" w:color="auto" w:fill="auto"/>
            <w:noWrap/>
            <w:vAlign w:val="bottom"/>
          </w:tcPr>
          <w:p w14:paraId="5CBE2AE7" w14:textId="77777777" w:rsidR="004513BA" w:rsidRPr="00537128" w:rsidRDefault="004513BA" w:rsidP="004513BA">
            <w:pPr>
              <w:spacing w:after="0" w:line="240" w:lineRule="auto"/>
              <w:jc w:val="center"/>
              <w:rPr>
                <w:rFonts w:ascii="Calibri" w:eastAsia="Calibri" w:hAnsi="Calibri" w:cs="Times New Roman"/>
                <w:color w:val="000000"/>
                <w:sz w:val="18"/>
                <w:szCs w:val="18"/>
                <w:lang w:val="en-US"/>
              </w:rPr>
            </w:pPr>
            <w:r w:rsidRPr="00537128">
              <w:rPr>
                <w:rFonts w:ascii="Calibri" w:eastAsia="Calibri" w:hAnsi="Calibri" w:cs="Times New Roman"/>
                <w:color w:val="000000"/>
                <w:sz w:val="18"/>
                <w:szCs w:val="18"/>
                <w:lang w:val="en-US"/>
              </w:rPr>
              <w:t>1.25</w:t>
            </w:r>
          </w:p>
        </w:tc>
        <w:tc>
          <w:tcPr>
            <w:tcW w:w="1247" w:type="dxa"/>
            <w:gridSpan w:val="2"/>
            <w:tcBorders>
              <w:top w:val="nil"/>
              <w:left w:val="nil"/>
              <w:bottom w:val="nil"/>
              <w:right w:val="nil"/>
            </w:tcBorders>
            <w:vAlign w:val="bottom"/>
          </w:tcPr>
          <w:p w14:paraId="0680D69C" w14:textId="638AC4D7" w:rsidR="004513BA" w:rsidRPr="00A1123E" w:rsidRDefault="004513BA" w:rsidP="004513BA">
            <w:pPr>
              <w:spacing w:after="0" w:line="240" w:lineRule="auto"/>
              <w:jc w:val="right"/>
              <w:rPr>
                <w:sz w:val="18"/>
                <w:szCs w:val="18"/>
              </w:rPr>
            </w:pPr>
            <w:r>
              <w:rPr>
                <w:rFonts w:ascii="Calibri" w:eastAsia="Calibri" w:hAnsi="Calibri" w:cs="Times New Roman"/>
                <w:color w:val="000000"/>
                <w:sz w:val="18"/>
                <w:szCs w:val="18"/>
              </w:rPr>
              <w:t>7</w:t>
            </w:r>
            <w:r w:rsidR="00EE68B4">
              <w:rPr>
                <w:rFonts w:ascii="Calibri" w:eastAsia="Calibri" w:hAnsi="Calibri" w:cs="Times New Roman"/>
                <w:color w:val="000000"/>
                <w:sz w:val="18"/>
                <w:szCs w:val="18"/>
              </w:rPr>
              <w:t>,</w:t>
            </w:r>
            <w:r>
              <w:rPr>
                <w:rFonts w:ascii="Calibri" w:eastAsia="Calibri" w:hAnsi="Calibri" w:cs="Times New Roman"/>
                <w:color w:val="000000"/>
                <w:sz w:val="18"/>
                <w:szCs w:val="18"/>
              </w:rPr>
              <w:t>536</w:t>
            </w:r>
          </w:p>
        </w:tc>
        <w:tc>
          <w:tcPr>
            <w:tcW w:w="1276" w:type="dxa"/>
            <w:gridSpan w:val="3"/>
            <w:tcBorders>
              <w:top w:val="nil"/>
              <w:left w:val="nil"/>
              <w:bottom w:val="nil"/>
              <w:right w:val="nil"/>
            </w:tcBorders>
            <w:vAlign w:val="bottom"/>
          </w:tcPr>
          <w:p w14:paraId="17B5C75C" w14:textId="78460284" w:rsidR="004513BA" w:rsidRPr="00537128" w:rsidRDefault="004513BA" w:rsidP="004513BA">
            <w:pPr>
              <w:spacing w:after="0" w:line="240" w:lineRule="auto"/>
              <w:jc w:val="right"/>
              <w:rPr>
                <w:rFonts w:ascii="Calibri" w:eastAsia="Calibri" w:hAnsi="Calibri" w:cs="Times New Roman"/>
                <w:color w:val="000000"/>
                <w:sz w:val="18"/>
                <w:szCs w:val="18"/>
                <w:lang w:val="en-US"/>
              </w:rPr>
            </w:pPr>
            <w:r w:rsidRPr="00034BAA">
              <w:rPr>
                <w:rFonts w:ascii="Calibri" w:eastAsia="Calibri" w:hAnsi="Calibri"/>
                <w:color w:val="000000"/>
                <w:sz w:val="18"/>
                <w:szCs w:val="18"/>
              </w:rPr>
              <w:t>8</w:t>
            </w:r>
            <w:r>
              <w:rPr>
                <w:rFonts w:ascii="Calibri" w:eastAsia="Calibri" w:hAnsi="Calibri"/>
                <w:color w:val="000000"/>
                <w:sz w:val="18"/>
                <w:szCs w:val="18"/>
              </w:rPr>
              <w:t>,</w:t>
            </w:r>
            <w:r w:rsidRPr="00034BAA">
              <w:rPr>
                <w:rFonts w:ascii="Calibri" w:eastAsia="Calibri" w:hAnsi="Calibri"/>
                <w:color w:val="000000"/>
                <w:sz w:val="18"/>
                <w:szCs w:val="18"/>
              </w:rPr>
              <w:t>500</w:t>
            </w:r>
          </w:p>
        </w:tc>
        <w:tc>
          <w:tcPr>
            <w:tcW w:w="1276" w:type="dxa"/>
            <w:gridSpan w:val="3"/>
            <w:tcBorders>
              <w:top w:val="nil"/>
              <w:left w:val="nil"/>
              <w:bottom w:val="nil"/>
              <w:right w:val="nil"/>
            </w:tcBorders>
            <w:shd w:val="clear" w:color="auto" w:fill="auto"/>
            <w:vAlign w:val="bottom"/>
          </w:tcPr>
          <w:p w14:paraId="33ADE01A" w14:textId="7096A125" w:rsidR="004513BA" w:rsidRPr="00537128" w:rsidRDefault="004513BA" w:rsidP="004513BA">
            <w:pPr>
              <w:spacing w:after="0" w:line="240" w:lineRule="auto"/>
              <w:jc w:val="right"/>
              <w:rPr>
                <w:rFonts w:ascii="Calibri" w:eastAsia="Calibri" w:hAnsi="Calibri" w:cs="Times New Roman"/>
                <w:color w:val="000000"/>
                <w:sz w:val="18"/>
                <w:szCs w:val="18"/>
                <w:lang w:val="en-US"/>
              </w:rPr>
            </w:pPr>
            <w:r>
              <w:rPr>
                <w:rFonts w:ascii="Calibri" w:eastAsia="Calibri" w:hAnsi="Calibri" w:cs="Times New Roman"/>
                <w:color w:val="000000"/>
                <w:sz w:val="18"/>
                <w:szCs w:val="18"/>
              </w:rPr>
              <w:t>-</w:t>
            </w:r>
          </w:p>
        </w:tc>
        <w:tc>
          <w:tcPr>
            <w:tcW w:w="1276" w:type="dxa"/>
            <w:gridSpan w:val="3"/>
            <w:tcBorders>
              <w:top w:val="nil"/>
              <w:left w:val="nil"/>
              <w:bottom w:val="nil"/>
              <w:right w:val="nil"/>
            </w:tcBorders>
            <w:shd w:val="clear" w:color="auto" w:fill="auto"/>
            <w:vAlign w:val="bottom"/>
          </w:tcPr>
          <w:p w14:paraId="307B0A75" w14:textId="307D00DA" w:rsidR="004513BA" w:rsidRPr="00537128" w:rsidRDefault="004513BA" w:rsidP="004513BA">
            <w:pPr>
              <w:spacing w:after="0" w:line="240" w:lineRule="auto"/>
              <w:jc w:val="right"/>
              <w:rPr>
                <w:rFonts w:ascii="Calibri" w:eastAsia="Calibri" w:hAnsi="Calibri" w:cs="Times New Roman"/>
                <w:sz w:val="18"/>
                <w:szCs w:val="18"/>
                <w:lang w:val="en-US"/>
              </w:rPr>
            </w:pPr>
            <w:r w:rsidRPr="00537128">
              <w:rPr>
                <w:rFonts w:ascii="Calibri" w:eastAsia="Calibri" w:hAnsi="Calibri" w:cs="Times New Roman"/>
                <w:color w:val="000000"/>
                <w:sz w:val="18"/>
                <w:szCs w:val="18"/>
                <w:lang w:val="en-US"/>
              </w:rPr>
              <w:t>-</w:t>
            </w:r>
          </w:p>
        </w:tc>
      </w:tr>
      <w:tr w:rsidR="004513BA" w:rsidRPr="00537128" w14:paraId="201B475D" w14:textId="77777777" w:rsidTr="005B3D2C">
        <w:trPr>
          <w:gridAfter w:val="2"/>
          <w:wAfter w:w="29" w:type="dxa"/>
          <w:trHeight w:val="175"/>
        </w:trPr>
        <w:tc>
          <w:tcPr>
            <w:tcW w:w="2798" w:type="dxa"/>
            <w:tcBorders>
              <w:top w:val="nil"/>
              <w:left w:val="nil"/>
              <w:bottom w:val="nil"/>
              <w:right w:val="nil"/>
            </w:tcBorders>
            <w:shd w:val="clear" w:color="auto" w:fill="auto"/>
            <w:noWrap/>
            <w:vAlign w:val="bottom"/>
          </w:tcPr>
          <w:p w14:paraId="50990496" w14:textId="77777777" w:rsidR="004513BA" w:rsidRPr="00537128" w:rsidRDefault="004513BA" w:rsidP="004513BA">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Times New Roman"/>
                <w:color w:val="000000"/>
                <w:sz w:val="18"/>
                <w:szCs w:val="18"/>
                <w:lang w:val="en-US"/>
              </w:rPr>
              <w:t>RHMF-O-253A</w:t>
            </w:r>
          </w:p>
        </w:tc>
        <w:tc>
          <w:tcPr>
            <w:tcW w:w="1120" w:type="dxa"/>
            <w:tcBorders>
              <w:top w:val="nil"/>
              <w:left w:val="nil"/>
              <w:bottom w:val="nil"/>
              <w:right w:val="nil"/>
            </w:tcBorders>
            <w:shd w:val="clear" w:color="auto" w:fill="auto"/>
            <w:noWrap/>
            <w:vAlign w:val="bottom"/>
          </w:tcPr>
          <w:p w14:paraId="1951C7BC" w14:textId="77777777" w:rsidR="004513BA" w:rsidRPr="00537128" w:rsidRDefault="004513BA" w:rsidP="004513BA">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Times New Roman"/>
                <w:color w:val="000000"/>
                <w:sz w:val="18"/>
                <w:szCs w:val="18"/>
                <w:lang w:val="en-US"/>
              </w:rPr>
              <w:t>3.3.2020.</w:t>
            </w:r>
          </w:p>
        </w:tc>
        <w:tc>
          <w:tcPr>
            <w:tcW w:w="1121" w:type="dxa"/>
            <w:tcBorders>
              <w:top w:val="nil"/>
              <w:left w:val="nil"/>
              <w:bottom w:val="nil"/>
              <w:right w:val="nil"/>
            </w:tcBorders>
            <w:shd w:val="clear" w:color="auto" w:fill="auto"/>
            <w:noWrap/>
            <w:vAlign w:val="bottom"/>
          </w:tcPr>
          <w:p w14:paraId="71683795" w14:textId="77777777" w:rsidR="004513BA" w:rsidRPr="00537128" w:rsidRDefault="004513BA" w:rsidP="004513BA">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Times New Roman"/>
                <w:color w:val="000000"/>
                <w:sz w:val="18"/>
                <w:szCs w:val="18"/>
                <w:lang w:val="en-US"/>
              </w:rPr>
              <w:t>3.3.2025.</w:t>
            </w:r>
          </w:p>
        </w:tc>
        <w:tc>
          <w:tcPr>
            <w:tcW w:w="914" w:type="dxa"/>
            <w:tcBorders>
              <w:top w:val="nil"/>
              <w:left w:val="nil"/>
              <w:bottom w:val="nil"/>
              <w:right w:val="nil"/>
            </w:tcBorders>
            <w:shd w:val="clear" w:color="auto" w:fill="auto"/>
            <w:noWrap/>
            <w:vAlign w:val="bottom"/>
          </w:tcPr>
          <w:p w14:paraId="4629497D" w14:textId="77777777" w:rsidR="004513BA" w:rsidRPr="00537128" w:rsidRDefault="004513BA" w:rsidP="004513BA">
            <w:pPr>
              <w:spacing w:after="0" w:line="240" w:lineRule="auto"/>
              <w:jc w:val="center"/>
              <w:rPr>
                <w:rFonts w:ascii="Calibri" w:eastAsia="Calibri" w:hAnsi="Calibri" w:cs="Times New Roman"/>
                <w:color w:val="000000"/>
                <w:sz w:val="18"/>
                <w:szCs w:val="18"/>
                <w:lang w:val="en-US"/>
              </w:rPr>
            </w:pPr>
            <w:r w:rsidRPr="00537128">
              <w:rPr>
                <w:rFonts w:ascii="Calibri" w:eastAsia="Calibri" w:hAnsi="Calibri" w:cs="Times New Roman"/>
                <w:color w:val="000000"/>
                <w:sz w:val="18"/>
                <w:szCs w:val="18"/>
                <w:lang w:val="en-US"/>
              </w:rPr>
              <w:t>0.25</w:t>
            </w:r>
          </w:p>
        </w:tc>
        <w:tc>
          <w:tcPr>
            <w:tcW w:w="1247" w:type="dxa"/>
            <w:gridSpan w:val="2"/>
            <w:tcBorders>
              <w:top w:val="nil"/>
              <w:left w:val="nil"/>
              <w:bottom w:val="nil"/>
              <w:right w:val="nil"/>
            </w:tcBorders>
            <w:shd w:val="clear" w:color="auto" w:fill="auto"/>
            <w:vAlign w:val="bottom"/>
          </w:tcPr>
          <w:p w14:paraId="38F50BB7" w14:textId="02F7787E" w:rsidR="004513BA" w:rsidRPr="00A1123E" w:rsidRDefault="004513BA" w:rsidP="004513BA">
            <w:pPr>
              <w:spacing w:after="0" w:line="240" w:lineRule="auto"/>
              <w:jc w:val="right"/>
              <w:rPr>
                <w:sz w:val="18"/>
                <w:szCs w:val="18"/>
              </w:rPr>
            </w:pPr>
            <w:r>
              <w:rPr>
                <w:rFonts w:ascii="Calibri" w:eastAsia="Calibri" w:hAnsi="Calibri" w:cs="Times New Roman"/>
                <w:color w:val="000000"/>
                <w:sz w:val="18"/>
                <w:szCs w:val="18"/>
              </w:rPr>
              <w:t>78</w:t>
            </w:r>
            <w:r w:rsidR="00EE68B4">
              <w:rPr>
                <w:rFonts w:ascii="Calibri" w:eastAsia="Calibri" w:hAnsi="Calibri" w:cs="Times New Roman"/>
                <w:color w:val="000000"/>
                <w:sz w:val="18"/>
                <w:szCs w:val="18"/>
              </w:rPr>
              <w:t>,</w:t>
            </w:r>
            <w:r>
              <w:rPr>
                <w:rFonts w:ascii="Calibri" w:eastAsia="Calibri" w:hAnsi="Calibri" w:cs="Times New Roman"/>
                <w:color w:val="000000"/>
                <w:sz w:val="18"/>
                <w:szCs w:val="18"/>
              </w:rPr>
              <w:t>472</w:t>
            </w:r>
          </w:p>
        </w:tc>
        <w:tc>
          <w:tcPr>
            <w:tcW w:w="1276" w:type="dxa"/>
            <w:gridSpan w:val="3"/>
            <w:tcBorders>
              <w:top w:val="nil"/>
              <w:left w:val="nil"/>
              <w:bottom w:val="nil"/>
              <w:right w:val="nil"/>
            </w:tcBorders>
            <w:vAlign w:val="bottom"/>
          </w:tcPr>
          <w:p w14:paraId="2BCF3403" w14:textId="7039C8FB" w:rsidR="004513BA" w:rsidRPr="00537128" w:rsidRDefault="004513BA" w:rsidP="004513BA">
            <w:pPr>
              <w:spacing w:after="0" w:line="240" w:lineRule="auto"/>
              <w:jc w:val="right"/>
              <w:rPr>
                <w:rFonts w:ascii="Calibri" w:eastAsia="Calibri" w:hAnsi="Calibri" w:cs="Times New Roman"/>
                <w:color w:val="000000"/>
                <w:sz w:val="18"/>
                <w:szCs w:val="18"/>
                <w:lang w:val="en-US"/>
              </w:rPr>
            </w:pPr>
            <w:r w:rsidRPr="00034BAA">
              <w:rPr>
                <w:rFonts w:ascii="Calibri" w:eastAsia="Calibri" w:hAnsi="Calibri"/>
                <w:color w:val="000000"/>
                <w:sz w:val="18"/>
                <w:szCs w:val="18"/>
              </w:rPr>
              <w:t>80</w:t>
            </w:r>
            <w:r>
              <w:rPr>
                <w:rFonts w:ascii="Calibri" w:eastAsia="Calibri" w:hAnsi="Calibri"/>
                <w:color w:val="000000"/>
                <w:sz w:val="18"/>
                <w:szCs w:val="18"/>
              </w:rPr>
              <w:t>,</w:t>
            </w:r>
            <w:r w:rsidRPr="00034BAA">
              <w:rPr>
                <w:rFonts w:ascii="Calibri" w:eastAsia="Calibri" w:hAnsi="Calibri"/>
                <w:color w:val="000000"/>
                <w:sz w:val="18"/>
                <w:szCs w:val="18"/>
              </w:rPr>
              <w:t>082</w:t>
            </w:r>
          </w:p>
        </w:tc>
        <w:tc>
          <w:tcPr>
            <w:tcW w:w="1276" w:type="dxa"/>
            <w:gridSpan w:val="3"/>
            <w:tcBorders>
              <w:top w:val="nil"/>
              <w:left w:val="nil"/>
              <w:bottom w:val="nil"/>
              <w:right w:val="nil"/>
            </w:tcBorders>
            <w:shd w:val="clear" w:color="auto" w:fill="auto"/>
            <w:vAlign w:val="bottom"/>
          </w:tcPr>
          <w:p w14:paraId="470B2A56" w14:textId="09987407" w:rsidR="004513BA" w:rsidRPr="00537128" w:rsidRDefault="004513BA" w:rsidP="004513BA">
            <w:pPr>
              <w:spacing w:after="0" w:line="240" w:lineRule="auto"/>
              <w:jc w:val="right"/>
              <w:rPr>
                <w:rFonts w:ascii="Calibri" w:eastAsia="Calibri" w:hAnsi="Calibri" w:cs="Times New Roman"/>
                <w:color w:val="000000"/>
                <w:sz w:val="18"/>
                <w:szCs w:val="18"/>
                <w:lang w:val="en-US"/>
              </w:rPr>
            </w:pPr>
            <w:r>
              <w:rPr>
                <w:rFonts w:ascii="Calibri" w:eastAsia="Calibri" w:hAnsi="Calibri" w:cs="Times New Roman"/>
                <w:color w:val="000000"/>
                <w:sz w:val="18"/>
                <w:szCs w:val="18"/>
              </w:rPr>
              <w:t>78</w:t>
            </w:r>
            <w:r w:rsidR="00EE68B4">
              <w:rPr>
                <w:rFonts w:ascii="Calibri" w:eastAsia="Calibri" w:hAnsi="Calibri" w:cs="Times New Roman"/>
                <w:color w:val="000000"/>
                <w:sz w:val="18"/>
                <w:szCs w:val="18"/>
              </w:rPr>
              <w:t>,</w:t>
            </w:r>
            <w:r>
              <w:rPr>
                <w:rFonts w:ascii="Calibri" w:eastAsia="Calibri" w:hAnsi="Calibri" w:cs="Times New Roman"/>
                <w:color w:val="000000"/>
                <w:sz w:val="18"/>
                <w:szCs w:val="18"/>
              </w:rPr>
              <w:t>472</w:t>
            </w:r>
          </w:p>
        </w:tc>
        <w:tc>
          <w:tcPr>
            <w:tcW w:w="1276" w:type="dxa"/>
            <w:gridSpan w:val="3"/>
            <w:tcBorders>
              <w:top w:val="nil"/>
              <w:left w:val="nil"/>
              <w:bottom w:val="nil"/>
              <w:right w:val="nil"/>
            </w:tcBorders>
            <w:shd w:val="clear" w:color="auto" w:fill="auto"/>
            <w:vAlign w:val="bottom"/>
          </w:tcPr>
          <w:p w14:paraId="1263F784" w14:textId="0EA61B72" w:rsidR="004513BA" w:rsidRPr="00537128" w:rsidRDefault="004513BA" w:rsidP="004513BA">
            <w:pPr>
              <w:spacing w:after="0" w:line="240" w:lineRule="auto"/>
              <w:jc w:val="right"/>
              <w:rPr>
                <w:rFonts w:ascii="Calibri" w:eastAsia="Calibri" w:hAnsi="Calibri" w:cs="Times New Roman"/>
                <w:sz w:val="18"/>
                <w:szCs w:val="18"/>
                <w:lang w:val="en-US"/>
              </w:rPr>
            </w:pPr>
            <w:r>
              <w:rPr>
                <w:rFonts w:ascii="Calibri" w:eastAsia="Calibri" w:hAnsi="Calibri" w:cs="Times New Roman"/>
                <w:color w:val="000000"/>
                <w:sz w:val="18"/>
                <w:szCs w:val="18"/>
              </w:rPr>
              <w:t>80,082</w:t>
            </w:r>
          </w:p>
        </w:tc>
      </w:tr>
      <w:tr w:rsidR="004513BA" w:rsidRPr="00537128" w14:paraId="52FDD2D5" w14:textId="77777777" w:rsidTr="005B3D2C">
        <w:trPr>
          <w:gridAfter w:val="2"/>
          <w:wAfter w:w="29" w:type="dxa"/>
          <w:trHeight w:val="175"/>
        </w:trPr>
        <w:tc>
          <w:tcPr>
            <w:tcW w:w="2798" w:type="dxa"/>
            <w:tcBorders>
              <w:top w:val="nil"/>
              <w:left w:val="nil"/>
              <w:bottom w:val="nil"/>
              <w:right w:val="nil"/>
            </w:tcBorders>
            <w:shd w:val="clear" w:color="auto" w:fill="auto"/>
            <w:noWrap/>
            <w:vAlign w:val="bottom"/>
          </w:tcPr>
          <w:p w14:paraId="518D8E68" w14:textId="77777777" w:rsidR="004513BA" w:rsidRPr="00537128" w:rsidRDefault="004513BA" w:rsidP="004513BA">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Arial"/>
                <w:iCs/>
                <w:color w:val="000000"/>
                <w:sz w:val="18"/>
                <w:szCs w:val="18"/>
                <w:lang w:val="en-US"/>
              </w:rPr>
              <w:t xml:space="preserve">                                   RHMF-O-24BA         </w:t>
            </w:r>
          </w:p>
        </w:tc>
        <w:tc>
          <w:tcPr>
            <w:tcW w:w="1120" w:type="dxa"/>
            <w:tcBorders>
              <w:top w:val="nil"/>
              <w:left w:val="nil"/>
              <w:bottom w:val="nil"/>
              <w:right w:val="nil"/>
            </w:tcBorders>
            <w:shd w:val="clear" w:color="auto" w:fill="auto"/>
            <w:noWrap/>
            <w:vAlign w:val="bottom"/>
          </w:tcPr>
          <w:p w14:paraId="3E9CFA88" w14:textId="77777777" w:rsidR="004513BA" w:rsidRPr="00537128" w:rsidRDefault="004513BA" w:rsidP="004513BA">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Arial"/>
                <w:iCs/>
                <w:color w:val="000000"/>
                <w:sz w:val="18"/>
                <w:szCs w:val="18"/>
                <w:lang w:val="en-US"/>
              </w:rPr>
              <w:t xml:space="preserve">27.11.2019.             </w:t>
            </w:r>
          </w:p>
        </w:tc>
        <w:tc>
          <w:tcPr>
            <w:tcW w:w="1121" w:type="dxa"/>
            <w:shd w:val="clear" w:color="auto" w:fill="auto"/>
            <w:noWrap/>
          </w:tcPr>
          <w:p w14:paraId="27440993" w14:textId="77777777" w:rsidR="004513BA" w:rsidRPr="00537128" w:rsidRDefault="004513BA" w:rsidP="004513BA">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Arial"/>
                <w:iCs/>
                <w:color w:val="000000"/>
                <w:sz w:val="18"/>
                <w:szCs w:val="18"/>
                <w:lang w:val="en-US"/>
              </w:rPr>
              <w:t>27.11.2024.</w:t>
            </w:r>
          </w:p>
        </w:tc>
        <w:tc>
          <w:tcPr>
            <w:tcW w:w="914" w:type="dxa"/>
            <w:tcBorders>
              <w:top w:val="nil"/>
              <w:left w:val="nil"/>
              <w:bottom w:val="nil"/>
              <w:right w:val="nil"/>
            </w:tcBorders>
            <w:shd w:val="clear" w:color="auto" w:fill="auto"/>
            <w:noWrap/>
            <w:vAlign w:val="bottom"/>
          </w:tcPr>
          <w:p w14:paraId="783021E4" w14:textId="77777777" w:rsidR="004513BA" w:rsidRPr="00537128" w:rsidRDefault="004513BA" w:rsidP="004513BA">
            <w:pPr>
              <w:spacing w:after="0" w:line="240" w:lineRule="auto"/>
              <w:jc w:val="center"/>
              <w:rPr>
                <w:rFonts w:ascii="Calibri" w:eastAsia="Calibri" w:hAnsi="Calibri" w:cs="Times New Roman"/>
                <w:color w:val="000000"/>
                <w:sz w:val="18"/>
                <w:szCs w:val="18"/>
                <w:lang w:val="en-US"/>
              </w:rPr>
            </w:pPr>
            <w:r w:rsidRPr="00537128">
              <w:rPr>
                <w:rFonts w:ascii="Calibri" w:eastAsia="Calibri" w:hAnsi="Calibri" w:cs="Arial"/>
                <w:iCs/>
                <w:color w:val="000000"/>
                <w:sz w:val="18"/>
                <w:szCs w:val="18"/>
                <w:lang w:val="en-US"/>
              </w:rPr>
              <w:t>0.25</w:t>
            </w:r>
          </w:p>
        </w:tc>
        <w:tc>
          <w:tcPr>
            <w:tcW w:w="1247" w:type="dxa"/>
            <w:gridSpan w:val="2"/>
            <w:tcBorders>
              <w:top w:val="nil"/>
              <w:left w:val="nil"/>
              <w:bottom w:val="nil"/>
              <w:right w:val="nil"/>
            </w:tcBorders>
            <w:vAlign w:val="bottom"/>
          </w:tcPr>
          <w:p w14:paraId="699131B2" w14:textId="372DCF6E" w:rsidR="004513BA" w:rsidRPr="00A1123E" w:rsidRDefault="004513BA" w:rsidP="004513BA">
            <w:pPr>
              <w:spacing w:after="0" w:line="240" w:lineRule="auto"/>
              <w:jc w:val="right"/>
              <w:rPr>
                <w:sz w:val="18"/>
                <w:szCs w:val="18"/>
              </w:rPr>
            </w:pPr>
            <w:r>
              <w:rPr>
                <w:rFonts w:ascii="Calibri" w:eastAsia="Calibri" w:hAnsi="Calibri" w:cs="Calibri"/>
                <w:color w:val="000000"/>
                <w:sz w:val="18"/>
                <w:szCs w:val="18"/>
                <w:lang w:eastAsia="hr-HR"/>
              </w:rPr>
              <w:t>9</w:t>
            </w:r>
            <w:r w:rsidR="00EE68B4">
              <w:rPr>
                <w:rFonts w:ascii="Calibri" w:eastAsia="Calibri" w:hAnsi="Calibri" w:cs="Calibri"/>
                <w:color w:val="000000"/>
                <w:sz w:val="18"/>
                <w:szCs w:val="18"/>
                <w:lang w:eastAsia="hr-HR"/>
              </w:rPr>
              <w:t>,</w:t>
            </w:r>
            <w:r>
              <w:rPr>
                <w:rFonts w:ascii="Calibri" w:eastAsia="Calibri" w:hAnsi="Calibri" w:cs="Calibri"/>
                <w:color w:val="000000"/>
                <w:sz w:val="18"/>
                <w:szCs w:val="18"/>
                <w:lang w:eastAsia="hr-HR"/>
              </w:rPr>
              <w:t>526</w:t>
            </w:r>
          </w:p>
        </w:tc>
        <w:tc>
          <w:tcPr>
            <w:tcW w:w="1276" w:type="dxa"/>
            <w:gridSpan w:val="3"/>
            <w:tcBorders>
              <w:top w:val="nil"/>
              <w:left w:val="nil"/>
              <w:bottom w:val="nil"/>
              <w:right w:val="nil"/>
            </w:tcBorders>
            <w:shd w:val="clear" w:color="auto" w:fill="auto"/>
            <w:vAlign w:val="bottom"/>
          </w:tcPr>
          <w:p w14:paraId="022C5BE6" w14:textId="7E5F924C" w:rsidR="004513BA" w:rsidRPr="00537128" w:rsidRDefault="004513BA" w:rsidP="004513BA">
            <w:pPr>
              <w:spacing w:after="0" w:line="240" w:lineRule="auto"/>
              <w:jc w:val="right"/>
              <w:rPr>
                <w:rFonts w:ascii="Calibri" w:eastAsia="Calibri" w:hAnsi="Calibri" w:cs="Times New Roman"/>
                <w:color w:val="000000"/>
                <w:sz w:val="18"/>
                <w:szCs w:val="18"/>
                <w:lang w:val="en-US"/>
              </w:rPr>
            </w:pPr>
            <w:r w:rsidRPr="00EA3621">
              <w:rPr>
                <w:rFonts w:ascii="Calibri" w:eastAsia="Calibri" w:hAnsi="Calibri" w:cs="Arial"/>
                <w:color w:val="000000"/>
                <w:sz w:val="18"/>
                <w:szCs w:val="18"/>
              </w:rPr>
              <w:t>9</w:t>
            </w:r>
            <w:r>
              <w:rPr>
                <w:rFonts w:ascii="Calibri" w:eastAsia="Calibri" w:hAnsi="Calibri" w:cs="Arial"/>
                <w:color w:val="000000"/>
                <w:sz w:val="18"/>
                <w:szCs w:val="18"/>
              </w:rPr>
              <w:t>,</w:t>
            </w:r>
            <w:r w:rsidRPr="00EA3621">
              <w:rPr>
                <w:rFonts w:ascii="Calibri" w:eastAsia="Calibri" w:hAnsi="Calibri" w:cs="Arial"/>
                <w:color w:val="000000"/>
                <w:sz w:val="18"/>
                <w:szCs w:val="18"/>
              </w:rPr>
              <w:t>6</w:t>
            </w:r>
            <w:r>
              <w:rPr>
                <w:rFonts w:ascii="Calibri" w:eastAsia="Calibri" w:hAnsi="Calibri" w:cs="Arial"/>
                <w:color w:val="000000"/>
                <w:sz w:val="18"/>
                <w:szCs w:val="18"/>
              </w:rPr>
              <w:t>67</w:t>
            </w:r>
          </w:p>
        </w:tc>
        <w:tc>
          <w:tcPr>
            <w:tcW w:w="1276" w:type="dxa"/>
            <w:gridSpan w:val="3"/>
            <w:tcBorders>
              <w:top w:val="nil"/>
              <w:left w:val="nil"/>
              <w:bottom w:val="nil"/>
              <w:right w:val="nil"/>
            </w:tcBorders>
            <w:vAlign w:val="bottom"/>
          </w:tcPr>
          <w:p w14:paraId="7ACE3F0C" w14:textId="1E5BC90A" w:rsidR="004513BA" w:rsidRPr="00537128" w:rsidRDefault="004513BA" w:rsidP="004513BA">
            <w:pPr>
              <w:spacing w:after="0" w:line="240" w:lineRule="auto"/>
              <w:jc w:val="right"/>
              <w:rPr>
                <w:rFonts w:ascii="Calibri" w:eastAsia="Calibri" w:hAnsi="Calibri" w:cs="Times New Roman"/>
                <w:color w:val="000000"/>
                <w:sz w:val="18"/>
                <w:szCs w:val="18"/>
                <w:lang w:val="en-US"/>
              </w:rPr>
            </w:pPr>
            <w:r>
              <w:rPr>
                <w:rFonts w:ascii="Calibri" w:eastAsia="Calibri" w:hAnsi="Calibri" w:cs="Arial"/>
                <w:color w:val="000000"/>
                <w:sz w:val="18"/>
                <w:szCs w:val="18"/>
              </w:rPr>
              <w:t>9</w:t>
            </w:r>
            <w:r w:rsidR="00EE68B4">
              <w:rPr>
                <w:rFonts w:ascii="Calibri" w:eastAsia="Calibri" w:hAnsi="Calibri" w:cs="Arial"/>
                <w:color w:val="000000"/>
                <w:sz w:val="18"/>
                <w:szCs w:val="18"/>
              </w:rPr>
              <w:t>,</w:t>
            </w:r>
            <w:r>
              <w:rPr>
                <w:rFonts w:ascii="Calibri" w:eastAsia="Calibri" w:hAnsi="Calibri" w:cs="Arial"/>
                <w:color w:val="000000"/>
                <w:sz w:val="18"/>
                <w:szCs w:val="18"/>
              </w:rPr>
              <w:t>526</w:t>
            </w:r>
          </w:p>
        </w:tc>
        <w:tc>
          <w:tcPr>
            <w:tcW w:w="1276" w:type="dxa"/>
            <w:gridSpan w:val="3"/>
            <w:tcBorders>
              <w:top w:val="nil"/>
              <w:left w:val="nil"/>
              <w:bottom w:val="nil"/>
              <w:right w:val="nil"/>
            </w:tcBorders>
            <w:vAlign w:val="bottom"/>
          </w:tcPr>
          <w:p w14:paraId="5555ADEA" w14:textId="29DF626C" w:rsidR="004513BA" w:rsidRPr="00537128" w:rsidRDefault="004513BA" w:rsidP="004513BA">
            <w:pPr>
              <w:spacing w:after="0" w:line="240" w:lineRule="auto"/>
              <w:jc w:val="right"/>
              <w:rPr>
                <w:rFonts w:ascii="Calibri" w:eastAsia="Calibri" w:hAnsi="Calibri" w:cs="Times New Roman"/>
                <w:sz w:val="18"/>
                <w:szCs w:val="18"/>
                <w:lang w:val="en-US"/>
              </w:rPr>
            </w:pPr>
            <w:r w:rsidRPr="00EA3621">
              <w:rPr>
                <w:rFonts w:ascii="Calibri" w:eastAsia="Calibri" w:hAnsi="Calibri" w:cs="Calibri"/>
                <w:color w:val="000000"/>
                <w:sz w:val="18"/>
                <w:szCs w:val="18"/>
                <w:lang w:eastAsia="hr-HR"/>
              </w:rPr>
              <w:t>9</w:t>
            </w:r>
            <w:r>
              <w:rPr>
                <w:rFonts w:ascii="Calibri" w:eastAsia="Calibri" w:hAnsi="Calibri" w:cs="Calibri"/>
                <w:color w:val="000000"/>
                <w:sz w:val="18"/>
                <w:szCs w:val="18"/>
                <w:lang w:eastAsia="hr-HR"/>
              </w:rPr>
              <w:t>,</w:t>
            </w:r>
            <w:r w:rsidRPr="00EA3621">
              <w:rPr>
                <w:rFonts w:ascii="Calibri" w:eastAsia="Calibri" w:hAnsi="Calibri" w:cs="Calibri"/>
                <w:color w:val="000000"/>
                <w:sz w:val="18"/>
                <w:szCs w:val="18"/>
                <w:lang w:eastAsia="hr-HR"/>
              </w:rPr>
              <w:t>6</w:t>
            </w:r>
            <w:r>
              <w:rPr>
                <w:rFonts w:ascii="Calibri" w:eastAsia="Calibri" w:hAnsi="Calibri" w:cs="Calibri"/>
                <w:color w:val="000000"/>
                <w:sz w:val="18"/>
                <w:szCs w:val="18"/>
                <w:lang w:eastAsia="hr-HR"/>
              </w:rPr>
              <w:t>67</w:t>
            </w:r>
          </w:p>
        </w:tc>
      </w:tr>
      <w:tr w:rsidR="004513BA" w:rsidRPr="00537128" w14:paraId="50912532" w14:textId="77777777" w:rsidTr="005B3D2C">
        <w:trPr>
          <w:gridAfter w:val="2"/>
          <w:wAfter w:w="29" w:type="dxa"/>
          <w:trHeight w:val="175"/>
        </w:trPr>
        <w:tc>
          <w:tcPr>
            <w:tcW w:w="5039" w:type="dxa"/>
            <w:gridSpan w:val="3"/>
            <w:shd w:val="clear" w:color="auto" w:fill="auto"/>
            <w:noWrap/>
            <w:vAlign w:val="bottom"/>
          </w:tcPr>
          <w:p w14:paraId="6E8E13A3" w14:textId="77777777" w:rsidR="004513BA" w:rsidRPr="00537128" w:rsidRDefault="004513BA" w:rsidP="004513BA">
            <w:pPr>
              <w:spacing w:after="0" w:line="240" w:lineRule="auto"/>
              <w:rPr>
                <w:rFonts w:ascii="Calibri" w:eastAsia="Calibri" w:hAnsi="Calibri" w:cs="Arial"/>
                <w:i/>
                <w:sz w:val="18"/>
                <w:szCs w:val="18"/>
                <w:lang w:val="en-US"/>
              </w:rPr>
            </w:pPr>
            <w:r w:rsidRPr="00537128">
              <w:rPr>
                <w:rFonts w:ascii="Calibri" w:eastAsia="Calibri" w:hAnsi="Calibri" w:cs="Arial"/>
                <w:i/>
                <w:sz w:val="18"/>
                <w:szCs w:val="18"/>
                <w:lang w:val="en-US" w:eastAsia="hr-HR"/>
              </w:rPr>
              <w:t>Corporate bonds in HRK:</w:t>
            </w:r>
          </w:p>
        </w:tc>
        <w:tc>
          <w:tcPr>
            <w:tcW w:w="914" w:type="dxa"/>
            <w:tcBorders>
              <w:top w:val="nil"/>
              <w:left w:val="nil"/>
              <w:bottom w:val="nil"/>
              <w:right w:val="nil"/>
            </w:tcBorders>
            <w:shd w:val="clear" w:color="auto" w:fill="auto"/>
            <w:noWrap/>
            <w:vAlign w:val="bottom"/>
          </w:tcPr>
          <w:p w14:paraId="5B944162" w14:textId="77777777" w:rsidR="004513BA" w:rsidRPr="00537128" w:rsidRDefault="004513BA" w:rsidP="004513BA">
            <w:pPr>
              <w:spacing w:after="0" w:line="240" w:lineRule="auto"/>
              <w:jc w:val="center"/>
              <w:rPr>
                <w:rFonts w:ascii="Calibri" w:eastAsia="Calibri" w:hAnsi="Calibri" w:cs="Arial"/>
                <w:sz w:val="18"/>
                <w:szCs w:val="18"/>
                <w:lang w:val="en-US"/>
              </w:rPr>
            </w:pPr>
          </w:p>
        </w:tc>
        <w:tc>
          <w:tcPr>
            <w:tcW w:w="1276" w:type="dxa"/>
            <w:gridSpan w:val="3"/>
            <w:tcBorders>
              <w:top w:val="nil"/>
              <w:left w:val="nil"/>
              <w:bottom w:val="nil"/>
              <w:right w:val="nil"/>
            </w:tcBorders>
            <w:shd w:val="clear" w:color="auto" w:fill="auto"/>
            <w:vAlign w:val="bottom"/>
          </w:tcPr>
          <w:p w14:paraId="619D3F77" w14:textId="77777777" w:rsidR="004513BA" w:rsidRPr="00537128" w:rsidRDefault="004513BA" w:rsidP="004513BA">
            <w:pPr>
              <w:spacing w:after="0" w:line="240" w:lineRule="auto"/>
              <w:jc w:val="right"/>
              <w:rPr>
                <w:rFonts w:ascii="Calibri" w:eastAsia="Calibri" w:hAnsi="Calibri" w:cs="Arial"/>
                <w:sz w:val="18"/>
                <w:szCs w:val="18"/>
                <w:lang w:val="en-US"/>
              </w:rPr>
            </w:pPr>
          </w:p>
        </w:tc>
        <w:tc>
          <w:tcPr>
            <w:tcW w:w="1276" w:type="dxa"/>
            <w:gridSpan w:val="4"/>
            <w:tcBorders>
              <w:top w:val="nil"/>
              <w:left w:val="nil"/>
              <w:bottom w:val="nil"/>
              <w:right w:val="nil"/>
            </w:tcBorders>
            <w:shd w:val="clear" w:color="auto" w:fill="auto"/>
            <w:vAlign w:val="bottom"/>
          </w:tcPr>
          <w:p w14:paraId="6898A387" w14:textId="77777777" w:rsidR="004513BA" w:rsidRPr="00537128" w:rsidRDefault="004513BA" w:rsidP="004513BA">
            <w:pPr>
              <w:spacing w:after="0" w:line="240" w:lineRule="auto"/>
              <w:jc w:val="right"/>
              <w:rPr>
                <w:rFonts w:ascii="Calibri" w:eastAsia="Calibri" w:hAnsi="Calibri" w:cs="Arial"/>
                <w:sz w:val="18"/>
                <w:szCs w:val="18"/>
                <w:lang w:val="en-US"/>
              </w:rPr>
            </w:pPr>
          </w:p>
        </w:tc>
        <w:tc>
          <w:tcPr>
            <w:tcW w:w="1247" w:type="dxa"/>
            <w:tcBorders>
              <w:top w:val="nil"/>
              <w:left w:val="nil"/>
              <w:bottom w:val="nil"/>
              <w:right w:val="nil"/>
            </w:tcBorders>
            <w:shd w:val="clear" w:color="auto" w:fill="auto"/>
            <w:vAlign w:val="bottom"/>
          </w:tcPr>
          <w:p w14:paraId="42C65014" w14:textId="77777777" w:rsidR="004513BA" w:rsidRPr="00537128" w:rsidRDefault="004513BA" w:rsidP="004513BA">
            <w:pPr>
              <w:spacing w:after="0" w:line="240" w:lineRule="auto"/>
              <w:jc w:val="right"/>
              <w:rPr>
                <w:rFonts w:ascii="Calibri" w:eastAsia="Calibri" w:hAnsi="Calibri" w:cs="Arial"/>
                <w:sz w:val="18"/>
                <w:szCs w:val="18"/>
                <w:lang w:val="en-US"/>
              </w:rPr>
            </w:pPr>
          </w:p>
        </w:tc>
        <w:tc>
          <w:tcPr>
            <w:tcW w:w="1276" w:type="dxa"/>
            <w:gridSpan w:val="3"/>
            <w:tcBorders>
              <w:top w:val="nil"/>
              <w:left w:val="nil"/>
              <w:bottom w:val="nil"/>
              <w:right w:val="nil"/>
            </w:tcBorders>
            <w:shd w:val="clear" w:color="auto" w:fill="auto"/>
            <w:vAlign w:val="bottom"/>
          </w:tcPr>
          <w:p w14:paraId="4CFAE788" w14:textId="77777777" w:rsidR="004513BA" w:rsidRPr="00537128" w:rsidRDefault="004513BA" w:rsidP="004513BA">
            <w:pPr>
              <w:spacing w:after="0" w:line="240" w:lineRule="auto"/>
              <w:jc w:val="right"/>
              <w:rPr>
                <w:rFonts w:ascii="Calibri" w:eastAsia="Calibri" w:hAnsi="Calibri" w:cs="Arial"/>
                <w:sz w:val="18"/>
                <w:szCs w:val="18"/>
                <w:lang w:val="en-US"/>
              </w:rPr>
            </w:pPr>
          </w:p>
        </w:tc>
      </w:tr>
      <w:tr w:rsidR="008B17ED" w:rsidRPr="00537128" w14:paraId="5F90B623" w14:textId="77777777" w:rsidTr="005B3D2C">
        <w:trPr>
          <w:gridAfter w:val="2"/>
          <w:wAfter w:w="29" w:type="dxa"/>
          <w:trHeight w:val="175"/>
        </w:trPr>
        <w:tc>
          <w:tcPr>
            <w:tcW w:w="2798" w:type="dxa"/>
            <w:tcBorders>
              <w:top w:val="nil"/>
              <w:left w:val="nil"/>
              <w:bottom w:val="nil"/>
              <w:right w:val="nil"/>
            </w:tcBorders>
            <w:shd w:val="clear" w:color="auto" w:fill="auto"/>
            <w:noWrap/>
            <w:vAlign w:val="bottom"/>
          </w:tcPr>
          <w:p w14:paraId="6B4CD25E" w14:textId="77777777" w:rsidR="008B17ED" w:rsidRPr="00537128" w:rsidRDefault="008B17ED" w:rsidP="008B17ED">
            <w:pPr>
              <w:spacing w:after="0" w:line="240" w:lineRule="auto"/>
              <w:jc w:val="right"/>
              <w:rPr>
                <w:rFonts w:ascii="Calibri" w:eastAsia="Calibri" w:hAnsi="Calibri" w:cs="Times New Roman"/>
                <w:sz w:val="18"/>
                <w:szCs w:val="18"/>
                <w:lang w:val="en-US" w:eastAsia="hr-HR"/>
              </w:rPr>
            </w:pPr>
            <w:r w:rsidRPr="00537128">
              <w:rPr>
                <w:rFonts w:ascii="Calibri" w:eastAsia="Calibri" w:hAnsi="Calibri" w:cs="Times New Roman"/>
                <w:color w:val="000000"/>
                <w:sz w:val="18"/>
                <w:szCs w:val="18"/>
                <w:lang w:val="en-US" w:eastAsia="hr-HR"/>
              </w:rPr>
              <w:t>JDGL-O-24XA</w:t>
            </w:r>
          </w:p>
        </w:tc>
        <w:tc>
          <w:tcPr>
            <w:tcW w:w="1120" w:type="dxa"/>
            <w:tcBorders>
              <w:top w:val="nil"/>
              <w:left w:val="nil"/>
              <w:bottom w:val="nil"/>
              <w:right w:val="nil"/>
            </w:tcBorders>
            <w:shd w:val="clear" w:color="auto" w:fill="auto"/>
            <w:noWrap/>
            <w:vAlign w:val="bottom"/>
          </w:tcPr>
          <w:p w14:paraId="7D2F4CDE" w14:textId="77777777" w:rsidR="008B17ED" w:rsidRPr="00537128" w:rsidRDefault="008B17ED" w:rsidP="008B17ED">
            <w:pPr>
              <w:spacing w:after="0" w:line="240" w:lineRule="auto"/>
              <w:jc w:val="right"/>
              <w:rPr>
                <w:rFonts w:ascii="Calibri" w:eastAsia="Calibri" w:hAnsi="Calibri" w:cs="Times New Roman"/>
                <w:sz w:val="18"/>
                <w:szCs w:val="18"/>
                <w:lang w:val="en-US" w:eastAsia="hr-HR"/>
              </w:rPr>
            </w:pPr>
            <w:r w:rsidRPr="00537128">
              <w:rPr>
                <w:rFonts w:ascii="Calibri" w:eastAsia="Calibri" w:hAnsi="Calibri" w:cs="Times New Roman"/>
                <w:color w:val="000000"/>
                <w:sz w:val="18"/>
                <w:szCs w:val="18"/>
                <w:lang w:val="en-US" w:eastAsia="hr-HR"/>
              </w:rPr>
              <w:t>18.12.2019.</w:t>
            </w:r>
          </w:p>
        </w:tc>
        <w:tc>
          <w:tcPr>
            <w:tcW w:w="1121" w:type="dxa"/>
            <w:tcBorders>
              <w:top w:val="nil"/>
              <w:left w:val="nil"/>
              <w:bottom w:val="nil"/>
              <w:right w:val="nil"/>
            </w:tcBorders>
            <w:shd w:val="clear" w:color="auto" w:fill="auto"/>
            <w:noWrap/>
            <w:vAlign w:val="bottom"/>
          </w:tcPr>
          <w:p w14:paraId="1AA4D012" w14:textId="77777777" w:rsidR="008B17ED" w:rsidRPr="00537128" w:rsidRDefault="008B17ED" w:rsidP="008B17ED">
            <w:pPr>
              <w:spacing w:after="0" w:line="240" w:lineRule="auto"/>
              <w:jc w:val="right"/>
              <w:rPr>
                <w:rFonts w:ascii="Calibri" w:eastAsia="Calibri" w:hAnsi="Calibri" w:cs="Times New Roman"/>
                <w:sz w:val="18"/>
                <w:szCs w:val="18"/>
                <w:lang w:val="en-US" w:eastAsia="hr-HR"/>
              </w:rPr>
            </w:pPr>
            <w:r w:rsidRPr="00537128">
              <w:rPr>
                <w:rFonts w:ascii="Calibri" w:eastAsia="Calibri" w:hAnsi="Calibri" w:cs="Times New Roman"/>
                <w:color w:val="000000"/>
                <w:sz w:val="18"/>
                <w:szCs w:val="18"/>
                <w:lang w:val="en-US" w:eastAsia="hr-HR"/>
              </w:rPr>
              <w:t>18.12.2024.</w:t>
            </w:r>
          </w:p>
        </w:tc>
        <w:tc>
          <w:tcPr>
            <w:tcW w:w="914" w:type="dxa"/>
            <w:tcBorders>
              <w:top w:val="nil"/>
              <w:left w:val="nil"/>
              <w:bottom w:val="nil"/>
              <w:right w:val="nil"/>
            </w:tcBorders>
            <w:shd w:val="clear" w:color="auto" w:fill="auto"/>
            <w:noWrap/>
          </w:tcPr>
          <w:p w14:paraId="3FCEF9E9" w14:textId="77777777" w:rsidR="008B17ED" w:rsidRPr="00537128" w:rsidRDefault="008B17ED" w:rsidP="008B17ED">
            <w:pPr>
              <w:spacing w:after="0" w:line="240" w:lineRule="auto"/>
              <w:jc w:val="center"/>
              <w:rPr>
                <w:rFonts w:ascii="Calibri" w:eastAsia="Calibri" w:hAnsi="Calibri" w:cs="Times New Roman"/>
                <w:sz w:val="18"/>
                <w:szCs w:val="18"/>
                <w:lang w:val="en-US" w:eastAsia="hr-HR"/>
              </w:rPr>
            </w:pPr>
            <w:r w:rsidRPr="00537128">
              <w:rPr>
                <w:rFonts w:ascii="Calibri" w:eastAsia="Calibri" w:hAnsi="Calibri" w:cs="Times New Roman"/>
                <w:color w:val="000000"/>
                <w:sz w:val="18"/>
                <w:szCs w:val="18"/>
                <w:lang w:val="en-US"/>
              </w:rPr>
              <w:t>1.75</w:t>
            </w:r>
          </w:p>
        </w:tc>
        <w:tc>
          <w:tcPr>
            <w:tcW w:w="1247" w:type="dxa"/>
            <w:gridSpan w:val="2"/>
            <w:tcBorders>
              <w:top w:val="nil"/>
              <w:left w:val="nil"/>
              <w:bottom w:val="nil"/>
              <w:right w:val="nil"/>
            </w:tcBorders>
            <w:vAlign w:val="bottom"/>
          </w:tcPr>
          <w:p w14:paraId="02564267" w14:textId="66896324" w:rsidR="008B17ED" w:rsidRPr="00537128" w:rsidRDefault="008B17ED" w:rsidP="008B17ED">
            <w:pPr>
              <w:spacing w:after="0" w:line="240" w:lineRule="auto"/>
              <w:jc w:val="right"/>
              <w:rPr>
                <w:rFonts w:ascii="Calibri" w:eastAsia="Calibri" w:hAnsi="Calibri" w:cs="Arial"/>
                <w:sz w:val="18"/>
                <w:szCs w:val="18"/>
                <w:lang w:val="en-US"/>
              </w:rPr>
            </w:pPr>
            <w:r>
              <w:rPr>
                <w:rFonts w:ascii="Calibri" w:eastAsia="Calibri" w:hAnsi="Calibri" w:cs="Calibri"/>
                <w:color w:val="000000"/>
                <w:sz w:val="18"/>
                <w:szCs w:val="18"/>
                <w:lang w:eastAsia="hr-HR"/>
              </w:rPr>
              <w:t>1</w:t>
            </w:r>
            <w:r w:rsidR="00EE68B4">
              <w:rPr>
                <w:rFonts w:ascii="Calibri" w:eastAsia="Calibri" w:hAnsi="Calibri" w:cs="Calibri"/>
                <w:color w:val="000000"/>
                <w:sz w:val="18"/>
                <w:szCs w:val="18"/>
                <w:lang w:eastAsia="hr-HR"/>
              </w:rPr>
              <w:t>,</w:t>
            </w:r>
            <w:r>
              <w:rPr>
                <w:rFonts w:ascii="Calibri" w:eastAsia="Calibri" w:hAnsi="Calibri" w:cs="Calibri"/>
                <w:color w:val="000000"/>
                <w:sz w:val="18"/>
                <w:szCs w:val="18"/>
                <w:lang w:eastAsia="hr-HR"/>
              </w:rPr>
              <w:t>010</w:t>
            </w:r>
          </w:p>
        </w:tc>
        <w:tc>
          <w:tcPr>
            <w:tcW w:w="1276" w:type="dxa"/>
            <w:gridSpan w:val="3"/>
            <w:tcBorders>
              <w:top w:val="nil"/>
              <w:left w:val="nil"/>
              <w:bottom w:val="nil"/>
              <w:right w:val="nil"/>
            </w:tcBorders>
            <w:vAlign w:val="bottom"/>
          </w:tcPr>
          <w:p w14:paraId="423E2C54" w14:textId="45FB286A" w:rsidR="008B17ED" w:rsidRPr="00537128" w:rsidRDefault="008B17ED" w:rsidP="008B17ED">
            <w:pPr>
              <w:spacing w:after="0" w:line="240" w:lineRule="auto"/>
              <w:jc w:val="right"/>
              <w:rPr>
                <w:rFonts w:ascii="Calibri" w:eastAsia="Calibri" w:hAnsi="Calibri" w:cs="Arial"/>
                <w:sz w:val="18"/>
                <w:szCs w:val="18"/>
                <w:lang w:val="en-US"/>
              </w:rPr>
            </w:pPr>
            <w:r>
              <w:rPr>
                <w:rFonts w:ascii="Calibri" w:eastAsia="Calibri" w:hAnsi="Calibri" w:cs="Calibri"/>
                <w:color w:val="000000"/>
                <w:sz w:val="18"/>
                <w:szCs w:val="18"/>
                <w:lang w:eastAsia="hr-HR"/>
              </w:rPr>
              <w:t>1,015</w:t>
            </w:r>
          </w:p>
        </w:tc>
        <w:tc>
          <w:tcPr>
            <w:tcW w:w="1276" w:type="dxa"/>
            <w:gridSpan w:val="3"/>
            <w:tcBorders>
              <w:top w:val="nil"/>
              <w:left w:val="nil"/>
              <w:bottom w:val="nil"/>
              <w:right w:val="nil"/>
            </w:tcBorders>
            <w:shd w:val="clear" w:color="auto" w:fill="auto"/>
            <w:vAlign w:val="bottom"/>
          </w:tcPr>
          <w:p w14:paraId="66377439" w14:textId="5C240F30" w:rsidR="008B17ED" w:rsidRPr="00537128" w:rsidRDefault="008B17ED" w:rsidP="008B17ED">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w:t>
            </w:r>
          </w:p>
        </w:tc>
        <w:tc>
          <w:tcPr>
            <w:tcW w:w="1276" w:type="dxa"/>
            <w:gridSpan w:val="3"/>
            <w:tcBorders>
              <w:top w:val="nil"/>
              <w:left w:val="nil"/>
              <w:bottom w:val="nil"/>
              <w:right w:val="nil"/>
            </w:tcBorders>
            <w:shd w:val="clear" w:color="auto" w:fill="auto"/>
            <w:vAlign w:val="bottom"/>
          </w:tcPr>
          <w:p w14:paraId="78729A27" w14:textId="2896C0F4" w:rsidR="008B17ED" w:rsidRPr="00537128" w:rsidRDefault="008B17ED" w:rsidP="008B17ED">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w:t>
            </w:r>
          </w:p>
        </w:tc>
      </w:tr>
      <w:tr w:rsidR="008B17ED" w:rsidRPr="00537128" w14:paraId="38975674" w14:textId="77777777" w:rsidTr="005B3D2C">
        <w:trPr>
          <w:gridAfter w:val="2"/>
          <w:wAfter w:w="29" w:type="dxa"/>
          <w:trHeight w:val="175"/>
        </w:trPr>
        <w:tc>
          <w:tcPr>
            <w:tcW w:w="2798" w:type="dxa"/>
            <w:tcBorders>
              <w:top w:val="nil"/>
              <w:left w:val="nil"/>
              <w:bottom w:val="nil"/>
              <w:right w:val="nil"/>
            </w:tcBorders>
            <w:shd w:val="clear" w:color="auto" w:fill="auto"/>
            <w:noWrap/>
            <w:vAlign w:val="bottom"/>
          </w:tcPr>
          <w:p w14:paraId="4DA8532D" w14:textId="77777777" w:rsidR="008B17ED" w:rsidRPr="00537128" w:rsidRDefault="008B17ED" w:rsidP="008B17ED">
            <w:pPr>
              <w:spacing w:after="0" w:line="240" w:lineRule="auto"/>
              <w:jc w:val="right"/>
              <w:rPr>
                <w:rFonts w:ascii="Calibri" w:eastAsia="Calibri" w:hAnsi="Calibri" w:cs="Times New Roman"/>
                <w:color w:val="000000"/>
                <w:sz w:val="18"/>
                <w:szCs w:val="18"/>
                <w:lang w:val="en-US" w:eastAsia="hr-HR"/>
              </w:rPr>
            </w:pPr>
            <w:r w:rsidRPr="00537128">
              <w:rPr>
                <w:rFonts w:ascii="Calibri" w:eastAsia="Calibri" w:hAnsi="Calibri" w:cs="Arial"/>
                <w:color w:val="000000"/>
                <w:sz w:val="18"/>
                <w:szCs w:val="18"/>
                <w:lang w:val="en-US"/>
              </w:rPr>
              <w:t xml:space="preserve">                                HRATGRO25CA5</w:t>
            </w:r>
          </w:p>
        </w:tc>
        <w:tc>
          <w:tcPr>
            <w:tcW w:w="1120" w:type="dxa"/>
            <w:tcBorders>
              <w:top w:val="nil"/>
              <w:left w:val="nil"/>
              <w:bottom w:val="nil"/>
              <w:right w:val="nil"/>
            </w:tcBorders>
            <w:shd w:val="clear" w:color="auto" w:fill="auto"/>
            <w:noWrap/>
            <w:vAlign w:val="bottom"/>
          </w:tcPr>
          <w:p w14:paraId="4D8BC5DB" w14:textId="77777777" w:rsidR="008B17ED" w:rsidRPr="00537128" w:rsidRDefault="008B17ED" w:rsidP="008B17ED">
            <w:pPr>
              <w:spacing w:after="0" w:line="240" w:lineRule="auto"/>
              <w:jc w:val="right"/>
              <w:rPr>
                <w:rFonts w:ascii="Calibri" w:eastAsia="Calibri" w:hAnsi="Calibri" w:cs="Times New Roman"/>
                <w:color w:val="000000"/>
                <w:sz w:val="18"/>
                <w:szCs w:val="18"/>
                <w:lang w:val="en-US" w:eastAsia="hr-HR"/>
              </w:rPr>
            </w:pPr>
            <w:r w:rsidRPr="00537128">
              <w:rPr>
                <w:rFonts w:ascii="Calibri" w:eastAsia="Calibri" w:hAnsi="Calibri" w:cs="Arial"/>
                <w:color w:val="000000"/>
                <w:sz w:val="18"/>
                <w:szCs w:val="18"/>
                <w:lang w:val="en-US"/>
              </w:rPr>
              <w:t xml:space="preserve">11.12.2020.      </w:t>
            </w:r>
          </w:p>
        </w:tc>
        <w:tc>
          <w:tcPr>
            <w:tcW w:w="1121" w:type="dxa"/>
            <w:tcBorders>
              <w:top w:val="nil"/>
              <w:left w:val="nil"/>
              <w:bottom w:val="nil"/>
              <w:right w:val="nil"/>
            </w:tcBorders>
            <w:shd w:val="clear" w:color="auto" w:fill="auto"/>
            <w:noWrap/>
            <w:vAlign w:val="bottom"/>
          </w:tcPr>
          <w:p w14:paraId="06323A9A" w14:textId="77777777" w:rsidR="008B17ED" w:rsidRPr="00537128" w:rsidRDefault="008B17ED" w:rsidP="008B17ED">
            <w:pPr>
              <w:spacing w:after="0" w:line="240" w:lineRule="auto"/>
              <w:jc w:val="right"/>
              <w:rPr>
                <w:rFonts w:ascii="Calibri" w:eastAsia="Calibri" w:hAnsi="Calibri" w:cs="Times New Roman"/>
                <w:color w:val="000000"/>
                <w:sz w:val="18"/>
                <w:szCs w:val="18"/>
                <w:lang w:val="en-US" w:eastAsia="hr-HR"/>
              </w:rPr>
            </w:pPr>
            <w:r w:rsidRPr="00537128">
              <w:rPr>
                <w:rFonts w:ascii="Calibri" w:eastAsia="Calibri" w:hAnsi="Calibri" w:cs="Times New Roman"/>
                <w:color w:val="000000"/>
                <w:sz w:val="18"/>
                <w:szCs w:val="18"/>
                <w:lang w:val="en-US"/>
              </w:rPr>
              <w:t>11.12.2025.</w:t>
            </w:r>
          </w:p>
        </w:tc>
        <w:tc>
          <w:tcPr>
            <w:tcW w:w="914" w:type="dxa"/>
            <w:tcBorders>
              <w:top w:val="nil"/>
              <w:left w:val="nil"/>
              <w:bottom w:val="nil"/>
              <w:right w:val="nil"/>
            </w:tcBorders>
            <w:shd w:val="clear" w:color="auto" w:fill="auto"/>
            <w:noWrap/>
            <w:vAlign w:val="bottom"/>
          </w:tcPr>
          <w:p w14:paraId="4FFEE9D4" w14:textId="77777777" w:rsidR="008B17ED" w:rsidRPr="00537128" w:rsidRDefault="008B17ED" w:rsidP="008B17ED">
            <w:pPr>
              <w:spacing w:after="0" w:line="240" w:lineRule="auto"/>
              <w:jc w:val="center"/>
              <w:rPr>
                <w:rFonts w:ascii="Calibri" w:eastAsia="Calibri" w:hAnsi="Calibri" w:cs="Times New Roman"/>
                <w:color w:val="000000"/>
                <w:sz w:val="18"/>
                <w:szCs w:val="18"/>
                <w:lang w:val="en-US"/>
              </w:rPr>
            </w:pPr>
            <w:r w:rsidRPr="00537128">
              <w:rPr>
                <w:rFonts w:ascii="Calibri" w:eastAsia="Calibri" w:hAnsi="Calibri" w:cs="Calibri"/>
                <w:color w:val="000000"/>
                <w:sz w:val="18"/>
                <w:szCs w:val="18"/>
                <w:lang w:val="en-US"/>
              </w:rPr>
              <w:t>0.88</w:t>
            </w:r>
          </w:p>
        </w:tc>
        <w:tc>
          <w:tcPr>
            <w:tcW w:w="1247" w:type="dxa"/>
            <w:gridSpan w:val="2"/>
            <w:tcBorders>
              <w:top w:val="nil"/>
              <w:left w:val="nil"/>
              <w:bottom w:val="nil"/>
              <w:right w:val="nil"/>
            </w:tcBorders>
            <w:vAlign w:val="bottom"/>
          </w:tcPr>
          <w:p w14:paraId="015D5997" w14:textId="760826DD" w:rsidR="008B17ED" w:rsidRPr="00537128" w:rsidRDefault="008B17ED" w:rsidP="008B17ED">
            <w:pPr>
              <w:spacing w:after="0" w:line="240" w:lineRule="auto"/>
              <w:jc w:val="right"/>
              <w:rPr>
                <w:rFonts w:ascii="Calibri" w:eastAsia="Calibri" w:hAnsi="Calibri" w:cs="Arial"/>
                <w:sz w:val="18"/>
                <w:szCs w:val="18"/>
                <w:lang w:val="en-US"/>
              </w:rPr>
            </w:pPr>
            <w:r>
              <w:rPr>
                <w:rFonts w:ascii="Calibri" w:eastAsia="Calibri" w:hAnsi="Calibri" w:cs="Calibri"/>
                <w:color w:val="000000"/>
                <w:sz w:val="18"/>
                <w:szCs w:val="18"/>
                <w:lang w:eastAsia="hr-HR"/>
              </w:rPr>
              <w:t>1</w:t>
            </w:r>
            <w:r w:rsidR="00EE68B4">
              <w:rPr>
                <w:rFonts w:ascii="Calibri" w:eastAsia="Calibri" w:hAnsi="Calibri" w:cs="Calibri"/>
                <w:color w:val="000000"/>
                <w:sz w:val="18"/>
                <w:szCs w:val="18"/>
                <w:lang w:eastAsia="hr-HR"/>
              </w:rPr>
              <w:t>,</w:t>
            </w:r>
            <w:r>
              <w:rPr>
                <w:rFonts w:ascii="Calibri" w:eastAsia="Calibri" w:hAnsi="Calibri" w:cs="Calibri"/>
                <w:color w:val="000000"/>
                <w:sz w:val="18"/>
                <w:szCs w:val="18"/>
                <w:lang w:eastAsia="hr-HR"/>
              </w:rPr>
              <w:t>378</w:t>
            </w:r>
          </w:p>
        </w:tc>
        <w:tc>
          <w:tcPr>
            <w:tcW w:w="1276" w:type="dxa"/>
            <w:gridSpan w:val="3"/>
            <w:tcBorders>
              <w:top w:val="nil"/>
              <w:left w:val="nil"/>
              <w:bottom w:val="nil"/>
              <w:right w:val="nil"/>
            </w:tcBorders>
            <w:vAlign w:val="bottom"/>
          </w:tcPr>
          <w:p w14:paraId="754294B9" w14:textId="70606E2A" w:rsidR="008B17ED" w:rsidRPr="00537128" w:rsidRDefault="008B17ED" w:rsidP="008B17ED">
            <w:pPr>
              <w:spacing w:after="0" w:line="240" w:lineRule="auto"/>
              <w:jc w:val="right"/>
              <w:rPr>
                <w:rFonts w:ascii="Calibri" w:eastAsia="Times New Roman" w:hAnsi="Calibri" w:cs="Calibri"/>
                <w:color w:val="000000"/>
                <w:sz w:val="18"/>
                <w:szCs w:val="18"/>
                <w:lang w:val="en-US" w:eastAsia="hr-HR"/>
              </w:rPr>
            </w:pPr>
            <w:r w:rsidRPr="00EA3621">
              <w:rPr>
                <w:rFonts w:ascii="Calibri" w:eastAsia="Calibri" w:hAnsi="Calibri" w:cs="Calibri"/>
                <w:color w:val="000000"/>
                <w:sz w:val="18"/>
                <w:szCs w:val="18"/>
                <w:lang w:eastAsia="hr-HR"/>
              </w:rPr>
              <w:t>1</w:t>
            </w:r>
            <w:r>
              <w:rPr>
                <w:rFonts w:ascii="Calibri" w:eastAsia="Calibri" w:hAnsi="Calibri" w:cs="Calibri"/>
                <w:color w:val="000000"/>
                <w:sz w:val="18"/>
                <w:szCs w:val="18"/>
                <w:lang w:eastAsia="hr-HR"/>
              </w:rPr>
              <w:t>,</w:t>
            </w:r>
            <w:r w:rsidRPr="00EA3621">
              <w:rPr>
                <w:rFonts w:ascii="Calibri" w:eastAsia="Calibri" w:hAnsi="Calibri" w:cs="Calibri"/>
                <w:color w:val="000000"/>
                <w:sz w:val="18"/>
                <w:szCs w:val="18"/>
                <w:lang w:eastAsia="hr-HR"/>
              </w:rPr>
              <w:t>378</w:t>
            </w:r>
          </w:p>
        </w:tc>
        <w:tc>
          <w:tcPr>
            <w:tcW w:w="1276" w:type="dxa"/>
            <w:gridSpan w:val="3"/>
            <w:tcBorders>
              <w:top w:val="nil"/>
              <w:left w:val="nil"/>
              <w:bottom w:val="nil"/>
              <w:right w:val="nil"/>
            </w:tcBorders>
            <w:shd w:val="clear" w:color="auto" w:fill="auto"/>
            <w:vAlign w:val="bottom"/>
          </w:tcPr>
          <w:p w14:paraId="1650771F" w14:textId="1191FAEA" w:rsidR="008B17ED" w:rsidRPr="00537128" w:rsidRDefault="008B17ED" w:rsidP="008B17ED">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w:t>
            </w:r>
          </w:p>
        </w:tc>
        <w:tc>
          <w:tcPr>
            <w:tcW w:w="1276" w:type="dxa"/>
            <w:gridSpan w:val="3"/>
            <w:tcBorders>
              <w:top w:val="nil"/>
              <w:left w:val="nil"/>
              <w:bottom w:val="nil"/>
              <w:right w:val="nil"/>
            </w:tcBorders>
            <w:shd w:val="clear" w:color="auto" w:fill="auto"/>
            <w:vAlign w:val="bottom"/>
          </w:tcPr>
          <w:p w14:paraId="27F68D4C" w14:textId="3A7521CA" w:rsidR="008B17ED" w:rsidRPr="00537128" w:rsidRDefault="008B17ED" w:rsidP="008B17ED">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w:t>
            </w:r>
          </w:p>
        </w:tc>
      </w:tr>
      <w:tr w:rsidR="004E2DB0" w:rsidRPr="00537128" w14:paraId="494ABED1" w14:textId="77777777" w:rsidTr="005B3D2C">
        <w:trPr>
          <w:gridAfter w:val="1"/>
          <w:wAfter w:w="8" w:type="dxa"/>
          <w:trHeight w:val="64"/>
        </w:trPr>
        <w:tc>
          <w:tcPr>
            <w:tcW w:w="3918" w:type="dxa"/>
            <w:gridSpan w:val="2"/>
            <w:tcBorders>
              <w:top w:val="nil"/>
              <w:left w:val="nil"/>
              <w:bottom w:val="nil"/>
              <w:right w:val="nil"/>
            </w:tcBorders>
            <w:shd w:val="clear" w:color="auto" w:fill="auto"/>
            <w:noWrap/>
            <w:vAlign w:val="bottom"/>
            <w:hideMark/>
          </w:tcPr>
          <w:p w14:paraId="20DC82AC" w14:textId="77777777" w:rsidR="004E2DB0" w:rsidRPr="00537128" w:rsidRDefault="004E2DB0" w:rsidP="004E2DB0">
            <w:pPr>
              <w:spacing w:after="0" w:line="240" w:lineRule="auto"/>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Treasury bills in HRK up to 364 days</w:t>
            </w:r>
          </w:p>
        </w:tc>
        <w:tc>
          <w:tcPr>
            <w:tcW w:w="1121" w:type="dxa"/>
            <w:tcBorders>
              <w:top w:val="nil"/>
              <w:left w:val="nil"/>
              <w:bottom w:val="nil"/>
              <w:right w:val="nil"/>
            </w:tcBorders>
            <w:shd w:val="clear" w:color="auto" w:fill="auto"/>
            <w:noWrap/>
            <w:vAlign w:val="bottom"/>
            <w:hideMark/>
          </w:tcPr>
          <w:p w14:paraId="468DD4DB" w14:textId="77777777" w:rsidR="004E2DB0" w:rsidRPr="00537128" w:rsidRDefault="004E2DB0" w:rsidP="004E2DB0">
            <w:pPr>
              <w:spacing w:after="0" w:line="240" w:lineRule="auto"/>
              <w:jc w:val="right"/>
              <w:rPr>
                <w:rFonts w:ascii="Calibri" w:eastAsia="Calibri" w:hAnsi="Calibri" w:cs="Times New Roman"/>
                <w:sz w:val="18"/>
                <w:szCs w:val="18"/>
                <w:lang w:val="en-US"/>
              </w:rPr>
            </w:pPr>
          </w:p>
        </w:tc>
        <w:tc>
          <w:tcPr>
            <w:tcW w:w="1191" w:type="dxa"/>
            <w:gridSpan w:val="2"/>
            <w:tcBorders>
              <w:top w:val="nil"/>
              <w:left w:val="nil"/>
              <w:bottom w:val="nil"/>
              <w:right w:val="nil"/>
            </w:tcBorders>
            <w:shd w:val="clear" w:color="auto" w:fill="auto"/>
            <w:noWrap/>
            <w:vAlign w:val="bottom"/>
          </w:tcPr>
          <w:p w14:paraId="4A2B9D44" w14:textId="1E558B49" w:rsidR="004E2DB0" w:rsidRPr="00A1123E" w:rsidRDefault="004E2DB0" w:rsidP="004E2DB0">
            <w:pPr>
              <w:spacing w:after="0" w:line="240" w:lineRule="auto"/>
              <w:jc w:val="center"/>
              <w:rPr>
                <w:rFonts w:ascii="Calibri" w:eastAsia="Calibri" w:hAnsi="Calibri" w:cs="Arial"/>
                <w:color w:val="000000"/>
                <w:sz w:val="18"/>
                <w:szCs w:val="18"/>
                <w:lang w:val="en-US"/>
              </w:rPr>
            </w:pPr>
            <w:r w:rsidRPr="00574581">
              <w:rPr>
                <w:rFonts w:ascii="Calibri" w:eastAsia="Calibri" w:hAnsi="Calibri" w:cs="Calibri"/>
                <w:color w:val="000000"/>
                <w:sz w:val="18"/>
                <w:szCs w:val="18"/>
              </w:rPr>
              <w:t>0</w:t>
            </w:r>
            <w:r>
              <w:rPr>
                <w:rFonts w:ascii="Calibri" w:eastAsia="Calibri" w:hAnsi="Calibri" w:cs="Calibri"/>
                <w:color w:val="000000"/>
                <w:sz w:val="18"/>
                <w:szCs w:val="18"/>
              </w:rPr>
              <w:t>.</w:t>
            </w:r>
            <w:r w:rsidRPr="00574581">
              <w:rPr>
                <w:rFonts w:ascii="Calibri" w:eastAsia="Calibri" w:hAnsi="Calibri" w:cs="Calibri"/>
                <w:color w:val="000000"/>
                <w:sz w:val="18"/>
                <w:szCs w:val="18"/>
              </w:rPr>
              <w:t>00</w:t>
            </w:r>
            <w:r>
              <w:rPr>
                <w:rFonts w:ascii="Calibri" w:eastAsia="Calibri" w:hAnsi="Calibri" w:cs="Calibri"/>
                <w:color w:val="000000"/>
                <w:sz w:val="18"/>
                <w:szCs w:val="18"/>
              </w:rPr>
              <w:t>6</w:t>
            </w:r>
            <w:r w:rsidRPr="00542D4D">
              <w:rPr>
                <w:rFonts w:ascii="Calibri" w:eastAsia="Calibri" w:hAnsi="Calibri" w:cs="Calibri"/>
                <w:color w:val="000000"/>
                <w:sz w:val="18"/>
                <w:szCs w:val="18"/>
              </w:rPr>
              <w:t>-0</w:t>
            </w:r>
            <w:r w:rsidR="00EE68B4">
              <w:rPr>
                <w:rFonts w:ascii="Calibri" w:eastAsia="Calibri" w:hAnsi="Calibri" w:cs="Calibri"/>
                <w:color w:val="000000"/>
                <w:sz w:val="18"/>
                <w:szCs w:val="18"/>
              </w:rPr>
              <w:t>.</w:t>
            </w:r>
            <w:r w:rsidRPr="00542D4D">
              <w:rPr>
                <w:rFonts w:ascii="Calibri" w:eastAsia="Calibri" w:hAnsi="Calibri" w:cs="Calibri"/>
                <w:color w:val="000000"/>
                <w:sz w:val="18"/>
                <w:szCs w:val="18"/>
              </w:rPr>
              <w:t>0</w:t>
            </w:r>
            <w:r>
              <w:rPr>
                <w:rFonts w:ascii="Calibri" w:eastAsia="Calibri" w:hAnsi="Calibri" w:cs="Calibri"/>
                <w:color w:val="000000"/>
                <w:sz w:val="18"/>
                <w:szCs w:val="18"/>
              </w:rPr>
              <w:t>42</w:t>
            </w:r>
          </w:p>
        </w:tc>
        <w:tc>
          <w:tcPr>
            <w:tcW w:w="1020" w:type="dxa"/>
            <w:gridSpan w:val="3"/>
            <w:tcBorders>
              <w:top w:val="nil"/>
              <w:left w:val="nil"/>
              <w:bottom w:val="nil"/>
              <w:right w:val="nil"/>
            </w:tcBorders>
            <w:vAlign w:val="bottom"/>
          </w:tcPr>
          <w:p w14:paraId="063D0D07" w14:textId="2FF6F402" w:rsidR="004E2DB0" w:rsidRPr="00537128" w:rsidRDefault="004E2DB0" w:rsidP="004E2DB0">
            <w:pPr>
              <w:spacing w:after="0" w:line="240" w:lineRule="auto"/>
              <w:jc w:val="right"/>
              <w:rPr>
                <w:rFonts w:ascii="Calibri" w:eastAsia="Calibri" w:hAnsi="Calibri" w:cs="Arial"/>
                <w:color w:val="000000"/>
                <w:sz w:val="18"/>
                <w:szCs w:val="18"/>
                <w:lang w:val="en-US"/>
              </w:rPr>
            </w:pPr>
            <w:r>
              <w:rPr>
                <w:rFonts w:ascii="Calibri" w:eastAsia="Calibri" w:hAnsi="Calibri" w:cs="Calibri"/>
                <w:color w:val="000000"/>
                <w:sz w:val="18"/>
                <w:szCs w:val="18"/>
                <w:lang w:eastAsia="hr-HR"/>
              </w:rPr>
              <w:t>1</w:t>
            </w:r>
            <w:r w:rsidR="00EE68B4">
              <w:rPr>
                <w:rFonts w:ascii="Calibri" w:eastAsia="Calibri" w:hAnsi="Calibri" w:cs="Calibri"/>
                <w:color w:val="000000"/>
                <w:sz w:val="18"/>
                <w:szCs w:val="18"/>
                <w:lang w:eastAsia="hr-HR"/>
              </w:rPr>
              <w:t>,</w:t>
            </w:r>
            <w:r>
              <w:rPr>
                <w:rFonts w:ascii="Calibri" w:eastAsia="Calibri" w:hAnsi="Calibri" w:cs="Calibri"/>
                <w:color w:val="000000"/>
                <w:sz w:val="18"/>
                <w:szCs w:val="18"/>
                <w:lang w:eastAsia="hr-HR"/>
              </w:rPr>
              <w:t>449</w:t>
            </w:r>
            <w:r w:rsidR="00EE68B4">
              <w:rPr>
                <w:rFonts w:ascii="Calibri" w:eastAsia="Calibri" w:hAnsi="Calibri" w:cs="Calibri"/>
                <w:color w:val="000000"/>
                <w:sz w:val="18"/>
                <w:szCs w:val="18"/>
                <w:lang w:eastAsia="hr-HR"/>
              </w:rPr>
              <w:t>,</w:t>
            </w:r>
            <w:r>
              <w:rPr>
                <w:rFonts w:ascii="Calibri" w:eastAsia="Calibri" w:hAnsi="Calibri" w:cs="Calibri"/>
                <w:color w:val="000000"/>
                <w:sz w:val="18"/>
                <w:szCs w:val="18"/>
                <w:lang w:eastAsia="hr-HR"/>
              </w:rPr>
              <w:t>808</w:t>
            </w:r>
          </w:p>
        </w:tc>
        <w:tc>
          <w:tcPr>
            <w:tcW w:w="1247" w:type="dxa"/>
            <w:gridSpan w:val="2"/>
            <w:tcBorders>
              <w:top w:val="nil"/>
              <w:left w:val="nil"/>
              <w:bottom w:val="nil"/>
              <w:right w:val="nil"/>
            </w:tcBorders>
            <w:shd w:val="clear" w:color="auto" w:fill="auto"/>
            <w:vAlign w:val="bottom"/>
          </w:tcPr>
          <w:p w14:paraId="6F29786B" w14:textId="1F8A8E64" w:rsidR="004E2DB0" w:rsidRPr="00537128" w:rsidRDefault="004E2DB0" w:rsidP="004E2DB0">
            <w:pPr>
              <w:spacing w:after="0" w:line="240" w:lineRule="auto"/>
              <w:jc w:val="right"/>
              <w:rPr>
                <w:rFonts w:ascii="Calibri" w:eastAsia="Calibri" w:hAnsi="Calibri" w:cs="Arial"/>
                <w:color w:val="000000"/>
                <w:sz w:val="18"/>
                <w:szCs w:val="18"/>
                <w:lang w:val="en-US"/>
              </w:rPr>
            </w:pPr>
            <w:r w:rsidRPr="00EA3621">
              <w:rPr>
                <w:rFonts w:ascii="Calibri" w:eastAsia="Calibri" w:hAnsi="Calibri" w:cs="Calibri"/>
                <w:color w:val="000000"/>
                <w:sz w:val="18"/>
                <w:szCs w:val="18"/>
                <w:lang w:eastAsia="hr-HR"/>
              </w:rPr>
              <w:t>1</w:t>
            </w:r>
            <w:r>
              <w:rPr>
                <w:rFonts w:ascii="Calibri" w:eastAsia="Calibri" w:hAnsi="Calibri" w:cs="Calibri"/>
                <w:color w:val="000000"/>
                <w:sz w:val="18"/>
                <w:szCs w:val="18"/>
                <w:lang w:eastAsia="hr-HR"/>
              </w:rPr>
              <w:t>,400,000</w:t>
            </w:r>
          </w:p>
        </w:tc>
        <w:tc>
          <w:tcPr>
            <w:tcW w:w="1276" w:type="dxa"/>
            <w:gridSpan w:val="3"/>
            <w:tcBorders>
              <w:top w:val="nil"/>
              <w:left w:val="nil"/>
              <w:bottom w:val="nil"/>
              <w:right w:val="nil"/>
            </w:tcBorders>
            <w:vAlign w:val="bottom"/>
          </w:tcPr>
          <w:p w14:paraId="24FD8786" w14:textId="1485390E" w:rsidR="004E2DB0" w:rsidRPr="00537128" w:rsidRDefault="004E2DB0" w:rsidP="004E2DB0">
            <w:pPr>
              <w:spacing w:after="0" w:line="240" w:lineRule="auto"/>
              <w:jc w:val="right"/>
              <w:rPr>
                <w:rFonts w:ascii="Calibri" w:eastAsia="Calibri" w:hAnsi="Calibri" w:cs="Arial"/>
                <w:color w:val="000000"/>
                <w:sz w:val="18"/>
                <w:szCs w:val="18"/>
                <w:lang w:val="en-US"/>
              </w:rPr>
            </w:pPr>
            <w:r>
              <w:rPr>
                <w:rFonts w:ascii="Calibri" w:eastAsia="Calibri" w:hAnsi="Calibri" w:cs="Calibri"/>
                <w:color w:val="000000"/>
                <w:sz w:val="18"/>
                <w:szCs w:val="18"/>
                <w:lang w:eastAsia="hr-HR"/>
              </w:rPr>
              <w:t>1</w:t>
            </w:r>
            <w:r w:rsidR="00EE68B4">
              <w:rPr>
                <w:rFonts w:ascii="Calibri" w:eastAsia="Calibri" w:hAnsi="Calibri" w:cs="Calibri"/>
                <w:color w:val="000000"/>
                <w:sz w:val="18"/>
                <w:szCs w:val="18"/>
                <w:lang w:eastAsia="hr-HR"/>
              </w:rPr>
              <w:t>,</w:t>
            </w:r>
            <w:r>
              <w:rPr>
                <w:rFonts w:ascii="Calibri" w:eastAsia="Calibri" w:hAnsi="Calibri" w:cs="Calibri"/>
                <w:color w:val="000000"/>
                <w:sz w:val="18"/>
                <w:szCs w:val="18"/>
                <w:lang w:eastAsia="hr-HR"/>
              </w:rPr>
              <w:t>449</w:t>
            </w:r>
            <w:r w:rsidR="00EE68B4">
              <w:rPr>
                <w:rFonts w:ascii="Calibri" w:eastAsia="Calibri" w:hAnsi="Calibri" w:cs="Calibri"/>
                <w:color w:val="000000"/>
                <w:sz w:val="18"/>
                <w:szCs w:val="18"/>
                <w:lang w:eastAsia="hr-HR"/>
              </w:rPr>
              <w:t>,</w:t>
            </w:r>
            <w:r>
              <w:rPr>
                <w:rFonts w:ascii="Calibri" w:eastAsia="Calibri" w:hAnsi="Calibri" w:cs="Calibri"/>
                <w:color w:val="000000"/>
                <w:sz w:val="18"/>
                <w:szCs w:val="18"/>
                <w:lang w:eastAsia="hr-HR"/>
              </w:rPr>
              <w:t>808</w:t>
            </w:r>
          </w:p>
        </w:tc>
        <w:tc>
          <w:tcPr>
            <w:tcW w:w="1276" w:type="dxa"/>
            <w:gridSpan w:val="3"/>
            <w:tcBorders>
              <w:top w:val="nil"/>
              <w:left w:val="nil"/>
              <w:bottom w:val="nil"/>
              <w:right w:val="nil"/>
            </w:tcBorders>
            <w:shd w:val="clear" w:color="auto" w:fill="auto"/>
            <w:vAlign w:val="bottom"/>
          </w:tcPr>
          <w:p w14:paraId="2D44F3D3" w14:textId="16E82B9F" w:rsidR="004E2DB0" w:rsidRPr="00537128" w:rsidRDefault="004E2DB0" w:rsidP="004E2DB0">
            <w:pPr>
              <w:spacing w:after="0" w:line="240" w:lineRule="auto"/>
              <w:jc w:val="right"/>
              <w:rPr>
                <w:rFonts w:ascii="Calibri" w:eastAsia="Calibri" w:hAnsi="Calibri" w:cs="Arial"/>
                <w:color w:val="000000"/>
                <w:sz w:val="18"/>
                <w:szCs w:val="18"/>
                <w:lang w:val="en-US"/>
              </w:rPr>
            </w:pPr>
            <w:r w:rsidRPr="00537128">
              <w:rPr>
                <w:rFonts w:ascii="Calibri" w:eastAsia="Calibri" w:hAnsi="Calibri" w:cs="Calibri"/>
                <w:color w:val="000000"/>
                <w:sz w:val="18"/>
                <w:szCs w:val="18"/>
                <w:lang w:val="en-US" w:eastAsia="hr-HR"/>
              </w:rPr>
              <w:t>1,</w:t>
            </w:r>
            <w:r>
              <w:rPr>
                <w:rFonts w:ascii="Calibri" w:eastAsia="Calibri" w:hAnsi="Calibri" w:cs="Calibri"/>
                <w:color w:val="000000"/>
                <w:sz w:val="18"/>
                <w:szCs w:val="18"/>
                <w:lang w:val="en-US" w:eastAsia="hr-HR"/>
              </w:rPr>
              <w:t>400</w:t>
            </w:r>
            <w:r w:rsidRPr="00537128">
              <w:rPr>
                <w:rFonts w:ascii="Calibri" w:eastAsia="Calibri" w:hAnsi="Calibri" w:cs="Calibri"/>
                <w:color w:val="000000"/>
                <w:sz w:val="18"/>
                <w:szCs w:val="18"/>
                <w:lang w:val="en-US" w:eastAsia="hr-HR"/>
              </w:rPr>
              <w:t>,</w:t>
            </w:r>
            <w:r>
              <w:rPr>
                <w:rFonts w:ascii="Calibri" w:eastAsia="Calibri" w:hAnsi="Calibri" w:cs="Calibri"/>
                <w:color w:val="000000"/>
                <w:sz w:val="18"/>
                <w:szCs w:val="18"/>
                <w:lang w:val="en-US" w:eastAsia="hr-HR"/>
              </w:rPr>
              <w:t>000</w:t>
            </w:r>
          </w:p>
        </w:tc>
      </w:tr>
      <w:tr w:rsidR="004E2DB0" w:rsidRPr="00537128" w14:paraId="50350E92" w14:textId="77777777" w:rsidTr="005B3D2C">
        <w:trPr>
          <w:gridAfter w:val="2"/>
          <w:wAfter w:w="29" w:type="dxa"/>
          <w:trHeight w:val="175"/>
        </w:trPr>
        <w:tc>
          <w:tcPr>
            <w:tcW w:w="3918" w:type="dxa"/>
            <w:gridSpan w:val="2"/>
            <w:tcBorders>
              <w:top w:val="nil"/>
              <w:left w:val="nil"/>
              <w:bottom w:val="nil"/>
              <w:right w:val="nil"/>
            </w:tcBorders>
            <w:shd w:val="clear" w:color="auto" w:fill="auto"/>
            <w:noWrap/>
            <w:vAlign w:val="bottom"/>
            <w:hideMark/>
          </w:tcPr>
          <w:p w14:paraId="7D8074EB" w14:textId="77777777" w:rsidR="004E2DB0" w:rsidRPr="00537128" w:rsidRDefault="004E2DB0" w:rsidP="004E2DB0">
            <w:pPr>
              <w:spacing w:after="0" w:line="240" w:lineRule="auto"/>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Treasury bills in foreign currency up to 364 days</w:t>
            </w:r>
          </w:p>
        </w:tc>
        <w:tc>
          <w:tcPr>
            <w:tcW w:w="1121" w:type="dxa"/>
            <w:tcBorders>
              <w:top w:val="nil"/>
              <w:left w:val="nil"/>
              <w:bottom w:val="nil"/>
              <w:right w:val="nil"/>
            </w:tcBorders>
            <w:shd w:val="clear" w:color="auto" w:fill="auto"/>
            <w:noWrap/>
            <w:vAlign w:val="bottom"/>
            <w:hideMark/>
          </w:tcPr>
          <w:p w14:paraId="44124E76" w14:textId="77777777" w:rsidR="004E2DB0" w:rsidRPr="00537128" w:rsidRDefault="004E2DB0" w:rsidP="004E2DB0">
            <w:pPr>
              <w:spacing w:after="0" w:line="240" w:lineRule="auto"/>
              <w:jc w:val="right"/>
              <w:rPr>
                <w:rFonts w:ascii="Calibri" w:eastAsia="Calibri" w:hAnsi="Calibri" w:cs="Times New Roman"/>
                <w:sz w:val="18"/>
                <w:szCs w:val="18"/>
                <w:lang w:val="en-US"/>
              </w:rPr>
            </w:pPr>
          </w:p>
        </w:tc>
        <w:tc>
          <w:tcPr>
            <w:tcW w:w="914" w:type="dxa"/>
            <w:tcBorders>
              <w:top w:val="nil"/>
              <w:left w:val="nil"/>
              <w:right w:val="nil"/>
            </w:tcBorders>
            <w:shd w:val="clear" w:color="auto" w:fill="auto"/>
            <w:noWrap/>
            <w:vAlign w:val="bottom"/>
          </w:tcPr>
          <w:p w14:paraId="0D58DEB6" w14:textId="6C59336E" w:rsidR="004E2DB0" w:rsidRPr="00A1123E" w:rsidRDefault="004E2DB0" w:rsidP="004E2DB0">
            <w:pPr>
              <w:spacing w:after="0" w:line="240" w:lineRule="auto"/>
              <w:jc w:val="center"/>
              <w:rPr>
                <w:rFonts w:ascii="Calibri" w:eastAsia="Calibri" w:hAnsi="Calibri" w:cs="Arial"/>
                <w:color w:val="000000"/>
                <w:sz w:val="18"/>
                <w:szCs w:val="18"/>
                <w:lang w:val="en-US"/>
              </w:rPr>
            </w:pPr>
            <w:r w:rsidRPr="00A1123E">
              <w:rPr>
                <w:rFonts w:ascii="Calibri" w:eastAsia="Calibri" w:hAnsi="Calibri" w:cs="Times New Roman"/>
                <w:color w:val="000000"/>
                <w:sz w:val="18"/>
                <w:szCs w:val="18"/>
                <w:lang w:val="en-US"/>
              </w:rPr>
              <w:t xml:space="preserve">    0.000</w:t>
            </w:r>
          </w:p>
        </w:tc>
        <w:tc>
          <w:tcPr>
            <w:tcW w:w="1276" w:type="dxa"/>
            <w:gridSpan w:val="3"/>
            <w:tcBorders>
              <w:top w:val="nil"/>
              <w:left w:val="nil"/>
              <w:right w:val="nil"/>
            </w:tcBorders>
            <w:vAlign w:val="bottom"/>
          </w:tcPr>
          <w:p w14:paraId="2564976D" w14:textId="6691B122" w:rsidR="004E2DB0" w:rsidRPr="00537128" w:rsidRDefault="004E2DB0" w:rsidP="004E2DB0">
            <w:pPr>
              <w:spacing w:after="0" w:line="240" w:lineRule="auto"/>
              <w:jc w:val="right"/>
              <w:rPr>
                <w:rFonts w:ascii="Calibri" w:eastAsia="Calibri" w:hAnsi="Calibri" w:cs="Arial"/>
                <w:color w:val="000000"/>
                <w:sz w:val="18"/>
                <w:szCs w:val="18"/>
                <w:lang w:val="en-US"/>
              </w:rPr>
            </w:pPr>
            <w:r>
              <w:rPr>
                <w:rFonts w:ascii="Calibri" w:eastAsia="Calibri" w:hAnsi="Calibri" w:cs="Calibri"/>
                <w:color w:val="000000"/>
                <w:sz w:val="18"/>
                <w:szCs w:val="18"/>
                <w:lang w:eastAsia="hr-HR"/>
              </w:rPr>
              <w:t>151</w:t>
            </w:r>
            <w:r w:rsidR="00EE68B4">
              <w:rPr>
                <w:rFonts w:ascii="Calibri" w:eastAsia="Calibri" w:hAnsi="Calibri" w:cs="Calibri"/>
                <w:color w:val="000000"/>
                <w:sz w:val="18"/>
                <w:szCs w:val="18"/>
                <w:lang w:eastAsia="hr-HR"/>
              </w:rPr>
              <w:t>,</w:t>
            </w:r>
            <w:r>
              <w:rPr>
                <w:rFonts w:ascii="Calibri" w:eastAsia="Calibri" w:hAnsi="Calibri" w:cs="Calibri"/>
                <w:color w:val="000000"/>
                <w:sz w:val="18"/>
                <w:szCs w:val="18"/>
                <w:lang w:eastAsia="hr-HR"/>
              </w:rPr>
              <w:t>534</w:t>
            </w:r>
          </w:p>
        </w:tc>
        <w:tc>
          <w:tcPr>
            <w:tcW w:w="1247" w:type="dxa"/>
            <w:gridSpan w:val="2"/>
            <w:tcBorders>
              <w:top w:val="nil"/>
              <w:left w:val="nil"/>
              <w:bottom w:val="nil"/>
              <w:right w:val="nil"/>
            </w:tcBorders>
            <w:shd w:val="clear" w:color="auto" w:fill="auto"/>
            <w:vAlign w:val="bottom"/>
          </w:tcPr>
          <w:p w14:paraId="1F1209FD" w14:textId="132C867B" w:rsidR="004E2DB0" w:rsidRPr="00537128" w:rsidRDefault="004E2DB0" w:rsidP="004E2DB0">
            <w:pPr>
              <w:spacing w:after="0" w:line="240" w:lineRule="auto"/>
              <w:jc w:val="right"/>
              <w:rPr>
                <w:rFonts w:ascii="Calibri" w:eastAsia="Calibri" w:hAnsi="Calibri" w:cs="Arial"/>
                <w:color w:val="000000"/>
                <w:sz w:val="18"/>
                <w:szCs w:val="18"/>
                <w:lang w:val="en-US"/>
              </w:rPr>
            </w:pPr>
            <w:r>
              <w:rPr>
                <w:rFonts w:ascii="Calibri" w:eastAsia="Calibri" w:hAnsi="Calibri" w:cs="Calibri"/>
                <w:color w:val="000000"/>
                <w:sz w:val="18"/>
                <w:szCs w:val="18"/>
                <w:lang w:eastAsia="hr-HR"/>
              </w:rPr>
              <w:t>150,344</w:t>
            </w:r>
          </w:p>
        </w:tc>
        <w:tc>
          <w:tcPr>
            <w:tcW w:w="1276" w:type="dxa"/>
            <w:gridSpan w:val="3"/>
            <w:tcBorders>
              <w:top w:val="nil"/>
              <w:left w:val="nil"/>
              <w:right w:val="nil"/>
            </w:tcBorders>
            <w:shd w:val="clear" w:color="auto" w:fill="auto"/>
            <w:vAlign w:val="bottom"/>
          </w:tcPr>
          <w:p w14:paraId="1215FD23" w14:textId="200C07E7" w:rsidR="004E2DB0" w:rsidRPr="00537128" w:rsidRDefault="004E2DB0" w:rsidP="004E2DB0">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rPr>
              <w:t>151</w:t>
            </w:r>
            <w:r w:rsidR="00EE68B4">
              <w:rPr>
                <w:rFonts w:ascii="Calibri" w:eastAsia="Calibri" w:hAnsi="Calibri" w:cs="Arial"/>
                <w:color w:val="000000"/>
                <w:sz w:val="18"/>
                <w:szCs w:val="18"/>
              </w:rPr>
              <w:t>,</w:t>
            </w:r>
            <w:r>
              <w:rPr>
                <w:rFonts w:ascii="Calibri" w:eastAsia="Calibri" w:hAnsi="Calibri" w:cs="Arial"/>
                <w:color w:val="000000"/>
                <w:sz w:val="18"/>
                <w:szCs w:val="18"/>
              </w:rPr>
              <w:t>534</w:t>
            </w:r>
          </w:p>
        </w:tc>
        <w:tc>
          <w:tcPr>
            <w:tcW w:w="1276" w:type="dxa"/>
            <w:gridSpan w:val="3"/>
            <w:tcBorders>
              <w:top w:val="nil"/>
              <w:left w:val="nil"/>
              <w:bottom w:val="nil"/>
              <w:right w:val="nil"/>
            </w:tcBorders>
            <w:shd w:val="clear" w:color="auto" w:fill="auto"/>
            <w:vAlign w:val="bottom"/>
          </w:tcPr>
          <w:p w14:paraId="709CF377" w14:textId="4A34EC72" w:rsidR="004E2DB0" w:rsidRPr="00537128" w:rsidRDefault="004E2DB0" w:rsidP="004E2DB0">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150</w:t>
            </w:r>
            <w:r w:rsidRPr="00537128">
              <w:rPr>
                <w:rFonts w:ascii="Calibri" w:eastAsia="Calibri" w:hAnsi="Calibri" w:cs="Arial"/>
                <w:color w:val="000000"/>
                <w:sz w:val="18"/>
                <w:szCs w:val="18"/>
                <w:lang w:val="en-US"/>
              </w:rPr>
              <w:t>,</w:t>
            </w:r>
            <w:r>
              <w:rPr>
                <w:rFonts w:ascii="Calibri" w:eastAsia="Calibri" w:hAnsi="Calibri" w:cs="Arial"/>
                <w:color w:val="000000"/>
                <w:sz w:val="18"/>
                <w:szCs w:val="18"/>
                <w:lang w:val="en-US"/>
              </w:rPr>
              <w:t>344</w:t>
            </w:r>
          </w:p>
        </w:tc>
      </w:tr>
      <w:tr w:rsidR="004E2DB0" w:rsidRPr="00537128" w14:paraId="5F5B6045" w14:textId="77777777" w:rsidTr="005B3D2C">
        <w:trPr>
          <w:gridAfter w:val="2"/>
          <w:wAfter w:w="29" w:type="dxa"/>
          <w:trHeight w:val="175"/>
        </w:trPr>
        <w:tc>
          <w:tcPr>
            <w:tcW w:w="2798" w:type="dxa"/>
            <w:tcBorders>
              <w:top w:val="nil"/>
              <w:left w:val="nil"/>
              <w:bottom w:val="single" w:sz="4" w:space="0" w:color="auto"/>
              <w:right w:val="nil"/>
            </w:tcBorders>
            <w:shd w:val="clear" w:color="auto" w:fill="auto"/>
            <w:noWrap/>
            <w:vAlign w:val="bottom"/>
            <w:hideMark/>
          </w:tcPr>
          <w:p w14:paraId="1E7CD813" w14:textId="77777777" w:rsidR="004E2DB0" w:rsidRPr="00537128" w:rsidRDefault="004E2DB0" w:rsidP="004E2DB0">
            <w:pPr>
              <w:spacing w:after="0" w:line="240" w:lineRule="auto"/>
              <w:rPr>
                <w:rFonts w:ascii="Calibri" w:eastAsia="Calibri" w:hAnsi="Calibri" w:cs="Arial"/>
                <w:color w:val="000000"/>
                <w:sz w:val="18"/>
                <w:szCs w:val="18"/>
                <w:lang w:val="en-US"/>
              </w:rPr>
            </w:pPr>
            <w:r w:rsidRPr="00537128">
              <w:rPr>
                <w:rFonts w:ascii="Calibri" w:eastAsia="Calibri" w:hAnsi="Calibri" w:cs="Arial"/>
                <w:bCs/>
                <w:color w:val="000000"/>
                <w:sz w:val="18"/>
                <w:szCs w:val="18"/>
                <w:lang w:val="en-US" w:eastAsia="hr-HR"/>
              </w:rPr>
              <w:t>Accrued interest</w:t>
            </w:r>
          </w:p>
        </w:tc>
        <w:tc>
          <w:tcPr>
            <w:tcW w:w="1120" w:type="dxa"/>
            <w:tcBorders>
              <w:top w:val="nil"/>
              <w:left w:val="nil"/>
              <w:bottom w:val="nil"/>
              <w:right w:val="nil"/>
            </w:tcBorders>
            <w:shd w:val="clear" w:color="auto" w:fill="auto"/>
            <w:noWrap/>
            <w:vAlign w:val="bottom"/>
            <w:hideMark/>
          </w:tcPr>
          <w:p w14:paraId="367A0CFF" w14:textId="77777777" w:rsidR="004E2DB0" w:rsidRPr="00537128" w:rsidRDefault="004E2DB0" w:rsidP="004E2DB0">
            <w:pPr>
              <w:spacing w:after="0" w:line="240" w:lineRule="auto"/>
              <w:rPr>
                <w:rFonts w:ascii="Calibri" w:eastAsia="Calibri" w:hAnsi="Calibri" w:cs="Arial"/>
                <w:color w:val="000000"/>
                <w:sz w:val="18"/>
                <w:szCs w:val="18"/>
                <w:lang w:val="en-US"/>
              </w:rPr>
            </w:pPr>
          </w:p>
        </w:tc>
        <w:tc>
          <w:tcPr>
            <w:tcW w:w="1121" w:type="dxa"/>
            <w:tcBorders>
              <w:top w:val="nil"/>
              <w:left w:val="nil"/>
              <w:bottom w:val="nil"/>
              <w:right w:val="nil"/>
            </w:tcBorders>
            <w:shd w:val="clear" w:color="auto" w:fill="auto"/>
            <w:noWrap/>
            <w:vAlign w:val="bottom"/>
            <w:hideMark/>
          </w:tcPr>
          <w:p w14:paraId="0351600B" w14:textId="77777777" w:rsidR="004E2DB0" w:rsidRPr="00537128" w:rsidRDefault="004E2DB0" w:rsidP="004E2DB0">
            <w:pPr>
              <w:spacing w:after="0" w:line="240" w:lineRule="auto"/>
              <w:rPr>
                <w:rFonts w:ascii="Calibri" w:eastAsia="Calibri" w:hAnsi="Calibri" w:cs="Times New Roman"/>
                <w:sz w:val="18"/>
                <w:szCs w:val="18"/>
                <w:lang w:val="en-US"/>
              </w:rPr>
            </w:pPr>
          </w:p>
        </w:tc>
        <w:tc>
          <w:tcPr>
            <w:tcW w:w="914" w:type="dxa"/>
            <w:tcBorders>
              <w:left w:val="nil"/>
              <w:bottom w:val="nil"/>
              <w:right w:val="nil"/>
            </w:tcBorders>
            <w:shd w:val="clear" w:color="auto" w:fill="auto"/>
            <w:noWrap/>
            <w:vAlign w:val="bottom"/>
            <w:hideMark/>
          </w:tcPr>
          <w:p w14:paraId="63DE2B75" w14:textId="77777777" w:rsidR="004E2DB0" w:rsidRPr="00537128" w:rsidRDefault="004E2DB0" w:rsidP="004E2DB0">
            <w:pPr>
              <w:spacing w:after="0" w:line="240" w:lineRule="auto"/>
              <w:rPr>
                <w:rFonts w:ascii="Calibri" w:eastAsia="Calibri" w:hAnsi="Calibri" w:cs="Times New Roman"/>
                <w:sz w:val="18"/>
                <w:szCs w:val="18"/>
                <w:lang w:val="en-US"/>
              </w:rPr>
            </w:pPr>
          </w:p>
        </w:tc>
        <w:tc>
          <w:tcPr>
            <w:tcW w:w="1247" w:type="dxa"/>
            <w:gridSpan w:val="2"/>
            <w:tcBorders>
              <w:top w:val="nil"/>
              <w:left w:val="nil"/>
              <w:bottom w:val="single" w:sz="4" w:space="0" w:color="auto"/>
              <w:right w:val="nil"/>
            </w:tcBorders>
            <w:shd w:val="clear" w:color="auto" w:fill="auto"/>
            <w:vAlign w:val="bottom"/>
          </w:tcPr>
          <w:p w14:paraId="5D3620D0" w14:textId="46AC31E3" w:rsidR="004E2DB0" w:rsidRPr="00537128" w:rsidRDefault="004E2DB0" w:rsidP="004E2DB0">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12</w:t>
            </w:r>
            <w:r w:rsidR="00EE68B4">
              <w:rPr>
                <w:rFonts w:ascii="Calibri" w:eastAsia="Calibri" w:hAnsi="Calibri" w:cs="Arial"/>
                <w:color w:val="000000"/>
                <w:sz w:val="18"/>
                <w:szCs w:val="18"/>
                <w:lang w:val="en-US"/>
              </w:rPr>
              <w:t>,</w:t>
            </w:r>
            <w:r>
              <w:rPr>
                <w:rFonts w:ascii="Calibri" w:eastAsia="Calibri" w:hAnsi="Calibri" w:cs="Arial"/>
                <w:color w:val="000000"/>
                <w:sz w:val="18"/>
                <w:szCs w:val="18"/>
                <w:lang w:val="en-US"/>
              </w:rPr>
              <w:t>055</w:t>
            </w:r>
          </w:p>
        </w:tc>
        <w:tc>
          <w:tcPr>
            <w:tcW w:w="1276" w:type="dxa"/>
            <w:gridSpan w:val="3"/>
            <w:tcBorders>
              <w:left w:val="nil"/>
              <w:bottom w:val="single" w:sz="4" w:space="0" w:color="auto"/>
              <w:right w:val="nil"/>
            </w:tcBorders>
            <w:vAlign w:val="bottom"/>
          </w:tcPr>
          <w:p w14:paraId="0095BF55" w14:textId="7E680300" w:rsidR="004E2DB0" w:rsidRPr="00537128" w:rsidRDefault="004E2DB0" w:rsidP="004E2DB0">
            <w:pPr>
              <w:spacing w:after="0" w:line="240" w:lineRule="auto"/>
              <w:jc w:val="right"/>
              <w:rPr>
                <w:rFonts w:ascii="Calibri" w:eastAsia="Calibri" w:hAnsi="Calibri" w:cs="Arial"/>
                <w:color w:val="000000"/>
                <w:sz w:val="18"/>
                <w:szCs w:val="18"/>
                <w:lang w:val="en-US"/>
              </w:rPr>
            </w:pPr>
            <w:r w:rsidRPr="00EA3621">
              <w:rPr>
                <w:rFonts w:ascii="Calibri" w:eastAsia="Calibri" w:hAnsi="Calibri" w:cs="Calibri"/>
                <w:color w:val="000000"/>
                <w:sz w:val="18"/>
                <w:szCs w:val="18"/>
                <w:lang w:eastAsia="hr-HR"/>
              </w:rPr>
              <w:t>1</w:t>
            </w:r>
            <w:r>
              <w:rPr>
                <w:rFonts w:ascii="Calibri" w:eastAsia="Calibri" w:hAnsi="Calibri" w:cs="Calibri"/>
                <w:color w:val="000000"/>
                <w:sz w:val="18"/>
                <w:szCs w:val="18"/>
                <w:lang w:eastAsia="hr-HR"/>
              </w:rPr>
              <w:t>5,</w:t>
            </w:r>
            <w:r w:rsidRPr="00EA3621">
              <w:rPr>
                <w:rFonts w:ascii="Calibri" w:eastAsia="Calibri" w:hAnsi="Calibri" w:cs="Calibri"/>
                <w:color w:val="000000"/>
                <w:sz w:val="18"/>
                <w:szCs w:val="18"/>
                <w:lang w:eastAsia="hr-HR"/>
              </w:rPr>
              <w:t>6</w:t>
            </w:r>
            <w:r>
              <w:rPr>
                <w:rFonts w:ascii="Calibri" w:eastAsia="Calibri" w:hAnsi="Calibri" w:cs="Calibri"/>
                <w:color w:val="000000"/>
                <w:sz w:val="18"/>
                <w:szCs w:val="18"/>
                <w:lang w:eastAsia="hr-HR"/>
              </w:rPr>
              <w:t>20</w:t>
            </w:r>
          </w:p>
        </w:tc>
        <w:tc>
          <w:tcPr>
            <w:tcW w:w="1276" w:type="dxa"/>
            <w:gridSpan w:val="3"/>
            <w:tcBorders>
              <w:top w:val="nil"/>
              <w:left w:val="nil"/>
              <w:bottom w:val="single" w:sz="4" w:space="0" w:color="auto"/>
              <w:right w:val="nil"/>
            </w:tcBorders>
            <w:shd w:val="clear" w:color="auto" w:fill="auto"/>
            <w:vAlign w:val="bottom"/>
          </w:tcPr>
          <w:p w14:paraId="0BD9C559" w14:textId="45565BB5" w:rsidR="004E2DB0" w:rsidRPr="00537128" w:rsidRDefault="004E2DB0" w:rsidP="004E2DB0">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11</w:t>
            </w:r>
            <w:r w:rsidR="00EE68B4">
              <w:rPr>
                <w:rFonts w:ascii="Calibri" w:eastAsia="Calibri" w:hAnsi="Calibri" w:cs="Arial"/>
                <w:color w:val="000000"/>
                <w:sz w:val="18"/>
                <w:szCs w:val="18"/>
                <w:lang w:val="en-US"/>
              </w:rPr>
              <w:t>,</w:t>
            </w:r>
            <w:r>
              <w:rPr>
                <w:rFonts w:ascii="Calibri" w:eastAsia="Calibri" w:hAnsi="Calibri" w:cs="Arial"/>
                <w:color w:val="000000"/>
                <w:sz w:val="18"/>
                <w:szCs w:val="18"/>
                <w:lang w:val="en-US"/>
              </w:rPr>
              <w:t>716</w:t>
            </w:r>
          </w:p>
        </w:tc>
        <w:tc>
          <w:tcPr>
            <w:tcW w:w="1276" w:type="dxa"/>
            <w:gridSpan w:val="3"/>
            <w:tcBorders>
              <w:top w:val="nil"/>
              <w:left w:val="nil"/>
              <w:bottom w:val="single" w:sz="4" w:space="0" w:color="auto"/>
              <w:right w:val="nil"/>
            </w:tcBorders>
            <w:shd w:val="clear" w:color="auto" w:fill="auto"/>
            <w:vAlign w:val="bottom"/>
          </w:tcPr>
          <w:p w14:paraId="3C7493EB" w14:textId="46F0AFF3" w:rsidR="004E2DB0" w:rsidRPr="00537128" w:rsidRDefault="004E2DB0" w:rsidP="004E2DB0">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1</w:t>
            </w:r>
            <w:r>
              <w:rPr>
                <w:rFonts w:ascii="Calibri" w:eastAsia="Calibri" w:hAnsi="Calibri" w:cs="Arial"/>
                <w:color w:val="000000"/>
                <w:sz w:val="18"/>
                <w:szCs w:val="18"/>
                <w:lang w:val="en-US"/>
              </w:rPr>
              <w:t>5</w:t>
            </w:r>
            <w:r w:rsidRPr="00537128">
              <w:rPr>
                <w:rFonts w:ascii="Calibri" w:eastAsia="Calibri" w:hAnsi="Calibri" w:cs="Arial"/>
                <w:color w:val="000000"/>
                <w:sz w:val="18"/>
                <w:szCs w:val="18"/>
                <w:lang w:val="en-US"/>
              </w:rPr>
              <w:t>,</w:t>
            </w:r>
            <w:r>
              <w:rPr>
                <w:rFonts w:ascii="Calibri" w:eastAsia="Calibri" w:hAnsi="Calibri" w:cs="Arial"/>
                <w:color w:val="000000"/>
                <w:sz w:val="18"/>
                <w:szCs w:val="18"/>
                <w:lang w:val="en-US"/>
              </w:rPr>
              <w:t>194</w:t>
            </w:r>
          </w:p>
        </w:tc>
      </w:tr>
      <w:tr w:rsidR="004E2DB0" w:rsidRPr="00537128" w14:paraId="58F9F253" w14:textId="77777777" w:rsidTr="005B3D2C">
        <w:trPr>
          <w:gridAfter w:val="2"/>
          <w:wAfter w:w="29" w:type="dxa"/>
          <w:trHeight w:val="187"/>
        </w:trPr>
        <w:tc>
          <w:tcPr>
            <w:tcW w:w="2798" w:type="dxa"/>
            <w:tcBorders>
              <w:top w:val="single" w:sz="4" w:space="0" w:color="auto"/>
              <w:left w:val="nil"/>
              <w:bottom w:val="single" w:sz="12" w:space="0" w:color="auto"/>
              <w:right w:val="nil"/>
            </w:tcBorders>
            <w:shd w:val="clear" w:color="auto" w:fill="auto"/>
            <w:noWrap/>
            <w:vAlign w:val="center"/>
            <w:hideMark/>
          </w:tcPr>
          <w:p w14:paraId="4F891A92" w14:textId="77777777" w:rsidR="004E2DB0" w:rsidRPr="00537128" w:rsidRDefault="004E2DB0" w:rsidP="004E2DB0">
            <w:pPr>
              <w:spacing w:after="0" w:line="240" w:lineRule="auto"/>
              <w:jc w:val="both"/>
              <w:rPr>
                <w:rFonts w:ascii="Calibri" w:eastAsia="Calibri" w:hAnsi="Calibri" w:cs="Arial"/>
                <w:b/>
                <w:bCs/>
                <w:color w:val="000000"/>
                <w:sz w:val="18"/>
                <w:szCs w:val="18"/>
                <w:lang w:val="en-US"/>
              </w:rPr>
            </w:pPr>
            <w:r w:rsidRPr="00537128">
              <w:rPr>
                <w:rFonts w:ascii="Calibri" w:eastAsia="Calibri" w:hAnsi="Calibri" w:cs="Arial"/>
                <w:b/>
                <w:bCs/>
                <w:color w:val="000000"/>
                <w:sz w:val="18"/>
                <w:szCs w:val="18"/>
                <w:lang w:val="en-US"/>
              </w:rPr>
              <w:t> </w:t>
            </w:r>
          </w:p>
        </w:tc>
        <w:tc>
          <w:tcPr>
            <w:tcW w:w="1120" w:type="dxa"/>
            <w:tcBorders>
              <w:top w:val="single" w:sz="4" w:space="0" w:color="auto"/>
              <w:left w:val="nil"/>
              <w:bottom w:val="single" w:sz="12" w:space="0" w:color="auto"/>
              <w:right w:val="nil"/>
            </w:tcBorders>
            <w:shd w:val="clear" w:color="auto" w:fill="auto"/>
            <w:noWrap/>
            <w:vAlign w:val="center"/>
            <w:hideMark/>
          </w:tcPr>
          <w:p w14:paraId="59CD3545" w14:textId="77777777" w:rsidR="004E2DB0" w:rsidRPr="00537128" w:rsidRDefault="004E2DB0" w:rsidP="004E2DB0">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 </w:t>
            </w:r>
          </w:p>
        </w:tc>
        <w:tc>
          <w:tcPr>
            <w:tcW w:w="1121" w:type="dxa"/>
            <w:tcBorders>
              <w:top w:val="single" w:sz="4" w:space="0" w:color="auto"/>
              <w:left w:val="nil"/>
              <w:bottom w:val="single" w:sz="12" w:space="0" w:color="auto"/>
              <w:right w:val="nil"/>
            </w:tcBorders>
            <w:shd w:val="clear" w:color="auto" w:fill="auto"/>
            <w:noWrap/>
            <w:vAlign w:val="center"/>
            <w:hideMark/>
          </w:tcPr>
          <w:p w14:paraId="308176ED" w14:textId="77777777" w:rsidR="004E2DB0" w:rsidRPr="00537128" w:rsidRDefault="004E2DB0" w:rsidP="004E2DB0">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 </w:t>
            </w:r>
          </w:p>
        </w:tc>
        <w:tc>
          <w:tcPr>
            <w:tcW w:w="914" w:type="dxa"/>
            <w:tcBorders>
              <w:top w:val="single" w:sz="4" w:space="0" w:color="auto"/>
              <w:left w:val="nil"/>
              <w:bottom w:val="single" w:sz="12" w:space="0" w:color="auto"/>
              <w:right w:val="nil"/>
            </w:tcBorders>
            <w:shd w:val="clear" w:color="auto" w:fill="auto"/>
            <w:noWrap/>
            <w:vAlign w:val="center"/>
            <w:hideMark/>
          </w:tcPr>
          <w:p w14:paraId="71BC3A49" w14:textId="77777777" w:rsidR="004E2DB0" w:rsidRPr="00537128" w:rsidRDefault="004E2DB0" w:rsidP="004E2DB0">
            <w:pPr>
              <w:spacing w:after="0" w:line="240" w:lineRule="auto"/>
              <w:jc w:val="both"/>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 </w:t>
            </w:r>
          </w:p>
        </w:tc>
        <w:tc>
          <w:tcPr>
            <w:tcW w:w="1247" w:type="dxa"/>
            <w:gridSpan w:val="2"/>
            <w:tcBorders>
              <w:top w:val="single" w:sz="4" w:space="0" w:color="auto"/>
              <w:left w:val="nil"/>
              <w:bottom w:val="single" w:sz="12" w:space="0" w:color="auto"/>
              <w:right w:val="nil"/>
            </w:tcBorders>
            <w:shd w:val="clear" w:color="auto" w:fill="auto"/>
            <w:vAlign w:val="bottom"/>
          </w:tcPr>
          <w:p w14:paraId="5D14FAB4" w14:textId="61D8F416" w:rsidR="004E2DB0" w:rsidRPr="00537128" w:rsidRDefault="004E2DB0" w:rsidP="004E2DB0">
            <w:pPr>
              <w:spacing w:after="0" w:line="240" w:lineRule="auto"/>
              <w:jc w:val="right"/>
              <w:rPr>
                <w:rFonts w:ascii="Calibri" w:eastAsia="Calibri" w:hAnsi="Calibri" w:cs="Arial"/>
                <w:b/>
                <w:bCs/>
                <w:color w:val="000000"/>
                <w:sz w:val="18"/>
                <w:szCs w:val="18"/>
                <w:lang w:val="en-US"/>
              </w:rPr>
            </w:pPr>
            <w:r>
              <w:rPr>
                <w:rFonts w:ascii="Calibri" w:eastAsia="Calibri" w:hAnsi="Calibri" w:cs="Arial"/>
                <w:b/>
                <w:bCs/>
                <w:color w:val="000000"/>
                <w:sz w:val="18"/>
                <w:szCs w:val="18"/>
                <w:lang w:val="en-US"/>
              </w:rPr>
              <w:t>3,203,496</w:t>
            </w:r>
          </w:p>
        </w:tc>
        <w:tc>
          <w:tcPr>
            <w:tcW w:w="1276" w:type="dxa"/>
            <w:gridSpan w:val="3"/>
            <w:tcBorders>
              <w:top w:val="single" w:sz="4" w:space="0" w:color="auto"/>
              <w:left w:val="nil"/>
              <w:bottom w:val="single" w:sz="12" w:space="0" w:color="auto"/>
              <w:right w:val="nil"/>
            </w:tcBorders>
            <w:vAlign w:val="bottom"/>
          </w:tcPr>
          <w:p w14:paraId="08E2B2B8" w14:textId="6738861A" w:rsidR="004E2DB0" w:rsidRPr="00537128" w:rsidRDefault="004E2DB0" w:rsidP="004E2DB0">
            <w:pPr>
              <w:spacing w:after="0" w:line="240" w:lineRule="auto"/>
              <w:jc w:val="right"/>
              <w:rPr>
                <w:rFonts w:ascii="Calibri" w:eastAsia="Calibri" w:hAnsi="Calibri" w:cs="Arial"/>
                <w:b/>
                <w:bCs/>
                <w:color w:val="000000"/>
                <w:sz w:val="18"/>
                <w:szCs w:val="18"/>
                <w:lang w:val="en-US"/>
              </w:rPr>
            </w:pPr>
            <w:r>
              <w:rPr>
                <w:rFonts w:ascii="Calibri" w:eastAsia="Calibri" w:hAnsi="Calibri" w:cs="Arial"/>
                <w:b/>
                <w:bCs/>
                <w:color w:val="000000"/>
                <w:sz w:val="18"/>
                <w:szCs w:val="18"/>
              </w:rPr>
              <w:t>2,927,338</w:t>
            </w:r>
          </w:p>
        </w:tc>
        <w:tc>
          <w:tcPr>
            <w:tcW w:w="1276" w:type="dxa"/>
            <w:gridSpan w:val="3"/>
            <w:tcBorders>
              <w:top w:val="single" w:sz="4" w:space="0" w:color="auto"/>
              <w:left w:val="nil"/>
              <w:bottom w:val="single" w:sz="12" w:space="0" w:color="auto"/>
              <w:right w:val="nil"/>
            </w:tcBorders>
            <w:shd w:val="clear" w:color="auto" w:fill="auto"/>
            <w:vAlign w:val="bottom"/>
          </w:tcPr>
          <w:p w14:paraId="7BEF02D3" w14:textId="71ABEDC0" w:rsidR="004E2DB0" w:rsidRPr="00537128" w:rsidRDefault="004E2DB0" w:rsidP="004E2DB0">
            <w:pPr>
              <w:spacing w:after="0" w:line="240" w:lineRule="auto"/>
              <w:jc w:val="right"/>
              <w:rPr>
                <w:rFonts w:ascii="Calibri" w:eastAsia="Calibri" w:hAnsi="Calibri" w:cs="Arial"/>
                <w:b/>
                <w:bCs/>
                <w:color w:val="000000"/>
                <w:sz w:val="18"/>
                <w:szCs w:val="18"/>
                <w:lang w:val="en-US"/>
              </w:rPr>
            </w:pPr>
            <w:r>
              <w:rPr>
                <w:rFonts w:ascii="Calibri" w:eastAsia="Calibri" w:hAnsi="Calibri" w:cs="Arial"/>
                <w:b/>
                <w:bCs/>
                <w:color w:val="000000"/>
                <w:sz w:val="18"/>
                <w:szCs w:val="18"/>
                <w:lang w:val="en-US"/>
              </w:rPr>
              <w:t>3,150,353</w:t>
            </w:r>
          </w:p>
        </w:tc>
        <w:tc>
          <w:tcPr>
            <w:tcW w:w="1276" w:type="dxa"/>
            <w:gridSpan w:val="3"/>
            <w:tcBorders>
              <w:top w:val="single" w:sz="4" w:space="0" w:color="auto"/>
              <w:left w:val="nil"/>
              <w:bottom w:val="single" w:sz="12" w:space="0" w:color="auto"/>
              <w:right w:val="nil"/>
            </w:tcBorders>
            <w:shd w:val="clear" w:color="auto" w:fill="auto"/>
            <w:vAlign w:val="bottom"/>
          </w:tcPr>
          <w:p w14:paraId="1B4C4B85" w14:textId="7A11824E" w:rsidR="004E2DB0" w:rsidRPr="00537128" w:rsidRDefault="004E2DB0" w:rsidP="004E2DB0">
            <w:pPr>
              <w:spacing w:after="0" w:line="240" w:lineRule="auto"/>
              <w:jc w:val="right"/>
              <w:rPr>
                <w:rFonts w:ascii="Calibri" w:eastAsia="Calibri" w:hAnsi="Calibri" w:cs="Arial"/>
                <w:b/>
                <w:bCs/>
                <w:color w:val="000000"/>
                <w:sz w:val="18"/>
                <w:szCs w:val="18"/>
                <w:lang w:val="en-US"/>
              </w:rPr>
            </w:pPr>
            <w:r>
              <w:rPr>
                <w:rFonts w:ascii="Calibri" w:eastAsia="Calibri" w:hAnsi="Calibri" w:cs="Arial"/>
                <w:b/>
                <w:bCs/>
                <w:color w:val="000000"/>
                <w:sz w:val="18"/>
                <w:szCs w:val="18"/>
                <w:lang w:val="en-US"/>
              </w:rPr>
              <w:t>2</w:t>
            </w:r>
            <w:r w:rsidRPr="00537128">
              <w:rPr>
                <w:rFonts w:ascii="Calibri" w:eastAsia="Calibri" w:hAnsi="Calibri" w:cs="Arial"/>
                <w:b/>
                <w:bCs/>
                <w:color w:val="000000"/>
                <w:sz w:val="18"/>
                <w:szCs w:val="18"/>
                <w:lang w:val="en-US"/>
              </w:rPr>
              <w:t>,</w:t>
            </w:r>
            <w:r>
              <w:rPr>
                <w:rFonts w:ascii="Calibri" w:eastAsia="Calibri" w:hAnsi="Calibri" w:cs="Arial"/>
                <w:b/>
                <w:bCs/>
                <w:color w:val="000000"/>
                <w:sz w:val="18"/>
                <w:szCs w:val="18"/>
                <w:lang w:val="en-US"/>
              </w:rPr>
              <w:t>870</w:t>
            </w:r>
            <w:r w:rsidRPr="00537128">
              <w:rPr>
                <w:rFonts w:ascii="Calibri" w:eastAsia="Calibri" w:hAnsi="Calibri" w:cs="Arial"/>
                <w:b/>
                <w:bCs/>
                <w:color w:val="000000"/>
                <w:sz w:val="18"/>
                <w:szCs w:val="18"/>
                <w:lang w:val="en-US"/>
              </w:rPr>
              <w:t>,</w:t>
            </w:r>
            <w:r>
              <w:rPr>
                <w:rFonts w:ascii="Calibri" w:eastAsia="Calibri" w:hAnsi="Calibri" w:cs="Arial"/>
                <w:b/>
                <w:bCs/>
                <w:color w:val="000000"/>
                <w:sz w:val="18"/>
                <w:szCs w:val="18"/>
                <w:lang w:val="en-US"/>
              </w:rPr>
              <w:t>512</w:t>
            </w:r>
          </w:p>
        </w:tc>
      </w:tr>
      <w:tr w:rsidR="004E2DB0" w:rsidRPr="00537128" w14:paraId="388146C9" w14:textId="77777777" w:rsidTr="005B3D2C">
        <w:trPr>
          <w:gridAfter w:val="2"/>
          <w:wAfter w:w="29" w:type="dxa"/>
          <w:trHeight w:hRule="exact" w:val="278"/>
        </w:trPr>
        <w:tc>
          <w:tcPr>
            <w:tcW w:w="2798" w:type="dxa"/>
            <w:tcBorders>
              <w:top w:val="single" w:sz="12" w:space="0" w:color="auto"/>
              <w:left w:val="nil"/>
              <w:right w:val="nil"/>
            </w:tcBorders>
            <w:shd w:val="clear" w:color="auto" w:fill="auto"/>
            <w:vAlign w:val="center"/>
            <w:hideMark/>
          </w:tcPr>
          <w:p w14:paraId="07D23F29" w14:textId="77777777" w:rsidR="004E2DB0" w:rsidRPr="00537128" w:rsidRDefault="004E2DB0" w:rsidP="004E2DB0">
            <w:pPr>
              <w:spacing w:after="0" w:line="240" w:lineRule="auto"/>
              <w:jc w:val="right"/>
              <w:rPr>
                <w:rFonts w:ascii="Calibri" w:eastAsia="Calibri" w:hAnsi="Calibri" w:cs="Times New Roman"/>
                <w:sz w:val="18"/>
                <w:szCs w:val="18"/>
                <w:lang w:val="en-US"/>
              </w:rPr>
            </w:pPr>
          </w:p>
        </w:tc>
        <w:tc>
          <w:tcPr>
            <w:tcW w:w="1120" w:type="dxa"/>
            <w:tcBorders>
              <w:top w:val="single" w:sz="12" w:space="0" w:color="auto"/>
              <w:left w:val="nil"/>
              <w:right w:val="nil"/>
            </w:tcBorders>
            <w:shd w:val="clear" w:color="auto" w:fill="auto"/>
            <w:vAlign w:val="center"/>
            <w:hideMark/>
          </w:tcPr>
          <w:p w14:paraId="27CDB5AD" w14:textId="77777777" w:rsidR="004E2DB0" w:rsidRPr="00537128" w:rsidRDefault="004E2DB0" w:rsidP="004E2DB0">
            <w:pPr>
              <w:spacing w:after="0" w:line="240" w:lineRule="auto"/>
              <w:jc w:val="both"/>
              <w:rPr>
                <w:rFonts w:ascii="Calibri" w:eastAsia="Calibri" w:hAnsi="Calibri" w:cs="Times New Roman"/>
                <w:sz w:val="18"/>
                <w:szCs w:val="18"/>
                <w:lang w:val="en-US"/>
              </w:rPr>
            </w:pPr>
          </w:p>
        </w:tc>
        <w:tc>
          <w:tcPr>
            <w:tcW w:w="1121" w:type="dxa"/>
            <w:tcBorders>
              <w:top w:val="single" w:sz="12" w:space="0" w:color="auto"/>
              <w:left w:val="nil"/>
              <w:bottom w:val="nil"/>
              <w:right w:val="nil"/>
            </w:tcBorders>
            <w:shd w:val="clear" w:color="auto" w:fill="auto"/>
            <w:noWrap/>
            <w:vAlign w:val="center"/>
            <w:hideMark/>
          </w:tcPr>
          <w:p w14:paraId="19BF8704" w14:textId="77777777" w:rsidR="004E2DB0" w:rsidRPr="00537128" w:rsidRDefault="004E2DB0" w:rsidP="004E2DB0">
            <w:pPr>
              <w:spacing w:after="0" w:line="240" w:lineRule="auto"/>
              <w:rPr>
                <w:rFonts w:ascii="Calibri" w:eastAsia="Calibri" w:hAnsi="Calibri" w:cs="Times New Roman"/>
                <w:sz w:val="18"/>
                <w:szCs w:val="18"/>
                <w:lang w:val="en-US"/>
              </w:rPr>
            </w:pPr>
          </w:p>
        </w:tc>
        <w:tc>
          <w:tcPr>
            <w:tcW w:w="914" w:type="dxa"/>
            <w:tcBorders>
              <w:top w:val="single" w:sz="12" w:space="0" w:color="auto"/>
              <w:left w:val="nil"/>
              <w:bottom w:val="nil"/>
              <w:right w:val="nil"/>
            </w:tcBorders>
            <w:shd w:val="clear" w:color="auto" w:fill="auto"/>
            <w:noWrap/>
            <w:vAlign w:val="center"/>
            <w:hideMark/>
          </w:tcPr>
          <w:p w14:paraId="63AB5DC5" w14:textId="77777777" w:rsidR="004E2DB0" w:rsidRPr="00537128" w:rsidRDefault="004E2DB0" w:rsidP="004E2DB0">
            <w:pPr>
              <w:spacing w:after="0" w:line="240" w:lineRule="auto"/>
              <w:jc w:val="right"/>
              <w:rPr>
                <w:rFonts w:ascii="Calibri" w:eastAsia="Calibri" w:hAnsi="Calibri" w:cs="Times New Roman"/>
                <w:sz w:val="18"/>
                <w:szCs w:val="18"/>
                <w:lang w:val="en-US"/>
              </w:rPr>
            </w:pPr>
          </w:p>
        </w:tc>
        <w:tc>
          <w:tcPr>
            <w:tcW w:w="1247" w:type="dxa"/>
            <w:gridSpan w:val="2"/>
            <w:tcBorders>
              <w:top w:val="single" w:sz="12" w:space="0" w:color="auto"/>
              <w:left w:val="nil"/>
              <w:right w:val="nil"/>
            </w:tcBorders>
            <w:shd w:val="clear" w:color="auto" w:fill="auto"/>
            <w:vAlign w:val="bottom"/>
          </w:tcPr>
          <w:p w14:paraId="40394D0C" w14:textId="77777777" w:rsidR="004E2DB0" w:rsidRPr="00537128" w:rsidRDefault="004E2DB0" w:rsidP="004E2DB0">
            <w:pPr>
              <w:spacing w:after="0" w:line="240" w:lineRule="auto"/>
              <w:jc w:val="both"/>
              <w:rPr>
                <w:rFonts w:ascii="Calibri" w:eastAsia="Calibri" w:hAnsi="Calibri" w:cs="Times New Roman"/>
                <w:sz w:val="18"/>
                <w:szCs w:val="18"/>
                <w:lang w:val="en-US"/>
              </w:rPr>
            </w:pPr>
          </w:p>
        </w:tc>
        <w:tc>
          <w:tcPr>
            <w:tcW w:w="1276" w:type="dxa"/>
            <w:gridSpan w:val="3"/>
            <w:tcBorders>
              <w:top w:val="single" w:sz="12" w:space="0" w:color="auto"/>
              <w:left w:val="nil"/>
              <w:right w:val="nil"/>
            </w:tcBorders>
            <w:shd w:val="clear" w:color="auto" w:fill="auto"/>
            <w:vAlign w:val="bottom"/>
          </w:tcPr>
          <w:p w14:paraId="714D9036" w14:textId="77777777" w:rsidR="004E2DB0" w:rsidRPr="00537128" w:rsidRDefault="004E2DB0" w:rsidP="004E2DB0">
            <w:pPr>
              <w:spacing w:after="0" w:line="240" w:lineRule="auto"/>
              <w:jc w:val="both"/>
              <w:rPr>
                <w:rFonts w:ascii="Calibri" w:eastAsia="Calibri" w:hAnsi="Calibri" w:cs="Times New Roman"/>
                <w:sz w:val="18"/>
                <w:szCs w:val="18"/>
                <w:lang w:val="en-US"/>
              </w:rPr>
            </w:pPr>
          </w:p>
        </w:tc>
        <w:tc>
          <w:tcPr>
            <w:tcW w:w="1276" w:type="dxa"/>
            <w:gridSpan w:val="3"/>
            <w:tcBorders>
              <w:top w:val="single" w:sz="12" w:space="0" w:color="auto"/>
              <w:left w:val="nil"/>
              <w:bottom w:val="nil"/>
              <w:right w:val="nil"/>
            </w:tcBorders>
            <w:shd w:val="clear" w:color="auto" w:fill="auto"/>
            <w:vAlign w:val="center"/>
          </w:tcPr>
          <w:p w14:paraId="47A25310" w14:textId="77777777" w:rsidR="004E2DB0" w:rsidRPr="00537128" w:rsidRDefault="004E2DB0" w:rsidP="004E2DB0">
            <w:pPr>
              <w:spacing w:after="0" w:line="240" w:lineRule="auto"/>
              <w:jc w:val="right"/>
              <w:rPr>
                <w:rFonts w:ascii="Calibri" w:eastAsia="Calibri" w:hAnsi="Calibri" w:cs="Times New Roman"/>
                <w:sz w:val="18"/>
                <w:szCs w:val="18"/>
                <w:lang w:val="en-US"/>
              </w:rPr>
            </w:pPr>
          </w:p>
        </w:tc>
        <w:tc>
          <w:tcPr>
            <w:tcW w:w="1276" w:type="dxa"/>
            <w:gridSpan w:val="3"/>
            <w:tcBorders>
              <w:top w:val="single" w:sz="12" w:space="0" w:color="auto"/>
              <w:left w:val="nil"/>
              <w:right w:val="nil"/>
            </w:tcBorders>
            <w:shd w:val="clear" w:color="auto" w:fill="auto"/>
            <w:vAlign w:val="bottom"/>
          </w:tcPr>
          <w:p w14:paraId="395978EF" w14:textId="77777777" w:rsidR="004E2DB0" w:rsidRPr="00537128" w:rsidRDefault="004E2DB0" w:rsidP="004E2DB0">
            <w:pPr>
              <w:spacing w:after="0" w:line="240" w:lineRule="auto"/>
              <w:jc w:val="right"/>
              <w:rPr>
                <w:rFonts w:ascii="Calibri" w:eastAsia="Calibri" w:hAnsi="Calibri" w:cs="Times New Roman"/>
                <w:sz w:val="18"/>
                <w:szCs w:val="18"/>
                <w:lang w:val="en-US"/>
              </w:rPr>
            </w:pPr>
          </w:p>
        </w:tc>
      </w:tr>
      <w:tr w:rsidR="004E2DB0" w:rsidRPr="00537128" w14:paraId="06A48039" w14:textId="77777777" w:rsidTr="005B3D2C">
        <w:trPr>
          <w:gridAfter w:val="2"/>
          <w:wAfter w:w="29" w:type="dxa"/>
          <w:trHeight w:val="58"/>
        </w:trPr>
        <w:tc>
          <w:tcPr>
            <w:tcW w:w="3918" w:type="dxa"/>
            <w:gridSpan w:val="2"/>
            <w:tcBorders>
              <w:left w:val="nil"/>
              <w:right w:val="nil"/>
            </w:tcBorders>
            <w:shd w:val="clear" w:color="auto" w:fill="auto"/>
            <w:noWrap/>
            <w:vAlign w:val="center"/>
            <w:hideMark/>
          </w:tcPr>
          <w:p w14:paraId="52855E51" w14:textId="77777777" w:rsidR="004E2DB0" w:rsidRPr="00537128" w:rsidRDefault="004E2DB0" w:rsidP="004E2DB0">
            <w:pPr>
              <w:spacing w:after="0" w:line="240" w:lineRule="auto"/>
              <w:rPr>
                <w:rFonts w:ascii="Calibri" w:eastAsia="Calibri" w:hAnsi="Calibri" w:cs="Arial"/>
                <w:color w:val="000000"/>
                <w:sz w:val="18"/>
                <w:szCs w:val="18"/>
                <w:lang w:val="en-US"/>
              </w:rPr>
            </w:pPr>
            <w:r w:rsidRPr="00537128">
              <w:rPr>
                <w:rFonts w:ascii="Calibri" w:eastAsia="Calibri" w:hAnsi="Calibri" w:cs="Arial"/>
                <w:bCs/>
                <w:color w:val="000000"/>
                <w:sz w:val="18"/>
                <w:szCs w:val="18"/>
                <w:lang w:val="en-US" w:eastAsia="hr-HR"/>
              </w:rPr>
              <w:t>Unlisted debt instruments:</w:t>
            </w:r>
          </w:p>
        </w:tc>
        <w:tc>
          <w:tcPr>
            <w:tcW w:w="1121" w:type="dxa"/>
            <w:tcBorders>
              <w:top w:val="nil"/>
              <w:left w:val="nil"/>
              <w:bottom w:val="nil"/>
              <w:right w:val="nil"/>
            </w:tcBorders>
            <w:shd w:val="clear" w:color="auto" w:fill="auto"/>
            <w:noWrap/>
            <w:vAlign w:val="bottom"/>
            <w:hideMark/>
          </w:tcPr>
          <w:p w14:paraId="61802656" w14:textId="77777777" w:rsidR="004E2DB0" w:rsidRPr="00537128" w:rsidRDefault="004E2DB0" w:rsidP="004E2DB0">
            <w:pPr>
              <w:spacing w:after="0" w:line="240" w:lineRule="auto"/>
              <w:rPr>
                <w:rFonts w:ascii="Calibri" w:eastAsia="Calibri" w:hAnsi="Calibri" w:cs="Arial"/>
                <w:color w:val="000000"/>
                <w:sz w:val="18"/>
                <w:szCs w:val="18"/>
                <w:lang w:val="en-US"/>
              </w:rPr>
            </w:pPr>
          </w:p>
        </w:tc>
        <w:tc>
          <w:tcPr>
            <w:tcW w:w="914" w:type="dxa"/>
            <w:tcBorders>
              <w:top w:val="nil"/>
              <w:left w:val="nil"/>
              <w:bottom w:val="nil"/>
              <w:right w:val="nil"/>
            </w:tcBorders>
            <w:shd w:val="clear" w:color="auto" w:fill="auto"/>
            <w:noWrap/>
            <w:vAlign w:val="bottom"/>
            <w:hideMark/>
          </w:tcPr>
          <w:p w14:paraId="0C4B9413" w14:textId="77777777" w:rsidR="004E2DB0" w:rsidRPr="00537128" w:rsidRDefault="004E2DB0" w:rsidP="004E2DB0">
            <w:pPr>
              <w:spacing w:after="0" w:line="240" w:lineRule="auto"/>
              <w:rPr>
                <w:rFonts w:ascii="Calibri" w:eastAsia="Calibri" w:hAnsi="Calibri" w:cs="Times New Roman"/>
                <w:sz w:val="18"/>
                <w:szCs w:val="18"/>
                <w:lang w:val="en-US"/>
              </w:rPr>
            </w:pPr>
          </w:p>
        </w:tc>
        <w:tc>
          <w:tcPr>
            <w:tcW w:w="1276" w:type="dxa"/>
            <w:gridSpan w:val="3"/>
            <w:tcBorders>
              <w:top w:val="nil"/>
              <w:left w:val="nil"/>
              <w:bottom w:val="nil"/>
              <w:right w:val="nil"/>
            </w:tcBorders>
            <w:shd w:val="clear" w:color="auto" w:fill="auto"/>
            <w:vAlign w:val="center"/>
          </w:tcPr>
          <w:p w14:paraId="4A7C66C8" w14:textId="77777777" w:rsidR="004E2DB0" w:rsidRPr="00537128" w:rsidRDefault="004E2DB0" w:rsidP="004E2DB0">
            <w:pPr>
              <w:spacing w:after="0" w:line="240" w:lineRule="auto"/>
              <w:rPr>
                <w:rFonts w:ascii="Calibri" w:eastAsia="Calibri" w:hAnsi="Calibri" w:cs="Times New Roman"/>
                <w:sz w:val="18"/>
                <w:szCs w:val="18"/>
                <w:lang w:val="en-US"/>
              </w:rPr>
            </w:pPr>
          </w:p>
        </w:tc>
        <w:tc>
          <w:tcPr>
            <w:tcW w:w="1247" w:type="dxa"/>
            <w:gridSpan w:val="2"/>
            <w:tcBorders>
              <w:top w:val="nil"/>
              <w:left w:val="nil"/>
              <w:bottom w:val="nil"/>
              <w:right w:val="nil"/>
            </w:tcBorders>
            <w:shd w:val="clear" w:color="auto" w:fill="auto"/>
            <w:vAlign w:val="bottom"/>
          </w:tcPr>
          <w:p w14:paraId="217FE43E" w14:textId="77777777" w:rsidR="004E2DB0" w:rsidRPr="00537128" w:rsidRDefault="004E2DB0" w:rsidP="004E2DB0">
            <w:pPr>
              <w:spacing w:after="0" w:line="240" w:lineRule="auto"/>
              <w:jc w:val="right"/>
              <w:rPr>
                <w:rFonts w:ascii="Calibri" w:eastAsia="Calibri" w:hAnsi="Calibri" w:cs="Times New Roman"/>
                <w:sz w:val="18"/>
                <w:szCs w:val="18"/>
                <w:lang w:val="en-US"/>
              </w:rPr>
            </w:pPr>
          </w:p>
        </w:tc>
        <w:tc>
          <w:tcPr>
            <w:tcW w:w="1276" w:type="dxa"/>
            <w:gridSpan w:val="3"/>
            <w:tcBorders>
              <w:top w:val="nil"/>
              <w:left w:val="nil"/>
              <w:bottom w:val="nil"/>
              <w:right w:val="nil"/>
            </w:tcBorders>
            <w:shd w:val="clear" w:color="auto" w:fill="auto"/>
            <w:vAlign w:val="center"/>
          </w:tcPr>
          <w:p w14:paraId="4263F358" w14:textId="77777777" w:rsidR="004E2DB0" w:rsidRPr="00537128" w:rsidRDefault="004E2DB0" w:rsidP="004E2DB0">
            <w:pPr>
              <w:spacing w:after="0" w:line="240" w:lineRule="auto"/>
              <w:rPr>
                <w:rFonts w:ascii="Calibri" w:eastAsia="Calibri" w:hAnsi="Calibri" w:cs="Times New Roman"/>
                <w:sz w:val="18"/>
                <w:szCs w:val="18"/>
                <w:lang w:val="en-US"/>
              </w:rPr>
            </w:pPr>
          </w:p>
        </w:tc>
        <w:tc>
          <w:tcPr>
            <w:tcW w:w="1276" w:type="dxa"/>
            <w:gridSpan w:val="3"/>
            <w:tcBorders>
              <w:top w:val="nil"/>
              <w:left w:val="nil"/>
              <w:bottom w:val="nil"/>
              <w:right w:val="nil"/>
            </w:tcBorders>
            <w:shd w:val="clear" w:color="auto" w:fill="auto"/>
            <w:vAlign w:val="bottom"/>
          </w:tcPr>
          <w:p w14:paraId="0F7B4220" w14:textId="77777777" w:rsidR="004E2DB0" w:rsidRPr="00537128" w:rsidRDefault="004E2DB0" w:rsidP="004E2DB0">
            <w:pPr>
              <w:spacing w:after="0" w:line="240" w:lineRule="auto"/>
              <w:jc w:val="right"/>
              <w:rPr>
                <w:rFonts w:ascii="Calibri" w:eastAsia="Calibri" w:hAnsi="Calibri" w:cs="Times New Roman"/>
                <w:sz w:val="18"/>
                <w:szCs w:val="18"/>
                <w:lang w:val="en-US"/>
              </w:rPr>
            </w:pPr>
          </w:p>
        </w:tc>
      </w:tr>
      <w:tr w:rsidR="004E2DB0" w:rsidRPr="00537128" w14:paraId="389E4E3C" w14:textId="77777777" w:rsidTr="005B3D2C">
        <w:trPr>
          <w:gridAfter w:val="2"/>
          <w:wAfter w:w="29" w:type="dxa"/>
          <w:trHeight w:val="175"/>
        </w:trPr>
        <w:tc>
          <w:tcPr>
            <w:tcW w:w="5039" w:type="dxa"/>
            <w:gridSpan w:val="3"/>
            <w:tcBorders>
              <w:left w:val="nil"/>
              <w:right w:val="nil"/>
            </w:tcBorders>
            <w:shd w:val="clear" w:color="auto" w:fill="auto"/>
            <w:vAlign w:val="bottom"/>
            <w:hideMark/>
          </w:tcPr>
          <w:p w14:paraId="6FD7BFD4" w14:textId="77777777" w:rsidR="004E2DB0" w:rsidRPr="00537128" w:rsidRDefault="004E2DB0" w:rsidP="004E2DB0">
            <w:pPr>
              <w:spacing w:after="0" w:line="240" w:lineRule="auto"/>
              <w:jc w:val="both"/>
              <w:rPr>
                <w:rFonts w:ascii="Calibri" w:eastAsia="Calibri" w:hAnsi="Calibri" w:cs="Arial"/>
                <w:i/>
                <w:iCs/>
                <w:color w:val="000000"/>
                <w:sz w:val="18"/>
                <w:szCs w:val="18"/>
                <w:lang w:val="en-US"/>
              </w:rPr>
            </w:pPr>
            <w:r w:rsidRPr="00537128">
              <w:rPr>
                <w:rFonts w:ascii="Calibri" w:eastAsia="Calibri" w:hAnsi="Calibri" w:cs="Arial"/>
                <w:bCs/>
                <w:i/>
                <w:color w:val="000000"/>
                <w:sz w:val="18"/>
                <w:szCs w:val="18"/>
                <w:lang w:val="en-US" w:eastAsia="hr-HR"/>
              </w:rPr>
              <w:t>Corporate bonds with a currency clause:</w:t>
            </w:r>
          </w:p>
        </w:tc>
        <w:tc>
          <w:tcPr>
            <w:tcW w:w="914" w:type="dxa"/>
            <w:tcBorders>
              <w:top w:val="nil"/>
              <w:left w:val="nil"/>
              <w:bottom w:val="nil"/>
              <w:right w:val="nil"/>
            </w:tcBorders>
            <w:shd w:val="clear" w:color="auto" w:fill="auto"/>
            <w:noWrap/>
            <w:vAlign w:val="bottom"/>
            <w:hideMark/>
          </w:tcPr>
          <w:p w14:paraId="42E71FE7" w14:textId="77777777" w:rsidR="004E2DB0" w:rsidRPr="00537128" w:rsidRDefault="004E2DB0" w:rsidP="004E2DB0">
            <w:pPr>
              <w:spacing w:after="0" w:line="240" w:lineRule="auto"/>
              <w:rPr>
                <w:rFonts w:ascii="Calibri" w:eastAsia="Calibri" w:hAnsi="Calibri" w:cs="Times New Roman"/>
                <w:sz w:val="18"/>
                <w:szCs w:val="18"/>
                <w:lang w:val="en-US"/>
              </w:rPr>
            </w:pPr>
          </w:p>
        </w:tc>
        <w:tc>
          <w:tcPr>
            <w:tcW w:w="1276" w:type="dxa"/>
            <w:gridSpan w:val="3"/>
            <w:tcBorders>
              <w:top w:val="nil"/>
              <w:left w:val="nil"/>
              <w:bottom w:val="nil"/>
              <w:right w:val="nil"/>
            </w:tcBorders>
            <w:shd w:val="clear" w:color="auto" w:fill="auto"/>
            <w:vAlign w:val="center"/>
          </w:tcPr>
          <w:p w14:paraId="37BFAC5F" w14:textId="77777777" w:rsidR="004E2DB0" w:rsidRPr="00537128" w:rsidRDefault="004E2DB0" w:rsidP="004E2DB0">
            <w:pPr>
              <w:spacing w:after="0" w:line="240" w:lineRule="auto"/>
              <w:rPr>
                <w:rFonts w:ascii="Calibri" w:eastAsia="Calibri" w:hAnsi="Calibri" w:cs="Times New Roman"/>
                <w:sz w:val="18"/>
                <w:szCs w:val="18"/>
                <w:lang w:val="en-US"/>
              </w:rPr>
            </w:pPr>
          </w:p>
        </w:tc>
        <w:tc>
          <w:tcPr>
            <w:tcW w:w="1276" w:type="dxa"/>
            <w:gridSpan w:val="4"/>
            <w:tcBorders>
              <w:top w:val="nil"/>
              <w:left w:val="nil"/>
              <w:bottom w:val="nil"/>
              <w:right w:val="nil"/>
            </w:tcBorders>
            <w:shd w:val="clear" w:color="auto" w:fill="auto"/>
            <w:vAlign w:val="center"/>
          </w:tcPr>
          <w:p w14:paraId="4F448EFA" w14:textId="77777777" w:rsidR="004E2DB0" w:rsidRPr="00537128" w:rsidRDefault="004E2DB0" w:rsidP="004E2DB0">
            <w:pPr>
              <w:spacing w:after="0" w:line="240" w:lineRule="auto"/>
              <w:jc w:val="right"/>
              <w:rPr>
                <w:rFonts w:ascii="Calibri" w:eastAsia="Calibri" w:hAnsi="Calibri" w:cs="Times New Roman"/>
                <w:sz w:val="18"/>
                <w:szCs w:val="18"/>
                <w:lang w:val="en-US"/>
              </w:rPr>
            </w:pPr>
          </w:p>
        </w:tc>
        <w:tc>
          <w:tcPr>
            <w:tcW w:w="1247" w:type="dxa"/>
            <w:tcBorders>
              <w:top w:val="nil"/>
              <w:left w:val="nil"/>
              <w:bottom w:val="nil"/>
              <w:right w:val="nil"/>
            </w:tcBorders>
            <w:shd w:val="clear" w:color="auto" w:fill="auto"/>
            <w:vAlign w:val="bottom"/>
          </w:tcPr>
          <w:p w14:paraId="142DFE31" w14:textId="77777777" w:rsidR="004E2DB0" w:rsidRPr="00537128" w:rsidRDefault="004E2DB0" w:rsidP="004E2DB0">
            <w:pPr>
              <w:spacing w:after="0" w:line="240" w:lineRule="auto"/>
              <w:jc w:val="right"/>
              <w:rPr>
                <w:rFonts w:ascii="Calibri" w:eastAsia="Calibri" w:hAnsi="Calibri" w:cs="Times New Roman"/>
                <w:sz w:val="18"/>
                <w:szCs w:val="18"/>
                <w:lang w:val="en-US"/>
              </w:rPr>
            </w:pPr>
          </w:p>
        </w:tc>
        <w:tc>
          <w:tcPr>
            <w:tcW w:w="1276" w:type="dxa"/>
            <w:gridSpan w:val="3"/>
            <w:tcBorders>
              <w:top w:val="nil"/>
              <w:left w:val="nil"/>
              <w:bottom w:val="nil"/>
              <w:right w:val="nil"/>
            </w:tcBorders>
            <w:shd w:val="clear" w:color="auto" w:fill="auto"/>
            <w:vAlign w:val="center"/>
          </w:tcPr>
          <w:p w14:paraId="437D4A75" w14:textId="77777777" w:rsidR="004E2DB0" w:rsidRPr="00537128" w:rsidRDefault="004E2DB0" w:rsidP="004E2DB0">
            <w:pPr>
              <w:spacing w:after="0" w:line="240" w:lineRule="auto"/>
              <w:rPr>
                <w:rFonts w:ascii="Calibri" w:eastAsia="Calibri" w:hAnsi="Calibri" w:cs="Times New Roman"/>
                <w:sz w:val="18"/>
                <w:szCs w:val="18"/>
                <w:lang w:val="en-US"/>
              </w:rPr>
            </w:pPr>
          </w:p>
        </w:tc>
      </w:tr>
      <w:tr w:rsidR="00E03287" w:rsidRPr="00537128" w14:paraId="13176267" w14:textId="77777777" w:rsidTr="005B3D2C">
        <w:trPr>
          <w:gridAfter w:val="2"/>
          <w:wAfter w:w="29" w:type="dxa"/>
          <w:trHeight w:val="175"/>
        </w:trPr>
        <w:tc>
          <w:tcPr>
            <w:tcW w:w="2798" w:type="dxa"/>
            <w:tcBorders>
              <w:top w:val="nil"/>
              <w:left w:val="nil"/>
              <w:bottom w:val="nil"/>
              <w:right w:val="nil"/>
            </w:tcBorders>
            <w:shd w:val="clear" w:color="auto" w:fill="auto"/>
            <w:noWrap/>
            <w:vAlign w:val="center"/>
            <w:hideMark/>
          </w:tcPr>
          <w:p w14:paraId="2C2C2492" w14:textId="77777777" w:rsidR="00E03287" w:rsidRPr="00537128" w:rsidRDefault="00E03287" w:rsidP="005B3D2C">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LNGU-O-31AE</w:t>
            </w:r>
          </w:p>
        </w:tc>
        <w:tc>
          <w:tcPr>
            <w:tcW w:w="1120" w:type="dxa"/>
            <w:tcBorders>
              <w:top w:val="nil"/>
              <w:left w:val="nil"/>
              <w:bottom w:val="nil"/>
              <w:right w:val="nil"/>
            </w:tcBorders>
            <w:shd w:val="clear" w:color="auto" w:fill="auto"/>
            <w:noWrap/>
            <w:vAlign w:val="center"/>
            <w:hideMark/>
          </w:tcPr>
          <w:p w14:paraId="3483C789" w14:textId="77777777" w:rsidR="00E03287" w:rsidRPr="00537128" w:rsidRDefault="00E03287" w:rsidP="005B3D2C">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24.7.2015.</w:t>
            </w:r>
          </w:p>
        </w:tc>
        <w:tc>
          <w:tcPr>
            <w:tcW w:w="1121" w:type="dxa"/>
            <w:tcBorders>
              <w:top w:val="nil"/>
              <w:left w:val="nil"/>
              <w:bottom w:val="nil"/>
              <w:right w:val="nil"/>
            </w:tcBorders>
            <w:shd w:val="clear" w:color="auto" w:fill="auto"/>
            <w:noWrap/>
            <w:vAlign w:val="center"/>
            <w:hideMark/>
          </w:tcPr>
          <w:p w14:paraId="3E8AAC16" w14:textId="77777777" w:rsidR="00E03287" w:rsidRPr="00537128" w:rsidRDefault="00E03287" w:rsidP="005B3D2C">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15.10.2031.</w:t>
            </w:r>
          </w:p>
        </w:tc>
        <w:tc>
          <w:tcPr>
            <w:tcW w:w="914" w:type="dxa"/>
            <w:tcBorders>
              <w:top w:val="nil"/>
              <w:left w:val="nil"/>
              <w:bottom w:val="nil"/>
              <w:right w:val="nil"/>
            </w:tcBorders>
            <w:shd w:val="clear" w:color="auto" w:fill="auto"/>
            <w:noWrap/>
            <w:vAlign w:val="center"/>
            <w:hideMark/>
          </w:tcPr>
          <w:p w14:paraId="68F88F3F" w14:textId="77777777" w:rsidR="00E03287" w:rsidRPr="00537128" w:rsidRDefault="00E03287" w:rsidP="005B3D2C">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4.5</w:t>
            </w:r>
          </w:p>
        </w:tc>
        <w:tc>
          <w:tcPr>
            <w:tcW w:w="1247" w:type="dxa"/>
            <w:gridSpan w:val="2"/>
            <w:tcBorders>
              <w:top w:val="nil"/>
              <w:left w:val="nil"/>
              <w:bottom w:val="nil"/>
              <w:right w:val="nil"/>
            </w:tcBorders>
            <w:vAlign w:val="bottom"/>
          </w:tcPr>
          <w:p w14:paraId="229C5A20" w14:textId="684D8ED9" w:rsidR="00E03287" w:rsidRPr="00537128" w:rsidRDefault="00E03287" w:rsidP="005B3D2C">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506</w:t>
            </w:r>
          </w:p>
        </w:tc>
        <w:tc>
          <w:tcPr>
            <w:tcW w:w="1276" w:type="dxa"/>
            <w:gridSpan w:val="3"/>
            <w:tcBorders>
              <w:top w:val="nil"/>
              <w:left w:val="nil"/>
              <w:bottom w:val="nil"/>
              <w:right w:val="nil"/>
            </w:tcBorders>
            <w:shd w:val="clear" w:color="auto" w:fill="auto"/>
            <w:vAlign w:val="bottom"/>
          </w:tcPr>
          <w:p w14:paraId="633A493A" w14:textId="70201181" w:rsidR="00E03287" w:rsidRPr="00537128" w:rsidRDefault="00E03287" w:rsidP="005B3D2C">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532</w:t>
            </w:r>
          </w:p>
        </w:tc>
        <w:tc>
          <w:tcPr>
            <w:tcW w:w="1276" w:type="dxa"/>
            <w:gridSpan w:val="3"/>
            <w:tcBorders>
              <w:top w:val="nil"/>
              <w:left w:val="nil"/>
              <w:bottom w:val="nil"/>
              <w:right w:val="nil"/>
            </w:tcBorders>
            <w:vAlign w:val="bottom"/>
          </w:tcPr>
          <w:p w14:paraId="4E181A79" w14:textId="739F7348" w:rsidR="00E03287" w:rsidRPr="00537128" w:rsidRDefault="00E03287" w:rsidP="005B3D2C">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506</w:t>
            </w:r>
          </w:p>
        </w:tc>
        <w:tc>
          <w:tcPr>
            <w:tcW w:w="1276" w:type="dxa"/>
            <w:gridSpan w:val="3"/>
            <w:tcBorders>
              <w:top w:val="nil"/>
              <w:left w:val="nil"/>
              <w:bottom w:val="nil"/>
              <w:right w:val="nil"/>
            </w:tcBorders>
            <w:shd w:val="clear" w:color="auto" w:fill="auto"/>
            <w:vAlign w:val="bottom"/>
          </w:tcPr>
          <w:p w14:paraId="0DBC7D16" w14:textId="271590EB" w:rsidR="00E03287" w:rsidRPr="00537128" w:rsidRDefault="00E03287" w:rsidP="005B3D2C">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5</w:t>
            </w:r>
            <w:r>
              <w:rPr>
                <w:rFonts w:ascii="Calibri" w:eastAsia="Calibri" w:hAnsi="Calibri" w:cs="Arial"/>
                <w:color w:val="000000"/>
                <w:sz w:val="18"/>
                <w:szCs w:val="18"/>
                <w:lang w:val="en-US"/>
              </w:rPr>
              <w:t>32</w:t>
            </w:r>
          </w:p>
        </w:tc>
      </w:tr>
      <w:tr w:rsidR="005B3D2C" w:rsidRPr="00537128" w14:paraId="3897BF25" w14:textId="47167D21" w:rsidTr="005B3D2C">
        <w:trPr>
          <w:gridAfter w:val="2"/>
          <w:wAfter w:w="29" w:type="dxa"/>
          <w:trHeight w:val="64"/>
        </w:trPr>
        <w:tc>
          <w:tcPr>
            <w:tcW w:w="5953" w:type="dxa"/>
            <w:gridSpan w:val="4"/>
            <w:tcBorders>
              <w:top w:val="nil"/>
              <w:left w:val="nil"/>
              <w:bottom w:val="nil"/>
              <w:right w:val="nil"/>
            </w:tcBorders>
            <w:shd w:val="clear" w:color="auto" w:fill="auto"/>
            <w:noWrap/>
            <w:vAlign w:val="bottom"/>
          </w:tcPr>
          <w:p w14:paraId="0326BFBF" w14:textId="77777777" w:rsidR="005B3D2C" w:rsidRPr="00537128" w:rsidRDefault="005B3D2C" w:rsidP="005B3D2C">
            <w:pPr>
              <w:spacing w:after="0" w:line="240" w:lineRule="auto"/>
              <w:rPr>
                <w:rFonts w:ascii="Calibri" w:eastAsia="Calibri" w:hAnsi="Calibri" w:cs="Arial"/>
                <w:i/>
                <w:sz w:val="18"/>
                <w:szCs w:val="18"/>
                <w:lang w:val="en-US"/>
              </w:rPr>
            </w:pPr>
            <w:r w:rsidRPr="00537128">
              <w:rPr>
                <w:rFonts w:ascii="Calibri" w:eastAsia="Calibri" w:hAnsi="Calibri" w:cs="Arial"/>
                <w:i/>
                <w:color w:val="000000"/>
                <w:sz w:val="18"/>
                <w:szCs w:val="18"/>
                <w:lang w:val="en-US"/>
              </w:rPr>
              <w:t>Bonds of foreign corporate in foreign currency</w:t>
            </w:r>
          </w:p>
        </w:tc>
        <w:tc>
          <w:tcPr>
            <w:tcW w:w="1276" w:type="dxa"/>
            <w:gridSpan w:val="3"/>
            <w:tcBorders>
              <w:top w:val="nil"/>
              <w:left w:val="nil"/>
              <w:bottom w:val="nil"/>
              <w:right w:val="nil"/>
            </w:tcBorders>
            <w:shd w:val="clear" w:color="auto" w:fill="auto"/>
            <w:vAlign w:val="bottom"/>
          </w:tcPr>
          <w:p w14:paraId="0096A9F4" w14:textId="2D352BEE" w:rsidR="005B3D2C" w:rsidRPr="00537128" w:rsidRDefault="005B3D2C" w:rsidP="005B3D2C">
            <w:pPr>
              <w:spacing w:after="0" w:line="240" w:lineRule="auto"/>
              <w:rPr>
                <w:rFonts w:ascii="Calibri" w:eastAsia="Calibri" w:hAnsi="Calibri" w:cs="Arial"/>
                <w:color w:val="000000"/>
                <w:sz w:val="18"/>
                <w:szCs w:val="18"/>
                <w:lang w:val="en-US"/>
              </w:rPr>
            </w:pPr>
          </w:p>
        </w:tc>
        <w:tc>
          <w:tcPr>
            <w:tcW w:w="1276" w:type="dxa"/>
            <w:gridSpan w:val="4"/>
            <w:tcBorders>
              <w:top w:val="nil"/>
              <w:left w:val="nil"/>
              <w:bottom w:val="nil"/>
              <w:right w:val="nil"/>
            </w:tcBorders>
            <w:shd w:val="clear" w:color="auto" w:fill="auto"/>
            <w:vAlign w:val="bottom"/>
          </w:tcPr>
          <w:p w14:paraId="2F02A586" w14:textId="77777777" w:rsidR="005B3D2C" w:rsidRPr="00537128" w:rsidRDefault="005B3D2C" w:rsidP="005B3D2C">
            <w:pPr>
              <w:spacing w:after="0" w:line="240" w:lineRule="auto"/>
              <w:rPr>
                <w:rFonts w:ascii="Calibri" w:eastAsia="Calibri" w:hAnsi="Calibri" w:cs="Arial"/>
                <w:color w:val="000000"/>
                <w:sz w:val="18"/>
                <w:szCs w:val="18"/>
                <w:lang w:val="en-US"/>
              </w:rPr>
            </w:pPr>
          </w:p>
        </w:tc>
        <w:tc>
          <w:tcPr>
            <w:tcW w:w="1276" w:type="dxa"/>
            <w:gridSpan w:val="3"/>
            <w:tcBorders>
              <w:top w:val="nil"/>
              <w:left w:val="nil"/>
              <w:bottom w:val="nil"/>
              <w:right w:val="nil"/>
            </w:tcBorders>
            <w:shd w:val="clear" w:color="auto" w:fill="auto"/>
            <w:vAlign w:val="bottom"/>
          </w:tcPr>
          <w:p w14:paraId="1394D2C7" w14:textId="77777777" w:rsidR="005B3D2C" w:rsidRPr="00537128" w:rsidRDefault="005B3D2C" w:rsidP="005B3D2C">
            <w:pPr>
              <w:spacing w:after="0" w:line="240" w:lineRule="auto"/>
              <w:rPr>
                <w:rFonts w:ascii="Calibri" w:eastAsia="Calibri" w:hAnsi="Calibri" w:cs="Arial"/>
                <w:color w:val="000000"/>
                <w:sz w:val="18"/>
                <w:szCs w:val="18"/>
                <w:lang w:val="en-US"/>
              </w:rPr>
            </w:pPr>
          </w:p>
        </w:tc>
        <w:tc>
          <w:tcPr>
            <w:tcW w:w="1247" w:type="dxa"/>
            <w:tcBorders>
              <w:top w:val="nil"/>
              <w:left w:val="nil"/>
              <w:bottom w:val="nil"/>
              <w:right w:val="nil"/>
            </w:tcBorders>
            <w:vAlign w:val="bottom"/>
          </w:tcPr>
          <w:p w14:paraId="4F66DF77" w14:textId="77777777" w:rsidR="005B3D2C" w:rsidRPr="00537128" w:rsidRDefault="005B3D2C" w:rsidP="005B3D2C">
            <w:pPr>
              <w:spacing w:after="0" w:line="240" w:lineRule="auto"/>
              <w:rPr>
                <w:rFonts w:ascii="Calibri" w:eastAsia="Calibri" w:hAnsi="Calibri" w:cs="Arial"/>
                <w:color w:val="000000"/>
                <w:sz w:val="18"/>
                <w:szCs w:val="18"/>
                <w:lang w:val="en-US"/>
              </w:rPr>
            </w:pPr>
          </w:p>
        </w:tc>
      </w:tr>
      <w:tr w:rsidR="00E03287" w:rsidRPr="00537128" w14:paraId="3D556587" w14:textId="77777777" w:rsidTr="005B3D2C">
        <w:trPr>
          <w:gridAfter w:val="2"/>
          <w:wAfter w:w="29" w:type="dxa"/>
          <w:trHeight w:val="64"/>
        </w:trPr>
        <w:tc>
          <w:tcPr>
            <w:tcW w:w="2798" w:type="dxa"/>
            <w:tcBorders>
              <w:top w:val="nil"/>
              <w:left w:val="nil"/>
              <w:bottom w:val="nil"/>
              <w:right w:val="nil"/>
            </w:tcBorders>
            <w:shd w:val="clear" w:color="auto" w:fill="auto"/>
            <w:noWrap/>
            <w:vAlign w:val="center"/>
          </w:tcPr>
          <w:p w14:paraId="308CC79B" w14:textId="77777777" w:rsidR="00E03287" w:rsidRPr="00537128" w:rsidRDefault="00E03287" w:rsidP="00E92F08">
            <w:pPr>
              <w:spacing w:after="0" w:line="240" w:lineRule="auto"/>
              <w:jc w:val="right"/>
              <w:rPr>
                <w:rFonts w:ascii="Calibri" w:eastAsia="Calibri" w:hAnsi="Calibri" w:cs="Arial"/>
                <w:color w:val="000000"/>
                <w:sz w:val="18"/>
                <w:szCs w:val="18"/>
                <w:lang w:val="en-US"/>
              </w:rPr>
            </w:pPr>
            <w:proofErr w:type="spellStart"/>
            <w:r w:rsidRPr="00537128">
              <w:rPr>
                <w:rFonts w:ascii="Calibri" w:eastAsia="Calibri" w:hAnsi="Calibri" w:cs="Arial"/>
                <w:color w:val="000000"/>
                <w:sz w:val="18"/>
                <w:szCs w:val="18"/>
                <w:lang w:val="en-US"/>
              </w:rPr>
              <w:t>Fortenova</w:t>
            </w:r>
            <w:proofErr w:type="spellEnd"/>
            <w:r w:rsidRPr="00537128">
              <w:rPr>
                <w:rFonts w:ascii="Calibri" w:eastAsia="Calibri" w:hAnsi="Calibri" w:cs="Arial"/>
                <w:color w:val="000000"/>
                <w:sz w:val="18"/>
                <w:szCs w:val="18"/>
                <w:lang w:val="en-US"/>
              </w:rPr>
              <w:t xml:space="preserve"> Group </w:t>
            </w:r>
            <w:proofErr w:type="spellStart"/>
            <w:r w:rsidRPr="00537128">
              <w:rPr>
                <w:rFonts w:ascii="Calibri" w:eastAsia="Calibri" w:hAnsi="Calibri" w:cs="Arial"/>
                <w:color w:val="000000"/>
                <w:sz w:val="18"/>
                <w:szCs w:val="18"/>
                <w:lang w:val="en-US"/>
              </w:rPr>
              <w:t>TopCo</w:t>
            </w:r>
            <w:proofErr w:type="spellEnd"/>
            <w:r w:rsidRPr="00537128">
              <w:rPr>
                <w:rFonts w:ascii="Calibri" w:eastAsia="Calibri" w:hAnsi="Calibri" w:cs="Arial"/>
                <w:color w:val="000000"/>
                <w:sz w:val="18"/>
                <w:szCs w:val="18"/>
                <w:lang w:val="en-US"/>
              </w:rPr>
              <w:t xml:space="preserve"> B.V.</w:t>
            </w:r>
          </w:p>
        </w:tc>
        <w:tc>
          <w:tcPr>
            <w:tcW w:w="1120" w:type="dxa"/>
            <w:tcBorders>
              <w:top w:val="nil"/>
              <w:left w:val="nil"/>
              <w:bottom w:val="nil"/>
              <w:right w:val="nil"/>
            </w:tcBorders>
            <w:shd w:val="clear" w:color="auto" w:fill="auto"/>
            <w:noWrap/>
            <w:vAlign w:val="center"/>
          </w:tcPr>
          <w:p w14:paraId="23D264FE" w14:textId="77777777" w:rsidR="00E03287" w:rsidRPr="00537128" w:rsidRDefault="00E03287" w:rsidP="00E92F08">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1.4.2019.</w:t>
            </w:r>
          </w:p>
        </w:tc>
        <w:tc>
          <w:tcPr>
            <w:tcW w:w="1121" w:type="dxa"/>
            <w:tcBorders>
              <w:top w:val="nil"/>
              <w:left w:val="nil"/>
              <w:bottom w:val="nil"/>
              <w:right w:val="nil"/>
            </w:tcBorders>
            <w:shd w:val="clear" w:color="auto" w:fill="auto"/>
            <w:noWrap/>
            <w:vAlign w:val="center"/>
          </w:tcPr>
          <w:p w14:paraId="59793C63" w14:textId="77777777" w:rsidR="00E03287" w:rsidRPr="00537128" w:rsidRDefault="00E03287" w:rsidP="00E92F08">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1.4.2029.</w:t>
            </w:r>
          </w:p>
        </w:tc>
        <w:tc>
          <w:tcPr>
            <w:tcW w:w="914" w:type="dxa"/>
            <w:tcBorders>
              <w:top w:val="nil"/>
              <w:left w:val="nil"/>
              <w:bottom w:val="nil"/>
              <w:right w:val="nil"/>
            </w:tcBorders>
            <w:shd w:val="clear" w:color="auto" w:fill="auto"/>
            <w:noWrap/>
            <w:vAlign w:val="center"/>
          </w:tcPr>
          <w:p w14:paraId="1B0E932F" w14:textId="77777777" w:rsidR="00E03287" w:rsidRPr="00537128" w:rsidRDefault="00E03287" w:rsidP="00E92F08">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2.5</w:t>
            </w:r>
          </w:p>
        </w:tc>
        <w:tc>
          <w:tcPr>
            <w:tcW w:w="1247" w:type="dxa"/>
            <w:gridSpan w:val="2"/>
            <w:tcBorders>
              <w:top w:val="nil"/>
              <w:left w:val="nil"/>
              <w:bottom w:val="nil"/>
              <w:right w:val="nil"/>
            </w:tcBorders>
            <w:vAlign w:val="bottom"/>
          </w:tcPr>
          <w:p w14:paraId="19313729" w14:textId="7249BD15" w:rsidR="00E03287" w:rsidRPr="00537128" w:rsidRDefault="00E03287" w:rsidP="00E92F08">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1,408</w:t>
            </w:r>
          </w:p>
        </w:tc>
        <w:tc>
          <w:tcPr>
            <w:tcW w:w="1276" w:type="dxa"/>
            <w:gridSpan w:val="3"/>
            <w:tcBorders>
              <w:top w:val="nil"/>
              <w:left w:val="nil"/>
              <w:bottom w:val="nil"/>
              <w:right w:val="nil"/>
            </w:tcBorders>
            <w:shd w:val="clear" w:color="auto" w:fill="auto"/>
            <w:vAlign w:val="bottom"/>
          </w:tcPr>
          <w:p w14:paraId="101DE582" w14:textId="2263CEC2" w:rsidR="00E03287" w:rsidRPr="00537128" w:rsidRDefault="00E03287" w:rsidP="00E92F08">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1,3</w:t>
            </w:r>
            <w:r>
              <w:rPr>
                <w:rFonts w:ascii="Calibri" w:eastAsia="Calibri" w:hAnsi="Calibri" w:cs="Arial"/>
                <w:color w:val="000000"/>
                <w:sz w:val="18"/>
                <w:szCs w:val="18"/>
                <w:lang w:val="en-US"/>
              </w:rPr>
              <w:t>9</w:t>
            </w:r>
            <w:r w:rsidRPr="00537128">
              <w:rPr>
                <w:rFonts w:ascii="Calibri" w:eastAsia="Calibri" w:hAnsi="Calibri" w:cs="Arial"/>
                <w:color w:val="000000"/>
                <w:sz w:val="18"/>
                <w:szCs w:val="18"/>
                <w:lang w:val="en-US"/>
              </w:rPr>
              <w:t>7</w:t>
            </w:r>
          </w:p>
        </w:tc>
        <w:tc>
          <w:tcPr>
            <w:tcW w:w="1276" w:type="dxa"/>
            <w:gridSpan w:val="3"/>
            <w:tcBorders>
              <w:top w:val="nil"/>
              <w:left w:val="nil"/>
              <w:bottom w:val="nil"/>
              <w:right w:val="nil"/>
            </w:tcBorders>
            <w:vAlign w:val="bottom"/>
          </w:tcPr>
          <w:p w14:paraId="65FA55E2" w14:textId="6DCBC58A" w:rsidR="00E03287" w:rsidRPr="00537128" w:rsidRDefault="00E03287" w:rsidP="00E92F08">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1,408</w:t>
            </w:r>
          </w:p>
        </w:tc>
        <w:tc>
          <w:tcPr>
            <w:tcW w:w="1276" w:type="dxa"/>
            <w:gridSpan w:val="3"/>
            <w:tcBorders>
              <w:top w:val="nil"/>
              <w:left w:val="nil"/>
              <w:bottom w:val="nil"/>
              <w:right w:val="nil"/>
            </w:tcBorders>
            <w:shd w:val="clear" w:color="auto" w:fill="auto"/>
            <w:vAlign w:val="bottom"/>
          </w:tcPr>
          <w:p w14:paraId="4FBDBF01" w14:textId="255B53D0" w:rsidR="00E03287" w:rsidRPr="00537128" w:rsidRDefault="00E03287" w:rsidP="00E92F08">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1,3</w:t>
            </w:r>
            <w:r>
              <w:rPr>
                <w:rFonts w:ascii="Calibri" w:eastAsia="Calibri" w:hAnsi="Calibri" w:cs="Arial"/>
                <w:color w:val="000000"/>
                <w:sz w:val="18"/>
                <w:szCs w:val="18"/>
                <w:lang w:val="en-US"/>
              </w:rPr>
              <w:t>9</w:t>
            </w:r>
            <w:r w:rsidRPr="00537128">
              <w:rPr>
                <w:rFonts w:ascii="Calibri" w:eastAsia="Calibri" w:hAnsi="Calibri" w:cs="Arial"/>
                <w:color w:val="000000"/>
                <w:sz w:val="18"/>
                <w:szCs w:val="18"/>
                <w:lang w:val="en-US"/>
              </w:rPr>
              <w:t>7</w:t>
            </w:r>
          </w:p>
        </w:tc>
      </w:tr>
      <w:tr w:rsidR="00E03287" w:rsidRPr="00537128" w14:paraId="699347AC" w14:textId="77777777" w:rsidTr="005B3D2C">
        <w:trPr>
          <w:gridAfter w:val="2"/>
          <w:wAfter w:w="29" w:type="dxa"/>
          <w:trHeight w:val="175"/>
        </w:trPr>
        <w:tc>
          <w:tcPr>
            <w:tcW w:w="2798" w:type="dxa"/>
            <w:tcBorders>
              <w:left w:val="nil"/>
              <w:bottom w:val="single" w:sz="4" w:space="0" w:color="auto"/>
              <w:right w:val="nil"/>
            </w:tcBorders>
            <w:shd w:val="clear" w:color="auto" w:fill="auto"/>
            <w:noWrap/>
            <w:vAlign w:val="bottom"/>
            <w:hideMark/>
          </w:tcPr>
          <w:p w14:paraId="1024AF8E" w14:textId="77777777" w:rsidR="00E03287" w:rsidRPr="00537128" w:rsidRDefault="00E03287" w:rsidP="00E03287">
            <w:pPr>
              <w:spacing w:after="0" w:line="240" w:lineRule="auto"/>
              <w:rPr>
                <w:rFonts w:ascii="Calibri" w:eastAsia="Calibri" w:hAnsi="Calibri" w:cs="Arial"/>
                <w:color w:val="000000"/>
                <w:sz w:val="18"/>
                <w:szCs w:val="18"/>
                <w:lang w:val="en-US"/>
              </w:rPr>
            </w:pPr>
            <w:r w:rsidRPr="00537128">
              <w:rPr>
                <w:rFonts w:ascii="Calibri" w:eastAsia="Calibri" w:hAnsi="Calibri" w:cs="Arial"/>
                <w:bCs/>
                <w:color w:val="000000"/>
                <w:sz w:val="18"/>
                <w:szCs w:val="18"/>
                <w:lang w:val="en-US" w:eastAsia="hr-HR"/>
              </w:rPr>
              <w:t>Accrued interest</w:t>
            </w:r>
          </w:p>
        </w:tc>
        <w:tc>
          <w:tcPr>
            <w:tcW w:w="1120" w:type="dxa"/>
            <w:tcBorders>
              <w:top w:val="nil"/>
              <w:left w:val="nil"/>
              <w:bottom w:val="single" w:sz="4" w:space="0" w:color="auto"/>
              <w:right w:val="nil"/>
            </w:tcBorders>
            <w:shd w:val="clear" w:color="auto" w:fill="auto"/>
            <w:noWrap/>
            <w:vAlign w:val="bottom"/>
            <w:hideMark/>
          </w:tcPr>
          <w:p w14:paraId="6A6FA74F" w14:textId="77777777" w:rsidR="00E03287" w:rsidRPr="00537128" w:rsidRDefault="00E03287" w:rsidP="00E03287">
            <w:pPr>
              <w:spacing w:after="0" w:line="240" w:lineRule="auto"/>
              <w:rPr>
                <w:rFonts w:ascii="Calibri" w:eastAsia="Calibri" w:hAnsi="Calibri" w:cs="Arial"/>
                <w:color w:val="000000"/>
                <w:sz w:val="18"/>
                <w:szCs w:val="18"/>
                <w:lang w:val="en-US"/>
              </w:rPr>
            </w:pPr>
          </w:p>
        </w:tc>
        <w:tc>
          <w:tcPr>
            <w:tcW w:w="1121" w:type="dxa"/>
            <w:tcBorders>
              <w:top w:val="nil"/>
              <w:left w:val="nil"/>
              <w:bottom w:val="single" w:sz="4" w:space="0" w:color="auto"/>
              <w:right w:val="nil"/>
            </w:tcBorders>
            <w:shd w:val="clear" w:color="auto" w:fill="auto"/>
            <w:noWrap/>
            <w:vAlign w:val="bottom"/>
            <w:hideMark/>
          </w:tcPr>
          <w:p w14:paraId="587281E6" w14:textId="77777777" w:rsidR="00E03287" w:rsidRPr="00537128" w:rsidRDefault="00E03287" w:rsidP="00E03287">
            <w:pPr>
              <w:spacing w:after="0" w:line="240" w:lineRule="auto"/>
              <w:rPr>
                <w:rFonts w:ascii="Calibri" w:eastAsia="Calibri" w:hAnsi="Calibri" w:cs="Times New Roman"/>
                <w:sz w:val="18"/>
                <w:szCs w:val="18"/>
                <w:lang w:val="en-US"/>
              </w:rPr>
            </w:pPr>
          </w:p>
        </w:tc>
        <w:tc>
          <w:tcPr>
            <w:tcW w:w="914" w:type="dxa"/>
            <w:tcBorders>
              <w:top w:val="nil"/>
              <w:left w:val="nil"/>
              <w:bottom w:val="single" w:sz="4" w:space="0" w:color="auto"/>
              <w:right w:val="nil"/>
            </w:tcBorders>
            <w:shd w:val="clear" w:color="auto" w:fill="auto"/>
            <w:noWrap/>
            <w:vAlign w:val="bottom"/>
            <w:hideMark/>
          </w:tcPr>
          <w:p w14:paraId="3BEE4C97" w14:textId="77777777" w:rsidR="00E03287" w:rsidRPr="00537128" w:rsidRDefault="00E03287" w:rsidP="00E03287">
            <w:pPr>
              <w:spacing w:after="0" w:line="240" w:lineRule="auto"/>
              <w:rPr>
                <w:rFonts w:ascii="Calibri" w:eastAsia="Calibri" w:hAnsi="Calibri" w:cs="Times New Roman"/>
                <w:sz w:val="18"/>
                <w:szCs w:val="18"/>
                <w:lang w:val="en-US"/>
              </w:rPr>
            </w:pPr>
          </w:p>
        </w:tc>
        <w:tc>
          <w:tcPr>
            <w:tcW w:w="1247" w:type="dxa"/>
            <w:gridSpan w:val="2"/>
            <w:tcBorders>
              <w:top w:val="nil"/>
              <w:left w:val="nil"/>
              <w:bottom w:val="single" w:sz="4" w:space="0" w:color="auto"/>
              <w:right w:val="nil"/>
            </w:tcBorders>
            <w:vAlign w:val="bottom"/>
          </w:tcPr>
          <w:p w14:paraId="3FFD163F" w14:textId="699B812C" w:rsidR="00E03287" w:rsidRPr="00537128" w:rsidRDefault="00E03287" w:rsidP="00E03287">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237</w:t>
            </w:r>
          </w:p>
        </w:tc>
        <w:tc>
          <w:tcPr>
            <w:tcW w:w="1276" w:type="dxa"/>
            <w:gridSpan w:val="3"/>
            <w:tcBorders>
              <w:top w:val="nil"/>
              <w:left w:val="nil"/>
              <w:bottom w:val="single" w:sz="4" w:space="0" w:color="auto"/>
              <w:right w:val="nil"/>
            </w:tcBorders>
            <w:shd w:val="clear" w:color="auto" w:fill="auto"/>
            <w:vAlign w:val="bottom"/>
          </w:tcPr>
          <w:p w14:paraId="6B4B3D1C" w14:textId="73FB506D" w:rsidR="00E03287" w:rsidRPr="00537128" w:rsidRDefault="00E03287" w:rsidP="00E03287">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247</w:t>
            </w:r>
          </w:p>
        </w:tc>
        <w:tc>
          <w:tcPr>
            <w:tcW w:w="1276" w:type="dxa"/>
            <w:gridSpan w:val="3"/>
            <w:tcBorders>
              <w:top w:val="nil"/>
              <w:left w:val="nil"/>
              <w:bottom w:val="single" w:sz="4" w:space="0" w:color="auto"/>
              <w:right w:val="nil"/>
            </w:tcBorders>
            <w:vAlign w:val="bottom"/>
          </w:tcPr>
          <w:p w14:paraId="40744D4A" w14:textId="3D662962" w:rsidR="00E03287" w:rsidRPr="00537128" w:rsidRDefault="00E03287" w:rsidP="00E03287">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237</w:t>
            </w:r>
          </w:p>
        </w:tc>
        <w:tc>
          <w:tcPr>
            <w:tcW w:w="1276" w:type="dxa"/>
            <w:gridSpan w:val="3"/>
            <w:tcBorders>
              <w:top w:val="nil"/>
              <w:left w:val="nil"/>
              <w:bottom w:val="single" w:sz="4" w:space="0" w:color="auto"/>
              <w:right w:val="nil"/>
            </w:tcBorders>
            <w:shd w:val="clear" w:color="auto" w:fill="auto"/>
            <w:vAlign w:val="bottom"/>
          </w:tcPr>
          <w:p w14:paraId="48C5DBEF" w14:textId="037E06F2" w:rsidR="00E03287" w:rsidRPr="00537128" w:rsidRDefault="00E03287" w:rsidP="00E03287">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247</w:t>
            </w:r>
          </w:p>
        </w:tc>
      </w:tr>
      <w:tr w:rsidR="00E03287" w:rsidRPr="00537128" w14:paraId="6A9DA974" w14:textId="77777777" w:rsidTr="005B3D2C">
        <w:trPr>
          <w:gridAfter w:val="2"/>
          <w:wAfter w:w="29" w:type="dxa"/>
          <w:trHeight w:val="187"/>
        </w:trPr>
        <w:tc>
          <w:tcPr>
            <w:tcW w:w="2798" w:type="dxa"/>
            <w:tcBorders>
              <w:top w:val="single" w:sz="4" w:space="0" w:color="auto"/>
              <w:left w:val="nil"/>
              <w:bottom w:val="single" w:sz="12" w:space="0" w:color="auto"/>
              <w:right w:val="nil"/>
            </w:tcBorders>
            <w:shd w:val="clear" w:color="auto" w:fill="auto"/>
            <w:noWrap/>
            <w:vAlign w:val="center"/>
            <w:hideMark/>
          </w:tcPr>
          <w:p w14:paraId="5231883F" w14:textId="77777777" w:rsidR="00E03287" w:rsidRPr="00537128" w:rsidRDefault="00E03287" w:rsidP="00E03287">
            <w:pPr>
              <w:spacing w:after="0" w:line="240" w:lineRule="auto"/>
              <w:jc w:val="both"/>
              <w:rPr>
                <w:rFonts w:ascii="Calibri" w:eastAsia="Calibri" w:hAnsi="Calibri" w:cs="Arial"/>
                <w:b/>
                <w:bCs/>
                <w:color w:val="000000"/>
                <w:sz w:val="18"/>
                <w:szCs w:val="18"/>
                <w:lang w:val="en-US"/>
              </w:rPr>
            </w:pPr>
            <w:r w:rsidRPr="00537128">
              <w:rPr>
                <w:rFonts w:ascii="Calibri" w:eastAsia="Calibri" w:hAnsi="Calibri" w:cs="Arial"/>
                <w:b/>
                <w:bCs/>
                <w:color w:val="000000"/>
                <w:sz w:val="18"/>
                <w:szCs w:val="18"/>
                <w:lang w:val="en-US"/>
              </w:rPr>
              <w:t> </w:t>
            </w:r>
          </w:p>
        </w:tc>
        <w:tc>
          <w:tcPr>
            <w:tcW w:w="1120" w:type="dxa"/>
            <w:tcBorders>
              <w:top w:val="single" w:sz="4" w:space="0" w:color="auto"/>
              <w:left w:val="nil"/>
              <w:bottom w:val="single" w:sz="12" w:space="0" w:color="auto"/>
              <w:right w:val="nil"/>
            </w:tcBorders>
            <w:shd w:val="clear" w:color="auto" w:fill="auto"/>
            <w:noWrap/>
            <w:vAlign w:val="center"/>
            <w:hideMark/>
          </w:tcPr>
          <w:p w14:paraId="5144AEE7" w14:textId="77777777" w:rsidR="00E03287" w:rsidRPr="00537128" w:rsidRDefault="00E03287" w:rsidP="00E03287">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 </w:t>
            </w:r>
          </w:p>
        </w:tc>
        <w:tc>
          <w:tcPr>
            <w:tcW w:w="1121" w:type="dxa"/>
            <w:tcBorders>
              <w:top w:val="single" w:sz="4" w:space="0" w:color="auto"/>
              <w:left w:val="nil"/>
              <w:bottom w:val="single" w:sz="12" w:space="0" w:color="auto"/>
              <w:right w:val="nil"/>
            </w:tcBorders>
            <w:shd w:val="clear" w:color="auto" w:fill="auto"/>
            <w:noWrap/>
            <w:vAlign w:val="center"/>
            <w:hideMark/>
          </w:tcPr>
          <w:p w14:paraId="52F6C1D6" w14:textId="77777777" w:rsidR="00E03287" w:rsidRPr="00537128" w:rsidRDefault="00E03287" w:rsidP="00E03287">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 </w:t>
            </w:r>
          </w:p>
        </w:tc>
        <w:tc>
          <w:tcPr>
            <w:tcW w:w="914" w:type="dxa"/>
            <w:tcBorders>
              <w:top w:val="single" w:sz="4" w:space="0" w:color="auto"/>
              <w:left w:val="nil"/>
              <w:bottom w:val="single" w:sz="12" w:space="0" w:color="auto"/>
              <w:right w:val="nil"/>
            </w:tcBorders>
            <w:shd w:val="clear" w:color="auto" w:fill="auto"/>
            <w:noWrap/>
            <w:vAlign w:val="center"/>
            <w:hideMark/>
          </w:tcPr>
          <w:p w14:paraId="5F771A7D" w14:textId="77777777" w:rsidR="00E03287" w:rsidRPr="00537128" w:rsidRDefault="00E03287" w:rsidP="00E03287">
            <w:pPr>
              <w:spacing w:after="0" w:line="240" w:lineRule="auto"/>
              <w:jc w:val="both"/>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 </w:t>
            </w:r>
          </w:p>
        </w:tc>
        <w:tc>
          <w:tcPr>
            <w:tcW w:w="1247" w:type="dxa"/>
            <w:gridSpan w:val="2"/>
            <w:tcBorders>
              <w:top w:val="single" w:sz="4" w:space="0" w:color="auto"/>
              <w:left w:val="nil"/>
              <w:bottom w:val="single" w:sz="12" w:space="0" w:color="auto"/>
              <w:right w:val="nil"/>
            </w:tcBorders>
            <w:vAlign w:val="bottom"/>
          </w:tcPr>
          <w:p w14:paraId="77400EE4" w14:textId="313696E4" w:rsidR="00E03287" w:rsidRPr="00537128" w:rsidRDefault="00E03287" w:rsidP="00E03287">
            <w:pPr>
              <w:spacing w:after="0" w:line="240" w:lineRule="auto"/>
              <w:jc w:val="right"/>
              <w:rPr>
                <w:rFonts w:ascii="Calibri" w:eastAsia="Calibri" w:hAnsi="Calibri" w:cs="Arial"/>
                <w:b/>
                <w:bCs/>
                <w:color w:val="000000"/>
                <w:sz w:val="18"/>
                <w:szCs w:val="18"/>
                <w:lang w:val="en-US"/>
              </w:rPr>
            </w:pPr>
            <w:r>
              <w:rPr>
                <w:rFonts w:ascii="Calibri" w:eastAsia="Calibri" w:hAnsi="Calibri" w:cs="Arial"/>
                <w:b/>
                <w:bCs/>
                <w:color w:val="000000"/>
                <w:sz w:val="18"/>
                <w:szCs w:val="18"/>
                <w:lang w:val="en-US"/>
              </w:rPr>
              <w:t>2,151</w:t>
            </w:r>
          </w:p>
        </w:tc>
        <w:tc>
          <w:tcPr>
            <w:tcW w:w="1276" w:type="dxa"/>
            <w:gridSpan w:val="3"/>
            <w:tcBorders>
              <w:top w:val="single" w:sz="4" w:space="0" w:color="auto"/>
              <w:left w:val="nil"/>
              <w:bottom w:val="single" w:sz="12" w:space="0" w:color="auto"/>
              <w:right w:val="nil"/>
            </w:tcBorders>
            <w:shd w:val="clear" w:color="auto" w:fill="auto"/>
            <w:vAlign w:val="bottom"/>
          </w:tcPr>
          <w:p w14:paraId="6F8826BA" w14:textId="6B3EF137" w:rsidR="00E03287" w:rsidRPr="00537128" w:rsidRDefault="00E03287" w:rsidP="00E03287">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color w:val="000000"/>
                <w:sz w:val="18"/>
                <w:szCs w:val="18"/>
                <w:lang w:val="en-US"/>
              </w:rPr>
              <w:t>2,</w:t>
            </w:r>
            <w:r>
              <w:rPr>
                <w:rFonts w:ascii="Calibri" w:eastAsia="Calibri" w:hAnsi="Calibri" w:cs="Arial"/>
                <w:b/>
                <w:bCs/>
                <w:color w:val="000000"/>
                <w:sz w:val="18"/>
                <w:szCs w:val="18"/>
                <w:lang w:val="en-US"/>
              </w:rPr>
              <w:t>176</w:t>
            </w:r>
          </w:p>
        </w:tc>
        <w:tc>
          <w:tcPr>
            <w:tcW w:w="1276" w:type="dxa"/>
            <w:gridSpan w:val="3"/>
            <w:tcBorders>
              <w:top w:val="single" w:sz="4" w:space="0" w:color="auto"/>
              <w:left w:val="nil"/>
              <w:bottom w:val="single" w:sz="12" w:space="0" w:color="auto"/>
              <w:right w:val="nil"/>
            </w:tcBorders>
            <w:vAlign w:val="bottom"/>
          </w:tcPr>
          <w:p w14:paraId="5542AEF8" w14:textId="134E5DF6" w:rsidR="00E03287" w:rsidRPr="00537128" w:rsidRDefault="00E03287" w:rsidP="00E03287">
            <w:pPr>
              <w:spacing w:after="0" w:line="240" w:lineRule="auto"/>
              <w:jc w:val="right"/>
              <w:rPr>
                <w:rFonts w:ascii="Calibri" w:eastAsia="Calibri" w:hAnsi="Calibri" w:cs="Arial"/>
                <w:b/>
                <w:bCs/>
                <w:color w:val="000000"/>
                <w:sz w:val="18"/>
                <w:szCs w:val="18"/>
                <w:lang w:val="en-US"/>
              </w:rPr>
            </w:pPr>
            <w:r>
              <w:rPr>
                <w:rFonts w:ascii="Calibri" w:eastAsia="Calibri" w:hAnsi="Calibri" w:cs="Arial"/>
                <w:b/>
                <w:bCs/>
                <w:color w:val="000000"/>
                <w:sz w:val="18"/>
                <w:szCs w:val="18"/>
                <w:lang w:val="en-US"/>
              </w:rPr>
              <w:t>2,151</w:t>
            </w:r>
          </w:p>
        </w:tc>
        <w:tc>
          <w:tcPr>
            <w:tcW w:w="1276" w:type="dxa"/>
            <w:gridSpan w:val="3"/>
            <w:tcBorders>
              <w:top w:val="single" w:sz="4" w:space="0" w:color="auto"/>
              <w:left w:val="nil"/>
              <w:bottom w:val="single" w:sz="12" w:space="0" w:color="auto"/>
              <w:right w:val="nil"/>
            </w:tcBorders>
            <w:shd w:val="clear" w:color="auto" w:fill="auto"/>
            <w:vAlign w:val="bottom"/>
          </w:tcPr>
          <w:p w14:paraId="7A3F549B" w14:textId="01D5C7FE" w:rsidR="00E03287" w:rsidRPr="00537128" w:rsidRDefault="00E03287" w:rsidP="00E03287">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color w:val="000000"/>
                <w:sz w:val="18"/>
                <w:szCs w:val="18"/>
                <w:lang w:val="en-US"/>
              </w:rPr>
              <w:t>2,</w:t>
            </w:r>
            <w:r>
              <w:rPr>
                <w:rFonts w:ascii="Calibri" w:eastAsia="Calibri" w:hAnsi="Calibri" w:cs="Arial"/>
                <w:b/>
                <w:bCs/>
                <w:color w:val="000000"/>
                <w:sz w:val="18"/>
                <w:szCs w:val="18"/>
                <w:lang w:val="en-US"/>
              </w:rPr>
              <w:t>176</w:t>
            </w:r>
          </w:p>
        </w:tc>
      </w:tr>
      <w:tr w:rsidR="00E03287" w:rsidRPr="00537128" w14:paraId="77997CA5" w14:textId="77777777" w:rsidTr="005B3D2C">
        <w:trPr>
          <w:gridAfter w:val="2"/>
          <w:wAfter w:w="29" w:type="dxa"/>
          <w:trHeight w:hRule="exact" w:val="281"/>
        </w:trPr>
        <w:tc>
          <w:tcPr>
            <w:tcW w:w="2798" w:type="dxa"/>
            <w:tcBorders>
              <w:top w:val="single" w:sz="12" w:space="0" w:color="auto"/>
              <w:left w:val="nil"/>
              <w:right w:val="nil"/>
            </w:tcBorders>
            <w:shd w:val="clear" w:color="auto" w:fill="auto"/>
            <w:noWrap/>
            <w:vAlign w:val="center"/>
          </w:tcPr>
          <w:p w14:paraId="3D7ABDC1" w14:textId="77777777" w:rsidR="00E03287" w:rsidRPr="00537128" w:rsidRDefault="00E03287" w:rsidP="00E03287">
            <w:pPr>
              <w:spacing w:after="0" w:line="240" w:lineRule="auto"/>
              <w:jc w:val="both"/>
              <w:rPr>
                <w:rFonts w:ascii="Calibri" w:eastAsia="Calibri" w:hAnsi="Calibri" w:cs="Arial"/>
                <w:b/>
                <w:bCs/>
                <w:color w:val="000000"/>
                <w:sz w:val="18"/>
                <w:szCs w:val="18"/>
                <w:lang w:val="en-US"/>
              </w:rPr>
            </w:pPr>
          </w:p>
        </w:tc>
        <w:tc>
          <w:tcPr>
            <w:tcW w:w="1120" w:type="dxa"/>
            <w:tcBorders>
              <w:top w:val="single" w:sz="12" w:space="0" w:color="auto"/>
              <w:left w:val="nil"/>
              <w:right w:val="nil"/>
            </w:tcBorders>
            <w:shd w:val="clear" w:color="auto" w:fill="auto"/>
            <w:noWrap/>
            <w:vAlign w:val="center"/>
          </w:tcPr>
          <w:p w14:paraId="28CE5D32" w14:textId="77777777" w:rsidR="00E03287" w:rsidRPr="00537128" w:rsidRDefault="00E03287" w:rsidP="00E03287">
            <w:pPr>
              <w:spacing w:after="0" w:line="240" w:lineRule="auto"/>
              <w:jc w:val="right"/>
              <w:rPr>
                <w:rFonts w:ascii="Calibri" w:eastAsia="Calibri" w:hAnsi="Calibri" w:cs="Arial"/>
                <w:color w:val="000000"/>
                <w:sz w:val="18"/>
                <w:szCs w:val="18"/>
                <w:lang w:val="en-US"/>
              </w:rPr>
            </w:pPr>
          </w:p>
        </w:tc>
        <w:tc>
          <w:tcPr>
            <w:tcW w:w="1121" w:type="dxa"/>
            <w:tcBorders>
              <w:top w:val="single" w:sz="12" w:space="0" w:color="auto"/>
              <w:left w:val="nil"/>
              <w:right w:val="nil"/>
            </w:tcBorders>
            <w:shd w:val="clear" w:color="auto" w:fill="auto"/>
            <w:noWrap/>
            <w:vAlign w:val="center"/>
          </w:tcPr>
          <w:p w14:paraId="0FDA16F7" w14:textId="77777777" w:rsidR="00E03287" w:rsidRPr="00537128" w:rsidRDefault="00E03287" w:rsidP="00E03287">
            <w:pPr>
              <w:spacing w:after="0" w:line="240" w:lineRule="auto"/>
              <w:jc w:val="right"/>
              <w:rPr>
                <w:rFonts w:ascii="Calibri" w:eastAsia="Calibri" w:hAnsi="Calibri" w:cs="Arial"/>
                <w:color w:val="000000"/>
                <w:sz w:val="18"/>
                <w:szCs w:val="18"/>
                <w:lang w:val="en-US"/>
              </w:rPr>
            </w:pPr>
          </w:p>
        </w:tc>
        <w:tc>
          <w:tcPr>
            <w:tcW w:w="914" w:type="dxa"/>
            <w:tcBorders>
              <w:top w:val="single" w:sz="12" w:space="0" w:color="auto"/>
              <w:left w:val="nil"/>
              <w:right w:val="nil"/>
            </w:tcBorders>
            <w:shd w:val="clear" w:color="auto" w:fill="auto"/>
            <w:noWrap/>
            <w:vAlign w:val="center"/>
          </w:tcPr>
          <w:p w14:paraId="3CAFC65E" w14:textId="77777777" w:rsidR="00E03287" w:rsidRPr="00537128" w:rsidRDefault="00E03287" w:rsidP="00E03287">
            <w:pPr>
              <w:spacing w:after="0" w:line="240" w:lineRule="auto"/>
              <w:jc w:val="both"/>
              <w:rPr>
                <w:rFonts w:ascii="Calibri" w:eastAsia="Calibri" w:hAnsi="Calibri" w:cs="Arial"/>
                <w:color w:val="000000"/>
                <w:sz w:val="18"/>
                <w:szCs w:val="18"/>
                <w:lang w:val="en-US"/>
              </w:rPr>
            </w:pPr>
          </w:p>
        </w:tc>
        <w:tc>
          <w:tcPr>
            <w:tcW w:w="1247" w:type="dxa"/>
            <w:gridSpan w:val="2"/>
            <w:tcBorders>
              <w:top w:val="single" w:sz="12" w:space="0" w:color="auto"/>
              <w:left w:val="nil"/>
              <w:right w:val="nil"/>
            </w:tcBorders>
            <w:shd w:val="clear" w:color="auto" w:fill="auto"/>
            <w:vAlign w:val="bottom"/>
          </w:tcPr>
          <w:p w14:paraId="3E59C650" w14:textId="77777777" w:rsidR="00E03287" w:rsidRPr="00537128" w:rsidRDefault="00E03287" w:rsidP="00E03287">
            <w:pPr>
              <w:spacing w:after="0" w:line="240" w:lineRule="auto"/>
              <w:jc w:val="right"/>
              <w:rPr>
                <w:rFonts w:ascii="Calibri" w:eastAsia="Calibri" w:hAnsi="Calibri" w:cs="Arial"/>
                <w:b/>
                <w:bCs/>
                <w:color w:val="000000"/>
                <w:sz w:val="18"/>
                <w:szCs w:val="18"/>
                <w:lang w:val="en-US"/>
              </w:rPr>
            </w:pPr>
          </w:p>
        </w:tc>
        <w:tc>
          <w:tcPr>
            <w:tcW w:w="1276" w:type="dxa"/>
            <w:gridSpan w:val="3"/>
            <w:tcBorders>
              <w:top w:val="single" w:sz="12" w:space="0" w:color="auto"/>
              <w:left w:val="nil"/>
              <w:right w:val="nil"/>
            </w:tcBorders>
            <w:shd w:val="clear" w:color="auto" w:fill="auto"/>
            <w:vAlign w:val="bottom"/>
          </w:tcPr>
          <w:p w14:paraId="1519AD74" w14:textId="77777777" w:rsidR="00E03287" w:rsidRPr="00537128" w:rsidRDefault="00E03287" w:rsidP="00E03287">
            <w:pPr>
              <w:spacing w:after="0" w:line="240" w:lineRule="auto"/>
              <w:jc w:val="right"/>
              <w:rPr>
                <w:rFonts w:ascii="Calibri" w:eastAsia="Calibri" w:hAnsi="Calibri" w:cs="Arial"/>
                <w:b/>
                <w:bCs/>
                <w:color w:val="000000"/>
                <w:sz w:val="18"/>
                <w:szCs w:val="18"/>
                <w:lang w:val="en-US"/>
              </w:rPr>
            </w:pPr>
          </w:p>
        </w:tc>
        <w:tc>
          <w:tcPr>
            <w:tcW w:w="1276" w:type="dxa"/>
            <w:gridSpan w:val="3"/>
            <w:tcBorders>
              <w:top w:val="single" w:sz="12" w:space="0" w:color="auto"/>
              <w:left w:val="nil"/>
              <w:right w:val="nil"/>
            </w:tcBorders>
            <w:shd w:val="clear" w:color="auto" w:fill="auto"/>
            <w:vAlign w:val="center"/>
          </w:tcPr>
          <w:p w14:paraId="151FEC12" w14:textId="77777777" w:rsidR="00E03287" w:rsidRPr="00537128" w:rsidRDefault="00E03287" w:rsidP="00E03287">
            <w:pPr>
              <w:spacing w:after="0" w:line="240" w:lineRule="auto"/>
              <w:jc w:val="right"/>
              <w:rPr>
                <w:rFonts w:ascii="Calibri" w:eastAsia="Calibri" w:hAnsi="Calibri" w:cs="Arial"/>
                <w:b/>
                <w:bCs/>
                <w:color w:val="000000"/>
                <w:sz w:val="18"/>
                <w:szCs w:val="18"/>
                <w:lang w:val="en-US"/>
              </w:rPr>
            </w:pPr>
          </w:p>
        </w:tc>
        <w:tc>
          <w:tcPr>
            <w:tcW w:w="1276" w:type="dxa"/>
            <w:gridSpan w:val="3"/>
            <w:tcBorders>
              <w:top w:val="single" w:sz="12" w:space="0" w:color="auto"/>
              <w:left w:val="nil"/>
              <w:right w:val="nil"/>
            </w:tcBorders>
            <w:shd w:val="clear" w:color="auto" w:fill="auto"/>
            <w:vAlign w:val="bottom"/>
          </w:tcPr>
          <w:p w14:paraId="04B03979" w14:textId="77777777" w:rsidR="00E03287" w:rsidRPr="00537128" w:rsidRDefault="00E03287" w:rsidP="00E03287">
            <w:pPr>
              <w:spacing w:after="0" w:line="240" w:lineRule="auto"/>
              <w:jc w:val="right"/>
              <w:rPr>
                <w:rFonts w:ascii="Calibri" w:eastAsia="Calibri" w:hAnsi="Calibri" w:cs="Arial"/>
                <w:b/>
                <w:bCs/>
                <w:color w:val="000000"/>
                <w:sz w:val="18"/>
                <w:szCs w:val="18"/>
                <w:lang w:val="en-US"/>
              </w:rPr>
            </w:pPr>
          </w:p>
        </w:tc>
      </w:tr>
      <w:tr w:rsidR="00E03287" w:rsidRPr="00537128" w14:paraId="0B723740" w14:textId="77777777" w:rsidTr="005B3D2C">
        <w:trPr>
          <w:gridAfter w:val="2"/>
          <w:wAfter w:w="29" w:type="dxa"/>
          <w:trHeight w:val="187"/>
        </w:trPr>
        <w:tc>
          <w:tcPr>
            <w:tcW w:w="2798" w:type="dxa"/>
            <w:tcBorders>
              <w:left w:val="nil"/>
              <w:right w:val="nil"/>
            </w:tcBorders>
            <w:shd w:val="clear" w:color="auto" w:fill="auto"/>
            <w:noWrap/>
            <w:vAlign w:val="bottom"/>
          </w:tcPr>
          <w:p w14:paraId="564FADCA" w14:textId="77777777" w:rsidR="00E03287" w:rsidRPr="00537128" w:rsidRDefault="00E03287" w:rsidP="00E03287">
            <w:pPr>
              <w:spacing w:after="0" w:line="240" w:lineRule="auto"/>
              <w:jc w:val="both"/>
              <w:rPr>
                <w:rFonts w:ascii="Calibri" w:eastAsia="Calibri" w:hAnsi="Calibri" w:cs="Arial"/>
                <w:b/>
                <w:bCs/>
                <w:color w:val="000000"/>
                <w:sz w:val="18"/>
                <w:szCs w:val="18"/>
                <w:lang w:val="en-US"/>
              </w:rPr>
            </w:pPr>
            <w:r w:rsidRPr="00537128">
              <w:rPr>
                <w:rFonts w:ascii="Calibri" w:eastAsia="Calibri" w:hAnsi="Calibri" w:cs="Arial"/>
                <w:b/>
                <w:bCs/>
                <w:sz w:val="18"/>
                <w:szCs w:val="18"/>
                <w:lang w:val="en-US" w:eastAsia="hr-HR"/>
              </w:rPr>
              <w:t>Equity instruments:</w:t>
            </w:r>
          </w:p>
        </w:tc>
        <w:tc>
          <w:tcPr>
            <w:tcW w:w="1120" w:type="dxa"/>
            <w:tcBorders>
              <w:left w:val="nil"/>
              <w:right w:val="nil"/>
            </w:tcBorders>
            <w:shd w:val="clear" w:color="auto" w:fill="auto"/>
            <w:noWrap/>
            <w:vAlign w:val="center"/>
          </w:tcPr>
          <w:p w14:paraId="49CB154B" w14:textId="77777777" w:rsidR="00E03287" w:rsidRPr="00537128" w:rsidRDefault="00E03287" w:rsidP="00E03287">
            <w:pPr>
              <w:spacing w:after="0" w:line="240" w:lineRule="auto"/>
              <w:jc w:val="right"/>
              <w:rPr>
                <w:rFonts w:ascii="Calibri" w:eastAsia="Calibri" w:hAnsi="Calibri" w:cs="Arial"/>
                <w:color w:val="000000"/>
                <w:sz w:val="18"/>
                <w:szCs w:val="18"/>
                <w:lang w:val="en-US"/>
              </w:rPr>
            </w:pPr>
          </w:p>
        </w:tc>
        <w:tc>
          <w:tcPr>
            <w:tcW w:w="1121" w:type="dxa"/>
            <w:tcBorders>
              <w:left w:val="nil"/>
              <w:right w:val="nil"/>
            </w:tcBorders>
            <w:shd w:val="clear" w:color="auto" w:fill="auto"/>
            <w:noWrap/>
            <w:vAlign w:val="center"/>
          </w:tcPr>
          <w:p w14:paraId="0EFCC234" w14:textId="77777777" w:rsidR="00E03287" w:rsidRPr="00537128" w:rsidRDefault="00E03287" w:rsidP="00E03287">
            <w:pPr>
              <w:spacing w:after="0" w:line="240" w:lineRule="auto"/>
              <w:jc w:val="right"/>
              <w:rPr>
                <w:rFonts w:ascii="Calibri" w:eastAsia="Calibri" w:hAnsi="Calibri" w:cs="Arial"/>
                <w:color w:val="000000"/>
                <w:sz w:val="18"/>
                <w:szCs w:val="18"/>
                <w:lang w:val="en-US"/>
              </w:rPr>
            </w:pPr>
          </w:p>
        </w:tc>
        <w:tc>
          <w:tcPr>
            <w:tcW w:w="914" w:type="dxa"/>
            <w:tcBorders>
              <w:left w:val="nil"/>
              <w:right w:val="nil"/>
            </w:tcBorders>
            <w:shd w:val="clear" w:color="auto" w:fill="auto"/>
            <w:noWrap/>
            <w:vAlign w:val="center"/>
          </w:tcPr>
          <w:p w14:paraId="11B30435" w14:textId="77777777" w:rsidR="00E03287" w:rsidRPr="00537128" w:rsidRDefault="00E03287" w:rsidP="00E03287">
            <w:pPr>
              <w:spacing w:after="0" w:line="240" w:lineRule="auto"/>
              <w:jc w:val="both"/>
              <w:rPr>
                <w:rFonts w:ascii="Calibri" w:eastAsia="Calibri" w:hAnsi="Calibri" w:cs="Arial"/>
                <w:color w:val="000000"/>
                <w:sz w:val="18"/>
                <w:szCs w:val="18"/>
                <w:lang w:val="en-US"/>
              </w:rPr>
            </w:pPr>
          </w:p>
        </w:tc>
        <w:tc>
          <w:tcPr>
            <w:tcW w:w="1247" w:type="dxa"/>
            <w:gridSpan w:val="2"/>
            <w:tcBorders>
              <w:left w:val="nil"/>
              <w:right w:val="nil"/>
            </w:tcBorders>
            <w:shd w:val="clear" w:color="auto" w:fill="auto"/>
            <w:vAlign w:val="bottom"/>
          </w:tcPr>
          <w:p w14:paraId="1BB52B64" w14:textId="77777777" w:rsidR="00E03287" w:rsidRPr="00537128" w:rsidRDefault="00E03287" w:rsidP="00E03287">
            <w:pPr>
              <w:spacing w:after="0" w:line="240" w:lineRule="auto"/>
              <w:jc w:val="right"/>
              <w:rPr>
                <w:rFonts w:ascii="Calibri" w:eastAsia="Calibri" w:hAnsi="Calibri" w:cs="Arial"/>
                <w:b/>
                <w:bCs/>
                <w:color w:val="000000"/>
                <w:sz w:val="18"/>
                <w:szCs w:val="18"/>
                <w:lang w:val="en-US"/>
              </w:rPr>
            </w:pPr>
          </w:p>
        </w:tc>
        <w:tc>
          <w:tcPr>
            <w:tcW w:w="1276" w:type="dxa"/>
            <w:gridSpan w:val="3"/>
            <w:tcBorders>
              <w:left w:val="nil"/>
              <w:right w:val="nil"/>
            </w:tcBorders>
            <w:shd w:val="clear" w:color="auto" w:fill="auto"/>
            <w:vAlign w:val="bottom"/>
          </w:tcPr>
          <w:p w14:paraId="104E4F68" w14:textId="77777777" w:rsidR="00E03287" w:rsidRPr="00537128" w:rsidRDefault="00E03287" w:rsidP="00E03287">
            <w:pPr>
              <w:spacing w:after="0" w:line="240" w:lineRule="auto"/>
              <w:jc w:val="right"/>
              <w:rPr>
                <w:rFonts w:ascii="Calibri" w:eastAsia="Calibri" w:hAnsi="Calibri" w:cs="Arial"/>
                <w:b/>
                <w:bCs/>
                <w:color w:val="000000"/>
                <w:sz w:val="18"/>
                <w:szCs w:val="18"/>
                <w:lang w:val="en-US"/>
              </w:rPr>
            </w:pPr>
          </w:p>
        </w:tc>
        <w:tc>
          <w:tcPr>
            <w:tcW w:w="1276" w:type="dxa"/>
            <w:gridSpan w:val="3"/>
            <w:tcBorders>
              <w:left w:val="nil"/>
              <w:right w:val="nil"/>
            </w:tcBorders>
            <w:shd w:val="clear" w:color="auto" w:fill="auto"/>
            <w:vAlign w:val="center"/>
          </w:tcPr>
          <w:p w14:paraId="2749057A" w14:textId="77777777" w:rsidR="00E03287" w:rsidRPr="00537128" w:rsidRDefault="00E03287" w:rsidP="00E03287">
            <w:pPr>
              <w:spacing w:after="0" w:line="240" w:lineRule="auto"/>
              <w:jc w:val="right"/>
              <w:rPr>
                <w:rFonts w:ascii="Calibri" w:eastAsia="Calibri" w:hAnsi="Calibri" w:cs="Arial"/>
                <w:b/>
                <w:bCs/>
                <w:color w:val="000000"/>
                <w:sz w:val="18"/>
                <w:szCs w:val="18"/>
                <w:lang w:val="en-US"/>
              </w:rPr>
            </w:pPr>
          </w:p>
        </w:tc>
        <w:tc>
          <w:tcPr>
            <w:tcW w:w="1276" w:type="dxa"/>
            <w:gridSpan w:val="3"/>
            <w:tcBorders>
              <w:left w:val="nil"/>
              <w:right w:val="nil"/>
            </w:tcBorders>
            <w:shd w:val="clear" w:color="auto" w:fill="auto"/>
            <w:vAlign w:val="bottom"/>
          </w:tcPr>
          <w:p w14:paraId="3763D1BE" w14:textId="77777777" w:rsidR="00E03287" w:rsidRPr="00537128" w:rsidRDefault="00E03287" w:rsidP="00E03287">
            <w:pPr>
              <w:spacing w:after="0" w:line="240" w:lineRule="auto"/>
              <w:jc w:val="right"/>
              <w:rPr>
                <w:rFonts w:ascii="Calibri" w:eastAsia="Calibri" w:hAnsi="Calibri" w:cs="Arial"/>
                <w:b/>
                <w:bCs/>
                <w:color w:val="000000"/>
                <w:sz w:val="18"/>
                <w:szCs w:val="18"/>
                <w:lang w:val="en-US"/>
              </w:rPr>
            </w:pPr>
          </w:p>
        </w:tc>
      </w:tr>
      <w:tr w:rsidR="00E03287" w:rsidRPr="00537128" w14:paraId="0BE12BAA" w14:textId="77777777" w:rsidTr="005B3D2C">
        <w:trPr>
          <w:gridAfter w:val="2"/>
          <w:wAfter w:w="29" w:type="dxa"/>
          <w:trHeight w:val="187"/>
        </w:trPr>
        <w:tc>
          <w:tcPr>
            <w:tcW w:w="3918" w:type="dxa"/>
            <w:gridSpan w:val="2"/>
            <w:tcBorders>
              <w:left w:val="nil"/>
              <w:bottom w:val="nil"/>
              <w:right w:val="nil"/>
            </w:tcBorders>
            <w:shd w:val="clear" w:color="auto" w:fill="auto"/>
            <w:noWrap/>
            <w:vAlign w:val="bottom"/>
          </w:tcPr>
          <w:p w14:paraId="37BE41D5" w14:textId="77777777" w:rsidR="00E03287" w:rsidRPr="00537128" w:rsidRDefault="00E03287" w:rsidP="00E03287">
            <w:pPr>
              <w:spacing w:after="0" w:line="240" w:lineRule="auto"/>
              <w:rPr>
                <w:rFonts w:ascii="Calibri" w:eastAsia="Calibri" w:hAnsi="Calibri" w:cs="Arial"/>
                <w:i/>
                <w:color w:val="000000"/>
                <w:sz w:val="18"/>
                <w:szCs w:val="18"/>
                <w:lang w:val="en-US"/>
              </w:rPr>
            </w:pPr>
            <w:r w:rsidRPr="00537128">
              <w:rPr>
                <w:rFonts w:ascii="Calibri" w:eastAsia="Calibri" w:hAnsi="Calibri" w:cs="Arial"/>
                <w:bCs/>
                <w:i/>
                <w:sz w:val="18"/>
                <w:szCs w:val="18"/>
                <w:lang w:val="en-US" w:eastAsia="hr-HR"/>
              </w:rPr>
              <w:t>Unlisted</w:t>
            </w:r>
            <w:r w:rsidRPr="00537128" w:rsidDel="003A499C">
              <w:rPr>
                <w:rFonts w:ascii="Calibri" w:eastAsia="Calibri" w:hAnsi="Calibri" w:cs="Arial"/>
                <w:bCs/>
                <w:i/>
                <w:sz w:val="18"/>
                <w:szCs w:val="18"/>
                <w:lang w:val="en-US" w:eastAsia="hr-HR"/>
              </w:rPr>
              <w:t xml:space="preserve"> </w:t>
            </w:r>
            <w:r w:rsidRPr="00537128">
              <w:rPr>
                <w:rFonts w:ascii="Calibri" w:eastAsia="Calibri" w:hAnsi="Calibri" w:cs="Arial"/>
                <w:bCs/>
                <w:i/>
                <w:sz w:val="18"/>
                <w:szCs w:val="18"/>
                <w:lang w:val="en-US" w:eastAsia="hr-HR"/>
              </w:rPr>
              <w:t>equity instruments:</w:t>
            </w:r>
          </w:p>
        </w:tc>
        <w:tc>
          <w:tcPr>
            <w:tcW w:w="1121" w:type="dxa"/>
            <w:tcBorders>
              <w:left w:val="nil"/>
              <w:right w:val="nil"/>
            </w:tcBorders>
            <w:shd w:val="clear" w:color="auto" w:fill="auto"/>
            <w:noWrap/>
            <w:vAlign w:val="center"/>
          </w:tcPr>
          <w:p w14:paraId="18F048F8" w14:textId="77777777" w:rsidR="00E03287" w:rsidRPr="00537128" w:rsidRDefault="00E03287" w:rsidP="00E03287">
            <w:pPr>
              <w:spacing w:after="0" w:line="240" w:lineRule="auto"/>
              <w:jc w:val="right"/>
              <w:rPr>
                <w:rFonts w:ascii="Calibri" w:eastAsia="Calibri" w:hAnsi="Calibri" w:cs="Arial"/>
                <w:color w:val="000000"/>
                <w:sz w:val="18"/>
                <w:szCs w:val="18"/>
                <w:lang w:val="en-US"/>
              </w:rPr>
            </w:pPr>
          </w:p>
        </w:tc>
        <w:tc>
          <w:tcPr>
            <w:tcW w:w="914" w:type="dxa"/>
            <w:tcBorders>
              <w:left w:val="nil"/>
              <w:right w:val="nil"/>
            </w:tcBorders>
            <w:shd w:val="clear" w:color="auto" w:fill="auto"/>
            <w:noWrap/>
            <w:vAlign w:val="center"/>
          </w:tcPr>
          <w:p w14:paraId="552C1B99" w14:textId="77777777" w:rsidR="00E03287" w:rsidRPr="00537128" w:rsidRDefault="00E03287" w:rsidP="00E03287">
            <w:pPr>
              <w:spacing w:after="0" w:line="240" w:lineRule="auto"/>
              <w:jc w:val="both"/>
              <w:rPr>
                <w:rFonts w:ascii="Calibri" w:eastAsia="Calibri" w:hAnsi="Calibri" w:cs="Arial"/>
                <w:color w:val="000000"/>
                <w:sz w:val="18"/>
                <w:szCs w:val="18"/>
                <w:lang w:val="en-US"/>
              </w:rPr>
            </w:pPr>
          </w:p>
        </w:tc>
        <w:tc>
          <w:tcPr>
            <w:tcW w:w="1276" w:type="dxa"/>
            <w:gridSpan w:val="3"/>
            <w:tcBorders>
              <w:left w:val="nil"/>
              <w:right w:val="nil"/>
            </w:tcBorders>
            <w:shd w:val="clear" w:color="auto" w:fill="auto"/>
            <w:vAlign w:val="center"/>
          </w:tcPr>
          <w:p w14:paraId="182B9DB1" w14:textId="77777777" w:rsidR="00E03287" w:rsidRPr="00537128" w:rsidRDefault="00E03287" w:rsidP="00E03287">
            <w:pPr>
              <w:spacing w:after="0" w:line="240" w:lineRule="auto"/>
              <w:jc w:val="right"/>
              <w:rPr>
                <w:rFonts w:ascii="Calibri" w:eastAsia="Calibri" w:hAnsi="Calibri" w:cs="Arial"/>
                <w:b/>
                <w:bCs/>
                <w:color w:val="000000"/>
                <w:sz w:val="18"/>
                <w:szCs w:val="18"/>
                <w:lang w:val="en-US"/>
              </w:rPr>
            </w:pPr>
          </w:p>
        </w:tc>
        <w:tc>
          <w:tcPr>
            <w:tcW w:w="1247" w:type="dxa"/>
            <w:gridSpan w:val="2"/>
            <w:tcBorders>
              <w:left w:val="nil"/>
              <w:right w:val="nil"/>
            </w:tcBorders>
            <w:shd w:val="clear" w:color="auto" w:fill="auto"/>
            <w:vAlign w:val="bottom"/>
          </w:tcPr>
          <w:p w14:paraId="5C4D525C" w14:textId="77777777" w:rsidR="00E03287" w:rsidRPr="00537128" w:rsidRDefault="00E03287" w:rsidP="00E03287">
            <w:pPr>
              <w:spacing w:after="0" w:line="240" w:lineRule="auto"/>
              <w:jc w:val="right"/>
              <w:rPr>
                <w:rFonts w:ascii="Calibri" w:eastAsia="Calibri" w:hAnsi="Calibri" w:cs="Arial"/>
                <w:b/>
                <w:bCs/>
                <w:color w:val="000000"/>
                <w:sz w:val="18"/>
                <w:szCs w:val="18"/>
                <w:lang w:val="en-US"/>
              </w:rPr>
            </w:pPr>
          </w:p>
        </w:tc>
        <w:tc>
          <w:tcPr>
            <w:tcW w:w="1276" w:type="dxa"/>
            <w:gridSpan w:val="3"/>
            <w:tcBorders>
              <w:left w:val="nil"/>
              <w:right w:val="nil"/>
            </w:tcBorders>
            <w:shd w:val="clear" w:color="auto" w:fill="auto"/>
            <w:vAlign w:val="center"/>
          </w:tcPr>
          <w:p w14:paraId="1D5D8311" w14:textId="77777777" w:rsidR="00E03287" w:rsidRPr="00537128" w:rsidRDefault="00E03287" w:rsidP="00E03287">
            <w:pPr>
              <w:spacing w:after="0" w:line="240" w:lineRule="auto"/>
              <w:jc w:val="right"/>
              <w:rPr>
                <w:rFonts w:ascii="Calibri" w:eastAsia="Calibri" w:hAnsi="Calibri" w:cs="Arial"/>
                <w:b/>
                <w:bCs/>
                <w:color w:val="000000"/>
                <w:sz w:val="18"/>
                <w:szCs w:val="18"/>
                <w:lang w:val="en-US"/>
              </w:rPr>
            </w:pPr>
          </w:p>
        </w:tc>
        <w:tc>
          <w:tcPr>
            <w:tcW w:w="1276" w:type="dxa"/>
            <w:gridSpan w:val="3"/>
            <w:tcBorders>
              <w:left w:val="nil"/>
              <w:right w:val="nil"/>
            </w:tcBorders>
            <w:shd w:val="clear" w:color="auto" w:fill="auto"/>
            <w:vAlign w:val="bottom"/>
          </w:tcPr>
          <w:p w14:paraId="2779EF61" w14:textId="77777777" w:rsidR="00E03287" w:rsidRPr="00537128" w:rsidRDefault="00E03287" w:rsidP="00E03287">
            <w:pPr>
              <w:spacing w:after="0" w:line="240" w:lineRule="auto"/>
              <w:jc w:val="right"/>
              <w:rPr>
                <w:rFonts w:ascii="Calibri" w:eastAsia="Calibri" w:hAnsi="Calibri" w:cs="Arial"/>
                <w:b/>
                <w:bCs/>
                <w:color w:val="000000"/>
                <w:sz w:val="18"/>
                <w:szCs w:val="18"/>
                <w:lang w:val="en-US"/>
              </w:rPr>
            </w:pPr>
          </w:p>
        </w:tc>
      </w:tr>
      <w:tr w:rsidR="00E03287" w:rsidRPr="00537128" w14:paraId="4F96FBBD" w14:textId="77777777" w:rsidTr="005B3D2C">
        <w:trPr>
          <w:gridAfter w:val="2"/>
          <w:wAfter w:w="29" w:type="dxa"/>
          <w:trHeight w:val="187"/>
        </w:trPr>
        <w:tc>
          <w:tcPr>
            <w:tcW w:w="5039" w:type="dxa"/>
            <w:gridSpan w:val="3"/>
            <w:tcBorders>
              <w:top w:val="nil"/>
              <w:left w:val="nil"/>
              <w:bottom w:val="nil"/>
            </w:tcBorders>
            <w:shd w:val="clear" w:color="auto" w:fill="auto"/>
            <w:noWrap/>
            <w:vAlign w:val="bottom"/>
          </w:tcPr>
          <w:p w14:paraId="5854E0EA" w14:textId="77777777" w:rsidR="00E03287" w:rsidRPr="00537128" w:rsidRDefault="00E03287" w:rsidP="00E03287">
            <w:pPr>
              <w:spacing w:after="0" w:line="240" w:lineRule="auto"/>
              <w:jc w:val="both"/>
              <w:rPr>
                <w:rFonts w:ascii="Calibri" w:eastAsia="Calibri" w:hAnsi="Calibri" w:cs="Arial"/>
                <w:color w:val="000000"/>
                <w:sz w:val="18"/>
                <w:szCs w:val="18"/>
                <w:lang w:val="en-US"/>
              </w:rPr>
            </w:pPr>
            <w:r w:rsidRPr="00537128">
              <w:rPr>
                <w:rFonts w:ascii="Calibri" w:eastAsia="Calibri" w:hAnsi="Calibri" w:cs="Arial"/>
                <w:iCs/>
                <w:sz w:val="18"/>
                <w:szCs w:val="18"/>
                <w:lang w:val="en-US" w:eastAsia="hr-HR"/>
              </w:rPr>
              <w:t>Investments in shares of foreign legal entities - SWIFT</w:t>
            </w:r>
          </w:p>
        </w:tc>
        <w:tc>
          <w:tcPr>
            <w:tcW w:w="914" w:type="dxa"/>
            <w:tcBorders>
              <w:top w:val="nil"/>
              <w:bottom w:val="nil"/>
              <w:right w:val="nil"/>
            </w:tcBorders>
            <w:shd w:val="clear" w:color="auto" w:fill="auto"/>
            <w:vAlign w:val="bottom"/>
          </w:tcPr>
          <w:p w14:paraId="4B4547C6" w14:textId="77777777" w:rsidR="00E03287" w:rsidRPr="00537128" w:rsidRDefault="00E03287" w:rsidP="00E03287">
            <w:pPr>
              <w:spacing w:after="0" w:line="240" w:lineRule="auto"/>
              <w:jc w:val="both"/>
              <w:rPr>
                <w:rFonts w:ascii="Calibri" w:eastAsia="Calibri" w:hAnsi="Calibri" w:cs="Arial"/>
                <w:color w:val="000000"/>
                <w:sz w:val="18"/>
                <w:szCs w:val="18"/>
                <w:lang w:val="en-US"/>
              </w:rPr>
            </w:pPr>
          </w:p>
        </w:tc>
        <w:tc>
          <w:tcPr>
            <w:tcW w:w="1276" w:type="dxa"/>
            <w:gridSpan w:val="3"/>
            <w:tcBorders>
              <w:left w:val="nil"/>
              <w:right w:val="nil"/>
            </w:tcBorders>
          </w:tcPr>
          <w:p w14:paraId="3BDF5DCF" w14:textId="50776759" w:rsidR="00E03287" w:rsidRPr="00537128" w:rsidRDefault="005B3D2C" w:rsidP="00E03287">
            <w:pPr>
              <w:spacing w:after="0" w:line="240" w:lineRule="auto"/>
              <w:jc w:val="right"/>
              <w:rPr>
                <w:rFonts w:ascii="Calibri" w:eastAsia="Calibri" w:hAnsi="Calibri" w:cs="Arial"/>
                <w:bCs/>
                <w:color w:val="000000"/>
                <w:sz w:val="18"/>
                <w:szCs w:val="18"/>
                <w:lang w:val="en-US"/>
              </w:rPr>
            </w:pPr>
            <w:r>
              <w:rPr>
                <w:rFonts w:ascii="Calibri" w:eastAsia="Calibri" w:hAnsi="Calibri" w:cs="Arial"/>
                <w:bCs/>
                <w:color w:val="000000"/>
                <w:sz w:val="18"/>
                <w:szCs w:val="18"/>
                <w:lang w:val="en-US"/>
              </w:rPr>
              <w:t>4</w:t>
            </w:r>
            <w:r w:rsidR="00EE68B4">
              <w:rPr>
                <w:rFonts w:ascii="Calibri" w:eastAsia="Calibri" w:hAnsi="Calibri" w:cs="Arial"/>
                <w:bCs/>
                <w:color w:val="000000"/>
                <w:sz w:val="18"/>
                <w:szCs w:val="18"/>
                <w:lang w:val="en-US"/>
              </w:rPr>
              <w:t>5</w:t>
            </w:r>
          </w:p>
        </w:tc>
        <w:tc>
          <w:tcPr>
            <w:tcW w:w="1276" w:type="dxa"/>
            <w:gridSpan w:val="4"/>
            <w:tcBorders>
              <w:top w:val="nil"/>
              <w:left w:val="nil"/>
              <w:bottom w:val="nil"/>
              <w:right w:val="nil"/>
            </w:tcBorders>
            <w:shd w:val="clear" w:color="auto" w:fill="auto"/>
          </w:tcPr>
          <w:p w14:paraId="031E90BD" w14:textId="112180D0" w:rsidR="00E03287" w:rsidRPr="00537128" w:rsidRDefault="00E03287" w:rsidP="00E03287">
            <w:pPr>
              <w:spacing w:after="0" w:line="240" w:lineRule="auto"/>
              <w:jc w:val="right"/>
              <w:rPr>
                <w:rFonts w:ascii="Calibri" w:eastAsia="Calibri" w:hAnsi="Calibri" w:cs="Arial"/>
                <w:bCs/>
                <w:color w:val="000000"/>
                <w:sz w:val="18"/>
                <w:szCs w:val="18"/>
                <w:lang w:val="en-US"/>
              </w:rPr>
            </w:pPr>
            <w:r w:rsidRPr="00537128">
              <w:rPr>
                <w:rFonts w:ascii="Calibri" w:eastAsia="Calibri" w:hAnsi="Calibri" w:cs="Arial"/>
                <w:bCs/>
                <w:color w:val="000000"/>
                <w:sz w:val="18"/>
                <w:szCs w:val="18"/>
                <w:lang w:val="en-US"/>
              </w:rPr>
              <w:t>4</w:t>
            </w:r>
            <w:r>
              <w:rPr>
                <w:rFonts w:ascii="Calibri" w:eastAsia="Calibri" w:hAnsi="Calibri" w:cs="Arial"/>
                <w:bCs/>
                <w:color w:val="000000"/>
                <w:sz w:val="18"/>
                <w:szCs w:val="18"/>
                <w:lang w:val="en-US"/>
              </w:rPr>
              <w:t>5</w:t>
            </w:r>
          </w:p>
        </w:tc>
        <w:tc>
          <w:tcPr>
            <w:tcW w:w="1247" w:type="dxa"/>
            <w:tcBorders>
              <w:top w:val="nil"/>
              <w:left w:val="nil"/>
              <w:bottom w:val="nil"/>
              <w:right w:val="nil"/>
            </w:tcBorders>
            <w:shd w:val="clear" w:color="auto" w:fill="auto"/>
            <w:vAlign w:val="bottom"/>
          </w:tcPr>
          <w:p w14:paraId="46A36186" w14:textId="6BD605F7" w:rsidR="00E03287" w:rsidRPr="00537128" w:rsidRDefault="005B3D2C" w:rsidP="00E03287">
            <w:pPr>
              <w:spacing w:after="0" w:line="240" w:lineRule="auto"/>
              <w:jc w:val="right"/>
              <w:rPr>
                <w:rFonts w:ascii="Calibri" w:eastAsia="Calibri" w:hAnsi="Calibri" w:cs="Arial"/>
                <w:bCs/>
                <w:color w:val="000000"/>
                <w:sz w:val="18"/>
                <w:szCs w:val="18"/>
                <w:lang w:val="en-US"/>
              </w:rPr>
            </w:pPr>
            <w:r>
              <w:rPr>
                <w:rFonts w:ascii="Calibri" w:eastAsia="Calibri" w:hAnsi="Calibri" w:cs="Arial"/>
                <w:bCs/>
                <w:color w:val="000000"/>
                <w:sz w:val="18"/>
                <w:szCs w:val="18"/>
                <w:lang w:val="en-US"/>
              </w:rPr>
              <w:t>4</w:t>
            </w:r>
            <w:r w:rsidR="00EE68B4">
              <w:rPr>
                <w:rFonts w:ascii="Calibri" w:eastAsia="Calibri" w:hAnsi="Calibri" w:cs="Arial"/>
                <w:bCs/>
                <w:color w:val="000000"/>
                <w:sz w:val="18"/>
                <w:szCs w:val="18"/>
                <w:lang w:val="en-US"/>
              </w:rPr>
              <w:t>5</w:t>
            </w:r>
          </w:p>
        </w:tc>
        <w:tc>
          <w:tcPr>
            <w:tcW w:w="1276" w:type="dxa"/>
            <w:gridSpan w:val="3"/>
            <w:tcBorders>
              <w:left w:val="nil"/>
              <w:right w:val="nil"/>
            </w:tcBorders>
          </w:tcPr>
          <w:p w14:paraId="04E13ABC" w14:textId="42313A5B" w:rsidR="00E03287" w:rsidRPr="00537128" w:rsidRDefault="00E03287" w:rsidP="00E03287">
            <w:pPr>
              <w:spacing w:after="0" w:line="240" w:lineRule="auto"/>
              <w:jc w:val="right"/>
              <w:rPr>
                <w:rFonts w:ascii="Calibri" w:eastAsia="Calibri" w:hAnsi="Calibri" w:cs="Arial"/>
                <w:bCs/>
                <w:color w:val="000000"/>
                <w:sz w:val="18"/>
                <w:szCs w:val="18"/>
                <w:lang w:val="en-US"/>
              </w:rPr>
            </w:pPr>
            <w:r w:rsidRPr="00537128">
              <w:rPr>
                <w:rFonts w:ascii="Calibri" w:eastAsia="Calibri" w:hAnsi="Calibri" w:cs="Arial"/>
                <w:bCs/>
                <w:color w:val="000000"/>
                <w:sz w:val="18"/>
                <w:szCs w:val="18"/>
                <w:lang w:val="en-US"/>
              </w:rPr>
              <w:t>4</w:t>
            </w:r>
            <w:r>
              <w:rPr>
                <w:rFonts w:ascii="Calibri" w:eastAsia="Calibri" w:hAnsi="Calibri" w:cs="Arial"/>
                <w:bCs/>
                <w:color w:val="000000"/>
                <w:sz w:val="18"/>
                <w:szCs w:val="18"/>
                <w:lang w:val="en-US"/>
              </w:rPr>
              <w:t>5</w:t>
            </w:r>
          </w:p>
        </w:tc>
      </w:tr>
      <w:tr w:rsidR="00E03287" w:rsidRPr="00537128" w14:paraId="1B57821B" w14:textId="77777777" w:rsidTr="005B3D2C">
        <w:trPr>
          <w:gridAfter w:val="2"/>
          <w:wAfter w:w="29" w:type="dxa"/>
          <w:trHeight w:val="187"/>
        </w:trPr>
        <w:tc>
          <w:tcPr>
            <w:tcW w:w="5039" w:type="dxa"/>
            <w:gridSpan w:val="3"/>
            <w:tcBorders>
              <w:top w:val="nil"/>
              <w:left w:val="nil"/>
            </w:tcBorders>
            <w:shd w:val="clear" w:color="auto" w:fill="auto"/>
            <w:noWrap/>
            <w:vAlign w:val="bottom"/>
          </w:tcPr>
          <w:p w14:paraId="6E445966" w14:textId="77777777" w:rsidR="00E03287" w:rsidRPr="00537128" w:rsidRDefault="00E03287" w:rsidP="00E03287">
            <w:pPr>
              <w:spacing w:after="0" w:line="240" w:lineRule="auto"/>
              <w:jc w:val="both"/>
              <w:rPr>
                <w:rFonts w:ascii="Calibri" w:eastAsia="Calibri" w:hAnsi="Calibri" w:cs="Arial"/>
                <w:color w:val="000000"/>
                <w:sz w:val="18"/>
                <w:szCs w:val="18"/>
                <w:lang w:val="en-US"/>
              </w:rPr>
            </w:pPr>
            <w:r w:rsidRPr="00537128">
              <w:rPr>
                <w:rFonts w:ascii="Calibri" w:eastAsia="Calibri" w:hAnsi="Calibri" w:cs="Arial"/>
                <w:iCs/>
                <w:sz w:val="18"/>
                <w:szCs w:val="18"/>
                <w:lang w:val="en-US" w:eastAsia="hr-HR"/>
              </w:rPr>
              <w:t>Investments in shares of foreign financial institutions - EIF</w:t>
            </w:r>
          </w:p>
        </w:tc>
        <w:tc>
          <w:tcPr>
            <w:tcW w:w="914" w:type="dxa"/>
            <w:tcBorders>
              <w:top w:val="nil"/>
              <w:right w:val="nil"/>
            </w:tcBorders>
            <w:shd w:val="clear" w:color="auto" w:fill="auto"/>
            <w:vAlign w:val="bottom"/>
          </w:tcPr>
          <w:p w14:paraId="4F2692CB" w14:textId="77777777" w:rsidR="00E03287" w:rsidRPr="00537128" w:rsidRDefault="00E03287" w:rsidP="00E03287">
            <w:pPr>
              <w:spacing w:after="0" w:line="240" w:lineRule="auto"/>
              <w:jc w:val="both"/>
              <w:rPr>
                <w:rFonts w:ascii="Calibri" w:eastAsia="Calibri" w:hAnsi="Calibri" w:cs="Arial"/>
                <w:color w:val="000000"/>
                <w:sz w:val="18"/>
                <w:szCs w:val="18"/>
                <w:lang w:val="en-US"/>
              </w:rPr>
            </w:pPr>
          </w:p>
        </w:tc>
        <w:tc>
          <w:tcPr>
            <w:tcW w:w="1276" w:type="dxa"/>
            <w:gridSpan w:val="3"/>
            <w:tcBorders>
              <w:left w:val="nil"/>
              <w:bottom w:val="single" w:sz="4" w:space="0" w:color="auto"/>
              <w:right w:val="nil"/>
            </w:tcBorders>
          </w:tcPr>
          <w:p w14:paraId="15DA4F97" w14:textId="5AF2D83A" w:rsidR="00E03287" w:rsidRPr="00537128" w:rsidRDefault="005B3D2C" w:rsidP="00E03287">
            <w:pPr>
              <w:spacing w:after="0" w:line="240" w:lineRule="auto"/>
              <w:jc w:val="right"/>
              <w:rPr>
                <w:rFonts w:ascii="Calibri" w:eastAsia="Calibri" w:hAnsi="Calibri" w:cs="Arial"/>
                <w:bCs/>
                <w:color w:val="000000"/>
                <w:sz w:val="18"/>
                <w:szCs w:val="18"/>
                <w:lang w:val="en-US"/>
              </w:rPr>
            </w:pPr>
            <w:r>
              <w:rPr>
                <w:rFonts w:ascii="Calibri" w:eastAsia="Calibri" w:hAnsi="Calibri" w:cs="Arial"/>
                <w:bCs/>
                <w:color w:val="000000"/>
                <w:sz w:val="18"/>
                <w:szCs w:val="18"/>
                <w:lang w:val="en-US"/>
              </w:rPr>
              <w:t>43,311</w:t>
            </w:r>
          </w:p>
        </w:tc>
        <w:tc>
          <w:tcPr>
            <w:tcW w:w="1276" w:type="dxa"/>
            <w:gridSpan w:val="4"/>
            <w:tcBorders>
              <w:top w:val="nil"/>
              <w:left w:val="nil"/>
              <w:bottom w:val="single" w:sz="4" w:space="0" w:color="auto"/>
              <w:right w:val="nil"/>
            </w:tcBorders>
            <w:shd w:val="clear" w:color="auto" w:fill="auto"/>
          </w:tcPr>
          <w:p w14:paraId="732BFF29" w14:textId="21B7C0C0" w:rsidR="00E03287" w:rsidRPr="00537128" w:rsidRDefault="00E03287" w:rsidP="00E03287">
            <w:pPr>
              <w:spacing w:after="0" w:line="240" w:lineRule="auto"/>
              <w:jc w:val="right"/>
              <w:rPr>
                <w:rFonts w:ascii="Calibri" w:eastAsia="Calibri" w:hAnsi="Calibri" w:cs="Arial"/>
                <w:bCs/>
                <w:color w:val="000000"/>
                <w:sz w:val="18"/>
                <w:szCs w:val="18"/>
                <w:lang w:val="en-US"/>
              </w:rPr>
            </w:pPr>
            <w:r>
              <w:rPr>
                <w:rFonts w:ascii="Calibri" w:eastAsia="Calibri" w:hAnsi="Calibri" w:cs="Arial"/>
                <w:bCs/>
                <w:color w:val="000000"/>
                <w:sz w:val="18"/>
                <w:szCs w:val="18"/>
                <w:lang w:val="en-US"/>
              </w:rPr>
              <w:t>42</w:t>
            </w:r>
            <w:r w:rsidRPr="00537128">
              <w:rPr>
                <w:rFonts w:ascii="Calibri" w:eastAsia="Calibri" w:hAnsi="Calibri" w:cs="Arial"/>
                <w:bCs/>
                <w:color w:val="000000"/>
                <w:sz w:val="18"/>
                <w:szCs w:val="18"/>
                <w:lang w:val="en-US"/>
              </w:rPr>
              <w:t>,</w:t>
            </w:r>
            <w:r>
              <w:rPr>
                <w:rFonts w:ascii="Calibri" w:eastAsia="Calibri" w:hAnsi="Calibri" w:cs="Arial"/>
                <w:bCs/>
                <w:color w:val="000000"/>
                <w:sz w:val="18"/>
                <w:szCs w:val="18"/>
                <w:lang w:val="en-US"/>
              </w:rPr>
              <w:t>971</w:t>
            </w:r>
          </w:p>
        </w:tc>
        <w:tc>
          <w:tcPr>
            <w:tcW w:w="1247" w:type="dxa"/>
            <w:tcBorders>
              <w:top w:val="nil"/>
              <w:left w:val="nil"/>
              <w:bottom w:val="single" w:sz="4" w:space="0" w:color="auto"/>
              <w:right w:val="nil"/>
            </w:tcBorders>
            <w:shd w:val="clear" w:color="auto" w:fill="auto"/>
            <w:vAlign w:val="bottom"/>
          </w:tcPr>
          <w:p w14:paraId="79E8C7A5" w14:textId="1E4918A1" w:rsidR="00E03287" w:rsidRPr="00537128" w:rsidRDefault="00EE68B4" w:rsidP="00E03287">
            <w:pPr>
              <w:spacing w:after="0" w:line="240" w:lineRule="auto"/>
              <w:jc w:val="right"/>
              <w:rPr>
                <w:rFonts w:ascii="Calibri" w:eastAsia="Calibri" w:hAnsi="Calibri" w:cs="Arial"/>
                <w:bCs/>
                <w:color w:val="000000"/>
                <w:sz w:val="18"/>
                <w:szCs w:val="18"/>
                <w:lang w:val="en-US"/>
              </w:rPr>
            </w:pPr>
            <w:r>
              <w:rPr>
                <w:rFonts w:ascii="Calibri" w:eastAsia="Calibri" w:hAnsi="Calibri" w:cs="Arial"/>
                <w:bCs/>
                <w:color w:val="000000"/>
                <w:sz w:val="18"/>
                <w:szCs w:val="18"/>
                <w:lang w:val="en-US"/>
              </w:rPr>
              <w:t>43,311</w:t>
            </w:r>
          </w:p>
        </w:tc>
        <w:tc>
          <w:tcPr>
            <w:tcW w:w="1276" w:type="dxa"/>
            <w:gridSpan w:val="3"/>
            <w:tcBorders>
              <w:left w:val="nil"/>
              <w:bottom w:val="single" w:sz="4" w:space="0" w:color="auto"/>
              <w:right w:val="nil"/>
            </w:tcBorders>
          </w:tcPr>
          <w:p w14:paraId="723FF99A" w14:textId="5DB3C86A" w:rsidR="00E03287" w:rsidRPr="00537128" w:rsidRDefault="00E03287" w:rsidP="00E03287">
            <w:pPr>
              <w:spacing w:after="0" w:line="240" w:lineRule="auto"/>
              <w:jc w:val="right"/>
              <w:rPr>
                <w:rFonts w:ascii="Calibri" w:eastAsia="Calibri" w:hAnsi="Calibri" w:cs="Arial"/>
                <w:bCs/>
                <w:color w:val="000000"/>
                <w:sz w:val="18"/>
                <w:szCs w:val="18"/>
                <w:lang w:val="en-US"/>
              </w:rPr>
            </w:pPr>
            <w:r>
              <w:rPr>
                <w:rFonts w:ascii="Calibri" w:eastAsia="Calibri" w:hAnsi="Calibri" w:cs="Arial"/>
                <w:bCs/>
                <w:color w:val="000000"/>
                <w:sz w:val="18"/>
                <w:szCs w:val="18"/>
                <w:lang w:val="en-US"/>
              </w:rPr>
              <w:t>42</w:t>
            </w:r>
            <w:r w:rsidRPr="00537128">
              <w:rPr>
                <w:rFonts w:ascii="Calibri" w:eastAsia="Calibri" w:hAnsi="Calibri" w:cs="Arial"/>
                <w:bCs/>
                <w:color w:val="000000"/>
                <w:sz w:val="18"/>
                <w:szCs w:val="18"/>
                <w:lang w:val="en-US"/>
              </w:rPr>
              <w:t>,</w:t>
            </w:r>
            <w:r>
              <w:rPr>
                <w:rFonts w:ascii="Calibri" w:eastAsia="Calibri" w:hAnsi="Calibri" w:cs="Arial"/>
                <w:bCs/>
                <w:color w:val="000000"/>
                <w:sz w:val="18"/>
                <w:szCs w:val="18"/>
                <w:lang w:val="en-US"/>
              </w:rPr>
              <w:t>971</w:t>
            </w:r>
          </w:p>
        </w:tc>
      </w:tr>
      <w:tr w:rsidR="00E03287" w:rsidRPr="00537128" w14:paraId="1C3564CC" w14:textId="77777777" w:rsidTr="005B3D2C">
        <w:trPr>
          <w:gridAfter w:val="2"/>
          <w:wAfter w:w="29" w:type="dxa"/>
          <w:trHeight w:val="187"/>
        </w:trPr>
        <w:tc>
          <w:tcPr>
            <w:tcW w:w="2798" w:type="dxa"/>
            <w:tcBorders>
              <w:top w:val="single" w:sz="4" w:space="0" w:color="auto"/>
              <w:bottom w:val="single" w:sz="12" w:space="0" w:color="auto"/>
            </w:tcBorders>
            <w:noWrap/>
          </w:tcPr>
          <w:p w14:paraId="072714B6" w14:textId="77777777" w:rsidR="00E03287" w:rsidRPr="00537128" w:rsidRDefault="00E03287" w:rsidP="00E03287">
            <w:pPr>
              <w:spacing w:after="0" w:line="240" w:lineRule="auto"/>
              <w:jc w:val="both"/>
              <w:rPr>
                <w:rFonts w:ascii="Calibri" w:eastAsia="Calibri" w:hAnsi="Calibri" w:cs="Arial"/>
                <w:spacing w:val="-2"/>
                <w:sz w:val="18"/>
                <w:szCs w:val="18"/>
                <w:lang w:val="en-US"/>
              </w:rPr>
            </w:pPr>
          </w:p>
        </w:tc>
        <w:tc>
          <w:tcPr>
            <w:tcW w:w="1120" w:type="dxa"/>
            <w:tcBorders>
              <w:top w:val="single" w:sz="4" w:space="0" w:color="auto"/>
              <w:left w:val="nil"/>
              <w:bottom w:val="single" w:sz="12" w:space="0" w:color="auto"/>
              <w:right w:val="nil"/>
            </w:tcBorders>
            <w:shd w:val="clear" w:color="auto" w:fill="auto"/>
            <w:noWrap/>
            <w:vAlign w:val="center"/>
          </w:tcPr>
          <w:p w14:paraId="015247DD" w14:textId="77777777" w:rsidR="00E03287" w:rsidRPr="00537128" w:rsidRDefault="00E03287" w:rsidP="00E03287">
            <w:pPr>
              <w:spacing w:after="0" w:line="240" w:lineRule="auto"/>
              <w:jc w:val="right"/>
              <w:rPr>
                <w:rFonts w:ascii="Calibri" w:eastAsia="Calibri" w:hAnsi="Calibri" w:cs="Arial"/>
                <w:color w:val="000000"/>
                <w:sz w:val="18"/>
                <w:szCs w:val="18"/>
                <w:lang w:val="en-US"/>
              </w:rPr>
            </w:pPr>
          </w:p>
        </w:tc>
        <w:tc>
          <w:tcPr>
            <w:tcW w:w="1121" w:type="dxa"/>
            <w:tcBorders>
              <w:top w:val="single" w:sz="4" w:space="0" w:color="auto"/>
              <w:left w:val="nil"/>
              <w:bottom w:val="single" w:sz="12" w:space="0" w:color="auto"/>
            </w:tcBorders>
            <w:shd w:val="clear" w:color="auto" w:fill="auto"/>
            <w:noWrap/>
            <w:vAlign w:val="center"/>
          </w:tcPr>
          <w:p w14:paraId="4C9B902C" w14:textId="77777777" w:rsidR="00E03287" w:rsidRPr="00537128" w:rsidRDefault="00E03287" w:rsidP="00E03287">
            <w:pPr>
              <w:spacing w:after="0" w:line="240" w:lineRule="auto"/>
              <w:jc w:val="right"/>
              <w:rPr>
                <w:rFonts w:ascii="Calibri" w:eastAsia="Calibri" w:hAnsi="Calibri" w:cs="Arial"/>
                <w:color w:val="000000"/>
                <w:sz w:val="18"/>
                <w:szCs w:val="18"/>
                <w:lang w:val="en-US"/>
              </w:rPr>
            </w:pPr>
          </w:p>
        </w:tc>
        <w:tc>
          <w:tcPr>
            <w:tcW w:w="914" w:type="dxa"/>
            <w:tcBorders>
              <w:top w:val="single" w:sz="4" w:space="0" w:color="auto"/>
              <w:bottom w:val="single" w:sz="12" w:space="0" w:color="auto"/>
              <w:right w:val="nil"/>
            </w:tcBorders>
            <w:shd w:val="clear" w:color="auto" w:fill="auto"/>
            <w:noWrap/>
            <w:vAlign w:val="center"/>
          </w:tcPr>
          <w:p w14:paraId="06F6CC3E" w14:textId="77777777" w:rsidR="00E03287" w:rsidRPr="00537128" w:rsidRDefault="00E03287" w:rsidP="00E03287">
            <w:pPr>
              <w:spacing w:after="0" w:line="240" w:lineRule="auto"/>
              <w:jc w:val="both"/>
              <w:rPr>
                <w:rFonts w:ascii="Calibri" w:eastAsia="Calibri" w:hAnsi="Calibri" w:cs="Arial"/>
                <w:color w:val="000000"/>
                <w:sz w:val="18"/>
                <w:szCs w:val="18"/>
                <w:lang w:val="en-US"/>
              </w:rPr>
            </w:pPr>
          </w:p>
        </w:tc>
        <w:tc>
          <w:tcPr>
            <w:tcW w:w="1247" w:type="dxa"/>
            <w:gridSpan w:val="2"/>
            <w:tcBorders>
              <w:top w:val="single" w:sz="4" w:space="0" w:color="auto"/>
              <w:left w:val="nil"/>
              <w:bottom w:val="single" w:sz="12" w:space="0" w:color="auto"/>
              <w:right w:val="nil"/>
            </w:tcBorders>
            <w:shd w:val="clear" w:color="auto" w:fill="auto"/>
            <w:vAlign w:val="bottom"/>
          </w:tcPr>
          <w:p w14:paraId="450626D0" w14:textId="701B514D" w:rsidR="00E03287" w:rsidRPr="00537128" w:rsidRDefault="005B3D2C" w:rsidP="00E03287">
            <w:pPr>
              <w:spacing w:after="0" w:line="240" w:lineRule="auto"/>
              <w:jc w:val="right"/>
              <w:rPr>
                <w:rFonts w:ascii="Calibri" w:eastAsia="Calibri" w:hAnsi="Calibri" w:cs="Times New Roman"/>
                <w:b/>
                <w:sz w:val="18"/>
                <w:szCs w:val="18"/>
                <w:lang w:val="en-US"/>
              </w:rPr>
            </w:pPr>
            <w:r>
              <w:rPr>
                <w:rFonts w:ascii="Calibri" w:eastAsia="Calibri" w:hAnsi="Calibri" w:cs="Times New Roman"/>
                <w:b/>
                <w:sz w:val="18"/>
                <w:szCs w:val="18"/>
                <w:lang w:val="en-US"/>
              </w:rPr>
              <w:t>43,356</w:t>
            </w:r>
          </w:p>
        </w:tc>
        <w:tc>
          <w:tcPr>
            <w:tcW w:w="1276" w:type="dxa"/>
            <w:gridSpan w:val="3"/>
            <w:tcBorders>
              <w:top w:val="single" w:sz="4" w:space="0" w:color="auto"/>
              <w:left w:val="nil"/>
              <w:bottom w:val="single" w:sz="12" w:space="0" w:color="auto"/>
              <w:right w:val="nil"/>
            </w:tcBorders>
            <w:shd w:val="clear" w:color="auto" w:fill="auto"/>
            <w:vAlign w:val="bottom"/>
          </w:tcPr>
          <w:p w14:paraId="180BCD8F" w14:textId="222643EC" w:rsidR="00E03287" w:rsidRPr="00537128" w:rsidRDefault="00E03287" w:rsidP="00E03287">
            <w:pPr>
              <w:spacing w:after="0" w:line="240" w:lineRule="auto"/>
              <w:jc w:val="right"/>
              <w:rPr>
                <w:rFonts w:ascii="Calibri" w:eastAsia="Calibri" w:hAnsi="Calibri" w:cs="Arial"/>
                <w:b/>
                <w:sz w:val="18"/>
                <w:szCs w:val="18"/>
                <w:lang w:val="en-US"/>
              </w:rPr>
            </w:pPr>
            <w:r>
              <w:rPr>
                <w:rFonts w:ascii="Calibri" w:eastAsia="Calibri" w:hAnsi="Calibri" w:cs="Arial"/>
                <w:b/>
                <w:bCs/>
                <w:color w:val="000000"/>
                <w:sz w:val="18"/>
                <w:szCs w:val="18"/>
                <w:lang w:val="en-US"/>
              </w:rPr>
              <w:t>43</w:t>
            </w:r>
            <w:r w:rsidRPr="00537128">
              <w:rPr>
                <w:rFonts w:ascii="Calibri" w:eastAsia="Calibri" w:hAnsi="Calibri" w:cs="Arial"/>
                <w:b/>
                <w:bCs/>
                <w:color w:val="000000"/>
                <w:sz w:val="18"/>
                <w:szCs w:val="18"/>
                <w:lang w:val="en-US"/>
              </w:rPr>
              <w:t>,</w:t>
            </w:r>
            <w:r>
              <w:rPr>
                <w:rFonts w:ascii="Calibri" w:eastAsia="Calibri" w:hAnsi="Calibri" w:cs="Arial"/>
                <w:b/>
                <w:bCs/>
                <w:color w:val="000000"/>
                <w:sz w:val="18"/>
                <w:szCs w:val="18"/>
                <w:lang w:val="en-US"/>
              </w:rPr>
              <w:t>016</w:t>
            </w:r>
          </w:p>
        </w:tc>
        <w:tc>
          <w:tcPr>
            <w:tcW w:w="1276" w:type="dxa"/>
            <w:gridSpan w:val="3"/>
            <w:tcBorders>
              <w:top w:val="single" w:sz="4" w:space="0" w:color="auto"/>
              <w:left w:val="nil"/>
              <w:bottom w:val="single" w:sz="12" w:space="0" w:color="auto"/>
              <w:right w:val="nil"/>
            </w:tcBorders>
            <w:shd w:val="clear" w:color="auto" w:fill="auto"/>
            <w:vAlign w:val="bottom"/>
          </w:tcPr>
          <w:p w14:paraId="17D9B22E" w14:textId="0E6227C7" w:rsidR="00E03287" w:rsidRPr="00537128" w:rsidRDefault="00EE68B4" w:rsidP="00E03287">
            <w:pPr>
              <w:spacing w:after="0" w:line="240" w:lineRule="auto"/>
              <w:jc w:val="right"/>
              <w:rPr>
                <w:rFonts w:ascii="Calibri" w:eastAsia="Calibri" w:hAnsi="Calibri" w:cs="Arial"/>
                <w:b/>
                <w:sz w:val="18"/>
                <w:szCs w:val="18"/>
                <w:lang w:val="en-US"/>
              </w:rPr>
            </w:pPr>
            <w:r>
              <w:rPr>
                <w:rFonts w:ascii="Calibri" w:eastAsia="Calibri" w:hAnsi="Calibri" w:cs="Arial"/>
                <w:b/>
                <w:sz w:val="18"/>
                <w:szCs w:val="18"/>
                <w:lang w:val="en-US"/>
              </w:rPr>
              <w:t>43,356</w:t>
            </w:r>
          </w:p>
        </w:tc>
        <w:tc>
          <w:tcPr>
            <w:tcW w:w="1276" w:type="dxa"/>
            <w:gridSpan w:val="3"/>
            <w:tcBorders>
              <w:top w:val="single" w:sz="4" w:space="0" w:color="auto"/>
              <w:left w:val="nil"/>
              <w:bottom w:val="single" w:sz="12" w:space="0" w:color="auto"/>
              <w:right w:val="nil"/>
            </w:tcBorders>
            <w:shd w:val="clear" w:color="auto" w:fill="auto"/>
            <w:vAlign w:val="bottom"/>
          </w:tcPr>
          <w:p w14:paraId="15955047" w14:textId="77C158E6" w:rsidR="00E03287" w:rsidRPr="00537128" w:rsidRDefault="00E03287" w:rsidP="00E03287">
            <w:pPr>
              <w:spacing w:after="0" w:line="240" w:lineRule="auto"/>
              <w:jc w:val="right"/>
              <w:rPr>
                <w:rFonts w:ascii="Calibri" w:eastAsia="Calibri" w:hAnsi="Calibri" w:cs="Arial"/>
                <w:b/>
                <w:sz w:val="18"/>
                <w:szCs w:val="18"/>
                <w:lang w:val="en-US"/>
              </w:rPr>
            </w:pPr>
            <w:r>
              <w:rPr>
                <w:rFonts w:ascii="Calibri" w:eastAsia="Calibri" w:hAnsi="Calibri" w:cs="Arial"/>
                <w:b/>
                <w:bCs/>
                <w:color w:val="000000"/>
                <w:sz w:val="18"/>
                <w:szCs w:val="18"/>
                <w:lang w:val="en-US"/>
              </w:rPr>
              <w:t>43</w:t>
            </w:r>
            <w:r w:rsidRPr="00537128">
              <w:rPr>
                <w:rFonts w:ascii="Calibri" w:eastAsia="Calibri" w:hAnsi="Calibri" w:cs="Arial"/>
                <w:b/>
                <w:bCs/>
                <w:color w:val="000000"/>
                <w:sz w:val="18"/>
                <w:szCs w:val="18"/>
                <w:lang w:val="en-US"/>
              </w:rPr>
              <w:t>,</w:t>
            </w:r>
            <w:r>
              <w:rPr>
                <w:rFonts w:ascii="Calibri" w:eastAsia="Calibri" w:hAnsi="Calibri" w:cs="Arial"/>
                <w:b/>
                <w:bCs/>
                <w:color w:val="000000"/>
                <w:sz w:val="18"/>
                <w:szCs w:val="18"/>
                <w:lang w:val="en-US"/>
              </w:rPr>
              <w:t>016</w:t>
            </w:r>
          </w:p>
        </w:tc>
      </w:tr>
      <w:tr w:rsidR="00E03287" w:rsidRPr="00537128" w14:paraId="4AE45DAE" w14:textId="77777777" w:rsidTr="005B3D2C">
        <w:trPr>
          <w:gridAfter w:val="2"/>
          <w:wAfter w:w="29" w:type="dxa"/>
          <w:trHeight w:hRule="exact" w:val="259"/>
        </w:trPr>
        <w:tc>
          <w:tcPr>
            <w:tcW w:w="2798" w:type="dxa"/>
            <w:tcBorders>
              <w:top w:val="single" w:sz="12" w:space="0" w:color="auto"/>
              <w:bottom w:val="single" w:sz="12" w:space="0" w:color="auto"/>
            </w:tcBorders>
            <w:noWrap/>
            <w:vAlign w:val="bottom"/>
          </w:tcPr>
          <w:p w14:paraId="4768B802" w14:textId="77777777" w:rsidR="00E03287" w:rsidRPr="00537128" w:rsidRDefault="00E03287" w:rsidP="00E03287">
            <w:pPr>
              <w:spacing w:after="0" w:line="240" w:lineRule="auto"/>
              <w:jc w:val="both"/>
              <w:rPr>
                <w:rFonts w:ascii="Calibri" w:eastAsia="Calibri" w:hAnsi="Calibri" w:cs="Arial"/>
                <w:b/>
                <w:spacing w:val="-2"/>
                <w:sz w:val="18"/>
                <w:szCs w:val="18"/>
                <w:lang w:val="en-US"/>
              </w:rPr>
            </w:pPr>
            <w:r w:rsidRPr="00537128">
              <w:rPr>
                <w:rFonts w:ascii="Calibri" w:eastAsia="Calibri" w:hAnsi="Calibri" w:cs="Arial"/>
                <w:b/>
                <w:spacing w:val="-2"/>
                <w:sz w:val="18"/>
                <w:szCs w:val="18"/>
                <w:lang w:val="en-US"/>
              </w:rPr>
              <w:t>Total</w:t>
            </w:r>
          </w:p>
        </w:tc>
        <w:tc>
          <w:tcPr>
            <w:tcW w:w="1120" w:type="dxa"/>
            <w:tcBorders>
              <w:top w:val="single" w:sz="12" w:space="0" w:color="auto"/>
              <w:left w:val="nil"/>
              <w:bottom w:val="single" w:sz="12" w:space="0" w:color="auto"/>
              <w:right w:val="nil"/>
            </w:tcBorders>
            <w:shd w:val="clear" w:color="auto" w:fill="auto"/>
            <w:noWrap/>
            <w:vAlign w:val="bottom"/>
          </w:tcPr>
          <w:p w14:paraId="1767ECA9" w14:textId="77777777" w:rsidR="00E03287" w:rsidRPr="00537128" w:rsidRDefault="00E03287" w:rsidP="00E03287">
            <w:pPr>
              <w:spacing w:after="0" w:line="240" w:lineRule="auto"/>
              <w:jc w:val="right"/>
              <w:rPr>
                <w:rFonts w:ascii="Calibri" w:eastAsia="Calibri" w:hAnsi="Calibri" w:cs="Arial"/>
                <w:color w:val="000000"/>
                <w:sz w:val="18"/>
                <w:szCs w:val="18"/>
                <w:lang w:val="en-US"/>
              </w:rPr>
            </w:pPr>
          </w:p>
        </w:tc>
        <w:tc>
          <w:tcPr>
            <w:tcW w:w="1121" w:type="dxa"/>
            <w:tcBorders>
              <w:top w:val="single" w:sz="12" w:space="0" w:color="auto"/>
              <w:left w:val="nil"/>
              <w:bottom w:val="single" w:sz="12" w:space="0" w:color="auto"/>
              <w:right w:val="nil"/>
            </w:tcBorders>
            <w:shd w:val="clear" w:color="auto" w:fill="auto"/>
            <w:noWrap/>
            <w:vAlign w:val="bottom"/>
          </w:tcPr>
          <w:p w14:paraId="08EED143" w14:textId="77777777" w:rsidR="00E03287" w:rsidRPr="00537128" w:rsidRDefault="00E03287" w:rsidP="00E03287">
            <w:pPr>
              <w:spacing w:after="0" w:line="240" w:lineRule="auto"/>
              <w:jc w:val="right"/>
              <w:rPr>
                <w:rFonts w:ascii="Calibri" w:eastAsia="Calibri" w:hAnsi="Calibri" w:cs="Arial"/>
                <w:color w:val="000000"/>
                <w:sz w:val="18"/>
                <w:szCs w:val="18"/>
                <w:lang w:val="en-US"/>
              </w:rPr>
            </w:pPr>
          </w:p>
        </w:tc>
        <w:tc>
          <w:tcPr>
            <w:tcW w:w="914" w:type="dxa"/>
            <w:tcBorders>
              <w:top w:val="single" w:sz="12" w:space="0" w:color="auto"/>
              <w:left w:val="nil"/>
              <w:bottom w:val="single" w:sz="12" w:space="0" w:color="auto"/>
              <w:right w:val="nil"/>
            </w:tcBorders>
            <w:shd w:val="clear" w:color="auto" w:fill="auto"/>
            <w:noWrap/>
            <w:vAlign w:val="bottom"/>
          </w:tcPr>
          <w:p w14:paraId="4CDE9DDA" w14:textId="77777777" w:rsidR="00E03287" w:rsidRPr="00537128" w:rsidRDefault="00E03287" w:rsidP="00E03287">
            <w:pPr>
              <w:spacing w:after="0" w:line="240" w:lineRule="auto"/>
              <w:jc w:val="both"/>
              <w:rPr>
                <w:rFonts w:ascii="Calibri" w:eastAsia="Calibri" w:hAnsi="Calibri" w:cs="Arial"/>
                <w:color w:val="000000"/>
                <w:sz w:val="18"/>
                <w:szCs w:val="18"/>
                <w:lang w:val="en-US"/>
              </w:rPr>
            </w:pPr>
          </w:p>
        </w:tc>
        <w:tc>
          <w:tcPr>
            <w:tcW w:w="1247" w:type="dxa"/>
            <w:gridSpan w:val="2"/>
            <w:tcBorders>
              <w:top w:val="single" w:sz="12" w:space="0" w:color="auto"/>
              <w:left w:val="nil"/>
              <w:bottom w:val="single" w:sz="12" w:space="0" w:color="auto"/>
              <w:right w:val="nil"/>
            </w:tcBorders>
            <w:shd w:val="clear" w:color="auto" w:fill="auto"/>
            <w:vAlign w:val="bottom"/>
          </w:tcPr>
          <w:p w14:paraId="135A9BF9" w14:textId="3D72A35D" w:rsidR="00E03287" w:rsidRPr="00537128" w:rsidRDefault="005B3D2C" w:rsidP="00E03287">
            <w:pPr>
              <w:spacing w:after="0" w:line="240" w:lineRule="auto"/>
              <w:jc w:val="right"/>
              <w:rPr>
                <w:rFonts w:ascii="Calibri" w:eastAsia="Calibri" w:hAnsi="Calibri" w:cs="Times New Roman"/>
                <w:b/>
                <w:sz w:val="18"/>
                <w:szCs w:val="18"/>
                <w:lang w:val="en-US"/>
              </w:rPr>
            </w:pPr>
            <w:r>
              <w:rPr>
                <w:rFonts w:ascii="Calibri" w:eastAsia="Calibri" w:hAnsi="Calibri" w:cs="Times New Roman"/>
                <w:b/>
                <w:sz w:val="18"/>
                <w:szCs w:val="18"/>
                <w:lang w:val="en-US"/>
              </w:rPr>
              <w:t>3,249,003</w:t>
            </w:r>
          </w:p>
        </w:tc>
        <w:tc>
          <w:tcPr>
            <w:tcW w:w="1276" w:type="dxa"/>
            <w:gridSpan w:val="3"/>
            <w:tcBorders>
              <w:top w:val="single" w:sz="12" w:space="0" w:color="auto"/>
              <w:left w:val="nil"/>
              <w:bottom w:val="single" w:sz="12" w:space="0" w:color="auto"/>
              <w:right w:val="nil"/>
            </w:tcBorders>
            <w:shd w:val="clear" w:color="auto" w:fill="auto"/>
            <w:vAlign w:val="bottom"/>
          </w:tcPr>
          <w:p w14:paraId="161E68E4" w14:textId="20EC0997" w:rsidR="00E03287" w:rsidRPr="00537128" w:rsidRDefault="00E03287" w:rsidP="00E03287">
            <w:pPr>
              <w:spacing w:after="0" w:line="240" w:lineRule="auto"/>
              <w:jc w:val="right"/>
              <w:rPr>
                <w:rFonts w:ascii="Calibri" w:eastAsia="Calibri" w:hAnsi="Calibri" w:cs="Arial"/>
                <w:b/>
                <w:sz w:val="18"/>
                <w:szCs w:val="18"/>
                <w:lang w:val="en-US"/>
              </w:rPr>
            </w:pPr>
            <w:r>
              <w:rPr>
                <w:rFonts w:ascii="Calibri" w:eastAsia="Calibri" w:hAnsi="Calibri"/>
                <w:b/>
                <w:color w:val="000000"/>
                <w:sz w:val="18"/>
                <w:szCs w:val="18"/>
                <w:lang w:val="en-US"/>
              </w:rPr>
              <w:t>2</w:t>
            </w:r>
            <w:r w:rsidRPr="00537128">
              <w:rPr>
                <w:rFonts w:ascii="Calibri" w:eastAsia="Calibri" w:hAnsi="Calibri"/>
                <w:b/>
                <w:color w:val="000000"/>
                <w:sz w:val="18"/>
                <w:szCs w:val="18"/>
                <w:lang w:val="en-US"/>
              </w:rPr>
              <w:t>,</w:t>
            </w:r>
            <w:r>
              <w:rPr>
                <w:rFonts w:ascii="Calibri" w:eastAsia="Calibri" w:hAnsi="Calibri"/>
                <w:b/>
                <w:color w:val="000000"/>
                <w:sz w:val="18"/>
                <w:szCs w:val="18"/>
                <w:lang w:val="en-US"/>
              </w:rPr>
              <w:t>972</w:t>
            </w:r>
            <w:r w:rsidRPr="00537128">
              <w:rPr>
                <w:rFonts w:ascii="Calibri" w:eastAsia="Calibri" w:hAnsi="Calibri"/>
                <w:b/>
                <w:color w:val="000000"/>
                <w:sz w:val="18"/>
                <w:szCs w:val="18"/>
                <w:lang w:val="en-US"/>
              </w:rPr>
              <w:t>,</w:t>
            </w:r>
            <w:r>
              <w:rPr>
                <w:rFonts w:ascii="Calibri" w:eastAsia="Calibri" w:hAnsi="Calibri"/>
                <w:b/>
                <w:color w:val="000000"/>
                <w:sz w:val="18"/>
                <w:szCs w:val="18"/>
                <w:lang w:val="en-US"/>
              </w:rPr>
              <w:t>530</w:t>
            </w:r>
          </w:p>
        </w:tc>
        <w:tc>
          <w:tcPr>
            <w:tcW w:w="1276" w:type="dxa"/>
            <w:gridSpan w:val="3"/>
            <w:tcBorders>
              <w:top w:val="single" w:sz="12" w:space="0" w:color="auto"/>
              <w:left w:val="nil"/>
              <w:bottom w:val="single" w:sz="12" w:space="0" w:color="auto"/>
              <w:right w:val="nil"/>
            </w:tcBorders>
            <w:shd w:val="clear" w:color="auto" w:fill="auto"/>
            <w:vAlign w:val="bottom"/>
          </w:tcPr>
          <w:p w14:paraId="27AAA69B" w14:textId="46F7E56E" w:rsidR="00E03287" w:rsidRPr="00537128" w:rsidRDefault="00EE68B4" w:rsidP="00E03287">
            <w:pPr>
              <w:spacing w:after="0" w:line="240" w:lineRule="auto"/>
              <w:jc w:val="right"/>
              <w:rPr>
                <w:rFonts w:ascii="Calibri" w:eastAsia="Calibri" w:hAnsi="Calibri" w:cs="Arial"/>
                <w:b/>
                <w:sz w:val="18"/>
                <w:szCs w:val="18"/>
                <w:lang w:val="en-US"/>
              </w:rPr>
            </w:pPr>
            <w:r>
              <w:rPr>
                <w:rFonts w:ascii="Calibri" w:eastAsia="Calibri" w:hAnsi="Calibri" w:cs="Arial"/>
                <w:b/>
                <w:sz w:val="18"/>
                <w:szCs w:val="18"/>
                <w:lang w:val="en-US"/>
              </w:rPr>
              <w:t>3,195,869</w:t>
            </w:r>
          </w:p>
        </w:tc>
        <w:tc>
          <w:tcPr>
            <w:tcW w:w="1276" w:type="dxa"/>
            <w:gridSpan w:val="3"/>
            <w:tcBorders>
              <w:top w:val="single" w:sz="12" w:space="0" w:color="auto"/>
              <w:left w:val="nil"/>
              <w:bottom w:val="single" w:sz="12" w:space="0" w:color="auto"/>
              <w:right w:val="nil"/>
            </w:tcBorders>
            <w:shd w:val="clear" w:color="auto" w:fill="auto"/>
            <w:vAlign w:val="bottom"/>
          </w:tcPr>
          <w:p w14:paraId="58C64F7D" w14:textId="352FFBB7" w:rsidR="00E03287" w:rsidRPr="00537128" w:rsidRDefault="00E03287" w:rsidP="00E03287">
            <w:pPr>
              <w:spacing w:after="0" w:line="240" w:lineRule="auto"/>
              <w:jc w:val="right"/>
              <w:rPr>
                <w:rFonts w:ascii="Calibri" w:eastAsia="Calibri" w:hAnsi="Calibri" w:cs="Arial"/>
                <w:b/>
                <w:sz w:val="18"/>
                <w:szCs w:val="18"/>
                <w:lang w:val="en-US"/>
              </w:rPr>
            </w:pPr>
            <w:r>
              <w:rPr>
                <w:rFonts w:ascii="Calibri" w:eastAsia="Calibri" w:hAnsi="Calibri" w:cs="Times New Roman"/>
                <w:b/>
                <w:color w:val="000000"/>
                <w:sz w:val="18"/>
                <w:szCs w:val="18"/>
                <w:lang w:val="en-US"/>
              </w:rPr>
              <w:t>2</w:t>
            </w:r>
            <w:r w:rsidRPr="00537128">
              <w:rPr>
                <w:rFonts w:ascii="Calibri" w:eastAsia="Calibri" w:hAnsi="Calibri" w:cs="Times New Roman"/>
                <w:b/>
                <w:color w:val="000000"/>
                <w:sz w:val="18"/>
                <w:szCs w:val="18"/>
                <w:lang w:val="en-US"/>
              </w:rPr>
              <w:t>,</w:t>
            </w:r>
            <w:r>
              <w:rPr>
                <w:rFonts w:ascii="Calibri" w:eastAsia="Calibri" w:hAnsi="Calibri" w:cs="Times New Roman"/>
                <w:b/>
                <w:color w:val="000000"/>
                <w:sz w:val="18"/>
                <w:szCs w:val="18"/>
                <w:lang w:val="en-US"/>
              </w:rPr>
              <w:t>915</w:t>
            </w:r>
            <w:r w:rsidRPr="00537128">
              <w:rPr>
                <w:rFonts w:ascii="Calibri" w:eastAsia="Calibri" w:hAnsi="Calibri" w:cs="Times New Roman"/>
                <w:b/>
                <w:color w:val="000000"/>
                <w:sz w:val="18"/>
                <w:szCs w:val="18"/>
                <w:lang w:val="en-US"/>
              </w:rPr>
              <w:t>,</w:t>
            </w:r>
            <w:r>
              <w:rPr>
                <w:rFonts w:ascii="Calibri" w:eastAsia="Calibri" w:hAnsi="Calibri" w:cs="Times New Roman"/>
                <w:b/>
                <w:color w:val="000000"/>
                <w:sz w:val="18"/>
                <w:szCs w:val="18"/>
                <w:lang w:val="en-US"/>
              </w:rPr>
              <w:t>704</w:t>
            </w:r>
          </w:p>
        </w:tc>
      </w:tr>
    </w:tbl>
    <w:p w14:paraId="0FE11C72" w14:textId="77777777" w:rsidR="00B45F12" w:rsidRPr="00537128" w:rsidRDefault="00B45F12" w:rsidP="007E6CE7">
      <w:pPr>
        <w:spacing w:after="0" w:line="240" w:lineRule="auto"/>
        <w:jc w:val="both"/>
        <w:rPr>
          <w:rFonts w:ascii="Calibri" w:eastAsia="Times New Roman" w:hAnsi="Calibri" w:cs="Times New Roman"/>
          <w:color w:val="000000" w:themeColor="text1"/>
          <w:lang w:val="en-US"/>
        </w:rPr>
        <w:sectPr w:rsidR="00B45F12" w:rsidRPr="00537128">
          <w:pgSz w:w="11906" w:h="16838"/>
          <w:pgMar w:top="1417" w:right="1417" w:bottom="1417" w:left="1417" w:header="708" w:footer="708" w:gutter="0"/>
          <w:cols w:space="708"/>
          <w:docGrid w:linePitch="360"/>
        </w:sectPr>
      </w:pPr>
    </w:p>
    <w:p w14:paraId="5A4A5889" w14:textId="77777777" w:rsidR="00CA4F39" w:rsidRPr="00A1123E" w:rsidRDefault="00CA4F39" w:rsidP="00B45F12">
      <w:pPr>
        <w:tabs>
          <w:tab w:val="left" w:pos="-720"/>
        </w:tabs>
        <w:suppressAutoHyphens/>
        <w:spacing w:after="0" w:line="240" w:lineRule="auto"/>
        <w:rPr>
          <w:rFonts w:ascii="Calibri" w:eastAsia="Times New Roman" w:hAnsi="Calibri" w:cs="Arial"/>
          <w:color w:val="000000" w:themeColor="text1"/>
          <w:spacing w:val="-3"/>
          <w:sz w:val="20"/>
          <w:szCs w:val="20"/>
          <w:lang w:val="en-US"/>
        </w:rPr>
      </w:pPr>
    </w:p>
    <w:p w14:paraId="3D9495E9" w14:textId="77777777" w:rsidR="00AA378C" w:rsidRPr="00537128" w:rsidRDefault="00AA378C" w:rsidP="005B7D9D">
      <w:pPr>
        <w:pStyle w:val="ListParagraph"/>
        <w:numPr>
          <w:ilvl w:val="0"/>
          <w:numId w:val="15"/>
        </w:numPr>
        <w:tabs>
          <w:tab w:val="left" w:pos="567"/>
        </w:tabs>
        <w:spacing w:after="0" w:line="240" w:lineRule="auto"/>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Foreclosed assets</w:t>
      </w:r>
    </w:p>
    <w:p w14:paraId="0847DD52" w14:textId="77777777" w:rsidR="00AA378C" w:rsidRPr="00537128" w:rsidRDefault="00AA378C" w:rsidP="00A2608A">
      <w:pPr>
        <w:tabs>
          <w:tab w:val="left" w:pos="567"/>
        </w:tabs>
        <w:spacing w:after="0" w:line="240" w:lineRule="auto"/>
        <w:rPr>
          <w:rFonts w:ascii="Calibri" w:eastAsia="Times New Roman" w:hAnsi="Calibri" w:cs="Arial"/>
          <w:b/>
          <w:color w:val="000000" w:themeColor="text1"/>
          <w:lang w:val="en-US"/>
        </w:rPr>
      </w:pPr>
    </w:p>
    <w:tbl>
      <w:tblPr>
        <w:tblW w:w="5000" w:type="pct"/>
        <w:tblLayout w:type="fixed"/>
        <w:tblCellMar>
          <w:left w:w="119" w:type="dxa"/>
          <w:right w:w="119" w:type="dxa"/>
        </w:tblCellMar>
        <w:tblLook w:val="0000" w:firstRow="0" w:lastRow="0" w:firstColumn="0" w:lastColumn="0" w:noHBand="0" w:noVBand="0"/>
      </w:tblPr>
      <w:tblGrid>
        <w:gridCol w:w="4678"/>
        <w:gridCol w:w="2268"/>
        <w:gridCol w:w="2126"/>
      </w:tblGrid>
      <w:tr w:rsidR="00551B88" w:rsidRPr="00537128" w14:paraId="389370EC" w14:textId="77777777" w:rsidTr="00551B88">
        <w:tc>
          <w:tcPr>
            <w:tcW w:w="2578" w:type="pct"/>
          </w:tcPr>
          <w:p w14:paraId="480245D1" w14:textId="77777777" w:rsidR="00551B88" w:rsidRPr="00537128" w:rsidRDefault="00551B88" w:rsidP="00AA378C">
            <w:pPr>
              <w:tabs>
                <w:tab w:val="left" w:pos="-720"/>
              </w:tabs>
              <w:suppressAutoHyphens/>
              <w:spacing w:after="0" w:line="240" w:lineRule="auto"/>
              <w:rPr>
                <w:rFonts w:ascii="Calibri" w:eastAsia="Times New Roman" w:hAnsi="Calibri" w:cs="Arial"/>
                <w:color w:val="000000" w:themeColor="text1"/>
                <w:spacing w:val="-2"/>
                <w:lang w:val="en-US"/>
              </w:rPr>
            </w:pPr>
          </w:p>
        </w:tc>
        <w:tc>
          <w:tcPr>
            <w:tcW w:w="2422" w:type="pct"/>
            <w:gridSpan w:val="2"/>
          </w:tcPr>
          <w:p w14:paraId="1A3D3127" w14:textId="77777777" w:rsidR="00551B88" w:rsidRPr="00537128" w:rsidRDefault="00551B88" w:rsidP="00AA378C">
            <w:pPr>
              <w:tabs>
                <w:tab w:val="right" w:pos="1202"/>
              </w:tabs>
              <w:spacing w:after="0" w:line="240" w:lineRule="atLeast"/>
              <w:jc w:val="right"/>
              <w:outlineLvl w:val="0"/>
              <w:rPr>
                <w:rFonts w:ascii="Calibri" w:eastAsia="Times New Roman" w:hAnsi="Calibri" w:cs="Calibri"/>
                <w:b/>
                <w:color w:val="000000" w:themeColor="text1"/>
                <w:lang w:val="en-US"/>
              </w:rPr>
            </w:pPr>
            <w:bookmarkStart w:id="437" w:name="_Toc4059654"/>
            <w:r w:rsidRPr="00537128">
              <w:rPr>
                <w:rFonts w:ascii="Calibri" w:eastAsia="Times New Roman" w:hAnsi="Calibri" w:cs="Calibri"/>
                <w:b/>
                <w:color w:val="000000" w:themeColor="text1"/>
                <w:lang w:val="en-US"/>
              </w:rPr>
              <w:t>Group and Bank</w:t>
            </w:r>
            <w:bookmarkEnd w:id="437"/>
          </w:p>
        </w:tc>
      </w:tr>
      <w:tr w:rsidR="00551B88" w:rsidRPr="00537128" w14:paraId="5BFAA3F5" w14:textId="77777777" w:rsidTr="00551B88">
        <w:tc>
          <w:tcPr>
            <w:tcW w:w="2578" w:type="pct"/>
          </w:tcPr>
          <w:p w14:paraId="0B5FD9B7" w14:textId="77777777" w:rsidR="00551B88" w:rsidRPr="00537128" w:rsidRDefault="00551B88" w:rsidP="00D9564E">
            <w:pPr>
              <w:tabs>
                <w:tab w:val="left" w:pos="-720"/>
              </w:tabs>
              <w:suppressAutoHyphens/>
              <w:spacing w:after="0" w:line="240" w:lineRule="auto"/>
              <w:rPr>
                <w:rFonts w:ascii="Calibri" w:eastAsia="Times New Roman" w:hAnsi="Calibri" w:cs="Arial"/>
                <w:color w:val="000000" w:themeColor="text1"/>
                <w:spacing w:val="-2"/>
                <w:lang w:val="en-US"/>
              </w:rPr>
            </w:pPr>
          </w:p>
        </w:tc>
        <w:tc>
          <w:tcPr>
            <w:tcW w:w="1250" w:type="pct"/>
          </w:tcPr>
          <w:p w14:paraId="772FFBFF" w14:textId="10C6EF6A" w:rsidR="00551B88" w:rsidRPr="00537128" w:rsidRDefault="00551B88" w:rsidP="00551B88">
            <w:pPr>
              <w:tabs>
                <w:tab w:val="right" w:pos="1202"/>
              </w:tabs>
              <w:spacing w:after="0" w:line="240" w:lineRule="atLeast"/>
              <w:jc w:val="right"/>
              <w:outlineLvl w:val="0"/>
              <w:rPr>
                <w:rFonts w:ascii="Calibri" w:eastAsia="Times New Roman" w:hAnsi="Calibri" w:cs="Calibri"/>
                <w:b/>
                <w:color w:val="000000" w:themeColor="text1"/>
                <w:lang w:val="en-US"/>
              </w:rPr>
            </w:pPr>
            <w:r w:rsidRPr="00537128">
              <w:rPr>
                <w:rFonts w:ascii="Calibri" w:eastAsia="Times New Roman" w:hAnsi="Calibri" w:cs="Calibri"/>
                <w:b/>
                <w:color w:val="000000" w:themeColor="text1"/>
                <w:lang w:val="en-US"/>
              </w:rPr>
              <w:t>3</w:t>
            </w:r>
            <w:r w:rsidR="00CA4F39" w:rsidRPr="00537128">
              <w:rPr>
                <w:rFonts w:ascii="Calibri" w:eastAsia="Times New Roman" w:hAnsi="Calibri" w:cs="Calibri"/>
                <w:b/>
                <w:color w:val="000000" w:themeColor="text1"/>
                <w:lang w:val="en-US"/>
              </w:rPr>
              <w:t>1</w:t>
            </w:r>
            <w:r w:rsidRPr="00537128">
              <w:rPr>
                <w:rFonts w:ascii="Calibri" w:eastAsia="Times New Roman" w:hAnsi="Calibri" w:cs="Calibri"/>
                <w:b/>
                <w:color w:val="000000" w:themeColor="text1"/>
                <w:lang w:val="en-US"/>
              </w:rPr>
              <w:t xml:space="preserve"> </w:t>
            </w:r>
            <w:r w:rsidR="00CA4F39" w:rsidRPr="00537128">
              <w:rPr>
                <w:rFonts w:ascii="Calibri" w:eastAsia="Times New Roman" w:hAnsi="Calibri" w:cs="Calibri"/>
                <w:b/>
                <w:color w:val="000000" w:themeColor="text1"/>
                <w:lang w:val="en-US"/>
              </w:rPr>
              <w:t>March</w:t>
            </w:r>
            <w:r w:rsidRPr="00537128">
              <w:rPr>
                <w:rFonts w:ascii="Calibri" w:eastAsia="Times New Roman" w:hAnsi="Calibri" w:cs="Calibri"/>
                <w:b/>
                <w:color w:val="000000" w:themeColor="text1"/>
                <w:lang w:val="en-US"/>
              </w:rPr>
              <w:t xml:space="preserve"> 202</w:t>
            </w:r>
            <w:r w:rsidR="0068524F">
              <w:rPr>
                <w:rFonts w:ascii="Calibri" w:eastAsia="Times New Roman" w:hAnsi="Calibri" w:cs="Calibri"/>
                <w:b/>
                <w:color w:val="000000" w:themeColor="text1"/>
                <w:lang w:val="en-US"/>
              </w:rPr>
              <w:t>2</w:t>
            </w:r>
          </w:p>
        </w:tc>
        <w:tc>
          <w:tcPr>
            <w:tcW w:w="1172" w:type="pct"/>
          </w:tcPr>
          <w:p w14:paraId="06E36086" w14:textId="7E198C30" w:rsidR="00551B88" w:rsidRPr="00537128" w:rsidRDefault="00551B88" w:rsidP="00D9564E">
            <w:pPr>
              <w:tabs>
                <w:tab w:val="right" w:pos="1202"/>
              </w:tabs>
              <w:spacing w:after="0" w:line="240" w:lineRule="atLeast"/>
              <w:jc w:val="right"/>
              <w:outlineLvl w:val="0"/>
              <w:rPr>
                <w:rFonts w:ascii="Calibri" w:eastAsia="Times New Roman" w:hAnsi="Calibri" w:cs="Calibri"/>
                <w:b/>
                <w:color w:val="000000" w:themeColor="text1"/>
                <w:lang w:val="en-US"/>
              </w:rPr>
            </w:pPr>
            <w:bookmarkStart w:id="438" w:name="_Toc4059657"/>
            <w:r w:rsidRPr="00537128">
              <w:rPr>
                <w:rFonts w:ascii="Calibri" w:eastAsia="Times New Roman" w:hAnsi="Calibri" w:cs="Calibri"/>
                <w:b/>
                <w:color w:val="000000" w:themeColor="text1"/>
                <w:lang w:val="en-US"/>
              </w:rPr>
              <w:t xml:space="preserve">31 December </w:t>
            </w:r>
            <w:bookmarkEnd w:id="438"/>
            <w:r w:rsidRPr="00537128">
              <w:rPr>
                <w:rFonts w:ascii="Calibri" w:eastAsia="Times New Roman" w:hAnsi="Calibri" w:cs="Calibri"/>
                <w:b/>
                <w:color w:val="000000" w:themeColor="text1"/>
                <w:lang w:val="en-US"/>
              </w:rPr>
              <w:t>20</w:t>
            </w:r>
            <w:r w:rsidR="00CA4F39" w:rsidRPr="00537128">
              <w:rPr>
                <w:rFonts w:ascii="Calibri" w:eastAsia="Times New Roman" w:hAnsi="Calibri" w:cs="Calibri"/>
                <w:b/>
                <w:color w:val="000000" w:themeColor="text1"/>
                <w:lang w:val="en-US"/>
              </w:rPr>
              <w:t>2</w:t>
            </w:r>
            <w:r w:rsidR="0068524F">
              <w:rPr>
                <w:rFonts w:ascii="Calibri" w:eastAsia="Times New Roman" w:hAnsi="Calibri" w:cs="Calibri"/>
                <w:b/>
                <w:color w:val="000000" w:themeColor="text1"/>
                <w:lang w:val="en-US"/>
              </w:rPr>
              <w:t>1</w:t>
            </w:r>
          </w:p>
        </w:tc>
      </w:tr>
      <w:tr w:rsidR="00551B88" w:rsidRPr="00537128" w14:paraId="777092B0" w14:textId="77777777" w:rsidTr="00551B88">
        <w:tc>
          <w:tcPr>
            <w:tcW w:w="2578" w:type="pct"/>
          </w:tcPr>
          <w:p w14:paraId="3970DF72" w14:textId="77777777" w:rsidR="00551B88" w:rsidRPr="00537128" w:rsidRDefault="00551B88" w:rsidP="00D9564E">
            <w:pPr>
              <w:tabs>
                <w:tab w:val="left" w:pos="-720"/>
              </w:tabs>
              <w:suppressAutoHyphens/>
              <w:spacing w:after="0" w:line="240" w:lineRule="auto"/>
              <w:rPr>
                <w:rFonts w:ascii="Calibri" w:eastAsia="Times New Roman" w:hAnsi="Calibri" w:cs="Arial"/>
                <w:color w:val="000000" w:themeColor="text1"/>
                <w:spacing w:val="-2"/>
                <w:lang w:val="en-US"/>
              </w:rPr>
            </w:pPr>
          </w:p>
        </w:tc>
        <w:tc>
          <w:tcPr>
            <w:tcW w:w="1250" w:type="pct"/>
            <w:vAlign w:val="bottom"/>
          </w:tcPr>
          <w:p w14:paraId="3A38F267" w14:textId="77777777" w:rsidR="00551B88" w:rsidRPr="00537128" w:rsidRDefault="00551B88" w:rsidP="00D9564E">
            <w:pPr>
              <w:tabs>
                <w:tab w:val="right" w:pos="1202"/>
              </w:tabs>
              <w:spacing w:after="0" w:line="240" w:lineRule="atLeast"/>
              <w:jc w:val="right"/>
              <w:outlineLvl w:val="0"/>
              <w:rPr>
                <w:rFonts w:ascii="Calibri" w:eastAsia="Times New Roman" w:hAnsi="Calibri" w:cs="Calibri"/>
                <w:b/>
                <w:color w:val="000000" w:themeColor="text1"/>
                <w:lang w:val="en-US"/>
              </w:rPr>
            </w:pPr>
            <w:bookmarkStart w:id="439" w:name="_Toc4059660"/>
            <w:r w:rsidRPr="00537128">
              <w:rPr>
                <w:rFonts w:ascii="Calibri" w:eastAsia="Times New Roman" w:hAnsi="Calibri" w:cs="Calibri"/>
                <w:b/>
                <w:color w:val="000000" w:themeColor="text1"/>
                <w:lang w:val="en-US"/>
              </w:rPr>
              <w:t>HRK ‘000</w:t>
            </w:r>
            <w:bookmarkEnd w:id="439"/>
          </w:p>
        </w:tc>
        <w:tc>
          <w:tcPr>
            <w:tcW w:w="1172" w:type="pct"/>
            <w:vAlign w:val="bottom"/>
          </w:tcPr>
          <w:p w14:paraId="35B83907" w14:textId="77777777" w:rsidR="00551B88" w:rsidRPr="00537128" w:rsidRDefault="00551B88" w:rsidP="00D9564E">
            <w:pPr>
              <w:tabs>
                <w:tab w:val="right" w:pos="1202"/>
              </w:tabs>
              <w:spacing w:after="0" w:line="240" w:lineRule="atLeast"/>
              <w:jc w:val="right"/>
              <w:outlineLvl w:val="0"/>
              <w:rPr>
                <w:rFonts w:ascii="Calibri" w:eastAsia="Times New Roman" w:hAnsi="Calibri" w:cs="Calibri"/>
                <w:b/>
                <w:color w:val="000000" w:themeColor="text1"/>
                <w:lang w:val="en-US"/>
              </w:rPr>
            </w:pPr>
            <w:bookmarkStart w:id="440" w:name="_Toc4059661"/>
            <w:r w:rsidRPr="00537128">
              <w:rPr>
                <w:rFonts w:ascii="Calibri" w:eastAsia="Times New Roman" w:hAnsi="Calibri" w:cs="Calibri"/>
                <w:b/>
                <w:color w:val="000000" w:themeColor="text1"/>
                <w:lang w:val="en-US"/>
              </w:rPr>
              <w:t>HRK ‘000</w:t>
            </w:r>
            <w:bookmarkEnd w:id="440"/>
          </w:p>
        </w:tc>
      </w:tr>
      <w:tr w:rsidR="00551B88" w:rsidRPr="00537128" w14:paraId="1AB2D4B0" w14:textId="77777777" w:rsidTr="00551B88">
        <w:tc>
          <w:tcPr>
            <w:tcW w:w="2578" w:type="pct"/>
          </w:tcPr>
          <w:p w14:paraId="34B85F47" w14:textId="77777777" w:rsidR="00551B88" w:rsidRPr="00537128" w:rsidRDefault="00551B88" w:rsidP="00D9564E">
            <w:pPr>
              <w:tabs>
                <w:tab w:val="left" w:pos="-720"/>
              </w:tabs>
              <w:suppressAutoHyphens/>
              <w:spacing w:after="0" w:line="240" w:lineRule="auto"/>
              <w:rPr>
                <w:rFonts w:ascii="Calibri" w:eastAsia="Times New Roman" w:hAnsi="Calibri" w:cs="Arial"/>
                <w:color w:val="000000" w:themeColor="text1"/>
                <w:spacing w:val="-2"/>
                <w:lang w:val="en-US"/>
              </w:rPr>
            </w:pPr>
          </w:p>
        </w:tc>
        <w:tc>
          <w:tcPr>
            <w:tcW w:w="1250" w:type="pct"/>
          </w:tcPr>
          <w:p w14:paraId="202BEBA8" w14:textId="77777777" w:rsidR="00551B88" w:rsidRPr="00537128" w:rsidRDefault="00551B88" w:rsidP="00D9564E">
            <w:pPr>
              <w:tabs>
                <w:tab w:val="left" w:pos="-720"/>
              </w:tabs>
              <w:suppressAutoHyphens/>
              <w:spacing w:after="0" w:line="240" w:lineRule="auto"/>
              <w:jc w:val="right"/>
              <w:rPr>
                <w:rFonts w:ascii="Calibri" w:eastAsia="Times New Roman" w:hAnsi="Calibri" w:cs="Calibri"/>
                <w:b/>
                <w:color w:val="000000" w:themeColor="text1"/>
                <w:spacing w:val="-2"/>
                <w:lang w:val="en-US"/>
              </w:rPr>
            </w:pPr>
          </w:p>
        </w:tc>
        <w:tc>
          <w:tcPr>
            <w:tcW w:w="1172" w:type="pct"/>
            <w:vAlign w:val="bottom"/>
          </w:tcPr>
          <w:p w14:paraId="4FFC3CBC" w14:textId="77777777" w:rsidR="00551B88" w:rsidRPr="00537128" w:rsidRDefault="00551B88" w:rsidP="00D9564E">
            <w:pPr>
              <w:tabs>
                <w:tab w:val="left" w:pos="-720"/>
              </w:tabs>
              <w:suppressAutoHyphens/>
              <w:spacing w:after="0" w:line="240" w:lineRule="auto"/>
              <w:jc w:val="right"/>
              <w:rPr>
                <w:rFonts w:ascii="Calibri" w:eastAsia="Times New Roman" w:hAnsi="Calibri" w:cs="Calibri"/>
                <w:b/>
                <w:color w:val="000000" w:themeColor="text1"/>
                <w:spacing w:val="-2"/>
                <w:lang w:val="en-US"/>
              </w:rPr>
            </w:pPr>
          </w:p>
        </w:tc>
      </w:tr>
      <w:tr w:rsidR="00B977D3" w:rsidRPr="00537128" w14:paraId="5E1A8CF7" w14:textId="77777777" w:rsidTr="00A900E7">
        <w:tc>
          <w:tcPr>
            <w:tcW w:w="2578" w:type="pct"/>
          </w:tcPr>
          <w:p w14:paraId="599615FD" w14:textId="77777777" w:rsidR="00B977D3" w:rsidRPr="00537128" w:rsidRDefault="00B977D3" w:rsidP="00B977D3">
            <w:pPr>
              <w:tabs>
                <w:tab w:val="right" w:pos="1202"/>
              </w:tabs>
              <w:spacing w:after="0" w:line="301" w:lineRule="exact"/>
              <w:ind w:left="300" w:hanging="300"/>
              <w:outlineLvl w:val="0"/>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Foreclosed assets</w:t>
            </w:r>
          </w:p>
        </w:tc>
        <w:tc>
          <w:tcPr>
            <w:tcW w:w="1250" w:type="pct"/>
            <w:tcBorders>
              <w:bottom w:val="single" w:sz="4" w:space="0" w:color="auto"/>
            </w:tcBorders>
            <w:vAlign w:val="bottom"/>
          </w:tcPr>
          <w:p w14:paraId="6DD671A2" w14:textId="679E5050" w:rsidR="00B977D3" w:rsidRPr="00537128" w:rsidRDefault="00B977D3" w:rsidP="00B977D3">
            <w:pPr>
              <w:tabs>
                <w:tab w:val="right" w:pos="1202"/>
              </w:tabs>
              <w:spacing w:after="0" w:line="301" w:lineRule="exact"/>
              <w:jc w:val="right"/>
              <w:outlineLvl w:val="0"/>
              <w:rPr>
                <w:rFonts w:ascii="Calibri" w:eastAsia="Times New Roman" w:hAnsi="Calibri" w:cs="Calibri"/>
                <w:color w:val="000000" w:themeColor="text1"/>
                <w:lang w:val="en-US"/>
              </w:rPr>
            </w:pPr>
            <w:r>
              <w:rPr>
                <w:rFonts w:ascii="Calibri" w:hAnsi="Calibri"/>
                <w:color w:val="000000" w:themeColor="text1"/>
              </w:rPr>
              <w:t>24,996</w:t>
            </w:r>
          </w:p>
        </w:tc>
        <w:tc>
          <w:tcPr>
            <w:tcW w:w="1172" w:type="pct"/>
            <w:tcBorders>
              <w:bottom w:val="single" w:sz="2" w:space="0" w:color="auto"/>
            </w:tcBorders>
            <w:vAlign w:val="bottom"/>
          </w:tcPr>
          <w:p w14:paraId="56D2552D" w14:textId="1EC7F77F" w:rsidR="00B977D3" w:rsidRPr="00537128" w:rsidRDefault="00B977D3" w:rsidP="00B977D3">
            <w:pPr>
              <w:tabs>
                <w:tab w:val="right" w:pos="1202"/>
              </w:tabs>
              <w:spacing w:after="0" w:line="301" w:lineRule="exact"/>
              <w:jc w:val="right"/>
              <w:outlineLvl w:val="0"/>
              <w:rPr>
                <w:rFonts w:ascii="Calibri" w:eastAsia="Times New Roman" w:hAnsi="Calibri" w:cs="Calibri"/>
                <w:color w:val="000000" w:themeColor="text1"/>
                <w:lang w:val="en-US"/>
              </w:rPr>
            </w:pPr>
            <w:r w:rsidRPr="00EA3621">
              <w:rPr>
                <w:rFonts w:ascii="Calibri" w:hAnsi="Calibri"/>
                <w:color w:val="000000" w:themeColor="text1"/>
              </w:rPr>
              <w:t>2</w:t>
            </w:r>
            <w:r>
              <w:rPr>
                <w:rFonts w:ascii="Calibri" w:hAnsi="Calibri"/>
                <w:color w:val="000000" w:themeColor="text1"/>
              </w:rPr>
              <w:t>1,369</w:t>
            </w:r>
          </w:p>
        </w:tc>
      </w:tr>
      <w:tr w:rsidR="00B977D3" w:rsidRPr="00537128" w14:paraId="2E91A84D" w14:textId="77777777" w:rsidTr="00551B88">
        <w:tc>
          <w:tcPr>
            <w:tcW w:w="2578" w:type="pct"/>
          </w:tcPr>
          <w:p w14:paraId="3B9ED5F8" w14:textId="77777777" w:rsidR="00B977D3" w:rsidRPr="00537128" w:rsidRDefault="00B977D3" w:rsidP="00B977D3">
            <w:pPr>
              <w:tabs>
                <w:tab w:val="left" w:pos="-720"/>
              </w:tabs>
              <w:suppressAutoHyphens/>
              <w:spacing w:after="0" w:line="240" w:lineRule="auto"/>
              <w:rPr>
                <w:rFonts w:ascii="Calibri" w:eastAsia="Times New Roman" w:hAnsi="Calibri" w:cs="Arial"/>
                <w:b/>
                <w:bCs/>
                <w:color w:val="000000" w:themeColor="text1"/>
                <w:spacing w:val="-2"/>
                <w:lang w:val="en-US"/>
              </w:rPr>
            </w:pPr>
          </w:p>
        </w:tc>
        <w:tc>
          <w:tcPr>
            <w:tcW w:w="1250" w:type="pct"/>
            <w:tcBorders>
              <w:top w:val="single" w:sz="4" w:space="0" w:color="auto"/>
              <w:bottom w:val="single" w:sz="12" w:space="0" w:color="auto"/>
            </w:tcBorders>
            <w:vAlign w:val="bottom"/>
          </w:tcPr>
          <w:p w14:paraId="578356B2" w14:textId="105B91D3" w:rsidR="00B977D3" w:rsidRPr="00537128" w:rsidRDefault="00B977D3" w:rsidP="00B977D3">
            <w:pPr>
              <w:tabs>
                <w:tab w:val="right" w:pos="1202"/>
              </w:tabs>
              <w:spacing w:after="0" w:line="340" w:lineRule="exact"/>
              <w:jc w:val="right"/>
              <w:outlineLvl w:val="0"/>
              <w:rPr>
                <w:rFonts w:ascii="Calibri" w:eastAsia="Times New Roman" w:hAnsi="Calibri" w:cs="Calibri"/>
                <w:b/>
                <w:bCs/>
                <w:color w:val="000000" w:themeColor="text1"/>
                <w:lang w:val="en-US"/>
              </w:rPr>
            </w:pPr>
            <w:r>
              <w:rPr>
                <w:rFonts w:cstheme="minorHAnsi"/>
                <w:b/>
                <w:bCs/>
                <w:color w:val="000000" w:themeColor="text1"/>
              </w:rPr>
              <w:t>24,996</w:t>
            </w:r>
          </w:p>
        </w:tc>
        <w:tc>
          <w:tcPr>
            <w:tcW w:w="1172" w:type="pct"/>
            <w:tcBorders>
              <w:top w:val="single" w:sz="4" w:space="0" w:color="auto"/>
              <w:bottom w:val="single" w:sz="12" w:space="0" w:color="auto"/>
            </w:tcBorders>
            <w:vAlign w:val="bottom"/>
          </w:tcPr>
          <w:p w14:paraId="64A1CF11" w14:textId="43C5D44E" w:rsidR="00B977D3" w:rsidRPr="00537128" w:rsidRDefault="00B977D3" w:rsidP="00B977D3">
            <w:pPr>
              <w:tabs>
                <w:tab w:val="right" w:pos="1202"/>
              </w:tabs>
              <w:spacing w:after="0" w:line="340" w:lineRule="exact"/>
              <w:jc w:val="right"/>
              <w:outlineLvl w:val="0"/>
              <w:rPr>
                <w:rFonts w:ascii="Calibri" w:eastAsia="Times New Roman" w:hAnsi="Calibri" w:cs="Calibri"/>
                <w:b/>
                <w:bCs/>
                <w:color w:val="000000" w:themeColor="text1"/>
                <w:lang w:val="en-US"/>
              </w:rPr>
            </w:pPr>
            <w:bookmarkStart w:id="441" w:name="_Toc67328615"/>
            <w:r w:rsidRPr="00EA3621">
              <w:rPr>
                <w:rFonts w:cs="Arial"/>
                <w:b/>
                <w:bCs/>
                <w:color w:val="000000" w:themeColor="text1"/>
              </w:rPr>
              <w:t>2</w:t>
            </w:r>
            <w:r>
              <w:rPr>
                <w:rFonts w:cs="Arial"/>
                <w:b/>
                <w:bCs/>
                <w:color w:val="000000" w:themeColor="text1"/>
              </w:rPr>
              <w:t>1,369</w:t>
            </w:r>
            <w:bookmarkEnd w:id="441"/>
          </w:p>
        </w:tc>
      </w:tr>
    </w:tbl>
    <w:p w14:paraId="24F265BF" w14:textId="77777777" w:rsidR="00A2608A" w:rsidRPr="00537128" w:rsidRDefault="00A2608A" w:rsidP="00A2608A">
      <w:pPr>
        <w:spacing w:after="0" w:line="240" w:lineRule="auto"/>
        <w:jc w:val="both"/>
        <w:rPr>
          <w:rFonts w:ascii="Calibri" w:eastAsia="Times New Roman" w:hAnsi="Calibri" w:cs="Times New Roman"/>
          <w:color w:val="000000" w:themeColor="text1"/>
          <w:lang w:val="en-US"/>
        </w:rPr>
      </w:pPr>
    </w:p>
    <w:p w14:paraId="023606B7" w14:textId="15754DED" w:rsidR="00AA378C" w:rsidRPr="00537128" w:rsidRDefault="00D9564E" w:rsidP="00A2608A">
      <w:pPr>
        <w:spacing w:after="0" w:line="240" w:lineRule="auto"/>
        <w:jc w:val="both"/>
        <w:rPr>
          <w:rFonts w:ascii="Calibri" w:eastAsia="Times New Roman" w:hAnsi="Calibri" w:cs="Times New Roman"/>
          <w:color w:val="000000" w:themeColor="text1"/>
          <w:lang w:val="en-US"/>
        </w:rPr>
      </w:pPr>
      <w:r w:rsidRPr="003845C1">
        <w:rPr>
          <w:rFonts w:ascii="Calibri" w:eastAsia="Times New Roman" w:hAnsi="Calibri" w:cs="Times New Roman"/>
          <w:color w:val="000000" w:themeColor="text1"/>
          <w:lang w:val="en-US"/>
        </w:rPr>
        <w:t>In the reporting period 202</w:t>
      </w:r>
      <w:r w:rsidR="00E94DA1" w:rsidRPr="003845C1">
        <w:rPr>
          <w:rFonts w:ascii="Calibri" w:eastAsia="Times New Roman" w:hAnsi="Calibri" w:cs="Times New Roman"/>
          <w:color w:val="000000" w:themeColor="text1"/>
          <w:lang w:val="en-US"/>
        </w:rPr>
        <w:t>2</w:t>
      </w:r>
      <w:r w:rsidR="00AA378C" w:rsidRPr="003845C1">
        <w:rPr>
          <w:rFonts w:ascii="Calibri" w:eastAsia="Times New Roman" w:hAnsi="Calibri" w:cs="Times New Roman"/>
          <w:color w:val="000000" w:themeColor="text1"/>
          <w:lang w:val="en-US"/>
        </w:rPr>
        <w:t xml:space="preserve">, acquisition of property took place with present value in the amount of HRK </w:t>
      </w:r>
      <w:r w:rsidR="00C0730E" w:rsidRPr="003845C1">
        <w:rPr>
          <w:rFonts w:ascii="Calibri" w:eastAsia="Times New Roman" w:hAnsi="Calibri" w:cs="Times New Roman"/>
          <w:color w:val="000000" w:themeColor="text1"/>
          <w:lang w:val="en-US"/>
        </w:rPr>
        <w:t>3,486</w:t>
      </w:r>
      <w:r w:rsidR="00FD1BD7" w:rsidRPr="003845C1">
        <w:rPr>
          <w:rFonts w:ascii="Calibri" w:eastAsia="Times New Roman" w:hAnsi="Calibri" w:cs="Times New Roman"/>
          <w:color w:val="000000" w:themeColor="text1"/>
          <w:lang w:val="en-US"/>
        </w:rPr>
        <w:t xml:space="preserve"> </w:t>
      </w:r>
      <w:r w:rsidR="00AA378C" w:rsidRPr="003845C1">
        <w:rPr>
          <w:rFonts w:ascii="Calibri" w:eastAsia="Times New Roman" w:hAnsi="Calibri" w:cs="Times New Roman"/>
          <w:color w:val="000000" w:themeColor="text1"/>
          <w:lang w:val="en-US"/>
        </w:rPr>
        <w:t xml:space="preserve">thousand, acquisition value of HRK </w:t>
      </w:r>
      <w:r w:rsidR="00C0730E" w:rsidRPr="003845C1">
        <w:rPr>
          <w:rFonts w:ascii="Calibri" w:eastAsia="Times New Roman" w:hAnsi="Calibri" w:cs="Times New Roman"/>
          <w:color w:val="000000" w:themeColor="text1"/>
          <w:lang w:val="en-US"/>
        </w:rPr>
        <w:t xml:space="preserve">3,635 </w:t>
      </w:r>
      <w:r w:rsidR="00AA378C" w:rsidRPr="003845C1">
        <w:rPr>
          <w:rFonts w:ascii="Calibri" w:eastAsia="Times New Roman" w:hAnsi="Calibri" w:cs="Times New Roman"/>
          <w:color w:val="000000" w:themeColor="text1"/>
          <w:lang w:val="en-US"/>
        </w:rPr>
        <w:t xml:space="preserve">thousand and provisions of HRK </w:t>
      </w:r>
      <w:r w:rsidR="00C0730E" w:rsidRPr="003845C1">
        <w:rPr>
          <w:rFonts w:ascii="Calibri" w:eastAsia="Times New Roman" w:hAnsi="Calibri" w:cs="Times New Roman"/>
          <w:color w:val="000000" w:themeColor="text1"/>
          <w:lang w:val="en-US"/>
        </w:rPr>
        <w:t>149</w:t>
      </w:r>
      <w:r w:rsidR="00FD1BD7" w:rsidRPr="003845C1">
        <w:rPr>
          <w:rFonts w:ascii="Calibri" w:eastAsia="Times New Roman" w:hAnsi="Calibri" w:cs="Times New Roman"/>
          <w:color w:val="000000" w:themeColor="text1"/>
          <w:lang w:val="en-US"/>
        </w:rPr>
        <w:t xml:space="preserve"> </w:t>
      </w:r>
      <w:r w:rsidR="00AA378C" w:rsidRPr="003845C1">
        <w:rPr>
          <w:rFonts w:ascii="Calibri" w:eastAsia="Times New Roman" w:hAnsi="Calibri" w:cs="Times New Roman"/>
          <w:color w:val="000000" w:themeColor="text1"/>
          <w:lang w:val="en-US"/>
        </w:rPr>
        <w:t xml:space="preserve">thousand, and relates to </w:t>
      </w:r>
      <w:r w:rsidR="005A39D4" w:rsidRPr="003845C1">
        <w:rPr>
          <w:rFonts w:ascii="Calibri" w:eastAsia="Times New Roman" w:hAnsi="Calibri" w:cs="Times New Roman"/>
          <w:color w:val="000000" w:themeColor="text1"/>
          <w:lang w:val="en-US"/>
        </w:rPr>
        <w:t xml:space="preserve">land plot in the amount of HRK </w:t>
      </w:r>
      <w:r w:rsidR="00C0730E" w:rsidRPr="003845C1">
        <w:rPr>
          <w:rFonts w:ascii="Calibri" w:eastAsia="Times New Roman" w:hAnsi="Calibri" w:cs="Times New Roman"/>
          <w:color w:val="000000" w:themeColor="text1"/>
          <w:lang w:val="en-US"/>
        </w:rPr>
        <w:t>234</w:t>
      </w:r>
      <w:r w:rsidR="005A39D4" w:rsidRPr="003845C1">
        <w:rPr>
          <w:rFonts w:ascii="Calibri" w:eastAsia="Times New Roman" w:hAnsi="Calibri" w:cs="Times New Roman"/>
          <w:color w:val="000000" w:themeColor="text1"/>
          <w:lang w:val="en-US"/>
        </w:rPr>
        <w:t xml:space="preserve"> thousand, acquisition value of HRK </w:t>
      </w:r>
      <w:r w:rsidR="00C0730E" w:rsidRPr="003845C1">
        <w:rPr>
          <w:rFonts w:ascii="Calibri" w:eastAsia="Times New Roman" w:hAnsi="Calibri" w:cs="Times New Roman"/>
          <w:color w:val="000000" w:themeColor="text1"/>
          <w:lang w:val="en-US"/>
        </w:rPr>
        <w:t>234</w:t>
      </w:r>
      <w:r w:rsidR="005A39D4" w:rsidRPr="003845C1">
        <w:rPr>
          <w:rFonts w:ascii="Calibri" w:eastAsia="Times New Roman" w:hAnsi="Calibri" w:cs="Times New Roman"/>
          <w:color w:val="000000" w:themeColor="text1"/>
          <w:lang w:val="en-US"/>
        </w:rPr>
        <w:t xml:space="preserve"> thousand and provisions of HRK </w:t>
      </w:r>
      <w:r w:rsidR="007363F6" w:rsidRPr="003845C1">
        <w:rPr>
          <w:rFonts w:ascii="Calibri" w:eastAsia="Times New Roman" w:hAnsi="Calibri" w:cs="Times New Roman"/>
          <w:color w:val="000000" w:themeColor="text1"/>
          <w:lang w:val="en-US"/>
        </w:rPr>
        <w:t>0</w:t>
      </w:r>
      <w:r w:rsidR="005A39D4" w:rsidRPr="003845C1">
        <w:rPr>
          <w:rFonts w:ascii="Calibri" w:eastAsia="Times New Roman" w:hAnsi="Calibri" w:cs="Times New Roman"/>
          <w:color w:val="000000" w:themeColor="text1"/>
          <w:lang w:val="en-US"/>
        </w:rPr>
        <w:t xml:space="preserve"> thousand</w:t>
      </w:r>
      <w:r w:rsidR="00FD1BD7" w:rsidRPr="003845C1">
        <w:rPr>
          <w:rFonts w:ascii="Calibri" w:eastAsia="Times New Roman" w:hAnsi="Calibri" w:cs="Times New Roman"/>
          <w:color w:val="000000" w:themeColor="text1"/>
          <w:lang w:val="en-US"/>
        </w:rPr>
        <w:t>,</w:t>
      </w:r>
      <w:r w:rsidR="005A39D4" w:rsidRPr="003845C1">
        <w:rPr>
          <w:rFonts w:ascii="Calibri" w:eastAsia="Times New Roman" w:hAnsi="Calibri" w:cs="Times New Roman"/>
          <w:color w:val="000000" w:themeColor="text1"/>
          <w:lang w:val="en-US"/>
        </w:rPr>
        <w:t xml:space="preserve"> </w:t>
      </w:r>
      <w:r w:rsidR="00AA378C" w:rsidRPr="003845C1">
        <w:rPr>
          <w:rFonts w:ascii="Calibri" w:eastAsia="Times New Roman" w:hAnsi="Calibri" w:cs="Times New Roman"/>
          <w:color w:val="000000" w:themeColor="text1"/>
          <w:lang w:val="en-US"/>
        </w:rPr>
        <w:t>buildings</w:t>
      </w:r>
      <w:r w:rsidR="005A39D4" w:rsidRPr="003845C1">
        <w:rPr>
          <w:rFonts w:ascii="Calibri" w:eastAsia="Times New Roman" w:hAnsi="Calibri" w:cs="Times New Roman"/>
          <w:color w:val="000000" w:themeColor="text1"/>
          <w:lang w:val="en-US"/>
        </w:rPr>
        <w:t xml:space="preserve"> in the amount of HRK </w:t>
      </w:r>
      <w:r w:rsidR="003845C1" w:rsidRPr="003845C1">
        <w:rPr>
          <w:rFonts w:ascii="Calibri" w:eastAsia="Times New Roman" w:hAnsi="Calibri" w:cs="Times New Roman"/>
          <w:color w:val="000000" w:themeColor="text1"/>
          <w:lang w:val="en-US"/>
        </w:rPr>
        <w:t>3,252</w:t>
      </w:r>
      <w:r w:rsidR="005A39D4" w:rsidRPr="003845C1">
        <w:rPr>
          <w:rFonts w:ascii="Calibri" w:eastAsia="Times New Roman" w:hAnsi="Calibri" w:cs="Times New Roman"/>
          <w:color w:val="000000" w:themeColor="text1"/>
          <w:lang w:val="en-US"/>
        </w:rPr>
        <w:t xml:space="preserve"> thousand, acquisition value of HRK </w:t>
      </w:r>
      <w:r w:rsidR="003845C1" w:rsidRPr="003845C1">
        <w:rPr>
          <w:rFonts w:ascii="Calibri" w:eastAsia="Times New Roman" w:hAnsi="Calibri" w:cs="Times New Roman"/>
          <w:color w:val="000000" w:themeColor="text1"/>
          <w:lang w:val="en-US"/>
        </w:rPr>
        <w:t>3,401</w:t>
      </w:r>
      <w:r w:rsidR="005A39D4" w:rsidRPr="003845C1">
        <w:rPr>
          <w:rFonts w:ascii="Calibri" w:eastAsia="Times New Roman" w:hAnsi="Calibri" w:cs="Times New Roman"/>
          <w:color w:val="000000" w:themeColor="text1"/>
          <w:lang w:val="en-US"/>
        </w:rPr>
        <w:t xml:space="preserve"> thousand and provisions of HRK </w:t>
      </w:r>
      <w:r w:rsidR="003845C1" w:rsidRPr="003845C1">
        <w:rPr>
          <w:rFonts w:ascii="Calibri" w:eastAsia="Times New Roman" w:hAnsi="Calibri" w:cs="Times New Roman"/>
          <w:color w:val="000000" w:themeColor="text1"/>
          <w:lang w:val="en-US"/>
        </w:rPr>
        <w:t>149</w:t>
      </w:r>
      <w:r w:rsidR="005A39D4" w:rsidRPr="003845C1">
        <w:rPr>
          <w:rFonts w:ascii="Calibri" w:eastAsia="Times New Roman" w:hAnsi="Calibri" w:cs="Times New Roman"/>
          <w:color w:val="000000" w:themeColor="text1"/>
          <w:lang w:val="en-US"/>
        </w:rPr>
        <w:t xml:space="preserve"> thousand</w:t>
      </w:r>
      <w:r w:rsidR="007363F6" w:rsidRPr="00A1123E">
        <w:rPr>
          <w:rFonts w:ascii="Calibri" w:eastAsia="Times New Roman" w:hAnsi="Calibri" w:cs="Times New Roman"/>
          <w:color w:val="000000" w:themeColor="text1"/>
          <w:lang w:val="en-US"/>
        </w:rPr>
        <w:t xml:space="preserve"> </w:t>
      </w:r>
      <w:r w:rsidR="00AA378C" w:rsidRPr="007363F6">
        <w:rPr>
          <w:rFonts w:ascii="Calibri" w:eastAsia="Times New Roman" w:hAnsi="Calibri" w:cs="Times New Roman"/>
          <w:color w:val="000000" w:themeColor="text1"/>
          <w:lang w:val="en-US"/>
        </w:rPr>
        <w:t>(</w:t>
      </w:r>
      <w:r w:rsidR="00A2608A" w:rsidRPr="007363F6">
        <w:rPr>
          <w:rFonts w:ascii="Calibri" w:eastAsia="Times New Roman" w:hAnsi="Calibri" w:cs="Times New Roman"/>
          <w:color w:val="000000" w:themeColor="text1"/>
          <w:lang w:val="en-US"/>
        </w:rPr>
        <w:t>in</w:t>
      </w:r>
      <w:r w:rsidR="00A2608A" w:rsidRPr="00537128">
        <w:rPr>
          <w:rFonts w:ascii="Calibri" w:eastAsia="Times New Roman" w:hAnsi="Calibri" w:cs="Times New Roman"/>
          <w:color w:val="000000" w:themeColor="text1"/>
          <w:lang w:val="en-US"/>
        </w:rPr>
        <w:t xml:space="preserve"> 20</w:t>
      </w:r>
      <w:r w:rsidR="00CA4F39" w:rsidRPr="00537128">
        <w:rPr>
          <w:rFonts w:ascii="Calibri" w:eastAsia="Times New Roman" w:hAnsi="Calibri" w:cs="Times New Roman"/>
          <w:color w:val="000000" w:themeColor="text1"/>
          <w:lang w:val="en-US"/>
        </w:rPr>
        <w:t>2</w:t>
      </w:r>
      <w:r w:rsidR="00E94DA1">
        <w:rPr>
          <w:rFonts w:ascii="Calibri" w:eastAsia="Times New Roman" w:hAnsi="Calibri" w:cs="Times New Roman"/>
          <w:color w:val="000000" w:themeColor="text1"/>
          <w:lang w:val="en-US"/>
        </w:rPr>
        <w:t>1</w:t>
      </w:r>
      <w:r w:rsidR="00A2608A" w:rsidRPr="00537128">
        <w:rPr>
          <w:rFonts w:ascii="Calibri" w:eastAsia="Times New Roman" w:hAnsi="Calibri" w:cs="Times New Roman"/>
          <w:color w:val="000000" w:themeColor="text1"/>
          <w:lang w:val="en-US"/>
        </w:rPr>
        <w:t xml:space="preserve">, </w:t>
      </w:r>
      <w:r w:rsidR="008252AD" w:rsidRPr="00537128">
        <w:rPr>
          <w:rFonts w:ascii="Calibri" w:eastAsia="Times New Roman" w:hAnsi="Calibri" w:cs="Times New Roman"/>
          <w:color w:val="000000" w:themeColor="text1"/>
          <w:lang w:val="en-US"/>
        </w:rPr>
        <w:t xml:space="preserve">acquisition of property took place with present value in the amount of </w:t>
      </w:r>
      <w:r w:rsidR="00725211">
        <w:rPr>
          <w:rFonts w:cs="Arial"/>
          <w:lang w:val="en-GB"/>
        </w:rPr>
        <w:t xml:space="preserve">HRK 8,185 thousand, acquisition value of HRK 8,508 thousand and provisions of HRK 323 thousand, and relates to land plot in the amount of HRK 1,900 thousand, acquisition value of HRK 2,074 thousand and provisions of HRK 174 thousand, buildings in the amount of HRK 4,717 thousand, acquisition value of HRK 4,866 thousand and provisions of HRK 149 thousand and apartments in the amount of HRK 1,568 thousand, acquisition value of HRK 1,568 </w:t>
      </w:r>
      <w:r w:rsidR="009B09FB">
        <w:rPr>
          <w:rFonts w:cs="Arial"/>
          <w:lang w:val="en-GB"/>
        </w:rPr>
        <w:t>t</w:t>
      </w:r>
      <w:r w:rsidR="00725211">
        <w:rPr>
          <w:rFonts w:cs="Arial"/>
          <w:lang w:val="en-GB"/>
        </w:rPr>
        <w:t>housand and provisions of HRK 0 thousand</w:t>
      </w:r>
      <w:r w:rsidR="00AA378C" w:rsidRPr="00537128">
        <w:rPr>
          <w:rFonts w:ascii="Calibri" w:eastAsia="Times New Roman" w:hAnsi="Calibri" w:cs="Times New Roman"/>
          <w:color w:val="000000" w:themeColor="text1"/>
          <w:lang w:val="en-US"/>
        </w:rPr>
        <w:t xml:space="preserve">). </w:t>
      </w:r>
    </w:p>
    <w:p w14:paraId="19E7151B" w14:textId="77777777" w:rsidR="003845C1" w:rsidRDefault="003845C1" w:rsidP="00A2608A">
      <w:pPr>
        <w:spacing w:after="0" w:line="240" w:lineRule="auto"/>
        <w:jc w:val="both"/>
        <w:rPr>
          <w:rFonts w:ascii="Calibri" w:eastAsia="Times New Roman" w:hAnsi="Calibri" w:cs="Times New Roman"/>
          <w:color w:val="000000" w:themeColor="text1"/>
          <w:lang w:val="en-US"/>
        </w:rPr>
      </w:pPr>
    </w:p>
    <w:p w14:paraId="046E763F" w14:textId="7F7A4E68" w:rsidR="00AA378C" w:rsidRPr="00537128" w:rsidRDefault="00CA4F39" w:rsidP="00A2608A">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 xml:space="preserve">Fair value of acquired property as </w:t>
      </w:r>
      <w:proofErr w:type="gramStart"/>
      <w:r w:rsidRPr="00537128">
        <w:rPr>
          <w:rFonts w:ascii="Calibri" w:eastAsia="Times New Roman" w:hAnsi="Calibri" w:cs="Times New Roman"/>
          <w:color w:val="000000" w:themeColor="text1"/>
          <w:lang w:val="en-US"/>
        </w:rPr>
        <w:t>at</w:t>
      </w:r>
      <w:proofErr w:type="gramEnd"/>
      <w:r w:rsidRPr="00537128">
        <w:rPr>
          <w:rFonts w:ascii="Calibri" w:eastAsia="Times New Roman" w:hAnsi="Calibri" w:cs="Times New Roman"/>
          <w:color w:val="000000" w:themeColor="text1"/>
          <w:lang w:val="en-US"/>
        </w:rPr>
        <w:t xml:space="preserve"> 31 March 202</w:t>
      </w:r>
      <w:r w:rsidR="00846079">
        <w:rPr>
          <w:rFonts w:ascii="Calibri" w:eastAsia="Times New Roman" w:hAnsi="Calibri" w:cs="Times New Roman"/>
          <w:color w:val="000000" w:themeColor="text1"/>
          <w:lang w:val="en-US"/>
        </w:rPr>
        <w:t>2</w:t>
      </w:r>
      <w:r w:rsidRPr="00537128">
        <w:rPr>
          <w:rFonts w:ascii="Calibri" w:eastAsia="Times New Roman" w:hAnsi="Calibri" w:cs="Times New Roman"/>
          <w:color w:val="000000" w:themeColor="text1"/>
          <w:lang w:val="en-US"/>
        </w:rPr>
        <w:t xml:space="preserve"> amounted to HRK </w:t>
      </w:r>
      <w:r w:rsidR="003845C1">
        <w:rPr>
          <w:rFonts w:ascii="Calibri" w:eastAsia="Times New Roman" w:hAnsi="Calibri" w:cs="Times New Roman"/>
          <w:color w:val="000000" w:themeColor="text1"/>
          <w:lang w:val="en-US"/>
        </w:rPr>
        <w:t>3,635</w:t>
      </w:r>
      <w:r w:rsidRPr="00537128">
        <w:rPr>
          <w:rFonts w:ascii="Calibri" w:eastAsia="Times New Roman" w:hAnsi="Calibri" w:cs="Times New Roman"/>
          <w:color w:val="000000" w:themeColor="text1"/>
          <w:lang w:val="en-US"/>
        </w:rPr>
        <w:t xml:space="preserve"> thousand.</w:t>
      </w:r>
    </w:p>
    <w:p w14:paraId="5FC716BD" w14:textId="77777777" w:rsidR="00CA4F39" w:rsidRPr="00537128" w:rsidRDefault="00CA4F39" w:rsidP="00A2608A">
      <w:pPr>
        <w:spacing w:after="0" w:line="240" w:lineRule="auto"/>
        <w:jc w:val="both"/>
        <w:rPr>
          <w:rFonts w:ascii="Calibri" w:eastAsia="Times New Roman" w:hAnsi="Calibri" w:cs="Times New Roman"/>
          <w:color w:val="000000" w:themeColor="text1"/>
          <w:highlight w:val="yellow"/>
          <w:lang w:val="en-US"/>
        </w:rPr>
      </w:pPr>
    </w:p>
    <w:p w14:paraId="1CBAF5A1" w14:textId="37042FE0" w:rsidR="00AA378C" w:rsidRPr="00537128" w:rsidRDefault="00A2608A" w:rsidP="00A2608A">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 xml:space="preserve">In the </w:t>
      </w:r>
      <w:r w:rsidR="005A39D4" w:rsidRPr="00537128">
        <w:rPr>
          <w:rFonts w:ascii="Calibri" w:eastAsia="Times New Roman" w:hAnsi="Calibri" w:cs="Times New Roman"/>
          <w:color w:val="000000" w:themeColor="text1"/>
          <w:lang w:val="en-US"/>
        </w:rPr>
        <w:t>reporting period</w:t>
      </w:r>
      <w:r w:rsidR="00FC1CD9" w:rsidRPr="00824319">
        <w:rPr>
          <w:rFonts w:ascii="Calibri" w:eastAsia="Times New Roman" w:hAnsi="Calibri" w:cs="Times New Roman"/>
          <w:color w:val="000000" w:themeColor="text1"/>
          <w:lang w:val="en-US"/>
        </w:rPr>
        <w:t xml:space="preserve">, </w:t>
      </w:r>
      <w:r w:rsidR="00FC1CD9" w:rsidRPr="00A1123E">
        <w:rPr>
          <w:rFonts w:ascii="Calibri" w:eastAsia="Times New Roman" w:hAnsi="Calibri" w:cs="Times New Roman"/>
          <w:color w:val="000000" w:themeColor="text1"/>
          <w:lang w:val="en-US"/>
        </w:rPr>
        <w:t xml:space="preserve">sale of foreclosed assets took place with present value in the amount of HRK </w:t>
      </w:r>
      <w:r w:rsidR="00B44BF1">
        <w:rPr>
          <w:rFonts w:ascii="Calibri" w:eastAsia="Times New Roman" w:hAnsi="Calibri" w:cs="Times New Roman"/>
          <w:color w:val="000000" w:themeColor="text1"/>
          <w:lang w:val="en-US"/>
        </w:rPr>
        <w:t>9</w:t>
      </w:r>
      <w:r w:rsidR="00FC1CD9" w:rsidRPr="00A1123E">
        <w:rPr>
          <w:rFonts w:ascii="Calibri" w:eastAsia="Times New Roman" w:hAnsi="Calibri" w:cs="Times New Roman"/>
          <w:color w:val="000000" w:themeColor="text1"/>
          <w:lang w:val="en-US"/>
        </w:rPr>
        <w:t xml:space="preserve"> thousand, acquisition value of HRK </w:t>
      </w:r>
      <w:r w:rsidR="00824319" w:rsidRPr="00A1123E">
        <w:rPr>
          <w:rFonts w:ascii="Calibri" w:eastAsia="Times New Roman" w:hAnsi="Calibri" w:cs="Times New Roman"/>
          <w:color w:val="000000" w:themeColor="text1"/>
          <w:lang w:val="en-US"/>
        </w:rPr>
        <w:t>2</w:t>
      </w:r>
      <w:r w:rsidR="00B44BF1">
        <w:rPr>
          <w:rFonts w:ascii="Calibri" w:eastAsia="Times New Roman" w:hAnsi="Calibri" w:cs="Times New Roman"/>
          <w:color w:val="000000" w:themeColor="text1"/>
          <w:lang w:val="en-US"/>
        </w:rPr>
        <w:t>97</w:t>
      </w:r>
      <w:r w:rsidR="009E38D2" w:rsidRPr="00A1123E">
        <w:rPr>
          <w:rFonts w:ascii="Calibri" w:eastAsia="Times New Roman" w:hAnsi="Calibri" w:cs="Times New Roman"/>
          <w:color w:val="000000" w:themeColor="text1"/>
          <w:lang w:val="en-US"/>
        </w:rPr>
        <w:t xml:space="preserve"> </w:t>
      </w:r>
      <w:r w:rsidR="00FC1CD9" w:rsidRPr="00A1123E">
        <w:rPr>
          <w:rFonts w:ascii="Calibri" w:eastAsia="Times New Roman" w:hAnsi="Calibri" w:cs="Times New Roman"/>
          <w:color w:val="000000" w:themeColor="text1"/>
          <w:lang w:val="en-US"/>
        </w:rPr>
        <w:t xml:space="preserve">thousand and provisions of HRK </w:t>
      </w:r>
      <w:r w:rsidR="009E38D2" w:rsidRPr="00A1123E">
        <w:rPr>
          <w:rFonts w:ascii="Calibri" w:eastAsia="Times New Roman" w:hAnsi="Calibri" w:cs="Times New Roman"/>
          <w:color w:val="000000" w:themeColor="text1"/>
          <w:lang w:val="en-US"/>
        </w:rPr>
        <w:t>2</w:t>
      </w:r>
      <w:r w:rsidR="00B44BF1">
        <w:rPr>
          <w:rFonts w:ascii="Calibri" w:eastAsia="Times New Roman" w:hAnsi="Calibri" w:cs="Times New Roman"/>
          <w:color w:val="000000" w:themeColor="text1"/>
          <w:lang w:val="en-US"/>
        </w:rPr>
        <w:t>8</w:t>
      </w:r>
      <w:r w:rsidR="00824319" w:rsidRPr="00A1123E">
        <w:rPr>
          <w:rFonts w:ascii="Calibri" w:eastAsia="Times New Roman" w:hAnsi="Calibri" w:cs="Times New Roman"/>
          <w:color w:val="000000" w:themeColor="text1"/>
          <w:lang w:val="en-US"/>
        </w:rPr>
        <w:t>8</w:t>
      </w:r>
      <w:r w:rsidR="009E38D2" w:rsidRPr="00A1123E">
        <w:rPr>
          <w:rFonts w:ascii="Calibri" w:eastAsia="Times New Roman" w:hAnsi="Calibri" w:cs="Times New Roman"/>
          <w:color w:val="000000" w:themeColor="text1"/>
          <w:lang w:val="en-US"/>
        </w:rPr>
        <w:t xml:space="preserve"> </w:t>
      </w:r>
      <w:r w:rsidR="00FC1CD9" w:rsidRPr="00A1123E">
        <w:rPr>
          <w:rFonts w:ascii="Calibri" w:eastAsia="Times New Roman" w:hAnsi="Calibri" w:cs="Times New Roman"/>
          <w:color w:val="000000" w:themeColor="text1"/>
          <w:lang w:val="en-US"/>
        </w:rPr>
        <w:t>thousand</w:t>
      </w:r>
      <w:r w:rsidR="00FC1CD9" w:rsidRPr="00824319">
        <w:rPr>
          <w:rFonts w:ascii="Calibri" w:eastAsia="Times New Roman" w:hAnsi="Calibri" w:cs="Times New Roman"/>
          <w:color w:val="000000" w:themeColor="text1"/>
          <w:lang w:val="en-US"/>
        </w:rPr>
        <w:t xml:space="preserve"> </w:t>
      </w:r>
      <w:r w:rsidR="00824319" w:rsidRPr="00824319">
        <w:rPr>
          <w:rFonts w:ascii="Calibri" w:eastAsia="Times New Roman" w:hAnsi="Calibri" w:cs="Times New Roman"/>
          <w:color w:val="000000" w:themeColor="text1"/>
          <w:lang w:val="en-US"/>
        </w:rPr>
        <w:t>relates to land plot</w:t>
      </w:r>
      <w:r w:rsidR="00824319">
        <w:rPr>
          <w:rFonts w:ascii="Calibri" w:eastAsia="Times New Roman" w:hAnsi="Calibri" w:cs="Times New Roman"/>
          <w:color w:val="000000" w:themeColor="text1"/>
          <w:lang w:val="en-US"/>
        </w:rPr>
        <w:t xml:space="preserve"> </w:t>
      </w:r>
      <w:r w:rsidRPr="00537128">
        <w:rPr>
          <w:rFonts w:ascii="Calibri" w:eastAsia="Times New Roman" w:hAnsi="Calibri" w:cs="Times New Roman"/>
          <w:color w:val="000000" w:themeColor="text1"/>
          <w:lang w:val="en-US"/>
        </w:rPr>
        <w:t>(i</w:t>
      </w:r>
      <w:r w:rsidR="002B22A4">
        <w:rPr>
          <w:rFonts w:cs="Arial"/>
          <w:lang w:val="en-GB"/>
        </w:rPr>
        <w:t>n 2021, sale of foreclosed assets took place with present value in the amount of HRK 10,156 thousand, acquisition value and provisions of HRK 24,218 thousand and provisions of HRK 14,062 thousand, and relates to land plot in the amount of HRK 486 thousand, buildings in the amount of HRK 2,886 thousand and  apartments in the amount of HRK 6,784 thousand</w:t>
      </w:r>
      <w:r w:rsidRPr="00537128">
        <w:rPr>
          <w:rFonts w:ascii="Calibri" w:eastAsia="Times New Roman" w:hAnsi="Calibri" w:cs="Times New Roman"/>
          <w:color w:val="000000" w:themeColor="text1"/>
          <w:lang w:val="en-US"/>
        </w:rPr>
        <w:t>)</w:t>
      </w:r>
      <w:r w:rsidR="00AA378C" w:rsidRPr="00537128">
        <w:rPr>
          <w:rFonts w:ascii="Calibri" w:eastAsia="Times New Roman" w:hAnsi="Calibri" w:cs="Times New Roman"/>
          <w:color w:val="000000" w:themeColor="text1"/>
          <w:lang w:val="en-US"/>
        </w:rPr>
        <w:t>.</w:t>
      </w:r>
    </w:p>
    <w:p w14:paraId="4B6DD171" w14:textId="77777777" w:rsidR="00AA378C" w:rsidRPr="00537128" w:rsidRDefault="00AA378C" w:rsidP="00A2608A">
      <w:pPr>
        <w:spacing w:after="0" w:line="240" w:lineRule="auto"/>
        <w:jc w:val="both"/>
        <w:rPr>
          <w:rFonts w:ascii="Calibri" w:eastAsia="Times New Roman" w:hAnsi="Calibri" w:cs="Times New Roman"/>
          <w:color w:val="000000" w:themeColor="text1"/>
          <w:highlight w:val="yellow"/>
          <w:lang w:val="en-US"/>
        </w:rPr>
      </w:pPr>
    </w:p>
    <w:p w14:paraId="4F08BF7B" w14:textId="49D511EF" w:rsidR="00AA378C" w:rsidRPr="00537128" w:rsidRDefault="00A2608A" w:rsidP="00A2608A">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In the reporting period 202</w:t>
      </w:r>
      <w:r w:rsidR="00C741DE">
        <w:rPr>
          <w:rFonts w:ascii="Calibri" w:eastAsia="Times New Roman" w:hAnsi="Calibri" w:cs="Times New Roman"/>
          <w:color w:val="000000" w:themeColor="text1"/>
          <w:lang w:val="en-US"/>
        </w:rPr>
        <w:t>2</w:t>
      </w:r>
      <w:r w:rsidR="00AA378C" w:rsidRPr="00537128">
        <w:rPr>
          <w:rFonts w:ascii="Calibri" w:eastAsia="Times New Roman" w:hAnsi="Calibri" w:cs="Times New Roman"/>
          <w:color w:val="000000" w:themeColor="text1"/>
          <w:lang w:val="en-US"/>
        </w:rPr>
        <w:t>, foreclosed assets w</w:t>
      </w:r>
      <w:r w:rsidR="00936C81">
        <w:rPr>
          <w:rFonts w:ascii="Calibri" w:eastAsia="Times New Roman" w:hAnsi="Calibri" w:cs="Times New Roman"/>
          <w:color w:val="000000" w:themeColor="text1"/>
          <w:lang w:val="en-US"/>
        </w:rPr>
        <w:t>ere</w:t>
      </w:r>
      <w:r w:rsidR="00AA378C" w:rsidRPr="00537128">
        <w:rPr>
          <w:rFonts w:ascii="Calibri" w:eastAsia="Times New Roman" w:hAnsi="Calibri" w:cs="Times New Roman"/>
          <w:color w:val="000000" w:themeColor="text1"/>
          <w:lang w:val="en-US"/>
        </w:rPr>
        <w:t xml:space="preserve"> transferred to lease on the item Investments in property in the amount of </w:t>
      </w:r>
      <w:r w:rsidR="00AA378C" w:rsidRPr="00DE2590">
        <w:rPr>
          <w:rFonts w:ascii="Calibri" w:eastAsia="Times New Roman" w:hAnsi="Calibri" w:cs="Times New Roman"/>
          <w:color w:val="000000" w:themeColor="text1"/>
          <w:lang w:val="en-US"/>
        </w:rPr>
        <w:t xml:space="preserve">HRK </w:t>
      </w:r>
      <w:r w:rsidR="00824319" w:rsidRPr="00DE2590">
        <w:rPr>
          <w:rFonts w:ascii="Calibri" w:eastAsia="Times New Roman" w:hAnsi="Calibri" w:cs="Times New Roman"/>
          <w:color w:val="000000" w:themeColor="text1"/>
          <w:lang w:val="en-US"/>
        </w:rPr>
        <w:t>2</w:t>
      </w:r>
      <w:r w:rsidR="008930DE" w:rsidRPr="00DE2590">
        <w:rPr>
          <w:rFonts w:ascii="Calibri" w:eastAsia="Times New Roman" w:hAnsi="Calibri" w:cs="Times New Roman"/>
          <w:color w:val="000000" w:themeColor="text1"/>
          <w:lang w:val="en-US"/>
        </w:rPr>
        <w:t>,</w:t>
      </w:r>
      <w:r w:rsidR="007026A6" w:rsidRPr="00DE2590">
        <w:rPr>
          <w:rFonts w:ascii="Calibri" w:eastAsia="Times New Roman" w:hAnsi="Calibri" w:cs="Times New Roman"/>
          <w:color w:val="000000" w:themeColor="text1"/>
          <w:lang w:val="en-US"/>
        </w:rPr>
        <w:t>720</w:t>
      </w:r>
      <w:r w:rsidR="009E38D2" w:rsidRPr="00DE2590">
        <w:rPr>
          <w:rFonts w:ascii="Calibri" w:eastAsia="Times New Roman" w:hAnsi="Calibri" w:cs="Times New Roman"/>
          <w:color w:val="000000" w:themeColor="text1"/>
          <w:lang w:val="en-US"/>
        </w:rPr>
        <w:t xml:space="preserve"> </w:t>
      </w:r>
      <w:r w:rsidR="00AA378C" w:rsidRPr="00DE2590">
        <w:rPr>
          <w:rFonts w:ascii="Calibri" w:eastAsia="Times New Roman" w:hAnsi="Calibri" w:cs="Times New Roman"/>
          <w:color w:val="000000" w:themeColor="text1"/>
          <w:lang w:val="en-US"/>
        </w:rPr>
        <w:t>thousand</w:t>
      </w:r>
      <w:r w:rsidR="00AA378C" w:rsidRPr="00537128">
        <w:rPr>
          <w:rFonts w:ascii="Calibri" w:eastAsia="Times New Roman" w:hAnsi="Calibri" w:cs="Times New Roman"/>
          <w:color w:val="000000" w:themeColor="text1"/>
          <w:lang w:val="en-US"/>
        </w:rPr>
        <w:t xml:space="preserve"> (20</w:t>
      </w:r>
      <w:r w:rsidR="008252AD" w:rsidRPr="00537128">
        <w:rPr>
          <w:rFonts w:ascii="Calibri" w:eastAsia="Times New Roman" w:hAnsi="Calibri" w:cs="Times New Roman"/>
          <w:color w:val="000000" w:themeColor="text1"/>
          <w:lang w:val="en-US"/>
        </w:rPr>
        <w:t>2</w:t>
      </w:r>
      <w:r w:rsidR="00C741DE">
        <w:rPr>
          <w:rFonts w:ascii="Calibri" w:eastAsia="Times New Roman" w:hAnsi="Calibri" w:cs="Times New Roman"/>
          <w:color w:val="000000" w:themeColor="text1"/>
          <w:lang w:val="en-US"/>
        </w:rPr>
        <w:t>1</w:t>
      </w:r>
      <w:r w:rsidR="00AA378C" w:rsidRPr="00537128">
        <w:rPr>
          <w:rFonts w:ascii="Calibri" w:eastAsia="Times New Roman" w:hAnsi="Calibri" w:cs="Times New Roman"/>
          <w:color w:val="000000" w:themeColor="text1"/>
          <w:lang w:val="en-US"/>
        </w:rPr>
        <w:t xml:space="preserve">: HRK </w:t>
      </w:r>
      <w:r w:rsidR="00C741DE">
        <w:rPr>
          <w:rFonts w:ascii="Calibri" w:eastAsia="Times New Roman" w:hAnsi="Calibri" w:cs="Times New Roman"/>
          <w:color w:val="000000" w:themeColor="text1"/>
          <w:lang w:val="en-US"/>
        </w:rPr>
        <w:t>2</w:t>
      </w:r>
      <w:r w:rsidR="008252AD" w:rsidRPr="00537128">
        <w:rPr>
          <w:rFonts w:ascii="Calibri" w:eastAsia="Times New Roman" w:hAnsi="Calibri" w:cs="Times New Roman"/>
          <w:color w:val="000000" w:themeColor="text1"/>
          <w:lang w:val="en-US"/>
        </w:rPr>
        <w:t>,</w:t>
      </w:r>
      <w:r w:rsidR="00C741DE">
        <w:rPr>
          <w:rFonts w:ascii="Calibri" w:eastAsia="Times New Roman" w:hAnsi="Calibri" w:cs="Times New Roman"/>
          <w:color w:val="000000" w:themeColor="text1"/>
          <w:lang w:val="en-US"/>
        </w:rPr>
        <w:t>757</w:t>
      </w:r>
      <w:r w:rsidR="008252AD" w:rsidRPr="00537128">
        <w:rPr>
          <w:rFonts w:ascii="Calibri" w:eastAsia="Times New Roman" w:hAnsi="Calibri" w:cs="Times New Roman"/>
          <w:color w:val="000000" w:themeColor="text1"/>
          <w:lang w:val="en-US"/>
        </w:rPr>
        <w:t xml:space="preserve"> </w:t>
      </w:r>
      <w:r w:rsidR="00AA378C" w:rsidRPr="00537128">
        <w:rPr>
          <w:rFonts w:ascii="Calibri" w:eastAsia="Times New Roman" w:hAnsi="Calibri" w:cs="Times New Roman"/>
          <w:color w:val="000000" w:themeColor="text1"/>
          <w:lang w:val="en-US"/>
        </w:rPr>
        <w:t xml:space="preserve">thousand), which is presented under </w:t>
      </w:r>
      <w:proofErr w:type="gramStart"/>
      <w:r w:rsidR="00AA378C" w:rsidRPr="00537128">
        <w:rPr>
          <w:rFonts w:ascii="Calibri" w:eastAsia="Times New Roman" w:hAnsi="Calibri" w:cs="Times New Roman"/>
          <w:color w:val="000000" w:themeColor="text1"/>
          <w:lang w:val="en-US"/>
        </w:rPr>
        <w:t>Other</w:t>
      </w:r>
      <w:proofErr w:type="gramEnd"/>
      <w:r w:rsidR="00AA378C" w:rsidRPr="00537128">
        <w:rPr>
          <w:rFonts w:ascii="Calibri" w:eastAsia="Times New Roman" w:hAnsi="Calibri" w:cs="Times New Roman"/>
          <w:color w:val="000000" w:themeColor="text1"/>
          <w:lang w:val="en-US"/>
        </w:rPr>
        <w:t xml:space="preserve"> assets due to immaterial significance. In </w:t>
      </w:r>
      <w:r w:rsidR="00FC1CD9" w:rsidRPr="00537128">
        <w:rPr>
          <w:rFonts w:ascii="Calibri" w:eastAsia="Times New Roman" w:hAnsi="Calibri" w:cs="Times New Roman"/>
          <w:color w:val="000000" w:themeColor="text1"/>
          <w:lang w:val="en-US"/>
        </w:rPr>
        <w:t xml:space="preserve">the reporting period, </w:t>
      </w:r>
      <w:r w:rsidR="00AA378C" w:rsidRPr="00537128">
        <w:rPr>
          <w:rFonts w:ascii="Calibri" w:eastAsia="Times New Roman" w:hAnsi="Calibri" w:cs="Times New Roman"/>
          <w:color w:val="000000" w:themeColor="text1"/>
          <w:lang w:val="en-US"/>
        </w:rPr>
        <w:t xml:space="preserve">this property was depreciated in the amount of HRK </w:t>
      </w:r>
      <w:r w:rsidR="00DE2590">
        <w:rPr>
          <w:rFonts w:ascii="Calibri" w:eastAsia="Times New Roman" w:hAnsi="Calibri" w:cs="Times New Roman"/>
          <w:color w:val="000000" w:themeColor="text1"/>
          <w:lang w:val="en-US"/>
        </w:rPr>
        <w:t>36</w:t>
      </w:r>
      <w:r w:rsidR="009E38D2" w:rsidRPr="00537128">
        <w:rPr>
          <w:rFonts w:ascii="Calibri" w:eastAsia="Times New Roman" w:hAnsi="Calibri" w:cs="Times New Roman"/>
          <w:color w:val="000000" w:themeColor="text1"/>
          <w:lang w:val="en-US"/>
        </w:rPr>
        <w:t xml:space="preserve"> </w:t>
      </w:r>
      <w:r w:rsidR="00AA378C" w:rsidRPr="00537128">
        <w:rPr>
          <w:rFonts w:ascii="Calibri" w:eastAsia="Times New Roman" w:hAnsi="Calibri" w:cs="Times New Roman"/>
          <w:color w:val="000000" w:themeColor="text1"/>
          <w:lang w:val="en-US"/>
        </w:rPr>
        <w:t>thousand (20</w:t>
      </w:r>
      <w:r w:rsidR="008252AD" w:rsidRPr="00537128">
        <w:rPr>
          <w:rFonts w:ascii="Calibri" w:eastAsia="Times New Roman" w:hAnsi="Calibri" w:cs="Times New Roman"/>
          <w:color w:val="000000" w:themeColor="text1"/>
          <w:lang w:val="en-US"/>
        </w:rPr>
        <w:t>2</w:t>
      </w:r>
      <w:r w:rsidR="005F2587">
        <w:rPr>
          <w:rFonts w:ascii="Calibri" w:eastAsia="Times New Roman" w:hAnsi="Calibri" w:cs="Times New Roman"/>
          <w:color w:val="000000" w:themeColor="text1"/>
          <w:lang w:val="en-US"/>
        </w:rPr>
        <w:t>1</w:t>
      </w:r>
      <w:r w:rsidR="00AA378C" w:rsidRPr="00537128">
        <w:rPr>
          <w:rFonts w:ascii="Calibri" w:eastAsia="Times New Roman" w:hAnsi="Calibri" w:cs="Times New Roman"/>
          <w:color w:val="000000" w:themeColor="text1"/>
          <w:lang w:val="en-US"/>
        </w:rPr>
        <w:t xml:space="preserve">: HRK </w:t>
      </w:r>
      <w:r w:rsidR="005F2587">
        <w:rPr>
          <w:rFonts w:ascii="Calibri" w:eastAsia="Times New Roman" w:hAnsi="Calibri" w:cs="Times New Roman"/>
          <w:color w:val="000000" w:themeColor="text1"/>
          <w:lang w:val="en-US"/>
        </w:rPr>
        <w:t>133</w:t>
      </w:r>
      <w:r w:rsidR="00AA378C" w:rsidRPr="00537128">
        <w:rPr>
          <w:rFonts w:ascii="Calibri" w:eastAsia="Times New Roman" w:hAnsi="Calibri" w:cs="Times New Roman"/>
          <w:color w:val="000000" w:themeColor="text1"/>
          <w:lang w:val="en-US"/>
        </w:rPr>
        <w:t xml:space="preserve"> thousand).</w:t>
      </w:r>
    </w:p>
    <w:p w14:paraId="1DA6ACF3" w14:textId="77777777" w:rsidR="00AA378C" w:rsidRPr="00537128" w:rsidRDefault="00AA378C" w:rsidP="00A2608A">
      <w:pPr>
        <w:spacing w:after="0" w:line="240" w:lineRule="auto"/>
        <w:jc w:val="both"/>
        <w:rPr>
          <w:rFonts w:ascii="Calibri" w:eastAsia="Times New Roman" w:hAnsi="Calibri" w:cs="Times New Roman"/>
          <w:color w:val="000000" w:themeColor="text1"/>
          <w:highlight w:val="yellow"/>
          <w:lang w:val="en-US"/>
        </w:rPr>
      </w:pPr>
    </w:p>
    <w:p w14:paraId="1E45A2E6" w14:textId="0448E220" w:rsidR="00AA378C" w:rsidRPr="00537128" w:rsidRDefault="00AA378C" w:rsidP="00A2608A">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 xml:space="preserve">The fair value of foreclosed assets at the beginning of the reporting period stood at HRK </w:t>
      </w:r>
      <w:r w:rsidR="00721264">
        <w:rPr>
          <w:rFonts w:ascii="Calibri" w:eastAsia="Times New Roman" w:hAnsi="Calibri" w:cs="Times New Roman"/>
          <w:color w:val="000000" w:themeColor="text1"/>
          <w:lang w:val="en-US"/>
        </w:rPr>
        <w:t>29,951</w:t>
      </w:r>
      <w:r w:rsidR="008252AD" w:rsidRPr="00537128">
        <w:rPr>
          <w:rFonts w:ascii="Calibri" w:eastAsia="Times New Roman" w:hAnsi="Calibri" w:cs="Times New Roman"/>
          <w:color w:val="000000" w:themeColor="text1"/>
          <w:lang w:val="en-US"/>
        </w:rPr>
        <w:t xml:space="preserve"> </w:t>
      </w:r>
      <w:r w:rsidRPr="00537128">
        <w:rPr>
          <w:rFonts w:ascii="Calibri" w:eastAsia="Times New Roman" w:hAnsi="Calibri" w:cs="Times New Roman"/>
          <w:color w:val="000000" w:themeColor="text1"/>
          <w:lang w:val="en-US"/>
        </w:rPr>
        <w:t xml:space="preserve">thousand and the end of the reporting period at </w:t>
      </w:r>
      <w:r w:rsidRPr="00B0289D">
        <w:rPr>
          <w:rFonts w:ascii="Calibri" w:eastAsia="Times New Roman" w:hAnsi="Calibri" w:cs="Times New Roman"/>
          <w:color w:val="000000" w:themeColor="text1"/>
          <w:lang w:val="en-US"/>
        </w:rPr>
        <w:t xml:space="preserve">HRK </w:t>
      </w:r>
      <w:r w:rsidR="00824319" w:rsidRPr="00B0289D">
        <w:rPr>
          <w:rFonts w:ascii="Calibri" w:eastAsia="Times New Roman" w:hAnsi="Calibri" w:cs="Times New Roman"/>
          <w:color w:val="000000" w:themeColor="text1"/>
          <w:lang w:val="en-US"/>
        </w:rPr>
        <w:t>3</w:t>
      </w:r>
      <w:r w:rsidR="006675C7" w:rsidRPr="00B0289D">
        <w:rPr>
          <w:rFonts w:ascii="Calibri" w:eastAsia="Times New Roman" w:hAnsi="Calibri" w:cs="Times New Roman"/>
          <w:color w:val="000000" w:themeColor="text1"/>
          <w:lang w:val="en-US"/>
        </w:rPr>
        <w:t>3</w:t>
      </w:r>
      <w:r w:rsidR="00B0289D" w:rsidRPr="00B0289D">
        <w:rPr>
          <w:rFonts w:ascii="Calibri" w:eastAsia="Times New Roman" w:hAnsi="Calibri" w:cs="Times New Roman"/>
          <w:color w:val="000000" w:themeColor="text1"/>
          <w:lang w:val="en-US"/>
        </w:rPr>
        <w:t>,</w:t>
      </w:r>
      <w:r w:rsidR="006675C7" w:rsidRPr="00B0289D">
        <w:rPr>
          <w:rFonts w:ascii="Calibri" w:eastAsia="Times New Roman" w:hAnsi="Calibri" w:cs="Times New Roman"/>
          <w:color w:val="000000" w:themeColor="text1"/>
          <w:lang w:val="en-US"/>
        </w:rPr>
        <w:t>451</w:t>
      </w:r>
      <w:r w:rsidR="009E38D2" w:rsidRPr="00824319">
        <w:rPr>
          <w:rFonts w:ascii="Calibri" w:eastAsia="Times New Roman" w:hAnsi="Calibri" w:cs="Times New Roman"/>
          <w:color w:val="000000" w:themeColor="text1"/>
          <w:lang w:val="en-US"/>
        </w:rPr>
        <w:t xml:space="preserve"> </w:t>
      </w:r>
      <w:r w:rsidRPr="00824319">
        <w:rPr>
          <w:rFonts w:ascii="Calibri" w:eastAsia="Times New Roman" w:hAnsi="Calibri" w:cs="Times New Roman"/>
          <w:color w:val="000000" w:themeColor="text1"/>
          <w:lang w:val="en-US"/>
        </w:rPr>
        <w:t>thousand</w:t>
      </w:r>
      <w:r w:rsidRPr="00537128">
        <w:rPr>
          <w:rFonts w:ascii="Calibri" w:eastAsia="Times New Roman" w:hAnsi="Calibri" w:cs="Times New Roman"/>
          <w:color w:val="000000" w:themeColor="text1"/>
          <w:lang w:val="en-US"/>
        </w:rPr>
        <w:t>.</w:t>
      </w:r>
    </w:p>
    <w:p w14:paraId="70870301" w14:textId="77777777" w:rsidR="00AA378C" w:rsidRPr="00537128" w:rsidRDefault="00AA378C" w:rsidP="00A2608A">
      <w:pPr>
        <w:spacing w:after="0" w:line="240" w:lineRule="auto"/>
        <w:jc w:val="both"/>
        <w:rPr>
          <w:rFonts w:ascii="Calibri" w:eastAsia="Times New Roman" w:hAnsi="Calibri" w:cs="Times New Roman"/>
          <w:color w:val="000000" w:themeColor="text1"/>
          <w:highlight w:val="yellow"/>
          <w:lang w:val="en-US"/>
        </w:rPr>
      </w:pPr>
    </w:p>
    <w:p w14:paraId="068B3913" w14:textId="2E60BAA6" w:rsidR="00D6631F" w:rsidRPr="00537128" w:rsidRDefault="008930DE" w:rsidP="00AA378C">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The amount of the a</w:t>
      </w:r>
      <w:r w:rsidR="00AA378C" w:rsidRPr="00537128">
        <w:rPr>
          <w:rFonts w:ascii="Calibri" w:eastAsia="Times New Roman" w:hAnsi="Calibri" w:cs="Times New Roman"/>
          <w:color w:val="000000" w:themeColor="text1"/>
          <w:lang w:val="en-US"/>
        </w:rPr>
        <w:t xml:space="preserve">djustment for the Group and the Bank that </w:t>
      </w:r>
      <w:proofErr w:type="gramStart"/>
      <w:r w:rsidR="00AA378C" w:rsidRPr="00537128">
        <w:rPr>
          <w:rFonts w:ascii="Calibri" w:eastAsia="Times New Roman" w:hAnsi="Calibri" w:cs="Times New Roman"/>
          <w:color w:val="000000" w:themeColor="text1"/>
          <w:lang w:val="en-US"/>
        </w:rPr>
        <w:t>has an effect on</w:t>
      </w:r>
      <w:proofErr w:type="gramEnd"/>
      <w:r w:rsidR="00AA378C" w:rsidRPr="00537128">
        <w:rPr>
          <w:rFonts w:ascii="Calibri" w:eastAsia="Times New Roman" w:hAnsi="Calibri" w:cs="Times New Roman"/>
          <w:color w:val="000000" w:themeColor="text1"/>
          <w:lang w:val="en-US"/>
        </w:rPr>
        <w:t xml:space="preserve"> the profit or loss stood at </w:t>
      </w:r>
      <w:r w:rsidR="00AA378C" w:rsidRPr="00B0289D">
        <w:rPr>
          <w:rFonts w:ascii="Calibri" w:eastAsia="Times New Roman" w:hAnsi="Calibri" w:cs="Times New Roman"/>
          <w:color w:val="000000" w:themeColor="text1"/>
          <w:lang w:val="en-US"/>
        </w:rPr>
        <w:t xml:space="preserve">HRK </w:t>
      </w:r>
      <w:r w:rsidRPr="00B0289D">
        <w:rPr>
          <w:rFonts w:ascii="Calibri" w:eastAsia="Times New Roman" w:hAnsi="Calibri" w:cs="Times New Roman"/>
          <w:color w:val="000000" w:themeColor="text1"/>
          <w:lang w:val="en-US"/>
        </w:rPr>
        <w:t>0</w:t>
      </w:r>
      <w:r w:rsidR="00A2608A" w:rsidRPr="00B0289D">
        <w:rPr>
          <w:rFonts w:ascii="Calibri" w:eastAsia="Times New Roman" w:hAnsi="Calibri" w:cs="Times New Roman"/>
          <w:color w:val="000000" w:themeColor="text1"/>
          <w:lang w:val="en-US"/>
        </w:rPr>
        <w:t xml:space="preserve"> </w:t>
      </w:r>
      <w:r w:rsidR="00AA378C" w:rsidRPr="00B0289D">
        <w:rPr>
          <w:rFonts w:ascii="Calibri" w:eastAsia="Times New Roman" w:hAnsi="Calibri" w:cs="Times New Roman"/>
          <w:color w:val="000000" w:themeColor="text1"/>
          <w:lang w:val="en-US"/>
        </w:rPr>
        <w:t>thousand</w:t>
      </w:r>
      <w:r w:rsidR="00AA378C" w:rsidRPr="00537128">
        <w:rPr>
          <w:rFonts w:ascii="Calibri" w:eastAsia="Times New Roman" w:hAnsi="Calibri" w:cs="Times New Roman"/>
          <w:color w:val="000000" w:themeColor="text1"/>
          <w:lang w:val="en-US"/>
        </w:rPr>
        <w:t xml:space="preserve"> in 20</w:t>
      </w:r>
      <w:r w:rsidR="00A2608A" w:rsidRPr="00537128">
        <w:rPr>
          <w:rFonts w:ascii="Calibri" w:eastAsia="Times New Roman" w:hAnsi="Calibri" w:cs="Times New Roman"/>
          <w:color w:val="000000" w:themeColor="text1"/>
          <w:lang w:val="en-US"/>
        </w:rPr>
        <w:t>2</w:t>
      </w:r>
      <w:r w:rsidR="008252AD" w:rsidRPr="00537128">
        <w:rPr>
          <w:rFonts w:ascii="Calibri" w:eastAsia="Times New Roman" w:hAnsi="Calibri" w:cs="Times New Roman"/>
          <w:color w:val="000000" w:themeColor="text1"/>
          <w:lang w:val="en-US"/>
        </w:rPr>
        <w:t>1</w:t>
      </w:r>
      <w:r w:rsidR="00EF6B3E" w:rsidRPr="00537128">
        <w:rPr>
          <w:lang w:val="en-US"/>
        </w:rPr>
        <w:t xml:space="preserve"> </w:t>
      </w:r>
      <w:r w:rsidR="00EF6B3E" w:rsidRPr="00537128">
        <w:rPr>
          <w:rFonts w:ascii="Calibri" w:eastAsia="Times New Roman" w:hAnsi="Calibri" w:cs="Times New Roman"/>
          <w:color w:val="000000" w:themeColor="text1"/>
          <w:lang w:val="en-US"/>
        </w:rPr>
        <w:t>(</w:t>
      </w:r>
      <w:r w:rsidR="00824319">
        <w:rPr>
          <w:rFonts w:ascii="Calibri" w:eastAsia="Times New Roman" w:hAnsi="Calibri" w:cs="Times New Roman"/>
          <w:color w:val="000000" w:themeColor="text1"/>
          <w:lang w:val="en-US"/>
        </w:rPr>
        <w:t>202</w:t>
      </w:r>
      <w:r w:rsidR="00801C2A">
        <w:rPr>
          <w:rFonts w:ascii="Calibri" w:eastAsia="Times New Roman" w:hAnsi="Calibri" w:cs="Times New Roman"/>
          <w:color w:val="000000" w:themeColor="text1"/>
          <w:lang w:val="en-US"/>
        </w:rPr>
        <w:t>1</w:t>
      </w:r>
      <w:r w:rsidR="00824319">
        <w:rPr>
          <w:rFonts w:ascii="Calibri" w:eastAsia="Times New Roman" w:hAnsi="Calibri" w:cs="Times New Roman"/>
          <w:color w:val="000000" w:themeColor="text1"/>
          <w:lang w:val="en-US"/>
        </w:rPr>
        <w:t xml:space="preserve">: </w:t>
      </w:r>
      <w:r w:rsidR="00EF6B3E" w:rsidRPr="00537128">
        <w:rPr>
          <w:rFonts w:ascii="Calibri" w:eastAsia="Times New Roman" w:hAnsi="Calibri" w:cs="Times New Roman"/>
          <w:color w:val="000000" w:themeColor="text1"/>
          <w:lang w:val="en-US"/>
        </w:rPr>
        <w:t xml:space="preserve">increase of HRK </w:t>
      </w:r>
      <w:r w:rsidR="00801C2A">
        <w:rPr>
          <w:rFonts w:ascii="Calibri" w:eastAsia="Times New Roman" w:hAnsi="Calibri" w:cs="Times New Roman"/>
          <w:color w:val="000000" w:themeColor="text1"/>
          <w:lang w:val="en-US"/>
        </w:rPr>
        <w:t>750</w:t>
      </w:r>
      <w:r w:rsidR="00EF6B3E" w:rsidRPr="00537128">
        <w:rPr>
          <w:rFonts w:ascii="Calibri" w:eastAsia="Times New Roman" w:hAnsi="Calibri" w:cs="Times New Roman"/>
          <w:color w:val="000000" w:themeColor="text1"/>
          <w:lang w:val="en-US"/>
        </w:rPr>
        <w:t xml:space="preserve"> thousand)</w:t>
      </w:r>
      <w:r w:rsidR="00DB1B63" w:rsidRPr="00537128">
        <w:rPr>
          <w:rFonts w:ascii="Calibri" w:eastAsia="Times New Roman" w:hAnsi="Calibri" w:cs="Times New Roman"/>
          <w:color w:val="000000" w:themeColor="text1"/>
          <w:lang w:val="en-US"/>
        </w:rPr>
        <w:t>.</w:t>
      </w:r>
    </w:p>
    <w:p w14:paraId="26193D2F" w14:textId="77777777" w:rsidR="00A2608A" w:rsidRPr="00537128" w:rsidRDefault="00A2608A" w:rsidP="00AA378C">
      <w:pPr>
        <w:spacing w:after="0" w:line="240" w:lineRule="auto"/>
        <w:jc w:val="both"/>
        <w:rPr>
          <w:rFonts w:ascii="Calibri" w:eastAsia="Times New Roman" w:hAnsi="Calibri" w:cs="Times New Roman"/>
          <w:color w:val="000000" w:themeColor="text1"/>
          <w:lang w:val="en-US"/>
        </w:rPr>
      </w:pPr>
    </w:p>
    <w:p w14:paraId="314CFF27" w14:textId="77777777" w:rsidR="00A2608A" w:rsidRPr="00537128" w:rsidRDefault="00A2608A" w:rsidP="00AA378C">
      <w:pPr>
        <w:spacing w:after="0" w:line="240" w:lineRule="auto"/>
        <w:jc w:val="both"/>
        <w:rPr>
          <w:rFonts w:ascii="Calibri" w:eastAsia="Times New Roman" w:hAnsi="Calibri" w:cs="Times New Roman"/>
          <w:color w:val="000000" w:themeColor="text1"/>
          <w:lang w:val="en-US"/>
        </w:rPr>
      </w:pPr>
    </w:p>
    <w:p w14:paraId="71E55527" w14:textId="77777777" w:rsidR="00A2608A" w:rsidRPr="00537128" w:rsidRDefault="00A2608A" w:rsidP="00AA378C">
      <w:pPr>
        <w:spacing w:after="0" w:line="240" w:lineRule="auto"/>
        <w:jc w:val="both"/>
        <w:rPr>
          <w:rFonts w:ascii="Calibri" w:eastAsia="Times New Roman" w:hAnsi="Calibri" w:cs="Times New Roman"/>
          <w:color w:val="000000" w:themeColor="text1"/>
          <w:lang w:val="en-US"/>
        </w:rPr>
        <w:sectPr w:rsidR="00A2608A" w:rsidRPr="00537128">
          <w:pgSz w:w="11906" w:h="16838"/>
          <w:pgMar w:top="1417" w:right="1417" w:bottom="1417" w:left="1417" w:header="708" w:footer="708" w:gutter="0"/>
          <w:cols w:space="708"/>
          <w:docGrid w:linePitch="360"/>
        </w:sectPr>
      </w:pPr>
    </w:p>
    <w:p w14:paraId="0600BF25" w14:textId="77777777" w:rsidR="00A2608A" w:rsidRPr="00537128" w:rsidRDefault="00A2608A" w:rsidP="00AA378C">
      <w:pPr>
        <w:spacing w:after="0" w:line="240" w:lineRule="auto"/>
        <w:jc w:val="both"/>
        <w:rPr>
          <w:rFonts w:ascii="Calibri" w:eastAsia="Times New Roman" w:hAnsi="Calibri" w:cs="Times New Roman"/>
          <w:color w:val="000000" w:themeColor="text1"/>
          <w:sz w:val="18"/>
          <w:szCs w:val="18"/>
          <w:lang w:val="en-US"/>
        </w:rPr>
      </w:pPr>
    </w:p>
    <w:p w14:paraId="65B19939" w14:textId="77777777" w:rsidR="00AE3B39" w:rsidRPr="00537128" w:rsidRDefault="00AE3B39" w:rsidP="005B7D9D">
      <w:pPr>
        <w:pStyle w:val="ListParagraph"/>
        <w:numPr>
          <w:ilvl w:val="0"/>
          <w:numId w:val="15"/>
        </w:numPr>
        <w:tabs>
          <w:tab w:val="left" w:pos="567"/>
        </w:tabs>
        <w:spacing w:after="0" w:line="240" w:lineRule="auto"/>
        <w:rPr>
          <w:rFonts w:ascii="Calibri" w:eastAsia="Times New Roman" w:hAnsi="Calibri" w:cs="Arial"/>
          <w:b/>
          <w:bCs/>
          <w:color w:val="000000" w:themeColor="text1"/>
          <w:lang w:val="en-US"/>
        </w:rPr>
      </w:pPr>
      <w:r w:rsidRPr="00537128">
        <w:rPr>
          <w:rFonts w:ascii="Calibri" w:eastAsia="Times New Roman" w:hAnsi="Calibri" w:cs="Arial"/>
          <w:b/>
          <w:bCs/>
          <w:color w:val="000000" w:themeColor="text1"/>
          <w:lang w:val="en-US"/>
        </w:rPr>
        <w:t>Other assets</w:t>
      </w:r>
    </w:p>
    <w:p w14:paraId="6950150B" w14:textId="6C50DC45" w:rsidR="00AE3B39" w:rsidRPr="00537128" w:rsidRDefault="00AE3B39" w:rsidP="00AE3B39">
      <w:pPr>
        <w:tabs>
          <w:tab w:val="left" w:pos="-1985"/>
        </w:tabs>
        <w:suppressAutoHyphens/>
        <w:spacing w:after="0" w:line="240" w:lineRule="auto"/>
        <w:rPr>
          <w:rFonts w:ascii="Calibri" w:eastAsia="Times New Roman" w:hAnsi="Calibri" w:cs="Arial"/>
          <w:b/>
          <w:color w:val="000000" w:themeColor="text1"/>
          <w:sz w:val="18"/>
          <w:szCs w:val="18"/>
          <w:u w:val="single"/>
          <w:lang w:val="en-US"/>
        </w:rPr>
      </w:pPr>
    </w:p>
    <w:tbl>
      <w:tblPr>
        <w:tblW w:w="4950" w:type="pct"/>
        <w:tblCellMar>
          <w:left w:w="119" w:type="dxa"/>
          <w:right w:w="119" w:type="dxa"/>
        </w:tblCellMar>
        <w:tblLook w:val="04A0" w:firstRow="1" w:lastRow="0" w:firstColumn="1" w:lastColumn="0" w:noHBand="0" w:noVBand="1"/>
      </w:tblPr>
      <w:tblGrid>
        <w:gridCol w:w="3142"/>
        <w:gridCol w:w="1460"/>
        <w:gridCol w:w="1460"/>
        <w:gridCol w:w="160"/>
        <w:gridCol w:w="1300"/>
        <w:gridCol w:w="1459"/>
      </w:tblGrid>
      <w:tr w:rsidR="00CC5E14" w:rsidRPr="00537128" w14:paraId="234DF2CF" w14:textId="77777777" w:rsidTr="00FA7A81">
        <w:trPr>
          <w:trHeight w:val="185"/>
        </w:trPr>
        <w:tc>
          <w:tcPr>
            <w:tcW w:w="1749" w:type="pct"/>
          </w:tcPr>
          <w:p w14:paraId="42F215D2" w14:textId="77777777" w:rsidR="00CC5E14" w:rsidRPr="00537128" w:rsidRDefault="00CC5E14" w:rsidP="00CC5E14">
            <w:pPr>
              <w:tabs>
                <w:tab w:val="left" w:pos="-720"/>
              </w:tabs>
              <w:suppressAutoHyphens/>
              <w:spacing w:after="0" w:line="240" w:lineRule="auto"/>
              <w:rPr>
                <w:rFonts w:ascii="Calibri" w:eastAsia="Calibri" w:hAnsi="Calibri" w:cs="Calibri"/>
                <w:spacing w:val="-2"/>
                <w:lang w:val="en-US"/>
              </w:rPr>
            </w:pPr>
          </w:p>
        </w:tc>
        <w:tc>
          <w:tcPr>
            <w:tcW w:w="1715" w:type="pct"/>
            <w:gridSpan w:val="3"/>
            <w:hideMark/>
          </w:tcPr>
          <w:p w14:paraId="5C3C0230" w14:textId="77777777" w:rsidR="00CC5E14" w:rsidRPr="00537128" w:rsidRDefault="00CC5E14" w:rsidP="00CC5E14">
            <w:pPr>
              <w:tabs>
                <w:tab w:val="right" w:pos="1202"/>
              </w:tabs>
              <w:spacing w:after="0" w:line="240" w:lineRule="atLeast"/>
              <w:jc w:val="right"/>
              <w:outlineLvl w:val="0"/>
              <w:rPr>
                <w:rFonts w:ascii="Calibri" w:eastAsia="Times New Roman" w:hAnsi="Calibri" w:cs="Calibri"/>
                <w:b/>
                <w:lang w:val="en-US"/>
              </w:rPr>
            </w:pPr>
            <w:bookmarkStart w:id="442" w:name="_Toc4059672"/>
            <w:r w:rsidRPr="00537128">
              <w:rPr>
                <w:rFonts w:ascii="Calibri" w:eastAsia="Times New Roman" w:hAnsi="Calibri" w:cs="Calibri"/>
                <w:b/>
                <w:lang w:val="en-US"/>
              </w:rPr>
              <w:t>Group</w:t>
            </w:r>
            <w:bookmarkEnd w:id="442"/>
          </w:p>
        </w:tc>
        <w:tc>
          <w:tcPr>
            <w:tcW w:w="1536" w:type="pct"/>
            <w:gridSpan w:val="2"/>
            <w:hideMark/>
          </w:tcPr>
          <w:p w14:paraId="052CD0AB" w14:textId="77777777" w:rsidR="00CC5E14" w:rsidRPr="00537128" w:rsidRDefault="00CC5E14" w:rsidP="00CC5E14">
            <w:pPr>
              <w:tabs>
                <w:tab w:val="right" w:pos="1202"/>
              </w:tabs>
              <w:spacing w:after="0" w:line="240" w:lineRule="atLeast"/>
              <w:jc w:val="right"/>
              <w:outlineLvl w:val="0"/>
              <w:rPr>
                <w:rFonts w:ascii="Calibri" w:eastAsia="Times New Roman" w:hAnsi="Calibri" w:cs="Calibri"/>
                <w:b/>
                <w:lang w:val="en-US"/>
              </w:rPr>
            </w:pPr>
            <w:bookmarkStart w:id="443" w:name="_Toc4059673"/>
            <w:r w:rsidRPr="00537128">
              <w:rPr>
                <w:rFonts w:ascii="Calibri" w:eastAsia="Times New Roman" w:hAnsi="Calibri" w:cs="Calibri"/>
                <w:b/>
                <w:lang w:val="en-US"/>
              </w:rPr>
              <w:t>Bank</w:t>
            </w:r>
            <w:bookmarkEnd w:id="443"/>
          </w:p>
        </w:tc>
      </w:tr>
      <w:tr w:rsidR="00CC5E14" w:rsidRPr="00537128" w14:paraId="601B5C8C" w14:textId="77777777" w:rsidTr="00FA7A81">
        <w:trPr>
          <w:trHeight w:val="185"/>
        </w:trPr>
        <w:tc>
          <w:tcPr>
            <w:tcW w:w="1749" w:type="pct"/>
          </w:tcPr>
          <w:p w14:paraId="0068BC01" w14:textId="77777777" w:rsidR="00CC5E14" w:rsidRPr="00537128" w:rsidRDefault="00CC5E14" w:rsidP="00CC5E14">
            <w:pPr>
              <w:tabs>
                <w:tab w:val="left" w:pos="-720"/>
              </w:tabs>
              <w:suppressAutoHyphens/>
              <w:spacing w:after="0" w:line="240" w:lineRule="auto"/>
              <w:rPr>
                <w:rFonts w:ascii="Calibri" w:eastAsia="Calibri" w:hAnsi="Calibri" w:cs="Calibri"/>
                <w:spacing w:val="-2"/>
                <w:lang w:val="en-US"/>
              </w:rPr>
            </w:pPr>
          </w:p>
        </w:tc>
        <w:tc>
          <w:tcPr>
            <w:tcW w:w="813" w:type="pct"/>
            <w:hideMark/>
          </w:tcPr>
          <w:p w14:paraId="4D012CCF" w14:textId="2686FECF" w:rsidR="00CC5E14" w:rsidRPr="00537128" w:rsidRDefault="00CC5E14" w:rsidP="00CC5E14">
            <w:pPr>
              <w:tabs>
                <w:tab w:val="right" w:pos="1202"/>
              </w:tabs>
              <w:spacing w:after="0" w:line="240" w:lineRule="atLeast"/>
              <w:jc w:val="right"/>
              <w:outlineLvl w:val="0"/>
              <w:rPr>
                <w:rFonts w:ascii="Calibri" w:eastAsia="Times New Roman" w:hAnsi="Calibri" w:cs="Calibri"/>
                <w:b/>
                <w:lang w:val="en-US"/>
              </w:rPr>
            </w:pPr>
            <w:r w:rsidRPr="00537128">
              <w:rPr>
                <w:rFonts w:ascii="Calibri" w:eastAsia="Times New Roman" w:hAnsi="Calibri" w:cs="Calibri"/>
                <w:b/>
                <w:lang w:val="en-US"/>
              </w:rPr>
              <w:t>31 March 202</w:t>
            </w:r>
            <w:r w:rsidR="00A1765E">
              <w:rPr>
                <w:rFonts w:ascii="Calibri" w:eastAsia="Times New Roman" w:hAnsi="Calibri" w:cs="Calibri"/>
                <w:b/>
                <w:lang w:val="en-US"/>
              </w:rPr>
              <w:t>2</w:t>
            </w:r>
          </w:p>
        </w:tc>
        <w:tc>
          <w:tcPr>
            <w:tcW w:w="813" w:type="pct"/>
            <w:hideMark/>
          </w:tcPr>
          <w:p w14:paraId="4120CEC0" w14:textId="67962E12" w:rsidR="00CC5E14" w:rsidRPr="00537128" w:rsidRDefault="00CC5E14" w:rsidP="00CC5E14">
            <w:pPr>
              <w:tabs>
                <w:tab w:val="right" w:pos="1202"/>
              </w:tabs>
              <w:spacing w:after="0" w:line="240" w:lineRule="atLeast"/>
              <w:jc w:val="right"/>
              <w:outlineLvl w:val="0"/>
              <w:rPr>
                <w:rFonts w:ascii="Calibri" w:eastAsia="Times New Roman" w:hAnsi="Calibri" w:cs="Calibri"/>
                <w:b/>
                <w:lang w:val="en-US"/>
              </w:rPr>
            </w:pPr>
            <w:r w:rsidRPr="00537128">
              <w:rPr>
                <w:rFonts w:ascii="Calibri" w:eastAsia="Times New Roman" w:hAnsi="Calibri" w:cs="Calibri"/>
                <w:b/>
                <w:lang w:val="en-US"/>
              </w:rPr>
              <w:t>31 December 202</w:t>
            </w:r>
            <w:r w:rsidR="00A1765E">
              <w:rPr>
                <w:rFonts w:ascii="Calibri" w:eastAsia="Times New Roman" w:hAnsi="Calibri" w:cs="Calibri"/>
                <w:b/>
                <w:lang w:val="en-US"/>
              </w:rPr>
              <w:t>1</w:t>
            </w:r>
          </w:p>
        </w:tc>
        <w:tc>
          <w:tcPr>
            <w:tcW w:w="813" w:type="pct"/>
            <w:gridSpan w:val="2"/>
            <w:hideMark/>
          </w:tcPr>
          <w:p w14:paraId="22A883E7" w14:textId="49CD4258" w:rsidR="00CC5E14" w:rsidRPr="00537128" w:rsidRDefault="00CC5E14" w:rsidP="00CC5E14">
            <w:pPr>
              <w:tabs>
                <w:tab w:val="right" w:pos="1202"/>
              </w:tabs>
              <w:spacing w:after="0" w:line="240" w:lineRule="atLeast"/>
              <w:jc w:val="right"/>
              <w:outlineLvl w:val="0"/>
              <w:rPr>
                <w:rFonts w:ascii="Calibri" w:eastAsia="Times New Roman" w:hAnsi="Calibri" w:cs="Calibri"/>
                <w:b/>
                <w:lang w:val="en-US"/>
              </w:rPr>
            </w:pPr>
            <w:bookmarkStart w:id="444" w:name="_Toc4059675"/>
            <w:r w:rsidRPr="00537128">
              <w:rPr>
                <w:rFonts w:ascii="Calibri" w:eastAsia="Times New Roman" w:hAnsi="Calibri" w:cs="Calibri"/>
                <w:b/>
                <w:lang w:val="en-US"/>
              </w:rPr>
              <w:t xml:space="preserve">31 March </w:t>
            </w:r>
            <w:bookmarkEnd w:id="444"/>
            <w:r w:rsidRPr="00537128">
              <w:rPr>
                <w:rFonts w:ascii="Calibri" w:eastAsia="Times New Roman" w:hAnsi="Calibri" w:cs="Calibri"/>
                <w:b/>
                <w:lang w:val="en-US"/>
              </w:rPr>
              <w:t>202</w:t>
            </w:r>
            <w:r w:rsidR="00A1765E">
              <w:rPr>
                <w:rFonts w:ascii="Calibri" w:eastAsia="Times New Roman" w:hAnsi="Calibri" w:cs="Calibri"/>
                <w:b/>
                <w:lang w:val="en-US"/>
              </w:rPr>
              <w:t>2</w:t>
            </w:r>
          </w:p>
        </w:tc>
        <w:tc>
          <w:tcPr>
            <w:tcW w:w="812" w:type="pct"/>
            <w:hideMark/>
          </w:tcPr>
          <w:p w14:paraId="35D8FAD4" w14:textId="0AC5CEC8" w:rsidR="00CC5E14" w:rsidRPr="00537128" w:rsidRDefault="00CC5E14" w:rsidP="00CC5E14">
            <w:pPr>
              <w:tabs>
                <w:tab w:val="right" w:pos="1202"/>
              </w:tabs>
              <w:spacing w:after="0" w:line="240" w:lineRule="atLeast"/>
              <w:jc w:val="right"/>
              <w:outlineLvl w:val="0"/>
              <w:rPr>
                <w:rFonts w:ascii="Calibri" w:eastAsia="Times New Roman" w:hAnsi="Calibri" w:cs="Calibri"/>
                <w:b/>
                <w:lang w:val="en-US"/>
              </w:rPr>
            </w:pPr>
            <w:bookmarkStart w:id="445" w:name="_Toc4059676"/>
            <w:r w:rsidRPr="00537128">
              <w:rPr>
                <w:rFonts w:ascii="Calibri" w:eastAsia="Times New Roman" w:hAnsi="Calibri" w:cs="Calibri"/>
                <w:b/>
                <w:lang w:val="en-US"/>
              </w:rPr>
              <w:t>31 December 202</w:t>
            </w:r>
            <w:bookmarkEnd w:id="445"/>
            <w:r w:rsidR="00A1765E">
              <w:rPr>
                <w:rFonts w:ascii="Calibri" w:eastAsia="Times New Roman" w:hAnsi="Calibri" w:cs="Calibri"/>
                <w:b/>
                <w:lang w:val="en-US"/>
              </w:rPr>
              <w:t>1</w:t>
            </w:r>
          </w:p>
        </w:tc>
      </w:tr>
      <w:tr w:rsidR="00CC5E14" w:rsidRPr="00537128" w14:paraId="350293C7" w14:textId="77777777" w:rsidTr="00FA7A81">
        <w:trPr>
          <w:trHeight w:val="234"/>
        </w:trPr>
        <w:tc>
          <w:tcPr>
            <w:tcW w:w="1749" w:type="pct"/>
          </w:tcPr>
          <w:p w14:paraId="14BA5648" w14:textId="77777777" w:rsidR="00CC5E14" w:rsidRPr="00537128" w:rsidRDefault="00CC5E14" w:rsidP="00CC5E14">
            <w:pPr>
              <w:tabs>
                <w:tab w:val="left" w:pos="-720"/>
              </w:tabs>
              <w:suppressAutoHyphens/>
              <w:spacing w:after="0" w:line="240" w:lineRule="auto"/>
              <w:rPr>
                <w:rFonts w:ascii="Calibri" w:eastAsia="Calibri" w:hAnsi="Calibri" w:cs="Calibri"/>
                <w:spacing w:val="-2"/>
                <w:lang w:val="en-US"/>
              </w:rPr>
            </w:pPr>
          </w:p>
        </w:tc>
        <w:tc>
          <w:tcPr>
            <w:tcW w:w="813" w:type="pct"/>
            <w:hideMark/>
          </w:tcPr>
          <w:p w14:paraId="4B8CBF74" w14:textId="77777777" w:rsidR="00CC5E14" w:rsidRPr="00537128" w:rsidRDefault="00CC5E14" w:rsidP="00CC5E14">
            <w:pPr>
              <w:tabs>
                <w:tab w:val="right" w:pos="1202"/>
              </w:tabs>
              <w:spacing w:after="0" w:line="240" w:lineRule="atLeast"/>
              <w:jc w:val="right"/>
              <w:outlineLvl w:val="0"/>
              <w:rPr>
                <w:rFonts w:ascii="Calibri" w:eastAsia="Times New Roman" w:hAnsi="Calibri" w:cs="Calibri"/>
                <w:b/>
                <w:lang w:val="en-US"/>
              </w:rPr>
            </w:pPr>
            <w:bookmarkStart w:id="446" w:name="_Toc4059678"/>
            <w:r w:rsidRPr="00537128">
              <w:rPr>
                <w:rFonts w:ascii="Calibri" w:eastAsia="Times New Roman" w:hAnsi="Calibri" w:cs="Calibri"/>
                <w:b/>
                <w:lang w:val="en-US"/>
              </w:rPr>
              <w:t>HRK ‘000</w:t>
            </w:r>
            <w:bookmarkEnd w:id="446"/>
          </w:p>
        </w:tc>
        <w:tc>
          <w:tcPr>
            <w:tcW w:w="813" w:type="pct"/>
            <w:hideMark/>
          </w:tcPr>
          <w:p w14:paraId="7199A0ED" w14:textId="1BE389AF" w:rsidR="00CC5E14" w:rsidRPr="00537128" w:rsidRDefault="00CC5E14" w:rsidP="00CC5E14">
            <w:pPr>
              <w:tabs>
                <w:tab w:val="right" w:pos="1202"/>
              </w:tabs>
              <w:spacing w:after="0" w:line="240" w:lineRule="atLeast"/>
              <w:jc w:val="right"/>
              <w:outlineLvl w:val="0"/>
              <w:rPr>
                <w:rFonts w:ascii="Calibri" w:eastAsia="Times New Roman" w:hAnsi="Calibri" w:cs="Calibri"/>
                <w:b/>
                <w:lang w:val="en-US"/>
              </w:rPr>
            </w:pPr>
            <w:r w:rsidRPr="00537128">
              <w:rPr>
                <w:rFonts w:ascii="Calibri" w:eastAsia="Times New Roman" w:hAnsi="Calibri" w:cs="Calibri"/>
                <w:b/>
                <w:lang w:val="en-US"/>
              </w:rPr>
              <w:t>HRK ‘000</w:t>
            </w:r>
          </w:p>
        </w:tc>
        <w:tc>
          <w:tcPr>
            <w:tcW w:w="813" w:type="pct"/>
            <w:gridSpan w:val="2"/>
            <w:hideMark/>
          </w:tcPr>
          <w:p w14:paraId="2DBF917F" w14:textId="5C905BD4" w:rsidR="00CC5E14" w:rsidRPr="00537128" w:rsidRDefault="00CC5E14" w:rsidP="00CC5E14">
            <w:pPr>
              <w:tabs>
                <w:tab w:val="right" w:pos="1202"/>
              </w:tabs>
              <w:spacing w:after="0" w:line="240" w:lineRule="atLeast"/>
              <w:jc w:val="right"/>
              <w:outlineLvl w:val="0"/>
              <w:rPr>
                <w:rFonts w:ascii="Calibri" w:eastAsia="Times New Roman" w:hAnsi="Calibri" w:cs="Calibri"/>
                <w:b/>
                <w:lang w:val="en-US"/>
              </w:rPr>
            </w:pPr>
            <w:bookmarkStart w:id="447" w:name="_Toc4059679"/>
            <w:r w:rsidRPr="00537128">
              <w:rPr>
                <w:rFonts w:ascii="Calibri" w:eastAsia="Times New Roman" w:hAnsi="Calibri" w:cs="Calibri"/>
                <w:b/>
                <w:lang w:val="en-US"/>
              </w:rPr>
              <w:t>HRK ‘000</w:t>
            </w:r>
            <w:bookmarkEnd w:id="447"/>
          </w:p>
        </w:tc>
        <w:tc>
          <w:tcPr>
            <w:tcW w:w="812" w:type="pct"/>
            <w:hideMark/>
          </w:tcPr>
          <w:p w14:paraId="293D701B" w14:textId="3F497424" w:rsidR="00CC5E14" w:rsidRPr="00537128" w:rsidRDefault="00CC5E14" w:rsidP="00CC5E14">
            <w:pPr>
              <w:tabs>
                <w:tab w:val="right" w:pos="1202"/>
              </w:tabs>
              <w:spacing w:after="0" w:line="240" w:lineRule="atLeast"/>
              <w:jc w:val="right"/>
              <w:outlineLvl w:val="0"/>
              <w:rPr>
                <w:rFonts w:ascii="Calibri" w:eastAsia="Times New Roman" w:hAnsi="Calibri" w:cs="Calibri"/>
                <w:b/>
                <w:lang w:val="en-US"/>
              </w:rPr>
            </w:pPr>
            <w:bookmarkStart w:id="448" w:name="_Toc4059680"/>
            <w:r w:rsidRPr="00537128">
              <w:rPr>
                <w:rFonts w:ascii="Calibri" w:eastAsia="Times New Roman" w:hAnsi="Calibri" w:cs="Calibri"/>
                <w:b/>
                <w:lang w:val="en-US"/>
              </w:rPr>
              <w:t>HRK ‘000</w:t>
            </w:r>
            <w:bookmarkEnd w:id="448"/>
          </w:p>
        </w:tc>
      </w:tr>
      <w:tr w:rsidR="00CC5E14" w:rsidRPr="00537128" w14:paraId="63282B7C" w14:textId="77777777" w:rsidTr="00FA7A81">
        <w:trPr>
          <w:trHeight w:val="251"/>
        </w:trPr>
        <w:tc>
          <w:tcPr>
            <w:tcW w:w="1749" w:type="pct"/>
          </w:tcPr>
          <w:p w14:paraId="3EEBF636" w14:textId="77777777" w:rsidR="00CC5E14" w:rsidRPr="00537128" w:rsidRDefault="00CC5E14" w:rsidP="00CC5E14">
            <w:pPr>
              <w:tabs>
                <w:tab w:val="left" w:pos="-720"/>
              </w:tabs>
              <w:suppressAutoHyphens/>
              <w:spacing w:after="0" w:line="240" w:lineRule="auto"/>
              <w:rPr>
                <w:rFonts w:ascii="Calibri" w:eastAsia="Calibri" w:hAnsi="Calibri" w:cs="Calibri"/>
                <w:spacing w:val="-2"/>
                <w:lang w:val="en-US"/>
              </w:rPr>
            </w:pPr>
          </w:p>
        </w:tc>
        <w:tc>
          <w:tcPr>
            <w:tcW w:w="813" w:type="pct"/>
          </w:tcPr>
          <w:p w14:paraId="7D5142F1" w14:textId="77777777" w:rsidR="00CC5E14" w:rsidRPr="00537128" w:rsidRDefault="00CC5E14" w:rsidP="00CC5E14">
            <w:pPr>
              <w:tabs>
                <w:tab w:val="left" w:pos="-720"/>
              </w:tabs>
              <w:suppressAutoHyphens/>
              <w:spacing w:after="0" w:line="240" w:lineRule="auto"/>
              <w:jc w:val="right"/>
              <w:rPr>
                <w:rFonts w:ascii="Calibri" w:eastAsia="Calibri" w:hAnsi="Calibri" w:cs="Calibri"/>
                <w:b/>
                <w:spacing w:val="-2"/>
                <w:lang w:val="en-US"/>
              </w:rPr>
            </w:pPr>
          </w:p>
        </w:tc>
        <w:tc>
          <w:tcPr>
            <w:tcW w:w="813" w:type="pct"/>
          </w:tcPr>
          <w:p w14:paraId="318202C6" w14:textId="77777777" w:rsidR="00CC5E14" w:rsidRPr="00537128" w:rsidRDefault="00CC5E14" w:rsidP="00CC5E14">
            <w:pPr>
              <w:tabs>
                <w:tab w:val="left" w:pos="-720"/>
              </w:tabs>
              <w:suppressAutoHyphens/>
              <w:spacing w:after="0" w:line="240" w:lineRule="auto"/>
              <w:jc w:val="right"/>
              <w:rPr>
                <w:rFonts w:ascii="Calibri" w:eastAsia="Calibri" w:hAnsi="Calibri" w:cs="Calibri"/>
                <w:b/>
                <w:spacing w:val="-2"/>
                <w:lang w:val="en-US"/>
              </w:rPr>
            </w:pPr>
          </w:p>
        </w:tc>
        <w:tc>
          <w:tcPr>
            <w:tcW w:w="813" w:type="pct"/>
            <w:gridSpan w:val="2"/>
          </w:tcPr>
          <w:p w14:paraId="63B13D12" w14:textId="77777777" w:rsidR="00CC5E14" w:rsidRPr="00537128" w:rsidRDefault="00CC5E14" w:rsidP="00CC5E14">
            <w:pPr>
              <w:tabs>
                <w:tab w:val="left" w:pos="-720"/>
              </w:tabs>
              <w:suppressAutoHyphens/>
              <w:spacing w:after="0" w:line="240" w:lineRule="auto"/>
              <w:jc w:val="right"/>
              <w:rPr>
                <w:rFonts w:ascii="Calibri" w:eastAsia="Calibri" w:hAnsi="Calibri" w:cs="Calibri"/>
                <w:b/>
                <w:spacing w:val="-2"/>
                <w:lang w:val="en-US"/>
              </w:rPr>
            </w:pPr>
          </w:p>
        </w:tc>
        <w:tc>
          <w:tcPr>
            <w:tcW w:w="812" w:type="pct"/>
            <w:vAlign w:val="bottom"/>
          </w:tcPr>
          <w:p w14:paraId="2180BEE5" w14:textId="77777777" w:rsidR="00CC5E14" w:rsidRPr="00537128" w:rsidRDefault="00CC5E14" w:rsidP="00CC5E14">
            <w:pPr>
              <w:tabs>
                <w:tab w:val="left" w:pos="-720"/>
              </w:tabs>
              <w:suppressAutoHyphens/>
              <w:spacing w:after="0" w:line="240" w:lineRule="auto"/>
              <w:jc w:val="right"/>
              <w:rPr>
                <w:rFonts w:ascii="Calibri" w:eastAsia="Calibri" w:hAnsi="Calibri" w:cs="Calibri"/>
                <w:b/>
                <w:spacing w:val="-2"/>
                <w:lang w:val="en-US"/>
              </w:rPr>
            </w:pPr>
          </w:p>
        </w:tc>
      </w:tr>
      <w:tr w:rsidR="00B05732" w:rsidRPr="00537128" w14:paraId="47BEDD9A" w14:textId="77777777" w:rsidTr="004A7E72">
        <w:trPr>
          <w:trHeight w:val="261"/>
        </w:trPr>
        <w:tc>
          <w:tcPr>
            <w:tcW w:w="1749" w:type="pct"/>
            <w:hideMark/>
          </w:tcPr>
          <w:p w14:paraId="17191B27" w14:textId="77777777" w:rsidR="00B05732" w:rsidRPr="00537128" w:rsidRDefault="00B05732" w:rsidP="00B05732">
            <w:pPr>
              <w:spacing w:after="0" w:line="301" w:lineRule="exact"/>
              <w:outlineLvl w:val="0"/>
              <w:rPr>
                <w:rFonts w:ascii="Calibri" w:eastAsia="Times New Roman" w:hAnsi="Calibri" w:cs="Calibri"/>
                <w:lang w:val="en-US"/>
              </w:rPr>
            </w:pPr>
            <w:bookmarkStart w:id="449" w:name="_Toc4059682"/>
            <w:r w:rsidRPr="00537128">
              <w:rPr>
                <w:rFonts w:ascii="Calibri" w:eastAsia="Times New Roman" w:hAnsi="Calibri" w:cs="Calibri"/>
                <w:lang w:val="en-US"/>
              </w:rPr>
              <w:t>Fees receivable</w:t>
            </w:r>
            <w:bookmarkEnd w:id="449"/>
          </w:p>
        </w:tc>
        <w:tc>
          <w:tcPr>
            <w:tcW w:w="813" w:type="pct"/>
            <w:tcBorders>
              <w:top w:val="nil"/>
              <w:left w:val="nil"/>
              <w:bottom w:val="nil"/>
              <w:right w:val="nil"/>
            </w:tcBorders>
            <w:shd w:val="clear" w:color="auto" w:fill="auto"/>
          </w:tcPr>
          <w:p w14:paraId="3933583F" w14:textId="46DB9972" w:rsidR="00B05732" w:rsidRPr="00537128" w:rsidRDefault="00B05732" w:rsidP="00B05732">
            <w:pPr>
              <w:tabs>
                <w:tab w:val="right" w:pos="1202"/>
              </w:tabs>
              <w:spacing w:after="0" w:line="301" w:lineRule="exact"/>
              <w:jc w:val="right"/>
              <w:outlineLvl w:val="0"/>
              <w:rPr>
                <w:rFonts w:ascii="Calibri" w:eastAsia="Times New Roman" w:hAnsi="Calibri" w:cs="Calibri"/>
                <w:lang w:val="en-US"/>
              </w:rPr>
            </w:pPr>
            <w:r>
              <w:rPr>
                <w:rFonts w:ascii="Calibri" w:eastAsia="Times New Roman" w:hAnsi="Calibri" w:cs="Calibri"/>
                <w:color w:val="000000"/>
              </w:rPr>
              <w:t>25</w:t>
            </w:r>
            <w:r w:rsidR="008D1831">
              <w:rPr>
                <w:rFonts w:ascii="Calibri" w:eastAsia="Times New Roman" w:hAnsi="Calibri" w:cs="Calibri"/>
                <w:color w:val="000000"/>
              </w:rPr>
              <w:t>,</w:t>
            </w:r>
            <w:r>
              <w:rPr>
                <w:rFonts w:ascii="Calibri" w:eastAsia="Times New Roman" w:hAnsi="Calibri" w:cs="Calibri"/>
                <w:color w:val="000000"/>
              </w:rPr>
              <w:t>729</w:t>
            </w:r>
          </w:p>
        </w:tc>
        <w:tc>
          <w:tcPr>
            <w:tcW w:w="813" w:type="pct"/>
            <w:tcBorders>
              <w:top w:val="nil"/>
              <w:left w:val="nil"/>
              <w:bottom w:val="nil"/>
              <w:right w:val="nil"/>
            </w:tcBorders>
            <w:shd w:val="clear" w:color="auto" w:fill="auto"/>
            <w:vAlign w:val="bottom"/>
          </w:tcPr>
          <w:p w14:paraId="01CD41C1" w14:textId="5B692B72" w:rsidR="00B05732" w:rsidRPr="00537128" w:rsidRDefault="00B05732" w:rsidP="00B05732">
            <w:pPr>
              <w:tabs>
                <w:tab w:val="right" w:pos="1202"/>
              </w:tabs>
              <w:spacing w:after="0" w:line="301" w:lineRule="exact"/>
              <w:jc w:val="right"/>
              <w:outlineLvl w:val="0"/>
              <w:rPr>
                <w:rFonts w:ascii="Calibri" w:eastAsia="Times New Roman" w:hAnsi="Calibri" w:cs="Calibri"/>
                <w:lang w:val="en-US"/>
              </w:rPr>
            </w:pPr>
            <w:r w:rsidRPr="001F3D0F">
              <w:rPr>
                <w:rFonts w:cstheme="minorHAnsi"/>
                <w:color w:val="000000" w:themeColor="text1"/>
              </w:rPr>
              <w:t>25</w:t>
            </w:r>
            <w:r>
              <w:rPr>
                <w:rFonts w:cstheme="minorHAnsi"/>
                <w:color w:val="000000" w:themeColor="text1"/>
              </w:rPr>
              <w:t>,</w:t>
            </w:r>
            <w:r w:rsidRPr="001F3D0F">
              <w:rPr>
                <w:rFonts w:cstheme="minorHAnsi"/>
                <w:color w:val="000000" w:themeColor="text1"/>
              </w:rPr>
              <w:t>787</w:t>
            </w:r>
          </w:p>
        </w:tc>
        <w:tc>
          <w:tcPr>
            <w:tcW w:w="813" w:type="pct"/>
            <w:gridSpan w:val="2"/>
            <w:tcBorders>
              <w:top w:val="nil"/>
              <w:left w:val="nil"/>
              <w:bottom w:val="nil"/>
              <w:right w:val="nil"/>
            </w:tcBorders>
            <w:shd w:val="clear" w:color="auto" w:fill="auto"/>
          </w:tcPr>
          <w:p w14:paraId="3A604CED" w14:textId="4DD3BA2D" w:rsidR="00B05732" w:rsidRPr="00537128" w:rsidRDefault="00B05732" w:rsidP="00B05732">
            <w:pPr>
              <w:tabs>
                <w:tab w:val="right" w:pos="1202"/>
              </w:tabs>
              <w:spacing w:after="0" w:line="301" w:lineRule="exact"/>
              <w:jc w:val="right"/>
              <w:outlineLvl w:val="0"/>
              <w:rPr>
                <w:rFonts w:ascii="Calibri" w:eastAsia="Times New Roman" w:hAnsi="Calibri" w:cs="Calibri"/>
                <w:lang w:val="en-US"/>
              </w:rPr>
            </w:pPr>
            <w:r>
              <w:rPr>
                <w:rFonts w:ascii="Calibri" w:eastAsia="Times New Roman" w:hAnsi="Calibri" w:cs="Calibri"/>
                <w:color w:val="000000"/>
              </w:rPr>
              <w:t>25</w:t>
            </w:r>
            <w:r w:rsidR="008D1831">
              <w:rPr>
                <w:rFonts w:ascii="Calibri" w:eastAsia="Times New Roman" w:hAnsi="Calibri" w:cs="Calibri"/>
                <w:color w:val="000000"/>
              </w:rPr>
              <w:t>,</w:t>
            </w:r>
            <w:r>
              <w:rPr>
                <w:rFonts w:ascii="Calibri" w:eastAsia="Times New Roman" w:hAnsi="Calibri" w:cs="Calibri"/>
                <w:color w:val="000000"/>
              </w:rPr>
              <w:t>729</w:t>
            </w:r>
          </w:p>
        </w:tc>
        <w:tc>
          <w:tcPr>
            <w:tcW w:w="812" w:type="pct"/>
            <w:tcBorders>
              <w:top w:val="nil"/>
              <w:left w:val="nil"/>
              <w:bottom w:val="nil"/>
              <w:right w:val="nil"/>
            </w:tcBorders>
            <w:shd w:val="clear" w:color="auto" w:fill="auto"/>
            <w:vAlign w:val="bottom"/>
            <w:hideMark/>
          </w:tcPr>
          <w:p w14:paraId="1B73E257" w14:textId="6A3FF18D" w:rsidR="00B05732" w:rsidRPr="00537128" w:rsidRDefault="00B05732" w:rsidP="00B05732">
            <w:pPr>
              <w:tabs>
                <w:tab w:val="right" w:pos="1202"/>
              </w:tabs>
              <w:spacing w:after="0" w:line="301" w:lineRule="exact"/>
              <w:jc w:val="right"/>
              <w:outlineLvl w:val="0"/>
              <w:rPr>
                <w:rFonts w:ascii="Calibri" w:eastAsia="Times New Roman" w:hAnsi="Calibri" w:cs="Calibri"/>
                <w:lang w:val="en-US"/>
              </w:rPr>
            </w:pPr>
            <w:r w:rsidRPr="001F3D0F">
              <w:rPr>
                <w:rFonts w:cstheme="minorHAnsi"/>
                <w:color w:val="000000" w:themeColor="text1"/>
              </w:rPr>
              <w:t>25</w:t>
            </w:r>
            <w:r>
              <w:rPr>
                <w:rFonts w:cstheme="minorHAnsi"/>
                <w:color w:val="000000" w:themeColor="text1"/>
              </w:rPr>
              <w:t>,</w:t>
            </w:r>
            <w:r w:rsidRPr="001F3D0F">
              <w:rPr>
                <w:rFonts w:cstheme="minorHAnsi"/>
                <w:color w:val="000000" w:themeColor="text1"/>
              </w:rPr>
              <w:t>787</w:t>
            </w:r>
          </w:p>
        </w:tc>
      </w:tr>
      <w:tr w:rsidR="00B05732" w:rsidRPr="00537128" w14:paraId="2D433BA2" w14:textId="77777777" w:rsidTr="004A7E72">
        <w:trPr>
          <w:trHeight w:val="261"/>
        </w:trPr>
        <w:tc>
          <w:tcPr>
            <w:tcW w:w="1749" w:type="pct"/>
            <w:hideMark/>
          </w:tcPr>
          <w:p w14:paraId="0048270E" w14:textId="77777777" w:rsidR="00B05732" w:rsidRPr="00537128" w:rsidRDefault="00B05732" w:rsidP="00B05732">
            <w:pPr>
              <w:spacing w:after="0" w:line="301" w:lineRule="exact"/>
              <w:outlineLvl w:val="0"/>
              <w:rPr>
                <w:rFonts w:ascii="Calibri" w:eastAsia="Times New Roman" w:hAnsi="Calibri" w:cs="Calibri"/>
                <w:lang w:val="en-US"/>
              </w:rPr>
            </w:pPr>
            <w:bookmarkStart w:id="450" w:name="_Toc4059687"/>
            <w:r w:rsidRPr="00537128">
              <w:rPr>
                <w:rFonts w:ascii="Calibri" w:eastAsia="Times New Roman" w:hAnsi="Calibri" w:cs="Calibri"/>
                <w:lang w:val="en-US"/>
              </w:rPr>
              <w:t>Other receivables</w:t>
            </w:r>
            <w:bookmarkEnd w:id="450"/>
          </w:p>
        </w:tc>
        <w:tc>
          <w:tcPr>
            <w:tcW w:w="813" w:type="pct"/>
            <w:tcBorders>
              <w:top w:val="nil"/>
              <w:left w:val="nil"/>
              <w:bottom w:val="nil"/>
              <w:right w:val="nil"/>
            </w:tcBorders>
            <w:shd w:val="clear" w:color="auto" w:fill="auto"/>
          </w:tcPr>
          <w:p w14:paraId="6B0EE9D9" w14:textId="0B5704DB" w:rsidR="00B05732" w:rsidRPr="00537128" w:rsidRDefault="00B05732" w:rsidP="00B05732">
            <w:pPr>
              <w:tabs>
                <w:tab w:val="right" w:pos="1202"/>
              </w:tabs>
              <w:spacing w:after="0" w:line="301" w:lineRule="exact"/>
              <w:jc w:val="right"/>
              <w:outlineLvl w:val="0"/>
              <w:rPr>
                <w:rFonts w:ascii="Calibri" w:eastAsia="Times New Roman" w:hAnsi="Calibri" w:cs="Calibri"/>
                <w:lang w:val="en-US"/>
              </w:rPr>
            </w:pPr>
            <w:r>
              <w:rPr>
                <w:rFonts w:ascii="Calibri" w:eastAsia="Times New Roman" w:hAnsi="Calibri" w:cs="Calibri"/>
                <w:color w:val="000000"/>
              </w:rPr>
              <w:t>11</w:t>
            </w:r>
            <w:r w:rsidR="008D1831">
              <w:rPr>
                <w:rFonts w:ascii="Calibri" w:eastAsia="Times New Roman" w:hAnsi="Calibri" w:cs="Calibri"/>
                <w:color w:val="000000"/>
              </w:rPr>
              <w:t>,</w:t>
            </w:r>
            <w:r>
              <w:rPr>
                <w:rFonts w:ascii="Calibri" w:eastAsia="Times New Roman" w:hAnsi="Calibri" w:cs="Calibri"/>
                <w:color w:val="000000"/>
              </w:rPr>
              <w:t>043</w:t>
            </w:r>
          </w:p>
        </w:tc>
        <w:tc>
          <w:tcPr>
            <w:tcW w:w="813" w:type="pct"/>
            <w:tcBorders>
              <w:top w:val="nil"/>
              <w:left w:val="nil"/>
              <w:bottom w:val="nil"/>
              <w:right w:val="nil"/>
            </w:tcBorders>
            <w:shd w:val="clear" w:color="auto" w:fill="auto"/>
            <w:vAlign w:val="bottom"/>
          </w:tcPr>
          <w:p w14:paraId="362E18A7" w14:textId="77ACDBB7" w:rsidR="00B05732" w:rsidRPr="00537128" w:rsidRDefault="00B05732" w:rsidP="00B05732">
            <w:pPr>
              <w:tabs>
                <w:tab w:val="right" w:pos="1202"/>
              </w:tabs>
              <w:spacing w:after="0" w:line="301" w:lineRule="exact"/>
              <w:jc w:val="right"/>
              <w:outlineLvl w:val="0"/>
              <w:rPr>
                <w:rFonts w:ascii="Calibri" w:eastAsia="Times New Roman" w:hAnsi="Calibri" w:cs="Calibri"/>
                <w:lang w:val="en-US"/>
              </w:rPr>
            </w:pPr>
            <w:r w:rsidRPr="001F3D0F">
              <w:rPr>
                <w:rFonts w:cstheme="minorHAnsi"/>
                <w:color w:val="000000" w:themeColor="text1"/>
              </w:rPr>
              <w:t>10</w:t>
            </w:r>
            <w:r>
              <w:rPr>
                <w:rFonts w:cstheme="minorHAnsi"/>
                <w:color w:val="000000" w:themeColor="text1"/>
              </w:rPr>
              <w:t>,</w:t>
            </w:r>
            <w:r w:rsidRPr="001F3D0F">
              <w:rPr>
                <w:rFonts w:cstheme="minorHAnsi"/>
                <w:color w:val="000000" w:themeColor="text1"/>
              </w:rPr>
              <w:t>609</w:t>
            </w:r>
          </w:p>
        </w:tc>
        <w:tc>
          <w:tcPr>
            <w:tcW w:w="813" w:type="pct"/>
            <w:gridSpan w:val="2"/>
            <w:tcBorders>
              <w:top w:val="nil"/>
              <w:left w:val="nil"/>
              <w:bottom w:val="nil"/>
              <w:right w:val="nil"/>
            </w:tcBorders>
            <w:shd w:val="clear" w:color="auto" w:fill="auto"/>
          </w:tcPr>
          <w:p w14:paraId="21749969" w14:textId="5C4E2EF1" w:rsidR="00B05732" w:rsidRPr="00537128" w:rsidRDefault="00B05732" w:rsidP="00B05732">
            <w:pPr>
              <w:tabs>
                <w:tab w:val="right" w:pos="1202"/>
              </w:tabs>
              <w:spacing w:after="0" w:line="301" w:lineRule="exact"/>
              <w:jc w:val="right"/>
              <w:outlineLvl w:val="0"/>
              <w:rPr>
                <w:rFonts w:ascii="Calibri" w:eastAsia="Times New Roman" w:hAnsi="Calibri" w:cs="Calibri"/>
                <w:lang w:val="en-US"/>
              </w:rPr>
            </w:pPr>
            <w:r>
              <w:rPr>
                <w:rFonts w:ascii="Calibri" w:eastAsia="Times New Roman" w:hAnsi="Calibri" w:cs="Calibri"/>
                <w:color w:val="000000"/>
              </w:rPr>
              <w:t>11</w:t>
            </w:r>
            <w:r w:rsidR="008D1831">
              <w:rPr>
                <w:rFonts w:ascii="Calibri" w:eastAsia="Times New Roman" w:hAnsi="Calibri" w:cs="Calibri"/>
                <w:color w:val="000000"/>
              </w:rPr>
              <w:t>,</w:t>
            </w:r>
            <w:r>
              <w:rPr>
                <w:rFonts w:ascii="Calibri" w:eastAsia="Times New Roman" w:hAnsi="Calibri" w:cs="Calibri"/>
                <w:color w:val="000000"/>
              </w:rPr>
              <w:t>043</w:t>
            </w:r>
          </w:p>
        </w:tc>
        <w:tc>
          <w:tcPr>
            <w:tcW w:w="812" w:type="pct"/>
            <w:tcBorders>
              <w:top w:val="nil"/>
              <w:left w:val="nil"/>
              <w:bottom w:val="nil"/>
              <w:right w:val="nil"/>
            </w:tcBorders>
            <w:shd w:val="clear" w:color="auto" w:fill="auto"/>
            <w:vAlign w:val="bottom"/>
            <w:hideMark/>
          </w:tcPr>
          <w:p w14:paraId="112E035A" w14:textId="708A8E3C" w:rsidR="00B05732" w:rsidRPr="00537128" w:rsidRDefault="00B05732" w:rsidP="00B05732">
            <w:pPr>
              <w:tabs>
                <w:tab w:val="right" w:pos="1202"/>
              </w:tabs>
              <w:spacing w:after="0" w:line="301" w:lineRule="exact"/>
              <w:jc w:val="right"/>
              <w:outlineLvl w:val="0"/>
              <w:rPr>
                <w:rFonts w:ascii="Calibri" w:eastAsia="Times New Roman" w:hAnsi="Calibri" w:cs="Calibri"/>
                <w:lang w:val="en-US"/>
              </w:rPr>
            </w:pPr>
            <w:r w:rsidRPr="001F3D0F">
              <w:rPr>
                <w:rFonts w:cstheme="minorHAnsi"/>
                <w:color w:val="000000" w:themeColor="text1"/>
              </w:rPr>
              <w:t>10</w:t>
            </w:r>
            <w:r>
              <w:rPr>
                <w:rFonts w:cstheme="minorHAnsi"/>
                <w:color w:val="000000" w:themeColor="text1"/>
              </w:rPr>
              <w:t>,</w:t>
            </w:r>
            <w:r w:rsidRPr="001F3D0F">
              <w:rPr>
                <w:rFonts w:cstheme="minorHAnsi"/>
                <w:color w:val="000000" w:themeColor="text1"/>
              </w:rPr>
              <w:t>609</w:t>
            </w:r>
          </w:p>
        </w:tc>
      </w:tr>
      <w:tr w:rsidR="00B05732" w:rsidRPr="00537128" w14:paraId="409923C2" w14:textId="77777777" w:rsidTr="004A7E72">
        <w:trPr>
          <w:trHeight w:val="261"/>
        </w:trPr>
        <w:tc>
          <w:tcPr>
            <w:tcW w:w="1749" w:type="pct"/>
            <w:hideMark/>
          </w:tcPr>
          <w:p w14:paraId="07538894" w14:textId="77777777" w:rsidR="00B05732" w:rsidRPr="00537128" w:rsidRDefault="00B05732" w:rsidP="00B05732">
            <w:pPr>
              <w:spacing w:after="0" w:line="301" w:lineRule="exact"/>
              <w:outlineLvl w:val="0"/>
              <w:rPr>
                <w:rFonts w:ascii="Calibri" w:eastAsia="Times New Roman" w:hAnsi="Calibri" w:cs="Calibri"/>
                <w:lang w:val="en-US"/>
              </w:rPr>
            </w:pPr>
            <w:bookmarkStart w:id="451" w:name="_Toc4059692"/>
            <w:r w:rsidRPr="00537128">
              <w:rPr>
                <w:rFonts w:ascii="Calibri" w:eastAsia="Times New Roman" w:hAnsi="Calibri" w:cs="Calibri"/>
                <w:lang w:val="en-US"/>
              </w:rPr>
              <w:t>Prepaid expenses</w:t>
            </w:r>
            <w:bookmarkEnd w:id="451"/>
          </w:p>
        </w:tc>
        <w:tc>
          <w:tcPr>
            <w:tcW w:w="813" w:type="pct"/>
            <w:tcBorders>
              <w:top w:val="nil"/>
              <w:left w:val="nil"/>
              <w:bottom w:val="nil"/>
              <w:right w:val="nil"/>
            </w:tcBorders>
            <w:shd w:val="clear" w:color="auto" w:fill="auto"/>
          </w:tcPr>
          <w:p w14:paraId="2AAB3743" w14:textId="467CC941" w:rsidR="00B05732" w:rsidRPr="00537128" w:rsidRDefault="00B05732" w:rsidP="00B05732">
            <w:pPr>
              <w:tabs>
                <w:tab w:val="right" w:pos="1202"/>
              </w:tabs>
              <w:spacing w:after="0" w:line="301" w:lineRule="exact"/>
              <w:jc w:val="right"/>
              <w:outlineLvl w:val="0"/>
              <w:rPr>
                <w:rFonts w:ascii="Calibri" w:eastAsia="Times New Roman" w:hAnsi="Calibri" w:cs="Calibri"/>
                <w:lang w:val="en-US"/>
              </w:rPr>
            </w:pPr>
            <w:r>
              <w:rPr>
                <w:rFonts w:ascii="Calibri" w:eastAsia="Times New Roman" w:hAnsi="Calibri" w:cs="Calibri"/>
                <w:color w:val="000000"/>
              </w:rPr>
              <w:t>4</w:t>
            </w:r>
            <w:r w:rsidR="008D1831">
              <w:rPr>
                <w:rFonts w:ascii="Calibri" w:eastAsia="Times New Roman" w:hAnsi="Calibri" w:cs="Calibri"/>
                <w:color w:val="000000"/>
              </w:rPr>
              <w:t>,</w:t>
            </w:r>
            <w:r>
              <w:rPr>
                <w:rFonts w:ascii="Calibri" w:eastAsia="Times New Roman" w:hAnsi="Calibri" w:cs="Calibri"/>
                <w:color w:val="000000"/>
              </w:rPr>
              <w:t>369</w:t>
            </w:r>
          </w:p>
        </w:tc>
        <w:tc>
          <w:tcPr>
            <w:tcW w:w="813" w:type="pct"/>
            <w:tcBorders>
              <w:top w:val="nil"/>
              <w:left w:val="nil"/>
              <w:bottom w:val="nil"/>
              <w:right w:val="nil"/>
            </w:tcBorders>
            <w:shd w:val="clear" w:color="auto" w:fill="auto"/>
            <w:vAlign w:val="bottom"/>
          </w:tcPr>
          <w:p w14:paraId="0573C03D" w14:textId="4DB708AF" w:rsidR="00B05732" w:rsidRPr="00537128" w:rsidRDefault="00B05732" w:rsidP="00B05732">
            <w:pPr>
              <w:tabs>
                <w:tab w:val="right" w:pos="1202"/>
              </w:tabs>
              <w:spacing w:after="0" w:line="301" w:lineRule="exact"/>
              <w:jc w:val="right"/>
              <w:outlineLvl w:val="0"/>
              <w:rPr>
                <w:rFonts w:ascii="Calibri" w:eastAsia="Times New Roman" w:hAnsi="Calibri" w:cs="Calibri"/>
                <w:lang w:val="en-US"/>
              </w:rPr>
            </w:pPr>
            <w:r w:rsidRPr="001F3D0F">
              <w:rPr>
                <w:rFonts w:cstheme="minorHAnsi"/>
                <w:color w:val="000000" w:themeColor="text1"/>
              </w:rPr>
              <w:t>3</w:t>
            </w:r>
            <w:r>
              <w:rPr>
                <w:rFonts w:cstheme="minorHAnsi"/>
                <w:color w:val="000000" w:themeColor="text1"/>
              </w:rPr>
              <w:t>,</w:t>
            </w:r>
            <w:r w:rsidRPr="001F3D0F">
              <w:rPr>
                <w:rFonts w:cstheme="minorHAnsi"/>
                <w:color w:val="000000" w:themeColor="text1"/>
              </w:rPr>
              <w:t>344</w:t>
            </w:r>
          </w:p>
        </w:tc>
        <w:tc>
          <w:tcPr>
            <w:tcW w:w="813" w:type="pct"/>
            <w:gridSpan w:val="2"/>
            <w:tcBorders>
              <w:top w:val="nil"/>
              <w:left w:val="nil"/>
              <w:bottom w:val="nil"/>
              <w:right w:val="nil"/>
            </w:tcBorders>
            <w:shd w:val="clear" w:color="auto" w:fill="auto"/>
          </w:tcPr>
          <w:p w14:paraId="44A28ECB" w14:textId="3DB9CD31" w:rsidR="00B05732" w:rsidRPr="00537128" w:rsidRDefault="00B05732" w:rsidP="00B05732">
            <w:pPr>
              <w:tabs>
                <w:tab w:val="right" w:pos="1202"/>
              </w:tabs>
              <w:spacing w:after="0" w:line="301" w:lineRule="exact"/>
              <w:jc w:val="right"/>
              <w:outlineLvl w:val="0"/>
              <w:rPr>
                <w:rFonts w:ascii="Calibri" w:eastAsia="Times New Roman" w:hAnsi="Calibri" w:cs="Calibri"/>
                <w:lang w:val="en-US"/>
              </w:rPr>
            </w:pPr>
            <w:r>
              <w:rPr>
                <w:rFonts w:ascii="Calibri" w:eastAsia="Times New Roman" w:hAnsi="Calibri" w:cs="Calibri"/>
                <w:color w:val="000000"/>
              </w:rPr>
              <w:t>3</w:t>
            </w:r>
            <w:r w:rsidR="008D1831">
              <w:rPr>
                <w:rFonts w:ascii="Calibri" w:eastAsia="Times New Roman" w:hAnsi="Calibri" w:cs="Calibri"/>
                <w:color w:val="000000"/>
              </w:rPr>
              <w:t>,</w:t>
            </w:r>
            <w:r>
              <w:rPr>
                <w:rFonts w:ascii="Calibri" w:eastAsia="Times New Roman" w:hAnsi="Calibri" w:cs="Calibri"/>
                <w:color w:val="000000"/>
              </w:rPr>
              <w:t>924</w:t>
            </w:r>
          </w:p>
        </w:tc>
        <w:tc>
          <w:tcPr>
            <w:tcW w:w="812" w:type="pct"/>
            <w:tcBorders>
              <w:top w:val="nil"/>
              <w:left w:val="nil"/>
              <w:bottom w:val="nil"/>
              <w:right w:val="nil"/>
            </w:tcBorders>
            <w:shd w:val="clear" w:color="auto" w:fill="auto"/>
            <w:vAlign w:val="bottom"/>
            <w:hideMark/>
          </w:tcPr>
          <w:p w14:paraId="2B4CE926" w14:textId="617911CB" w:rsidR="00B05732" w:rsidRPr="00537128" w:rsidRDefault="00B05732" w:rsidP="00B05732">
            <w:pPr>
              <w:tabs>
                <w:tab w:val="right" w:pos="1202"/>
              </w:tabs>
              <w:spacing w:after="0" w:line="301" w:lineRule="exact"/>
              <w:jc w:val="right"/>
              <w:outlineLvl w:val="0"/>
              <w:rPr>
                <w:rFonts w:ascii="Calibri" w:eastAsia="Times New Roman" w:hAnsi="Calibri" w:cs="Calibri"/>
                <w:lang w:val="en-US"/>
              </w:rPr>
            </w:pPr>
            <w:r w:rsidRPr="001F3D0F">
              <w:rPr>
                <w:rFonts w:cstheme="minorHAnsi"/>
                <w:color w:val="000000" w:themeColor="text1"/>
              </w:rPr>
              <w:t>3</w:t>
            </w:r>
            <w:r>
              <w:rPr>
                <w:rFonts w:cstheme="minorHAnsi"/>
                <w:color w:val="000000" w:themeColor="text1"/>
              </w:rPr>
              <w:t>,</w:t>
            </w:r>
            <w:r w:rsidRPr="001F3D0F">
              <w:rPr>
                <w:rFonts w:cstheme="minorHAnsi"/>
                <w:color w:val="000000" w:themeColor="text1"/>
              </w:rPr>
              <w:t>018</w:t>
            </w:r>
          </w:p>
        </w:tc>
      </w:tr>
      <w:tr w:rsidR="00B05732" w:rsidRPr="00537128" w14:paraId="0216BDF2" w14:textId="77777777" w:rsidTr="004A7E72">
        <w:trPr>
          <w:trHeight w:val="261"/>
        </w:trPr>
        <w:tc>
          <w:tcPr>
            <w:tcW w:w="1749" w:type="pct"/>
            <w:hideMark/>
          </w:tcPr>
          <w:p w14:paraId="4DFD91DB" w14:textId="77777777" w:rsidR="00B05732" w:rsidRPr="00537128" w:rsidRDefault="00B05732" w:rsidP="00B05732">
            <w:pPr>
              <w:spacing w:after="0" w:line="301" w:lineRule="exact"/>
              <w:outlineLvl w:val="0"/>
              <w:rPr>
                <w:rFonts w:ascii="Calibri" w:eastAsia="Times New Roman" w:hAnsi="Calibri" w:cs="Calibri"/>
                <w:lang w:val="en-US"/>
              </w:rPr>
            </w:pPr>
            <w:bookmarkStart w:id="452" w:name="_Toc4059697"/>
            <w:r w:rsidRPr="00537128">
              <w:rPr>
                <w:rFonts w:ascii="Calibri" w:eastAsia="Times New Roman" w:hAnsi="Calibri" w:cs="Calibri"/>
                <w:color w:val="000000"/>
                <w:lang w:val="en-US"/>
              </w:rPr>
              <w:t>Accrued income</w:t>
            </w:r>
            <w:bookmarkEnd w:id="452"/>
          </w:p>
        </w:tc>
        <w:tc>
          <w:tcPr>
            <w:tcW w:w="813" w:type="pct"/>
            <w:tcBorders>
              <w:top w:val="nil"/>
              <w:left w:val="nil"/>
              <w:bottom w:val="nil"/>
              <w:right w:val="nil"/>
            </w:tcBorders>
            <w:shd w:val="clear" w:color="auto" w:fill="auto"/>
          </w:tcPr>
          <w:p w14:paraId="13D16A3C" w14:textId="04390711" w:rsidR="00B05732" w:rsidRPr="00537128" w:rsidRDefault="00B05732" w:rsidP="00B05732">
            <w:pPr>
              <w:tabs>
                <w:tab w:val="right" w:pos="1202"/>
              </w:tabs>
              <w:spacing w:after="0" w:line="301" w:lineRule="exact"/>
              <w:jc w:val="right"/>
              <w:outlineLvl w:val="0"/>
              <w:rPr>
                <w:rFonts w:ascii="Calibri" w:eastAsia="Times New Roman" w:hAnsi="Calibri" w:cs="Calibri"/>
                <w:color w:val="000000"/>
                <w:lang w:val="en-US"/>
              </w:rPr>
            </w:pPr>
            <w:r>
              <w:rPr>
                <w:rFonts w:ascii="Calibri" w:eastAsia="Times New Roman" w:hAnsi="Calibri" w:cs="Calibri"/>
                <w:color w:val="000000"/>
              </w:rPr>
              <w:t>24</w:t>
            </w:r>
            <w:r w:rsidR="008D1831">
              <w:rPr>
                <w:rFonts w:ascii="Calibri" w:eastAsia="Times New Roman" w:hAnsi="Calibri" w:cs="Calibri"/>
                <w:color w:val="000000"/>
              </w:rPr>
              <w:t>,</w:t>
            </w:r>
            <w:r>
              <w:rPr>
                <w:rFonts w:ascii="Calibri" w:eastAsia="Times New Roman" w:hAnsi="Calibri" w:cs="Calibri"/>
                <w:color w:val="000000"/>
              </w:rPr>
              <w:t>315</w:t>
            </w:r>
          </w:p>
        </w:tc>
        <w:tc>
          <w:tcPr>
            <w:tcW w:w="813" w:type="pct"/>
            <w:tcBorders>
              <w:top w:val="nil"/>
              <w:left w:val="nil"/>
              <w:bottom w:val="nil"/>
              <w:right w:val="nil"/>
            </w:tcBorders>
            <w:shd w:val="clear" w:color="auto" w:fill="auto"/>
            <w:vAlign w:val="bottom"/>
          </w:tcPr>
          <w:p w14:paraId="63E533F2" w14:textId="7F6FA4C2" w:rsidR="00B05732" w:rsidRPr="00537128" w:rsidRDefault="00B05732" w:rsidP="00B05732">
            <w:pPr>
              <w:tabs>
                <w:tab w:val="right" w:pos="1202"/>
              </w:tabs>
              <w:spacing w:after="0" w:line="301" w:lineRule="exact"/>
              <w:jc w:val="right"/>
              <w:outlineLvl w:val="0"/>
              <w:rPr>
                <w:rFonts w:ascii="Calibri" w:eastAsia="Times New Roman" w:hAnsi="Calibri" w:cs="Calibri"/>
                <w:color w:val="000000"/>
                <w:lang w:val="en-US"/>
              </w:rPr>
            </w:pPr>
            <w:r w:rsidRPr="001F3D0F">
              <w:rPr>
                <w:rFonts w:cstheme="minorHAnsi"/>
                <w:color w:val="000000" w:themeColor="text1"/>
              </w:rPr>
              <w:t>22</w:t>
            </w:r>
            <w:r>
              <w:rPr>
                <w:rFonts w:cstheme="minorHAnsi"/>
                <w:color w:val="000000" w:themeColor="text1"/>
              </w:rPr>
              <w:t>,</w:t>
            </w:r>
            <w:r w:rsidRPr="001F3D0F">
              <w:rPr>
                <w:rFonts w:cstheme="minorHAnsi"/>
                <w:color w:val="000000" w:themeColor="text1"/>
              </w:rPr>
              <w:t>923</w:t>
            </w:r>
          </w:p>
        </w:tc>
        <w:tc>
          <w:tcPr>
            <w:tcW w:w="813" w:type="pct"/>
            <w:gridSpan w:val="2"/>
            <w:tcBorders>
              <w:top w:val="nil"/>
              <w:left w:val="nil"/>
              <w:bottom w:val="nil"/>
              <w:right w:val="nil"/>
            </w:tcBorders>
            <w:shd w:val="clear" w:color="auto" w:fill="auto"/>
          </w:tcPr>
          <w:p w14:paraId="6B06B4EF" w14:textId="595C9EEC" w:rsidR="00B05732" w:rsidRPr="00537128" w:rsidRDefault="00B05732" w:rsidP="00B05732">
            <w:pPr>
              <w:tabs>
                <w:tab w:val="right" w:pos="1202"/>
              </w:tabs>
              <w:spacing w:after="0" w:line="301" w:lineRule="exact"/>
              <w:jc w:val="right"/>
              <w:outlineLvl w:val="0"/>
              <w:rPr>
                <w:rFonts w:ascii="Calibri" w:eastAsia="Times New Roman" w:hAnsi="Calibri" w:cs="Calibri"/>
                <w:color w:val="000000"/>
                <w:lang w:val="en-US"/>
              </w:rPr>
            </w:pPr>
            <w:r>
              <w:rPr>
                <w:rFonts w:ascii="Calibri" w:eastAsia="Times New Roman" w:hAnsi="Calibri" w:cs="Calibri"/>
                <w:color w:val="000000"/>
              </w:rPr>
              <w:t>24</w:t>
            </w:r>
            <w:r w:rsidR="008D1831">
              <w:rPr>
                <w:rFonts w:ascii="Calibri" w:eastAsia="Times New Roman" w:hAnsi="Calibri" w:cs="Calibri"/>
                <w:color w:val="000000"/>
              </w:rPr>
              <w:t>,</w:t>
            </w:r>
            <w:r>
              <w:rPr>
                <w:rFonts w:ascii="Calibri" w:eastAsia="Times New Roman" w:hAnsi="Calibri" w:cs="Calibri"/>
                <w:color w:val="000000"/>
              </w:rPr>
              <w:t>313</w:t>
            </w:r>
          </w:p>
        </w:tc>
        <w:tc>
          <w:tcPr>
            <w:tcW w:w="812" w:type="pct"/>
            <w:tcBorders>
              <w:top w:val="nil"/>
              <w:left w:val="nil"/>
              <w:bottom w:val="nil"/>
              <w:right w:val="nil"/>
            </w:tcBorders>
            <w:shd w:val="clear" w:color="auto" w:fill="auto"/>
            <w:vAlign w:val="bottom"/>
            <w:hideMark/>
          </w:tcPr>
          <w:p w14:paraId="7B5835D9" w14:textId="0D89C1F7" w:rsidR="00B05732" w:rsidRPr="00537128" w:rsidRDefault="00B05732" w:rsidP="00B05732">
            <w:pPr>
              <w:tabs>
                <w:tab w:val="right" w:pos="1202"/>
              </w:tabs>
              <w:spacing w:after="0" w:line="301" w:lineRule="exact"/>
              <w:jc w:val="right"/>
              <w:outlineLvl w:val="0"/>
              <w:rPr>
                <w:rFonts w:ascii="Calibri" w:eastAsia="Times New Roman" w:hAnsi="Calibri" w:cs="Calibri"/>
                <w:color w:val="000000"/>
                <w:lang w:val="en-US"/>
              </w:rPr>
            </w:pPr>
            <w:r w:rsidRPr="001F3D0F">
              <w:rPr>
                <w:rFonts w:cstheme="minorHAnsi"/>
                <w:color w:val="000000" w:themeColor="text1"/>
              </w:rPr>
              <w:t>22</w:t>
            </w:r>
            <w:r>
              <w:rPr>
                <w:rFonts w:cstheme="minorHAnsi"/>
                <w:color w:val="000000" w:themeColor="text1"/>
              </w:rPr>
              <w:t>,</w:t>
            </w:r>
            <w:r w:rsidRPr="001F3D0F">
              <w:rPr>
                <w:rFonts w:cstheme="minorHAnsi"/>
                <w:color w:val="000000" w:themeColor="text1"/>
              </w:rPr>
              <w:t>921</w:t>
            </w:r>
          </w:p>
        </w:tc>
      </w:tr>
      <w:tr w:rsidR="00B05732" w:rsidRPr="00537128" w14:paraId="3FCA0F99" w14:textId="77777777" w:rsidTr="004A7E72">
        <w:trPr>
          <w:trHeight w:val="261"/>
        </w:trPr>
        <w:tc>
          <w:tcPr>
            <w:tcW w:w="1749" w:type="pct"/>
            <w:hideMark/>
          </w:tcPr>
          <w:p w14:paraId="3D81A6FC" w14:textId="77777777" w:rsidR="00B05732" w:rsidRPr="00537128" w:rsidRDefault="00B05732" w:rsidP="00B05732">
            <w:pPr>
              <w:spacing w:after="0" w:line="301" w:lineRule="exact"/>
              <w:outlineLvl w:val="0"/>
              <w:rPr>
                <w:rFonts w:ascii="Calibri" w:eastAsia="Times New Roman" w:hAnsi="Calibri" w:cs="Calibri"/>
                <w:lang w:val="en-US"/>
              </w:rPr>
            </w:pPr>
            <w:bookmarkStart w:id="453" w:name="_Toc4059702"/>
            <w:r w:rsidRPr="00537128">
              <w:rPr>
                <w:rFonts w:ascii="Calibri" w:eastAsia="Times New Roman" w:hAnsi="Calibri" w:cs="Calibri"/>
                <w:lang w:val="en-US"/>
              </w:rPr>
              <w:t>Premium receivables</w:t>
            </w:r>
            <w:bookmarkEnd w:id="453"/>
          </w:p>
        </w:tc>
        <w:tc>
          <w:tcPr>
            <w:tcW w:w="813" w:type="pct"/>
            <w:tcBorders>
              <w:top w:val="nil"/>
              <w:left w:val="nil"/>
              <w:bottom w:val="nil"/>
              <w:right w:val="nil"/>
            </w:tcBorders>
            <w:shd w:val="clear" w:color="auto" w:fill="auto"/>
          </w:tcPr>
          <w:p w14:paraId="31EFE29F" w14:textId="116B13DA" w:rsidR="00B05732" w:rsidRPr="00537128" w:rsidRDefault="00B05732" w:rsidP="00B05732">
            <w:pPr>
              <w:tabs>
                <w:tab w:val="right" w:pos="1202"/>
              </w:tabs>
              <w:spacing w:after="0" w:line="301" w:lineRule="exact"/>
              <w:jc w:val="right"/>
              <w:outlineLvl w:val="0"/>
              <w:rPr>
                <w:rFonts w:ascii="Calibri" w:eastAsia="Times New Roman" w:hAnsi="Calibri" w:cs="Calibri"/>
                <w:lang w:val="en-US"/>
              </w:rPr>
            </w:pPr>
            <w:r>
              <w:rPr>
                <w:rFonts w:ascii="Calibri" w:eastAsia="Times New Roman" w:hAnsi="Calibri" w:cs="Calibri"/>
                <w:color w:val="000000"/>
              </w:rPr>
              <w:t>1</w:t>
            </w:r>
            <w:r w:rsidR="008D1831">
              <w:rPr>
                <w:rFonts w:ascii="Calibri" w:eastAsia="Times New Roman" w:hAnsi="Calibri" w:cs="Calibri"/>
                <w:color w:val="000000"/>
              </w:rPr>
              <w:t>,</w:t>
            </w:r>
            <w:r>
              <w:rPr>
                <w:rFonts w:ascii="Calibri" w:eastAsia="Times New Roman" w:hAnsi="Calibri" w:cs="Calibri"/>
                <w:color w:val="000000"/>
              </w:rPr>
              <w:t>638</w:t>
            </w:r>
          </w:p>
        </w:tc>
        <w:tc>
          <w:tcPr>
            <w:tcW w:w="813" w:type="pct"/>
            <w:tcBorders>
              <w:top w:val="nil"/>
              <w:left w:val="nil"/>
              <w:bottom w:val="nil"/>
              <w:right w:val="nil"/>
            </w:tcBorders>
            <w:shd w:val="clear" w:color="auto" w:fill="auto"/>
            <w:vAlign w:val="bottom"/>
          </w:tcPr>
          <w:p w14:paraId="5AD5CCC5" w14:textId="2ED75F3E" w:rsidR="00B05732" w:rsidRPr="00537128" w:rsidRDefault="00B05732" w:rsidP="00B05732">
            <w:pPr>
              <w:tabs>
                <w:tab w:val="right" w:pos="1202"/>
              </w:tabs>
              <w:spacing w:after="0" w:line="301" w:lineRule="exact"/>
              <w:jc w:val="right"/>
              <w:outlineLvl w:val="0"/>
              <w:rPr>
                <w:rFonts w:ascii="Calibri" w:eastAsia="Times New Roman" w:hAnsi="Calibri" w:cs="Calibri"/>
                <w:lang w:val="en-US"/>
              </w:rPr>
            </w:pPr>
            <w:r w:rsidRPr="001F3D0F">
              <w:rPr>
                <w:rFonts w:cstheme="minorHAnsi"/>
                <w:color w:val="000000" w:themeColor="text1"/>
              </w:rPr>
              <w:t>1</w:t>
            </w:r>
            <w:r>
              <w:rPr>
                <w:rFonts w:cstheme="minorHAnsi"/>
                <w:color w:val="000000" w:themeColor="text1"/>
              </w:rPr>
              <w:t>,</w:t>
            </w:r>
            <w:r w:rsidRPr="001F3D0F">
              <w:rPr>
                <w:rFonts w:cstheme="minorHAnsi"/>
                <w:color w:val="000000" w:themeColor="text1"/>
              </w:rPr>
              <w:t>797</w:t>
            </w:r>
          </w:p>
        </w:tc>
        <w:tc>
          <w:tcPr>
            <w:tcW w:w="813" w:type="pct"/>
            <w:gridSpan w:val="2"/>
            <w:tcBorders>
              <w:top w:val="nil"/>
              <w:left w:val="nil"/>
              <w:bottom w:val="nil"/>
              <w:right w:val="nil"/>
            </w:tcBorders>
            <w:shd w:val="clear" w:color="auto" w:fill="auto"/>
            <w:vAlign w:val="bottom"/>
          </w:tcPr>
          <w:p w14:paraId="571D87B1" w14:textId="6A815D0B" w:rsidR="00B05732" w:rsidRPr="00537128" w:rsidRDefault="00B05732" w:rsidP="00B05732">
            <w:pPr>
              <w:tabs>
                <w:tab w:val="right" w:pos="1202"/>
              </w:tabs>
              <w:spacing w:after="0" w:line="301" w:lineRule="exact"/>
              <w:jc w:val="right"/>
              <w:outlineLvl w:val="0"/>
              <w:rPr>
                <w:rFonts w:ascii="Calibri" w:eastAsia="Times New Roman" w:hAnsi="Calibri" w:cs="Calibri"/>
                <w:lang w:val="en-US"/>
              </w:rPr>
            </w:pPr>
            <w:r>
              <w:rPr>
                <w:rFonts w:ascii="Calibri" w:eastAsia="Times New Roman" w:hAnsi="Calibri" w:cs="Calibri"/>
                <w:color w:val="000000"/>
              </w:rPr>
              <w:t>-</w:t>
            </w:r>
          </w:p>
        </w:tc>
        <w:tc>
          <w:tcPr>
            <w:tcW w:w="812" w:type="pct"/>
            <w:tcBorders>
              <w:top w:val="nil"/>
              <w:left w:val="nil"/>
              <w:bottom w:val="nil"/>
              <w:right w:val="nil"/>
            </w:tcBorders>
            <w:shd w:val="clear" w:color="auto" w:fill="auto"/>
            <w:vAlign w:val="bottom"/>
            <w:hideMark/>
          </w:tcPr>
          <w:p w14:paraId="22EB813F" w14:textId="03EE5FF2" w:rsidR="00B05732" w:rsidRPr="00537128" w:rsidRDefault="00B05732" w:rsidP="00B05732">
            <w:pPr>
              <w:tabs>
                <w:tab w:val="right" w:pos="1202"/>
              </w:tabs>
              <w:spacing w:after="0" w:line="301" w:lineRule="exact"/>
              <w:jc w:val="right"/>
              <w:outlineLvl w:val="0"/>
              <w:rPr>
                <w:rFonts w:ascii="Calibri" w:eastAsia="Times New Roman" w:hAnsi="Calibri" w:cs="Calibri"/>
                <w:lang w:val="en-US"/>
              </w:rPr>
            </w:pPr>
            <w:r>
              <w:rPr>
                <w:rFonts w:cstheme="minorHAnsi"/>
                <w:color w:val="000000" w:themeColor="text1"/>
              </w:rPr>
              <w:t>-</w:t>
            </w:r>
          </w:p>
        </w:tc>
      </w:tr>
      <w:tr w:rsidR="00B05732" w:rsidRPr="00537128" w14:paraId="326057AD" w14:textId="77777777" w:rsidTr="004A7E72">
        <w:trPr>
          <w:trHeight w:val="301"/>
        </w:trPr>
        <w:tc>
          <w:tcPr>
            <w:tcW w:w="1749" w:type="pct"/>
            <w:hideMark/>
          </w:tcPr>
          <w:p w14:paraId="45C545E3" w14:textId="77777777" w:rsidR="00B05732" w:rsidRPr="00537128" w:rsidRDefault="00B05732" w:rsidP="00B05732">
            <w:pPr>
              <w:spacing w:after="0" w:line="301" w:lineRule="exact"/>
              <w:outlineLvl w:val="0"/>
              <w:rPr>
                <w:rFonts w:ascii="Calibri" w:eastAsia="Times New Roman" w:hAnsi="Calibri" w:cs="Calibri"/>
                <w:lang w:val="en-US"/>
              </w:rPr>
            </w:pPr>
            <w:bookmarkStart w:id="454" w:name="_Toc4059707"/>
            <w:r w:rsidRPr="00537128">
              <w:rPr>
                <w:rFonts w:ascii="Calibri" w:eastAsia="Times New Roman" w:hAnsi="Calibri" w:cs="Calibri"/>
                <w:lang w:val="en-US"/>
              </w:rPr>
              <w:t>Receivables for reinsurance commissions</w:t>
            </w:r>
            <w:bookmarkEnd w:id="454"/>
          </w:p>
        </w:tc>
        <w:tc>
          <w:tcPr>
            <w:tcW w:w="813" w:type="pct"/>
            <w:tcBorders>
              <w:top w:val="nil"/>
              <w:left w:val="nil"/>
              <w:bottom w:val="nil"/>
              <w:right w:val="nil"/>
            </w:tcBorders>
            <w:shd w:val="clear" w:color="auto" w:fill="auto"/>
            <w:vAlign w:val="bottom"/>
          </w:tcPr>
          <w:p w14:paraId="3C16DF1F" w14:textId="1EAB9DC7" w:rsidR="00B05732" w:rsidRPr="00537128" w:rsidRDefault="00B05732" w:rsidP="00B05732">
            <w:pPr>
              <w:tabs>
                <w:tab w:val="right" w:pos="1202"/>
              </w:tabs>
              <w:spacing w:after="0" w:line="301" w:lineRule="exact"/>
              <w:jc w:val="right"/>
              <w:outlineLvl w:val="0"/>
              <w:rPr>
                <w:rFonts w:ascii="Calibri" w:eastAsia="Times New Roman" w:hAnsi="Calibri" w:cs="Calibri"/>
                <w:lang w:val="en-US"/>
              </w:rPr>
            </w:pPr>
            <w:r>
              <w:rPr>
                <w:rFonts w:ascii="Calibri" w:eastAsia="Times New Roman" w:hAnsi="Calibri" w:cs="Calibri"/>
                <w:color w:val="000000"/>
              </w:rPr>
              <w:t>1</w:t>
            </w:r>
            <w:r w:rsidR="008D1831">
              <w:rPr>
                <w:rFonts w:ascii="Calibri" w:eastAsia="Times New Roman" w:hAnsi="Calibri" w:cs="Calibri"/>
                <w:color w:val="000000"/>
              </w:rPr>
              <w:t>,</w:t>
            </w:r>
            <w:r>
              <w:rPr>
                <w:rFonts w:ascii="Calibri" w:eastAsia="Times New Roman" w:hAnsi="Calibri" w:cs="Calibri"/>
                <w:color w:val="000000"/>
              </w:rPr>
              <w:t>160</w:t>
            </w:r>
          </w:p>
        </w:tc>
        <w:tc>
          <w:tcPr>
            <w:tcW w:w="813" w:type="pct"/>
            <w:tcBorders>
              <w:top w:val="nil"/>
              <w:left w:val="nil"/>
              <w:bottom w:val="nil"/>
              <w:right w:val="nil"/>
            </w:tcBorders>
            <w:shd w:val="clear" w:color="auto" w:fill="auto"/>
            <w:vAlign w:val="bottom"/>
          </w:tcPr>
          <w:p w14:paraId="547A70F1" w14:textId="644D0991" w:rsidR="00B05732" w:rsidRPr="00537128" w:rsidRDefault="00B05732" w:rsidP="00B05732">
            <w:pPr>
              <w:tabs>
                <w:tab w:val="right" w:pos="1202"/>
              </w:tabs>
              <w:spacing w:after="0" w:line="301" w:lineRule="exact"/>
              <w:jc w:val="right"/>
              <w:outlineLvl w:val="0"/>
              <w:rPr>
                <w:rFonts w:ascii="Calibri" w:eastAsia="Times New Roman" w:hAnsi="Calibri" w:cs="Calibri"/>
                <w:lang w:val="en-US"/>
              </w:rPr>
            </w:pPr>
            <w:r w:rsidRPr="001F3D0F">
              <w:rPr>
                <w:rFonts w:cstheme="minorHAnsi"/>
                <w:color w:val="000000" w:themeColor="text1"/>
              </w:rPr>
              <w:t>645</w:t>
            </w:r>
          </w:p>
        </w:tc>
        <w:tc>
          <w:tcPr>
            <w:tcW w:w="813" w:type="pct"/>
            <w:gridSpan w:val="2"/>
            <w:tcBorders>
              <w:top w:val="nil"/>
              <w:left w:val="nil"/>
              <w:bottom w:val="nil"/>
              <w:right w:val="nil"/>
            </w:tcBorders>
            <w:shd w:val="clear" w:color="auto" w:fill="auto"/>
            <w:vAlign w:val="bottom"/>
          </w:tcPr>
          <w:p w14:paraId="784BAEBB" w14:textId="7FDB5DD0" w:rsidR="00B05732" w:rsidRPr="00537128" w:rsidRDefault="00B05732" w:rsidP="00B05732">
            <w:pPr>
              <w:tabs>
                <w:tab w:val="right" w:pos="1202"/>
              </w:tabs>
              <w:spacing w:after="0" w:line="301" w:lineRule="exact"/>
              <w:jc w:val="right"/>
              <w:outlineLvl w:val="0"/>
              <w:rPr>
                <w:rFonts w:ascii="Calibri" w:eastAsia="Times New Roman" w:hAnsi="Calibri" w:cs="Calibri"/>
                <w:lang w:val="en-US"/>
              </w:rPr>
            </w:pPr>
            <w:r>
              <w:rPr>
                <w:rFonts w:ascii="Calibri" w:eastAsia="Times New Roman" w:hAnsi="Calibri" w:cs="Calibri"/>
                <w:color w:val="000000"/>
              </w:rPr>
              <w:t>-</w:t>
            </w:r>
          </w:p>
        </w:tc>
        <w:tc>
          <w:tcPr>
            <w:tcW w:w="812" w:type="pct"/>
            <w:tcBorders>
              <w:top w:val="nil"/>
              <w:left w:val="nil"/>
              <w:bottom w:val="nil"/>
              <w:right w:val="nil"/>
            </w:tcBorders>
            <w:shd w:val="clear" w:color="auto" w:fill="auto"/>
            <w:vAlign w:val="bottom"/>
            <w:hideMark/>
          </w:tcPr>
          <w:p w14:paraId="0A7B2C54" w14:textId="3190BA62" w:rsidR="00B05732" w:rsidRPr="00537128" w:rsidRDefault="00B05732" w:rsidP="00B05732">
            <w:pPr>
              <w:tabs>
                <w:tab w:val="right" w:pos="1202"/>
              </w:tabs>
              <w:spacing w:after="0" w:line="301" w:lineRule="exact"/>
              <w:jc w:val="right"/>
              <w:outlineLvl w:val="0"/>
              <w:rPr>
                <w:rFonts w:ascii="Calibri" w:eastAsia="Times New Roman" w:hAnsi="Calibri" w:cs="Calibri"/>
                <w:lang w:val="en-US"/>
              </w:rPr>
            </w:pPr>
            <w:r>
              <w:rPr>
                <w:rFonts w:cstheme="minorHAnsi"/>
                <w:color w:val="000000" w:themeColor="text1"/>
              </w:rPr>
              <w:t>-</w:t>
            </w:r>
          </w:p>
        </w:tc>
      </w:tr>
      <w:tr w:rsidR="00B05732" w:rsidRPr="00537128" w14:paraId="0C2F6281" w14:textId="77777777" w:rsidTr="004A7E72">
        <w:trPr>
          <w:trHeight w:val="301"/>
        </w:trPr>
        <w:tc>
          <w:tcPr>
            <w:tcW w:w="1749" w:type="pct"/>
            <w:hideMark/>
          </w:tcPr>
          <w:p w14:paraId="3510546D" w14:textId="77777777" w:rsidR="00B05732" w:rsidRPr="00537128" w:rsidRDefault="00B05732" w:rsidP="00B05732">
            <w:pPr>
              <w:spacing w:after="0" w:line="301" w:lineRule="exact"/>
              <w:outlineLvl w:val="0"/>
              <w:rPr>
                <w:rFonts w:ascii="Calibri" w:eastAsia="Times New Roman" w:hAnsi="Calibri" w:cs="Calibri"/>
                <w:lang w:val="en-US"/>
              </w:rPr>
            </w:pPr>
            <w:bookmarkStart w:id="455" w:name="_Toc4059712"/>
            <w:r w:rsidRPr="00537128">
              <w:rPr>
                <w:rFonts w:ascii="Calibri" w:eastAsia="Times New Roman" w:hAnsi="Calibri" w:cs="Calibri"/>
                <w:lang w:val="en-US"/>
              </w:rPr>
              <w:t>Receivables for risk assessment fees</w:t>
            </w:r>
            <w:bookmarkEnd w:id="455"/>
          </w:p>
        </w:tc>
        <w:tc>
          <w:tcPr>
            <w:tcW w:w="813" w:type="pct"/>
            <w:tcBorders>
              <w:top w:val="nil"/>
              <w:left w:val="nil"/>
              <w:bottom w:val="nil"/>
              <w:right w:val="nil"/>
            </w:tcBorders>
            <w:shd w:val="clear" w:color="auto" w:fill="auto"/>
            <w:vAlign w:val="bottom"/>
          </w:tcPr>
          <w:p w14:paraId="4E83A580" w14:textId="3B057F97" w:rsidR="00B05732" w:rsidRPr="00537128" w:rsidRDefault="00B05732" w:rsidP="00B05732">
            <w:pPr>
              <w:tabs>
                <w:tab w:val="right" w:pos="1202"/>
              </w:tabs>
              <w:spacing w:after="0" w:line="301" w:lineRule="exact"/>
              <w:jc w:val="right"/>
              <w:outlineLvl w:val="0"/>
              <w:rPr>
                <w:rFonts w:ascii="Calibri" w:eastAsia="Times New Roman" w:hAnsi="Calibri" w:cs="Calibri"/>
                <w:lang w:val="en-US"/>
              </w:rPr>
            </w:pPr>
            <w:r>
              <w:rPr>
                <w:rFonts w:ascii="Calibri" w:eastAsia="Times New Roman" w:hAnsi="Calibri" w:cs="Calibri"/>
                <w:color w:val="000000"/>
              </w:rPr>
              <w:t>242</w:t>
            </w:r>
          </w:p>
        </w:tc>
        <w:tc>
          <w:tcPr>
            <w:tcW w:w="813" w:type="pct"/>
            <w:tcBorders>
              <w:top w:val="nil"/>
              <w:left w:val="nil"/>
              <w:bottom w:val="nil"/>
              <w:right w:val="nil"/>
            </w:tcBorders>
            <w:shd w:val="clear" w:color="auto" w:fill="auto"/>
            <w:vAlign w:val="bottom"/>
          </w:tcPr>
          <w:p w14:paraId="2B70F96A" w14:textId="7339070C" w:rsidR="00B05732" w:rsidRPr="00537128" w:rsidRDefault="00B05732" w:rsidP="00B05732">
            <w:pPr>
              <w:tabs>
                <w:tab w:val="right" w:pos="1202"/>
              </w:tabs>
              <w:spacing w:after="0" w:line="301" w:lineRule="exact"/>
              <w:jc w:val="right"/>
              <w:outlineLvl w:val="0"/>
              <w:rPr>
                <w:rFonts w:ascii="Calibri" w:eastAsia="Times New Roman" w:hAnsi="Calibri" w:cs="Calibri"/>
                <w:lang w:val="en-US"/>
              </w:rPr>
            </w:pPr>
            <w:r w:rsidRPr="001F3D0F">
              <w:rPr>
                <w:rFonts w:cstheme="minorHAnsi"/>
                <w:color w:val="000000" w:themeColor="text1"/>
              </w:rPr>
              <w:t>324</w:t>
            </w:r>
          </w:p>
        </w:tc>
        <w:tc>
          <w:tcPr>
            <w:tcW w:w="813" w:type="pct"/>
            <w:gridSpan w:val="2"/>
            <w:tcBorders>
              <w:top w:val="nil"/>
              <w:left w:val="nil"/>
              <w:bottom w:val="nil"/>
              <w:right w:val="nil"/>
            </w:tcBorders>
            <w:shd w:val="clear" w:color="auto" w:fill="auto"/>
            <w:vAlign w:val="bottom"/>
          </w:tcPr>
          <w:p w14:paraId="281D3026" w14:textId="1DAAE735" w:rsidR="00B05732" w:rsidRPr="00537128" w:rsidRDefault="00B05732" w:rsidP="00B05732">
            <w:pPr>
              <w:tabs>
                <w:tab w:val="right" w:pos="1202"/>
              </w:tabs>
              <w:spacing w:after="0" w:line="301" w:lineRule="exact"/>
              <w:jc w:val="right"/>
              <w:outlineLvl w:val="0"/>
              <w:rPr>
                <w:rFonts w:ascii="Calibri" w:eastAsia="Times New Roman" w:hAnsi="Calibri" w:cs="Calibri"/>
                <w:lang w:val="en-US"/>
              </w:rPr>
            </w:pPr>
            <w:r>
              <w:rPr>
                <w:rFonts w:ascii="Calibri" w:eastAsia="Times New Roman" w:hAnsi="Calibri" w:cs="Calibri"/>
                <w:color w:val="000000"/>
              </w:rPr>
              <w:t>-</w:t>
            </w:r>
          </w:p>
        </w:tc>
        <w:tc>
          <w:tcPr>
            <w:tcW w:w="812" w:type="pct"/>
            <w:tcBorders>
              <w:top w:val="nil"/>
              <w:left w:val="nil"/>
              <w:bottom w:val="nil"/>
              <w:right w:val="nil"/>
            </w:tcBorders>
            <w:shd w:val="clear" w:color="auto" w:fill="auto"/>
            <w:vAlign w:val="bottom"/>
            <w:hideMark/>
          </w:tcPr>
          <w:p w14:paraId="02CCF714" w14:textId="13DE95EF" w:rsidR="00B05732" w:rsidRPr="00537128" w:rsidRDefault="00B05732" w:rsidP="00B05732">
            <w:pPr>
              <w:tabs>
                <w:tab w:val="right" w:pos="1202"/>
              </w:tabs>
              <w:spacing w:after="0" w:line="301" w:lineRule="exact"/>
              <w:jc w:val="right"/>
              <w:outlineLvl w:val="0"/>
              <w:rPr>
                <w:rFonts w:ascii="Calibri" w:eastAsia="Times New Roman" w:hAnsi="Calibri" w:cs="Calibri"/>
                <w:lang w:val="en-US"/>
              </w:rPr>
            </w:pPr>
            <w:r>
              <w:rPr>
                <w:rFonts w:cstheme="minorHAnsi"/>
                <w:color w:val="000000" w:themeColor="text1"/>
              </w:rPr>
              <w:t>-</w:t>
            </w:r>
          </w:p>
        </w:tc>
      </w:tr>
      <w:tr w:rsidR="00445A47" w:rsidRPr="00537128" w14:paraId="269553E7" w14:textId="77777777" w:rsidTr="004A7E72">
        <w:trPr>
          <w:trHeight w:val="301"/>
        </w:trPr>
        <w:tc>
          <w:tcPr>
            <w:tcW w:w="1749" w:type="pct"/>
          </w:tcPr>
          <w:p w14:paraId="3ABDC42C" w14:textId="2CA1F66B" w:rsidR="00445A47" w:rsidRPr="00445A47" w:rsidRDefault="00445A47" w:rsidP="00B05732">
            <w:pPr>
              <w:spacing w:after="0" w:line="301" w:lineRule="exact"/>
              <w:outlineLvl w:val="0"/>
              <w:rPr>
                <w:rFonts w:ascii="Calibri" w:eastAsia="Times New Roman" w:hAnsi="Calibri" w:cs="Calibri"/>
                <w:lang w:val="en-US"/>
              </w:rPr>
            </w:pPr>
            <w:r w:rsidRPr="00445A47">
              <w:rPr>
                <w:rFonts w:cs="Arial"/>
              </w:rPr>
              <w:t>Deferred tax assets</w:t>
            </w:r>
          </w:p>
        </w:tc>
        <w:tc>
          <w:tcPr>
            <w:tcW w:w="813" w:type="pct"/>
            <w:tcBorders>
              <w:top w:val="nil"/>
              <w:left w:val="nil"/>
              <w:bottom w:val="nil"/>
              <w:right w:val="nil"/>
            </w:tcBorders>
            <w:shd w:val="clear" w:color="auto" w:fill="auto"/>
            <w:vAlign w:val="bottom"/>
          </w:tcPr>
          <w:p w14:paraId="1D1BA500" w14:textId="1997C67C" w:rsidR="00445A47" w:rsidRDefault="00445A47" w:rsidP="00B05732">
            <w:pPr>
              <w:tabs>
                <w:tab w:val="right" w:pos="1202"/>
              </w:tabs>
              <w:spacing w:after="0" w:line="301" w:lineRule="exact"/>
              <w:jc w:val="right"/>
              <w:outlineLvl w:val="0"/>
              <w:rPr>
                <w:rFonts w:ascii="Calibri" w:eastAsia="Times New Roman" w:hAnsi="Calibri" w:cs="Calibri"/>
                <w:color w:val="000000"/>
              </w:rPr>
            </w:pPr>
            <w:r>
              <w:rPr>
                <w:rFonts w:ascii="Calibri" w:eastAsia="Times New Roman" w:hAnsi="Calibri" w:cs="Calibri"/>
                <w:color w:val="000000"/>
              </w:rPr>
              <w:t>684</w:t>
            </w:r>
          </w:p>
        </w:tc>
        <w:tc>
          <w:tcPr>
            <w:tcW w:w="813" w:type="pct"/>
            <w:tcBorders>
              <w:top w:val="nil"/>
              <w:left w:val="nil"/>
              <w:bottom w:val="nil"/>
              <w:right w:val="nil"/>
            </w:tcBorders>
            <w:shd w:val="clear" w:color="auto" w:fill="auto"/>
            <w:vAlign w:val="bottom"/>
          </w:tcPr>
          <w:p w14:paraId="4895C2BF" w14:textId="6EA63459" w:rsidR="00445A47" w:rsidRPr="001F3D0F" w:rsidRDefault="00445A47" w:rsidP="00B05732">
            <w:pPr>
              <w:tabs>
                <w:tab w:val="right" w:pos="1202"/>
              </w:tabs>
              <w:spacing w:after="0" w:line="301" w:lineRule="exact"/>
              <w:jc w:val="right"/>
              <w:outlineLvl w:val="0"/>
              <w:rPr>
                <w:rFonts w:cstheme="minorHAnsi"/>
                <w:color w:val="000000" w:themeColor="text1"/>
              </w:rPr>
            </w:pPr>
            <w:r>
              <w:rPr>
                <w:rFonts w:cstheme="minorHAnsi"/>
                <w:color w:val="000000" w:themeColor="text1"/>
              </w:rPr>
              <w:t>-</w:t>
            </w:r>
          </w:p>
        </w:tc>
        <w:tc>
          <w:tcPr>
            <w:tcW w:w="813" w:type="pct"/>
            <w:gridSpan w:val="2"/>
            <w:tcBorders>
              <w:top w:val="nil"/>
              <w:left w:val="nil"/>
              <w:bottom w:val="nil"/>
              <w:right w:val="nil"/>
            </w:tcBorders>
            <w:shd w:val="clear" w:color="auto" w:fill="auto"/>
            <w:vAlign w:val="bottom"/>
          </w:tcPr>
          <w:p w14:paraId="345CF9BF" w14:textId="79332819" w:rsidR="00445A47" w:rsidRDefault="00445A47" w:rsidP="00B05732">
            <w:pPr>
              <w:tabs>
                <w:tab w:val="right" w:pos="1202"/>
              </w:tabs>
              <w:spacing w:after="0" w:line="301" w:lineRule="exact"/>
              <w:jc w:val="right"/>
              <w:outlineLvl w:val="0"/>
              <w:rPr>
                <w:rFonts w:ascii="Calibri" w:eastAsia="Times New Roman" w:hAnsi="Calibri" w:cs="Calibri"/>
                <w:color w:val="000000"/>
              </w:rPr>
            </w:pPr>
            <w:r>
              <w:rPr>
                <w:rFonts w:ascii="Calibri" w:eastAsia="Times New Roman" w:hAnsi="Calibri" w:cs="Calibri"/>
                <w:color w:val="000000"/>
              </w:rPr>
              <w:t>-</w:t>
            </w:r>
          </w:p>
        </w:tc>
        <w:tc>
          <w:tcPr>
            <w:tcW w:w="812" w:type="pct"/>
            <w:tcBorders>
              <w:top w:val="nil"/>
              <w:left w:val="nil"/>
              <w:bottom w:val="nil"/>
              <w:right w:val="nil"/>
            </w:tcBorders>
            <w:shd w:val="clear" w:color="auto" w:fill="auto"/>
            <w:vAlign w:val="bottom"/>
          </w:tcPr>
          <w:p w14:paraId="6DE5DE7D" w14:textId="3A964B55" w:rsidR="00445A47" w:rsidRPr="001F3D0F" w:rsidRDefault="00445A47" w:rsidP="00B05732">
            <w:pPr>
              <w:tabs>
                <w:tab w:val="right" w:pos="1202"/>
              </w:tabs>
              <w:spacing w:after="0" w:line="301" w:lineRule="exact"/>
              <w:jc w:val="right"/>
              <w:outlineLvl w:val="0"/>
              <w:rPr>
                <w:rFonts w:cstheme="minorHAnsi"/>
                <w:color w:val="000000" w:themeColor="text1"/>
              </w:rPr>
            </w:pPr>
            <w:r>
              <w:rPr>
                <w:rFonts w:cstheme="minorHAnsi"/>
                <w:color w:val="000000" w:themeColor="text1"/>
              </w:rPr>
              <w:t>-</w:t>
            </w:r>
          </w:p>
        </w:tc>
      </w:tr>
      <w:tr w:rsidR="00B05732" w:rsidRPr="00537128" w14:paraId="5E810912" w14:textId="77777777" w:rsidTr="004A7E72">
        <w:trPr>
          <w:trHeight w:val="301"/>
        </w:trPr>
        <w:tc>
          <w:tcPr>
            <w:tcW w:w="1749" w:type="pct"/>
            <w:hideMark/>
          </w:tcPr>
          <w:p w14:paraId="10E2B71A" w14:textId="77777777" w:rsidR="00B05732" w:rsidRPr="00537128" w:rsidRDefault="00B05732" w:rsidP="00B05732">
            <w:pPr>
              <w:spacing w:after="0" w:line="301" w:lineRule="exact"/>
              <w:outlineLvl w:val="0"/>
              <w:rPr>
                <w:rFonts w:ascii="Calibri" w:eastAsia="Times New Roman" w:hAnsi="Calibri" w:cs="Calibri"/>
                <w:lang w:val="en-US"/>
              </w:rPr>
            </w:pPr>
            <w:r w:rsidRPr="00537128">
              <w:rPr>
                <w:rFonts w:ascii="Calibri" w:eastAsia="Times New Roman" w:hAnsi="Calibri" w:cs="Calibri"/>
                <w:lang w:val="en-US"/>
              </w:rPr>
              <w:t>Leased assets</w:t>
            </w:r>
          </w:p>
        </w:tc>
        <w:tc>
          <w:tcPr>
            <w:tcW w:w="813" w:type="pct"/>
            <w:tcBorders>
              <w:top w:val="nil"/>
              <w:left w:val="nil"/>
              <w:bottom w:val="nil"/>
              <w:right w:val="nil"/>
            </w:tcBorders>
            <w:shd w:val="clear" w:color="auto" w:fill="auto"/>
            <w:vAlign w:val="bottom"/>
          </w:tcPr>
          <w:p w14:paraId="64970872" w14:textId="371589CE" w:rsidR="00B05732" w:rsidRPr="00537128" w:rsidRDefault="00B05732" w:rsidP="00B05732">
            <w:pPr>
              <w:tabs>
                <w:tab w:val="right" w:pos="1202"/>
              </w:tabs>
              <w:spacing w:after="0" w:line="301" w:lineRule="exact"/>
              <w:jc w:val="right"/>
              <w:outlineLvl w:val="0"/>
              <w:rPr>
                <w:rFonts w:ascii="Calibri" w:eastAsia="Times New Roman" w:hAnsi="Calibri" w:cs="Calibri"/>
                <w:lang w:val="en-US"/>
              </w:rPr>
            </w:pPr>
            <w:r>
              <w:rPr>
                <w:rFonts w:ascii="Calibri" w:eastAsia="Times New Roman" w:hAnsi="Calibri" w:cs="Calibri"/>
                <w:color w:val="000000"/>
              </w:rPr>
              <w:t>4</w:t>
            </w:r>
            <w:r w:rsidR="008D1831">
              <w:rPr>
                <w:rFonts w:ascii="Calibri" w:eastAsia="Times New Roman" w:hAnsi="Calibri" w:cs="Calibri"/>
                <w:color w:val="000000"/>
              </w:rPr>
              <w:t>,</w:t>
            </w:r>
            <w:r>
              <w:rPr>
                <w:rFonts w:ascii="Calibri" w:eastAsia="Times New Roman" w:hAnsi="Calibri" w:cs="Calibri"/>
                <w:color w:val="000000"/>
              </w:rPr>
              <w:t>694</w:t>
            </w:r>
          </w:p>
        </w:tc>
        <w:tc>
          <w:tcPr>
            <w:tcW w:w="813" w:type="pct"/>
            <w:tcBorders>
              <w:top w:val="nil"/>
              <w:left w:val="nil"/>
              <w:bottom w:val="nil"/>
              <w:right w:val="nil"/>
            </w:tcBorders>
            <w:shd w:val="clear" w:color="auto" w:fill="auto"/>
            <w:vAlign w:val="bottom"/>
          </w:tcPr>
          <w:p w14:paraId="112BEE39" w14:textId="6D68794C" w:rsidR="00B05732" w:rsidRPr="00537128" w:rsidRDefault="00B05732" w:rsidP="00B05732">
            <w:pPr>
              <w:tabs>
                <w:tab w:val="right" w:pos="1202"/>
              </w:tabs>
              <w:spacing w:after="0" w:line="301" w:lineRule="exact"/>
              <w:jc w:val="right"/>
              <w:outlineLvl w:val="0"/>
              <w:rPr>
                <w:rFonts w:ascii="Calibri" w:eastAsia="Times New Roman" w:hAnsi="Calibri" w:cs="Calibri"/>
                <w:lang w:val="en-US"/>
              </w:rPr>
            </w:pPr>
            <w:r w:rsidRPr="001F3D0F">
              <w:rPr>
                <w:rFonts w:cstheme="minorHAnsi"/>
                <w:color w:val="000000" w:themeColor="text1"/>
              </w:rPr>
              <w:t>801</w:t>
            </w:r>
          </w:p>
        </w:tc>
        <w:tc>
          <w:tcPr>
            <w:tcW w:w="813" w:type="pct"/>
            <w:gridSpan w:val="2"/>
            <w:tcBorders>
              <w:top w:val="nil"/>
              <w:left w:val="nil"/>
              <w:bottom w:val="nil"/>
              <w:right w:val="nil"/>
            </w:tcBorders>
            <w:shd w:val="clear" w:color="auto" w:fill="auto"/>
            <w:vAlign w:val="bottom"/>
          </w:tcPr>
          <w:p w14:paraId="5D5EB29C" w14:textId="51D6C501" w:rsidR="00B05732" w:rsidRPr="00537128" w:rsidRDefault="00B05732" w:rsidP="00B05732">
            <w:pPr>
              <w:tabs>
                <w:tab w:val="right" w:pos="1202"/>
              </w:tabs>
              <w:spacing w:after="0" w:line="301" w:lineRule="exact"/>
              <w:jc w:val="right"/>
              <w:outlineLvl w:val="0"/>
              <w:rPr>
                <w:rFonts w:ascii="Calibri" w:eastAsia="Times New Roman" w:hAnsi="Calibri" w:cs="Calibri"/>
                <w:lang w:val="en-US"/>
              </w:rPr>
            </w:pPr>
            <w:r>
              <w:rPr>
                <w:rFonts w:ascii="Calibri" w:eastAsia="Times New Roman" w:hAnsi="Calibri" w:cs="Calibri"/>
                <w:color w:val="000000"/>
              </w:rPr>
              <w:t>4</w:t>
            </w:r>
            <w:r w:rsidR="008D1831">
              <w:rPr>
                <w:rFonts w:ascii="Calibri" w:eastAsia="Times New Roman" w:hAnsi="Calibri" w:cs="Calibri"/>
                <w:color w:val="000000"/>
              </w:rPr>
              <w:t>,</w:t>
            </w:r>
            <w:r>
              <w:rPr>
                <w:rFonts w:ascii="Calibri" w:eastAsia="Times New Roman" w:hAnsi="Calibri" w:cs="Calibri"/>
                <w:color w:val="000000"/>
              </w:rPr>
              <w:t>694</w:t>
            </w:r>
          </w:p>
        </w:tc>
        <w:tc>
          <w:tcPr>
            <w:tcW w:w="812" w:type="pct"/>
            <w:tcBorders>
              <w:top w:val="nil"/>
              <w:left w:val="nil"/>
              <w:bottom w:val="nil"/>
              <w:right w:val="nil"/>
            </w:tcBorders>
            <w:shd w:val="clear" w:color="auto" w:fill="auto"/>
            <w:vAlign w:val="bottom"/>
            <w:hideMark/>
          </w:tcPr>
          <w:p w14:paraId="14F6E377" w14:textId="48E90313" w:rsidR="00B05732" w:rsidRPr="00537128" w:rsidRDefault="00B05732" w:rsidP="00B05732">
            <w:pPr>
              <w:tabs>
                <w:tab w:val="right" w:pos="1202"/>
              </w:tabs>
              <w:spacing w:after="0" w:line="301" w:lineRule="exact"/>
              <w:jc w:val="right"/>
              <w:outlineLvl w:val="0"/>
              <w:rPr>
                <w:rFonts w:ascii="Calibri" w:eastAsia="Times New Roman" w:hAnsi="Calibri" w:cs="Times New Roman"/>
                <w:color w:val="000000"/>
                <w:lang w:val="en-US"/>
              </w:rPr>
            </w:pPr>
            <w:r w:rsidRPr="001F3D0F">
              <w:rPr>
                <w:rFonts w:cstheme="minorHAnsi"/>
                <w:color w:val="000000" w:themeColor="text1"/>
              </w:rPr>
              <w:t>801</w:t>
            </w:r>
          </w:p>
        </w:tc>
      </w:tr>
      <w:tr w:rsidR="00B05732" w:rsidRPr="00537128" w14:paraId="52A04E1E" w14:textId="77777777" w:rsidTr="004A7E72">
        <w:trPr>
          <w:trHeight w:hRule="exact" w:val="265"/>
        </w:trPr>
        <w:tc>
          <w:tcPr>
            <w:tcW w:w="1749" w:type="pct"/>
            <w:vAlign w:val="bottom"/>
            <w:hideMark/>
          </w:tcPr>
          <w:p w14:paraId="1745E443" w14:textId="77777777" w:rsidR="00B05732" w:rsidRPr="00537128" w:rsidRDefault="00B05732" w:rsidP="00B05732">
            <w:pPr>
              <w:spacing w:after="0" w:line="240" w:lineRule="auto"/>
              <w:outlineLvl w:val="0"/>
              <w:rPr>
                <w:rFonts w:ascii="Calibri" w:eastAsia="Times New Roman" w:hAnsi="Calibri" w:cs="Calibri"/>
                <w:lang w:val="en-US"/>
              </w:rPr>
            </w:pPr>
            <w:bookmarkStart w:id="456" w:name="_Toc4059722"/>
            <w:r w:rsidRPr="00537128">
              <w:rPr>
                <w:rFonts w:ascii="Calibri" w:eastAsia="Times New Roman" w:hAnsi="Calibri" w:cs="Calibri"/>
                <w:lang w:val="en-US"/>
              </w:rPr>
              <w:t>Other assets</w:t>
            </w:r>
            <w:bookmarkEnd w:id="456"/>
          </w:p>
        </w:tc>
        <w:tc>
          <w:tcPr>
            <w:tcW w:w="813" w:type="pct"/>
            <w:tcBorders>
              <w:top w:val="nil"/>
              <w:left w:val="nil"/>
              <w:bottom w:val="nil"/>
              <w:right w:val="nil"/>
            </w:tcBorders>
            <w:shd w:val="clear" w:color="auto" w:fill="auto"/>
            <w:vAlign w:val="bottom"/>
          </w:tcPr>
          <w:p w14:paraId="6F52A751" w14:textId="2BA269C0" w:rsidR="00B05732" w:rsidRPr="00537128" w:rsidRDefault="00B05732" w:rsidP="00B05732">
            <w:pPr>
              <w:spacing w:after="0" w:line="240" w:lineRule="auto"/>
              <w:jc w:val="right"/>
              <w:rPr>
                <w:rFonts w:ascii="Calibri" w:eastAsia="Calibri" w:hAnsi="Calibri" w:cs="Calibri"/>
                <w:color w:val="000000"/>
                <w:lang w:val="en-US"/>
              </w:rPr>
            </w:pPr>
            <w:r>
              <w:rPr>
                <w:rFonts w:ascii="Calibri" w:eastAsia="Times New Roman" w:hAnsi="Calibri" w:cs="Calibri"/>
                <w:color w:val="000000"/>
              </w:rPr>
              <w:t>3</w:t>
            </w:r>
            <w:r w:rsidR="008D1831">
              <w:rPr>
                <w:rFonts w:ascii="Calibri" w:eastAsia="Times New Roman" w:hAnsi="Calibri" w:cs="Calibri"/>
                <w:color w:val="000000"/>
              </w:rPr>
              <w:t>,</w:t>
            </w:r>
            <w:r>
              <w:rPr>
                <w:rFonts w:ascii="Calibri" w:eastAsia="Times New Roman" w:hAnsi="Calibri" w:cs="Calibri"/>
                <w:color w:val="000000"/>
              </w:rPr>
              <w:t>100</w:t>
            </w:r>
          </w:p>
        </w:tc>
        <w:tc>
          <w:tcPr>
            <w:tcW w:w="813" w:type="pct"/>
            <w:tcBorders>
              <w:top w:val="nil"/>
              <w:left w:val="nil"/>
              <w:bottom w:val="nil"/>
              <w:right w:val="nil"/>
            </w:tcBorders>
            <w:shd w:val="clear" w:color="auto" w:fill="auto"/>
            <w:vAlign w:val="bottom"/>
          </w:tcPr>
          <w:p w14:paraId="50E9CB7B" w14:textId="600EA241" w:rsidR="00B05732" w:rsidRPr="00537128" w:rsidRDefault="00B05732" w:rsidP="00B05732">
            <w:pPr>
              <w:tabs>
                <w:tab w:val="right" w:pos="1202"/>
              </w:tabs>
              <w:spacing w:after="0" w:line="240" w:lineRule="auto"/>
              <w:jc w:val="right"/>
              <w:outlineLvl w:val="0"/>
              <w:rPr>
                <w:rFonts w:ascii="Calibri" w:eastAsia="Times New Roman" w:hAnsi="Calibri" w:cs="Calibri"/>
                <w:lang w:val="en-US"/>
              </w:rPr>
            </w:pPr>
            <w:r w:rsidRPr="001F3D0F">
              <w:rPr>
                <w:rFonts w:cstheme="minorHAnsi"/>
                <w:color w:val="000000" w:themeColor="text1"/>
              </w:rPr>
              <w:t>3</w:t>
            </w:r>
            <w:r>
              <w:rPr>
                <w:rFonts w:cstheme="minorHAnsi"/>
                <w:color w:val="000000" w:themeColor="text1"/>
              </w:rPr>
              <w:t>,</w:t>
            </w:r>
            <w:r w:rsidRPr="001F3D0F">
              <w:rPr>
                <w:rFonts w:cstheme="minorHAnsi"/>
                <w:color w:val="000000" w:themeColor="text1"/>
              </w:rPr>
              <w:t>158</w:t>
            </w:r>
          </w:p>
        </w:tc>
        <w:tc>
          <w:tcPr>
            <w:tcW w:w="813" w:type="pct"/>
            <w:gridSpan w:val="2"/>
            <w:tcBorders>
              <w:top w:val="nil"/>
              <w:left w:val="nil"/>
              <w:bottom w:val="nil"/>
              <w:right w:val="nil"/>
            </w:tcBorders>
            <w:shd w:val="clear" w:color="auto" w:fill="auto"/>
            <w:vAlign w:val="bottom"/>
          </w:tcPr>
          <w:p w14:paraId="34300DAB" w14:textId="2561C380" w:rsidR="00B05732" w:rsidRPr="00537128" w:rsidRDefault="00B05732" w:rsidP="00B05732">
            <w:pPr>
              <w:tabs>
                <w:tab w:val="right" w:pos="1202"/>
              </w:tabs>
              <w:spacing w:after="0" w:line="240" w:lineRule="auto"/>
              <w:jc w:val="right"/>
              <w:outlineLvl w:val="0"/>
              <w:rPr>
                <w:rFonts w:ascii="Calibri" w:eastAsia="Times New Roman" w:hAnsi="Calibri" w:cs="Calibri"/>
                <w:lang w:val="en-US"/>
              </w:rPr>
            </w:pPr>
            <w:r>
              <w:rPr>
                <w:rFonts w:ascii="Calibri" w:eastAsia="Times New Roman" w:hAnsi="Calibri" w:cs="Calibri"/>
                <w:color w:val="000000"/>
              </w:rPr>
              <w:t>3</w:t>
            </w:r>
            <w:r w:rsidR="008D1831">
              <w:rPr>
                <w:rFonts w:ascii="Calibri" w:eastAsia="Times New Roman" w:hAnsi="Calibri" w:cs="Calibri"/>
                <w:color w:val="000000"/>
              </w:rPr>
              <w:t>,</w:t>
            </w:r>
            <w:r>
              <w:rPr>
                <w:rFonts w:ascii="Calibri" w:eastAsia="Times New Roman" w:hAnsi="Calibri" w:cs="Calibri"/>
                <w:color w:val="000000"/>
              </w:rPr>
              <w:t>018</w:t>
            </w:r>
          </w:p>
        </w:tc>
        <w:tc>
          <w:tcPr>
            <w:tcW w:w="812" w:type="pct"/>
            <w:tcBorders>
              <w:top w:val="nil"/>
              <w:left w:val="nil"/>
              <w:bottom w:val="nil"/>
              <w:right w:val="nil"/>
            </w:tcBorders>
            <w:shd w:val="clear" w:color="auto" w:fill="auto"/>
            <w:vAlign w:val="bottom"/>
            <w:hideMark/>
          </w:tcPr>
          <w:p w14:paraId="328926BF" w14:textId="67B6D410" w:rsidR="00B05732" w:rsidRPr="00537128" w:rsidRDefault="00B05732" w:rsidP="00B05732">
            <w:pPr>
              <w:tabs>
                <w:tab w:val="right" w:pos="1202"/>
              </w:tabs>
              <w:spacing w:after="0" w:line="240" w:lineRule="auto"/>
              <w:jc w:val="right"/>
              <w:outlineLvl w:val="0"/>
              <w:rPr>
                <w:rFonts w:ascii="Calibri" w:eastAsia="Times New Roman" w:hAnsi="Calibri" w:cs="Calibri"/>
                <w:lang w:val="en-US"/>
              </w:rPr>
            </w:pPr>
            <w:r w:rsidRPr="001F3D0F">
              <w:rPr>
                <w:rFonts w:cstheme="minorHAnsi"/>
                <w:color w:val="000000" w:themeColor="text1"/>
              </w:rPr>
              <w:t>3</w:t>
            </w:r>
            <w:r>
              <w:rPr>
                <w:rFonts w:cstheme="minorHAnsi"/>
                <w:color w:val="000000" w:themeColor="text1"/>
              </w:rPr>
              <w:t>,</w:t>
            </w:r>
            <w:r w:rsidRPr="001F3D0F">
              <w:rPr>
                <w:rFonts w:cstheme="minorHAnsi"/>
                <w:color w:val="000000" w:themeColor="text1"/>
              </w:rPr>
              <w:t>055</w:t>
            </w:r>
          </w:p>
        </w:tc>
      </w:tr>
      <w:tr w:rsidR="00B05732" w:rsidRPr="00537128" w14:paraId="5D82E536" w14:textId="77777777" w:rsidTr="004A7E72">
        <w:trPr>
          <w:trHeight w:val="63"/>
        </w:trPr>
        <w:tc>
          <w:tcPr>
            <w:tcW w:w="1749" w:type="pct"/>
          </w:tcPr>
          <w:p w14:paraId="6AE1C1D8" w14:textId="77777777" w:rsidR="00B05732" w:rsidRPr="00537128" w:rsidRDefault="00B05732" w:rsidP="00B05732">
            <w:pPr>
              <w:tabs>
                <w:tab w:val="right" w:pos="1202"/>
              </w:tabs>
              <w:spacing w:after="0" w:line="340" w:lineRule="exact"/>
              <w:outlineLvl w:val="0"/>
              <w:rPr>
                <w:rFonts w:ascii="Calibri" w:eastAsia="Times New Roman" w:hAnsi="Calibri" w:cs="Calibri"/>
                <w:lang w:val="en-US"/>
              </w:rPr>
            </w:pPr>
          </w:p>
        </w:tc>
        <w:tc>
          <w:tcPr>
            <w:tcW w:w="813" w:type="pct"/>
            <w:tcBorders>
              <w:top w:val="single" w:sz="4" w:space="0" w:color="auto"/>
              <w:bottom w:val="single" w:sz="4" w:space="0" w:color="auto"/>
            </w:tcBorders>
            <w:vAlign w:val="bottom"/>
          </w:tcPr>
          <w:p w14:paraId="71D6595A" w14:textId="3530DD21" w:rsidR="00B05732" w:rsidRPr="00537128" w:rsidRDefault="00B05732" w:rsidP="00B05732">
            <w:pPr>
              <w:tabs>
                <w:tab w:val="right" w:pos="1202"/>
              </w:tabs>
              <w:spacing w:after="0" w:line="340" w:lineRule="exact"/>
              <w:jc w:val="right"/>
              <w:outlineLvl w:val="0"/>
              <w:rPr>
                <w:rFonts w:ascii="Calibri" w:eastAsia="Times New Roman" w:hAnsi="Calibri" w:cs="Calibri"/>
                <w:bCs/>
                <w:lang w:val="en-US"/>
              </w:rPr>
            </w:pPr>
            <w:r>
              <w:rPr>
                <w:rFonts w:ascii="Calibri" w:eastAsia="Times New Roman" w:hAnsi="Calibri" w:cs="Calibri"/>
                <w:bCs/>
                <w:color w:val="000000"/>
              </w:rPr>
              <w:t>76</w:t>
            </w:r>
            <w:r w:rsidR="008D1831">
              <w:rPr>
                <w:rFonts w:ascii="Calibri" w:eastAsia="Times New Roman" w:hAnsi="Calibri" w:cs="Calibri"/>
                <w:bCs/>
                <w:color w:val="000000"/>
              </w:rPr>
              <w:t>,</w:t>
            </w:r>
            <w:r>
              <w:rPr>
                <w:rFonts w:ascii="Calibri" w:eastAsia="Times New Roman" w:hAnsi="Calibri" w:cs="Calibri"/>
                <w:bCs/>
                <w:color w:val="000000"/>
              </w:rPr>
              <w:t>974</w:t>
            </w:r>
          </w:p>
        </w:tc>
        <w:tc>
          <w:tcPr>
            <w:tcW w:w="813" w:type="pct"/>
            <w:tcBorders>
              <w:top w:val="single" w:sz="4" w:space="0" w:color="auto"/>
              <w:bottom w:val="single" w:sz="4" w:space="0" w:color="auto"/>
            </w:tcBorders>
            <w:vAlign w:val="bottom"/>
          </w:tcPr>
          <w:p w14:paraId="472EC276" w14:textId="4CD17906" w:rsidR="00B05732" w:rsidRPr="00537128" w:rsidRDefault="00B05732" w:rsidP="00B05732">
            <w:pPr>
              <w:tabs>
                <w:tab w:val="right" w:pos="1202"/>
              </w:tabs>
              <w:spacing w:after="0" w:line="340" w:lineRule="exact"/>
              <w:jc w:val="right"/>
              <w:outlineLvl w:val="0"/>
              <w:rPr>
                <w:rFonts w:ascii="Calibri" w:eastAsia="Times New Roman" w:hAnsi="Calibri" w:cs="Calibri"/>
                <w:bCs/>
                <w:lang w:val="en-US"/>
              </w:rPr>
            </w:pPr>
            <w:r w:rsidRPr="001F3D0F">
              <w:rPr>
                <w:rFonts w:cstheme="minorHAnsi"/>
                <w:bCs/>
                <w:color w:val="000000" w:themeColor="text1"/>
              </w:rPr>
              <w:t>69</w:t>
            </w:r>
            <w:r>
              <w:rPr>
                <w:rFonts w:cstheme="minorHAnsi"/>
                <w:bCs/>
                <w:color w:val="000000" w:themeColor="text1"/>
              </w:rPr>
              <w:t>,</w:t>
            </w:r>
            <w:r w:rsidRPr="001F3D0F">
              <w:rPr>
                <w:rFonts w:cstheme="minorHAnsi"/>
                <w:bCs/>
                <w:color w:val="000000" w:themeColor="text1"/>
              </w:rPr>
              <w:t>388</w:t>
            </w:r>
          </w:p>
        </w:tc>
        <w:tc>
          <w:tcPr>
            <w:tcW w:w="813" w:type="pct"/>
            <w:gridSpan w:val="2"/>
            <w:tcBorders>
              <w:top w:val="single" w:sz="4" w:space="0" w:color="auto"/>
              <w:bottom w:val="single" w:sz="4" w:space="0" w:color="auto"/>
            </w:tcBorders>
            <w:vAlign w:val="bottom"/>
          </w:tcPr>
          <w:p w14:paraId="67E710F1" w14:textId="4F6B4DC1" w:rsidR="00B05732" w:rsidRPr="00537128" w:rsidRDefault="00B05732" w:rsidP="00B05732">
            <w:pPr>
              <w:tabs>
                <w:tab w:val="right" w:pos="1202"/>
              </w:tabs>
              <w:spacing w:after="0" w:line="340" w:lineRule="exact"/>
              <w:jc w:val="right"/>
              <w:outlineLvl w:val="0"/>
              <w:rPr>
                <w:rFonts w:ascii="Calibri" w:eastAsia="Times New Roman" w:hAnsi="Calibri" w:cs="Calibri"/>
                <w:bCs/>
                <w:lang w:val="en-US"/>
              </w:rPr>
            </w:pPr>
            <w:r>
              <w:rPr>
                <w:rFonts w:ascii="Calibri" w:eastAsia="Times New Roman" w:hAnsi="Calibri" w:cs="Calibri"/>
                <w:bCs/>
                <w:color w:val="000000"/>
              </w:rPr>
              <w:t>72</w:t>
            </w:r>
            <w:r w:rsidR="008D1831">
              <w:rPr>
                <w:rFonts w:ascii="Calibri" w:eastAsia="Times New Roman" w:hAnsi="Calibri" w:cs="Calibri"/>
                <w:bCs/>
                <w:color w:val="000000"/>
              </w:rPr>
              <w:t>,</w:t>
            </w:r>
            <w:r>
              <w:rPr>
                <w:rFonts w:ascii="Calibri" w:eastAsia="Times New Roman" w:hAnsi="Calibri" w:cs="Calibri"/>
                <w:bCs/>
                <w:color w:val="000000"/>
              </w:rPr>
              <w:t>721</w:t>
            </w:r>
          </w:p>
        </w:tc>
        <w:tc>
          <w:tcPr>
            <w:tcW w:w="812" w:type="pct"/>
            <w:tcBorders>
              <w:top w:val="single" w:sz="4" w:space="0" w:color="auto"/>
              <w:bottom w:val="single" w:sz="4" w:space="0" w:color="auto"/>
            </w:tcBorders>
            <w:vAlign w:val="bottom"/>
            <w:hideMark/>
          </w:tcPr>
          <w:p w14:paraId="2681D2DB" w14:textId="36A15AC4" w:rsidR="00B05732" w:rsidRPr="00537128" w:rsidRDefault="00B05732" w:rsidP="00B05732">
            <w:pPr>
              <w:tabs>
                <w:tab w:val="right" w:pos="1202"/>
              </w:tabs>
              <w:spacing w:after="0" w:line="340" w:lineRule="exact"/>
              <w:jc w:val="right"/>
              <w:outlineLvl w:val="0"/>
              <w:rPr>
                <w:rFonts w:ascii="Calibri" w:eastAsia="Times New Roman" w:hAnsi="Calibri" w:cs="Calibri"/>
                <w:bCs/>
                <w:lang w:val="en-US"/>
              </w:rPr>
            </w:pPr>
            <w:r w:rsidRPr="001F3D0F">
              <w:rPr>
                <w:rFonts w:cstheme="minorHAnsi"/>
                <w:bCs/>
                <w:color w:val="000000" w:themeColor="text1"/>
              </w:rPr>
              <w:t>66</w:t>
            </w:r>
            <w:r>
              <w:rPr>
                <w:rFonts w:cstheme="minorHAnsi"/>
                <w:bCs/>
                <w:color w:val="000000" w:themeColor="text1"/>
              </w:rPr>
              <w:t>,</w:t>
            </w:r>
            <w:r w:rsidRPr="001F3D0F">
              <w:rPr>
                <w:rFonts w:cstheme="minorHAnsi"/>
                <w:bCs/>
                <w:color w:val="000000" w:themeColor="text1"/>
              </w:rPr>
              <w:t>191</w:t>
            </w:r>
          </w:p>
        </w:tc>
      </w:tr>
      <w:tr w:rsidR="00B05732" w:rsidRPr="00537128" w14:paraId="77D77101" w14:textId="77777777" w:rsidTr="004A7E72">
        <w:trPr>
          <w:trHeight w:val="301"/>
        </w:trPr>
        <w:tc>
          <w:tcPr>
            <w:tcW w:w="1749" w:type="pct"/>
            <w:hideMark/>
          </w:tcPr>
          <w:p w14:paraId="01A037AA" w14:textId="77777777" w:rsidR="00B05732" w:rsidRPr="00537128" w:rsidRDefault="00B05732" w:rsidP="00B05732">
            <w:pPr>
              <w:tabs>
                <w:tab w:val="right" w:pos="1202"/>
              </w:tabs>
              <w:spacing w:after="0" w:line="301" w:lineRule="exact"/>
              <w:outlineLvl w:val="0"/>
              <w:rPr>
                <w:rFonts w:ascii="Calibri" w:eastAsia="Times New Roman" w:hAnsi="Calibri" w:cs="Calibri"/>
                <w:lang w:val="en-US"/>
              </w:rPr>
            </w:pPr>
            <w:bookmarkStart w:id="457" w:name="_Toc4059730"/>
            <w:r w:rsidRPr="00537128">
              <w:rPr>
                <w:rFonts w:ascii="Calibri" w:eastAsia="Times New Roman" w:hAnsi="Calibri" w:cs="Calibri"/>
                <w:lang w:val="en-US"/>
              </w:rPr>
              <w:t>Loss allowances</w:t>
            </w:r>
            <w:bookmarkEnd w:id="457"/>
          </w:p>
        </w:tc>
        <w:tc>
          <w:tcPr>
            <w:tcW w:w="813" w:type="pct"/>
            <w:tcBorders>
              <w:bottom w:val="single" w:sz="4" w:space="0" w:color="auto"/>
            </w:tcBorders>
            <w:vAlign w:val="bottom"/>
          </w:tcPr>
          <w:p w14:paraId="7A842F93" w14:textId="341E9805" w:rsidR="00B05732" w:rsidRPr="00537128" w:rsidRDefault="00B05732" w:rsidP="00B05732">
            <w:pPr>
              <w:tabs>
                <w:tab w:val="center" w:pos="520"/>
                <w:tab w:val="right" w:pos="1041"/>
                <w:tab w:val="right" w:pos="1202"/>
              </w:tabs>
              <w:spacing w:after="0" w:line="301" w:lineRule="exact"/>
              <w:jc w:val="right"/>
              <w:outlineLvl w:val="0"/>
              <w:rPr>
                <w:rFonts w:ascii="Calibri" w:eastAsia="Times New Roman" w:hAnsi="Calibri" w:cs="Calibri"/>
                <w:lang w:val="en-US"/>
              </w:rPr>
            </w:pPr>
            <w:r>
              <w:rPr>
                <w:rFonts w:ascii="Calibri" w:eastAsia="Times New Roman" w:hAnsi="Calibri" w:cs="Calibri"/>
                <w:color w:val="000000"/>
              </w:rPr>
              <w:t>(33</w:t>
            </w:r>
            <w:r w:rsidR="008D1831">
              <w:rPr>
                <w:rFonts w:ascii="Calibri" w:eastAsia="Times New Roman" w:hAnsi="Calibri" w:cs="Calibri"/>
                <w:color w:val="000000"/>
              </w:rPr>
              <w:t>,</w:t>
            </w:r>
            <w:r>
              <w:rPr>
                <w:rFonts w:ascii="Calibri" w:eastAsia="Times New Roman" w:hAnsi="Calibri" w:cs="Calibri"/>
                <w:color w:val="000000"/>
              </w:rPr>
              <w:t>975)</w:t>
            </w:r>
          </w:p>
        </w:tc>
        <w:tc>
          <w:tcPr>
            <w:tcW w:w="813" w:type="pct"/>
            <w:tcBorders>
              <w:bottom w:val="single" w:sz="4" w:space="0" w:color="auto"/>
            </w:tcBorders>
            <w:vAlign w:val="bottom"/>
          </w:tcPr>
          <w:p w14:paraId="3C220ACC" w14:textId="67339FB8" w:rsidR="00B05732" w:rsidRPr="00537128" w:rsidRDefault="00B05732" w:rsidP="00B05732">
            <w:pPr>
              <w:tabs>
                <w:tab w:val="right" w:pos="1202"/>
              </w:tabs>
              <w:spacing w:after="0" w:line="301" w:lineRule="exact"/>
              <w:jc w:val="right"/>
              <w:outlineLvl w:val="0"/>
              <w:rPr>
                <w:rFonts w:ascii="Calibri" w:eastAsia="Times New Roman" w:hAnsi="Calibri" w:cs="Calibri"/>
                <w:lang w:val="en-US"/>
              </w:rPr>
            </w:pPr>
            <w:r w:rsidRPr="001F3D0F">
              <w:rPr>
                <w:rFonts w:cstheme="minorHAnsi"/>
                <w:color w:val="000000" w:themeColor="text1"/>
              </w:rPr>
              <w:t>(31</w:t>
            </w:r>
            <w:r>
              <w:rPr>
                <w:rFonts w:cstheme="minorHAnsi"/>
                <w:color w:val="000000" w:themeColor="text1"/>
              </w:rPr>
              <w:t>,</w:t>
            </w:r>
            <w:r w:rsidRPr="001F3D0F">
              <w:rPr>
                <w:rFonts w:cstheme="minorHAnsi"/>
                <w:color w:val="000000" w:themeColor="text1"/>
              </w:rPr>
              <w:t>851)</w:t>
            </w:r>
          </w:p>
        </w:tc>
        <w:tc>
          <w:tcPr>
            <w:tcW w:w="813" w:type="pct"/>
            <w:gridSpan w:val="2"/>
            <w:tcBorders>
              <w:bottom w:val="single" w:sz="4" w:space="0" w:color="auto"/>
            </w:tcBorders>
            <w:vAlign w:val="bottom"/>
          </w:tcPr>
          <w:p w14:paraId="010504D0" w14:textId="5AE50FEA" w:rsidR="00B05732" w:rsidRPr="00537128" w:rsidRDefault="00B05732" w:rsidP="00B05732">
            <w:pPr>
              <w:tabs>
                <w:tab w:val="right" w:pos="1202"/>
              </w:tabs>
              <w:spacing w:after="0" w:line="301" w:lineRule="exact"/>
              <w:jc w:val="right"/>
              <w:outlineLvl w:val="0"/>
              <w:rPr>
                <w:rFonts w:ascii="Calibri" w:eastAsia="Times New Roman" w:hAnsi="Calibri" w:cs="Calibri"/>
                <w:lang w:val="en-US"/>
              </w:rPr>
            </w:pPr>
            <w:r>
              <w:rPr>
                <w:rFonts w:ascii="Calibri" w:eastAsia="Times New Roman" w:hAnsi="Calibri" w:cs="Calibri"/>
                <w:color w:val="000000"/>
              </w:rPr>
              <w:t>(33</w:t>
            </w:r>
            <w:r w:rsidR="008D1831">
              <w:rPr>
                <w:rFonts w:ascii="Calibri" w:eastAsia="Times New Roman" w:hAnsi="Calibri" w:cs="Calibri"/>
                <w:color w:val="000000"/>
              </w:rPr>
              <w:t>,</w:t>
            </w:r>
            <w:r>
              <w:rPr>
                <w:rFonts w:ascii="Calibri" w:eastAsia="Times New Roman" w:hAnsi="Calibri" w:cs="Calibri"/>
                <w:color w:val="000000"/>
              </w:rPr>
              <w:t>764)</w:t>
            </w:r>
          </w:p>
        </w:tc>
        <w:tc>
          <w:tcPr>
            <w:tcW w:w="812" w:type="pct"/>
            <w:tcBorders>
              <w:bottom w:val="single" w:sz="4" w:space="0" w:color="auto"/>
            </w:tcBorders>
            <w:vAlign w:val="bottom"/>
            <w:hideMark/>
          </w:tcPr>
          <w:p w14:paraId="389644BA" w14:textId="40B47C9F" w:rsidR="00B05732" w:rsidRPr="00537128" w:rsidRDefault="00B05732" w:rsidP="00B05732">
            <w:pPr>
              <w:tabs>
                <w:tab w:val="right" w:pos="1202"/>
              </w:tabs>
              <w:spacing w:after="0" w:line="301" w:lineRule="exact"/>
              <w:jc w:val="right"/>
              <w:outlineLvl w:val="0"/>
              <w:rPr>
                <w:rFonts w:ascii="Calibri" w:eastAsia="Times New Roman" w:hAnsi="Calibri" w:cs="Calibri"/>
                <w:lang w:val="en-US"/>
              </w:rPr>
            </w:pPr>
            <w:r w:rsidRPr="001F3D0F">
              <w:rPr>
                <w:rFonts w:cstheme="minorHAnsi"/>
                <w:color w:val="000000" w:themeColor="text1"/>
              </w:rPr>
              <w:t>(31</w:t>
            </w:r>
            <w:r>
              <w:rPr>
                <w:rFonts w:cstheme="minorHAnsi"/>
                <w:color w:val="000000" w:themeColor="text1"/>
              </w:rPr>
              <w:t>,</w:t>
            </w:r>
            <w:r w:rsidRPr="001F3D0F">
              <w:rPr>
                <w:rFonts w:cstheme="minorHAnsi"/>
                <w:color w:val="000000" w:themeColor="text1"/>
              </w:rPr>
              <w:t>697)</w:t>
            </w:r>
          </w:p>
        </w:tc>
      </w:tr>
      <w:tr w:rsidR="00B05732" w:rsidRPr="00537128" w14:paraId="4BF1E2F8" w14:textId="77777777" w:rsidTr="004A7E72">
        <w:trPr>
          <w:trHeight w:val="452"/>
        </w:trPr>
        <w:tc>
          <w:tcPr>
            <w:tcW w:w="1749" w:type="pct"/>
            <w:vAlign w:val="bottom"/>
          </w:tcPr>
          <w:p w14:paraId="1F172C13" w14:textId="77777777" w:rsidR="00B05732" w:rsidRPr="00537128" w:rsidRDefault="00B05732" w:rsidP="00B05732">
            <w:pPr>
              <w:tabs>
                <w:tab w:val="right" w:pos="1202"/>
              </w:tabs>
              <w:spacing w:after="0" w:line="240" w:lineRule="auto"/>
              <w:outlineLvl w:val="0"/>
              <w:rPr>
                <w:rFonts w:ascii="Calibri" w:eastAsia="Times New Roman" w:hAnsi="Calibri" w:cs="Calibri"/>
                <w:b/>
                <w:bCs/>
                <w:lang w:val="en-US"/>
              </w:rPr>
            </w:pPr>
          </w:p>
        </w:tc>
        <w:tc>
          <w:tcPr>
            <w:tcW w:w="813" w:type="pct"/>
            <w:tcBorders>
              <w:top w:val="single" w:sz="4" w:space="0" w:color="auto"/>
              <w:bottom w:val="single" w:sz="12" w:space="0" w:color="auto"/>
            </w:tcBorders>
            <w:vAlign w:val="bottom"/>
          </w:tcPr>
          <w:p w14:paraId="5702A05B" w14:textId="439EDB1B" w:rsidR="00B05732" w:rsidRPr="00537128" w:rsidRDefault="00B05732" w:rsidP="00B05732">
            <w:pPr>
              <w:tabs>
                <w:tab w:val="right" w:pos="1202"/>
              </w:tabs>
              <w:spacing w:after="0" w:line="340" w:lineRule="exact"/>
              <w:jc w:val="right"/>
              <w:outlineLvl w:val="0"/>
              <w:rPr>
                <w:rFonts w:ascii="Calibri" w:eastAsia="Times New Roman" w:hAnsi="Calibri" w:cs="Calibri"/>
                <w:b/>
                <w:bCs/>
                <w:lang w:val="en-US"/>
              </w:rPr>
            </w:pPr>
            <w:r>
              <w:rPr>
                <w:rFonts w:ascii="Calibri" w:eastAsia="Times New Roman" w:hAnsi="Calibri" w:cs="Calibri"/>
                <w:b/>
                <w:bCs/>
                <w:color w:val="000000"/>
              </w:rPr>
              <w:t>42</w:t>
            </w:r>
            <w:r w:rsidR="008D1831">
              <w:rPr>
                <w:rFonts w:ascii="Calibri" w:eastAsia="Times New Roman" w:hAnsi="Calibri" w:cs="Calibri"/>
                <w:b/>
                <w:bCs/>
                <w:color w:val="000000"/>
              </w:rPr>
              <w:t>,</w:t>
            </w:r>
            <w:r>
              <w:rPr>
                <w:rFonts w:ascii="Calibri" w:eastAsia="Times New Roman" w:hAnsi="Calibri" w:cs="Calibri"/>
                <w:b/>
                <w:bCs/>
                <w:color w:val="000000"/>
              </w:rPr>
              <w:t>999</w:t>
            </w:r>
          </w:p>
        </w:tc>
        <w:tc>
          <w:tcPr>
            <w:tcW w:w="813" w:type="pct"/>
            <w:tcBorders>
              <w:top w:val="single" w:sz="4" w:space="0" w:color="auto"/>
              <w:bottom w:val="single" w:sz="12" w:space="0" w:color="auto"/>
            </w:tcBorders>
            <w:vAlign w:val="bottom"/>
          </w:tcPr>
          <w:p w14:paraId="1ACE9987" w14:textId="7ABC56BC" w:rsidR="00B05732" w:rsidRPr="00537128" w:rsidRDefault="00B05732" w:rsidP="00B05732">
            <w:pPr>
              <w:tabs>
                <w:tab w:val="right" w:pos="1202"/>
              </w:tabs>
              <w:spacing w:after="0" w:line="340" w:lineRule="exact"/>
              <w:jc w:val="right"/>
              <w:outlineLvl w:val="0"/>
              <w:rPr>
                <w:rFonts w:ascii="Calibri" w:eastAsia="Times New Roman" w:hAnsi="Calibri" w:cs="Calibri"/>
                <w:b/>
                <w:bCs/>
                <w:lang w:val="en-US"/>
              </w:rPr>
            </w:pPr>
            <w:r w:rsidRPr="001F3D0F">
              <w:rPr>
                <w:rFonts w:cstheme="minorHAnsi"/>
                <w:b/>
                <w:bCs/>
                <w:color w:val="000000" w:themeColor="text1"/>
              </w:rPr>
              <w:t>37</w:t>
            </w:r>
            <w:r>
              <w:rPr>
                <w:rFonts w:cstheme="minorHAnsi"/>
                <w:b/>
                <w:bCs/>
                <w:color w:val="000000" w:themeColor="text1"/>
              </w:rPr>
              <w:t>,</w:t>
            </w:r>
            <w:r w:rsidRPr="001F3D0F">
              <w:rPr>
                <w:rFonts w:cstheme="minorHAnsi"/>
                <w:b/>
                <w:bCs/>
                <w:color w:val="000000" w:themeColor="text1"/>
              </w:rPr>
              <w:t>537</w:t>
            </w:r>
          </w:p>
        </w:tc>
        <w:tc>
          <w:tcPr>
            <w:tcW w:w="813" w:type="pct"/>
            <w:gridSpan w:val="2"/>
            <w:tcBorders>
              <w:top w:val="single" w:sz="4" w:space="0" w:color="auto"/>
              <w:bottom w:val="single" w:sz="12" w:space="0" w:color="auto"/>
            </w:tcBorders>
            <w:vAlign w:val="bottom"/>
          </w:tcPr>
          <w:p w14:paraId="02E49B0D" w14:textId="389E3FBC" w:rsidR="00B05732" w:rsidRPr="00537128" w:rsidRDefault="00B05732" w:rsidP="00B05732">
            <w:pPr>
              <w:tabs>
                <w:tab w:val="right" w:pos="1202"/>
              </w:tabs>
              <w:spacing w:after="0" w:line="340" w:lineRule="exact"/>
              <w:jc w:val="right"/>
              <w:outlineLvl w:val="0"/>
              <w:rPr>
                <w:rFonts w:ascii="Calibri" w:eastAsia="Times New Roman" w:hAnsi="Calibri" w:cs="Calibri"/>
                <w:b/>
                <w:bCs/>
                <w:lang w:val="en-US"/>
              </w:rPr>
            </w:pPr>
            <w:r>
              <w:rPr>
                <w:rFonts w:ascii="Calibri" w:eastAsia="Times New Roman" w:hAnsi="Calibri" w:cs="Calibri"/>
                <w:b/>
                <w:bCs/>
                <w:color w:val="000000"/>
              </w:rPr>
              <w:t>38</w:t>
            </w:r>
            <w:r w:rsidR="008D1831">
              <w:rPr>
                <w:rFonts w:ascii="Calibri" w:eastAsia="Times New Roman" w:hAnsi="Calibri" w:cs="Calibri"/>
                <w:b/>
                <w:bCs/>
                <w:color w:val="000000"/>
              </w:rPr>
              <w:t>,</w:t>
            </w:r>
            <w:r>
              <w:rPr>
                <w:rFonts w:ascii="Calibri" w:eastAsia="Times New Roman" w:hAnsi="Calibri" w:cs="Calibri"/>
                <w:b/>
                <w:bCs/>
                <w:color w:val="000000"/>
              </w:rPr>
              <w:t>957</w:t>
            </w:r>
          </w:p>
        </w:tc>
        <w:tc>
          <w:tcPr>
            <w:tcW w:w="812" w:type="pct"/>
            <w:tcBorders>
              <w:top w:val="single" w:sz="4" w:space="0" w:color="auto"/>
              <w:bottom w:val="single" w:sz="12" w:space="0" w:color="auto"/>
            </w:tcBorders>
            <w:vAlign w:val="bottom"/>
            <w:hideMark/>
          </w:tcPr>
          <w:p w14:paraId="171CEE62" w14:textId="27A191C5" w:rsidR="00B05732" w:rsidRPr="00537128" w:rsidRDefault="00B05732" w:rsidP="00B05732">
            <w:pPr>
              <w:tabs>
                <w:tab w:val="right" w:pos="1202"/>
              </w:tabs>
              <w:spacing w:after="0" w:line="340" w:lineRule="exact"/>
              <w:jc w:val="right"/>
              <w:outlineLvl w:val="0"/>
              <w:rPr>
                <w:rFonts w:ascii="Calibri" w:eastAsia="Times New Roman" w:hAnsi="Calibri" w:cs="Calibri"/>
                <w:b/>
                <w:bCs/>
                <w:lang w:val="en-US"/>
              </w:rPr>
            </w:pPr>
            <w:r w:rsidRPr="001F3D0F">
              <w:rPr>
                <w:rFonts w:cstheme="minorHAnsi"/>
                <w:b/>
                <w:bCs/>
                <w:color w:val="000000" w:themeColor="text1"/>
              </w:rPr>
              <w:t>34</w:t>
            </w:r>
            <w:r>
              <w:rPr>
                <w:rFonts w:cstheme="minorHAnsi"/>
                <w:b/>
                <w:bCs/>
                <w:color w:val="000000" w:themeColor="text1"/>
              </w:rPr>
              <w:t>,</w:t>
            </w:r>
            <w:r w:rsidRPr="001F3D0F">
              <w:rPr>
                <w:rFonts w:cstheme="minorHAnsi"/>
                <w:b/>
                <w:bCs/>
                <w:color w:val="000000" w:themeColor="text1"/>
              </w:rPr>
              <w:t>494</w:t>
            </w:r>
          </w:p>
        </w:tc>
      </w:tr>
    </w:tbl>
    <w:p w14:paraId="1A82C697" w14:textId="77777777" w:rsidR="00AE3B39" w:rsidRPr="00537128" w:rsidRDefault="00AE3B39" w:rsidP="007E6E38">
      <w:pPr>
        <w:spacing w:after="0" w:line="240" w:lineRule="auto"/>
        <w:jc w:val="both"/>
        <w:rPr>
          <w:rFonts w:ascii="Calibri" w:eastAsia="Times New Roman" w:hAnsi="Calibri" w:cs="Times New Roman"/>
          <w:color w:val="000000" w:themeColor="text1"/>
          <w:sz w:val="14"/>
          <w:szCs w:val="14"/>
          <w:lang w:val="en-US"/>
        </w:rPr>
      </w:pPr>
    </w:p>
    <w:p w14:paraId="26096181" w14:textId="709D6966" w:rsidR="00AE3B39" w:rsidRPr="00537128" w:rsidRDefault="00AE3B39">
      <w:pPr>
        <w:spacing w:after="0" w:line="240" w:lineRule="auto"/>
        <w:jc w:val="both"/>
        <w:rPr>
          <w:rFonts w:ascii="Calibri" w:eastAsia="Times New Roman" w:hAnsi="Calibri" w:cs="Times New Roman"/>
          <w:color w:val="000000" w:themeColor="text1"/>
          <w:sz w:val="18"/>
          <w:szCs w:val="18"/>
          <w:lang w:val="en-US"/>
        </w:rPr>
      </w:pPr>
      <w:r w:rsidRPr="00A1123E">
        <w:rPr>
          <w:rFonts w:ascii="Calibri" w:eastAsia="Times New Roman" w:hAnsi="Calibri" w:cs="Times New Roman"/>
          <w:color w:val="000000" w:themeColor="text1"/>
          <w:lang w:val="en-US"/>
        </w:rPr>
        <w:t>Lease assets are recogni</w:t>
      </w:r>
      <w:r w:rsidR="003F2077" w:rsidRPr="00A1123E">
        <w:rPr>
          <w:rFonts w:ascii="Calibri" w:eastAsia="Times New Roman" w:hAnsi="Calibri" w:cs="Times New Roman"/>
          <w:color w:val="000000" w:themeColor="text1"/>
          <w:lang w:val="en-US"/>
        </w:rPr>
        <w:t>z</w:t>
      </w:r>
      <w:r w:rsidRPr="00A1123E">
        <w:rPr>
          <w:rFonts w:ascii="Calibri" w:eastAsia="Times New Roman" w:hAnsi="Calibri" w:cs="Times New Roman"/>
          <w:color w:val="000000" w:themeColor="text1"/>
          <w:lang w:val="en-US"/>
        </w:rPr>
        <w:t xml:space="preserve">ed in accordance with the application of the IFRS 16 and depreciation during the </w:t>
      </w:r>
      <w:r w:rsidR="003D0FB4">
        <w:rPr>
          <w:rFonts w:ascii="Calibri" w:eastAsia="Times New Roman" w:hAnsi="Calibri" w:cs="Times New Roman"/>
          <w:color w:val="000000" w:themeColor="text1"/>
          <w:lang w:val="en-US"/>
        </w:rPr>
        <w:t>reporting period</w:t>
      </w:r>
      <w:r w:rsidRPr="00A1123E">
        <w:rPr>
          <w:rFonts w:ascii="Calibri" w:eastAsia="Times New Roman" w:hAnsi="Calibri" w:cs="Times New Roman"/>
          <w:color w:val="000000" w:themeColor="text1"/>
          <w:lang w:val="en-US"/>
        </w:rPr>
        <w:t xml:space="preserve"> stood at HRK </w:t>
      </w:r>
      <w:r w:rsidR="007E520B" w:rsidRPr="007E520B">
        <w:rPr>
          <w:rFonts w:ascii="Calibri" w:eastAsia="Times New Roman" w:hAnsi="Calibri" w:cs="Times New Roman"/>
          <w:color w:val="000000" w:themeColor="text1"/>
          <w:lang w:val="en-US"/>
        </w:rPr>
        <w:t xml:space="preserve">545 </w:t>
      </w:r>
      <w:r w:rsidRPr="007E520B">
        <w:rPr>
          <w:rFonts w:ascii="Calibri" w:eastAsia="Times New Roman" w:hAnsi="Calibri" w:cs="Times New Roman"/>
          <w:color w:val="000000" w:themeColor="text1"/>
          <w:lang w:val="en-US"/>
        </w:rPr>
        <w:t>th</w:t>
      </w:r>
      <w:r w:rsidRPr="00A1123E">
        <w:rPr>
          <w:rFonts w:ascii="Calibri" w:eastAsia="Times New Roman" w:hAnsi="Calibri" w:cs="Times New Roman"/>
          <w:color w:val="000000" w:themeColor="text1"/>
          <w:lang w:val="en-US"/>
        </w:rPr>
        <w:t xml:space="preserve">ousand for the Group and HRK </w:t>
      </w:r>
      <w:r w:rsidR="00B51061">
        <w:rPr>
          <w:rFonts w:ascii="Calibri" w:eastAsia="Times New Roman" w:hAnsi="Calibri" w:cs="Times New Roman"/>
          <w:color w:val="000000" w:themeColor="text1"/>
          <w:lang w:val="en-US"/>
        </w:rPr>
        <w:t>507</w:t>
      </w:r>
      <w:r w:rsidR="00666289" w:rsidRPr="00A1123E">
        <w:rPr>
          <w:rFonts w:ascii="Calibri" w:eastAsia="Times New Roman" w:hAnsi="Calibri" w:cs="Times New Roman"/>
          <w:color w:val="000000" w:themeColor="text1"/>
          <w:lang w:val="en-US"/>
        </w:rPr>
        <w:t xml:space="preserve"> </w:t>
      </w:r>
      <w:r w:rsidRPr="00A1123E">
        <w:rPr>
          <w:rFonts w:ascii="Calibri" w:eastAsia="Times New Roman" w:hAnsi="Calibri" w:cs="Times New Roman"/>
          <w:color w:val="000000" w:themeColor="text1"/>
          <w:lang w:val="en-US"/>
        </w:rPr>
        <w:t>thousand for the Bank</w:t>
      </w:r>
      <w:r w:rsidR="008D1831">
        <w:rPr>
          <w:rFonts w:ascii="Calibri" w:eastAsia="Times New Roman" w:hAnsi="Calibri" w:cs="Times New Roman"/>
          <w:color w:val="000000" w:themeColor="text1"/>
          <w:lang w:val="en-US"/>
        </w:rPr>
        <w:t>,</w:t>
      </w:r>
    </w:p>
    <w:p w14:paraId="50EE52C0" w14:textId="77777777" w:rsidR="00DB70EE" w:rsidRPr="00537128" w:rsidRDefault="00DB70EE" w:rsidP="007E6E38">
      <w:pPr>
        <w:spacing w:after="0" w:line="240" w:lineRule="auto"/>
        <w:jc w:val="both"/>
        <w:rPr>
          <w:rFonts w:ascii="Calibri" w:eastAsia="Times New Roman" w:hAnsi="Calibri" w:cs="Times New Roman"/>
          <w:color w:val="000000" w:themeColor="text1"/>
          <w:sz w:val="18"/>
          <w:szCs w:val="18"/>
          <w:lang w:val="en-US"/>
        </w:rPr>
      </w:pPr>
    </w:p>
    <w:p w14:paraId="61E97520" w14:textId="77777777" w:rsidR="00AE3B39" w:rsidRPr="00537128" w:rsidRDefault="00AE3B39" w:rsidP="007E6E38">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The following tables sets out information about the credit quality of financial assets measured at amorti</w:t>
      </w:r>
      <w:r w:rsidR="00EE2384" w:rsidRPr="00537128">
        <w:rPr>
          <w:rFonts w:ascii="Calibri" w:eastAsia="Times New Roman" w:hAnsi="Calibri" w:cs="Times New Roman"/>
          <w:color w:val="000000" w:themeColor="text1"/>
          <w:lang w:val="en-US"/>
        </w:rPr>
        <w:t>z</w:t>
      </w:r>
      <w:r w:rsidRPr="00537128">
        <w:rPr>
          <w:rFonts w:ascii="Calibri" w:eastAsia="Times New Roman" w:hAnsi="Calibri" w:cs="Times New Roman"/>
          <w:color w:val="000000" w:themeColor="text1"/>
          <w:lang w:val="en-US"/>
        </w:rPr>
        <w:t>ed cost. The amounts in the table represent gross carrying amounts:</w:t>
      </w:r>
    </w:p>
    <w:p w14:paraId="543F439C" w14:textId="77777777" w:rsidR="00AE3B39" w:rsidRPr="00537128" w:rsidRDefault="00AE3B39" w:rsidP="007E6E38">
      <w:pPr>
        <w:spacing w:after="0" w:line="240" w:lineRule="auto"/>
        <w:jc w:val="both"/>
        <w:rPr>
          <w:rFonts w:ascii="Calibri" w:eastAsia="Times New Roman" w:hAnsi="Calibri" w:cs="Times New Roman"/>
          <w:color w:val="000000" w:themeColor="text1"/>
          <w:sz w:val="14"/>
          <w:szCs w:val="14"/>
          <w:lang w:val="en-US"/>
        </w:rPr>
      </w:pPr>
    </w:p>
    <w:tbl>
      <w:tblPr>
        <w:tblW w:w="5157" w:type="pct"/>
        <w:tblInd w:w="-142" w:type="dxa"/>
        <w:tblLook w:val="04A0" w:firstRow="1" w:lastRow="0" w:firstColumn="1" w:lastColumn="0" w:noHBand="0" w:noVBand="1"/>
      </w:tblPr>
      <w:tblGrid>
        <w:gridCol w:w="1422"/>
        <w:gridCol w:w="782"/>
        <w:gridCol w:w="782"/>
        <w:gridCol w:w="786"/>
        <w:gridCol w:w="786"/>
        <w:gridCol w:w="786"/>
        <w:gridCol w:w="786"/>
        <w:gridCol w:w="786"/>
        <w:gridCol w:w="782"/>
        <w:gridCol w:w="779"/>
        <w:gridCol w:w="880"/>
      </w:tblGrid>
      <w:tr w:rsidR="00CC5E14" w:rsidRPr="00417C24" w14:paraId="3F5940AD" w14:textId="77777777" w:rsidTr="00417C24">
        <w:trPr>
          <w:trHeight w:val="314"/>
        </w:trPr>
        <w:tc>
          <w:tcPr>
            <w:tcW w:w="760" w:type="pct"/>
            <w:vAlign w:val="bottom"/>
            <w:hideMark/>
          </w:tcPr>
          <w:p w14:paraId="08E075D4" w14:textId="531C21A8" w:rsidR="00CC5E14" w:rsidRPr="00417C24" w:rsidRDefault="00CC5E14" w:rsidP="00CC5E14">
            <w:pPr>
              <w:tabs>
                <w:tab w:val="left" w:pos="-720"/>
              </w:tabs>
              <w:suppressAutoHyphens/>
              <w:spacing w:after="0" w:line="220" w:lineRule="exact"/>
              <w:rPr>
                <w:rFonts w:ascii="Calibri" w:eastAsia="Times New Roman" w:hAnsi="Calibri" w:cs="Arial"/>
                <w:b/>
                <w:sz w:val="15"/>
                <w:szCs w:val="15"/>
                <w:lang w:val="en-US"/>
              </w:rPr>
            </w:pPr>
            <w:r w:rsidRPr="00417C24">
              <w:rPr>
                <w:rFonts w:ascii="Calibri" w:eastAsia="Times New Roman" w:hAnsi="Calibri" w:cs="Arial"/>
                <w:b/>
                <w:sz w:val="15"/>
                <w:szCs w:val="15"/>
                <w:lang w:val="en-US"/>
              </w:rPr>
              <w:t>31 March 202</w:t>
            </w:r>
            <w:r w:rsidR="006B1E14" w:rsidRPr="00417C24">
              <w:rPr>
                <w:rFonts w:ascii="Calibri" w:eastAsia="Times New Roman" w:hAnsi="Calibri" w:cs="Arial"/>
                <w:b/>
                <w:sz w:val="15"/>
                <w:szCs w:val="15"/>
                <w:lang w:val="en-US"/>
              </w:rPr>
              <w:t>2</w:t>
            </w:r>
          </w:p>
        </w:tc>
        <w:tc>
          <w:tcPr>
            <w:tcW w:w="418" w:type="pct"/>
            <w:vAlign w:val="bottom"/>
          </w:tcPr>
          <w:p w14:paraId="2614F825" w14:textId="77777777" w:rsidR="00CC5E14" w:rsidRPr="00417C24" w:rsidRDefault="00CC5E14" w:rsidP="00CC5E14">
            <w:pPr>
              <w:tabs>
                <w:tab w:val="right" w:pos="1202"/>
              </w:tabs>
              <w:spacing w:after="0" w:line="240" w:lineRule="atLeast"/>
              <w:jc w:val="right"/>
              <w:outlineLvl w:val="0"/>
              <w:rPr>
                <w:rFonts w:ascii="Calibri" w:eastAsia="Times New Roman" w:hAnsi="Calibri" w:cs="Arial"/>
                <w:b/>
                <w:sz w:val="15"/>
                <w:szCs w:val="15"/>
                <w:lang w:val="en-US"/>
              </w:rPr>
            </w:pPr>
          </w:p>
        </w:tc>
        <w:tc>
          <w:tcPr>
            <w:tcW w:w="418" w:type="pct"/>
            <w:vAlign w:val="bottom"/>
          </w:tcPr>
          <w:p w14:paraId="0D806AC7" w14:textId="77777777" w:rsidR="00CC5E14" w:rsidRPr="00417C24" w:rsidRDefault="00CC5E14" w:rsidP="00CC5E14">
            <w:pPr>
              <w:tabs>
                <w:tab w:val="right" w:pos="1202"/>
              </w:tabs>
              <w:spacing w:after="0" w:line="240" w:lineRule="atLeast"/>
              <w:jc w:val="right"/>
              <w:outlineLvl w:val="0"/>
              <w:rPr>
                <w:rFonts w:ascii="Calibri" w:eastAsia="Times New Roman" w:hAnsi="Calibri" w:cs="Arial"/>
                <w:b/>
                <w:sz w:val="15"/>
                <w:szCs w:val="15"/>
                <w:lang w:val="en-US"/>
              </w:rPr>
            </w:pPr>
          </w:p>
        </w:tc>
        <w:tc>
          <w:tcPr>
            <w:tcW w:w="420" w:type="pct"/>
            <w:vAlign w:val="bottom"/>
          </w:tcPr>
          <w:p w14:paraId="128D04C6" w14:textId="77777777" w:rsidR="00CC5E14" w:rsidRPr="00417C24"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p>
        </w:tc>
        <w:tc>
          <w:tcPr>
            <w:tcW w:w="420" w:type="pct"/>
          </w:tcPr>
          <w:p w14:paraId="46FCE769" w14:textId="77777777" w:rsidR="00CC5E14" w:rsidRPr="00417C24" w:rsidRDefault="00CC5E14" w:rsidP="00CC5E14">
            <w:pPr>
              <w:tabs>
                <w:tab w:val="right" w:pos="1202"/>
              </w:tabs>
              <w:spacing w:after="0" w:line="240" w:lineRule="atLeast"/>
              <w:jc w:val="right"/>
              <w:outlineLvl w:val="0"/>
              <w:rPr>
                <w:rFonts w:ascii="Calibri" w:eastAsia="Times New Roman" w:hAnsi="Calibri" w:cs="Arial"/>
                <w:b/>
                <w:sz w:val="15"/>
                <w:szCs w:val="15"/>
                <w:lang w:val="en-US"/>
              </w:rPr>
            </w:pPr>
          </w:p>
        </w:tc>
        <w:tc>
          <w:tcPr>
            <w:tcW w:w="420" w:type="pct"/>
            <w:vAlign w:val="bottom"/>
            <w:hideMark/>
          </w:tcPr>
          <w:p w14:paraId="6F468BEC" w14:textId="77777777" w:rsidR="00CC5E14" w:rsidRPr="00417C24" w:rsidRDefault="00CC5E14" w:rsidP="00CC5E14">
            <w:pPr>
              <w:tabs>
                <w:tab w:val="right" w:pos="1202"/>
              </w:tabs>
              <w:spacing w:after="0" w:line="240" w:lineRule="atLeast"/>
              <w:jc w:val="right"/>
              <w:outlineLvl w:val="0"/>
              <w:rPr>
                <w:rFonts w:ascii="Calibri" w:eastAsia="Times New Roman" w:hAnsi="Calibri" w:cs="Arial"/>
                <w:b/>
                <w:sz w:val="15"/>
                <w:szCs w:val="15"/>
                <w:lang w:val="en-US"/>
              </w:rPr>
            </w:pPr>
            <w:bookmarkStart w:id="458" w:name="_Toc4059739"/>
            <w:r w:rsidRPr="00417C24">
              <w:rPr>
                <w:rFonts w:ascii="Calibri" w:eastAsia="Times New Roman" w:hAnsi="Calibri" w:cs="Arial"/>
                <w:b/>
                <w:sz w:val="15"/>
                <w:szCs w:val="15"/>
                <w:lang w:val="en-US"/>
              </w:rPr>
              <w:t>Group</w:t>
            </w:r>
            <w:bookmarkEnd w:id="458"/>
          </w:p>
        </w:tc>
        <w:tc>
          <w:tcPr>
            <w:tcW w:w="420" w:type="pct"/>
            <w:vAlign w:val="bottom"/>
          </w:tcPr>
          <w:p w14:paraId="0072C257" w14:textId="77777777" w:rsidR="00CC5E14" w:rsidRPr="00417C24" w:rsidRDefault="00CC5E14" w:rsidP="00CC5E14">
            <w:pPr>
              <w:tabs>
                <w:tab w:val="right" w:pos="1202"/>
              </w:tabs>
              <w:spacing w:after="0" w:line="240" w:lineRule="atLeast"/>
              <w:jc w:val="right"/>
              <w:outlineLvl w:val="0"/>
              <w:rPr>
                <w:rFonts w:ascii="Calibri" w:eastAsia="Times New Roman" w:hAnsi="Calibri" w:cs="Arial"/>
                <w:b/>
                <w:sz w:val="15"/>
                <w:szCs w:val="15"/>
                <w:lang w:val="en-US"/>
              </w:rPr>
            </w:pPr>
          </w:p>
        </w:tc>
        <w:tc>
          <w:tcPr>
            <w:tcW w:w="420" w:type="pct"/>
            <w:vAlign w:val="bottom"/>
          </w:tcPr>
          <w:p w14:paraId="4D9642C5" w14:textId="77777777" w:rsidR="00CC5E14" w:rsidRPr="00417C24" w:rsidRDefault="00CC5E14" w:rsidP="00CC5E14">
            <w:pPr>
              <w:tabs>
                <w:tab w:val="right" w:pos="1202"/>
              </w:tabs>
              <w:spacing w:after="0" w:line="240" w:lineRule="atLeast"/>
              <w:jc w:val="right"/>
              <w:outlineLvl w:val="0"/>
              <w:rPr>
                <w:rFonts w:ascii="Calibri" w:eastAsia="Times New Roman" w:hAnsi="Calibri" w:cs="Arial"/>
                <w:b/>
                <w:sz w:val="15"/>
                <w:szCs w:val="15"/>
                <w:lang w:val="en-US"/>
              </w:rPr>
            </w:pPr>
          </w:p>
        </w:tc>
        <w:tc>
          <w:tcPr>
            <w:tcW w:w="418" w:type="pct"/>
            <w:vAlign w:val="bottom"/>
          </w:tcPr>
          <w:p w14:paraId="188C5E21" w14:textId="77777777" w:rsidR="00CC5E14" w:rsidRPr="00417C24"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p>
        </w:tc>
        <w:tc>
          <w:tcPr>
            <w:tcW w:w="416" w:type="pct"/>
          </w:tcPr>
          <w:p w14:paraId="5C03DFC5" w14:textId="77777777" w:rsidR="00CC5E14" w:rsidRPr="00417C24"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p>
        </w:tc>
        <w:tc>
          <w:tcPr>
            <w:tcW w:w="470" w:type="pct"/>
            <w:vAlign w:val="bottom"/>
            <w:hideMark/>
          </w:tcPr>
          <w:p w14:paraId="1BAC62DC" w14:textId="77777777" w:rsidR="00CC5E14" w:rsidRPr="00417C24"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bookmarkStart w:id="459" w:name="_Toc4059740"/>
            <w:r w:rsidRPr="00417C24">
              <w:rPr>
                <w:rFonts w:ascii="Calibri" w:eastAsia="Times New Roman" w:hAnsi="Calibri" w:cs="Arial"/>
                <w:b/>
                <w:sz w:val="15"/>
                <w:szCs w:val="15"/>
                <w:lang w:val="en-US"/>
              </w:rPr>
              <w:t>Bank</w:t>
            </w:r>
            <w:bookmarkEnd w:id="459"/>
          </w:p>
        </w:tc>
      </w:tr>
      <w:tr w:rsidR="00CC5E14" w:rsidRPr="00417C24" w14:paraId="76A39A25" w14:textId="77777777" w:rsidTr="00417C24">
        <w:trPr>
          <w:trHeight w:val="242"/>
        </w:trPr>
        <w:tc>
          <w:tcPr>
            <w:tcW w:w="760" w:type="pct"/>
            <w:vAlign w:val="bottom"/>
          </w:tcPr>
          <w:p w14:paraId="5E1313DF" w14:textId="77777777" w:rsidR="00CC5E14" w:rsidRPr="00417C24" w:rsidRDefault="00CC5E14" w:rsidP="00CC5E14">
            <w:pPr>
              <w:tabs>
                <w:tab w:val="left" w:pos="-720"/>
              </w:tabs>
              <w:suppressAutoHyphens/>
              <w:spacing w:after="0" w:line="220" w:lineRule="exact"/>
              <w:rPr>
                <w:rFonts w:ascii="Calibri" w:eastAsia="Times New Roman" w:hAnsi="Calibri" w:cs="Arial"/>
                <w:sz w:val="15"/>
                <w:szCs w:val="15"/>
                <w:lang w:val="en-US"/>
              </w:rPr>
            </w:pPr>
          </w:p>
        </w:tc>
        <w:tc>
          <w:tcPr>
            <w:tcW w:w="418" w:type="pct"/>
            <w:vAlign w:val="bottom"/>
            <w:hideMark/>
          </w:tcPr>
          <w:p w14:paraId="1CEE48DA" w14:textId="77777777" w:rsidR="00CC5E14" w:rsidRPr="00417C24"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bookmarkStart w:id="460" w:name="_Toc4059741"/>
            <w:r w:rsidRPr="00417C24">
              <w:rPr>
                <w:rFonts w:ascii="Calibri" w:eastAsia="Times New Roman" w:hAnsi="Calibri" w:cs="Arial"/>
                <w:b/>
                <w:sz w:val="15"/>
                <w:szCs w:val="15"/>
                <w:lang w:val="en-US"/>
              </w:rPr>
              <w:t>Stage 1</w:t>
            </w:r>
            <w:bookmarkEnd w:id="460"/>
          </w:p>
        </w:tc>
        <w:tc>
          <w:tcPr>
            <w:tcW w:w="418" w:type="pct"/>
            <w:vAlign w:val="bottom"/>
            <w:hideMark/>
          </w:tcPr>
          <w:p w14:paraId="7C6D89D1" w14:textId="77777777" w:rsidR="00CC5E14" w:rsidRPr="00417C24"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bookmarkStart w:id="461" w:name="_Toc4059742"/>
            <w:r w:rsidRPr="00417C24">
              <w:rPr>
                <w:rFonts w:ascii="Calibri" w:eastAsia="Times New Roman" w:hAnsi="Calibri" w:cs="Arial"/>
                <w:b/>
                <w:sz w:val="15"/>
                <w:szCs w:val="15"/>
                <w:lang w:val="en-US"/>
              </w:rPr>
              <w:t>Stage 2</w:t>
            </w:r>
            <w:bookmarkEnd w:id="461"/>
          </w:p>
        </w:tc>
        <w:tc>
          <w:tcPr>
            <w:tcW w:w="420" w:type="pct"/>
            <w:vAlign w:val="bottom"/>
            <w:hideMark/>
          </w:tcPr>
          <w:p w14:paraId="114D00BA" w14:textId="77777777" w:rsidR="00CC5E14" w:rsidRPr="00417C24"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bookmarkStart w:id="462" w:name="_Toc4059743"/>
            <w:r w:rsidRPr="00417C24">
              <w:rPr>
                <w:rFonts w:ascii="Calibri" w:eastAsia="Times New Roman" w:hAnsi="Calibri" w:cs="Arial"/>
                <w:b/>
                <w:sz w:val="15"/>
                <w:szCs w:val="15"/>
                <w:lang w:val="en-US"/>
              </w:rPr>
              <w:t>Stage 3</w:t>
            </w:r>
            <w:bookmarkEnd w:id="462"/>
          </w:p>
        </w:tc>
        <w:tc>
          <w:tcPr>
            <w:tcW w:w="420" w:type="pct"/>
            <w:hideMark/>
          </w:tcPr>
          <w:p w14:paraId="5221A554" w14:textId="77777777" w:rsidR="00CC5E14" w:rsidRPr="00417C24"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r w:rsidRPr="00417C24">
              <w:rPr>
                <w:rFonts w:ascii="Calibri" w:eastAsia="Times New Roman" w:hAnsi="Calibri" w:cs="Arial"/>
                <w:b/>
                <w:sz w:val="15"/>
                <w:szCs w:val="15"/>
                <w:lang w:val="en-US"/>
              </w:rPr>
              <w:t>POCI</w:t>
            </w:r>
          </w:p>
        </w:tc>
        <w:tc>
          <w:tcPr>
            <w:tcW w:w="420" w:type="pct"/>
            <w:vAlign w:val="bottom"/>
            <w:hideMark/>
          </w:tcPr>
          <w:p w14:paraId="6FD06579" w14:textId="77777777" w:rsidR="00CC5E14" w:rsidRPr="00417C24"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bookmarkStart w:id="463" w:name="_Toc4059744"/>
            <w:r w:rsidRPr="00417C24">
              <w:rPr>
                <w:rFonts w:ascii="Calibri" w:eastAsia="Times New Roman" w:hAnsi="Calibri" w:cs="Arial"/>
                <w:b/>
                <w:sz w:val="15"/>
                <w:szCs w:val="15"/>
                <w:lang w:val="en-US"/>
              </w:rPr>
              <w:t>Total</w:t>
            </w:r>
            <w:bookmarkEnd w:id="463"/>
          </w:p>
        </w:tc>
        <w:tc>
          <w:tcPr>
            <w:tcW w:w="420" w:type="pct"/>
            <w:vAlign w:val="bottom"/>
            <w:hideMark/>
          </w:tcPr>
          <w:p w14:paraId="28D1CA9F" w14:textId="77777777" w:rsidR="00CC5E14" w:rsidRPr="00417C24"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bookmarkStart w:id="464" w:name="_Toc4059745"/>
            <w:r w:rsidRPr="00417C24">
              <w:rPr>
                <w:rFonts w:ascii="Calibri" w:eastAsia="Times New Roman" w:hAnsi="Calibri" w:cs="Arial"/>
                <w:b/>
                <w:sz w:val="15"/>
                <w:szCs w:val="15"/>
                <w:lang w:val="en-US"/>
              </w:rPr>
              <w:t>Stage 1</w:t>
            </w:r>
            <w:bookmarkEnd w:id="464"/>
          </w:p>
        </w:tc>
        <w:tc>
          <w:tcPr>
            <w:tcW w:w="420" w:type="pct"/>
            <w:vAlign w:val="bottom"/>
            <w:hideMark/>
          </w:tcPr>
          <w:p w14:paraId="1356EC63" w14:textId="77777777" w:rsidR="00CC5E14" w:rsidRPr="00417C24"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bookmarkStart w:id="465" w:name="_Toc4059746"/>
            <w:r w:rsidRPr="00417C24">
              <w:rPr>
                <w:rFonts w:ascii="Calibri" w:eastAsia="Times New Roman" w:hAnsi="Calibri" w:cs="Arial"/>
                <w:b/>
                <w:sz w:val="15"/>
                <w:szCs w:val="15"/>
                <w:lang w:val="en-US"/>
              </w:rPr>
              <w:t>Stage 2</w:t>
            </w:r>
            <w:bookmarkEnd w:id="465"/>
          </w:p>
        </w:tc>
        <w:tc>
          <w:tcPr>
            <w:tcW w:w="418" w:type="pct"/>
            <w:vAlign w:val="bottom"/>
            <w:hideMark/>
          </w:tcPr>
          <w:p w14:paraId="08B75567" w14:textId="77777777" w:rsidR="00CC5E14" w:rsidRPr="00417C24"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bookmarkStart w:id="466" w:name="_Toc4059747"/>
            <w:r w:rsidRPr="00417C24">
              <w:rPr>
                <w:rFonts w:ascii="Calibri" w:eastAsia="Times New Roman" w:hAnsi="Calibri" w:cs="Arial"/>
                <w:b/>
                <w:sz w:val="15"/>
                <w:szCs w:val="15"/>
                <w:lang w:val="en-US"/>
              </w:rPr>
              <w:t>Stage 3</w:t>
            </w:r>
            <w:bookmarkEnd w:id="466"/>
          </w:p>
        </w:tc>
        <w:tc>
          <w:tcPr>
            <w:tcW w:w="416" w:type="pct"/>
            <w:hideMark/>
          </w:tcPr>
          <w:p w14:paraId="7C54162C" w14:textId="77777777" w:rsidR="00CC5E14" w:rsidRPr="00417C24"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r w:rsidRPr="00417C24">
              <w:rPr>
                <w:rFonts w:ascii="Calibri" w:eastAsia="Times New Roman" w:hAnsi="Calibri" w:cs="Arial"/>
                <w:b/>
                <w:sz w:val="15"/>
                <w:szCs w:val="15"/>
                <w:lang w:val="en-US"/>
              </w:rPr>
              <w:t>POCI</w:t>
            </w:r>
          </w:p>
        </w:tc>
        <w:tc>
          <w:tcPr>
            <w:tcW w:w="470" w:type="pct"/>
            <w:vAlign w:val="bottom"/>
            <w:hideMark/>
          </w:tcPr>
          <w:p w14:paraId="40E39A4F" w14:textId="77777777" w:rsidR="00CC5E14" w:rsidRPr="00417C24"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bookmarkStart w:id="467" w:name="_Toc4059748"/>
            <w:r w:rsidRPr="00417C24">
              <w:rPr>
                <w:rFonts w:ascii="Calibri" w:eastAsia="Times New Roman" w:hAnsi="Calibri" w:cs="Arial"/>
                <w:b/>
                <w:sz w:val="15"/>
                <w:szCs w:val="15"/>
                <w:lang w:val="en-US"/>
              </w:rPr>
              <w:t>Total</w:t>
            </w:r>
            <w:bookmarkEnd w:id="467"/>
          </w:p>
        </w:tc>
      </w:tr>
      <w:tr w:rsidR="00CC5E14" w:rsidRPr="00417C24" w14:paraId="652E6600" w14:textId="77777777" w:rsidTr="00417C24">
        <w:trPr>
          <w:trHeight w:val="242"/>
        </w:trPr>
        <w:tc>
          <w:tcPr>
            <w:tcW w:w="760" w:type="pct"/>
            <w:vAlign w:val="bottom"/>
          </w:tcPr>
          <w:p w14:paraId="7D5D6849" w14:textId="77777777" w:rsidR="00CC5E14" w:rsidRPr="00417C24" w:rsidRDefault="00CC5E14" w:rsidP="00CC5E14">
            <w:pPr>
              <w:tabs>
                <w:tab w:val="left" w:pos="-720"/>
              </w:tabs>
              <w:suppressAutoHyphens/>
              <w:spacing w:after="0" w:line="220" w:lineRule="exact"/>
              <w:rPr>
                <w:rFonts w:ascii="Calibri" w:eastAsia="Times New Roman" w:hAnsi="Calibri" w:cs="Arial"/>
                <w:sz w:val="15"/>
                <w:szCs w:val="15"/>
                <w:lang w:val="en-US"/>
              </w:rPr>
            </w:pPr>
          </w:p>
        </w:tc>
        <w:tc>
          <w:tcPr>
            <w:tcW w:w="418" w:type="pct"/>
            <w:vAlign w:val="bottom"/>
            <w:hideMark/>
          </w:tcPr>
          <w:p w14:paraId="0376B9A0" w14:textId="74DC86B7" w:rsidR="00CC5E14" w:rsidRPr="00417C24"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bookmarkStart w:id="468" w:name="_Toc4059749"/>
            <w:r w:rsidRPr="00417C24">
              <w:rPr>
                <w:rFonts w:ascii="Calibri" w:eastAsia="Times New Roman" w:hAnsi="Calibri" w:cs="Arial"/>
                <w:b/>
                <w:sz w:val="15"/>
                <w:szCs w:val="15"/>
                <w:lang w:val="en-US"/>
              </w:rPr>
              <w:t xml:space="preserve">HRK </w:t>
            </w:r>
            <w:r w:rsidR="00417C24" w:rsidRPr="00417C24">
              <w:rPr>
                <w:rFonts w:ascii="Calibri" w:eastAsia="Times New Roman" w:hAnsi="Calibri" w:cs="Arial"/>
                <w:b/>
                <w:sz w:val="15"/>
                <w:szCs w:val="15"/>
                <w:lang w:val="en-US"/>
              </w:rPr>
              <w:t>‘</w:t>
            </w:r>
            <w:r w:rsidRPr="00417C24">
              <w:rPr>
                <w:rFonts w:ascii="Calibri" w:eastAsia="Times New Roman" w:hAnsi="Calibri" w:cs="Arial"/>
                <w:b/>
                <w:sz w:val="15"/>
                <w:szCs w:val="15"/>
                <w:lang w:val="en-US"/>
              </w:rPr>
              <w:t>000</w:t>
            </w:r>
            <w:bookmarkEnd w:id="468"/>
          </w:p>
        </w:tc>
        <w:tc>
          <w:tcPr>
            <w:tcW w:w="418" w:type="pct"/>
            <w:vAlign w:val="bottom"/>
            <w:hideMark/>
          </w:tcPr>
          <w:p w14:paraId="7CBBE166" w14:textId="327370EC" w:rsidR="00CC5E14" w:rsidRPr="00417C24"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bookmarkStart w:id="469" w:name="_Toc4059750"/>
            <w:r w:rsidRPr="00417C24">
              <w:rPr>
                <w:rFonts w:ascii="Calibri" w:eastAsia="Times New Roman" w:hAnsi="Calibri" w:cs="Arial"/>
                <w:b/>
                <w:sz w:val="15"/>
                <w:szCs w:val="15"/>
                <w:lang w:val="en-US"/>
              </w:rPr>
              <w:t xml:space="preserve">HRK </w:t>
            </w:r>
            <w:r w:rsidR="00417C24" w:rsidRPr="00417C24">
              <w:rPr>
                <w:rFonts w:ascii="Calibri" w:eastAsia="Times New Roman" w:hAnsi="Calibri" w:cs="Arial"/>
                <w:b/>
                <w:sz w:val="15"/>
                <w:szCs w:val="15"/>
                <w:lang w:val="en-US"/>
              </w:rPr>
              <w:t>‘</w:t>
            </w:r>
            <w:r w:rsidRPr="00417C24">
              <w:rPr>
                <w:rFonts w:ascii="Calibri" w:eastAsia="Times New Roman" w:hAnsi="Calibri" w:cs="Arial"/>
                <w:b/>
                <w:sz w:val="15"/>
                <w:szCs w:val="15"/>
                <w:lang w:val="en-US"/>
              </w:rPr>
              <w:t>000</w:t>
            </w:r>
            <w:bookmarkEnd w:id="469"/>
          </w:p>
        </w:tc>
        <w:tc>
          <w:tcPr>
            <w:tcW w:w="420" w:type="pct"/>
            <w:vAlign w:val="bottom"/>
            <w:hideMark/>
          </w:tcPr>
          <w:p w14:paraId="4EC301B0" w14:textId="2917B572" w:rsidR="00CC5E14" w:rsidRPr="00417C24"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bookmarkStart w:id="470" w:name="_Toc4059751"/>
            <w:r w:rsidRPr="00417C24">
              <w:rPr>
                <w:rFonts w:ascii="Calibri" w:eastAsia="Times New Roman" w:hAnsi="Calibri" w:cs="Arial"/>
                <w:b/>
                <w:sz w:val="15"/>
                <w:szCs w:val="15"/>
                <w:lang w:val="en-US"/>
              </w:rPr>
              <w:t xml:space="preserve">HRK </w:t>
            </w:r>
            <w:r w:rsidR="00417C24" w:rsidRPr="00417C24">
              <w:rPr>
                <w:rFonts w:ascii="Calibri" w:eastAsia="Times New Roman" w:hAnsi="Calibri" w:cs="Arial"/>
                <w:b/>
                <w:sz w:val="15"/>
                <w:szCs w:val="15"/>
                <w:lang w:val="en-US"/>
              </w:rPr>
              <w:t>‘</w:t>
            </w:r>
            <w:r w:rsidRPr="00417C24">
              <w:rPr>
                <w:rFonts w:ascii="Calibri" w:eastAsia="Times New Roman" w:hAnsi="Calibri" w:cs="Arial"/>
                <w:b/>
                <w:sz w:val="15"/>
                <w:szCs w:val="15"/>
                <w:lang w:val="en-US"/>
              </w:rPr>
              <w:t>000</w:t>
            </w:r>
            <w:bookmarkEnd w:id="470"/>
          </w:p>
        </w:tc>
        <w:tc>
          <w:tcPr>
            <w:tcW w:w="420" w:type="pct"/>
            <w:hideMark/>
          </w:tcPr>
          <w:p w14:paraId="2A248BB0" w14:textId="1A40A3A4" w:rsidR="00CC5E14" w:rsidRPr="00417C24"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r w:rsidRPr="00417C24">
              <w:rPr>
                <w:rFonts w:ascii="Calibri" w:eastAsia="Times New Roman" w:hAnsi="Calibri" w:cs="Arial"/>
                <w:b/>
                <w:sz w:val="15"/>
                <w:szCs w:val="15"/>
                <w:lang w:val="en-US"/>
              </w:rPr>
              <w:t xml:space="preserve">HRK </w:t>
            </w:r>
            <w:r w:rsidR="00417C24" w:rsidRPr="00417C24">
              <w:rPr>
                <w:rFonts w:ascii="Calibri" w:eastAsia="Times New Roman" w:hAnsi="Calibri" w:cs="Arial"/>
                <w:b/>
                <w:sz w:val="15"/>
                <w:szCs w:val="15"/>
                <w:lang w:val="en-US"/>
              </w:rPr>
              <w:t>‘</w:t>
            </w:r>
            <w:r w:rsidRPr="00417C24">
              <w:rPr>
                <w:rFonts w:ascii="Calibri" w:eastAsia="Times New Roman" w:hAnsi="Calibri" w:cs="Arial"/>
                <w:b/>
                <w:sz w:val="15"/>
                <w:szCs w:val="15"/>
                <w:lang w:val="en-US"/>
              </w:rPr>
              <w:t>000</w:t>
            </w:r>
          </w:p>
        </w:tc>
        <w:tc>
          <w:tcPr>
            <w:tcW w:w="420" w:type="pct"/>
            <w:vAlign w:val="bottom"/>
            <w:hideMark/>
          </w:tcPr>
          <w:p w14:paraId="570FB51B" w14:textId="1D36E07F" w:rsidR="00CC5E14" w:rsidRPr="00417C24"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bookmarkStart w:id="471" w:name="_Toc4059752"/>
            <w:r w:rsidRPr="00417C24">
              <w:rPr>
                <w:rFonts w:ascii="Calibri" w:eastAsia="Times New Roman" w:hAnsi="Calibri" w:cs="Arial"/>
                <w:b/>
                <w:sz w:val="15"/>
                <w:szCs w:val="15"/>
                <w:lang w:val="en-US"/>
              </w:rPr>
              <w:t xml:space="preserve">HRK </w:t>
            </w:r>
            <w:r w:rsidR="00417C24" w:rsidRPr="00417C24">
              <w:rPr>
                <w:rFonts w:ascii="Calibri" w:eastAsia="Times New Roman" w:hAnsi="Calibri" w:cs="Arial"/>
                <w:b/>
                <w:sz w:val="15"/>
                <w:szCs w:val="15"/>
                <w:lang w:val="en-US"/>
              </w:rPr>
              <w:t>‘</w:t>
            </w:r>
            <w:r w:rsidRPr="00417C24">
              <w:rPr>
                <w:rFonts w:ascii="Calibri" w:eastAsia="Times New Roman" w:hAnsi="Calibri" w:cs="Arial"/>
                <w:b/>
                <w:sz w:val="15"/>
                <w:szCs w:val="15"/>
                <w:lang w:val="en-US"/>
              </w:rPr>
              <w:t>000</w:t>
            </w:r>
            <w:bookmarkEnd w:id="471"/>
          </w:p>
        </w:tc>
        <w:tc>
          <w:tcPr>
            <w:tcW w:w="420" w:type="pct"/>
            <w:vAlign w:val="bottom"/>
            <w:hideMark/>
          </w:tcPr>
          <w:p w14:paraId="10A3A24E" w14:textId="7B38031B" w:rsidR="00CC5E14" w:rsidRPr="00417C24"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bookmarkStart w:id="472" w:name="_Toc4059753"/>
            <w:r w:rsidRPr="00417C24">
              <w:rPr>
                <w:rFonts w:ascii="Calibri" w:eastAsia="Times New Roman" w:hAnsi="Calibri" w:cs="Arial"/>
                <w:b/>
                <w:sz w:val="15"/>
                <w:szCs w:val="15"/>
                <w:lang w:val="en-US"/>
              </w:rPr>
              <w:t xml:space="preserve">HRK </w:t>
            </w:r>
            <w:r w:rsidR="00417C24" w:rsidRPr="00417C24">
              <w:rPr>
                <w:rFonts w:ascii="Calibri" w:eastAsia="Times New Roman" w:hAnsi="Calibri" w:cs="Arial"/>
                <w:b/>
                <w:sz w:val="15"/>
                <w:szCs w:val="15"/>
                <w:lang w:val="en-US"/>
              </w:rPr>
              <w:t>‘</w:t>
            </w:r>
            <w:r w:rsidRPr="00417C24">
              <w:rPr>
                <w:rFonts w:ascii="Calibri" w:eastAsia="Times New Roman" w:hAnsi="Calibri" w:cs="Arial"/>
                <w:b/>
                <w:sz w:val="15"/>
                <w:szCs w:val="15"/>
                <w:lang w:val="en-US"/>
              </w:rPr>
              <w:t>000</w:t>
            </w:r>
            <w:bookmarkEnd w:id="472"/>
          </w:p>
        </w:tc>
        <w:tc>
          <w:tcPr>
            <w:tcW w:w="420" w:type="pct"/>
            <w:vAlign w:val="bottom"/>
            <w:hideMark/>
          </w:tcPr>
          <w:p w14:paraId="7096477A" w14:textId="432AA819" w:rsidR="00CC5E14" w:rsidRPr="00417C24"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bookmarkStart w:id="473" w:name="_Toc4059754"/>
            <w:r w:rsidRPr="00417C24">
              <w:rPr>
                <w:rFonts w:ascii="Calibri" w:eastAsia="Times New Roman" w:hAnsi="Calibri" w:cs="Arial"/>
                <w:b/>
                <w:sz w:val="15"/>
                <w:szCs w:val="15"/>
                <w:lang w:val="en-US"/>
              </w:rPr>
              <w:t xml:space="preserve">HRK </w:t>
            </w:r>
            <w:r w:rsidR="00417C24" w:rsidRPr="00417C24">
              <w:rPr>
                <w:rFonts w:ascii="Calibri" w:eastAsia="Times New Roman" w:hAnsi="Calibri" w:cs="Arial"/>
                <w:b/>
                <w:sz w:val="15"/>
                <w:szCs w:val="15"/>
                <w:lang w:val="en-US"/>
              </w:rPr>
              <w:t>‘</w:t>
            </w:r>
            <w:r w:rsidRPr="00417C24">
              <w:rPr>
                <w:rFonts w:ascii="Calibri" w:eastAsia="Times New Roman" w:hAnsi="Calibri" w:cs="Arial"/>
                <w:b/>
                <w:sz w:val="15"/>
                <w:szCs w:val="15"/>
                <w:lang w:val="en-US"/>
              </w:rPr>
              <w:t>000</w:t>
            </w:r>
            <w:bookmarkEnd w:id="473"/>
          </w:p>
        </w:tc>
        <w:tc>
          <w:tcPr>
            <w:tcW w:w="418" w:type="pct"/>
            <w:vAlign w:val="bottom"/>
            <w:hideMark/>
          </w:tcPr>
          <w:p w14:paraId="5040F58D" w14:textId="64F8B023" w:rsidR="00CC5E14" w:rsidRPr="00417C24"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bookmarkStart w:id="474" w:name="_Toc4059755"/>
            <w:r w:rsidRPr="00417C24">
              <w:rPr>
                <w:rFonts w:ascii="Calibri" w:eastAsia="Times New Roman" w:hAnsi="Calibri" w:cs="Arial"/>
                <w:b/>
                <w:sz w:val="15"/>
                <w:szCs w:val="15"/>
                <w:lang w:val="en-US"/>
              </w:rPr>
              <w:t xml:space="preserve">HRK </w:t>
            </w:r>
            <w:r w:rsidR="00417C24" w:rsidRPr="00417C24">
              <w:rPr>
                <w:rFonts w:ascii="Calibri" w:eastAsia="Times New Roman" w:hAnsi="Calibri" w:cs="Arial"/>
                <w:b/>
                <w:sz w:val="15"/>
                <w:szCs w:val="15"/>
                <w:lang w:val="en-US"/>
              </w:rPr>
              <w:t>‘</w:t>
            </w:r>
            <w:r w:rsidRPr="00417C24">
              <w:rPr>
                <w:rFonts w:ascii="Calibri" w:eastAsia="Times New Roman" w:hAnsi="Calibri" w:cs="Arial"/>
                <w:b/>
                <w:sz w:val="15"/>
                <w:szCs w:val="15"/>
                <w:lang w:val="en-US"/>
              </w:rPr>
              <w:t>000</w:t>
            </w:r>
            <w:bookmarkEnd w:id="474"/>
          </w:p>
        </w:tc>
        <w:tc>
          <w:tcPr>
            <w:tcW w:w="416" w:type="pct"/>
            <w:hideMark/>
          </w:tcPr>
          <w:p w14:paraId="67190128" w14:textId="4F2EF510" w:rsidR="00CC5E14" w:rsidRPr="00417C24"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r w:rsidRPr="00417C24">
              <w:rPr>
                <w:rFonts w:ascii="Calibri" w:eastAsia="Times New Roman" w:hAnsi="Calibri" w:cs="Arial"/>
                <w:b/>
                <w:sz w:val="15"/>
                <w:szCs w:val="15"/>
                <w:lang w:val="en-US"/>
              </w:rPr>
              <w:t xml:space="preserve">HRK </w:t>
            </w:r>
            <w:r w:rsidR="00417C24" w:rsidRPr="00417C24">
              <w:rPr>
                <w:rFonts w:ascii="Calibri" w:eastAsia="Times New Roman" w:hAnsi="Calibri" w:cs="Arial"/>
                <w:b/>
                <w:sz w:val="15"/>
                <w:szCs w:val="15"/>
                <w:lang w:val="en-US"/>
              </w:rPr>
              <w:t>‘</w:t>
            </w:r>
            <w:r w:rsidRPr="00417C24">
              <w:rPr>
                <w:rFonts w:ascii="Calibri" w:eastAsia="Times New Roman" w:hAnsi="Calibri" w:cs="Arial"/>
                <w:b/>
                <w:sz w:val="15"/>
                <w:szCs w:val="15"/>
                <w:lang w:val="en-US"/>
              </w:rPr>
              <w:t>000</w:t>
            </w:r>
          </w:p>
        </w:tc>
        <w:tc>
          <w:tcPr>
            <w:tcW w:w="470" w:type="pct"/>
            <w:vAlign w:val="bottom"/>
            <w:hideMark/>
          </w:tcPr>
          <w:p w14:paraId="454E3AB1" w14:textId="1C003365" w:rsidR="00CC5E14" w:rsidRPr="00417C24"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bookmarkStart w:id="475" w:name="_Toc4059756"/>
            <w:r w:rsidRPr="00417C24">
              <w:rPr>
                <w:rFonts w:ascii="Calibri" w:eastAsia="Times New Roman" w:hAnsi="Calibri" w:cs="Arial"/>
                <w:b/>
                <w:sz w:val="15"/>
                <w:szCs w:val="15"/>
                <w:lang w:val="en-US"/>
              </w:rPr>
              <w:t xml:space="preserve">HRK </w:t>
            </w:r>
            <w:r w:rsidR="00417C24" w:rsidRPr="00417C24">
              <w:rPr>
                <w:rFonts w:ascii="Calibri" w:eastAsia="Times New Roman" w:hAnsi="Calibri" w:cs="Arial"/>
                <w:b/>
                <w:sz w:val="15"/>
                <w:szCs w:val="15"/>
                <w:lang w:val="en-US"/>
              </w:rPr>
              <w:t>‘</w:t>
            </w:r>
            <w:r w:rsidRPr="00417C24">
              <w:rPr>
                <w:rFonts w:ascii="Calibri" w:eastAsia="Times New Roman" w:hAnsi="Calibri" w:cs="Arial"/>
                <w:b/>
                <w:sz w:val="15"/>
                <w:szCs w:val="15"/>
                <w:lang w:val="en-US"/>
              </w:rPr>
              <w:t>000</w:t>
            </w:r>
            <w:bookmarkEnd w:id="475"/>
          </w:p>
        </w:tc>
      </w:tr>
      <w:tr w:rsidR="00CC5E14" w:rsidRPr="00417C24" w14:paraId="5E89BDFD" w14:textId="77777777" w:rsidTr="00417C24">
        <w:trPr>
          <w:trHeight w:val="171"/>
        </w:trPr>
        <w:tc>
          <w:tcPr>
            <w:tcW w:w="760" w:type="pct"/>
            <w:vAlign w:val="bottom"/>
          </w:tcPr>
          <w:p w14:paraId="400BF5B3" w14:textId="77777777" w:rsidR="00CC5E14" w:rsidRPr="00417C24" w:rsidRDefault="00CC5E14" w:rsidP="00CC5E14">
            <w:pPr>
              <w:tabs>
                <w:tab w:val="left" w:pos="-720"/>
              </w:tabs>
              <w:suppressAutoHyphens/>
              <w:spacing w:after="0" w:line="140" w:lineRule="exact"/>
              <w:rPr>
                <w:rFonts w:ascii="Calibri" w:eastAsia="Times New Roman" w:hAnsi="Calibri" w:cs="Arial"/>
                <w:sz w:val="15"/>
                <w:szCs w:val="15"/>
                <w:lang w:val="en-US"/>
              </w:rPr>
            </w:pPr>
          </w:p>
        </w:tc>
        <w:tc>
          <w:tcPr>
            <w:tcW w:w="418" w:type="pct"/>
            <w:vAlign w:val="bottom"/>
          </w:tcPr>
          <w:p w14:paraId="25DDBCDB" w14:textId="77777777" w:rsidR="00CC5E14" w:rsidRPr="00417C24" w:rsidRDefault="00CC5E14" w:rsidP="00CC5E14">
            <w:pPr>
              <w:tabs>
                <w:tab w:val="right" w:pos="1202"/>
              </w:tabs>
              <w:spacing w:after="0" w:line="140" w:lineRule="exact"/>
              <w:jc w:val="right"/>
              <w:outlineLvl w:val="0"/>
              <w:rPr>
                <w:rFonts w:ascii="Calibri" w:eastAsia="Times New Roman" w:hAnsi="Calibri" w:cs="Arial"/>
                <w:b/>
                <w:sz w:val="15"/>
                <w:szCs w:val="15"/>
                <w:lang w:val="en-US"/>
              </w:rPr>
            </w:pPr>
          </w:p>
        </w:tc>
        <w:tc>
          <w:tcPr>
            <w:tcW w:w="418" w:type="pct"/>
            <w:vAlign w:val="bottom"/>
          </w:tcPr>
          <w:p w14:paraId="46A2D574" w14:textId="77777777" w:rsidR="00CC5E14" w:rsidRPr="00417C24" w:rsidRDefault="00CC5E14" w:rsidP="00CC5E14">
            <w:pPr>
              <w:tabs>
                <w:tab w:val="right" w:pos="1202"/>
              </w:tabs>
              <w:spacing w:after="0" w:line="140" w:lineRule="exact"/>
              <w:jc w:val="right"/>
              <w:outlineLvl w:val="0"/>
              <w:rPr>
                <w:rFonts w:ascii="Calibri" w:eastAsia="Times New Roman" w:hAnsi="Calibri" w:cs="Arial"/>
                <w:b/>
                <w:sz w:val="15"/>
                <w:szCs w:val="15"/>
                <w:lang w:val="en-US"/>
              </w:rPr>
            </w:pPr>
          </w:p>
        </w:tc>
        <w:tc>
          <w:tcPr>
            <w:tcW w:w="420" w:type="pct"/>
            <w:vAlign w:val="bottom"/>
          </w:tcPr>
          <w:p w14:paraId="6FE3B04F" w14:textId="77777777" w:rsidR="00CC5E14" w:rsidRPr="00417C24" w:rsidRDefault="00CC5E14" w:rsidP="00CC5E14">
            <w:pPr>
              <w:tabs>
                <w:tab w:val="right" w:pos="1202"/>
              </w:tabs>
              <w:spacing w:after="0" w:line="140" w:lineRule="exact"/>
              <w:jc w:val="right"/>
              <w:outlineLvl w:val="0"/>
              <w:rPr>
                <w:rFonts w:ascii="Calibri" w:eastAsia="Times New Roman" w:hAnsi="Calibri" w:cs="Arial"/>
                <w:b/>
                <w:sz w:val="15"/>
                <w:szCs w:val="15"/>
                <w:lang w:val="en-US"/>
              </w:rPr>
            </w:pPr>
          </w:p>
        </w:tc>
        <w:tc>
          <w:tcPr>
            <w:tcW w:w="420" w:type="pct"/>
          </w:tcPr>
          <w:p w14:paraId="0CEFB97E" w14:textId="77777777" w:rsidR="00CC5E14" w:rsidRPr="00417C24" w:rsidRDefault="00CC5E14" w:rsidP="00CC5E14">
            <w:pPr>
              <w:tabs>
                <w:tab w:val="right" w:pos="1202"/>
              </w:tabs>
              <w:spacing w:after="0" w:line="140" w:lineRule="exact"/>
              <w:jc w:val="right"/>
              <w:outlineLvl w:val="0"/>
              <w:rPr>
                <w:rFonts w:ascii="Calibri" w:eastAsia="Times New Roman" w:hAnsi="Calibri" w:cs="Arial"/>
                <w:b/>
                <w:sz w:val="15"/>
                <w:szCs w:val="15"/>
                <w:lang w:val="en-US"/>
              </w:rPr>
            </w:pPr>
          </w:p>
        </w:tc>
        <w:tc>
          <w:tcPr>
            <w:tcW w:w="420" w:type="pct"/>
            <w:vAlign w:val="bottom"/>
          </w:tcPr>
          <w:p w14:paraId="63ABD4BD" w14:textId="77777777" w:rsidR="00CC5E14" w:rsidRPr="00417C24" w:rsidRDefault="00CC5E14" w:rsidP="00CC5E14">
            <w:pPr>
              <w:tabs>
                <w:tab w:val="right" w:pos="1202"/>
              </w:tabs>
              <w:spacing w:after="0" w:line="140" w:lineRule="exact"/>
              <w:jc w:val="right"/>
              <w:outlineLvl w:val="0"/>
              <w:rPr>
                <w:rFonts w:ascii="Calibri" w:eastAsia="Times New Roman" w:hAnsi="Calibri" w:cs="Arial"/>
                <w:b/>
                <w:sz w:val="15"/>
                <w:szCs w:val="15"/>
                <w:lang w:val="en-US"/>
              </w:rPr>
            </w:pPr>
          </w:p>
        </w:tc>
        <w:tc>
          <w:tcPr>
            <w:tcW w:w="420" w:type="pct"/>
            <w:vAlign w:val="bottom"/>
          </w:tcPr>
          <w:p w14:paraId="520D38D1" w14:textId="77777777" w:rsidR="00CC5E14" w:rsidRPr="00417C24" w:rsidRDefault="00CC5E14" w:rsidP="00CC5E14">
            <w:pPr>
              <w:tabs>
                <w:tab w:val="right" w:pos="1202"/>
              </w:tabs>
              <w:spacing w:after="0" w:line="140" w:lineRule="exact"/>
              <w:jc w:val="right"/>
              <w:outlineLvl w:val="0"/>
              <w:rPr>
                <w:rFonts w:ascii="Calibri" w:eastAsia="Times New Roman" w:hAnsi="Calibri" w:cs="Arial"/>
                <w:b/>
                <w:sz w:val="15"/>
                <w:szCs w:val="15"/>
                <w:lang w:val="en-US"/>
              </w:rPr>
            </w:pPr>
          </w:p>
        </w:tc>
        <w:tc>
          <w:tcPr>
            <w:tcW w:w="420" w:type="pct"/>
            <w:vAlign w:val="bottom"/>
          </w:tcPr>
          <w:p w14:paraId="604981D1" w14:textId="77777777" w:rsidR="00CC5E14" w:rsidRPr="00417C24" w:rsidRDefault="00CC5E14" w:rsidP="00CC5E14">
            <w:pPr>
              <w:tabs>
                <w:tab w:val="right" w:pos="1202"/>
              </w:tabs>
              <w:spacing w:after="0" w:line="140" w:lineRule="exact"/>
              <w:jc w:val="right"/>
              <w:outlineLvl w:val="0"/>
              <w:rPr>
                <w:rFonts w:ascii="Calibri" w:eastAsia="Times New Roman" w:hAnsi="Calibri" w:cs="Arial"/>
                <w:b/>
                <w:sz w:val="15"/>
                <w:szCs w:val="15"/>
                <w:lang w:val="en-US"/>
              </w:rPr>
            </w:pPr>
          </w:p>
        </w:tc>
        <w:tc>
          <w:tcPr>
            <w:tcW w:w="418" w:type="pct"/>
            <w:vAlign w:val="bottom"/>
          </w:tcPr>
          <w:p w14:paraId="7F060B3C" w14:textId="77777777" w:rsidR="00CC5E14" w:rsidRPr="00417C24" w:rsidRDefault="00CC5E14" w:rsidP="00CC5E14">
            <w:pPr>
              <w:tabs>
                <w:tab w:val="right" w:pos="1202"/>
              </w:tabs>
              <w:spacing w:after="0" w:line="140" w:lineRule="exact"/>
              <w:jc w:val="right"/>
              <w:outlineLvl w:val="0"/>
              <w:rPr>
                <w:rFonts w:ascii="Calibri" w:eastAsia="Times New Roman" w:hAnsi="Calibri" w:cs="Arial"/>
                <w:b/>
                <w:sz w:val="15"/>
                <w:szCs w:val="15"/>
                <w:lang w:val="en-US"/>
              </w:rPr>
            </w:pPr>
          </w:p>
        </w:tc>
        <w:tc>
          <w:tcPr>
            <w:tcW w:w="416" w:type="pct"/>
          </w:tcPr>
          <w:p w14:paraId="25E9F49C" w14:textId="77777777" w:rsidR="00CC5E14" w:rsidRPr="00417C24" w:rsidRDefault="00CC5E14" w:rsidP="00CC5E14">
            <w:pPr>
              <w:tabs>
                <w:tab w:val="right" w:pos="1202"/>
              </w:tabs>
              <w:spacing w:after="0" w:line="140" w:lineRule="exact"/>
              <w:jc w:val="right"/>
              <w:outlineLvl w:val="0"/>
              <w:rPr>
                <w:rFonts w:ascii="Calibri" w:eastAsia="Times New Roman" w:hAnsi="Calibri" w:cs="Arial"/>
                <w:b/>
                <w:sz w:val="15"/>
                <w:szCs w:val="15"/>
                <w:lang w:val="en-US"/>
              </w:rPr>
            </w:pPr>
          </w:p>
        </w:tc>
        <w:tc>
          <w:tcPr>
            <w:tcW w:w="470" w:type="pct"/>
            <w:vAlign w:val="bottom"/>
          </w:tcPr>
          <w:p w14:paraId="1B59C93C" w14:textId="77777777" w:rsidR="00CC5E14" w:rsidRPr="00417C24" w:rsidRDefault="00CC5E14" w:rsidP="00CC5E14">
            <w:pPr>
              <w:tabs>
                <w:tab w:val="right" w:pos="1202"/>
              </w:tabs>
              <w:spacing w:after="0" w:line="140" w:lineRule="exact"/>
              <w:jc w:val="right"/>
              <w:outlineLvl w:val="0"/>
              <w:rPr>
                <w:rFonts w:ascii="Calibri" w:eastAsia="Times New Roman" w:hAnsi="Calibri" w:cs="Arial"/>
                <w:b/>
                <w:sz w:val="15"/>
                <w:szCs w:val="15"/>
                <w:lang w:val="en-US"/>
              </w:rPr>
            </w:pPr>
          </w:p>
        </w:tc>
      </w:tr>
      <w:tr w:rsidR="001042A0" w:rsidRPr="00417C24" w14:paraId="5C38BF5B" w14:textId="77777777" w:rsidTr="00417C24">
        <w:trPr>
          <w:trHeight w:val="325"/>
        </w:trPr>
        <w:tc>
          <w:tcPr>
            <w:tcW w:w="760" w:type="pct"/>
            <w:vAlign w:val="bottom"/>
            <w:hideMark/>
          </w:tcPr>
          <w:p w14:paraId="654A7FC7" w14:textId="7BB0878B" w:rsidR="001042A0" w:rsidRPr="00417C24" w:rsidRDefault="001042A0" w:rsidP="001042A0">
            <w:pPr>
              <w:tabs>
                <w:tab w:val="right" w:pos="1202"/>
              </w:tabs>
              <w:spacing w:after="0" w:line="240" w:lineRule="exact"/>
              <w:outlineLvl w:val="0"/>
              <w:rPr>
                <w:rFonts w:ascii="Calibri" w:eastAsia="Times New Roman" w:hAnsi="Calibri" w:cs="Arial"/>
                <w:sz w:val="15"/>
                <w:szCs w:val="15"/>
                <w:lang w:val="en-US"/>
              </w:rPr>
            </w:pPr>
            <w:bookmarkStart w:id="476" w:name="_Toc4059757"/>
            <w:r w:rsidRPr="00417C24">
              <w:rPr>
                <w:rFonts w:ascii="Calibri" w:eastAsia="Times New Roman" w:hAnsi="Calibri" w:cs="Arial"/>
                <w:sz w:val="15"/>
                <w:szCs w:val="15"/>
                <w:lang w:val="en-US"/>
              </w:rPr>
              <w:t>Gross amount</w:t>
            </w:r>
            <w:bookmarkEnd w:id="476"/>
          </w:p>
        </w:tc>
        <w:tc>
          <w:tcPr>
            <w:tcW w:w="418" w:type="pct"/>
            <w:tcBorders>
              <w:top w:val="nil"/>
              <w:left w:val="nil"/>
              <w:bottom w:val="nil"/>
              <w:right w:val="nil"/>
            </w:tcBorders>
            <w:shd w:val="clear" w:color="auto" w:fill="auto"/>
            <w:vAlign w:val="bottom"/>
          </w:tcPr>
          <w:p w14:paraId="7614F292" w14:textId="5DEE2F6E" w:rsidR="001042A0" w:rsidRPr="00417C24" w:rsidRDefault="001042A0" w:rsidP="001042A0">
            <w:pPr>
              <w:tabs>
                <w:tab w:val="right" w:pos="1202"/>
              </w:tabs>
              <w:spacing w:after="0" w:line="240" w:lineRule="exact"/>
              <w:jc w:val="right"/>
              <w:outlineLvl w:val="0"/>
              <w:rPr>
                <w:rFonts w:ascii="Calibri" w:eastAsia="Times New Roman" w:hAnsi="Calibri" w:cs="Arial"/>
                <w:sz w:val="15"/>
                <w:szCs w:val="15"/>
                <w:lang w:val="en-US"/>
              </w:rPr>
            </w:pPr>
            <w:r w:rsidRPr="00417C24">
              <w:rPr>
                <w:sz w:val="15"/>
                <w:szCs w:val="15"/>
              </w:rPr>
              <w:t xml:space="preserve"> 5</w:t>
            </w:r>
            <w:r w:rsidR="00BB12B9" w:rsidRPr="00417C24">
              <w:rPr>
                <w:sz w:val="15"/>
                <w:szCs w:val="15"/>
              </w:rPr>
              <w:t>,</w:t>
            </w:r>
            <w:r w:rsidRPr="00417C24">
              <w:rPr>
                <w:sz w:val="15"/>
                <w:szCs w:val="15"/>
              </w:rPr>
              <w:t xml:space="preserve">138 </w:t>
            </w:r>
          </w:p>
        </w:tc>
        <w:tc>
          <w:tcPr>
            <w:tcW w:w="418" w:type="pct"/>
            <w:tcBorders>
              <w:top w:val="nil"/>
              <w:left w:val="nil"/>
              <w:bottom w:val="nil"/>
              <w:right w:val="nil"/>
            </w:tcBorders>
            <w:shd w:val="clear" w:color="auto" w:fill="auto"/>
            <w:vAlign w:val="bottom"/>
          </w:tcPr>
          <w:p w14:paraId="1CAABFDB" w14:textId="7A23D228" w:rsidR="001042A0" w:rsidRPr="00417C24" w:rsidRDefault="001042A0" w:rsidP="001042A0">
            <w:pPr>
              <w:tabs>
                <w:tab w:val="right" w:pos="1202"/>
              </w:tabs>
              <w:spacing w:after="0" w:line="240" w:lineRule="exact"/>
              <w:jc w:val="right"/>
              <w:outlineLvl w:val="0"/>
              <w:rPr>
                <w:rFonts w:ascii="Calibri" w:eastAsia="Times New Roman" w:hAnsi="Calibri" w:cs="Arial"/>
                <w:sz w:val="15"/>
                <w:szCs w:val="15"/>
                <w:lang w:val="en-US"/>
              </w:rPr>
            </w:pPr>
            <w:r w:rsidRPr="00417C24">
              <w:rPr>
                <w:sz w:val="15"/>
                <w:szCs w:val="15"/>
              </w:rPr>
              <w:t xml:space="preserve"> 4 </w:t>
            </w:r>
          </w:p>
        </w:tc>
        <w:tc>
          <w:tcPr>
            <w:tcW w:w="420" w:type="pct"/>
            <w:tcBorders>
              <w:top w:val="nil"/>
              <w:left w:val="nil"/>
              <w:bottom w:val="nil"/>
              <w:right w:val="nil"/>
            </w:tcBorders>
            <w:shd w:val="clear" w:color="auto" w:fill="auto"/>
            <w:vAlign w:val="bottom"/>
          </w:tcPr>
          <w:p w14:paraId="5D8EEEED" w14:textId="79834E01" w:rsidR="001042A0" w:rsidRPr="00417C24" w:rsidRDefault="001042A0" w:rsidP="001042A0">
            <w:pPr>
              <w:tabs>
                <w:tab w:val="right" w:pos="1202"/>
              </w:tabs>
              <w:spacing w:after="0" w:line="240" w:lineRule="exact"/>
              <w:jc w:val="right"/>
              <w:outlineLvl w:val="0"/>
              <w:rPr>
                <w:rFonts w:ascii="Calibri" w:eastAsia="Times New Roman" w:hAnsi="Calibri" w:cs="Arial"/>
                <w:sz w:val="15"/>
                <w:szCs w:val="15"/>
                <w:lang w:val="en-US"/>
              </w:rPr>
            </w:pPr>
            <w:r w:rsidRPr="00417C24">
              <w:rPr>
                <w:sz w:val="15"/>
                <w:szCs w:val="15"/>
              </w:rPr>
              <w:t xml:space="preserve"> 34</w:t>
            </w:r>
            <w:r w:rsidR="00BB12B9" w:rsidRPr="00417C24">
              <w:rPr>
                <w:sz w:val="15"/>
                <w:szCs w:val="15"/>
              </w:rPr>
              <w:t>,</w:t>
            </w:r>
            <w:r w:rsidRPr="00417C24">
              <w:rPr>
                <w:sz w:val="15"/>
                <w:szCs w:val="15"/>
              </w:rPr>
              <w:t xml:space="preserve">360 </w:t>
            </w:r>
          </w:p>
        </w:tc>
        <w:tc>
          <w:tcPr>
            <w:tcW w:w="420" w:type="pct"/>
            <w:tcBorders>
              <w:top w:val="nil"/>
              <w:left w:val="nil"/>
              <w:bottom w:val="nil"/>
              <w:right w:val="nil"/>
            </w:tcBorders>
            <w:vAlign w:val="bottom"/>
          </w:tcPr>
          <w:p w14:paraId="4F70E70B" w14:textId="470D1B91" w:rsidR="001042A0" w:rsidRPr="00417C24" w:rsidRDefault="001042A0" w:rsidP="001042A0">
            <w:pPr>
              <w:tabs>
                <w:tab w:val="right" w:pos="1202"/>
              </w:tabs>
              <w:spacing w:after="0" w:line="240" w:lineRule="exact"/>
              <w:jc w:val="right"/>
              <w:outlineLvl w:val="0"/>
              <w:rPr>
                <w:rFonts w:ascii="Calibri" w:eastAsia="Times New Roman" w:hAnsi="Calibri" w:cs="Arial"/>
                <w:sz w:val="15"/>
                <w:szCs w:val="15"/>
                <w:lang w:val="en-US"/>
              </w:rPr>
            </w:pPr>
            <w:r w:rsidRPr="00417C24">
              <w:rPr>
                <w:sz w:val="15"/>
                <w:szCs w:val="15"/>
              </w:rPr>
              <w:t xml:space="preserve"> 310 </w:t>
            </w:r>
          </w:p>
        </w:tc>
        <w:tc>
          <w:tcPr>
            <w:tcW w:w="420" w:type="pct"/>
            <w:tcBorders>
              <w:top w:val="nil"/>
              <w:left w:val="nil"/>
              <w:bottom w:val="nil"/>
              <w:right w:val="nil"/>
            </w:tcBorders>
            <w:shd w:val="clear" w:color="auto" w:fill="auto"/>
            <w:vAlign w:val="bottom"/>
          </w:tcPr>
          <w:p w14:paraId="395C6EE2" w14:textId="6AA6762A" w:rsidR="001042A0" w:rsidRPr="00417C24" w:rsidRDefault="001042A0" w:rsidP="001042A0">
            <w:pPr>
              <w:tabs>
                <w:tab w:val="right" w:pos="1202"/>
              </w:tabs>
              <w:spacing w:after="0" w:line="240" w:lineRule="exact"/>
              <w:jc w:val="right"/>
              <w:outlineLvl w:val="0"/>
              <w:rPr>
                <w:rFonts w:ascii="Calibri" w:eastAsia="Times New Roman" w:hAnsi="Calibri" w:cs="Arial"/>
                <w:b/>
                <w:bCs/>
                <w:sz w:val="15"/>
                <w:szCs w:val="15"/>
                <w:lang w:val="en-US"/>
              </w:rPr>
            </w:pPr>
            <w:r w:rsidRPr="00417C24">
              <w:rPr>
                <w:b/>
                <w:bCs/>
                <w:sz w:val="15"/>
                <w:szCs w:val="15"/>
              </w:rPr>
              <w:t xml:space="preserve"> 39</w:t>
            </w:r>
            <w:r w:rsidR="00BB12B9" w:rsidRPr="00417C24">
              <w:rPr>
                <w:b/>
                <w:bCs/>
                <w:sz w:val="15"/>
                <w:szCs w:val="15"/>
              </w:rPr>
              <w:t>,</w:t>
            </w:r>
            <w:r w:rsidRPr="00417C24">
              <w:rPr>
                <w:b/>
                <w:bCs/>
                <w:sz w:val="15"/>
                <w:szCs w:val="15"/>
              </w:rPr>
              <w:t xml:space="preserve">812 </w:t>
            </w:r>
          </w:p>
        </w:tc>
        <w:tc>
          <w:tcPr>
            <w:tcW w:w="420" w:type="pct"/>
            <w:tcBorders>
              <w:top w:val="nil"/>
              <w:left w:val="nil"/>
              <w:bottom w:val="nil"/>
              <w:right w:val="nil"/>
            </w:tcBorders>
            <w:shd w:val="clear" w:color="auto" w:fill="auto"/>
            <w:vAlign w:val="bottom"/>
          </w:tcPr>
          <w:p w14:paraId="2A169E6F" w14:textId="795E4DAF" w:rsidR="001042A0" w:rsidRPr="00417C24" w:rsidRDefault="001042A0" w:rsidP="001042A0">
            <w:pPr>
              <w:tabs>
                <w:tab w:val="right" w:pos="1202"/>
              </w:tabs>
              <w:spacing w:after="0" w:line="240" w:lineRule="exact"/>
              <w:jc w:val="right"/>
              <w:outlineLvl w:val="0"/>
              <w:rPr>
                <w:rFonts w:ascii="Calibri" w:eastAsia="Times New Roman" w:hAnsi="Calibri" w:cs="Arial"/>
                <w:sz w:val="15"/>
                <w:szCs w:val="15"/>
                <w:lang w:val="en-US"/>
              </w:rPr>
            </w:pPr>
            <w:r w:rsidRPr="00417C24">
              <w:rPr>
                <w:sz w:val="15"/>
                <w:szCs w:val="15"/>
              </w:rPr>
              <w:t xml:space="preserve"> 2</w:t>
            </w:r>
            <w:r w:rsidR="00BB12B9" w:rsidRPr="00417C24">
              <w:rPr>
                <w:sz w:val="15"/>
                <w:szCs w:val="15"/>
              </w:rPr>
              <w:t>,</w:t>
            </w:r>
            <w:r w:rsidRPr="00417C24">
              <w:rPr>
                <w:sz w:val="15"/>
                <w:szCs w:val="15"/>
              </w:rPr>
              <w:t xml:space="preserve">098 </w:t>
            </w:r>
          </w:p>
        </w:tc>
        <w:tc>
          <w:tcPr>
            <w:tcW w:w="420" w:type="pct"/>
            <w:tcBorders>
              <w:top w:val="nil"/>
              <w:left w:val="nil"/>
              <w:bottom w:val="nil"/>
              <w:right w:val="nil"/>
            </w:tcBorders>
            <w:shd w:val="clear" w:color="auto" w:fill="auto"/>
            <w:vAlign w:val="bottom"/>
          </w:tcPr>
          <w:p w14:paraId="40C8C2FE" w14:textId="7F48D58E" w:rsidR="001042A0" w:rsidRPr="00417C24" w:rsidRDefault="001042A0" w:rsidP="001042A0">
            <w:pPr>
              <w:tabs>
                <w:tab w:val="right" w:pos="1202"/>
              </w:tabs>
              <w:spacing w:after="0" w:line="240" w:lineRule="exact"/>
              <w:jc w:val="right"/>
              <w:outlineLvl w:val="0"/>
              <w:rPr>
                <w:rFonts w:ascii="Calibri" w:eastAsia="Times New Roman" w:hAnsi="Calibri" w:cs="Arial"/>
                <w:sz w:val="15"/>
                <w:szCs w:val="15"/>
                <w:lang w:val="en-US"/>
              </w:rPr>
            </w:pPr>
            <w:r w:rsidRPr="00417C24">
              <w:rPr>
                <w:sz w:val="15"/>
                <w:szCs w:val="15"/>
              </w:rPr>
              <w:t>4</w:t>
            </w:r>
          </w:p>
        </w:tc>
        <w:tc>
          <w:tcPr>
            <w:tcW w:w="418" w:type="pct"/>
            <w:tcBorders>
              <w:top w:val="nil"/>
              <w:left w:val="nil"/>
              <w:bottom w:val="nil"/>
              <w:right w:val="nil"/>
            </w:tcBorders>
            <w:shd w:val="clear" w:color="auto" w:fill="auto"/>
            <w:vAlign w:val="bottom"/>
          </w:tcPr>
          <w:p w14:paraId="70ED6CBA" w14:textId="265C7E48" w:rsidR="001042A0" w:rsidRPr="00417C24" w:rsidRDefault="001042A0" w:rsidP="001042A0">
            <w:pPr>
              <w:tabs>
                <w:tab w:val="right" w:pos="1202"/>
              </w:tabs>
              <w:spacing w:after="0" w:line="240" w:lineRule="exact"/>
              <w:jc w:val="right"/>
              <w:outlineLvl w:val="0"/>
              <w:rPr>
                <w:rFonts w:ascii="Calibri" w:eastAsia="Times New Roman" w:hAnsi="Calibri" w:cs="Arial"/>
                <w:sz w:val="15"/>
                <w:szCs w:val="15"/>
                <w:lang w:val="en-US"/>
              </w:rPr>
            </w:pPr>
            <w:r w:rsidRPr="00417C24">
              <w:rPr>
                <w:sz w:val="15"/>
                <w:szCs w:val="15"/>
              </w:rPr>
              <w:t xml:space="preserve"> 34</w:t>
            </w:r>
            <w:r w:rsidR="00BB12B9" w:rsidRPr="00417C24">
              <w:rPr>
                <w:sz w:val="15"/>
                <w:szCs w:val="15"/>
              </w:rPr>
              <w:t>,</w:t>
            </w:r>
            <w:r w:rsidRPr="00417C24">
              <w:rPr>
                <w:sz w:val="15"/>
                <w:szCs w:val="15"/>
              </w:rPr>
              <w:t xml:space="preserve">360 </w:t>
            </w:r>
          </w:p>
        </w:tc>
        <w:tc>
          <w:tcPr>
            <w:tcW w:w="416" w:type="pct"/>
            <w:tcBorders>
              <w:top w:val="nil"/>
              <w:left w:val="nil"/>
              <w:bottom w:val="nil"/>
              <w:right w:val="nil"/>
            </w:tcBorders>
            <w:vAlign w:val="bottom"/>
          </w:tcPr>
          <w:p w14:paraId="5F710F55" w14:textId="2F8788E3" w:rsidR="001042A0" w:rsidRPr="00417C24" w:rsidRDefault="001042A0" w:rsidP="001042A0">
            <w:pPr>
              <w:tabs>
                <w:tab w:val="right" w:pos="1202"/>
              </w:tabs>
              <w:spacing w:after="0" w:line="240" w:lineRule="exact"/>
              <w:jc w:val="right"/>
              <w:outlineLvl w:val="0"/>
              <w:rPr>
                <w:rFonts w:ascii="Calibri" w:eastAsia="Times New Roman" w:hAnsi="Calibri" w:cs="Arial"/>
                <w:sz w:val="15"/>
                <w:szCs w:val="15"/>
                <w:lang w:val="en-US"/>
              </w:rPr>
            </w:pPr>
            <w:r w:rsidRPr="00417C24">
              <w:rPr>
                <w:sz w:val="15"/>
                <w:szCs w:val="15"/>
              </w:rPr>
              <w:t xml:space="preserve"> 310 </w:t>
            </w:r>
          </w:p>
        </w:tc>
        <w:tc>
          <w:tcPr>
            <w:tcW w:w="470" w:type="pct"/>
            <w:tcBorders>
              <w:top w:val="nil"/>
              <w:left w:val="nil"/>
              <w:bottom w:val="nil"/>
              <w:right w:val="nil"/>
            </w:tcBorders>
            <w:shd w:val="clear" w:color="auto" w:fill="auto"/>
            <w:vAlign w:val="bottom"/>
          </w:tcPr>
          <w:p w14:paraId="0F662226" w14:textId="5D5B5BEC" w:rsidR="001042A0" w:rsidRPr="00417C24" w:rsidRDefault="001042A0" w:rsidP="001042A0">
            <w:pPr>
              <w:tabs>
                <w:tab w:val="right" w:pos="1202"/>
              </w:tabs>
              <w:spacing w:after="0" w:line="240" w:lineRule="exact"/>
              <w:jc w:val="right"/>
              <w:outlineLvl w:val="0"/>
              <w:rPr>
                <w:rFonts w:ascii="Calibri" w:eastAsia="Times New Roman" w:hAnsi="Calibri" w:cs="Arial"/>
                <w:b/>
                <w:bCs/>
                <w:sz w:val="15"/>
                <w:szCs w:val="15"/>
                <w:lang w:val="en-US"/>
              </w:rPr>
            </w:pPr>
            <w:r w:rsidRPr="00417C24">
              <w:rPr>
                <w:b/>
                <w:bCs/>
                <w:sz w:val="15"/>
                <w:szCs w:val="15"/>
              </w:rPr>
              <w:t xml:space="preserve"> 36</w:t>
            </w:r>
            <w:r w:rsidR="00BB12B9" w:rsidRPr="00417C24">
              <w:rPr>
                <w:b/>
                <w:bCs/>
                <w:sz w:val="15"/>
                <w:szCs w:val="15"/>
              </w:rPr>
              <w:t>,</w:t>
            </w:r>
            <w:r w:rsidRPr="00417C24">
              <w:rPr>
                <w:b/>
                <w:bCs/>
                <w:sz w:val="15"/>
                <w:szCs w:val="15"/>
              </w:rPr>
              <w:t xml:space="preserve">772 </w:t>
            </w:r>
          </w:p>
        </w:tc>
      </w:tr>
      <w:tr w:rsidR="001042A0" w:rsidRPr="00417C24" w14:paraId="748F5254" w14:textId="77777777" w:rsidTr="00417C24">
        <w:trPr>
          <w:trHeight w:val="349"/>
        </w:trPr>
        <w:tc>
          <w:tcPr>
            <w:tcW w:w="760" w:type="pct"/>
            <w:vAlign w:val="bottom"/>
            <w:hideMark/>
          </w:tcPr>
          <w:p w14:paraId="0811DEB4" w14:textId="09627A8B" w:rsidR="001042A0" w:rsidRPr="00417C24" w:rsidRDefault="001042A0" w:rsidP="001042A0">
            <w:pPr>
              <w:tabs>
                <w:tab w:val="right" w:pos="1202"/>
              </w:tabs>
              <w:spacing w:after="0" w:line="240" w:lineRule="exact"/>
              <w:outlineLvl w:val="0"/>
              <w:rPr>
                <w:rFonts w:ascii="Calibri" w:eastAsia="Times New Roman" w:hAnsi="Calibri" w:cs="Arial"/>
                <w:sz w:val="15"/>
                <w:szCs w:val="15"/>
                <w:lang w:val="en-US"/>
              </w:rPr>
            </w:pPr>
            <w:bookmarkStart w:id="477" w:name="_Toc4059766"/>
            <w:r w:rsidRPr="00417C24">
              <w:rPr>
                <w:rFonts w:ascii="Calibri" w:eastAsia="Times New Roman" w:hAnsi="Calibri" w:cs="Arial"/>
                <w:sz w:val="15"/>
                <w:szCs w:val="15"/>
                <w:lang w:val="en-US"/>
              </w:rPr>
              <w:t>Loss allowances</w:t>
            </w:r>
            <w:bookmarkEnd w:id="477"/>
          </w:p>
        </w:tc>
        <w:tc>
          <w:tcPr>
            <w:tcW w:w="418" w:type="pct"/>
            <w:tcBorders>
              <w:top w:val="nil"/>
              <w:left w:val="nil"/>
              <w:bottom w:val="nil"/>
              <w:right w:val="nil"/>
            </w:tcBorders>
            <w:shd w:val="clear" w:color="auto" w:fill="auto"/>
            <w:vAlign w:val="bottom"/>
          </w:tcPr>
          <w:p w14:paraId="30994E4C" w14:textId="4721A450" w:rsidR="001042A0" w:rsidRPr="00417C24" w:rsidRDefault="001042A0" w:rsidP="001042A0">
            <w:pPr>
              <w:tabs>
                <w:tab w:val="right" w:pos="1202"/>
              </w:tabs>
              <w:spacing w:after="0" w:line="240" w:lineRule="exact"/>
              <w:jc w:val="right"/>
              <w:outlineLvl w:val="0"/>
              <w:rPr>
                <w:rFonts w:ascii="Calibri" w:eastAsia="Times New Roman" w:hAnsi="Calibri" w:cs="Arial"/>
                <w:sz w:val="15"/>
                <w:szCs w:val="15"/>
                <w:lang w:val="en-US"/>
              </w:rPr>
            </w:pPr>
            <w:r w:rsidRPr="00417C24">
              <w:rPr>
                <w:sz w:val="15"/>
                <w:szCs w:val="15"/>
              </w:rPr>
              <w:t xml:space="preserve"> (225)</w:t>
            </w:r>
          </w:p>
        </w:tc>
        <w:tc>
          <w:tcPr>
            <w:tcW w:w="418" w:type="pct"/>
            <w:tcBorders>
              <w:top w:val="nil"/>
              <w:left w:val="nil"/>
              <w:bottom w:val="nil"/>
              <w:right w:val="nil"/>
            </w:tcBorders>
            <w:shd w:val="clear" w:color="auto" w:fill="auto"/>
            <w:vAlign w:val="bottom"/>
          </w:tcPr>
          <w:p w14:paraId="045D8837" w14:textId="70A9655B" w:rsidR="001042A0" w:rsidRPr="00417C24" w:rsidRDefault="001042A0" w:rsidP="001042A0">
            <w:pPr>
              <w:tabs>
                <w:tab w:val="right" w:pos="1202"/>
              </w:tabs>
              <w:spacing w:after="0" w:line="240" w:lineRule="exact"/>
              <w:jc w:val="right"/>
              <w:outlineLvl w:val="0"/>
              <w:rPr>
                <w:rFonts w:ascii="Calibri" w:eastAsia="Times New Roman" w:hAnsi="Calibri" w:cs="Arial"/>
                <w:sz w:val="15"/>
                <w:szCs w:val="15"/>
                <w:lang w:val="en-US"/>
              </w:rPr>
            </w:pPr>
            <w:r w:rsidRPr="00417C24">
              <w:rPr>
                <w:sz w:val="15"/>
                <w:szCs w:val="15"/>
              </w:rPr>
              <w:t xml:space="preserve"> (1)</w:t>
            </w:r>
          </w:p>
        </w:tc>
        <w:tc>
          <w:tcPr>
            <w:tcW w:w="420" w:type="pct"/>
            <w:tcBorders>
              <w:top w:val="nil"/>
              <w:left w:val="nil"/>
              <w:bottom w:val="nil"/>
              <w:right w:val="nil"/>
            </w:tcBorders>
            <w:shd w:val="clear" w:color="auto" w:fill="auto"/>
            <w:vAlign w:val="bottom"/>
          </w:tcPr>
          <w:p w14:paraId="133F47DA" w14:textId="48751EAB" w:rsidR="001042A0" w:rsidRPr="00417C24" w:rsidRDefault="001042A0" w:rsidP="005643FC">
            <w:pPr>
              <w:tabs>
                <w:tab w:val="right" w:pos="1202"/>
              </w:tabs>
              <w:spacing w:after="0" w:line="240" w:lineRule="exact"/>
              <w:outlineLvl w:val="0"/>
              <w:rPr>
                <w:rFonts w:ascii="Calibri" w:eastAsia="Times New Roman" w:hAnsi="Calibri" w:cs="Arial"/>
                <w:sz w:val="15"/>
                <w:szCs w:val="15"/>
                <w:lang w:val="en-US"/>
              </w:rPr>
            </w:pPr>
            <w:r w:rsidRPr="00417C24">
              <w:rPr>
                <w:sz w:val="15"/>
                <w:szCs w:val="15"/>
              </w:rPr>
              <w:t>(33</w:t>
            </w:r>
            <w:r w:rsidR="00BB12B9" w:rsidRPr="00417C24">
              <w:rPr>
                <w:sz w:val="15"/>
                <w:szCs w:val="15"/>
              </w:rPr>
              <w:t>,</w:t>
            </w:r>
            <w:r w:rsidRPr="00417C24">
              <w:rPr>
                <w:sz w:val="15"/>
                <w:szCs w:val="15"/>
              </w:rPr>
              <w:t>499)</w:t>
            </w:r>
          </w:p>
        </w:tc>
        <w:tc>
          <w:tcPr>
            <w:tcW w:w="420" w:type="pct"/>
            <w:tcBorders>
              <w:top w:val="nil"/>
              <w:left w:val="nil"/>
              <w:bottom w:val="nil"/>
              <w:right w:val="nil"/>
            </w:tcBorders>
            <w:vAlign w:val="bottom"/>
          </w:tcPr>
          <w:p w14:paraId="7DB42D90" w14:textId="43C46B56" w:rsidR="001042A0" w:rsidRPr="00417C24" w:rsidRDefault="001042A0" w:rsidP="001042A0">
            <w:pPr>
              <w:tabs>
                <w:tab w:val="right" w:pos="1202"/>
              </w:tabs>
              <w:spacing w:after="0" w:line="240" w:lineRule="exact"/>
              <w:jc w:val="right"/>
              <w:outlineLvl w:val="0"/>
              <w:rPr>
                <w:rFonts w:ascii="Calibri" w:eastAsia="Times New Roman" w:hAnsi="Calibri" w:cs="Arial"/>
                <w:sz w:val="15"/>
                <w:szCs w:val="15"/>
                <w:lang w:val="en-US"/>
              </w:rPr>
            </w:pPr>
            <w:r w:rsidRPr="00417C24">
              <w:rPr>
                <w:sz w:val="15"/>
                <w:szCs w:val="15"/>
              </w:rPr>
              <w:t xml:space="preserve"> (250)</w:t>
            </w:r>
          </w:p>
        </w:tc>
        <w:tc>
          <w:tcPr>
            <w:tcW w:w="420" w:type="pct"/>
            <w:tcBorders>
              <w:top w:val="nil"/>
              <w:left w:val="nil"/>
              <w:bottom w:val="nil"/>
              <w:right w:val="nil"/>
            </w:tcBorders>
            <w:shd w:val="clear" w:color="auto" w:fill="auto"/>
            <w:vAlign w:val="bottom"/>
          </w:tcPr>
          <w:p w14:paraId="0444F66F" w14:textId="6B44D1A6" w:rsidR="001042A0" w:rsidRPr="00417C24" w:rsidRDefault="001042A0" w:rsidP="005643FC">
            <w:pPr>
              <w:tabs>
                <w:tab w:val="right" w:pos="1202"/>
              </w:tabs>
              <w:spacing w:after="0" w:line="240" w:lineRule="exact"/>
              <w:outlineLvl w:val="0"/>
              <w:rPr>
                <w:rFonts w:ascii="Calibri" w:eastAsia="Times New Roman" w:hAnsi="Calibri" w:cs="Arial"/>
                <w:b/>
                <w:bCs/>
                <w:sz w:val="15"/>
                <w:szCs w:val="15"/>
                <w:lang w:val="en-US"/>
              </w:rPr>
            </w:pPr>
            <w:r w:rsidRPr="00417C24">
              <w:rPr>
                <w:b/>
                <w:bCs/>
                <w:sz w:val="15"/>
                <w:szCs w:val="15"/>
              </w:rPr>
              <w:t>(33</w:t>
            </w:r>
            <w:r w:rsidR="00BB12B9" w:rsidRPr="00417C24">
              <w:rPr>
                <w:b/>
                <w:bCs/>
                <w:sz w:val="15"/>
                <w:szCs w:val="15"/>
              </w:rPr>
              <w:t>,</w:t>
            </w:r>
            <w:r w:rsidRPr="00417C24">
              <w:rPr>
                <w:b/>
                <w:bCs/>
                <w:sz w:val="15"/>
                <w:szCs w:val="15"/>
              </w:rPr>
              <w:t>975)</w:t>
            </w:r>
          </w:p>
        </w:tc>
        <w:tc>
          <w:tcPr>
            <w:tcW w:w="420" w:type="pct"/>
            <w:tcBorders>
              <w:top w:val="nil"/>
              <w:left w:val="nil"/>
              <w:bottom w:val="nil"/>
              <w:right w:val="nil"/>
            </w:tcBorders>
            <w:shd w:val="clear" w:color="auto" w:fill="auto"/>
            <w:vAlign w:val="bottom"/>
          </w:tcPr>
          <w:p w14:paraId="64AEC362" w14:textId="528944FB" w:rsidR="001042A0" w:rsidRPr="00417C24" w:rsidRDefault="001042A0" w:rsidP="001042A0">
            <w:pPr>
              <w:tabs>
                <w:tab w:val="right" w:pos="1202"/>
              </w:tabs>
              <w:spacing w:after="0" w:line="240" w:lineRule="exact"/>
              <w:jc w:val="right"/>
              <w:outlineLvl w:val="0"/>
              <w:rPr>
                <w:rFonts w:ascii="Calibri" w:eastAsia="Times New Roman" w:hAnsi="Calibri" w:cs="Arial"/>
                <w:sz w:val="15"/>
                <w:szCs w:val="15"/>
                <w:lang w:val="en-US"/>
              </w:rPr>
            </w:pPr>
            <w:r w:rsidRPr="00417C24">
              <w:rPr>
                <w:sz w:val="15"/>
                <w:szCs w:val="15"/>
              </w:rPr>
              <w:t xml:space="preserve"> (14)</w:t>
            </w:r>
          </w:p>
        </w:tc>
        <w:tc>
          <w:tcPr>
            <w:tcW w:w="420" w:type="pct"/>
            <w:tcBorders>
              <w:top w:val="nil"/>
              <w:left w:val="nil"/>
              <w:bottom w:val="nil"/>
              <w:right w:val="nil"/>
            </w:tcBorders>
            <w:shd w:val="clear" w:color="auto" w:fill="auto"/>
            <w:vAlign w:val="bottom"/>
          </w:tcPr>
          <w:p w14:paraId="1F8A763F" w14:textId="772839C8" w:rsidR="001042A0" w:rsidRPr="00417C24" w:rsidRDefault="001042A0" w:rsidP="001042A0">
            <w:pPr>
              <w:tabs>
                <w:tab w:val="right" w:pos="1202"/>
              </w:tabs>
              <w:spacing w:after="0" w:line="240" w:lineRule="exact"/>
              <w:jc w:val="right"/>
              <w:outlineLvl w:val="0"/>
              <w:rPr>
                <w:rFonts w:ascii="Calibri" w:eastAsia="Times New Roman" w:hAnsi="Calibri" w:cs="Arial"/>
                <w:sz w:val="15"/>
                <w:szCs w:val="15"/>
                <w:lang w:val="en-US"/>
              </w:rPr>
            </w:pPr>
            <w:r w:rsidRPr="00417C24">
              <w:rPr>
                <w:sz w:val="15"/>
                <w:szCs w:val="15"/>
              </w:rPr>
              <w:t>(1)</w:t>
            </w:r>
          </w:p>
        </w:tc>
        <w:tc>
          <w:tcPr>
            <w:tcW w:w="418" w:type="pct"/>
            <w:tcBorders>
              <w:top w:val="nil"/>
              <w:left w:val="nil"/>
              <w:bottom w:val="nil"/>
              <w:right w:val="nil"/>
            </w:tcBorders>
            <w:shd w:val="clear" w:color="auto" w:fill="auto"/>
            <w:vAlign w:val="bottom"/>
          </w:tcPr>
          <w:p w14:paraId="1DE71B17" w14:textId="0B8C3C04" w:rsidR="001042A0" w:rsidRPr="00417C24" w:rsidRDefault="001042A0" w:rsidP="005643FC">
            <w:pPr>
              <w:tabs>
                <w:tab w:val="right" w:pos="1202"/>
              </w:tabs>
              <w:spacing w:after="0" w:line="240" w:lineRule="exact"/>
              <w:outlineLvl w:val="0"/>
              <w:rPr>
                <w:rFonts w:ascii="Calibri" w:eastAsia="Times New Roman" w:hAnsi="Calibri" w:cs="Arial"/>
                <w:sz w:val="15"/>
                <w:szCs w:val="15"/>
                <w:lang w:val="en-US"/>
              </w:rPr>
            </w:pPr>
            <w:r w:rsidRPr="00417C24">
              <w:rPr>
                <w:sz w:val="15"/>
                <w:szCs w:val="15"/>
              </w:rPr>
              <w:t>(33</w:t>
            </w:r>
            <w:r w:rsidR="00BB12B9" w:rsidRPr="00417C24">
              <w:rPr>
                <w:sz w:val="15"/>
                <w:szCs w:val="15"/>
              </w:rPr>
              <w:t>,</w:t>
            </w:r>
            <w:r w:rsidRPr="00417C24">
              <w:rPr>
                <w:sz w:val="15"/>
                <w:szCs w:val="15"/>
              </w:rPr>
              <w:t>499)</w:t>
            </w:r>
          </w:p>
        </w:tc>
        <w:tc>
          <w:tcPr>
            <w:tcW w:w="416" w:type="pct"/>
            <w:tcBorders>
              <w:top w:val="nil"/>
              <w:left w:val="nil"/>
              <w:bottom w:val="nil"/>
              <w:right w:val="nil"/>
            </w:tcBorders>
            <w:vAlign w:val="bottom"/>
          </w:tcPr>
          <w:p w14:paraId="460710C8" w14:textId="1FCB3F1F" w:rsidR="001042A0" w:rsidRPr="00417C24" w:rsidRDefault="001042A0" w:rsidP="001042A0">
            <w:pPr>
              <w:tabs>
                <w:tab w:val="right" w:pos="1202"/>
              </w:tabs>
              <w:spacing w:after="0" w:line="240" w:lineRule="exact"/>
              <w:jc w:val="right"/>
              <w:outlineLvl w:val="0"/>
              <w:rPr>
                <w:rFonts w:ascii="Calibri" w:eastAsia="Times New Roman" w:hAnsi="Calibri" w:cs="Arial"/>
                <w:sz w:val="15"/>
                <w:szCs w:val="15"/>
                <w:lang w:val="en-US"/>
              </w:rPr>
            </w:pPr>
            <w:r w:rsidRPr="00417C24">
              <w:rPr>
                <w:sz w:val="15"/>
                <w:szCs w:val="15"/>
              </w:rPr>
              <w:t xml:space="preserve"> (250)</w:t>
            </w:r>
          </w:p>
        </w:tc>
        <w:tc>
          <w:tcPr>
            <w:tcW w:w="470" w:type="pct"/>
            <w:tcBorders>
              <w:top w:val="nil"/>
              <w:left w:val="nil"/>
              <w:bottom w:val="nil"/>
              <w:right w:val="nil"/>
            </w:tcBorders>
            <w:shd w:val="clear" w:color="auto" w:fill="auto"/>
            <w:vAlign w:val="bottom"/>
          </w:tcPr>
          <w:p w14:paraId="181B90D1" w14:textId="47C23C77" w:rsidR="001042A0" w:rsidRPr="00417C24" w:rsidRDefault="001042A0" w:rsidP="005643FC">
            <w:pPr>
              <w:tabs>
                <w:tab w:val="right" w:pos="1202"/>
              </w:tabs>
              <w:spacing w:after="0" w:line="240" w:lineRule="exact"/>
              <w:outlineLvl w:val="0"/>
              <w:rPr>
                <w:rFonts w:ascii="Calibri" w:eastAsia="Times New Roman" w:hAnsi="Calibri" w:cs="Arial"/>
                <w:b/>
                <w:bCs/>
                <w:sz w:val="15"/>
                <w:szCs w:val="15"/>
                <w:lang w:val="en-US"/>
              </w:rPr>
            </w:pPr>
            <w:r w:rsidRPr="00417C24">
              <w:rPr>
                <w:b/>
                <w:bCs/>
                <w:sz w:val="15"/>
                <w:szCs w:val="15"/>
              </w:rPr>
              <w:t>(33</w:t>
            </w:r>
            <w:r w:rsidR="00BB12B9" w:rsidRPr="00417C24">
              <w:rPr>
                <w:b/>
                <w:bCs/>
                <w:sz w:val="15"/>
                <w:szCs w:val="15"/>
              </w:rPr>
              <w:t>,</w:t>
            </w:r>
            <w:r w:rsidRPr="00417C24">
              <w:rPr>
                <w:b/>
                <w:bCs/>
                <w:sz w:val="15"/>
                <w:szCs w:val="15"/>
              </w:rPr>
              <w:t>764)</w:t>
            </w:r>
          </w:p>
        </w:tc>
      </w:tr>
      <w:tr w:rsidR="001042A0" w:rsidRPr="00417C24" w14:paraId="66B271B6" w14:textId="77777777" w:rsidTr="00417C24">
        <w:trPr>
          <w:trHeight w:val="444"/>
        </w:trPr>
        <w:tc>
          <w:tcPr>
            <w:tcW w:w="760" w:type="pct"/>
            <w:vAlign w:val="bottom"/>
            <w:hideMark/>
          </w:tcPr>
          <w:p w14:paraId="39564765" w14:textId="6858CDA1" w:rsidR="001042A0" w:rsidRPr="00417C24" w:rsidRDefault="001042A0" w:rsidP="001042A0">
            <w:pPr>
              <w:tabs>
                <w:tab w:val="right" w:pos="1202"/>
              </w:tabs>
              <w:spacing w:after="0" w:line="240" w:lineRule="exact"/>
              <w:outlineLvl w:val="0"/>
              <w:rPr>
                <w:rFonts w:ascii="Calibri" w:eastAsia="Times New Roman" w:hAnsi="Calibri" w:cs="Arial"/>
                <w:b/>
                <w:iCs/>
                <w:sz w:val="15"/>
                <w:szCs w:val="15"/>
                <w:lang w:val="en-US"/>
              </w:rPr>
            </w:pPr>
            <w:bookmarkStart w:id="478" w:name="_Toc4059775"/>
            <w:r w:rsidRPr="00417C24">
              <w:rPr>
                <w:rFonts w:ascii="Calibri" w:eastAsia="Times New Roman" w:hAnsi="Calibri" w:cs="Arial"/>
                <w:b/>
                <w:iCs/>
                <w:sz w:val="15"/>
                <w:szCs w:val="15"/>
                <w:lang w:val="en-US"/>
              </w:rPr>
              <w:t>Balance as of 31 March 202</w:t>
            </w:r>
            <w:bookmarkEnd w:id="478"/>
            <w:r w:rsidRPr="00417C24">
              <w:rPr>
                <w:rFonts w:ascii="Calibri" w:eastAsia="Times New Roman" w:hAnsi="Calibri" w:cs="Arial"/>
                <w:b/>
                <w:iCs/>
                <w:sz w:val="15"/>
                <w:szCs w:val="15"/>
                <w:lang w:val="en-US"/>
              </w:rPr>
              <w:t>2</w:t>
            </w:r>
          </w:p>
        </w:tc>
        <w:tc>
          <w:tcPr>
            <w:tcW w:w="418" w:type="pct"/>
            <w:tcBorders>
              <w:top w:val="single" w:sz="4" w:space="0" w:color="auto"/>
              <w:left w:val="nil"/>
              <w:bottom w:val="single" w:sz="12" w:space="0" w:color="auto"/>
              <w:right w:val="nil"/>
            </w:tcBorders>
            <w:shd w:val="clear" w:color="auto" w:fill="auto"/>
            <w:vAlign w:val="bottom"/>
          </w:tcPr>
          <w:p w14:paraId="3DFDB04E" w14:textId="06E1FD5C" w:rsidR="001042A0" w:rsidRPr="00417C24" w:rsidRDefault="001042A0" w:rsidP="001042A0">
            <w:pPr>
              <w:tabs>
                <w:tab w:val="right" w:pos="1202"/>
              </w:tabs>
              <w:spacing w:after="0" w:line="240" w:lineRule="exact"/>
              <w:jc w:val="right"/>
              <w:outlineLvl w:val="0"/>
              <w:rPr>
                <w:rFonts w:ascii="Calibri" w:eastAsia="Times New Roman" w:hAnsi="Calibri" w:cs="Arial"/>
                <w:sz w:val="15"/>
                <w:szCs w:val="15"/>
                <w:lang w:val="en-US"/>
              </w:rPr>
            </w:pPr>
            <w:r w:rsidRPr="00417C24">
              <w:rPr>
                <w:b/>
                <w:bCs/>
                <w:sz w:val="15"/>
                <w:szCs w:val="15"/>
              </w:rPr>
              <w:t>4</w:t>
            </w:r>
            <w:r w:rsidR="00BB12B9" w:rsidRPr="00417C24">
              <w:rPr>
                <w:b/>
                <w:bCs/>
                <w:sz w:val="15"/>
                <w:szCs w:val="15"/>
              </w:rPr>
              <w:t>,</w:t>
            </w:r>
            <w:r w:rsidRPr="00417C24">
              <w:rPr>
                <w:b/>
                <w:bCs/>
                <w:sz w:val="15"/>
                <w:szCs w:val="15"/>
              </w:rPr>
              <w:t>913</w:t>
            </w:r>
          </w:p>
        </w:tc>
        <w:tc>
          <w:tcPr>
            <w:tcW w:w="418" w:type="pct"/>
            <w:tcBorders>
              <w:top w:val="single" w:sz="4" w:space="0" w:color="auto"/>
              <w:left w:val="nil"/>
              <w:bottom w:val="single" w:sz="12" w:space="0" w:color="auto"/>
              <w:right w:val="nil"/>
            </w:tcBorders>
            <w:shd w:val="clear" w:color="auto" w:fill="auto"/>
            <w:vAlign w:val="bottom"/>
          </w:tcPr>
          <w:p w14:paraId="4861662B" w14:textId="2B35FE55" w:rsidR="001042A0" w:rsidRPr="00417C24" w:rsidRDefault="001042A0" w:rsidP="001042A0">
            <w:pPr>
              <w:tabs>
                <w:tab w:val="right" w:pos="1202"/>
              </w:tabs>
              <w:spacing w:after="0" w:line="240" w:lineRule="exact"/>
              <w:jc w:val="right"/>
              <w:outlineLvl w:val="0"/>
              <w:rPr>
                <w:rFonts w:ascii="Calibri" w:eastAsia="Times New Roman" w:hAnsi="Calibri" w:cs="Arial"/>
                <w:sz w:val="15"/>
                <w:szCs w:val="15"/>
                <w:lang w:val="en-US"/>
              </w:rPr>
            </w:pPr>
            <w:r w:rsidRPr="00417C24">
              <w:rPr>
                <w:b/>
                <w:bCs/>
                <w:sz w:val="15"/>
                <w:szCs w:val="15"/>
              </w:rPr>
              <w:t xml:space="preserve"> 3 </w:t>
            </w:r>
          </w:p>
        </w:tc>
        <w:tc>
          <w:tcPr>
            <w:tcW w:w="420" w:type="pct"/>
            <w:tcBorders>
              <w:top w:val="single" w:sz="4" w:space="0" w:color="auto"/>
              <w:left w:val="nil"/>
              <w:bottom w:val="single" w:sz="12" w:space="0" w:color="auto"/>
              <w:right w:val="nil"/>
            </w:tcBorders>
            <w:shd w:val="clear" w:color="auto" w:fill="auto"/>
            <w:vAlign w:val="bottom"/>
          </w:tcPr>
          <w:p w14:paraId="5B99648C" w14:textId="516AD1A1" w:rsidR="001042A0" w:rsidRPr="00417C24" w:rsidRDefault="001042A0" w:rsidP="001042A0">
            <w:pPr>
              <w:tabs>
                <w:tab w:val="right" w:pos="1202"/>
              </w:tabs>
              <w:spacing w:after="0" w:line="240" w:lineRule="exact"/>
              <w:jc w:val="right"/>
              <w:outlineLvl w:val="0"/>
              <w:rPr>
                <w:rFonts w:ascii="Calibri" w:eastAsia="Times New Roman" w:hAnsi="Calibri" w:cs="Arial"/>
                <w:sz w:val="15"/>
                <w:szCs w:val="15"/>
                <w:lang w:val="en-US"/>
              </w:rPr>
            </w:pPr>
            <w:r w:rsidRPr="00417C24">
              <w:rPr>
                <w:b/>
                <w:bCs/>
                <w:sz w:val="15"/>
                <w:szCs w:val="15"/>
              </w:rPr>
              <w:t xml:space="preserve"> 861 </w:t>
            </w:r>
          </w:p>
        </w:tc>
        <w:tc>
          <w:tcPr>
            <w:tcW w:w="420" w:type="pct"/>
            <w:tcBorders>
              <w:top w:val="single" w:sz="4" w:space="0" w:color="auto"/>
              <w:left w:val="nil"/>
              <w:bottom w:val="single" w:sz="12" w:space="0" w:color="auto"/>
              <w:right w:val="nil"/>
            </w:tcBorders>
            <w:vAlign w:val="bottom"/>
          </w:tcPr>
          <w:p w14:paraId="26B34267" w14:textId="09F8E3A9" w:rsidR="001042A0" w:rsidRPr="00417C24" w:rsidRDefault="001042A0" w:rsidP="001042A0">
            <w:pPr>
              <w:tabs>
                <w:tab w:val="right" w:pos="1202"/>
              </w:tabs>
              <w:spacing w:after="0" w:line="240" w:lineRule="exact"/>
              <w:jc w:val="right"/>
              <w:outlineLvl w:val="0"/>
              <w:rPr>
                <w:rFonts w:ascii="Calibri" w:eastAsia="Times New Roman" w:hAnsi="Calibri" w:cs="Arial"/>
                <w:sz w:val="15"/>
                <w:szCs w:val="15"/>
                <w:lang w:val="en-US"/>
              </w:rPr>
            </w:pPr>
            <w:r w:rsidRPr="00417C24">
              <w:rPr>
                <w:b/>
                <w:bCs/>
                <w:sz w:val="15"/>
                <w:szCs w:val="15"/>
              </w:rPr>
              <w:t xml:space="preserve"> 60 </w:t>
            </w:r>
          </w:p>
        </w:tc>
        <w:tc>
          <w:tcPr>
            <w:tcW w:w="420" w:type="pct"/>
            <w:tcBorders>
              <w:top w:val="single" w:sz="4" w:space="0" w:color="auto"/>
              <w:left w:val="nil"/>
              <w:bottom w:val="single" w:sz="12" w:space="0" w:color="auto"/>
              <w:right w:val="nil"/>
            </w:tcBorders>
            <w:shd w:val="clear" w:color="auto" w:fill="auto"/>
            <w:vAlign w:val="bottom"/>
          </w:tcPr>
          <w:p w14:paraId="46072057" w14:textId="637AB0B8" w:rsidR="001042A0" w:rsidRPr="00417C24" w:rsidRDefault="001042A0" w:rsidP="001042A0">
            <w:pPr>
              <w:tabs>
                <w:tab w:val="right" w:pos="1202"/>
              </w:tabs>
              <w:spacing w:after="0" w:line="240" w:lineRule="exact"/>
              <w:jc w:val="right"/>
              <w:outlineLvl w:val="0"/>
              <w:rPr>
                <w:rFonts w:ascii="Calibri" w:eastAsia="Times New Roman" w:hAnsi="Calibri" w:cs="Arial"/>
                <w:sz w:val="15"/>
                <w:szCs w:val="15"/>
                <w:lang w:val="en-US"/>
              </w:rPr>
            </w:pPr>
            <w:r w:rsidRPr="00417C24">
              <w:rPr>
                <w:b/>
                <w:bCs/>
                <w:sz w:val="15"/>
                <w:szCs w:val="15"/>
              </w:rPr>
              <w:t xml:space="preserve"> 5</w:t>
            </w:r>
            <w:r w:rsidR="00BB12B9" w:rsidRPr="00417C24">
              <w:rPr>
                <w:b/>
                <w:bCs/>
                <w:sz w:val="15"/>
                <w:szCs w:val="15"/>
              </w:rPr>
              <w:t>,</w:t>
            </w:r>
            <w:r w:rsidRPr="00417C24">
              <w:rPr>
                <w:b/>
                <w:bCs/>
                <w:sz w:val="15"/>
                <w:szCs w:val="15"/>
              </w:rPr>
              <w:t xml:space="preserve">837 </w:t>
            </w:r>
          </w:p>
        </w:tc>
        <w:tc>
          <w:tcPr>
            <w:tcW w:w="420" w:type="pct"/>
            <w:tcBorders>
              <w:top w:val="single" w:sz="4" w:space="0" w:color="auto"/>
              <w:left w:val="nil"/>
              <w:bottom w:val="single" w:sz="12" w:space="0" w:color="auto"/>
              <w:right w:val="nil"/>
            </w:tcBorders>
            <w:shd w:val="clear" w:color="auto" w:fill="auto"/>
            <w:vAlign w:val="bottom"/>
          </w:tcPr>
          <w:p w14:paraId="1A7088EB" w14:textId="7B03C609" w:rsidR="001042A0" w:rsidRPr="00417C24" w:rsidRDefault="001042A0" w:rsidP="001042A0">
            <w:pPr>
              <w:tabs>
                <w:tab w:val="right" w:pos="1202"/>
              </w:tabs>
              <w:spacing w:after="0" w:line="240" w:lineRule="exact"/>
              <w:jc w:val="right"/>
              <w:outlineLvl w:val="0"/>
              <w:rPr>
                <w:rFonts w:ascii="Calibri" w:eastAsia="Times New Roman" w:hAnsi="Calibri" w:cs="Arial"/>
                <w:sz w:val="15"/>
                <w:szCs w:val="15"/>
                <w:lang w:val="en-US"/>
              </w:rPr>
            </w:pPr>
            <w:r w:rsidRPr="00417C24">
              <w:rPr>
                <w:b/>
                <w:bCs/>
                <w:sz w:val="15"/>
                <w:szCs w:val="15"/>
              </w:rPr>
              <w:t xml:space="preserve"> 2</w:t>
            </w:r>
            <w:r w:rsidR="00BB12B9" w:rsidRPr="00417C24">
              <w:rPr>
                <w:b/>
                <w:bCs/>
                <w:sz w:val="15"/>
                <w:szCs w:val="15"/>
              </w:rPr>
              <w:t>,</w:t>
            </w:r>
            <w:r w:rsidRPr="00417C24">
              <w:rPr>
                <w:b/>
                <w:bCs/>
                <w:sz w:val="15"/>
                <w:szCs w:val="15"/>
              </w:rPr>
              <w:t xml:space="preserve">084 </w:t>
            </w:r>
          </w:p>
        </w:tc>
        <w:tc>
          <w:tcPr>
            <w:tcW w:w="420" w:type="pct"/>
            <w:tcBorders>
              <w:top w:val="single" w:sz="4" w:space="0" w:color="auto"/>
              <w:left w:val="nil"/>
              <w:bottom w:val="single" w:sz="12" w:space="0" w:color="auto"/>
              <w:right w:val="nil"/>
            </w:tcBorders>
            <w:shd w:val="clear" w:color="auto" w:fill="auto"/>
            <w:vAlign w:val="bottom"/>
          </w:tcPr>
          <w:p w14:paraId="6A4154A5" w14:textId="7564064D" w:rsidR="001042A0" w:rsidRPr="00417C24" w:rsidRDefault="001042A0" w:rsidP="001042A0">
            <w:pPr>
              <w:tabs>
                <w:tab w:val="right" w:pos="1202"/>
              </w:tabs>
              <w:spacing w:after="0" w:line="240" w:lineRule="exact"/>
              <w:jc w:val="right"/>
              <w:outlineLvl w:val="0"/>
              <w:rPr>
                <w:rFonts w:ascii="Calibri" w:eastAsia="Times New Roman" w:hAnsi="Calibri" w:cs="Arial"/>
                <w:sz w:val="15"/>
                <w:szCs w:val="15"/>
                <w:lang w:val="en-US"/>
              </w:rPr>
            </w:pPr>
            <w:r w:rsidRPr="00417C24">
              <w:rPr>
                <w:b/>
                <w:bCs/>
                <w:sz w:val="15"/>
                <w:szCs w:val="15"/>
              </w:rPr>
              <w:t>3</w:t>
            </w:r>
          </w:p>
        </w:tc>
        <w:tc>
          <w:tcPr>
            <w:tcW w:w="418" w:type="pct"/>
            <w:tcBorders>
              <w:top w:val="single" w:sz="4" w:space="0" w:color="auto"/>
              <w:left w:val="nil"/>
              <w:bottom w:val="single" w:sz="12" w:space="0" w:color="auto"/>
              <w:right w:val="nil"/>
            </w:tcBorders>
            <w:shd w:val="clear" w:color="auto" w:fill="auto"/>
            <w:vAlign w:val="bottom"/>
          </w:tcPr>
          <w:p w14:paraId="67591D66" w14:textId="1952BD33" w:rsidR="001042A0" w:rsidRPr="00417C24" w:rsidRDefault="001042A0" w:rsidP="001042A0">
            <w:pPr>
              <w:tabs>
                <w:tab w:val="right" w:pos="1202"/>
              </w:tabs>
              <w:spacing w:after="0" w:line="240" w:lineRule="exact"/>
              <w:jc w:val="right"/>
              <w:outlineLvl w:val="0"/>
              <w:rPr>
                <w:rFonts w:ascii="Calibri" w:eastAsia="Times New Roman" w:hAnsi="Calibri" w:cs="Arial"/>
                <w:sz w:val="15"/>
                <w:szCs w:val="15"/>
                <w:lang w:val="en-US"/>
              </w:rPr>
            </w:pPr>
            <w:r w:rsidRPr="00417C24">
              <w:rPr>
                <w:b/>
                <w:bCs/>
                <w:sz w:val="15"/>
                <w:szCs w:val="15"/>
              </w:rPr>
              <w:t xml:space="preserve"> 861 </w:t>
            </w:r>
          </w:p>
        </w:tc>
        <w:tc>
          <w:tcPr>
            <w:tcW w:w="416" w:type="pct"/>
            <w:tcBorders>
              <w:top w:val="single" w:sz="4" w:space="0" w:color="auto"/>
              <w:left w:val="nil"/>
              <w:bottom w:val="single" w:sz="12" w:space="0" w:color="auto"/>
              <w:right w:val="nil"/>
            </w:tcBorders>
            <w:vAlign w:val="bottom"/>
          </w:tcPr>
          <w:p w14:paraId="60C9BBA1" w14:textId="1630FF82" w:rsidR="001042A0" w:rsidRPr="00417C24" w:rsidRDefault="001042A0" w:rsidP="001042A0">
            <w:pPr>
              <w:tabs>
                <w:tab w:val="right" w:pos="1202"/>
              </w:tabs>
              <w:spacing w:after="0" w:line="240" w:lineRule="exact"/>
              <w:jc w:val="right"/>
              <w:outlineLvl w:val="0"/>
              <w:rPr>
                <w:rFonts w:ascii="Calibri" w:eastAsia="Times New Roman" w:hAnsi="Calibri" w:cs="Arial"/>
                <w:sz w:val="15"/>
                <w:szCs w:val="15"/>
                <w:lang w:val="en-US"/>
              </w:rPr>
            </w:pPr>
            <w:r w:rsidRPr="00417C24">
              <w:rPr>
                <w:b/>
                <w:bCs/>
                <w:sz w:val="15"/>
                <w:szCs w:val="15"/>
              </w:rPr>
              <w:t xml:space="preserve"> 60 </w:t>
            </w:r>
          </w:p>
        </w:tc>
        <w:tc>
          <w:tcPr>
            <w:tcW w:w="470" w:type="pct"/>
            <w:tcBorders>
              <w:top w:val="single" w:sz="4" w:space="0" w:color="auto"/>
              <w:left w:val="nil"/>
              <w:bottom w:val="single" w:sz="12" w:space="0" w:color="auto"/>
              <w:right w:val="nil"/>
            </w:tcBorders>
            <w:shd w:val="clear" w:color="auto" w:fill="auto"/>
            <w:vAlign w:val="bottom"/>
          </w:tcPr>
          <w:p w14:paraId="362FE6B5" w14:textId="25E9EA29" w:rsidR="001042A0" w:rsidRPr="00417C24" w:rsidRDefault="001042A0" w:rsidP="001042A0">
            <w:pPr>
              <w:tabs>
                <w:tab w:val="right" w:pos="1202"/>
              </w:tabs>
              <w:spacing w:after="0" w:line="240" w:lineRule="exact"/>
              <w:jc w:val="right"/>
              <w:outlineLvl w:val="0"/>
              <w:rPr>
                <w:rFonts w:ascii="Calibri" w:eastAsia="Times New Roman" w:hAnsi="Calibri" w:cs="Arial"/>
                <w:sz w:val="15"/>
                <w:szCs w:val="15"/>
                <w:lang w:val="en-US"/>
              </w:rPr>
            </w:pPr>
            <w:r w:rsidRPr="00417C24">
              <w:rPr>
                <w:b/>
                <w:bCs/>
                <w:sz w:val="15"/>
                <w:szCs w:val="15"/>
              </w:rPr>
              <w:t xml:space="preserve"> 3</w:t>
            </w:r>
            <w:r w:rsidR="00BB12B9" w:rsidRPr="00417C24">
              <w:rPr>
                <w:b/>
                <w:bCs/>
                <w:sz w:val="15"/>
                <w:szCs w:val="15"/>
              </w:rPr>
              <w:t>,</w:t>
            </w:r>
            <w:r w:rsidRPr="00417C24">
              <w:rPr>
                <w:b/>
                <w:bCs/>
                <w:sz w:val="15"/>
                <w:szCs w:val="15"/>
              </w:rPr>
              <w:t xml:space="preserve">008 </w:t>
            </w:r>
          </w:p>
        </w:tc>
      </w:tr>
    </w:tbl>
    <w:p w14:paraId="1EBC9008" w14:textId="59BAA9B1" w:rsidR="00AE3B39" w:rsidRPr="00537128" w:rsidRDefault="00AE3B39" w:rsidP="00AA378C">
      <w:pPr>
        <w:spacing w:after="0" w:line="240" w:lineRule="auto"/>
        <w:jc w:val="both"/>
        <w:rPr>
          <w:rFonts w:ascii="Calibri" w:eastAsia="Times New Roman" w:hAnsi="Calibri" w:cs="Times New Roman"/>
          <w:color w:val="000000" w:themeColor="text1"/>
          <w:sz w:val="18"/>
          <w:szCs w:val="18"/>
          <w:lang w:val="en-US"/>
        </w:rPr>
      </w:pPr>
    </w:p>
    <w:tbl>
      <w:tblPr>
        <w:tblW w:w="5157" w:type="pct"/>
        <w:tblInd w:w="-142" w:type="dxa"/>
        <w:tblLayout w:type="fixed"/>
        <w:tblLook w:val="04A0" w:firstRow="1" w:lastRow="0" w:firstColumn="1" w:lastColumn="0" w:noHBand="0" w:noVBand="1"/>
      </w:tblPr>
      <w:tblGrid>
        <w:gridCol w:w="1276"/>
        <w:gridCol w:w="851"/>
        <w:gridCol w:w="850"/>
        <w:gridCol w:w="782"/>
        <w:gridCol w:w="799"/>
        <w:gridCol w:w="786"/>
        <w:gridCol w:w="786"/>
        <w:gridCol w:w="786"/>
        <w:gridCol w:w="782"/>
        <w:gridCol w:w="779"/>
        <w:gridCol w:w="880"/>
      </w:tblGrid>
      <w:tr w:rsidR="00417C24" w:rsidRPr="00417C24" w14:paraId="0B8E4DF5" w14:textId="77777777" w:rsidTr="00417C24">
        <w:trPr>
          <w:trHeight w:val="314"/>
        </w:trPr>
        <w:tc>
          <w:tcPr>
            <w:tcW w:w="682" w:type="pct"/>
            <w:vAlign w:val="bottom"/>
            <w:hideMark/>
          </w:tcPr>
          <w:p w14:paraId="68972CA4" w14:textId="50C99738" w:rsidR="00CC5E14" w:rsidRPr="00417C24" w:rsidRDefault="00CC5E14" w:rsidP="00CC5E14">
            <w:pPr>
              <w:tabs>
                <w:tab w:val="left" w:pos="-720"/>
              </w:tabs>
              <w:suppressAutoHyphens/>
              <w:spacing w:after="0" w:line="220" w:lineRule="exact"/>
              <w:rPr>
                <w:rFonts w:ascii="Calibri" w:eastAsia="Times New Roman" w:hAnsi="Calibri" w:cs="Arial"/>
                <w:b/>
                <w:sz w:val="15"/>
                <w:szCs w:val="15"/>
                <w:lang w:val="en-US"/>
              </w:rPr>
            </w:pPr>
            <w:r w:rsidRPr="00417C24">
              <w:rPr>
                <w:rFonts w:ascii="Calibri" w:eastAsia="Times New Roman" w:hAnsi="Calibri" w:cs="Arial"/>
                <w:b/>
                <w:sz w:val="15"/>
                <w:szCs w:val="15"/>
                <w:lang w:val="en-US"/>
              </w:rPr>
              <w:t>31 December 202</w:t>
            </w:r>
            <w:r w:rsidR="003F1F4B" w:rsidRPr="00417C24">
              <w:rPr>
                <w:rFonts w:ascii="Calibri" w:eastAsia="Times New Roman" w:hAnsi="Calibri" w:cs="Arial"/>
                <w:b/>
                <w:sz w:val="15"/>
                <w:szCs w:val="15"/>
                <w:lang w:val="en-US"/>
              </w:rPr>
              <w:t>1</w:t>
            </w:r>
          </w:p>
        </w:tc>
        <w:tc>
          <w:tcPr>
            <w:tcW w:w="455" w:type="pct"/>
            <w:vAlign w:val="bottom"/>
          </w:tcPr>
          <w:p w14:paraId="0A98849F" w14:textId="77777777" w:rsidR="00CC5E14" w:rsidRPr="00417C24" w:rsidRDefault="00CC5E14" w:rsidP="00CC5E14">
            <w:pPr>
              <w:tabs>
                <w:tab w:val="right" w:pos="1202"/>
              </w:tabs>
              <w:spacing w:after="0" w:line="240" w:lineRule="atLeast"/>
              <w:jc w:val="right"/>
              <w:outlineLvl w:val="0"/>
              <w:rPr>
                <w:rFonts w:ascii="Calibri" w:eastAsia="Times New Roman" w:hAnsi="Calibri" w:cs="Arial"/>
                <w:b/>
                <w:sz w:val="15"/>
                <w:szCs w:val="15"/>
                <w:lang w:val="en-US"/>
              </w:rPr>
            </w:pPr>
          </w:p>
        </w:tc>
        <w:tc>
          <w:tcPr>
            <w:tcW w:w="454" w:type="pct"/>
            <w:vAlign w:val="bottom"/>
          </w:tcPr>
          <w:p w14:paraId="1824709A" w14:textId="77777777" w:rsidR="00CC5E14" w:rsidRPr="00417C24" w:rsidRDefault="00CC5E14" w:rsidP="00CC5E14">
            <w:pPr>
              <w:tabs>
                <w:tab w:val="right" w:pos="1202"/>
              </w:tabs>
              <w:spacing w:after="0" w:line="240" w:lineRule="atLeast"/>
              <w:jc w:val="right"/>
              <w:outlineLvl w:val="0"/>
              <w:rPr>
                <w:rFonts w:ascii="Calibri" w:eastAsia="Times New Roman" w:hAnsi="Calibri" w:cs="Arial"/>
                <w:b/>
                <w:sz w:val="15"/>
                <w:szCs w:val="15"/>
                <w:lang w:val="en-US"/>
              </w:rPr>
            </w:pPr>
          </w:p>
        </w:tc>
        <w:tc>
          <w:tcPr>
            <w:tcW w:w="418" w:type="pct"/>
            <w:vAlign w:val="bottom"/>
          </w:tcPr>
          <w:p w14:paraId="49007732" w14:textId="77777777" w:rsidR="00CC5E14" w:rsidRPr="00417C24"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p>
        </w:tc>
        <w:tc>
          <w:tcPr>
            <w:tcW w:w="427" w:type="pct"/>
          </w:tcPr>
          <w:p w14:paraId="31E99C4C" w14:textId="77777777" w:rsidR="00CC5E14" w:rsidRPr="00417C24" w:rsidRDefault="00CC5E14" w:rsidP="00CC5E14">
            <w:pPr>
              <w:tabs>
                <w:tab w:val="right" w:pos="1202"/>
              </w:tabs>
              <w:spacing w:after="0" w:line="240" w:lineRule="atLeast"/>
              <w:jc w:val="right"/>
              <w:outlineLvl w:val="0"/>
              <w:rPr>
                <w:rFonts w:ascii="Calibri" w:eastAsia="Times New Roman" w:hAnsi="Calibri" w:cs="Arial"/>
                <w:b/>
                <w:sz w:val="15"/>
                <w:szCs w:val="15"/>
                <w:lang w:val="en-US"/>
              </w:rPr>
            </w:pPr>
          </w:p>
        </w:tc>
        <w:tc>
          <w:tcPr>
            <w:tcW w:w="420" w:type="pct"/>
            <w:vAlign w:val="bottom"/>
            <w:hideMark/>
          </w:tcPr>
          <w:p w14:paraId="6A1DCEFF" w14:textId="77777777" w:rsidR="00CC5E14" w:rsidRPr="00417C24" w:rsidRDefault="00CC5E14" w:rsidP="00CC5E14">
            <w:pPr>
              <w:tabs>
                <w:tab w:val="right" w:pos="1202"/>
              </w:tabs>
              <w:spacing w:after="0" w:line="240" w:lineRule="atLeast"/>
              <w:jc w:val="right"/>
              <w:outlineLvl w:val="0"/>
              <w:rPr>
                <w:rFonts w:ascii="Calibri" w:eastAsia="Times New Roman" w:hAnsi="Calibri" w:cs="Arial"/>
                <w:b/>
                <w:sz w:val="15"/>
                <w:szCs w:val="15"/>
                <w:lang w:val="en-US"/>
              </w:rPr>
            </w:pPr>
            <w:r w:rsidRPr="00417C24">
              <w:rPr>
                <w:rFonts w:ascii="Calibri" w:eastAsia="Times New Roman" w:hAnsi="Calibri" w:cs="Arial"/>
                <w:b/>
                <w:sz w:val="15"/>
                <w:szCs w:val="15"/>
                <w:lang w:val="en-US"/>
              </w:rPr>
              <w:t>Group</w:t>
            </w:r>
          </w:p>
        </w:tc>
        <w:tc>
          <w:tcPr>
            <w:tcW w:w="420" w:type="pct"/>
            <w:vAlign w:val="bottom"/>
          </w:tcPr>
          <w:p w14:paraId="149B001B" w14:textId="77777777" w:rsidR="00CC5E14" w:rsidRPr="00417C24" w:rsidRDefault="00CC5E14" w:rsidP="00CC5E14">
            <w:pPr>
              <w:tabs>
                <w:tab w:val="right" w:pos="1202"/>
              </w:tabs>
              <w:spacing w:after="0" w:line="240" w:lineRule="atLeast"/>
              <w:jc w:val="right"/>
              <w:outlineLvl w:val="0"/>
              <w:rPr>
                <w:rFonts w:ascii="Calibri" w:eastAsia="Times New Roman" w:hAnsi="Calibri" w:cs="Arial"/>
                <w:b/>
                <w:sz w:val="15"/>
                <w:szCs w:val="15"/>
                <w:lang w:val="en-US"/>
              </w:rPr>
            </w:pPr>
          </w:p>
        </w:tc>
        <w:tc>
          <w:tcPr>
            <w:tcW w:w="420" w:type="pct"/>
            <w:vAlign w:val="bottom"/>
          </w:tcPr>
          <w:p w14:paraId="195FBBC4" w14:textId="77777777" w:rsidR="00CC5E14" w:rsidRPr="00417C24" w:rsidRDefault="00CC5E14" w:rsidP="00CC5E14">
            <w:pPr>
              <w:tabs>
                <w:tab w:val="right" w:pos="1202"/>
              </w:tabs>
              <w:spacing w:after="0" w:line="240" w:lineRule="atLeast"/>
              <w:jc w:val="right"/>
              <w:outlineLvl w:val="0"/>
              <w:rPr>
                <w:rFonts w:ascii="Calibri" w:eastAsia="Times New Roman" w:hAnsi="Calibri" w:cs="Arial"/>
                <w:b/>
                <w:sz w:val="15"/>
                <w:szCs w:val="15"/>
                <w:lang w:val="en-US"/>
              </w:rPr>
            </w:pPr>
          </w:p>
        </w:tc>
        <w:tc>
          <w:tcPr>
            <w:tcW w:w="418" w:type="pct"/>
            <w:vAlign w:val="bottom"/>
          </w:tcPr>
          <w:p w14:paraId="08B30B46" w14:textId="77777777" w:rsidR="00CC5E14" w:rsidRPr="00417C24"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p>
        </w:tc>
        <w:tc>
          <w:tcPr>
            <w:tcW w:w="416" w:type="pct"/>
          </w:tcPr>
          <w:p w14:paraId="57C43154" w14:textId="77777777" w:rsidR="00CC5E14" w:rsidRPr="00417C24"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p>
        </w:tc>
        <w:tc>
          <w:tcPr>
            <w:tcW w:w="470" w:type="pct"/>
            <w:vAlign w:val="bottom"/>
            <w:hideMark/>
          </w:tcPr>
          <w:p w14:paraId="1CA54680" w14:textId="77777777" w:rsidR="00CC5E14" w:rsidRPr="00417C24"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r w:rsidRPr="00417C24">
              <w:rPr>
                <w:rFonts w:ascii="Calibri" w:eastAsia="Times New Roman" w:hAnsi="Calibri" w:cs="Arial"/>
                <w:b/>
                <w:sz w:val="15"/>
                <w:szCs w:val="15"/>
                <w:lang w:val="en-US"/>
              </w:rPr>
              <w:t>Bank</w:t>
            </w:r>
          </w:p>
        </w:tc>
      </w:tr>
      <w:tr w:rsidR="00417C24" w:rsidRPr="00417C24" w14:paraId="71B82F0A" w14:textId="77777777" w:rsidTr="00417C24">
        <w:trPr>
          <w:trHeight w:val="242"/>
        </w:trPr>
        <w:tc>
          <w:tcPr>
            <w:tcW w:w="682" w:type="pct"/>
            <w:vAlign w:val="bottom"/>
          </w:tcPr>
          <w:p w14:paraId="6D515EFB" w14:textId="77777777" w:rsidR="00CC5E14" w:rsidRPr="00417C24" w:rsidRDefault="00CC5E14" w:rsidP="00CC5E14">
            <w:pPr>
              <w:tabs>
                <w:tab w:val="left" w:pos="-720"/>
              </w:tabs>
              <w:suppressAutoHyphens/>
              <w:spacing w:after="0" w:line="220" w:lineRule="exact"/>
              <w:rPr>
                <w:rFonts w:ascii="Calibri" w:eastAsia="Times New Roman" w:hAnsi="Calibri" w:cs="Arial"/>
                <w:sz w:val="15"/>
                <w:szCs w:val="15"/>
                <w:lang w:val="en-US"/>
              </w:rPr>
            </w:pPr>
          </w:p>
        </w:tc>
        <w:tc>
          <w:tcPr>
            <w:tcW w:w="455" w:type="pct"/>
            <w:vAlign w:val="bottom"/>
            <w:hideMark/>
          </w:tcPr>
          <w:p w14:paraId="65B5BF1D" w14:textId="77777777" w:rsidR="00CC5E14" w:rsidRPr="00417C24"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r w:rsidRPr="00417C24">
              <w:rPr>
                <w:rFonts w:ascii="Calibri" w:eastAsia="Times New Roman" w:hAnsi="Calibri" w:cs="Arial"/>
                <w:b/>
                <w:sz w:val="15"/>
                <w:szCs w:val="15"/>
                <w:lang w:val="en-US"/>
              </w:rPr>
              <w:t>Stage 1</w:t>
            </w:r>
          </w:p>
        </w:tc>
        <w:tc>
          <w:tcPr>
            <w:tcW w:w="454" w:type="pct"/>
            <w:vAlign w:val="bottom"/>
            <w:hideMark/>
          </w:tcPr>
          <w:p w14:paraId="0871A629" w14:textId="77777777" w:rsidR="00CC5E14" w:rsidRPr="00417C24"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r w:rsidRPr="00417C24">
              <w:rPr>
                <w:rFonts w:ascii="Calibri" w:eastAsia="Times New Roman" w:hAnsi="Calibri" w:cs="Arial"/>
                <w:b/>
                <w:sz w:val="15"/>
                <w:szCs w:val="15"/>
                <w:lang w:val="en-US"/>
              </w:rPr>
              <w:t>Stage 2</w:t>
            </w:r>
          </w:p>
        </w:tc>
        <w:tc>
          <w:tcPr>
            <w:tcW w:w="418" w:type="pct"/>
            <w:vAlign w:val="bottom"/>
            <w:hideMark/>
          </w:tcPr>
          <w:p w14:paraId="0B003895" w14:textId="77777777" w:rsidR="00CC5E14" w:rsidRPr="00417C24"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r w:rsidRPr="00417C24">
              <w:rPr>
                <w:rFonts w:ascii="Calibri" w:eastAsia="Times New Roman" w:hAnsi="Calibri" w:cs="Arial"/>
                <w:b/>
                <w:sz w:val="15"/>
                <w:szCs w:val="15"/>
                <w:lang w:val="en-US"/>
              </w:rPr>
              <w:t>Stage 3</w:t>
            </w:r>
          </w:p>
        </w:tc>
        <w:tc>
          <w:tcPr>
            <w:tcW w:w="427" w:type="pct"/>
            <w:hideMark/>
          </w:tcPr>
          <w:p w14:paraId="22875CC2" w14:textId="77777777" w:rsidR="00CC5E14" w:rsidRPr="00417C24"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r w:rsidRPr="00417C24">
              <w:rPr>
                <w:rFonts w:ascii="Calibri" w:eastAsia="Times New Roman" w:hAnsi="Calibri" w:cs="Arial"/>
                <w:b/>
                <w:sz w:val="15"/>
                <w:szCs w:val="15"/>
                <w:lang w:val="en-US"/>
              </w:rPr>
              <w:t>POCI</w:t>
            </w:r>
          </w:p>
        </w:tc>
        <w:tc>
          <w:tcPr>
            <w:tcW w:w="420" w:type="pct"/>
            <w:vAlign w:val="bottom"/>
            <w:hideMark/>
          </w:tcPr>
          <w:p w14:paraId="3DFE53E5" w14:textId="77777777" w:rsidR="00CC5E14" w:rsidRPr="00417C24"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r w:rsidRPr="00417C24">
              <w:rPr>
                <w:rFonts w:ascii="Calibri" w:eastAsia="Times New Roman" w:hAnsi="Calibri" w:cs="Arial"/>
                <w:b/>
                <w:sz w:val="15"/>
                <w:szCs w:val="15"/>
                <w:lang w:val="en-US"/>
              </w:rPr>
              <w:t>Total</w:t>
            </w:r>
          </w:p>
        </w:tc>
        <w:tc>
          <w:tcPr>
            <w:tcW w:w="420" w:type="pct"/>
            <w:vAlign w:val="bottom"/>
            <w:hideMark/>
          </w:tcPr>
          <w:p w14:paraId="60E554BA" w14:textId="77777777" w:rsidR="00CC5E14" w:rsidRPr="00417C24"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r w:rsidRPr="00417C24">
              <w:rPr>
                <w:rFonts w:ascii="Calibri" w:eastAsia="Times New Roman" w:hAnsi="Calibri" w:cs="Arial"/>
                <w:b/>
                <w:sz w:val="15"/>
                <w:szCs w:val="15"/>
                <w:lang w:val="en-US"/>
              </w:rPr>
              <w:t>Stage 1</w:t>
            </w:r>
          </w:p>
        </w:tc>
        <w:tc>
          <w:tcPr>
            <w:tcW w:w="420" w:type="pct"/>
            <w:vAlign w:val="bottom"/>
            <w:hideMark/>
          </w:tcPr>
          <w:p w14:paraId="58F049EC" w14:textId="77777777" w:rsidR="00CC5E14" w:rsidRPr="00417C24"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r w:rsidRPr="00417C24">
              <w:rPr>
                <w:rFonts w:ascii="Calibri" w:eastAsia="Times New Roman" w:hAnsi="Calibri" w:cs="Arial"/>
                <w:b/>
                <w:sz w:val="15"/>
                <w:szCs w:val="15"/>
                <w:lang w:val="en-US"/>
              </w:rPr>
              <w:t>Stage 2</w:t>
            </w:r>
          </w:p>
        </w:tc>
        <w:tc>
          <w:tcPr>
            <w:tcW w:w="418" w:type="pct"/>
            <w:vAlign w:val="bottom"/>
            <w:hideMark/>
          </w:tcPr>
          <w:p w14:paraId="1550C139" w14:textId="77777777" w:rsidR="00CC5E14" w:rsidRPr="00417C24"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r w:rsidRPr="00417C24">
              <w:rPr>
                <w:rFonts w:ascii="Calibri" w:eastAsia="Times New Roman" w:hAnsi="Calibri" w:cs="Arial"/>
                <w:b/>
                <w:sz w:val="15"/>
                <w:szCs w:val="15"/>
                <w:lang w:val="en-US"/>
              </w:rPr>
              <w:t>Stage 3</w:t>
            </w:r>
          </w:p>
        </w:tc>
        <w:tc>
          <w:tcPr>
            <w:tcW w:w="416" w:type="pct"/>
            <w:hideMark/>
          </w:tcPr>
          <w:p w14:paraId="56115D0E" w14:textId="77777777" w:rsidR="00CC5E14" w:rsidRPr="00417C24"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r w:rsidRPr="00417C24">
              <w:rPr>
                <w:rFonts w:ascii="Calibri" w:eastAsia="Times New Roman" w:hAnsi="Calibri" w:cs="Arial"/>
                <w:b/>
                <w:sz w:val="15"/>
                <w:szCs w:val="15"/>
                <w:lang w:val="en-US"/>
              </w:rPr>
              <w:t>POCI</w:t>
            </w:r>
          </w:p>
        </w:tc>
        <w:tc>
          <w:tcPr>
            <w:tcW w:w="470" w:type="pct"/>
            <w:vAlign w:val="bottom"/>
            <w:hideMark/>
          </w:tcPr>
          <w:p w14:paraId="732BC883" w14:textId="77777777" w:rsidR="00CC5E14" w:rsidRPr="00417C24"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r w:rsidRPr="00417C24">
              <w:rPr>
                <w:rFonts w:ascii="Calibri" w:eastAsia="Times New Roman" w:hAnsi="Calibri" w:cs="Arial"/>
                <w:b/>
                <w:sz w:val="15"/>
                <w:szCs w:val="15"/>
                <w:lang w:val="en-US"/>
              </w:rPr>
              <w:t>Total</w:t>
            </w:r>
          </w:p>
        </w:tc>
      </w:tr>
      <w:tr w:rsidR="00417C24" w:rsidRPr="00417C24" w14:paraId="6C05FD0B" w14:textId="77777777" w:rsidTr="00417C24">
        <w:trPr>
          <w:trHeight w:val="242"/>
        </w:trPr>
        <w:tc>
          <w:tcPr>
            <w:tcW w:w="682" w:type="pct"/>
            <w:vAlign w:val="bottom"/>
          </w:tcPr>
          <w:p w14:paraId="41F190BD" w14:textId="77777777" w:rsidR="00417C24" w:rsidRPr="00417C24" w:rsidRDefault="00417C24" w:rsidP="00417C24">
            <w:pPr>
              <w:tabs>
                <w:tab w:val="left" w:pos="-720"/>
              </w:tabs>
              <w:suppressAutoHyphens/>
              <w:spacing w:after="0" w:line="220" w:lineRule="exact"/>
              <w:rPr>
                <w:rFonts w:ascii="Calibri" w:eastAsia="Times New Roman" w:hAnsi="Calibri" w:cs="Arial"/>
                <w:sz w:val="15"/>
                <w:szCs w:val="15"/>
                <w:lang w:val="en-US"/>
              </w:rPr>
            </w:pPr>
          </w:p>
        </w:tc>
        <w:tc>
          <w:tcPr>
            <w:tcW w:w="455" w:type="pct"/>
            <w:vAlign w:val="bottom"/>
            <w:hideMark/>
          </w:tcPr>
          <w:p w14:paraId="6B4A711C" w14:textId="29D13A18" w:rsidR="00417C24" w:rsidRPr="00417C24" w:rsidRDefault="00417C24" w:rsidP="00417C24">
            <w:pPr>
              <w:tabs>
                <w:tab w:val="right" w:pos="1202"/>
              </w:tabs>
              <w:spacing w:after="0" w:line="220" w:lineRule="exact"/>
              <w:jc w:val="right"/>
              <w:outlineLvl w:val="0"/>
              <w:rPr>
                <w:rFonts w:ascii="Calibri" w:eastAsia="Times New Roman" w:hAnsi="Calibri" w:cs="Arial"/>
                <w:b/>
                <w:sz w:val="15"/>
                <w:szCs w:val="15"/>
                <w:lang w:val="en-US"/>
              </w:rPr>
            </w:pPr>
            <w:r w:rsidRPr="00417C24">
              <w:rPr>
                <w:rFonts w:ascii="Calibri" w:eastAsia="Times New Roman" w:hAnsi="Calibri" w:cs="Arial"/>
                <w:b/>
                <w:sz w:val="15"/>
                <w:szCs w:val="15"/>
                <w:lang w:val="en-US"/>
              </w:rPr>
              <w:t>HRK ‘000</w:t>
            </w:r>
          </w:p>
        </w:tc>
        <w:tc>
          <w:tcPr>
            <w:tcW w:w="454" w:type="pct"/>
            <w:vAlign w:val="bottom"/>
            <w:hideMark/>
          </w:tcPr>
          <w:p w14:paraId="21E21FD5" w14:textId="7190D11B" w:rsidR="00417C24" w:rsidRPr="00417C24" w:rsidRDefault="00417C24" w:rsidP="00417C24">
            <w:pPr>
              <w:tabs>
                <w:tab w:val="right" w:pos="1202"/>
              </w:tabs>
              <w:spacing w:after="0" w:line="220" w:lineRule="exact"/>
              <w:jc w:val="right"/>
              <w:outlineLvl w:val="0"/>
              <w:rPr>
                <w:rFonts w:ascii="Calibri" w:eastAsia="Times New Roman" w:hAnsi="Calibri" w:cs="Arial"/>
                <w:b/>
                <w:sz w:val="15"/>
                <w:szCs w:val="15"/>
                <w:lang w:val="en-US"/>
              </w:rPr>
            </w:pPr>
            <w:r w:rsidRPr="00417C24">
              <w:rPr>
                <w:rFonts w:ascii="Calibri" w:eastAsia="Times New Roman" w:hAnsi="Calibri" w:cs="Arial"/>
                <w:b/>
                <w:sz w:val="15"/>
                <w:szCs w:val="15"/>
                <w:lang w:val="en-US"/>
              </w:rPr>
              <w:t>HRK ‘000</w:t>
            </w:r>
          </w:p>
        </w:tc>
        <w:tc>
          <w:tcPr>
            <w:tcW w:w="418" w:type="pct"/>
            <w:vAlign w:val="bottom"/>
            <w:hideMark/>
          </w:tcPr>
          <w:p w14:paraId="7AEBEE24" w14:textId="790B1C3C" w:rsidR="00417C24" w:rsidRPr="00417C24" w:rsidRDefault="00417C24" w:rsidP="00417C24">
            <w:pPr>
              <w:tabs>
                <w:tab w:val="right" w:pos="1202"/>
              </w:tabs>
              <w:spacing w:after="0" w:line="220" w:lineRule="exact"/>
              <w:jc w:val="right"/>
              <w:outlineLvl w:val="0"/>
              <w:rPr>
                <w:rFonts w:ascii="Calibri" w:eastAsia="Times New Roman" w:hAnsi="Calibri" w:cs="Arial"/>
                <w:b/>
                <w:sz w:val="15"/>
                <w:szCs w:val="15"/>
                <w:lang w:val="en-US"/>
              </w:rPr>
            </w:pPr>
            <w:r w:rsidRPr="00417C24">
              <w:rPr>
                <w:rFonts w:ascii="Calibri" w:eastAsia="Times New Roman" w:hAnsi="Calibri" w:cs="Arial"/>
                <w:b/>
                <w:sz w:val="15"/>
                <w:szCs w:val="15"/>
                <w:lang w:val="en-US"/>
              </w:rPr>
              <w:t>HRK ‘000</w:t>
            </w:r>
          </w:p>
        </w:tc>
        <w:tc>
          <w:tcPr>
            <w:tcW w:w="427" w:type="pct"/>
            <w:vAlign w:val="bottom"/>
            <w:hideMark/>
          </w:tcPr>
          <w:p w14:paraId="481BCB05" w14:textId="50ACA7B1" w:rsidR="00417C24" w:rsidRPr="00417C24" w:rsidRDefault="00417C24" w:rsidP="00417C24">
            <w:pPr>
              <w:tabs>
                <w:tab w:val="right" w:pos="1202"/>
              </w:tabs>
              <w:spacing w:after="0" w:line="220" w:lineRule="exact"/>
              <w:outlineLvl w:val="0"/>
              <w:rPr>
                <w:rFonts w:ascii="Calibri" w:eastAsia="Times New Roman" w:hAnsi="Calibri" w:cs="Arial"/>
                <w:b/>
                <w:sz w:val="15"/>
                <w:szCs w:val="15"/>
                <w:lang w:val="en-US"/>
              </w:rPr>
            </w:pPr>
            <w:r w:rsidRPr="00417C24">
              <w:rPr>
                <w:rFonts w:ascii="Calibri" w:eastAsia="Times New Roman" w:hAnsi="Calibri" w:cs="Arial"/>
                <w:b/>
                <w:sz w:val="15"/>
                <w:szCs w:val="15"/>
                <w:lang w:val="en-US"/>
              </w:rPr>
              <w:t>HRK</w:t>
            </w:r>
            <w:r>
              <w:rPr>
                <w:rFonts w:ascii="Calibri" w:eastAsia="Times New Roman" w:hAnsi="Calibri" w:cs="Arial"/>
                <w:b/>
                <w:sz w:val="15"/>
                <w:szCs w:val="15"/>
                <w:lang w:val="en-US"/>
              </w:rPr>
              <w:t xml:space="preserve"> ‘</w:t>
            </w:r>
            <w:r w:rsidRPr="00417C24">
              <w:rPr>
                <w:rFonts w:ascii="Calibri" w:eastAsia="Times New Roman" w:hAnsi="Calibri" w:cs="Arial"/>
                <w:b/>
                <w:sz w:val="15"/>
                <w:szCs w:val="15"/>
                <w:lang w:val="en-US"/>
              </w:rPr>
              <w:t>000</w:t>
            </w:r>
          </w:p>
        </w:tc>
        <w:tc>
          <w:tcPr>
            <w:tcW w:w="420" w:type="pct"/>
            <w:vAlign w:val="bottom"/>
            <w:hideMark/>
          </w:tcPr>
          <w:p w14:paraId="6D48670A" w14:textId="0054030B" w:rsidR="00417C24" w:rsidRPr="00417C24" w:rsidRDefault="00417C24" w:rsidP="00417C24">
            <w:pPr>
              <w:tabs>
                <w:tab w:val="right" w:pos="1202"/>
              </w:tabs>
              <w:spacing w:after="0" w:line="220" w:lineRule="exact"/>
              <w:jc w:val="right"/>
              <w:outlineLvl w:val="0"/>
              <w:rPr>
                <w:rFonts w:ascii="Calibri" w:eastAsia="Times New Roman" w:hAnsi="Calibri" w:cs="Arial"/>
                <w:b/>
                <w:sz w:val="15"/>
                <w:szCs w:val="15"/>
                <w:lang w:val="en-US"/>
              </w:rPr>
            </w:pPr>
            <w:r w:rsidRPr="00417C24">
              <w:rPr>
                <w:rFonts w:ascii="Calibri" w:eastAsia="Times New Roman" w:hAnsi="Calibri" w:cs="Arial"/>
                <w:b/>
                <w:sz w:val="15"/>
                <w:szCs w:val="15"/>
                <w:lang w:val="en-US"/>
              </w:rPr>
              <w:t>HRK ‘000</w:t>
            </w:r>
          </w:p>
        </w:tc>
        <w:tc>
          <w:tcPr>
            <w:tcW w:w="420" w:type="pct"/>
            <w:vAlign w:val="bottom"/>
            <w:hideMark/>
          </w:tcPr>
          <w:p w14:paraId="0DA5DDE0" w14:textId="13C19A44" w:rsidR="00417C24" w:rsidRPr="00417C24" w:rsidRDefault="00417C24" w:rsidP="00417C24">
            <w:pPr>
              <w:tabs>
                <w:tab w:val="right" w:pos="1202"/>
              </w:tabs>
              <w:spacing w:after="0" w:line="220" w:lineRule="exact"/>
              <w:jc w:val="right"/>
              <w:outlineLvl w:val="0"/>
              <w:rPr>
                <w:rFonts w:ascii="Calibri" w:eastAsia="Times New Roman" w:hAnsi="Calibri" w:cs="Arial"/>
                <w:b/>
                <w:sz w:val="15"/>
                <w:szCs w:val="15"/>
                <w:lang w:val="en-US"/>
              </w:rPr>
            </w:pPr>
            <w:r w:rsidRPr="00417C24">
              <w:rPr>
                <w:rFonts w:ascii="Calibri" w:eastAsia="Times New Roman" w:hAnsi="Calibri" w:cs="Arial"/>
                <w:b/>
                <w:sz w:val="15"/>
                <w:szCs w:val="15"/>
                <w:lang w:val="en-US"/>
              </w:rPr>
              <w:t>HRK ‘000</w:t>
            </w:r>
          </w:p>
        </w:tc>
        <w:tc>
          <w:tcPr>
            <w:tcW w:w="420" w:type="pct"/>
            <w:vAlign w:val="bottom"/>
            <w:hideMark/>
          </w:tcPr>
          <w:p w14:paraId="2F3D9BF0" w14:textId="30DF09A6" w:rsidR="00417C24" w:rsidRPr="00417C24" w:rsidRDefault="00417C24" w:rsidP="00417C24">
            <w:pPr>
              <w:tabs>
                <w:tab w:val="right" w:pos="1202"/>
              </w:tabs>
              <w:spacing w:after="0" w:line="220" w:lineRule="exact"/>
              <w:jc w:val="right"/>
              <w:outlineLvl w:val="0"/>
              <w:rPr>
                <w:rFonts w:ascii="Calibri" w:eastAsia="Times New Roman" w:hAnsi="Calibri" w:cs="Arial"/>
                <w:b/>
                <w:sz w:val="15"/>
                <w:szCs w:val="15"/>
                <w:lang w:val="en-US"/>
              </w:rPr>
            </w:pPr>
            <w:r w:rsidRPr="00417C24">
              <w:rPr>
                <w:rFonts w:ascii="Calibri" w:eastAsia="Times New Roman" w:hAnsi="Calibri" w:cs="Arial"/>
                <w:b/>
                <w:sz w:val="15"/>
                <w:szCs w:val="15"/>
                <w:lang w:val="en-US"/>
              </w:rPr>
              <w:t>HRK ‘000</w:t>
            </w:r>
          </w:p>
        </w:tc>
        <w:tc>
          <w:tcPr>
            <w:tcW w:w="418" w:type="pct"/>
            <w:vAlign w:val="bottom"/>
            <w:hideMark/>
          </w:tcPr>
          <w:p w14:paraId="69941D8D" w14:textId="51905B54" w:rsidR="00417C24" w:rsidRPr="00417C24" w:rsidRDefault="00417C24" w:rsidP="00417C24">
            <w:pPr>
              <w:tabs>
                <w:tab w:val="right" w:pos="1202"/>
              </w:tabs>
              <w:spacing w:after="0" w:line="220" w:lineRule="exact"/>
              <w:jc w:val="right"/>
              <w:outlineLvl w:val="0"/>
              <w:rPr>
                <w:rFonts w:ascii="Calibri" w:eastAsia="Times New Roman" w:hAnsi="Calibri" w:cs="Arial"/>
                <w:b/>
                <w:sz w:val="15"/>
                <w:szCs w:val="15"/>
                <w:lang w:val="en-US"/>
              </w:rPr>
            </w:pPr>
            <w:r w:rsidRPr="00417C24">
              <w:rPr>
                <w:rFonts w:ascii="Calibri" w:eastAsia="Times New Roman" w:hAnsi="Calibri" w:cs="Arial"/>
                <w:b/>
                <w:sz w:val="15"/>
                <w:szCs w:val="15"/>
                <w:lang w:val="en-US"/>
              </w:rPr>
              <w:t>HRK ‘000</w:t>
            </w:r>
          </w:p>
        </w:tc>
        <w:tc>
          <w:tcPr>
            <w:tcW w:w="416" w:type="pct"/>
            <w:vAlign w:val="bottom"/>
            <w:hideMark/>
          </w:tcPr>
          <w:p w14:paraId="723EA27B" w14:textId="3C9596B2" w:rsidR="00417C24" w:rsidRPr="00417C24" w:rsidRDefault="00417C24" w:rsidP="00417C24">
            <w:pPr>
              <w:tabs>
                <w:tab w:val="right" w:pos="1202"/>
              </w:tabs>
              <w:spacing w:after="0" w:line="220" w:lineRule="exact"/>
              <w:jc w:val="right"/>
              <w:outlineLvl w:val="0"/>
              <w:rPr>
                <w:rFonts w:ascii="Calibri" w:eastAsia="Times New Roman" w:hAnsi="Calibri" w:cs="Arial"/>
                <w:b/>
                <w:sz w:val="15"/>
                <w:szCs w:val="15"/>
                <w:lang w:val="en-US"/>
              </w:rPr>
            </w:pPr>
            <w:r w:rsidRPr="00417C24">
              <w:rPr>
                <w:rFonts w:ascii="Calibri" w:eastAsia="Times New Roman" w:hAnsi="Calibri" w:cs="Arial"/>
                <w:b/>
                <w:sz w:val="15"/>
                <w:szCs w:val="15"/>
                <w:lang w:val="en-US"/>
              </w:rPr>
              <w:t>HRK ‘000</w:t>
            </w:r>
          </w:p>
        </w:tc>
        <w:tc>
          <w:tcPr>
            <w:tcW w:w="470" w:type="pct"/>
            <w:vAlign w:val="bottom"/>
            <w:hideMark/>
          </w:tcPr>
          <w:p w14:paraId="67EC36FA" w14:textId="424E5200" w:rsidR="00417C24" w:rsidRPr="00417C24" w:rsidRDefault="00417C24" w:rsidP="00417C24">
            <w:pPr>
              <w:tabs>
                <w:tab w:val="right" w:pos="1202"/>
              </w:tabs>
              <w:spacing w:after="0" w:line="220" w:lineRule="exact"/>
              <w:jc w:val="right"/>
              <w:outlineLvl w:val="0"/>
              <w:rPr>
                <w:rFonts w:ascii="Calibri" w:eastAsia="Times New Roman" w:hAnsi="Calibri" w:cs="Arial"/>
                <w:b/>
                <w:sz w:val="15"/>
                <w:szCs w:val="15"/>
                <w:lang w:val="en-US"/>
              </w:rPr>
            </w:pPr>
            <w:r w:rsidRPr="00417C24">
              <w:rPr>
                <w:rFonts w:ascii="Calibri" w:eastAsia="Times New Roman" w:hAnsi="Calibri" w:cs="Arial"/>
                <w:b/>
                <w:sz w:val="15"/>
                <w:szCs w:val="15"/>
                <w:lang w:val="en-US"/>
              </w:rPr>
              <w:t>HRK ‘000</w:t>
            </w:r>
          </w:p>
        </w:tc>
      </w:tr>
      <w:tr w:rsidR="00417C24" w:rsidRPr="00417C24" w14:paraId="156B9CD9" w14:textId="77777777" w:rsidTr="00417C24">
        <w:trPr>
          <w:trHeight w:val="171"/>
        </w:trPr>
        <w:tc>
          <w:tcPr>
            <w:tcW w:w="682" w:type="pct"/>
            <w:vAlign w:val="bottom"/>
          </w:tcPr>
          <w:p w14:paraId="3CC9823D" w14:textId="77777777" w:rsidR="00417C24" w:rsidRPr="00417C24" w:rsidRDefault="00417C24" w:rsidP="00417C24">
            <w:pPr>
              <w:tabs>
                <w:tab w:val="left" w:pos="-720"/>
              </w:tabs>
              <w:suppressAutoHyphens/>
              <w:spacing w:after="0" w:line="140" w:lineRule="exact"/>
              <w:rPr>
                <w:rFonts w:ascii="Calibri" w:eastAsia="Times New Roman" w:hAnsi="Calibri" w:cs="Arial"/>
                <w:sz w:val="15"/>
                <w:szCs w:val="15"/>
                <w:lang w:val="en-US"/>
              </w:rPr>
            </w:pPr>
          </w:p>
        </w:tc>
        <w:tc>
          <w:tcPr>
            <w:tcW w:w="455" w:type="pct"/>
            <w:vAlign w:val="bottom"/>
          </w:tcPr>
          <w:p w14:paraId="19961FBA" w14:textId="77777777" w:rsidR="00417C24" w:rsidRPr="00417C24" w:rsidRDefault="00417C24" w:rsidP="00417C24">
            <w:pPr>
              <w:tabs>
                <w:tab w:val="right" w:pos="1202"/>
              </w:tabs>
              <w:spacing w:after="0" w:line="140" w:lineRule="exact"/>
              <w:jc w:val="right"/>
              <w:outlineLvl w:val="0"/>
              <w:rPr>
                <w:rFonts w:ascii="Calibri" w:eastAsia="Times New Roman" w:hAnsi="Calibri" w:cs="Arial"/>
                <w:b/>
                <w:sz w:val="15"/>
                <w:szCs w:val="15"/>
                <w:lang w:val="en-US"/>
              </w:rPr>
            </w:pPr>
          </w:p>
        </w:tc>
        <w:tc>
          <w:tcPr>
            <w:tcW w:w="454" w:type="pct"/>
            <w:vAlign w:val="bottom"/>
          </w:tcPr>
          <w:p w14:paraId="2F4BD393" w14:textId="77777777" w:rsidR="00417C24" w:rsidRPr="00417C24" w:rsidRDefault="00417C24" w:rsidP="00417C24">
            <w:pPr>
              <w:tabs>
                <w:tab w:val="right" w:pos="1202"/>
              </w:tabs>
              <w:spacing w:after="0" w:line="140" w:lineRule="exact"/>
              <w:jc w:val="right"/>
              <w:outlineLvl w:val="0"/>
              <w:rPr>
                <w:rFonts w:ascii="Calibri" w:eastAsia="Times New Roman" w:hAnsi="Calibri" w:cs="Arial"/>
                <w:b/>
                <w:sz w:val="15"/>
                <w:szCs w:val="15"/>
                <w:lang w:val="en-US"/>
              </w:rPr>
            </w:pPr>
          </w:p>
        </w:tc>
        <w:tc>
          <w:tcPr>
            <w:tcW w:w="418" w:type="pct"/>
            <w:vAlign w:val="bottom"/>
          </w:tcPr>
          <w:p w14:paraId="0B00804D" w14:textId="77777777" w:rsidR="00417C24" w:rsidRPr="00417C24" w:rsidRDefault="00417C24" w:rsidP="00417C24">
            <w:pPr>
              <w:tabs>
                <w:tab w:val="right" w:pos="1202"/>
              </w:tabs>
              <w:spacing w:after="0" w:line="140" w:lineRule="exact"/>
              <w:jc w:val="right"/>
              <w:outlineLvl w:val="0"/>
              <w:rPr>
                <w:rFonts w:ascii="Calibri" w:eastAsia="Times New Roman" w:hAnsi="Calibri" w:cs="Arial"/>
                <w:b/>
                <w:sz w:val="15"/>
                <w:szCs w:val="15"/>
                <w:lang w:val="en-US"/>
              </w:rPr>
            </w:pPr>
          </w:p>
        </w:tc>
        <w:tc>
          <w:tcPr>
            <w:tcW w:w="427" w:type="pct"/>
          </w:tcPr>
          <w:p w14:paraId="2D46D1E8" w14:textId="77777777" w:rsidR="00417C24" w:rsidRPr="00417C24" w:rsidRDefault="00417C24" w:rsidP="00417C24">
            <w:pPr>
              <w:tabs>
                <w:tab w:val="right" w:pos="1202"/>
              </w:tabs>
              <w:spacing w:after="0" w:line="140" w:lineRule="exact"/>
              <w:jc w:val="right"/>
              <w:outlineLvl w:val="0"/>
              <w:rPr>
                <w:rFonts w:ascii="Calibri" w:eastAsia="Times New Roman" w:hAnsi="Calibri" w:cs="Arial"/>
                <w:b/>
                <w:sz w:val="15"/>
                <w:szCs w:val="15"/>
                <w:lang w:val="en-US"/>
              </w:rPr>
            </w:pPr>
          </w:p>
        </w:tc>
        <w:tc>
          <w:tcPr>
            <w:tcW w:w="420" w:type="pct"/>
            <w:vAlign w:val="bottom"/>
          </w:tcPr>
          <w:p w14:paraId="10EF7325" w14:textId="77777777" w:rsidR="00417C24" w:rsidRPr="00417C24" w:rsidRDefault="00417C24" w:rsidP="00417C24">
            <w:pPr>
              <w:tabs>
                <w:tab w:val="right" w:pos="1202"/>
              </w:tabs>
              <w:spacing w:after="0" w:line="140" w:lineRule="exact"/>
              <w:jc w:val="right"/>
              <w:outlineLvl w:val="0"/>
              <w:rPr>
                <w:rFonts w:ascii="Calibri" w:eastAsia="Times New Roman" w:hAnsi="Calibri" w:cs="Arial"/>
                <w:b/>
                <w:sz w:val="15"/>
                <w:szCs w:val="15"/>
                <w:lang w:val="en-US"/>
              </w:rPr>
            </w:pPr>
          </w:p>
        </w:tc>
        <w:tc>
          <w:tcPr>
            <w:tcW w:w="420" w:type="pct"/>
            <w:vAlign w:val="bottom"/>
          </w:tcPr>
          <w:p w14:paraId="4D211F51" w14:textId="77777777" w:rsidR="00417C24" w:rsidRPr="00417C24" w:rsidRDefault="00417C24" w:rsidP="00417C24">
            <w:pPr>
              <w:tabs>
                <w:tab w:val="right" w:pos="1202"/>
              </w:tabs>
              <w:spacing w:after="0" w:line="140" w:lineRule="exact"/>
              <w:jc w:val="right"/>
              <w:outlineLvl w:val="0"/>
              <w:rPr>
                <w:rFonts w:ascii="Calibri" w:eastAsia="Times New Roman" w:hAnsi="Calibri" w:cs="Arial"/>
                <w:b/>
                <w:sz w:val="15"/>
                <w:szCs w:val="15"/>
                <w:lang w:val="en-US"/>
              </w:rPr>
            </w:pPr>
          </w:p>
        </w:tc>
        <w:tc>
          <w:tcPr>
            <w:tcW w:w="420" w:type="pct"/>
            <w:vAlign w:val="bottom"/>
          </w:tcPr>
          <w:p w14:paraId="0ABB4E34" w14:textId="77777777" w:rsidR="00417C24" w:rsidRPr="00417C24" w:rsidRDefault="00417C24" w:rsidP="00417C24">
            <w:pPr>
              <w:tabs>
                <w:tab w:val="right" w:pos="1202"/>
              </w:tabs>
              <w:spacing w:after="0" w:line="140" w:lineRule="exact"/>
              <w:jc w:val="right"/>
              <w:outlineLvl w:val="0"/>
              <w:rPr>
                <w:rFonts w:ascii="Calibri" w:eastAsia="Times New Roman" w:hAnsi="Calibri" w:cs="Arial"/>
                <w:b/>
                <w:sz w:val="15"/>
                <w:szCs w:val="15"/>
                <w:lang w:val="en-US"/>
              </w:rPr>
            </w:pPr>
          </w:p>
        </w:tc>
        <w:tc>
          <w:tcPr>
            <w:tcW w:w="418" w:type="pct"/>
            <w:vAlign w:val="bottom"/>
          </w:tcPr>
          <w:p w14:paraId="4EB3EA52" w14:textId="77777777" w:rsidR="00417C24" w:rsidRPr="00417C24" w:rsidRDefault="00417C24" w:rsidP="00417C24">
            <w:pPr>
              <w:tabs>
                <w:tab w:val="right" w:pos="1202"/>
              </w:tabs>
              <w:spacing w:after="0" w:line="140" w:lineRule="exact"/>
              <w:jc w:val="right"/>
              <w:outlineLvl w:val="0"/>
              <w:rPr>
                <w:rFonts w:ascii="Calibri" w:eastAsia="Times New Roman" w:hAnsi="Calibri" w:cs="Arial"/>
                <w:b/>
                <w:sz w:val="15"/>
                <w:szCs w:val="15"/>
                <w:lang w:val="en-US"/>
              </w:rPr>
            </w:pPr>
          </w:p>
        </w:tc>
        <w:tc>
          <w:tcPr>
            <w:tcW w:w="416" w:type="pct"/>
          </w:tcPr>
          <w:p w14:paraId="673125ED" w14:textId="77777777" w:rsidR="00417C24" w:rsidRPr="00417C24" w:rsidRDefault="00417C24" w:rsidP="00417C24">
            <w:pPr>
              <w:tabs>
                <w:tab w:val="right" w:pos="1202"/>
              </w:tabs>
              <w:spacing w:after="0" w:line="140" w:lineRule="exact"/>
              <w:jc w:val="right"/>
              <w:outlineLvl w:val="0"/>
              <w:rPr>
                <w:rFonts w:ascii="Calibri" w:eastAsia="Times New Roman" w:hAnsi="Calibri" w:cs="Arial"/>
                <w:b/>
                <w:sz w:val="15"/>
                <w:szCs w:val="15"/>
                <w:lang w:val="en-US"/>
              </w:rPr>
            </w:pPr>
          </w:p>
        </w:tc>
        <w:tc>
          <w:tcPr>
            <w:tcW w:w="470" w:type="pct"/>
            <w:vAlign w:val="bottom"/>
          </w:tcPr>
          <w:p w14:paraId="6388E2A4" w14:textId="77777777" w:rsidR="00417C24" w:rsidRPr="00417C24" w:rsidRDefault="00417C24" w:rsidP="00417C24">
            <w:pPr>
              <w:tabs>
                <w:tab w:val="right" w:pos="1202"/>
              </w:tabs>
              <w:spacing w:after="0" w:line="140" w:lineRule="exact"/>
              <w:jc w:val="right"/>
              <w:outlineLvl w:val="0"/>
              <w:rPr>
                <w:rFonts w:ascii="Calibri" w:eastAsia="Times New Roman" w:hAnsi="Calibri" w:cs="Arial"/>
                <w:b/>
                <w:sz w:val="15"/>
                <w:szCs w:val="15"/>
                <w:lang w:val="en-US"/>
              </w:rPr>
            </w:pPr>
          </w:p>
        </w:tc>
      </w:tr>
      <w:tr w:rsidR="00417C24" w:rsidRPr="00417C24" w14:paraId="206A1095" w14:textId="77777777" w:rsidTr="00417C24">
        <w:trPr>
          <w:trHeight w:val="325"/>
        </w:trPr>
        <w:tc>
          <w:tcPr>
            <w:tcW w:w="682" w:type="pct"/>
            <w:vAlign w:val="bottom"/>
            <w:hideMark/>
          </w:tcPr>
          <w:p w14:paraId="5C6D008E" w14:textId="77777777" w:rsidR="00417C24" w:rsidRPr="00417C24" w:rsidRDefault="00417C24" w:rsidP="00417C24">
            <w:pPr>
              <w:tabs>
                <w:tab w:val="right" w:pos="1202"/>
              </w:tabs>
              <w:spacing w:after="0" w:line="240" w:lineRule="exact"/>
              <w:outlineLvl w:val="0"/>
              <w:rPr>
                <w:rFonts w:ascii="Calibri" w:eastAsia="Times New Roman" w:hAnsi="Calibri" w:cs="Arial"/>
                <w:sz w:val="15"/>
                <w:szCs w:val="15"/>
                <w:lang w:val="en-US"/>
              </w:rPr>
            </w:pPr>
            <w:r w:rsidRPr="00417C24">
              <w:rPr>
                <w:rFonts w:ascii="Calibri" w:eastAsia="Times New Roman" w:hAnsi="Calibri" w:cs="Arial"/>
                <w:sz w:val="15"/>
                <w:szCs w:val="15"/>
                <w:lang w:val="en-US"/>
              </w:rPr>
              <w:t>Gross amount</w:t>
            </w:r>
          </w:p>
        </w:tc>
        <w:tc>
          <w:tcPr>
            <w:tcW w:w="455" w:type="pct"/>
            <w:vAlign w:val="bottom"/>
            <w:hideMark/>
          </w:tcPr>
          <w:p w14:paraId="5CBB2B9D" w14:textId="0E4EEB34" w:rsidR="00417C24" w:rsidRPr="00417C24" w:rsidRDefault="00417C24" w:rsidP="00417C24">
            <w:pPr>
              <w:tabs>
                <w:tab w:val="right" w:pos="1202"/>
              </w:tabs>
              <w:spacing w:after="0" w:line="240" w:lineRule="exact"/>
              <w:jc w:val="right"/>
              <w:outlineLvl w:val="0"/>
              <w:rPr>
                <w:rFonts w:ascii="Calibri" w:eastAsia="Times New Roman" w:hAnsi="Calibri" w:cs="Arial"/>
                <w:sz w:val="15"/>
                <w:szCs w:val="15"/>
                <w:lang w:val="en-US"/>
              </w:rPr>
            </w:pPr>
            <w:r w:rsidRPr="00417C24">
              <w:rPr>
                <w:rFonts w:cstheme="minorHAnsi"/>
                <w:sz w:val="15"/>
                <w:szCs w:val="15"/>
              </w:rPr>
              <w:t xml:space="preserve"> 6,117 </w:t>
            </w:r>
          </w:p>
        </w:tc>
        <w:tc>
          <w:tcPr>
            <w:tcW w:w="454" w:type="pct"/>
            <w:vAlign w:val="bottom"/>
            <w:hideMark/>
          </w:tcPr>
          <w:p w14:paraId="138512AF" w14:textId="53AFEE8C" w:rsidR="00417C24" w:rsidRPr="00417C24" w:rsidRDefault="00417C24" w:rsidP="00417C24">
            <w:pPr>
              <w:tabs>
                <w:tab w:val="right" w:pos="1202"/>
              </w:tabs>
              <w:spacing w:after="0" w:line="240" w:lineRule="exact"/>
              <w:jc w:val="right"/>
              <w:outlineLvl w:val="0"/>
              <w:rPr>
                <w:rFonts w:ascii="Calibri" w:eastAsia="Times New Roman" w:hAnsi="Calibri" w:cs="Arial"/>
                <w:sz w:val="15"/>
                <w:szCs w:val="15"/>
                <w:lang w:val="en-US"/>
              </w:rPr>
            </w:pPr>
            <w:r w:rsidRPr="00417C24">
              <w:rPr>
                <w:rFonts w:cstheme="minorHAnsi"/>
                <w:sz w:val="15"/>
                <w:szCs w:val="15"/>
              </w:rPr>
              <w:t xml:space="preserve"> 16 </w:t>
            </w:r>
          </w:p>
        </w:tc>
        <w:tc>
          <w:tcPr>
            <w:tcW w:w="418" w:type="pct"/>
            <w:vAlign w:val="bottom"/>
            <w:hideMark/>
          </w:tcPr>
          <w:p w14:paraId="732A8595" w14:textId="28C1042C" w:rsidR="00417C24" w:rsidRPr="00417C24" w:rsidRDefault="00417C24" w:rsidP="00417C24">
            <w:pPr>
              <w:tabs>
                <w:tab w:val="right" w:pos="1202"/>
              </w:tabs>
              <w:spacing w:after="0" w:line="240" w:lineRule="exact"/>
              <w:jc w:val="right"/>
              <w:outlineLvl w:val="0"/>
              <w:rPr>
                <w:rFonts w:ascii="Calibri" w:eastAsia="Times New Roman" w:hAnsi="Calibri" w:cs="Arial"/>
                <w:sz w:val="15"/>
                <w:szCs w:val="15"/>
                <w:lang w:val="en-US"/>
              </w:rPr>
            </w:pPr>
            <w:r w:rsidRPr="00417C24">
              <w:rPr>
                <w:rFonts w:cstheme="minorHAnsi"/>
                <w:sz w:val="15"/>
                <w:szCs w:val="15"/>
              </w:rPr>
              <w:t xml:space="preserve"> 32,728 </w:t>
            </w:r>
          </w:p>
        </w:tc>
        <w:tc>
          <w:tcPr>
            <w:tcW w:w="427" w:type="pct"/>
            <w:vAlign w:val="bottom"/>
            <w:hideMark/>
          </w:tcPr>
          <w:p w14:paraId="4153A64E" w14:textId="4B862F3C" w:rsidR="00417C24" w:rsidRPr="00417C24" w:rsidRDefault="00417C24" w:rsidP="00417C24">
            <w:pPr>
              <w:tabs>
                <w:tab w:val="right" w:pos="1202"/>
              </w:tabs>
              <w:spacing w:after="0" w:line="240" w:lineRule="exact"/>
              <w:jc w:val="right"/>
              <w:outlineLvl w:val="0"/>
              <w:rPr>
                <w:rFonts w:ascii="Calibri" w:eastAsia="Times New Roman" w:hAnsi="Calibri" w:cs="Arial"/>
                <w:sz w:val="15"/>
                <w:szCs w:val="15"/>
                <w:lang w:val="en-US"/>
              </w:rPr>
            </w:pPr>
            <w:r w:rsidRPr="00417C24">
              <w:rPr>
                <w:rFonts w:cstheme="minorHAnsi"/>
                <w:sz w:val="15"/>
                <w:szCs w:val="15"/>
              </w:rPr>
              <w:t xml:space="preserve"> 301 </w:t>
            </w:r>
          </w:p>
        </w:tc>
        <w:tc>
          <w:tcPr>
            <w:tcW w:w="420" w:type="pct"/>
            <w:vAlign w:val="bottom"/>
            <w:hideMark/>
          </w:tcPr>
          <w:p w14:paraId="411FDDDF" w14:textId="1EC158BE" w:rsidR="00417C24" w:rsidRPr="00417C24" w:rsidRDefault="00417C24" w:rsidP="00417C24">
            <w:pPr>
              <w:tabs>
                <w:tab w:val="right" w:pos="1202"/>
              </w:tabs>
              <w:spacing w:after="0" w:line="240" w:lineRule="exact"/>
              <w:jc w:val="right"/>
              <w:outlineLvl w:val="0"/>
              <w:rPr>
                <w:rFonts w:ascii="Calibri" w:eastAsia="Times New Roman" w:hAnsi="Calibri" w:cs="Arial"/>
                <w:b/>
                <w:bCs/>
                <w:sz w:val="15"/>
                <w:szCs w:val="15"/>
                <w:lang w:val="en-US"/>
              </w:rPr>
            </w:pPr>
            <w:r w:rsidRPr="00417C24">
              <w:rPr>
                <w:rFonts w:cstheme="minorHAnsi"/>
                <w:b/>
                <w:bCs/>
                <w:sz w:val="15"/>
                <w:szCs w:val="15"/>
              </w:rPr>
              <w:t xml:space="preserve"> 39,162 </w:t>
            </w:r>
          </w:p>
        </w:tc>
        <w:tc>
          <w:tcPr>
            <w:tcW w:w="420" w:type="pct"/>
            <w:vAlign w:val="bottom"/>
            <w:hideMark/>
          </w:tcPr>
          <w:p w14:paraId="7E8F7E30" w14:textId="22AAC56E" w:rsidR="00417C24" w:rsidRPr="00417C24" w:rsidRDefault="00417C24" w:rsidP="00417C24">
            <w:pPr>
              <w:tabs>
                <w:tab w:val="right" w:pos="1202"/>
              </w:tabs>
              <w:spacing w:after="0" w:line="240" w:lineRule="exact"/>
              <w:jc w:val="right"/>
              <w:outlineLvl w:val="0"/>
              <w:rPr>
                <w:rFonts w:ascii="Calibri" w:eastAsia="Times New Roman" w:hAnsi="Calibri" w:cs="Arial"/>
                <w:sz w:val="15"/>
                <w:szCs w:val="15"/>
                <w:lang w:val="en-US"/>
              </w:rPr>
            </w:pPr>
            <w:r w:rsidRPr="00417C24">
              <w:rPr>
                <w:rFonts w:cstheme="minorHAnsi"/>
                <w:sz w:val="15"/>
                <w:szCs w:val="15"/>
              </w:rPr>
              <w:t xml:space="preserve"> 3,351 </w:t>
            </w:r>
          </w:p>
        </w:tc>
        <w:tc>
          <w:tcPr>
            <w:tcW w:w="420" w:type="pct"/>
            <w:vAlign w:val="bottom"/>
            <w:hideMark/>
          </w:tcPr>
          <w:p w14:paraId="61E8F0E5" w14:textId="147BA938" w:rsidR="00417C24" w:rsidRPr="00417C24" w:rsidRDefault="00417C24" w:rsidP="00417C24">
            <w:pPr>
              <w:tabs>
                <w:tab w:val="right" w:pos="1202"/>
              </w:tabs>
              <w:spacing w:after="0" w:line="240" w:lineRule="exact"/>
              <w:jc w:val="right"/>
              <w:outlineLvl w:val="0"/>
              <w:rPr>
                <w:rFonts w:ascii="Calibri" w:eastAsia="Times New Roman" w:hAnsi="Calibri" w:cs="Arial"/>
                <w:sz w:val="15"/>
                <w:szCs w:val="15"/>
                <w:lang w:val="en-US"/>
              </w:rPr>
            </w:pPr>
            <w:r w:rsidRPr="00417C24">
              <w:rPr>
                <w:rFonts w:cstheme="minorHAnsi"/>
                <w:sz w:val="15"/>
                <w:szCs w:val="15"/>
              </w:rPr>
              <w:t xml:space="preserve"> 16 </w:t>
            </w:r>
          </w:p>
        </w:tc>
        <w:tc>
          <w:tcPr>
            <w:tcW w:w="418" w:type="pct"/>
            <w:vAlign w:val="bottom"/>
            <w:hideMark/>
          </w:tcPr>
          <w:p w14:paraId="406E6BF7" w14:textId="0C138AD8" w:rsidR="00417C24" w:rsidRPr="00417C24" w:rsidRDefault="00417C24" w:rsidP="00417C24">
            <w:pPr>
              <w:tabs>
                <w:tab w:val="right" w:pos="1202"/>
              </w:tabs>
              <w:spacing w:after="0" w:line="240" w:lineRule="exact"/>
              <w:jc w:val="right"/>
              <w:outlineLvl w:val="0"/>
              <w:rPr>
                <w:rFonts w:ascii="Calibri" w:eastAsia="Times New Roman" w:hAnsi="Calibri" w:cs="Arial"/>
                <w:sz w:val="15"/>
                <w:szCs w:val="15"/>
                <w:lang w:val="en-US"/>
              </w:rPr>
            </w:pPr>
            <w:r w:rsidRPr="00417C24">
              <w:rPr>
                <w:rFonts w:cstheme="minorHAnsi"/>
                <w:sz w:val="15"/>
                <w:szCs w:val="15"/>
              </w:rPr>
              <w:t xml:space="preserve"> 32,728 </w:t>
            </w:r>
          </w:p>
        </w:tc>
        <w:tc>
          <w:tcPr>
            <w:tcW w:w="416" w:type="pct"/>
            <w:vAlign w:val="bottom"/>
            <w:hideMark/>
          </w:tcPr>
          <w:p w14:paraId="6730B659" w14:textId="07DFAD25" w:rsidR="00417C24" w:rsidRPr="00417C24" w:rsidRDefault="00417C24" w:rsidP="00417C24">
            <w:pPr>
              <w:tabs>
                <w:tab w:val="right" w:pos="1202"/>
              </w:tabs>
              <w:spacing w:after="0" w:line="240" w:lineRule="exact"/>
              <w:jc w:val="right"/>
              <w:outlineLvl w:val="0"/>
              <w:rPr>
                <w:rFonts w:ascii="Calibri" w:eastAsia="Times New Roman" w:hAnsi="Calibri" w:cs="Arial"/>
                <w:sz w:val="15"/>
                <w:szCs w:val="15"/>
                <w:lang w:val="en-US"/>
              </w:rPr>
            </w:pPr>
            <w:r w:rsidRPr="00417C24">
              <w:rPr>
                <w:rFonts w:cstheme="minorHAnsi"/>
                <w:sz w:val="15"/>
                <w:szCs w:val="15"/>
              </w:rPr>
              <w:t xml:space="preserve"> 301 </w:t>
            </w:r>
          </w:p>
        </w:tc>
        <w:tc>
          <w:tcPr>
            <w:tcW w:w="470" w:type="pct"/>
            <w:vAlign w:val="bottom"/>
            <w:hideMark/>
          </w:tcPr>
          <w:p w14:paraId="52D06972" w14:textId="08DB3560" w:rsidR="00417C24" w:rsidRPr="00417C24" w:rsidRDefault="00417C24" w:rsidP="00417C24">
            <w:pPr>
              <w:tabs>
                <w:tab w:val="right" w:pos="1202"/>
              </w:tabs>
              <w:spacing w:after="0" w:line="240" w:lineRule="exact"/>
              <w:jc w:val="right"/>
              <w:outlineLvl w:val="0"/>
              <w:rPr>
                <w:rFonts w:ascii="Calibri" w:eastAsia="Times New Roman" w:hAnsi="Calibri" w:cs="Arial"/>
                <w:b/>
                <w:bCs/>
                <w:sz w:val="15"/>
                <w:szCs w:val="15"/>
                <w:lang w:val="en-US"/>
              </w:rPr>
            </w:pPr>
            <w:r w:rsidRPr="00417C24">
              <w:rPr>
                <w:rFonts w:cstheme="minorHAnsi"/>
                <w:b/>
                <w:bCs/>
                <w:sz w:val="15"/>
                <w:szCs w:val="15"/>
              </w:rPr>
              <w:t xml:space="preserve"> 36,396 </w:t>
            </w:r>
          </w:p>
        </w:tc>
      </w:tr>
      <w:tr w:rsidR="00417C24" w:rsidRPr="00417C24" w14:paraId="3467DDA4" w14:textId="77777777" w:rsidTr="00417C24">
        <w:trPr>
          <w:trHeight w:val="349"/>
        </w:trPr>
        <w:tc>
          <w:tcPr>
            <w:tcW w:w="682" w:type="pct"/>
            <w:vAlign w:val="bottom"/>
            <w:hideMark/>
          </w:tcPr>
          <w:p w14:paraId="200AF9A0" w14:textId="77777777" w:rsidR="00417C24" w:rsidRPr="00417C24" w:rsidRDefault="00417C24" w:rsidP="00417C24">
            <w:pPr>
              <w:tabs>
                <w:tab w:val="right" w:pos="1202"/>
              </w:tabs>
              <w:spacing w:after="0" w:line="240" w:lineRule="exact"/>
              <w:outlineLvl w:val="0"/>
              <w:rPr>
                <w:rFonts w:ascii="Calibri" w:eastAsia="Times New Roman" w:hAnsi="Calibri" w:cs="Arial"/>
                <w:sz w:val="15"/>
                <w:szCs w:val="15"/>
                <w:lang w:val="en-US"/>
              </w:rPr>
            </w:pPr>
            <w:r w:rsidRPr="00417C24">
              <w:rPr>
                <w:rFonts w:ascii="Calibri" w:eastAsia="Times New Roman" w:hAnsi="Calibri" w:cs="Arial"/>
                <w:sz w:val="15"/>
                <w:szCs w:val="15"/>
                <w:lang w:val="en-US"/>
              </w:rPr>
              <w:t>Loss allowances</w:t>
            </w:r>
          </w:p>
        </w:tc>
        <w:tc>
          <w:tcPr>
            <w:tcW w:w="455" w:type="pct"/>
            <w:vAlign w:val="bottom"/>
            <w:hideMark/>
          </w:tcPr>
          <w:p w14:paraId="60172C44" w14:textId="50A65005" w:rsidR="00417C24" w:rsidRPr="00417C24" w:rsidRDefault="00417C24" w:rsidP="00417C24">
            <w:pPr>
              <w:tabs>
                <w:tab w:val="right" w:pos="1202"/>
              </w:tabs>
              <w:spacing w:after="0" w:line="240" w:lineRule="exact"/>
              <w:jc w:val="right"/>
              <w:outlineLvl w:val="0"/>
              <w:rPr>
                <w:rFonts w:ascii="Calibri" w:eastAsia="Times New Roman" w:hAnsi="Calibri" w:cs="Arial"/>
                <w:sz w:val="15"/>
                <w:szCs w:val="15"/>
                <w:lang w:val="en-US"/>
              </w:rPr>
            </w:pPr>
            <w:r w:rsidRPr="00417C24">
              <w:rPr>
                <w:rFonts w:cstheme="minorHAnsi"/>
                <w:sz w:val="15"/>
                <w:szCs w:val="15"/>
              </w:rPr>
              <w:t xml:space="preserve"> (179)</w:t>
            </w:r>
          </w:p>
        </w:tc>
        <w:tc>
          <w:tcPr>
            <w:tcW w:w="454" w:type="pct"/>
            <w:vAlign w:val="bottom"/>
            <w:hideMark/>
          </w:tcPr>
          <w:p w14:paraId="740A0EEE" w14:textId="3F0FA81A" w:rsidR="00417C24" w:rsidRPr="00417C24" w:rsidRDefault="00417C24" w:rsidP="00417C24">
            <w:pPr>
              <w:tabs>
                <w:tab w:val="right" w:pos="1202"/>
              </w:tabs>
              <w:spacing w:after="0" w:line="240" w:lineRule="exact"/>
              <w:jc w:val="right"/>
              <w:outlineLvl w:val="0"/>
              <w:rPr>
                <w:rFonts w:ascii="Calibri" w:eastAsia="Times New Roman" w:hAnsi="Calibri" w:cs="Arial"/>
                <w:sz w:val="15"/>
                <w:szCs w:val="15"/>
                <w:lang w:val="en-US"/>
              </w:rPr>
            </w:pPr>
            <w:r w:rsidRPr="00417C24">
              <w:rPr>
                <w:rFonts w:cstheme="minorHAnsi"/>
                <w:sz w:val="15"/>
                <w:szCs w:val="15"/>
              </w:rPr>
              <w:t xml:space="preserve"> (4)</w:t>
            </w:r>
          </w:p>
        </w:tc>
        <w:tc>
          <w:tcPr>
            <w:tcW w:w="418" w:type="pct"/>
            <w:vAlign w:val="bottom"/>
            <w:hideMark/>
          </w:tcPr>
          <w:p w14:paraId="40EBC5AF" w14:textId="2B843BD3" w:rsidR="00417C24" w:rsidRPr="00417C24" w:rsidRDefault="00417C24" w:rsidP="00417C24">
            <w:pPr>
              <w:tabs>
                <w:tab w:val="right" w:pos="1202"/>
              </w:tabs>
              <w:spacing w:after="0" w:line="240" w:lineRule="exact"/>
              <w:outlineLvl w:val="0"/>
              <w:rPr>
                <w:rFonts w:ascii="Calibri" w:eastAsia="Times New Roman" w:hAnsi="Calibri" w:cs="Arial"/>
                <w:sz w:val="15"/>
                <w:szCs w:val="15"/>
                <w:lang w:val="en-US"/>
              </w:rPr>
            </w:pPr>
            <w:r>
              <w:rPr>
                <w:rFonts w:cstheme="minorHAnsi"/>
                <w:sz w:val="15"/>
                <w:szCs w:val="15"/>
              </w:rPr>
              <w:t xml:space="preserve"> </w:t>
            </w:r>
            <w:r w:rsidRPr="00417C24">
              <w:rPr>
                <w:rFonts w:cstheme="minorHAnsi"/>
                <w:sz w:val="15"/>
                <w:szCs w:val="15"/>
              </w:rPr>
              <w:t>(31,418)</w:t>
            </w:r>
          </w:p>
        </w:tc>
        <w:tc>
          <w:tcPr>
            <w:tcW w:w="427" w:type="pct"/>
            <w:vAlign w:val="bottom"/>
            <w:hideMark/>
          </w:tcPr>
          <w:p w14:paraId="300BA2EA" w14:textId="71A382B7" w:rsidR="00417C24" w:rsidRPr="00417C24" w:rsidRDefault="00417C24" w:rsidP="00417C24">
            <w:pPr>
              <w:tabs>
                <w:tab w:val="right" w:pos="1202"/>
              </w:tabs>
              <w:spacing w:after="0" w:line="240" w:lineRule="exact"/>
              <w:jc w:val="right"/>
              <w:outlineLvl w:val="0"/>
              <w:rPr>
                <w:rFonts w:ascii="Calibri" w:eastAsia="Times New Roman" w:hAnsi="Calibri" w:cs="Arial"/>
                <w:sz w:val="15"/>
                <w:szCs w:val="15"/>
                <w:lang w:val="en-US"/>
              </w:rPr>
            </w:pPr>
            <w:r w:rsidRPr="00417C24">
              <w:rPr>
                <w:rFonts w:cstheme="minorHAnsi"/>
                <w:sz w:val="15"/>
                <w:szCs w:val="15"/>
              </w:rPr>
              <w:t xml:space="preserve"> (250)</w:t>
            </w:r>
          </w:p>
        </w:tc>
        <w:tc>
          <w:tcPr>
            <w:tcW w:w="420" w:type="pct"/>
            <w:vAlign w:val="bottom"/>
            <w:hideMark/>
          </w:tcPr>
          <w:p w14:paraId="4975CAC4" w14:textId="28AA6227" w:rsidR="00417C24" w:rsidRPr="00417C24" w:rsidRDefault="00417C24" w:rsidP="00417C24">
            <w:pPr>
              <w:tabs>
                <w:tab w:val="right" w:pos="1202"/>
              </w:tabs>
              <w:spacing w:after="0" w:line="240" w:lineRule="exact"/>
              <w:outlineLvl w:val="0"/>
              <w:rPr>
                <w:rFonts w:ascii="Calibri" w:eastAsia="Times New Roman" w:hAnsi="Calibri" w:cs="Arial"/>
                <w:b/>
                <w:bCs/>
                <w:sz w:val="15"/>
                <w:szCs w:val="15"/>
                <w:lang w:val="en-US"/>
              </w:rPr>
            </w:pPr>
            <w:r>
              <w:rPr>
                <w:rFonts w:cstheme="minorHAnsi"/>
                <w:b/>
                <w:bCs/>
                <w:sz w:val="15"/>
                <w:szCs w:val="15"/>
              </w:rPr>
              <w:t xml:space="preserve"> </w:t>
            </w:r>
            <w:r w:rsidRPr="00417C24">
              <w:rPr>
                <w:rFonts w:cstheme="minorHAnsi"/>
                <w:b/>
                <w:bCs/>
                <w:sz w:val="15"/>
                <w:szCs w:val="15"/>
              </w:rPr>
              <w:t>(31,851)</w:t>
            </w:r>
          </w:p>
        </w:tc>
        <w:tc>
          <w:tcPr>
            <w:tcW w:w="420" w:type="pct"/>
            <w:vAlign w:val="bottom"/>
            <w:hideMark/>
          </w:tcPr>
          <w:p w14:paraId="46F0A049" w14:textId="54722D6F" w:rsidR="00417C24" w:rsidRPr="00417C24" w:rsidRDefault="00417C24" w:rsidP="00417C24">
            <w:pPr>
              <w:tabs>
                <w:tab w:val="right" w:pos="1202"/>
              </w:tabs>
              <w:spacing w:after="0" w:line="240" w:lineRule="exact"/>
              <w:jc w:val="right"/>
              <w:outlineLvl w:val="0"/>
              <w:rPr>
                <w:rFonts w:ascii="Calibri" w:eastAsia="Times New Roman" w:hAnsi="Calibri" w:cs="Arial"/>
                <w:sz w:val="15"/>
                <w:szCs w:val="15"/>
                <w:lang w:val="en-US"/>
              </w:rPr>
            </w:pPr>
            <w:r w:rsidRPr="00417C24">
              <w:rPr>
                <w:rFonts w:cstheme="minorHAnsi"/>
                <w:sz w:val="15"/>
                <w:szCs w:val="15"/>
              </w:rPr>
              <w:t xml:space="preserve"> (25)</w:t>
            </w:r>
          </w:p>
        </w:tc>
        <w:tc>
          <w:tcPr>
            <w:tcW w:w="420" w:type="pct"/>
            <w:vAlign w:val="bottom"/>
            <w:hideMark/>
          </w:tcPr>
          <w:p w14:paraId="1841FD9E" w14:textId="014BF239" w:rsidR="00417C24" w:rsidRPr="00417C24" w:rsidRDefault="00417C24" w:rsidP="00417C24">
            <w:pPr>
              <w:tabs>
                <w:tab w:val="right" w:pos="1202"/>
              </w:tabs>
              <w:spacing w:after="0" w:line="240" w:lineRule="exact"/>
              <w:jc w:val="right"/>
              <w:outlineLvl w:val="0"/>
              <w:rPr>
                <w:rFonts w:ascii="Calibri" w:eastAsia="Times New Roman" w:hAnsi="Calibri" w:cs="Arial"/>
                <w:sz w:val="15"/>
                <w:szCs w:val="15"/>
                <w:lang w:val="en-US"/>
              </w:rPr>
            </w:pPr>
            <w:r w:rsidRPr="00417C24">
              <w:rPr>
                <w:rFonts w:cstheme="minorHAnsi"/>
                <w:sz w:val="15"/>
                <w:szCs w:val="15"/>
              </w:rPr>
              <w:t xml:space="preserve"> (4)</w:t>
            </w:r>
          </w:p>
        </w:tc>
        <w:tc>
          <w:tcPr>
            <w:tcW w:w="418" w:type="pct"/>
            <w:vAlign w:val="bottom"/>
            <w:hideMark/>
          </w:tcPr>
          <w:p w14:paraId="36AB5BDC" w14:textId="238F253A" w:rsidR="00417C24" w:rsidRPr="00417C24" w:rsidRDefault="00417C24" w:rsidP="00417C24">
            <w:pPr>
              <w:tabs>
                <w:tab w:val="right" w:pos="1202"/>
              </w:tabs>
              <w:spacing w:after="0" w:line="240" w:lineRule="exact"/>
              <w:outlineLvl w:val="0"/>
              <w:rPr>
                <w:rFonts w:ascii="Calibri" w:eastAsia="Times New Roman" w:hAnsi="Calibri" w:cs="Arial"/>
                <w:sz w:val="15"/>
                <w:szCs w:val="15"/>
                <w:lang w:val="en-US"/>
              </w:rPr>
            </w:pPr>
            <w:r w:rsidRPr="00417C24">
              <w:rPr>
                <w:rFonts w:cstheme="minorHAnsi"/>
                <w:sz w:val="15"/>
                <w:szCs w:val="15"/>
              </w:rPr>
              <w:t>(31,418)</w:t>
            </w:r>
          </w:p>
        </w:tc>
        <w:tc>
          <w:tcPr>
            <w:tcW w:w="416" w:type="pct"/>
            <w:vAlign w:val="bottom"/>
            <w:hideMark/>
          </w:tcPr>
          <w:p w14:paraId="66EFC902" w14:textId="7716B46A" w:rsidR="00417C24" w:rsidRPr="00417C24" w:rsidRDefault="00417C24" w:rsidP="00417C24">
            <w:pPr>
              <w:tabs>
                <w:tab w:val="right" w:pos="1202"/>
              </w:tabs>
              <w:spacing w:after="0" w:line="240" w:lineRule="exact"/>
              <w:jc w:val="right"/>
              <w:outlineLvl w:val="0"/>
              <w:rPr>
                <w:rFonts w:ascii="Calibri" w:eastAsia="Times New Roman" w:hAnsi="Calibri" w:cs="Arial"/>
                <w:sz w:val="15"/>
                <w:szCs w:val="15"/>
                <w:lang w:val="en-US"/>
              </w:rPr>
            </w:pPr>
            <w:r w:rsidRPr="00417C24">
              <w:rPr>
                <w:rFonts w:cstheme="minorHAnsi"/>
                <w:sz w:val="15"/>
                <w:szCs w:val="15"/>
              </w:rPr>
              <w:t xml:space="preserve"> (250)</w:t>
            </w:r>
          </w:p>
        </w:tc>
        <w:tc>
          <w:tcPr>
            <w:tcW w:w="470" w:type="pct"/>
            <w:vAlign w:val="bottom"/>
            <w:hideMark/>
          </w:tcPr>
          <w:p w14:paraId="17FF3383" w14:textId="0F7D3A26" w:rsidR="00417C24" w:rsidRPr="00417C24" w:rsidRDefault="00417C24" w:rsidP="00417C24">
            <w:pPr>
              <w:tabs>
                <w:tab w:val="right" w:pos="1202"/>
              </w:tabs>
              <w:spacing w:after="0" w:line="240" w:lineRule="exact"/>
              <w:outlineLvl w:val="0"/>
              <w:rPr>
                <w:rFonts w:ascii="Calibri" w:eastAsia="Times New Roman" w:hAnsi="Calibri" w:cs="Arial"/>
                <w:b/>
                <w:bCs/>
                <w:sz w:val="15"/>
                <w:szCs w:val="15"/>
                <w:lang w:val="en-US"/>
              </w:rPr>
            </w:pPr>
            <w:r>
              <w:rPr>
                <w:rFonts w:cstheme="minorHAnsi"/>
                <w:b/>
                <w:bCs/>
                <w:sz w:val="15"/>
                <w:szCs w:val="15"/>
              </w:rPr>
              <w:t xml:space="preserve">    </w:t>
            </w:r>
            <w:r w:rsidRPr="00417C24">
              <w:rPr>
                <w:rFonts w:cstheme="minorHAnsi"/>
                <w:b/>
                <w:bCs/>
                <w:sz w:val="15"/>
                <w:szCs w:val="15"/>
              </w:rPr>
              <w:t>(31,697)</w:t>
            </w:r>
          </w:p>
        </w:tc>
      </w:tr>
      <w:tr w:rsidR="00417C24" w:rsidRPr="00417C24" w14:paraId="58812AE8" w14:textId="77777777" w:rsidTr="00417C24">
        <w:trPr>
          <w:trHeight w:val="444"/>
        </w:trPr>
        <w:tc>
          <w:tcPr>
            <w:tcW w:w="682" w:type="pct"/>
            <w:vAlign w:val="bottom"/>
            <w:hideMark/>
          </w:tcPr>
          <w:p w14:paraId="0FAEA723" w14:textId="036061A8" w:rsidR="00417C24" w:rsidRPr="00417C24" w:rsidRDefault="00417C24" w:rsidP="00417C24">
            <w:pPr>
              <w:tabs>
                <w:tab w:val="right" w:pos="1202"/>
              </w:tabs>
              <w:spacing w:after="0" w:line="240" w:lineRule="exact"/>
              <w:outlineLvl w:val="0"/>
              <w:rPr>
                <w:rFonts w:ascii="Calibri" w:eastAsia="Times New Roman" w:hAnsi="Calibri" w:cs="Arial"/>
                <w:b/>
                <w:iCs/>
                <w:sz w:val="15"/>
                <w:szCs w:val="15"/>
                <w:lang w:val="en-US"/>
              </w:rPr>
            </w:pPr>
            <w:r w:rsidRPr="00417C24">
              <w:rPr>
                <w:rFonts w:ascii="Calibri" w:eastAsia="Times New Roman" w:hAnsi="Calibri" w:cs="Arial"/>
                <w:b/>
                <w:iCs/>
                <w:sz w:val="15"/>
                <w:szCs w:val="15"/>
                <w:lang w:val="en-US"/>
              </w:rPr>
              <w:t>Balance as of 31 December 2021</w:t>
            </w:r>
          </w:p>
        </w:tc>
        <w:tc>
          <w:tcPr>
            <w:tcW w:w="455" w:type="pct"/>
            <w:tcBorders>
              <w:top w:val="single" w:sz="4" w:space="0" w:color="auto"/>
              <w:left w:val="nil"/>
              <w:bottom w:val="single" w:sz="12" w:space="0" w:color="auto"/>
              <w:right w:val="nil"/>
            </w:tcBorders>
            <w:vAlign w:val="bottom"/>
            <w:hideMark/>
          </w:tcPr>
          <w:p w14:paraId="3A4E92ED" w14:textId="42308491" w:rsidR="00417C24" w:rsidRPr="00F7700B" w:rsidRDefault="00417C24" w:rsidP="00417C24">
            <w:pPr>
              <w:tabs>
                <w:tab w:val="right" w:pos="1202"/>
              </w:tabs>
              <w:spacing w:after="0" w:line="240" w:lineRule="exact"/>
              <w:jc w:val="right"/>
              <w:outlineLvl w:val="0"/>
              <w:rPr>
                <w:rFonts w:ascii="Calibri" w:eastAsia="Times New Roman" w:hAnsi="Calibri" w:cs="Arial"/>
                <w:b/>
                <w:bCs/>
                <w:sz w:val="15"/>
                <w:szCs w:val="15"/>
                <w:lang w:val="en-US"/>
              </w:rPr>
            </w:pPr>
            <w:r w:rsidRPr="00F7700B">
              <w:rPr>
                <w:rFonts w:cstheme="minorHAnsi"/>
                <w:b/>
                <w:bCs/>
                <w:sz w:val="15"/>
                <w:szCs w:val="15"/>
              </w:rPr>
              <w:t xml:space="preserve"> 5,938 </w:t>
            </w:r>
          </w:p>
        </w:tc>
        <w:tc>
          <w:tcPr>
            <w:tcW w:w="454" w:type="pct"/>
            <w:tcBorders>
              <w:top w:val="single" w:sz="4" w:space="0" w:color="auto"/>
              <w:left w:val="nil"/>
              <w:bottom w:val="single" w:sz="12" w:space="0" w:color="auto"/>
              <w:right w:val="nil"/>
            </w:tcBorders>
            <w:vAlign w:val="bottom"/>
            <w:hideMark/>
          </w:tcPr>
          <w:p w14:paraId="73676430" w14:textId="5FA6D0F1" w:rsidR="00417C24" w:rsidRPr="00F7700B" w:rsidRDefault="00417C24" w:rsidP="00417C24">
            <w:pPr>
              <w:tabs>
                <w:tab w:val="right" w:pos="1202"/>
              </w:tabs>
              <w:spacing w:after="0" w:line="240" w:lineRule="exact"/>
              <w:jc w:val="right"/>
              <w:outlineLvl w:val="0"/>
              <w:rPr>
                <w:rFonts w:ascii="Calibri" w:eastAsia="Times New Roman" w:hAnsi="Calibri" w:cs="Arial"/>
                <w:b/>
                <w:bCs/>
                <w:sz w:val="15"/>
                <w:szCs w:val="15"/>
                <w:lang w:val="en-US"/>
              </w:rPr>
            </w:pPr>
            <w:r w:rsidRPr="00F7700B">
              <w:rPr>
                <w:rFonts w:cstheme="minorHAnsi"/>
                <w:b/>
                <w:bCs/>
                <w:sz w:val="15"/>
                <w:szCs w:val="15"/>
              </w:rPr>
              <w:t xml:space="preserve"> 12 </w:t>
            </w:r>
          </w:p>
        </w:tc>
        <w:tc>
          <w:tcPr>
            <w:tcW w:w="418" w:type="pct"/>
            <w:tcBorders>
              <w:top w:val="single" w:sz="4" w:space="0" w:color="auto"/>
              <w:left w:val="nil"/>
              <w:bottom w:val="single" w:sz="12" w:space="0" w:color="auto"/>
              <w:right w:val="nil"/>
            </w:tcBorders>
            <w:vAlign w:val="bottom"/>
            <w:hideMark/>
          </w:tcPr>
          <w:p w14:paraId="607B7A53" w14:textId="32D97056" w:rsidR="00417C24" w:rsidRPr="00F7700B" w:rsidRDefault="00417C24" w:rsidP="00417C24">
            <w:pPr>
              <w:tabs>
                <w:tab w:val="right" w:pos="1202"/>
              </w:tabs>
              <w:spacing w:after="0" w:line="240" w:lineRule="exact"/>
              <w:jc w:val="right"/>
              <w:outlineLvl w:val="0"/>
              <w:rPr>
                <w:rFonts w:ascii="Calibri" w:eastAsia="Times New Roman" w:hAnsi="Calibri" w:cs="Arial"/>
                <w:b/>
                <w:bCs/>
                <w:sz w:val="15"/>
                <w:szCs w:val="15"/>
                <w:lang w:val="en-US"/>
              </w:rPr>
            </w:pPr>
            <w:r w:rsidRPr="00F7700B">
              <w:rPr>
                <w:rFonts w:cstheme="minorHAnsi"/>
                <w:b/>
                <w:bCs/>
                <w:sz w:val="15"/>
                <w:szCs w:val="15"/>
              </w:rPr>
              <w:t xml:space="preserve"> 1,310 </w:t>
            </w:r>
          </w:p>
        </w:tc>
        <w:tc>
          <w:tcPr>
            <w:tcW w:w="427" w:type="pct"/>
            <w:tcBorders>
              <w:top w:val="single" w:sz="4" w:space="0" w:color="auto"/>
              <w:left w:val="nil"/>
              <w:bottom w:val="single" w:sz="12" w:space="0" w:color="auto"/>
              <w:right w:val="nil"/>
            </w:tcBorders>
            <w:vAlign w:val="bottom"/>
            <w:hideMark/>
          </w:tcPr>
          <w:p w14:paraId="7C10A9C6" w14:textId="48ACFE23" w:rsidR="00417C24" w:rsidRPr="00F7700B" w:rsidRDefault="00417C24" w:rsidP="00417C24">
            <w:pPr>
              <w:tabs>
                <w:tab w:val="right" w:pos="1202"/>
              </w:tabs>
              <w:spacing w:after="0" w:line="240" w:lineRule="exact"/>
              <w:jc w:val="right"/>
              <w:outlineLvl w:val="0"/>
              <w:rPr>
                <w:rFonts w:ascii="Calibri" w:eastAsia="Times New Roman" w:hAnsi="Calibri" w:cs="Arial"/>
                <w:b/>
                <w:bCs/>
                <w:sz w:val="15"/>
                <w:szCs w:val="15"/>
                <w:lang w:val="en-US"/>
              </w:rPr>
            </w:pPr>
            <w:r w:rsidRPr="00F7700B">
              <w:rPr>
                <w:rFonts w:cstheme="minorHAnsi"/>
                <w:b/>
                <w:bCs/>
                <w:sz w:val="15"/>
                <w:szCs w:val="15"/>
              </w:rPr>
              <w:t xml:space="preserve"> 51 </w:t>
            </w:r>
          </w:p>
        </w:tc>
        <w:tc>
          <w:tcPr>
            <w:tcW w:w="420" w:type="pct"/>
            <w:tcBorders>
              <w:top w:val="single" w:sz="4" w:space="0" w:color="auto"/>
              <w:left w:val="nil"/>
              <w:bottom w:val="single" w:sz="12" w:space="0" w:color="auto"/>
              <w:right w:val="nil"/>
            </w:tcBorders>
            <w:vAlign w:val="bottom"/>
            <w:hideMark/>
          </w:tcPr>
          <w:p w14:paraId="264E1927" w14:textId="6C643F50" w:rsidR="00417C24" w:rsidRPr="00F7700B" w:rsidRDefault="00417C24" w:rsidP="00417C24">
            <w:pPr>
              <w:tabs>
                <w:tab w:val="right" w:pos="1202"/>
              </w:tabs>
              <w:spacing w:after="0" w:line="240" w:lineRule="exact"/>
              <w:jc w:val="right"/>
              <w:outlineLvl w:val="0"/>
              <w:rPr>
                <w:rFonts w:ascii="Calibri" w:eastAsia="Times New Roman" w:hAnsi="Calibri" w:cs="Arial"/>
                <w:b/>
                <w:bCs/>
                <w:sz w:val="15"/>
                <w:szCs w:val="15"/>
                <w:lang w:val="en-US"/>
              </w:rPr>
            </w:pPr>
            <w:r w:rsidRPr="00F7700B">
              <w:rPr>
                <w:rFonts w:cstheme="minorHAnsi"/>
                <w:b/>
                <w:bCs/>
                <w:sz w:val="15"/>
                <w:szCs w:val="15"/>
              </w:rPr>
              <w:t xml:space="preserve"> 7,311 </w:t>
            </w:r>
          </w:p>
        </w:tc>
        <w:tc>
          <w:tcPr>
            <w:tcW w:w="420" w:type="pct"/>
            <w:tcBorders>
              <w:top w:val="single" w:sz="4" w:space="0" w:color="auto"/>
              <w:left w:val="nil"/>
              <w:bottom w:val="single" w:sz="12" w:space="0" w:color="auto"/>
              <w:right w:val="nil"/>
            </w:tcBorders>
            <w:vAlign w:val="bottom"/>
            <w:hideMark/>
          </w:tcPr>
          <w:p w14:paraId="1D27A956" w14:textId="43CF6675" w:rsidR="00417C24" w:rsidRPr="00F7700B" w:rsidRDefault="00417C24" w:rsidP="00417C24">
            <w:pPr>
              <w:tabs>
                <w:tab w:val="right" w:pos="1202"/>
              </w:tabs>
              <w:spacing w:after="0" w:line="240" w:lineRule="exact"/>
              <w:jc w:val="right"/>
              <w:outlineLvl w:val="0"/>
              <w:rPr>
                <w:rFonts w:ascii="Calibri" w:eastAsia="Times New Roman" w:hAnsi="Calibri" w:cs="Arial"/>
                <w:b/>
                <w:bCs/>
                <w:sz w:val="15"/>
                <w:szCs w:val="15"/>
                <w:lang w:val="en-US"/>
              </w:rPr>
            </w:pPr>
            <w:r w:rsidRPr="00F7700B">
              <w:rPr>
                <w:rFonts w:cstheme="minorHAnsi"/>
                <w:b/>
                <w:bCs/>
                <w:sz w:val="15"/>
                <w:szCs w:val="15"/>
              </w:rPr>
              <w:t xml:space="preserve"> 3,326 </w:t>
            </w:r>
          </w:p>
        </w:tc>
        <w:tc>
          <w:tcPr>
            <w:tcW w:w="420" w:type="pct"/>
            <w:tcBorders>
              <w:top w:val="single" w:sz="4" w:space="0" w:color="auto"/>
              <w:left w:val="nil"/>
              <w:bottom w:val="single" w:sz="12" w:space="0" w:color="auto"/>
              <w:right w:val="nil"/>
            </w:tcBorders>
            <w:vAlign w:val="bottom"/>
            <w:hideMark/>
          </w:tcPr>
          <w:p w14:paraId="15981C9D" w14:textId="6D98545B" w:rsidR="00417C24" w:rsidRPr="00F7700B" w:rsidRDefault="00417C24" w:rsidP="00417C24">
            <w:pPr>
              <w:tabs>
                <w:tab w:val="right" w:pos="1202"/>
              </w:tabs>
              <w:spacing w:after="0" w:line="240" w:lineRule="exact"/>
              <w:jc w:val="right"/>
              <w:outlineLvl w:val="0"/>
              <w:rPr>
                <w:rFonts w:ascii="Calibri" w:eastAsia="Times New Roman" w:hAnsi="Calibri" w:cs="Arial"/>
                <w:b/>
                <w:bCs/>
                <w:sz w:val="15"/>
                <w:szCs w:val="15"/>
                <w:lang w:val="en-US"/>
              </w:rPr>
            </w:pPr>
            <w:r w:rsidRPr="00F7700B">
              <w:rPr>
                <w:rFonts w:cstheme="minorHAnsi"/>
                <w:b/>
                <w:bCs/>
                <w:sz w:val="15"/>
                <w:szCs w:val="15"/>
              </w:rPr>
              <w:t xml:space="preserve"> 12 </w:t>
            </w:r>
          </w:p>
        </w:tc>
        <w:tc>
          <w:tcPr>
            <w:tcW w:w="418" w:type="pct"/>
            <w:tcBorders>
              <w:top w:val="single" w:sz="4" w:space="0" w:color="auto"/>
              <w:left w:val="nil"/>
              <w:bottom w:val="single" w:sz="12" w:space="0" w:color="auto"/>
              <w:right w:val="nil"/>
            </w:tcBorders>
            <w:vAlign w:val="bottom"/>
            <w:hideMark/>
          </w:tcPr>
          <w:p w14:paraId="078E7ABF" w14:textId="123B9910" w:rsidR="00417C24" w:rsidRPr="00F7700B" w:rsidRDefault="00417C24" w:rsidP="00417C24">
            <w:pPr>
              <w:tabs>
                <w:tab w:val="right" w:pos="1202"/>
              </w:tabs>
              <w:spacing w:after="0" w:line="240" w:lineRule="exact"/>
              <w:jc w:val="right"/>
              <w:outlineLvl w:val="0"/>
              <w:rPr>
                <w:rFonts w:ascii="Calibri" w:eastAsia="Times New Roman" w:hAnsi="Calibri" w:cs="Arial"/>
                <w:b/>
                <w:bCs/>
                <w:sz w:val="15"/>
                <w:szCs w:val="15"/>
                <w:lang w:val="en-US"/>
              </w:rPr>
            </w:pPr>
            <w:r w:rsidRPr="00F7700B">
              <w:rPr>
                <w:rFonts w:cstheme="minorHAnsi"/>
                <w:b/>
                <w:bCs/>
                <w:sz w:val="15"/>
                <w:szCs w:val="15"/>
              </w:rPr>
              <w:t xml:space="preserve"> 1,310 </w:t>
            </w:r>
          </w:p>
        </w:tc>
        <w:tc>
          <w:tcPr>
            <w:tcW w:w="416" w:type="pct"/>
            <w:tcBorders>
              <w:top w:val="single" w:sz="4" w:space="0" w:color="auto"/>
              <w:left w:val="nil"/>
              <w:bottom w:val="single" w:sz="12" w:space="0" w:color="auto"/>
              <w:right w:val="nil"/>
            </w:tcBorders>
            <w:vAlign w:val="bottom"/>
            <w:hideMark/>
          </w:tcPr>
          <w:p w14:paraId="00079E59" w14:textId="28431971" w:rsidR="00417C24" w:rsidRPr="00F7700B" w:rsidRDefault="00417C24" w:rsidP="00417C24">
            <w:pPr>
              <w:tabs>
                <w:tab w:val="right" w:pos="1202"/>
              </w:tabs>
              <w:spacing w:after="0" w:line="240" w:lineRule="exact"/>
              <w:jc w:val="right"/>
              <w:outlineLvl w:val="0"/>
              <w:rPr>
                <w:rFonts w:ascii="Calibri" w:eastAsia="Times New Roman" w:hAnsi="Calibri" w:cs="Arial"/>
                <w:b/>
                <w:bCs/>
                <w:sz w:val="15"/>
                <w:szCs w:val="15"/>
                <w:lang w:val="en-US"/>
              </w:rPr>
            </w:pPr>
            <w:r w:rsidRPr="00F7700B">
              <w:rPr>
                <w:rFonts w:cstheme="minorHAnsi"/>
                <w:b/>
                <w:bCs/>
                <w:sz w:val="15"/>
                <w:szCs w:val="15"/>
              </w:rPr>
              <w:t xml:space="preserve"> 51 </w:t>
            </w:r>
          </w:p>
        </w:tc>
        <w:tc>
          <w:tcPr>
            <w:tcW w:w="470" w:type="pct"/>
            <w:tcBorders>
              <w:top w:val="single" w:sz="4" w:space="0" w:color="auto"/>
              <w:left w:val="nil"/>
              <w:bottom w:val="single" w:sz="12" w:space="0" w:color="auto"/>
              <w:right w:val="nil"/>
            </w:tcBorders>
            <w:vAlign w:val="bottom"/>
            <w:hideMark/>
          </w:tcPr>
          <w:p w14:paraId="3F526F35" w14:textId="28FD5D3E" w:rsidR="00417C24" w:rsidRPr="00417C24" w:rsidRDefault="00417C24" w:rsidP="00417C24">
            <w:pPr>
              <w:tabs>
                <w:tab w:val="right" w:pos="1202"/>
              </w:tabs>
              <w:spacing w:after="0" w:line="240" w:lineRule="exact"/>
              <w:jc w:val="right"/>
              <w:outlineLvl w:val="0"/>
              <w:rPr>
                <w:rFonts w:ascii="Calibri" w:eastAsia="Times New Roman" w:hAnsi="Calibri" w:cs="Arial"/>
                <w:sz w:val="15"/>
                <w:szCs w:val="15"/>
                <w:lang w:val="en-US"/>
              </w:rPr>
            </w:pPr>
            <w:r w:rsidRPr="00417C24">
              <w:rPr>
                <w:rFonts w:cstheme="minorHAnsi"/>
                <w:b/>
                <w:bCs/>
                <w:sz w:val="15"/>
                <w:szCs w:val="15"/>
              </w:rPr>
              <w:t xml:space="preserve"> 4,699 </w:t>
            </w:r>
          </w:p>
        </w:tc>
      </w:tr>
    </w:tbl>
    <w:p w14:paraId="54EEC748" w14:textId="45682FAE" w:rsidR="00CC5E14" w:rsidRPr="00537128" w:rsidRDefault="00CC5E14" w:rsidP="00AA378C">
      <w:pPr>
        <w:spacing w:after="0" w:line="240" w:lineRule="auto"/>
        <w:jc w:val="both"/>
        <w:rPr>
          <w:rFonts w:ascii="Calibri" w:eastAsia="Times New Roman" w:hAnsi="Calibri" w:cs="Times New Roman"/>
          <w:color w:val="000000" w:themeColor="text1"/>
          <w:lang w:val="en-US"/>
        </w:rPr>
        <w:sectPr w:rsidR="00CC5E14" w:rsidRPr="00537128">
          <w:pgSz w:w="11906" w:h="16838"/>
          <w:pgMar w:top="1417" w:right="1417" w:bottom="1417" w:left="1417" w:header="708" w:footer="708" w:gutter="0"/>
          <w:cols w:space="708"/>
          <w:docGrid w:linePitch="360"/>
        </w:sectPr>
      </w:pPr>
    </w:p>
    <w:p w14:paraId="676000AD" w14:textId="77777777" w:rsidR="007E6E38" w:rsidRPr="00537128" w:rsidRDefault="007E6E38" w:rsidP="007E6E38">
      <w:pPr>
        <w:tabs>
          <w:tab w:val="left" w:pos="567"/>
        </w:tabs>
        <w:spacing w:after="0" w:line="240" w:lineRule="auto"/>
        <w:rPr>
          <w:rFonts w:ascii="Calibri" w:eastAsia="Times New Roman" w:hAnsi="Calibri" w:cs="Arial"/>
          <w:b/>
          <w:bCs/>
          <w:color w:val="000000" w:themeColor="text1"/>
          <w:lang w:val="en-US"/>
        </w:rPr>
      </w:pPr>
    </w:p>
    <w:p w14:paraId="6906DFC9" w14:textId="2BEFA8C4" w:rsidR="007E6E38" w:rsidRPr="00537128" w:rsidRDefault="007E6E38" w:rsidP="007E6E38">
      <w:pPr>
        <w:tabs>
          <w:tab w:val="left" w:pos="567"/>
        </w:tabs>
        <w:spacing w:after="0" w:line="240" w:lineRule="auto"/>
        <w:rPr>
          <w:rFonts w:ascii="Calibri" w:eastAsia="Times New Roman" w:hAnsi="Calibri" w:cs="Arial"/>
          <w:b/>
          <w:bCs/>
          <w:color w:val="000000" w:themeColor="text1"/>
          <w:lang w:val="en-US"/>
        </w:rPr>
      </w:pPr>
      <w:r w:rsidRPr="00537128">
        <w:rPr>
          <w:rFonts w:ascii="Calibri" w:eastAsia="Times New Roman" w:hAnsi="Calibri" w:cs="Arial"/>
          <w:b/>
          <w:bCs/>
          <w:color w:val="000000" w:themeColor="text1"/>
          <w:lang w:val="en-US"/>
        </w:rPr>
        <w:t>1</w:t>
      </w:r>
      <w:r w:rsidR="00A43303">
        <w:rPr>
          <w:rFonts w:ascii="Calibri" w:eastAsia="Times New Roman" w:hAnsi="Calibri" w:cs="Arial"/>
          <w:b/>
          <w:bCs/>
          <w:color w:val="000000" w:themeColor="text1"/>
          <w:lang w:val="en-US"/>
        </w:rPr>
        <w:t>6</w:t>
      </w:r>
      <w:r w:rsidRPr="00537128">
        <w:rPr>
          <w:rFonts w:ascii="Calibri" w:eastAsia="Times New Roman" w:hAnsi="Calibri" w:cs="Arial"/>
          <w:b/>
          <w:bCs/>
          <w:color w:val="000000" w:themeColor="text1"/>
          <w:lang w:val="en-US"/>
        </w:rPr>
        <w:t>.</w:t>
      </w:r>
      <w:r w:rsidRPr="00537128">
        <w:rPr>
          <w:rFonts w:ascii="Calibri" w:eastAsia="Times New Roman" w:hAnsi="Calibri" w:cs="Arial"/>
          <w:b/>
          <w:bCs/>
          <w:color w:val="000000" w:themeColor="text1"/>
          <w:lang w:val="en-US"/>
        </w:rPr>
        <w:tab/>
        <w:t>Other assets (continued)</w:t>
      </w:r>
    </w:p>
    <w:p w14:paraId="47C41449" w14:textId="77777777" w:rsidR="007E6E38" w:rsidRPr="00537128" w:rsidRDefault="007E6E38" w:rsidP="007E6E38">
      <w:pPr>
        <w:tabs>
          <w:tab w:val="left" w:pos="567"/>
        </w:tabs>
        <w:spacing w:after="0" w:line="240" w:lineRule="auto"/>
        <w:rPr>
          <w:rFonts w:ascii="Calibri" w:eastAsia="Times New Roman" w:hAnsi="Calibri" w:cs="Arial"/>
          <w:b/>
          <w:bCs/>
          <w:color w:val="000000" w:themeColor="text1"/>
          <w:lang w:val="en-US"/>
        </w:rPr>
      </w:pPr>
    </w:p>
    <w:p w14:paraId="484B0E6F" w14:textId="77777777" w:rsidR="007E6E38" w:rsidRPr="00537128" w:rsidRDefault="007E6E38" w:rsidP="007E6E38">
      <w:pPr>
        <w:spacing w:after="0" w:line="240" w:lineRule="auto"/>
        <w:rPr>
          <w:rFonts w:ascii="Calibri" w:eastAsia="Times New Roman" w:hAnsi="Calibri" w:cs="Calibri"/>
          <w:b/>
          <w:color w:val="000000" w:themeColor="text1"/>
          <w:lang w:val="en-US" w:eastAsia="hr-HR"/>
        </w:rPr>
      </w:pPr>
      <w:r w:rsidRPr="00537128">
        <w:rPr>
          <w:rFonts w:ascii="Calibri" w:eastAsia="Calibri" w:hAnsi="Calibri" w:cs="Times New Roman"/>
          <w:color w:val="000000" w:themeColor="text1"/>
          <w:lang w:val="en-US"/>
        </w:rPr>
        <w:t>The following text contains the breakdown of positions stated as credit risk:</w:t>
      </w:r>
    </w:p>
    <w:p w14:paraId="027590F8" w14:textId="7C18B746" w:rsidR="007E6E38" w:rsidRPr="00537128" w:rsidRDefault="007E6E38" w:rsidP="007E6E38">
      <w:pPr>
        <w:tabs>
          <w:tab w:val="left" w:pos="-720"/>
        </w:tabs>
        <w:spacing w:after="0" w:line="240" w:lineRule="auto"/>
        <w:jc w:val="both"/>
        <w:rPr>
          <w:rFonts w:ascii="Calibri" w:eastAsia="Times New Roman" w:hAnsi="Calibri" w:cs="Calibri"/>
          <w:b/>
          <w:color w:val="000000" w:themeColor="text1"/>
          <w:lang w:val="en-US" w:eastAsia="hr-HR"/>
        </w:rPr>
      </w:pPr>
    </w:p>
    <w:tbl>
      <w:tblPr>
        <w:tblW w:w="5050" w:type="pct"/>
        <w:tblCellMar>
          <w:left w:w="119" w:type="dxa"/>
          <w:right w:w="119" w:type="dxa"/>
        </w:tblCellMar>
        <w:tblLook w:val="04A0" w:firstRow="1" w:lastRow="0" w:firstColumn="1" w:lastColumn="0" w:noHBand="0" w:noVBand="1"/>
      </w:tblPr>
      <w:tblGrid>
        <w:gridCol w:w="3331"/>
        <w:gridCol w:w="1470"/>
        <w:gridCol w:w="1525"/>
        <w:gridCol w:w="1417"/>
        <w:gridCol w:w="1420"/>
      </w:tblGrid>
      <w:tr w:rsidR="00CC5E14" w:rsidRPr="00537128" w14:paraId="100A48F0" w14:textId="77777777" w:rsidTr="00CC5E14">
        <w:trPr>
          <w:trHeight w:val="190"/>
        </w:trPr>
        <w:tc>
          <w:tcPr>
            <w:tcW w:w="1818" w:type="pct"/>
          </w:tcPr>
          <w:p w14:paraId="4EBAEE01" w14:textId="77777777" w:rsidR="00CC5E14" w:rsidRPr="00537128" w:rsidRDefault="00CC5E14" w:rsidP="00CC5E14">
            <w:pPr>
              <w:tabs>
                <w:tab w:val="left" w:pos="-720"/>
              </w:tabs>
              <w:suppressAutoHyphens/>
              <w:spacing w:after="0" w:line="240" w:lineRule="auto"/>
              <w:rPr>
                <w:rFonts w:ascii="Calibri" w:eastAsia="Calibri" w:hAnsi="Calibri" w:cs="Arial"/>
                <w:spacing w:val="-2"/>
                <w:sz w:val="21"/>
                <w:szCs w:val="21"/>
                <w:lang w:val="en-US"/>
              </w:rPr>
            </w:pPr>
          </w:p>
        </w:tc>
        <w:tc>
          <w:tcPr>
            <w:tcW w:w="1634" w:type="pct"/>
            <w:gridSpan w:val="2"/>
            <w:hideMark/>
          </w:tcPr>
          <w:p w14:paraId="74498E07" w14:textId="77777777" w:rsidR="00CC5E14" w:rsidRPr="00537128" w:rsidRDefault="00CC5E14" w:rsidP="00CC5E14">
            <w:pPr>
              <w:tabs>
                <w:tab w:val="right" w:pos="1202"/>
              </w:tabs>
              <w:spacing w:after="0" w:line="240" w:lineRule="atLeast"/>
              <w:jc w:val="right"/>
              <w:outlineLvl w:val="0"/>
              <w:rPr>
                <w:rFonts w:ascii="Calibri" w:eastAsia="Times New Roman" w:hAnsi="Calibri" w:cs="Arial"/>
                <w:b/>
                <w:sz w:val="21"/>
                <w:szCs w:val="21"/>
                <w:lang w:val="en-US"/>
              </w:rPr>
            </w:pPr>
            <w:bookmarkStart w:id="479" w:name="_Toc4059784"/>
            <w:r w:rsidRPr="00537128">
              <w:rPr>
                <w:rFonts w:ascii="Calibri" w:eastAsia="Times New Roman" w:hAnsi="Calibri" w:cs="Arial"/>
                <w:b/>
                <w:sz w:val="21"/>
                <w:szCs w:val="21"/>
                <w:lang w:val="en-US"/>
              </w:rPr>
              <w:t>Group</w:t>
            </w:r>
            <w:bookmarkEnd w:id="479"/>
          </w:p>
        </w:tc>
        <w:tc>
          <w:tcPr>
            <w:tcW w:w="1548" w:type="pct"/>
            <w:gridSpan w:val="2"/>
            <w:hideMark/>
          </w:tcPr>
          <w:p w14:paraId="44DA9170" w14:textId="77777777" w:rsidR="00CC5E14" w:rsidRPr="00537128" w:rsidRDefault="00CC5E14" w:rsidP="00CC5E14">
            <w:pPr>
              <w:tabs>
                <w:tab w:val="right" w:pos="1202"/>
              </w:tabs>
              <w:spacing w:after="0" w:line="240" w:lineRule="atLeast"/>
              <w:jc w:val="right"/>
              <w:outlineLvl w:val="0"/>
              <w:rPr>
                <w:rFonts w:ascii="Calibri" w:eastAsia="Times New Roman" w:hAnsi="Calibri" w:cs="Arial"/>
                <w:b/>
                <w:sz w:val="21"/>
                <w:szCs w:val="21"/>
                <w:lang w:val="en-US"/>
              </w:rPr>
            </w:pPr>
            <w:bookmarkStart w:id="480" w:name="_Toc4059785"/>
            <w:r w:rsidRPr="00537128">
              <w:rPr>
                <w:rFonts w:ascii="Calibri" w:eastAsia="Times New Roman" w:hAnsi="Calibri" w:cs="Arial"/>
                <w:b/>
                <w:sz w:val="21"/>
                <w:szCs w:val="21"/>
                <w:lang w:val="en-US"/>
              </w:rPr>
              <w:t>Bank</w:t>
            </w:r>
            <w:bookmarkEnd w:id="480"/>
          </w:p>
        </w:tc>
      </w:tr>
      <w:tr w:rsidR="00CC5E14" w:rsidRPr="00537128" w14:paraId="36BFBF1E" w14:textId="77777777" w:rsidTr="00A43303">
        <w:trPr>
          <w:trHeight w:val="190"/>
        </w:trPr>
        <w:tc>
          <w:tcPr>
            <w:tcW w:w="1818" w:type="pct"/>
          </w:tcPr>
          <w:p w14:paraId="759CCB18" w14:textId="77777777" w:rsidR="00CC5E14" w:rsidRPr="00537128" w:rsidRDefault="00CC5E14" w:rsidP="00CC5E14">
            <w:pPr>
              <w:tabs>
                <w:tab w:val="left" w:pos="-720"/>
              </w:tabs>
              <w:suppressAutoHyphens/>
              <w:spacing w:after="0" w:line="240" w:lineRule="auto"/>
              <w:rPr>
                <w:rFonts w:ascii="Calibri" w:eastAsia="Calibri" w:hAnsi="Calibri" w:cs="Arial"/>
                <w:spacing w:val="-2"/>
                <w:sz w:val="21"/>
                <w:szCs w:val="21"/>
                <w:lang w:val="en-US"/>
              </w:rPr>
            </w:pPr>
          </w:p>
        </w:tc>
        <w:tc>
          <w:tcPr>
            <w:tcW w:w="802" w:type="pct"/>
            <w:vAlign w:val="center"/>
            <w:hideMark/>
          </w:tcPr>
          <w:p w14:paraId="50FF7303" w14:textId="77777777" w:rsidR="00CC5E14" w:rsidRPr="00537128" w:rsidRDefault="00CC5E14" w:rsidP="00CC5E14">
            <w:pPr>
              <w:tabs>
                <w:tab w:val="right" w:pos="1202"/>
              </w:tabs>
              <w:spacing w:after="0" w:line="240" w:lineRule="atLeast"/>
              <w:jc w:val="right"/>
              <w:outlineLvl w:val="0"/>
              <w:rPr>
                <w:rFonts w:ascii="Calibri" w:eastAsia="Times New Roman" w:hAnsi="Calibri" w:cs="Calibri"/>
                <w:b/>
                <w:bCs/>
                <w:sz w:val="21"/>
                <w:szCs w:val="21"/>
                <w:lang w:val="en-US"/>
              </w:rPr>
            </w:pPr>
            <w:r w:rsidRPr="00537128">
              <w:rPr>
                <w:rFonts w:ascii="Calibri" w:eastAsia="Times New Roman" w:hAnsi="Calibri" w:cs="Calibri"/>
                <w:b/>
                <w:bCs/>
                <w:sz w:val="21"/>
                <w:szCs w:val="21"/>
                <w:lang w:val="en-US"/>
              </w:rPr>
              <w:t>31 March</w:t>
            </w:r>
          </w:p>
          <w:p w14:paraId="1B28427F" w14:textId="1B71C9BE" w:rsidR="00CC5E14" w:rsidRPr="00537128" w:rsidRDefault="00CC5E14" w:rsidP="00CC5E14">
            <w:pPr>
              <w:tabs>
                <w:tab w:val="right" w:pos="1202"/>
              </w:tabs>
              <w:spacing w:after="0" w:line="240" w:lineRule="atLeast"/>
              <w:jc w:val="right"/>
              <w:outlineLvl w:val="0"/>
              <w:rPr>
                <w:rFonts w:ascii="Calibri" w:eastAsia="Times New Roman" w:hAnsi="Calibri" w:cs="Arial"/>
                <w:b/>
                <w:sz w:val="21"/>
                <w:szCs w:val="21"/>
                <w:lang w:val="en-US"/>
              </w:rPr>
            </w:pPr>
            <w:r w:rsidRPr="00537128">
              <w:rPr>
                <w:rFonts w:ascii="Calibri" w:eastAsia="Times New Roman" w:hAnsi="Calibri" w:cs="Calibri"/>
                <w:b/>
                <w:bCs/>
                <w:sz w:val="21"/>
                <w:szCs w:val="21"/>
                <w:lang w:val="en-US"/>
              </w:rPr>
              <w:t>202</w:t>
            </w:r>
            <w:r w:rsidR="006471FD">
              <w:rPr>
                <w:rFonts w:ascii="Calibri" w:eastAsia="Times New Roman" w:hAnsi="Calibri" w:cs="Calibri"/>
                <w:b/>
                <w:bCs/>
                <w:sz w:val="21"/>
                <w:szCs w:val="21"/>
                <w:lang w:val="en-US"/>
              </w:rPr>
              <w:t>2</w:t>
            </w:r>
          </w:p>
        </w:tc>
        <w:tc>
          <w:tcPr>
            <w:tcW w:w="832" w:type="pct"/>
            <w:vAlign w:val="center"/>
            <w:hideMark/>
          </w:tcPr>
          <w:p w14:paraId="728BAF77" w14:textId="43BC3D76" w:rsidR="00CC5E14" w:rsidRPr="00537128" w:rsidRDefault="00CC5E14" w:rsidP="00CC5E14">
            <w:pPr>
              <w:tabs>
                <w:tab w:val="right" w:pos="1202"/>
              </w:tabs>
              <w:spacing w:after="0" w:line="240" w:lineRule="atLeast"/>
              <w:jc w:val="right"/>
              <w:outlineLvl w:val="0"/>
              <w:rPr>
                <w:rFonts w:ascii="Calibri" w:eastAsia="Times New Roman" w:hAnsi="Calibri" w:cs="Arial"/>
                <w:b/>
                <w:sz w:val="21"/>
                <w:szCs w:val="21"/>
                <w:lang w:val="en-US"/>
              </w:rPr>
            </w:pPr>
            <w:r w:rsidRPr="00537128">
              <w:rPr>
                <w:rFonts w:ascii="Calibri" w:eastAsia="Times New Roman" w:hAnsi="Calibri" w:cs="Calibri"/>
                <w:b/>
                <w:bCs/>
                <w:sz w:val="21"/>
                <w:szCs w:val="21"/>
                <w:lang w:val="en-US"/>
              </w:rPr>
              <w:t>31 December 202</w:t>
            </w:r>
            <w:r w:rsidR="006471FD">
              <w:rPr>
                <w:rFonts w:ascii="Calibri" w:eastAsia="Times New Roman" w:hAnsi="Calibri" w:cs="Calibri"/>
                <w:b/>
                <w:bCs/>
                <w:sz w:val="21"/>
                <w:szCs w:val="21"/>
                <w:lang w:val="en-US"/>
              </w:rPr>
              <w:t>1</w:t>
            </w:r>
          </w:p>
        </w:tc>
        <w:tc>
          <w:tcPr>
            <w:tcW w:w="773" w:type="pct"/>
            <w:vAlign w:val="center"/>
            <w:hideMark/>
          </w:tcPr>
          <w:p w14:paraId="56AB38DB" w14:textId="77777777" w:rsidR="00CC5E14" w:rsidRPr="00537128" w:rsidRDefault="00CC5E14" w:rsidP="00CC5E14">
            <w:pPr>
              <w:tabs>
                <w:tab w:val="right" w:pos="1202"/>
              </w:tabs>
              <w:spacing w:after="0" w:line="240" w:lineRule="atLeast"/>
              <w:jc w:val="right"/>
              <w:outlineLvl w:val="0"/>
              <w:rPr>
                <w:rFonts w:ascii="Calibri" w:eastAsia="Times New Roman" w:hAnsi="Calibri" w:cs="Calibri"/>
                <w:b/>
                <w:bCs/>
                <w:sz w:val="21"/>
                <w:szCs w:val="21"/>
                <w:lang w:val="en-US"/>
              </w:rPr>
            </w:pPr>
            <w:bookmarkStart w:id="481" w:name="_Toc4059787"/>
            <w:r w:rsidRPr="00537128">
              <w:rPr>
                <w:rFonts w:ascii="Calibri" w:eastAsia="Times New Roman" w:hAnsi="Calibri" w:cs="Calibri"/>
                <w:b/>
                <w:bCs/>
                <w:sz w:val="21"/>
                <w:szCs w:val="21"/>
                <w:lang w:val="en-US"/>
              </w:rPr>
              <w:t xml:space="preserve">31 </w:t>
            </w:r>
            <w:bookmarkEnd w:id="481"/>
            <w:r w:rsidRPr="00537128">
              <w:rPr>
                <w:rFonts w:ascii="Calibri" w:eastAsia="Times New Roman" w:hAnsi="Calibri" w:cs="Calibri"/>
                <w:b/>
                <w:bCs/>
                <w:sz w:val="21"/>
                <w:szCs w:val="21"/>
                <w:lang w:val="en-US"/>
              </w:rPr>
              <w:t>March</w:t>
            </w:r>
          </w:p>
          <w:p w14:paraId="73D7644F" w14:textId="1E7A9D95" w:rsidR="00CC5E14" w:rsidRPr="00537128" w:rsidRDefault="00CC5E14" w:rsidP="00CC5E14">
            <w:pPr>
              <w:tabs>
                <w:tab w:val="right" w:pos="1202"/>
              </w:tabs>
              <w:spacing w:after="0" w:line="240" w:lineRule="atLeast"/>
              <w:jc w:val="right"/>
              <w:outlineLvl w:val="0"/>
              <w:rPr>
                <w:rFonts w:ascii="Calibri" w:eastAsia="Times New Roman" w:hAnsi="Calibri" w:cs="Arial"/>
                <w:b/>
                <w:sz w:val="21"/>
                <w:szCs w:val="21"/>
                <w:lang w:val="en-US"/>
              </w:rPr>
            </w:pPr>
            <w:r w:rsidRPr="00537128">
              <w:rPr>
                <w:rFonts w:ascii="Calibri" w:eastAsia="Times New Roman" w:hAnsi="Calibri" w:cs="Calibri"/>
                <w:b/>
                <w:bCs/>
                <w:sz w:val="21"/>
                <w:szCs w:val="21"/>
                <w:lang w:val="en-US"/>
              </w:rPr>
              <w:t>202</w:t>
            </w:r>
            <w:r w:rsidR="006471FD">
              <w:rPr>
                <w:rFonts w:ascii="Calibri" w:eastAsia="Times New Roman" w:hAnsi="Calibri" w:cs="Calibri"/>
                <w:b/>
                <w:bCs/>
                <w:sz w:val="21"/>
                <w:szCs w:val="21"/>
                <w:lang w:val="en-US"/>
              </w:rPr>
              <w:t>2</w:t>
            </w:r>
          </w:p>
        </w:tc>
        <w:tc>
          <w:tcPr>
            <w:tcW w:w="775" w:type="pct"/>
            <w:vAlign w:val="center"/>
            <w:hideMark/>
          </w:tcPr>
          <w:p w14:paraId="2930231C" w14:textId="262D967B" w:rsidR="00CC5E14" w:rsidRPr="00537128" w:rsidRDefault="00CC5E14" w:rsidP="00CC5E14">
            <w:pPr>
              <w:tabs>
                <w:tab w:val="right" w:pos="1202"/>
              </w:tabs>
              <w:spacing w:after="0" w:line="240" w:lineRule="atLeast"/>
              <w:jc w:val="right"/>
              <w:outlineLvl w:val="0"/>
              <w:rPr>
                <w:rFonts w:ascii="Calibri" w:eastAsia="Times New Roman" w:hAnsi="Calibri" w:cs="Arial"/>
                <w:b/>
                <w:sz w:val="21"/>
                <w:szCs w:val="21"/>
                <w:lang w:val="en-US"/>
              </w:rPr>
            </w:pPr>
            <w:bookmarkStart w:id="482" w:name="_Toc4059788"/>
            <w:r w:rsidRPr="00537128">
              <w:rPr>
                <w:rFonts w:ascii="Calibri" w:eastAsia="Times New Roman" w:hAnsi="Calibri" w:cs="Calibri"/>
                <w:b/>
                <w:bCs/>
                <w:sz w:val="21"/>
                <w:szCs w:val="21"/>
                <w:lang w:val="en-US"/>
              </w:rPr>
              <w:t xml:space="preserve">31 December </w:t>
            </w:r>
            <w:bookmarkEnd w:id="482"/>
            <w:r w:rsidRPr="00537128">
              <w:rPr>
                <w:rFonts w:ascii="Calibri" w:eastAsia="Times New Roman" w:hAnsi="Calibri" w:cs="Calibri"/>
                <w:b/>
                <w:bCs/>
                <w:sz w:val="21"/>
                <w:szCs w:val="21"/>
                <w:lang w:val="en-US"/>
              </w:rPr>
              <w:t>202</w:t>
            </w:r>
            <w:r w:rsidR="006471FD">
              <w:rPr>
                <w:rFonts w:ascii="Calibri" w:eastAsia="Times New Roman" w:hAnsi="Calibri" w:cs="Calibri"/>
                <w:b/>
                <w:bCs/>
                <w:sz w:val="21"/>
                <w:szCs w:val="21"/>
                <w:lang w:val="en-US"/>
              </w:rPr>
              <w:t>1</w:t>
            </w:r>
          </w:p>
        </w:tc>
      </w:tr>
      <w:tr w:rsidR="00CC5E14" w:rsidRPr="00537128" w14:paraId="0AA3CBB7" w14:textId="77777777" w:rsidTr="00A43303">
        <w:trPr>
          <w:trHeight w:val="241"/>
        </w:trPr>
        <w:tc>
          <w:tcPr>
            <w:tcW w:w="1818" w:type="pct"/>
          </w:tcPr>
          <w:p w14:paraId="7513A27C" w14:textId="77777777" w:rsidR="00CC5E14" w:rsidRPr="00537128" w:rsidRDefault="00CC5E14" w:rsidP="00CC5E14">
            <w:pPr>
              <w:tabs>
                <w:tab w:val="left" w:pos="-720"/>
              </w:tabs>
              <w:suppressAutoHyphens/>
              <w:spacing w:after="0" w:line="240" w:lineRule="auto"/>
              <w:rPr>
                <w:rFonts w:ascii="Calibri" w:eastAsia="Calibri" w:hAnsi="Calibri" w:cs="Arial"/>
                <w:spacing w:val="-2"/>
                <w:sz w:val="21"/>
                <w:szCs w:val="21"/>
                <w:lang w:val="en-US"/>
              </w:rPr>
            </w:pPr>
          </w:p>
        </w:tc>
        <w:tc>
          <w:tcPr>
            <w:tcW w:w="802" w:type="pct"/>
            <w:hideMark/>
          </w:tcPr>
          <w:p w14:paraId="0D4D5EEB" w14:textId="77777777" w:rsidR="00CC5E14" w:rsidRPr="00537128" w:rsidRDefault="00CC5E14" w:rsidP="00CC5E14">
            <w:pPr>
              <w:tabs>
                <w:tab w:val="right" w:pos="1202"/>
              </w:tabs>
              <w:spacing w:after="0" w:line="240" w:lineRule="atLeast"/>
              <w:jc w:val="right"/>
              <w:outlineLvl w:val="0"/>
              <w:rPr>
                <w:rFonts w:ascii="Calibri" w:eastAsia="Times New Roman" w:hAnsi="Calibri" w:cs="Arial"/>
                <w:b/>
                <w:sz w:val="21"/>
                <w:szCs w:val="21"/>
                <w:lang w:val="en-US"/>
              </w:rPr>
            </w:pPr>
            <w:bookmarkStart w:id="483" w:name="_Toc4059790"/>
            <w:r w:rsidRPr="00537128">
              <w:rPr>
                <w:rFonts w:ascii="Calibri" w:eastAsia="Times New Roman" w:hAnsi="Calibri" w:cs="Arial"/>
                <w:b/>
                <w:sz w:val="21"/>
                <w:szCs w:val="21"/>
                <w:lang w:val="en-US"/>
              </w:rPr>
              <w:t>HRK ‘000</w:t>
            </w:r>
            <w:bookmarkEnd w:id="483"/>
          </w:p>
        </w:tc>
        <w:tc>
          <w:tcPr>
            <w:tcW w:w="832" w:type="pct"/>
            <w:hideMark/>
          </w:tcPr>
          <w:p w14:paraId="6C3F1830" w14:textId="3A03F4C6" w:rsidR="00CC5E14" w:rsidRPr="00537128" w:rsidRDefault="00CC5E14" w:rsidP="00CC5E14">
            <w:pPr>
              <w:tabs>
                <w:tab w:val="right" w:pos="1202"/>
              </w:tabs>
              <w:spacing w:after="0" w:line="240" w:lineRule="atLeast"/>
              <w:jc w:val="right"/>
              <w:outlineLvl w:val="0"/>
              <w:rPr>
                <w:rFonts w:ascii="Calibri" w:eastAsia="Times New Roman" w:hAnsi="Calibri" w:cs="Arial"/>
                <w:b/>
                <w:sz w:val="21"/>
                <w:szCs w:val="21"/>
                <w:lang w:val="en-US"/>
              </w:rPr>
            </w:pPr>
            <w:r w:rsidRPr="00537128">
              <w:rPr>
                <w:rFonts w:ascii="Calibri" w:eastAsia="Times New Roman" w:hAnsi="Calibri" w:cs="Arial"/>
                <w:b/>
                <w:sz w:val="21"/>
                <w:szCs w:val="21"/>
                <w:lang w:val="en-US"/>
              </w:rPr>
              <w:t>HRK ‘000</w:t>
            </w:r>
          </w:p>
        </w:tc>
        <w:tc>
          <w:tcPr>
            <w:tcW w:w="773" w:type="pct"/>
            <w:hideMark/>
          </w:tcPr>
          <w:p w14:paraId="4B8FD9D4" w14:textId="4EC9EE87" w:rsidR="00CC5E14" w:rsidRPr="00537128" w:rsidRDefault="00CC5E14" w:rsidP="00CC5E14">
            <w:pPr>
              <w:tabs>
                <w:tab w:val="right" w:pos="1202"/>
              </w:tabs>
              <w:spacing w:after="0" w:line="240" w:lineRule="atLeast"/>
              <w:jc w:val="right"/>
              <w:outlineLvl w:val="0"/>
              <w:rPr>
                <w:rFonts w:ascii="Calibri" w:eastAsia="Times New Roman" w:hAnsi="Calibri" w:cs="Arial"/>
                <w:b/>
                <w:sz w:val="21"/>
                <w:szCs w:val="21"/>
                <w:lang w:val="en-US"/>
              </w:rPr>
            </w:pPr>
            <w:bookmarkStart w:id="484" w:name="_Toc4059791"/>
            <w:r w:rsidRPr="00537128">
              <w:rPr>
                <w:rFonts w:ascii="Calibri" w:eastAsia="Times New Roman" w:hAnsi="Calibri" w:cs="Arial"/>
                <w:b/>
                <w:sz w:val="21"/>
                <w:szCs w:val="21"/>
                <w:lang w:val="en-US"/>
              </w:rPr>
              <w:t>HRK ‘000</w:t>
            </w:r>
            <w:bookmarkEnd w:id="484"/>
          </w:p>
        </w:tc>
        <w:tc>
          <w:tcPr>
            <w:tcW w:w="775" w:type="pct"/>
            <w:hideMark/>
          </w:tcPr>
          <w:p w14:paraId="68A48589" w14:textId="65E229F0" w:rsidR="00CC5E14" w:rsidRPr="00537128" w:rsidRDefault="00CC5E14" w:rsidP="00CC5E14">
            <w:pPr>
              <w:tabs>
                <w:tab w:val="right" w:pos="1202"/>
              </w:tabs>
              <w:spacing w:after="0" w:line="240" w:lineRule="atLeast"/>
              <w:jc w:val="right"/>
              <w:outlineLvl w:val="0"/>
              <w:rPr>
                <w:rFonts w:ascii="Calibri" w:eastAsia="Times New Roman" w:hAnsi="Calibri" w:cs="Arial"/>
                <w:b/>
                <w:sz w:val="21"/>
                <w:szCs w:val="21"/>
                <w:lang w:val="en-US"/>
              </w:rPr>
            </w:pPr>
            <w:bookmarkStart w:id="485" w:name="_Toc4059792"/>
            <w:r w:rsidRPr="00537128">
              <w:rPr>
                <w:rFonts w:ascii="Calibri" w:eastAsia="Times New Roman" w:hAnsi="Calibri" w:cs="Arial"/>
                <w:b/>
                <w:sz w:val="21"/>
                <w:szCs w:val="21"/>
                <w:lang w:val="en-US"/>
              </w:rPr>
              <w:t>HRK ‘000</w:t>
            </w:r>
            <w:bookmarkEnd w:id="485"/>
          </w:p>
        </w:tc>
      </w:tr>
      <w:tr w:rsidR="00CC5E14" w:rsidRPr="00537128" w14:paraId="6221AD39" w14:textId="77777777" w:rsidTr="00A43303">
        <w:trPr>
          <w:trHeight w:val="259"/>
        </w:trPr>
        <w:tc>
          <w:tcPr>
            <w:tcW w:w="1818" w:type="pct"/>
          </w:tcPr>
          <w:p w14:paraId="48CAD105" w14:textId="77777777" w:rsidR="00CC5E14" w:rsidRPr="00537128" w:rsidRDefault="00CC5E14" w:rsidP="00CC5E14">
            <w:pPr>
              <w:tabs>
                <w:tab w:val="left" w:pos="-720"/>
              </w:tabs>
              <w:suppressAutoHyphens/>
              <w:spacing w:after="0" w:line="240" w:lineRule="auto"/>
              <w:rPr>
                <w:rFonts w:ascii="Calibri" w:eastAsia="Calibri" w:hAnsi="Calibri" w:cs="Arial"/>
                <w:spacing w:val="-2"/>
                <w:sz w:val="21"/>
                <w:szCs w:val="21"/>
                <w:lang w:val="en-US"/>
              </w:rPr>
            </w:pPr>
          </w:p>
        </w:tc>
        <w:tc>
          <w:tcPr>
            <w:tcW w:w="802" w:type="pct"/>
          </w:tcPr>
          <w:p w14:paraId="27C186BB" w14:textId="77777777" w:rsidR="00CC5E14" w:rsidRPr="00537128" w:rsidRDefault="00CC5E14" w:rsidP="00CC5E14">
            <w:pPr>
              <w:tabs>
                <w:tab w:val="left" w:pos="-720"/>
              </w:tabs>
              <w:suppressAutoHyphens/>
              <w:spacing w:after="0" w:line="240" w:lineRule="auto"/>
              <w:jc w:val="right"/>
              <w:rPr>
                <w:rFonts w:ascii="Calibri" w:eastAsia="Calibri" w:hAnsi="Calibri" w:cs="Arial"/>
                <w:b/>
                <w:spacing w:val="-2"/>
                <w:sz w:val="21"/>
                <w:szCs w:val="21"/>
                <w:lang w:val="en-US"/>
              </w:rPr>
            </w:pPr>
          </w:p>
        </w:tc>
        <w:tc>
          <w:tcPr>
            <w:tcW w:w="832" w:type="pct"/>
          </w:tcPr>
          <w:p w14:paraId="465A8C93" w14:textId="77777777" w:rsidR="00CC5E14" w:rsidRPr="00537128" w:rsidRDefault="00CC5E14" w:rsidP="00CC5E14">
            <w:pPr>
              <w:tabs>
                <w:tab w:val="left" w:pos="-720"/>
              </w:tabs>
              <w:suppressAutoHyphens/>
              <w:spacing w:after="0" w:line="240" w:lineRule="auto"/>
              <w:jc w:val="right"/>
              <w:rPr>
                <w:rFonts w:ascii="Calibri" w:eastAsia="Calibri" w:hAnsi="Calibri" w:cs="Arial"/>
                <w:b/>
                <w:spacing w:val="-2"/>
                <w:sz w:val="21"/>
                <w:szCs w:val="21"/>
                <w:lang w:val="en-US"/>
              </w:rPr>
            </w:pPr>
          </w:p>
        </w:tc>
        <w:tc>
          <w:tcPr>
            <w:tcW w:w="773" w:type="pct"/>
          </w:tcPr>
          <w:p w14:paraId="1ACFB8AC" w14:textId="77777777" w:rsidR="00CC5E14" w:rsidRPr="00537128" w:rsidRDefault="00CC5E14" w:rsidP="00CC5E14">
            <w:pPr>
              <w:tabs>
                <w:tab w:val="left" w:pos="-720"/>
              </w:tabs>
              <w:suppressAutoHyphens/>
              <w:spacing w:after="0" w:line="240" w:lineRule="auto"/>
              <w:jc w:val="right"/>
              <w:rPr>
                <w:rFonts w:ascii="Calibri" w:eastAsia="Calibri" w:hAnsi="Calibri" w:cs="Arial"/>
                <w:b/>
                <w:spacing w:val="-2"/>
                <w:sz w:val="21"/>
                <w:szCs w:val="21"/>
                <w:lang w:val="en-US"/>
              </w:rPr>
            </w:pPr>
          </w:p>
        </w:tc>
        <w:tc>
          <w:tcPr>
            <w:tcW w:w="775" w:type="pct"/>
            <w:vAlign w:val="bottom"/>
          </w:tcPr>
          <w:p w14:paraId="2DEC6D16" w14:textId="77777777" w:rsidR="00CC5E14" w:rsidRPr="00537128" w:rsidRDefault="00CC5E14" w:rsidP="00CC5E14">
            <w:pPr>
              <w:tabs>
                <w:tab w:val="left" w:pos="-720"/>
              </w:tabs>
              <w:suppressAutoHyphens/>
              <w:spacing w:after="0" w:line="240" w:lineRule="auto"/>
              <w:jc w:val="right"/>
              <w:rPr>
                <w:rFonts w:ascii="Calibri" w:eastAsia="Calibri" w:hAnsi="Calibri" w:cs="Arial"/>
                <w:b/>
                <w:spacing w:val="-2"/>
                <w:sz w:val="21"/>
                <w:szCs w:val="21"/>
                <w:lang w:val="en-US"/>
              </w:rPr>
            </w:pPr>
          </w:p>
        </w:tc>
      </w:tr>
      <w:tr w:rsidR="007527BA" w:rsidRPr="00537128" w14:paraId="10C856D4" w14:textId="77777777" w:rsidTr="00F31225">
        <w:trPr>
          <w:trHeight w:hRule="exact" w:val="292"/>
        </w:trPr>
        <w:tc>
          <w:tcPr>
            <w:tcW w:w="1818" w:type="pct"/>
            <w:vAlign w:val="center"/>
            <w:hideMark/>
          </w:tcPr>
          <w:p w14:paraId="40FF4171" w14:textId="77777777" w:rsidR="007527BA" w:rsidRPr="00537128" w:rsidRDefault="007527BA" w:rsidP="007527BA">
            <w:pPr>
              <w:tabs>
                <w:tab w:val="right" w:pos="1202"/>
              </w:tabs>
              <w:spacing w:after="0" w:line="240" w:lineRule="auto"/>
              <w:outlineLvl w:val="0"/>
              <w:rPr>
                <w:rFonts w:ascii="Calibri" w:eastAsia="Times New Roman" w:hAnsi="Calibri" w:cs="Arial"/>
                <w:sz w:val="21"/>
                <w:szCs w:val="21"/>
                <w:lang w:val="en-US"/>
              </w:rPr>
            </w:pPr>
            <w:bookmarkStart w:id="486" w:name="_Toc4059794"/>
            <w:r w:rsidRPr="00537128">
              <w:rPr>
                <w:rFonts w:ascii="Calibri" w:eastAsia="Times New Roman" w:hAnsi="Calibri" w:cs="Arial"/>
                <w:sz w:val="21"/>
                <w:szCs w:val="21"/>
                <w:lang w:val="en-US"/>
              </w:rPr>
              <w:t>Fees receivable</w:t>
            </w:r>
            <w:bookmarkEnd w:id="486"/>
          </w:p>
        </w:tc>
        <w:tc>
          <w:tcPr>
            <w:tcW w:w="802" w:type="pct"/>
            <w:tcBorders>
              <w:top w:val="nil"/>
              <w:left w:val="nil"/>
              <w:bottom w:val="nil"/>
              <w:right w:val="nil"/>
            </w:tcBorders>
            <w:shd w:val="clear" w:color="auto" w:fill="auto"/>
            <w:vAlign w:val="bottom"/>
          </w:tcPr>
          <w:p w14:paraId="1B7E6ECF" w14:textId="1D632526" w:rsidR="007527BA" w:rsidRPr="005D79FF" w:rsidRDefault="007527BA" w:rsidP="007527BA">
            <w:pPr>
              <w:tabs>
                <w:tab w:val="right" w:pos="1202"/>
              </w:tabs>
              <w:spacing w:after="0" w:line="240" w:lineRule="auto"/>
              <w:jc w:val="right"/>
              <w:outlineLvl w:val="0"/>
              <w:rPr>
                <w:rFonts w:ascii="Calibri" w:eastAsia="Times New Roman" w:hAnsi="Calibri" w:cs="Times New Roman"/>
                <w:color w:val="000000"/>
                <w:sz w:val="21"/>
                <w:szCs w:val="21"/>
                <w:lang w:val="en-US"/>
              </w:rPr>
            </w:pPr>
            <w:r w:rsidRPr="008E5C2B">
              <w:rPr>
                <w:sz w:val="21"/>
                <w:szCs w:val="21"/>
              </w:rPr>
              <w:t xml:space="preserve"> 25</w:t>
            </w:r>
            <w:r w:rsidR="00EB68F0">
              <w:rPr>
                <w:sz w:val="21"/>
                <w:szCs w:val="21"/>
              </w:rPr>
              <w:t>,</w:t>
            </w:r>
            <w:r w:rsidRPr="008E5C2B">
              <w:rPr>
                <w:sz w:val="21"/>
                <w:szCs w:val="21"/>
              </w:rPr>
              <w:t xml:space="preserve">729 </w:t>
            </w:r>
          </w:p>
        </w:tc>
        <w:tc>
          <w:tcPr>
            <w:tcW w:w="832" w:type="pct"/>
            <w:tcBorders>
              <w:top w:val="nil"/>
              <w:left w:val="nil"/>
              <w:bottom w:val="nil"/>
              <w:right w:val="nil"/>
            </w:tcBorders>
            <w:shd w:val="clear" w:color="auto" w:fill="auto"/>
            <w:vAlign w:val="center"/>
          </w:tcPr>
          <w:p w14:paraId="5C6DBE1C" w14:textId="4DA370A1" w:rsidR="007527BA" w:rsidRPr="00AA05EF" w:rsidRDefault="007527BA" w:rsidP="007527BA">
            <w:pPr>
              <w:tabs>
                <w:tab w:val="right" w:pos="1202"/>
              </w:tabs>
              <w:spacing w:after="0" w:line="240" w:lineRule="auto"/>
              <w:jc w:val="right"/>
              <w:outlineLvl w:val="0"/>
              <w:rPr>
                <w:rFonts w:ascii="Calibri" w:eastAsia="Times New Roman" w:hAnsi="Calibri" w:cs="Arial"/>
                <w:sz w:val="21"/>
                <w:szCs w:val="21"/>
                <w:lang w:val="en-US"/>
              </w:rPr>
            </w:pPr>
            <w:r w:rsidRPr="00B85A85">
              <w:rPr>
                <w:rFonts w:cstheme="minorHAnsi"/>
                <w:color w:val="000000" w:themeColor="text1"/>
                <w:sz w:val="21"/>
                <w:szCs w:val="21"/>
              </w:rPr>
              <w:t>25</w:t>
            </w:r>
            <w:r>
              <w:rPr>
                <w:rFonts w:cstheme="minorHAnsi"/>
                <w:color w:val="000000" w:themeColor="text1"/>
                <w:sz w:val="21"/>
                <w:szCs w:val="21"/>
              </w:rPr>
              <w:t>,</w:t>
            </w:r>
            <w:r w:rsidRPr="00B85A85">
              <w:rPr>
                <w:rFonts w:cstheme="minorHAnsi"/>
                <w:color w:val="000000" w:themeColor="text1"/>
                <w:sz w:val="21"/>
                <w:szCs w:val="21"/>
              </w:rPr>
              <w:t>787</w:t>
            </w:r>
          </w:p>
        </w:tc>
        <w:tc>
          <w:tcPr>
            <w:tcW w:w="773" w:type="pct"/>
            <w:tcBorders>
              <w:top w:val="nil"/>
              <w:left w:val="nil"/>
              <w:bottom w:val="nil"/>
              <w:right w:val="nil"/>
            </w:tcBorders>
            <w:shd w:val="clear" w:color="auto" w:fill="auto"/>
            <w:vAlign w:val="bottom"/>
          </w:tcPr>
          <w:p w14:paraId="792319E0" w14:textId="0D014D6B" w:rsidR="007527BA" w:rsidRPr="005D79FF" w:rsidRDefault="007527BA" w:rsidP="007527BA">
            <w:pPr>
              <w:tabs>
                <w:tab w:val="right" w:pos="1202"/>
              </w:tabs>
              <w:spacing w:after="0" w:line="240" w:lineRule="auto"/>
              <w:jc w:val="right"/>
              <w:outlineLvl w:val="0"/>
              <w:rPr>
                <w:rFonts w:ascii="Calibri" w:eastAsia="Times New Roman" w:hAnsi="Calibri" w:cs="Times New Roman"/>
                <w:color w:val="000000"/>
                <w:sz w:val="21"/>
                <w:szCs w:val="21"/>
                <w:lang w:val="en-US"/>
              </w:rPr>
            </w:pPr>
            <w:r w:rsidRPr="008E5C2B">
              <w:rPr>
                <w:sz w:val="21"/>
                <w:szCs w:val="21"/>
              </w:rPr>
              <w:t xml:space="preserve"> 25</w:t>
            </w:r>
            <w:r w:rsidR="00EB68F0">
              <w:rPr>
                <w:sz w:val="21"/>
                <w:szCs w:val="21"/>
              </w:rPr>
              <w:t>,</w:t>
            </w:r>
            <w:r w:rsidRPr="008E5C2B">
              <w:rPr>
                <w:sz w:val="21"/>
                <w:szCs w:val="21"/>
              </w:rPr>
              <w:t xml:space="preserve">729 </w:t>
            </w:r>
          </w:p>
        </w:tc>
        <w:tc>
          <w:tcPr>
            <w:tcW w:w="775" w:type="pct"/>
            <w:tcBorders>
              <w:top w:val="nil"/>
              <w:left w:val="nil"/>
              <w:bottom w:val="nil"/>
              <w:right w:val="nil"/>
            </w:tcBorders>
            <w:shd w:val="clear" w:color="auto" w:fill="auto"/>
            <w:vAlign w:val="center"/>
            <w:hideMark/>
          </w:tcPr>
          <w:p w14:paraId="52A4A12F" w14:textId="2428845F" w:rsidR="007527BA" w:rsidRPr="00AA05EF" w:rsidRDefault="007527BA" w:rsidP="007527BA">
            <w:pPr>
              <w:tabs>
                <w:tab w:val="right" w:pos="1202"/>
              </w:tabs>
              <w:spacing w:after="0" w:line="240" w:lineRule="auto"/>
              <w:jc w:val="right"/>
              <w:outlineLvl w:val="0"/>
              <w:rPr>
                <w:rFonts w:ascii="Calibri" w:eastAsia="Times New Roman" w:hAnsi="Calibri" w:cs="Arial"/>
                <w:sz w:val="21"/>
                <w:szCs w:val="21"/>
                <w:lang w:val="en-US"/>
              </w:rPr>
            </w:pPr>
            <w:r w:rsidRPr="00B85A85">
              <w:rPr>
                <w:rFonts w:cstheme="minorHAnsi"/>
                <w:color w:val="000000" w:themeColor="text1"/>
                <w:sz w:val="21"/>
                <w:szCs w:val="21"/>
              </w:rPr>
              <w:t>25</w:t>
            </w:r>
            <w:r>
              <w:rPr>
                <w:rFonts w:cstheme="minorHAnsi"/>
                <w:color w:val="000000" w:themeColor="text1"/>
                <w:sz w:val="21"/>
                <w:szCs w:val="21"/>
              </w:rPr>
              <w:t>,</w:t>
            </w:r>
            <w:r w:rsidRPr="00B85A85">
              <w:rPr>
                <w:rFonts w:cstheme="minorHAnsi"/>
                <w:color w:val="000000" w:themeColor="text1"/>
                <w:sz w:val="21"/>
                <w:szCs w:val="21"/>
              </w:rPr>
              <w:t>787</w:t>
            </w:r>
          </w:p>
        </w:tc>
      </w:tr>
      <w:tr w:rsidR="007527BA" w:rsidRPr="00537128" w14:paraId="50D1F171" w14:textId="77777777" w:rsidTr="00F31225">
        <w:trPr>
          <w:trHeight w:hRule="exact" w:val="292"/>
        </w:trPr>
        <w:tc>
          <w:tcPr>
            <w:tcW w:w="1818" w:type="pct"/>
            <w:vAlign w:val="center"/>
            <w:hideMark/>
          </w:tcPr>
          <w:p w14:paraId="70B7B2D1" w14:textId="77777777" w:rsidR="007527BA" w:rsidRPr="00537128" w:rsidRDefault="007527BA" w:rsidP="007527BA">
            <w:pPr>
              <w:tabs>
                <w:tab w:val="right" w:pos="1202"/>
              </w:tabs>
              <w:spacing w:after="0" w:line="240" w:lineRule="auto"/>
              <w:outlineLvl w:val="0"/>
              <w:rPr>
                <w:rFonts w:ascii="Calibri" w:eastAsia="Times New Roman" w:hAnsi="Calibri" w:cs="Arial"/>
                <w:sz w:val="21"/>
                <w:szCs w:val="21"/>
                <w:lang w:val="en-US"/>
              </w:rPr>
            </w:pPr>
            <w:bookmarkStart w:id="487" w:name="_Toc4059799"/>
            <w:r w:rsidRPr="00537128">
              <w:rPr>
                <w:rFonts w:ascii="Calibri" w:eastAsia="Times New Roman" w:hAnsi="Calibri" w:cs="Arial"/>
                <w:sz w:val="21"/>
                <w:szCs w:val="21"/>
                <w:lang w:val="en-US"/>
              </w:rPr>
              <w:t>Other receivables</w:t>
            </w:r>
            <w:bookmarkEnd w:id="487"/>
          </w:p>
        </w:tc>
        <w:tc>
          <w:tcPr>
            <w:tcW w:w="802" w:type="pct"/>
            <w:tcBorders>
              <w:top w:val="nil"/>
              <w:left w:val="nil"/>
              <w:bottom w:val="nil"/>
              <w:right w:val="nil"/>
            </w:tcBorders>
            <w:shd w:val="clear" w:color="auto" w:fill="auto"/>
            <w:vAlign w:val="bottom"/>
          </w:tcPr>
          <w:p w14:paraId="5253F7C8" w14:textId="55797E36" w:rsidR="007527BA" w:rsidRPr="005D79FF" w:rsidRDefault="007527BA" w:rsidP="007527BA">
            <w:pPr>
              <w:tabs>
                <w:tab w:val="right" w:pos="1202"/>
              </w:tabs>
              <w:spacing w:after="0" w:line="240" w:lineRule="auto"/>
              <w:jc w:val="right"/>
              <w:outlineLvl w:val="0"/>
              <w:rPr>
                <w:rFonts w:ascii="Calibri" w:eastAsia="Times New Roman" w:hAnsi="Calibri" w:cs="Times New Roman"/>
                <w:color w:val="000000"/>
                <w:sz w:val="21"/>
                <w:szCs w:val="21"/>
                <w:lang w:val="en-US"/>
              </w:rPr>
            </w:pPr>
            <w:r w:rsidRPr="008E5C2B">
              <w:rPr>
                <w:sz w:val="21"/>
                <w:szCs w:val="21"/>
              </w:rPr>
              <w:t xml:space="preserve"> 11</w:t>
            </w:r>
            <w:r w:rsidR="00EB68F0">
              <w:rPr>
                <w:sz w:val="21"/>
                <w:szCs w:val="21"/>
              </w:rPr>
              <w:t>,</w:t>
            </w:r>
            <w:r w:rsidRPr="008E5C2B">
              <w:rPr>
                <w:sz w:val="21"/>
                <w:szCs w:val="21"/>
              </w:rPr>
              <w:t xml:space="preserve">043 </w:t>
            </w:r>
          </w:p>
        </w:tc>
        <w:tc>
          <w:tcPr>
            <w:tcW w:w="832" w:type="pct"/>
            <w:tcBorders>
              <w:top w:val="nil"/>
              <w:left w:val="nil"/>
              <w:bottom w:val="nil"/>
              <w:right w:val="nil"/>
            </w:tcBorders>
            <w:shd w:val="clear" w:color="auto" w:fill="auto"/>
            <w:vAlign w:val="center"/>
          </w:tcPr>
          <w:p w14:paraId="7A55973C" w14:textId="3D9C485E" w:rsidR="007527BA" w:rsidRPr="00AA05EF" w:rsidRDefault="007527BA" w:rsidP="007527BA">
            <w:pPr>
              <w:tabs>
                <w:tab w:val="right" w:pos="1202"/>
              </w:tabs>
              <w:spacing w:after="0" w:line="240" w:lineRule="auto"/>
              <w:jc w:val="right"/>
              <w:outlineLvl w:val="0"/>
              <w:rPr>
                <w:rFonts w:ascii="Calibri" w:eastAsia="Times New Roman" w:hAnsi="Calibri" w:cs="Times New Roman"/>
                <w:color w:val="000000"/>
                <w:sz w:val="21"/>
                <w:szCs w:val="21"/>
                <w:lang w:val="en-US"/>
              </w:rPr>
            </w:pPr>
            <w:r w:rsidRPr="00B85A85">
              <w:rPr>
                <w:rFonts w:cstheme="minorHAnsi"/>
                <w:color w:val="000000" w:themeColor="text1"/>
                <w:sz w:val="21"/>
                <w:szCs w:val="21"/>
              </w:rPr>
              <w:t>10</w:t>
            </w:r>
            <w:r>
              <w:rPr>
                <w:rFonts w:cstheme="minorHAnsi"/>
                <w:color w:val="000000" w:themeColor="text1"/>
                <w:sz w:val="21"/>
                <w:szCs w:val="21"/>
              </w:rPr>
              <w:t>,</w:t>
            </w:r>
            <w:r w:rsidRPr="00B85A85">
              <w:rPr>
                <w:rFonts w:cstheme="minorHAnsi"/>
                <w:color w:val="000000" w:themeColor="text1"/>
                <w:sz w:val="21"/>
                <w:szCs w:val="21"/>
              </w:rPr>
              <w:t>609</w:t>
            </w:r>
          </w:p>
        </w:tc>
        <w:tc>
          <w:tcPr>
            <w:tcW w:w="773" w:type="pct"/>
            <w:tcBorders>
              <w:top w:val="nil"/>
              <w:left w:val="nil"/>
              <w:bottom w:val="nil"/>
              <w:right w:val="nil"/>
            </w:tcBorders>
            <w:shd w:val="clear" w:color="auto" w:fill="auto"/>
            <w:vAlign w:val="bottom"/>
          </w:tcPr>
          <w:p w14:paraId="4097C1FF" w14:textId="6164ED15" w:rsidR="007527BA" w:rsidRPr="005D79FF" w:rsidRDefault="007527BA" w:rsidP="007527BA">
            <w:pPr>
              <w:tabs>
                <w:tab w:val="right" w:pos="1202"/>
              </w:tabs>
              <w:spacing w:after="0" w:line="240" w:lineRule="auto"/>
              <w:jc w:val="right"/>
              <w:outlineLvl w:val="0"/>
              <w:rPr>
                <w:rFonts w:ascii="Calibri" w:eastAsia="Times New Roman" w:hAnsi="Calibri" w:cs="Times New Roman"/>
                <w:color w:val="000000"/>
                <w:sz w:val="21"/>
                <w:szCs w:val="21"/>
                <w:lang w:val="en-US"/>
              </w:rPr>
            </w:pPr>
            <w:r w:rsidRPr="008E5C2B">
              <w:rPr>
                <w:sz w:val="21"/>
                <w:szCs w:val="21"/>
              </w:rPr>
              <w:t xml:space="preserve"> 11</w:t>
            </w:r>
            <w:r w:rsidR="00EB68F0">
              <w:rPr>
                <w:sz w:val="21"/>
                <w:szCs w:val="21"/>
              </w:rPr>
              <w:t>,</w:t>
            </w:r>
            <w:r w:rsidRPr="008E5C2B">
              <w:rPr>
                <w:sz w:val="21"/>
                <w:szCs w:val="21"/>
              </w:rPr>
              <w:t xml:space="preserve">043 </w:t>
            </w:r>
          </w:p>
        </w:tc>
        <w:tc>
          <w:tcPr>
            <w:tcW w:w="775" w:type="pct"/>
            <w:tcBorders>
              <w:top w:val="nil"/>
              <w:left w:val="nil"/>
              <w:bottom w:val="nil"/>
              <w:right w:val="nil"/>
            </w:tcBorders>
            <w:shd w:val="clear" w:color="auto" w:fill="auto"/>
            <w:vAlign w:val="center"/>
            <w:hideMark/>
          </w:tcPr>
          <w:p w14:paraId="18FA2E61" w14:textId="6975178F" w:rsidR="007527BA" w:rsidRPr="00AA05EF" w:rsidRDefault="007527BA" w:rsidP="007527BA">
            <w:pPr>
              <w:tabs>
                <w:tab w:val="right" w:pos="1202"/>
              </w:tabs>
              <w:spacing w:after="0" w:line="240" w:lineRule="auto"/>
              <w:jc w:val="right"/>
              <w:outlineLvl w:val="0"/>
              <w:rPr>
                <w:rFonts w:ascii="Calibri" w:eastAsia="Times New Roman" w:hAnsi="Calibri" w:cs="Times New Roman"/>
                <w:color w:val="000000"/>
                <w:sz w:val="21"/>
                <w:szCs w:val="21"/>
                <w:lang w:val="en-US"/>
              </w:rPr>
            </w:pPr>
            <w:r w:rsidRPr="00B85A85">
              <w:rPr>
                <w:rFonts w:cstheme="minorHAnsi"/>
                <w:color w:val="000000" w:themeColor="text1"/>
                <w:sz w:val="21"/>
                <w:szCs w:val="21"/>
              </w:rPr>
              <w:t>10</w:t>
            </w:r>
            <w:r>
              <w:rPr>
                <w:rFonts w:cstheme="minorHAnsi"/>
                <w:color w:val="000000" w:themeColor="text1"/>
                <w:sz w:val="21"/>
                <w:szCs w:val="21"/>
              </w:rPr>
              <w:t>,</w:t>
            </w:r>
            <w:r w:rsidRPr="00B85A85">
              <w:rPr>
                <w:rFonts w:cstheme="minorHAnsi"/>
                <w:color w:val="000000" w:themeColor="text1"/>
                <w:sz w:val="21"/>
                <w:szCs w:val="21"/>
              </w:rPr>
              <w:t>609</w:t>
            </w:r>
          </w:p>
        </w:tc>
      </w:tr>
      <w:tr w:rsidR="007527BA" w:rsidRPr="00537128" w14:paraId="663AA990" w14:textId="77777777" w:rsidTr="00F31225">
        <w:trPr>
          <w:trHeight w:hRule="exact" w:val="292"/>
        </w:trPr>
        <w:tc>
          <w:tcPr>
            <w:tcW w:w="1818" w:type="pct"/>
            <w:vAlign w:val="center"/>
            <w:hideMark/>
          </w:tcPr>
          <w:p w14:paraId="21284A5A" w14:textId="77777777" w:rsidR="007527BA" w:rsidRPr="00537128" w:rsidRDefault="007527BA" w:rsidP="007527BA">
            <w:pPr>
              <w:tabs>
                <w:tab w:val="right" w:pos="1202"/>
              </w:tabs>
              <w:spacing w:after="0" w:line="240" w:lineRule="auto"/>
              <w:outlineLvl w:val="0"/>
              <w:rPr>
                <w:rFonts w:ascii="Calibri" w:eastAsia="Times New Roman" w:hAnsi="Calibri" w:cs="Arial"/>
                <w:sz w:val="21"/>
                <w:szCs w:val="21"/>
                <w:lang w:val="en-US"/>
              </w:rPr>
            </w:pPr>
            <w:bookmarkStart w:id="488" w:name="_Toc4059804"/>
            <w:r w:rsidRPr="00537128">
              <w:rPr>
                <w:rFonts w:ascii="Calibri" w:eastAsia="Times New Roman" w:hAnsi="Calibri" w:cs="Arial"/>
                <w:sz w:val="21"/>
                <w:szCs w:val="21"/>
                <w:lang w:val="en-US"/>
              </w:rPr>
              <w:t>Premium receivables</w:t>
            </w:r>
            <w:bookmarkEnd w:id="488"/>
          </w:p>
        </w:tc>
        <w:tc>
          <w:tcPr>
            <w:tcW w:w="802" w:type="pct"/>
            <w:tcBorders>
              <w:top w:val="nil"/>
              <w:left w:val="nil"/>
              <w:bottom w:val="nil"/>
              <w:right w:val="nil"/>
            </w:tcBorders>
            <w:shd w:val="clear" w:color="auto" w:fill="auto"/>
            <w:vAlign w:val="bottom"/>
          </w:tcPr>
          <w:p w14:paraId="21B9316B" w14:textId="21F357BF" w:rsidR="007527BA" w:rsidRPr="005D79FF" w:rsidRDefault="007527BA" w:rsidP="007527BA">
            <w:pPr>
              <w:tabs>
                <w:tab w:val="right" w:pos="1202"/>
              </w:tabs>
              <w:spacing w:after="0" w:line="240" w:lineRule="auto"/>
              <w:jc w:val="right"/>
              <w:outlineLvl w:val="0"/>
              <w:rPr>
                <w:rFonts w:ascii="Calibri" w:eastAsia="Times New Roman" w:hAnsi="Calibri" w:cs="Calibri"/>
                <w:color w:val="000000"/>
                <w:sz w:val="21"/>
                <w:szCs w:val="21"/>
                <w:lang w:val="en-US"/>
              </w:rPr>
            </w:pPr>
            <w:r w:rsidRPr="008E5C2B">
              <w:rPr>
                <w:sz w:val="21"/>
                <w:szCs w:val="21"/>
              </w:rPr>
              <w:t xml:space="preserve"> 1</w:t>
            </w:r>
            <w:r w:rsidR="00EB68F0">
              <w:rPr>
                <w:sz w:val="21"/>
                <w:szCs w:val="21"/>
              </w:rPr>
              <w:t>,</w:t>
            </w:r>
            <w:r w:rsidRPr="008E5C2B">
              <w:rPr>
                <w:sz w:val="21"/>
                <w:szCs w:val="21"/>
              </w:rPr>
              <w:t xml:space="preserve">638 </w:t>
            </w:r>
          </w:p>
        </w:tc>
        <w:tc>
          <w:tcPr>
            <w:tcW w:w="832" w:type="pct"/>
            <w:tcBorders>
              <w:top w:val="nil"/>
              <w:left w:val="nil"/>
              <w:bottom w:val="nil"/>
              <w:right w:val="nil"/>
            </w:tcBorders>
            <w:shd w:val="clear" w:color="auto" w:fill="auto"/>
            <w:vAlign w:val="center"/>
          </w:tcPr>
          <w:p w14:paraId="58A99DBA" w14:textId="774377D5" w:rsidR="007527BA" w:rsidRPr="00AA05EF" w:rsidRDefault="007527BA" w:rsidP="007527BA">
            <w:pPr>
              <w:tabs>
                <w:tab w:val="right" w:pos="1202"/>
              </w:tabs>
              <w:spacing w:after="0" w:line="240" w:lineRule="auto"/>
              <w:jc w:val="right"/>
              <w:outlineLvl w:val="0"/>
              <w:rPr>
                <w:rFonts w:ascii="Calibri" w:eastAsia="Times New Roman" w:hAnsi="Calibri" w:cs="Times New Roman"/>
                <w:color w:val="000000"/>
                <w:sz w:val="21"/>
                <w:szCs w:val="21"/>
                <w:lang w:val="en-US"/>
              </w:rPr>
            </w:pPr>
            <w:r w:rsidRPr="00B85A85">
              <w:rPr>
                <w:rFonts w:cstheme="minorHAnsi"/>
                <w:color w:val="000000" w:themeColor="text1"/>
                <w:sz w:val="21"/>
                <w:szCs w:val="21"/>
              </w:rPr>
              <w:t>1</w:t>
            </w:r>
            <w:r>
              <w:rPr>
                <w:rFonts w:cstheme="minorHAnsi"/>
                <w:color w:val="000000" w:themeColor="text1"/>
                <w:sz w:val="21"/>
                <w:szCs w:val="21"/>
              </w:rPr>
              <w:t>,</w:t>
            </w:r>
            <w:r w:rsidRPr="00B85A85">
              <w:rPr>
                <w:rFonts w:cstheme="minorHAnsi"/>
                <w:color w:val="000000" w:themeColor="text1"/>
                <w:sz w:val="21"/>
                <w:szCs w:val="21"/>
              </w:rPr>
              <w:t>797</w:t>
            </w:r>
          </w:p>
        </w:tc>
        <w:tc>
          <w:tcPr>
            <w:tcW w:w="773" w:type="pct"/>
            <w:tcBorders>
              <w:top w:val="nil"/>
              <w:left w:val="nil"/>
              <w:bottom w:val="nil"/>
              <w:right w:val="nil"/>
            </w:tcBorders>
            <w:shd w:val="clear" w:color="auto" w:fill="auto"/>
            <w:vAlign w:val="bottom"/>
          </w:tcPr>
          <w:p w14:paraId="7E14C9D3" w14:textId="4BEC4D16" w:rsidR="007527BA" w:rsidRPr="005D79FF" w:rsidRDefault="007527BA" w:rsidP="007527BA">
            <w:pPr>
              <w:tabs>
                <w:tab w:val="right" w:pos="1202"/>
              </w:tabs>
              <w:spacing w:after="0" w:line="240" w:lineRule="auto"/>
              <w:jc w:val="right"/>
              <w:outlineLvl w:val="0"/>
              <w:rPr>
                <w:rFonts w:ascii="Calibri" w:eastAsia="Times New Roman" w:hAnsi="Calibri" w:cs="Times New Roman"/>
                <w:color w:val="000000"/>
                <w:sz w:val="21"/>
                <w:szCs w:val="21"/>
                <w:lang w:val="en-US"/>
              </w:rPr>
            </w:pPr>
            <w:r w:rsidRPr="008E5C2B">
              <w:rPr>
                <w:sz w:val="21"/>
                <w:szCs w:val="21"/>
              </w:rPr>
              <w:t xml:space="preserve"> -    </w:t>
            </w:r>
          </w:p>
        </w:tc>
        <w:tc>
          <w:tcPr>
            <w:tcW w:w="775" w:type="pct"/>
            <w:tcBorders>
              <w:top w:val="nil"/>
              <w:left w:val="nil"/>
              <w:bottom w:val="nil"/>
              <w:right w:val="nil"/>
            </w:tcBorders>
            <w:shd w:val="clear" w:color="auto" w:fill="auto"/>
            <w:vAlign w:val="center"/>
            <w:hideMark/>
          </w:tcPr>
          <w:p w14:paraId="7E8F9B02" w14:textId="0BDFF9B9" w:rsidR="007527BA" w:rsidRPr="00AA05EF" w:rsidRDefault="007527BA" w:rsidP="007527BA">
            <w:pPr>
              <w:tabs>
                <w:tab w:val="right" w:pos="1202"/>
              </w:tabs>
              <w:spacing w:after="0" w:line="240" w:lineRule="auto"/>
              <w:jc w:val="right"/>
              <w:outlineLvl w:val="0"/>
              <w:rPr>
                <w:rFonts w:ascii="Calibri" w:eastAsia="Times New Roman" w:hAnsi="Calibri" w:cs="Times New Roman"/>
                <w:color w:val="000000"/>
                <w:sz w:val="21"/>
                <w:szCs w:val="21"/>
                <w:lang w:val="en-US"/>
              </w:rPr>
            </w:pPr>
            <w:r>
              <w:rPr>
                <w:rFonts w:cstheme="minorHAnsi"/>
                <w:color w:val="000000" w:themeColor="text1"/>
                <w:sz w:val="21"/>
                <w:szCs w:val="21"/>
              </w:rPr>
              <w:t>-</w:t>
            </w:r>
          </w:p>
        </w:tc>
      </w:tr>
      <w:tr w:rsidR="007527BA" w:rsidRPr="00537128" w14:paraId="3A0A8182" w14:textId="77777777" w:rsidTr="00F31225">
        <w:trPr>
          <w:trHeight w:hRule="exact" w:val="292"/>
        </w:trPr>
        <w:tc>
          <w:tcPr>
            <w:tcW w:w="1818" w:type="pct"/>
            <w:vAlign w:val="center"/>
            <w:hideMark/>
          </w:tcPr>
          <w:p w14:paraId="7387F3AB" w14:textId="77777777" w:rsidR="007527BA" w:rsidRPr="00537128" w:rsidRDefault="007527BA" w:rsidP="007527BA">
            <w:pPr>
              <w:tabs>
                <w:tab w:val="right" w:pos="1202"/>
              </w:tabs>
              <w:spacing w:after="0" w:line="240" w:lineRule="auto"/>
              <w:outlineLvl w:val="0"/>
              <w:rPr>
                <w:rFonts w:ascii="Calibri" w:eastAsia="Times New Roman" w:hAnsi="Calibri" w:cs="Arial"/>
                <w:sz w:val="21"/>
                <w:szCs w:val="21"/>
                <w:lang w:val="en-US"/>
              </w:rPr>
            </w:pPr>
            <w:bookmarkStart w:id="489" w:name="_Toc4059809"/>
            <w:r w:rsidRPr="00537128">
              <w:rPr>
                <w:rFonts w:ascii="Calibri" w:eastAsia="Times New Roman" w:hAnsi="Calibri" w:cs="Arial"/>
                <w:sz w:val="21"/>
                <w:szCs w:val="21"/>
                <w:lang w:val="en-US"/>
              </w:rPr>
              <w:t>Receivables for reinsurance commissions</w:t>
            </w:r>
            <w:bookmarkEnd w:id="489"/>
          </w:p>
        </w:tc>
        <w:tc>
          <w:tcPr>
            <w:tcW w:w="802" w:type="pct"/>
            <w:tcBorders>
              <w:top w:val="nil"/>
              <w:left w:val="nil"/>
              <w:bottom w:val="nil"/>
              <w:right w:val="nil"/>
            </w:tcBorders>
            <w:shd w:val="clear" w:color="auto" w:fill="auto"/>
            <w:vAlign w:val="bottom"/>
          </w:tcPr>
          <w:p w14:paraId="419BD8B6" w14:textId="54AF7D0F" w:rsidR="007527BA" w:rsidRPr="005D79FF" w:rsidRDefault="007527BA" w:rsidP="007527BA">
            <w:pPr>
              <w:tabs>
                <w:tab w:val="right" w:pos="1202"/>
              </w:tabs>
              <w:spacing w:after="0" w:line="240" w:lineRule="auto"/>
              <w:jc w:val="right"/>
              <w:outlineLvl w:val="0"/>
              <w:rPr>
                <w:rFonts w:ascii="Calibri" w:eastAsia="Times New Roman" w:hAnsi="Calibri" w:cs="Calibri"/>
                <w:color w:val="000000"/>
                <w:sz w:val="21"/>
                <w:szCs w:val="21"/>
                <w:lang w:val="en-US"/>
              </w:rPr>
            </w:pPr>
            <w:r w:rsidRPr="008E5C2B">
              <w:rPr>
                <w:sz w:val="21"/>
                <w:szCs w:val="21"/>
              </w:rPr>
              <w:t xml:space="preserve"> 1</w:t>
            </w:r>
            <w:r w:rsidR="00EB68F0">
              <w:rPr>
                <w:sz w:val="21"/>
                <w:szCs w:val="21"/>
              </w:rPr>
              <w:t>,</w:t>
            </w:r>
            <w:r w:rsidRPr="008E5C2B">
              <w:rPr>
                <w:sz w:val="21"/>
                <w:szCs w:val="21"/>
              </w:rPr>
              <w:t xml:space="preserve">160 </w:t>
            </w:r>
          </w:p>
        </w:tc>
        <w:tc>
          <w:tcPr>
            <w:tcW w:w="832" w:type="pct"/>
            <w:tcBorders>
              <w:top w:val="nil"/>
              <w:left w:val="nil"/>
              <w:bottom w:val="nil"/>
              <w:right w:val="nil"/>
            </w:tcBorders>
            <w:shd w:val="clear" w:color="auto" w:fill="auto"/>
            <w:vAlign w:val="center"/>
          </w:tcPr>
          <w:p w14:paraId="12D5A60C" w14:textId="44296F4E" w:rsidR="007527BA" w:rsidRPr="00AA05EF" w:rsidRDefault="007527BA" w:rsidP="007527BA">
            <w:pPr>
              <w:tabs>
                <w:tab w:val="right" w:pos="1202"/>
              </w:tabs>
              <w:spacing w:after="0" w:line="240" w:lineRule="auto"/>
              <w:jc w:val="right"/>
              <w:outlineLvl w:val="0"/>
              <w:rPr>
                <w:rFonts w:ascii="Calibri" w:eastAsia="Times New Roman" w:hAnsi="Calibri" w:cs="Times New Roman"/>
                <w:color w:val="000000"/>
                <w:sz w:val="21"/>
                <w:szCs w:val="21"/>
                <w:lang w:val="en-US"/>
              </w:rPr>
            </w:pPr>
            <w:r w:rsidRPr="00B85A85">
              <w:rPr>
                <w:rFonts w:cstheme="minorHAnsi"/>
                <w:color w:val="000000" w:themeColor="text1"/>
                <w:sz w:val="21"/>
                <w:szCs w:val="21"/>
              </w:rPr>
              <w:t>645</w:t>
            </w:r>
          </w:p>
        </w:tc>
        <w:tc>
          <w:tcPr>
            <w:tcW w:w="773" w:type="pct"/>
            <w:tcBorders>
              <w:top w:val="nil"/>
              <w:left w:val="nil"/>
              <w:bottom w:val="nil"/>
              <w:right w:val="nil"/>
            </w:tcBorders>
            <w:shd w:val="clear" w:color="auto" w:fill="auto"/>
            <w:vAlign w:val="bottom"/>
          </w:tcPr>
          <w:p w14:paraId="294FCB5D" w14:textId="435633D0" w:rsidR="007527BA" w:rsidRPr="005D79FF" w:rsidRDefault="007527BA" w:rsidP="007527BA">
            <w:pPr>
              <w:tabs>
                <w:tab w:val="right" w:pos="1202"/>
              </w:tabs>
              <w:spacing w:after="0" w:line="240" w:lineRule="auto"/>
              <w:jc w:val="right"/>
              <w:outlineLvl w:val="0"/>
              <w:rPr>
                <w:rFonts w:ascii="Calibri" w:eastAsia="Times New Roman" w:hAnsi="Calibri" w:cs="Times New Roman"/>
                <w:color w:val="000000"/>
                <w:sz w:val="21"/>
                <w:szCs w:val="21"/>
                <w:lang w:val="en-US"/>
              </w:rPr>
            </w:pPr>
            <w:r w:rsidRPr="008E5C2B">
              <w:rPr>
                <w:sz w:val="21"/>
                <w:szCs w:val="21"/>
              </w:rPr>
              <w:t xml:space="preserve"> -    </w:t>
            </w:r>
          </w:p>
        </w:tc>
        <w:tc>
          <w:tcPr>
            <w:tcW w:w="775" w:type="pct"/>
            <w:tcBorders>
              <w:top w:val="nil"/>
              <w:left w:val="nil"/>
              <w:bottom w:val="nil"/>
              <w:right w:val="nil"/>
            </w:tcBorders>
            <w:shd w:val="clear" w:color="auto" w:fill="auto"/>
            <w:vAlign w:val="center"/>
            <w:hideMark/>
          </w:tcPr>
          <w:p w14:paraId="753980AE" w14:textId="6C5D15F4" w:rsidR="007527BA" w:rsidRPr="00AA05EF" w:rsidRDefault="007527BA" w:rsidP="007527BA">
            <w:pPr>
              <w:tabs>
                <w:tab w:val="right" w:pos="1202"/>
              </w:tabs>
              <w:spacing w:after="0" w:line="240" w:lineRule="auto"/>
              <w:jc w:val="right"/>
              <w:outlineLvl w:val="0"/>
              <w:rPr>
                <w:rFonts w:ascii="Calibri" w:eastAsia="Times New Roman" w:hAnsi="Calibri" w:cs="Times New Roman"/>
                <w:color w:val="000000"/>
                <w:sz w:val="21"/>
                <w:szCs w:val="21"/>
                <w:lang w:val="en-US"/>
              </w:rPr>
            </w:pPr>
            <w:r>
              <w:rPr>
                <w:rFonts w:cstheme="minorHAnsi"/>
                <w:color w:val="000000" w:themeColor="text1"/>
                <w:sz w:val="21"/>
                <w:szCs w:val="21"/>
              </w:rPr>
              <w:t>-</w:t>
            </w:r>
          </w:p>
        </w:tc>
      </w:tr>
      <w:tr w:rsidR="007527BA" w:rsidRPr="00537128" w14:paraId="145428AF" w14:textId="77777777" w:rsidTr="00F31225">
        <w:trPr>
          <w:trHeight w:hRule="exact" w:val="292"/>
        </w:trPr>
        <w:tc>
          <w:tcPr>
            <w:tcW w:w="1818" w:type="pct"/>
            <w:vAlign w:val="center"/>
            <w:hideMark/>
          </w:tcPr>
          <w:p w14:paraId="40171A17" w14:textId="77777777" w:rsidR="007527BA" w:rsidRPr="00537128" w:rsidRDefault="007527BA" w:rsidP="007527BA">
            <w:pPr>
              <w:tabs>
                <w:tab w:val="right" w:pos="1202"/>
              </w:tabs>
              <w:spacing w:after="0" w:line="240" w:lineRule="auto"/>
              <w:outlineLvl w:val="0"/>
              <w:rPr>
                <w:rFonts w:ascii="Calibri" w:eastAsia="Times New Roman" w:hAnsi="Calibri" w:cs="Arial"/>
                <w:sz w:val="21"/>
                <w:szCs w:val="21"/>
                <w:lang w:val="en-US"/>
              </w:rPr>
            </w:pPr>
            <w:bookmarkStart w:id="490" w:name="_Toc4059814"/>
            <w:r w:rsidRPr="00537128">
              <w:rPr>
                <w:rFonts w:ascii="Calibri" w:eastAsia="Times New Roman" w:hAnsi="Calibri" w:cs="Arial"/>
                <w:sz w:val="21"/>
                <w:szCs w:val="21"/>
                <w:lang w:val="en-US"/>
              </w:rPr>
              <w:t>Receivables for risk assessment fees</w:t>
            </w:r>
            <w:bookmarkEnd w:id="490"/>
          </w:p>
        </w:tc>
        <w:tc>
          <w:tcPr>
            <w:tcW w:w="802" w:type="pct"/>
            <w:tcBorders>
              <w:top w:val="nil"/>
              <w:left w:val="nil"/>
              <w:bottom w:val="single" w:sz="4" w:space="0" w:color="auto"/>
              <w:right w:val="nil"/>
            </w:tcBorders>
            <w:shd w:val="clear" w:color="auto" w:fill="auto"/>
            <w:vAlign w:val="bottom"/>
          </w:tcPr>
          <w:p w14:paraId="5150B13B" w14:textId="77B1AB29" w:rsidR="007527BA" w:rsidRPr="005D79FF" w:rsidRDefault="007527BA" w:rsidP="007527BA">
            <w:pPr>
              <w:tabs>
                <w:tab w:val="right" w:pos="1202"/>
              </w:tabs>
              <w:spacing w:after="0" w:line="240" w:lineRule="auto"/>
              <w:jc w:val="right"/>
              <w:outlineLvl w:val="0"/>
              <w:rPr>
                <w:rFonts w:ascii="Calibri" w:eastAsia="Times New Roman" w:hAnsi="Calibri" w:cs="Calibri"/>
                <w:color w:val="000000"/>
                <w:sz w:val="21"/>
                <w:szCs w:val="21"/>
                <w:lang w:val="en-US"/>
              </w:rPr>
            </w:pPr>
            <w:r w:rsidRPr="008E5C2B">
              <w:rPr>
                <w:sz w:val="21"/>
                <w:szCs w:val="21"/>
              </w:rPr>
              <w:t xml:space="preserve"> 242 </w:t>
            </w:r>
          </w:p>
        </w:tc>
        <w:tc>
          <w:tcPr>
            <w:tcW w:w="832" w:type="pct"/>
            <w:tcBorders>
              <w:top w:val="nil"/>
              <w:left w:val="nil"/>
              <w:bottom w:val="single" w:sz="4" w:space="0" w:color="auto"/>
              <w:right w:val="nil"/>
            </w:tcBorders>
            <w:shd w:val="clear" w:color="auto" w:fill="auto"/>
            <w:vAlign w:val="bottom"/>
          </w:tcPr>
          <w:p w14:paraId="1FAC0C36" w14:textId="0533EAAB" w:rsidR="007527BA" w:rsidRPr="00AA05EF" w:rsidRDefault="007527BA" w:rsidP="007527BA">
            <w:pPr>
              <w:tabs>
                <w:tab w:val="right" w:pos="1202"/>
              </w:tabs>
              <w:spacing w:after="0" w:line="240" w:lineRule="auto"/>
              <w:jc w:val="right"/>
              <w:outlineLvl w:val="0"/>
              <w:rPr>
                <w:rFonts w:ascii="Calibri" w:eastAsia="Times New Roman" w:hAnsi="Calibri" w:cs="Times New Roman"/>
                <w:color w:val="000000"/>
                <w:sz w:val="21"/>
                <w:szCs w:val="21"/>
                <w:lang w:val="en-US"/>
              </w:rPr>
            </w:pPr>
            <w:r w:rsidRPr="00B85A85">
              <w:rPr>
                <w:rFonts w:cstheme="minorHAnsi"/>
                <w:color w:val="000000" w:themeColor="text1"/>
                <w:sz w:val="21"/>
                <w:szCs w:val="21"/>
              </w:rPr>
              <w:t>324</w:t>
            </w:r>
          </w:p>
        </w:tc>
        <w:tc>
          <w:tcPr>
            <w:tcW w:w="773" w:type="pct"/>
            <w:tcBorders>
              <w:top w:val="nil"/>
              <w:left w:val="nil"/>
              <w:bottom w:val="single" w:sz="4" w:space="0" w:color="auto"/>
              <w:right w:val="nil"/>
            </w:tcBorders>
            <w:shd w:val="clear" w:color="auto" w:fill="auto"/>
            <w:vAlign w:val="bottom"/>
          </w:tcPr>
          <w:p w14:paraId="265D3D0C" w14:textId="5D0E7ED7" w:rsidR="007527BA" w:rsidRPr="005D79FF" w:rsidRDefault="007527BA" w:rsidP="007527BA">
            <w:pPr>
              <w:tabs>
                <w:tab w:val="right" w:pos="1202"/>
              </w:tabs>
              <w:spacing w:after="0" w:line="240" w:lineRule="auto"/>
              <w:jc w:val="right"/>
              <w:outlineLvl w:val="0"/>
              <w:rPr>
                <w:rFonts w:ascii="Calibri" w:eastAsia="Times New Roman" w:hAnsi="Calibri" w:cs="Times New Roman"/>
                <w:color w:val="000000"/>
                <w:sz w:val="21"/>
                <w:szCs w:val="21"/>
                <w:lang w:val="en-US"/>
              </w:rPr>
            </w:pPr>
            <w:r w:rsidRPr="008E5C2B">
              <w:rPr>
                <w:sz w:val="21"/>
                <w:szCs w:val="21"/>
              </w:rPr>
              <w:t xml:space="preserve"> -    </w:t>
            </w:r>
          </w:p>
        </w:tc>
        <w:tc>
          <w:tcPr>
            <w:tcW w:w="775" w:type="pct"/>
            <w:tcBorders>
              <w:top w:val="nil"/>
              <w:left w:val="nil"/>
              <w:bottom w:val="single" w:sz="4" w:space="0" w:color="auto"/>
              <w:right w:val="nil"/>
            </w:tcBorders>
            <w:shd w:val="clear" w:color="auto" w:fill="auto"/>
            <w:vAlign w:val="bottom"/>
            <w:hideMark/>
          </w:tcPr>
          <w:p w14:paraId="61FBCF7F" w14:textId="4C8D2699" w:rsidR="007527BA" w:rsidRPr="00AA05EF" w:rsidRDefault="007527BA" w:rsidP="007527BA">
            <w:pPr>
              <w:tabs>
                <w:tab w:val="right" w:pos="1202"/>
              </w:tabs>
              <w:spacing w:after="0" w:line="240" w:lineRule="auto"/>
              <w:jc w:val="right"/>
              <w:outlineLvl w:val="0"/>
              <w:rPr>
                <w:rFonts w:ascii="Calibri" w:eastAsia="Times New Roman" w:hAnsi="Calibri" w:cs="Times New Roman"/>
                <w:color w:val="000000"/>
                <w:sz w:val="21"/>
                <w:szCs w:val="21"/>
                <w:lang w:val="en-US"/>
              </w:rPr>
            </w:pPr>
            <w:r>
              <w:rPr>
                <w:rFonts w:cstheme="minorHAnsi"/>
                <w:color w:val="000000" w:themeColor="text1"/>
                <w:sz w:val="21"/>
                <w:szCs w:val="21"/>
              </w:rPr>
              <w:t>-</w:t>
            </w:r>
          </w:p>
        </w:tc>
      </w:tr>
      <w:tr w:rsidR="007527BA" w:rsidRPr="00537128" w14:paraId="09479D49" w14:textId="77777777" w:rsidTr="00F31225">
        <w:trPr>
          <w:trHeight w:hRule="exact" w:val="292"/>
        </w:trPr>
        <w:tc>
          <w:tcPr>
            <w:tcW w:w="1818" w:type="pct"/>
            <w:vAlign w:val="center"/>
          </w:tcPr>
          <w:p w14:paraId="7BA98A7A" w14:textId="77777777" w:rsidR="007527BA" w:rsidRPr="00537128" w:rsidRDefault="007527BA" w:rsidP="007527BA">
            <w:pPr>
              <w:tabs>
                <w:tab w:val="right" w:pos="1202"/>
              </w:tabs>
              <w:spacing w:after="0" w:line="240" w:lineRule="auto"/>
              <w:outlineLvl w:val="0"/>
              <w:rPr>
                <w:rFonts w:ascii="Calibri" w:eastAsia="Times New Roman" w:hAnsi="Calibri" w:cs="Arial"/>
                <w:sz w:val="21"/>
                <w:szCs w:val="21"/>
                <w:lang w:val="en-US"/>
              </w:rPr>
            </w:pPr>
          </w:p>
        </w:tc>
        <w:tc>
          <w:tcPr>
            <w:tcW w:w="802" w:type="pct"/>
            <w:tcBorders>
              <w:top w:val="nil"/>
              <w:left w:val="nil"/>
              <w:bottom w:val="single" w:sz="4" w:space="0" w:color="auto"/>
              <w:right w:val="nil"/>
            </w:tcBorders>
            <w:shd w:val="clear" w:color="auto" w:fill="auto"/>
            <w:vAlign w:val="bottom"/>
          </w:tcPr>
          <w:p w14:paraId="32326069" w14:textId="7DF75B91" w:rsidR="007527BA" w:rsidRPr="005D79FF" w:rsidRDefault="007527BA" w:rsidP="007527BA">
            <w:pPr>
              <w:tabs>
                <w:tab w:val="right" w:pos="1202"/>
              </w:tabs>
              <w:spacing w:after="0" w:line="240" w:lineRule="auto"/>
              <w:jc w:val="right"/>
              <w:outlineLvl w:val="0"/>
              <w:rPr>
                <w:rFonts w:ascii="Calibri" w:eastAsia="Times New Roman" w:hAnsi="Calibri" w:cs="Calibri"/>
                <w:color w:val="000000"/>
                <w:sz w:val="21"/>
                <w:szCs w:val="21"/>
                <w:lang w:val="en-US"/>
              </w:rPr>
            </w:pPr>
            <w:r w:rsidRPr="008E5C2B">
              <w:rPr>
                <w:sz w:val="21"/>
                <w:szCs w:val="21"/>
              </w:rPr>
              <w:t xml:space="preserve"> 39</w:t>
            </w:r>
            <w:r w:rsidR="00EB68F0">
              <w:rPr>
                <w:sz w:val="21"/>
                <w:szCs w:val="21"/>
              </w:rPr>
              <w:t>,</w:t>
            </w:r>
            <w:r w:rsidRPr="008E5C2B">
              <w:rPr>
                <w:sz w:val="21"/>
                <w:szCs w:val="21"/>
              </w:rPr>
              <w:t xml:space="preserve">812 </w:t>
            </w:r>
          </w:p>
        </w:tc>
        <w:tc>
          <w:tcPr>
            <w:tcW w:w="832" w:type="pct"/>
            <w:tcBorders>
              <w:top w:val="nil"/>
              <w:left w:val="nil"/>
              <w:bottom w:val="single" w:sz="4" w:space="0" w:color="auto"/>
              <w:right w:val="nil"/>
            </w:tcBorders>
            <w:shd w:val="clear" w:color="auto" w:fill="auto"/>
            <w:vAlign w:val="bottom"/>
          </w:tcPr>
          <w:p w14:paraId="51A959CF" w14:textId="61665115" w:rsidR="007527BA" w:rsidRPr="00AA05EF" w:rsidRDefault="007527BA" w:rsidP="007527BA">
            <w:pPr>
              <w:tabs>
                <w:tab w:val="right" w:pos="1202"/>
              </w:tabs>
              <w:spacing w:after="0" w:line="240" w:lineRule="auto"/>
              <w:jc w:val="right"/>
              <w:outlineLvl w:val="0"/>
              <w:rPr>
                <w:rFonts w:ascii="Calibri" w:eastAsia="Times New Roman" w:hAnsi="Calibri" w:cs="Times New Roman"/>
                <w:color w:val="000000"/>
                <w:sz w:val="21"/>
                <w:szCs w:val="21"/>
                <w:lang w:val="en-US"/>
              </w:rPr>
            </w:pPr>
            <w:r w:rsidRPr="00B85A85">
              <w:rPr>
                <w:rFonts w:cstheme="minorHAnsi"/>
                <w:color w:val="000000" w:themeColor="text1"/>
                <w:sz w:val="21"/>
                <w:szCs w:val="21"/>
              </w:rPr>
              <w:t>39</w:t>
            </w:r>
            <w:r>
              <w:rPr>
                <w:rFonts w:cstheme="minorHAnsi"/>
                <w:color w:val="000000" w:themeColor="text1"/>
                <w:sz w:val="21"/>
                <w:szCs w:val="21"/>
              </w:rPr>
              <w:t>,</w:t>
            </w:r>
            <w:r w:rsidRPr="00B85A85">
              <w:rPr>
                <w:rFonts w:cstheme="minorHAnsi"/>
                <w:color w:val="000000" w:themeColor="text1"/>
                <w:sz w:val="21"/>
                <w:szCs w:val="21"/>
              </w:rPr>
              <w:t>162</w:t>
            </w:r>
          </w:p>
        </w:tc>
        <w:tc>
          <w:tcPr>
            <w:tcW w:w="773" w:type="pct"/>
            <w:tcBorders>
              <w:top w:val="nil"/>
              <w:left w:val="nil"/>
              <w:bottom w:val="single" w:sz="4" w:space="0" w:color="auto"/>
              <w:right w:val="nil"/>
            </w:tcBorders>
            <w:shd w:val="clear" w:color="auto" w:fill="auto"/>
            <w:vAlign w:val="bottom"/>
          </w:tcPr>
          <w:p w14:paraId="68E746D8" w14:textId="09E18213" w:rsidR="007527BA" w:rsidRPr="005D79FF" w:rsidRDefault="007527BA" w:rsidP="007527BA">
            <w:pPr>
              <w:tabs>
                <w:tab w:val="right" w:pos="1202"/>
              </w:tabs>
              <w:spacing w:after="0" w:line="240" w:lineRule="auto"/>
              <w:jc w:val="right"/>
              <w:outlineLvl w:val="0"/>
              <w:rPr>
                <w:rFonts w:ascii="Calibri" w:eastAsia="Times New Roman" w:hAnsi="Calibri" w:cs="Times New Roman"/>
                <w:color w:val="000000"/>
                <w:sz w:val="21"/>
                <w:szCs w:val="21"/>
                <w:lang w:val="en-US"/>
              </w:rPr>
            </w:pPr>
            <w:r w:rsidRPr="008E5C2B">
              <w:rPr>
                <w:sz w:val="21"/>
                <w:szCs w:val="21"/>
              </w:rPr>
              <w:t xml:space="preserve"> 36</w:t>
            </w:r>
            <w:r w:rsidR="00EB68F0">
              <w:rPr>
                <w:sz w:val="21"/>
                <w:szCs w:val="21"/>
              </w:rPr>
              <w:t>,</w:t>
            </w:r>
            <w:r w:rsidRPr="008E5C2B">
              <w:rPr>
                <w:sz w:val="21"/>
                <w:szCs w:val="21"/>
              </w:rPr>
              <w:t xml:space="preserve">772 </w:t>
            </w:r>
          </w:p>
        </w:tc>
        <w:tc>
          <w:tcPr>
            <w:tcW w:w="775" w:type="pct"/>
            <w:tcBorders>
              <w:top w:val="nil"/>
              <w:left w:val="nil"/>
              <w:bottom w:val="single" w:sz="4" w:space="0" w:color="auto"/>
              <w:right w:val="nil"/>
            </w:tcBorders>
            <w:shd w:val="clear" w:color="auto" w:fill="auto"/>
            <w:vAlign w:val="bottom"/>
            <w:hideMark/>
          </w:tcPr>
          <w:p w14:paraId="0B95B4D9" w14:textId="4623D8A4" w:rsidR="007527BA" w:rsidRPr="00AA05EF" w:rsidRDefault="007527BA" w:rsidP="007527BA">
            <w:pPr>
              <w:tabs>
                <w:tab w:val="right" w:pos="1202"/>
              </w:tabs>
              <w:spacing w:after="0" w:line="240" w:lineRule="auto"/>
              <w:jc w:val="right"/>
              <w:outlineLvl w:val="0"/>
              <w:rPr>
                <w:rFonts w:ascii="Calibri" w:eastAsia="Times New Roman" w:hAnsi="Calibri" w:cs="Times New Roman"/>
                <w:color w:val="000000"/>
                <w:sz w:val="21"/>
                <w:szCs w:val="21"/>
                <w:lang w:val="en-US"/>
              </w:rPr>
            </w:pPr>
            <w:r w:rsidRPr="00B85A85">
              <w:rPr>
                <w:rFonts w:cstheme="minorHAnsi"/>
                <w:color w:val="000000" w:themeColor="text1"/>
                <w:sz w:val="21"/>
                <w:szCs w:val="21"/>
              </w:rPr>
              <w:t>36</w:t>
            </w:r>
            <w:r>
              <w:rPr>
                <w:rFonts w:cstheme="minorHAnsi"/>
                <w:color w:val="000000" w:themeColor="text1"/>
                <w:sz w:val="21"/>
                <w:szCs w:val="21"/>
              </w:rPr>
              <w:t>,</w:t>
            </w:r>
            <w:r w:rsidRPr="00B85A85">
              <w:rPr>
                <w:rFonts w:cstheme="minorHAnsi"/>
                <w:color w:val="000000" w:themeColor="text1"/>
                <w:sz w:val="21"/>
                <w:szCs w:val="21"/>
              </w:rPr>
              <w:t>396</w:t>
            </w:r>
          </w:p>
        </w:tc>
      </w:tr>
      <w:tr w:rsidR="007527BA" w:rsidRPr="00537128" w14:paraId="2BEA3E0B" w14:textId="77777777" w:rsidTr="00F31225">
        <w:trPr>
          <w:trHeight w:hRule="exact" w:val="292"/>
        </w:trPr>
        <w:tc>
          <w:tcPr>
            <w:tcW w:w="1818" w:type="pct"/>
            <w:vAlign w:val="center"/>
            <w:hideMark/>
          </w:tcPr>
          <w:p w14:paraId="1B69B2B1" w14:textId="77777777" w:rsidR="007527BA" w:rsidRPr="00537128" w:rsidRDefault="007527BA" w:rsidP="007527BA">
            <w:pPr>
              <w:tabs>
                <w:tab w:val="right" w:pos="1202"/>
              </w:tabs>
              <w:spacing w:after="0" w:line="240" w:lineRule="auto"/>
              <w:outlineLvl w:val="0"/>
              <w:rPr>
                <w:rFonts w:ascii="Calibri" w:eastAsia="Times New Roman" w:hAnsi="Calibri" w:cs="Arial"/>
                <w:sz w:val="21"/>
                <w:szCs w:val="21"/>
                <w:lang w:val="en-US"/>
              </w:rPr>
            </w:pPr>
            <w:bookmarkStart w:id="491" w:name="_Toc4059819"/>
            <w:r w:rsidRPr="00537128">
              <w:rPr>
                <w:rFonts w:ascii="Calibri" w:eastAsia="Times New Roman" w:hAnsi="Calibri" w:cs="Arial"/>
                <w:sz w:val="21"/>
                <w:szCs w:val="21"/>
                <w:lang w:val="en-US"/>
              </w:rPr>
              <w:t>Loss allowance</w:t>
            </w:r>
            <w:bookmarkEnd w:id="491"/>
          </w:p>
        </w:tc>
        <w:tc>
          <w:tcPr>
            <w:tcW w:w="802" w:type="pct"/>
            <w:tcBorders>
              <w:top w:val="single" w:sz="4" w:space="0" w:color="auto"/>
              <w:left w:val="nil"/>
              <w:bottom w:val="nil"/>
              <w:right w:val="nil"/>
            </w:tcBorders>
            <w:shd w:val="clear" w:color="auto" w:fill="auto"/>
            <w:vAlign w:val="bottom"/>
          </w:tcPr>
          <w:p w14:paraId="40F8FA7B" w14:textId="7AC07259" w:rsidR="007527BA" w:rsidRPr="005D79FF" w:rsidRDefault="007527BA" w:rsidP="007527BA">
            <w:pPr>
              <w:tabs>
                <w:tab w:val="right" w:pos="1202"/>
              </w:tabs>
              <w:spacing w:after="0" w:line="240" w:lineRule="auto"/>
              <w:jc w:val="right"/>
              <w:outlineLvl w:val="0"/>
              <w:rPr>
                <w:rFonts w:ascii="Calibri" w:eastAsia="Times New Roman" w:hAnsi="Calibri" w:cs="Times New Roman"/>
                <w:color w:val="000000"/>
                <w:sz w:val="21"/>
                <w:szCs w:val="21"/>
                <w:lang w:val="en-US"/>
              </w:rPr>
            </w:pPr>
            <w:r w:rsidRPr="008E5C2B">
              <w:rPr>
                <w:sz w:val="21"/>
                <w:szCs w:val="21"/>
              </w:rPr>
              <w:t xml:space="preserve"> (33</w:t>
            </w:r>
            <w:r w:rsidR="00EB68F0">
              <w:rPr>
                <w:sz w:val="21"/>
                <w:szCs w:val="21"/>
              </w:rPr>
              <w:t>,</w:t>
            </w:r>
            <w:r w:rsidRPr="008E5C2B">
              <w:rPr>
                <w:sz w:val="21"/>
                <w:szCs w:val="21"/>
              </w:rPr>
              <w:t>975)</w:t>
            </w:r>
          </w:p>
        </w:tc>
        <w:tc>
          <w:tcPr>
            <w:tcW w:w="832" w:type="pct"/>
            <w:tcBorders>
              <w:top w:val="single" w:sz="4" w:space="0" w:color="auto"/>
              <w:left w:val="nil"/>
              <w:bottom w:val="nil"/>
              <w:right w:val="nil"/>
            </w:tcBorders>
            <w:shd w:val="clear" w:color="auto" w:fill="auto"/>
            <w:vAlign w:val="bottom"/>
          </w:tcPr>
          <w:p w14:paraId="2AAE13C8" w14:textId="342FE62F" w:rsidR="007527BA" w:rsidRPr="00AA05EF" w:rsidRDefault="007527BA" w:rsidP="007527BA">
            <w:pPr>
              <w:tabs>
                <w:tab w:val="right" w:pos="1202"/>
              </w:tabs>
              <w:spacing w:after="0" w:line="240" w:lineRule="auto"/>
              <w:jc w:val="right"/>
              <w:outlineLvl w:val="0"/>
              <w:rPr>
                <w:rFonts w:ascii="Calibri" w:eastAsia="Times New Roman" w:hAnsi="Calibri" w:cs="Times New Roman"/>
                <w:color w:val="000000"/>
                <w:sz w:val="21"/>
                <w:szCs w:val="21"/>
                <w:lang w:val="en-US"/>
              </w:rPr>
            </w:pPr>
            <w:r w:rsidRPr="00B85A85">
              <w:rPr>
                <w:rFonts w:cstheme="minorHAnsi"/>
                <w:color w:val="000000" w:themeColor="text1"/>
                <w:sz w:val="21"/>
                <w:szCs w:val="21"/>
              </w:rPr>
              <w:t>(31</w:t>
            </w:r>
            <w:r>
              <w:rPr>
                <w:rFonts w:cstheme="minorHAnsi"/>
                <w:color w:val="000000" w:themeColor="text1"/>
                <w:sz w:val="21"/>
                <w:szCs w:val="21"/>
              </w:rPr>
              <w:t>,</w:t>
            </w:r>
            <w:r w:rsidRPr="00B85A85">
              <w:rPr>
                <w:rFonts w:cstheme="minorHAnsi"/>
                <w:color w:val="000000" w:themeColor="text1"/>
                <w:sz w:val="21"/>
                <w:szCs w:val="21"/>
              </w:rPr>
              <w:t>851)</w:t>
            </w:r>
          </w:p>
        </w:tc>
        <w:tc>
          <w:tcPr>
            <w:tcW w:w="773" w:type="pct"/>
            <w:tcBorders>
              <w:top w:val="single" w:sz="4" w:space="0" w:color="auto"/>
              <w:left w:val="nil"/>
              <w:bottom w:val="nil"/>
              <w:right w:val="nil"/>
            </w:tcBorders>
            <w:shd w:val="clear" w:color="auto" w:fill="auto"/>
            <w:vAlign w:val="bottom"/>
          </w:tcPr>
          <w:p w14:paraId="7339A3FD" w14:textId="5EC004B1" w:rsidR="007527BA" w:rsidRPr="005D79FF" w:rsidRDefault="007527BA" w:rsidP="007527BA">
            <w:pPr>
              <w:tabs>
                <w:tab w:val="right" w:pos="1202"/>
              </w:tabs>
              <w:spacing w:after="0" w:line="240" w:lineRule="auto"/>
              <w:jc w:val="right"/>
              <w:outlineLvl w:val="0"/>
              <w:rPr>
                <w:rFonts w:ascii="Calibri" w:eastAsia="Times New Roman" w:hAnsi="Calibri" w:cs="Times New Roman"/>
                <w:color w:val="000000"/>
                <w:sz w:val="21"/>
                <w:szCs w:val="21"/>
                <w:lang w:val="en-US"/>
              </w:rPr>
            </w:pPr>
            <w:r w:rsidRPr="008E5C2B">
              <w:rPr>
                <w:sz w:val="21"/>
                <w:szCs w:val="21"/>
              </w:rPr>
              <w:t xml:space="preserve"> (33</w:t>
            </w:r>
            <w:r w:rsidR="00EB68F0">
              <w:rPr>
                <w:sz w:val="21"/>
                <w:szCs w:val="21"/>
              </w:rPr>
              <w:t>,</w:t>
            </w:r>
            <w:r w:rsidRPr="008E5C2B">
              <w:rPr>
                <w:sz w:val="21"/>
                <w:szCs w:val="21"/>
              </w:rPr>
              <w:t>764)</w:t>
            </w:r>
          </w:p>
        </w:tc>
        <w:tc>
          <w:tcPr>
            <w:tcW w:w="775" w:type="pct"/>
            <w:tcBorders>
              <w:top w:val="single" w:sz="4" w:space="0" w:color="auto"/>
              <w:left w:val="nil"/>
              <w:bottom w:val="nil"/>
              <w:right w:val="nil"/>
            </w:tcBorders>
            <w:shd w:val="clear" w:color="auto" w:fill="auto"/>
            <w:vAlign w:val="bottom"/>
            <w:hideMark/>
          </w:tcPr>
          <w:p w14:paraId="055513EE" w14:textId="5657C4EB" w:rsidR="007527BA" w:rsidRPr="00AA05EF" w:rsidRDefault="007527BA" w:rsidP="007527BA">
            <w:pPr>
              <w:tabs>
                <w:tab w:val="right" w:pos="1202"/>
              </w:tabs>
              <w:spacing w:after="0" w:line="240" w:lineRule="auto"/>
              <w:jc w:val="right"/>
              <w:outlineLvl w:val="0"/>
              <w:rPr>
                <w:rFonts w:ascii="Calibri" w:eastAsia="Times New Roman" w:hAnsi="Calibri" w:cs="Times New Roman"/>
                <w:color w:val="000000"/>
                <w:sz w:val="21"/>
                <w:szCs w:val="21"/>
                <w:lang w:val="en-US"/>
              </w:rPr>
            </w:pPr>
            <w:r w:rsidRPr="00B85A85">
              <w:rPr>
                <w:rFonts w:cstheme="minorHAnsi"/>
                <w:color w:val="000000" w:themeColor="text1"/>
                <w:sz w:val="21"/>
                <w:szCs w:val="21"/>
              </w:rPr>
              <w:t>(31</w:t>
            </w:r>
            <w:r>
              <w:rPr>
                <w:rFonts w:cstheme="minorHAnsi"/>
                <w:color w:val="000000" w:themeColor="text1"/>
                <w:sz w:val="21"/>
                <w:szCs w:val="21"/>
              </w:rPr>
              <w:t>,</w:t>
            </w:r>
            <w:r w:rsidRPr="00B85A85">
              <w:rPr>
                <w:rFonts w:cstheme="minorHAnsi"/>
                <w:color w:val="000000" w:themeColor="text1"/>
                <w:sz w:val="21"/>
                <w:szCs w:val="21"/>
              </w:rPr>
              <w:t>697)</w:t>
            </w:r>
          </w:p>
        </w:tc>
      </w:tr>
      <w:tr w:rsidR="007527BA" w:rsidRPr="00537128" w14:paraId="22F1B5A0" w14:textId="77777777" w:rsidTr="00F31225">
        <w:trPr>
          <w:trHeight w:val="374"/>
        </w:trPr>
        <w:tc>
          <w:tcPr>
            <w:tcW w:w="1818" w:type="pct"/>
            <w:vAlign w:val="center"/>
            <w:hideMark/>
          </w:tcPr>
          <w:p w14:paraId="545B08C2" w14:textId="77777777" w:rsidR="007527BA" w:rsidRPr="00537128" w:rsidRDefault="007527BA" w:rsidP="007527BA">
            <w:pPr>
              <w:tabs>
                <w:tab w:val="right" w:pos="1202"/>
              </w:tabs>
              <w:spacing w:after="0" w:line="301" w:lineRule="exact"/>
              <w:outlineLvl w:val="0"/>
              <w:rPr>
                <w:rFonts w:ascii="Calibri" w:eastAsia="Times New Roman" w:hAnsi="Calibri" w:cs="Arial"/>
                <w:b/>
                <w:sz w:val="21"/>
                <w:szCs w:val="21"/>
                <w:lang w:val="en-US"/>
              </w:rPr>
            </w:pPr>
            <w:bookmarkStart w:id="492" w:name="_Toc4059824"/>
            <w:r w:rsidRPr="00537128">
              <w:rPr>
                <w:rFonts w:ascii="Calibri" w:eastAsia="Times New Roman" w:hAnsi="Calibri" w:cs="Arial"/>
                <w:b/>
                <w:sz w:val="21"/>
                <w:szCs w:val="21"/>
                <w:lang w:val="en-US"/>
              </w:rPr>
              <w:t>Subtotal – credit risk</w:t>
            </w:r>
            <w:bookmarkEnd w:id="492"/>
          </w:p>
        </w:tc>
        <w:tc>
          <w:tcPr>
            <w:tcW w:w="802" w:type="pct"/>
            <w:tcBorders>
              <w:top w:val="single" w:sz="4" w:space="0" w:color="auto"/>
              <w:left w:val="nil"/>
              <w:bottom w:val="single" w:sz="12" w:space="0" w:color="auto"/>
              <w:right w:val="nil"/>
            </w:tcBorders>
            <w:shd w:val="clear" w:color="auto" w:fill="auto"/>
            <w:vAlign w:val="bottom"/>
          </w:tcPr>
          <w:p w14:paraId="436BCF5F" w14:textId="7642C4A2" w:rsidR="007527BA" w:rsidRPr="005D79FF" w:rsidRDefault="007527BA" w:rsidP="007527BA">
            <w:pPr>
              <w:tabs>
                <w:tab w:val="right" w:pos="1202"/>
              </w:tabs>
              <w:spacing w:after="0" w:line="301" w:lineRule="exact"/>
              <w:jc w:val="right"/>
              <w:outlineLvl w:val="0"/>
              <w:rPr>
                <w:rFonts w:ascii="Calibri" w:eastAsia="Times New Roman" w:hAnsi="Calibri" w:cs="Times New Roman"/>
                <w:b/>
                <w:color w:val="000000"/>
                <w:sz w:val="21"/>
                <w:szCs w:val="21"/>
                <w:lang w:val="en-US"/>
              </w:rPr>
            </w:pPr>
            <w:r w:rsidRPr="008E5C2B">
              <w:rPr>
                <w:b/>
                <w:bCs/>
                <w:sz w:val="21"/>
                <w:szCs w:val="21"/>
              </w:rPr>
              <w:t xml:space="preserve"> 5</w:t>
            </w:r>
            <w:r w:rsidR="00EB68F0">
              <w:rPr>
                <w:b/>
                <w:bCs/>
                <w:sz w:val="21"/>
                <w:szCs w:val="21"/>
              </w:rPr>
              <w:t>,</w:t>
            </w:r>
            <w:r w:rsidRPr="008E5C2B">
              <w:rPr>
                <w:b/>
                <w:bCs/>
                <w:sz w:val="21"/>
                <w:szCs w:val="21"/>
              </w:rPr>
              <w:t xml:space="preserve">837 </w:t>
            </w:r>
          </w:p>
        </w:tc>
        <w:tc>
          <w:tcPr>
            <w:tcW w:w="832" w:type="pct"/>
            <w:tcBorders>
              <w:top w:val="single" w:sz="4" w:space="0" w:color="auto"/>
              <w:left w:val="nil"/>
              <w:bottom w:val="single" w:sz="12" w:space="0" w:color="auto"/>
              <w:right w:val="nil"/>
            </w:tcBorders>
            <w:shd w:val="clear" w:color="auto" w:fill="auto"/>
            <w:vAlign w:val="bottom"/>
          </w:tcPr>
          <w:p w14:paraId="19FF41A3" w14:textId="73CD1655" w:rsidR="007527BA" w:rsidRPr="00AA05EF" w:rsidRDefault="007527BA" w:rsidP="007527BA">
            <w:pPr>
              <w:tabs>
                <w:tab w:val="right" w:pos="1202"/>
              </w:tabs>
              <w:spacing w:after="0" w:line="301" w:lineRule="exact"/>
              <w:jc w:val="right"/>
              <w:outlineLvl w:val="0"/>
              <w:rPr>
                <w:rFonts w:ascii="Calibri" w:eastAsia="Times New Roman" w:hAnsi="Calibri" w:cs="Times New Roman"/>
                <w:b/>
                <w:color w:val="000000"/>
                <w:sz w:val="21"/>
                <w:szCs w:val="21"/>
                <w:lang w:val="en-US"/>
              </w:rPr>
            </w:pPr>
            <w:r w:rsidRPr="00B85A85">
              <w:rPr>
                <w:rFonts w:cstheme="minorHAnsi"/>
                <w:b/>
                <w:bCs/>
                <w:color w:val="000000" w:themeColor="text1"/>
                <w:sz w:val="21"/>
                <w:szCs w:val="21"/>
              </w:rPr>
              <w:t>7</w:t>
            </w:r>
            <w:r>
              <w:rPr>
                <w:rFonts w:cstheme="minorHAnsi"/>
                <w:b/>
                <w:bCs/>
                <w:color w:val="000000" w:themeColor="text1"/>
                <w:sz w:val="21"/>
                <w:szCs w:val="21"/>
              </w:rPr>
              <w:t>,</w:t>
            </w:r>
            <w:r w:rsidRPr="00B85A85">
              <w:rPr>
                <w:rFonts w:cstheme="minorHAnsi"/>
                <w:b/>
                <w:bCs/>
                <w:color w:val="000000" w:themeColor="text1"/>
                <w:sz w:val="21"/>
                <w:szCs w:val="21"/>
              </w:rPr>
              <w:t>311</w:t>
            </w:r>
          </w:p>
        </w:tc>
        <w:tc>
          <w:tcPr>
            <w:tcW w:w="773" w:type="pct"/>
            <w:tcBorders>
              <w:top w:val="single" w:sz="4" w:space="0" w:color="auto"/>
              <w:left w:val="nil"/>
              <w:bottom w:val="single" w:sz="12" w:space="0" w:color="auto"/>
              <w:right w:val="nil"/>
            </w:tcBorders>
            <w:shd w:val="clear" w:color="auto" w:fill="auto"/>
            <w:vAlign w:val="bottom"/>
          </w:tcPr>
          <w:p w14:paraId="7085C0AF" w14:textId="5F1312FA" w:rsidR="007527BA" w:rsidRPr="005D79FF" w:rsidRDefault="007527BA" w:rsidP="007527BA">
            <w:pPr>
              <w:tabs>
                <w:tab w:val="right" w:pos="1202"/>
              </w:tabs>
              <w:spacing w:after="0" w:line="301" w:lineRule="exact"/>
              <w:jc w:val="right"/>
              <w:outlineLvl w:val="0"/>
              <w:rPr>
                <w:rFonts w:ascii="Calibri" w:eastAsia="Times New Roman" w:hAnsi="Calibri" w:cs="Times New Roman"/>
                <w:b/>
                <w:color w:val="000000"/>
                <w:sz w:val="21"/>
                <w:szCs w:val="21"/>
                <w:lang w:val="en-US"/>
              </w:rPr>
            </w:pPr>
            <w:r w:rsidRPr="008E5C2B">
              <w:rPr>
                <w:b/>
                <w:bCs/>
                <w:sz w:val="21"/>
                <w:szCs w:val="21"/>
              </w:rPr>
              <w:t xml:space="preserve"> 3</w:t>
            </w:r>
            <w:r w:rsidR="00EB68F0">
              <w:rPr>
                <w:b/>
                <w:bCs/>
                <w:sz w:val="21"/>
                <w:szCs w:val="21"/>
              </w:rPr>
              <w:t>,</w:t>
            </w:r>
            <w:r w:rsidRPr="008E5C2B">
              <w:rPr>
                <w:b/>
                <w:bCs/>
                <w:sz w:val="21"/>
                <w:szCs w:val="21"/>
              </w:rPr>
              <w:t xml:space="preserve">008 </w:t>
            </w:r>
          </w:p>
        </w:tc>
        <w:tc>
          <w:tcPr>
            <w:tcW w:w="775" w:type="pct"/>
            <w:tcBorders>
              <w:top w:val="single" w:sz="4" w:space="0" w:color="auto"/>
              <w:left w:val="nil"/>
              <w:bottom w:val="single" w:sz="12" w:space="0" w:color="auto"/>
              <w:right w:val="nil"/>
            </w:tcBorders>
            <w:shd w:val="clear" w:color="auto" w:fill="auto"/>
            <w:vAlign w:val="bottom"/>
            <w:hideMark/>
          </w:tcPr>
          <w:p w14:paraId="563DFBCC" w14:textId="0573EC7D" w:rsidR="007527BA" w:rsidRPr="00AA05EF" w:rsidRDefault="007527BA" w:rsidP="007527BA">
            <w:pPr>
              <w:tabs>
                <w:tab w:val="right" w:pos="1202"/>
              </w:tabs>
              <w:spacing w:after="0" w:line="301" w:lineRule="exact"/>
              <w:jc w:val="right"/>
              <w:outlineLvl w:val="0"/>
              <w:rPr>
                <w:rFonts w:ascii="Calibri" w:eastAsia="Times New Roman" w:hAnsi="Calibri" w:cs="Times New Roman"/>
                <w:b/>
                <w:color w:val="000000"/>
                <w:sz w:val="21"/>
                <w:szCs w:val="21"/>
                <w:lang w:val="en-US"/>
              </w:rPr>
            </w:pPr>
            <w:r w:rsidRPr="00B85A85">
              <w:rPr>
                <w:rFonts w:cstheme="minorHAnsi"/>
                <w:b/>
                <w:bCs/>
                <w:color w:val="000000" w:themeColor="text1"/>
                <w:sz w:val="21"/>
                <w:szCs w:val="21"/>
              </w:rPr>
              <w:t>4</w:t>
            </w:r>
            <w:r>
              <w:rPr>
                <w:rFonts w:cstheme="minorHAnsi"/>
                <w:b/>
                <w:bCs/>
                <w:color w:val="000000" w:themeColor="text1"/>
                <w:sz w:val="21"/>
                <w:szCs w:val="21"/>
              </w:rPr>
              <w:t>,</w:t>
            </w:r>
            <w:r w:rsidRPr="00B85A85">
              <w:rPr>
                <w:rFonts w:cstheme="minorHAnsi"/>
                <w:b/>
                <w:bCs/>
                <w:color w:val="000000" w:themeColor="text1"/>
                <w:sz w:val="21"/>
                <w:szCs w:val="21"/>
              </w:rPr>
              <w:t>699</w:t>
            </w:r>
          </w:p>
        </w:tc>
      </w:tr>
    </w:tbl>
    <w:p w14:paraId="5B3BE599" w14:textId="77777777" w:rsidR="00CC5E14" w:rsidRPr="00537128" w:rsidRDefault="00CC5E14" w:rsidP="007E6E38">
      <w:pPr>
        <w:tabs>
          <w:tab w:val="left" w:pos="-720"/>
        </w:tabs>
        <w:spacing w:after="0" w:line="240" w:lineRule="auto"/>
        <w:jc w:val="both"/>
        <w:rPr>
          <w:rFonts w:ascii="Calibri" w:eastAsia="Times New Roman" w:hAnsi="Calibri" w:cs="Calibri"/>
          <w:b/>
          <w:color w:val="000000" w:themeColor="text1"/>
          <w:lang w:val="en-US" w:eastAsia="hr-HR"/>
        </w:rPr>
      </w:pPr>
    </w:p>
    <w:p w14:paraId="772109E3" w14:textId="77777777" w:rsidR="007E6E38" w:rsidRPr="00537128" w:rsidRDefault="007E6E38" w:rsidP="007E6E38">
      <w:pPr>
        <w:spacing w:after="0" w:line="240" w:lineRule="auto"/>
        <w:jc w:val="both"/>
        <w:rPr>
          <w:rFonts w:ascii="Calibri" w:eastAsia="Times New Roman" w:hAnsi="Calibri" w:cs="Times New Roman"/>
          <w:color w:val="000000" w:themeColor="text1"/>
          <w:lang w:val="en-US"/>
        </w:rPr>
      </w:pPr>
    </w:p>
    <w:p w14:paraId="49853207" w14:textId="77777777" w:rsidR="007E6E38" w:rsidRPr="00537128" w:rsidRDefault="007E6E38" w:rsidP="007E6E38">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The movements in the loss allowances on other assets may be summarized as follows:</w:t>
      </w:r>
    </w:p>
    <w:p w14:paraId="15DD0FA3" w14:textId="77777777" w:rsidR="007E6E38" w:rsidRPr="00537128" w:rsidRDefault="007E6E38" w:rsidP="007E6E38">
      <w:pPr>
        <w:spacing w:after="0" w:line="240" w:lineRule="auto"/>
        <w:jc w:val="both"/>
        <w:rPr>
          <w:rFonts w:ascii="Calibri" w:eastAsia="Times New Roman" w:hAnsi="Calibri" w:cs="Times New Roman"/>
          <w:color w:val="000000" w:themeColor="text1"/>
          <w:lang w:val="en-US"/>
        </w:rPr>
      </w:pPr>
    </w:p>
    <w:tbl>
      <w:tblPr>
        <w:tblW w:w="5073" w:type="pct"/>
        <w:tblCellMar>
          <w:left w:w="107" w:type="dxa"/>
          <w:right w:w="107" w:type="dxa"/>
        </w:tblCellMar>
        <w:tblLook w:val="04A0" w:firstRow="1" w:lastRow="0" w:firstColumn="1" w:lastColumn="0" w:noHBand="0" w:noVBand="1"/>
      </w:tblPr>
      <w:tblGrid>
        <w:gridCol w:w="4260"/>
        <w:gridCol w:w="1237"/>
        <w:gridCol w:w="1237"/>
        <w:gridCol w:w="1239"/>
        <w:gridCol w:w="1231"/>
      </w:tblGrid>
      <w:tr w:rsidR="00CC5E14" w:rsidRPr="00537128" w14:paraId="5753B399" w14:textId="77777777" w:rsidTr="00CC5E14">
        <w:trPr>
          <w:trHeight w:val="217"/>
        </w:trPr>
        <w:tc>
          <w:tcPr>
            <w:tcW w:w="2314" w:type="pct"/>
          </w:tcPr>
          <w:p w14:paraId="47FD2869" w14:textId="77777777" w:rsidR="00CC5E14" w:rsidRPr="00537128" w:rsidRDefault="00CC5E14" w:rsidP="00CC5E14">
            <w:pPr>
              <w:spacing w:after="0" w:line="240" w:lineRule="auto"/>
              <w:rPr>
                <w:rFonts w:ascii="Calibri" w:eastAsia="Calibri" w:hAnsi="Calibri" w:cs="Arial"/>
                <w:b/>
                <w:spacing w:val="-3"/>
                <w:sz w:val="21"/>
                <w:szCs w:val="21"/>
                <w:lang w:val="en-US"/>
              </w:rPr>
            </w:pPr>
          </w:p>
        </w:tc>
        <w:tc>
          <w:tcPr>
            <w:tcW w:w="672" w:type="pct"/>
          </w:tcPr>
          <w:p w14:paraId="560410DF" w14:textId="77777777"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p>
        </w:tc>
        <w:tc>
          <w:tcPr>
            <w:tcW w:w="672" w:type="pct"/>
            <w:hideMark/>
          </w:tcPr>
          <w:p w14:paraId="750814D9" w14:textId="77777777"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Calibri" w:hAnsi="Calibri" w:cs="Arial"/>
                <w:b/>
                <w:sz w:val="21"/>
                <w:szCs w:val="21"/>
                <w:lang w:val="en-US"/>
              </w:rPr>
              <w:t>Group</w:t>
            </w:r>
          </w:p>
        </w:tc>
        <w:tc>
          <w:tcPr>
            <w:tcW w:w="673" w:type="pct"/>
            <w:vAlign w:val="center"/>
          </w:tcPr>
          <w:p w14:paraId="5214C0DE" w14:textId="77777777"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p>
        </w:tc>
        <w:tc>
          <w:tcPr>
            <w:tcW w:w="669" w:type="pct"/>
            <w:vAlign w:val="center"/>
            <w:hideMark/>
          </w:tcPr>
          <w:p w14:paraId="0137DE31" w14:textId="77777777"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Calibri" w:hAnsi="Calibri" w:cs="Arial"/>
                <w:b/>
                <w:sz w:val="21"/>
                <w:szCs w:val="21"/>
                <w:lang w:val="en-US"/>
              </w:rPr>
              <w:t>Bank</w:t>
            </w:r>
          </w:p>
        </w:tc>
      </w:tr>
      <w:tr w:rsidR="00CC5E14" w:rsidRPr="00537128" w14:paraId="3E90046D" w14:textId="77777777" w:rsidTr="00CC5E14">
        <w:trPr>
          <w:trHeight w:val="217"/>
        </w:trPr>
        <w:tc>
          <w:tcPr>
            <w:tcW w:w="2314" w:type="pct"/>
          </w:tcPr>
          <w:p w14:paraId="411DDE75" w14:textId="77777777" w:rsidR="00CC5E14" w:rsidRPr="00537128" w:rsidRDefault="00CC5E14" w:rsidP="00CC5E14">
            <w:pPr>
              <w:spacing w:after="0" w:line="240" w:lineRule="auto"/>
              <w:rPr>
                <w:rFonts w:ascii="Calibri" w:eastAsia="Calibri" w:hAnsi="Calibri" w:cs="Arial"/>
                <w:b/>
                <w:spacing w:val="-3"/>
                <w:sz w:val="21"/>
                <w:szCs w:val="21"/>
                <w:lang w:val="en-US"/>
              </w:rPr>
            </w:pPr>
          </w:p>
        </w:tc>
        <w:tc>
          <w:tcPr>
            <w:tcW w:w="672" w:type="pct"/>
            <w:vAlign w:val="bottom"/>
            <w:hideMark/>
          </w:tcPr>
          <w:p w14:paraId="31EC06B2" w14:textId="134B6E51"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Calibri" w:hAnsi="Calibri" w:cs="Calibri"/>
                <w:b/>
                <w:bCs/>
                <w:noProof/>
                <w:sz w:val="21"/>
                <w:szCs w:val="21"/>
                <w:lang w:val="en-US"/>
              </w:rPr>
              <w:t>Jan 1 - Mar 31, 202</w:t>
            </w:r>
            <w:r w:rsidR="00944CA9">
              <w:rPr>
                <w:rFonts w:ascii="Calibri" w:eastAsia="Calibri" w:hAnsi="Calibri" w:cs="Calibri"/>
                <w:b/>
                <w:bCs/>
                <w:noProof/>
                <w:sz w:val="21"/>
                <w:szCs w:val="21"/>
                <w:lang w:val="en-US"/>
              </w:rPr>
              <w:t>2</w:t>
            </w:r>
          </w:p>
        </w:tc>
        <w:tc>
          <w:tcPr>
            <w:tcW w:w="672" w:type="pct"/>
            <w:vAlign w:val="bottom"/>
            <w:hideMark/>
          </w:tcPr>
          <w:p w14:paraId="46C9AC7C" w14:textId="3EAFE518"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Calibri" w:hAnsi="Calibri" w:cs="Calibri"/>
                <w:b/>
                <w:bCs/>
                <w:noProof/>
                <w:sz w:val="21"/>
                <w:szCs w:val="21"/>
                <w:lang w:val="en-US"/>
              </w:rPr>
              <w:t>Jan 1 - Dec 31, 202</w:t>
            </w:r>
            <w:r w:rsidR="009D0D05">
              <w:rPr>
                <w:rFonts w:ascii="Calibri" w:eastAsia="Calibri" w:hAnsi="Calibri" w:cs="Calibri"/>
                <w:b/>
                <w:bCs/>
                <w:noProof/>
                <w:sz w:val="21"/>
                <w:szCs w:val="21"/>
                <w:lang w:val="en-US"/>
              </w:rPr>
              <w:t>1</w:t>
            </w:r>
          </w:p>
        </w:tc>
        <w:tc>
          <w:tcPr>
            <w:tcW w:w="673" w:type="pct"/>
            <w:vAlign w:val="bottom"/>
            <w:hideMark/>
          </w:tcPr>
          <w:p w14:paraId="41EAF860" w14:textId="50251744"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Calibri" w:hAnsi="Calibri" w:cs="Calibri"/>
                <w:b/>
                <w:bCs/>
                <w:noProof/>
                <w:sz w:val="21"/>
                <w:szCs w:val="21"/>
                <w:lang w:val="en-US"/>
              </w:rPr>
              <w:t>Jan 1 - Mar 31, 202</w:t>
            </w:r>
            <w:r w:rsidR="009D0D05">
              <w:rPr>
                <w:rFonts w:ascii="Calibri" w:eastAsia="Calibri" w:hAnsi="Calibri" w:cs="Calibri"/>
                <w:b/>
                <w:bCs/>
                <w:noProof/>
                <w:sz w:val="21"/>
                <w:szCs w:val="21"/>
                <w:lang w:val="en-US"/>
              </w:rPr>
              <w:t>2</w:t>
            </w:r>
          </w:p>
        </w:tc>
        <w:tc>
          <w:tcPr>
            <w:tcW w:w="669" w:type="pct"/>
            <w:vAlign w:val="bottom"/>
            <w:hideMark/>
          </w:tcPr>
          <w:p w14:paraId="6E4740DB" w14:textId="591E7440"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Calibri" w:hAnsi="Calibri" w:cs="Calibri"/>
                <w:b/>
                <w:bCs/>
                <w:noProof/>
                <w:sz w:val="21"/>
                <w:szCs w:val="21"/>
                <w:lang w:val="en-US"/>
              </w:rPr>
              <w:t>Jan 1 - Dec 31, 202</w:t>
            </w:r>
            <w:r w:rsidR="009D0D05">
              <w:rPr>
                <w:rFonts w:ascii="Calibri" w:eastAsia="Calibri" w:hAnsi="Calibri" w:cs="Calibri"/>
                <w:b/>
                <w:bCs/>
                <w:noProof/>
                <w:sz w:val="21"/>
                <w:szCs w:val="21"/>
                <w:lang w:val="en-US"/>
              </w:rPr>
              <w:t>1</w:t>
            </w:r>
          </w:p>
        </w:tc>
      </w:tr>
      <w:tr w:rsidR="00CC5E14" w:rsidRPr="00537128" w14:paraId="289ADBC7" w14:textId="77777777" w:rsidTr="00CC5E14">
        <w:trPr>
          <w:trHeight w:val="217"/>
        </w:trPr>
        <w:tc>
          <w:tcPr>
            <w:tcW w:w="2314" w:type="pct"/>
          </w:tcPr>
          <w:p w14:paraId="36068E9C" w14:textId="77777777" w:rsidR="00CC5E14" w:rsidRPr="00537128" w:rsidRDefault="00CC5E14" w:rsidP="00CC5E14">
            <w:pPr>
              <w:spacing w:after="0" w:line="240" w:lineRule="auto"/>
              <w:rPr>
                <w:rFonts w:ascii="Calibri" w:eastAsia="Calibri" w:hAnsi="Calibri" w:cs="Arial"/>
                <w:b/>
                <w:spacing w:val="-3"/>
                <w:sz w:val="21"/>
                <w:szCs w:val="21"/>
                <w:lang w:val="en-US"/>
              </w:rPr>
            </w:pPr>
          </w:p>
        </w:tc>
        <w:tc>
          <w:tcPr>
            <w:tcW w:w="672" w:type="pct"/>
            <w:vAlign w:val="bottom"/>
            <w:hideMark/>
          </w:tcPr>
          <w:p w14:paraId="3499B550" w14:textId="3F2D0759"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Calibri" w:hAnsi="Calibri" w:cs="Arial"/>
                <w:b/>
                <w:bCs/>
                <w:noProof/>
                <w:sz w:val="21"/>
                <w:szCs w:val="21"/>
                <w:lang w:val="en-US"/>
              </w:rPr>
              <w:t xml:space="preserve">HRK </w:t>
            </w:r>
            <w:r w:rsidR="00667B74">
              <w:rPr>
                <w:rFonts w:ascii="Calibri" w:eastAsia="Calibri" w:hAnsi="Calibri" w:cs="Arial"/>
                <w:b/>
                <w:bCs/>
                <w:noProof/>
                <w:sz w:val="21"/>
                <w:szCs w:val="21"/>
                <w:lang w:val="en-US"/>
              </w:rPr>
              <w:t>‘</w:t>
            </w:r>
            <w:r w:rsidRPr="00537128">
              <w:rPr>
                <w:rFonts w:ascii="Calibri" w:eastAsia="Calibri" w:hAnsi="Calibri" w:cs="Arial"/>
                <w:b/>
                <w:bCs/>
                <w:noProof/>
                <w:sz w:val="21"/>
                <w:szCs w:val="21"/>
                <w:lang w:val="en-US"/>
              </w:rPr>
              <w:t>000</w:t>
            </w:r>
          </w:p>
        </w:tc>
        <w:tc>
          <w:tcPr>
            <w:tcW w:w="672" w:type="pct"/>
            <w:vAlign w:val="bottom"/>
            <w:hideMark/>
          </w:tcPr>
          <w:p w14:paraId="07CD9236" w14:textId="3E8ACB2E"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Calibri" w:hAnsi="Calibri" w:cs="Arial"/>
                <w:b/>
                <w:bCs/>
                <w:noProof/>
                <w:sz w:val="21"/>
                <w:szCs w:val="21"/>
                <w:lang w:val="en-US"/>
              </w:rPr>
              <w:t xml:space="preserve">HRK </w:t>
            </w:r>
            <w:r w:rsidR="00667B74">
              <w:rPr>
                <w:rFonts w:ascii="Calibri" w:eastAsia="Calibri" w:hAnsi="Calibri" w:cs="Arial"/>
                <w:b/>
                <w:bCs/>
                <w:noProof/>
                <w:sz w:val="21"/>
                <w:szCs w:val="21"/>
                <w:lang w:val="en-US"/>
              </w:rPr>
              <w:t>‘</w:t>
            </w:r>
            <w:r w:rsidRPr="00537128">
              <w:rPr>
                <w:rFonts w:ascii="Calibri" w:eastAsia="Calibri" w:hAnsi="Calibri" w:cs="Arial"/>
                <w:b/>
                <w:bCs/>
                <w:noProof/>
                <w:sz w:val="21"/>
                <w:szCs w:val="21"/>
                <w:lang w:val="en-US"/>
              </w:rPr>
              <w:t>000</w:t>
            </w:r>
          </w:p>
        </w:tc>
        <w:tc>
          <w:tcPr>
            <w:tcW w:w="673" w:type="pct"/>
            <w:vAlign w:val="bottom"/>
            <w:hideMark/>
          </w:tcPr>
          <w:p w14:paraId="746ED46A" w14:textId="44468C59"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Calibri" w:hAnsi="Calibri" w:cs="Arial"/>
                <w:b/>
                <w:bCs/>
                <w:noProof/>
                <w:sz w:val="21"/>
                <w:szCs w:val="21"/>
                <w:lang w:val="en-US"/>
              </w:rPr>
              <w:t xml:space="preserve">HRK </w:t>
            </w:r>
            <w:r w:rsidR="00667B74">
              <w:rPr>
                <w:rFonts w:ascii="Calibri" w:eastAsia="Calibri" w:hAnsi="Calibri" w:cs="Arial"/>
                <w:b/>
                <w:bCs/>
                <w:noProof/>
                <w:sz w:val="21"/>
                <w:szCs w:val="21"/>
                <w:lang w:val="en-US"/>
              </w:rPr>
              <w:t>‘</w:t>
            </w:r>
            <w:r w:rsidRPr="00537128">
              <w:rPr>
                <w:rFonts w:ascii="Calibri" w:eastAsia="Calibri" w:hAnsi="Calibri" w:cs="Arial"/>
                <w:b/>
                <w:bCs/>
                <w:noProof/>
                <w:sz w:val="21"/>
                <w:szCs w:val="21"/>
                <w:lang w:val="en-US"/>
              </w:rPr>
              <w:t>000</w:t>
            </w:r>
          </w:p>
        </w:tc>
        <w:tc>
          <w:tcPr>
            <w:tcW w:w="669" w:type="pct"/>
            <w:vAlign w:val="bottom"/>
            <w:hideMark/>
          </w:tcPr>
          <w:p w14:paraId="5AD7EC8E" w14:textId="0AC2E7B8"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Calibri" w:hAnsi="Calibri" w:cs="Arial"/>
                <w:b/>
                <w:bCs/>
                <w:noProof/>
                <w:sz w:val="21"/>
                <w:szCs w:val="21"/>
                <w:lang w:val="en-US"/>
              </w:rPr>
              <w:t xml:space="preserve">HRK </w:t>
            </w:r>
            <w:r w:rsidR="00667B74">
              <w:rPr>
                <w:rFonts w:ascii="Calibri" w:eastAsia="Calibri" w:hAnsi="Calibri" w:cs="Arial"/>
                <w:b/>
                <w:bCs/>
                <w:noProof/>
                <w:sz w:val="21"/>
                <w:szCs w:val="21"/>
                <w:lang w:val="en-US"/>
              </w:rPr>
              <w:t>‘</w:t>
            </w:r>
            <w:r w:rsidRPr="00537128">
              <w:rPr>
                <w:rFonts w:ascii="Calibri" w:eastAsia="Calibri" w:hAnsi="Calibri" w:cs="Arial"/>
                <w:b/>
                <w:bCs/>
                <w:noProof/>
                <w:sz w:val="21"/>
                <w:szCs w:val="21"/>
                <w:lang w:val="en-US"/>
              </w:rPr>
              <w:t>000</w:t>
            </w:r>
          </w:p>
        </w:tc>
      </w:tr>
      <w:tr w:rsidR="00EB68F0" w:rsidRPr="00537128" w14:paraId="48B6945D" w14:textId="77777777" w:rsidTr="003C3F70">
        <w:trPr>
          <w:trHeight w:val="495"/>
        </w:trPr>
        <w:tc>
          <w:tcPr>
            <w:tcW w:w="2314" w:type="pct"/>
            <w:vAlign w:val="bottom"/>
            <w:hideMark/>
          </w:tcPr>
          <w:p w14:paraId="57EE331D" w14:textId="77777777" w:rsidR="00EB68F0" w:rsidRPr="00537128" w:rsidRDefault="00EB68F0" w:rsidP="00EB68F0">
            <w:pPr>
              <w:tabs>
                <w:tab w:val="right" w:pos="1202"/>
              </w:tabs>
              <w:spacing w:after="0" w:line="340" w:lineRule="exact"/>
              <w:outlineLvl w:val="0"/>
              <w:rPr>
                <w:rFonts w:ascii="Calibri" w:eastAsia="Calibri" w:hAnsi="Calibri" w:cs="Arial"/>
                <w:bCs/>
                <w:sz w:val="21"/>
                <w:szCs w:val="21"/>
                <w:lang w:val="en-US"/>
              </w:rPr>
            </w:pPr>
            <w:r w:rsidRPr="00537128">
              <w:rPr>
                <w:rFonts w:ascii="Calibri" w:eastAsia="Calibri" w:hAnsi="Calibri" w:cs="Arial"/>
                <w:bCs/>
                <w:sz w:val="21"/>
                <w:szCs w:val="21"/>
                <w:lang w:val="en-US"/>
              </w:rPr>
              <w:t xml:space="preserve">Balance as of 1 January </w:t>
            </w:r>
          </w:p>
        </w:tc>
        <w:tc>
          <w:tcPr>
            <w:tcW w:w="672" w:type="pct"/>
            <w:tcBorders>
              <w:top w:val="nil"/>
              <w:left w:val="nil"/>
              <w:bottom w:val="nil"/>
              <w:right w:val="nil"/>
            </w:tcBorders>
            <w:shd w:val="clear" w:color="auto" w:fill="auto"/>
            <w:vAlign w:val="bottom"/>
          </w:tcPr>
          <w:p w14:paraId="682BC6DC" w14:textId="1C345B35" w:rsidR="00EB68F0" w:rsidRPr="00537128" w:rsidRDefault="00EB68F0" w:rsidP="00EB68F0">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sz w:val="21"/>
                <w:szCs w:val="21"/>
              </w:rPr>
              <w:t>31,851</w:t>
            </w:r>
          </w:p>
        </w:tc>
        <w:tc>
          <w:tcPr>
            <w:tcW w:w="672" w:type="pct"/>
            <w:vAlign w:val="bottom"/>
          </w:tcPr>
          <w:p w14:paraId="7278D244" w14:textId="583141EB" w:rsidR="00EB68F0" w:rsidRPr="00537128" w:rsidRDefault="00EB68F0" w:rsidP="00EB68F0">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themeColor="text1"/>
                <w:sz w:val="21"/>
                <w:szCs w:val="21"/>
              </w:rPr>
              <w:t>34,536</w:t>
            </w:r>
          </w:p>
        </w:tc>
        <w:tc>
          <w:tcPr>
            <w:tcW w:w="673" w:type="pct"/>
            <w:tcBorders>
              <w:top w:val="nil"/>
              <w:left w:val="nil"/>
              <w:bottom w:val="nil"/>
              <w:right w:val="nil"/>
            </w:tcBorders>
            <w:shd w:val="clear" w:color="000000" w:fill="auto"/>
            <w:vAlign w:val="bottom"/>
          </w:tcPr>
          <w:p w14:paraId="20276D92" w14:textId="35C34228" w:rsidR="00EB68F0" w:rsidRPr="00537128" w:rsidRDefault="00EB68F0" w:rsidP="00EB68F0">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sz w:val="21"/>
                <w:szCs w:val="21"/>
              </w:rPr>
              <w:t>31,697</w:t>
            </w:r>
          </w:p>
        </w:tc>
        <w:tc>
          <w:tcPr>
            <w:tcW w:w="669" w:type="pct"/>
            <w:vAlign w:val="bottom"/>
            <w:hideMark/>
          </w:tcPr>
          <w:p w14:paraId="23A33F0D" w14:textId="40F85B1E" w:rsidR="00EB68F0" w:rsidRPr="00537128" w:rsidRDefault="00EB68F0" w:rsidP="00EB68F0">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themeColor="text1"/>
                <w:sz w:val="21"/>
                <w:szCs w:val="21"/>
              </w:rPr>
              <w:t>34,396</w:t>
            </w:r>
          </w:p>
        </w:tc>
      </w:tr>
      <w:tr w:rsidR="00EB68F0" w:rsidRPr="00537128" w14:paraId="23B2B53E" w14:textId="77777777" w:rsidTr="009D0D05">
        <w:trPr>
          <w:trHeight w:val="370"/>
        </w:trPr>
        <w:tc>
          <w:tcPr>
            <w:tcW w:w="2314" w:type="pct"/>
            <w:vAlign w:val="bottom"/>
            <w:hideMark/>
          </w:tcPr>
          <w:p w14:paraId="1F6687EF" w14:textId="3576CBD4" w:rsidR="00EB68F0" w:rsidRPr="00537128" w:rsidRDefault="00EB68F0" w:rsidP="00EB68F0">
            <w:pPr>
              <w:tabs>
                <w:tab w:val="right" w:pos="1202"/>
              </w:tabs>
              <w:spacing w:after="0" w:line="240" w:lineRule="auto"/>
              <w:outlineLvl w:val="0"/>
              <w:rPr>
                <w:rFonts w:ascii="Calibri" w:eastAsia="Calibri" w:hAnsi="Calibri" w:cs="Arial"/>
                <w:b/>
                <w:bCs/>
                <w:sz w:val="21"/>
                <w:szCs w:val="21"/>
                <w:lang w:val="en-US"/>
              </w:rPr>
            </w:pPr>
            <w:r w:rsidRPr="00537128">
              <w:rPr>
                <w:rFonts w:ascii="Calibri" w:eastAsia="Calibri" w:hAnsi="Calibri" w:cs="Arial"/>
                <w:sz w:val="21"/>
                <w:szCs w:val="21"/>
                <w:lang w:val="en-US"/>
              </w:rPr>
              <w:t xml:space="preserve">Net </w:t>
            </w:r>
            <w:r>
              <w:rPr>
                <w:rFonts w:ascii="Calibri" w:eastAsia="Calibri" w:hAnsi="Calibri" w:cs="Arial"/>
                <w:sz w:val="21"/>
                <w:szCs w:val="21"/>
                <w:lang w:val="en-US"/>
              </w:rPr>
              <w:t>increase/</w:t>
            </w:r>
            <w:r w:rsidRPr="00537128">
              <w:rPr>
                <w:rFonts w:ascii="Calibri" w:eastAsia="Calibri" w:hAnsi="Calibri" w:cs="Arial"/>
                <w:sz w:val="21"/>
                <w:szCs w:val="21"/>
                <w:lang w:val="en-US"/>
              </w:rPr>
              <w:t>(</w:t>
            </w:r>
            <w:r w:rsidRPr="002A1AB7">
              <w:rPr>
                <w:rFonts w:ascii="Calibri" w:eastAsia="Calibri" w:hAnsi="Calibri" w:cs="Arial"/>
                <w:sz w:val="21"/>
                <w:szCs w:val="21"/>
                <w:lang w:val="en-US"/>
              </w:rPr>
              <w:t>decrease</w:t>
            </w:r>
            <w:r w:rsidRPr="00537128">
              <w:rPr>
                <w:rFonts w:ascii="Calibri" w:eastAsia="Times New Roman" w:hAnsi="Calibri" w:cs="Calibri"/>
                <w:bCs/>
                <w:sz w:val="21"/>
                <w:szCs w:val="21"/>
                <w:lang w:val="en-US"/>
              </w:rPr>
              <w:t>)</w:t>
            </w:r>
            <w:r w:rsidRPr="00537128">
              <w:rPr>
                <w:rFonts w:ascii="Calibri" w:eastAsia="Calibri" w:hAnsi="Calibri" w:cs="Arial"/>
                <w:sz w:val="21"/>
                <w:szCs w:val="21"/>
                <w:lang w:val="en-US"/>
              </w:rPr>
              <w:t xml:space="preserve"> of loss allowances on other assets</w:t>
            </w:r>
          </w:p>
        </w:tc>
        <w:tc>
          <w:tcPr>
            <w:tcW w:w="672" w:type="pct"/>
            <w:tcBorders>
              <w:top w:val="nil"/>
              <w:left w:val="nil"/>
              <w:bottom w:val="nil"/>
              <w:right w:val="nil"/>
            </w:tcBorders>
            <w:shd w:val="clear" w:color="auto" w:fill="auto"/>
            <w:vAlign w:val="bottom"/>
          </w:tcPr>
          <w:p w14:paraId="3B798EA0" w14:textId="5557C2DC" w:rsidR="00EB68F0" w:rsidRPr="00537128" w:rsidRDefault="00EB68F0" w:rsidP="00EB68F0">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sz w:val="21"/>
                <w:szCs w:val="21"/>
              </w:rPr>
              <w:t>2,112</w:t>
            </w:r>
          </w:p>
        </w:tc>
        <w:tc>
          <w:tcPr>
            <w:tcW w:w="672" w:type="pct"/>
            <w:vAlign w:val="bottom"/>
          </w:tcPr>
          <w:p w14:paraId="41616FCF" w14:textId="3B801F59" w:rsidR="00EB68F0" w:rsidRPr="00537128" w:rsidRDefault="00EB68F0" w:rsidP="00EB68F0">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themeColor="text1"/>
                <w:sz w:val="21"/>
                <w:szCs w:val="21"/>
              </w:rPr>
              <w:t>(2,542)</w:t>
            </w:r>
          </w:p>
        </w:tc>
        <w:tc>
          <w:tcPr>
            <w:tcW w:w="673" w:type="pct"/>
            <w:tcBorders>
              <w:top w:val="nil"/>
              <w:left w:val="nil"/>
              <w:bottom w:val="nil"/>
              <w:right w:val="nil"/>
            </w:tcBorders>
            <w:shd w:val="clear" w:color="auto" w:fill="auto"/>
            <w:vAlign w:val="bottom"/>
          </w:tcPr>
          <w:p w14:paraId="520B3050" w14:textId="547A2C8B" w:rsidR="00EB68F0" w:rsidRPr="00537128" w:rsidRDefault="00EB68F0" w:rsidP="00EB68F0">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sz w:val="21"/>
                <w:szCs w:val="21"/>
              </w:rPr>
              <w:t>2,081</w:t>
            </w:r>
          </w:p>
        </w:tc>
        <w:tc>
          <w:tcPr>
            <w:tcW w:w="669" w:type="pct"/>
            <w:vAlign w:val="bottom"/>
            <w:hideMark/>
          </w:tcPr>
          <w:p w14:paraId="12495E48" w14:textId="46A788F3" w:rsidR="00EB68F0" w:rsidRPr="00537128" w:rsidRDefault="00EB68F0" w:rsidP="00EB68F0">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themeColor="text1"/>
                <w:sz w:val="21"/>
                <w:szCs w:val="21"/>
              </w:rPr>
              <w:t>(2,551)</w:t>
            </w:r>
          </w:p>
        </w:tc>
      </w:tr>
      <w:tr w:rsidR="00EB68F0" w:rsidRPr="00537128" w14:paraId="646F075D" w14:textId="77777777" w:rsidTr="009D0D05">
        <w:trPr>
          <w:trHeight w:val="527"/>
        </w:trPr>
        <w:tc>
          <w:tcPr>
            <w:tcW w:w="2314" w:type="pct"/>
            <w:vAlign w:val="bottom"/>
            <w:hideMark/>
          </w:tcPr>
          <w:p w14:paraId="19DFD122" w14:textId="57C2EEE8" w:rsidR="00EB68F0" w:rsidRPr="00A43303" w:rsidRDefault="00EB68F0" w:rsidP="00EB68F0">
            <w:pPr>
              <w:tabs>
                <w:tab w:val="right" w:pos="1202"/>
              </w:tabs>
              <w:spacing w:after="0" w:line="240" w:lineRule="auto"/>
              <w:outlineLvl w:val="0"/>
              <w:rPr>
                <w:rFonts w:ascii="Calibri" w:eastAsia="Calibri" w:hAnsi="Calibri" w:cs="Arial"/>
                <w:i/>
                <w:sz w:val="21"/>
                <w:szCs w:val="21"/>
                <w:lang w:val="en-US"/>
              </w:rPr>
            </w:pPr>
            <w:r w:rsidRPr="00A43303">
              <w:rPr>
                <w:rFonts w:ascii="Calibri" w:eastAsia="Calibri" w:hAnsi="Calibri" w:cs="Arial"/>
                <w:i/>
                <w:sz w:val="21"/>
                <w:szCs w:val="21"/>
                <w:lang w:val="en-US"/>
              </w:rPr>
              <w:t xml:space="preserve">Total </w:t>
            </w:r>
            <w:proofErr w:type="spellStart"/>
            <w:r w:rsidRPr="00A43303">
              <w:rPr>
                <w:rFonts w:ascii="Calibri" w:eastAsia="Calibri" w:hAnsi="Calibri" w:cs="Arial"/>
                <w:i/>
                <w:sz w:val="21"/>
                <w:szCs w:val="21"/>
                <w:lang w:val="en-US"/>
              </w:rPr>
              <w:t>recognised</w:t>
            </w:r>
            <w:proofErr w:type="spellEnd"/>
            <w:r w:rsidRPr="00A43303">
              <w:rPr>
                <w:rFonts w:ascii="Calibri" w:eastAsia="Calibri" w:hAnsi="Calibri" w:cs="Arial"/>
                <w:i/>
                <w:sz w:val="21"/>
                <w:szCs w:val="21"/>
                <w:lang w:val="en-US"/>
              </w:rPr>
              <w:t xml:space="preserve"> through Income statement </w:t>
            </w:r>
            <w:r w:rsidRPr="00A1123E">
              <w:rPr>
                <w:rFonts w:ascii="Calibri" w:eastAsia="Calibri" w:hAnsi="Calibri" w:cs="Arial"/>
                <w:i/>
                <w:sz w:val="21"/>
                <w:szCs w:val="21"/>
                <w:lang w:val="en-US"/>
              </w:rPr>
              <w:t>(Note 8</w:t>
            </w:r>
            <w:r w:rsidRPr="00A43303">
              <w:rPr>
                <w:rFonts w:ascii="Calibri" w:eastAsia="Calibri" w:hAnsi="Calibri" w:cs="Arial"/>
                <w:i/>
                <w:sz w:val="21"/>
                <w:szCs w:val="21"/>
                <w:lang w:val="en-US"/>
              </w:rPr>
              <w:t>)</w:t>
            </w:r>
          </w:p>
        </w:tc>
        <w:tc>
          <w:tcPr>
            <w:tcW w:w="672" w:type="pct"/>
            <w:tcBorders>
              <w:top w:val="single" w:sz="4" w:space="0" w:color="auto"/>
              <w:left w:val="nil"/>
              <w:bottom w:val="single" w:sz="4" w:space="0" w:color="auto"/>
              <w:right w:val="nil"/>
            </w:tcBorders>
            <w:shd w:val="clear" w:color="auto" w:fill="auto"/>
            <w:vAlign w:val="bottom"/>
          </w:tcPr>
          <w:p w14:paraId="3A66D560" w14:textId="50253BD4" w:rsidR="00EB68F0" w:rsidRPr="00537128" w:rsidRDefault="00EB68F0" w:rsidP="00EB68F0">
            <w:pPr>
              <w:tabs>
                <w:tab w:val="right" w:pos="1202"/>
              </w:tabs>
              <w:spacing w:after="0" w:line="340" w:lineRule="exact"/>
              <w:jc w:val="right"/>
              <w:outlineLvl w:val="0"/>
              <w:rPr>
                <w:rFonts w:ascii="Calibri" w:eastAsia="Calibri" w:hAnsi="Calibri" w:cs="Arial"/>
                <w:bCs/>
                <w:i/>
                <w:sz w:val="21"/>
                <w:szCs w:val="21"/>
                <w:lang w:val="en-US"/>
              </w:rPr>
            </w:pPr>
            <w:r>
              <w:rPr>
                <w:rFonts w:ascii="Calibri" w:eastAsia="Calibri" w:hAnsi="Calibri" w:cs="Calibri"/>
                <w:bCs/>
                <w:i/>
                <w:color w:val="000000"/>
                <w:sz w:val="21"/>
                <w:szCs w:val="21"/>
              </w:rPr>
              <w:t>2,112</w:t>
            </w:r>
          </w:p>
        </w:tc>
        <w:tc>
          <w:tcPr>
            <w:tcW w:w="672" w:type="pct"/>
            <w:tcBorders>
              <w:top w:val="single" w:sz="4" w:space="0" w:color="auto"/>
              <w:left w:val="nil"/>
              <w:bottom w:val="single" w:sz="4" w:space="0" w:color="auto"/>
              <w:right w:val="nil"/>
            </w:tcBorders>
            <w:vAlign w:val="bottom"/>
          </w:tcPr>
          <w:p w14:paraId="16149D6B" w14:textId="4313149C" w:rsidR="00EB68F0" w:rsidRPr="00537128" w:rsidRDefault="00EB68F0" w:rsidP="00EB68F0">
            <w:pPr>
              <w:tabs>
                <w:tab w:val="right" w:pos="1202"/>
              </w:tabs>
              <w:spacing w:after="0" w:line="340" w:lineRule="exact"/>
              <w:jc w:val="right"/>
              <w:outlineLvl w:val="0"/>
              <w:rPr>
                <w:rFonts w:ascii="Calibri" w:eastAsia="Calibri" w:hAnsi="Calibri" w:cs="Arial"/>
                <w:bCs/>
                <w:i/>
                <w:sz w:val="21"/>
                <w:szCs w:val="21"/>
                <w:lang w:val="en-US"/>
              </w:rPr>
            </w:pPr>
            <w:r>
              <w:rPr>
                <w:rFonts w:ascii="Calibri" w:eastAsia="Calibri" w:hAnsi="Calibri" w:cs="Calibri"/>
                <w:bCs/>
                <w:i/>
                <w:color w:val="000000" w:themeColor="text1"/>
                <w:sz w:val="21"/>
                <w:szCs w:val="21"/>
              </w:rPr>
              <w:t>(2,542)</w:t>
            </w:r>
          </w:p>
        </w:tc>
        <w:tc>
          <w:tcPr>
            <w:tcW w:w="673" w:type="pct"/>
            <w:tcBorders>
              <w:top w:val="single" w:sz="4" w:space="0" w:color="auto"/>
              <w:left w:val="nil"/>
              <w:bottom w:val="single" w:sz="4" w:space="0" w:color="auto"/>
              <w:right w:val="nil"/>
            </w:tcBorders>
            <w:shd w:val="clear" w:color="auto" w:fill="auto"/>
            <w:vAlign w:val="bottom"/>
          </w:tcPr>
          <w:p w14:paraId="2FE7C7AC" w14:textId="0908D794" w:rsidR="00EB68F0" w:rsidRPr="00537128" w:rsidRDefault="00EB68F0" w:rsidP="00EB68F0">
            <w:pPr>
              <w:tabs>
                <w:tab w:val="right" w:pos="1202"/>
              </w:tabs>
              <w:spacing w:after="0" w:line="340" w:lineRule="exact"/>
              <w:jc w:val="right"/>
              <w:outlineLvl w:val="0"/>
              <w:rPr>
                <w:rFonts w:ascii="Calibri" w:eastAsia="Calibri" w:hAnsi="Calibri" w:cs="Arial"/>
                <w:bCs/>
                <w:i/>
                <w:sz w:val="21"/>
                <w:szCs w:val="21"/>
                <w:lang w:val="en-US"/>
              </w:rPr>
            </w:pPr>
            <w:r>
              <w:rPr>
                <w:rFonts w:ascii="Calibri" w:eastAsia="Calibri" w:hAnsi="Calibri" w:cs="Calibri"/>
                <w:bCs/>
                <w:i/>
                <w:color w:val="000000"/>
                <w:sz w:val="21"/>
                <w:szCs w:val="21"/>
              </w:rPr>
              <w:t>2,081</w:t>
            </w:r>
          </w:p>
        </w:tc>
        <w:tc>
          <w:tcPr>
            <w:tcW w:w="669" w:type="pct"/>
            <w:tcBorders>
              <w:top w:val="single" w:sz="4" w:space="0" w:color="auto"/>
              <w:left w:val="nil"/>
              <w:bottom w:val="single" w:sz="4" w:space="0" w:color="auto"/>
              <w:right w:val="nil"/>
            </w:tcBorders>
            <w:vAlign w:val="bottom"/>
            <w:hideMark/>
          </w:tcPr>
          <w:p w14:paraId="69E3D4FE" w14:textId="6BD8B9E3" w:rsidR="00EB68F0" w:rsidRPr="00537128" w:rsidRDefault="00EB68F0" w:rsidP="00EB68F0">
            <w:pPr>
              <w:tabs>
                <w:tab w:val="right" w:pos="1202"/>
              </w:tabs>
              <w:spacing w:after="0" w:line="340" w:lineRule="exact"/>
              <w:jc w:val="right"/>
              <w:outlineLvl w:val="0"/>
              <w:rPr>
                <w:rFonts w:ascii="Calibri" w:eastAsia="Calibri" w:hAnsi="Calibri" w:cs="Arial"/>
                <w:bCs/>
                <w:i/>
                <w:sz w:val="21"/>
                <w:szCs w:val="21"/>
                <w:lang w:val="en-US"/>
              </w:rPr>
            </w:pPr>
            <w:r>
              <w:rPr>
                <w:rFonts w:ascii="Calibri" w:eastAsia="Calibri" w:hAnsi="Calibri" w:cs="Calibri"/>
                <w:bCs/>
                <w:i/>
                <w:color w:val="000000" w:themeColor="text1"/>
                <w:sz w:val="21"/>
                <w:szCs w:val="21"/>
              </w:rPr>
              <w:t>(2,551)</w:t>
            </w:r>
          </w:p>
        </w:tc>
      </w:tr>
      <w:tr w:rsidR="00EB68F0" w:rsidRPr="00537128" w14:paraId="3926A5DF" w14:textId="77777777" w:rsidTr="003C3F70">
        <w:trPr>
          <w:trHeight w:hRule="exact" w:val="284"/>
        </w:trPr>
        <w:tc>
          <w:tcPr>
            <w:tcW w:w="2314" w:type="pct"/>
            <w:vAlign w:val="bottom"/>
          </w:tcPr>
          <w:p w14:paraId="660FBD9F" w14:textId="1B699BA4" w:rsidR="00EB68F0" w:rsidRPr="00FD4975" w:rsidRDefault="00EB68F0" w:rsidP="00EB68F0">
            <w:pPr>
              <w:tabs>
                <w:tab w:val="right" w:pos="1202"/>
              </w:tabs>
              <w:spacing w:line="240" w:lineRule="auto"/>
              <w:outlineLvl w:val="0"/>
              <w:rPr>
                <w:rFonts w:ascii="Calibri" w:eastAsia="Calibri" w:hAnsi="Calibri" w:cs="Arial"/>
                <w:i/>
                <w:sz w:val="21"/>
                <w:szCs w:val="21"/>
                <w:lang w:val="en-GB"/>
              </w:rPr>
            </w:pPr>
            <w:r>
              <w:rPr>
                <w:rFonts w:ascii="Calibri" w:eastAsia="Calibri" w:hAnsi="Calibri" w:cs="Arial"/>
                <w:sz w:val="21"/>
                <w:szCs w:val="21"/>
                <w:lang w:val="en-GB"/>
              </w:rPr>
              <w:t>Write-offs</w:t>
            </w:r>
          </w:p>
        </w:tc>
        <w:tc>
          <w:tcPr>
            <w:tcW w:w="672" w:type="pct"/>
            <w:tcBorders>
              <w:top w:val="single" w:sz="4" w:space="0" w:color="auto"/>
              <w:left w:val="nil"/>
              <w:right w:val="nil"/>
            </w:tcBorders>
            <w:shd w:val="clear" w:color="auto" w:fill="auto"/>
            <w:vAlign w:val="bottom"/>
          </w:tcPr>
          <w:p w14:paraId="04EA6F25" w14:textId="78400218" w:rsidR="00EB68F0" w:rsidRPr="00537128" w:rsidRDefault="00EB68F0" w:rsidP="00EB68F0">
            <w:pPr>
              <w:tabs>
                <w:tab w:val="right" w:pos="1202"/>
              </w:tabs>
              <w:spacing w:after="0" w:line="240" w:lineRule="auto"/>
              <w:jc w:val="right"/>
              <w:outlineLvl w:val="0"/>
              <w:rPr>
                <w:rFonts w:ascii="Calibri" w:eastAsia="Calibri" w:hAnsi="Calibri" w:cs="Arial"/>
                <w:bCs/>
                <w:sz w:val="21"/>
                <w:szCs w:val="21"/>
                <w:lang w:val="en-US"/>
              </w:rPr>
            </w:pPr>
            <w:r>
              <w:rPr>
                <w:sz w:val="21"/>
                <w:szCs w:val="21"/>
              </w:rPr>
              <w:t>(27)</w:t>
            </w:r>
          </w:p>
        </w:tc>
        <w:tc>
          <w:tcPr>
            <w:tcW w:w="672" w:type="pct"/>
            <w:tcBorders>
              <w:top w:val="single" w:sz="4" w:space="0" w:color="auto"/>
              <w:left w:val="nil"/>
              <w:bottom w:val="nil"/>
              <w:right w:val="nil"/>
            </w:tcBorders>
            <w:vAlign w:val="bottom"/>
          </w:tcPr>
          <w:p w14:paraId="30B6894D" w14:textId="4E0A78D1" w:rsidR="00EB68F0" w:rsidRPr="00537128" w:rsidRDefault="00EB68F0" w:rsidP="00EB68F0">
            <w:pPr>
              <w:tabs>
                <w:tab w:val="right" w:pos="1202"/>
              </w:tabs>
              <w:spacing w:after="0" w:line="240" w:lineRule="auto"/>
              <w:jc w:val="right"/>
              <w:outlineLvl w:val="0"/>
              <w:rPr>
                <w:rFonts w:ascii="Calibri" w:eastAsia="Calibri" w:hAnsi="Calibri" w:cs="Calibri"/>
                <w:color w:val="000000"/>
                <w:sz w:val="21"/>
                <w:szCs w:val="21"/>
                <w:lang w:val="en-US"/>
              </w:rPr>
            </w:pPr>
            <w:r>
              <w:rPr>
                <w:rFonts w:ascii="Calibri" w:eastAsia="Calibri" w:hAnsi="Calibri" w:cs="Calibri"/>
                <w:color w:val="000000" w:themeColor="text1"/>
                <w:sz w:val="21"/>
                <w:szCs w:val="21"/>
              </w:rPr>
              <w:t>(14)</w:t>
            </w:r>
          </w:p>
        </w:tc>
        <w:tc>
          <w:tcPr>
            <w:tcW w:w="673" w:type="pct"/>
            <w:tcBorders>
              <w:top w:val="single" w:sz="4" w:space="0" w:color="auto"/>
              <w:left w:val="nil"/>
              <w:right w:val="nil"/>
            </w:tcBorders>
            <w:vAlign w:val="bottom"/>
          </w:tcPr>
          <w:p w14:paraId="65BE24EA" w14:textId="4271EAEE" w:rsidR="00EB68F0" w:rsidRPr="00537128" w:rsidRDefault="00EB68F0" w:rsidP="00EB68F0">
            <w:pPr>
              <w:tabs>
                <w:tab w:val="right" w:pos="1202"/>
              </w:tabs>
              <w:spacing w:after="0" w:line="240" w:lineRule="auto"/>
              <w:jc w:val="right"/>
              <w:outlineLvl w:val="0"/>
              <w:rPr>
                <w:rFonts w:ascii="Calibri" w:eastAsia="Calibri" w:hAnsi="Calibri" w:cs="Arial"/>
                <w:bCs/>
                <w:sz w:val="21"/>
                <w:szCs w:val="21"/>
                <w:lang w:val="en-US"/>
              </w:rPr>
            </w:pPr>
            <w:r>
              <w:rPr>
                <w:rFonts w:ascii="Calibri" w:eastAsia="Calibri" w:hAnsi="Calibri" w:cs="Calibri"/>
                <w:color w:val="000000"/>
                <w:sz w:val="21"/>
                <w:szCs w:val="21"/>
              </w:rPr>
              <w:t>(27)</w:t>
            </w:r>
          </w:p>
        </w:tc>
        <w:tc>
          <w:tcPr>
            <w:tcW w:w="669" w:type="pct"/>
            <w:tcBorders>
              <w:top w:val="single" w:sz="4" w:space="0" w:color="auto"/>
              <w:left w:val="nil"/>
              <w:bottom w:val="nil"/>
              <w:right w:val="nil"/>
            </w:tcBorders>
            <w:vAlign w:val="bottom"/>
          </w:tcPr>
          <w:p w14:paraId="4A9B0BF5" w14:textId="74603BB0" w:rsidR="00EB68F0" w:rsidRPr="00537128" w:rsidRDefault="00EB68F0" w:rsidP="00EB68F0">
            <w:pPr>
              <w:tabs>
                <w:tab w:val="right" w:pos="1202"/>
              </w:tabs>
              <w:spacing w:after="0" w:line="240" w:lineRule="auto"/>
              <w:jc w:val="right"/>
              <w:outlineLvl w:val="0"/>
              <w:rPr>
                <w:rFonts w:ascii="Calibri" w:eastAsia="Calibri" w:hAnsi="Calibri" w:cs="Calibri"/>
                <w:color w:val="000000"/>
                <w:sz w:val="21"/>
                <w:szCs w:val="21"/>
                <w:lang w:val="en-US"/>
              </w:rPr>
            </w:pPr>
            <w:r>
              <w:rPr>
                <w:rFonts w:ascii="Calibri" w:eastAsia="Calibri" w:hAnsi="Calibri" w:cs="Calibri"/>
                <w:color w:val="000000" w:themeColor="text1"/>
                <w:sz w:val="21"/>
                <w:szCs w:val="21"/>
              </w:rPr>
              <w:t>(2)</w:t>
            </w:r>
          </w:p>
        </w:tc>
      </w:tr>
      <w:tr w:rsidR="00EB68F0" w:rsidRPr="00537128" w14:paraId="43E862D1" w14:textId="77777777" w:rsidTr="003C3F70">
        <w:trPr>
          <w:trHeight w:hRule="exact" w:val="284"/>
        </w:trPr>
        <w:tc>
          <w:tcPr>
            <w:tcW w:w="2314" w:type="pct"/>
            <w:vAlign w:val="bottom"/>
          </w:tcPr>
          <w:p w14:paraId="7B09F066" w14:textId="4E6529F1" w:rsidR="00EB68F0" w:rsidRPr="008F684E" w:rsidRDefault="00EB68F0" w:rsidP="00EB68F0">
            <w:pPr>
              <w:tabs>
                <w:tab w:val="right" w:pos="1202"/>
              </w:tabs>
              <w:spacing w:line="240" w:lineRule="auto"/>
              <w:outlineLvl w:val="0"/>
              <w:rPr>
                <w:rFonts w:ascii="Calibri" w:eastAsia="Calibri" w:hAnsi="Calibri" w:cs="Arial"/>
                <w:sz w:val="21"/>
                <w:szCs w:val="21"/>
                <w:lang w:val="en-GB"/>
              </w:rPr>
            </w:pPr>
            <w:r>
              <w:rPr>
                <w:rFonts w:ascii="Calibri" w:eastAsia="Calibri" w:hAnsi="Calibri" w:cs="Arial"/>
                <w:sz w:val="21"/>
                <w:szCs w:val="21"/>
                <w:lang w:val="en-GB"/>
              </w:rPr>
              <w:t>Transfer to off-balance sheet records</w:t>
            </w:r>
          </w:p>
        </w:tc>
        <w:tc>
          <w:tcPr>
            <w:tcW w:w="672" w:type="pct"/>
            <w:tcBorders>
              <w:left w:val="nil"/>
              <w:right w:val="nil"/>
            </w:tcBorders>
            <w:shd w:val="clear" w:color="auto" w:fill="auto"/>
            <w:vAlign w:val="bottom"/>
          </w:tcPr>
          <w:p w14:paraId="47586A32" w14:textId="4A9D5146" w:rsidR="00EB68F0" w:rsidRPr="00537128" w:rsidRDefault="00EB68F0" w:rsidP="00EB68F0">
            <w:pPr>
              <w:tabs>
                <w:tab w:val="right" w:pos="1202"/>
              </w:tabs>
              <w:spacing w:after="0" w:line="240" w:lineRule="auto"/>
              <w:jc w:val="right"/>
              <w:outlineLvl w:val="0"/>
              <w:rPr>
                <w:rFonts w:ascii="Calibri" w:eastAsia="Calibri" w:hAnsi="Calibri" w:cs="Arial"/>
                <w:bCs/>
                <w:sz w:val="21"/>
                <w:szCs w:val="21"/>
                <w:lang w:val="en-US"/>
              </w:rPr>
            </w:pPr>
            <w:r>
              <w:rPr>
                <w:sz w:val="21"/>
                <w:szCs w:val="21"/>
              </w:rPr>
              <w:t>-</w:t>
            </w:r>
          </w:p>
        </w:tc>
        <w:tc>
          <w:tcPr>
            <w:tcW w:w="672" w:type="pct"/>
            <w:vAlign w:val="bottom"/>
          </w:tcPr>
          <w:p w14:paraId="25EEE4CB" w14:textId="02C9C318" w:rsidR="00EB68F0" w:rsidRPr="00537128" w:rsidRDefault="00EB68F0" w:rsidP="00EB68F0">
            <w:pPr>
              <w:tabs>
                <w:tab w:val="right" w:pos="1202"/>
              </w:tabs>
              <w:spacing w:after="0" w:line="240" w:lineRule="auto"/>
              <w:jc w:val="right"/>
              <w:outlineLvl w:val="0"/>
              <w:rPr>
                <w:rFonts w:ascii="Calibri" w:eastAsia="Calibri" w:hAnsi="Calibri" w:cs="Calibri"/>
                <w:color w:val="000000"/>
                <w:sz w:val="21"/>
                <w:szCs w:val="21"/>
                <w:lang w:val="en-US"/>
              </w:rPr>
            </w:pPr>
            <w:r>
              <w:rPr>
                <w:rFonts w:ascii="Calibri" w:eastAsia="Calibri" w:hAnsi="Calibri" w:cs="Calibri"/>
                <w:color w:val="000000" w:themeColor="text1"/>
                <w:sz w:val="21"/>
                <w:szCs w:val="21"/>
              </w:rPr>
              <w:t>(149)</w:t>
            </w:r>
          </w:p>
        </w:tc>
        <w:tc>
          <w:tcPr>
            <w:tcW w:w="673" w:type="pct"/>
            <w:tcBorders>
              <w:left w:val="nil"/>
              <w:right w:val="nil"/>
            </w:tcBorders>
            <w:vAlign w:val="bottom"/>
          </w:tcPr>
          <w:p w14:paraId="58CC1769" w14:textId="274E7E0F" w:rsidR="00EB68F0" w:rsidRPr="00537128" w:rsidRDefault="00EB68F0" w:rsidP="00EB68F0">
            <w:pPr>
              <w:tabs>
                <w:tab w:val="right" w:pos="1202"/>
              </w:tabs>
              <w:spacing w:after="0" w:line="240" w:lineRule="auto"/>
              <w:jc w:val="right"/>
              <w:outlineLvl w:val="0"/>
              <w:rPr>
                <w:rFonts w:ascii="Calibri" w:eastAsia="Calibri" w:hAnsi="Calibri" w:cs="Arial"/>
                <w:bCs/>
                <w:sz w:val="21"/>
                <w:szCs w:val="21"/>
                <w:lang w:val="en-US"/>
              </w:rPr>
            </w:pPr>
            <w:r>
              <w:rPr>
                <w:rFonts w:ascii="Calibri" w:eastAsia="Calibri" w:hAnsi="Calibri" w:cs="Calibri"/>
                <w:color w:val="000000"/>
                <w:sz w:val="21"/>
                <w:szCs w:val="21"/>
              </w:rPr>
              <w:t>-</w:t>
            </w:r>
          </w:p>
        </w:tc>
        <w:tc>
          <w:tcPr>
            <w:tcW w:w="669" w:type="pct"/>
            <w:vAlign w:val="bottom"/>
          </w:tcPr>
          <w:p w14:paraId="28AB04EB" w14:textId="2ADEC374" w:rsidR="00EB68F0" w:rsidRPr="00537128" w:rsidRDefault="00EB68F0" w:rsidP="00EB68F0">
            <w:pPr>
              <w:tabs>
                <w:tab w:val="right" w:pos="1202"/>
              </w:tabs>
              <w:spacing w:after="0" w:line="240" w:lineRule="auto"/>
              <w:jc w:val="right"/>
              <w:outlineLvl w:val="0"/>
              <w:rPr>
                <w:rFonts w:ascii="Calibri" w:eastAsia="Calibri" w:hAnsi="Calibri" w:cs="Calibri"/>
                <w:color w:val="000000"/>
                <w:sz w:val="21"/>
                <w:szCs w:val="21"/>
                <w:lang w:val="en-US"/>
              </w:rPr>
            </w:pPr>
            <w:r>
              <w:rPr>
                <w:rFonts w:ascii="Calibri" w:eastAsia="Calibri" w:hAnsi="Calibri" w:cs="Calibri"/>
                <w:color w:val="000000" w:themeColor="text1"/>
                <w:sz w:val="21"/>
                <w:szCs w:val="21"/>
              </w:rPr>
              <w:t>(149)</w:t>
            </w:r>
          </w:p>
        </w:tc>
      </w:tr>
      <w:tr w:rsidR="00EB68F0" w:rsidRPr="00537128" w14:paraId="7CACB6D6" w14:textId="77777777" w:rsidTr="003C3F70">
        <w:trPr>
          <w:trHeight w:val="370"/>
        </w:trPr>
        <w:tc>
          <w:tcPr>
            <w:tcW w:w="2314" w:type="pct"/>
            <w:vAlign w:val="bottom"/>
            <w:hideMark/>
          </w:tcPr>
          <w:p w14:paraId="111041E5" w14:textId="77777777" w:rsidR="00EB68F0" w:rsidRPr="00537128" w:rsidRDefault="00EB68F0" w:rsidP="00EB68F0">
            <w:pPr>
              <w:tabs>
                <w:tab w:val="right" w:pos="1202"/>
              </w:tabs>
              <w:spacing w:after="0" w:line="240" w:lineRule="auto"/>
              <w:outlineLvl w:val="0"/>
              <w:rPr>
                <w:rFonts w:ascii="Calibri" w:eastAsia="Calibri" w:hAnsi="Calibri" w:cs="Arial"/>
                <w:sz w:val="21"/>
                <w:szCs w:val="21"/>
                <w:lang w:val="en-US"/>
              </w:rPr>
            </w:pPr>
            <w:r w:rsidRPr="00537128">
              <w:rPr>
                <w:rFonts w:ascii="Calibri" w:eastAsia="Calibri" w:hAnsi="Calibri" w:cs="Arial"/>
                <w:sz w:val="21"/>
                <w:szCs w:val="21"/>
                <w:lang w:val="en-US"/>
              </w:rPr>
              <w:t>Net foreign exchange gain/loss on loss allowances</w:t>
            </w:r>
          </w:p>
        </w:tc>
        <w:tc>
          <w:tcPr>
            <w:tcW w:w="672" w:type="pct"/>
            <w:tcBorders>
              <w:left w:val="nil"/>
              <w:right w:val="nil"/>
            </w:tcBorders>
            <w:shd w:val="clear" w:color="auto" w:fill="auto"/>
            <w:vAlign w:val="bottom"/>
          </w:tcPr>
          <w:p w14:paraId="37BCA2CB" w14:textId="1043BC54" w:rsidR="00EB68F0" w:rsidRPr="00537128" w:rsidRDefault="00EB68F0" w:rsidP="00EB68F0">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sz w:val="21"/>
                <w:szCs w:val="21"/>
              </w:rPr>
              <w:t>5</w:t>
            </w:r>
          </w:p>
        </w:tc>
        <w:tc>
          <w:tcPr>
            <w:tcW w:w="672" w:type="pct"/>
            <w:vAlign w:val="bottom"/>
          </w:tcPr>
          <w:p w14:paraId="5ABE0CDA" w14:textId="171BE3D8" w:rsidR="00EB68F0" w:rsidRPr="00537128" w:rsidRDefault="00EB68F0" w:rsidP="00EB68F0">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themeColor="text1"/>
                <w:sz w:val="21"/>
                <w:szCs w:val="21"/>
              </w:rPr>
              <w:t>3</w:t>
            </w:r>
          </w:p>
        </w:tc>
        <w:tc>
          <w:tcPr>
            <w:tcW w:w="673" w:type="pct"/>
            <w:tcBorders>
              <w:left w:val="nil"/>
              <w:right w:val="nil"/>
            </w:tcBorders>
            <w:vAlign w:val="bottom"/>
          </w:tcPr>
          <w:p w14:paraId="47FFEF7F" w14:textId="0946D7E0" w:rsidR="00EB68F0" w:rsidRPr="00537128" w:rsidRDefault="00EB68F0" w:rsidP="00EB68F0">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sz w:val="21"/>
                <w:szCs w:val="21"/>
              </w:rPr>
              <w:t>5</w:t>
            </w:r>
          </w:p>
        </w:tc>
        <w:tc>
          <w:tcPr>
            <w:tcW w:w="669" w:type="pct"/>
            <w:vAlign w:val="bottom"/>
            <w:hideMark/>
          </w:tcPr>
          <w:p w14:paraId="4093AEFB" w14:textId="155BF9BB" w:rsidR="00EB68F0" w:rsidRPr="00537128" w:rsidRDefault="00EB68F0" w:rsidP="00EB68F0">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themeColor="text1"/>
                <w:sz w:val="21"/>
                <w:szCs w:val="21"/>
              </w:rPr>
              <w:t>3</w:t>
            </w:r>
          </w:p>
        </w:tc>
      </w:tr>
      <w:tr w:rsidR="00EB68F0" w:rsidRPr="00537128" w14:paraId="53A1F96F" w14:textId="77777777" w:rsidTr="003C3F70">
        <w:trPr>
          <w:trHeight w:val="370"/>
        </w:trPr>
        <w:tc>
          <w:tcPr>
            <w:tcW w:w="2314" w:type="pct"/>
            <w:vAlign w:val="bottom"/>
            <w:hideMark/>
          </w:tcPr>
          <w:p w14:paraId="08EF1FEA" w14:textId="77777777" w:rsidR="00EB68F0" w:rsidRPr="00537128" w:rsidRDefault="00EB68F0" w:rsidP="00EB68F0">
            <w:pPr>
              <w:tabs>
                <w:tab w:val="right" w:pos="1202"/>
              </w:tabs>
              <w:spacing w:after="0" w:line="240" w:lineRule="auto"/>
              <w:outlineLvl w:val="0"/>
              <w:rPr>
                <w:rFonts w:ascii="Calibri" w:eastAsia="Calibri" w:hAnsi="Calibri" w:cs="Arial"/>
                <w:sz w:val="21"/>
                <w:szCs w:val="21"/>
                <w:lang w:val="en-US"/>
              </w:rPr>
            </w:pPr>
            <w:r w:rsidRPr="00537128">
              <w:rPr>
                <w:rFonts w:ascii="Calibri" w:eastAsia="Calibri" w:hAnsi="Calibri" w:cs="Arial"/>
                <w:sz w:val="21"/>
                <w:szCs w:val="21"/>
                <w:lang w:val="en-US"/>
              </w:rPr>
              <w:t>Other adjustments</w:t>
            </w:r>
          </w:p>
        </w:tc>
        <w:tc>
          <w:tcPr>
            <w:tcW w:w="672" w:type="pct"/>
            <w:tcBorders>
              <w:left w:val="nil"/>
              <w:bottom w:val="single" w:sz="4" w:space="0" w:color="auto"/>
              <w:right w:val="nil"/>
            </w:tcBorders>
            <w:shd w:val="clear" w:color="auto" w:fill="auto"/>
            <w:vAlign w:val="bottom"/>
          </w:tcPr>
          <w:p w14:paraId="58A80456" w14:textId="119CAA73" w:rsidR="00EB68F0" w:rsidRPr="00537128" w:rsidRDefault="00EB68F0" w:rsidP="00EB68F0">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sz w:val="21"/>
                <w:szCs w:val="21"/>
              </w:rPr>
              <w:t>34</w:t>
            </w:r>
          </w:p>
        </w:tc>
        <w:tc>
          <w:tcPr>
            <w:tcW w:w="672" w:type="pct"/>
            <w:tcBorders>
              <w:top w:val="nil"/>
              <w:left w:val="nil"/>
              <w:bottom w:val="single" w:sz="4" w:space="0" w:color="auto"/>
              <w:right w:val="nil"/>
            </w:tcBorders>
            <w:vAlign w:val="bottom"/>
          </w:tcPr>
          <w:p w14:paraId="40BB3727" w14:textId="42C386E6" w:rsidR="00EB68F0" w:rsidRPr="00537128" w:rsidRDefault="00EB68F0" w:rsidP="00EB68F0">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themeColor="text1"/>
                <w:sz w:val="21"/>
                <w:szCs w:val="21"/>
              </w:rPr>
              <w:t>17</w:t>
            </w:r>
          </w:p>
        </w:tc>
        <w:tc>
          <w:tcPr>
            <w:tcW w:w="673" w:type="pct"/>
            <w:tcBorders>
              <w:left w:val="nil"/>
              <w:bottom w:val="single" w:sz="4" w:space="0" w:color="auto"/>
              <w:right w:val="nil"/>
            </w:tcBorders>
            <w:vAlign w:val="bottom"/>
          </w:tcPr>
          <w:p w14:paraId="693F99D3" w14:textId="7DD4585B" w:rsidR="00EB68F0" w:rsidRPr="00537128" w:rsidRDefault="00EB68F0" w:rsidP="00EB68F0">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sz w:val="21"/>
                <w:szCs w:val="21"/>
              </w:rPr>
              <w:t>8</w:t>
            </w:r>
          </w:p>
        </w:tc>
        <w:tc>
          <w:tcPr>
            <w:tcW w:w="669" w:type="pct"/>
            <w:tcBorders>
              <w:top w:val="nil"/>
              <w:left w:val="nil"/>
              <w:bottom w:val="single" w:sz="4" w:space="0" w:color="auto"/>
              <w:right w:val="nil"/>
            </w:tcBorders>
            <w:vAlign w:val="bottom"/>
            <w:hideMark/>
          </w:tcPr>
          <w:p w14:paraId="47FD1881" w14:textId="7957AD92" w:rsidR="00EB68F0" w:rsidRPr="00537128" w:rsidRDefault="00EB68F0" w:rsidP="00EB68F0">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themeColor="text1"/>
                <w:sz w:val="21"/>
                <w:szCs w:val="21"/>
              </w:rPr>
              <w:t>-</w:t>
            </w:r>
          </w:p>
        </w:tc>
      </w:tr>
      <w:tr w:rsidR="00EB68F0" w:rsidRPr="00537128" w14:paraId="5FDC7670" w14:textId="77777777" w:rsidTr="003C3F70">
        <w:trPr>
          <w:trHeight w:val="367"/>
        </w:trPr>
        <w:tc>
          <w:tcPr>
            <w:tcW w:w="2314" w:type="pct"/>
            <w:vAlign w:val="bottom"/>
            <w:hideMark/>
          </w:tcPr>
          <w:p w14:paraId="07EAF8BC" w14:textId="77777777" w:rsidR="00EB68F0" w:rsidRPr="00537128" w:rsidRDefault="00EB68F0" w:rsidP="00EB68F0">
            <w:pPr>
              <w:tabs>
                <w:tab w:val="right" w:pos="1202"/>
              </w:tabs>
              <w:spacing w:after="0" w:line="240" w:lineRule="auto"/>
              <w:outlineLvl w:val="0"/>
              <w:rPr>
                <w:rFonts w:ascii="Calibri" w:eastAsia="Calibri" w:hAnsi="Calibri" w:cs="Arial"/>
                <w:b/>
                <w:sz w:val="21"/>
                <w:szCs w:val="21"/>
                <w:lang w:val="en-US"/>
              </w:rPr>
            </w:pPr>
            <w:r w:rsidRPr="00537128">
              <w:rPr>
                <w:rFonts w:ascii="Calibri" w:eastAsia="Calibri" w:hAnsi="Calibri" w:cs="Arial"/>
                <w:b/>
                <w:sz w:val="21"/>
                <w:szCs w:val="21"/>
                <w:lang w:val="en-US"/>
              </w:rPr>
              <w:t>Balance at the end of the reporting period</w:t>
            </w:r>
          </w:p>
        </w:tc>
        <w:tc>
          <w:tcPr>
            <w:tcW w:w="672" w:type="pct"/>
            <w:tcBorders>
              <w:top w:val="single" w:sz="4" w:space="0" w:color="auto"/>
              <w:left w:val="nil"/>
              <w:bottom w:val="single" w:sz="12" w:space="0" w:color="auto"/>
              <w:right w:val="nil"/>
            </w:tcBorders>
            <w:shd w:val="clear" w:color="auto" w:fill="auto"/>
            <w:vAlign w:val="bottom"/>
          </w:tcPr>
          <w:p w14:paraId="5C54FCDE" w14:textId="2C85E02E" w:rsidR="00EB68F0" w:rsidRPr="00537128" w:rsidRDefault="00EB68F0" w:rsidP="00EB68F0">
            <w:pPr>
              <w:tabs>
                <w:tab w:val="right" w:pos="1202"/>
              </w:tabs>
              <w:spacing w:after="0" w:line="340" w:lineRule="exact"/>
              <w:jc w:val="right"/>
              <w:outlineLvl w:val="0"/>
              <w:rPr>
                <w:rFonts w:ascii="Calibri" w:eastAsia="Calibri" w:hAnsi="Calibri" w:cs="Arial"/>
                <w:b/>
                <w:bCs/>
                <w:sz w:val="21"/>
                <w:szCs w:val="21"/>
                <w:lang w:val="en-US"/>
              </w:rPr>
            </w:pPr>
            <w:r>
              <w:rPr>
                <w:rFonts w:ascii="Calibri" w:eastAsia="Calibri" w:hAnsi="Calibri" w:cs="Calibri"/>
                <w:b/>
                <w:bCs/>
                <w:color w:val="000000"/>
                <w:sz w:val="21"/>
                <w:szCs w:val="21"/>
              </w:rPr>
              <w:t>33,975</w:t>
            </w:r>
          </w:p>
        </w:tc>
        <w:tc>
          <w:tcPr>
            <w:tcW w:w="672" w:type="pct"/>
            <w:tcBorders>
              <w:top w:val="single" w:sz="4" w:space="0" w:color="auto"/>
              <w:left w:val="nil"/>
              <w:bottom w:val="single" w:sz="12" w:space="0" w:color="auto"/>
              <w:right w:val="nil"/>
            </w:tcBorders>
            <w:vAlign w:val="bottom"/>
          </w:tcPr>
          <w:p w14:paraId="4375AFCF" w14:textId="3F2C69BA" w:rsidR="00EB68F0" w:rsidRPr="00537128" w:rsidRDefault="00EB68F0" w:rsidP="00EB68F0">
            <w:pPr>
              <w:tabs>
                <w:tab w:val="right" w:pos="1202"/>
              </w:tabs>
              <w:spacing w:after="0" w:line="340" w:lineRule="exact"/>
              <w:jc w:val="right"/>
              <w:outlineLvl w:val="0"/>
              <w:rPr>
                <w:rFonts w:ascii="Calibri" w:eastAsia="Calibri" w:hAnsi="Calibri" w:cs="Arial"/>
                <w:b/>
                <w:bCs/>
                <w:sz w:val="21"/>
                <w:szCs w:val="21"/>
                <w:lang w:val="en-US"/>
              </w:rPr>
            </w:pPr>
            <w:r>
              <w:rPr>
                <w:rFonts w:ascii="Calibri" w:eastAsia="Calibri" w:hAnsi="Calibri" w:cs="Calibri"/>
                <w:b/>
                <w:color w:val="000000" w:themeColor="text1"/>
                <w:sz w:val="21"/>
                <w:szCs w:val="21"/>
              </w:rPr>
              <w:t>31,851</w:t>
            </w:r>
          </w:p>
        </w:tc>
        <w:tc>
          <w:tcPr>
            <w:tcW w:w="673" w:type="pct"/>
            <w:tcBorders>
              <w:top w:val="single" w:sz="4" w:space="0" w:color="auto"/>
              <w:left w:val="nil"/>
              <w:bottom w:val="single" w:sz="12" w:space="0" w:color="auto"/>
              <w:right w:val="nil"/>
            </w:tcBorders>
            <w:vAlign w:val="bottom"/>
          </w:tcPr>
          <w:p w14:paraId="14E665E7" w14:textId="47220562" w:rsidR="00EB68F0" w:rsidRPr="00537128" w:rsidRDefault="00EB68F0" w:rsidP="00EB68F0">
            <w:pPr>
              <w:tabs>
                <w:tab w:val="right" w:pos="1202"/>
              </w:tabs>
              <w:spacing w:after="0" w:line="340" w:lineRule="exact"/>
              <w:jc w:val="right"/>
              <w:outlineLvl w:val="0"/>
              <w:rPr>
                <w:rFonts w:ascii="Calibri" w:eastAsia="Calibri" w:hAnsi="Calibri" w:cs="Arial"/>
                <w:b/>
                <w:bCs/>
                <w:sz w:val="21"/>
                <w:szCs w:val="21"/>
                <w:lang w:val="en-US"/>
              </w:rPr>
            </w:pPr>
            <w:r>
              <w:rPr>
                <w:rFonts w:ascii="Calibri" w:eastAsia="Calibri" w:hAnsi="Calibri" w:cs="Calibri"/>
                <w:b/>
                <w:color w:val="000000"/>
                <w:sz w:val="21"/>
                <w:szCs w:val="21"/>
              </w:rPr>
              <w:t>33,764</w:t>
            </w:r>
          </w:p>
        </w:tc>
        <w:tc>
          <w:tcPr>
            <w:tcW w:w="669" w:type="pct"/>
            <w:tcBorders>
              <w:top w:val="single" w:sz="4" w:space="0" w:color="auto"/>
              <w:left w:val="nil"/>
              <w:bottom w:val="single" w:sz="12" w:space="0" w:color="auto"/>
              <w:right w:val="nil"/>
            </w:tcBorders>
            <w:vAlign w:val="bottom"/>
            <w:hideMark/>
          </w:tcPr>
          <w:p w14:paraId="65E01041" w14:textId="34E90E9A" w:rsidR="00EB68F0" w:rsidRPr="00537128" w:rsidRDefault="00EB68F0" w:rsidP="00EB68F0">
            <w:pPr>
              <w:tabs>
                <w:tab w:val="right" w:pos="1202"/>
              </w:tabs>
              <w:spacing w:after="0" w:line="340" w:lineRule="exact"/>
              <w:jc w:val="right"/>
              <w:outlineLvl w:val="0"/>
              <w:rPr>
                <w:rFonts w:ascii="Calibri" w:eastAsia="Calibri" w:hAnsi="Calibri" w:cs="Arial"/>
                <w:b/>
                <w:bCs/>
                <w:sz w:val="21"/>
                <w:szCs w:val="21"/>
                <w:lang w:val="en-US"/>
              </w:rPr>
            </w:pPr>
            <w:r>
              <w:rPr>
                <w:rFonts w:ascii="Calibri" w:eastAsia="Calibri" w:hAnsi="Calibri" w:cs="Calibri"/>
                <w:b/>
                <w:color w:val="000000" w:themeColor="text1"/>
                <w:sz w:val="21"/>
                <w:szCs w:val="21"/>
              </w:rPr>
              <w:t>31,697</w:t>
            </w:r>
          </w:p>
        </w:tc>
      </w:tr>
    </w:tbl>
    <w:p w14:paraId="6A7EA240" w14:textId="77777777" w:rsidR="00CC5E14" w:rsidRPr="00537128" w:rsidRDefault="00CC5E14" w:rsidP="007E6E38">
      <w:pPr>
        <w:spacing w:after="0" w:line="240" w:lineRule="auto"/>
        <w:jc w:val="both"/>
        <w:rPr>
          <w:rFonts w:ascii="Calibri" w:eastAsia="Times New Roman" w:hAnsi="Calibri" w:cs="Times New Roman"/>
          <w:color w:val="000000" w:themeColor="text1"/>
          <w:lang w:val="en-US"/>
        </w:rPr>
      </w:pPr>
    </w:p>
    <w:p w14:paraId="01B43460" w14:textId="77777777" w:rsidR="007E6E38" w:rsidRPr="00537128" w:rsidRDefault="007E6E38" w:rsidP="007E6E38">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Net foreign exchange gain/loss on loss allowances are shown within net gains/(losses) from financial activities in the Income Statement</w:t>
      </w:r>
      <w:r w:rsidR="006C79FB" w:rsidRPr="00537128">
        <w:rPr>
          <w:rFonts w:ascii="Calibri" w:eastAsia="Times New Roman" w:hAnsi="Calibri" w:cs="Times New Roman"/>
          <w:color w:val="000000" w:themeColor="text1"/>
          <w:lang w:val="en-US"/>
        </w:rPr>
        <w:t>.</w:t>
      </w:r>
    </w:p>
    <w:p w14:paraId="7949F387" w14:textId="77777777" w:rsidR="007E6E38" w:rsidRPr="00537128" w:rsidRDefault="007E6E38" w:rsidP="007E6E38">
      <w:pPr>
        <w:spacing w:after="0" w:line="240" w:lineRule="auto"/>
        <w:jc w:val="both"/>
        <w:rPr>
          <w:rFonts w:ascii="Calibri" w:eastAsia="Times New Roman" w:hAnsi="Calibri" w:cs="Times New Roman"/>
          <w:color w:val="000000" w:themeColor="text1"/>
          <w:lang w:val="en-US"/>
        </w:rPr>
      </w:pPr>
    </w:p>
    <w:p w14:paraId="25108C24" w14:textId="77777777" w:rsidR="007E6E38" w:rsidRPr="00537128" w:rsidRDefault="007E6E38" w:rsidP="007E6E38">
      <w:pPr>
        <w:spacing w:after="0" w:line="240" w:lineRule="auto"/>
        <w:jc w:val="both"/>
        <w:rPr>
          <w:rFonts w:ascii="Calibri" w:eastAsia="Times New Roman" w:hAnsi="Calibri" w:cs="Times New Roman"/>
          <w:color w:val="000000" w:themeColor="text1"/>
          <w:lang w:val="en-US"/>
        </w:rPr>
      </w:pPr>
    </w:p>
    <w:p w14:paraId="06DD027F" w14:textId="77777777" w:rsidR="007E6E38" w:rsidRPr="00537128" w:rsidRDefault="007E6E38" w:rsidP="007E6E38">
      <w:pPr>
        <w:spacing w:after="0" w:line="240" w:lineRule="auto"/>
        <w:jc w:val="both"/>
        <w:rPr>
          <w:rFonts w:ascii="Calibri" w:eastAsia="Times New Roman" w:hAnsi="Calibri" w:cs="Times New Roman"/>
          <w:color w:val="000000" w:themeColor="text1"/>
          <w:lang w:val="en-US"/>
        </w:rPr>
        <w:sectPr w:rsidR="007E6E38" w:rsidRPr="00537128">
          <w:pgSz w:w="11906" w:h="16838"/>
          <w:pgMar w:top="1417" w:right="1417" w:bottom="1417" w:left="1417" w:header="708" w:footer="708" w:gutter="0"/>
          <w:cols w:space="708"/>
          <w:docGrid w:linePitch="360"/>
        </w:sectPr>
      </w:pPr>
    </w:p>
    <w:p w14:paraId="67B56533" w14:textId="77777777" w:rsidR="00FF5A95" w:rsidRPr="00537128" w:rsidRDefault="00FF5A95" w:rsidP="00FF5A95">
      <w:pPr>
        <w:tabs>
          <w:tab w:val="left" w:pos="567"/>
        </w:tabs>
        <w:spacing w:after="0" w:line="240" w:lineRule="auto"/>
        <w:rPr>
          <w:rFonts w:ascii="Calibri" w:eastAsia="Times New Roman" w:hAnsi="Calibri" w:cs="Arial"/>
          <w:b/>
          <w:bCs/>
          <w:color w:val="000000" w:themeColor="text1"/>
          <w:lang w:val="en-US"/>
        </w:rPr>
      </w:pPr>
    </w:p>
    <w:p w14:paraId="34F85608" w14:textId="77777777" w:rsidR="00FF5A95" w:rsidRPr="00537128" w:rsidRDefault="00FF5A95" w:rsidP="005B7D9D">
      <w:pPr>
        <w:pStyle w:val="ListParagraph"/>
        <w:numPr>
          <w:ilvl w:val="0"/>
          <w:numId w:val="15"/>
        </w:numPr>
        <w:tabs>
          <w:tab w:val="left" w:pos="567"/>
        </w:tabs>
        <w:spacing w:after="0" w:line="240" w:lineRule="auto"/>
        <w:rPr>
          <w:rFonts w:ascii="Calibri" w:eastAsia="Times New Roman" w:hAnsi="Calibri" w:cs="Arial"/>
          <w:b/>
          <w:bCs/>
          <w:color w:val="000000" w:themeColor="text1"/>
          <w:lang w:val="en-US"/>
        </w:rPr>
      </w:pPr>
      <w:r w:rsidRPr="00537128">
        <w:rPr>
          <w:rFonts w:ascii="Calibri" w:eastAsia="Times New Roman" w:hAnsi="Calibri" w:cs="Arial"/>
          <w:b/>
          <w:bCs/>
          <w:color w:val="000000" w:themeColor="text1"/>
          <w:lang w:val="en-US"/>
        </w:rPr>
        <w:t>Deposits from customers</w:t>
      </w:r>
    </w:p>
    <w:p w14:paraId="36093817" w14:textId="77777777" w:rsidR="00FF5A95" w:rsidRPr="00537128" w:rsidRDefault="00FF5A95" w:rsidP="00FF5A95">
      <w:pPr>
        <w:tabs>
          <w:tab w:val="left" w:pos="567"/>
        </w:tabs>
        <w:spacing w:after="0" w:line="240" w:lineRule="auto"/>
        <w:rPr>
          <w:rFonts w:ascii="Calibri" w:eastAsia="Times New Roman" w:hAnsi="Calibri" w:cs="Arial"/>
          <w:b/>
          <w:bCs/>
          <w:color w:val="000000" w:themeColor="text1"/>
          <w:sz w:val="20"/>
          <w:lang w:val="en-US"/>
        </w:rPr>
      </w:pPr>
    </w:p>
    <w:tbl>
      <w:tblPr>
        <w:tblW w:w="5000" w:type="pct"/>
        <w:tblInd w:w="-142" w:type="dxa"/>
        <w:tblCellMar>
          <w:left w:w="119" w:type="dxa"/>
          <w:right w:w="119" w:type="dxa"/>
        </w:tblCellMar>
        <w:tblLook w:val="04A0" w:firstRow="1" w:lastRow="0" w:firstColumn="1" w:lastColumn="0" w:noHBand="0" w:noVBand="1"/>
      </w:tblPr>
      <w:tblGrid>
        <w:gridCol w:w="6096"/>
        <w:gridCol w:w="1276"/>
        <w:gridCol w:w="1700"/>
      </w:tblGrid>
      <w:tr w:rsidR="00F23C79" w:rsidRPr="00537128" w14:paraId="7BBFBCBB" w14:textId="77777777" w:rsidTr="0049624D">
        <w:trPr>
          <w:trHeight w:val="245"/>
        </w:trPr>
        <w:tc>
          <w:tcPr>
            <w:tcW w:w="3360" w:type="pct"/>
          </w:tcPr>
          <w:p w14:paraId="39BD638B" w14:textId="77777777" w:rsidR="00F23C79" w:rsidRPr="00537128" w:rsidRDefault="00F23C79" w:rsidP="00F23C79">
            <w:pPr>
              <w:tabs>
                <w:tab w:val="left" w:pos="-1962"/>
              </w:tabs>
              <w:suppressAutoHyphens/>
              <w:spacing w:after="0" w:line="240" w:lineRule="auto"/>
              <w:rPr>
                <w:rFonts w:ascii="Calibri" w:eastAsia="Times New Roman" w:hAnsi="Calibri" w:cs="Arial"/>
                <w:spacing w:val="-3"/>
                <w:lang w:val="en-US"/>
              </w:rPr>
            </w:pPr>
          </w:p>
        </w:tc>
        <w:tc>
          <w:tcPr>
            <w:tcW w:w="1640" w:type="pct"/>
            <w:gridSpan w:val="2"/>
            <w:hideMark/>
          </w:tcPr>
          <w:p w14:paraId="31A0AAA8" w14:textId="77777777" w:rsidR="00F23C79" w:rsidRPr="00537128" w:rsidRDefault="00F23C79" w:rsidP="00F23C79">
            <w:pPr>
              <w:tabs>
                <w:tab w:val="right" w:pos="1202"/>
              </w:tabs>
              <w:spacing w:after="0" w:line="240" w:lineRule="atLeast"/>
              <w:jc w:val="right"/>
              <w:outlineLvl w:val="0"/>
              <w:rPr>
                <w:rFonts w:ascii="Calibri" w:eastAsia="Times New Roman" w:hAnsi="Calibri" w:cs="Arial"/>
                <w:b/>
                <w:lang w:val="en-US"/>
              </w:rPr>
            </w:pPr>
            <w:bookmarkStart w:id="493" w:name="_Toc4059888"/>
            <w:r w:rsidRPr="00537128">
              <w:rPr>
                <w:rFonts w:ascii="Calibri" w:eastAsia="Times New Roman" w:hAnsi="Calibri" w:cs="Arial"/>
                <w:b/>
                <w:lang w:val="en-US"/>
              </w:rPr>
              <w:t>Group and Bank</w:t>
            </w:r>
            <w:bookmarkEnd w:id="493"/>
          </w:p>
        </w:tc>
      </w:tr>
      <w:tr w:rsidR="00F23C79" w:rsidRPr="00537128" w14:paraId="1350BBFB" w14:textId="77777777" w:rsidTr="0049624D">
        <w:trPr>
          <w:trHeight w:val="82"/>
        </w:trPr>
        <w:tc>
          <w:tcPr>
            <w:tcW w:w="3360" w:type="pct"/>
          </w:tcPr>
          <w:p w14:paraId="05B839A3" w14:textId="77777777" w:rsidR="00F23C79" w:rsidRPr="00537128" w:rsidRDefault="00F23C79" w:rsidP="00F23C79">
            <w:pPr>
              <w:tabs>
                <w:tab w:val="left" w:pos="-1962"/>
              </w:tabs>
              <w:suppressAutoHyphens/>
              <w:spacing w:after="0" w:line="240" w:lineRule="auto"/>
              <w:rPr>
                <w:rFonts w:ascii="Calibri" w:eastAsia="Times New Roman" w:hAnsi="Calibri" w:cs="Arial"/>
                <w:spacing w:val="-3"/>
                <w:lang w:val="en-US"/>
              </w:rPr>
            </w:pPr>
          </w:p>
        </w:tc>
        <w:tc>
          <w:tcPr>
            <w:tcW w:w="703" w:type="pct"/>
            <w:hideMark/>
          </w:tcPr>
          <w:p w14:paraId="0787E4AE" w14:textId="508CD400" w:rsidR="00F23C79" w:rsidRPr="00537128" w:rsidRDefault="00F23C79" w:rsidP="00F23C79">
            <w:pPr>
              <w:tabs>
                <w:tab w:val="right" w:pos="1202"/>
              </w:tabs>
              <w:spacing w:after="0" w:line="240" w:lineRule="atLeast"/>
              <w:jc w:val="right"/>
              <w:outlineLvl w:val="0"/>
              <w:rPr>
                <w:rFonts w:ascii="Calibri" w:eastAsia="Times New Roman" w:hAnsi="Calibri" w:cs="Arial"/>
                <w:b/>
                <w:lang w:val="en-US"/>
              </w:rPr>
            </w:pPr>
            <w:bookmarkStart w:id="494" w:name="_Toc4059891"/>
            <w:r w:rsidRPr="00537128">
              <w:rPr>
                <w:rFonts w:ascii="Calibri" w:eastAsia="Times New Roman" w:hAnsi="Calibri" w:cs="Arial"/>
                <w:b/>
                <w:lang w:val="en-US"/>
              </w:rPr>
              <w:t xml:space="preserve">31 March </w:t>
            </w:r>
            <w:bookmarkEnd w:id="494"/>
            <w:r w:rsidRPr="00537128">
              <w:rPr>
                <w:rFonts w:ascii="Calibri" w:eastAsia="Times New Roman" w:hAnsi="Calibri" w:cs="Arial"/>
                <w:b/>
                <w:lang w:val="en-US"/>
              </w:rPr>
              <w:t>202</w:t>
            </w:r>
            <w:r w:rsidR="002C274E">
              <w:rPr>
                <w:rFonts w:ascii="Calibri" w:eastAsia="Times New Roman" w:hAnsi="Calibri" w:cs="Arial"/>
                <w:b/>
                <w:lang w:val="en-US"/>
              </w:rPr>
              <w:t>2</w:t>
            </w:r>
          </w:p>
        </w:tc>
        <w:tc>
          <w:tcPr>
            <w:tcW w:w="937" w:type="pct"/>
            <w:hideMark/>
          </w:tcPr>
          <w:p w14:paraId="035C9F1D" w14:textId="25A0B8A7" w:rsidR="00F23C79" w:rsidRPr="00537128" w:rsidRDefault="00F23C79" w:rsidP="00F23C79">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31 December 202</w:t>
            </w:r>
            <w:r w:rsidR="001B1476">
              <w:rPr>
                <w:rFonts w:ascii="Calibri" w:eastAsia="Times New Roman" w:hAnsi="Calibri" w:cs="Arial"/>
                <w:b/>
                <w:lang w:val="en-US"/>
              </w:rPr>
              <w:t>1</w:t>
            </w:r>
          </w:p>
        </w:tc>
      </w:tr>
      <w:tr w:rsidR="00F23C79" w:rsidRPr="00537128" w14:paraId="7EE1D56B" w14:textId="77777777" w:rsidTr="0049624D">
        <w:trPr>
          <w:trHeight w:val="212"/>
        </w:trPr>
        <w:tc>
          <w:tcPr>
            <w:tcW w:w="3360" w:type="pct"/>
            <w:tcMar>
              <w:top w:w="0" w:type="dxa"/>
              <w:left w:w="107" w:type="dxa"/>
              <w:bottom w:w="0" w:type="dxa"/>
              <w:right w:w="107" w:type="dxa"/>
            </w:tcMar>
          </w:tcPr>
          <w:p w14:paraId="1B48589D" w14:textId="77777777" w:rsidR="00F23C79" w:rsidRPr="00537128" w:rsidRDefault="00F23C79" w:rsidP="00F23C79">
            <w:pPr>
              <w:spacing w:after="0" w:line="240" w:lineRule="auto"/>
              <w:rPr>
                <w:rFonts w:ascii="Calibri" w:eastAsia="Times New Roman" w:hAnsi="Calibri" w:cs="Arial"/>
                <w:b/>
                <w:spacing w:val="-3"/>
                <w:lang w:val="en-US"/>
              </w:rPr>
            </w:pPr>
          </w:p>
        </w:tc>
        <w:tc>
          <w:tcPr>
            <w:tcW w:w="703" w:type="pct"/>
            <w:tcMar>
              <w:top w:w="0" w:type="dxa"/>
              <w:left w:w="107" w:type="dxa"/>
              <w:bottom w:w="0" w:type="dxa"/>
              <w:right w:w="107" w:type="dxa"/>
            </w:tcMar>
            <w:vAlign w:val="bottom"/>
            <w:hideMark/>
          </w:tcPr>
          <w:p w14:paraId="417C3D00" w14:textId="77777777" w:rsidR="00F23C79" w:rsidRPr="00537128" w:rsidRDefault="00F23C79" w:rsidP="00F23C79">
            <w:pPr>
              <w:tabs>
                <w:tab w:val="right" w:pos="1202"/>
              </w:tabs>
              <w:spacing w:after="0" w:line="240" w:lineRule="atLeast"/>
              <w:jc w:val="right"/>
              <w:outlineLvl w:val="0"/>
              <w:rPr>
                <w:rFonts w:ascii="Calibri" w:eastAsia="Times New Roman" w:hAnsi="Calibri" w:cs="Arial"/>
                <w:b/>
                <w:lang w:val="en-US"/>
              </w:rPr>
            </w:pPr>
            <w:bookmarkStart w:id="495" w:name="_Toc4059895"/>
            <w:r w:rsidRPr="00537128">
              <w:rPr>
                <w:rFonts w:ascii="Calibri" w:eastAsia="Times New Roman" w:hAnsi="Calibri" w:cs="Arial"/>
                <w:b/>
                <w:lang w:val="en-US"/>
              </w:rPr>
              <w:t>HRK ‘000</w:t>
            </w:r>
            <w:bookmarkEnd w:id="495"/>
          </w:p>
        </w:tc>
        <w:tc>
          <w:tcPr>
            <w:tcW w:w="937" w:type="pct"/>
            <w:tcMar>
              <w:top w:w="0" w:type="dxa"/>
              <w:left w:w="107" w:type="dxa"/>
              <w:bottom w:w="0" w:type="dxa"/>
              <w:right w:w="107" w:type="dxa"/>
            </w:tcMar>
            <w:vAlign w:val="bottom"/>
            <w:hideMark/>
          </w:tcPr>
          <w:p w14:paraId="563D0B28" w14:textId="2DE76EE0" w:rsidR="00F23C79" w:rsidRPr="00537128" w:rsidRDefault="00F23C79" w:rsidP="00F23C79">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HRK ‘000</w:t>
            </w:r>
          </w:p>
        </w:tc>
      </w:tr>
      <w:tr w:rsidR="00F23C79" w:rsidRPr="00537128" w14:paraId="6B667CA9" w14:textId="77777777" w:rsidTr="0049624D">
        <w:trPr>
          <w:trHeight w:val="245"/>
        </w:trPr>
        <w:tc>
          <w:tcPr>
            <w:tcW w:w="3360" w:type="pct"/>
          </w:tcPr>
          <w:p w14:paraId="38C56C8C" w14:textId="77777777" w:rsidR="00F23C79" w:rsidRPr="00537128" w:rsidRDefault="00F23C79" w:rsidP="00F23C79">
            <w:pPr>
              <w:tabs>
                <w:tab w:val="left" w:pos="-1962"/>
              </w:tabs>
              <w:suppressAutoHyphens/>
              <w:spacing w:after="0" w:line="240" w:lineRule="auto"/>
              <w:rPr>
                <w:rFonts w:ascii="Calibri" w:eastAsia="Times New Roman" w:hAnsi="Calibri" w:cs="Arial"/>
                <w:spacing w:val="-3"/>
                <w:lang w:val="en-US"/>
              </w:rPr>
            </w:pPr>
          </w:p>
        </w:tc>
        <w:tc>
          <w:tcPr>
            <w:tcW w:w="703" w:type="pct"/>
            <w:vAlign w:val="bottom"/>
          </w:tcPr>
          <w:p w14:paraId="08E2084F" w14:textId="77777777" w:rsidR="00F23C79" w:rsidRPr="00537128" w:rsidRDefault="00F23C79" w:rsidP="00F23C79">
            <w:pPr>
              <w:suppressAutoHyphens/>
              <w:spacing w:after="0" w:line="240" w:lineRule="auto"/>
              <w:jc w:val="right"/>
              <w:rPr>
                <w:rFonts w:ascii="Calibri" w:eastAsia="Times New Roman" w:hAnsi="Calibri" w:cs="Arial"/>
                <w:b/>
                <w:spacing w:val="-3"/>
                <w:lang w:val="en-US"/>
              </w:rPr>
            </w:pPr>
          </w:p>
        </w:tc>
        <w:tc>
          <w:tcPr>
            <w:tcW w:w="937" w:type="pct"/>
            <w:vAlign w:val="bottom"/>
          </w:tcPr>
          <w:p w14:paraId="6265832F" w14:textId="77777777" w:rsidR="00F23C79" w:rsidRPr="00537128" w:rsidRDefault="00F23C79" w:rsidP="00F23C79">
            <w:pPr>
              <w:suppressAutoHyphens/>
              <w:spacing w:after="0" w:line="240" w:lineRule="auto"/>
              <w:jc w:val="right"/>
              <w:rPr>
                <w:rFonts w:ascii="Calibri" w:eastAsia="Times New Roman" w:hAnsi="Calibri" w:cs="Arial"/>
                <w:b/>
                <w:spacing w:val="-3"/>
                <w:lang w:val="en-US"/>
              </w:rPr>
            </w:pPr>
          </w:p>
        </w:tc>
      </w:tr>
      <w:tr w:rsidR="008C2AEF" w:rsidRPr="00537128" w14:paraId="2F63086E" w14:textId="77777777" w:rsidTr="0049624D">
        <w:trPr>
          <w:trHeight w:val="97"/>
        </w:trPr>
        <w:tc>
          <w:tcPr>
            <w:tcW w:w="3360" w:type="pct"/>
            <w:hideMark/>
          </w:tcPr>
          <w:p w14:paraId="55C95063" w14:textId="542831BC" w:rsidR="008C2AEF" w:rsidRPr="00537128" w:rsidRDefault="008C2AEF" w:rsidP="008C2AEF">
            <w:pPr>
              <w:tabs>
                <w:tab w:val="right" w:pos="1202"/>
              </w:tabs>
              <w:spacing w:after="0" w:line="280" w:lineRule="exact"/>
              <w:outlineLvl w:val="0"/>
              <w:rPr>
                <w:rFonts w:ascii="Calibri" w:eastAsia="Times New Roman" w:hAnsi="Calibri" w:cs="Arial"/>
                <w:spacing w:val="-2"/>
                <w:lang w:val="en-US"/>
              </w:rPr>
            </w:pPr>
            <w:bookmarkStart w:id="496" w:name="_Toc4059897"/>
            <w:r w:rsidRPr="00537128">
              <w:rPr>
                <w:rFonts w:ascii="Calibri" w:eastAsia="Times New Roman" w:hAnsi="Calibri" w:cs="Arial"/>
                <w:spacing w:val="-2"/>
                <w:lang w:val="en-US"/>
              </w:rPr>
              <w:t>Bank deposits</w:t>
            </w:r>
            <w:bookmarkEnd w:id="496"/>
          </w:p>
        </w:tc>
        <w:tc>
          <w:tcPr>
            <w:tcW w:w="703" w:type="pct"/>
            <w:tcBorders>
              <w:top w:val="nil"/>
              <w:left w:val="nil"/>
              <w:bottom w:val="nil"/>
              <w:right w:val="nil"/>
            </w:tcBorders>
            <w:shd w:val="clear" w:color="auto" w:fill="auto"/>
            <w:vAlign w:val="bottom"/>
          </w:tcPr>
          <w:p w14:paraId="271DBC82" w14:textId="7F567397" w:rsidR="008C2AEF" w:rsidRPr="00537128" w:rsidRDefault="008C2AEF" w:rsidP="008C2AEF">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Times New Roman"/>
                <w:color w:val="000000"/>
              </w:rPr>
              <w:t>117,424</w:t>
            </w:r>
          </w:p>
        </w:tc>
        <w:tc>
          <w:tcPr>
            <w:tcW w:w="937" w:type="pct"/>
            <w:vAlign w:val="center"/>
            <w:hideMark/>
          </w:tcPr>
          <w:p w14:paraId="3AD59933" w14:textId="3D8AFEC0" w:rsidR="008C2AEF" w:rsidRPr="00537128" w:rsidRDefault="008C2AEF" w:rsidP="008C2AEF">
            <w:pPr>
              <w:tabs>
                <w:tab w:val="right" w:pos="1202"/>
              </w:tabs>
              <w:spacing w:after="0" w:line="301" w:lineRule="exact"/>
              <w:jc w:val="right"/>
              <w:outlineLvl w:val="0"/>
              <w:rPr>
                <w:rFonts w:ascii="Calibri" w:eastAsia="Times New Roman" w:hAnsi="Calibri" w:cs="Arial"/>
                <w:lang w:val="en-US"/>
              </w:rPr>
            </w:pPr>
            <w:r>
              <w:rPr>
                <w:rFonts w:ascii="Calibri" w:hAnsi="Calibri"/>
                <w:color w:val="000000" w:themeColor="text1"/>
              </w:rPr>
              <w:t>417,163</w:t>
            </w:r>
          </w:p>
        </w:tc>
      </w:tr>
      <w:tr w:rsidR="008C2AEF" w:rsidRPr="00537128" w14:paraId="50071C91" w14:textId="77777777" w:rsidTr="0049624D">
        <w:trPr>
          <w:trHeight w:val="97"/>
        </w:trPr>
        <w:tc>
          <w:tcPr>
            <w:tcW w:w="3360" w:type="pct"/>
            <w:hideMark/>
          </w:tcPr>
          <w:p w14:paraId="054721B5" w14:textId="5A988E16" w:rsidR="008C2AEF" w:rsidRPr="00537128" w:rsidRDefault="008C2AEF" w:rsidP="008C2AEF">
            <w:pPr>
              <w:tabs>
                <w:tab w:val="right" w:pos="1202"/>
              </w:tabs>
              <w:spacing w:after="0" w:line="280" w:lineRule="exact"/>
              <w:outlineLvl w:val="0"/>
              <w:rPr>
                <w:rFonts w:ascii="Calibri" w:eastAsia="Times New Roman" w:hAnsi="Calibri" w:cs="Arial"/>
                <w:spacing w:val="-2"/>
                <w:lang w:val="en-US"/>
              </w:rPr>
            </w:pPr>
            <w:bookmarkStart w:id="497" w:name="_Toc4059902"/>
            <w:r w:rsidRPr="00537128">
              <w:rPr>
                <w:rFonts w:ascii="Calibri" w:eastAsia="Times New Roman" w:hAnsi="Calibri" w:cs="Times New Roman"/>
                <w:lang w:val="en-US"/>
              </w:rPr>
              <w:t>Foreign currency regular accounts of companies</w:t>
            </w:r>
            <w:bookmarkEnd w:id="497"/>
          </w:p>
        </w:tc>
        <w:tc>
          <w:tcPr>
            <w:tcW w:w="703" w:type="pct"/>
            <w:tcBorders>
              <w:top w:val="nil"/>
              <w:left w:val="nil"/>
              <w:bottom w:val="nil"/>
              <w:right w:val="nil"/>
            </w:tcBorders>
            <w:shd w:val="clear" w:color="auto" w:fill="auto"/>
            <w:vAlign w:val="bottom"/>
          </w:tcPr>
          <w:p w14:paraId="14E4C3A5" w14:textId="48268FDD" w:rsidR="008C2AEF" w:rsidRPr="00537128" w:rsidRDefault="008C2AEF" w:rsidP="008C2AEF">
            <w:pPr>
              <w:tabs>
                <w:tab w:val="right" w:pos="1202"/>
              </w:tabs>
              <w:spacing w:after="0" w:line="301" w:lineRule="exact"/>
              <w:jc w:val="right"/>
              <w:outlineLvl w:val="0"/>
              <w:rPr>
                <w:rFonts w:ascii="Calibri" w:eastAsia="Times New Roman" w:hAnsi="Calibri" w:cs="Times New Roman"/>
                <w:lang w:val="en-US"/>
              </w:rPr>
            </w:pPr>
            <w:r>
              <w:rPr>
                <w:rFonts w:ascii="Calibri" w:eastAsia="Times New Roman" w:hAnsi="Calibri" w:cs="Times New Roman"/>
                <w:color w:val="000000"/>
              </w:rPr>
              <w:t>6</w:t>
            </w:r>
          </w:p>
        </w:tc>
        <w:tc>
          <w:tcPr>
            <w:tcW w:w="937" w:type="pct"/>
            <w:vAlign w:val="center"/>
            <w:hideMark/>
          </w:tcPr>
          <w:p w14:paraId="27324ED6" w14:textId="1991D760" w:rsidR="008C2AEF" w:rsidRPr="00537128" w:rsidRDefault="008C2AEF" w:rsidP="008C2AEF">
            <w:pPr>
              <w:tabs>
                <w:tab w:val="right" w:pos="1202"/>
              </w:tabs>
              <w:spacing w:after="0" w:line="301" w:lineRule="exact"/>
              <w:jc w:val="right"/>
              <w:outlineLvl w:val="0"/>
              <w:rPr>
                <w:rFonts w:ascii="Calibri" w:eastAsia="Times New Roman" w:hAnsi="Calibri" w:cs="Arial"/>
                <w:lang w:val="en-US"/>
              </w:rPr>
            </w:pPr>
            <w:r>
              <w:rPr>
                <w:rFonts w:ascii="Calibri" w:hAnsi="Calibri"/>
                <w:color w:val="000000" w:themeColor="text1"/>
              </w:rPr>
              <w:t>6</w:t>
            </w:r>
          </w:p>
        </w:tc>
      </w:tr>
      <w:tr w:rsidR="008C2AEF" w:rsidRPr="00537128" w14:paraId="0C643410" w14:textId="77777777" w:rsidTr="0049624D">
        <w:trPr>
          <w:trHeight w:val="97"/>
        </w:trPr>
        <w:tc>
          <w:tcPr>
            <w:tcW w:w="3360" w:type="pct"/>
            <w:vAlign w:val="bottom"/>
            <w:hideMark/>
          </w:tcPr>
          <w:p w14:paraId="3BDFC2B0" w14:textId="51132FFA" w:rsidR="008C2AEF" w:rsidRPr="00537128" w:rsidRDefault="008C2AEF" w:rsidP="008C2AEF">
            <w:pPr>
              <w:tabs>
                <w:tab w:val="right" w:pos="1202"/>
              </w:tabs>
              <w:spacing w:after="0" w:line="280" w:lineRule="exact"/>
              <w:outlineLvl w:val="0"/>
              <w:rPr>
                <w:rFonts w:ascii="Calibri" w:eastAsia="Times New Roman" w:hAnsi="Calibri" w:cs="Arial"/>
                <w:spacing w:val="-2"/>
                <w:lang w:val="en-US"/>
              </w:rPr>
            </w:pPr>
            <w:bookmarkStart w:id="498" w:name="_Toc4059907"/>
            <w:r w:rsidRPr="00537128">
              <w:rPr>
                <w:rFonts w:ascii="Calibri" w:eastAsia="Times New Roman" w:hAnsi="Calibri" w:cs="Arial"/>
                <w:spacing w:val="-2"/>
                <w:lang w:val="en-US"/>
              </w:rPr>
              <w:t>Foreign currency account of the Ministry of Finance of the Republic of Croatia</w:t>
            </w:r>
            <w:bookmarkEnd w:id="498"/>
          </w:p>
        </w:tc>
        <w:tc>
          <w:tcPr>
            <w:tcW w:w="703" w:type="pct"/>
            <w:tcBorders>
              <w:top w:val="nil"/>
              <w:left w:val="nil"/>
              <w:bottom w:val="nil"/>
              <w:right w:val="nil"/>
            </w:tcBorders>
            <w:shd w:val="clear" w:color="auto" w:fill="auto"/>
            <w:vAlign w:val="bottom"/>
          </w:tcPr>
          <w:p w14:paraId="123CB5E1" w14:textId="5CEFCAB6" w:rsidR="008C2AEF" w:rsidRPr="00537128" w:rsidRDefault="008C2AEF" w:rsidP="008C2AEF">
            <w:pPr>
              <w:tabs>
                <w:tab w:val="right" w:pos="1202"/>
              </w:tabs>
              <w:spacing w:after="0" w:line="301" w:lineRule="exact"/>
              <w:jc w:val="right"/>
              <w:outlineLvl w:val="0"/>
              <w:rPr>
                <w:rFonts w:ascii="Calibri" w:eastAsia="Times New Roman" w:hAnsi="Calibri" w:cs="Arial"/>
                <w:spacing w:val="-2"/>
                <w:lang w:val="en-US"/>
              </w:rPr>
            </w:pPr>
            <w:r>
              <w:rPr>
                <w:rFonts w:ascii="Calibri" w:eastAsia="Times New Roman" w:hAnsi="Calibri" w:cs="Times New Roman"/>
                <w:color w:val="000000"/>
              </w:rPr>
              <w:t>98,961</w:t>
            </w:r>
          </w:p>
        </w:tc>
        <w:tc>
          <w:tcPr>
            <w:tcW w:w="937" w:type="pct"/>
            <w:vAlign w:val="bottom"/>
            <w:hideMark/>
          </w:tcPr>
          <w:p w14:paraId="3E1A2758" w14:textId="20D1229D" w:rsidR="008C2AEF" w:rsidRPr="00537128" w:rsidRDefault="008C2AEF" w:rsidP="008C2AEF">
            <w:pPr>
              <w:tabs>
                <w:tab w:val="right" w:pos="1202"/>
              </w:tabs>
              <w:spacing w:after="0" w:line="301" w:lineRule="exact"/>
              <w:jc w:val="right"/>
              <w:outlineLvl w:val="0"/>
              <w:rPr>
                <w:rFonts w:ascii="Calibri" w:eastAsia="Times New Roman" w:hAnsi="Calibri" w:cs="Arial"/>
                <w:spacing w:val="-2"/>
                <w:lang w:val="en-US"/>
              </w:rPr>
            </w:pPr>
            <w:r>
              <w:rPr>
                <w:rFonts w:ascii="Calibri" w:hAnsi="Calibri"/>
                <w:color w:val="000000" w:themeColor="text1"/>
              </w:rPr>
              <w:t>96,666</w:t>
            </w:r>
          </w:p>
        </w:tc>
      </w:tr>
      <w:tr w:rsidR="008C2AEF" w:rsidRPr="00537128" w14:paraId="367D2AE0" w14:textId="77777777" w:rsidTr="0049624D">
        <w:trPr>
          <w:trHeight w:val="97"/>
        </w:trPr>
        <w:tc>
          <w:tcPr>
            <w:tcW w:w="3360" w:type="pct"/>
            <w:hideMark/>
          </w:tcPr>
          <w:p w14:paraId="7B2DFC29" w14:textId="6E27FED2" w:rsidR="008C2AEF" w:rsidRPr="00537128" w:rsidRDefault="008C2AEF" w:rsidP="008C2AEF">
            <w:pPr>
              <w:tabs>
                <w:tab w:val="right" w:pos="1202"/>
              </w:tabs>
              <w:spacing w:after="0" w:line="280" w:lineRule="exact"/>
              <w:outlineLvl w:val="0"/>
              <w:rPr>
                <w:rFonts w:ascii="Calibri" w:eastAsia="Times New Roman" w:hAnsi="Calibri" w:cs="Arial"/>
                <w:spacing w:val="-2"/>
                <w:lang w:val="en-US"/>
              </w:rPr>
            </w:pPr>
            <w:bookmarkStart w:id="499" w:name="_Toc4059912"/>
            <w:r w:rsidRPr="00537128">
              <w:rPr>
                <w:rFonts w:ascii="Calibri" w:eastAsia="Times New Roman" w:hAnsi="Calibri" w:cs="Arial"/>
                <w:spacing w:val="-2"/>
                <w:lang w:val="en-US"/>
              </w:rPr>
              <w:t>Foreign currency special purpose accounts of the companies</w:t>
            </w:r>
            <w:bookmarkEnd w:id="499"/>
            <w:r w:rsidRPr="00537128">
              <w:rPr>
                <w:rFonts w:ascii="Calibri" w:eastAsia="Times New Roman" w:hAnsi="Calibri" w:cs="Arial"/>
                <w:spacing w:val="-2"/>
                <w:lang w:val="en-US"/>
              </w:rPr>
              <w:t xml:space="preserve"> </w:t>
            </w:r>
          </w:p>
        </w:tc>
        <w:tc>
          <w:tcPr>
            <w:tcW w:w="703" w:type="pct"/>
            <w:tcBorders>
              <w:top w:val="nil"/>
              <w:left w:val="nil"/>
              <w:bottom w:val="nil"/>
              <w:right w:val="nil"/>
            </w:tcBorders>
            <w:shd w:val="clear" w:color="auto" w:fill="auto"/>
            <w:vAlign w:val="bottom"/>
          </w:tcPr>
          <w:p w14:paraId="2E2FB37F" w14:textId="24927C7F" w:rsidR="008C2AEF" w:rsidRPr="00537128" w:rsidRDefault="008C2AEF" w:rsidP="008C2AEF">
            <w:pPr>
              <w:tabs>
                <w:tab w:val="right" w:pos="1202"/>
              </w:tabs>
              <w:spacing w:after="0" w:line="301" w:lineRule="exact"/>
              <w:jc w:val="right"/>
              <w:outlineLvl w:val="0"/>
              <w:rPr>
                <w:rFonts w:ascii="Calibri" w:eastAsia="Times New Roman" w:hAnsi="Calibri" w:cs="Arial"/>
                <w:spacing w:val="-2"/>
                <w:lang w:val="en-US"/>
              </w:rPr>
            </w:pPr>
            <w:r>
              <w:rPr>
                <w:rFonts w:ascii="Calibri" w:eastAsia="Times New Roman" w:hAnsi="Calibri" w:cs="Times New Roman"/>
                <w:color w:val="000000"/>
              </w:rPr>
              <w:t>53,150</w:t>
            </w:r>
          </w:p>
        </w:tc>
        <w:tc>
          <w:tcPr>
            <w:tcW w:w="937" w:type="pct"/>
            <w:vAlign w:val="center"/>
            <w:hideMark/>
          </w:tcPr>
          <w:p w14:paraId="7705D9B0" w14:textId="6038F700" w:rsidR="008C2AEF" w:rsidRPr="00537128" w:rsidRDefault="008C2AEF" w:rsidP="008C2AEF">
            <w:pPr>
              <w:tabs>
                <w:tab w:val="right" w:pos="1202"/>
              </w:tabs>
              <w:spacing w:after="0" w:line="301" w:lineRule="exact"/>
              <w:jc w:val="right"/>
              <w:outlineLvl w:val="0"/>
              <w:rPr>
                <w:rFonts w:ascii="Calibri" w:eastAsia="Times New Roman" w:hAnsi="Calibri" w:cs="Arial"/>
                <w:spacing w:val="-2"/>
                <w:lang w:val="en-US"/>
              </w:rPr>
            </w:pPr>
            <w:r>
              <w:rPr>
                <w:rFonts w:ascii="Calibri" w:hAnsi="Calibri"/>
                <w:color w:val="000000" w:themeColor="text1"/>
              </w:rPr>
              <w:t>58,567</w:t>
            </w:r>
          </w:p>
        </w:tc>
      </w:tr>
      <w:tr w:rsidR="008C2AEF" w:rsidRPr="00537128" w14:paraId="0DF94BB0" w14:textId="77777777" w:rsidTr="0049624D">
        <w:trPr>
          <w:trHeight w:val="97"/>
        </w:trPr>
        <w:tc>
          <w:tcPr>
            <w:tcW w:w="3360" w:type="pct"/>
            <w:vAlign w:val="bottom"/>
            <w:hideMark/>
          </w:tcPr>
          <w:p w14:paraId="7AE2A99D" w14:textId="77777777" w:rsidR="008C2AEF" w:rsidRPr="00537128" w:rsidRDefault="008C2AEF" w:rsidP="008C2AEF">
            <w:pPr>
              <w:spacing w:after="0" w:line="280" w:lineRule="exact"/>
              <w:rPr>
                <w:rFonts w:ascii="Calibri" w:eastAsia="Calibri" w:hAnsi="Calibri" w:cs="Calibri"/>
                <w:spacing w:val="-2"/>
                <w:lang w:val="en-US"/>
              </w:rPr>
            </w:pPr>
            <w:r w:rsidRPr="00537128">
              <w:rPr>
                <w:rFonts w:ascii="Calibri" w:eastAsia="Calibri" w:hAnsi="Calibri" w:cs="Calibri"/>
                <w:spacing w:val="-2"/>
                <w:lang w:val="en-US"/>
              </w:rPr>
              <w:t>Foreign currency special accounts of foreign financial institutions</w:t>
            </w:r>
          </w:p>
        </w:tc>
        <w:tc>
          <w:tcPr>
            <w:tcW w:w="703" w:type="pct"/>
            <w:tcBorders>
              <w:top w:val="nil"/>
              <w:left w:val="nil"/>
              <w:bottom w:val="nil"/>
              <w:right w:val="nil"/>
            </w:tcBorders>
            <w:shd w:val="clear" w:color="auto" w:fill="auto"/>
            <w:vAlign w:val="bottom"/>
          </w:tcPr>
          <w:p w14:paraId="6491EEDC" w14:textId="0E134BA8" w:rsidR="008C2AEF" w:rsidRPr="00537128" w:rsidRDefault="008C2AEF" w:rsidP="008C2AEF">
            <w:pPr>
              <w:tabs>
                <w:tab w:val="right" w:pos="1202"/>
              </w:tabs>
              <w:spacing w:after="0" w:line="301" w:lineRule="exact"/>
              <w:jc w:val="right"/>
              <w:outlineLvl w:val="0"/>
              <w:rPr>
                <w:rFonts w:ascii="Calibri" w:eastAsia="Times New Roman" w:hAnsi="Calibri" w:cs="Arial"/>
                <w:spacing w:val="-2"/>
                <w:lang w:val="en-US"/>
              </w:rPr>
            </w:pPr>
            <w:r>
              <w:rPr>
                <w:rFonts w:ascii="Calibri" w:eastAsia="Times New Roman" w:hAnsi="Calibri" w:cs="Times New Roman"/>
                <w:color w:val="000000"/>
              </w:rPr>
              <w:t>1,480</w:t>
            </w:r>
          </w:p>
        </w:tc>
        <w:tc>
          <w:tcPr>
            <w:tcW w:w="937" w:type="pct"/>
            <w:vAlign w:val="bottom"/>
            <w:hideMark/>
          </w:tcPr>
          <w:p w14:paraId="4D854D74" w14:textId="3F951A91" w:rsidR="008C2AEF" w:rsidRPr="00537128" w:rsidRDefault="008C2AEF" w:rsidP="008C2AEF">
            <w:pPr>
              <w:tabs>
                <w:tab w:val="right" w:pos="1202"/>
              </w:tabs>
              <w:spacing w:after="0" w:line="301" w:lineRule="exact"/>
              <w:jc w:val="right"/>
              <w:outlineLvl w:val="0"/>
              <w:rPr>
                <w:rFonts w:ascii="Calibri" w:eastAsia="Times New Roman" w:hAnsi="Calibri" w:cs="Times New Roman"/>
                <w:color w:val="000000"/>
                <w:lang w:val="en-US"/>
              </w:rPr>
            </w:pPr>
            <w:r>
              <w:rPr>
                <w:rFonts w:ascii="Calibri" w:hAnsi="Calibri"/>
                <w:color w:val="000000" w:themeColor="text1"/>
              </w:rPr>
              <w:t>3,059</w:t>
            </w:r>
          </w:p>
        </w:tc>
      </w:tr>
      <w:tr w:rsidR="008C2AEF" w:rsidRPr="00537128" w14:paraId="4A58756C" w14:textId="77777777" w:rsidTr="0049624D">
        <w:trPr>
          <w:trHeight w:val="97"/>
        </w:trPr>
        <w:tc>
          <w:tcPr>
            <w:tcW w:w="3360" w:type="pct"/>
            <w:vAlign w:val="bottom"/>
            <w:hideMark/>
          </w:tcPr>
          <w:p w14:paraId="2FD94BAC" w14:textId="5A25A3C6" w:rsidR="008C2AEF" w:rsidRPr="00537128" w:rsidRDefault="008C2AEF" w:rsidP="008C2AEF">
            <w:pPr>
              <w:tabs>
                <w:tab w:val="right" w:pos="1202"/>
              </w:tabs>
              <w:spacing w:after="0" w:line="280" w:lineRule="exact"/>
              <w:outlineLvl w:val="0"/>
              <w:rPr>
                <w:rFonts w:ascii="Calibri" w:eastAsia="Times New Roman" w:hAnsi="Calibri" w:cs="Arial"/>
                <w:spacing w:val="-2"/>
                <w:lang w:val="en-US"/>
              </w:rPr>
            </w:pPr>
            <w:bookmarkStart w:id="500" w:name="_Toc4059917"/>
            <w:r w:rsidRPr="00537128">
              <w:rPr>
                <w:rFonts w:ascii="Calibri" w:eastAsia="Times New Roman" w:hAnsi="Calibri" w:cs="Arial"/>
                <w:spacing w:val="-2"/>
                <w:lang w:val="en-US"/>
              </w:rPr>
              <w:t>State institutions’ deposits</w:t>
            </w:r>
            <w:bookmarkEnd w:id="500"/>
          </w:p>
        </w:tc>
        <w:tc>
          <w:tcPr>
            <w:tcW w:w="703" w:type="pct"/>
            <w:tcBorders>
              <w:top w:val="nil"/>
              <w:left w:val="nil"/>
              <w:bottom w:val="nil"/>
              <w:right w:val="nil"/>
            </w:tcBorders>
            <w:shd w:val="clear" w:color="auto" w:fill="auto"/>
            <w:vAlign w:val="bottom"/>
          </w:tcPr>
          <w:p w14:paraId="3E38C9D2" w14:textId="57B30F61" w:rsidR="008C2AEF" w:rsidRPr="00537128" w:rsidRDefault="008C2AEF" w:rsidP="008C2AEF">
            <w:pPr>
              <w:tabs>
                <w:tab w:val="right" w:pos="1202"/>
              </w:tabs>
              <w:spacing w:after="0" w:line="301" w:lineRule="exact"/>
              <w:jc w:val="right"/>
              <w:outlineLvl w:val="0"/>
              <w:rPr>
                <w:rFonts w:ascii="Calibri" w:eastAsia="Times New Roman" w:hAnsi="Calibri" w:cs="Arial"/>
                <w:spacing w:val="-2"/>
                <w:lang w:val="en-US"/>
              </w:rPr>
            </w:pPr>
            <w:r>
              <w:rPr>
                <w:rFonts w:ascii="Calibri" w:eastAsia="Times New Roman" w:hAnsi="Calibri" w:cs="Times New Roman"/>
                <w:color w:val="000000"/>
              </w:rPr>
              <w:t>295,440</w:t>
            </w:r>
          </w:p>
        </w:tc>
        <w:tc>
          <w:tcPr>
            <w:tcW w:w="937" w:type="pct"/>
            <w:vAlign w:val="center"/>
            <w:hideMark/>
          </w:tcPr>
          <w:p w14:paraId="23A349F1" w14:textId="7BC12C17" w:rsidR="008C2AEF" w:rsidRPr="00537128" w:rsidRDefault="008C2AEF" w:rsidP="008C2AEF">
            <w:pPr>
              <w:tabs>
                <w:tab w:val="right" w:pos="1202"/>
              </w:tabs>
              <w:spacing w:after="0" w:line="301" w:lineRule="exact"/>
              <w:jc w:val="right"/>
              <w:outlineLvl w:val="0"/>
              <w:rPr>
                <w:rFonts w:ascii="Calibri" w:eastAsia="Times New Roman" w:hAnsi="Calibri" w:cs="Arial"/>
                <w:spacing w:val="-2"/>
                <w:lang w:val="en-US"/>
              </w:rPr>
            </w:pPr>
            <w:r>
              <w:rPr>
                <w:rFonts w:ascii="Calibri" w:hAnsi="Calibri"/>
                <w:color w:val="000000" w:themeColor="text1"/>
              </w:rPr>
              <w:t>341,810</w:t>
            </w:r>
          </w:p>
        </w:tc>
      </w:tr>
      <w:tr w:rsidR="008C2AEF" w:rsidRPr="00537128" w14:paraId="22AFDB06" w14:textId="77777777" w:rsidTr="0049624D">
        <w:trPr>
          <w:trHeight w:val="97"/>
        </w:trPr>
        <w:tc>
          <w:tcPr>
            <w:tcW w:w="3360" w:type="pct"/>
            <w:hideMark/>
          </w:tcPr>
          <w:p w14:paraId="3E9D8607" w14:textId="4B0AAC24" w:rsidR="008C2AEF" w:rsidRPr="00537128" w:rsidRDefault="008C2AEF" w:rsidP="008C2AEF">
            <w:pPr>
              <w:tabs>
                <w:tab w:val="right" w:pos="1202"/>
              </w:tabs>
              <w:spacing w:after="0" w:line="280" w:lineRule="exact"/>
              <w:outlineLvl w:val="0"/>
              <w:rPr>
                <w:rFonts w:ascii="Calibri" w:eastAsia="Times New Roman" w:hAnsi="Calibri" w:cs="Arial"/>
                <w:spacing w:val="-2"/>
                <w:lang w:val="en-US"/>
              </w:rPr>
            </w:pPr>
            <w:bookmarkStart w:id="501" w:name="_Toc4059922"/>
            <w:r w:rsidRPr="00537128">
              <w:rPr>
                <w:rFonts w:ascii="Calibri" w:eastAsia="Times New Roman" w:hAnsi="Calibri" w:cs="Arial"/>
                <w:spacing w:val="-2"/>
                <w:lang w:val="en-US"/>
              </w:rPr>
              <w:t>Other deposits</w:t>
            </w:r>
            <w:bookmarkEnd w:id="501"/>
          </w:p>
        </w:tc>
        <w:tc>
          <w:tcPr>
            <w:tcW w:w="703" w:type="pct"/>
            <w:tcBorders>
              <w:top w:val="nil"/>
              <w:left w:val="nil"/>
              <w:bottom w:val="single" w:sz="4" w:space="0" w:color="auto"/>
              <w:right w:val="nil"/>
            </w:tcBorders>
            <w:shd w:val="clear" w:color="auto" w:fill="auto"/>
            <w:vAlign w:val="bottom"/>
          </w:tcPr>
          <w:p w14:paraId="3C2B938F" w14:textId="4694A9F3" w:rsidR="008C2AEF" w:rsidRPr="00537128" w:rsidRDefault="008C2AEF" w:rsidP="008C2AEF">
            <w:pPr>
              <w:tabs>
                <w:tab w:val="right" w:pos="1202"/>
              </w:tabs>
              <w:spacing w:after="0" w:line="301" w:lineRule="exact"/>
              <w:jc w:val="right"/>
              <w:outlineLvl w:val="0"/>
              <w:rPr>
                <w:rFonts w:ascii="Calibri" w:eastAsia="Times New Roman" w:hAnsi="Calibri" w:cs="Arial"/>
                <w:spacing w:val="-2"/>
                <w:lang w:val="en-US"/>
              </w:rPr>
            </w:pPr>
            <w:r>
              <w:rPr>
                <w:rFonts w:ascii="Calibri" w:eastAsia="Times New Roman" w:hAnsi="Calibri" w:cs="Times New Roman"/>
                <w:color w:val="000000"/>
              </w:rPr>
              <w:t>41,076</w:t>
            </w:r>
          </w:p>
        </w:tc>
        <w:tc>
          <w:tcPr>
            <w:tcW w:w="937" w:type="pct"/>
            <w:tcBorders>
              <w:top w:val="nil"/>
              <w:left w:val="nil"/>
              <w:bottom w:val="single" w:sz="4" w:space="0" w:color="auto"/>
              <w:right w:val="nil"/>
            </w:tcBorders>
            <w:vAlign w:val="center"/>
            <w:hideMark/>
          </w:tcPr>
          <w:p w14:paraId="6EC8A6B2" w14:textId="7ECD2312" w:rsidR="008C2AEF" w:rsidRPr="00537128" w:rsidRDefault="008C2AEF" w:rsidP="008C2AEF">
            <w:pPr>
              <w:tabs>
                <w:tab w:val="right" w:pos="1202"/>
              </w:tabs>
              <w:spacing w:after="0" w:line="301" w:lineRule="exact"/>
              <w:jc w:val="right"/>
              <w:outlineLvl w:val="0"/>
              <w:rPr>
                <w:rFonts w:ascii="Calibri" w:eastAsia="Times New Roman" w:hAnsi="Calibri" w:cs="Arial"/>
                <w:spacing w:val="-2"/>
                <w:lang w:val="en-US"/>
              </w:rPr>
            </w:pPr>
            <w:r>
              <w:rPr>
                <w:rFonts w:ascii="Calibri" w:hAnsi="Calibri"/>
                <w:color w:val="000000" w:themeColor="text1"/>
              </w:rPr>
              <w:t>43,270</w:t>
            </w:r>
          </w:p>
        </w:tc>
      </w:tr>
      <w:tr w:rsidR="008C2AEF" w:rsidRPr="00537128" w14:paraId="60428498" w14:textId="77777777" w:rsidTr="0049624D">
        <w:trPr>
          <w:trHeight w:val="97"/>
        </w:trPr>
        <w:tc>
          <w:tcPr>
            <w:tcW w:w="3360" w:type="pct"/>
          </w:tcPr>
          <w:p w14:paraId="4F723F6F" w14:textId="77777777" w:rsidR="008C2AEF" w:rsidRPr="00537128" w:rsidRDefault="008C2AEF" w:rsidP="008C2AEF">
            <w:pPr>
              <w:tabs>
                <w:tab w:val="right" w:pos="1202"/>
              </w:tabs>
              <w:spacing w:after="0" w:line="340" w:lineRule="exact"/>
              <w:outlineLvl w:val="0"/>
              <w:rPr>
                <w:rFonts w:ascii="Calibri" w:eastAsia="Times New Roman" w:hAnsi="Calibri" w:cs="Arial"/>
                <w:b/>
                <w:bCs/>
                <w:lang w:val="en-US"/>
              </w:rPr>
            </w:pPr>
          </w:p>
        </w:tc>
        <w:tc>
          <w:tcPr>
            <w:tcW w:w="703" w:type="pct"/>
            <w:tcBorders>
              <w:top w:val="single" w:sz="4" w:space="0" w:color="auto"/>
              <w:bottom w:val="single" w:sz="12" w:space="0" w:color="auto"/>
            </w:tcBorders>
            <w:vAlign w:val="bottom"/>
          </w:tcPr>
          <w:p w14:paraId="6CF85F63" w14:textId="1013A3FC" w:rsidR="008C2AEF" w:rsidRPr="00537128" w:rsidRDefault="008C2AEF" w:rsidP="008C2AEF">
            <w:pPr>
              <w:tabs>
                <w:tab w:val="right" w:pos="1202"/>
              </w:tabs>
              <w:spacing w:after="0" w:line="340" w:lineRule="exact"/>
              <w:jc w:val="right"/>
              <w:outlineLvl w:val="0"/>
              <w:rPr>
                <w:rFonts w:ascii="Calibri" w:eastAsia="Times New Roman" w:hAnsi="Calibri" w:cs="Arial"/>
                <w:b/>
                <w:bCs/>
                <w:lang w:val="en-US"/>
              </w:rPr>
            </w:pPr>
            <w:r>
              <w:rPr>
                <w:rFonts w:ascii="Calibri" w:eastAsia="Times New Roman" w:hAnsi="Calibri" w:cs="Arial"/>
                <w:b/>
                <w:bCs/>
                <w:color w:val="000000"/>
              </w:rPr>
              <w:t>607,537</w:t>
            </w:r>
          </w:p>
        </w:tc>
        <w:tc>
          <w:tcPr>
            <w:tcW w:w="937" w:type="pct"/>
            <w:tcBorders>
              <w:top w:val="single" w:sz="4" w:space="0" w:color="auto"/>
              <w:left w:val="nil"/>
              <w:bottom w:val="single" w:sz="12" w:space="0" w:color="auto"/>
              <w:right w:val="nil"/>
            </w:tcBorders>
            <w:vAlign w:val="bottom"/>
            <w:hideMark/>
          </w:tcPr>
          <w:p w14:paraId="0F703F8C" w14:textId="6178A3A1" w:rsidR="008C2AEF" w:rsidRPr="00537128" w:rsidRDefault="008C2AEF" w:rsidP="008C2AEF">
            <w:pPr>
              <w:tabs>
                <w:tab w:val="right" w:pos="1202"/>
              </w:tabs>
              <w:spacing w:after="0" w:line="340" w:lineRule="exact"/>
              <w:jc w:val="right"/>
              <w:outlineLvl w:val="0"/>
              <w:rPr>
                <w:rFonts w:ascii="Calibri" w:eastAsia="Times New Roman" w:hAnsi="Calibri" w:cs="Arial"/>
                <w:b/>
                <w:bCs/>
                <w:lang w:val="en-US"/>
              </w:rPr>
            </w:pPr>
            <w:r>
              <w:rPr>
                <w:rFonts w:cs="Arial"/>
                <w:b/>
                <w:bCs/>
                <w:color w:val="000000" w:themeColor="text1"/>
              </w:rPr>
              <w:t>960,541</w:t>
            </w:r>
          </w:p>
        </w:tc>
      </w:tr>
    </w:tbl>
    <w:p w14:paraId="1A5420E1" w14:textId="5E714B4D" w:rsidR="00F23C79" w:rsidRPr="00537128" w:rsidRDefault="00F23C79" w:rsidP="0064795D">
      <w:pPr>
        <w:tabs>
          <w:tab w:val="left" w:pos="567"/>
        </w:tabs>
        <w:spacing w:after="0" w:line="240" w:lineRule="auto"/>
        <w:rPr>
          <w:rFonts w:ascii="Calibri" w:eastAsia="Times New Roman" w:hAnsi="Calibri" w:cs="Arial"/>
          <w:bCs/>
          <w:color w:val="000000" w:themeColor="text1"/>
          <w:sz w:val="20"/>
          <w:lang w:val="en-US"/>
        </w:rPr>
      </w:pPr>
    </w:p>
    <w:p w14:paraId="05371D24" w14:textId="468E78E2" w:rsidR="00905277" w:rsidRDefault="00F23C79" w:rsidP="00905277">
      <w:pPr>
        <w:jc w:val="both"/>
        <w:rPr>
          <w:rFonts w:ascii="Calibri" w:hAnsi="Calibri" w:cs="Calibri"/>
          <w:b/>
          <w:bCs/>
          <w:color w:val="000000"/>
          <w:lang w:val="en-GB" w:eastAsia="hr-HR"/>
        </w:rPr>
      </w:pPr>
      <w:r w:rsidRPr="00781F6C">
        <w:rPr>
          <w:rFonts w:ascii="Calibri" w:eastAsia="Times New Roman" w:hAnsi="Calibri" w:cs="Times New Roman"/>
          <w:color w:val="000000" w:themeColor="text1"/>
          <w:lang w:val="en-US"/>
        </w:rPr>
        <w:t>Bank deposits in 202</w:t>
      </w:r>
      <w:r w:rsidR="00F26265" w:rsidRPr="00781F6C">
        <w:rPr>
          <w:rFonts w:ascii="Calibri" w:eastAsia="Times New Roman" w:hAnsi="Calibri" w:cs="Times New Roman"/>
          <w:color w:val="000000" w:themeColor="text1"/>
          <w:lang w:val="en-US"/>
        </w:rPr>
        <w:t>2</w:t>
      </w:r>
      <w:r w:rsidRPr="00781F6C">
        <w:rPr>
          <w:rFonts w:ascii="Calibri" w:eastAsia="Times New Roman" w:hAnsi="Calibri" w:cs="Times New Roman"/>
          <w:color w:val="000000" w:themeColor="text1"/>
          <w:lang w:val="en-US"/>
        </w:rPr>
        <w:t xml:space="preserve"> relate to </w:t>
      </w:r>
      <w:proofErr w:type="spellStart"/>
      <w:r w:rsidRPr="00781F6C">
        <w:rPr>
          <w:rFonts w:ascii="Calibri" w:eastAsia="Times New Roman" w:hAnsi="Calibri" w:cs="Times New Roman"/>
          <w:color w:val="000000" w:themeColor="text1"/>
          <w:lang w:val="en-US"/>
        </w:rPr>
        <w:t>loro</w:t>
      </w:r>
      <w:proofErr w:type="spellEnd"/>
      <w:r w:rsidRPr="00781F6C">
        <w:rPr>
          <w:rFonts w:ascii="Calibri" w:eastAsia="Times New Roman" w:hAnsi="Calibri" w:cs="Times New Roman"/>
          <w:color w:val="000000" w:themeColor="text1"/>
          <w:lang w:val="en-US"/>
        </w:rPr>
        <w:t xml:space="preserve"> deposits </w:t>
      </w:r>
      <w:r w:rsidR="00905277" w:rsidRPr="00781F6C">
        <w:rPr>
          <w:rFonts w:ascii="Calibri" w:hAnsi="Calibri" w:cs="Calibri"/>
          <w:color w:val="000000"/>
          <w:lang w:val="en-GB"/>
        </w:rPr>
        <w:t xml:space="preserve">of the </w:t>
      </w:r>
      <w:r w:rsidR="00905277" w:rsidRPr="00781F6C">
        <w:rPr>
          <w:rFonts w:ascii="Calibri" w:hAnsi="Calibri"/>
          <w:color w:val="000000" w:themeColor="text1"/>
        </w:rPr>
        <w:t>Bulgarian Development Bank AD</w:t>
      </w:r>
      <w:r w:rsidR="00905277" w:rsidRPr="00781F6C">
        <w:rPr>
          <w:rFonts w:ascii="Calibri" w:hAnsi="Calibri" w:cs="Calibri"/>
          <w:color w:val="000000"/>
          <w:lang w:val="en-GB"/>
        </w:rPr>
        <w:t>.</w:t>
      </w:r>
    </w:p>
    <w:p w14:paraId="68E58DA5" w14:textId="60439F7C" w:rsidR="00F23C79" w:rsidRPr="00904471" w:rsidRDefault="00F23C79" w:rsidP="00F23C79">
      <w:pPr>
        <w:spacing w:after="0" w:line="240" w:lineRule="auto"/>
        <w:jc w:val="both"/>
        <w:rPr>
          <w:rFonts w:ascii="Calibri" w:eastAsia="Times New Roman" w:hAnsi="Calibri" w:cs="Times New Roman"/>
          <w:color w:val="000000" w:themeColor="text1"/>
          <w:lang w:val="en-US"/>
        </w:rPr>
      </w:pPr>
      <w:r w:rsidRPr="00904471">
        <w:rPr>
          <w:rFonts w:ascii="Calibri" w:eastAsia="Times New Roman" w:hAnsi="Calibri" w:cs="Times New Roman"/>
          <w:color w:val="000000" w:themeColor="text1"/>
          <w:lang w:val="en-US"/>
        </w:rPr>
        <w:t>The foreign currency account of the Ministry of Finance of the Republic of Croatia relates to the Export Insurance Guarantee Fund comprising of reinsurance premiums paid for export insurance operations of HRK 9</w:t>
      </w:r>
      <w:r w:rsidR="00904471" w:rsidRPr="00904471">
        <w:rPr>
          <w:rFonts w:ascii="Calibri" w:eastAsia="Times New Roman" w:hAnsi="Calibri" w:cs="Times New Roman"/>
          <w:color w:val="000000" w:themeColor="text1"/>
          <w:lang w:val="en-US"/>
        </w:rPr>
        <w:t>8</w:t>
      </w:r>
      <w:r w:rsidRPr="00904471">
        <w:rPr>
          <w:rFonts w:ascii="Calibri" w:eastAsia="Times New Roman" w:hAnsi="Calibri" w:cs="Times New Roman"/>
          <w:color w:val="000000" w:themeColor="text1"/>
          <w:lang w:val="en-US"/>
        </w:rPr>
        <w:t>,</w:t>
      </w:r>
      <w:r w:rsidR="00904471" w:rsidRPr="00904471">
        <w:rPr>
          <w:rFonts w:ascii="Calibri" w:eastAsia="Times New Roman" w:hAnsi="Calibri" w:cs="Times New Roman"/>
          <w:color w:val="000000" w:themeColor="text1"/>
          <w:lang w:val="en-US"/>
        </w:rPr>
        <w:t>961</w:t>
      </w:r>
      <w:r w:rsidRPr="00904471">
        <w:rPr>
          <w:rFonts w:ascii="Calibri" w:eastAsia="Times New Roman" w:hAnsi="Calibri" w:cs="Times New Roman"/>
          <w:color w:val="000000" w:themeColor="text1"/>
          <w:lang w:val="en-US"/>
        </w:rPr>
        <w:t xml:space="preserve"> thousand (31 December 202</w:t>
      </w:r>
      <w:r w:rsidR="00D42E2E" w:rsidRPr="00904471">
        <w:rPr>
          <w:rFonts w:ascii="Calibri" w:eastAsia="Times New Roman" w:hAnsi="Calibri" w:cs="Times New Roman"/>
          <w:color w:val="000000" w:themeColor="text1"/>
          <w:lang w:val="en-US"/>
        </w:rPr>
        <w:t>1</w:t>
      </w:r>
      <w:r w:rsidRPr="00904471">
        <w:rPr>
          <w:rFonts w:ascii="Calibri" w:eastAsia="Times New Roman" w:hAnsi="Calibri" w:cs="Times New Roman"/>
          <w:color w:val="000000" w:themeColor="text1"/>
          <w:lang w:val="en-US"/>
        </w:rPr>
        <w:t>: HRK 9</w:t>
      </w:r>
      <w:r w:rsidR="00D42E2E" w:rsidRPr="00904471">
        <w:rPr>
          <w:rFonts w:ascii="Calibri" w:eastAsia="Times New Roman" w:hAnsi="Calibri" w:cs="Times New Roman"/>
          <w:color w:val="000000" w:themeColor="text1"/>
          <w:lang w:val="en-US"/>
        </w:rPr>
        <w:t>6</w:t>
      </w:r>
      <w:r w:rsidRPr="00904471">
        <w:rPr>
          <w:rFonts w:ascii="Calibri" w:eastAsia="Times New Roman" w:hAnsi="Calibri" w:cs="Times New Roman"/>
          <w:color w:val="000000" w:themeColor="text1"/>
          <w:lang w:val="en-US"/>
        </w:rPr>
        <w:t>,</w:t>
      </w:r>
      <w:r w:rsidR="00D42E2E" w:rsidRPr="00904471">
        <w:rPr>
          <w:rFonts w:ascii="Calibri" w:eastAsia="Times New Roman" w:hAnsi="Calibri" w:cs="Times New Roman"/>
          <w:color w:val="000000" w:themeColor="text1"/>
          <w:lang w:val="en-US"/>
        </w:rPr>
        <w:t>666</w:t>
      </w:r>
      <w:r w:rsidRPr="00904471">
        <w:rPr>
          <w:rFonts w:ascii="Calibri" w:eastAsia="Times New Roman" w:hAnsi="Calibri" w:cs="Times New Roman"/>
          <w:color w:val="000000" w:themeColor="text1"/>
          <w:lang w:val="en-US"/>
        </w:rPr>
        <w:t xml:space="preserve"> thousand</w:t>
      </w:r>
      <w:r w:rsidR="00CD41CD" w:rsidRPr="00904471">
        <w:rPr>
          <w:rFonts w:ascii="Calibri" w:eastAsia="Times New Roman" w:hAnsi="Calibri" w:cs="Times New Roman"/>
          <w:color w:val="000000" w:themeColor="text1"/>
          <w:lang w:val="en-US"/>
        </w:rPr>
        <w:t>)</w:t>
      </w:r>
      <w:r w:rsidR="00E11F32" w:rsidRPr="00904471">
        <w:rPr>
          <w:rFonts w:ascii="Calibri" w:eastAsia="Times New Roman" w:hAnsi="Calibri" w:cs="Times New Roman"/>
          <w:color w:val="000000" w:themeColor="text1"/>
          <w:lang w:val="en-US"/>
        </w:rPr>
        <w:t>.</w:t>
      </w:r>
    </w:p>
    <w:p w14:paraId="4977E428" w14:textId="77777777" w:rsidR="00F23C79" w:rsidRPr="006120E4" w:rsidRDefault="00F23C79" w:rsidP="00F23C79">
      <w:pPr>
        <w:spacing w:after="0" w:line="240" w:lineRule="auto"/>
        <w:jc w:val="both"/>
        <w:rPr>
          <w:rFonts w:ascii="Calibri" w:eastAsia="Times New Roman" w:hAnsi="Calibri" w:cs="Times New Roman"/>
          <w:color w:val="000000" w:themeColor="text1"/>
          <w:highlight w:val="yellow"/>
          <w:lang w:val="en-US"/>
        </w:rPr>
      </w:pPr>
    </w:p>
    <w:p w14:paraId="1778BDFB" w14:textId="77777777" w:rsidR="00F23C79" w:rsidRPr="005B3EC0" w:rsidRDefault="00F23C79" w:rsidP="00F23C79">
      <w:pPr>
        <w:spacing w:after="0" w:line="240" w:lineRule="auto"/>
        <w:jc w:val="both"/>
        <w:rPr>
          <w:rFonts w:ascii="Calibri" w:eastAsia="Times New Roman" w:hAnsi="Calibri" w:cs="Times New Roman"/>
          <w:color w:val="000000" w:themeColor="text1"/>
          <w:lang w:val="en-US"/>
        </w:rPr>
      </w:pPr>
      <w:r w:rsidRPr="005B3EC0">
        <w:rPr>
          <w:rFonts w:ascii="Calibri" w:eastAsia="Times New Roman" w:hAnsi="Calibri" w:cs="Times New Roman"/>
          <w:color w:val="000000" w:themeColor="text1"/>
          <w:lang w:val="en-US"/>
        </w:rPr>
        <w:t xml:space="preserve">State institution’s demand deposits relate to the Bank's operations carried out for and on behalf of the Ministry of Finance, the Ministry of the Sea, Transport and Infrastructure, the Ministry of Agriculture, the Ministry of Regional Development and EU Funds, the company </w:t>
      </w:r>
      <w:proofErr w:type="spellStart"/>
      <w:r w:rsidRPr="005B3EC0">
        <w:rPr>
          <w:rFonts w:ascii="Calibri" w:eastAsia="Times New Roman" w:hAnsi="Calibri" w:cs="Times New Roman"/>
          <w:color w:val="000000" w:themeColor="text1"/>
          <w:lang w:val="en-US"/>
        </w:rPr>
        <w:t>Vodovod</w:t>
      </w:r>
      <w:proofErr w:type="spellEnd"/>
      <w:r w:rsidRPr="005B3EC0">
        <w:rPr>
          <w:rFonts w:ascii="Calibri" w:eastAsia="Times New Roman" w:hAnsi="Calibri" w:cs="Times New Roman"/>
          <w:color w:val="000000" w:themeColor="text1"/>
          <w:lang w:val="en-US"/>
        </w:rPr>
        <w:t xml:space="preserve"> i </w:t>
      </w:r>
      <w:proofErr w:type="spellStart"/>
      <w:r w:rsidRPr="005B3EC0">
        <w:rPr>
          <w:rFonts w:ascii="Calibri" w:eastAsia="Times New Roman" w:hAnsi="Calibri" w:cs="Times New Roman"/>
          <w:color w:val="000000" w:themeColor="text1"/>
          <w:lang w:val="en-US"/>
        </w:rPr>
        <w:t>kanalizacija</w:t>
      </w:r>
      <w:proofErr w:type="spellEnd"/>
      <w:r w:rsidRPr="005B3EC0">
        <w:rPr>
          <w:rFonts w:ascii="Calibri" w:eastAsia="Times New Roman" w:hAnsi="Calibri" w:cs="Times New Roman"/>
          <w:color w:val="000000" w:themeColor="text1"/>
          <w:lang w:val="en-US"/>
        </w:rPr>
        <w:t xml:space="preserve"> d.o.o., Split and the Croatian Agency for SMEs, </w:t>
      </w:r>
      <w:proofErr w:type="gramStart"/>
      <w:r w:rsidRPr="005B3EC0">
        <w:rPr>
          <w:rFonts w:ascii="Calibri" w:eastAsia="Times New Roman" w:hAnsi="Calibri" w:cs="Times New Roman"/>
          <w:color w:val="000000" w:themeColor="text1"/>
          <w:lang w:val="en-US"/>
        </w:rPr>
        <w:t>Innovations</w:t>
      </w:r>
      <w:proofErr w:type="gramEnd"/>
      <w:r w:rsidRPr="005B3EC0">
        <w:rPr>
          <w:rFonts w:ascii="Calibri" w:eastAsia="Times New Roman" w:hAnsi="Calibri" w:cs="Times New Roman"/>
          <w:color w:val="000000" w:themeColor="text1"/>
          <w:lang w:val="en-US"/>
        </w:rPr>
        <w:t xml:space="preserve"> and Investments (“HAMAG-BICRO”).</w:t>
      </w:r>
    </w:p>
    <w:p w14:paraId="0E1D0BCC" w14:textId="77777777" w:rsidR="00F23C79" w:rsidRPr="006120E4" w:rsidRDefault="00F23C79" w:rsidP="00F23C79">
      <w:pPr>
        <w:spacing w:after="0" w:line="240" w:lineRule="auto"/>
        <w:jc w:val="both"/>
        <w:rPr>
          <w:rFonts w:ascii="Calibri" w:eastAsia="Times New Roman" w:hAnsi="Calibri" w:cs="Times New Roman"/>
          <w:color w:val="000000" w:themeColor="text1"/>
          <w:highlight w:val="yellow"/>
          <w:lang w:val="en-US"/>
        </w:rPr>
      </w:pPr>
    </w:p>
    <w:p w14:paraId="0B5A3AC6" w14:textId="77777777" w:rsidR="00F23C79" w:rsidRPr="00440FE8" w:rsidRDefault="00F23C79" w:rsidP="00F23C79">
      <w:pPr>
        <w:spacing w:after="0" w:line="240" w:lineRule="auto"/>
        <w:jc w:val="both"/>
        <w:rPr>
          <w:rFonts w:ascii="Calibri" w:eastAsia="Times New Roman" w:hAnsi="Calibri" w:cs="Times New Roman"/>
          <w:color w:val="000000" w:themeColor="text1"/>
          <w:lang w:val="en-US"/>
        </w:rPr>
      </w:pPr>
      <w:r w:rsidRPr="00440FE8">
        <w:rPr>
          <w:rFonts w:ascii="Calibri" w:eastAsia="Times New Roman" w:hAnsi="Calibri" w:cs="Times New Roman"/>
          <w:color w:val="000000" w:themeColor="text1"/>
          <w:lang w:val="en-US"/>
        </w:rPr>
        <w:t>Foreign currency special purpose accounts of the companies relate to the inflow of funds and disposition of the advance payment funds paid to the company’s account in relation to the issued guarantees of HBOR for the repayment of advance for export transactions. The funds of the advance are used exclusively for the specified purpose of implementation of an export contract, with the consent of HBOR.</w:t>
      </w:r>
    </w:p>
    <w:p w14:paraId="1F8D711C" w14:textId="77777777" w:rsidR="00F23C79" w:rsidRPr="006120E4" w:rsidRDefault="00F23C79" w:rsidP="00F23C79">
      <w:pPr>
        <w:spacing w:after="0" w:line="240" w:lineRule="auto"/>
        <w:jc w:val="both"/>
        <w:rPr>
          <w:rFonts w:ascii="Calibri" w:eastAsia="Times New Roman" w:hAnsi="Calibri" w:cs="Times New Roman"/>
          <w:color w:val="000000" w:themeColor="text1"/>
          <w:highlight w:val="yellow"/>
          <w:lang w:val="en-US"/>
        </w:rPr>
      </w:pPr>
    </w:p>
    <w:p w14:paraId="1038F4F9" w14:textId="310F2904" w:rsidR="00F23C79" w:rsidRPr="00537128" w:rsidRDefault="00F23C79" w:rsidP="00F23C79">
      <w:pPr>
        <w:spacing w:after="0" w:line="240" w:lineRule="auto"/>
        <w:jc w:val="both"/>
        <w:rPr>
          <w:rFonts w:ascii="Calibri" w:eastAsia="Times New Roman" w:hAnsi="Calibri" w:cs="Times New Roman"/>
          <w:color w:val="000000" w:themeColor="text1"/>
          <w:lang w:val="en-US"/>
        </w:rPr>
      </w:pPr>
      <w:r w:rsidRPr="006120E4">
        <w:rPr>
          <w:rFonts w:ascii="Calibri" w:eastAsia="Times New Roman" w:hAnsi="Calibri" w:cs="Times New Roman"/>
          <w:color w:val="000000" w:themeColor="text1"/>
          <w:lang w:val="en-US"/>
        </w:rPr>
        <w:t xml:space="preserve">Foreign currency special accounts of foreign financial institutions relate to the proceeds of ELENA grant, and it relates to the first tranche of 40% of ELENA grant amount upon signing of the Finance Contract in the amount of EUR 839 thousand, reduced by funds used for the intended purpose and account balance on 31 </w:t>
      </w:r>
      <w:r w:rsidRPr="003D471F">
        <w:rPr>
          <w:rFonts w:ascii="Calibri" w:eastAsia="Times New Roman" w:hAnsi="Calibri" w:cs="Times New Roman"/>
          <w:color w:val="000000" w:themeColor="text1"/>
          <w:lang w:val="en-US"/>
        </w:rPr>
        <w:t>March 202</w:t>
      </w:r>
      <w:r w:rsidR="004E10FD" w:rsidRPr="003D471F">
        <w:rPr>
          <w:rFonts w:ascii="Calibri" w:eastAsia="Times New Roman" w:hAnsi="Calibri" w:cs="Times New Roman"/>
          <w:color w:val="000000" w:themeColor="text1"/>
          <w:lang w:val="en-US"/>
        </w:rPr>
        <w:t>2</w:t>
      </w:r>
      <w:r w:rsidRPr="003D471F">
        <w:rPr>
          <w:rFonts w:ascii="Calibri" w:eastAsia="Times New Roman" w:hAnsi="Calibri" w:cs="Times New Roman"/>
          <w:color w:val="000000" w:themeColor="text1"/>
          <w:lang w:val="en-US"/>
        </w:rPr>
        <w:t xml:space="preserve"> amounted to HRK </w:t>
      </w:r>
      <w:r w:rsidR="00110A98" w:rsidRPr="003D471F">
        <w:rPr>
          <w:rFonts w:ascii="Calibri" w:eastAsia="Times New Roman" w:hAnsi="Calibri" w:cs="Times New Roman"/>
          <w:color w:val="000000" w:themeColor="text1"/>
          <w:lang w:val="en-US"/>
        </w:rPr>
        <w:t>1,480</w:t>
      </w:r>
      <w:r w:rsidRPr="003D471F">
        <w:rPr>
          <w:rFonts w:ascii="Calibri" w:eastAsia="Times New Roman" w:hAnsi="Calibri" w:cs="Times New Roman"/>
          <w:color w:val="000000" w:themeColor="text1"/>
          <w:lang w:val="en-US"/>
        </w:rPr>
        <w:t xml:space="preserve"> thousand (</w:t>
      </w:r>
      <w:r w:rsidRPr="006120E4">
        <w:rPr>
          <w:rFonts w:ascii="Calibri" w:eastAsia="Times New Roman" w:hAnsi="Calibri" w:cs="Times New Roman"/>
          <w:color w:val="000000" w:themeColor="text1"/>
          <w:lang w:val="en-US"/>
        </w:rPr>
        <w:t>31 December 202</w:t>
      </w:r>
      <w:r w:rsidR="004E10FD" w:rsidRPr="006120E4">
        <w:rPr>
          <w:rFonts w:ascii="Calibri" w:eastAsia="Times New Roman" w:hAnsi="Calibri" w:cs="Times New Roman"/>
          <w:color w:val="000000" w:themeColor="text1"/>
          <w:lang w:val="en-US"/>
        </w:rPr>
        <w:t>1</w:t>
      </w:r>
      <w:r w:rsidRPr="006120E4">
        <w:rPr>
          <w:rFonts w:ascii="Calibri" w:eastAsia="Times New Roman" w:hAnsi="Calibri" w:cs="Times New Roman"/>
          <w:color w:val="000000" w:themeColor="text1"/>
          <w:lang w:val="en-US"/>
        </w:rPr>
        <w:t xml:space="preserve">: HRK </w:t>
      </w:r>
      <w:r w:rsidR="004E10FD" w:rsidRPr="006120E4">
        <w:rPr>
          <w:rFonts w:ascii="Calibri" w:eastAsia="Times New Roman" w:hAnsi="Calibri" w:cs="Times New Roman"/>
          <w:color w:val="000000" w:themeColor="text1"/>
          <w:lang w:val="en-US"/>
        </w:rPr>
        <w:t>3</w:t>
      </w:r>
      <w:r w:rsidRPr="006120E4">
        <w:rPr>
          <w:rFonts w:ascii="Calibri" w:eastAsia="Times New Roman" w:hAnsi="Calibri" w:cs="Times New Roman"/>
          <w:color w:val="000000" w:themeColor="text1"/>
          <w:lang w:val="en-US"/>
        </w:rPr>
        <w:t>,</w:t>
      </w:r>
      <w:r w:rsidR="004E10FD" w:rsidRPr="006120E4">
        <w:rPr>
          <w:rFonts w:ascii="Calibri" w:eastAsia="Times New Roman" w:hAnsi="Calibri" w:cs="Times New Roman"/>
          <w:color w:val="000000" w:themeColor="text1"/>
          <w:lang w:val="en-US"/>
        </w:rPr>
        <w:t>059</w:t>
      </w:r>
      <w:r w:rsidRPr="006120E4">
        <w:rPr>
          <w:rFonts w:ascii="Calibri" w:eastAsia="Times New Roman" w:hAnsi="Calibri" w:cs="Times New Roman"/>
          <w:color w:val="000000" w:themeColor="text1"/>
          <w:lang w:val="en-US"/>
        </w:rPr>
        <w:t xml:space="preserve"> thousand).</w:t>
      </w:r>
    </w:p>
    <w:p w14:paraId="741AB7F7" w14:textId="77777777" w:rsidR="00F23C79" w:rsidRPr="00537128" w:rsidRDefault="00F23C79" w:rsidP="00F23C79">
      <w:pPr>
        <w:spacing w:after="0" w:line="240" w:lineRule="auto"/>
        <w:jc w:val="both"/>
        <w:rPr>
          <w:rFonts w:ascii="Calibri" w:eastAsia="Times New Roman" w:hAnsi="Calibri" w:cs="Times New Roman"/>
          <w:color w:val="000000" w:themeColor="text1"/>
          <w:lang w:val="en-US"/>
        </w:rPr>
      </w:pPr>
    </w:p>
    <w:p w14:paraId="49FADAC9" w14:textId="401071D2" w:rsidR="00F23C79" w:rsidRPr="00537128" w:rsidRDefault="00F23C79" w:rsidP="00F23C79">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Times New Roman"/>
          <w:color w:val="000000" w:themeColor="text1"/>
          <w:lang w:val="en-US"/>
        </w:rPr>
        <w:t>HBOR does not pay interest on the above deposits.</w:t>
      </w:r>
    </w:p>
    <w:p w14:paraId="643BEF8E" w14:textId="3D74EED3" w:rsidR="00F23C79" w:rsidRPr="00537128" w:rsidRDefault="00F23C79" w:rsidP="00FF5A95">
      <w:pPr>
        <w:spacing w:after="0" w:line="240" w:lineRule="auto"/>
        <w:jc w:val="both"/>
        <w:rPr>
          <w:rFonts w:ascii="Calibri" w:eastAsia="Times New Roman" w:hAnsi="Calibri" w:cs="Arial"/>
          <w:color w:val="000000" w:themeColor="text1"/>
          <w:lang w:val="en-US"/>
        </w:rPr>
        <w:sectPr w:rsidR="00F23C79" w:rsidRPr="00537128">
          <w:pgSz w:w="11906" w:h="16838"/>
          <w:pgMar w:top="1417" w:right="1417" w:bottom="1417" w:left="1417" w:header="708" w:footer="708" w:gutter="0"/>
          <w:cols w:space="708"/>
          <w:docGrid w:linePitch="360"/>
        </w:sectPr>
      </w:pPr>
    </w:p>
    <w:p w14:paraId="6A62044F" w14:textId="77777777" w:rsidR="001E6C68" w:rsidRPr="00537128" w:rsidRDefault="001E6C68" w:rsidP="001E6C68">
      <w:pPr>
        <w:tabs>
          <w:tab w:val="left" w:pos="567"/>
        </w:tabs>
        <w:spacing w:after="0" w:line="240" w:lineRule="auto"/>
        <w:rPr>
          <w:rFonts w:ascii="Calibri" w:eastAsia="Times New Roman" w:hAnsi="Calibri" w:cs="Arial"/>
          <w:b/>
          <w:bCs/>
          <w:color w:val="000000" w:themeColor="text1"/>
          <w:sz w:val="20"/>
          <w:lang w:val="en-US"/>
        </w:rPr>
      </w:pPr>
    </w:p>
    <w:p w14:paraId="4D4C2FDA" w14:textId="77777777" w:rsidR="001E6C68" w:rsidRPr="00537128" w:rsidRDefault="001E6C68" w:rsidP="005B7D9D">
      <w:pPr>
        <w:pStyle w:val="ListParagraph"/>
        <w:numPr>
          <w:ilvl w:val="0"/>
          <w:numId w:val="15"/>
        </w:numPr>
        <w:tabs>
          <w:tab w:val="left" w:pos="567"/>
        </w:tabs>
        <w:spacing w:after="0" w:line="240" w:lineRule="auto"/>
        <w:rPr>
          <w:rFonts w:ascii="Calibri" w:eastAsia="Times New Roman" w:hAnsi="Calibri" w:cs="Arial"/>
          <w:b/>
          <w:bCs/>
          <w:color w:val="000000" w:themeColor="text1"/>
          <w:lang w:val="en-US"/>
        </w:rPr>
      </w:pPr>
      <w:r w:rsidRPr="00537128">
        <w:rPr>
          <w:rFonts w:ascii="Calibri" w:eastAsia="Times New Roman" w:hAnsi="Calibri" w:cs="Arial"/>
          <w:b/>
          <w:bCs/>
          <w:color w:val="000000" w:themeColor="text1"/>
          <w:lang w:val="en-US"/>
        </w:rPr>
        <w:t>Borrowings</w:t>
      </w:r>
    </w:p>
    <w:p w14:paraId="7ED4A046" w14:textId="77777777" w:rsidR="001E6C68" w:rsidRPr="00537128" w:rsidRDefault="001E6C68" w:rsidP="001E6C68">
      <w:pPr>
        <w:tabs>
          <w:tab w:val="left" w:pos="567"/>
        </w:tabs>
        <w:spacing w:after="0" w:line="240" w:lineRule="auto"/>
        <w:rPr>
          <w:rFonts w:ascii="Calibri" w:eastAsia="Times New Roman" w:hAnsi="Calibri" w:cs="Arial"/>
          <w:b/>
          <w:bCs/>
          <w:color w:val="000000" w:themeColor="text1"/>
          <w:sz w:val="20"/>
          <w:lang w:val="en-US"/>
        </w:rPr>
      </w:pPr>
    </w:p>
    <w:tbl>
      <w:tblPr>
        <w:tblW w:w="4900" w:type="pct"/>
        <w:tblCellMar>
          <w:left w:w="119" w:type="dxa"/>
          <w:right w:w="119" w:type="dxa"/>
        </w:tblCellMar>
        <w:tblLook w:val="04A0" w:firstRow="1" w:lastRow="0" w:firstColumn="1" w:lastColumn="0" w:noHBand="0" w:noVBand="1"/>
      </w:tblPr>
      <w:tblGrid>
        <w:gridCol w:w="4445"/>
        <w:gridCol w:w="2225"/>
        <w:gridCol w:w="2221"/>
      </w:tblGrid>
      <w:tr w:rsidR="0069122F" w:rsidRPr="00537128" w14:paraId="129A5229" w14:textId="77777777" w:rsidTr="0069122F">
        <w:trPr>
          <w:trHeight w:hRule="exact" w:val="351"/>
        </w:trPr>
        <w:tc>
          <w:tcPr>
            <w:tcW w:w="2500" w:type="pct"/>
            <w:vAlign w:val="center"/>
          </w:tcPr>
          <w:p w14:paraId="0D7DA487" w14:textId="77777777" w:rsidR="0069122F" w:rsidRPr="00537128" w:rsidRDefault="0069122F" w:rsidP="0069122F">
            <w:pPr>
              <w:tabs>
                <w:tab w:val="left" w:pos="-1963"/>
              </w:tabs>
              <w:suppressAutoHyphens/>
              <w:spacing w:after="0" w:line="240" w:lineRule="auto"/>
              <w:jc w:val="center"/>
              <w:rPr>
                <w:rFonts w:ascii="Calibri" w:eastAsia="Times New Roman" w:hAnsi="Calibri" w:cs="Arial"/>
                <w:spacing w:val="-3"/>
                <w:lang w:val="en-US"/>
              </w:rPr>
            </w:pPr>
          </w:p>
        </w:tc>
        <w:tc>
          <w:tcPr>
            <w:tcW w:w="2500" w:type="pct"/>
            <w:gridSpan w:val="2"/>
            <w:vAlign w:val="center"/>
            <w:hideMark/>
          </w:tcPr>
          <w:p w14:paraId="281D9999" w14:textId="77777777" w:rsidR="0069122F" w:rsidRPr="00537128" w:rsidRDefault="0069122F" w:rsidP="0069122F">
            <w:pPr>
              <w:tabs>
                <w:tab w:val="right" w:pos="1202"/>
              </w:tabs>
              <w:spacing w:after="0" w:line="220" w:lineRule="exact"/>
              <w:jc w:val="right"/>
              <w:outlineLvl w:val="0"/>
              <w:rPr>
                <w:rFonts w:ascii="Calibri" w:eastAsia="Times New Roman" w:hAnsi="Calibri" w:cs="Arial"/>
                <w:b/>
                <w:lang w:val="en-US"/>
              </w:rPr>
            </w:pPr>
            <w:bookmarkStart w:id="502" w:name="_Toc4059931"/>
            <w:r w:rsidRPr="00537128">
              <w:rPr>
                <w:rFonts w:ascii="Calibri" w:eastAsia="Times New Roman" w:hAnsi="Calibri" w:cs="Arial"/>
                <w:b/>
                <w:lang w:val="en-US"/>
              </w:rPr>
              <w:t>Group</w:t>
            </w:r>
            <w:bookmarkEnd w:id="502"/>
            <w:r w:rsidRPr="00537128">
              <w:rPr>
                <w:rFonts w:ascii="Calibri" w:eastAsia="Times New Roman" w:hAnsi="Calibri" w:cs="Arial"/>
                <w:b/>
                <w:lang w:val="en-US"/>
              </w:rPr>
              <w:t xml:space="preserve"> and Bank</w:t>
            </w:r>
          </w:p>
        </w:tc>
      </w:tr>
      <w:tr w:rsidR="0069122F" w:rsidRPr="00537128" w14:paraId="42F5F564" w14:textId="77777777" w:rsidTr="0069122F">
        <w:trPr>
          <w:trHeight w:hRule="exact" w:val="323"/>
        </w:trPr>
        <w:tc>
          <w:tcPr>
            <w:tcW w:w="2500" w:type="pct"/>
            <w:vAlign w:val="center"/>
          </w:tcPr>
          <w:p w14:paraId="454E9EA0" w14:textId="77777777" w:rsidR="0069122F" w:rsidRPr="00537128" w:rsidRDefault="0069122F" w:rsidP="0069122F">
            <w:pPr>
              <w:tabs>
                <w:tab w:val="left" w:pos="-1963"/>
              </w:tabs>
              <w:suppressAutoHyphens/>
              <w:spacing w:after="0" w:line="240" w:lineRule="auto"/>
              <w:jc w:val="center"/>
              <w:rPr>
                <w:rFonts w:ascii="Calibri" w:eastAsia="Times New Roman" w:hAnsi="Calibri" w:cs="Arial"/>
                <w:spacing w:val="-3"/>
                <w:lang w:val="en-US"/>
              </w:rPr>
            </w:pPr>
          </w:p>
        </w:tc>
        <w:tc>
          <w:tcPr>
            <w:tcW w:w="1251" w:type="pct"/>
            <w:hideMark/>
          </w:tcPr>
          <w:p w14:paraId="74282EA6" w14:textId="74FACD21" w:rsidR="0069122F" w:rsidRPr="00537128" w:rsidRDefault="0069122F" w:rsidP="0069122F">
            <w:pPr>
              <w:spacing w:after="0" w:line="240" w:lineRule="auto"/>
              <w:jc w:val="right"/>
              <w:rPr>
                <w:rFonts w:ascii="Calibri" w:eastAsia="Times New Roman" w:hAnsi="Calibri" w:cs="Arial"/>
                <w:b/>
                <w:bCs/>
                <w:lang w:val="en-US"/>
              </w:rPr>
            </w:pPr>
            <w:r w:rsidRPr="00537128">
              <w:rPr>
                <w:rFonts w:ascii="Calibri" w:eastAsia="Times New Roman" w:hAnsi="Calibri" w:cs="Arial"/>
                <w:b/>
                <w:bCs/>
                <w:lang w:val="en-US"/>
              </w:rPr>
              <w:t>31 March 202</w:t>
            </w:r>
            <w:r w:rsidR="00CF2EA6">
              <w:rPr>
                <w:rFonts w:ascii="Calibri" w:eastAsia="Times New Roman" w:hAnsi="Calibri" w:cs="Arial"/>
                <w:b/>
                <w:bCs/>
                <w:lang w:val="en-US"/>
              </w:rPr>
              <w:t>2</w:t>
            </w:r>
          </w:p>
        </w:tc>
        <w:tc>
          <w:tcPr>
            <w:tcW w:w="1249" w:type="pct"/>
            <w:hideMark/>
          </w:tcPr>
          <w:p w14:paraId="44927DEE" w14:textId="0F059158" w:rsidR="0069122F" w:rsidRPr="00537128" w:rsidRDefault="0069122F" w:rsidP="0069122F">
            <w:pPr>
              <w:spacing w:after="0" w:line="240" w:lineRule="auto"/>
              <w:jc w:val="right"/>
              <w:rPr>
                <w:rFonts w:ascii="Calibri" w:eastAsia="Times New Roman" w:hAnsi="Calibri" w:cs="Arial"/>
                <w:b/>
                <w:bCs/>
                <w:lang w:val="en-US"/>
              </w:rPr>
            </w:pPr>
            <w:r w:rsidRPr="00537128">
              <w:rPr>
                <w:rFonts w:ascii="Calibri" w:eastAsia="Times New Roman" w:hAnsi="Calibri" w:cs="Arial"/>
                <w:b/>
                <w:bCs/>
                <w:lang w:val="en-US"/>
              </w:rPr>
              <w:t>31 December 202</w:t>
            </w:r>
            <w:r w:rsidR="00CF2EA6">
              <w:rPr>
                <w:rFonts w:ascii="Calibri" w:eastAsia="Times New Roman" w:hAnsi="Calibri" w:cs="Arial"/>
                <w:b/>
                <w:bCs/>
                <w:lang w:val="en-US"/>
              </w:rPr>
              <w:t>1</w:t>
            </w:r>
          </w:p>
        </w:tc>
      </w:tr>
      <w:tr w:rsidR="0069122F" w:rsidRPr="00537128" w14:paraId="1192C149" w14:textId="77777777" w:rsidTr="0069122F">
        <w:trPr>
          <w:trHeight w:hRule="exact" w:val="234"/>
        </w:trPr>
        <w:tc>
          <w:tcPr>
            <w:tcW w:w="2500" w:type="pct"/>
          </w:tcPr>
          <w:p w14:paraId="70D3E6AD" w14:textId="77777777" w:rsidR="0069122F" w:rsidRPr="00537128" w:rsidRDefault="0069122F" w:rsidP="0069122F">
            <w:pPr>
              <w:tabs>
                <w:tab w:val="left" w:pos="-1963"/>
              </w:tabs>
              <w:suppressAutoHyphens/>
              <w:spacing w:after="0" w:line="240" w:lineRule="auto"/>
              <w:jc w:val="center"/>
              <w:rPr>
                <w:rFonts w:ascii="Calibri" w:eastAsia="Times New Roman" w:hAnsi="Calibri" w:cs="Arial"/>
                <w:spacing w:val="-3"/>
                <w:lang w:val="en-US"/>
              </w:rPr>
            </w:pPr>
          </w:p>
        </w:tc>
        <w:tc>
          <w:tcPr>
            <w:tcW w:w="1251" w:type="pct"/>
            <w:hideMark/>
          </w:tcPr>
          <w:p w14:paraId="0C456387" w14:textId="77777777" w:rsidR="0069122F" w:rsidRPr="00537128" w:rsidRDefault="0069122F" w:rsidP="0069122F">
            <w:pPr>
              <w:spacing w:after="0" w:line="240" w:lineRule="auto"/>
              <w:jc w:val="right"/>
              <w:rPr>
                <w:rFonts w:ascii="Calibri" w:eastAsia="Times New Roman" w:hAnsi="Calibri" w:cs="Arial"/>
                <w:b/>
                <w:bCs/>
                <w:color w:val="000000"/>
                <w:lang w:val="en-US"/>
              </w:rPr>
            </w:pPr>
            <w:r w:rsidRPr="00537128">
              <w:rPr>
                <w:rFonts w:ascii="Calibri" w:eastAsia="Times New Roman" w:hAnsi="Calibri" w:cs="Arial"/>
                <w:b/>
                <w:bCs/>
                <w:lang w:val="en-US"/>
              </w:rPr>
              <w:t>HRK ‘000</w:t>
            </w:r>
          </w:p>
        </w:tc>
        <w:tc>
          <w:tcPr>
            <w:tcW w:w="1249" w:type="pct"/>
            <w:hideMark/>
          </w:tcPr>
          <w:p w14:paraId="5D07DC14" w14:textId="4F37728B" w:rsidR="0069122F" w:rsidRPr="00537128" w:rsidRDefault="0069122F" w:rsidP="0069122F">
            <w:pPr>
              <w:spacing w:after="0" w:line="240" w:lineRule="auto"/>
              <w:jc w:val="right"/>
              <w:rPr>
                <w:rFonts w:ascii="Calibri" w:eastAsia="Times New Roman" w:hAnsi="Calibri" w:cs="Arial"/>
                <w:b/>
                <w:bCs/>
                <w:color w:val="000000"/>
                <w:lang w:val="en-US"/>
              </w:rPr>
            </w:pPr>
            <w:r w:rsidRPr="00537128">
              <w:rPr>
                <w:rFonts w:ascii="Calibri" w:eastAsia="Times New Roman" w:hAnsi="Calibri" w:cs="Arial"/>
                <w:b/>
                <w:bCs/>
                <w:lang w:val="en-US"/>
              </w:rPr>
              <w:t>HRK ‘000</w:t>
            </w:r>
          </w:p>
        </w:tc>
      </w:tr>
      <w:tr w:rsidR="007D29EA" w:rsidRPr="00537128" w14:paraId="6D4A2EEB" w14:textId="77777777" w:rsidTr="009B4B1A">
        <w:trPr>
          <w:trHeight w:val="322"/>
        </w:trPr>
        <w:tc>
          <w:tcPr>
            <w:tcW w:w="2500" w:type="pct"/>
            <w:hideMark/>
          </w:tcPr>
          <w:p w14:paraId="460DD513" w14:textId="77777777" w:rsidR="007D29EA" w:rsidRPr="00537128" w:rsidRDefault="007D29EA" w:rsidP="007D29EA">
            <w:pPr>
              <w:tabs>
                <w:tab w:val="right" w:pos="1202"/>
              </w:tabs>
              <w:spacing w:after="0" w:line="301" w:lineRule="exact"/>
              <w:outlineLvl w:val="0"/>
              <w:rPr>
                <w:rFonts w:ascii="Calibri" w:eastAsia="Times New Roman" w:hAnsi="Calibri" w:cs="Arial"/>
                <w:lang w:val="en-US"/>
              </w:rPr>
            </w:pPr>
            <w:bookmarkStart w:id="503" w:name="_Toc4059933"/>
            <w:r w:rsidRPr="00537128">
              <w:rPr>
                <w:rFonts w:ascii="Calibri" w:eastAsia="Times New Roman" w:hAnsi="Calibri" w:cs="Arial"/>
                <w:lang w:val="en-US"/>
              </w:rPr>
              <w:t>Balance as of 1 January</w:t>
            </w:r>
            <w:bookmarkEnd w:id="503"/>
            <w:r w:rsidRPr="00537128">
              <w:rPr>
                <w:rFonts w:ascii="Calibri" w:eastAsia="Times New Roman" w:hAnsi="Calibri" w:cs="Arial"/>
                <w:lang w:val="en-US"/>
              </w:rPr>
              <w:t xml:space="preserve"> </w:t>
            </w:r>
          </w:p>
        </w:tc>
        <w:tc>
          <w:tcPr>
            <w:tcW w:w="1251" w:type="pct"/>
            <w:tcBorders>
              <w:top w:val="nil"/>
              <w:left w:val="nil"/>
              <w:bottom w:val="nil"/>
              <w:right w:val="nil"/>
            </w:tcBorders>
            <w:shd w:val="clear" w:color="auto" w:fill="auto"/>
            <w:vAlign w:val="bottom"/>
          </w:tcPr>
          <w:p w14:paraId="1BB425A7" w14:textId="3583C22A" w:rsidR="007D29EA" w:rsidRPr="00537128" w:rsidRDefault="007D29EA" w:rsidP="007D29EA">
            <w:pPr>
              <w:tabs>
                <w:tab w:val="right" w:pos="1202"/>
              </w:tabs>
              <w:spacing w:after="0" w:line="301" w:lineRule="exact"/>
              <w:jc w:val="right"/>
              <w:outlineLvl w:val="0"/>
              <w:rPr>
                <w:rFonts w:ascii="Calibri" w:eastAsia="Calibri" w:hAnsi="Calibri" w:cs="Times New Roman"/>
                <w:color w:val="000000"/>
                <w:lang w:val="en-US"/>
              </w:rPr>
            </w:pPr>
            <w:r>
              <w:rPr>
                <w:rFonts w:ascii="Calibri" w:eastAsia="Times New Roman" w:hAnsi="Calibri" w:cs="Calibri"/>
                <w:color w:val="000000"/>
              </w:rPr>
              <w:t>16</w:t>
            </w:r>
            <w:r w:rsidR="00266555">
              <w:rPr>
                <w:rFonts w:ascii="Calibri" w:eastAsia="Times New Roman" w:hAnsi="Calibri" w:cs="Calibri"/>
                <w:color w:val="000000"/>
              </w:rPr>
              <w:t>,</w:t>
            </w:r>
            <w:r>
              <w:rPr>
                <w:rFonts w:ascii="Calibri" w:eastAsia="Times New Roman" w:hAnsi="Calibri" w:cs="Calibri"/>
                <w:color w:val="000000"/>
              </w:rPr>
              <w:t>104</w:t>
            </w:r>
            <w:r w:rsidR="00266555">
              <w:rPr>
                <w:rFonts w:ascii="Calibri" w:eastAsia="Times New Roman" w:hAnsi="Calibri" w:cs="Calibri"/>
                <w:color w:val="000000"/>
              </w:rPr>
              <w:t>,</w:t>
            </w:r>
            <w:r>
              <w:rPr>
                <w:rFonts w:ascii="Calibri" w:eastAsia="Times New Roman" w:hAnsi="Calibri" w:cs="Calibri"/>
                <w:color w:val="000000"/>
              </w:rPr>
              <w:t>000</w:t>
            </w:r>
          </w:p>
        </w:tc>
        <w:tc>
          <w:tcPr>
            <w:tcW w:w="1249" w:type="pct"/>
            <w:vAlign w:val="bottom"/>
            <w:hideMark/>
          </w:tcPr>
          <w:p w14:paraId="691532C9" w14:textId="670DD569" w:rsidR="007D29EA" w:rsidRPr="00537128" w:rsidRDefault="007D29EA" w:rsidP="007D29EA">
            <w:pPr>
              <w:tabs>
                <w:tab w:val="right" w:pos="1202"/>
              </w:tabs>
              <w:spacing w:after="0" w:line="301" w:lineRule="exact"/>
              <w:jc w:val="right"/>
              <w:outlineLvl w:val="0"/>
              <w:rPr>
                <w:rFonts w:ascii="Calibri" w:eastAsia="Calibri" w:hAnsi="Calibri" w:cs="Times New Roman"/>
                <w:color w:val="000000"/>
                <w:lang w:val="en-US"/>
              </w:rPr>
            </w:pPr>
            <w:r>
              <w:rPr>
                <w:rFonts w:cstheme="minorHAnsi"/>
                <w:color w:val="000000" w:themeColor="text1"/>
              </w:rPr>
              <w:t>16,852,094</w:t>
            </w:r>
          </w:p>
        </w:tc>
      </w:tr>
      <w:tr w:rsidR="007D29EA" w:rsidRPr="00537128" w14:paraId="30CF249B" w14:textId="77777777" w:rsidTr="009B4B1A">
        <w:trPr>
          <w:trHeight w:val="308"/>
        </w:trPr>
        <w:tc>
          <w:tcPr>
            <w:tcW w:w="2500" w:type="pct"/>
            <w:hideMark/>
          </w:tcPr>
          <w:p w14:paraId="51F6EEC6" w14:textId="77777777" w:rsidR="007D29EA" w:rsidRPr="00537128" w:rsidRDefault="007D29EA" w:rsidP="007D29EA">
            <w:pPr>
              <w:tabs>
                <w:tab w:val="right" w:pos="1202"/>
              </w:tabs>
              <w:spacing w:after="0" w:line="301" w:lineRule="exact"/>
              <w:outlineLvl w:val="0"/>
              <w:rPr>
                <w:rFonts w:ascii="Calibri" w:eastAsia="Times New Roman" w:hAnsi="Calibri" w:cs="Arial"/>
                <w:lang w:val="en-US"/>
              </w:rPr>
            </w:pPr>
            <w:bookmarkStart w:id="504" w:name="_Toc4059938"/>
            <w:r w:rsidRPr="00537128">
              <w:rPr>
                <w:rFonts w:ascii="Calibri" w:eastAsia="Times New Roman" w:hAnsi="Calibri" w:cs="Arial"/>
                <w:lang w:val="en-US"/>
              </w:rPr>
              <w:t>New borrowings</w:t>
            </w:r>
            <w:bookmarkEnd w:id="504"/>
          </w:p>
        </w:tc>
        <w:tc>
          <w:tcPr>
            <w:tcW w:w="1251" w:type="pct"/>
            <w:tcBorders>
              <w:top w:val="nil"/>
              <w:left w:val="nil"/>
              <w:bottom w:val="nil"/>
              <w:right w:val="nil"/>
            </w:tcBorders>
            <w:shd w:val="clear" w:color="auto" w:fill="auto"/>
            <w:vAlign w:val="bottom"/>
          </w:tcPr>
          <w:p w14:paraId="0932F015" w14:textId="50F3F678" w:rsidR="007D29EA" w:rsidRPr="00537128" w:rsidRDefault="007D29EA" w:rsidP="007D29EA">
            <w:pPr>
              <w:tabs>
                <w:tab w:val="right" w:pos="1202"/>
              </w:tabs>
              <w:spacing w:after="0" w:line="301" w:lineRule="exact"/>
              <w:jc w:val="right"/>
              <w:outlineLvl w:val="0"/>
              <w:rPr>
                <w:rFonts w:ascii="Calibri" w:eastAsia="Calibri" w:hAnsi="Calibri" w:cs="Times New Roman"/>
                <w:color w:val="000000"/>
                <w:lang w:val="en-US"/>
              </w:rPr>
            </w:pPr>
            <w:r>
              <w:rPr>
                <w:rFonts w:ascii="Calibri" w:eastAsia="Times New Roman" w:hAnsi="Calibri" w:cs="Calibri"/>
                <w:color w:val="000000"/>
              </w:rPr>
              <w:t>152</w:t>
            </w:r>
            <w:r w:rsidR="00266555">
              <w:rPr>
                <w:rFonts w:ascii="Calibri" w:eastAsia="Times New Roman" w:hAnsi="Calibri" w:cs="Calibri"/>
                <w:color w:val="000000"/>
              </w:rPr>
              <w:t>,</w:t>
            </w:r>
            <w:r>
              <w:rPr>
                <w:rFonts w:ascii="Calibri" w:eastAsia="Times New Roman" w:hAnsi="Calibri" w:cs="Calibri"/>
                <w:color w:val="000000"/>
              </w:rPr>
              <w:t>693</w:t>
            </w:r>
          </w:p>
        </w:tc>
        <w:tc>
          <w:tcPr>
            <w:tcW w:w="1249" w:type="pct"/>
            <w:vAlign w:val="bottom"/>
            <w:hideMark/>
          </w:tcPr>
          <w:p w14:paraId="02311A6B" w14:textId="436D328E" w:rsidR="007D29EA" w:rsidRPr="00537128" w:rsidRDefault="007D29EA" w:rsidP="007D29EA">
            <w:pPr>
              <w:tabs>
                <w:tab w:val="right" w:pos="1202"/>
              </w:tabs>
              <w:spacing w:after="0" w:line="301" w:lineRule="exact"/>
              <w:jc w:val="right"/>
              <w:outlineLvl w:val="0"/>
              <w:rPr>
                <w:rFonts w:ascii="Calibri" w:eastAsia="Calibri" w:hAnsi="Calibri" w:cs="Times New Roman"/>
                <w:color w:val="000000"/>
                <w:lang w:val="en-US"/>
              </w:rPr>
            </w:pPr>
            <w:r>
              <w:rPr>
                <w:rFonts w:cstheme="minorHAnsi"/>
                <w:color w:val="000000" w:themeColor="text1"/>
              </w:rPr>
              <w:t>1,668,482</w:t>
            </w:r>
          </w:p>
        </w:tc>
      </w:tr>
      <w:tr w:rsidR="007D29EA" w:rsidRPr="00537128" w14:paraId="058292E7" w14:textId="77777777" w:rsidTr="009B4B1A">
        <w:trPr>
          <w:trHeight w:val="308"/>
        </w:trPr>
        <w:tc>
          <w:tcPr>
            <w:tcW w:w="2500" w:type="pct"/>
            <w:hideMark/>
          </w:tcPr>
          <w:p w14:paraId="15BC2ED2" w14:textId="77777777" w:rsidR="007D29EA" w:rsidRPr="00537128" w:rsidRDefault="007D29EA" w:rsidP="007D29EA">
            <w:pPr>
              <w:tabs>
                <w:tab w:val="right" w:pos="1202"/>
              </w:tabs>
              <w:spacing w:after="0" w:line="301" w:lineRule="exact"/>
              <w:outlineLvl w:val="0"/>
              <w:rPr>
                <w:rFonts w:ascii="Calibri" w:eastAsia="Times New Roman" w:hAnsi="Calibri" w:cs="Arial"/>
                <w:lang w:val="en-US"/>
              </w:rPr>
            </w:pPr>
            <w:bookmarkStart w:id="505" w:name="_Toc4059943"/>
            <w:r w:rsidRPr="00537128">
              <w:rPr>
                <w:rFonts w:ascii="Calibri" w:eastAsia="Times New Roman" w:hAnsi="Calibri" w:cs="Arial"/>
                <w:lang w:val="en-US"/>
              </w:rPr>
              <w:t>Repayments</w:t>
            </w:r>
            <w:bookmarkEnd w:id="505"/>
          </w:p>
        </w:tc>
        <w:tc>
          <w:tcPr>
            <w:tcW w:w="1251" w:type="pct"/>
            <w:tcBorders>
              <w:top w:val="nil"/>
              <w:left w:val="nil"/>
              <w:bottom w:val="nil"/>
              <w:right w:val="nil"/>
            </w:tcBorders>
            <w:shd w:val="clear" w:color="auto" w:fill="auto"/>
            <w:vAlign w:val="bottom"/>
          </w:tcPr>
          <w:p w14:paraId="6F5CF6F8" w14:textId="40804AD5" w:rsidR="007D29EA" w:rsidRPr="00537128" w:rsidRDefault="007D29EA" w:rsidP="007D29EA">
            <w:pPr>
              <w:tabs>
                <w:tab w:val="right" w:pos="1202"/>
              </w:tabs>
              <w:spacing w:after="0" w:line="301" w:lineRule="exact"/>
              <w:jc w:val="right"/>
              <w:outlineLvl w:val="0"/>
              <w:rPr>
                <w:rFonts w:ascii="Calibri" w:eastAsia="Calibri" w:hAnsi="Calibri" w:cs="Times New Roman"/>
                <w:color w:val="000000"/>
                <w:lang w:val="en-US"/>
              </w:rPr>
            </w:pPr>
            <w:r>
              <w:rPr>
                <w:rFonts w:ascii="Calibri" w:eastAsia="Times New Roman" w:hAnsi="Calibri" w:cs="Calibri"/>
                <w:color w:val="000000"/>
              </w:rPr>
              <w:t>(559</w:t>
            </w:r>
            <w:r w:rsidR="00266555">
              <w:rPr>
                <w:rFonts w:ascii="Calibri" w:eastAsia="Times New Roman" w:hAnsi="Calibri" w:cs="Calibri"/>
                <w:color w:val="000000"/>
              </w:rPr>
              <w:t>,</w:t>
            </w:r>
            <w:r>
              <w:rPr>
                <w:rFonts w:ascii="Calibri" w:eastAsia="Times New Roman" w:hAnsi="Calibri" w:cs="Calibri"/>
                <w:color w:val="000000"/>
              </w:rPr>
              <w:t>871)</w:t>
            </w:r>
          </w:p>
        </w:tc>
        <w:tc>
          <w:tcPr>
            <w:tcW w:w="1249" w:type="pct"/>
            <w:vAlign w:val="bottom"/>
            <w:hideMark/>
          </w:tcPr>
          <w:p w14:paraId="5C7B6946" w14:textId="65A793E7" w:rsidR="007D29EA" w:rsidRPr="00537128" w:rsidRDefault="007D29EA" w:rsidP="007D29EA">
            <w:pPr>
              <w:tabs>
                <w:tab w:val="right" w:pos="1202"/>
              </w:tabs>
              <w:spacing w:after="0" w:line="301" w:lineRule="exact"/>
              <w:jc w:val="right"/>
              <w:outlineLvl w:val="0"/>
              <w:rPr>
                <w:rFonts w:ascii="Calibri" w:eastAsia="Calibri" w:hAnsi="Calibri" w:cs="Times New Roman"/>
                <w:color w:val="000000"/>
                <w:lang w:val="en-US"/>
              </w:rPr>
            </w:pPr>
            <w:r>
              <w:rPr>
                <w:rFonts w:cstheme="minorHAnsi"/>
                <w:color w:val="000000" w:themeColor="text1"/>
              </w:rPr>
              <w:t>(2,391,147)</w:t>
            </w:r>
          </w:p>
        </w:tc>
      </w:tr>
      <w:tr w:rsidR="007D29EA" w:rsidRPr="00537128" w14:paraId="14BC7757" w14:textId="77777777" w:rsidTr="009B4B1A">
        <w:trPr>
          <w:trHeight w:val="308"/>
        </w:trPr>
        <w:tc>
          <w:tcPr>
            <w:tcW w:w="2500" w:type="pct"/>
            <w:hideMark/>
          </w:tcPr>
          <w:p w14:paraId="7D4A4DAE" w14:textId="77777777" w:rsidR="007D29EA" w:rsidRPr="00537128" w:rsidRDefault="007D29EA" w:rsidP="007D29EA">
            <w:pPr>
              <w:tabs>
                <w:tab w:val="right" w:pos="1202"/>
              </w:tabs>
              <w:spacing w:after="0" w:line="301" w:lineRule="exact"/>
              <w:outlineLvl w:val="0"/>
              <w:rPr>
                <w:rFonts w:ascii="Calibri" w:eastAsia="Times New Roman" w:hAnsi="Calibri" w:cs="Arial"/>
                <w:lang w:val="en-US"/>
              </w:rPr>
            </w:pPr>
            <w:bookmarkStart w:id="506" w:name="_Toc4059948"/>
            <w:r w:rsidRPr="00537128">
              <w:rPr>
                <w:rFonts w:ascii="Calibri" w:eastAsia="Times New Roman" w:hAnsi="Calibri" w:cs="Arial"/>
                <w:lang w:val="en-US"/>
              </w:rPr>
              <w:t>Net foreign exchange gain/</w:t>
            </w:r>
            <w:bookmarkEnd w:id="506"/>
            <w:r w:rsidRPr="00537128">
              <w:rPr>
                <w:rFonts w:ascii="Calibri" w:eastAsia="Times New Roman" w:hAnsi="Calibri" w:cs="Arial"/>
                <w:lang w:val="en-US"/>
              </w:rPr>
              <w:t>loss</w:t>
            </w:r>
          </w:p>
        </w:tc>
        <w:tc>
          <w:tcPr>
            <w:tcW w:w="1251" w:type="pct"/>
            <w:tcBorders>
              <w:top w:val="nil"/>
              <w:left w:val="nil"/>
              <w:bottom w:val="single" w:sz="4" w:space="0" w:color="auto"/>
              <w:right w:val="nil"/>
            </w:tcBorders>
            <w:shd w:val="clear" w:color="auto" w:fill="auto"/>
            <w:vAlign w:val="bottom"/>
          </w:tcPr>
          <w:p w14:paraId="2692FB08" w14:textId="2E6C1E1E" w:rsidR="007D29EA" w:rsidRPr="00537128" w:rsidRDefault="007D29EA" w:rsidP="007D29EA">
            <w:pPr>
              <w:tabs>
                <w:tab w:val="right" w:pos="1202"/>
              </w:tabs>
              <w:spacing w:after="0" w:line="301" w:lineRule="exact"/>
              <w:jc w:val="right"/>
              <w:outlineLvl w:val="0"/>
              <w:rPr>
                <w:rFonts w:ascii="Calibri" w:eastAsia="Calibri" w:hAnsi="Calibri" w:cs="Times New Roman"/>
                <w:color w:val="000000"/>
                <w:lang w:val="en-US"/>
              </w:rPr>
            </w:pPr>
            <w:r>
              <w:rPr>
                <w:rFonts w:ascii="Calibri" w:eastAsia="Times New Roman" w:hAnsi="Calibri" w:cs="Calibri"/>
                <w:color w:val="000000"/>
              </w:rPr>
              <w:t>117</w:t>
            </w:r>
            <w:r w:rsidR="00266555">
              <w:rPr>
                <w:rFonts w:ascii="Calibri" w:eastAsia="Times New Roman" w:hAnsi="Calibri" w:cs="Calibri"/>
                <w:color w:val="000000"/>
              </w:rPr>
              <w:t>,</w:t>
            </w:r>
            <w:r>
              <w:rPr>
                <w:rFonts w:ascii="Calibri" w:eastAsia="Times New Roman" w:hAnsi="Calibri" w:cs="Calibri"/>
                <w:color w:val="000000"/>
              </w:rPr>
              <w:t>501</w:t>
            </w:r>
          </w:p>
        </w:tc>
        <w:tc>
          <w:tcPr>
            <w:tcW w:w="1249" w:type="pct"/>
            <w:tcBorders>
              <w:top w:val="nil"/>
              <w:left w:val="nil"/>
              <w:bottom w:val="single" w:sz="4" w:space="0" w:color="auto"/>
              <w:right w:val="nil"/>
            </w:tcBorders>
            <w:vAlign w:val="bottom"/>
            <w:hideMark/>
          </w:tcPr>
          <w:p w14:paraId="6FB52E41" w14:textId="40645986" w:rsidR="007D29EA" w:rsidRPr="00537128" w:rsidRDefault="007D29EA" w:rsidP="007D29EA">
            <w:pPr>
              <w:tabs>
                <w:tab w:val="right" w:pos="1202"/>
              </w:tabs>
              <w:spacing w:after="0" w:line="301" w:lineRule="exact"/>
              <w:jc w:val="right"/>
              <w:outlineLvl w:val="0"/>
              <w:rPr>
                <w:rFonts w:ascii="Calibri" w:eastAsia="Calibri" w:hAnsi="Calibri" w:cs="Times New Roman"/>
                <w:color w:val="000000"/>
                <w:lang w:val="en-US"/>
              </w:rPr>
            </w:pPr>
            <w:r>
              <w:rPr>
                <w:rFonts w:cstheme="minorHAnsi"/>
                <w:color w:val="000000" w:themeColor="text1"/>
              </w:rPr>
              <w:t>(25,429)</w:t>
            </w:r>
          </w:p>
        </w:tc>
      </w:tr>
      <w:tr w:rsidR="007D29EA" w:rsidRPr="00537128" w14:paraId="19881E27" w14:textId="77777777" w:rsidTr="009B4B1A">
        <w:trPr>
          <w:trHeight w:val="308"/>
        </w:trPr>
        <w:tc>
          <w:tcPr>
            <w:tcW w:w="2500" w:type="pct"/>
          </w:tcPr>
          <w:p w14:paraId="1D3B04AC" w14:textId="77777777" w:rsidR="007D29EA" w:rsidRPr="00537128" w:rsidRDefault="007D29EA" w:rsidP="007D29EA">
            <w:pPr>
              <w:tabs>
                <w:tab w:val="right" w:pos="1202"/>
              </w:tabs>
              <w:spacing w:after="0" w:line="301" w:lineRule="exact"/>
              <w:outlineLvl w:val="0"/>
              <w:rPr>
                <w:rFonts w:ascii="Calibri" w:eastAsia="Times New Roman" w:hAnsi="Calibri" w:cs="Arial"/>
                <w:i/>
                <w:lang w:val="en-US"/>
              </w:rPr>
            </w:pPr>
          </w:p>
        </w:tc>
        <w:tc>
          <w:tcPr>
            <w:tcW w:w="1251" w:type="pct"/>
            <w:tcBorders>
              <w:top w:val="single" w:sz="4" w:space="0" w:color="auto"/>
              <w:bottom w:val="single" w:sz="12" w:space="0" w:color="auto"/>
            </w:tcBorders>
            <w:vAlign w:val="bottom"/>
          </w:tcPr>
          <w:p w14:paraId="7C2EF992" w14:textId="037A15E7" w:rsidR="007D29EA" w:rsidRPr="00537128" w:rsidRDefault="007D29EA" w:rsidP="007D29EA">
            <w:pPr>
              <w:tabs>
                <w:tab w:val="right" w:pos="1202"/>
              </w:tabs>
              <w:spacing w:after="0" w:line="301" w:lineRule="exact"/>
              <w:jc w:val="right"/>
              <w:outlineLvl w:val="0"/>
              <w:rPr>
                <w:rFonts w:ascii="Calibri" w:eastAsia="Calibri" w:hAnsi="Calibri" w:cs="Times New Roman"/>
                <w:color w:val="000000"/>
                <w:lang w:val="en-US"/>
              </w:rPr>
            </w:pPr>
            <w:r>
              <w:rPr>
                <w:rFonts w:ascii="Calibri" w:eastAsia="Times New Roman" w:hAnsi="Calibri" w:cs="Calibri"/>
                <w:color w:val="000000"/>
              </w:rPr>
              <w:t>15</w:t>
            </w:r>
            <w:r w:rsidR="00266555">
              <w:rPr>
                <w:rFonts w:ascii="Calibri" w:eastAsia="Times New Roman" w:hAnsi="Calibri" w:cs="Calibri"/>
                <w:color w:val="000000"/>
              </w:rPr>
              <w:t>,</w:t>
            </w:r>
            <w:r>
              <w:rPr>
                <w:rFonts w:ascii="Calibri" w:eastAsia="Times New Roman" w:hAnsi="Calibri" w:cs="Calibri"/>
                <w:color w:val="000000"/>
              </w:rPr>
              <w:t>814</w:t>
            </w:r>
            <w:r w:rsidR="00266555">
              <w:rPr>
                <w:rFonts w:ascii="Calibri" w:eastAsia="Times New Roman" w:hAnsi="Calibri" w:cs="Calibri"/>
                <w:color w:val="000000"/>
              </w:rPr>
              <w:t>,</w:t>
            </w:r>
            <w:r>
              <w:rPr>
                <w:rFonts w:ascii="Calibri" w:eastAsia="Times New Roman" w:hAnsi="Calibri" w:cs="Calibri"/>
                <w:color w:val="000000"/>
              </w:rPr>
              <w:t>323</w:t>
            </w:r>
          </w:p>
        </w:tc>
        <w:tc>
          <w:tcPr>
            <w:tcW w:w="1249" w:type="pct"/>
            <w:tcBorders>
              <w:top w:val="single" w:sz="4" w:space="0" w:color="auto"/>
              <w:left w:val="nil"/>
              <w:bottom w:val="single" w:sz="12" w:space="0" w:color="auto"/>
              <w:right w:val="nil"/>
            </w:tcBorders>
            <w:vAlign w:val="bottom"/>
            <w:hideMark/>
          </w:tcPr>
          <w:p w14:paraId="312953FF" w14:textId="6299F1A1" w:rsidR="007D29EA" w:rsidRPr="00537128" w:rsidRDefault="007D29EA" w:rsidP="007D29EA">
            <w:pPr>
              <w:tabs>
                <w:tab w:val="right" w:pos="1202"/>
              </w:tabs>
              <w:spacing w:after="0" w:line="301" w:lineRule="exact"/>
              <w:jc w:val="right"/>
              <w:outlineLvl w:val="0"/>
              <w:rPr>
                <w:rFonts w:ascii="Calibri" w:eastAsia="Calibri" w:hAnsi="Calibri" w:cs="Times New Roman"/>
                <w:color w:val="000000"/>
                <w:lang w:val="en-US"/>
              </w:rPr>
            </w:pPr>
            <w:r>
              <w:rPr>
                <w:rFonts w:cstheme="minorHAnsi"/>
                <w:color w:val="000000" w:themeColor="text1"/>
              </w:rPr>
              <w:t>16,104,000</w:t>
            </w:r>
          </w:p>
        </w:tc>
      </w:tr>
      <w:tr w:rsidR="007D29EA" w:rsidRPr="00537128" w14:paraId="22BF5495" w14:textId="77777777" w:rsidTr="009B4B1A">
        <w:trPr>
          <w:trHeight w:val="308"/>
        </w:trPr>
        <w:tc>
          <w:tcPr>
            <w:tcW w:w="2500" w:type="pct"/>
            <w:hideMark/>
          </w:tcPr>
          <w:p w14:paraId="15F980B5" w14:textId="77777777" w:rsidR="007D29EA" w:rsidRPr="00537128" w:rsidRDefault="007D29EA" w:rsidP="007D29EA">
            <w:pPr>
              <w:tabs>
                <w:tab w:val="right" w:pos="1202"/>
              </w:tabs>
              <w:spacing w:after="0" w:line="301" w:lineRule="exact"/>
              <w:outlineLvl w:val="0"/>
              <w:rPr>
                <w:rFonts w:ascii="Calibri" w:eastAsia="Times New Roman" w:hAnsi="Calibri" w:cs="Arial"/>
                <w:lang w:val="en-US"/>
              </w:rPr>
            </w:pPr>
            <w:bookmarkStart w:id="507" w:name="_Toc4059956"/>
            <w:r w:rsidRPr="00537128">
              <w:rPr>
                <w:rFonts w:ascii="Calibri" w:eastAsia="Times New Roman" w:hAnsi="Calibri" w:cs="Arial"/>
                <w:lang w:val="en-US"/>
              </w:rPr>
              <w:t>Accrued interest</w:t>
            </w:r>
            <w:bookmarkEnd w:id="507"/>
          </w:p>
        </w:tc>
        <w:tc>
          <w:tcPr>
            <w:tcW w:w="1251" w:type="pct"/>
            <w:tcBorders>
              <w:top w:val="single" w:sz="12" w:space="0" w:color="auto"/>
              <w:left w:val="nil"/>
              <w:bottom w:val="nil"/>
              <w:right w:val="nil"/>
            </w:tcBorders>
            <w:shd w:val="clear" w:color="auto" w:fill="auto"/>
            <w:vAlign w:val="bottom"/>
          </w:tcPr>
          <w:p w14:paraId="1FCB5E9F" w14:textId="09D0314E" w:rsidR="007D29EA" w:rsidRPr="00537128" w:rsidRDefault="007D29EA" w:rsidP="007D29EA">
            <w:pPr>
              <w:tabs>
                <w:tab w:val="right" w:pos="1202"/>
              </w:tabs>
              <w:spacing w:after="0" w:line="301" w:lineRule="exact"/>
              <w:jc w:val="right"/>
              <w:outlineLvl w:val="0"/>
              <w:rPr>
                <w:rFonts w:ascii="Calibri" w:eastAsia="Calibri" w:hAnsi="Calibri" w:cs="Times New Roman"/>
                <w:color w:val="000000"/>
                <w:lang w:val="en-US"/>
              </w:rPr>
            </w:pPr>
            <w:r>
              <w:rPr>
                <w:rFonts w:ascii="Calibri" w:eastAsia="Times New Roman" w:hAnsi="Calibri" w:cs="Calibri"/>
                <w:color w:val="000000"/>
              </w:rPr>
              <w:t>41</w:t>
            </w:r>
            <w:r w:rsidR="00266555">
              <w:rPr>
                <w:rFonts w:ascii="Calibri" w:eastAsia="Times New Roman" w:hAnsi="Calibri" w:cs="Calibri"/>
                <w:color w:val="000000"/>
              </w:rPr>
              <w:t>,</w:t>
            </w:r>
            <w:r>
              <w:rPr>
                <w:rFonts w:ascii="Calibri" w:eastAsia="Times New Roman" w:hAnsi="Calibri" w:cs="Calibri"/>
                <w:color w:val="000000"/>
              </w:rPr>
              <w:t>787</w:t>
            </w:r>
          </w:p>
        </w:tc>
        <w:tc>
          <w:tcPr>
            <w:tcW w:w="1249" w:type="pct"/>
            <w:tcBorders>
              <w:top w:val="single" w:sz="12" w:space="0" w:color="auto"/>
              <w:left w:val="nil"/>
              <w:bottom w:val="nil"/>
              <w:right w:val="nil"/>
            </w:tcBorders>
            <w:vAlign w:val="bottom"/>
            <w:hideMark/>
          </w:tcPr>
          <w:p w14:paraId="57F9BC72" w14:textId="561BEB6D" w:rsidR="007D29EA" w:rsidRPr="00537128" w:rsidRDefault="007D29EA" w:rsidP="007D29EA">
            <w:pPr>
              <w:tabs>
                <w:tab w:val="right" w:pos="1202"/>
              </w:tabs>
              <w:spacing w:after="0" w:line="301" w:lineRule="exact"/>
              <w:jc w:val="right"/>
              <w:outlineLvl w:val="0"/>
              <w:rPr>
                <w:rFonts w:ascii="Calibri" w:eastAsia="Calibri" w:hAnsi="Calibri" w:cs="Times New Roman"/>
                <w:color w:val="000000"/>
                <w:lang w:val="en-US"/>
              </w:rPr>
            </w:pPr>
            <w:r>
              <w:rPr>
                <w:rFonts w:cstheme="minorHAnsi"/>
                <w:color w:val="000000" w:themeColor="text1"/>
              </w:rPr>
              <w:t>34,657</w:t>
            </w:r>
          </w:p>
        </w:tc>
      </w:tr>
      <w:tr w:rsidR="007D29EA" w:rsidRPr="00537128" w14:paraId="5047307C" w14:textId="77777777" w:rsidTr="009B4B1A">
        <w:trPr>
          <w:trHeight w:val="308"/>
        </w:trPr>
        <w:tc>
          <w:tcPr>
            <w:tcW w:w="2500" w:type="pct"/>
            <w:vAlign w:val="bottom"/>
            <w:hideMark/>
          </w:tcPr>
          <w:p w14:paraId="211C9293" w14:textId="77777777" w:rsidR="007D29EA" w:rsidRPr="00537128" w:rsidRDefault="007D29EA" w:rsidP="007D29EA">
            <w:pPr>
              <w:tabs>
                <w:tab w:val="right" w:pos="1202"/>
              </w:tabs>
              <w:spacing w:after="0" w:line="301" w:lineRule="exact"/>
              <w:outlineLvl w:val="0"/>
              <w:rPr>
                <w:rFonts w:ascii="Calibri" w:eastAsia="Times New Roman" w:hAnsi="Calibri" w:cs="Arial"/>
                <w:lang w:val="en-US"/>
              </w:rPr>
            </w:pPr>
            <w:bookmarkStart w:id="508" w:name="_Toc4059961"/>
            <w:r w:rsidRPr="00537128">
              <w:rPr>
                <w:rFonts w:ascii="Calibri" w:eastAsia="Times New Roman" w:hAnsi="Calibri" w:cs="Arial"/>
                <w:lang w:val="en-US"/>
              </w:rPr>
              <w:t>Deferred fees</w:t>
            </w:r>
            <w:bookmarkEnd w:id="508"/>
          </w:p>
        </w:tc>
        <w:tc>
          <w:tcPr>
            <w:tcW w:w="1251" w:type="pct"/>
            <w:tcBorders>
              <w:top w:val="nil"/>
              <w:left w:val="nil"/>
              <w:bottom w:val="single" w:sz="4" w:space="0" w:color="auto"/>
              <w:right w:val="nil"/>
            </w:tcBorders>
            <w:shd w:val="clear" w:color="auto" w:fill="auto"/>
            <w:vAlign w:val="bottom"/>
          </w:tcPr>
          <w:p w14:paraId="602FDEF4" w14:textId="0A2C63ED" w:rsidR="007D29EA" w:rsidRPr="00537128" w:rsidRDefault="007D29EA" w:rsidP="007D29EA">
            <w:pPr>
              <w:tabs>
                <w:tab w:val="right" w:pos="1202"/>
              </w:tabs>
              <w:spacing w:after="0" w:line="301" w:lineRule="exact"/>
              <w:jc w:val="right"/>
              <w:outlineLvl w:val="0"/>
              <w:rPr>
                <w:rFonts w:ascii="Calibri" w:eastAsia="Calibri" w:hAnsi="Calibri" w:cs="Times New Roman"/>
                <w:color w:val="000000"/>
                <w:lang w:val="en-US"/>
              </w:rPr>
            </w:pPr>
            <w:r>
              <w:rPr>
                <w:rFonts w:ascii="Calibri" w:eastAsia="Times New Roman" w:hAnsi="Calibri" w:cs="Calibri"/>
                <w:color w:val="000000"/>
              </w:rPr>
              <w:t>(27</w:t>
            </w:r>
            <w:r w:rsidR="00266555">
              <w:rPr>
                <w:rFonts w:ascii="Calibri" w:eastAsia="Times New Roman" w:hAnsi="Calibri" w:cs="Calibri"/>
                <w:color w:val="000000"/>
              </w:rPr>
              <w:t>,</w:t>
            </w:r>
            <w:r>
              <w:rPr>
                <w:rFonts w:ascii="Calibri" w:eastAsia="Times New Roman" w:hAnsi="Calibri" w:cs="Calibri"/>
                <w:color w:val="000000"/>
              </w:rPr>
              <w:t>487)</w:t>
            </w:r>
          </w:p>
        </w:tc>
        <w:tc>
          <w:tcPr>
            <w:tcW w:w="1249" w:type="pct"/>
            <w:tcBorders>
              <w:top w:val="nil"/>
              <w:left w:val="nil"/>
              <w:bottom w:val="single" w:sz="4" w:space="0" w:color="auto"/>
              <w:right w:val="nil"/>
            </w:tcBorders>
            <w:vAlign w:val="bottom"/>
            <w:hideMark/>
          </w:tcPr>
          <w:p w14:paraId="27891068" w14:textId="5A3B4C68" w:rsidR="007D29EA" w:rsidRPr="00537128" w:rsidRDefault="007D29EA" w:rsidP="007D29EA">
            <w:pPr>
              <w:tabs>
                <w:tab w:val="right" w:pos="1202"/>
              </w:tabs>
              <w:spacing w:after="0" w:line="301" w:lineRule="exact"/>
              <w:jc w:val="right"/>
              <w:outlineLvl w:val="0"/>
              <w:rPr>
                <w:rFonts w:ascii="Calibri" w:eastAsia="Calibri" w:hAnsi="Calibri" w:cs="Times New Roman"/>
                <w:color w:val="000000"/>
                <w:lang w:val="en-US"/>
              </w:rPr>
            </w:pPr>
            <w:r>
              <w:rPr>
                <w:rFonts w:cstheme="minorHAnsi"/>
                <w:color w:val="000000" w:themeColor="text1"/>
              </w:rPr>
              <w:t>(23,420)</w:t>
            </w:r>
          </w:p>
        </w:tc>
      </w:tr>
      <w:tr w:rsidR="007D29EA" w:rsidRPr="00537128" w14:paraId="458E47F8" w14:textId="77777777" w:rsidTr="009B4B1A">
        <w:trPr>
          <w:trHeight w:val="351"/>
        </w:trPr>
        <w:tc>
          <w:tcPr>
            <w:tcW w:w="2500" w:type="pct"/>
          </w:tcPr>
          <w:p w14:paraId="561BE28E" w14:textId="77777777" w:rsidR="007D29EA" w:rsidRPr="00537128" w:rsidRDefault="007D29EA" w:rsidP="007D29EA">
            <w:pPr>
              <w:tabs>
                <w:tab w:val="right" w:pos="1202"/>
              </w:tabs>
              <w:spacing w:after="0" w:line="340" w:lineRule="exact"/>
              <w:outlineLvl w:val="0"/>
              <w:rPr>
                <w:rFonts w:ascii="Calibri" w:eastAsia="Times New Roman" w:hAnsi="Calibri" w:cs="Arial"/>
                <w:b/>
                <w:bCs/>
                <w:lang w:val="en-US"/>
              </w:rPr>
            </w:pPr>
          </w:p>
        </w:tc>
        <w:tc>
          <w:tcPr>
            <w:tcW w:w="1251" w:type="pct"/>
            <w:tcBorders>
              <w:top w:val="single" w:sz="4" w:space="0" w:color="auto"/>
              <w:bottom w:val="single" w:sz="12" w:space="0" w:color="auto"/>
            </w:tcBorders>
            <w:vAlign w:val="bottom"/>
          </w:tcPr>
          <w:p w14:paraId="06CF55CE" w14:textId="7284B6D4" w:rsidR="007D29EA" w:rsidRPr="00537128" w:rsidRDefault="007D29EA" w:rsidP="007D29EA">
            <w:pPr>
              <w:tabs>
                <w:tab w:val="right" w:pos="1202"/>
              </w:tabs>
              <w:spacing w:after="0" w:line="301" w:lineRule="exact"/>
              <w:jc w:val="right"/>
              <w:outlineLvl w:val="0"/>
              <w:rPr>
                <w:rFonts w:ascii="Calibri" w:eastAsia="Calibri" w:hAnsi="Calibri" w:cs="Times New Roman"/>
                <w:b/>
                <w:color w:val="000000"/>
                <w:lang w:val="en-US"/>
              </w:rPr>
            </w:pPr>
            <w:r>
              <w:rPr>
                <w:rFonts w:ascii="Calibri" w:eastAsia="Times New Roman" w:hAnsi="Calibri" w:cs="Calibri"/>
                <w:b/>
                <w:bCs/>
                <w:color w:val="000000"/>
              </w:rPr>
              <w:t>15</w:t>
            </w:r>
            <w:r w:rsidR="00266555">
              <w:rPr>
                <w:rFonts w:ascii="Calibri" w:eastAsia="Times New Roman" w:hAnsi="Calibri" w:cs="Calibri"/>
                <w:b/>
                <w:bCs/>
                <w:color w:val="000000"/>
              </w:rPr>
              <w:t>,</w:t>
            </w:r>
            <w:r>
              <w:rPr>
                <w:rFonts w:ascii="Calibri" w:eastAsia="Times New Roman" w:hAnsi="Calibri" w:cs="Calibri"/>
                <w:b/>
                <w:bCs/>
                <w:color w:val="000000"/>
              </w:rPr>
              <w:t>828</w:t>
            </w:r>
            <w:r w:rsidR="00266555">
              <w:rPr>
                <w:rFonts w:ascii="Calibri" w:eastAsia="Times New Roman" w:hAnsi="Calibri" w:cs="Calibri"/>
                <w:b/>
                <w:bCs/>
                <w:color w:val="000000"/>
              </w:rPr>
              <w:t>,</w:t>
            </w:r>
            <w:r>
              <w:rPr>
                <w:rFonts w:ascii="Calibri" w:eastAsia="Times New Roman" w:hAnsi="Calibri" w:cs="Calibri"/>
                <w:b/>
                <w:bCs/>
                <w:color w:val="000000"/>
              </w:rPr>
              <w:t>623</w:t>
            </w:r>
          </w:p>
        </w:tc>
        <w:tc>
          <w:tcPr>
            <w:tcW w:w="1249" w:type="pct"/>
            <w:tcBorders>
              <w:top w:val="single" w:sz="4" w:space="0" w:color="auto"/>
              <w:left w:val="nil"/>
              <w:bottom w:val="single" w:sz="12" w:space="0" w:color="auto"/>
              <w:right w:val="nil"/>
            </w:tcBorders>
            <w:vAlign w:val="bottom"/>
            <w:hideMark/>
          </w:tcPr>
          <w:p w14:paraId="5B1B68BF" w14:textId="01559C29" w:rsidR="007D29EA" w:rsidRPr="00537128" w:rsidRDefault="007D29EA" w:rsidP="007D29EA">
            <w:pPr>
              <w:tabs>
                <w:tab w:val="right" w:pos="1202"/>
              </w:tabs>
              <w:spacing w:after="0" w:line="301" w:lineRule="exact"/>
              <w:jc w:val="right"/>
              <w:outlineLvl w:val="0"/>
              <w:rPr>
                <w:rFonts w:ascii="Calibri" w:eastAsia="Calibri" w:hAnsi="Calibri" w:cs="Times New Roman"/>
                <w:b/>
                <w:color w:val="000000"/>
                <w:lang w:val="en-US"/>
              </w:rPr>
            </w:pPr>
            <w:r>
              <w:rPr>
                <w:rFonts w:cstheme="minorHAnsi"/>
                <w:b/>
                <w:bCs/>
                <w:color w:val="000000" w:themeColor="text1"/>
              </w:rPr>
              <w:t>16,115,237</w:t>
            </w:r>
          </w:p>
        </w:tc>
      </w:tr>
    </w:tbl>
    <w:p w14:paraId="769310F5" w14:textId="77777777" w:rsidR="001E6C68" w:rsidRPr="00537128" w:rsidRDefault="001E6C68" w:rsidP="001E6C68">
      <w:pPr>
        <w:tabs>
          <w:tab w:val="left" w:pos="-720"/>
        </w:tabs>
        <w:spacing w:after="0" w:line="240" w:lineRule="auto"/>
        <w:jc w:val="both"/>
        <w:rPr>
          <w:rFonts w:ascii="Calibri" w:eastAsia="Times New Roman" w:hAnsi="Calibri" w:cs="Calibri"/>
          <w:b/>
          <w:color w:val="000000" w:themeColor="text1"/>
          <w:lang w:val="en-US" w:eastAsia="hr-HR"/>
        </w:rPr>
      </w:pPr>
    </w:p>
    <w:p w14:paraId="02FE85C9" w14:textId="70613685" w:rsidR="001E6C68" w:rsidRDefault="001E6C68" w:rsidP="00AB524A">
      <w:pPr>
        <w:tabs>
          <w:tab w:val="left" w:pos="-720"/>
        </w:tabs>
        <w:spacing w:after="0" w:line="240" w:lineRule="auto"/>
        <w:jc w:val="both"/>
        <w:rPr>
          <w:rFonts w:ascii="Calibri" w:eastAsia="Calibri" w:hAnsi="Calibri" w:cs="Arial"/>
          <w:color w:val="000000" w:themeColor="text1"/>
          <w:lang w:val="en-US"/>
        </w:rPr>
      </w:pPr>
      <w:r w:rsidRPr="00537128">
        <w:rPr>
          <w:rFonts w:ascii="Calibri" w:eastAsia="Calibri" w:hAnsi="Calibri" w:cs="Arial"/>
          <w:color w:val="000000" w:themeColor="text1"/>
          <w:lang w:val="en-US"/>
        </w:rPr>
        <w:t xml:space="preserve">The bank is subject to financial clauses </w:t>
      </w:r>
      <w:r w:rsidR="00500FCC" w:rsidRPr="00537128">
        <w:rPr>
          <w:rFonts w:ascii="Calibri" w:eastAsia="Calibri" w:hAnsi="Calibri" w:cs="Arial"/>
          <w:color w:val="000000" w:themeColor="text1"/>
          <w:lang w:val="en-US"/>
        </w:rPr>
        <w:t>in some</w:t>
      </w:r>
      <w:r w:rsidRPr="00537128">
        <w:rPr>
          <w:rFonts w:ascii="Calibri" w:eastAsia="Calibri" w:hAnsi="Calibri" w:cs="Arial"/>
          <w:color w:val="000000" w:themeColor="text1"/>
          <w:lang w:val="en-US"/>
        </w:rPr>
        <w:t xml:space="preserve"> Contract</w:t>
      </w:r>
      <w:r w:rsidR="00500FCC" w:rsidRPr="00537128">
        <w:rPr>
          <w:rFonts w:ascii="Calibri" w:eastAsia="Calibri" w:hAnsi="Calibri" w:cs="Arial"/>
          <w:color w:val="000000" w:themeColor="text1"/>
          <w:lang w:val="en-US"/>
        </w:rPr>
        <w:t>s</w:t>
      </w:r>
      <w:r w:rsidRPr="00537128">
        <w:rPr>
          <w:rFonts w:ascii="Calibri" w:eastAsia="Calibri" w:hAnsi="Calibri" w:cs="Arial"/>
          <w:color w:val="000000" w:themeColor="text1"/>
          <w:lang w:val="en-US"/>
        </w:rPr>
        <w:t xml:space="preserve">. On </w:t>
      </w:r>
      <w:r w:rsidR="003F3A71" w:rsidRPr="00537128">
        <w:rPr>
          <w:rFonts w:ascii="Calibri" w:eastAsia="Calibri" w:hAnsi="Calibri" w:cs="Arial"/>
          <w:color w:val="000000" w:themeColor="text1"/>
          <w:lang w:val="en-US"/>
        </w:rPr>
        <w:t>3</w:t>
      </w:r>
      <w:r w:rsidR="0069122F" w:rsidRPr="00537128">
        <w:rPr>
          <w:rFonts w:ascii="Calibri" w:eastAsia="Calibri" w:hAnsi="Calibri" w:cs="Arial"/>
          <w:color w:val="000000" w:themeColor="text1"/>
          <w:lang w:val="en-US"/>
        </w:rPr>
        <w:t>1</w:t>
      </w:r>
      <w:r w:rsidR="003F3A71" w:rsidRPr="00537128">
        <w:rPr>
          <w:rFonts w:ascii="Calibri" w:eastAsia="Calibri" w:hAnsi="Calibri" w:cs="Arial"/>
          <w:color w:val="000000" w:themeColor="text1"/>
          <w:lang w:val="en-US"/>
        </w:rPr>
        <w:t xml:space="preserve"> </w:t>
      </w:r>
      <w:r w:rsidR="0069122F" w:rsidRPr="00537128">
        <w:rPr>
          <w:rFonts w:ascii="Calibri" w:eastAsia="Calibri" w:hAnsi="Calibri" w:cs="Arial"/>
          <w:color w:val="000000" w:themeColor="text1"/>
          <w:lang w:val="en-US"/>
        </w:rPr>
        <w:t>March</w:t>
      </w:r>
      <w:r w:rsidR="003F3A71" w:rsidRPr="00537128">
        <w:rPr>
          <w:rFonts w:ascii="Calibri" w:eastAsia="Calibri" w:hAnsi="Calibri" w:cs="Arial"/>
          <w:color w:val="000000" w:themeColor="text1"/>
          <w:lang w:val="en-US"/>
        </w:rPr>
        <w:t xml:space="preserve"> </w:t>
      </w:r>
      <w:r w:rsidRPr="00537128">
        <w:rPr>
          <w:rFonts w:ascii="Calibri" w:eastAsia="Calibri" w:hAnsi="Calibri" w:cs="Arial"/>
          <w:color w:val="000000" w:themeColor="text1"/>
          <w:lang w:val="en-US"/>
        </w:rPr>
        <w:t>202</w:t>
      </w:r>
      <w:r w:rsidR="00E67CFF">
        <w:rPr>
          <w:rFonts w:ascii="Calibri" w:eastAsia="Calibri" w:hAnsi="Calibri" w:cs="Arial"/>
          <w:color w:val="000000" w:themeColor="text1"/>
          <w:lang w:val="en-US"/>
        </w:rPr>
        <w:t>2</w:t>
      </w:r>
      <w:r w:rsidRPr="00537128">
        <w:rPr>
          <w:rFonts w:ascii="Calibri" w:eastAsia="Calibri" w:hAnsi="Calibri" w:cs="Arial"/>
          <w:color w:val="000000" w:themeColor="text1"/>
          <w:lang w:val="en-US"/>
        </w:rPr>
        <w:t xml:space="preserve"> the Bank </w:t>
      </w:r>
      <w:proofErr w:type="gramStart"/>
      <w:r w:rsidRPr="00537128">
        <w:rPr>
          <w:rFonts w:ascii="Calibri" w:eastAsia="Calibri" w:hAnsi="Calibri" w:cs="Arial"/>
          <w:color w:val="000000" w:themeColor="text1"/>
          <w:lang w:val="en-US"/>
        </w:rPr>
        <w:t>was in compliance with</w:t>
      </w:r>
      <w:proofErr w:type="gramEnd"/>
      <w:r w:rsidRPr="00537128">
        <w:rPr>
          <w:rFonts w:ascii="Calibri" w:eastAsia="Calibri" w:hAnsi="Calibri" w:cs="Arial"/>
          <w:color w:val="000000" w:themeColor="text1"/>
          <w:lang w:val="en-US"/>
        </w:rPr>
        <w:t xml:space="preserve"> all required financial clauses from the Contract.</w:t>
      </w:r>
    </w:p>
    <w:p w14:paraId="5C757E0E" w14:textId="2271D51A" w:rsidR="00F526CB" w:rsidRDefault="00F526CB" w:rsidP="00AB524A">
      <w:pPr>
        <w:tabs>
          <w:tab w:val="left" w:pos="-720"/>
        </w:tabs>
        <w:spacing w:after="0" w:line="240" w:lineRule="auto"/>
        <w:jc w:val="both"/>
        <w:rPr>
          <w:rFonts w:ascii="Calibri" w:eastAsia="Calibri" w:hAnsi="Calibri" w:cs="Arial"/>
          <w:color w:val="000000" w:themeColor="text1"/>
          <w:lang w:val="en-US"/>
        </w:rPr>
      </w:pPr>
    </w:p>
    <w:p w14:paraId="41B201DB" w14:textId="78E9165F" w:rsidR="00F526CB" w:rsidRDefault="00F526CB" w:rsidP="00AB524A">
      <w:pPr>
        <w:spacing w:after="0" w:line="240" w:lineRule="auto"/>
        <w:jc w:val="both"/>
      </w:pPr>
      <w:r>
        <w:t>The financial clauses contained in the Agreement are linked with financial information on the level of capital adequacy ratio and the amount of total capital.</w:t>
      </w:r>
    </w:p>
    <w:p w14:paraId="210C3A57" w14:textId="77777777" w:rsidR="00AB524A" w:rsidRDefault="00AB524A" w:rsidP="00AB524A">
      <w:pPr>
        <w:spacing w:after="0" w:line="240" w:lineRule="auto"/>
        <w:jc w:val="both"/>
      </w:pPr>
    </w:p>
    <w:p w14:paraId="7E3C3DC1" w14:textId="77777777" w:rsidR="00F526CB" w:rsidRDefault="00F526CB" w:rsidP="00AB524A">
      <w:pPr>
        <w:spacing w:after="0" w:line="240" w:lineRule="auto"/>
        <w:jc w:val="both"/>
        <w:rPr>
          <w:rFonts w:ascii="Calibri" w:hAnsi="Calibri"/>
        </w:rPr>
      </w:pPr>
      <w:r w:rsidRPr="00266555">
        <w:rPr>
          <w:rFonts w:ascii="Calibri" w:hAnsi="Calibri"/>
        </w:rPr>
        <w:t>Borrowing liabilities of the Group and HBOR relate to one foreign commercial bank in the amount of EUR 50.0 million maturing on 22 May 2022, and there are no additional contingent borrowing liabilities of the Group and HBOR.</w:t>
      </w:r>
    </w:p>
    <w:p w14:paraId="0408FD26" w14:textId="430D84AC" w:rsidR="00F526CB" w:rsidRDefault="00F526CB" w:rsidP="00AB524A">
      <w:pPr>
        <w:tabs>
          <w:tab w:val="left" w:pos="-720"/>
        </w:tabs>
        <w:spacing w:after="0" w:line="240" w:lineRule="auto"/>
        <w:jc w:val="both"/>
        <w:rPr>
          <w:rFonts w:ascii="Calibri" w:eastAsia="Calibri" w:hAnsi="Calibri" w:cs="Arial"/>
          <w:color w:val="000000" w:themeColor="text1"/>
          <w:lang w:val="en-US"/>
        </w:rPr>
      </w:pPr>
    </w:p>
    <w:tbl>
      <w:tblPr>
        <w:tblW w:w="9356" w:type="dxa"/>
        <w:tblLook w:val="04A0" w:firstRow="1" w:lastRow="0" w:firstColumn="1" w:lastColumn="0" w:noHBand="0" w:noVBand="1"/>
      </w:tblPr>
      <w:tblGrid>
        <w:gridCol w:w="5954"/>
        <w:gridCol w:w="1559"/>
        <w:gridCol w:w="1843"/>
      </w:tblGrid>
      <w:tr w:rsidR="002C46C9" w:rsidRPr="00510C80" w14:paraId="7E864559" w14:textId="77777777" w:rsidTr="00924BA5">
        <w:trPr>
          <w:trHeight w:val="290"/>
        </w:trPr>
        <w:tc>
          <w:tcPr>
            <w:tcW w:w="5954" w:type="dxa"/>
            <w:tcBorders>
              <w:top w:val="nil"/>
              <w:left w:val="nil"/>
              <w:bottom w:val="nil"/>
              <w:right w:val="nil"/>
            </w:tcBorders>
            <w:shd w:val="clear" w:color="auto" w:fill="auto"/>
            <w:vAlign w:val="center"/>
            <w:hideMark/>
          </w:tcPr>
          <w:p w14:paraId="4ED8527F" w14:textId="77777777" w:rsidR="002C46C9" w:rsidRPr="00510C80" w:rsidRDefault="002C46C9" w:rsidP="00924BA5">
            <w:pPr>
              <w:rPr>
                <w:sz w:val="20"/>
                <w:szCs w:val="20"/>
              </w:rPr>
            </w:pPr>
          </w:p>
        </w:tc>
        <w:tc>
          <w:tcPr>
            <w:tcW w:w="3402" w:type="dxa"/>
            <w:gridSpan w:val="2"/>
            <w:tcBorders>
              <w:top w:val="nil"/>
              <w:left w:val="nil"/>
              <w:bottom w:val="nil"/>
              <w:right w:val="nil"/>
            </w:tcBorders>
            <w:shd w:val="clear" w:color="auto" w:fill="auto"/>
            <w:vAlign w:val="center"/>
            <w:hideMark/>
          </w:tcPr>
          <w:p w14:paraId="5BE1BFC1" w14:textId="77777777" w:rsidR="002C46C9" w:rsidRPr="00510C80" w:rsidRDefault="002C46C9" w:rsidP="00924BA5">
            <w:pPr>
              <w:jc w:val="right"/>
              <w:rPr>
                <w:rFonts w:ascii="Calibri" w:hAnsi="Calibri" w:cs="Calibri"/>
                <w:b/>
                <w:bCs/>
                <w:color w:val="000000"/>
                <w:sz w:val="20"/>
                <w:szCs w:val="20"/>
              </w:rPr>
            </w:pPr>
            <w:r w:rsidRPr="00510C80">
              <w:rPr>
                <w:rFonts w:ascii="Calibri" w:hAnsi="Calibri" w:cs="Calibri"/>
                <w:b/>
                <w:bCs/>
                <w:color w:val="000000"/>
                <w:sz w:val="20"/>
                <w:szCs w:val="20"/>
              </w:rPr>
              <w:t>Gr</w:t>
            </w:r>
            <w:r>
              <w:rPr>
                <w:rFonts w:ascii="Calibri" w:hAnsi="Calibri" w:cs="Calibri"/>
                <w:b/>
                <w:bCs/>
                <w:color w:val="000000"/>
                <w:sz w:val="20"/>
                <w:szCs w:val="20"/>
              </w:rPr>
              <w:t>oup and</w:t>
            </w:r>
            <w:r w:rsidRPr="00510C80">
              <w:rPr>
                <w:rFonts w:ascii="Calibri" w:hAnsi="Calibri" w:cs="Calibri"/>
                <w:b/>
                <w:bCs/>
                <w:color w:val="000000"/>
                <w:sz w:val="20"/>
                <w:szCs w:val="20"/>
              </w:rPr>
              <w:t xml:space="preserve"> Bank</w:t>
            </w:r>
          </w:p>
        </w:tc>
      </w:tr>
      <w:tr w:rsidR="002C46C9" w:rsidRPr="00510C80" w14:paraId="1D3B3B08" w14:textId="77777777" w:rsidTr="00924BA5">
        <w:trPr>
          <w:trHeight w:val="290"/>
        </w:trPr>
        <w:tc>
          <w:tcPr>
            <w:tcW w:w="5954" w:type="dxa"/>
            <w:vMerge w:val="restart"/>
            <w:tcBorders>
              <w:top w:val="nil"/>
              <w:left w:val="nil"/>
              <w:bottom w:val="nil"/>
              <w:right w:val="nil"/>
            </w:tcBorders>
            <w:shd w:val="clear" w:color="auto" w:fill="auto"/>
            <w:vAlign w:val="center"/>
            <w:hideMark/>
          </w:tcPr>
          <w:p w14:paraId="001F594D" w14:textId="77777777" w:rsidR="002C46C9" w:rsidRPr="00510C80" w:rsidRDefault="002C46C9" w:rsidP="00924BA5">
            <w:pPr>
              <w:jc w:val="right"/>
              <w:rPr>
                <w:rFonts w:ascii="Calibri" w:hAnsi="Calibri" w:cs="Calibri"/>
                <w:b/>
                <w:bCs/>
                <w:color w:val="000000"/>
                <w:sz w:val="20"/>
                <w:szCs w:val="20"/>
              </w:rPr>
            </w:pPr>
          </w:p>
        </w:tc>
        <w:tc>
          <w:tcPr>
            <w:tcW w:w="1559" w:type="dxa"/>
            <w:tcBorders>
              <w:top w:val="nil"/>
              <w:left w:val="nil"/>
              <w:bottom w:val="nil"/>
              <w:right w:val="nil"/>
            </w:tcBorders>
            <w:shd w:val="clear" w:color="auto" w:fill="auto"/>
            <w:vAlign w:val="center"/>
            <w:hideMark/>
          </w:tcPr>
          <w:p w14:paraId="4DB19D16" w14:textId="435409D5" w:rsidR="002C46C9" w:rsidRPr="00510C80" w:rsidRDefault="002C46C9" w:rsidP="00924BA5">
            <w:pPr>
              <w:jc w:val="right"/>
              <w:rPr>
                <w:rFonts w:ascii="Calibri" w:hAnsi="Calibri" w:cs="Calibri"/>
                <w:b/>
                <w:bCs/>
                <w:color w:val="000000"/>
                <w:sz w:val="20"/>
                <w:szCs w:val="20"/>
              </w:rPr>
            </w:pPr>
            <w:r w:rsidRPr="00510C80">
              <w:rPr>
                <w:rFonts w:ascii="Calibri" w:hAnsi="Calibri" w:cs="Calibri"/>
                <w:b/>
                <w:bCs/>
                <w:color w:val="000000"/>
                <w:sz w:val="20"/>
                <w:szCs w:val="20"/>
              </w:rPr>
              <w:t>31</w:t>
            </w:r>
            <w:r>
              <w:rPr>
                <w:rFonts w:ascii="Calibri" w:hAnsi="Calibri" w:cs="Calibri"/>
                <w:b/>
                <w:bCs/>
                <w:color w:val="000000"/>
                <w:sz w:val="20"/>
                <w:szCs w:val="20"/>
              </w:rPr>
              <w:t xml:space="preserve"> </w:t>
            </w:r>
            <w:r w:rsidR="0000201E">
              <w:rPr>
                <w:rFonts w:ascii="Calibri" w:hAnsi="Calibri" w:cs="Calibri"/>
                <w:b/>
                <w:bCs/>
                <w:color w:val="000000"/>
                <w:sz w:val="20"/>
                <w:szCs w:val="20"/>
              </w:rPr>
              <w:t>March</w:t>
            </w:r>
          </w:p>
        </w:tc>
        <w:tc>
          <w:tcPr>
            <w:tcW w:w="1843" w:type="dxa"/>
            <w:tcBorders>
              <w:top w:val="nil"/>
              <w:left w:val="nil"/>
              <w:bottom w:val="nil"/>
              <w:right w:val="nil"/>
            </w:tcBorders>
            <w:shd w:val="clear" w:color="auto" w:fill="auto"/>
            <w:vAlign w:val="center"/>
            <w:hideMark/>
          </w:tcPr>
          <w:p w14:paraId="31E44516" w14:textId="77777777" w:rsidR="002C46C9" w:rsidRPr="00510C80" w:rsidRDefault="002C46C9" w:rsidP="00924BA5">
            <w:pPr>
              <w:jc w:val="right"/>
              <w:rPr>
                <w:rFonts w:ascii="Calibri" w:hAnsi="Calibri" w:cs="Calibri"/>
                <w:b/>
                <w:bCs/>
                <w:color w:val="000000"/>
                <w:sz w:val="20"/>
                <w:szCs w:val="20"/>
              </w:rPr>
            </w:pPr>
            <w:r w:rsidRPr="00510C80">
              <w:rPr>
                <w:rFonts w:ascii="Calibri" w:hAnsi="Calibri" w:cs="Calibri"/>
                <w:b/>
                <w:bCs/>
                <w:color w:val="000000"/>
                <w:sz w:val="20"/>
                <w:szCs w:val="20"/>
              </w:rPr>
              <w:t>31</w:t>
            </w:r>
            <w:r>
              <w:rPr>
                <w:rFonts w:ascii="Calibri" w:hAnsi="Calibri" w:cs="Calibri"/>
                <w:b/>
                <w:bCs/>
                <w:color w:val="000000"/>
                <w:sz w:val="20"/>
                <w:szCs w:val="20"/>
              </w:rPr>
              <w:t xml:space="preserve"> December</w:t>
            </w:r>
          </w:p>
        </w:tc>
      </w:tr>
      <w:tr w:rsidR="002C46C9" w:rsidRPr="00510C80" w14:paraId="010AE243" w14:textId="77777777" w:rsidTr="00924BA5">
        <w:trPr>
          <w:trHeight w:val="290"/>
        </w:trPr>
        <w:tc>
          <w:tcPr>
            <w:tcW w:w="5954" w:type="dxa"/>
            <w:vMerge/>
            <w:tcBorders>
              <w:top w:val="nil"/>
              <w:left w:val="nil"/>
              <w:bottom w:val="nil"/>
              <w:right w:val="nil"/>
            </w:tcBorders>
            <w:vAlign w:val="center"/>
            <w:hideMark/>
          </w:tcPr>
          <w:p w14:paraId="045453D0" w14:textId="77777777" w:rsidR="002C46C9" w:rsidRPr="00510C80" w:rsidRDefault="002C46C9" w:rsidP="00924BA5">
            <w:pPr>
              <w:rPr>
                <w:rFonts w:ascii="Calibri" w:hAnsi="Calibri" w:cs="Calibri"/>
                <w:b/>
                <w:bCs/>
                <w:color w:val="000000"/>
                <w:sz w:val="20"/>
                <w:szCs w:val="20"/>
              </w:rPr>
            </w:pPr>
          </w:p>
        </w:tc>
        <w:tc>
          <w:tcPr>
            <w:tcW w:w="1559" w:type="dxa"/>
            <w:tcBorders>
              <w:top w:val="nil"/>
              <w:left w:val="nil"/>
              <w:bottom w:val="nil"/>
              <w:right w:val="nil"/>
            </w:tcBorders>
            <w:shd w:val="clear" w:color="auto" w:fill="auto"/>
            <w:vAlign w:val="center"/>
            <w:hideMark/>
          </w:tcPr>
          <w:p w14:paraId="322004FE" w14:textId="3F536B36" w:rsidR="002C46C9" w:rsidRPr="00510C80" w:rsidRDefault="002C46C9" w:rsidP="00924BA5">
            <w:pPr>
              <w:jc w:val="right"/>
              <w:rPr>
                <w:rFonts w:ascii="Calibri" w:hAnsi="Calibri" w:cs="Calibri"/>
                <w:b/>
                <w:bCs/>
                <w:color w:val="000000"/>
                <w:sz w:val="20"/>
                <w:szCs w:val="20"/>
              </w:rPr>
            </w:pPr>
            <w:r w:rsidRPr="00510C80">
              <w:rPr>
                <w:rFonts w:ascii="Calibri" w:hAnsi="Calibri" w:cs="Calibri"/>
                <w:b/>
                <w:bCs/>
                <w:color w:val="000000"/>
                <w:sz w:val="20"/>
                <w:szCs w:val="20"/>
              </w:rPr>
              <w:t xml:space="preserve"> 202</w:t>
            </w:r>
            <w:r w:rsidR="0000201E">
              <w:rPr>
                <w:rFonts w:ascii="Calibri" w:hAnsi="Calibri" w:cs="Calibri"/>
                <w:b/>
                <w:bCs/>
                <w:color w:val="000000"/>
                <w:sz w:val="20"/>
                <w:szCs w:val="20"/>
              </w:rPr>
              <w:t>2</w:t>
            </w:r>
          </w:p>
        </w:tc>
        <w:tc>
          <w:tcPr>
            <w:tcW w:w="1843" w:type="dxa"/>
            <w:tcBorders>
              <w:top w:val="nil"/>
              <w:left w:val="nil"/>
              <w:bottom w:val="nil"/>
              <w:right w:val="nil"/>
            </w:tcBorders>
            <w:shd w:val="clear" w:color="auto" w:fill="auto"/>
            <w:vAlign w:val="center"/>
            <w:hideMark/>
          </w:tcPr>
          <w:p w14:paraId="116C411E" w14:textId="77777777" w:rsidR="002C46C9" w:rsidRPr="00510C80" w:rsidRDefault="002C46C9" w:rsidP="00924BA5">
            <w:pPr>
              <w:jc w:val="right"/>
              <w:rPr>
                <w:rFonts w:ascii="Calibri" w:hAnsi="Calibri" w:cs="Calibri"/>
                <w:b/>
                <w:bCs/>
                <w:color w:val="000000"/>
                <w:sz w:val="20"/>
                <w:szCs w:val="20"/>
              </w:rPr>
            </w:pPr>
            <w:r w:rsidRPr="00510C80">
              <w:rPr>
                <w:rFonts w:ascii="Calibri" w:hAnsi="Calibri" w:cs="Calibri"/>
                <w:b/>
                <w:bCs/>
                <w:color w:val="000000"/>
                <w:sz w:val="20"/>
                <w:szCs w:val="20"/>
              </w:rPr>
              <w:t xml:space="preserve"> 202</w:t>
            </w:r>
            <w:r>
              <w:rPr>
                <w:rFonts w:ascii="Calibri" w:hAnsi="Calibri" w:cs="Calibri"/>
                <w:b/>
                <w:bCs/>
                <w:color w:val="000000"/>
                <w:sz w:val="20"/>
                <w:szCs w:val="20"/>
              </w:rPr>
              <w:t>0</w:t>
            </w:r>
          </w:p>
        </w:tc>
      </w:tr>
      <w:tr w:rsidR="002C46C9" w:rsidRPr="00510C80" w14:paraId="77A4792B" w14:textId="77777777" w:rsidTr="00924BA5">
        <w:trPr>
          <w:trHeight w:val="290"/>
        </w:trPr>
        <w:tc>
          <w:tcPr>
            <w:tcW w:w="5954" w:type="dxa"/>
            <w:tcBorders>
              <w:top w:val="nil"/>
              <w:left w:val="nil"/>
              <w:bottom w:val="nil"/>
              <w:right w:val="nil"/>
            </w:tcBorders>
            <w:shd w:val="clear" w:color="auto" w:fill="auto"/>
            <w:vAlign w:val="center"/>
            <w:hideMark/>
          </w:tcPr>
          <w:p w14:paraId="1996C6F6" w14:textId="77777777" w:rsidR="002C46C9" w:rsidRPr="00510C80" w:rsidRDefault="002C46C9" w:rsidP="00924BA5">
            <w:pPr>
              <w:jc w:val="right"/>
              <w:rPr>
                <w:rFonts w:ascii="Calibri" w:hAnsi="Calibri" w:cs="Calibri"/>
                <w:b/>
                <w:bCs/>
                <w:color w:val="000000"/>
                <w:sz w:val="20"/>
                <w:szCs w:val="20"/>
              </w:rPr>
            </w:pPr>
          </w:p>
        </w:tc>
        <w:tc>
          <w:tcPr>
            <w:tcW w:w="1559" w:type="dxa"/>
            <w:tcBorders>
              <w:top w:val="nil"/>
              <w:left w:val="nil"/>
              <w:bottom w:val="nil"/>
              <w:right w:val="nil"/>
            </w:tcBorders>
            <w:shd w:val="clear" w:color="auto" w:fill="auto"/>
            <w:vAlign w:val="center"/>
            <w:hideMark/>
          </w:tcPr>
          <w:p w14:paraId="485B7BB2" w14:textId="77777777" w:rsidR="002C46C9" w:rsidRPr="00510C80" w:rsidRDefault="002C46C9" w:rsidP="00924BA5">
            <w:pPr>
              <w:jc w:val="right"/>
              <w:rPr>
                <w:rFonts w:ascii="Calibri" w:hAnsi="Calibri" w:cs="Calibri"/>
                <w:b/>
                <w:bCs/>
                <w:color w:val="000000"/>
                <w:sz w:val="20"/>
                <w:szCs w:val="20"/>
              </w:rPr>
            </w:pPr>
            <w:r>
              <w:rPr>
                <w:rFonts w:ascii="Calibri" w:hAnsi="Calibri" w:cs="Calibri"/>
                <w:b/>
                <w:bCs/>
                <w:color w:val="000000"/>
                <w:sz w:val="20"/>
                <w:szCs w:val="20"/>
              </w:rPr>
              <w:t>HRK ‘</w:t>
            </w:r>
            <w:r w:rsidRPr="00510C80">
              <w:rPr>
                <w:rFonts w:ascii="Calibri" w:hAnsi="Calibri" w:cs="Calibri"/>
                <w:b/>
                <w:bCs/>
                <w:color w:val="000000"/>
                <w:sz w:val="20"/>
                <w:szCs w:val="20"/>
              </w:rPr>
              <w:t>000</w:t>
            </w:r>
          </w:p>
        </w:tc>
        <w:tc>
          <w:tcPr>
            <w:tcW w:w="1843" w:type="dxa"/>
            <w:tcBorders>
              <w:top w:val="nil"/>
              <w:left w:val="nil"/>
              <w:bottom w:val="nil"/>
              <w:right w:val="nil"/>
            </w:tcBorders>
            <w:shd w:val="clear" w:color="auto" w:fill="auto"/>
            <w:vAlign w:val="center"/>
            <w:hideMark/>
          </w:tcPr>
          <w:p w14:paraId="78A54712" w14:textId="77777777" w:rsidR="002C46C9" w:rsidRPr="00510C80" w:rsidRDefault="002C46C9" w:rsidP="00924BA5">
            <w:pPr>
              <w:jc w:val="right"/>
              <w:rPr>
                <w:rFonts w:ascii="Calibri" w:hAnsi="Calibri" w:cs="Calibri"/>
                <w:b/>
                <w:bCs/>
                <w:color w:val="000000"/>
                <w:sz w:val="20"/>
                <w:szCs w:val="20"/>
              </w:rPr>
            </w:pPr>
            <w:r>
              <w:rPr>
                <w:rFonts w:ascii="Calibri" w:hAnsi="Calibri" w:cs="Calibri"/>
                <w:b/>
                <w:bCs/>
                <w:color w:val="000000"/>
                <w:sz w:val="20"/>
                <w:szCs w:val="20"/>
              </w:rPr>
              <w:t>HRK ‘</w:t>
            </w:r>
            <w:r w:rsidRPr="00510C80">
              <w:rPr>
                <w:rFonts w:ascii="Calibri" w:hAnsi="Calibri" w:cs="Calibri"/>
                <w:b/>
                <w:bCs/>
                <w:color w:val="000000"/>
                <w:sz w:val="20"/>
                <w:szCs w:val="20"/>
              </w:rPr>
              <w:t>000</w:t>
            </w:r>
          </w:p>
        </w:tc>
      </w:tr>
      <w:tr w:rsidR="00127FEC" w:rsidRPr="00510C80" w14:paraId="4385018C" w14:textId="77777777" w:rsidTr="00127FEC">
        <w:trPr>
          <w:trHeight w:hRule="exact" w:val="340"/>
        </w:trPr>
        <w:tc>
          <w:tcPr>
            <w:tcW w:w="5954" w:type="dxa"/>
            <w:tcBorders>
              <w:top w:val="nil"/>
              <w:left w:val="nil"/>
              <w:bottom w:val="nil"/>
              <w:right w:val="nil"/>
            </w:tcBorders>
            <w:shd w:val="clear" w:color="auto" w:fill="auto"/>
            <w:vAlign w:val="bottom"/>
            <w:hideMark/>
          </w:tcPr>
          <w:p w14:paraId="7BC95BBB" w14:textId="77777777" w:rsidR="00127FEC" w:rsidRPr="0073032C" w:rsidRDefault="00127FEC" w:rsidP="00BF5168">
            <w:pPr>
              <w:spacing w:after="0"/>
              <w:rPr>
                <w:rFonts w:ascii="Calibri" w:hAnsi="Calibri" w:cs="Calibri"/>
                <w:color w:val="000000"/>
                <w:sz w:val="20"/>
                <w:szCs w:val="20"/>
              </w:rPr>
            </w:pPr>
            <w:r>
              <w:rPr>
                <w:rFonts w:ascii="Calibri" w:hAnsi="Calibri" w:cs="Calibri"/>
                <w:color w:val="000000"/>
                <w:sz w:val="20"/>
                <w:szCs w:val="20"/>
              </w:rPr>
              <w:t>Borrowings from foreign financial institutions</w:t>
            </w:r>
            <w:r w:rsidRPr="0073032C">
              <w:rPr>
                <w:rFonts w:ascii="Calibri" w:hAnsi="Calibri" w:cs="Calibri"/>
                <w:color w:val="000000"/>
                <w:sz w:val="20"/>
                <w:szCs w:val="20"/>
              </w:rPr>
              <w:t>e</w:t>
            </w:r>
          </w:p>
        </w:tc>
        <w:tc>
          <w:tcPr>
            <w:tcW w:w="1559" w:type="dxa"/>
            <w:tcBorders>
              <w:top w:val="nil"/>
              <w:left w:val="nil"/>
              <w:bottom w:val="nil"/>
              <w:right w:val="nil"/>
            </w:tcBorders>
            <w:shd w:val="clear" w:color="auto" w:fill="auto"/>
            <w:vAlign w:val="bottom"/>
          </w:tcPr>
          <w:p w14:paraId="76D11189" w14:textId="502E6828" w:rsidR="00127FEC" w:rsidRPr="00510C80" w:rsidRDefault="00127FEC" w:rsidP="00BF5168">
            <w:pPr>
              <w:spacing w:after="0"/>
              <w:jc w:val="right"/>
              <w:rPr>
                <w:rFonts w:ascii="Calibri" w:hAnsi="Calibri" w:cs="Calibri"/>
                <w:color w:val="000000"/>
                <w:sz w:val="20"/>
                <w:szCs w:val="20"/>
              </w:rPr>
            </w:pPr>
            <w:r>
              <w:rPr>
                <w:rFonts w:ascii="Calibri" w:hAnsi="Calibri" w:cs="Calibri"/>
                <w:color w:val="000000"/>
                <w:sz w:val="20"/>
                <w:szCs w:val="20"/>
              </w:rPr>
              <w:t>14,314,323</w:t>
            </w:r>
          </w:p>
        </w:tc>
        <w:tc>
          <w:tcPr>
            <w:tcW w:w="1843" w:type="dxa"/>
            <w:tcBorders>
              <w:top w:val="nil"/>
              <w:left w:val="nil"/>
              <w:bottom w:val="nil"/>
              <w:right w:val="nil"/>
            </w:tcBorders>
            <w:shd w:val="clear" w:color="auto" w:fill="auto"/>
            <w:vAlign w:val="bottom"/>
            <w:hideMark/>
          </w:tcPr>
          <w:p w14:paraId="4D9AB7AB" w14:textId="02FA80B1" w:rsidR="00127FEC" w:rsidRPr="00510C80" w:rsidRDefault="00127FEC" w:rsidP="00BF5168">
            <w:pPr>
              <w:spacing w:after="0"/>
              <w:jc w:val="right"/>
              <w:rPr>
                <w:rFonts w:ascii="Calibri" w:hAnsi="Calibri" w:cs="Calibri"/>
                <w:color w:val="000000"/>
                <w:sz w:val="20"/>
                <w:szCs w:val="20"/>
              </w:rPr>
            </w:pPr>
            <w:r w:rsidRPr="00510C80">
              <w:rPr>
                <w:rFonts w:ascii="Calibri" w:hAnsi="Calibri" w:cs="Calibri"/>
                <w:color w:val="000000"/>
                <w:sz w:val="20"/>
                <w:szCs w:val="20"/>
              </w:rPr>
              <w:t>14</w:t>
            </w:r>
            <w:r>
              <w:rPr>
                <w:rFonts w:ascii="Calibri" w:hAnsi="Calibri" w:cs="Calibri"/>
                <w:color w:val="000000"/>
                <w:sz w:val="20"/>
                <w:szCs w:val="20"/>
              </w:rPr>
              <w:t>,</w:t>
            </w:r>
            <w:r w:rsidRPr="00510C80">
              <w:rPr>
                <w:rFonts w:ascii="Calibri" w:hAnsi="Calibri" w:cs="Calibri"/>
                <w:color w:val="000000"/>
                <w:sz w:val="20"/>
                <w:szCs w:val="20"/>
              </w:rPr>
              <w:t>604</w:t>
            </w:r>
            <w:r>
              <w:rPr>
                <w:rFonts w:ascii="Calibri" w:hAnsi="Calibri" w:cs="Calibri"/>
                <w:color w:val="000000"/>
                <w:sz w:val="20"/>
                <w:szCs w:val="20"/>
              </w:rPr>
              <w:t>,</w:t>
            </w:r>
            <w:r w:rsidRPr="00510C80">
              <w:rPr>
                <w:rFonts w:ascii="Calibri" w:hAnsi="Calibri" w:cs="Calibri"/>
                <w:color w:val="000000"/>
                <w:sz w:val="20"/>
                <w:szCs w:val="20"/>
              </w:rPr>
              <w:t>000</w:t>
            </w:r>
          </w:p>
        </w:tc>
      </w:tr>
      <w:tr w:rsidR="00127FEC" w:rsidRPr="00510C80" w14:paraId="41BC9B86" w14:textId="77777777" w:rsidTr="00127FEC">
        <w:trPr>
          <w:trHeight w:hRule="exact" w:val="340"/>
        </w:trPr>
        <w:tc>
          <w:tcPr>
            <w:tcW w:w="5954" w:type="dxa"/>
            <w:tcBorders>
              <w:top w:val="nil"/>
              <w:left w:val="nil"/>
              <w:bottom w:val="nil"/>
              <w:right w:val="nil"/>
            </w:tcBorders>
            <w:shd w:val="clear" w:color="auto" w:fill="auto"/>
            <w:vAlign w:val="bottom"/>
            <w:hideMark/>
          </w:tcPr>
          <w:p w14:paraId="60993D50" w14:textId="77777777" w:rsidR="00127FEC" w:rsidRPr="0073032C" w:rsidRDefault="00127FEC" w:rsidP="00BF5168">
            <w:pPr>
              <w:spacing w:after="0"/>
              <w:rPr>
                <w:rFonts w:ascii="Calibri" w:hAnsi="Calibri" w:cs="Calibri"/>
                <w:color w:val="000000"/>
                <w:sz w:val="20"/>
                <w:szCs w:val="20"/>
              </w:rPr>
            </w:pPr>
            <w:r>
              <w:rPr>
                <w:rFonts w:ascii="Calibri" w:hAnsi="Calibri" w:cs="Calibri"/>
                <w:color w:val="000000"/>
                <w:sz w:val="20"/>
                <w:szCs w:val="20"/>
              </w:rPr>
              <w:t>Borrowings from domestic institutions</w:t>
            </w:r>
          </w:p>
        </w:tc>
        <w:tc>
          <w:tcPr>
            <w:tcW w:w="1559" w:type="dxa"/>
            <w:tcBorders>
              <w:top w:val="nil"/>
              <w:left w:val="nil"/>
              <w:bottom w:val="single" w:sz="8" w:space="0" w:color="auto"/>
              <w:right w:val="nil"/>
            </w:tcBorders>
            <w:shd w:val="clear" w:color="auto" w:fill="auto"/>
            <w:vAlign w:val="bottom"/>
          </w:tcPr>
          <w:p w14:paraId="71D1FDA7" w14:textId="46494892" w:rsidR="00127FEC" w:rsidRPr="00510C80" w:rsidRDefault="00127FEC" w:rsidP="00BF5168">
            <w:pPr>
              <w:spacing w:after="0"/>
              <w:jc w:val="right"/>
              <w:rPr>
                <w:rFonts w:ascii="Calibri" w:hAnsi="Calibri" w:cs="Calibri"/>
                <w:color w:val="000000"/>
                <w:sz w:val="20"/>
                <w:szCs w:val="20"/>
              </w:rPr>
            </w:pPr>
            <w:r>
              <w:rPr>
                <w:rFonts w:ascii="Calibri" w:hAnsi="Calibri" w:cs="Calibri"/>
                <w:color w:val="000000"/>
                <w:sz w:val="20"/>
                <w:szCs w:val="20"/>
              </w:rPr>
              <w:t>1,500,000</w:t>
            </w:r>
          </w:p>
        </w:tc>
        <w:tc>
          <w:tcPr>
            <w:tcW w:w="1843" w:type="dxa"/>
            <w:tcBorders>
              <w:top w:val="nil"/>
              <w:left w:val="nil"/>
              <w:bottom w:val="single" w:sz="8" w:space="0" w:color="auto"/>
              <w:right w:val="nil"/>
            </w:tcBorders>
            <w:shd w:val="clear" w:color="auto" w:fill="auto"/>
            <w:vAlign w:val="bottom"/>
            <w:hideMark/>
          </w:tcPr>
          <w:p w14:paraId="1FFCD679" w14:textId="0F151B3E" w:rsidR="00127FEC" w:rsidRPr="00510C80" w:rsidRDefault="00127FEC" w:rsidP="00BF5168">
            <w:pPr>
              <w:spacing w:after="0"/>
              <w:jc w:val="right"/>
              <w:rPr>
                <w:rFonts w:ascii="Calibri" w:hAnsi="Calibri" w:cs="Calibri"/>
                <w:color w:val="000000"/>
                <w:sz w:val="20"/>
                <w:szCs w:val="20"/>
              </w:rPr>
            </w:pPr>
            <w:r w:rsidRPr="00510C80">
              <w:rPr>
                <w:rFonts w:ascii="Calibri" w:hAnsi="Calibri" w:cs="Calibri"/>
                <w:color w:val="000000"/>
                <w:sz w:val="20"/>
                <w:szCs w:val="20"/>
              </w:rPr>
              <w:t>1</w:t>
            </w:r>
            <w:r>
              <w:rPr>
                <w:rFonts w:ascii="Calibri" w:hAnsi="Calibri" w:cs="Calibri"/>
                <w:color w:val="000000"/>
                <w:sz w:val="20"/>
                <w:szCs w:val="20"/>
              </w:rPr>
              <w:t>,</w:t>
            </w:r>
            <w:r w:rsidRPr="00510C80">
              <w:rPr>
                <w:rFonts w:ascii="Calibri" w:hAnsi="Calibri" w:cs="Calibri"/>
                <w:color w:val="000000"/>
                <w:sz w:val="20"/>
                <w:szCs w:val="20"/>
              </w:rPr>
              <w:t>500</w:t>
            </w:r>
            <w:r>
              <w:rPr>
                <w:rFonts w:ascii="Calibri" w:hAnsi="Calibri" w:cs="Calibri"/>
                <w:color w:val="000000"/>
                <w:sz w:val="20"/>
                <w:szCs w:val="20"/>
              </w:rPr>
              <w:t>,</w:t>
            </w:r>
            <w:r w:rsidRPr="00510C80">
              <w:rPr>
                <w:rFonts w:ascii="Calibri" w:hAnsi="Calibri" w:cs="Calibri"/>
                <w:color w:val="000000"/>
                <w:sz w:val="20"/>
                <w:szCs w:val="20"/>
              </w:rPr>
              <w:t>000</w:t>
            </w:r>
          </w:p>
        </w:tc>
      </w:tr>
      <w:tr w:rsidR="00127FEC" w:rsidRPr="00510C80" w14:paraId="03D8110C" w14:textId="77777777" w:rsidTr="00127FEC">
        <w:trPr>
          <w:trHeight w:hRule="exact" w:val="340"/>
        </w:trPr>
        <w:tc>
          <w:tcPr>
            <w:tcW w:w="5954" w:type="dxa"/>
            <w:tcBorders>
              <w:top w:val="nil"/>
              <w:left w:val="nil"/>
              <w:bottom w:val="nil"/>
              <w:right w:val="nil"/>
            </w:tcBorders>
            <w:shd w:val="clear" w:color="auto" w:fill="auto"/>
            <w:vAlign w:val="center"/>
            <w:hideMark/>
          </w:tcPr>
          <w:p w14:paraId="7BA74D07" w14:textId="77777777" w:rsidR="00127FEC" w:rsidRPr="0073032C" w:rsidRDefault="00127FEC" w:rsidP="00127FEC">
            <w:pPr>
              <w:jc w:val="right"/>
              <w:rPr>
                <w:rFonts w:ascii="Calibri" w:hAnsi="Calibri" w:cs="Calibri"/>
                <w:color w:val="000000"/>
                <w:sz w:val="20"/>
                <w:szCs w:val="20"/>
              </w:rPr>
            </w:pPr>
          </w:p>
        </w:tc>
        <w:tc>
          <w:tcPr>
            <w:tcW w:w="1559" w:type="dxa"/>
            <w:tcBorders>
              <w:top w:val="nil"/>
              <w:left w:val="nil"/>
              <w:bottom w:val="single" w:sz="12" w:space="0" w:color="auto"/>
              <w:right w:val="nil"/>
            </w:tcBorders>
            <w:shd w:val="clear" w:color="auto" w:fill="auto"/>
            <w:vAlign w:val="bottom"/>
          </w:tcPr>
          <w:p w14:paraId="5C42EE37" w14:textId="36379D70" w:rsidR="00127FEC" w:rsidRPr="00510C80" w:rsidRDefault="00305A46" w:rsidP="00305A46">
            <w:pPr>
              <w:spacing w:after="0" w:line="240" w:lineRule="auto"/>
              <w:jc w:val="right"/>
              <w:rPr>
                <w:rFonts w:ascii="Calibri" w:hAnsi="Calibri" w:cs="Calibri"/>
                <w:color w:val="000000"/>
                <w:sz w:val="20"/>
                <w:szCs w:val="20"/>
              </w:rPr>
            </w:pPr>
            <w:r>
              <w:rPr>
                <w:rFonts w:ascii="Calibri" w:hAnsi="Calibri" w:cs="Calibri"/>
                <w:color w:val="000000"/>
                <w:sz w:val="20"/>
                <w:szCs w:val="20"/>
              </w:rPr>
              <w:t>15,814,323</w:t>
            </w:r>
          </w:p>
        </w:tc>
        <w:tc>
          <w:tcPr>
            <w:tcW w:w="1843" w:type="dxa"/>
            <w:tcBorders>
              <w:top w:val="nil"/>
              <w:left w:val="nil"/>
              <w:bottom w:val="single" w:sz="12" w:space="0" w:color="auto"/>
              <w:right w:val="nil"/>
            </w:tcBorders>
            <w:shd w:val="clear" w:color="auto" w:fill="auto"/>
            <w:vAlign w:val="bottom"/>
            <w:hideMark/>
          </w:tcPr>
          <w:p w14:paraId="0EB9AABF" w14:textId="478FC70D" w:rsidR="00127FEC" w:rsidRPr="00510C80" w:rsidRDefault="00127FEC" w:rsidP="00305A46">
            <w:pPr>
              <w:spacing w:after="0" w:line="240" w:lineRule="auto"/>
              <w:jc w:val="right"/>
              <w:rPr>
                <w:rFonts w:ascii="Calibri" w:hAnsi="Calibri" w:cs="Calibri"/>
                <w:color w:val="000000"/>
                <w:sz w:val="20"/>
                <w:szCs w:val="20"/>
              </w:rPr>
            </w:pPr>
            <w:r w:rsidRPr="00510C80">
              <w:rPr>
                <w:rFonts w:ascii="Calibri" w:hAnsi="Calibri" w:cs="Calibri"/>
                <w:color w:val="000000"/>
                <w:sz w:val="20"/>
                <w:szCs w:val="20"/>
              </w:rPr>
              <w:t>16</w:t>
            </w:r>
            <w:r>
              <w:rPr>
                <w:rFonts w:ascii="Calibri" w:hAnsi="Calibri" w:cs="Calibri"/>
                <w:color w:val="000000"/>
                <w:sz w:val="20"/>
                <w:szCs w:val="20"/>
              </w:rPr>
              <w:t>,</w:t>
            </w:r>
            <w:r w:rsidRPr="00510C80">
              <w:rPr>
                <w:rFonts w:ascii="Calibri" w:hAnsi="Calibri" w:cs="Calibri"/>
                <w:color w:val="000000"/>
                <w:sz w:val="20"/>
                <w:szCs w:val="20"/>
              </w:rPr>
              <w:t>104</w:t>
            </w:r>
            <w:r>
              <w:rPr>
                <w:rFonts w:ascii="Calibri" w:hAnsi="Calibri" w:cs="Calibri"/>
                <w:color w:val="000000"/>
                <w:sz w:val="20"/>
                <w:szCs w:val="20"/>
              </w:rPr>
              <w:t>,</w:t>
            </w:r>
            <w:r w:rsidRPr="00510C80">
              <w:rPr>
                <w:rFonts w:ascii="Calibri" w:hAnsi="Calibri" w:cs="Calibri"/>
                <w:color w:val="000000"/>
                <w:sz w:val="20"/>
                <w:szCs w:val="20"/>
              </w:rPr>
              <w:t>000</w:t>
            </w:r>
          </w:p>
        </w:tc>
      </w:tr>
      <w:tr w:rsidR="00127FEC" w:rsidRPr="00510C80" w14:paraId="24375A4F" w14:textId="77777777" w:rsidTr="00127FEC">
        <w:trPr>
          <w:trHeight w:hRule="exact" w:val="340"/>
        </w:trPr>
        <w:tc>
          <w:tcPr>
            <w:tcW w:w="5954" w:type="dxa"/>
            <w:tcBorders>
              <w:top w:val="nil"/>
              <w:left w:val="nil"/>
              <w:bottom w:val="nil"/>
              <w:right w:val="nil"/>
            </w:tcBorders>
            <w:shd w:val="clear" w:color="auto" w:fill="auto"/>
            <w:vAlign w:val="bottom"/>
            <w:hideMark/>
          </w:tcPr>
          <w:p w14:paraId="13129A8E" w14:textId="77777777" w:rsidR="00127FEC" w:rsidRPr="0073032C" w:rsidRDefault="00127FEC" w:rsidP="00BF5168">
            <w:pPr>
              <w:spacing w:after="0"/>
              <w:rPr>
                <w:rFonts w:ascii="Calibri" w:hAnsi="Calibri" w:cs="Calibri"/>
                <w:color w:val="000000"/>
                <w:sz w:val="20"/>
                <w:szCs w:val="20"/>
              </w:rPr>
            </w:pPr>
            <w:r w:rsidRPr="0015261D">
              <w:rPr>
                <w:rFonts w:ascii="Calibri" w:hAnsi="Calibri" w:cs="Calibri"/>
                <w:color w:val="000000"/>
                <w:sz w:val="20"/>
                <w:szCs w:val="20"/>
              </w:rPr>
              <w:t xml:space="preserve">Accrued interest </w:t>
            </w:r>
          </w:p>
        </w:tc>
        <w:tc>
          <w:tcPr>
            <w:tcW w:w="1559" w:type="dxa"/>
            <w:tcBorders>
              <w:top w:val="single" w:sz="12" w:space="0" w:color="auto"/>
              <w:left w:val="nil"/>
              <w:right w:val="nil"/>
            </w:tcBorders>
            <w:shd w:val="clear" w:color="auto" w:fill="auto"/>
            <w:vAlign w:val="bottom"/>
          </w:tcPr>
          <w:p w14:paraId="4BBFFEF8" w14:textId="2186B2FD" w:rsidR="00127FEC" w:rsidRPr="00510C80" w:rsidRDefault="00127FEC" w:rsidP="00BF5168">
            <w:pPr>
              <w:spacing w:after="0"/>
              <w:jc w:val="right"/>
              <w:rPr>
                <w:rFonts w:ascii="Calibri" w:hAnsi="Calibri" w:cs="Calibri"/>
                <w:color w:val="000000"/>
                <w:sz w:val="20"/>
                <w:szCs w:val="20"/>
              </w:rPr>
            </w:pPr>
            <w:r w:rsidRPr="008E5C2B">
              <w:rPr>
                <w:rFonts w:ascii="Calibri" w:eastAsia="Times New Roman" w:hAnsi="Calibri" w:cs="Calibri"/>
                <w:color w:val="000000"/>
                <w:sz w:val="20"/>
                <w:szCs w:val="20"/>
              </w:rPr>
              <w:t>41</w:t>
            </w:r>
            <w:r>
              <w:rPr>
                <w:rFonts w:ascii="Calibri" w:eastAsia="Times New Roman" w:hAnsi="Calibri" w:cs="Calibri"/>
                <w:color w:val="000000"/>
                <w:sz w:val="20"/>
                <w:szCs w:val="20"/>
              </w:rPr>
              <w:t>,</w:t>
            </w:r>
            <w:r w:rsidRPr="008E5C2B">
              <w:rPr>
                <w:rFonts w:ascii="Calibri" w:eastAsia="Times New Roman" w:hAnsi="Calibri" w:cs="Calibri"/>
                <w:color w:val="000000"/>
                <w:sz w:val="20"/>
                <w:szCs w:val="20"/>
              </w:rPr>
              <w:t>787</w:t>
            </w:r>
          </w:p>
        </w:tc>
        <w:tc>
          <w:tcPr>
            <w:tcW w:w="1843" w:type="dxa"/>
            <w:tcBorders>
              <w:top w:val="nil"/>
              <w:left w:val="nil"/>
              <w:bottom w:val="nil"/>
              <w:right w:val="nil"/>
            </w:tcBorders>
            <w:shd w:val="clear" w:color="auto" w:fill="auto"/>
            <w:vAlign w:val="bottom"/>
            <w:hideMark/>
          </w:tcPr>
          <w:p w14:paraId="1FA55194" w14:textId="707C0246" w:rsidR="00127FEC" w:rsidRPr="00510C80" w:rsidRDefault="00127FEC" w:rsidP="00BF5168">
            <w:pPr>
              <w:spacing w:after="0"/>
              <w:jc w:val="right"/>
              <w:rPr>
                <w:rFonts w:ascii="Calibri" w:hAnsi="Calibri" w:cs="Calibri"/>
                <w:color w:val="000000"/>
                <w:sz w:val="20"/>
                <w:szCs w:val="20"/>
              </w:rPr>
            </w:pPr>
            <w:r w:rsidRPr="00510C80">
              <w:rPr>
                <w:rFonts w:ascii="Calibri" w:hAnsi="Calibri" w:cs="Calibri"/>
                <w:color w:val="000000"/>
                <w:sz w:val="20"/>
                <w:szCs w:val="20"/>
              </w:rPr>
              <w:t>34</w:t>
            </w:r>
            <w:r>
              <w:rPr>
                <w:rFonts w:ascii="Calibri" w:hAnsi="Calibri" w:cs="Calibri"/>
                <w:color w:val="000000"/>
                <w:sz w:val="20"/>
                <w:szCs w:val="20"/>
              </w:rPr>
              <w:t>,</w:t>
            </w:r>
            <w:r w:rsidRPr="00510C80">
              <w:rPr>
                <w:rFonts w:ascii="Calibri" w:hAnsi="Calibri" w:cs="Calibri"/>
                <w:color w:val="000000"/>
                <w:sz w:val="20"/>
                <w:szCs w:val="20"/>
              </w:rPr>
              <w:t>657</w:t>
            </w:r>
          </w:p>
        </w:tc>
      </w:tr>
      <w:tr w:rsidR="00127FEC" w:rsidRPr="00510C80" w14:paraId="53E35377" w14:textId="77777777" w:rsidTr="00127FEC">
        <w:trPr>
          <w:trHeight w:hRule="exact" w:val="340"/>
        </w:trPr>
        <w:tc>
          <w:tcPr>
            <w:tcW w:w="5954" w:type="dxa"/>
            <w:tcBorders>
              <w:top w:val="nil"/>
              <w:left w:val="nil"/>
              <w:bottom w:val="nil"/>
              <w:right w:val="nil"/>
            </w:tcBorders>
            <w:shd w:val="clear" w:color="auto" w:fill="auto"/>
            <w:vAlign w:val="bottom"/>
            <w:hideMark/>
          </w:tcPr>
          <w:p w14:paraId="7A903D5F" w14:textId="77777777" w:rsidR="00127FEC" w:rsidRPr="0073032C" w:rsidRDefault="00127FEC" w:rsidP="00BF5168">
            <w:pPr>
              <w:spacing w:after="0"/>
              <w:rPr>
                <w:rFonts w:ascii="Calibri" w:hAnsi="Calibri" w:cs="Calibri"/>
                <w:color w:val="000000"/>
                <w:sz w:val="20"/>
                <w:szCs w:val="20"/>
              </w:rPr>
            </w:pPr>
            <w:r w:rsidRPr="0015261D">
              <w:rPr>
                <w:rFonts w:ascii="Calibri" w:hAnsi="Calibri" w:cs="Calibri"/>
                <w:color w:val="000000"/>
                <w:sz w:val="20"/>
                <w:szCs w:val="20"/>
              </w:rPr>
              <w:t>Deferred recognition of fees</w:t>
            </w:r>
          </w:p>
        </w:tc>
        <w:tc>
          <w:tcPr>
            <w:tcW w:w="1559" w:type="dxa"/>
            <w:tcBorders>
              <w:top w:val="nil"/>
              <w:left w:val="nil"/>
              <w:bottom w:val="single" w:sz="8" w:space="0" w:color="auto"/>
              <w:right w:val="nil"/>
            </w:tcBorders>
            <w:shd w:val="clear" w:color="auto" w:fill="auto"/>
            <w:vAlign w:val="bottom"/>
          </w:tcPr>
          <w:p w14:paraId="0A8F59F4" w14:textId="13F53BC0" w:rsidR="00127FEC" w:rsidRPr="00510C80" w:rsidRDefault="00127FEC" w:rsidP="00BF5168">
            <w:pPr>
              <w:spacing w:after="0"/>
              <w:jc w:val="right"/>
              <w:rPr>
                <w:rFonts w:ascii="Calibri" w:hAnsi="Calibri" w:cs="Calibri"/>
                <w:color w:val="000000"/>
                <w:sz w:val="20"/>
                <w:szCs w:val="20"/>
              </w:rPr>
            </w:pPr>
            <w:r w:rsidRPr="008E5C2B">
              <w:rPr>
                <w:rFonts w:ascii="Calibri" w:eastAsia="Times New Roman" w:hAnsi="Calibri" w:cs="Calibri"/>
                <w:color w:val="000000"/>
                <w:sz w:val="20"/>
                <w:szCs w:val="20"/>
              </w:rPr>
              <w:t>(27</w:t>
            </w:r>
            <w:r>
              <w:rPr>
                <w:rFonts w:ascii="Calibri" w:eastAsia="Times New Roman" w:hAnsi="Calibri" w:cs="Calibri"/>
                <w:color w:val="000000"/>
                <w:sz w:val="20"/>
                <w:szCs w:val="20"/>
              </w:rPr>
              <w:t>,</w:t>
            </w:r>
            <w:r w:rsidRPr="008E5C2B">
              <w:rPr>
                <w:rFonts w:ascii="Calibri" w:eastAsia="Times New Roman" w:hAnsi="Calibri" w:cs="Calibri"/>
                <w:color w:val="000000"/>
                <w:sz w:val="20"/>
                <w:szCs w:val="20"/>
              </w:rPr>
              <w:t>487)</w:t>
            </w:r>
          </w:p>
        </w:tc>
        <w:tc>
          <w:tcPr>
            <w:tcW w:w="1843" w:type="dxa"/>
            <w:tcBorders>
              <w:top w:val="nil"/>
              <w:left w:val="nil"/>
              <w:bottom w:val="single" w:sz="8" w:space="0" w:color="auto"/>
              <w:right w:val="nil"/>
            </w:tcBorders>
            <w:shd w:val="clear" w:color="auto" w:fill="auto"/>
            <w:vAlign w:val="bottom"/>
            <w:hideMark/>
          </w:tcPr>
          <w:p w14:paraId="387AA39B" w14:textId="4C6F0F76" w:rsidR="00127FEC" w:rsidRPr="00510C80" w:rsidRDefault="00127FEC" w:rsidP="00BF5168">
            <w:pPr>
              <w:spacing w:after="0"/>
              <w:jc w:val="right"/>
              <w:rPr>
                <w:rFonts w:ascii="Calibri" w:hAnsi="Calibri" w:cs="Calibri"/>
                <w:color w:val="000000"/>
                <w:sz w:val="20"/>
                <w:szCs w:val="20"/>
              </w:rPr>
            </w:pPr>
            <w:r w:rsidRPr="00510C80">
              <w:rPr>
                <w:rFonts w:ascii="Calibri" w:hAnsi="Calibri" w:cs="Calibri"/>
                <w:color w:val="000000"/>
                <w:sz w:val="20"/>
                <w:szCs w:val="20"/>
              </w:rPr>
              <w:t>(23</w:t>
            </w:r>
            <w:r>
              <w:rPr>
                <w:rFonts w:ascii="Calibri" w:hAnsi="Calibri" w:cs="Calibri"/>
                <w:color w:val="000000"/>
                <w:sz w:val="20"/>
                <w:szCs w:val="20"/>
              </w:rPr>
              <w:t>,</w:t>
            </w:r>
            <w:r w:rsidRPr="00510C80">
              <w:rPr>
                <w:rFonts w:ascii="Calibri" w:hAnsi="Calibri" w:cs="Calibri"/>
                <w:color w:val="000000"/>
                <w:sz w:val="20"/>
                <w:szCs w:val="20"/>
              </w:rPr>
              <w:t>420)</w:t>
            </w:r>
          </w:p>
        </w:tc>
      </w:tr>
      <w:tr w:rsidR="00127FEC" w:rsidRPr="00510C80" w14:paraId="779E54AD" w14:textId="77777777" w:rsidTr="00127FEC">
        <w:trPr>
          <w:trHeight w:val="392"/>
        </w:trPr>
        <w:tc>
          <w:tcPr>
            <w:tcW w:w="5954" w:type="dxa"/>
            <w:tcBorders>
              <w:top w:val="nil"/>
              <w:left w:val="nil"/>
              <w:bottom w:val="nil"/>
              <w:right w:val="nil"/>
            </w:tcBorders>
            <w:shd w:val="clear" w:color="auto" w:fill="auto"/>
            <w:vAlign w:val="center"/>
            <w:hideMark/>
          </w:tcPr>
          <w:p w14:paraId="5305D41F" w14:textId="77777777" w:rsidR="00127FEC" w:rsidRPr="00510C80" w:rsidRDefault="00127FEC" w:rsidP="00127FEC">
            <w:pPr>
              <w:jc w:val="right"/>
              <w:rPr>
                <w:rFonts w:ascii="Calibri" w:hAnsi="Calibri" w:cs="Calibri"/>
                <w:color w:val="000000"/>
                <w:sz w:val="20"/>
                <w:szCs w:val="20"/>
              </w:rPr>
            </w:pPr>
          </w:p>
        </w:tc>
        <w:tc>
          <w:tcPr>
            <w:tcW w:w="1559" w:type="dxa"/>
            <w:tcBorders>
              <w:top w:val="single" w:sz="8" w:space="0" w:color="auto"/>
              <w:left w:val="nil"/>
              <w:bottom w:val="single" w:sz="12" w:space="0" w:color="auto"/>
              <w:right w:val="nil"/>
            </w:tcBorders>
            <w:shd w:val="clear" w:color="auto" w:fill="auto"/>
            <w:vAlign w:val="bottom"/>
          </w:tcPr>
          <w:p w14:paraId="21A78593" w14:textId="1292021A" w:rsidR="00127FEC" w:rsidRPr="00510C80" w:rsidRDefault="00127FEC" w:rsidP="00127FEC">
            <w:pPr>
              <w:spacing w:after="0" w:line="240" w:lineRule="auto"/>
              <w:jc w:val="right"/>
              <w:rPr>
                <w:rFonts w:ascii="Calibri" w:hAnsi="Calibri" w:cs="Calibri"/>
                <w:b/>
                <w:bCs/>
                <w:color w:val="000000"/>
                <w:sz w:val="20"/>
                <w:szCs w:val="20"/>
              </w:rPr>
            </w:pPr>
            <w:r>
              <w:rPr>
                <w:rFonts w:ascii="Calibri" w:hAnsi="Calibri" w:cs="Calibri"/>
                <w:b/>
                <w:bCs/>
                <w:color w:val="000000"/>
                <w:sz w:val="20"/>
                <w:szCs w:val="20"/>
              </w:rPr>
              <w:t>15,828,623</w:t>
            </w:r>
          </w:p>
        </w:tc>
        <w:tc>
          <w:tcPr>
            <w:tcW w:w="1843" w:type="dxa"/>
            <w:tcBorders>
              <w:top w:val="nil"/>
              <w:left w:val="nil"/>
              <w:bottom w:val="single" w:sz="12" w:space="0" w:color="auto"/>
              <w:right w:val="nil"/>
            </w:tcBorders>
            <w:shd w:val="clear" w:color="auto" w:fill="auto"/>
            <w:vAlign w:val="bottom"/>
            <w:hideMark/>
          </w:tcPr>
          <w:p w14:paraId="32BC29DA" w14:textId="2E2B5225" w:rsidR="00127FEC" w:rsidRPr="00510C80" w:rsidRDefault="00127FEC" w:rsidP="00127FEC">
            <w:pPr>
              <w:spacing w:after="0" w:line="240" w:lineRule="auto"/>
              <w:jc w:val="right"/>
              <w:rPr>
                <w:rFonts w:ascii="Calibri" w:hAnsi="Calibri" w:cs="Calibri"/>
                <w:b/>
                <w:bCs/>
                <w:color w:val="000000"/>
                <w:sz w:val="20"/>
                <w:szCs w:val="20"/>
              </w:rPr>
            </w:pPr>
            <w:r w:rsidRPr="00510C80">
              <w:rPr>
                <w:rFonts w:ascii="Calibri" w:hAnsi="Calibri" w:cs="Calibri"/>
                <w:b/>
                <w:bCs/>
                <w:color w:val="000000"/>
                <w:sz w:val="20"/>
                <w:szCs w:val="20"/>
              </w:rPr>
              <w:t>16</w:t>
            </w:r>
            <w:r>
              <w:rPr>
                <w:rFonts w:ascii="Calibri" w:hAnsi="Calibri" w:cs="Calibri"/>
                <w:b/>
                <w:bCs/>
                <w:color w:val="000000"/>
                <w:sz w:val="20"/>
                <w:szCs w:val="20"/>
              </w:rPr>
              <w:t>,</w:t>
            </w:r>
            <w:r w:rsidRPr="00510C80">
              <w:rPr>
                <w:rFonts w:ascii="Calibri" w:hAnsi="Calibri" w:cs="Calibri"/>
                <w:b/>
                <w:bCs/>
                <w:color w:val="000000"/>
                <w:sz w:val="20"/>
                <w:szCs w:val="20"/>
              </w:rPr>
              <w:t>115</w:t>
            </w:r>
            <w:r>
              <w:rPr>
                <w:rFonts w:ascii="Calibri" w:hAnsi="Calibri" w:cs="Calibri"/>
                <w:b/>
                <w:bCs/>
                <w:color w:val="000000"/>
                <w:sz w:val="20"/>
                <w:szCs w:val="20"/>
              </w:rPr>
              <w:t>,</w:t>
            </w:r>
            <w:r w:rsidRPr="00510C80">
              <w:rPr>
                <w:rFonts w:ascii="Calibri" w:hAnsi="Calibri" w:cs="Calibri"/>
                <w:b/>
                <w:bCs/>
                <w:color w:val="000000"/>
                <w:sz w:val="20"/>
                <w:szCs w:val="20"/>
              </w:rPr>
              <w:t>237</w:t>
            </w:r>
          </w:p>
        </w:tc>
      </w:tr>
    </w:tbl>
    <w:p w14:paraId="78A78CFA" w14:textId="77777777" w:rsidR="002C46C9" w:rsidRDefault="002C46C9" w:rsidP="00AB524A">
      <w:pPr>
        <w:tabs>
          <w:tab w:val="left" w:pos="-720"/>
        </w:tabs>
        <w:spacing w:after="0" w:line="240" w:lineRule="auto"/>
        <w:jc w:val="both"/>
        <w:rPr>
          <w:rFonts w:ascii="Calibri" w:eastAsia="Calibri" w:hAnsi="Calibri" w:cs="Arial"/>
          <w:color w:val="000000" w:themeColor="text1"/>
          <w:lang w:val="en-US"/>
        </w:rPr>
      </w:pPr>
    </w:p>
    <w:p w14:paraId="050C1433" w14:textId="77777777" w:rsidR="00C249A8" w:rsidRDefault="00C249A8" w:rsidP="00C249A8">
      <w:pPr>
        <w:jc w:val="both"/>
        <w:rPr>
          <w:rFonts w:ascii="Calibri" w:hAnsi="Calibri"/>
        </w:rPr>
      </w:pPr>
      <w:r>
        <w:rPr>
          <w:rFonts w:ascii="Calibri" w:hAnsi="Calibri"/>
        </w:rPr>
        <w:t>(a) Borrowings from foreign financial institutions relate to long-term loans from special financial institutions, mainly the European Investment Bank (EIB) and the Council of Europe Development Bank (CEB).</w:t>
      </w:r>
    </w:p>
    <w:p w14:paraId="0AEEA3FA" w14:textId="0E17D135" w:rsidR="0071771F" w:rsidRPr="00537128" w:rsidRDefault="00C249A8" w:rsidP="00C249A8">
      <w:pPr>
        <w:jc w:val="both"/>
        <w:rPr>
          <w:rFonts w:ascii="Calibri" w:eastAsia="Times New Roman" w:hAnsi="Calibri" w:cs="Times New Roman"/>
          <w:color w:val="000000" w:themeColor="text1"/>
          <w:lang w:val="en-US"/>
        </w:rPr>
      </w:pPr>
      <w:r>
        <w:rPr>
          <w:rFonts w:ascii="Calibri" w:hAnsi="Calibri"/>
        </w:rPr>
        <w:t xml:space="preserve"> (b) Borrowings from domestic institutions relate to a loan from the Ministry of Finance of the Republic of Croatia.</w:t>
      </w:r>
    </w:p>
    <w:p w14:paraId="001558AF" w14:textId="77777777" w:rsidR="0071771F" w:rsidRPr="00537128" w:rsidRDefault="0071771F" w:rsidP="00FF5A95">
      <w:pPr>
        <w:spacing w:after="0" w:line="240" w:lineRule="auto"/>
        <w:jc w:val="both"/>
        <w:rPr>
          <w:rFonts w:ascii="Calibri" w:eastAsia="Times New Roman" w:hAnsi="Calibri" w:cs="Times New Roman"/>
          <w:color w:val="000000" w:themeColor="text1"/>
          <w:lang w:val="en-US"/>
        </w:rPr>
        <w:sectPr w:rsidR="0071771F" w:rsidRPr="00537128">
          <w:pgSz w:w="11906" w:h="16838"/>
          <w:pgMar w:top="1417" w:right="1417" w:bottom="1417" w:left="1417" w:header="708" w:footer="708" w:gutter="0"/>
          <w:cols w:space="708"/>
          <w:docGrid w:linePitch="360"/>
        </w:sectPr>
      </w:pPr>
    </w:p>
    <w:p w14:paraId="4DF7E127" w14:textId="77777777" w:rsidR="0071771F" w:rsidRPr="00537128" w:rsidRDefault="0071771F" w:rsidP="00FF5A95">
      <w:pPr>
        <w:spacing w:after="0" w:line="240" w:lineRule="auto"/>
        <w:jc w:val="both"/>
        <w:rPr>
          <w:rFonts w:ascii="Calibri" w:eastAsia="Times New Roman" w:hAnsi="Calibri" w:cs="Times New Roman"/>
          <w:color w:val="000000" w:themeColor="text1"/>
          <w:lang w:val="en-US"/>
        </w:rPr>
      </w:pPr>
    </w:p>
    <w:p w14:paraId="39857C1F" w14:textId="77777777" w:rsidR="00824F81" w:rsidRPr="00537128" w:rsidRDefault="00824F81" w:rsidP="005B7D9D">
      <w:pPr>
        <w:pStyle w:val="ListParagraph"/>
        <w:numPr>
          <w:ilvl w:val="0"/>
          <w:numId w:val="15"/>
        </w:numPr>
        <w:tabs>
          <w:tab w:val="left" w:pos="567"/>
        </w:tabs>
        <w:spacing w:after="0" w:line="240" w:lineRule="auto"/>
        <w:rPr>
          <w:rFonts w:ascii="Calibri" w:eastAsia="Times New Roman" w:hAnsi="Calibri" w:cs="Arial"/>
          <w:b/>
          <w:bCs/>
          <w:color w:val="000000" w:themeColor="text1"/>
          <w:lang w:val="en-US"/>
        </w:rPr>
      </w:pPr>
      <w:r w:rsidRPr="00537128">
        <w:rPr>
          <w:rFonts w:ascii="Calibri" w:eastAsia="Times New Roman" w:hAnsi="Calibri" w:cs="Arial"/>
          <w:b/>
          <w:bCs/>
          <w:color w:val="000000" w:themeColor="text1"/>
          <w:lang w:val="en-US"/>
        </w:rPr>
        <w:t xml:space="preserve">Provisions for guarantees, </w:t>
      </w:r>
      <w:proofErr w:type="gramStart"/>
      <w:r w:rsidRPr="00537128">
        <w:rPr>
          <w:rFonts w:ascii="Calibri" w:eastAsia="Times New Roman" w:hAnsi="Calibri" w:cs="Arial"/>
          <w:b/>
          <w:bCs/>
          <w:color w:val="000000" w:themeColor="text1"/>
          <w:lang w:val="en-US"/>
        </w:rPr>
        <w:t>commitments</w:t>
      </w:r>
      <w:proofErr w:type="gramEnd"/>
      <w:r w:rsidRPr="00537128">
        <w:rPr>
          <w:rFonts w:ascii="Calibri" w:eastAsia="Times New Roman" w:hAnsi="Calibri" w:cs="Arial"/>
          <w:b/>
          <w:bCs/>
          <w:color w:val="000000" w:themeColor="text1"/>
          <w:lang w:val="en-US"/>
        </w:rPr>
        <w:t xml:space="preserve"> and other liabilities</w:t>
      </w:r>
    </w:p>
    <w:p w14:paraId="50F78867" w14:textId="77777777" w:rsidR="00824F81" w:rsidRPr="00D9597A" w:rsidRDefault="00824F81" w:rsidP="00824F81">
      <w:pPr>
        <w:spacing w:after="0" w:line="240" w:lineRule="auto"/>
        <w:jc w:val="both"/>
        <w:rPr>
          <w:rFonts w:ascii="Calibri" w:eastAsia="Times New Roman" w:hAnsi="Calibri" w:cs="Times New Roman"/>
          <w:color w:val="000000" w:themeColor="text1"/>
          <w:sz w:val="16"/>
          <w:szCs w:val="16"/>
          <w:lang w:val="en-US"/>
        </w:rPr>
      </w:pPr>
    </w:p>
    <w:tbl>
      <w:tblPr>
        <w:tblW w:w="5000" w:type="pct"/>
        <w:tblCellMar>
          <w:left w:w="119" w:type="dxa"/>
          <w:right w:w="119" w:type="dxa"/>
        </w:tblCellMar>
        <w:tblLook w:val="04A0" w:firstRow="1" w:lastRow="0" w:firstColumn="1" w:lastColumn="0" w:noHBand="0" w:noVBand="1"/>
      </w:tblPr>
      <w:tblGrid>
        <w:gridCol w:w="3550"/>
        <w:gridCol w:w="1381"/>
        <w:gridCol w:w="1383"/>
        <w:gridCol w:w="1381"/>
        <w:gridCol w:w="1377"/>
      </w:tblGrid>
      <w:tr w:rsidR="0069122F" w:rsidRPr="00537128" w14:paraId="02BDD7AC" w14:textId="77777777" w:rsidTr="0069122F">
        <w:trPr>
          <w:trHeight w:val="236"/>
        </w:trPr>
        <w:tc>
          <w:tcPr>
            <w:tcW w:w="1957" w:type="pct"/>
          </w:tcPr>
          <w:p w14:paraId="048EEAE2" w14:textId="77777777" w:rsidR="0069122F" w:rsidRPr="00537128" w:rsidRDefault="0069122F" w:rsidP="0069122F">
            <w:pPr>
              <w:tabs>
                <w:tab w:val="left" w:pos="-720"/>
              </w:tabs>
              <w:suppressAutoHyphens/>
              <w:spacing w:after="0" w:line="240" w:lineRule="auto"/>
              <w:rPr>
                <w:rFonts w:ascii="Calibri" w:eastAsia="Calibri" w:hAnsi="Calibri" w:cs="Arial"/>
                <w:spacing w:val="-2"/>
                <w:lang w:val="en-US"/>
              </w:rPr>
            </w:pPr>
          </w:p>
        </w:tc>
        <w:tc>
          <w:tcPr>
            <w:tcW w:w="1523" w:type="pct"/>
            <w:gridSpan w:val="2"/>
            <w:vAlign w:val="center"/>
            <w:hideMark/>
          </w:tcPr>
          <w:p w14:paraId="79D58BA2" w14:textId="77777777" w:rsidR="0069122F" w:rsidRPr="00537128" w:rsidRDefault="0069122F" w:rsidP="0069122F">
            <w:pPr>
              <w:tabs>
                <w:tab w:val="right" w:pos="1202"/>
              </w:tabs>
              <w:spacing w:after="0" w:line="240" w:lineRule="atLeast"/>
              <w:jc w:val="right"/>
              <w:outlineLvl w:val="0"/>
              <w:rPr>
                <w:rFonts w:ascii="Calibri" w:eastAsia="Times New Roman" w:hAnsi="Calibri" w:cs="Arial"/>
                <w:b/>
                <w:lang w:val="en-US"/>
              </w:rPr>
            </w:pPr>
            <w:r w:rsidRPr="00537128">
              <w:rPr>
                <w:rFonts w:ascii="Calibri" w:eastAsia="Calibri" w:hAnsi="Calibri" w:cs="Arial"/>
                <w:b/>
                <w:bCs/>
                <w:lang w:val="en-US"/>
              </w:rPr>
              <w:t>Group</w:t>
            </w:r>
          </w:p>
        </w:tc>
        <w:tc>
          <w:tcPr>
            <w:tcW w:w="1520" w:type="pct"/>
            <w:gridSpan w:val="2"/>
            <w:vAlign w:val="center"/>
            <w:hideMark/>
          </w:tcPr>
          <w:p w14:paraId="105AB426" w14:textId="77777777" w:rsidR="0069122F" w:rsidRPr="00537128" w:rsidRDefault="0069122F" w:rsidP="0069122F">
            <w:pPr>
              <w:tabs>
                <w:tab w:val="right" w:pos="1202"/>
              </w:tabs>
              <w:spacing w:after="0" w:line="240" w:lineRule="atLeast"/>
              <w:jc w:val="right"/>
              <w:outlineLvl w:val="0"/>
              <w:rPr>
                <w:rFonts w:ascii="Calibri" w:eastAsia="Calibri" w:hAnsi="Calibri" w:cs="Arial"/>
                <w:b/>
                <w:bCs/>
                <w:lang w:val="en-US"/>
              </w:rPr>
            </w:pPr>
            <w:r w:rsidRPr="00537128">
              <w:rPr>
                <w:rFonts w:ascii="Calibri" w:eastAsia="Calibri" w:hAnsi="Calibri" w:cs="Arial"/>
                <w:b/>
                <w:bCs/>
                <w:lang w:val="en-US"/>
              </w:rPr>
              <w:t>Bank</w:t>
            </w:r>
          </w:p>
        </w:tc>
      </w:tr>
      <w:tr w:rsidR="0069122F" w:rsidRPr="00537128" w14:paraId="5A627C2E" w14:textId="77777777" w:rsidTr="0069122F">
        <w:trPr>
          <w:trHeight w:val="474"/>
        </w:trPr>
        <w:tc>
          <w:tcPr>
            <w:tcW w:w="1957" w:type="pct"/>
          </w:tcPr>
          <w:p w14:paraId="480787FF" w14:textId="77777777" w:rsidR="0069122F" w:rsidRPr="00537128" w:rsidRDefault="0069122F" w:rsidP="0069122F">
            <w:pPr>
              <w:tabs>
                <w:tab w:val="left" w:pos="-720"/>
              </w:tabs>
              <w:suppressAutoHyphens/>
              <w:spacing w:after="0" w:line="240" w:lineRule="auto"/>
              <w:rPr>
                <w:rFonts w:ascii="Calibri" w:eastAsia="Calibri" w:hAnsi="Calibri" w:cs="Arial"/>
                <w:spacing w:val="-2"/>
                <w:lang w:val="en-US"/>
              </w:rPr>
            </w:pPr>
          </w:p>
        </w:tc>
        <w:tc>
          <w:tcPr>
            <w:tcW w:w="761" w:type="pct"/>
            <w:hideMark/>
          </w:tcPr>
          <w:p w14:paraId="5BB5F64A" w14:textId="77777777" w:rsidR="0069122F" w:rsidRPr="00537128" w:rsidRDefault="0069122F" w:rsidP="0069122F">
            <w:pPr>
              <w:tabs>
                <w:tab w:val="right" w:pos="1202"/>
              </w:tabs>
              <w:spacing w:after="0" w:line="240" w:lineRule="atLeast"/>
              <w:ind w:left="-116"/>
              <w:jc w:val="right"/>
              <w:outlineLvl w:val="0"/>
              <w:rPr>
                <w:rFonts w:ascii="Calibri" w:eastAsia="Calibri" w:hAnsi="Calibri" w:cs="Arial"/>
                <w:b/>
                <w:bCs/>
                <w:lang w:val="en-US"/>
              </w:rPr>
            </w:pPr>
            <w:r w:rsidRPr="00537128">
              <w:rPr>
                <w:rFonts w:ascii="Calibri" w:eastAsia="Calibri" w:hAnsi="Calibri" w:cs="Arial"/>
                <w:b/>
                <w:bCs/>
                <w:lang w:val="en-US"/>
              </w:rPr>
              <w:t>31 March</w:t>
            </w:r>
          </w:p>
          <w:p w14:paraId="63F9296A" w14:textId="4F9039C0" w:rsidR="0069122F" w:rsidRPr="00537128" w:rsidRDefault="0069122F" w:rsidP="0069122F">
            <w:pPr>
              <w:tabs>
                <w:tab w:val="right" w:pos="1202"/>
              </w:tabs>
              <w:spacing w:after="0" w:line="240" w:lineRule="atLeast"/>
              <w:ind w:left="-116"/>
              <w:jc w:val="right"/>
              <w:outlineLvl w:val="0"/>
              <w:rPr>
                <w:rFonts w:ascii="Calibri" w:eastAsia="Calibri" w:hAnsi="Calibri" w:cs="Arial"/>
                <w:bCs/>
                <w:lang w:val="en-US"/>
              </w:rPr>
            </w:pPr>
            <w:r w:rsidRPr="00537128">
              <w:rPr>
                <w:rFonts w:ascii="Calibri" w:eastAsia="Calibri" w:hAnsi="Calibri" w:cs="Arial"/>
                <w:b/>
                <w:bCs/>
                <w:lang w:val="en-US"/>
              </w:rPr>
              <w:t>202</w:t>
            </w:r>
            <w:r w:rsidR="009A3DD1">
              <w:rPr>
                <w:rFonts w:ascii="Calibri" w:eastAsia="Calibri" w:hAnsi="Calibri" w:cs="Arial"/>
                <w:b/>
                <w:bCs/>
                <w:lang w:val="en-US"/>
              </w:rPr>
              <w:t>2</w:t>
            </w:r>
          </w:p>
        </w:tc>
        <w:tc>
          <w:tcPr>
            <w:tcW w:w="762" w:type="pct"/>
            <w:hideMark/>
          </w:tcPr>
          <w:p w14:paraId="68B6A7F0" w14:textId="2144C9FC" w:rsidR="0069122F" w:rsidRPr="00537128" w:rsidRDefault="0069122F" w:rsidP="0069122F">
            <w:pPr>
              <w:tabs>
                <w:tab w:val="right" w:pos="1202"/>
              </w:tabs>
              <w:spacing w:after="0" w:line="240" w:lineRule="atLeast"/>
              <w:ind w:left="-116"/>
              <w:jc w:val="right"/>
              <w:outlineLvl w:val="0"/>
              <w:rPr>
                <w:rFonts w:ascii="Calibri" w:eastAsia="Calibri" w:hAnsi="Calibri" w:cs="Arial"/>
                <w:bCs/>
                <w:lang w:val="en-US"/>
              </w:rPr>
            </w:pPr>
            <w:r w:rsidRPr="00537128">
              <w:rPr>
                <w:rFonts w:ascii="Calibri" w:eastAsia="Calibri" w:hAnsi="Calibri" w:cs="Arial"/>
                <w:b/>
                <w:bCs/>
                <w:lang w:val="en-US"/>
              </w:rPr>
              <w:t>31 December 202</w:t>
            </w:r>
            <w:r w:rsidR="009A3DD1">
              <w:rPr>
                <w:rFonts w:ascii="Calibri" w:eastAsia="Calibri" w:hAnsi="Calibri" w:cs="Arial"/>
                <w:b/>
                <w:bCs/>
                <w:lang w:val="en-US"/>
              </w:rPr>
              <w:t>1</w:t>
            </w:r>
          </w:p>
        </w:tc>
        <w:tc>
          <w:tcPr>
            <w:tcW w:w="761" w:type="pct"/>
            <w:hideMark/>
          </w:tcPr>
          <w:p w14:paraId="7535516D" w14:textId="77777777" w:rsidR="0069122F" w:rsidRPr="00537128" w:rsidRDefault="0069122F" w:rsidP="0069122F">
            <w:pPr>
              <w:tabs>
                <w:tab w:val="right" w:pos="1202"/>
              </w:tabs>
              <w:spacing w:after="0" w:line="240" w:lineRule="atLeast"/>
              <w:ind w:left="-116"/>
              <w:jc w:val="right"/>
              <w:outlineLvl w:val="0"/>
              <w:rPr>
                <w:rFonts w:ascii="Calibri" w:eastAsia="Calibri" w:hAnsi="Calibri" w:cs="Arial"/>
                <w:b/>
                <w:bCs/>
                <w:lang w:val="en-US"/>
              </w:rPr>
            </w:pPr>
            <w:r w:rsidRPr="00537128">
              <w:rPr>
                <w:rFonts w:ascii="Calibri" w:eastAsia="Calibri" w:hAnsi="Calibri" w:cs="Arial"/>
                <w:b/>
                <w:bCs/>
                <w:lang w:val="en-US"/>
              </w:rPr>
              <w:t>31 March</w:t>
            </w:r>
          </w:p>
          <w:p w14:paraId="425599A0" w14:textId="5BBB1E16" w:rsidR="0069122F" w:rsidRPr="00537128" w:rsidRDefault="0069122F" w:rsidP="0069122F">
            <w:pPr>
              <w:tabs>
                <w:tab w:val="right" w:pos="1202"/>
              </w:tabs>
              <w:spacing w:after="0" w:line="240" w:lineRule="atLeast"/>
              <w:ind w:left="-116"/>
              <w:jc w:val="right"/>
              <w:outlineLvl w:val="0"/>
              <w:rPr>
                <w:rFonts w:ascii="Calibri" w:eastAsia="Calibri" w:hAnsi="Calibri" w:cs="Arial"/>
                <w:bCs/>
                <w:lang w:val="en-US"/>
              </w:rPr>
            </w:pPr>
            <w:r w:rsidRPr="00537128">
              <w:rPr>
                <w:rFonts w:ascii="Calibri" w:eastAsia="Calibri" w:hAnsi="Calibri" w:cs="Arial"/>
                <w:b/>
                <w:bCs/>
                <w:lang w:val="en-US"/>
              </w:rPr>
              <w:t>202</w:t>
            </w:r>
            <w:r w:rsidR="009A3DD1">
              <w:rPr>
                <w:rFonts w:ascii="Calibri" w:eastAsia="Calibri" w:hAnsi="Calibri" w:cs="Arial"/>
                <w:b/>
                <w:bCs/>
                <w:lang w:val="en-US"/>
              </w:rPr>
              <w:t>2</w:t>
            </w:r>
          </w:p>
        </w:tc>
        <w:tc>
          <w:tcPr>
            <w:tcW w:w="759" w:type="pct"/>
            <w:hideMark/>
          </w:tcPr>
          <w:p w14:paraId="68F35721" w14:textId="662AD2EC" w:rsidR="0069122F" w:rsidRPr="00537128" w:rsidRDefault="0069122F" w:rsidP="0069122F">
            <w:pPr>
              <w:tabs>
                <w:tab w:val="right" w:pos="1202"/>
              </w:tabs>
              <w:spacing w:after="0" w:line="240" w:lineRule="atLeast"/>
              <w:ind w:left="-116"/>
              <w:jc w:val="right"/>
              <w:outlineLvl w:val="0"/>
              <w:rPr>
                <w:rFonts w:ascii="Calibri" w:eastAsia="Calibri" w:hAnsi="Calibri" w:cs="Arial"/>
                <w:bCs/>
                <w:lang w:val="en-US"/>
              </w:rPr>
            </w:pPr>
            <w:r w:rsidRPr="00537128">
              <w:rPr>
                <w:rFonts w:ascii="Calibri" w:eastAsia="Calibri" w:hAnsi="Calibri" w:cs="Arial"/>
                <w:b/>
                <w:bCs/>
                <w:lang w:val="en-US"/>
              </w:rPr>
              <w:t>31 December 202</w:t>
            </w:r>
            <w:r w:rsidR="009A3DD1">
              <w:rPr>
                <w:rFonts w:ascii="Calibri" w:eastAsia="Calibri" w:hAnsi="Calibri" w:cs="Arial"/>
                <w:b/>
                <w:bCs/>
                <w:lang w:val="en-US"/>
              </w:rPr>
              <w:t>1</w:t>
            </w:r>
          </w:p>
        </w:tc>
      </w:tr>
      <w:tr w:rsidR="0069122F" w:rsidRPr="00537128" w14:paraId="55393EF8" w14:textId="77777777" w:rsidTr="0069122F">
        <w:trPr>
          <w:trHeight w:val="224"/>
        </w:trPr>
        <w:tc>
          <w:tcPr>
            <w:tcW w:w="1957" w:type="pct"/>
          </w:tcPr>
          <w:p w14:paraId="0F42DFD5" w14:textId="77777777" w:rsidR="0069122F" w:rsidRPr="00537128" w:rsidRDefault="0069122F" w:rsidP="0069122F">
            <w:pPr>
              <w:tabs>
                <w:tab w:val="left" w:pos="-720"/>
              </w:tabs>
              <w:suppressAutoHyphens/>
              <w:spacing w:after="0" w:line="240" w:lineRule="auto"/>
              <w:rPr>
                <w:rFonts w:ascii="Calibri" w:eastAsia="Calibri" w:hAnsi="Calibri" w:cs="Arial"/>
                <w:spacing w:val="-2"/>
                <w:lang w:val="en-US"/>
              </w:rPr>
            </w:pPr>
          </w:p>
        </w:tc>
        <w:tc>
          <w:tcPr>
            <w:tcW w:w="761" w:type="pct"/>
            <w:hideMark/>
          </w:tcPr>
          <w:p w14:paraId="1391B02B" w14:textId="77777777" w:rsidR="0069122F" w:rsidRPr="00537128" w:rsidRDefault="0069122F" w:rsidP="0069122F">
            <w:pPr>
              <w:tabs>
                <w:tab w:val="right" w:pos="1202"/>
              </w:tabs>
              <w:spacing w:after="0" w:line="240" w:lineRule="atLeast"/>
              <w:ind w:left="-116"/>
              <w:jc w:val="right"/>
              <w:outlineLvl w:val="0"/>
              <w:rPr>
                <w:rFonts w:ascii="Calibri" w:eastAsia="Calibri" w:hAnsi="Calibri" w:cs="Arial"/>
                <w:bCs/>
                <w:lang w:val="en-US"/>
              </w:rPr>
            </w:pPr>
            <w:r w:rsidRPr="00537128">
              <w:rPr>
                <w:rFonts w:ascii="Calibri" w:eastAsia="Calibri" w:hAnsi="Calibri" w:cs="Arial"/>
                <w:b/>
                <w:bCs/>
                <w:lang w:val="en-US"/>
              </w:rPr>
              <w:t>HRK ‘000</w:t>
            </w:r>
          </w:p>
        </w:tc>
        <w:tc>
          <w:tcPr>
            <w:tcW w:w="762" w:type="pct"/>
            <w:hideMark/>
          </w:tcPr>
          <w:p w14:paraId="57202787" w14:textId="3A03AD5C" w:rsidR="0069122F" w:rsidRPr="00537128" w:rsidRDefault="0069122F" w:rsidP="0069122F">
            <w:pPr>
              <w:tabs>
                <w:tab w:val="right" w:pos="1202"/>
              </w:tabs>
              <w:spacing w:after="0" w:line="240" w:lineRule="atLeast"/>
              <w:ind w:left="-116"/>
              <w:jc w:val="right"/>
              <w:outlineLvl w:val="0"/>
              <w:rPr>
                <w:rFonts w:ascii="Calibri" w:eastAsia="Calibri" w:hAnsi="Calibri" w:cs="Arial"/>
                <w:bCs/>
                <w:lang w:val="en-US"/>
              </w:rPr>
            </w:pPr>
            <w:r w:rsidRPr="00537128">
              <w:rPr>
                <w:rFonts w:ascii="Calibri" w:eastAsia="Calibri" w:hAnsi="Calibri" w:cs="Arial"/>
                <w:b/>
                <w:bCs/>
                <w:lang w:val="en-US"/>
              </w:rPr>
              <w:t>HRK ‘000</w:t>
            </w:r>
          </w:p>
        </w:tc>
        <w:tc>
          <w:tcPr>
            <w:tcW w:w="761" w:type="pct"/>
            <w:hideMark/>
          </w:tcPr>
          <w:p w14:paraId="079951F2" w14:textId="3F60DEB3" w:rsidR="0069122F" w:rsidRPr="00537128" w:rsidRDefault="0069122F" w:rsidP="0069122F">
            <w:pPr>
              <w:tabs>
                <w:tab w:val="right" w:pos="1202"/>
              </w:tabs>
              <w:spacing w:after="0" w:line="240" w:lineRule="atLeast"/>
              <w:ind w:left="-116"/>
              <w:jc w:val="right"/>
              <w:outlineLvl w:val="0"/>
              <w:rPr>
                <w:rFonts w:ascii="Calibri" w:eastAsia="Calibri" w:hAnsi="Calibri" w:cs="Arial"/>
                <w:bCs/>
                <w:lang w:val="en-US"/>
              </w:rPr>
            </w:pPr>
            <w:r w:rsidRPr="00537128">
              <w:rPr>
                <w:rFonts w:ascii="Calibri" w:eastAsia="Calibri" w:hAnsi="Calibri" w:cs="Arial"/>
                <w:b/>
                <w:bCs/>
                <w:lang w:val="en-US"/>
              </w:rPr>
              <w:t>HRK ‘000</w:t>
            </w:r>
          </w:p>
        </w:tc>
        <w:tc>
          <w:tcPr>
            <w:tcW w:w="759" w:type="pct"/>
            <w:hideMark/>
          </w:tcPr>
          <w:p w14:paraId="1FE9539C" w14:textId="46898F82" w:rsidR="0069122F" w:rsidRPr="00537128" w:rsidRDefault="0069122F" w:rsidP="0069122F">
            <w:pPr>
              <w:tabs>
                <w:tab w:val="right" w:pos="1202"/>
              </w:tabs>
              <w:spacing w:after="0" w:line="240" w:lineRule="atLeast"/>
              <w:ind w:left="-116"/>
              <w:jc w:val="right"/>
              <w:outlineLvl w:val="0"/>
              <w:rPr>
                <w:rFonts w:ascii="Calibri" w:eastAsia="Calibri" w:hAnsi="Calibri" w:cs="Arial"/>
                <w:bCs/>
                <w:lang w:val="en-US"/>
              </w:rPr>
            </w:pPr>
            <w:r w:rsidRPr="00537128">
              <w:rPr>
                <w:rFonts w:ascii="Calibri" w:eastAsia="Calibri" w:hAnsi="Calibri" w:cs="Arial"/>
                <w:b/>
                <w:bCs/>
                <w:lang w:val="en-US"/>
              </w:rPr>
              <w:t>HRK ‘000</w:t>
            </w:r>
          </w:p>
        </w:tc>
      </w:tr>
      <w:tr w:rsidR="0069122F" w:rsidRPr="00537128" w14:paraId="0658F6D6" w14:textId="77777777" w:rsidTr="000473FF">
        <w:trPr>
          <w:trHeight w:hRule="exact" w:val="111"/>
        </w:trPr>
        <w:tc>
          <w:tcPr>
            <w:tcW w:w="1957" w:type="pct"/>
          </w:tcPr>
          <w:p w14:paraId="10318BE2" w14:textId="77777777" w:rsidR="0069122F" w:rsidRPr="00537128" w:rsidRDefault="0069122F" w:rsidP="0069122F">
            <w:pPr>
              <w:tabs>
                <w:tab w:val="left" w:pos="-720"/>
              </w:tabs>
              <w:suppressAutoHyphens/>
              <w:spacing w:after="0" w:line="240" w:lineRule="auto"/>
              <w:rPr>
                <w:rFonts w:ascii="Calibri" w:eastAsia="Calibri" w:hAnsi="Calibri" w:cs="Arial"/>
                <w:spacing w:val="-2"/>
                <w:lang w:val="en-US"/>
              </w:rPr>
            </w:pPr>
          </w:p>
        </w:tc>
        <w:tc>
          <w:tcPr>
            <w:tcW w:w="761" w:type="pct"/>
          </w:tcPr>
          <w:p w14:paraId="57D02422" w14:textId="77777777" w:rsidR="0069122F" w:rsidRPr="00537128" w:rsidRDefault="0069122F" w:rsidP="0069122F">
            <w:pPr>
              <w:tabs>
                <w:tab w:val="left" w:pos="-720"/>
              </w:tabs>
              <w:suppressAutoHyphens/>
              <w:spacing w:after="0" w:line="240" w:lineRule="auto"/>
              <w:jc w:val="right"/>
              <w:rPr>
                <w:rFonts w:ascii="Calibri" w:eastAsia="Calibri" w:hAnsi="Calibri" w:cs="Arial"/>
                <w:b/>
                <w:spacing w:val="-2"/>
                <w:lang w:val="en-US"/>
              </w:rPr>
            </w:pPr>
          </w:p>
        </w:tc>
        <w:tc>
          <w:tcPr>
            <w:tcW w:w="762" w:type="pct"/>
          </w:tcPr>
          <w:p w14:paraId="67070DAE" w14:textId="77777777" w:rsidR="0069122F" w:rsidRPr="00537128" w:rsidRDefault="0069122F" w:rsidP="0069122F">
            <w:pPr>
              <w:tabs>
                <w:tab w:val="left" w:pos="-720"/>
              </w:tabs>
              <w:suppressAutoHyphens/>
              <w:spacing w:after="0" w:line="240" w:lineRule="auto"/>
              <w:jc w:val="right"/>
              <w:rPr>
                <w:rFonts w:ascii="Calibri" w:eastAsia="Calibri" w:hAnsi="Calibri" w:cs="Arial"/>
                <w:b/>
                <w:spacing w:val="-2"/>
                <w:lang w:val="en-US"/>
              </w:rPr>
            </w:pPr>
          </w:p>
        </w:tc>
        <w:tc>
          <w:tcPr>
            <w:tcW w:w="761" w:type="pct"/>
          </w:tcPr>
          <w:p w14:paraId="14A4CA8B" w14:textId="77777777" w:rsidR="0069122F" w:rsidRPr="00537128" w:rsidRDefault="0069122F" w:rsidP="0069122F">
            <w:pPr>
              <w:tabs>
                <w:tab w:val="left" w:pos="-720"/>
              </w:tabs>
              <w:suppressAutoHyphens/>
              <w:spacing w:after="0" w:line="240" w:lineRule="auto"/>
              <w:jc w:val="right"/>
              <w:rPr>
                <w:rFonts w:ascii="Calibri" w:eastAsia="Calibri" w:hAnsi="Calibri" w:cs="Arial"/>
                <w:b/>
                <w:spacing w:val="-2"/>
                <w:lang w:val="en-US"/>
              </w:rPr>
            </w:pPr>
          </w:p>
        </w:tc>
        <w:tc>
          <w:tcPr>
            <w:tcW w:w="759" w:type="pct"/>
            <w:vAlign w:val="bottom"/>
          </w:tcPr>
          <w:p w14:paraId="10FAF36A" w14:textId="77777777" w:rsidR="0069122F" w:rsidRPr="00537128" w:rsidRDefault="0069122F" w:rsidP="0069122F">
            <w:pPr>
              <w:tabs>
                <w:tab w:val="left" w:pos="-720"/>
              </w:tabs>
              <w:suppressAutoHyphens/>
              <w:spacing w:after="0" w:line="240" w:lineRule="auto"/>
              <w:jc w:val="right"/>
              <w:rPr>
                <w:rFonts w:ascii="Calibri" w:eastAsia="Calibri" w:hAnsi="Calibri" w:cs="Arial"/>
                <w:b/>
                <w:spacing w:val="-2"/>
                <w:lang w:val="en-US"/>
              </w:rPr>
            </w:pPr>
          </w:p>
        </w:tc>
      </w:tr>
      <w:tr w:rsidR="009935F3" w:rsidRPr="00537128" w14:paraId="7BF05224" w14:textId="77777777" w:rsidTr="00E91223">
        <w:trPr>
          <w:trHeight w:val="259"/>
        </w:trPr>
        <w:tc>
          <w:tcPr>
            <w:tcW w:w="1957" w:type="pct"/>
            <w:hideMark/>
          </w:tcPr>
          <w:p w14:paraId="1E02349B" w14:textId="77777777" w:rsidR="009935F3" w:rsidRPr="00537128" w:rsidRDefault="009935F3" w:rsidP="009935F3">
            <w:pPr>
              <w:spacing w:after="0" w:line="240" w:lineRule="auto"/>
              <w:rPr>
                <w:rFonts w:ascii="Calibri" w:eastAsia="Calibri" w:hAnsi="Calibri" w:cs="Calibri"/>
                <w:lang w:val="en-US"/>
              </w:rPr>
            </w:pPr>
            <w:r w:rsidRPr="00537128">
              <w:rPr>
                <w:rFonts w:ascii="Calibri" w:eastAsia="Calibri" w:hAnsi="Calibri" w:cs="Calibri"/>
                <w:lang w:val="en-US"/>
              </w:rPr>
              <w:t xml:space="preserve">Provisions for guarantees and commitments </w:t>
            </w:r>
          </w:p>
        </w:tc>
        <w:tc>
          <w:tcPr>
            <w:tcW w:w="761" w:type="pct"/>
            <w:vAlign w:val="bottom"/>
          </w:tcPr>
          <w:p w14:paraId="55A8CF03" w14:textId="22A5A27C" w:rsidR="009935F3" w:rsidRPr="00537128" w:rsidRDefault="009935F3" w:rsidP="009935F3">
            <w:pPr>
              <w:spacing w:after="0" w:line="240" w:lineRule="auto"/>
              <w:jc w:val="right"/>
              <w:rPr>
                <w:rFonts w:ascii="Calibri" w:eastAsia="Calibri" w:hAnsi="Calibri" w:cs="Times New Roman"/>
                <w:color w:val="000000"/>
                <w:lang w:val="en-US"/>
              </w:rPr>
            </w:pPr>
            <w:r>
              <w:rPr>
                <w:rFonts w:ascii="Calibri" w:eastAsia="Calibri" w:hAnsi="Calibri" w:cs="Calibri"/>
                <w:color w:val="000000"/>
              </w:rPr>
              <w:t>84</w:t>
            </w:r>
            <w:r w:rsidR="00B935DD">
              <w:rPr>
                <w:rFonts w:ascii="Calibri" w:eastAsia="Calibri" w:hAnsi="Calibri" w:cs="Calibri"/>
                <w:color w:val="000000"/>
              </w:rPr>
              <w:t>,</w:t>
            </w:r>
            <w:r>
              <w:rPr>
                <w:rFonts w:ascii="Calibri" w:eastAsia="Calibri" w:hAnsi="Calibri" w:cs="Calibri"/>
                <w:color w:val="000000"/>
              </w:rPr>
              <w:t>347</w:t>
            </w:r>
          </w:p>
        </w:tc>
        <w:tc>
          <w:tcPr>
            <w:tcW w:w="762" w:type="pct"/>
            <w:vAlign w:val="bottom"/>
          </w:tcPr>
          <w:p w14:paraId="481A827A" w14:textId="69AD1302" w:rsidR="009935F3" w:rsidRPr="00537128" w:rsidRDefault="009935F3" w:rsidP="009935F3">
            <w:pPr>
              <w:spacing w:after="0" w:line="240" w:lineRule="auto"/>
              <w:jc w:val="right"/>
              <w:rPr>
                <w:rFonts w:ascii="Calibri" w:eastAsia="Calibri" w:hAnsi="Calibri" w:cs="Times New Roman"/>
                <w:color w:val="000000"/>
                <w:lang w:val="en-US"/>
              </w:rPr>
            </w:pPr>
            <w:r w:rsidRPr="00E85437">
              <w:rPr>
                <w:rFonts w:eastAsia="Calibri" w:cstheme="minorHAnsi"/>
                <w:color w:val="000000" w:themeColor="text1"/>
              </w:rPr>
              <w:t>129</w:t>
            </w:r>
            <w:r>
              <w:rPr>
                <w:rFonts w:eastAsia="Calibri" w:cstheme="minorHAnsi"/>
                <w:color w:val="000000" w:themeColor="text1"/>
              </w:rPr>
              <w:t>,</w:t>
            </w:r>
            <w:r w:rsidRPr="00E85437">
              <w:rPr>
                <w:rFonts w:eastAsia="Calibri" w:cstheme="minorHAnsi"/>
                <w:color w:val="000000" w:themeColor="text1"/>
              </w:rPr>
              <w:t>587</w:t>
            </w:r>
          </w:p>
        </w:tc>
        <w:tc>
          <w:tcPr>
            <w:tcW w:w="761" w:type="pct"/>
            <w:vAlign w:val="bottom"/>
          </w:tcPr>
          <w:p w14:paraId="3C0C5ABC" w14:textId="799149C6" w:rsidR="009935F3" w:rsidRPr="00537128" w:rsidRDefault="009935F3" w:rsidP="009935F3">
            <w:pPr>
              <w:spacing w:after="0" w:line="240" w:lineRule="auto"/>
              <w:jc w:val="right"/>
              <w:rPr>
                <w:rFonts w:ascii="Calibri" w:eastAsia="Calibri" w:hAnsi="Calibri" w:cs="Calibri"/>
                <w:color w:val="000000"/>
                <w:lang w:val="en-US"/>
              </w:rPr>
            </w:pPr>
            <w:r>
              <w:rPr>
                <w:rFonts w:ascii="Calibri" w:eastAsia="Calibri" w:hAnsi="Calibri" w:cs="Calibri"/>
                <w:color w:val="000000"/>
              </w:rPr>
              <w:t>84</w:t>
            </w:r>
            <w:r w:rsidR="00B935DD">
              <w:rPr>
                <w:rFonts w:ascii="Calibri" w:eastAsia="Calibri" w:hAnsi="Calibri" w:cs="Calibri"/>
                <w:color w:val="000000"/>
              </w:rPr>
              <w:t>,</w:t>
            </w:r>
            <w:r>
              <w:rPr>
                <w:rFonts w:ascii="Calibri" w:eastAsia="Calibri" w:hAnsi="Calibri" w:cs="Calibri"/>
                <w:color w:val="000000"/>
              </w:rPr>
              <w:t>347</w:t>
            </w:r>
          </w:p>
        </w:tc>
        <w:tc>
          <w:tcPr>
            <w:tcW w:w="759" w:type="pct"/>
            <w:tcBorders>
              <w:top w:val="nil"/>
              <w:left w:val="nil"/>
              <w:bottom w:val="nil"/>
              <w:right w:val="nil"/>
            </w:tcBorders>
            <w:shd w:val="clear" w:color="auto" w:fill="auto"/>
            <w:vAlign w:val="bottom"/>
            <w:hideMark/>
          </w:tcPr>
          <w:p w14:paraId="4101C506" w14:textId="54CFE56D" w:rsidR="009935F3" w:rsidRPr="00537128" w:rsidRDefault="009935F3" w:rsidP="009935F3">
            <w:pPr>
              <w:spacing w:after="0" w:line="240" w:lineRule="auto"/>
              <w:jc w:val="right"/>
              <w:rPr>
                <w:rFonts w:ascii="Calibri" w:eastAsia="Calibri" w:hAnsi="Calibri" w:cs="Calibri"/>
                <w:color w:val="000000"/>
                <w:lang w:val="en-US"/>
              </w:rPr>
            </w:pPr>
            <w:r w:rsidRPr="00E85437">
              <w:rPr>
                <w:rFonts w:eastAsia="Calibri" w:cstheme="minorHAnsi"/>
                <w:color w:val="000000" w:themeColor="text1"/>
              </w:rPr>
              <w:t>129</w:t>
            </w:r>
            <w:r>
              <w:rPr>
                <w:rFonts w:eastAsia="Calibri" w:cstheme="minorHAnsi"/>
                <w:color w:val="000000" w:themeColor="text1"/>
              </w:rPr>
              <w:t>,</w:t>
            </w:r>
            <w:r w:rsidRPr="00E85437">
              <w:rPr>
                <w:rFonts w:eastAsia="Calibri" w:cstheme="minorHAnsi"/>
                <w:color w:val="000000" w:themeColor="text1"/>
              </w:rPr>
              <w:t>587</w:t>
            </w:r>
          </w:p>
        </w:tc>
      </w:tr>
      <w:tr w:rsidR="009935F3" w:rsidRPr="00537128" w14:paraId="58901B92" w14:textId="77777777" w:rsidTr="00E91223">
        <w:trPr>
          <w:trHeight w:val="259"/>
        </w:trPr>
        <w:tc>
          <w:tcPr>
            <w:tcW w:w="1957" w:type="pct"/>
            <w:hideMark/>
          </w:tcPr>
          <w:p w14:paraId="4D8C1C8C" w14:textId="77777777" w:rsidR="009935F3" w:rsidRPr="00537128" w:rsidRDefault="009935F3" w:rsidP="009935F3">
            <w:pPr>
              <w:spacing w:after="0" w:line="240" w:lineRule="auto"/>
              <w:rPr>
                <w:rFonts w:ascii="Calibri" w:eastAsia="Calibri" w:hAnsi="Calibri" w:cs="Calibri"/>
                <w:lang w:val="en-US"/>
              </w:rPr>
            </w:pPr>
            <w:r w:rsidRPr="00537128">
              <w:rPr>
                <w:rFonts w:ascii="Calibri" w:eastAsia="Calibri" w:hAnsi="Calibri" w:cs="Calibri"/>
                <w:lang w:val="en-US"/>
              </w:rPr>
              <w:t>Provisions for other liabilities</w:t>
            </w:r>
          </w:p>
        </w:tc>
        <w:tc>
          <w:tcPr>
            <w:tcW w:w="761" w:type="pct"/>
            <w:tcBorders>
              <w:bottom w:val="single" w:sz="2" w:space="0" w:color="auto"/>
            </w:tcBorders>
            <w:vAlign w:val="bottom"/>
          </w:tcPr>
          <w:p w14:paraId="13300F3D" w14:textId="7A17CDDB" w:rsidR="009935F3" w:rsidRPr="00537128" w:rsidRDefault="009935F3" w:rsidP="009935F3">
            <w:pPr>
              <w:spacing w:after="0" w:line="240" w:lineRule="auto"/>
              <w:jc w:val="right"/>
              <w:rPr>
                <w:rFonts w:ascii="Calibri" w:eastAsia="Calibri" w:hAnsi="Calibri" w:cs="Times New Roman"/>
                <w:color w:val="000000"/>
                <w:lang w:val="en-US"/>
              </w:rPr>
            </w:pPr>
            <w:r>
              <w:rPr>
                <w:rFonts w:ascii="Calibri" w:eastAsia="Calibri" w:hAnsi="Calibri" w:cs="Calibri"/>
                <w:color w:val="000000"/>
              </w:rPr>
              <w:t>60</w:t>
            </w:r>
            <w:r w:rsidR="00B935DD">
              <w:rPr>
                <w:rFonts w:ascii="Calibri" w:eastAsia="Calibri" w:hAnsi="Calibri" w:cs="Calibri"/>
                <w:color w:val="000000"/>
              </w:rPr>
              <w:t>,</w:t>
            </w:r>
            <w:r>
              <w:rPr>
                <w:rFonts w:ascii="Calibri" w:eastAsia="Calibri" w:hAnsi="Calibri" w:cs="Calibri"/>
                <w:color w:val="000000"/>
              </w:rPr>
              <w:t>558</w:t>
            </w:r>
          </w:p>
        </w:tc>
        <w:tc>
          <w:tcPr>
            <w:tcW w:w="762" w:type="pct"/>
            <w:tcBorders>
              <w:bottom w:val="single" w:sz="2" w:space="0" w:color="auto"/>
            </w:tcBorders>
          </w:tcPr>
          <w:p w14:paraId="35C54B9C" w14:textId="5546627C" w:rsidR="009935F3" w:rsidRPr="00537128" w:rsidRDefault="009935F3" w:rsidP="009935F3">
            <w:pPr>
              <w:spacing w:after="0" w:line="240" w:lineRule="auto"/>
              <w:jc w:val="right"/>
              <w:rPr>
                <w:rFonts w:ascii="Calibri" w:eastAsia="Calibri" w:hAnsi="Calibri" w:cs="Times New Roman"/>
                <w:color w:val="000000"/>
                <w:lang w:val="en-US"/>
              </w:rPr>
            </w:pPr>
            <w:r w:rsidRPr="00E85437">
              <w:rPr>
                <w:rFonts w:eastAsia="Calibri" w:cstheme="minorHAnsi"/>
                <w:color w:val="000000" w:themeColor="text1"/>
              </w:rPr>
              <w:t>60</w:t>
            </w:r>
            <w:r>
              <w:rPr>
                <w:rFonts w:eastAsia="Calibri" w:cstheme="minorHAnsi"/>
                <w:color w:val="000000" w:themeColor="text1"/>
              </w:rPr>
              <w:t>,</w:t>
            </w:r>
            <w:r w:rsidRPr="00E85437">
              <w:rPr>
                <w:rFonts w:eastAsia="Calibri" w:cstheme="minorHAnsi"/>
                <w:color w:val="000000" w:themeColor="text1"/>
              </w:rPr>
              <w:t>973</w:t>
            </w:r>
          </w:p>
        </w:tc>
        <w:tc>
          <w:tcPr>
            <w:tcW w:w="761" w:type="pct"/>
            <w:tcBorders>
              <w:bottom w:val="single" w:sz="2" w:space="0" w:color="auto"/>
            </w:tcBorders>
            <w:vAlign w:val="bottom"/>
          </w:tcPr>
          <w:p w14:paraId="6CF27F34" w14:textId="2A4E079F" w:rsidR="009935F3" w:rsidRPr="00537128" w:rsidRDefault="009935F3" w:rsidP="009935F3">
            <w:pPr>
              <w:spacing w:after="0" w:line="240" w:lineRule="auto"/>
              <w:jc w:val="right"/>
              <w:rPr>
                <w:rFonts w:ascii="Calibri" w:eastAsia="Calibri" w:hAnsi="Calibri" w:cs="Calibri"/>
                <w:color w:val="000000"/>
                <w:lang w:val="en-US"/>
              </w:rPr>
            </w:pPr>
            <w:r>
              <w:rPr>
                <w:rFonts w:ascii="Calibri" w:eastAsia="Calibri" w:hAnsi="Calibri" w:cs="Calibri"/>
                <w:color w:val="000000"/>
              </w:rPr>
              <w:t>60</w:t>
            </w:r>
            <w:r w:rsidR="00B935DD">
              <w:rPr>
                <w:rFonts w:ascii="Calibri" w:eastAsia="Calibri" w:hAnsi="Calibri" w:cs="Calibri"/>
                <w:color w:val="000000"/>
              </w:rPr>
              <w:t>,</w:t>
            </w:r>
            <w:r>
              <w:rPr>
                <w:rFonts w:ascii="Calibri" w:eastAsia="Calibri" w:hAnsi="Calibri" w:cs="Calibri"/>
                <w:color w:val="000000"/>
              </w:rPr>
              <w:t>301</w:t>
            </w:r>
          </w:p>
        </w:tc>
        <w:tc>
          <w:tcPr>
            <w:tcW w:w="759" w:type="pct"/>
            <w:tcBorders>
              <w:top w:val="nil"/>
              <w:left w:val="nil"/>
              <w:bottom w:val="nil"/>
              <w:right w:val="nil"/>
            </w:tcBorders>
            <w:shd w:val="clear" w:color="auto" w:fill="auto"/>
            <w:hideMark/>
          </w:tcPr>
          <w:p w14:paraId="2E06DE6F" w14:textId="384836FF" w:rsidR="009935F3" w:rsidRPr="00537128" w:rsidRDefault="009935F3" w:rsidP="009935F3">
            <w:pPr>
              <w:spacing w:after="0" w:line="240" w:lineRule="auto"/>
              <w:jc w:val="right"/>
              <w:rPr>
                <w:rFonts w:ascii="Calibri" w:eastAsia="Calibri" w:hAnsi="Calibri" w:cs="Calibri"/>
                <w:bCs/>
                <w:lang w:val="en-US"/>
              </w:rPr>
            </w:pPr>
            <w:r w:rsidRPr="00E85437">
              <w:rPr>
                <w:rFonts w:eastAsia="Calibri" w:cstheme="minorHAnsi"/>
                <w:color w:val="000000" w:themeColor="text1"/>
              </w:rPr>
              <w:t>60</w:t>
            </w:r>
            <w:r>
              <w:rPr>
                <w:rFonts w:eastAsia="Calibri" w:cstheme="minorHAnsi"/>
                <w:color w:val="000000" w:themeColor="text1"/>
              </w:rPr>
              <w:t>,</w:t>
            </w:r>
            <w:r w:rsidRPr="00E85437">
              <w:rPr>
                <w:rFonts w:eastAsia="Calibri" w:cstheme="minorHAnsi"/>
                <w:color w:val="000000" w:themeColor="text1"/>
              </w:rPr>
              <w:t>716</w:t>
            </w:r>
          </w:p>
        </w:tc>
      </w:tr>
      <w:tr w:rsidR="009935F3" w:rsidRPr="00537128" w14:paraId="565870E7" w14:textId="77777777" w:rsidTr="00E91223">
        <w:trPr>
          <w:trHeight w:val="295"/>
        </w:trPr>
        <w:tc>
          <w:tcPr>
            <w:tcW w:w="1957" w:type="pct"/>
          </w:tcPr>
          <w:p w14:paraId="2B7E8250" w14:textId="77777777" w:rsidR="009935F3" w:rsidRPr="00537128" w:rsidRDefault="009935F3" w:rsidP="009935F3">
            <w:pPr>
              <w:tabs>
                <w:tab w:val="left" w:pos="-720"/>
              </w:tabs>
              <w:suppressAutoHyphens/>
              <w:spacing w:after="0" w:line="240" w:lineRule="auto"/>
              <w:rPr>
                <w:rFonts w:ascii="Calibri" w:eastAsia="Calibri" w:hAnsi="Calibri" w:cs="Arial"/>
                <w:b/>
                <w:bCs/>
                <w:spacing w:val="-2"/>
                <w:lang w:val="en-US"/>
              </w:rPr>
            </w:pPr>
          </w:p>
        </w:tc>
        <w:tc>
          <w:tcPr>
            <w:tcW w:w="761" w:type="pct"/>
            <w:tcBorders>
              <w:top w:val="single" w:sz="4" w:space="0" w:color="auto"/>
              <w:bottom w:val="single" w:sz="12" w:space="0" w:color="auto"/>
            </w:tcBorders>
            <w:vAlign w:val="bottom"/>
          </w:tcPr>
          <w:p w14:paraId="2F59FB79" w14:textId="6FC4F4F7" w:rsidR="009935F3" w:rsidRPr="00537128" w:rsidRDefault="009935F3" w:rsidP="009935F3">
            <w:pPr>
              <w:tabs>
                <w:tab w:val="right" w:pos="1202"/>
              </w:tabs>
              <w:spacing w:after="0" w:line="340" w:lineRule="exact"/>
              <w:jc w:val="right"/>
              <w:outlineLvl w:val="0"/>
              <w:rPr>
                <w:rFonts w:ascii="Calibri" w:eastAsia="Times New Roman" w:hAnsi="Calibri" w:cs="Calibri"/>
                <w:b/>
                <w:bCs/>
                <w:lang w:val="en-US"/>
              </w:rPr>
            </w:pPr>
            <w:r>
              <w:rPr>
                <w:rFonts w:ascii="Calibri" w:eastAsia="Times New Roman" w:hAnsi="Calibri" w:cs="Calibri"/>
                <w:b/>
                <w:bCs/>
                <w:color w:val="000000"/>
              </w:rPr>
              <w:t>144</w:t>
            </w:r>
            <w:r w:rsidR="00B935DD">
              <w:rPr>
                <w:rFonts w:ascii="Calibri" w:eastAsia="Times New Roman" w:hAnsi="Calibri" w:cs="Calibri"/>
                <w:b/>
                <w:bCs/>
                <w:color w:val="000000"/>
              </w:rPr>
              <w:t>,</w:t>
            </w:r>
            <w:r>
              <w:rPr>
                <w:rFonts w:ascii="Calibri" w:eastAsia="Times New Roman" w:hAnsi="Calibri" w:cs="Calibri"/>
                <w:b/>
                <w:bCs/>
                <w:color w:val="000000"/>
              </w:rPr>
              <w:t>905</w:t>
            </w:r>
          </w:p>
        </w:tc>
        <w:tc>
          <w:tcPr>
            <w:tcW w:w="762" w:type="pct"/>
            <w:tcBorders>
              <w:top w:val="single" w:sz="4" w:space="0" w:color="auto"/>
              <w:bottom w:val="single" w:sz="12" w:space="0" w:color="auto"/>
            </w:tcBorders>
          </w:tcPr>
          <w:p w14:paraId="2A112494" w14:textId="2B22C044" w:rsidR="009935F3" w:rsidRPr="00537128" w:rsidRDefault="009935F3" w:rsidP="009935F3">
            <w:pPr>
              <w:tabs>
                <w:tab w:val="right" w:pos="1202"/>
              </w:tabs>
              <w:spacing w:after="0" w:line="340" w:lineRule="exact"/>
              <w:jc w:val="right"/>
              <w:outlineLvl w:val="0"/>
              <w:rPr>
                <w:rFonts w:ascii="Calibri" w:eastAsia="Times New Roman" w:hAnsi="Calibri" w:cs="Calibri"/>
                <w:b/>
                <w:bCs/>
                <w:lang w:val="en-US"/>
              </w:rPr>
            </w:pPr>
            <w:r w:rsidRPr="00E85437">
              <w:rPr>
                <w:rFonts w:cstheme="minorHAnsi"/>
                <w:b/>
                <w:bCs/>
                <w:color w:val="000000" w:themeColor="text1"/>
              </w:rPr>
              <w:t>190</w:t>
            </w:r>
            <w:r>
              <w:rPr>
                <w:rFonts w:cstheme="minorHAnsi"/>
                <w:b/>
                <w:bCs/>
                <w:color w:val="000000" w:themeColor="text1"/>
              </w:rPr>
              <w:t>,</w:t>
            </w:r>
            <w:r w:rsidRPr="00E85437">
              <w:rPr>
                <w:rFonts w:cstheme="minorHAnsi"/>
                <w:b/>
                <w:bCs/>
                <w:color w:val="000000" w:themeColor="text1"/>
              </w:rPr>
              <w:t>560</w:t>
            </w:r>
          </w:p>
        </w:tc>
        <w:tc>
          <w:tcPr>
            <w:tcW w:w="761" w:type="pct"/>
            <w:tcBorders>
              <w:top w:val="single" w:sz="4" w:space="0" w:color="auto"/>
              <w:bottom w:val="single" w:sz="12" w:space="0" w:color="auto"/>
            </w:tcBorders>
            <w:vAlign w:val="bottom"/>
          </w:tcPr>
          <w:p w14:paraId="6EB51083" w14:textId="1E618FE7" w:rsidR="009935F3" w:rsidRPr="00537128" w:rsidRDefault="009935F3" w:rsidP="009935F3">
            <w:pPr>
              <w:tabs>
                <w:tab w:val="right" w:pos="1202"/>
              </w:tabs>
              <w:spacing w:after="0" w:line="340" w:lineRule="exact"/>
              <w:jc w:val="right"/>
              <w:outlineLvl w:val="0"/>
              <w:rPr>
                <w:rFonts w:ascii="Calibri" w:eastAsia="Times New Roman" w:hAnsi="Calibri" w:cs="Calibri"/>
                <w:b/>
                <w:bCs/>
                <w:lang w:val="en-US"/>
              </w:rPr>
            </w:pPr>
            <w:r>
              <w:rPr>
                <w:rFonts w:ascii="Calibri" w:eastAsia="Times New Roman" w:hAnsi="Calibri" w:cs="Calibri"/>
                <w:b/>
                <w:bCs/>
                <w:color w:val="000000"/>
              </w:rPr>
              <w:t>144</w:t>
            </w:r>
            <w:r w:rsidR="00B935DD">
              <w:rPr>
                <w:rFonts w:ascii="Calibri" w:eastAsia="Times New Roman" w:hAnsi="Calibri" w:cs="Calibri"/>
                <w:b/>
                <w:bCs/>
                <w:color w:val="000000"/>
              </w:rPr>
              <w:t>,</w:t>
            </w:r>
            <w:r>
              <w:rPr>
                <w:rFonts w:ascii="Calibri" w:eastAsia="Times New Roman" w:hAnsi="Calibri" w:cs="Calibri"/>
                <w:b/>
                <w:bCs/>
                <w:color w:val="000000"/>
              </w:rPr>
              <w:t>648</w:t>
            </w:r>
          </w:p>
        </w:tc>
        <w:tc>
          <w:tcPr>
            <w:tcW w:w="759" w:type="pct"/>
            <w:tcBorders>
              <w:top w:val="single" w:sz="4" w:space="0" w:color="auto"/>
              <w:bottom w:val="single" w:sz="12" w:space="0" w:color="auto"/>
            </w:tcBorders>
            <w:shd w:val="clear" w:color="auto" w:fill="auto"/>
            <w:hideMark/>
          </w:tcPr>
          <w:p w14:paraId="33476E1F" w14:textId="5CBBC30F" w:rsidR="009935F3" w:rsidRPr="00537128" w:rsidRDefault="009935F3" w:rsidP="009935F3">
            <w:pPr>
              <w:tabs>
                <w:tab w:val="right" w:pos="1202"/>
              </w:tabs>
              <w:spacing w:after="0" w:line="340" w:lineRule="exact"/>
              <w:jc w:val="right"/>
              <w:outlineLvl w:val="0"/>
              <w:rPr>
                <w:rFonts w:ascii="Calibri" w:eastAsia="Times New Roman" w:hAnsi="Calibri" w:cs="Calibri"/>
                <w:b/>
                <w:bCs/>
                <w:lang w:val="en-US"/>
              </w:rPr>
            </w:pPr>
            <w:r w:rsidRPr="00E85437">
              <w:rPr>
                <w:rFonts w:cstheme="minorHAnsi"/>
                <w:b/>
                <w:bCs/>
                <w:color w:val="000000" w:themeColor="text1"/>
              </w:rPr>
              <w:t>190</w:t>
            </w:r>
            <w:r>
              <w:rPr>
                <w:rFonts w:cstheme="minorHAnsi"/>
                <w:b/>
                <w:bCs/>
                <w:color w:val="000000" w:themeColor="text1"/>
              </w:rPr>
              <w:t>,</w:t>
            </w:r>
            <w:r w:rsidRPr="00E85437">
              <w:rPr>
                <w:rFonts w:cstheme="minorHAnsi"/>
                <w:b/>
                <w:bCs/>
                <w:color w:val="000000" w:themeColor="text1"/>
              </w:rPr>
              <w:t>303</w:t>
            </w:r>
          </w:p>
        </w:tc>
      </w:tr>
    </w:tbl>
    <w:p w14:paraId="191B9D36" w14:textId="77777777" w:rsidR="0069122F" w:rsidRPr="00D9597A" w:rsidRDefault="0069122F" w:rsidP="00824F81">
      <w:pPr>
        <w:spacing w:after="0" w:line="240" w:lineRule="auto"/>
        <w:jc w:val="both"/>
        <w:rPr>
          <w:rFonts w:ascii="Calibri" w:eastAsia="Times New Roman" w:hAnsi="Calibri" w:cs="Times New Roman"/>
          <w:color w:val="000000" w:themeColor="text1"/>
          <w:sz w:val="16"/>
          <w:szCs w:val="16"/>
          <w:lang w:val="en-US"/>
        </w:rPr>
      </w:pPr>
    </w:p>
    <w:p w14:paraId="05D68DDB" w14:textId="77777777" w:rsidR="00824F81" w:rsidRPr="00537128" w:rsidRDefault="00824F81" w:rsidP="00824F81">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The movements in the loss allowances on guarantees, commitments and other liabilities may be summarized as follows:</w:t>
      </w:r>
    </w:p>
    <w:p w14:paraId="130CC8FA" w14:textId="77777777" w:rsidR="00824F81" w:rsidRPr="00D9597A" w:rsidRDefault="00824F81" w:rsidP="00824F81">
      <w:pPr>
        <w:spacing w:after="0" w:line="240" w:lineRule="auto"/>
        <w:jc w:val="both"/>
        <w:rPr>
          <w:rFonts w:ascii="Calibri" w:eastAsia="Times New Roman" w:hAnsi="Calibri" w:cs="Times New Roman"/>
          <w:color w:val="000000" w:themeColor="text1"/>
          <w:sz w:val="16"/>
          <w:szCs w:val="16"/>
          <w:lang w:val="en-US"/>
        </w:rPr>
      </w:pPr>
    </w:p>
    <w:tbl>
      <w:tblPr>
        <w:tblpPr w:leftFromText="180" w:rightFromText="180" w:vertAnchor="text" w:horzAnchor="margin" w:tblpY="60"/>
        <w:tblW w:w="5000" w:type="pct"/>
        <w:tblLook w:val="04A0" w:firstRow="1" w:lastRow="0" w:firstColumn="1" w:lastColumn="0" w:noHBand="0" w:noVBand="1"/>
      </w:tblPr>
      <w:tblGrid>
        <w:gridCol w:w="3653"/>
        <w:gridCol w:w="1355"/>
        <w:gridCol w:w="1355"/>
        <w:gridCol w:w="1355"/>
        <w:gridCol w:w="1354"/>
      </w:tblGrid>
      <w:tr w:rsidR="0069122F" w:rsidRPr="00537128" w14:paraId="21FD445F" w14:textId="77777777" w:rsidTr="0069122F">
        <w:trPr>
          <w:trHeight w:hRule="exact" w:val="263"/>
        </w:trPr>
        <w:tc>
          <w:tcPr>
            <w:tcW w:w="2013" w:type="pct"/>
          </w:tcPr>
          <w:p w14:paraId="2D84512B" w14:textId="77777777" w:rsidR="0069122F" w:rsidRPr="00537128" w:rsidRDefault="0069122F" w:rsidP="0069122F">
            <w:pPr>
              <w:tabs>
                <w:tab w:val="left" w:pos="-720"/>
              </w:tabs>
              <w:suppressAutoHyphens/>
              <w:spacing w:after="0" w:line="240" w:lineRule="auto"/>
              <w:rPr>
                <w:rFonts w:ascii="Calibri" w:eastAsia="Calibri" w:hAnsi="Calibri" w:cs="Arial"/>
                <w:b/>
                <w:noProof/>
                <w:spacing w:val="-3"/>
                <w:sz w:val="20"/>
                <w:szCs w:val="20"/>
                <w:lang w:val="en-US"/>
              </w:rPr>
            </w:pPr>
          </w:p>
        </w:tc>
        <w:tc>
          <w:tcPr>
            <w:tcW w:w="747" w:type="pct"/>
            <w:vAlign w:val="bottom"/>
          </w:tcPr>
          <w:p w14:paraId="482AB444" w14:textId="77777777" w:rsidR="0069122F" w:rsidRPr="00537128" w:rsidRDefault="0069122F" w:rsidP="0069122F">
            <w:pPr>
              <w:tabs>
                <w:tab w:val="right" w:pos="1202"/>
              </w:tabs>
              <w:spacing w:after="0" w:line="240" w:lineRule="auto"/>
              <w:jc w:val="right"/>
              <w:outlineLvl w:val="0"/>
              <w:rPr>
                <w:rFonts w:ascii="Calibri" w:eastAsia="Calibri" w:hAnsi="Calibri" w:cs="Arial"/>
                <w:b/>
                <w:noProof/>
                <w:sz w:val="20"/>
                <w:szCs w:val="20"/>
                <w:lang w:val="en-US"/>
              </w:rPr>
            </w:pPr>
          </w:p>
        </w:tc>
        <w:tc>
          <w:tcPr>
            <w:tcW w:w="747" w:type="pct"/>
            <w:vAlign w:val="bottom"/>
            <w:hideMark/>
          </w:tcPr>
          <w:p w14:paraId="29525FC8" w14:textId="77777777" w:rsidR="0069122F" w:rsidRPr="00537128" w:rsidRDefault="0069122F" w:rsidP="0069122F">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Arial"/>
                <w:b/>
                <w:noProof/>
                <w:sz w:val="20"/>
                <w:szCs w:val="20"/>
                <w:lang w:val="en-US"/>
              </w:rPr>
              <w:t>Group</w:t>
            </w:r>
          </w:p>
        </w:tc>
        <w:tc>
          <w:tcPr>
            <w:tcW w:w="747" w:type="pct"/>
            <w:vAlign w:val="bottom"/>
          </w:tcPr>
          <w:p w14:paraId="583155A5" w14:textId="77777777" w:rsidR="0069122F" w:rsidRPr="00537128" w:rsidRDefault="0069122F" w:rsidP="0069122F">
            <w:pPr>
              <w:tabs>
                <w:tab w:val="right" w:pos="1202"/>
              </w:tabs>
              <w:spacing w:after="0" w:line="240" w:lineRule="auto"/>
              <w:jc w:val="right"/>
              <w:outlineLvl w:val="0"/>
              <w:rPr>
                <w:rFonts w:ascii="Calibri" w:eastAsia="Calibri" w:hAnsi="Calibri" w:cs="Arial"/>
                <w:b/>
                <w:noProof/>
                <w:sz w:val="20"/>
                <w:szCs w:val="20"/>
                <w:lang w:val="en-US"/>
              </w:rPr>
            </w:pPr>
          </w:p>
        </w:tc>
        <w:tc>
          <w:tcPr>
            <w:tcW w:w="746" w:type="pct"/>
            <w:vAlign w:val="bottom"/>
            <w:hideMark/>
          </w:tcPr>
          <w:p w14:paraId="77AF7A8C" w14:textId="77777777" w:rsidR="0069122F" w:rsidRPr="00537128" w:rsidRDefault="0069122F" w:rsidP="0069122F">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Arial"/>
                <w:b/>
                <w:noProof/>
                <w:sz w:val="20"/>
                <w:szCs w:val="20"/>
                <w:lang w:val="en-US"/>
              </w:rPr>
              <w:t>Bank</w:t>
            </w:r>
          </w:p>
        </w:tc>
      </w:tr>
      <w:tr w:rsidR="0069122F" w:rsidRPr="00537128" w14:paraId="187BBFE0" w14:textId="77777777" w:rsidTr="0069122F">
        <w:trPr>
          <w:trHeight w:hRule="exact" w:val="540"/>
        </w:trPr>
        <w:tc>
          <w:tcPr>
            <w:tcW w:w="2013" w:type="pct"/>
          </w:tcPr>
          <w:p w14:paraId="0C34BF91" w14:textId="77777777" w:rsidR="0069122F" w:rsidRPr="00537128" w:rsidRDefault="0069122F" w:rsidP="0069122F">
            <w:pPr>
              <w:tabs>
                <w:tab w:val="left" w:pos="-720"/>
              </w:tabs>
              <w:suppressAutoHyphens/>
              <w:spacing w:after="0" w:line="240" w:lineRule="auto"/>
              <w:rPr>
                <w:rFonts w:ascii="Calibri" w:eastAsia="Calibri" w:hAnsi="Calibri" w:cs="Arial"/>
                <w:b/>
                <w:noProof/>
                <w:spacing w:val="-3"/>
                <w:sz w:val="20"/>
                <w:szCs w:val="20"/>
                <w:lang w:val="en-US"/>
              </w:rPr>
            </w:pPr>
          </w:p>
        </w:tc>
        <w:tc>
          <w:tcPr>
            <w:tcW w:w="747" w:type="pct"/>
            <w:vAlign w:val="bottom"/>
            <w:hideMark/>
          </w:tcPr>
          <w:p w14:paraId="5EA5C2FD" w14:textId="71FD1F2B" w:rsidR="0069122F" w:rsidRPr="00537128" w:rsidRDefault="0069122F" w:rsidP="0069122F">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Calibri"/>
                <w:b/>
                <w:bCs/>
                <w:noProof/>
                <w:sz w:val="20"/>
                <w:szCs w:val="20"/>
                <w:lang w:val="en-US"/>
              </w:rPr>
              <w:t>Jan 1 - Mar 31, 202</w:t>
            </w:r>
            <w:r w:rsidR="0066691A">
              <w:rPr>
                <w:rFonts w:ascii="Calibri" w:eastAsia="Calibri" w:hAnsi="Calibri" w:cs="Calibri"/>
                <w:b/>
                <w:bCs/>
                <w:noProof/>
                <w:sz w:val="20"/>
                <w:szCs w:val="20"/>
                <w:lang w:val="en-US"/>
              </w:rPr>
              <w:t>2</w:t>
            </w:r>
          </w:p>
        </w:tc>
        <w:tc>
          <w:tcPr>
            <w:tcW w:w="747" w:type="pct"/>
            <w:vAlign w:val="bottom"/>
            <w:hideMark/>
          </w:tcPr>
          <w:p w14:paraId="18364F49" w14:textId="55608BDD" w:rsidR="0069122F" w:rsidRPr="00537128" w:rsidRDefault="0069122F" w:rsidP="0069122F">
            <w:pPr>
              <w:tabs>
                <w:tab w:val="right" w:pos="1202"/>
              </w:tabs>
              <w:spacing w:after="0" w:line="240" w:lineRule="auto"/>
              <w:jc w:val="right"/>
              <w:outlineLvl w:val="0"/>
              <w:rPr>
                <w:rFonts w:ascii="Calibri" w:eastAsia="Calibri" w:hAnsi="Calibri" w:cs="Calibri"/>
                <w:b/>
                <w:bCs/>
                <w:noProof/>
                <w:sz w:val="20"/>
                <w:szCs w:val="20"/>
                <w:lang w:val="en-US"/>
              </w:rPr>
            </w:pPr>
            <w:r w:rsidRPr="00537128">
              <w:rPr>
                <w:rFonts w:ascii="Calibri" w:eastAsia="Calibri" w:hAnsi="Calibri" w:cs="Calibri"/>
                <w:b/>
                <w:bCs/>
                <w:noProof/>
                <w:sz w:val="20"/>
                <w:szCs w:val="20"/>
                <w:lang w:val="en-US"/>
              </w:rPr>
              <w:t>Jan 1 - Dec 31, 202</w:t>
            </w:r>
            <w:r w:rsidR="0066691A">
              <w:rPr>
                <w:rFonts w:ascii="Calibri" w:eastAsia="Calibri" w:hAnsi="Calibri" w:cs="Calibri"/>
                <w:b/>
                <w:bCs/>
                <w:noProof/>
                <w:sz w:val="20"/>
                <w:szCs w:val="20"/>
                <w:lang w:val="en-US"/>
              </w:rPr>
              <w:t>1</w:t>
            </w:r>
          </w:p>
        </w:tc>
        <w:tc>
          <w:tcPr>
            <w:tcW w:w="747" w:type="pct"/>
            <w:vAlign w:val="bottom"/>
            <w:hideMark/>
          </w:tcPr>
          <w:p w14:paraId="768C6228" w14:textId="5276B2FE" w:rsidR="0069122F" w:rsidRPr="00537128" w:rsidRDefault="0069122F" w:rsidP="0069122F">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Calibri"/>
                <w:b/>
                <w:bCs/>
                <w:noProof/>
                <w:sz w:val="20"/>
                <w:szCs w:val="20"/>
                <w:lang w:val="en-US"/>
              </w:rPr>
              <w:t>Jan 1 - Mar 31, 202</w:t>
            </w:r>
            <w:r w:rsidR="0066691A">
              <w:rPr>
                <w:rFonts w:ascii="Calibri" w:eastAsia="Calibri" w:hAnsi="Calibri" w:cs="Calibri"/>
                <w:b/>
                <w:bCs/>
                <w:noProof/>
                <w:sz w:val="20"/>
                <w:szCs w:val="20"/>
                <w:lang w:val="en-US"/>
              </w:rPr>
              <w:t>2</w:t>
            </w:r>
          </w:p>
        </w:tc>
        <w:tc>
          <w:tcPr>
            <w:tcW w:w="746" w:type="pct"/>
            <w:vAlign w:val="bottom"/>
            <w:hideMark/>
          </w:tcPr>
          <w:p w14:paraId="029E930B" w14:textId="3D464769" w:rsidR="0069122F" w:rsidRPr="00537128" w:rsidRDefault="0069122F" w:rsidP="0069122F">
            <w:pPr>
              <w:tabs>
                <w:tab w:val="right" w:pos="1202"/>
              </w:tabs>
              <w:spacing w:after="0" w:line="240" w:lineRule="auto"/>
              <w:jc w:val="right"/>
              <w:outlineLvl w:val="0"/>
              <w:rPr>
                <w:rFonts w:ascii="Calibri" w:eastAsia="Calibri" w:hAnsi="Calibri" w:cs="Calibri"/>
                <w:b/>
                <w:bCs/>
                <w:noProof/>
                <w:sz w:val="20"/>
                <w:szCs w:val="20"/>
                <w:lang w:val="en-US"/>
              </w:rPr>
            </w:pPr>
            <w:r w:rsidRPr="00537128">
              <w:rPr>
                <w:rFonts w:ascii="Calibri" w:eastAsia="Calibri" w:hAnsi="Calibri" w:cs="Calibri"/>
                <w:b/>
                <w:bCs/>
                <w:noProof/>
                <w:sz w:val="20"/>
                <w:szCs w:val="20"/>
                <w:lang w:val="en-US"/>
              </w:rPr>
              <w:t>Jan 1 - Dec 31, 202</w:t>
            </w:r>
            <w:r w:rsidR="0066691A">
              <w:rPr>
                <w:rFonts w:ascii="Calibri" w:eastAsia="Calibri" w:hAnsi="Calibri" w:cs="Calibri"/>
                <w:b/>
                <w:bCs/>
                <w:noProof/>
                <w:sz w:val="20"/>
                <w:szCs w:val="20"/>
                <w:lang w:val="en-US"/>
              </w:rPr>
              <w:t>1</w:t>
            </w:r>
          </w:p>
        </w:tc>
      </w:tr>
      <w:tr w:rsidR="0069122F" w:rsidRPr="00537128" w14:paraId="0FAAD300" w14:textId="77777777" w:rsidTr="0069122F">
        <w:trPr>
          <w:trHeight w:hRule="exact" w:val="263"/>
        </w:trPr>
        <w:tc>
          <w:tcPr>
            <w:tcW w:w="2013" w:type="pct"/>
          </w:tcPr>
          <w:p w14:paraId="5E7CB4AA" w14:textId="77777777" w:rsidR="0069122F" w:rsidRPr="00537128" w:rsidRDefault="0069122F" w:rsidP="0069122F">
            <w:pPr>
              <w:tabs>
                <w:tab w:val="left" w:pos="-720"/>
              </w:tabs>
              <w:suppressAutoHyphens/>
              <w:spacing w:after="0" w:line="240" w:lineRule="auto"/>
              <w:rPr>
                <w:rFonts w:ascii="Calibri" w:eastAsia="Calibri" w:hAnsi="Calibri" w:cs="Arial"/>
                <w:b/>
                <w:noProof/>
                <w:spacing w:val="-3"/>
                <w:sz w:val="20"/>
                <w:szCs w:val="20"/>
                <w:lang w:val="en-US"/>
              </w:rPr>
            </w:pPr>
          </w:p>
        </w:tc>
        <w:tc>
          <w:tcPr>
            <w:tcW w:w="747" w:type="pct"/>
            <w:hideMark/>
          </w:tcPr>
          <w:p w14:paraId="712BC8C1" w14:textId="77777777" w:rsidR="0069122F" w:rsidRPr="00537128" w:rsidRDefault="0069122F" w:rsidP="0069122F">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Arial"/>
                <w:b/>
                <w:bCs/>
                <w:sz w:val="20"/>
                <w:szCs w:val="20"/>
                <w:lang w:val="en-US"/>
              </w:rPr>
              <w:t>HRK ‘000</w:t>
            </w:r>
          </w:p>
        </w:tc>
        <w:tc>
          <w:tcPr>
            <w:tcW w:w="747" w:type="pct"/>
            <w:hideMark/>
          </w:tcPr>
          <w:p w14:paraId="37C17CA4" w14:textId="46E4B191" w:rsidR="0069122F" w:rsidRPr="00537128" w:rsidRDefault="0069122F" w:rsidP="0069122F">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Arial"/>
                <w:b/>
                <w:bCs/>
                <w:sz w:val="20"/>
                <w:szCs w:val="20"/>
                <w:lang w:val="en-US"/>
              </w:rPr>
              <w:t>HRK ‘000</w:t>
            </w:r>
          </w:p>
        </w:tc>
        <w:tc>
          <w:tcPr>
            <w:tcW w:w="747" w:type="pct"/>
            <w:hideMark/>
          </w:tcPr>
          <w:p w14:paraId="14D7620B" w14:textId="2837B2E0" w:rsidR="0069122F" w:rsidRPr="00537128" w:rsidRDefault="0069122F" w:rsidP="0069122F">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Arial"/>
                <w:b/>
                <w:bCs/>
                <w:sz w:val="20"/>
                <w:szCs w:val="20"/>
                <w:lang w:val="en-US"/>
              </w:rPr>
              <w:t>HRK ‘000</w:t>
            </w:r>
          </w:p>
        </w:tc>
        <w:tc>
          <w:tcPr>
            <w:tcW w:w="746" w:type="pct"/>
            <w:hideMark/>
          </w:tcPr>
          <w:p w14:paraId="25D8F7E5" w14:textId="5E3DD90F" w:rsidR="0069122F" w:rsidRPr="00537128" w:rsidRDefault="0069122F" w:rsidP="0069122F">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Arial"/>
                <w:b/>
                <w:bCs/>
                <w:sz w:val="20"/>
                <w:szCs w:val="20"/>
                <w:lang w:val="en-US"/>
              </w:rPr>
              <w:t>HRK ‘000</w:t>
            </w:r>
          </w:p>
        </w:tc>
      </w:tr>
      <w:tr w:rsidR="00862AB9" w:rsidRPr="00537128" w14:paraId="51FB57CB" w14:textId="77777777" w:rsidTr="008228EE">
        <w:trPr>
          <w:trHeight w:val="287"/>
        </w:trPr>
        <w:tc>
          <w:tcPr>
            <w:tcW w:w="2013" w:type="pct"/>
            <w:vAlign w:val="bottom"/>
            <w:hideMark/>
          </w:tcPr>
          <w:p w14:paraId="276D736E" w14:textId="77777777" w:rsidR="00862AB9" w:rsidRPr="00537128" w:rsidRDefault="00862AB9" w:rsidP="00862AB9">
            <w:pPr>
              <w:tabs>
                <w:tab w:val="right" w:pos="1202"/>
              </w:tabs>
              <w:spacing w:after="0" w:line="240" w:lineRule="auto"/>
              <w:outlineLvl w:val="0"/>
              <w:rPr>
                <w:rFonts w:ascii="Calibri" w:eastAsia="Calibri" w:hAnsi="Calibri" w:cs="Arial"/>
                <w:bCs/>
                <w:noProof/>
                <w:sz w:val="20"/>
                <w:szCs w:val="20"/>
                <w:lang w:val="en-US"/>
              </w:rPr>
            </w:pPr>
            <w:r w:rsidRPr="00537128">
              <w:rPr>
                <w:rFonts w:ascii="Calibri" w:eastAsia="Calibri" w:hAnsi="Calibri" w:cs="Arial"/>
                <w:bCs/>
                <w:noProof/>
                <w:sz w:val="20"/>
                <w:szCs w:val="20"/>
                <w:lang w:val="en-US"/>
              </w:rPr>
              <w:t xml:space="preserve">Balance as of 1 January </w:t>
            </w:r>
          </w:p>
        </w:tc>
        <w:tc>
          <w:tcPr>
            <w:tcW w:w="747" w:type="pct"/>
            <w:tcBorders>
              <w:top w:val="nil"/>
              <w:left w:val="nil"/>
              <w:bottom w:val="nil"/>
              <w:right w:val="nil"/>
            </w:tcBorders>
            <w:shd w:val="clear" w:color="auto" w:fill="auto"/>
            <w:vAlign w:val="bottom"/>
          </w:tcPr>
          <w:p w14:paraId="2CF200EE" w14:textId="6AFAD7DD" w:rsidR="00862AB9" w:rsidRPr="00537128" w:rsidRDefault="00862AB9" w:rsidP="00862AB9">
            <w:pPr>
              <w:tabs>
                <w:tab w:val="right" w:pos="1202"/>
              </w:tabs>
              <w:spacing w:after="0" w:line="240" w:lineRule="auto"/>
              <w:jc w:val="right"/>
              <w:outlineLvl w:val="0"/>
              <w:rPr>
                <w:rFonts w:ascii="Calibri" w:eastAsia="Calibri" w:hAnsi="Calibri" w:cs="Arial"/>
                <w:bCs/>
                <w:noProof/>
                <w:sz w:val="20"/>
                <w:szCs w:val="20"/>
                <w:lang w:val="en-US"/>
              </w:rPr>
            </w:pPr>
            <w:r>
              <w:rPr>
                <w:rFonts w:ascii="Calibri" w:eastAsia="Calibri" w:hAnsi="Calibri" w:cs="Calibri"/>
                <w:color w:val="000000"/>
                <w:sz w:val="20"/>
                <w:szCs w:val="20"/>
              </w:rPr>
              <w:t>129,587</w:t>
            </w:r>
          </w:p>
        </w:tc>
        <w:tc>
          <w:tcPr>
            <w:tcW w:w="747" w:type="pct"/>
            <w:tcBorders>
              <w:top w:val="nil"/>
              <w:left w:val="nil"/>
              <w:bottom w:val="nil"/>
              <w:right w:val="nil"/>
            </w:tcBorders>
            <w:shd w:val="clear" w:color="auto" w:fill="auto"/>
            <w:vAlign w:val="bottom"/>
          </w:tcPr>
          <w:p w14:paraId="5B1A6641" w14:textId="2807D3EF" w:rsidR="00862AB9" w:rsidRPr="00537128" w:rsidRDefault="00862AB9" w:rsidP="00862AB9">
            <w:pPr>
              <w:tabs>
                <w:tab w:val="right" w:pos="1202"/>
              </w:tabs>
              <w:spacing w:after="0" w:line="240" w:lineRule="auto"/>
              <w:jc w:val="right"/>
              <w:outlineLvl w:val="0"/>
              <w:rPr>
                <w:rFonts w:ascii="Calibri" w:eastAsia="Calibri" w:hAnsi="Calibri" w:cs="Arial"/>
                <w:bCs/>
                <w:noProof/>
                <w:sz w:val="20"/>
                <w:szCs w:val="20"/>
                <w:lang w:val="en-US"/>
              </w:rPr>
            </w:pPr>
            <w:r w:rsidRPr="00E85437">
              <w:rPr>
                <w:rFonts w:ascii="Calibri" w:eastAsia="Calibri" w:hAnsi="Calibri" w:cs="Calibri"/>
                <w:color w:val="000000" w:themeColor="text1"/>
                <w:sz w:val="20"/>
                <w:szCs w:val="20"/>
              </w:rPr>
              <w:t>45</w:t>
            </w:r>
            <w:r>
              <w:rPr>
                <w:rFonts w:ascii="Calibri" w:eastAsia="Calibri" w:hAnsi="Calibri" w:cs="Calibri"/>
                <w:color w:val="000000" w:themeColor="text1"/>
                <w:sz w:val="20"/>
                <w:szCs w:val="20"/>
              </w:rPr>
              <w:t>,</w:t>
            </w:r>
            <w:r w:rsidRPr="00E85437">
              <w:rPr>
                <w:rFonts w:ascii="Calibri" w:eastAsia="Calibri" w:hAnsi="Calibri" w:cs="Calibri"/>
                <w:color w:val="000000" w:themeColor="text1"/>
                <w:sz w:val="20"/>
                <w:szCs w:val="20"/>
              </w:rPr>
              <w:t>556</w:t>
            </w:r>
          </w:p>
        </w:tc>
        <w:tc>
          <w:tcPr>
            <w:tcW w:w="747" w:type="pct"/>
            <w:tcBorders>
              <w:top w:val="nil"/>
              <w:left w:val="nil"/>
              <w:bottom w:val="nil"/>
              <w:right w:val="nil"/>
            </w:tcBorders>
            <w:shd w:val="clear" w:color="auto" w:fill="auto"/>
            <w:vAlign w:val="bottom"/>
          </w:tcPr>
          <w:p w14:paraId="1ED1A382" w14:textId="68C0A7A9" w:rsidR="00862AB9" w:rsidRPr="00537128" w:rsidRDefault="00862AB9" w:rsidP="00862AB9">
            <w:pPr>
              <w:tabs>
                <w:tab w:val="right" w:pos="1202"/>
              </w:tabs>
              <w:spacing w:after="0" w:line="240" w:lineRule="auto"/>
              <w:jc w:val="right"/>
              <w:outlineLvl w:val="0"/>
              <w:rPr>
                <w:rFonts w:ascii="Calibri" w:eastAsia="Calibri" w:hAnsi="Calibri" w:cs="Arial"/>
                <w:bCs/>
                <w:noProof/>
                <w:sz w:val="20"/>
                <w:szCs w:val="20"/>
                <w:lang w:val="en-US"/>
              </w:rPr>
            </w:pPr>
            <w:r>
              <w:rPr>
                <w:rFonts w:ascii="Calibri" w:eastAsia="Calibri" w:hAnsi="Calibri" w:cs="Calibri"/>
                <w:color w:val="000000"/>
                <w:sz w:val="20"/>
                <w:szCs w:val="20"/>
              </w:rPr>
              <w:t>129,587</w:t>
            </w:r>
          </w:p>
        </w:tc>
        <w:tc>
          <w:tcPr>
            <w:tcW w:w="746" w:type="pct"/>
            <w:tcBorders>
              <w:top w:val="nil"/>
              <w:left w:val="nil"/>
              <w:bottom w:val="nil"/>
              <w:right w:val="nil"/>
            </w:tcBorders>
            <w:shd w:val="clear" w:color="auto" w:fill="auto"/>
            <w:vAlign w:val="bottom"/>
            <w:hideMark/>
          </w:tcPr>
          <w:p w14:paraId="6B7A682C" w14:textId="538EFFE0" w:rsidR="00862AB9" w:rsidRPr="00537128" w:rsidRDefault="00862AB9" w:rsidP="00862AB9">
            <w:pPr>
              <w:tabs>
                <w:tab w:val="right" w:pos="1202"/>
              </w:tabs>
              <w:spacing w:after="0" w:line="240" w:lineRule="auto"/>
              <w:jc w:val="right"/>
              <w:outlineLvl w:val="0"/>
              <w:rPr>
                <w:rFonts w:ascii="Calibri" w:eastAsia="Calibri" w:hAnsi="Calibri" w:cs="Arial"/>
                <w:bCs/>
                <w:noProof/>
                <w:sz w:val="20"/>
                <w:szCs w:val="20"/>
                <w:lang w:val="en-US"/>
              </w:rPr>
            </w:pPr>
            <w:r w:rsidRPr="00E85437">
              <w:rPr>
                <w:rFonts w:ascii="Calibri" w:eastAsia="Calibri" w:hAnsi="Calibri" w:cs="Calibri"/>
                <w:color w:val="000000" w:themeColor="text1"/>
                <w:sz w:val="20"/>
                <w:szCs w:val="20"/>
              </w:rPr>
              <w:t>45</w:t>
            </w:r>
            <w:r>
              <w:rPr>
                <w:rFonts w:ascii="Calibri" w:eastAsia="Calibri" w:hAnsi="Calibri" w:cs="Calibri"/>
                <w:color w:val="000000" w:themeColor="text1"/>
                <w:sz w:val="20"/>
                <w:szCs w:val="20"/>
              </w:rPr>
              <w:t>,</w:t>
            </w:r>
            <w:r w:rsidRPr="00E85437">
              <w:rPr>
                <w:rFonts w:ascii="Calibri" w:eastAsia="Calibri" w:hAnsi="Calibri" w:cs="Calibri"/>
                <w:color w:val="000000" w:themeColor="text1"/>
                <w:sz w:val="20"/>
                <w:szCs w:val="20"/>
              </w:rPr>
              <w:t>556</w:t>
            </w:r>
          </w:p>
        </w:tc>
      </w:tr>
      <w:tr w:rsidR="009374C8" w:rsidRPr="00537128" w14:paraId="13C89E9E" w14:textId="77777777" w:rsidTr="0064116C">
        <w:trPr>
          <w:trHeight w:val="312"/>
        </w:trPr>
        <w:tc>
          <w:tcPr>
            <w:tcW w:w="2013" w:type="pct"/>
            <w:vAlign w:val="bottom"/>
            <w:hideMark/>
          </w:tcPr>
          <w:p w14:paraId="3263F1AB" w14:textId="075F47A6" w:rsidR="009374C8" w:rsidRPr="00537128" w:rsidRDefault="009374C8" w:rsidP="009374C8">
            <w:pPr>
              <w:tabs>
                <w:tab w:val="right" w:pos="1202"/>
              </w:tabs>
              <w:spacing w:after="0" w:line="240" w:lineRule="auto"/>
              <w:outlineLvl w:val="0"/>
              <w:rPr>
                <w:rFonts w:ascii="Calibri" w:eastAsia="Calibri" w:hAnsi="Calibri" w:cs="Arial"/>
                <w:b/>
                <w:bCs/>
                <w:noProof/>
                <w:sz w:val="20"/>
                <w:szCs w:val="20"/>
                <w:lang w:val="en-US"/>
              </w:rPr>
            </w:pPr>
            <w:r w:rsidRPr="00537128">
              <w:rPr>
                <w:rFonts w:ascii="Calibri" w:eastAsia="Calibri" w:hAnsi="Calibri" w:cs="Arial"/>
                <w:noProof/>
                <w:sz w:val="20"/>
                <w:szCs w:val="20"/>
                <w:lang w:val="en-US"/>
              </w:rPr>
              <w:t xml:space="preserve">Net </w:t>
            </w:r>
            <w:r>
              <w:rPr>
                <w:rFonts w:ascii="Calibri" w:eastAsia="Calibri" w:hAnsi="Calibri" w:cs="Arial"/>
                <w:noProof/>
                <w:sz w:val="20"/>
                <w:szCs w:val="20"/>
                <w:lang w:val="en-US"/>
              </w:rPr>
              <w:t>(release)/</w:t>
            </w:r>
            <w:r w:rsidRPr="00537128">
              <w:rPr>
                <w:rFonts w:ascii="Calibri" w:eastAsia="Calibri" w:hAnsi="Calibri" w:cs="Arial"/>
                <w:noProof/>
                <w:sz w:val="20"/>
                <w:szCs w:val="20"/>
                <w:lang w:val="en-US"/>
              </w:rPr>
              <w:t>increase</w:t>
            </w:r>
            <w:r>
              <w:rPr>
                <w:rFonts w:ascii="Calibri" w:eastAsia="Calibri" w:hAnsi="Calibri" w:cs="Arial"/>
                <w:noProof/>
                <w:sz w:val="20"/>
                <w:szCs w:val="20"/>
                <w:lang w:val="en-US"/>
              </w:rPr>
              <w:t xml:space="preserve"> </w:t>
            </w:r>
            <w:r w:rsidRPr="00537128">
              <w:rPr>
                <w:rFonts w:ascii="Calibri" w:eastAsia="Calibri" w:hAnsi="Calibri" w:cs="Arial"/>
                <w:noProof/>
                <w:sz w:val="20"/>
                <w:szCs w:val="20"/>
                <w:lang w:val="en-US"/>
              </w:rPr>
              <w:t>of loss allowances on guarantees</w:t>
            </w:r>
          </w:p>
        </w:tc>
        <w:tc>
          <w:tcPr>
            <w:tcW w:w="747" w:type="pct"/>
            <w:tcBorders>
              <w:left w:val="nil"/>
              <w:bottom w:val="single" w:sz="4" w:space="0" w:color="auto"/>
              <w:right w:val="nil"/>
            </w:tcBorders>
            <w:shd w:val="clear" w:color="auto" w:fill="auto"/>
            <w:vAlign w:val="bottom"/>
          </w:tcPr>
          <w:p w14:paraId="3F3B0EAE" w14:textId="4BF17FBA" w:rsidR="009374C8" w:rsidRPr="00537128" w:rsidRDefault="009374C8" w:rsidP="009374C8">
            <w:pPr>
              <w:tabs>
                <w:tab w:val="right" w:pos="1202"/>
              </w:tabs>
              <w:spacing w:after="0" w:line="240" w:lineRule="auto"/>
              <w:jc w:val="right"/>
              <w:outlineLvl w:val="0"/>
              <w:rPr>
                <w:rFonts w:ascii="Calibri" w:eastAsia="Calibri" w:hAnsi="Calibri" w:cs="Calibri"/>
                <w:sz w:val="20"/>
                <w:szCs w:val="20"/>
                <w:lang w:val="en-US"/>
              </w:rPr>
            </w:pPr>
            <w:r>
              <w:rPr>
                <w:rFonts w:ascii="Calibri" w:eastAsia="Calibri" w:hAnsi="Calibri" w:cs="Calibri"/>
                <w:color w:val="000000"/>
                <w:sz w:val="20"/>
                <w:szCs w:val="20"/>
              </w:rPr>
              <w:t>(26,194)</w:t>
            </w:r>
          </w:p>
        </w:tc>
        <w:tc>
          <w:tcPr>
            <w:tcW w:w="747" w:type="pct"/>
            <w:tcBorders>
              <w:left w:val="nil"/>
              <w:bottom w:val="single" w:sz="4" w:space="0" w:color="auto"/>
              <w:right w:val="nil"/>
            </w:tcBorders>
            <w:shd w:val="clear" w:color="auto" w:fill="auto"/>
            <w:vAlign w:val="bottom"/>
          </w:tcPr>
          <w:p w14:paraId="57AEEFB8" w14:textId="4BF01614" w:rsidR="009374C8" w:rsidRPr="00537128" w:rsidRDefault="009374C8" w:rsidP="009374C8">
            <w:pPr>
              <w:tabs>
                <w:tab w:val="right" w:pos="1202"/>
              </w:tabs>
              <w:spacing w:after="0" w:line="240" w:lineRule="auto"/>
              <w:jc w:val="right"/>
              <w:outlineLvl w:val="0"/>
              <w:rPr>
                <w:rFonts w:ascii="Calibri" w:eastAsia="Calibri" w:hAnsi="Calibri" w:cs="Arial"/>
                <w:bCs/>
                <w:noProof/>
                <w:sz w:val="20"/>
                <w:szCs w:val="20"/>
                <w:lang w:val="en-US"/>
              </w:rPr>
            </w:pPr>
            <w:r w:rsidRPr="00E85437">
              <w:rPr>
                <w:rFonts w:ascii="Calibri" w:eastAsia="Calibri" w:hAnsi="Calibri" w:cs="Calibri"/>
                <w:color w:val="000000" w:themeColor="text1"/>
                <w:sz w:val="20"/>
                <w:szCs w:val="20"/>
              </w:rPr>
              <w:t>74</w:t>
            </w:r>
            <w:r>
              <w:rPr>
                <w:rFonts w:ascii="Calibri" w:eastAsia="Calibri" w:hAnsi="Calibri" w:cs="Calibri"/>
                <w:color w:val="000000" w:themeColor="text1"/>
                <w:sz w:val="20"/>
                <w:szCs w:val="20"/>
              </w:rPr>
              <w:t>,</w:t>
            </w:r>
            <w:r w:rsidRPr="00E85437">
              <w:rPr>
                <w:rFonts w:ascii="Calibri" w:eastAsia="Calibri" w:hAnsi="Calibri" w:cs="Calibri"/>
                <w:color w:val="000000" w:themeColor="text1"/>
                <w:sz w:val="20"/>
                <w:szCs w:val="20"/>
              </w:rPr>
              <w:t>799</w:t>
            </w:r>
          </w:p>
        </w:tc>
        <w:tc>
          <w:tcPr>
            <w:tcW w:w="747" w:type="pct"/>
            <w:tcBorders>
              <w:left w:val="nil"/>
              <w:bottom w:val="single" w:sz="4" w:space="0" w:color="auto"/>
              <w:right w:val="nil"/>
            </w:tcBorders>
            <w:shd w:val="clear" w:color="auto" w:fill="auto"/>
            <w:vAlign w:val="bottom"/>
          </w:tcPr>
          <w:p w14:paraId="6D2F3CC2" w14:textId="380A9221" w:rsidR="009374C8" w:rsidRPr="00537128" w:rsidRDefault="009374C8" w:rsidP="009374C8">
            <w:pPr>
              <w:tabs>
                <w:tab w:val="right" w:pos="1202"/>
              </w:tabs>
              <w:spacing w:after="0" w:line="240" w:lineRule="auto"/>
              <w:jc w:val="right"/>
              <w:outlineLvl w:val="0"/>
              <w:rPr>
                <w:rFonts w:ascii="Calibri" w:eastAsia="Calibri" w:hAnsi="Calibri" w:cs="Arial"/>
                <w:bCs/>
                <w:noProof/>
                <w:sz w:val="20"/>
                <w:szCs w:val="20"/>
                <w:lang w:val="en-US"/>
              </w:rPr>
            </w:pPr>
            <w:r>
              <w:rPr>
                <w:rFonts w:ascii="Calibri" w:eastAsia="Calibri" w:hAnsi="Calibri" w:cs="Calibri"/>
                <w:color w:val="000000"/>
                <w:sz w:val="20"/>
                <w:szCs w:val="20"/>
              </w:rPr>
              <w:t>(26,194)</w:t>
            </w:r>
          </w:p>
        </w:tc>
        <w:tc>
          <w:tcPr>
            <w:tcW w:w="746" w:type="pct"/>
            <w:tcBorders>
              <w:top w:val="nil"/>
              <w:left w:val="nil"/>
              <w:bottom w:val="single" w:sz="4" w:space="0" w:color="auto"/>
              <w:right w:val="nil"/>
            </w:tcBorders>
            <w:shd w:val="clear" w:color="auto" w:fill="auto"/>
            <w:vAlign w:val="bottom"/>
            <w:hideMark/>
          </w:tcPr>
          <w:p w14:paraId="483AD34A" w14:textId="11A8B0ED" w:rsidR="009374C8" w:rsidRPr="00537128" w:rsidRDefault="009374C8" w:rsidP="009374C8">
            <w:pPr>
              <w:tabs>
                <w:tab w:val="right" w:pos="1202"/>
              </w:tabs>
              <w:spacing w:after="0" w:line="240" w:lineRule="auto"/>
              <w:jc w:val="right"/>
              <w:outlineLvl w:val="0"/>
              <w:rPr>
                <w:rFonts w:ascii="Calibri" w:eastAsia="Calibri" w:hAnsi="Calibri" w:cs="Arial"/>
                <w:bCs/>
                <w:noProof/>
                <w:sz w:val="20"/>
                <w:szCs w:val="20"/>
                <w:lang w:val="en-US"/>
              </w:rPr>
            </w:pPr>
            <w:r w:rsidRPr="00E85437">
              <w:rPr>
                <w:rFonts w:ascii="Calibri" w:eastAsia="Calibri" w:hAnsi="Calibri" w:cs="Calibri"/>
                <w:color w:val="000000" w:themeColor="text1"/>
                <w:sz w:val="20"/>
                <w:szCs w:val="20"/>
              </w:rPr>
              <w:t>74</w:t>
            </w:r>
            <w:r>
              <w:rPr>
                <w:rFonts w:ascii="Calibri" w:eastAsia="Calibri" w:hAnsi="Calibri" w:cs="Calibri"/>
                <w:color w:val="000000" w:themeColor="text1"/>
                <w:sz w:val="20"/>
                <w:szCs w:val="20"/>
              </w:rPr>
              <w:t>,</w:t>
            </w:r>
            <w:r w:rsidRPr="00E85437">
              <w:rPr>
                <w:rFonts w:ascii="Calibri" w:eastAsia="Calibri" w:hAnsi="Calibri" w:cs="Calibri"/>
                <w:color w:val="000000" w:themeColor="text1"/>
                <w:sz w:val="20"/>
                <w:szCs w:val="20"/>
              </w:rPr>
              <w:t>799</w:t>
            </w:r>
          </w:p>
        </w:tc>
      </w:tr>
      <w:tr w:rsidR="009374C8" w:rsidRPr="00537128" w14:paraId="10423786" w14:textId="77777777" w:rsidTr="0064116C">
        <w:trPr>
          <w:trHeight w:val="312"/>
        </w:trPr>
        <w:tc>
          <w:tcPr>
            <w:tcW w:w="2013" w:type="pct"/>
            <w:vAlign w:val="bottom"/>
            <w:hideMark/>
          </w:tcPr>
          <w:p w14:paraId="1279D9FC" w14:textId="5797EB78" w:rsidR="009374C8" w:rsidRPr="00B12851" w:rsidRDefault="009374C8" w:rsidP="009374C8">
            <w:pPr>
              <w:tabs>
                <w:tab w:val="right" w:pos="1202"/>
              </w:tabs>
              <w:spacing w:after="0" w:line="240" w:lineRule="auto"/>
              <w:outlineLvl w:val="0"/>
              <w:rPr>
                <w:rFonts w:ascii="Calibri" w:eastAsia="Calibri" w:hAnsi="Calibri" w:cs="Arial"/>
                <w:b/>
                <w:bCs/>
                <w:i/>
                <w:noProof/>
                <w:sz w:val="20"/>
                <w:szCs w:val="20"/>
                <w:lang w:val="en-US"/>
              </w:rPr>
            </w:pPr>
            <w:r w:rsidRPr="00B12851">
              <w:rPr>
                <w:rFonts w:ascii="Calibri" w:eastAsia="Calibri" w:hAnsi="Calibri" w:cs="Calibri"/>
                <w:i/>
                <w:noProof/>
                <w:sz w:val="20"/>
                <w:szCs w:val="20"/>
                <w:lang w:val="en-US"/>
              </w:rPr>
              <w:t>Total recognised through Income Statement (</w:t>
            </w:r>
            <w:r w:rsidRPr="00A1123E">
              <w:rPr>
                <w:rFonts w:ascii="Calibri" w:eastAsia="Calibri" w:hAnsi="Calibri" w:cs="Calibri"/>
                <w:i/>
                <w:noProof/>
                <w:sz w:val="20"/>
                <w:szCs w:val="20"/>
                <w:lang w:val="en-US"/>
              </w:rPr>
              <w:t>Note 8</w:t>
            </w:r>
            <w:r w:rsidRPr="00B12851">
              <w:rPr>
                <w:rFonts w:ascii="Calibri" w:eastAsia="Calibri" w:hAnsi="Calibri" w:cs="Calibri"/>
                <w:i/>
                <w:noProof/>
                <w:sz w:val="20"/>
                <w:szCs w:val="20"/>
                <w:lang w:val="en-US"/>
              </w:rPr>
              <w:t>)</w:t>
            </w:r>
          </w:p>
        </w:tc>
        <w:tc>
          <w:tcPr>
            <w:tcW w:w="747" w:type="pct"/>
            <w:tcBorders>
              <w:top w:val="single" w:sz="4" w:space="0" w:color="auto"/>
              <w:left w:val="nil"/>
              <w:bottom w:val="single" w:sz="4" w:space="0" w:color="auto"/>
              <w:right w:val="nil"/>
            </w:tcBorders>
            <w:shd w:val="clear" w:color="auto" w:fill="auto"/>
            <w:vAlign w:val="bottom"/>
          </w:tcPr>
          <w:p w14:paraId="67AC5011" w14:textId="0ABDEF12" w:rsidR="009374C8" w:rsidRPr="00537128" w:rsidRDefault="009374C8" w:rsidP="009374C8">
            <w:pPr>
              <w:tabs>
                <w:tab w:val="right" w:pos="1202"/>
              </w:tabs>
              <w:spacing w:after="0" w:line="240" w:lineRule="auto"/>
              <w:jc w:val="right"/>
              <w:outlineLvl w:val="0"/>
              <w:rPr>
                <w:rFonts w:ascii="Calibri" w:eastAsia="Calibri" w:hAnsi="Calibri" w:cs="Calibri"/>
                <w:i/>
                <w:sz w:val="20"/>
                <w:szCs w:val="20"/>
                <w:lang w:val="en-US"/>
              </w:rPr>
            </w:pPr>
            <w:r>
              <w:rPr>
                <w:rFonts w:ascii="Calibri" w:eastAsia="Calibri" w:hAnsi="Calibri" w:cs="Calibri"/>
                <w:bCs/>
                <w:i/>
                <w:iCs/>
                <w:color w:val="000000"/>
                <w:sz w:val="20"/>
                <w:szCs w:val="20"/>
              </w:rPr>
              <w:t>(26,194)</w:t>
            </w:r>
          </w:p>
        </w:tc>
        <w:tc>
          <w:tcPr>
            <w:tcW w:w="747" w:type="pct"/>
            <w:tcBorders>
              <w:top w:val="single" w:sz="4" w:space="0" w:color="auto"/>
              <w:left w:val="nil"/>
              <w:bottom w:val="single" w:sz="4" w:space="0" w:color="auto"/>
              <w:right w:val="nil"/>
            </w:tcBorders>
            <w:shd w:val="clear" w:color="auto" w:fill="auto"/>
            <w:vAlign w:val="bottom"/>
          </w:tcPr>
          <w:p w14:paraId="58888CDE" w14:textId="5CDF50CE" w:rsidR="009374C8" w:rsidRPr="00537128" w:rsidRDefault="009374C8" w:rsidP="009374C8">
            <w:pPr>
              <w:tabs>
                <w:tab w:val="right" w:pos="1202"/>
              </w:tabs>
              <w:spacing w:after="0" w:line="240" w:lineRule="auto"/>
              <w:jc w:val="right"/>
              <w:outlineLvl w:val="0"/>
              <w:rPr>
                <w:rFonts w:ascii="Calibri" w:eastAsia="Calibri" w:hAnsi="Calibri" w:cs="Arial"/>
                <w:bCs/>
                <w:noProof/>
                <w:sz w:val="20"/>
                <w:szCs w:val="20"/>
                <w:lang w:val="en-US"/>
              </w:rPr>
            </w:pPr>
            <w:r w:rsidRPr="00E85437">
              <w:rPr>
                <w:rFonts w:ascii="Calibri" w:eastAsia="Calibri" w:hAnsi="Calibri" w:cs="Calibri"/>
                <w:bCs/>
                <w:i/>
                <w:color w:val="000000" w:themeColor="text1"/>
                <w:sz w:val="20"/>
                <w:szCs w:val="20"/>
              </w:rPr>
              <w:t>74</w:t>
            </w:r>
            <w:r>
              <w:rPr>
                <w:rFonts w:ascii="Calibri" w:eastAsia="Calibri" w:hAnsi="Calibri" w:cs="Calibri"/>
                <w:bCs/>
                <w:i/>
                <w:color w:val="000000" w:themeColor="text1"/>
                <w:sz w:val="20"/>
                <w:szCs w:val="20"/>
              </w:rPr>
              <w:t>,</w:t>
            </w:r>
            <w:r w:rsidRPr="00E85437">
              <w:rPr>
                <w:rFonts w:ascii="Calibri" w:eastAsia="Calibri" w:hAnsi="Calibri" w:cs="Calibri"/>
                <w:bCs/>
                <w:i/>
                <w:color w:val="000000" w:themeColor="text1"/>
                <w:sz w:val="20"/>
                <w:szCs w:val="20"/>
              </w:rPr>
              <w:t>799</w:t>
            </w:r>
          </w:p>
        </w:tc>
        <w:tc>
          <w:tcPr>
            <w:tcW w:w="747" w:type="pct"/>
            <w:tcBorders>
              <w:top w:val="single" w:sz="4" w:space="0" w:color="auto"/>
              <w:left w:val="nil"/>
              <w:bottom w:val="single" w:sz="4" w:space="0" w:color="auto"/>
              <w:right w:val="nil"/>
            </w:tcBorders>
            <w:shd w:val="clear" w:color="auto" w:fill="auto"/>
            <w:vAlign w:val="bottom"/>
          </w:tcPr>
          <w:p w14:paraId="099101AF" w14:textId="5260063A" w:rsidR="009374C8" w:rsidRPr="00537128" w:rsidRDefault="009374C8" w:rsidP="009374C8">
            <w:pPr>
              <w:tabs>
                <w:tab w:val="right" w:pos="1202"/>
              </w:tabs>
              <w:spacing w:after="0" w:line="240" w:lineRule="auto"/>
              <w:jc w:val="right"/>
              <w:outlineLvl w:val="0"/>
              <w:rPr>
                <w:rFonts w:ascii="Calibri" w:eastAsia="Calibri" w:hAnsi="Calibri" w:cs="Arial"/>
                <w:bCs/>
                <w:noProof/>
                <w:sz w:val="20"/>
                <w:szCs w:val="20"/>
                <w:lang w:val="en-US"/>
              </w:rPr>
            </w:pPr>
            <w:r>
              <w:rPr>
                <w:rFonts w:ascii="Calibri" w:eastAsia="Calibri" w:hAnsi="Calibri" w:cs="Calibri"/>
                <w:bCs/>
                <w:i/>
                <w:iCs/>
                <w:color w:val="000000"/>
                <w:sz w:val="20"/>
                <w:szCs w:val="20"/>
              </w:rPr>
              <w:t>(26,194)</w:t>
            </w:r>
          </w:p>
        </w:tc>
        <w:tc>
          <w:tcPr>
            <w:tcW w:w="746" w:type="pct"/>
            <w:tcBorders>
              <w:top w:val="single" w:sz="4" w:space="0" w:color="auto"/>
              <w:left w:val="nil"/>
              <w:bottom w:val="single" w:sz="4" w:space="0" w:color="auto"/>
              <w:right w:val="nil"/>
            </w:tcBorders>
            <w:shd w:val="clear" w:color="auto" w:fill="auto"/>
            <w:vAlign w:val="bottom"/>
            <w:hideMark/>
          </w:tcPr>
          <w:p w14:paraId="1AFA52AB" w14:textId="70A487AE" w:rsidR="009374C8" w:rsidRPr="00537128" w:rsidRDefault="009374C8" w:rsidP="009374C8">
            <w:pPr>
              <w:tabs>
                <w:tab w:val="right" w:pos="1202"/>
              </w:tabs>
              <w:spacing w:after="0" w:line="240" w:lineRule="auto"/>
              <w:jc w:val="right"/>
              <w:outlineLvl w:val="0"/>
              <w:rPr>
                <w:rFonts w:ascii="Calibri" w:eastAsia="Calibri" w:hAnsi="Calibri" w:cs="Arial"/>
                <w:bCs/>
                <w:noProof/>
                <w:sz w:val="20"/>
                <w:szCs w:val="20"/>
                <w:lang w:val="en-US"/>
              </w:rPr>
            </w:pPr>
            <w:r w:rsidRPr="00E85437">
              <w:rPr>
                <w:rFonts w:ascii="Calibri" w:eastAsia="Calibri" w:hAnsi="Calibri" w:cs="Calibri"/>
                <w:bCs/>
                <w:i/>
                <w:color w:val="000000" w:themeColor="text1"/>
                <w:sz w:val="20"/>
                <w:szCs w:val="20"/>
              </w:rPr>
              <w:t>74</w:t>
            </w:r>
            <w:r>
              <w:rPr>
                <w:rFonts w:ascii="Calibri" w:eastAsia="Calibri" w:hAnsi="Calibri" w:cs="Calibri"/>
                <w:bCs/>
                <w:i/>
                <w:color w:val="000000" w:themeColor="text1"/>
                <w:sz w:val="20"/>
                <w:szCs w:val="20"/>
              </w:rPr>
              <w:t>,</w:t>
            </w:r>
            <w:r w:rsidRPr="00E85437">
              <w:rPr>
                <w:rFonts w:ascii="Calibri" w:eastAsia="Calibri" w:hAnsi="Calibri" w:cs="Calibri"/>
                <w:bCs/>
                <w:i/>
                <w:color w:val="000000" w:themeColor="text1"/>
                <w:sz w:val="20"/>
                <w:szCs w:val="20"/>
              </w:rPr>
              <w:t>799</w:t>
            </w:r>
          </w:p>
        </w:tc>
      </w:tr>
      <w:tr w:rsidR="009374C8" w:rsidRPr="00537128" w14:paraId="20DCF1A2" w14:textId="77777777" w:rsidTr="0064116C">
        <w:trPr>
          <w:trHeight w:val="312"/>
        </w:trPr>
        <w:tc>
          <w:tcPr>
            <w:tcW w:w="2013" w:type="pct"/>
            <w:vAlign w:val="bottom"/>
            <w:hideMark/>
          </w:tcPr>
          <w:p w14:paraId="5758DB82" w14:textId="3633E669" w:rsidR="009374C8" w:rsidRPr="00B12851" w:rsidRDefault="009374C8" w:rsidP="009374C8">
            <w:pPr>
              <w:tabs>
                <w:tab w:val="right" w:pos="1202"/>
              </w:tabs>
              <w:spacing w:after="0" w:line="240" w:lineRule="auto"/>
              <w:outlineLvl w:val="0"/>
              <w:rPr>
                <w:rFonts w:ascii="Calibri" w:eastAsia="Calibri" w:hAnsi="Calibri" w:cs="Calibri"/>
                <w:noProof/>
                <w:sz w:val="20"/>
                <w:szCs w:val="20"/>
                <w:lang w:val="en-US"/>
              </w:rPr>
            </w:pPr>
            <w:r w:rsidRPr="00B12851">
              <w:rPr>
                <w:rFonts w:ascii="Calibri" w:eastAsia="Calibri" w:hAnsi="Calibri" w:cs="Calibri"/>
                <w:noProof/>
                <w:sz w:val="20"/>
                <w:szCs w:val="20"/>
                <w:lang w:val="en-US"/>
              </w:rPr>
              <w:t>Net (release)</w:t>
            </w:r>
            <w:r>
              <w:rPr>
                <w:rFonts w:ascii="Calibri" w:eastAsia="Calibri" w:hAnsi="Calibri" w:cs="Calibri"/>
                <w:noProof/>
                <w:sz w:val="20"/>
                <w:szCs w:val="20"/>
                <w:lang w:val="en-US"/>
              </w:rPr>
              <w:t>/increase</w:t>
            </w:r>
            <w:r w:rsidRPr="00B12851">
              <w:rPr>
                <w:rFonts w:ascii="Calibri" w:eastAsia="Calibri" w:hAnsi="Calibri" w:cs="Calibri"/>
                <w:noProof/>
                <w:sz w:val="20"/>
                <w:szCs w:val="20"/>
                <w:lang w:val="en-US"/>
              </w:rPr>
              <w:t xml:space="preserve"> of loss allowances on commitments</w:t>
            </w:r>
          </w:p>
        </w:tc>
        <w:tc>
          <w:tcPr>
            <w:tcW w:w="747" w:type="pct"/>
            <w:tcBorders>
              <w:left w:val="nil"/>
              <w:bottom w:val="single" w:sz="4" w:space="0" w:color="auto"/>
              <w:right w:val="nil"/>
            </w:tcBorders>
            <w:shd w:val="clear" w:color="auto" w:fill="auto"/>
            <w:vAlign w:val="bottom"/>
          </w:tcPr>
          <w:p w14:paraId="06E9DD2D" w14:textId="3389399E" w:rsidR="009374C8" w:rsidRPr="00537128" w:rsidRDefault="009374C8" w:rsidP="009374C8">
            <w:pPr>
              <w:tabs>
                <w:tab w:val="right" w:pos="1202"/>
              </w:tabs>
              <w:spacing w:after="0" w:line="240" w:lineRule="auto"/>
              <w:jc w:val="right"/>
              <w:outlineLvl w:val="0"/>
              <w:rPr>
                <w:rFonts w:ascii="Calibri" w:eastAsia="Calibri" w:hAnsi="Calibri" w:cs="Calibri"/>
                <w:sz w:val="20"/>
                <w:szCs w:val="20"/>
                <w:lang w:val="en-US"/>
              </w:rPr>
            </w:pPr>
            <w:r>
              <w:rPr>
                <w:rFonts w:ascii="Calibri" w:eastAsia="Calibri" w:hAnsi="Calibri" w:cs="Calibri"/>
                <w:bCs/>
                <w:color w:val="000000"/>
                <w:sz w:val="20"/>
                <w:szCs w:val="20"/>
              </w:rPr>
              <w:t>(20,381)</w:t>
            </w:r>
          </w:p>
        </w:tc>
        <w:tc>
          <w:tcPr>
            <w:tcW w:w="747" w:type="pct"/>
            <w:tcBorders>
              <w:top w:val="single" w:sz="4" w:space="0" w:color="auto"/>
              <w:left w:val="nil"/>
              <w:bottom w:val="single" w:sz="4" w:space="0" w:color="auto"/>
              <w:right w:val="nil"/>
            </w:tcBorders>
            <w:shd w:val="clear" w:color="auto" w:fill="auto"/>
            <w:vAlign w:val="bottom"/>
          </w:tcPr>
          <w:p w14:paraId="54D6BDBF" w14:textId="66BA5D19" w:rsidR="009374C8" w:rsidRPr="00537128" w:rsidRDefault="009374C8" w:rsidP="009374C8">
            <w:pPr>
              <w:tabs>
                <w:tab w:val="right" w:pos="1202"/>
              </w:tabs>
              <w:spacing w:after="0" w:line="240" w:lineRule="auto"/>
              <w:jc w:val="right"/>
              <w:outlineLvl w:val="0"/>
              <w:rPr>
                <w:rFonts w:ascii="Calibri" w:eastAsia="Calibri" w:hAnsi="Calibri" w:cs="Arial"/>
                <w:bCs/>
                <w:noProof/>
                <w:sz w:val="20"/>
                <w:szCs w:val="20"/>
                <w:lang w:val="en-US"/>
              </w:rPr>
            </w:pPr>
            <w:r w:rsidRPr="00E85437">
              <w:rPr>
                <w:rFonts w:ascii="Calibri" w:eastAsia="Calibri" w:hAnsi="Calibri" w:cs="Calibri"/>
                <w:bCs/>
                <w:color w:val="000000" w:themeColor="text1"/>
                <w:sz w:val="20"/>
                <w:szCs w:val="20"/>
              </w:rPr>
              <w:t>7</w:t>
            </w:r>
            <w:r>
              <w:rPr>
                <w:rFonts w:ascii="Calibri" w:eastAsia="Calibri" w:hAnsi="Calibri" w:cs="Calibri"/>
                <w:bCs/>
                <w:color w:val="000000" w:themeColor="text1"/>
                <w:sz w:val="20"/>
                <w:szCs w:val="20"/>
              </w:rPr>
              <w:t>,</w:t>
            </w:r>
            <w:r w:rsidRPr="00E85437">
              <w:rPr>
                <w:rFonts w:ascii="Calibri" w:eastAsia="Calibri" w:hAnsi="Calibri" w:cs="Calibri"/>
                <w:bCs/>
                <w:color w:val="000000" w:themeColor="text1"/>
                <w:sz w:val="20"/>
                <w:szCs w:val="20"/>
              </w:rPr>
              <w:t>503</w:t>
            </w:r>
          </w:p>
        </w:tc>
        <w:tc>
          <w:tcPr>
            <w:tcW w:w="747" w:type="pct"/>
            <w:tcBorders>
              <w:left w:val="nil"/>
              <w:bottom w:val="single" w:sz="4" w:space="0" w:color="auto"/>
              <w:right w:val="nil"/>
            </w:tcBorders>
            <w:shd w:val="clear" w:color="auto" w:fill="auto"/>
            <w:vAlign w:val="bottom"/>
          </w:tcPr>
          <w:p w14:paraId="4D3A1D48" w14:textId="331D541E" w:rsidR="009374C8" w:rsidRPr="00537128" w:rsidRDefault="009374C8" w:rsidP="009374C8">
            <w:pPr>
              <w:tabs>
                <w:tab w:val="right" w:pos="1202"/>
              </w:tabs>
              <w:spacing w:after="0" w:line="240" w:lineRule="auto"/>
              <w:jc w:val="right"/>
              <w:outlineLvl w:val="0"/>
              <w:rPr>
                <w:rFonts w:ascii="Calibri" w:eastAsia="Calibri" w:hAnsi="Calibri" w:cs="Arial"/>
                <w:bCs/>
                <w:noProof/>
                <w:sz w:val="20"/>
                <w:szCs w:val="20"/>
                <w:lang w:val="en-US"/>
              </w:rPr>
            </w:pPr>
            <w:r>
              <w:rPr>
                <w:rFonts w:ascii="Calibri" w:eastAsia="Calibri" w:hAnsi="Calibri" w:cs="Calibri"/>
                <w:bCs/>
                <w:color w:val="000000"/>
                <w:sz w:val="20"/>
                <w:szCs w:val="20"/>
              </w:rPr>
              <w:t>(20,381)</w:t>
            </w:r>
          </w:p>
        </w:tc>
        <w:tc>
          <w:tcPr>
            <w:tcW w:w="746" w:type="pct"/>
            <w:tcBorders>
              <w:top w:val="single" w:sz="4" w:space="0" w:color="auto"/>
              <w:left w:val="nil"/>
              <w:bottom w:val="single" w:sz="4" w:space="0" w:color="auto"/>
              <w:right w:val="nil"/>
            </w:tcBorders>
            <w:shd w:val="clear" w:color="auto" w:fill="auto"/>
            <w:vAlign w:val="bottom"/>
            <w:hideMark/>
          </w:tcPr>
          <w:p w14:paraId="49822547" w14:textId="0BD708F9" w:rsidR="009374C8" w:rsidRPr="00537128" w:rsidRDefault="009374C8" w:rsidP="009374C8">
            <w:pPr>
              <w:tabs>
                <w:tab w:val="right" w:pos="1202"/>
              </w:tabs>
              <w:spacing w:after="0" w:line="240" w:lineRule="auto"/>
              <w:jc w:val="right"/>
              <w:outlineLvl w:val="0"/>
              <w:rPr>
                <w:rFonts w:ascii="Calibri" w:eastAsia="Calibri" w:hAnsi="Calibri" w:cs="Arial"/>
                <w:bCs/>
                <w:noProof/>
                <w:sz w:val="20"/>
                <w:szCs w:val="20"/>
                <w:lang w:val="en-US"/>
              </w:rPr>
            </w:pPr>
            <w:r w:rsidRPr="00E85437">
              <w:rPr>
                <w:rFonts w:ascii="Calibri" w:eastAsia="Calibri" w:hAnsi="Calibri" w:cs="Calibri"/>
                <w:bCs/>
                <w:color w:val="000000" w:themeColor="text1"/>
                <w:sz w:val="20"/>
                <w:szCs w:val="20"/>
              </w:rPr>
              <w:t>7</w:t>
            </w:r>
            <w:r>
              <w:rPr>
                <w:rFonts w:ascii="Calibri" w:eastAsia="Calibri" w:hAnsi="Calibri" w:cs="Calibri"/>
                <w:bCs/>
                <w:color w:val="000000" w:themeColor="text1"/>
                <w:sz w:val="20"/>
                <w:szCs w:val="20"/>
              </w:rPr>
              <w:t>,</w:t>
            </w:r>
            <w:r w:rsidRPr="00E85437">
              <w:rPr>
                <w:rFonts w:ascii="Calibri" w:eastAsia="Calibri" w:hAnsi="Calibri" w:cs="Calibri"/>
                <w:bCs/>
                <w:color w:val="000000" w:themeColor="text1"/>
                <w:sz w:val="20"/>
                <w:szCs w:val="20"/>
              </w:rPr>
              <w:t>503</w:t>
            </w:r>
          </w:p>
        </w:tc>
      </w:tr>
      <w:tr w:rsidR="009374C8" w:rsidRPr="00537128" w14:paraId="30B1FC3F" w14:textId="77777777" w:rsidTr="0064116C">
        <w:trPr>
          <w:trHeight w:val="312"/>
        </w:trPr>
        <w:tc>
          <w:tcPr>
            <w:tcW w:w="2013" w:type="pct"/>
            <w:vAlign w:val="bottom"/>
            <w:hideMark/>
          </w:tcPr>
          <w:p w14:paraId="572E8959" w14:textId="506FAD0F" w:rsidR="009374C8" w:rsidRPr="00B12851" w:rsidRDefault="009374C8" w:rsidP="009374C8">
            <w:pPr>
              <w:tabs>
                <w:tab w:val="right" w:pos="1202"/>
              </w:tabs>
              <w:spacing w:after="0" w:line="240" w:lineRule="auto"/>
              <w:outlineLvl w:val="0"/>
              <w:rPr>
                <w:rFonts w:ascii="Calibri" w:eastAsia="Calibri" w:hAnsi="Calibri" w:cs="Calibri"/>
                <w:noProof/>
                <w:sz w:val="20"/>
                <w:szCs w:val="20"/>
                <w:lang w:val="en-US"/>
              </w:rPr>
            </w:pPr>
            <w:r w:rsidRPr="00B12851">
              <w:rPr>
                <w:rFonts w:ascii="Calibri" w:eastAsia="Calibri" w:hAnsi="Calibri" w:cs="Calibri"/>
                <w:noProof/>
                <w:sz w:val="20"/>
                <w:szCs w:val="20"/>
                <w:lang w:val="en-US"/>
              </w:rPr>
              <w:t>Total recognised through Income Statement (</w:t>
            </w:r>
            <w:r w:rsidRPr="00A1123E">
              <w:rPr>
                <w:rFonts w:ascii="Calibri" w:eastAsia="Calibri" w:hAnsi="Calibri" w:cs="Calibri"/>
                <w:noProof/>
                <w:sz w:val="20"/>
                <w:szCs w:val="20"/>
                <w:lang w:val="en-US"/>
              </w:rPr>
              <w:t>Note 8</w:t>
            </w:r>
            <w:r w:rsidRPr="00B12851">
              <w:rPr>
                <w:rFonts w:ascii="Calibri" w:eastAsia="Calibri" w:hAnsi="Calibri" w:cs="Calibri"/>
                <w:noProof/>
                <w:sz w:val="20"/>
                <w:szCs w:val="20"/>
                <w:lang w:val="en-US"/>
              </w:rPr>
              <w:t>)</w:t>
            </w:r>
          </w:p>
        </w:tc>
        <w:tc>
          <w:tcPr>
            <w:tcW w:w="747" w:type="pct"/>
            <w:tcBorders>
              <w:top w:val="single" w:sz="4" w:space="0" w:color="auto"/>
              <w:left w:val="nil"/>
              <w:bottom w:val="single" w:sz="4" w:space="0" w:color="auto"/>
              <w:right w:val="nil"/>
            </w:tcBorders>
            <w:shd w:val="clear" w:color="auto" w:fill="auto"/>
            <w:vAlign w:val="bottom"/>
          </w:tcPr>
          <w:p w14:paraId="2F580FB2" w14:textId="32741F17" w:rsidR="009374C8" w:rsidRPr="00537128" w:rsidRDefault="009374C8" w:rsidP="009374C8">
            <w:pPr>
              <w:tabs>
                <w:tab w:val="right" w:pos="1202"/>
              </w:tabs>
              <w:spacing w:after="0" w:line="240" w:lineRule="auto"/>
              <w:jc w:val="right"/>
              <w:outlineLvl w:val="0"/>
              <w:rPr>
                <w:rFonts w:ascii="Calibri" w:eastAsia="Calibri" w:hAnsi="Calibri" w:cs="Calibri"/>
                <w:i/>
                <w:sz w:val="20"/>
                <w:szCs w:val="20"/>
                <w:lang w:val="en-US"/>
              </w:rPr>
            </w:pPr>
            <w:r>
              <w:rPr>
                <w:rFonts w:ascii="Calibri" w:eastAsia="Calibri" w:hAnsi="Calibri" w:cs="Calibri"/>
                <w:bCs/>
                <w:i/>
                <w:iCs/>
                <w:color w:val="000000"/>
                <w:sz w:val="20"/>
                <w:szCs w:val="20"/>
              </w:rPr>
              <w:t>(20,381)</w:t>
            </w:r>
          </w:p>
        </w:tc>
        <w:tc>
          <w:tcPr>
            <w:tcW w:w="747" w:type="pct"/>
            <w:tcBorders>
              <w:top w:val="single" w:sz="4" w:space="0" w:color="auto"/>
              <w:left w:val="nil"/>
              <w:bottom w:val="single" w:sz="4" w:space="0" w:color="auto"/>
              <w:right w:val="nil"/>
            </w:tcBorders>
            <w:shd w:val="clear" w:color="auto" w:fill="auto"/>
            <w:vAlign w:val="bottom"/>
          </w:tcPr>
          <w:p w14:paraId="605EFCE0" w14:textId="70BB5CC4" w:rsidR="009374C8" w:rsidRPr="00537128" w:rsidRDefault="009374C8" w:rsidP="009374C8">
            <w:pPr>
              <w:tabs>
                <w:tab w:val="right" w:pos="1202"/>
              </w:tabs>
              <w:spacing w:after="0" w:line="240" w:lineRule="auto"/>
              <w:jc w:val="right"/>
              <w:outlineLvl w:val="0"/>
              <w:rPr>
                <w:rFonts w:ascii="Calibri" w:eastAsia="Calibri" w:hAnsi="Calibri" w:cs="Arial"/>
                <w:bCs/>
                <w:i/>
                <w:noProof/>
                <w:sz w:val="20"/>
                <w:szCs w:val="20"/>
                <w:lang w:val="en-US"/>
              </w:rPr>
            </w:pPr>
            <w:r w:rsidRPr="00E85437">
              <w:rPr>
                <w:rFonts w:ascii="Calibri" w:eastAsia="Calibri" w:hAnsi="Calibri" w:cs="Calibri"/>
                <w:bCs/>
                <w:i/>
                <w:color w:val="000000" w:themeColor="text1"/>
                <w:sz w:val="20"/>
                <w:szCs w:val="20"/>
              </w:rPr>
              <w:t>7</w:t>
            </w:r>
            <w:r>
              <w:rPr>
                <w:rFonts w:ascii="Calibri" w:eastAsia="Calibri" w:hAnsi="Calibri" w:cs="Calibri"/>
                <w:bCs/>
                <w:i/>
                <w:color w:val="000000" w:themeColor="text1"/>
                <w:sz w:val="20"/>
                <w:szCs w:val="20"/>
              </w:rPr>
              <w:t>,</w:t>
            </w:r>
            <w:r w:rsidRPr="00E85437">
              <w:rPr>
                <w:rFonts w:ascii="Calibri" w:eastAsia="Calibri" w:hAnsi="Calibri" w:cs="Calibri"/>
                <w:bCs/>
                <w:i/>
                <w:color w:val="000000" w:themeColor="text1"/>
                <w:sz w:val="20"/>
                <w:szCs w:val="20"/>
              </w:rPr>
              <w:t>503</w:t>
            </w:r>
          </w:p>
        </w:tc>
        <w:tc>
          <w:tcPr>
            <w:tcW w:w="747" w:type="pct"/>
            <w:tcBorders>
              <w:top w:val="single" w:sz="4" w:space="0" w:color="auto"/>
              <w:left w:val="nil"/>
              <w:bottom w:val="single" w:sz="4" w:space="0" w:color="auto"/>
              <w:right w:val="nil"/>
            </w:tcBorders>
            <w:shd w:val="clear" w:color="auto" w:fill="auto"/>
            <w:vAlign w:val="bottom"/>
          </w:tcPr>
          <w:p w14:paraId="3717F5B7" w14:textId="7432E2A3" w:rsidR="009374C8" w:rsidRPr="00537128" w:rsidRDefault="009374C8" w:rsidP="009374C8">
            <w:pPr>
              <w:tabs>
                <w:tab w:val="right" w:pos="1202"/>
              </w:tabs>
              <w:spacing w:after="0" w:line="240" w:lineRule="auto"/>
              <w:jc w:val="right"/>
              <w:outlineLvl w:val="0"/>
              <w:rPr>
                <w:rFonts w:ascii="Calibri" w:eastAsia="Calibri" w:hAnsi="Calibri" w:cs="Arial"/>
                <w:bCs/>
                <w:i/>
                <w:noProof/>
                <w:sz w:val="20"/>
                <w:szCs w:val="20"/>
                <w:lang w:val="en-US"/>
              </w:rPr>
            </w:pPr>
            <w:r>
              <w:rPr>
                <w:rFonts w:ascii="Calibri" w:eastAsia="Calibri" w:hAnsi="Calibri" w:cs="Calibri"/>
                <w:bCs/>
                <w:i/>
                <w:iCs/>
                <w:color w:val="000000"/>
                <w:sz w:val="20"/>
                <w:szCs w:val="20"/>
              </w:rPr>
              <w:t>(20,381)</w:t>
            </w:r>
          </w:p>
        </w:tc>
        <w:tc>
          <w:tcPr>
            <w:tcW w:w="746" w:type="pct"/>
            <w:tcBorders>
              <w:top w:val="single" w:sz="4" w:space="0" w:color="auto"/>
              <w:left w:val="nil"/>
              <w:bottom w:val="single" w:sz="4" w:space="0" w:color="auto"/>
              <w:right w:val="nil"/>
            </w:tcBorders>
            <w:shd w:val="clear" w:color="auto" w:fill="auto"/>
            <w:vAlign w:val="bottom"/>
            <w:hideMark/>
          </w:tcPr>
          <w:p w14:paraId="2D3A4D3E" w14:textId="3AA588EE" w:rsidR="009374C8" w:rsidRPr="00537128" w:rsidRDefault="009374C8" w:rsidP="009374C8">
            <w:pPr>
              <w:tabs>
                <w:tab w:val="right" w:pos="1202"/>
              </w:tabs>
              <w:spacing w:after="0" w:line="240" w:lineRule="auto"/>
              <w:jc w:val="right"/>
              <w:outlineLvl w:val="0"/>
              <w:rPr>
                <w:rFonts w:ascii="Calibri" w:eastAsia="Calibri" w:hAnsi="Calibri" w:cs="Arial"/>
                <w:bCs/>
                <w:i/>
                <w:noProof/>
                <w:sz w:val="20"/>
                <w:szCs w:val="20"/>
                <w:lang w:val="en-US"/>
              </w:rPr>
            </w:pPr>
            <w:r w:rsidRPr="00E85437">
              <w:rPr>
                <w:rFonts w:ascii="Calibri" w:eastAsia="Calibri" w:hAnsi="Calibri" w:cs="Calibri"/>
                <w:bCs/>
                <w:i/>
                <w:color w:val="000000" w:themeColor="text1"/>
                <w:sz w:val="20"/>
                <w:szCs w:val="20"/>
              </w:rPr>
              <w:t>7</w:t>
            </w:r>
            <w:r>
              <w:rPr>
                <w:rFonts w:ascii="Calibri" w:eastAsia="Calibri" w:hAnsi="Calibri" w:cs="Calibri"/>
                <w:bCs/>
                <w:i/>
                <w:color w:val="000000" w:themeColor="text1"/>
                <w:sz w:val="20"/>
                <w:szCs w:val="20"/>
              </w:rPr>
              <w:t>,</w:t>
            </w:r>
            <w:r w:rsidRPr="00E85437">
              <w:rPr>
                <w:rFonts w:ascii="Calibri" w:eastAsia="Calibri" w:hAnsi="Calibri" w:cs="Calibri"/>
                <w:bCs/>
                <w:i/>
                <w:color w:val="000000" w:themeColor="text1"/>
                <w:sz w:val="20"/>
                <w:szCs w:val="20"/>
              </w:rPr>
              <w:t>503</w:t>
            </w:r>
          </w:p>
        </w:tc>
      </w:tr>
      <w:tr w:rsidR="009374C8" w:rsidRPr="00537128" w14:paraId="0090B210" w14:textId="77777777" w:rsidTr="0064116C">
        <w:trPr>
          <w:trHeight w:val="312"/>
        </w:trPr>
        <w:tc>
          <w:tcPr>
            <w:tcW w:w="2013" w:type="pct"/>
            <w:vAlign w:val="bottom"/>
            <w:hideMark/>
          </w:tcPr>
          <w:p w14:paraId="3726C39F" w14:textId="77777777" w:rsidR="009374C8" w:rsidRPr="00537128" w:rsidRDefault="009374C8" w:rsidP="009374C8">
            <w:pPr>
              <w:tabs>
                <w:tab w:val="right" w:pos="1202"/>
              </w:tabs>
              <w:spacing w:after="0" w:line="240" w:lineRule="auto"/>
              <w:outlineLvl w:val="0"/>
              <w:rPr>
                <w:rFonts w:ascii="Calibri" w:eastAsia="Calibri" w:hAnsi="Calibri" w:cs="Calibri"/>
                <w:i/>
                <w:noProof/>
                <w:sz w:val="20"/>
                <w:szCs w:val="20"/>
                <w:lang w:val="en-US"/>
              </w:rPr>
            </w:pPr>
            <w:r w:rsidRPr="00537128">
              <w:rPr>
                <w:rFonts w:ascii="Calibri" w:eastAsia="Calibri" w:hAnsi="Calibri" w:cs="Arial"/>
                <w:noProof/>
                <w:sz w:val="20"/>
                <w:szCs w:val="20"/>
                <w:lang w:val="en-US"/>
              </w:rPr>
              <w:t>Net foreign exchange on loss allowances</w:t>
            </w:r>
          </w:p>
        </w:tc>
        <w:tc>
          <w:tcPr>
            <w:tcW w:w="747" w:type="pct"/>
            <w:tcBorders>
              <w:top w:val="single" w:sz="4" w:space="0" w:color="auto"/>
              <w:left w:val="nil"/>
              <w:bottom w:val="single" w:sz="4" w:space="0" w:color="auto"/>
              <w:right w:val="nil"/>
            </w:tcBorders>
            <w:shd w:val="clear" w:color="auto" w:fill="auto"/>
            <w:vAlign w:val="bottom"/>
          </w:tcPr>
          <w:p w14:paraId="652B7038" w14:textId="1419E162" w:rsidR="009374C8" w:rsidRPr="00537128" w:rsidRDefault="00DC667F" w:rsidP="009374C8">
            <w:pPr>
              <w:tabs>
                <w:tab w:val="right" w:pos="1202"/>
              </w:tabs>
              <w:spacing w:after="0" w:line="240" w:lineRule="auto"/>
              <w:jc w:val="right"/>
              <w:outlineLvl w:val="0"/>
              <w:rPr>
                <w:rFonts w:ascii="Calibri" w:eastAsia="Calibri" w:hAnsi="Calibri" w:cs="Calibri"/>
                <w:sz w:val="20"/>
                <w:szCs w:val="20"/>
                <w:lang w:val="en-US"/>
              </w:rPr>
            </w:pPr>
            <w:r>
              <w:rPr>
                <w:rFonts w:ascii="Calibri" w:eastAsia="Calibri" w:hAnsi="Calibri" w:cs="Calibri"/>
                <w:color w:val="000000"/>
                <w:sz w:val="20"/>
                <w:szCs w:val="20"/>
              </w:rPr>
              <w:t>1</w:t>
            </w:r>
            <w:r w:rsidR="00B935DD">
              <w:rPr>
                <w:rFonts w:ascii="Calibri" w:eastAsia="Calibri" w:hAnsi="Calibri" w:cs="Calibri"/>
                <w:color w:val="000000"/>
                <w:sz w:val="20"/>
                <w:szCs w:val="20"/>
              </w:rPr>
              <w:t>,</w:t>
            </w:r>
            <w:r>
              <w:rPr>
                <w:rFonts w:ascii="Calibri" w:eastAsia="Calibri" w:hAnsi="Calibri" w:cs="Calibri"/>
                <w:color w:val="000000"/>
                <w:sz w:val="20"/>
                <w:szCs w:val="20"/>
              </w:rPr>
              <w:t>335</w:t>
            </w:r>
          </w:p>
        </w:tc>
        <w:tc>
          <w:tcPr>
            <w:tcW w:w="747" w:type="pct"/>
            <w:tcBorders>
              <w:top w:val="single" w:sz="4" w:space="0" w:color="auto"/>
              <w:left w:val="nil"/>
              <w:bottom w:val="single" w:sz="4" w:space="0" w:color="auto"/>
              <w:right w:val="nil"/>
            </w:tcBorders>
            <w:shd w:val="clear" w:color="auto" w:fill="auto"/>
            <w:vAlign w:val="bottom"/>
          </w:tcPr>
          <w:p w14:paraId="4E7CFCCB" w14:textId="67378896" w:rsidR="009374C8" w:rsidRPr="00537128" w:rsidRDefault="009374C8" w:rsidP="009374C8">
            <w:pPr>
              <w:tabs>
                <w:tab w:val="right" w:pos="1202"/>
              </w:tabs>
              <w:spacing w:after="0" w:line="240" w:lineRule="auto"/>
              <w:jc w:val="right"/>
              <w:outlineLvl w:val="0"/>
              <w:rPr>
                <w:rFonts w:ascii="Calibri" w:eastAsia="Calibri" w:hAnsi="Calibri" w:cs="Arial"/>
                <w:bCs/>
                <w:noProof/>
                <w:sz w:val="20"/>
                <w:szCs w:val="20"/>
                <w:lang w:val="en-US"/>
              </w:rPr>
            </w:pPr>
            <w:r w:rsidRPr="00E85437">
              <w:rPr>
                <w:rFonts w:ascii="Calibri" w:eastAsia="Calibri" w:hAnsi="Calibri" w:cs="Calibri"/>
                <w:color w:val="000000" w:themeColor="text1"/>
                <w:sz w:val="20"/>
                <w:szCs w:val="20"/>
              </w:rPr>
              <w:t>1</w:t>
            </w:r>
            <w:r>
              <w:rPr>
                <w:rFonts w:ascii="Calibri" w:eastAsia="Calibri" w:hAnsi="Calibri" w:cs="Calibri"/>
                <w:color w:val="000000" w:themeColor="text1"/>
                <w:sz w:val="20"/>
                <w:szCs w:val="20"/>
              </w:rPr>
              <w:t>,</w:t>
            </w:r>
            <w:r w:rsidRPr="00E85437">
              <w:rPr>
                <w:rFonts w:ascii="Calibri" w:eastAsia="Calibri" w:hAnsi="Calibri" w:cs="Calibri"/>
                <w:color w:val="000000" w:themeColor="text1"/>
                <w:sz w:val="20"/>
                <w:szCs w:val="20"/>
              </w:rPr>
              <w:t>729</w:t>
            </w:r>
          </w:p>
        </w:tc>
        <w:tc>
          <w:tcPr>
            <w:tcW w:w="747" w:type="pct"/>
            <w:tcBorders>
              <w:top w:val="single" w:sz="4" w:space="0" w:color="auto"/>
              <w:left w:val="nil"/>
              <w:bottom w:val="single" w:sz="4" w:space="0" w:color="auto"/>
              <w:right w:val="nil"/>
            </w:tcBorders>
            <w:shd w:val="clear" w:color="auto" w:fill="auto"/>
            <w:vAlign w:val="bottom"/>
          </w:tcPr>
          <w:p w14:paraId="2BFAD987" w14:textId="48376486" w:rsidR="009374C8" w:rsidRPr="00537128" w:rsidRDefault="00DC667F" w:rsidP="009374C8">
            <w:pPr>
              <w:tabs>
                <w:tab w:val="right" w:pos="1202"/>
              </w:tabs>
              <w:spacing w:after="0" w:line="240" w:lineRule="auto"/>
              <w:jc w:val="right"/>
              <w:outlineLvl w:val="0"/>
              <w:rPr>
                <w:rFonts w:ascii="Calibri" w:eastAsia="Calibri" w:hAnsi="Calibri" w:cs="Arial"/>
                <w:bCs/>
                <w:noProof/>
                <w:sz w:val="20"/>
                <w:szCs w:val="20"/>
                <w:lang w:val="en-US"/>
              </w:rPr>
            </w:pPr>
            <w:r>
              <w:rPr>
                <w:rFonts w:ascii="Calibri" w:eastAsia="Calibri" w:hAnsi="Calibri" w:cs="Calibri"/>
                <w:color w:val="000000"/>
                <w:sz w:val="20"/>
                <w:szCs w:val="20"/>
              </w:rPr>
              <w:t>1</w:t>
            </w:r>
            <w:r w:rsidR="00B935DD">
              <w:rPr>
                <w:rFonts w:ascii="Calibri" w:eastAsia="Calibri" w:hAnsi="Calibri" w:cs="Calibri"/>
                <w:color w:val="000000"/>
                <w:sz w:val="20"/>
                <w:szCs w:val="20"/>
              </w:rPr>
              <w:t>,</w:t>
            </w:r>
            <w:r>
              <w:rPr>
                <w:rFonts w:ascii="Calibri" w:eastAsia="Calibri" w:hAnsi="Calibri" w:cs="Calibri"/>
                <w:color w:val="000000"/>
                <w:sz w:val="20"/>
                <w:szCs w:val="20"/>
              </w:rPr>
              <w:t>335</w:t>
            </w:r>
          </w:p>
        </w:tc>
        <w:tc>
          <w:tcPr>
            <w:tcW w:w="746" w:type="pct"/>
            <w:tcBorders>
              <w:top w:val="single" w:sz="4" w:space="0" w:color="auto"/>
              <w:left w:val="nil"/>
              <w:bottom w:val="single" w:sz="4" w:space="0" w:color="auto"/>
              <w:right w:val="nil"/>
            </w:tcBorders>
            <w:vAlign w:val="bottom"/>
            <w:hideMark/>
          </w:tcPr>
          <w:p w14:paraId="5177EB74" w14:textId="37C4D66A" w:rsidR="009374C8" w:rsidRPr="00537128" w:rsidRDefault="009374C8" w:rsidP="009374C8">
            <w:pPr>
              <w:tabs>
                <w:tab w:val="right" w:pos="1202"/>
              </w:tabs>
              <w:spacing w:after="0" w:line="240" w:lineRule="auto"/>
              <w:jc w:val="right"/>
              <w:outlineLvl w:val="0"/>
              <w:rPr>
                <w:rFonts w:ascii="Calibri" w:eastAsia="Calibri" w:hAnsi="Calibri" w:cs="Arial"/>
                <w:bCs/>
                <w:noProof/>
                <w:sz w:val="20"/>
                <w:szCs w:val="20"/>
                <w:lang w:val="en-US"/>
              </w:rPr>
            </w:pPr>
            <w:r w:rsidRPr="00E85437">
              <w:rPr>
                <w:rFonts w:ascii="Calibri" w:eastAsia="Calibri" w:hAnsi="Calibri" w:cs="Calibri"/>
                <w:color w:val="000000" w:themeColor="text1"/>
                <w:sz w:val="20"/>
                <w:szCs w:val="20"/>
              </w:rPr>
              <w:t>1</w:t>
            </w:r>
            <w:r>
              <w:rPr>
                <w:rFonts w:ascii="Calibri" w:eastAsia="Calibri" w:hAnsi="Calibri" w:cs="Calibri"/>
                <w:color w:val="000000" w:themeColor="text1"/>
                <w:sz w:val="20"/>
                <w:szCs w:val="20"/>
              </w:rPr>
              <w:t>,</w:t>
            </w:r>
            <w:r w:rsidRPr="00E85437">
              <w:rPr>
                <w:rFonts w:ascii="Calibri" w:eastAsia="Calibri" w:hAnsi="Calibri" w:cs="Calibri"/>
                <w:color w:val="000000" w:themeColor="text1"/>
                <w:sz w:val="20"/>
                <w:szCs w:val="20"/>
              </w:rPr>
              <w:t>729</w:t>
            </w:r>
          </w:p>
        </w:tc>
      </w:tr>
      <w:tr w:rsidR="009374C8" w:rsidRPr="00537128" w14:paraId="4DD8395A" w14:textId="77777777" w:rsidTr="0064116C">
        <w:trPr>
          <w:trHeight w:val="312"/>
        </w:trPr>
        <w:tc>
          <w:tcPr>
            <w:tcW w:w="2013" w:type="pct"/>
            <w:vAlign w:val="bottom"/>
            <w:hideMark/>
          </w:tcPr>
          <w:p w14:paraId="4A0BB906" w14:textId="77777777" w:rsidR="009374C8" w:rsidRPr="00537128" w:rsidRDefault="009374C8" w:rsidP="009374C8">
            <w:pPr>
              <w:tabs>
                <w:tab w:val="right" w:pos="1202"/>
              </w:tabs>
              <w:spacing w:after="0" w:line="240" w:lineRule="auto"/>
              <w:outlineLvl w:val="0"/>
              <w:rPr>
                <w:rFonts w:ascii="Calibri" w:eastAsia="Calibri" w:hAnsi="Calibri" w:cs="Arial"/>
                <w:b/>
                <w:noProof/>
                <w:sz w:val="20"/>
                <w:szCs w:val="20"/>
                <w:lang w:val="en-US"/>
              </w:rPr>
            </w:pPr>
            <w:r w:rsidRPr="00537128">
              <w:rPr>
                <w:rFonts w:ascii="Calibri" w:eastAsia="Calibri" w:hAnsi="Calibri" w:cs="Arial"/>
                <w:b/>
                <w:noProof/>
                <w:sz w:val="20"/>
                <w:szCs w:val="20"/>
                <w:lang w:val="en-US"/>
              </w:rPr>
              <w:t>Balance at the end of the reporting period - Provisions for guarantees and commitments</w:t>
            </w:r>
          </w:p>
        </w:tc>
        <w:tc>
          <w:tcPr>
            <w:tcW w:w="747" w:type="pct"/>
            <w:tcBorders>
              <w:top w:val="single" w:sz="4" w:space="0" w:color="auto"/>
              <w:left w:val="nil"/>
              <w:bottom w:val="single" w:sz="12" w:space="0" w:color="auto"/>
              <w:right w:val="nil"/>
            </w:tcBorders>
            <w:shd w:val="clear" w:color="auto" w:fill="auto"/>
            <w:vAlign w:val="bottom"/>
          </w:tcPr>
          <w:p w14:paraId="3EC5F146" w14:textId="5514FA4D" w:rsidR="009374C8" w:rsidRPr="00537128" w:rsidRDefault="009374C8" w:rsidP="009374C8">
            <w:pPr>
              <w:tabs>
                <w:tab w:val="right" w:pos="1202"/>
              </w:tabs>
              <w:spacing w:after="0" w:line="240" w:lineRule="auto"/>
              <w:jc w:val="right"/>
              <w:outlineLvl w:val="0"/>
              <w:rPr>
                <w:rFonts w:ascii="Calibri" w:eastAsia="Calibri" w:hAnsi="Calibri" w:cs="Arial"/>
                <w:b/>
                <w:bCs/>
                <w:noProof/>
                <w:sz w:val="20"/>
                <w:szCs w:val="20"/>
                <w:lang w:val="en-US"/>
              </w:rPr>
            </w:pPr>
            <w:r>
              <w:rPr>
                <w:rFonts w:ascii="Calibri" w:eastAsia="Calibri" w:hAnsi="Calibri" w:cs="Calibri"/>
                <w:b/>
                <w:bCs/>
                <w:color w:val="000000"/>
                <w:sz w:val="20"/>
                <w:szCs w:val="20"/>
              </w:rPr>
              <w:t>84,347</w:t>
            </w:r>
          </w:p>
        </w:tc>
        <w:tc>
          <w:tcPr>
            <w:tcW w:w="747" w:type="pct"/>
            <w:tcBorders>
              <w:top w:val="single" w:sz="4" w:space="0" w:color="auto"/>
              <w:left w:val="nil"/>
              <w:bottom w:val="single" w:sz="12" w:space="0" w:color="auto"/>
              <w:right w:val="nil"/>
            </w:tcBorders>
            <w:shd w:val="clear" w:color="auto" w:fill="auto"/>
            <w:vAlign w:val="bottom"/>
          </w:tcPr>
          <w:p w14:paraId="4AC5E46B" w14:textId="7B6757BF" w:rsidR="009374C8" w:rsidRPr="00537128" w:rsidRDefault="009374C8" w:rsidP="009374C8">
            <w:pPr>
              <w:tabs>
                <w:tab w:val="right" w:pos="1202"/>
              </w:tabs>
              <w:spacing w:after="0" w:line="240" w:lineRule="auto"/>
              <w:jc w:val="right"/>
              <w:outlineLvl w:val="0"/>
              <w:rPr>
                <w:rFonts w:ascii="Calibri" w:eastAsia="Calibri" w:hAnsi="Calibri" w:cs="Arial"/>
                <w:b/>
                <w:bCs/>
                <w:noProof/>
                <w:sz w:val="20"/>
                <w:szCs w:val="20"/>
                <w:lang w:val="en-US"/>
              </w:rPr>
            </w:pPr>
            <w:r w:rsidRPr="00E85437">
              <w:rPr>
                <w:rFonts w:ascii="Calibri" w:eastAsia="Calibri" w:hAnsi="Calibri" w:cs="Calibri"/>
                <w:b/>
                <w:color w:val="000000" w:themeColor="text1"/>
                <w:sz w:val="20"/>
                <w:szCs w:val="20"/>
              </w:rPr>
              <w:t>129</w:t>
            </w:r>
            <w:r>
              <w:rPr>
                <w:rFonts w:ascii="Calibri" w:eastAsia="Calibri" w:hAnsi="Calibri" w:cs="Calibri"/>
                <w:b/>
                <w:color w:val="000000" w:themeColor="text1"/>
                <w:sz w:val="20"/>
                <w:szCs w:val="20"/>
              </w:rPr>
              <w:t>,</w:t>
            </w:r>
            <w:r w:rsidRPr="00E85437">
              <w:rPr>
                <w:rFonts w:ascii="Calibri" w:eastAsia="Calibri" w:hAnsi="Calibri" w:cs="Calibri"/>
                <w:b/>
                <w:color w:val="000000" w:themeColor="text1"/>
                <w:sz w:val="20"/>
                <w:szCs w:val="20"/>
              </w:rPr>
              <w:t>587</w:t>
            </w:r>
          </w:p>
        </w:tc>
        <w:tc>
          <w:tcPr>
            <w:tcW w:w="747" w:type="pct"/>
            <w:tcBorders>
              <w:top w:val="single" w:sz="4" w:space="0" w:color="auto"/>
              <w:left w:val="nil"/>
              <w:bottom w:val="single" w:sz="12" w:space="0" w:color="auto"/>
              <w:right w:val="nil"/>
            </w:tcBorders>
            <w:shd w:val="clear" w:color="auto" w:fill="auto"/>
            <w:vAlign w:val="bottom"/>
          </w:tcPr>
          <w:p w14:paraId="24D8BC7B" w14:textId="6F66546A" w:rsidR="009374C8" w:rsidRPr="00537128" w:rsidRDefault="009374C8" w:rsidP="009374C8">
            <w:pPr>
              <w:tabs>
                <w:tab w:val="right" w:pos="1202"/>
              </w:tabs>
              <w:spacing w:after="0" w:line="240" w:lineRule="auto"/>
              <w:jc w:val="right"/>
              <w:outlineLvl w:val="0"/>
              <w:rPr>
                <w:rFonts w:ascii="Calibri" w:eastAsia="Calibri" w:hAnsi="Calibri" w:cs="Arial"/>
                <w:b/>
                <w:bCs/>
                <w:noProof/>
                <w:sz w:val="20"/>
                <w:szCs w:val="20"/>
                <w:lang w:val="en-US"/>
              </w:rPr>
            </w:pPr>
            <w:r>
              <w:rPr>
                <w:rFonts w:ascii="Calibri" w:eastAsia="Calibri" w:hAnsi="Calibri" w:cs="Calibri"/>
                <w:b/>
                <w:bCs/>
                <w:color w:val="000000"/>
                <w:sz w:val="20"/>
                <w:szCs w:val="20"/>
              </w:rPr>
              <w:t>84,347</w:t>
            </w:r>
          </w:p>
        </w:tc>
        <w:tc>
          <w:tcPr>
            <w:tcW w:w="746" w:type="pct"/>
            <w:tcBorders>
              <w:top w:val="single" w:sz="4" w:space="0" w:color="auto"/>
              <w:left w:val="nil"/>
              <w:bottom w:val="single" w:sz="12" w:space="0" w:color="auto"/>
              <w:right w:val="nil"/>
            </w:tcBorders>
            <w:vAlign w:val="bottom"/>
            <w:hideMark/>
          </w:tcPr>
          <w:p w14:paraId="29C38BD5" w14:textId="3D7A18C7" w:rsidR="009374C8" w:rsidRPr="00537128" w:rsidRDefault="009374C8" w:rsidP="009374C8">
            <w:pPr>
              <w:tabs>
                <w:tab w:val="right" w:pos="1202"/>
              </w:tabs>
              <w:spacing w:after="0" w:line="240" w:lineRule="auto"/>
              <w:jc w:val="right"/>
              <w:outlineLvl w:val="0"/>
              <w:rPr>
                <w:rFonts w:ascii="Calibri" w:eastAsia="Calibri" w:hAnsi="Calibri" w:cs="Arial"/>
                <w:b/>
                <w:bCs/>
                <w:noProof/>
                <w:sz w:val="20"/>
                <w:szCs w:val="20"/>
                <w:lang w:val="en-US"/>
              </w:rPr>
            </w:pPr>
            <w:r w:rsidRPr="00E85437">
              <w:rPr>
                <w:rFonts w:ascii="Calibri" w:eastAsia="Calibri" w:hAnsi="Calibri" w:cs="Calibri"/>
                <w:b/>
                <w:color w:val="000000" w:themeColor="text1"/>
                <w:sz w:val="20"/>
                <w:szCs w:val="20"/>
              </w:rPr>
              <w:t>129</w:t>
            </w:r>
            <w:r>
              <w:rPr>
                <w:rFonts w:ascii="Calibri" w:eastAsia="Calibri" w:hAnsi="Calibri" w:cs="Calibri"/>
                <w:b/>
                <w:color w:val="000000" w:themeColor="text1"/>
                <w:sz w:val="20"/>
                <w:szCs w:val="20"/>
              </w:rPr>
              <w:t>,</w:t>
            </w:r>
            <w:r w:rsidRPr="00E85437">
              <w:rPr>
                <w:rFonts w:ascii="Calibri" w:eastAsia="Calibri" w:hAnsi="Calibri" w:cs="Calibri"/>
                <w:b/>
                <w:color w:val="000000" w:themeColor="text1"/>
                <w:sz w:val="20"/>
                <w:szCs w:val="20"/>
              </w:rPr>
              <w:t>587</w:t>
            </w:r>
          </w:p>
        </w:tc>
      </w:tr>
      <w:tr w:rsidR="009374C8" w:rsidRPr="00537128" w14:paraId="57B65B51" w14:textId="77777777" w:rsidTr="008228EE">
        <w:trPr>
          <w:trHeight w:val="312"/>
        </w:trPr>
        <w:tc>
          <w:tcPr>
            <w:tcW w:w="2013" w:type="pct"/>
            <w:vAlign w:val="bottom"/>
            <w:hideMark/>
          </w:tcPr>
          <w:p w14:paraId="7B1D1CC4" w14:textId="77777777" w:rsidR="009374C8" w:rsidRPr="00537128" w:rsidRDefault="009374C8" w:rsidP="009374C8">
            <w:pPr>
              <w:tabs>
                <w:tab w:val="right" w:pos="1202"/>
              </w:tabs>
              <w:spacing w:after="0" w:line="240" w:lineRule="auto"/>
              <w:outlineLvl w:val="0"/>
              <w:rPr>
                <w:rFonts w:ascii="Calibri" w:eastAsia="Calibri" w:hAnsi="Calibri" w:cs="Calibri"/>
                <w:i/>
                <w:noProof/>
                <w:sz w:val="20"/>
                <w:szCs w:val="20"/>
                <w:lang w:val="en-US"/>
              </w:rPr>
            </w:pPr>
            <w:r w:rsidRPr="00537128">
              <w:rPr>
                <w:rFonts w:ascii="Calibri" w:eastAsia="Calibri" w:hAnsi="Calibri" w:cs="Arial"/>
                <w:bCs/>
                <w:noProof/>
                <w:sz w:val="20"/>
                <w:szCs w:val="20"/>
                <w:lang w:val="en-US"/>
              </w:rPr>
              <w:t xml:space="preserve">Balance as of 1 January </w:t>
            </w:r>
          </w:p>
        </w:tc>
        <w:tc>
          <w:tcPr>
            <w:tcW w:w="747" w:type="pct"/>
            <w:tcBorders>
              <w:top w:val="single" w:sz="12" w:space="0" w:color="auto"/>
              <w:left w:val="nil"/>
              <w:right w:val="nil"/>
            </w:tcBorders>
            <w:shd w:val="clear" w:color="auto" w:fill="auto"/>
            <w:vAlign w:val="bottom"/>
          </w:tcPr>
          <w:p w14:paraId="26E57AB3" w14:textId="69C57185" w:rsidR="009374C8" w:rsidRPr="00537128" w:rsidRDefault="009374C8" w:rsidP="009374C8">
            <w:pPr>
              <w:tabs>
                <w:tab w:val="right" w:pos="1202"/>
              </w:tabs>
              <w:spacing w:after="0" w:line="240" w:lineRule="auto"/>
              <w:jc w:val="right"/>
              <w:outlineLvl w:val="0"/>
              <w:rPr>
                <w:rFonts w:ascii="Calibri" w:eastAsia="Calibri" w:hAnsi="Calibri" w:cs="Calibri"/>
                <w:color w:val="000000"/>
                <w:sz w:val="20"/>
                <w:szCs w:val="20"/>
                <w:lang w:val="en-US"/>
              </w:rPr>
            </w:pPr>
            <w:r>
              <w:rPr>
                <w:rFonts w:ascii="Calibri" w:eastAsia="Calibri" w:hAnsi="Calibri" w:cs="Calibri"/>
                <w:color w:val="000000"/>
                <w:sz w:val="20"/>
                <w:szCs w:val="20"/>
              </w:rPr>
              <w:t>60,973</w:t>
            </w:r>
          </w:p>
        </w:tc>
        <w:tc>
          <w:tcPr>
            <w:tcW w:w="747" w:type="pct"/>
            <w:tcBorders>
              <w:top w:val="single" w:sz="12" w:space="0" w:color="auto"/>
              <w:left w:val="nil"/>
              <w:right w:val="nil"/>
            </w:tcBorders>
            <w:shd w:val="clear" w:color="auto" w:fill="auto"/>
            <w:vAlign w:val="bottom"/>
          </w:tcPr>
          <w:p w14:paraId="4CA0E34B" w14:textId="1F44E2D0" w:rsidR="009374C8" w:rsidRPr="00537128" w:rsidRDefault="009374C8" w:rsidP="009374C8">
            <w:pPr>
              <w:tabs>
                <w:tab w:val="right" w:pos="1202"/>
              </w:tabs>
              <w:spacing w:after="0" w:line="240" w:lineRule="auto"/>
              <w:jc w:val="right"/>
              <w:outlineLvl w:val="0"/>
              <w:rPr>
                <w:rFonts w:ascii="Calibri" w:eastAsia="Calibri" w:hAnsi="Calibri" w:cs="Calibri"/>
                <w:color w:val="000000"/>
                <w:sz w:val="20"/>
                <w:szCs w:val="20"/>
                <w:lang w:val="en-US"/>
              </w:rPr>
            </w:pPr>
            <w:r w:rsidRPr="00E85437">
              <w:rPr>
                <w:rFonts w:ascii="Calibri" w:eastAsia="Calibri" w:hAnsi="Calibri" w:cs="Calibri"/>
                <w:color w:val="000000" w:themeColor="text1"/>
                <w:sz w:val="20"/>
                <w:szCs w:val="20"/>
              </w:rPr>
              <w:t>62</w:t>
            </w:r>
            <w:r>
              <w:rPr>
                <w:rFonts w:ascii="Calibri" w:eastAsia="Calibri" w:hAnsi="Calibri" w:cs="Calibri"/>
                <w:color w:val="000000" w:themeColor="text1"/>
                <w:sz w:val="20"/>
                <w:szCs w:val="20"/>
              </w:rPr>
              <w:t>,</w:t>
            </w:r>
            <w:r w:rsidRPr="00E85437">
              <w:rPr>
                <w:rFonts w:ascii="Calibri" w:eastAsia="Calibri" w:hAnsi="Calibri" w:cs="Calibri"/>
                <w:color w:val="000000" w:themeColor="text1"/>
                <w:sz w:val="20"/>
                <w:szCs w:val="20"/>
              </w:rPr>
              <w:t>500</w:t>
            </w:r>
          </w:p>
        </w:tc>
        <w:tc>
          <w:tcPr>
            <w:tcW w:w="747" w:type="pct"/>
            <w:tcBorders>
              <w:top w:val="single" w:sz="12" w:space="0" w:color="auto"/>
              <w:left w:val="nil"/>
              <w:right w:val="nil"/>
            </w:tcBorders>
            <w:shd w:val="clear" w:color="auto" w:fill="auto"/>
            <w:vAlign w:val="bottom"/>
          </w:tcPr>
          <w:p w14:paraId="533C8BE9" w14:textId="764BAC9A" w:rsidR="009374C8" w:rsidRPr="00537128" w:rsidRDefault="009374C8" w:rsidP="009374C8">
            <w:pPr>
              <w:tabs>
                <w:tab w:val="right" w:pos="1202"/>
              </w:tabs>
              <w:spacing w:after="0" w:line="240" w:lineRule="auto"/>
              <w:jc w:val="right"/>
              <w:outlineLvl w:val="0"/>
              <w:rPr>
                <w:rFonts w:ascii="Calibri" w:eastAsia="Calibri" w:hAnsi="Calibri" w:cs="Arial"/>
                <w:bCs/>
                <w:noProof/>
                <w:sz w:val="20"/>
                <w:szCs w:val="20"/>
                <w:lang w:val="en-US"/>
              </w:rPr>
            </w:pPr>
            <w:r>
              <w:rPr>
                <w:rFonts w:ascii="Calibri" w:eastAsia="Calibri" w:hAnsi="Calibri" w:cs="Calibri"/>
                <w:color w:val="000000"/>
                <w:sz w:val="20"/>
                <w:szCs w:val="20"/>
              </w:rPr>
              <w:t>60,716</w:t>
            </w:r>
          </w:p>
        </w:tc>
        <w:tc>
          <w:tcPr>
            <w:tcW w:w="746" w:type="pct"/>
            <w:tcBorders>
              <w:top w:val="single" w:sz="12" w:space="0" w:color="auto"/>
              <w:left w:val="nil"/>
              <w:right w:val="nil"/>
            </w:tcBorders>
            <w:vAlign w:val="bottom"/>
            <w:hideMark/>
          </w:tcPr>
          <w:p w14:paraId="54D0576A" w14:textId="02D128C4" w:rsidR="009374C8" w:rsidRPr="00537128" w:rsidRDefault="009374C8" w:rsidP="009374C8">
            <w:pPr>
              <w:tabs>
                <w:tab w:val="right" w:pos="1202"/>
              </w:tabs>
              <w:spacing w:after="0" w:line="240" w:lineRule="auto"/>
              <w:jc w:val="right"/>
              <w:outlineLvl w:val="0"/>
              <w:rPr>
                <w:rFonts w:ascii="Calibri" w:eastAsia="Calibri" w:hAnsi="Calibri" w:cs="Arial"/>
                <w:bCs/>
                <w:noProof/>
                <w:sz w:val="20"/>
                <w:szCs w:val="20"/>
                <w:lang w:val="en-US"/>
              </w:rPr>
            </w:pPr>
            <w:r w:rsidRPr="00E85437">
              <w:rPr>
                <w:rFonts w:ascii="Calibri" w:eastAsia="Calibri" w:hAnsi="Calibri" w:cs="Calibri"/>
                <w:color w:val="000000" w:themeColor="text1"/>
                <w:sz w:val="20"/>
                <w:szCs w:val="20"/>
              </w:rPr>
              <w:t>62</w:t>
            </w:r>
            <w:r>
              <w:rPr>
                <w:rFonts w:ascii="Calibri" w:eastAsia="Calibri" w:hAnsi="Calibri" w:cs="Calibri"/>
                <w:color w:val="000000" w:themeColor="text1"/>
                <w:sz w:val="20"/>
                <w:szCs w:val="20"/>
              </w:rPr>
              <w:t>,</w:t>
            </w:r>
            <w:r w:rsidRPr="00E85437">
              <w:rPr>
                <w:rFonts w:ascii="Calibri" w:eastAsia="Calibri" w:hAnsi="Calibri" w:cs="Calibri"/>
                <w:color w:val="000000" w:themeColor="text1"/>
                <w:sz w:val="20"/>
                <w:szCs w:val="20"/>
              </w:rPr>
              <w:t>240</w:t>
            </w:r>
          </w:p>
        </w:tc>
      </w:tr>
      <w:tr w:rsidR="009374C8" w:rsidRPr="00537128" w14:paraId="2C22A820" w14:textId="77777777" w:rsidTr="0064116C">
        <w:trPr>
          <w:trHeight w:val="312"/>
        </w:trPr>
        <w:tc>
          <w:tcPr>
            <w:tcW w:w="2013" w:type="pct"/>
            <w:vAlign w:val="bottom"/>
            <w:hideMark/>
          </w:tcPr>
          <w:p w14:paraId="09DA1C27" w14:textId="5CEC5335" w:rsidR="009374C8" w:rsidRPr="00537128" w:rsidRDefault="009374C8" w:rsidP="009374C8">
            <w:pPr>
              <w:tabs>
                <w:tab w:val="right" w:pos="1202"/>
              </w:tabs>
              <w:spacing w:after="0" w:line="240" w:lineRule="auto"/>
              <w:outlineLvl w:val="0"/>
              <w:rPr>
                <w:rFonts w:ascii="Calibri" w:eastAsia="Calibri" w:hAnsi="Calibri" w:cs="Arial"/>
                <w:noProof/>
                <w:sz w:val="20"/>
                <w:szCs w:val="20"/>
                <w:lang w:val="en-US"/>
              </w:rPr>
            </w:pPr>
            <w:r w:rsidRPr="00537128">
              <w:rPr>
                <w:rFonts w:ascii="Calibri" w:eastAsia="Calibri" w:hAnsi="Calibri" w:cs="Arial"/>
                <w:noProof/>
                <w:sz w:val="20"/>
                <w:szCs w:val="20"/>
                <w:lang w:val="en-US"/>
              </w:rPr>
              <w:t>Net (release) of loss allowances on other liabilities</w:t>
            </w:r>
          </w:p>
        </w:tc>
        <w:tc>
          <w:tcPr>
            <w:tcW w:w="747" w:type="pct"/>
            <w:tcBorders>
              <w:left w:val="nil"/>
              <w:bottom w:val="single" w:sz="4" w:space="0" w:color="auto"/>
              <w:right w:val="nil"/>
            </w:tcBorders>
            <w:shd w:val="clear" w:color="auto" w:fill="auto"/>
            <w:vAlign w:val="bottom"/>
          </w:tcPr>
          <w:p w14:paraId="0F76C2F6" w14:textId="29F47852" w:rsidR="009374C8" w:rsidRPr="00537128" w:rsidRDefault="00B02923" w:rsidP="009374C8">
            <w:pPr>
              <w:tabs>
                <w:tab w:val="right" w:pos="1202"/>
              </w:tabs>
              <w:spacing w:after="0" w:line="240" w:lineRule="auto"/>
              <w:jc w:val="right"/>
              <w:outlineLvl w:val="0"/>
              <w:rPr>
                <w:rFonts w:ascii="Calibri" w:eastAsia="Calibri" w:hAnsi="Calibri" w:cs="Calibri"/>
                <w:color w:val="000000"/>
                <w:sz w:val="20"/>
                <w:szCs w:val="20"/>
                <w:lang w:val="en-US"/>
              </w:rPr>
            </w:pPr>
            <w:r>
              <w:rPr>
                <w:rFonts w:ascii="Calibri" w:eastAsia="Calibri" w:hAnsi="Calibri" w:cs="Calibri"/>
                <w:color w:val="000000"/>
                <w:sz w:val="20"/>
                <w:szCs w:val="20"/>
                <w:lang w:val="en-US"/>
              </w:rPr>
              <w:t>(415)</w:t>
            </w:r>
          </w:p>
        </w:tc>
        <w:tc>
          <w:tcPr>
            <w:tcW w:w="747" w:type="pct"/>
            <w:tcBorders>
              <w:left w:val="nil"/>
              <w:bottom w:val="single" w:sz="4" w:space="0" w:color="auto"/>
              <w:right w:val="nil"/>
            </w:tcBorders>
            <w:shd w:val="clear" w:color="auto" w:fill="auto"/>
            <w:vAlign w:val="bottom"/>
          </w:tcPr>
          <w:p w14:paraId="5A221315" w14:textId="3106F4F2" w:rsidR="009374C8" w:rsidRPr="00537128" w:rsidRDefault="009374C8" w:rsidP="009374C8">
            <w:pPr>
              <w:tabs>
                <w:tab w:val="right" w:pos="1202"/>
              </w:tabs>
              <w:spacing w:after="0" w:line="240" w:lineRule="auto"/>
              <w:jc w:val="right"/>
              <w:outlineLvl w:val="0"/>
              <w:rPr>
                <w:rFonts w:ascii="Calibri" w:eastAsia="Calibri" w:hAnsi="Calibri" w:cs="Calibri"/>
                <w:color w:val="000000"/>
                <w:sz w:val="20"/>
                <w:szCs w:val="20"/>
                <w:lang w:val="en-US"/>
              </w:rPr>
            </w:pPr>
            <w:r w:rsidRPr="00E85437">
              <w:rPr>
                <w:rFonts w:ascii="Calibri" w:eastAsia="Calibri" w:hAnsi="Calibri" w:cs="Calibri"/>
                <w:color w:val="000000" w:themeColor="text1"/>
                <w:sz w:val="20"/>
                <w:szCs w:val="20"/>
              </w:rPr>
              <w:t>(2</w:t>
            </w:r>
            <w:r>
              <w:rPr>
                <w:rFonts w:ascii="Calibri" w:eastAsia="Calibri" w:hAnsi="Calibri" w:cs="Calibri"/>
                <w:color w:val="000000" w:themeColor="text1"/>
                <w:sz w:val="20"/>
                <w:szCs w:val="20"/>
              </w:rPr>
              <w:t>,</w:t>
            </w:r>
            <w:r w:rsidRPr="00E85437">
              <w:rPr>
                <w:rFonts w:ascii="Calibri" w:eastAsia="Calibri" w:hAnsi="Calibri" w:cs="Calibri"/>
                <w:color w:val="000000" w:themeColor="text1"/>
                <w:sz w:val="20"/>
                <w:szCs w:val="20"/>
              </w:rPr>
              <w:t>358)</w:t>
            </w:r>
          </w:p>
        </w:tc>
        <w:tc>
          <w:tcPr>
            <w:tcW w:w="747" w:type="pct"/>
            <w:tcBorders>
              <w:left w:val="nil"/>
              <w:bottom w:val="single" w:sz="4" w:space="0" w:color="auto"/>
              <w:right w:val="nil"/>
            </w:tcBorders>
            <w:shd w:val="clear" w:color="auto" w:fill="auto"/>
            <w:vAlign w:val="bottom"/>
          </w:tcPr>
          <w:p w14:paraId="684303EA" w14:textId="0434B459" w:rsidR="009374C8" w:rsidRPr="00537128" w:rsidRDefault="009374C8" w:rsidP="009374C8">
            <w:pPr>
              <w:tabs>
                <w:tab w:val="right" w:pos="1202"/>
              </w:tabs>
              <w:spacing w:after="0" w:line="240" w:lineRule="auto"/>
              <w:jc w:val="right"/>
              <w:outlineLvl w:val="0"/>
              <w:rPr>
                <w:rFonts w:ascii="Calibri" w:eastAsia="Calibri" w:hAnsi="Calibri" w:cs="Calibri"/>
                <w:color w:val="000000"/>
                <w:sz w:val="20"/>
                <w:szCs w:val="20"/>
                <w:lang w:val="en-US"/>
              </w:rPr>
            </w:pPr>
            <w:r>
              <w:rPr>
                <w:rFonts w:ascii="Calibri" w:eastAsia="Calibri" w:hAnsi="Calibri" w:cs="Calibri"/>
                <w:color w:val="000000"/>
                <w:sz w:val="20"/>
                <w:szCs w:val="20"/>
              </w:rPr>
              <w:t>(415)</w:t>
            </w:r>
          </w:p>
        </w:tc>
        <w:tc>
          <w:tcPr>
            <w:tcW w:w="746" w:type="pct"/>
            <w:tcBorders>
              <w:left w:val="nil"/>
              <w:bottom w:val="single" w:sz="4" w:space="0" w:color="auto"/>
              <w:right w:val="nil"/>
            </w:tcBorders>
            <w:vAlign w:val="bottom"/>
            <w:hideMark/>
          </w:tcPr>
          <w:p w14:paraId="6DFA0870" w14:textId="72C65C56" w:rsidR="009374C8" w:rsidRPr="00537128" w:rsidRDefault="009374C8" w:rsidP="009374C8">
            <w:pPr>
              <w:tabs>
                <w:tab w:val="right" w:pos="1202"/>
              </w:tabs>
              <w:spacing w:after="0" w:line="240" w:lineRule="auto"/>
              <w:jc w:val="right"/>
              <w:outlineLvl w:val="0"/>
              <w:rPr>
                <w:rFonts w:ascii="Calibri" w:eastAsia="Calibri" w:hAnsi="Calibri" w:cs="Arial"/>
                <w:bCs/>
                <w:noProof/>
                <w:sz w:val="20"/>
                <w:szCs w:val="20"/>
                <w:lang w:val="en-US"/>
              </w:rPr>
            </w:pPr>
            <w:r w:rsidRPr="00E85437">
              <w:rPr>
                <w:rFonts w:ascii="Calibri" w:eastAsia="Calibri" w:hAnsi="Calibri" w:cs="Calibri"/>
                <w:color w:val="000000" w:themeColor="text1"/>
                <w:sz w:val="20"/>
                <w:szCs w:val="20"/>
              </w:rPr>
              <w:t>(2</w:t>
            </w:r>
            <w:r>
              <w:rPr>
                <w:rFonts w:ascii="Calibri" w:eastAsia="Calibri" w:hAnsi="Calibri" w:cs="Calibri"/>
                <w:color w:val="000000" w:themeColor="text1"/>
                <w:sz w:val="20"/>
                <w:szCs w:val="20"/>
              </w:rPr>
              <w:t>,</w:t>
            </w:r>
            <w:r w:rsidRPr="00E85437">
              <w:rPr>
                <w:rFonts w:ascii="Calibri" w:eastAsia="Calibri" w:hAnsi="Calibri" w:cs="Calibri"/>
                <w:color w:val="000000" w:themeColor="text1"/>
                <w:sz w:val="20"/>
                <w:szCs w:val="20"/>
              </w:rPr>
              <w:t>355)</w:t>
            </w:r>
          </w:p>
        </w:tc>
      </w:tr>
      <w:tr w:rsidR="009374C8" w:rsidRPr="00537128" w14:paraId="11B44241" w14:textId="77777777" w:rsidTr="0064116C">
        <w:trPr>
          <w:trHeight w:val="312"/>
        </w:trPr>
        <w:tc>
          <w:tcPr>
            <w:tcW w:w="2013" w:type="pct"/>
            <w:vAlign w:val="bottom"/>
            <w:hideMark/>
          </w:tcPr>
          <w:p w14:paraId="48989BC8" w14:textId="5C94BCD4" w:rsidR="009374C8" w:rsidRPr="00537128" w:rsidRDefault="009374C8" w:rsidP="009374C8">
            <w:pPr>
              <w:tabs>
                <w:tab w:val="right" w:pos="1202"/>
              </w:tabs>
              <w:spacing w:after="0" w:line="240" w:lineRule="auto"/>
              <w:outlineLvl w:val="0"/>
              <w:rPr>
                <w:rFonts w:ascii="Calibri" w:eastAsia="Calibri" w:hAnsi="Calibri" w:cs="Calibri"/>
                <w:i/>
                <w:noProof/>
                <w:sz w:val="20"/>
                <w:szCs w:val="20"/>
                <w:lang w:val="en-US"/>
              </w:rPr>
            </w:pPr>
            <w:r w:rsidRPr="00537128">
              <w:rPr>
                <w:rFonts w:ascii="Calibri" w:eastAsia="Calibri" w:hAnsi="Calibri" w:cs="Calibri"/>
                <w:i/>
                <w:noProof/>
                <w:sz w:val="20"/>
                <w:szCs w:val="20"/>
                <w:lang w:val="en-US"/>
              </w:rPr>
              <w:t xml:space="preserve">Total recognised through Income </w:t>
            </w:r>
            <w:r w:rsidRPr="00B12851">
              <w:rPr>
                <w:rFonts w:ascii="Calibri" w:eastAsia="Calibri" w:hAnsi="Calibri" w:cs="Calibri"/>
                <w:i/>
                <w:noProof/>
                <w:sz w:val="20"/>
                <w:szCs w:val="20"/>
                <w:lang w:val="en-US"/>
              </w:rPr>
              <w:t xml:space="preserve">Statement </w:t>
            </w:r>
            <w:r w:rsidRPr="00A1123E">
              <w:rPr>
                <w:rFonts w:ascii="Calibri" w:eastAsia="Calibri" w:hAnsi="Calibri" w:cs="Calibri"/>
                <w:i/>
                <w:noProof/>
                <w:sz w:val="20"/>
                <w:szCs w:val="20"/>
                <w:lang w:val="en-US"/>
              </w:rPr>
              <w:t>(Note 8</w:t>
            </w:r>
            <w:r w:rsidRPr="00B12851">
              <w:rPr>
                <w:rFonts w:ascii="Calibri" w:eastAsia="Calibri" w:hAnsi="Calibri" w:cs="Calibri"/>
                <w:i/>
                <w:noProof/>
                <w:sz w:val="20"/>
                <w:szCs w:val="20"/>
                <w:lang w:val="en-US"/>
              </w:rPr>
              <w:t>)</w:t>
            </w:r>
          </w:p>
        </w:tc>
        <w:tc>
          <w:tcPr>
            <w:tcW w:w="747" w:type="pct"/>
            <w:tcBorders>
              <w:top w:val="single" w:sz="4" w:space="0" w:color="auto"/>
              <w:left w:val="nil"/>
              <w:bottom w:val="single" w:sz="4" w:space="0" w:color="auto"/>
              <w:right w:val="nil"/>
            </w:tcBorders>
            <w:shd w:val="clear" w:color="auto" w:fill="auto"/>
            <w:vAlign w:val="bottom"/>
          </w:tcPr>
          <w:p w14:paraId="219D1E6D" w14:textId="21500A91" w:rsidR="009374C8" w:rsidRPr="00537128" w:rsidRDefault="00B02923" w:rsidP="009374C8">
            <w:pPr>
              <w:tabs>
                <w:tab w:val="right" w:pos="1202"/>
              </w:tabs>
              <w:spacing w:after="0" w:line="240" w:lineRule="auto"/>
              <w:jc w:val="right"/>
              <w:outlineLvl w:val="0"/>
              <w:rPr>
                <w:rFonts w:ascii="Calibri" w:eastAsia="Calibri" w:hAnsi="Calibri" w:cs="Calibri"/>
                <w:i/>
                <w:color w:val="000000"/>
                <w:sz w:val="20"/>
                <w:szCs w:val="20"/>
                <w:lang w:val="en-US"/>
              </w:rPr>
            </w:pPr>
            <w:r>
              <w:rPr>
                <w:rFonts w:ascii="Calibri" w:eastAsia="Calibri" w:hAnsi="Calibri" w:cs="Calibri"/>
                <w:i/>
                <w:color w:val="000000"/>
                <w:sz w:val="20"/>
                <w:szCs w:val="20"/>
                <w:lang w:val="en-US"/>
              </w:rPr>
              <w:t>(415)</w:t>
            </w:r>
          </w:p>
        </w:tc>
        <w:tc>
          <w:tcPr>
            <w:tcW w:w="747" w:type="pct"/>
            <w:tcBorders>
              <w:top w:val="single" w:sz="4" w:space="0" w:color="auto"/>
              <w:left w:val="nil"/>
              <w:bottom w:val="single" w:sz="4" w:space="0" w:color="auto"/>
              <w:right w:val="nil"/>
            </w:tcBorders>
            <w:shd w:val="clear" w:color="auto" w:fill="auto"/>
            <w:vAlign w:val="bottom"/>
          </w:tcPr>
          <w:p w14:paraId="23A4FC1D" w14:textId="7ABFC9C0" w:rsidR="009374C8" w:rsidRPr="00537128" w:rsidRDefault="009374C8" w:rsidP="009374C8">
            <w:pPr>
              <w:tabs>
                <w:tab w:val="right" w:pos="1202"/>
              </w:tabs>
              <w:spacing w:after="0" w:line="240" w:lineRule="auto"/>
              <w:jc w:val="right"/>
              <w:outlineLvl w:val="0"/>
              <w:rPr>
                <w:rFonts w:ascii="Calibri" w:eastAsia="Calibri" w:hAnsi="Calibri" w:cs="Calibri"/>
                <w:i/>
                <w:color w:val="000000"/>
                <w:sz w:val="20"/>
                <w:szCs w:val="20"/>
                <w:lang w:val="en-US"/>
              </w:rPr>
            </w:pPr>
            <w:r w:rsidRPr="00E85437">
              <w:rPr>
                <w:rFonts w:ascii="Calibri" w:eastAsia="Calibri" w:hAnsi="Calibri" w:cs="Calibri"/>
                <w:i/>
                <w:color w:val="000000" w:themeColor="text1"/>
                <w:sz w:val="20"/>
                <w:szCs w:val="20"/>
              </w:rPr>
              <w:t>(2</w:t>
            </w:r>
            <w:r>
              <w:rPr>
                <w:rFonts w:ascii="Calibri" w:eastAsia="Calibri" w:hAnsi="Calibri" w:cs="Calibri"/>
                <w:i/>
                <w:color w:val="000000" w:themeColor="text1"/>
                <w:sz w:val="20"/>
                <w:szCs w:val="20"/>
              </w:rPr>
              <w:t>,</w:t>
            </w:r>
            <w:r w:rsidRPr="00E85437">
              <w:rPr>
                <w:rFonts w:ascii="Calibri" w:eastAsia="Calibri" w:hAnsi="Calibri" w:cs="Calibri"/>
                <w:i/>
                <w:color w:val="000000" w:themeColor="text1"/>
                <w:sz w:val="20"/>
                <w:szCs w:val="20"/>
              </w:rPr>
              <w:t>358)</w:t>
            </w:r>
          </w:p>
        </w:tc>
        <w:tc>
          <w:tcPr>
            <w:tcW w:w="747" w:type="pct"/>
            <w:tcBorders>
              <w:top w:val="single" w:sz="4" w:space="0" w:color="auto"/>
              <w:left w:val="nil"/>
              <w:bottom w:val="single" w:sz="4" w:space="0" w:color="auto"/>
              <w:right w:val="nil"/>
            </w:tcBorders>
            <w:shd w:val="clear" w:color="auto" w:fill="auto"/>
            <w:vAlign w:val="bottom"/>
          </w:tcPr>
          <w:p w14:paraId="0B68A713" w14:textId="74F76BDB" w:rsidR="009374C8" w:rsidRPr="00537128" w:rsidRDefault="009374C8" w:rsidP="009374C8">
            <w:pPr>
              <w:tabs>
                <w:tab w:val="right" w:pos="1202"/>
              </w:tabs>
              <w:spacing w:after="0" w:line="240" w:lineRule="auto"/>
              <w:jc w:val="right"/>
              <w:outlineLvl w:val="0"/>
              <w:rPr>
                <w:rFonts w:ascii="Calibri" w:eastAsia="Calibri" w:hAnsi="Calibri" w:cs="Arial"/>
                <w:bCs/>
                <w:i/>
                <w:noProof/>
                <w:sz w:val="20"/>
                <w:szCs w:val="20"/>
                <w:lang w:val="en-US"/>
              </w:rPr>
            </w:pPr>
            <w:r>
              <w:rPr>
                <w:rFonts w:ascii="Calibri" w:eastAsia="Calibri" w:hAnsi="Calibri" w:cs="Calibri"/>
                <w:i/>
                <w:color w:val="000000"/>
                <w:sz w:val="20"/>
                <w:szCs w:val="20"/>
              </w:rPr>
              <w:t>(415)</w:t>
            </w:r>
          </w:p>
        </w:tc>
        <w:tc>
          <w:tcPr>
            <w:tcW w:w="746" w:type="pct"/>
            <w:tcBorders>
              <w:top w:val="single" w:sz="4" w:space="0" w:color="auto"/>
              <w:left w:val="nil"/>
              <w:bottom w:val="single" w:sz="4" w:space="0" w:color="auto"/>
              <w:right w:val="nil"/>
            </w:tcBorders>
            <w:vAlign w:val="bottom"/>
            <w:hideMark/>
          </w:tcPr>
          <w:p w14:paraId="48DE42C4" w14:textId="19DDF840" w:rsidR="009374C8" w:rsidRPr="00537128" w:rsidRDefault="009374C8" w:rsidP="009374C8">
            <w:pPr>
              <w:tabs>
                <w:tab w:val="right" w:pos="1202"/>
              </w:tabs>
              <w:spacing w:after="0" w:line="240" w:lineRule="auto"/>
              <w:jc w:val="right"/>
              <w:outlineLvl w:val="0"/>
              <w:rPr>
                <w:rFonts w:ascii="Calibri" w:eastAsia="Calibri" w:hAnsi="Calibri" w:cs="Arial"/>
                <w:bCs/>
                <w:i/>
                <w:noProof/>
                <w:sz w:val="20"/>
                <w:szCs w:val="20"/>
                <w:lang w:val="en-US"/>
              </w:rPr>
            </w:pPr>
            <w:r w:rsidRPr="00E85437">
              <w:rPr>
                <w:rFonts w:ascii="Calibri" w:eastAsia="Calibri" w:hAnsi="Calibri" w:cs="Calibri"/>
                <w:i/>
                <w:color w:val="000000" w:themeColor="text1"/>
                <w:sz w:val="20"/>
                <w:szCs w:val="20"/>
              </w:rPr>
              <w:t>(2</w:t>
            </w:r>
            <w:r>
              <w:rPr>
                <w:rFonts w:ascii="Calibri" w:eastAsia="Calibri" w:hAnsi="Calibri" w:cs="Calibri"/>
                <w:i/>
                <w:color w:val="000000" w:themeColor="text1"/>
                <w:sz w:val="20"/>
                <w:szCs w:val="20"/>
              </w:rPr>
              <w:t>,</w:t>
            </w:r>
            <w:r w:rsidRPr="00E85437">
              <w:rPr>
                <w:rFonts w:ascii="Calibri" w:eastAsia="Calibri" w:hAnsi="Calibri" w:cs="Calibri"/>
                <w:i/>
                <w:color w:val="000000" w:themeColor="text1"/>
                <w:sz w:val="20"/>
                <w:szCs w:val="20"/>
              </w:rPr>
              <w:t>355)</w:t>
            </w:r>
          </w:p>
        </w:tc>
      </w:tr>
      <w:tr w:rsidR="009374C8" w:rsidRPr="00537128" w14:paraId="321053AD" w14:textId="77777777" w:rsidTr="0064116C">
        <w:trPr>
          <w:trHeight w:val="312"/>
        </w:trPr>
        <w:tc>
          <w:tcPr>
            <w:tcW w:w="2013" w:type="pct"/>
            <w:vAlign w:val="bottom"/>
            <w:hideMark/>
          </w:tcPr>
          <w:p w14:paraId="4B5E846A" w14:textId="77777777" w:rsidR="009374C8" w:rsidRPr="00537128" w:rsidRDefault="009374C8" w:rsidP="009374C8">
            <w:pPr>
              <w:tabs>
                <w:tab w:val="right" w:pos="1202"/>
              </w:tabs>
              <w:spacing w:after="0" w:line="240" w:lineRule="auto"/>
              <w:outlineLvl w:val="0"/>
              <w:rPr>
                <w:rFonts w:ascii="Calibri" w:eastAsia="Calibri" w:hAnsi="Calibri" w:cs="Calibri"/>
                <w:noProof/>
                <w:sz w:val="20"/>
                <w:szCs w:val="20"/>
                <w:lang w:val="en-US"/>
              </w:rPr>
            </w:pPr>
            <w:r w:rsidRPr="00537128">
              <w:rPr>
                <w:rFonts w:ascii="Calibri" w:eastAsia="Calibri" w:hAnsi="Calibri" w:cs="Calibri"/>
                <w:noProof/>
                <w:sz w:val="20"/>
                <w:szCs w:val="20"/>
                <w:lang w:val="en-US"/>
              </w:rPr>
              <w:t>Unrealized actuarial gains/(losses)</w:t>
            </w:r>
          </w:p>
        </w:tc>
        <w:tc>
          <w:tcPr>
            <w:tcW w:w="747" w:type="pct"/>
            <w:tcBorders>
              <w:top w:val="single" w:sz="4" w:space="0" w:color="auto"/>
              <w:left w:val="nil"/>
              <w:bottom w:val="single" w:sz="4" w:space="0" w:color="auto"/>
              <w:right w:val="nil"/>
            </w:tcBorders>
            <w:shd w:val="clear" w:color="auto" w:fill="auto"/>
            <w:vAlign w:val="bottom"/>
          </w:tcPr>
          <w:p w14:paraId="040AB752" w14:textId="3C53368C" w:rsidR="009374C8" w:rsidRPr="00537128" w:rsidRDefault="00A31510" w:rsidP="009374C8">
            <w:pPr>
              <w:tabs>
                <w:tab w:val="right" w:pos="1202"/>
              </w:tabs>
              <w:spacing w:after="0" w:line="240" w:lineRule="auto"/>
              <w:jc w:val="right"/>
              <w:outlineLvl w:val="0"/>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747" w:type="pct"/>
            <w:tcBorders>
              <w:top w:val="single" w:sz="4" w:space="0" w:color="auto"/>
              <w:left w:val="nil"/>
              <w:right w:val="nil"/>
            </w:tcBorders>
            <w:shd w:val="clear" w:color="auto" w:fill="auto"/>
            <w:vAlign w:val="bottom"/>
          </w:tcPr>
          <w:p w14:paraId="2A276BFA" w14:textId="67A1896C" w:rsidR="009374C8" w:rsidRPr="00537128" w:rsidRDefault="009374C8" w:rsidP="009374C8">
            <w:pPr>
              <w:tabs>
                <w:tab w:val="right" w:pos="1202"/>
              </w:tabs>
              <w:spacing w:after="0" w:line="240" w:lineRule="auto"/>
              <w:jc w:val="right"/>
              <w:outlineLvl w:val="0"/>
              <w:rPr>
                <w:rFonts w:ascii="Calibri" w:eastAsia="Calibri" w:hAnsi="Calibri" w:cs="Calibri"/>
                <w:color w:val="000000"/>
                <w:sz w:val="20"/>
                <w:szCs w:val="20"/>
                <w:lang w:val="en-US"/>
              </w:rPr>
            </w:pPr>
            <w:r w:rsidRPr="00E85437">
              <w:rPr>
                <w:rFonts w:ascii="Calibri" w:eastAsia="Calibri" w:hAnsi="Calibri" w:cs="Calibri"/>
                <w:color w:val="000000" w:themeColor="text1"/>
                <w:sz w:val="20"/>
                <w:szCs w:val="20"/>
              </w:rPr>
              <w:t>831</w:t>
            </w:r>
          </w:p>
        </w:tc>
        <w:tc>
          <w:tcPr>
            <w:tcW w:w="747" w:type="pct"/>
            <w:tcBorders>
              <w:top w:val="single" w:sz="4" w:space="0" w:color="auto"/>
              <w:left w:val="nil"/>
              <w:bottom w:val="single" w:sz="4" w:space="0" w:color="auto"/>
              <w:right w:val="nil"/>
            </w:tcBorders>
            <w:shd w:val="clear" w:color="auto" w:fill="auto"/>
            <w:vAlign w:val="bottom"/>
          </w:tcPr>
          <w:p w14:paraId="45662F96" w14:textId="52F1B33C" w:rsidR="009374C8" w:rsidRPr="00537128" w:rsidRDefault="009374C8" w:rsidP="009374C8">
            <w:pPr>
              <w:tabs>
                <w:tab w:val="right" w:pos="1202"/>
              </w:tabs>
              <w:spacing w:after="0" w:line="240" w:lineRule="auto"/>
              <w:jc w:val="right"/>
              <w:outlineLvl w:val="0"/>
              <w:rPr>
                <w:rFonts w:ascii="Calibri" w:eastAsia="Calibri" w:hAnsi="Calibri" w:cs="Arial"/>
                <w:bCs/>
                <w:noProof/>
                <w:sz w:val="20"/>
                <w:szCs w:val="20"/>
                <w:lang w:val="en-US"/>
              </w:rPr>
            </w:pPr>
            <w:r>
              <w:rPr>
                <w:rFonts w:ascii="Calibri" w:eastAsia="Calibri" w:hAnsi="Calibri" w:cs="Calibri"/>
                <w:color w:val="000000"/>
                <w:sz w:val="20"/>
                <w:szCs w:val="20"/>
              </w:rPr>
              <w:t>-</w:t>
            </w:r>
          </w:p>
        </w:tc>
        <w:tc>
          <w:tcPr>
            <w:tcW w:w="746" w:type="pct"/>
            <w:tcBorders>
              <w:top w:val="single" w:sz="4" w:space="0" w:color="auto"/>
              <w:left w:val="nil"/>
              <w:right w:val="nil"/>
            </w:tcBorders>
            <w:vAlign w:val="bottom"/>
            <w:hideMark/>
          </w:tcPr>
          <w:p w14:paraId="7C3C5831" w14:textId="2B4DEFDF" w:rsidR="009374C8" w:rsidRPr="00537128" w:rsidRDefault="009374C8" w:rsidP="009374C8">
            <w:pPr>
              <w:tabs>
                <w:tab w:val="right" w:pos="1202"/>
              </w:tabs>
              <w:spacing w:after="0" w:line="240" w:lineRule="auto"/>
              <w:jc w:val="right"/>
              <w:outlineLvl w:val="0"/>
              <w:rPr>
                <w:rFonts w:ascii="Calibri" w:eastAsia="Calibri" w:hAnsi="Calibri" w:cs="Arial"/>
                <w:bCs/>
                <w:noProof/>
                <w:sz w:val="20"/>
                <w:szCs w:val="20"/>
                <w:lang w:val="en-US"/>
              </w:rPr>
            </w:pPr>
            <w:r w:rsidRPr="00E85437">
              <w:rPr>
                <w:rFonts w:ascii="Calibri" w:eastAsia="Calibri" w:hAnsi="Calibri" w:cs="Calibri"/>
                <w:color w:val="000000" w:themeColor="text1"/>
                <w:sz w:val="20"/>
                <w:szCs w:val="20"/>
              </w:rPr>
              <w:t>831</w:t>
            </w:r>
          </w:p>
        </w:tc>
      </w:tr>
      <w:tr w:rsidR="009374C8" w:rsidRPr="00537128" w14:paraId="3DA2AC2C" w14:textId="77777777" w:rsidTr="0064116C">
        <w:trPr>
          <w:trHeight w:val="312"/>
        </w:trPr>
        <w:tc>
          <w:tcPr>
            <w:tcW w:w="2013" w:type="pct"/>
            <w:vAlign w:val="bottom"/>
            <w:hideMark/>
          </w:tcPr>
          <w:p w14:paraId="3766E1B3" w14:textId="77777777" w:rsidR="009374C8" w:rsidRPr="00537128" w:rsidRDefault="009374C8" w:rsidP="009374C8">
            <w:pPr>
              <w:tabs>
                <w:tab w:val="right" w:pos="1202"/>
              </w:tabs>
              <w:spacing w:after="0" w:line="240" w:lineRule="auto"/>
              <w:outlineLvl w:val="0"/>
              <w:rPr>
                <w:rFonts w:ascii="Calibri" w:eastAsia="Calibri" w:hAnsi="Calibri" w:cs="Arial"/>
                <w:b/>
                <w:bCs/>
                <w:noProof/>
                <w:sz w:val="20"/>
                <w:szCs w:val="20"/>
                <w:lang w:val="en-US"/>
              </w:rPr>
            </w:pPr>
            <w:r w:rsidRPr="00537128">
              <w:rPr>
                <w:rFonts w:ascii="Calibri" w:eastAsia="Calibri" w:hAnsi="Calibri" w:cs="Arial"/>
                <w:b/>
                <w:noProof/>
                <w:sz w:val="20"/>
                <w:szCs w:val="20"/>
                <w:lang w:val="en-US"/>
              </w:rPr>
              <w:t>Balance at the end of the reporting period - Provisions for other liabilities</w:t>
            </w:r>
          </w:p>
        </w:tc>
        <w:tc>
          <w:tcPr>
            <w:tcW w:w="747" w:type="pct"/>
            <w:tcBorders>
              <w:top w:val="single" w:sz="4" w:space="0" w:color="auto"/>
              <w:left w:val="nil"/>
              <w:bottom w:val="single" w:sz="12" w:space="0" w:color="auto"/>
              <w:right w:val="nil"/>
            </w:tcBorders>
            <w:shd w:val="clear" w:color="auto" w:fill="auto"/>
            <w:vAlign w:val="bottom"/>
          </w:tcPr>
          <w:p w14:paraId="00ED5F4E" w14:textId="0BDF8F76" w:rsidR="009374C8" w:rsidRPr="00537128" w:rsidRDefault="00A31510" w:rsidP="009374C8">
            <w:pPr>
              <w:tabs>
                <w:tab w:val="right" w:pos="1202"/>
              </w:tabs>
              <w:spacing w:after="0" w:line="240" w:lineRule="auto"/>
              <w:jc w:val="right"/>
              <w:outlineLvl w:val="0"/>
              <w:rPr>
                <w:rFonts w:ascii="Calibri" w:eastAsia="Calibri" w:hAnsi="Calibri" w:cs="Arial"/>
                <w:b/>
                <w:bCs/>
                <w:noProof/>
                <w:sz w:val="20"/>
                <w:szCs w:val="20"/>
                <w:lang w:val="en-US"/>
              </w:rPr>
            </w:pPr>
            <w:r>
              <w:rPr>
                <w:rFonts w:ascii="Calibri" w:eastAsia="Calibri" w:hAnsi="Calibri" w:cs="Arial"/>
                <w:b/>
                <w:bCs/>
                <w:noProof/>
                <w:sz w:val="20"/>
                <w:szCs w:val="20"/>
                <w:lang w:val="en-US"/>
              </w:rPr>
              <w:t>60</w:t>
            </w:r>
            <w:r w:rsidR="00B935DD">
              <w:rPr>
                <w:rFonts w:ascii="Calibri" w:eastAsia="Calibri" w:hAnsi="Calibri" w:cs="Arial"/>
                <w:b/>
                <w:bCs/>
                <w:noProof/>
                <w:sz w:val="20"/>
                <w:szCs w:val="20"/>
                <w:lang w:val="en-US"/>
              </w:rPr>
              <w:t>,</w:t>
            </w:r>
            <w:r>
              <w:rPr>
                <w:rFonts w:ascii="Calibri" w:eastAsia="Calibri" w:hAnsi="Calibri" w:cs="Arial"/>
                <w:b/>
                <w:bCs/>
                <w:noProof/>
                <w:sz w:val="20"/>
                <w:szCs w:val="20"/>
                <w:lang w:val="en-US"/>
              </w:rPr>
              <w:t>558</w:t>
            </w:r>
          </w:p>
        </w:tc>
        <w:tc>
          <w:tcPr>
            <w:tcW w:w="747" w:type="pct"/>
            <w:tcBorders>
              <w:top w:val="single" w:sz="4" w:space="0" w:color="auto"/>
              <w:left w:val="nil"/>
              <w:bottom w:val="single" w:sz="12" w:space="0" w:color="auto"/>
              <w:right w:val="nil"/>
            </w:tcBorders>
            <w:shd w:val="clear" w:color="auto" w:fill="auto"/>
            <w:vAlign w:val="bottom"/>
          </w:tcPr>
          <w:p w14:paraId="2D6DED8F" w14:textId="7D23B71F" w:rsidR="009374C8" w:rsidRPr="00537128" w:rsidRDefault="009374C8" w:rsidP="009374C8">
            <w:pPr>
              <w:tabs>
                <w:tab w:val="right" w:pos="1202"/>
              </w:tabs>
              <w:spacing w:after="0" w:line="240" w:lineRule="auto"/>
              <w:jc w:val="right"/>
              <w:outlineLvl w:val="0"/>
              <w:rPr>
                <w:rFonts w:ascii="Calibri" w:eastAsia="Calibri" w:hAnsi="Calibri" w:cs="Arial"/>
                <w:b/>
                <w:bCs/>
                <w:noProof/>
                <w:sz w:val="20"/>
                <w:szCs w:val="20"/>
                <w:lang w:val="en-US"/>
              </w:rPr>
            </w:pPr>
            <w:r w:rsidRPr="00E85437">
              <w:rPr>
                <w:rFonts w:ascii="Calibri" w:eastAsia="Calibri" w:hAnsi="Calibri" w:cs="Calibri"/>
                <w:b/>
                <w:color w:val="000000" w:themeColor="text1"/>
                <w:sz w:val="20"/>
                <w:szCs w:val="20"/>
              </w:rPr>
              <w:t>60</w:t>
            </w:r>
            <w:r>
              <w:rPr>
                <w:rFonts w:ascii="Calibri" w:eastAsia="Calibri" w:hAnsi="Calibri" w:cs="Calibri"/>
                <w:b/>
                <w:color w:val="000000" w:themeColor="text1"/>
                <w:sz w:val="20"/>
                <w:szCs w:val="20"/>
              </w:rPr>
              <w:t>,</w:t>
            </w:r>
            <w:r w:rsidRPr="00E85437">
              <w:rPr>
                <w:rFonts w:ascii="Calibri" w:eastAsia="Calibri" w:hAnsi="Calibri" w:cs="Calibri"/>
                <w:b/>
                <w:color w:val="000000" w:themeColor="text1"/>
                <w:sz w:val="20"/>
                <w:szCs w:val="20"/>
              </w:rPr>
              <w:t>973</w:t>
            </w:r>
          </w:p>
        </w:tc>
        <w:tc>
          <w:tcPr>
            <w:tcW w:w="747" w:type="pct"/>
            <w:tcBorders>
              <w:top w:val="single" w:sz="4" w:space="0" w:color="auto"/>
              <w:left w:val="nil"/>
              <w:bottom w:val="single" w:sz="12" w:space="0" w:color="auto"/>
              <w:right w:val="nil"/>
            </w:tcBorders>
            <w:shd w:val="clear" w:color="auto" w:fill="auto"/>
            <w:vAlign w:val="bottom"/>
          </w:tcPr>
          <w:p w14:paraId="6D3F3F98" w14:textId="632D4EC3" w:rsidR="009374C8" w:rsidRPr="00537128" w:rsidRDefault="009374C8" w:rsidP="009374C8">
            <w:pPr>
              <w:tabs>
                <w:tab w:val="right" w:pos="1202"/>
              </w:tabs>
              <w:spacing w:after="0" w:line="240" w:lineRule="auto"/>
              <w:jc w:val="right"/>
              <w:outlineLvl w:val="0"/>
              <w:rPr>
                <w:rFonts w:ascii="Calibri" w:eastAsia="Calibri" w:hAnsi="Calibri" w:cs="Arial"/>
                <w:b/>
                <w:bCs/>
                <w:noProof/>
                <w:sz w:val="20"/>
                <w:szCs w:val="20"/>
                <w:lang w:val="en-US"/>
              </w:rPr>
            </w:pPr>
            <w:r>
              <w:rPr>
                <w:rFonts w:ascii="Calibri" w:eastAsia="Calibri" w:hAnsi="Calibri" w:cs="Calibri"/>
                <w:b/>
                <w:color w:val="000000"/>
                <w:sz w:val="20"/>
                <w:szCs w:val="20"/>
              </w:rPr>
              <w:t>60,301</w:t>
            </w:r>
          </w:p>
        </w:tc>
        <w:tc>
          <w:tcPr>
            <w:tcW w:w="746" w:type="pct"/>
            <w:tcBorders>
              <w:top w:val="single" w:sz="4" w:space="0" w:color="auto"/>
              <w:left w:val="nil"/>
              <w:bottom w:val="single" w:sz="12" w:space="0" w:color="auto"/>
              <w:right w:val="nil"/>
            </w:tcBorders>
            <w:vAlign w:val="bottom"/>
            <w:hideMark/>
          </w:tcPr>
          <w:p w14:paraId="2E779BD9" w14:textId="35709AE5" w:rsidR="009374C8" w:rsidRPr="00537128" w:rsidRDefault="009374C8" w:rsidP="009374C8">
            <w:pPr>
              <w:tabs>
                <w:tab w:val="right" w:pos="1202"/>
              </w:tabs>
              <w:spacing w:after="0" w:line="240" w:lineRule="auto"/>
              <w:jc w:val="right"/>
              <w:outlineLvl w:val="0"/>
              <w:rPr>
                <w:rFonts w:ascii="Calibri" w:eastAsia="Calibri" w:hAnsi="Calibri" w:cs="Arial"/>
                <w:b/>
                <w:bCs/>
                <w:noProof/>
                <w:sz w:val="20"/>
                <w:szCs w:val="20"/>
                <w:lang w:val="en-US"/>
              </w:rPr>
            </w:pPr>
            <w:r w:rsidRPr="00E85437">
              <w:rPr>
                <w:rFonts w:ascii="Calibri" w:eastAsia="Calibri" w:hAnsi="Calibri" w:cs="Calibri"/>
                <w:b/>
                <w:color w:val="000000" w:themeColor="text1"/>
                <w:sz w:val="20"/>
                <w:szCs w:val="20"/>
              </w:rPr>
              <w:t>60</w:t>
            </w:r>
            <w:r>
              <w:rPr>
                <w:rFonts w:ascii="Calibri" w:eastAsia="Calibri" w:hAnsi="Calibri" w:cs="Calibri"/>
                <w:b/>
                <w:color w:val="000000" w:themeColor="text1"/>
                <w:sz w:val="20"/>
                <w:szCs w:val="20"/>
              </w:rPr>
              <w:t>,</w:t>
            </w:r>
            <w:r w:rsidRPr="00E85437">
              <w:rPr>
                <w:rFonts w:ascii="Calibri" w:eastAsia="Calibri" w:hAnsi="Calibri" w:cs="Calibri"/>
                <w:b/>
                <w:color w:val="000000" w:themeColor="text1"/>
                <w:sz w:val="20"/>
                <w:szCs w:val="20"/>
              </w:rPr>
              <w:t>716</w:t>
            </w:r>
          </w:p>
        </w:tc>
      </w:tr>
    </w:tbl>
    <w:p w14:paraId="19E6EBA6" w14:textId="77777777" w:rsidR="0069122F" w:rsidRPr="00D9597A" w:rsidRDefault="0069122F" w:rsidP="00824F81">
      <w:pPr>
        <w:spacing w:after="0" w:line="240" w:lineRule="auto"/>
        <w:jc w:val="both"/>
        <w:rPr>
          <w:rFonts w:ascii="Calibri" w:eastAsia="Times New Roman" w:hAnsi="Calibri" w:cs="Times New Roman"/>
          <w:color w:val="000000" w:themeColor="text1"/>
          <w:sz w:val="16"/>
          <w:szCs w:val="16"/>
          <w:lang w:val="en-US"/>
        </w:rPr>
      </w:pPr>
    </w:p>
    <w:p w14:paraId="123D3312" w14:textId="77777777" w:rsidR="00824F81" w:rsidRPr="00537128" w:rsidRDefault="00824F81" w:rsidP="00824F81">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Net foreign exchange gain/loss on loss allowances are shown within net gains/ (losses) from financial activities in the Income Statement.</w:t>
      </w:r>
    </w:p>
    <w:p w14:paraId="50DCE885" w14:textId="77777777" w:rsidR="008075C2" w:rsidRPr="00D9597A" w:rsidRDefault="008075C2" w:rsidP="00824F81">
      <w:pPr>
        <w:spacing w:after="0" w:line="240" w:lineRule="auto"/>
        <w:jc w:val="both"/>
        <w:rPr>
          <w:rFonts w:ascii="Calibri" w:eastAsia="Times New Roman" w:hAnsi="Calibri" w:cs="Times New Roman"/>
          <w:color w:val="000000" w:themeColor="text1"/>
          <w:sz w:val="16"/>
          <w:szCs w:val="16"/>
          <w:lang w:val="en-US"/>
        </w:rPr>
      </w:pPr>
    </w:p>
    <w:p w14:paraId="45D10BE2" w14:textId="6349C39E" w:rsidR="0037092E" w:rsidRPr="00537128" w:rsidRDefault="0069122F" w:rsidP="00FF5A95">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 xml:space="preserve">Out of the total provisions for guarantees and commitments, the amount of HRK </w:t>
      </w:r>
      <w:r w:rsidR="00213CC4">
        <w:rPr>
          <w:rFonts w:ascii="Calibri" w:eastAsia="Times New Roman" w:hAnsi="Calibri" w:cs="Times New Roman"/>
          <w:color w:val="000000" w:themeColor="text1"/>
          <w:lang w:val="en-US"/>
        </w:rPr>
        <w:t>3,200</w:t>
      </w:r>
      <w:r w:rsidRPr="00FB3362">
        <w:rPr>
          <w:rFonts w:ascii="Calibri" w:eastAsia="Times New Roman" w:hAnsi="Calibri" w:cs="Times New Roman"/>
          <w:color w:val="000000" w:themeColor="text1"/>
          <w:lang w:val="en-US"/>
        </w:rPr>
        <w:t xml:space="preserve"> thous</w:t>
      </w:r>
      <w:r w:rsidRPr="00537128">
        <w:rPr>
          <w:rFonts w:ascii="Calibri" w:eastAsia="Times New Roman" w:hAnsi="Calibri" w:cs="Times New Roman"/>
          <w:color w:val="000000" w:themeColor="text1"/>
          <w:lang w:val="en-US"/>
        </w:rPr>
        <w:t>and relates to financial institutions (31 December 202</w:t>
      </w:r>
      <w:r w:rsidR="00306D18">
        <w:rPr>
          <w:rFonts w:ascii="Calibri" w:eastAsia="Times New Roman" w:hAnsi="Calibri" w:cs="Times New Roman"/>
          <w:color w:val="000000" w:themeColor="text1"/>
          <w:lang w:val="en-US"/>
        </w:rPr>
        <w:t>1</w:t>
      </w:r>
      <w:r w:rsidRPr="00537128">
        <w:rPr>
          <w:rFonts w:ascii="Calibri" w:eastAsia="Times New Roman" w:hAnsi="Calibri" w:cs="Times New Roman"/>
          <w:color w:val="000000" w:themeColor="text1"/>
          <w:lang w:val="en-US"/>
        </w:rPr>
        <w:t xml:space="preserve">: HRK </w:t>
      </w:r>
      <w:r w:rsidR="004E0FCF">
        <w:rPr>
          <w:rFonts w:ascii="Calibri" w:eastAsia="Times New Roman" w:hAnsi="Calibri" w:cs="Times New Roman"/>
          <w:color w:val="000000" w:themeColor="text1"/>
          <w:lang w:val="en-US"/>
        </w:rPr>
        <w:t>2</w:t>
      </w:r>
      <w:r w:rsidRPr="00537128">
        <w:rPr>
          <w:rFonts w:ascii="Calibri" w:eastAsia="Times New Roman" w:hAnsi="Calibri" w:cs="Times New Roman"/>
          <w:color w:val="000000" w:themeColor="text1"/>
          <w:lang w:val="en-US"/>
        </w:rPr>
        <w:t>,</w:t>
      </w:r>
      <w:r w:rsidR="004E0FCF">
        <w:rPr>
          <w:rFonts w:ascii="Calibri" w:eastAsia="Times New Roman" w:hAnsi="Calibri" w:cs="Times New Roman"/>
          <w:color w:val="000000" w:themeColor="text1"/>
          <w:lang w:val="en-US"/>
        </w:rPr>
        <w:t>695</w:t>
      </w:r>
      <w:r w:rsidRPr="00537128">
        <w:rPr>
          <w:rFonts w:ascii="Calibri" w:eastAsia="Times New Roman" w:hAnsi="Calibri" w:cs="Times New Roman"/>
          <w:color w:val="000000" w:themeColor="text1"/>
          <w:lang w:val="en-US"/>
        </w:rPr>
        <w:t xml:space="preserve"> thousand), </w:t>
      </w:r>
      <w:r w:rsidRPr="00FB3362">
        <w:rPr>
          <w:rFonts w:ascii="Calibri" w:eastAsia="Times New Roman" w:hAnsi="Calibri" w:cs="Times New Roman"/>
          <w:color w:val="000000" w:themeColor="text1"/>
          <w:lang w:val="en-US"/>
        </w:rPr>
        <w:t xml:space="preserve">HRK </w:t>
      </w:r>
      <w:r w:rsidR="00213CC4">
        <w:rPr>
          <w:rFonts w:ascii="Calibri" w:eastAsia="Times New Roman" w:hAnsi="Calibri" w:cs="Times New Roman"/>
          <w:color w:val="000000" w:themeColor="text1"/>
          <w:lang w:val="en-US"/>
        </w:rPr>
        <w:t>80,450</w:t>
      </w:r>
      <w:r w:rsidRPr="00FB3362">
        <w:rPr>
          <w:rFonts w:ascii="Calibri" w:eastAsia="Times New Roman" w:hAnsi="Calibri" w:cs="Times New Roman"/>
          <w:color w:val="000000" w:themeColor="text1"/>
          <w:lang w:val="en-US"/>
        </w:rPr>
        <w:t xml:space="preserve"> thousand</w:t>
      </w:r>
      <w:r w:rsidRPr="00537128">
        <w:rPr>
          <w:rFonts w:ascii="Calibri" w:eastAsia="Times New Roman" w:hAnsi="Calibri" w:cs="Times New Roman"/>
          <w:color w:val="000000" w:themeColor="text1"/>
          <w:lang w:val="en-US"/>
        </w:rPr>
        <w:t xml:space="preserve"> relates to domestic companies (31 December 202</w:t>
      </w:r>
      <w:r w:rsidR="004E0FCF">
        <w:rPr>
          <w:rFonts w:ascii="Calibri" w:eastAsia="Times New Roman" w:hAnsi="Calibri" w:cs="Times New Roman"/>
          <w:color w:val="000000" w:themeColor="text1"/>
          <w:lang w:val="en-US"/>
        </w:rPr>
        <w:t>1</w:t>
      </w:r>
      <w:r w:rsidRPr="00537128">
        <w:rPr>
          <w:rFonts w:ascii="Calibri" w:eastAsia="Times New Roman" w:hAnsi="Calibri" w:cs="Times New Roman"/>
          <w:color w:val="000000" w:themeColor="text1"/>
          <w:lang w:val="en-US"/>
        </w:rPr>
        <w:t xml:space="preserve">: HRK </w:t>
      </w:r>
      <w:r w:rsidR="004E0FCF">
        <w:rPr>
          <w:rFonts w:ascii="Calibri" w:eastAsia="Times New Roman" w:hAnsi="Calibri" w:cs="Times New Roman"/>
          <w:color w:val="000000" w:themeColor="text1"/>
          <w:lang w:val="en-US"/>
        </w:rPr>
        <w:t>125</w:t>
      </w:r>
      <w:r w:rsidRPr="00537128">
        <w:rPr>
          <w:rFonts w:ascii="Calibri" w:eastAsia="Times New Roman" w:hAnsi="Calibri" w:cs="Times New Roman"/>
          <w:color w:val="000000" w:themeColor="text1"/>
          <w:lang w:val="en-US"/>
        </w:rPr>
        <w:t>,</w:t>
      </w:r>
      <w:r w:rsidR="004E0FCF">
        <w:rPr>
          <w:rFonts w:ascii="Calibri" w:eastAsia="Times New Roman" w:hAnsi="Calibri" w:cs="Times New Roman"/>
          <w:color w:val="000000" w:themeColor="text1"/>
          <w:lang w:val="en-US"/>
        </w:rPr>
        <w:t>172</w:t>
      </w:r>
      <w:r w:rsidRPr="00537128">
        <w:rPr>
          <w:rFonts w:ascii="Calibri" w:eastAsia="Times New Roman" w:hAnsi="Calibri" w:cs="Times New Roman"/>
          <w:color w:val="000000" w:themeColor="text1"/>
          <w:lang w:val="en-US"/>
        </w:rPr>
        <w:t xml:space="preserve"> thousand), HRK </w:t>
      </w:r>
      <w:r w:rsidR="000C00BE">
        <w:rPr>
          <w:rFonts w:ascii="Calibri" w:eastAsia="Times New Roman" w:hAnsi="Calibri" w:cs="Times New Roman"/>
          <w:color w:val="000000" w:themeColor="text1"/>
          <w:lang w:val="en-US"/>
        </w:rPr>
        <w:t>307</w:t>
      </w:r>
      <w:r w:rsidRPr="00FB3362">
        <w:rPr>
          <w:rFonts w:ascii="Calibri" w:eastAsia="Times New Roman" w:hAnsi="Calibri" w:cs="Times New Roman"/>
          <w:color w:val="000000" w:themeColor="text1"/>
          <w:lang w:val="en-US"/>
        </w:rPr>
        <w:t xml:space="preserve"> thousand</w:t>
      </w:r>
      <w:r w:rsidRPr="00537128">
        <w:rPr>
          <w:rFonts w:ascii="Calibri" w:eastAsia="Times New Roman" w:hAnsi="Calibri" w:cs="Times New Roman"/>
          <w:color w:val="000000" w:themeColor="text1"/>
          <w:lang w:val="en-US"/>
        </w:rPr>
        <w:t xml:space="preserve"> relates to the public sector (31 December 202</w:t>
      </w:r>
      <w:r w:rsidR="00544A43">
        <w:rPr>
          <w:rFonts w:ascii="Calibri" w:eastAsia="Times New Roman" w:hAnsi="Calibri" w:cs="Times New Roman"/>
          <w:color w:val="000000" w:themeColor="text1"/>
          <w:lang w:val="en-US"/>
        </w:rPr>
        <w:t>1</w:t>
      </w:r>
      <w:r w:rsidRPr="00537128">
        <w:rPr>
          <w:rFonts w:ascii="Calibri" w:eastAsia="Times New Roman" w:hAnsi="Calibri" w:cs="Times New Roman"/>
          <w:color w:val="000000" w:themeColor="text1"/>
          <w:lang w:val="en-US"/>
        </w:rPr>
        <w:t>: HRK 1,</w:t>
      </w:r>
      <w:r w:rsidR="00544A43">
        <w:rPr>
          <w:rFonts w:ascii="Calibri" w:eastAsia="Times New Roman" w:hAnsi="Calibri" w:cs="Times New Roman"/>
          <w:color w:val="000000" w:themeColor="text1"/>
          <w:lang w:val="en-US"/>
        </w:rPr>
        <w:t>371</w:t>
      </w:r>
      <w:r w:rsidRPr="00537128">
        <w:rPr>
          <w:rFonts w:ascii="Calibri" w:eastAsia="Times New Roman" w:hAnsi="Calibri" w:cs="Times New Roman"/>
          <w:color w:val="000000" w:themeColor="text1"/>
          <w:lang w:val="en-US"/>
        </w:rPr>
        <w:t xml:space="preserve"> thousand), </w:t>
      </w:r>
      <w:r w:rsidR="00311CE4" w:rsidRPr="000C00BE">
        <w:rPr>
          <w:rFonts w:ascii="Calibri" w:eastAsia="Calibri" w:hAnsi="Calibri" w:cs="Arial"/>
          <w:lang w:val="en-GB"/>
        </w:rPr>
        <w:t>HRK 239 thousand</w:t>
      </w:r>
      <w:r w:rsidR="00311CE4">
        <w:rPr>
          <w:rFonts w:ascii="Calibri" w:eastAsia="Calibri" w:hAnsi="Calibri" w:cs="Arial"/>
          <w:lang w:val="en-GB"/>
        </w:rPr>
        <w:t xml:space="preserve"> relates to non-profit institutions (31 December 202</w:t>
      </w:r>
      <w:r w:rsidR="008137F5">
        <w:rPr>
          <w:rFonts w:ascii="Calibri" w:eastAsia="Calibri" w:hAnsi="Calibri" w:cs="Arial"/>
          <w:lang w:val="en-GB"/>
        </w:rPr>
        <w:t>1</w:t>
      </w:r>
      <w:r w:rsidR="00311CE4">
        <w:rPr>
          <w:rFonts w:ascii="Calibri" w:eastAsia="Calibri" w:hAnsi="Calibri" w:cs="Arial"/>
          <w:lang w:val="en-GB"/>
        </w:rPr>
        <w:t xml:space="preserve">: HRK </w:t>
      </w:r>
      <w:r w:rsidR="008137F5">
        <w:rPr>
          <w:rFonts w:ascii="Calibri" w:eastAsia="Calibri" w:hAnsi="Calibri" w:cs="Arial"/>
          <w:lang w:val="en-GB"/>
        </w:rPr>
        <w:t>239</w:t>
      </w:r>
      <w:r w:rsidR="00311CE4">
        <w:rPr>
          <w:rFonts w:ascii="Calibri" w:eastAsia="Calibri" w:hAnsi="Calibri" w:cs="Arial"/>
          <w:lang w:val="en-GB"/>
        </w:rPr>
        <w:t xml:space="preserve"> thousand), </w:t>
      </w:r>
      <w:r w:rsidRPr="00537128">
        <w:rPr>
          <w:rFonts w:ascii="Calibri" w:eastAsia="Times New Roman" w:hAnsi="Calibri" w:cs="Times New Roman"/>
          <w:color w:val="000000" w:themeColor="text1"/>
          <w:lang w:val="en-US"/>
        </w:rPr>
        <w:t xml:space="preserve">HRK </w:t>
      </w:r>
      <w:r w:rsidR="000C00BE">
        <w:rPr>
          <w:rFonts w:ascii="Calibri" w:eastAsia="Times New Roman" w:hAnsi="Calibri" w:cs="Times New Roman"/>
          <w:color w:val="000000" w:themeColor="text1"/>
          <w:lang w:val="en-US"/>
        </w:rPr>
        <w:t>151</w:t>
      </w:r>
      <w:r w:rsidRPr="00537128">
        <w:rPr>
          <w:rFonts w:ascii="Calibri" w:eastAsia="Times New Roman" w:hAnsi="Calibri" w:cs="Times New Roman"/>
          <w:color w:val="000000" w:themeColor="text1"/>
          <w:lang w:val="en-US"/>
        </w:rPr>
        <w:t xml:space="preserve"> thousand relates to other (31 December 202</w:t>
      </w:r>
      <w:r w:rsidR="005C4460">
        <w:rPr>
          <w:rFonts w:ascii="Calibri" w:eastAsia="Times New Roman" w:hAnsi="Calibri" w:cs="Times New Roman"/>
          <w:color w:val="000000" w:themeColor="text1"/>
          <w:lang w:val="en-US"/>
        </w:rPr>
        <w:t>1</w:t>
      </w:r>
      <w:r w:rsidRPr="00537128">
        <w:rPr>
          <w:rFonts w:ascii="Calibri" w:eastAsia="Times New Roman" w:hAnsi="Calibri" w:cs="Times New Roman"/>
          <w:color w:val="000000" w:themeColor="text1"/>
          <w:lang w:val="en-US"/>
        </w:rPr>
        <w:t xml:space="preserve">: HRK </w:t>
      </w:r>
      <w:r w:rsidR="005C4460">
        <w:rPr>
          <w:rFonts w:ascii="Calibri" w:eastAsia="Times New Roman" w:hAnsi="Calibri" w:cs="Times New Roman"/>
          <w:color w:val="000000" w:themeColor="text1"/>
          <w:lang w:val="en-US"/>
        </w:rPr>
        <w:t>110</w:t>
      </w:r>
      <w:r w:rsidRPr="00537128">
        <w:rPr>
          <w:rFonts w:ascii="Calibri" w:eastAsia="Times New Roman" w:hAnsi="Calibri" w:cs="Times New Roman"/>
          <w:color w:val="000000" w:themeColor="text1"/>
          <w:lang w:val="en-US"/>
        </w:rPr>
        <w:t xml:space="preserve"> thousand).</w:t>
      </w:r>
      <w:r w:rsidR="008075C2" w:rsidRPr="00537128">
        <w:rPr>
          <w:rFonts w:ascii="Calibri" w:eastAsia="Times New Roman" w:hAnsi="Calibri" w:cs="Times New Roman"/>
          <w:color w:val="000000" w:themeColor="text1"/>
          <w:lang w:val="en-US"/>
        </w:rPr>
        <w:t xml:space="preserve"> </w:t>
      </w:r>
    </w:p>
    <w:p w14:paraId="7FC1C792" w14:textId="77777777" w:rsidR="00824F81" w:rsidRPr="00537128" w:rsidRDefault="00824F81" w:rsidP="00FF5A95">
      <w:pPr>
        <w:spacing w:after="0" w:line="240" w:lineRule="auto"/>
        <w:jc w:val="both"/>
        <w:rPr>
          <w:rFonts w:ascii="Calibri" w:eastAsia="Times New Roman" w:hAnsi="Calibri" w:cs="Times New Roman"/>
          <w:color w:val="000000" w:themeColor="text1"/>
          <w:lang w:val="en-US"/>
        </w:rPr>
        <w:sectPr w:rsidR="00824F81" w:rsidRPr="00537128">
          <w:pgSz w:w="11906" w:h="16838"/>
          <w:pgMar w:top="1417" w:right="1417" w:bottom="1417" w:left="1417" w:header="708" w:footer="708" w:gutter="0"/>
          <w:cols w:space="708"/>
          <w:docGrid w:linePitch="360"/>
        </w:sectPr>
      </w:pPr>
    </w:p>
    <w:p w14:paraId="48123083" w14:textId="77777777" w:rsidR="008075C2" w:rsidRPr="00537128" w:rsidRDefault="008075C2" w:rsidP="00015068">
      <w:pPr>
        <w:tabs>
          <w:tab w:val="left" w:pos="-1843"/>
        </w:tabs>
        <w:suppressAutoHyphens/>
        <w:spacing w:after="0"/>
        <w:rPr>
          <w:rFonts w:cs="Arial"/>
          <w:b/>
          <w:color w:val="000000" w:themeColor="text1"/>
          <w:spacing w:val="-3"/>
          <w:sz w:val="8"/>
          <w:szCs w:val="8"/>
          <w:lang w:val="en-US"/>
        </w:rPr>
      </w:pPr>
    </w:p>
    <w:p w14:paraId="7CDBF0D2" w14:textId="77777777" w:rsidR="00015068" w:rsidRPr="00537128" w:rsidRDefault="00015068" w:rsidP="001D7A01">
      <w:pPr>
        <w:pStyle w:val="ListParagraph"/>
        <w:numPr>
          <w:ilvl w:val="0"/>
          <w:numId w:val="15"/>
        </w:num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Other liabilities</w:t>
      </w:r>
    </w:p>
    <w:p w14:paraId="7917D47A" w14:textId="223F3659" w:rsidR="0069122F" w:rsidRPr="00537128" w:rsidRDefault="0069122F" w:rsidP="0069122F">
      <w:pPr>
        <w:pStyle w:val="ListParagraph"/>
        <w:tabs>
          <w:tab w:val="left" w:pos="-1843"/>
        </w:tabs>
        <w:spacing w:after="0" w:line="240" w:lineRule="auto"/>
        <w:ind w:left="360"/>
        <w:jc w:val="both"/>
        <w:rPr>
          <w:rFonts w:eastAsia="Calibri" w:cs="Arial"/>
          <w:color w:val="000000" w:themeColor="text1"/>
          <w:lang w:val="en-US"/>
        </w:rPr>
      </w:pPr>
    </w:p>
    <w:tbl>
      <w:tblPr>
        <w:tblW w:w="5150" w:type="pct"/>
        <w:tblCellMar>
          <w:left w:w="119" w:type="dxa"/>
          <w:right w:w="119" w:type="dxa"/>
        </w:tblCellMar>
        <w:tblLook w:val="04A0" w:firstRow="1" w:lastRow="0" w:firstColumn="1" w:lastColumn="0" w:noHBand="0" w:noVBand="1"/>
      </w:tblPr>
      <w:tblGrid>
        <w:gridCol w:w="3969"/>
        <w:gridCol w:w="1252"/>
        <w:gridCol w:w="1374"/>
        <w:gridCol w:w="1375"/>
        <w:gridCol w:w="1374"/>
      </w:tblGrid>
      <w:tr w:rsidR="0069122F" w:rsidRPr="00537128" w14:paraId="28E35C0D" w14:textId="77777777" w:rsidTr="0069122F">
        <w:tc>
          <w:tcPr>
            <w:tcW w:w="2124" w:type="pct"/>
          </w:tcPr>
          <w:p w14:paraId="02ECC14D" w14:textId="77777777" w:rsidR="0069122F" w:rsidRPr="00537128" w:rsidRDefault="0069122F" w:rsidP="0069122F">
            <w:pPr>
              <w:tabs>
                <w:tab w:val="left" w:pos="-1843"/>
              </w:tabs>
              <w:suppressAutoHyphens/>
              <w:spacing w:after="0" w:line="240" w:lineRule="auto"/>
              <w:rPr>
                <w:rFonts w:ascii="Calibri" w:eastAsia="Times New Roman" w:hAnsi="Calibri" w:cs="Arial"/>
                <w:spacing w:val="-2"/>
                <w:sz w:val="20"/>
                <w:szCs w:val="20"/>
                <w:lang w:val="en-US"/>
              </w:rPr>
            </w:pPr>
          </w:p>
        </w:tc>
        <w:tc>
          <w:tcPr>
            <w:tcW w:w="670" w:type="pct"/>
          </w:tcPr>
          <w:p w14:paraId="4FC05EB8" w14:textId="77777777" w:rsidR="0069122F" w:rsidRPr="00537128" w:rsidRDefault="0069122F" w:rsidP="0069122F">
            <w:pPr>
              <w:tabs>
                <w:tab w:val="right" w:pos="1202"/>
              </w:tabs>
              <w:spacing w:after="0" w:line="240" w:lineRule="atLeast"/>
              <w:jc w:val="right"/>
              <w:outlineLvl w:val="0"/>
              <w:rPr>
                <w:rFonts w:ascii="Calibri" w:eastAsia="Times New Roman" w:hAnsi="Calibri" w:cs="Arial"/>
                <w:b/>
                <w:sz w:val="20"/>
                <w:szCs w:val="20"/>
                <w:lang w:val="en-US"/>
              </w:rPr>
            </w:pPr>
          </w:p>
        </w:tc>
        <w:tc>
          <w:tcPr>
            <w:tcW w:w="735" w:type="pct"/>
            <w:hideMark/>
          </w:tcPr>
          <w:p w14:paraId="21FE9815" w14:textId="77777777" w:rsidR="0069122F" w:rsidRPr="00537128" w:rsidRDefault="0069122F" w:rsidP="0069122F">
            <w:pPr>
              <w:tabs>
                <w:tab w:val="right" w:pos="1202"/>
              </w:tabs>
              <w:spacing w:after="0" w:line="240" w:lineRule="atLeast"/>
              <w:jc w:val="right"/>
              <w:outlineLvl w:val="0"/>
              <w:rPr>
                <w:rFonts w:ascii="Calibri" w:eastAsia="Times New Roman" w:hAnsi="Calibri" w:cs="Arial"/>
                <w:b/>
                <w:sz w:val="20"/>
                <w:szCs w:val="20"/>
                <w:lang w:val="en-US"/>
              </w:rPr>
            </w:pPr>
            <w:bookmarkStart w:id="509" w:name="_Toc4060006"/>
            <w:r w:rsidRPr="00537128">
              <w:rPr>
                <w:rFonts w:ascii="Calibri" w:eastAsia="Times New Roman" w:hAnsi="Calibri" w:cs="Arial"/>
                <w:b/>
                <w:sz w:val="20"/>
                <w:szCs w:val="20"/>
                <w:lang w:val="en-US"/>
              </w:rPr>
              <w:t>Group</w:t>
            </w:r>
            <w:bookmarkEnd w:id="509"/>
          </w:p>
        </w:tc>
        <w:tc>
          <w:tcPr>
            <w:tcW w:w="736" w:type="pct"/>
          </w:tcPr>
          <w:p w14:paraId="3F1D22F0" w14:textId="77777777" w:rsidR="0069122F" w:rsidRPr="00537128" w:rsidRDefault="0069122F" w:rsidP="0069122F">
            <w:pPr>
              <w:tabs>
                <w:tab w:val="right" w:pos="1202"/>
              </w:tabs>
              <w:spacing w:after="0" w:line="240" w:lineRule="atLeast"/>
              <w:jc w:val="right"/>
              <w:outlineLvl w:val="0"/>
              <w:rPr>
                <w:rFonts w:ascii="Calibri" w:eastAsia="Times New Roman" w:hAnsi="Calibri" w:cs="Arial"/>
                <w:b/>
                <w:sz w:val="20"/>
                <w:szCs w:val="20"/>
                <w:lang w:val="en-US"/>
              </w:rPr>
            </w:pPr>
          </w:p>
        </w:tc>
        <w:tc>
          <w:tcPr>
            <w:tcW w:w="735" w:type="pct"/>
            <w:hideMark/>
          </w:tcPr>
          <w:p w14:paraId="5BD22BB3" w14:textId="77777777" w:rsidR="0069122F" w:rsidRPr="00537128" w:rsidRDefault="0069122F" w:rsidP="0069122F">
            <w:pPr>
              <w:tabs>
                <w:tab w:val="right" w:pos="1202"/>
              </w:tabs>
              <w:spacing w:after="0" w:line="240" w:lineRule="atLeast"/>
              <w:jc w:val="right"/>
              <w:outlineLvl w:val="0"/>
              <w:rPr>
                <w:rFonts w:ascii="Calibri" w:eastAsia="Times New Roman" w:hAnsi="Calibri" w:cs="Arial"/>
                <w:b/>
                <w:sz w:val="20"/>
                <w:szCs w:val="20"/>
                <w:lang w:val="en-US"/>
              </w:rPr>
            </w:pPr>
            <w:bookmarkStart w:id="510" w:name="_Toc4060007"/>
            <w:r w:rsidRPr="00537128">
              <w:rPr>
                <w:rFonts w:ascii="Calibri" w:eastAsia="Times New Roman" w:hAnsi="Calibri" w:cs="Arial"/>
                <w:b/>
                <w:sz w:val="20"/>
                <w:szCs w:val="20"/>
                <w:lang w:val="en-US"/>
              </w:rPr>
              <w:t>Bank</w:t>
            </w:r>
            <w:bookmarkEnd w:id="510"/>
          </w:p>
        </w:tc>
      </w:tr>
      <w:tr w:rsidR="0069122F" w:rsidRPr="00537128" w14:paraId="0384D22A" w14:textId="77777777" w:rsidTr="0069122F">
        <w:tc>
          <w:tcPr>
            <w:tcW w:w="2124" w:type="pct"/>
          </w:tcPr>
          <w:p w14:paraId="354F3963" w14:textId="77777777" w:rsidR="0069122F" w:rsidRPr="00537128" w:rsidRDefault="0069122F" w:rsidP="0069122F">
            <w:pPr>
              <w:tabs>
                <w:tab w:val="left" w:pos="-1843"/>
              </w:tabs>
              <w:suppressAutoHyphens/>
              <w:spacing w:after="0" w:line="240" w:lineRule="auto"/>
              <w:rPr>
                <w:rFonts w:ascii="Calibri" w:eastAsia="Times New Roman" w:hAnsi="Calibri" w:cs="Arial"/>
                <w:spacing w:val="-2"/>
                <w:sz w:val="20"/>
                <w:szCs w:val="20"/>
                <w:lang w:val="en-US"/>
              </w:rPr>
            </w:pPr>
          </w:p>
        </w:tc>
        <w:tc>
          <w:tcPr>
            <w:tcW w:w="670" w:type="pct"/>
            <w:vAlign w:val="center"/>
            <w:hideMark/>
          </w:tcPr>
          <w:p w14:paraId="3B595C90" w14:textId="2FE719E0" w:rsidR="0069122F" w:rsidRPr="00537128" w:rsidRDefault="0069122F" w:rsidP="0069122F">
            <w:pPr>
              <w:tabs>
                <w:tab w:val="right" w:pos="1202"/>
              </w:tabs>
              <w:spacing w:after="0" w:line="240" w:lineRule="atLeast"/>
              <w:jc w:val="right"/>
              <w:outlineLvl w:val="0"/>
              <w:rPr>
                <w:rFonts w:ascii="Calibri" w:eastAsia="Times New Roman" w:hAnsi="Calibri" w:cs="Arial"/>
                <w:b/>
                <w:sz w:val="20"/>
                <w:szCs w:val="20"/>
                <w:lang w:val="en-US"/>
              </w:rPr>
            </w:pPr>
            <w:r w:rsidRPr="00537128">
              <w:rPr>
                <w:rFonts w:ascii="Calibri" w:eastAsia="Times New Roman" w:hAnsi="Calibri" w:cs="Calibri"/>
                <w:b/>
                <w:bCs/>
                <w:sz w:val="20"/>
                <w:szCs w:val="20"/>
                <w:lang w:val="en-US"/>
              </w:rPr>
              <w:t>31 March 202</w:t>
            </w:r>
            <w:r w:rsidR="001C3BF8">
              <w:rPr>
                <w:rFonts w:ascii="Calibri" w:eastAsia="Times New Roman" w:hAnsi="Calibri" w:cs="Calibri"/>
                <w:b/>
                <w:bCs/>
                <w:sz w:val="20"/>
                <w:szCs w:val="20"/>
                <w:lang w:val="en-US"/>
              </w:rPr>
              <w:t>2</w:t>
            </w:r>
          </w:p>
        </w:tc>
        <w:tc>
          <w:tcPr>
            <w:tcW w:w="735" w:type="pct"/>
            <w:vAlign w:val="center"/>
            <w:hideMark/>
          </w:tcPr>
          <w:p w14:paraId="6E40D2BB" w14:textId="3E629F2C" w:rsidR="0069122F" w:rsidRPr="00537128" w:rsidRDefault="0069122F" w:rsidP="0069122F">
            <w:pPr>
              <w:tabs>
                <w:tab w:val="right" w:pos="1202"/>
              </w:tabs>
              <w:spacing w:after="0" w:line="240" w:lineRule="atLeast"/>
              <w:jc w:val="right"/>
              <w:outlineLvl w:val="0"/>
              <w:rPr>
                <w:rFonts w:ascii="Calibri" w:eastAsia="Times New Roman" w:hAnsi="Calibri" w:cs="Arial"/>
                <w:b/>
                <w:sz w:val="20"/>
                <w:szCs w:val="20"/>
                <w:lang w:val="en-US"/>
              </w:rPr>
            </w:pPr>
            <w:r w:rsidRPr="00537128">
              <w:rPr>
                <w:rFonts w:ascii="Calibri" w:eastAsia="Times New Roman" w:hAnsi="Calibri" w:cs="Calibri"/>
                <w:b/>
                <w:bCs/>
                <w:sz w:val="20"/>
                <w:szCs w:val="20"/>
                <w:lang w:val="en-US"/>
              </w:rPr>
              <w:t>31 December 202</w:t>
            </w:r>
            <w:r w:rsidR="001C3BF8">
              <w:rPr>
                <w:rFonts w:ascii="Calibri" w:eastAsia="Times New Roman" w:hAnsi="Calibri" w:cs="Calibri"/>
                <w:b/>
                <w:bCs/>
                <w:sz w:val="20"/>
                <w:szCs w:val="20"/>
                <w:lang w:val="en-US"/>
              </w:rPr>
              <w:t>1</w:t>
            </w:r>
          </w:p>
        </w:tc>
        <w:tc>
          <w:tcPr>
            <w:tcW w:w="736" w:type="pct"/>
            <w:vAlign w:val="center"/>
            <w:hideMark/>
          </w:tcPr>
          <w:p w14:paraId="47E148A5" w14:textId="3F221C58" w:rsidR="0069122F" w:rsidRPr="00537128" w:rsidRDefault="0069122F" w:rsidP="0069122F">
            <w:pPr>
              <w:tabs>
                <w:tab w:val="right" w:pos="1202"/>
              </w:tabs>
              <w:spacing w:after="0" w:line="240" w:lineRule="atLeast"/>
              <w:jc w:val="right"/>
              <w:outlineLvl w:val="0"/>
              <w:rPr>
                <w:rFonts w:ascii="Calibri" w:eastAsia="Times New Roman" w:hAnsi="Calibri" w:cs="Arial"/>
                <w:b/>
                <w:sz w:val="20"/>
                <w:szCs w:val="20"/>
                <w:lang w:val="en-US"/>
              </w:rPr>
            </w:pPr>
            <w:bookmarkStart w:id="511" w:name="_Toc4060009"/>
            <w:r w:rsidRPr="00537128">
              <w:rPr>
                <w:rFonts w:ascii="Calibri" w:eastAsia="Times New Roman" w:hAnsi="Calibri" w:cs="Calibri"/>
                <w:b/>
                <w:bCs/>
                <w:sz w:val="20"/>
                <w:szCs w:val="20"/>
                <w:lang w:val="en-US"/>
              </w:rPr>
              <w:t xml:space="preserve">31 March </w:t>
            </w:r>
            <w:bookmarkEnd w:id="511"/>
            <w:r w:rsidRPr="00537128">
              <w:rPr>
                <w:rFonts w:ascii="Calibri" w:eastAsia="Times New Roman" w:hAnsi="Calibri" w:cs="Calibri"/>
                <w:b/>
                <w:bCs/>
                <w:sz w:val="20"/>
                <w:szCs w:val="20"/>
                <w:lang w:val="en-US"/>
              </w:rPr>
              <w:t>202</w:t>
            </w:r>
            <w:r w:rsidR="001C3BF8">
              <w:rPr>
                <w:rFonts w:ascii="Calibri" w:eastAsia="Times New Roman" w:hAnsi="Calibri" w:cs="Calibri"/>
                <w:b/>
                <w:bCs/>
                <w:sz w:val="20"/>
                <w:szCs w:val="20"/>
                <w:lang w:val="en-US"/>
              </w:rPr>
              <w:t>2</w:t>
            </w:r>
          </w:p>
        </w:tc>
        <w:tc>
          <w:tcPr>
            <w:tcW w:w="735" w:type="pct"/>
            <w:vAlign w:val="center"/>
            <w:hideMark/>
          </w:tcPr>
          <w:p w14:paraId="28ACAD65" w14:textId="7365AF26" w:rsidR="0069122F" w:rsidRPr="00537128" w:rsidRDefault="0069122F" w:rsidP="0069122F">
            <w:pPr>
              <w:tabs>
                <w:tab w:val="right" w:pos="1202"/>
              </w:tabs>
              <w:spacing w:after="0" w:line="240" w:lineRule="atLeast"/>
              <w:jc w:val="right"/>
              <w:outlineLvl w:val="0"/>
              <w:rPr>
                <w:rFonts w:ascii="Calibri" w:eastAsia="Times New Roman" w:hAnsi="Calibri" w:cs="Arial"/>
                <w:b/>
                <w:sz w:val="20"/>
                <w:szCs w:val="20"/>
                <w:lang w:val="en-US"/>
              </w:rPr>
            </w:pPr>
            <w:bookmarkStart w:id="512" w:name="_Toc4060010"/>
            <w:r w:rsidRPr="00537128">
              <w:rPr>
                <w:rFonts w:ascii="Calibri" w:eastAsia="Times New Roman" w:hAnsi="Calibri" w:cs="Calibri"/>
                <w:b/>
                <w:bCs/>
                <w:sz w:val="20"/>
                <w:szCs w:val="20"/>
                <w:lang w:val="en-US"/>
              </w:rPr>
              <w:t xml:space="preserve">31 December </w:t>
            </w:r>
            <w:bookmarkEnd w:id="512"/>
            <w:r w:rsidRPr="00537128">
              <w:rPr>
                <w:rFonts w:ascii="Calibri" w:eastAsia="Times New Roman" w:hAnsi="Calibri" w:cs="Calibri"/>
                <w:b/>
                <w:bCs/>
                <w:sz w:val="20"/>
                <w:szCs w:val="20"/>
                <w:lang w:val="en-US"/>
              </w:rPr>
              <w:t>202</w:t>
            </w:r>
            <w:r w:rsidR="001C3BF8">
              <w:rPr>
                <w:rFonts w:ascii="Calibri" w:eastAsia="Times New Roman" w:hAnsi="Calibri" w:cs="Calibri"/>
                <w:b/>
                <w:bCs/>
                <w:sz w:val="20"/>
                <w:szCs w:val="20"/>
                <w:lang w:val="en-US"/>
              </w:rPr>
              <w:t>1</w:t>
            </w:r>
          </w:p>
        </w:tc>
      </w:tr>
      <w:tr w:rsidR="0069122F" w:rsidRPr="00537128" w14:paraId="1E525B65" w14:textId="77777777" w:rsidTr="0069122F">
        <w:tc>
          <w:tcPr>
            <w:tcW w:w="2124" w:type="pct"/>
          </w:tcPr>
          <w:p w14:paraId="197F39E7" w14:textId="77777777" w:rsidR="0069122F" w:rsidRPr="00537128" w:rsidRDefault="0069122F" w:rsidP="0069122F">
            <w:pPr>
              <w:tabs>
                <w:tab w:val="left" w:pos="-1843"/>
              </w:tabs>
              <w:suppressAutoHyphens/>
              <w:spacing w:after="0" w:line="240" w:lineRule="auto"/>
              <w:rPr>
                <w:rFonts w:ascii="Calibri" w:eastAsia="Times New Roman" w:hAnsi="Calibri" w:cs="Arial"/>
                <w:spacing w:val="-2"/>
                <w:sz w:val="20"/>
                <w:szCs w:val="20"/>
                <w:lang w:val="en-US"/>
              </w:rPr>
            </w:pPr>
          </w:p>
        </w:tc>
        <w:tc>
          <w:tcPr>
            <w:tcW w:w="670" w:type="pct"/>
            <w:hideMark/>
          </w:tcPr>
          <w:p w14:paraId="40DCFF93" w14:textId="77777777" w:rsidR="0069122F" w:rsidRPr="00537128" w:rsidRDefault="0069122F" w:rsidP="0069122F">
            <w:pPr>
              <w:tabs>
                <w:tab w:val="right" w:pos="1202"/>
              </w:tabs>
              <w:spacing w:after="0" w:line="240" w:lineRule="atLeast"/>
              <w:jc w:val="right"/>
              <w:outlineLvl w:val="0"/>
              <w:rPr>
                <w:rFonts w:ascii="Calibri" w:eastAsia="Times New Roman" w:hAnsi="Calibri" w:cs="Arial"/>
                <w:b/>
                <w:sz w:val="20"/>
                <w:szCs w:val="20"/>
                <w:lang w:val="en-US"/>
              </w:rPr>
            </w:pPr>
            <w:bookmarkStart w:id="513" w:name="_Toc4060012"/>
            <w:r w:rsidRPr="00537128">
              <w:rPr>
                <w:rFonts w:ascii="Calibri" w:eastAsia="Times New Roman" w:hAnsi="Calibri" w:cs="Arial"/>
                <w:b/>
                <w:sz w:val="20"/>
                <w:szCs w:val="20"/>
                <w:lang w:val="en-US"/>
              </w:rPr>
              <w:t>HRK ‘000</w:t>
            </w:r>
            <w:bookmarkEnd w:id="513"/>
          </w:p>
        </w:tc>
        <w:tc>
          <w:tcPr>
            <w:tcW w:w="735" w:type="pct"/>
            <w:hideMark/>
          </w:tcPr>
          <w:p w14:paraId="79458E21" w14:textId="456C44EA" w:rsidR="0069122F" w:rsidRPr="00537128" w:rsidRDefault="0069122F" w:rsidP="0069122F">
            <w:pPr>
              <w:tabs>
                <w:tab w:val="right" w:pos="1202"/>
              </w:tabs>
              <w:spacing w:after="0" w:line="240" w:lineRule="atLeast"/>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736" w:type="pct"/>
            <w:hideMark/>
          </w:tcPr>
          <w:p w14:paraId="7C6A7F1F" w14:textId="443BFFDE" w:rsidR="0069122F" w:rsidRPr="00537128" w:rsidRDefault="0069122F" w:rsidP="0069122F">
            <w:pPr>
              <w:tabs>
                <w:tab w:val="right" w:pos="1202"/>
              </w:tabs>
              <w:spacing w:after="0" w:line="240" w:lineRule="atLeast"/>
              <w:jc w:val="right"/>
              <w:outlineLvl w:val="0"/>
              <w:rPr>
                <w:rFonts w:ascii="Calibri" w:eastAsia="Times New Roman" w:hAnsi="Calibri" w:cs="Arial"/>
                <w:b/>
                <w:sz w:val="20"/>
                <w:szCs w:val="20"/>
                <w:lang w:val="en-US"/>
              </w:rPr>
            </w:pPr>
            <w:bookmarkStart w:id="514" w:name="_Toc4060013"/>
            <w:r w:rsidRPr="00537128">
              <w:rPr>
                <w:rFonts w:ascii="Calibri" w:eastAsia="Times New Roman" w:hAnsi="Calibri" w:cs="Arial"/>
                <w:b/>
                <w:sz w:val="20"/>
                <w:szCs w:val="20"/>
                <w:lang w:val="en-US"/>
              </w:rPr>
              <w:t>HRK ‘000</w:t>
            </w:r>
            <w:bookmarkEnd w:id="514"/>
          </w:p>
        </w:tc>
        <w:tc>
          <w:tcPr>
            <w:tcW w:w="735" w:type="pct"/>
            <w:hideMark/>
          </w:tcPr>
          <w:p w14:paraId="1C9BC146" w14:textId="7170B890" w:rsidR="0069122F" w:rsidRPr="00537128" w:rsidRDefault="0069122F" w:rsidP="0069122F">
            <w:pPr>
              <w:tabs>
                <w:tab w:val="right" w:pos="1202"/>
              </w:tabs>
              <w:spacing w:after="0" w:line="240" w:lineRule="atLeast"/>
              <w:jc w:val="right"/>
              <w:outlineLvl w:val="0"/>
              <w:rPr>
                <w:rFonts w:ascii="Calibri" w:eastAsia="Times New Roman" w:hAnsi="Calibri" w:cs="Arial"/>
                <w:b/>
                <w:sz w:val="20"/>
                <w:szCs w:val="20"/>
                <w:lang w:val="en-US"/>
              </w:rPr>
            </w:pPr>
            <w:bookmarkStart w:id="515" w:name="_Toc4060014"/>
            <w:r w:rsidRPr="00537128">
              <w:rPr>
                <w:rFonts w:ascii="Calibri" w:eastAsia="Times New Roman" w:hAnsi="Calibri" w:cs="Arial"/>
                <w:b/>
                <w:sz w:val="20"/>
                <w:szCs w:val="20"/>
                <w:lang w:val="en-US"/>
              </w:rPr>
              <w:t>HRK ‘000</w:t>
            </w:r>
            <w:bookmarkEnd w:id="515"/>
          </w:p>
        </w:tc>
      </w:tr>
      <w:tr w:rsidR="0069122F" w:rsidRPr="00537128" w14:paraId="65483FB4" w14:textId="77777777" w:rsidTr="00A1123E">
        <w:trPr>
          <w:trHeight w:hRule="exact" w:val="170"/>
        </w:trPr>
        <w:tc>
          <w:tcPr>
            <w:tcW w:w="2124" w:type="pct"/>
          </w:tcPr>
          <w:p w14:paraId="5888F7AC" w14:textId="77777777" w:rsidR="0069122F" w:rsidRPr="00537128" w:rsidRDefault="0069122F" w:rsidP="0069122F">
            <w:pPr>
              <w:tabs>
                <w:tab w:val="left" w:pos="-1843"/>
              </w:tabs>
              <w:suppressAutoHyphens/>
              <w:spacing w:after="0" w:line="240" w:lineRule="auto"/>
              <w:rPr>
                <w:rFonts w:ascii="Calibri" w:eastAsia="Times New Roman" w:hAnsi="Calibri" w:cs="Arial"/>
                <w:spacing w:val="-2"/>
                <w:sz w:val="20"/>
                <w:szCs w:val="20"/>
                <w:lang w:val="en-US"/>
              </w:rPr>
            </w:pPr>
          </w:p>
        </w:tc>
        <w:tc>
          <w:tcPr>
            <w:tcW w:w="670" w:type="pct"/>
          </w:tcPr>
          <w:p w14:paraId="1992745A" w14:textId="77777777" w:rsidR="0069122F" w:rsidRPr="00537128" w:rsidRDefault="0069122F" w:rsidP="0069122F">
            <w:pPr>
              <w:tabs>
                <w:tab w:val="right" w:pos="1202"/>
              </w:tabs>
              <w:spacing w:after="0" w:line="240" w:lineRule="atLeast"/>
              <w:jc w:val="right"/>
              <w:outlineLvl w:val="0"/>
              <w:rPr>
                <w:rFonts w:ascii="Calibri" w:eastAsia="Times New Roman" w:hAnsi="Calibri" w:cs="Arial"/>
                <w:bCs/>
                <w:sz w:val="20"/>
                <w:szCs w:val="20"/>
                <w:lang w:val="en-US"/>
              </w:rPr>
            </w:pPr>
          </w:p>
        </w:tc>
        <w:tc>
          <w:tcPr>
            <w:tcW w:w="735" w:type="pct"/>
          </w:tcPr>
          <w:p w14:paraId="228665A2" w14:textId="77777777" w:rsidR="0069122F" w:rsidRPr="00537128" w:rsidRDefault="0069122F" w:rsidP="0069122F">
            <w:pPr>
              <w:tabs>
                <w:tab w:val="right" w:pos="1202"/>
              </w:tabs>
              <w:spacing w:after="0" w:line="240" w:lineRule="atLeast"/>
              <w:jc w:val="right"/>
              <w:outlineLvl w:val="0"/>
              <w:rPr>
                <w:rFonts w:ascii="Calibri" w:eastAsia="Times New Roman" w:hAnsi="Calibri" w:cs="Arial"/>
                <w:bCs/>
                <w:sz w:val="20"/>
                <w:szCs w:val="20"/>
                <w:lang w:val="en-US"/>
              </w:rPr>
            </w:pPr>
          </w:p>
        </w:tc>
        <w:tc>
          <w:tcPr>
            <w:tcW w:w="736" w:type="pct"/>
          </w:tcPr>
          <w:p w14:paraId="18F5AF87" w14:textId="77777777" w:rsidR="0069122F" w:rsidRPr="00537128" w:rsidRDefault="0069122F" w:rsidP="0069122F">
            <w:pPr>
              <w:tabs>
                <w:tab w:val="right" w:pos="1202"/>
              </w:tabs>
              <w:spacing w:after="0" w:line="240" w:lineRule="atLeast"/>
              <w:jc w:val="right"/>
              <w:outlineLvl w:val="0"/>
              <w:rPr>
                <w:rFonts w:ascii="Calibri" w:eastAsia="Times New Roman" w:hAnsi="Calibri" w:cs="Arial"/>
                <w:bCs/>
                <w:sz w:val="20"/>
                <w:szCs w:val="20"/>
                <w:lang w:val="en-US"/>
              </w:rPr>
            </w:pPr>
          </w:p>
        </w:tc>
        <w:tc>
          <w:tcPr>
            <w:tcW w:w="735" w:type="pct"/>
            <w:vAlign w:val="bottom"/>
          </w:tcPr>
          <w:p w14:paraId="245B7FF2" w14:textId="77777777" w:rsidR="0069122F" w:rsidRPr="00537128" w:rsidRDefault="0069122F" w:rsidP="0069122F">
            <w:pPr>
              <w:tabs>
                <w:tab w:val="right" w:pos="1202"/>
              </w:tabs>
              <w:spacing w:after="0" w:line="240" w:lineRule="atLeast"/>
              <w:jc w:val="right"/>
              <w:outlineLvl w:val="0"/>
              <w:rPr>
                <w:rFonts w:ascii="Calibri" w:eastAsia="Times New Roman" w:hAnsi="Calibri" w:cs="Arial"/>
                <w:bCs/>
                <w:sz w:val="20"/>
                <w:szCs w:val="20"/>
                <w:lang w:val="en-US"/>
              </w:rPr>
            </w:pPr>
          </w:p>
        </w:tc>
      </w:tr>
      <w:tr w:rsidR="007448E2" w:rsidRPr="00537128" w14:paraId="79A0B695" w14:textId="77777777" w:rsidTr="003470DA">
        <w:tc>
          <w:tcPr>
            <w:tcW w:w="2124" w:type="pct"/>
            <w:hideMark/>
          </w:tcPr>
          <w:p w14:paraId="1FC0BF99" w14:textId="286C19C6" w:rsidR="007448E2" w:rsidRPr="00537128" w:rsidRDefault="007448E2" w:rsidP="007448E2">
            <w:pPr>
              <w:tabs>
                <w:tab w:val="left" w:pos="708"/>
                <w:tab w:val="right" w:pos="1202"/>
              </w:tabs>
              <w:spacing w:after="0" w:line="301" w:lineRule="exact"/>
              <w:outlineLvl w:val="0"/>
              <w:rPr>
                <w:rFonts w:ascii="Calibri" w:eastAsia="Times New Roman" w:hAnsi="Calibri" w:cs="Arial"/>
                <w:sz w:val="20"/>
                <w:szCs w:val="20"/>
                <w:lang w:val="en-US"/>
              </w:rPr>
            </w:pPr>
            <w:bookmarkStart w:id="516" w:name="_Toc4060016"/>
            <w:r w:rsidRPr="00537128">
              <w:rPr>
                <w:rFonts w:ascii="Calibri" w:eastAsia="Times New Roman" w:hAnsi="Calibri" w:cs="Arial"/>
                <w:sz w:val="20"/>
                <w:szCs w:val="20"/>
                <w:lang w:val="en-US"/>
              </w:rPr>
              <w:t>Liabilities in respect of subsidized interest (a)</w:t>
            </w:r>
            <w:bookmarkEnd w:id="516"/>
          </w:p>
        </w:tc>
        <w:tc>
          <w:tcPr>
            <w:tcW w:w="670" w:type="pct"/>
            <w:tcBorders>
              <w:top w:val="nil"/>
              <w:left w:val="nil"/>
              <w:bottom w:val="nil"/>
              <w:right w:val="nil"/>
            </w:tcBorders>
            <w:shd w:val="clear" w:color="auto" w:fill="auto"/>
            <w:vAlign w:val="bottom"/>
          </w:tcPr>
          <w:p w14:paraId="408316F1" w14:textId="4CEB9A92" w:rsidR="007448E2" w:rsidRPr="00537128" w:rsidRDefault="007448E2" w:rsidP="007448E2">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Arial Unicode MS" w:hAnsi="Calibri" w:cs="Calibri"/>
                <w:color w:val="000000"/>
                <w:sz w:val="20"/>
                <w:szCs w:val="20"/>
              </w:rPr>
              <w:t>175,184</w:t>
            </w:r>
          </w:p>
        </w:tc>
        <w:tc>
          <w:tcPr>
            <w:tcW w:w="735" w:type="pct"/>
            <w:tcBorders>
              <w:top w:val="nil"/>
              <w:left w:val="nil"/>
              <w:bottom w:val="nil"/>
              <w:right w:val="nil"/>
            </w:tcBorders>
            <w:shd w:val="clear" w:color="auto" w:fill="auto"/>
            <w:vAlign w:val="center"/>
          </w:tcPr>
          <w:p w14:paraId="0013E489" w14:textId="0B1C5006" w:rsidR="007448E2" w:rsidRPr="00537128" w:rsidRDefault="007448E2" w:rsidP="007448E2">
            <w:pPr>
              <w:tabs>
                <w:tab w:val="right" w:pos="1202"/>
              </w:tabs>
              <w:spacing w:after="0" w:line="301" w:lineRule="exact"/>
              <w:jc w:val="right"/>
              <w:outlineLvl w:val="0"/>
              <w:rPr>
                <w:rFonts w:ascii="Calibri" w:eastAsia="Times New Roman" w:hAnsi="Calibri" w:cs="Calibri"/>
                <w:color w:val="000000"/>
                <w:sz w:val="20"/>
                <w:szCs w:val="20"/>
                <w:lang w:val="en-US"/>
              </w:rPr>
            </w:pPr>
            <w:r w:rsidRPr="009C407A">
              <w:rPr>
                <w:rFonts w:eastAsia="Arial Unicode MS" w:cstheme="minorHAnsi"/>
                <w:color w:val="000000" w:themeColor="text1"/>
                <w:sz w:val="20"/>
                <w:szCs w:val="20"/>
              </w:rPr>
              <w:t>174</w:t>
            </w:r>
            <w:r>
              <w:rPr>
                <w:rFonts w:eastAsia="Arial Unicode MS" w:cstheme="minorHAnsi"/>
                <w:color w:val="000000" w:themeColor="text1"/>
                <w:sz w:val="20"/>
                <w:szCs w:val="20"/>
              </w:rPr>
              <w:t>,</w:t>
            </w:r>
            <w:r w:rsidRPr="009C407A">
              <w:rPr>
                <w:rFonts w:eastAsia="Arial Unicode MS" w:cstheme="minorHAnsi"/>
                <w:color w:val="000000" w:themeColor="text1"/>
                <w:sz w:val="20"/>
                <w:szCs w:val="20"/>
              </w:rPr>
              <w:t>027</w:t>
            </w:r>
          </w:p>
        </w:tc>
        <w:tc>
          <w:tcPr>
            <w:tcW w:w="736" w:type="pct"/>
            <w:tcBorders>
              <w:top w:val="nil"/>
              <w:left w:val="nil"/>
              <w:bottom w:val="nil"/>
              <w:right w:val="nil"/>
            </w:tcBorders>
            <w:shd w:val="clear" w:color="auto" w:fill="auto"/>
            <w:vAlign w:val="bottom"/>
          </w:tcPr>
          <w:p w14:paraId="16330C1A" w14:textId="15194AA6" w:rsidR="007448E2" w:rsidRPr="00537128" w:rsidRDefault="007448E2" w:rsidP="007448E2">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Arial Unicode MS" w:hAnsi="Calibri" w:cs="Calibri"/>
                <w:color w:val="000000"/>
                <w:sz w:val="20"/>
                <w:szCs w:val="20"/>
              </w:rPr>
              <w:t>175,184</w:t>
            </w:r>
          </w:p>
        </w:tc>
        <w:tc>
          <w:tcPr>
            <w:tcW w:w="735" w:type="pct"/>
            <w:tcBorders>
              <w:top w:val="nil"/>
              <w:left w:val="nil"/>
              <w:bottom w:val="nil"/>
              <w:right w:val="nil"/>
            </w:tcBorders>
            <w:shd w:val="clear" w:color="auto" w:fill="auto"/>
            <w:vAlign w:val="center"/>
            <w:hideMark/>
          </w:tcPr>
          <w:p w14:paraId="3F63FAFE" w14:textId="46C384EC" w:rsidR="007448E2" w:rsidRPr="00537128" w:rsidRDefault="007448E2" w:rsidP="007448E2">
            <w:pPr>
              <w:tabs>
                <w:tab w:val="right" w:pos="1202"/>
              </w:tabs>
              <w:spacing w:after="0" w:line="301" w:lineRule="exact"/>
              <w:jc w:val="right"/>
              <w:outlineLvl w:val="0"/>
              <w:rPr>
                <w:rFonts w:ascii="Calibri" w:eastAsia="Times New Roman" w:hAnsi="Calibri" w:cs="Calibri"/>
                <w:color w:val="000000"/>
                <w:sz w:val="20"/>
                <w:szCs w:val="20"/>
                <w:lang w:val="en-US"/>
              </w:rPr>
            </w:pPr>
            <w:r w:rsidRPr="009C407A">
              <w:rPr>
                <w:rFonts w:eastAsia="Arial Unicode MS" w:cstheme="minorHAnsi"/>
                <w:color w:val="000000" w:themeColor="text1"/>
                <w:sz w:val="20"/>
                <w:szCs w:val="20"/>
              </w:rPr>
              <w:t>174</w:t>
            </w:r>
            <w:r>
              <w:rPr>
                <w:rFonts w:eastAsia="Arial Unicode MS" w:cstheme="minorHAnsi"/>
                <w:color w:val="000000" w:themeColor="text1"/>
                <w:sz w:val="20"/>
                <w:szCs w:val="20"/>
              </w:rPr>
              <w:t>,</w:t>
            </w:r>
            <w:r w:rsidRPr="009C407A">
              <w:rPr>
                <w:rFonts w:eastAsia="Arial Unicode MS" w:cstheme="minorHAnsi"/>
                <w:color w:val="000000" w:themeColor="text1"/>
                <w:sz w:val="20"/>
                <w:szCs w:val="20"/>
              </w:rPr>
              <w:t>027</w:t>
            </w:r>
          </w:p>
        </w:tc>
      </w:tr>
      <w:tr w:rsidR="007448E2" w:rsidRPr="00537128" w14:paraId="3BBAE254" w14:textId="77777777" w:rsidTr="003470DA">
        <w:tc>
          <w:tcPr>
            <w:tcW w:w="2124" w:type="pct"/>
            <w:hideMark/>
          </w:tcPr>
          <w:p w14:paraId="258977BA" w14:textId="3328D2AF" w:rsidR="007448E2" w:rsidRPr="00537128" w:rsidRDefault="007448E2" w:rsidP="007448E2">
            <w:pPr>
              <w:tabs>
                <w:tab w:val="left" w:pos="708"/>
                <w:tab w:val="right" w:pos="1202"/>
              </w:tabs>
              <w:spacing w:after="0" w:line="301" w:lineRule="exact"/>
              <w:outlineLvl w:val="0"/>
              <w:rPr>
                <w:rFonts w:ascii="Calibri" w:eastAsia="Times New Roman" w:hAnsi="Calibri" w:cs="Arial"/>
                <w:sz w:val="20"/>
                <w:szCs w:val="20"/>
                <w:lang w:val="en-US"/>
              </w:rPr>
            </w:pPr>
            <w:bookmarkStart w:id="517" w:name="_Toc4060021"/>
            <w:r w:rsidRPr="00537128">
              <w:rPr>
                <w:rFonts w:ascii="Calibri" w:eastAsia="Times New Roman" w:hAnsi="Calibri" w:cs="Arial"/>
                <w:sz w:val="20"/>
                <w:szCs w:val="20"/>
                <w:lang w:val="en-US"/>
              </w:rPr>
              <w:t xml:space="preserve">Deferred recognition of interest income (b) </w:t>
            </w:r>
            <w:bookmarkEnd w:id="517"/>
          </w:p>
        </w:tc>
        <w:tc>
          <w:tcPr>
            <w:tcW w:w="670" w:type="pct"/>
            <w:tcBorders>
              <w:top w:val="nil"/>
              <w:left w:val="nil"/>
              <w:bottom w:val="nil"/>
              <w:right w:val="nil"/>
            </w:tcBorders>
            <w:shd w:val="clear" w:color="auto" w:fill="auto"/>
            <w:vAlign w:val="bottom"/>
          </w:tcPr>
          <w:p w14:paraId="25C2EF51" w14:textId="5B0D3A49" w:rsidR="007448E2" w:rsidRPr="00537128" w:rsidRDefault="007448E2" w:rsidP="007448E2">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Arial Unicode MS" w:hAnsi="Calibri" w:cs="Calibri"/>
                <w:color w:val="000000"/>
                <w:sz w:val="20"/>
                <w:szCs w:val="20"/>
              </w:rPr>
              <w:t>172,610</w:t>
            </w:r>
          </w:p>
        </w:tc>
        <w:tc>
          <w:tcPr>
            <w:tcW w:w="735" w:type="pct"/>
            <w:tcBorders>
              <w:top w:val="nil"/>
              <w:left w:val="nil"/>
              <w:bottom w:val="nil"/>
              <w:right w:val="nil"/>
            </w:tcBorders>
            <w:shd w:val="clear" w:color="auto" w:fill="auto"/>
            <w:vAlign w:val="bottom"/>
          </w:tcPr>
          <w:p w14:paraId="4263BA9C" w14:textId="0A345C25" w:rsidR="007448E2" w:rsidRPr="00537128" w:rsidRDefault="007448E2" w:rsidP="007448E2">
            <w:pPr>
              <w:tabs>
                <w:tab w:val="right" w:pos="1202"/>
              </w:tabs>
              <w:spacing w:after="0" w:line="301" w:lineRule="exact"/>
              <w:jc w:val="right"/>
              <w:outlineLvl w:val="0"/>
              <w:rPr>
                <w:rFonts w:ascii="Calibri" w:eastAsia="Times New Roman" w:hAnsi="Calibri" w:cs="Calibri"/>
                <w:color w:val="000000"/>
                <w:sz w:val="20"/>
                <w:szCs w:val="20"/>
                <w:lang w:val="en-US"/>
              </w:rPr>
            </w:pPr>
            <w:r w:rsidRPr="009C407A">
              <w:rPr>
                <w:rFonts w:eastAsia="Arial Unicode MS" w:cstheme="minorHAnsi"/>
                <w:color w:val="000000" w:themeColor="text1"/>
                <w:sz w:val="20"/>
                <w:szCs w:val="20"/>
              </w:rPr>
              <w:t>186</w:t>
            </w:r>
            <w:r>
              <w:rPr>
                <w:rFonts w:eastAsia="Arial Unicode MS" w:cstheme="minorHAnsi"/>
                <w:color w:val="000000" w:themeColor="text1"/>
                <w:sz w:val="20"/>
                <w:szCs w:val="20"/>
              </w:rPr>
              <w:t>,</w:t>
            </w:r>
            <w:r w:rsidRPr="009C407A">
              <w:rPr>
                <w:rFonts w:eastAsia="Arial Unicode MS" w:cstheme="minorHAnsi"/>
                <w:color w:val="000000" w:themeColor="text1"/>
                <w:sz w:val="20"/>
                <w:szCs w:val="20"/>
              </w:rPr>
              <w:t>159</w:t>
            </w:r>
          </w:p>
        </w:tc>
        <w:tc>
          <w:tcPr>
            <w:tcW w:w="736" w:type="pct"/>
            <w:tcBorders>
              <w:top w:val="nil"/>
              <w:left w:val="nil"/>
              <w:bottom w:val="nil"/>
              <w:right w:val="nil"/>
            </w:tcBorders>
            <w:shd w:val="clear" w:color="auto" w:fill="auto"/>
            <w:vAlign w:val="bottom"/>
          </w:tcPr>
          <w:p w14:paraId="06FAD7C1" w14:textId="000EB517" w:rsidR="007448E2" w:rsidRPr="00537128" w:rsidRDefault="007448E2" w:rsidP="007448E2">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Arial Unicode MS" w:hAnsi="Calibri" w:cs="Calibri"/>
                <w:color w:val="000000"/>
                <w:sz w:val="20"/>
                <w:szCs w:val="20"/>
              </w:rPr>
              <w:t>172,610</w:t>
            </w:r>
          </w:p>
        </w:tc>
        <w:tc>
          <w:tcPr>
            <w:tcW w:w="735" w:type="pct"/>
            <w:tcBorders>
              <w:top w:val="nil"/>
              <w:left w:val="nil"/>
              <w:bottom w:val="nil"/>
              <w:right w:val="nil"/>
            </w:tcBorders>
            <w:shd w:val="clear" w:color="auto" w:fill="auto"/>
            <w:vAlign w:val="bottom"/>
            <w:hideMark/>
          </w:tcPr>
          <w:p w14:paraId="6033BBDC" w14:textId="73D09944" w:rsidR="007448E2" w:rsidRPr="00537128" w:rsidRDefault="007448E2" w:rsidP="007448E2">
            <w:pPr>
              <w:tabs>
                <w:tab w:val="right" w:pos="1202"/>
              </w:tabs>
              <w:spacing w:after="0" w:line="301" w:lineRule="exact"/>
              <w:jc w:val="right"/>
              <w:outlineLvl w:val="0"/>
              <w:rPr>
                <w:rFonts w:ascii="Calibri" w:eastAsia="Times New Roman" w:hAnsi="Calibri" w:cs="Calibri"/>
                <w:color w:val="000000"/>
                <w:sz w:val="20"/>
                <w:szCs w:val="20"/>
                <w:lang w:val="en-US"/>
              </w:rPr>
            </w:pPr>
            <w:r w:rsidRPr="009C407A">
              <w:rPr>
                <w:rFonts w:eastAsia="Arial Unicode MS" w:cstheme="minorHAnsi"/>
                <w:color w:val="000000" w:themeColor="text1"/>
                <w:sz w:val="20"/>
                <w:szCs w:val="20"/>
              </w:rPr>
              <w:t>186</w:t>
            </w:r>
            <w:r>
              <w:rPr>
                <w:rFonts w:eastAsia="Arial Unicode MS" w:cstheme="minorHAnsi"/>
                <w:color w:val="000000" w:themeColor="text1"/>
                <w:sz w:val="20"/>
                <w:szCs w:val="20"/>
              </w:rPr>
              <w:t>,</w:t>
            </w:r>
            <w:r w:rsidRPr="009C407A">
              <w:rPr>
                <w:rFonts w:eastAsia="Arial Unicode MS" w:cstheme="minorHAnsi"/>
                <w:color w:val="000000" w:themeColor="text1"/>
                <w:sz w:val="20"/>
                <w:szCs w:val="20"/>
              </w:rPr>
              <w:t>159</w:t>
            </w:r>
          </w:p>
        </w:tc>
      </w:tr>
      <w:tr w:rsidR="007448E2" w:rsidRPr="00537128" w14:paraId="2B4D907D" w14:textId="77777777" w:rsidTr="003470DA">
        <w:trPr>
          <w:trHeight w:val="227"/>
        </w:trPr>
        <w:tc>
          <w:tcPr>
            <w:tcW w:w="2124" w:type="pct"/>
            <w:hideMark/>
          </w:tcPr>
          <w:p w14:paraId="0B899094" w14:textId="20E9EC68" w:rsidR="007448E2" w:rsidRPr="00537128" w:rsidRDefault="007448E2" w:rsidP="007448E2">
            <w:pPr>
              <w:tabs>
                <w:tab w:val="left" w:pos="708"/>
                <w:tab w:val="right" w:pos="1202"/>
              </w:tabs>
              <w:spacing w:after="0" w:line="301" w:lineRule="exact"/>
              <w:outlineLvl w:val="0"/>
              <w:rPr>
                <w:rFonts w:ascii="Calibri" w:eastAsia="Times New Roman" w:hAnsi="Calibri" w:cs="Arial"/>
                <w:sz w:val="20"/>
                <w:szCs w:val="20"/>
                <w:lang w:val="en-US"/>
              </w:rPr>
            </w:pPr>
            <w:bookmarkStart w:id="518" w:name="_Toc4060036"/>
            <w:r w:rsidRPr="00537128">
              <w:rPr>
                <w:rFonts w:ascii="Calibri" w:eastAsia="Times New Roman" w:hAnsi="Calibri" w:cs="Arial"/>
                <w:sz w:val="20"/>
                <w:szCs w:val="20"/>
                <w:lang w:val="en-US"/>
              </w:rPr>
              <w:t>Accrued salaries</w:t>
            </w:r>
            <w:bookmarkEnd w:id="518"/>
          </w:p>
        </w:tc>
        <w:tc>
          <w:tcPr>
            <w:tcW w:w="670" w:type="pct"/>
            <w:tcBorders>
              <w:top w:val="nil"/>
              <w:left w:val="nil"/>
              <w:bottom w:val="nil"/>
              <w:right w:val="nil"/>
            </w:tcBorders>
            <w:shd w:val="clear" w:color="auto" w:fill="auto"/>
            <w:vAlign w:val="bottom"/>
          </w:tcPr>
          <w:p w14:paraId="377C2BFF" w14:textId="063F5570" w:rsidR="007448E2" w:rsidRPr="00537128" w:rsidRDefault="007448E2" w:rsidP="007448E2">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8,245</w:t>
            </w:r>
          </w:p>
        </w:tc>
        <w:tc>
          <w:tcPr>
            <w:tcW w:w="735" w:type="pct"/>
            <w:tcBorders>
              <w:top w:val="nil"/>
              <w:left w:val="nil"/>
              <w:bottom w:val="nil"/>
              <w:right w:val="nil"/>
            </w:tcBorders>
            <w:shd w:val="clear" w:color="auto" w:fill="auto"/>
            <w:vAlign w:val="bottom"/>
          </w:tcPr>
          <w:p w14:paraId="31B0B240" w14:textId="7959B3F5" w:rsidR="007448E2" w:rsidRPr="00537128" w:rsidRDefault="007448E2" w:rsidP="007448E2">
            <w:pPr>
              <w:tabs>
                <w:tab w:val="right" w:pos="1202"/>
              </w:tabs>
              <w:spacing w:after="0" w:line="301" w:lineRule="exact"/>
              <w:jc w:val="right"/>
              <w:outlineLvl w:val="0"/>
              <w:rPr>
                <w:rFonts w:ascii="Calibri" w:eastAsia="Times New Roman" w:hAnsi="Calibri" w:cs="Arial"/>
                <w:sz w:val="20"/>
                <w:szCs w:val="20"/>
                <w:lang w:val="en-US"/>
              </w:rPr>
            </w:pPr>
            <w:r w:rsidRPr="00730792">
              <w:rPr>
                <w:rFonts w:eastAsia="Arial Unicode MS" w:cstheme="minorHAnsi"/>
                <w:color w:val="000000" w:themeColor="text1"/>
                <w:sz w:val="20"/>
                <w:szCs w:val="20"/>
              </w:rPr>
              <w:t>8</w:t>
            </w:r>
            <w:r>
              <w:rPr>
                <w:rFonts w:eastAsia="Arial Unicode MS" w:cstheme="minorHAnsi"/>
                <w:color w:val="000000" w:themeColor="text1"/>
                <w:sz w:val="20"/>
                <w:szCs w:val="20"/>
              </w:rPr>
              <w:t>,</w:t>
            </w:r>
            <w:r w:rsidRPr="00730792">
              <w:rPr>
                <w:rFonts w:eastAsia="Arial Unicode MS" w:cstheme="minorHAnsi"/>
                <w:color w:val="000000" w:themeColor="text1"/>
                <w:sz w:val="20"/>
                <w:szCs w:val="20"/>
              </w:rPr>
              <w:t>613</w:t>
            </w:r>
          </w:p>
        </w:tc>
        <w:tc>
          <w:tcPr>
            <w:tcW w:w="736" w:type="pct"/>
            <w:tcBorders>
              <w:top w:val="nil"/>
              <w:left w:val="nil"/>
              <w:bottom w:val="nil"/>
              <w:right w:val="nil"/>
            </w:tcBorders>
            <w:shd w:val="clear" w:color="auto" w:fill="auto"/>
            <w:vAlign w:val="bottom"/>
          </w:tcPr>
          <w:p w14:paraId="62B30835" w14:textId="44E6AB62" w:rsidR="007448E2" w:rsidRPr="00537128" w:rsidRDefault="007448E2" w:rsidP="007448E2">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8,015</w:t>
            </w:r>
          </w:p>
        </w:tc>
        <w:tc>
          <w:tcPr>
            <w:tcW w:w="735" w:type="pct"/>
            <w:tcBorders>
              <w:top w:val="nil"/>
              <w:left w:val="nil"/>
              <w:bottom w:val="nil"/>
              <w:right w:val="nil"/>
            </w:tcBorders>
            <w:shd w:val="clear" w:color="auto" w:fill="auto"/>
            <w:vAlign w:val="bottom"/>
            <w:hideMark/>
          </w:tcPr>
          <w:p w14:paraId="094EB39F" w14:textId="6A616EE5" w:rsidR="007448E2" w:rsidRPr="00537128" w:rsidRDefault="007448E2" w:rsidP="007448E2">
            <w:pPr>
              <w:tabs>
                <w:tab w:val="right" w:pos="1202"/>
              </w:tabs>
              <w:spacing w:after="0" w:line="301" w:lineRule="exact"/>
              <w:jc w:val="right"/>
              <w:outlineLvl w:val="0"/>
              <w:rPr>
                <w:rFonts w:ascii="Calibri" w:eastAsia="Times New Roman" w:hAnsi="Calibri" w:cs="Arial"/>
                <w:sz w:val="20"/>
                <w:szCs w:val="20"/>
                <w:lang w:val="en-US"/>
              </w:rPr>
            </w:pPr>
            <w:r w:rsidRPr="009C407A">
              <w:rPr>
                <w:rFonts w:eastAsia="Arial Unicode MS" w:cstheme="minorHAnsi"/>
                <w:color w:val="000000" w:themeColor="text1"/>
                <w:sz w:val="20"/>
              </w:rPr>
              <w:t>8</w:t>
            </w:r>
            <w:r>
              <w:rPr>
                <w:rFonts w:eastAsia="Arial Unicode MS" w:cstheme="minorHAnsi"/>
                <w:color w:val="000000" w:themeColor="text1"/>
                <w:sz w:val="20"/>
              </w:rPr>
              <w:t>,</w:t>
            </w:r>
            <w:r w:rsidRPr="009C407A">
              <w:rPr>
                <w:rFonts w:eastAsia="Arial Unicode MS" w:cstheme="minorHAnsi"/>
                <w:color w:val="000000" w:themeColor="text1"/>
                <w:sz w:val="20"/>
              </w:rPr>
              <w:t>397</w:t>
            </w:r>
          </w:p>
        </w:tc>
      </w:tr>
      <w:tr w:rsidR="007448E2" w:rsidRPr="00537128" w14:paraId="581700D6" w14:textId="77777777" w:rsidTr="003470DA">
        <w:trPr>
          <w:trHeight w:val="227"/>
        </w:trPr>
        <w:tc>
          <w:tcPr>
            <w:tcW w:w="2124" w:type="pct"/>
            <w:hideMark/>
          </w:tcPr>
          <w:p w14:paraId="59ACC7F3" w14:textId="64A56518" w:rsidR="007448E2" w:rsidRPr="00537128" w:rsidRDefault="007448E2" w:rsidP="007448E2">
            <w:pPr>
              <w:tabs>
                <w:tab w:val="left" w:pos="708"/>
                <w:tab w:val="right" w:pos="1202"/>
              </w:tabs>
              <w:spacing w:after="0" w:line="301" w:lineRule="exact"/>
              <w:outlineLvl w:val="0"/>
              <w:rPr>
                <w:rFonts w:ascii="Calibri" w:eastAsia="Times New Roman" w:hAnsi="Calibri" w:cs="Arial"/>
                <w:sz w:val="20"/>
                <w:szCs w:val="20"/>
                <w:lang w:val="en-US"/>
              </w:rPr>
            </w:pPr>
            <w:bookmarkStart w:id="519" w:name="_Toc4060041"/>
            <w:r w:rsidRPr="00537128">
              <w:rPr>
                <w:rFonts w:ascii="Calibri" w:eastAsia="Times New Roman" w:hAnsi="Calibri" w:cs="Arial"/>
                <w:sz w:val="20"/>
                <w:szCs w:val="20"/>
                <w:lang w:val="en-US"/>
              </w:rPr>
              <w:t>Liabilities to suppliers</w:t>
            </w:r>
            <w:bookmarkEnd w:id="519"/>
          </w:p>
        </w:tc>
        <w:tc>
          <w:tcPr>
            <w:tcW w:w="670" w:type="pct"/>
            <w:tcBorders>
              <w:top w:val="nil"/>
              <w:left w:val="nil"/>
              <w:bottom w:val="nil"/>
              <w:right w:val="nil"/>
            </w:tcBorders>
            <w:shd w:val="clear" w:color="auto" w:fill="auto"/>
            <w:vAlign w:val="bottom"/>
          </w:tcPr>
          <w:p w14:paraId="547FAC7D" w14:textId="682AB742" w:rsidR="007448E2" w:rsidRPr="00537128" w:rsidRDefault="007448E2" w:rsidP="007448E2">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1,778</w:t>
            </w:r>
          </w:p>
        </w:tc>
        <w:tc>
          <w:tcPr>
            <w:tcW w:w="735" w:type="pct"/>
            <w:tcBorders>
              <w:top w:val="nil"/>
              <w:left w:val="nil"/>
              <w:bottom w:val="nil"/>
              <w:right w:val="nil"/>
            </w:tcBorders>
            <w:shd w:val="clear" w:color="auto" w:fill="auto"/>
            <w:vAlign w:val="bottom"/>
          </w:tcPr>
          <w:p w14:paraId="410910E0" w14:textId="035920C3" w:rsidR="007448E2" w:rsidRPr="00537128" w:rsidRDefault="007448E2" w:rsidP="007448E2">
            <w:pPr>
              <w:tabs>
                <w:tab w:val="right" w:pos="1202"/>
              </w:tabs>
              <w:spacing w:after="0" w:line="301" w:lineRule="exact"/>
              <w:jc w:val="right"/>
              <w:outlineLvl w:val="0"/>
              <w:rPr>
                <w:rFonts w:ascii="Calibri" w:eastAsia="Times New Roman" w:hAnsi="Calibri" w:cs="Arial"/>
                <w:sz w:val="20"/>
                <w:szCs w:val="20"/>
                <w:lang w:val="en-US"/>
              </w:rPr>
            </w:pPr>
            <w:r w:rsidRPr="00730792">
              <w:rPr>
                <w:rFonts w:eastAsia="Arial Unicode MS" w:cstheme="minorHAnsi"/>
                <w:color w:val="000000" w:themeColor="text1"/>
                <w:sz w:val="20"/>
                <w:szCs w:val="20"/>
              </w:rPr>
              <w:t>2</w:t>
            </w:r>
            <w:r>
              <w:rPr>
                <w:rFonts w:eastAsia="Arial Unicode MS" w:cstheme="minorHAnsi"/>
                <w:color w:val="000000" w:themeColor="text1"/>
                <w:sz w:val="20"/>
                <w:szCs w:val="20"/>
              </w:rPr>
              <w:t>,</w:t>
            </w:r>
            <w:r w:rsidRPr="00730792">
              <w:rPr>
                <w:rFonts w:eastAsia="Arial Unicode MS" w:cstheme="minorHAnsi"/>
                <w:color w:val="000000" w:themeColor="text1"/>
                <w:sz w:val="20"/>
                <w:szCs w:val="20"/>
              </w:rPr>
              <w:t>180</w:t>
            </w:r>
          </w:p>
        </w:tc>
        <w:tc>
          <w:tcPr>
            <w:tcW w:w="736" w:type="pct"/>
            <w:tcBorders>
              <w:top w:val="nil"/>
              <w:left w:val="nil"/>
              <w:bottom w:val="nil"/>
              <w:right w:val="nil"/>
            </w:tcBorders>
            <w:shd w:val="clear" w:color="auto" w:fill="auto"/>
            <w:vAlign w:val="bottom"/>
          </w:tcPr>
          <w:p w14:paraId="13D93692" w14:textId="05F4FB89" w:rsidR="007448E2" w:rsidRPr="00537128" w:rsidRDefault="007448E2" w:rsidP="007448E2">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1,667</w:t>
            </w:r>
          </w:p>
        </w:tc>
        <w:tc>
          <w:tcPr>
            <w:tcW w:w="735" w:type="pct"/>
            <w:tcBorders>
              <w:top w:val="nil"/>
              <w:left w:val="nil"/>
              <w:bottom w:val="nil"/>
              <w:right w:val="nil"/>
            </w:tcBorders>
            <w:shd w:val="clear" w:color="auto" w:fill="auto"/>
            <w:vAlign w:val="bottom"/>
            <w:hideMark/>
          </w:tcPr>
          <w:p w14:paraId="0F0F46AC" w14:textId="7D832D4A" w:rsidR="007448E2" w:rsidRPr="00537128" w:rsidRDefault="007448E2" w:rsidP="007448E2">
            <w:pPr>
              <w:tabs>
                <w:tab w:val="right" w:pos="1202"/>
              </w:tabs>
              <w:spacing w:after="0" w:line="301" w:lineRule="exact"/>
              <w:jc w:val="right"/>
              <w:outlineLvl w:val="0"/>
              <w:rPr>
                <w:rFonts w:ascii="Calibri" w:eastAsia="Times New Roman" w:hAnsi="Calibri" w:cs="Arial"/>
                <w:sz w:val="20"/>
                <w:szCs w:val="20"/>
                <w:lang w:val="en-US"/>
              </w:rPr>
            </w:pPr>
            <w:r w:rsidRPr="009C407A">
              <w:rPr>
                <w:rFonts w:eastAsia="Arial Unicode MS" w:cstheme="minorHAnsi"/>
                <w:color w:val="000000" w:themeColor="text1"/>
                <w:sz w:val="20"/>
              </w:rPr>
              <w:t>2</w:t>
            </w:r>
            <w:r>
              <w:rPr>
                <w:rFonts w:eastAsia="Arial Unicode MS" w:cstheme="minorHAnsi"/>
                <w:color w:val="000000" w:themeColor="text1"/>
                <w:sz w:val="20"/>
              </w:rPr>
              <w:t>,</w:t>
            </w:r>
            <w:r w:rsidRPr="009C407A">
              <w:rPr>
                <w:rFonts w:eastAsia="Arial Unicode MS" w:cstheme="minorHAnsi"/>
                <w:color w:val="000000" w:themeColor="text1"/>
                <w:sz w:val="20"/>
              </w:rPr>
              <w:t>065</w:t>
            </w:r>
          </w:p>
        </w:tc>
      </w:tr>
      <w:tr w:rsidR="007448E2" w:rsidRPr="00537128" w14:paraId="0C41A26C" w14:textId="77777777" w:rsidTr="003470DA">
        <w:trPr>
          <w:trHeight w:val="227"/>
        </w:trPr>
        <w:tc>
          <w:tcPr>
            <w:tcW w:w="2124" w:type="pct"/>
            <w:hideMark/>
          </w:tcPr>
          <w:p w14:paraId="0587EF1B" w14:textId="1CB2A30E" w:rsidR="007448E2" w:rsidRPr="00537128" w:rsidRDefault="007448E2" w:rsidP="007448E2">
            <w:pPr>
              <w:tabs>
                <w:tab w:val="left" w:pos="708"/>
                <w:tab w:val="right" w:pos="1202"/>
              </w:tabs>
              <w:spacing w:after="0" w:line="301" w:lineRule="exact"/>
              <w:outlineLvl w:val="0"/>
              <w:rPr>
                <w:rFonts w:ascii="Calibri" w:eastAsia="Times New Roman" w:hAnsi="Calibri" w:cs="Arial"/>
                <w:sz w:val="20"/>
                <w:szCs w:val="20"/>
                <w:lang w:val="en-US"/>
              </w:rPr>
            </w:pPr>
            <w:bookmarkStart w:id="520" w:name="_Toc4060046"/>
            <w:r w:rsidRPr="00537128">
              <w:rPr>
                <w:rFonts w:ascii="Calibri" w:eastAsia="Times New Roman" w:hAnsi="Calibri" w:cs="Arial"/>
                <w:sz w:val="20"/>
                <w:szCs w:val="20"/>
                <w:lang w:val="en-US"/>
              </w:rPr>
              <w:t>Liabilities for prepaid receivables</w:t>
            </w:r>
            <w:bookmarkEnd w:id="520"/>
          </w:p>
        </w:tc>
        <w:tc>
          <w:tcPr>
            <w:tcW w:w="670" w:type="pct"/>
            <w:tcBorders>
              <w:top w:val="nil"/>
              <w:left w:val="nil"/>
              <w:bottom w:val="nil"/>
              <w:right w:val="nil"/>
            </w:tcBorders>
            <w:shd w:val="clear" w:color="auto" w:fill="auto"/>
            <w:vAlign w:val="bottom"/>
          </w:tcPr>
          <w:p w14:paraId="4AEC9EB9" w14:textId="3054E240" w:rsidR="007448E2" w:rsidRPr="00537128" w:rsidRDefault="007448E2" w:rsidP="007448E2">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4,154</w:t>
            </w:r>
          </w:p>
        </w:tc>
        <w:tc>
          <w:tcPr>
            <w:tcW w:w="735" w:type="pct"/>
            <w:tcBorders>
              <w:top w:val="nil"/>
              <w:left w:val="nil"/>
              <w:bottom w:val="nil"/>
              <w:right w:val="nil"/>
            </w:tcBorders>
            <w:shd w:val="clear" w:color="auto" w:fill="auto"/>
            <w:vAlign w:val="bottom"/>
          </w:tcPr>
          <w:p w14:paraId="7291F6B8" w14:textId="7A07F50D" w:rsidR="007448E2" w:rsidRPr="00537128" w:rsidRDefault="007448E2" w:rsidP="007448E2">
            <w:pPr>
              <w:tabs>
                <w:tab w:val="right" w:pos="1202"/>
              </w:tabs>
              <w:spacing w:after="0" w:line="301" w:lineRule="exact"/>
              <w:jc w:val="right"/>
              <w:outlineLvl w:val="0"/>
              <w:rPr>
                <w:rFonts w:ascii="Calibri" w:eastAsia="Times New Roman" w:hAnsi="Calibri" w:cs="Arial"/>
                <w:sz w:val="20"/>
                <w:szCs w:val="20"/>
                <w:lang w:val="en-US"/>
              </w:rPr>
            </w:pPr>
            <w:r w:rsidRPr="00730792">
              <w:rPr>
                <w:rFonts w:eastAsia="Arial Unicode MS" w:cstheme="minorHAnsi"/>
                <w:color w:val="000000" w:themeColor="text1"/>
                <w:sz w:val="20"/>
                <w:szCs w:val="20"/>
              </w:rPr>
              <w:t>4</w:t>
            </w:r>
            <w:r>
              <w:rPr>
                <w:rFonts w:eastAsia="Arial Unicode MS" w:cstheme="minorHAnsi"/>
                <w:color w:val="000000" w:themeColor="text1"/>
                <w:sz w:val="20"/>
                <w:szCs w:val="20"/>
              </w:rPr>
              <w:t>,</w:t>
            </w:r>
            <w:r w:rsidRPr="00730792">
              <w:rPr>
                <w:rFonts w:eastAsia="Arial Unicode MS" w:cstheme="minorHAnsi"/>
                <w:color w:val="000000" w:themeColor="text1"/>
                <w:sz w:val="20"/>
                <w:szCs w:val="20"/>
              </w:rPr>
              <w:t>921</w:t>
            </w:r>
          </w:p>
        </w:tc>
        <w:tc>
          <w:tcPr>
            <w:tcW w:w="736" w:type="pct"/>
            <w:tcBorders>
              <w:top w:val="nil"/>
              <w:left w:val="nil"/>
              <w:bottom w:val="nil"/>
              <w:right w:val="nil"/>
            </w:tcBorders>
            <w:shd w:val="clear" w:color="auto" w:fill="auto"/>
            <w:vAlign w:val="bottom"/>
          </w:tcPr>
          <w:p w14:paraId="64B2F70A" w14:textId="34C0C27E" w:rsidR="007448E2" w:rsidRPr="00537128" w:rsidRDefault="007448E2" w:rsidP="007448E2">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4,154</w:t>
            </w:r>
          </w:p>
        </w:tc>
        <w:tc>
          <w:tcPr>
            <w:tcW w:w="735" w:type="pct"/>
            <w:tcBorders>
              <w:top w:val="nil"/>
              <w:left w:val="nil"/>
              <w:bottom w:val="nil"/>
              <w:right w:val="nil"/>
            </w:tcBorders>
            <w:shd w:val="clear" w:color="auto" w:fill="auto"/>
            <w:vAlign w:val="bottom"/>
            <w:hideMark/>
          </w:tcPr>
          <w:p w14:paraId="40BC20C3" w14:textId="21AAC86E" w:rsidR="007448E2" w:rsidRPr="00537128" w:rsidRDefault="007448E2" w:rsidP="007448E2">
            <w:pPr>
              <w:tabs>
                <w:tab w:val="right" w:pos="1202"/>
              </w:tabs>
              <w:spacing w:after="0" w:line="301" w:lineRule="exact"/>
              <w:jc w:val="right"/>
              <w:outlineLvl w:val="0"/>
              <w:rPr>
                <w:rFonts w:ascii="Calibri" w:eastAsia="Times New Roman" w:hAnsi="Calibri" w:cs="Arial"/>
                <w:sz w:val="20"/>
                <w:szCs w:val="20"/>
                <w:lang w:val="en-US"/>
              </w:rPr>
            </w:pPr>
            <w:r w:rsidRPr="009C407A">
              <w:rPr>
                <w:rFonts w:eastAsia="Arial Unicode MS" w:cstheme="minorHAnsi"/>
                <w:color w:val="000000" w:themeColor="text1"/>
                <w:sz w:val="20"/>
              </w:rPr>
              <w:t>4</w:t>
            </w:r>
            <w:r>
              <w:rPr>
                <w:rFonts w:eastAsia="Arial Unicode MS" w:cstheme="minorHAnsi"/>
                <w:color w:val="000000" w:themeColor="text1"/>
                <w:sz w:val="20"/>
              </w:rPr>
              <w:t>,</w:t>
            </w:r>
            <w:r w:rsidRPr="009C407A">
              <w:rPr>
                <w:rFonts w:eastAsia="Arial Unicode MS" w:cstheme="minorHAnsi"/>
                <w:color w:val="000000" w:themeColor="text1"/>
                <w:sz w:val="20"/>
              </w:rPr>
              <w:t>921</w:t>
            </w:r>
          </w:p>
        </w:tc>
      </w:tr>
      <w:tr w:rsidR="007448E2" w:rsidRPr="00537128" w14:paraId="6739F9CB" w14:textId="77777777" w:rsidTr="003470DA">
        <w:trPr>
          <w:trHeight w:val="227"/>
        </w:trPr>
        <w:tc>
          <w:tcPr>
            <w:tcW w:w="2124" w:type="pct"/>
            <w:hideMark/>
          </w:tcPr>
          <w:p w14:paraId="4D00CAF2" w14:textId="16D3EEB0" w:rsidR="007448E2" w:rsidRPr="00537128" w:rsidRDefault="007448E2" w:rsidP="007448E2">
            <w:pPr>
              <w:tabs>
                <w:tab w:val="left" w:pos="708"/>
                <w:tab w:val="right" w:pos="1202"/>
              </w:tabs>
              <w:spacing w:after="0" w:line="301" w:lineRule="exact"/>
              <w:outlineLvl w:val="0"/>
              <w:rPr>
                <w:rFonts w:ascii="Calibri" w:eastAsia="Times New Roman" w:hAnsi="Calibri" w:cs="Arial"/>
                <w:sz w:val="20"/>
                <w:szCs w:val="20"/>
                <w:lang w:val="en-US"/>
              </w:rPr>
            </w:pPr>
            <w:bookmarkStart w:id="521" w:name="_Toc4060051"/>
            <w:r w:rsidRPr="00537128">
              <w:rPr>
                <w:rFonts w:ascii="Calibri" w:eastAsia="Times New Roman" w:hAnsi="Calibri" w:cs="Arial"/>
                <w:sz w:val="20"/>
                <w:szCs w:val="20"/>
                <w:lang w:val="en-US"/>
              </w:rPr>
              <w:t>Deferrable premium</w:t>
            </w:r>
            <w:bookmarkEnd w:id="521"/>
          </w:p>
        </w:tc>
        <w:tc>
          <w:tcPr>
            <w:tcW w:w="670" w:type="pct"/>
            <w:tcBorders>
              <w:top w:val="nil"/>
              <w:left w:val="nil"/>
              <w:bottom w:val="nil"/>
              <w:right w:val="nil"/>
            </w:tcBorders>
            <w:shd w:val="clear" w:color="auto" w:fill="auto"/>
            <w:vAlign w:val="bottom"/>
          </w:tcPr>
          <w:p w14:paraId="32768B38" w14:textId="021B076E" w:rsidR="007448E2" w:rsidRPr="00537128" w:rsidRDefault="007448E2" w:rsidP="007448E2">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5,368</w:t>
            </w:r>
          </w:p>
        </w:tc>
        <w:tc>
          <w:tcPr>
            <w:tcW w:w="735" w:type="pct"/>
            <w:tcBorders>
              <w:top w:val="nil"/>
              <w:left w:val="nil"/>
              <w:bottom w:val="nil"/>
              <w:right w:val="nil"/>
            </w:tcBorders>
            <w:shd w:val="clear" w:color="auto" w:fill="auto"/>
            <w:vAlign w:val="bottom"/>
          </w:tcPr>
          <w:p w14:paraId="08C7AD01" w14:textId="0BAF18F8" w:rsidR="007448E2" w:rsidRPr="00537128" w:rsidRDefault="007448E2" w:rsidP="007448E2">
            <w:pPr>
              <w:tabs>
                <w:tab w:val="right" w:pos="1202"/>
              </w:tabs>
              <w:spacing w:after="0" w:line="301" w:lineRule="exact"/>
              <w:jc w:val="right"/>
              <w:outlineLvl w:val="0"/>
              <w:rPr>
                <w:rFonts w:ascii="Calibri" w:eastAsia="Times New Roman" w:hAnsi="Calibri" w:cs="Arial"/>
                <w:sz w:val="20"/>
                <w:szCs w:val="20"/>
                <w:lang w:val="en-US"/>
              </w:rPr>
            </w:pPr>
            <w:r w:rsidRPr="00730792">
              <w:rPr>
                <w:rFonts w:eastAsia="Arial Unicode MS" w:cstheme="minorHAnsi"/>
                <w:color w:val="000000" w:themeColor="text1"/>
                <w:sz w:val="20"/>
                <w:szCs w:val="20"/>
              </w:rPr>
              <w:t>5</w:t>
            </w:r>
            <w:r>
              <w:rPr>
                <w:rFonts w:eastAsia="Arial Unicode MS" w:cstheme="minorHAnsi"/>
                <w:color w:val="000000" w:themeColor="text1"/>
                <w:sz w:val="20"/>
                <w:szCs w:val="20"/>
              </w:rPr>
              <w:t>,</w:t>
            </w:r>
            <w:r w:rsidRPr="00730792">
              <w:rPr>
                <w:rFonts w:eastAsia="Arial Unicode MS" w:cstheme="minorHAnsi"/>
                <w:color w:val="000000" w:themeColor="text1"/>
                <w:sz w:val="20"/>
                <w:szCs w:val="20"/>
              </w:rPr>
              <w:t>219</w:t>
            </w:r>
          </w:p>
        </w:tc>
        <w:tc>
          <w:tcPr>
            <w:tcW w:w="736" w:type="pct"/>
            <w:tcBorders>
              <w:top w:val="nil"/>
              <w:left w:val="nil"/>
              <w:bottom w:val="nil"/>
              <w:right w:val="nil"/>
            </w:tcBorders>
            <w:shd w:val="clear" w:color="auto" w:fill="auto"/>
            <w:vAlign w:val="bottom"/>
          </w:tcPr>
          <w:p w14:paraId="6F44A1AE" w14:textId="39F6C2D6" w:rsidR="007448E2" w:rsidRPr="00537128" w:rsidRDefault="007448E2" w:rsidP="007448E2">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w:t>
            </w:r>
          </w:p>
        </w:tc>
        <w:tc>
          <w:tcPr>
            <w:tcW w:w="735" w:type="pct"/>
            <w:tcBorders>
              <w:top w:val="nil"/>
              <w:left w:val="nil"/>
              <w:bottom w:val="nil"/>
              <w:right w:val="nil"/>
            </w:tcBorders>
            <w:shd w:val="clear" w:color="auto" w:fill="auto"/>
            <w:vAlign w:val="bottom"/>
            <w:hideMark/>
          </w:tcPr>
          <w:p w14:paraId="36FB7165" w14:textId="54909C0A" w:rsidR="007448E2" w:rsidRPr="00537128" w:rsidRDefault="007448E2" w:rsidP="007448E2">
            <w:pPr>
              <w:tabs>
                <w:tab w:val="right" w:pos="1202"/>
              </w:tabs>
              <w:spacing w:after="0" w:line="301" w:lineRule="exact"/>
              <w:jc w:val="right"/>
              <w:outlineLvl w:val="0"/>
              <w:rPr>
                <w:rFonts w:ascii="Calibri" w:eastAsia="Times New Roman" w:hAnsi="Calibri" w:cs="Arial"/>
                <w:sz w:val="20"/>
                <w:szCs w:val="20"/>
                <w:lang w:val="en-US"/>
              </w:rPr>
            </w:pPr>
            <w:r>
              <w:rPr>
                <w:rFonts w:eastAsia="Arial Unicode MS" w:cstheme="minorHAnsi"/>
                <w:color w:val="000000" w:themeColor="text1"/>
                <w:sz w:val="20"/>
              </w:rPr>
              <w:t>-</w:t>
            </w:r>
          </w:p>
        </w:tc>
      </w:tr>
      <w:tr w:rsidR="007448E2" w:rsidRPr="00537128" w14:paraId="44DED617" w14:textId="77777777" w:rsidTr="003470DA">
        <w:trPr>
          <w:trHeight w:val="227"/>
        </w:trPr>
        <w:tc>
          <w:tcPr>
            <w:tcW w:w="2124" w:type="pct"/>
            <w:hideMark/>
          </w:tcPr>
          <w:p w14:paraId="3630D33D" w14:textId="2C090C89" w:rsidR="007448E2" w:rsidRPr="00537128" w:rsidRDefault="007448E2" w:rsidP="007448E2">
            <w:pPr>
              <w:tabs>
                <w:tab w:val="left" w:pos="708"/>
                <w:tab w:val="right" w:pos="1202"/>
              </w:tabs>
              <w:spacing w:after="0" w:line="301" w:lineRule="exact"/>
              <w:outlineLvl w:val="0"/>
              <w:rPr>
                <w:rFonts w:ascii="Calibri" w:eastAsia="Times New Roman" w:hAnsi="Calibri" w:cs="Arial"/>
                <w:sz w:val="20"/>
                <w:szCs w:val="20"/>
                <w:lang w:val="en-US"/>
              </w:rPr>
            </w:pPr>
            <w:bookmarkStart w:id="522" w:name="_Toc4060056"/>
            <w:r w:rsidRPr="00537128">
              <w:rPr>
                <w:rFonts w:ascii="Calibri" w:eastAsia="Times New Roman" w:hAnsi="Calibri" w:cs="Arial"/>
                <w:sz w:val="20"/>
                <w:szCs w:val="20"/>
                <w:lang w:val="en-US"/>
              </w:rPr>
              <w:t>Provisions for claims</w:t>
            </w:r>
            <w:bookmarkEnd w:id="522"/>
          </w:p>
        </w:tc>
        <w:tc>
          <w:tcPr>
            <w:tcW w:w="670" w:type="pct"/>
            <w:tcBorders>
              <w:top w:val="nil"/>
              <w:left w:val="nil"/>
              <w:bottom w:val="nil"/>
              <w:right w:val="nil"/>
            </w:tcBorders>
            <w:shd w:val="clear" w:color="auto" w:fill="auto"/>
            <w:vAlign w:val="bottom"/>
          </w:tcPr>
          <w:p w14:paraId="0A24939F" w14:textId="1C044429" w:rsidR="007448E2" w:rsidRPr="00537128" w:rsidRDefault="007448E2" w:rsidP="007448E2">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8,708</w:t>
            </w:r>
          </w:p>
        </w:tc>
        <w:tc>
          <w:tcPr>
            <w:tcW w:w="735" w:type="pct"/>
            <w:tcBorders>
              <w:top w:val="nil"/>
              <w:left w:val="nil"/>
              <w:bottom w:val="nil"/>
              <w:right w:val="nil"/>
            </w:tcBorders>
            <w:shd w:val="clear" w:color="auto" w:fill="auto"/>
            <w:vAlign w:val="bottom"/>
          </w:tcPr>
          <w:p w14:paraId="383FE0AD" w14:textId="3B3A3F7B" w:rsidR="007448E2" w:rsidRPr="00537128" w:rsidRDefault="007448E2" w:rsidP="007448E2">
            <w:pPr>
              <w:tabs>
                <w:tab w:val="right" w:pos="1202"/>
              </w:tabs>
              <w:spacing w:after="0" w:line="301" w:lineRule="exact"/>
              <w:jc w:val="right"/>
              <w:outlineLvl w:val="0"/>
              <w:rPr>
                <w:rFonts w:ascii="Calibri" w:eastAsia="Times New Roman" w:hAnsi="Calibri" w:cs="Arial"/>
                <w:sz w:val="20"/>
                <w:szCs w:val="20"/>
                <w:lang w:val="en-US"/>
              </w:rPr>
            </w:pPr>
            <w:r w:rsidRPr="00730792">
              <w:rPr>
                <w:rFonts w:eastAsia="Arial Unicode MS" w:cstheme="minorHAnsi"/>
                <w:color w:val="000000" w:themeColor="text1"/>
                <w:sz w:val="20"/>
                <w:szCs w:val="20"/>
              </w:rPr>
              <w:t>6</w:t>
            </w:r>
            <w:r>
              <w:rPr>
                <w:rFonts w:eastAsia="Arial Unicode MS" w:cstheme="minorHAnsi"/>
                <w:color w:val="000000" w:themeColor="text1"/>
                <w:sz w:val="20"/>
                <w:szCs w:val="20"/>
              </w:rPr>
              <w:t>,</w:t>
            </w:r>
            <w:r w:rsidRPr="00730792">
              <w:rPr>
                <w:rFonts w:eastAsia="Arial Unicode MS" w:cstheme="minorHAnsi"/>
                <w:color w:val="000000" w:themeColor="text1"/>
                <w:sz w:val="20"/>
                <w:szCs w:val="20"/>
              </w:rPr>
              <w:t>815</w:t>
            </w:r>
          </w:p>
        </w:tc>
        <w:tc>
          <w:tcPr>
            <w:tcW w:w="736" w:type="pct"/>
            <w:tcBorders>
              <w:top w:val="nil"/>
              <w:left w:val="nil"/>
              <w:bottom w:val="nil"/>
              <w:right w:val="nil"/>
            </w:tcBorders>
            <w:shd w:val="clear" w:color="auto" w:fill="auto"/>
            <w:vAlign w:val="bottom"/>
          </w:tcPr>
          <w:p w14:paraId="059B233E" w14:textId="4A9D5C5D" w:rsidR="007448E2" w:rsidRPr="00537128" w:rsidRDefault="007448E2" w:rsidP="007448E2">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w:t>
            </w:r>
          </w:p>
        </w:tc>
        <w:tc>
          <w:tcPr>
            <w:tcW w:w="735" w:type="pct"/>
            <w:tcBorders>
              <w:top w:val="nil"/>
              <w:left w:val="nil"/>
              <w:bottom w:val="nil"/>
              <w:right w:val="nil"/>
            </w:tcBorders>
            <w:shd w:val="clear" w:color="auto" w:fill="auto"/>
            <w:vAlign w:val="bottom"/>
            <w:hideMark/>
          </w:tcPr>
          <w:p w14:paraId="2BA3C58F" w14:textId="1D8F6124" w:rsidR="007448E2" w:rsidRPr="00537128" w:rsidRDefault="007448E2" w:rsidP="007448E2">
            <w:pPr>
              <w:tabs>
                <w:tab w:val="right" w:pos="1202"/>
              </w:tabs>
              <w:spacing w:after="0" w:line="301" w:lineRule="exact"/>
              <w:jc w:val="right"/>
              <w:outlineLvl w:val="0"/>
              <w:rPr>
                <w:rFonts w:ascii="Calibri" w:eastAsia="Times New Roman" w:hAnsi="Calibri" w:cs="Arial"/>
                <w:sz w:val="20"/>
                <w:szCs w:val="20"/>
                <w:lang w:val="en-US"/>
              </w:rPr>
            </w:pPr>
            <w:r>
              <w:rPr>
                <w:rFonts w:eastAsia="Arial Unicode MS" w:cstheme="minorHAnsi"/>
                <w:color w:val="000000" w:themeColor="text1"/>
                <w:sz w:val="20"/>
              </w:rPr>
              <w:t>-</w:t>
            </w:r>
          </w:p>
        </w:tc>
      </w:tr>
      <w:tr w:rsidR="007448E2" w:rsidRPr="00537128" w14:paraId="3FC42E49" w14:textId="77777777" w:rsidTr="003470DA">
        <w:trPr>
          <w:trHeight w:val="227"/>
        </w:trPr>
        <w:tc>
          <w:tcPr>
            <w:tcW w:w="2124" w:type="pct"/>
            <w:hideMark/>
          </w:tcPr>
          <w:p w14:paraId="33C813B6" w14:textId="3377D722" w:rsidR="007448E2" w:rsidRPr="00537128" w:rsidRDefault="007448E2" w:rsidP="007448E2">
            <w:pPr>
              <w:tabs>
                <w:tab w:val="left" w:pos="708"/>
                <w:tab w:val="right" w:pos="1202"/>
              </w:tabs>
              <w:spacing w:after="0" w:line="301" w:lineRule="exact"/>
              <w:outlineLvl w:val="0"/>
              <w:rPr>
                <w:rFonts w:ascii="Calibri" w:eastAsia="Times New Roman" w:hAnsi="Calibri" w:cs="Arial"/>
                <w:sz w:val="20"/>
                <w:szCs w:val="20"/>
                <w:lang w:val="en-US"/>
              </w:rPr>
            </w:pPr>
            <w:bookmarkStart w:id="523" w:name="_Toc4060061"/>
            <w:r w:rsidRPr="00537128">
              <w:rPr>
                <w:rFonts w:ascii="Calibri" w:eastAsia="Times New Roman" w:hAnsi="Calibri" w:cs="Arial"/>
                <w:sz w:val="20"/>
                <w:szCs w:val="20"/>
                <w:lang w:val="en-US"/>
              </w:rPr>
              <w:t>Provisions for return premiums</w:t>
            </w:r>
            <w:bookmarkEnd w:id="523"/>
            <w:r w:rsidRPr="00537128">
              <w:rPr>
                <w:rFonts w:ascii="Calibri" w:eastAsia="Times New Roman" w:hAnsi="Calibri" w:cs="Arial"/>
                <w:sz w:val="20"/>
                <w:szCs w:val="20"/>
                <w:lang w:val="en-US"/>
              </w:rPr>
              <w:t xml:space="preserve"> </w:t>
            </w:r>
          </w:p>
        </w:tc>
        <w:tc>
          <w:tcPr>
            <w:tcW w:w="670" w:type="pct"/>
            <w:tcBorders>
              <w:top w:val="nil"/>
              <w:left w:val="nil"/>
              <w:bottom w:val="nil"/>
              <w:right w:val="nil"/>
            </w:tcBorders>
            <w:shd w:val="clear" w:color="auto" w:fill="auto"/>
            <w:vAlign w:val="bottom"/>
          </w:tcPr>
          <w:p w14:paraId="1DA9016A" w14:textId="209932C7" w:rsidR="007448E2" w:rsidRPr="00537128" w:rsidRDefault="007448E2" w:rsidP="007448E2">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1,426</w:t>
            </w:r>
          </w:p>
        </w:tc>
        <w:tc>
          <w:tcPr>
            <w:tcW w:w="735" w:type="pct"/>
            <w:tcBorders>
              <w:top w:val="nil"/>
              <w:left w:val="nil"/>
              <w:bottom w:val="nil"/>
              <w:right w:val="nil"/>
            </w:tcBorders>
            <w:shd w:val="clear" w:color="auto" w:fill="auto"/>
            <w:vAlign w:val="bottom"/>
          </w:tcPr>
          <w:p w14:paraId="77A8003E" w14:textId="1B10B501" w:rsidR="007448E2" w:rsidRPr="00537128" w:rsidRDefault="007448E2" w:rsidP="007448E2">
            <w:pPr>
              <w:tabs>
                <w:tab w:val="right" w:pos="1202"/>
              </w:tabs>
              <w:spacing w:after="0" w:line="301" w:lineRule="exact"/>
              <w:jc w:val="right"/>
              <w:outlineLvl w:val="0"/>
              <w:rPr>
                <w:rFonts w:ascii="Calibri" w:eastAsia="Times New Roman" w:hAnsi="Calibri" w:cs="Arial"/>
                <w:sz w:val="20"/>
                <w:szCs w:val="20"/>
                <w:lang w:val="en-US"/>
              </w:rPr>
            </w:pPr>
            <w:r w:rsidRPr="00730792">
              <w:rPr>
                <w:rFonts w:eastAsia="Arial Unicode MS" w:cstheme="minorHAnsi"/>
                <w:color w:val="000000" w:themeColor="text1"/>
                <w:sz w:val="20"/>
                <w:szCs w:val="20"/>
              </w:rPr>
              <w:t>1</w:t>
            </w:r>
            <w:r>
              <w:rPr>
                <w:rFonts w:eastAsia="Arial Unicode MS" w:cstheme="minorHAnsi"/>
                <w:color w:val="000000" w:themeColor="text1"/>
                <w:sz w:val="20"/>
                <w:szCs w:val="20"/>
              </w:rPr>
              <w:t>,</w:t>
            </w:r>
            <w:r w:rsidRPr="00730792">
              <w:rPr>
                <w:rFonts w:eastAsia="Arial Unicode MS" w:cstheme="minorHAnsi"/>
                <w:color w:val="000000" w:themeColor="text1"/>
                <w:sz w:val="20"/>
                <w:szCs w:val="20"/>
              </w:rPr>
              <w:t>454</w:t>
            </w:r>
          </w:p>
        </w:tc>
        <w:tc>
          <w:tcPr>
            <w:tcW w:w="736" w:type="pct"/>
            <w:tcBorders>
              <w:top w:val="nil"/>
              <w:left w:val="nil"/>
              <w:bottom w:val="nil"/>
              <w:right w:val="nil"/>
            </w:tcBorders>
            <w:shd w:val="clear" w:color="auto" w:fill="auto"/>
            <w:vAlign w:val="bottom"/>
          </w:tcPr>
          <w:p w14:paraId="031E4855" w14:textId="11ED46B6" w:rsidR="007448E2" w:rsidRPr="00537128" w:rsidRDefault="007448E2" w:rsidP="007448E2">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w:t>
            </w:r>
          </w:p>
        </w:tc>
        <w:tc>
          <w:tcPr>
            <w:tcW w:w="735" w:type="pct"/>
            <w:tcBorders>
              <w:top w:val="nil"/>
              <w:left w:val="nil"/>
              <w:bottom w:val="nil"/>
              <w:right w:val="nil"/>
            </w:tcBorders>
            <w:shd w:val="clear" w:color="auto" w:fill="auto"/>
            <w:vAlign w:val="bottom"/>
            <w:hideMark/>
          </w:tcPr>
          <w:p w14:paraId="3BC99775" w14:textId="0FF65471" w:rsidR="007448E2" w:rsidRPr="00537128" w:rsidRDefault="007448E2" w:rsidP="007448E2">
            <w:pPr>
              <w:tabs>
                <w:tab w:val="right" w:pos="1202"/>
              </w:tabs>
              <w:spacing w:after="0" w:line="301" w:lineRule="exact"/>
              <w:jc w:val="right"/>
              <w:outlineLvl w:val="0"/>
              <w:rPr>
                <w:rFonts w:ascii="Calibri" w:eastAsia="Times New Roman" w:hAnsi="Calibri" w:cs="Arial"/>
                <w:sz w:val="20"/>
                <w:szCs w:val="20"/>
                <w:lang w:val="en-US"/>
              </w:rPr>
            </w:pPr>
            <w:r>
              <w:rPr>
                <w:rFonts w:eastAsia="Arial Unicode MS" w:cstheme="minorHAnsi"/>
                <w:color w:val="000000" w:themeColor="text1"/>
                <w:sz w:val="20"/>
              </w:rPr>
              <w:t>-</w:t>
            </w:r>
          </w:p>
        </w:tc>
      </w:tr>
      <w:tr w:rsidR="007448E2" w:rsidRPr="00537128" w14:paraId="05E3E313" w14:textId="77777777" w:rsidTr="003470DA">
        <w:trPr>
          <w:trHeight w:val="227"/>
        </w:trPr>
        <w:tc>
          <w:tcPr>
            <w:tcW w:w="2124" w:type="pct"/>
            <w:hideMark/>
          </w:tcPr>
          <w:p w14:paraId="64307BA3" w14:textId="4626FC90" w:rsidR="007448E2" w:rsidRPr="00537128" w:rsidRDefault="007448E2" w:rsidP="007448E2">
            <w:pPr>
              <w:tabs>
                <w:tab w:val="left" w:pos="708"/>
                <w:tab w:val="right" w:pos="1202"/>
              </w:tabs>
              <w:spacing w:after="0" w:line="301" w:lineRule="exact"/>
              <w:outlineLvl w:val="0"/>
              <w:rPr>
                <w:rFonts w:ascii="Calibri" w:eastAsia="Times New Roman" w:hAnsi="Calibri" w:cs="Arial"/>
                <w:sz w:val="20"/>
                <w:szCs w:val="20"/>
                <w:lang w:val="en-US"/>
              </w:rPr>
            </w:pPr>
            <w:bookmarkStart w:id="524" w:name="_Toc4060066"/>
            <w:r w:rsidRPr="00537128">
              <w:rPr>
                <w:rFonts w:ascii="Calibri" w:eastAsia="Times New Roman" w:hAnsi="Calibri" w:cs="Arial"/>
                <w:sz w:val="20"/>
                <w:szCs w:val="20"/>
                <w:lang w:val="en-US"/>
              </w:rPr>
              <w:t>Liabilities to re-insurers</w:t>
            </w:r>
            <w:bookmarkEnd w:id="524"/>
          </w:p>
        </w:tc>
        <w:tc>
          <w:tcPr>
            <w:tcW w:w="670" w:type="pct"/>
            <w:tcBorders>
              <w:top w:val="nil"/>
              <w:left w:val="nil"/>
              <w:bottom w:val="nil"/>
              <w:right w:val="nil"/>
            </w:tcBorders>
            <w:shd w:val="clear" w:color="auto" w:fill="auto"/>
            <w:vAlign w:val="bottom"/>
          </w:tcPr>
          <w:p w14:paraId="3304033E" w14:textId="4CAEE628" w:rsidR="007448E2" w:rsidRPr="00537128" w:rsidRDefault="007448E2" w:rsidP="007448E2">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4,426</w:t>
            </w:r>
          </w:p>
        </w:tc>
        <w:tc>
          <w:tcPr>
            <w:tcW w:w="735" w:type="pct"/>
            <w:tcBorders>
              <w:top w:val="nil"/>
              <w:left w:val="nil"/>
              <w:bottom w:val="nil"/>
              <w:right w:val="nil"/>
            </w:tcBorders>
            <w:shd w:val="clear" w:color="auto" w:fill="auto"/>
            <w:vAlign w:val="bottom"/>
          </w:tcPr>
          <w:p w14:paraId="3BFD31FF" w14:textId="77B8DCAE" w:rsidR="007448E2" w:rsidRPr="00537128" w:rsidRDefault="007448E2" w:rsidP="007448E2">
            <w:pPr>
              <w:tabs>
                <w:tab w:val="right" w:pos="1202"/>
              </w:tabs>
              <w:spacing w:after="0" w:line="301" w:lineRule="exact"/>
              <w:jc w:val="right"/>
              <w:outlineLvl w:val="0"/>
              <w:rPr>
                <w:rFonts w:ascii="Calibri" w:eastAsia="Times New Roman" w:hAnsi="Calibri" w:cs="Arial"/>
                <w:sz w:val="20"/>
                <w:szCs w:val="20"/>
                <w:lang w:val="en-US"/>
              </w:rPr>
            </w:pPr>
            <w:r w:rsidRPr="00BA7DB2">
              <w:rPr>
                <w:rFonts w:eastAsia="Arial Unicode MS" w:cstheme="minorHAnsi"/>
                <w:color w:val="000000" w:themeColor="text1"/>
                <w:sz w:val="20"/>
                <w:szCs w:val="20"/>
              </w:rPr>
              <w:t>2</w:t>
            </w:r>
            <w:r>
              <w:rPr>
                <w:rFonts w:eastAsia="Arial Unicode MS" w:cstheme="minorHAnsi"/>
                <w:color w:val="000000" w:themeColor="text1"/>
                <w:sz w:val="20"/>
                <w:szCs w:val="20"/>
              </w:rPr>
              <w:t>,</w:t>
            </w:r>
            <w:r w:rsidRPr="00BA7DB2">
              <w:rPr>
                <w:rFonts w:eastAsia="Arial Unicode MS" w:cstheme="minorHAnsi"/>
                <w:color w:val="000000" w:themeColor="text1"/>
                <w:sz w:val="20"/>
                <w:szCs w:val="20"/>
              </w:rPr>
              <w:t>443</w:t>
            </w:r>
          </w:p>
        </w:tc>
        <w:tc>
          <w:tcPr>
            <w:tcW w:w="736" w:type="pct"/>
            <w:tcBorders>
              <w:top w:val="nil"/>
              <w:left w:val="nil"/>
              <w:bottom w:val="nil"/>
              <w:right w:val="nil"/>
            </w:tcBorders>
            <w:shd w:val="clear" w:color="auto" w:fill="auto"/>
            <w:vAlign w:val="bottom"/>
          </w:tcPr>
          <w:p w14:paraId="7B73E09F" w14:textId="56BE6F4F" w:rsidR="007448E2" w:rsidRPr="00537128" w:rsidRDefault="007448E2" w:rsidP="007448E2">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w:t>
            </w:r>
          </w:p>
        </w:tc>
        <w:tc>
          <w:tcPr>
            <w:tcW w:w="735" w:type="pct"/>
            <w:tcBorders>
              <w:top w:val="nil"/>
              <w:left w:val="nil"/>
              <w:bottom w:val="nil"/>
              <w:right w:val="nil"/>
            </w:tcBorders>
            <w:shd w:val="clear" w:color="auto" w:fill="auto"/>
            <w:vAlign w:val="bottom"/>
            <w:hideMark/>
          </w:tcPr>
          <w:p w14:paraId="277D1D90" w14:textId="6C3FF07F" w:rsidR="007448E2" w:rsidRPr="00537128" w:rsidRDefault="007448E2" w:rsidP="007448E2">
            <w:pPr>
              <w:tabs>
                <w:tab w:val="right" w:pos="1202"/>
              </w:tabs>
              <w:spacing w:after="0" w:line="301" w:lineRule="exact"/>
              <w:jc w:val="right"/>
              <w:outlineLvl w:val="0"/>
              <w:rPr>
                <w:rFonts w:ascii="Calibri" w:eastAsia="Times New Roman" w:hAnsi="Calibri" w:cs="Arial"/>
                <w:sz w:val="20"/>
                <w:szCs w:val="20"/>
                <w:lang w:val="en-US"/>
              </w:rPr>
            </w:pPr>
            <w:r>
              <w:rPr>
                <w:rFonts w:eastAsia="Arial Unicode MS" w:cstheme="minorHAnsi"/>
                <w:color w:val="000000" w:themeColor="text1"/>
                <w:sz w:val="20"/>
              </w:rPr>
              <w:t>-</w:t>
            </w:r>
          </w:p>
        </w:tc>
      </w:tr>
      <w:tr w:rsidR="007448E2" w:rsidRPr="00537128" w14:paraId="196FB1AA" w14:textId="77777777" w:rsidTr="003470DA">
        <w:trPr>
          <w:trHeight w:val="227"/>
        </w:trPr>
        <w:tc>
          <w:tcPr>
            <w:tcW w:w="2124" w:type="pct"/>
            <w:hideMark/>
          </w:tcPr>
          <w:p w14:paraId="128B0781" w14:textId="3A61352F" w:rsidR="007448E2" w:rsidRPr="00537128" w:rsidRDefault="007448E2" w:rsidP="007448E2">
            <w:pPr>
              <w:tabs>
                <w:tab w:val="left" w:pos="708"/>
                <w:tab w:val="right" w:pos="1202"/>
              </w:tabs>
              <w:spacing w:after="0" w:line="301" w:lineRule="exact"/>
              <w:outlineLvl w:val="0"/>
              <w:rPr>
                <w:rFonts w:ascii="Calibri" w:eastAsia="Times New Roman" w:hAnsi="Calibri" w:cs="Arial"/>
                <w:sz w:val="20"/>
                <w:szCs w:val="20"/>
                <w:lang w:val="en-US"/>
              </w:rPr>
            </w:pPr>
            <w:bookmarkStart w:id="525" w:name="_Toc4060071"/>
            <w:r w:rsidRPr="00537128">
              <w:rPr>
                <w:rFonts w:ascii="Calibri" w:eastAsia="Times New Roman" w:hAnsi="Calibri" w:cs="Arial"/>
                <w:sz w:val="20"/>
                <w:szCs w:val="20"/>
                <w:lang w:val="en-US"/>
              </w:rPr>
              <w:t>Deferred tax liabilities</w:t>
            </w:r>
            <w:bookmarkEnd w:id="525"/>
          </w:p>
        </w:tc>
        <w:tc>
          <w:tcPr>
            <w:tcW w:w="670" w:type="pct"/>
            <w:tcBorders>
              <w:top w:val="nil"/>
              <w:left w:val="nil"/>
              <w:right w:val="nil"/>
            </w:tcBorders>
            <w:shd w:val="clear" w:color="auto" w:fill="auto"/>
            <w:vAlign w:val="bottom"/>
          </w:tcPr>
          <w:p w14:paraId="7AAB8ACB" w14:textId="6B58AB1D" w:rsidR="007448E2" w:rsidRPr="00537128" w:rsidRDefault="007448E2" w:rsidP="007448E2">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401</w:t>
            </w:r>
          </w:p>
        </w:tc>
        <w:tc>
          <w:tcPr>
            <w:tcW w:w="735" w:type="pct"/>
            <w:tcBorders>
              <w:top w:val="nil"/>
              <w:left w:val="nil"/>
              <w:right w:val="nil"/>
            </w:tcBorders>
            <w:shd w:val="clear" w:color="auto" w:fill="auto"/>
            <w:vAlign w:val="bottom"/>
          </w:tcPr>
          <w:p w14:paraId="21F89106" w14:textId="47747340" w:rsidR="007448E2" w:rsidRPr="00537128" w:rsidRDefault="007448E2" w:rsidP="007448E2">
            <w:pPr>
              <w:tabs>
                <w:tab w:val="right" w:pos="1202"/>
              </w:tabs>
              <w:spacing w:after="0" w:line="301" w:lineRule="exact"/>
              <w:jc w:val="right"/>
              <w:outlineLvl w:val="0"/>
              <w:rPr>
                <w:rFonts w:ascii="Calibri" w:eastAsia="Times New Roman" w:hAnsi="Calibri" w:cs="Arial"/>
                <w:sz w:val="20"/>
                <w:szCs w:val="20"/>
                <w:lang w:val="en-US"/>
              </w:rPr>
            </w:pPr>
            <w:r w:rsidRPr="00730792">
              <w:rPr>
                <w:rFonts w:eastAsia="Arial Unicode MS" w:cstheme="minorHAnsi"/>
                <w:color w:val="000000" w:themeColor="text1"/>
                <w:sz w:val="20"/>
                <w:szCs w:val="20"/>
              </w:rPr>
              <w:t>401</w:t>
            </w:r>
          </w:p>
        </w:tc>
        <w:tc>
          <w:tcPr>
            <w:tcW w:w="736" w:type="pct"/>
            <w:tcBorders>
              <w:top w:val="nil"/>
              <w:left w:val="nil"/>
              <w:right w:val="nil"/>
            </w:tcBorders>
            <w:shd w:val="clear" w:color="auto" w:fill="auto"/>
            <w:vAlign w:val="bottom"/>
          </w:tcPr>
          <w:p w14:paraId="57E04FA5" w14:textId="62C11691" w:rsidR="007448E2" w:rsidRPr="00537128" w:rsidRDefault="007448E2" w:rsidP="007448E2">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w:t>
            </w:r>
          </w:p>
        </w:tc>
        <w:tc>
          <w:tcPr>
            <w:tcW w:w="735" w:type="pct"/>
            <w:tcBorders>
              <w:top w:val="nil"/>
              <w:left w:val="nil"/>
              <w:right w:val="nil"/>
            </w:tcBorders>
            <w:shd w:val="clear" w:color="auto" w:fill="auto"/>
            <w:vAlign w:val="bottom"/>
            <w:hideMark/>
          </w:tcPr>
          <w:p w14:paraId="535C5D2F" w14:textId="76761433" w:rsidR="007448E2" w:rsidRPr="00537128" w:rsidRDefault="007448E2" w:rsidP="007448E2">
            <w:pPr>
              <w:tabs>
                <w:tab w:val="right" w:pos="1202"/>
              </w:tabs>
              <w:spacing w:after="0" w:line="301" w:lineRule="exact"/>
              <w:jc w:val="right"/>
              <w:outlineLvl w:val="0"/>
              <w:rPr>
                <w:rFonts w:ascii="Calibri" w:eastAsia="Times New Roman" w:hAnsi="Calibri" w:cs="Arial"/>
                <w:sz w:val="20"/>
                <w:szCs w:val="20"/>
                <w:lang w:val="en-US"/>
              </w:rPr>
            </w:pPr>
            <w:r>
              <w:rPr>
                <w:rFonts w:eastAsia="Arial Unicode MS" w:cstheme="minorHAnsi"/>
                <w:color w:val="000000" w:themeColor="text1"/>
                <w:sz w:val="20"/>
              </w:rPr>
              <w:t>-</w:t>
            </w:r>
          </w:p>
        </w:tc>
      </w:tr>
      <w:tr w:rsidR="007448E2" w:rsidRPr="00537128" w14:paraId="44F4FC06" w14:textId="77777777" w:rsidTr="003470DA">
        <w:trPr>
          <w:trHeight w:val="227"/>
        </w:trPr>
        <w:tc>
          <w:tcPr>
            <w:tcW w:w="2124" w:type="pct"/>
            <w:hideMark/>
          </w:tcPr>
          <w:p w14:paraId="6CFF7536" w14:textId="77777777" w:rsidR="007448E2" w:rsidRPr="00537128" w:rsidRDefault="007448E2" w:rsidP="007448E2">
            <w:pPr>
              <w:tabs>
                <w:tab w:val="right" w:pos="1202"/>
              </w:tabs>
              <w:spacing w:after="0" w:line="301" w:lineRule="exact"/>
              <w:outlineLvl w:val="0"/>
              <w:rPr>
                <w:rFonts w:ascii="Calibri" w:eastAsia="Times New Roman" w:hAnsi="Calibri" w:cs="Arial"/>
                <w:sz w:val="20"/>
                <w:szCs w:val="20"/>
                <w:lang w:val="en-US"/>
              </w:rPr>
            </w:pPr>
            <w:bookmarkStart w:id="526" w:name="_Hlk34234503"/>
            <w:r w:rsidRPr="00537128">
              <w:rPr>
                <w:rFonts w:ascii="Calibri" w:eastAsia="Times New Roman" w:hAnsi="Calibri" w:cs="Calibri"/>
                <w:sz w:val="20"/>
                <w:szCs w:val="20"/>
                <w:lang w:val="en-US"/>
              </w:rPr>
              <w:t>Corporate income tax-current liability</w:t>
            </w:r>
          </w:p>
        </w:tc>
        <w:tc>
          <w:tcPr>
            <w:tcW w:w="670" w:type="pct"/>
            <w:tcBorders>
              <w:top w:val="nil"/>
              <w:left w:val="nil"/>
              <w:right w:val="nil"/>
            </w:tcBorders>
            <w:shd w:val="clear" w:color="auto" w:fill="auto"/>
            <w:vAlign w:val="bottom"/>
          </w:tcPr>
          <w:p w14:paraId="1F408A23" w14:textId="43A96D66" w:rsidR="007448E2" w:rsidRPr="00537128" w:rsidRDefault="007448E2" w:rsidP="007448E2">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w:t>
            </w:r>
          </w:p>
        </w:tc>
        <w:tc>
          <w:tcPr>
            <w:tcW w:w="735" w:type="pct"/>
            <w:tcBorders>
              <w:top w:val="nil"/>
              <w:left w:val="nil"/>
              <w:right w:val="nil"/>
            </w:tcBorders>
            <w:shd w:val="clear" w:color="auto" w:fill="auto"/>
            <w:vAlign w:val="bottom"/>
          </w:tcPr>
          <w:p w14:paraId="0A001B63" w14:textId="273E7CEF" w:rsidR="007448E2" w:rsidRPr="00537128" w:rsidRDefault="007448E2" w:rsidP="007448E2">
            <w:pPr>
              <w:tabs>
                <w:tab w:val="right" w:pos="1202"/>
              </w:tabs>
              <w:spacing w:after="0" w:line="301" w:lineRule="exact"/>
              <w:jc w:val="right"/>
              <w:outlineLvl w:val="0"/>
              <w:rPr>
                <w:rFonts w:ascii="Calibri" w:eastAsia="Times New Roman" w:hAnsi="Calibri" w:cs="Arial"/>
                <w:sz w:val="20"/>
                <w:szCs w:val="20"/>
                <w:lang w:val="en-US"/>
              </w:rPr>
            </w:pPr>
            <w:r w:rsidRPr="00730792">
              <w:rPr>
                <w:rFonts w:eastAsia="Arial Unicode MS" w:cstheme="minorHAnsi"/>
                <w:color w:val="000000" w:themeColor="text1"/>
                <w:sz w:val="20"/>
                <w:szCs w:val="20"/>
              </w:rPr>
              <w:t>208</w:t>
            </w:r>
          </w:p>
        </w:tc>
        <w:tc>
          <w:tcPr>
            <w:tcW w:w="736" w:type="pct"/>
            <w:tcBorders>
              <w:top w:val="nil"/>
              <w:left w:val="nil"/>
              <w:right w:val="nil"/>
            </w:tcBorders>
            <w:shd w:val="clear" w:color="auto" w:fill="auto"/>
            <w:vAlign w:val="bottom"/>
          </w:tcPr>
          <w:p w14:paraId="4127610F" w14:textId="248BB5F5" w:rsidR="007448E2" w:rsidRPr="00537128" w:rsidRDefault="007448E2" w:rsidP="007448E2">
            <w:pPr>
              <w:tabs>
                <w:tab w:val="right" w:pos="1202"/>
              </w:tabs>
              <w:spacing w:after="0" w:line="301" w:lineRule="exact"/>
              <w:jc w:val="right"/>
              <w:outlineLvl w:val="0"/>
              <w:rPr>
                <w:rFonts w:ascii="Calibri" w:eastAsia="Times New Roman" w:hAnsi="Calibri" w:cs="Arial"/>
                <w:color w:val="000000"/>
                <w:sz w:val="20"/>
                <w:szCs w:val="20"/>
                <w:lang w:val="en-US"/>
              </w:rPr>
            </w:pPr>
            <w:r>
              <w:rPr>
                <w:rFonts w:ascii="Calibri" w:eastAsia="Arial Unicode MS" w:hAnsi="Calibri" w:cs="Calibri"/>
                <w:color w:val="000000"/>
                <w:sz w:val="20"/>
                <w:szCs w:val="20"/>
              </w:rPr>
              <w:t>-</w:t>
            </w:r>
          </w:p>
        </w:tc>
        <w:tc>
          <w:tcPr>
            <w:tcW w:w="735" w:type="pct"/>
            <w:tcBorders>
              <w:top w:val="nil"/>
              <w:left w:val="nil"/>
              <w:right w:val="nil"/>
            </w:tcBorders>
            <w:shd w:val="clear" w:color="auto" w:fill="auto"/>
            <w:vAlign w:val="bottom"/>
            <w:hideMark/>
          </w:tcPr>
          <w:p w14:paraId="1EC349DA" w14:textId="1A5B03A3" w:rsidR="007448E2" w:rsidRPr="00537128" w:rsidRDefault="007448E2" w:rsidP="007448E2">
            <w:pPr>
              <w:tabs>
                <w:tab w:val="right" w:pos="1202"/>
              </w:tabs>
              <w:spacing w:after="0" w:line="301" w:lineRule="exact"/>
              <w:jc w:val="right"/>
              <w:outlineLvl w:val="0"/>
              <w:rPr>
                <w:rFonts w:ascii="Calibri" w:eastAsia="Times New Roman" w:hAnsi="Calibri" w:cs="Arial"/>
                <w:sz w:val="20"/>
                <w:szCs w:val="20"/>
                <w:lang w:val="en-US"/>
              </w:rPr>
            </w:pPr>
            <w:r>
              <w:rPr>
                <w:rFonts w:eastAsia="Arial Unicode MS" w:cstheme="minorHAnsi"/>
                <w:color w:val="000000" w:themeColor="text1"/>
                <w:sz w:val="20"/>
              </w:rPr>
              <w:t>-</w:t>
            </w:r>
          </w:p>
        </w:tc>
        <w:bookmarkEnd w:id="526"/>
      </w:tr>
      <w:tr w:rsidR="007448E2" w:rsidRPr="00537128" w14:paraId="68B36021" w14:textId="77777777" w:rsidTr="003470DA">
        <w:trPr>
          <w:trHeight w:val="227"/>
        </w:trPr>
        <w:tc>
          <w:tcPr>
            <w:tcW w:w="2124" w:type="pct"/>
            <w:hideMark/>
          </w:tcPr>
          <w:p w14:paraId="05754521" w14:textId="77777777" w:rsidR="007448E2" w:rsidRPr="00537128" w:rsidRDefault="007448E2" w:rsidP="007448E2">
            <w:pPr>
              <w:tabs>
                <w:tab w:val="left" w:pos="708"/>
                <w:tab w:val="right" w:pos="1202"/>
              </w:tabs>
              <w:spacing w:after="0" w:line="301" w:lineRule="exact"/>
              <w:outlineLvl w:val="0"/>
              <w:rPr>
                <w:rFonts w:ascii="Calibri" w:eastAsia="Times New Roman" w:hAnsi="Calibri" w:cs="Arial"/>
                <w:sz w:val="20"/>
                <w:szCs w:val="20"/>
                <w:lang w:val="en-US"/>
              </w:rPr>
            </w:pPr>
            <w:r w:rsidRPr="00537128">
              <w:rPr>
                <w:rFonts w:ascii="Calibri" w:eastAsia="Times New Roman" w:hAnsi="Calibri" w:cs="Arial"/>
                <w:sz w:val="20"/>
                <w:szCs w:val="20"/>
                <w:lang w:val="en-US"/>
              </w:rPr>
              <w:t>Lease liabilities</w:t>
            </w:r>
          </w:p>
        </w:tc>
        <w:tc>
          <w:tcPr>
            <w:tcW w:w="670" w:type="pct"/>
            <w:tcBorders>
              <w:top w:val="nil"/>
              <w:left w:val="nil"/>
              <w:right w:val="nil"/>
            </w:tcBorders>
            <w:shd w:val="clear" w:color="auto" w:fill="auto"/>
            <w:vAlign w:val="bottom"/>
          </w:tcPr>
          <w:p w14:paraId="7EE9B962" w14:textId="2C3DFB05" w:rsidR="007448E2" w:rsidRPr="00537128" w:rsidRDefault="007448E2" w:rsidP="007448E2">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4,970</w:t>
            </w:r>
          </w:p>
        </w:tc>
        <w:tc>
          <w:tcPr>
            <w:tcW w:w="735" w:type="pct"/>
            <w:tcBorders>
              <w:top w:val="nil"/>
              <w:left w:val="nil"/>
              <w:right w:val="nil"/>
            </w:tcBorders>
            <w:shd w:val="clear" w:color="auto" w:fill="auto"/>
            <w:vAlign w:val="bottom"/>
          </w:tcPr>
          <w:p w14:paraId="6779DFDB" w14:textId="6235E853" w:rsidR="007448E2" w:rsidRPr="00537128" w:rsidRDefault="007448E2" w:rsidP="007448E2">
            <w:pPr>
              <w:tabs>
                <w:tab w:val="right" w:pos="1202"/>
              </w:tabs>
              <w:spacing w:after="0" w:line="301" w:lineRule="exact"/>
              <w:jc w:val="right"/>
              <w:outlineLvl w:val="0"/>
              <w:rPr>
                <w:rFonts w:ascii="Calibri" w:eastAsia="Times New Roman" w:hAnsi="Calibri" w:cs="Arial"/>
                <w:sz w:val="20"/>
                <w:szCs w:val="20"/>
                <w:lang w:val="en-US"/>
              </w:rPr>
            </w:pPr>
            <w:r w:rsidRPr="00730792">
              <w:rPr>
                <w:rFonts w:eastAsia="Arial Unicode MS" w:cstheme="minorHAnsi"/>
                <w:color w:val="000000" w:themeColor="text1"/>
                <w:sz w:val="20"/>
                <w:szCs w:val="20"/>
              </w:rPr>
              <w:t>1</w:t>
            </w:r>
            <w:r>
              <w:rPr>
                <w:rFonts w:eastAsia="Arial Unicode MS" w:cstheme="minorHAnsi"/>
                <w:color w:val="000000" w:themeColor="text1"/>
                <w:sz w:val="20"/>
                <w:szCs w:val="20"/>
              </w:rPr>
              <w:t>,</w:t>
            </w:r>
            <w:r w:rsidRPr="00730792">
              <w:rPr>
                <w:rFonts w:eastAsia="Arial Unicode MS" w:cstheme="minorHAnsi"/>
                <w:color w:val="000000" w:themeColor="text1"/>
                <w:sz w:val="20"/>
                <w:szCs w:val="20"/>
              </w:rPr>
              <w:t>148</w:t>
            </w:r>
          </w:p>
        </w:tc>
        <w:tc>
          <w:tcPr>
            <w:tcW w:w="736" w:type="pct"/>
            <w:tcBorders>
              <w:top w:val="nil"/>
              <w:left w:val="nil"/>
              <w:right w:val="nil"/>
            </w:tcBorders>
            <w:shd w:val="clear" w:color="auto" w:fill="auto"/>
            <w:vAlign w:val="bottom"/>
          </w:tcPr>
          <w:p w14:paraId="498DCD1E" w14:textId="1FCC8A14" w:rsidR="007448E2" w:rsidRPr="00537128" w:rsidRDefault="007448E2" w:rsidP="007448E2">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4,663</w:t>
            </w:r>
          </w:p>
        </w:tc>
        <w:tc>
          <w:tcPr>
            <w:tcW w:w="735" w:type="pct"/>
            <w:tcBorders>
              <w:top w:val="nil"/>
              <w:left w:val="nil"/>
              <w:right w:val="nil"/>
            </w:tcBorders>
            <w:shd w:val="clear" w:color="auto" w:fill="auto"/>
            <w:vAlign w:val="bottom"/>
            <w:hideMark/>
          </w:tcPr>
          <w:p w14:paraId="6002DBB4" w14:textId="1A4130C7" w:rsidR="007448E2" w:rsidRPr="00537128" w:rsidRDefault="007448E2" w:rsidP="007448E2">
            <w:pPr>
              <w:tabs>
                <w:tab w:val="right" w:pos="1202"/>
              </w:tabs>
              <w:spacing w:after="0" w:line="301" w:lineRule="exact"/>
              <w:jc w:val="right"/>
              <w:outlineLvl w:val="0"/>
              <w:rPr>
                <w:rFonts w:ascii="Calibri" w:eastAsia="Times New Roman" w:hAnsi="Calibri" w:cs="Arial"/>
                <w:sz w:val="20"/>
                <w:szCs w:val="20"/>
                <w:lang w:val="en-US"/>
              </w:rPr>
            </w:pPr>
            <w:r w:rsidRPr="009C407A">
              <w:rPr>
                <w:rFonts w:eastAsia="Arial Unicode MS" w:cstheme="minorHAnsi"/>
                <w:color w:val="000000" w:themeColor="text1"/>
                <w:sz w:val="20"/>
              </w:rPr>
              <w:t>800</w:t>
            </w:r>
          </w:p>
        </w:tc>
      </w:tr>
      <w:tr w:rsidR="007448E2" w:rsidRPr="00537128" w14:paraId="3B898BD5" w14:textId="77777777" w:rsidTr="003470DA">
        <w:trPr>
          <w:trHeight w:val="227"/>
        </w:trPr>
        <w:tc>
          <w:tcPr>
            <w:tcW w:w="2124" w:type="pct"/>
            <w:hideMark/>
          </w:tcPr>
          <w:p w14:paraId="447BC6BA" w14:textId="50B963E8" w:rsidR="007448E2" w:rsidRPr="00537128" w:rsidRDefault="007448E2" w:rsidP="007448E2">
            <w:pPr>
              <w:tabs>
                <w:tab w:val="left" w:pos="708"/>
                <w:tab w:val="right" w:pos="1202"/>
              </w:tabs>
              <w:spacing w:after="0" w:line="301" w:lineRule="exact"/>
              <w:outlineLvl w:val="0"/>
              <w:rPr>
                <w:rFonts w:ascii="Calibri" w:eastAsia="Times New Roman" w:hAnsi="Calibri" w:cs="Arial"/>
                <w:sz w:val="20"/>
                <w:szCs w:val="20"/>
                <w:lang w:val="en-US"/>
              </w:rPr>
            </w:pPr>
            <w:bookmarkStart w:id="527" w:name="_Toc4060076"/>
            <w:r w:rsidRPr="00537128">
              <w:rPr>
                <w:rFonts w:ascii="Calibri" w:eastAsia="Times New Roman" w:hAnsi="Calibri" w:cs="Arial"/>
                <w:sz w:val="20"/>
                <w:szCs w:val="20"/>
                <w:lang w:val="en-US"/>
              </w:rPr>
              <w:t>Other liabilities</w:t>
            </w:r>
            <w:bookmarkEnd w:id="527"/>
          </w:p>
        </w:tc>
        <w:tc>
          <w:tcPr>
            <w:tcW w:w="670" w:type="pct"/>
            <w:tcBorders>
              <w:left w:val="nil"/>
              <w:right w:val="nil"/>
            </w:tcBorders>
            <w:shd w:val="clear" w:color="auto" w:fill="auto"/>
            <w:vAlign w:val="bottom"/>
          </w:tcPr>
          <w:p w14:paraId="5B83A742" w14:textId="37E82527" w:rsidR="007448E2" w:rsidRPr="00537128" w:rsidRDefault="007448E2" w:rsidP="007448E2">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4,717</w:t>
            </w:r>
          </w:p>
        </w:tc>
        <w:tc>
          <w:tcPr>
            <w:tcW w:w="735" w:type="pct"/>
            <w:tcBorders>
              <w:left w:val="nil"/>
              <w:right w:val="nil"/>
            </w:tcBorders>
            <w:shd w:val="clear" w:color="auto" w:fill="auto"/>
            <w:vAlign w:val="bottom"/>
          </w:tcPr>
          <w:p w14:paraId="64B47913" w14:textId="36D617CC" w:rsidR="007448E2" w:rsidRPr="00537128" w:rsidRDefault="007448E2" w:rsidP="007448E2">
            <w:pPr>
              <w:tabs>
                <w:tab w:val="right" w:pos="1202"/>
              </w:tabs>
              <w:spacing w:after="0" w:line="301" w:lineRule="exact"/>
              <w:jc w:val="right"/>
              <w:outlineLvl w:val="0"/>
              <w:rPr>
                <w:rFonts w:ascii="Calibri" w:eastAsia="Times New Roman" w:hAnsi="Calibri" w:cs="Arial"/>
                <w:sz w:val="20"/>
                <w:szCs w:val="20"/>
                <w:lang w:val="en-US"/>
              </w:rPr>
            </w:pPr>
            <w:r w:rsidRPr="00730792">
              <w:rPr>
                <w:rFonts w:eastAsia="Arial Unicode MS" w:cstheme="minorHAnsi"/>
                <w:color w:val="000000" w:themeColor="text1"/>
                <w:sz w:val="20"/>
                <w:szCs w:val="20"/>
              </w:rPr>
              <w:t>41</w:t>
            </w:r>
            <w:r>
              <w:rPr>
                <w:rFonts w:eastAsia="Arial Unicode MS" w:cstheme="minorHAnsi"/>
                <w:color w:val="000000" w:themeColor="text1"/>
                <w:sz w:val="20"/>
                <w:szCs w:val="20"/>
              </w:rPr>
              <w:t>,</w:t>
            </w:r>
            <w:r w:rsidRPr="00730792">
              <w:rPr>
                <w:rFonts w:eastAsia="Arial Unicode MS" w:cstheme="minorHAnsi"/>
                <w:color w:val="000000" w:themeColor="text1"/>
                <w:sz w:val="20"/>
                <w:szCs w:val="20"/>
              </w:rPr>
              <w:t>651</w:t>
            </w:r>
          </w:p>
        </w:tc>
        <w:tc>
          <w:tcPr>
            <w:tcW w:w="736" w:type="pct"/>
            <w:tcBorders>
              <w:left w:val="nil"/>
              <w:right w:val="nil"/>
            </w:tcBorders>
            <w:shd w:val="clear" w:color="auto" w:fill="auto"/>
            <w:vAlign w:val="bottom"/>
          </w:tcPr>
          <w:p w14:paraId="7A95AF88" w14:textId="34B4C3D5" w:rsidR="007448E2" w:rsidRPr="00537128" w:rsidRDefault="007448E2" w:rsidP="007448E2">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3,017</w:t>
            </w:r>
          </w:p>
        </w:tc>
        <w:tc>
          <w:tcPr>
            <w:tcW w:w="735" w:type="pct"/>
            <w:tcBorders>
              <w:left w:val="nil"/>
              <w:right w:val="nil"/>
            </w:tcBorders>
            <w:shd w:val="clear" w:color="auto" w:fill="auto"/>
            <w:vAlign w:val="bottom"/>
            <w:hideMark/>
          </w:tcPr>
          <w:p w14:paraId="5B7BE83E" w14:textId="308A99DC" w:rsidR="007448E2" w:rsidRPr="00537128" w:rsidRDefault="007448E2" w:rsidP="007448E2">
            <w:pPr>
              <w:tabs>
                <w:tab w:val="right" w:pos="1202"/>
              </w:tabs>
              <w:spacing w:after="0" w:line="301" w:lineRule="exact"/>
              <w:jc w:val="right"/>
              <w:outlineLvl w:val="0"/>
              <w:rPr>
                <w:rFonts w:ascii="Calibri" w:eastAsia="Times New Roman" w:hAnsi="Calibri" w:cs="Arial"/>
                <w:sz w:val="20"/>
                <w:szCs w:val="20"/>
                <w:lang w:val="en-US"/>
              </w:rPr>
            </w:pPr>
            <w:r w:rsidRPr="009C407A">
              <w:rPr>
                <w:rFonts w:eastAsia="Arial Unicode MS" w:cstheme="minorHAnsi"/>
                <w:color w:val="000000" w:themeColor="text1"/>
                <w:sz w:val="20"/>
              </w:rPr>
              <w:t>39</w:t>
            </w:r>
            <w:r>
              <w:rPr>
                <w:rFonts w:eastAsia="Arial Unicode MS" w:cstheme="minorHAnsi"/>
                <w:color w:val="000000" w:themeColor="text1"/>
                <w:sz w:val="20"/>
              </w:rPr>
              <w:t>,</w:t>
            </w:r>
            <w:r w:rsidRPr="009C407A">
              <w:rPr>
                <w:rFonts w:eastAsia="Arial Unicode MS" w:cstheme="minorHAnsi"/>
                <w:color w:val="000000" w:themeColor="text1"/>
                <w:sz w:val="20"/>
              </w:rPr>
              <w:t>809</w:t>
            </w:r>
          </w:p>
        </w:tc>
      </w:tr>
      <w:tr w:rsidR="007448E2" w:rsidRPr="00537128" w14:paraId="7AA94E11" w14:textId="77777777" w:rsidTr="003470DA">
        <w:trPr>
          <w:trHeight w:val="300"/>
        </w:trPr>
        <w:tc>
          <w:tcPr>
            <w:tcW w:w="2124" w:type="pct"/>
          </w:tcPr>
          <w:p w14:paraId="26C64724" w14:textId="77777777" w:rsidR="007448E2" w:rsidRPr="00537128" w:rsidRDefault="007448E2" w:rsidP="007448E2">
            <w:pPr>
              <w:tabs>
                <w:tab w:val="right" w:pos="1202"/>
              </w:tabs>
              <w:spacing w:after="0" w:line="340" w:lineRule="exact"/>
              <w:outlineLvl w:val="0"/>
              <w:rPr>
                <w:rFonts w:ascii="Calibri" w:eastAsia="Times New Roman" w:hAnsi="Calibri" w:cs="Arial"/>
                <w:b/>
                <w:bCs/>
                <w:sz w:val="20"/>
                <w:szCs w:val="20"/>
                <w:lang w:val="en-US"/>
              </w:rPr>
            </w:pPr>
          </w:p>
        </w:tc>
        <w:tc>
          <w:tcPr>
            <w:tcW w:w="670" w:type="pct"/>
            <w:tcBorders>
              <w:top w:val="single" w:sz="4" w:space="0" w:color="auto"/>
              <w:bottom w:val="single" w:sz="12" w:space="0" w:color="auto"/>
            </w:tcBorders>
            <w:vAlign w:val="bottom"/>
          </w:tcPr>
          <w:p w14:paraId="1FA404F9" w14:textId="191F2951" w:rsidR="007448E2" w:rsidRPr="00537128" w:rsidRDefault="007448E2" w:rsidP="007448E2">
            <w:pPr>
              <w:tabs>
                <w:tab w:val="right" w:pos="1202"/>
              </w:tabs>
              <w:spacing w:after="0" w:line="340" w:lineRule="exact"/>
              <w:jc w:val="right"/>
              <w:outlineLvl w:val="0"/>
              <w:rPr>
                <w:rFonts w:ascii="Calibri" w:eastAsia="Times New Roman" w:hAnsi="Calibri" w:cs="Arial"/>
                <w:b/>
                <w:bCs/>
                <w:sz w:val="20"/>
                <w:szCs w:val="20"/>
                <w:lang w:val="en-US"/>
              </w:rPr>
            </w:pPr>
            <w:r>
              <w:rPr>
                <w:rFonts w:ascii="Calibri" w:eastAsia="Times New Roman" w:hAnsi="Calibri" w:cs="Calibri"/>
                <w:b/>
                <w:bCs/>
                <w:color w:val="000000"/>
                <w:sz w:val="20"/>
                <w:szCs w:val="20"/>
              </w:rPr>
              <w:t>391,987</w:t>
            </w:r>
          </w:p>
        </w:tc>
        <w:tc>
          <w:tcPr>
            <w:tcW w:w="735" w:type="pct"/>
            <w:tcBorders>
              <w:top w:val="single" w:sz="4" w:space="0" w:color="auto"/>
              <w:bottom w:val="single" w:sz="12" w:space="0" w:color="auto"/>
            </w:tcBorders>
            <w:vAlign w:val="bottom"/>
          </w:tcPr>
          <w:p w14:paraId="725F9693" w14:textId="5A046D68" w:rsidR="007448E2" w:rsidRPr="00537128" w:rsidRDefault="007448E2" w:rsidP="007448E2">
            <w:pPr>
              <w:tabs>
                <w:tab w:val="right" w:pos="1202"/>
              </w:tabs>
              <w:spacing w:after="0" w:line="340" w:lineRule="exact"/>
              <w:jc w:val="right"/>
              <w:outlineLvl w:val="0"/>
              <w:rPr>
                <w:rFonts w:ascii="Calibri" w:eastAsia="Times New Roman" w:hAnsi="Calibri" w:cs="Arial"/>
                <w:b/>
                <w:bCs/>
                <w:sz w:val="20"/>
                <w:szCs w:val="20"/>
                <w:lang w:val="en-US"/>
              </w:rPr>
            </w:pPr>
            <w:r w:rsidRPr="004D40D4">
              <w:rPr>
                <w:rFonts w:cstheme="minorHAnsi"/>
                <w:b/>
                <w:bCs/>
                <w:color w:val="000000" w:themeColor="text1"/>
                <w:sz w:val="20"/>
              </w:rPr>
              <w:t>435</w:t>
            </w:r>
            <w:r>
              <w:rPr>
                <w:rFonts w:cstheme="minorHAnsi"/>
                <w:b/>
                <w:bCs/>
                <w:color w:val="000000" w:themeColor="text1"/>
                <w:sz w:val="20"/>
              </w:rPr>
              <w:t>,</w:t>
            </w:r>
            <w:r w:rsidRPr="004D40D4">
              <w:rPr>
                <w:rFonts w:cstheme="minorHAnsi"/>
                <w:b/>
                <w:bCs/>
                <w:color w:val="000000" w:themeColor="text1"/>
                <w:sz w:val="20"/>
              </w:rPr>
              <w:t>239</w:t>
            </w:r>
          </w:p>
        </w:tc>
        <w:tc>
          <w:tcPr>
            <w:tcW w:w="736" w:type="pct"/>
            <w:tcBorders>
              <w:top w:val="single" w:sz="4" w:space="0" w:color="auto"/>
              <w:bottom w:val="single" w:sz="12" w:space="0" w:color="auto"/>
            </w:tcBorders>
            <w:vAlign w:val="bottom"/>
          </w:tcPr>
          <w:p w14:paraId="5820889A" w14:textId="72472457" w:rsidR="007448E2" w:rsidRPr="00537128" w:rsidRDefault="007448E2" w:rsidP="007448E2">
            <w:pPr>
              <w:tabs>
                <w:tab w:val="right" w:pos="1202"/>
              </w:tabs>
              <w:spacing w:after="0" w:line="340" w:lineRule="exact"/>
              <w:jc w:val="right"/>
              <w:outlineLvl w:val="0"/>
              <w:rPr>
                <w:rFonts w:ascii="Calibri" w:eastAsia="Times New Roman" w:hAnsi="Calibri" w:cs="Arial"/>
                <w:b/>
                <w:bCs/>
                <w:sz w:val="20"/>
                <w:szCs w:val="20"/>
                <w:lang w:val="en-US"/>
              </w:rPr>
            </w:pPr>
            <w:r>
              <w:rPr>
                <w:rFonts w:ascii="Calibri" w:eastAsia="Times New Roman" w:hAnsi="Calibri" w:cs="Calibri"/>
                <w:b/>
                <w:bCs/>
                <w:color w:val="000000"/>
                <w:sz w:val="20"/>
                <w:szCs w:val="20"/>
              </w:rPr>
              <w:t>369,310</w:t>
            </w:r>
          </w:p>
        </w:tc>
        <w:tc>
          <w:tcPr>
            <w:tcW w:w="735" w:type="pct"/>
            <w:tcBorders>
              <w:top w:val="single" w:sz="4" w:space="0" w:color="auto"/>
              <w:bottom w:val="single" w:sz="12" w:space="0" w:color="auto"/>
            </w:tcBorders>
            <w:vAlign w:val="bottom"/>
            <w:hideMark/>
          </w:tcPr>
          <w:p w14:paraId="732557E1" w14:textId="71757279" w:rsidR="007448E2" w:rsidRPr="00537128" w:rsidRDefault="007448E2" w:rsidP="007448E2">
            <w:pPr>
              <w:tabs>
                <w:tab w:val="right" w:pos="1202"/>
              </w:tabs>
              <w:spacing w:after="0" w:line="340" w:lineRule="exact"/>
              <w:jc w:val="right"/>
              <w:outlineLvl w:val="0"/>
              <w:rPr>
                <w:rFonts w:ascii="Calibri" w:eastAsia="Times New Roman" w:hAnsi="Calibri" w:cs="Arial"/>
                <w:b/>
                <w:bCs/>
                <w:sz w:val="20"/>
                <w:szCs w:val="20"/>
                <w:lang w:val="en-US"/>
              </w:rPr>
            </w:pPr>
            <w:r w:rsidRPr="004D40D4">
              <w:rPr>
                <w:rFonts w:cstheme="minorHAnsi"/>
                <w:b/>
                <w:bCs/>
                <w:color w:val="000000" w:themeColor="text1"/>
                <w:sz w:val="20"/>
              </w:rPr>
              <w:t>416</w:t>
            </w:r>
            <w:r>
              <w:rPr>
                <w:rFonts w:cstheme="minorHAnsi"/>
                <w:b/>
                <w:bCs/>
                <w:color w:val="000000" w:themeColor="text1"/>
                <w:sz w:val="20"/>
              </w:rPr>
              <w:t>,</w:t>
            </w:r>
            <w:r w:rsidRPr="004D40D4">
              <w:rPr>
                <w:rFonts w:cstheme="minorHAnsi"/>
                <w:b/>
                <w:bCs/>
                <w:color w:val="000000" w:themeColor="text1"/>
                <w:sz w:val="20"/>
              </w:rPr>
              <w:t>178</w:t>
            </w:r>
          </w:p>
        </w:tc>
      </w:tr>
    </w:tbl>
    <w:p w14:paraId="6DAE183D" w14:textId="77777777" w:rsidR="0069122F" w:rsidRPr="00537128" w:rsidRDefault="0069122F" w:rsidP="0069122F">
      <w:pPr>
        <w:pStyle w:val="ListParagraph"/>
        <w:tabs>
          <w:tab w:val="left" w:pos="-1843"/>
        </w:tabs>
        <w:spacing w:after="0" w:line="240" w:lineRule="auto"/>
        <w:ind w:left="360"/>
        <w:jc w:val="both"/>
        <w:rPr>
          <w:rFonts w:eastAsia="Calibri" w:cs="Arial"/>
          <w:color w:val="000000" w:themeColor="text1"/>
          <w:lang w:val="en-US"/>
        </w:rPr>
      </w:pPr>
    </w:p>
    <w:p w14:paraId="1253FA76" w14:textId="77777777" w:rsidR="0069122F" w:rsidRPr="00537128" w:rsidRDefault="0069122F" w:rsidP="0069122F">
      <w:pPr>
        <w:tabs>
          <w:tab w:val="left" w:pos="-1843"/>
        </w:tabs>
        <w:spacing w:after="0" w:line="240" w:lineRule="auto"/>
        <w:jc w:val="both"/>
        <w:rPr>
          <w:rFonts w:ascii="Calibri" w:eastAsia="Calibri" w:hAnsi="Calibri" w:cs="Arial"/>
          <w:lang w:val="en-US"/>
        </w:rPr>
      </w:pPr>
      <w:r w:rsidRPr="00537128">
        <w:rPr>
          <w:rFonts w:ascii="Calibri" w:eastAsia="Calibri" w:hAnsi="Calibri" w:cs="Arial"/>
          <w:lang w:val="en-US"/>
        </w:rPr>
        <w:t xml:space="preserve">(a) Liabilities in respect of subsidized interest represent advances taken in respect of interest subsidies on loans, which are provided for final customers at a lower interest rate in accordance with the following </w:t>
      </w:r>
      <w:proofErr w:type="spellStart"/>
      <w:r w:rsidRPr="00537128">
        <w:rPr>
          <w:rFonts w:ascii="Calibri" w:eastAsia="Calibri" w:hAnsi="Calibri" w:cs="Arial"/>
          <w:lang w:val="en-US"/>
        </w:rPr>
        <w:t>programmes</w:t>
      </w:r>
      <w:proofErr w:type="spellEnd"/>
      <w:r w:rsidRPr="00537128">
        <w:rPr>
          <w:rFonts w:ascii="Calibri" w:eastAsia="Calibri" w:hAnsi="Calibri" w:cs="Arial"/>
          <w:lang w:val="en-US"/>
        </w:rPr>
        <w:t xml:space="preserve"> implemented by HBOR for and on behalf of the Republic of Croatia. These liabilities include:</w:t>
      </w:r>
    </w:p>
    <w:p w14:paraId="3ABC4607" w14:textId="77777777" w:rsidR="0069122F" w:rsidRPr="00537128" w:rsidRDefault="0069122F" w:rsidP="0069122F">
      <w:pPr>
        <w:tabs>
          <w:tab w:val="left" w:pos="-1843"/>
        </w:tabs>
        <w:spacing w:after="0" w:line="240" w:lineRule="auto"/>
        <w:jc w:val="both"/>
        <w:rPr>
          <w:rFonts w:ascii="Calibri" w:eastAsia="Calibri" w:hAnsi="Calibri" w:cs="Arial"/>
          <w:lang w:val="en-US"/>
        </w:rPr>
      </w:pPr>
    </w:p>
    <w:p w14:paraId="63D7471E" w14:textId="444E7FC8" w:rsidR="0069122F" w:rsidRPr="00537128" w:rsidRDefault="0069122F" w:rsidP="0069122F">
      <w:pPr>
        <w:numPr>
          <w:ilvl w:val="0"/>
          <w:numId w:val="88"/>
        </w:numPr>
        <w:tabs>
          <w:tab w:val="left" w:pos="-1843"/>
        </w:tabs>
        <w:suppressAutoHyphens/>
        <w:spacing w:after="0" w:line="240" w:lineRule="auto"/>
        <w:jc w:val="both"/>
        <w:rPr>
          <w:rFonts w:ascii="Calibri" w:eastAsia="Times New Roman" w:hAnsi="Calibri" w:cs="Calibri"/>
          <w:color w:val="000000"/>
          <w:spacing w:val="-3"/>
          <w:szCs w:val="20"/>
          <w:lang w:val="en-US"/>
        </w:rPr>
      </w:pPr>
      <w:r w:rsidRPr="00537128">
        <w:rPr>
          <w:rFonts w:ascii="Calibri" w:eastAsia="Times New Roman" w:hAnsi="Calibri" w:cs="Calibri"/>
          <w:color w:val="000000"/>
          <w:spacing w:val="-3"/>
          <w:lang w:val="en-US"/>
        </w:rPr>
        <w:t xml:space="preserve">HRK </w:t>
      </w:r>
      <w:r w:rsidRPr="00CA66F6">
        <w:rPr>
          <w:rFonts w:ascii="Calibri" w:eastAsia="Times New Roman" w:hAnsi="Calibri" w:cs="Calibri"/>
          <w:color w:val="000000"/>
          <w:spacing w:val="-3"/>
          <w:lang w:val="en-US"/>
        </w:rPr>
        <w:t>1</w:t>
      </w:r>
      <w:r w:rsidR="00CA66F6" w:rsidRPr="00CA66F6">
        <w:rPr>
          <w:rFonts w:ascii="Calibri" w:eastAsia="Times New Roman" w:hAnsi="Calibri" w:cs="Calibri"/>
          <w:color w:val="000000"/>
          <w:spacing w:val="-3"/>
          <w:lang w:val="en-US"/>
        </w:rPr>
        <w:t>69</w:t>
      </w:r>
      <w:r w:rsidRPr="00CA66F6">
        <w:rPr>
          <w:rFonts w:ascii="Calibri" w:eastAsia="Times New Roman" w:hAnsi="Calibri" w:cs="Calibri"/>
          <w:color w:val="000000"/>
          <w:spacing w:val="-3"/>
          <w:lang w:val="en-US"/>
        </w:rPr>
        <w:t>,</w:t>
      </w:r>
      <w:r w:rsidR="00CA66F6" w:rsidRPr="00CA66F6">
        <w:rPr>
          <w:rFonts w:ascii="Calibri" w:eastAsia="Times New Roman" w:hAnsi="Calibri" w:cs="Calibri"/>
          <w:color w:val="000000"/>
          <w:spacing w:val="-3"/>
          <w:lang w:val="en-US"/>
        </w:rPr>
        <w:t>258</w:t>
      </w:r>
      <w:r w:rsidRPr="00CA66F6">
        <w:rPr>
          <w:rFonts w:ascii="Calibri" w:eastAsia="Times New Roman" w:hAnsi="Calibri" w:cs="Calibri"/>
          <w:color w:val="000000"/>
          <w:spacing w:val="-3"/>
          <w:lang w:val="en-US"/>
        </w:rPr>
        <w:t xml:space="preserve"> thousand</w:t>
      </w:r>
      <w:r w:rsidRPr="00537128">
        <w:rPr>
          <w:rFonts w:ascii="Calibri" w:eastAsia="Times New Roman" w:hAnsi="Calibri" w:cs="Calibri"/>
          <w:color w:val="000000"/>
          <w:spacing w:val="-3"/>
          <w:lang w:val="en-US"/>
        </w:rPr>
        <w:t xml:space="preserve"> in respect of the </w:t>
      </w:r>
      <w:proofErr w:type="spellStart"/>
      <w:r w:rsidRPr="00537128">
        <w:rPr>
          <w:rFonts w:ascii="Calibri" w:eastAsia="Times New Roman" w:hAnsi="Calibri" w:cs="Calibri"/>
          <w:color w:val="000000"/>
          <w:spacing w:val="-3"/>
          <w:lang w:val="en-US"/>
        </w:rPr>
        <w:t>Programme</w:t>
      </w:r>
      <w:proofErr w:type="spellEnd"/>
      <w:r w:rsidRPr="00537128">
        <w:rPr>
          <w:rFonts w:ascii="Calibri" w:eastAsia="Times New Roman" w:hAnsi="Calibri" w:cs="Calibri"/>
          <w:color w:val="000000"/>
          <w:spacing w:val="-3"/>
          <w:lang w:val="en-US"/>
        </w:rPr>
        <w:t xml:space="preserve"> of Preferential Financing through HBOR’s Loan </w:t>
      </w:r>
      <w:proofErr w:type="spellStart"/>
      <w:r w:rsidRPr="00537128">
        <w:rPr>
          <w:rFonts w:ascii="Calibri" w:eastAsia="Times New Roman" w:hAnsi="Calibri" w:cs="Calibri"/>
          <w:color w:val="000000"/>
          <w:spacing w:val="-3"/>
          <w:lang w:val="en-US"/>
        </w:rPr>
        <w:t>Programmes</w:t>
      </w:r>
      <w:proofErr w:type="spellEnd"/>
      <w:r w:rsidRPr="00537128">
        <w:rPr>
          <w:rFonts w:ascii="Calibri" w:eastAsia="Times New Roman" w:hAnsi="Calibri" w:cs="Calibri"/>
          <w:color w:val="000000"/>
          <w:spacing w:val="-3"/>
          <w:lang w:val="en-US"/>
        </w:rPr>
        <w:t xml:space="preserve"> (31 December 20</w:t>
      </w:r>
      <w:r w:rsidR="00204422" w:rsidRPr="00537128">
        <w:rPr>
          <w:rFonts w:ascii="Calibri" w:eastAsia="Times New Roman" w:hAnsi="Calibri" w:cs="Calibri"/>
          <w:color w:val="000000"/>
          <w:spacing w:val="-3"/>
          <w:lang w:val="en-US"/>
        </w:rPr>
        <w:t>2</w:t>
      </w:r>
      <w:r w:rsidR="00883AAB">
        <w:rPr>
          <w:rFonts w:ascii="Calibri" w:eastAsia="Times New Roman" w:hAnsi="Calibri" w:cs="Calibri"/>
          <w:color w:val="000000"/>
          <w:spacing w:val="-3"/>
          <w:lang w:val="en-US"/>
        </w:rPr>
        <w:t>1</w:t>
      </w:r>
      <w:r w:rsidRPr="00537128">
        <w:rPr>
          <w:rFonts w:ascii="Calibri" w:eastAsia="Times New Roman" w:hAnsi="Calibri" w:cs="Calibri"/>
          <w:color w:val="000000"/>
          <w:spacing w:val="-3"/>
          <w:lang w:val="en-US"/>
        </w:rPr>
        <w:t xml:space="preserve">: HRK </w:t>
      </w:r>
      <w:r w:rsidR="00204422" w:rsidRPr="00537128">
        <w:rPr>
          <w:rFonts w:ascii="Calibri" w:eastAsia="Times New Roman" w:hAnsi="Calibri" w:cs="Calibri"/>
          <w:color w:val="000000"/>
          <w:spacing w:val="-3"/>
          <w:lang w:val="en-US"/>
        </w:rPr>
        <w:t>1</w:t>
      </w:r>
      <w:r w:rsidR="00883AAB">
        <w:rPr>
          <w:rFonts w:ascii="Calibri" w:eastAsia="Times New Roman" w:hAnsi="Calibri" w:cs="Calibri"/>
          <w:color w:val="000000"/>
          <w:spacing w:val="-3"/>
          <w:lang w:val="en-US"/>
        </w:rPr>
        <w:t>68</w:t>
      </w:r>
      <w:r w:rsidR="00204422" w:rsidRPr="00537128">
        <w:rPr>
          <w:rFonts w:ascii="Calibri" w:eastAsia="Times New Roman" w:hAnsi="Calibri" w:cs="Calibri"/>
          <w:color w:val="000000"/>
          <w:spacing w:val="-3"/>
          <w:lang w:val="en-US"/>
        </w:rPr>
        <w:t>,</w:t>
      </w:r>
      <w:r w:rsidR="00883AAB">
        <w:rPr>
          <w:rFonts w:ascii="Calibri" w:eastAsia="Times New Roman" w:hAnsi="Calibri" w:cs="Calibri"/>
          <w:color w:val="000000"/>
          <w:spacing w:val="-3"/>
          <w:lang w:val="en-US"/>
        </w:rPr>
        <w:t>750</w:t>
      </w:r>
      <w:r w:rsidR="00204422" w:rsidRPr="00537128">
        <w:rPr>
          <w:rFonts w:ascii="Calibri" w:eastAsia="Times New Roman" w:hAnsi="Calibri" w:cs="Calibri"/>
          <w:color w:val="000000"/>
          <w:spacing w:val="-3"/>
          <w:lang w:val="en-US"/>
        </w:rPr>
        <w:t xml:space="preserve"> </w:t>
      </w:r>
      <w:r w:rsidRPr="00537128">
        <w:rPr>
          <w:rFonts w:ascii="Calibri" w:eastAsia="Times New Roman" w:hAnsi="Calibri" w:cs="Calibri"/>
          <w:color w:val="000000"/>
          <w:spacing w:val="-3"/>
          <w:lang w:val="en-US"/>
        </w:rPr>
        <w:t>thousand),</w:t>
      </w:r>
    </w:p>
    <w:p w14:paraId="54D03C2A" w14:textId="087908B1" w:rsidR="0069122F" w:rsidRPr="00537128" w:rsidRDefault="0069122F" w:rsidP="0069122F">
      <w:pPr>
        <w:numPr>
          <w:ilvl w:val="0"/>
          <w:numId w:val="88"/>
        </w:numPr>
        <w:spacing w:after="0" w:line="256" w:lineRule="auto"/>
        <w:contextualSpacing/>
        <w:jc w:val="both"/>
        <w:rPr>
          <w:rFonts w:ascii="Times New Roman" w:eastAsia="Calibri" w:hAnsi="Times New Roman" w:cs="Times New Roman"/>
          <w:lang w:val="en-US"/>
        </w:rPr>
      </w:pPr>
      <w:bookmarkStart w:id="528" w:name="_Hlk65751696"/>
      <w:r w:rsidRPr="00C97357">
        <w:rPr>
          <w:rFonts w:ascii="Calibri" w:eastAsia="Calibri" w:hAnsi="Calibri" w:cs="Calibri"/>
          <w:color w:val="000000"/>
          <w:spacing w:val="-3"/>
          <w:lang w:val="en-US"/>
        </w:rPr>
        <w:t xml:space="preserve">HRK </w:t>
      </w:r>
      <w:r w:rsidR="00CA66F6" w:rsidRPr="00C97357">
        <w:rPr>
          <w:rFonts w:ascii="Calibri" w:eastAsia="Calibri" w:hAnsi="Calibri" w:cs="Calibri"/>
          <w:color w:val="000000"/>
          <w:spacing w:val="-3"/>
          <w:lang w:val="en-US"/>
        </w:rPr>
        <w:t>4</w:t>
      </w:r>
      <w:r w:rsidRPr="00C97357">
        <w:rPr>
          <w:rFonts w:ascii="Calibri" w:eastAsia="Calibri" w:hAnsi="Calibri" w:cs="Calibri"/>
          <w:color w:val="000000"/>
          <w:spacing w:val="-3"/>
          <w:lang w:val="en-US"/>
        </w:rPr>
        <w:t>,</w:t>
      </w:r>
      <w:r w:rsidR="00CA66F6" w:rsidRPr="00C97357">
        <w:rPr>
          <w:rFonts w:ascii="Calibri" w:eastAsia="Calibri" w:hAnsi="Calibri" w:cs="Calibri"/>
          <w:color w:val="000000"/>
          <w:spacing w:val="-3"/>
          <w:lang w:val="en-US"/>
        </w:rPr>
        <w:t>093</w:t>
      </w:r>
      <w:r w:rsidRPr="00537128">
        <w:rPr>
          <w:rFonts w:ascii="Calibri" w:eastAsia="Calibri" w:hAnsi="Calibri" w:cs="Calibri"/>
          <w:color w:val="000000"/>
          <w:spacing w:val="-3"/>
          <w:lang w:val="en-US"/>
        </w:rPr>
        <w:t xml:space="preserve"> thousand in respect of the </w:t>
      </w:r>
      <w:proofErr w:type="spellStart"/>
      <w:r w:rsidRPr="00537128">
        <w:rPr>
          <w:rFonts w:ascii="Calibri" w:eastAsia="Calibri" w:hAnsi="Calibri" w:cs="Calibri"/>
          <w:color w:val="000000"/>
          <w:spacing w:val="-3"/>
          <w:lang w:val="en-US"/>
        </w:rPr>
        <w:t>Programme</w:t>
      </w:r>
      <w:proofErr w:type="spellEnd"/>
      <w:r w:rsidRPr="00537128">
        <w:rPr>
          <w:rFonts w:ascii="Calibri" w:eastAsia="Calibri" w:hAnsi="Calibri" w:cs="Calibri"/>
          <w:color w:val="000000"/>
          <w:spacing w:val="-3"/>
          <w:lang w:val="en-US"/>
        </w:rPr>
        <w:t xml:space="preserve"> Working Capital COVID-19 Measure for SMEs in tourism industry for micro, small and medium-sized entrepreneurs, Ministry of Tourism and Sports (31 December 20</w:t>
      </w:r>
      <w:r w:rsidR="00204422" w:rsidRPr="00537128">
        <w:rPr>
          <w:rFonts w:ascii="Calibri" w:eastAsia="Calibri" w:hAnsi="Calibri" w:cs="Calibri"/>
          <w:color w:val="000000"/>
          <w:spacing w:val="-3"/>
          <w:lang w:val="en-US"/>
        </w:rPr>
        <w:t>2</w:t>
      </w:r>
      <w:r w:rsidR="00A458F1">
        <w:rPr>
          <w:rFonts w:ascii="Calibri" w:eastAsia="Calibri" w:hAnsi="Calibri" w:cs="Calibri"/>
          <w:color w:val="000000"/>
          <w:spacing w:val="-3"/>
          <w:lang w:val="en-US"/>
        </w:rPr>
        <w:t>1</w:t>
      </w:r>
      <w:r w:rsidRPr="00537128">
        <w:rPr>
          <w:rFonts w:ascii="Calibri" w:eastAsia="Calibri" w:hAnsi="Calibri" w:cs="Calibri"/>
          <w:color w:val="000000"/>
          <w:spacing w:val="-3"/>
          <w:lang w:val="en-US"/>
        </w:rPr>
        <w:t xml:space="preserve">: HRK </w:t>
      </w:r>
      <w:r w:rsidR="00204422" w:rsidRPr="00537128">
        <w:rPr>
          <w:rFonts w:ascii="Calibri" w:eastAsia="Calibri" w:hAnsi="Calibri" w:cs="Calibri"/>
          <w:color w:val="000000"/>
          <w:spacing w:val="-3"/>
          <w:lang w:val="en-US"/>
        </w:rPr>
        <w:t>3,</w:t>
      </w:r>
      <w:r w:rsidR="00A458F1">
        <w:rPr>
          <w:rFonts w:ascii="Calibri" w:eastAsia="Calibri" w:hAnsi="Calibri" w:cs="Calibri"/>
          <w:color w:val="000000"/>
          <w:spacing w:val="-3"/>
          <w:lang w:val="en-US"/>
        </w:rPr>
        <w:t>468</w:t>
      </w:r>
      <w:r w:rsidR="00204422" w:rsidRPr="00537128">
        <w:rPr>
          <w:rFonts w:ascii="Calibri" w:eastAsia="Calibri" w:hAnsi="Calibri" w:cs="Calibri"/>
          <w:color w:val="000000"/>
          <w:spacing w:val="-3"/>
          <w:lang w:val="en-US"/>
        </w:rPr>
        <w:t xml:space="preserve"> </w:t>
      </w:r>
      <w:r w:rsidRPr="00537128">
        <w:rPr>
          <w:rFonts w:ascii="Calibri" w:eastAsia="Calibri" w:hAnsi="Calibri" w:cs="Calibri"/>
          <w:color w:val="000000"/>
          <w:spacing w:val="-3"/>
          <w:lang w:val="en-US"/>
        </w:rPr>
        <w:t>thousand),</w:t>
      </w:r>
    </w:p>
    <w:p w14:paraId="53A0F12C" w14:textId="4AC8CDCC" w:rsidR="0069122F" w:rsidRPr="00B3571A" w:rsidRDefault="0069122F" w:rsidP="0069122F">
      <w:pPr>
        <w:numPr>
          <w:ilvl w:val="0"/>
          <w:numId w:val="88"/>
        </w:numPr>
        <w:spacing w:after="0" w:line="256" w:lineRule="auto"/>
        <w:contextualSpacing/>
        <w:jc w:val="both"/>
        <w:rPr>
          <w:rFonts w:ascii="Calibri" w:eastAsia="Calibri" w:hAnsi="Calibri" w:cs="Calibri"/>
          <w:lang w:val="en-US"/>
        </w:rPr>
      </w:pPr>
      <w:r w:rsidRPr="00CD41CD">
        <w:rPr>
          <w:rFonts w:ascii="Calibri" w:eastAsia="Calibri" w:hAnsi="Calibri" w:cs="Calibri"/>
          <w:lang w:val="en-US"/>
        </w:rPr>
        <w:t xml:space="preserve">HRK </w:t>
      </w:r>
      <w:r w:rsidR="00C97357">
        <w:rPr>
          <w:rFonts w:ascii="Calibri" w:eastAsia="Calibri" w:hAnsi="Calibri" w:cs="Calibri"/>
          <w:lang w:val="en-US"/>
        </w:rPr>
        <w:t>324</w:t>
      </w:r>
      <w:r w:rsidRPr="00CD41CD">
        <w:rPr>
          <w:rFonts w:ascii="Calibri" w:eastAsia="Calibri" w:hAnsi="Calibri" w:cs="Calibri"/>
          <w:lang w:val="en-US"/>
        </w:rPr>
        <w:t xml:space="preserve"> thousand</w:t>
      </w:r>
      <w:r w:rsidRPr="00537128">
        <w:rPr>
          <w:rFonts w:ascii="Calibri" w:eastAsia="Calibri" w:hAnsi="Calibri" w:cs="Calibri"/>
          <w:lang w:val="en-US"/>
        </w:rPr>
        <w:t xml:space="preserve"> in respect of the </w:t>
      </w:r>
      <w:proofErr w:type="spellStart"/>
      <w:r w:rsidRPr="00537128">
        <w:rPr>
          <w:rFonts w:ascii="Calibri" w:eastAsia="Calibri" w:hAnsi="Calibri" w:cs="Calibri"/>
          <w:color w:val="000000"/>
          <w:spacing w:val="-3"/>
          <w:lang w:val="en-US"/>
        </w:rPr>
        <w:t>Programme</w:t>
      </w:r>
      <w:proofErr w:type="spellEnd"/>
      <w:r w:rsidRPr="00537128">
        <w:rPr>
          <w:rFonts w:ascii="Calibri" w:eastAsia="Calibri" w:hAnsi="Calibri" w:cs="Calibri"/>
          <w:color w:val="000000"/>
          <w:spacing w:val="-3"/>
          <w:lang w:val="en-US"/>
        </w:rPr>
        <w:t xml:space="preserve"> Working Capital COVID-19 Measure for entrepreneurs in wood processing and furniture production industry, Ministry of Agriculture (31 December 20</w:t>
      </w:r>
      <w:r w:rsidR="00204422" w:rsidRPr="00537128">
        <w:rPr>
          <w:rFonts w:ascii="Calibri" w:eastAsia="Calibri" w:hAnsi="Calibri" w:cs="Calibri"/>
          <w:color w:val="000000"/>
          <w:spacing w:val="-3"/>
          <w:lang w:val="en-US"/>
        </w:rPr>
        <w:t>2</w:t>
      </w:r>
      <w:r w:rsidR="002E3F19">
        <w:rPr>
          <w:rFonts w:ascii="Calibri" w:eastAsia="Calibri" w:hAnsi="Calibri" w:cs="Calibri"/>
          <w:color w:val="000000"/>
          <w:spacing w:val="-3"/>
          <w:lang w:val="en-US"/>
        </w:rPr>
        <w:t>1</w:t>
      </w:r>
      <w:r w:rsidRPr="00537128">
        <w:rPr>
          <w:rFonts w:ascii="Calibri" w:eastAsia="Calibri" w:hAnsi="Calibri" w:cs="Calibri"/>
          <w:color w:val="000000"/>
          <w:spacing w:val="-3"/>
          <w:lang w:val="en-US"/>
        </w:rPr>
        <w:t xml:space="preserve">: HRK </w:t>
      </w:r>
      <w:r w:rsidR="002E3F19">
        <w:rPr>
          <w:rFonts w:ascii="Calibri" w:eastAsia="Calibri" w:hAnsi="Calibri" w:cs="Calibri"/>
          <w:color w:val="000000"/>
          <w:spacing w:val="-3"/>
          <w:lang w:val="en-US"/>
        </w:rPr>
        <w:t>309</w:t>
      </w:r>
      <w:r w:rsidR="00204422" w:rsidRPr="00537128">
        <w:rPr>
          <w:rFonts w:ascii="Calibri" w:eastAsia="Calibri" w:hAnsi="Calibri" w:cs="Calibri"/>
          <w:color w:val="000000"/>
          <w:spacing w:val="-3"/>
          <w:lang w:val="en-US"/>
        </w:rPr>
        <w:t xml:space="preserve"> </w:t>
      </w:r>
      <w:r w:rsidRPr="00537128">
        <w:rPr>
          <w:rFonts w:ascii="Calibri" w:eastAsia="Calibri" w:hAnsi="Calibri" w:cs="Calibri"/>
          <w:color w:val="000000"/>
          <w:spacing w:val="-3"/>
          <w:lang w:val="en-US"/>
        </w:rPr>
        <w:t>thousand)</w:t>
      </w:r>
      <w:r w:rsidR="00B3571A">
        <w:rPr>
          <w:rFonts w:ascii="Calibri" w:eastAsia="Calibri" w:hAnsi="Calibri" w:cs="Calibri"/>
          <w:color w:val="000000"/>
          <w:spacing w:val="-3"/>
          <w:lang w:val="en-US"/>
        </w:rPr>
        <w:t>,</w:t>
      </w:r>
    </w:p>
    <w:p w14:paraId="07C6F3B2" w14:textId="3ADF8970" w:rsidR="00B3571A" w:rsidRPr="000239F2" w:rsidRDefault="00B3571A" w:rsidP="00B3571A">
      <w:pPr>
        <w:pStyle w:val="ListParagraph"/>
        <w:numPr>
          <w:ilvl w:val="0"/>
          <w:numId w:val="88"/>
        </w:numPr>
        <w:spacing w:after="0" w:line="240" w:lineRule="auto"/>
        <w:jc w:val="both"/>
        <w:rPr>
          <w:rFonts w:ascii="Calibri" w:hAnsi="Calibri" w:cs="Arial"/>
          <w:spacing w:val="-3"/>
        </w:rPr>
      </w:pPr>
      <w:r w:rsidRPr="000239F2">
        <w:rPr>
          <w:rFonts w:ascii="Calibri" w:hAnsi="Calibri" w:cs="Arial"/>
          <w:spacing w:val="-3"/>
        </w:rPr>
        <w:t xml:space="preserve">Subsidising of interest for the purchase of mobile homes for business entities in the tourism industry in the amount of </w:t>
      </w:r>
      <w:r w:rsidRPr="00C97357">
        <w:rPr>
          <w:rFonts w:ascii="Calibri" w:hAnsi="Calibri" w:cs="Arial"/>
          <w:spacing w:val="-3"/>
        </w:rPr>
        <w:t>HRK 1,500 thousand</w:t>
      </w:r>
      <w:r w:rsidRPr="000239F2">
        <w:rPr>
          <w:rFonts w:ascii="Calibri" w:hAnsi="Calibri" w:cs="Arial"/>
          <w:spacing w:val="-3"/>
        </w:rPr>
        <w:t xml:space="preserve"> (31 December 202</w:t>
      </w:r>
      <w:r>
        <w:rPr>
          <w:rFonts w:ascii="Calibri" w:hAnsi="Calibri" w:cs="Arial"/>
          <w:spacing w:val="-3"/>
        </w:rPr>
        <w:t>1</w:t>
      </w:r>
      <w:r w:rsidRPr="000239F2">
        <w:rPr>
          <w:rFonts w:ascii="Calibri" w:hAnsi="Calibri" w:cs="Arial"/>
          <w:spacing w:val="-3"/>
        </w:rPr>
        <w:t>: HRK</w:t>
      </w:r>
      <w:r>
        <w:rPr>
          <w:rFonts w:ascii="Calibri" w:hAnsi="Calibri" w:cs="Arial"/>
          <w:spacing w:val="-3"/>
        </w:rPr>
        <w:t xml:space="preserve"> 1,500</w:t>
      </w:r>
      <w:r w:rsidRPr="000239F2">
        <w:rPr>
          <w:rFonts w:ascii="Calibri" w:hAnsi="Calibri" w:cs="Arial"/>
          <w:spacing w:val="-3"/>
        </w:rPr>
        <w:t xml:space="preserve"> thousand).</w:t>
      </w:r>
    </w:p>
    <w:p w14:paraId="49A03628" w14:textId="77777777" w:rsidR="0069122F" w:rsidRPr="00537128" w:rsidRDefault="0069122F" w:rsidP="00A1123E">
      <w:pPr>
        <w:spacing w:after="0" w:line="256" w:lineRule="auto"/>
        <w:ind w:left="360"/>
        <w:contextualSpacing/>
        <w:jc w:val="both"/>
        <w:rPr>
          <w:rFonts w:ascii="Calibri" w:eastAsia="Calibri" w:hAnsi="Calibri" w:cs="Calibri"/>
          <w:lang w:val="en-US"/>
        </w:rPr>
      </w:pPr>
    </w:p>
    <w:bookmarkEnd w:id="528"/>
    <w:p w14:paraId="6050FD9F" w14:textId="39DF32BF" w:rsidR="0069122F" w:rsidRDefault="0069122F" w:rsidP="0069122F">
      <w:pPr>
        <w:tabs>
          <w:tab w:val="left" w:pos="-1843"/>
          <w:tab w:val="center" w:pos="4513"/>
        </w:tabs>
        <w:suppressAutoHyphens/>
        <w:spacing w:after="0" w:line="240" w:lineRule="auto"/>
        <w:jc w:val="both"/>
        <w:rPr>
          <w:rFonts w:ascii="Calibri" w:eastAsia="Times New Roman" w:hAnsi="Calibri" w:cs="Arial"/>
          <w:spacing w:val="-3"/>
          <w:lang w:val="en-US"/>
        </w:rPr>
      </w:pPr>
      <w:r w:rsidRPr="00537128">
        <w:rPr>
          <w:rFonts w:ascii="Calibri" w:eastAsia="Times New Roman" w:hAnsi="Calibri" w:cs="Calibri"/>
          <w:color w:val="000000"/>
          <w:spacing w:val="-3"/>
          <w:lang w:val="en-US"/>
        </w:rPr>
        <w:t xml:space="preserve">(b) </w:t>
      </w:r>
      <w:r w:rsidRPr="00537128">
        <w:rPr>
          <w:rFonts w:ascii="Calibri" w:eastAsia="Times New Roman" w:hAnsi="Calibri" w:cs="Arial"/>
          <w:noProof/>
          <w:spacing w:val="-3"/>
          <w:lang w:val="en-US" w:eastAsia="hr-HR"/>
        </w:rPr>
        <w:t xml:space="preserve">Deferred recognition of interest income of HRK </w:t>
      </w:r>
      <w:r w:rsidR="00C97357" w:rsidRPr="00C97357">
        <w:rPr>
          <w:rFonts w:ascii="Calibri" w:eastAsia="Times New Roman" w:hAnsi="Calibri" w:cs="Arial"/>
          <w:noProof/>
          <w:spacing w:val="-3"/>
          <w:lang w:val="en-US" w:eastAsia="hr-HR"/>
        </w:rPr>
        <w:t>172</w:t>
      </w:r>
      <w:r w:rsidRPr="00C97357">
        <w:rPr>
          <w:rFonts w:ascii="Calibri" w:eastAsia="Times New Roman" w:hAnsi="Calibri" w:cs="Arial"/>
          <w:noProof/>
          <w:spacing w:val="-3"/>
          <w:lang w:val="en-US" w:eastAsia="hr-HR"/>
        </w:rPr>
        <w:t>,</w:t>
      </w:r>
      <w:r w:rsidR="00C97357" w:rsidRPr="00C97357">
        <w:rPr>
          <w:rFonts w:ascii="Calibri" w:eastAsia="Times New Roman" w:hAnsi="Calibri" w:cs="Arial"/>
          <w:noProof/>
          <w:spacing w:val="-3"/>
          <w:lang w:val="en-US" w:eastAsia="hr-HR"/>
        </w:rPr>
        <w:t>610</w:t>
      </w:r>
      <w:r w:rsidRPr="00537128">
        <w:rPr>
          <w:rFonts w:ascii="Calibri" w:eastAsia="Times New Roman" w:hAnsi="Calibri" w:cs="Arial"/>
          <w:noProof/>
          <w:spacing w:val="-3"/>
          <w:lang w:val="en-US" w:eastAsia="hr-HR"/>
        </w:rPr>
        <w:t xml:space="preserve"> thousand (31 December 20</w:t>
      </w:r>
      <w:r w:rsidR="00204422" w:rsidRPr="00537128">
        <w:rPr>
          <w:rFonts w:ascii="Calibri" w:eastAsia="Times New Roman" w:hAnsi="Calibri" w:cs="Arial"/>
          <w:noProof/>
          <w:spacing w:val="-3"/>
          <w:lang w:val="en-US" w:eastAsia="hr-HR"/>
        </w:rPr>
        <w:t>2</w:t>
      </w:r>
      <w:r w:rsidR="00461007">
        <w:rPr>
          <w:rFonts w:ascii="Calibri" w:eastAsia="Times New Roman" w:hAnsi="Calibri" w:cs="Arial"/>
          <w:noProof/>
          <w:spacing w:val="-3"/>
          <w:lang w:val="en-US" w:eastAsia="hr-HR"/>
        </w:rPr>
        <w:t>1</w:t>
      </w:r>
      <w:r w:rsidRPr="00537128">
        <w:rPr>
          <w:rFonts w:ascii="Calibri" w:eastAsia="Times New Roman" w:hAnsi="Calibri" w:cs="Arial"/>
          <w:noProof/>
          <w:spacing w:val="-3"/>
          <w:lang w:val="en-US" w:eastAsia="hr-HR"/>
        </w:rPr>
        <w:t xml:space="preserve">: HRK </w:t>
      </w:r>
      <w:r w:rsidR="00204422" w:rsidRPr="00537128">
        <w:rPr>
          <w:rFonts w:ascii="Calibri" w:eastAsia="Times New Roman" w:hAnsi="Calibri" w:cs="Arial"/>
          <w:noProof/>
          <w:spacing w:val="-3"/>
          <w:lang w:val="en-US" w:eastAsia="hr-HR"/>
        </w:rPr>
        <w:t>18</w:t>
      </w:r>
      <w:r w:rsidR="005F4645">
        <w:rPr>
          <w:rFonts w:ascii="Calibri" w:eastAsia="Times New Roman" w:hAnsi="Calibri" w:cs="Arial"/>
          <w:noProof/>
          <w:spacing w:val="-3"/>
          <w:lang w:val="en-US" w:eastAsia="hr-HR"/>
        </w:rPr>
        <w:t>6</w:t>
      </w:r>
      <w:r w:rsidR="00204422" w:rsidRPr="00537128">
        <w:rPr>
          <w:rFonts w:ascii="Calibri" w:eastAsia="Times New Roman" w:hAnsi="Calibri" w:cs="Arial"/>
          <w:noProof/>
          <w:spacing w:val="-3"/>
          <w:lang w:val="en-US" w:eastAsia="hr-HR"/>
        </w:rPr>
        <w:t>,</w:t>
      </w:r>
      <w:r w:rsidR="005F4645">
        <w:rPr>
          <w:rFonts w:ascii="Calibri" w:eastAsia="Times New Roman" w:hAnsi="Calibri" w:cs="Arial"/>
          <w:noProof/>
          <w:spacing w:val="-3"/>
          <w:lang w:val="en-US" w:eastAsia="hr-HR"/>
        </w:rPr>
        <w:t>159</w:t>
      </w:r>
      <w:r w:rsidR="00204422" w:rsidRPr="00537128">
        <w:rPr>
          <w:rFonts w:ascii="Calibri" w:eastAsia="Times New Roman" w:hAnsi="Calibri" w:cs="Arial"/>
          <w:noProof/>
          <w:spacing w:val="-3"/>
          <w:lang w:val="en-US" w:eastAsia="hr-HR"/>
        </w:rPr>
        <w:t xml:space="preserve"> </w:t>
      </w:r>
      <w:r w:rsidRPr="00537128">
        <w:rPr>
          <w:rFonts w:ascii="Calibri" w:eastAsia="Times New Roman" w:hAnsi="Calibri" w:cs="Arial"/>
          <w:noProof/>
          <w:spacing w:val="-3"/>
          <w:lang w:val="en-US" w:eastAsia="hr-HR"/>
        </w:rPr>
        <w:t xml:space="preserve">thousand) consists of state subsidies for interest in respect of loans which are provided and drawn down by final borrowers at lower interest rates but are not yet in repayment stage, amounting to </w:t>
      </w:r>
      <w:r w:rsidRPr="00C97357">
        <w:rPr>
          <w:rFonts w:ascii="Calibri" w:eastAsia="Times New Roman" w:hAnsi="Calibri" w:cs="Arial"/>
          <w:noProof/>
          <w:spacing w:val="-3"/>
          <w:lang w:val="en-US" w:eastAsia="hr-HR"/>
        </w:rPr>
        <w:t xml:space="preserve">HRK </w:t>
      </w:r>
      <w:r w:rsidR="00C97357" w:rsidRPr="00C97357">
        <w:rPr>
          <w:rFonts w:ascii="Calibri" w:eastAsia="Times New Roman" w:hAnsi="Calibri" w:cs="Arial"/>
          <w:noProof/>
          <w:spacing w:val="-3"/>
          <w:lang w:val="en-US" w:eastAsia="hr-HR"/>
        </w:rPr>
        <w:t>45</w:t>
      </w:r>
      <w:r w:rsidRPr="00C97357">
        <w:rPr>
          <w:rFonts w:ascii="Calibri" w:eastAsia="Times New Roman" w:hAnsi="Calibri" w:cs="Arial"/>
          <w:noProof/>
          <w:spacing w:val="-3"/>
          <w:lang w:val="en-US" w:eastAsia="hr-HR"/>
        </w:rPr>
        <w:t>,</w:t>
      </w:r>
      <w:r w:rsidR="00C97357" w:rsidRPr="00C97357">
        <w:rPr>
          <w:rFonts w:ascii="Calibri" w:eastAsia="Times New Roman" w:hAnsi="Calibri" w:cs="Arial"/>
          <w:noProof/>
          <w:spacing w:val="-3"/>
          <w:lang w:val="en-US" w:eastAsia="hr-HR"/>
        </w:rPr>
        <w:t>580</w:t>
      </w:r>
      <w:r w:rsidRPr="00537128">
        <w:rPr>
          <w:rFonts w:ascii="Calibri" w:eastAsia="Times New Roman" w:hAnsi="Calibri" w:cs="Arial"/>
          <w:spacing w:val="-3"/>
          <w:lang w:val="en-US"/>
        </w:rPr>
        <w:t xml:space="preserve"> </w:t>
      </w:r>
      <w:r w:rsidRPr="00537128">
        <w:rPr>
          <w:rFonts w:ascii="Calibri" w:eastAsia="Times New Roman" w:hAnsi="Calibri" w:cs="Arial"/>
          <w:noProof/>
          <w:spacing w:val="-3"/>
          <w:lang w:val="en-US" w:eastAsia="hr-HR"/>
        </w:rPr>
        <w:t>thousand (31 December 20</w:t>
      </w:r>
      <w:r w:rsidR="00204422" w:rsidRPr="00537128">
        <w:rPr>
          <w:rFonts w:ascii="Calibri" w:eastAsia="Times New Roman" w:hAnsi="Calibri" w:cs="Arial"/>
          <w:noProof/>
          <w:spacing w:val="-3"/>
          <w:lang w:val="en-US" w:eastAsia="hr-HR"/>
        </w:rPr>
        <w:t>2</w:t>
      </w:r>
      <w:r w:rsidR="005F4645">
        <w:rPr>
          <w:rFonts w:ascii="Calibri" w:eastAsia="Times New Roman" w:hAnsi="Calibri" w:cs="Arial"/>
          <w:noProof/>
          <w:spacing w:val="-3"/>
          <w:lang w:val="en-US" w:eastAsia="hr-HR"/>
        </w:rPr>
        <w:t>1</w:t>
      </w:r>
      <w:r w:rsidRPr="00537128">
        <w:rPr>
          <w:rFonts w:ascii="Calibri" w:eastAsia="Times New Roman" w:hAnsi="Calibri" w:cs="Arial"/>
          <w:noProof/>
          <w:spacing w:val="-3"/>
          <w:lang w:val="en-US" w:eastAsia="hr-HR"/>
        </w:rPr>
        <w:t xml:space="preserve">: HRK </w:t>
      </w:r>
      <w:r w:rsidR="000233ED">
        <w:rPr>
          <w:rFonts w:ascii="Calibri" w:eastAsia="Times New Roman" w:hAnsi="Calibri" w:cs="Arial"/>
          <w:noProof/>
          <w:spacing w:val="-3"/>
          <w:lang w:val="en-US" w:eastAsia="hr-HR"/>
        </w:rPr>
        <w:t>58</w:t>
      </w:r>
      <w:r w:rsidR="00204422" w:rsidRPr="00537128">
        <w:rPr>
          <w:rFonts w:ascii="Calibri" w:eastAsia="Times New Roman" w:hAnsi="Calibri" w:cs="Arial"/>
          <w:noProof/>
          <w:spacing w:val="-3"/>
          <w:lang w:val="en-US" w:eastAsia="hr-HR"/>
        </w:rPr>
        <w:t>,</w:t>
      </w:r>
      <w:r w:rsidR="000233ED">
        <w:rPr>
          <w:rFonts w:ascii="Calibri" w:eastAsia="Times New Roman" w:hAnsi="Calibri" w:cs="Arial"/>
          <w:noProof/>
          <w:spacing w:val="-3"/>
          <w:lang w:val="en-US" w:eastAsia="hr-HR"/>
        </w:rPr>
        <w:t>042</w:t>
      </w:r>
      <w:r w:rsidR="00204422" w:rsidRPr="00537128">
        <w:rPr>
          <w:rFonts w:ascii="Calibri" w:eastAsia="Times New Roman" w:hAnsi="Calibri" w:cs="Arial"/>
          <w:noProof/>
          <w:spacing w:val="-3"/>
          <w:lang w:val="en-US" w:eastAsia="hr-HR"/>
        </w:rPr>
        <w:t xml:space="preserve"> </w:t>
      </w:r>
      <w:r w:rsidRPr="00537128">
        <w:rPr>
          <w:rFonts w:ascii="Calibri" w:eastAsia="Times New Roman" w:hAnsi="Calibri" w:cs="Arial"/>
          <w:noProof/>
          <w:spacing w:val="-3"/>
          <w:lang w:val="en-US" w:eastAsia="hr-HR"/>
        </w:rPr>
        <w:t xml:space="preserve">thousand), and in respect of those already in repayment stage amounting to </w:t>
      </w:r>
      <w:r w:rsidRPr="00C97357">
        <w:rPr>
          <w:rFonts w:ascii="Calibri" w:eastAsia="Times New Roman" w:hAnsi="Calibri" w:cs="Arial"/>
          <w:noProof/>
          <w:spacing w:val="-3"/>
          <w:lang w:val="en-US" w:eastAsia="hr-HR"/>
        </w:rPr>
        <w:t>HRK 12</w:t>
      </w:r>
      <w:r w:rsidR="00C97357" w:rsidRPr="00C97357">
        <w:rPr>
          <w:rFonts w:ascii="Calibri" w:eastAsia="Times New Roman" w:hAnsi="Calibri" w:cs="Arial"/>
          <w:noProof/>
          <w:spacing w:val="-3"/>
          <w:lang w:val="en-US" w:eastAsia="hr-HR"/>
        </w:rPr>
        <w:t>7</w:t>
      </w:r>
      <w:r w:rsidRPr="00C97357">
        <w:rPr>
          <w:rFonts w:ascii="Calibri" w:eastAsia="Times New Roman" w:hAnsi="Calibri" w:cs="Arial"/>
          <w:noProof/>
          <w:spacing w:val="-3"/>
          <w:lang w:val="en-US" w:eastAsia="hr-HR"/>
        </w:rPr>
        <w:t>,</w:t>
      </w:r>
      <w:r w:rsidR="00C97357" w:rsidRPr="00C97357">
        <w:rPr>
          <w:rFonts w:ascii="Calibri" w:eastAsia="Times New Roman" w:hAnsi="Calibri" w:cs="Arial"/>
          <w:noProof/>
          <w:spacing w:val="-3"/>
          <w:lang w:val="en-US" w:eastAsia="hr-HR"/>
        </w:rPr>
        <w:t>030</w:t>
      </w:r>
      <w:r w:rsidRPr="00C97357">
        <w:rPr>
          <w:rFonts w:ascii="Calibri" w:eastAsia="Times New Roman" w:hAnsi="Calibri" w:cs="Arial"/>
          <w:spacing w:val="-3"/>
          <w:lang w:val="en-US"/>
        </w:rPr>
        <w:t xml:space="preserve"> </w:t>
      </w:r>
      <w:r w:rsidRPr="00C97357">
        <w:rPr>
          <w:rFonts w:ascii="Calibri" w:eastAsia="Times New Roman" w:hAnsi="Calibri" w:cs="Arial"/>
          <w:noProof/>
          <w:spacing w:val="-3"/>
          <w:lang w:val="en-US" w:eastAsia="hr-HR"/>
        </w:rPr>
        <w:t>thousand</w:t>
      </w:r>
      <w:r w:rsidRPr="00537128">
        <w:rPr>
          <w:rFonts w:ascii="Calibri" w:eastAsia="Times New Roman" w:hAnsi="Calibri" w:cs="Arial"/>
          <w:noProof/>
          <w:spacing w:val="-3"/>
          <w:lang w:val="en-US" w:eastAsia="hr-HR"/>
        </w:rPr>
        <w:t xml:space="preserve"> (31 December 20</w:t>
      </w:r>
      <w:r w:rsidR="00204422" w:rsidRPr="00537128">
        <w:rPr>
          <w:rFonts w:ascii="Calibri" w:eastAsia="Times New Roman" w:hAnsi="Calibri" w:cs="Arial"/>
          <w:noProof/>
          <w:spacing w:val="-3"/>
          <w:lang w:val="en-US" w:eastAsia="hr-HR"/>
        </w:rPr>
        <w:t>2</w:t>
      </w:r>
      <w:r w:rsidR="000233ED">
        <w:rPr>
          <w:rFonts w:ascii="Calibri" w:eastAsia="Times New Roman" w:hAnsi="Calibri" w:cs="Arial"/>
          <w:noProof/>
          <w:spacing w:val="-3"/>
          <w:lang w:val="en-US" w:eastAsia="hr-HR"/>
        </w:rPr>
        <w:t>1</w:t>
      </w:r>
      <w:r w:rsidRPr="00537128">
        <w:rPr>
          <w:rFonts w:ascii="Calibri" w:eastAsia="Times New Roman" w:hAnsi="Calibri" w:cs="Arial"/>
          <w:noProof/>
          <w:spacing w:val="-3"/>
          <w:lang w:val="en-US" w:eastAsia="hr-HR"/>
        </w:rPr>
        <w:t xml:space="preserve">: HRK </w:t>
      </w:r>
      <w:r w:rsidR="00204422" w:rsidRPr="00537128">
        <w:rPr>
          <w:rFonts w:ascii="Calibri" w:eastAsia="Times New Roman" w:hAnsi="Calibri" w:cs="Arial"/>
          <w:noProof/>
          <w:spacing w:val="-3"/>
          <w:lang w:val="en-US" w:eastAsia="hr-HR"/>
        </w:rPr>
        <w:t>12</w:t>
      </w:r>
      <w:r w:rsidR="000233ED">
        <w:rPr>
          <w:rFonts w:ascii="Calibri" w:eastAsia="Times New Roman" w:hAnsi="Calibri" w:cs="Arial"/>
          <w:noProof/>
          <w:spacing w:val="-3"/>
          <w:lang w:val="en-US" w:eastAsia="hr-HR"/>
        </w:rPr>
        <w:t>8</w:t>
      </w:r>
      <w:r w:rsidR="00204422" w:rsidRPr="00537128">
        <w:rPr>
          <w:rFonts w:ascii="Calibri" w:eastAsia="Times New Roman" w:hAnsi="Calibri" w:cs="Arial"/>
          <w:noProof/>
          <w:spacing w:val="-3"/>
          <w:lang w:val="en-US" w:eastAsia="hr-HR"/>
        </w:rPr>
        <w:t>,</w:t>
      </w:r>
      <w:r w:rsidR="000233ED">
        <w:rPr>
          <w:rFonts w:ascii="Calibri" w:eastAsia="Times New Roman" w:hAnsi="Calibri" w:cs="Arial"/>
          <w:noProof/>
          <w:spacing w:val="-3"/>
          <w:lang w:val="en-US" w:eastAsia="hr-HR"/>
        </w:rPr>
        <w:t>117</w:t>
      </w:r>
      <w:r w:rsidR="00204422" w:rsidRPr="00537128">
        <w:rPr>
          <w:rFonts w:ascii="Calibri" w:eastAsia="Times New Roman" w:hAnsi="Calibri" w:cs="Arial"/>
          <w:noProof/>
          <w:spacing w:val="-3"/>
          <w:lang w:val="en-US" w:eastAsia="hr-HR"/>
        </w:rPr>
        <w:t xml:space="preserve"> </w:t>
      </w:r>
      <w:r w:rsidRPr="00537128">
        <w:rPr>
          <w:rFonts w:ascii="Calibri" w:eastAsia="Times New Roman" w:hAnsi="Calibri" w:cs="Arial"/>
          <w:noProof/>
          <w:spacing w:val="-3"/>
          <w:lang w:val="en-US" w:eastAsia="hr-HR"/>
        </w:rPr>
        <w:t>thousand)</w:t>
      </w:r>
      <w:r w:rsidRPr="00537128">
        <w:rPr>
          <w:rFonts w:ascii="Calibri" w:eastAsia="Times New Roman" w:hAnsi="Calibri" w:cs="Arial"/>
          <w:spacing w:val="-3"/>
          <w:lang w:val="en-US"/>
        </w:rPr>
        <w:t>.</w:t>
      </w:r>
    </w:p>
    <w:p w14:paraId="6BF5DAD7" w14:textId="51D94D62" w:rsidR="00551BEB" w:rsidRPr="00A1123E" w:rsidRDefault="00551BEB" w:rsidP="0069122F">
      <w:pPr>
        <w:tabs>
          <w:tab w:val="left" w:pos="-1843"/>
          <w:tab w:val="center" w:pos="4513"/>
        </w:tabs>
        <w:suppressAutoHyphens/>
        <w:spacing w:after="0" w:line="240" w:lineRule="auto"/>
        <w:jc w:val="both"/>
        <w:rPr>
          <w:rFonts w:ascii="Calibri" w:eastAsia="Times New Roman" w:hAnsi="Calibri" w:cs="Arial"/>
          <w:spacing w:val="-3"/>
          <w:sz w:val="18"/>
          <w:szCs w:val="18"/>
          <w:lang w:val="en-US"/>
        </w:rPr>
      </w:pPr>
    </w:p>
    <w:p w14:paraId="5B6B6C5C" w14:textId="026F3F48" w:rsidR="0069122F" w:rsidRPr="00537128" w:rsidRDefault="0069122F" w:rsidP="0069122F">
      <w:pPr>
        <w:tabs>
          <w:tab w:val="left" w:pos="-1843"/>
        </w:tabs>
        <w:spacing w:before="120" w:after="0" w:line="240" w:lineRule="auto"/>
        <w:jc w:val="both"/>
        <w:rPr>
          <w:rFonts w:ascii="Calibri" w:eastAsia="Times New Roman" w:hAnsi="Calibri" w:cs="Times New Roman"/>
          <w:color w:val="000000" w:themeColor="text1"/>
          <w:lang w:val="en-US"/>
        </w:rPr>
        <w:sectPr w:rsidR="0069122F" w:rsidRPr="00537128">
          <w:pgSz w:w="11906" w:h="16838"/>
          <w:pgMar w:top="1417" w:right="1417" w:bottom="1417" w:left="1417" w:header="708" w:footer="708" w:gutter="0"/>
          <w:cols w:space="708"/>
          <w:docGrid w:linePitch="360"/>
        </w:sectPr>
      </w:pPr>
    </w:p>
    <w:p w14:paraId="2EE2A613" w14:textId="77777777" w:rsidR="00C60C2F" w:rsidRPr="00537128" w:rsidRDefault="00C60C2F" w:rsidP="00617A1E">
      <w:pPr>
        <w:tabs>
          <w:tab w:val="left" w:pos="-1843"/>
        </w:tabs>
        <w:suppressAutoHyphens/>
        <w:spacing w:after="0"/>
        <w:rPr>
          <w:rFonts w:cs="Arial"/>
          <w:b/>
          <w:color w:val="000000" w:themeColor="text1"/>
          <w:spacing w:val="-3"/>
          <w:sz w:val="20"/>
          <w:szCs w:val="20"/>
          <w:lang w:val="en-US"/>
        </w:rPr>
      </w:pPr>
    </w:p>
    <w:p w14:paraId="4809E0E6" w14:textId="77777777" w:rsidR="00617A1E" w:rsidRPr="00537128" w:rsidRDefault="00617A1E" w:rsidP="00F527AB">
      <w:pPr>
        <w:pStyle w:val="ListParagraph"/>
        <w:numPr>
          <w:ilvl w:val="0"/>
          <w:numId w:val="15"/>
        </w:numPr>
        <w:tabs>
          <w:tab w:val="left" w:pos="-1843"/>
        </w:tabs>
        <w:suppressAutoHyphens/>
        <w:spacing w:after="0"/>
        <w:rPr>
          <w:rFonts w:cs="Arial"/>
          <w:b/>
          <w:color w:val="000000" w:themeColor="text1"/>
          <w:spacing w:val="-3"/>
          <w:lang w:val="en-US"/>
        </w:rPr>
      </w:pPr>
      <w:r w:rsidRPr="00537128">
        <w:rPr>
          <w:rFonts w:cs="Arial"/>
          <w:b/>
          <w:color w:val="000000" w:themeColor="text1"/>
          <w:spacing w:val="-3"/>
          <w:lang w:val="en-US"/>
        </w:rPr>
        <w:t>Guarantees and commitments</w:t>
      </w:r>
    </w:p>
    <w:p w14:paraId="3E05A1A9" w14:textId="77777777" w:rsidR="00F527AB" w:rsidRPr="00537128" w:rsidRDefault="00F527AB" w:rsidP="00F527AB">
      <w:pPr>
        <w:tabs>
          <w:tab w:val="left" w:pos="-1843"/>
        </w:tabs>
        <w:suppressAutoHyphens/>
        <w:spacing w:after="0"/>
        <w:rPr>
          <w:rFonts w:cs="Arial"/>
          <w:b/>
          <w:color w:val="000000" w:themeColor="text1"/>
          <w:spacing w:val="-3"/>
          <w:sz w:val="10"/>
          <w:szCs w:val="10"/>
          <w:lang w:val="en-US"/>
        </w:rPr>
      </w:pPr>
    </w:p>
    <w:p w14:paraId="79179C85" w14:textId="77777777" w:rsidR="00617A1E" w:rsidRPr="00537128" w:rsidRDefault="00617A1E" w:rsidP="00617A1E">
      <w:pPr>
        <w:tabs>
          <w:tab w:val="left" w:pos="-1843"/>
        </w:tabs>
        <w:spacing w:after="0" w:line="240" w:lineRule="auto"/>
        <w:jc w:val="both"/>
        <w:rPr>
          <w:rFonts w:eastAsia="Calibri" w:cs="Arial"/>
          <w:color w:val="000000" w:themeColor="text1"/>
          <w:lang w:val="en-US"/>
        </w:rPr>
      </w:pPr>
      <w:r w:rsidRPr="00537128">
        <w:rPr>
          <w:rFonts w:eastAsia="Calibri" w:cs="Arial"/>
          <w:color w:val="000000" w:themeColor="text1"/>
          <w:lang w:val="en-US"/>
        </w:rPr>
        <w:t>In its regular activities, the Group contracts various commitments and contingent liabilities. The purpose of these instruments is to ensure that the funds are available to a customer when required.</w:t>
      </w:r>
    </w:p>
    <w:p w14:paraId="19DC8923" w14:textId="77777777" w:rsidR="00617A1E" w:rsidRPr="00537128" w:rsidRDefault="00617A1E" w:rsidP="00617A1E">
      <w:pPr>
        <w:tabs>
          <w:tab w:val="left" w:pos="-1843"/>
        </w:tabs>
        <w:spacing w:after="0" w:line="240" w:lineRule="auto"/>
        <w:jc w:val="both"/>
        <w:rPr>
          <w:rFonts w:eastAsia="Calibri" w:cs="Arial"/>
          <w:color w:val="000000" w:themeColor="text1"/>
          <w:sz w:val="18"/>
          <w:szCs w:val="18"/>
          <w:lang w:val="en-US"/>
        </w:rPr>
      </w:pPr>
    </w:p>
    <w:p w14:paraId="3C85D011" w14:textId="77777777" w:rsidR="00617A1E" w:rsidRPr="00537128" w:rsidRDefault="00617A1E" w:rsidP="00617A1E">
      <w:pPr>
        <w:tabs>
          <w:tab w:val="left" w:pos="-1843"/>
        </w:tabs>
        <w:spacing w:after="0" w:line="240" w:lineRule="auto"/>
        <w:jc w:val="both"/>
        <w:rPr>
          <w:rFonts w:eastAsia="Calibri" w:cs="Arial"/>
          <w:color w:val="000000" w:themeColor="text1"/>
          <w:lang w:val="en-US"/>
        </w:rPr>
      </w:pPr>
      <w:r w:rsidRPr="00537128">
        <w:rPr>
          <w:rFonts w:eastAsia="Calibri" w:cs="Arial"/>
          <w:color w:val="000000" w:themeColor="text1"/>
          <w:lang w:val="en-US"/>
        </w:rPr>
        <w:t>These obligations contain credit risk and are therefore part of the overall risk of the Group although they are not recogni</w:t>
      </w:r>
      <w:r w:rsidR="00A21C92" w:rsidRPr="00537128">
        <w:rPr>
          <w:rFonts w:eastAsia="Calibri" w:cs="Arial"/>
          <w:color w:val="000000" w:themeColor="text1"/>
          <w:lang w:val="en-US"/>
        </w:rPr>
        <w:t>z</w:t>
      </w:r>
      <w:r w:rsidRPr="00537128">
        <w:rPr>
          <w:rFonts w:eastAsia="Calibri" w:cs="Arial"/>
          <w:color w:val="000000" w:themeColor="text1"/>
          <w:lang w:val="en-US"/>
        </w:rPr>
        <w:t>ed in the Statement of financial position.</w:t>
      </w:r>
    </w:p>
    <w:p w14:paraId="748BF989" w14:textId="249D694C" w:rsidR="00617A1E" w:rsidRPr="00537128" w:rsidRDefault="00617A1E" w:rsidP="00617A1E">
      <w:pPr>
        <w:tabs>
          <w:tab w:val="left" w:pos="-1843"/>
        </w:tabs>
        <w:spacing w:after="0" w:line="240" w:lineRule="auto"/>
        <w:jc w:val="both"/>
        <w:rPr>
          <w:rFonts w:eastAsia="Calibri" w:cs="Arial"/>
          <w:color w:val="000000" w:themeColor="text1"/>
          <w:lang w:val="en-US"/>
        </w:rPr>
      </w:pPr>
    </w:p>
    <w:tbl>
      <w:tblPr>
        <w:tblW w:w="4874" w:type="pct"/>
        <w:tblCellMar>
          <w:left w:w="122" w:type="dxa"/>
          <w:right w:w="122" w:type="dxa"/>
        </w:tblCellMar>
        <w:tblLook w:val="04A0" w:firstRow="1" w:lastRow="0" w:firstColumn="1" w:lastColumn="0" w:noHBand="0" w:noVBand="1"/>
      </w:tblPr>
      <w:tblGrid>
        <w:gridCol w:w="5527"/>
        <w:gridCol w:w="1638"/>
        <w:gridCol w:w="1678"/>
      </w:tblGrid>
      <w:tr w:rsidR="00204422" w:rsidRPr="00537128" w14:paraId="444A7511" w14:textId="77777777" w:rsidTr="00204422">
        <w:trPr>
          <w:trHeight w:val="191"/>
        </w:trPr>
        <w:tc>
          <w:tcPr>
            <w:tcW w:w="3125" w:type="pct"/>
            <w:hideMark/>
          </w:tcPr>
          <w:p w14:paraId="6A08AD1E" w14:textId="77777777" w:rsidR="00204422" w:rsidRPr="00537128" w:rsidRDefault="00204422" w:rsidP="00204422">
            <w:pPr>
              <w:tabs>
                <w:tab w:val="left" w:pos="-720"/>
              </w:tabs>
              <w:suppressAutoHyphens/>
              <w:spacing w:after="0" w:line="240" w:lineRule="exact"/>
              <w:rPr>
                <w:rFonts w:ascii="Calibri" w:eastAsia="Times New Roman" w:hAnsi="Calibri" w:cs="Arial"/>
                <w:spacing w:val="-3"/>
                <w:lang w:val="en-US"/>
              </w:rPr>
            </w:pPr>
            <w:r w:rsidRPr="00537128">
              <w:rPr>
                <w:rFonts w:ascii="Calibri" w:eastAsia="Times New Roman" w:hAnsi="Calibri" w:cs="Arial"/>
                <w:b/>
                <w:lang w:val="en-US"/>
              </w:rPr>
              <w:t>Group and Bank</w:t>
            </w:r>
          </w:p>
        </w:tc>
        <w:tc>
          <w:tcPr>
            <w:tcW w:w="1875" w:type="pct"/>
            <w:gridSpan w:val="2"/>
          </w:tcPr>
          <w:p w14:paraId="69E654A7" w14:textId="77777777" w:rsidR="00204422" w:rsidRPr="00537128" w:rsidRDefault="00204422" w:rsidP="00204422">
            <w:pPr>
              <w:tabs>
                <w:tab w:val="right" w:pos="1202"/>
              </w:tabs>
              <w:spacing w:after="0" w:line="240" w:lineRule="exact"/>
              <w:jc w:val="right"/>
              <w:outlineLvl w:val="0"/>
              <w:rPr>
                <w:rFonts w:ascii="Calibri" w:eastAsia="Times New Roman" w:hAnsi="Calibri" w:cs="Arial"/>
                <w:b/>
                <w:lang w:val="en-US"/>
              </w:rPr>
            </w:pPr>
          </w:p>
        </w:tc>
      </w:tr>
      <w:tr w:rsidR="00204422" w:rsidRPr="00537128" w14:paraId="09A05720" w14:textId="77777777" w:rsidTr="00204422">
        <w:trPr>
          <w:trHeight w:val="272"/>
        </w:trPr>
        <w:tc>
          <w:tcPr>
            <w:tcW w:w="3125" w:type="pct"/>
          </w:tcPr>
          <w:p w14:paraId="7779E450" w14:textId="77777777" w:rsidR="00204422" w:rsidRPr="00537128" w:rsidRDefault="00204422" w:rsidP="00204422">
            <w:pPr>
              <w:tabs>
                <w:tab w:val="left" w:pos="-720"/>
              </w:tabs>
              <w:suppressAutoHyphens/>
              <w:spacing w:after="0" w:line="240" w:lineRule="exact"/>
              <w:jc w:val="right"/>
              <w:rPr>
                <w:rFonts w:ascii="Calibri" w:eastAsia="Times New Roman" w:hAnsi="Calibri" w:cs="Arial"/>
                <w:spacing w:val="-3"/>
                <w:lang w:val="en-US"/>
              </w:rPr>
            </w:pPr>
          </w:p>
        </w:tc>
        <w:tc>
          <w:tcPr>
            <w:tcW w:w="926" w:type="pct"/>
            <w:vAlign w:val="center"/>
            <w:hideMark/>
          </w:tcPr>
          <w:p w14:paraId="5D5F5927" w14:textId="77777777" w:rsidR="00204422" w:rsidRPr="00537128" w:rsidRDefault="00204422" w:rsidP="00204422">
            <w:pPr>
              <w:spacing w:after="0" w:line="280" w:lineRule="exact"/>
              <w:jc w:val="right"/>
              <w:outlineLvl w:val="0"/>
              <w:rPr>
                <w:rFonts w:ascii="Calibri" w:eastAsia="Calibri" w:hAnsi="Calibri" w:cs="Calibri"/>
                <w:b/>
                <w:bCs/>
                <w:lang w:val="en-US"/>
              </w:rPr>
            </w:pPr>
            <w:bookmarkStart w:id="529" w:name="_Toc4060156"/>
            <w:r w:rsidRPr="00537128">
              <w:rPr>
                <w:rFonts w:ascii="Calibri" w:eastAsia="Calibri" w:hAnsi="Calibri" w:cs="Calibri"/>
                <w:b/>
                <w:bCs/>
                <w:lang w:val="en-US"/>
              </w:rPr>
              <w:t>31 March</w:t>
            </w:r>
          </w:p>
          <w:p w14:paraId="1A38DAC9" w14:textId="3E3D80CB" w:rsidR="00204422" w:rsidRPr="00537128" w:rsidRDefault="00204422" w:rsidP="00204422">
            <w:pPr>
              <w:spacing w:after="0" w:line="280" w:lineRule="exact"/>
              <w:jc w:val="right"/>
              <w:outlineLvl w:val="0"/>
              <w:rPr>
                <w:rFonts w:ascii="Calibri" w:eastAsia="Times New Roman" w:hAnsi="Calibri" w:cs="Arial"/>
                <w:b/>
                <w:bCs/>
                <w:lang w:val="en-US"/>
              </w:rPr>
            </w:pPr>
            <w:r w:rsidRPr="00537128">
              <w:rPr>
                <w:rFonts w:ascii="Calibri" w:eastAsia="Calibri" w:hAnsi="Calibri" w:cs="Calibri"/>
                <w:b/>
                <w:bCs/>
                <w:lang w:val="en-US"/>
              </w:rPr>
              <w:t xml:space="preserve"> </w:t>
            </w:r>
            <w:bookmarkEnd w:id="529"/>
            <w:r w:rsidRPr="00537128">
              <w:rPr>
                <w:rFonts w:ascii="Calibri" w:eastAsia="Calibri" w:hAnsi="Calibri" w:cs="Calibri"/>
                <w:b/>
                <w:bCs/>
                <w:lang w:val="en-US"/>
              </w:rPr>
              <w:t>202</w:t>
            </w:r>
            <w:r w:rsidR="003A631C">
              <w:rPr>
                <w:rFonts w:ascii="Calibri" w:eastAsia="Calibri" w:hAnsi="Calibri" w:cs="Calibri"/>
                <w:b/>
                <w:bCs/>
                <w:lang w:val="en-US"/>
              </w:rPr>
              <w:t>2</w:t>
            </w:r>
          </w:p>
        </w:tc>
        <w:tc>
          <w:tcPr>
            <w:tcW w:w="949" w:type="pct"/>
            <w:vAlign w:val="center"/>
            <w:hideMark/>
          </w:tcPr>
          <w:p w14:paraId="122DFF1B" w14:textId="2AC649F8" w:rsidR="00204422" w:rsidRPr="00537128" w:rsidRDefault="00204422" w:rsidP="00204422">
            <w:pPr>
              <w:spacing w:after="0" w:line="280" w:lineRule="exact"/>
              <w:jc w:val="right"/>
              <w:outlineLvl w:val="0"/>
              <w:rPr>
                <w:rFonts w:ascii="Calibri" w:eastAsia="Times New Roman" w:hAnsi="Calibri" w:cs="Arial"/>
                <w:b/>
                <w:bCs/>
                <w:lang w:val="en-US"/>
              </w:rPr>
            </w:pPr>
            <w:r w:rsidRPr="00537128">
              <w:rPr>
                <w:rFonts w:ascii="Calibri" w:eastAsia="Calibri" w:hAnsi="Calibri" w:cs="Calibri"/>
                <w:b/>
                <w:bCs/>
                <w:lang w:val="en-US"/>
              </w:rPr>
              <w:t>31 December 202</w:t>
            </w:r>
            <w:r w:rsidR="003A631C">
              <w:rPr>
                <w:rFonts w:ascii="Calibri" w:eastAsia="Calibri" w:hAnsi="Calibri" w:cs="Calibri"/>
                <w:b/>
                <w:bCs/>
                <w:lang w:val="en-US"/>
              </w:rPr>
              <w:t>1</w:t>
            </w:r>
          </w:p>
        </w:tc>
      </w:tr>
      <w:tr w:rsidR="00204422" w:rsidRPr="00537128" w14:paraId="6DD29150" w14:textId="77777777" w:rsidTr="00204422">
        <w:trPr>
          <w:trHeight w:hRule="exact" w:val="294"/>
        </w:trPr>
        <w:tc>
          <w:tcPr>
            <w:tcW w:w="3125" w:type="pct"/>
          </w:tcPr>
          <w:p w14:paraId="673B0F75" w14:textId="77777777" w:rsidR="00204422" w:rsidRPr="00537128" w:rsidRDefault="00204422" w:rsidP="00204422">
            <w:pPr>
              <w:tabs>
                <w:tab w:val="left" w:pos="-720"/>
              </w:tabs>
              <w:suppressAutoHyphens/>
              <w:spacing w:after="0" w:line="240" w:lineRule="exact"/>
              <w:jc w:val="right"/>
              <w:rPr>
                <w:rFonts w:ascii="Calibri" w:eastAsia="Times New Roman" w:hAnsi="Calibri" w:cs="Arial"/>
                <w:spacing w:val="-3"/>
                <w:lang w:val="en-US"/>
              </w:rPr>
            </w:pPr>
          </w:p>
        </w:tc>
        <w:tc>
          <w:tcPr>
            <w:tcW w:w="926" w:type="pct"/>
            <w:hideMark/>
          </w:tcPr>
          <w:p w14:paraId="5FCCFB7B" w14:textId="77777777" w:rsidR="00204422" w:rsidRPr="00537128" w:rsidRDefault="00204422" w:rsidP="00204422">
            <w:pPr>
              <w:spacing w:after="0" w:line="280" w:lineRule="exact"/>
              <w:jc w:val="right"/>
              <w:outlineLvl w:val="0"/>
              <w:rPr>
                <w:rFonts w:ascii="Calibri" w:eastAsia="Times New Roman" w:hAnsi="Calibri" w:cs="Arial"/>
                <w:b/>
                <w:bCs/>
                <w:lang w:val="en-US"/>
              </w:rPr>
            </w:pPr>
            <w:bookmarkStart w:id="530" w:name="_Toc4060158"/>
            <w:r w:rsidRPr="00537128">
              <w:rPr>
                <w:rFonts w:ascii="Calibri" w:eastAsia="Times New Roman" w:hAnsi="Calibri" w:cs="Arial"/>
                <w:b/>
                <w:lang w:val="en-US"/>
              </w:rPr>
              <w:t>HRK ‘000</w:t>
            </w:r>
            <w:bookmarkEnd w:id="530"/>
          </w:p>
        </w:tc>
        <w:tc>
          <w:tcPr>
            <w:tcW w:w="949" w:type="pct"/>
            <w:hideMark/>
          </w:tcPr>
          <w:p w14:paraId="55D880D0" w14:textId="0C10A0DB" w:rsidR="00204422" w:rsidRPr="00537128" w:rsidRDefault="00204422" w:rsidP="00204422">
            <w:pPr>
              <w:spacing w:after="0" w:line="280" w:lineRule="exact"/>
              <w:jc w:val="right"/>
              <w:outlineLvl w:val="0"/>
              <w:rPr>
                <w:rFonts w:ascii="Calibri" w:eastAsia="Times New Roman" w:hAnsi="Calibri" w:cs="Arial"/>
                <w:b/>
                <w:bCs/>
                <w:lang w:val="en-US"/>
              </w:rPr>
            </w:pPr>
            <w:r w:rsidRPr="00537128">
              <w:rPr>
                <w:rFonts w:ascii="Calibri" w:eastAsia="Times New Roman" w:hAnsi="Calibri" w:cs="Arial"/>
                <w:b/>
                <w:lang w:val="en-US"/>
              </w:rPr>
              <w:t>HRK ‘000</w:t>
            </w:r>
          </w:p>
        </w:tc>
      </w:tr>
      <w:tr w:rsidR="00A34697" w:rsidRPr="00537128" w14:paraId="116BD65A" w14:textId="77777777" w:rsidTr="00A34697">
        <w:trPr>
          <w:trHeight w:hRule="exact" w:val="264"/>
        </w:trPr>
        <w:tc>
          <w:tcPr>
            <w:tcW w:w="3125" w:type="pct"/>
            <w:vAlign w:val="center"/>
            <w:hideMark/>
          </w:tcPr>
          <w:p w14:paraId="421D9D87" w14:textId="77777777" w:rsidR="00A34697" w:rsidRPr="00537128" w:rsidRDefault="00A34697" w:rsidP="00A34697">
            <w:pPr>
              <w:spacing w:after="0" w:line="240" w:lineRule="auto"/>
              <w:rPr>
                <w:rFonts w:ascii="Calibri" w:eastAsia="Times New Roman" w:hAnsi="Calibri" w:cs="Times New Roman"/>
                <w:color w:val="000000"/>
                <w:lang w:val="en-US" w:eastAsia="hr-HR"/>
              </w:rPr>
            </w:pPr>
            <w:r w:rsidRPr="00537128">
              <w:rPr>
                <w:rFonts w:ascii="Calibri" w:eastAsia="Times New Roman" w:hAnsi="Calibri" w:cs="Arial"/>
                <w:lang w:val="en-US"/>
              </w:rPr>
              <w:t>Guarantees issued in HRK</w:t>
            </w:r>
          </w:p>
        </w:tc>
        <w:tc>
          <w:tcPr>
            <w:tcW w:w="926" w:type="pct"/>
            <w:tcBorders>
              <w:top w:val="nil"/>
              <w:left w:val="nil"/>
              <w:bottom w:val="nil"/>
              <w:right w:val="nil"/>
            </w:tcBorders>
            <w:shd w:val="clear" w:color="auto" w:fill="auto"/>
            <w:vAlign w:val="bottom"/>
          </w:tcPr>
          <w:p w14:paraId="05311A70" w14:textId="7A1B3C62" w:rsidR="00A34697" w:rsidRPr="00537128" w:rsidRDefault="00A34697" w:rsidP="00A34697">
            <w:pPr>
              <w:spacing w:after="0" w:line="240" w:lineRule="auto"/>
              <w:jc w:val="right"/>
              <w:rPr>
                <w:rFonts w:ascii="Calibri" w:eastAsia="Times New Roman" w:hAnsi="Calibri" w:cs="Arial"/>
                <w:color w:val="000000"/>
                <w:lang w:val="en-US" w:eastAsia="hr-HR"/>
              </w:rPr>
            </w:pPr>
            <w:r>
              <w:rPr>
                <w:rFonts w:ascii="Calibri" w:eastAsia="Times New Roman" w:hAnsi="Calibri" w:cs="Calibri"/>
                <w:color w:val="000000"/>
              </w:rPr>
              <w:t>177,235</w:t>
            </w:r>
          </w:p>
        </w:tc>
        <w:tc>
          <w:tcPr>
            <w:tcW w:w="949" w:type="pct"/>
            <w:tcBorders>
              <w:top w:val="nil"/>
              <w:left w:val="nil"/>
              <w:bottom w:val="nil"/>
              <w:right w:val="nil"/>
            </w:tcBorders>
            <w:shd w:val="clear" w:color="auto" w:fill="auto"/>
            <w:vAlign w:val="bottom"/>
            <w:hideMark/>
          </w:tcPr>
          <w:p w14:paraId="47CFFEB9" w14:textId="12E01450" w:rsidR="00A34697" w:rsidRPr="00537128" w:rsidRDefault="00A34697" w:rsidP="00A34697">
            <w:pPr>
              <w:spacing w:after="0" w:line="240" w:lineRule="auto"/>
              <w:jc w:val="right"/>
              <w:rPr>
                <w:rFonts w:ascii="Calibri" w:eastAsia="Times New Roman" w:hAnsi="Calibri" w:cs="Arial"/>
                <w:color w:val="000000"/>
                <w:lang w:val="en-US" w:eastAsia="hr-HR"/>
              </w:rPr>
            </w:pPr>
            <w:r w:rsidRPr="004D40D4">
              <w:rPr>
                <w:rFonts w:cstheme="minorHAnsi"/>
                <w:color w:val="000000" w:themeColor="text1"/>
              </w:rPr>
              <w:t>170</w:t>
            </w:r>
            <w:r>
              <w:rPr>
                <w:rFonts w:cstheme="minorHAnsi"/>
                <w:color w:val="000000" w:themeColor="text1"/>
              </w:rPr>
              <w:t>,</w:t>
            </w:r>
            <w:r w:rsidRPr="004D40D4">
              <w:rPr>
                <w:rFonts w:cstheme="minorHAnsi"/>
                <w:color w:val="000000" w:themeColor="text1"/>
              </w:rPr>
              <w:t>555</w:t>
            </w:r>
          </w:p>
        </w:tc>
      </w:tr>
      <w:tr w:rsidR="00A34697" w:rsidRPr="00537128" w14:paraId="1698EC16" w14:textId="77777777" w:rsidTr="00A34697">
        <w:trPr>
          <w:trHeight w:hRule="exact" w:val="264"/>
        </w:trPr>
        <w:tc>
          <w:tcPr>
            <w:tcW w:w="3125" w:type="pct"/>
            <w:tcMar>
              <w:top w:w="0" w:type="dxa"/>
              <w:left w:w="107" w:type="dxa"/>
              <w:bottom w:w="0" w:type="dxa"/>
              <w:right w:w="107" w:type="dxa"/>
            </w:tcMar>
            <w:vAlign w:val="center"/>
            <w:hideMark/>
          </w:tcPr>
          <w:p w14:paraId="710AF7AF" w14:textId="77777777" w:rsidR="00A34697" w:rsidRPr="00537128" w:rsidRDefault="00A34697" w:rsidP="00A34697">
            <w:pPr>
              <w:spacing w:after="0" w:line="240" w:lineRule="auto"/>
              <w:rPr>
                <w:rFonts w:ascii="Calibri" w:eastAsia="Times New Roman" w:hAnsi="Calibri" w:cs="Times New Roman"/>
                <w:color w:val="000000"/>
                <w:lang w:val="en-US" w:eastAsia="hr-HR"/>
              </w:rPr>
            </w:pPr>
            <w:r w:rsidRPr="00537128">
              <w:rPr>
                <w:rFonts w:ascii="Calibri" w:eastAsia="Times New Roman" w:hAnsi="Calibri" w:cs="Arial"/>
                <w:lang w:val="en-US"/>
              </w:rPr>
              <w:t>Guarantees issued in foreign currency</w:t>
            </w:r>
          </w:p>
        </w:tc>
        <w:tc>
          <w:tcPr>
            <w:tcW w:w="926" w:type="pct"/>
            <w:tcBorders>
              <w:top w:val="nil"/>
              <w:left w:val="nil"/>
              <w:bottom w:val="nil"/>
              <w:right w:val="nil"/>
            </w:tcBorders>
            <w:shd w:val="clear" w:color="auto" w:fill="auto"/>
            <w:tcMar>
              <w:top w:w="0" w:type="dxa"/>
              <w:left w:w="107" w:type="dxa"/>
              <w:bottom w:w="0" w:type="dxa"/>
              <w:right w:w="107" w:type="dxa"/>
            </w:tcMar>
            <w:vAlign w:val="bottom"/>
          </w:tcPr>
          <w:p w14:paraId="4CCCEF3B" w14:textId="4F105D83" w:rsidR="00A34697" w:rsidRPr="00537128" w:rsidRDefault="00A34697" w:rsidP="00A34697">
            <w:pPr>
              <w:spacing w:after="0" w:line="240" w:lineRule="auto"/>
              <w:jc w:val="right"/>
              <w:rPr>
                <w:rFonts w:ascii="Calibri" w:eastAsia="Times New Roman" w:hAnsi="Calibri" w:cs="Arial"/>
                <w:lang w:val="en-US"/>
              </w:rPr>
            </w:pPr>
            <w:r>
              <w:rPr>
                <w:rFonts w:ascii="Calibri" w:eastAsia="Times New Roman" w:hAnsi="Calibri" w:cs="Calibri"/>
                <w:color w:val="000000"/>
              </w:rPr>
              <w:t>233,664</w:t>
            </w:r>
          </w:p>
        </w:tc>
        <w:tc>
          <w:tcPr>
            <w:tcW w:w="949" w:type="pct"/>
            <w:tcBorders>
              <w:top w:val="nil"/>
              <w:left w:val="nil"/>
              <w:bottom w:val="nil"/>
              <w:right w:val="nil"/>
            </w:tcBorders>
            <w:shd w:val="clear" w:color="auto" w:fill="auto"/>
            <w:tcMar>
              <w:top w:w="0" w:type="dxa"/>
              <w:left w:w="107" w:type="dxa"/>
              <w:bottom w:w="0" w:type="dxa"/>
              <w:right w:w="107" w:type="dxa"/>
            </w:tcMar>
            <w:vAlign w:val="bottom"/>
            <w:hideMark/>
          </w:tcPr>
          <w:p w14:paraId="6D02919C" w14:textId="48943353" w:rsidR="00A34697" w:rsidRPr="00537128" w:rsidRDefault="00A34697" w:rsidP="00A34697">
            <w:pPr>
              <w:spacing w:after="0" w:line="240" w:lineRule="auto"/>
              <w:jc w:val="right"/>
              <w:rPr>
                <w:rFonts w:ascii="Calibri" w:eastAsia="Times New Roman" w:hAnsi="Calibri" w:cs="Arial"/>
                <w:color w:val="000000"/>
                <w:lang w:val="en-US" w:eastAsia="hr-HR"/>
              </w:rPr>
            </w:pPr>
            <w:r w:rsidRPr="004D40D4">
              <w:rPr>
                <w:rFonts w:cstheme="minorHAnsi"/>
                <w:color w:val="000000" w:themeColor="text1"/>
              </w:rPr>
              <w:t>325</w:t>
            </w:r>
            <w:r>
              <w:rPr>
                <w:rFonts w:cstheme="minorHAnsi"/>
                <w:color w:val="000000" w:themeColor="text1"/>
              </w:rPr>
              <w:t>,</w:t>
            </w:r>
            <w:r w:rsidRPr="004D40D4">
              <w:rPr>
                <w:rFonts w:cstheme="minorHAnsi"/>
                <w:color w:val="000000" w:themeColor="text1"/>
              </w:rPr>
              <w:t>103</w:t>
            </w:r>
          </w:p>
        </w:tc>
      </w:tr>
      <w:tr w:rsidR="00A34697" w:rsidRPr="00537128" w14:paraId="26825728" w14:textId="77777777" w:rsidTr="00A34697">
        <w:trPr>
          <w:trHeight w:hRule="exact" w:val="264"/>
        </w:trPr>
        <w:tc>
          <w:tcPr>
            <w:tcW w:w="3125" w:type="pct"/>
            <w:tcMar>
              <w:top w:w="0" w:type="dxa"/>
              <w:left w:w="107" w:type="dxa"/>
              <w:bottom w:w="0" w:type="dxa"/>
              <w:right w:w="107" w:type="dxa"/>
            </w:tcMar>
            <w:vAlign w:val="center"/>
            <w:hideMark/>
          </w:tcPr>
          <w:p w14:paraId="03A5B660" w14:textId="77777777" w:rsidR="00A34697" w:rsidRPr="00537128" w:rsidRDefault="00A34697" w:rsidP="00A34697">
            <w:pPr>
              <w:spacing w:after="0" w:line="240" w:lineRule="auto"/>
              <w:rPr>
                <w:rFonts w:ascii="Calibri" w:eastAsia="Times New Roman" w:hAnsi="Calibri" w:cs="Times New Roman"/>
                <w:color w:val="000000"/>
                <w:lang w:val="en-US" w:eastAsia="hr-HR"/>
              </w:rPr>
            </w:pPr>
            <w:r w:rsidRPr="00537128">
              <w:rPr>
                <w:rFonts w:ascii="Calibri" w:eastAsia="Times New Roman" w:hAnsi="Calibri" w:cs="Arial"/>
                <w:lang w:val="en-US"/>
              </w:rPr>
              <w:t>Undrawn loans</w:t>
            </w:r>
          </w:p>
        </w:tc>
        <w:tc>
          <w:tcPr>
            <w:tcW w:w="926" w:type="pct"/>
            <w:tcBorders>
              <w:top w:val="nil"/>
              <w:left w:val="nil"/>
              <w:bottom w:val="nil"/>
              <w:right w:val="nil"/>
            </w:tcBorders>
            <w:shd w:val="clear" w:color="auto" w:fill="auto"/>
            <w:tcMar>
              <w:top w:w="0" w:type="dxa"/>
              <w:left w:w="107" w:type="dxa"/>
              <w:bottom w:w="0" w:type="dxa"/>
              <w:right w:w="107" w:type="dxa"/>
            </w:tcMar>
            <w:vAlign w:val="bottom"/>
          </w:tcPr>
          <w:p w14:paraId="07524510" w14:textId="1BFBDD06" w:rsidR="00A34697" w:rsidRPr="00537128" w:rsidRDefault="00A34697" w:rsidP="00A34697">
            <w:pPr>
              <w:tabs>
                <w:tab w:val="right" w:pos="1202"/>
              </w:tabs>
              <w:spacing w:after="0" w:line="240" w:lineRule="exact"/>
              <w:jc w:val="right"/>
              <w:outlineLvl w:val="0"/>
              <w:rPr>
                <w:rFonts w:ascii="Calibri" w:eastAsia="Times New Roman" w:hAnsi="Calibri" w:cs="Arial"/>
                <w:lang w:val="en-US"/>
              </w:rPr>
            </w:pPr>
            <w:r>
              <w:rPr>
                <w:rFonts w:ascii="Calibri" w:eastAsia="Times New Roman" w:hAnsi="Calibri" w:cs="Calibri"/>
                <w:color w:val="000000"/>
              </w:rPr>
              <w:t>3,198,985</w:t>
            </w:r>
          </w:p>
        </w:tc>
        <w:tc>
          <w:tcPr>
            <w:tcW w:w="949" w:type="pct"/>
            <w:tcBorders>
              <w:top w:val="nil"/>
              <w:left w:val="nil"/>
              <w:bottom w:val="nil"/>
              <w:right w:val="nil"/>
            </w:tcBorders>
            <w:shd w:val="clear" w:color="auto" w:fill="auto"/>
            <w:tcMar>
              <w:top w:w="0" w:type="dxa"/>
              <w:left w:w="107" w:type="dxa"/>
              <w:bottom w:w="0" w:type="dxa"/>
              <w:right w:w="107" w:type="dxa"/>
            </w:tcMar>
            <w:vAlign w:val="bottom"/>
            <w:hideMark/>
          </w:tcPr>
          <w:p w14:paraId="7A303586" w14:textId="268939F7" w:rsidR="00A34697" w:rsidRPr="00537128" w:rsidRDefault="00A34697" w:rsidP="00A34697">
            <w:pPr>
              <w:spacing w:after="0" w:line="240" w:lineRule="auto"/>
              <w:jc w:val="right"/>
              <w:rPr>
                <w:rFonts w:ascii="Calibri" w:eastAsia="Times New Roman" w:hAnsi="Calibri" w:cs="Arial"/>
                <w:color w:val="000000"/>
                <w:lang w:val="en-US" w:eastAsia="hr-HR"/>
              </w:rPr>
            </w:pPr>
            <w:r w:rsidRPr="004D40D4">
              <w:rPr>
                <w:rFonts w:cstheme="minorHAnsi"/>
                <w:color w:val="000000" w:themeColor="text1"/>
              </w:rPr>
              <w:t>3</w:t>
            </w:r>
            <w:r>
              <w:rPr>
                <w:rFonts w:cstheme="minorHAnsi"/>
                <w:color w:val="000000" w:themeColor="text1"/>
              </w:rPr>
              <w:t>,</w:t>
            </w:r>
            <w:r w:rsidRPr="004D40D4">
              <w:rPr>
                <w:rFonts w:cstheme="minorHAnsi"/>
                <w:color w:val="000000" w:themeColor="text1"/>
              </w:rPr>
              <w:t>492</w:t>
            </w:r>
            <w:r>
              <w:rPr>
                <w:rFonts w:cstheme="minorHAnsi"/>
                <w:color w:val="000000" w:themeColor="text1"/>
              </w:rPr>
              <w:t>,</w:t>
            </w:r>
            <w:r w:rsidRPr="004D40D4">
              <w:rPr>
                <w:rFonts w:cstheme="minorHAnsi"/>
                <w:color w:val="000000" w:themeColor="text1"/>
              </w:rPr>
              <w:t>038</w:t>
            </w:r>
          </w:p>
        </w:tc>
      </w:tr>
      <w:tr w:rsidR="00A34697" w:rsidRPr="00537128" w14:paraId="45743C5E" w14:textId="77777777" w:rsidTr="00A34697">
        <w:trPr>
          <w:trHeight w:hRule="exact" w:val="264"/>
        </w:trPr>
        <w:tc>
          <w:tcPr>
            <w:tcW w:w="3125" w:type="pct"/>
            <w:tcMar>
              <w:top w:w="0" w:type="dxa"/>
              <w:left w:w="107" w:type="dxa"/>
              <w:bottom w:w="0" w:type="dxa"/>
              <w:right w:w="107" w:type="dxa"/>
            </w:tcMar>
            <w:vAlign w:val="center"/>
            <w:hideMark/>
          </w:tcPr>
          <w:p w14:paraId="280AB46D" w14:textId="77777777" w:rsidR="00A34697" w:rsidRPr="00537128" w:rsidRDefault="00A34697" w:rsidP="00A34697">
            <w:pPr>
              <w:spacing w:after="0" w:line="240" w:lineRule="auto"/>
              <w:rPr>
                <w:rFonts w:ascii="Calibri" w:eastAsia="Times New Roman" w:hAnsi="Calibri" w:cs="Times New Roman"/>
                <w:color w:val="000000"/>
                <w:lang w:val="en-US" w:eastAsia="hr-HR"/>
              </w:rPr>
            </w:pPr>
            <w:r w:rsidRPr="00537128">
              <w:rPr>
                <w:rFonts w:ascii="Calibri" w:eastAsia="Times New Roman" w:hAnsi="Calibri" w:cs="Arial"/>
                <w:lang w:val="en-US"/>
              </w:rPr>
              <w:t>EIF – subscribed, not called up capital</w:t>
            </w:r>
          </w:p>
        </w:tc>
        <w:tc>
          <w:tcPr>
            <w:tcW w:w="926" w:type="pct"/>
            <w:tcBorders>
              <w:top w:val="nil"/>
              <w:left w:val="nil"/>
              <w:bottom w:val="nil"/>
              <w:right w:val="nil"/>
            </w:tcBorders>
            <w:shd w:val="clear" w:color="auto" w:fill="auto"/>
            <w:tcMar>
              <w:top w:w="0" w:type="dxa"/>
              <w:left w:w="107" w:type="dxa"/>
              <w:bottom w:w="0" w:type="dxa"/>
              <w:right w:w="107" w:type="dxa"/>
            </w:tcMar>
            <w:vAlign w:val="bottom"/>
          </w:tcPr>
          <w:p w14:paraId="3DB8855A" w14:textId="4428BC83" w:rsidR="00A34697" w:rsidRPr="00537128" w:rsidRDefault="00A34697" w:rsidP="00A34697">
            <w:pPr>
              <w:tabs>
                <w:tab w:val="right" w:pos="1202"/>
              </w:tabs>
              <w:spacing w:after="0" w:line="240" w:lineRule="exact"/>
              <w:jc w:val="right"/>
              <w:outlineLvl w:val="0"/>
              <w:rPr>
                <w:rFonts w:ascii="Calibri" w:eastAsia="Times New Roman" w:hAnsi="Calibri" w:cs="Arial"/>
                <w:lang w:val="en-US"/>
              </w:rPr>
            </w:pPr>
            <w:r>
              <w:rPr>
                <w:rFonts w:ascii="Calibri" w:eastAsia="Times New Roman" w:hAnsi="Calibri" w:cs="Calibri"/>
                <w:color w:val="000000"/>
              </w:rPr>
              <w:t>78,798</w:t>
            </w:r>
          </w:p>
        </w:tc>
        <w:tc>
          <w:tcPr>
            <w:tcW w:w="949" w:type="pct"/>
            <w:tcBorders>
              <w:top w:val="nil"/>
              <w:left w:val="nil"/>
              <w:bottom w:val="nil"/>
              <w:right w:val="nil"/>
            </w:tcBorders>
            <w:shd w:val="clear" w:color="auto" w:fill="auto"/>
            <w:tcMar>
              <w:top w:w="0" w:type="dxa"/>
              <w:left w:w="107" w:type="dxa"/>
              <w:bottom w:w="0" w:type="dxa"/>
              <w:right w:w="107" w:type="dxa"/>
            </w:tcMar>
            <w:vAlign w:val="bottom"/>
            <w:hideMark/>
          </w:tcPr>
          <w:p w14:paraId="6AE099AC" w14:textId="44EA83C5" w:rsidR="00A34697" w:rsidRPr="00537128" w:rsidRDefault="00A34697" w:rsidP="00A34697">
            <w:pPr>
              <w:spacing w:after="0" w:line="240" w:lineRule="auto"/>
              <w:jc w:val="right"/>
              <w:rPr>
                <w:rFonts w:ascii="Calibri" w:eastAsia="Times New Roman" w:hAnsi="Calibri" w:cs="Arial"/>
                <w:color w:val="000000"/>
                <w:lang w:val="en-US" w:eastAsia="hr-HR"/>
              </w:rPr>
            </w:pPr>
            <w:r w:rsidRPr="004D40D4">
              <w:rPr>
                <w:rFonts w:cstheme="minorHAnsi"/>
                <w:color w:val="000000" w:themeColor="text1"/>
              </w:rPr>
              <w:t>78</w:t>
            </w:r>
            <w:r>
              <w:rPr>
                <w:rFonts w:cstheme="minorHAnsi"/>
                <w:color w:val="000000" w:themeColor="text1"/>
              </w:rPr>
              <w:t>,</w:t>
            </w:r>
            <w:r w:rsidRPr="004D40D4">
              <w:rPr>
                <w:rFonts w:cstheme="minorHAnsi"/>
                <w:color w:val="000000" w:themeColor="text1"/>
              </w:rPr>
              <w:t>179</w:t>
            </w:r>
          </w:p>
        </w:tc>
      </w:tr>
      <w:tr w:rsidR="00A34697" w:rsidRPr="00537128" w14:paraId="23E3A15A" w14:textId="77777777" w:rsidTr="00A34697">
        <w:trPr>
          <w:trHeight w:hRule="exact" w:val="264"/>
        </w:trPr>
        <w:tc>
          <w:tcPr>
            <w:tcW w:w="3125" w:type="pct"/>
            <w:tcMar>
              <w:top w:w="0" w:type="dxa"/>
              <w:left w:w="107" w:type="dxa"/>
              <w:bottom w:w="0" w:type="dxa"/>
              <w:right w:w="107" w:type="dxa"/>
            </w:tcMar>
            <w:hideMark/>
          </w:tcPr>
          <w:p w14:paraId="173CB6BF" w14:textId="77777777" w:rsidR="00A34697" w:rsidRPr="00537128" w:rsidRDefault="00A34697" w:rsidP="00A34697">
            <w:pPr>
              <w:spacing w:after="0" w:line="240" w:lineRule="auto"/>
              <w:rPr>
                <w:rFonts w:ascii="Calibri" w:eastAsia="Times New Roman" w:hAnsi="Calibri" w:cs="Calibri"/>
                <w:lang w:val="en-US"/>
              </w:rPr>
            </w:pPr>
            <w:bookmarkStart w:id="531" w:name="_Hlk34300088"/>
            <w:r w:rsidRPr="00537128">
              <w:rPr>
                <w:rFonts w:ascii="Calibri" w:eastAsia="Times New Roman" w:hAnsi="Calibri" w:cs="Calibri"/>
                <w:color w:val="000000"/>
                <w:lang w:val="en-US"/>
              </w:rPr>
              <w:t>EIF CROGIP Contracted Liability</w:t>
            </w:r>
          </w:p>
        </w:tc>
        <w:tc>
          <w:tcPr>
            <w:tcW w:w="926" w:type="pct"/>
            <w:tcBorders>
              <w:top w:val="nil"/>
              <w:left w:val="nil"/>
              <w:bottom w:val="nil"/>
              <w:right w:val="nil"/>
            </w:tcBorders>
            <w:shd w:val="clear" w:color="auto" w:fill="auto"/>
            <w:tcMar>
              <w:top w:w="0" w:type="dxa"/>
              <w:left w:w="107" w:type="dxa"/>
              <w:bottom w:w="0" w:type="dxa"/>
              <w:right w:w="107" w:type="dxa"/>
            </w:tcMar>
            <w:vAlign w:val="bottom"/>
          </w:tcPr>
          <w:p w14:paraId="0F3B73A3" w14:textId="207B3516" w:rsidR="00A34697" w:rsidRPr="00537128" w:rsidRDefault="00A34697" w:rsidP="00A34697">
            <w:pPr>
              <w:tabs>
                <w:tab w:val="right" w:pos="1202"/>
              </w:tabs>
              <w:spacing w:after="0" w:line="240" w:lineRule="exact"/>
              <w:jc w:val="right"/>
              <w:outlineLvl w:val="0"/>
              <w:rPr>
                <w:rFonts w:ascii="Calibri" w:eastAsia="Times New Roman" w:hAnsi="Calibri" w:cs="Arial"/>
                <w:color w:val="000000"/>
                <w:lang w:val="en-US"/>
              </w:rPr>
            </w:pPr>
            <w:r>
              <w:rPr>
                <w:rFonts w:ascii="Calibri" w:eastAsia="Times New Roman" w:hAnsi="Calibri" w:cs="Calibri"/>
                <w:color w:val="000000"/>
              </w:rPr>
              <w:t>314,963</w:t>
            </w:r>
          </w:p>
        </w:tc>
        <w:tc>
          <w:tcPr>
            <w:tcW w:w="949" w:type="pct"/>
            <w:tcBorders>
              <w:top w:val="nil"/>
              <w:left w:val="nil"/>
              <w:bottom w:val="nil"/>
              <w:right w:val="nil"/>
            </w:tcBorders>
            <w:shd w:val="clear" w:color="auto" w:fill="auto"/>
            <w:tcMar>
              <w:top w:w="0" w:type="dxa"/>
              <w:left w:w="107" w:type="dxa"/>
              <w:bottom w:w="0" w:type="dxa"/>
              <w:right w:w="107" w:type="dxa"/>
            </w:tcMar>
            <w:vAlign w:val="bottom"/>
            <w:hideMark/>
          </w:tcPr>
          <w:p w14:paraId="76CFFB2B" w14:textId="4027DD4E" w:rsidR="00A34697" w:rsidRPr="00537128" w:rsidRDefault="00A34697" w:rsidP="00A34697">
            <w:pPr>
              <w:spacing w:after="0" w:line="240" w:lineRule="auto"/>
              <w:jc w:val="right"/>
              <w:rPr>
                <w:rFonts w:ascii="Calibri" w:eastAsia="Times New Roman" w:hAnsi="Calibri" w:cs="Arial"/>
                <w:lang w:val="en-US"/>
              </w:rPr>
            </w:pPr>
            <w:r w:rsidRPr="004D40D4">
              <w:rPr>
                <w:rFonts w:cstheme="minorHAnsi"/>
                <w:color w:val="000000" w:themeColor="text1"/>
              </w:rPr>
              <w:t>312</w:t>
            </w:r>
            <w:r>
              <w:rPr>
                <w:rFonts w:cstheme="minorHAnsi"/>
                <w:color w:val="000000" w:themeColor="text1"/>
              </w:rPr>
              <w:t>,</w:t>
            </w:r>
            <w:r w:rsidRPr="004D40D4">
              <w:rPr>
                <w:rFonts w:cstheme="minorHAnsi"/>
                <w:color w:val="000000" w:themeColor="text1"/>
              </w:rPr>
              <w:t>489</w:t>
            </w:r>
          </w:p>
        </w:tc>
      </w:tr>
      <w:tr w:rsidR="00A34697" w:rsidRPr="00537128" w14:paraId="03C3C3B2" w14:textId="77777777" w:rsidTr="00A34697">
        <w:trPr>
          <w:trHeight w:hRule="exact" w:val="264"/>
        </w:trPr>
        <w:tc>
          <w:tcPr>
            <w:tcW w:w="3125" w:type="pct"/>
            <w:tcMar>
              <w:top w:w="0" w:type="dxa"/>
              <w:left w:w="107" w:type="dxa"/>
              <w:bottom w:w="0" w:type="dxa"/>
              <w:right w:w="107" w:type="dxa"/>
            </w:tcMar>
            <w:hideMark/>
          </w:tcPr>
          <w:p w14:paraId="6EB1AF91" w14:textId="77777777" w:rsidR="00A34697" w:rsidRPr="00537128" w:rsidRDefault="00A34697" w:rsidP="00A34697">
            <w:pPr>
              <w:spacing w:after="0" w:line="240" w:lineRule="auto"/>
              <w:rPr>
                <w:rFonts w:ascii="Calibri" w:eastAsia="Times New Roman" w:hAnsi="Calibri" w:cs="Calibri"/>
                <w:lang w:val="en-US"/>
              </w:rPr>
            </w:pPr>
            <w:r w:rsidRPr="00537128">
              <w:rPr>
                <w:rFonts w:ascii="Calibri" w:eastAsia="Times New Roman" w:hAnsi="Calibri" w:cs="Calibri"/>
                <w:color w:val="000000"/>
                <w:lang w:val="en-US"/>
              </w:rPr>
              <w:t>EIF FRC2 Contracted Liability</w:t>
            </w:r>
          </w:p>
        </w:tc>
        <w:tc>
          <w:tcPr>
            <w:tcW w:w="926" w:type="pct"/>
            <w:tcBorders>
              <w:top w:val="nil"/>
              <w:left w:val="nil"/>
              <w:bottom w:val="nil"/>
              <w:right w:val="nil"/>
            </w:tcBorders>
            <w:shd w:val="clear" w:color="auto" w:fill="auto"/>
            <w:tcMar>
              <w:top w:w="0" w:type="dxa"/>
              <w:left w:w="107" w:type="dxa"/>
              <w:bottom w:w="0" w:type="dxa"/>
              <w:right w:w="107" w:type="dxa"/>
            </w:tcMar>
            <w:vAlign w:val="bottom"/>
          </w:tcPr>
          <w:p w14:paraId="31A93E85" w14:textId="55382424" w:rsidR="00A34697" w:rsidRPr="00537128" w:rsidRDefault="00A34697" w:rsidP="00A34697">
            <w:pPr>
              <w:tabs>
                <w:tab w:val="right" w:pos="1202"/>
              </w:tabs>
              <w:spacing w:after="0" w:line="240" w:lineRule="exact"/>
              <w:jc w:val="right"/>
              <w:outlineLvl w:val="0"/>
              <w:rPr>
                <w:rFonts w:ascii="Calibri" w:eastAsia="Times New Roman" w:hAnsi="Calibri" w:cs="Arial"/>
                <w:color w:val="000000"/>
                <w:lang w:val="en-US"/>
              </w:rPr>
            </w:pPr>
            <w:r>
              <w:rPr>
                <w:rFonts w:ascii="Calibri" w:eastAsia="Times New Roman" w:hAnsi="Calibri" w:cs="Calibri"/>
                <w:color w:val="000000"/>
              </w:rPr>
              <w:t>5,183</w:t>
            </w:r>
          </w:p>
        </w:tc>
        <w:tc>
          <w:tcPr>
            <w:tcW w:w="949" w:type="pct"/>
            <w:tcBorders>
              <w:top w:val="nil"/>
              <w:left w:val="nil"/>
              <w:bottom w:val="nil"/>
              <w:right w:val="nil"/>
            </w:tcBorders>
            <w:shd w:val="clear" w:color="auto" w:fill="auto"/>
            <w:tcMar>
              <w:top w:w="0" w:type="dxa"/>
              <w:left w:w="107" w:type="dxa"/>
              <w:bottom w:w="0" w:type="dxa"/>
              <w:right w:w="107" w:type="dxa"/>
            </w:tcMar>
            <w:vAlign w:val="bottom"/>
            <w:hideMark/>
          </w:tcPr>
          <w:p w14:paraId="44D03D12" w14:textId="4936E847" w:rsidR="00A34697" w:rsidRPr="00537128" w:rsidRDefault="00A34697" w:rsidP="00A34697">
            <w:pPr>
              <w:spacing w:after="0" w:line="240" w:lineRule="auto"/>
              <w:jc w:val="right"/>
              <w:rPr>
                <w:rFonts w:ascii="Calibri" w:eastAsia="Times New Roman" w:hAnsi="Calibri" w:cs="Arial"/>
                <w:lang w:val="en-US"/>
              </w:rPr>
            </w:pPr>
            <w:r w:rsidRPr="004D40D4">
              <w:rPr>
                <w:rFonts w:cstheme="minorHAnsi"/>
                <w:color w:val="000000" w:themeColor="text1"/>
              </w:rPr>
              <w:t>6</w:t>
            </w:r>
            <w:r>
              <w:rPr>
                <w:rFonts w:cstheme="minorHAnsi"/>
                <w:color w:val="000000" w:themeColor="text1"/>
              </w:rPr>
              <w:t>,</w:t>
            </w:r>
            <w:r w:rsidRPr="004D40D4">
              <w:rPr>
                <w:rFonts w:cstheme="minorHAnsi"/>
                <w:color w:val="000000" w:themeColor="text1"/>
              </w:rPr>
              <w:t>243</w:t>
            </w:r>
          </w:p>
        </w:tc>
        <w:bookmarkEnd w:id="531"/>
      </w:tr>
      <w:tr w:rsidR="00A34697" w:rsidRPr="00537128" w14:paraId="683221D0" w14:textId="77777777" w:rsidTr="00A34697">
        <w:trPr>
          <w:trHeight w:val="302"/>
        </w:trPr>
        <w:tc>
          <w:tcPr>
            <w:tcW w:w="3125" w:type="pct"/>
            <w:tcMar>
              <w:top w:w="0" w:type="dxa"/>
              <w:left w:w="107" w:type="dxa"/>
              <w:bottom w:w="0" w:type="dxa"/>
              <w:right w:w="107" w:type="dxa"/>
            </w:tcMar>
            <w:vAlign w:val="center"/>
          </w:tcPr>
          <w:p w14:paraId="7FF806EF" w14:textId="77777777" w:rsidR="00A34697" w:rsidRPr="00537128" w:rsidRDefault="00A34697" w:rsidP="00A34697">
            <w:pPr>
              <w:spacing w:after="0" w:line="240" w:lineRule="auto"/>
              <w:rPr>
                <w:rFonts w:ascii="Calibri" w:eastAsia="Times New Roman" w:hAnsi="Calibri" w:cs="Times New Roman"/>
                <w:color w:val="000000"/>
                <w:lang w:val="en-US" w:eastAsia="hr-HR"/>
              </w:rPr>
            </w:pPr>
          </w:p>
        </w:tc>
        <w:tc>
          <w:tcPr>
            <w:tcW w:w="926" w:type="pct"/>
            <w:tcBorders>
              <w:top w:val="single" w:sz="4" w:space="0" w:color="auto"/>
              <w:bottom w:val="single" w:sz="4" w:space="0" w:color="auto"/>
            </w:tcBorders>
            <w:tcMar>
              <w:top w:w="0" w:type="dxa"/>
              <w:left w:w="107" w:type="dxa"/>
              <w:bottom w:w="0" w:type="dxa"/>
              <w:right w:w="107" w:type="dxa"/>
            </w:tcMar>
            <w:vAlign w:val="bottom"/>
          </w:tcPr>
          <w:p w14:paraId="692EEC38" w14:textId="0576E05A" w:rsidR="00A34697" w:rsidRPr="00537128" w:rsidRDefault="00A34697" w:rsidP="00A34697">
            <w:pPr>
              <w:tabs>
                <w:tab w:val="right" w:pos="1202"/>
              </w:tabs>
              <w:spacing w:after="0" w:line="240" w:lineRule="exact"/>
              <w:jc w:val="right"/>
              <w:outlineLvl w:val="0"/>
              <w:rPr>
                <w:rFonts w:ascii="Calibri" w:eastAsia="Times New Roman" w:hAnsi="Calibri" w:cs="Arial"/>
                <w:lang w:val="en-US"/>
              </w:rPr>
            </w:pPr>
            <w:r>
              <w:rPr>
                <w:rFonts w:ascii="Calibri" w:eastAsia="Times New Roman" w:hAnsi="Calibri" w:cs="Calibri"/>
                <w:color w:val="000000"/>
              </w:rPr>
              <w:t>4,008,828</w:t>
            </w:r>
          </w:p>
        </w:tc>
        <w:tc>
          <w:tcPr>
            <w:tcW w:w="949" w:type="pct"/>
            <w:tcBorders>
              <w:top w:val="single" w:sz="4" w:space="0" w:color="auto"/>
              <w:bottom w:val="single" w:sz="4" w:space="0" w:color="auto"/>
            </w:tcBorders>
            <w:tcMar>
              <w:top w:w="0" w:type="dxa"/>
              <w:left w:w="107" w:type="dxa"/>
              <w:bottom w:w="0" w:type="dxa"/>
              <w:right w:w="107" w:type="dxa"/>
            </w:tcMar>
            <w:vAlign w:val="bottom"/>
            <w:hideMark/>
          </w:tcPr>
          <w:p w14:paraId="482901AD" w14:textId="0B243A99" w:rsidR="00A34697" w:rsidRPr="00537128" w:rsidRDefault="00A34697" w:rsidP="00A34697">
            <w:pPr>
              <w:spacing w:after="0" w:line="240" w:lineRule="auto"/>
              <w:jc w:val="right"/>
              <w:rPr>
                <w:rFonts w:ascii="Calibri" w:eastAsia="Times New Roman" w:hAnsi="Calibri" w:cs="Arial"/>
                <w:color w:val="000000"/>
                <w:lang w:val="en-US" w:eastAsia="hr-HR"/>
              </w:rPr>
            </w:pPr>
            <w:r w:rsidRPr="004D40D4">
              <w:rPr>
                <w:rFonts w:cstheme="minorHAnsi"/>
                <w:color w:val="000000" w:themeColor="text1"/>
              </w:rPr>
              <w:t>4</w:t>
            </w:r>
            <w:r>
              <w:rPr>
                <w:rFonts w:cstheme="minorHAnsi"/>
                <w:color w:val="000000" w:themeColor="text1"/>
              </w:rPr>
              <w:t>,</w:t>
            </w:r>
            <w:r w:rsidRPr="004D40D4">
              <w:rPr>
                <w:rFonts w:cstheme="minorHAnsi"/>
                <w:color w:val="000000" w:themeColor="text1"/>
              </w:rPr>
              <w:t>384</w:t>
            </w:r>
            <w:r>
              <w:rPr>
                <w:rFonts w:cstheme="minorHAnsi"/>
                <w:color w:val="000000" w:themeColor="text1"/>
              </w:rPr>
              <w:t>,</w:t>
            </w:r>
            <w:r w:rsidRPr="004D40D4">
              <w:rPr>
                <w:rFonts w:cstheme="minorHAnsi"/>
                <w:color w:val="000000" w:themeColor="text1"/>
              </w:rPr>
              <w:t>607</w:t>
            </w:r>
          </w:p>
        </w:tc>
      </w:tr>
      <w:tr w:rsidR="00A34697" w:rsidRPr="00537128" w14:paraId="05EA393D" w14:textId="77777777" w:rsidTr="00A34697">
        <w:trPr>
          <w:trHeight w:val="266"/>
        </w:trPr>
        <w:tc>
          <w:tcPr>
            <w:tcW w:w="3125" w:type="pct"/>
            <w:tcMar>
              <w:top w:w="0" w:type="dxa"/>
              <w:left w:w="107" w:type="dxa"/>
              <w:bottom w:w="0" w:type="dxa"/>
              <w:right w:w="107" w:type="dxa"/>
            </w:tcMar>
            <w:vAlign w:val="center"/>
            <w:hideMark/>
          </w:tcPr>
          <w:p w14:paraId="66480BD7" w14:textId="77777777" w:rsidR="00A34697" w:rsidRPr="00537128" w:rsidRDefault="00A34697" w:rsidP="00A34697">
            <w:pPr>
              <w:spacing w:after="0" w:line="240" w:lineRule="auto"/>
              <w:rPr>
                <w:rFonts w:ascii="Calibri" w:eastAsia="Times New Roman" w:hAnsi="Calibri" w:cs="Times New Roman"/>
                <w:color w:val="000000"/>
                <w:lang w:val="en-US" w:eastAsia="hr-HR"/>
              </w:rPr>
            </w:pPr>
            <w:r w:rsidRPr="00537128">
              <w:rPr>
                <w:rFonts w:ascii="Calibri" w:eastAsia="Times New Roman" w:hAnsi="Calibri" w:cs="Arial"/>
                <w:lang w:val="en-US"/>
              </w:rPr>
              <w:t>Provisions for guarantees and commitments</w:t>
            </w:r>
          </w:p>
        </w:tc>
        <w:tc>
          <w:tcPr>
            <w:tcW w:w="926" w:type="pct"/>
            <w:tcBorders>
              <w:top w:val="single" w:sz="4" w:space="0" w:color="auto"/>
              <w:bottom w:val="single" w:sz="4" w:space="0" w:color="auto"/>
            </w:tcBorders>
            <w:tcMar>
              <w:top w:w="0" w:type="dxa"/>
              <w:left w:w="107" w:type="dxa"/>
              <w:bottom w:w="0" w:type="dxa"/>
              <w:right w:w="107" w:type="dxa"/>
            </w:tcMar>
            <w:vAlign w:val="bottom"/>
          </w:tcPr>
          <w:p w14:paraId="74FB2ACB" w14:textId="02C34CCD" w:rsidR="00A34697" w:rsidRPr="00537128" w:rsidRDefault="00A34697" w:rsidP="00A34697">
            <w:pPr>
              <w:tabs>
                <w:tab w:val="right" w:pos="1202"/>
              </w:tabs>
              <w:spacing w:after="0" w:line="240" w:lineRule="exact"/>
              <w:jc w:val="right"/>
              <w:outlineLvl w:val="0"/>
              <w:rPr>
                <w:rFonts w:ascii="Calibri" w:eastAsia="Times New Roman" w:hAnsi="Calibri" w:cs="Arial"/>
                <w:lang w:val="en-US"/>
              </w:rPr>
            </w:pPr>
            <w:r>
              <w:rPr>
                <w:rFonts w:ascii="Calibri" w:eastAsia="Times New Roman" w:hAnsi="Calibri" w:cs="Calibri"/>
                <w:color w:val="000000"/>
              </w:rPr>
              <w:t>(84,347)</w:t>
            </w:r>
          </w:p>
        </w:tc>
        <w:tc>
          <w:tcPr>
            <w:tcW w:w="949" w:type="pct"/>
            <w:tcBorders>
              <w:top w:val="single" w:sz="4" w:space="0" w:color="auto"/>
              <w:bottom w:val="single" w:sz="4" w:space="0" w:color="auto"/>
            </w:tcBorders>
            <w:tcMar>
              <w:top w:w="0" w:type="dxa"/>
              <w:left w:w="107" w:type="dxa"/>
              <w:bottom w:w="0" w:type="dxa"/>
              <w:right w:w="107" w:type="dxa"/>
            </w:tcMar>
            <w:vAlign w:val="bottom"/>
            <w:hideMark/>
          </w:tcPr>
          <w:p w14:paraId="62A598F7" w14:textId="06214D01" w:rsidR="00A34697" w:rsidRPr="00537128" w:rsidRDefault="00A34697" w:rsidP="00A34697">
            <w:pPr>
              <w:spacing w:after="0" w:line="240" w:lineRule="auto"/>
              <w:jc w:val="right"/>
              <w:rPr>
                <w:rFonts w:ascii="Calibri" w:eastAsia="Times New Roman" w:hAnsi="Calibri" w:cs="Arial"/>
                <w:color w:val="000000"/>
                <w:lang w:val="en-US" w:eastAsia="hr-HR"/>
              </w:rPr>
            </w:pPr>
            <w:r w:rsidRPr="004D40D4">
              <w:rPr>
                <w:rFonts w:cstheme="minorHAnsi"/>
                <w:color w:val="000000" w:themeColor="text1"/>
              </w:rPr>
              <w:t>(129</w:t>
            </w:r>
            <w:r>
              <w:rPr>
                <w:rFonts w:cstheme="minorHAnsi"/>
                <w:color w:val="000000" w:themeColor="text1"/>
              </w:rPr>
              <w:t>,</w:t>
            </w:r>
            <w:r w:rsidRPr="004D40D4">
              <w:rPr>
                <w:rFonts w:cstheme="minorHAnsi"/>
                <w:color w:val="000000" w:themeColor="text1"/>
              </w:rPr>
              <w:t>587)</w:t>
            </w:r>
          </w:p>
        </w:tc>
      </w:tr>
      <w:tr w:rsidR="00A34697" w:rsidRPr="00537128" w14:paraId="216E1C8A" w14:textId="77777777" w:rsidTr="00A34697">
        <w:trPr>
          <w:trHeight w:hRule="exact" w:val="380"/>
        </w:trPr>
        <w:tc>
          <w:tcPr>
            <w:tcW w:w="3125" w:type="pct"/>
            <w:tcMar>
              <w:top w:w="0" w:type="dxa"/>
              <w:left w:w="107" w:type="dxa"/>
              <w:bottom w:w="0" w:type="dxa"/>
              <w:right w:w="107" w:type="dxa"/>
            </w:tcMar>
            <w:vAlign w:val="center"/>
          </w:tcPr>
          <w:p w14:paraId="05A29628" w14:textId="77777777" w:rsidR="00A34697" w:rsidRPr="00537128" w:rsidRDefault="00A34697" w:rsidP="00A34697">
            <w:pPr>
              <w:spacing w:after="0" w:line="240" w:lineRule="auto"/>
              <w:rPr>
                <w:rFonts w:ascii="Calibri" w:eastAsia="Times New Roman" w:hAnsi="Calibri" w:cs="Times New Roman"/>
                <w:b/>
                <w:bCs/>
                <w:color w:val="000000"/>
                <w:lang w:val="en-US" w:eastAsia="hr-HR"/>
              </w:rPr>
            </w:pPr>
          </w:p>
        </w:tc>
        <w:tc>
          <w:tcPr>
            <w:tcW w:w="926" w:type="pct"/>
            <w:tcBorders>
              <w:top w:val="single" w:sz="4" w:space="0" w:color="auto"/>
              <w:bottom w:val="single" w:sz="12" w:space="0" w:color="auto"/>
            </w:tcBorders>
            <w:tcMar>
              <w:top w:w="0" w:type="dxa"/>
              <w:left w:w="107" w:type="dxa"/>
              <w:bottom w:w="0" w:type="dxa"/>
              <w:right w:w="107" w:type="dxa"/>
            </w:tcMar>
            <w:vAlign w:val="bottom"/>
          </w:tcPr>
          <w:p w14:paraId="49672A76" w14:textId="40D28808" w:rsidR="00A34697" w:rsidRPr="00537128" w:rsidRDefault="00A34697" w:rsidP="00A34697">
            <w:pPr>
              <w:spacing w:after="0" w:line="240" w:lineRule="auto"/>
              <w:jc w:val="right"/>
              <w:rPr>
                <w:rFonts w:ascii="Calibri" w:eastAsia="Times New Roman" w:hAnsi="Calibri" w:cs="Arial"/>
                <w:b/>
                <w:color w:val="000000"/>
                <w:lang w:val="en-US" w:eastAsia="hr-HR"/>
              </w:rPr>
            </w:pPr>
            <w:r>
              <w:rPr>
                <w:rFonts w:ascii="Calibri" w:eastAsia="Times New Roman" w:hAnsi="Calibri" w:cs="Calibri"/>
                <w:b/>
                <w:bCs/>
                <w:color w:val="000000"/>
              </w:rPr>
              <w:t>3,924,481</w:t>
            </w:r>
          </w:p>
        </w:tc>
        <w:tc>
          <w:tcPr>
            <w:tcW w:w="949" w:type="pct"/>
            <w:tcBorders>
              <w:top w:val="single" w:sz="4" w:space="0" w:color="auto"/>
              <w:bottom w:val="single" w:sz="12" w:space="0" w:color="auto"/>
            </w:tcBorders>
            <w:tcMar>
              <w:top w:w="0" w:type="dxa"/>
              <w:left w:w="107" w:type="dxa"/>
              <w:bottom w:w="0" w:type="dxa"/>
              <w:right w:w="107" w:type="dxa"/>
            </w:tcMar>
            <w:vAlign w:val="bottom"/>
            <w:hideMark/>
          </w:tcPr>
          <w:p w14:paraId="15D4D7F9" w14:textId="2E9C6455" w:rsidR="00A34697" w:rsidRPr="00537128" w:rsidRDefault="00A34697" w:rsidP="00A34697">
            <w:pPr>
              <w:spacing w:after="0" w:line="240" w:lineRule="auto"/>
              <w:jc w:val="right"/>
              <w:rPr>
                <w:rFonts w:ascii="Calibri" w:eastAsia="Times New Roman" w:hAnsi="Calibri" w:cs="Arial"/>
                <w:b/>
                <w:color w:val="000000"/>
                <w:lang w:val="en-US" w:eastAsia="hr-HR"/>
              </w:rPr>
            </w:pPr>
            <w:r w:rsidRPr="004D40D4">
              <w:rPr>
                <w:rFonts w:cstheme="minorHAnsi"/>
                <w:b/>
                <w:bCs/>
                <w:color w:val="000000" w:themeColor="text1"/>
              </w:rPr>
              <w:t>4</w:t>
            </w:r>
            <w:r>
              <w:rPr>
                <w:rFonts w:cstheme="minorHAnsi"/>
                <w:b/>
                <w:bCs/>
                <w:color w:val="000000" w:themeColor="text1"/>
              </w:rPr>
              <w:t>,</w:t>
            </w:r>
            <w:r w:rsidRPr="004D40D4">
              <w:rPr>
                <w:rFonts w:cstheme="minorHAnsi"/>
                <w:b/>
                <w:bCs/>
                <w:color w:val="000000" w:themeColor="text1"/>
              </w:rPr>
              <w:t>255</w:t>
            </w:r>
            <w:r>
              <w:rPr>
                <w:rFonts w:cstheme="minorHAnsi"/>
                <w:b/>
                <w:bCs/>
                <w:color w:val="000000" w:themeColor="text1"/>
              </w:rPr>
              <w:t>,</w:t>
            </w:r>
            <w:r w:rsidRPr="004D40D4">
              <w:rPr>
                <w:rFonts w:cstheme="minorHAnsi"/>
                <w:b/>
                <w:bCs/>
                <w:color w:val="000000" w:themeColor="text1"/>
              </w:rPr>
              <w:t>020</w:t>
            </w:r>
          </w:p>
        </w:tc>
      </w:tr>
    </w:tbl>
    <w:p w14:paraId="120B73BF" w14:textId="77777777" w:rsidR="00204422" w:rsidRPr="00537128" w:rsidRDefault="00204422" w:rsidP="00204422">
      <w:pPr>
        <w:spacing w:after="0" w:line="240" w:lineRule="auto"/>
        <w:rPr>
          <w:rFonts w:ascii="Calibri" w:eastAsia="Calibri" w:hAnsi="Calibri" w:cs="Times New Roman"/>
          <w:noProof/>
          <w:sz w:val="20"/>
          <w:szCs w:val="20"/>
          <w:lang w:val="en-US"/>
        </w:rPr>
      </w:pPr>
    </w:p>
    <w:p w14:paraId="5C642C5E" w14:textId="77777777" w:rsidR="00204422" w:rsidRPr="00537128" w:rsidRDefault="00204422" w:rsidP="00204422">
      <w:pPr>
        <w:keepNext/>
        <w:spacing w:after="0" w:line="240" w:lineRule="auto"/>
        <w:jc w:val="both"/>
        <w:rPr>
          <w:rFonts w:ascii="Calibri" w:eastAsia="Times New Roman" w:hAnsi="Calibri" w:cs="Arial"/>
          <w:bCs/>
          <w:lang w:val="en-US"/>
        </w:rPr>
      </w:pPr>
      <w:r w:rsidRPr="00537128">
        <w:rPr>
          <w:rFonts w:ascii="Calibri" w:eastAsia="Times New Roman" w:hAnsi="Calibri" w:cs="Arial"/>
          <w:bCs/>
          <w:lang w:val="en-US"/>
        </w:rPr>
        <w:t>The following tables set out information about the credit quality of guarantees and commitments. For loan commitments and financial guarantee contracts, the amounts in the tables represent the amount committed or guaranteed:</w:t>
      </w:r>
    </w:p>
    <w:p w14:paraId="0A070504" w14:textId="77777777" w:rsidR="00204422" w:rsidRPr="00537128" w:rsidRDefault="00204422" w:rsidP="00204422">
      <w:pPr>
        <w:spacing w:after="0" w:line="240" w:lineRule="auto"/>
        <w:rPr>
          <w:rFonts w:ascii="Calibri" w:eastAsia="Calibri" w:hAnsi="Calibri" w:cs="Times New Roman"/>
          <w:sz w:val="18"/>
          <w:szCs w:val="18"/>
          <w:lang w:val="en-US"/>
        </w:rPr>
      </w:pPr>
    </w:p>
    <w:tbl>
      <w:tblPr>
        <w:tblW w:w="4850" w:type="pct"/>
        <w:tblLook w:val="04A0" w:firstRow="1" w:lastRow="0" w:firstColumn="1" w:lastColumn="0" w:noHBand="0" w:noVBand="1"/>
      </w:tblPr>
      <w:tblGrid>
        <w:gridCol w:w="2018"/>
        <w:gridCol w:w="1103"/>
        <w:gridCol w:w="1103"/>
        <w:gridCol w:w="1104"/>
        <w:gridCol w:w="1104"/>
        <w:gridCol w:w="1257"/>
        <w:gridCol w:w="1111"/>
      </w:tblGrid>
      <w:tr w:rsidR="00204422" w:rsidRPr="00040051" w14:paraId="74E6C07E" w14:textId="77777777" w:rsidTr="001549B1">
        <w:trPr>
          <w:trHeight w:val="306"/>
        </w:trPr>
        <w:tc>
          <w:tcPr>
            <w:tcW w:w="1147" w:type="pct"/>
            <w:vAlign w:val="bottom"/>
            <w:hideMark/>
          </w:tcPr>
          <w:p w14:paraId="4A582F63" w14:textId="5597F954" w:rsidR="00204422" w:rsidRPr="00040051" w:rsidRDefault="00204422" w:rsidP="00204422">
            <w:pPr>
              <w:tabs>
                <w:tab w:val="left" w:pos="-720"/>
              </w:tabs>
              <w:suppressAutoHyphens/>
              <w:spacing w:after="0" w:line="220" w:lineRule="exact"/>
              <w:rPr>
                <w:rFonts w:ascii="Calibri" w:eastAsia="Times New Roman" w:hAnsi="Calibri" w:cs="Arial"/>
                <w:b/>
                <w:sz w:val="20"/>
                <w:szCs w:val="20"/>
                <w:lang w:val="en-US"/>
              </w:rPr>
            </w:pPr>
            <w:r w:rsidRPr="00040051">
              <w:rPr>
                <w:rFonts w:ascii="Calibri" w:eastAsia="Times New Roman" w:hAnsi="Calibri" w:cs="Arial"/>
                <w:b/>
                <w:sz w:val="20"/>
                <w:szCs w:val="20"/>
                <w:lang w:val="en-US"/>
              </w:rPr>
              <w:t>31 March 202</w:t>
            </w:r>
            <w:r w:rsidR="0044327F" w:rsidRPr="00040051">
              <w:rPr>
                <w:rFonts w:ascii="Calibri" w:eastAsia="Times New Roman" w:hAnsi="Calibri" w:cs="Arial"/>
                <w:b/>
                <w:sz w:val="20"/>
                <w:szCs w:val="20"/>
                <w:lang w:val="en-US"/>
              </w:rPr>
              <w:t>2</w:t>
            </w:r>
          </w:p>
        </w:tc>
        <w:tc>
          <w:tcPr>
            <w:tcW w:w="627" w:type="pct"/>
          </w:tcPr>
          <w:p w14:paraId="341EC700" w14:textId="77777777" w:rsidR="00204422" w:rsidRPr="00040051" w:rsidRDefault="00204422" w:rsidP="00204422">
            <w:pPr>
              <w:tabs>
                <w:tab w:val="right" w:pos="1202"/>
              </w:tabs>
              <w:spacing w:after="0" w:line="220" w:lineRule="exact"/>
              <w:jc w:val="right"/>
              <w:outlineLvl w:val="0"/>
              <w:rPr>
                <w:rFonts w:ascii="Calibri" w:eastAsia="Times New Roman" w:hAnsi="Calibri" w:cs="Arial"/>
                <w:b/>
                <w:sz w:val="20"/>
                <w:szCs w:val="20"/>
                <w:lang w:val="en-US"/>
              </w:rPr>
            </w:pPr>
          </w:p>
        </w:tc>
        <w:tc>
          <w:tcPr>
            <w:tcW w:w="3227" w:type="pct"/>
            <w:gridSpan w:val="5"/>
            <w:hideMark/>
          </w:tcPr>
          <w:p w14:paraId="1BC52345" w14:textId="77777777" w:rsidR="00204422" w:rsidRPr="00040051" w:rsidRDefault="00204422" w:rsidP="00204422">
            <w:pPr>
              <w:tabs>
                <w:tab w:val="right" w:pos="1202"/>
              </w:tabs>
              <w:spacing w:after="0" w:line="220" w:lineRule="exact"/>
              <w:jc w:val="right"/>
              <w:outlineLvl w:val="0"/>
              <w:rPr>
                <w:rFonts w:ascii="Calibri" w:eastAsia="Times New Roman" w:hAnsi="Calibri" w:cs="Arial"/>
                <w:b/>
                <w:sz w:val="20"/>
                <w:szCs w:val="20"/>
                <w:lang w:val="en-US"/>
              </w:rPr>
            </w:pPr>
            <w:r w:rsidRPr="00040051">
              <w:rPr>
                <w:rFonts w:ascii="Calibri" w:eastAsia="Times New Roman" w:hAnsi="Calibri" w:cs="Arial"/>
                <w:b/>
                <w:sz w:val="20"/>
                <w:szCs w:val="20"/>
                <w:lang w:val="en-US"/>
              </w:rPr>
              <w:t>Group and Bank</w:t>
            </w:r>
          </w:p>
        </w:tc>
      </w:tr>
      <w:tr w:rsidR="00204422" w:rsidRPr="00040051" w14:paraId="6FB9138A" w14:textId="77777777" w:rsidTr="00121E29">
        <w:trPr>
          <w:trHeight w:val="236"/>
        </w:trPr>
        <w:tc>
          <w:tcPr>
            <w:tcW w:w="1147" w:type="pct"/>
            <w:vAlign w:val="bottom"/>
          </w:tcPr>
          <w:p w14:paraId="537384FA" w14:textId="77777777" w:rsidR="00204422" w:rsidRPr="00040051" w:rsidRDefault="00204422" w:rsidP="00204422">
            <w:pPr>
              <w:tabs>
                <w:tab w:val="left" w:pos="-720"/>
              </w:tabs>
              <w:suppressAutoHyphens/>
              <w:spacing w:after="0" w:line="220" w:lineRule="exact"/>
              <w:rPr>
                <w:rFonts w:ascii="Calibri" w:eastAsia="Times New Roman" w:hAnsi="Calibri" w:cs="Arial"/>
                <w:sz w:val="20"/>
                <w:szCs w:val="20"/>
                <w:lang w:val="en-US"/>
              </w:rPr>
            </w:pPr>
          </w:p>
        </w:tc>
        <w:tc>
          <w:tcPr>
            <w:tcW w:w="627" w:type="pct"/>
            <w:vAlign w:val="bottom"/>
            <w:hideMark/>
          </w:tcPr>
          <w:p w14:paraId="11C1578B" w14:textId="77777777" w:rsidR="00204422" w:rsidRPr="00040051" w:rsidRDefault="00204422" w:rsidP="00204422">
            <w:pPr>
              <w:tabs>
                <w:tab w:val="right" w:pos="1202"/>
              </w:tabs>
              <w:spacing w:after="0" w:line="220" w:lineRule="exact"/>
              <w:jc w:val="right"/>
              <w:outlineLvl w:val="0"/>
              <w:rPr>
                <w:rFonts w:ascii="Calibri" w:eastAsia="Times New Roman" w:hAnsi="Calibri" w:cs="Arial"/>
                <w:b/>
                <w:sz w:val="20"/>
                <w:szCs w:val="20"/>
                <w:lang w:val="en-US"/>
              </w:rPr>
            </w:pPr>
            <w:r w:rsidRPr="00040051">
              <w:rPr>
                <w:rFonts w:ascii="Calibri" w:eastAsia="Times New Roman" w:hAnsi="Calibri" w:cs="Arial"/>
                <w:b/>
                <w:sz w:val="20"/>
                <w:szCs w:val="20"/>
                <w:lang w:val="en-US"/>
              </w:rPr>
              <w:t>Stage 1</w:t>
            </w:r>
          </w:p>
        </w:tc>
        <w:tc>
          <w:tcPr>
            <w:tcW w:w="627" w:type="pct"/>
            <w:vAlign w:val="bottom"/>
            <w:hideMark/>
          </w:tcPr>
          <w:p w14:paraId="4148387A" w14:textId="77777777" w:rsidR="00204422" w:rsidRPr="00040051" w:rsidRDefault="00204422" w:rsidP="00204422">
            <w:pPr>
              <w:tabs>
                <w:tab w:val="right" w:pos="1202"/>
              </w:tabs>
              <w:spacing w:after="0" w:line="220" w:lineRule="exact"/>
              <w:jc w:val="right"/>
              <w:outlineLvl w:val="0"/>
              <w:rPr>
                <w:rFonts w:ascii="Calibri" w:eastAsia="Times New Roman" w:hAnsi="Calibri" w:cs="Arial"/>
                <w:b/>
                <w:sz w:val="20"/>
                <w:szCs w:val="20"/>
                <w:lang w:val="en-US"/>
              </w:rPr>
            </w:pPr>
            <w:r w:rsidRPr="00040051">
              <w:rPr>
                <w:rFonts w:ascii="Calibri" w:eastAsia="Times New Roman" w:hAnsi="Calibri" w:cs="Arial"/>
                <w:b/>
                <w:sz w:val="20"/>
                <w:szCs w:val="20"/>
                <w:lang w:val="en-US"/>
              </w:rPr>
              <w:t>Stage 2</w:t>
            </w:r>
          </w:p>
        </w:tc>
        <w:tc>
          <w:tcPr>
            <w:tcW w:w="627" w:type="pct"/>
            <w:vAlign w:val="bottom"/>
            <w:hideMark/>
          </w:tcPr>
          <w:p w14:paraId="0AAB7704" w14:textId="77777777" w:rsidR="00204422" w:rsidRPr="00040051" w:rsidRDefault="00204422" w:rsidP="00204422">
            <w:pPr>
              <w:tabs>
                <w:tab w:val="right" w:pos="1202"/>
              </w:tabs>
              <w:spacing w:after="0" w:line="220" w:lineRule="exact"/>
              <w:jc w:val="right"/>
              <w:outlineLvl w:val="0"/>
              <w:rPr>
                <w:rFonts w:ascii="Calibri" w:eastAsia="Times New Roman" w:hAnsi="Calibri" w:cs="Arial"/>
                <w:b/>
                <w:sz w:val="20"/>
                <w:szCs w:val="20"/>
                <w:lang w:val="en-US"/>
              </w:rPr>
            </w:pPr>
            <w:r w:rsidRPr="00040051">
              <w:rPr>
                <w:rFonts w:ascii="Calibri" w:eastAsia="Times New Roman" w:hAnsi="Calibri" w:cs="Arial"/>
                <w:b/>
                <w:sz w:val="20"/>
                <w:szCs w:val="20"/>
                <w:lang w:val="en-US"/>
              </w:rPr>
              <w:t>Stage 3</w:t>
            </w:r>
          </w:p>
        </w:tc>
        <w:tc>
          <w:tcPr>
            <w:tcW w:w="627" w:type="pct"/>
            <w:vAlign w:val="bottom"/>
            <w:hideMark/>
          </w:tcPr>
          <w:p w14:paraId="6F018DFF" w14:textId="77777777" w:rsidR="00204422" w:rsidRPr="00040051" w:rsidRDefault="00204422" w:rsidP="00204422">
            <w:pPr>
              <w:tabs>
                <w:tab w:val="right" w:pos="1202"/>
              </w:tabs>
              <w:spacing w:after="0" w:line="220" w:lineRule="exact"/>
              <w:jc w:val="right"/>
              <w:outlineLvl w:val="0"/>
              <w:rPr>
                <w:rFonts w:ascii="Calibri" w:eastAsia="Times New Roman" w:hAnsi="Calibri" w:cs="Arial"/>
                <w:b/>
                <w:sz w:val="20"/>
                <w:szCs w:val="20"/>
                <w:lang w:val="en-US"/>
              </w:rPr>
            </w:pPr>
            <w:r w:rsidRPr="00040051">
              <w:rPr>
                <w:rFonts w:ascii="Calibri" w:eastAsia="Times New Roman" w:hAnsi="Calibri" w:cs="Arial"/>
                <w:b/>
                <w:sz w:val="20"/>
                <w:szCs w:val="20"/>
                <w:lang w:val="en-US"/>
              </w:rPr>
              <w:t>POCI</w:t>
            </w:r>
          </w:p>
        </w:tc>
        <w:tc>
          <w:tcPr>
            <w:tcW w:w="714" w:type="pct"/>
            <w:hideMark/>
          </w:tcPr>
          <w:p w14:paraId="29B15CA9" w14:textId="77777777" w:rsidR="00204422" w:rsidRPr="00040051" w:rsidRDefault="00204422" w:rsidP="00204422">
            <w:pPr>
              <w:tabs>
                <w:tab w:val="right" w:pos="1202"/>
              </w:tabs>
              <w:spacing w:after="0" w:line="220" w:lineRule="exact"/>
              <w:jc w:val="right"/>
              <w:outlineLvl w:val="0"/>
              <w:rPr>
                <w:rFonts w:ascii="Calibri" w:eastAsia="Times New Roman" w:hAnsi="Calibri" w:cs="Arial"/>
                <w:b/>
                <w:sz w:val="20"/>
                <w:szCs w:val="20"/>
                <w:lang w:val="en-US"/>
              </w:rPr>
            </w:pPr>
            <w:r w:rsidRPr="00040051">
              <w:rPr>
                <w:rFonts w:ascii="Calibri" w:eastAsia="Times New Roman" w:hAnsi="Calibri" w:cs="Arial"/>
                <w:b/>
                <w:sz w:val="20"/>
                <w:szCs w:val="20"/>
                <w:lang w:val="en-US"/>
              </w:rPr>
              <w:t>Without stage</w:t>
            </w:r>
          </w:p>
        </w:tc>
        <w:tc>
          <w:tcPr>
            <w:tcW w:w="631" w:type="pct"/>
            <w:vAlign w:val="bottom"/>
            <w:hideMark/>
          </w:tcPr>
          <w:p w14:paraId="143C7DF6" w14:textId="77777777" w:rsidR="00204422" w:rsidRPr="00040051" w:rsidRDefault="00204422" w:rsidP="00204422">
            <w:pPr>
              <w:tabs>
                <w:tab w:val="right" w:pos="1202"/>
              </w:tabs>
              <w:spacing w:after="0" w:line="220" w:lineRule="exact"/>
              <w:jc w:val="right"/>
              <w:outlineLvl w:val="0"/>
              <w:rPr>
                <w:rFonts w:ascii="Calibri" w:eastAsia="Times New Roman" w:hAnsi="Calibri" w:cs="Arial"/>
                <w:b/>
                <w:sz w:val="20"/>
                <w:szCs w:val="20"/>
                <w:lang w:val="en-US"/>
              </w:rPr>
            </w:pPr>
            <w:r w:rsidRPr="00040051">
              <w:rPr>
                <w:rFonts w:ascii="Calibri" w:eastAsia="Times New Roman" w:hAnsi="Calibri" w:cs="Arial"/>
                <w:b/>
                <w:sz w:val="20"/>
                <w:szCs w:val="20"/>
                <w:lang w:val="en-US"/>
              </w:rPr>
              <w:t>Total</w:t>
            </w:r>
          </w:p>
        </w:tc>
      </w:tr>
      <w:tr w:rsidR="00204422" w:rsidRPr="00040051" w14:paraId="1CA23516" w14:textId="77777777" w:rsidTr="00121E29">
        <w:trPr>
          <w:trHeight w:val="236"/>
        </w:trPr>
        <w:tc>
          <w:tcPr>
            <w:tcW w:w="1147" w:type="pct"/>
            <w:vAlign w:val="bottom"/>
          </w:tcPr>
          <w:p w14:paraId="2A2F98C9" w14:textId="77777777" w:rsidR="00204422" w:rsidRPr="00040051" w:rsidRDefault="00204422" w:rsidP="00204422">
            <w:pPr>
              <w:tabs>
                <w:tab w:val="left" w:pos="-720"/>
              </w:tabs>
              <w:suppressAutoHyphens/>
              <w:spacing w:after="0" w:line="220" w:lineRule="exact"/>
              <w:rPr>
                <w:rFonts w:ascii="Calibri" w:eastAsia="Times New Roman" w:hAnsi="Calibri" w:cs="Arial"/>
                <w:sz w:val="20"/>
                <w:szCs w:val="20"/>
                <w:lang w:val="en-US"/>
              </w:rPr>
            </w:pPr>
          </w:p>
        </w:tc>
        <w:tc>
          <w:tcPr>
            <w:tcW w:w="627" w:type="pct"/>
            <w:vAlign w:val="bottom"/>
            <w:hideMark/>
          </w:tcPr>
          <w:p w14:paraId="7F051009" w14:textId="29762EC9" w:rsidR="00204422" w:rsidRPr="00040051" w:rsidRDefault="00204422" w:rsidP="00204422">
            <w:pPr>
              <w:tabs>
                <w:tab w:val="right" w:pos="1202"/>
              </w:tabs>
              <w:spacing w:after="0" w:line="220" w:lineRule="exact"/>
              <w:jc w:val="right"/>
              <w:outlineLvl w:val="0"/>
              <w:rPr>
                <w:rFonts w:ascii="Calibri" w:eastAsia="Times New Roman" w:hAnsi="Calibri" w:cs="Arial"/>
                <w:b/>
                <w:sz w:val="20"/>
                <w:szCs w:val="20"/>
                <w:lang w:val="en-US"/>
              </w:rPr>
            </w:pPr>
            <w:r w:rsidRPr="00040051">
              <w:rPr>
                <w:rFonts w:ascii="Calibri" w:eastAsia="Times New Roman" w:hAnsi="Calibri" w:cs="Arial"/>
                <w:b/>
                <w:sz w:val="20"/>
                <w:szCs w:val="20"/>
                <w:lang w:val="en-US"/>
              </w:rPr>
              <w:t xml:space="preserve">HRK </w:t>
            </w:r>
            <w:r w:rsidR="002275B0">
              <w:rPr>
                <w:rFonts w:ascii="Calibri" w:eastAsia="Times New Roman" w:hAnsi="Calibri" w:cs="Arial"/>
                <w:b/>
                <w:sz w:val="20"/>
                <w:szCs w:val="20"/>
                <w:lang w:val="en-US"/>
              </w:rPr>
              <w:t>‘</w:t>
            </w:r>
            <w:r w:rsidRPr="00040051">
              <w:rPr>
                <w:rFonts w:ascii="Calibri" w:eastAsia="Times New Roman" w:hAnsi="Calibri" w:cs="Arial"/>
                <w:b/>
                <w:sz w:val="20"/>
                <w:szCs w:val="20"/>
                <w:lang w:val="en-US"/>
              </w:rPr>
              <w:t>000</w:t>
            </w:r>
          </w:p>
        </w:tc>
        <w:tc>
          <w:tcPr>
            <w:tcW w:w="627" w:type="pct"/>
            <w:vAlign w:val="bottom"/>
            <w:hideMark/>
          </w:tcPr>
          <w:p w14:paraId="0045323E" w14:textId="125A2D2C" w:rsidR="00204422" w:rsidRPr="00040051" w:rsidRDefault="00204422" w:rsidP="00204422">
            <w:pPr>
              <w:tabs>
                <w:tab w:val="right" w:pos="1202"/>
              </w:tabs>
              <w:spacing w:after="0" w:line="220" w:lineRule="exact"/>
              <w:jc w:val="right"/>
              <w:outlineLvl w:val="0"/>
              <w:rPr>
                <w:rFonts w:ascii="Calibri" w:eastAsia="Times New Roman" w:hAnsi="Calibri" w:cs="Arial"/>
                <w:b/>
                <w:sz w:val="20"/>
                <w:szCs w:val="20"/>
                <w:lang w:val="en-US"/>
              </w:rPr>
            </w:pPr>
            <w:r w:rsidRPr="00040051">
              <w:rPr>
                <w:rFonts w:ascii="Calibri" w:eastAsia="Times New Roman" w:hAnsi="Calibri" w:cs="Arial"/>
                <w:b/>
                <w:sz w:val="20"/>
                <w:szCs w:val="20"/>
                <w:lang w:val="en-US"/>
              </w:rPr>
              <w:t xml:space="preserve">HRK </w:t>
            </w:r>
            <w:r w:rsidR="002275B0">
              <w:rPr>
                <w:rFonts w:ascii="Calibri" w:eastAsia="Times New Roman" w:hAnsi="Calibri" w:cs="Arial"/>
                <w:b/>
                <w:sz w:val="20"/>
                <w:szCs w:val="20"/>
                <w:lang w:val="en-US"/>
              </w:rPr>
              <w:t>‘</w:t>
            </w:r>
            <w:r w:rsidRPr="00040051">
              <w:rPr>
                <w:rFonts w:ascii="Calibri" w:eastAsia="Times New Roman" w:hAnsi="Calibri" w:cs="Arial"/>
                <w:b/>
                <w:sz w:val="20"/>
                <w:szCs w:val="20"/>
                <w:lang w:val="en-US"/>
              </w:rPr>
              <w:t>000</w:t>
            </w:r>
          </w:p>
        </w:tc>
        <w:tc>
          <w:tcPr>
            <w:tcW w:w="627" w:type="pct"/>
            <w:vAlign w:val="bottom"/>
            <w:hideMark/>
          </w:tcPr>
          <w:p w14:paraId="79A5297F" w14:textId="61667A0E" w:rsidR="00204422" w:rsidRPr="00040051" w:rsidRDefault="00204422" w:rsidP="00204422">
            <w:pPr>
              <w:tabs>
                <w:tab w:val="right" w:pos="1202"/>
              </w:tabs>
              <w:spacing w:after="0" w:line="220" w:lineRule="exact"/>
              <w:jc w:val="right"/>
              <w:outlineLvl w:val="0"/>
              <w:rPr>
                <w:rFonts w:ascii="Calibri" w:eastAsia="Times New Roman" w:hAnsi="Calibri" w:cs="Arial"/>
                <w:b/>
                <w:sz w:val="20"/>
                <w:szCs w:val="20"/>
                <w:lang w:val="en-US"/>
              </w:rPr>
            </w:pPr>
            <w:r w:rsidRPr="00040051">
              <w:rPr>
                <w:rFonts w:ascii="Calibri" w:eastAsia="Times New Roman" w:hAnsi="Calibri" w:cs="Arial"/>
                <w:b/>
                <w:sz w:val="20"/>
                <w:szCs w:val="20"/>
                <w:lang w:val="en-US"/>
              </w:rPr>
              <w:t xml:space="preserve">HRK </w:t>
            </w:r>
            <w:r w:rsidR="002275B0">
              <w:rPr>
                <w:rFonts w:ascii="Calibri" w:eastAsia="Times New Roman" w:hAnsi="Calibri" w:cs="Arial"/>
                <w:b/>
                <w:sz w:val="20"/>
                <w:szCs w:val="20"/>
                <w:lang w:val="en-US"/>
              </w:rPr>
              <w:t>‘</w:t>
            </w:r>
            <w:r w:rsidRPr="00040051">
              <w:rPr>
                <w:rFonts w:ascii="Calibri" w:eastAsia="Times New Roman" w:hAnsi="Calibri" w:cs="Arial"/>
                <w:b/>
                <w:sz w:val="20"/>
                <w:szCs w:val="20"/>
                <w:lang w:val="en-US"/>
              </w:rPr>
              <w:t>000</w:t>
            </w:r>
          </w:p>
        </w:tc>
        <w:tc>
          <w:tcPr>
            <w:tcW w:w="627" w:type="pct"/>
            <w:vAlign w:val="center"/>
            <w:hideMark/>
          </w:tcPr>
          <w:p w14:paraId="5035D716" w14:textId="6E2EEF91" w:rsidR="00204422" w:rsidRPr="00040051" w:rsidRDefault="00204422" w:rsidP="00204422">
            <w:pPr>
              <w:tabs>
                <w:tab w:val="right" w:pos="1202"/>
              </w:tabs>
              <w:spacing w:after="0" w:line="220" w:lineRule="exact"/>
              <w:jc w:val="right"/>
              <w:outlineLvl w:val="0"/>
              <w:rPr>
                <w:rFonts w:ascii="Calibri" w:eastAsia="Times New Roman" w:hAnsi="Calibri" w:cs="Arial"/>
                <w:b/>
                <w:sz w:val="20"/>
                <w:szCs w:val="20"/>
                <w:lang w:val="en-US"/>
              </w:rPr>
            </w:pPr>
            <w:r w:rsidRPr="00040051">
              <w:rPr>
                <w:rFonts w:ascii="Calibri" w:eastAsia="Times New Roman" w:hAnsi="Calibri" w:cs="Arial"/>
                <w:b/>
                <w:sz w:val="20"/>
                <w:szCs w:val="20"/>
                <w:lang w:val="en-US"/>
              </w:rPr>
              <w:t xml:space="preserve">HRK </w:t>
            </w:r>
            <w:r w:rsidR="002275B0">
              <w:rPr>
                <w:rFonts w:ascii="Calibri" w:eastAsia="Times New Roman" w:hAnsi="Calibri" w:cs="Arial"/>
                <w:b/>
                <w:sz w:val="20"/>
                <w:szCs w:val="20"/>
                <w:lang w:val="en-US"/>
              </w:rPr>
              <w:t>‘</w:t>
            </w:r>
            <w:r w:rsidRPr="00040051">
              <w:rPr>
                <w:rFonts w:ascii="Calibri" w:eastAsia="Times New Roman" w:hAnsi="Calibri" w:cs="Arial"/>
                <w:b/>
                <w:sz w:val="20"/>
                <w:szCs w:val="20"/>
                <w:lang w:val="en-US"/>
              </w:rPr>
              <w:t>000</w:t>
            </w:r>
          </w:p>
        </w:tc>
        <w:tc>
          <w:tcPr>
            <w:tcW w:w="714" w:type="pct"/>
            <w:hideMark/>
          </w:tcPr>
          <w:p w14:paraId="3C894913" w14:textId="34C68466" w:rsidR="00204422" w:rsidRPr="00040051" w:rsidRDefault="00204422" w:rsidP="00204422">
            <w:pPr>
              <w:tabs>
                <w:tab w:val="right" w:pos="1202"/>
              </w:tabs>
              <w:spacing w:after="0" w:line="220" w:lineRule="exact"/>
              <w:jc w:val="right"/>
              <w:outlineLvl w:val="0"/>
              <w:rPr>
                <w:rFonts w:ascii="Calibri" w:eastAsia="Times New Roman" w:hAnsi="Calibri" w:cs="Arial"/>
                <w:b/>
                <w:sz w:val="20"/>
                <w:szCs w:val="20"/>
                <w:lang w:val="en-US"/>
              </w:rPr>
            </w:pPr>
            <w:r w:rsidRPr="00040051">
              <w:rPr>
                <w:rFonts w:ascii="Calibri" w:eastAsia="Times New Roman" w:hAnsi="Calibri" w:cs="Arial"/>
                <w:b/>
                <w:sz w:val="20"/>
                <w:szCs w:val="20"/>
                <w:lang w:val="en-US"/>
              </w:rPr>
              <w:t xml:space="preserve">HRK </w:t>
            </w:r>
            <w:r w:rsidR="002275B0">
              <w:rPr>
                <w:rFonts w:ascii="Calibri" w:eastAsia="Times New Roman" w:hAnsi="Calibri" w:cs="Arial"/>
                <w:b/>
                <w:sz w:val="20"/>
                <w:szCs w:val="20"/>
                <w:lang w:val="en-US"/>
              </w:rPr>
              <w:t>‘</w:t>
            </w:r>
            <w:r w:rsidRPr="00040051">
              <w:rPr>
                <w:rFonts w:ascii="Calibri" w:eastAsia="Times New Roman" w:hAnsi="Calibri" w:cs="Arial"/>
                <w:b/>
                <w:sz w:val="20"/>
                <w:szCs w:val="20"/>
                <w:lang w:val="en-US"/>
              </w:rPr>
              <w:t>000</w:t>
            </w:r>
          </w:p>
        </w:tc>
        <w:tc>
          <w:tcPr>
            <w:tcW w:w="631" w:type="pct"/>
            <w:vAlign w:val="bottom"/>
            <w:hideMark/>
          </w:tcPr>
          <w:p w14:paraId="79C52ED2" w14:textId="6D6233A3" w:rsidR="00204422" w:rsidRPr="00040051" w:rsidRDefault="00204422" w:rsidP="00204422">
            <w:pPr>
              <w:tabs>
                <w:tab w:val="right" w:pos="1202"/>
              </w:tabs>
              <w:spacing w:after="0" w:line="220" w:lineRule="exact"/>
              <w:jc w:val="right"/>
              <w:outlineLvl w:val="0"/>
              <w:rPr>
                <w:rFonts w:ascii="Calibri" w:eastAsia="Times New Roman" w:hAnsi="Calibri" w:cs="Arial"/>
                <w:b/>
                <w:sz w:val="20"/>
                <w:szCs w:val="20"/>
                <w:lang w:val="en-US"/>
              </w:rPr>
            </w:pPr>
            <w:r w:rsidRPr="00040051">
              <w:rPr>
                <w:rFonts w:ascii="Calibri" w:eastAsia="Times New Roman" w:hAnsi="Calibri" w:cs="Arial"/>
                <w:b/>
                <w:sz w:val="20"/>
                <w:szCs w:val="20"/>
                <w:lang w:val="en-US"/>
              </w:rPr>
              <w:t xml:space="preserve">HRK </w:t>
            </w:r>
            <w:r w:rsidR="002275B0">
              <w:rPr>
                <w:rFonts w:ascii="Calibri" w:eastAsia="Times New Roman" w:hAnsi="Calibri" w:cs="Arial"/>
                <w:b/>
                <w:sz w:val="20"/>
                <w:szCs w:val="20"/>
                <w:lang w:val="en-US"/>
              </w:rPr>
              <w:t>‘</w:t>
            </w:r>
            <w:r w:rsidRPr="00040051">
              <w:rPr>
                <w:rFonts w:ascii="Calibri" w:eastAsia="Times New Roman" w:hAnsi="Calibri" w:cs="Arial"/>
                <w:b/>
                <w:sz w:val="20"/>
                <w:szCs w:val="20"/>
                <w:lang w:val="en-US"/>
              </w:rPr>
              <w:t>000</w:t>
            </w:r>
          </w:p>
        </w:tc>
      </w:tr>
      <w:tr w:rsidR="00204422" w:rsidRPr="00040051" w14:paraId="4C5A468F" w14:textId="77777777" w:rsidTr="00121E29">
        <w:trPr>
          <w:trHeight w:val="166"/>
        </w:trPr>
        <w:tc>
          <w:tcPr>
            <w:tcW w:w="1147" w:type="pct"/>
            <w:vAlign w:val="bottom"/>
          </w:tcPr>
          <w:p w14:paraId="15DB5E24" w14:textId="77777777" w:rsidR="00204422" w:rsidRPr="00040051" w:rsidRDefault="00204422" w:rsidP="00204422">
            <w:pPr>
              <w:tabs>
                <w:tab w:val="left" w:pos="-720"/>
              </w:tabs>
              <w:suppressAutoHyphens/>
              <w:spacing w:after="0" w:line="140" w:lineRule="exact"/>
              <w:rPr>
                <w:rFonts w:ascii="Calibri" w:eastAsia="Times New Roman" w:hAnsi="Calibri" w:cs="Arial"/>
                <w:sz w:val="20"/>
                <w:szCs w:val="20"/>
                <w:lang w:val="en-US"/>
              </w:rPr>
            </w:pPr>
          </w:p>
        </w:tc>
        <w:tc>
          <w:tcPr>
            <w:tcW w:w="627" w:type="pct"/>
            <w:vAlign w:val="bottom"/>
          </w:tcPr>
          <w:p w14:paraId="1BB75A0E" w14:textId="77777777" w:rsidR="00204422" w:rsidRPr="00040051" w:rsidRDefault="00204422" w:rsidP="00204422">
            <w:pPr>
              <w:tabs>
                <w:tab w:val="right" w:pos="1202"/>
              </w:tabs>
              <w:spacing w:after="0" w:line="140" w:lineRule="exact"/>
              <w:jc w:val="right"/>
              <w:outlineLvl w:val="0"/>
              <w:rPr>
                <w:rFonts w:ascii="Calibri" w:eastAsia="Times New Roman" w:hAnsi="Calibri" w:cs="Arial"/>
                <w:b/>
                <w:sz w:val="20"/>
                <w:szCs w:val="20"/>
                <w:lang w:val="en-US"/>
              </w:rPr>
            </w:pPr>
          </w:p>
        </w:tc>
        <w:tc>
          <w:tcPr>
            <w:tcW w:w="627" w:type="pct"/>
            <w:vAlign w:val="bottom"/>
          </w:tcPr>
          <w:p w14:paraId="64068FCB" w14:textId="77777777" w:rsidR="00204422" w:rsidRPr="00040051" w:rsidRDefault="00204422" w:rsidP="00204422">
            <w:pPr>
              <w:tabs>
                <w:tab w:val="right" w:pos="1202"/>
              </w:tabs>
              <w:spacing w:after="0" w:line="140" w:lineRule="exact"/>
              <w:jc w:val="right"/>
              <w:outlineLvl w:val="0"/>
              <w:rPr>
                <w:rFonts w:ascii="Calibri" w:eastAsia="Times New Roman" w:hAnsi="Calibri" w:cs="Arial"/>
                <w:b/>
                <w:sz w:val="20"/>
                <w:szCs w:val="20"/>
                <w:lang w:val="en-US"/>
              </w:rPr>
            </w:pPr>
          </w:p>
        </w:tc>
        <w:tc>
          <w:tcPr>
            <w:tcW w:w="627" w:type="pct"/>
            <w:vAlign w:val="bottom"/>
          </w:tcPr>
          <w:p w14:paraId="6AC74E3D" w14:textId="77777777" w:rsidR="00204422" w:rsidRPr="00040051" w:rsidRDefault="00204422" w:rsidP="00204422">
            <w:pPr>
              <w:tabs>
                <w:tab w:val="right" w:pos="1202"/>
              </w:tabs>
              <w:spacing w:after="0" w:line="140" w:lineRule="exact"/>
              <w:jc w:val="right"/>
              <w:outlineLvl w:val="0"/>
              <w:rPr>
                <w:rFonts w:ascii="Calibri" w:eastAsia="Times New Roman" w:hAnsi="Calibri" w:cs="Arial"/>
                <w:b/>
                <w:sz w:val="20"/>
                <w:szCs w:val="20"/>
                <w:lang w:val="en-US"/>
              </w:rPr>
            </w:pPr>
          </w:p>
        </w:tc>
        <w:tc>
          <w:tcPr>
            <w:tcW w:w="627" w:type="pct"/>
          </w:tcPr>
          <w:p w14:paraId="7B115EC9" w14:textId="77777777" w:rsidR="00204422" w:rsidRPr="00040051" w:rsidRDefault="00204422" w:rsidP="00204422">
            <w:pPr>
              <w:tabs>
                <w:tab w:val="right" w:pos="1202"/>
              </w:tabs>
              <w:spacing w:after="0" w:line="140" w:lineRule="exact"/>
              <w:jc w:val="right"/>
              <w:outlineLvl w:val="0"/>
              <w:rPr>
                <w:rFonts w:ascii="Calibri" w:eastAsia="Times New Roman" w:hAnsi="Calibri" w:cs="Arial"/>
                <w:b/>
                <w:sz w:val="20"/>
                <w:szCs w:val="20"/>
                <w:lang w:val="en-US"/>
              </w:rPr>
            </w:pPr>
          </w:p>
        </w:tc>
        <w:tc>
          <w:tcPr>
            <w:tcW w:w="714" w:type="pct"/>
          </w:tcPr>
          <w:p w14:paraId="646E431F" w14:textId="77777777" w:rsidR="00204422" w:rsidRPr="00040051" w:rsidRDefault="00204422" w:rsidP="00204422">
            <w:pPr>
              <w:tabs>
                <w:tab w:val="right" w:pos="1202"/>
              </w:tabs>
              <w:spacing w:after="0" w:line="140" w:lineRule="exact"/>
              <w:jc w:val="right"/>
              <w:outlineLvl w:val="0"/>
              <w:rPr>
                <w:rFonts w:ascii="Calibri" w:eastAsia="Times New Roman" w:hAnsi="Calibri" w:cs="Arial"/>
                <w:b/>
                <w:sz w:val="20"/>
                <w:szCs w:val="20"/>
                <w:lang w:val="en-US"/>
              </w:rPr>
            </w:pPr>
          </w:p>
        </w:tc>
        <w:tc>
          <w:tcPr>
            <w:tcW w:w="631" w:type="pct"/>
            <w:vAlign w:val="bottom"/>
          </w:tcPr>
          <w:p w14:paraId="7511F112" w14:textId="77777777" w:rsidR="00204422" w:rsidRPr="00040051" w:rsidRDefault="00204422" w:rsidP="00204422">
            <w:pPr>
              <w:tabs>
                <w:tab w:val="right" w:pos="1202"/>
              </w:tabs>
              <w:spacing w:after="0" w:line="140" w:lineRule="exact"/>
              <w:jc w:val="right"/>
              <w:outlineLvl w:val="0"/>
              <w:rPr>
                <w:rFonts w:ascii="Calibri" w:eastAsia="Times New Roman" w:hAnsi="Calibri" w:cs="Arial"/>
                <w:b/>
                <w:sz w:val="20"/>
                <w:szCs w:val="20"/>
                <w:lang w:val="en-US"/>
              </w:rPr>
            </w:pPr>
          </w:p>
        </w:tc>
      </w:tr>
      <w:tr w:rsidR="00121E29" w:rsidRPr="00040051" w14:paraId="02C8345F" w14:textId="77777777" w:rsidTr="00121E29">
        <w:trPr>
          <w:trHeight w:val="316"/>
        </w:trPr>
        <w:tc>
          <w:tcPr>
            <w:tcW w:w="1147" w:type="pct"/>
            <w:vAlign w:val="bottom"/>
            <w:hideMark/>
          </w:tcPr>
          <w:p w14:paraId="3E51C214" w14:textId="77777777" w:rsidR="00121E29" w:rsidRPr="00040051" w:rsidRDefault="00121E29" w:rsidP="00121E29">
            <w:pPr>
              <w:tabs>
                <w:tab w:val="right" w:pos="1202"/>
              </w:tabs>
              <w:spacing w:after="0" w:line="240" w:lineRule="exact"/>
              <w:outlineLvl w:val="0"/>
              <w:rPr>
                <w:rFonts w:ascii="Calibri" w:eastAsia="Times New Roman" w:hAnsi="Calibri" w:cs="Arial"/>
                <w:sz w:val="20"/>
                <w:szCs w:val="20"/>
                <w:lang w:val="en-US"/>
              </w:rPr>
            </w:pPr>
            <w:r w:rsidRPr="00040051">
              <w:rPr>
                <w:rFonts w:ascii="Calibri" w:eastAsia="Times New Roman" w:hAnsi="Calibri" w:cs="Arial"/>
                <w:sz w:val="20"/>
                <w:szCs w:val="20"/>
                <w:lang w:val="en-US"/>
              </w:rPr>
              <w:t>Gross amount</w:t>
            </w:r>
          </w:p>
        </w:tc>
        <w:tc>
          <w:tcPr>
            <w:tcW w:w="627" w:type="pct"/>
            <w:tcBorders>
              <w:top w:val="nil"/>
              <w:left w:val="nil"/>
              <w:bottom w:val="nil"/>
              <w:right w:val="nil"/>
            </w:tcBorders>
            <w:shd w:val="clear" w:color="auto" w:fill="auto"/>
            <w:vAlign w:val="bottom"/>
          </w:tcPr>
          <w:p w14:paraId="618F42D8" w14:textId="63664E1E" w:rsidR="00121E29" w:rsidRPr="00040051" w:rsidRDefault="00121E29" w:rsidP="00121E29">
            <w:pPr>
              <w:tabs>
                <w:tab w:val="right" w:pos="1202"/>
              </w:tabs>
              <w:spacing w:after="0" w:line="240" w:lineRule="exact"/>
              <w:jc w:val="right"/>
              <w:outlineLvl w:val="0"/>
              <w:rPr>
                <w:rFonts w:ascii="Calibri" w:eastAsia="Times New Roman" w:hAnsi="Calibri" w:cs="Arial"/>
                <w:sz w:val="20"/>
                <w:szCs w:val="20"/>
                <w:lang w:val="en-US"/>
              </w:rPr>
            </w:pPr>
            <w:r w:rsidRPr="008E5C2B">
              <w:rPr>
                <w:sz w:val="20"/>
                <w:szCs w:val="20"/>
              </w:rPr>
              <w:t xml:space="preserve"> 3</w:t>
            </w:r>
            <w:r>
              <w:rPr>
                <w:sz w:val="20"/>
                <w:szCs w:val="20"/>
              </w:rPr>
              <w:t>,</w:t>
            </w:r>
            <w:r w:rsidRPr="008E5C2B">
              <w:rPr>
                <w:sz w:val="20"/>
                <w:szCs w:val="20"/>
              </w:rPr>
              <w:t>097</w:t>
            </w:r>
            <w:r>
              <w:rPr>
                <w:sz w:val="20"/>
                <w:szCs w:val="20"/>
              </w:rPr>
              <w:t>,</w:t>
            </w:r>
            <w:r w:rsidRPr="008E5C2B">
              <w:rPr>
                <w:sz w:val="20"/>
                <w:szCs w:val="20"/>
              </w:rPr>
              <w:t xml:space="preserve">494 </w:t>
            </w:r>
          </w:p>
        </w:tc>
        <w:tc>
          <w:tcPr>
            <w:tcW w:w="627" w:type="pct"/>
            <w:tcBorders>
              <w:top w:val="nil"/>
              <w:left w:val="nil"/>
              <w:bottom w:val="nil"/>
              <w:right w:val="nil"/>
            </w:tcBorders>
            <w:shd w:val="clear" w:color="auto" w:fill="auto"/>
            <w:vAlign w:val="bottom"/>
          </w:tcPr>
          <w:p w14:paraId="5004408B" w14:textId="48B73719" w:rsidR="00121E29" w:rsidRPr="00040051" w:rsidRDefault="00121E29" w:rsidP="00121E29">
            <w:pPr>
              <w:tabs>
                <w:tab w:val="right" w:pos="1202"/>
              </w:tabs>
              <w:spacing w:after="0" w:line="240" w:lineRule="exact"/>
              <w:jc w:val="right"/>
              <w:outlineLvl w:val="0"/>
              <w:rPr>
                <w:rFonts w:ascii="Calibri" w:eastAsia="Times New Roman" w:hAnsi="Calibri" w:cs="Arial"/>
                <w:sz w:val="20"/>
                <w:szCs w:val="20"/>
                <w:lang w:val="en-US"/>
              </w:rPr>
            </w:pPr>
            <w:r w:rsidRPr="008E5C2B">
              <w:rPr>
                <w:sz w:val="20"/>
                <w:szCs w:val="20"/>
              </w:rPr>
              <w:t xml:space="preserve"> 208</w:t>
            </w:r>
            <w:r>
              <w:rPr>
                <w:sz w:val="20"/>
                <w:szCs w:val="20"/>
              </w:rPr>
              <w:t>,</w:t>
            </w:r>
            <w:r w:rsidRPr="008E5C2B">
              <w:rPr>
                <w:sz w:val="20"/>
                <w:szCs w:val="20"/>
              </w:rPr>
              <w:t xml:space="preserve">620 </w:t>
            </w:r>
          </w:p>
        </w:tc>
        <w:tc>
          <w:tcPr>
            <w:tcW w:w="627" w:type="pct"/>
            <w:tcBorders>
              <w:top w:val="nil"/>
              <w:left w:val="nil"/>
              <w:bottom w:val="nil"/>
              <w:right w:val="nil"/>
            </w:tcBorders>
            <w:shd w:val="clear" w:color="auto" w:fill="auto"/>
            <w:vAlign w:val="bottom"/>
          </w:tcPr>
          <w:p w14:paraId="4E2CF9CC" w14:textId="4CFA225C" w:rsidR="00121E29" w:rsidRPr="00040051" w:rsidRDefault="00121E29" w:rsidP="00121E29">
            <w:pPr>
              <w:tabs>
                <w:tab w:val="right" w:pos="1202"/>
              </w:tabs>
              <w:spacing w:after="0" w:line="240" w:lineRule="exact"/>
              <w:jc w:val="right"/>
              <w:outlineLvl w:val="0"/>
              <w:rPr>
                <w:rFonts w:ascii="Calibri" w:eastAsia="Times New Roman" w:hAnsi="Calibri" w:cs="Arial"/>
                <w:sz w:val="20"/>
                <w:szCs w:val="20"/>
                <w:lang w:val="en-US"/>
              </w:rPr>
            </w:pPr>
            <w:r w:rsidRPr="008E5C2B">
              <w:rPr>
                <w:sz w:val="20"/>
                <w:szCs w:val="20"/>
              </w:rPr>
              <w:t xml:space="preserve"> 237</w:t>
            </w:r>
            <w:r>
              <w:rPr>
                <w:sz w:val="20"/>
                <w:szCs w:val="20"/>
              </w:rPr>
              <w:t>,</w:t>
            </w:r>
            <w:r w:rsidRPr="008E5C2B">
              <w:rPr>
                <w:sz w:val="20"/>
                <w:szCs w:val="20"/>
              </w:rPr>
              <w:t xml:space="preserve">128 </w:t>
            </w:r>
          </w:p>
        </w:tc>
        <w:tc>
          <w:tcPr>
            <w:tcW w:w="627" w:type="pct"/>
            <w:tcBorders>
              <w:top w:val="nil"/>
              <w:left w:val="nil"/>
              <w:bottom w:val="nil"/>
              <w:right w:val="nil"/>
            </w:tcBorders>
            <w:shd w:val="clear" w:color="auto" w:fill="auto"/>
            <w:vAlign w:val="bottom"/>
          </w:tcPr>
          <w:p w14:paraId="2E77F721" w14:textId="63660EA3" w:rsidR="00121E29" w:rsidRPr="00040051" w:rsidRDefault="00121E29" w:rsidP="00121E29">
            <w:pPr>
              <w:tabs>
                <w:tab w:val="right" w:pos="1202"/>
              </w:tabs>
              <w:spacing w:after="0" w:line="240" w:lineRule="exact"/>
              <w:jc w:val="right"/>
              <w:outlineLvl w:val="0"/>
              <w:rPr>
                <w:rFonts w:ascii="Calibri" w:eastAsia="Times New Roman" w:hAnsi="Calibri" w:cs="Times New Roman"/>
                <w:color w:val="000000"/>
                <w:sz w:val="20"/>
                <w:szCs w:val="20"/>
                <w:lang w:val="en-US"/>
              </w:rPr>
            </w:pPr>
            <w:r w:rsidRPr="008E5C2B">
              <w:rPr>
                <w:sz w:val="20"/>
                <w:szCs w:val="20"/>
              </w:rPr>
              <w:t xml:space="preserve"> 66</w:t>
            </w:r>
            <w:r>
              <w:rPr>
                <w:sz w:val="20"/>
                <w:szCs w:val="20"/>
              </w:rPr>
              <w:t>,</w:t>
            </w:r>
            <w:r w:rsidRPr="008E5C2B">
              <w:rPr>
                <w:sz w:val="20"/>
                <w:szCs w:val="20"/>
              </w:rPr>
              <w:t xml:space="preserve">642 </w:t>
            </w:r>
          </w:p>
        </w:tc>
        <w:tc>
          <w:tcPr>
            <w:tcW w:w="714" w:type="pct"/>
            <w:tcBorders>
              <w:top w:val="nil"/>
              <w:left w:val="nil"/>
              <w:bottom w:val="nil"/>
              <w:right w:val="nil"/>
            </w:tcBorders>
            <w:vAlign w:val="bottom"/>
          </w:tcPr>
          <w:p w14:paraId="4B5075AB" w14:textId="105C764C" w:rsidR="00121E29" w:rsidRPr="00040051" w:rsidRDefault="00121E29" w:rsidP="00121E29">
            <w:pPr>
              <w:tabs>
                <w:tab w:val="right" w:pos="1202"/>
              </w:tabs>
              <w:spacing w:after="0" w:line="240" w:lineRule="exact"/>
              <w:jc w:val="right"/>
              <w:outlineLvl w:val="0"/>
              <w:rPr>
                <w:rFonts w:ascii="Calibri" w:eastAsia="Times New Roman" w:hAnsi="Calibri" w:cs="Arial"/>
                <w:sz w:val="20"/>
                <w:szCs w:val="20"/>
                <w:lang w:val="en-US"/>
              </w:rPr>
            </w:pPr>
            <w:r w:rsidRPr="00233153">
              <w:rPr>
                <w:rFonts w:ascii="Calibri" w:eastAsia="Times New Roman" w:hAnsi="Calibri" w:cs="Calibri"/>
                <w:color w:val="000000"/>
                <w:sz w:val="20"/>
                <w:szCs w:val="20"/>
              </w:rPr>
              <w:t>-</w:t>
            </w:r>
          </w:p>
        </w:tc>
        <w:tc>
          <w:tcPr>
            <w:tcW w:w="631" w:type="pct"/>
            <w:tcBorders>
              <w:top w:val="nil"/>
              <w:left w:val="nil"/>
              <w:bottom w:val="nil"/>
              <w:right w:val="nil"/>
            </w:tcBorders>
            <w:shd w:val="clear" w:color="auto" w:fill="auto"/>
            <w:vAlign w:val="bottom"/>
          </w:tcPr>
          <w:p w14:paraId="68BF024D" w14:textId="569CD6D8" w:rsidR="00121E29" w:rsidRPr="00040051" w:rsidRDefault="00121E29" w:rsidP="00121E29">
            <w:pPr>
              <w:tabs>
                <w:tab w:val="right" w:pos="1202"/>
              </w:tabs>
              <w:spacing w:after="0" w:line="240" w:lineRule="exact"/>
              <w:jc w:val="right"/>
              <w:outlineLvl w:val="0"/>
              <w:rPr>
                <w:rFonts w:ascii="Calibri" w:eastAsia="Times New Roman" w:hAnsi="Calibri" w:cs="Arial"/>
                <w:sz w:val="20"/>
                <w:szCs w:val="20"/>
                <w:lang w:val="en-US"/>
              </w:rPr>
            </w:pPr>
            <w:r w:rsidRPr="008E5C2B">
              <w:rPr>
                <w:b/>
                <w:bCs/>
                <w:sz w:val="20"/>
                <w:szCs w:val="20"/>
              </w:rPr>
              <w:t xml:space="preserve"> 3</w:t>
            </w:r>
            <w:r>
              <w:rPr>
                <w:b/>
                <w:bCs/>
                <w:sz w:val="20"/>
                <w:szCs w:val="20"/>
              </w:rPr>
              <w:t>,</w:t>
            </w:r>
            <w:r w:rsidRPr="008E5C2B">
              <w:rPr>
                <w:b/>
                <w:bCs/>
                <w:sz w:val="20"/>
                <w:szCs w:val="20"/>
              </w:rPr>
              <w:t>609</w:t>
            </w:r>
            <w:r>
              <w:rPr>
                <w:b/>
                <w:bCs/>
                <w:sz w:val="20"/>
                <w:szCs w:val="20"/>
              </w:rPr>
              <w:t>,</w:t>
            </w:r>
            <w:r w:rsidRPr="008E5C2B">
              <w:rPr>
                <w:b/>
                <w:bCs/>
                <w:sz w:val="20"/>
                <w:szCs w:val="20"/>
              </w:rPr>
              <w:t xml:space="preserve">884 </w:t>
            </w:r>
          </w:p>
        </w:tc>
      </w:tr>
      <w:tr w:rsidR="00121E29" w:rsidRPr="00040051" w14:paraId="0F85C1F1" w14:textId="77777777" w:rsidTr="00121E29">
        <w:trPr>
          <w:trHeight w:val="316"/>
        </w:trPr>
        <w:tc>
          <w:tcPr>
            <w:tcW w:w="1147" w:type="pct"/>
            <w:vAlign w:val="bottom"/>
            <w:hideMark/>
          </w:tcPr>
          <w:p w14:paraId="558DBF4E" w14:textId="77777777" w:rsidR="00121E29" w:rsidRPr="00040051" w:rsidRDefault="00121E29" w:rsidP="00121E29">
            <w:pPr>
              <w:tabs>
                <w:tab w:val="right" w:pos="1202"/>
              </w:tabs>
              <w:spacing w:after="0" w:line="240" w:lineRule="exact"/>
              <w:outlineLvl w:val="0"/>
              <w:rPr>
                <w:rFonts w:ascii="Calibri" w:eastAsia="Times New Roman" w:hAnsi="Calibri" w:cs="Arial"/>
                <w:sz w:val="20"/>
                <w:szCs w:val="20"/>
                <w:lang w:val="en-US"/>
              </w:rPr>
            </w:pPr>
            <w:r w:rsidRPr="00040051">
              <w:rPr>
                <w:rFonts w:ascii="Calibri" w:eastAsia="Times New Roman" w:hAnsi="Calibri" w:cs="Arial"/>
                <w:sz w:val="20"/>
                <w:szCs w:val="20"/>
                <w:lang w:val="en-US"/>
              </w:rPr>
              <w:t>Loss allowances</w:t>
            </w:r>
          </w:p>
        </w:tc>
        <w:tc>
          <w:tcPr>
            <w:tcW w:w="627" w:type="pct"/>
            <w:tcBorders>
              <w:top w:val="nil"/>
              <w:left w:val="nil"/>
              <w:bottom w:val="nil"/>
              <w:right w:val="nil"/>
            </w:tcBorders>
            <w:shd w:val="clear" w:color="auto" w:fill="auto"/>
            <w:vAlign w:val="bottom"/>
          </w:tcPr>
          <w:p w14:paraId="39F10647" w14:textId="29987C9A" w:rsidR="00121E29" w:rsidRPr="00040051" w:rsidRDefault="00121E29" w:rsidP="00121E29">
            <w:pPr>
              <w:tabs>
                <w:tab w:val="right" w:pos="1202"/>
              </w:tabs>
              <w:spacing w:after="0" w:line="240" w:lineRule="exact"/>
              <w:jc w:val="right"/>
              <w:outlineLvl w:val="0"/>
              <w:rPr>
                <w:rFonts w:ascii="Calibri" w:eastAsia="Times New Roman" w:hAnsi="Calibri" w:cs="Arial"/>
                <w:sz w:val="20"/>
                <w:szCs w:val="20"/>
                <w:lang w:val="en-US"/>
              </w:rPr>
            </w:pPr>
            <w:r w:rsidRPr="008E5C2B">
              <w:rPr>
                <w:sz w:val="20"/>
                <w:szCs w:val="20"/>
              </w:rPr>
              <w:t xml:space="preserve"> (9</w:t>
            </w:r>
            <w:r>
              <w:rPr>
                <w:sz w:val="20"/>
                <w:szCs w:val="20"/>
              </w:rPr>
              <w:t>,</w:t>
            </w:r>
            <w:r w:rsidRPr="008E5C2B">
              <w:rPr>
                <w:sz w:val="20"/>
                <w:szCs w:val="20"/>
              </w:rPr>
              <w:t>490)</w:t>
            </w:r>
          </w:p>
        </w:tc>
        <w:tc>
          <w:tcPr>
            <w:tcW w:w="627" w:type="pct"/>
            <w:tcBorders>
              <w:top w:val="nil"/>
              <w:left w:val="nil"/>
              <w:bottom w:val="nil"/>
              <w:right w:val="nil"/>
            </w:tcBorders>
            <w:shd w:val="clear" w:color="auto" w:fill="auto"/>
            <w:vAlign w:val="bottom"/>
          </w:tcPr>
          <w:p w14:paraId="6E8AB4B2" w14:textId="0897F4A4" w:rsidR="00121E29" w:rsidRPr="00040051" w:rsidRDefault="00121E29" w:rsidP="00121E29">
            <w:pPr>
              <w:tabs>
                <w:tab w:val="right" w:pos="1202"/>
              </w:tabs>
              <w:spacing w:after="0" w:line="240" w:lineRule="exact"/>
              <w:jc w:val="right"/>
              <w:outlineLvl w:val="0"/>
              <w:rPr>
                <w:rFonts w:ascii="Calibri" w:eastAsia="Times New Roman" w:hAnsi="Calibri" w:cs="Arial"/>
                <w:sz w:val="20"/>
                <w:szCs w:val="20"/>
                <w:lang w:val="en-US"/>
              </w:rPr>
            </w:pPr>
            <w:r w:rsidRPr="008E5C2B">
              <w:rPr>
                <w:sz w:val="20"/>
                <w:szCs w:val="20"/>
              </w:rPr>
              <w:t xml:space="preserve"> (7</w:t>
            </w:r>
            <w:r>
              <w:rPr>
                <w:sz w:val="20"/>
                <w:szCs w:val="20"/>
              </w:rPr>
              <w:t>,</w:t>
            </w:r>
            <w:r w:rsidRPr="008E5C2B">
              <w:rPr>
                <w:sz w:val="20"/>
                <w:szCs w:val="20"/>
              </w:rPr>
              <w:t>622)</w:t>
            </w:r>
          </w:p>
        </w:tc>
        <w:tc>
          <w:tcPr>
            <w:tcW w:w="627" w:type="pct"/>
            <w:tcBorders>
              <w:top w:val="nil"/>
              <w:left w:val="nil"/>
              <w:bottom w:val="nil"/>
              <w:right w:val="nil"/>
            </w:tcBorders>
            <w:shd w:val="clear" w:color="auto" w:fill="auto"/>
            <w:vAlign w:val="bottom"/>
          </w:tcPr>
          <w:p w14:paraId="5A4307E0" w14:textId="7A7C6AEB" w:rsidR="00121E29" w:rsidRPr="00040051" w:rsidRDefault="00121E29" w:rsidP="00121E29">
            <w:pPr>
              <w:tabs>
                <w:tab w:val="right" w:pos="1202"/>
              </w:tabs>
              <w:spacing w:after="0" w:line="240" w:lineRule="exact"/>
              <w:jc w:val="right"/>
              <w:outlineLvl w:val="0"/>
              <w:rPr>
                <w:rFonts w:ascii="Calibri" w:eastAsia="Times New Roman" w:hAnsi="Calibri" w:cs="Arial"/>
                <w:sz w:val="20"/>
                <w:szCs w:val="20"/>
                <w:lang w:val="en-US"/>
              </w:rPr>
            </w:pPr>
            <w:r w:rsidRPr="008E5C2B">
              <w:rPr>
                <w:sz w:val="20"/>
                <w:szCs w:val="20"/>
              </w:rPr>
              <w:t xml:space="preserve"> (57</w:t>
            </w:r>
            <w:r>
              <w:rPr>
                <w:sz w:val="20"/>
                <w:szCs w:val="20"/>
              </w:rPr>
              <w:t>,</w:t>
            </w:r>
            <w:r w:rsidRPr="008E5C2B">
              <w:rPr>
                <w:sz w:val="20"/>
                <w:szCs w:val="20"/>
              </w:rPr>
              <w:t>574)</w:t>
            </w:r>
          </w:p>
        </w:tc>
        <w:tc>
          <w:tcPr>
            <w:tcW w:w="627" w:type="pct"/>
            <w:tcBorders>
              <w:top w:val="nil"/>
              <w:left w:val="nil"/>
              <w:bottom w:val="nil"/>
              <w:right w:val="nil"/>
            </w:tcBorders>
            <w:shd w:val="clear" w:color="auto" w:fill="auto"/>
            <w:vAlign w:val="bottom"/>
          </w:tcPr>
          <w:p w14:paraId="5891F5EA" w14:textId="3F7FF10D" w:rsidR="00121E29" w:rsidRPr="00040051" w:rsidRDefault="00121E29" w:rsidP="00121E29">
            <w:pPr>
              <w:tabs>
                <w:tab w:val="right" w:pos="1202"/>
              </w:tabs>
              <w:spacing w:after="0" w:line="240" w:lineRule="exact"/>
              <w:jc w:val="right"/>
              <w:outlineLvl w:val="0"/>
              <w:rPr>
                <w:rFonts w:ascii="Calibri" w:eastAsia="Times New Roman" w:hAnsi="Calibri" w:cs="Times New Roman"/>
                <w:color w:val="000000"/>
                <w:sz w:val="20"/>
                <w:szCs w:val="20"/>
                <w:lang w:val="en-US"/>
              </w:rPr>
            </w:pPr>
            <w:r w:rsidRPr="008E5C2B">
              <w:rPr>
                <w:sz w:val="20"/>
                <w:szCs w:val="20"/>
              </w:rPr>
              <w:t xml:space="preserve"> (9</w:t>
            </w:r>
            <w:r>
              <w:rPr>
                <w:sz w:val="20"/>
                <w:szCs w:val="20"/>
              </w:rPr>
              <w:t>,</w:t>
            </w:r>
            <w:r w:rsidRPr="008E5C2B">
              <w:rPr>
                <w:sz w:val="20"/>
                <w:szCs w:val="20"/>
              </w:rPr>
              <w:t>661)</w:t>
            </w:r>
          </w:p>
        </w:tc>
        <w:tc>
          <w:tcPr>
            <w:tcW w:w="714" w:type="pct"/>
            <w:tcBorders>
              <w:top w:val="nil"/>
              <w:left w:val="nil"/>
              <w:bottom w:val="nil"/>
              <w:right w:val="nil"/>
            </w:tcBorders>
            <w:vAlign w:val="bottom"/>
          </w:tcPr>
          <w:p w14:paraId="7293EE2B" w14:textId="55142266" w:rsidR="00121E29" w:rsidRPr="00040051" w:rsidRDefault="00121E29" w:rsidP="00121E29">
            <w:pPr>
              <w:tabs>
                <w:tab w:val="right" w:pos="1202"/>
              </w:tabs>
              <w:spacing w:after="0" w:line="240" w:lineRule="exact"/>
              <w:jc w:val="right"/>
              <w:outlineLvl w:val="0"/>
              <w:rPr>
                <w:rFonts w:ascii="Calibri" w:eastAsia="Times New Roman" w:hAnsi="Calibri" w:cs="Arial"/>
                <w:sz w:val="20"/>
                <w:szCs w:val="20"/>
                <w:lang w:val="en-US"/>
              </w:rPr>
            </w:pPr>
            <w:r w:rsidRPr="00233153">
              <w:rPr>
                <w:rFonts w:ascii="Calibri" w:eastAsia="Times New Roman" w:hAnsi="Calibri" w:cs="Calibri"/>
                <w:color w:val="000000"/>
                <w:sz w:val="20"/>
                <w:szCs w:val="20"/>
              </w:rPr>
              <w:t>-</w:t>
            </w:r>
          </w:p>
        </w:tc>
        <w:tc>
          <w:tcPr>
            <w:tcW w:w="631" w:type="pct"/>
            <w:tcBorders>
              <w:top w:val="nil"/>
              <w:left w:val="nil"/>
              <w:bottom w:val="nil"/>
              <w:right w:val="nil"/>
            </w:tcBorders>
            <w:shd w:val="clear" w:color="auto" w:fill="auto"/>
            <w:vAlign w:val="bottom"/>
          </w:tcPr>
          <w:p w14:paraId="3024D17F" w14:textId="3E0F7ECF" w:rsidR="00121E29" w:rsidRPr="00040051" w:rsidRDefault="00121E29" w:rsidP="00121E29">
            <w:pPr>
              <w:tabs>
                <w:tab w:val="right" w:pos="1202"/>
              </w:tabs>
              <w:spacing w:after="0" w:line="240" w:lineRule="exact"/>
              <w:jc w:val="right"/>
              <w:outlineLvl w:val="0"/>
              <w:rPr>
                <w:rFonts w:ascii="Calibri" w:eastAsia="Times New Roman" w:hAnsi="Calibri" w:cs="Arial"/>
                <w:sz w:val="20"/>
                <w:szCs w:val="20"/>
                <w:lang w:val="en-US"/>
              </w:rPr>
            </w:pPr>
            <w:r w:rsidRPr="008E5C2B">
              <w:rPr>
                <w:b/>
                <w:bCs/>
                <w:sz w:val="20"/>
                <w:szCs w:val="20"/>
              </w:rPr>
              <w:t xml:space="preserve"> (84</w:t>
            </w:r>
            <w:r>
              <w:rPr>
                <w:b/>
                <w:bCs/>
                <w:sz w:val="20"/>
                <w:szCs w:val="20"/>
              </w:rPr>
              <w:t>,</w:t>
            </w:r>
            <w:r w:rsidRPr="008E5C2B">
              <w:rPr>
                <w:b/>
                <w:bCs/>
                <w:sz w:val="20"/>
                <w:szCs w:val="20"/>
              </w:rPr>
              <w:t>347)</w:t>
            </w:r>
          </w:p>
        </w:tc>
      </w:tr>
      <w:tr w:rsidR="00121E29" w:rsidRPr="00040051" w14:paraId="0E7B23DD" w14:textId="77777777" w:rsidTr="00121E29">
        <w:trPr>
          <w:trHeight w:val="263"/>
        </w:trPr>
        <w:tc>
          <w:tcPr>
            <w:tcW w:w="1147" w:type="pct"/>
            <w:vAlign w:val="bottom"/>
            <w:hideMark/>
          </w:tcPr>
          <w:p w14:paraId="196DF4FF" w14:textId="77777777" w:rsidR="00121E29" w:rsidRPr="00040051" w:rsidRDefault="00121E29" w:rsidP="00121E29">
            <w:pPr>
              <w:tabs>
                <w:tab w:val="right" w:pos="1202"/>
              </w:tabs>
              <w:spacing w:after="0" w:line="240" w:lineRule="exact"/>
              <w:outlineLvl w:val="0"/>
              <w:rPr>
                <w:rFonts w:ascii="Calibri" w:eastAsia="Times New Roman" w:hAnsi="Calibri" w:cs="Arial"/>
                <w:b/>
                <w:iCs/>
                <w:sz w:val="20"/>
                <w:szCs w:val="20"/>
                <w:lang w:val="en-US"/>
              </w:rPr>
            </w:pPr>
            <w:r w:rsidRPr="00040051">
              <w:rPr>
                <w:rFonts w:ascii="Calibri" w:eastAsia="Times New Roman" w:hAnsi="Calibri" w:cs="Arial"/>
                <w:b/>
                <w:iCs/>
                <w:sz w:val="20"/>
                <w:szCs w:val="20"/>
                <w:lang w:val="en-US"/>
              </w:rPr>
              <w:t xml:space="preserve">Balance as of </w:t>
            </w:r>
          </w:p>
          <w:p w14:paraId="2A5CA830" w14:textId="68BADEBF" w:rsidR="00121E29" w:rsidRPr="00040051" w:rsidRDefault="00121E29" w:rsidP="00121E29">
            <w:pPr>
              <w:tabs>
                <w:tab w:val="right" w:pos="1202"/>
              </w:tabs>
              <w:spacing w:after="0" w:line="240" w:lineRule="exact"/>
              <w:outlineLvl w:val="0"/>
              <w:rPr>
                <w:rFonts w:ascii="Calibri" w:eastAsia="Times New Roman" w:hAnsi="Calibri" w:cs="Arial"/>
                <w:b/>
                <w:sz w:val="20"/>
                <w:szCs w:val="20"/>
                <w:lang w:val="en-US"/>
              </w:rPr>
            </w:pPr>
            <w:r w:rsidRPr="00040051">
              <w:rPr>
                <w:rFonts w:ascii="Calibri" w:eastAsia="Times New Roman" w:hAnsi="Calibri" w:cs="Arial"/>
                <w:b/>
                <w:sz w:val="20"/>
                <w:szCs w:val="20"/>
                <w:lang w:val="en-US"/>
              </w:rPr>
              <w:t>31 March 2022</w:t>
            </w:r>
          </w:p>
        </w:tc>
        <w:tc>
          <w:tcPr>
            <w:tcW w:w="627" w:type="pct"/>
            <w:tcBorders>
              <w:top w:val="single" w:sz="4" w:space="0" w:color="auto"/>
              <w:left w:val="nil"/>
              <w:bottom w:val="single" w:sz="8" w:space="0" w:color="auto"/>
              <w:right w:val="nil"/>
            </w:tcBorders>
            <w:shd w:val="clear" w:color="auto" w:fill="auto"/>
            <w:vAlign w:val="bottom"/>
          </w:tcPr>
          <w:p w14:paraId="3FAD1334" w14:textId="67D41A1A" w:rsidR="00121E29" w:rsidRPr="00040051" w:rsidRDefault="00121E29" w:rsidP="00121E29">
            <w:pPr>
              <w:tabs>
                <w:tab w:val="right" w:pos="1202"/>
              </w:tabs>
              <w:spacing w:after="0" w:line="240" w:lineRule="exact"/>
              <w:jc w:val="right"/>
              <w:outlineLvl w:val="0"/>
              <w:rPr>
                <w:rFonts w:ascii="Calibri" w:eastAsia="Times New Roman" w:hAnsi="Calibri" w:cs="Arial"/>
                <w:sz w:val="20"/>
                <w:szCs w:val="20"/>
                <w:lang w:val="en-US"/>
              </w:rPr>
            </w:pPr>
            <w:r w:rsidRPr="008E5C2B">
              <w:rPr>
                <w:b/>
                <w:bCs/>
                <w:sz w:val="20"/>
                <w:szCs w:val="20"/>
              </w:rPr>
              <w:t xml:space="preserve"> 3</w:t>
            </w:r>
            <w:r>
              <w:rPr>
                <w:b/>
                <w:bCs/>
                <w:sz w:val="20"/>
                <w:szCs w:val="20"/>
              </w:rPr>
              <w:t>,</w:t>
            </w:r>
            <w:r w:rsidRPr="008E5C2B">
              <w:rPr>
                <w:b/>
                <w:bCs/>
                <w:sz w:val="20"/>
                <w:szCs w:val="20"/>
              </w:rPr>
              <w:t>088</w:t>
            </w:r>
            <w:r>
              <w:rPr>
                <w:b/>
                <w:bCs/>
                <w:sz w:val="20"/>
                <w:szCs w:val="20"/>
              </w:rPr>
              <w:t>,</w:t>
            </w:r>
            <w:r w:rsidRPr="008E5C2B">
              <w:rPr>
                <w:b/>
                <w:bCs/>
                <w:sz w:val="20"/>
                <w:szCs w:val="20"/>
              </w:rPr>
              <w:t xml:space="preserve">004 </w:t>
            </w:r>
          </w:p>
        </w:tc>
        <w:tc>
          <w:tcPr>
            <w:tcW w:w="627" w:type="pct"/>
            <w:tcBorders>
              <w:top w:val="single" w:sz="4" w:space="0" w:color="auto"/>
              <w:left w:val="nil"/>
              <w:bottom w:val="single" w:sz="8" w:space="0" w:color="auto"/>
              <w:right w:val="nil"/>
            </w:tcBorders>
            <w:shd w:val="clear" w:color="auto" w:fill="auto"/>
            <w:vAlign w:val="bottom"/>
          </w:tcPr>
          <w:p w14:paraId="6DC67C97" w14:textId="726C2AB8" w:rsidR="00121E29" w:rsidRPr="00040051" w:rsidRDefault="00121E29" w:rsidP="00121E29">
            <w:pPr>
              <w:tabs>
                <w:tab w:val="right" w:pos="1202"/>
              </w:tabs>
              <w:spacing w:after="0" w:line="240" w:lineRule="exact"/>
              <w:jc w:val="right"/>
              <w:outlineLvl w:val="0"/>
              <w:rPr>
                <w:rFonts w:ascii="Calibri" w:eastAsia="Times New Roman" w:hAnsi="Calibri" w:cs="Arial"/>
                <w:sz w:val="20"/>
                <w:szCs w:val="20"/>
                <w:lang w:val="en-US"/>
              </w:rPr>
            </w:pPr>
            <w:r w:rsidRPr="008E5C2B">
              <w:rPr>
                <w:b/>
                <w:bCs/>
                <w:sz w:val="20"/>
                <w:szCs w:val="20"/>
              </w:rPr>
              <w:t xml:space="preserve"> 200</w:t>
            </w:r>
            <w:r>
              <w:rPr>
                <w:b/>
                <w:bCs/>
                <w:sz w:val="20"/>
                <w:szCs w:val="20"/>
              </w:rPr>
              <w:t>,</w:t>
            </w:r>
            <w:r w:rsidRPr="008E5C2B">
              <w:rPr>
                <w:b/>
                <w:bCs/>
                <w:sz w:val="20"/>
                <w:szCs w:val="20"/>
              </w:rPr>
              <w:t xml:space="preserve">998 </w:t>
            </w:r>
          </w:p>
        </w:tc>
        <w:tc>
          <w:tcPr>
            <w:tcW w:w="627" w:type="pct"/>
            <w:tcBorders>
              <w:top w:val="single" w:sz="4" w:space="0" w:color="auto"/>
              <w:left w:val="nil"/>
              <w:bottom w:val="single" w:sz="8" w:space="0" w:color="auto"/>
              <w:right w:val="nil"/>
            </w:tcBorders>
            <w:shd w:val="clear" w:color="auto" w:fill="auto"/>
            <w:vAlign w:val="bottom"/>
          </w:tcPr>
          <w:p w14:paraId="72A6B0BA" w14:textId="04CC9349" w:rsidR="00121E29" w:rsidRPr="00040051" w:rsidRDefault="00121E29" w:rsidP="00121E29">
            <w:pPr>
              <w:tabs>
                <w:tab w:val="right" w:pos="1202"/>
              </w:tabs>
              <w:spacing w:after="0" w:line="240" w:lineRule="exact"/>
              <w:jc w:val="right"/>
              <w:outlineLvl w:val="0"/>
              <w:rPr>
                <w:rFonts w:ascii="Calibri" w:eastAsia="Times New Roman" w:hAnsi="Calibri" w:cs="Arial"/>
                <w:sz w:val="20"/>
                <w:szCs w:val="20"/>
                <w:lang w:val="en-US"/>
              </w:rPr>
            </w:pPr>
            <w:r w:rsidRPr="008E5C2B">
              <w:rPr>
                <w:b/>
                <w:bCs/>
                <w:sz w:val="20"/>
                <w:szCs w:val="20"/>
              </w:rPr>
              <w:t xml:space="preserve"> 179</w:t>
            </w:r>
            <w:r>
              <w:rPr>
                <w:b/>
                <w:bCs/>
                <w:sz w:val="20"/>
                <w:szCs w:val="20"/>
              </w:rPr>
              <w:t>,</w:t>
            </w:r>
            <w:r w:rsidRPr="008E5C2B">
              <w:rPr>
                <w:b/>
                <w:bCs/>
                <w:sz w:val="20"/>
                <w:szCs w:val="20"/>
              </w:rPr>
              <w:t xml:space="preserve">554 </w:t>
            </w:r>
          </w:p>
        </w:tc>
        <w:tc>
          <w:tcPr>
            <w:tcW w:w="627" w:type="pct"/>
            <w:tcBorders>
              <w:top w:val="single" w:sz="4" w:space="0" w:color="auto"/>
              <w:left w:val="nil"/>
              <w:bottom w:val="single" w:sz="8" w:space="0" w:color="auto"/>
              <w:right w:val="nil"/>
            </w:tcBorders>
            <w:shd w:val="clear" w:color="auto" w:fill="auto"/>
            <w:vAlign w:val="bottom"/>
          </w:tcPr>
          <w:p w14:paraId="7FD6C3C8" w14:textId="6EB74F17" w:rsidR="00121E29" w:rsidRPr="00040051" w:rsidRDefault="00121E29" w:rsidP="00121E29">
            <w:pPr>
              <w:tabs>
                <w:tab w:val="right" w:pos="1202"/>
              </w:tabs>
              <w:spacing w:after="0" w:line="240" w:lineRule="exact"/>
              <w:jc w:val="right"/>
              <w:outlineLvl w:val="0"/>
              <w:rPr>
                <w:rFonts w:ascii="Calibri" w:eastAsia="Times New Roman" w:hAnsi="Calibri" w:cs="Times New Roman"/>
                <w:color w:val="000000"/>
                <w:sz w:val="20"/>
                <w:szCs w:val="20"/>
                <w:lang w:val="en-US"/>
              </w:rPr>
            </w:pPr>
            <w:r w:rsidRPr="008E5C2B">
              <w:rPr>
                <w:b/>
                <w:bCs/>
                <w:sz w:val="20"/>
                <w:szCs w:val="20"/>
              </w:rPr>
              <w:t xml:space="preserve"> 56</w:t>
            </w:r>
            <w:r>
              <w:rPr>
                <w:b/>
                <w:bCs/>
                <w:sz w:val="20"/>
                <w:szCs w:val="20"/>
              </w:rPr>
              <w:t>,</w:t>
            </w:r>
            <w:r w:rsidRPr="008E5C2B">
              <w:rPr>
                <w:b/>
                <w:bCs/>
                <w:sz w:val="20"/>
                <w:szCs w:val="20"/>
              </w:rPr>
              <w:t xml:space="preserve">981 </w:t>
            </w:r>
          </w:p>
        </w:tc>
        <w:tc>
          <w:tcPr>
            <w:tcW w:w="714" w:type="pct"/>
            <w:tcBorders>
              <w:top w:val="single" w:sz="4" w:space="0" w:color="auto"/>
              <w:left w:val="nil"/>
              <w:bottom w:val="single" w:sz="8" w:space="0" w:color="auto"/>
              <w:right w:val="nil"/>
            </w:tcBorders>
            <w:vAlign w:val="bottom"/>
          </w:tcPr>
          <w:p w14:paraId="6D21C55E" w14:textId="0CB83132" w:rsidR="00121E29" w:rsidRPr="00040051" w:rsidRDefault="00121E29" w:rsidP="00121E29">
            <w:pPr>
              <w:tabs>
                <w:tab w:val="right" w:pos="1202"/>
              </w:tabs>
              <w:spacing w:after="0" w:line="240" w:lineRule="exact"/>
              <w:jc w:val="right"/>
              <w:outlineLvl w:val="0"/>
              <w:rPr>
                <w:rFonts w:ascii="Calibri" w:eastAsia="Times New Roman" w:hAnsi="Calibri" w:cs="Arial"/>
                <w:sz w:val="20"/>
                <w:szCs w:val="20"/>
                <w:lang w:val="en-US"/>
              </w:rPr>
            </w:pPr>
            <w:r w:rsidRPr="00233153">
              <w:rPr>
                <w:rFonts w:ascii="Calibri" w:eastAsia="Times New Roman" w:hAnsi="Calibri" w:cs="Calibri"/>
                <w:b/>
                <w:bCs/>
                <w:sz w:val="20"/>
                <w:szCs w:val="20"/>
              </w:rPr>
              <w:t>-</w:t>
            </w:r>
          </w:p>
        </w:tc>
        <w:tc>
          <w:tcPr>
            <w:tcW w:w="631" w:type="pct"/>
            <w:tcBorders>
              <w:top w:val="single" w:sz="4" w:space="0" w:color="auto"/>
              <w:left w:val="nil"/>
              <w:bottom w:val="single" w:sz="8" w:space="0" w:color="auto"/>
              <w:right w:val="nil"/>
            </w:tcBorders>
            <w:shd w:val="clear" w:color="auto" w:fill="auto"/>
            <w:vAlign w:val="bottom"/>
          </w:tcPr>
          <w:p w14:paraId="439D8EC6" w14:textId="1CA2BB8B" w:rsidR="00121E29" w:rsidRPr="00040051" w:rsidRDefault="00121E29" w:rsidP="00121E29">
            <w:pPr>
              <w:tabs>
                <w:tab w:val="right" w:pos="1202"/>
              </w:tabs>
              <w:spacing w:after="0" w:line="240" w:lineRule="exact"/>
              <w:jc w:val="right"/>
              <w:outlineLvl w:val="0"/>
              <w:rPr>
                <w:rFonts w:ascii="Calibri" w:eastAsia="Times New Roman" w:hAnsi="Calibri" w:cs="Arial"/>
                <w:sz w:val="20"/>
                <w:szCs w:val="20"/>
                <w:lang w:val="en-US"/>
              </w:rPr>
            </w:pPr>
            <w:r w:rsidRPr="008E5C2B">
              <w:rPr>
                <w:b/>
                <w:bCs/>
                <w:sz w:val="20"/>
                <w:szCs w:val="20"/>
              </w:rPr>
              <w:t xml:space="preserve"> 3</w:t>
            </w:r>
            <w:r>
              <w:rPr>
                <w:b/>
                <w:bCs/>
                <w:sz w:val="20"/>
                <w:szCs w:val="20"/>
              </w:rPr>
              <w:t>,</w:t>
            </w:r>
            <w:r w:rsidRPr="008E5C2B">
              <w:rPr>
                <w:b/>
                <w:bCs/>
                <w:sz w:val="20"/>
                <w:szCs w:val="20"/>
              </w:rPr>
              <w:t>525</w:t>
            </w:r>
            <w:r>
              <w:rPr>
                <w:b/>
                <w:bCs/>
                <w:sz w:val="20"/>
                <w:szCs w:val="20"/>
              </w:rPr>
              <w:t>,</w:t>
            </w:r>
            <w:r w:rsidRPr="008E5C2B">
              <w:rPr>
                <w:b/>
                <w:bCs/>
                <w:sz w:val="20"/>
                <w:szCs w:val="20"/>
              </w:rPr>
              <w:t xml:space="preserve">537 </w:t>
            </w:r>
          </w:p>
        </w:tc>
      </w:tr>
    </w:tbl>
    <w:p w14:paraId="251B9846" w14:textId="77777777" w:rsidR="00204422" w:rsidRPr="00537128" w:rsidRDefault="00204422" w:rsidP="00204422">
      <w:pPr>
        <w:spacing w:after="0" w:line="240" w:lineRule="auto"/>
        <w:rPr>
          <w:rFonts w:ascii="Calibri" w:eastAsia="Calibri" w:hAnsi="Calibri" w:cs="Times New Roman"/>
          <w:noProof/>
          <w:sz w:val="18"/>
          <w:szCs w:val="18"/>
          <w:lang w:val="en-US"/>
        </w:rPr>
      </w:pPr>
    </w:p>
    <w:tbl>
      <w:tblPr>
        <w:tblW w:w="4850" w:type="pct"/>
        <w:tblLook w:val="04A0" w:firstRow="1" w:lastRow="0" w:firstColumn="1" w:lastColumn="0" w:noHBand="0" w:noVBand="1"/>
      </w:tblPr>
      <w:tblGrid>
        <w:gridCol w:w="2014"/>
        <w:gridCol w:w="1111"/>
        <w:gridCol w:w="1102"/>
        <w:gridCol w:w="1102"/>
        <w:gridCol w:w="1102"/>
        <w:gridCol w:w="1255"/>
        <w:gridCol w:w="1114"/>
      </w:tblGrid>
      <w:tr w:rsidR="00204422" w:rsidRPr="00040051" w14:paraId="4AF593A0" w14:textId="77777777" w:rsidTr="002275B0">
        <w:trPr>
          <w:trHeight w:val="306"/>
        </w:trPr>
        <w:tc>
          <w:tcPr>
            <w:tcW w:w="1144" w:type="pct"/>
            <w:vAlign w:val="bottom"/>
            <w:hideMark/>
          </w:tcPr>
          <w:p w14:paraId="3B27D5EC" w14:textId="12C65560" w:rsidR="00204422" w:rsidRPr="00040051" w:rsidRDefault="00204422" w:rsidP="000473FF">
            <w:pPr>
              <w:tabs>
                <w:tab w:val="left" w:pos="-720"/>
              </w:tabs>
              <w:suppressAutoHyphens/>
              <w:spacing w:after="0" w:line="220" w:lineRule="exact"/>
              <w:rPr>
                <w:rFonts w:ascii="Calibri" w:eastAsia="Times New Roman" w:hAnsi="Calibri" w:cs="Arial"/>
                <w:b/>
                <w:sz w:val="20"/>
                <w:szCs w:val="20"/>
                <w:lang w:val="en-US"/>
              </w:rPr>
            </w:pPr>
            <w:r w:rsidRPr="00040051">
              <w:rPr>
                <w:rFonts w:ascii="Calibri" w:eastAsia="Times New Roman" w:hAnsi="Calibri" w:cs="Arial"/>
                <w:b/>
                <w:sz w:val="20"/>
                <w:szCs w:val="20"/>
                <w:lang w:val="en-US"/>
              </w:rPr>
              <w:t>31 December 202</w:t>
            </w:r>
            <w:r w:rsidR="0044327F" w:rsidRPr="00040051">
              <w:rPr>
                <w:rFonts w:ascii="Calibri" w:eastAsia="Times New Roman" w:hAnsi="Calibri" w:cs="Arial"/>
                <w:b/>
                <w:sz w:val="20"/>
                <w:szCs w:val="20"/>
                <w:lang w:val="en-US"/>
              </w:rPr>
              <w:t>1</w:t>
            </w:r>
          </w:p>
        </w:tc>
        <w:tc>
          <w:tcPr>
            <w:tcW w:w="631" w:type="pct"/>
          </w:tcPr>
          <w:p w14:paraId="0246A1F2" w14:textId="77777777" w:rsidR="00204422" w:rsidRPr="00040051" w:rsidRDefault="00204422" w:rsidP="000473FF">
            <w:pPr>
              <w:tabs>
                <w:tab w:val="right" w:pos="1202"/>
              </w:tabs>
              <w:spacing w:after="0" w:line="220" w:lineRule="exact"/>
              <w:jc w:val="right"/>
              <w:outlineLvl w:val="0"/>
              <w:rPr>
                <w:rFonts w:ascii="Calibri" w:eastAsia="Times New Roman" w:hAnsi="Calibri" w:cs="Arial"/>
                <w:b/>
                <w:sz w:val="20"/>
                <w:szCs w:val="20"/>
                <w:lang w:val="en-US"/>
              </w:rPr>
            </w:pPr>
          </w:p>
        </w:tc>
        <w:tc>
          <w:tcPr>
            <w:tcW w:w="3224" w:type="pct"/>
            <w:gridSpan w:val="5"/>
            <w:hideMark/>
          </w:tcPr>
          <w:p w14:paraId="6ABF60E8" w14:textId="77777777" w:rsidR="00204422" w:rsidRPr="00040051" w:rsidRDefault="00204422" w:rsidP="000473FF">
            <w:pPr>
              <w:tabs>
                <w:tab w:val="right" w:pos="1202"/>
              </w:tabs>
              <w:spacing w:after="0" w:line="220" w:lineRule="exact"/>
              <w:jc w:val="right"/>
              <w:outlineLvl w:val="0"/>
              <w:rPr>
                <w:rFonts w:ascii="Calibri" w:eastAsia="Times New Roman" w:hAnsi="Calibri" w:cs="Arial"/>
                <w:b/>
                <w:sz w:val="20"/>
                <w:szCs w:val="20"/>
                <w:lang w:val="en-US"/>
              </w:rPr>
            </w:pPr>
            <w:r w:rsidRPr="00040051">
              <w:rPr>
                <w:rFonts w:ascii="Calibri" w:eastAsia="Times New Roman" w:hAnsi="Calibri" w:cs="Arial"/>
                <w:b/>
                <w:sz w:val="20"/>
                <w:szCs w:val="20"/>
                <w:lang w:val="en-US"/>
              </w:rPr>
              <w:t>Group and Bank</w:t>
            </w:r>
          </w:p>
        </w:tc>
      </w:tr>
      <w:tr w:rsidR="00204422" w:rsidRPr="00040051" w14:paraId="25DE8D92" w14:textId="77777777" w:rsidTr="002275B0">
        <w:trPr>
          <w:trHeight w:val="236"/>
        </w:trPr>
        <w:tc>
          <w:tcPr>
            <w:tcW w:w="1144" w:type="pct"/>
            <w:vAlign w:val="bottom"/>
          </w:tcPr>
          <w:p w14:paraId="4A2D4ED2" w14:textId="77777777" w:rsidR="00204422" w:rsidRPr="00040051" w:rsidRDefault="00204422" w:rsidP="000473FF">
            <w:pPr>
              <w:tabs>
                <w:tab w:val="left" w:pos="-720"/>
              </w:tabs>
              <w:suppressAutoHyphens/>
              <w:spacing w:after="0" w:line="220" w:lineRule="exact"/>
              <w:rPr>
                <w:rFonts w:ascii="Calibri" w:eastAsia="Times New Roman" w:hAnsi="Calibri" w:cs="Arial"/>
                <w:sz w:val="20"/>
                <w:szCs w:val="20"/>
                <w:lang w:val="en-US"/>
              </w:rPr>
            </w:pPr>
          </w:p>
        </w:tc>
        <w:tc>
          <w:tcPr>
            <w:tcW w:w="631" w:type="pct"/>
            <w:vAlign w:val="bottom"/>
            <w:hideMark/>
          </w:tcPr>
          <w:p w14:paraId="4735A521" w14:textId="77777777" w:rsidR="00204422" w:rsidRPr="00040051" w:rsidRDefault="00204422" w:rsidP="000473FF">
            <w:pPr>
              <w:tabs>
                <w:tab w:val="right" w:pos="1202"/>
              </w:tabs>
              <w:spacing w:after="0" w:line="220" w:lineRule="exact"/>
              <w:jc w:val="right"/>
              <w:outlineLvl w:val="0"/>
              <w:rPr>
                <w:rFonts w:ascii="Calibri" w:eastAsia="Times New Roman" w:hAnsi="Calibri" w:cs="Arial"/>
                <w:b/>
                <w:sz w:val="20"/>
                <w:szCs w:val="20"/>
                <w:lang w:val="en-US"/>
              </w:rPr>
            </w:pPr>
            <w:r w:rsidRPr="00040051">
              <w:rPr>
                <w:rFonts w:ascii="Calibri" w:eastAsia="Times New Roman" w:hAnsi="Calibri" w:cs="Arial"/>
                <w:b/>
                <w:sz w:val="20"/>
                <w:szCs w:val="20"/>
                <w:lang w:val="en-US"/>
              </w:rPr>
              <w:t>Stage 1</w:t>
            </w:r>
          </w:p>
        </w:tc>
        <w:tc>
          <w:tcPr>
            <w:tcW w:w="626" w:type="pct"/>
            <w:vAlign w:val="bottom"/>
            <w:hideMark/>
          </w:tcPr>
          <w:p w14:paraId="700CD0D5" w14:textId="77777777" w:rsidR="00204422" w:rsidRPr="00040051" w:rsidRDefault="00204422" w:rsidP="000473FF">
            <w:pPr>
              <w:tabs>
                <w:tab w:val="right" w:pos="1202"/>
              </w:tabs>
              <w:spacing w:after="0" w:line="220" w:lineRule="exact"/>
              <w:jc w:val="right"/>
              <w:outlineLvl w:val="0"/>
              <w:rPr>
                <w:rFonts w:ascii="Calibri" w:eastAsia="Times New Roman" w:hAnsi="Calibri" w:cs="Arial"/>
                <w:b/>
                <w:sz w:val="20"/>
                <w:szCs w:val="20"/>
                <w:lang w:val="en-US"/>
              </w:rPr>
            </w:pPr>
            <w:r w:rsidRPr="00040051">
              <w:rPr>
                <w:rFonts w:ascii="Calibri" w:eastAsia="Times New Roman" w:hAnsi="Calibri" w:cs="Arial"/>
                <w:b/>
                <w:sz w:val="20"/>
                <w:szCs w:val="20"/>
                <w:lang w:val="en-US"/>
              </w:rPr>
              <w:t>Stage 2</w:t>
            </w:r>
          </w:p>
        </w:tc>
        <w:tc>
          <w:tcPr>
            <w:tcW w:w="626" w:type="pct"/>
            <w:vAlign w:val="bottom"/>
            <w:hideMark/>
          </w:tcPr>
          <w:p w14:paraId="36B46029" w14:textId="77777777" w:rsidR="00204422" w:rsidRPr="00040051" w:rsidRDefault="00204422" w:rsidP="000473FF">
            <w:pPr>
              <w:tabs>
                <w:tab w:val="right" w:pos="1202"/>
              </w:tabs>
              <w:spacing w:after="0" w:line="220" w:lineRule="exact"/>
              <w:jc w:val="right"/>
              <w:outlineLvl w:val="0"/>
              <w:rPr>
                <w:rFonts w:ascii="Calibri" w:eastAsia="Times New Roman" w:hAnsi="Calibri" w:cs="Arial"/>
                <w:b/>
                <w:sz w:val="20"/>
                <w:szCs w:val="20"/>
                <w:lang w:val="en-US"/>
              </w:rPr>
            </w:pPr>
            <w:r w:rsidRPr="00040051">
              <w:rPr>
                <w:rFonts w:ascii="Calibri" w:eastAsia="Times New Roman" w:hAnsi="Calibri" w:cs="Arial"/>
                <w:b/>
                <w:sz w:val="20"/>
                <w:szCs w:val="20"/>
                <w:lang w:val="en-US"/>
              </w:rPr>
              <w:t>Stage 3</w:t>
            </w:r>
          </w:p>
        </w:tc>
        <w:tc>
          <w:tcPr>
            <w:tcW w:w="626" w:type="pct"/>
            <w:vAlign w:val="bottom"/>
            <w:hideMark/>
          </w:tcPr>
          <w:p w14:paraId="40D9C436" w14:textId="77777777" w:rsidR="00204422" w:rsidRPr="00040051" w:rsidRDefault="00204422" w:rsidP="000473FF">
            <w:pPr>
              <w:tabs>
                <w:tab w:val="right" w:pos="1202"/>
              </w:tabs>
              <w:spacing w:after="0" w:line="220" w:lineRule="exact"/>
              <w:jc w:val="right"/>
              <w:outlineLvl w:val="0"/>
              <w:rPr>
                <w:rFonts w:ascii="Calibri" w:eastAsia="Times New Roman" w:hAnsi="Calibri" w:cs="Arial"/>
                <w:b/>
                <w:sz w:val="20"/>
                <w:szCs w:val="20"/>
                <w:lang w:val="en-US"/>
              </w:rPr>
            </w:pPr>
            <w:r w:rsidRPr="00040051">
              <w:rPr>
                <w:rFonts w:ascii="Calibri" w:eastAsia="Times New Roman" w:hAnsi="Calibri" w:cs="Arial"/>
                <w:b/>
                <w:sz w:val="20"/>
                <w:szCs w:val="20"/>
                <w:lang w:val="en-US"/>
              </w:rPr>
              <w:t>POCI</w:t>
            </w:r>
          </w:p>
        </w:tc>
        <w:tc>
          <w:tcPr>
            <w:tcW w:w="713" w:type="pct"/>
            <w:hideMark/>
          </w:tcPr>
          <w:p w14:paraId="7D4911BF" w14:textId="77777777" w:rsidR="00204422" w:rsidRPr="00040051" w:rsidRDefault="00204422" w:rsidP="000473FF">
            <w:pPr>
              <w:tabs>
                <w:tab w:val="right" w:pos="1202"/>
              </w:tabs>
              <w:spacing w:after="0" w:line="220" w:lineRule="exact"/>
              <w:jc w:val="right"/>
              <w:outlineLvl w:val="0"/>
              <w:rPr>
                <w:rFonts w:ascii="Calibri" w:eastAsia="Times New Roman" w:hAnsi="Calibri" w:cs="Arial"/>
                <w:b/>
                <w:sz w:val="20"/>
                <w:szCs w:val="20"/>
                <w:lang w:val="en-US"/>
              </w:rPr>
            </w:pPr>
            <w:r w:rsidRPr="00040051">
              <w:rPr>
                <w:rFonts w:ascii="Calibri" w:eastAsia="Times New Roman" w:hAnsi="Calibri" w:cs="Arial"/>
                <w:b/>
                <w:sz w:val="20"/>
                <w:szCs w:val="20"/>
                <w:lang w:val="en-US"/>
              </w:rPr>
              <w:t>Without stage</w:t>
            </w:r>
          </w:p>
        </w:tc>
        <w:tc>
          <w:tcPr>
            <w:tcW w:w="633" w:type="pct"/>
            <w:vAlign w:val="bottom"/>
            <w:hideMark/>
          </w:tcPr>
          <w:p w14:paraId="773ACD2F" w14:textId="77777777" w:rsidR="00204422" w:rsidRPr="00040051" w:rsidRDefault="00204422" w:rsidP="000473FF">
            <w:pPr>
              <w:tabs>
                <w:tab w:val="right" w:pos="1202"/>
              </w:tabs>
              <w:spacing w:after="0" w:line="220" w:lineRule="exact"/>
              <w:jc w:val="right"/>
              <w:outlineLvl w:val="0"/>
              <w:rPr>
                <w:rFonts w:ascii="Calibri" w:eastAsia="Times New Roman" w:hAnsi="Calibri" w:cs="Arial"/>
                <w:b/>
                <w:sz w:val="20"/>
                <w:szCs w:val="20"/>
                <w:lang w:val="en-US"/>
              </w:rPr>
            </w:pPr>
            <w:r w:rsidRPr="00040051">
              <w:rPr>
                <w:rFonts w:ascii="Calibri" w:eastAsia="Times New Roman" w:hAnsi="Calibri" w:cs="Arial"/>
                <w:b/>
                <w:sz w:val="20"/>
                <w:szCs w:val="20"/>
                <w:lang w:val="en-US"/>
              </w:rPr>
              <w:t>Total</w:t>
            </w:r>
          </w:p>
        </w:tc>
      </w:tr>
      <w:tr w:rsidR="002275B0" w:rsidRPr="00040051" w14:paraId="2C55D8EF" w14:textId="77777777" w:rsidTr="002275B0">
        <w:trPr>
          <w:trHeight w:val="236"/>
        </w:trPr>
        <w:tc>
          <w:tcPr>
            <w:tcW w:w="1144" w:type="pct"/>
            <w:vAlign w:val="bottom"/>
          </w:tcPr>
          <w:p w14:paraId="65E9D980" w14:textId="77777777" w:rsidR="002275B0" w:rsidRPr="00040051" w:rsidRDefault="002275B0" w:rsidP="002275B0">
            <w:pPr>
              <w:tabs>
                <w:tab w:val="left" w:pos="-720"/>
              </w:tabs>
              <w:suppressAutoHyphens/>
              <w:spacing w:after="0" w:line="220" w:lineRule="exact"/>
              <w:rPr>
                <w:rFonts w:ascii="Calibri" w:eastAsia="Times New Roman" w:hAnsi="Calibri" w:cs="Arial"/>
                <w:sz w:val="20"/>
                <w:szCs w:val="20"/>
                <w:lang w:val="en-US"/>
              </w:rPr>
            </w:pPr>
          </w:p>
        </w:tc>
        <w:tc>
          <w:tcPr>
            <w:tcW w:w="631" w:type="pct"/>
            <w:vAlign w:val="bottom"/>
            <w:hideMark/>
          </w:tcPr>
          <w:p w14:paraId="5749FDEF" w14:textId="45701CE3" w:rsidR="002275B0" w:rsidRPr="00040051" w:rsidRDefault="002275B0" w:rsidP="002275B0">
            <w:pPr>
              <w:tabs>
                <w:tab w:val="right" w:pos="1202"/>
              </w:tabs>
              <w:spacing w:after="0" w:line="220" w:lineRule="exact"/>
              <w:jc w:val="right"/>
              <w:outlineLvl w:val="0"/>
              <w:rPr>
                <w:rFonts w:ascii="Calibri" w:eastAsia="Times New Roman" w:hAnsi="Calibri" w:cs="Arial"/>
                <w:b/>
                <w:sz w:val="20"/>
                <w:szCs w:val="20"/>
                <w:lang w:val="en-US"/>
              </w:rPr>
            </w:pPr>
            <w:r w:rsidRPr="00040051">
              <w:rPr>
                <w:rFonts w:ascii="Calibri" w:eastAsia="Times New Roman" w:hAnsi="Calibri" w:cs="Arial"/>
                <w:b/>
                <w:sz w:val="20"/>
                <w:szCs w:val="20"/>
                <w:lang w:val="en-US"/>
              </w:rPr>
              <w:t xml:space="preserve">HRK </w:t>
            </w:r>
            <w:r>
              <w:rPr>
                <w:rFonts w:ascii="Calibri" w:eastAsia="Times New Roman" w:hAnsi="Calibri" w:cs="Arial"/>
                <w:b/>
                <w:sz w:val="20"/>
                <w:szCs w:val="20"/>
                <w:lang w:val="en-US"/>
              </w:rPr>
              <w:t>‘</w:t>
            </w:r>
            <w:r w:rsidRPr="00040051">
              <w:rPr>
                <w:rFonts w:ascii="Calibri" w:eastAsia="Times New Roman" w:hAnsi="Calibri" w:cs="Arial"/>
                <w:b/>
                <w:sz w:val="20"/>
                <w:szCs w:val="20"/>
                <w:lang w:val="en-US"/>
              </w:rPr>
              <w:t>000</w:t>
            </w:r>
          </w:p>
        </w:tc>
        <w:tc>
          <w:tcPr>
            <w:tcW w:w="626" w:type="pct"/>
            <w:vAlign w:val="bottom"/>
            <w:hideMark/>
          </w:tcPr>
          <w:p w14:paraId="4C9F8C05" w14:textId="1EF8B62C" w:rsidR="002275B0" w:rsidRPr="00040051" w:rsidRDefault="002275B0" w:rsidP="002275B0">
            <w:pPr>
              <w:tabs>
                <w:tab w:val="right" w:pos="1202"/>
              </w:tabs>
              <w:spacing w:after="0" w:line="220" w:lineRule="exact"/>
              <w:jc w:val="right"/>
              <w:outlineLvl w:val="0"/>
              <w:rPr>
                <w:rFonts w:ascii="Calibri" w:eastAsia="Times New Roman" w:hAnsi="Calibri" w:cs="Arial"/>
                <w:b/>
                <w:sz w:val="20"/>
                <w:szCs w:val="20"/>
                <w:lang w:val="en-US"/>
              </w:rPr>
            </w:pPr>
            <w:r w:rsidRPr="00040051">
              <w:rPr>
                <w:rFonts w:ascii="Calibri" w:eastAsia="Times New Roman" w:hAnsi="Calibri" w:cs="Arial"/>
                <w:b/>
                <w:sz w:val="20"/>
                <w:szCs w:val="20"/>
                <w:lang w:val="en-US"/>
              </w:rPr>
              <w:t xml:space="preserve">HRK </w:t>
            </w:r>
            <w:r>
              <w:rPr>
                <w:rFonts w:ascii="Calibri" w:eastAsia="Times New Roman" w:hAnsi="Calibri" w:cs="Arial"/>
                <w:b/>
                <w:sz w:val="20"/>
                <w:szCs w:val="20"/>
                <w:lang w:val="en-US"/>
              </w:rPr>
              <w:t>‘</w:t>
            </w:r>
            <w:r w:rsidRPr="00040051">
              <w:rPr>
                <w:rFonts w:ascii="Calibri" w:eastAsia="Times New Roman" w:hAnsi="Calibri" w:cs="Arial"/>
                <w:b/>
                <w:sz w:val="20"/>
                <w:szCs w:val="20"/>
                <w:lang w:val="en-US"/>
              </w:rPr>
              <w:t>000</w:t>
            </w:r>
          </w:p>
        </w:tc>
        <w:tc>
          <w:tcPr>
            <w:tcW w:w="626" w:type="pct"/>
            <w:vAlign w:val="bottom"/>
            <w:hideMark/>
          </w:tcPr>
          <w:p w14:paraId="1FCB7FA0" w14:textId="0AC1C4B2" w:rsidR="002275B0" w:rsidRPr="00040051" w:rsidRDefault="002275B0" w:rsidP="002275B0">
            <w:pPr>
              <w:tabs>
                <w:tab w:val="right" w:pos="1202"/>
              </w:tabs>
              <w:spacing w:after="0" w:line="220" w:lineRule="exact"/>
              <w:jc w:val="right"/>
              <w:outlineLvl w:val="0"/>
              <w:rPr>
                <w:rFonts w:ascii="Calibri" w:eastAsia="Times New Roman" w:hAnsi="Calibri" w:cs="Arial"/>
                <w:b/>
                <w:sz w:val="20"/>
                <w:szCs w:val="20"/>
                <w:lang w:val="en-US"/>
              </w:rPr>
            </w:pPr>
            <w:r w:rsidRPr="00040051">
              <w:rPr>
                <w:rFonts w:ascii="Calibri" w:eastAsia="Times New Roman" w:hAnsi="Calibri" w:cs="Arial"/>
                <w:b/>
                <w:sz w:val="20"/>
                <w:szCs w:val="20"/>
                <w:lang w:val="en-US"/>
              </w:rPr>
              <w:t xml:space="preserve">HRK </w:t>
            </w:r>
            <w:r>
              <w:rPr>
                <w:rFonts w:ascii="Calibri" w:eastAsia="Times New Roman" w:hAnsi="Calibri" w:cs="Arial"/>
                <w:b/>
                <w:sz w:val="20"/>
                <w:szCs w:val="20"/>
                <w:lang w:val="en-US"/>
              </w:rPr>
              <w:t>‘</w:t>
            </w:r>
            <w:r w:rsidRPr="00040051">
              <w:rPr>
                <w:rFonts w:ascii="Calibri" w:eastAsia="Times New Roman" w:hAnsi="Calibri" w:cs="Arial"/>
                <w:b/>
                <w:sz w:val="20"/>
                <w:szCs w:val="20"/>
                <w:lang w:val="en-US"/>
              </w:rPr>
              <w:t>000</w:t>
            </w:r>
          </w:p>
        </w:tc>
        <w:tc>
          <w:tcPr>
            <w:tcW w:w="626" w:type="pct"/>
            <w:vAlign w:val="center"/>
            <w:hideMark/>
          </w:tcPr>
          <w:p w14:paraId="5CEBCE80" w14:textId="0AC20E69" w:rsidR="002275B0" w:rsidRPr="00040051" w:rsidRDefault="002275B0" w:rsidP="002275B0">
            <w:pPr>
              <w:tabs>
                <w:tab w:val="right" w:pos="1202"/>
              </w:tabs>
              <w:spacing w:after="0" w:line="220" w:lineRule="exact"/>
              <w:jc w:val="right"/>
              <w:outlineLvl w:val="0"/>
              <w:rPr>
                <w:rFonts w:ascii="Calibri" w:eastAsia="Times New Roman" w:hAnsi="Calibri" w:cs="Arial"/>
                <w:b/>
                <w:sz w:val="20"/>
                <w:szCs w:val="20"/>
                <w:lang w:val="en-US"/>
              </w:rPr>
            </w:pPr>
            <w:r w:rsidRPr="00040051">
              <w:rPr>
                <w:rFonts w:ascii="Calibri" w:eastAsia="Times New Roman" w:hAnsi="Calibri" w:cs="Arial"/>
                <w:b/>
                <w:sz w:val="20"/>
                <w:szCs w:val="20"/>
                <w:lang w:val="en-US"/>
              </w:rPr>
              <w:t xml:space="preserve">HRK </w:t>
            </w:r>
            <w:r>
              <w:rPr>
                <w:rFonts w:ascii="Calibri" w:eastAsia="Times New Roman" w:hAnsi="Calibri" w:cs="Arial"/>
                <w:b/>
                <w:sz w:val="20"/>
                <w:szCs w:val="20"/>
                <w:lang w:val="en-US"/>
              </w:rPr>
              <w:t>‘</w:t>
            </w:r>
            <w:r w:rsidRPr="00040051">
              <w:rPr>
                <w:rFonts w:ascii="Calibri" w:eastAsia="Times New Roman" w:hAnsi="Calibri" w:cs="Arial"/>
                <w:b/>
                <w:sz w:val="20"/>
                <w:szCs w:val="20"/>
                <w:lang w:val="en-US"/>
              </w:rPr>
              <w:t>000</w:t>
            </w:r>
          </w:p>
        </w:tc>
        <w:tc>
          <w:tcPr>
            <w:tcW w:w="713" w:type="pct"/>
            <w:hideMark/>
          </w:tcPr>
          <w:p w14:paraId="5D5DF93D" w14:textId="5777A17B" w:rsidR="002275B0" w:rsidRPr="00040051" w:rsidRDefault="002275B0" w:rsidP="002275B0">
            <w:pPr>
              <w:tabs>
                <w:tab w:val="right" w:pos="1202"/>
              </w:tabs>
              <w:spacing w:after="0" w:line="220" w:lineRule="exact"/>
              <w:jc w:val="right"/>
              <w:outlineLvl w:val="0"/>
              <w:rPr>
                <w:rFonts w:ascii="Calibri" w:eastAsia="Times New Roman" w:hAnsi="Calibri" w:cs="Arial"/>
                <w:b/>
                <w:sz w:val="20"/>
                <w:szCs w:val="20"/>
                <w:lang w:val="en-US"/>
              </w:rPr>
            </w:pPr>
            <w:r w:rsidRPr="00040051">
              <w:rPr>
                <w:rFonts w:ascii="Calibri" w:eastAsia="Times New Roman" w:hAnsi="Calibri" w:cs="Arial"/>
                <w:b/>
                <w:sz w:val="20"/>
                <w:szCs w:val="20"/>
                <w:lang w:val="en-US"/>
              </w:rPr>
              <w:t xml:space="preserve">HRK </w:t>
            </w:r>
            <w:r>
              <w:rPr>
                <w:rFonts w:ascii="Calibri" w:eastAsia="Times New Roman" w:hAnsi="Calibri" w:cs="Arial"/>
                <w:b/>
                <w:sz w:val="20"/>
                <w:szCs w:val="20"/>
                <w:lang w:val="en-US"/>
              </w:rPr>
              <w:t>‘</w:t>
            </w:r>
            <w:r w:rsidRPr="00040051">
              <w:rPr>
                <w:rFonts w:ascii="Calibri" w:eastAsia="Times New Roman" w:hAnsi="Calibri" w:cs="Arial"/>
                <w:b/>
                <w:sz w:val="20"/>
                <w:szCs w:val="20"/>
                <w:lang w:val="en-US"/>
              </w:rPr>
              <w:t>000</w:t>
            </w:r>
          </w:p>
        </w:tc>
        <w:tc>
          <w:tcPr>
            <w:tcW w:w="633" w:type="pct"/>
            <w:vAlign w:val="bottom"/>
            <w:hideMark/>
          </w:tcPr>
          <w:p w14:paraId="792F72D9" w14:textId="3B56D08E" w:rsidR="002275B0" w:rsidRPr="00040051" w:rsidRDefault="002275B0" w:rsidP="002275B0">
            <w:pPr>
              <w:tabs>
                <w:tab w:val="right" w:pos="1202"/>
              </w:tabs>
              <w:spacing w:after="0" w:line="220" w:lineRule="exact"/>
              <w:jc w:val="right"/>
              <w:outlineLvl w:val="0"/>
              <w:rPr>
                <w:rFonts w:ascii="Calibri" w:eastAsia="Times New Roman" w:hAnsi="Calibri" w:cs="Arial"/>
                <w:b/>
                <w:sz w:val="20"/>
                <w:szCs w:val="20"/>
                <w:lang w:val="en-US"/>
              </w:rPr>
            </w:pPr>
            <w:r w:rsidRPr="00040051">
              <w:rPr>
                <w:rFonts w:ascii="Calibri" w:eastAsia="Times New Roman" w:hAnsi="Calibri" w:cs="Arial"/>
                <w:b/>
                <w:sz w:val="20"/>
                <w:szCs w:val="20"/>
                <w:lang w:val="en-US"/>
              </w:rPr>
              <w:t xml:space="preserve">HRK </w:t>
            </w:r>
            <w:r>
              <w:rPr>
                <w:rFonts w:ascii="Calibri" w:eastAsia="Times New Roman" w:hAnsi="Calibri" w:cs="Arial"/>
                <w:b/>
                <w:sz w:val="20"/>
                <w:szCs w:val="20"/>
                <w:lang w:val="en-US"/>
              </w:rPr>
              <w:t>‘</w:t>
            </w:r>
            <w:r w:rsidRPr="00040051">
              <w:rPr>
                <w:rFonts w:ascii="Calibri" w:eastAsia="Times New Roman" w:hAnsi="Calibri" w:cs="Arial"/>
                <w:b/>
                <w:sz w:val="20"/>
                <w:szCs w:val="20"/>
                <w:lang w:val="en-US"/>
              </w:rPr>
              <w:t>000</w:t>
            </w:r>
          </w:p>
        </w:tc>
      </w:tr>
      <w:tr w:rsidR="002275B0" w:rsidRPr="00040051" w14:paraId="758572D5" w14:textId="77777777" w:rsidTr="002275B0">
        <w:trPr>
          <w:trHeight w:val="166"/>
        </w:trPr>
        <w:tc>
          <w:tcPr>
            <w:tcW w:w="1144" w:type="pct"/>
            <w:vAlign w:val="bottom"/>
          </w:tcPr>
          <w:p w14:paraId="74700417" w14:textId="77777777" w:rsidR="002275B0" w:rsidRPr="00040051" w:rsidRDefault="002275B0" w:rsidP="002275B0">
            <w:pPr>
              <w:tabs>
                <w:tab w:val="left" w:pos="-720"/>
              </w:tabs>
              <w:suppressAutoHyphens/>
              <w:spacing w:after="0" w:line="140" w:lineRule="exact"/>
              <w:rPr>
                <w:rFonts w:ascii="Calibri" w:eastAsia="Times New Roman" w:hAnsi="Calibri" w:cs="Arial"/>
                <w:sz w:val="20"/>
                <w:szCs w:val="20"/>
                <w:lang w:val="en-US"/>
              </w:rPr>
            </w:pPr>
          </w:p>
        </w:tc>
        <w:tc>
          <w:tcPr>
            <w:tcW w:w="631" w:type="pct"/>
            <w:vAlign w:val="bottom"/>
          </w:tcPr>
          <w:p w14:paraId="0859DA33" w14:textId="77777777" w:rsidR="002275B0" w:rsidRPr="00040051" w:rsidRDefault="002275B0" w:rsidP="002275B0">
            <w:pPr>
              <w:tabs>
                <w:tab w:val="right" w:pos="1202"/>
              </w:tabs>
              <w:spacing w:after="0" w:line="140" w:lineRule="exact"/>
              <w:jc w:val="right"/>
              <w:outlineLvl w:val="0"/>
              <w:rPr>
                <w:rFonts w:ascii="Calibri" w:eastAsia="Times New Roman" w:hAnsi="Calibri" w:cs="Arial"/>
                <w:b/>
                <w:sz w:val="20"/>
                <w:szCs w:val="20"/>
                <w:lang w:val="en-US"/>
              </w:rPr>
            </w:pPr>
          </w:p>
        </w:tc>
        <w:tc>
          <w:tcPr>
            <w:tcW w:w="626" w:type="pct"/>
            <w:vAlign w:val="bottom"/>
          </w:tcPr>
          <w:p w14:paraId="7A14831B" w14:textId="77777777" w:rsidR="002275B0" w:rsidRPr="00040051" w:rsidRDefault="002275B0" w:rsidP="002275B0">
            <w:pPr>
              <w:tabs>
                <w:tab w:val="right" w:pos="1202"/>
              </w:tabs>
              <w:spacing w:after="0" w:line="140" w:lineRule="exact"/>
              <w:jc w:val="right"/>
              <w:outlineLvl w:val="0"/>
              <w:rPr>
                <w:rFonts w:ascii="Calibri" w:eastAsia="Times New Roman" w:hAnsi="Calibri" w:cs="Arial"/>
                <w:b/>
                <w:sz w:val="20"/>
                <w:szCs w:val="20"/>
                <w:lang w:val="en-US"/>
              </w:rPr>
            </w:pPr>
          </w:p>
        </w:tc>
        <w:tc>
          <w:tcPr>
            <w:tcW w:w="626" w:type="pct"/>
            <w:vAlign w:val="bottom"/>
          </w:tcPr>
          <w:p w14:paraId="7FF6A5EE" w14:textId="77777777" w:rsidR="002275B0" w:rsidRPr="00040051" w:rsidRDefault="002275B0" w:rsidP="002275B0">
            <w:pPr>
              <w:tabs>
                <w:tab w:val="right" w:pos="1202"/>
              </w:tabs>
              <w:spacing w:after="0" w:line="140" w:lineRule="exact"/>
              <w:jc w:val="right"/>
              <w:outlineLvl w:val="0"/>
              <w:rPr>
                <w:rFonts w:ascii="Calibri" w:eastAsia="Times New Roman" w:hAnsi="Calibri" w:cs="Arial"/>
                <w:b/>
                <w:sz w:val="20"/>
                <w:szCs w:val="20"/>
                <w:lang w:val="en-US"/>
              </w:rPr>
            </w:pPr>
          </w:p>
        </w:tc>
        <w:tc>
          <w:tcPr>
            <w:tcW w:w="626" w:type="pct"/>
          </w:tcPr>
          <w:p w14:paraId="344896DE" w14:textId="77777777" w:rsidR="002275B0" w:rsidRPr="00040051" w:rsidRDefault="002275B0" w:rsidP="002275B0">
            <w:pPr>
              <w:tabs>
                <w:tab w:val="right" w:pos="1202"/>
              </w:tabs>
              <w:spacing w:after="0" w:line="140" w:lineRule="exact"/>
              <w:jc w:val="right"/>
              <w:outlineLvl w:val="0"/>
              <w:rPr>
                <w:rFonts w:ascii="Calibri" w:eastAsia="Times New Roman" w:hAnsi="Calibri" w:cs="Arial"/>
                <w:b/>
                <w:sz w:val="20"/>
                <w:szCs w:val="20"/>
                <w:lang w:val="en-US"/>
              </w:rPr>
            </w:pPr>
          </w:p>
        </w:tc>
        <w:tc>
          <w:tcPr>
            <w:tcW w:w="713" w:type="pct"/>
          </w:tcPr>
          <w:p w14:paraId="5FD0A2C8" w14:textId="77777777" w:rsidR="002275B0" w:rsidRPr="00040051" w:rsidRDefault="002275B0" w:rsidP="002275B0">
            <w:pPr>
              <w:tabs>
                <w:tab w:val="right" w:pos="1202"/>
              </w:tabs>
              <w:spacing w:after="0" w:line="140" w:lineRule="exact"/>
              <w:jc w:val="right"/>
              <w:outlineLvl w:val="0"/>
              <w:rPr>
                <w:rFonts w:ascii="Calibri" w:eastAsia="Times New Roman" w:hAnsi="Calibri" w:cs="Arial"/>
                <w:b/>
                <w:sz w:val="20"/>
                <w:szCs w:val="20"/>
                <w:lang w:val="en-US"/>
              </w:rPr>
            </w:pPr>
          </w:p>
        </w:tc>
        <w:tc>
          <w:tcPr>
            <w:tcW w:w="633" w:type="pct"/>
            <w:vAlign w:val="bottom"/>
          </w:tcPr>
          <w:p w14:paraId="6201AE38" w14:textId="77777777" w:rsidR="002275B0" w:rsidRPr="00040051" w:rsidRDefault="002275B0" w:rsidP="002275B0">
            <w:pPr>
              <w:tabs>
                <w:tab w:val="right" w:pos="1202"/>
              </w:tabs>
              <w:spacing w:after="0" w:line="140" w:lineRule="exact"/>
              <w:jc w:val="right"/>
              <w:outlineLvl w:val="0"/>
              <w:rPr>
                <w:rFonts w:ascii="Calibri" w:eastAsia="Times New Roman" w:hAnsi="Calibri" w:cs="Arial"/>
                <w:b/>
                <w:sz w:val="20"/>
                <w:szCs w:val="20"/>
                <w:lang w:val="en-US"/>
              </w:rPr>
            </w:pPr>
          </w:p>
        </w:tc>
      </w:tr>
      <w:tr w:rsidR="002275B0" w:rsidRPr="00040051" w14:paraId="5D13E43B" w14:textId="77777777" w:rsidTr="002275B0">
        <w:trPr>
          <w:trHeight w:val="316"/>
        </w:trPr>
        <w:tc>
          <w:tcPr>
            <w:tcW w:w="1144" w:type="pct"/>
            <w:vAlign w:val="bottom"/>
            <w:hideMark/>
          </w:tcPr>
          <w:p w14:paraId="1B934314" w14:textId="77777777" w:rsidR="002275B0" w:rsidRPr="00040051" w:rsidRDefault="002275B0" w:rsidP="002275B0">
            <w:pPr>
              <w:tabs>
                <w:tab w:val="right" w:pos="1202"/>
              </w:tabs>
              <w:spacing w:after="0" w:line="240" w:lineRule="exact"/>
              <w:outlineLvl w:val="0"/>
              <w:rPr>
                <w:rFonts w:ascii="Calibri" w:eastAsia="Times New Roman" w:hAnsi="Calibri" w:cs="Arial"/>
                <w:sz w:val="20"/>
                <w:szCs w:val="20"/>
                <w:lang w:val="en-US"/>
              </w:rPr>
            </w:pPr>
            <w:r w:rsidRPr="00040051">
              <w:rPr>
                <w:rFonts w:ascii="Calibri" w:eastAsia="Times New Roman" w:hAnsi="Calibri" w:cs="Arial"/>
                <w:sz w:val="20"/>
                <w:szCs w:val="20"/>
                <w:lang w:val="en-US"/>
              </w:rPr>
              <w:t>Gross amount</w:t>
            </w:r>
          </w:p>
        </w:tc>
        <w:tc>
          <w:tcPr>
            <w:tcW w:w="631" w:type="pct"/>
            <w:tcBorders>
              <w:top w:val="nil"/>
              <w:left w:val="nil"/>
              <w:bottom w:val="nil"/>
              <w:right w:val="nil"/>
            </w:tcBorders>
            <w:shd w:val="clear" w:color="auto" w:fill="auto"/>
            <w:vAlign w:val="bottom"/>
            <w:hideMark/>
          </w:tcPr>
          <w:p w14:paraId="7B8106BE" w14:textId="41A95080" w:rsidR="002275B0" w:rsidRPr="00040051" w:rsidRDefault="002275B0" w:rsidP="002275B0">
            <w:pPr>
              <w:tabs>
                <w:tab w:val="right" w:pos="1202"/>
              </w:tabs>
              <w:spacing w:after="0" w:line="240" w:lineRule="exact"/>
              <w:jc w:val="right"/>
              <w:outlineLvl w:val="0"/>
              <w:rPr>
                <w:rFonts w:ascii="Calibri" w:eastAsia="Times New Roman" w:hAnsi="Calibri" w:cs="Arial"/>
                <w:sz w:val="20"/>
                <w:szCs w:val="20"/>
                <w:lang w:val="en-US"/>
              </w:rPr>
            </w:pPr>
            <w:r w:rsidRPr="00040051">
              <w:rPr>
                <w:sz w:val="20"/>
                <w:szCs w:val="20"/>
              </w:rPr>
              <w:t xml:space="preserve"> 3,311,893 </w:t>
            </w:r>
          </w:p>
        </w:tc>
        <w:tc>
          <w:tcPr>
            <w:tcW w:w="626" w:type="pct"/>
            <w:tcBorders>
              <w:top w:val="nil"/>
              <w:left w:val="nil"/>
              <w:bottom w:val="nil"/>
              <w:right w:val="nil"/>
            </w:tcBorders>
            <w:shd w:val="clear" w:color="auto" w:fill="auto"/>
            <w:vAlign w:val="bottom"/>
            <w:hideMark/>
          </w:tcPr>
          <w:p w14:paraId="1FEC94DF" w14:textId="772E5948" w:rsidR="002275B0" w:rsidRPr="00040051" w:rsidRDefault="002275B0" w:rsidP="002275B0">
            <w:pPr>
              <w:tabs>
                <w:tab w:val="right" w:pos="1202"/>
              </w:tabs>
              <w:spacing w:after="0" w:line="240" w:lineRule="exact"/>
              <w:jc w:val="right"/>
              <w:outlineLvl w:val="0"/>
              <w:rPr>
                <w:rFonts w:ascii="Calibri" w:eastAsia="Times New Roman" w:hAnsi="Calibri" w:cs="Arial"/>
                <w:sz w:val="20"/>
                <w:szCs w:val="20"/>
                <w:lang w:val="en-US"/>
              </w:rPr>
            </w:pPr>
            <w:r w:rsidRPr="00040051">
              <w:rPr>
                <w:sz w:val="20"/>
                <w:szCs w:val="20"/>
              </w:rPr>
              <w:t xml:space="preserve"> 302,747 </w:t>
            </w:r>
          </w:p>
        </w:tc>
        <w:tc>
          <w:tcPr>
            <w:tcW w:w="626" w:type="pct"/>
            <w:tcBorders>
              <w:top w:val="nil"/>
              <w:left w:val="nil"/>
              <w:bottom w:val="nil"/>
              <w:right w:val="nil"/>
            </w:tcBorders>
            <w:shd w:val="clear" w:color="auto" w:fill="auto"/>
            <w:vAlign w:val="bottom"/>
            <w:hideMark/>
          </w:tcPr>
          <w:p w14:paraId="5217ED93" w14:textId="295BA635" w:rsidR="002275B0" w:rsidRPr="00040051" w:rsidRDefault="002275B0" w:rsidP="002275B0">
            <w:pPr>
              <w:tabs>
                <w:tab w:val="right" w:pos="1202"/>
              </w:tabs>
              <w:spacing w:after="0" w:line="240" w:lineRule="exact"/>
              <w:jc w:val="right"/>
              <w:outlineLvl w:val="0"/>
              <w:rPr>
                <w:rFonts w:ascii="Calibri" w:eastAsia="Times New Roman" w:hAnsi="Calibri" w:cs="Arial"/>
                <w:sz w:val="20"/>
                <w:szCs w:val="20"/>
                <w:lang w:val="en-US"/>
              </w:rPr>
            </w:pPr>
            <w:r w:rsidRPr="00040051">
              <w:rPr>
                <w:sz w:val="20"/>
                <w:szCs w:val="20"/>
              </w:rPr>
              <w:t xml:space="preserve"> 326,551 </w:t>
            </w:r>
          </w:p>
        </w:tc>
        <w:tc>
          <w:tcPr>
            <w:tcW w:w="626" w:type="pct"/>
            <w:tcBorders>
              <w:top w:val="nil"/>
              <w:left w:val="nil"/>
              <w:bottom w:val="nil"/>
              <w:right w:val="nil"/>
            </w:tcBorders>
            <w:shd w:val="clear" w:color="auto" w:fill="auto"/>
            <w:vAlign w:val="bottom"/>
            <w:hideMark/>
          </w:tcPr>
          <w:p w14:paraId="7B0213F0" w14:textId="01A5BD87" w:rsidR="002275B0" w:rsidRPr="00040051" w:rsidRDefault="002275B0" w:rsidP="002275B0">
            <w:pPr>
              <w:tabs>
                <w:tab w:val="right" w:pos="1202"/>
              </w:tabs>
              <w:spacing w:after="0" w:line="240" w:lineRule="exact"/>
              <w:jc w:val="right"/>
              <w:outlineLvl w:val="0"/>
              <w:rPr>
                <w:rFonts w:ascii="Calibri" w:eastAsia="Times New Roman" w:hAnsi="Calibri" w:cs="Times New Roman"/>
                <w:color w:val="000000"/>
                <w:sz w:val="20"/>
                <w:szCs w:val="20"/>
                <w:lang w:val="en-US"/>
              </w:rPr>
            </w:pPr>
            <w:r w:rsidRPr="00040051">
              <w:rPr>
                <w:sz w:val="20"/>
                <w:szCs w:val="20"/>
              </w:rPr>
              <w:t xml:space="preserve"> 46,505 </w:t>
            </w:r>
          </w:p>
        </w:tc>
        <w:tc>
          <w:tcPr>
            <w:tcW w:w="713" w:type="pct"/>
            <w:tcBorders>
              <w:top w:val="nil"/>
              <w:left w:val="nil"/>
              <w:bottom w:val="nil"/>
              <w:right w:val="nil"/>
            </w:tcBorders>
            <w:vAlign w:val="bottom"/>
            <w:hideMark/>
          </w:tcPr>
          <w:p w14:paraId="19C3E1D7" w14:textId="042F79D4" w:rsidR="002275B0" w:rsidRPr="00040051" w:rsidRDefault="002275B0" w:rsidP="002275B0">
            <w:pPr>
              <w:tabs>
                <w:tab w:val="right" w:pos="1202"/>
              </w:tabs>
              <w:spacing w:after="0" w:line="240" w:lineRule="exact"/>
              <w:jc w:val="right"/>
              <w:outlineLvl w:val="0"/>
              <w:rPr>
                <w:rFonts w:ascii="Calibri" w:eastAsia="Times New Roman" w:hAnsi="Calibri" w:cs="Arial"/>
                <w:sz w:val="20"/>
                <w:szCs w:val="20"/>
                <w:lang w:val="en-US"/>
              </w:rPr>
            </w:pPr>
            <w:r w:rsidRPr="00040051">
              <w:rPr>
                <w:rFonts w:cstheme="minorHAnsi"/>
                <w:color w:val="000000" w:themeColor="text1"/>
                <w:sz w:val="20"/>
                <w:szCs w:val="20"/>
              </w:rPr>
              <w:t>-</w:t>
            </w:r>
          </w:p>
        </w:tc>
        <w:tc>
          <w:tcPr>
            <w:tcW w:w="633" w:type="pct"/>
            <w:tcBorders>
              <w:top w:val="nil"/>
              <w:left w:val="nil"/>
              <w:bottom w:val="nil"/>
              <w:right w:val="nil"/>
            </w:tcBorders>
            <w:shd w:val="clear" w:color="auto" w:fill="auto"/>
            <w:vAlign w:val="bottom"/>
            <w:hideMark/>
          </w:tcPr>
          <w:p w14:paraId="0ABBAE21" w14:textId="3289B73D" w:rsidR="002275B0" w:rsidRPr="00040051" w:rsidRDefault="002275B0" w:rsidP="002275B0">
            <w:pPr>
              <w:tabs>
                <w:tab w:val="right" w:pos="1202"/>
              </w:tabs>
              <w:spacing w:after="0" w:line="240" w:lineRule="exact"/>
              <w:jc w:val="right"/>
              <w:outlineLvl w:val="0"/>
              <w:rPr>
                <w:rFonts w:ascii="Calibri" w:eastAsia="Times New Roman" w:hAnsi="Calibri" w:cs="Arial"/>
                <w:b/>
                <w:bCs/>
                <w:sz w:val="20"/>
                <w:szCs w:val="20"/>
                <w:lang w:val="en-US"/>
              </w:rPr>
            </w:pPr>
            <w:r w:rsidRPr="00040051">
              <w:rPr>
                <w:b/>
                <w:bCs/>
                <w:sz w:val="20"/>
                <w:szCs w:val="20"/>
              </w:rPr>
              <w:t xml:space="preserve"> 3,987,696 </w:t>
            </w:r>
          </w:p>
        </w:tc>
      </w:tr>
      <w:tr w:rsidR="002275B0" w:rsidRPr="00040051" w14:paraId="7ECEA2A6" w14:textId="77777777" w:rsidTr="002275B0">
        <w:trPr>
          <w:trHeight w:val="316"/>
        </w:trPr>
        <w:tc>
          <w:tcPr>
            <w:tcW w:w="1144" w:type="pct"/>
            <w:vAlign w:val="bottom"/>
            <w:hideMark/>
          </w:tcPr>
          <w:p w14:paraId="5F2786C5" w14:textId="77777777" w:rsidR="002275B0" w:rsidRPr="00040051" w:rsidRDefault="002275B0" w:rsidP="002275B0">
            <w:pPr>
              <w:tabs>
                <w:tab w:val="right" w:pos="1202"/>
              </w:tabs>
              <w:spacing w:after="0" w:line="240" w:lineRule="exact"/>
              <w:outlineLvl w:val="0"/>
              <w:rPr>
                <w:rFonts w:ascii="Calibri" w:eastAsia="Times New Roman" w:hAnsi="Calibri" w:cs="Arial"/>
                <w:sz w:val="20"/>
                <w:szCs w:val="20"/>
                <w:lang w:val="en-US"/>
              </w:rPr>
            </w:pPr>
            <w:r w:rsidRPr="00040051">
              <w:rPr>
                <w:rFonts w:ascii="Calibri" w:eastAsia="Times New Roman" w:hAnsi="Calibri" w:cs="Arial"/>
                <w:sz w:val="20"/>
                <w:szCs w:val="20"/>
                <w:lang w:val="en-US"/>
              </w:rPr>
              <w:t>Loss allowances</w:t>
            </w:r>
          </w:p>
        </w:tc>
        <w:tc>
          <w:tcPr>
            <w:tcW w:w="631" w:type="pct"/>
            <w:tcBorders>
              <w:top w:val="nil"/>
              <w:left w:val="nil"/>
              <w:bottom w:val="nil"/>
              <w:right w:val="nil"/>
            </w:tcBorders>
            <w:shd w:val="clear" w:color="auto" w:fill="auto"/>
            <w:vAlign w:val="bottom"/>
            <w:hideMark/>
          </w:tcPr>
          <w:p w14:paraId="0A6A1D85" w14:textId="155C3051" w:rsidR="002275B0" w:rsidRPr="00040051" w:rsidRDefault="002275B0" w:rsidP="002275B0">
            <w:pPr>
              <w:tabs>
                <w:tab w:val="right" w:pos="1202"/>
              </w:tabs>
              <w:spacing w:after="0" w:line="240" w:lineRule="exact"/>
              <w:jc w:val="right"/>
              <w:outlineLvl w:val="0"/>
              <w:rPr>
                <w:rFonts w:ascii="Calibri" w:eastAsia="Times New Roman" w:hAnsi="Calibri" w:cs="Arial"/>
                <w:sz w:val="20"/>
                <w:szCs w:val="20"/>
                <w:lang w:val="en-US"/>
              </w:rPr>
            </w:pPr>
            <w:r w:rsidRPr="00040051">
              <w:rPr>
                <w:sz w:val="20"/>
                <w:szCs w:val="20"/>
              </w:rPr>
              <w:t xml:space="preserve"> (10,652)</w:t>
            </w:r>
          </w:p>
        </w:tc>
        <w:tc>
          <w:tcPr>
            <w:tcW w:w="626" w:type="pct"/>
            <w:tcBorders>
              <w:top w:val="nil"/>
              <w:left w:val="nil"/>
              <w:bottom w:val="nil"/>
              <w:right w:val="nil"/>
            </w:tcBorders>
            <w:shd w:val="clear" w:color="auto" w:fill="auto"/>
            <w:vAlign w:val="bottom"/>
            <w:hideMark/>
          </w:tcPr>
          <w:p w14:paraId="23FB24A6" w14:textId="4B1DB74F" w:rsidR="002275B0" w:rsidRPr="00040051" w:rsidRDefault="002275B0" w:rsidP="002275B0">
            <w:pPr>
              <w:tabs>
                <w:tab w:val="right" w:pos="1202"/>
              </w:tabs>
              <w:spacing w:after="0" w:line="240" w:lineRule="exact"/>
              <w:jc w:val="right"/>
              <w:outlineLvl w:val="0"/>
              <w:rPr>
                <w:rFonts w:ascii="Calibri" w:eastAsia="Times New Roman" w:hAnsi="Calibri" w:cs="Arial"/>
                <w:sz w:val="20"/>
                <w:szCs w:val="20"/>
                <w:lang w:val="en-US"/>
              </w:rPr>
            </w:pPr>
            <w:r w:rsidRPr="00040051">
              <w:rPr>
                <w:sz w:val="20"/>
                <w:szCs w:val="20"/>
              </w:rPr>
              <w:t xml:space="preserve"> (26,256)</w:t>
            </w:r>
          </w:p>
        </w:tc>
        <w:tc>
          <w:tcPr>
            <w:tcW w:w="626" w:type="pct"/>
            <w:tcBorders>
              <w:top w:val="nil"/>
              <w:left w:val="nil"/>
              <w:bottom w:val="nil"/>
              <w:right w:val="nil"/>
            </w:tcBorders>
            <w:shd w:val="clear" w:color="auto" w:fill="auto"/>
            <w:vAlign w:val="bottom"/>
            <w:hideMark/>
          </w:tcPr>
          <w:p w14:paraId="74B9CA05" w14:textId="11C2D222" w:rsidR="002275B0" w:rsidRPr="00040051" w:rsidRDefault="002275B0" w:rsidP="002275B0">
            <w:pPr>
              <w:tabs>
                <w:tab w:val="right" w:pos="1202"/>
              </w:tabs>
              <w:spacing w:after="0" w:line="240" w:lineRule="exact"/>
              <w:jc w:val="right"/>
              <w:outlineLvl w:val="0"/>
              <w:rPr>
                <w:rFonts w:ascii="Calibri" w:eastAsia="Times New Roman" w:hAnsi="Calibri" w:cs="Arial"/>
                <w:sz w:val="20"/>
                <w:szCs w:val="20"/>
                <w:lang w:val="en-US"/>
              </w:rPr>
            </w:pPr>
            <w:r w:rsidRPr="00040051">
              <w:rPr>
                <w:sz w:val="20"/>
                <w:szCs w:val="20"/>
              </w:rPr>
              <w:t xml:space="preserve"> (82,779)</w:t>
            </w:r>
          </w:p>
        </w:tc>
        <w:tc>
          <w:tcPr>
            <w:tcW w:w="626" w:type="pct"/>
            <w:tcBorders>
              <w:top w:val="nil"/>
              <w:left w:val="nil"/>
              <w:bottom w:val="nil"/>
              <w:right w:val="nil"/>
            </w:tcBorders>
            <w:shd w:val="clear" w:color="auto" w:fill="auto"/>
            <w:vAlign w:val="bottom"/>
            <w:hideMark/>
          </w:tcPr>
          <w:p w14:paraId="16881A3B" w14:textId="0C6C992C" w:rsidR="002275B0" w:rsidRPr="00040051" w:rsidRDefault="002275B0" w:rsidP="002275B0">
            <w:pPr>
              <w:tabs>
                <w:tab w:val="right" w:pos="1202"/>
              </w:tabs>
              <w:spacing w:after="0" w:line="240" w:lineRule="exact"/>
              <w:jc w:val="right"/>
              <w:outlineLvl w:val="0"/>
              <w:rPr>
                <w:rFonts w:ascii="Calibri" w:eastAsia="Times New Roman" w:hAnsi="Calibri" w:cs="Times New Roman"/>
                <w:color w:val="000000"/>
                <w:sz w:val="20"/>
                <w:szCs w:val="20"/>
                <w:lang w:val="en-US"/>
              </w:rPr>
            </w:pPr>
            <w:r w:rsidRPr="00040051">
              <w:rPr>
                <w:sz w:val="20"/>
                <w:szCs w:val="20"/>
              </w:rPr>
              <w:t xml:space="preserve"> (9,900)</w:t>
            </w:r>
          </w:p>
        </w:tc>
        <w:tc>
          <w:tcPr>
            <w:tcW w:w="713" w:type="pct"/>
            <w:tcBorders>
              <w:top w:val="nil"/>
              <w:left w:val="nil"/>
              <w:bottom w:val="nil"/>
              <w:right w:val="nil"/>
            </w:tcBorders>
            <w:vAlign w:val="bottom"/>
            <w:hideMark/>
          </w:tcPr>
          <w:p w14:paraId="7E62F902" w14:textId="616AF855" w:rsidR="002275B0" w:rsidRPr="00040051" w:rsidRDefault="002275B0" w:rsidP="002275B0">
            <w:pPr>
              <w:tabs>
                <w:tab w:val="right" w:pos="1202"/>
              </w:tabs>
              <w:spacing w:after="0" w:line="240" w:lineRule="exact"/>
              <w:jc w:val="right"/>
              <w:outlineLvl w:val="0"/>
              <w:rPr>
                <w:rFonts w:ascii="Calibri" w:eastAsia="Times New Roman" w:hAnsi="Calibri" w:cs="Arial"/>
                <w:sz w:val="20"/>
                <w:szCs w:val="20"/>
                <w:lang w:val="en-US"/>
              </w:rPr>
            </w:pPr>
            <w:r w:rsidRPr="00040051">
              <w:rPr>
                <w:rFonts w:cstheme="minorHAnsi"/>
                <w:color w:val="000000" w:themeColor="text1"/>
                <w:sz w:val="20"/>
                <w:szCs w:val="20"/>
              </w:rPr>
              <w:t>-</w:t>
            </w:r>
          </w:p>
        </w:tc>
        <w:tc>
          <w:tcPr>
            <w:tcW w:w="633" w:type="pct"/>
            <w:tcBorders>
              <w:top w:val="nil"/>
              <w:left w:val="nil"/>
              <w:bottom w:val="nil"/>
              <w:right w:val="nil"/>
            </w:tcBorders>
            <w:shd w:val="clear" w:color="auto" w:fill="auto"/>
            <w:vAlign w:val="bottom"/>
            <w:hideMark/>
          </w:tcPr>
          <w:p w14:paraId="35F7CF0B" w14:textId="42222899" w:rsidR="002275B0" w:rsidRPr="00040051" w:rsidRDefault="002275B0" w:rsidP="002275B0">
            <w:pPr>
              <w:tabs>
                <w:tab w:val="right" w:pos="1202"/>
              </w:tabs>
              <w:spacing w:after="0" w:line="240" w:lineRule="exact"/>
              <w:jc w:val="right"/>
              <w:outlineLvl w:val="0"/>
              <w:rPr>
                <w:rFonts w:ascii="Calibri" w:eastAsia="Times New Roman" w:hAnsi="Calibri" w:cs="Arial"/>
                <w:b/>
                <w:bCs/>
                <w:sz w:val="20"/>
                <w:szCs w:val="20"/>
                <w:lang w:val="en-US"/>
              </w:rPr>
            </w:pPr>
            <w:r w:rsidRPr="00040051">
              <w:rPr>
                <w:b/>
                <w:bCs/>
                <w:sz w:val="20"/>
                <w:szCs w:val="20"/>
              </w:rPr>
              <w:t xml:space="preserve"> (129,587)</w:t>
            </w:r>
          </w:p>
        </w:tc>
      </w:tr>
      <w:tr w:rsidR="002275B0" w:rsidRPr="00040051" w14:paraId="2784B1E6" w14:textId="77777777" w:rsidTr="002275B0">
        <w:trPr>
          <w:trHeight w:val="263"/>
        </w:trPr>
        <w:tc>
          <w:tcPr>
            <w:tcW w:w="1144" w:type="pct"/>
            <w:vAlign w:val="bottom"/>
            <w:hideMark/>
          </w:tcPr>
          <w:p w14:paraId="5842A959" w14:textId="77777777" w:rsidR="002275B0" w:rsidRPr="00040051" w:rsidRDefault="002275B0" w:rsidP="002275B0">
            <w:pPr>
              <w:tabs>
                <w:tab w:val="right" w:pos="1202"/>
              </w:tabs>
              <w:spacing w:after="0" w:line="240" w:lineRule="exact"/>
              <w:outlineLvl w:val="0"/>
              <w:rPr>
                <w:rFonts w:ascii="Calibri" w:eastAsia="Times New Roman" w:hAnsi="Calibri" w:cs="Arial"/>
                <w:b/>
                <w:iCs/>
                <w:sz w:val="20"/>
                <w:szCs w:val="20"/>
                <w:lang w:val="en-US"/>
              </w:rPr>
            </w:pPr>
            <w:r w:rsidRPr="00040051">
              <w:rPr>
                <w:rFonts w:ascii="Calibri" w:eastAsia="Times New Roman" w:hAnsi="Calibri" w:cs="Arial"/>
                <w:b/>
                <w:iCs/>
                <w:sz w:val="20"/>
                <w:szCs w:val="20"/>
                <w:lang w:val="en-US"/>
              </w:rPr>
              <w:t xml:space="preserve">Balance as of </w:t>
            </w:r>
          </w:p>
          <w:p w14:paraId="10679CAB" w14:textId="129FFBFA" w:rsidR="002275B0" w:rsidRPr="00040051" w:rsidRDefault="002275B0" w:rsidP="002275B0">
            <w:pPr>
              <w:tabs>
                <w:tab w:val="right" w:pos="1202"/>
              </w:tabs>
              <w:spacing w:after="0" w:line="240" w:lineRule="exact"/>
              <w:outlineLvl w:val="0"/>
              <w:rPr>
                <w:rFonts w:ascii="Calibri" w:eastAsia="Times New Roman" w:hAnsi="Calibri" w:cs="Arial"/>
                <w:b/>
                <w:sz w:val="20"/>
                <w:szCs w:val="20"/>
                <w:lang w:val="en-US"/>
              </w:rPr>
            </w:pPr>
            <w:r w:rsidRPr="00040051">
              <w:rPr>
                <w:rFonts w:ascii="Calibri" w:eastAsia="Times New Roman" w:hAnsi="Calibri" w:cs="Arial"/>
                <w:b/>
                <w:sz w:val="20"/>
                <w:szCs w:val="20"/>
                <w:lang w:val="en-US"/>
              </w:rPr>
              <w:t>31 December 2021</w:t>
            </w:r>
          </w:p>
        </w:tc>
        <w:tc>
          <w:tcPr>
            <w:tcW w:w="631" w:type="pct"/>
            <w:tcBorders>
              <w:top w:val="single" w:sz="4" w:space="0" w:color="auto"/>
              <w:left w:val="nil"/>
              <w:bottom w:val="single" w:sz="8" w:space="0" w:color="auto"/>
              <w:right w:val="nil"/>
            </w:tcBorders>
            <w:shd w:val="clear" w:color="auto" w:fill="auto"/>
            <w:vAlign w:val="bottom"/>
            <w:hideMark/>
          </w:tcPr>
          <w:p w14:paraId="71F1FDB9" w14:textId="40425376" w:rsidR="002275B0" w:rsidRPr="00040051" w:rsidRDefault="002275B0" w:rsidP="002275B0">
            <w:pPr>
              <w:tabs>
                <w:tab w:val="right" w:pos="1202"/>
              </w:tabs>
              <w:spacing w:after="0" w:line="240" w:lineRule="exact"/>
              <w:jc w:val="right"/>
              <w:outlineLvl w:val="0"/>
              <w:rPr>
                <w:rFonts w:ascii="Calibri" w:eastAsia="Times New Roman" w:hAnsi="Calibri" w:cs="Arial"/>
                <w:sz w:val="20"/>
                <w:szCs w:val="20"/>
                <w:lang w:val="en-US"/>
              </w:rPr>
            </w:pPr>
            <w:r w:rsidRPr="00040051">
              <w:rPr>
                <w:b/>
                <w:bCs/>
                <w:sz w:val="20"/>
                <w:szCs w:val="20"/>
              </w:rPr>
              <w:t xml:space="preserve"> 3,301,241 </w:t>
            </w:r>
          </w:p>
        </w:tc>
        <w:tc>
          <w:tcPr>
            <w:tcW w:w="626" w:type="pct"/>
            <w:tcBorders>
              <w:top w:val="single" w:sz="4" w:space="0" w:color="auto"/>
              <w:left w:val="nil"/>
              <w:bottom w:val="single" w:sz="8" w:space="0" w:color="auto"/>
              <w:right w:val="nil"/>
            </w:tcBorders>
            <w:shd w:val="clear" w:color="auto" w:fill="auto"/>
            <w:vAlign w:val="bottom"/>
            <w:hideMark/>
          </w:tcPr>
          <w:p w14:paraId="6B9F857C" w14:textId="56EEB73C" w:rsidR="002275B0" w:rsidRPr="00040051" w:rsidRDefault="002275B0" w:rsidP="002275B0">
            <w:pPr>
              <w:tabs>
                <w:tab w:val="right" w:pos="1202"/>
              </w:tabs>
              <w:spacing w:after="0" w:line="240" w:lineRule="exact"/>
              <w:jc w:val="right"/>
              <w:outlineLvl w:val="0"/>
              <w:rPr>
                <w:rFonts w:ascii="Calibri" w:eastAsia="Times New Roman" w:hAnsi="Calibri" w:cs="Arial"/>
                <w:sz w:val="20"/>
                <w:szCs w:val="20"/>
                <w:lang w:val="en-US"/>
              </w:rPr>
            </w:pPr>
            <w:r w:rsidRPr="00040051">
              <w:rPr>
                <w:b/>
                <w:bCs/>
                <w:sz w:val="20"/>
                <w:szCs w:val="20"/>
              </w:rPr>
              <w:t xml:space="preserve"> 276,491 </w:t>
            </w:r>
          </w:p>
        </w:tc>
        <w:tc>
          <w:tcPr>
            <w:tcW w:w="626" w:type="pct"/>
            <w:tcBorders>
              <w:top w:val="single" w:sz="4" w:space="0" w:color="auto"/>
              <w:left w:val="nil"/>
              <w:bottom w:val="single" w:sz="8" w:space="0" w:color="auto"/>
              <w:right w:val="nil"/>
            </w:tcBorders>
            <w:shd w:val="clear" w:color="auto" w:fill="auto"/>
            <w:vAlign w:val="bottom"/>
            <w:hideMark/>
          </w:tcPr>
          <w:p w14:paraId="61D0D9CF" w14:textId="37B506D1" w:rsidR="002275B0" w:rsidRPr="00040051" w:rsidRDefault="002275B0" w:rsidP="002275B0">
            <w:pPr>
              <w:tabs>
                <w:tab w:val="right" w:pos="1202"/>
              </w:tabs>
              <w:spacing w:after="0" w:line="240" w:lineRule="exact"/>
              <w:jc w:val="right"/>
              <w:outlineLvl w:val="0"/>
              <w:rPr>
                <w:rFonts w:ascii="Calibri" w:eastAsia="Times New Roman" w:hAnsi="Calibri" w:cs="Arial"/>
                <w:sz w:val="20"/>
                <w:szCs w:val="20"/>
                <w:lang w:val="en-US"/>
              </w:rPr>
            </w:pPr>
            <w:r w:rsidRPr="00040051">
              <w:rPr>
                <w:b/>
                <w:bCs/>
                <w:sz w:val="20"/>
                <w:szCs w:val="20"/>
              </w:rPr>
              <w:t xml:space="preserve"> 243,772 </w:t>
            </w:r>
          </w:p>
        </w:tc>
        <w:tc>
          <w:tcPr>
            <w:tcW w:w="626" w:type="pct"/>
            <w:tcBorders>
              <w:top w:val="single" w:sz="4" w:space="0" w:color="auto"/>
              <w:left w:val="nil"/>
              <w:bottom w:val="single" w:sz="8" w:space="0" w:color="auto"/>
              <w:right w:val="nil"/>
            </w:tcBorders>
            <w:shd w:val="clear" w:color="auto" w:fill="auto"/>
            <w:vAlign w:val="bottom"/>
            <w:hideMark/>
          </w:tcPr>
          <w:p w14:paraId="2440CC78" w14:textId="66B43407" w:rsidR="002275B0" w:rsidRPr="00040051" w:rsidRDefault="002275B0" w:rsidP="002275B0">
            <w:pPr>
              <w:tabs>
                <w:tab w:val="right" w:pos="1202"/>
              </w:tabs>
              <w:spacing w:after="0" w:line="240" w:lineRule="exact"/>
              <w:jc w:val="right"/>
              <w:outlineLvl w:val="0"/>
              <w:rPr>
                <w:rFonts w:ascii="Calibri" w:eastAsia="Times New Roman" w:hAnsi="Calibri" w:cs="Times New Roman"/>
                <w:color w:val="000000"/>
                <w:sz w:val="20"/>
                <w:szCs w:val="20"/>
                <w:lang w:val="en-US"/>
              </w:rPr>
            </w:pPr>
            <w:r w:rsidRPr="00040051">
              <w:rPr>
                <w:b/>
                <w:bCs/>
                <w:sz w:val="20"/>
                <w:szCs w:val="20"/>
              </w:rPr>
              <w:t xml:space="preserve"> 36,605 </w:t>
            </w:r>
          </w:p>
        </w:tc>
        <w:tc>
          <w:tcPr>
            <w:tcW w:w="713" w:type="pct"/>
            <w:tcBorders>
              <w:top w:val="single" w:sz="4" w:space="0" w:color="auto"/>
              <w:left w:val="nil"/>
              <w:bottom w:val="single" w:sz="8" w:space="0" w:color="auto"/>
              <w:right w:val="nil"/>
            </w:tcBorders>
            <w:vAlign w:val="bottom"/>
            <w:hideMark/>
          </w:tcPr>
          <w:p w14:paraId="64F0CB24" w14:textId="7A1E5868" w:rsidR="002275B0" w:rsidRPr="00040051" w:rsidRDefault="002275B0" w:rsidP="002275B0">
            <w:pPr>
              <w:tabs>
                <w:tab w:val="right" w:pos="1202"/>
              </w:tabs>
              <w:spacing w:after="0" w:line="240" w:lineRule="exact"/>
              <w:jc w:val="right"/>
              <w:outlineLvl w:val="0"/>
              <w:rPr>
                <w:rFonts w:ascii="Calibri" w:eastAsia="Times New Roman" w:hAnsi="Calibri" w:cs="Arial"/>
                <w:sz w:val="20"/>
                <w:szCs w:val="20"/>
                <w:lang w:val="en-US"/>
              </w:rPr>
            </w:pPr>
            <w:r w:rsidRPr="00040051">
              <w:rPr>
                <w:b/>
                <w:bCs/>
                <w:sz w:val="20"/>
                <w:szCs w:val="20"/>
              </w:rPr>
              <w:t xml:space="preserve"> - </w:t>
            </w:r>
          </w:p>
        </w:tc>
        <w:tc>
          <w:tcPr>
            <w:tcW w:w="633" w:type="pct"/>
            <w:tcBorders>
              <w:top w:val="single" w:sz="4" w:space="0" w:color="auto"/>
              <w:left w:val="nil"/>
              <w:bottom w:val="single" w:sz="8" w:space="0" w:color="auto"/>
              <w:right w:val="nil"/>
            </w:tcBorders>
            <w:shd w:val="clear" w:color="auto" w:fill="auto"/>
            <w:vAlign w:val="bottom"/>
            <w:hideMark/>
          </w:tcPr>
          <w:p w14:paraId="04AE2316" w14:textId="234A10A0" w:rsidR="002275B0" w:rsidRPr="00040051" w:rsidRDefault="002275B0" w:rsidP="002275B0">
            <w:pPr>
              <w:tabs>
                <w:tab w:val="right" w:pos="1202"/>
              </w:tabs>
              <w:spacing w:after="0" w:line="240" w:lineRule="exact"/>
              <w:jc w:val="right"/>
              <w:outlineLvl w:val="0"/>
              <w:rPr>
                <w:rFonts w:ascii="Calibri" w:eastAsia="Times New Roman" w:hAnsi="Calibri" w:cs="Arial"/>
                <w:sz w:val="20"/>
                <w:szCs w:val="20"/>
                <w:lang w:val="en-US"/>
              </w:rPr>
            </w:pPr>
            <w:r w:rsidRPr="00040051">
              <w:rPr>
                <w:b/>
                <w:bCs/>
                <w:sz w:val="20"/>
                <w:szCs w:val="20"/>
              </w:rPr>
              <w:t xml:space="preserve"> 3,858,109 </w:t>
            </w:r>
          </w:p>
        </w:tc>
      </w:tr>
    </w:tbl>
    <w:p w14:paraId="29ADA047" w14:textId="77777777" w:rsidR="00121E29" w:rsidRDefault="00121E29" w:rsidP="00204422">
      <w:pPr>
        <w:spacing w:after="0" w:line="240" w:lineRule="auto"/>
        <w:rPr>
          <w:rFonts w:ascii="Calibri" w:eastAsia="Calibri" w:hAnsi="Calibri" w:cs="Times New Roman"/>
          <w:noProof/>
          <w:sz w:val="18"/>
          <w:szCs w:val="18"/>
          <w:lang w:val="en-US"/>
        </w:rPr>
        <w:sectPr w:rsidR="00121E29">
          <w:pgSz w:w="11906" w:h="16838"/>
          <w:pgMar w:top="1417" w:right="1417" w:bottom="1417" w:left="1417" w:header="708" w:footer="708" w:gutter="0"/>
          <w:cols w:space="708"/>
          <w:docGrid w:linePitch="360"/>
        </w:sectPr>
      </w:pPr>
    </w:p>
    <w:p w14:paraId="532F8BB3" w14:textId="1768C72C" w:rsidR="00204422" w:rsidRPr="00537128" w:rsidRDefault="00204422" w:rsidP="00204422">
      <w:pPr>
        <w:spacing w:after="0" w:line="240" w:lineRule="auto"/>
        <w:rPr>
          <w:rFonts w:ascii="Calibri" w:eastAsia="Calibri" w:hAnsi="Calibri" w:cs="Times New Roman"/>
          <w:noProof/>
          <w:sz w:val="18"/>
          <w:szCs w:val="18"/>
          <w:lang w:val="en-US"/>
        </w:rPr>
      </w:pPr>
    </w:p>
    <w:p w14:paraId="01BB1398" w14:textId="1D7AF4EC" w:rsidR="00EC0514" w:rsidRPr="00A1123E" w:rsidRDefault="00BB3083" w:rsidP="00A1123E">
      <w:pPr>
        <w:tabs>
          <w:tab w:val="left" w:pos="-1843"/>
        </w:tabs>
        <w:suppressAutoHyphens/>
        <w:spacing w:after="0"/>
        <w:rPr>
          <w:rFonts w:cs="Arial"/>
          <w:b/>
          <w:color w:val="000000" w:themeColor="text1"/>
          <w:spacing w:val="-3"/>
          <w:lang w:val="en-US"/>
        </w:rPr>
      </w:pPr>
      <w:r>
        <w:rPr>
          <w:rFonts w:cs="Arial"/>
          <w:b/>
          <w:color w:val="000000" w:themeColor="text1"/>
          <w:spacing w:val="-3"/>
          <w:lang w:val="en-US"/>
        </w:rPr>
        <w:t>21.</w:t>
      </w:r>
      <w:r>
        <w:rPr>
          <w:rFonts w:cs="Arial"/>
          <w:b/>
          <w:color w:val="000000" w:themeColor="text1"/>
          <w:spacing w:val="-3"/>
          <w:lang w:val="en-US"/>
        </w:rPr>
        <w:tab/>
      </w:r>
      <w:r w:rsidR="00EC0514" w:rsidRPr="00A1123E">
        <w:rPr>
          <w:rFonts w:cs="Arial"/>
          <w:b/>
          <w:color w:val="000000" w:themeColor="text1"/>
          <w:spacing w:val="-3"/>
          <w:lang w:val="en-US"/>
        </w:rPr>
        <w:t>Guarantees and commitments (continued)</w:t>
      </w:r>
    </w:p>
    <w:p w14:paraId="254D52F2" w14:textId="77777777" w:rsidR="00EC0514" w:rsidRPr="00537128" w:rsidRDefault="00EC0514" w:rsidP="00EC0514">
      <w:pPr>
        <w:pStyle w:val="T1"/>
        <w:keepNext w:val="0"/>
        <w:spacing w:before="0" w:line="240" w:lineRule="auto"/>
        <w:rPr>
          <w:rFonts w:asciiTheme="minorHAnsi" w:hAnsiTheme="minorHAnsi" w:cs="Arial"/>
          <w:b w:val="0"/>
          <w:bCs w:val="0"/>
          <w:i/>
          <w:color w:val="000000" w:themeColor="text1"/>
          <w:sz w:val="22"/>
          <w:szCs w:val="22"/>
          <w:lang w:val="en-US"/>
        </w:rPr>
      </w:pPr>
    </w:p>
    <w:p w14:paraId="7AC76DF0" w14:textId="77777777" w:rsidR="00204422" w:rsidRPr="00537128" w:rsidRDefault="00204422" w:rsidP="00204422">
      <w:pPr>
        <w:spacing w:after="120" w:line="240" w:lineRule="auto"/>
        <w:jc w:val="both"/>
        <w:rPr>
          <w:rFonts w:ascii="Calibri" w:eastAsia="Calibri" w:hAnsi="Calibri" w:cs="Arial"/>
          <w:i/>
          <w:lang w:val="en-US"/>
        </w:rPr>
      </w:pPr>
      <w:r w:rsidRPr="00537128">
        <w:rPr>
          <w:rFonts w:ascii="Calibri" w:eastAsia="Calibri" w:hAnsi="Calibri" w:cs="Arial"/>
          <w:i/>
          <w:lang w:val="en-US"/>
        </w:rPr>
        <w:t>Guarantees</w:t>
      </w:r>
    </w:p>
    <w:p w14:paraId="4FD18872" w14:textId="77777777" w:rsidR="00204422" w:rsidRPr="00537128" w:rsidRDefault="00204422" w:rsidP="00204422">
      <w:pPr>
        <w:spacing w:after="0" w:line="240" w:lineRule="auto"/>
        <w:jc w:val="both"/>
        <w:rPr>
          <w:rFonts w:ascii="Calibri" w:eastAsia="Calibri" w:hAnsi="Calibri" w:cs="Arial"/>
          <w:lang w:val="en-US"/>
        </w:rPr>
      </w:pPr>
      <w:r w:rsidRPr="00537128">
        <w:rPr>
          <w:rFonts w:ascii="Calibri" w:eastAsia="Calibri" w:hAnsi="Calibri" w:cs="Arial"/>
          <w:lang w:val="en-US"/>
        </w:rPr>
        <w:t xml:space="preserve">Issued guarantees and open letters of credit represent the liability to the Bank to make payments on behalf of customers if the customer is unable to </w:t>
      </w:r>
      <w:proofErr w:type="spellStart"/>
      <w:r w:rsidRPr="00537128">
        <w:rPr>
          <w:rFonts w:ascii="Calibri" w:eastAsia="Calibri" w:hAnsi="Calibri" w:cs="Arial"/>
          <w:lang w:val="en-US"/>
        </w:rPr>
        <w:t>honour</w:t>
      </w:r>
      <w:proofErr w:type="spellEnd"/>
      <w:r w:rsidRPr="00537128">
        <w:rPr>
          <w:rFonts w:ascii="Calibri" w:eastAsia="Calibri" w:hAnsi="Calibri" w:cs="Arial"/>
          <w:lang w:val="en-US"/>
        </w:rPr>
        <w:t xml:space="preserve"> its commitments towards third parties or in the event of a specific act, generally related to the export or import of goods and other purposes specified in the contracts with the customers. Guarantees and letters of credit bear the same credit risk as loans.</w:t>
      </w:r>
    </w:p>
    <w:p w14:paraId="346C6BC9" w14:textId="77777777" w:rsidR="00204422" w:rsidRPr="00537128" w:rsidRDefault="00204422" w:rsidP="00204422">
      <w:pPr>
        <w:keepNext/>
        <w:spacing w:after="0" w:line="240" w:lineRule="auto"/>
        <w:jc w:val="both"/>
        <w:rPr>
          <w:rFonts w:ascii="Calibri" w:eastAsia="Calibri" w:hAnsi="Calibri" w:cs="Arial"/>
          <w:lang w:val="en-US"/>
        </w:rPr>
      </w:pPr>
    </w:p>
    <w:p w14:paraId="3E6FC6DA" w14:textId="7CA3D45E" w:rsidR="00204422" w:rsidRPr="00537128" w:rsidRDefault="00204422" w:rsidP="00204422">
      <w:pPr>
        <w:keepNext/>
        <w:spacing w:after="0" w:line="240" w:lineRule="auto"/>
        <w:jc w:val="both"/>
        <w:rPr>
          <w:rFonts w:ascii="Calibri" w:eastAsia="Calibri" w:hAnsi="Calibri" w:cs="Arial"/>
          <w:lang w:val="en-US"/>
        </w:rPr>
      </w:pPr>
      <w:r w:rsidRPr="00537128">
        <w:rPr>
          <w:rFonts w:ascii="Calibri" w:eastAsia="Calibri" w:hAnsi="Calibri" w:cs="Arial"/>
          <w:lang w:val="en-US"/>
        </w:rPr>
        <w:t xml:space="preserve">Bank guarantees are, to the extent of </w:t>
      </w:r>
      <w:r w:rsidR="00121E29" w:rsidRPr="00121E29">
        <w:rPr>
          <w:rFonts w:ascii="Calibri" w:eastAsia="Calibri" w:hAnsi="Calibri" w:cs="Arial"/>
          <w:lang w:val="en-US"/>
        </w:rPr>
        <w:t>20</w:t>
      </w:r>
      <w:r w:rsidRPr="00121E29">
        <w:rPr>
          <w:rFonts w:ascii="Calibri" w:eastAsia="Calibri" w:hAnsi="Calibri" w:cs="Arial"/>
          <w:bCs/>
          <w:lang w:val="en-US"/>
        </w:rPr>
        <w:t>%,</w:t>
      </w:r>
      <w:r w:rsidRPr="00537128">
        <w:rPr>
          <w:rFonts w:ascii="Calibri" w:eastAsia="Calibri" w:hAnsi="Calibri" w:cs="Arial"/>
          <w:bCs/>
          <w:lang w:val="en-US"/>
        </w:rPr>
        <w:t xml:space="preserve"> </w:t>
      </w:r>
      <w:r w:rsidRPr="00537128">
        <w:rPr>
          <w:rFonts w:ascii="Calibri" w:eastAsia="Calibri" w:hAnsi="Calibri" w:cs="Arial"/>
          <w:lang w:val="en-US"/>
        </w:rPr>
        <w:t xml:space="preserve">collateralized by the guarantees, </w:t>
      </w:r>
      <w:proofErr w:type="gramStart"/>
      <w:r w:rsidRPr="00537128">
        <w:rPr>
          <w:rFonts w:ascii="Calibri" w:eastAsia="Calibri" w:hAnsi="Calibri" w:cs="Arial"/>
          <w:lang w:val="en-US"/>
        </w:rPr>
        <w:t>deposits</w:t>
      </w:r>
      <w:proofErr w:type="gramEnd"/>
      <w:r w:rsidRPr="00537128">
        <w:rPr>
          <w:rFonts w:ascii="Calibri" w:eastAsia="Calibri" w:hAnsi="Calibri" w:cs="Arial"/>
          <w:lang w:val="en-US"/>
        </w:rPr>
        <w:t xml:space="preserve"> and bank guarantees</w:t>
      </w:r>
      <w:r w:rsidRPr="00537128">
        <w:rPr>
          <w:rFonts w:ascii="Calibri" w:eastAsia="Calibri" w:hAnsi="Calibri" w:cs="Arial"/>
          <w:bCs/>
          <w:lang w:val="en-US"/>
        </w:rPr>
        <w:t>.</w:t>
      </w:r>
      <w:r w:rsidRPr="00537128">
        <w:rPr>
          <w:rFonts w:ascii="Calibri" w:eastAsia="Calibri" w:hAnsi="Calibri" w:cs="Arial"/>
          <w:lang w:val="en-US"/>
        </w:rPr>
        <w:t xml:space="preserve"> </w:t>
      </w:r>
    </w:p>
    <w:p w14:paraId="612C61F3" w14:textId="77777777" w:rsidR="00204422" w:rsidRPr="00537128" w:rsidRDefault="00204422" w:rsidP="00204422">
      <w:pPr>
        <w:keepNext/>
        <w:spacing w:after="0" w:line="240" w:lineRule="auto"/>
        <w:jc w:val="both"/>
        <w:rPr>
          <w:rFonts w:ascii="Calibri" w:eastAsia="Calibri" w:hAnsi="Calibri" w:cs="Arial"/>
          <w:lang w:val="en-US"/>
        </w:rPr>
      </w:pPr>
    </w:p>
    <w:p w14:paraId="7EB68F6D" w14:textId="77777777" w:rsidR="00204422" w:rsidRPr="00537128" w:rsidRDefault="00204422" w:rsidP="00204422">
      <w:pPr>
        <w:spacing w:after="120" w:line="240" w:lineRule="auto"/>
        <w:jc w:val="both"/>
        <w:rPr>
          <w:rFonts w:ascii="Calibri" w:eastAsia="Calibri" w:hAnsi="Calibri" w:cs="Arial"/>
          <w:i/>
          <w:lang w:val="en-US"/>
        </w:rPr>
      </w:pPr>
      <w:r w:rsidRPr="00537128">
        <w:rPr>
          <w:rFonts w:ascii="Calibri" w:eastAsia="Calibri" w:hAnsi="Calibri" w:cs="Arial"/>
          <w:i/>
          <w:lang w:val="en-US"/>
        </w:rPr>
        <w:t>Commitments upon undrawn loans</w:t>
      </w:r>
    </w:p>
    <w:p w14:paraId="3CA934DF" w14:textId="77777777" w:rsidR="00204422" w:rsidRPr="00537128" w:rsidRDefault="00204422" w:rsidP="00204422">
      <w:pPr>
        <w:spacing w:after="0" w:line="240" w:lineRule="auto"/>
        <w:jc w:val="both"/>
        <w:rPr>
          <w:rFonts w:ascii="Calibri" w:eastAsia="Calibri" w:hAnsi="Calibri" w:cs="Arial"/>
          <w:lang w:val="en-US"/>
        </w:rPr>
      </w:pPr>
      <w:r w:rsidRPr="00537128">
        <w:rPr>
          <w:rFonts w:ascii="Calibri" w:eastAsia="Calibri" w:hAnsi="Calibri" w:cs="Arial"/>
          <w:lang w:val="en-US"/>
        </w:rPr>
        <w:t>The Bank has an obligation to disburse funds for loans and revolving loans upon committed undrawn loans. The expiry date of disbursement or other termination clause is determined by the contract. Disbursements are exercised in several withdrawals, depending on the purpose of the loan, phase of the project or documentation needed for disbursement. Since commitments may expire without being drawn upon, the total contractual amounts do not necessarily represent future cash outflows.</w:t>
      </w:r>
    </w:p>
    <w:p w14:paraId="425E149F" w14:textId="77777777" w:rsidR="00204422" w:rsidRPr="00537128" w:rsidRDefault="00204422" w:rsidP="00204422">
      <w:pPr>
        <w:keepNext/>
        <w:spacing w:after="0" w:line="240" w:lineRule="auto"/>
        <w:jc w:val="both"/>
        <w:rPr>
          <w:rFonts w:ascii="Calibri" w:eastAsia="Calibri" w:hAnsi="Calibri" w:cs="Arial"/>
          <w:lang w:val="en-US"/>
        </w:rPr>
      </w:pPr>
      <w:r w:rsidRPr="00537128">
        <w:rPr>
          <w:rFonts w:ascii="Calibri" w:eastAsia="Calibri" w:hAnsi="Calibri" w:cs="Arial"/>
          <w:lang w:val="en-US"/>
        </w:rPr>
        <w:t xml:space="preserve">Committed undrawn loans include less potential credit risk than loans, since most commitments depend upon meeting specific terms and conditions by the customers </w:t>
      </w:r>
      <w:proofErr w:type="gramStart"/>
      <w:r w:rsidRPr="00537128">
        <w:rPr>
          <w:rFonts w:ascii="Calibri" w:eastAsia="Calibri" w:hAnsi="Calibri" w:cs="Arial"/>
          <w:lang w:val="en-US"/>
        </w:rPr>
        <w:t>in order to</w:t>
      </w:r>
      <w:proofErr w:type="gramEnd"/>
      <w:r w:rsidRPr="00537128">
        <w:rPr>
          <w:rFonts w:ascii="Calibri" w:eastAsia="Calibri" w:hAnsi="Calibri" w:cs="Arial"/>
          <w:lang w:val="en-US"/>
        </w:rPr>
        <w:t xml:space="preserve"> use the funds. The Bank monitors the terms to maturity of loan commitments.</w:t>
      </w:r>
    </w:p>
    <w:p w14:paraId="2E49E7C9" w14:textId="77777777" w:rsidR="00204422" w:rsidRPr="00537128" w:rsidRDefault="00204422" w:rsidP="00204422">
      <w:pPr>
        <w:keepNext/>
        <w:spacing w:after="0" w:line="240" w:lineRule="auto"/>
        <w:jc w:val="both"/>
        <w:rPr>
          <w:rFonts w:ascii="Calibri" w:eastAsia="Times New Roman" w:hAnsi="Calibri" w:cs="Arial"/>
          <w:bCs/>
          <w:lang w:val="en-US" w:eastAsia="hr-HR"/>
        </w:rPr>
      </w:pPr>
    </w:p>
    <w:p w14:paraId="121C7DEA" w14:textId="1B660EC3" w:rsidR="00204422" w:rsidRPr="00537128" w:rsidRDefault="00204422" w:rsidP="00EC0514">
      <w:pPr>
        <w:tabs>
          <w:tab w:val="left" w:pos="-1843"/>
        </w:tabs>
        <w:spacing w:after="0" w:line="240" w:lineRule="auto"/>
        <w:jc w:val="both"/>
        <w:rPr>
          <w:rFonts w:eastAsia="Calibri" w:cs="Arial"/>
          <w:color w:val="000000" w:themeColor="text1"/>
          <w:lang w:val="en-US"/>
        </w:rPr>
      </w:pPr>
    </w:p>
    <w:p w14:paraId="35511A98" w14:textId="77777777" w:rsidR="00204422" w:rsidRPr="00537128" w:rsidRDefault="00204422" w:rsidP="00EC0514">
      <w:pPr>
        <w:tabs>
          <w:tab w:val="left" w:pos="-1843"/>
        </w:tabs>
        <w:spacing w:after="0" w:line="240" w:lineRule="auto"/>
        <w:jc w:val="both"/>
        <w:rPr>
          <w:rFonts w:eastAsia="Calibri" w:cs="Arial"/>
          <w:color w:val="000000" w:themeColor="text1"/>
          <w:lang w:val="en-US"/>
        </w:rPr>
      </w:pPr>
    </w:p>
    <w:p w14:paraId="0899DCCE" w14:textId="77777777" w:rsidR="00F527AB" w:rsidRPr="00537128" w:rsidRDefault="00F527AB" w:rsidP="00B70ECE">
      <w:pPr>
        <w:spacing w:after="0" w:line="240" w:lineRule="auto"/>
        <w:jc w:val="both"/>
        <w:rPr>
          <w:rFonts w:ascii="Calibri" w:eastAsia="Times New Roman" w:hAnsi="Calibri" w:cs="Times New Roman"/>
          <w:color w:val="000000" w:themeColor="text1"/>
          <w:lang w:val="en-US"/>
        </w:rPr>
        <w:sectPr w:rsidR="00F527AB" w:rsidRPr="00537128">
          <w:pgSz w:w="11906" w:h="16838"/>
          <w:pgMar w:top="1417" w:right="1417" w:bottom="1417" w:left="1417" w:header="708" w:footer="708" w:gutter="0"/>
          <w:cols w:space="708"/>
          <w:docGrid w:linePitch="360"/>
        </w:sectPr>
      </w:pPr>
    </w:p>
    <w:p w14:paraId="61B2300B" w14:textId="77777777" w:rsidR="00204422" w:rsidRPr="00537128" w:rsidRDefault="00204422" w:rsidP="002A5720">
      <w:pPr>
        <w:tabs>
          <w:tab w:val="left" w:pos="-1843"/>
        </w:tabs>
        <w:suppressAutoHyphens/>
        <w:spacing w:after="0"/>
        <w:rPr>
          <w:rFonts w:cs="Arial"/>
          <w:b/>
          <w:color w:val="000000" w:themeColor="text1"/>
          <w:spacing w:val="-3"/>
          <w:lang w:val="en-US"/>
        </w:rPr>
      </w:pPr>
    </w:p>
    <w:p w14:paraId="43309586" w14:textId="08110904" w:rsidR="002A5720" w:rsidRPr="00A1123E" w:rsidRDefault="00CB52C6" w:rsidP="00A1123E">
      <w:pPr>
        <w:tabs>
          <w:tab w:val="left" w:pos="-1843"/>
        </w:tabs>
        <w:suppressAutoHyphens/>
        <w:spacing w:after="0"/>
        <w:rPr>
          <w:rFonts w:cs="Arial"/>
          <w:b/>
          <w:color w:val="000000" w:themeColor="text1"/>
          <w:spacing w:val="-3"/>
          <w:lang w:val="en-US"/>
        </w:rPr>
      </w:pPr>
      <w:r>
        <w:rPr>
          <w:rFonts w:cs="Arial"/>
          <w:b/>
          <w:color w:val="000000" w:themeColor="text1"/>
          <w:spacing w:val="-3"/>
          <w:lang w:val="en-US"/>
        </w:rPr>
        <w:t>22.</w:t>
      </w:r>
      <w:r>
        <w:rPr>
          <w:rFonts w:cs="Arial"/>
          <w:b/>
          <w:color w:val="000000" w:themeColor="text1"/>
          <w:spacing w:val="-3"/>
          <w:lang w:val="en-US"/>
        </w:rPr>
        <w:tab/>
      </w:r>
      <w:r w:rsidR="002A5720" w:rsidRPr="00A1123E">
        <w:rPr>
          <w:rFonts w:cs="Arial"/>
          <w:b/>
          <w:color w:val="000000" w:themeColor="text1"/>
          <w:spacing w:val="-3"/>
          <w:lang w:val="en-US"/>
        </w:rPr>
        <w:t>Related-party transactions</w:t>
      </w:r>
    </w:p>
    <w:p w14:paraId="39E51C1C" w14:textId="77777777" w:rsidR="002A5720" w:rsidRPr="00537128" w:rsidRDefault="002A5720" w:rsidP="002A5720">
      <w:pPr>
        <w:tabs>
          <w:tab w:val="left" w:pos="-1843"/>
        </w:tabs>
        <w:suppressAutoHyphens/>
        <w:spacing w:after="0"/>
        <w:rPr>
          <w:rFonts w:cs="Arial"/>
          <w:b/>
          <w:color w:val="000000" w:themeColor="text1"/>
          <w:spacing w:val="-3"/>
          <w:lang w:val="en-US"/>
        </w:rPr>
      </w:pPr>
    </w:p>
    <w:p w14:paraId="257428BA"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r w:rsidRPr="00537128">
        <w:rPr>
          <w:rFonts w:eastAsia="Calibri" w:cs="Arial"/>
          <w:color w:val="000000" w:themeColor="text1"/>
          <w:lang w:val="en-US"/>
        </w:rPr>
        <w:t>Related parties are companies that directly or indirectly, through one or more intermediaries, control, or are controlled by, the reporting company.</w:t>
      </w:r>
    </w:p>
    <w:p w14:paraId="744B3724"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p>
    <w:p w14:paraId="048F5C8A"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proofErr w:type="gramStart"/>
      <w:r w:rsidRPr="00537128">
        <w:rPr>
          <w:rFonts w:eastAsia="Calibri" w:cs="Arial"/>
          <w:color w:val="000000" w:themeColor="text1"/>
          <w:lang w:val="en-US"/>
        </w:rPr>
        <w:t>The majority of</w:t>
      </w:r>
      <w:proofErr w:type="gramEnd"/>
      <w:r w:rsidRPr="00537128">
        <w:rPr>
          <w:rFonts w:eastAsia="Calibri" w:cs="Arial"/>
          <w:color w:val="000000" w:themeColor="text1"/>
          <w:lang w:val="en-US"/>
        </w:rPr>
        <w:t xml:space="preserve"> related-party transactions relate to the transactions with the Republic of Croatia, the 100% owner of the Bank and state-owned companies over which the Republic of Croatia has the controlling influence.</w:t>
      </w:r>
    </w:p>
    <w:p w14:paraId="0ADDC25F"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p>
    <w:p w14:paraId="78767EBD"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r w:rsidRPr="00537128">
        <w:rPr>
          <w:rFonts w:eastAsia="Calibri" w:cs="Arial"/>
          <w:color w:val="000000" w:themeColor="text1"/>
          <w:lang w:val="en-US"/>
        </w:rPr>
        <w:t>All transactions stated were carried out under usual/regular conditions of the Bank.</w:t>
      </w:r>
    </w:p>
    <w:p w14:paraId="74E91CC1" w14:textId="77777777" w:rsidR="00F527AB" w:rsidRPr="00537128" w:rsidRDefault="00F527AB" w:rsidP="002A5720">
      <w:pPr>
        <w:tabs>
          <w:tab w:val="left" w:pos="-1843"/>
        </w:tabs>
        <w:spacing w:after="0" w:line="240" w:lineRule="auto"/>
        <w:jc w:val="both"/>
        <w:rPr>
          <w:rFonts w:eastAsia="Calibri" w:cs="Arial"/>
          <w:color w:val="000000" w:themeColor="text1"/>
          <w:lang w:val="en-US"/>
        </w:rPr>
      </w:pPr>
    </w:p>
    <w:p w14:paraId="2E01214F" w14:textId="4F07AB60" w:rsidR="002A5720" w:rsidRPr="00537128" w:rsidRDefault="00F527AB" w:rsidP="002A5720">
      <w:pPr>
        <w:tabs>
          <w:tab w:val="left" w:pos="-1843"/>
        </w:tabs>
        <w:spacing w:after="0" w:line="240" w:lineRule="auto"/>
        <w:jc w:val="both"/>
        <w:rPr>
          <w:rFonts w:eastAsia="Calibri" w:cs="Arial"/>
          <w:color w:val="000000" w:themeColor="text1"/>
          <w:lang w:val="en-US"/>
        </w:rPr>
      </w:pPr>
      <w:r w:rsidRPr="00537128">
        <w:rPr>
          <w:rFonts w:eastAsia="Calibri" w:cs="Arial"/>
          <w:color w:val="000000" w:themeColor="text1"/>
          <w:lang w:val="en-US"/>
        </w:rPr>
        <w:t xml:space="preserve">Assets and liabilities as of </w:t>
      </w:r>
      <w:bookmarkStart w:id="532" w:name="_Hlk68852605"/>
      <w:r w:rsidRPr="00537128">
        <w:rPr>
          <w:rFonts w:eastAsia="Calibri" w:cs="Arial"/>
          <w:color w:val="000000" w:themeColor="text1"/>
          <w:lang w:val="en-US"/>
        </w:rPr>
        <w:t>3</w:t>
      </w:r>
      <w:r w:rsidR="00F86C52" w:rsidRPr="00537128">
        <w:rPr>
          <w:rFonts w:eastAsia="Calibri" w:cs="Arial"/>
          <w:color w:val="000000" w:themeColor="text1"/>
          <w:lang w:val="en-US"/>
        </w:rPr>
        <w:t>1</w:t>
      </w:r>
      <w:r w:rsidRPr="00537128">
        <w:rPr>
          <w:rFonts w:eastAsia="Calibri" w:cs="Arial"/>
          <w:color w:val="000000" w:themeColor="text1"/>
          <w:lang w:val="en-US"/>
        </w:rPr>
        <w:t xml:space="preserve"> </w:t>
      </w:r>
      <w:r w:rsidR="00F86C52" w:rsidRPr="00537128">
        <w:rPr>
          <w:rFonts w:eastAsia="Calibri" w:cs="Arial"/>
          <w:color w:val="000000" w:themeColor="text1"/>
          <w:lang w:val="en-US"/>
        </w:rPr>
        <w:t>March</w:t>
      </w:r>
      <w:r w:rsidRPr="00537128">
        <w:rPr>
          <w:rFonts w:eastAsia="Calibri" w:cs="Arial"/>
          <w:color w:val="000000" w:themeColor="text1"/>
          <w:lang w:val="en-US"/>
        </w:rPr>
        <w:t xml:space="preserve"> 202</w:t>
      </w:r>
      <w:r w:rsidR="002C19E9">
        <w:rPr>
          <w:rFonts w:eastAsia="Calibri" w:cs="Arial"/>
          <w:color w:val="000000" w:themeColor="text1"/>
          <w:lang w:val="en-US"/>
        </w:rPr>
        <w:t>2</w:t>
      </w:r>
      <w:r w:rsidRPr="00537128">
        <w:rPr>
          <w:rFonts w:eastAsia="Calibri" w:cs="Arial"/>
          <w:color w:val="000000" w:themeColor="text1"/>
          <w:lang w:val="en-US"/>
        </w:rPr>
        <w:t xml:space="preserve"> </w:t>
      </w:r>
      <w:bookmarkEnd w:id="532"/>
      <w:r w:rsidRPr="00537128">
        <w:rPr>
          <w:rFonts w:eastAsia="Calibri" w:cs="Arial"/>
          <w:color w:val="000000" w:themeColor="text1"/>
          <w:lang w:val="en-US"/>
        </w:rPr>
        <w:t>and 31 December 20</w:t>
      </w:r>
      <w:r w:rsidR="00F86C52" w:rsidRPr="00537128">
        <w:rPr>
          <w:rFonts w:eastAsia="Calibri" w:cs="Arial"/>
          <w:color w:val="000000" w:themeColor="text1"/>
          <w:lang w:val="en-US"/>
        </w:rPr>
        <w:t>2</w:t>
      </w:r>
      <w:r w:rsidR="00157558">
        <w:rPr>
          <w:rFonts w:eastAsia="Calibri" w:cs="Arial"/>
          <w:color w:val="000000" w:themeColor="text1"/>
          <w:lang w:val="en-US"/>
        </w:rPr>
        <w:t>1</w:t>
      </w:r>
      <w:r w:rsidRPr="00537128">
        <w:rPr>
          <w:rFonts w:eastAsia="Calibri" w:cs="Arial"/>
          <w:color w:val="000000" w:themeColor="text1"/>
          <w:lang w:val="en-US"/>
        </w:rPr>
        <w:t xml:space="preserve">, and income and expense for the period 1 January to </w:t>
      </w:r>
      <w:r w:rsidR="00F86C52" w:rsidRPr="00537128">
        <w:rPr>
          <w:rFonts w:eastAsia="Calibri" w:cs="Arial"/>
          <w:color w:val="000000" w:themeColor="text1"/>
          <w:lang w:val="en-US"/>
        </w:rPr>
        <w:t>31 March 202</w:t>
      </w:r>
      <w:r w:rsidR="00157558">
        <w:rPr>
          <w:rFonts w:eastAsia="Calibri" w:cs="Arial"/>
          <w:color w:val="000000" w:themeColor="text1"/>
          <w:lang w:val="en-US"/>
        </w:rPr>
        <w:t>2</w:t>
      </w:r>
      <w:r w:rsidR="00F86C52" w:rsidRPr="00537128">
        <w:rPr>
          <w:rFonts w:eastAsia="Calibri" w:cs="Arial"/>
          <w:color w:val="000000" w:themeColor="text1"/>
          <w:lang w:val="en-US"/>
        </w:rPr>
        <w:t xml:space="preserve"> </w:t>
      </w:r>
      <w:r w:rsidRPr="00537128">
        <w:rPr>
          <w:rFonts w:eastAsia="Calibri" w:cs="Arial"/>
          <w:color w:val="000000" w:themeColor="text1"/>
          <w:lang w:val="en-US"/>
        </w:rPr>
        <w:t xml:space="preserve">and for the period 1 January to </w:t>
      </w:r>
      <w:r w:rsidR="00F86C52" w:rsidRPr="00537128">
        <w:rPr>
          <w:rFonts w:eastAsia="Calibri" w:cs="Arial"/>
          <w:color w:val="000000" w:themeColor="text1"/>
          <w:lang w:val="en-US"/>
        </w:rPr>
        <w:t>31 March 202</w:t>
      </w:r>
      <w:r w:rsidR="00157558">
        <w:rPr>
          <w:rFonts w:eastAsia="Calibri" w:cs="Arial"/>
          <w:color w:val="000000" w:themeColor="text1"/>
          <w:lang w:val="en-US"/>
        </w:rPr>
        <w:t>1</w:t>
      </w:r>
      <w:r w:rsidR="00F86C52" w:rsidRPr="00537128">
        <w:rPr>
          <w:rFonts w:eastAsia="Calibri" w:cs="Arial"/>
          <w:color w:val="000000" w:themeColor="text1"/>
          <w:lang w:val="en-US"/>
        </w:rPr>
        <w:t xml:space="preserve"> </w:t>
      </w:r>
      <w:r w:rsidRPr="00537128">
        <w:rPr>
          <w:rFonts w:eastAsia="Calibri" w:cs="Arial"/>
          <w:color w:val="000000" w:themeColor="text1"/>
          <w:lang w:val="en-US"/>
        </w:rPr>
        <w:t>arising from transactions with related parties, including the Bank’s key management personnel, include the following</w:t>
      </w:r>
      <w:r w:rsidR="00F7700B">
        <w:rPr>
          <w:rFonts w:eastAsia="Calibri" w:cs="Arial"/>
          <w:color w:val="000000" w:themeColor="text1"/>
          <w:lang w:val="en-US"/>
        </w:rPr>
        <w:t>:</w:t>
      </w:r>
    </w:p>
    <w:p w14:paraId="7C679DA6" w14:textId="77777777" w:rsidR="00F527AB" w:rsidRPr="00537128" w:rsidRDefault="00F527AB" w:rsidP="002A5720">
      <w:pPr>
        <w:tabs>
          <w:tab w:val="left" w:pos="-1843"/>
        </w:tabs>
        <w:spacing w:after="0" w:line="240" w:lineRule="auto"/>
        <w:jc w:val="both"/>
        <w:rPr>
          <w:rFonts w:eastAsia="Calibri" w:cs="Arial"/>
          <w:color w:val="000000" w:themeColor="text1"/>
          <w:lang w:val="en-US"/>
        </w:rPr>
      </w:pPr>
    </w:p>
    <w:p w14:paraId="2E17F439" w14:textId="77777777" w:rsidR="002A5720" w:rsidRPr="00537128" w:rsidRDefault="002A5720" w:rsidP="005B7D9D">
      <w:pPr>
        <w:pStyle w:val="T1"/>
        <w:keepNext w:val="0"/>
        <w:numPr>
          <w:ilvl w:val="0"/>
          <w:numId w:val="17"/>
        </w:numPr>
        <w:spacing w:before="0" w:line="240" w:lineRule="auto"/>
        <w:rPr>
          <w:rFonts w:asciiTheme="minorHAnsi" w:hAnsiTheme="minorHAnsi" w:cs="Arial"/>
          <w:b w:val="0"/>
          <w:bCs w:val="0"/>
          <w:color w:val="000000" w:themeColor="text1"/>
          <w:sz w:val="22"/>
          <w:szCs w:val="22"/>
          <w:lang w:val="en-US"/>
        </w:rPr>
      </w:pPr>
      <w:r w:rsidRPr="00537128">
        <w:rPr>
          <w:rFonts w:asciiTheme="minorHAnsi" w:hAnsiTheme="minorHAnsi" w:cs="Arial"/>
          <w:b w:val="0"/>
          <w:bCs w:val="0"/>
          <w:color w:val="000000" w:themeColor="text1"/>
          <w:sz w:val="22"/>
          <w:szCs w:val="22"/>
          <w:lang w:val="en-US"/>
        </w:rPr>
        <w:t>Related-party transactions</w:t>
      </w:r>
    </w:p>
    <w:tbl>
      <w:tblPr>
        <w:tblW w:w="4969" w:type="pct"/>
        <w:jc w:val="center"/>
        <w:tblLayout w:type="fixed"/>
        <w:tblCellMar>
          <w:left w:w="113" w:type="dxa"/>
          <w:right w:w="85" w:type="dxa"/>
        </w:tblCellMar>
        <w:tblLook w:val="00A0" w:firstRow="1" w:lastRow="0" w:firstColumn="1" w:lastColumn="0" w:noHBand="0" w:noVBand="0"/>
      </w:tblPr>
      <w:tblGrid>
        <w:gridCol w:w="3516"/>
        <w:gridCol w:w="1375"/>
        <w:gridCol w:w="1375"/>
        <w:gridCol w:w="1375"/>
        <w:gridCol w:w="1375"/>
      </w:tblGrid>
      <w:tr w:rsidR="000473FF" w:rsidRPr="00537128" w14:paraId="632D9C30" w14:textId="77777777" w:rsidTr="00F86C52">
        <w:trPr>
          <w:trHeight w:hRule="exact" w:val="304"/>
          <w:jc w:val="center"/>
        </w:trPr>
        <w:tc>
          <w:tcPr>
            <w:tcW w:w="3516" w:type="dxa"/>
            <w:vAlign w:val="bottom"/>
            <w:hideMark/>
          </w:tcPr>
          <w:p w14:paraId="309932F9" w14:textId="77777777" w:rsidR="000473FF" w:rsidRPr="00537128" w:rsidRDefault="000473FF" w:rsidP="000473FF">
            <w:pPr>
              <w:tabs>
                <w:tab w:val="right" w:pos="1202"/>
              </w:tabs>
              <w:spacing w:after="0" w:line="240" w:lineRule="auto"/>
              <w:outlineLvl w:val="0"/>
              <w:rPr>
                <w:rFonts w:ascii="Calibri" w:eastAsia="Times New Roman" w:hAnsi="Calibri" w:cs="Arial"/>
                <w:sz w:val="20"/>
                <w:szCs w:val="20"/>
                <w:lang w:val="en-US"/>
              </w:rPr>
            </w:pPr>
            <w:bookmarkStart w:id="533" w:name="_Toc4060258"/>
            <w:r w:rsidRPr="00537128">
              <w:rPr>
                <w:rFonts w:ascii="Calibri" w:eastAsia="Times New Roman" w:hAnsi="Calibri" w:cs="Arial"/>
                <w:b/>
                <w:sz w:val="20"/>
                <w:szCs w:val="20"/>
                <w:lang w:val="en-US"/>
              </w:rPr>
              <w:t>Group</w:t>
            </w:r>
            <w:bookmarkEnd w:id="533"/>
          </w:p>
        </w:tc>
        <w:tc>
          <w:tcPr>
            <w:tcW w:w="1375" w:type="dxa"/>
            <w:vAlign w:val="bottom"/>
            <w:hideMark/>
          </w:tcPr>
          <w:p w14:paraId="0045525A" w14:textId="77777777" w:rsidR="000473FF" w:rsidRPr="00537128" w:rsidRDefault="000473FF" w:rsidP="000473FF">
            <w:pPr>
              <w:tabs>
                <w:tab w:val="right" w:pos="1202"/>
              </w:tabs>
              <w:spacing w:after="0" w:line="240" w:lineRule="auto"/>
              <w:jc w:val="right"/>
              <w:outlineLvl w:val="0"/>
              <w:rPr>
                <w:rFonts w:ascii="Calibri" w:eastAsia="Times New Roman" w:hAnsi="Calibri" w:cs="Arial"/>
                <w:b/>
                <w:bCs/>
                <w:iCs/>
                <w:sz w:val="20"/>
                <w:szCs w:val="20"/>
                <w:lang w:val="en-US"/>
              </w:rPr>
            </w:pPr>
            <w:bookmarkStart w:id="534" w:name="_Toc4060259"/>
            <w:r w:rsidRPr="00537128">
              <w:rPr>
                <w:rFonts w:ascii="Calibri" w:eastAsia="Times New Roman" w:hAnsi="Calibri" w:cs="Arial"/>
                <w:b/>
                <w:bCs/>
                <w:iCs/>
                <w:sz w:val="20"/>
                <w:szCs w:val="20"/>
                <w:lang w:val="en-US"/>
              </w:rPr>
              <w:t>Assets</w:t>
            </w:r>
            <w:bookmarkEnd w:id="534"/>
          </w:p>
        </w:tc>
        <w:tc>
          <w:tcPr>
            <w:tcW w:w="1375" w:type="dxa"/>
            <w:vAlign w:val="bottom"/>
            <w:hideMark/>
          </w:tcPr>
          <w:p w14:paraId="7E74FCA4" w14:textId="77777777" w:rsidR="000473FF" w:rsidRPr="00537128" w:rsidRDefault="000473FF" w:rsidP="000473FF">
            <w:pPr>
              <w:tabs>
                <w:tab w:val="right" w:pos="1202"/>
              </w:tabs>
              <w:spacing w:after="0" w:line="240" w:lineRule="auto"/>
              <w:jc w:val="right"/>
              <w:outlineLvl w:val="0"/>
              <w:rPr>
                <w:rFonts w:ascii="Calibri" w:eastAsia="Times New Roman" w:hAnsi="Calibri" w:cs="Arial"/>
                <w:b/>
                <w:bCs/>
                <w:iCs/>
                <w:sz w:val="20"/>
                <w:szCs w:val="20"/>
                <w:lang w:val="en-US"/>
              </w:rPr>
            </w:pPr>
            <w:bookmarkStart w:id="535" w:name="_Toc4060260"/>
            <w:r w:rsidRPr="00537128">
              <w:rPr>
                <w:rFonts w:ascii="Calibri" w:eastAsia="Times New Roman" w:hAnsi="Calibri" w:cs="Arial"/>
                <w:b/>
                <w:bCs/>
                <w:iCs/>
                <w:sz w:val="20"/>
                <w:szCs w:val="20"/>
                <w:lang w:val="en-US"/>
              </w:rPr>
              <w:t>Liabilities</w:t>
            </w:r>
            <w:bookmarkEnd w:id="535"/>
          </w:p>
        </w:tc>
        <w:tc>
          <w:tcPr>
            <w:tcW w:w="1375" w:type="dxa"/>
            <w:vAlign w:val="bottom"/>
            <w:hideMark/>
          </w:tcPr>
          <w:p w14:paraId="690D1763" w14:textId="77777777" w:rsidR="000473FF" w:rsidRPr="00537128" w:rsidRDefault="000473FF" w:rsidP="000473FF">
            <w:pPr>
              <w:tabs>
                <w:tab w:val="right" w:pos="1202"/>
              </w:tabs>
              <w:spacing w:after="0" w:line="240" w:lineRule="auto"/>
              <w:jc w:val="right"/>
              <w:outlineLvl w:val="0"/>
              <w:rPr>
                <w:rFonts w:ascii="Calibri" w:eastAsia="Times New Roman" w:hAnsi="Calibri" w:cs="Arial"/>
                <w:b/>
                <w:bCs/>
                <w:iCs/>
                <w:sz w:val="20"/>
                <w:szCs w:val="20"/>
                <w:lang w:val="en-US"/>
              </w:rPr>
            </w:pPr>
            <w:bookmarkStart w:id="536" w:name="_Toc4060261"/>
            <w:r w:rsidRPr="00537128">
              <w:rPr>
                <w:rFonts w:ascii="Calibri" w:eastAsia="Times New Roman" w:hAnsi="Calibri" w:cs="Arial"/>
                <w:b/>
                <w:bCs/>
                <w:iCs/>
                <w:sz w:val="20"/>
                <w:szCs w:val="20"/>
                <w:lang w:val="en-US"/>
              </w:rPr>
              <w:t>Assets</w:t>
            </w:r>
            <w:bookmarkEnd w:id="536"/>
          </w:p>
        </w:tc>
        <w:tc>
          <w:tcPr>
            <w:tcW w:w="1375" w:type="dxa"/>
            <w:vAlign w:val="bottom"/>
            <w:hideMark/>
          </w:tcPr>
          <w:p w14:paraId="36472A46" w14:textId="77777777" w:rsidR="000473FF" w:rsidRPr="00537128" w:rsidRDefault="000473FF" w:rsidP="000473FF">
            <w:pPr>
              <w:tabs>
                <w:tab w:val="right" w:pos="1202"/>
              </w:tabs>
              <w:spacing w:after="0" w:line="240" w:lineRule="auto"/>
              <w:jc w:val="right"/>
              <w:outlineLvl w:val="0"/>
              <w:rPr>
                <w:rFonts w:ascii="Calibri" w:eastAsia="Times New Roman" w:hAnsi="Calibri" w:cs="Arial"/>
                <w:b/>
                <w:bCs/>
                <w:iCs/>
                <w:sz w:val="20"/>
                <w:szCs w:val="20"/>
                <w:lang w:val="en-US"/>
              </w:rPr>
            </w:pPr>
            <w:bookmarkStart w:id="537" w:name="_Toc4060262"/>
            <w:r w:rsidRPr="00537128">
              <w:rPr>
                <w:rFonts w:ascii="Calibri" w:eastAsia="Times New Roman" w:hAnsi="Calibri" w:cs="Arial"/>
                <w:b/>
                <w:bCs/>
                <w:iCs/>
                <w:sz w:val="20"/>
                <w:szCs w:val="20"/>
                <w:lang w:val="en-US"/>
              </w:rPr>
              <w:t>Liabilities</w:t>
            </w:r>
            <w:bookmarkEnd w:id="537"/>
          </w:p>
        </w:tc>
      </w:tr>
      <w:tr w:rsidR="000473FF" w:rsidRPr="00537128" w14:paraId="44D715C0" w14:textId="77777777" w:rsidTr="00F86C52">
        <w:trPr>
          <w:trHeight w:hRule="exact" w:val="585"/>
          <w:jc w:val="center"/>
        </w:trPr>
        <w:tc>
          <w:tcPr>
            <w:tcW w:w="3516" w:type="dxa"/>
            <w:vAlign w:val="bottom"/>
          </w:tcPr>
          <w:p w14:paraId="67CDD8B1" w14:textId="77777777" w:rsidR="000473FF" w:rsidRPr="00537128" w:rsidRDefault="000473FF" w:rsidP="000473FF">
            <w:pPr>
              <w:tabs>
                <w:tab w:val="right" w:pos="1202"/>
              </w:tabs>
              <w:spacing w:after="0" w:line="240" w:lineRule="auto"/>
              <w:outlineLvl w:val="0"/>
              <w:rPr>
                <w:rFonts w:ascii="Calibri" w:eastAsia="Times New Roman" w:hAnsi="Calibri" w:cs="Arial"/>
                <w:sz w:val="20"/>
                <w:szCs w:val="20"/>
                <w:lang w:val="en-US"/>
              </w:rPr>
            </w:pPr>
          </w:p>
        </w:tc>
        <w:tc>
          <w:tcPr>
            <w:tcW w:w="1375" w:type="dxa"/>
            <w:vAlign w:val="center"/>
            <w:hideMark/>
          </w:tcPr>
          <w:p w14:paraId="5EFEF6C9" w14:textId="582C66AA" w:rsidR="000473FF" w:rsidRPr="00537128" w:rsidRDefault="000473FF" w:rsidP="000473FF">
            <w:pPr>
              <w:tabs>
                <w:tab w:val="right" w:pos="1202"/>
              </w:tabs>
              <w:spacing w:after="0" w:line="240" w:lineRule="auto"/>
              <w:jc w:val="right"/>
              <w:outlineLvl w:val="0"/>
              <w:rPr>
                <w:rFonts w:ascii="Calibri" w:eastAsia="Times New Roman" w:hAnsi="Calibri" w:cs="Arial"/>
                <w:b/>
                <w:bCs/>
                <w:iCs/>
                <w:sz w:val="20"/>
                <w:szCs w:val="20"/>
                <w:lang w:val="en-US"/>
              </w:rPr>
            </w:pPr>
            <w:bookmarkStart w:id="538" w:name="_Toc4060263"/>
            <w:r w:rsidRPr="00537128">
              <w:rPr>
                <w:rFonts w:ascii="Calibri" w:eastAsia="Times New Roman" w:hAnsi="Calibri" w:cs="Arial"/>
                <w:b/>
                <w:bCs/>
                <w:sz w:val="20"/>
                <w:szCs w:val="20"/>
                <w:lang w:val="en-US"/>
              </w:rPr>
              <w:t xml:space="preserve">31 March </w:t>
            </w:r>
            <w:bookmarkEnd w:id="538"/>
            <w:r w:rsidRPr="00537128">
              <w:rPr>
                <w:rFonts w:ascii="Calibri" w:eastAsia="Times New Roman" w:hAnsi="Calibri" w:cs="Arial"/>
                <w:b/>
                <w:bCs/>
                <w:sz w:val="20"/>
                <w:szCs w:val="20"/>
                <w:lang w:val="en-US"/>
              </w:rPr>
              <w:t>202</w:t>
            </w:r>
            <w:r w:rsidR="006B4487">
              <w:rPr>
                <w:rFonts w:ascii="Calibri" w:eastAsia="Times New Roman" w:hAnsi="Calibri" w:cs="Arial"/>
                <w:b/>
                <w:bCs/>
                <w:sz w:val="20"/>
                <w:szCs w:val="20"/>
                <w:lang w:val="en-US"/>
              </w:rPr>
              <w:t>2</w:t>
            </w:r>
          </w:p>
        </w:tc>
        <w:tc>
          <w:tcPr>
            <w:tcW w:w="1375" w:type="dxa"/>
            <w:vAlign w:val="center"/>
            <w:hideMark/>
          </w:tcPr>
          <w:p w14:paraId="764E59DA" w14:textId="451BB5CA" w:rsidR="000473FF" w:rsidRPr="00537128" w:rsidRDefault="000473FF" w:rsidP="000473FF">
            <w:pPr>
              <w:tabs>
                <w:tab w:val="right" w:pos="1202"/>
              </w:tabs>
              <w:spacing w:after="0" w:line="240" w:lineRule="auto"/>
              <w:jc w:val="right"/>
              <w:outlineLvl w:val="0"/>
              <w:rPr>
                <w:rFonts w:ascii="Calibri" w:eastAsia="Times New Roman" w:hAnsi="Calibri" w:cs="Arial"/>
                <w:b/>
                <w:bCs/>
                <w:iCs/>
                <w:sz w:val="20"/>
                <w:szCs w:val="20"/>
                <w:lang w:val="en-US"/>
              </w:rPr>
            </w:pPr>
            <w:r w:rsidRPr="00537128">
              <w:rPr>
                <w:rFonts w:ascii="Calibri" w:eastAsia="Times New Roman" w:hAnsi="Calibri" w:cs="Arial"/>
                <w:b/>
                <w:bCs/>
                <w:sz w:val="20"/>
                <w:szCs w:val="20"/>
                <w:lang w:val="en-US"/>
              </w:rPr>
              <w:t>31 March 202</w:t>
            </w:r>
            <w:r w:rsidR="006B4487">
              <w:rPr>
                <w:rFonts w:ascii="Calibri" w:eastAsia="Times New Roman" w:hAnsi="Calibri" w:cs="Arial"/>
                <w:b/>
                <w:bCs/>
                <w:sz w:val="20"/>
                <w:szCs w:val="20"/>
                <w:lang w:val="en-US"/>
              </w:rPr>
              <w:t>2</w:t>
            </w:r>
          </w:p>
        </w:tc>
        <w:tc>
          <w:tcPr>
            <w:tcW w:w="1375" w:type="dxa"/>
            <w:vAlign w:val="center"/>
            <w:hideMark/>
          </w:tcPr>
          <w:p w14:paraId="36DA026C" w14:textId="208855BB" w:rsidR="000473FF" w:rsidRPr="00537128" w:rsidRDefault="000473FF" w:rsidP="000473FF">
            <w:pPr>
              <w:tabs>
                <w:tab w:val="right" w:pos="1202"/>
              </w:tabs>
              <w:spacing w:after="0" w:line="240" w:lineRule="auto"/>
              <w:jc w:val="right"/>
              <w:outlineLvl w:val="0"/>
              <w:rPr>
                <w:rFonts w:ascii="Calibri" w:eastAsia="Times New Roman" w:hAnsi="Calibri" w:cs="Arial"/>
                <w:b/>
                <w:bCs/>
                <w:iCs/>
                <w:sz w:val="20"/>
                <w:szCs w:val="20"/>
                <w:lang w:val="en-US"/>
              </w:rPr>
            </w:pPr>
            <w:r w:rsidRPr="00537128">
              <w:rPr>
                <w:rFonts w:ascii="Calibri" w:eastAsia="Times New Roman" w:hAnsi="Calibri" w:cs="Arial"/>
                <w:b/>
                <w:bCs/>
                <w:sz w:val="20"/>
                <w:szCs w:val="20"/>
                <w:lang w:val="en-US"/>
              </w:rPr>
              <w:t>31 December 202</w:t>
            </w:r>
            <w:r w:rsidR="006B4487">
              <w:rPr>
                <w:rFonts w:ascii="Calibri" w:eastAsia="Times New Roman" w:hAnsi="Calibri" w:cs="Arial"/>
                <w:b/>
                <w:bCs/>
                <w:sz w:val="20"/>
                <w:szCs w:val="20"/>
                <w:lang w:val="en-US"/>
              </w:rPr>
              <w:t>1</w:t>
            </w:r>
          </w:p>
        </w:tc>
        <w:tc>
          <w:tcPr>
            <w:tcW w:w="1375" w:type="dxa"/>
            <w:vAlign w:val="center"/>
            <w:hideMark/>
          </w:tcPr>
          <w:p w14:paraId="649BB762" w14:textId="2168BCF9" w:rsidR="000473FF" w:rsidRPr="00537128" w:rsidRDefault="000473FF" w:rsidP="000473FF">
            <w:pPr>
              <w:tabs>
                <w:tab w:val="right" w:pos="1202"/>
              </w:tabs>
              <w:spacing w:after="0" w:line="240" w:lineRule="auto"/>
              <w:jc w:val="right"/>
              <w:outlineLvl w:val="0"/>
              <w:rPr>
                <w:rFonts w:ascii="Calibri" w:eastAsia="Times New Roman" w:hAnsi="Calibri" w:cs="Arial"/>
                <w:b/>
                <w:bCs/>
                <w:iCs/>
                <w:sz w:val="20"/>
                <w:szCs w:val="20"/>
                <w:lang w:val="en-US"/>
              </w:rPr>
            </w:pPr>
            <w:r w:rsidRPr="00537128">
              <w:rPr>
                <w:rFonts w:ascii="Calibri" w:eastAsia="Times New Roman" w:hAnsi="Calibri" w:cs="Arial"/>
                <w:b/>
                <w:bCs/>
                <w:sz w:val="20"/>
                <w:szCs w:val="20"/>
                <w:lang w:val="en-US"/>
              </w:rPr>
              <w:t>31 December 202</w:t>
            </w:r>
            <w:r w:rsidR="006B4487">
              <w:rPr>
                <w:rFonts w:ascii="Calibri" w:eastAsia="Times New Roman" w:hAnsi="Calibri" w:cs="Arial"/>
                <w:b/>
                <w:bCs/>
                <w:sz w:val="20"/>
                <w:szCs w:val="20"/>
                <w:lang w:val="en-US"/>
              </w:rPr>
              <w:t>1</w:t>
            </w:r>
          </w:p>
        </w:tc>
      </w:tr>
      <w:tr w:rsidR="000473FF" w:rsidRPr="00537128" w14:paraId="02DCAAF7" w14:textId="77777777" w:rsidTr="00F86C52">
        <w:trPr>
          <w:trHeight w:hRule="exact" w:val="304"/>
          <w:jc w:val="center"/>
        </w:trPr>
        <w:tc>
          <w:tcPr>
            <w:tcW w:w="3516" w:type="dxa"/>
            <w:vAlign w:val="bottom"/>
          </w:tcPr>
          <w:p w14:paraId="0A6A36DA" w14:textId="77777777" w:rsidR="000473FF" w:rsidRPr="00537128" w:rsidRDefault="000473FF" w:rsidP="000473FF">
            <w:pPr>
              <w:tabs>
                <w:tab w:val="right" w:pos="1202"/>
              </w:tabs>
              <w:spacing w:after="0" w:line="240" w:lineRule="auto"/>
              <w:outlineLvl w:val="0"/>
              <w:rPr>
                <w:rFonts w:ascii="Calibri" w:eastAsia="Times New Roman" w:hAnsi="Calibri" w:cs="Arial"/>
                <w:sz w:val="20"/>
                <w:szCs w:val="20"/>
                <w:lang w:val="en-US"/>
              </w:rPr>
            </w:pPr>
          </w:p>
        </w:tc>
        <w:tc>
          <w:tcPr>
            <w:tcW w:w="1375" w:type="dxa"/>
            <w:vAlign w:val="bottom"/>
            <w:hideMark/>
          </w:tcPr>
          <w:p w14:paraId="27C70357" w14:textId="77777777" w:rsidR="000473FF" w:rsidRPr="00537128" w:rsidRDefault="000473FF" w:rsidP="000473FF">
            <w:pPr>
              <w:tabs>
                <w:tab w:val="right" w:pos="1202"/>
              </w:tabs>
              <w:spacing w:after="0" w:line="240" w:lineRule="auto"/>
              <w:jc w:val="right"/>
              <w:outlineLvl w:val="0"/>
              <w:rPr>
                <w:rFonts w:ascii="Calibri" w:eastAsia="Times New Roman" w:hAnsi="Calibri" w:cs="Arial"/>
                <w:b/>
                <w:bCs/>
                <w:sz w:val="20"/>
                <w:szCs w:val="20"/>
                <w:lang w:val="en-US"/>
              </w:rPr>
            </w:pPr>
            <w:bookmarkStart w:id="539" w:name="_Toc4060267"/>
            <w:r w:rsidRPr="00537128">
              <w:rPr>
                <w:rFonts w:ascii="Calibri" w:eastAsia="Times New Roman" w:hAnsi="Calibri" w:cs="Arial"/>
                <w:b/>
                <w:sz w:val="20"/>
                <w:szCs w:val="20"/>
                <w:lang w:val="en-US"/>
              </w:rPr>
              <w:t>HRK ‘000</w:t>
            </w:r>
            <w:bookmarkEnd w:id="539"/>
          </w:p>
        </w:tc>
        <w:tc>
          <w:tcPr>
            <w:tcW w:w="1375" w:type="dxa"/>
            <w:vAlign w:val="bottom"/>
            <w:hideMark/>
          </w:tcPr>
          <w:p w14:paraId="18D7F8A6" w14:textId="77777777" w:rsidR="000473FF" w:rsidRPr="00537128" w:rsidRDefault="000473FF" w:rsidP="000473FF">
            <w:pPr>
              <w:tabs>
                <w:tab w:val="right" w:pos="1202"/>
              </w:tabs>
              <w:spacing w:after="0" w:line="240" w:lineRule="auto"/>
              <w:jc w:val="right"/>
              <w:outlineLvl w:val="0"/>
              <w:rPr>
                <w:rFonts w:ascii="Calibri" w:eastAsia="Times New Roman" w:hAnsi="Calibri" w:cs="Arial"/>
                <w:b/>
                <w:bCs/>
                <w:sz w:val="20"/>
                <w:szCs w:val="20"/>
                <w:lang w:val="en-US"/>
              </w:rPr>
            </w:pPr>
            <w:bookmarkStart w:id="540" w:name="_Toc4060268"/>
            <w:r w:rsidRPr="00537128">
              <w:rPr>
                <w:rFonts w:ascii="Calibri" w:eastAsia="Times New Roman" w:hAnsi="Calibri" w:cs="Arial"/>
                <w:b/>
                <w:bCs/>
                <w:sz w:val="20"/>
                <w:szCs w:val="20"/>
                <w:lang w:val="en-US"/>
              </w:rPr>
              <w:t>HRK ‘000</w:t>
            </w:r>
            <w:bookmarkEnd w:id="540"/>
          </w:p>
        </w:tc>
        <w:tc>
          <w:tcPr>
            <w:tcW w:w="1375" w:type="dxa"/>
            <w:vAlign w:val="bottom"/>
            <w:hideMark/>
          </w:tcPr>
          <w:p w14:paraId="306ABC31" w14:textId="60B301A0" w:rsidR="000473FF" w:rsidRPr="00537128" w:rsidRDefault="000473FF" w:rsidP="000473FF">
            <w:pPr>
              <w:tabs>
                <w:tab w:val="right" w:pos="1202"/>
              </w:tabs>
              <w:spacing w:after="0" w:line="240" w:lineRule="auto"/>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1375" w:type="dxa"/>
            <w:vAlign w:val="bottom"/>
            <w:hideMark/>
          </w:tcPr>
          <w:p w14:paraId="09C26D02" w14:textId="462F773C" w:rsidR="000473FF" w:rsidRPr="00537128" w:rsidRDefault="000473FF" w:rsidP="000473FF">
            <w:pPr>
              <w:tabs>
                <w:tab w:val="right" w:pos="1202"/>
              </w:tabs>
              <w:spacing w:after="0" w:line="240" w:lineRule="auto"/>
              <w:jc w:val="right"/>
              <w:outlineLvl w:val="0"/>
              <w:rPr>
                <w:rFonts w:ascii="Calibri" w:eastAsia="Times New Roman" w:hAnsi="Calibri" w:cs="Arial"/>
                <w:b/>
                <w:sz w:val="20"/>
                <w:szCs w:val="20"/>
                <w:lang w:val="en-US"/>
              </w:rPr>
            </w:pPr>
            <w:r w:rsidRPr="00537128">
              <w:rPr>
                <w:rFonts w:ascii="Calibri" w:eastAsia="Times New Roman" w:hAnsi="Calibri" w:cs="Arial"/>
                <w:b/>
                <w:bCs/>
                <w:sz w:val="20"/>
                <w:szCs w:val="20"/>
                <w:lang w:val="en-US"/>
              </w:rPr>
              <w:t>HRK ‘000</w:t>
            </w:r>
          </w:p>
        </w:tc>
      </w:tr>
      <w:tr w:rsidR="000408E6" w:rsidRPr="00537128" w14:paraId="1E993121" w14:textId="77777777" w:rsidTr="009F52ED">
        <w:trPr>
          <w:trHeight w:hRule="exact" w:val="383"/>
          <w:jc w:val="center"/>
        </w:trPr>
        <w:tc>
          <w:tcPr>
            <w:tcW w:w="3516" w:type="dxa"/>
            <w:vAlign w:val="bottom"/>
            <w:hideMark/>
          </w:tcPr>
          <w:p w14:paraId="669772E9" w14:textId="29AA87BD" w:rsidR="000408E6" w:rsidRPr="00537128" w:rsidRDefault="000408E6" w:rsidP="000408E6">
            <w:pPr>
              <w:tabs>
                <w:tab w:val="right" w:pos="1202"/>
              </w:tabs>
              <w:spacing w:after="0" w:line="240" w:lineRule="auto"/>
              <w:outlineLvl w:val="0"/>
              <w:rPr>
                <w:rFonts w:ascii="Calibri" w:eastAsia="Times New Roman" w:hAnsi="Calibri" w:cs="Arial"/>
                <w:sz w:val="20"/>
                <w:szCs w:val="20"/>
                <w:lang w:val="en-US"/>
              </w:rPr>
            </w:pPr>
            <w:bookmarkStart w:id="541" w:name="_Toc4060271"/>
            <w:r w:rsidRPr="00537128">
              <w:rPr>
                <w:rFonts w:ascii="Calibri" w:eastAsia="Times New Roman" w:hAnsi="Calibri" w:cs="Arial"/>
                <w:sz w:val="20"/>
                <w:szCs w:val="20"/>
                <w:lang w:val="en-US"/>
              </w:rPr>
              <w:t>Owner</w:t>
            </w:r>
            <w:bookmarkEnd w:id="541"/>
          </w:p>
        </w:tc>
        <w:tc>
          <w:tcPr>
            <w:tcW w:w="1375" w:type="dxa"/>
            <w:shd w:val="clear" w:color="auto" w:fill="auto"/>
            <w:vAlign w:val="bottom"/>
          </w:tcPr>
          <w:p w14:paraId="5B2042CA" w14:textId="3DA251BE" w:rsidR="000408E6" w:rsidRPr="00537128" w:rsidRDefault="000408E6" w:rsidP="000408E6">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Calibri" w:hAnsi="Calibri" w:cs="Arial"/>
                <w:bCs/>
                <w:iCs/>
                <w:color w:val="000000" w:themeColor="text1"/>
                <w:sz w:val="20"/>
                <w:szCs w:val="20"/>
              </w:rPr>
              <w:t>3</w:t>
            </w:r>
            <w:r w:rsidR="00B61797">
              <w:rPr>
                <w:rFonts w:ascii="Calibri" w:eastAsia="Calibri" w:hAnsi="Calibri" w:cs="Arial"/>
                <w:bCs/>
                <w:iCs/>
                <w:color w:val="000000" w:themeColor="text1"/>
                <w:sz w:val="20"/>
                <w:szCs w:val="20"/>
              </w:rPr>
              <w:t>,</w:t>
            </w:r>
            <w:r>
              <w:rPr>
                <w:rFonts w:ascii="Calibri" w:eastAsia="Calibri" w:hAnsi="Calibri" w:cs="Arial"/>
                <w:bCs/>
                <w:iCs/>
                <w:color w:val="000000" w:themeColor="text1"/>
                <w:sz w:val="20"/>
                <w:szCs w:val="20"/>
              </w:rPr>
              <w:t>618</w:t>
            </w:r>
            <w:r w:rsidR="00B61797">
              <w:rPr>
                <w:rFonts w:ascii="Calibri" w:eastAsia="Calibri" w:hAnsi="Calibri" w:cs="Arial"/>
                <w:bCs/>
                <w:iCs/>
                <w:color w:val="000000" w:themeColor="text1"/>
                <w:sz w:val="20"/>
                <w:szCs w:val="20"/>
              </w:rPr>
              <w:t>,</w:t>
            </w:r>
            <w:r>
              <w:rPr>
                <w:rFonts w:ascii="Calibri" w:eastAsia="Calibri" w:hAnsi="Calibri" w:cs="Arial"/>
                <w:bCs/>
                <w:iCs/>
                <w:color w:val="000000" w:themeColor="text1"/>
                <w:sz w:val="20"/>
                <w:szCs w:val="20"/>
              </w:rPr>
              <w:t>688</w:t>
            </w:r>
          </w:p>
        </w:tc>
        <w:tc>
          <w:tcPr>
            <w:tcW w:w="1375" w:type="dxa"/>
            <w:shd w:val="clear" w:color="auto" w:fill="auto"/>
            <w:vAlign w:val="bottom"/>
          </w:tcPr>
          <w:p w14:paraId="7FAF30AC" w14:textId="5AD5D794" w:rsidR="000408E6" w:rsidRPr="00537128" w:rsidRDefault="000408E6" w:rsidP="000408E6">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Calibri" w:hAnsi="Calibri" w:cs="Arial"/>
                <w:bCs/>
                <w:iCs/>
                <w:color w:val="000000" w:themeColor="text1"/>
                <w:sz w:val="20"/>
                <w:szCs w:val="20"/>
              </w:rPr>
              <w:t>1</w:t>
            </w:r>
            <w:r w:rsidR="00B61797">
              <w:rPr>
                <w:rFonts w:ascii="Calibri" w:eastAsia="Calibri" w:hAnsi="Calibri" w:cs="Arial"/>
                <w:bCs/>
                <w:iCs/>
                <w:color w:val="000000" w:themeColor="text1"/>
                <w:sz w:val="20"/>
                <w:szCs w:val="20"/>
              </w:rPr>
              <w:t>,</w:t>
            </w:r>
            <w:r>
              <w:rPr>
                <w:rFonts w:ascii="Calibri" w:eastAsia="Calibri" w:hAnsi="Calibri" w:cs="Arial"/>
                <w:bCs/>
                <w:iCs/>
                <w:color w:val="000000" w:themeColor="text1"/>
                <w:sz w:val="20"/>
                <w:szCs w:val="20"/>
              </w:rPr>
              <w:t>820</w:t>
            </w:r>
            <w:r w:rsidR="00B61797">
              <w:rPr>
                <w:rFonts w:ascii="Calibri" w:eastAsia="Calibri" w:hAnsi="Calibri" w:cs="Arial"/>
                <w:bCs/>
                <w:iCs/>
                <w:color w:val="000000" w:themeColor="text1"/>
                <w:sz w:val="20"/>
                <w:szCs w:val="20"/>
              </w:rPr>
              <w:t>,</w:t>
            </w:r>
            <w:r>
              <w:rPr>
                <w:rFonts w:ascii="Calibri" w:eastAsia="Calibri" w:hAnsi="Calibri" w:cs="Arial"/>
                <w:bCs/>
                <w:iCs/>
                <w:color w:val="000000" w:themeColor="text1"/>
                <w:sz w:val="20"/>
                <w:szCs w:val="20"/>
              </w:rPr>
              <w:t>012</w:t>
            </w:r>
          </w:p>
        </w:tc>
        <w:tc>
          <w:tcPr>
            <w:tcW w:w="1375" w:type="dxa"/>
            <w:shd w:val="clear" w:color="auto" w:fill="auto"/>
            <w:vAlign w:val="bottom"/>
            <w:hideMark/>
          </w:tcPr>
          <w:p w14:paraId="7EEB28E5" w14:textId="625DC582" w:rsidR="000408E6" w:rsidRPr="00537128" w:rsidRDefault="000408E6" w:rsidP="000408E6">
            <w:pPr>
              <w:tabs>
                <w:tab w:val="right" w:pos="1202"/>
              </w:tabs>
              <w:spacing w:after="0" w:line="280" w:lineRule="exact"/>
              <w:jc w:val="right"/>
              <w:outlineLvl w:val="0"/>
              <w:rPr>
                <w:rFonts w:ascii="Calibri" w:eastAsia="Times New Roman" w:hAnsi="Calibri" w:cs="Arial"/>
                <w:bCs/>
                <w:iCs/>
                <w:sz w:val="20"/>
                <w:szCs w:val="20"/>
                <w:lang w:val="en-US"/>
              </w:rPr>
            </w:pPr>
            <w:r>
              <w:rPr>
                <w:rFonts w:ascii="Calibri" w:hAnsi="Calibri" w:cs="Calibri"/>
                <w:color w:val="000000"/>
                <w:sz w:val="20"/>
                <w:szCs w:val="20"/>
              </w:rPr>
              <w:t>3,348,080</w:t>
            </w:r>
          </w:p>
        </w:tc>
        <w:tc>
          <w:tcPr>
            <w:tcW w:w="1375" w:type="dxa"/>
            <w:shd w:val="clear" w:color="auto" w:fill="auto"/>
            <w:vAlign w:val="bottom"/>
            <w:hideMark/>
          </w:tcPr>
          <w:p w14:paraId="1E8CE77C" w14:textId="3C2C0BEA" w:rsidR="000408E6" w:rsidRPr="00537128" w:rsidRDefault="000408E6" w:rsidP="000408E6">
            <w:pPr>
              <w:tabs>
                <w:tab w:val="right" w:pos="1202"/>
              </w:tabs>
              <w:spacing w:after="0" w:line="280" w:lineRule="exact"/>
              <w:jc w:val="right"/>
              <w:outlineLvl w:val="0"/>
              <w:rPr>
                <w:rFonts w:ascii="Calibri" w:eastAsia="Times New Roman" w:hAnsi="Calibri" w:cs="Arial"/>
                <w:bCs/>
                <w:iCs/>
                <w:sz w:val="20"/>
                <w:szCs w:val="20"/>
                <w:lang w:val="en-US"/>
              </w:rPr>
            </w:pPr>
            <w:r>
              <w:rPr>
                <w:rFonts w:ascii="Calibri" w:hAnsi="Calibri" w:cs="Calibri"/>
                <w:color w:val="000000"/>
                <w:sz w:val="20"/>
                <w:szCs w:val="20"/>
              </w:rPr>
              <w:t>1,853,263</w:t>
            </w:r>
          </w:p>
        </w:tc>
      </w:tr>
      <w:tr w:rsidR="000408E6" w:rsidRPr="00537128" w14:paraId="4FF83B97" w14:textId="77777777" w:rsidTr="009F52ED">
        <w:trPr>
          <w:trHeight w:val="19"/>
          <w:jc w:val="center"/>
        </w:trPr>
        <w:tc>
          <w:tcPr>
            <w:tcW w:w="3516" w:type="dxa"/>
            <w:vAlign w:val="bottom"/>
            <w:hideMark/>
          </w:tcPr>
          <w:p w14:paraId="75FE717D" w14:textId="22073C9C" w:rsidR="000408E6" w:rsidRPr="00537128" w:rsidRDefault="000408E6" w:rsidP="000408E6">
            <w:pPr>
              <w:tabs>
                <w:tab w:val="right" w:pos="1202"/>
              </w:tabs>
              <w:spacing w:after="0" w:line="240" w:lineRule="auto"/>
              <w:outlineLvl w:val="0"/>
              <w:rPr>
                <w:rFonts w:ascii="Calibri" w:eastAsia="Times New Roman" w:hAnsi="Calibri" w:cs="Arial"/>
                <w:sz w:val="20"/>
                <w:szCs w:val="20"/>
                <w:lang w:val="en-US"/>
              </w:rPr>
            </w:pPr>
            <w:bookmarkStart w:id="542" w:name="_Toc4060276"/>
            <w:r w:rsidRPr="00537128">
              <w:rPr>
                <w:rFonts w:ascii="Calibri" w:eastAsia="Times New Roman" w:hAnsi="Calibri" w:cs="Arial"/>
                <w:sz w:val="20"/>
                <w:szCs w:val="20"/>
                <w:lang w:val="en-US"/>
              </w:rPr>
              <w:t xml:space="preserve">Government funds, executive </w:t>
            </w:r>
            <w:proofErr w:type="gramStart"/>
            <w:r w:rsidRPr="00537128">
              <w:rPr>
                <w:rFonts w:ascii="Calibri" w:eastAsia="Times New Roman" w:hAnsi="Calibri" w:cs="Arial"/>
                <w:sz w:val="20"/>
                <w:szCs w:val="20"/>
                <w:lang w:val="en-US"/>
              </w:rPr>
              <w:t>authorities</w:t>
            </w:r>
            <w:proofErr w:type="gramEnd"/>
            <w:r w:rsidRPr="00537128">
              <w:rPr>
                <w:rFonts w:ascii="Calibri" w:eastAsia="Times New Roman" w:hAnsi="Calibri" w:cs="Arial"/>
                <w:sz w:val="20"/>
                <w:szCs w:val="20"/>
                <w:lang w:val="en-US"/>
              </w:rPr>
              <w:t xml:space="preserve"> and agencies</w:t>
            </w:r>
            <w:bookmarkEnd w:id="542"/>
          </w:p>
        </w:tc>
        <w:tc>
          <w:tcPr>
            <w:tcW w:w="1375" w:type="dxa"/>
            <w:shd w:val="clear" w:color="auto" w:fill="auto"/>
            <w:vAlign w:val="bottom"/>
          </w:tcPr>
          <w:p w14:paraId="3D54B296" w14:textId="4A87F6F8" w:rsidR="000408E6" w:rsidRPr="00537128" w:rsidRDefault="000408E6" w:rsidP="000408E6">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Calibri" w:hAnsi="Calibri" w:cs="Arial"/>
                <w:bCs/>
                <w:iCs/>
                <w:color w:val="000000" w:themeColor="text1"/>
                <w:sz w:val="20"/>
                <w:szCs w:val="20"/>
              </w:rPr>
              <w:t>4</w:t>
            </w:r>
            <w:r w:rsidR="00B61797">
              <w:rPr>
                <w:rFonts w:ascii="Calibri" w:eastAsia="Calibri" w:hAnsi="Calibri" w:cs="Arial"/>
                <w:bCs/>
                <w:iCs/>
                <w:color w:val="000000" w:themeColor="text1"/>
                <w:sz w:val="20"/>
                <w:szCs w:val="20"/>
              </w:rPr>
              <w:t>,</w:t>
            </w:r>
            <w:r>
              <w:rPr>
                <w:rFonts w:ascii="Calibri" w:eastAsia="Calibri" w:hAnsi="Calibri" w:cs="Arial"/>
                <w:bCs/>
                <w:iCs/>
                <w:color w:val="000000" w:themeColor="text1"/>
                <w:sz w:val="20"/>
                <w:szCs w:val="20"/>
              </w:rPr>
              <w:t>602</w:t>
            </w:r>
            <w:r w:rsidR="00B61797">
              <w:rPr>
                <w:rFonts w:ascii="Calibri" w:eastAsia="Calibri" w:hAnsi="Calibri" w:cs="Arial"/>
                <w:bCs/>
                <w:iCs/>
                <w:color w:val="000000" w:themeColor="text1"/>
                <w:sz w:val="20"/>
                <w:szCs w:val="20"/>
              </w:rPr>
              <w:t>,</w:t>
            </w:r>
            <w:r>
              <w:rPr>
                <w:rFonts w:ascii="Calibri" w:eastAsia="Calibri" w:hAnsi="Calibri" w:cs="Arial"/>
                <w:bCs/>
                <w:iCs/>
                <w:color w:val="000000" w:themeColor="text1"/>
                <w:sz w:val="20"/>
                <w:szCs w:val="20"/>
              </w:rPr>
              <w:t>304</w:t>
            </w:r>
          </w:p>
        </w:tc>
        <w:tc>
          <w:tcPr>
            <w:tcW w:w="1375" w:type="dxa"/>
            <w:shd w:val="clear" w:color="auto" w:fill="auto"/>
            <w:vAlign w:val="bottom"/>
          </w:tcPr>
          <w:p w14:paraId="7553E6CD" w14:textId="5859DD6D" w:rsidR="000408E6" w:rsidRPr="00537128" w:rsidRDefault="000408E6" w:rsidP="000408E6">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Calibri" w:hAnsi="Calibri" w:cs="Arial"/>
                <w:bCs/>
                <w:iCs/>
                <w:color w:val="000000" w:themeColor="text1"/>
                <w:sz w:val="20"/>
                <w:szCs w:val="20"/>
              </w:rPr>
              <w:t>249</w:t>
            </w:r>
            <w:r w:rsidR="00B61797">
              <w:rPr>
                <w:rFonts w:ascii="Calibri" w:eastAsia="Calibri" w:hAnsi="Calibri" w:cs="Arial"/>
                <w:bCs/>
                <w:iCs/>
                <w:color w:val="000000" w:themeColor="text1"/>
                <w:sz w:val="20"/>
                <w:szCs w:val="20"/>
              </w:rPr>
              <w:t>,</w:t>
            </w:r>
            <w:r>
              <w:rPr>
                <w:rFonts w:ascii="Calibri" w:eastAsia="Calibri" w:hAnsi="Calibri" w:cs="Arial"/>
                <w:bCs/>
                <w:iCs/>
                <w:color w:val="000000" w:themeColor="text1"/>
                <w:sz w:val="20"/>
                <w:szCs w:val="20"/>
              </w:rPr>
              <w:t>073</w:t>
            </w:r>
          </w:p>
        </w:tc>
        <w:tc>
          <w:tcPr>
            <w:tcW w:w="1375" w:type="dxa"/>
            <w:shd w:val="clear" w:color="auto" w:fill="auto"/>
            <w:vAlign w:val="bottom"/>
            <w:hideMark/>
          </w:tcPr>
          <w:p w14:paraId="2ECA3D29" w14:textId="37488023" w:rsidR="000408E6" w:rsidRPr="00537128" w:rsidRDefault="000408E6" w:rsidP="000408E6">
            <w:pPr>
              <w:tabs>
                <w:tab w:val="right" w:pos="1202"/>
              </w:tabs>
              <w:spacing w:after="0" w:line="280" w:lineRule="exact"/>
              <w:jc w:val="right"/>
              <w:outlineLvl w:val="0"/>
              <w:rPr>
                <w:rFonts w:ascii="Calibri" w:eastAsia="Times New Roman" w:hAnsi="Calibri" w:cs="Arial"/>
                <w:bCs/>
                <w:iCs/>
                <w:sz w:val="20"/>
                <w:szCs w:val="20"/>
                <w:lang w:val="en-US"/>
              </w:rPr>
            </w:pPr>
            <w:r>
              <w:rPr>
                <w:rFonts w:ascii="Calibri" w:hAnsi="Calibri" w:cs="Calibri"/>
                <w:color w:val="000000"/>
                <w:sz w:val="20"/>
                <w:szCs w:val="20"/>
              </w:rPr>
              <w:t>4,617,620</w:t>
            </w:r>
          </w:p>
        </w:tc>
        <w:tc>
          <w:tcPr>
            <w:tcW w:w="1375" w:type="dxa"/>
            <w:shd w:val="clear" w:color="auto" w:fill="auto"/>
            <w:vAlign w:val="bottom"/>
            <w:hideMark/>
          </w:tcPr>
          <w:p w14:paraId="1F991CF2" w14:textId="0CD1C05D" w:rsidR="000408E6" w:rsidRPr="00537128" w:rsidRDefault="000408E6" w:rsidP="000408E6">
            <w:pPr>
              <w:tabs>
                <w:tab w:val="right" w:pos="1202"/>
              </w:tabs>
              <w:spacing w:after="0" w:line="280" w:lineRule="exact"/>
              <w:jc w:val="right"/>
              <w:outlineLvl w:val="0"/>
              <w:rPr>
                <w:rFonts w:ascii="Calibri" w:eastAsia="Times New Roman" w:hAnsi="Calibri" w:cs="Arial"/>
                <w:bCs/>
                <w:iCs/>
                <w:sz w:val="20"/>
                <w:szCs w:val="20"/>
                <w:lang w:val="en-US"/>
              </w:rPr>
            </w:pPr>
            <w:r>
              <w:rPr>
                <w:rFonts w:ascii="Calibri" w:hAnsi="Calibri" w:cs="Calibri"/>
                <w:color w:val="000000"/>
                <w:sz w:val="20"/>
                <w:szCs w:val="20"/>
              </w:rPr>
              <w:t>257,050</w:t>
            </w:r>
          </w:p>
        </w:tc>
      </w:tr>
      <w:tr w:rsidR="000408E6" w:rsidRPr="00537128" w14:paraId="5E07782C" w14:textId="77777777" w:rsidTr="009F52ED">
        <w:trPr>
          <w:trHeight w:val="313"/>
          <w:jc w:val="center"/>
        </w:trPr>
        <w:tc>
          <w:tcPr>
            <w:tcW w:w="3516" w:type="dxa"/>
            <w:vAlign w:val="bottom"/>
            <w:hideMark/>
          </w:tcPr>
          <w:p w14:paraId="0112FB3B" w14:textId="345B8515" w:rsidR="000408E6" w:rsidRPr="00537128" w:rsidRDefault="000408E6" w:rsidP="000408E6">
            <w:pPr>
              <w:tabs>
                <w:tab w:val="right" w:pos="1202"/>
              </w:tabs>
              <w:spacing w:after="0" w:line="240" w:lineRule="auto"/>
              <w:outlineLvl w:val="0"/>
              <w:rPr>
                <w:rFonts w:ascii="Calibri" w:eastAsia="Times New Roman" w:hAnsi="Calibri" w:cs="Arial"/>
                <w:sz w:val="20"/>
                <w:szCs w:val="20"/>
                <w:lang w:val="en-US"/>
              </w:rPr>
            </w:pPr>
            <w:bookmarkStart w:id="543" w:name="_Toc4060281"/>
            <w:r w:rsidRPr="00537128">
              <w:rPr>
                <w:rFonts w:ascii="Calibri" w:eastAsia="Times New Roman" w:hAnsi="Calibri" w:cs="Arial"/>
                <w:sz w:val="20"/>
                <w:szCs w:val="20"/>
                <w:lang w:val="en-US"/>
              </w:rPr>
              <w:t>State-owned companies</w:t>
            </w:r>
            <w:bookmarkEnd w:id="543"/>
          </w:p>
        </w:tc>
        <w:tc>
          <w:tcPr>
            <w:tcW w:w="1375" w:type="dxa"/>
            <w:shd w:val="clear" w:color="auto" w:fill="auto"/>
            <w:vAlign w:val="bottom"/>
          </w:tcPr>
          <w:p w14:paraId="503CC513" w14:textId="64F5E083" w:rsidR="000408E6" w:rsidRPr="00537128" w:rsidRDefault="000408E6" w:rsidP="000408E6">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Calibri" w:hAnsi="Calibri" w:cs="Arial"/>
                <w:bCs/>
                <w:iCs/>
                <w:color w:val="000000" w:themeColor="text1"/>
                <w:sz w:val="20"/>
                <w:szCs w:val="20"/>
              </w:rPr>
              <w:t>900</w:t>
            </w:r>
            <w:r w:rsidR="00B61797">
              <w:rPr>
                <w:rFonts w:ascii="Calibri" w:eastAsia="Calibri" w:hAnsi="Calibri" w:cs="Arial"/>
                <w:bCs/>
                <w:iCs/>
                <w:color w:val="000000" w:themeColor="text1"/>
                <w:sz w:val="20"/>
                <w:szCs w:val="20"/>
              </w:rPr>
              <w:t>,</w:t>
            </w:r>
            <w:r>
              <w:rPr>
                <w:rFonts w:ascii="Calibri" w:eastAsia="Calibri" w:hAnsi="Calibri" w:cs="Arial"/>
                <w:bCs/>
                <w:iCs/>
                <w:color w:val="000000" w:themeColor="text1"/>
                <w:sz w:val="20"/>
                <w:szCs w:val="20"/>
              </w:rPr>
              <w:t>445</w:t>
            </w:r>
          </w:p>
        </w:tc>
        <w:tc>
          <w:tcPr>
            <w:tcW w:w="1375" w:type="dxa"/>
            <w:shd w:val="clear" w:color="auto" w:fill="auto"/>
            <w:vAlign w:val="bottom"/>
          </w:tcPr>
          <w:p w14:paraId="46613E0C" w14:textId="065E9335" w:rsidR="000408E6" w:rsidRPr="00537128" w:rsidRDefault="000408E6" w:rsidP="000408E6">
            <w:pPr>
              <w:tabs>
                <w:tab w:val="right" w:pos="1202"/>
              </w:tabs>
              <w:spacing w:after="0" w:line="280" w:lineRule="exact"/>
              <w:jc w:val="right"/>
              <w:outlineLvl w:val="0"/>
              <w:rPr>
                <w:rFonts w:ascii="Calibri" w:eastAsia="Calibri" w:hAnsi="Calibri" w:cs="Times New Roman"/>
                <w:sz w:val="20"/>
                <w:szCs w:val="20"/>
                <w:lang w:val="en-US"/>
              </w:rPr>
            </w:pPr>
            <w:r>
              <w:rPr>
                <w:rFonts w:ascii="Calibri" w:eastAsia="Calibri" w:hAnsi="Calibri" w:cs="Arial"/>
                <w:bCs/>
                <w:iCs/>
                <w:color w:val="000000" w:themeColor="text1"/>
                <w:sz w:val="20"/>
                <w:szCs w:val="20"/>
              </w:rPr>
              <w:t>32</w:t>
            </w:r>
          </w:p>
        </w:tc>
        <w:tc>
          <w:tcPr>
            <w:tcW w:w="1375" w:type="dxa"/>
            <w:shd w:val="clear" w:color="auto" w:fill="auto"/>
            <w:vAlign w:val="bottom"/>
            <w:hideMark/>
          </w:tcPr>
          <w:p w14:paraId="1B9636FE" w14:textId="0CD9E678" w:rsidR="000408E6" w:rsidRPr="00537128" w:rsidRDefault="000408E6" w:rsidP="000408E6">
            <w:pPr>
              <w:tabs>
                <w:tab w:val="right" w:pos="1202"/>
              </w:tabs>
              <w:spacing w:after="0" w:line="280" w:lineRule="exact"/>
              <w:jc w:val="right"/>
              <w:outlineLvl w:val="0"/>
              <w:rPr>
                <w:rFonts w:ascii="Calibri" w:eastAsia="Times New Roman" w:hAnsi="Calibri" w:cs="Arial"/>
                <w:bCs/>
                <w:iCs/>
                <w:sz w:val="20"/>
                <w:szCs w:val="20"/>
                <w:lang w:val="en-US"/>
              </w:rPr>
            </w:pPr>
            <w:r>
              <w:rPr>
                <w:rFonts w:ascii="Calibri" w:hAnsi="Calibri" w:cs="Calibri"/>
                <w:color w:val="000000"/>
                <w:sz w:val="20"/>
                <w:szCs w:val="20"/>
              </w:rPr>
              <w:t>914,416</w:t>
            </w:r>
          </w:p>
        </w:tc>
        <w:tc>
          <w:tcPr>
            <w:tcW w:w="1375" w:type="dxa"/>
            <w:shd w:val="clear" w:color="auto" w:fill="auto"/>
            <w:vAlign w:val="bottom"/>
            <w:hideMark/>
          </w:tcPr>
          <w:p w14:paraId="6CC85F93" w14:textId="16DE168E" w:rsidR="000408E6" w:rsidRPr="00537128" w:rsidRDefault="000408E6" w:rsidP="000408E6">
            <w:pPr>
              <w:tabs>
                <w:tab w:val="right" w:pos="1202"/>
              </w:tabs>
              <w:spacing w:after="0" w:line="280" w:lineRule="exact"/>
              <w:jc w:val="right"/>
              <w:outlineLvl w:val="0"/>
              <w:rPr>
                <w:rFonts w:ascii="Calibri" w:eastAsia="Times New Roman" w:hAnsi="Calibri" w:cs="Arial"/>
                <w:bCs/>
                <w:iCs/>
                <w:sz w:val="20"/>
                <w:szCs w:val="20"/>
                <w:lang w:val="en-US"/>
              </w:rPr>
            </w:pPr>
            <w:r>
              <w:rPr>
                <w:rFonts w:ascii="Calibri" w:hAnsi="Calibri" w:cs="Calibri"/>
                <w:color w:val="000000"/>
                <w:sz w:val="20"/>
                <w:szCs w:val="20"/>
              </w:rPr>
              <w:t>59</w:t>
            </w:r>
          </w:p>
        </w:tc>
      </w:tr>
      <w:tr w:rsidR="000408E6" w:rsidRPr="00537128" w14:paraId="042A1E4C" w14:textId="77777777" w:rsidTr="009F52ED">
        <w:trPr>
          <w:trHeight w:val="313"/>
          <w:jc w:val="center"/>
        </w:trPr>
        <w:tc>
          <w:tcPr>
            <w:tcW w:w="3516" w:type="dxa"/>
            <w:vAlign w:val="bottom"/>
            <w:hideMark/>
          </w:tcPr>
          <w:p w14:paraId="5F9A0DDE" w14:textId="01C2B325" w:rsidR="000408E6" w:rsidRPr="00537128" w:rsidRDefault="000408E6" w:rsidP="000408E6">
            <w:pPr>
              <w:tabs>
                <w:tab w:val="right" w:pos="1202"/>
              </w:tabs>
              <w:spacing w:after="0" w:line="240" w:lineRule="auto"/>
              <w:outlineLvl w:val="0"/>
              <w:rPr>
                <w:rFonts w:ascii="Calibri" w:eastAsia="Times New Roman" w:hAnsi="Calibri" w:cs="Arial"/>
                <w:bCs/>
                <w:sz w:val="20"/>
                <w:szCs w:val="20"/>
                <w:lang w:val="en-US"/>
              </w:rPr>
            </w:pPr>
            <w:bookmarkStart w:id="544" w:name="_Toc4060286"/>
            <w:r w:rsidRPr="00537128">
              <w:rPr>
                <w:rFonts w:ascii="Calibri" w:eastAsia="Times New Roman" w:hAnsi="Calibri" w:cs="Arial"/>
                <w:sz w:val="20"/>
                <w:szCs w:val="20"/>
                <w:lang w:val="en-US"/>
              </w:rPr>
              <w:t>Associates</w:t>
            </w:r>
            <w:bookmarkEnd w:id="544"/>
          </w:p>
        </w:tc>
        <w:tc>
          <w:tcPr>
            <w:tcW w:w="1375" w:type="dxa"/>
            <w:shd w:val="clear" w:color="auto" w:fill="auto"/>
            <w:vAlign w:val="bottom"/>
          </w:tcPr>
          <w:p w14:paraId="3412EE57" w14:textId="75421E29" w:rsidR="000408E6" w:rsidRPr="00537128" w:rsidRDefault="000408E6" w:rsidP="000408E6">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Calibri" w:hAnsi="Calibri" w:cs="Arial"/>
                <w:bCs/>
                <w:iCs/>
                <w:color w:val="000000" w:themeColor="text1"/>
                <w:sz w:val="20"/>
                <w:szCs w:val="20"/>
              </w:rPr>
              <w:t>-</w:t>
            </w:r>
          </w:p>
        </w:tc>
        <w:tc>
          <w:tcPr>
            <w:tcW w:w="1375" w:type="dxa"/>
            <w:shd w:val="clear" w:color="auto" w:fill="auto"/>
            <w:vAlign w:val="bottom"/>
          </w:tcPr>
          <w:p w14:paraId="554E60A3" w14:textId="048BF6CC" w:rsidR="000408E6" w:rsidRPr="00537128" w:rsidRDefault="000408E6" w:rsidP="000408E6">
            <w:pPr>
              <w:tabs>
                <w:tab w:val="right" w:pos="1202"/>
              </w:tabs>
              <w:spacing w:after="0" w:line="240" w:lineRule="auto"/>
              <w:jc w:val="right"/>
              <w:outlineLvl w:val="0"/>
              <w:rPr>
                <w:rFonts w:ascii="Calibri" w:eastAsia="Times New Roman" w:hAnsi="Calibri" w:cs="Arial"/>
                <w:bCs/>
                <w:iCs/>
                <w:sz w:val="19"/>
                <w:szCs w:val="19"/>
                <w:lang w:val="en-US"/>
              </w:rPr>
            </w:pPr>
            <w:r w:rsidRPr="007A49AD">
              <w:rPr>
                <w:rFonts w:ascii="Calibri" w:eastAsia="Calibri" w:hAnsi="Calibri" w:cs="Arial"/>
                <w:bCs/>
                <w:iCs/>
                <w:color w:val="000000" w:themeColor="text1"/>
                <w:sz w:val="20"/>
                <w:szCs w:val="20"/>
              </w:rPr>
              <w:t>-</w:t>
            </w:r>
          </w:p>
        </w:tc>
        <w:tc>
          <w:tcPr>
            <w:tcW w:w="1375" w:type="dxa"/>
            <w:shd w:val="clear" w:color="auto" w:fill="auto"/>
            <w:vAlign w:val="bottom"/>
            <w:hideMark/>
          </w:tcPr>
          <w:p w14:paraId="3ADE2FAC" w14:textId="169384DD" w:rsidR="000408E6" w:rsidRPr="00537128" w:rsidRDefault="000408E6" w:rsidP="000408E6">
            <w:pPr>
              <w:tabs>
                <w:tab w:val="right" w:pos="1202"/>
              </w:tabs>
              <w:spacing w:after="0" w:line="280" w:lineRule="exact"/>
              <w:jc w:val="right"/>
              <w:outlineLvl w:val="0"/>
              <w:rPr>
                <w:rFonts w:ascii="Calibri" w:eastAsia="Times New Roman" w:hAnsi="Calibri" w:cs="Arial"/>
                <w:bCs/>
                <w:iCs/>
                <w:sz w:val="20"/>
                <w:szCs w:val="20"/>
                <w:lang w:val="en-US"/>
              </w:rPr>
            </w:pPr>
            <w:r>
              <w:rPr>
                <w:rFonts w:ascii="Calibri" w:hAnsi="Calibri" w:cs="Calibri"/>
                <w:color w:val="000000"/>
                <w:sz w:val="20"/>
                <w:szCs w:val="20"/>
              </w:rPr>
              <w:t>7</w:t>
            </w:r>
          </w:p>
        </w:tc>
        <w:tc>
          <w:tcPr>
            <w:tcW w:w="1375" w:type="dxa"/>
            <w:shd w:val="clear" w:color="auto" w:fill="auto"/>
            <w:vAlign w:val="bottom"/>
            <w:hideMark/>
          </w:tcPr>
          <w:p w14:paraId="78D7A6E2" w14:textId="574C40B7" w:rsidR="000408E6" w:rsidRPr="00537128" w:rsidRDefault="000408E6" w:rsidP="000408E6">
            <w:pPr>
              <w:tabs>
                <w:tab w:val="right" w:pos="1202"/>
              </w:tabs>
              <w:spacing w:after="0" w:line="280" w:lineRule="exact"/>
              <w:jc w:val="right"/>
              <w:outlineLvl w:val="0"/>
              <w:rPr>
                <w:rFonts w:ascii="Calibri" w:eastAsia="Times New Roman" w:hAnsi="Calibri" w:cs="Arial"/>
                <w:bCs/>
                <w:iCs/>
                <w:sz w:val="20"/>
                <w:szCs w:val="20"/>
                <w:lang w:val="en-US"/>
              </w:rPr>
            </w:pPr>
            <w:r>
              <w:rPr>
                <w:rFonts w:ascii="Calibri" w:hAnsi="Calibri" w:cs="Calibri"/>
                <w:color w:val="000000"/>
                <w:sz w:val="20"/>
                <w:szCs w:val="20"/>
              </w:rPr>
              <w:t>-</w:t>
            </w:r>
          </w:p>
        </w:tc>
      </w:tr>
      <w:tr w:rsidR="000408E6" w:rsidRPr="00537128" w14:paraId="1C4E5EFB" w14:textId="77777777" w:rsidTr="009F52ED">
        <w:trPr>
          <w:trHeight w:val="313"/>
          <w:jc w:val="center"/>
        </w:trPr>
        <w:tc>
          <w:tcPr>
            <w:tcW w:w="3516" w:type="dxa"/>
            <w:vAlign w:val="bottom"/>
            <w:hideMark/>
          </w:tcPr>
          <w:p w14:paraId="5ED8F631" w14:textId="548D63D8" w:rsidR="000408E6" w:rsidRPr="00537128" w:rsidRDefault="000408E6" w:rsidP="000408E6">
            <w:pPr>
              <w:tabs>
                <w:tab w:val="right" w:pos="1202"/>
              </w:tabs>
              <w:spacing w:after="0" w:line="240" w:lineRule="auto"/>
              <w:outlineLvl w:val="0"/>
              <w:rPr>
                <w:rFonts w:ascii="Calibri" w:eastAsia="Times New Roman" w:hAnsi="Calibri" w:cs="Arial"/>
                <w:bCs/>
                <w:sz w:val="20"/>
                <w:szCs w:val="20"/>
                <w:lang w:val="en-US"/>
              </w:rPr>
            </w:pPr>
            <w:bookmarkStart w:id="545" w:name="_Toc4060291"/>
            <w:r w:rsidRPr="00537128">
              <w:rPr>
                <w:rFonts w:ascii="Calibri" w:eastAsia="Times New Roman" w:hAnsi="Calibri" w:cs="Arial"/>
                <w:bCs/>
                <w:sz w:val="20"/>
                <w:szCs w:val="20"/>
                <w:lang w:val="en-US"/>
              </w:rPr>
              <w:t>Key management personnel</w:t>
            </w:r>
            <w:bookmarkEnd w:id="545"/>
          </w:p>
        </w:tc>
        <w:tc>
          <w:tcPr>
            <w:tcW w:w="1375" w:type="dxa"/>
            <w:tcBorders>
              <w:bottom w:val="single" w:sz="4" w:space="0" w:color="000000"/>
            </w:tcBorders>
            <w:shd w:val="clear" w:color="auto" w:fill="auto"/>
            <w:vAlign w:val="bottom"/>
          </w:tcPr>
          <w:p w14:paraId="44699290" w14:textId="348A51C5" w:rsidR="000408E6" w:rsidRPr="00537128" w:rsidRDefault="000408E6" w:rsidP="000408E6">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Calibri" w:hAnsi="Calibri" w:cs="Arial"/>
                <w:bCs/>
                <w:iCs/>
                <w:color w:val="000000" w:themeColor="text1"/>
                <w:sz w:val="20"/>
                <w:szCs w:val="20"/>
              </w:rPr>
              <w:t>2</w:t>
            </w:r>
            <w:r w:rsidR="00B61797">
              <w:rPr>
                <w:rFonts w:ascii="Calibri" w:eastAsia="Calibri" w:hAnsi="Calibri" w:cs="Arial"/>
                <w:bCs/>
                <w:iCs/>
                <w:color w:val="000000" w:themeColor="text1"/>
                <w:sz w:val="20"/>
                <w:szCs w:val="20"/>
              </w:rPr>
              <w:t>,</w:t>
            </w:r>
            <w:r>
              <w:rPr>
                <w:rFonts w:ascii="Calibri" w:eastAsia="Calibri" w:hAnsi="Calibri" w:cs="Arial"/>
                <w:bCs/>
                <w:iCs/>
                <w:color w:val="000000" w:themeColor="text1"/>
                <w:sz w:val="20"/>
                <w:szCs w:val="20"/>
              </w:rPr>
              <w:t>159</w:t>
            </w:r>
          </w:p>
        </w:tc>
        <w:tc>
          <w:tcPr>
            <w:tcW w:w="1375" w:type="dxa"/>
            <w:tcBorders>
              <w:bottom w:val="single" w:sz="4" w:space="0" w:color="000000"/>
            </w:tcBorders>
            <w:shd w:val="clear" w:color="auto" w:fill="auto"/>
            <w:vAlign w:val="bottom"/>
          </w:tcPr>
          <w:p w14:paraId="21287335" w14:textId="10CDC5C9" w:rsidR="000408E6" w:rsidRPr="00537128" w:rsidRDefault="000408E6" w:rsidP="000408E6">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Calibri" w:hAnsi="Calibri" w:cs="Arial"/>
                <w:bCs/>
                <w:iCs/>
                <w:color w:val="000000" w:themeColor="text1"/>
                <w:sz w:val="20"/>
                <w:szCs w:val="20"/>
              </w:rPr>
              <w:t>2</w:t>
            </w:r>
            <w:r w:rsidR="00B61797">
              <w:rPr>
                <w:rFonts w:ascii="Calibri" w:eastAsia="Calibri" w:hAnsi="Calibri" w:cs="Arial"/>
                <w:bCs/>
                <w:iCs/>
                <w:color w:val="000000" w:themeColor="text1"/>
                <w:sz w:val="20"/>
                <w:szCs w:val="20"/>
              </w:rPr>
              <w:t>,</w:t>
            </w:r>
            <w:r>
              <w:rPr>
                <w:rFonts w:ascii="Calibri" w:eastAsia="Calibri" w:hAnsi="Calibri" w:cs="Arial"/>
                <w:bCs/>
                <w:iCs/>
                <w:color w:val="000000" w:themeColor="text1"/>
                <w:sz w:val="20"/>
                <w:szCs w:val="20"/>
              </w:rPr>
              <w:t>270</w:t>
            </w:r>
          </w:p>
        </w:tc>
        <w:tc>
          <w:tcPr>
            <w:tcW w:w="1375" w:type="dxa"/>
            <w:tcBorders>
              <w:bottom w:val="single" w:sz="4" w:space="0" w:color="000000"/>
            </w:tcBorders>
            <w:shd w:val="clear" w:color="auto" w:fill="auto"/>
            <w:vAlign w:val="bottom"/>
            <w:hideMark/>
          </w:tcPr>
          <w:p w14:paraId="27D88A61" w14:textId="68D33C36" w:rsidR="000408E6" w:rsidRPr="00537128" w:rsidRDefault="000408E6" w:rsidP="000408E6">
            <w:pPr>
              <w:tabs>
                <w:tab w:val="right" w:pos="1202"/>
              </w:tabs>
              <w:spacing w:after="0" w:line="280" w:lineRule="exact"/>
              <w:jc w:val="right"/>
              <w:outlineLvl w:val="0"/>
              <w:rPr>
                <w:rFonts w:ascii="Calibri" w:eastAsia="Times New Roman" w:hAnsi="Calibri" w:cs="Arial"/>
                <w:bCs/>
                <w:iCs/>
                <w:sz w:val="20"/>
                <w:szCs w:val="20"/>
                <w:lang w:val="en-US"/>
              </w:rPr>
            </w:pPr>
            <w:r>
              <w:rPr>
                <w:rFonts w:ascii="Calibri" w:hAnsi="Calibri" w:cs="Calibri"/>
                <w:color w:val="000000"/>
                <w:sz w:val="20"/>
                <w:szCs w:val="20"/>
              </w:rPr>
              <w:t>3,393</w:t>
            </w:r>
          </w:p>
        </w:tc>
        <w:tc>
          <w:tcPr>
            <w:tcW w:w="1375" w:type="dxa"/>
            <w:tcBorders>
              <w:bottom w:val="single" w:sz="4" w:space="0" w:color="000000"/>
            </w:tcBorders>
            <w:shd w:val="clear" w:color="auto" w:fill="auto"/>
            <w:vAlign w:val="bottom"/>
            <w:hideMark/>
          </w:tcPr>
          <w:p w14:paraId="394161B6" w14:textId="0A761B5E" w:rsidR="000408E6" w:rsidRPr="00537128" w:rsidRDefault="000408E6" w:rsidP="000408E6">
            <w:pPr>
              <w:tabs>
                <w:tab w:val="right" w:pos="1202"/>
              </w:tabs>
              <w:spacing w:after="0" w:line="280" w:lineRule="exact"/>
              <w:jc w:val="right"/>
              <w:outlineLvl w:val="0"/>
              <w:rPr>
                <w:rFonts w:ascii="Calibri" w:eastAsia="Times New Roman" w:hAnsi="Calibri" w:cs="Arial"/>
                <w:bCs/>
                <w:iCs/>
                <w:sz w:val="20"/>
                <w:szCs w:val="20"/>
                <w:lang w:val="en-US"/>
              </w:rPr>
            </w:pPr>
            <w:r>
              <w:rPr>
                <w:rFonts w:ascii="Calibri" w:hAnsi="Calibri" w:cs="Calibri"/>
                <w:color w:val="000000"/>
                <w:sz w:val="20"/>
                <w:szCs w:val="20"/>
              </w:rPr>
              <w:t>2,701</w:t>
            </w:r>
          </w:p>
        </w:tc>
      </w:tr>
      <w:tr w:rsidR="00A21145" w:rsidRPr="00537128" w14:paraId="1D7A7058" w14:textId="77777777" w:rsidTr="004B501D">
        <w:trPr>
          <w:trHeight w:val="313"/>
          <w:jc w:val="center"/>
        </w:trPr>
        <w:tc>
          <w:tcPr>
            <w:tcW w:w="3516" w:type="dxa"/>
            <w:vAlign w:val="bottom"/>
            <w:hideMark/>
          </w:tcPr>
          <w:p w14:paraId="059E9130" w14:textId="5A6C7AF6" w:rsidR="00A21145" w:rsidRPr="00537128" w:rsidRDefault="00A21145" w:rsidP="00A21145">
            <w:pPr>
              <w:tabs>
                <w:tab w:val="right" w:pos="1202"/>
              </w:tabs>
              <w:spacing w:after="0" w:line="240" w:lineRule="auto"/>
              <w:outlineLvl w:val="0"/>
              <w:rPr>
                <w:rFonts w:ascii="Calibri" w:eastAsia="Times New Roman" w:hAnsi="Calibri" w:cs="Arial"/>
                <w:b/>
                <w:sz w:val="20"/>
                <w:szCs w:val="20"/>
                <w:lang w:val="en-US"/>
              </w:rPr>
            </w:pPr>
            <w:bookmarkStart w:id="546" w:name="_Toc4060296"/>
            <w:r w:rsidRPr="00537128">
              <w:rPr>
                <w:rFonts w:ascii="Calibri" w:eastAsia="Times New Roman" w:hAnsi="Calibri" w:cs="Arial"/>
                <w:b/>
                <w:sz w:val="20"/>
                <w:szCs w:val="20"/>
                <w:lang w:val="en-US"/>
              </w:rPr>
              <w:t>Total</w:t>
            </w:r>
            <w:bookmarkEnd w:id="546"/>
          </w:p>
        </w:tc>
        <w:tc>
          <w:tcPr>
            <w:tcW w:w="1375" w:type="dxa"/>
            <w:tcBorders>
              <w:top w:val="single" w:sz="4" w:space="0" w:color="auto"/>
              <w:bottom w:val="single" w:sz="12" w:space="0" w:color="auto"/>
              <w:right w:val="nil"/>
            </w:tcBorders>
            <w:shd w:val="clear" w:color="auto" w:fill="auto"/>
            <w:vAlign w:val="bottom"/>
          </w:tcPr>
          <w:p w14:paraId="2F349549" w14:textId="6377DD0B" w:rsidR="00A21145" w:rsidRPr="00537128" w:rsidRDefault="00A21145" w:rsidP="00A21145">
            <w:pPr>
              <w:tabs>
                <w:tab w:val="right" w:pos="1202"/>
              </w:tabs>
              <w:spacing w:after="0" w:line="240" w:lineRule="auto"/>
              <w:jc w:val="right"/>
              <w:outlineLvl w:val="0"/>
              <w:rPr>
                <w:rFonts w:ascii="Calibri" w:eastAsia="Times New Roman" w:hAnsi="Calibri" w:cs="Arial"/>
                <w:b/>
                <w:iCs/>
                <w:sz w:val="19"/>
                <w:szCs w:val="19"/>
                <w:lang w:val="en-US"/>
              </w:rPr>
            </w:pPr>
            <w:r>
              <w:rPr>
                <w:b/>
                <w:color w:val="000000" w:themeColor="text1"/>
                <w:sz w:val="20"/>
                <w:szCs w:val="20"/>
              </w:rPr>
              <w:t>9</w:t>
            </w:r>
            <w:r w:rsidR="00B61797">
              <w:rPr>
                <w:b/>
                <w:color w:val="000000" w:themeColor="text1"/>
                <w:sz w:val="20"/>
                <w:szCs w:val="20"/>
              </w:rPr>
              <w:t>,</w:t>
            </w:r>
            <w:r>
              <w:rPr>
                <w:b/>
                <w:color w:val="000000" w:themeColor="text1"/>
                <w:sz w:val="20"/>
                <w:szCs w:val="20"/>
              </w:rPr>
              <w:t>123</w:t>
            </w:r>
            <w:r w:rsidR="00B61797">
              <w:rPr>
                <w:b/>
                <w:color w:val="000000" w:themeColor="text1"/>
                <w:sz w:val="20"/>
                <w:szCs w:val="20"/>
              </w:rPr>
              <w:t>,</w:t>
            </w:r>
            <w:r>
              <w:rPr>
                <w:b/>
                <w:color w:val="000000" w:themeColor="text1"/>
                <w:sz w:val="20"/>
                <w:szCs w:val="20"/>
              </w:rPr>
              <w:t>596</w:t>
            </w:r>
          </w:p>
        </w:tc>
        <w:tc>
          <w:tcPr>
            <w:tcW w:w="1375" w:type="dxa"/>
            <w:tcBorders>
              <w:top w:val="single" w:sz="4" w:space="0" w:color="auto"/>
              <w:left w:val="nil"/>
              <w:bottom w:val="single" w:sz="12" w:space="0" w:color="auto"/>
              <w:right w:val="nil"/>
            </w:tcBorders>
            <w:shd w:val="clear" w:color="auto" w:fill="auto"/>
            <w:vAlign w:val="bottom"/>
          </w:tcPr>
          <w:p w14:paraId="0F4FE9DD" w14:textId="5AB75A44" w:rsidR="00A21145" w:rsidRPr="00537128" w:rsidRDefault="00A21145" w:rsidP="00A21145">
            <w:pPr>
              <w:tabs>
                <w:tab w:val="right" w:pos="1202"/>
              </w:tabs>
              <w:spacing w:after="0" w:line="240" w:lineRule="auto"/>
              <w:jc w:val="right"/>
              <w:outlineLvl w:val="0"/>
              <w:rPr>
                <w:rFonts w:ascii="Calibri" w:eastAsia="Times New Roman" w:hAnsi="Calibri" w:cs="Arial"/>
                <w:b/>
                <w:iCs/>
                <w:sz w:val="19"/>
                <w:szCs w:val="19"/>
                <w:lang w:val="en-US"/>
              </w:rPr>
            </w:pPr>
            <w:r>
              <w:rPr>
                <w:b/>
                <w:color w:val="000000" w:themeColor="text1"/>
                <w:sz w:val="20"/>
                <w:szCs w:val="20"/>
              </w:rPr>
              <w:t>2</w:t>
            </w:r>
            <w:r w:rsidR="00B61797">
              <w:rPr>
                <w:b/>
                <w:color w:val="000000" w:themeColor="text1"/>
                <w:sz w:val="20"/>
                <w:szCs w:val="20"/>
              </w:rPr>
              <w:t>,</w:t>
            </w:r>
            <w:r>
              <w:rPr>
                <w:b/>
                <w:color w:val="000000" w:themeColor="text1"/>
                <w:sz w:val="20"/>
                <w:szCs w:val="20"/>
              </w:rPr>
              <w:t>071</w:t>
            </w:r>
            <w:r w:rsidR="00B61797">
              <w:rPr>
                <w:b/>
                <w:color w:val="000000" w:themeColor="text1"/>
                <w:sz w:val="20"/>
                <w:szCs w:val="20"/>
              </w:rPr>
              <w:t>,</w:t>
            </w:r>
            <w:r>
              <w:rPr>
                <w:b/>
                <w:color w:val="000000" w:themeColor="text1"/>
                <w:sz w:val="20"/>
                <w:szCs w:val="20"/>
              </w:rPr>
              <w:t>387</w:t>
            </w:r>
          </w:p>
        </w:tc>
        <w:tc>
          <w:tcPr>
            <w:tcW w:w="1375" w:type="dxa"/>
            <w:tcBorders>
              <w:top w:val="single" w:sz="4" w:space="0" w:color="auto"/>
              <w:bottom w:val="single" w:sz="12" w:space="0" w:color="auto"/>
            </w:tcBorders>
            <w:shd w:val="clear" w:color="auto" w:fill="auto"/>
            <w:vAlign w:val="bottom"/>
            <w:hideMark/>
          </w:tcPr>
          <w:p w14:paraId="07CB7CAF" w14:textId="185A417B" w:rsidR="00A21145" w:rsidRPr="00537128" w:rsidRDefault="00A21145" w:rsidP="00A21145">
            <w:pPr>
              <w:tabs>
                <w:tab w:val="right" w:pos="1202"/>
              </w:tabs>
              <w:spacing w:after="0" w:line="240" w:lineRule="auto"/>
              <w:jc w:val="right"/>
              <w:outlineLvl w:val="0"/>
              <w:rPr>
                <w:rFonts w:ascii="Calibri" w:eastAsia="Calibri" w:hAnsi="Calibri" w:cs="Arial"/>
                <w:b/>
                <w:bCs/>
                <w:sz w:val="20"/>
                <w:szCs w:val="20"/>
                <w:lang w:val="en-US"/>
              </w:rPr>
            </w:pPr>
            <w:r>
              <w:rPr>
                <w:rFonts w:ascii="Calibri" w:hAnsi="Calibri" w:cs="Calibri"/>
                <w:b/>
                <w:color w:val="000000"/>
                <w:sz w:val="20"/>
                <w:szCs w:val="20"/>
              </w:rPr>
              <w:t>8,883,516</w:t>
            </w:r>
          </w:p>
        </w:tc>
        <w:tc>
          <w:tcPr>
            <w:tcW w:w="1375" w:type="dxa"/>
            <w:tcBorders>
              <w:top w:val="single" w:sz="4" w:space="0" w:color="auto"/>
              <w:bottom w:val="single" w:sz="12" w:space="0" w:color="auto"/>
            </w:tcBorders>
            <w:shd w:val="clear" w:color="auto" w:fill="auto"/>
            <w:vAlign w:val="bottom"/>
            <w:hideMark/>
          </w:tcPr>
          <w:p w14:paraId="247AFE4C" w14:textId="7CFB114D" w:rsidR="00A21145" w:rsidRPr="00537128" w:rsidRDefault="00A21145" w:rsidP="00A21145">
            <w:pPr>
              <w:tabs>
                <w:tab w:val="right" w:pos="1202"/>
              </w:tabs>
              <w:spacing w:after="0" w:line="240" w:lineRule="auto"/>
              <w:jc w:val="right"/>
              <w:outlineLvl w:val="0"/>
              <w:rPr>
                <w:rFonts w:ascii="Calibri" w:eastAsia="Calibri" w:hAnsi="Calibri" w:cs="Arial"/>
                <w:b/>
                <w:bCs/>
                <w:sz w:val="20"/>
                <w:szCs w:val="20"/>
                <w:lang w:val="en-US"/>
              </w:rPr>
            </w:pPr>
            <w:r>
              <w:rPr>
                <w:rFonts w:ascii="Calibri" w:hAnsi="Calibri" w:cs="Calibri"/>
                <w:b/>
                <w:color w:val="000000"/>
                <w:sz w:val="20"/>
                <w:szCs w:val="20"/>
              </w:rPr>
              <w:t>2,113,073</w:t>
            </w:r>
          </w:p>
        </w:tc>
      </w:tr>
    </w:tbl>
    <w:p w14:paraId="6800FF8D" w14:textId="77777777" w:rsidR="002A5720" w:rsidRPr="00537128" w:rsidRDefault="002A5720" w:rsidP="002A5720">
      <w:pPr>
        <w:keepNext/>
        <w:spacing w:after="0" w:line="240" w:lineRule="auto"/>
        <w:ind w:left="567"/>
        <w:jc w:val="both"/>
        <w:rPr>
          <w:rFonts w:ascii="Calibri" w:eastAsia="Times New Roman" w:hAnsi="Calibri" w:cs="Arial"/>
          <w:bCs/>
          <w:color w:val="000000" w:themeColor="text1"/>
          <w:lang w:val="en-US"/>
        </w:rPr>
      </w:pPr>
    </w:p>
    <w:p w14:paraId="573A3F7B"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p>
    <w:p w14:paraId="70A22992"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p>
    <w:tbl>
      <w:tblPr>
        <w:tblW w:w="5000" w:type="pct"/>
        <w:jc w:val="center"/>
        <w:tblLayout w:type="fixed"/>
        <w:tblCellMar>
          <w:left w:w="113" w:type="dxa"/>
          <w:right w:w="85" w:type="dxa"/>
        </w:tblCellMar>
        <w:tblLook w:val="00A0" w:firstRow="1" w:lastRow="0" w:firstColumn="1" w:lastColumn="0" w:noHBand="0" w:noVBand="0"/>
      </w:tblPr>
      <w:tblGrid>
        <w:gridCol w:w="3516"/>
        <w:gridCol w:w="1389"/>
        <w:gridCol w:w="1389"/>
        <w:gridCol w:w="1389"/>
        <w:gridCol w:w="1389"/>
      </w:tblGrid>
      <w:tr w:rsidR="002A5720" w:rsidRPr="00537128" w14:paraId="5388A451" w14:textId="77777777" w:rsidTr="00D626F4">
        <w:trPr>
          <w:cantSplit/>
          <w:trHeight w:val="13"/>
          <w:jc w:val="center"/>
        </w:trPr>
        <w:tc>
          <w:tcPr>
            <w:tcW w:w="3516" w:type="dxa"/>
            <w:vAlign w:val="bottom"/>
          </w:tcPr>
          <w:p w14:paraId="1821C8B7" w14:textId="77777777" w:rsidR="002A5720" w:rsidRPr="00537128" w:rsidRDefault="002A5720" w:rsidP="002A5720">
            <w:pPr>
              <w:tabs>
                <w:tab w:val="right" w:pos="1202"/>
              </w:tabs>
              <w:spacing w:after="0" w:line="240" w:lineRule="auto"/>
              <w:outlineLvl w:val="0"/>
              <w:rPr>
                <w:rFonts w:ascii="Calibri" w:eastAsia="Times New Roman" w:hAnsi="Calibri" w:cs="Arial"/>
                <w:color w:val="000000" w:themeColor="text1"/>
                <w:sz w:val="20"/>
                <w:szCs w:val="20"/>
                <w:lang w:val="en-US"/>
              </w:rPr>
            </w:pPr>
            <w:bookmarkStart w:id="547" w:name="_Toc4060301"/>
            <w:r w:rsidRPr="00537128">
              <w:rPr>
                <w:rFonts w:ascii="Calibri" w:eastAsia="Times New Roman" w:hAnsi="Calibri" w:cs="Arial"/>
                <w:b/>
                <w:color w:val="000000" w:themeColor="text1"/>
                <w:sz w:val="20"/>
                <w:szCs w:val="20"/>
                <w:lang w:val="en-US"/>
              </w:rPr>
              <w:t>Group</w:t>
            </w:r>
            <w:bookmarkEnd w:id="547"/>
          </w:p>
        </w:tc>
        <w:tc>
          <w:tcPr>
            <w:tcW w:w="1389" w:type="dxa"/>
            <w:vAlign w:val="bottom"/>
          </w:tcPr>
          <w:p w14:paraId="631DE5ED" w14:textId="77777777" w:rsidR="002A5720" w:rsidRPr="00537128" w:rsidRDefault="002A5720" w:rsidP="002A5720">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48" w:name="_Toc4060302"/>
            <w:r w:rsidRPr="00537128">
              <w:rPr>
                <w:rFonts w:ascii="Calibri" w:eastAsia="Times New Roman" w:hAnsi="Calibri" w:cs="Arial"/>
                <w:b/>
                <w:bCs/>
                <w:iCs/>
                <w:color w:val="000000" w:themeColor="text1"/>
                <w:sz w:val="20"/>
                <w:szCs w:val="20"/>
                <w:lang w:val="en-US"/>
              </w:rPr>
              <w:t>Income</w:t>
            </w:r>
            <w:bookmarkEnd w:id="548"/>
          </w:p>
        </w:tc>
        <w:tc>
          <w:tcPr>
            <w:tcW w:w="1389" w:type="dxa"/>
            <w:vAlign w:val="bottom"/>
          </w:tcPr>
          <w:p w14:paraId="0D0A9FF3" w14:textId="77777777" w:rsidR="002A5720" w:rsidRPr="00537128" w:rsidRDefault="002A5720" w:rsidP="002A5720">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49" w:name="_Toc4060303"/>
            <w:r w:rsidRPr="00537128">
              <w:rPr>
                <w:rFonts w:ascii="Calibri" w:eastAsia="Times New Roman" w:hAnsi="Calibri" w:cs="Arial"/>
                <w:b/>
                <w:bCs/>
                <w:iCs/>
                <w:color w:val="000000" w:themeColor="text1"/>
                <w:sz w:val="20"/>
                <w:szCs w:val="20"/>
                <w:lang w:val="en-US"/>
              </w:rPr>
              <w:t>Expense</w:t>
            </w:r>
            <w:bookmarkEnd w:id="549"/>
          </w:p>
        </w:tc>
        <w:tc>
          <w:tcPr>
            <w:tcW w:w="1389" w:type="dxa"/>
            <w:vAlign w:val="bottom"/>
          </w:tcPr>
          <w:p w14:paraId="6BA6E180" w14:textId="77777777" w:rsidR="002A5720" w:rsidRPr="00537128" w:rsidRDefault="002A5720" w:rsidP="002A5720">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50" w:name="_Toc4060304"/>
            <w:r w:rsidRPr="00537128">
              <w:rPr>
                <w:rFonts w:ascii="Calibri" w:eastAsia="Times New Roman" w:hAnsi="Calibri" w:cs="Arial"/>
                <w:b/>
                <w:bCs/>
                <w:iCs/>
                <w:color w:val="000000" w:themeColor="text1"/>
                <w:sz w:val="20"/>
                <w:szCs w:val="20"/>
                <w:lang w:val="en-US"/>
              </w:rPr>
              <w:t>Income</w:t>
            </w:r>
            <w:bookmarkEnd w:id="550"/>
          </w:p>
        </w:tc>
        <w:tc>
          <w:tcPr>
            <w:tcW w:w="1389" w:type="dxa"/>
            <w:vAlign w:val="bottom"/>
          </w:tcPr>
          <w:p w14:paraId="7C25DC7D" w14:textId="77777777" w:rsidR="002A5720" w:rsidRPr="00537128" w:rsidRDefault="002A5720" w:rsidP="002A5720">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51" w:name="_Toc4060305"/>
            <w:r w:rsidRPr="00537128">
              <w:rPr>
                <w:rFonts w:ascii="Calibri" w:eastAsia="Times New Roman" w:hAnsi="Calibri" w:cs="Arial"/>
                <w:b/>
                <w:bCs/>
                <w:iCs/>
                <w:color w:val="000000" w:themeColor="text1"/>
                <w:sz w:val="20"/>
                <w:szCs w:val="20"/>
                <w:lang w:val="en-US"/>
              </w:rPr>
              <w:t>Expense</w:t>
            </w:r>
            <w:bookmarkEnd w:id="551"/>
          </w:p>
        </w:tc>
      </w:tr>
      <w:tr w:rsidR="00F86C52" w:rsidRPr="00537128" w14:paraId="1C079C95" w14:textId="77777777" w:rsidTr="00F86C52">
        <w:trPr>
          <w:cantSplit/>
          <w:trHeight w:hRule="exact" w:val="578"/>
          <w:jc w:val="center"/>
        </w:trPr>
        <w:tc>
          <w:tcPr>
            <w:tcW w:w="3516" w:type="dxa"/>
            <w:vAlign w:val="bottom"/>
          </w:tcPr>
          <w:p w14:paraId="3C148979" w14:textId="77777777" w:rsidR="00F86C52" w:rsidRPr="00537128" w:rsidRDefault="00F86C52" w:rsidP="00F86C52">
            <w:pPr>
              <w:tabs>
                <w:tab w:val="right" w:pos="1202"/>
              </w:tabs>
              <w:spacing w:after="0" w:line="240" w:lineRule="auto"/>
              <w:outlineLvl w:val="0"/>
              <w:rPr>
                <w:rFonts w:ascii="Calibri" w:eastAsia="Times New Roman" w:hAnsi="Calibri" w:cs="Arial"/>
                <w:b/>
                <w:color w:val="000000" w:themeColor="text1"/>
                <w:sz w:val="20"/>
                <w:szCs w:val="20"/>
                <w:lang w:val="en-US"/>
              </w:rPr>
            </w:pPr>
          </w:p>
        </w:tc>
        <w:tc>
          <w:tcPr>
            <w:tcW w:w="1389" w:type="dxa"/>
            <w:vAlign w:val="center"/>
          </w:tcPr>
          <w:p w14:paraId="7AEABCD2" w14:textId="001351C8" w:rsidR="00F86C52" w:rsidRPr="00537128" w:rsidRDefault="00F86C52" w:rsidP="00F86C52">
            <w:pPr>
              <w:spacing w:after="0" w:line="240" w:lineRule="auto"/>
              <w:jc w:val="right"/>
              <w:outlineLvl w:val="0"/>
              <w:rPr>
                <w:rFonts w:ascii="Calibri" w:eastAsia="Times New Roman" w:hAnsi="Calibri" w:cs="Arial"/>
                <w:b/>
                <w:bCs/>
                <w:color w:val="000000" w:themeColor="text1"/>
                <w:sz w:val="20"/>
                <w:szCs w:val="20"/>
                <w:lang w:val="en-US"/>
              </w:rPr>
            </w:pPr>
            <w:bookmarkStart w:id="552" w:name="_Toc4060306"/>
            <w:r w:rsidRPr="00537128">
              <w:rPr>
                <w:rFonts w:ascii="Calibri" w:eastAsia="Times New Roman" w:hAnsi="Calibri" w:cs="Calibri"/>
                <w:b/>
                <w:bCs/>
                <w:color w:val="000000" w:themeColor="text1"/>
                <w:sz w:val="20"/>
                <w:szCs w:val="20"/>
                <w:lang w:val="en-US"/>
              </w:rPr>
              <w:t xml:space="preserve">Jan 1 – Mar 31 </w:t>
            </w:r>
            <w:r w:rsidRPr="00537128">
              <w:rPr>
                <w:rFonts w:ascii="Calibri" w:eastAsia="Times New Roman" w:hAnsi="Calibri" w:cs="Arial"/>
                <w:b/>
                <w:bCs/>
                <w:color w:val="000000" w:themeColor="text1"/>
                <w:sz w:val="20"/>
                <w:szCs w:val="20"/>
                <w:lang w:val="en-US"/>
              </w:rPr>
              <w:t>20</w:t>
            </w:r>
            <w:bookmarkEnd w:id="552"/>
            <w:r w:rsidRPr="00537128">
              <w:rPr>
                <w:rFonts w:ascii="Calibri" w:eastAsia="Times New Roman" w:hAnsi="Calibri" w:cs="Arial"/>
                <w:b/>
                <w:bCs/>
                <w:color w:val="000000" w:themeColor="text1"/>
                <w:sz w:val="20"/>
                <w:szCs w:val="20"/>
                <w:lang w:val="en-US"/>
              </w:rPr>
              <w:t>2</w:t>
            </w:r>
            <w:r w:rsidR="006B4487">
              <w:rPr>
                <w:rFonts w:ascii="Calibri" w:eastAsia="Times New Roman" w:hAnsi="Calibri" w:cs="Arial"/>
                <w:b/>
                <w:bCs/>
                <w:color w:val="000000" w:themeColor="text1"/>
                <w:sz w:val="20"/>
                <w:szCs w:val="20"/>
                <w:lang w:val="en-US"/>
              </w:rPr>
              <w:t>2</w:t>
            </w:r>
          </w:p>
        </w:tc>
        <w:tc>
          <w:tcPr>
            <w:tcW w:w="1389" w:type="dxa"/>
            <w:vAlign w:val="center"/>
          </w:tcPr>
          <w:p w14:paraId="1A5ACAA3" w14:textId="0D7FD3A4" w:rsidR="00F86C52" w:rsidRPr="00537128" w:rsidRDefault="00F86C52" w:rsidP="00F86C52">
            <w:pPr>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Arial"/>
                <w:b/>
                <w:bCs/>
                <w:color w:val="000000" w:themeColor="text1"/>
                <w:sz w:val="20"/>
                <w:szCs w:val="20"/>
                <w:lang w:val="en-US"/>
              </w:rPr>
              <w:t>Jan 1 – Mar 31 202</w:t>
            </w:r>
            <w:r w:rsidR="006B4487">
              <w:rPr>
                <w:rFonts w:ascii="Calibri" w:eastAsia="Times New Roman" w:hAnsi="Calibri" w:cs="Arial"/>
                <w:b/>
                <w:bCs/>
                <w:color w:val="000000" w:themeColor="text1"/>
                <w:sz w:val="20"/>
                <w:szCs w:val="20"/>
                <w:lang w:val="en-US"/>
              </w:rPr>
              <w:t>2</w:t>
            </w:r>
          </w:p>
        </w:tc>
        <w:tc>
          <w:tcPr>
            <w:tcW w:w="1389" w:type="dxa"/>
            <w:vAlign w:val="center"/>
          </w:tcPr>
          <w:p w14:paraId="281C9CEB" w14:textId="3AAEA1DA" w:rsidR="00F86C52" w:rsidRPr="00537128" w:rsidRDefault="00F86C52" w:rsidP="00F86C52">
            <w:pPr>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Arial"/>
                <w:b/>
                <w:bCs/>
                <w:color w:val="000000" w:themeColor="text1"/>
                <w:sz w:val="20"/>
                <w:szCs w:val="20"/>
                <w:lang w:val="en-US"/>
              </w:rPr>
              <w:t>Jan 1 – Mar 31 202</w:t>
            </w:r>
            <w:r w:rsidR="006B4487">
              <w:rPr>
                <w:rFonts w:ascii="Calibri" w:eastAsia="Times New Roman" w:hAnsi="Calibri" w:cs="Arial"/>
                <w:b/>
                <w:bCs/>
                <w:color w:val="000000" w:themeColor="text1"/>
                <w:sz w:val="20"/>
                <w:szCs w:val="20"/>
                <w:lang w:val="en-US"/>
              </w:rPr>
              <w:t>1</w:t>
            </w:r>
          </w:p>
        </w:tc>
        <w:tc>
          <w:tcPr>
            <w:tcW w:w="1389" w:type="dxa"/>
            <w:vAlign w:val="center"/>
          </w:tcPr>
          <w:p w14:paraId="6CBCA4B5" w14:textId="58DF2101" w:rsidR="00F86C52" w:rsidRPr="00537128" w:rsidRDefault="00F86C52" w:rsidP="00F86C52">
            <w:pPr>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Arial"/>
                <w:b/>
                <w:bCs/>
                <w:color w:val="000000" w:themeColor="text1"/>
                <w:sz w:val="20"/>
                <w:szCs w:val="20"/>
                <w:lang w:val="en-US"/>
              </w:rPr>
              <w:t>Jan 1 – Mar 31 202</w:t>
            </w:r>
            <w:r w:rsidR="006B4487">
              <w:rPr>
                <w:rFonts w:ascii="Calibri" w:eastAsia="Times New Roman" w:hAnsi="Calibri" w:cs="Arial"/>
                <w:b/>
                <w:bCs/>
                <w:color w:val="000000" w:themeColor="text1"/>
                <w:sz w:val="20"/>
                <w:szCs w:val="20"/>
                <w:lang w:val="en-US"/>
              </w:rPr>
              <w:t>1</w:t>
            </w:r>
          </w:p>
        </w:tc>
      </w:tr>
      <w:tr w:rsidR="002A5720" w:rsidRPr="00537128" w14:paraId="32C85E5E" w14:textId="77777777" w:rsidTr="00D626F4">
        <w:trPr>
          <w:cantSplit/>
          <w:trHeight w:hRule="exact" w:val="277"/>
          <w:jc w:val="center"/>
        </w:trPr>
        <w:tc>
          <w:tcPr>
            <w:tcW w:w="3516" w:type="dxa"/>
            <w:vAlign w:val="bottom"/>
          </w:tcPr>
          <w:p w14:paraId="6B0EB819" w14:textId="77777777" w:rsidR="002A5720" w:rsidRPr="00537128" w:rsidRDefault="002A5720" w:rsidP="002A5720">
            <w:pPr>
              <w:tabs>
                <w:tab w:val="right" w:pos="1202"/>
              </w:tabs>
              <w:spacing w:after="0" w:line="240" w:lineRule="auto"/>
              <w:outlineLvl w:val="0"/>
              <w:rPr>
                <w:rFonts w:ascii="Calibri" w:eastAsia="Times New Roman" w:hAnsi="Calibri" w:cs="Arial"/>
                <w:b/>
                <w:color w:val="000000" w:themeColor="text1"/>
                <w:sz w:val="20"/>
                <w:szCs w:val="20"/>
                <w:lang w:val="en-US"/>
              </w:rPr>
            </w:pPr>
          </w:p>
        </w:tc>
        <w:tc>
          <w:tcPr>
            <w:tcW w:w="1389" w:type="dxa"/>
            <w:vAlign w:val="bottom"/>
          </w:tcPr>
          <w:p w14:paraId="2EB98B39" w14:textId="77777777" w:rsidR="002A5720" w:rsidRPr="00537128" w:rsidRDefault="002A5720" w:rsidP="002A572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553" w:name="_Toc4060310"/>
            <w:r w:rsidRPr="00537128">
              <w:rPr>
                <w:rFonts w:ascii="Calibri" w:eastAsia="Times New Roman" w:hAnsi="Calibri" w:cs="Arial"/>
                <w:b/>
                <w:color w:val="000000" w:themeColor="text1"/>
                <w:sz w:val="20"/>
                <w:szCs w:val="20"/>
                <w:lang w:val="en-US"/>
              </w:rPr>
              <w:t>HRK ‘000</w:t>
            </w:r>
            <w:bookmarkEnd w:id="553"/>
          </w:p>
        </w:tc>
        <w:tc>
          <w:tcPr>
            <w:tcW w:w="1389" w:type="dxa"/>
            <w:vAlign w:val="bottom"/>
          </w:tcPr>
          <w:p w14:paraId="1F1ED22A" w14:textId="77777777" w:rsidR="002A5720" w:rsidRPr="00537128" w:rsidRDefault="002A5720" w:rsidP="002A572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554" w:name="_Toc4060311"/>
            <w:r w:rsidRPr="00537128">
              <w:rPr>
                <w:rFonts w:ascii="Calibri" w:eastAsia="Times New Roman" w:hAnsi="Calibri" w:cs="Arial"/>
                <w:b/>
                <w:bCs/>
                <w:color w:val="000000" w:themeColor="text1"/>
                <w:sz w:val="20"/>
                <w:szCs w:val="20"/>
                <w:lang w:val="en-US"/>
              </w:rPr>
              <w:t>HRK ‘000</w:t>
            </w:r>
            <w:bookmarkEnd w:id="554"/>
          </w:p>
        </w:tc>
        <w:tc>
          <w:tcPr>
            <w:tcW w:w="1389" w:type="dxa"/>
            <w:vAlign w:val="bottom"/>
          </w:tcPr>
          <w:p w14:paraId="7C716188" w14:textId="77777777" w:rsidR="002A5720" w:rsidRPr="00537128" w:rsidRDefault="002A5720" w:rsidP="002A572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555" w:name="_Toc4060312"/>
            <w:r w:rsidRPr="00537128">
              <w:rPr>
                <w:rFonts w:ascii="Calibri" w:eastAsia="Times New Roman" w:hAnsi="Calibri" w:cs="Arial"/>
                <w:b/>
                <w:color w:val="000000" w:themeColor="text1"/>
                <w:sz w:val="20"/>
                <w:szCs w:val="20"/>
                <w:lang w:val="en-US"/>
              </w:rPr>
              <w:t>HRK ‘000</w:t>
            </w:r>
            <w:bookmarkEnd w:id="555"/>
          </w:p>
        </w:tc>
        <w:tc>
          <w:tcPr>
            <w:tcW w:w="1389" w:type="dxa"/>
            <w:vAlign w:val="bottom"/>
          </w:tcPr>
          <w:p w14:paraId="24B79B2A" w14:textId="77777777" w:rsidR="002A5720" w:rsidRPr="00537128" w:rsidRDefault="002A5720" w:rsidP="002A572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556" w:name="_Toc4060313"/>
            <w:r w:rsidRPr="00537128">
              <w:rPr>
                <w:rFonts w:ascii="Calibri" w:eastAsia="Times New Roman" w:hAnsi="Calibri" w:cs="Arial"/>
                <w:b/>
                <w:bCs/>
                <w:color w:val="000000" w:themeColor="text1"/>
                <w:sz w:val="20"/>
                <w:szCs w:val="20"/>
                <w:lang w:val="en-US"/>
              </w:rPr>
              <w:t>HRK ‘000</w:t>
            </w:r>
            <w:bookmarkEnd w:id="556"/>
          </w:p>
        </w:tc>
      </w:tr>
      <w:tr w:rsidR="00B61797" w:rsidRPr="00537128" w14:paraId="4F3601E5" w14:textId="77777777" w:rsidTr="00A1123E">
        <w:trPr>
          <w:cantSplit/>
          <w:trHeight w:hRule="exact" w:val="350"/>
          <w:jc w:val="center"/>
        </w:trPr>
        <w:tc>
          <w:tcPr>
            <w:tcW w:w="3516" w:type="dxa"/>
            <w:vAlign w:val="bottom"/>
          </w:tcPr>
          <w:p w14:paraId="4BD91A42" w14:textId="77777777" w:rsidR="00B61797" w:rsidRPr="00537128" w:rsidRDefault="00B61797" w:rsidP="00B61797">
            <w:pPr>
              <w:tabs>
                <w:tab w:val="right" w:pos="1202"/>
              </w:tabs>
              <w:spacing w:after="0" w:line="240" w:lineRule="auto"/>
              <w:outlineLvl w:val="0"/>
              <w:rPr>
                <w:rFonts w:ascii="Calibri" w:eastAsia="Times New Roman" w:hAnsi="Calibri" w:cs="Arial"/>
                <w:color w:val="000000" w:themeColor="text1"/>
                <w:sz w:val="20"/>
                <w:szCs w:val="20"/>
                <w:lang w:val="en-US"/>
              </w:rPr>
            </w:pPr>
            <w:bookmarkStart w:id="557" w:name="_Toc4060314"/>
            <w:r w:rsidRPr="00537128">
              <w:rPr>
                <w:rFonts w:ascii="Calibri" w:eastAsia="Times New Roman" w:hAnsi="Calibri" w:cs="Arial"/>
                <w:color w:val="000000" w:themeColor="text1"/>
                <w:sz w:val="20"/>
                <w:szCs w:val="20"/>
                <w:lang w:val="en-US"/>
              </w:rPr>
              <w:t>Owner</w:t>
            </w:r>
            <w:bookmarkEnd w:id="557"/>
          </w:p>
        </w:tc>
        <w:tc>
          <w:tcPr>
            <w:tcW w:w="1389" w:type="dxa"/>
            <w:shd w:val="clear" w:color="auto" w:fill="auto"/>
            <w:vAlign w:val="bottom"/>
          </w:tcPr>
          <w:p w14:paraId="62D13535" w14:textId="1FD91ED4" w:rsidR="00B61797" w:rsidRPr="00537128" w:rsidRDefault="00B61797" w:rsidP="00B61797">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11,259</w:t>
            </w:r>
          </w:p>
        </w:tc>
        <w:tc>
          <w:tcPr>
            <w:tcW w:w="1389" w:type="dxa"/>
            <w:shd w:val="clear" w:color="auto" w:fill="auto"/>
            <w:vAlign w:val="bottom"/>
          </w:tcPr>
          <w:p w14:paraId="0EF32D4A" w14:textId="44ACE2D0" w:rsidR="00B61797" w:rsidRPr="00537128" w:rsidRDefault="00B61797" w:rsidP="00B61797">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4,082</w:t>
            </w:r>
          </w:p>
        </w:tc>
        <w:tc>
          <w:tcPr>
            <w:tcW w:w="1389" w:type="dxa"/>
            <w:shd w:val="clear" w:color="auto" w:fill="auto"/>
            <w:vAlign w:val="bottom"/>
          </w:tcPr>
          <w:p w14:paraId="221D2D1A" w14:textId="5C5C6AAE" w:rsidR="00B61797" w:rsidRPr="00537128" w:rsidRDefault="00B61797" w:rsidP="00B61797">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Pr>
                <w:rFonts w:ascii="Calibri" w:hAnsi="Calibri" w:cs="Arial"/>
                <w:bCs/>
                <w:iCs/>
                <w:color w:val="000000" w:themeColor="text1"/>
                <w:sz w:val="20"/>
                <w:szCs w:val="20"/>
              </w:rPr>
              <w:t xml:space="preserve">13,149 </w:t>
            </w:r>
          </w:p>
        </w:tc>
        <w:tc>
          <w:tcPr>
            <w:tcW w:w="1389" w:type="dxa"/>
            <w:shd w:val="clear" w:color="auto" w:fill="auto"/>
            <w:vAlign w:val="bottom"/>
          </w:tcPr>
          <w:p w14:paraId="54580148" w14:textId="6D55DDAF" w:rsidR="00B61797" w:rsidRPr="00537128" w:rsidRDefault="00B61797" w:rsidP="00B61797">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Pr>
                <w:rFonts w:ascii="Calibri" w:hAnsi="Calibri" w:cs="Arial"/>
                <w:bCs/>
                <w:iCs/>
                <w:color w:val="000000" w:themeColor="text1"/>
                <w:sz w:val="20"/>
                <w:szCs w:val="20"/>
              </w:rPr>
              <w:t>5,755</w:t>
            </w:r>
          </w:p>
        </w:tc>
      </w:tr>
      <w:tr w:rsidR="00B61797" w:rsidRPr="00537128" w14:paraId="465C5E77" w14:textId="77777777" w:rsidTr="00A1123E">
        <w:trPr>
          <w:cantSplit/>
          <w:trHeight w:val="13"/>
          <w:jc w:val="center"/>
        </w:trPr>
        <w:tc>
          <w:tcPr>
            <w:tcW w:w="3516" w:type="dxa"/>
            <w:vAlign w:val="bottom"/>
          </w:tcPr>
          <w:p w14:paraId="65F386C1" w14:textId="77777777" w:rsidR="00B61797" w:rsidRPr="00537128" w:rsidRDefault="00B61797" w:rsidP="00B61797">
            <w:pPr>
              <w:tabs>
                <w:tab w:val="right" w:pos="1202"/>
              </w:tabs>
              <w:spacing w:after="0" w:line="240" w:lineRule="auto"/>
              <w:outlineLvl w:val="0"/>
              <w:rPr>
                <w:rFonts w:ascii="Calibri" w:eastAsia="Times New Roman" w:hAnsi="Calibri" w:cs="Arial"/>
                <w:color w:val="000000" w:themeColor="text1"/>
                <w:sz w:val="20"/>
                <w:szCs w:val="20"/>
                <w:lang w:val="en-US"/>
              </w:rPr>
            </w:pPr>
            <w:bookmarkStart w:id="558" w:name="_Toc4060319"/>
            <w:r w:rsidRPr="00537128">
              <w:rPr>
                <w:rFonts w:ascii="Calibri" w:eastAsia="Times New Roman" w:hAnsi="Calibri" w:cs="Arial"/>
                <w:color w:val="000000" w:themeColor="text1"/>
                <w:sz w:val="20"/>
                <w:szCs w:val="20"/>
                <w:lang w:val="en-US"/>
              </w:rPr>
              <w:t xml:space="preserve">Government funds, executive </w:t>
            </w:r>
            <w:proofErr w:type="gramStart"/>
            <w:r w:rsidRPr="00537128">
              <w:rPr>
                <w:rFonts w:ascii="Calibri" w:eastAsia="Times New Roman" w:hAnsi="Calibri" w:cs="Arial"/>
                <w:color w:val="000000" w:themeColor="text1"/>
                <w:sz w:val="20"/>
                <w:szCs w:val="20"/>
                <w:lang w:val="en-US"/>
              </w:rPr>
              <w:t>authorities</w:t>
            </w:r>
            <w:proofErr w:type="gramEnd"/>
            <w:r w:rsidRPr="00537128">
              <w:rPr>
                <w:rFonts w:ascii="Calibri" w:eastAsia="Times New Roman" w:hAnsi="Calibri" w:cs="Arial"/>
                <w:color w:val="000000" w:themeColor="text1"/>
                <w:sz w:val="20"/>
                <w:szCs w:val="20"/>
                <w:lang w:val="en-US"/>
              </w:rPr>
              <w:t xml:space="preserve"> and agencies</w:t>
            </w:r>
            <w:bookmarkEnd w:id="558"/>
          </w:p>
        </w:tc>
        <w:tc>
          <w:tcPr>
            <w:tcW w:w="1389" w:type="dxa"/>
            <w:shd w:val="clear" w:color="auto" w:fill="auto"/>
            <w:vAlign w:val="bottom"/>
          </w:tcPr>
          <w:p w14:paraId="4A858EC7" w14:textId="3086578C" w:rsidR="00B61797" w:rsidRPr="00537128" w:rsidRDefault="00B61797" w:rsidP="00B61797">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23,566</w:t>
            </w:r>
          </w:p>
        </w:tc>
        <w:tc>
          <w:tcPr>
            <w:tcW w:w="1389" w:type="dxa"/>
            <w:shd w:val="clear" w:color="auto" w:fill="auto"/>
            <w:vAlign w:val="bottom"/>
          </w:tcPr>
          <w:p w14:paraId="00C33B05" w14:textId="2A23B448" w:rsidR="00B61797" w:rsidRPr="00537128" w:rsidRDefault="00B61797" w:rsidP="00B61797">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2,884</w:t>
            </w:r>
          </w:p>
        </w:tc>
        <w:tc>
          <w:tcPr>
            <w:tcW w:w="1389" w:type="dxa"/>
            <w:shd w:val="clear" w:color="auto" w:fill="auto"/>
            <w:vAlign w:val="bottom"/>
          </w:tcPr>
          <w:p w14:paraId="5CBBD04F" w14:textId="136040D7" w:rsidR="00B61797" w:rsidRPr="00537128" w:rsidRDefault="00B61797" w:rsidP="00B61797">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Pr>
                <w:rFonts w:ascii="Calibri" w:hAnsi="Calibri" w:cs="Arial"/>
                <w:bCs/>
                <w:iCs/>
                <w:color w:val="000000" w:themeColor="text1"/>
                <w:sz w:val="20"/>
                <w:szCs w:val="20"/>
              </w:rPr>
              <w:t xml:space="preserve">19,915 </w:t>
            </w:r>
          </w:p>
        </w:tc>
        <w:tc>
          <w:tcPr>
            <w:tcW w:w="1389" w:type="dxa"/>
            <w:shd w:val="clear" w:color="auto" w:fill="auto"/>
            <w:vAlign w:val="bottom"/>
          </w:tcPr>
          <w:p w14:paraId="2C3347F5" w14:textId="6640CE68" w:rsidR="00B61797" w:rsidRPr="00537128" w:rsidRDefault="00B61797" w:rsidP="00B61797">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Pr>
                <w:rFonts w:ascii="Calibri" w:hAnsi="Calibri" w:cs="Arial"/>
                <w:bCs/>
                <w:iCs/>
                <w:color w:val="000000" w:themeColor="text1"/>
                <w:sz w:val="20"/>
                <w:szCs w:val="20"/>
              </w:rPr>
              <w:t>50</w:t>
            </w:r>
          </w:p>
        </w:tc>
      </w:tr>
      <w:tr w:rsidR="00B61797" w:rsidRPr="00537128" w14:paraId="4085C5BF" w14:textId="77777777" w:rsidTr="00A1123E">
        <w:trPr>
          <w:cantSplit/>
          <w:trHeight w:hRule="exact" w:val="301"/>
          <w:jc w:val="center"/>
        </w:trPr>
        <w:tc>
          <w:tcPr>
            <w:tcW w:w="3516" w:type="dxa"/>
            <w:vAlign w:val="bottom"/>
          </w:tcPr>
          <w:p w14:paraId="60A0DA9D" w14:textId="77777777" w:rsidR="00B61797" w:rsidRPr="00537128" w:rsidRDefault="00B61797" w:rsidP="00B61797">
            <w:pPr>
              <w:tabs>
                <w:tab w:val="right" w:pos="1202"/>
              </w:tabs>
              <w:spacing w:after="0" w:line="240" w:lineRule="auto"/>
              <w:outlineLvl w:val="0"/>
              <w:rPr>
                <w:rFonts w:ascii="Calibri" w:eastAsia="Times New Roman" w:hAnsi="Calibri" w:cs="Arial"/>
                <w:color w:val="000000" w:themeColor="text1"/>
                <w:sz w:val="20"/>
                <w:szCs w:val="20"/>
                <w:lang w:val="en-US"/>
              </w:rPr>
            </w:pPr>
            <w:bookmarkStart w:id="559" w:name="_Toc4060324"/>
            <w:r w:rsidRPr="00537128">
              <w:rPr>
                <w:rFonts w:ascii="Calibri" w:eastAsia="Times New Roman" w:hAnsi="Calibri" w:cs="Arial"/>
                <w:color w:val="000000" w:themeColor="text1"/>
                <w:sz w:val="20"/>
                <w:szCs w:val="20"/>
                <w:lang w:val="en-US"/>
              </w:rPr>
              <w:t>State-owned companies</w:t>
            </w:r>
            <w:bookmarkEnd w:id="559"/>
          </w:p>
        </w:tc>
        <w:tc>
          <w:tcPr>
            <w:tcW w:w="1389" w:type="dxa"/>
            <w:shd w:val="clear" w:color="auto" w:fill="auto"/>
            <w:vAlign w:val="bottom"/>
          </w:tcPr>
          <w:p w14:paraId="15EF9BA5" w14:textId="31580549" w:rsidR="00B61797" w:rsidRPr="00537128" w:rsidRDefault="00B61797" w:rsidP="00B61797">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11,698</w:t>
            </w:r>
          </w:p>
        </w:tc>
        <w:tc>
          <w:tcPr>
            <w:tcW w:w="1389" w:type="dxa"/>
            <w:shd w:val="clear" w:color="auto" w:fill="auto"/>
            <w:vAlign w:val="bottom"/>
          </w:tcPr>
          <w:p w14:paraId="2432BDEB" w14:textId="6F120F65" w:rsidR="00B61797" w:rsidRPr="00537128" w:rsidRDefault="00B61797" w:rsidP="00B61797">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5,209</w:t>
            </w:r>
          </w:p>
        </w:tc>
        <w:tc>
          <w:tcPr>
            <w:tcW w:w="1389" w:type="dxa"/>
            <w:shd w:val="clear" w:color="auto" w:fill="auto"/>
            <w:vAlign w:val="bottom"/>
          </w:tcPr>
          <w:p w14:paraId="49ACA3F5" w14:textId="2A2EB00E" w:rsidR="00B61797" w:rsidRPr="00537128" w:rsidRDefault="00B61797" w:rsidP="00B61797">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Pr>
                <w:rFonts w:ascii="Calibri" w:hAnsi="Calibri" w:cs="Arial"/>
                <w:bCs/>
                <w:iCs/>
                <w:color w:val="000000" w:themeColor="text1"/>
                <w:sz w:val="20"/>
                <w:szCs w:val="20"/>
              </w:rPr>
              <w:t xml:space="preserve">18,168 </w:t>
            </w:r>
          </w:p>
        </w:tc>
        <w:tc>
          <w:tcPr>
            <w:tcW w:w="1389" w:type="dxa"/>
            <w:shd w:val="clear" w:color="auto" w:fill="auto"/>
            <w:vAlign w:val="bottom"/>
          </w:tcPr>
          <w:p w14:paraId="7F1AC1B2" w14:textId="01E77F8C" w:rsidR="00B61797" w:rsidRPr="00537128" w:rsidRDefault="00B61797" w:rsidP="00B61797">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Pr>
                <w:rFonts w:ascii="Calibri" w:hAnsi="Calibri" w:cs="Arial"/>
                <w:bCs/>
                <w:iCs/>
                <w:color w:val="000000" w:themeColor="text1"/>
                <w:sz w:val="20"/>
                <w:szCs w:val="20"/>
              </w:rPr>
              <w:t>13,017</w:t>
            </w:r>
          </w:p>
        </w:tc>
      </w:tr>
      <w:tr w:rsidR="00B61797" w:rsidRPr="00537128" w14:paraId="03C8D66F" w14:textId="77777777" w:rsidTr="00A1123E">
        <w:trPr>
          <w:cantSplit/>
          <w:trHeight w:hRule="exact" w:val="301"/>
          <w:jc w:val="center"/>
        </w:trPr>
        <w:tc>
          <w:tcPr>
            <w:tcW w:w="3516" w:type="dxa"/>
            <w:vAlign w:val="bottom"/>
          </w:tcPr>
          <w:p w14:paraId="6700026E" w14:textId="77777777" w:rsidR="00B61797" w:rsidRPr="00537128" w:rsidRDefault="00B61797" w:rsidP="00B61797">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560" w:name="_Toc4060329"/>
            <w:r w:rsidRPr="00537128">
              <w:rPr>
                <w:rFonts w:ascii="Calibri" w:eastAsia="Times New Roman" w:hAnsi="Calibri" w:cs="Arial"/>
                <w:color w:val="000000" w:themeColor="text1"/>
                <w:sz w:val="20"/>
                <w:szCs w:val="20"/>
                <w:lang w:val="en-US"/>
              </w:rPr>
              <w:t>Associates</w:t>
            </w:r>
            <w:bookmarkEnd w:id="560"/>
          </w:p>
        </w:tc>
        <w:tc>
          <w:tcPr>
            <w:tcW w:w="1389" w:type="dxa"/>
            <w:shd w:val="clear" w:color="auto" w:fill="auto"/>
            <w:vAlign w:val="bottom"/>
          </w:tcPr>
          <w:p w14:paraId="066A3232" w14:textId="0BC66118" w:rsidR="00B61797" w:rsidRPr="00537128" w:rsidRDefault="00B61797" w:rsidP="00B61797">
            <w:pPr>
              <w:tabs>
                <w:tab w:val="right" w:pos="1202"/>
              </w:tabs>
              <w:spacing w:after="0" w:line="240" w:lineRule="auto"/>
              <w:jc w:val="right"/>
              <w:outlineLvl w:val="0"/>
              <w:rPr>
                <w:rFonts w:ascii="Calibri" w:hAnsi="Calibri" w:cs="Arial"/>
                <w:bCs/>
                <w:iCs/>
                <w:sz w:val="20"/>
                <w:szCs w:val="20"/>
                <w:lang w:val="en-US"/>
              </w:rPr>
            </w:pPr>
            <w:r>
              <w:rPr>
                <w:rFonts w:ascii="Calibri" w:hAnsi="Calibri" w:cs="Arial"/>
                <w:bCs/>
                <w:iCs/>
                <w:color w:val="000000" w:themeColor="text1"/>
                <w:sz w:val="20"/>
                <w:szCs w:val="20"/>
              </w:rPr>
              <w:t>-</w:t>
            </w:r>
          </w:p>
        </w:tc>
        <w:tc>
          <w:tcPr>
            <w:tcW w:w="1389" w:type="dxa"/>
            <w:shd w:val="clear" w:color="auto" w:fill="auto"/>
            <w:vAlign w:val="bottom"/>
          </w:tcPr>
          <w:p w14:paraId="331461C9" w14:textId="548791E3" w:rsidR="00B61797" w:rsidRPr="00537128" w:rsidRDefault="00B61797" w:rsidP="00B61797">
            <w:pPr>
              <w:tabs>
                <w:tab w:val="right" w:pos="1202"/>
              </w:tabs>
              <w:spacing w:after="0" w:line="240" w:lineRule="auto"/>
              <w:jc w:val="right"/>
              <w:outlineLvl w:val="0"/>
              <w:rPr>
                <w:rFonts w:ascii="Calibri" w:hAnsi="Calibri" w:cs="Arial"/>
                <w:bCs/>
                <w:iCs/>
                <w:sz w:val="20"/>
                <w:szCs w:val="20"/>
                <w:lang w:val="en-US"/>
              </w:rPr>
            </w:pPr>
            <w:r>
              <w:rPr>
                <w:rFonts w:ascii="Calibri" w:hAnsi="Calibri" w:cs="Arial"/>
                <w:bCs/>
                <w:iCs/>
                <w:color w:val="000000" w:themeColor="text1"/>
                <w:sz w:val="20"/>
                <w:szCs w:val="20"/>
              </w:rPr>
              <w:t>-</w:t>
            </w:r>
          </w:p>
        </w:tc>
        <w:tc>
          <w:tcPr>
            <w:tcW w:w="1389" w:type="dxa"/>
            <w:shd w:val="clear" w:color="auto" w:fill="auto"/>
            <w:vAlign w:val="bottom"/>
          </w:tcPr>
          <w:p w14:paraId="2FF829A6" w14:textId="0A511BBE" w:rsidR="00B61797" w:rsidRPr="00537128" w:rsidRDefault="00B61797" w:rsidP="00B61797">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Pr>
                <w:rFonts w:ascii="Calibri" w:hAnsi="Calibri" w:cs="Arial"/>
                <w:bCs/>
                <w:iCs/>
                <w:color w:val="000000" w:themeColor="text1"/>
                <w:sz w:val="20"/>
                <w:szCs w:val="20"/>
              </w:rPr>
              <w:t xml:space="preserve">26 </w:t>
            </w:r>
          </w:p>
        </w:tc>
        <w:tc>
          <w:tcPr>
            <w:tcW w:w="1389" w:type="dxa"/>
            <w:shd w:val="clear" w:color="auto" w:fill="auto"/>
            <w:vAlign w:val="bottom"/>
          </w:tcPr>
          <w:p w14:paraId="5E627FAC" w14:textId="1E8A439A" w:rsidR="00B61797" w:rsidRPr="00537128" w:rsidRDefault="00B61797" w:rsidP="00B61797">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Pr>
                <w:rFonts w:ascii="Calibri" w:hAnsi="Calibri" w:cs="Arial"/>
                <w:bCs/>
                <w:iCs/>
                <w:color w:val="000000" w:themeColor="text1"/>
                <w:sz w:val="20"/>
                <w:szCs w:val="20"/>
              </w:rPr>
              <w:t>-</w:t>
            </w:r>
          </w:p>
        </w:tc>
      </w:tr>
      <w:tr w:rsidR="00B61797" w:rsidRPr="00537128" w14:paraId="60F1B28D" w14:textId="77777777" w:rsidTr="00A1123E">
        <w:trPr>
          <w:cantSplit/>
          <w:trHeight w:hRule="exact" w:val="301"/>
          <w:jc w:val="center"/>
        </w:trPr>
        <w:tc>
          <w:tcPr>
            <w:tcW w:w="3516" w:type="dxa"/>
            <w:vAlign w:val="bottom"/>
          </w:tcPr>
          <w:p w14:paraId="4AD717D9" w14:textId="77777777" w:rsidR="00B61797" w:rsidRPr="00537128" w:rsidRDefault="00B61797" w:rsidP="00B61797">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561" w:name="_Toc4060334"/>
            <w:r w:rsidRPr="00537128">
              <w:rPr>
                <w:rFonts w:ascii="Calibri" w:eastAsia="Times New Roman" w:hAnsi="Calibri" w:cs="Arial"/>
                <w:bCs/>
                <w:color w:val="000000" w:themeColor="text1"/>
                <w:sz w:val="20"/>
                <w:szCs w:val="20"/>
                <w:lang w:val="en-US"/>
              </w:rPr>
              <w:t>Key management personnel</w:t>
            </w:r>
            <w:bookmarkEnd w:id="561"/>
          </w:p>
        </w:tc>
        <w:tc>
          <w:tcPr>
            <w:tcW w:w="1389" w:type="dxa"/>
            <w:tcBorders>
              <w:bottom w:val="single" w:sz="4" w:space="0" w:color="000000"/>
            </w:tcBorders>
            <w:shd w:val="clear" w:color="auto" w:fill="auto"/>
            <w:vAlign w:val="bottom"/>
          </w:tcPr>
          <w:p w14:paraId="38BAAA29" w14:textId="6FF485D5" w:rsidR="00B61797" w:rsidRPr="00537128" w:rsidRDefault="00B61797" w:rsidP="00B61797">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17</w:t>
            </w:r>
          </w:p>
        </w:tc>
        <w:tc>
          <w:tcPr>
            <w:tcW w:w="1389" w:type="dxa"/>
            <w:tcBorders>
              <w:bottom w:val="single" w:sz="4" w:space="0" w:color="000000"/>
            </w:tcBorders>
            <w:shd w:val="clear" w:color="auto" w:fill="auto"/>
            <w:vAlign w:val="bottom"/>
          </w:tcPr>
          <w:p w14:paraId="6C1EC7ED" w14:textId="59364C15" w:rsidR="00B61797" w:rsidRPr="00537128" w:rsidRDefault="00B61797" w:rsidP="00B61797">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2,257</w:t>
            </w:r>
          </w:p>
        </w:tc>
        <w:tc>
          <w:tcPr>
            <w:tcW w:w="1389" w:type="dxa"/>
            <w:tcBorders>
              <w:bottom w:val="single" w:sz="4" w:space="0" w:color="000000"/>
            </w:tcBorders>
            <w:shd w:val="clear" w:color="auto" w:fill="auto"/>
            <w:vAlign w:val="bottom"/>
          </w:tcPr>
          <w:p w14:paraId="73E8B18D" w14:textId="382B4D4A" w:rsidR="00B61797" w:rsidRPr="00537128" w:rsidRDefault="00B61797" w:rsidP="00B61797">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Pr>
                <w:rFonts w:ascii="Calibri" w:hAnsi="Calibri" w:cs="Arial"/>
                <w:bCs/>
                <w:iCs/>
                <w:color w:val="000000" w:themeColor="text1"/>
                <w:sz w:val="20"/>
                <w:szCs w:val="20"/>
              </w:rPr>
              <w:t>3,348</w:t>
            </w:r>
          </w:p>
        </w:tc>
        <w:tc>
          <w:tcPr>
            <w:tcW w:w="1389" w:type="dxa"/>
            <w:tcBorders>
              <w:bottom w:val="single" w:sz="4" w:space="0" w:color="000000"/>
            </w:tcBorders>
            <w:shd w:val="clear" w:color="auto" w:fill="auto"/>
            <w:vAlign w:val="bottom"/>
          </w:tcPr>
          <w:p w14:paraId="40F06223" w14:textId="5194E7F1" w:rsidR="00B61797" w:rsidRPr="00537128" w:rsidRDefault="00B61797" w:rsidP="00B61797">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Pr>
                <w:rFonts w:ascii="Calibri" w:hAnsi="Calibri" w:cs="Arial"/>
                <w:bCs/>
                <w:iCs/>
                <w:color w:val="000000" w:themeColor="text1"/>
                <w:sz w:val="20"/>
                <w:szCs w:val="20"/>
              </w:rPr>
              <w:t>1,926</w:t>
            </w:r>
          </w:p>
        </w:tc>
      </w:tr>
      <w:tr w:rsidR="00B61797" w:rsidRPr="00537128" w14:paraId="7046D843" w14:textId="77777777" w:rsidTr="00825015">
        <w:trPr>
          <w:cantSplit/>
          <w:trHeight w:hRule="exact" w:val="372"/>
          <w:jc w:val="center"/>
        </w:trPr>
        <w:tc>
          <w:tcPr>
            <w:tcW w:w="3516" w:type="dxa"/>
            <w:vAlign w:val="bottom"/>
          </w:tcPr>
          <w:p w14:paraId="335BC342" w14:textId="77777777" w:rsidR="00B61797" w:rsidRPr="00537128" w:rsidRDefault="00B61797" w:rsidP="00B61797">
            <w:pPr>
              <w:tabs>
                <w:tab w:val="right" w:pos="1202"/>
              </w:tabs>
              <w:spacing w:after="0" w:line="240" w:lineRule="auto"/>
              <w:outlineLvl w:val="0"/>
              <w:rPr>
                <w:rFonts w:ascii="Calibri" w:eastAsia="Times New Roman" w:hAnsi="Calibri" w:cs="Arial"/>
                <w:b/>
                <w:color w:val="000000" w:themeColor="text1"/>
                <w:sz w:val="20"/>
                <w:szCs w:val="20"/>
                <w:lang w:val="en-US"/>
              </w:rPr>
            </w:pPr>
            <w:bookmarkStart w:id="562" w:name="_Toc4060339"/>
            <w:r w:rsidRPr="00537128">
              <w:rPr>
                <w:rFonts w:ascii="Calibri" w:eastAsia="Times New Roman" w:hAnsi="Calibri" w:cs="Arial"/>
                <w:b/>
                <w:color w:val="000000" w:themeColor="text1"/>
                <w:sz w:val="20"/>
                <w:szCs w:val="20"/>
                <w:lang w:val="en-US"/>
              </w:rPr>
              <w:t>Total</w:t>
            </w:r>
            <w:bookmarkEnd w:id="562"/>
          </w:p>
        </w:tc>
        <w:tc>
          <w:tcPr>
            <w:tcW w:w="1389" w:type="dxa"/>
            <w:tcBorders>
              <w:top w:val="single" w:sz="4" w:space="0" w:color="auto"/>
              <w:bottom w:val="single" w:sz="12" w:space="0" w:color="auto"/>
              <w:right w:val="nil"/>
            </w:tcBorders>
            <w:shd w:val="clear" w:color="auto" w:fill="auto"/>
            <w:vAlign w:val="bottom"/>
          </w:tcPr>
          <w:p w14:paraId="625E945D" w14:textId="27CDA204" w:rsidR="00B61797" w:rsidRPr="00537128" w:rsidRDefault="00B61797" w:rsidP="00B61797">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Pr>
                <w:rFonts w:ascii="Calibri" w:eastAsia="Calibri" w:hAnsi="Calibri"/>
                <w:b/>
                <w:bCs/>
                <w:color w:val="000000" w:themeColor="text1"/>
                <w:sz w:val="20"/>
                <w:szCs w:val="20"/>
              </w:rPr>
              <w:t>46,540</w:t>
            </w:r>
          </w:p>
        </w:tc>
        <w:tc>
          <w:tcPr>
            <w:tcW w:w="1389" w:type="dxa"/>
            <w:tcBorders>
              <w:top w:val="single" w:sz="4" w:space="0" w:color="auto"/>
              <w:left w:val="nil"/>
              <w:bottom w:val="single" w:sz="12" w:space="0" w:color="auto"/>
              <w:right w:val="nil"/>
            </w:tcBorders>
            <w:shd w:val="clear" w:color="auto" w:fill="auto"/>
            <w:vAlign w:val="bottom"/>
          </w:tcPr>
          <w:p w14:paraId="616EA85F" w14:textId="58669E1B" w:rsidR="00B61797" w:rsidRPr="00537128" w:rsidRDefault="00B61797" w:rsidP="00B61797">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Pr>
                <w:rFonts w:ascii="Calibri" w:eastAsia="Calibri" w:hAnsi="Calibri"/>
                <w:b/>
                <w:bCs/>
                <w:color w:val="000000" w:themeColor="text1"/>
                <w:sz w:val="20"/>
                <w:szCs w:val="20"/>
              </w:rPr>
              <w:t>14,432</w:t>
            </w:r>
          </w:p>
        </w:tc>
        <w:tc>
          <w:tcPr>
            <w:tcW w:w="1389" w:type="dxa"/>
            <w:tcBorders>
              <w:top w:val="single" w:sz="4" w:space="0" w:color="auto"/>
              <w:bottom w:val="single" w:sz="12" w:space="0" w:color="auto"/>
            </w:tcBorders>
            <w:shd w:val="clear" w:color="auto" w:fill="auto"/>
            <w:vAlign w:val="bottom"/>
          </w:tcPr>
          <w:p w14:paraId="6D3E36A0" w14:textId="046D3A3B" w:rsidR="00B61797" w:rsidRPr="00537128" w:rsidRDefault="00B61797" w:rsidP="00B61797">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Pr>
                <w:rFonts w:cstheme="minorHAnsi"/>
                <w:b/>
                <w:color w:val="000000" w:themeColor="text1"/>
                <w:sz w:val="20"/>
                <w:szCs w:val="20"/>
              </w:rPr>
              <w:t>54,606</w:t>
            </w:r>
          </w:p>
        </w:tc>
        <w:tc>
          <w:tcPr>
            <w:tcW w:w="1389" w:type="dxa"/>
            <w:tcBorders>
              <w:top w:val="single" w:sz="4" w:space="0" w:color="auto"/>
              <w:bottom w:val="single" w:sz="12" w:space="0" w:color="auto"/>
            </w:tcBorders>
            <w:shd w:val="clear" w:color="auto" w:fill="auto"/>
            <w:vAlign w:val="bottom"/>
          </w:tcPr>
          <w:p w14:paraId="06C28A78" w14:textId="1523B217" w:rsidR="00B61797" w:rsidRPr="00537128" w:rsidRDefault="00B61797" w:rsidP="00B61797">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Pr>
                <w:rFonts w:cstheme="minorHAnsi"/>
                <w:b/>
                <w:color w:val="000000" w:themeColor="text1"/>
                <w:sz w:val="20"/>
                <w:szCs w:val="20"/>
              </w:rPr>
              <w:t>20,748</w:t>
            </w:r>
          </w:p>
        </w:tc>
      </w:tr>
    </w:tbl>
    <w:p w14:paraId="68E364CB"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p>
    <w:p w14:paraId="769EB3A8"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p>
    <w:p w14:paraId="415F3429" w14:textId="77777777" w:rsidR="002A5720" w:rsidRPr="00537128" w:rsidRDefault="002A5720" w:rsidP="002A5720">
      <w:pPr>
        <w:tabs>
          <w:tab w:val="left" w:pos="-1843"/>
        </w:tabs>
        <w:spacing w:after="0" w:line="240" w:lineRule="auto"/>
        <w:jc w:val="both"/>
        <w:rPr>
          <w:rFonts w:eastAsia="Calibri" w:cs="Arial"/>
          <w:color w:val="000000" w:themeColor="text1"/>
          <w:lang w:val="en-US"/>
        </w:rPr>
        <w:sectPr w:rsidR="002A5720" w:rsidRPr="00537128">
          <w:pgSz w:w="11906" w:h="16838"/>
          <w:pgMar w:top="1417" w:right="1417" w:bottom="1417" w:left="1417" w:header="708" w:footer="708" w:gutter="0"/>
          <w:cols w:space="708"/>
          <w:docGrid w:linePitch="360"/>
        </w:sectPr>
      </w:pPr>
    </w:p>
    <w:p w14:paraId="7C60D3BF" w14:textId="77777777" w:rsidR="00D626F4" w:rsidRPr="00537128" w:rsidRDefault="00D626F4" w:rsidP="00D626F4">
      <w:pPr>
        <w:tabs>
          <w:tab w:val="right" w:pos="1202"/>
          <w:tab w:val="left" w:pos="9180"/>
        </w:tabs>
        <w:spacing w:after="0" w:line="240" w:lineRule="exact"/>
        <w:jc w:val="both"/>
        <w:outlineLvl w:val="0"/>
        <w:rPr>
          <w:rFonts w:ascii="Calibri" w:eastAsia="Times New Roman" w:hAnsi="Calibri" w:cs="Arial"/>
          <w:color w:val="000000" w:themeColor="text1"/>
          <w:lang w:val="en-US"/>
        </w:rPr>
      </w:pPr>
    </w:p>
    <w:p w14:paraId="29A831D6" w14:textId="597F25DE" w:rsidR="00D626F4" w:rsidRPr="00A1123E" w:rsidRDefault="00D919B3" w:rsidP="00A1123E">
      <w:pPr>
        <w:tabs>
          <w:tab w:val="left" w:pos="-1843"/>
        </w:tabs>
        <w:suppressAutoHyphens/>
        <w:spacing w:after="0"/>
        <w:rPr>
          <w:rFonts w:cs="Arial"/>
          <w:b/>
          <w:color w:val="000000" w:themeColor="text1"/>
          <w:spacing w:val="-3"/>
          <w:lang w:val="en-US"/>
        </w:rPr>
      </w:pPr>
      <w:r>
        <w:rPr>
          <w:rFonts w:cs="Arial"/>
          <w:b/>
          <w:color w:val="000000" w:themeColor="text1"/>
          <w:spacing w:val="-3"/>
          <w:lang w:val="en-US"/>
        </w:rPr>
        <w:t>22.</w:t>
      </w:r>
      <w:r>
        <w:rPr>
          <w:rFonts w:cs="Arial"/>
          <w:b/>
          <w:color w:val="000000" w:themeColor="text1"/>
          <w:spacing w:val="-3"/>
          <w:lang w:val="en-US"/>
        </w:rPr>
        <w:tab/>
      </w:r>
      <w:r w:rsidR="00D626F4" w:rsidRPr="00A1123E">
        <w:rPr>
          <w:rFonts w:cs="Arial"/>
          <w:b/>
          <w:color w:val="000000" w:themeColor="text1"/>
          <w:spacing w:val="-3"/>
          <w:lang w:val="en-US"/>
        </w:rPr>
        <w:t>Related-party transactions (continued)</w:t>
      </w:r>
    </w:p>
    <w:p w14:paraId="348CA480" w14:textId="77777777" w:rsidR="00D626F4" w:rsidRPr="00537128" w:rsidRDefault="00D626F4" w:rsidP="001D7A01">
      <w:pPr>
        <w:spacing w:after="0" w:line="240" w:lineRule="auto"/>
        <w:jc w:val="both"/>
        <w:rPr>
          <w:rFonts w:ascii="Calibri" w:eastAsia="Times New Roman" w:hAnsi="Calibri" w:cs="Arial"/>
          <w:color w:val="000000" w:themeColor="text1"/>
          <w:lang w:val="en-US"/>
        </w:rPr>
      </w:pPr>
    </w:p>
    <w:p w14:paraId="128FA077" w14:textId="77777777" w:rsidR="00D626F4" w:rsidRPr="00537128" w:rsidRDefault="00D626F4" w:rsidP="001D7A01">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a)</w:t>
      </w:r>
      <w:r w:rsidRPr="00537128">
        <w:rPr>
          <w:rFonts w:ascii="Calibri" w:eastAsia="Times New Roman" w:hAnsi="Calibri" w:cs="Arial"/>
          <w:color w:val="000000" w:themeColor="text1"/>
          <w:lang w:val="en-US"/>
        </w:rPr>
        <w:tab/>
        <w:t>Related-party transactions (continued)</w:t>
      </w:r>
    </w:p>
    <w:p w14:paraId="2B0BA02A" w14:textId="77777777" w:rsidR="00D626F4" w:rsidRPr="00537128" w:rsidRDefault="00D626F4" w:rsidP="001D7A01">
      <w:pPr>
        <w:spacing w:after="0" w:line="240" w:lineRule="auto"/>
        <w:jc w:val="both"/>
        <w:rPr>
          <w:rFonts w:ascii="Calibri" w:eastAsia="Times New Roman" w:hAnsi="Calibri" w:cs="Arial"/>
          <w:color w:val="000000" w:themeColor="text1"/>
          <w:lang w:val="en-US"/>
        </w:rPr>
      </w:pPr>
    </w:p>
    <w:tbl>
      <w:tblPr>
        <w:tblW w:w="4950" w:type="pct"/>
        <w:jc w:val="center"/>
        <w:tblLayout w:type="fixed"/>
        <w:tblCellMar>
          <w:left w:w="113" w:type="dxa"/>
          <w:right w:w="85" w:type="dxa"/>
        </w:tblCellMar>
        <w:tblLook w:val="00A0" w:firstRow="1" w:lastRow="0" w:firstColumn="1" w:lastColumn="0" w:noHBand="0" w:noVBand="0"/>
      </w:tblPr>
      <w:tblGrid>
        <w:gridCol w:w="3401"/>
        <w:gridCol w:w="1395"/>
        <w:gridCol w:w="1395"/>
        <w:gridCol w:w="1395"/>
        <w:gridCol w:w="1395"/>
      </w:tblGrid>
      <w:tr w:rsidR="00D626F4" w:rsidRPr="00537128" w14:paraId="6F215097" w14:textId="77777777" w:rsidTr="00600297">
        <w:trPr>
          <w:trHeight w:val="19"/>
          <w:jc w:val="center"/>
        </w:trPr>
        <w:tc>
          <w:tcPr>
            <w:tcW w:w="3401" w:type="dxa"/>
            <w:vAlign w:val="bottom"/>
          </w:tcPr>
          <w:p w14:paraId="780C482A" w14:textId="77777777" w:rsidR="00D626F4" w:rsidRPr="00537128" w:rsidRDefault="00D626F4" w:rsidP="00D626F4">
            <w:pPr>
              <w:tabs>
                <w:tab w:val="right" w:pos="1202"/>
              </w:tabs>
              <w:spacing w:after="0" w:line="240" w:lineRule="auto"/>
              <w:outlineLvl w:val="0"/>
              <w:rPr>
                <w:rFonts w:ascii="Calibri" w:eastAsia="Times New Roman" w:hAnsi="Calibri" w:cs="Arial"/>
                <w:color w:val="000000" w:themeColor="text1"/>
                <w:sz w:val="20"/>
                <w:szCs w:val="20"/>
                <w:lang w:val="en-US"/>
              </w:rPr>
            </w:pPr>
            <w:bookmarkStart w:id="563" w:name="_Toc4060344"/>
            <w:r w:rsidRPr="00537128">
              <w:rPr>
                <w:rFonts w:ascii="Calibri" w:eastAsia="Times New Roman" w:hAnsi="Calibri" w:cs="Arial"/>
                <w:b/>
                <w:color w:val="000000" w:themeColor="text1"/>
                <w:sz w:val="20"/>
                <w:szCs w:val="20"/>
                <w:lang w:val="en-US"/>
              </w:rPr>
              <w:t>Bank</w:t>
            </w:r>
            <w:bookmarkEnd w:id="563"/>
          </w:p>
        </w:tc>
        <w:tc>
          <w:tcPr>
            <w:tcW w:w="1395" w:type="dxa"/>
            <w:vAlign w:val="bottom"/>
          </w:tcPr>
          <w:p w14:paraId="0A397C75" w14:textId="77777777" w:rsidR="00D626F4" w:rsidRPr="00537128"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64" w:name="_Toc4060345"/>
            <w:r w:rsidRPr="00537128">
              <w:rPr>
                <w:rFonts w:ascii="Calibri" w:eastAsia="Times New Roman" w:hAnsi="Calibri" w:cs="Arial"/>
                <w:b/>
                <w:bCs/>
                <w:iCs/>
                <w:color w:val="000000" w:themeColor="text1"/>
                <w:sz w:val="20"/>
                <w:szCs w:val="20"/>
                <w:lang w:val="en-US"/>
              </w:rPr>
              <w:t>Assets</w:t>
            </w:r>
            <w:bookmarkEnd w:id="564"/>
          </w:p>
        </w:tc>
        <w:tc>
          <w:tcPr>
            <w:tcW w:w="1395" w:type="dxa"/>
            <w:vAlign w:val="bottom"/>
          </w:tcPr>
          <w:p w14:paraId="5A683818" w14:textId="77777777" w:rsidR="00D626F4" w:rsidRPr="00537128"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65" w:name="_Toc4060346"/>
            <w:r w:rsidRPr="00537128">
              <w:rPr>
                <w:rFonts w:ascii="Calibri" w:eastAsia="Times New Roman" w:hAnsi="Calibri" w:cs="Arial"/>
                <w:b/>
                <w:bCs/>
                <w:iCs/>
                <w:color w:val="000000" w:themeColor="text1"/>
                <w:sz w:val="20"/>
                <w:szCs w:val="20"/>
                <w:lang w:val="en-US"/>
              </w:rPr>
              <w:t>Liabilities</w:t>
            </w:r>
            <w:bookmarkEnd w:id="565"/>
          </w:p>
        </w:tc>
        <w:tc>
          <w:tcPr>
            <w:tcW w:w="1395" w:type="dxa"/>
            <w:vAlign w:val="bottom"/>
          </w:tcPr>
          <w:p w14:paraId="6B3CD545" w14:textId="77777777" w:rsidR="00D626F4" w:rsidRPr="00537128"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66" w:name="_Toc4060347"/>
            <w:r w:rsidRPr="00537128">
              <w:rPr>
                <w:rFonts w:ascii="Calibri" w:eastAsia="Times New Roman" w:hAnsi="Calibri" w:cs="Arial"/>
                <w:b/>
                <w:bCs/>
                <w:iCs/>
                <w:color w:val="000000" w:themeColor="text1"/>
                <w:sz w:val="20"/>
                <w:szCs w:val="20"/>
                <w:lang w:val="en-US"/>
              </w:rPr>
              <w:t>Assets</w:t>
            </w:r>
            <w:bookmarkEnd w:id="566"/>
          </w:p>
        </w:tc>
        <w:tc>
          <w:tcPr>
            <w:tcW w:w="1395" w:type="dxa"/>
            <w:vAlign w:val="bottom"/>
          </w:tcPr>
          <w:p w14:paraId="17CEAF21" w14:textId="77777777" w:rsidR="00D626F4" w:rsidRPr="00537128"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67" w:name="_Toc4060348"/>
            <w:r w:rsidRPr="00537128">
              <w:rPr>
                <w:rFonts w:ascii="Calibri" w:eastAsia="Times New Roman" w:hAnsi="Calibri" w:cs="Arial"/>
                <w:b/>
                <w:bCs/>
                <w:iCs/>
                <w:color w:val="000000" w:themeColor="text1"/>
                <w:sz w:val="20"/>
                <w:szCs w:val="20"/>
                <w:lang w:val="en-US"/>
              </w:rPr>
              <w:t>Liabilities</w:t>
            </w:r>
            <w:bookmarkEnd w:id="567"/>
          </w:p>
        </w:tc>
      </w:tr>
      <w:tr w:rsidR="00F86C52" w:rsidRPr="00537128" w14:paraId="52E9C949" w14:textId="77777777" w:rsidTr="00600297">
        <w:trPr>
          <w:trHeight w:val="630"/>
          <w:jc w:val="center"/>
        </w:trPr>
        <w:tc>
          <w:tcPr>
            <w:tcW w:w="3401" w:type="dxa"/>
            <w:vAlign w:val="bottom"/>
          </w:tcPr>
          <w:p w14:paraId="6C1D9542" w14:textId="77777777" w:rsidR="00F86C52" w:rsidRPr="00537128" w:rsidRDefault="00F86C52" w:rsidP="00F86C52">
            <w:pPr>
              <w:tabs>
                <w:tab w:val="right" w:pos="1202"/>
              </w:tabs>
              <w:spacing w:after="0" w:line="240" w:lineRule="auto"/>
              <w:outlineLvl w:val="0"/>
              <w:rPr>
                <w:rFonts w:ascii="Calibri" w:eastAsia="Times New Roman" w:hAnsi="Calibri" w:cs="Arial"/>
                <w:color w:val="000000" w:themeColor="text1"/>
                <w:sz w:val="20"/>
                <w:szCs w:val="20"/>
                <w:lang w:val="en-US"/>
              </w:rPr>
            </w:pPr>
          </w:p>
        </w:tc>
        <w:tc>
          <w:tcPr>
            <w:tcW w:w="1395" w:type="dxa"/>
            <w:vAlign w:val="center"/>
          </w:tcPr>
          <w:p w14:paraId="3A022F4A" w14:textId="22AD30F1" w:rsidR="00F86C52" w:rsidRPr="00537128" w:rsidRDefault="00F86C52" w:rsidP="00F86C52">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537128">
              <w:rPr>
                <w:rFonts w:ascii="Calibri" w:eastAsia="Times New Roman" w:hAnsi="Calibri" w:cs="Arial"/>
                <w:b/>
                <w:bCs/>
                <w:sz w:val="20"/>
                <w:szCs w:val="20"/>
                <w:lang w:val="en-US"/>
              </w:rPr>
              <w:t>31 March 202</w:t>
            </w:r>
            <w:r w:rsidR="00C9129B">
              <w:rPr>
                <w:rFonts w:ascii="Calibri" w:eastAsia="Times New Roman" w:hAnsi="Calibri" w:cs="Arial"/>
                <w:b/>
                <w:bCs/>
                <w:sz w:val="20"/>
                <w:szCs w:val="20"/>
                <w:lang w:val="en-US"/>
              </w:rPr>
              <w:t>2</w:t>
            </w:r>
          </w:p>
        </w:tc>
        <w:tc>
          <w:tcPr>
            <w:tcW w:w="1395" w:type="dxa"/>
            <w:vAlign w:val="center"/>
          </w:tcPr>
          <w:p w14:paraId="3B5D30F0" w14:textId="249D243A" w:rsidR="00F86C52" w:rsidRPr="00537128" w:rsidRDefault="00F86C52" w:rsidP="00F86C52">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537128">
              <w:rPr>
                <w:rFonts w:ascii="Calibri" w:eastAsia="Times New Roman" w:hAnsi="Calibri" w:cs="Arial"/>
                <w:b/>
                <w:bCs/>
                <w:sz w:val="20"/>
                <w:szCs w:val="20"/>
                <w:lang w:val="en-US"/>
              </w:rPr>
              <w:t>31 March 202</w:t>
            </w:r>
            <w:r w:rsidR="00C9129B">
              <w:rPr>
                <w:rFonts w:ascii="Calibri" w:eastAsia="Times New Roman" w:hAnsi="Calibri" w:cs="Arial"/>
                <w:b/>
                <w:bCs/>
                <w:sz w:val="20"/>
                <w:szCs w:val="20"/>
                <w:lang w:val="en-US"/>
              </w:rPr>
              <w:t>2</w:t>
            </w:r>
          </w:p>
        </w:tc>
        <w:tc>
          <w:tcPr>
            <w:tcW w:w="1395" w:type="dxa"/>
            <w:vAlign w:val="center"/>
          </w:tcPr>
          <w:p w14:paraId="012B3DCF" w14:textId="197842FC" w:rsidR="00F86C52" w:rsidRPr="00537128" w:rsidRDefault="00F86C52" w:rsidP="00F86C52">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Arial"/>
                <w:b/>
                <w:bCs/>
                <w:sz w:val="20"/>
                <w:szCs w:val="20"/>
                <w:lang w:val="en-US"/>
              </w:rPr>
              <w:t>31 December 202</w:t>
            </w:r>
            <w:r w:rsidR="00C9129B">
              <w:rPr>
                <w:rFonts w:ascii="Calibri" w:eastAsia="Times New Roman" w:hAnsi="Calibri" w:cs="Arial"/>
                <w:b/>
                <w:bCs/>
                <w:sz w:val="20"/>
                <w:szCs w:val="20"/>
                <w:lang w:val="en-US"/>
              </w:rPr>
              <w:t>1</w:t>
            </w:r>
          </w:p>
        </w:tc>
        <w:tc>
          <w:tcPr>
            <w:tcW w:w="1395" w:type="dxa"/>
            <w:vAlign w:val="center"/>
          </w:tcPr>
          <w:p w14:paraId="72EEEC3D" w14:textId="0118BA82" w:rsidR="00F86C52" w:rsidRPr="00537128" w:rsidRDefault="00F86C52" w:rsidP="00F86C52">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Arial"/>
                <w:b/>
                <w:bCs/>
                <w:sz w:val="20"/>
                <w:szCs w:val="20"/>
                <w:lang w:val="en-US"/>
              </w:rPr>
              <w:t>31 December 202</w:t>
            </w:r>
            <w:r w:rsidR="00C9129B">
              <w:rPr>
                <w:rFonts w:ascii="Calibri" w:eastAsia="Times New Roman" w:hAnsi="Calibri" w:cs="Arial"/>
                <w:b/>
                <w:bCs/>
                <w:sz w:val="20"/>
                <w:szCs w:val="20"/>
                <w:lang w:val="en-US"/>
              </w:rPr>
              <w:t>1</w:t>
            </w:r>
          </w:p>
        </w:tc>
      </w:tr>
      <w:tr w:rsidR="00D626F4" w:rsidRPr="00537128" w14:paraId="3839D441" w14:textId="77777777" w:rsidTr="00600297">
        <w:trPr>
          <w:trHeight w:val="323"/>
          <w:jc w:val="center"/>
        </w:trPr>
        <w:tc>
          <w:tcPr>
            <w:tcW w:w="3401" w:type="dxa"/>
            <w:vAlign w:val="bottom"/>
          </w:tcPr>
          <w:p w14:paraId="6DDBD4E7" w14:textId="77777777" w:rsidR="00D626F4" w:rsidRPr="00537128" w:rsidRDefault="00D626F4" w:rsidP="00D626F4">
            <w:pPr>
              <w:tabs>
                <w:tab w:val="right" w:pos="1202"/>
              </w:tabs>
              <w:spacing w:after="0" w:line="240" w:lineRule="auto"/>
              <w:outlineLvl w:val="0"/>
              <w:rPr>
                <w:rFonts w:ascii="Calibri" w:eastAsia="Times New Roman" w:hAnsi="Calibri" w:cs="Arial"/>
                <w:color w:val="000000" w:themeColor="text1"/>
                <w:sz w:val="20"/>
                <w:szCs w:val="20"/>
                <w:lang w:val="en-US"/>
              </w:rPr>
            </w:pPr>
          </w:p>
        </w:tc>
        <w:tc>
          <w:tcPr>
            <w:tcW w:w="1395" w:type="dxa"/>
            <w:vAlign w:val="bottom"/>
          </w:tcPr>
          <w:p w14:paraId="25838487" w14:textId="77777777" w:rsidR="00D626F4" w:rsidRPr="00537128" w:rsidRDefault="00D626F4"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568" w:name="_Toc4060353"/>
            <w:r w:rsidRPr="00537128">
              <w:rPr>
                <w:rFonts w:ascii="Calibri" w:eastAsia="Times New Roman" w:hAnsi="Calibri" w:cs="Arial"/>
                <w:b/>
                <w:color w:val="000000" w:themeColor="text1"/>
                <w:sz w:val="20"/>
                <w:szCs w:val="20"/>
                <w:lang w:val="en-US"/>
              </w:rPr>
              <w:t>HRK ‘000</w:t>
            </w:r>
            <w:bookmarkEnd w:id="568"/>
          </w:p>
        </w:tc>
        <w:tc>
          <w:tcPr>
            <w:tcW w:w="1395" w:type="dxa"/>
            <w:vAlign w:val="bottom"/>
          </w:tcPr>
          <w:p w14:paraId="417FE404" w14:textId="77777777" w:rsidR="00D626F4" w:rsidRPr="00537128" w:rsidRDefault="00D626F4"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Arial"/>
                <w:b/>
                <w:color w:val="000000" w:themeColor="text1"/>
                <w:sz w:val="20"/>
                <w:szCs w:val="20"/>
                <w:lang w:val="en-US"/>
              </w:rPr>
              <w:t>HRK ‘000</w:t>
            </w:r>
          </w:p>
        </w:tc>
        <w:tc>
          <w:tcPr>
            <w:tcW w:w="1395" w:type="dxa"/>
            <w:vAlign w:val="bottom"/>
          </w:tcPr>
          <w:p w14:paraId="625B5766" w14:textId="77777777" w:rsidR="00D626F4" w:rsidRPr="00537128" w:rsidRDefault="00D626F4" w:rsidP="00F86C52">
            <w:pPr>
              <w:tabs>
                <w:tab w:val="right" w:pos="1202"/>
              </w:tabs>
              <w:spacing w:after="0" w:line="240" w:lineRule="auto"/>
              <w:jc w:val="right"/>
              <w:outlineLvl w:val="0"/>
              <w:rPr>
                <w:rFonts w:ascii="Calibri" w:eastAsia="Times New Roman" w:hAnsi="Calibri" w:cs="Arial"/>
                <w:b/>
                <w:color w:val="000000" w:themeColor="text1"/>
                <w:sz w:val="20"/>
                <w:szCs w:val="20"/>
                <w:lang w:val="en-US"/>
              </w:rPr>
            </w:pPr>
            <w:r w:rsidRPr="00537128">
              <w:rPr>
                <w:rFonts w:ascii="Calibri" w:eastAsia="Times New Roman" w:hAnsi="Calibri" w:cs="Arial"/>
                <w:b/>
                <w:color w:val="000000" w:themeColor="text1"/>
                <w:sz w:val="20"/>
                <w:szCs w:val="20"/>
                <w:lang w:val="en-US"/>
              </w:rPr>
              <w:t>HRK ‘000</w:t>
            </w:r>
          </w:p>
        </w:tc>
        <w:tc>
          <w:tcPr>
            <w:tcW w:w="1395" w:type="dxa"/>
            <w:vAlign w:val="bottom"/>
          </w:tcPr>
          <w:p w14:paraId="6534DE1C" w14:textId="77777777" w:rsidR="00D626F4" w:rsidRPr="00537128" w:rsidRDefault="00D626F4" w:rsidP="00F86C52">
            <w:pPr>
              <w:tabs>
                <w:tab w:val="right" w:pos="1202"/>
              </w:tabs>
              <w:spacing w:after="0" w:line="240" w:lineRule="auto"/>
              <w:jc w:val="right"/>
              <w:outlineLvl w:val="0"/>
              <w:rPr>
                <w:rFonts w:ascii="Calibri" w:eastAsia="Times New Roman" w:hAnsi="Calibri" w:cs="Arial"/>
                <w:b/>
                <w:color w:val="000000" w:themeColor="text1"/>
                <w:sz w:val="20"/>
                <w:szCs w:val="20"/>
                <w:lang w:val="en-US"/>
              </w:rPr>
            </w:pPr>
            <w:bookmarkStart w:id="569" w:name="_Toc4060354"/>
            <w:r w:rsidRPr="00537128">
              <w:rPr>
                <w:rFonts w:ascii="Calibri" w:eastAsia="Times New Roman" w:hAnsi="Calibri" w:cs="Arial"/>
                <w:b/>
                <w:color w:val="000000" w:themeColor="text1"/>
                <w:sz w:val="20"/>
                <w:szCs w:val="20"/>
                <w:lang w:val="en-US"/>
              </w:rPr>
              <w:t>HRK ‘000</w:t>
            </w:r>
            <w:bookmarkEnd w:id="569"/>
          </w:p>
        </w:tc>
      </w:tr>
      <w:tr w:rsidR="00855EE8" w:rsidRPr="00537128" w14:paraId="21B1E121" w14:textId="77777777" w:rsidTr="004C6AB5">
        <w:trPr>
          <w:trHeight w:val="369"/>
          <w:jc w:val="center"/>
        </w:trPr>
        <w:tc>
          <w:tcPr>
            <w:tcW w:w="3401" w:type="dxa"/>
            <w:vAlign w:val="bottom"/>
          </w:tcPr>
          <w:p w14:paraId="1D9093AA" w14:textId="77777777" w:rsidR="00855EE8" w:rsidRPr="00537128" w:rsidRDefault="00855EE8" w:rsidP="00855EE8">
            <w:pPr>
              <w:tabs>
                <w:tab w:val="right" w:pos="1202"/>
              </w:tabs>
              <w:spacing w:after="0" w:line="240" w:lineRule="auto"/>
              <w:outlineLvl w:val="0"/>
              <w:rPr>
                <w:rFonts w:ascii="Calibri" w:eastAsia="Times New Roman" w:hAnsi="Calibri" w:cs="Arial"/>
                <w:color w:val="000000" w:themeColor="text1"/>
                <w:sz w:val="20"/>
                <w:szCs w:val="20"/>
                <w:lang w:val="en-US"/>
              </w:rPr>
            </w:pPr>
            <w:bookmarkStart w:id="570" w:name="_Toc4060357"/>
            <w:r w:rsidRPr="00537128">
              <w:rPr>
                <w:rFonts w:ascii="Calibri" w:eastAsia="Times New Roman" w:hAnsi="Calibri" w:cs="Arial"/>
                <w:color w:val="000000" w:themeColor="text1"/>
                <w:sz w:val="20"/>
                <w:szCs w:val="20"/>
                <w:lang w:val="en-US"/>
              </w:rPr>
              <w:t>Owner</w:t>
            </w:r>
            <w:bookmarkEnd w:id="570"/>
          </w:p>
        </w:tc>
        <w:tc>
          <w:tcPr>
            <w:tcW w:w="1395" w:type="dxa"/>
            <w:shd w:val="clear" w:color="auto" w:fill="auto"/>
            <w:vAlign w:val="bottom"/>
          </w:tcPr>
          <w:p w14:paraId="4E7D9043" w14:textId="0BC37CF2" w:rsidR="00855EE8" w:rsidRPr="00537128" w:rsidRDefault="00855EE8" w:rsidP="00855EE8">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3</w:t>
            </w:r>
            <w:r w:rsidR="007A1A14">
              <w:rPr>
                <w:rFonts w:ascii="Calibri" w:eastAsia="Calibri" w:hAnsi="Calibri" w:cs="Arial"/>
                <w:bCs/>
                <w:iCs/>
                <w:color w:val="000000" w:themeColor="text1"/>
                <w:sz w:val="20"/>
                <w:szCs w:val="20"/>
              </w:rPr>
              <w:t>,</w:t>
            </w:r>
            <w:r>
              <w:rPr>
                <w:rFonts w:ascii="Calibri" w:eastAsia="Calibri" w:hAnsi="Calibri" w:cs="Arial"/>
                <w:bCs/>
                <w:iCs/>
                <w:color w:val="000000" w:themeColor="text1"/>
                <w:sz w:val="20"/>
                <w:szCs w:val="20"/>
              </w:rPr>
              <w:t>618</w:t>
            </w:r>
            <w:r w:rsidR="007A1A14">
              <w:rPr>
                <w:rFonts w:ascii="Calibri" w:eastAsia="Calibri" w:hAnsi="Calibri" w:cs="Arial"/>
                <w:bCs/>
                <w:iCs/>
                <w:color w:val="000000" w:themeColor="text1"/>
                <w:sz w:val="20"/>
                <w:szCs w:val="20"/>
              </w:rPr>
              <w:t>,</w:t>
            </w:r>
            <w:r>
              <w:rPr>
                <w:rFonts w:ascii="Calibri" w:eastAsia="Calibri" w:hAnsi="Calibri" w:cs="Arial"/>
                <w:bCs/>
                <w:iCs/>
                <w:color w:val="000000" w:themeColor="text1"/>
                <w:sz w:val="20"/>
                <w:szCs w:val="20"/>
              </w:rPr>
              <w:t>688</w:t>
            </w:r>
          </w:p>
        </w:tc>
        <w:tc>
          <w:tcPr>
            <w:tcW w:w="1395" w:type="dxa"/>
            <w:shd w:val="clear" w:color="auto" w:fill="auto"/>
            <w:vAlign w:val="bottom"/>
          </w:tcPr>
          <w:p w14:paraId="42143A53" w14:textId="05F6AC9D" w:rsidR="00855EE8" w:rsidRPr="00537128" w:rsidRDefault="00855EE8" w:rsidP="00855EE8">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1</w:t>
            </w:r>
            <w:r w:rsidR="007A1A14">
              <w:rPr>
                <w:rFonts w:ascii="Calibri" w:eastAsia="Calibri" w:hAnsi="Calibri" w:cs="Arial"/>
                <w:bCs/>
                <w:iCs/>
                <w:color w:val="000000" w:themeColor="text1"/>
                <w:sz w:val="20"/>
                <w:szCs w:val="20"/>
              </w:rPr>
              <w:t>,</w:t>
            </w:r>
            <w:r>
              <w:rPr>
                <w:rFonts w:ascii="Calibri" w:eastAsia="Calibri" w:hAnsi="Calibri" w:cs="Arial"/>
                <w:bCs/>
                <w:iCs/>
                <w:color w:val="000000" w:themeColor="text1"/>
                <w:sz w:val="20"/>
                <w:szCs w:val="20"/>
              </w:rPr>
              <w:t>820</w:t>
            </w:r>
            <w:r w:rsidR="007A1A14">
              <w:rPr>
                <w:rFonts w:ascii="Calibri" w:eastAsia="Calibri" w:hAnsi="Calibri" w:cs="Arial"/>
                <w:bCs/>
                <w:iCs/>
                <w:color w:val="000000" w:themeColor="text1"/>
                <w:sz w:val="20"/>
                <w:szCs w:val="20"/>
              </w:rPr>
              <w:t>,</w:t>
            </w:r>
            <w:r>
              <w:rPr>
                <w:rFonts w:ascii="Calibri" w:eastAsia="Calibri" w:hAnsi="Calibri" w:cs="Arial"/>
                <w:bCs/>
                <w:iCs/>
                <w:color w:val="000000" w:themeColor="text1"/>
                <w:sz w:val="20"/>
                <w:szCs w:val="20"/>
              </w:rPr>
              <w:t>012</w:t>
            </w:r>
          </w:p>
        </w:tc>
        <w:tc>
          <w:tcPr>
            <w:tcW w:w="1395" w:type="dxa"/>
            <w:shd w:val="clear" w:color="auto" w:fill="auto"/>
            <w:vAlign w:val="bottom"/>
          </w:tcPr>
          <w:p w14:paraId="1D0E4FC8" w14:textId="30AE5BCF" w:rsidR="00855EE8" w:rsidRPr="00537128" w:rsidRDefault="00855EE8" w:rsidP="00855EE8">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2576B1">
              <w:rPr>
                <w:rFonts w:cstheme="minorHAnsi"/>
                <w:color w:val="000000"/>
                <w:sz w:val="20"/>
                <w:szCs w:val="20"/>
              </w:rPr>
              <w:t>3</w:t>
            </w:r>
            <w:r>
              <w:rPr>
                <w:rFonts w:cstheme="minorHAnsi"/>
                <w:color w:val="000000"/>
                <w:sz w:val="20"/>
                <w:szCs w:val="20"/>
              </w:rPr>
              <w:t>,</w:t>
            </w:r>
            <w:r w:rsidRPr="002576B1">
              <w:rPr>
                <w:rFonts w:cstheme="minorHAnsi"/>
                <w:color w:val="000000"/>
                <w:sz w:val="20"/>
                <w:szCs w:val="20"/>
              </w:rPr>
              <w:t>348</w:t>
            </w:r>
            <w:r>
              <w:rPr>
                <w:rFonts w:cstheme="minorHAnsi"/>
                <w:color w:val="000000"/>
                <w:sz w:val="20"/>
                <w:szCs w:val="20"/>
              </w:rPr>
              <w:t>,</w:t>
            </w:r>
            <w:r w:rsidRPr="002576B1">
              <w:rPr>
                <w:rFonts w:cstheme="minorHAnsi"/>
                <w:color w:val="000000"/>
                <w:sz w:val="20"/>
                <w:szCs w:val="20"/>
              </w:rPr>
              <w:t>080</w:t>
            </w:r>
          </w:p>
        </w:tc>
        <w:tc>
          <w:tcPr>
            <w:tcW w:w="1395" w:type="dxa"/>
            <w:shd w:val="clear" w:color="auto" w:fill="auto"/>
            <w:vAlign w:val="bottom"/>
          </w:tcPr>
          <w:p w14:paraId="49176606" w14:textId="52B7181E" w:rsidR="00855EE8" w:rsidRPr="00537128" w:rsidRDefault="00855EE8" w:rsidP="00855EE8">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2576B1">
              <w:rPr>
                <w:rFonts w:cstheme="minorHAnsi"/>
                <w:color w:val="000000"/>
                <w:sz w:val="20"/>
                <w:szCs w:val="20"/>
              </w:rPr>
              <w:t>1</w:t>
            </w:r>
            <w:r>
              <w:rPr>
                <w:rFonts w:cstheme="minorHAnsi"/>
                <w:color w:val="000000"/>
                <w:sz w:val="20"/>
                <w:szCs w:val="20"/>
              </w:rPr>
              <w:t>,</w:t>
            </w:r>
            <w:r w:rsidRPr="002576B1">
              <w:rPr>
                <w:rFonts w:cstheme="minorHAnsi"/>
                <w:color w:val="000000"/>
                <w:sz w:val="20"/>
                <w:szCs w:val="20"/>
              </w:rPr>
              <w:t>853</w:t>
            </w:r>
            <w:r>
              <w:rPr>
                <w:rFonts w:cstheme="minorHAnsi"/>
                <w:color w:val="000000"/>
                <w:sz w:val="20"/>
                <w:szCs w:val="20"/>
              </w:rPr>
              <w:t>,</w:t>
            </w:r>
            <w:r w:rsidRPr="002576B1">
              <w:rPr>
                <w:rFonts w:cstheme="minorHAnsi"/>
                <w:color w:val="000000"/>
                <w:sz w:val="20"/>
                <w:szCs w:val="20"/>
              </w:rPr>
              <w:t>263</w:t>
            </w:r>
          </w:p>
        </w:tc>
      </w:tr>
      <w:tr w:rsidR="00855EE8" w:rsidRPr="00537128" w14:paraId="0BD89E20" w14:textId="77777777" w:rsidTr="004C6AB5">
        <w:trPr>
          <w:trHeight w:val="19"/>
          <w:jc w:val="center"/>
        </w:trPr>
        <w:tc>
          <w:tcPr>
            <w:tcW w:w="3401" w:type="dxa"/>
            <w:vAlign w:val="bottom"/>
          </w:tcPr>
          <w:p w14:paraId="40166683" w14:textId="77777777" w:rsidR="00855EE8" w:rsidRPr="00537128" w:rsidRDefault="00855EE8" w:rsidP="00855EE8">
            <w:pPr>
              <w:tabs>
                <w:tab w:val="right" w:pos="1202"/>
              </w:tabs>
              <w:spacing w:after="0" w:line="240" w:lineRule="auto"/>
              <w:outlineLvl w:val="0"/>
              <w:rPr>
                <w:rFonts w:ascii="Calibri" w:eastAsia="Times New Roman" w:hAnsi="Calibri" w:cs="Arial"/>
                <w:color w:val="000000" w:themeColor="text1"/>
                <w:sz w:val="20"/>
                <w:szCs w:val="20"/>
                <w:lang w:val="en-US"/>
              </w:rPr>
            </w:pPr>
            <w:bookmarkStart w:id="571" w:name="_Toc4060362"/>
            <w:r w:rsidRPr="00537128">
              <w:rPr>
                <w:rFonts w:ascii="Calibri" w:eastAsia="Times New Roman" w:hAnsi="Calibri" w:cs="Arial"/>
                <w:color w:val="000000" w:themeColor="text1"/>
                <w:sz w:val="20"/>
                <w:szCs w:val="20"/>
                <w:lang w:val="en-US"/>
              </w:rPr>
              <w:t xml:space="preserve">Government funds, executive </w:t>
            </w:r>
            <w:proofErr w:type="gramStart"/>
            <w:r w:rsidRPr="00537128">
              <w:rPr>
                <w:rFonts w:ascii="Calibri" w:eastAsia="Times New Roman" w:hAnsi="Calibri" w:cs="Arial"/>
                <w:color w:val="000000" w:themeColor="text1"/>
                <w:sz w:val="20"/>
                <w:szCs w:val="20"/>
                <w:lang w:val="en-US"/>
              </w:rPr>
              <w:t>authorities</w:t>
            </w:r>
            <w:proofErr w:type="gramEnd"/>
            <w:r w:rsidRPr="00537128">
              <w:rPr>
                <w:rFonts w:ascii="Calibri" w:eastAsia="Times New Roman" w:hAnsi="Calibri" w:cs="Arial"/>
                <w:color w:val="000000" w:themeColor="text1"/>
                <w:sz w:val="20"/>
                <w:szCs w:val="20"/>
                <w:lang w:val="en-US"/>
              </w:rPr>
              <w:t xml:space="preserve"> and agencies</w:t>
            </w:r>
            <w:bookmarkEnd w:id="571"/>
          </w:p>
        </w:tc>
        <w:tc>
          <w:tcPr>
            <w:tcW w:w="1395" w:type="dxa"/>
            <w:shd w:val="clear" w:color="auto" w:fill="auto"/>
            <w:vAlign w:val="bottom"/>
          </w:tcPr>
          <w:p w14:paraId="366779EB" w14:textId="57606788" w:rsidR="00855EE8" w:rsidRPr="00537128" w:rsidRDefault="00855EE8" w:rsidP="00855EE8">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4</w:t>
            </w:r>
            <w:r w:rsidR="007A1A14">
              <w:rPr>
                <w:rFonts w:ascii="Calibri" w:eastAsia="Calibri" w:hAnsi="Calibri" w:cs="Arial"/>
                <w:bCs/>
                <w:iCs/>
                <w:color w:val="000000" w:themeColor="text1"/>
                <w:sz w:val="20"/>
                <w:szCs w:val="20"/>
              </w:rPr>
              <w:t>,</w:t>
            </w:r>
            <w:r>
              <w:rPr>
                <w:rFonts w:ascii="Calibri" w:eastAsia="Calibri" w:hAnsi="Calibri" w:cs="Arial"/>
                <w:bCs/>
                <w:iCs/>
                <w:color w:val="000000" w:themeColor="text1"/>
                <w:sz w:val="20"/>
                <w:szCs w:val="20"/>
              </w:rPr>
              <w:t>551</w:t>
            </w:r>
            <w:r w:rsidR="007A1A14">
              <w:rPr>
                <w:rFonts w:ascii="Calibri" w:eastAsia="Calibri" w:hAnsi="Calibri" w:cs="Arial"/>
                <w:bCs/>
                <w:iCs/>
                <w:color w:val="000000" w:themeColor="text1"/>
                <w:sz w:val="20"/>
                <w:szCs w:val="20"/>
              </w:rPr>
              <w:t>,</w:t>
            </w:r>
            <w:r>
              <w:rPr>
                <w:rFonts w:ascii="Calibri" w:eastAsia="Calibri" w:hAnsi="Calibri" w:cs="Arial"/>
                <w:bCs/>
                <w:iCs/>
                <w:color w:val="000000" w:themeColor="text1"/>
                <w:sz w:val="20"/>
                <w:szCs w:val="20"/>
              </w:rPr>
              <w:t>517</w:t>
            </w:r>
          </w:p>
        </w:tc>
        <w:tc>
          <w:tcPr>
            <w:tcW w:w="1395" w:type="dxa"/>
            <w:shd w:val="clear" w:color="auto" w:fill="auto"/>
            <w:vAlign w:val="bottom"/>
          </w:tcPr>
          <w:p w14:paraId="3ABD0D67" w14:textId="09217CF6" w:rsidR="00855EE8" w:rsidRPr="00537128" w:rsidRDefault="00855EE8" w:rsidP="00855EE8">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249</w:t>
            </w:r>
            <w:r w:rsidR="007A1A14">
              <w:rPr>
                <w:rFonts w:ascii="Calibri" w:eastAsia="Calibri" w:hAnsi="Calibri" w:cs="Arial"/>
                <w:bCs/>
                <w:iCs/>
                <w:color w:val="000000" w:themeColor="text1"/>
                <w:sz w:val="20"/>
                <w:szCs w:val="20"/>
              </w:rPr>
              <w:t>,</w:t>
            </w:r>
            <w:r>
              <w:rPr>
                <w:rFonts w:ascii="Calibri" w:eastAsia="Calibri" w:hAnsi="Calibri" w:cs="Arial"/>
                <w:bCs/>
                <w:iCs/>
                <w:color w:val="000000" w:themeColor="text1"/>
                <w:sz w:val="20"/>
                <w:szCs w:val="20"/>
              </w:rPr>
              <w:t>045</w:t>
            </w:r>
          </w:p>
        </w:tc>
        <w:tc>
          <w:tcPr>
            <w:tcW w:w="1395" w:type="dxa"/>
            <w:shd w:val="clear" w:color="auto" w:fill="auto"/>
            <w:vAlign w:val="bottom"/>
          </w:tcPr>
          <w:p w14:paraId="01B80AE1" w14:textId="09BAF771" w:rsidR="00855EE8" w:rsidRPr="00537128" w:rsidRDefault="00855EE8" w:rsidP="00855EE8">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2576B1">
              <w:rPr>
                <w:rFonts w:cstheme="minorHAnsi"/>
                <w:color w:val="000000"/>
                <w:sz w:val="20"/>
                <w:szCs w:val="20"/>
              </w:rPr>
              <w:t>4</w:t>
            </w:r>
            <w:r>
              <w:rPr>
                <w:rFonts w:cstheme="minorHAnsi"/>
                <w:color w:val="000000"/>
                <w:sz w:val="20"/>
                <w:szCs w:val="20"/>
              </w:rPr>
              <w:t>,</w:t>
            </w:r>
            <w:r w:rsidRPr="002576B1">
              <w:rPr>
                <w:rFonts w:cstheme="minorHAnsi"/>
                <w:color w:val="000000"/>
                <w:sz w:val="20"/>
                <w:szCs w:val="20"/>
              </w:rPr>
              <w:t>563</w:t>
            </w:r>
            <w:r>
              <w:rPr>
                <w:rFonts w:cstheme="minorHAnsi"/>
                <w:color w:val="000000"/>
                <w:sz w:val="20"/>
                <w:szCs w:val="20"/>
              </w:rPr>
              <w:t>,</w:t>
            </w:r>
            <w:r w:rsidRPr="002576B1">
              <w:rPr>
                <w:rFonts w:cstheme="minorHAnsi"/>
                <w:color w:val="000000"/>
                <w:sz w:val="20"/>
                <w:szCs w:val="20"/>
              </w:rPr>
              <w:t>167</w:t>
            </w:r>
          </w:p>
        </w:tc>
        <w:tc>
          <w:tcPr>
            <w:tcW w:w="1395" w:type="dxa"/>
            <w:shd w:val="clear" w:color="auto" w:fill="auto"/>
            <w:vAlign w:val="bottom"/>
          </w:tcPr>
          <w:p w14:paraId="0C8600C8" w14:textId="4D99B26D" w:rsidR="00855EE8" w:rsidRPr="00537128" w:rsidRDefault="00855EE8" w:rsidP="00855EE8">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2576B1">
              <w:rPr>
                <w:rFonts w:cstheme="minorHAnsi"/>
                <w:color w:val="000000"/>
                <w:sz w:val="20"/>
                <w:szCs w:val="20"/>
              </w:rPr>
              <w:t>257</w:t>
            </w:r>
            <w:r>
              <w:rPr>
                <w:rFonts w:cstheme="minorHAnsi"/>
                <w:color w:val="000000"/>
                <w:sz w:val="20"/>
                <w:szCs w:val="20"/>
              </w:rPr>
              <w:t>,</w:t>
            </w:r>
            <w:r w:rsidRPr="002576B1">
              <w:rPr>
                <w:rFonts w:cstheme="minorHAnsi"/>
                <w:color w:val="000000"/>
                <w:sz w:val="20"/>
                <w:szCs w:val="20"/>
              </w:rPr>
              <w:t>009</w:t>
            </w:r>
          </w:p>
        </w:tc>
      </w:tr>
      <w:tr w:rsidR="00855EE8" w:rsidRPr="00537128" w14:paraId="7758189E" w14:textId="77777777" w:rsidTr="004C6AB5">
        <w:trPr>
          <w:trHeight w:hRule="exact" w:val="284"/>
          <w:jc w:val="center"/>
        </w:trPr>
        <w:tc>
          <w:tcPr>
            <w:tcW w:w="3401" w:type="dxa"/>
            <w:vAlign w:val="bottom"/>
          </w:tcPr>
          <w:p w14:paraId="1036F534" w14:textId="77777777" w:rsidR="00855EE8" w:rsidRPr="00537128" w:rsidRDefault="00855EE8" w:rsidP="00855EE8">
            <w:pPr>
              <w:tabs>
                <w:tab w:val="right" w:pos="1202"/>
              </w:tabs>
              <w:spacing w:after="0" w:line="240" w:lineRule="auto"/>
              <w:outlineLvl w:val="0"/>
              <w:rPr>
                <w:rFonts w:ascii="Calibri" w:eastAsia="Times New Roman" w:hAnsi="Calibri" w:cs="Arial"/>
                <w:color w:val="000000" w:themeColor="text1"/>
                <w:sz w:val="20"/>
                <w:szCs w:val="20"/>
                <w:lang w:val="en-US"/>
              </w:rPr>
            </w:pPr>
            <w:bookmarkStart w:id="572" w:name="_Toc4060367"/>
            <w:r w:rsidRPr="00537128">
              <w:rPr>
                <w:rFonts w:ascii="Calibri" w:eastAsia="Times New Roman" w:hAnsi="Calibri" w:cs="Arial"/>
                <w:color w:val="000000" w:themeColor="text1"/>
                <w:sz w:val="20"/>
                <w:szCs w:val="20"/>
                <w:lang w:val="en-US"/>
              </w:rPr>
              <w:t>State-owned companies</w:t>
            </w:r>
            <w:bookmarkEnd w:id="572"/>
          </w:p>
        </w:tc>
        <w:tc>
          <w:tcPr>
            <w:tcW w:w="1395" w:type="dxa"/>
            <w:shd w:val="clear" w:color="auto" w:fill="auto"/>
            <w:vAlign w:val="bottom"/>
          </w:tcPr>
          <w:p w14:paraId="27699055" w14:textId="401FB3BC" w:rsidR="00855EE8" w:rsidRPr="00537128" w:rsidRDefault="00855EE8" w:rsidP="00855EE8">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900</w:t>
            </w:r>
            <w:r w:rsidR="007A1A14">
              <w:rPr>
                <w:rFonts w:ascii="Calibri" w:eastAsia="Calibri" w:hAnsi="Calibri" w:cs="Arial"/>
                <w:bCs/>
                <w:iCs/>
                <w:color w:val="000000" w:themeColor="text1"/>
                <w:sz w:val="20"/>
                <w:szCs w:val="20"/>
              </w:rPr>
              <w:t>,</w:t>
            </w:r>
            <w:r>
              <w:rPr>
                <w:rFonts w:ascii="Calibri" w:eastAsia="Calibri" w:hAnsi="Calibri" w:cs="Arial"/>
                <w:bCs/>
                <w:iCs/>
                <w:color w:val="000000" w:themeColor="text1"/>
                <w:sz w:val="20"/>
                <w:szCs w:val="20"/>
              </w:rPr>
              <w:t>442</w:t>
            </w:r>
          </w:p>
        </w:tc>
        <w:tc>
          <w:tcPr>
            <w:tcW w:w="1395" w:type="dxa"/>
            <w:shd w:val="clear" w:color="auto" w:fill="auto"/>
            <w:vAlign w:val="bottom"/>
          </w:tcPr>
          <w:p w14:paraId="17D2C18E" w14:textId="38596590" w:rsidR="00855EE8" w:rsidRPr="00537128" w:rsidRDefault="00855EE8" w:rsidP="00855EE8">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30</w:t>
            </w:r>
          </w:p>
        </w:tc>
        <w:tc>
          <w:tcPr>
            <w:tcW w:w="1395" w:type="dxa"/>
            <w:shd w:val="clear" w:color="auto" w:fill="auto"/>
            <w:vAlign w:val="bottom"/>
          </w:tcPr>
          <w:p w14:paraId="0B5832AA" w14:textId="7CD6FA38" w:rsidR="00855EE8" w:rsidRPr="00537128" w:rsidRDefault="00855EE8" w:rsidP="00855EE8">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2576B1">
              <w:rPr>
                <w:rFonts w:eastAsia="Calibri" w:cstheme="minorHAnsi"/>
                <w:bCs/>
                <w:iCs/>
                <w:color w:val="000000" w:themeColor="text1"/>
                <w:sz w:val="20"/>
                <w:szCs w:val="20"/>
              </w:rPr>
              <w:t>914</w:t>
            </w:r>
            <w:r>
              <w:rPr>
                <w:rFonts w:eastAsia="Calibri" w:cstheme="minorHAnsi"/>
                <w:bCs/>
                <w:iCs/>
                <w:color w:val="000000" w:themeColor="text1"/>
                <w:sz w:val="20"/>
                <w:szCs w:val="20"/>
              </w:rPr>
              <w:t>,</w:t>
            </w:r>
            <w:r w:rsidRPr="002576B1">
              <w:rPr>
                <w:rFonts w:eastAsia="Calibri" w:cstheme="minorHAnsi"/>
                <w:bCs/>
                <w:iCs/>
                <w:color w:val="000000" w:themeColor="text1"/>
                <w:sz w:val="20"/>
                <w:szCs w:val="20"/>
              </w:rPr>
              <w:t>412</w:t>
            </w:r>
          </w:p>
        </w:tc>
        <w:tc>
          <w:tcPr>
            <w:tcW w:w="1395" w:type="dxa"/>
            <w:shd w:val="clear" w:color="auto" w:fill="auto"/>
            <w:vAlign w:val="bottom"/>
          </w:tcPr>
          <w:p w14:paraId="519C6193" w14:textId="602CA9D4" w:rsidR="00855EE8" w:rsidRPr="00537128" w:rsidRDefault="00855EE8" w:rsidP="00855EE8">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2576B1">
              <w:rPr>
                <w:rFonts w:eastAsia="Calibri" w:cstheme="minorHAnsi"/>
                <w:bCs/>
                <w:iCs/>
                <w:color w:val="000000" w:themeColor="text1"/>
                <w:sz w:val="20"/>
                <w:szCs w:val="20"/>
              </w:rPr>
              <w:t>54</w:t>
            </w:r>
          </w:p>
        </w:tc>
      </w:tr>
      <w:tr w:rsidR="00855EE8" w:rsidRPr="00537128" w14:paraId="01C2E817" w14:textId="77777777" w:rsidTr="004C6AB5">
        <w:trPr>
          <w:trHeight w:hRule="exact" w:val="284"/>
          <w:jc w:val="center"/>
        </w:trPr>
        <w:tc>
          <w:tcPr>
            <w:tcW w:w="3401" w:type="dxa"/>
            <w:vAlign w:val="bottom"/>
          </w:tcPr>
          <w:p w14:paraId="09B56BE6" w14:textId="77777777" w:rsidR="00855EE8" w:rsidRPr="00537128" w:rsidRDefault="00855EE8" w:rsidP="00855EE8">
            <w:pPr>
              <w:tabs>
                <w:tab w:val="right" w:pos="1202"/>
              </w:tabs>
              <w:spacing w:after="0" w:line="240" w:lineRule="auto"/>
              <w:outlineLvl w:val="0"/>
              <w:rPr>
                <w:rFonts w:ascii="Calibri" w:eastAsia="Times New Roman" w:hAnsi="Calibri" w:cs="Arial"/>
                <w:color w:val="000000" w:themeColor="text1"/>
                <w:sz w:val="20"/>
                <w:szCs w:val="20"/>
                <w:lang w:val="en-US"/>
              </w:rPr>
            </w:pPr>
            <w:bookmarkStart w:id="573" w:name="_Toc4060372"/>
            <w:r w:rsidRPr="00537128">
              <w:rPr>
                <w:rFonts w:ascii="Calibri" w:eastAsia="Times New Roman" w:hAnsi="Calibri" w:cs="Arial"/>
                <w:color w:val="000000" w:themeColor="text1"/>
                <w:sz w:val="20"/>
                <w:szCs w:val="20"/>
                <w:lang w:val="en-US"/>
              </w:rPr>
              <w:t>Subsidiary companies</w:t>
            </w:r>
            <w:bookmarkEnd w:id="573"/>
          </w:p>
        </w:tc>
        <w:tc>
          <w:tcPr>
            <w:tcW w:w="1395" w:type="dxa"/>
            <w:shd w:val="clear" w:color="auto" w:fill="auto"/>
            <w:vAlign w:val="bottom"/>
          </w:tcPr>
          <w:p w14:paraId="0FF90BD5" w14:textId="5CF068FF" w:rsidR="00855EE8" w:rsidRPr="00537128" w:rsidRDefault="00855EE8" w:rsidP="00855EE8">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36</w:t>
            </w:r>
            <w:r w:rsidR="007A1A14">
              <w:rPr>
                <w:rFonts w:ascii="Calibri" w:eastAsia="Calibri" w:hAnsi="Calibri" w:cs="Arial"/>
                <w:bCs/>
                <w:iCs/>
                <w:color w:val="000000" w:themeColor="text1"/>
                <w:sz w:val="20"/>
                <w:szCs w:val="20"/>
              </w:rPr>
              <w:t>,</w:t>
            </w:r>
            <w:r>
              <w:rPr>
                <w:rFonts w:ascii="Calibri" w:eastAsia="Calibri" w:hAnsi="Calibri" w:cs="Arial"/>
                <w:bCs/>
                <w:iCs/>
                <w:color w:val="000000" w:themeColor="text1"/>
                <w:sz w:val="20"/>
                <w:szCs w:val="20"/>
              </w:rPr>
              <w:t>123</w:t>
            </w:r>
          </w:p>
        </w:tc>
        <w:tc>
          <w:tcPr>
            <w:tcW w:w="1395" w:type="dxa"/>
            <w:shd w:val="clear" w:color="auto" w:fill="auto"/>
            <w:vAlign w:val="bottom"/>
          </w:tcPr>
          <w:p w14:paraId="6047A379" w14:textId="2CA40197" w:rsidR="00855EE8" w:rsidRPr="00537128" w:rsidRDefault="00855EE8" w:rsidP="00855EE8">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w:t>
            </w:r>
          </w:p>
        </w:tc>
        <w:tc>
          <w:tcPr>
            <w:tcW w:w="1395" w:type="dxa"/>
            <w:shd w:val="clear" w:color="auto" w:fill="auto"/>
            <w:vAlign w:val="bottom"/>
          </w:tcPr>
          <w:p w14:paraId="37574288" w14:textId="2FB1F771" w:rsidR="00855EE8" w:rsidRPr="00537128" w:rsidRDefault="00855EE8" w:rsidP="00855EE8">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2576B1">
              <w:rPr>
                <w:rFonts w:eastAsia="Calibri" w:cstheme="minorHAnsi"/>
                <w:bCs/>
                <w:iCs/>
                <w:color w:val="000000" w:themeColor="text1"/>
                <w:sz w:val="20"/>
                <w:szCs w:val="20"/>
              </w:rPr>
              <w:t>36</w:t>
            </w:r>
            <w:r>
              <w:rPr>
                <w:rFonts w:eastAsia="Calibri" w:cstheme="minorHAnsi"/>
                <w:bCs/>
                <w:iCs/>
                <w:color w:val="000000" w:themeColor="text1"/>
                <w:sz w:val="20"/>
                <w:szCs w:val="20"/>
              </w:rPr>
              <w:t>,</w:t>
            </w:r>
            <w:r w:rsidRPr="002576B1">
              <w:rPr>
                <w:rFonts w:eastAsia="Calibri" w:cstheme="minorHAnsi"/>
                <w:bCs/>
                <w:iCs/>
                <w:color w:val="000000" w:themeColor="text1"/>
                <w:sz w:val="20"/>
                <w:szCs w:val="20"/>
              </w:rPr>
              <w:t>124</w:t>
            </w:r>
          </w:p>
        </w:tc>
        <w:tc>
          <w:tcPr>
            <w:tcW w:w="1395" w:type="dxa"/>
            <w:shd w:val="clear" w:color="auto" w:fill="auto"/>
            <w:vAlign w:val="bottom"/>
          </w:tcPr>
          <w:p w14:paraId="29A032A0" w14:textId="004DAD6D" w:rsidR="00855EE8" w:rsidRPr="00537128" w:rsidRDefault="00855EE8" w:rsidP="00855EE8">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bookmarkStart w:id="574" w:name="_Toc67329085"/>
            <w:r w:rsidRPr="002576B1">
              <w:rPr>
                <w:rFonts w:eastAsia="Calibri" w:cstheme="minorHAnsi"/>
                <w:bCs/>
                <w:iCs/>
                <w:color w:val="000000" w:themeColor="text1"/>
                <w:sz w:val="20"/>
                <w:szCs w:val="20"/>
              </w:rPr>
              <w:t>-</w:t>
            </w:r>
            <w:bookmarkEnd w:id="574"/>
          </w:p>
        </w:tc>
      </w:tr>
      <w:tr w:rsidR="00855EE8" w:rsidRPr="00537128" w14:paraId="1C628684" w14:textId="77777777" w:rsidTr="004C6AB5">
        <w:trPr>
          <w:trHeight w:hRule="exact" w:val="284"/>
          <w:jc w:val="center"/>
        </w:trPr>
        <w:tc>
          <w:tcPr>
            <w:tcW w:w="3401" w:type="dxa"/>
            <w:vAlign w:val="bottom"/>
          </w:tcPr>
          <w:p w14:paraId="2D4E642B" w14:textId="77777777" w:rsidR="00855EE8" w:rsidRPr="00537128" w:rsidRDefault="00855EE8" w:rsidP="00855EE8">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575" w:name="_Toc4060377"/>
            <w:r w:rsidRPr="00537128">
              <w:rPr>
                <w:rFonts w:ascii="Calibri" w:eastAsia="Times New Roman" w:hAnsi="Calibri" w:cs="Arial"/>
                <w:color w:val="000000" w:themeColor="text1"/>
                <w:sz w:val="20"/>
                <w:szCs w:val="20"/>
                <w:lang w:val="en-US"/>
              </w:rPr>
              <w:t>Associates</w:t>
            </w:r>
            <w:bookmarkEnd w:id="575"/>
          </w:p>
        </w:tc>
        <w:tc>
          <w:tcPr>
            <w:tcW w:w="1395" w:type="dxa"/>
            <w:shd w:val="clear" w:color="auto" w:fill="auto"/>
            <w:vAlign w:val="bottom"/>
          </w:tcPr>
          <w:p w14:paraId="336586BD" w14:textId="2ADDC9FC" w:rsidR="00855EE8" w:rsidRPr="00537128" w:rsidRDefault="00855EE8" w:rsidP="00855EE8">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w:t>
            </w:r>
          </w:p>
        </w:tc>
        <w:tc>
          <w:tcPr>
            <w:tcW w:w="1395" w:type="dxa"/>
            <w:shd w:val="clear" w:color="auto" w:fill="auto"/>
            <w:vAlign w:val="bottom"/>
          </w:tcPr>
          <w:p w14:paraId="58EEC538" w14:textId="199A9101" w:rsidR="00855EE8" w:rsidRPr="00537128" w:rsidRDefault="00855EE8" w:rsidP="00855EE8">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7A49AD">
              <w:rPr>
                <w:rFonts w:ascii="Calibri" w:eastAsia="Calibri" w:hAnsi="Calibri" w:cs="Arial"/>
                <w:bCs/>
                <w:iCs/>
                <w:color w:val="000000" w:themeColor="text1"/>
                <w:sz w:val="20"/>
                <w:szCs w:val="20"/>
              </w:rPr>
              <w:t>-</w:t>
            </w:r>
          </w:p>
        </w:tc>
        <w:tc>
          <w:tcPr>
            <w:tcW w:w="1395" w:type="dxa"/>
            <w:shd w:val="clear" w:color="auto" w:fill="auto"/>
            <w:vAlign w:val="bottom"/>
          </w:tcPr>
          <w:p w14:paraId="5B10D6E6" w14:textId="6C4EA895" w:rsidR="00855EE8" w:rsidRPr="00537128" w:rsidRDefault="00855EE8" w:rsidP="00855EE8">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2576B1">
              <w:rPr>
                <w:rFonts w:eastAsia="Calibri" w:cstheme="minorHAnsi"/>
                <w:bCs/>
                <w:iCs/>
                <w:color w:val="000000" w:themeColor="text1"/>
                <w:sz w:val="20"/>
                <w:szCs w:val="20"/>
              </w:rPr>
              <w:t>7</w:t>
            </w:r>
          </w:p>
        </w:tc>
        <w:tc>
          <w:tcPr>
            <w:tcW w:w="1395" w:type="dxa"/>
            <w:shd w:val="clear" w:color="auto" w:fill="auto"/>
            <w:vAlign w:val="bottom"/>
          </w:tcPr>
          <w:p w14:paraId="3011226D" w14:textId="276DAF02" w:rsidR="00855EE8" w:rsidRPr="00537128" w:rsidRDefault="00855EE8" w:rsidP="00855EE8">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2576B1">
              <w:rPr>
                <w:rFonts w:eastAsia="Calibri" w:cstheme="minorHAnsi"/>
                <w:bCs/>
                <w:iCs/>
                <w:color w:val="000000" w:themeColor="text1"/>
                <w:sz w:val="20"/>
                <w:szCs w:val="20"/>
              </w:rPr>
              <w:t>-</w:t>
            </w:r>
          </w:p>
        </w:tc>
      </w:tr>
      <w:tr w:rsidR="00855EE8" w:rsidRPr="00537128" w14:paraId="68242E28" w14:textId="77777777" w:rsidTr="004C6AB5">
        <w:trPr>
          <w:trHeight w:hRule="exact" w:val="284"/>
          <w:jc w:val="center"/>
        </w:trPr>
        <w:tc>
          <w:tcPr>
            <w:tcW w:w="3401" w:type="dxa"/>
            <w:vAlign w:val="bottom"/>
          </w:tcPr>
          <w:p w14:paraId="0ACF4468" w14:textId="77777777" w:rsidR="00855EE8" w:rsidRPr="00537128" w:rsidRDefault="00855EE8" w:rsidP="00855EE8">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576" w:name="_Toc4060382"/>
            <w:r w:rsidRPr="00537128">
              <w:rPr>
                <w:rFonts w:ascii="Calibri" w:eastAsia="Times New Roman" w:hAnsi="Calibri" w:cs="Arial"/>
                <w:bCs/>
                <w:color w:val="000000" w:themeColor="text1"/>
                <w:sz w:val="20"/>
                <w:szCs w:val="20"/>
                <w:lang w:val="en-US"/>
              </w:rPr>
              <w:t>Key management personnel</w:t>
            </w:r>
            <w:bookmarkEnd w:id="576"/>
          </w:p>
        </w:tc>
        <w:tc>
          <w:tcPr>
            <w:tcW w:w="1395" w:type="dxa"/>
            <w:tcBorders>
              <w:bottom w:val="single" w:sz="4" w:space="0" w:color="000000"/>
            </w:tcBorders>
            <w:shd w:val="clear" w:color="auto" w:fill="auto"/>
            <w:vAlign w:val="bottom"/>
          </w:tcPr>
          <w:p w14:paraId="4C800413" w14:textId="2269C5E5" w:rsidR="00855EE8" w:rsidRPr="00537128" w:rsidRDefault="00855EE8" w:rsidP="00855EE8">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2</w:t>
            </w:r>
            <w:r w:rsidR="007A1A14">
              <w:rPr>
                <w:rFonts w:ascii="Calibri" w:eastAsia="Calibri" w:hAnsi="Calibri" w:cs="Arial"/>
                <w:bCs/>
                <w:iCs/>
                <w:color w:val="000000" w:themeColor="text1"/>
                <w:sz w:val="20"/>
                <w:szCs w:val="20"/>
              </w:rPr>
              <w:t>,</w:t>
            </w:r>
            <w:r>
              <w:rPr>
                <w:rFonts w:ascii="Calibri" w:eastAsia="Calibri" w:hAnsi="Calibri" w:cs="Arial"/>
                <w:bCs/>
                <w:iCs/>
                <w:color w:val="000000" w:themeColor="text1"/>
                <w:sz w:val="20"/>
                <w:szCs w:val="20"/>
              </w:rPr>
              <w:t>159</w:t>
            </w:r>
          </w:p>
        </w:tc>
        <w:tc>
          <w:tcPr>
            <w:tcW w:w="1395" w:type="dxa"/>
            <w:tcBorders>
              <w:bottom w:val="single" w:sz="4" w:space="0" w:color="000000"/>
            </w:tcBorders>
            <w:shd w:val="clear" w:color="auto" w:fill="auto"/>
            <w:vAlign w:val="bottom"/>
          </w:tcPr>
          <w:p w14:paraId="662932E1" w14:textId="0E5D9B21" w:rsidR="00855EE8" w:rsidRPr="00537128" w:rsidRDefault="00855EE8" w:rsidP="00855EE8">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2</w:t>
            </w:r>
            <w:r w:rsidR="007A1A14">
              <w:rPr>
                <w:rFonts w:ascii="Calibri" w:eastAsia="Calibri" w:hAnsi="Calibri" w:cs="Arial"/>
                <w:bCs/>
                <w:iCs/>
                <w:color w:val="000000" w:themeColor="text1"/>
                <w:sz w:val="20"/>
                <w:szCs w:val="20"/>
              </w:rPr>
              <w:t>,</w:t>
            </w:r>
            <w:r>
              <w:rPr>
                <w:rFonts w:ascii="Calibri" w:eastAsia="Calibri" w:hAnsi="Calibri" w:cs="Arial"/>
                <w:bCs/>
                <w:iCs/>
                <w:color w:val="000000" w:themeColor="text1"/>
                <w:sz w:val="20"/>
                <w:szCs w:val="20"/>
              </w:rPr>
              <w:t>152</w:t>
            </w:r>
          </w:p>
        </w:tc>
        <w:tc>
          <w:tcPr>
            <w:tcW w:w="1395" w:type="dxa"/>
            <w:tcBorders>
              <w:bottom w:val="single" w:sz="4" w:space="0" w:color="000000"/>
            </w:tcBorders>
            <w:shd w:val="clear" w:color="auto" w:fill="auto"/>
            <w:vAlign w:val="bottom"/>
          </w:tcPr>
          <w:p w14:paraId="5591C3BE" w14:textId="5E5E1535" w:rsidR="00855EE8" w:rsidRPr="00537128" w:rsidRDefault="00855EE8" w:rsidP="00855EE8">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2576B1">
              <w:rPr>
                <w:rFonts w:eastAsia="Calibri" w:cstheme="minorHAnsi"/>
                <w:bCs/>
                <w:iCs/>
                <w:color w:val="000000" w:themeColor="text1"/>
                <w:sz w:val="20"/>
                <w:szCs w:val="20"/>
              </w:rPr>
              <w:t>3</w:t>
            </w:r>
            <w:r>
              <w:rPr>
                <w:rFonts w:eastAsia="Calibri" w:cstheme="minorHAnsi"/>
                <w:bCs/>
                <w:iCs/>
                <w:color w:val="000000" w:themeColor="text1"/>
                <w:sz w:val="20"/>
                <w:szCs w:val="20"/>
              </w:rPr>
              <w:t>,</w:t>
            </w:r>
            <w:r w:rsidRPr="002576B1">
              <w:rPr>
                <w:rFonts w:eastAsia="Calibri" w:cstheme="minorHAnsi"/>
                <w:bCs/>
                <w:iCs/>
                <w:color w:val="000000" w:themeColor="text1"/>
                <w:sz w:val="20"/>
                <w:szCs w:val="20"/>
              </w:rPr>
              <w:t>393</w:t>
            </w:r>
          </w:p>
        </w:tc>
        <w:tc>
          <w:tcPr>
            <w:tcW w:w="1395" w:type="dxa"/>
            <w:tcBorders>
              <w:bottom w:val="single" w:sz="4" w:space="0" w:color="000000"/>
            </w:tcBorders>
            <w:shd w:val="clear" w:color="auto" w:fill="auto"/>
            <w:vAlign w:val="bottom"/>
          </w:tcPr>
          <w:p w14:paraId="540F4057" w14:textId="407E8220" w:rsidR="00855EE8" w:rsidRPr="00537128" w:rsidRDefault="00855EE8" w:rsidP="00855EE8">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2576B1">
              <w:rPr>
                <w:rFonts w:eastAsia="Calibri" w:cstheme="minorHAnsi"/>
                <w:bCs/>
                <w:iCs/>
                <w:color w:val="000000" w:themeColor="text1"/>
                <w:sz w:val="20"/>
                <w:szCs w:val="20"/>
              </w:rPr>
              <w:t>2</w:t>
            </w:r>
            <w:r>
              <w:rPr>
                <w:rFonts w:eastAsia="Calibri" w:cstheme="minorHAnsi"/>
                <w:bCs/>
                <w:iCs/>
                <w:color w:val="000000" w:themeColor="text1"/>
                <w:sz w:val="20"/>
                <w:szCs w:val="20"/>
              </w:rPr>
              <w:t>,</w:t>
            </w:r>
            <w:r w:rsidRPr="002576B1">
              <w:rPr>
                <w:rFonts w:eastAsia="Calibri" w:cstheme="minorHAnsi"/>
                <w:bCs/>
                <w:iCs/>
                <w:color w:val="000000" w:themeColor="text1"/>
                <w:sz w:val="20"/>
                <w:szCs w:val="20"/>
              </w:rPr>
              <w:t>585</w:t>
            </w:r>
          </w:p>
        </w:tc>
      </w:tr>
      <w:tr w:rsidR="00855EE8" w:rsidRPr="00537128" w14:paraId="36F87FEE" w14:textId="77777777" w:rsidTr="004C6AB5">
        <w:trPr>
          <w:trHeight w:hRule="exact" w:val="375"/>
          <w:jc w:val="center"/>
        </w:trPr>
        <w:tc>
          <w:tcPr>
            <w:tcW w:w="3401" w:type="dxa"/>
            <w:vAlign w:val="bottom"/>
          </w:tcPr>
          <w:p w14:paraId="4F0BAB97" w14:textId="77777777" w:rsidR="00855EE8" w:rsidRPr="00537128" w:rsidRDefault="00855EE8" w:rsidP="00855EE8">
            <w:pPr>
              <w:tabs>
                <w:tab w:val="right" w:pos="1202"/>
              </w:tabs>
              <w:spacing w:after="0" w:line="240" w:lineRule="auto"/>
              <w:outlineLvl w:val="0"/>
              <w:rPr>
                <w:rFonts w:ascii="Calibri" w:eastAsia="Times New Roman" w:hAnsi="Calibri" w:cs="Arial"/>
                <w:b/>
                <w:color w:val="000000" w:themeColor="text1"/>
                <w:sz w:val="20"/>
                <w:szCs w:val="20"/>
                <w:lang w:val="en-US"/>
              </w:rPr>
            </w:pPr>
            <w:bookmarkStart w:id="577" w:name="_Toc4060387"/>
            <w:r w:rsidRPr="00537128">
              <w:rPr>
                <w:rFonts w:ascii="Calibri" w:eastAsia="Times New Roman" w:hAnsi="Calibri" w:cs="Arial"/>
                <w:b/>
                <w:color w:val="000000" w:themeColor="text1"/>
                <w:sz w:val="20"/>
                <w:szCs w:val="20"/>
                <w:lang w:val="en-US"/>
              </w:rPr>
              <w:t>Total</w:t>
            </w:r>
            <w:bookmarkEnd w:id="577"/>
          </w:p>
        </w:tc>
        <w:tc>
          <w:tcPr>
            <w:tcW w:w="1395" w:type="dxa"/>
            <w:tcBorders>
              <w:top w:val="single" w:sz="4" w:space="0" w:color="auto"/>
              <w:bottom w:val="single" w:sz="12" w:space="0" w:color="auto"/>
              <w:right w:val="nil"/>
            </w:tcBorders>
            <w:shd w:val="clear" w:color="auto" w:fill="auto"/>
            <w:vAlign w:val="bottom"/>
          </w:tcPr>
          <w:p w14:paraId="0DC2B1C0" w14:textId="0D08EC32" w:rsidR="00855EE8" w:rsidRPr="00537128" w:rsidRDefault="00855EE8" w:rsidP="00855EE8">
            <w:pPr>
              <w:tabs>
                <w:tab w:val="right" w:pos="1202"/>
              </w:tabs>
              <w:spacing w:after="0" w:line="240" w:lineRule="auto"/>
              <w:jc w:val="right"/>
              <w:outlineLvl w:val="0"/>
              <w:rPr>
                <w:b/>
                <w:color w:val="000000" w:themeColor="text1"/>
                <w:sz w:val="20"/>
                <w:szCs w:val="20"/>
                <w:lang w:val="en-US"/>
              </w:rPr>
            </w:pPr>
            <w:r>
              <w:rPr>
                <w:b/>
                <w:color w:val="000000" w:themeColor="text1"/>
                <w:sz w:val="20"/>
                <w:szCs w:val="20"/>
              </w:rPr>
              <w:t>9</w:t>
            </w:r>
            <w:r w:rsidR="007A1A14">
              <w:rPr>
                <w:b/>
                <w:color w:val="000000" w:themeColor="text1"/>
                <w:sz w:val="20"/>
                <w:szCs w:val="20"/>
              </w:rPr>
              <w:t>,</w:t>
            </w:r>
            <w:r>
              <w:rPr>
                <w:b/>
                <w:color w:val="000000" w:themeColor="text1"/>
                <w:sz w:val="20"/>
                <w:szCs w:val="20"/>
              </w:rPr>
              <w:t>108</w:t>
            </w:r>
            <w:r w:rsidR="007A1A14">
              <w:rPr>
                <w:b/>
                <w:color w:val="000000" w:themeColor="text1"/>
                <w:sz w:val="20"/>
                <w:szCs w:val="20"/>
              </w:rPr>
              <w:t>,</w:t>
            </w:r>
            <w:r>
              <w:rPr>
                <w:b/>
                <w:color w:val="000000" w:themeColor="text1"/>
                <w:sz w:val="20"/>
                <w:szCs w:val="20"/>
              </w:rPr>
              <w:t>929</w:t>
            </w:r>
          </w:p>
        </w:tc>
        <w:tc>
          <w:tcPr>
            <w:tcW w:w="1395" w:type="dxa"/>
            <w:tcBorders>
              <w:top w:val="single" w:sz="4" w:space="0" w:color="auto"/>
              <w:left w:val="nil"/>
              <w:bottom w:val="single" w:sz="12" w:space="0" w:color="auto"/>
              <w:right w:val="nil"/>
            </w:tcBorders>
            <w:shd w:val="clear" w:color="auto" w:fill="auto"/>
            <w:vAlign w:val="bottom"/>
          </w:tcPr>
          <w:p w14:paraId="0129C9D4" w14:textId="42F21C2C" w:rsidR="00855EE8" w:rsidRPr="00537128" w:rsidRDefault="00855EE8" w:rsidP="00855EE8">
            <w:pPr>
              <w:tabs>
                <w:tab w:val="right" w:pos="1202"/>
              </w:tabs>
              <w:spacing w:after="0" w:line="240" w:lineRule="auto"/>
              <w:jc w:val="right"/>
              <w:outlineLvl w:val="0"/>
              <w:rPr>
                <w:b/>
                <w:color w:val="000000" w:themeColor="text1"/>
                <w:sz w:val="20"/>
                <w:szCs w:val="20"/>
                <w:lang w:val="en-US"/>
              </w:rPr>
            </w:pPr>
            <w:r>
              <w:rPr>
                <w:b/>
                <w:color w:val="000000" w:themeColor="text1"/>
                <w:sz w:val="20"/>
                <w:szCs w:val="20"/>
              </w:rPr>
              <w:t>2</w:t>
            </w:r>
            <w:r w:rsidR="007A1A14">
              <w:rPr>
                <w:b/>
                <w:color w:val="000000" w:themeColor="text1"/>
                <w:sz w:val="20"/>
                <w:szCs w:val="20"/>
              </w:rPr>
              <w:t>,</w:t>
            </w:r>
            <w:r>
              <w:rPr>
                <w:b/>
                <w:color w:val="000000" w:themeColor="text1"/>
                <w:sz w:val="20"/>
                <w:szCs w:val="20"/>
              </w:rPr>
              <w:t>071</w:t>
            </w:r>
            <w:r w:rsidR="007A1A14">
              <w:rPr>
                <w:b/>
                <w:color w:val="000000" w:themeColor="text1"/>
                <w:sz w:val="20"/>
                <w:szCs w:val="20"/>
              </w:rPr>
              <w:t>,</w:t>
            </w:r>
            <w:r>
              <w:rPr>
                <w:b/>
                <w:color w:val="000000" w:themeColor="text1"/>
                <w:sz w:val="20"/>
                <w:szCs w:val="20"/>
              </w:rPr>
              <w:t>239</w:t>
            </w:r>
          </w:p>
        </w:tc>
        <w:tc>
          <w:tcPr>
            <w:tcW w:w="1395" w:type="dxa"/>
            <w:tcBorders>
              <w:top w:val="single" w:sz="4" w:space="0" w:color="auto"/>
              <w:bottom w:val="single" w:sz="12" w:space="0" w:color="auto"/>
              <w:right w:val="nil"/>
            </w:tcBorders>
            <w:shd w:val="clear" w:color="auto" w:fill="auto"/>
            <w:vAlign w:val="bottom"/>
          </w:tcPr>
          <w:p w14:paraId="3B306A89" w14:textId="13206EC3" w:rsidR="00855EE8" w:rsidRPr="00537128" w:rsidRDefault="00855EE8" w:rsidP="00855EE8">
            <w:pPr>
              <w:tabs>
                <w:tab w:val="right" w:pos="1202"/>
              </w:tabs>
              <w:spacing w:after="0" w:line="240" w:lineRule="auto"/>
              <w:jc w:val="right"/>
              <w:outlineLvl w:val="0"/>
              <w:rPr>
                <w:rFonts w:ascii="Calibri" w:eastAsia="Times New Roman" w:hAnsi="Calibri" w:cs="Times New Roman"/>
                <w:b/>
                <w:color w:val="000000" w:themeColor="text1"/>
                <w:sz w:val="20"/>
                <w:szCs w:val="20"/>
                <w:lang w:val="en-US"/>
              </w:rPr>
            </w:pPr>
            <w:r w:rsidRPr="002576B1">
              <w:rPr>
                <w:rFonts w:cstheme="minorHAnsi"/>
                <w:b/>
                <w:color w:val="000000" w:themeColor="text1"/>
                <w:sz w:val="20"/>
                <w:szCs w:val="20"/>
              </w:rPr>
              <w:t>8</w:t>
            </w:r>
            <w:r>
              <w:rPr>
                <w:rFonts w:cstheme="minorHAnsi"/>
                <w:b/>
                <w:color w:val="000000" w:themeColor="text1"/>
                <w:sz w:val="20"/>
                <w:szCs w:val="20"/>
              </w:rPr>
              <w:t>,</w:t>
            </w:r>
            <w:r w:rsidRPr="002576B1">
              <w:rPr>
                <w:rFonts w:cstheme="minorHAnsi"/>
                <w:b/>
                <w:color w:val="000000" w:themeColor="text1"/>
                <w:sz w:val="20"/>
                <w:szCs w:val="20"/>
              </w:rPr>
              <w:t>865</w:t>
            </w:r>
            <w:r>
              <w:rPr>
                <w:rFonts w:cstheme="minorHAnsi"/>
                <w:b/>
                <w:color w:val="000000" w:themeColor="text1"/>
                <w:sz w:val="20"/>
                <w:szCs w:val="20"/>
              </w:rPr>
              <w:t>,</w:t>
            </w:r>
            <w:r w:rsidRPr="002576B1">
              <w:rPr>
                <w:rFonts w:cstheme="minorHAnsi"/>
                <w:b/>
                <w:color w:val="000000" w:themeColor="text1"/>
                <w:sz w:val="20"/>
                <w:szCs w:val="20"/>
              </w:rPr>
              <w:t>183</w:t>
            </w:r>
          </w:p>
        </w:tc>
        <w:tc>
          <w:tcPr>
            <w:tcW w:w="1395" w:type="dxa"/>
            <w:tcBorders>
              <w:top w:val="single" w:sz="4" w:space="0" w:color="auto"/>
              <w:left w:val="nil"/>
              <w:bottom w:val="single" w:sz="12" w:space="0" w:color="auto"/>
              <w:right w:val="nil"/>
            </w:tcBorders>
            <w:shd w:val="clear" w:color="auto" w:fill="auto"/>
            <w:vAlign w:val="bottom"/>
          </w:tcPr>
          <w:p w14:paraId="4B73DD2A" w14:textId="3D804723" w:rsidR="00855EE8" w:rsidRPr="00537128" w:rsidRDefault="00855EE8" w:rsidP="00855EE8">
            <w:pPr>
              <w:tabs>
                <w:tab w:val="right" w:pos="1202"/>
              </w:tabs>
              <w:spacing w:after="0" w:line="240" w:lineRule="auto"/>
              <w:jc w:val="right"/>
              <w:outlineLvl w:val="0"/>
              <w:rPr>
                <w:rFonts w:ascii="Calibri" w:eastAsia="Times New Roman" w:hAnsi="Calibri" w:cs="Times New Roman"/>
                <w:b/>
                <w:color w:val="000000" w:themeColor="text1"/>
                <w:sz w:val="20"/>
                <w:szCs w:val="20"/>
                <w:lang w:val="en-US"/>
              </w:rPr>
            </w:pPr>
            <w:bookmarkStart w:id="578" w:name="_Toc67329100"/>
            <w:r w:rsidRPr="002576B1">
              <w:rPr>
                <w:rFonts w:cstheme="minorHAnsi"/>
                <w:b/>
                <w:color w:val="000000" w:themeColor="text1"/>
                <w:sz w:val="20"/>
                <w:szCs w:val="20"/>
              </w:rPr>
              <w:t>2</w:t>
            </w:r>
            <w:r>
              <w:rPr>
                <w:rFonts w:cstheme="minorHAnsi"/>
                <w:b/>
                <w:color w:val="000000" w:themeColor="text1"/>
                <w:sz w:val="20"/>
                <w:szCs w:val="20"/>
              </w:rPr>
              <w:t>,</w:t>
            </w:r>
            <w:r w:rsidRPr="002576B1">
              <w:rPr>
                <w:rFonts w:cstheme="minorHAnsi"/>
                <w:b/>
                <w:color w:val="000000" w:themeColor="text1"/>
                <w:sz w:val="20"/>
                <w:szCs w:val="20"/>
              </w:rPr>
              <w:t>112</w:t>
            </w:r>
            <w:r>
              <w:rPr>
                <w:rFonts w:cstheme="minorHAnsi"/>
                <w:b/>
                <w:color w:val="000000" w:themeColor="text1"/>
                <w:sz w:val="20"/>
                <w:szCs w:val="20"/>
              </w:rPr>
              <w:t>,</w:t>
            </w:r>
            <w:r w:rsidRPr="002576B1">
              <w:rPr>
                <w:rFonts w:cstheme="minorHAnsi"/>
                <w:b/>
                <w:color w:val="000000" w:themeColor="text1"/>
                <w:sz w:val="20"/>
                <w:szCs w:val="20"/>
              </w:rPr>
              <w:t>911</w:t>
            </w:r>
            <w:bookmarkEnd w:id="578"/>
          </w:p>
        </w:tc>
      </w:tr>
    </w:tbl>
    <w:p w14:paraId="7650A7F9" w14:textId="77777777" w:rsidR="00D626F4" w:rsidRPr="00537128" w:rsidRDefault="00D626F4" w:rsidP="00D626F4">
      <w:pPr>
        <w:spacing w:after="0" w:line="240" w:lineRule="auto"/>
        <w:jc w:val="both"/>
        <w:rPr>
          <w:rFonts w:ascii="Calibri" w:eastAsia="Times New Roman" w:hAnsi="Calibri" w:cs="Arial"/>
          <w:b/>
          <w:color w:val="000000" w:themeColor="text1"/>
          <w:sz w:val="24"/>
          <w:szCs w:val="24"/>
          <w:lang w:val="en-US"/>
        </w:rPr>
      </w:pPr>
    </w:p>
    <w:tbl>
      <w:tblPr>
        <w:tblW w:w="5000" w:type="pct"/>
        <w:jc w:val="center"/>
        <w:tblLayout w:type="fixed"/>
        <w:tblCellMar>
          <w:left w:w="113" w:type="dxa"/>
          <w:right w:w="85" w:type="dxa"/>
        </w:tblCellMar>
        <w:tblLook w:val="00A0" w:firstRow="1" w:lastRow="0" w:firstColumn="1" w:lastColumn="0" w:noHBand="0" w:noVBand="0"/>
      </w:tblPr>
      <w:tblGrid>
        <w:gridCol w:w="3516"/>
        <w:gridCol w:w="1389"/>
        <w:gridCol w:w="1389"/>
        <w:gridCol w:w="1389"/>
        <w:gridCol w:w="1389"/>
      </w:tblGrid>
      <w:tr w:rsidR="00F86C52" w:rsidRPr="00537128" w14:paraId="7934CFA9" w14:textId="77777777" w:rsidTr="007A1E19">
        <w:trPr>
          <w:cantSplit/>
          <w:trHeight w:val="13"/>
          <w:jc w:val="center"/>
        </w:trPr>
        <w:tc>
          <w:tcPr>
            <w:tcW w:w="3516" w:type="dxa"/>
            <w:vAlign w:val="bottom"/>
          </w:tcPr>
          <w:p w14:paraId="5C315BD1" w14:textId="01F71AB2" w:rsidR="00F86C52" w:rsidRPr="00537128" w:rsidRDefault="00F86C52" w:rsidP="007A1E19">
            <w:pPr>
              <w:tabs>
                <w:tab w:val="right" w:pos="1202"/>
              </w:tabs>
              <w:spacing w:after="0" w:line="240" w:lineRule="auto"/>
              <w:outlineLvl w:val="0"/>
              <w:rPr>
                <w:rFonts w:ascii="Calibri" w:eastAsia="Times New Roman" w:hAnsi="Calibri" w:cs="Arial"/>
                <w:color w:val="000000" w:themeColor="text1"/>
                <w:sz w:val="20"/>
                <w:szCs w:val="20"/>
                <w:lang w:val="en-US"/>
              </w:rPr>
            </w:pPr>
            <w:r w:rsidRPr="00537128">
              <w:rPr>
                <w:rFonts w:ascii="Calibri" w:eastAsia="Times New Roman" w:hAnsi="Calibri" w:cs="Arial"/>
                <w:b/>
                <w:color w:val="000000" w:themeColor="text1"/>
                <w:sz w:val="20"/>
                <w:szCs w:val="20"/>
                <w:lang w:val="en-US"/>
              </w:rPr>
              <w:t>Bank</w:t>
            </w:r>
          </w:p>
        </w:tc>
        <w:tc>
          <w:tcPr>
            <w:tcW w:w="1389" w:type="dxa"/>
            <w:vAlign w:val="bottom"/>
          </w:tcPr>
          <w:p w14:paraId="6C9C3B96" w14:textId="77777777" w:rsidR="00F86C52" w:rsidRPr="00537128" w:rsidRDefault="00F86C52" w:rsidP="007A1E19">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537128">
              <w:rPr>
                <w:rFonts w:ascii="Calibri" w:eastAsia="Times New Roman" w:hAnsi="Calibri" w:cs="Arial"/>
                <w:b/>
                <w:bCs/>
                <w:iCs/>
                <w:color w:val="000000" w:themeColor="text1"/>
                <w:sz w:val="20"/>
                <w:szCs w:val="20"/>
                <w:lang w:val="en-US"/>
              </w:rPr>
              <w:t>Income</w:t>
            </w:r>
          </w:p>
        </w:tc>
        <w:tc>
          <w:tcPr>
            <w:tcW w:w="1389" w:type="dxa"/>
            <w:vAlign w:val="bottom"/>
          </w:tcPr>
          <w:p w14:paraId="40A6E174" w14:textId="77777777" w:rsidR="00F86C52" w:rsidRPr="00537128" w:rsidRDefault="00F86C52" w:rsidP="007A1E19">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537128">
              <w:rPr>
                <w:rFonts w:ascii="Calibri" w:eastAsia="Times New Roman" w:hAnsi="Calibri" w:cs="Arial"/>
                <w:b/>
                <w:bCs/>
                <w:iCs/>
                <w:color w:val="000000" w:themeColor="text1"/>
                <w:sz w:val="20"/>
                <w:szCs w:val="20"/>
                <w:lang w:val="en-US"/>
              </w:rPr>
              <w:t>Expense</w:t>
            </w:r>
          </w:p>
        </w:tc>
        <w:tc>
          <w:tcPr>
            <w:tcW w:w="1389" w:type="dxa"/>
            <w:vAlign w:val="bottom"/>
          </w:tcPr>
          <w:p w14:paraId="5D23F1A3" w14:textId="77777777" w:rsidR="00F86C52" w:rsidRPr="00537128" w:rsidRDefault="00F86C52" w:rsidP="007A1E19">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537128">
              <w:rPr>
                <w:rFonts w:ascii="Calibri" w:eastAsia="Times New Roman" w:hAnsi="Calibri" w:cs="Arial"/>
                <w:b/>
                <w:bCs/>
                <w:iCs/>
                <w:color w:val="000000" w:themeColor="text1"/>
                <w:sz w:val="20"/>
                <w:szCs w:val="20"/>
                <w:lang w:val="en-US"/>
              </w:rPr>
              <w:t>Income</w:t>
            </w:r>
          </w:p>
        </w:tc>
        <w:tc>
          <w:tcPr>
            <w:tcW w:w="1389" w:type="dxa"/>
            <w:vAlign w:val="bottom"/>
          </w:tcPr>
          <w:p w14:paraId="46F9D387" w14:textId="77777777" w:rsidR="00F86C52" w:rsidRPr="00537128" w:rsidRDefault="00F86C52" w:rsidP="007A1E19">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537128">
              <w:rPr>
                <w:rFonts w:ascii="Calibri" w:eastAsia="Times New Roman" w:hAnsi="Calibri" w:cs="Arial"/>
                <w:b/>
                <w:bCs/>
                <w:iCs/>
                <w:color w:val="000000" w:themeColor="text1"/>
                <w:sz w:val="20"/>
                <w:szCs w:val="20"/>
                <w:lang w:val="en-US"/>
              </w:rPr>
              <w:t>Expense</w:t>
            </w:r>
          </w:p>
        </w:tc>
      </w:tr>
      <w:tr w:rsidR="00F86C52" w:rsidRPr="00537128" w14:paraId="0CFF2909" w14:textId="77777777" w:rsidTr="00F86C52">
        <w:trPr>
          <w:cantSplit/>
          <w:trHeight w:hRule="exact" w:val="578"/>
          <w:jc w:val="center"/>
        </w:trPr>
        <w:tc>
          <w:tcPr>
            <w:tcW w:w="3516" w:type="dxa"/>
            <w:vAlign w:val="bottom"/>
          </w:tcPr>
          <w:p w14:paraId="7A0F7CA1" w14:textId="77777777" w:rsidR="00F86C52" w:rsidRPr="00537128" w:rsidRDefault="00F86C52" w:rsidP="007A1E19">
            <w:pPr>
              <w:tabs>
                <w:tab w:val="right" w:pos="1202"/>
              </w:tabs>
              <w:spacing w:after="0" w:line="240" w:lineRule="auto"/>
              <w:outlineLvl w:val="0"/>
              <w:rPr>
                <w:rFonts w:ascii="Calibri" w:eastAsia="Times New Roman" w:hAnsi="Calibri" w:cs="Arial"/>
                <w:b/>
                <w:color w:val="000000" w:themeColor="text1"/>
                <w:sz w:val="20"/>
                <w:szCs w:val="20"/>
                <w:lang w:val="en-US"/>
              </w:rPr>
            </w:pPr>
          </w:p>
        </w:tc>
        <w:tc>
          <w:tcPr>
            <w:tcW w:w="1389" w:type="dxa"/>
            <w:vAlign w:val="center"/>
          </w:tcPr>
          <w:p w14:paraId="3F2D1E9B" w14:textId="7C804DA4" w:rsidR="00F86C52" w:rsidRPr="00537128" w:rsidRDefault="00F86C52" w:rsidP="007A1E19">
            <w:pPr>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Calibri"/>
                <w:b/>
                <w:bCs/>
                <w:color w:val="000000" w:themeColor="text1"/>
                <w:sz w:val="20"/>
                <w:szCs w:val="20"/>
                <w:lang w:val="en-US"/>
              </w:rPr>
              <w:t xml:space="preserve">Jan 1 – Mar 31 </w:t>
            </w:r>
            <w:r w:rsidRPr="00537128">
              <w:rPr>
                <w:rFonts w:ascii="Calibri" w:eastAsia="Times New Roman" w:hAnsi="Calibri" w:cs="Arial"/>
                <w:b/>
                <w:bCs/>
                <w:color w:val="000000" w:themeColor="text1"/>
                <w:sz w:val="20"/>
                <w:szCs w:val="20"/>
                <w:lang w:val="en-US"/>
              </w:rPr>
              <w:t>202</w:t>
            </w:r>
            <w:r w:rsidR="00CC0B76">
              <w:rPr>
                <w:rFonts w:ascii="Calibri" w:eastAsia="Times New Roman" w:hAnsi="Calibri" w:cs="Arial"/>
                <w:b/>
                <w:bCs/>
                <w:color w:val="000000" w:themeColor="text1"/>
                <w:sz w:val="20"/>
                <w:szCs w:val="20"/>
                <w:lang w:val="en-US"/>
              </w:rPr>
              <w:t>2</w:t>
            </w:r>
          </w:p>
        </w:tc>
        <w:tc>
          <w:tcPr>
            <w:tcW w:w="1389" w:type="dxa"/>
            <w:vAlign w:val="center"/>
          </w:tcPr>
          <w:p w14:paraId="40FBEC5C" w14:textId="77C2CBC7" w:rsidR="00F86C52" w:rsidRPr="00537128" w:rsidRDefault="00F86C52" w:rsidP="007A1E19">
            <w:pPr>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Arial"/>
                <w:b/>
                <w:bCs/>
                <w:color w:val="000000" w:themeColor="text1"/>
                <w:sz w:val="20"/>
                <w:szCs w:val="20"/>
                <w:lang w:val="en-US"/>
              </w:rPr>
              <w:t>Jan 1 – Mar 31 202</w:t>
            </w:r>
            <w:r w:rsidR="00CC0B76">
              <w:rPr>
                <w:rFonts w:ascii="Calibri" w:eastAsia="Times New Roman" w:hAnsi="Calibri" w:cs="Arial"/>
                <w:b/>
                <w:bCs/>
                <w:color w:val="000000" w:themeColor="text1"/>
                <w:sz w:val="20"/>
                <w:szCs w:val="20"/>
                <w:lang w:val="en-US"/>
              </w:rPr>
              <w:t>2</w:t>
            </w:r>
          </w:p>
        </w:tc>
        <w:tc>
          <w:tcPr>
            <w:tcW w:w="1389" w:type="dxa"/>
            <w:vAlign w:val="center"/>
          </w:tcPr>
          <w:p w14:paraId="1BA76D46" w14:textId="07354D29" w:rsidR="00F86C52" w:rsidRPr="00537128" w:rsidRDefault="00F86C52" w:rsidP="007A1E19">
            <w:pPr>
              <w:spacing w:after="0" w:line="240" w:lineRule="auto"/>
              <w:jc w:val="right"/>
              <w:outlineLvl w:val="0"/>
              <w:rPr>
                <w:rFonts w:ascii="Calibri" w:eastAsia="Times New Roman" w:hAnsi="Calibri" w:cs="Calibri"/>
                <w:b/>
                <w:bCs/>
                <w:color w:val="000000" w:themeColor="text1"/>
                <w:sz w:val="20"/>
                <w:szCs w:val="20"/>
                <w:lang w:val="en-US"/>
              </w:rPr>
            </w:pPr>
            <w:r w:rsidRPr="00537128">
              <w:rPr>
                <w:rFonts w:ascii="Calibri" w:eastAsia="Times New Roman" w:hAnsi="Calibri" w:cs="Calibri"/>
                <w:b/>
                <w:bCs/>
                <w:color w:val="000000" w:themeColor="text1"/>
                <w:sz w:val="20"/>
                <w:szCs w:val="20"/>
                <w:lang w:val="en-US"/>
              </w:rPr>
              <w:t>Jan 1 – Mar 31 202</w:t>
            </w:r>
            <w:r w:rsidR="00CC0B76">
              <w:rPr>
                <w:rFonts w:ascii="Calibri" w:eastAsia="Times New Roman" w:hAnsi="Calibri" w:cs="Calibri"/>
                <w:b/>
                <w:bCs/>
                <w:color w:val="000000" w:themeColor="text1"/>
                <w:sz w:val="20"/>
                <w:szCs w:val="20"/>
                <w:lang w:val="en-US"/>
              </w:rPr>
              <w:t>1</w:t>
            </w:r>
          </w:p>
        </w:tc>
        <w:tc>
          <w:tcPr>
            <w:tcW w:w="1389" w:type="dxa"/>
            <w:vAlign w:val="center"/>
          </w:tcPr>
          <w:p w14:paraId="0117E6D5" w14:textId="303AB7C4" w:rsidR="00F86C52" w:rsidRPr="00537128" w:rsidRDefault="00F86C52" w:rsidP="007A1E19">
            <w:pPr>
              <w:spacing w:after="0" w:line="240" w:lineRule="auto"/>
              <w:jc w:val="right"/>
              <w:outlineLvl w:val="0"/>
              <w:rPr>
                <w:rFonts w:ascii="Calibri" w:eastAsia="Times New Roman" w:hAnsi="Calibri" w:cs="Calibri"/>
                <w:b/>
                <w:bCs/>
                <w:color w:val="000000" w:themeColor="text1"/>
                <w:sz w:val="20"/>
                <w:szCs w:val="20"/>
                <w:lang w:val="en-US"/>
              </w:rPr>
            </w:pPr>
            <w:r w:rsidRPr="00537128">
              <w:rPr>
                <w:rFonts w:ascii="Calibri" w:eastAsia="Times New Roman" w:hAnsi="Calibri" w:cs="Calibri"/>
                <w:b/>
                <w:bCs/>
                <w:color w:val="000000" w:themeColor="text1"/>
                <w:sz w:val="20"/>
                <w:szCs w:val="20"/>
                <w:lang w:val="en-US"/>
              </w:rPr>
              <w:t>Jan 1 – Mar 31 202</w:t>
            </w:r>
            <w:r w:rsidR="00CC0B76">
              <w:rPr>
                <w:rFonts w:ascii="Calibri" w:eastAsia="Times New Roman" w:hAnsi="Calibri" w:cs="Calibri"/>
                <w:b/>
                <w:bCs/>
                <w:color w:val="000000" w:themeColor="text1"/>
                <w:sz w:val="20"/>
                <w:szCs w:val="20"/>
                <w:lang w:val="en-US"/>
              </w:rPr>
              <w:t>1</w:t>
            </w:r>
          </w:p>
        </w:tc>
      </w:tr>
      <w:tr w:rsidR="00F86C52" w:rsidRPr="00537128" w14:paraId="0B4634F0" w14:textId="77777777" w:rsidTr="007A1E19">
        <w:trPr>
          <w:cantSplit/>
          <w:trHeight w:hRule="exact" w:val="277"/>
          <w:jc w:val="center"/>
        </w:trPr>
        <w:tc>
          <w:tcPr>
            <w:tcW w:w="3516" w:type="dxa"/>
            <w:vAlign w:val="bottom"/>
          </w:tcPr>
          <w:p w14:paraId="33D605D4" w14:textId="77777777" w:rsidR="00F86C52" w:rsidRPr="00537128" w:rsidRDefault="00F86C52" w:rsidP="007A1E19">
            <w:pPr>
              <w:tabs>
                <w:tab w:val="right" w:pos="1202"/>
              </w:tabs>
              <w:spacing w:after="0" w:line="240" w:lineRule="auto"/>
              <w:outlineLvl w:val="0"/>
              <w:rPr>
                <w:rFonts w:ascii="Calibri" w:eastAsia="Times New Roman" w:hAnsi="Calibri" w:cs="Arial"/>
                <w:b/>
                <w:color w:val="000000" w:themeColor="text1"/>
                <w:sz w:val="20"/>
                <w:szCs w:val="20"/>
                <w:lang w:val="en-US"/>
              </w:rPr>
            </w:pPr>
          </w:p>
        </w:tc>
        <w:tc>
          <w:tcPr>
            <w:tcW w:w="1389" w:type="dxa"/>
            <w:vAlign w:val="bottom"/>
          </w:tcPr>
          <w:p w14:paraId="34AA66E7" w14:textId="77777777" w:rsidR="00F86C52" w:rsidRPr="00537128" w:rsidRDefault="00F86C52" w:rsidP="007A1E19">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Arial"/>
                <w:b/>
                <w:color w:val="000000" w:themeColor="text1"/>
                <w:sz w:val="20"/>
                <w:szCs w:val="20"/>
                <w:lang w:val="en-US"/>
              </w:rPr>
              <w:t>HRK ‘000</w:t>
            </w:r>
          </w:p>
        </w:tc>
        <w:tc>
          <w:tcPr>
            <w:tcW w:w="1389" w:type="dxa"/>
            <w:vAlign w:val="bottom"/>
          </w:tcPr>
          <w:p w14:paraId="083A75B0" w14:textId="77777777" w:rsidR="00F86C52" w:rsidRPr="00537128" w:rsidRDefault="00F86C52" w:rsidP="007A1E19">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Arial"/>
                <w:b/>
                <w:bCs/>
                <w:color w:val="000000" w:themeColor="text1"/>
                <w:sz w:val="20"/>
                <w:szCs w:val="20"/>
                <w:lang w:val="en-US"/>
              </w:rPr>
              <w:t>HRK ‘000</w:t>
            </w:r>
          </w:p>
        </w:tc>
        <w:tc>
          <w:tcPr>
            <w:tcW w:w="1389" w:type="dxa"/>
            <w:vAlign w:val="bottom"/>
          </w:tcPr>
          <w:p w14:paraId="45C1A0E4" w14:textId="77777777" w:rsidR="00F86C52" w:rsidRPr="00537128" w:rsidRDefault="00F86C52" w:rsidP="007A1E19">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Arial"/>
                <w:b/>
                <w:color w:val="000000" w:themeColor="text1"/>
                <w:sz w:val="20"/>
                <w:szCs w:val="20"/>
                <w:lang w:val="en-US"/>
              </w:rPr>
              <w:t>HRK ‘000</w:t>
            </w:r>
          </w:p>
        </w:tc>
        <w:tc>
          <w:tcPr>
            <w:tcW w:w="1389" w:type="dxa"/>
            <w:vAlign w:val="bottom"/>
          </w:tcPr>
          <w:p w14:paraId="304612A6" w14:textId="77777777" w:rsidR="00F86C52" w:rsidRPr="00537128" w:rsidRDefault="00F86C52" w:rsidP="007A1E19">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Arial"/>
                <w:b/>
                <w:bCs/>
                <w:color w:val="000000" w:themeColor="text1"/>
                <w:sz w:val="20"/>
                <w:szCs w:val="20"/>
                <w:lang w:val="en-US"/>
              </w:rPr>
              <w:t>HRK ‘000</w:t>
            </w:r>
          </w:p>
        </w:tc>
      </w:tr>
      <w:tr w:rsidR="007A1A14" w:rsidRPr="00537128" w14:paraId="26D26082" w14:textId="77777777" w:rsidTr="00A1123E">
        <w:trPr>
          <w:cantSplit/>
          <w:trHeight w:hRule="exact" w:val="350"/>
          <w:jc w:val="center"/>
        </w:trPr>
        <w:tc>
          <w:tcPr>
            <w:tcW w:w="3516" w:type="dxa"/>
            <w:vAlign w:val="bottom"/>
          </w:tcPr>
          <w:p w14:paraId="1F698B5E" w14:textId="77777777" w:rsidR="007A1A14" w:rsidRPr="00537128" w:rsidRDefault="007A1A14" w:rsidP="007A1A14">
            <w:pPr>
              <w:tabs>
                <w:tab w:val="right" w:pos="1202"/>
              </w:tabs>
              <w:spacing w:after="0" w:line="240" w:lineRule="auto"/>
              <w:outlineLvl w:val="0"/>
              <w:rPr>
                <w:rFonts w:ascii="Calibri" w:eastAsia="Times New Roman" w:hAnsi="Calibri" w:cs="Arial"/>
                <w:color w:val="000000" w:themeColor="text1"/>
                <w:sz w:val="20"/>
                <w:szCs w:val="20"/>
                <w:lang w:val="en-US"/>
              </w:rPr>
            </w:pPr>
            <w:r w:rsidRPr="00537128">
              <w:rPr>
                <w:rFonts w:ascii="Calibri" w:eastAsia="Times New Roman" w:hAnsi="Calibri" w:cs="Arial"/>
                <w:color w:val="000000" w:themeColor="text1"/>
                <w:sz w:val="20"/>
                <w:szCs w:val="20"/>
                <w:lang w:val="en-US"/>
              </w:rPr>
              <w:t>Owner</w:t>
            </w:r>
          </w:p>
        </w:tc>
        <w:tc>
          <w:tcPr>
            <w:tcW w:w="1389" w:type="dxa"/>
            <w:shd w:val="clear" w:color="auto" w:fill="auto"/>
            <w:vAlign w:val="bottom"/>
          </w:tcPr>
          <w:p w14:paraId="2F14671F" w14:textId="06F75721" w:rsidR="007A1A14" w:rsidRPr="00537128" w:rsidRDefault="007A1A14" w:rsidP="007A1A14">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11,259</w:t>
            </w:r>
          </w:p>
        </w:tc>
        <w:tc>
          <w:tcPr>
            <w:tcW w:w="1389" w:type="dxa"/>
            <w:shd w:val="clear" w:color="auto" w:fill="auto"/>
            <w:vAlign w:val="bottom"/>
          </w:tcPr>
          <w:p w14:paraId="3CC4DF29" w14:textId="0C627C2C" w:rsidR="007A1A14" w:rsidRPr="00537128" w:rsidRDefault="007A1A14" w:rsidP="007A1A14">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4,082</w:t>
            </w:r>
          </w:p>
        </w:tc>
        <w:tc>
          <w:tcPr>
            <w:tcW w:w="1389" w:type="dxa"/>
            <w:shd w:val="clear" w:color="auto" w:fill="auto"/>
            <w:vAlign w:val="bottom"/>
          </w:tcPr>
          <w:p w14:paraId="67B20BFF" w14:textId="3AA5D72A" w:rsidR="007A1A14" w:rsidRPr="00537128" w:rsidRDefault="007A1A14" w:rsidP="007A1A14">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Pr>
                <w:rFonts w:ascii="Calibri" w:eastAsia="Calibri" w:hAnsi="Calibri" w:cs="Arial"/>
                <w:bCs/>
                <w:iCs/>
                <w:color w:val="000000" w:themeColor="text1"/>
                <w:sz w:val="20"/>
                <w:szCs w:val="20"/>
              </w:rPr>
              <w:t>13,149</w:t>
            </w:r>
          </w:p>
        </w:tc>
        <w:tc>
          <w:tcPr>
            <w:tcW w:w="1389" w:type="dxa"/>
            <w:shd w:val="clear" w:color="auto" w:fill="auto"/>
            <w:vAlign w:val="bottom"/>
          </w:tcPr>
          <w:p w14:paraId="34832941" w14:textId="2DC72D01" w:rsidR="007A1A14" w:rsidRPr="00537128" w:rsidRDefault="007A1A14" w:rsidP="007A1A14">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Pr>
                <w:rFonts w:ascii="Calibri" w:eastAsia="Calibri" w:hAnsi="Calibri" w:cs="Arial"/>
                <w:bCs/>
                <w:iCs/>
                <w:color w:val="000000" w:themeColor="text1"/>
                <w:sz w:val="20"/>
                <w:szCs w:val="20"/>
              </w:rPr>
              <w:t>5,755</w:t>
            </w:r>
          </w:p>
        </w:tc>
      </w:tr>
      <w:tr w:rsidR="007A1A14" w:rsidRPr="00537128" w14:paraId="3E8775F7" w14:textId="77777777" w:rsidTr="00A1123E">
        <w:trPr>
          <w:cantSplit/>
          <w:trHeight w:val="13"/>
          <w:jc w:val="center"/>
        </w:trPr>
        <w:tc>
          <w:tcPr>
            <w:tcW w:w="3516" w:type="dxa"/>
            <w:vAlign w:val="bottom"/>
          </w:tcPr>
          <w:p w14:paraId="6FCD100C" w14:textId="77777777" w:rsidR="007A1A14" w:rsidRPr="00537128" w:rsidRDefault="007A1A14" w:rsidP="007A1A14">
            <w:pPr>
              <w:tabs>
                <w:tab w:val="right" w:pos="1202"/>
              </w:tabs>
              <w:spacing w:after="0" w:line="240" w:lineRule="auto"/>
              <w:outlineLvl w:val="0"/>
              <w:rPr>
                <w:rFonts w:ascii="Calibri" w:eastAsia="Times New Roman" w:hAnsi="Calibri" w:cs="Arial"/>
                <w:color w:val="000000" w:themeColor="text1"/>
                <w:sz w:val="20"/>
                <w:szCs w:val="20"/>
                <w:lang w:val="en-US"/>
              </w:rPr>
            </w:pPr>
            <w:r w:rsidRPr="00537128">
              <w:rPr>
                <w:rFonts w:ascii="Calibri" w:eastAsia="Times New Roman" w:hAnsi="Calibri" w:cs="Arial"/>
                <w:color w:val="000000" w:themeColor="text1"/>
                <w:sz w:val="20"/>
                <w:szCs w:val="20"/>
                <w:lang w:val="en-US"/>
              </w:rPr>
              <w:t xml:space="preserve">Government funds, executive </w:t>
            </w:r>
            <w:proofErr w:type="gramStart"/>
            <w:r w:rsidRPr="00537128">
              <w:rPr>
                <w:rFonts w:ascii="Calibri" w:eastAsia="Times New Roman" w:hAnsi="Calibri" w:cs="Arial"/>
                <w:color w:val="000000" w:themeColor="text1"/>
                <w:sz w:val="20"/>
                <w:szCs w:val="20"/>
                <w:lang w:val="en-US"/>
              </w:rPr>
              <w:t>authorities</w:t>
            </w:r>
            <w:proofErr w:type="gramEnd"/>
            <w:r w:rsidRPr="00537128">
              <w:rPr>
                <w:rFonts w:ascii="Calibri" w:eastAsia="Times New Roman" w:hAnsi="Calibri" w:cs="Arial"/>
                <w:color w:val="000000" w:themeColor="text1"/>
                <w:sz w:val="20"/>
                <w:szCs w:val="20"/>
                <w:lang w:val="en-US"/>
              </w:rPr>
              <w:t xml:space="preserve"> and agencies</w:t>
            </w:r>
          </w:p>
        </w:tc>
        <w:tc>
          <w:tcPr>
            <w:tcW w:w="1389" w:type="dxa"/>
            <w:shd w:val="clear" w:color="auto" w:fill="auto"/>
            <w:vAlign w:val="bottom"/>
          </w:tcPr>
          <w:p w14:paraId="28ED9EBD" w14:textId="418C76C1" w:rsidR="007A1A14" w:rsidRPr="00537128" w:rsidRDefault="007A1A14" w:rsidP="007A1A14">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23,242</w:t>
            </w:r>
          </w:p>
        </w:tc>
        <w:tc>
          <w:tcPr>
            <w:tcW w:w="1389" w:type="dxa"/>
            <w:shd w:val="clear" w:color="auto" w:fill="auto"/>
            <w:vAlign w:val="bottom"/>
          </w:tcPr>
          <w:p w14:paraId="3EEF6E3C" w14:textId="6116B868" w:rsidR="007A1A14" w:rsidRPr="00537128" w:rsidRDefault="007A1A14" w:rsidP="007A1A14">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2,873</w:t>
            </w:r>
          </w:p>
        </w:tc>
        <w:tc>
          <w:tcPr>
            <w:tcW w:w="1389" w:type="dxa"/>
            <w:shd w:val="clear" w:color="auto" w:fill="auto"/>
            <w:vAlign w:val="bottom"/>
          </w:tcPr>
          <w:p w14:paraId="0264C8C5" w14:textId="6CAE19F7" w:rsidR="007A1A14" w:rsidRPr="00537128" w:rsidRDefault="007A1A14" w:rsidP="007A1A14">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Pr>
                <w:rFonts w:ascii="Calibri" w:eastAsia="Calibri" w:hAnsi="Calibri" w:cs="Arial"/>
                <w:bCs/>
                <w:iCs/>
                <w:color w:val="000000" w:themeColor="text1"/>
                <w:sz w:val="20"/>
                <w:szCs w:val="20"/>
              </w:rPr>
              <w:t>19,603</w:t>
            </w:r>
          </w:p>
        </w:tc>
        <w:tc>
          <w:tcPr>
            <w:tcW w:w="1389" w:type="dxa"/>
            <w:shd w:val="clear" w:color="auto" w:fill="auto"/>
            <w:vAlign w:val="bottom"/>
          </w:tcPr>
          <w:p w14:paraId="6F76E04A" w14:textId="6CC93C6F" w:rsidR="007A1A14" w:rsidRPr="00537128" w:rsidRDefault="007A1A14" w:rsidP="007A1A14">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Pr>
                <w:rFonts w:ascii="Calibri" w:eastAsia="Calibri" w:hAnsi="Calibri" w:cs="Arial"/>
                <w:bCs/>
                <w:iCs/>
                <w:color w:val="000000" w:themeColor="text1"/>
                <w:sz w:val="20"/>
                <w:szCs w:val="20"/>
              </w:rPr>
              <w:t>39</w:t>
            </w:r>
          </w:p>
        </w:tc>
      </w:tr>
      <w:tr w:rsidR="007A1A14" w:rsidRPr="00537128" w14:paraId="29A766AB" w14:textId="77777777" w:rsidTr="00A1123E">
        <w:trPr>
          <w:cantSplit/>
          <w:trHeight w:hRule="exact" w:val="301"/>
          <w:jc w:val="center"/>
        </w:trPr>
        <w:tc>
          <w:tcPr>
            <w:tcW w:w="3516" w:type="dxa"/>
            <w:vAlign w:val="bottom"/>
          </w:tcPr>
          <w:p w14:paraId="6DC551AE" w14:textId="77777777" w:rsidR="007A1A14" w:rsidRPr="00537128" w:rsidRDefault="007A1A14" w:rsidP="007A1A14">
            <w:pPr>
              <w:tabs>
                <w:tab w:val="right" w:pos="1202"/>
              </w:tabs>
              <w:spacing w:after="0" w:line="240" w:lineRule="auto"/>
              <w:outlineLvl w:val="0"/>
              <w:rPr>
                <w:rFonts w:ascii="Calibri" w:eastAsia="Times New Roman" w:hAnsi="Calibri" w:cs="Arial"/>
                <w:color w:val="000000" w:themeColor="text1"/>
                <w:sz w:val="20"/>
                <w:szCs w:val="20"/>
                <w:lang w:val="en-US"/>
              </w:rPr>
            </w:pPr>
            <w:r w:rsidRPr="00537128">
              <w:rPr>
                <w:rFonts w:ascii="Calibri" w:eastAsia="Times New Roman" w:hAnsi="Calibri" w:cs="Arial"/>
                <w:color w:val="000000" w:themeColor="text1"/>
                <w:sz w:val="20"/>
                <w:szCs w:val="20"/>
                <w:lang w:val="en-US"/>
              </w:rPr>
              <w:t>State-owned companies</w:t>
            </w:r>
          </w:p>
        </w:tc>
        <w:tc>
          <w:tcPr>
            <w:tcW w:w="1389" w:type="dxa"/>
            <w:shd w:val="clear" w:color="auto" w:fill="auto"/>
            <w:vAlign w:val="bottom"/>
          </w:tcPr>
          <w:p w14:paraId="45DB6EF4" w14:textId="76FD40C8" w:rsidR="007A1A14" w:rsidRPr="00537128" w:rsidRDefault="007A1A14" w:rsidP="007A1A14">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11,698</w:t>
            </w:r>
          </w:p>
        </w:tc>
        <w:tc>
          <w:tcPr>
            <w:tcW w:w="1389" w:type="dxa"/>
            <w:shd w:val="clear" w:color="auto" w:fill="auto"/>
            <w:vAlign w:val="bottom"/>
          </w:tcPr>
          <w:p w14:paraId="0E3C7277" w14:textId="7FA2C263" w:rsidR="007A1A14" w:rsidRPr="00537128" w:rsidRDefault="007A1A14" w:rsidP="007A1A14">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5,195</w:t>
            </w:r>
          </w:p>
        </w:tc>
        <w:tc>
          <w:tcPr>
            <w:tcW w:w="1389" w:type="dxa"/>
            <w:shd w:val="clear" w:color="auto" w:fill="auto"/>
            <w:vAlign w:val="bottom"/>
          </w:tcPr>
          <w:p w14:paraId="40000151" w14:textId="17F29D2D" w:rsidR="007A1A14" w:rsidRPr="00537128" w:rsidRDefault="007A1A14" w:rsidP="007A1A14">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Pr>
                <w:rFonts w:ascii="Calibri" w:eastAsia="Calibri" w:hAnsi="Calibri" w:cs="Arial"/>
                <w:bCs/>
                <w:iCs/>
                <w:color w:val="000000" w:themeColor="text1"/>
                <w:sz w:val="20"/>
                <w:szCs w:val="20"/>
              </w:rPr>
              <w:t>18,168</w:t>
            </w:r>
          </w:p>
        </w:tc>
        <w:tc>
          <w:tcPr>
            <w:tcW w:w="1389" w:type="dxa"/>
            <w:shd w:val="clear" w:color="auto" w:fill="auto"/>
            <w:vAlign w:val="bottom"/>
          </w:tcPr>
          <w:p w14:paraId="5B3F6235" w14:textId="62E73CA2" w:rsidR="007A1A14" w:rsidRPr="00537128" w:rsidRDefault="007A1A14" w:rsidP="007A1A14">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Pr>
                <w:rFonts w:ascii="Calibri" w:eastAsia="Calibri" w:hAnsi="Calibri" w:cs="Arial"/>
                <w:bCs/>
                <w:iCs/>
                <w:color w:val="000000" w:themeColor="text1"/>
                <w:sz w:val="20"/>
                <w:szCs w:val="20"/>
              </w:rPr>
              <w:t>13,004</w:t>
            </w:r>
          </w:p>
        </w:tc>
      </w:tr>
      <w:tr w:rsidR="007A1A14" w:rsidRPr="00537128" w14:paraId="260AA286" w14:textId="77777777" w:rsidTr="00A1123E">
        <w:trPr>
          <w:cantSplit/>
          <w:trHeight w:hRule="exact" w:val="301"/>
          <w:jc w:val="center"/>
        </w:trPr>
        <w:tc>
          <w:tcPr>
            <w:tcW w:w="3516" w:type="dxa"/>
            <w:vAlign w:val="bottom"/>
          </w:tcPr>
          <w:p w14:paraId="5DF2683A" w14:textId="55223A1D" w:rsidR="007A1A14" w:rsidRPr="00537128" w:rsidRDefault="007A1A14" w:rsidP="007A1A14">
            <w:pPr>
              <w:tabs>
                <w:tab w:val="right" w:pos="1202"/>
              </w:tabs>
              <w:spacing w:after="0" w:line="240" w:lineRule="auto"/>
              <w:outlineLvl w:val="0"/>
              <w:rPr>
                <w:rFonts w:ascii="Calibri" w:eastAsia="Times New Roman" w:hAnsi="Calibri" w:cs="Arial"/>
                <w:color w:val="000000" w:themeColor="text1"/>
                <w:sz w:val="20"/>
                <w:szCs w:val="20"/>
                <w:lang w:val="en-US"/>
              </w:rPr>
            </w:pPr>
            <w:r w:rsidRPr="00537128">
              <w:rPr>
                <w:rFonts w:ascii="Calibri" w:eastAsia="Times New Roman" w:hAnsi="Calibri" w:cs="Arial"/>
                <w:color w:val="000000" w:themeColor="text1"/>
                <w:sz w:val="20"/>
                <w:szCs w:val="20"/>
                <w:lang w:val="en-US"/>
              </w:rPr>
              <w:t>Subsidiary companies</w:t>
            </w:r>
          </w:p>
        </w:tc>
        <w:tc>
          <w:tcPr>
            <w:tcW w:w="1389" w:type="dxa"/>
            <w:shd w:val="clear" w:color="auto" w:fill="auto"/>
            <w:vAlign w:val="bottom"/>
          </w:tcPr>
          <w:p w14:paraId="37955FA6" w14:textId="3D59A17D" w:rsidR="007A1A14" w:rsidRPr="00537128" w:rsidRDefault="007A1A14" w:rsidP="007A1A14">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w:t>
            </w:r>
          </w:p>
        </w:tc>
        <w:tc>
          <w:tcPr>
            <w:tcW w:w="1389" w:type="dxa"/>
            <w:shd w:val="clear" w:color="auto" w:fill="auto"/>
            <w:vAlign w:val="bottom"/>
          </w:tcPr>
          <w:p w14:paraId="78833054" w14:textId="32950CDB" w:rsidR="007A1A14" w:rsidRPr="00537128" w:rsidRDefault="007A1A14" w:rsidP="007A1A14">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w:t>
            </w:r>
          </w:p>
        </w:tc>
        <w:tc>
          <w:tcPr>
            <w:tcW w:w="1389" w:type="dxa"/>
            <w:shd w:val="clear" w:color="auto" w:fill="auto"/>
            <w:vAlign w:val="bottom"/>
          </w:tcPr>
          <w:p w14:paraId="5BE1FC3A" w14:textId="5C0DF6BB" w:rsidR="007A1A14" w:rsidRPr="00537128" w:rsidRDefault="007A1A14" w:rsidP="007A1A14">
            <w:pPr>
              <w:tabs>
                <w:tab w:val="right" w:pos="1202"/>
              </w:tabs>
              <w:spacing w:after="0" w:line="240" w:lineRule="auto"/>
              <w:jc w:val="right"/>
              <w:outlineLvl w:val="0"/>
              <w:rPr>
                <w:rFonts w:ascii="Calibri" w:hAnsi="Calibri" w:cs="Arial"/>
                <w:bCs/>
                <w:iCs/>
                <w:color w:val="000000" w:themeColor="text1"/>
                <w:sz w:val="20"/>
                <w:szCs w:val="20"/>
                <w:lang w:val="en-US"/>
              </w:rPr>
            </w:pPr>
            <w:r>
              <w:rPr>
                <w:rFonts w:ascii="Calibri" w:eastAsia="Calibri" w:hAnsi="Calibri" w:cs="Arial"/>
                <w:bCs/>
                <w:iCs/>
                <w:color w:val="000000" w:themeColor="text1"/>
                <w:sz w:val="20"/>
                <w:szCs w:val="20"/>
              </w:rPr>
              <w:t>-</w:t>
            </w:r>
          </w:p>
        </w:tc>
        <w:tc>
          <w:tcPr>
            <w:tcW w:w="1389" w:type="dxa"/>
            <w:shd w:val="clear" w:color="auto" w:fill="auto"/>
            <w:vAlign w:val="bottom"/>
          </w:tcPr>
          <w:p w14:paraId="079624B3" w14:textId="1EBF42A5" w:rsidR="007A1A14" w:rsidRPr="00537128" w:rsidRDefault="007A1A14" w:rsidP="007A1A14">
            <w:pPr>
              <w:tabs>
                <w:tab w:val="right" w:pos="1202"/>
              </w:tabs>
              <w:spacing w:after="0" w:line="240" w:lineRule="auto"/>
              <w:jc w:val="right"/>
              <w:outlineLvl w:val="0"/>
              <w:rPr>
                <w:rFonts w:ascii="Calibri" w:hAnsi="Calibri" w:cs="Arial"/>
                <w:bCs/>
                <w:iCs/>
                <w:color w:val="000000" w:themeColor="text1"/>
                <w:sz w:val="20"/>
                <w:szCs w:val="20"/>
                <w:lang w:val="en-US"/>
              </w:rPr>
            </w:pPr>
            <w:r>
              <w:rPr>
                <w:rFonts w:ascii="Calibri" w:eastAsia="Calibri" w:hAnsi="Calibri" w:cs="Arial"/>
                <w:bCs/>
                <w:iCs/>
                <w:color w:val="000000" w:themeColor="text1"/>
                <w:sz w:val="20"/>
                <w:szCs w:val="20"/>
              </w:rPr>
              <w:t>-</w:t>
            </w:r>
          </w:p>
        </w:tc>
      </w:tr>
      <w:tr w:rsidR="007A1A14" w:rsidRPr="00537128" w14:paraId="7D7B2AE8" w14:textId="77777777" w:rsidTr="00A1123E">
        <w:trPr>
          <w:cantSplit/>
          <w:trHeight w:hRule="exact" w:val="301"/>
          <w:jc w:val="center"/>
        </w:trPr>
        <w:tc>
          <w:tcPr>
            <w:tcW w:w="3516" w:type="dxa"/>
            <w:vAlign w:val="bottom"/>
          </w:tcPr>
          <w:p w14:paraId="161A78AD" w14:textId="77777777" w:rsidR="007A1A14" w:rsidRPr="00537128" w:rsidRDefault="007A1A14" w:rsidP="007A1A14">
            <w:pPr>
              <w:tabs>
                <w:tab w:val="right" w:pos="1202"/>
              </w:tabs>
              <w:spacing w:after="0" w:line="240" w:lineRule="auto"/>
              <w:outlineLvl w:val="0"/>
              <w:rPr>
                <w:rFonts w:ascii="Calibri" w:eastAsia="Times New Roman" w:hAnsi="Calibri" w:cs="Arial"/>
                <w:bCs/>
                <w:color w:val="000000" w:themeColor="text1"/>
                <w:sz w:val="20"/>
                <w:szCs w:val="20"/>
                <w:lang w:val="en-US"/>
              </w:rPr>
            </w:pPr>
            <w:r w:rsidRPr="00537128">
              <w:rPr>
                <w:rFonts w:ascii="Calibri" w:eastAsia="Times New Roman" w:hAnsi="Calibri" w:cs="Arial"/>
                <w:color w:val="000000" w:themeColor="text1"/>
                <w:sz w:val="20"/>
                <w:szCs w:val="20"/>
                <w:lang w:val="en-US"/>
              </w:rPr>
              <w:t>Associates</w:t>
            </w:r>
          </w:p>
        </w:tc>
        <w:tc>
          <w:tcPr>
            <w:tcW w:w="1389" w:type="dxa"/>
            <w:shd w:val="clear" w:color="auto" w:fill="auto"/>
            <w:vAlign w:val="bottom"/>
          </w:tcPr>
          <w:p w14:paraId="1094546D" w14:textId="1B1AFC3C" w:rsidR="007A1A14" w:rsidRPr="00537128" w:rsidRDefault="007A1A14" w:rsidP="007A1A14">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w:t>
            </w:r>
          </w:p>
        </w:tc>
        <w:tc>
          <w:tcPr>
            <w:tcW w:w="1389" w:type="dxa"/>
            <w:shd w:val="clear" w:color="auto" w:fill="auto"/>
            <w:vAlign w:val="bottom"/>
          </w:tcPr>
          <w:p w14:paraId="25778954" w14:textId="754B58FE" w:rsidR="007A1A14" w:rsidRPr="00537128" w:rsidRDefault="007A1A14" w:rsidP="007A1A14">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w:t>
            </w:r>
          </w:p>
        </w:tc>
        <w:tc>
          <w:tcPr>
            <w:tcW w:w="1389" w:type="dxa"/>
            <w:shd w:val="clear" w:color="auto" w:fill="auto"/>
            <w:vAlign w:val="bottom"/>
          </w:tcPr>
          <w:p w14:paraId="75DC2A0A" w14:textId="1F321E3B" w:rsidR="007A1A14" w:rsidRPr="00537128" w:rsidRDefault="007A1A14" w:rsidP="007A1A14">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Pr>
                <w:rFonts w:ascii="Calibri" w:eastAsia="Calibri" w:hAnsi="Calibri" w:cs="Arial"/>
                <w:bCs/>
                <w:iCs/>
                <w:color w:val="000000" w:themeColor="text1"/>
                <w:sz w:val="20"/>
                <w:szCs w:val="20"/>
              </w:rPr>
              <w:t>26</w:t>
            </w:r>
          </w:p>
        </w:tc>
        <w:tc>
          <w:tcPr>
            <w:tcW w:w="1389" w:type="dxa"/>
            <w:shd w:val="clear" w:color="auto" w:fill="auto"/>
            <w:vAlign w:val="bottom"/>
          </w:tcPr>
          <w:p w14:paraId="1A45A943" w14:textId="06E71656" w:rsidR="007A1A14" w:rsidRPr="00537128" w:rsidRDefault="007A1A14" w:rsidP="007A1A14">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Pr>
                <w:rFonts w:ascii="Calibri" w:eastAsia="Calibri" w:hAnsi="Calibri" w:cs="Arial"/>
                <w:bCs/>
                <w:iCs/>
                <w:color w:val="000000" w:themeColor="text1"/>
                <w:sz w:val="20"/>
                <w:szCs w:val="20"/>
              </w:rPr>
              <w:t>-</w:t>
            </w:r>
          </w:p>
        </w:tc>
      </w:tr>
      <w:tr w:rsidR="007A1A14" w:rsidRPr="00537128" w14:paraId="19074E48" w14:textId="77777777" w:rsidTr="00A1123E">
        <w:trPr>
          <w:cantSplit/>
          <w:trHeight w:hRule="exact" w:val="301"/>
          <w:jc w:val="center"/>
        </w:trPr>
        <w:tc>
          <w:tcPr>
            <w:tcW w:w="3516" w:type="dxa"/>
            <w:vAlign w:val="bottom"/>
          </w:tcPr>
          <w:p w14:paraId="7929EFA1" w14:textId="77777777" w:rsidR="007A1A14" w:rsidRPr="00537128" w:rsidRDefault="007A1A14" w:rsidP="007A1A14">
            <w:pPr>
              <w:tabs>
                <w:tab w:val="right" w:pos="1202"/>
              </w:tabs>
              <w:spacing w:after="0" w:line="240" w:lineRule="auto"/>
              <w:outlineLvl w:val="0"/>
              <w:rPr>
                <w:rFonts w:ascii="Calibri" w:eastAsia="Times New Roman" w:hAnsi="Calibri" w:cs="Arial"/>
                <w:bCs/>
                <w:color w:val="000000" w:themeColor="text1"/>
                <w:sz w:val="20"/>
                <w:szCs w:val="20"/>
                <w:lang w:val="en-US"/>
              </w:rPr>
            </w:pPr>
            <w:r w:rsidRPr="00537128">
              <w:rPr>
                <w:rFonts w:ascii="Calibri" w:eastAsia="Times New Roman" w:hAnsi="Calibri" w:cs="Arial"/>
                <w:bCs/>
                <w:color w:val="000000" w:themeColor="text1"/>
                <w:sz w:val="20"/>
                <w:szCs w:val="20"/>
                <w:lang w:val="en-US"/>
              </w:rPr>
              <w:t>Key management personnel</w:t>
            </w:r>
          </w:p>
        </w:tc>
        <w:tc>
          <w:tcPr>
            <w:tcW w:w="1389" w:type="dxa"/>
            <w:tcBorders>
              <w:bottom w:val="single" w:sz="4" w:space="0" w:color="000000"/>
            </w:tcBorders>
            <w:shd w:val="clear" w:color="auto" w:fill="auto"/>
            <w:vAlign w:val="bottom"/>
          </w:tcPr>
          <w:p w14:paraId="58DADC50" w14:textId="66A20840" w:rsidR="007A1A14" w:rsidRPr="00537128" w:rsidRDefault="007A1A14" w:rsidP="007A1A14">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17</w:t>
            </w:r>
          </w:p>
        </w:tc>
        <w:tc>
          <w:tcPr>
            <w:tcW w:w="1389" w:type="dxa"/>
            <w:tcBorders>
              <w:bottom w:val="single" w:sz="4" w:space="0" w:color="000000"/>
            </w:tcBorders>
            <w:shd w:val="clear" w:color="auto" w:fill="auto"/>
            <w:vAlign w:val="bottom"/>
          </w:tcPr>
          <w:p w14:paraId="5F42C765" w14:textId="33575A9C" w:rsidR="007A1A14" w:rsidRPr="00537128" w:rsidRDefault="007A1A14" w:rsidP="007A1A14">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1,859</w:t>
            </w:r>
          </w:p>
        </w:tc>
        <w:tc>
          <w:tcPr>
            <w:tcW w:w="1389" w:type="dxa"/>
            <w:tcBorders>
              <w:bottom w:val="single" w:sz="4" w:space="0" w:color="000000"/>
            </w:tcBorders>
            <w:shd w:val="clear" w:color="auto" w:fill="auto"/>
            <w:vAlign w:val="bottom"/>
          </w:tcPr>
          <w:p w14:paraId="1FE861D5" w14:textId="2ED3BA9F" w:rsidR="007A1A14" w:rsidRPr="00537128" w:rsidRDefault="007A1A14" w:rsidP="007A1A14">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Pr>
                <w:rFonts w:ascii="Calibri" w:eastAsia="Calibri" w:hAnsi="Calibri" w:cs="Arial"/>
                <w:bCs/>
                <w:iCs/>
                <w:color w:val="000000" w:themeColor="text1"/>
                <w:sz w:val="20"/>
                <w:szCs w:val="20"/>
              </w:rPr>
              <w:t>3,348</w:t>
            </w:r>
          </w:p>
        </w:tc>
        <w:tc>
          <w:tcPr>
            <w:tcW w:w="1389" w:type="dxa"/>
            <w:tcBorders>
              <w:bottom w:val="single" w:sz="4" w:space="0" w:color="000000"/>
            </w:tcBorders>
            <w:shd w:val="clear" w:color="auto" w:fill="auto"/>
            <w:vAlign w:val="bottom"/>
          </w:tcPr>
          <w:p w14:paraId="30FDF0B0" w14:textId="43DC06CF" w:rsidR="007A1A14" w:rsidRPr="00537128" w:rsidRDefault="007A1A14" w:rsidP="007A1A14">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Pr>
                <w:rFonts w:ascii="Calibri" w:eastAsia="Calibri" w:hAnsi="Calibri" w:cs="Arial"/>
                <w:bCs/>
                <w:iCs/>
                <w:color w:val="000000" w:themeColor="text1"/>
                <w:sz w:val="20"/>
                <w:szCs w:val="20"/>
              </w:rPr>
              <w:t>1,561</w:t>
            </w:r>
          </w:p>
        </w:tc>
      </w:tr>
      <w:tr w:rsidR="007A1A14" w:rsidRPr="00537128" w14:paraId="392193FF" w14:textId="77777777" w:rsidTr="00A1123E">
        <w:trPr>
          <w:cantSplit/>
          <w:trHeight w:hRule="exact" w:val="372"/>
          <w:jc w:val="center"/>
        </w:trPr>
        <w:tc>
          <w:tcPr>
            <w:tcW w:w="3516" w:type="dxa"/>
            <w:vAlign w:val="bottom"/>
          </w:tcPr>
          <w:p w14:paraId="4852D86D" w14:textId="77777777" w:rsidR="007A1A14" w:rsidRPr="00537128" w:rsidRDefault="007A1A14" w:rsidP="007A1A14">
            <w:pPr>
              <w:tabs>
                <w:tab w:val="right" w:pos="1202"/>
              </w:tabs>
              <w:spacing w:after="0" w:line="240" w:lineRule="auto"/>
              <w:outlineLvl w:val="0"/>
              <w:rPr>
                <w:rFonts w:ascii="Calibri" w:eastAsia="Times New Roman" w:hAnsi="Calibri" w:cs="Arial"/>
                <w:b/>
                <w:color w:val="000000" w:themeColor="text1"/>
                <w:sz w:val="20"/>
                <w:szCs w:val="20"/>
                <w:lang w:val="en-US"/>
              </w:rPr>
            </w:pPr>
            <w:r w:rsidRPr="00537128">
              <w:rPr>
                <w:rFonts w:ascii="Calibri" w:eastAsia="Times New Roman" w:hAnsi="Calibri" w:cs="Arial"/>
                <w:b/>
                <w:color w:val="000000" w:themeColor="text1"/>
                <w:sz w:val="20"/>
                <w:szCs w:val="20"/>
                <w:lang w:val="en-US"/>
              </w:rPr>
              <w:t>Total</w:t>
            </w:r>
          </w:p>
        </w:tc>
        <w:tc>
          <w:tcPr>
            <w:tcW w:w="1389" w:type="dxa"/>
            <w:tcBorders>
              <w:top w:val="single" w:sz="4" w:space="0" w:color="auto"/>
              <w:bottom w:val="single" w:sz="12" w:space="0" w:color="auto"/>
              <w:right w:val="nil"/>
            </w:tcBorders>
            <w:shd w:val="clear" w:color="auto" w:fill="auto"/>
            <w:vAlign w:val="bottom"/>
          </w:tcPr>
          <w:p w14:paraId="2D45B73F" w14:textId="4BFE42FA" w:rsidR="007A1A14" w:rsidRPr="00537128" w:rsidRDefault="007A1A14" w:rsidP="007A1A14">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Pr>
                <w:rFonts w:ascii="Calibri" w:eastAsia="Calibri" w:hAnsi="Calibri"/>
                <w:b/>
                <w:bCs/>
                <w:color w:val="000000" w:themeColor="text1"/>
                <w:sz w:val="20"/>
                <w:szCs w:val="20"/>
              </w:rPr>
              <w:t>46,216</w:t>
            </w:r>
          </w:p>
        </w:tc>
        <w:tc>
          <w:tcPr>
            <w:tcW w:w="1389" w:type="dxa"/>
            <w:tcBorders>
              <w:top w:val="single" w:sz="4" w:space="0" w:color="auto"/>
              <w:left w:val="nil"/>
              <w:bottom w:val="single" w:sz="12" w:space="0" w:color="auto"/>
              <w:right w:val="nil"/>
            </w:tcBorders>
            <w:shd w:val="clear" w:color="auto" w:fill="auto"/>
            <w:vAlign w:val="bottom"/>
          </w:tcPr>
          <w:p w14:paraId="6693CA12" w14:textId="1269F56D" w:rsidR="007A1A14" w:rsidRPr="00537128" w:rsidRDefault="007A1A14" w:rsidP="007A1A14">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Pr>
                <w:rFonts w:ascii="Calibri" w:eastAsia="Calibri" w:hAnsi="Calibri"/>
                <w:b/>
                <w:bCs/>
                <w:color w:val="000000" w:themeColor="text1"/>
                <w:sz w:val="20"/>
                <w:szCs w:val="20"/>
              </w:rPr>
              <w:t>14,009</w:t>
            </w:r>
          </w:p>
        </w:tc>
        <w:tc>
          <w:tcPr>
            <w:tcW w:w="1389" w:type="dxa"/>
            <w:tcBorders>
              <w:top w:val="single" w:sz="4" w:space="0" w:color="auto"/>
              <w:bottom w:val="single" w:sz="12" w:space="0" w:color="auto"/>
              <w:right w:val="nil"/>
            </w:tcBorders>
            <w:shd w:val="clear" w:color="auto" w:fill="auto"/>
            <w:vAlign w:val="bottom"/>
          </w:tcPr>
          <w:p w14:paraId="4EBBFABE" w14:textId="2C502C73" w:rsidR="007A1A14" w:rsidRPr="00537128" w:rsidRDefault="007A1A14" w:rsidP="007A1A14">
            <w:pPr>
              <w:tabs>
                <w:tab w:val="right" w:pos="1202"/>
              </w:tabs>
              <w:spacing w:after="0" w:line="240" w:lineRule="auto"/>
              <w:jc w:val="right"/>
              <w:outlineLvl w:val="0"/>
              <w:rPr>
                <w:b/>
                <w:color w:val="000000" w:themeColor="text1"/>
                <w:sz w:val="20"/>
                <w:szCs w:val="20"/>
                <w:lang w:val="en-US"/>
              </w:rPr>
            </w:pPr>
            <w:r>
              <w:rPr>
                <w:rFonts w:ascii="Calibri" w:eastAsia="Calibri" w:hAnsi="Calibri"/>
                <w:b/>
                <w:bCs/>
                <w:color w:val="000000" w:themeColor="text1"/>
                <w:sz w:val="20"/>
                <w:szCs w:val="20"/>
              </w:rPr>
              <w:t>54,294</w:t>
            </w:r>
          </w:p>
        </w:tc>
        <w:tc>
          <w:tcPr>
            <w:tcW w:w="1389" w:type="dxa"/>
            <w:tcBorders>
              <w:top w:val="single" w:sz="4" w:space="0" w:color="auto"/>
              <w:left w:val="nil"/>
              <w:bottom w:val="single" w:sz="12" w:space="0" w:color="auto"/>
              <w:right w:val="nil"/>
            </w:tcBorders>
            <w:shd w:val="clear" w:color="auto" w:fill="auto"/>
            <w:vAlign w:val="bottom"/>
          </w:tcPr>
          <w:p w14:paraId="1C8F1B93" w14:textId="37E45702" w:rsidR="007A1A14" w:rsidRPr="00537128" w:rsidRDefault="007A1A14" w:rsidP="007A1A14">
            <w:pPr>
              <w:tabs>
                <w:tab w:val="right" w:pos="1202"/>
              </w:tabs>
              <w:spacing w:after="0" w:line="240" w:lineRule="auto"/>
              <w:jc w:val="right"/>
              <w:outlineLvl w:val="0"/>
              <w:rPr>
                <w:b/>
                <w:color w:val="000000" w:themeColor="text1"/>
                <w:sz w:val="20"/>
                <w:szCs w:val="20"/>
                <w:lang w:val="en-US"/>
              </w:rPr>
            </w:pPr>
            <w:r>
              <w:rPr>
                <w:rFonts w:ascii="Calibri" w:eastAsia="Calibri" w:hAnsi="Calibri"/>
                <w:b/>
                <w:bCs/>
                <w:color w:val="000000" w:themeColor="text1"/>
                <w:sz w:val="20"/>
                <w:szCs w:val="20"/>
              </w:rPr>
              <w:t>20,359</w:t>
            </w:r>
          </w:p>
        </w:tc>
      </w:tr>
    </w:tbl>
    <w:p w14:paraId="0F48E57C" w14:textId="6CB3C483" w:rsidR="00D626F4" w:rsidRPr="00537128" w:rsidRDefault="00D626F4" w:rsidP="00D626F4">
      <w:pPr>
        <w:spacing w:after="0" w:line="240" w:lineRule="auto"/>
        <w:jc w:val="both"/>
        <w:rPr>
          <w:rFonts w:ascii="Calibri" w:eastAsia="Times New Roman" w:hAnsi="Calibri" w:cs="Arial"/>
          <w:b/>
          <w:color w:val="000000" w:themeColor="text1"/>
          <w:sz w:val="24"/>
          <w:szCs w:val="24"/>
          <w:lang w:val="en-US"/>
        </w:rPr>
      </w:pPr>
    </w:p>
    <w:p w14:paraId="0A6BE921" w14:textId="77777777" w:rsidR="00D626F4" w:rsidRPr="00537128" w:rsidRDefault="00D626F4" w:rsidP="00D626F4">
      <w:pPr>
        <w:tabs>
          <w:tab w:val="right" w:pos="1202"/>
          <w:tab w:val="left" w:pos="9180"/>
        </w:tabs>
        <w:spacing w:after="0" w:line="240" w:lineRule="auto"/>
        <w:jc w:val="both"/>
        <w:outlineLvl w:val="0"/>
        <w:rPr>
          <w:rFonts w:ascii="Calibri" w:eastAsia="Times New Roman" w:hAnsi="Calibri" w:cs="Arial"/>
          <w:color w:val="000000" w:themeColor="text1"/>
          <w:lang w:val="en-US"/>
        </w:rPr>
      </w:pPr>
      <w:bookmarkStart w:id="579" w:name="_Toc4060440"/>
      <w:r w:rsidRPr="00537128">
        <w:rPr>
          <w:rFonts w:ascii="Calibri" w:eastAsia="Times New Roman" w:hAnsi="Calibri" w:cs="Arial"/>
          <w:color w:val="000000" w:themeColor="text1"/>
          <w:lang w:val="en-US"/>
        </w:rPr>
        <w:t>Assets include loans to other customers, debt instruments at amorti</w:t>
      </w:r>
      <w:r w:rsidR="00EE2384" w:rsidRPr="00537128">
        <w:rPr>
          <w:rFonts w:ascii="Calibri" w:eastAsia="Times New Roman" w:hAnsi="Calibri" w:cs="Arial"/>
          <w:color w:val="000000" w:themeColor="text1"/>
          <w:lang w:val="en-US"/>
        </w:rPr>
        <w:t>z</w:t>
      </w:r>
      <w:r w:rsidRPr="00537128">
        <w:rPr>
          <w:rFonts w:ascii="Calibri" w:eastAsia="Times New Roman" w:hAnsi="Calibri" w:cs="Arial"/>
          <w:color w:val="000000" w:themeColor="text1"/>
          <w:lang w:val="en-US"/>
        </w:rPr>
        <w:t>ed cost, financial assets at fair value through other comprehensive income, other assets and off-balance sheet exposure relating to commitments.</w:t>
      </w:r>
      <w:bookmarkEnd w:id="579"/>
    </w:p>
    <w:p w14:paraId="68DB4272" w14:textId="77777777" w:rsidR="00D626F4" w:rsidRPr="00537128" w:rsidRDefault="00D626F4" w:rsidP="00D626F4">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3E90F6BE" w14:textId="77777777" w:rsidR="00D626F4" w:rsidRPr="00537128" w:rsidRDefault="00D626F4" w:rsidP="00D626F4">
      <w:pPr>
        <w:spacing w:after="0" w:line="240" w:lineRule="auto"/>
        <w:jc w:val="both"/>
        <w:rPr>
          <w:rFonts w:ascii="Calibri" w:eastAsia="Calibri" w:hAnsi="Calibri" w:cs="Times New Roman"/>
          <w:color w:val="000000" w:themeColor="text1"/>
          <w:lang w:val="en-US"/>
        </w:rPr>
      </w:pPr>
      <w:bookmarkStart w:id="580" w:name="_Hlk3201926"/>
      <w:r w:rsidRPr="00537128">
        <w:rPr>
          <w:rFonts w:ascii="Calibri" w:eastAsia="Calibri" w:hAnsi="Calibri" w:cs="Times New Roman"/>
          <w:color w:val="000000" w:themeColor="text1"/>
          <w:lang w:val="en-US"/>
        </w:rPr>
        <w:t>Liabilities include liabilities for deposits, salaries, provisions on behalf of retirement and jubilee awards of key management and other liabilities.</w:t>
      </w:r>
    </w:p>
    <w:bookmarkEnd w:id="580"/>
    <w:p w14:paraId="5A569D01" w14:textId="77777777" w:rsidR="00D626F4" w:rsidRPr="00537128" w:rsidRDefault="00D626F4" w:rsidP="00D626F4">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47D2223A" w14:textId="77777777" w:rsidR="00D626F4" w:rsidRPr="00537128" w:rsidRDefault="00D626F4" w:rsidP="00D626F4">
      <w:pPr>
        <w:tabs>
          <w:tab w:val="right" w:pos="1202"/>
          <w:tab w:val="left" w:pos="9180"/>
        </w:tabs>
        <w:spacing w:after="0" w:line="240" w:lineRule="auto"/>
        <w:outlineLvl w:val="0"/>
        <w:rPr>
          <w:rFonts w:ascii="Calibri" w:eastAsia="Times New Roman" w:hAnsi="Calibri" w:cs="Arial"/>
          <w:color w:val="000000" w:themeColor="text1"/>
          <w:lang w:val="en-US"/>
        </w:rPr>
      </w:pPr>
      <w:bookmarkStart w:id="581" w:name="_Toc4060441"/>
      <w:r w:rsidRPr="00537128">
        <w:rPr>
          <w:rFonts w:ascii="Calibri" w:eastAsia="Times New Roman" w:hAnsi="Calibri" w:cs="Arial"/>
          <w:color w:val="000000" w:themeColor="text1"/>
          <w:lang w:val="en-US"/>
        </w:rPr>
        <w:t>Income includes interest income, fee income and reversal of impairment losses and provisions.</w:t>
      </w:r>
      <w:bookmarkEnd w:id="581"/>
      <w:r w:rsidRPr="00537128">
        <w:rPr>
          <w:rFonts w:ascii="Calibri" w:eastAsia="Times New Roman" w:hAnsi="Calibri" w:cs="Arial"/>
          <w:color w:val="000000" w:themeColor="text1"/>
          <w:lang w:val="en-US"/>
        </w:rPr>
        <w:t xml:space="preserve"> </w:t>
      </w:r>
    </w:p>
    <w:p w14:paraId="6377F65E" w14:textId="77777777" w:rsidR="00D626F4" w:rsidRPr="00537128" w:rsidRDefault="00D626F4" w:rsidP="00D626F4">
      <w:pPr>
        <w:tabs>
          <w:tab w:val="right" w:pos="1202"/>
          <w:tab w:val="left" w:pos="9180"/>
        </w:tabs>
        <w:spacing w:after="0" w:line="240" w:lineRule="auto"/>
        <w:outlineLvl w:val="0"/>
        <w:rPr>
          <w:rFonts w:ascii="Calibri" w:eastAsia="Times New Roman" w:hAnsi="Calibri" w:cs="Arial"/>
          <w:color w:val="000000" w:themeColor="text1"/>
          <w:lang w:val="en-US"/>
        </w:rPr>
      </w:pPr>
    </w:p>
    <w:p w14:paraId="0C335230" w14:textId="77777777" w:rsidR="00D626F4" w:rsidRPr="00537128" w:rsidRDefault="00D626F4" w:rsidP="00D626F4">
      <w:pPr>
        <w:tabs>
          <w:tab w:val="left" w:pos="-1843"/>
        </w:tabs>
        <w:spacing w:after="0" w:line="240" w:lineRule="auto"/>
        <w:jc w:val="both"/>
        <w:rPr>
          <w:rFonts w:ascii="Calibri" w:eastAsia="Calibri" w:hAnsi="Calibri" w:cs="Times New Roman"/>
          <w:color w:val="000000" w:themeColor="text1"/>
          <w:lang w:val="en-US"/>
        </w:rPr>
      </w:pPr>
      <w:r w:rsidRPr="00537128">
        <w:rPr>
          <w:rFonts w:ascii="Calibri" w:eastAsia="Calibri" w:hAnsi="Calibri" w:cs="Times New Roman"/>
          <w:color w:val="000000" w:themeColor="text1"/>
          <w:lang w:val="en-US"/>
        </w:rPr>
        <w:t>Expenses include expenses for key management salaries, impairment loss and provisions.</w:t>
      </w:r>
    </w:p>
    <w:p w14:paraId="27E4AD57" w14:textId="77777777" w:rsidR="00C84B9E" w:rsidRPr="00537128" w:rsidRDefault="00C84B9E" w:rsidP="00D626F4">
      <w:pPr>
        <w:tabs>
          <w:tab w:val="left" w:pos="-1843"/>
        </w:tabs>
        <w:spacing w:after="0" w:line="240" w:lineRule="auto"/>
        <w:jc w:val="both"/>
        <w:rPr>
          <w:rFonts w:ascii="Calibri" w:eastAsia="Calibri" w:hAnsi="Calibri" w:cs="Times New Roman"/>
          <w:color w:val="000000" w:themeColor="text1"/>
          <w:lang w:val="en-US"/>
        </w:rPr>
      </w:pPr>
    </w:p>
    <w:p w14:paraId="0ADABB66" w14:textId="77777777" w:rsidR="00D626F4" w:rsidRPr="00537128" w:rsidRDefault="00D626F4" w:rsidP="00D626F4">
      <w:pPr>
        <w:tabs>
          <w:tab w:val="left" w:pos="-1843"/>
        </w:tabs>
        <w:spacing w:after="0" w:line="240" w:lineRule="auto"/>
        <w:jc w:val="both"/>
        <w:rPr>
          <w:rFonts w:ascii="Calibri" w:eastAsia="Calibri" w:hAnsi="Calibri" w:cs="Times New Roman"/>
          <w:color w:val="000000" w:themeColor="text1"/>
          <w:lang w:val="en-US"/>
        </w:rPr>
      </w:pPr>
    </w:p>
    <w:p w14:paraId="0453F4E7" w14:textId="77777777" w:rsidR="00D626F4" w:rsidRPr="00537128" w:rsidRDefault="00D626F4" w:rsidP="00D626F4">
      <w:pPr>
        <w:tabs>
          <w:tab w:val="left" w:pos="-1843"/>
        </w:tabs>
        <w:spacing w:after="0" w:line="240" w:lineRule="auto"/>
        <w:jc w:val="both"/>
        <w:rPr>
          <w:rFonts w:eastAsia="Calibri" w:cs="Arial"/>
          <w:color w:val="000000" w:themeColor="text1"/>
          <w:lang w:val="en-US"/>
        </w:rPr>
        <w:sectPr w:rsidR="00D626F4" w:rsidRPr="00537128">
          <w:pgSz w:w="11906" w:h="16838"/>
          <w:pgMar w:top="1417" w:right="1417" w:bottom="1417" w:left="1417" w:header="708" w:footer="708" w:gutter="0"/>
          <w:cols w:space="708"/>
          <w:docGrid w:linePitch="360"/>
        </w:sectPr>
      </w:pPr>
    </w:p>
    <w:p w14:paraId="23E6E1EA" w14:textId="77777777" w:rsidR="00D626F4" w:rsidRPr="00537128" w:rsidRDefault="00D626F4" w:rsidP="00D626F4">
      <w:pPr>
        <w:tabs>
          <w:tab w:val="right" w:pos="1202"/>
          <w:tab w:val="left" w:pos="9180"/>
        </w:tabs>
        <w:spacing w:after="0" w:line="240" w:lineRule="exact"/>
        <w:jc w:val="both"/>
        <w:outlineLvl w:val="0"/>
        <w:rPr>
          <w:rFonts w:ascii="Calibri" w:eastAsia="Times New Roman" w:hAnsi="Calibri" w:cs="Arial"/>
          <w:color w:val="000000" w:themeColor="text1"/>
          <w:lang w:val="en-US"/>
        </w:rPr>
      </w:pPr>
    </w:p>
    <w:p w14:paraId="6B7596FC" w14:textId="1E2CE7A2" w:rsidR="00D626F4" w:rsidRPr="00A1123E" w:rsidRDefault="00997066" w:rsidP="00A1123E">
      <w:pPr>
        <w:tabs>
          <w:tab w:val="left" w:pos="-1843"/>
        </w:tabs>
        <w:suppressAutoHyphens/>
        <w:spacing w:after="0"/>
        <w:rPr>
          <w:rFonts w:cs="Arial"/>
          <w:b/>
          <w:color w:val="000000" w:themeColor="text1"/>
          <w:spacing w:val="-3"/>
          <w:lang w:val="en-US"/>
        </w:rPr>
      </w:pPr>
      <w:r>
        <w:rPr>
          <w:rFonts w:cs="Arial"/>
          <w:b/>
          <w:color w:val="000000" w:themeColor="text1"/>
          <w:spacing w:val="-3"/>
          <w:lang w:val="en-US"/>
        </w:rPr>
        <w:t>22.</w:t>
      </w:r>
      <w:r>
        <w:rPr>
          <w:rFonts w:cs="Arial"/>
          <w:b/>
          <w:color w:val="000000" w:themeColor="text1"/>
          <w:spacing w:val="-3"/>
          <w:lang w:val="en-US"/>
        </w:rPr>
        <w:tab/>
      </w:r>
      <w:r w:rsidR="00D626F4" w:rsidRPr="00A1123E">
        <w:rPr>
          <w:rFonts w:cs="Arial"/>
          <w:b/>
          <w:color w:val="000000" w:themeColor="text1"/>
          <w:spacing w:val="-3"/>
          <w:lang w:val="en-US"/>
        </w:rPr>
        <w:t>Related-party transactions (continued)</w:t>
      </w:r>
    </w:p>
    <w:p w14:paraId="192E3E9B" w14:textId="77777777" w:rsidR="001D7A01" w:rsidRPr="00537128" w:rsidRDefault="001D7A01" w:rsidP="001D7A01">
      <w:pPr>
        <w:tabs>
          <w:tab w:val="left" w:pos="-1843"/>
        </w:tabs>
        <w:suppressAutoHyphens/>
        <w:spacing w:after="0"/>
        <w:rPr>
          <w:rFonts w:cs="Arial"/>
          <w:b/>
          <w:color w:val="000000" w:themeColor="text1"/>
          <w:spacing w:val="-3"/>
          <w:lang w:val="en-US"/>
        </w:rPr>
      </w:pPr>
    </w:p>
    <w:p w14:paraId="1E2479EE" w14:textId="77777777" w:rsidR="00D626F4" w:rsidRPr="00537128" w:rsidRDefault="00D626F4" w:rsidP="00D626F4">
      <w:pPr>
        <w:pStyle w:val="TT"/>
        <w:tabs>
          <w:tab w:val="left" w:pos="426"/>
        </w:tabs>
        <w:spacing w:line="240" w:lineRule="auto"/>
        <w:ind w:left="567" w:hanging="567"/>
        <w:rPr>
          <w:rFonts w:asciiTheme="minorHAnsi" w:hAnsiTheme="minorHAnsi" w:cs="Arial"/>
          <w:color w:val="000000" w:themeColor="text1"/>
          <w:sz w:val="22"/>
          <w:szCs w:val="22"/>
          <w:lang w:val="en-US"/>
        </w:rPr>
      </w:pPr>
      <w:bookmarkStart w:id="582" w:name="_Toc4060442"/>
      <w:r w:rsidRPr="00537128">
        <w:rPr>
          <w:rFonts w:asciiTheme="minorHAnsi" w:hAnsiTheme="minorHAnsi" w:cs="Arial"/>
          <w:color w:val="000000" w:themeColor="text1"/>
          <w:sz w:val="22"/>
          <w:szCs w:val="22"/>
          <w:lang w:val="en-US"/>
        </w:rPr>
        <w:t>b)</w:t>
      </w:r>
      <w:r w:rsidRPr="00537128">
        <w:rPr>
          <w:rFonts w:asciiTheme="minorHAnsi" w:hAnsiTheme="minorHAnsi" w:cs="Arial"/>
          <w:color w:val="000000" w:themeColor="text1"/>
          <w:sz w:val="22"/>
          <w:szCs w:val="22"/>
          <w:lang w:val="en-US"/>
        </w:rPr>
        <w:tab/>
        <w:t>Collateral received</w:t>
      </w:r>
      <w:bookmarkEnd w:id="582"/>
    </w:p>
    <w:p w14:paraId="78666D15" w14:textId="3EDDD38F" w:rsidR="00D626F4" w:rsidRPr="00537128" w:rsidRDefault="00D626F4" w:rsidP="00D626F4">
      <w:pPr>
        <w:pStyle w:val="TT"/>
        <w:tabs>
          <w:tab w:val="left" w:pos="426"/>
        </w:tabs>
        <w:spacing w:line="240" w:lineRule="auto"/>
        <w:ind w:left="567" w:hanging="567"/>
        <w:rPr>
          <w:rFonts w:asciiTheme="minorHAnsi" w:hAnsiTheme="minorHAnsi" w:cs="Arial"/>
          <w:color w:val="000000" w:themeColor="text1"/>
          <w:sz w:val="22"/>
          <w:szCs w:val="22"/>
          <w:lang w:val="en-US"/>
        </w:rPr>
      </w:pPr>
    </w:p>
    <w:tbl>
      <w:tblPr>
        <w:tblW w:w="5000" w:type="pct"/>
        <w:tblCellMar>
          <w:left w:w="56" w:type="dxa"/>
          <w:right w:w="56" w:type="dxa"/>
        </w:tblCellMar>
        <w:tblLook w:val="00A0" w:firstRow="1" w:lastRow="0" w:firstColumn="1" w:lastColumn="0" w:noHBand="0" w:noVBand="0"/>
      </w:tblPr>
      <w:tblGrid>
        <w:gridCol w:w="2886"/>
        <w:gridCol w:w="1546"/>
        <w:gridCol w:w="1546"/>
        <w:gridCol w:w="1546"/>
        <w:gridCol w:w="1548"/>
      </w:tblGrid>
      <w:tr w:rsidR="00F86C52" w:rsidRPr="00537128" w14:paraId="457DD8BB" w14:textId="77777777" w:rsidTr="00F86C52">
        <w:trPr>
          <w:trHeight w:val="204"/>
        </w:trPr>
        <w:tc>
          <w:tcPr>
            <w:tcW w:w="1591" w:type="pct"/>
            <w:vAlign w:val="bottom"/>
          </w:tcPr>
          <w:p w14:paraId="08B91054" w14:textId="77777777" w:rsidR="00F86C52" w:rsidRPr="00537128" w:rsidRDefault="00F86C52" w:rsidP="00F86C52">
            <w:pPr>
              <w:tabs>
                <w:tab w:val="right" w:pos="1202"/>
              </w:tabs>
              <w:spacing w:after="0" w:line="301" w:lineRule="exact"/>
              <w:jc w:val="right"/>
              <w:outlineLvl w:val="0"/>
              <w:rPr>
                <w:rFonts w:ascii="Calibri" w:eastAsia="Times New Roman" w:hAnsi="Calibri" w:cs="Arial"/>
                <w:lang w:val="en-US"/>
              </w:rPr>
            </w:pPr>
          </w:p>
        </w:tc>
        <w:tc>
          <w:tcPr>
            <w:tcW w:w="852" w:type="pct"/>
          </w:tcPr>
          <w:p w14:paraId="3EB409E2" w14:textId="77777777" w:rsidR="00F86C52" w:rsidRPr="00537128" w:rsidRDefault="00F86C52" w:rsidP="00F86C52">
            <w:pPr>
              <w:tabs>
                <w:tab w:val="right" w:pos="1202"/>
              </w:tabs>
              <w:spacing w:after="0" w:line="240" w:lineRule="atLeast"/>
              <w:jc w:val="right"/>
              <w:outlineLvl w:val="0"/>
              <w:rPr>
                <w:rFonts w:ascii="Calibri" w:eastAsia="Times New Roman" w:hAnsi="Calibri" w:cs="Arial"/>
                <w:b/>
                <w:lang w:val="en-US"/>
              </w:rPr>
            </w:pPr>
          </w:p>
        </w:tc>
        <w:tc>
          <w:tcPr>
            <w:tcW w:w="852" w:type="pct"/>
            <w:hideMark/>
          </w:tcPr>
          <w:p w14:paraId="1BEBF2C1" w14:textId="77777777" w:rsidR="00F86C52" w:rsidRPr="00537128" w:rsidRDefault="00F86C52" w:rsidP="00F86C52">
            <w:pPr>
              <w:tabs>
                <w:tab w:val="right" w:pos="1202"/>
              </w:tabs>
              <w:spacing w:after="0" w:line="240" w:lineRule="atLeast"/>
              <w:jc w:val="right"/>
              <w:outlineLvl w:val="0"/>
              <w:rPr>
                <w:rFonts w:ascii="Calibri" w:eastAsia="Times New Roman" w:hAnsi="Calibri" w:cs="Arial"/>
                <w:b/>
                <w:lang w:val="en-US"/>
              </w:rPr>
            </w:pPr>
            <w:bookmarkStart w:id="583" w:name="_Toc4060443"/>
            <w:r w:rsidRPr="00537128">
              <w:rPr>
                <w:rFonts w:ascii="Calibri" w:eastAsia="Times New Roman" w:hAnsi="Calibri" w:cs="Arial"/>
                <w:b/>
                <w:lang w:val="en-US"/>
              </w:rPr>
              <w:t>Group</w:t>
            </w:r>
            <w:bookmarkEnd w:id="583"/>
          </w:p>
        </w:tc>
        <w:tc>
          <w:tcPr>
            <w:tcW w:w="852" w:type="pct"/>
          </w:tcPr>
          <w:p w14:paraId="45CC8CD0" w14:textId="77777777" w:rsidR="00F86C52" w:rsidRPr="00537128" w:rsidRDefault="00F86C52" w:rsidP="00F86C52">
            <w:pPr>
              <w:tabs>
                <w:tab w:val="right" w:pos="1202"/>
              </w:tabs>
              <w:spacing w:after="0" w:line="240" w:lineRule="atLeast"/>
              <w:jc w:val="right"/>
              <w:outlineLvl w:val="0"/>
              <w:rPr>
                <w:rFonts w:ascii="Calibri" w:eastAsia="Times New Roman" w:hAnsi="Calibri" w:cs="Arial"/>
                <w:b/>
                <w:lang w:val="en-US"/>
              </w:rPr>
            </w:pPr>
          </w:p>
        </w:tc>
        <w:tc>
          <w:tcPr>
            <w:tcW w:w="853" w:type="pct"/>
            <w:hideMark/>
          </w:tcPr>
          <w:p w14:paraId="5342D1F7" w14:textId="77777777" w:rsidR="00F86C52" w:rsidRPr="00537128" w:rsidRDefault="00F86C52" w:rsidP="00F86C52">
            <w:pPr>
              <w:tabs>
                <w:tab w:val="right" w:pos="1202"/>
              </w:tabs>
              <w:spacing w:after="0" w:line="240" w:lineRule="atLeast"/>
              <w:jc w:val="right"/>
              <w:outlineLvl w:val="0"/>
              <w:rPr>
                <w:rFonts w:ascii="Calibri" w:eastAsia="Times New Roman" w:hAnsi="Calibri" w:cs="Arial"/>
                <w:b/>
                <w:lang w:val="en-US"/>
              </w:rPr>
            </w:pPr>
            <w:bookmarkStart w:id="584" w:name="_Toc4060444"/>
            <w:r w:rsidRPr="00537128">
              <w:rPr>
                <w:rFonts w:ascii="Calibri" w:eastAsia="Times New Roman" w:hAnsi="Calibri" w:cs="Arial"/>
                <w:b/>
                <w:lang w:val="en-US"/>
              </w:rPr>
              <w:t>Bank</w:t>
            </w:r>
            <w:bookmarkEnd w:id="584"/>
          </w:p>
        </w:tc>
      </w:tr>
      <w:tr w:rsidR="00F86C52" w:rsidRPr="00537128" w14:paraId="1DDE4DB3" w14:textId="77777777" w:rsidTr="00F86C52">
        <w:trPr>
          <w:trHeight w:val="179"/>
        </w:trPr>
        <w:tc>
          <w:tcPr>
            <w:tcW w:w="1591" w:type="pct"/>
            <w:vAlign w:val="bottom"/>
          </w:tcPr>
          <w:p w14:paraId="07F05C46" w14:textId="77777777" w:rsidR="00F86C52" w:rsidRPr="00537128" w:rsidRDefault="00F86C52" w:rsidP="00F86C52">
            <w:pPr>
              <w:tabs>
                <w:tab w:val="right" w:pos="1202"/>
              </w:tabs>
              <w:spacing w:after="0" w:line="301" w:lineRule="exact"/>
              <w:jc w:val="right"/>
              <w:outlineLvl w:val="0"/>
              <w:rPr>
                <w:rFonts w:ascii="Calibri" w:eastAsia="Times New Roman" w:hAnsi="Calibri" w:cs="Arial"/>
                <w:lang w:val="en-US"/>
              </w:rPr>
            </w:pPr>
          </w:p>
        </w:tc>
        <w:tc>
          <w:tcPr>
            <w:tcW w:w="852" w:type="pct"/>
            <w:hideMark/>
          </w:tcPr>
          <w:p w14:paraId="5EC92415" w14:textId="77777777" w:rsidR="00F86C52" w:rsidRPr="00537128" w:rsidRDefault="00F86C52" w:rsidP="00F86C52">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 xml:space="preserve">31 March </w:t>
            </w:r>
          </w:p>
          <w:p w14:paraId="2B1090D8" w14:textId="0780DEEF" w:rsidR="00F86C52" w:rsidRPr="00537128" w:rsidRDefault="00F86C52" w:rsidP="00F86C52">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202</w:t>
            </w:r>
            <w:r w:rsidR="00462962">
              <w:rPr>
                <w:rFonts w:ascii="Calibri" w:eastAsia="Times New Roman" w:hAnsi="Calibri" w:cs="Arial"/>
                <w:b/>
                <w:lang w:val="en-US"/>
              </w:rPr>
              <w:t>2</w:t>
            </w:r>
          </w:p>
        </w:tc>
        <w:tc>
          <w:tcPr>
            <w:tcW w:w="852" w:type="pct"/>
            <w:hideMark/>
          </w:tcPr>
          <w:p w14:paraId="359176C7" w14:textId="5A44D38E" w:rsidR="00F86C52" w:rsidRPr="00537128" w:rsidRDefault="00F86C52" w:rsidP="00F86C52">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31 December 202</w:t>
            </w:r>
            <w:r w:rsidR="00462962">
              <w:rPr>
                <w:rFonts w:ascii="Calibri" w:eastAsia="Times New Roman" w:hAnsi="Calibri" w:cs="Arial"/>
                <w:b/>
                <w:lang w:val="en-US"/>
              </w:rPr>
              <w:t>1</w:t>
            </w:r>
          </w:p>
        </w:tc>
        <w:tc>
          <w:tcPr>
            <w:tcW w:w="852" w:type="pct"/>
            <w:hideMark/>
          </w:tcPr>
          <w:p w14:paraId="5A373B5F" w14:textId="77777777" w:rsidR="00F86C52" w:rsidRPr="00537128" w:rsidRDefault="00F86C52" w:rsidP="00F86C52">
            <w:pPr>
              <w:tabs>
                <w:tab w:val="right" w:pos="1202"/>
              </w:tabs>
              <w:spacing w:after="0" w:line="240" w:lineRule="atLeast"/>
              <w:jc w:val="right"/>
              <w:outlineLvl w:val="0"/>
              <w:rPr>
                <w:rFonts w:ascii="Calibri" w:eastAsia="Times New Roman" w:hAnsi="Calibri" w:cs="Arial"/>
                <w:b/>
                <w:lang w:val="en-US"/>
              </w:rPr>
            </w:pPr>
            <w:bookmarkStart w:id="585" w:name="_Toc4060446"/>
            <w:r w:rsidRPr="00537128">
              <w:rPr>
                <w:rFonts w:ascii="Calibri" w:eastAsia="Times New Roman" w:hAnsi="Calibri" w:cs="Arial"/>
                <w:b/>
                <w:lang w:val="en-US"/>
              </w:rPr>
              <w:t xml:space="preserve">31 March </w:t>
            </w:r>
            <w:bookmarkEnd w:id="585"/>
          </w:p>
          <w:p w14:paraId="28866EA3" w14:textId="27BAA6EC" w:rsidR="00F86C52" w:rsidRPr="00537128" w:rsidRDefault="00F86C52" w:rsidP="00F86C52">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202</w:t>
            </w:r>
            <w:r w:rsidR="00462962">
              <w:rPr>
                <w:rFonts w:ascii="Calibri" w:eastAsia="Times New Roman" w:hAnsi="Calibri" w:cs="Arial"/>
                <w:b/>
                <w:lang w:val="en-US"/>
              </w:rPr>
              <w:t>2</w:t>
            </w:r>
          </w:p>
        </w:tc>
        <w:tc>
          <w:tcPr>
            <w:tcW w:w="853" w:type="pct"/>
            <w:hideMark/>
          </w:tcPr>
          <w:p w14:paraId="484F1B7C" w14:textId="78E30CFD" w:rsidR="00F86C52" w:rsidRPr="00537128" w:rsidRDefault="00F86C52" w:rsidP="00F86C52">
            <w:pPr>
              <w:tabs>
                <w:tab w:val="right" w:pos="1202"/>
              </w:tabs>
              <w:spacing w:after="0" w:line="240" w:lineRule="atLeast"/>
              <w:jc w:val="right"/>
              <w:outlineLvl w:val="0"/>
              <w:rPr>
                <w:rFonts w:ascii="Calibri" w:eastAsia="Times New Roman" w:hAnsi="Calibri" w:cs="Arial"/>
                <w:b/>
                <w:lang w:val="en-US"/>
              </w:rPr>
            </w:pPr>
            <w:bookmarkStart w:id="586" w:name="_Toc4060447"/>
            <w:r w:rsidRPr="00537128">
              <w:rPr>
                <w:rFonts w:ascii="Calibri" w:eastAsia="Times New Roman" w:hAnsi="Calibri" w:cs="Arial"/>
                <w:b/>
                <w:lang w:val="en-US"/>
              </w:rPr>
              <w:t>31 December 202</w:t>
            </w:r>
            <w:bookmarkEnd w:id="586"/>
            <w:r w:rsidR="00462962">
              <w:rPr>
                <w:rFonts w:ascii="Calibri" w:eastAsia="Times New Roman" w:hAnsi="Calibri" w:cs="Arial"/>
                <w:b/>
                <w:lang w:val="en-US"/>
              </w:rPr>
              <w:t>1</w:t>
            </w:r>
          </w:p>
        </w:tc>
      </w:tr>
      <w:tr w:rsidR="00F86C52" w:rsidRPr="00537128" w14:paraId="25D8E402" w14:textId="77777777" w:rsidTr="00F86C52">
        <w:tc>
          <w:tcPr>
            <w:tcW w:w="1591" w:type="pct"/>
            <w:vAlign w:val="bottom"/>
          </w:tcPr>
          <w:p w14:paraId="745783D9" w14:textId="77777777" w:rsidR="00F86C52" w:rsidRPr="00537128" w:rsidRDefault="00F86C52" w:rsidP="00F86C52">
            <w:pPr>
              <w:tabs>
                <w:tab w:val="right" w:pos="1202"/>
              </w:tabs>
              <w:spacing w:after="0" w:line="301" w:lineRule="exact"/>
              <w:outlineLvl w:val="0"/>
              <w:rPr>
                <w:rFonts w:ascii="Calibri" w:eastAsia="Times New Roman" w:hAnsi="Calibri" w:cs="Arial"/>
                <w:lang w:val="en-US"/>
              </w:rPr>
            </w:pPr>
          </w:p>
        </w:tc>
        <w:tc>
          <w:tcPr>
            <w:tcW w:w="852" w:type="pct"/>
            <w:hideMark/>
          </w:tcPr>
          <w:p w14:paraId="5C6A0208" w14:textId="77777777" w:rsidR="00F86C52" w:rsidRPr="00537128" w:rsidRDefault="00F86C52" w:rsidP="00F86C52">
            <w:pPr>
              <w:tabs>
                <w:tab w:val="right" w:pos="1202"/>
              </w:tabs>
              <w:spacing w:after="0" w:line="301" w:lineRule="exact"/>
              <w:jc w:val="right"/>
              <w:outlineLvl w:val="0"/>
              <w:rPr>
                <w:rFonts w:ascii="Calibri" w:eastAsia="Times New Roman" w:hAnsi="Calibri" w:cs="Arial"/>
                <w:b/>
                <w:bCs/>
                <w:lang w:val="en-US"/>
              </w:rPr>
            </w:pPr>
            <w:bookmarkStart w:id="587" w:name="_Toc4060449"/>
            <w:r w:rsidRPr="00537128">
              <w:rPr>
                <w:rFonts w:ascii="Calibri" w:eastAsia="Times New Roman" w:hAnsi="Calibri" w:cs="Arial"/>
                <w:b/>
                <w:bCs/>
                <w:lang w:val="en-US"/>
              </w:rPr>
              <w:t>HRK '000</w:t>
            </w:r>
            <w:bookmarkEnd w:id="587"/>
            <w:r w:rsidRPr="00537128">
              <w:rPr>
                <w:rFonts w:ascii="Calibri" w:eastAsia="Times New Roman" w:hAnsi="Calibri" w:cs="Arial"/>
                <w:b/>
                <w:bCs/>
                <w:lang w:val="en-US"/>
              </w:rPr>
              <w:t xml:space="preserve"> </w:t>
            </w:r>
          </w:p>
        </w:tc>
        <w:tc>
          <w:tcPr>
            <w:tcW w:w="852" w:type="pct"/>
            <w:hideMark/>
          </w:tcPr>
          <w:p w14:paraId="69DCE3D1" w14:textId="6EBF3FC3" w:rsidR="00F86C52" w:rsidRPr="00537128" w:rsidRDefault="00F86C52" w:rsidP="00F86C52">
            <w:pPr>
              <w:tabs>
                <w:tab w:val="right" w:pos="1202"/>
              </w:tabs>
              <w:spacing w:after="0" w:line="301" w:lineRule="exact"/>
              <w:jc w:val="right"/>
              <w:outlineLvl w:val="0"/>
              <w:rPr>
                <w:rFonts w:ascii="Calibri" w:eastAsia="Times New Roman" w:hAnsi="Calibri" w:cs="Arial"/>
                <w:b/>
                <w:bCs/>
                <w:lang w:val="en-US"/>
              </w:rPr>
            </w:pPr>
            <w:r w:rsidRPr="00537128">
              <w:rPr>
                <w:rFonts w:ascii="Calibri" w:eastAsia="Times New Roman" w:hAnsi="Calibri" w:cs="Arial"/>
                <w:b/>
                <w:bCs/>
                <w:lang w:val="en-US"/>
              </w:rPr>
              <w:t xml:space="preserve">HRK '000 </w:t>
            </w:r>
          </w:p>
        </w:tc>
        <w:tc>
          <w:tcPr>
            <w:tcW w:w="852" w:type="pct"/>
            <w:hideMark/>
          </w:tcPr>
          <w:p w14:paraId="5A1CACE1" w14:textId="65331BFB" w:rsidR="00F86C52" w:rsidRPr="00537128" w:rsidRDefault="00F86C52" w:rsidP="00F86C52">
            <w:pPr>
              <w:tabs>
                <w:tab w:val="right" w:pos="1202"/>
              </w:tabs>
              <w:spacing w:after="0" w:line="301" w:lineRule="exact"/>
              <w:jc w:val="right"/>
              <w:outlineLvl w:val="0"/>
              <w:rPr>
                <w:rFonts w:ascii="Calibri" w:eastAsia="Times New Roman" w:hAnsi="Calibri" w:cs="Arial"/>
                <w:b/>
                <w:bCs/>
                <w:lang w:val="en-US"/>
              </w:rPr>
            </w:pPr>
            <w:bookmarkStart w:id="588" w:name="_Toc4060450"/>
            <w:r w:rsidRPr="00537128">
              <w:rPr>
                <w:rFonts w:ascii="Calibri" w:eastAsia="Times New Roman" w:hAnsi="Calibri" w:cs="Arial"/>
                <w:b/>
                <w:bCs/>
                <w:lang w:val="en-US"/>
              </w:rPr>
              <w:t>HRK '000</w:t>
            </w:r>
            <w:bookmarkEnd w:id="588"/>
            <w:r w:rsidRPr="00537128">
              <w:rPr>
                <w:rFonts w:ascii="Calibri" w:eastAsia="Times New Roman" w:hAnsi="Calibri" w:cs="Arial"/>
                <w:b/>
                <w:bCs/>
                <w:lang w:val="en-US"/>
              </w:rPr>
              <w:t xml:space="preserve"> </w:t>
            </w:r>
          </w:p>
        </w:tc>
        <w:tc>
          <w:tcPr>
            <w:tcW w:w="853" w:type="pct"/>
            <w:hideMark/>
          </w:tcPr>
          <w:p w14:paraId="1921196B" w14:textId="534695DF" w:rsidR="00F86C52" w:rsidRPr="00537128" w:rsidRDefault="00F86C52" w:rsidP="00F86C52">
            <w:pPr>
              <w:tabs>
                <w:tab w:val="right" w:pos="1202"/>
              </w:tabs>
              <w:spacing w:after="0" w:line="301" w:lineRule="exact"/>
              <w:jc w:val="right"/>
              <w:outlineLvl w:val="0"/>
              <w:rPr>
                <w:rFonts w:ascii="Calibri" w:eastAsia="Times New Roman" w:hAnsi="Calibri" w:cs="Arial"/>
                <w:b/>
                <w:bCs/>
                <w:lang w:val="en-US"/>
              </w:rPr>
            </w:pPr>
            <w:bookmarkStart w:id="589" w:name="_Toc4060451"/>
            <w:r w:rsidRPr="00537128">
              <w:rPr>
                <w:rFonts w:ascii="Calibri" w:eastAsia="Times New Roman" w:hAnsi="Calibri" w:cs="Arial"/>
                <w:b/>
                <w:bCs/>
                <w:lang w:val="en-US"/>
              </w:rPr>
              <w:t>HRK '000</w:t>
            </w:r>
            <w:bookmarkEnd w:id="589"/>
          </w:p>
        </w:tc>
      </w:tr>
      <w:tr w:rsidR="00F86C52" w:rsidRPr="00537128" w14:paraId="6E83B065" w14:textId="77777777" w:rsidTr="007A1E19">
        <w:trPr>
          <w:trHeight w:val="186"/>
        </w:trPr>
        <w:tc>
          <w:tcPr>
            <w:tcW w:w="1591" w:type="pct"/>
            <w:vAlign w:val="bottom"/>
          </w:tcPr>
          <w:p w14:paraId="0CAFD4CE" w14:textId="77777777" w:rsidR="00F86C52" w:rsidRPr="00537128" w:rsidRDefault="00F86C52" w:rsidP="00F86C52">
            <w:pPr>
              <w:tabs>
                <w:tab w:val="right" w:pos="1202"/>
              </w:tabs>
              <w:spacing w:after="0" w:line="120" w:lineRule="exact"/>
              <w:outlineLvl w:val="0"/>
              <w:rPr>
                <w:rFonts w:ascii="Calibri" w:eastAsia="Times New Roman" w:hAnsi="Calibri" w:cs="Arial"/>
                <w:b/>
                <w:lang w:val="en-US"/>
              </w:rPr>
            </w:pPr>
          </w:p>
        </w:tc>
        <w:tc>
          <w:tcPr>
            <w:tcW w:w="852" w:type="pct"/>
          </w:tcPr>
          <w:p w14:paraId="50839F87" w14:textId="77777777" w:rsidR="00F86C52" w:rsidRPr="00537128" w:rsidRDefault="00F86C52" w:rsidP="00F86C52">
            <w:pPr>
              <w:tabs>
                <w:tab w:val="right" w:pos="1202"/>
              </w:tabs>
              <w:spacing w:after="0" w:line="120" w:lineRule="exact"/>
              <w:jc w:val="right"/>
              <w:outlineLvl w:val="0"/>
              <w:rPr>
                <w:rFonts w:ascii="Calibri" w:eastAsia="Times New Roman" w:hAnsi="Calibri" w:cs="Arial"/>
                <w:bCs/>
                <w:lang w:val="en-US"/>
              </w:rPr>
            </w:pPr>
          </w:p>
        </w:tc>
        <w:tc>
          <w:tcPr>
            <w:tcW w:w="852" w:type="pct"/>
          </w:tcPr>
          <w:p w14:paraId="648BDCD3" w14:textId="77777777" w:rsidR="00F86C52" w:rsidRPr="00537128" w:rsidRDefault="00F86C52" w:rsidP="00F86C52">
            <w:pPr>
              <w:tabs>
                <w:tab w:val="right" w:pos="1202"/>
              </w:tabs>
              <w:spacing w:after="0" w:line="120" w:lineRule="exact"/>
              <w:jc w:val="right"/>
              <w:outlineLvl w:val="0"/>
              <w:rPr>
                <w:rFonts w:ascii="Calibri" w:eastAsia="Times New Roman" w:hAnsi="Calibri" w:cs="Arial"/>
                <w:bCs/>
                <w:lang w:val="en-US"/>
              </w:rPr>
            </w:pPr>
          </w:p>
        </w:tc>
        <w:tc>
          <w:tcPr>
            <w:tcW w:w="852" w:type="pct"/>
          </w:tcPr>
          <w:p w14:paraId="64A3823C" w14:textId="77777777" w:rsidR="00F86C52" w:rsidRPr="00537128" w:rsidRDefault="00F86C52" w:rsidP="00F86C52">
            <w:pPr>
              <w:tabs>
                <w:tab w:val="right" w:pos="1202"/>
              </w:tabs>
              <w:spacing w:after="0" w:line="120" w:lineRule="exact"/>
              <w:jc w:val="right"/>
              <w:outlineLvl w:val="0"/>
              <w:rPr>
                <w:rFonts w:ascii="Calibri" w:eastAsia="Times New Roman" w:hAnsi="Calibri" w:cs="Arial"/>
                <w:bCs/>
                <w:lang w:val="en-US"/>
              </w:rPr>
            </w:pPr>
          </w:p>
        </w:tc>
        <w:tc>
          <w:tcPr>
            <w:tcW w:w="853" w:type="pct"/>
            <w:vAlign w:val="bottom"/>
          </w:tcPr>
          <w:p w14:paraId="6FC8341A" w14:textId="77777777" w:rsidR="00F86C52" w:rsidRPr="00537128" w:rsidRDefault="00F86C52" w:rsidP="00F86C52">
            <w:pPr>
              <w:tabs>
                <w:tab w:val="right" w:pos="1202"/>
              </w:tabs>
              <w:spacing w:after="0" w:line="120" w:lineRule="exact"/>
              <w:jc w:val="right"/>
              <w:outlineLvl w:val="0"/>
              <w:rPr>
                <w:rFonts w:ascii="Calibri" w:eastAsia="Times New Roman" w:hAnsi="Calibri" w:cs="Arial"/>
                <w:bCs/>
                <w:lang w:val="en-US"/>
              </w:rPr>
            </w:pPr>
          </w:p>
        </w:tc>
      </w:tr>
      <w:tr w:rsidR="00E5430E" w:rsidRPr="00537128" w14:paraId="0372B63E" w14:textId="77777777" w:rsidTr="00462962">
        <w:tc>
          <w:tcPr>
            <w:tcW w:w="1591" w:type="pct"/>
            <w:vAlign w:val="bottom"/>
            <w:hideMark/>
          </w:tcPr>
          <w:p w14:paraId="4D1302B5" w14:textId="77777777" w:rsidR="00E5430E" w:rsidRPr="00537128" w:rsidRDefault="00E5430E" w:rsidP="00E5430E">
            <w:pPr>
              <w:tabs>
                <w:tab w:val="right" w:pos="1202"/>
              </w:tabs>
              <w:spacing w:after="0" w:line="301" w:lineRule="exact"/>
              <w:outlineLvl w:val="0"/>
              <w:rPr>
                <w:rFonts w:ascii="Calibri" w:eastAsia="Times New Roman" w:hAnsi="Calibri" w:cs="Arial"/>
                <w:lang w:val="en-US"/>
              </w:rPr>
            </w:pPr>
            <w:bookmarkStart w:id="590" w:name="_Toc4060453"/>
            <w:r w:rsidRPr="00537128">
              <w:rPr>
                <w:rFonts w:ascii="Calibri" w:eastAsia="Times New Roman" w:hAnsi="Calibri" w:cs="Arial"/>
                <w:lang w:val="en-US"/>
              </w:rPr>
              <w:t>The Republic of Croatia</w:t>
            </w:r>
            <w:bookmarkEnd w:id="590"/>
          </w:p>
        </w:tc>
        <w:tc>
          <w:tcPr>
            <w:tcW w:w="852" w:type="pct"/>
            <w:vAlign w:val="bottom"/>
          </w:tcPr>
          <w:p w14:paraId="6D5BC8DF" w14:textId="6D9C0E74" w:rsidR="00E5430E" w:rsidRPr="00537128" w:rsidRDefault="00E5430E" w:rsidP="00E5430E">
            <w:pPr>
              <w:tabs>
                <w:tab w:val="right" w:pos="1202"/>
              </w:tabs>
              <w:spacing w:after="0" w:line="301" w:lineRule="exact"/>
              <w:jc w:val="right"/>
              <w:outlineLvl w:val="0"/>
              <w:rPr>
                <w:rFonts w:ascii="Calibri" w:eastAsia="Times New Roman" w:hAnsi="Calibri" w:cs="Arial"/>
                <w:bCs/>
                <w:lang w:val="en-US"/>
              </w:rPr>
            </w:pPr>
            <w:r>
              <w:rPr>
                <w:color w:val="000000" w:themeColor="text1"/>
              </w:rPr>
              <w:t>6,640,601</w:t>
            </w:r>
          </w:p>
        </w:tc>
        <w:tc>
          <w:tcPr>
            <w:tcW w:w="852" w:type="pct"/>
            <w:vAlign w:val="bottom"/>
          </w:tcPr>
          <w:p w14:paraId="7535FB29" w14:textId="20ECA716" w:rsidR="00E5430E" w:rsidRPr="00537128" w:rsidRDefault="00E5430E" w:rsidP="00E5430E">
            <w:pPr>
              <w:tabs>
                <w:tab w:val="right" w:pos="1202"/>
              </w:tabs>
              <w:spacing w:after="0" w:line="301" w:lineRule="exact"/>
              <w:jc w:val="right"/>
              <w:outlineLvl w:val="0"/>
              <w:rPr>
                <w:rFonts w:ascii="Calibri" w:eastAsia="Times New Roman" w:hAnsi="Calibri" w:cs="Arial"/>
                <w:bCs/>
                <w:lang w:val="en-US"/>
              </w:rPr>
            </w:pPr>
            <w:r>
              <w:rPr>
                <w:color w:val="000000" w:themeColor="text1"/>
              </w:rPr>
              <w:t>5,243,064</w:t>
            </w:r>
          </w:p>
        </w:tc>
        <w:tc>
          <w:tcPr>
            <w:tcW w:w="852" w:type="pct"/>
            <w:vAlign w:val="bottom"/>
          </w:tcPr>
          <w:p w14:paraId="32F14051" w14:textId="19F5BD8E" w:rsidR="00E5430E" w:rsidRPr="00537128" w:rsidRDefault="00E5430E" w:rsidP="00E5430E">
            <w:pPr>
              <w:tabs>
                <w:tab w:val="right" w:pos="1202"/>
              </w:tabs>
              <w:spacing w:after="0" w:line="301" w:lineRule="exact"/>
              <w:jc w:val="right"/>
              <w:outlineLvl w:val="0"/>
              <w:rPr>
                <w:rFonts w:ascii="Calibri" w:eastAsia="Times New Roman" w:hAnsi="Calibri" w:cs="Arial"/>
                <w:bCs/>
                <w:lang w:val="en-US"/>
              </w:rPr>
            </w:pPr>
            <w:r>
              <w:rPr>
                <w:rFonts w:cs="Arial"/>
                <w:bCs/>
                <w:color w:val="000000" w:themeColor="text1"/>
              </w:rPr>
              <w:t>6,639,953</w:t>
            </w:r>
          </w:p>
        </w:tc>
        <w:tc>
          <w:tcPr>
            <w:tcW w:w="853" w:type="pct"/>
            <w:vAlign w:val="bottom"/>
            <w:hideMark/>
          </w:tcPr>
          <w:p w14:paraId="6C3D36F8" w14:textId="75CB63C4" w:rsidR="00E5430E" w:rsidRPr="00537128" w:rsidRDefault="00E5430E" w:rsidP="00E5430E">
            <w:pPr>
              <w:tabs>
                <w:tab w:val="right" w:pos="1202"/>
              </w:tabs>
              <w:spacing w:after="0" w:line="301" w:lineRule="exact"/>
              <w:jc w:val="right"/>
              <w:outlineLvl w:val="0"/>
              <w:rPr>
                <w:rFonts w:ascii="Calibri" w:eastAsia="Times New Roman" w:hAnsi="Calibri" w:cs="Arial"/>
                <w:bCs/>
                <w:lang w:val="en-US"/>
              </w:rPr>
            </w:pPr>
            <w:r>
              <w:rPr>
                <w:rFonts w:cs="Arial"/>
                <w:bCs/>
                <w:color w:val="000000" w:themeColor="text1"/>
              </w:rPr>
              <w:t>5,242,142</w:t>
            </w:r>
          </w:p>
        </w:tc>
      </w:tr>
      <w:tr w:rsidR="00E5430E" w:rsidRPr="00537128" w14:paraId="1685F842" w14:textId="77777777" w:rsidTr="00462962">
        <w:tc>
          <w:tcPr>
            <w:tcW w:w="1591" w:type="pct"/>
            <w:vAlign w:val="bottom"/>
            <w:hideMark/>
          </w:tcPr>
          <w:p w14:paraId="62C61C99" w14:textId="77777777" w:rsidR="00E5430E" w:rsidRPr="00537128" w:rsidRDefault="00E5430E" w:rsidP="00E5430E">
            <w:pPr>
              <w:tabs>
                <w:tab w:val="right" w:pos="1202"/>
              </w:tabs>
              <w:spacing w:after="0" w:line="301" w:lineRule="exact"/>
              <w:outlineLvl w:val="0"/>
              <w:rPr>
                <w:rFonts w:ascii="Calibri" w:eastAsia="Times New Roman" w:hAnsi="Calibri" w:cs="Arial"/>
                <w:lang w:val="en-US"/>
              </w:rPr>
            </w:pPr>
            <w:bookmarkStart w:id="591" w:name="_Toc4060458"/>
            <w:r w:rsidRPr="00537128">
              <w:rPr>
                <w:rFonts w:ascii="Calibri" w:eastAsia="Times New Roman" w:hAnsi="Calibri" w:cs="Arial"/>
                <w:lang w:val="en-US"/>
              </w:rPr>
              <w:t>State agencies</w:t>
            </w:r>
            <w:bookmarkEnd w:id="591"/>
          </w:p>
        </w:tc>
        <w:tc>
          <w:tcPr>
            <w:tcW w:w="852" w:type="pct"/>
            <w:tcBorders>
              <w:bottom w:val="single" w:sz="8" w:space="0" w:color="auto"/>
            </w:tcBorders>
            <w:vAlign w:val="bottom"/>
          </w:tcPr>
          <w:p w14:paraId="6543FCA3" w14:textId="5274735F" w:rsidR="00E5430E" w:rsidRPr="00537128" w:rsidRDefault="00E5430E" w:rsidP="00E5430E">
            <w:pPr>
              <w:tabs>
                <w:tab w:val="right" w:pos="1202"/>
              </w:tabs>
              <w:spacing w:after="0" w:line="301" w:lineRule="exact"/>
              <w:jc w:val="right"/>
              <w:outlineLvl w:val="0"/>
              <w:rPr>
                <w:rFonts w:ascii="Calibri" w:eastAsia="Times New Roman" w:hAnsi="Calibri" w:cs="Arial"/>
                <w:bCs/>
                <w:lang w:val="en-US"/>
              </w:rPr>
            </w:pPr>
            <w:r>
              <w:rPr>
                <w:color w:val="000000" w:themeColor="text1"/>
              </w:rPr>
              <w:t>563,477</w:t>
            </w:r>
          </w:p>
        </w:tc>
        <w:tc>
          <w:tcPr>
            <w:tcW w:w="852" w:type="pct"/>
            <w:tcBorders>
              <w:bottom w:val="single" w:sz="8" w:space="0" w:color="auto"/>
            </w:tcBorders>
            <w:vAlign w:val="bottom"/>
          </w:tcPr>
          <w:p w14:paraId="7C3FD7FF" w14:textId="7F26B29C" w:rsidR="00E5430E" w:rsidRPr="00537128" w:rsidRDefault="00E5430E" w:rsidP="00E5430E">
            <w:pPr>
              <w:tabs>
                <w:tab w:val="right" w:pos="1202"/>
              </w:tabs>
              <w:spacing w:after="0" w:line="301" w:lineRule="exact"/>
              <w:jc w:val="right"/>
              <w:outlineLvl w:val="0"/>
              <w:rPr>
                <w:rFonts w:ascii="Calibri" w:eastAsia="Times New Roman" w:hAnsi="Calibri" w:cs="Arial"/>
                <w:bCs/>
                <w:lang w:val="en-US"/>
              </w:rPr>
            </w:pPr>
            <w:r>
              <w:rPr>
                <w:color w:val="000000" w:themeColor="text1"/>
              </w:rPr>
              <w:t>590,684</w:t>
            </w:r>
          </w:p>
        </w:tc>
        <w:tc>
          <w:tcPr>
            <w:tcW w:w="852" w:type="pct"/>
            <w:tcBorders>
              <w:bottom w:val="single" w:sz="8" w:space="0" w:color="auto"/>
            </w:tcBorders>
            <w:vAlign w:val="bottom"/>
          </w:tcPr>
          <w:p w14:paraId="384E4939" w14:textId="7FA6D38A" w:rsidR="00E5430E" w:rsidRPr="00537128" w:rsidRDefault="00E5430E" w:rsidP="00E5430E">
            <w:pPr>
              <w:tabs>
                <w:tab w:val="right" w:pos="1202"/>
              </w:tabs>
              <w:spacing w:after="0" w:line="301" w:lineRule="exact"/>
              <w:jc w:val="right"/>
              <w:outlineLvl w:val="0"/>
              <w:rPr>
                <w:rFonts w:ascii="Calibri" w:eastAsia="Times New Roman" w:hAnsi="Calibri" w:cs="Arial"/>
                <w:bCs/>
                <w:lang w:val="en-US"/>
              </w:rPr>
            </w:pPr>
            <w:r>
              <w:rPr>
                <w:rFonts w:cs="Arial"/>
                <w:bCs/>
                <w:color w:val="000000" w:themeColor="text1"/>
              </w:rPr>
              <w:t>563,477</w:t>
            </w:r>
          </w:p>
        </w:tc>
        <w:tc>
          <w:tcPr>
            <w:tcW w:w="853" w:type="pct"/>
            <w:tcBorders>
              <w:bottom w:val="single" w:sz="8" w:space="0" w:color="auto"/>
            </w:tcBorders>
            <w:vAlign w:val="bottom"/>
            <w:hideMark/>
          </w:tcPr>
          <w:p w14:paraId="2E5BE5A7" w14:textId="4611FD90" w:rsidR="00E5430E" w:rsidRPr="00537128" w:rsidRDefault="00E5430E" w:rsidP="00E5430E">
            <w:pPr>
              <w:tabs>
                <w:tab w:val="right" w:pos="1202"/>
              </w:tabs>
              <w:spacing w:after="0" w:line="301" w:lineRule="exact"/>
              <w:jc w:val="right"/>
              <w:outlineLvl w:val="0"/>
              <w:rPr>
                <w:rFonts w:ascii="Calibri" w:eastAsia="Times New Roman" w:hAnsi="Calibri" w:cs="Arial"/>
                <w:bCs/>
                <w:lang w:val="en-US"/>
              </w:rPr>
            </w:pPr>
            <w:r>
              <w:rPr>
                <w:rFonts w:cs="Arial"/>
                <w:bCs/>
                <w:color w:val="000000" w:themeColor="text1"/>
              </w:rPr>
              <w:t>590,684</w:t>
            </w:r>
          </w:p>
        </w:tc>
      </w:tr>
      <w:tr w:rsidR="00E5430E" w:rsidRPr="00537128" w14:paraId="65A3D3C7" w14:textId="77777777" w:rsidTr="00462962">
        <w:tc>
          <w:tcPr>
            <w:tcW w:w="1591" w:type="pct"/>
            <w:vAlign w:val="bottom"/>
            <w:hideMark/>
          </w:tcPr>
          <w:p w14:paraId="2C91C57C" w14:textId="77777777" w:rsidR="00E5430E" w:rsidRPr="00537128" w:rsidRDefault="00E5430E" w:rsidP="00E5430E">
            <w:pPr>
              <w:tabs>
                <w:tab w:val="right" w:pos="1202"/>
              </w:tabs>
              <w:spacing w:after="0" w:line="301" w:lineRule="exact"/>
              <w:outlineLvl w:val="0"/>
              <w:rPr>
                <w:rFonts w:ascii="Calibri" w:eastAsia="Times New Roman" w:hAnsi="Calibri" w:cs="Arial"/>
                <w:b/>
                <w:lang w:val="en-US"/>
              </w:rPr>
            </w:pPr>
            <w:bookmarkStart w:id="592" w:name="_Toc4060463"/>
            <w:r w:rsidRPr="00537128">
              <w:rPr>
                <w:rFonts w:ascii="Calibri" w:eastAsia="Times New Roman" w:hAnsi="Calibri" w:cs="Arial"/>
                <w:b/>
                <w:lang w:val="en-US"/>
              </w:rPr>
              <w:t>Total</w:t>
            </w:r>
            <w:bookmarkEnd w:id="592"/>
          </w:p>
        </w:tc>
        <w:tc>
          <w:tcPr>
            <w:tcW w:w="852" w:type="pct"/>
            <w:tcBorders>
              <w:top w:val="single" w:sz="8" w:space="0" w:color="auto"/>
              <w:bottom w:val="single" w:sz="12" w:space="0" w:color="auto"/>
            </w:tcBorders>
            <w:vAlign w:val="bottom"/>
          </w:tcPr>
          <w:p w14:paraId="6F51E0CA" w14:textId="02083232" w:rsidR="00E5430E" w:rsidRPr="00537128" w:rsidRDefault="00E5430E" w:rsidP="00E5430E">
            <w:pPr>
              <w:tabs>
                <w:tab w:val="right" w:pos="1202"/>
              </w:tabs>
              <w:spacing w:after="0" w:line="301" w:lineRule="exact"/>
              <w:jc w:val="right"/>
              <w:outlineLvl w:val="0"/>
              <w:rPr>
                <w:rFonts w:ascii="Calibri" w:eastAsia="Times New Roman" w:hAnsi="Calibri" w:cs="Arial"/>
                <w:b/>
                <w:bCs/>
                <w:lang w:val="en-US"/>
              </w:rPr>
            </w:pPr>
            <w:r>
              <w:rPr>
                <w:rFonts w:cs="Arial"/>
                <w:b/>
                <w:bCs/>
                <w:color w:val="000000" w:themeColor="text1"/>
              </w:rPr>
              <w:t>7,204,078</w:t>
            </w:r>
          </w:p>
        </w:tc>
        <w:tc>
          <w:tcPr>
            <w:tcW w:w="852" w:type="pct"/>
            <w:tcBorders>
              <w:top w:val="single" w:sz="8" w:space="0" w:color="auto"/>
              <w:bottom w:val="single" w:sz="12" w:space="0" w:color="auto"/>
            </w:tcBorders>
            <w:vAlign w:val="bottom"/>
          </w:tcPr>
          <w:p w14:paraId="33298ECF" w14:textId="102F3F32" w:rsidR="00E5430E" w:rsidRPr="00537128" w:rsidRDefault="00E5430E" w:rsidP="00E5430E">
            <w:pPr>
              <w:tabs>
                <w:tab w:val="right" w:pos="1202"/>
              </w:tabs>
              <w:spacing w:after="0" w:line="301" w:lineRule="exact"/>
              <w:jc w:val="right"/>
              <w:outlineLvl w:val="0"/>
              <w:rPr>
                <w:rFonts w:ascii="Calibri" w:eastAsia="Times New Roman" w:hAnsi="Calibri" w:cs="Arial"/>
                <w:b/>
                <w:bCs/>
                <w:lang w:val="en-US"/>
              </w:rPr>
            </w:pPr>
            <w:r>
              <w:rPr>
                <w:rFonts w:cs="Arial"/>
                <w:b/>
                <w:bCs/>
                <w:color w:val="000000" w:themeColor="text1"/>
              </w:rPr>
              <w:t>5,833,748</w:t>
            </w:r>
          </w:p>
        </w:tc>
        <w:tc>
          <w:tcPr>
            <w:tcW w:w="852" w:type="pct"/>
            <w:tcBorders>
              <w:top w:val="single" w:sz="8" w:space="0" w:color="auto"/>
              <w:bottom w:val="single" w:sz="12" w:space="0" w:color="auto"/>
            </w:tcBorders>
            <w:vAlign w:val="bottom"/>
          </w:tcPr>
          <w:p w14:paraId="5C58648D" w14:textId="2C5811EB" w:rsidR="00E5430E" w:rsidRPr="00537128" w:rsidRDefault="00E5430E" w:rsidP="00E5430E">
            <w:pPr>
              <w:tabs>
                <w:tab w:val="right" w:pos="1202"/>
              </w:tabs>
              <w:spacing w:after="0" w:line="301" w:lineRule="exact"/>
              <w:jc w:val="right"/>
              <w:outlineLvl w:val="0"/>
              <w:rPr>
                <w:rFonts w:ascii="Calibri" w:eastAsia="Times New Roman" w:hAnsi="Calibri" w:cs="Arial"/>
                <w:b/>
                <w:bCs/>
                <w:lang w:val="en-US"/>
              </w:rPr>
            </w:pPr>
            <w:r w:rsidRPr="00A54D28">
              <w:rPr>
                <w:rFonts w:cs="Arial"/>
                <w:b/>
                <w:bCs/>
                <w:color w:val="000000" w:themeColor="text1"/>
              </w:rPr>
              <w:t>7</w:t>
            </w:r>
            <w:r>
              <w:rPr>
                <w:rFonts w:cs="Arial"/>
                <w:b/>
                <w:bCs/>
                <w:color w:val="000000" w:themeColor="text1"/>
              </w:rPr>
              <w:t>,</w:t>
            </w:r>
            <w:r w:rsidRPr="00A54D28">
              <w:rPr>
                <w:rFonts w:cs="Arial"/>
                <w:b/>
                <w:bCs/>
                <w:color w:val="000000" w:themeColor="text1"/>
              </w:rPr>
              <w:t>203</w:t>
            </w:r>
            <w:r>
              <w:rPr>
                <w:rFonts w:cs="Arial"/>
                <w:b/>
                <w:bCs/>
                <w:color w:val="000000" w:themeColor="text1"/>
              </w:rPr>
              <w:t>,</w:t>
            </w:r>
            <w:r w:rsidRPr="00A54D28">
              <w:rPr>
                <w:rFonts w:cs="Arial"/>
                <w:b/>
                <w:bCs/>
                <w:color w:val="000000" w:themeColor="text1"/>
              </w:rPr>
              <w:t>430</w:t>
            </w:r>
          </w:p>
        </w:tc>
        <w:tc>
          <w:tcPr>
            <w:tcW w:w="853" w:type="pct"/>
            <w:tcBorders>
              <w:top w:val="single" w:sz="8" w:space="0" w:color="auto"/>
              <w:bottom w:val="single" w:sz="12" w:space="0" w:color="auto"/>
            </w:tcBorders>
            <w:vAlign w:val="bottom"/>
            <w:hideMark/>
          </w:tcPr>
          <w:p w14:paraId="46166EC2" w14:textId="24524801" w:rsidR="00E5430E" w:rsidRPr="00537128" w:rsidRDefault="00E5430E" w:rsidP="00E5430E">
            <w:pPr>
              <w:tabs>
                <w:tab w:val="right" w:pos="1202"/>
              </w:tabs>
              <w:spacing w:after="0" w:line="301" w:lineRule="exact"/>
              <w:jc w:val="right"/>
              <w:outlineLvl w:val="0"/>
              <w:rPr>
                <w:rFonts w:ascii="Calibri" w:eastAsia="Times New Roman" w:hAnsi="Calibri" w:cs="Arial"/>
                <w:b/>
                <w:bCs/>
                <w:lang w:val="en-US"/>
              </w:rPr>
            </w:pPr>
            <w:r>
              <w:rPr>
                <w:rFonts w:cs="Arial"/>
                <w:b/>
                <w:bCs/>
                <w:color w:val="000000" w:themeColor="text1"/>
              </w:rPr>
              <w:t>5,832,826</w:t>
            </w:r>
          </w:p>
        </w:tc>
      </w:tr>
    </w:tbl>
    <w:p w14:paraId="500E9F81" w14:textId="77777777" w:rsidR="00D626F4" w:rsidRPr="00537128" w:rsidRDefault="00D626F4" w:rsidP="00C84B9E">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09BDCC2F" w14:textId="77777777" w:rsidR="00F86C52" w:rsidRPr="00537128" w:rsidRDefault="00F86C52" w:rsidP="00F86C52">
      <w:pPr>
        <w:tabs>
          <w:tab w:val="right" w:pos="1202"/>
          <w:tab w:val="left" w:pos="9180"/>
        </w:tabs>
        <w:spacing w:after="0" w:line="240" w:lineRule="auto"/>
        <w:jc w:val="both"/>
        <w:outlineLvl w:val="0"/>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 xml:space="preserve">Collateral received relates to first-class collateral instruments received as security for HBOR’s placements comprising the Republic of Croatia guarantees, HAMAG-BICRO guarantees, insurance policies of export transactions against political and/or commercial risks and statutory guarantees in cases when the Republic of Croatia or other state executive body guarantees the liabilities of certain borrowers pursuant to provisions of certain laws. </w:t>
      </w:r>
    </w:p>
    <w:p w14:paraId="514EEA82" w14:textId="77777777" w:rsidR="00F86C52" w:rsidRPr="00537128" w:rsidRDefault="00F86C52" w:rsidP="00F86C52">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1727314E" w14:textId="74E1594A" w:rsidR="00F86C52" w:rsidRPr="00537128" w:rsidRDefault="00F86C52" w:rsidP="00F86C52">
      <w:pPr>
        <w:tabs>
          <w:tab w:val="right" w:pos="1202"/>
          <w:tab w:val="left" w:pos="9180"/>
        </w:tabs>
        <w:spacing w:after="0" w:line="240" w:lineRule="auto"/>
        <w:jc w:val="both"/>
        <w:outlineLvl w:val="0"/>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 xml:space="preserve">Pursuant to the Quota Reinsurance Contract between HBOR, in the name and for the account of the Republic of Croatia, and HKO </w:t>
      </w:r>
      <w:proofErr w:type="spellStart"/>
      <w:r w:rsidRPr="00537128">
        <w:rPr>
          <w:rFonts w:ascii="Calibri" w:eastAsia="Times New Roman" w:hAnsi="Calibri" w:cs="Arial"/>
          <w:color w:val="000000" w:themeColor="text1"/>
          <w:lang w:val="en-US"/>
        </w:rPr>
        <w:t>d.d.</w:t>
      </w:r>
      <w:proofErr w:type="spellEnd"/>
      <w:r w:rsidRPr="00537128">
        <w:rPr>
          <w:rFonts w:ascii="Calibri" w:eastAsia="Times New Roman" w:hAnsi="Calibri" w:cs="Arial"/>
          <w:color w:val="000000" w:themeColor="text1"/>
          <w:lang w:val="en-US"/>
        </w:rPr>
        <w:t xml:space="preserve">, reinsurance is carried out, </w:t>
      </w:r>
      <w:proofErr w:type="gramStart"/>
      <w:r w:rsidRPr="00537128">
        <w:rPr>
          <w:rFonts w:ascii="Calibri" w:eastAsia="Times New Roman" w:hAnsi="Calibri" w:cs="Arial"/>
          <w:color w:val="000000" w:themeColor="text1"/>
          <w:lang w:val="en-US"/>
        </w:rPr>
        <w:t>i.e.</w:t>
      </w:r>
      <w:proofErr w:type="gramEnd"/>
      <w:r w:rsidRPr="00537128">
        <w:rPr>
          <w:rFonts w:ascii="Calibri" w:eastAsia="Times New Roman" w:hAnsi="Calibri" w:cs="Arial"/>
          <w:color w:val="000000" w:themeColor="text1"/>
          <w:lang w:val="en-US"/>
        </w:rPr>
        <w:t xml:space="preserve"> cover is provided for a proportional part (quota reinsurance) of political and commercial risks under export loans and receivables arising from the export of goods and services. The Reinsurer covers all non-marketable (non-market) risks assumed by the Insurer, </w:t>
      </w:r>
      <w:proofErr w:type="gramStart"/>
      <w:r w:rsidRPr="00537128">
        <w:rPr>
          <w:rFonts w:ascii="Calibri" w:eastAsia="Times New Roman" w:hAnsi="Calibri" w:cs="Arial"/>
          <w:color w:val="000000" w:themeColor="text1"/>
          <w:lang w:val="en-US"/>
        </w:rPr>
        <w:t>i.e.</w:t>
      </w:r>
      <w:proofErr w:type="gramEnd"/>
      <w:r w:rsidRPr="00537128">
        <w:rPr>
          <w:rFonts w:ascii="Calibri" w:eastAsia="Times New Roman" w:hAnsi="Calibri" w:cs="Arial"/>
          <w:color w:val="000000" w:themeColor="text1"/>
          <w:lang w:val="en-US"/>
        </w:rPr>
        <w:t xml:space="preserve"> Croatian Credit Insurance, joint stock insurance company, in the range from 15% to 90% of the insured amount.</w:t>
      </w:r>
    </w:p>
    <w:p w14:paraId="042B638C" w14:textId="77777777" w:rsidR="00F86C52" w:rsidRPr="00537128" w:rsidRDefault="00F86C52" w:rsidP="00F86C52">
      <w:pPr>
        <w:tabs>
          <w:tab w:val="right" w:pos="1202"/>
          <w:tab w:val="left" w:pos="9180"/>
        </w:tabs>
        <w:spacing w:after="0" w:line="240" w:lineRule="auto"/>
        <w:jc w:val="both"/>
        <w:outlineLvl w:val="0"/>
        <w:rPr>
          <w:rFonts w:ascii="Calibri" w:eastAsia="Times New Roman" w:hAnsi="Calibri"/>
          <w:color w:val="000000" w:themeColor="text1"/>
          <w:lang w:val="en-US"/>
        </w:rPr>
      </w:pPr>
    </w:p>
    <w:p w14:paraId="6D7751C7" w14:textId="77777777" w:rsidR="00D626F4" w:rsidRPr="00537128" w:rsidRDefault="00D626F4" w:rsidP="00C84B9E">
      <w:pPr>
        <w:pStyle w:val="TT"/>
        <w:tabs>
          <w:tab w:val="left" w:pos="426"/>
        </w:tabs>
        <w:spacing w:line="240" w:lineRule="auto"/>
        <w:ind w:left="567" w:hanging="567"/>
        <w:rPr>
          <w:rFonts w:asciiTheme="minorHAnsi" w:hAnsiTheme="minorHAnsi" w:cs="Arial"/>
          <w:color w:val="000000" w:themeColor="text1"/>
          <w:sz w:val="22"/>
          <w:szCs w:val="22"/>
          <w:lang w:val="en-US"/>
        </w:rPr>
      </w:pPr>
      <w:r w:rsidRPr="00537128">
        <w:rPr>
          <w:rFonts w:asciiTheme="minorHAnsi" w:hAnsiTheme="minorHAnsi" w:cs="Arial"/>
          <w:color w:val="000000" w:themeColor="text1"/>
          <w:sz w:val="22"/>
          <w:szCs w:val="22"/>
          <w:lang w:val="en-US"/>
        </w:rPr>
        <w:t>c)</w:t>
      </w:r>
      <w:r w:rsidRPr="00537128">
        <w:rPr>
          <w:rFonts w:asciiTheme="minorHAnsi" w:hAnsiTheme="minorHAnsi" w:cs="Arial"/>
          <w:color w:val="000000" w:themeColor="text1"/>
          <w:sz w:val="22"/>
          <w:szCs w:val="22"/>
          <w:lang w:val="en-US"/>
        </w:rPr>
        <w:tab/>
        <w:t xml:space="preserve">Salaries of key management personnel </w:t>
      </w:r>
    </w:p>
    <w:p w14:paraId="1589389B" w14:textId="77777777" w:rsidR="00C84B9E" w:rsidRPr="00537128" w:rsidRDefault="00C84B9E" w:rsidP="00C84B9E">
      <w:pPr>
        <w:spacing w:after="0" w:line="240" w:lineRule="auto"/>
        <w:jc w:val="both"/>
        <w:rPr>
          <w:rFonts w:ascii="Calibri" w:eastAsia="Times New Roman" w:hAnsi="Calibri" w:cs="Arial"/>
          <w:bCs/>
          <w:color w:val="000000" w:themeColor="text1"/>
          <w:lang w:val="en-US"/>
        </w:rPr>
      </w:pPr>
      <w:bookmarkStart w:id="593" w:name="_Hlk3201936"/>
    </w:p>
    <w:p w14:paraId="03801F5C" w14:textId="55F18248" w:rsidR="007C651E" w:rsidRPr="00537128" w:rsidRDefault="007C651E" w:rsidP="00C84B9E">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 xml:space="preserve">Key members of the Group’s and the Bank’s management include members of the Management Board, senior executive directors, head of the Management Board Office, executive directors, assistant director, advisors to the Management Board and an </w:t>
      </w:r>
      <w:proofErr w:type="spellStart"/>
      <w:r w:rsidRPr="00537128">
        <w:rPr>
          <w:rFonts w:ascii="Calibri" w:eastAsia="Times New Roman" w:hAnsi="Calibri" w:cs="Arial"/>
          <w:bCs/>
          <w:color w:val="000000" w:themeColor="text1"/>
          <w:lang w:val="en-US"/>
        </w:rPr>
        <w:t>authorised</w:t>
      </w:r>
      <w:proofErr w:type="spellEnd"/>
      <w:r w:rsidRPr="00537128">
        <w:rPr>
          <w:rFonts w:ascii="Calibri" w:eastAsia="Times New Roman" w:hAnsi="Calibri" w:cs="Arial"/>
          <w:bCs/>
          <w:color w:val="000000" w:themeColor="text1"/>
          <w:lang w:val="en-US"/>
        </w:rPr>
        <w:t xml:space="preserve"> agent (proxy).</w:t>
      </w:r>
    </w:p>
    <w:p w14:paraId="4C4D48C8" w14:textId="32FD43EE" w:rsidR="00C84B9E" w:rsidRPr="00537128" w:rsidRDefault="00C84B9E" w:rsidP="00C84B9E">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 xml:space="preserve">Salaries include compensation paid for regular work, annual vacation, national holidays, paid leave, sick leave, benefits payable for past service </w:t>
      </w:r>
      <w:r w:rsidRPr="00537128">
        <w:rPr>
          <w:rFonts w:ascii="Calibri" w:eastAsia="Times New Roman" w:hAnsi="Calibri" w:cs="Arial"/>
          <w:color w:val="000000" w:themeColor="text1"/>
          <w:lang w:val="en-US"/>
        </w:rPr>
        <w:t>and payments under contractual agreements</w:t>
      </w:r>
      <w:r w:rsidRPr="00537128">
        <w:rPr>
          <w:rFonts w:ascii="Calibri" w:eastAsia="Times New Roman" w:hAnsi="Calibri" w:cs="Arial"/>
          <w:bCs/>
          <w:color w:val="000000" w:themeColor="text1"/>
          <w:lang w:val="en-US"/>
        </w:rPr>
        <w:t xml:space="preserve">. </w:t>
      </w:r>
      <w:bookmarkEnd w:id="593"/>
      <w:r w:rsidRPr="00537128">
        <w:rPr>
          <w:rFonts w:ascii="Calibri" w:eastAsia="Times New Roman" w:hAnsi="Calibri" w:cs="Arial"/>
          <w:bCs/>
          <w:color w:val="000000" w:themeColor="text1"/>
          <w:lang w:val="en-US"/>
        </w:rPr>
        <w:t xml:space="preserve">Salaries for the Group in the reporting period amounted to HRK </w:t>
      </w:r>
      <w:r w:rsidR="00C759CE">
        <w:rPr>
          <w:rFonts w:ascii="Calibri" w:eastAsia="Times New Roman" w:hAnsi="Calibri" w:cs="Arial"/>
          <w:bCs/>
          <w:color w:val="000000" w:themeColor="text1"/>
          <w:lang w:val="en-US"/>
        </w:rPr>
        <w:t>2,235</w:t>
      </w:r>
      <w:r w:rsidR="00601076" w:rsidRPr="00537128">
        <w:rPr>
          <w:rFonts w:cs="Arial"/>
          <w:bCs/>
          <w:color w:val="000000" w:themeColor="text1"/>
          <w:lang w:val="en-US"/>
        </w:rPr>
        <w:t xml:space="preserve"> </w:t>
      </w:r>
      <w:r w:rsidRPr="00537128">
        <w:rPr>
          <w:rFonts w:ascii="Calibri" w:eastAsia="Times New Roman" w:hAnsi="Calibri" w:cs="Arial"/>
          <w:bCs/>
          <w:color w:val="000000" w:themeColor="text1"/>
          <w:lang w:val="en-US"/>
        </w:rPr>
        <w:t>thousand (1 January to 3</w:t>
      </w:r>
      <w:r w:rsidR="007C651E" w:rsidRPr="00537128">
        <w:rPr>
          <w:rFonts w:ascii="Calibri" w:eastAsia="Times New Roman" w:hAnsi="Calibri" w:cs="Arial"/>
          <w:bCs/>
          <w:color w:val="000000" w:themeColor="text1"/>
          <w:lang w:val="en-US"/>
        </w:rPr>
        <w:t>1</w:t>
      </w:r>
      <w:r w:rsidRPr="00537128">
        <w:rPr>
          <w:rFonts w:ascii="Calibri" w:eastAsia="Times New Roman" w:hAnsi="Calibri" w:cs="Arial"/>
          <w:bCs/>
          <w:color w:val="000000" w:themeColor="text1"/>
          <w:lang w:val="en-US"/>
        </w:rPr>
        <w:t xml:space="preserve"> </w:t>
      </w:r>
      <w:r w:rsidR="007C651E" w:rsidRPr="00537128">
        <w:rPr>
          <w:rFonts w:ascii="Calibri" w:eastAsia="Times New Roman" w:hAnsi="Calibri" w:cs="Arial"/>
          <w:bCs/>
          <w:color w:val="000000" w:themeColor="text1"/>
          <w:lang w:val="en-US"/>
        </w:rPr>
        <w:t>March</w:t>
      </w:r>
      <w:r w:rsidRPr="00537128">
        <w:rPr>
          <w:rFonts w:ascii="Calibri" w:eastAsia="Times New Roman" w:hAnsi="Calibri" w:cs="Arial"/>
          <w:bCs/>
          <w:color w:val="000000" w:themeColor="text1"/>
          <w:lang w:val="en-US"/>
        </w:rPr>
        <w:t xml:space="preserve"> 20</w:t>
      </w:r>
      <w:r w:rsidR="007C651E" w:rsidRPr="00537128">
        <w:rPr>
          <w:rFonts w:ascii="Calibri" w:eastAsia="Times New Roman" w:hAnsi="Calibri" w:cs="Arial"/>
          <w:bCs/>
          <w:color w:val="000000" w:themeColor="text1"/>
          <w:lang w:val="en-US"/>
        </w:rPr>
        <w:t>2</w:t>
      </w:r>
      <w:r w:rsidR="00975DC8">
        <w:rPr>
          <w:rFonts w:ascii="Calibri" w:eastAsia="Times New Roman" w:hAnsi="Calibri" w:cs="Arial"/>
          <w:bCs/>
          <w:color w:val="000000" w:themeColor="text1"/>
          <w:lang w:val="en-US"/>
        </w:rPr>
        <w:t>1</w:t>
      </w:r>
      <w:r w:rsidRPr="00537128">
        <w:rPr>
          <w:rFonts w:ascii="Calibri" w:eastAsia="Times New Roman" w:hAnsi="Calibri" w:cs="Arial"/>
          <w:bCs/>
          <w:color w:val="000000" w:themeColor="text1"/>
          <w:lang w:val="en-US"/>
        </w:rPr>
        <w:t xml:space="preserve">: HRK </w:t>
      </w:r>
      <w:r w:rsidR="00975DC8">
        <w:rPr>
          <w:rFonts w:ascii="Calibri" w:eastAsia="Times New Roman" w:hAnsi="Calibri" w:cs="Arial"/>
          <w:bCs/>
          <w:color w:val="000000" w:themeColor="text1"/>
          <w:lang w:val="en-US"/>
        </w:rPr>
        <w:t>1</w:t>
      </w:r>
      <w:r w:rsidR="007C651E" w:rsidRPr="00537128">
        <w:rPr>
          <w:rFonts w:ascii="Calibri" w:eastAsia="Times New Roman" w:hAnsi="Calibri" w:cs="Arial"/>
          <w:bCs/>
          <w:color w:val="000000" w:themeColor="text1"/>
          <w:lang w:val="en-US"/>
        </w:rPr>
        <w:t>,</w:t>
      </w:r>
      <w:r w:rsidR="00975DC8">
        <w:rPr>
          <w:rFonts w:ascii="Calibri" w:eastAsia="Times New Roman" w:hAnsi="Calibri" w:cs="Arial"/>
          <w:bCs/>
          <w:color w:val="000000" w:themeColor="text1"/>
          <w:lang w:val="en-US"/>
        </w:rPr>
        <w:t>912</w:t>
      </w:r>
      <w:r w:rsidR="007C651E" w:rsidRPr="00537128">
        <w:rPr>
          <w:rFonts w:ascii="Calibri" w:eastAsia="Times New Roman" w:hAnsi="Calibri" w:cs="Arial"/>
          <w:bCs/>
          <w:color w:val="000000" w:themeColor="text1"/>
          <w:lang w:val="en-US"/>
        </w:rPr>
        <w:t xml:space="preserve"> </w:t>
      </w:r>
      <w:r w:rsidRPr="00537128">
        <w:rPr>
          <w:rFonts w:ascii="Calibri" w:eastAsia="Times New Roman" w:hAnsi="Calibri" w:cs="Arial"/>
          <w:bCs/>
          <w:color w:val="000000" w:themeColor="text1"/>
          <w:lang w:val="en-US"/>
        </w:rPr>
        <w:t xml:space="preserve">thousand), and for the Bank amounted to </w:t>
      </w:r>
      <w:r w:rsidRPr="00C759CE">
        <w:rPr>
          <w:rFonts w:ascii="Calibri" w:eastAsia="Times New Roman" w:hAnsi="Calibri" w:cs="Arial"/>
          <w:bCs/>
          <w:color w:val="000000" w:themeColor="text1"/>
          <w:lang w:val="en-US"/>
        </w:rPr>
        <w:t xml:space="preserve">HRK </w:t>
      </w:r>
      <w:r w:rsidR="00997066" w:rsidRPr="00C759CE">
        <w:rPr>
          <w:rFonts w:ascii="Calibri" w:eastAsia="Times New Roman" w:hAnsi="Calibri" w:cs="Arial"/>
          <w:bCs/>
          <w:color w:val="000000" w:themeColor="text1"/>
          <w:lang w:val="en-US"/>
        </w:rPr>
        <w:t>1,</w:t>
      </w:r>
      <w:r w:rsidR="00C759CE" w:rsidRPr="00C759CE">
        <w:rPr>
          <w:rFonts w:ascii="Calibri" w:eastAsia="Times New Roman" w:hAnsi="Calibri" w:cs="Arial"/>
          <w:bCs/>
          <w:color w:val="000000" w:themeColor="text1"/>
          <w:lang w:val="en-US"/>
        </w:rPr>
        <w:t>859</w:t>
      </w:r>
      <w:r w:rsidR="00871F31" w:rsidRPr="00C759CE">
        <w:rPr>
          <w:rFonts w:cs="Arial"/>
          <w:bCs/>
          <w:color w:val="000000" w:themeColor="text1"/>
          <w:lang w:val="en-US"/>
        </w:rPr>
        <w:t xml:space="preserve"> </w:t>
      </w:r>
      <w:r w:rsidRPr="00C759CE">
        <w:rPr>
          <w:rFonts w:ascii="Calibri" w:eastAsia="Times New Roman" w:hAnsi="Calibri" w:cs="Arial"/>
          <w:bCs/>
          <w:color w:val="000000" w:themeColor="text1"/>
          <w:lang w:val="en-US"/>
        </w:rPr>
        <w:t>thousand</w:t>
      </w:r>
      <w:r w:rsidRPr="00537128">
        <w:rPr>
          <w:rFonts w:ascii="Calibri" w:eastAsia="Times New Roman" w:hAnsi="Calibri" w:cs="Arial"/>
          <w:bCs/>
          <w:color w:val="000000" w:themeColor="text1"/>
          <w:lang w:val="en-US"/>
        </w:rPr>
        <w:t xml:space="preserve"> (1 January to </w:t>
      </w:r>
      <w:r w:rsidR="007C651E" w:rsidRPr="00537128">
        <w:rPr>
          <w:rFonts w:ascii="Calibri" w:eastAsia="Times New Roman" w:hAnsi="Calibri" w:cs="Arial"/>
          <w:bCs/>
          <w:color w:val="000000" w:themeColor="text1"/>
          <w:lang w:val="en-US"/>
        </w:rPr>
        <w:t>31 March 202</w:t>
      </w:r>
      <w:r w:rsidR="001129CF">
        <w:rPr>
          <w:rFonts w:ascii="Calibri" w:eastAsia="Times New Roman" w:hAnsi="Calibri" w:cs="Arial"/>
          <w:bCs/>
          <w:color w:val="000000" w:themeColor="text1"/>
          <w:lang w:val="en-US"/>
        </w:rPr>
        <w:t>1</w:t>
      </w:r>
      <w:r w:rsidRPr="00537128">
        <w:rPr>
          <w:rFonts w:ascii="Calibri" w:eastAsia="Times New Roman" w:hAnsi="Calibri" w:cs="Arial"/>
          <w:bCs/>
          <w:color w:val="000000" w:themeColor="text1"/>
          <w:lang w:val="en-US"/>
        </w:rPr>
        <w:t xml:space="preserve">: HRK </w:t>
      </w:r>
      <w:r w:rsidR="00F56E9E" w:rsidRPr="00537128">
        <w:rPr>
          <w:rFonts w:ascii="Calibri" w:eastAsia="Times New Roman" w:hAnsi="Calibri" w:cs="Arial"/>
          <w:bCs/>
          <w:color w:val="000000" w:themeColor="text1"/>
          <w:lang w:val="en-US"/>
        </w:rPr>
        <w:t>1,</w:t>
      </w:r>
      <w:r w:rsidR="001129CF">
        <w:rPr>
          <w:rFonts w:ascii="Calibri" w:eastAsia="Times New Roman" w:hAnsi="Calibri" w:cs="Arial"/>
          <w:bCs/>
          <w:color w:val="000000" w:themeColor="text1"/>
          <w:lang w:val="en-US"/>
        </w:rPr>
        <w:t>558</w:t>
      </w:r>
      <w:r w:rsidR="00F56E9E" w:rsidRPr="00537128">
        <w:rPr>
          <w:rFonts w:ascii="Calibri" w:eastAsia="Times New Roman" w:hAnsi="Calibri" w:cs="Arial"/>
          <w:bCs/>
          <w:color w:val="000000" w:themeColor="text1"/>
          <w:lang w:val="en-US"/>
        </w:rPr>
        <w:t xml:space="preserve"> </w:t>
      </w:r>
      <w:r w:rsidRPr="00537128">
        <w:rPr>
          <w:rFonts w:ascii="Calibri" w:eastAsia="Times New Roman" w:hAnsi="Calibri" w:cs="Arial"/>
          <w:bCs/>
          <w:color w:val="000000" w:themeColor="text1"/>
          <w:lang w:val="en-US"/>
        </w:rPr>
        <w:t>thousand).</w:t>
      </w:r>
    </w:p>
    <w:p w14:paraId="4BEDFC85" w14:textId="77777777" w:rsidR="00C84B9E" w:rsidRPr="00537128" w:rsidRDefault="00C84B9E" w:rsidP="00C84B9E">
      <w:pPr>
        <w:keepNext/>
        <w:spacing w:after="0" w:line="240" w:lineRule="auto"/>
        <w:jc w:val="both"/>
        <w:rPr>
          <w:rFonts w:ascii="Calibri" w:eastAsia="Times New Roman" w:hAnsi="Calibri" w:cs="Arial"/>
          <w:bCs/>
          <w:color w:val="000000" w:themeColor="text1"/>
          <w:lang w:val="en-US"/>
        </w:rPr>
      </w:pPr>
    </w:p>
    <w:p w14:paraId="03FD4852" w14:textId="558992EA" w:rsidR="00AA4F19" w:rsidRPr="00537128" w:rsidRDefault="00C84B9E" w:rsidP="00AA4F19">
      <w:pPr>
        <w:pStyle w:val="T1"/>
        <w:keepNext w:val="0"/>
        <w:spacing w:before="0" w:after="0" w:line="240" w:lineRule="auto"/>
        <w:rPr>
          <w:rFonts w:asciiTheme="minorHAnsi" w:hAnsiTheme="minorHAnsi" w:cs="Arial"/>
          <w:b w:val="0"/>
          <w:bCs w:val="0"/>
          <w:color w:val="000000" w:themeColor="text1"/>
          <w:sz w:val="22"/>
          <w:szCs w:val="22"/>
          <w:highlight w:val="yellow"/>
          <w:lang w:val="en-US"/>
        </w:rPr>
      </w:pPr>
      <w:r w:rsidRPr="00537128">
        <w:rPr>
          <w:rFonts w:asciiTheme="minorHAnsi" w:hAnsiTheme="minorHAnsi" w:cstheme="minorHAnsi"/>
          <w:b w:val="0"/>
          <w:bCs w:val="0"/>
          <w:color w:val="000000" w:themeColor="text1"/>
          <w:sz w:val="22"/>
          <w:szCs w:val="22"/>
          <w:lang w:val="en-US"/>
        </w:rPr>
        <w:t xml:space="preserve">Remuneration for the work of the members of the Supervisory Board for the Group amounted to HRK </w:t>
      </w:r>
      <w:r w:rsidR="00C759CE">
        <w:rPr>
          <w:rFonts w:asciiTheme="minorHAnsi" w:hAnsiTheme="minorHAnsi" w:cstheme="minorHAnsi"/>
          <w:b w:val="0"/>
          <w:bCs w:val="0"/>
          <w:color w:val="000000" w:themeColor="text1"/>
          <w:sz w:val="22"/>
          <w:szCs w:val="22"/>
          <w:lang w:val="en-US"/>
        </w:rPr>
        <w:t>22</w:t>
      </w:r>
      <w:r w:rsidR="00601076" w:rsidRPr="00537128">
        <w:rPr>
          <w:rFonts w:asciiTheme="minorHAnsi" w:hAnsiTheme="minorHAnsi" w:cstheme="minorHAnsi"/>
          <w:b w:val="0"/>
          <w:bCs w:val="0"/>
          <w:color w:val="000000" w:themeColor="text1"/>
          <w:sz w:val="22"/>
          <w:szCs w:val="22"/>
          <w:lang w:val="en-US"/>
        </w:rPr>
        <w:t xml:space="preserve"> </w:t>
      </w:r>
      <w:r w:rsidRPr="00537128">
        <w:rPr>
          <w:rFonts w:asciiTheme="minorHAnsi" w:hAnsiTheme="minorHAnsi" w:cstheme="minorHAnsi"/>
          <w:b w:val="0"/>
          <w:bCs w:val="0"/>
          <w:color w:val="000000" w:themeColor="text1"/>
          <w:sz w:val="22"/>
          <w:szCs w:val="22"/>
          <w:lang w:val="en-US"/>
        </w:rPr>
        <w:t xml:space="preserve">thousand (1 January to </w:t>
      </w:r>
      <w:r w:rsidR="00F56E9E" w:rsidRPr="00537128">
        <w:rPr>
          <w:rFonts w:asciiTheme="minorHAnsi" w:hAnsiTheme="minorHAnsi" w:cstheme="minorHAnsi"/>
          <w:b w:val="0"/>
          <w:bCs w:val="0"/>
          <w:color w:val="000000" w:themeColor="text1"/>
          <w:sz w:val="22"/>
          <w:szCs w:val="22"/>
          <w:lang w:val="en-US"/>
        </w:rPr>
        <w:t>31 March 202</w:t>
      </w:r>
      <w:r w:rsidR="001129CF">
        <w:rPr>
          <w:rFonts w:asciiTheme="minorHAnsi" w:hAnsiTheme="minorHAnsi" w:cstheme="minorHAnsi"/>
          <w:b w:val="0"/>
          <w:bCs w:val="0"/>
          <w:color w:val="000000" w:themeColor="text1"/>
          <w:sz w:val="22"/>
          <w:szCs w:val="22"/>
          <w:lang w:val="en-US"/>
        </w:rPr>
        <w:t>1</w:t>
      </w:r>
      <w:r w:rsidRPr="00537128">
        <w:rPr>
          <w:rFonts w:asciiTheme="minorHAnsi" w:hAnsiTheme="minorHAnsi" w:cstheme="minorHAnsi"/>
          <w:b w:val="0"/>
          <w:bCs w:val="0"/>
          <w:color w:val="000000" w:themeColor="text1"/>
          <w:sz w:val="22"/>
          <w:szCs w:val="22"/>
          <w:lang w:val="en-US"/>
        </w:rPr>
        <w:t xml:space="preserve">: HRK </w:t>
      </w:r>
      <w:r w:rsidR="001129CF">
        <w:rPr>
          <w:rFonts w:asciiTheme="minorHAnsi" w:hAnsiTheme="minorHAnsi" w:cstheme="minorHAnsi"/>
          <w:b w:val="0"/>
          <w:bCs w:val="0"/>
          <w:color w:val="000000" w:themeColor="text1"/>
          <w:sz w:val="22"/>
          <w:szCs w:val="22"/>
          <w:lang w:val="en-US"/>
        </w:rPr>
        <w:t>14</w:t>
      </w:r>
      <w:r w:rsidRPr="00537128">
        <w:rPr>
          <w:rFonts w:asciiTheme="minorHAnsi" w:hAnsiTheme="minorHAnsi" w:cstheme="minorHAnsi"/>
          <w:b w:val="0"/>
          <w:bCs w:val="0"/>
          <w:color w:val="000000" w:themeColor="text1"/>
          <w:sz w:val="22"/>
          <w:szCs w:val="22"/>
          <w:lang w:val="en-US"/>
        </w:rPr>
        <w:t xml:space="preserve"> thousand) and for the Bank amounted to HRK </w:t>
      </w:r>
      <w:r w:rsidR="00C759CE">
        <w:rPr>
          <w:rFonts w:asciiTheme="minorHAnsi" w:hAnsiTheme="minorHAnsi" w:cstheme="minorHAnsi"/>
          <w:b w:val="0"/>
          <w:bCs w:val="0"/>
          <w:color w:val="000000" w:themeColor="text1"/>
          <w:sz w:val="22"/>
          <w:szCs w:val="22"/>
          <w:lang w:val="en-US"/>
        </w:rPr>
        <w:t>0</w:t>
      </w:r>
      <w:r w:rsidR="00871F31" w:rsidRPr="00537128">
        <w:rPr>
          <w:rFonts w:asciiTheme="minorHAnsi" w:hAnsiTheme="minorHAnsi" w:cstheme="minorHAnsi"/>
          <w:b w:val="0"/>
          <w:bCs w:val="0"/>
          <w:color w:val="000000" w:themeColor="text1"/>
          <w:sz w:val="22"/>
          <w:szCs w:val="22"/>
          <w:lang w:val="en-US"/>
        </w:rPr>
        <w:t xml:space="preserve"> </w:t>
      </w:r>
      <w:r w:rsidRPr="00537128">
        <w:rPr>
          <w:rFonts w:asciiTheme="minorHAnsi" w:hAnsiTheme="minorHAnsi" w:cstheme="minorHAnsi"/>
          <w:b w:val="0"/>
          <w:bCs w:val="0"/>
          <w:color w:val="000000" w:themeColor="text1"/>
          <w:sz w:val="22"/>
          <w:szCs w:val="22"/>
          <w:lang w:val="en-US"/>
        </w:rPr>
        <w:t xml:space="preserve">thousand (1 January to </w:t>
      </w:r>
      <w:r w:rsidR="00F56E9E" w:rsidRPr="00537128">
        <w:rPr>
          <w:rFonts w:asciiTheme="minorHAnsi" w:hAnsiTheme="minorHAnsi" w:cstheme="minorHAnsi"/>
          <w:b w:val="0"/>
          <w:bCs w:val="0"/>
          <w:color w:val="000000" w:themeColor="text1"/>
          <w:sz w:val="22"/>
          <w:szCs w:val="22"/>
          <w:lang w:val="en-US"/>
        </w:rPr>
        <w:t>31 March 202</w:t>
      </w:r>
      <w:r w:rsidR="001129CF">
        <w:rPr>
          <w:rFonts w:asciiTheme="minorHAnsi" w:hAnsiTheme="minorHAnsi" w:cstheme="minorHAnsi"/>
          <w:b w:val="0"/>
          <w:bCs w:val="0"/>
          <w:color w:val="000000" w:themeColor="text1"/>
          <w:sz w:val="22"/>
          <w:szCs w:val="22"/>
          <w:lang w:val="en-US"/>
        </w:rPr>
        <w:t>1</w:t>
      </w:r>
      <w:r w:rsidRPr="00537128">
        <w:rPr>
          <w:rFonts w:asciiTheme="minorHAnsi" w:hAnsiTheme="minorHAnsi" w:cstheme="minorHAnsi"/>
          <w:b w:val="0"/>
          <w:bCs w:val="0"/>
          <w:color w:val="000000" w:themeColor="text1"/>
          <w:sz w:val="22"/>
          <w:szCs w:val="22"/>
          <w:lang w:val="en-US"/>
        </w:rPr>
        <w:t xml:space="preserve">: HRK </w:t>
      </w:r>
      <w:r w:rsidR="001129CF">
        <w:rPr>
          <w:rFonts w:asciiTheme="minorHAnsi" w:hAnsiTheme="minorHAnsi" w:cstheme="minorHAnsi"/>
          <w:b w:val="0"/>
          <w:bCs w:val="0"/>
          <w:color w:val="000000" w:themeColor="text1"/>
          <w:sz w:val="22"/>
          <w:szCs w:val="22"/>
          <w:lang w:val="en-US"/>
        </w:rPr>
        <w:t>3</w:t>
      </w:r>
      <w:r w:rsidRPr="00537128">
        <w:rPr>
          <w:rFonts w:asciiTheme="minorHAnsi" w:hAnsiTheme="minorHAnsi" w:cstheme="minorHAnsi"/>
          <w:b w:val="0"/>
          <w:bCs w:val="0"/>
          <w:color w:val="000000" w:themeColor="text1"/>
          <w:sz w:val="22"/>
          <w:szCs w:val="22"/>
          <w:lang w:val="en-US"/>
        </w:rPr>
        <w:t xml:space="preserve"> thousand)</w:t>
      </w:r>
      <w:r w:rsidR="00AA4F19" w:rsidRPr="00537128">
        <w:rPr>
          <w:rFonts w:asciiTheme="minorHAnsi" w:hAnsiTheme="minorHAnsi" w:cstheme="minorHAnsi"/>
          <w:b w:val="0"/>
          <w:bCs w:val="0"/>
          <w:color w:val="000000" w:themeColor="text1"/>
          <w:sz w:val="22"/>
          <w:szCs w:val="22"/>
          <w:lang w:val="en-US"/>
        </w:rPr>
        <w:t xml:space="preserve"> </w:t>
      </w:r>
      <w:r w:rsidR="001A1A71" w:rsidRPr="00537128">
        <w:rPr>
          <w:rFonts w:asciiTheme="minorHAnsi" w:hAnsiTheme="minorHAnsi" w:cstheme="minorHAnsi"/>
          <w:b w:val="0"/>
          <w:bCs w:val="0"/>
          <w:color w:val="000000" w:themeColor="text1"/>
          <w:sz w:val="22"/>
          <w:szCs w:val="22"/>
          <w:lang w:val="en-US"/>
        </w:rPr>
        <w:t xml:space="preserve">and it relates to the members of supervisory boards at associates and subsidiaries who were appointed by HBOR. </w:t>
      </w:r>
    </w:p>
    <w:p w14:paraId="26CC28A3" w14:textId="77777777" w:rsidR="00AA4F19" w:rsidRPr="00537128" w:rsidRDefault="00AA4F19" w:rsidP="00AA4F19">
      <w:pPr>
        <w:pStyle w:val="T1"/>
        <w:keepNext w:val="0"/>
        <w:spacing w:before="0" w:after="0" w:line="240" w:lineRule="auto"/>
        <w:rPr>
          <w:rFonts w:asciiTheme="minorHAnsi" w:hAnsiTheme="minorHAnsi" w:cs="Arial"/>
          <w:b w:val="0"/>
          <w:bCs w:val="0"/>
          <w:color w:val="000000" w:themeColor="text1"/>
          <w:sz w:val="22"/>
          <w:szCs w:val="22"/>
          <w:highlight w:val="yellow"/>
          <w:lang w:val="en-US"/>
        </w:rPr>
      </w:pPr>
    </w:p>
    <w:p w14:paraId="013FCD8F" w14:textId="77777777" w:rsidR="00C84B9E" w:rsidRPr="00537128" w:rsidRDefault="00C84B9E" w:rsidP="005C1D73">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 xml:space="preserve"> </w:t>
      </w:r>
    </w:p>
    <w:p w14:paraId="07BDA059" w14:textId="77777777" w:rsidR="00D626F4" w:rsidRPr="00537128" w:rsidRDefault="00D626F4" w:rsidP="00C84B9E">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10BD2F0F" w14:textId="77777777" w:rsidR="00C84B9E" w:rsidRPr="00537128" w:rsidRDefault="00C84B9E" w:rsidP="00C84B9E">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44C2FE52" w14:textId="77777777" w:rsidR="00C84B9E" w:rsidRPr="00537128" w:rsidRDefault="00C84B9E" w:rsidP="00C84B9E">
      <w:pPr>
        <w:tabs>
          <w:tab w:val="right" w:pos="1202"/>
          <w:tab w:val="left" w:pos="9180"/>
        </w:tabs>
        <w:spacing w:after="0" w:line="240" w:lineRule="auto"/>
        <w:jc w:val="both"/>
        <w:outlineLvl w:val="0"/>
        <w:rPr>
          <w:rFonts w:ascii="Calibri" w:eastAsia="Times New Roman" w:hAnsi="Calibri" w:cs="Arial"/>
          <w:color w:val="000000" w:themeColor="text1"/>
          <w:lang w:val="en-US"/>
        </w:rPr>
        <w:sectPr w:rsidR="00C84B9E" w:rsidRPr="00537128">
          <w:pgSz w:w="11906" w:h="16838"/>
          <w:pgMar w:top="1417" w:right="1417" w:bottom="1417" w:left="1417" w:header="708" w:footer="708" w:gutter="0"/>
          <w:cols w:space="708"/>
          <w:docGrid w:linePitch="360"/>
        </w:sectPr>
      </w:pPr>
    </w:p>
    <w:p w14:paraId="780955AB" w14:textId="77777777" w:rsidR="00396083" w:rsidRDefault="00396083" w:rsidP="00A1123E">
      <w:pPr>
        <w:spacing w:after="0" w:line="240" w:lineRule="auto"/>
        <w:jc w:val="both"/>
        <w:rPr>
          <w:rFonts w:ascii="Calibri" w:eastAsia="Calibri" w:hAnsi="Calibri" w:cs="Arial"/>
          <w:b/>
          <w:color w:val="000000" w:themeColor="text1"/>
          <w:lang w:val="en-US"/>
        </w:rPr>
      </w:pPr>
    </w:p>
    <w:p w14:paraId="223C3118" w14:textId="0D89BC4C" w:rsidR="00F433E5" w:rsidRPr="00A1123E" w:rsidRDefault="007E5E14" w:rsidP="00A1123E">
      <w:pPr>
        <w:spacing w:after="0" w:line="240" w:lineRule="auto"/>
        <w:jc w:val="both"/>
        <w:rPr>
          <w:rFonts w:ascii="Calibri" w:eastAsia="Calibri" w:hAnsi="Calibri" w:cs="Arial"/>
          <w:b/>
          <w:color w:val="000000" w:themeColor="text1"/>
          <w:lang w:val="en-US"/>
        </w:rPr>
      </w:pPr>
      <w:r>
        <w:rPr>
          <w:rFonts w:ascii="Calibri" w:eastAsia="Calibri" w:hAnsi="Calibri" w:cs="Arial"/>
          <w:b/>
          <w:color w:val="000000" w:themeColor="text1"/>
          <w:lang w:val="en-US"/>
        </w:rPr>
        <w:t>23.</w:t>
      </w:r>
      <w:r>
        <w:rPr>
          <w:rFonts w:ascii="Calibri" w:eastAsia="Calibri" w:hAnsi="Calibri" w:cs="Arial"/>
          <w:b/>
          <w:color w:val="000000" w:themeColor="text1"/>
          <w:lang w:val="en-US"/>
        </w:rPr>
        <w:tab/>
      </w:r>
      <w:r w:rsidR="00F433E5" w:rsidRPr="00A1123E">
        <w:rPr>
          <w:rFonts w:ascii="Calibri" w:eastAsia="Calibri" w:hAnsi="Calibri" w:cs="Arial"/>
          <w:b/>
          <w:color w:val="000000" w:themeColor="text1"/>
          <w:lang w:val="en-US"/>
        </w:rPr>
        <w:t xml:space="preserve">Risk management </w:t>
      </w:r>
    </w:p>
    <w:p w14:paraId="7A342495" w14:textId="77777777" w:rsidR="00CD55EE" w:rsidRPr="00A1123E" w:rsidRDefault="00CD55EE">
      <w:pPr>
        <w:tabs>
          <w:tab w:val="right" w:pos="1202"/>
          <w:tab w:val="left" w:pos="9180"/>
        </w:tabs>
        <w:spacing w:after="0" w:line="240" w:lineRule="auto"/>
        <w:jc w:val="both"/>
        <w:outlineLvl w:val="0"/>
        <w:rPr>
          <w:rFonts w:ascii="Calibri" w:eastAsia="Times New Roman" w:hAnsi="Calibri" w:cs="Arial"/>
          <w:color w:val="000000" w:themeColor="text1"/>
          <w:sz w:val="16"/>
          <w:szCs w:val="16"/>
          <w:lang w:val="en-US"/>
        </w:rPr>
      </w:pPr>
    </w:p>
    <w:p w14:paraId="3358DB9C" w14:textId="2AB0C10C" w:rsidR="00877AC6" w:rsidRPr="00E920D3" w:rsidRDefault="00877AC6" w:rsidP="00877AC6">
      <w:pPr>
        <w:spacing w:after="0" w:line="240" w:lineRule="auto"/>
        <w:jc w:val="both"/>
        <w:rPr>
          <w:rFonts w:ascii="Calibri" w:hAnsi="Calibri" w:cs="Arial"/>
          <w:sz w:val="21"/>
          <w:szCs w:val="21"/>
        </w:rPr>
      </w:pPr>
      <w:r w:rsidRPr="00E920D3">
        <w:rPr>
          <w:rFonts w:ascii="Calibri" w:hAnsi="Calibri" w:cs="Arial"/>
          <w:sz w:val="21"/>
          <w:szCs w:val="21"/>
        </w:rPr>
        <w:t xml:space="preserve">Based on the Act on the Croatian Bank for Reconstruction and Development, the </w:t>
      </w:r>
      <w:r w:rsidR="00DD4485">
        <w:rPr>
          <w:rFonts w:ascii="Calibri" w:hAnsi="Calibri" w:cs="Arial"/>
          <w:sz w:val="21"/>
          <w:szCs w:val="21"/>
        </w:rPr>
        <w:t xml:space="preserve">Bank </w:t>
      </w:r>
      <w:r w:rsidRPr="00E920D3">
        <w:rPr>
          <w:rFonts w:ascii="Calibri" w:hAnsi="Calibri" w:cs="Arial"/>
          <w:sz w:val="21"/>
          <w:szCs w:val="21"/>
        </w:rPr>
        <w:t xml:space="preserve">is obliged to mitigate business risks directed by the principles of banking operations. </w:t>
      </w:r>
    </w:p>
    <w:p w14:paraId="72EDD0A0" w14:textId="77777777" w:rsidR="00877AC6" w:rsidRPr="00396083" w:rsidRDefault="00877AC6" w:rsidP="00877AC6">
      <w:pPr>
        <w:spacing w:after="0" w:line="240" w:lineRule="auto"/>
        <w:jc w:val="both"/>
        <w:rPr>
          <w:rFonts w:cs="Arial"/>
          <w:sz w:val="12"/>
          <w:szCs w:val="12"/>
        </w:rPr>
      </w:pPr>
    </w:p>
    <w:p w14:paraId="28698BFA" w14:textId="5B814DF5" w:rsidR="00877AC6" w:rsidRPr="00EC5E81" w:rsidRDefault="00877AC6" w:rsidP="00877AC6">
      <w:pPr>
        <w:spacing w:after="0" w:line="240" w:lineRule="auto"/>
        <w:jc w:val="both"/>
        <w:rPr>
          <w:rFonts w:cs="Arial"/>
        </w:rPr>
      </w:pPr>
      <w:r w:rsidRPr="00E920D3">
        <w:rPr>
          <w:rFonts w:cs="Arial"/>
        </w:rPr>
        <w:t xml:space="preserve">In the process of risk management, the </w:t>
      </w:r>
      <w:r w:rsidR="00DD4485">
        <w:rPr>
          <w:rFonts w:cs="Arial"/>
        </w:rPr>
        <w:t xml:space="preserve">Bank </w:t>
      </w:r>
      <w:r w:rsidR="00DD4485" w:rsidRPr="00DD4485">
        <w:rPr>
          <w:rFonts w:cstheme="minorHAnsi"/>
        </w:rPr>
        <w:t>continuously</w:t>
      </w:r>
      <w:r w:rsidRPr="00DD4485">
        <w:rPr>
          <w:rFonts w:cs="Arial"/>
        </w:rPr>
        <w:t xml:space="preserve"> identifies</w:t>
      </w:r>
      <w:r w:rsidRPr="00E920D3">
        <w:rPr>
          <w:rFonts w:cs="Arial"/>
        </w:rPr>
        <w:t xml:space="preserve">, estimates, measures, monitors, contains and controls the risks to which it is or might be exposed in the course of business and reports about them to the relevant authorities. </w:t>
      </w:r>
      <w:r w:rsidRPr="00EC5E81">
        <w:rPr>
          <w:rFonts w:cs="Arial"/>
        </w:rPr>
        <w:t xml:space="preserve">By the mentioned procedures and </w:t>
      </w:r>
      <w:r w:rsidRPr="000239F2">
        <w:rPr>
          <w:rFonts w:ascii="Calibri" w:eastAsia="Calibri" w:hAnsi="Calibri" w:cs="Calibri"/>
          <w:lang w:val="en-GB" w:eastAsia="hr-HR"/>
        </w:rPr>
        <w:t xml:space="preserve">corresponding </w:t>
      </w:r>
      <w:r w:rsidRPr="00EC5E81">
        <w:rPr>
          <w:rFonts w:cs="Arial"/>
        </w:rPr>
        <w:t xml:space="preserve">internal documents, a comprehensive and complete risk management system is provided.  </w:t>
      </w:r>
    </w:p>
    <w:p w14:paraId="742BC76A" w14:textId="77777777" w:rsidR="00877AC6" w:rsidRPr="00396083" w:rsidRDefault="00877AC6" w:rsidP="00877AC6">
      <w:pPr>
        <w:spacing w:after="0" w:line="240" w:lineRule="auto"/>
        <w:jc w:val="both"/>
        <w:rPr>
          <w:rFonts w:cs="Arial"/>
          <w:sz w:val="12"/>
          <w:szCs w:val="12"/>
        </w:rPr>
      </w:pPr>
    </w:p>
    <w:p w14:paraId="4E8E264B" w14:textId="4925BE81" w:rsidR="00877AC6" w:rsidRPr="006166FE" w:rsidRDefault="00877AC6" w:rsidP="00877AC6">
      <w:pPr>
        <w:spacing w:after="0" w:line="240" w:lineRule="auto"/>
        <w:jc w:val="both"/>
        <w:rPr>
          <w:rFonts w:ascii="Calibri" w:eastAsia="Calibri" w:hAnsi="Calibri" w:cs="Calibri"/>
          <w:lang w:val="en-GB"/>
        </w:rPr>
      </w:pPr>
      <w:bookmarkStart w:id="594" w:name="_Hlk97645978"/>
      <w:r w:rsidRPr="00E920D3">
        <w:rPr>
          <w:rFonts w:cs="Arial"/>
        </w:rPr>
        <w:t xml:space="preserve">The most significant risks the </w:t>
      </w:r>
      <w:r w:rsidR="00DD4485">
        <w:rPr>
          <w:rFonts w:cs="Arial"/>
        </w:rPr>
        <w:t>Bank</w:t>
      </w:r>
      <w:r w:rsidRPr="00E920D3">
        <w:rPr>
          <w:rFonts w:cs="Arial"/>
        </w:rPr>
        <w:t xml:space="preserve"> is exposed </w:t>
      </w:r>
      <w:r>
        <w:rPr>
          <w:rFonts w:cs="Arial"/>
        </w:rPr>
        <w:t xml:space="preserve">in its day-to-day business </w:t>
      </w:r>
      <w:r w:rsidRPr="00E920D3">
        <w:rPr>
          <w:rFonts w:cs="Arial"/>
        </w:rPr>
        <w:t>are credit risk, liquidity risk, interest rate risk, foreign exchange risk, operational risk and outsourcing risk. These risks are managed daily in accordance with the policies, ordinances</w:t>
      </w:r>
      <w:r w:rsidRPr="00E920D3">
        <w:rPr>
          <w:rFonts w:cs="Arial"/>
          <w:color w:val="000000" w:themeColor="text1"/>
        </w:rPr>
        <w:t>,</w:t>
      </w:r>
      <w:r>
        <w:rPr>
          <w:rFonts w:cs="Arial"/>
          <w:color w:val="000000" w:themeColor="text1"/>
        </w:rPr>
        <w:t xml:space="preserve"> </w:t>
      </w:r>
      <w:r w:rsidRPr="00E920D3">
        <w:rPr>
          <w:rFonts w:cs="Arial"/>
        </w:rPr>
        <w:t>methodologies</w:t>
      </w:r>
      <w:r>
        <w:rPr>
          <w:rFonts w:cs="Arial"/>
        </w:rPr>
        <w:t>,</w:t>
      </w:r>
      <w:r w:rsidRPr="003F7811">
        <w:rPr>
          <w:rFonts w:cs="Arial"/>
        </w:rPr>
        <w:t xml:space="preserve"> </w:t>
      </w:r>
      <w:r w:rsidRPr="000239F2">
        <w:rPr>
          <w:rFonts w:ascii="Calibri" w:eastAsia="Calibri" w:hAnsi="Calibri" w:cs="Calibri"/>
          <w:lang w:val="en-GB"/>
        </w:rPr>
        <w:t>instructions</w:t>
      </w:r>
      <w:r w:rsidRPr="003F7811">
        <w:rPr>
          <w:rFonts w:cs="Arial"/>
        </w:rPr>
        <w:t xml:space="preserve"> an</w:t>
      </w:r>
      <w:r w:rsidRPr="00E920D3">
        <w:rPr>
          <w:rFonts w:cs="Arial"/>
        </w:rPr>
        <w:t>d systems</w:t>
      </w:r>
      <w:r>
        <w:rPr>
          <w:rFonts w:cs="Arial"/>
        </w:rPr>
        <w:t xml:space="preserve"> of limits, </w:t>
      </w:r>
      <w:r w:rsidRPr="000239F2">
        <w:rPr>
          <w:rFonts w:ascii="Calibri" w:eastAsia="Calibri" w:hAnsi="Calibri" w:cs="Calibri"/>
          <w:lang w:val="en-GB"/>
        </w:rPr>
        <w:t>controls and decisions/conclusions of the Supervisory Board, the Management Board and the risk management committees</w:t>
      </w:r>
      <w:r w:rsidRPr="006166FE">
        <w:rPr>
          <w:rFonts w:ascii="Calibri" w:eastAsia="Calibri" w:hAnsi="Calibri" w:cs="Calibri"/>
          <w:lang w:val="en-GB"/>
        </w:rPr>
        <w:t>.</w:t>
      </w:r>
    </w:p>
    <w:p w14:paraId="3E5FDD98" w14:textId="77777777" w:rsidR="00877AC6" w:rsidRPr="00396083" w:rsidRDefault="00877AC6" w:rsidP="00877AC6">
      <w:pPr>
        <w:spacing w:after="0" w:line="240" w:lineRule="auto"/>
        <w:jc w:val="both"/>
        <w:rPr>
          <w:sz w:val="12"/>
          <w:szCs w:val="12"/>
        </w:rPr>
      </w:pPr>
    </w:p>
    <w:p w14:paraId="7EC4DB98" w14:textId="77777777" w:rsidR="00877AC6" w:rsidRPr="000239F2" w:rsidRDefault="00877AC6" w:rsidP="00877AC6">
      <w:pPr>
        <w:spacing w:after="0" w:line="240" w:lineRule="auto"/>
        <w:jc w:val="both"/>
        <w:rPr>
          <w:rFonts w:ascii="Calibri" w:eastAsia="Calibri" w:hAnsi="Calibri" w:cs="Calibri"/>
          <w:lang w:val="en-GB"/>
        </w:rPr>
      </w:pPr>
      <w:r w:rsidRPr="000239F2">
        <w:rPr>
          <w:rFonts w:ascii="Calibri" w:eastAsia="Calibri" w:hAnsi="Calibri" w:cs="Calibri"/>
          <w:lang w:val="en-GB"/>
        </w:rPr>
        <w:t>The Bank implements sensitivity analyses and scenario analyses, provided that one or several risk factors are changed in regular or stressful circumstances, and HBOR’s bodies in charge are informed of the respective results. The systems of pro-active risk management are continuously developed for the purpose of reducing possible future risks.</w:t>
      </w:r>
    </w:p>
    <w:bookmarkEnd w:id="594"/>
    <w:p w14:paraId="772DF4CF" w14:textId="77777777" w:rsidR="00877AC6" w:rsidRDefault="00877AC6" w:rsidP="00F433E5">
      <w:pPr>
        <w:spacing w:after="0" w:line="240" w:lineRule="auto"/>
        <w:jc w:val="both"/>
        <w:rPr>
          <w:rFonts w:ascii="Calibri" w:eastAsia="Calibri" w:hAnsi="Calibri" w:cs="Arial"/>
          <w:b/>
          <w:color w:val="000000" w:themeColor="text1"/>
          <w:lang w:val="en-US"/>
        </w:rPr>
      </w:pPr>
    </w:p>
    <w:p w14:paraId="5D387161" w14:textId="246CA621" w:rsidR="00F433E5" w:rsidRPr="00537128" w:rsidRDefault="00F433E5" w:rsidP="00F433E5">
      <w:pPr>
        <w:spacing w:after="0" w:line="240" w:lineRule="auto"/>
        <w:jc w:val="both"/>
        <w:rPr>
          <w:rFonts w:ascii="Calibri" w:eastAsia="Calibri" w:hAnsi="Calibri" w:cs="Calibri"/>
          <w:b/>
          <w:bCs/>
          <w:color w:val="000000" w:themeColor="text1"/>
          <w:spacing w:val="-3"/>
          <w:lang w:val="en-US"/>
        </w:rPr>
      </w:pPr>
      <w:r w:rsidRPr="00537128">
        <w:rPr>
          <w:rFonts w:ascii="Calibri" w:eastAsia="Calibri" w:hAnsi="Calibri" w:cs="Arial"/>
          <w:b/>
          <w:color w:val="000000" w:themeColor="text1"/>
          <w:lang w:val="en-US"/>
        </w:rPr>
        <w:t>2</w:t>
      </w:r>
      <w:r w:rsidR="007E5E14">
        <w:rPr>
          <w:rFonts w:ascii="Calibri" w:eastAsia="Calibri" w:hAnsi="Calibri" w:cs="Arial"/>
          <w:b/>
          <w:color w:val="000000" w:themeColor="text1"/>
          <w:lang w:val="en-US"/>
        </w:rPr>
        <w:t>3</w:t>
      </w:r>
      <w:r w:rsidRPr="00537128">
        <w:rPr>
          <w:rFonts w:ascii="Calibri" w:eastAsia="Calibri" w:hAnsi="Calibri" w:cs="Arial"/>
          <w:b/>
          <w:color w:val="000000" w:themeColor="text1"/>
          <w:lang w:val="en-US"/>
        </w:rPr>
        <w:t>.1. Overview of the most important risks</w:t>
      </w:r>
    </w:p>
    <w:p w14:paraId="59627E16" w14:textId="77777777" w:rsidR="00F433E5" w:rsidRPr="00632068" w:rsidRDefault="00F433E5" w:rsidP="00F433E5">
      <w:pPr>
        <w:spacing w:after="0" w:line="240" w:lineRule="auto"/>
        <w:jc w:val="both"/>
        <w:rPr>
          <w:rFonts w:ascii="Calibri" w:eastAsia="Calibri" w:hAnsi="Calibri" w:cs="Calibri"/>
          <w:bCs/>
          <w:color w:val="000000" w:themeColor="text1"/>
          <w:spacing w:val="-3"/>
          <w:sz w:val="20"/>
          <w:szCs w:val="20"/>
          <w:lang w:val="en-US"/>
        </w:rPr>
      </w:pPr>
    </w:p>
    <w:p w14:paraId="328C08C1" w14:textId="77777777" w:rsidR="00F433E5" w:rsidRPr="00537128" w:rsidRDefault="00F433E5" w:rsidP="00F433E5">
      <w:pPr>
        <w:spacing w:after="0" w:line="240" w:lineRule="auto"/>
        <w:jc w:val="both"/>
        <w:rPr>
          <w:rFonts w:ascii="Calibri" w:eastAsia="Calibri" w:hAnsi="Calibri" w:cs="Calibri"/>
          <w:b/>
          <w:bCs/>
          <w:color w:val="000000" w:themeColor="text1"/>
          <w:spacing w:val="-3"/>
          <w:lang w:val="en-US"/>
        </w:rPr>
      </w:pPr>
      <w:r w:rsidRPr="00537128">
        <w:rPr>
          <w:rFonts w:ascii="Calibri" w:eastAsia="Calibri" w:hAnsi="Calibri" w:cs="Calibri"/>
          <w:b/>
          <w:bCs/>
          <w:color w:val="000000" w:themeColor="text1"/>
          <w:spacing w:val="-3"/>
          <w:lang w:val="en-US"/>
        </w:rPr>
        <w:t>Credit risk</w:t>
      </w:r>
    </w:p>
    <w:p w14:paraId="4138AA22" w14:textId="77777777" w:rsidR="00F433E5" w:rsidRPr="00632068" w:rsidRDefault="00F433E5" w:rsidP="00F433E5">
      <w:pPr>
        <w:spacing w:after="0" w:line="240" w:lineRule="auto"/>
        <w:jc w:val="both"/>
        <w:rPr>
          <w:rFonts w:ascii="Calibri" w:eastAsia="Times New Roman" w:hAnsi="Calibri" w:cs="Times New Roman"/>
          <w:color w:val="000000" w:themeColor="text1"/>
          <w:sz w:val="20"/>
          <w:szCs w:val="20"/>
          <w:lang w:val="en-US"/>
        </w:rPr>
      </w:pPr>
    </w:p>
    <w:p w14:paraId="2BE33C91" w14:textId="3CC3FB29" w:rsidR="00396083" w:rsidRPr="00396083" w:rsidRDefault="00396083" w:rsidP="00396083">
      <w:pPr>
        <w:spacing w:after="0" w:line="240" w:lineRule="auto"/>
        <w:jc w:val="both"/>
      </w:pPr>
      <w:r w:rsidRPr="00396083">
        <w:rPr>
          <w:lang w:val="en-GB"/>
        </w:rPr>
        <w:t>The</w:t>
      </w:r>
      <w:r w:rsidRPr="00396083">
        <w:t xml:space="preserve"> Bank controls</w:t>
      </w:r>
      <w:r w:rsidRPr="00396083">
        <w:rPr>
          <w:lang w:val="en-GB"/>
        </w:rPr>
        <w:t xml:space="preserve"> credit</w:t>
      </w:r>
      <w:r w:rsidRPr="00396083">
        <w:t xml:space="preserve"> risk through its credit policies and the credit risk management ordinance, which prescribe internal control systems with the aim of acting on the risk preventively.</w:t>
      </w:r>
    </w:p>
    <w:p w14:paraId="45872C3C" w14:textId="77777777" w:rsidR="00396083" w:rsidRPr="00396083" w:rsidRDefault="00396083" w:rsidP="00396083">
      <w:pPr>
        <w:spacing w:after="0" w:line="240" w:lineRule="auto"/>
        <w:jc w:val="both"/>
        <w:rPr>
          <w:sz w:val="12"/>
          <w:szCs w:val="12"/>
        </w:rPr>
      </w:pPr>
    </w:p>
    <w:p w14:paraId="08ED0613" w14:textId="297D3572" w:rsidR="00B41778" w:rsidRDefault="00B41778" w:rsidP="0097651B">
      <w:pPr>
        <w:spacing w:after="0" w:line="240" w:lineRule="auto"/>
        <w:jc w:val="both"/>
        <w:rPr>
          <w:rFonts w:cstheme="minorHAnsi"/>
          <w:bCs/>
          <w:spacing w:val="-3"/>
        </w:rPr>
      </w:pPr>
      <w:r w:rsidRPr="00E920D3">
        <w:rPr>
          <w:rFonts w:cstheme="minorHAnsi"/>
          <w:bCs/>
          <w:spacing w:val="-3"/>
        </w:rPr>
        <w:t>The credit risk management system is the most important part of the HBOR business policy and is an important factor of its operation strategy.</w:t>
      </w:r>
    </w:p>
    <w:p w14:paraId="43781774" w14:textId="77777777" w:rsidR="0097651B" w:rsidRPr="00E920D3" w:rsidRDefault="0097651B" w:rsidP="0097651B">
      <w:pPr>
        <w:spacing w:after="0" w:line="240" w:lineRule="auto"/>
        <w:jc w:val="both"/>
        <w:rPr>
          <w:rFonts w:cstheme="minorHAnsi"/>
          <w:bCs/>
          <w:spacing w:val="-3"/>
        </w:rPr>
      </w:pPr>
    </w:p>
    <w:p w14:paraId="740C9727" w14:textId="57E1B2CC" w:rsidR="00F433E5" w:rsidRPr="00537128" w:rsidRDefault="00F433E5" w:rsidP="0097651B">
      <w:p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 xml:space="preserve">Liquidity risk, currency risk and interest rate risk </w:t>
      </w:r>
    </w:p>
    <w:p w14:paraId="220FBB8A" w14:textId="77777777" w:rsidR="00F433E5" w:rsidRPr="00632068" w:rsidRDefault="00F433E5" w:rsidP="0097651B">
      <w:pPr>
        <w:spacing w:after="0" w:line="240" w:lineRule="auto"/>
        <w:jc w:val="both"/>
        <w:rPr>
          <w:rFonts w:ascii="Calibri" w:eastAsia="Times New Roman" w:hAnsi="Calibri" w:cs="Times New Roman"/>
          <w:color w:val="000000" w:themeColor="text1"/>
          <w:sz w:val="20"/>
          <w:szCs w:val="20"/>
          <w:lang w:val="en-US"/>
        </w:rPr>
      </w:pPr>
    </w:p>
    <w:p w14:paraId="34DABF6A" w14:textId="65203791" w:rsidR="001234C2" w:rsidRDefault="00B423F7" w:rsidP="0097651B">
      <w:pPr>
        <w:spacing w:after="0" w:line="240" w:lineRule="auto"/>
        <w:jc w:val="both"/>
        <w:rPr>
          <w:rFonts w:ascii="Calibri" w:eastAsia="Calibri" w:hAnsi="Calibri" w:cs="Calibri"/>
          <w:color w:val="000000" w:themeColor="text1"/>
          <w:spacing w:val="-3"/>
          <w:lang w:val="en-US" w:eastAsia="hr-HR"/>
        </w:rPr>
      </w:pPr>
      <w:r w:rsidRPr="00B423F7">
        <w:rPr>
          <w:rFonts w:ascii="Calibri" w:eastAsia="Calibri" w:hAnsi="Calibri" w:cs="Calibri"/>
          <w:color w:val="000000" w:themeColor="text1"/>
          <w:spacing w:val="-3"/>
          <w:lang w:val="en-US" w:eastAsia="hr-HR"/>
        </w:rPr>
        <w:t xml:space="preserve">The Bank ensures quality management of liquidity, currency and interest rate risks through the Asset and Liability Management Committee. The management of these risks implies a reduction of interest rate risk, currency risk and liquidity risk to the lowest possible level. </w:t>
      </w:r>
      <w:proofErr w:type="gramStart"/>
      <w:r w:rsidRPr="00B423F7">
        <w:rPr>
          <w:rFonts w:ascii="Calibri" w:eastAsia="Calibri" w:hAnsi="Calibri" w:cs="Calibri"/>
          <w:color w:val="000000" w:themeColor="text1"/>
          <w:spacing w:val="-3"/>
          <w:lang w:val="en-US" w:eastAsia="hr-HR"/>
        </w:rPr>
        <w:t>The majority of</w:t>
      </w:r>
      <w:proofErr w:type="gramEnd"/>
      <w:r w:rsidRPr="00B423F7">
        <w:rPr>
          <w:rFonts w:ascii="Calibri" w:eastAsia="Calibri" w:hAnsi="Calibri" w:cs="Calibri"/>
          <w:color w:val="000000" w:themeColor="text1"/>
          <w:spacing w:val="-3"/>
          <w:lang w:val="en-US" w:eastAsia="hr-HR"/>
        </w:rPr>
        <w:t xml:space="preserve"> the Bank’s </w:t>
      </w:r>
      <w:proofErr w:type="spellStart"/>
      <w:r w:rsidRPr="00B423F7">
        <w:rPr>
          <w:rFonts w:ascii="Calibri" w:eastAsia="Calibri" w:hAnsi="Calibri" w:cs="Calibri"/>
          <w:color w:val="000000" w:themeColor="text1"/>
          <w:spacing w:val="-3"/>
          <w:lang w:val="en-US" w:eastAsia="hr-HR"/>
        </w:rPr>
        <w:t>organisational</w:t>
      </w:r>
      <w:proofErr w:type="spellEnd"/>
      <w:r w:rsidRPr="00B423F7">
        <w:rPr>
          <w:rFonts w:ascii="Calibri" w:eastAsia="Calibri" w:hAnsi="Calibri" w:cs="Calibri"/>
          <w:color w:val="000000" w:themeColor="text1"/>
          <w:spacing w:val="-3"/>
          <w:lang w:val="en-US" w:eastAsia="hr-HR"/>
        </w:rPr>
        <w:t xml:space="preserve"> units are included, directly and indirectly, in the operations of the Asset and Liability Management Committee in order to ensure a high-quality, integrated and comprehensive system for the management of these risks.</w:t>
      </w:r>
    </w:p>
    <w:p w14:paraId="20009C54" w14:textId="77777777" w:rsidR="00B423F7" w:rsidRPr="00537128" w:rsidRDefault="00B423F7" w:rsidP="00F433E5">
      <w:pPr>
        <w:spacing w:after="0" w:line="23" w:lineRule="atLeast"/>
        <w:jc w:val="both"/>
        <w:rPr>
          <w:rFonts w:ascii="Calibri" w:eastAsia="Calibri" w:hAnsi="Calibri" w:cs="Calibri"/>
          <w:b/>
          <w:color w:val="000000" w:themeColor="text1"/>
          <w:sz w:val="16"/>
          <w:szCs w:val="16"/>
          <w:lang w:val="en-US"/>
        </w:rPr>
      </w:pPr>
    </w:p>
    <w:p w14:paraId="77691A8E" w14:textId="77777777" w:rsidR="00F433E5" w:rsidRPr="00537128" w:rsidRDefault="00F433E5" w:rsidP="00F433E5">
      <w:p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Liquidity risk</w:t>
      </w:r>
    </w:p>
    <w:p w14:paraId="162CAB7B" w14:textId="77777777" w:rsidR="00F433E5" w:rsidRPr="00396083" w:rsidRDefault="00F433E5" w:rsidP="00F433E5">
      <w:pPr>
        <w:spacing w:after="0" w:line="240" w:lineRule="auto"/>
        <w:jc w:val="both"/>
        <w:rPr>
          <w:rFonts w:ascii="Calibri" w:eastAsia="Times New Roman" w:hAnsi="Calibri" w:cs="Times New Roman"/>
          <w:b/>
          <w:color w:val="000000" w:themeColor="text1"/>
          <w:sz w:val="16"/>
          <w:szCs w:val="16"/>
          <w:lang w:val="en-US"/>
        </w:rPr>
      </w:pPr>
    </w:p>
    <w:p w14:paraId="6DBFEF51" w14:textId="77777777" w:rsidR="00DC08A8" w:rsidRPr="00E920D3" w:rsidRDefault="00DC08A8" w:rsidP="00DC08A8">
      <w:pPr>
        <w:spacing w:after="0" w:line="240" w:lineRule="auto"/>
        <w:jc w:val="both"/>
        <w:rPr>
          <w:rFonts w:ascii="Calibri" w:eastAsia="Calibri" w:hAnsi="Calibri" w:cs="Calibri"/>
          <w:spacing w:val="-3"/>
        </w:rPr>
      </w:pPr>
      <w:r w:rsidRPr="00E920D3">
        <w:rPr>
          <w:rFonts w:ascii="Calibri" w:eastAsia="Calibri" w:hAnsi="Calibri" w:cs="Calibri"/>
          <w:spacing w:val="-3"/>
        </w:rPr>
        <w:t xml:space="preserve">The basic principles for managing HBOR's liquidity risk are determined in the internal documents as well as in the decisions and conclusions made by the Supervisory Board, the Management Board and the Asset and Liability Management Committee. </w:t>
      </w:r>
    </w:p>
    <w:p w14:paraId="774CE0AC" w14:textId="77777777" w:rsidR="00DC08A8" w:rsidRPr="00632068" w:rsidRDefault="00DC08A8" w:rsidP="00DC08A8">
      <w:pPr>
        <w:spacing w:after="0" w:line="240" w:lineRule="auto"/>
        <w:jc w:val="both"/>
        <w:rPr>
          <w:sz w:val="20"/>
          <w:szCs w:val="20"/>
          <w:highlight w:val="yellow"/>
        </w:rPr>
      </w:pPr>
    </w:p>
    <w:p w14:paraId="5B541633" w14:textId="21CF96BC" w:rsidR="00DC08A8" w:rsidRPr="00E920D3" w:rsidRDefault="00DC08A8" w:rsidP="00DC08A8">
      <w:pPr>
        <w:spacing w:after="0" w:line="240" w:lineRule="auto"/>
        <w:jc w:val="both"/>
        <w:rPr>
          <w:rFonts w:cstheme="minorHAnsi"/>
          <w:spacing w:val="-3"/>
        </w:rPr>
        <w:sectPr w:rsidR="00DC08A8" w:rsidRPr="00E920D3" w:rsidSect="00C06CDD">
          <w:pgSz w:w="11906" w:h="16838" w:code="9"/>
          <w:pgMar w:top="278" w:right="1418" w:bottom="595" w:left="1134" w:header="709" w:footer="709" w:gutter="0"/>
          <w:cols w:space="708"/>
          <w:titlePg/>
          <w:docGrid w:linePitch="360"/>
        </w:sectPr>
      </w:pPr>
      <w:bookmarkStart w:id="595" w:name="_Hlk34301354"/>
      <w:r w:rsidRPr="00E920D3">
        <w:rPr>
          <w:rFonts w:cstheme="minorHAnsi"/>
          <w:spacing w:val="-3"/>
        </w:rPr>
        <w:t xml:space="preserve">In order to manage liquidity risk, the </w:t>
      </w:r>
      <w:r>
        <w:rPr>
          <w:rFonts w:cstheme="minorHAnsi"/>
          <w:spacing w:val="-3"/>
        </w:rPr>
        <w:t>Bank</w:t>
      </w:r>
      <w:r w:rsidRPr="00E920D3">
        <w:rPr>
          <w:rFonts w:cstheme="minorHAnsi"/>
          <w:spacing w:val="-3"/>
        </w:rPr>
        <w:t xml:space="preserve"> has established a system of limits</w:t>
      </w:r>
      <w:r>
        <w:rPr>
          <w:rFonts w:cstheme="minorHAnsi"/>
          <w:spacing w:val="-3"/>
        </w:rPr>
        <w:t xml:space="preserve"> and early warning signals</w:t>
      </w:r>
      <w:r w:rsidRPr="00E920D3">
        <w:rPr>
          <w:rFonts w:cstheme="minorHAnsi"/>
          <w:spacing w:val="-3"/>
        </w:rPr>
        <w:t xml:space="preserve">, monitors and controls limit utilisation, maintains the adequate level of liquidity reserve, continuously monitors current and planned liquidity, ensures HRK and foreign currency funds necessary for timely settlement of liabilities and for disbursements of approved loans and planned loan approvals. </w:t>
      </w:r>
      <w:bookmarkStart w:id="596" w:name="_Hlk97646527"/>
      <w:r w:rsidRPr="000239F2">
        <w:rPr>
          <w:rFonts w:ascii="Calibri" w:eastAsia="Calibri" w:hAnsi="Calibri" w:cs="Calibri"/>
          <w:spacing w:val="-3"/>
          <w:lang w:val="en-GB"/>
        </w:rPr>
        <w:t xml:space="preserve">In terms of liquidity risk management, the maturity matching of existing and planned placements and their sources </w:t>
      </w:r>
      <w:proofErr w:type="gramStart"/>
      <w:r w:rsidRPr="000239F2">
        <w:rPr>
          <w:rFonts w:ascii="Calibri" w:eastAsia="Calibri" w:hAnsi="Calibri" w:cs="Calibri"/>
          <w:spacing w:val="-3"/>
          <w:lang w:val="en-GB"/>
        </w:rPr>
        <w:t xml:space="preserve">is </w:t>
      </w:r>
      <w:bookmarkEnd w:id="595"/>
      <w:bookmarkEnd w:id="596"/>
      <w:r w:rsidRPr="00E920D3">
        <w:rPr>
          <w:rFonts w:cstheme="minorHAnsi"/>
          <w:spacing w:val="-3"/>
        </w:rPr>
        <w:t>.</w:t>
      </w:r>
      <w:proofErr w:type="gramEnd"/>
    </w:p>
    <w:p w14:paraId="55D79322" w14:textId="34DEB54B" w:rsidR="00F433E5" w:rsidRPr="00537128" w:rsidRDefault="00F433E5" w:rsidP="00F433E5">
      <w:pPr>
        <w:tabs>
          <w:tab w:val="right" w:pos="1202"/>
          <w:tab w:val="left" w:pos="9180"/>
        </w:tabs>
        <w:spacing w:after="0" w:line="240" w:lineRule="auto"/>
        <w:jc w:val="both"/>
        <w:outlineLvl w:val="0"/>
        <w:rPr>
          <w:rFonts w:ascii="Calibri" w:eastAsia="Times New Roman" w:hAnsi="Calibri" w:cs="Calibri"/>
          <w:color w:val="000000" w:themeColor="text1"/>
          <w:spacing w:val="-3"/>
          <w:sz w:val="12"/>
          <w:szCs w:val="12"/>
          <w:lang w:val="en-US"/>
        </w:rPr>
      </w:pPr>
    </w:p>
    <w:p w14:paraId="4A3461E2" w14:textId="08952B15" w:rsidR="00BB61BD" w:rsidRPr="00537128" w:rsidRDefault="00BB61BD" w:rsidP="00BB61BD">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sidR="00DE532A">
        <w:rPr>
          <w:rFonts w:ascii="Calibri" w:eastAsia="Times New Roman" w:hAnsi="Calibri" w:cs="Calibri"/>
          <w:b/>
          <w:bCs/>
          <w:color w:val="000000" w:themeColor="text1"/>
          <w:lang w:val="en-US" w:eastAsia="hr-HR"/>
        </w:rPr>
        <w:t>3</w:t>
      </w:r>
      <w:r w:rsidRPr="00537128">
        <w:rPr>
          <w:rFonts w:ascii="Calibri" w:eastAsia="Times New Roman" w:hAnsi="Calibri" w:cs="Calibri"/>
          <w:b/>
          <w:bCs/>
          <w:color w:val="000000" w:themeColor="text1"/>
          <w:lang w:val="en-US" w:eastAsia="hr-HR"/>
        </w:rPr>
        <w:t>.</w:t>
      </w:r>
      <w:r w:rsidRPr="00537128">
        <w:rPr>
          <w:rFonts w:ascii="Calibri" w:eastAsia="Times New Roman" w:hAnsi="Calibri" w:cs="Calibri"/>
          <w:b/>
          <w:bCs/>
          <w:color w:val="000000" w:themeColor="text1"/>
          <w:lang w:val="en-US"/>
        </w:rPr>
        <w:tab/>
        <w:t>Risk management (continued)</w:t>
      </w:r>
    </w:p>
    <w:p w14:paraId="569BEF78" w14:textId="77777777" w:rsidR="00BB61BD" w:rsidRPr="00537128" w:rsidRDefault="00BB61BD" w:rsidP="00BB61BD">
      <w:pPr>
        <w:spacing w:after="0" w:line="240" w:lineRule="auto"/>
        <w:jc w:val="both"/>
        <w:rPr>
          <w:rFonts w:ascii="Calibri" w:eastAsia="Times New Roman" w:hAnsi="Calibri" w:cs="Calibri"/>
          <w:b/>
          <w:color w:val="000000" w:themeColor="text1"/>
          <w:sz w:val="12"/>
          <w:szCs w:val="12"/>
          <w:lang w:val="en-US"/>
        </w:rPr>
      </w:pPr>
    </w:p>
    <w:p w14:paraId="373EBCAA" w14:textId="5DA2787A" w:rsidR="00BB61BD" w:rsidRPr="00537128" w:rsidRDefault="00BB61BD" w:rsidP="00BB61BD">
      <w:pPr>
        <w:spacing w:after="0" w:line="240" w:lineRule="auto"/>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sidR="00DE532A">
        <w:rPr>
          <w:rFonts w:ascii="Calibri" w:eastAsia="Calibri" w:hAnsi="Calibri" w:cs="Arial"/>
          <w:b/>
          <w:color w:val="000000" w:themeColor="text1"/>
          <w:lang w:val="en-US"/>
        </w:rPr>
        <w:t>3</w:t>
      </w:r>
      <w:r w:rsidRPr="00537128">
        <w:rPr>
          <w:rFonts w:ascii="Calibri" w:eastAsia="Calibri" w:hAnsi="Calibri" w:cs="Arial"/>
          <w:b/>
          <w:color w:val="000000" w:themeColor="text1"/>
          <w:lang w:val="en-US"/>
        </w:rPr>
        <w:t>.1. Overview of the most important risks (continued)</w:t>
      </w:r>
    </w:p>
    <w:p w14:paraId="7CD89913" w14:textId="77777777" w:rsidR="00BB61BD" w:rsidRPr="00537128" w:rsidRDefault="00BB61BD" w:rsidP="00BB61BD">
      <w:pPr>
        <w:spacing w:after="0" w:line="240" w:lineRule="auto"/>
        <w:jc w:val="both"/>
        <w:rPr>
          <w:rFonts w:ascii="Calibri" w:eastAsia="Times New Roman" w:hAnsi="Calibri" w:cs="Times New Roman"/>
          <w:b/>
          <w:color w:val="000000" w:themeColor="text1"/>
          <w:sz w:val="12"/>
          <w:szCs w:val="12"/>
          <w:lang w:val="en-US"/>
        </w:rPr>
      </w:pPr>
    </w:p>
    <w:p w14:paraId="1C756D82" w14:textId="77777777" w:rsidR="00BB61BD" w:rsidRPr="00537128" w:rsidRDefault="00BB61BD" w:rsidP="00BB61BD">
      <w:p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Liquidity risk (continued)</w:t>
      </w:r>
    </w:p>
    <w:p w14:paraId="5FF6D497" w14:textId="77777777" w:rsidR="00BB61BD" w:rsidRPr="00537128" w:rsidRDefault="00BB61BD" w:rsidP="00BB61BD">
      <w:pPr>
        <w:spacing w:after="0" w:line="240" w:lineRule="auto"/>
        <w:jc w:val="both"/>
        <w:rPr>
          <w:rFonts w:ascii="Calibri" w:eastAsia="Times New Roman" w:hAnsi="Calibri" w:cs="Times New Roman"/>
          <w:b/>
          <w:color w:val="000000" w:themeColor="text1"/>
          <w:sz w:val="12"/>
          <w:szCs w:val="12"/>
          <w:lang w:val="en-US"/>
        </w:rPr>
      </w:pPr>
    </w:p>
    <w:p w14:paraId="6994E83F" w14:textId="77777777" w:rsidR="00396083" w:rsidRDefault="00396083" w:rsidP="00745234">
      <w:pPr>
        <w:widowControl w:val="0"/>
        <w:spacing w:after="0" w:line="240" w:lineRule="auto"/>
        <w:ind w:right="-6"/>
        <w:jc w:val="both"/>
        <w:rPr>
          <w:rFonts w:cstheme="minorHAnsi"/>
          <w:spacing w:val="-3"/>
        </w:rPr>
      </w:pPr>
      <w:r w:rsidRPr="000239F2">
        <w:rPr>
          <w:rFonts w:ascii="Calibri" w:eastAsia="Calibri" w:hAnsi="Calibri" w:cs="Calibri"/>
          <w:spacing w:val="-3"/>
          <w:lang w:val="en-GB"/>
        </w:rPr>
        <w:t>strived to be achieved.</w:t>
      </w:r>
      <w:r>
        <w:rPr>
          <w:rFonts w:ascii="Calibri" w:eastAsia="Calibri" w:hAnsi="Calibri" w:cs="Calibri"/>
          <w:spacing w:val="-3"/>
          <w:lang w:val="en-GB"/>
        </w:rPr>
        <w:t xml:space="preserve"> </w:t>
      </w:r>
      <w:r w:rsidRPr="00E920D3">
        <w:rPr>
          <w:rFonts w:cstheme="minorHAnsi"/>
          <w:spacing w:val="-3"/>
        </w:rPr>
        <w:t xml:space="preserve">The </w:t>
      </w:r>
      <w:r>
        <w:rPr>
          <w:rFonts w:cstheme="minorHAnsi"/>
          <w:spacing w:val="-3"/>
        </w:rPr>
        <w:t>Bank</w:t>
      </w:r>
      <w:r w:rsidRPr="00E920D3">
        <w:rPr>
          <w:rFonts w:cstheme="minorHAnsi"/>
          <w:spacing w:val="-3"/>
        </w:rPr>
        <w:t xml:space="preserve"> does not hold deposits of citizens and is therefore not exposed to wide daily fluctuations in liquidity.</w:t>
      </w:r>
    </w:p>
    <w:p w14:paraId="334F431E" w14:textId="77777777" w:rsidR="00396083" w:rsidRDefault="00396083" w:rsidP="00745234">
      <w:pPr>
        <w:widowControl w:val="0"/>
        <w:spacing w:after="0" w:line="240" w:lineRule="auto"/>
        <w:ind w:right="-6"/>
        <w:jc w:val="both"/>
        <w:rPr>
          <w:rFonts w:cstheme="minorHAnsi"/>
          <w:spacing w:val="-3"/>
        </w:rPr>
      </w:pPr>
    </w:p>
    <w:p w14:paraId="60AFCF41" w14:textId="109EB33F" w:rsidR="00745234" w:rsidRDefault="00745234" w:rsidP="00745234">
      <w:pPr>
        <w:widowControl w:val="0"/>
        <w:spacing w:after="0" w:line="240" w:lineRule="auto"/>
        <w:ind w:right="-6"/>
        <w:jc w:val="both"/>
        <w:rPr>
          <w:rFonts w:eastAsia="Calibri" w:cstheme="minorHAnsi"/>
          <w:spacing w:val="-3"/>
        </w:rPr>
      </w:pPr>
      <w:r w:rsidRPr="00E920D3">
        <w:rPr>
          <w:rFonts w:eastAsia="Calibri" w:cstheme="minorHAnsi"/>
          <w:spacing w:val="-3"/>
        </w:rPr>
        <w:t xml:space="preserve">The </w:t>
      </w:r>
      <w:r>
        <w:rPr>
          <w:rFonts w:eastAsia="Calibri" w:cstheme="minorHAnsi"/>
          <w:spacing w:val="-3"/>
        </w:rPr>
        <w:t>Bank</w:t>
      </w:r>
      <w:r w:rsidRPr="00E920D3">
        <w:rPr>
          <w:rFonts w:eastAsia="Calibri" w:cstheme="minorHAnsi"/>
          <w:spacing w:val="-3"/>
        </w:rPr>
        <w:t xml:space="preserve"> monitors liquidity risk by implementing the sensitivity analyses and scenario analyses in regular or stressful business conditions. </w:t>
      </w:r>
      <w:bookmarkStart w:id="597" w:name="_Hlk34301665"/>
      <w:r>
        <w:rPr>
          <w:rFonts w:eastAsia="Calibri" w:cstheme="minorHAnsi"/>
          <w:spacing w:val="-3"/>
        </w:rPr>
        <w:t>P</w:t>
      </w:r>
      <w:r w:rsidRPr="00E920D3">
        <w:rPr>
          <w:rFonts w:eastAsia="Calibri" w:cstheme="minorHAnsi"/>
          <w:spacing w:val="-3"/>
        </w:rPr>
        <w:t xml:space="preserve">rocedures for liquidity crisis indication or occurrence are determined by the Ordinance on Liquidity Risk Management. </w:t>
      </w:r>
    </w:p>
    <w:bookmarkEnd w:id="597"/>
    <w:p w14:paraId="64DA710E" w14:textId="77777777" w:rsidR="001234C2" w:rsidRPr="00537128" w:rsidRDefault="001234C2" w:rsidP="001234C2">
      <w:pPr>
        <w:spacing w:after="0" w:line="240" w:lineRule="auto"/>
        <w:jc w:val="both"/>
        <w:rPr>
          <w:rFonts w:ascii="Calibri" w:eastAsia="Calibri" w:hAnsi="Calibri" w:cs="Calibri"/>
          <w:b/>
          <w:bCs/>
          <w:color w:val="000000" w:themeColor="text1"/>
          <w:spacing w:val="-3"/>
          <w:sz w:val="12"/>
          <w:szCs w:val="12"/>
          <w:lang w:val="en-US"/>
        </w:rPr>
      </w:pPr>
    </w:p>
    <w:p w14:paraId="0487FA8F" w14:textId="2B300C5D" w:rsidR="00BB61BD" w:rsidRPr="00537128" w:rsidRDefault="00BB61BD" w:rsidP="00BB61BD">
      <w:pPr>
        <w:spacing w:after="0" w:line="240" w:lineRule="auto"/>
        <w:jc w:val="both"/>
        <w:rPr>
          <w:rFonts w:ascii="Calibri" w:eastAsia="Times New Roman" w:hAnsi="Calibri" w:cs="Calibri"/>
          <w:b/>
          <w:color w:val="000000" w:themeColor="text1"/>
          <w:lang w:val="en-US"/>
        </w:rPr>
      </w:pPr>
      <w:r w:rsidRPr="00537128">
        <w:rPr>
          <w:rFonts w:ascii="Calibri" w:eastAsia="Times New Roman" w:hAnsi="Calibri" w:cs="Calibri"/>
          <w:b/>
          <w:color w:val="000000" w:themeColor="text1"/>
          <w:lang w:val="en-US"/>
        </w:rPr>
        <w:t xml:space="preserve">Interest rate risk </w:t>
      </w:r>
    </w:p>
    <w:p w14:paraId="6FA3E363" w14:textId="77777777" w:rsidR="00BB61BD" w:rsidRPr="00537128" w:rsidRDefault="00BB61BD" w:rsidP="00BB61BD">
      <w:pPr>
        <w:spacing w:after="0" w:line="240" w:lineRule="auto"/>
        <w:jc w:val="both"/>
        <w:rPr>
          <w:rFonts w:ascii="Calibri" w:eastAsia="Times New Roman" w:hAnsi="Calibri" w:cs="Times New Roman"/>
          <w:color w:val="000000" w:themeColor="text1"/>
          <w:sz w:val="12"/>
          <w:szCs w:val="12"/>
          <w:highlight w:val="yellow"/>
          <w:lang w:val="en-US"/>
        </w:rPr>
      </w:pPr>
    </w:p>
    <w:p w14:paraId="2AAC258D" w14:textId="77777777" w:rsidR="009250A0" w:rsidRDefault="009250A0" w:rsidP="009250A0">
      <w:pPr>
        <w:spacing w:after="0" w:line="240" w:lineRule="auto"/>
        <w:jc w:val="both"/>
        <w:rPr>
          <w:rFonts w:ascii="Calibri" w:hAnsi="Calibri" w:cs="Calibri"/>
          <w:lang w:eastAsia="hr-HR"/>
        </w:rPr>
      </w:pPr>
      <w:r w:rsidRPr="00E920D3">
        <w:rPr>
          <w:rFonts w:ascii="Calibri" w:hAnsi="Calibri" w:cs="Calibri"/>
          <w:lang w:eastAsia="hr-HR"/>
        </w:rPr>
        <w:t xml:space="preserve">The basic principles for managing the </w:t>
      </w:r>
      <w:r>
        <w:rPr>
          <w:rFonts w:ascii="Calibri" w:hAnsi="Calibri" w:cs="Calibri"/>
          <w:lang w:eastAsia="hr-HR"/>
        </w:rPr>
        <w:t>Bank</w:t>
      </w:r>
      <w:r w:rsidRPr="00E920D3">
        <w:rPr>
          <w:rFonts w:ascii="Calibri" w:hAnsi="Calibri" w:cs="Calibri"/>
          <w:lang w:eastAsia="hr-HR"/>
        </w:rPr>
        <w:t xml:space="preserve">’s interest rate risk are determined in the internal documents as well as in the decisions and conclusions made by the Management Board and the Asset and Liability Management Committee. </w:t>
      </w:r>
      <w:bookmarkStart w:id="598" w:name="_Hlk34301881"/>
      <w:r w:rsidRPr="00E920D3">
        <w:rPr>
          <w:rFonts w:ascii="Calibri" w:hAnsi="Calibri" w:cs="Calibri"/>
          <w:lang w:eastAsia="hr-HR"/>
        </w:rPr>
        <w:t xml:space="preserve">For the purpose of measurement and monitoring of interest rate risk, the </w:t>
      </w:r>
      <w:r>
        <w:rPr>
          <w:rFonts w:ascii="Calibri" w:hAnsi="Calibri" w:cs="Calibri"/>
          <w:lang w:eastAsia="hr-HR"/>
        </w:rPr>
        <w:t>Bank</w:t>
      </w:r>
      <w:r w:rsidRPr="00E920D3">
        <w:rPr>
          <w:rFonts w:ascii="Calibri" w:hAnsi="Calibri" w:cs="Calibri"/>
          <w:lang w:eastAsia="hr-HR"/>
        </w:rPr>
        <w:t xml:space="preserve"> carries out interest rate gap analysis. Interest rate gap is calculated for certain periods according to the possibilities of interest rate changes and </w:t>
      </w:r>
      <w:r>
        <w:rPr>
          <w:rFonts w:ascii="Calibri" w:hAnsi="Calibri" w:cs="Calibri"/>
          <w:lang w:eastAsia="hr-HR"/>
        </w:rPr>
        <w:t xml:space="preserve">is used for </w:t>
      </w:r>
      <w:r w:rsidRPr="00E920D3">
        <w:rPr>
          <w:rFonts w:ascii="Calibri" w:hAnsi="Calibri" w:cs="Calibri"/>
          <w:lang w:eastAsia="hr-HR"/>
        </w:rPr>
        <w:t>present</w:t>
      </w:r>
      <w:r>
        <w:rPr>
          <w:rFonts w:ascii="Calibri" w:hAnsi="Calibri" w:cs="Calibri"/>
          <w:lang w:eastAsia="hr-HR"/>
        </w:rPr>
        <w:t>ing</w:t>
      </w:r>
      <w:r w:rsidRPr="00E920D3">
        <w:rPr>
          <w:rFonts w:ascii="Calibri" w:hAnsi="Calibri" w:cs="Calibri"/>
          <w:lang w:eastAsia="hr-HR"/>
        </w:rPr>
        <w:t xml:space="preserve"> the sensitivity of the </w:t>
      </w:r>
      <w:r>
        <w:rPr>
          <w:rFonts w:ascii="Calibri" w:hAnsi="Calibri" w:cs="Calibri"/>
          <w:lang w:eastAsia="hr-HR"/>
        </w:rPr>
        <w:t>Bank</w:t>
      </w:r>
      <w:r w:rsidRPr="00E920D3">
        <w:rPr>
          <w:rFonts w:ascii="Calibri" w:hAnsi="Calibri" w:cs="Calibri"/>
          <w:lang w:eastAsia="hr-HR"/>
        </w:rPr>
        <w:t xml:space="preserve"> to the changes in interest rates</w:t>
      </w:r>
      <w:r>
        <w:rPr>
          <w:rFonts w:ascii="Calibri" w:hAnsi="Calibri" w:cs="Calibri"/>
          <w:lang w:eastAsia="hr-HR"/>
        </w:rPr>
        <w:t xml:space="preserve"> under regular and stress conditions</w:t>
      </w:r>
      <w:r w:rsidRPr="00E920D3">
        <w:rPr>
          <w:rFonts w:ascii="Calibri" w:hAnsi="Calibri" w:cs="Calibri"/>
          <w:lang w:eastAsia="hr-HR"/>
        </w:rPr>
        <w:t>.</w:t>
      </w:r>
      <w:bookmarkEnd w:id="598"/>
      <w:r w:rsidRPr="00E920D3">
        <w:rPr>
          <w:rFonts w:ascii="Calibri" w:hAnsi="Calibri" w:cs="Calibri"/>
          <w:lang w:eastAsia="hr-HR"/>
        </w:rPr>
        <w:t xml:space="preserve"> </w:t>
      </w:r>
      <w:bookmarkStart w:id="599" w:name="_Hlk97647516"/>
      <w:r w:rsidRPr="000239F2">
        <w:rPr>
          <w:rFonts w:ascii="Calibri" w:eastAsia="Calibri" w:hAnsi="Calibri" w:cs="Calibri"/>
          <w:lang w:val="en-GB" w:eastAsia="hr-HR"/>
        </w:rPr>
        <w:t>A detailed breakdown of interest rates is done per currency, type and level of interest rate, and projections of developments in average weighted interest rates for sources and placements are made.</w:t>
      </w:r>
      <w:r>
        <w:rPr>
          <w:rFonts w:ascii="Calibri" w:eastAsia="Calibri" w:hAnsi="Calibri" w:cs="Calibri"/>
          <w:lang w:val="en-GB" w:eastAsia="hr-HR"/>
        </w:rPr>
        <w:t xml:space="preserve"> </w:t>
      </w:r>
      <w:bookmarkEnd w:id="599"/>
      <w:r w:rsidRPr="00E920D3">
        <w:rPr>
          <w:rFonts w:ascii="Calibri" w:hAnsi="Calibri" w:cs="Calibri"/>
          <w:lang w:eastAsia="hr-HR"/>
        </w:rPr>
        <w:t>Furthermore, in addition to harmonising interest rates on sources and placements, current market conditions and movements in forecasted market indicators are also monitored.</w:t>
      </w:r>
    </w:p>
    <w:p w14:paraId="2C0BBBA7" w14:textId="77777777" w:rsidR="001234C2" w:rsidRPr="00537128" w:rsidRDefault="001234C2" w:rsidP="00FF52A6">
      <w:pPr>
        <w:spacing w:after="0" w:line="240" w:lineRule="auto"/>
        <w:jc w:val="both"/>
        <w:rPr>
          <w:rFonts w:ascii="Calibri" w:eastAsia="Times New Roman" w:hAnsi="Calibri" w:cs="Calibri"/>
          <w:color w:val="000000" w:themeColor="text1"/>
          <w:sz w:val="12"/>
          <w:szCs w:val="12"/>
          <w:lang w:val="en-US" w:eastAsia="hr-HR"/>
        </w:rPr>
      </w:pPr>
    </w:p>
    <w:p w14:paraId="179A196A" w14:textId="77777777" w:rsidR="00BB61BD" w:rsidRPr="00537128" w:rsidRDefault="00BB61BD" w:rsidP="00BB61BD">
      <w:pPr>
        <w:spacing w:after="0" w:line="240" w:lineRule="auto"/>
        <w:jc w:val="both"/>
        <w:rPr>
          <w:rFonts w:ascii="Calibri" w:eastAsia="Times New Roman" w:hAnsi="Calibri" w:cs="Times New Roman"/>
          <w:b/>
          <w:color w:val="000000" w:themeColor="text1"/>
          <w:sz w:val="21"/>
          <w:szCs w:val="21"/>
          <w:lang w:val="en-US"/>
        </w:rPr>
      </w:pPr>
      <w:r w:rsidRPr="00537128">
        <w:rPr>
          <w:rFonts w:ascii="Calibri" w:eastAsia="Times New Roman" w:hAnsi="Calibri" w:cs="Times New Roman"/>
          <w:b/>
          <w:color w:val="000000" w:themeColor="text1"/>
          <w:sz w:val="21"/>
          <w:szCs w:val="21"/>
          <w:lang w:val="en-US"/>
        </w:rPr>
        <w:t>Currency risk</w:t>
      </w:r>
    </w:p>
    <w:p w14:paraId="0DCDBC98" w14:textId="77777777" w:rsidR="00BB61BD" w:rsidRPr="00537128" w:rsidRDefault="00BB61BD" w:rsidP="00BB61BD">
      <w:pPr>
        <w:spacing w:after="0" w:line="240" w:lineRule="auto"/>
        <w:jc w:val="both"/>
        <w:rPr>
          <w:rFonts w:ascii="Calibri" w:eastAsia="Times New Roman" w:hAnsi="Calibri" w:cs="Times New Roman"/>
          <w:b/>
          <w:color w:val="000000" w:themeColor="text1"/>
          <w:sz w:val="12"/>
          <w:szCs w:val="12"/>
          <w:lang w:val="en-US"/>
        </w:rPr>
      </w:pPr>
    </w:p>
    <w:p w14:paraId="6EED7534" w14:textId="77777777" w:rsidR="00B961EE" w:rsidRPr="00E920D3" w:rsidRDefault="00B961EE" w:rsidP="00B961EE">
      <w:pPr>
        <w:tabs>
          <w:tab w:val="left" w:pos="8280"/>
        </w:tabs>
        <w:spacing w:after="0" w:line="240" w:lineRule="auto"/>
        <w:jc w:val="both"/>
        <w:rPr>
          <w:rFonts w:ascii="Calibri" w:eastAsia="Calibri" w:hAnsi="Calibri" w:cs="Calibri"/>
        </w:rPr>
      </w:pPr>
      <w:r w:rsidRPr="00E920D3">
        <w:rPr>
          <w:rFonts w:ascii="Calibri" w:eastAsia="Calibri" w:hAnsi="Calibri" w:cs="Calibri"/>
        </w:rPr>
        <w:t xml:space="preserve">The basic principles for managing HBOR’s currency risk are determined in the internal acts as well as in the decisions and conclusions made by the Management Board and the Asset and Liability Management Committee. </w:t>
      </w:r>
      <w:bookmarkStart w:id="600" w:name="_Hlk34301955"/>
      <w:r w:rsidRPr="00E920D3">
        <w:rPr>
          <w:rFonts w:ascii="Calibri" w:eastAsia="Calibri" w:hAnsi="Calibri" w:cs="Calibri"/>
        </w:rPr>
        <w:t xml:space="preserve">Methods for the measurement, i.e. assessment, monitoring and management of currency risk have been established, limits and </w:t>
      </w:r>
      <w:r>
        <w:rPr>
          <w:rFonts w:ascii="Calibri" w:eastAsia="Calibri" w:hAnsi="Calibri" w:cs="Calibri"/>
        </w:rPr>
        <w:t xml:space="preserve">early warning signals as well as </w:t>
      </w:r>
      <w:r w:rsidRPr="00E920D3">
        <w:rPr>
          <w:rFonts w:ascii="Calibri" w:eastAsia="Calibri" w:hAnsi="Calibri" w:cs="Calibri"/>
        </w:rPr>
        <w:t xml:space="preserve">proceedings both for cases of crisis indication and occurrence have been determined, and reports necessary for comprehensive perception of this risk have been defined. </w:t>
      </w:r>
    </w:p>
    <w:bookmarkEnd w:id="600"/>
    <w:p w14:paraId="26B62FFF" w14:textId="77777777" w:rsidR="00B961EE" w:rsidRPr="00FC05E1" w:rsidRDefault="00B961EE" w:rsidP="00B961EE">
      <w:pPr>
        <w:tabs>
          <w:tab w:val="left" w:pos="8280"/>
        </w:tabs>
        <w:spacing w:after="0" w:line="240" w:lineRule="auto"/>
        <w:jc w:val="both"/>
        <w:rPr>
          <w:rFonts w:ascii="Calibri" w:eastAsia="Calibri" w:hAnsi="Calibri" w:cs="Calibri"/>
          <w:sz w:val="16"/>
          <w:szCs w:val="16"/>
        </w:rPr>
      </w:pPr>
    </w:p>
    <w:p w14:paraId="365C16E4" w14:textId="77777777" w:rsidR="00B961EE" w:rsidRPr="000239F2" w:rsidRDefault="00B961EE" w:rsidP="00B961EE">
      <w:pPr>
        <w:spacing w:after="0" w:line="240" w:lineRule="auto"/>
        <w:jc w:val="both"/>
        <w:rPr>
          <w:rFonts w:ascii="Calibri" w:eastAsia="Calibri" w:hAnsi="Calibri" w:cs="Calibri"/>
          <w:spacing w:val="-3"/>
          <w:lang w:val="en-GB"/>
        </w:rPr>
      </w:pPr>
      <w:bookmarkStart w:id="601" w:name="_Hlk97646740"/>
      <w:r w:rsidRPr="000239F2">
        <w:rPr>
          <w:rFonts w:ascii="Calibri" w:eastAsia="Calibri" w:hAnsi="Calibri" w:cs="Calibri"/>
          <w:spacing w:val="-3"/>
          <w:lang w:val="en-GB"/>
        </w:rPr>
        <w:t xml:space="preserve">For the purposes of measuring exposure to currency risk, the open foreign currency position is monitored. In addition to the daily monitoring of the open foreign currency position and the projections of its developments, for the purposes of assessing and measuring the currency risk, the risk value is calculated, and reports are regularly submitted to the bodies in charge on maximum possible losses on significant currencies. Sensitivity analyses in regular or stressful business conditions are also performed.  </w:t>
      </w:r>
    </w:p>
    <w:bookmarkEnd w:id="601"/>
    <w:p w14:paraId="05E6E6B9" w14:textId="77777777" w:rsidR="00B961EE" w:rsidRPr="00FC05E1" w:rsidRDefault="00B961EE" w:rsidP="00B961EE">
      <w:pPr>
        <w:tabs>
          <w:tab w:val="left" w:pos="8280"/>
        </w:tabs>
        <w:spacing w:after="0" w:line="240" w:lineRule="auto"/>
        <w:jc w:val="both"/>
        <w:rPr>
          <w:rFonts w:ascii="Calibri" w:eastAsia="Calibri" w:hAnsi="Calibri" w:cs="Calibri"/>
          <w:spacing w:val="-3"/>
          <w:sz w:val="16"/>
          <w:szCs w:val="16"/>
        </w:rPr>
      </w:pPr>
    </w:p>
    <w:p w14:paraId="577BBB50" w14:textId="77777777" w:rsidR="00BB61BD" w:rsidRPr="00537128" w:rsidRDefault="00BB61BD" w:rsidP="00BB61BD">
      <w:p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Operational risk</w:t>
      </w:r>
    </w:p>
    <w:p w14:paraId="40CDDF27" w14:textId="77777777" w:rsidR="00BB61BD" w:rsidRPr="00537128" w:rsidRDefault="00BB61BD" w:rsidP="00BB61BD">
      <w:pPr>
        <w:spacing w:after="0" w:line="240" w:lineRule="auto"/>
        <w:jc w:val="both"/>
        <w:rPr>
          <w:rFonts w:ascii="Calibri" w:eastAsia="Times New Roman" w:hAnsi="Calibri" w:cs="Times New Roman"/>
          <w:b/>
          <w:color w:val="000000" w:themeColor="text1"/>
          <w:sz w:val="12"/>
          <w:szCs w:val="12"/>
          <w:lang w:val="en-US"/>
        </w:rPr>
      </w:pPr>
    </w:p>
    <w:p w14:paraId="647D0C6A" w14:textId="77777777" w:rsidR="007E7AD6" w:rsidRPr="000239F2" w:rsidRDefault="007E7AD6" w:rsidP="007E7AD6">
      <w:pPr>
        <w:jc w:val="both"/>
        <w:rPr>
          <w:rFonts w:ascii="Calibri" w:eastAsia="Calibri" w:hAnsi="Calibri" w:cs="Calibri"/>
          <w:lang w:val="en-GB"/>
        </w:rPr>
      </w:pPr>
      <w:bookmarkStart w:id="602" w:name="_Hlk518310305"/>
      <w:r w:rsidRPr="000239F2">
        <w:rPr>
          <w:rFonts w:ascii="Calibri" w:eastAsia="Calibri" w:hAnsi="Calibri" w:cs="Calibri"/>
          <w:lang w:val="en-GB"/>
        </w:rPr>
        <w:t xml:space="preserve">HBOR has established a framework for the management of operational risk that is aligned with the regulations prescribed by the Croatian National Bank applicable to the operations of the Bank as the special financial institution and with the good banking practices </w:t>
      </w:r>
      <w:proofErr w:type="gramStart"/>
      <w:r w:rsidRPr="000239F2">
        <w:rPr>
          <w:rFonts w:ascii="Calibri" w:eastAsia="Calibri" w:hAnsi="Calibri" w:cs="Calibri"/>
          <w:lang w:val="en-GB"/>
        </w:rPr>
        <w:t>in the area of</w:t>
      </w:r>
      <w:proofErr w:type="gramEnd"/>
      <w:r w:rsidRPr="000239F2">
        <w:rPr>
          <w:rFonts w:ascii="Calibri" w:eastAsia="Calibri" w:hAnsi="Calibri" w:cs="Calibri"/>
          <w:lang w:val="en-GB"/>
        </w:rPr>
        <w:t xml:space="preserve"> risk management, and that was introduced in 2012.</w:t>
      </w:r>
    </w:p>
    <w:p w14:paraId="3372A7B5" w14:textId="4CCC36FE" w:rsidR="00BB61BD" w:rsidRPr="00537128" w:rsidRDefault="00BB61BD" w:rsidP="00926BAC">
      <w:pPr>
        <w:widowControl w:val="0"/>
        <w:spacing w:after="0" w:line="240" w:lineRule="auto"/>
        <w:jc w:val="both"/>
        <w:rPr>
          <w:rFonts w:ascii="Calibri" w:eastAsia="Calibri" w:hAnsi="Calibri" w:cs="Calibri"/>
          <w:color w:val="000000" w:themeColor="text1"/>
          <w:lang w:val="en-US"/>
        </w:rPr>
      </w:pPr>
      <w:bookmarkStart w:id="603" w:name="_Hlk34302269"/>
      <w:bookmarkEnd w:id="602"/>
    </w:p>
    <w:p w14:paraId="34F6B502" w14:textId="62D57EE9" w:rsidR="008602DC" w:rsidRPr="00537128" w:rsidRDefault="008602DC" w:rsidP="00926BAC">
      <w:pPr>
        <w:widowControl w:val="0"/>
        <w:spacing w:after="0" w:line="240" w:lineRule="auto"/>
        <w:jc w:val="both"/>
        <w:rPr>
          <w:rFonts w:ascii="Calibri" w:eastAsia="Calibri" w:hAnsi="Calibri" w:cs="Calibri"/>
          <w:color w:val="000000" w:themeColor="text1"/>
          <w:lang w:val="en-US"/>
        </w:rPr>
        <w:sectPr w:rsidR="008602DC" w:rsidRPr="00537128">
          <w:pgSz w:w="11906" w:h="16838"/>
          <w:pgMar w:top="1417" w:right="1417" w:bottom="1417" w:left="1417" w:header="708" w:footer="708" w:gutter="0"/>
          <w:cols w:space="708"/>
          <w:docGrid w:linePitch="360"/>
        </w:sectPr>
      </w:pPr>
    </w:p>
    <w:p w14:paraId="778ADF65" w14:textId="77777777" w:rsidR="00BB61BD" w:rsidRPr="00537128"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25A92572" w14:textId="44524888" w:rsidR="00BB61BD" w:rsidRPr="00537128" w:rsidRDefault="00BB61BD" w:rsidP="00BB61BD">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sidR="00FE1E17">
        <w:rPr>
          <w:rFonts w:ascii="Calibri" w:eastAsia="Times New Roman" w:hAnsi="Calibri" w:cs="Calibri"/>
          <w:b/>
          <w:bCs/>
          <w:color w:val="000000" w:themeColor="text1"/>
          <w:lang w:val="en-US" w:eastAsia="hr-HR"/>
        </w:rPr>
        <w:t>3</w:t>
      </w:r>
      <w:r w:rsidRPr="00537128">
        <w:rPr>
          <w:rFonts w:ascii="Calibri" w:eastAsia="Times New Roman" w:hAnsi="Calibri" w:cs="Calibri"/>
          <w:b/>
          <w:bCs/>
          <w:color w:val="000000" w:themeColor="text1"/>
          <w:lang w:val="en-US" w:eastAsia="hr-HR"/>
        </w:rPr>
        <w:t>.</w:t>
      </w:r>
      <w:r w:rsidRPr="00537128">
        <w:rPr>
          <w:rFonts w:ascii="Calibri" w:eastAsia="Times New Roman" w:hAnsi="Calibri" w:cs="Calibri"/>
          <w:b/>
          <w:bCs/>
          <w:color w:val="000000" w:themeColor="text1"/>
          <w:lang w:val="en-US"/>
        </w:rPr>
        <w:tab/>
        <w:t>Risk management (continued)</w:t>
      </w:r>
    </w:p>
    <w:p w14:paraId="650E54B6" w14:textId="77777777" w:rsidR="00BB61BD" w:rsidRPr="00537128" w:rsidRDefault="00BB61BD" w:rsidP="00BB61BD">
      <w:pPr>
        <w:spacing w:after="0" w:line="240" w:lineRule="auto"/>
        <w:jc w:val="both"/>
        <w:rPr>
          <w:rFonts w:ascii="Calibri" w:eastAsia="Times New Roman" w:hAnsi="Calibri" w:cs="Calibri"/>
          <w:b/>
          <w:color w:val="000000" w:themeColor="text1"/>
          <w:sz w:val="16"/>
          <w:szCs w:val="16"/>
          <w:lang w:val="en-US"/>
        </w:rPr>
      </w:pPr>
    </w:p>
    <w:p w14:paraId="71D4C333" w14:textId="23B573A8" w:rsidR="00BB61BD" w:rsidRPr="00537128" w:rsidRDefault="00BB61BD" w:rsidP="00BB61BD">
      <w:pPr>
        <w:spacing w:after="0" w:line="240" w:lineRule="auto"/>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sidR="00FE1E17">
        <w:rPr>
          <w:rFonts w:ascii="Calibri" w:eastAsia="Calibri" w:hAnsi="Calibri" w:cs="Arial"/>
          <w:b/>
          <w:color w:val="000000" w:themeColor="text1"/>
          <w:lang w:val="en-US"/>
        </w:rPr>
        <w:t>3</w:t>
      </w:r>
      <w:r w:rsidRPr="00537128">
        <w:rPr>
          <w:rFonts w:ascii="Calibri" w:eastAsia="Calibri" w:hAnsi="Calibri" w:cs="Arial"/>
          <w:b/>
          <w:color w:val="000000" w:themeColor="text1"/>
          <w:lang w:val="en-US"/>
        </w:rPr>
        <w:t>.1. Overview of the most important risks (continued)</w:t>
      </w:r>
    </w:p>
    <w:p w14:paraId="0A5169C0" w14:textId="77777777" w:rsidR="00BB61BD" w:rsidRPr="00537128" w:rsidRDefault="00BB61BD" w:rsidP="00BB61BD">
      <w:pPr>
        <w:spacing w:after="0" w:line="240" w:lineRule="auto"/>
        <w:jc w:val="both"/>
        <w:rPr>
          <w:rFonts w:ascii="Calibri" w:eastAsia="Calibri" w:hAnsi="Calibri" w:cs="Calibri"/>
          <w:color w:val="000000" w:themeColor="text1"/>
          <w:lang w:val="en-US"/>
        </w:rPr>
      </w:pPr>
    </w:p>
    <w:bookmarkEnd w:id="603"/>
    <w:p w14:paraId="7052A5B7" w14:textId="77777777" w:rsidR="00BB61BD" w:rsidRPr="00537128" w:rsidRDefault="00BB61BD" w:rsidP="00BB61BD">
      <w:p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Operational risk (continued)</w:t>
      </w:r>
    </w:p>
    <w:p w14:paraId="2DAC5BD0" w14:textId="77777777" w:rsidR="00E52EE5" w:rsidRPr="00537128" w:rsidRDefault="00E52EE5" w:rsidP="00BB61BD">
      <w:pPr>
        <w:spacing w:after="0" w:line="240" w:lineRule="auto"/>
        <w:jc w:val="both"/>
        <w:rPr>
          <w:rFonts w:ascii="Calibri" w:eastAsia="Times New Roman" w:hAnsi="Calibri" w:cs="Times New Roman"/>
          <w:b/>
          <w:color w:val="000000" w:themeColor="text1"/>
          <w:lang w:val="en-US"/>
        </w:rPr>
      </w:pPr>
    </w:p>
    <w:p w14:paraId="39ACCF30" w14:textId="77777777" w:rsidR="00C766B0" w:rsidRPr="00E920D3" w:rsidRDefault="00C766B0" w:rsidP="00C766B0">
      <w:pPr>
        <w:spacing w:after="0" w:line="240" w:lineRule="auto"/>
        <w:jc w:val="both"/>
        <w:rPr>
          <w:rFonts w:ascii="Calibri" w:eastAsia="Calibri" w:hAnsi="Calibri" w:cs="Calibri"/>
        </w:rPr>
      </w:pPr>
      <w:r w:rsidRPr="00E920D3">
        <w:rPr>
          <w:rFonts w:ascii="Calibri" w:eastAsia="Calibri" w:hAnsi="Calibri" w:cs="Calibri"/>
        </w:rPr>
        <w:t>The basic principles of operational risk management were identified in the umbrella act, Operational Risk Management Policies, the structure of management and accountability in the system was set up, the approach for the calculation of capital requirements for operational risk was determined, the reporting system was established</w:t>
      </w:r>
      <w:r>
        <w:rPr>
          <w:rFonts w:ascii="Calibri" w:eastAsia="Calibri" w:hAnsi="Calibri" w:cs="Calibri"/>
        </w:rPr>
        <w:t xml:space="preserve"> as well as the manners of establishing, managing and monitoring the exposure to operational risk. The management system covers the operational risk at business changes, new products included, and operational risk at the outsourcing of activities</w:t>
      </w:r>
      <w:r w:rsidRPr="00E920D3">
        <w:rPr>
          <w:rFonts w:ascii="Calibri" w:eastAsia="Calibri" w:hAnsi="Calibri" w:cs="Calibri"/>
        </w:rPr>
        <w:t xml:space="preserve">. </w:t>
      </w:r>
    </w:p>
    <w:p w14:paraId="35952ADF" w14:textId="77777777" w:rsidR="00C766B0" w:rsidRPr="00E920D3" w:rsidRDefault="00C766B0" w:rsidP="00C766B0">
      <w:pPr>
        <w:spacing w:after="0" w:line="240" w:lineRule="auto"/>
        <w:jc w:val="both"/>
        <w:rPr>
          <w:rFonts w:ascii="Calibri" w:hAnsi="Calibri"/>
          <w:b/>
        </w:rPr>
      </w:pPr>
    </w:p>
    <w:p w14:paraId="369A7CF6" w14:textId="77777777" w:rsidR="00C766B0" w:rsidRPr="00AC0C70" w:rsidRDefault="00C766B0" w:rsidP="00C766B0">
      <w:pPr>
        <w:spacing w:after="0" w:line="240" w:lineRule="auto"/>
        <w:rPr>
          <w:rFonts w:ascii="Calibri" w:eastAsia="Calibri" w:hAnsi="Calibri" w:cs="Calibri"/>
          <w:lang w:val="en-GB"/>
        </w:rPr>
      </w:pPr>
      <w:r w:rsidRPr="00E920D3">
        <w:rPr>
          <w:rFonts w:ascii="Calibri" w:eastAsia="Calibri" w:hAnsi="Calibri" w:cs="Calibri"/>
        </w:rPr>
        <w:t xml:space="preserve">The Committee for IT management was established in order to monitor IT system performance with the purpose of IT resources management by setting the appropriate level of efficiency and security of IT for providing, among other things, appropriate management of risks arising from IT technology utilisation. </w:t>
      </w:r>
      <w:bookmarkStart w:id="604" w:name="_Hlk97647784"/>
    </w:p>
    <w:p w14:paraId="5FB8BBF0" w14:textId="77777777" w:rsidR="00C766B0" w:rsidRPr="000239F2" w:rsidRDefault="00C766B0" w:rsidP="00C766B0">
      <w:pPr>
        <w:spacing w:after="0" w:line="240" w:lineRule="auto"/>
        <w:jc w:val="both"/>
        <w:rPr>
          <w:rFonts w:ascii="Calibri" w:eastAsia="Calibri" w:hAnsi="Calibri" w:cs="Calibri"/>
          <w:lang w:val="en-GB"/>
        </w:rPr>
      </w:pPr>
      <w:r w:rsidRPr="000239F2">
        <w:rPr>
          <w:rFonts w:ascii="Calibri" w:eastAsia="Calibri" w:hAnsi="Calibri" w:cs="Calibri"/>
          <w:lang w:val="en-GB"/>
        </w:rPr>
        <w:t xml:space="preserve">The Head of IT System Security function </w:t>
      </w:r>
      <w:proofErr w:type="gramStart"/>
      <w:r w:rsidRPr="000239F2">
        <w:rPr>
          <w:rFonts w:ascii="Calibri" w:eastAsia="Calibri" w:hAnsi="Calibri" w:cs="Calibri"/>
          <w:lang w:val="en-GB"/>
        </w:rPr>
        <w:t>is in charge of</w:t>
      </w:r>
      <w:proofErr w:type="gramEnd"/>
      <w:r w:rsidRPr="000239F2">
        <w:rPr>
          <w:rFonts w:ascii="Calibri" w:eastAsia="Calibri" w:hAnsi="Calibri" w:cs="Calibri"/>
          <w:lang w:val="en-GB"/>
        </w:rPr>
        <w:t xml:space="preserve"> monitoring the security of the IT system.</w:t>
      </w:r>
      <w:r w:rsidRPr="00092403">
        <w:rPr>
          <w:rFonts w:ascii="Calibri" w:eastAsia="Calibri" w:hAnsi="Calibri" w:cs="Calibri"/>
          <w:lang w:val="en-GB"/>
        </w:rPr>
        <w:t xml:space="preserve"> </w:t>
      </w:r>
      <w:r w:rsidRPr="000239F2">
        <w:rPr>
          <w:rFonts w:ascii="Calibri" w:eastAsia="Calibri" w:hAnsi="Calibri" w:cs="Calibri"/>
          <w:lang w:val="en-GB"/>
        </w:rPr>
        <w:t>Within this function, a system for the management of HBOR’s business continuity was established.</w:t>
      </w:r>
    </w:p>
    <w:bookmarkEnd w:id="604"/>
    <w:p w14:paraId="4D0EC678" w14:textId="77777777" w:rsidR="00C766B0" w:rsidRDefault="00C766B0" w:rsidP="00C766B0">
      <w:pPr>
        <w:spacing w:after="0" w:line="240" w:lineRule="auto"/>
        <w:jc w:val="both"/>
        <w:rPr>
          <w:rFonts w:ascii="Calibri" w:hAnsi="Calibri" w:cs="Calibri"/>
          <w:b/>
          <w:lang w:eastAsia="hr-HR"/>
        </w:rPr>
      </w:pPr>
    </w:p>
    <w:p w14:paraId="344FABB2" w14:textId="77777777" w:rsidR="00396083" w:rsidRPr="00961182" w:rsidRDefault="00396083" w:rsidP="007A086B">
      <w:pPr>
        <w:spacing w:after="0" w:line="240" w:lineRule="auto"/>
        <w:jc w:val="both"/>
      </w:pPr>
      <w:r w:rsidRPr="00961182">
        <w:t>In 2022, there is a significant impact of an operational risk event on the Bank's operations - the earthquake in Zagreb. The crisis event was recorded in 2020 in the operational risk base, where its financial effects are continuously updated. Also, in order to ensure business continuity due to the inability to use the earthquake-damaged main office building of the Bank, workers were allowed to continue working from home.</w:t>
      </w:r>
    </w:p>
    <w:p w14:paraId="5F0A3F25" w14:textId="77777777" w:rsidR="00C766B0" w:rsidRDefault="00C766B0" w:rsidP="00C766B0">
      <w:pPr>
        <w:spacing w:after="0" w:line="240" w:lineRule="auto"/>
        <w:jc w:val="both"/>
        <w:rPr>
          <w:rFonts w:ascii="Calibri" w:eastAsia="Calibri" w:hAnsi="Calibri" w:cs="Calibri"/>
        </w:rPr>
      </w:pPr>
    </w:p>
    <w:p w14:paraId="27255971" w14:textId="29607050" w:rsidR="00C766B0" w:rsidRPr="000239F2" w:rsidRDefault="00C766B0" w:rsidP="00C766B0">
      <w:pPr>
        <w:spacing w:after="0" w:line="240" w:lineRule="auto"/>
        <w:jc w:val="both"/>
        <w:rPr>
          <w:rFonts w:cstheme="minorHAnsi"/>
        </w:rPr>
      </w:pPr>
      <w:r w:rsidRPr="000239F2">
        <w:rPr>
          <w:rFonts w:cstheme="minorHAnsi"/>
        </w:rPr>
        <w:t>In addition, in 202</w:t>
      </w:r>
      <w:r w:rsidR="007A086B">
        <w:rPr>
          <w:rFonts w:cstheme="minorHAnsi"/>
        </w:rPr>
        <w:t>2</w:t>
      </w:r>
      <w:r w:rsidRPr="000239F2">
        <w:rPr>
          <w:rFonts w:cstheme="minorHAnsi"/>
        </w:rPr>
        <w:t>, HBOR's exposure to operational risk was significantly affected by the Euro introduction project aimed at the timely harmonisation of HBOR with the National Plan for the Changeover from the Croatian Kuna to the Euro, the Act on the Introduction of the Euro as the Official Currency in the Republic of Croatia and other legislation to which HBOR is subject. In order to ensure the meeting of deadlines and the continuity and integrity of operations after the changeover to the Euro as the official currency, HBOR focused on the priority and availability of resources for the timely implementation of this project.</w:t>
      </w:r>
    </w:p>
    <w:p w14:paraId="5EE50636" w14:textId="77777777" w:rsidR="00C766B0" w:rsidRPr="000239F2" w:rsidRDefault="00C766B0" w:rsidP="00C766B0">
      <w:pPr>
        <w:spacing w:after="0" w:line="240" w:lineRule="auto"/>
        <w:jc w:val="both"/>
        <w:rPr>
          <w:rFonts w:ascii="Calibri" w:eastAsia="Calibri" w:hAnsi="Calibri" w:cs="Calibri"/>
        </w:rPr>
      </w:pPr>
    </w:p>
    <w:p w14:paraId="51F539F7" w14:textId="71A39732" w:rsidR="00BB61BD" w:rsidRDefault="00BB61BD" w:rsidP="00BB61BD">
      <w:pPr>
        <w:spacing w:after="0" w:line="240" w:lineRule="auto"/>
        <w:jc w:val="both"/>
        <w:rPr>
          <w:rFonts w:ascii="Calibri" w:eastAsia="Times New Roman" w:hAnsi="Calibri" w:cs="Calibri"/>
          <w:b/>
          <w:color w:val="000000" w:themeColor="text1"/>
          <w:lang w:val="en-US" w:eastAsia="hr-HR"/>
        </w:rPr>
      </w:pPr>
      <w:r w:rsidRPr="00537128">
        <w:rPr>
          <w:rFonts w:ascii="Calibri" w:eastAsia="Times New Roman" w:hAnsi="Calibri" w:cs="Calibri"/>
          <w:b/>
          <w:color w:val="000000" w:themeColor="text1"/>
          <w:lang w:val="en-US" w:eastAsia="hr-HR"/>
        </w:rPr>
        <w:t>Outsourcing risk</w:t>
      </w:r>
    </w:p>
    <w:p w14:paraId="2BEC467C" w14:textId="77777777" w:rsidR="005D79FF" w:rsidRPr="00537128" w:rsidRDefault="005D79FF" w:rsidP="00BB61BD">
      <w:pPr>
        <w:spacing w:after="0" w:line="240" w:lineRule="auto"/>
        <w:jc w:val="both"/>
        <w:rPr>
          <w:rFonts w:ascii="Calibri" w:eastAsia="Times New Roman" w:hAnsi="Calibri" w:cs="Calibri"/>
          <w:b/>
          <w:color w:val="000000" w:themeColor="text1"/>
          <w:lang w:val="en-US" w:eastAsia="hr-HR"/>
        </w:rPr>
      </w:pPr>
    </w:p>
    <w:p w14:paraId="139EB716" w14:textId="77777777" w:rsidR="00D9645F" w:rsidRPr="00E920D3" w:rsidRDefault="00D9645F" w:rsidP="00D9645F">
      <w:pPr>
        <w:widowControl w:val="0"/>
        <w:spacing w:after="0" w:line="240" w:lineRule="auto"/>
        <w:jc w:val="both"/>
        <w:rPr>
          <w:rFonts w:cstheme="minorHAnsi"/>
        </w:rPr>
      </w:pPr>
      <w:r w:rsidRPr="00E920D3">
        <w:rPr>
          <w:rFonts w:cstheme="minorHAnsi"/>
        </w:rPr>
        <w:t>The</w:t>
      </w:r>
      <w:r>
        <w:rPr>
          <w:rFonts w:cstheme="minorHAnsi"/>
        </w:rPr>
        <w:t xml:space="preserve"> HBOR</w:t>
      </w:r>
      <w:r w:rsidRPr="00E920D3">
        <w:rPr>
          <w:rFonts w:cstheme="minorHAnsi"/>
        </w:rPr>
        <w:t xml:space="preserve"> manages the outsourcing risk on the basis of internal documents that are in compliance with the regulations prescribed by the Croatian National Bank applicable to the </w:t>
      </w:r>
      <w:r>
        <w:rPr>
          <w:rFonts w:cstheme="minorHAnsi"/>
        </w:rPr>
        <w:t>HBOR</w:t>
      </w:r>
      <w:r w:rsidRPr="00E920D3">
        <w:rPr>
          <w:rFonts w:cstheme="minorHAnsi"/>
        </w:rPr>
        <w:t xml:space="preserve"> as a special financial institution. The internal documents that determine the management of this risk determine also the procedures for the outsourcing of activities, the rules for the management of relations with the service providers and the obligation to reduce the risk to the lowest level.</w:t>
      </w:r>
    </w:p>
    <w:p w14:paraId="4AE27419" w14:textId="77777777" w:rsidR="00D9645F" w:rsidRPr="00E920D3" w:rsidRDefault="00D9645F" w:rsidP="00D9645F">
      <w:pPr>
        <w:tabs>
          <w:tab w:val="left" w:pos="709"/>
        </w:tabs>
        <w:spacing w:after="0" w:line="240" w:lineRule="auto"/>
        <w:jc w:val="both"/>
        <w:rPr>
          <w:rFonts w:ascii="Calibri" w:eastAsia="Calibri" w:hAnsi="Calibri" w:cs="Calibri"/>
        </w:rPr>
      </w:pPr>
    </w:p>
    <w:p w14:paraId="1179F181" w14:textId="77777777" w:rsidR="00904459" w:rsidRDefault="00D9645F" w:rsidP="00D9645F">
      <w:pPr>
        <w:tabs>
          <w:tab w:val="left" w:pos="709"/>
        </w:tabs>
        <w:spacing w:after="0" w:line="240" w:lineRule="auto"/>
        <w:jc w:val="both"/>
        <w:rPr>
          <w:rFonts w:ascii="Calibri" w:eastAsia="Calibri" w:hAnsi="Calibri" w:cs="Calibri"/>
        </w:rPr>
        <w:sectPr w:rsidR="00904459">
          <w:pgSz w:w="11906" w:h="16838"/>
          <w:pgMar w:top="1417" w:right="1417" w:bottom="1417" w:left="1417" w:header="708" w:footer="708" w:gutter="0"/>
          <w:cols w:space="708"/>
          <w:docGrid w:linePitch="360"/>
        </w:sectPr>
      </w:pPr>
      <w:r w:rsidRPr="00E920D3">
        <w:rPr>
          <w:rFonts w:ascii="Calibri" w:eastAsia="Calibri" w:hAnsi="Calibri" w:cs="Calibri"/>
        </w:rPr>
        <w:t xml:space="preserve">The central records of outsourced activities have been established and reports on materially significant outsourced activities are submitted to the Management Board and the Supervisory Board of the Bank on annual basis.  </w:t>
      </w:r>
    </w:p>
    <w:p w14:paraId="6C8CCA42" w14:textId="1F20F183" w:rsidR="00D9645F" w:rsidRPr="002C3DBD" w:rsidRDefault="00D9645F" w:rsidP="00D9645F">
      <w:pPr>
        <w:tabs>
          <w:tab w:val="left" w:pos="709"/>
        </w:tabs>
        <w:spacing w:after="0" w:line="240" w:lineRule="auto"/>
        <w:jc w:val="both"/>
        <w:rPr>
          <w:rFonts w:ascii="Calibri" w:eastAsia="Calibri" w:hAnsi="Calibri" w:cs="Calibri"/>
          <w:sz w:val="20"/>
          <w:szCs w:val="20"/>
        </w:rPr>
      </w:pPr>
    </w:p>
    <w:p w14:paraId="53E5FB78" w14:textId="77777777" w:rsidR="00904459" w:rsidRPr="00537128" w:rsidRDefault="00904459" w:rsidP="00904459">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Pr="00537128">
        <w:rPr>
          <w:rFonts w:ascii="Calibri" w:eastAsia="Times New Roman" w:hAnsi="Calibri" w:cs="Calibri"/>
          <w:b/>
          <w:bCs/>
          <w:color w:val="000000" w:themeColor="text1"/>
          <w:lang w:val="en-US" w:eastAsia="hr-HR"/>
        </w:rPr>
        <w:t>.</w:t>
      </w:r>
      <w:r w:rsidRPr="00537128">
        <w:rPr>
          <w:rFonts w:ascii="Calibri" w:eastAsia="Times New Roman" w:hAnsi="Calibri" w:cs="Calibri"/>
          <w:b/>
          <w:bCs/>
          <w:color w:val="000000" w:themeColor="text1"/>
          <w:lang w:val="en-US"/>
        </w:rPr>
        <w:tab/>
        <w:t>Risk management (continued)</w:t>
      </w:r>
    </w:p>
    <w:p w14:paraId="38ED0449" w14:textId="77777777" w:rsidR="00904459" w:rsidRPr="00537128" w:rsidRDefault="00904459" w:rsidP="00904459">
      <w:pPr>
        <w:spacing w:after="0" w:line="240" w:lineRule="auto"/>
        <w:jc w:val="both"/>
        <w:rPr>
          <w:rFonts w:ascii="Calibri" w:eastAsia="Times New Roman" w:hAnsi="Calibri" w:cs="Calibri"/>
          <w:b/>
          <w:color w:val="000000" w:themeColor="text1"/>
          <w:sz w:val="16"/>
          <w:szCs w:val="16"/>
          <w:lang w:val="en-US"/>
        </w:rPr>
      </w:pPr>
    </w:p>
    <w:p w14:paraId="77CA2840" w14:textId="77777777" w:rsidR="00904459" w:rsidRPr="00537128" w:rsidRDefault="00904459" w:rsidP="00904459">
      <w:pPr>
        <w:spacing w:after="0" w:line="240" w:lineRule="auto"/>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Pr="00537128">
        <w:rPr>
          <w:rFonts w:ascii="Calibri" w:eastAsia="Calibri" w:hAnsi="Calibri" w:cs="Arial"/>
          <w:b/>
          <w:color w:val="000000" w:themeColor="text1"/>
          <w:lang w:val="en-US"/>
        </w:rPr>
        <w:t>.1. Overview of the most important risks (continued)</w:t>
      </w:r>
    </w:p>
    <w:p w14:paraId="2177273F" w14:textId="77777777" w:rsidR="00904459" w:rsidRPr="000D6436" w:rsidRDefault="00904459" w:rsidP="00904459">
      <w:pPr>
        <w:spacing w:after="0" w:line="240" w:lineRule="auto"/>
        <w:jc w:val="both"/>
        <w:rPr>
          <w:rFonts w:ascii="Calibri" w:eastAsia="Calibri" w:hAnsi="Calibri" w:cs="Calibri"/>
          <w:color w:val="000000" w:themeColor="text1"/>
          <w:sz w:val="14"/>
          <w:szCs w:val="14"/>
          <w:lang w:val="en-US"/>
        </w:rPr>
      </w:pPr>
    </w:p>
    <w:p w14:paraId="7329696F" w14:textId="1196F8DC" w:rsidR="00904459" w:rsidRPr="0078511B" w:rsidRDefault="00904459" w:rsidP="00904459">
      <w:pPr>
        <w:spacing w:after="0" w:line="240" w:lineRule="auto"/>
        <w:jc w:val="both"/>
        <w:rPr>
          <w:rFonts w:ascii="Calibri" w:eastAsia="Times New Roman" w:hAnsi="Calibri" w:cs="Calibri"/>
          <w:b/>
          <w:color w:val="000000" w:themeColor="text1"/>
          <w:lang w:val="en-US" w:eastAsia="hr-HR"/>
        </w:rPr>
      </w:pPr>
      <w:r w:rsidRPr="00537128">
        <w:rPr>
          <w:rFonts w:ascii="Calibri" w:eastAsia="Times New Roman" w:hAnsi="Calibri" w:cs="Calibri"/>
          <w:b/>
          <w:color w:val="000000" w:themeColor="text1"/>
          <w:lang w:val="en-US" w:eastAsia="hr-HR"/>
        </w:rPr>
        <w:t>Outsourcing risk</w:t>
      </w:r>
      <w:r w:rsidRPr="00537128">
        <w:rPr>
          <w:rFonts w:ascii="Calibri" w:eastAsia="Times New Roman" w:hAnsi="Calibri" w:cs="Times New Roman"/>
          <w:b/>
          <w:color w:val="000000" w:themeColor="text1"/>
          <w:lang w:val="en-US"/>
        </w:rPr>
        <w:t xml:space="preserve"> (continued)</w:t>
      </w:r>
    </w:p>
    <w:p w14:paraId="4DDDDFF8" w14:textId="77777777" w:rsidR="00904459" w:rsidRPr="000D6436" w:rsidRDefault="00904459" w:rsidP="00D9645F">
      <w:pPr>
        <w:tabs>
          <w:tab w:val="left" w:pos="709"/>
        </w:tabs>
        <w:spacing w:after="0" w:line="240" w:lineRule="auto"/>
        <w:jc w:val="both"/>
        <w:rPr>
          <w:rFonts w:ascii="Calibri" w:eastAsia="Calibri" w:hAnsi="Calibri" w:cs="Calibri"/>
          <w:sz w:val="12"/>
          <w:szCs w:val="12"/>
        </w:rPr>
      </w:pPr>
    </w:p>
    <w:p w14:paraId="328D0304" w14:textId="77777777" w:rsidR="00961182" w:rsidRPr="00961182" w:rsidRDefault="00961182" w:rsidP="00961182">
      <w:pPr>
        <w:spacing w:after="0" w:line="240" w:lineRule="auto"/>
        <w:jc w:val="both"/>
      </w:pPr>
      <w:r w:rsidRPr="00961182">
        <w:t>The EUR introduction project will also have an impact on the risk of outsourcing for outsourced key („core“) activities, given the complexity of the project and the legal deadline, and HBOR, in cooperation with key service providers, implements necessary measures to minimize this risk.</w:t>
      </w:r>
    </w:p>
    <w:p w14:paraId="56F643DE" w14:textId="77777777" w:rsidR="00030444" w:rsidRPr="00961182" w:rsidRDefault="00030444" w:rsidP="00961182">
      <w:pPr>
        <w:spacing w:after="0" w:line="240" w:lineRule="auto"/>
        <w:jc w:val="both"/>
        <w:rPr>
          <w:rFonts w:ascii="Calibri" w:eastAsia="Times New Roman" w:hAnsi="Calibri" w:cs="Times New Roman"/>
          <w:b/>
          <w:sz w:val="18"/>
          <w:szCs w:val="18"/>
          <w:lang w:val="en-US"/>
        </w:rPr>
      </w:pPr>
    </w:p>
    <w:p w14:paraId="03FE98A7" w14:textId="734C7375" w:rsidR="00BB61BD" w:rsidRPr="00537128" w:rsidRDefault="008C0661" w:rsidP="00030444">
      <w:pPr>
        <w:spacing w:after="0" w:line="240" w:lineRule="auto"/>
        <w:jc w:val="both"/>
        <w:rPr>
          <w:rFonts w:ascii="Calibri" w:eastAsia="Times New Roman" w:hAnsi="Calibri" w:cs="Times New Roman"/>
          <w:b/>
          <w:color w:val="000000" w:themeColor="text1"/>
          <w:lang w:val="en-US"/>
        </w:rPr>
      </w:pPr>
      <w:r w:rsidRPr="001D7CDD">
        <w:rPr>
          <w:rFonts w:ascii="Calibri" w:eastAsia="Times New Roman" w:hAnsi="Calibri" w:cs="Times New Roman"/>
          <w:b/>
          <w:color w:val="000000" w:themeColor="text1"/>
          <w:lang w:val="en-US"/>
        </w:rPr>
        <w:t>2</w:t>
      </w:r>
      <w:r w:rsidR="00FE1E17" w:rsidRPr="001D7CDD">
        <w:rPr>
          <w:rFonts w:ascii="Calibri" w:eastAsia="Times New Roman" w:hAnsi="Calibri" w:cs="Times New Roman"/>
          <w:b/>
          <w:color w:val="000000" w:themeColor="text1"/>
          <w:lang w:val="en-US"/>
        </w:rPr>
        <w:t>3</w:t>
      </w:r>
      <w:r w:rsidR="00BB61BD" w:rsidRPr="001D7CDD">
        <w:rPr>
          <w:rFonts w:ascii="Calibri" w:eastAsia="Times New Roman" w:hAnsi="Calibri" w:cs="Times New Roman"/>
          <w:b/>
          <w:color w:val="000000" w:themeColor="text1"/>
          <w:lang w:val="en-US"/>
        </w:rPr>
        <w:t>.2. Strategy and risk management systems</w:t>
      </w:r>
    </w:p>
    <w:p w14:paraId="7541F6C1" w14:textId="77777777" w:rsidR="00C32A83" w:rsidRPr="000D6436" w:rsidRDefault="00C32A83" w:rsidP="00030444">
      <w:pPr>
        <w:spacing w:after="0" w:line="240" w:lineRule="auto"/>
        <w:jc w:val="both"/>
        <w:rPr>
          <w:rFonts w:ascii="Calibri" w:eastAsia="Times New Roman" w:hAnsi="Calibri" w:cs="Arial"/>
          <w:sz w:val="12"/>
          <w:szCs w:val="12"/>
          <w:lang w:val="en-US"/>
        </w:rPr>
      </w:pPr>
    </w:p>
    <w:p w14:paraId="62640DDE" w14:textId="77777777" w:rsidR="001D7CDD" w:rsidRPr="00E920D3" w:rsidRDefault="001D7CDD" w:rsidP="001D7CDD">
      <w:pPr>
        <w:spacing w:after="0" w:line="240" w:lineRule="auto"/>
        <w:jc w:val="both"/>
      </w:pPr>
      <w:r w:rsidRPr="00E920D3">
        <w:rPr>
          <w:rFonts w:cs="Arial"/>
          <w:b/>
        </w:rPr>
        <w:t xml:space="preserve">The Supervisory Board </w:t>
      </w:r>
      <w:r w:rsidRPr="00E920D3">
        <w:rPr>
          <w:rFonts w:cs="Arial"/>
        </w:rPr>
        <w:t>is responsible for monitoring the appropriateness and effectiveness of the risk management process in the Group.</w:t>
      </w:r>
      <w:r w:rsidRPr="00E920D3">
        <w:t xml:space="preserve"> The Supervisory Board adopts </w:t>
      </w:r>
      <w:r w:rsidRPr="00E920D3">
        <w:rPr>
          <w:rFonts w:cs="Arial"/>
        </w:rPr>
        <w:t>HBOR’s Risk Management</w:t>
      </w:r>
      <w:r w:rsidRPr="00E920D3">
        <w:t xml:space="preserve"> Strategy that lays out the main principles and standards of risk management and defines the tendency towards risk-taking.</w:t>
      </w:r>
    </w:p>
    <w:p w14:paraId="3374DFE1" w14:textId="77777777" w:rsidR="001D7CDD" w:rsidRPr="000D6436" w:rsidRDefault="001D7CDD" w:rsidP="001D7CDD">
      <w:pPr>
        <w:spacing w:after="0" w:line="240" w:lineRule="auto"/>
        <w:jc w:val="both"/>
        <w:rPr>
          <w:rFonts w:cs="Arial"/>
          <w:sz w:val="14"/>
          <w:szCs w:val="14"/>
        </w:rPr>
      </w:pPr>
    </w:p>
    <w:p w14:paraId="25BD9999" w14:textId="77777777" w:rsidR="001D7CDD" w:rsidRPr="00E920D3" w:rsidRDefault="001D7CDD" w:rsidP="001D7CDD">
      <w:pPr>
        <w:widowControl w:val="0"/>
        <w:tabs>
          <w:tab w:val="left" w:pos="426"/>
        </w:tabs>
        <w:spacing w:after="0" w:line="240" w:lineRule="auto"/>
        <w:jc w:val="both"/>
        <w:rPr>
          <w:rFonts w:cs="Arial"/>
        </w:rPr>
      </w:pPr>
      <w:r w:rsidRPr="00E920D3">
        <w:rPr>
          <w:rFonts w:cs="Arial"/>
          <w:b/>
        </w:rPr>
        <w:t xml:space="preserve">The Management Board of the Bank </w:t>
      </w:r>
      <w:r w:rsidRPr="00E920D3">
        <w:rPr>
          <w:rFonts w:cs="Arial"/>
        </w:rPr>
        <w:t xml:space="preserve">is responsible for implementing the risk management strategy and establishing an effective and reliable risk management system. In order to accomplish its task, the Management Board delegated their risk management authority to </w:t>
      </w:r>
      <w:r>
        <w:rPr>
          <w:rFonts w:cs="Arial"/>
        </w:rPr>
        <w:t>three</w:t>
      </w:r>
      <w:r w:rsidRPr="00E920D3">
        <w:rPr>
          <w:rFonts w:cs="Arial"/>
        </w:rPr>
        <w:t xml:space="preserve"> committees.</w:t>
      </w:r>
    </w:p>
    <w:p w14:paraId="73FC3735" w14:textId="77777777" w:rsidR="00C32A83" w:rsidRPr="00E755D0" w:rsidRDefault="00C32A83" w:rsidP="00C32A83">
      <w:pPr>
        <w:spacing w:after="0" w:line="240" w:lineRule="auto"/>
        <w:jc w:val="both"/>
        <w:rPr>
          <w:rFonts w:ascii="Calibri" w:eastAsia="Times New Roman" w:hAnsi="Calibri" w:cs="Arial"/>
          <w:b/>
          <w:sz w:val="14"/>
          <w:szCs w:val="14"/>
          <w:lang w:val="en-US"/>
        </w:rPr>
      </w:pPr>
    </w:p>
    <w:p w14:paraId="2DDEF17A" w14:textId="77777777" w:rsidR="00C32A83" w:rsidRPr="00537128" w:rsidRDefault="00C32A83" w:rsidP="00C32A83">
      <w:pPr>
        <w:spacing w:after="0" w:line="240" w:lineRule="auto"/>
        <w:jc w:val="both"/>
        <w:rPr>
          <w:rFonts w:ascii="Calibri" w:eastAsia="Times New Roman" w:hAnsi="Calibri" w:cs="Arial"/>
          <w:b/>
          <w:lang w:val="en-US"/>
        </w:rPr>
      </w:pPr>
      <w:r w:rsidRPr="00537128">
        <w:rPr>
          <w:rFonts w:ascii="Calibri" w:eastAsia="Times New Roman" w:hAnsi="Calibri" w:cs="Arial"/>
          <w:b/>
          <w:lang w:val="en-US"/>
        </w:rPr>
        <w:t xml:space="preserve">Risk management committees </w:t>
      </w:r>
    </w:p>
    <w:p w14:paraId="5CE2ADA9" w14:textId="77777777" w:rsidR="00C32A83" w:rsidRPr="000D6436" w:rsidRDefault="00C32A83" w:rsidP="00C32A83">
      <w:pPr>
        <w:spacing w:after="0" w:line="240" w:lineRule="auto"/>
        <w:jc w:val="both"/>
        <w:rPr>
          <w:rFonts w:ascii="Calibri" w:eastAsia="Times New Roman" w:hAnsi="Calibri" w:cs="Arial"/>
          <w:b/>
          <w:sz w:val="12"/>
          <w:szCs w:val="12"/>
          <w:lang w:val="en-US"/>
        </w:rPr>
      </w:pPr>
    </w:p>
    <w:p w14:paraId="62E27B34" w14:textId="77777777" w:rsidR="001358CF" w:rsidRPr="00EA22B8" w:rsidRDefault="001358CF" w:rsidP="001358CF">
      <w:pPr>
        <w:keepNext/>
        <w:numPr>
          <w:ilvl w:val="0"/>
          <w:numId w:val="22"/>
        </w:numPr>
        <w:spacing w:after="0" w:line="240" w:lineRule="auto"/>
        <w:ind w:left="709" w:hanging="357"/>
        <w:jc w:val="both"/>
        <w:rPr>
          <w:bCs/>
        </w:rPr>
      </w:pPr>
      <w:r w:rsidRPr="00E920D3">
        <w:rPr>
          <w:b/>
          <w:bCs/>
        </w:rPr>
        <w:t xml:space="preserve">Assets and Liabilities Management Committee (ALCO) – </w:t>
      </w:r>
      <w:r w:rsidRPr="00E920D3">
        <w:rPr>
          <w:bCs/>
        </w:rPr>
        <w:t xml:space="preserve">manages liquidity risk, interest rate risk </w:t>
      </w:r>
      <w:r>
        <w:rPr>
          <w:bCs/>
        </w:rPr>
        <w:t xml:space="preserve"> </w:t>
      </w:r>
      <w:r w:rsidRPr="00E920D3">
        <w:rPr>
          <w:bCs/>
        </w:rPr>
        <w:t xml:space="preserve">and currency risk within the framework of the Liquidity Risk Management Ordinance, the Currency Risk Management </w:t>
      </w:r>
      <w:r>
        <w:rPr>
          <w:bCs/>
        </w:rPr>
        <w:t>Ordinance</w:t>
      </w:r>
      <w:r w:rsidRPr="00E920D3">
        <w:rPr>
          <w:bCs/>
        </w:rPr>
        <w:t xml:space="preserve"> and the Interest Rate Risk Management Procedures,</w:t>
      </w:r>
      <w:r>
        <w:rPr>
          <w:bCs/>
        </w:rPr>
        <w:t xml:space="preserve"> </w:t>
      </w:r>
      <w:r w:rsidRPr="00E56E71">
        <w:rPr>
          <w:bCs/>
        </w:rPr>
        <w:t>Trading Book Ordinance</w:t>
      </w:r>
      <w:r w:rsidRPr="00C32E3E">
        <w:rPr>
          <w:bCs/>
        </w:rPr>
        <w:t xml:space="preserve">, </w:t>
      </w:r>
      <w:r w:rsidRPr="00E920D3">
        <w:rPr>
          <w:bCs/>
        </w:rPr>
        <w:t>the Assets and Liabilities Management Policies as well as other documents of the Bank that regulate this area,</w:t>
      </w:r>
    </w:p>
    <w:p w14:paraId="259D680A" w14:textId="77777777" w:rsidR="001358CF" w:rsidRPr="00EA22B8" w:rsidRDefault="001358CF" w:rsidP="001358CF">
      <w:pPr>
        <w:numPr>
          <w:ilvl w:val="0"/>
          <w:numId w:val="22"/>
        </w:numPr>
        <w:spacing w:before="120" w:after="120" w:line="240" w:lineRule="auto"/>
        <w:ind w:hanging="357"/>
        <w:jc w:val="both"/>
        <w:rPr>
          <w:rFonts w:cs="Arial"/>
          <w:b/>
        </w:rPr>
      </w:pPr>
      <w:r w:rsidRPr="00E920D3">
        <w:rPr>
          <w:rFonts w:cs="Arial"/>
          <w:b/>
        </w:rPr>
        <w:t xml:space="preserve">Credit Risk Evaluation and Measurement Committee – </w:t>
      </w:r>
      <w:r w:rsidRPr="00E920D3">
        <w:rPr>
          <w:rFonts w:cs="Arial"/>
        </w:rPr>
        <w:t>manages credit risk within the framework set through accepted Loan Policies, Credit Risk Management Ordinance, methodologies and other internal acts that cover issues related to credit risk,</w:t>
      </w:r>
    </w:p>
    <w:p w14:paraId="22ACFB8F" w14:textId="77777777" w:rsidR="001358CF" w:rsidRPr="00576C21" w:rsidRDefault="001358CF" w:rsidP="00A93BBA">
      <w:pPr>
        <w:numPr>
          <w:ilvl w:val="0"/>
          <w:numId w:val="22"/>
        </w:numPr>
        <w:spacing w:after="0" w:line="240" w:lineRule="auto"/>
        <w:ind w:hanging="357"/>
        <w:jc w:val="both"/>
        <w:rPr>
          <w:rFonts w:cs="Arial"/>
          <w:b/>
        </w:rPr>
      </w:pPr>
      <w:r w:rsidRPr="00E920D3">
        <w:rPr>
          <w:rFonts w:cs="Arial"/>
          <w:b/>
        </w:rPr>
        <w:t xml:space="preserve">HBOR Information System Management Committee – </w:t>
      </w:r>
      <w:r w:rsidRPr="00E920D3">
        <w:rPr>
          <w:rFonts w:cs="Arial"/>
        </w:rPr>
        <w:t>manages the resources of the information system and adequately manages the risks that result from the use of information technology</w:t>
      </w:r>
      <w:r>
        <w:rPr>
          <w:rFonts w:cs="Arial"/>
        </w:rPr>
        <w:t>.</w:t>
      </w:r>
      <w:r w:rsidRPr="00E920D3">
        <w:rPr>
          <w:rFonts w:cs="Arial"/>
        </w:rPr>
        <w:t xml:space="preserve"> </w:t>
      </w:r>
    </w:p>
    <w:p w14:paraId="11044999" w14:textId="77777777" w:rsidR="00C32A83" w:rsidRPr="00E755D0" w:rsidRDefault="00C32A83" w:rsidP="00A93BBA">
      <w:pPr>
        <w:spacing w:after="0" w:line="240" w:lineRule="auto"/>
        <w:jc w:val="both"/>
        <w:rPr>
          <w:rFonts w:ascii="Calibri" w:eastAsia="Times New Roman" w:hAnsi="Calibri" w:cs="Arial"/>
          <w:sz w:val="14"/>
          <w:szCs w:val="14"/>
          <w:lang w:val="en-US"/>
        </w:rPr>
      </w:pPr>
    </w:p>
    <w:p w14:paraId="7DAF25CF" w14:textId="77777777" w:rsidR="00A93BBA" w:rsidRPr="000239F2" w:rsidRDefault="00A93BBA" w:rsidP="00A93BBA">
      <w:pPr>
        <w:spacing w:after="0" w:line="240" w:lineRule="auto"/>
        <w:jc w:val="both"/>
        <w:rPr>
          <w:rFonts w:cs="Arial"/>
          <w:b/>
        </w:rPr>
      </w:pPr>
      <w:r w:rsidRPr="000239F2">
        <w:rPr>
          <w:rFonts w:cs="Arial"/>
          <w:b/>
        </w:rPr>
        <w:t>The Risk Management Division</w:t>
      </w:r>
    </w:p>
    <w:p w14:paraId="434A725B" w14:textId="77777777" w:rsidR="00A93BBA" w:rsidRPr="000D6436" w:rsidRDefault="00A93BBA" w:rsidP="00A93BBA">
      <w:pPr>
        <w:spacing w:after="0" w:line="240" w:lineRule="auto"/>
        <w:jc w:val="both"/>
        <w:rPr>
          <w:color w:val="FF0000"/>
          <w:sz w:val="12"/>
          <w:szCs w:val="12"/>
        </w:rPr>
      </w:pPr>
    </w:p>
    <w:p w14:paraId="1A11E627" w14:textId="77777777" w:rsidR="00A93BBA" w:rsidRPr="000239F2" w:rsidRDefault="00A93BBA" w:rsidP="00A93BBA">
      <w:pPr>
        <w:spacing w:after="0" w:line="240" w:lineRule="auto"/>
        <w:jc w:val="both"/>
        <w:rPr>
          <w:rFonts w:ascii="Calibri" w:eastAsia="Calibri" w:hAnsi="Calibri" w:cs="Calibri"/>
          <w:color w:val="000000"/>
          <w:lang w:val="en-GB"/>
        </w:rPr>
      </w:pPr>
      <w:r w:rsidRPr="000239F2">
        <w:rPr>
          <w:rFonts w:ascii="Calibri" w:eastAsia="Calibri" w:hAnsi="Calibri" w:cs="Calibri"/>
          <w:color w:val="000000"/>
          <w:lang w:val="en-GB"/>
        </w:rPr>
        <w:t xml:space="preserve">The Risk Management Division is a permanent risk control function, which is functionally and organisationally independent of the business processes and activities in which the risk occurs or is monitored and supervised. It is responsible for controlling, determining, measuring, </w:t>
      </w:r>
      <w:proofErr w:type="gramStart"/>
      <w:r w:rsidRPr="000239F2">
        <w:rPr>
          <w:rFonts w:ascii="Calibri" w:eastAsia="Calibri" w:hAnsi="Calibri" w:cs="Calibri"/>
          <w:color w:val="000000"/>
          <w:lang w:val="en-GB"/>
        </w:rPr>
        <w:t>assessing</w:t>
      </w:r>
      <w:proofErr w:type="gramEnd"/>
      <w:r w:rsidRPr="000239F2">
        <w:rPr>
          <w:rFonts w:ascii="Calibri" w:eastAsia="Calibri" w:hAnsi="Calibri" w:cs="Calibri"/>
          <w:color w:val="000000"/>
          <w:lang w:val="en-GB"/>
        </w:rPr>
        <w:t xml:space="preserve"> and supervising the risks to which HBOR is exposed or could be exposed in its business operations.</w:t>
      </w:r>
    </w:p>
    <w:p w14:paraId="7A34828D" w14:textId="77777777" w:rsidR="00A93BBA" w:rsidRPr="000D6436" w:rsidRDefault="00A93BBA" w:rsidP="00A93BBA">
      <w:pPr>
        <w:keepNext/>
        <w:spacing w:after="0" w:line="240" w:lineRule="auto"/>
        <w:jc w:val="both"/>
        <w:rPr>
          <w:rFonts w:ascii="Calibri" w:hAnsi="Calibri" w:cs="Arial"/>
          <w:b/>
          <w:bCs/>
          <w:sz w:val="12"/>
          <w:szCs w:val="12"/>
        </w:rPr>
      </w:pPr>
    </w:p>
    <w:p w14:paraId="4B814C10" w14:textId="25E2496A" w:rsidR="00A93BBA" w:rsidRDefault="00A93BBA" w:rsidP="00A93BBA">
      <w:pPr>
        <w:spacing w:after="0" w:line="240" w:lineRule="auto"/>
        <w:jc w:val="both"/>
      </w:pPr>
      <w:r w:rsidRPr="00E920D3">
        <w:t xml:space="preserve">The Risk Management </w:t>
      </w:r>
      <w:r>
        <w:t>Division</w:t>
      </w:r>
      <w:r w:rsidRPr="00E920D3">
        <w:t xml:space="preserve"> carries out its role by performing risk analyses and evaluations or measurements, developing risk management ordinances,</w:t>
      </w:r>
      <w:r>
        <w:t xml:space="preserve"> p</w:t>
      </w:r>
      <w:r w:rsidRPr="00553B9B">
        <w:t>olicies</w:t>
      </w:r>
      <w:r w:rsidRPr="00E920D3">
        <w:t xml:space="preserve"> and methodologies, supervising and monitoring their application, recommending and controlling the accepted exposure limits, giving suggestions and recommendations for adequate risk management as well as reporting to the relevant authorities. </w:t>
      </w:r>
    </w:p>
    <w:p w14:paraId="7527282B" w14:textId="77777777" w:rsidR="00B3203E" w:rsidRPr="000D6436" w:rsidRDefault="00B3203E" w:rsidP="00A93BBA">
      <w:pPr>
        <w:spacing w:after="0" w:line="240" w:lineRule="auto"/>
        <w:jc w:val="both"/>
        <w:rPr>
          <w:sz w:val="12"/>
          <w:szCs w:val="12"/>
        </w:rPr>
      </w:pPr>
    </w:p>
    <w:p w14:paraId="7A129B44" w14:textId="70AA2B27" w:rsidR="008602DC" w:rsidRPr="00537128" w:rsidRDefault="00B3203E" w:rsidP="00A93BBA">
      <w:pPr>
        <w:spacing w:after="0" w:line="240" w:lineRule="auto"/>
        <w:jc w:val="both"/>
        <w:rPr>
          <w:rFonts w:ascii="Calibri" w:eastAsia="Times New Roman" w:hAnsi="Calibri" w:cs="Times New Roman"/>
          <w:lang w:val="en-US"/>
        </w:rPr>
      </w:pPr>
      <w:r w:rsidRPr="00E920D3">
        <w:t>The risk management strategy is directed towards achieving and maintaining the system that would provide quality and efficiency in risk management complied with domestic and international banking practices and Croatian National Bank, European regulations and Basel Committee recommendations applicable to the Bank as a special financial institution.</w:t>
      </w:r>
    </w:p>
    <w:p w14:paraId="3214B9BB" w14:textId="77777777" w:rsidR="00BB61BD" w:rsidRPr="00537128" w:rsidRDefault="00BB61BD" w:rsidP="00926BAC">
      <w:pPr>
        <w:spacing w:before="120" w:after="120" w:line="240" w:lineRule="auto"/>
        <w:jc w:val="both"/>
        <w:rPr>
          <w:rFonts w:ascii="Calibri" w:eastAsia="Times New Roman" w:hAnsi="Calibri" w:cs="Arial"/>
          <w:color w:val="000000" w:themeColor="text1"/>
          <w:lang w:val="en-US"/>
        </w:rPr>
        <w:sectPr w:rsidR="00BB61BD" w:rsidRPr="00537128">
          <w:headerReference w:type="first" r:id="rId30"/>
          <w:pgSz w:w="11906" w:h="16838"/>
          <w:pgMar w:top="1417" w:right="1417" w:bottom="1417" w:left="1417" w:header="708" w:footer="708" w:gutter="0"/>
          <w:cols w:space="708"/>
          <w:docGrid w:linePitch="360"/>
        </w:sectPr>
      </w:pPr>
    </w:p>
    <w:p w14:paraId="6026118D" w14:textId="77777777" w:rsidR="00BB61BD" w:rsidRPr="00537128"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18"/>
          <w:szCs w:val="18"/>
          <w:lang w:val="en-US"/>
        </w:rPr>
      </w:pPr>
    </w:p>
    <w:p w14:paraId="2F7C272A" w14:textId="0A3DC116" w:rsidR="00BB61BD" w:rsidRPr="00537128" w:rsidRDefault="00BB61BD" w:rsidP="00BB61BD">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sidR="00E933C8">
        <w:rPr>
          <w:rFonts w:ascii="Calibri" w:eastAsia="Times New Roman" w:hAnsi="Calibri" w:cs="Calibri"/>
          <w:b/>
          <w:bCs/>
          <w:color w:val="000000" w:themeColor="text1"/>
          <w:lang w:val="en-US" w:eastAsia="hr-HR"/>
        </w:rPr>
        <w:t>3</w:t>
      </w:r>
      <w:r w:rsidRPr="00537128">
        <w:rPr>
          <w:rFonts w:ascii="Calibri" w:eastAsia="Times New Roman" w:hAnsi="Calibri" w:cs="Calibri"/>
          <w:b/>
          <w:bCs/>
          <w:color w:val="000000" w:themeColor="text1"/>
          <w:lang w:val="en-US" w:eastAsia="hr-HR"/>
        </w:rPr>
        <w:t>.</w:t>
      </w:r>
      <w:r w:rsidRPr="00537128">
        <w:rPr>
          <w:rFonts w:ascii="Calibri" w:eastAsia="Times New Roman" w:hAnsi="Calibri" w:cs="Calibri"/>
          <w:b/>
          <w:bCs/>
          <w:color w:val="000000" w:themeColor="text1"/>
          <w:lang w:val="en-US"/>
        </w:rPr>
        <w:tab/>
        <w:t>Risk management (continued)</w:t>
      </w:r>
    </w:p>
    <w:p w14:paraId="35C0DE0E" w14:textId="77777777" w:rsidR="00C32A83" w:rsidRPr="00537128" w:rsidRDefault="00C32A83" w:rsidP="00BB61BD">
      <w:pPr>
        <w:spacing w:after="0" w:line="240" w:lineRule="auto"/>
        <w:jc w:val="both"/>
        <w:rPr>
          <w:rFonts w:ascii="Calibri" w:eastAsia="Calibri" w:hAnsi="Calibri" w:cs="Arial"/>
          <w:b/>
          <w:color w:val="000000" w:themeColor="text1"/>
          <w:sz w:val="18"/>
          <w:szCs w:val="18"/>
          <w:lang w:val="en-US"/>
        </w:rPr>
      </w:pPr>
    </w:p>
    <w:p w14:paraId="717CC100" w14:textId="7E25120D" w:rsidR="00C32A83" w:rsidRPr="00537128" w:rsidRDefault="00C32A83" w:rsidP="00C32A83">
      <w:p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2</w:t>
      </w:r>
      <w:r w:rsidR="00E933C8">
        <w:rPr>
          <w:rFonts w:ascii="Calibri" w:eastAsia="Times New Roman" w:hAnsi="Calibri" w:cs="Times New Roman"/>
          <w:b/>
          <w:color w:val="000000" w:themeColor="text1"/>
          <w:lang w:val="en-US"/>
        </w:rPr>
        <w:t>3</w:t>
      </w:r>
      <w:r w:rsidRPr="00537128">
        <w:rPr>
          <w:rFonts w:ascii="Calibri" w:eastAsia="Times New Roman" w:hAnsi="Calibri" w:cs="Times New Roman"/>
          <w:b/>
          <w:color w:val="000000" w:themeColor="text1"/>
          <w:lang w:val="en-US"/>
        </w:rPr>
        <w:t>.2. Strategy and risk management systems</w:t>
      </w:r>
      <w:r w:rsidRPr="00537128">
        <w:rPr>
          <w:rFonts w:ascii="Calibri" w:eastAsia="Times New Roman" w:hAnsi="Calibri" w:cs="Calibri"/>
          <w:b/>
          <w:bCs/>
          <w:color w:val="000000" w:themeColor="text1"/>
          <w:lang w:val="en-US"/>
        </w:rPr>
        <w:t xml:space="preserve"> (continued)</w:t>
      </w:r>
    </w:p>
    <w:p w14:paraId="7C5AE76F" w14:textId="77777777" w:rsidR="00C32A83" w:rsidRPr="00537128" w:rsidRDefault="00C32A83" w:rsidP="00BB61BD">
      <w:pPr>
        <w:spacing w:after="0" w:line="240" w:lineRule="auto"/>
        <w:jc w:val="both"/>
        <w:rPr>
          <w:rFonts w:ascii="Calibri" w:eastAsia="Calibri" w:hAnsi="Calibri" w:cs="Arial"/>
          <w:b/>
          <w:color w:val="000000" w:themeColor="text1"/>
          <w:sz w:val="18"/>
          <w:szCs w:val="18"/>
          <w:lang w:val="en-US"/>
        </w:rPr>
      </w:pPr>
    </w:p>
    <w:p w14:paraId="76C8F972" w14:textId="0D331936" w:rsidR="00BB61BD" w:rsidRPr="00537128" w:rsidRDefault="00BB61BD" w:rsidP="00BB61BD">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Risk measurement and reporting systems</w:t>
      </w:r>
    </w:p>
    <w:p w14:paraId="4C5E1CF4" w14:textId="77777777" w:rsidR="00C32A83" w:rsidRPr="00537128" w:rsidRDefault="00C32A83" w:rsidP="00C32A83">
      <w:pPr>
        <w:spacing w:after="0" w:line="240" w:lineRule="auto"/>
        <w:jc w:val="both"/>
        <w:rPr>
          <w:rFonts w:ascii="Calibri" w:eastAsia="Times New Roman" w:hAnsi="Calibri" w:cs="Arial"/>
          <w:b/>
          <w:bCs/>
          <w:sz w:val="18"/>
          <w:szCs w:val="18"/>
          <w:lang w:val="en-US"/>
        </w:rPr>
      </w:pPr>
    </w:p>
    <w:p w14:paraId="017545D8" w14:textId="77777777" w:rsidR="00403D23" w:rsidRDefault="00403D23" w:rsidP="00403D23">
      <w:pPr>
        <w:spacing w:after="0" w:line="240" w:lineRule="auto"/>
        <w:jc w:val="both"/>
        <w:rPr>
          <w:rFonts w:cs="Arial"/>
        </w:rPr>
      </w:pPr>
      <w:r w:rsidRPr="00E920D3">
        <w:rPr>
          <w:rFonts w:cs="Arial"/>
        </w:rPr>
        <w:t xml:space="preserve">When assessing or measuring risk, historical data, business plans, current and expected market conditions and the specific characteristics of the </w:t>
      </w:r>
      <w:r>
        <w:rPr>
          <w:rFonts w:cs="Arial"/>
        </w:rPr>
        <w:t>Bank</w:t>
      </w:r>
      <w:r w:rsidRPr="00E920D3">
        <w:rPr>
          <w:rFonts w:cs="Arial"/>
        </w:rPr>
        <w:t xml:space="preserve"> as a special financial institution</w:t>
      </w:r>
      <w:r>
        <w:rPr>
          <w:rFonts w:cs="Arial"/>
        </w:rPr>
        <w:t xml:space="preserve"> are taken into account</w:t>
      </w:r>
      <w:r w:rsidRPr="00E920D3">
        <w:rPr>
          <w:rFonts w:cs="Arial"/>
        </w:rPr>
        <w:t xml:space="preserve">. </w:t>
      </w:r>
    </w:p>
    <w:p w14:paraId="0B052EDD" w14:textId="77777777" w:rsidR="00403D23" w:rsidRDefault="00403D23" w:rsidP="00403D23">
      <w:pPr>
        <w:spacing w:after="0" w:line="240" w:lineRule="auto"/>
        <w:jc w:val="both"/>
        <w:rPr>
          <w:rFonts w:cs="Arial"/>
        </w:rPr>
      </w:pPr>
    </w:p>
    <w:p w14:paraId="60E37B06" w14:textId="01B4A329" w:rsidR="00403D23" w:rsidRDefault="00403D23" w:rsidP="00403D23">
      <w:pPr>
        <w:spacing w:after="0" w:line="240" w:lineRule="auto"/>
        <w:jc w:val="both"/>
        <w:rPr>
          <w:rFonts w:cs="Arial"/>
        </w:rPr>
      </w:pPr>
      <w:r w:rsidRPr="00E920D3">
        <w:rPr>
          <w:rFonts w:cs="Arial"/>
        </w:rPr>
        <w:t>The results of risk assessments or measurements, analyses carried out and stress test are presented at the meetings of the Risk Management Committee</w:t>
      </w:r>
      <w:r w:rsidR="00167E39">
        <w:rPr>
          <w:rFonts w:cs="Arial"/>
        </w:rPr>
        <w:t xml:space="preserve"> and</w:t>
      </w:r>
      <w:r w:rsidRPr="00E920D3">
        <w:rPr>
          <w:rFonts w:cs="Arial"/>
        </w:rPr>
        <w:t xml:space="preserve"> the Management Board. For the purpose of risk monitoring and control, systems of limits are introduced for the management of credit risk, liquidity risk, interest rate risk and currency risk. </w:t>
      </w:r>
    </w:p>
    <w:p w14:paraId="11F37700" w14:textId="77777777" w:rsidR="00403D23" w:rsidRPr="00E920D3" w:rsidRDefault="00403D23" w:rsidP="00403D23">
      <w:pPr>
        <w:spacing w:after="0" w:line="240" w:lineRule="auto"/>
        <w:jc w:val="both"/>
        <w:rPr>
          <w:rFonts w:cs="Arial"/>
        </w:rPr>
      </w:pPr>
    </w:p>
    <w:p w14:paraId="442906AD" w14:textId="77777777" w:rsidR="00403D23" w:rsidRPr="00E920D3" w:rsidRDefault="00403D23" w:rsidP="00403D23">
      <w:pPr>
        <w:spacing w:after="0" w:line="240" w:lineRule="auto"/>
        <w:jc w:val="both"/>
        <w:rPr>
          <w:rFonts w:cs="Arial"/>
        </w:rPr>
      </w:pPr>
      <w:r w:rsidRPr="00E920D3">
        <w:rPr>
          <w:rFonts w:cs="Arial"/>
        </w:rPr>
        <w:t xml:space="preserve">Bodies in charge are systematically reported on the quality of the loan portfolio, high exposure and the highest permissible exposure, capital adequacy, collection of receivables and risk placements, changes in internal ratings of commercial banks and measures taken in case of rating deterioration, a number of liquidity status indicators and projections of open foreign currency positions, </w:t>
      </w:r>
      <w:bookmarkStart w:id="605" w:name="_Hlk65572607"/>
      <w:r w:rsidRPr="00E56E71">
        <w:rPr>
          <w:rFonts w:cs="Arial"/>
        </w:rPr>
        <w:t>the impact of changes in foreign exchange rates and interest rates on operating results</w:t>
      </w:r>
      <w:bookmarkEnd w:id="605"/>
      <w:r w:rsidRPr="00553B9B">
        <w:rPr>
          <w:rFonts w:cs="Arial"/>
        </w:rPr>
        <w:t xml:space="preserve">, </w:t>
      </w:r>
      <w:r w:rsidRPr="00E920D3">
        <w:rPr>
          <w:rFonts w:cs="Arial"/>
        </w:rPr>
        <w:t>interest rate gap, projections of average weighted rates for sources and placements</w:t>
      </w:r>
      <w:r w:rsidRPr="00E920D3">
        <w:rPr>
          <w:rFonts w:ascii="Arial" w:hAnsi="Arial"/>
          <w:b/>
          <w:sz w:val="19"/>
          <w:szCs w:val="20"/>
        </w:rPr>
        <w:t xml:space="preserve"> </w:t>
      </w:r>
      <w:r w:rsidRPr="00E920D3">
        <w:rPr>
          <w:rFonts w:cs="Arial"/>
        </w:rPr>
        <w:t>of financial institutions, etc. The reporting dynamics and the risk measurement and assessment methodologies are prescribed by the Group’s internal acts.</w:t>
      </w:r>
    </w:p>
    <w:p w14:paraId="5C84C386" w14:textId="77777777" w:rsidR="00BB61BD" w:rsidRPr="00537128" w:rsidRDefault="00BB61BD" w:rsidP="00BB61BD">
      <w:pPr>
        <w:tabs>
          <w:tab w:val="left" w:pos="709"/>
          <w:tab w:val="left" w:pos="851"/>
        </w:tabs>
        <w:spacing w:after="0" w:line="240" w:lineRule="auto"/>
        <w:jc w:val="both"/>
        <w:rPr>
          <w:rFonts w:ascii="Calibri" w:eastAsia="Times New Roman" w:hAnsi="Calibri" w:cs="Arial"/>
          <w:color w:val="000000" w:themeColor="text1"/>
          <w:sz w:val="18"/>
          <w:szCs w:val="18"/>
          <w:lang w:val="en-US"/>
        </w:rPr>
      </w:pPr>
    </w:p>
    <w:p w14:paraId="6C4DCAB0" w14:textId="6F326B3D" w:rsidR="00BB61BD" w:rsidRPr="00537128" w:rsidRDefault="00BB61BD" w:rsidP="00BB61BD">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sidR="00E933C8">
        <w:rPr>
          <w:rFonts w:ascii="Calibri" w:eastAsia="Times New Roman" w:hAnsi="Calibri" w:cs="Arial"/>
          <w:b/>
          <w:color w:val="000000" w:themeColor="text1"/>
          <w:lang w:val="en-US"/>
        </w:rPr>
        <w:t>3</w:t>
      </w:r>
      <w:r w:rsidRPr="00537128">
        <w:rPr>
          <w:rFonts w:ascii="Calibri" w:eastAsia="Times New Roman" w:hAnsi="Calibri" w:cs="Arial"/>
          <w:b/>
          <w:color w:val="000000" w:themeColor="text1"/>
          <w:lang w:val="en-US"/>
        </w:rPr>
        <w:t>.3.   Credit risk</w:t>
      </w:r>
    </w:p>
    <w:p w14:paraId="6A925E4C" w14:textId="77777777" w:rsidR="00C32A83" w:rsidRPr="00537128" w:rsidRDefault="00C32A83" w:rsidP="00BB61BD">
      <w:pPr>
        <w:tabs>
          <w:tab w:val="left" w:pos="709"/>
          <w:tab w:val="left" w:pos="851"/>
        </w:tabs>
        <w:spacing w:after="0" w:line="240" w:lineRule="auto"/>
        <w:jc w:val="both"/>
        <w:rPr>
          <w:rFonts w:ascii="Calibri" w:eastAsia="Times New Roman" w:hAnsi="Calibri" w:cs="Arial"/>
          <w:b/>
          <w:color w:val="000000" w:themeColor="text1"/>
          <w:sz w:val="18"/>
          <w:szCs w:val="18"/>
          <w:lang w:val="en-US"/>
        </w:rPr>
      </w:pPr>
    </w:p>
    <w:p w14:paraId="47A41DB1" w14:textId="77777777" w:rsidR="00630410" w:rsidRPr="00E920D3" w:rsidRDefault="00630410" w:rsidP="00630410">
      <w:pPr>
        <w:spacing w:after="0" w:line="240" w:lineRule="auto"/>
        <w:jc w:val="both"/>
      </w:pPr>
      <w:r w:rsidRPr="00E920D3">
        <w:t xml:space="preserve">The </w:t>
      </w:r>
      <w:r>
        <w:t>Bank</w:t>
      </w:r>
      <w:r w:rsidRPr="00E920D3">
        <w:t xml:space="preserve"> controls credit risk by way of credit policies and ordinances for the management of this risk that determine internal control systems aiming to act preventively. </w:t>
      </w:r>
    </w:p>
    <w:p w14:paraId="7E13E251" w14:textId="77777777" w:rsidR="00630410" w:rsidRDefault="00630410" w:rsidP="00630410">
      <w:pPr>
        <w:spacing w:after="0" w:line="240" w:lineRule="auto"/>
        <w:jc w:val="both"/>
      </w:pPr>
    </w:p>
    <w:p w14:paraId="5BDE4784" w14:textId="77777777" w:rsidR="00630410" w:rsidRPr="00E920D3" w:rsidRDefault="00630410" w:rsidP="00630410">
      <w:pPr>
        <w:spacing w:after="0" w:line="240" w:lineRule="auto"/>
        <w:jc w:val="both"/>
      </w:pPr>
      <w:r w:rsidRPr="00E920D3">
        <w:t xml:space="preserve">The credit risk management system is a crucial part of the </w:t>
      </w:r>
      <w:r>
        <w:t>Bank</w:t>
      </w:r>
      <w:r w:rsidRPr="00E920D3">
        <w:t>’s business policy and it is an important strategic factor of business conduct, and therefore this area is regulated by a separate act - Credit risk management ordinance, that are applied on all phases of the credit process (from the development of new bank products or from the credit application, monitoring of the client’s business operations until the final loan repayment).</w:t>
      </w:r>
    </w:p>
    <w:p w14:paraId="796A8A29" w14:textId="77777777" w:rsidR="00630410" w:rsidRPr="00E920D3" w:rsidRDefault="00630410" w:rsidP="00630410">
      <w:pPr>
        <w:spacing w:after="0" w:line="240" w:lineRule="auto"/>
        <w:jc w:val="both"/>
        <w:rPr>
          <w:rFonts w:cs="Arial"/>
        </w:rPr>
      </w:pPr>
    </w:p>
    <w:p w14:paraId="074346BA" w14:textId="77777777" w:rsidR="00630410" w:rsidRPr="000239F2" w:rsidRDefault="00630410" w:rsidP="00630410">
      <w:pPr>
        <w:spacing w:after="0" w:line="240" w:lineRule="auto"/>
        <w:jc w:val="both"/>
        <w:rPr>
          <w:rFonts w:ascii="Calibri" w:eastAsia="Calibri" w:hAnsi="Calibri" w:cs="Calibri"/>
          <w:lang w:val="en-GB"/>
        </w:rPr>
      </w:pPr>
      <w:bookmarkStart w:id="606" w:name="_Hlk97651260"/>
      <w:r w:rsidRPr="000239F2">
        <w:rPr>
          <w:rFonts w:ascii="Calibri" w:eastAsia="Calibri" w:hAnsi="Calibri" w:cs="Calibri"/>
          <w:lang w:val="en-GB"/>
        </w:rPr>
        <w:t>In addition to the Credit Risk Management Ordinance, methodologies have been adopted as separate internal documents intended for the assessment of operations of various client target groups.</w:t>
      </w:r>
    </w:p>
    <w:p w14:paraId="3AFCFC8D" w14:textId="77777777" w:rsidR="00630410" w:rsidRPr="00F137CA" w:rsidRDefault="00630410" w:rsidP="00630410">
      <w:pPr>
        <w:spacing w:after="0" w:line="240" w:lineRule="auto"/>
        <w:rPr>
          <w:rFonts w:ascii="Calibri" w:eastAsia="Calibri" w:hAnsi="Calibri" w:cs="Calibri"/>
          <w:color w:val="000000"/>
          <w:lang w:val="en-GB"/>
        </w:rPr>
      </w:pPr>
    </w:p>
    <w:bookmarkEnd w:id="606"/>
    <w:p w14:paraId="1BB369DC" w14:textId="77777777" w:rsidR="00630410" w:rsidRPr="000239F2" w:rsidRDefault="00630410" w:rsidP="00630410">
      <w:pPr>
        <w:spacing w:after="0" w:line="240" w:lineRule="auto"/>
        <w:jc w:val="both"/>
        <w:rPr>
          <w:rFonts w:ascii="Calibri" w:eastAsia="Calibri" w:hAnsi="Calibri" w:cs="Calibri"/>
          <w:color w:val="000000"/>
          <w:lang w:val="en-GB"/>
        </w:rPr>
      </w:pPr>
      <w:r w:rsidRPr="000239F2">
        <w:rPr>
          <w:rFonts w:ascii="Calibri" w:eastAsia="Calibri" w:hAnsi="Calibri" w:cs="Calibri"/>
          <w:lang w:val="en-GB"/>
        </w:rPr>
        <w:t>In the case of direct financing, the Credit Risk Assessment Methodology (for gross exposures exceeding HRK 3,000</w:t>
      </w:r>
      <w:r>
        <w:rPr>
          <w:rFonts w:ascii="Calibri" w:eastAsia="Calibri" w:hAnsi="Calibri" w:cs="Calibri"/>
          <w:lang w:val="en-GB"/>
        </w:rPr>
        <w:t xml:space="preserve"> thousand</w:t>
      </w:r>
      <w:r w:rsidRPr="000239F2">
        <w:rPr>
          <w:rFonts w:ascii="Calibri" w:eastAsia="Calibri" w:hAnsi="Calibri" w:cs="Calibri"/>
          <w:lang w:val="en-GB"/>
        </w:rPr>
        <w:t>) or the Credit Scoring Methodology (for gross exposures below HRK 3,000</w:t>
      </w:r>
      <w:r>
        <w:rPr>
          <w:rFonts w:ascii="Calibri" w:eastAsia="Calibri" w:hAnsi="Calibri" w:cs="Calibri"/>
          <w:lang w:val="en-GB"/>
        </w:rPr>
        <w:t xml:space="preserve"> thousand</w:t>
      </w:r>
      <w:r w:rsidRPr="000239F2">
        <w:rPr>
          <w:rFonts w:ascii="Calibri" w:eastAsia="Calibri" w:hAnsi="Calibri" w:cs="Calibri"/>
          <w:lang w:val="en-GB"/>
        </w:rPr>
        <w:t>) is used to determine creditworthiness. The Credit Scoring Methodology is used to determine creditworthiness of clients that belong to the “small loan portfolio” and it contains seven scoring models</w:t>
      </w:r>
      <w:r w:rsidRPr="000239F2">
        <w:rPr>
          <w:rFonts w:ascii="Calibri" w:eastAsia="Calibri" w:hAnsi="Calibri" w:cs="Calibri"/>
          <w:color w:val="000000"/>
          <w:lang w:val="en-GB"/>
        </w:rPr>
        <w:t xml:space="preserve">: </w:t>
      </w:r>
    </w:p>
    <w:p w14:paraId="4CF0D4AB" w14:textId="77777777" w:rsidR="00630410" w:rsidRPr="000239F2" w:rsidRDefault="00630410" w:rsidP="00630410">
      <w:pPr>
        <w:numPr>
          <w:ilvl w:val="0"/>
          <w:numId w:val="92"/>
        </w:numPr>
        <w:spacing w:after="0" w:line="240" w:lineRule="auto"/>
        <w:contextualSpacing/>
        <w:jc w:val="both"/>
        <w:rPr>
          <w:rFonts w:ascii="Calibri" w:eastAsia="Calibri" w:hAnsi="Calibri"/>
          <w:color w:val="000000"/>
          <w:lang w:val="en-GB"/>
        </w:rPr>
      </w:pPr>
      <w:r w:rsidRPr="000239F2">
        <w:rPr>
          <w:rFonts w:ascii="Calibri" w:eastAsia="Calibri" w:hAnsi="Calibri"/>
          <w:color w:val="000000"/>
          <w:lang w:val="en-GB"/>
        </w:rPr>
        <w:t>placements up to HRK 300</w:t>
      </w:r>
      <w:r>
        <w:rPr>
          <w:rFonts w:ascii="Calibri" w:eastAsia="Calibri" w:hAnsi="Calibri"/>
          <w:color w:val="000000"/>
          <w:lang w:val="en-GB"/>
        </w:rPr>
        <w:t xml:space="preserve"> thousand</w:t>
      </w:r>
      <w:r w:rsidRPr="000239F2">
        <w:rPr>
          <w:rFonts w:ascii="Calibri" w:eastAsia="Calibri" w:hAnsi="Calibri"/>
          <w:color w:val="000000"/>
          <w:lang w:val="en-GB"/>
        </w:rPr>
        <w:t xml:space="preserve"> to companies, crafts </w:t>
      </w:r>
      <w:proofErr w:type="gramStart"/>
      <w:r w:rsidRPr="000239F2">
        <w:rPr>
          <w:rFonts w:ascii="Calibri" w:eastAsia="Calibri" w:hAnsi="Calibri"/>
          <w:color w:val="000000"/>
          <w:lang w:val="en-GB"/>
        </w:rPr>
        <w:t>businesses</w:t>
      </w:r>
      <w:proofErr w:type="gramEnd"/>
      <w:r w:rsidRPr="000239F2">
        <w:rPr>
          <w:rFonts w:ascii="Calibri" w:eastAsia="Calibri" w:hAnsi="Calibri"/>
          <w:color w:val="000000"/>
          <w:lang w:val="en-GB"/>
        </w:rPr>
        <w:t xml:space="preserve"> and farmers, </w:t>
      </w:r>
    </w:p>
    <w:p w14:paraId="4E1B835B" w14:textId="77777777" w:rsidR="00630410" w:rsidRPr="000239F2" w:rsidRDefault="00630410" w:rsidP="00630410">
      <w:pPr>
        <w:numPr>
          <w:ilvl w:val="0"/>
          <w:numId w:val="92"/>
        </w:numPr>
        <w:spacing w:after="0" w:line="240" w:lineRule="auto"/>
        <w:contextualSpacing/>
        <w:jc w:val="both"/>
        <w:rPr>
          <w:rFonts w:ascii="Calibri" w:eastAsia="Calibri" w:hAnsi="Calibri"/>
          <w:color w:val="000000"/>
          <w:lang w:val="en-GB"/>
        </w:rPr>
      </w:pPr>
      <w:r w:rsidRPr="000239F2">
        <w:rPr>
          <w:rFonts w:ascii="Calibri" w:eastAsia="Calibri" w:hAnsi="Calibri"/>
          <w:color w:val="000000"/>
          <w:lang w:val="en-GB"/>
        </w:rPr>
        <w:t>placements up to HRK 300</w:t>
      </w:r>
      <w:r>
        <w:rPr>
          <w:rFonts w:ascii="Calibri" w:eastAsia="Calibri" w:hAnsi="Calibri"/>
          <w:color w:val="000000"/>
          <w:lang w:val="en-GB"/>
        </w:rPr>
        <w:t xml:space="preserve"> thousand</w:t>
      </w:r>
      <w:r w:rsidRPr="000239F2">
        <w:rPr>
          <w:rFonts w:ascii="Calibri" w:eastAsia="Calibri" w:hAnsi="Calibri"/>
          <w:color w:val="000000"/>
          <w:lang w:val="en-GB"/>
        </w:rPr>
        <w:t xml:space="preserve"> to start-ups, </w:t>
      </w:r>
    </w:p>
    <w:p w14:paraId="108B0EBB" w14:textId="77777777" w:rsidR="00630410" w:rsidRPr="000239F2" w:rsidRDefault="00630410" w:rsidP="00630410">
      <w:pPr>
        <w:numPr>
          <w:ilvl w:val="0"/>
          <w:numId w:val="92"/>
        </w:numPr>
        <w:spacing w:after="0" w:line="240" w:lineRule="auto"/>
        <w:contextualSpacing/>
        <w:jc w:val="both"/>
        <w:rPr>
          <w:rFonts w:ascii="Calibri" w:eastAsia="Calibri" w:hAnsi="Calibri"/>
          <w:color w:val="000000"/>
          <w:lang w:val="en-GB"/>
        </w:rPr>
      </w:pPr>
      <w:r w:rsidRPr="000239F2">
        <w:rPr>
          <w:rFonts w:ascii="Calibri" w:eastAsia="Calibri" w:hAnsi="Calibri"/>
          <w:color w:val="000000"/>
          <w:lang w:val="en-GB"/>
        </w:rPr>
        <w:t>placements from HRK 300</w:t>
      </w:r>
      <w:r>
        <w:rPr>
          <w:rFonts w:ascii="Calibri" w:eastAsia="Calibri" w:hAnsi="Calibri"/>
          <w:color w:val="000000"/>
          <w:lang w:val="en-GB"/>
        </w:rPr>
        <w:t xml:space="preserve"> thousand</w:t>
      </w:r>
      <w:r w:rsidRPr="000239F2">
        <w:rPr>
          <w:rFonts w:ascii="Calibri" w:eastAsia="Calibri" w:hAnsi="Calibri"/>
          <w:color w:val="000000"/>
          <w:lang w:val="en-GB"/>
        </w:rPr>
        <w:t xml:space="preserve"> to HRK 1,500</w:t>
      </w:r>
      <w:r>
        <w:rPr>
          <w:rFonts w:ascii="Calibri" w:eastAsia="Calibri" w:hAnsi="Calibri"/>
          <w:color w:val="000000"/>
          <w:lang w:val="en-GB"/>
        </w:rPr>
        <w:t xml:space="preserve"> thousand</w:t>
      </w:r>
      <w:r w:rsidRPr="000239F2">
        <w:rPr>
          <w:rFonts w:ascii="Calibri" w:eastAsia="Calibri" w:hAnsi="Calibri"/>
          <w:color w:val="000000"/>
          <w:lang w:val="en-GB"/>
        </w:rPr>
        <w:t xml:space="preserve"> to companies, </w:t>
      </w:r>
    </w:p>
    <w:p w14:paraId="41C0D926" w14:textId="77777777" w:rsidR="00630410" w:rsidRPr="000239F2" w:rsidRDefault="00630410" w:rsidP="00630410">
      <w:pPr>
        <w:numPr>
          <w:ilvl w:val="0"/>
          <w:numId w:val="92"/>
        </w:numPr>
        <w:spacing w:after="0" w:line="240" w:lineRule="auto"/>
        <w:contextualSpacing/>
        <w:jc w:val="both"/>
        <w:rPr>
          <w:rFonts w:ascii="Calibri" w:eastAsia="Calibri" w:hAnsi="Calibri"/>
          <w:color w:val="000000"/>
          <w:lang w:val="en-GB"/>
        </w:rPr>
      </w:pPr>
      <w:r w:rsidRPr="000239F2">
        <w:rPr>
          <w:rFonts w:ascii="Calibri" w:eastAsia="Calibri" w:hAnsi="Calibri"/>
          <w:color w:val="000000"/>
          <w:lang w:val="en-GB"/>
        </w:rPr>
        <w:t>placements from HRK 300</w:t>
      </w:r>
      <w:r>
        <w:rPr>
          <w:rFonts w:ascii="Calibri" w:eastAsia="Calibri" w:hAnsi="Calibri"/>
          <w:color w:val="000000"/>
          <w:lang w:val="en-GB"/>
        </w:rPr>
        <w:t xml:space="preserve"> thousand</w:t>
      </w:r>
      <w:r w:rsidRPr="000239F2">
        <w:rPr>
          <w:rFonts w:ascii="Calibri" w:eastAsia="Calibri" w:hAnsi="Calibri"/>
          <w:color w:val="000000"/>
          <w:lang w:val="en-GB"/>
        </w:rPr>
        <w:t xml:space="preserve"> to HRK 1,500</w:t>
      </w:r>
      <w:r>
        <w:rPr>
          <w:rFonts w:ascii="Calibri" w:eastAsia="Calibri" w:hAnsi="Calibri"/>
          <w:color w:val="000000"/>
          <w:lang w:val="en-GB"/>
        </w:rPr>
        <w:t xml:space="preserve"> thousand</w:t>
      </w:r>
      <w:r w:rsidRPr="000239F2">
        <w:rPr>
          <w:rFonts w:ascii="Calibri" w:eastAsia="Calibri" w:hAnsi="Calibri"/>
          <w:color w:val="000000"/>
          <w:lang w:val="en-GB"/>
        </w:rPr>
        <w:t xml:space="preserve"> to start-ups,</w:t>
      </w:r>
    </w:p>
    <w:p w14:paraId="7988E357" w14:textId="350D09A1" w:rsidR="00C32A83" w:rsidRPr="00AC07A8" w:rsidRDefault="00630410" w:rsidP="00163CFD">
      <w:pPr>
        <w:numPr>
          <w:ilvl w:val="0"/>
          <w:numId w:val="92"/>
        </w:numPr>
        <w:spacing w:after="0" w:line="240" w:lineRule="auto"/>
        <w:contextualSpacing/>
        <w:jc w:val="both"/>
        <w:rPr>
          <w:rFonts w:ascii="Calibri" w:eastAsia="Times New Roman" w:hAnsi="Calibri" w:cs="Arial"/>
          <w:lang w:val="en-US"/>
        </w:rPr>
      </w:pPr>
      <w:r w:rsidRPr="00AC07A8">
        <w:rPr>
          <w:rFonts w:ascii="Calibri" w:eastAsia="Calibri" w:hAnsi="Calibri"/>
          <w:color w:val="000000"/>
          <w:lang w:val="en-GB"/>
        </w:rPr>
        <w:t xml:space="preserve">placements from HRK 300 thousand to HRK 1,500 thousand </w:t>
      </w:r>
      <w:bookmarkStart w:id="607" w:name="_Hlk97901141"/>
      <w:r w:rsidRPr="00AC07A8">
        <w:rPr>
          <w:rFonts w:ascii="Calibri" w:eastAsia="Calibri" w:hAnsi="Calibri"/>
          <w:color w:val="000000"/>
          <w:lang w:val="en-GB"/>
        </w:rPr>
        <w:t>to all other entrepreneurs</w:t>
      </w:r>
      <w:bookmarkEnd w:id="607"/>
      <w:r w:rsidRPr="00AC07A8">
        <w:rPr>
          <w:rFonts w:ascii="Calibri" w:eastAsia="Calibri" w:hAnsi="Calibri"/>
          <w:color w:val="000000"/>
          <w:lang w:val="en-GB"/>
        </w:rPr>
        <w:t>,</w:t>
      </w:r>
      <w:r w:rsidR="00C32A83" w:rsidRPr="00AC07A8">
        <w:rPr>
          <w:rFonts w:ascii="Calibri" w:eastAsia="Times New Roman" w:hAnsi="Calibri" w:cs="Arial"/>
          <w:lang w:val="en-US"/>
        </w:rPr>
        <w:t xml:space="preserve"> </w:t>
      </w:r>
    </w:p>
    <w:p w14:paraId="5CE2B6D8" w14:textId="14B4DCD7" w:rsidR="00C32A83" w:rsidRPr="00537128" w:rsidRDefault="00C32A83" w:rsidP="00BB61BD">
      <w:pPr>
        <w:spacing w:after="0" w:line="250" w:lineRule="exact"/>
        <w:jc w:val="both"/>
        <w:rPr>
          <w:rFonts w:ascii="Calibri" w:eastAsia="Times New Roman" w:hAnsi="Calibri" w:cs="Arial"/>
          <w:color w:val="000000" w:themeColor="text1"/>
          <w:lang w:val="en-US"/>
        </w:rPr>
        <w:sectPr w:rsidR="00C32A83" w:rsidRPr="00537128">
          <w:headerReference w:type="default" r:id="rId31"/>
          <w:pgSz w:w="11906" w:h="16838"/>
          <w:pgMar w:top="1417" w:right="1417" w:bottom="1417" w:left="1417" w:header="708" w:footer="708" w:gutter="0"/>
          <w:cols w:space="708"/>
          <w:docGrid w:linePitch="360"/>
        </w:sectPr>
      </w:pPr>
    </w:p>
    <w:p w14:paraId="36F6DDD0" w14:textId="77777777" w:rsidR="00C32A83" w:rsidRPr="00537128" w:rsidRDefault="00C32A83" w:rsidP="00C32A83">
      <w:pPr>
        <w:tabs>
          <w:tab w:val="right" w:pos="1202"/>
          <w:tab w:val="left" w:pos="9180"/>
        </w:tabs>
        <w:spacing w:after="0" w:line="240" w:lineRule="auto"/>
        <w:jc w:val="both"/>
        <w:outlineLvl w:val="0"/>
        <w:rPr>
          <w:rFonts w:ascii="Calibri" w:eastAsia="Times New Roman" w:hAnsi="Calibri" w:cs="Arial"/>
          <w:color w:val="000000" w:themeColor="text1"/>
          <w:sz w:val="18"/>
          <w:szCs w:val="18"/>
          <w:lang w:val="en-US"/>
        </w:rPr>
      </w:pPr>
    </w:p>
    <w:p w14:paraId="37A835FA" w14:textId="179FDDB5" w:rsidR="00C32A83" w:rsidRPr="00537128" w:rsidRDefault="004F4DDA" w:rsidP="00C32A83">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sidR="00C32A83" w:rsidRPr="00537128">
        <w:rPr>
          <w:rFonts w:ascii="Calibri" w:eastAsia="Times New Roman" w:hAnsi="Calibri" w:cs="Calibri"/>
          <w:b/>
          <w:bCs/>
          <w:color w:val="000000" w:themeColor="text1"/>
          <w:lang w:val="en-US" w:eastAsia="hr-HR"/>
        </w:rPr>
        <w:t>.</w:t>
      </w:r>
      <w:r w:rsidR="00C32A83" w:rsidRPr="00537128">
        <w:rPr>
          <w:rFonts w:ascii="Calibri" w:eastAsia="Times New Roman" w:hAnsi="Calibri" w:cs="Calibri"/>
          <w:b/>
          <w:bCs/>
          <w:color w:val="000000" w:themeColor="text1"/>
          <w:lang w:val="en-US"/>
        </w:rPr>
        <w:tab/>
        <w:t>Risk management (continued)</w:t>
      </w:r>
    </w:p>
    <w:p w14:paraId="4B2B8140" w14:textId="77777777" w:rsidR="00C32A83" w:rsidRPr="00537128" w:rsidRDefault="00C32A83" w:rsidP="00C32A83">
      <w:pPr>
        <w:spacing w:after="0" w:line="240" w:lineRule="auto"/>
        <w:jc w:val="both"/>
        <w:rPr>
          <w:rFonts w:ascii="Calibri" w:eastAsia="Calibri" w:hAnsi="Calibri" w:cs="Arial"/>
          <w:b/>
          <w:color w:val="000000" w:themeColor="text1"/>
          <w:sz w:val="18"/>
          <w:szCs w:val="18"/>
          <w:lang w:val="en-US"/>
        </w:rPr>
      </w:pPr>
    </w:p>
    <w:p w14:paraId="296E1983" w14:textId="6B092E36" w:rsidR="00C32A83" w:rsidRPr="00537128" w:rsidRDefault="00C32A83" w:rsidP="00C32A83">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sidR="004F4DDA">
        <w:rPr>
          <w:rFonts w:ascii="Calibri" w:eastAsia="Times New Roman" w:hAnsi="Calibri" w:cs="Arial"/>
          <w:b/>
          <w:color w:val="000000" w:themeColor="text1"/>
          <w:lang w:val="en-US"/>
        </w:rPr>
        <w:t>3</w:t>
      </w:r>
      <w:r w:rsidRPr="00537128">
        <w:rPr>
          <w:rFonts w:ascii="Calibri" w:eastAsia="Times New Roman" w:hAnsi="Calibri" w:cs="Arial"/>
          <w:b/>
          <w:color w:val="000000" w:themeColor="text1"/>
          <w:lang w:val="en-US"/>
        </w:rPr>
        <w:t>.3.   Credit risk (continued)</w:t>
      </w:r>
    </w:p>
    <w:p w14:paraId="72C9CD6B" w14:textId="77777777" w:rsidR="00C32A83" w:rsidRPr="00537128" w:rsidRDefault="00C32A83" w:rsidP="00C32A83">
      <w:pPr>
        <w:tabs>
          <w:tab w:val="left" w:pos="709"/>
          <w:tab w:val="left" w:pos="851"/>
        </w:tabs>
        <w:spacing w:after="0" w:line="240" w:lineRule="auto"/>
        <w:jc w:val="both"/>
        <w:rPr>
          <w:rFonts w:ascii="Calibri" w:eastAsia="Times New Roman" w:hAnsi="Calibri" w:cs="Arial"/>
          <w:b/>
          <w:color w:val="000000" w:themeColor="text1"/>
          <w:lang w:val="en-US"/>
        </w:rPr>
      </w:pPr>
    </w:p>
    <w:p w14:paraId="31B21319" w14:textId="77777777" w:rsidR="0084057D" w:rsidRPr="000239F2" w:rsidRDefault="0084057D" w:rsidP="0084057D">
      <w:pPr>
        <w:numPr>
          <w:ilvl w:val="0"/>
          <w:numId w:val="92"/>
        </w:numPr>
        <w:spacing w:after="0" w:line="240" w:lineRule="auto"/>
        <w:contextualSpacing/>
        <w:jc w:val="both"/>
        <w:rPr>
          <w:rFonts w:ascii="Calibri" w:eastAsia="Calibri" w:hAnsi="Calibri"/>
          <w:color w:val="000000"/>
          <w:lang w:val="en-GB"/>
        </w:rPr>
      </w:pPr>
      <w:r w:rsidRPr="000239F2">
        <w:rPr>
          <w:rFonts w:ascii="Calibri" w:eastAsia="Calibri" w:hAnsi="Calibri"/>
          <w:color w:val="000000"/>
          <w:lang w:val="en-GB"/>
        </w:rPr>
        <w:t>placements from HRK 1,500</w:t>
      </w:r>
      <w:r>
        <w:rPr>
          <w:rFonts w:ascii="Calibri" w:eastAsia="Calibri" w:hAnsi="Calibri"/>
          <w:color w:val="000000"/>
          <w:lang w:val="en-GB"/>
        </w:rPr>
        <w:t xml:space="preserve"> thousand</w:t>
      </w:r>
      <w:r w:rsidRPr="000239F2">
        <w:rPr>
          <w:rFonts w:ascii="Calibri" w:eastAsia="Calibri" w:hAnsi="Calibri"/>
          <w:color w:val="000000"/>
          <w:lang w:val="en-GB"/>
        </w:rPr>
        <w:t xml:space="preserve"> to </w:t>
      </w:r>
      <w:r>
        <w:rPr>
          <w:rFonts w:ascii="Calibri" w:eastAsia="Calibri" w:hAnsi="Calibri"/>
          <w:color w:val="000000"/>
          <w:lang w:val="en-GB"/>
        </w:rPr>
        <w:t xml:space="preserve">HRK </w:t>
      </w:r>
      <w:r w:rsidRPr="000239F2">
        <w:rPr>
          <w:rFonts w:ascii="Calibri" w:eastAsia="Calibri" w:hAnsi="Calibri"/>
          <w:color w:val="000000"/>
          <w:lang w:val="en-GB"/>
        </w:rPr>
        <w:t>3,000</w:t>
      </w:r>
      <w:r>
        <w:rPr>
          <w:rFonts w:ascii="Calibri" w:eastAsia="Calibri" w:hAnsi="Calibri"/>
          <w:color w:val="000000"/>
          <w:lang w:val="en-GB"/>
        </w:rPr>
        <w:t xml:space="preserve"> thousand</w:t>
      </w:r>
      <w:r w:rsidRPr="000239F2">
        <w:rPr>
          <w:rFonts w:ascii="Calibri" w:eastAsia="Calibri" w:hAnsi="Calibri"/>
          <w:color w:val="000000"/>
          <w:lang w:val="en-GB"/>
        </w:rPr>
        <w:t xml:space="preserve"> to companies and start-ups, and </w:t>
      </w:r>
    </w:p>
    <w:p w14:paraId="07667FC9" w14:textId="77777777" w:rsidR="00E42EC0" w:rsidRPr="00E42EC0" w:rsidRDefault="0084057D" w:rsidP="004854D5">
      <w:pPr>
        <w:numPr>
          <w:ilvl w:val="0"/>
          <w:numId w:val="92"/>
        </w:numPr>
        <w:spacing w:after="0" w:line="240" w:lineRule="auto"/>
        <w:contextualSpacing/>
        <w:jc w:val="both"/>
        <w:rPr>
          <w:rFonts w:ascii="Calibri" w:eastAsia="Times New Roman" w:hAnsi="Calibri" w:cs="Arial"/>
          <w:lang w:val="en-US"/>
        </w:rPr>
      </w:pPr>
      <w:r w:rsidRPr="0084057D">
        <w:rPr>
          <w:rFonts w:ascii="Calibri" w:eastAsia="Calibri" w:hAnsi="Calibri"/>
          <w:color w:val="000000"/>
          <w:lang w:val="en-GB"/>
        </w:rPr>
        <w:t>placements from HRK 1,500 thousand to HRK 3,000 thousand to all other entrepreneurs</w:t>
      </w:r>
      <w:r w:rsidRPr="0084057D">
        <w:rPr>
          <w:rFonts w:ascii="Calibri" w:eastAsia="Calibri" w:hAnsi="Calibri" w:cs="Calibri"/>
          <w:lang w:val="en-GB"/>
        </w:rPr>
        <w:t>.</w:t>
      </w:r>
    </w:p>
    <w:p w14:paraId="10142673" w14:textId="77777777" w:rsidR="00E42EC0" w:rsidRPr="00E42EC0" w:rsidRDefault="00E42EC0" w:rsidP="00E42EC0">
      <w:pPr>
        <w:spacing w:after="0" w:line="240" w:lineRule="auto"/>
        <w:ind w:left="720"/>
        <w:contextualSpacing/>
        <w:jc w:val="both"/>
        <w:rPr>
          <w:rFonts w:ascii="Calibri" w:eastAsia="Times New Roman" w:hAnsi="Calibri" w:cs="Arial"/>
          <w:lang w:val="en-US"/>
        </w:rPr>
      </w:pPr>
    </w:p>
    <w:p w14:paraId="4F0E8210" w14:textId="77777777" w:rsidR="00A42EEB" w:rsidRPr="000239F2" w:rsidRDefault="00A42EEB" w:rsidP="00A42EEB">
      <w:pPr>
        <w:spacing w:after="0" w:line="240" w:lineRule="auto"/>
        <w:jc w:val="both"/>
        <w:rPr>
          <w:rFonts w:ascii="Calibri" w:eastAsia="Calibri" w:hAnsi="Calibri" w:cs="Calibri"/>
          <w:lang w:val="en-GB"/>
        </w:rPr>
      </w:pPr>
      <w:r w:rsidRPr="000239F2">
        <w:rPr>
          <w:rFonts w:ascii="Calibri" w:eastAsia="Calibri" w:hAnsi="Calibri" w:cs="Calibri"/>
          <w:lang w:val="en-GB"/>
        </w:rPr>
        <w:t xml:space="preserve">The Credit Rating Assessment Methodology is used for the assessment of the risk of the clients that have been classified to the portfolio of individually significant clients, </w:t>
      </w:r>
      <w:proofErr w:type="gramStart"/>
      <w:r w:rsidRPr="000239F2">
        <w:rPr>
          <w:rFonts w:ascii="Calibri" w:eastAsia="Calibri" w:hAnsi="Calibri" w:cs="Calibri"/>
          <w:lang w:val="en-GB"/>
        </w:rPr>
        <w:t>i.e.</w:t>
      </w:r>
      <w:proofErr w:type="gramEnd"/>
      <w:r w:rsidRPr="000239F2">
        <w:rPr>
          <w:rFonts w:ascii="Calibri" w:eastAsia="Calibri" w:hAnsi="Calibri" w:cs="Calibri"/>
          <w:lang w:val="en-GB"/>
        </w:rPr>
        <w:t xml:space="preserve"> gross exposures exceeding HRK 3,000</w:t>
      </w:r>
      <w:r>
        <w:rPr>
          <w:rFonts w:ascii="Calibri" w:eastAsia="Calibri" w:hAnsi="Calibri" w:cs="Calibri"/>
          <w:lang w:val="en-GB"/>
        </w:rPr>
        <w:t xml:space="preserve"> thousand</w:t>
      </w:r>
      <w:r w:rsidRPr="000239F2">
        <w:rPr>
          <w:rFonts w:ascii="Calibri" w:eastAsia="Calibri" w:hAnsi="Calibri" w:cs="Calibri"/>
          <w:lang w:val="en-GB"/>
        </w:rPr>
        <w:t>.</w:t>
      </w:r>
      <w:r w:rsidRPr="00A21DAA">
        <w:rPr>
          <w:rFonts w:cs="Arial"/>
        </w:rPr>
        <w:t xml:space="preserve"> </w:t>
      </w:r>
      <w:r w:rsidRPr="00E920D3">
        <w:rPr>
          <w:rFonts w:cs="Arial"/>
        </w:rPr>
        <w:t>The risk assessment can be contained in the assessment of client creditworthiness, assessment of investment project success and assessment of client creditworthiness containing analysis of future operations.</w:t>
      </w:r>
    </w:p>
    <w:p w14:paraId="7AA07920" w14:textId="77777777" w:rsidR="00A42EEB" w:rsidRPr="00E920D3" w:rsidRDefault="00A42EEB" w:rsidP="00A42EEB">
      <w:pPr>
        <w:spacing w:after="0" w:line="240" w:lineRule="auto"/>
        <w:jc w:val="both"/>
        <w:rPr>
          <w:rFonts w:cs="Arial"/>
        </w:rPr>
      </w:pPr>
    </w:p>
    <w:p w14:paraId="7953AE3E" w14:textId="77777777" w:rsidR="00A42EEB" w:rsidRPr="00E920D3" w:rsidRDefault="00A42EEB" w:rsidP="00A42EEB">
      <w:pPr>
        <w:spacing w:after="0" w:line="240" w:lineRule="auto"/>
        <w:jc w:val="both"/>
        <w:rPr>
          <w:rFonts w:cs="Arial"/>
          <w:b/>
          <w:sz w:val="19"/>
          <w:szCs w:val="20"/>
        </w:rPr>
      </w:pPr>
      <w:r w:rsidRPr="00E920D3">
        <w:t xml:space="preserve">Pursuant to the HBOR Act, the </w:t>
      </w:r>
      <w:r>
        <w:t>Bank</w:t>
      </w:r>
      <w:r w:rsidRPr="00E920D3">
        <w:t xml:space="preserve"> on-lends part of its placements via commercial banks or leasing companies. The assessment of commercial banks is based on the Methodology for the Evaluation and Selection of Banks and the Methodology for the Evaluation and Selection of Foreign Banks, whereas the assessment of leasing companies is based on the Methodologies for the Evaluation and Selection of Leasing Companies. With an objective of facilitating the availability of HBOR’s funds, </w:t>
      </w:r>
      <w:r>
        <w:t>ank</w:t>
      </w:r>
      <w:r w:rsidRPr="00E920D3">
        <w:t xml:space="preserve"> part of its placements </w:t>
      </w:r>
      <w:r>
        <w:t xml:space="preserve">is placed </w:t>
      </w:r>
      <w:r w:rsidRPr="00E920D3">
        <w:t>through the risk sharing model, under which commercial banks and HBOR participate in the financing of clients in accordance with in advance agreed proportions.</w:t>
      </w:r>
    </w:p>
    <w:p w14:paraId="1A5076D6" w14:textId="77777777" w:rsidR="00A42EEB" w:rsidRPr="00E920D3" w:rsidRDefault="00A42EEB" w:rsidP="00A42EEB">
      <w:pPr>
        <w:spacing w:after="0" w:line="240" w:lineRule="auto"/>
        <w:jc w:val="both"/>
        <w:rPr>
          <w:sz w:val="16"/>
          <w:szCs w:val="16"/>
        </w:rPr>
      </w:pPr>
    </w:p>
    <w:p w14:paraId="1BEBC264" w14:textId="77777777" w:rsidR="00A42EEB" w:rsidRPr="00E920D3" w:rsidRDefault="00A42EEB" w:rsidP="00A42EEB">
      <w:pPr>
        <w:spacing w:after="0" w:line="240" w:lineRule="auto"/>
        <w:jc w:val="both"/>
        <w:rPr>
          <w:rFonts w:eastAsia="Calibri"/>
        </w:rPr>
      </w:pPr>
      <w:r w:rsidRPr="00E920D3">
        <w:rPr>
          <w:rFonts w:eastAsia="Calibri"/>
        </w:rPr>
        <w:t xml:space="preserve">The </w:t>
      </w:r>
      <w:r>
        <w:rPr>
          <w:rFonts w:eastAsia="Calibri"/>
        </w:rPr>
        <w:t>Bank</w:t>
      </w:r>
      <w:r w:rsidRPr="00E920D3">
        <w:rPr>
          <w:rFonts w:eastAsia="Calibri"/>
        </w:rPr>
        <w:t xml:space="preserve">, as a developmental financial institution, supports growth and development of the Croatian economy through investment. For this reason, the clients </w:t>
      </w:r>
      <w:r>
        <w:rPr>
          <w:rFonts w:eastAsia="Calibri"/>
        </w:rPr>
        <w:t xml:space="preserve">most often come </w:t>
      </w:r>
      <w:r w:rsidRPr="00E920D3">
        <w:rPr>
          <w:rFonts w:eastAsia="Calibri"/>
        </w:rPr>
        <w:t xml:space="preserve"> with applications for credit </w:t>
      </w:r>
      <w:r>
        <w:rPr>
          <w:rFonts w:eastAsia="Calibri"/>
        </w:rPr>
        <w:t>monitoring of development</w:t>
      </w:r>
      <w:r w:rsidRPr="00E920D3">
        <w:rPr>
          <w:rFonts w:eastAsia="Calibri"/>
        </w:rPr>
        <w:t xml:space="preserve"> investment projects. In order to minimize risk and objectively estimate economic sustainability of the project as well as a return on investment, the </w:t>
      </w:r>
      <w:r>
        <w:rPr>
          <w:rFonts w:eastAsia="Calibri"/>
        </w:rPr>
        <w:t>Bank</w:t>
      </w:r>
      <w:r w:rsidRPr="00E920D3">
        <w:rPr>
          <w:rFonts w:eastAsia="Calibri"/>
        </w:rPr>
        <w:t xml:space="preserve"> is constantly improving existing organizational and technical solutions, reports and internal acts and proposes new organization regulations and implementation instructions.</w:t>
      </w:r>
    </w:p>
    <w:p w14:paraId="3E8D3737" w14:textId="77777777" w:rsidR="00A42EEB" w:rsidRPr="00E920D3" w:rsidRDefault="00A42EEB" w:rsidP="00A42EEB">
      <w:pPr>
        <w:spacing w:after="0" w:line="240" w:lineRule="auto"/>
        <w:jc w:val="both"/>
        <w:rPr>
          <w:sz w:val="16"/>
          <w:szCs w:val="16"/>
        </w:rPr>
      </w:pPr>
    </w:p>
    <w:p w14:paraId="4A8C1E5C" w14:textId="77777777" w:rsidR="00A42EEB" w:rsidRPr="00E920D3" w:rsidRDefault="00A42EEB" w:rsidP="00A42EEB">
      <w:pPr>
        <w:spacing w:after="0" w:line="240" w:lineRule="auto"/>
        <w:jc w:val="both"/>
        <w:rPr>
          <w:rFonts w:eastAsia="Calibri"/>
        </w:rPr>
      </w:pPr>
      <w:r w:rsidRPr="000239F2">
        <w:rPr>
          <w:rFonts w:ascii="Calibri" w:eastAsia="Calibri" w:hAnsi="Calibri" w:cs="Calibri"/>
          <w:color w:val="000000"/>
          <w:lang w:val="en-GB"/>
        </w:rPr>
        <w:t>Through continuous monitoring and evaluation of clients' business operations, HBOR tries to identify difficulties in their business operations in time.</w:t>
      </w:r>
      <w:r>
        <w:rPr>
          <w:rFonts w:ascii="Calibri" w:eastAsia="Calibri" w:hAnsi="Calibri" w:cs="Calibri"/>
          <w:color w:val="000000"/>
          <w:lang w:val="en-GB"/>
        </w:rPr>
        <w:t xml:space="preserve"> </w:t>
      </w:r>
      <w:r w:rsidRPr="00755C39">
        <w:rPr>
          <w:rFonts w:eastAsia="Calibri"/>
        </w:rPr>
        <w:t>For</w:t>
      </w:r>
      <w:r w:rsidRPr="00E920D3">
        <w:rPr>
          <w:rFonts w:eastAsia="Calibri"/>
        </w:rPr>
        <w:t xml:space="preserve"> clients with difficulties, the </w:t>
      </w:r>
      <w:r>
        <w:rPr>
          <w:rFonts w:eastAsia="Calibri"/>
        </w:rPr>
        <w:t>Bank</w:t>
      </w:r>
      <w:r w:rsidRPr="00E920D3">
        <w:rPr>
          <w:rFonts w:eastAsia="Calibri"/>
        </w:rPr>
        <w:t xml:space="preserve"> tries to find appropriate ways to collect receivables by considering the possibilities of alternative repayment terms with a view to continue the production process and employment increase. Special emphasis is placed on identifying and monitoring reasons for bad debts, and procedures for prevention are built in operational procedures with a view to decreasing the share of high risk placements.</w:t>
      </w:r>
    </w:p>
    <w:p w14:paraId="7C75800B" w14:textId="77777777" w:rsidR="00A42EEB" w:rsidRDefault="00A42EEB" w:rsidP="00A42EEB">
      <w:pPr>
        <w:spacing w:after="0" w:line="240" w:lineRule="auto"/>
        <w:jc w:val="both"/>
        <w:rPr>
          <w:rFonts w:eastAsia="Calibri"/>
        </w:rPr>
      </w:pPr>
    </w:p>
    <w:p w14:paraId="42BE10EB" w14:textId="77777777" w:rsidR="00A42EEB" w:rsidRPr="003239B0" w:rsidRDefault="00A42EEB" w:rsidP="00A42EEB">
      <w:pPr>
        <w:spacing w:after="0" w:line="240" w:lineRule="auto"/>
        <w:jc w:val="both"/>
        <w:rPr>
          <w:rFonts w:eastAsia="Calibri"/>
        </w:rPr>
      </w:pPr>
      <w:r w:rsidRPr="003239B0">
        <w:rPr>
          <w:rFonts w:eastAsia="Calibri"/>
        </w:rPr>
        <w:t>In order to mitigate the negative consequences of the coronavirus pandemic, the Bank, with the aim of preserving the level of economic activity and liquidity of economic entities and most importantly, preserving jobs, enabled rescheduling of obligations</w:t>
      </w:r>
      <w:r>
        <w:rPr>
          <w:rFonts w:eastAsia="Calibri"/>
        </w:rPr>
        <w:t>.</w:t>
      </w:r>
    </w:p>
    <w:p w14:paraId="109BE902" w14:textId="77777777" w:rsidR="00A42EEB" w:rsidRPr="003239B0" w:rsidRDefault="00A42EEB" w:rsidP="00A42EEB">
      <w:pPr>
        <w:spacing w:after="0" w:line="240" w:lineRule="auto"/>
        <w:jc w:val="both"/>
        <w:rPr>
          <w:rFonts w:eastAsia="Calibri"/>
        </w:rPr>
      </w:pPr>
    </w:p>
    <w:p w14:paraId="484698D7" w14:textId="77777777" w:rsidR="00A42EEB" w:rsidRDefault="00A42EEB" w:rsidP="00A42EEB">
      <w:pPr>
        <w:spacing w:after="0" w:line="240" w:lineRule="auto"/>
        <w:jc w:val="both"/>
        <w:rPr>
          <w:rFonts w:ascii="Calibri" w:eastAsia="Calibri" w:hAnsi="Calibri" w:cs="Calibri"/>
          <w:lang w:val="en-GB"/>
        </w:rPr>
      </w:pPr>
      <w:r w:rsidRPr="000239F2">
        <w:rPr>
          <w:rFonts w:ascii="Calibri" w:eastAsia="Calibri" w:hAnsi="Calibri" w:cs="Calibri"/>
          <w:lang w:val="en-GB"/>
        </w:rPr>
        <w:t>Due to the approval of a larger number of loans in a relatively short period of time in 2020, certain activities in the existing manner and procedure of processing loan applications have been reduced that are prescribed by the Credit Risk Management Ordinance and that are covered by separate Instructions having been implemented on COVID-19 loans and loans for the areas struck by the earthquake in 2021 as well.</w:t>
      </w:r>
    </w:p>
    <w:p w14:paraId="576242E6" w14:textId="77777777" w:rsidR="00A42EEB" w:rsidRDefault="00A42EEB" w:rsidP="00A42EEB">
      <w:pPr>
        <w:spacing w:after="0" w:line="240" w:lineRule="auto"/>
        <w:jc w:val="both"/>
        <w:rPr>
          <w:rFonts w:ascii="Calibri" w:eastAsia="Calibri" w:hAnsi="Calibri" w:cs="Calibri"/>
          <w:lang w:val="en-GB"/>
        </w:rPr>
      </w:pPr>
    </w:p>
    <w:p w14:paraId="35E44EE5" w14:textId="5A985BDB" w:rsidR="00C32A83" w:rsidRPr="00537128" w:rsidRDefault="00A42EEB" w:rsidP="00A42EEB">
      <w:pPr>
        <w:spacing w:after="0" w:line="240" w:lineRule="auto"/>
        <w:jc w:val="both"/>
        <w:rPr>
          <w:rFonts w:ascii="Calibri" w:eastAsia="Calibri" w:hAnsi="Calibri" w:cs="Times New Roman"/>
          <w:highlight w:val="yellow"/>
          <w:lang w:val="en-US"/>
        </w:rPr>
      </w:pPr>
      <w:r w:rsidRPr="00E920D3">
        <w:rPr>
          <w:rFonts w:cs="Arial"/>
        </w:rPr>
        <w:t>For the purpose of risk monitoring and control, the systems of limits have been established for the management of credit risk. High exposure limits and amounts of maximum permitted credit exposure to individual borrowers and persons related to borrowers have been established.</w:t>
      </w:r>
    </w:p>
    <w:p w14:paraId="7A23439D" w14:textId="0AA350A9" w:rsidR="00BB61BD" w:rsidRPr="00537128" w:rsidRDefault="00BB61BD" w:rsidP="00A1123E">
      <w:pPr>
        <w:spacing w:after="0" w:line="240" w:lineRule="auto"/>
        <w:jc w:val="both"/>
        <w:rPr>
          <w:rFonts w:ascii="Calibri" w:eastAsia="Times New Roman" w:hAnsi="Calibri" w:cs="Times New Roman"/>
          <w:color w:val="000000" w:themeColor="text1"/>
          <w:lang w:val="en-US"/>
        </w:rPr>
        <w:sectPr w:rsidR="00BB61BD" w:rsidRPr="00537128">
          <w:headerReference w:type="default" r:id="rId32"/>
          <w:pgSz w:w="11906" w:h="16838"/>
          <w:pgMar w:top="1417" w:right="1417" w:bottom="1417" w:left="1417" w:header="708" w:footer="708" w:gutter="0"/>
          <w:cols w:space="708"/>
          <w:docGrid w:linePitch="360"/>
        </w:sectPr>
      </w:pPr>
    </w:p>
    <w:p w14:paraId="35E5D147" w14:textId="77777777" w:rsidR="00BB61BD" w:rsidRPr="00537128"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14"/>
          <w:szCs w:val="14"/>
          <w:lang w:val="en-US"/>
        </w:rPr>
      </w:pPr>
    </w:p>
    <w:p w14:paraId="4C9A525B" w14:textId="19728269" w:rsidR="00BB61BD" w:rsidRPr="00537128" w:rsidRDefault="001565C2" w:rsidP="00BB61BD">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BB61BD" w:rsidRPr="00537128">
        <w:rPr>
          <w:rFonts w:ascii="Calibri" w:eastAsia="Times New Roman" w:hAnsi="Calibri" w:cs="Calibri"/>
          <w:b/>
          <w:bCs/>
          <w:color w:val="000000" w:themeColor="text1"/>
          <w:lang w:val="en-US" w:eastAsia="hr-HR"/>
        </w:rPr>
        <w:t>.</w:t>
      </w:r>
      <w:r w:rsidR="00BB61BD" w:rsidRPr="00537128">
        <w:rPr>
          <w:rFonts w:ascii="Calibri" w:eastAsia="Times New Roman" w:hAnsi="Calibri" w:cs="Calibri"/>
          <w:b/>
          <w:bCs/>
          <w:color w:val="000000" w:themeColor="text1"/>
          <w:lang w:val="en-US"/>
        </w:rPr>
        <w:tab/>
        <w:t>Risk management (continued)</w:t>
      </w:r>
    </w:p>
    <w:p w14:paraId="5756446D" w14:textId="77777777" w:rsidR="00BB61BD" w:rsidRPr="00537128" w:rsidRDefault="00BB61BD" w:rsidP="00BB61BD">
      <w:pPr>
        <w:tabs>
          <w:tab w:val="left" w:pos="709"/>
          <w:tab w:val="left" w:pos="851"/>
        </w:tabs>
        <w:spacing w:after="0" w:line="240" w:lineRule="auto"/>
        <w:jc w:val="both"/>
        <w:rPr>
          <w:rFonts w:ascii="Calibri" w:eastAsia="Times New Roman" w:hAnsi="Calibri" w:cs="Arial"/>
          <w:color w:val="000000" w:themeColor="text1"/>
          <w:sz w:val="14"/>
          <w:szCs w:val="14"/>
          <w:lang w:val="en-US"/>
        </w:rPr>
      </w:pPr>
    </w:p>
    <w:p w14:paraId="238BDB7F" w14:textId="5901C5DE" w:rsidR="00BB61BD" w:rsidRPr="00537128" w:rsidRDefault="001565C2" w:rsidP="00BB61BD">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BB61BD" w:rsidRPr="00537128">
        <w:rPr>
          <w:rFonts w:ascii="Calibri" w:eastAsia="Times New Roman" w:hAnsi="Calibri" w:cs="Arial"/>
          <w:b/>
          <w:color w:val="000000" w:themeColor="text1"/>
          <w:lang w:val="en-US"/>
        </w:rPr>
        <w:t>.3.   Credit risk (continued)</w:t>
      </w:r>
    </w:p>
    <w:p w14:paraId="093F82EB" w14:textId="0A1A42F1" w:rsidR="00FC67FB" w:rsidRPr="00A1123E" w:rsidRDefault="00FC67FB" w:rsidP="00BB61BD">
      <w:pPr>
        <w:tabs>
          <w:tab w:val="left" w:pos="709"/>
          <w:tab w:val="left" w:pos="851"/>
        </w:tabs>
        <w:spacing w:after="0" w:line="240" w:lineRule="auto"/>
        <w:jc w:val="both"/>
        <w:rPr>
          <w:rFonts w:ascii="Calibri" w:eastAsia="Times New Roman" w:hAnsi="Calibri" w:cs="Arial"/>
          <w:b/>
          <w:color w:val="000000" w:themeColor="text1"/>
          <w:sz w:val="18"/>
          <w:szCs w:val="18"/>
          <w:lang w:val="en-US"/>
        </w:rPr>
      </w:pPr>
    </w:p>
    <w:p w14:paraId="345310ED" w14:textId="77777777" w:rsidR="00A1097A" w:rsidRPr="003C3FF3" w:rsidRDefault="00A1097A" w:rsidP="00A1097A">
      <w:pPr>
        <w:spacing w:after="0" w:line="240" w:lineRule="auto"/>
        <w:jc w:val="both"/>
        <w:rPr>
          <w:rFonts w:ascii="Calibri" w:eastAsia="Calibri" w:hAnsi="Calibri" w:cs="Arial"/>
          <w:b/>
          <w:bCs/>
          <w:i/>
          <w:iCs/>
          <w:color w:val="000000"/>
          <w:lang w:val="en-GB"/>
        </w:rPr>
      </w:pPr>
      <w:r w:rsidRPr="003C3FF3">
        <w:rPr>
          <w:rFonts w:ascii="Calibri" w:eastAsia="Calibri" w:hAnsi="Calibri" w:cs="Arial"/>
          <w:b/>
          <w:bCs/>
          <w:i/>
          <w:iCs/>
          <w:color w:val="000000"/>
          <w:lang w:val="en-GB"/>
        </w:rPr>
        <w:t>Implemented moratoriums</w:t>
      </w:r>
    </w:p>
    <w:p w14:paraId="71BD223F" w14:textId="77777777" w:rsidR="00A1097A" w:rsidRDefault="00A1097A" w:rsidP="00A1097A">
      <w:pPr>
        <w:spacing w:after="0" w:line="240" w:lineRule="auto"/>
        <w:jc w:val="both"/>
        <w:rPr>
          <w:rFonts w:ascii="Calibri" w:eastAsia="Calibri" w:hAnsi="Calibri"/>
          <w:color w:val="000000"/>
          <w:lang w:val="en-GB"/>
        </w:rPr>
      </w:pPr>
      <w:proofErr w:type="gramStart"/>
      <w:r w:rsidRPr="003C3FF3">
        <w:rPr>
          <w:rFonts w:ascii="Calibri" w:eastAsia="Calibri" w:hAnsi="Calibri"/>
          <w:color w:val="000000"/>
          <w:lang w:val="en-GB"/>
        </w:rPr>
        <w:t>In order to</w:t>
      </w:r>
      <w:proofErr w:type="gramEnd"/>
      <w:r w:rsidRPr="003C3FF3">
        <w:rPr>
          <w:rFonts w:ascii="Calibri" w:eastAsia="Calibri" w:hAnsi="Calibri"/>
          <w:color w:val="000000"/>
          <w:lang w:val="en-GB"/>
        </w:rPr>
        <w:t xml:space="preserve"> assess the impact of the crisis on the portfolio of its clients, the Bank reviews the operations of its clients, especially those affected by the COVID-19 crisis, who requested a moratorium or some kind of COVID-measures. According to the interpretations of the accounting authorities, the stated COVID-19 moratoriums do not automatically mean that there has been a significant increase in credit risk. The Bank assesses the performance of its clients that are in a moratorium by considering whether the difficulties faced by the clients are only of a temporary nature, in which case the approval of a moratorium did not represent a significant increase in credit risk.</w:t>
      </w:r>
    </w:p>
    <w:p w14:paraId="2F6737C8" w14:textId="77777777" w:rsidR="00BF4358" w:rsidRPr="00A1123E" w:rsidRDefault="00BF4358" w:rsidP="00A1097A">
      <w:pPr>
        <w:spacing w:after="0" w:line="240" w:lineRule="auto"/>
        <w:jc w:val="both"/>
        <w:rPr>
          <w:rFonts w:ascii="Calibri" w:hAnsi="Calibri" w:cs="Calibri"/>
          <w:color w:val="000000"/>
          <w:sz w:val="18"/>
          <w:szCs w:val="18"/>
        </w:rPr>
      </w:pPr>
    </w:p>
    <w:p w14:paraId="652FA4EB" w14:textId="6A6A78DE" w:rsidR="002925A0" w:rsidRPr="00E920D3" w:rsidRDefault="00B74CF1" w:rsidP="002925A0">
      <w:pPr>
        <w:rPr>
          <w:rFonts w:cs="Arial"/>
          <w:b/>
        </w:rPr>
      </w:pPr>
      <w:r>
        <w:rPr>
          <w:rFonts w:cs="Arial"/>
          <w:b/>
        </w:rPr>
        <w:t>23</w:t>
      </w:r>
      <w:r w:rsidR="002925A0" w:rsidRPr="00E920D3">
        <w:rPr>
          <w:rFonts w:cs="Arial"/>
          <w:b/>
        </w:rPr>
        <w:t>.3.1. Risk related to loan commitments</w:t>
      </w:r>
    </w:p>
    <w:p w14:paraId="6FD6B072" w14:textId="77777777" w:rsidR="002925A0" w:rsidRPr="00E920D3" w:rsidRDefault="002925A0" w:rsidP="002925A0">
      <w:pPr>
        <w:spacing w:after="0" w:line="240" w:lineRule="auto"/>
        <w:jc w:val="both"/>
        <w:rPr>
          <w:rFonts w:ascii="Calibri" w:eastAsia="Calibri" w:hAnsi="Calibri" w:cstheme="minorHAnsi"/>
          <w:b/>
          <w:bCs/>
          <w:spacing w:val="-3"/>
          <w:highlight w:val="yellow"/>
        </w:rPr>
      </w:pPr>
    </w:p>
    <w:p w14:paraId="1A3C06E5" w14:textId="77777777" w:rsidR="002925A0" w:rsidRPr="00E920D3" w:rsidRDefault="002925A0" w:rsidP="002925A0">
      <w:pPr>
        <w:spacing w:after="0" w:line="240" w:lineRule="auto"/>
        <w:jc w:val="both"/>
      </w:pPr>
      <w:r w:rsidRPr="00E920D3">
        <w:t>Bank clients can be issued guarantees and letters of credit with deferred payment terms (also from loan proceeds) in accordance with the same procedure as prescribed for loan commitments to direct clients.</w:t>
      </w:r>
    </w:p>
    <w:p w14:paraId="0BE12DE0" w14:textId="77777777" w:rsidR="002925A0" w:rsidRPr="00E920D3" w:rsidRDefault="002925A0" w:rsidP="002925A0">
      <w:pPr>
        <w:spacing w:after="0" w:line="240" w:lineRule="auto"/>
        <w:jc w:val="both"/>
        <w:rPr>
          <w:highlight w:val="yellow"/>
        </w:rPr>
      </w:pPr>
    </w:p>
    <w:p w14:paraId="58A9A412" w14:textId="77777777" w:rsidR="002925A0" w:rsidRPr="00E920D3" w:rsidRDefault="002925A0" w:rsidP="002925A0">
      <w:pPr>
        <w:tabs>
          <w:tab w:val="left" w:pos="2694"/>
        </w:tabs>
        <w:spacing w:after="0" w:line="240" w:lineRule="auto"/>
        <w:jc w:val="both"/>
        <w:rPr>
          <w:rFonts w:ascii="Calibri" w:hAnsi="Calibri"/>
        </w:rPr>
      </w:pPr>
      <w:r w:rsidRPr="00E920D3">
        <w:rPr>
          <w:rFonts w:ascii="Calibri" w:hAnsi="Calibri"/>
        </w:rPr>
        <w:t xml:space="preserve">All guarantees are monitored on the basis of validity periods, whereas letters of credit with deferred payment terms are monitored on the basis of maturities. In the case of calling for payment, the </w:t>
      </w:r>
      <w:r>
        <w:rPr>
          <w:rFonts w:ascii="Calibri" w:hAnsi="Calibri"/>
        </w:rPr>
        <w:t>Bank</w:t>
      </w:r>
      <w:r w:rsidRPr="00E920D3">
        <w:rPr>
          <w:rFonts w:ascii="Calibri" w:hAnsi="Calibri"/>
        </w:rPr>
        <w:t xml:space="preserve"> shall make a payment on behalf of client. For the </w:t>
      </w:r>
      <w:r>
        <w:rPr>
          <w:rFonts w:ascii="Calibri" w:hAnsi="Calibri"/>
        </w:rPr>
        <w:t>Bank</w:t>
      </w:r>
      <w:r w:rsidRPr="00E920D3">
        <w:rPr>
          <w:rFonts w:ascii="Calibri" w:hAnsi="Calibri"/>
        </w:rPr>
        <w:t>, such obligations generate exposures to risks that are similar to credit risks and they are mitigated by the same procedures that are applied to loans.</w:t>
      </w:r>
    </w:p>
    <w:p w14:paraId="7F081B21" w14:textId="77777777" w:rsidR="002925A0" w:rsidRDefault="002925A0" w:rsidP="002925A0">
      <w:pPr>
        <w:spacing w:after="0" w:line="240" w:lineRule="auto"/>
        <w:jc w:val="both"/>
        <w:rPr>
          <w:rFonts w:ascii="Calibri" w:eastAsia="Calibri" w:hAnsi="Calibri" w:cstheme="minorHAnsi"/>
          <w:b/>
          <w:bCs/>
          <w:spacing w:val="-3"/>
        </w:rPr>
      </w:pPr>
    </w:p>
    <w:p w14:paraId="0817ECFD" w14:textId="718B6272" w:rsidR="00BA1FFE" w:rsidRPr="00E920D3" w:rsidRDefault="00A02F38" w:rsidP="00BA1FFE">
      <w:pPr>
        <w:spacing w:after="0" w:line="240" w:lineRule="auto"/>
        <w:jc w:val="both"/>
        <w:rPr>
          <w:rFonts w:cs="Arial"/>
          <w:b/>
        </w:rPr>
      </w:pPr>
      <w:r>
        <w:rPr>
          <w:rFonts w:cs="Arial"/>
          <w:b/>
        </w:rPr>
        <w:t>23</w:t>
      </w:r>
      <w:r w:rsidR="00BA1FFE" w:rsidRPr="00E920D3">
        <w:rPr>
          <w:rFonts w:cs="Arial"/>
          <w:b/>
        </w:rPr>
        <w:t xml:space="preserve">.3.2. Impairment assessment </w:t>
      </w:r>
    </w:p>
    <w:p w14:paraId="18EB599D" w14:textId="77777777" w:rsidR="00BA1FFE" w:rsidRPr="00E920D3" w:rsidRDefault="00BA1FFE" w:rsidP="00BA1FFE">
      <w:pPr>
        <w:spacing w:after="0" w:line="240" w:lineRule="auto"/>
        <w:jc w:val="both"/>
        <w:rPr>
          <w:rFonts w:ascii="Calibri" w:eastAsia="Calibri" w:hAnsi="Calibri" w:cstheme="minorHAnsi"/>
          <w:b/>
          <w:bCs/>
          <w:spacing w:val="-3"/>
        </w:rPr>
      </w:pPr>
    </w:p>
    <w:p w14:paraId="17D99C40" w14:textId="77777777" w:rsidR="00BA1FFE" w:rsidRPr="00E920D3" w:rsidRDefault="00BA1FFE" w:rsidP="00BA1FFE">
      <w:pPr>
        <w:spacing w:after="0" w:line="240" w:lineRule="auto"/>
        <w:jc w:val="both"/>
      </w:pPr>
      <w:r w:rsidRPr="00E920D3">
        <w:t xml:space="preserve">Impairment is formed in accordance with the International Financial Reporting Standard 9, documents made by CNB applicable to HBOR and </w:t>
      </w:r>
      <w:r>
        <w:t xml:space="preserve">internal </w:t>
      </w:r>
      <w:r w:rsidRPr="00E920D3">
        <w:t>ordinances and methodologies regulating operations.</w:t>
      </w:r>
    </w:p>
    <w:p w14:paraId="124C1048" w14:textId="77777777" w:rsidR="00BA1FFE" w:rsidRPr="00E920D3" w:rsidRDefault="00BA1FFE" w:rsidP="00BA1FFE">
      <w:pPr>
        <w:spacing w:after="0" w:line="240" w:lineRule="auto"/>
        <w:jc w:val="both"/>
        <w:rPr>
          <w:rFonts w:ascii="Calibri" w:eastAsia="Calibri" w:hAnsi="Calibri" w:cstheme="minorHAnsi"/>
          <w:b/>
          <w:bCs/>
          <w:spacing w:val="-3"/>
        </w:rPr>
      </w:pPr>
    </w:p>
    <w:p w14:paraId="0B194325" w14:textId="77777777" w:rsidR="00BA1FFE" w:rsidRPr="00E920D3" w:rsidRDefault="00BA1FFE" w:rsidP="00BA1FFE">
      <w:pPr>
        <w:spacing w:after="0" w:line="240" w:lineRule="auto"/>
        <w:jc w:val="both"/>
      </w:pPr>
      <w:r w:rsidRPr="00E920D3">
        <w:t>On the basis of the assessed level of credit risk and the manner of calculating expected credit losses, clients are allocated to the following categories:</w:t>
      </w:r>
    </w:p>
    <w:p w14:paraId="6331A3A1" w14:textId="77777777" w:rsidR="00BA1FFE" w:rsidRPr="00E920D3" w:rsidRDefault="00BA1FFE" w:rsidP="00BA1FFE">
      <w:pPr>
        <w:numPr>
          <w:ilvl w:val="2"/>
          <w:numId w:val="25"/>
        </w:numPr>
        <w:spacing w:after="0" w:line="240" w:lineRule="auto"/>
        <w:ind w:left="709" w:hanging="425"/>
        <w:jc w:val="both"/>
      </w:pPr>
      <w:r w:rsidRPr="00E920D3">
        <w:t>Stage 1 – includes all clients with low credit risk and clients with respect to which no significant increase in credit risk has been established,</w:t>
      </w:r>
    </w:p>
    <w:p w14:paraId="025F3261" w14:textId="77777777" w:rsidR="00BA1FFE" w:rsidRPr="00E920D3" w:rsidRDefault="00BA1FFE" w:rsidP="00BA1FFE">
      <w:pPr>
        <w:numPr>
          <w:ilvl w:val="0"/>
          <w:numId w:val="23"/>
        </w:numPr>
        <w:spacing w:after="0" w:line="240" w:lineRule="auto"/>
        <w:jc w:val="both"/>
      </w:pPr>
      <w:r w:rsidRPr="00E920D3">
        <w:t>Stage 2 – includes all clients with respect to which a significant increase in credit risk since initial recognition has been established</w:t>
      </w:r>
      <w:r>
        <w:t>,</w:t>
      </w:r>
    </w:p>
    <w:p w14:paraId="191C7361" w14:textId="77777777" w:rsidR="00BA1FFE" w:rsidRDefault="00BA1FFE" w:rsidP="00BA1FFE">
      <w:pPr>
        <w:numPr>
          <w:ilvl w:val="0"/>
          <w:numId w:val="23"/>
        </w:numPr>
        <w:spacing w:after="0" w:line="240" w:lineRule="auto"/>
        <w:jc w:val="both"/>
      </w:pPr>
      <w:r w:rsidRPr="00E920D3">
        <w:t>Stage 3 – includes clients in default, i.e. clients with respect to which there is objective evidence of value impairment</w:t>
      </w:r>
    </w:p>
    <w:p w14:paraId="7383164C" w14:textId="77777777" w:rsidR="00BA1FFE" w:rsidRPr="000239F2" w:rsidRDefault="00BA1FFE" w:rsidP="00BA1FFE">
      <w:pPr>
        <w:numPr>
          <w:ilvl w:val="0"/>
          <w:numId w:val="23"/>
        </w:numPr>
        <w:spacing w:after="0" w:line="240" w:lineRule="auto"/>
        <w:jc w:val="both"/>
        <w:rPr>
          <w:rFonts w:ascii="Calibri" w:hAnsi="Calibri" w:cs="Calibri"/>
          <w:lang w:val="en-GB"/>
        </w:rPr>
      </w:pPr>
      <w:r w:rsidRPr="000239F2">
        <w:rPr>
          <w:rFonts w:ascii="Calibri" w:hAnsi="Calibri" w:cs="Calibri"/>
          <w:lang w:val="en-GB"/>
        </w:rPr>
        <w:t>and separate category - Purchased or originated credit impaired asset, POCI</w:t>
      </w:r>
      <w:r>
        <w:rPr>
          <w:rFonts w:ascii="Calibri" w:hAnsi="Calibri" w:cs="Calibri"/>
          <w:lang w:val="en-GB"/>
        </w:rPr>
        <w:t>.</w:t>
      </w:r>
    </w:p>
    <w:p w14:paraId="06FB4C16" w14:textId="77777777" w:rsidR="00BA1FFE" w:rsidRPr="006B4BEA" w:rsidRDefault="00BA1FFE" w:rsidP="00BA1FFE">
      <w:pPr>
        <w:spacing w:after="0" w:line="240" w:lineRule="auto"/>
        <w:jc w:val="both"/>
        <w:rPr>
          <w:rFonts w:ascii="Calibri" w:eastAsia="Calibri" w:hAnsi="Calibri" w:cs="Calibri"/>
        </w:rPr>
      </w:pPr>
    </w:p>
    <w:p w14:paraId="71A29FD0" w14:textId="77777777" w:rsidR="00BA1FFE" w:rsidRPr="00E920D3" w:rsidRDefault="00BA1FFE" w:rsidP="00BA1FFE">
      <w:pPr>
        <w:spacing w:after="0" w:line="240" w:lineRule="auto"/>
        <w:jc w:val="both"/>
      </w:pPr>
      <w:r w:rsidRPr="00E920D3">
        <w:t>During the contractual relationship with a client, the level of expected credit losses of client is estimated. The estimation is carried out on the basis of the following three criteria:</w:t>
      </w:r>
    </w:p>
    <w:p w14:paraId="06D9D4C5" w14:textId="77777777" w:rsidR="00BA1FFE" w:rsidRPr="00E920D3" w:rsidRDefault="00BA1FFE" w:rsidP="00BA1FFE">
      <w:pPr>
        <w:numPr>
          <w:ilvl w:val="0"/>
          <w:numId w:val="24"/>
        </w:numPr>
        <w:spacing w:after="0" w:line="240" w:lineRule="auto"/>
        <w:ind w:left="720"/>
        <w:jc w:val="both"/>
      </w:pPr>
      <w:r w:rsidRPr="00E920D3">
        <w:t xml:space="preserve">Debtor's creditworthiness </w:t>
      </w:r>
    </w:p>
    <w:p w14:paraId="6DC433C0" w14:textId="77777777" w:rsidR="00BA1FFE" w:rsidRPr="00E920D3" w:rsidRDefault="00BA1FFE" w:rsidP="00BA1FFE">
      <w:pPr>
        <w:numPr>
          <w:ilvl w:val="0"/>
          <w:numId w:val="24"/>
        </w:numPr>
        <w:spacing w:after="0" w:line="240" w:lineRule="auto"/>
        <w:ind w:left="720"/>
        <w:jc w:val="both"/>
      </w:pPr>
      <w:r w:rsidRPr="00E920D3">
        <w:t>Due fulfilment of obligations, and</w:t>
      </w:r>
    </w:p>
    <w:p w14:paraId="1B0230B5" w14:textId="77777777" w:rsidR="00BA1FFE" w:rsidRDefault="00BA1FFE" w:rsidP="00BA1FFE">
      <w:pPr>
        <w:numPr>
          <w:ilvl w:val="0"/>
          <w:numId w:val="24"/>
        </w:numPr>
        <w:spacing w:after="0" w:line="240" w:lineRule="auto"/>
        <w:ind w:left="720"/>
        <w:jc w:val="both"/>
      </w:pPr>
      <w:r w:rsidRPr="00E920D3">
        <w:t>Quality of collateral.</w:t>
      </w:r>
    </w:p>
    <w:p w14:paraId="26AFACEE" w14:textId="41F107C6" w:rsidR="000922AF" w:rsidRPr="00A1123E" w:rsidRDefault="000922AF" w:rsidP="00BA1FFE">
      <w:pPr>
        <w:tabs>
          <w:tab w:val="left" w:pos="2694"/>
        </w:tabs>
        <w:spacing w:after="0" w:line="240" w:lineRule="auto"/>
        <w:jc w:val="both"/>
        <w:rPr>
          <w:rFonts w:ascii="Calibri" w:eastAsia="Times New Roman" w:hAnsi="Calibri" w:cs="Times New Roman"/>
          <w:color w:val="000000" w:themeColor="text1"/>
          <w:sz w:val="18"/>
          <w:szCs w:val="18"/>
          <w:lang w:val="en-US"/>
        </w:rPr>
      </w:pPr>
    </w:p>
    <w:p w14:paraId="66C40E81" w14:textId="47F3B25E" w:rsidR="001565C2" w:rsidRDefault="001565C2" w:rsidP="00BA1FFE">
      <w:pPr>
        <w:tabs>
          <w:tab w:val="left" w:pos="2694"/>
        </w:tabs>
        <w:spacing w:after="0" w:line="240" w:lineRule="auto"/>
        <w:jc w:val="both"/>
        <w:rPr>
          <w:rFonts w:ascii="Calibri" w:eastAsia="Times New Roman" w:hAnsi="Calibri" w:cs="Times New Roman"/>
          <w:color w:val="000000" w:themeColor="text1"/>
          <w:lang w:val="en-US"/>
        </w:rPr>
      </w:pPr>
    </w:p>
    <w:p w14:paraId="5E390993" w14:textId="7141B27F" w:rsidR="00FC67FB" w:rsidRPr="00537128" w:rsidRDefault="00FC67FB" w:rsidP="00EF7137">
      <w:pPr>
        <w:spacing w:after="0" w:line="250" w:lineRule="exact"/>
        <w:jc w:val="both"/>
        <w:rPr>
          <w:rFonts w:ascii="Calibri" w:eastAsia="Calibri" w:hAnsi="Calibri" w:cs="Times New Roman"/>
          <w:color w:val="000000" w:themeColor="text1"/>
          <w:lang w:val="en-US"/>
        </w:rPr>
        <w:sectPr w:rsidR="00FC67FB" w:rsidRPr="00537128">
          <w:pgSz w:w="11906" w:h="16838"/>
          <w:pgMar w:top="1417" w:right="1417" w:bottom="1417" w:left="1417" w:header="708" w:footer="708" w:gutter="0"/>
          <w:cols w:space="708"/>
          <w:docGrid w:linePitch="360"/>
        </w:sectPr>
      </w:pPr>
    </w:p>
    <w:p w14:paraId="3393B7EF" w14:textId="77777777" w:rsidR="00951B0F" w:rsidRPr="00537128" w:rsidRDefault="00951B0F" w:rsidP="00E81639">
      <w:pPr>
        <w:spacing w:after="0"/>
        <w:jc w:val="both"/>
        <w:rPr>
          <w:rFonts w:ascii="Calibri" w:hAnsi="Calibri"/>
          <w:color w:val="000000" w:themeColor="text1"/>
          <w:sz w:val="16"/>
          <w:szCs w:val="16"/>
          <w:lang w:val="en-US"/>
        </w:rPr>
      </w:pPr>
    </w:p>
    <w:p w14:paraId="3B25D523" w14:textId="7BA61496" w:rsidR="00E81639" w:rsidRPr="00537128" w:rsidRDefault="00E81639" w:rsidP="00E81639">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sidR="008D6C0E">
        <w:rPr>
          <w:rFonts w:ascii="Calibri" w:eastAsia="Times New Roman" w:hAnsi="Calibri" w:cs="Calibri"/>
          <w:b/>
          <w:bCs/>
          <w:color w:val="000000" w:themeColor="text1"/>
          <w:lang w:val="en-US" w:eastAsia="hr-HR"/>
        </w:rPr>
        <w:t>3</w:t>
      </w:r>
      <w:r w:rsidRPr="00537128">
        <w:rPr>
          <w:rFonts w:ascii="Calibri" w:eastAsia="Times New Roman" w:hAnsi="Calibri" w:cs="Calibri"/>
          <w:b/>
          <w:bCs/>
          <w:color w:val="000000" w:themeColor="text1"/>
          <w:lang w:val="en-US" w:eastAsia="hr-HR"/>
        </w:rPr>
        <w:t>.</w:t>
      </w:r>
      <w:r w:rsidRPr="00537128">
        <w:rPr>
          <w:rFonts w:ascii="Calibri" w:eastAsia="Times New Roman" w:hAnsi="Calibri" w:cs="Calibri"/>
          <w:b/>
          <w:bCs/>
          <w:color w:val="000000" w:themeColor="text1"/>
          <w:lang w:val="en-US"/>
        </w:rPr>
        <w:tab/>
        <w:t>Risk management (continued)</w:t>
      </w:r>
    </w:p>
    <w:p w14:paraId="356E639A" w14:textId="77777777" w:rsidR="00E81639" w:rsidRPr="00537128" w:rsidRDefault="00E81639" w:rsidP="00E81639">
      <w:pPr>
        <w:tabs>
          <w:tab w:val="left" w:pos="709"/>
          <w:tab w:val="left" w:pos="851"/>
        </w:tabs>
        <w:spacing w:after="0" w:line="240" w:lineRule="auto"/>
        <w:jc w:val="both"/>
        <w:rPr>
          <w:rFonts w:ascii="Calibri" w:eastAsia="Times New Roman" w:hAnsi="Calibri" w:cs="Arial"/>
          <w:color w:val="000000" w:themeColor="text1"/>
          <w:sz w:val="16"/>
          <w:szCs w:val="16"/>
          <w:lang w:val="en-US"/>
        </w:rPr>
      </w:pPr>
    </w:p>
    <w:p w14:paraId="66EFD426" w14:textId="2D70B7F4" w:rsidR="00E81639" w:rsidRPr="00537128" w:rsidRDefault="00E81639" w:rsidP="00E81639">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sidR="008D6C0E">
        <w:rPr>
          <w:rFonts w:ascii="Calibri" w:eastAsia="Times New Roman" w:hAnsi="Calibri" w:cs="Arial"/>
          <w:b/>
          <w:color w:val="000000" w:themeColor="text1"/>
          <w:lang w:val="en-US"/>
        </w:rPr>
        <w:t>3</w:t>
      </w:r>
      <w:r w:rsidRPr="00537128">
        <w:rPr>
          <w:rFonts w:ascii="Calibri" w:eastAsia="Times New Roman" w:hAnsi="Calibri" w:cs="Arial"/>
          <w:b/>
          <w:color w:val="000000" w:themeColor="text1"/>
          <w:lang w:val="en-US"/>
        </w:rPr>
        <w:t>.3.   Credit risk (continued)</w:t>
      </w:r>
    </w:p>
    <w:p w14:paraId="28FEB48C" w14:textId="37E62839" w:rsidR="00E81639" w:rsidRDefault="00E81639" w:rsidP="00FC67FB">
      <w:pPr>
        <w:spacing w:after="0" w:line="300" w:lineRule="exact"/>
        <w:jc w:val="both"/>
        <w:rPr>
          <w:rFonts w:ascii="Calibri" w:eastAsia="Times New Roman" w:hAnsi="Calibri" w:cs="Times New Roman"/>
          <w:color w:val="000000" w:themeColor="text1"/>
          <w:lang w:val="en-US"/>
        </w:rPr>
      </w:pPr>
    </w:p>
    <w:p w14:paraId="3489EA6B" w14:textId="085706CB" w:rsidR="0064751C" w:rsidRPr="00E920D3" w:rsidRDefault="0064751C" w:rsidP="0064751C">
      <w:pPr>
        <w:spacing w:after="0" w:line="240" w:lineRule="auto"/>
        <w:jc w:val="both"/>
        <w:rPr>
          <w:rFonts w:cs="Arial"/>
          <w:b/>
        </w:rPr>
      </w:pPr>
      <w:r>
        <w:rPr>
          <w:rFonts w:cs="Arial"/>
          <w:b/>
        </w:rPr>
        <w:t>23</w:t>
      </w:r>
      <w:r w:rsidRPr="00E920D3">
        <w:rPr>
          <w:rFonts w:cs="Arial"/>
          <w:b/>
        </w:rPr>
        <w:t>.3.2. Impairment assessment (continued)</w:t>
      </w:r>
    </w:p>
    <w:p w14:paraId="29F2D042" w14:textId="77777777" w:rsidR="0064751C" w:rsidRPr="00E920D3" w:rsidRDefault="0064751C" w:rsidP="0064751C">
      <w:pPr>
        <w:keepNext/>
        <w:spacing w:after="0" w:line="240" w:lineRule="auto"/>
        <w:jc w:val="both"/>
        <w:rPr>
          <w:rFonts w:ascii="Calibri" w:hAnsi="Calibri" w:cs="Arial"/>
          <w:b/>
          <w:bCs/>
        </w:rPr>
      </w:pPr>
    </w:p>
    <w:p w14:paraId="632C2F18" w14:textId="77777777" w:rsidR="0064751C" w:rsidRPr="00E920D3" w:rsidRDefault="0064751C" w:rsidP="0064751C">
      <w:pPr>
        <w:spacing w:after="0" w:line="240" w:lineRule="auto"/>
        <w:jc w:val="both"/>
      </w:pPr>
      <w:r w:rsidRPr="00E920D3">
        <w:t>For the entire duration of contractual relationship, debtor's creditworthiness is assessed in order to identify possible changes in the client's (debtor's) financial position, i.e. the probability of deterioration in its creditworthiness. When establishing client's creditworthiness, the group of related entities is also taken into account due to the effect of contamination, i.e. the possibility of the transfer of risk among related entities</w:t>
      </w:r>
      <w:r>
        <w:t>. C</w:t>
      </w:r>
      <w:r w:rsidRPr="00E920D3">
        <w:t>reditworthiness of client is monitored through:</w:t>
      </w:r>
    </w:p>
    <w:p w14:paraId="3117919F" w14:textId="77777777" w:rsidR="0064751C" w:rsidRPr="00E920D3" w:rsidRDefault="0064751C" w:rsidP="0064751C">
      <w:pPr>
        <w:numPr>
          <w:ilvl w:val="0"/>
          <w:numId w:val="28"/>
        </w:numPr>
        <w:spacing w:after="0" w:line="240" w:lineRule="auto"/>
        <w:jc w:val="both"/>
      </w:pPr>
      <w:r w:rsidRPr="00E920D3">
        <w:t>Changes in financial rating of client and entities related to client,</w:t>
      </w:r>
    </w:p>
    <w:p w14:paraId="703A5BCC" w14:textId="77777777" w:rsidR="0064751C" w:rsidRPr="00E920D3" w:rsidRDefault="0064751C" w:rsidP="0064751C">
      <w:pPr>
        <w:numPr>
          <w:ilvl w:val="0"/>
          <w:numId w:val="28"/>
        </w:numPr>
        <w:spacing w:after="0" w:line="240" w:lineRule="auto"/>
        <w:jc w:val="both"/>
      </w:pPr>
      <w:r w:rsidRPr="00E920D3">
        <w:t>Criteria whose objective is to identify financial difficulties of client,</w:t>
      </w:r>
    </w:p>
    <w:p w14:paraId="09E0958D" w14:textId="77777777" w:rsidR="0064751C" w:rsidRPr="00E920D3" w:rsidRDefault="0064751C" w:rsidP="0064751C">
      <w:pPr>
        <w:numPr>
          <w:ilvl w:val="0"/>
          <w:numId w:val="28"/>
        </w:numPr>
        <w:spacing w:after="0" w:line="240" w:lineRule="auto"/>
        <w:jc w:val="both"/>
      </w:pPr>
      <w:r w:rsidRPr="00E920D3">
        <w:t>Criteria contained in the client watch list, and</w:t>
      </w:r>
    </w:p>
    <w:p w14:paraId="07D60031" w14:textId="77777777" w:rsidR="0064751C" w:rsidRPr="00E920D3" w:rsidRDefault="0064751C" w:rsidP="0064751C">
      <w:pPr>
        <w:numPr>
          <w:ilvl w:val="0"/>
          <w:numId w:val="28"/>
        </w:numPr>
        <w:spacing w:after="0" w:line="240" w:lineRule="auto"/>
        <w:jc w:val="both"/>
      </w:pPr>
      <w:r w:rsidRPr="00E920D3">
        <w:t>Criteria for identification of increased credit risk.</w:t>
      </w:r>
    </w:p>
    <w:p w14:paraId="37D21398" w14:textId="77777777" w:rsidR="0064751C" w:rsidRPr="00E920D3" w:rsidRDefault="0064751C" w:rsidP="0064751C">
      <w:pPr>
        <w:spacing w:after="0" w:line="240" w:lineRule="auto"/>
        <w:jc w:val="both"/>
        <w:rPr>
          <w:highlight w:val="yellow"/>
        </w:rPr>
      </w:pPr>
      <w:r w:rsidRPr="00E920D3">
        <w:rPr>
          <w:highlight w:val="yellow"/>
        </w:rPr>
        <w:t xml:space="preserve"> </w:t>
      </w:r>
    </w:p>
    <w:p w14:paraId="1146861D" w14:textId="77777777" w:rsidR="0064751C" w:rsidRPr="00E920D3" w:rsidRDefault="0064751C" w:rsidP="0064751C">
      <w:pPr>
        <w:spacing w:after="0" w:line="240" w:lineRule="auto"/>
        <w:jc w:val="both"/>
      </w:pPr>
      <w:r w:rsidRPr="00E920D3">
        <w:t>A client is considered to duly meet its obligations if it settles all of its obligations fully (principal, interest, commissions, fees and other charges) in the amounts and within the deadlines determined in the respective contracts, where all placements and of-balance sheet liabilities of a client are considered as one.</w:t>
      </w:r>
    </w:p>
    <w:p w14:paraId="5993BC7B" w14:textId="77777777" w:rsidR="0064751C" w:rsidRPr="00E920D3" w:rsidRDefault="0064751C" w:rsidP="0064751C">
      <w:pPr>
        <w:spacing w:after="0" w:line="240" w:lineRule="auto"/>
        <w:jc w:val="both"/>
      </w:pPr>
    </w:p>
    <w:p w14:paraId="13B2B27F" w14:textId="0DAC4343" w:rsidR="0064751C" w:rsidRDefault="0064751C" w:rsidP="0064751C">
      <w:pPr>
        <w:spacing w:after="0" w:line="240" w:lineRule="auto"/>
        <w:jc w:val="both"/>
      </w:pPr>
      <w:r w:rsidRPr="00E920D3">
        <w:t xml:space="preserve">Collateral assessment is based on the quality of collateral and the assessed </w:t>
      </w:r>
      <w:r>
        <w:t xml:space="preserve">value </w:t>
      </w:r>
      <w:r w:rsidRPr="00E920D3">
        <w:t>as well as expected period of collection through collateral.</w:t>
      </w:r>
    </w:p>
    <w:p w14:paraId="249D0695" w14:textId="77777777" w:rsidR="0064751C" w:rsidRPr="00E920D3" w:rsidRDefault="0064751C" w:rsidP="0064751C">
      <w:pPr>
        <w:spacing w:after="0" w:line="240" w:lineRule="auto"/>
        <w:jc w:val="both"/>
        <w:rPr>
          <w:bCs/>
        </w:rPr>
      </w:pPr>
    </w:p>
    <w:p w14:paraId="7D54EBC3" w14:textId="4DF0FB9A" w:rsidR="006D634E" w:rsidRPr="00E920D3" w:rsidRDefault="006D634E" w:rsidP="006D634E">
      <w:pPr>
        <w:spacing w:after="0" w:line="240" w:lineRule="auto"/>
        <w:jc w:val="both"/>
        <w:rPr>
          <w:rFonts w:cs="Arial"/>
          <w:b/>
        </w:rPr>
      </w:pPr>
      <w:r>
        <w:rPr>
          <w:rFonts w:cs="Arial"/>
          <w:b/>
        </w:rPr>
        <w:t>23</w:t>
      </w:r>
      <w:r w:rsidRPr="00E920D3">
        <w:rPr>
          <w:rFonts w:cs="Arial"/>
          <w:b/>
        </w:rPr>
        <w:t xml:space="preserve">.3.2.1. </w:t>
      </w:r>
      <w:r w:rsidRPr="00E920D3">
        <w:rPr>
          <w:b/>
          <w:bCs/>
        </w:rPr>
        <w:t xml:space="preserve">Definition of default status and exit from default status </w:t>
      </w:r>
      <w:r w:rsidRPr="00E920D3">
        <w:rPr>
          <w:rFonts w:cs="Arial"/>
          <w:b/>
        </w:rPr>
        <w:t xml:space="preserve"> </w:t>
      </w:r>
    </w:p>
    <w:p w14:paraId="3DE58C47" w14:textId="77777777" w:rsidR="006D634E" w:rsidRPr="00E920D3" w:rsidRDefault="006D634E" w:rsidP="006D634E">
      <w:pPr>
        <w:spacing w:after="0" w:line="240" w:lineRule="auto"/>
        <w:jc w:val="both"/>
      </w:pPr>
    </w:p>
    <w:p w14:paraId="2A436420" w14:textId="77777777" w:rsidR="006D634E" w:rsidRPr="00E920D3" w:rsidRDefault="006D634E" w:rsidP="006D634E">
      <w:pPr>
        <w:spacing w:after="0" w:line="240" w:lineRule="auto"/>
        <w:jc w:val="both"/>
        <w:rPr>
          <w:bCs/>
        </w:rPr>
      </w:pPr>
      <w:r w:rsidRPr="00E920D3">
        <w:t>Default status of an individual client occurs when one or both of the following conditions are met:</w:t>
      </w:r>
    </w:p>
    <w:p w14:paraId="7664DB6A" w14:textId="77777777" w:rsidR="006D634E" w:rsidRPr="00E920D3" w:rsidRDefault="006D634E" w:rsidP="006D634E">
      <w:pPr>
        <w:numPr>
          <w:ilvl w:val="0"/>
          <w:numId w:val="26"/>
        </w:numPr>
        <w:spacing w:after="0" w:line="240" w:lineRule="auto"/>
        <w:jc w:val="both"/>
        <w:rPr>
          <w:bCs/>
        </w:rPr>
      </w:pPr>
      <w:r w:rsidRPr="00E920D3">
        <w:t>it is considered probable that client will not settle its obligations towards HBOR entirely without taking into account the possibility of collection through collateral activation,</w:t>
      </w:r>
    </w:p>
    <w:p w14:paraId="16426FC4" w14:textId="77777777" w:rsidR="006D634E" w:rsidRPr="00E920D3" w:rsidRDefault="006D634E" w:rsidP="006D634E">
      <w:pPr>
        <w:numPr>
          <w:ilvl w:val="0"/>
          <w:numId w:val="26"/>
        </w:numPr>
        <w:spacing w:after="0" w:line="240" w:lineRule="auto"/>
        <w:jc w:val="both"/>
        <w:rPr>
          <w:bCs/>
        </w:rPr>
      </w:pPr>
      <w:r w:rsidRPr="00E920D3">
        <w:t>clients is more than 90 days overdue in settling its due obligation under any significant loan liability. The significance threshold equals HRK 1,750 and is calculated on the client level by adding due obligations under all client placements.</w:t>
      </w:r>
    </w:p>
    <w:p w14:paraId="0DC6683B" w14:textId="069B2000" w:rsidR="006D634E" w:rsidRDefault="006D634E" w:rsidP="006D634E">
      <w:pPr>
        <w:spacing w:after="0" w:line="240" w:lineRule="auto"/>
        <w:jc w:val="both"/>
      </w:pPr>
    </w:p>
    <w:p w14:paraId="352BB6D8" w14:textId="77777777" w:rsidR="00961182" w:rsidRPr="00961182" w:rsidRDefault="00961182" w:rsidP="00961182">
      <w:pPr>
        <w:spacing w:after="0" w:line="240" w:lineRule="auto"/>
        <w:jc w:val="both"/>
      </w:pPr>
      <w:r w:rsidRPr="00961182">
        <w:t>The materiality threshold is HRK 750 for citizens, and HRK 3,750 for other clients, and is calculated at the client level by summing up due liabilities for all client placements.</w:t>
      </w:r>
    </w:p>
    <w:p w14:paraId="08274338" w14:textId="77777777" w:rsidR="00167E39" w:rsidRPr="00E920D3" w:rsidRDefault="00167E39" w:rsidP="006D634E">
      <w:pPr>
        <w:spacing w:after="0" w:line="240" w:lineRule="auto"/>
        <w:jc w:val="both"/>
      </w:pPr>
    </w:p>
    <w:p w14:paraId="0F99517D" w14:textId="77777777" w:rsidR="006D634E" w:rsidRPr="00E920D3" w:rsidRDefault="006D634E" w:rsidP="006D634E">
      <w:pPr>
        <w:spacing w:after="0" w:line="240" w:lineRule="auto"/>
        <w:jc w:val="both"/>
        <w:rPr>
          <w:bCs/>
        </w:rPr>
      </w:pPr>
      <w:r w:rsidRPr="00E920D3">
        <w:t>When assessing the probability of a debtor not settling its obligations entirely, the following elements are considered:</w:t>
      </w:r>
    </w:p>
    <w:p w14:paraId="07D7E8C7" w14:textId="77777777" w:rsidR="006D634E" w:rsidRPr="00E920D3" w:rsidRDefault="006D634E" w:rsidP="006D634E">
      <w:pPr>
        <w:numPr>
          <w:ilvl w:val="0"/>
          <w:numId w:val="27"/>
        </w:numPr>
        <w:spacing w:after="0" w:line="240" w:lineRule="auto"/>
        <w:jc w:val="both"/>
        <w:rPr>
          <w:bCs/>
        </w:rPr>
      </w:pPr>
      <w:r w:rsidRPr="00E920D3">
        <w:t xml:space="preserve">recognised impairment for credit losses due to identified significant deterioration in credit quality of debtor, </w:t>
      </w:r>
    </w:p>
    <w:p w14:paraId="0109CEE6" w14:textId="77777777" w:rsidR="006D634E" w:rsidRPr="00E920D3" w:rsidRDefault="006D634E" w:rsidP="006D634E">
      <w:pPr>
        <w:numPr>
          <w:ilvl w:val="0"/>
          <w:numId w:val="27"/>
        </w:numPr>
        <w:spacing w:after="0" w:line="240" w:lineRule="auto"/>
        <w:jc w:val="both"/>
        <w:rPr>
          <w:bCs/>
        </w:rPr>
      </w:pPr>
      <w:r w:rsidRPr="00E920D3">
        <w:t>selling of credit exposure at a considerable economic loss,</w:t>
      </w:r>
    </w:p>
    <w:p w14:paraId="7052EE4C" w14:textId="77777777" w:rsidR="006D634E" w:rsidRPr="00E920D3" w:rsidRDefault="006D634E" w:rsidP="006D634E">
      <w:pPr>
        <w:numPr>
          <w:ilvl w:val="0"/>
          <w:numId w:val="27"/>
        </w:numPr>
        <w:spacing w:after="0" w:line="240" w:lineRule="auto"/>
        <w:jc w:val="both"/>
        <w:rPr>
          <w:bCs/>
        </w:rPr>
      </w:pPr>
      <w:r w:rsidRPr="00E920D3">
        <w:t>rescheduling or restructuring of credit exposure owing to financial difficulties of debtor,</w:t>
      </w:r>
    </w:p>
    <w:p w14:paraId="388CC1E9" w14:textId="77777777" w:rsidR="006D634E" w:rsidRPr="00E920D3" w:rsidRDefault="006D634E" w:rsidP="006D634E">
      <w:pPr>
        <w:numPr>
          <w:ilvl w:val="0"/>
          <w:numId w:val="27"/>
        </w:numPr>
        <w:spacing w:after="0" w:line="240" w:lineRule="auto"/>
        <w:jc w:val="both"/>
        <w:rPr>
          <w:bCs/>
        </w:rPr>
      </w:pPr>
      <w:r w:rsidRPr="00E920D3">
        <w:t>bankruptcy or similar proceedings (pre-bankruptcy settlement, liquidation) against debtor,</w:t>
      </w:r>
    </w:p>
    <w:p w14:paraId="0AF7E708" w14:textId="77777777" w:rsidR="006D634E" w:rsidRPr="00E920D3" w:rsidRDefault="006D634E" w:rsidP="006D634E">
      <w:pPr>
        <w:numPr>
          <w:ilvl w:val="0"/>
          <w:numId w:val="27"/>
        </w:numPr>
        <w:spacing w:after="0" w:line="240" w:lineRule="auto"/>
        <w:jc w:val="both"/>
        <w:rPr>
          <w:bCs/>
        </w:rPr>
      </w:pPr>
      <w:r w:rsidRPr="00E920D3">
        <w:t>appointment of extraordinary administration, revoke of operating license, application of early intervention measures,</w:t>
      </w:r>
    </w:p>
    <w:p w14:paraId="6366DA26" w14:textId="77777777" w:rsidR="006D634E" w:rsidRDefault="006D634E" w:rsidP="006D634E">
      <w:pPr>
        <w:numPr>
          <w:ilvl w:val="0"/>
          <w:numId w:val="27"/>
        </w:numPr>
        <w:spacing w:after="0" w:line="240" w:lineRule="auto"/>
        <w:jc w:val="both"/>
      </w:pPr>
      <w:r w:rsidRPr="00E920D3">
        <w:t>cancellation of contract</w:t>
      </w:r>
      <w:r>
        <w:t>,</w:t>
      </w:r>
    </w:p>
    <w:p w14:paraId="3279462A" w14:textId="77777777" w:rsidR="006D634E" w:rsidRDefault="006D634E" w:rsidP="006D634E">
      <w:pPr>
        <w:numPr>
          <w:ilvl w:val="0"/>
          <w:numId w:val="27"/>
        </w:numPr>
        <w:spacing w:after="0" w:line="240" w:lineRule="auto"/>
        <w:jc w:val="both"/>
        <w:rPr>
          <w:rFonts w:ascii="Calibri" w:hAnsi="Calibri" w:cs="Calibri"/>
          <w:lang w:val="en-GB"/>
        </w:rPr>
        <w:sectPr w:rsidR="006D634E">
          <w:pgSz w:w="11906" w:h="16838"/>
          <w:pgMar w:top="1417" w:right="1417" w:bottom="1417" w:left="1417" w:header="708" w:footer="708" w:gutter="0"/>
          <w:cols w:space="708"/>
          <w:docGrid w:linePitch="360"/>
        </w:sectPr>
      </w:pPr>
      <w:r w:rsidRPr="000239F2">
        <w:rPr>
          <w:rFonts w:ascii="Calibri" w:hAnsi="Calibri" w:cs="Calibri"/>
          <w:lang w:val="en-GB"/>
        </w:rPr>
        <w:t>guarantee payment.</w:t>
      </w:r>
    </w:p>
    <w:p w14:paraId="1A7C9879" w14:textId="77777777" w:rsidR="006D634E" w:rsidRPr="006D634E" w:rsidRDefault="006D634E" w:rsidP="00302C27">
      <w:pPr>
        <w:spacing w:after="0" w:line="240" w:lineRule="auto"/>
        <w:jc w:val="both"/>
        <w:rPr>
          <w:rFonts w:ascii="Calibri" w:eastAsia="Times New Roman" w:hAnsi="Calibri" w:cs="Calibri"/>
          <w:bCs/>
          <w:color w:val="000000" w:themeColor="text1"/>
          <w:lang w:val="en-US"/>
        </w:rPr>
      </w:pPr>
      <w:r w:rsidRPr="006D634E">
        <w:rPr>
          <w:rFonts w:ascii="Calibri" w:eastAsia="Times New Roman" w:hAnsi="Calibri" w:cs="Calibri"/>
          <w:b/>
          <w:bCs/>
          <w:color w:val="000000" w:themeColor="text1"/>
          <w:lang w:val="en-US" w:eastAsia="hr-HR"/>
        </w:rPr>
        <w:lastRenderedPageBreak/>
        <w:t>23.</w:t>
      </w:r>
      <w:r w:rsidRPr="006D634E">
        <w:rPr>
          <w:rFonts w:ascii="Calibri" w:eastAsia="Times New Roman" w:hAnsi="Calibri" w:cs="Calibri"/>
          <w:b/>
          <w:bCs/>
          <w:color w:val="000000" w:themeColor="text1"/>
          <w:lang w:val="en-US"/>
        </w:rPr>
        <w:tab/>
        <w:t>Risk management (continued)</w:t>
      </w:r>
    </w:p>
    <w:p w14:paraId="38F22B68" w14:textId="77777777" w:rsidR="006D634E" w:rsidRPr="006D634E" w:rsidRDefault="006D634E" w:rsidP="00302C27">
      <w:pPr>
        <w:pStyle w:val="ListParagraph"/>
        <w:tabs>
          <w:tab w:val="left" w:pos="709"/>
          <w:tab w:val="left" w:pos="851"/>
        </w:tabs>
        <w:spacing w:after="0" w:line="240" w:lineRule="auto"/>
        <w:jc w:val="both"/>
        <w:rPr>
          <w:rFonts w:ascii="Calibri" w:eastAsia="Times New Roman" w:hAnsi="Calibri" w:cs="Arial"/>
          <w:color w:val="000000" w:themeColor="text1"/>
          <w:sz w:val="18"/>
          <w:szCs w:val="18"/>
          <w:lang w:val="en-US"/>
        </w:rPr>
      </w:pPr>
    </w:p>
    <w:p w14:paraId="3D77F944" w14:textId="77777777" w:rsidR="006D634E" w:rsidRPr="00302C27" w:rsidRDefault="006D634E" w:rsidP="00302C27">
      <w:pPr>
        <w:tabs>
          <w:tab w:val="left" w:pos="709"/>
          <w:tab w:val="left" w:pos="851"/>
        </w:tabs>
        <w:spacing w:after="0" w:line="240" w:lineRule="auto"/>
        <w:jc w:val="both"/>
        <w:rPr>
          <w:rFonts w:ascii="Calibri" w:eastAsia="Times New Roman" w:hAnsi="Calibri" w:cs="Arial"/>
          <w:b/>
          <w:color w:val="000000" w:themeColor="text1"/>
          <w:lang w:val="en-US"/>
        </w:rPr>
      </w:pPr>
      <w:r w:rsidRPr="00302C27">
        <w:rPr>
          <w:rFonts w:ascii="Calibri" w:eastAsia="Times New Roman" w:hAnsi="Calibri" w:cs="Arial"/>
          <w:b/>
          <w:color w:val="000000" w:themeColor="text1"/>
          <w:lang w:val="en-US"/>
        </w:rPr>
        <w:t>23.3.   Credit risk (continued)</w:t>
      </w:r>
    </w:p>
    <w:p w14:paraId="3EA2804B" w14:textId="77777777" w:rsidR="006D634E" w:rsidRPr="006D634E" w:rsidRDefault="006D634E" w:rsidP="00302C27">
      <w:pPr>
        <w:pStyle w:val="ListParagraph"/>
        <w:spacing w:after="0" w:line="240" w:lineRule="auto"/>
        <w:jc w:val="both"/>
        <w:rPr>
          <w:rFonts w:ascii="Calibri" w:eastAsia="Times New Roman" w:hAnsi="Calibri" w:cs="Times New Roman"/>
          <w:color w:val="000000" w:themeColor="text1"/>
          <w:sz w:val="18"/>
          <w:szCs w:val="18"/>
          <w:lang w:val="en-US"/>
        </w:rPr>
      </w:pPr>
    </w:p>
    <w:p w14:paraId="7B2087DF" w14:textId="77777777" w:rsidR="006D634E" w:rsidRPr="00302C27" w:rsidRDefault="006D634E" w:rsidP="00302C27">
      <w:pPr>
        <w:spacing w:after="0" w:line="300" w:lineRule="exact"/>
        <w:jc w:val="both"/>
        <w:rPr>
          <w:rFonts w:ascii="Calibri" w:eastAsia="Calibri" w:hAnsi="Calibri" w:cs="Arial"/>
          <w:b/>
          <w:color w:val="000000" w:themeColor="text1"/>
          <w:lang w:val="en-US"/>
        </w:rPr>
      </w:pPr>
      <w:r w:rsidRPr="00302C27">
        <w:rPr>
          <w:rFonts w:ascii="Calibri" w:eastAsia="Calibri" w:hAnsi="Calibri" w:cs="Arial"/>
          <w:b/>
          <w:color w:val="000000" w:themeColor="text1"/>
          <w:lang w:val="en-US"/>
        </w:rPr>
        <w:t xml:space="preserve">23.3.2. Impairment assessment </w:t>
      </w:r>
      <w:r w:rsidRPr="00302C27">
        <w:rPr>
          <w:rFonts w:ascii="Calibri" w:eastAsia="Times New Roman" w:hAnsi="Calibri" w:cs="Arial"/>
          <w:b/>
          <w:color w:val="000000" w:themeColor="text1"/>
          <w:lang w:val="en-US"/>
        </w:rPr>
        <w:t>(continued)</w:t>
      </w:r>
    </w:p>
    <w:p w14:paraId="7BCBBF24" w14:textId="35A7C229" w:rsidR="006D634E" w:rsidRDefault="006D634E" w:rsidP="00302C27">
      <w:pPr>
        <w:spacing w:after="0" w:line="240" w:lineRule="auto"/>
        <w:ind w:left="720"/>
        <w:jc w:val="both"/>
        <w:rPr>
          <w:rFonts w:ascii="Calibri" w:hAnsi="Calibri" w:cs="Calibri"/>
          <w:lang w:val="en-GB"/>
        </w:rPr>
      </w:pPr>
    </w:p>
    <w:p w14:paraId="2531B226" w14:textId="73A21744" w:rsidR="00E557A4" w:rsidRPr="00E920D3" w:rsidRDefault="00E557A4" w:rsidP="00E557A4">
      <w:pPr>
        <w:spacing w:after="0" w:line="240" w:lineRule="auto"/>
        <w:jc w:val="both"/>
        <w:rPr>
          <w:rFonts w:cs="Arial"/>
          <w:b/>
        </w:rPr>
      </w:pPr>
      <w:r>
        <w:rPr>
          <w:rFonts w:cs="Arial"/>
          <w:b/>
        </w:rPr>
        <w:t>23</w:t>
      </w:r>
      <w:r w:rsidRPr="00E920D3">
        <w:rPr>
          <w:rFonts w:cs="Arial"/>
          <w:b/>
        </w:rPr>
        <w:t xml:space="preserve">.3.2.1. </w:t>
      </w:r>
      <w:r w:rsidRPr="00E920D3">
        <w:rPr>
          <w:b/>
          <w:bCs/>
        </w:rPr>
        <w:t>Definition of default status and exit from default status</w:t>
      </w:r>
      <w:r>
        <w:rPr>
          <w:b/>
          <w:bCs/>
        </w:rPr>
        <w:t xml:space="preserve"> (continued)</w:t>
      </w:r>
      <w:r w:rsidRPr="00E920D3">
        <w:rPr>
          <w:b/>
          <w:bCs/>
        </w:rPr>
        <w:t xml:space="preserve"> </w:t>
      </w:r>
      <w:r w:rsidRPr="00E920D3">
        <w:rPr>
          <w:rFonts w:cs="Arial"/>
          <w:b/>
        </w:rPr>
        <w:t xml:space="preserve"> </w:t>
      </w:r>
    </w:p>
    <w:p w14:paraId="7FD05F41" w14:textId="77777777" w:rsidR="00E557A4" w:rsidRPr="000239F2" w:rsidRDefault="00E557A4" w:rsidP="005742C2">
      <w:pPr>
        <w:spacing w:after="0" w:line="240" w:lineRule="auto"/>
        <w:ind w:left="720"/>
        <w:jc w:val="both"/>
        <w:rPr>
          <w:rFonts w:ascii="Calibri" w:hAnsi="Calibri" w:cs="Calibri"/>
          <w:lang w:val="en-GB"/>
        </w:rPr>
      </w:pPr>
    </w:p>
    <w:p w14:paraId="135E606E" w14:textId="77777777" w:rsidR="009C0582" w:rsidRPr="00E920D3" w:rsidRDefault="009C0582" w:rsidP="005742C2">
      <w:pPr>
        <w:spacing w:after="0" w:line="240" w:lineRule="auto"/>
        <w:jc w:val="both"/>
      </w:pPr>
      <w:r w:rsidRPr="00E920D3">
        <w:t xml:space="preserve">When determining a default status, in addition to the aforementioned, the relations within a group of related entities are also considered if the default status has been established with regard to one of the debtors within the respective group of related entities that results in the spreading of the default status on other entities within the same group. </w:t>
      </w:r>
    </w:p>
    <w:p w14:paraId="26A60BB1" w14:textId="77777777" w:rsidR="009C0582" w:rsidRPr="00E920D3" w:rsidRDefault="009C0582" w:rsidP="005742C2">
      <w:pPr>
        <w:spacing w:after="0" w:line="240" w:lineRule="auto"/>
        <w:jc w:val="both"/>
        <w:rPr>
          <w:highlight w:val="yellow"/>
        </w:rPr>
      </w:pPr>
    </w:p>
    <w:p w14:paraId="4B1B53D3" w14:textId="77777777" w:rsidR="009C0582" w:rsidRPr="00E920D3" w:rsidRDefault="009C0582" w:rsidP="005742C2">
      <w:pPr>
        <w:spacing w:after="0" w:line="240" w:lineRule="auto"/>
        <w:jc w:val="both"/>
        <w:rPr>
          <w:bCs/>
        </w:rPr>
      </w:pPr>
      <w:r w:rsidRPr="00E920D3">
        <w:t>All financial instruments of client in default status are classified to Stage 3.</w:t>
      </w:r>
    </w:p>
    <w:p w14:paraId="726BAD47" w14:textId="77777777" w:rsidR="009C0582" w:rsidRPr="00E920D3" w:rsidRDefault="009C0582" w:rsidP="005742C2">
      <w:pPr>
        <w:spacing w:after="0" w:line="240" w:lineRule="auto"/>
        <w:jc w:val="both"/>
        <w:rPr>
          <w:highlight w:val="yellow"/>
        </w:rPr>
      </w:pPr>
    </w:p>
    <w:p w14:paraId="27E35EA7" w14:textId="77777777" w:rsidR="009C0582" w:rsidRPr="00E920D3" w:rsidRDefault="009C0582" w:rsidP="005742C2">
      <w:pPr>
        <w:spacing w:after="0" w:line="240" w:lineRule="auto"/>
        <w:jc w:val="both"/>
        <w:rPr>
          <w:bCs/>
        </w:rPr>
      </w:pPr>
      <w:r w:rsidRPr="00E920D3">
        <w:t>Placements to clients in default status due to a material delay in the payment of obligations for more than 90 days can be classified to the rehabilitated category if 150 days have lapsed from the moment of non-existence of the default status trigger. During the 150-day trial period, client must not be more than 30 days overdue in the payment of obligations in a materially significant amount.</w:t>
      </w:r>
    </w:p>
    <w:p w14:paraId="58B2E8D6" w14:textId="77777777" w:rsidR="009C0582" w:rsidRPr="00E920D3" w:rsidRDefault="009C0582" w:rsidP="005742C2">
      <w:pPr>
        <w:spacing w:after="0" w:line="240" w:lineRule="auto"/>
        <w:jc w:val="both"/>
        <w:rPr>
          <w:rFonts w:cs="Arial"/>
          <w:highlight w:val="yellow"/>
        </w:rPr>
      </w:pPr>
    </w:p>
    <w:p w14:paraId="629B2E1C" w14:textId="77777777" w:rsidR="009C0582" w:rsidRPr="00E920D3" w:rsidRDefault="009C0582" w:rsidP="005742C2">
      <w:pPr>
        <w:spacing w:after="0" w:line="240" w:lineRule="auto"/>
        <w:jc w:val="both"/>
        <w:rPr>
          <w:rFonts w:cs="Arial"/>
          <w:highlight w:val="yellow"/>
        </w:rPr>
      </w:pPr>
      <w:r w:rsidRPr="00E920D3">
        <w:rPr>
          <w:rFonts w:cs="Arial"/>
        </w:rPr>
        <w:t>After the lapse of 150 days, only those clients are considered to have been cured who are found not to be in financial difficulties. If there are signs of default status recurrence, the status is not changed until a genuine and permanent improvement in the credit quality of client.</w:t>
      </w:r>
    </w:p>
    <w:p w14:paraId="7644D63D" w14:textId="77777777" w:rsidR="009C0582" w:rsidRDefault="009C0582" w:rsidP="005742C2">
      <w:pPr>
        <w:spacing w:after="0" w:line="240" w:lineRule="auto"/>
        <w:jc w:val="both"/>
        <w:rPr>
          <w:rFonts w:cs="Arial"/>
        </w:rPr>
      </w:pPr>
    </w:p>
    <w:p w14:paraId="49DBDBD8" w14:textId="77777777" w:rsidR="009C0582" w:rsidRPr="00E920D3" w:rsidRDefault="009C0582" w:rsidP="005742C2">
      <w:pPr>
        <w:spacing w:after="0" w:line="240" w:lineRule="auto"/>
        <w:jc w:val="both"/>
        <w:rPr>
          <w:bCs/>
        </w:rPr>
      </w:pPr>
      <w:r w:rsidRPr="00E920D3">
        <w:t>Restructured exposures caused by financial difficulties and repayment problems can be classified as cured after the lapse of two years from the last occurrence of the following events:</w:t>
      </w:r>
    </w:p>
    <w:p w14:paraId="128DC6B6" w14:textId="77777777" w:rsidR="009C0582" w:rsidRPr="00E920D3" w:rsidRDefault="009C0582" w:rsidP="005742C2">
      <w:pPr>
        <w:numPr>
          <w:ilvl w:val="0"/>
          <w:numId w:val="29"/>
        </w:numPr>
        <w:spacing w:after="0" w:line="240" w:lineRule="auto"/>
        <w:jc w:val="both"/>
        <w:rPr>
          <w:bCs/>
        </w:rPr>
      </w:pPr>
      <w:r w:rsidRPr="00E920D3">
        <w:t>restructuring day,</w:t>
      </w:r>
    </w:p>
    <w:p w14:paraId="640CF467" w14:textId="77777777" w:rsidR="009C0582" w:rsidRDefault="009C0582" w:rsidP="005742C2">
      <w:pPr>
        <w:numPr>
          <w:ilvl w:val="0"/>
          <w:numId w:val="29"/>
        </w:numPr>
        <w:spacing w:after="0" w:line="240" w:lineRule="auto"/>
        <w:jc w:val="both"/>
        <w:rPr>
          <w:bCs/>
        </w:rPr>
      </w:pPr>
      <w:r w:rsidRPr="00E920D3">
        <w:t>default status establishment date,</w:t>
      </w:r>
    </w:p>
    <w:p w14:paraId="60090DC6" w14:textId="77777777" w:rsidR="009C0582" w:rsidRPr="00422B84" w:rsidRDefault="009C0582" w:rsidP="005742C2">
      <w:pPr>
        <w:numPr>
          <w:ilvl w:val="0"/>
          <w:numId w:val="29"/>
        </w:numPr>
        <w:spacing w:after="0" w:line="240" w:lineRule="auto"/>
        <w:jc w:val="both"/>
        <w:rPr>
          <w:bCs/>
        </w:rPr>
      </w:pPr>
      <w:r w:rsidRPr="00422B84">
        <w:t>grace period expiry if approved under the restructuring process.</w:t>
      </w:r>
    </w:p>
    <w:p w14:paraId="56625685" w14:textId="77777777" w:rsidR="009C0582" w:rsidRPr="00E920D3" w:rsidRDefault="009C0582" w:rsidP="005742C2">
      <w:pPr>
        <w:spacing w:after="0" w:line="240" w:lineRule="auto"/>
        <w:jc w:val="both"/>
        <w:rPr>
          <w:rFonts w:cs="Arial"/>
          <w:highlight w:val="yellow"/>
        </w:rPr>
      </w:pPr>
    </w:p>
    <w:p w14:paraId="159E143F" w14:textId="77777777" w:rsidR="009C0582" w:rsidRPr="00E920D3" w:rsidRDefault="009C0582" w:rsidP="005742C2">
      <w:pPr>
        <w:spacing w:after="0" w:line="240" w:lineRule="auto"/>
        <w:jc w:val="both"/>
        <w:rPr>
          <w:bCs/>
        </w:rPr>
      </w:pPr>
      <w:r w:rsidRPr="00E920D3">
        <w:t>During the two-year trial period, the exposures that meet all of the following conditions can be classified to non-default status exposures:</w:t>
      </w:r>
    </w:p>
    <w:p w14:paraId="6C7B65E3" w14:textId="77777777" w:rsidR="009C0582" w:rsidRPr="00E920D3" w:rsidRDefault="009C0582" w:rsidP="005742C2">
      <w:pPr>
        <w:numPr>
          <w:ilvl w:val="0"/>
          <w:numId w:val="30"/>
        </w:numPr>
        <w:spacing w:after="0" w:line="240" w:lineRule="auto"/>
        <w:jc w:val="both"/>
        <w:rPr>
          <w:bCs/>
        </w:rPr>
      </w:pPr>
      <w:r w:rsidRPr="00E920D3">
        <w:t>debtor has duly settled, upon maturity, at least the amount of restructured obligations in the amount of those due at the moment of the restructuring implementation,</w:t>
      </w:r>
    </w:p>
    <w:p w14:paraId="5500ADB9" w14:textId="77777777" w:rsidR="009C0582" w:rsidRPr="00E920D3" w:rsidRDefault="009C0582" w:rsidP="005742C2">
      <w:pPr>
        <w:numPr>
          <w:ilvl w:val="0"/>
          <w:numId w:val="30"/>
        </w:numPr>
        <w:spacing w:after="0" w:line="240" w:lineRule="auto"/>
        <w:jc w:val="both"/>
        <w:rPr>
          <w:bCs/>
        </w:rPr>
      </w:pPr>
      <w:r w:rsidRPr="00E920D3">
        <w:t>debtor has been regularly settling due obligations in accordance with the repayment schedule (or up to 30 days overdue),</w:t>
      </w:r>
    </w:p>
    <w:p w14:paraId="16158094" w14:textId="77777777" w:rsidR="009C0582" w:rsidRPr="00E920D3" w:rsidRDefault="009C0582" w:rsidP="005742C2">
      <w:pPr>
        <w:numPr>
          <w:ilvl w:val="0"/>
          <w:numId w:val="30"/>
        </w:numPr>
        <w:spacing w:after="0" w:line="240" w:lineRule="auto"/>
        <w:jc w:val="both"/>
        <w:rPr>
          <w:bCs/>
        </w:rPr>
      </w:pPr>
      <w:r w:rsidRPr="00E920D3">
        <w:t>default status is not probable to occur,</w:t>
      </w:r>
    </w:p>
    <w:p w14:paraId="51F27698" w14:textId="77777777" w:rsidR="009C0582" w:rsidRPr="00E920D3" w:rsidRDefault="009C0582" w:rsidP="005742C2">
      <w:pPr>
        <w:numPr>
          <w:ilvl w:val="0"/>
          <w:numId w:val="30"/>
        </w:numPr>
        <w:spacing w:after="0" w:line="240" w:lineRule="auto"/>
        <w:jc w:val="both"/>
        <w:rPr>
          <w:bCs/>
        </w:rPr>
      </w:pPr>
      <w:r w:rsidRPr="00E920D3">
        <w:t>there are no overdue obligations after restructuring,</w:t>
      </w:r>
    </w:p>
    <w:p w14:paraId="5DBC9456" w14:textId="77777777" w:rsidR="009C0582" w:rsidRPr="00E920D3" w:rsidRDefault="009C0582" w:rsidP="005742C2">
      <w:pPr>
        <w:numPr>
          <w:ilvl w:val="0"/>
          <w:numId w:val="30"/>
        </w:numPr>
        <w:spacing w:after="0" w:line="240" w:lineRule="auto"/>
        <w:jc w:val="both"/>
        <w:rPr>
          <w:bCs/>
        </w:rPr>
      </w:pPr>
      <w:r w:rsidRPr="00E920D3">
        <w:t xml:space="preserve">there is no doubt that the debtor will continue to settle its obligations upon maturity. </w:t>
      </w:r>
    </w:p>
    <w:p w14:paraId="26938F65" w14:textId="77777777" w:rsidR="009C0582" w:rsidRPr="00E920D3" w:rsidRDefault="009C0582" w:rsidP="005742C2">
      <w:pPr>
        <w:spacing w:after="0" w:line="240" w:lineRule="auto"/>
        <w:jc w:val="both"/>
        <w:rPr>
          <w:bCs/>
          <w:highlight w:val="yellow"/>
        </w:rPr>
      </w:pPr>
      <w:r w:rsidRPr="00E920D3">
        <w:t>All of the above conditions have to be satisfied also for the new placements to the same client. Only the placements to client that is not in financial difficulties can be reclassified to the cured category.</w:t>
      </w:r>
    </w:p>
    <w:p w14:paraId="05F0DB9A" w14:textId="77777777" w:rsidR="009C0582" w:rsidRPr="00E920D3" w:rsidRDefault="009C0582" w:rsidP="005742C2">
      <w:pPr>
        <w:spacing w:after="0" w:line="240" w:lineRule="auto"/>
        <w:jc w:val="both"/>
        <w:rPr>
          <w:rFonts w:cs="Arial"/>
          <w:highlight w:val="yellow"/>
        </w:rPr>
      </w:pPr>
    </w:p>
    <w:p w14:paraId="0425687C" w14:textId="77777777" w:rsidR="009C0582" w:rsidRPr="000239F2" w:rsidRDefault="009C0582" w:rsidP="005742C2">
      <w:pPr>
        <w:spacing w:after="0" w:line="240" w:lineRule="auto"/>
        <w:jc w:val="both"/>
        <w:rPr>
          <w:rFonts w:ascii="Calibri" w:eastAsia="Calibri" w:hAnsi="Calibri" w:cs="Calibri"/>
          <w:color w:val="000000"/>
          <w:lang w:val="en-GB"/>
        </w:rPr>
      </w:pPr>
      <w:r w:rsidRPr="000239F2">
        <w:rPr>
          <w:rFonts w:ascii="Calibri" w:eastAsia="Calibri" w:hAnsi="Calibri" w:cs="Calibri"/>
          <w:color w:val="000000"/>
          <w:lang w:val="en-GB"/>
        </w:rPr>
        <w:t>Financial instruments of rehabilitated/recovered clients are classified into performing exposures after all conditions of the probation period have been met. All placements of clients after forbearance /restructuring are considered forborne for two years from the moment when classified as performing exposures, and in that period, they are classified as risk level 2.</w:t>
      </w:r>
    </w:p>
    <w:p w14:paraId="7D26233C" w14:textId="26BA5A3E" w:rsidR="00DB2F64" w:rsidRPr="00537128" w:rsidRDefault="00DB2F64" w:rsidP="005742C2">
      <w:pPr>
        <w:spacing w:after="0" w:line="240" w:lineRule="auto"/>
        <w:jc w:val="both"/>
        <w:rPr>
          <w:rFonts w:ascii="Calibri" w:eastAsia="Times New Roman" w:hAnsi="Calibri" w:cs="Arial"/>
          <w:highlight w:val="yellow"/>
          <w:lang w:val="en-US"/>
        </w:rPr>
      </w:pPr>
    </w:p>
    <w:p w14:paraId="54AF7EFD" w14:textId="77777777" w:rsidR="00BB61BD" w:rsidRPr="00537128" w:rsidRDefault="00BB61BD" w:rsidP="00BB61BD">
      <w:pPr>
        <w:spacing w:after="0" w:line="240" w:lineRule="auto"/>
        <w:jc w:val="both"/>
        <w:rPr>
          <w:rFonts w:ascii="Calibri" w:eastAsia="Times New Roman" w:hAnsi="Calibri" w:cs="Times New Roman"/>
          <w:color w:val="000000" w:themeColor="text1"/>
          <w:lang w:val="en-US"/>
        </w:rPr>
        <w:sectPr w:rsidR="00BB61BD" w:rsidRPr="00537128">
          <w:pgSz w:w="11906" w:h="16838"/>
          <w:pgMar w:top="1417" w:right="1417" w:bottom="1417" w:left="1417" w:header="708" w:footer="708" w:gutter="0"/>
          <w:cols w:space="708"/>
          <w:docGrid w:linePitch="360"/>
        </w:sectPr>
      </w:pPr>
    </w:p>
    <w:p w14:paraId="6BA79C54" w14:textId="77777777" w:rsidR="00BB61BD" w:rsidRPr="00A1123E"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18"/>
          <w:szCs w:val="18"/>
          <w:lang w:val="en-US"/>
        </w:rPr>
      </w:pPr>
    </w:p>
    <w:p w14:paraId="18253C5A" w14:textId="374DA0AF" w:rsidR="00BB61BD" w:rsidRPr="00537128" w:rsidRDefault="00951B0F" w:rsidP="00BB61BD">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BB61BD" w:rsidRPr="00537128">
        <w:rPr>
          <w:rFonts w:ascii="Calibri" w:eastAsia="Times New Roman" w:hAnsi="Calibri" w:cs="Calibri"/>
          <w:b/>
          <w:bCs/>
          <w:color w:val="000000" w:themeColor="text1"/>
          <w:lang w:val="en-US" w:eastAsia="hr-HR"/>
        </w:rPr>
        <w:t>.</w:t>
      </w:r>
      <w:r w:rsidR="00BB61BD" w:rsidRPr="00537128">
        <w:rPr>
          <w:rFonts w:ascii="Calibri" w:eastAsia="Times New Roman" w:hAnsi="Calibri" w:cs="Calibri"/>
          <w:b/>
          <w:bCs/>
          <w:color w:val="000000" w:themeColor="text1"/>
          <w:lang w:val="en-US"/>
        </w:rPr>
        <w:tab/>
        <w:t>Risk management (continued)</w:t>
      </w:r>
    </w:p>
    <w:p w14:paraId="678909A8" w14:textId="77777777" w:rsidR="00BB61BD" w:rsidRPr="00A1123E" w:rsidRDefault="00BB61BD" w:rsidP="00BB61BD">
      <w:pPr>
        <w:tabs>
          <w:tab w:val="left" w:pos="709"/>
          <w:tab w:val="left" w:pos="851"/>
        </w:tabs>
        <w:spacing w:after="0" w:line="240" w:lineRule="auto"/>
        <w:jc w:val="both"/>
        <w:rPr>
          <w:rFonts w:ascii="Calibri" w:eastAsia="Times New Roman" w:hAnsi="Calibri" w:cs="Arial"/>
          <w:color w:val="000000" w:themeColor="text1"/>
          <w:sz w:val="18"/>
          <w:szCs w:val="18"/>
          <w:lang w:val="en-US"/>
        </w:rPr>
      </w:pPr>
    </w:p>
    <w:p w14:paraId="0F445E61" w14:textId="381A2088" w:rsidR="00BB61BD" w:rsidRPr="00537128" w:rsidRDefault="00951B0F" w:rsidP="00BB61BD">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BB61BD" w:rsidRPr="00537128">
        <w:rPr>
          <w:rFonts w:ascii="Calibri" w:eastAsia="Times New Roman" w:hAnsi="Calibri" w:cs="Arial"/>
          <w:b/>
          <w:color w:val="000000" w:themeColor="text1"/>
          <w:lang w:val="en-US"/>
        </w:rPr>
        <w:t>.3.   Credit risk (continued)</w:t>
      </w:r>
    </w:p>
    <w:p w14:paraId="4CE57BBD" w14:textId="77777777" w:rsidR="00BB61BD" w:rsidRPr="00A1123E"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18"/>
          <w:szCs w:val="18"/>
          <w:lang w:val="en-US"/>
        </w:rPr>
      </w:pPr>
    </w:p>
    <w:p w14:paraId="1AC8ECF6" w14:textId="5D5EDBC5" w:rsidR="00BB61BD" w:rsidRPr="00537128" w:rsidRDefault="00951B0F" w:rsidP="00195ED4">
      <w:pPr>
        <w:spacing w:after="0" w:line="240" w:lineRule="auto"/>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BB61BD" w:rsidRPr="00537128">
        <w:rPr>
          <w:rFonts w:ascii="Calibri" w:eastAsia="Calibri" w:hAnsi="Calibri" w:cs="Arial"/>
          <w:b/>
          <w:color w:val="000000" w:themeColor="text1"/>
          <w:lang w:val="en-US"/>
        </w:rPr>
        <w:t>.3.2. Impairment assessment (continued)</w:t>
      </w:r>
    </w:p>
    <w:p w14:paraId="2937510A" w14:textId="77777777" w:rsidR="00EA7DFC" w:rsidRPr="00A1123E" w:rsidRDefault="00EA7DFC" w:rsidP="00195ED4">
      <w:pPr>
        <w:spacing w:after="0" w:line="240" w:lineRule="auto"/>
        <w:jc w:val="both"/>
        <w:rPr>
          <w:rFonts w:ascii="Calibri" w:eastAsia="Calibri" w:hAnsi="Calibri" w:cs="Arial"/>
          <w:b/>
          <w:color w:val="000000" w:themeColor="text1"/>
          <w:sz w:val="18"/>
          <w:szCs w:val="18"/>
          <w:lang w:val="en-US"/>
        </w:rPr>
      </w:pPr>
    </w:p>
    <w:p w14:paraId="4A2CC4E6" w14:textId="1B21F0A8" w:rsidR="00BB61BD" w:rsidRPr="00537128" w:rsidRDefault="00951B0F" w:rsidP="00195ED4">
      <w:pPr>
        <w:spacing w:after="0" w:line="240" w:lineRule="auto"/>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BB61BD" w:rsidRPr="00537128">
        <w:rPr>
          <w:rFonts w:ascii="Calibri" w:eastAsia="Calibri" w:hAnsi="Calibri" w:cs="Arial"/>
          <w:b/>
          <w:color w:val="000000" w:themeColor="text1"/>
          <w:lang w:val="en-US"/>
        </w:rPr>
        <w:t xml:space="preserve">.3.2.1. </w:t>
      </w:r>
      <w:r w:rsidR="00BB61BD" w:rsidRPr="00537128">
        <w:rPr>
          <w:rFonts w:ascii="Calibri" w:eastAsia="Calibri" w:hAnsi="Calibri" w:cs="Times New Roman"/>
          <w:b/>
          <w:bCs/>
          <w:color w:val="000000" w:themeColor="text1"/>
          <w:lang w:val="en-US"/>
        </w:rPr>
        <w:t>Definition of default status and exit from default status (continued)</w:t>
      </w:r>
      <w:r w:rsidR="00BB61BD" w:rsidRPr="00537128">
        <w:rPr>
          <w:rFonts w:ascii="Calibri" w:eastAsia="Calibri" w:hAnsi="Calibri" w:cs="Arial"/>
          <w:b/>
          <w:color w:val="000000" w:themeColor="text1"/>
          <w:lang w:val="en-US"/>
        </w:rPr>
        <w:t xml:space="preserve"> </w:t>
      </w:r>
    </w:p>
    <w:p w14:paraId="782461D6" w14:textId="6433390B" w:rsidR="00DB2F64" w:rsidRPr="00A1123E" w:rsidRDefault="00DB2F64" w:rsidP="00195ED4">
      <w:pPr>
        <w:spacing w:after="0" w:line="240" w:lineRule="auto"/>
        <w:jc w:val="both"/>
        <w:rPr>
          <w:rFonts w:ascii="Calibri" w:eastAsia="Times New Roman" w:hAnsi="Calibri" w:cs="Times New Roman"/>
          <w:color w:val="000000" w:themeColor="text1"/>
          <w:sz w:val="18"/>
          <w:szCs w:val="18"/>
          <w:lang w:val="en-US"/>
        </w:rPr>
      </w:pPr>
    </w:p>
    <w:p w14:paraId="12B8F25F" w14:textId="7908239A" w:rsidR="00133161" w:rsidRDefault="00133161" w:rsidP="00195ED4">
      <w:pPr>
        <w:spacing w:after="0" w:line="240" w:lineRule="auto"/>
        <w:jc w:val="both"/>
        <w:rPr>
          <w:rFonts w:ascii="Calibri" w:eastAsia="Calibri" w:hAnsi="Calibri" w:cs="Calibri"/>
          <w:color w:val="000000"/>
          <w:lang w:val="en-GB"/>
        </w:rPr>
      </w:pPr>
      <w:r w:rsidRPr="000239F2">
        <w:rPr>
          <w:rFonts w:ascii="Calibri" w:eastAsia="Calibri" w:hAnsi="Calibri" w:cs="Calibri"/>
          <w:color w:val="000000"/>
          <w:lang w:val="en-GB"/>
        </w:rPr>
        <w:t>All clients that were not approved concessions due to financial difficulties, and HBOR’s exposure to them ceased to be non-performing, are classified as risk level 1 after the recovery.</w:t>
      </w:r>
    </w:p>
    <w:p w14:paraId="484ABA97" w14:textId="77777777" w:rsidR="00AA5F15" w:rsidRPr="000239F2" w:rsidRDefault="00AA5F15" w:rsidP="00195ED4">
      <w:pPr>
        <w:spacing w:after="0" w:line="240" w:lineRule="auto"/>
        <w:jc w:val="both"/>
        <w:rPr>
          <w:rFonts w:ascii="Calibri" w:eastAsia="Calibri" w:hAnsi="Calibri" w:cs="Calibri"/>
          <w:color w:val="000000"/>
          <w:lang w:val="en-GB"/>
        </w:rPr>
      </w:pPr>
    </w:p>
    <w:p w14:paraId="680F1EBA" w14:textId="57AD3FAB" w:rsidR="00DB2F64" w:rsidRPr="00537128" w:rsidRDefault="00951B0F" w:rsidP="00DB2F64">
      <w:pPr>
        <w:spacing w:after="0" w:line="240" w:lineRule="auto"/>
        <w:jc w:val="both"/>
        <w:rPr>
          <w:rFonts w:ascii="Calibri" w:eastAsia="Times New Roman" w:hAnsi="Calibri" w:cs="Times New Roman"/>
          <w:b/>
          <w:bCs/>
          <w:color w:val="000000" w:themeColor="text1"/>
          <w:lang w:val="en-US"/>
        </w:rPr>
      </w:pPr>
      <w:r>
        <w:rPr>
          <w:rFonts w:ascii="Calibri" w:eastAsia="Times New Roman" w:hAnsi="Calibri" w:cs="Times New Roman"/>
          <w:b/>
          <w:bCs/>
          <w:color w:val="000000" w:themeColor="text1"/>
          <w:lang w:val="en-US"/>
        </w:rPr>
        <w:t>23</w:t>
      </w:r>
      <w:r w:rsidR="00DB2F64" w:rsidRPr="00537128">
        <w:rPr>
          <w:rFonts w:ascii="Calibri" w:eastAsia="Times New Roman" w:hAnsi="Calibri" w:cs="Times New Roman"/>
          <w:b/>
          <w:bCs/>
          <w:color w:val="000000" w:themeColor="text1"/>
          <w:lang w:val="en-US"/>
        </w:rPr>
        <w:t>.3.2.2. Bank's procedure of internal rating and probability of default (PD) assessment</w:t>
      </w:r>
    </w:p>
    <w:p w14:paraId="271AC57A" w14:textId="77777777" w:rsidR="00DB2F64" w:rsidRPr="00A1123E" w:rsidRDefault="00DB2F64" w:rsidP="005855E2">
      <w:pPr>
        <w:spacing w:after="0" w:line="240" w:lineRule="auto"/>
        <w:jc w:val="both"/>
        <w:rPr>
          <w:rFonts w:ascii="Calibri" w:eastAsia="Times New Roman" w:hAnsi="Calibri" w:cs="Times New Roman"/>
          <w:color w:val="000000" w:themeColor="text1"/>
          <w:sz w:val="18"/>
          <w:szCs w:val="18"/>
          <w:lang w:val="en-US"/>
        </w:rPr>
      </w:pPr>
    </w:p>
    <w:p w14:paraId="0254A510" w14:textId="77777777" w:rsidR="005855E2" w:rsidRPr="00E920D3" w:rsidRDefault="005855E2" w:rsidP="005855E2">
      <w:pPr>
        <w:spacing w:after="0" w:line="240" w:lineRule="auto"/>
        <w:jc w:val="both"/>
        <w:rPr>
          <w:rFonts w:cs="Arial"/>
        </w:rPr>
      </w:pPr>
      <w:r w:rsidRPr="00E920D3">
        <w:rPr>
          <w:rFonts w:cs="Arial"/>
        </w:rPr>
        <w:t>The approach used for the modelling of PD is based on TTC (Through-the-Cycle) migration matrices for exposures in homogenous groups of direct borrowers and others. Risk categories (bucket) have been identified, and the movements of exposures among the aforementioned categories are analysed.</w:t>
      </w:r>
    </w:p>
    <w:p w14:paraId="044CFB9B" w14:textId="77777777" w:rsidR="005855E2" w:rsidRPr="00E920D3" w:rsidRDefault="005855E2" w:rsidP="005855E2">
      <w:pPr>
        <w:spacing w:after="0" w:line="240" w:lineRule="auto"/>
        <w:jc w:val="both"/>
        <w:rPr>
          <w:rFonts w:cs="Arial"/>
          <w:highlight w:val="yellow"/>
        </w:rPr>
      </w:pPr>
    </w:p>
    <w:p w14:paraId="185D23E8" w14:textId="77777777" w:rsidR="005855E2" w:rsidRPr="00E920D3" w:rsidRDefault="005855E2" w:rsidP="005855E2">
      <w:pPr>
        <w:spacing w:after="0" w:line="240" w:lineRule="auto"/>
        <w:jc w:val="both"/>
        <w:rPr>
          <w:rFonts w:cs="Arial"/>
        </w:rPr>
      </w:pPr>
      <w:r w:rsidRPr="00E920D3">
        <w:rPr>
          <w:rFonts w:cs="Arial"/>
        </w:rPr>
        <w:t>Risk categories for the aforementioned exposures are defined on the basis of the days overdue and the restructured exposure status. Before the modelling of PD, the data for the preceding</w:t>
      </w:r>
      <w:r>
        <w:rPr>
          <w:rFonts w:cs="Arial"/>
        </w:rPr>
        <w:t xml:space="preserve"> relevant</w:t>
      </w:r>
      <w:r w:rsidRPr="00E920D3">
        <w:rPr>
          <w:rFonts w:cs="Arial"/>
        </w:rPr>
        <w:t xml:space="preserve"> period are collected.</w:t>
      </w:r>
    </w:p>
    <w:p w14:paraId="48374766" w14:textId="77777777" w:rsidR="005855E2" w:rsidRPr="00E920D3" w:rsidRDefault="005855E2" w:rsidP="005855E2">
      <w:pPr>
        <w:spacing w:after="0" w:line="240" w:lineRule="auto"/>
        <w:jc w:val="both"/>
        <w:rPr>
          <w:rFonts w:cs="Arial"/>
          <w:highlight w:val="yellow"/>
        </w:rPr>
      </w:pPr>
    </w:p>
    <w:p w14:paraId="0BBAF3A1" w14:textId="77777777" w:rsidR="005855E2" w:rsidRPr="00E920D3" w:rsidRDefault="005855E2" w:rsidP="005855E2">
      <w:pPr>
        <w:spacing w:after="0" w:line="240" w:lineRule="auto"/>
        <w:jc w:val="both"/>
        <w:rPr>
          <w:bCs/>
        </w:rPr>
      </w:pPr>
      <w:r w:rsidRPr="00E920D3">
        <w:t>On the occasion of the modelling of PD, the movement of exposures among the following categories is analysed:</w:t>
      </w:r>
    </w:p>
    <w:p w14:paraId="1E2121EF" w14:textId="77777777" w:rsidR="005855E2" w:rsidRPr="00E920D3" w:rsidRDefault="005855E2" w:rsidP="005855E2">
      <w:pPr>
        <w:numPr>
          <w:ilvl w:val="0"/>
          <w:numId w:val="31"/>
        </w:numPr>
        <w:spacing w:after="0" w:line="240" w:lineRule="auto"/>
        <w:jc w:val="both"/>
        <w:rPr>
          <w:bCs/>
        </w:rPr>
      </w:pPr>
      <w:r w:rsidRPr="00E920D3">
        <w:t>from 0 to 30 days overdue – category 1,</w:t>
      </w:r>
    </w:p>
    <w:p w14:paraId="781F9B5F" w14:textId="77777777" w:rsidR="005855E2" w:rsidRPr="00E920D3" w:rsidRDefault="005855E2" w:rsidP="005855E2">
      <w:pPr>
        <w:numPr>
          <w:ilvl w:val="0"/>
          <w:numId w:val="31"/>
        </w:numPr>
        <w:spacing w:after="0" w:line="240" w:lineRule="auto"/>
        <w:jc w:val="both"/>
        <w:rPr>
          <w:bCs/>
        </w:rPr>
      </w:pPr>
      <w:r w:rsidRPr="00E920D3">
        <w:t>from 31 to 90 days overdue – category 2,</w:t>
      </w:r>
    </w:p>
    <w:p w14:paraId="6F988BA3" w14:textId="77777777" w:rsidR="005855E2" w:rsidRPr="00E920D3" w:rsidRDefault="005855E2" w:rsidP="005855E2">
      <w:pPr>
        <w:numPr>
          <w:ilvl w:val="0"/>
          <w:numId w:val="31"/>
        </w:numPr>
        <w:spacing w:after="0" w:line="240" w:lineRule="auto"/>
        <w:jc w:val="both"/>
        <w:rPr>
          <w:bCs/>
        </w:rPr>
      </w:pPr>
      <w:r w:rsidRPr="00E920D3">
        <w:t>more than 90 days overdue and restructuring – default status event.</w:t>
      </w:r>
    </w:p>
    <w:p w14:paraId="4A31DD6E" w14:textId="77777777" w:rsidR="005855E2" w:rsidRPr="00E920D3" w:rsidRDefault="005855E2" w:rsidP="005855E2">
      <w:pPr>
        <w:spacing w:after="0" w:line="240" w:lineRule="auto"/>
        <w:jc w:val="both"/>
        <w:rPr>
          <w:rFonts w:cs="Arial"/>
          <w:highlight w:val="yellow"/>
        </w:rPr>
      </w:pPr>
    </w:p>
    <w:p w14:paraId="7608B07B" w14:textId="77777777" w:rsidR="005855E2" w:rsidRPr="00E920D3" w:rsidRDefault="005855E2" w:rsidP="005855E2">
      <w:pPr>
        <w:spacing w:after="0" w:line="240" w:lineRule="auto"/>
        <w:jc w:val="both"/>
        <w:rPr>
          <w:rFonts w:cs="Arial"/>
        </w:rPr>
      </w:pPr>
      <w:r w:rsidRPr="00E920D3">
        <w:rPr>
          <w:rFonts w:cs="Arial"/>
        </w:rPr>
        <w:t>On the basis of the matrices of exposure movements from category to category, a PD 12-month value is calculated. PD marginal values are calculated by further multiplication of matrices and they are used for vector creation. PD borderline value vector is the basis for the calculation of a lifelong PD. The value of a lifelong PD depends on the tenor, i.e. the remaining period until maturity of individual exposure.</w:t>
      </w:r>
    </w:p>
    <w:p w14:paraId="466751A0" w14:textId="77777777" w:rsidR="005855E2" w:rsidRPr="00E920D3" w:rsidRDefault="005855E2" w:rsidP="005855E2">
      <w:pPr>
        <w:spacing w:after="0" w:line="240" w:lineRule="auto"/>
        <w:jc w:val="both"/>
        <w:rPr>
          <w:rFonts w:cs="Arial"/>
          <w:highlight w:val="yellow"/>
        </w:rPr>
      </w:pPr>
    </w:p>
    <w:p w14:paraId="04B3332E" w14:textId="77777777" w:rsidR="005855E2" w:rsidRPr="00E920D3" w:rsidRDefault="005855E2" w:rsidP="005855E2">
      <w:pPr>
        <w:spacing w:after="0" w:line="240" w:lineRule="auto"/>
        <w:jc w:val="both"/>
        <w:rPr>
          <w:rFonts w:ascii="Calibri" w:hAnsi="Calibri" w:cs="Arial"/>
        </w:rPr>
      </w:pPr>
      <w:r w:rsidRPr="00E920D3">
        <w:rPr>
          <w:rFonts w:ascii="Calibri" w:hAnsi="Calibri" w:cs="Arial"/>
        </w:rPr>
        <w:t>Approach based on external rating published by external credit rating agencies has been used for the calculation of PD for exposures from homogenous categories of financial institutions and central government and local and regional government.</w:t>
      </w:r>
    </w:p>
    <w:p w14:paraId="69BF2D32" w14:textId="77777777" w:rsidR="005855E2" w:rsidRPr="00E920D3" w:rsidRDefault="005855E2" w:rsidP="005855E2">
      <w:pPr>
        <w:spacing w:after="0" w:line="240" w:lineRule="auto"/>
        <w:jc w:val="both"/>
        <w:rPr>
          <w:rFonts w:ascii="Calibri" w:hAnsi="Calibri" w:cs="Arial"/>
          <w:highlight w:val="yellow"/>
        </w:rPr>
      </w:pPr>
    </w:p>
    <w:p w14:paraId="6635CDEC" w14:textId="5865E6AD" w:rsidR="005855E2" w:rsidRPr="00E920D3" w:rsidRDefault="005855E2" w:rsidP="005855E2">
      <w:pPr>
        <w:spacing w:after="0" w:line="240" w:lineRule="auto"/>
        <w:jc w:val="both"/>
        <w:rPr>
          <w:rFonts w:ascii="Calibri" w:hAnsi="Calibri" w:cs="Arial"/>
        </w:rPr>
      </w:pPr>
      <w:r w:rsidRPr="00E920D3">
        <w:rPr>
          <w:rFonts w:ascii="Calibri" w:hAnsi="Calibri" w:cs="Arial"/>
        </w:rPr>
        <w:t>For exposures to domestic financial institutions, owing to the fact that there is no external rating for all financial institutions in the Group portfolio, the existing internal ratings for domestic financial institutions have been mapped against the external rating, where a financial institution that has an external rating has been used as the mapping starting point, due to which the Group’s internal rating has been made equal to the rating of S&amp;P: "BB</w:t>
      </w:r>
      <w:r w:rsidR="00167E39">
        <w:rPr>
          <w:rFonts w:ascii="Calibri" w:hAnsi="Calibri" w:cs="Arial"/>
        </w:rPr>
        <w:t>B</w:t>
      </w:r>
      <w:r w:rsidRPr="00E920D3">
        <w:rPr>
          <w:rFonts w:ascii="Calibri" w:hAnsi="Calibri" w:cs="Arial"/>
        </w:rPr>
        <w:t>". In this way, the upper limit has been established for domestic financial institutions at the level of the government rating. Distribution of PD value for the other internal ratings is determined on the basis of the method of linear interpolation.</w:t>
      </w:r>
    </w:p>
    <w:p w14:paraId="3929D31E" w14:textId="77777777" w:rsidR="005855E2" w:rsidRPr="00E920D3" w:rsidRDefault="005855E2" w:rsidP="005855E2">
      <w:pPr>
        <w:spacing w:after="0" w:line="240" w:lineRule="auto"/>
        <w:jc w:val="both"/>
        <w:rPr>
          <w:rFonts w:ascii="Calibri" w:hAnsi="Calibri" w:cs="Arial"/>
          <w:highlight w:val="yellow"/>
        </w:rPr>
      </w:pPr>
    </w:p>
    <w:p w14:paraId="3FF57EFF" w14:textId="77777777" w:rsidR="00CC31B4" w:rsidRDefault="005855E2" w:rsidP="005855E2">
      <w:pPr>
        <w:spacing w:after="0" w:line="240" w:lineRule="auto"/>
        <w:jc w:val="both"/>
        <w:rPr>
          <w:rFonts w:ascii="Calibri" w:hAnsi="Calibri" w:cs="Arial"/>
        </w:rPr>
        <w:sectPr w:rsidR="00CC31B4">
          <w:pgSz w:w="11906" w:h="16838"/>
          <w:pgMar w:top="1417" w:right="1417" w:bottom="1417" w:left="1417" w:header="708" w:footer="708" w:gutter="0"/>
          <w:cols w:space="708"/>
          <w:docGrid w:linePitch="360"/>
        </w:sectPr>
      </w:pPr>
      <w:r w:rsidRPr="00E920D3">
        <w:rPr>
          <w:rFonts w:ascii="Calibri" w:hAnsi="Calibri" w:cs="Arial"/>
        </w:rPr>
        <w:t xml:space="preserve">Ratings of external credit rating agencies are used for exposures to foreign financial institutions and, therefore, the appropriate PD value from their matrices is used, and if non-existing, </w:t>
      </w:r>
    </w:p>
    <w:p w14:paraId="19E3777F" w14:textId="77777777" w:rsidR="00CC31B4" w:rsidRPr="00537128" w:rsidRDefault="00CC31B4" w:rsidP="00CC31B4">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lastRenderedPageBreak/>
        <w:t>2</w:t>
      </w:r>
      <w:r>
        <w:rPr>
          <w:rFonts w:ascii="Calibri" w:eastAsia="Times New Roman" w:hAnsi="Calibri" w:cs="Calibri"/>
          <w:b/>
          <w:bCs/>
          <w:color w:val="000000" w:themeColor="text1"/>
          <w:lang w:val="en-US" w:eastAsia="hr-HR"/>
        </w:rPr>
        <w:t>3</w:t>
      </w:r>
      <w:r w:rsidRPr="00537128">
        <w:rPr>
          <w:rFonts w:ascii="Calibri" w:eastAsia="Times New Roman" w:hAnsi="Calibri" w:cs="Calibri"/>
          <w:b/>
          <w:bCs/>
          <w:color w:val="000000" w:themeColor="text1"/>
          <w:lang w:val="en-US" w:eastAsia="hr-HR"/>
        </w:rPr>
        <w:t>.</w:t>
      </w:r>
      <w:r w:rsidRPr="00537128">
        <w:rPr>
          <w:rFonts w:ascii="Calibri" w:eastAsia="Times New Roman" w:hAnsi="Calibri" w:cs="Calibri"/>
          <w:b/>
          <w:bCs/>
          <w:color w:val="000000" w:themeColor="text1"/>
          <w:lang w:val="en-US"/>
        </w:rPr>
        <w:tab/>
        <w:t>Risk management (continued)</w:t>
      </w:r>
    </w:p>
    <w:p w14:paraId="466C1256" w14:textId="77777777" w:rsidR="00CC31B4" w:rsidRPr="00537128" w:rsidRDefault="00CC31B4" w:rsidP="00CC31B4">
      <w:pPr>
        <w:tabs>
          <w:tab w:val="left" w:pos="709"/>
          <w:tab w:val="left" w:pos="851"/>
        </w:tabs>
        <w:spacing w:after="0" w:line="240" w:lineRule="auto"/>
        <w:jc w:val="both"/>
        <w:rPr>
          <w:rFonts w:ascii="Calibri" w:eastAsia="Times New Roman" w:hAnsi="Calibri" w:cs="Arial"/>
          <w:color w:val="000000" w:themeColor="text1"/>
          <w:sz w:val="20"/>
          <w:szCs w:val="20"/>
          <w:lang w:val="en-US"/>
        </w:rPr>
      </w:pPr>
    </w:p>
    <w:p w14:paraId="3B0846DB" w14:textId="77777777" w:rsidR="00CC31B4" w:rsidRPr="00537128" w:rsidRDefault="00CC31B4" w:rsidP="00CC31B4">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Pr="00537128">
        <w:rPr>
          <w:rFonts w:ascii="Calibri" w:eastAsia="Times New Roman" w:hAnsi="Calibri" w:cs="Arial"/>
          <w:b/>
          <w:color w:val="000000" w:themeColor="text1"/>
          <w:lang w:val="en-US"/>
        </w:rPr>
        <w:t>.3.   Credit risk (continued)</w:t>
      </w:r>
    </w:p>
    <w:p w14:paraId="479322B0" w14:textId="77777777" w:rsidR="00CC31B4" w:rsidRPr="00537128" w:rsidRDefault="00CC31B4" w:rsidP="00CC31B4">
      <w:pPr>
        <w:spacing w:after="0" w:line="240" w:lineRule="auto"/>
        <w:jc w:val="both"/>
        <w:rPr>
          <w:rFonts w:ascii="Calibri" w:eastAsia="Times New Roman" w:hAnsi="Calibri" w:cs="Times New Roman"/>
          <w:bCs/>
          <w:color w:val="000000" w:themeColor="text1"/>
          <w:lang w:val="en-US"/>
        </w:rPr>
      </w:pPr>
    </w:p>
    <w:p w14:paraId="72A69FB0" w14:textId="77777777" w:rsidR="00CC31B4" w:rsidRPr="00537128" w:rsidRDefault="00CC31B4" w:rsidP="00CC31B4">
      <w:pPr>
        <w:spacing w:after="0" w:line="240" w:lineRule="auto"/>
        <w:rPr>
          <w:rFonts w:ascii="Calibri" w:eastAsia="Calibri" w:hAnsi="Calibri" w:cs="Times New Roman"/>
          <w:b/>
          <w:color w:val="000000" w:themeColor="text1"/>
          <w:lang w:val="en-US"/>
        </w:rPr>
      </w:pPr>
      <w:bookmarkStart w:id="608" w:name="_Hlk50563392"/>
      <w:r w:rsidRPr="00537128">
        <w:rPr>
          <w:rFonts w:ascii="Calibri" w:eastAsia="Calibri" w:hAnsi="Calibri" w:cs="Times New Roman"/>
          <w:b/>
          <w:bCs/>
          <w:color w:val="000000" w:themeColor="text1"/>
          <w:lang w:val="en-US"/>
        </w:rPr>
        <w:t>2</w:t>
      </w:r>
      <w:r>
        <w:rPr>
          <w:rFonts w:ascii="Calibri" w:eastAsia="Calibri" w:hAnsi="Calibri" w:cs="Times New Roman"/>
          <w:b/>
          <w:bCs/>
          <w:color w:val="000000" w:themeColor="text1"/>
          <w:lang w:val="en-US"/>
        </w:rPr>
        <w:t>3</w:t>
      </w:r>
      <w:r w:rsidRPr="00537128">
        <w:rPr>
          <w:rFonts w:ascii="Calibri" w:eastAsia="Calibri" w:hAnsi="Calibri" w:cs="Times New Roman"/>
          <w:b/>
          <w:bCs/>
          <w:color w:val="000000" w:themeColor="text1"/>
          <w:lang w:val="en-US"/>
        </w:rPr>
        <w:t xml:space="preserve">.3.2.2. </w:t>
      </w:r>
      <w:r w:rsidRPr="00537128">
        <w:rPr>
          <w:rFonts w:ascii="Calibri" w:eastAsia="Calibri" w:hAnsi="Calibri" w:cs="Times New Roman"/>
          <w:b/>
          <w:color w:val="000000" w:themeColor="text1"/>
          <w:lang w:val="en-US"/>
        </w:rPr>
        <w:t>Bank's procedure of internal rating and probability of default (PD) assessment</w:t>
      </w:r>
    </w:p>
    <w:bookmarkEnd w:id="608"/>
    <w:p w14:paraId="77ED43CF" w14:textId="77777777" w:rsidR="00CC31B4" w:rsidRDefault="00CC31B4" w:rsidP="005855E2">
      <w:pPr>
        <w:spacing w:after="0" w:line="240" w:lineRule="auto"/>
        <w:jc w:val="both"/>
        <w:rPr>
          <w:rFonts w:ascii="Calibri" w:hAnsi="Calibri" w:cs="Arial"/>
        </w:rPr>
      </w:pPr>
    </w:p>
    <w:p w14:paraId="1494ED75" w14:textId="7D491666" w:rsidR="005855E2" w:rsidRPr="00E920D3" w:rsidRDefault="005855E2" w:rsidP="005855E2">
      <w:pPr>
        <w:spacing w:after="0" w:line="240" w:lineRule="auto"/>
        <w:jc w:val="both"/>
        <w:rPr>
          <w:rFonts w:ascii="Calibri" w:hAnsi="Calibri" w:cs="Arial"/>
        </w:rPr>
      </w:pPr>
      <w:r w:rsidRPr="00E920D3">
        <w:rPr>
          <w:rFonts w:ascii="Calibri" w:hAnsi="Calibri" w:cs="Arial"/>
        </w:rPr>
        <w:t>the internal rating is used, i.e. the rules are applied that are identical to those applied to domestic financial institutions.</w:t>
      </w:r>
    </w:p>
    <w:p w14:paraId="306666E4" w14:textId="77777777" w:rsidR="005855E2" w:rsidRPr="00E920D3" w:rsidRDefault="005855E2" w:rsidP="005855E2">
      <w:pPr>
        <w:spacing w:after="0" w:line="240" w:lineRule="auto"/>
        <w:jc w:val="both"/>
        <w:rPr>
          <w:rFonts w:ascii="Calibri" w:hAnsi="Calibri" w:cs="Arial"/>
          <w:highlight w:val="yellow"/>
        </w:rPr>
      </w:pPr>
    </w:p>
    <w:p w14:paraId="6385F3F2" w14:textId="77777777" w:rsidR="005855E2" w:rsidRPr="00E920D3" w:rsidRDefault="005855E2" w:rsidP="005855E2">
      <w:pPr>
        <w:spacing w:after="0" w:line="240" w:lineRule="auto"/>
        <w:jc w:val="both"/>
        <w:rPr>
          <w:rFonts w:ascii="Calibri" w:hAnsi="Calibri" w:cs="Arial"/>
        </w:rPr>
      </w:pPr>
      <w:r w:rsidRPr="00E920D3">
        <w:rPr>
          <w:rFonts w:ascii="Calibri" w:hAnsi="Calibri" w:cs="Arial"/>
        </w:rPr>
        <w:t>The value of 12-month PD is assessed by multiplying TTC matrix with itself. The value of lifelong PD is the cumulative value of marginal PD values or the sum of borderline PD values depending on the exposure tenor.</w:t>
      </w:r>
    </w:p>
    <w:p w14:paraId="6B743DE8" w14:textId="77777777" w:rsidR="00F052E2" w:rsidRPr="00537128" w:rsidRDefault="00F052E2" w:rsidP="00F052E2">
      <w:pPr>
        <w:spacing w:after="0" w:line="240" w:lineRule="auto"/>
        <w:jc w:val="both"/>
        <w:rPr>
          <w:rFonts w:ascii="Calibri" w:eastAsia="Times New Roman" w:hAnsi="Calibri" w:cs="Arial"/>
          <w:b/>
          <w:bCs/>
          <w:lang w:val="en-US"/>
        </w:rPr>
      </w:pPr>
    </w:p>
    <w:p w14:paraId="0DC88003" w14:textId="03CC426B" w:rsidR="002C35CB" w:rsidRPr="00537128" w:rsidRDefault="00951B0F" w:rsidP="002C35CB">
      <w:pPr>
        <w:spacing w:after="0" w:line="240" w:lineRule="auto"/>
        <w:jc w:val="both"/>
        <w:rPr>
          <w:rFonts w:ascii="Calibri" w:eastAsia="Times New Roman" w:hAnsi="Calibri" w:cs="Arial"/>
          <w:b/>
          <w:bCs/>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2C35CB" w:rsidRPr="00537128">
        <w:rPr>
          <w:rFonts w:ascii="Calibri" w:eastAsia="Calibri" w:hAnsi="Calibri" w:cs="Arial"/>
          <w:b/>
          <w:color w:val="000000" w:themeColor="text1"/>
          <w:lang w:val="en-US"/>
        </w:rPr>
        <w:t xml:space="preserve">.3.2.3. Exposure at default </w:t>
      </w:r>
    </w:p>
    <w:p w14:paraId="6FE87120" w14:textId="77777777" w:rsidR="00F052E2" w:rsidRPr="00537128" w:rsidRDefault="00F052E2" w:rsidP="00F052E2">
      <w:pPr>
        <w:spacing w:after="0" w:line="240" w:lineRule="auto"/>
        <w:jc w:val="both"/>
        <w:rPr>
          <w:rFonts w:ascii="Calibri" w:eastAsia="Times New Roman" w:hAnsi="Calibri" w:cs="Arial"/>
          <w:b/>
          <w:bCs/>
          <w:lang w:val="en-US"/>
        </w:rPr>
      </w:pPr>
    </w:p>
    <w:p w14:paraId="4348D6E1" w14:textId="77777777" w:rsidR="00F052E2" w:rsidRPr="00537128" w:rsidRDefault="00F052E2" w:rsidP="00F052E2">
      <w:pPr>
        <w:spacing w:after="0" w:line="240" w:lineRule="auto"/>
        <w:jc w:val="both"/>
        <w:rPr>
          <w:rFonts w:ascii="Calibri" w:eastAsia="Times New Roman" w:hAnsi="Calibri" w:cs="Arial"/>
          <w:lang w:val="en-US"/>
        </w:rPr>
      </w:pPr>
      <w:proofErr w:type="gramStart"/>
      <w:r w:rsidRPr="00537128">
        <w:rPr>
          <w:rFonts w:ascii="Calibri" w:eastAsia="Times New Roman" w:hAnsi="Calibri" w:cs="Arial"/>
          <w:lang w:val="en-US"/>
        </w:rPr>
        <w:t>For the purpose of</w:t>
      </w:r>
      <w:proofErr w:type="gramEnd"/>
      <w:r w:rsidRPr="00537128">
        <w:rPr>
          <w:rFonts w:ascii="Calibri" w:eastAsia="Times New Roman" w:hAnsi="Calibri" w:cs="Arial"/>
          <w:lang w:val="en-US"/>
        </w:rPr>
        <w:t xml:space="preserve"> modelling exposures at the moment of the occurrence of default status (Exposure at Default, hereinafter: EAD), or for the purpose of calculating credit conversion parameter (Credit Conversion Factor, hereinafter: CCF) and prepayment ratio, the data for the preceding five-year period are taken into account.</w:t>
      </w:r>
    </w:p>
    <w:p w14:paraId="5C685220" w14:textId="77777777" w:rsidR="00F052E2" w:rsidRPr="00537128" w:rsidRDefault="00F052E2" w:rsidP="00F052E2">
      <w:pPr>
        <w:spacing w:after="0" w:line="240" w:lineRule="auto"/>
        <w:jc w:val="both"/>
        <w:rPr>
          <w:rFonts w:ascii="Calibri" w:eastAsia="Times New Roman" w:hAnsi="Calibri" w:cs="Arial"/>
          <w:highlight w:val="yellow"/>
          <w:lang w:val="en-US"/>
        </w:rPr>
      </w:pPr>
    </w:p>
    <w:p w14:paraId="29236E0B" w14:textId="77777777" w:rsidR="00F052E2" w:rsidRPr="00537128" w:rsidRDefault="00F052E2" w:rsidP="00F052E2">
      <w:pPr>
        <w:spacing w:after="0" w:line="240" w:lineRule="auto"/>
        <w:jc w:val="both"/>
        <w:rPr>
          <w:rFonts w:ascii="Calibri" w:eastAsia="Times New Roman" w:hAnsi="Calibri" w:cs="Arial"/>
          <w:lang w:val="en-US"/>
        </w:rPr>
      </w:pPr>
      <w:r w:rsidRPr="00537128">
        <w:rPr>
          <w:rFonts w:ascii="Calibri" w:eastAsia="Times New Roman" w:hAnsi="Calibri" w:cs="Arial"/>
          <w:lang w:val="en-US"/>
        </w:rPr>
        <w:t>Pursuant to the mentioned historical data, the established ratio of premature collection almost equals zero and the loan conversion factor equals 1.</w:t>
      </w:r>
    </w:p>
    <w:p w14:paraId="4F415C5C" w14:textId="77777777" w:rsidR="00F052E2" w:rsidRPr="00537128" w:rsidRDefault="00F052E2" w:rsidP="00F052E2">
      <w:pPr>
        <w:spacing w:after="0" w:line="240" w:lineRule="auto"/>
        <w:jc w:val="both"/>
        <w:rPr>
          <w:rFonts w:ascii="Calibri" w:eastAsia="Times New Roman" w:hAnsi="Calibri" w:cs="Arial"/>
          <w:lang w:val="en-US"/>
        </w:rPr>
      </w:pPr>
    </w:p>
    <w:p w14:paraId="19811063" w14:textId="3B1D44F0" w:rsidR="00F052E2" w:rsidRPr="00962D62" w:rsidRDefault="00F052E2" w:rsidP="00F052E2">
      <w:pPr>
        <w:spacing w:after="0" w:line="240" w:lineRule="auto"/>
        <w:jc w:val="both"/>
        <w:rPr>
          <w:rFonts w:ascii="Calibri" w:eastAsia="Calibri" w:hAnsi="Calibri" w:cs="Calibri"/>
          <w:lang w:val="en-US"/>
        </w:rPr>
      </w:pPr>
      <w:r w:rsidRPr="00537128">
        <w:rPr>
          <w:rFonts w:ascii="Calibri" w:eastAsia="Calibri" w:hAnsi="Calibri" w:cs="Calibri"/>
          <w:lang w:val="en-US"/>
        </w:rPr>
        <w:t xml:space="preserve">EAD is calculated for each contract. There are two approaches to the calculation of </w:t>
      </w:r>
      <w:r w:rsidRPr="00962D62">
        <w:rPr>
          <w:rFonts w:ascii="Calibri" w:eastAsia="Calibri" w:hAnsi="Calibri" w:cs="Calibri"/>
          <w:lang w:val="en-US"/>
        </w:rPr>
        <w:t>EAD</w:t>
      </w:r>
      <w:r w:rsidR="003278ED" w:rsidRPr="00962D62">
        <w:rPr>
          <w:rFonts w:ascii="Calibri" w:eastAsia="Calibri" w:hAnsi="Calibri" w:cs="Calibri"/>
          <w:lang w:val="en-US"/>
        </w:rPr>
        <w:t xml:space="preserve"> if there is</w:t>
      </w:r>
      <w:r w:rsidRPr="00962D62">
        <w:rPr>
          <w:rFonts w:ascii="Calibri" w:eastAsia="Calibri" w:hAnsi="Calibri" w:cs="Calibri"/>
          <w:lang w:val="en-US"/>
        </w:rPr>
        <w:t>:</w:t>
      </w:r>
    </w:p>
    <w:p w14:paraId="075E6D13" w14:textId="4F5E0573" w:rsidR="00F052E2" w:rsidRPr="00962D62" w:rsidRDefault="00F052E2" w:rsidP="00F052E2">
      <w:pPr>
        <w:numPr>
          <w:ilvl w:val="0"/>
          <w:numId w:val="32"/>
        </w:numPr>
        <w:spacing w:after="0" w:line="240" w:lineRule="auto"/>
        <w:contextualSpacing/>
        <w:jc w:val="both"/>
        <w:rPr>
          <w:rFonts w:ascii="Calibri" w:eastAsia="Calibri" w:hAnsi="Calibri" w:cs="Calibri"/>
          <w:lang w:val="en-US"/>
        </w:rPr>
      </w:pPr>
      <w:r w:rsidRPr="00962D62">
        <w:rPr>
          <w:rFonts w:ascii="Calibri" w:eastAsia="Times New Roman" w:hAnsi="Calibri" w:cs="Calibri"/>
          <w:lang w:val="en-US" w:eastAsia="hr-HR"/>
        </w:rPr>
        <w:t>a repayment schedule for exposure – based on the cash flow from the repayment schedule,</w:t>
      </w:r>
    </w:p>
    <w:p w14:paraId="4C8B33D7" w14:textId="1AB2F3E4" w:rsidR="00F052E2" w:rsidRPr="00962D62" w:rsidRDefault="00F052E2" w:rsidP="00F052E2">
      <w:pPr>
        <w:numPr>
          <w:ilvl w:val="0"/>
          <w:numId w:val="32"/>
        </w:numPr>
        <w:spacing w:after="0" w:line="240" w:lineRule="auto"/>
        <w:contextualSpacing/>
        <w:jc w:val="both"/>
        <w:rPr>
          <w:rFonts w:ascii="Calibri" w:eastAsia="Calibri" w:hAnsi="Calibri" w:cs="Calibri"/>
          <w:lang w:val="en-US"/>
        </w:rPr>
      </w:pPr>
      <w:r w:rsidRPr="00962D62">
        <w:rPr>
          <w:rFonts w:ascii="Calibri" w:eastAsia="Calibri" w:hAnsi="Calibri" w:cs="Calibri"/>
          <w:lang w:val="en-US"/>
        </w:rPr>
        <w:t>no repayment schedule for exposure – based on exposure amount on the reporting date.</w:t>
      </w:r>
    </w:p>
    <w:p w14:paraId="135092F4" w14:textId="77777777" w:rsidR="00F052E2" w:rsidRPr="00537128" w:rsidRDefault="00F052E2" w:rsidP="00F052E2">
      <w:pPr>
        <w:spacing w:after="0" w:line="240" w:lineRule="auto"/>
        <w:jc w:val="both"/>
        <w:rPr>
          <w:rFonts w:ascii="Calibri" w:eastAsia="Times New Roman" w:hAnsi="Calibri" w:cs="Arial"/>
          <w:highlight w:val="yellow"/>
          <w:lang w:val="en-US"/>
        </w:rPr>
      </w:pPr>
    </w:p>
    <w:p w14:paraId="152257EF" w14:textId="77777777" w:rsidR="00F052E2" w:rsidRPr="00537128" w:rsidRDefault="00F052E2" w:rsidP="00F052E2">
      <w:pPr>
        <w:spacing w:after="0" w:line="240" w:lineRule="auto"/>
        <w:jc w:val="both"/>
        <w:rPr>
          <w:rFonts w:ascii="Calibri" w:eastAsia="Times New Roman" w:hAnsi="Calibri" w:cs="Arial"/>
          <w:lang w:val="en-US"/>
        </w:rPr>
      </w:pPr>
      <w:r w:rsidRPr="00537128">
        <w:rPr>
          <w:rFonts w:ascii="Calibri" w:eastAsia="Times New Roman" w:hAnsi="Calibri" w:cs="Arial"/>
          <w:lang w:val="en-US"/>
        </w:rPr>
        <w:t>For exposures classified in risk stage 1 and for exposures due, EAD is equal to the current exposure.</w:t>
      </w:r>
    </w:p>
    <w:p w14:paraId="619435A0" w14:textId="77777777" w:rsidR="00F052E2" w:rsidRPr="00537128" w:rsidRDefault="00F052E2" w:rsidP="00F052E2">
      <w:pPr>
        <w:spacing w:after="0" w:line="240" w:lineRule="auto"/>
        <w:jc w:val="both"/>
        <w:rPr>
          <w:rFonts w:ascii="Calibri" w:eastAsia="Times New Roman" w:hAnsi="Calibri" w:cs="Arial"/>
          <w:lang w:val="en-US"/>
        </w:rPr>
      </w:pPr>
    </w:p>
    <w:p w14:paraId="0DDA381C" w14:textId="12567007" w:rsidR="00F052E2" w:rsidRPr="00537128" w:rsidRDefault="00F052E2" w:rsidP="00F052E2">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For exposures not yet due, lifelong EAD is calculated based on the repayment schedule, </w:t>
      </w:r>
      <w:proofErr w:type="gramStart"/>
      <w:r w:rsidRPr="00537128">
        <w:rPr>
          <w:rFonts w:ascii="Calibri" w:eastAsia="Times New Roman" w:hAnsi="Calibri" w:cs="Arial"/>
          <w:lang w:val="en-US"/>
        </w:rPr>
        <w:t>taking into account</w:t>
      </w:r>
      <w:proofErr w:type="gramEnd"/>
      <w:r w:rsidRPr="00537128">
        <w:rPr>
          <w:rFonts w:ascii="Calibri" w:eastAsia="Times New Roman" w:hAnsi="Calibri" w:cs="Arial"/>
          <w:lang w:val="en-US"/>
        </w:rPr>
        <w:t xml:space="preserve"> the amounts and the maturity period, but not later than until the final date of exposure maturity (tenor).</w:t>
      </w:r>
    </w:p>
    <w:p w14:paraId="5B3D60E5" w14:textId="77777777" w:rsidR="000A2933" w:rsidRPr="00537128" w:rsidRDefault="000A2933" w:rsidP="002C35CB">
      <w:pPr>
        <w:spacing w:after="0" w:line="240" w:lineRule="auto"/>
        <w:jc w:val="both"/>
        <w:rPr>
          <w:rFonts w:ascii="Calibri" w:eastAsia="Times New Roman" w:hAnsi="Calibri" w:cs="Arial"/>
          <w:color w:val="000000" w:themeColor="text1"/>
          <w:lang w:val="en-US"/>
        </w:rPr>
      </w:pPr>
    </w:p>
    <w:p w14:paraId="5CBB0BB4" w14:textId="77777777" w:rsidR="002C35CB" w:rsidRPr="00537128" w:rsidRDefault="002C35CB" w:rsidP="002C35CB">
      <w:pPr>
        <w:spacing w:after="0" w:line="240" w:lineRule="auto"/>
        <w:jc w:val="both"/>
        <w:rPr>
          <w:rFonts w:ascii="Calibri" w:eastAsia="Times New Roman" w:hAnsi="Calibri" w:cs="Times New Roman"/>
          <w:bCs/>
          <w:color w:val="000000" w:themeColor="text1"/>
          <w:lang w:val="en-US"/>
        </w:rPr>
        <w:sectPr w:rsidR="002C35CB" w:rsidRPr="00537128">
          <w:pgSz w:w="11906" w:h="16838"/>
          <w:pgMar w:top="1417" w:right="1417" w:bottom="1417" w:left="1417" w:header="708" w:footer="708" w:gutter="0"/>
          <w:cols w:space="708"/>
          <w:docGrid w:linePitch="360"/>
        </w:sectPr>
      </w:pPr>
    </w:p>
    <w:p w14:paraId="0EBCE26B" w14:textId="77777777" w:rsidR="002C35CB" w:rsidRPr="0049032C" w:rsidRDefault="002C35CB" w:rsidP="0049032C">
      <w:pPr>
        <w:tabs>
          <w:tab w:val="right" w:pos="1202"/>
          <w:tab w:val="left" w:pos="9180"/>
        </w:tabs>
        <w:spacing w:after="0" w:line="240" w:lineRule="auto"/>
        <w:jc w:val="both"/>
        <w:outlineLvl w:val="0"/>
        <w:rPr>
          <w:rFonts w:ascii="Calibri" w:eastAsia="Times New Roman" w:hAnsi="Calibri" w:cs="Arial"/>
          <w:color w:val="000000" w:themeColor="text1"/>
          <w:sz w:val="18"/>
          <w:szCs w:val="18"/>
          <w:lang w:val="en-US"/>
        </w:rPr>
      </w:pPr>
      <w:bookmarkStart w:id="609" w:name="_Hlk37060182"/>
    </w:p>
    <w:p w14:paraId="7F46D72B" w14:textId="4E1CB5F9" w:rsidR="002C35CB" w:rsidRPr="00537128" w:rsidRDefault="00951B0F" w:rsidP="002C35CB">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2C35CB" w:rsidRPr="00537128">
        <w:rPr>
          <w:rFonts w:ascii="Calibri" w:eastAsia="Times New Roman" w:hAnsi="Calibri" w:cs="Calibri"/>
          <w:b/>
          <w:bCs/>
          <w:color w:val="000000" w:themeColor="text1"/>
          <w:lang w:val="en-US" w:eastAsia="hr-HR"/>
        </w:rPr>
        <w:t>.</w:t>
      </w:r>
      <w:r w:rsidR="002C35CB" w:rsidRPr="00537128">
        <w:rPr>
          <w:rFonts w:ascii="Calibri" w:eastAsia="Times New Roman" w:hAnsi="Calibri" w:cs="Calibri"/>
          <w:b/>
          <w:bCs/>
          <w:color w:val="000000" w:themeColor="text1"/>
          <w:lang w:val="en-US"/>
        </w:rPr>
        <w:tab/>
        <w:t>Risk management (continued)</w:t>
      </w:r>
    </w:p>
    <w:p w14:paraId="5BB98494" w14:textId="77777777" w:rsidR="002C35CB" w:rsidRPr="0049032C" w:rsidRDefault="002C35CB" w:rsidP="002C35CB">
      <w:pPr>
        <w:tabs>
          <w:tab w:val="left" w:pos="709"/>
          <w:tab w:val="left" w:pos="851"/>
        </w:tabs>
        <w:spacing w:after="0" w:line="240" w:lineRule="auto"/>
        <w:jc w:val="both"/>
        <w:rPr>
          <w:rFonts w:ascii="Calibri" w:eastAsia="Times New Roman" w:hAnsi="Calibri" w:cs="Arial"/>
          <w:color w:val="000000" w:themeColor="text1"/>
          <w:sz w:val="20"/>
          <w:szCs w:val="20"/>
          <w:lang w:val="en-US"/>
        </w:rPr>
      </w:pPr>
    </w:p>
    <w:p w14:paraId="77201A9F" w14:textId="3E7DE6A7" w:rsidR="002C35CB" w:rsidRPr="00537128" w:rsidRDefault="00951B0F" w:rsidP="002C35CB">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2C35CB" w:rsidRPr="00537128">
        <w:rPr>
          <w:rFonts w:ascii="Calibri" w:eastAsia="Times New Roman" w:hAnsi="Calibri" w:cs="Arial"/>
          <w:b/>
          <w:color w:val="000000" w:themeColor="text1"/>
          <w:lang w:val="en-US"/>
        </w:rPr>
        <w:t>.3.   Credit risk (continued)</w:t>
      </w:r>
    </w:p>
    <w:p w14:paraId="25AA4571" w14:textId="77777777" w:rsidR="002C35CB" w:rsidRPr="0049032C" w:rsidRDefault="002C35CB" w:rsidP="002C35CB">
      <w:pPr>
        <w:tabs>
          <w:tab w:val="right" w:pos="1202"/>
          <w:tab w:val="left" w:pos="9180"/>
        </w:tabs>
        <w:spacing w:after="0" w:line="240" w:lineRule="auto"/>
        <w:jc w:val="both"/>
        <w:outlineLvl w:val="0"/>
        <w:rPr>
          <w:rFonts w:ascii="Calibri" w:eastAsia="Times New Roman" w:hAnsi="Calibri" w:cs="Arial"/>
          <w:color w:val="000000" w:themeColor="text1"/>
          <w:sz w:val="20"/>
          <w:szCs w:val="20"/>
          <w:lang w:val="en-US"/>
        </w:rPr>
      </w:pPr>
    </w:p>
    <w:p w14:paraId="1036C750" w14:textId="7F065C4C" w:rsidR="002C35CB" w:rsidRPr="00537128" w:rsidRDefault="00951B0F" w:rsidP="002C35CB">
      <w:pPr>
        <w:spacing w:after="0" w:line="300" w:lineRule="exact"/>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2C35CB" w:rsidRPr="00537128">
        <w:rPr>
          <w:rFonts w:ascii="Calibri" w:eastAsia="Calibri" w:hAnsi="Calibri" w:cs="Arial"/>
          <w:b/>
          <w:color w:val="000000" w:themeColor="text1"/>
          <w:lang w:val="en-US"/>
        </w:rPr>
        <w:t>.3.2. Impairment assessment (continued)</w:t>
      </w:r>
    </w:p>
    <w:p w14:paraId="2088F193" w14:textId="77777777" w:rsidR="002C35CB" w:rsidRPr="0049032C" w:rsidRDefault="002C35CB" w:rsidP="002C35CB">
      <w:pPr>
        <w:spacing w:after="0" w:line="240" w:lineRule="auto"/>
        <w:jc w:val="both"/>
        <w:rPr>
          <w:rFonts w:ascii="Calibri" w:eastAsia="Times New Roman" w:hAnsi="Calibri" w:cs="Times New Roman"/>
          <w:bCs/>
          <w:color w:val="000000" w:themeColor="text1"/>
          <w:sz w:val="18"/>
          <w:szCs w:val="18"/>
          <w:lang w:val="en-US"/>
        </w:rPr>
      </w:pPr>
    </w:p>
    <w:p w14:paraId="40A86001" w14:textId="320FC253" w:rsidR="00A92E1E" w:rsidRPr="00537128" w:rsidRDefault="00951B0F" w:rsidP="00A92E1E">
      <w:pPr>
        <w:spacing w:after="0" w:line="300" w:lineRule="exact"/>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A92E1E" w:rsidRPr="00537128">
        <w:rPr>
          <w:rFonts w:ascii="Calibri" w:eastAsia="Calibri" w:hAnsi="Calibri" w:cs="Arial"/>
          <w:b/>
          <w:color w:val="000000" w:themeColor="text1"/>
          <w:lang w:val="en-US"/>
        </w:rPr>
        <w:t>.3.2.4. Loss given default</w:t>
      </w:r>
    </w:p>
    <w:bookmarkEnd w:id="609"/>
    <w:p w14:paraId="79F332AA" w14:textId="77777777" w:rsidR="00F052E2" w:rsidRPr="0049032C" w:rsidRDefault="00F052E2" w:rsidP="00F052E2">
      <w:pPr>
        <w:spacing w:after="0" w:line="240" w:lineRule="auto"/>
        <w:jc w:val="both"/>
        <w:rPr>
          <w:rFonts w:ascii="Calibri" w:eastAsia="Times New Roman" w:hAnsi="Calibri" w:cs="Arial"/>
          <w:sz w:val="18"/>
          <w:szCs w:val="18"/>
          <w:lang w:val="en-US"/>
        </w:rPr>
      </w:pPr>
    </w:p>
    <w:p w14:paraId="7EF515F7" w14:textId="77777777" w:rsidR="009A0949" w:rsidRPr="00E920D3" w:rsidRDefault="009A0949" w:rsidP="009A0949">
      <w:pPr>
        <w:spacing w:after="0" w:line="240" w:lineRule="auto"/>
        <w:jc w:val="both"/>
        <w:rPr>
          <w:rFonts w:ascii="Calibri" w:hAnsi="Calibri" w:cs="Arial"/>
        </w:rPr>
      </w:pPr>
      <w:r w:rsidRPr="00E920D3">
        <w:rPr>
          <w:rFonts w:ascii="Calibri" w:hAnsi="Calibri" w:cs="Arial"/>
        </w:rPr>
        <w:t>For groups of direct borrowers and others, loss at the moment of occurrence of the status of non-fulfilment of obligations (Loss Given Default, hereinafter: LGD) is estimated based on transactions after the date of occurrence of loss given default. Each transaction is discounted on the date of occurrence of loss given default by an appropriate discount rate, and the discount factor depends on the time elapsed. All increases after the date of occurrence of loss given default are cumulated with an individual exposure. The result of the mentioned calculation is the collection rate for each exposure in a homogenous group, and the total collection rate for a single homogenous group is comprised of the weighted average of collection rates of all individual exposures.</w:t>
      </w:r>
    </w:p>
    <w:p w14:paraId="1B58A071" w14:textId="77777777" w:rsidR="009A0949" w:rsidRPr="0049032C" w:rsidRDefault="009A0949" w:rsidP="009A0949">
      <w:pPr>
        <w:spacing w:after="0" w:line="240" w:lineRule="auto"/>
        <w:jc w:val="both"/>
        <w:rPr>
          <w:rFonts w:ascii="Calibri" w:hAnsi="Calibri" w:cs="Arial"/>
          <w:sz w:val="14"/>
          <w:szCs w:val="14"/>
          <w:highlight w:val="yellow"/>
        </w:rPr>
      </w:pPr>
    </w:p>
    <w:p w14:paraId="320FBE55" w14:textId="77777777" w:rsidR="009A0949" w:rsidRPr="00E920D3" w:rsidRDefault="009A0949" w:rsidP="009A0949">
      <w:pPr>
        <w:autoSpaceDE w:val="0"/>
        <w:autoSpaceDN w:val="0"/>
        <w:adjustRightInd w:val="0"/>
        <w:spacing w:after="0" w:line="240" w:lineRule="auto"/>
        <w:jc w:val="both"/>
        <w:rPr>
          <w:rFonts w:ascii="Calibri" w:hAnsi="Calibri" w:cs="Arial"/>
        </w:rPr>
      </w:pPr>
      <w:r w:rsidRPr="00E920D3">
        <w:rPr>
          <w:rFonts w:ascii="Calibri" w:hAnsi="Calibri" w:cs="Arial"/>
        </w:rPr>
        <w:t xml:space="preserve">The probability of exit from the loss given default status is also taken into consideration in the calculation of LGD. </w:t>
      </w:r>
    </w:p>
    <w:p w14:paraId="21058DF6" w14:textId="77777777" w:rsidR="009A0949" w:rsidRPr="0049032C" w:rsidRDefault="009A0949" w:rsidP="009A0949">
      <w:pPr>
        <w:autoSpaceDE w:val="0"/>
        <w:autoSpaceDN w:val="0"/>
        <w:adjustRightInd w:val="0"/>
        <w:spacing w:after="0" w:line="240" w:lineRule="auto"/>
        <w:jc w:val="both"/>
        <w:rPr>
          <w:rFonts w:ascii="Calibri" w:hAnsi="Calibri" w:cs="Arial"/>
          <w:sz w:val="14"/>
          <w:szCs w:val="14"/>
          <w:highlight w:val="yellow"/>
        </w:rPr>
      </w:pPr>
    </w:p>
    <w:p w14:paraId="6D23C9FE" w14:textId="77777777" w:rsidR="009A0949" w:rsidRDefault="009A0949" w:rsidP="009A0949">
      <w:pPr>
        <w:autoSpaceDE w:val="0"/>
        <w:autoSpaceDN w:val="0"/>
        <w:adjustRightInd w:val="0"/>
        <w:spacing w:after="0" w:line="240" w:lineRule="auto"/>
        <w:jc w:val="both"/>
        <w:rPr>
          <w:rFonts w:ascii="Calibri" w:hAnsi="Calibri" w:cs="Arial"/>
        </w:rPr>
      </w:pPr>
      <w:r w:rsidRPr="00E920D3">
        <w:rPr>
          <w:rFonts w:ascii="Calibri" w:hAnsi="Calibri" w:cs="Arial"/>
        </w:rPr>
        <w:t>A report of external credit rating agencies is used as foundation for determining LGDs for the groups central government and local and regional government and financial institutions. In the annual reports on the occurrence of loss given default and collection status, credit rating agencies publish both historical and market rates of collection. The market rate of collection is the market price of a bond as compared to its value immediately before or at the moment of bond default. Based on market rates of collection for senior unsecured debt, issuer-weighted recovery rate is determined.</w:t>
      </w:r>
    </w:p>
    <w:p w14:paraId="32A5C56B" w14:textId="77777777" w:rsidR="00F052E2" w:rsidRPr="0049032C" w:rsidRDefault="00F052E2" w:rsidP="009A0949">
      <w:pPr>
        <w:spacing w:after="0" w:line="240" w:lineRule="auto"/>
        <w:jc w:val="both"/>
        <w:rPr>
          <w:rFonts w:ascii="Calibri" w:eastAsia="Calibri" w:hAnsi="Calibri" w:cs="Arial"/>
          <w:b/>
          <w:color w:val="000000" w:themeColor="text1"/>
          <w:sz w:val="18"/>
          <w:szCs w:val="18"/>
          <w:lang w:val="en-US"/>
        </w:rPr>
      </w:pPr>
    </w:p>
    <w:p w14:paraId="224F4228" w14:textId="00B5E4C8" w:rsidR="002C35CB" w:rsidRPr="00537128" w:rsidRDefault="00951B0F" w:rsidP="002C35CB">
      <w:pPr>
        <w:spacing w:after="0" w:line="300" w:lineRule="exact"/>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2C35CB" w:rsidRPr="00537128">
        <w:rPr>
          <w:rFonts w:ascii="Calibri" w:eastAsia="Calibri" w:hAnsi="Calibri" w:cs="Arial"/>
          <w:b/>
          <w:color w:val="000000" w:themeColor="text1"/>
          <w:lang w:val="en-US"/>
        </w:rPr>
        <w:t>.3.2.5. Significant increase in credit risk</w:t>
      </w:r>
    </w:p>
    <w:p w14:paraId="630357E7" w14:textId="77777777" w:rsidR="00E117C2" w:rsidRPr="0049032C" w:rsidRDefault="00E117C2" w:rsidP="00E117C2">
      <w:pPr>
        <w:keepNext/>
        <w:spacing w:after="0" w:line="240" w:lineRule="auto"/>
        <w:jc w:val="both"/>
        <w:rPr>
          <w:rFonts w:ascii="Calibri" w:eastAsia="Times New Roman" w:hAnsi="Calibri" w:cs="Arial"/>
          <w:b/>
          <w:bCs/>
          <w:sz w:val="14"/>
          <w:szCs w:val="14"/>
          <w:lang w:val="en-US"/>
        </w:rPr>
      </w:pPr>
    </w:p>
    <w:p w14:paraId="4ECD678F" w14:textId="77777777" w:rsidR="00B27459" w:rsidRPr="00E920D3" w:rsidRDefault="00B27459" w:rsidP="00B27459">
      <w:pPr>
        <w:jc w:val="both"/>
        <w:rPr>
          <w:rFonts w:cstheme="minorHAnsi"/>
          <w:bCs/>
        </w:rPr>
      </w:pPr>
      <w:r w:rsidRPr="00E920D3">
        <w:rPr>
          <w:rFonts w:cstheme="minorHAnsi"/>
        </w:rPr>
        <w:t xml:space="preserve">For the purpose of identifying an increased credit risk, changes for all clients of the </w:t>
      </w:r>
      <w:r>
        <w:rPr>
          <w:rFonts w:cstheme="minorHAnsi"/>
        </w:rPr>
        <w:t>Bank</w:t>
      </w:r>
      <w:r w:rsidRPr="00E920D3">
        <w:rPr>
          <w:rFonts w:cstheme="minorHAnsi"/>
        </w:rPr>
        <w:t xml:space="preserve"> are monitored continuously, but at least once a year. All placements to the client, where an increased credit risk has been identified or in case of individually significant clients, whose exposure exceeds HRK </w:t>
      </w:r>
      <w:r>
        <w:rPr>
          <w:rFonts w:cstheme="minorHAnsi"/>
        </w:rPr>
        <w:t>3,000</w:t>
      </w:r>
      <w:r w:rsidRPr="00E920D3">
        <w:rPr>
          <w:rFonts w:cstheme="minorHAnsi"/>
        </w:rPr>
        <w:t xml:space="preserve"> thousand and are on the client watch list, on the next reporting date, all financial instruments of the client with increased credit risk are classified to stage 2 based on the observed criteria such as:</w:t>
      </w:r>
    </w:p>
    <w:p w14:paraId="390AB0D7" w14:textId="77777777" w:rsidR="00B27459" w:rsidRPr="00E920D3" w:rsidRDefault="00B27459" w:rsidP="00B27459">
      <w:pPr>
        <w:numPr>
          <w:ilvl w:val="0"/>
          <w:numId w:val="33"/>
        </w:numPr>
        <w:spacing w:after="0" w:line="240" w:lineRule="auto"/>
        <w:jc w:val="both"/>
        <w:rPr>
          <w:rFonts w:cstheme="minorHAnsi"/>
          <w:bCs/>
        </w:rPr>
      </w:pPr>
      <w:r w:rsidRPr="00E920D3">
        <w:rPr>
          <w:rFonts w:cstheme="minorHAnsi"/>
        </w:rPr>
        <w:t xml:space="preserve">client’s delay in the settlement of any significant obligation due towards HBOR more than 30 days (and less than 90 days), </w:t>
      </w:r>
    </w:p>
    <w:p w14:paraId="6A2F046A" w14:textId="77777777" w:rsidR="00B27459" w:rsidRPr="00E920D3" w:rsidRDefault="00B27459" w:rsidP="00B27459">
      <w:pPr>
        <w:numPr>
          <w:ilvl w:val="0"/>
          <w:numId w:val="33"/>
        </w:numPr>
        <w:spacing w:after="0" w:line="240" w:lineRule="auto"/>
        <w:jc w:val="both"/>
        <w:rPr>
          <w:rFonts w:cstheme="minorHAnsi"/>
          <w:bCs/>
        </w:rPr>
      </w:pPr>
      <w:r w:rsidRPr="00E920D3">
        <w:rPr>
          <w:rFonts w:cstheme="minorHAnsi"/>
        </w:rPr>
        <w:t xml:space="preserve">the client is in financial difficulties, but is not in LGD status, </w:t>
      </w:r>
    </w:p>
    <w:p w14:paraId="28C94E52" w14:textId="77777777" w:rsidR="00B27459" w:rsidRPr="00E920D3" w:rsidRDefault="00B27459" w:rsidP="00B27459">
      <w:pPr>
        <w:numPr>
          <w:ilvl w:val="0"/>
          <w:numId w:val="33"/>
        </w:numPr>
        <w:spacing w:after="0" w:line="240" w:lineRule="auto"/>
        <w:jc w:val="both"/>
        <w:rPr>
          <w:rFonts w:cstheme="minorHAnsi"/>
          <w:bCs/>
        </w:rPr>
      </w:pPr>
      <w:r w:rsidRPr="00E920D3">
        <w:rPr>
          <w:rFonts w:cstheme="minorHAnsi"/>
        </w:rPr>
        <w:t>deterioration of rating, low credit rating of the client,</w:t>
      </w:r>
    </w:p>
    <w:p w14:paraId="4DCE6446" w14:textId="77777777" w:rsidR="00B27459" w:rsidRPr="00E920D3" w:rsidRDefault="00B27459" w:rsidP="00B27459">
      <w:pPr>
        <w:numPr>
          <w:ilvl w:val="0"/>
          <w:numId w:val="33"/>
        </w:numPr>
        <w:spacing w:after="0" w:line="240" w:lineRule="auto"/>
        <w:jc w:val="both"/>
        <w:rPr>
          <w:rFonts w:cstheme="minorHAnsi"/>
          <w:bCs/>
        </w:rPr>
      </w:pPr>
      <w:r w:rsidRPr="00E920D3">
        <w:rPr>
          <w:rFonts w:cstheme="minorHAnsi"/>
        </w:rPr>
        <w:t>non-compliance with contractual provisions</w:t>
      </w:r>
    </w:p>
    <w:p w14:paraId="01E9AC06" w14:textId="77777777" w:rsidR="00B27459" w:rsidRPr="004663E6" w:rsidRDefault="00B27459" w:rsidP="00B27459">
      <w:pPr>
        <w:numPr>
          <w:ilvl w:val="0"/>
          <w:numId w:val="33"/>
        </w:numPr>
        <w:spacing w:after="0" w:line="240" w:lineRule="auto"/>
        <w:jc w:val="both"/>
        <w:rPr>
          <w:rFonts w:cstheme="minorHAnsi"/>
          <w:bCs/>
        </w:rPr>
      </w:pPr>
      <w:r w:rsidRPr="00E920D3">
        <w:rPr>
          <w:rFonts w:cstheme="minorHAnsi"/>
        </w:rPr>
        <w:t>loss of key buyers or suppliers</w:t>
      </w:r>
      <w:r>
        <w:rPr>
          <w:rFonts w:cstheme="minorHAnsi"/>
        </w:rPr>
        <w:t xml:space="preserve"> etc.</w:t>
      </w:r>
    </w:p>
    <w:p w14:paraId="79B333F0" w14:textId="77777777" w:rsidR="00F37066" w:rsidRPr="0049032C" w:rsidRDefault="00F37066" w:rsidP="00F37066">
      <w:pPr>
        <w:spacing w:after="0" w:line="240" w:lineRule="auto"/>
        <w:jc w:val="both"/>
        <w:rPr>
          <w:rFonts w:cs="Arial"/>
          <w:sz w:val="16"/>
          <w:szCs w:val="16"/>
        </w:rPr>
      </w:pPr>
    </w:p>
    <w:p w14:paraId="05B47016" w14:textId="0B0C80BB" w:rsidR="00F37066" w:rsidRPr="00F37066" w:rsidRDefault="00F37066" w:rsidP="00F37066">
      <w:pPr>
        <w:spacing w:after="0" w:line="240" w:lineRule="auto"/>
        <w:jc w:val="both"/>
        <w:rPr>
          <w:rFonts w:cs="Arial"/>
        </w:rPr>
      </w:pPr>
      <w:r w:rsidRPr="00F37066">
        <w:rPr>
          <w:rFonts w:cs="Arial"/>
        </w:rPr>
        <w:t>Exit from the increased credit risk status is conditional on non-existence of all the criteria based on which the client has been grouped into the respective status upon the occurrence of the risk, and verification of all indicators is made at least once a year within the framework of the annual monitoring of the client. Deactivation of a portion of indicators can be carried out after six months. Indicators of an increased credit risk are active for a year, after which they have to be checked, and based on the monitoring results, either reactivated or deactivated. The result of any change is either the reclassification of financial instruments of the client to stage 1 or its stay in stage 2.</w:t>
      </w:r>
    </w:p>
    <w:p w14:paraId="68B021BE" w14:textId="77777777" w:rsidR="002C35CB" w:rsidRPr="00537128" w:rsidRDefault="002C35CB" w:rsidP="002C35CB">
      <w:pPr>
        <w:spacing w:after="0" w:line="240" w:lineRule="auto"/>
        <w:jc w:val="both"/>
        <w:rPr>
          <w:rFonts w:ascii="Calibri" w:eastAsia="Times New Roman" w:hAnsi="Calibri" w:cs="Times New Roman"/>
          <w:bCs/>
          <w:color w:val="000000" w:themeColor="text1"/>
          <w:lang w:val="en-US"/>
        </w:rPr>
        <w:sectPr w:rsidR="002C35CB" w:rsidRPr="00537128">
          <w:pgSz w:w="11906" w:h="16838"/>
          <w:pgMar w:top="1417" w:right="1417" w:bottom="1417" w:left="1417" w:header="708" w:footer="708" w:gutter="0"/>
          <w:cols w:space="708"/>
          <w:docGrid w:linePitch="360"/>
        </w:sectPr>
      </w:pPr>
    </w:p>
    <w:p w14:paraId="480B53E9" w14:textId="77777777" w:rsidR="002C35CB" w:rsidRPr="00537128" w:rsidRDefault="002C35CB" w:rsidP="002C35CB">
      <w:pPr>
        <w:tabs>
          <w:tab w:val="right" w:pos="1202"/>
          <w:tab w:val="left" w:pos="9180"/>
        </w:tabs>
        <w:spacing w:after="0" w:line="240" w:lineRule="auto"/>
        <w:jc w:val="both"/>
        <w:outlineLvl w:val="0"/>
        <w:rPr>
          <w:rFonts w:ascii="Calibri" w:eastAsia="Times New Roman" w:hAnsi="Calibri" w:cs="Arial"/>
          <w:color w:val="000000" w:themeColor="text1"/>
          <w:sz w:val="14"/>
          <w:szCs w:val="18"/>
          <w:lang w:val="en-US"/>
        </w:rPr>
      </w:pPr>
    </w:p>
    <w:p w14:paraId="759EDBF8" w14:textId="5D167AA9" w:rsidR="002C35CB" w:rsidRPr="00537128" w:rsidRDefault="00951B0F" w:rsidP="002C35CB">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2C35CB" w:rsidRPr="00537128">
        <w:rPr>
          <w:rFonts w:ascii="Calibri" w:eastAsia="Times New Roman" w:hAnsi="Calibri" w:cs="Calibri"/>
          <w:b/>
          <w:bCs/>
          <w:color w:val="000000" w:themeColor="text1"/>
          <w:lang w:val="en-US" w:eastAsia="hr-HR"/>
        </w:rPr>
        <w:t>.</w:t>
      </w:r>
      <w:r w:rsidR="002C35CB" w:rsidRPr="00537128">
        <w:rPr>
          <w:rFonts w:ascii="Calibri" w:eastAsia="Times New Roman" w:hAnsi="Calibri" w:cs="Calibri"/>
          <w:b/>
          <w:bCs/>
          <w:color w:val="000000" w:themeColor="text1"/>
          <w:lang w:val="en-US"/>
        </w:rPr>
        <w:tab/>
        <w:t>Risk management (continued)</w:t>
      </w:r>
    </w:p>
    <w:p w14:paraId="6A69C07D" w14:textId="77777777" w:rsidR="002C35CB" w:rsidRPr="00537128" w:rsidRDefault="002C35CB" w:rsidP="002C35CB">
      <w:pPr>
        <w:tabs>
          <w:tab w:val="left" w:pos="709"/>
          <w:tab w:val="left" w:pos="851"/>
        </w:tabs>
        <w:spacing w:after="0" w:line="240" w:lineRule="auto"/>
        <w:jc w:val="both"/>
        <w:rPr>
          <w:rFonts w:ascii="Calibri" w:eastAsia="Times New Roman" w:hAnsi="Calibri" w:cs="Arial"/>
          <w:color w:val="000000" w:themeColor="text1"/>
          <w:lang w:val="en-US"/>
        </w:rPr>
      </w:pPr>
    </w:p>
    <w:p w14:paraId="760A5DF0" w14:textId="426C9377" w:rsidR="002C35CB" w:rsidRPr="00537128" w:rsidRDefault="00951B0F" w:rsidP="002C35CB">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2C35CB" w:rsidRPr="00537128">
        <w:rPr>
          <w:rFonts w:ascii="Calibri" w:eastAsia="Times New Roman" w:hAnsi="Calibri" w:cs="Arial"/>
          <w:b/>
          <w:color w:val="000000" w:themeColor="text1"/>
          <w:lang w:val="en-US"/>
        </w:rPr>
        <w:t>.3.   Credit risk (continued)</w:t>
      </w:r>
    </w:p>
    <w:p w14:paraId="06C2BAED" w14:textId="77777777" w:rsidR="002C35CB" w:rsidRPr="00537128" w:rsidRDefault="002C35CB" w:rsidP="002C35CB">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7789B796" w14:textId="5A621B03" w:rsidR="002C35CB" w:rsidRPr="00537128" w:rsidRDefault="00951B0F" w:rsidP="002C35CB">
      <w:pPr>
        <w:spacing w:after="0" w:line="300" w:lineRule="exact"/>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2C35CB" w:rsidRPr="00537128">
        <w:rPr>
          <w:rFonts w:ascii="Calibri" w:eastAsia="Calibri" w:hAnsi="Calibri" w:cs="Arial"/>
          <w:b/>
          <w:color w:val="000000" w:themeColor="text1"/>
          <w:lang w:val="en-US"/>
        </w:rPr>
        <w:t>.3.2. Impairment assessment (continued)</w:t>
      </w:r>
    </w:p>
    <w:p w14:paraId="7954FD1C" w14:textId="77777777" w:rsidR="000A2933" w:rsidRPr="00537128" w:rsidRDefault="000A2933" w:rsidP="000A2933">
      <w:pPr>
        <w:spacing w:after="0" w:line="300" w:lineRule="exact"/>
        <w:jc w:val="both"/>
        <w:rPr>
          <w:rFonts w:ascii="Calibri" w:eastAsia="Calibri" w:hAnsi="Calibri" w:cs="Arial"/>
          <w:b/>
          <w:color w:val="000000" w:themeColor="text1"/>
          <w:lang w:val="en-US"/>
        </w:rPr>
      </w:pPr>
    </w:p>
    <w:p w14:paraId="4C7F12AF" w14:textId="00B339AE" w:rsidR="000A2933" w:rsidRPr="00537128" w:rsidRDefault="00951B0F" w:rsidP="000A2933">
      <w:pPr>
        <w:spacing w:after="0" w:line="300" w:lineRule="exact"/>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0A2933" w:rsidRPr="00537128">
        <w:rPr>
          <w:rFonts w:ascii="Calibri" w:eastAsia="Calibri" w:hAnsi="Calibri" w:cs="Arial"/>
          <w:b/>
          <w:color w:val="000000" w:themeColor="text1"/>
          <w:lang w:val="en-US"/>
        </w:rPr>
        <w:t>.3.2.5. Significant increase in credit risk (continued)</w:t>
      </w:r>
    </w:p>
    <w:p w14:paraId="7E3989AE" w14:textId="77777777" w:rsidR="00E117C2" w:rsidRPr="00537128" w:rsidRDefault="00E117C2" w:rsidP="00F33295">
      <w:pPr>
        <w:spacing w:after="0" w:line="240" w:lineRule="auto"/>
        <w:jc w:val="both"/>
        <w:rPr>
          <w:rFonts w:ascii="Calibri" w:eastAsia="Times New Roman" w:hAnsi="Calibri" w:cs="Arial"/>
          <w:b/>
          <w:lang w:val="en-US"/>
        </w:rPr>
      </w:pPr>
    </w:p>
    <w:p w14:paraId="55161B79" w14:textId="77777777" w:rsidR="00F33295" w:rsidRPr="00E920D3" w:rsidRDefault="00F33295" w:rsidP="00F33295">
      <w:pPr>
        <w:spacing w:after="0" w:line="240" w:lineRule="auto"/>
        <w:jc w:val="both"/>
        <w:rPr>
          <w:rFonts w:cs="Arial"/>
        </w:rPr>
      </w:pPr>
      <w:r w:rsidRPr="00E920D3">
        <w:rPr>
          <w:rFonts w:cs="Arial"/>
        </w:rPr>
        <w:t>Financial instruments of the client with an investment rating of external credit rating agencies are deemed financial instruments of low credit risk. All exposures to the Republic of Croatia and units of local and regional government (ULRG), the Croatian National Bank, the European Investment Bank (EIB) and other development banks are also deemed financial instruments of clients with low credit risk. Financial instruments of clients with low credit risk are always grouped into stage 1.</w:t>
      </w:r>
    </w:p>
    <w:p w14:paraId="0532736F" w14:textId="77777777" w:rsidR="00E117C2" w:rsidRPr="00537128" w:rsidRDefault="00E117C2" w:rsidP="00F33295">
      <w:pPr>
        <w:spacing w:after="0" w:line="240" w:lineRule="auto"/>
        <w:jc w:val="both"/>
        <w:rPr>
          <w:rFonts w:ascii="Calibri" w:eastAsia="Times New Roman" w:hAnsi="Calibri" w:cs="Arial"/>
          <w:b/>
          <w:color w:val="000000" w:themeColor="text1"/>
          <w:lang w:val="en-US"/>
        </w:rPr>
      </w:pPr>
    </w:p>
    <w:p w14:paraId="2659E59D" w14:textId="76B877CA" w:rsidR="000A2933" w:rsidRPr="00537128" w:rsidRDefault="00951B0F" w:rsidP="00F33295">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0A2933" w:rsidRPr="00537128">
        <w:rPr>
          <w:rFonts w:ascii="Calibri" w:eastAsia="Times New Roman" w:hAnsi="Calibri" w:cs="Arial"/>
          <w:b/>
          <w:color w:val="000000" w:themeColor="text1"/>
          <w:lang w:val="en-US"/>
        </w:rPr>
        <w:t>.3.2.6. Grouping financial assets measured on a collective basis</w:t>
      </w:r>
    </w:p>
    <w:p w14:paraId="321F05AB" w14:textId="77777777" w:rsidR="00E117C2" w:rsidRPr="00537128" w:rsidRDefault="00E117C2" w:rsidP="00E117C2">
      <w:pPr>
        <w:spacing w:after="0" w:line="240" w:lineRule="auto"/>
        <w:jc w:val="both"/>
        <w:rPr>
          <w:rFonts w:ascii="Calibri" w:eastAsia="Times New Roman" w:hAnsi="Calibri" w:cs="Arial"/>
          <w:lang w:val="en-US"/>
        </w:rPr>
      </w:pPr>
    </w:p>
    <w:p w14:paraId="715C2079" w14:textId="77777777" w:rsidR="00162BB8" w:rsidRDefault="00162BB8" w:rsidP="004C2F1E">
      <w:pPr>
        <w:autoSpaceDE w:val="0"/>
        <w:autoSpaceDN w:val="0"/>
        <w:adjustRightInd w:val="0"/>
        <w:spacing w:after="0" w:line="240" w:lineRule="auto"/>
        <w:jc w:val="both"/>
        <w:rPr>
          <w:rFonts w:ascii="Calibri" w:hAnsi="Calibri" w:cs="Arial"/>
        </w:rPr>
      </w:pPr>
      <w:r w:rsidRPr="00E920D3">
        <w:rPr>
          <w:rFonts w:ascii="Calibri" w:hAnsi="Calibri" w:cs="Arial"/>
        </w:rPr>
        <w:t xml:space="preserve">Credit risk is evaluated on a collective basis for all clients classified into risk stages 1 and 2 as well as for clients in the risk stage 3 belonging to the small loan portfolio. The clients belonging to the small loan portfolio are clients to which HBOR is exposed in the gross amount that is equal or less than HRK </w:t>
      </w:r>
      <w:r>
        <w:rPr>
          <w:rFonts w:ascii="Calibri" w:hAnsi="Calibri" w:cs="Arial"/>
        </w:rPr>
        <w:t>3</w:t>
      </w:r>
      <w:r w:rsidRPr="00E920D3">
        <w:rPr>
          <w:rFonts w:ascii="Calibri" w:hAnsi="Calibri" w:cs="Arial"/>
        </w:rPr>
        <w:t>,</w:t>
      </w:r>
      <w:r>
        <w:rPr>
          <w:rFonts w:ascii="Calibri" w:hAnsi="Calibri" w:cs="Arial"/>
        </w:rPr>
        <w:t>0</w:t>
      </w:r>
      <w:r w:rsidRPr="00E920D3">
        <w:rPr>
          <w:rFonts w:ascii="Calibri" w:hAnsi="Calibri" w:cs="Arial"/>
        </w:rPr>
        <w:t>00 thousand.</w:t>
      </w:r>
    </w:p>
    <w:p w14:paraId="7656A622" w14:textId="77777777" w:rsidR="00162BB8" w:rsidRDefault="00162BB8" w:rsidP="004C2F1E">
      <w:pPr>
        <w:autoSpaceDE w:val="0"/>
        <w:autoSpaceDN w:val="0"/>
        <w:adjustRightInd w:val="0"/>
        <w:spacing w:after="0" w:line="240" w:lineRule="auto"/>
        <w:jc w:val="both"/>
        <w:rPr>
          <w:rFonts w:ascii="Calibri" w:hAnsi="Calibri" w:cs="Arial"/>
        </w:rPr>
      </w:pPr>
    </w:p>
    <w:p w14:paraId="75306102" w14:textId="77777777" w:rsidR="00162BB8" w:rsidRPr="00EA22B8" w:rsidRDefault="00162BB8" w:rsidP="004C2F1E">
      <w:pPr>
        <w:spacing w:after="0" w:line="240" w:lineRule="auto"/>
        <w:jc w:val="both"/>
        <w:rPr>
          <w:rFonts w:eastAsia="Calibri" w:cstheme="minorHAnsi"/>
          <w:sz w:val="20"/>
          <w:szCs w:val="20"/>
        </w:rPr>
      </w:pPr>
      <w:r w:rsidRPr="00E920D3">
        <w:rPr>
          <w:rFonts w:eastAsia="Calibri" w:cstheme="minorHAnsi"/>
        </w:rPr>
        <w:t>For the purpose of identifying a significant increase in credit risk and recognition of loss allowances for impairment on a collective basis, financial instruments are grouped into the following groups, based on the common features of credit risk, for the purpose of easier evaluation of a significant increase in credit risk:</w:t>
      </w:r>
    </w:p>
    <w:p w14:paraId="5C0670E7" w14:textId="77777777" w:rsidR="00162BB8" w:rsidRPr="001842D7" w:rsidRDefault="00162BB8" w:rsidP="004C2F1E">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themeColor="text1"/>
          <w:lang w:eastAsia="hr-HR" w:bidi="hr-HR"/>
        </w:rPr>
      </w:pPr>
      <w:r w:rsidRPr="001842D7">
        <w:rPr>
          <w:rFonts w:ascii="Calibri" w:eastAsia="PMingLiU" w:hAnsi="Calibri" w:cs="Calibri"/>
          <w:color w:val="000000" w:themeColor="text1"/>
          <w:lang w:eastAsia="hr-HR" w:bidi="hr-HR"/>
        </w:rPr>
        <w:t>financial institutions,</w:t>
      </w:r>
    </w:p>
    <w:p w14:paraId="7E262C66" w14:textId="362608A7" w:rsidR="00162BB8" w:rsidRDefault="00162BB8" w:rsidP="004C2F1E">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themeColor="text1"/>
          <w:lang w:eastAsia="hr-HR" w:bidi="hr-HR"/>
        </w:rPr>
      </w:pPr>
      <w:r w:rsidRPr="001842D7">
        <w:rPr>
          <w:rFonts w:ascii="Calibri" w:eastAsia="PMingLiU" w:hAnsi="Calibri" w:cs="Calibri"/>
          <w:color w:val="000000" w:themeColor="text1"/>
          <w:lang w:eastAsia="hr-HR" w:bidi="hr-HR"/>
        </w:rPr>
        <w:t>central government and local and regional government,</w:t>
      </w:r>
    </w:p>
    <w:p w14:paraId="1CFF07A9" w14:textId="76598252" w:rsidR="00E117C2" w:rsidRPr="00E82A29" w:rsidRDefault="00162BB8" w:rsidP="004C2F1E">
      <w:pPr>
        <w:numPr>
          <w:ilvl w:val="1"/>
          <w:numId w:val="34"/>
        </w:numPr>
        <w:tabs>
          <w:tab w:val="num" w:pos="1040"/>
          <w:tab w:val="left" w:pos="8640"/>
        </w:tabs>
        <w:spacing w:after="0" w:line="240" w:lineRule="auto"/>
        <w:ind w:left="993" w:right="57"/>
        <w:contextualSpacing/>
        <w:jc w:val="both"/>
        <w:rPr>
          <w:rFonts w:ascii="Calibri" w:eastAsia="PMingLiU" w:hAnsi="Calibri" w:cs="Calibri"/>
          <w:color w:val="000000" w:themeColor="text1"/>
          <w:lang w:eastAsia="hr-HR" w:bidi="hr-HR"/>
        </w:rPr>
      </w:pPr>
      <w:r w:rsidRPr="00E82A29">
        <w:rPr>
          <w:rFonts w:ascii="Calibri" w:eastAsia="PMingLiU" w:hAnsi="Calibri" w:cs="Calibri"/>
          <w:color w:val="000000" w:themeColor="text1"/>
          <w:lang w:eastAsia="hr-HR" w:bidi="hr-HR"/>
        </w:rPr>
        <w:t>direct borrowers – large,</w:t>
      </w:r>
    </w:p>
    <w:p w14:paraId="119ED22F" w14:textId="77777777" w:rsidR="00E82A29" w:rsidRPr="001842D7" w:rsidRDefault="00E82A29" w:rsidP="004C2F1E">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themeColor="text1"/>
          <w:lang w:eastAsia="hr-HR" w:bidi="hr-HR"/>
        </w:rPr>
      </w:pPr>
      <w:r w:rsidRPr="001842D7">
        <w:rPr>
          <w:rFonts w:ascii="Calibri" w:eastAsia="PMingLiU" w:hAnsi="Calibri" w:cs="Calibri"/>
          <w:color w:val="000000" w:themeColor="text1"/>
          <w:lang w:eastAsia="hr-HR" w:bidi="hr-HR"/>
        </w:rPr>
        <w:t>direct borrowers – small and medium-sized,</w:t>
      </w:r>
    </w:p>
    <w:p w14:paraId="14F220AE" w14:textId="77777777" w:rsidR="00E82A29" w:rsidRPr="001842D7" w:rsidRDefault="00E82A29" w:rsidP="004C2F1E">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themeColor="text1"/>
          <w:lang w:eastAsia="hr-HR" w:bidi="hr-HR"/>
        </w:rPr>
      </w:pPr>
      <w:r w:rsidRPr="001842D7">
        <w:rPr>
          <w:rFonts w:ascii="Calibri" w:eastAsia="PMingLiU" w:hAnsi="Calibri" w:cs="Calibri"/>
          <w:color w:val="000000" w:themeColor="text1"/>
          <w:lang w:eastAsia="hr-HR" w:bidi="hr-HR"/>
        </w:rPr>
        <w:t>direct borrowers – micro,</w:t>
      </w:r>
    </w:p>
    <w:p w14:paraId="27DC7141" w14:textId="77777777" w:rsidR="00E82A29" w:rsidRPr="001842D7" w:rsidRDefault="00E82A29" w:rsidP="00E82A29">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themeColor="text1"/>
          <w:lang w:eastAsia="hr-HR" w:bidi="hr-HR"/>
        </w:rPr>
      </w:pPr>
      <w:r w:rsidRPr="001842D7">
        <w:rPr>
          <w:rFonts w:ascii="Calibri" w:eastAsia="PMingLiU" w:hAnsi="Calibri" w:cs="Calibri"/>
          <w:color w:val="000000" w:themeColor="text1"/>
          <w:lang w:eastAsia="hr-HR" w:bidi="hr-HR"/>
        </w:rPr>
        <w:t>direct borrowers – citizens,</w:t>
      </w:r>
    </w:p>
    <w:p w14:paraId="4EF18D60" w14:textId="77777777" w:rsidR="00E82A29" w:rsidRDefault="00E82A29" w:rsidP="00E82A29">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themeColor="text1"/>
          <w:lang w:eastAsia="hr-HR" w:bidi="hr-HR"/>
        </w:rPr>
      </w:pPr>
      <w:r w:rsidRPr="001842D7">
        <w:rPr>
          <w:rFonts w:ascii="Calibri" w:eastAsia="PMingLiU" w:hAnsi="Calibri" w:cs="Calibri"/>
          <w:color w:val="000000" w:themeColor="text1"/>
          <w:lang w:eastAsia="hr-HR" w:bidi="hr-HR"/>
        </w:rPr>
        <w:t>others.</w:t>
      </w:r>
    </w:p>
    <w:p w14:paraId="7071E5CD" w14:textId="77777777" w:rsidR="00A94514" w:rsidRPr="00537128" w:rsidRDefault="00A94514" w:rsidP="00162BB8">
      <w:pPr>
        <w:spacing w:after="0" w:line="240" w:lineRule="auto"/>
        <w:jc w:val="both"/>
        <w:rPr>
          <w:rFonts w:ascii="Calibri" w:eastAsia="Calibri" w:hAnsi="Calibri" w:cs="Calibri"/>
          <w:lang w:val="en-US"/>
        </w:rPr>
      </w:pPr>
    </w:p>
    <w:p w14:paraId="59DC105A" w14:textId="77777777" w:rsidR="004E564D" w:rsidRPr="00E920D3" w:rsidRDefault="004E564D" w:rsidP="004E564D">
      <w:pPr>
        <w:keepNext/>
        <w:jc w:val="both"/>
        <w:rPr>
          <w:rFonts w:ascii="Calibri" w:hAnsi="Calibri" w:cs="Arial"/>
        </w:rPr>
      </w:pPr>
      <w:r w:rsidRPr="00E920D3">
        <w:rPr>
          <w:rFonts w:ascii="Calibri" w:hAnsi="Calibri" w:cs="Arial"/>
        </w:rPr>
        <w:t>By grouping financial instruments into homogeneous groups, it is ensured that in case of a significant increase in credit risk, the goal of recognising expected credit losses during the entire lifetime of a financial instrument is attained, even if the evidence on such significant increase in credit risk is still not available on the level of an individual instrument.</w:t>
      </w:r>
    </w:p>
    <w:p w14:paraId="627A7B3E" w14:textId="77777777" w:rsidR="00E117C2" w:rsidRPr="00537128" w:rsidRDefault="00E117C2" w:rsidP="00E117C2">
      <w:pPr>
        <w:spacing w:after="0" w:line="240" w:lineRule="auto"/>
        <w:jc w:val="both"/>
        <w:rPr>
          <w:rFonts w:ascii="Calibri" w:eastAsia="Calibri" w:hAnsi="Calibri" w:cs="Calibri"/>
          <w:lang w:val="en-US"/>
        </w:rPr>
      </w:pPr>
    </w:p>
    <w:p w14:paraId="1246F44D" w14:textId="112FAFA1" w:rsidR="00E117C2" w:rsidRPr="00537128" w:rsidRDefault="00E117C2" w:rsidP="00E117C2">
      <w:pPr>
        <w:keepNext/>
        <w:spacing w:after="0" w:line="240" w:lineRule="auto"/>
        <w:jc w:val="both"/>
        <w:rPr>
          <w:rFonts w:ascii="Calibri" w:eastAsia="Times New Roman" w:hAnsi="Calibri" w:cs="Arial"/>
          <w:lang w:val="en-US"/>
        </w:rPr>
        <w:sectPr w:rsidR="00E117C2" w:rsidRPr="00537128">
          <w:pgSz w:w="11906" w:h="16838"/>
          <w:pgMar w:top="1417" w:right="1417" w:bottom="1417" w:left="1417" w:header="708" w:footer="708" w:gutter="0"/>
          <w:cols w:space="708"/>
          <w:docGrid w:linePitch="360"/>
        </w:sectPr>
      </w:pPr>
    </w:p>
    <w:p w14:paraId="7622AE41" w14:textId="77777777" w:rsidR="008F23FD" w:rsidRPr="00537128" w:rsidRDefault="008F23FD" w:rsidP="008F23FD">
      <w:pPr>
        <w:spacing w:after="0" w:line="240" w:lineRule="auto"/>
        <w:jc w:val="both"/>
        <w:rPr>
          <w:rFonts w:ascii="Calibri" w:eastAsia="Times New Roman" w:hAnsi="Calibri" w:cs="Calibri"/>
          <w:b/>
          <w:bCs/>
          <w:color w:val="000000" w:themeColor="text1"/>
          <w:lang w:val="en-US" w:eastAsia="hr-HR"/>
        </w:rPr>
      </w:pPr>
    </w:p>
    <w:p w14:paraId="2B83DBFD" w14:textId="1DD86756" w:rsidR="0049306D" w:rsidRPr="00537128" w:rsidRDefault="00951B0F">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49306D" w:rsidRPr="00537128">
        <w:rPr>
          <w:rFonts w:ascii="Calibri" w:eastAsia="Times New Roman" w:hAnsi="Calibri" w:cs="Calibri"/>
          <w:b/>
          <w:bCs/>
          <w:color w:val="000000" w:themeColor="text1"/>
          <w:lang w:val="en-US" w:eastAsia="hr-HR"/>
        </w:rPr>
        <w:t>.</w:t>
      </w:r>
      <w:r w:rsidR="0049306D" w:rsidRPr="00537128">
        <w:rPr>
          <w:rFonts w:ascii="Calibri" w:eastAsia="Times New Roman" w:hAnsi="Calibri" w:cs="Calibri"/>
          <w:b/>
          <w:bCs/>
          <w:color w:val="000000" w:themeColor="text1"/>
          <w:lang w:val="en-US"/>
        </w:rPr>
        <w:tab/>
        <w:t>Risk management (continued)</w:t>
      </w:r>
    </w:p>
    <w:p w14:paraId="7C9B53CB" w14:textId="77777777" w:rsidR="0049306D" w:rsidRPr="00537128" w:rsidRDefault="0049306D" w:rsidP="0049306D">
      <w:pPr>
        <w:tabs>
          <w:tab w:val="left" w:pos="709"/>
          <w:tab w:val="left" w:pos="851"/>
        </w:tabs>
        <w:spacing w:after="0" w:line="240" w:lineRule="auto"/>
        <w:jc w:val="both"/>
        <w:rPr>
          <w:rFonts w:ascii="Calibri" w:eastAsia="Times New Roman" w:hAnsi="Calibri" w:cs="Arial"/>
          <w:color w:val="000000" w:themeColor="text1"/>
          <w:lang w:val="en-US"/>
        </w:rPr>
      </w:pPr>
    </w:p>
    <w:p w14:paraId="6DEA9F9C" w14:textId="1201234A" w:rsidR="0049306D" w:rsidRPr="00537128" w:rsidRDefault="00951B0F" w:rsidP="0049306D">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49306D" w:rsidRPr="00537128">
        <w:rPr>
          <w:rFonts w:ascii="Calibri" w:eastAsia="Times New Roman" w:hAnsi="Calibri" w:cs="Arial"/>
          <w:b/>
          <w:color w:val="000000" w:themeColor="text1"/>
          <w:lang w:val="en-US"/>
        </w:rPr>
        <w:t>.3.   Credit risk (continued)</w:t>
      </w:r>
    </w:p>
    <w:p w14:paraId="5CFA1017" w14:textId="77777777" w:rsidR="0049306D" w:rsidRPr="00537128" w:rsidRDefault="0049306D" w:rsidP="002C35CB">
      <w:pPr>
        <w:spacing w:after="0" w:line="240" w:lineRule="auto"/>
        <w:rPr>
          <w:rFonts w:ascii="Calibri" w:eastAsia="Calibri" w:hAnsi="Calibri" w:cs="Arial"/>
          <w:b/>
          <w:color w:val="000000" w:themeColor="text1"/>
          <w:lang w:val="en-US"/>
        </w:rPr>
      </w:pPr>
    </w:p>
    <w:p w14:paraId="00483C45" w14:textId="50B38794" w:rsidR="002C35CB" w:rsidRPr="00537128" w:rsidRDefault="002C35CB" w:rsidP="002C35CB">
      <w:pPr>
        <w:spacing w:after="0" w:line="240" w:lineRule="auto"/>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sidR="00951B0F">
        <w:rPr>
          <w:rFonts w:ascii="Calibri" w:eastAsia="Calibri" w:hAnsi="Calibri" w:cs="Arial"/>
          <w:b/>
          <w:color w:val="000000" w:themeColor="text1"/>
          <w:lang w:val="en-US"/>
        </w:rPr>
        <w:t>3</w:t>
      </w:r>
      <w:r w:rsidRPr="00537128">
        <w:rPr>
          <w:rFonts w:ascii="Calibri" w:eastAsia="Calibri" w:hAnsi="Calibri" w:cs="Arial"/>
          <w:b/>
          <w:color w:val="000000" w:themeColor="text1"/>
          <w:lang w:val="en-US"/>
        </w:rPr>
        <w:t>.3.3. Analysis of input for ECL model within the framework of impact of macroeconomic conditions on PD</w:t>
      </w:r>
      <w:r w:rsidRPr="00537128" w:rsidDel="00184ADB">
        <w:rPr>
          <w:rFonts w:ascii="Calibri" w:eastAsia="Calibri" w:hAnsi="Calibri" w:cs="Arial"/>
          <w:b/>
          <w:color w:val="000000" w:themeColor="text1"/>
          <w:highlight w:val="yellow"/>
          <w:lang w:val="en-US"/>
        </w:rPr>
        <w:t xml:space="preserve"> </w:t>
      </w:r>
    </w:p>
    <w:p w14:paraId="5BD04B19" w14:textId="77777777" w:rsidR="004327A8" w:rsidRPr="00537128" w:rsidRDefault="004327A8" w:rsidP="007D224E">
      <w:pPr>
        <w:spacing w:after="0" w:line="240" w:lineRule="auto"/>
        <w:jc w:val="both"/>
        <w:rPr>
          <w:rFonts w:ascii="Calibri" w:eastAsia="Times New Roman" w:hAnsi="Calibri" w:cs="Times New Roman"/>
          <w:lang w:val="en-US"/>
        </w:rPr>
      </w:pPr>
    </w:p>
    <w:p w14:paraId="59170CF6" w14:textId="77777777" w:rsidR="00E07D16" w:rsidRPr="00E920D3" w:rsidRDefault="00E07D16" w:rsidP="007D224E">
      <w:pPr>
        <w:spacing w:after="0" w:line="240" w:lineRule="auto"/>
        <w:jc w:val="both"/>
      </w:pPr>
      <w:r w:rsidRPr="00E920D3">
        <w:t>When including any information about the future, available sources (Croatian National Bank, Croatian Bureau of Statistics) on macroeconomic conditions are used with a view to projecting their impact on the current value of risk parameters.</w:t>
      </w:r>
    </w:p>
    <w:p w14:paraId="645918F9" w14:textId="77777777" w:rsidR="00E07D16" w:rsidRPr="00E920D3" w:rsidRDefault="00E07D16" w:rsidP="007D224E">
      <w:pPr>
        <w:spacing w:after="0" w:line="240" w:lineRule="auto"/>
        <w:jc w:val="both"/>
        <w:rPr>
          <w:highlight w:val="yellow"/>
        </w:rPr>
      </w:pPr>
    </w:p>
    <w:p w14:paraId="491FFFF8" w14:textId="77777777" w:rsidR="00E07D16" w:rsidRPr="00E920D3" w:rsidRDefault="00E07D16" w:rsidP="007D224E">
      <w:pPr>
        <w:spacing w:after="0" w:line="240" w:lineRule="auto"/>
        <w:jc w:val="both"/>
      </w:pPr>
      <w:r w:rsidRPr="00E920D3">
        <w:t>Based on a historical analysis of impact of macroeconomic conditions and the available macroeconomic forecasts, a potential impact of future movement of macroeconomic conditions on the value of risk parameters is established by using the scenarios with related probabilities of occurrence of an individual scenario.</w:t>
      </w:r>
    </w:p>
    <w:p w14:paraId="6BAB9C11" w14:textId="77777777" w:rsidR="00E07D16" w:rsidRPr="00E920D3" w:rsidRDefault="00E07D16" w:rsidP="007D224E">
      <w:pPr>
        <w:spacing w:after="0" w:line="240" w:lineRule="auto"/>
        <w:jc w:val="both"/>
        <w:rPr>
          <w:highlight w:val="yellow"/>
        </w:rPr>
      </w:pPr>
    </w:p>
    <w:p w14:paraId="318F2340" w14:textId="77777777" w:rsidR="00E07D16" w:rsidRPr="000239F2" w:rsidRDefault="00E07D16" w:rsidP="007D224E">
      <w:pPr>
        <w:spacing w:after="0" w:line="240" w:lineRule="auto"/>
        <w:jc w:val="both"/>
        <w:rPr>
          <w:rFonts w:ascii="Calibri" w:eastAsia="Calibri" w:hAnsi="Calibri" w:cs="Calibri"/>
          <w:lang w:val="en-GB"/>
        </w:rPr>
      </w:pPr>
      <w:r w:rsidRPr="000239F2">
        <w:rPr>
          <w:rFonts w:ascii="Calibri" w:eastAsia="Calibri" w:hAnsi="Calibri" w:cs="Calibri"/>
          <w:lang w:val="en-GB"/>
        </w:rPr>
        <w:t xml:space="preserve">When estimating expected credit losses through the application of previous experiences on credit losses, the data on earlier credit losses rates are applied to the entire portfolio of direct loans; and through the application of a certain method, connecting of a single group of financial instruments with the data on earlier experience on credit losses in the groups of financial instruments with similar characteristics of credit risk has been made possible as well as with important relevant data reflecting the current status. </w:t>
      </w:r>
    </w:p>
    <w:p w14:paraId="5B481774" w14:textId="77777777" w:rsidR="00E07D16" w:rsidRPr="00E920D3" w:rsidRDefault="00E07D16" w:rsidP="007D224E">
      <w:pPr>
        <w:spacing w:after="0" w:line="240" w:lineRule="auto"/>
        <w:jc w:val="both"/>
        <w:rPr>
          <w:highlight w:val="yellow"/>
        </w:rPr>
      </w:pPr>
    </w:p>
    <w:p w14:paraId="77B8A8BC" w14:textId="52A805F0" w:rsidR="00E07D16" w:rsidRPr="00E920D3" w:rsidRDefault="00E07D16" w:rsidP="007D224E">
      <w:pPr>
        <w:spacing w:after="0" w:line="240" w:lineRule="auto"/>
        <w:jc w:val="both"/>
      </w:pPr>
      <w:r w:rsidRPr="00E920D3">
        <w:t xml:space="preserve">The expected credit losses reflect the </w:t>
      </w:r>
      <w:r w:rsidR="003278ED">
        <w:t>Bank</w:t>
      </w:r>
      <w:r w:rsidRPr="00E920D3">
        <w:t xml:space="preserve">’s expectations in respect of credit losses. However, when the Group, during the estimation of such expected credit losses, considers all reasonable and reliable data that are available with no necessary costs and efforts, the </w:t>
      </w:r>
      <w:r w:rsidR="003278ED">
        <w:t>Bank</w:t>
      </w:r>
      <w:r w:rsidRPr="00E920D3">
        <w:t xml:space="preserve"> also considers appropriate market data on the credit risk of a certain financial instrument or similar financial instruments.</w:t>
      </w:r>
    </w:p>
    <w:p w14:paraId="022E2E36" w14:textId="77777777" w:rsidR="00E07D16" w:rsidRPr="00E920D3" w:rsidRDefault="00E07D16" w:rsidP="007D224E">
      <w:pPr>
        <w:spacing w:after="0" w:line="240" w:lineRule="auto"/>
        <w:jc w:val="both"/>
        <w:rPr>
          <w:highlight w:val="yellow"/>
        </w:rPr>
      </w:pPr>
    </w:p>
    <w:p w14:paraId="40AF6F1C" w14:textId="4970A201" w:rsidR="00E07D16" w:rsidRDefault="00E07D16" w:rsidP="007D224E">
      <w:pPr>
        <w:spacing w:after="0" w:line="240" w:lineRule="auto"/>
        <w:jc w:val="both"/>
        <w:rPr>
          <w:rFonts w:ascii="Calibri" w:eastAsia="Calibri" w:hAnsi="Calibri" w:cs="Calibri"/>
          <w:lang w:val="en-GB"/>
        </w:rPr>
      </w:pPr>
      <w:r w:rsidRPr="000239F2">
        <w:rPr>
          <w:rFonts w:ascii="Calibri" w:eastAsia="Calibri" w:hAnsi="Calibri" w:cs="Calibri"/>
          <w:lang w:val="en-GB"/>
        </w:rPr>
        <w:t xml:space="preserve">For the calculation of expected credit losses, the Bank uses </w:t>
      </w:r>
      <w:proofErr w:type="gramStart"/>
      <w:r w:rsidRPr="000239F2">
        <w:rPr>
          <w:rFonts w:ascii="Calibri" w:eastAsia="Calibri" w:hAnsi="Calibri" w:cs="Calibri"/>
          <w:lang w:val="en-GB"/>
        </w:rPr>
        <w:t>a large number of</w:t>
      </w:r>
      <w:proofErr w:type="gramEnd"/>
      <w:r w:rsidRPr="000239F2">
        <w:rPr>
          <w:rFonts w:ascii="Calibri" w:eastAsia="Calibri" w:hAnsi="Calibri" w:cs="Calibri"/>
          <w:lang w:val="en-GB"/>
        </w:rPr>
        <w:t xml:space="preserve"> macroeconomic conditions, for one of which (GDP real growth rate) correlations on total PDs have been established for the entire portfolio of direct loans.</w:t>
      </w:r>
    </w:p>
    <w:p w14:paraId="0A360151" w14:textId="77777777" w:rsidR="007D224E" w:rsidRPr="00E920D3" w:rsidRDefault="007D224E" w:rsidP="007D224E">
      <w:pPr>
        <w:keepNext/>
        <w:tabs>
          <w:tab w:val="left" w:pos="426"/>
        </w:tabs>
        <w:spacing w:after="0" w:line="240" w:lineRule="auto"/>
        <w:jc w:val="both"/>
        <w:rPr>
          <w:bCs/>
        </w:rPr>
      </w:pPr>
      <w:r w:rsidRPr="00E920D3">
        <w:rPr>
          <w:bCs/>
        </w:rPr>
        <w:t>In order to determine the impact of future macroeconomic conditions on expected credit losses, by analysis based on historical data, the connection between macroeconomic conditions and PD is identified. After that, the impact of macroeconomic forecasts on PD values is estimated and the ratio is calculated, by means of which the estimated value of PD in two scenarios, an optimistic and a pessimistic one, is corrected.</w:t>
      </w:r>
    </w:p>
    <w:p w14:paraId="54DD498E" w14:textId="77777777" w:rsidR="007D224E" w:rsidRDefault="007D224E" w:rsidP="007D224E">
      <w:pPr>
        <w:spacing w:after="0" w:line="240" w:lineRule="auto"/>
        <w:jc w:val="both"/>
      </w:pPr>
    </w:p>
    <w:p w14:paraId="485BBCB7" w14:textId="77777777" w:rsidR="007D224E" w:rsidRPr="00E920D3" w:rsidRDefault="007D224E" w:rsidP="007D224E">
      <w:pPr>
        <w:spacing w:after="0" w:line="240" w:lineRule="auto"/>
        <w:rPr>
          <w:rFonts w:cs="Arial"/>
          <w:b/>
        </w:rPr>
      </w:pPr>
      <w:r>
        <w:rPr>
          <w:rFonts w:cs="Calibri"/>
          <w:b/>
          <w:lang w:eastAsia="hr-HR"/>
        </w:rPr>
        <w:t>32</w:t>
      </w:r>
      <w:r w:rsidRPr="00E920D3">
        <w:rPr>
          <w:rFonts w:cs="Calibri"/>
          <w:b/>
          <w:lang w:eastAsia="hr-HR"/>
        </w:rPr>
        <w:t>.3.4. Quantitative analysis of the reliability of the information used to calculate the ECL allowance</w:t>
      </w:r>
      <w:r w:rsidRPr="00E920D3">
        <w:rPr>
          <w:rFonts w:cs="Arial"/>
          <w:b/>
        </w:rPr>
        <w:t xml:space="preserve"> </w:t>
      </w:r>
    </w:p>
    <w:p w14:paraId="02639ED6" w14:textId="77777777" w:rsidR="007D224E" w:rsidRPr="00551B06" w:rsidRDefault="007D224E" w:rsidP="007D224E">
      <w:pPr>
        <w:spacing w:after="0" w:line="240" w:lineRule="auto"/>
        <w:jc w:val="both"/>
        <w:rPr>
          <w:sz w:val="16"/>
          <w:szCs w:val="16"/>
        </w:rPr>
      </w:pPr>
    </w:p>
    <w:p w14:paraId="42D12FDD" w14:textId="77777777" w:rsidR="007D224E" w:rsidRPr="00E920D3" w:rsidRDefault="007D224E" w:rsidP="007D224E">
      <w:pPr>
        <w:spacing w:after="0" w:line="240" w:lineRule="auto"/>
        <w:jc w:val="both"/>
      </w:pPr>
      <w:r w:rsidRPr="00E920D3">
        <w:t xml:space="preserve">For the application of macroeconomic factors, the Bank uses a methodology with the level of reliability of 90%. </w:t>
      </w:r>
    </w:p>
    <w:p w14:paraId="0103CF58" w14:textId="77777777" w:rsidR="007D224E" w:rsidRPr="000239F2" w:rsidRDefault="007D224E" w:rsidP="007D224E">
      <w:pPr>
        <w:spacing w:after="0" w:line="240" w:lineRule="auto"/>
        <w:jc w:val="both"/>
        <w:rPr>
          <w:rFonts w:ascii="Calibri" w:eastAsia="Calibri" w:hAnsi="Calibri" w:cs="Calibri"/>
          <w:lang w:val="en-GB"/>
        </w:rPr>
      </w:pPr>
    </w:p>
    <w:p w14:paraId="691A2630" w14:textId="77777777" w:rsidR="004327A8" w:rsidRPr="00537128" w:rsidRDefault="004327A8" w:rsidP="004327A8">
      <w:pPr>
        <w:spacing w:after="0" w:line="240" w:lineRule="auto"/>
        <w:jc w:val="both"/>
        <w:rPr>
          <w:rFonts w:ascii="Calibri" w:eastAsia="Times New Roman" w:hAnsi="Calibri" w:cs="Times New Roman"/>
          <w:lang w:val="en-US"/>
        </w:rPr>
      </w:pPr>
    </w:p>
    <w:p w14:paraId="3A74C19D" w14:textId="500EC8AA" w:rsidR="004327A8" w:rsidRPr="00537128" w:rsidRDefault="004327A8" w:rsidP="002C35CB">
      <w:pPr>
        <w:tabs>
          <w:tab w:val="right" w:pos="1202"/>
          <w:tab w:val="left" w:pos="9180"/>
        </w:tabs>
        <w:spacing w:after="0" w:line="240" w:lineRule="auto"/>
        <w:jc w:val="both"/>
        <w:outlineLvl w:val="0"/>
        <w:rPr>
          <w:rFonts w:ascii="Calibri" w:eastAsia="Calibri" w:hAnsi="Calibri" w:cs="Arial"/>
          <w:color w:val="000000" w:themeColor="text1"/>
          <w:sz w:val="14"/>
          <w:szCs w:val="16"/>
          <w:lang w:val="en-US"/>
        </w:rPr>
        <w:sectPr w:rsidR="004327A8" w:rsidRPr="00537128">
          <w:pgSz w:w="11906" w:h="16838"/>
          <w:pgMar w:top="1417" w:right="1417" w:bottom="1417" w:left="1417" w:header="708" w:footer="708" w:gutter="0"/>
          <w:cols w:space="708"/>
          <w:docGrid w:linePitch="360"/>
        </w:sectPr>
      </w:pPr>
    </w:p>
    <w:p w14:paraId="24A024A2" w14:textId="5B92C26F" w:rsidR="00A0047D" w:rsidRPr="00537128" w:rsidRDefault="00951B0F" w:rsidP="009A6296">
      <w:pPr>
        <w:spacing w:before="120"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lastRenderedPageBreak/>
        <w:t>2</w:t>
      </w:r>
      <w:r>
        <w:rPr>
          <w:rFonts w:ascii="Calibri" w:eastAsia="Times New Roman" w:hAnsi="Calibri" w:cs="Calibri"/>
          <w:b/>
          <w:bCs/>
          <w:color w:val="000000" w:themeColor="text1"/>
          <w:lang w:val="en-US" w:eastAsia="hr-HR"/>
        </w:rPr>
        <w:t>3</w:t>
      </w:r>
      <w:r w:rsidR="00A0047D" w:rsidRPr="00537128">
        <w:rPr>
          <w:rFonts w:ascii="Calibri" w:eastAsia="Times New Roman" w:hAnsi="Calibri" w:cs="Calibri"/>
          <w:b/>
          <w:bCs/>
          <w:color w:val="000000" w:themeColor="text1"/>
          <w:lang w:val="en-US" w:eastAsia="hr-HR"/>
        </w:rPr>
        <w:t>.</w:t>
      </w:r>
      <w:r w:rsidR="00A0047D" w:rsidRPr="00537128">
        <w:rPr>
          <w:rFonts w:ascii="Calibri" w:eastAsia="Times New Roman" w:hAnsi="Calibri" w:cs="Calibri"/>
          <w:b/>
          <w:bCs/>
          <w:color w:val="000000" w:themeColor="text1"/>
          <w:lang w:val="en-US"/>
        </w:rPr>
        <w:tab/>
        <w:t>Risk management (continued)</w:t>
      </w:r>
    </w:p>
    <w:p w14:paraId="2EAA2029" w14:textId="77777777" w:rsidR="00A0047D" w:rsidRPr="00537128" w:rsidRDefault="00A0047D" w:rsidP="004327A8">
      <w:pPr>
        <w:spacing w:after="0" w:line="240" w:lineRule="auto"/>
        <w:jc w:val="both"/>
        <w:rPr>
          <w:rFonts w:ascii="Calibri" w:eastAsia="Times New Roman" w:hAnsi="Calibri" w:cs="Arial"/>
          <w:color w:val="000000" w:themeColor="text1"/>
          <w:sz w:val="10"/>
          <w:szCs w:val="10"/>
          <w:lang w:val="en-US"/>
        </w:rPr>
      </w:pPr>
    </w:p>
    <w:p w14:paraId="4FA09F68" w14:textId="2839F86A" w:rsidR="00A0047D" w:rsidRPr="00537128" w:rsidRDefault="00951B0F" w:rsidP="00A0047D">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A0047D" w:rsidRPr="00537128">
        <w:rPr>
          <w:rFonts w:ascii="Calibri" w:eastAsia="Times New Roman" w:hAnsi="Calibri" w:cs="Arial"/>
          <w:b/>
          <w:color w:val="000000" w:themeColor="text1"/>
          <w:lang w:val="en-US"/>
        </w:rPr>
        <w:t>.3.   Credit risk (continued)</w:t>
      </w:r>
    </w:p>
    <w:p w14:paraId="1F893266" w14:textId="52FBB70D" w:rsidR="002C35CB" w:rsidRPr="00537128" w:rsidRDefault="00951B0F" w:rsidP="00B21F0D">
      <w:pPr>
        <w:spacing w:before="80" w:after="0" w:line="300" w:lineRule="exact"/>
        <w:rPr>
          <w:rFonts w:ascii="Calibri" w:eastAsia="Calibri" w:hAnsi="Calibri" w:cs="Arial"/>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2C35CB" w:rsidRPr="00537128">
        <w:rPr>
          <w:rFonts w:ascii="Calibri" w:eastAsia="Calibri" w:hAnsi="Calibri" w:cs="Arial"/>
          <w:b/>
          <w:color w:val="000000" w:themeColor="text1"/>
          <w:lang w:val="en-US"/>
        </w:rPr>
        <w:t>.3.5. Overview of modified and restructured loans</w:t>
      </w:r>
    </w:p>
    <w:p w14:paraId="2525F2E3" w14:textId="77777777" w:rsidR="003E66A4" w:rsidRDefault="003E66A4" w:rsidP="00B21F0D">
      <w:pPr>
        <w:spacing w:before="80" w:after="0" w:line="240" w:lineRule="auto"/>
        <w:jc w:val="both"/>
      </w:pPr>
      <w:r w:rsidRPr="00B07B25">
        <w:t>Any amendment to the contractual provisions resulting in the conversion of contractual cash flows from financial assets is deemed to be modification.</w:t>
      </w:r>
    </w:p>
    <w:p w14:paraId="3BE3A5FD" w14:textId="77777777" w:rsidR="003E66A4" w:rsidRPr="00B07B25" w:rsidRDefault="003E66A4" w:rsidP="00B21F0D">
      <w:pPr>
        <w:spacing w:after="80" w:line="240" w:lineRule="auto"/>
        <w:jc w:val="both"/>
      </w:pPr>
      <w:r w:rsidRPr="00B07B25">
        <w:t>A change of placement terms and conditions includes changes to certain contractual terms defined, mostly for the purpose of adaptation to changes during the implementation of an investment, and possibly also during repayments, and not caused by financial difficulties of the client. The amended terms would most frequently be accepted when approved if known or are the result of circumstances not controlled by the client.</w:t>
      </w:r>
    </w:p>
    <w:p w14:paraId="34C6F631" w14:textId="77777777" w:rsidR="003E66A4" w:rsidRPr="00B07B25" w:rsidRDefault="003E66A4" w:rsidP="00B21F0D">
      <w:pPr>
        <w:spacing w:after="80" w:line="240" w:lineRule="auto"/>
        <w:jc w:val="both"/>
        <w:rPr>
          <w:rFonts w:cstheme="minorHAnsi"/>
          <w:bCs/>
        </w:rPr>
      </w:pPr>
      <w:r w:rsidRPr="00422B84">
        <w:rPr>
          <w:rFonts w:cstheme="minorHAnsi"/>
        </w:rPr>
        <w:t>Any changes in contractual obligations, by which a concession is made to the client that is considered to be in financial difficulties, are deemed to be rescheduling or restructuring. Concession may relate to any of the following measures:</w:t>
      </w:r>
    </w:p>
    <w:p w14:paraId="4FDF9842" w14:textId="77777777" w:rsidR="003E66A4" w:rsidRPr="00B07B25" w:rsidRDefault="003E66A4" w:rsidP="003E66A4">
      <w:pPr>
        <w:numPr>
          <w:ilvl w:val="0"/>
          <w:numId w:val="35"/>
        </w:numPr>
        <w:spacing w:after="0" w:line="240" w:lineRule="auto"/>
        <w:jc w:val="both"/>
        <w:rPr>
          <w:rFonts w:cstheme="minorHAnsi"/>
          <w:bCs/>
        </w:rPr>
      </w:pPr>
      <w:r w:rsidRPr="00B07B25">
        <w:rPr>
          <w:rFonts w:cstheme="minorHAnsi"/>
        </w:rPr>
        <w:t>change of earlier contractual terms and conditions that are considered impossible to be met by the client and lead to the loss of its ability to settle liabilities and which would not be approved if the borrower had no financial difficulties (e.g. interest rate reduction, reduction or cancellation of interest income, change in principal amount, change or prolongation of repayment terms etc.)</w:t>
      </w:r>
    </w:p>
    <w:p w14:paraId="4FE0E960" w14:textId="77777777" w:rsidR="003E66A4" w:rsidRPr="00B07B25" w:rsidRDefault="003E66A4" w:rsidP="003E66A4">
      <w:pPr>
        <w:numPr>
          <w:ilvl w:val="0"/>
          <w:numId w:val="35"/>
        </w:numPr>
        <w:spacing w:after="0" w:line="240" w:lineRule="auto"/>
        <w:jc w:val="both"/>
        <w:rPr>
          <w:rFonts w:cstheme="minorHAnsi"/>
          <w:bCs/>
        </w:rPr>
      </w:pPr>
      <w:r w:rsidRPr="00B07B25">
        <w:rPr>
          <w:rFonts w:cstheme="minorHAnsi"/>
        </w:rPr>
        <w:t>complete or partial refinancing of placements that would not be approved if the debtor had no financial difficulties.</w:t>
      </w:r>
    </w:p>
    <w:p w14:paraId="1D373120" w14:textId="77777777" w:rsidR="003E66A4" w:rsidRPr="00422B84" w:rsidRDefault="003E66A4" w:rsidP="0026744E">
      <w:pPr>
        <w:spacing w:before="120" w:after="0" w:line="240" w:lineRule="auto"/>
        <w:jc w:val="both"/>
        <w:rPr>
          <w:rFonts w:cstheme="minorHAnsi"/>
          <w:bCs/>
        </w:rPr>
      </w:pPr>
      <w:r w:rsidRPr="00422B84">
        <w:rPr>
          <w:rFonts w:cstheme="minorHAnsi"/>
        </w:rPr>
        <w:t>Evidence on concession includes the following:</w:t>
      </w:r>
    </w:p>
    <w:p w14:paraId="69644F06" w14:textId="77777777" w:rsidR="003E66A4" w:rsidRPr="00B07B25" w:rsidRDefault="003E66A4" w:rsidP="00330D99">
      <w:pPr>
        <w:numPr>
          <w:ilvl w:val="0"/>
          <w:numId w:val="36"/>
        </w:numPr>
        <w:spacing w:after="0" w:line="240" w:lineRule="auto"/>
        <w:ind w:left="714" w:hanging="357"/>
        <w:jc w:val="both"/>
        <w:rPr>
          <w:rFonts w:cstheme="minorHAnsi"/>
          <w:bCs/>
        </w:rPr>
      </w:pPr>
      <w:r w:rsidRPr="00B07B25">
        <w:rPr>
          <w:rFonts w:cstheme="minorHAnsi"/>
        </w:rPr>
        <w:t>the difference in favor of the client between the changed terms and conditions of the contract and former terms and conditions of the contract,</w:t>
      </w:r>
    </w:p>
    <w:p w14:paraId="48388514" w14:textId="77777777" w:rsidR="003E66A4" w:rsidRPr="00B07B25" w:rsidRDefault="003E66A4" w:rsidP="00330D99">
      <w:pPr>
        <w:numPr>
          <w:ilvl w:val="0"/>
          <w:numId w:val="36"/>
        </w:numPr>
        <w:spacing w:after="0" w:line="240" w:lineRule="auto"/>
        <w:ind w:left="714" w:hanging="357"/>
        <w:jc w:val="both"/>
        <w:rPr>
          <w:rFonts w:cstheme="minorHAnsi"/>
          <w:bCs/>
        </w:rPr>
      </w:pPr>
      <w:r w:rsidRPr="00B07B25">
        <w:rPr>
          <w:rFonts w:cstheme="minorHAnsi"/>
        </w:rPr>
        <w:t>inclusion of more favorable terms and conditions in the changed contract as compared to the terms and conditions that other debtors with a similar risk profile in the Bank portfolio could have obtained.</w:t>
      </w:r>
    </w:p>
    <w:p w14:paraId="18AA7C5C" w14:textId="56971F9B" w:rsidR="00A12D4D" w:rsidRDefault="003E66A4" w:rsidP="00B21F0D">
      <w:pPr>
        <w:spacing w:before="80" w:after="0" w:line="240" w:lineRule="auto"/>
        <w:jc w:val="both"/>
      </w:pPr>
      <w:r w:rsidRPr="00422B84">
        <w:t>Rescheduling is considered any change of the originally agreed loan terms and conditions due to temporary financial difficulties of the client. Restructuring is co</w:t>
      </w:r>
      <w:r w:rsidRPr="00B07B25">
        <w:t>nsidered any change of the originally agreed loan terms and conditions due to significant financial difficulties of the client that needs financial, business and operational restructuring, i.e. the client that is already in default.</w:t>
      </w:r>
    </w:p>
    <w:p w14:paraId="63EB10C2" w14:textId="1DAA3E93" w:rsidR="004327A8" w:rsidRPr="00537128" w:rsidRDefault="00951B0F" w:rsidP="00B21F0D">
      <w:pPr>
        <w:tabs>
          <w:tab w:val="left" w:pos="709"/>
          <w:tab w:val="left" w:pos="851"/>
        </w:tabs>
        <w:spacing w:before="80"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4327A8" w:rsidRPr="00537128">
        <w:rPr>
          <w:rFonts w:ascii="Calibri" w:eastAsia="Times New Roman" w:hAnsi="Calibri" w:cs="Arial"/>
          <w:b/>
          <w:color w:val="000000" w:themeColor="text1"/>
          <w:lang w:val="en-US"/>
        </w:rPr>
        <w:t>.3.6. Analysis of risk concentration</w:t>
      </w:r>
    </w:p>
    <w:p w14:paraId="13C05377" w14:textId="77777777" w:rsidR="00016E98" w:rsidRPr="00E920D3" w:rsidRDefault="00016E98" w:rsidP="00B21F0D">
      <w:pPr>
        <w:spacing w:before="80" w:after="0" w:line="240" w:lineRule="auto"/>
        <w:jc w:val="both"/>
        <w:rPr>
          <w:rFonts w:ascii="Calibri" w:hAnsi="Calibri" w:cs="Arial"/>
        </w:rPr>
      </w:pPr>
      <w:r w:rsidRPr="00E920D3">
        <w:rPr>
          <w:rFonts w:ascii="Calibri" w:hAnsi="Calibri" w:cs="Arial"/>
        </w:rPr>
        <w:t xml:space="preserve">Through its development loan programmes, the </w:t>
      </w:r>
      <w:r>
        <w:rPr>
          <w:rFonts w:ascii="Calibri" w:hAnsi="Calibri" w:cs="Arial"/>
        </w:rPr>
        <w:t>Bank</w:t>
      </w:r>
      <w:r w:rsidRPr="00E920D3">
        <w:rPr>
          <w:rFonts w:ascii="Calibri" w:hAnsi="Calibri" w:cs="Arial"/>
        </w:rPr>
        <w:t xml:space="preserve"> encompasses the area of the entire Republic of Croatia with emphasis on supported areas. Credit risk is spread across geographic areas, industries, sectors and loan programmes. The </w:t>
      </w:r>
      <w:r>
        <w:rPr>
          <w:rFonts w:ascii="Calibri" w:hAnsi="Calibri" w:cs="Arial"/>
        </w:rPr>
        <w:t>Bank</w:t>
      </w:r>
      <w:r w:rsidRPr="00E920D3">
        <w:rPr>
          <w:rFonts w:ascii="Calibri" w:hAnsi="Calibri" w:cs="Arial"/>
        </w:rPr>
        <w:t xml:space="preserve"> seeks to avoid excessive concentration of credit risk and support the development of less developed areas of the Republic of Croatia through more favorable terms and conditions and new loan programmes (products) in accordance with the national strategy of development of certain activities. </w:t>
      </w:r>
    </w:p>
    <w:p w14:paraId="6CB701E5" w14:textId="77777777" w:rsidR="00016E98" w:rsidRPr="00E920D3" w:rsidRDefault="00016E98" w:rsidP="00351E3A">
      <w:pPr>
        <w:spacing w:after="120" w:line="240" w:lineRule="auto"/>
        <w:jc w:val="both"/>
      </w:pPr>
      <w:r w:rsidRPr="00E920D3">
        <w:t xml:space="preserve">Through financing of different sectors by stimulating production and development with the purpose of developing the Croatian economy, the </w:t>
      </w:r>
      <w:r>
        <w:t>Bank</w:t>
      </w:r>
      <w:r w:rsidRPr="00E920D3">
        <w:t xml:space="preserve"> is creating a better base for repayment of loans and minimization of risk.</w:t>
      </w:r>
    </w:p>
    <w:p w14:paraId="5076E499" w14:textId="2198DA2B" w:rsidR="00A12D4D" w:rsidRPr="00537128" w:rsidRDefault="00016E98" w:rsidP="00B21F0D">
      <w:pPr>
        <w:spacing w:after="120" w:line="240" w:lineRule="auto"/>
        <w:jc w:val="both"/>
        <w:rPr>
          <w:rFonts w:ascii="Calibri" w:eastAsia="Times New Roman" w:hAnsi="Calibri" w:cs="Times New Roman"/>
          <w:color w:val="000000" w:themeColor="text1"/>
          <w:lang w:val="en-US"/>
        </w:rPr>
      </w:pPr>
      <w:r w:rsidRPr="00606EC3">
        <w:t>As of 31 December 202</w:t>
      </w:r>
      <w:r w:rsidRPr="000239F2">
        <w:t>1</w:t>
      </w:r>
      <w:r w:rsidRPr="00606EC3">
        <w:t xml:space="preserve">, the highest credit exposure of the Group </w:t>
      </w:r>
      <w:r w:rsidRPr="000239F2">
        <w:t xml:space="preserve">and the Bank </w:t>
      </w:r>
      <w:r w:rsidRPr="00606EC3">
        <w:t>to one debtor equalled</w:t>
      </w:r>
      <w:r w:rsidRPr="00061DB4">
        <w:t xml:space="preserve"> HRK </w:t>
      </w:r>
      <w:r w:rsidRPr="000239F2">
        <w:t xml:space="preserve">2,102,579 </w:t>
      </w:r>
      <w:r w:rsidRPr="00606EC3">
        <w:t>thousand and of the Bank HRK 2,669,528</w:t>
      </w:r>
      <w:r w:rsidRPr="00061DB4" w:rsidDel="00194A55">
        <w:t xml:space="preserve"> </w:t>
      </w:r>
      <w:r w:rsidRPr="00061DB4">
        <w:t>thousand (31 December 20</w:t>
      </w:r>
      <w:r w:rsidRPr="000239F2">
        <w:t>20</w:t>
      </w:r>
      <w:r w:rsidRPr="00606EC3">
        <w:t xml:space="preserve">: HRK </w:t>
      </w:r>
      <w:r w:rsidRPr="000239F2">
        <w:t>2,675,492</w:t>
      </w:r>
      <w:r w:rsidRPr="000239F2" w:rsidDel="00194A55">
        <w:t xml:space="preserve"> </w:t>
      </w:r>
      <w:r w:rsidRPr="00606EC3">
        <w:t xml:space="preserve">thousand for the Group and HRK </w:t>
      </w:r>
      <w:r w:rsidRPr="000239F2">
        <w:t>2,669,528</w:t>
      </w:r>
      <w:r w:rsidRPr="00606EC3">
        <w:t xml:space="preserve"> thousand for the Bank) without considering </w:t>
      </w:r>
      <w:r w:rsidRPr="00606EC3">
        <w:rPr>
          <w:rFonts w:cs="Arial"/>
        </w:rPr>
        <w:t xml:space="preserve">the effect of mitigation through </w:t>
      </w:r>
      <w:r w:rsidRPr="00606EC3">
        <w:t>collateral received.</w:t>
      </w:r>
      <w:r w:rsidRPr="00E920D3">
        <w:t xml:space="preserve"> </w:t>
      </w:r>
    </w:p>
    <w:p w14:paraId="4F45F057" w14:textId="5C980EA6" w:rsidR="00A12D4D" w:rsidRPr="00537128" w:rsidRDefault="00A12D4D" w:rsidP="00A12D4D">
      <w:pPr>
        <w:spacing w:after="0" w:line="240" w:lineRule="auto"/>
        <w:jc w:val="both"/>
        <w:rPr>
          <w:rFonts w:ascii="Calibri" w:eastAsia="Times New Roman" w:hAnsi="Calibri" w:cs="Times New Roman"/>
          <w:color w:val="000000" w:themeColor="text1"/>
          <w:lang w:val="en-US"/>
        </w:rPr>
        <w:sectPr w:rsidR="00A12D4D" w:rsidRPr="00537128">
          <w:pgSz w:w="11906" w:h="16838"/>
          <w:pgMar w:top="1417" w:right="1417" w:bottom="1417" w:left="1417" w:header="708" w:footer="708" w:gutter="0"/>
          <w:cols w:space="708"/>
          <w:docGrid w:linePitch="360"/>
        </w:sectPr>
      </w:pPr>
    </w:p>
    <w:p w14:paraId="492212D8" w14:textId="77777777" w:rsidR="00CD55EE" w:rsidRPr="00537128" w:rsidRDefault="00CD55EE" w:rsidP="00CD55EE">
      <w:pPr>
        <w:tabs>
          <w:tab w:val="right" w:pos="1202"/>
          <w:tab w:val="left" w:pos="9180"/>
        </w:tabs>
        <w:spacing w:after="0" w:line="240" w:lineRule="auto"/>
        <w:jc w:val="both"/>
        <w:outlineLvl w:val="0"/>
        <w:rPr>
          <w:rFonts w:ascii="Calibri" w:eastAsia="Times New Roman" w:hAnsi="Calibri" w:cs="Arial"/>
          <w:color w:val="000000" w:themeColor="text1"/>
          <w:sz w:val="20"/>
          <w:szCs w:val="20"/>
          <w:lang w:val="en-US"/>
        </w:rPr>
      </w:pPr>
    </w:p>
    <w:p w14:paraId="3B39CF1F" w14:textId="247E988C" w:rsidR="00CD55EE" w:rsidRPr="00537128" w:rsidRDefault="00951B0F" w:rsidP="00CD55EE">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CD55EE" w:rsidRPr="00537128">
        <w:rPr>
          <w:rFonts w:ascii="Calibri" w:eastAsia="Times New Roman" w:hAnsi="Calibri" w:cs="Calibri"/>
          <w:b/>
          <w:bCs/>
          <w:color w:val="000000" w:themeColor="text1"/>
          <w:lang w:val="en-US" w:eastAsia="hr-HR"/>
        </w:rPr>
        <w:t>.</w:t>
      </w:r>
      <w:r w:rsidR="00CD55EE" w:rsidRPr="00537128">
        <w:rPr>
          <w:rFonts w:ascii="Calibri" w:eastAsia="Times New Roman" w:hAnsi="Calibri" w:cs="Calibri"/>
          <w:b/>
          <w:bCs/>
          <w:color w:val="000000" w:themeColor="text1"/>
          <w:lang w:val="en-US"/>
        </w:rPr>
        <w:tab/>
        <w:t>Risk management (continued)</w:t>
      </w:r>
    </w:p>
    <w:p w14:paraId="33CBAC42" w14:textId="77777777" w:rsidR="00CD55EE" w:rsidRPr="00537128" w:rsidRDefault="00CD55EE" w:rsidP="00CD55EE">
      <w:pPr>
        <w:tabs>
          <w:tab w:val="left" w:pos="709"/>
          <w:tab w:val="left" w:pos="851"/>
        </w:tabs>
        <w:spacing w:after="0" w:line="240" w:lineRule="auto"/>
        <w:jc w:val="both"/>
        <w:rPr>
          <w:rFonts w:ascii="Calibri" w:eastAsia="Times New Roman" w:hAnsi="Calibri" w:cs="Arial"/>
          <w:color w:val="000000" w:themeColor="text1"/>
          <w:sz w:val="20"/>
          <w:szCs w:val="20"/>
          <w:lang w:val="en-US"/>
        </w:rPr>
      </w:pPr>
    </w:p>
    <w:p w14:paraId="279C2B35" w14:textId="27AEF2ED" w:rsidR="00CD55EE" w:rsidRPr="00537128" w:rsidRDefault="00951B0F" w:rsidP="00CD55EE">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CD55EE" w:rsidRPr="00537128">
        <w:rPr>
          <w:rFonts w:ascii="Calibri" w:eastAsia="Times New Roman" w:hAnsi="Calibri" w:cs="Arial"/>
          <w:b/>
          <w:color w:val="000000" w:themeColor="text1"/>
          <w:lang w:val="en-US"/>
        </w:rPr>
        <w:t>.3.   Credit risk (continued)</w:t>
      </w:r>
    </w:p>
    <w:p w14:paraId="3D30CFA7" w14:textId="77777777" w:rsidR="000A2933" w:rsidRPr="00537128" w:rsidRDefault="000A2933" w:rsidP="00CD55EE">
      <w:pPr>
        <w:spacing w:after="0" w:line="240" w:lineRule="auto"/>
        <w:jc w:val="both"/>
        <w:rPr>
          <w:rFonts w:ascii="Calibri" w:eastAsia="Times New Roman" w:hAnsi="Calibri" w:cs="Arial"/>
          <w:color w:val="000000" w:themeColor="text1"/>
          <w:sz w:val="20"/>
          <w:szCs w:val="20"/>
          <w:highlight w:val="yellow"/>
          <w:lang w:val="en-US"/>
        </w:rPr>
      </w:pPr>
    </w:p>
    <w:p w14:paraId="149AFBD5" w14:textId="7DAA2D2F" w:rsidR="00CD55EE" w:rsidRPr="00537128" w:rsidRDefault="00951B0F" w:rsidP="00CD55EE">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CD55EE" w:rsidRPr="00537128">
        <w:rPr>
          <w:rFonts w:ascii="Calibri" w:eastAsia="Times New Roman" w:hAnsi="Calibri" w:cs="Arial"/>
          <w:b/>
          <w:color w:val="000000" w:themeColor="text1"/>
          <w:lang w:val="en-US"/>
        </w:rPr>
        <w:t>.3.6. Analysis of risk concentration</w:t>
      </w:r>
    </w:p>
    <w:p w14:paraId="109AFB2B" w14:textId="77777777" w:rsidR="00A12D4D" w:rsidRPr="00537128" w:rsidRDefault="00A12D4D" w:rsidP="00A12D4D">
      <w:pPr>
        <w:spacing w:after="0" w:line="240" w:lineRule="auto"/>
        <w:jc w:val="both"/>
        <w:rPr>
          <w:rFonts w:ascii="Calibri" w:eastAsia="Times New Roman" w:hAnsi="Calibri" w:cs="Times New Roman"/>
          <w:sz w:val="16"/>
          <w:szCs w:val="16"/>
          <w:lang w:val="en-US"/>
        </w:rPr>
      </w:pPr>
    </w:p>
    <w:p w14:paraId="0EA50B63" w14:textId="77777777" w:rsidR="005F35C0" w:rsidRPr="00E920D3" w:rsidRDefault="005F35C0" w:rsidP="005F35C0">
      <w:pPr>
        <w:spacing w:after="0" w:line="240" w:lineRule="auto"/>
        <w:jc w:val="both"/>
      </w:pPr>
      <w:r w:rsidRPr="00E920D3">
        <w:t xml:space="preserve">As a special financial institution, the Bank performs its development role by granting loans to final borrowers via commercial banks with which it has entered into co-operation agreements. Since the exposure towards some of the banks has reached the maximum permitted level, the Bank, in order to be able to continue performing its development role and make the loans accessible to as many final borrowers as possible, has an approval from the Supervisory Board for an increase in the exposure towards the banks and their associated entities that have, in accordance with HBOR’s internal methodology, been assigned a high rating. The exposure level is maintained by using all instruments and techniques available for mitigating HBOR’s exposure towards the banks. </w:t>
      </w:r>
    </w:p>
    <w:p w14:paraId="6CB28810" w14:textId="77777777" w:rsidR="005F35C0" w:rsidRPr="003239B0" w:rsidRDefault="005F35C0" w:rsidP="005F35C0">
      <w:pPr>
        <w:spacing w:after="0" w:line="240" w:lineRule="auto"/>
        <w:jc w:val="both"/>
        <w:rPr>
          <w:sz w:val="16"/>
          <w:szCs w:val="16"/>
        </w:rPr>
      </w:pPr>
    </w:p>
    <w:p w14:paraId="181AC95F" w14:textId="77777777" w:rsidR="005F35C0" w:rsidRPr="00E920D3" w:rsidRDefault="005F35C0" w:rsidP="005F35C0">
      <w:pPr>
        <w:spacing w:after="0" w:line="240" w:lineRule="auto"/>
        <w:jc w:val="both"/>
      </w:pPr>
      <w:r w:rsidRPr="00E920D3">
        <w:t xml:space="preserve">This exposure increase approved by the Supervisory Board was used by the Bank for further operating activities carried out with </w:t>
      </w:r>
      <w:r>
        <w:t>one</w:t>
      </w:r>
      <w:r w:rsidRPr="00E920D3">
        <w:t xml:space="preserve"> bank</w:t>
      </w:r>
      <w:r>
        <w:t>.</w:t>
      </w:r>
    </w:p>
    <w:p w14:paraId="6F628924" w14:textId="77777777" w:rsidR="00D70598" w:rsidRPr="00537128" w:rsidRDefault="00D70598" w:rsidP="005F35C0">
      <w:pPr>
        <w:spacing w:after="0" w:line="240" w:lineRule="auto"/>
        <w:jc w:val="both"/>
        <w:rPr>
          <w:rFonts w:eastAsia="Times New Roman" w:cstheme="minorHAnsi"/>
          <w:color w:val="000000" w:themeColor="text1"/>
          <w:sz w:val="20"/>
          <w:szCs w:val="20"/>
          <w:lang w:val="en-US"/>
        </w:rPr>
      </w:pPr>
    </w:p>
    <w:p w14:paraId="3234203E" w14:textId="04946208" w:rsidR="00D70598" w:rsidRPr="00537128" w:rsidRDefault="00951B0F" w:rsidP="00D70598">
      <w:pPr>
        <w:autoSpaceDE w:val="0"/>
        <w:autoSpaceDN w:val="0"/>
        <w:spacing w:after="0" w:line="240" w:lineRule="auto"/>
        <w:rPr>
          <w:rFonts w:eastAsia="Calibri" w:cstheme="minorHAnsi"/>
          <w:b/>
          <w:color w:val="000000" w:themeColor="text1"/>
          <w:sz w:val="24"/>
          <w:szCs w:val="24"/>
          <w:lang w:val="en-US" w:eastAsia="hr-HR"/>
        </w:rPr>
      </w:pPr>
      <w:r w:rsidRPr="00537128">
        <w:rPr>
          <w:rFonts w:eastAsia="Calibri" w:cstheme="minorHAnsi"/>
          <w:b/>
          <w:color w:val="000000" w:themeColor="text1"/>
          <w:lang w:val="en-US" w:eastAsia="hr-HR"/>
        </w:rPr>
        <w:t>2</w:t>
      </w:r>
      <w:r>
        <w:rPr>
          <w:rFonts w:eastAsia="Calibri" w:cstheme="minorHAnsi"/>
          <w:b/>
          <w:color w:val="000000" w:themeColor="text1"/>
          <w:lang w:val="en-US" w:eastAsia="hr-HR"/>
        </w:rPr>
        <w:t>3</w:t>
      </w:r>
      <w:r w:rsidR="00D70598" w:rsidRPr="00537128">
        <w:rPr>
          <w:rFonts w:eastAsia="Calibri" w:cstheme="minorHAnsi"/>
          <w:b/>
          <w:color w:val="000000" w:themeColor="text1"/>
          <w:lang w:val="en-US" w:eastAsia="hr-HR"/>
        </w:rPr>
        <w:t xml:space="preserve">.3.7. </w:t>
      </w:r>
      <w:r w:rsidR="00D70598" w:rsidRPr="00537128">
        <w:rPr>
          <w:rFonts w:eastAsia="Calibri" w:cstheme="minorHAnsi"/>
          <w:b/>
          <w:bCs/>
          <w:color w:val="000000" w:themeColor="text1"/>
          <w:lang w:val="en-US" w:eastAsia="hr-HR"/>
        </w:rPr>
        <w:t>Risk-Sharing Model</w:t>
      </w:r>
    </w:p>
    <w:p w14:paraId="14C5AF3C" w14:textId="77777777" w:rsidR="00D70598" w:rsidRPr="00537128" w:rsidRDefault="00D70598" w:rsidP="00D70598">
      <w:pPr>
        <w:spacing w:after="0" w:line="240" w:lineRule="auto"/>
        <w:jc w:val="both"/>
        <w:rPr>
          <w:rFonts w:eastAsia="Times New Roman" w:cstheme="minorHAnsi"/>
          <w:color w:val="000000" w:themeColor="text1"/>
          <w:lang w:val="en-US"/>
        </w:rPr>
      </w:pPr>
    </w:p>
    <w:p w14:paraId="1E79926D" w14:textId="77777777" w:rsidR="00E52A7B" w:rsidRDefault="00E52A7B" w:rsidP="00E52A7B">
      <w:pPr>
        <w:pStyle w:val="default0"/>
        <w:jc w:val="both"/>
        <w:rPr>
          <w:rFonts w:asciiTheme="minorHAnsi" w:hAnsiTheme="minorHAnsi" w:cstheme="minorHAnsi"/>
          <w:sz w:val="22"/>
          <w:szCs w:val="22"/>
          <w:lang w:val="en-GB"/>
        </w:rPr>
      </w:pPr>
      <w:r w:rsidRPr="00EA22B8">
        <w:rPr>
          <w:rFonts w:asciiTheme="minorHAnsi" w:hAnsiTheme="minorHAnsi" w:cstheme="minorHAnsi"/>
          <w:sz w:val="22"/>
          <w:szCs w:val="22"/>
          <w:lang w:val="en-GB"/>
        </w:rPr>
        <w:t>The Risk-Sharing Model covers the manner of implementing HBOR’s loan programmes in cooperation with commercial banks, where HBOR assumes a portion of direct lending risk (</w:t>
      </w:r>
      <w:proofErr w:type="gramStart"/>
      <w:r w:rsidRPr="00EA22B8">
        <w:rPr>
          <w:rFonts w:asciiTheme="minorHAnsi" w:hAnsiTheme="minorHAnsi" w:cstheme="minorHAnsi"/>
          <w:sz w:val="22"/>
          <w:szCs w:val="22"/>
          <w:lang w:val="en-GB"/>
        </w:rPr>
        <w:t>e.g.</w:t>
      </w:r>
      <w:proofErr w:type="gramEnd"/>
      <w:r w:rsidRPr="00EA22B8">
        <w:rPr>
          <w:rFonts w:asciiTheme="minorHAnsi" w:hAnsiTheme="minorHAnsi" w:cstheme="minorHAnsi"/>
          <w:sz w:val="22"/>
          <w:szCs w:val="22"/>
          <w:lang w:val="en-GB"/>
        </w:rPr>
        <w:t xml:space="preserve"> 50%), whereas the commercial bank assumes the risk associated with the other part of the loan (irrespective of whether it is financed from HBOR’s funds or from commercial bank’s funds). </w:t>
      </w:r>
    </w:p>
    <w:p w14:paraId="38F31F10" w14:textId="77777777" w:rsidR="00E52A7B" w:rsidRDefault="00E52A7B" w:rsidP="00E52A7B">
      <w:pPr>
        <w:pStyle w:val="default0"/>
        <w:jc w:val="both"/>
        <w:rPr>
          <w:rFonts w:asciiTheme="minorHAnsi" w:hAnsiTheme="minorHAnsi" w:cstheme="minorHAnsi"/>
          <w:sz w:val="22"/>
          <w:szCs w:val="22"/>
          <w:lang w:val="en-GB"/>
        </w:rPr>
      </w:pPr>
    </w:p>
    <w:p w14:paraId="61FB7CE1" w14:textId="77777777" w:rsidR="00E52A7B" w:rsidRPr="000239F2" w:rsidRDefault="00E52A7B" w:rsidP="00ED1F72">
      <w:pPr>
        <w:spacing w:after="0" w:line="240" w:lineRule="auto"/>
        <w:jc w:val="both"/>
        <w:rPr>
          <w:rFonts w:ascii="Calibri" w:eastAsia="Calibri" w:hAnsi="Calibri" w:cs="Calibri"/>
          <w:lang w:val="en-GB"/>
        </w:rPr>
      </w:pPr>
      <w:r w:rsidRPr="000239F2">
        <w:rPr>
          <w:rFonts w:ascii="Calibri" w:eastAsia="Calibri" w:hAnsi="Calibri" w:cs="Calibri"/>
          <w:lang w:val="en-GB"/>
        </w:rPr>
        <w:t>Loans according to the risk-sharing models under HBOR loan programmes (primarily loans for investments and restructuring, and to a lesser extent for liquidity) are implemented in such a way that commercial banks involved in such transactions are still agents (administrative, payment and collateral agents), but HBOR conducts the usual procedure as for any other direct loan and enters, both exposures and collateral, into the business records after contracting or implementing the collateral for placements.</w:t>
      </w:r>
    </w:p>
    <w:p w14:paraId="30D33D26" w14:textId="77777777" w:rsidR="00E15BB0" w:rsidRPr="000239F2" w:rsidRDefault="00E15BB0" w:rsidP="00ED1F72">
      <w:pPr>
        <w:spacing w:after="0" w:line="240" w:lineRule="auto"/>
        <w:jc w:val="both"/>
        <w:rPr>
          <w:rFonts w:ascii="Calibri" w:eastAsia="Calibri" w:hAnsi="Calibri" w:cs="Calibri"/>
          <w:lang w:val="en-GB"/>
        </w:rPr>
      </w:pPr>
      <w:r w:rsidRPr="000239F2">
        <w:rPr>
          <w:rFonts w:ascii="Calibri" w:eastAsia="Calibri" w:hAnsi="Calibri" w:cs="Calibri"/>
          <w:lang w:val="en-GB"/>
        </w:rPr>
        <w:t>As part of measures to help the economy due to the coronavirus pandemic, it was possible to approve new liquidity loans to entrepreneurs severely affected by the crisis caused by the coronavirus pandemic under the risk-sharing model with commercial banks. Due to the short deadline for processing large number of loan applications, the current loan process prescribed by the Credit Risk Management Ordinance has been accelerated and shortened for this purpose.</w:t>
      </w:r>
    </w:p>
    <w:p w14:paraId="32DD9AF2" w14:textId="77777777" w:rsidR="00E15BB0" w:rsidRPr="000239F2" w:rsidRDefault="00E15BB0" w:rsidP="00ED1F72">
      <w:pPr>
        <w:spacing w:after="0" w:line="240" w:lineRule="auto"/>
        <w:jc w:val="both"/>
        <w:rPr>
          <w:rFonts w:ascii="Calibri" w:eastAsia="Calibri" w:hAnsi="Calibri" w:cs="Calibri"/>
          <w:lang w:val="en-GB"/>
        </w:rPr>
      </w:pPr>
    </w:p>
    <w:p w14:paraId="7A8DFBF8" w14:textId="77777777" w:rsidR="00E15BB0" w:rsidRPr="000239F2" w:rsidRDefault="00E15BB0" w:rsidP="00ED1F72">
      <w:pPr>
        <w:spacing w:after="0" w:line="240" w:lineRule="auto"/>
        <w:jc w:val="both"/>
        <w:rPr>
          <w:rFonts w:ascii="Calibri" w:eastAsia="Calibri" w:hAnsi="Calibri" w:cs="Calibri"/>
          <w:lang w:val="en-GB"/>
        </w:rPr>
      </w:pPr>
      <w:proofErr w:type="gramStart"/>
      <w:r w:rsidRPr="000239F2">
        <w:rPr>
          <w:rFonts w:ascii="Calibri" w:eastAsia="Calibri" w:hAnsi="Calibri" w:cs="Calibri"/>
          <w:lang w:val="en-GB"/>
        </w:rPr>
        <w:t>Taking into account</w:t>
      </w:r>
      <w:proofErr w:type="gramEnd"/>
      <w:r w:rsidRPr="000239F2">
        <w:rPr>
          <w:rFonts w:ascii="Calibri" w:eastAsia="Calibri" w:hAnsi="Calibri" w:cs="Calibri"/>
          <w:lang w:val="en-GB"/>
        </w:rPr>
        <w:t xml:space="preserve"> that very often HBOR does not have a direct contact with its clients, HBOR uses quarterly reports or obtains necessary information from commercial banks to monitor its clients to which it has a gross exposure of more than HRK 3,000</w:t>
      </w:r>
      <w:r>
        <w:rPr>
          <w:rFonts w:ascii="Calibri" w:eastAsia="Calibri" w:hAnsi="Calibri" w:cs="Calibri"/>
          <w:lang w:val="en-GB"/>
        </w:rPr>
        <w:t xml:space="preserve"> thousand</w:t>
      </w:r>
      <w:r w:rsidRPr="000239F2">
        <w:rPr>
          <w:rFonts w:ascii="Calibri" w:eastAsia="Calibri" w:hAnsi="Calibri" w:cs="Calibri"/>
          <w:lang w:val="en-GB"/>
        </w:rPr>
        <w:t xml:space="preserve"> under the procedure for direct loans. </w:t>
      </w:r>
    </w:p>
    <w:p w14:paraId="34F88B60" w14:textId="77777777" w:rsidR="00ED1F72" w:rsidRDefault="00ED1F72" w:rsidP="00ED1F72">
      <w:pPr>
        <w:spacing w:after="0" w:line="240" w:lineRule="auto"/>
        <w:jc w:val="both"/>
        <w:rPr>
          <w:rFonts w:ascii="Calibri" w:eastAsia="Times New Roman" w:hAnsi="Calibri" w:cs="Times New Roman"/>
          <w:color w:val="000000" w:themeColor="text1"/>
          <w:sz w:val="20"/>
          <w:szCs w:val="20"/>
          <w:lang w:val="en-US"/>
        </w:rPr>
        <w:sectPr w:rsidR="00ED1F72">
          <w:pgSz w:w="11906" w:h="16838"/>
          <w:pgMar w:top="1417" w:right="1417" w:bottom="1417" w:left="1417" w:header="708" w:footer="708" w:gutter="0"/>
          <w:cols w:space="708"/>
          <w:docGrid w:linePitch="360"/>
        </w:sectPr>
      </w:pPr>
    </w:p>
    <w:p w14:paraId="77462A3C" w14:textId="77777777" w:rsidR="006E3F97" w:rsidRPr="00537128" w:rsidRDefault="006E3F97" w:rsidP="006E3F97">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lastRenderedPageBreak/>
        <w:t>2</w:t>
      </w:r>
      <w:r>
        <w:rPr>
          <w:rFonts w:ascii="Calibri" w:eastAsia="Times New Roman" w:hAnsi="Calibri" w:cs="Calibri"/>
          <w:b/>
          <w:bCs/>
          <w:color w:val="000000" w:themeColor="text1"/>
          <w:lang w:val="en-US" w:eastAsia="hr-HR"/>
        </w:rPr>
        <w:t>3</w:t>
      </w:r>
      <w:r w:rsidRPr="00537128">
        <w:rPr>
          <w:rFonts w:ascii="Calibri" w:eastAsia="Times New Roman" w:hAnsi="Calibri" w:cs="Calibri"/>
          <w:b/>
          <w:bCs/>
          <w:color w:val="000000" w:themeColor="text1"/>
          <w:lang w:val="en-US" w:eastAsia="hr-HR"/>
        </w:rPr>
        <w:t>.</w:t>
      </w:r>
      <w:r w:rsidRPr="00537128">
        <w:rPr>
          <w:rFonts w:ascii="Calibri" w:eastAsia="Times New Roman" w:hAnsi="Calibri" w:cs="Calibri"/>
          <w:b/>
          <w:bCs/>
          <w:color w:val="000000" w:themeColor="text1"/>
          <w:lang w:val="en-US"/>
        </w:rPr>
        <w:tab/>
        <w:t>Risk management (continued)</w:t>
      </w:r>
    </w:p>
    <w:p w14:paraId="59CF3522" w14:textId="77777777" w:rsidR="006E3F97" w:rsidRPr="00537128" w:rsidRDefault="006E3F97" w:rsidP="006E3F97">
      <w:pPr>
        <w:tabs>
          <w:tab w:val="left" w:pos="709"/>
          <w:tab w:val="left" w:pos="851"/>
        </w:tabs>
        <w:spacing w:after="0" w:line="240" w:lineRule="auto"/>
        <w:jc w:val="both"/>
        <w:rPr>
          <w:rFonts w:ascii="Calibri" w:eastAsia="Times New Roman" w:hAnsi="Calibri" w:cs="Arial"/>
          <w:color w:val="000000" w:themeColor="text1"/>
          <w:sz w:val="20"/>
          <w:szCs w:val="20"/>
          <w:lang w:val="en-US"/>
        </w:rPr>
      </w:pPr>
    </w:p>
    <w:p w14:paraId="7D364492" w14:textId="77777777" w:rsidR="006E3F97" w:rsidRPr="00537128" w:rsidRDefault="006E3F97" w:rsidP="006E3F97">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Pr="00537128">
        <w:rPr>
          <w:rFonts w:ascii="Calibri" w:eastAsia="Times New Roman" w:hAnsi="Calibri" w:cs="Arial"/>
          <w:b/>
          <w:color w:val="000000" w:themeColor="text1"/>
          <w:lang w:val="en-US"/>
        </w:rPr>
        <w:t>.3.   Credit risk (continued)</w:t>
      </w:r>
    </w:p>
    <w:p w14:paraId="01949A54" w14:textId="030369A5" w:rsidR="00A12D4D" w:rsidRPr="00537128" w:rsidRDefault="00A12D4D" w:rsidP="00ED1F72">
      <w:pPr>
        <w:spacing w:after="0" w:line="240" w:lineRule="auto"/>
        <w:jc w:val="both"/>
        <w:rPr>
          <w:rFonts w:ascii="Calibri" w:eastAsia="Times New Roman" w:hAnsi="Calibri" w:cs="Times New Roman"/>
          <w:color w:val="000000" w:themeColor="text1"/>
          <w:sz w:val="20"/>
          <w:szCs w:val="20"/>
          <w:lang w:val="en-US"/>
        </w:rPr>
      </w:pPr>
    </w:p>
    <w:p w14:paraId="33DB94C9" w14:textId="69D57C10" w:rsidR="00D70598" w:rsidRPr="00537128" w:rsidRDefault="00951B0F" w:rsidP="00ED1F72">
      <w:pPr>
        <w:spacing w:after="0" w:line="240" w:lineRule="auto"/>
        <w:jc w:val="both"/>
        <w:rPr>
          <w:rFonts w:ascii="Calibri" w:eastAsia="Calibri" w:hAnsi="Calibri" w:cs="Times New Roman"/>
          <w:b/>
          <w:color w:val="000000" w:themeColor="text1"/>
          <w:lang w:val="en-US"/>
        </w:rPr>
      </w:pPr>
      <w:r w:rsidRPr="003278ED">
        <w:rPr>
          <w:rFonts w:ascii="Calibri" w:eastAsia="Calibri" w:hAnsi="Calibri" w:cs="Times New Roman"/>
          <w:b/>
          <w:color w:val="000000" w:themeColor="text1"/>
          <w:lang w:val="en-US"/>
        </w:rPr>
        <w:t>23</w:t>
      </w:r>
      <w:r w:rsidR="00D70598" w:rsidRPr="003278ED">
        <w:rPr>
          <w:rFonts w:ascii="Calibri" w:eastAsia="Calibri" w:hAnsi="Calibri" w:cs="Times New Roman"/>
          <w:b/>
          <w:color w:val="000000" w:themeColor="text1"/>
          <w:lang w:val="en-US"/>
        </w:rPr>
        <w:t xml:space="preserve">.3.8. </w:t>
      </w:r>
      <w:bookmarkStart w:id="610" w:name="_Hlk50626863"/>
      <w:r w:rsidR="00D70598" w:rsidRPr="003278ED">
        <w:rPr>
          <w:rFonts w:ascii="Calibri" w:eastAsia="Calibri" w:hAnsi="Calibri" w:cs="Times New Roman"/>
          <w:b/>
          <w:color w:val="000000" w:themeColor="text1"/>
          <w:lang w:val="en-US"/>
        </w:rPr>
        <w:t>Collaterals and other credit quality (creditworthiness) improvement</w:t>
      </w:r>
      <w:bookmarkEnd w:id="610"/>
    </w:p>
    <w:p w14:paraId="09E7BF7C" w14:textId="77777777" w:rsidR="00D70598" w:rsidRPr="00537128" w:rsidRDefault="00D70598" w:rsidP="00D70598">
      <w:pPr>
        <w:spacing w:after="0" w:line="240" w:lineRule="auto"/>
        <w:jc w:val="both"/>
        <w:rPr>
          <w:rFonts w:ascii="Calibri" w:eastAsia="Times New Roman" w:hAnsi="Calibri" w:cs="Arial"/>
          <w:color w:val="000000" w:themeColor="text1"/>
          <w:sz w:val="18"/>
          <w:szCs w:val="18"/>
          <w:lang w:val="en-US"/>
        </w:rPr>
      </w:pPr>
    </w:p>
    <w:p w14:paraId="354DA226" w14:textId="77777777" w:rsidR="00301752" w:rsidRPr="00E920D3" w:rsidRDefault="00301752" w:rsidP="00301752">
      <w:pPr>
        <w:spacing w:after="0" w:line="240" w:lineRule="auto"/>
        <w:jc w:val="both"/>
        <w:rPr>
          <w:rFonts w:cs="Arial"/>
        </w:rPr>
      </w:pPr>
      <w:r w:rsidRPr="00E920D3">
        <w:rPr>
          <w:rFonts w:cs="Arial"/>
        </w:rPr>
        <w:t>Collateral for the Bank’s placements are:</w:t>
      </w:r>
    </w:p>
    <w:p w14:paraId="7E5266D7" w14:textId="77777777" w:rsidR="00301752" w:rsidRPr="00E920D3" w:rsidRDefault="00301752" w:rsidP="00301752">
      <w:pPr>
        <w:numPr>
          <w:ilvl w:val="0"/>
          <w:numId w:val="37"/>
        </w:numPr>
        <w:spacing w:after="0" w:line="240" w:lineRule="auto"/>
        <w:ind w:left="714" w:hanging="357"/>
        <w:jc w:val="both"/>
        <w:rPr>
          <w:rFonts w:cs="Arial"/>
        </w:rPr>
      </w:pPr>
      <w:r w:rsidRPr="00E920D3">
        <w:rPr>
          <w:rFonts w:cs="Arial"/>
        </w:rPr>
        <w:t>obligatory (bills of exchange and promissory notes),</w:t>
      </w:r>
    </w:p>
    <w:p w14:paraId="3A403A8B" w14:textId="77777777" w:rsidR="00301752" w:rsidRPr="00E920D3" w:rsidRDefault="00301752" w:rsidP="00301752">
      <w:pPr>
        <w:numPr>
          <w:ilvl w:val="0"/>
          <w:numId w:val="37"/>
        </w:numPr>
        <w:spacing w:after="0" w:line="240" w:lineRule="auto"/>
        <w:jc w:val="both"/>
        <w:rPr>
          <w:rFonts w:cs="Arial"/>
        </w:rPr>
      </w:pPr>
      <w:r w:rsidRPr="00E920D3">
        <w:rPr>
          <w:rFonts w:cs="Arial"/>
        </w:rPr>
        <w:t>ordinary (property, ships, airplanes, bank guarantees, guarantees from the Republic of Croatia, guarantees from the local and regional authorities, guarantees from HAMAG-BICRO (</w:t>
      </w:r>
      <w:r w:rsidRPr="00E920D3">
        <w:t>Croatian Agency for SMSs, Innovation and Investment)</w:t>
      </w:r>
      <w:r w:rsidRPr="00E920D3">
        <w:rPr>
          <w:rFonts w:cs="Arial"/>
        </w:rPr>
        <w:t>, insurance policy against political and/or commercial risks), and</w:t>
      </w:r>
    </w:p>
    <w:p w14:paraId="4D12CAD3" w14:textId="77777777" w:rsidR="00301752" w:rsidRPr="00E920D3" w:rsidRDefault="00301752" w:rsidP="00301752">
      <w:pPr>
        <w:numPr>
          <w:ilvl w:val="0"/>
          <w:numId w:val="37"/>
        </w:numPr>
        <w:spacing w:after="0" w:line="240" w:lineRule="auto"/>
        <w:ind w:left="714" w:hanging="357"/>
        <w:jc w:val="both"/>
        <w:rPr>
          <w:rFonts w:eastAsia="Calibri"/>
        </w:rPr>
      </w:pPr>
      <w:r w:rsidRPr="00E920D3">
        <w:rPr>
          <w:rFonts w:eastAsia="Calibri" w:cs="Arial"/>
        </w:rPr>
        <w:t>other collateral (movable property, bills of exchange or guarantees from other companies with solid creditworthiness, fiduciary or pledge of companies’ equity instruments, repossession of cash receivables or assignment for collectible receivables, deposit repossession, restriction of transferability on insurance policy of assets and/or person, pledge on a trademark, etc.).</w:t>
      </w:r>
    </w:p>
    <w:p w14:paraId="64FBE2CE" w14:textId="77777777" w:rsidR="00301752" w:rsidRDefault="00301752" w:rsidP="00301752">
      <w:pPr>
        <w:tabs>
          <w:tab w:val="left" w:pos="7371"/>
        </w:tabs>
        <w:spacing w:after="0" w:line="240" w:lineRule="auto"/>
        <w:jc w:val="both"/>
        <w:rPr>
          <w:rFonts w:eastAsia="Calibri"/>
          <w:sz w:val="18"/>
          <w:szCs w:val="18"/>
        </w:rPr>
      </w:pPr>
    </w:p>
    <w:p w14:paraId="2E38F717" w14:textId="77777777" w:rsidR="00301752" w:rsidRDefault="00301752" w:rsidP="00301752">
      <w:pPr>
        <w:spacing w:after="0" w:line="240" w:lineRule="auto"/>
        <w:jc w:val="both"/>
        <w:rPr>
          <w:rFonts w:eastAsia="Calibri"/>
        </w:rPr>
      </w:pPr>
      <w:r w:rsidRPr="00E920D3">
        <w:rPr>
          <w:rFonts w:eastAsia="Calibri"/>
        </w:rPr>
        <w:t xml:space="preserve">All </w:t>
      </w:r>
      <w:r>
        <w:rPr>
          <w:rFonts w:eastAsia="Calibri"/>
        </w:rPr>
        <w:t>Bank</w:t>
      </w:r>
      <w:r w:rsidRPr="00E920D3">
        <w:rPr>
          <w:rFonts w:eastAsia="Calibri"/>
        </w:rPr>
        <w:t xml:space="preserve"> placements have to be secured with obligatory collateral. Low</w:t>
      </w:r>
      <w:r>
        <w:rPr>
          <w:rFonts w:eastAsia="Calibri"/>
        </w:rPr>
        <w:t xml:space="preserve"> amount</w:t>
      </w:r>
      <w:r w:rsidRPr="00E920D3">
        <w:rPr>
          <w:rFonts w:eastAsia="Calibri"/>
        </w:rPr>
        <w:t xml:space="preserve"> placements must be secured with one obligatory instrument of collateral at least. The selection of eligible collaterals does not depend on the insurance ratio achieved only, but also on the risks identified, with marketable and more valuable collaterals being preferred.</w:t>
      </w:r>
    </w:p>
    <w:p w14:paraId="5A6C09AA" w14:textId="77777777" w:rsidR="00301752" w:rsidRPr="00E920D3" w:rsidRDefault="00301752" w:rsidP="00301752">
      <w:pPr>
        <w:tabs>
          <w:tab w:val="left" w:pos="7371"/>
        </w:tabs>
        <w:spacing w:after="0" w:line="240" w:lineRule="auto"/>
        <w:jc w:val="both"/>
        <w:rPr>
          <w:rFonts w:eastAsia="Calibri"/>
          <w:sz w:val="18"/>
          <w:szCs w:val="18"/>
        </w:rPr>
      </w:pPr>
    </w:p>
    <w:p w14:paraId="7DBBB691" w14:textId="77777777" w:rsidR="00301752" w:rsidRPr="00E920D3" w:rsidRDefault="00301752" w:rsidP="00301752">
      <w:pPr>
        <w:tabs>
          <w:tab w:val="left" w:pos="7371"/>
        </w:tabs>
        <w:spacing w:after="0" w:line="240" w:lineRule="auto"/>
        <w:jc w:val="both"/>
        <w:rPr>
          <w:rFonts w:eastAsia="Calibri" w:cs="Arial"/>
        </w:rPr>
      </w:pPr>
      <w:r w:rsidRPr="00E920D3">
        <w:rPr>
          <w:rFonts w:eastAsia="Calibri"/>
        </w:rPr>
        <w:t>Acceptable ordinary and other collateral are classified according to quality in five groups.</w:t>
      </w:r>
      <w:r w:rsidRPr="00E920D3">
        <w:rPr>
          <w:rFonts w:eastAsia="Calibri" w:cs="Arial"/>
        </w:rPr>
        <w:t xml:space="preserve"> The evaluation of collateral is based on quality, estimated based on marketability, documentation and possibility of supervision by the Bank as well as the possibility of enforced collection. </w:t>
      </w:r>
    </w:p>
    <w:p w14:paraId="2557C387" w14:textId="77777777" w:rsidR="00301752" w:rsidRPr="00E920D3" w:rsidRDefault="00301752" w:rsidP="00301752">
      <w:pPr>
        <w:tabs>
          <w:tab w:val="left" w:pos="7371"/>
        </w:tabs>
        <w:spacing w:after="0" w:line="240" w:lineRule="auto"/>
        <w:jc w:val="both"/>
        <w:rPr>
          <w:rFonts w:eastAsia="Calibri" w:cs="Arial"/>
          <w:sz w:val="18"/>
          <w:szCs w:val="18"/>
        </w:rPr>
      </w:pPr>
    </w:p>
    <w:p w14:paraId="32F4C66B" w14:textId="77777777" w:rsidR="00301752" w:rsidRPr="00E920D3" w:rsidRDefault="00301752" w:rsidP="00301752">
      <w:pPr>
        <w:tabs>
          <w:tab w:val="left" w:pos="7371"/>
        </w:tabs>
        <w:spacing w:after="0" w:line="240" w:lineRule="auto"/>
        <w:jc w:val="both"/>
        <w:rPr>
          <w:rFonts w:eastAsia="Calibri"/>
        </w:rPr>
      </w:pPr>
      <w:r w:rsidRPr="00E920D3">
        <w:rPr>
          <w:rFonts w:eastAsia="Calibri" w:cs="Arial"/>
        </w:rPr>
        <w:t>When deciding on loan approval, weak creditworthiness cannot be replaced by quality collateral, except when the security instruments are first class instruments: guarantees from the Republic of Croatia, guarantees of local/regional authorities (JLPS), guarantees from HAMAG-BICRO, loan insurance policy and when the Republic of Croatia, JLPS or other government authorities guarantee for clients implicitly.</w:t>
      </w:r>
    </w:p>
    <w:p w14:paraId="736CCF6F" w14:textId="77777777" w:rsidR="00301752" w:rsidRDefault="00301752" w:rsidP="00301752">
      <w:pPr>
        <w:spacing w:after="0" w:line="240" w:lineRule="auto"/>
        <w:jc w:val="both"/>
        <w:rPr>
          <w:rFonts w:eastAsia="Calibri"/>
        </w:rPr>
      </w:pPr>
    </w:p>
    <w:p w14:paraId="67732987" w14:textId="77777777" w:rsidR="00A12D4D" w:rsidRPr="00537128" w:rsidRDefault="00A12D4D" w:rsidP="005B7D9D">
      <w:pPr>
        <w:tabs>
          <w:tab w:val="left" w:pos="7371"/>
        </w:tabs>
        <w:spacing w:after="0" w:line="240" w:lineRule="auto"/>
        <w:jc w:val="both"/>
        <w:rPr>
          <w:rFonts w:ascii="Calibri" w:eastAsia="Calibri" w:hAnsi="Calibri" w:cs="Times New Roman"/>
          <w:color w:val="000000" w:themeColor="text1"/>
          <w:lang w:val="en-US"/>
        </w:rPr>
        <w:sectPr w:rsidR="00A12D4D" w:rsidRPr="00537128">
          <w:pgSz w:w="11906" w:h="16838"/>
          <w:pgMar w:top="1417" w:right="1417" w:bottom="1417" w:left="1417" w:header="708" w:footer="708" w:gutter="0"/>
          <w:cols w:space="708"/>
          <w:docGrid w:linePitch="360"/>
        </w:sectPr>
      </w:pPr>
    </w:p>
    <w:p w14:paraId="5CB689E8" w14:textId="77777777" w:rsidR="006E2836" w:rsidRPr="00537128" w:rsidRDefault="006E2836" w:rsidP="006E2836">
      <w:pPr>
        <w:tabs>
          <w:tab w:val="right" w:pos="1202"/>
          <w:tab w:val="left" w:pos="9180"/>
        </w:tabs>
        <w:spacing w:after="0" w:line="240" w:lineRule="auto"/>
        <w:jc w:val="both"/>
        <w:outlineLvl w:val="0"/>
        <w:rPr>
          <w:rFonts w:ascii="Calibri" w:eastAsia="Times New Roman" w:hAnsi="Calibri" w:cs="Arial"/>
          <w:color w:val="000000" w:themeColor="text1"/>
          <w:sz w:val="16"/>
          <w:szCs w:val="16"/>
          <w:lang w:val="en-US"/>
        </w:rPr>
      </w:pPr>
    </w:p>
    <w:p w14:paraId="61D5733A" w14:textId="3E0562E1" w:rsidR="006E2836" w:rsidRPr="00537128" w:rsidRDefault="00951B0F" w:rsidP="006E2836">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6E2836" w:rsidRPr="00537128">
        <w:rPr>
          <w:rFonts w:ascii="Calibri" w:eastAsia="Times New Roman" w:hAnsi="Calibri" w:cs="Calibri"/>
          <w:b/>
          <w:bCs/>
          <w:color w:val="000000" w:themeColor="text1"/>
          <w:lang w:val="en-US" w:eastAsia="hr-HR"/>
        </w:rPr>
        <w:t>.</w:t>
      </w:r>
      <w:r w:rsidR="006E2836" w:rsidRPr="00537128">
        <w:rPr>
          <w:rFonts w:ascii="Calibri" w:eastAsia="Times New Roman" w:hAnsi="Calibri" w:cs="Calibri"/>
          <w:b/>
          <w:bCs/>
          <w:color w:val="000000" w:themeColor="text1"/>
          <w:lang w:val="en-US"/>
        </w:rPr>
        <w:tab/>
        <w:t>Risk management (continued)</w:t>
      </w:r>
    </w:p>
    <w:p w14:paraId="54B27221" w14:textId="77777777" w:rsidR="006E2836" w:rsidRPr="00537128" w:rsidRDefault="006E2836" w:rsidP="006E2836">
      <w:pPr>
        <w:tabs>
          <w:tab w:val="left" w:pos="709"/>
          <w:tab w:val="left" w:pos="851"/>
        </w:tabs>
        <w:spacing w:after="0" w:line="240" w:lineRule="auto"/>
        <w:jc w:val="both"/>
        <w:rPr>
          <w:rFonts w:ascii="Calibri" w:eastAsia="Times New Roman" w:hAnsi="Calibri" w:cs="Arial"/>
          <w:color w:val="000000" w:themeColor="text1"/>
          <w:sz w:val="14"/>
          <w:szCs w:val="14"/>
          <w:lang w:val="en-US"/>
        </w:rPr>
      </w:pPr>
    </w:p>
    <w:p w14:paraId="5CD131B4" w14:textId="6FAF2F3F" w:rsidR="006E2836" w:rsidRPr="00537128" w:rsidRDefault="00951B0F" w:rsidP="006E2836">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6E2836" w:rsidRPr="00537128">
        <w:rPr>
          <w:rFonts w:ascii="Calibri" w:eastAsia="Times New Roman" w:hAnsi="Calibri" w:cs="Arial"/>
          <w:b/>
          <w:color w:val="000000" w:themeColor="text1"/>
          <w:lang w:val="en-US"/>
        </w:rPr>
        <w:t>.3.   Credit risk</w:t>
      </w:r>
      <w:bookmarkStart w:id="611" w:name="_Hlk68870321"/>
      <w:r w:rsidR="006E2836" w:rsidRPr="00537128">
        <w:rPr>
          <w:rFonts w:ascii="Calibri" w:eastAsia="Times New Roman" w:hAnsi="Calibri" w:cs="Arial"/>
          <w:b/>
          <w:color w:val="000000" w:themeColor="text1"/>
          <w:lang w:val="en-US"/>
        </w:rPr>
        <w:t xml:space="preserve"> (continued)</w:t>
      </w:r>
      <w:bookmarkEnd w:id="611"/>
    </w:p>
    <w:p w14:paraId="606CBECC" w14:textId="77777777" w:rsidR="006E2836" w:rsidRPr="00537128" w:rsidRDefault="006E2836" w:rsidP="006E2836">
      <w:pPr>
        <w:tabs>
          <w:tab w:val="left" w:pos="709"/>
          <w:tab w:val="left" w:pos="851"/>
        </w:tabs>
        <w:spacing w:after="0" w:line="240" w:lineRule="auto"/>
        <w:jc w:val="both"/>
        <w:rPr>
          <w:rFonts w:ascii="Calibri" w:eastAsia="Times New Roman" w:hAnsi="Calibri" w:cs="Arial"/>
          <w:b/>
          <w:color w:val="000000" w:themeColor="text1"/>
          <w:sz w:val="14"/>
          <w:szCs w:val="14"/>
          <w:lang w:val="en-US"/>
        </w:rPr>
      </w:pPr>
    </w:p>
    <w:p w14:paraId="4AB21A6A" w14:textId="2EB4781A" w:rsidR="006E2836" w:rsidRPr="00537128" w:rsidRDefault="00951B0F" w:rsidP="006E2836">
      <w:pPr>
        <w:spacing w:after="0" w:line="240" w:lineRule="auto"/>
        <w:jc w:val="both"/>
        <w:rPr>
          <w:rFonts w:ascii="Calibri" w:eastAsia="Calibri" w:hAnsi="Calibri" w:cs="Times New Roman"/>
          <w:b/>
          <w:color w:val="000000" w:themeColor="text1"/>
          <w:lang w:val="en-US"/>
        </w:rPr>
      </w:pPr>
      <w:r w:rsidRPr="00537128">
        <w:rPr>
          <w:rFonts w:ascii="Calibri" w:eastAsia="Calibri" w:hAnsi="Calibri" w:cs="Times New Roman"/>
          <w:b/>
          <w:color w:val="000000" w:themeColor="text1"/>
          <w:lang w:val="en-US"/>
        </w:rPr>
        <w:t>2</w:t>
      </w:r>
      <w:r>
        <w:rPr>
          <w:rFonts w:ascii="Calibri" w:eastAsia="Calibri" w:hAnsi="Calibri" w:cs="Times New Roman"/>
          <w:b/>
          <w:color w:val="000000" w:themeColor="text1"/>
          <w:lang w:val="en-US"/>
        </w:rPr>
        <w:t>3</w:t>
      </w:r>
      <w:r w:rsidR="006E2836" w:rsidRPr="00537128">
        <w:rPr>
          <w:rFonts w:ascii="Calibri" w:eastAsia="Calibri" w:hAnsi="Calibri" w:cs="Times New Roman"/>
          <w:b/>
          <w:color w:val="000000" w:themeColor="text1"/>
          <w:lang w:val="en-US"/>
        </w:rPr>
        <w:t>.3.8. Collaterals and other credit quality (creditworthiness) improvement</w:t>
      </w:r>
      <w:r w:rsidR="006E2836" w:rsidRPr="00537128">
        <w:rPr>
          <w:rFonts w:ascii="Calibri" w:eastAsia="Times New Roman" w:hAnsi="Calibri" w:cs="Arial"/>
          <w:b/>
          <w:color w:val="000000" w:themeColor="text1"/>
          <w:lang w:val="en-US"/>
        </w:rPr>
        <w:t xml:space="preserve"> (continued)</w:t>
      </w:r>
    </w:p>
    <w:p w14:paraId="30A7AD97" w14:textId="77777777" w:rsidR="006E2836" w:rsidRPr="00537128" w:rsidRDefault="006E2836" w:rsidP="005B7D9D">
      <w:pPr>
        <w:tabs>
          <w:tab w:val="left" w:pos="7371"/>
        </w:tabs>
        <w:spacing w:after="0" w:line="240" w:lineRule="auto"/>
        <w:jc w:val="both"/>
        <w:rPr>
          <w:rFonts w:ascii="Calibri" w:eastAsia="Calibri" w:hAnsi="Calibri" w:cs="Times New Roman"/>
          <w:color w:val="000000" w:themeColor="text1"/>
          <w:sz w:val="12"/>
          <w:szCs w:val="12"/>
          <w:lang w:val="en-US"/>
        </w:rPr>
      </w:pPr>
    </w:p>
    <w:p w14:paraId="04AE1DCA" w14:textId="77777777" w:rsidR="00DA4AE9" w:rsidRPr="00E920D3" w:rsidRDefault="00DA4AE9" w:rsidP="00DA4AE9">
      <w:pPr>
        <w:tabs>
          <w:tab w:val="right" w:pos="9129"/>
        </w:tabs>
        <w:spacing w:after="0" w:line="240" w:lineRule="auto"/>
        <w:jc w:val="both"/>
        <w:rPr>
          <w:rFonts w:eastAsia="Calibri" w:cs="Arial"/>
        </w:rPr>
      </w:pPr>
      <w:r w:rsidRPr="00E920D3">
        <w:rPr>
          <w:rFonts w:eastAsia="Calibri" w:cs="Arial"/>
        </w:rPr>
        <w:t xml:space="preserve">For the purpose of mitigation of credit risk and reduction of business costs, and in compliance with the Act on the Croatian Bank for Reconstruction and Development, the </w:t>
      </w:r>
      <w:r>
        <w:rPr>
          <w:rFonts w:eastAsia="Calibri" w:cs="Arial"/>
        </w:rPr>
        <w:t>Bank</w:t>
      </w:r>
      <w:r w:rsidRPr="00E920D3">
        <w:rPr>
          <w:rFonts w:eastAsia="Calibri" w:cs="Arial"/>
        </w:rPr>
        <w:t xml:space="preserve"> approves part of its placements through financial institutions. As collateral for placements approved to final customers through financial institutions, the </w:t>
      </w:r>
      <w:r>
        <w:rPr>
          <w:rFonts w:eastAsia="Calibri" w:cs="Arial"/>
        </w:rPr>
        <w:t>Bank</w:t>
      </w:r>
      <w:r w:rsidRPr="00E920D3">
        <w:rPr>
          <w:rFonts w:eastAsia="Calibri" w:cs="Arial"/>
        </w:rPr>
        <w:t xml:space="preserve"> uses mandatory collateral from commercial banks/leasing companies. The financial institution is obliged to deliver them based on the Mutual business cooperation agreement, but not for each individual placement to the final customer based on that Agreement. In the individual contracts for placements to the final customers, the use of obligatory collateral delivered with the Agreement on mutual business cooperation is contracted. As the financial institutions take on the risk of default by the final customer, they are given the option to contract sufficient collateral with the final customer/leasing company.</w:t>
      </w:r>
    </w:p>
    <w:p w14:paraId="26B99305" w14:textId="77777777" w:rsidR="00DA4AE9" w:rsidRPr="00E920D3" w:rsidRDefault="00DA4AE9" w:rsidP="00DA4AE9">
      <w:pPr>
        <w:spacing w:after="0" w:line="240" w:lineRule="auto"/>
        <w:jc w:val="both"/>
        <w:rPr>
          <w:sz w:val="18"/>
          <w:szCs w:val="18"/>
        </w:rPr>
      </w:pPr>
    </w:p>
    <w:p w14:paraId="3849E8FB" w14:textId="77777777" w:rsidR="00DA4AE9" w:rsidRPr="00E920D3" w:rsidRDefault="00DA4AE9" w:rsidP="00DA4AE9">
      <w:pPr>
        <w:spacing w:after="0" w:line="240" w:lineRule="auto"/>
        <w:jc w:val="both"/>
        <w:rPr>
          <w:rFonts w:eastAsia="Calibri" w:cs="Arial"/>
        </w:rPr>
      </w:pPr>
      <w:r w:rsidRPr="00E920D3">
        <w:rPr>
          <w:rFonts w:eastAsia="Calibri" w:cs="Arial"/>
        </w:rPr>
        <w:t>Where the loan is approved through a commercial bank, depending on the financial institution’s internal rating, the Bank contracts a sub-mortgage. In this case, either the commercial bank transfers the ownership over the collateral, while the Bank takes a mortgage over the same collateral, or the commercial bank forms a mortgage on the collateral, while the Bank takes a sub-mortgage on the same collateral.</w:t>
      </w:r>
    </w:p>
    <w:p w14:paraId="067BA793" w14:textId="77777777" w:rsidR="00DA4AE9" w:rsidRPr="00E920D3" w:rsidRDefault="00DA4AE9" w:rsidP="00DA4AE9">
      <w:pPr>
        <w:spacing w:after="0" w:line="240" w:lineRule="auto"/>
        <w:jc w:val="both"/>
        <w:rPr>
          <w:sz w:val="18"/>
          <w:szCs w:val="18"/>
        </w:rPr>
      </w:pPr>
    </w:p>
    <w:p w14:paraId="50D86354" w14:textId="77777777" w:rsidR="00DA4AE9" w:rsidRPr="00E920D3" w:rsidRDefault="00DA4AE9" w:rsidP="00DA4AE9">
      <w:pPr>
        <w:tabs>
          <w:tab w:val="right" w:pos="9129"/>
        </w:tabs>
        <w:spacing w:after="0" w:line="240" w:lineRule="auto"/>
        <w:jc w:val="both"/>
        <w:rPr>
          <w:rFonts w:eastAsia="Calibri" w:cs="Arial"/>
        </w:rPr>
      </w:pPr>
      <w:r w:rsidRPr="00E920D3">
        <w:rPr>
          <w:rFonts w:eastAsia="Calibri" w:cs="Arial"/>
        </w:rPr>
        <w:t>By signing the Agreement on mutual business cooperation, a transfer of any claims the commercial bank may have towards the final customer is made to HBOR. Pursuant to the Agreement, the commercial bank authorises HBOR to unilaterally inform the bank in written form that, in the case of the commercial bank’s insolvency or threat of liquidation, untimely repayments or default on the commitments agreed in the individual contract on interbank loan or actual (insolvent or regular) liquidation, the Bank assumes the receivable towards the final customer from the commercial bank, with the effect of assignment of receivables instead of contract fulfilment.</w:t>
      </w:r>
    </w:p>
    <w:p w14:paraId="18677ECF" w14:textId="77777777" w:rsidR="00DA4AE9" w:rsidRPr="00E920D3" w:rsidRDefault="00DA4AE9" w:rsidP="00DA4AE9">
      <w:pPr>
        <w:spacing w:after="0" w:line="240" w:lineRule="auto"/>
        <w:jc w:val="both"/>
        <w:rPr>
          <w:sz w:val="14"/>
          <w:szCs w:val="14"/>
        </w:rPr>
      </w:pPr>
    </w:p>
    <w:p w14:paraId="55789740" w14:textId="77777777" w:rsidR="00DA4AE9" w:rsidRPr="00E920D3" w:rsidRDefault="00DA4AE9" w:rsidP="00DA4AE9">
      <w:pPr>
        <w:tabs>
          <w:tab w:val="right" w:pos="9129"/>
        </w:tabs>
        <w:spacing w:after="0" w:line="240" w:lineRule="auto"/>
        <w:jc w:val="both"/>
        <w:rPr>
          <w:rFonts w:eastAsia="Calibri" w:cs="Arial"/>
        </w:rPr>
      </w:pPr>
      <w:r w:rsidRPr="00E920D3">
        <w:rPr>
          <w:rFonts w:eastAsia="Calibri" w:cs="Arial"/>
        </w:rPr>
        <w:t>Additionally, based on the Agreement on mutual business cooperation and based on the said unilateral statement, the commercial bank authorises HBOR that HBOR may, without having to obtain any further consent or approval from the commercial bank, enter itself into all public registers, books or records as the creditor instead of the commercial bank under any security arrangements for assigned receivables as well as under any other proceedings.</w:t>
      </w:r>
    </w:p>
    <w:p w14:paraId="0E4F5A1B" w14:textId="77777777" w:rsidR="00DA4AE9" w:rsidRPr="00DA4AE9" w:rsidRDefault="00DA4AE9" w:rsidP="00DA4AE9">
      <w:pPr>
        <w:tabs>
          <w:tab w:val="right" w:pos="9129"/>
        </w:tabs>
        <w:spacing w:after="0" w:line="240" w:lineRule="auto"/>
        <w:jc w:val="both"/>
        <w:rPr>
          <w:rFonts w:eastAsia="Calibri" w:cs="Arial"/>
          <w:b/>
          <w:bCs/>
          <w:sz w:val="14"/>
          <w:szCs w:val="14"/>
        </w:rPr>
      </w:pPr>
    </w:p>
    <w:p w14:paraId="154067D9" w14:textId="77777777" w:rsidR="00DA4AE9" w:rsidRPr="00150C5F" w:rsidRDefault="00DA4AE9" w:rsidP="00DA4AE9">
      <w:pPr>
        <w:tabs>
          <w:tab w:val="right" w:pos="9129"/>
        </w:tabs>
        <w:spacing w:after="0" w:line="240" w:lineRule="auto"/>
        <w:jc w:val="both"/>
        <w:rPr>
          <w:rFonts w:eastAsia="Calibri" w:cs="Arial"/>
        </w:rPr>
      </w:pPr>
      <w:r w:rsidRPr="00B7299C">
        <w:rPr>
          <w:rFonts w:eastAsia="Calibri" w:cs="Arial"/>
        </w:rPr>
        <w:t>From the moment of the assignment, the final customer is obliged to make all payments related to the assigned receivable directly to HBOR. Shou</w:t>
      </w:r>
      <w:r w:rsidRPr="001A36DC">
        <w:rPr>
          <w:rFonts w:eastAsia="Calibri" w:cs="Arial"/>
        </w:rPr>
        <w:t>l</w:t>
      </w:r>
      <w:r w:rsidRPr="00150C5F">
        <w:rPr>
          <w:rFonts w:eastAsia="Calibri" w:cs="Arial"/>
        </w:rPr>
        <w:t>d the commercial bank receive any payments in the name of collection of receivables per particular placement, the bank is obliged to immediately transfer the funds to HBOR.</w:t>
      </w:r>
    </w:p>
    <w:p w14:paraId="62DC9F7C" w14:textId="77777777" w:rsidR="00DA4AE9" w:rsidRPr="00DA4AE9" w:rsidRDefault="00DA4AE9" w:rsidP="00DA4AE9">
      <w:pPr>
        <w:tabs>
          <w:tab w:val="right" w:pos="9129"/>
        </w:tabs>
        <w:spacing w:after="0" w:line="240" w:lineRule="auto"/>
        <w:jc w:val="both"/>
        <w:rPr>
          <w:rFonts w:eastAsia="Calibri" w:cs="Arial"/>
          <w:sz w:val="14"/>
          <w:szCs w:val="14"/>
        </w:rPr>
      </w:pPr>
    </w:p>
    <w:p w14:paraId="44DF45F7" w14:textId="77777777" w:rsidR="00DA4AE9" w:rsidRPr="00150C5F" w:rsidRDefault="00DA4AE9" w:rsidP="00DA4AE9">
      <w:pPr>
        <w:tabs>
          <w:tab w:val="right" w:pos="9129"/>
        </w:tabs>
        <w:spacing w:after="0" w:line="240" w:lineRule="auto"/>
        <w:jc w:val="both"/>
        <w:rPr>
          <w:rFonts w:eastAsia="Calibri" w:cs="Arial"/>
        </w:rPr>
      </w:pPr>
      <w:r w:rsidRPr="00150C5F">
        <w:rPr>
          <w:rFonts w:eastAsia="Calibri" w:cs="Arial"/>
        </w:rPr>
        <w:t xml:space="preserve">All direct placements are mainly secured with a transfer of ownership or with a mortgage over real estate and, if is possible, the </w:t>
      </w:r>
      <w:r>
        <w:rPr>
          <w:rFonts w:eastAsia="Calibri" w:cs="Arial"/>
        </w:rPr>
        <w:t>Bank</w:t>
      </w:r>
      <w:r w:rsidRPr="00150C5F">
        <w:rPr>
          <w:rFonts w:eastAsia="Calibri" w:cs="Arial"/>
        </w:rPr>
        <w:t xml:space="preserve"> obtains as security against credit risk a guarantee from HAMAG-BICRO, </w:t>
      </w:r>
      <w:r>
        <w:rPr>
          <w:rFonts w:eastAsia="Calibri" w:cs="Arial"/>
        </w:rPr>
        <w:t xml:space="preserve">a guarantee from EIF (European Investment Fund), </w:t>
      </w:r>
      <w:r w:rsidRPr="00150C5F">
        <w:rPr>
          <w:rFonts w:eastAsia="Calibri" w:cs="Arial"/>
        </w:rPr>
        <w:t>a guarantee from the local and regional authority, a guarantee from the Republic of Croatia, etc.</w:t>
      </w:r>
    </w:p>
    <w:p w14:paraId="448C007A" w14:textId="77777777" w:rsidR="00DA4AE9" w:rsidRPr="00DA4AE9" w:rsidRDefault="00DA4AE9" w:rsidP="00DA4AE9">
      <w:pPr>
        <w:tabs>
          <w:tab w:val="right" w:pos="9129"/>
        </w:tabs>
        <w:spacing w:after="0" w:line="240" w:lineRule="auto"/>
        <w:jc w:val="both"/>
        <w:rPr>
          <w:rFonts w:eastAsia="Calibri" w:cs="Arial"/>
          <w:b/>
          <w:bCs/>
          <w:sz w:val="16"/>
          <w:szCs w:val="16"/>
        </w:rPr>
      </w:pPr>
    </w:p>
    <w:p w14:paraId="49FB29CD" w14:textId="77777777" w:rsidR="00DA4AE9" w:rsidRDefault="00DA4AE9" w:rsidP="00DA4AE9">
      <w:pPr>
        <w:tabs>
          <w:tab w:val="right" w:pos="9129"/>
        </w:tabs>
        <w:spacing w:after="0" w:line="240" w:lineRule="auto"/>
        <w:jc w:val="both"/>
        <w:rPr>
          <w:rFonts w:eastAsia="Calibri" w:cs="Arial"/>
        </w:rPr>
        <w:sectPr w:rsidR="00DA4AE9" w:rsidSect="00C06CDD">
          <w:pgSz w:w="11906" w:h="16838" w:code="9"/>
          <w:pgMar w:top="1418" w:right="1418" w:bottom="595" w:left="1134" w:header="851" w:footer="851" w:gutter="0"/>
          <w:cols w:space="720"/>
          <w:noEndnote/>
        </w:sectPr>
      </w:pPr>
      <w:r w:rsidRPr="00B7299C">
        <w:rPr>
          <w:rFonts w:eastAsia="Calibri" w:cs="Arial"/>
        </w:rPr>
        <w:t xml:space="preserve">The </w:t>
      </w:r>
      <w:r>
        <w:rPr>
          <w:rFonts w:eastAsia="Calibri" w:cs="Arial"/>
        </w:rPr>
        <w:t>Bank</w:t>
      </w:r>
      <w:r w:rsidRPr="00B7299C">
        <w:rPr>
          <w:rFonts w:eastAsia="Calibri" w:cs="Arial"/>
        </w:rPr>
        <w:t xml:space="preserve"> has the right to verif</w:t>
      </w:r>
      <w:r w:rsidRPr="001A36DC">
        <w:rPr>
          <w:rFonts w:eastAsia="Calibri" w:cs="Arial"/>
        </w:rPr>
        <w:t>y the appraisal of the collateral value and such a confirmed appraisal is considered as the final col</w:t>
      </w:r>
      <w:r w:rsidRPr="00150C5F">
        <w:rPr>
          <w:rFonts w:eastAsia="Calibri" w:cs="Arial"/>
        </w:rPr>
        <w:t>lateral value.</w:t>
      </w:r>
    </w:p>
    <w:p w14:paraId="404D31F0" w14:textId="77777777" w:rsidR="005B7D9D" w:rsidRPr="00C42103" w:rsidRDefault="005B7D9D" w:rsidP="00C42103">
      <w:pPr>
        <w:spacing w:after="0" w:line="240" w:lineRule="auto"/>
        <w:jc w:val="both"/>
        <w:rPr>
          <w:rFonts w:ascii="Calibri" w:eastAsia="Times New Roman" w:hAnsi="Calibri" w:cs="Calibri"/>
          <w:b/>
          <w:bCs/>
          <w:color w:val="000000" w:themeColor="text1"/>
          <w:sz w:val="18"/>
          <w:szCs w:val="18"/>
          <w:lang w:val="en-US" w:eastAsia="hr-HR"/>
        </w:rPr>
      </w:pPr>
    </w:p>
    <w:p w14:paraId="6C81958F" w14:textId="77FF1BA3" w:rsidR="005B7D9D" w:rsidRPr="00537128" w:rsidRDefault="00951B0F" w:rsidP="005B7D9D">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5B7D9D" w:rsidRPr="00537128">
        <w:rPr>
          <w:rFonts w:ascii="Calibri" w:eastAsia="Times New Roman" w:hAnsi="Calibri" w:cs="Calibri"/>
          <w:b/>
          <w:bCs/>
          <w:color w:val="000000" w:themeColor="text1"/>
          <w:lang w:val="en-US" w:eastAsia="hr-HR"/>
        </w:rPr>
        <w:t>.</w:t>
      </w:r>
      <w:r w:rsidR="005B7D9D" w:rsidRPr="00537128">
        <w:rPr>
          <w:rFonts w:ascii="Calibri" w:eastAsia="Times New Roman" w:hAnsi="Calibri" w:cs="Calibri"/>
          <w:b/>
          <w:bCs/>
          <w:color w:val="000000" w:themeColor="text1"/>
          <w:lang w:val="en-US"/>
        </w:rPr>
        <w:tab/>
        <w:t>Risk management (continued)</w:t>
      </w:r>
    </w:p>
    <w:p w14:paraId="425372D4" w14:textId="77777777" w:rsidR="005B7D9D" w:rsidRPr="00C42103" w:rsidRDefault="005B7D9D" w:rsidP="005B7D9D">
      <w:pPr>
        <w:tabs>
          <w:tab w:val="left" w:pos="709"/>
          <w:tab w:val="left" w:pos="851"/>
        </w:tabs>
        <w:spacing w:after="0" w:line="240" w:lineRule="auto"/>
        <w:jc w:val="both"/>
        <w:rPr>
          <w:rFonts w:ascii="Calibri" w:eastAsia="Times New Roman" w:hAnsi="Calibri" w:cs="Arial"/>
          <w:color w:val="000000" w:themeColor="text1"/>
          <w:sz w:val="20"/>
          <w:szCs w:val="20"/>
          <w:lang w:val="en-US"/>
        </w:rPr>
      </w:pPr>
    </w:p>
    <w:p w14:paraId="16690DCE" w14:textId="10D428A4" w:rsidR="005B7D9D" w:rsidRPr="00537128" w:rsidRDefault="00951B0F" w:rsidP="005B7D9D">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5B7D9D" w:rsidRPr="00537128">
        <w:rPr>
          <w:rFonts w:ascii="Calibri" w:eastAsia="Times New Roman" w:hAnsi="Calibri" w:cs="Arial"/>
          <w:b/>
          <w:color w:val="000000" w:themeColor="text1"/>
          <w:lang w:val="en-US"/>
        </w:rPr>
        <w:t>.3.   Credit risk (continued)</w:t>
      </w:r>
    </w:p>
    <w:p w14:paraId="574342B2" w14:textId="77777777" w:rsidR="005B7D9D" w:rsidRPr="00C42103" w:rsidRDefault="005B7D9D" w:rsidP="005B7D9D">
      <w:pPr>
        <w:tabs>
          <w:tab w:val="right" w:pos="9129"/>
        </w:tabs>
        <w:spacing w:after="0" w:line="240" w:lineRule="auto"/>
        <w:jc w:val="both"/>
        <w:rPr>
          <w:rFonts w:ascii="Calibri" w:eastAsia="Calibri" w:hAnsi="Calibri" w:cs="Arial"/>
          <w:b/>
          <w:bCs/>
          <w:color w:val="000000" w:themeColor="text1"/>
          <w:sz w:val="20"/>
          <w:szCs w:val="20"/>
          <w:lang w:val="en-US"/>
        </w:rPr>
      </w:pPr>
    </w:p>
    <w:p w14:paraId="4A627C9B" w14:textId="3627C8C3" w:rsidR="005B7D9D" w:rsidRPr="00537128" w:rsidRDefault="00951B0F" w:rsidP="005B7D9D">
      <w:pPr>
        <w:spacing w:after="0" w:line="300" w:lineRule="exact"/>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5B7D9D" w:rsidRPr="00537128">
        <w:rPr>
          <w:rFonts w:ascii="Calibri" w:eastAsia="Calibri" w:hAnsi="Calibri" w:cs="Arial"/>
          <w:b/>
          <w:color w:val="000000" w:themeColor="text1"/>
          <w:lang w:val="en-US"/>
        </w:rPr>
        <w:t xml:space="preserve">.3.8. </w:t>
      </w:r>
      <w:bookmarkStart w:id="612" w:name="_Hlk50626882"/>
      <w:r w:rsidR="005B7D9D" w:rsidRPr="00537128">
        <w:rPr>
          <w:rFonts w:ascii="Calibri" w:eastAsia="Calibri" w:hAnsi="Calibri" w:cs="Arial"/>
          <w:b/>
          <w:color w:val="000000" w:themeColor="text1"/>
          <w:lang w:val="en-US"/>
        </w:rPr>
        <w:t xml:space="preserve">Collateral and other credit enhancements (creditworthiness) </w:t>
      </w:r>
      <w:bookmarkEnd w:id="612"/>
      <w:r w:rsidR="005B7D9D" w:rsidRPr="00537128">
        <w:rPr>
          <w:rFonts w:ascii="Calibri" w:eastAsia="Calibri" w:hAnsi="Calibri" w:cs="Arial"/>
          <w:b/>
          <w:color w:val="000000" w:themeColor="text1"/>
          <w:lang w:val="en-US"/>
        </w:rPr>
        <w:t>(continued)</w:t>
      </w:r>
    </w:p>
    <w:p w14:paraId="28BCC23C" w14:textId="77777777" w:rsidR="006E2836" w:rsidRPr="00C42103" w:rsidRDefault="006E2836" w:rsidP="006E2836">
      <w:pPr>
        <w:tabs>
          <w:tab w:val="right" w:pos="9129"/>
        </w:tabs>
        <w:spacing w:after="0" w:line="240" w:lineRule="auto"/>
        <w:jc w:val="both"/>
        <w:rPr>
          <w:rFonts w:ascii="Calibri" w:eastAsia="Times New Roman" w:hAnsi="Calibri" w:cs="Arial"/>
          <w:sz w:val="16"/>
          <w:szCs w:val="16"/>
          <w:lang w:val="en-US"/>
        </w:rPr>
      </w:pPr>
    </w:p>
    <w:p w14:paraId="70B5BC6E" w14:textId="77777777" w:rsidR="00C42103" w:rsidRPr="00150C5F" w:rsidRDefault="00C42103" w:rsidP="00C42103">
      <w:pPr>
        <w:tabs>
          <w:tab w:val="right" w:pos="9129"/>
        </w:tabs>
        <w:spacing w:after="0" w:line="240" w:lineRule="auto"/>
        <w:jc w:val="both"/>
        <w:rPr>
          <w:rFonts w:eastAsia="Calibri" w:cs="Arial"/>
        </w:rPr>
      </w:pPr>
      <w:r w:rsidRPr="00B7299C">
        <w:rPr>
          <w:rFonts w:eastAsia="Calibri" w:cs="Arial"/>
        </w:rPr>
        <w:t xml:space="preserve">Depending on the type of collateral, the credit programme, the general terms of security or the decision of an authorised body, the </w:t>
      </w:r>
      <w:r>
        <w:rPr>
          <w:rFonts w:eastAsia="Calibri" w:cs="Arial"/>
        </w:rPr>
        <w:t>Bank</w:t>
      </w:r>
      <w:r w:rsidRPr="00B7299C">
        <w:rPr>
          <w:rFonts w:eastAsia="Calibri" w:cs="Arial"/>
        </w:rPr>
        <w:t xml:space="preserve"> h</w:t>
      </w:r>
      <w:r w:rsidRPr="001A36DC">
        <w:rPr>
          <w:rFonts w:eastAsia="Calibri" w:cs="Arial"/>
        </w:rPr>
        <w:t>as determined the necessary ratio of placements and collateral.</w:t>
      </w:r>
    </w:p>
    <w:p w14:paraId="070AC445" w14:textId="77777777" w:rsidR="00C42103" w:rsidRPr="00C42103" w:rsidRDefault="00C42103" w:rsidP="00C42103">
      <w:pPr>
        <w:tabs>
          <w:tab w:val="right" w:pos="9129"/>
        </w:tabs>
        <w:spacing w:after="0" w:line="240" w:lineRule="auto"/>
        <w:jc w:val="both"/>
        <w:rPr>
          <w:rFonts w:ascii="Calibri" w:hAnsi="Calibri" w:cs="Arial"/>
          <w:sz w:val="16"/>
          <w:szCs w:val="16"/>
        </w:rPr>
      </w:pPr>
    </w:p>
    <w:p w14:paraId="43184BBB" w14:textId="77777777" w:rsidR="00C42103" w:rsidRPr="000239F2" w:rsidRDefault="00C42103" w:rsidP="00C42103">
      <w:pPr>
        <w:autoSpaceDE w:val="0"/>
        <w:autoSpaceDN w:val="0"/>
        <w:spacing w:after="0" w:line="240" w:lineRule="auto"/>
        <w:ind w:right="-1"/>
        <w:jc w:val="both"/>
        <w:rPr>
          <w:rFonts w:ascii="Calibri" w:eastAsia="Calibri" w:hAnsi="Calibri" w:cs="Calibri"/>
          <w:color w:val="000000"/>
          <w:lang w:val="en-GB"/>
        </w:rPr>
      </w:pPr>
      <w:r w:rsidRPr="00B7299C">
        <w:rPr>
          <w:rFonts w:ascii="Calibri" w:hAnsi="Calibri" w:cs="Arial"/>
        </w:rPr>
        <w:t>In case of the real estate, the nece</w:t>
      </w:r>
      <w:r w:rsidRPr="001A36DC">
        <w:rPr>
          <w:rFonts w:ascii="Calibri" w:hAnsi="Calibri" w:cs="Arial"/>
        </w:rPr>
        <w:t>ssary ra</w:t>
      </w:r>
      <w:r w:rsidRPr="00150C5F">
        <w:rPr>
          <w:rFonts w:ascii="Calibri" w:hAnsi="Calibri" w:cs="Arial"/>
        </w:rPr>
        <w:t>tio of placement and estimated market value of the real estate should be 1:1.3, except in case of investments on the islands, supported areas where such ratio is 1:1.2. In case of moveable property, the necessary ratio of placement and estimated market value of moveable property should be 1:2. If a lower ratio of the collateral value than those prescribed is proposed, reasons and justifications of deviations from the prescribed ratio are explained.</w:t>
      </w:r>
      <w:r w:rsidRPr="003239B0">
        <w:rPr>
          <w:rFonts w:ascii="Calibri" w:hAnsi="Calibri" w:cs="Arial"/>
        </w:rPr>
        <w:t xml:space="preserve"> </w:t>
      </w:r>
      <w:r w:rsidRPr="000239F2">
        <w:rPr>
          <w:rFonts w:ascii="Calibri" w:eastAsia="Calibri" w:hAnsi="Calibri" w:cs="Calibri"/>
          <w:color w:val="000000"/>
          <w:lang w:val="en-GB"/>
        </w:rPr>
        <w:t>For direct financing of entrepreneurs' liquidity through COVID-19 loans or loans for earthquake-affected areas of Sisak-</w:t>
      </w:r>
      <w:proofErr w:type="spellStart"/>
      <w:r w:rsidRPr="000239F2">
        <w:rPr>
          <w:rFonts w:ascii="Calibri" w:eastAsia="Calibri" w:hAnsi="Calibri" w:cs="Calibri"/>
          <w:color w:val="000000"/>
          <w:lang w:val="en-GB"/>
        </w:rPr>
        <w:t>Moslavina</w:t>
      </w:r>
      <w:proofErr w:type="spellEnd"/>
      <w:r w:rsidRPr="000239F2">
        <w:rPr>
          <w:rFonts w:ascii="Calibri" w:eastAsia="Calibri" w:hAnsi="Calibri" w:cs="Calibri"/>
          <w:color w:val="000000"/>
          <w:lang w:val="en-GB"/>
        </w:rPr>
        <w:t xml:space="preserve"> county, cover is provided is through coverage of loans by collateral of at least 70%. </w:t>
      </w:r>
    </w:p>
    <w:p w14:paraId="161E1569" w14:textId="77777777" w:rsidR="00C42103" w:rsidRPr="00C42103" w:rsidRDefault="00C42103" w:rsidP="00C42103">
      <w:pPr>
        <w:tabs>
          <w:tab w:val="right" w:pos="9129"/>
        </w:tabs>
        <w:spacing w:after="0" w:line="240" w:lineRule="auto"/>
        <w:jc w:val="both"/>
        <w:rPr>
          <w:rFonts w:eastAsia="Calibri" w:cs="Arial"/>
          <w:b/>
          <w:bCs/>
          <w:sz w:val="16"/>
          <w:szCs w:val="16"/>
        </w:rPr>
      </w:pPr>
    </w:p>
    <w:p w14:paraId="1B2813C5" w14:textId="77777777" w:rsidR="00C42103" w:rsidRPr="00150C5F" w:rsidRDefault="00C42103" w:rsidP="00C42103">
      <w:pPr>
        <w:tabs>
          <w:tab w:val="left" w:pos="709"/>
          <w:tab w:val="right" w:pos="9129"/>
        </w:tabs>
        <w:spacing w:after="0" w:line="240" w:lineRule="auto"/>
        <w:jc w:val="both"/>
        <w:rPr>
          <w:rFonts w:eastAsia="Calibri" w:cs="Arial"/>
        </w:rPr>
      </w:pPr>
      <w:r w:rsidRPr="00B7299C">
        <w:rPr>
          <w:rFonts w:ascii="Calibri" w:hAnsi="Calibri" w:cs="Arial"/>
        </w:rPr>
        <w:t>The Bank continually monitors the value of collaterals by</w:t>
      </w:r>
      <w:r w:rsidRPr="001A36DC">
        <w:rPr>
          <w:rFonts w:ascii="Calibri" w:hAnsi="Calibri" w:cs="Arial"/>
        </w:rPr>
        <w:t xml:space="preserve"> </w:t>
      </w:r>
      <w:r w:rsidRPr="00150C5F">
        <w:rPr>
          <w:rFonts w:ascii="Calibri" w:hAnsi="Calibri" w:cs="Arial"/>
        </w:rPr>
        <w:t xml:space="preserve">re-estimation or confirmation/verification of the value. </w:t>
      </w:r>
      <w:r w:rsidRPr="00150C5F">
        <w:rPr>
          <w:rFonts w:eastAsia="Calibri" w:cs="Arial"/>
        </w:rPr>
        <w:t>Monitoring of the value of mortgaged real estate is performed once a year for business real estate, and every three years for residential buildings. The Bank has formed a special organizational unit for:</w:t>
      </w:r>
    </w:p>
    <w:p w14:paraId="6B8B3000" w14:textId="77777777" w:rsidR="00C42103" w:rsidRPr="00150C5F" w:rsidRDefault="00C42103" w:rsidP="00C42103">
      <w:pPr>
        <w:numPr>
          <w:ilvl w:val="0"/>
          <w:numId w:val="41"/>
        </w:numPr>
        <w:tabs>
          <w:tab w:val="num" w:pos="426"/>
          <w:tab w:val="right" w:pos="9129"/>
        </w:tabs>
        <w:spacing w:after="0" w:line="240" w:lineRule="auto"/>
        <w:ind w:hanging="578"/>
        <w:jc w:val="both"/>
        <w:rPr>
          <w:rFonts w:eastAsia="Calibri" w:cs="Arial"/>
        </w:rPr>
      </w:pPr>
      <w:r w:rsidRPr="00150C5F">
        <w:rPr>
          <w:rFonts w:eastAsia="Calibri" w:cs="Arial"/>
        </w:rPr>
        <w:t xml:space="preserve"> evaluation</w:t>
      </w:r>
      <w:r w:rsidRPr="00150C5F" w:rsidDel="00172F32">
        <w:rPr>
          <w:rFonts w:eastAsia="Calibri" w:cs="Arial"/>
        </w:rPr>
        <w:t xml:space="preserve"> </w:t>
      </w:r>
      <w:r w:rsidRPr="00150C5F">
        <w:rPr>
          <w:rFonts w:eastAsia="Calibri" w:cs="Arial"/>
        </w:rPr>
        <w:t>and verification</w:t>
      </w:r>
      <w:r w:rsidRPr="00150C5F" w:rsidDel="00DD2279">
        <w:rPr>
          <w:rFonts w:eastAsia="Calibri" w:cs="Arial"/>
        </w:rPr>
        <w:t xml:space="preserve"> </w:t>
      </w:r>
      <w:r w:rsidRPr="00150C5F">
        <w:rPr>
          <w:rFonts w:eastAsia="Calibri" w:cs="Arial"/>
        </w:rPr>
        <w:t>of already appraised and offered collateral (real estate and movables),</w:t>
      </w:r>
    </w:p>
    <w:p w14:paraId="55BD5C1F" w14:textId="77777777" w:rsidR="00C42103" w:rsidRPr="00150C5F" w:rsidRDefault="00C42103" w:rsidP="00C42103">
      <w:pPr>
        <w:numPr>
          <w:ilvl w:val="0"/>
          <w:numId w:val="40"/>
        </w:numPr>
        <w:shd w:val="clear" w:color="auto" w:fill="FFFFFF" w:themeFill="background1"/>
        <w:tabs>
          <w:tab w:val="clear" w:pos="502"/>
          <w:tab w:val="num" w:pos="567"/>
        </w:tabs>
        <w:spacing w:after="0" w:line="240" w:lineRule="auto"/>
        <w:jc w:val="both"/>
        <w:rPr>
          <w:rFonts w:eastAsia="Calibri" w:cs="Arial"/>
        </w:rPr>
      </w:pPr>
      <w:r w:rsidRPr="00150C5F">
        <w:rPr>
          <w:rFonts w:eastAsia="Calibri" w:cs="Arial"/>
        </w:rPr>
        <w:t>technical and technological analysis of investment projects, and</w:t>
      </w:r>
    </w:p>
    <w:p w14:paraId="5C83EF4C" w14:textId="77777777" w:rsidR="00C42103" w:rsidRPr="003239B0" w:rsidRDefault="00C42103" w:rsidP="00C42103">
      <w:pPr>
        <w:numPr>
          <w:ilvl w:val="0"/>
          <w:numId w:val="40"/>
        </w:numPr>
        <w:tabs>
          <w:tab w:val="clear" w:pos="502"/>
          <w:tab w:val="num" w:pos="567"/>
          <w:tab w:val="left" w:pos="9356"/>
        </w:tabs>
        <w:spacing w:after="0" w:line="240" w:lineRule="auto"/>
        <w:jc w:val="both"/>
        <w:rPr>
          <w:rFonts w:ascii="Calibri" w:eastAsia="Calibri" w:hAnsi="Calibri"/>
        </w:rPr>
      </w:pPr>
      <w:r w:rsidRPr="00150C5F">
        <w:rPr>
          <w:rFonts w:eastAsia="Calibri" w:cs="Arial"/>
        </w:rPr>
        <w:t>financial supervision over the withdrawal of loan funds for the purpose of the implementation of</w:t>
      </w:r>
      <w:r>
        <w:rPr>
          <w:rFonts w:eastAsia="Calibri" w:cs="Arial"/>
        </w:rPr>
        <w:t xml:space="preserve"> </w:t>
      </w:r>
      <w:r w:rsidRPr="00150C5F">
        <w:rPr>
          <w:rFonts w:eastAsia="Calibri" w:cs="Arial"/>
        </w:rPr>
        <w:t>the investment project.</w:t>
      </w:r>
    </w:p>
    <w:p w14:paraId="4C800EE0" w14:textId="77777777" w:rsidR="00C42103" w:rsidRPr="00C42103" w:rsidRDefault="00C42103" w:rsidP="00C42103">
      <w:pPr>
        <w:spacing w:after="0" w:line="240" w:lineRule="auto"/>
        <w:rPr>
          <w:rFonts w:eastAsia="Calibri" w:cs="Arial"/>
          <w:sz w:val="16"/>
          <w:szCs w:val="16"/>
        </w:rPr>
      </w:pPr>
    </w:p>
    <w:p w14:paraId="67C7802A" w14:textId="77777777" w:rsidR="00C42103" w:rsidRPr="00150C5F" w:rsidRDefault="00C42103" w:rsidP="00C42103">
      <w:pPr>
        <w:tabs>
          <w:tab w:val="left" w:pos="709"/>
          <w:tab w:val="right" w:pos="9129"/>
        </w:tabs>
        <w:spacing w:after="0" w:line="240" w:lineRule="auto"/>
        <w:jc w:val="both"/>
        <w:rPr>
          <w:rFonts w:eastAsia="Calibri" w:cs="Arial"/>
        </w:rPr>
      </w:pPr>
      <w:r w:rsidRPr="00B7299C">
        <w:rPr>
          <w:rFonts w:eastAsia="Calibri" w:cs="Arial"/>
        </w:rPr>
        <w:t>In the event that it is not possible for the Bank to collect from regular operations, the Bank starts collection from the collateral at its disp</w:t>
      </w:r>
      <w:r w:rsidRPr="001A36DC">
        <w:rPr>
          <w:rFonts w:eastAsia="Calibri" w:cs="Arial"/>
        </w:rPr>
        <w:t>osal. This encompasses initiating collection from the obligatory collatera</w:t>
      </w:r>
      <w:r w:rsidRPr="00150C5F">
        <w:rPr>
          <w:rFonts w:eastAsia="Calibri" w:cs="Arial"/>
        </w:rPr>
        <w:t>l, then from first-class, unconditional collateral payable on first demand and then from the mortgage or fiduciary ownership of the real estate or movable property, including their repossession with a view to decreasing or fully settling the Bank’s receivables. The Bank does not use repossessed assets for business purposes.</w:t>
      </w:r>
    </w:p>
    <w:p w14:paraId="6B8CAE76" w14:textId="77777777" w:rsidR="00C42103" w:rsidRPr="00C42103" w:rsidRDefault="00C42103" w:rsidP="00C42103">
      <w:pPr>
        <w:spacing w:after="0" w:line="240" w:lineRule="auto"/>
        <w:rPr>
          <w:rFonts w:eastAsia="Calibri" w:cs="Arial"/>
          <w:sz w:val="14"/>
          <w:szCs w:val="14"/>
        </w:rPr>
      </w:pPr>
    </w:p>
    <w:p w14:paraId="0F0DD197" w14:textId="77777777" w:rsidR="00C42103" w:rsidRPr="00150C5F" w:rsidRDefault="00C42103" w:rsidP="00C42103">
      <w:pPr>
        <w:spacing w:after="0" w:line="240" w:lineRule="auto"/>
        <w:jc w:val="both"/>
        <w:rPr>
          <w:rFonts w:eastAsia="Calibri" w:cs="Arial"/>
        </w:rPr>
      </w:pPr>
      <w:r w:rsidRPr="00B7299C">
        <w:rPr>
          <w:rFonts w:eastAsia="Calibri" w:cs="Arial"/>
        </w:rPr>
        <w:t xml:space="preserve">In the case of risk-sharing models, </w:t>
      </w:r>
      <w:r w:rsidRPr="001A36DC">
        <w:rPr>
          <w:rFonts w:eastAsia="Calibri" w:cs="Arial"/>
        </w:rPr>
        <w:t>collateral is created by commercial banks depending on the type of the mode</w:t>
      </w:r>
      <w:r w:rsidRPr="00150C5F">
        <w:rPr>
          <w:rFonts w:eastAsia="Calibri" w:cs="Arial"/>
        </w:rPr>
        <w:t xml:space="preserve">l: </w:t>
      </w:r>
    </w:p>
    <w:p w14:paraId="202E56EA" w14:textId="77777777" w:rsidR="00C42103" w:rsidRPr="00150C5F" w:rsidRDefault="00C42103" w:rsidP="00C42103">
      <w:pPr>
        <w:numPr>
          <w:ilvl w:val="0"/>
          <w:numId w:val="42"/>
        </w:numPr>
        <w:spacing w:after="0" w:line="240" w:lineRule="auto"/>
        <w:ind w:left="567" w:hanging="207"/>
        <w:contextualSpacing/>
        <w:jc w:val="both"/>
        <w:rPr>
          <w:rFonts w:eastAsia="Calibri" w:cs="Arial"/>
        </w:rPr>
      </w:pPr>
      <w:r w:rsidRPr="00150C5F">
        <w:rPr>
          <w:rFonts w:eastAsia="Calibri" w:cs="Arial"/>
        </w:rPr>
        <w:t>in accordance with their own internal documents and good banking practices, and, consequently, HBOR's documents and collateral ratios prescribed in them do not apply,</w:t>
      </w:r>
    </w:p>
    <w:p w14:paraId="2CC9064E" w14:textId="77777777" w:rsidR="00C42103" w:rsidRPr="00693567" w:rsidRDefault="00C42103" w:rsidP="00C42103">
      <w:pPr>
        <w:numPr>
          <w:ilvl w:val="0"/>
          <w:numId w:val="42"/>
        </w:numPr>
        <w:spacing w:after="0" w:line="240" w:lineRule="auto"/>
        <w:ind w:left="567" w:hanging="210"/>
        <w:contextualSpacing/>
        <w:jc w:val="both"/>
        <w:rPr>
          <w:rFonts w:eastAsia="Calibri" w:cs="Arial"/>
        </w:rPr>
      </w:pPr>
      <w:r w:rsidRPr="00150C5F">
        <w:rPr>
          <w:rFonts w:eastAsia="Calibri" w:cs="Arial"/>
        </w:rPr>
        <w:t xml:space="preserve">or collateral is created by commercial banks and HBOR for their respective shares in the loan in </w:t>
      </w:r>
      <w:r w:rsidRPr="00693567">
        <w:rPr>
          <w:rFonts w:eastAsia="Calibri" w:cs="Arial"/>
        </w:rPr>
        <w:t>accordance with their own documents, decisions and/or procedures,</w:t>
      </w:r>
    </w:p>
    <w:p w14:paraId="3703BA20" w14:textId="77777777" w:rsidR="00C42103" w:rsidRPr="00551B06" w:rsidRDefault="00C42103" w:rsidP="00C42103">
      <w:pPr>
        <w:numPr>
          <w:ilvl w:val="0"/>
          <w:numId w:val="42"/>
        </w:numPr>
        <w:spacing w:after="0" w:line="240" w:lineRule="auto"/>
        <w:ind w:left="567" w:hanging="210"/>
        <w:contextualSpacing/>
        <w:jc w:val="both"/>
        <w:rPr>
          <w:rFonts w:eastAsia="Calibri" w:cs="Arial"/>
        </w:rPr>
      </w:pPr>
      <w:r w:rsidRPr="00693567">
        <w:rPr>
          <w:rFonts w:eastAsia="Calibri" w:cs="Arial"/>
        </w:rPr>
        <w:t>for liquidity loans to entrepreneurs that have been strongly affected by the crisis caused by the coronavirus pandemic, the same instruments taken by the bank have been accepted as collateral provided that the collateral covers at least 50% of the loan.</w:t>
      </w:r>
    </w:p>
    <w:p w14:paraId="250824A9" w14:textId="77777777" w:rsidR="00C42103" w:rsidRPr="00C42103" w:rsidRDefault="00C42103" w:rsidP="00C42103">
      <w:pPr>
        <w:spacing w:after="0" w:line="240" w:lineRule="auto"/>
        <w:contextualSpacing/>
        <w:jc w:val="both"/>
        <w:rPr>
          <w:rFonts w:eastAsia="Calibri" w:cs="Arial"/>
          <w:sz w:val="16"/>
          <w:szCs w:val="16"/>
        </w:rPr>
      </w:pPr>
    </w:p>
    <w:p w14:paraId="4473225D" w14:textId="77777777" w:rsidR="00C42103" w:rsidRPr="00150C5F" w:rsidRDefault="00C42103" w:rsidP="00C42103">
      <w:pPr>
        <w:spacing w:after="0" w:line="240" w:lineRule="auto"/>
        <w:contextualSpacing/>
        <w:jc w:val="both"/>
        <w:rPr>
          <w:rFonts w:eastAsia="Calibri" w:cs="Arial"/>
          <w:b/>
        </w:rPr>
      </w:pPr>
      <w:r w:rsidRPr="003278ED">
        <w:rPr>
          <w:rFonts w:eastAsia="Calibri" w:cs="Arial"/>
          <w:b/>
        </w:rPr>
        <w:t>Write-offs</w:t>
      </w:r>
    </w:p>
    <w:p w14:paraId="0FFA21C1" w14:textId="77777777" w:rsidR="00C42103" w:rsidRPr="00150C5F" w:rsidRDefault="00C42103" w:rsidP="00C42103">
      <w:pPr>
        <w:spacing w:after="0" w:line="240" w:lineRule="auto"/>
        <w:contextualSpacing/>
        <w:jc w:val="both"/>
        <w:rPr>
          <w:rFonts w:eastAsia="Calibri" w:cs="Arial"/>
        </w:rPr>
      </w:pPr>
      <w:r w:rsidRPr="00150C5F">
        <w:rPr>
          <w:rFonts w:eastAsia="Calibri" w:cs="Arial"/>
        </w:rPr>
        <w:t>Write-off is performed in accordance with the Methodology for Write-Off of Receivables.</w:t>
      </w:r>
    </w:p>
    <w:p w14:paraId="09EDA609" w14:textId="77777777" w:rsidR="00C42103" w:rsidRPr="00150C5F" w:rsidRDefault="00C42103" w:rsidP="00C42103">
      <w:pPr>
        <w:spacing w:after="0" w:line="240" w:lineRule="auto"/>
        <w:contextualSpacing/>
        <w:jc w:val="both"/>
        <w:rPr>
          <w:rFonts w:eastAsia="Calibri" w:cs="Arial"/>
        </w:rPr>
      </w:pPr>
      <w:r w:rsidRPr="00150C5F">
        <w:rPr>
          <w:rFonts w:eastAsia="Calibri" w:cs="Arial"/>
        </w:rPr>
        <w:t>The criteria for considering the write-off of receivables can be classified into 3 main groups:</w:t>
      </w:r>
    </w:p>
    <w:p w14:paraId="7D074E3B" w14:textId="77777777" w:rsidR="00C42103" w:rsidRPr="00150C5F" w:rsidRDefault="00C42103" w:rsidP="00C42103">
      <w:pPr>
        <w:spacing w:after="0" w:line="240" w:lineRule="auto"/>
        <w:contextualSpacing/>
        <w:jc w:val="both"/>
        <w:rPr>
          <w:rFonts w:eastAsia="Calibri" w:cs="Arial"/>
        </w:rPr>
      </w:pPr>
      <w:r w:rsidRPr="00150C5F">
        <w:rPr>
          <w:rFonts w:eastAsia="Calibri" w:cs="Arial"/>
        </w:rPr>
        <w:t>A. exhaustion of all available forms of regular and compulsory collection;</w:t>
      </w:r>
    </w:p>
    <w:p w14:paraId="1C5118A9" w14:textId="77777777" w:rsidR="00C42103" w:rsidRPr="00150C5F" w:rsidRDefault="00C42103" w:rsidP="00C42103">
      <w:pPr>
        <w:spacing w:after="0" w:line="240" w:lineRule="auto"/>
        <w:contextualSpacing/>
        <w:jc w:val="both"/>
        <w:rPr>
          <w:rFonts w:eastAsia="Calibri" w:cs="Arial"/>
        </w:rPr>
      </w:pPr>
      <w:r w:rsidRPr="00150C5F">
        <w:rPr>
          <w:rFonts w:eastAsia="Calibri" w:cs="Arial"/>
        </w:rPr>
        <w:t>B. implementation of settlement, sale of receivables or restructuring of placements;</w:t>
      </w:r>
    </w:p>
    <w:p w14:paraId="1EDEC757" w14:textId="34EF9BA3" w:rsidR="00C42103" w:rsidRPr="003239B0" w:rsidRDefault="00C42103" w:rsidP="00C42103">
      <w:pPr>
        <w:spacing w:after="0" w:line="240" w:lineRule="auto"/>
        <w:contextualSpacing/>
        <w:jc w:val="both"/>
        <w:rPr>
          <w:rFonts w:eastAsia="Calibri" w:cs="Arial"/>
        </w:rPr>
      </w:pPr>
      <w:r w:rsidRPr="00150C5F">
        <w:rPr>
          <w:rFonts w:eastAsia="Calibri" w:cs="Arial"/>
        </w:rPr>
        <w:t>C. difficult social and/or medical condition of the debtor (and/or the co-debtor, guarantor).</w:t>
      </w:r>
    </w:p>
    <w:p w14:paraId="2A0579BC" w14:textId="77777777" w:rsidR="00786C24" w:rsidRPr="00537128" w:rsidRDefault="00786C24" w:rsidP="005B7D9D">
      <w:pPr>
        <w:tabs>
          <w:tab w:val="right" w:pos="9129"/>
        </w:tabs>
        <w:spacing w:after="0" w:line="240" w:lineRule="auto"/>
        <w:jc w:val="both"/>
        <w:rPr>
          <w:rFonts w:ascii="Calibri" w:eastAsia="Calibri" w:hAnsi="Calibri" w:cs="Arial"/>
          <w:color w:val="000000" w:themeColor="text1"/>
          <w:lang w:val="en-US"/>
        </w:rPr>
        <w:sectPr w:rsidR="00786C24" w:rsidRPr="00537128" w:rsidSect="005B7D9D">
          <w:pgSz w:w="11906" w:h="16838"/>
          <w:pgMar w:top="1418" w:right="1418" w:bottom="1134" w:left="1418" w:header="709" w:footer="709" w:gutter="0"/>
          <w:cols w:space="708"/>
          <w:docGrid w:linePitch="360"/>
        </w:sectPr>
      </w:pPr>
    </w:p>
    <w:p w14:paraId="31332390" w14:textId="77777777" w:rsidR="006E2836" w:rsidRPr="00C42103" w:rsidRDefault="006E2836" w:rsidP="00364B19">
      <w:pPr>
        <w:spacing w:after="0" w:line="240" w:lineRule="auto"/>
        <w:jc w:val="both"/>
        <w:rPr>
          <w:rFonts w:ascii="Calibri" w:eastAsia="Times New Roman" w:hAnsi="Calibri" w:cs="Calibri"/>
          <w:b/>
          <w:bCs/>
          <w:color w:val="000000" w:themeColor="text1"/>
          <w:sz w:val="20"/>
          <w:szCs w:val="20"/>
          <w:lang w:val="en-US" w:eastAsia="hr-HR"/>
        </w:rPr>
      </w:pPr>
    </w:p>
    <w:p w14:paraId="2BABC5B9" w14:textId="2F4DA89F" w:rsidR="00364B19" w:rsidRPr="00537128" w:rsidRDefault="00951B0F" w:rsidP="00364B19">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364B19" w:rsidRPr="00537128">
        <w:rPr>
          <w:rFonts w:ascii="Calibri" w:eastAsia="Times New Roman" w:hAnsi="Calibri" w:cs="Calibri"/>
          <w:b/>
          <w:bCs/>
          <w:color w:val="000000" w:themeColor="text1"/>
          <w:lang w:val="en-US" w:eastAsia="hr-HR"/>
        </w:rPr>
        <w:t>.</w:t>
      </w:r>
      <w:r w:rsidR="00364B19" w:rsidRPr="00537128">
        <w:rPr>
          <w:rFonts w:ascii="Calibri" w:eastAsia="Times New Roman" w:hAnsi="Calibri" w:cs="Calibri"/>
          <w:b/>
          <w:bCs/>
          <w:color w:val="000000" w:themeColor="text1"/>
          <w:lang w:val="en-US"/>
        </w:rPr>
        <w:tab/>
        <w:t>Risk management (continued)</w:t>
      </w:r>
    </w:p>
    <w:p w14:paraId="77CD258B" w14:textId="77777777" w:rsidR="00364B19" w:rsidRPr="00537128"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14:paraId="14262F73" w14:textId="514AB60D" w:rsidR="00364B19" w:rsidRPr="00537128" w:rsidRDefault="00951B0F" w:rsidP="00364B19">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364B19" w:rsidRPr="00537128">
        <w:rPr>
          <w:rFonts w:ascii="Calibri" w:eastAsia="Times New Roman" w:hAnsi="Calibri" w:cs="Arial"/>
          <w:b/>
          <w:color w:val="000000" w:themeColor="text1"/>
          <w:lang w:val="en-US"/>
        </w:rPr>
        <w:t>.3.   Credit risk (continued)</w:t>
      </w:r>
    </w:p>
    <w:p w14:paraId="17F6FC43"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793853A1" w14:textId="7070D99B" w:rsidR="00364B19" w:rsidRPr="00537128" w:rsidRDefault="00364B19" w:rsidP="00364B19">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Concentration of risk and maximum credit risk exposure (continued)</w:t>
      </w:r>
    </w:p>
    <w:p w14:paraId="00ED37A9" w14:textId="77777777" w:rsidR="00364B19" w:rsidRPr="00537128" w:rsidRDefault="00364B19" w:rsidP="00364B19">
      <w:pPr>
        <w:spacing w:after="0" w:line="240" w:lineRule="auto"/>
        <w:jc w:val="both"/>
        <w:rPr>
          <w:rFonts w:ascii="Calibri" w:eastAsia="Times New Roman" w:hAnsi="Calibri" w:cs="Arial"/>
          <w:color w:val="000000" w:themeColor="text1"/>
          <w:lang w:val="en-US"/>
        </w:rPr>
      </w:pPr>
    </w:p>
    <w:p w14:paraId="277CFEBA" w14:textId="77777777" w:rsidR="00364B19" w:rsidRPr="00537128" w:rsidRDefault="00364B19" w:rsidP="00364B19">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 xml:space="preserve">The table below shows the highest net credit risk exposures in the Statement of Financial Position and in guarantees and commitments as of the reporting date, before the effect of mitigation through collateral received: </w:t>
      </w:r>
    </w:p>
    <w:p w14:paraId="0144DF1F" w14:textId="77777777" w:rsidR="00364B19" w:rsidRPr="00537128" w:rsidRDefault="00364B19" w:rsidP="00364B19">
      <w:pPr>
        <w:spacing w:after="0" w:line="240" w:lineRule="auto"/>
        <w:jc w:val="both"/>
        <w:rPr>
          <w:rFonts w:ascii="Calibri" w:eastAsia="Times New Roman" w:hAnsi="Calibri" w:cs="Arial"/>
          <w:color w:val="000000" w:themeColor="text1"/>
          <w:lang w:val="en-US"/>
        </w:rPr>
      </w:pPr>
    </w:p>
    <w:tbl>
      <w:tblPr>
        <w:tblW w:w="5019" w:type="pct"/>
        <w:tblLayout w:type="fixed"/>
        <w:tblLook w:val="0000" w:firstRow="0" w:lastRow="0" w:firstColumn="0" w:lastColumn="0" w:noHBand="0" w:noVBand="0"/>
      </w:tblPr>
      <w:tblGrid>
        <w:gridCol w:w="3825"/>
        <w:gridCol w:w="1320"/>
        <w:gridCol w:w="1322"/>
        <w:gridCol w:w="1320"/>
        <w:gridCol w:w="1319"/>
      </w:tblGrid>
      <w:tr w:rsidR="00FE04D4" w:rsidRPr="009E792D" w14:paraId="45C8198E" w14:textId="77777777" w:rsidTr="009E792D">
        <w:trPr>
          <w:trHeight w:val="218"/>
        </w:trPr>
        <w:tc>
          <w:tcPr>
            <w:tcW w:w="2100" w:type="pct"/>
            <w:vAlign w:val="bottom"/>
          </w:tcPr>
          <w:p w14:paraId="42462E52" w14:textId="77777777" w:rsidR="00FE04D4" w:rsidRPr="009E792D" w:rsidRDefault="00FE04D4" w:rsidP="00FE04D4">
            <w:pPr>
              <w:spacing w:after="0" w:line="360" w:lineRule="auto"/>
              <w:jc w:val="both"/>
              <w:rPr>
                <w:rFonts w:ascii="Calibri" w:eastAsia="Times New Roman" w:hAnsi="Calibri" w:cs="Arial"/>
                <w:bCs/>
                <w:sz w:val="20"/>
                <w:szCs w:val="20"/>
                <w:lang w:val="en-US"/>
              </w:rPr>
            </w:pPr>
          </w:p>
        </w:tc>
        <w:tc>
          <w:tcPr>
            <w:tcW w:w="1451" w:type="pct"/>
            <w:gridSpan w:val="2"/>
            <w:vAlign w:val="bottom"/>
          </w:tcPr>
          <w:p w14:paraId="196BE04D" w14:textId="77777777" w:rsidR="00FE04D4" w:rsidRPr="009E792D" w:rsidRDefault="00FE04D4" w:rsidP="00FE04D4">
            <w:pPr>
              <w:spacing w:after="0" w:line="360" w:lineRule="auto"/>
              <w:jc w:val="right"/>
              <w:rPr>
                <w:rFonts w:ascii="Calibri" w:eastAsia="Times New Roman" w:hAnsi="Calibri" w:cs="Arial"/>
                <w:b/>
                <w:sz w:val="20"/>
                <w:szCs w:val="20"/>
                <w:lang w:val="en-US"/>
              </w:rPr>
            </w:pPr>
            <w:r w:rsidRPr="009E792D">
              <w:rPr>
                <w:rFonts w:ascii="Calibri" w:eastAsia="Times New Roman" w:hAnsi="Calibri" w:cs="Arial"/>
                <w:b/>
                <w:sz w:val="20"/>
                <w:szCs w:val="20"/>
                <w:lang w:val="en-US"/>
              </w:rPr>
              <w:t>Group</w:t>
            </w:r>
          </w:p>
        </w:tc>
        <w:tc>
          <w:tcPr>
            <w:tcW w:w="1449" w:type="pct"/>
            <w:gridSpan w:val="2"/>
            <w:vAlign w:val="bottom"/>
          </w:tcPr>
          <w:p w14:paraId="5A889BA6" w14:textId="77777777" w:rsidR="00FE04D4" w:rsidRPr="009E792D" w:rsidRDefault="00FE04D4" w:rsidP="00FE04D4">
            <w:pPr>
              <w:spacing w:after="0" w:line="360" w:lineRule="auto"/>
              <w:jc w:val="right"/>
              <w:rPr>
                <w:rFonts w:ascii="Calibri" w:eastAsia="Times New Roman" w:hAnsi="Calibri" w:cs="Arial"/>
                <w:b/>
                <w:sz w:val="20"/>
                <w:szCs w:val="20"/>
                <w:lang w:val="en-US"/>
              </w:rPr>
            </w:pPr>
            <w:r w:rsidRPr="009E792D">
              <w:rPr>
                <w:rFonts w:ascii="Calibri" w:eastAsia="Times New Roman" w:hAnsi="Calibri" w:cs="Arial"/>
                <w:b/>
                <w:sz w:val="20"/>
                <w:szCs w:val="20"/>
                <w:lang w:val="en-US"/>
              </w:rPr>
              <w:t>Bank</w:t>
            </w:r>
          </w:p>
        </w:tc>
      </w:tr>
      <w:tr w:rsidR="00FE04D4" w:rsidRPr="009E792D" w14:paraId="4F74615D" w14:textId="77777777" w:rsidTr="009E792D">
        <w:tc>
          <w:tcPr>
            <w:tcW w:w="2100" w:type="pct"/>
            <w:vAlign w:val="bottom"/>
          </w:tcPr>
          <w:p w14:paraId="288925CB" w14:textId="77777777" w:rsidR="00FE04D4" w:rsidRPr="009E792D" w:rsidRDefault="00FE04D4" w:rsidP="00FE04D4">
            <w:pPr>
              <w:spacing w:after="0" w:line="240" w:lineRule="auto"/>
              <w:rPr>
                <w:rFonts w:ascii="Calibri" w:eastAsia="Calibri" w:hAnsi="Calibri" w:cs="Arial"/>
                <w:sz w:val="20"/>
                <w:szCs w:val="20"/>
                <w:lang w:val="en-US"/>
              </w:rPr>
            </w:pPr>
            <w:r w:rsidRPr="009E792D">
              <w:rPr>
                <w:rFonts w:ascii="Calibri" w:eastAsia="Calibri" w:hAnsi="Calibri" w:cs="Arial"/>
                <w:b/>
                <w:bCs/>
                <w:sz w:val="20"/>
                <w:szCs w:val="20"/>
                <w:lang w:val="en-US"/>
              </w:rPr>
              <w:br w:type="page"/>
            </w:r>
          </w:p>
        </w:tc>
        <w:tc>
          <w:tcPr>
            <w:tcW w:w="725" w:type="pct"/>
            <w:vAlign w:val="bottom"/>
          </w:tcPr>
          <w:p w14:paraId="307BA1FB" w14:textId="77777777" w:rsidR="00FE04D4" w:rsidRPr="009E792D" w:rsidRDefault="00FE04D4" w:rsidP="00FE04D4">
            <w:pPr>
              <w:spacing w:after="0" w:line="240" w:lineRule="auto"/>
              <w:jc w:val="right"/>
              <w:rPr>
                <w:rFonts w:ascii="Calibri" w:eastAsia="Calibri" w:hAnsi="Calibri" w:cs="Arial"/>
                <w:b/>
                <w:sz w:val="20"/>
                <w:szCs w:val="20"/>
                <w:lang w:val="en-US"/>
              </w:rPr>
            </w:pPr>
            <w:r w:rsidRPr="009E792D">
              <w:rPr>
                <w:rFonts w:ascii="Calibri" w:eastAsia="Calibri" w:hAnsi="Calibri" w:cs="Arial"/>
                <w:b/>
                <w:sz w:val="20"/>
                <w:szCs w:val="20"/>
                <w:lang w:val="en-US"/>
              </w:rPr>
              <w:t>Highest exposure</w:t>
            </w:r>
          </w:p>
          <w:p w14:paraId="1201EDBB" w14:textId="77777777" w:rsidR="00FE04D4" w:rsidRPr="009E792D" w:rsidRDefault="00FE04D4" w:rsidP="00FE04D4">
            <w:pPr>
              <w:spacing w:after="0" w:line="240" w:lineRule="auto"/>
              <w:jc w:val="right"/>
              <w:rPr>
                <w:rFonts w:ascii="Calibri" w:eastAsia="Calibri" w:hAnsi="Calibri" w:cs="Arial"/>
                <w:b/>
                <w:sz w:val="20"/>
                <w:szCs w:val="20"/>
                <w:lang w:val="en-US"/>
              </w:rPr>
            </w:pPr>
          </w:p>
          <w:p w14:paraId="6F09E6B6" w14:textId="323A3FCD" w:rsidR="00FE04D4" w:rsidRPr="009E792D" w:rsidRDefault="00FE04D4" w:rsidP="00FE04D4">
            <w:pPr>
              <w:spacing w:after="0" w:line="240" w:lineRule="auto"/>
              <w:jc w:val="right"/>
              <w:rPr>
                <w:rFonts w:ascii="Calibri" w:eastAsia="Calibri" w:hAnsi="Calibri" w:cs="Arial"/>
                <w:b/>
                <w:sz w:val="20"/>
                <w:szCs w:val="20"/>
                <w:lang w:val="en-US"/>
              </w:rPr>
            </w:pPr>
            <w:r w:rsidRPr="009E792D">
              <w:rPr>
                <w:rFonts w:ascii="Calibri" w:eastAsia="Calibri" w:hAnsi="Calibri" w:cs="Arial"/>
                <w:b/>
                <w:sz w:val="20"/>
                <w:szCs w:val="20"/>
                <w:lang w:val="en-US"/>
              </w:rPr>
              <w:t>31 March 202</w:t>
            </w:r>
            <w:r w:rsidR="00884E87" w:rsidRPr="009E792D">
              <w:rPr>
                <w:rFonts w:ascii="Calibri" w:eastAsia="Calibri" w:hAnsi="Calibri" w:cs="Arial"/>
                <w:b/>
                <w:sz w:val="20"/>
                <w:szCs w:val="20"/>
                <w:lang w:val="en-US"/>
              </w:rPr>
              <w:t>2</w:t>
            </w:r>
          </w:p>
        </w:tc>
        <w:tc>
          <w:tcPr>
            <w:tcW w:w="726" w:type="pct"/>
            <w:vAlign w:val="bottom"/>
          </w:tcPr>
          <w:p w14:paraId="5AD8B65E" w14:textId="77777777" w:rsidR="00FE04D4" w:rsidRPr="009E792D" w:rsidRDefault="00FE04D4" w:rsidP="00FE04D4">
            <w:pPr>
              <w:spacing w:after="0" w:line="240" w:lineRule="auto"/>
              <w:jc w:val="right"/>
              <w:rPr>
                <w:rFonts w:ascii="Calibri" w:eastAsia="Calibri" w:hAnsi="Calibri" w:cs="Arial"/>
                <w:b/>
                <w:sz w:val="20"/>
                <w:szCs w:val="20"/>
                <w:lang w:val="en-US"/>
              </w:rPr>
            </w:pPr>
            <w:r w:rsidRPr="009E792D">
              <w:rPr>
                <w:rFonts w:ascii="Calibri" w:eastAsia="Calibri" w:hAnsi="Calibri" w:cs="Arial"/>
                <w:b/>
                <w:sz w:val="20"/>
                <w:szCs w:val="20"/>
                <w:lang w:val="en-US"/>
              </w:rPr>
              <w:t>Highest exposure</w:t>
            </w:r>
          </w:p>
          <w:p w14:paraId="46D9181A" w14:textId="77777777" w:rsidR="00FE04D4" w:rsidRPr="009E792D" w:rsidRDefault="00FE04D4" w:rsidP="00FE04D4">
            <w:pPr>
              <w:spacing w:after="0" w:line="240" w:lineRule="auto"/>
              <w:jc w:val="right"/>
              <w:rPr>
                <w:rFonts w:ascii="Calibri" w:eastAsia="Calibri" w:hAnsi="Calibri" w:cs="Arial"/>
                <w:b/>
                <w:sz w:val="20"/>
                <w:szCs w:val="20"/>
                <w:lang w:val="en-US"/>
              </w:rPr>
            </w:pPr>
          </w:p>
          <w:p w14:paraId="0417267A" w14:textId="61DD3AFC" w:rsidR="00FE04D4" w:rsidRPr="009E792D" w:rsidRDefault="00FE04D4" w:rsidP="00FE04D4">
            <w:pPr>
              <w:spacing w:after="0" w:line="240" w:lineRule="auto"/>
              <w:jc w:val="right"/>
              <w:rPr>
                <w:rFonts w:ascii="Calibri" w:eastAsia="Calibri" w:hAnsi="Calibri" w:cs="Arial"/>
                <w:b/>
                <w:sz w:val="20"/>
                <w:szCs w:val="20"/>
                <w:lang w:val="en-US"/>
              </w:rPr>
            </w:pPr>
            <w:r w:rsidRPr="009E792D">
              <w:rPr>
                <w:rFonts w:ascii="Calibri" w:eastAsia="Calibri" w:hAnsi="Calibri" w:cs="Arial"/>
                <w:b/>
                <w:sz w:val="20"/>
                <w:szCs w:val="20"/>
                <w:lang w:val="en-US"/>
              </w:rPr>
              <w:t>31 December</w:t>
            </w:r>
            <w:r w:rsidRPr="009E792D">
              <w:rPr>
                <w:rFonts w:ascii="Calibri" w:eastAsia="Times New Roman" w:hAnsi="Calibri" w:cs="Arial"/>
                <w:b/>
                <w:bCs/>
                <w:sz w:val="20"/>
                <w:szCs w:val="20"/>
                <w:lang w:val="en-US"/>
              </w:rPr>
              <w:t xml:space="preserve"> 202</w:t>
            </w:r>
            <w:r w:rsidR="00884E87" w:rsidRPr="009E792D">
              <w:rPr>
                <w:rFonts w:ascii="Calibri" w:eastAsia="Times New Roman" w:hAnsi="Calibri" w:cs="Arial"/>
                <w:b/>
                <w:bCs/>
                <w:sz w:val="20"/>
                <w:szCs w:val="20"/>
                <w:lang w:val="en-US"/>
              </w:rPr>
              <w:t>1</w:t>
            </w:r>
          </w:p>
        </w:tc>
        <w:tc>
          <w:tcPr>
            <w:tcW w:w="725" w:type="pct"/>
            <w:vAlign w:val="bottom"/>
          </w:tcPr>
          <w:p w14:paraId="6C1D74EA" w14:textId="77777777" w:rsidR="00FE04D4" w:rsidRPr="009E792D" w:rsidRDefault="00FE04D4" w:rsidP="00FE04D4">
            <w:pPr>
              <w:spacing w:after="0" w:line="240" w:lineRule="auto"/>
              <w:jc w:val="right"/>
              <w:rPr>
                <w:rFonts w:ascii="Calibri" w:eastAsia="Calibri" w:hAnsi="Calibri" w:cs="Arial"/>
                <w:b/>
                <w:sz w:val="20"/>
                <w:szCs w:val="20"/>
                <w:lang w:val="en-US"/>
              </w:rPr>
            </w:pPr>
            <w:r w:rsidRPr="009E792D">
              <w:rPr>
                <w:rFonts w:ascii="Calibri" w:eastAsia="Calibri" w:hAnsi="Calibri" w:cs="Arial"/>
                <w:b/>
                <w:sz w:val="20"/>
                <w:szCs w:val="20"/>
                <w:lang w:val="en-US"/>
              </w:rPr>
              <w:t>Highest exposure</w:t>
            </w:r>
          </w:p>
          <w:p w14:paraId="411B1810" w14:textId="77777777" w:rsidR="00FE04D4" w:rsidRPr="009E792D" w:rsidRDefault="00FE04D4" w:rsidP="00FE04D4">
            <w:pPr>
              <w:spacing w:after="0" w:line="240" w:lineRule="auto"/>
              <w:jc w:val="right"/>
              <w:rPr>
                <w:rFonts w:ascii="Calibri" w:eastAsia="Calibri" w:hAnsi="Calibri" w:cs="Arial"/>
                <w:b/>
                <w:sz w:val="20"/>
                <w:szCs w:val="20"/>
                <w:lang w:val="en-US"/>
              </w:rPr>
            </w:pPr>
          </w:p>
          <w:p w14:paraId="4CE325BA" w14:textId="723FA464" w:rsidR="00FE04D4" w:rsidRPr="009E792D" w:rsidRDefault="00FE04D4" w:rsidP="00FE04D4">
            <w:pPr>
              <w:spacing w:after="0" w:line="240" w:lineRule="auto"/>
              <w:jc w:val="right"/>
              <w:rPr>
                <w:rFonts w:ascii="Calibri" w:eastAsia="Calibri" w:hAnsi="Calibri" w:cs="Arial"/>
                <w:b/>
                <w:sz w:val="20"/>
                <w:szCs w:val="20"/>
                <w:lang w:val="en-US"/>
              </w:rPr>
            </w:pPr>
            <w:r w:rsidRPr="009E792D">
              <w:rPr>
                <w:rFonts w:ascii="Calibri" w:eastAsia="Calibri" w:hAnsi="Calibri" w:cs="Arial"/>
                <w:b/>
                <w:sz w:val="20"/>
                <w:szCs w:val="20"/>
                <w:lang w:val="en-US"/>
              </w:rPr>
              <w:t>31 March</w:t>
            </w:r>
            <w:r w:rsidRPr="009E792D">
              <w:rPr>
                <w:rFonts w:ascii="Calibri" w:eastAsia="Times New Roman" w:hAnsi="Calibri" w:cs="Arial"/>
                <w:b/>
                <w:sz w:val="20"/>
                <w:szCs w:val="20"/>
                <w:lang w:val="en-US"/>
              </w:rPr>
              <w:t xml:space="preserve"> 202</w:t>
            </w:r>
            <w:r w:rsidR="00884E87" w:rsidRPr="009E792D">
              <w:rPr>
                <w:rFonts w:ascii="Calibri" w:eastAsia="Times New Roman" w:hAnsi="Calibri" w:cs="Arial"/>
                <w:b/>
                <w:sz w:val="20"/>
                <w:szCs w:val="20"/>
                <w:lang w:val="en-US"/>
              </w:rPr>
              <w:t>2</w:t>
            </w:r>
          </w:p>
        </w:tc>
        <w:tc>
          <w:tcPr>
            <w:tcW w:w="724" w:type="pct"/>
            <w:vAlign w:val="bottom"/>
          </w:tcPr>
          <w:p w14:paraId="1A606A90" w14:textId="77777777" w:rsidR="00FE04D4" w:rsidRPr="009E792D" w:rsidRDefault="00FE04D4" w:rsidP="00FE04D4">
            <w:pPr>
              <w:spacing w:after="0" w:line="240" w:lineRule="auto"/>
              <w:jc w:val="right"/>
              <w:rPr>
                <w:rFonts w:ascii="Calibri" w:eastAsia="Calibri" w:hAnsi="Calibri" w:cs="Arial"/>
                <w:b/>
                <w:sz w:val="20"/>
                <w:szCs w:val="20"/>
                <w:lang w:val="en-US"/>
              </w:rPr>
            </w:pPr>
            <w:r w:rsidRPr="009E792D">
              <w:rPr>
                <w:rFonts w:ascii="Calibri" w:eastAsia="Calibri" w:hAnsi="Calibri" w:cs="Arial"/>
                <w:b/>
                <w:sz w:val="20"/>
                <w:szCs w:val="20"/>
                <w:lang w:val="en-US"/>
              </w:rPr>
              <w:t>Highest exposure</w:t>
            </w:r>
          </w:p>
          <w:p w14:paraId="7FE4D7A5" w14:textId="77777777" w:rsidR="00FE04D4" w:rsidRPr="009E792D" w:rsidRDefault="00FE04D4" w:rsidP="00FE04D4">
            <w:pPr>
              <w:spacing w:after="0" w:line="240" w:lineRule="auto"/>
              <w:jc w:val="right"/>
              <w:rPr>
                <w:rFonts w:ascii="Calibri" w:eastAsia="Calibri" w:hAnsi="Calibri" w:cs="Arial"/>
                <w:b/>
                <w:sz w:val="20"/>
                <w:szCs w:val="20"/>
                <w:lang w:val="en-US"/>
              </w:rPr>
            </w:pPr>
          </w:p>
          <w:p w14:paraId="35D88BB5" w14:textId="24F6A33A" w:rsidR="00FE04D4" w:rsidRPr="009E792D" w:rsidRDefault="00FE04D4" w:rsidP="00FE04D4">
            <w:pPr>
              <w:spacing w:after="0" w:line="240" w:lineRule="auto"/>
              <w:jc w:val="right"/>
              <w:rPr>
                <w:rFonts w:ascii="Calibri" w:eastAsia="Calibri" w:hAnsi="Calibri" w:cs="Arial"/>
                <w:b/>
                <w:sz w:val="20"/>
                <w:szCs w:val="20"/>
                <w:lang w:val="en-US"/>
              </w:rPr>
            </w:pPr>
            <w:r w:rsidRPr="009E792D">
              <w:rPr>
                <w:rFonts w:ascii="Calibri" w:eastAsia="Calibri" w:hAnsi="Calibri" w:cs="Arial"/>
                <w:b/>
                <w:sz w:val="20"/>
                <w:szCs w:val="20"/>
                <w:lang w:val="en-US"/>
              </w:rPr>
              <w:t>31 December</w:t>
            </w:r>
            <w:r w:rsidRPr="009E792D">
              <w:rPr>
                <w:rFonts w:ascii="Calibri" w:eastAsia="Times New Roman" w:hAnsi="Calibri" w:cs="Arial"/>
                <w:b/>
                <w:bCs/>
                <w:sz w:val="20"/>
                <w:szCs w:val="20"/>
                <w:lang w:val="en-US"/>
              </w:rPr>
              <w:t xml:space="preserve"> 202</w:t>
            </w:r>
            <w:r w:rsidR="00884E87" w:rsidRPr="009E792D">
              <w:rPr>
                <w:rFonts w:ascii="Calibri" w:eastAsia="Times New Roman" w:hAnsi="Calibri" w:cs="Arial"/>
                <w:b/>
                <w:bCs/>
                <w:sz w:val="20"/>
                <w:szCs w:val="20"/>
                <w:lang w:val="en-US"/>
              </w:rPr>
              <w:t>1</w:t>
            </w:r>
          </w:p>
        </w:tc>
      </w:tr>
      <w:tr w:rsidR="00FE04D4" w:rsidRPr="009E792D" w14:paraId="4C059F35" w14:textId="77777777" w:rsidTr="009E792D">
        <w:tc>
          <w:tcPr>
            <w:tcW w:w="2100" w:type="pct"/>
            <w:vAlign w:val="bottom"/>
          </w:tcPr>
          <w:p w14:paraId="3EC818FB" w14:textId="77777777" w:rsidR="00FE04D4" w:rsidRPr="009E792D" w:rsidRDefault="00FE04D4" w:rsidP="00FE04D4">
            <w:pPr>
              <w:spacing w:after="0" w:line="240" w:lineRule="auto"/>
              <w:rPr>
                <w:rFonts w:ascii="Calibri" w:eastAsia="Calibri" w:hAnsi="Calibri" w:cs="Arial"/>
                <w:b/>
                <w:bCs/>
                <w:sz w:val="20"/>
                <w:szCs w:val="20"/>
                <w:lang w:val="en-US"/>
              </w:rPr>
            </w:pPr>
          </w:p>
        </w:tc>
        <w:tc>
          <w:tcPr>
            <w:tcW w:w="725" w:type="pct"/>
            <w:vAlign w:val="bottom"/>
          </w:tcPr>
          <w:p w14:paraId="1D733A1D" w14:textId="77777777" w:rsidR="00FE04D4" w:rsidRPr="009E792D" w:rsidRDefault="00FE04D4" w:rsidP="00FE04D4">
            <w:pPr>
              <w:spacing w:after="0" w:line="240" w:lineRule="auto"/>
              <w:jc w:val="right"/>
              <w:rPr>
                <w:rFonts w:ascii="Calibri" w:eastAsia="Calibri" w:hAnsi="Calibri" w:cs="Arial"/>
                <w:b/>
                <w:sz w:val="20"/>
                <w:szCs w:val="20"/>
                <w:lang w:val="en-US"/>
              </w:rPr>
            </w:pPr>
            <w:r w:rsidRPr="009E792D">
              <w:rPr>
                <w:rFonts w:ascii="Calibri" w:eastAsia="Times New Roman" w:hAnsi="Calibri" w:cs="Arial"/>
                <w:b/>
                <w:sz w:val="20"/>
                <w:szCs w:val="20"/>
                <w:lang w:val="en-US"/>
              </w:rPr>
              <w:t>HRK ‘000</w:t>
            </w:r>
          </w:p>
        </w:tc>
        <w:tc>
          <w:tcPr>
            <w:tcW w:w="726" w:type="pct"/>
            <w:vAlign w:val="bottom"/>
          </w:tcPr>
          <w:p w14:paraId="688937B6" w14:textId="3EF1D1EE" w:rsidR="00FE04D4" w:rsidRPr="009E792D" w:rsidRDefault="00FE04D4" w:rsidP="00FE04D4">
            <w:pPr>
              <w:spacing w:after="0" w:line="240" w:lineRule="auto"/>
              <w:jc w:val="right"/>
              <w:rPr>
                <w:rFonts w:ascii="Calibri" w:eastAsia="Calibri" w:hAnsi="Calibri" w:cs="Arial"/>
                <w:b/>
                <w:sz w:val="20"/>
                <w:szCs w:val="20"/>
                <w:lang w:val="en-US"/>
              </w:rPr>
            </w:pPr>
            <w:r w:rsidRPr="009E792D">
              <w:rPr>
                <w:rFonts w:ascii="Calibri" w:eastAsia="Times New Roman" w:hAnsi="Calibri" w:cs="Arial"/>
                <w:b/>
                <w:sz w:val="20"/>
                <w:szCs w:val="20"/>
                <w:lang w:val="en-US"/>
              </w:rPr>
              <w:t>HRK ‘000</w:t>
            </w:r>
          </w:p>
        </w:tc>
        <w:tc>
          <w:tcPr>
            <w:tcW w:w="725" w:type="pct"/>
            <w:vAlign w:val="bottom"/>
          </w:tcPr>
          <w:p w14:paraId="732B1E66" w14:textId="0ED9C6E9" w:rsidR="00FE04D4" w:rsidRPr="009E792D" w:rsidRDefault="00FE04D4" w:rsidP="00FE04D4">
            <w:pPr>
              <w:spacing w:after="0" w:line="240" w:lineRule="auto"/>
              <w:jc w:val="right"/>
              <w:rPr>
                <w:rFonts w:ascii="Calibri" w:eastAsia="Calibri" w:hAnsi="Calibri" w:cs="Arial"/>
                <w:b/>
                <w:sz w:val="20"/>
                <w:szCs w:val="20"/>
                <w:lang w:val="en-US"/>
              </w:rPr>
            </w:pPr>
            <w:r w:rsidRPr="009E792D">
              <w:rPr>
                <w:rFonts w:ascii="Calibri" w:eastAsia="Times New Roman" w:hAnsi="Calibri" w:cs="Arial"/>
                <w:b/>
                <w:bCs/>
                <w:sz w:val="20"/>
                <w:szCs w:val="20"/>
                <w:lang w:val="en-US"/>
              </w:rPr>
              <w:t>HRK ‘000</w:t>
            </w:r>
          </w:p>
        </w:tc>
        <w:tc>
          <w:tcPr>
            <w:tcW w:w="724" w:type="pct"/>
            <w:vAlign w:val="bottom"/>
          </w:tcPr>
          <w:p w14:paraId="583A34BA" w14:textId="37B44AA8" w:rsidR="00FE04D4" w:rsidRPr="009E792D" w:rsidRDefault="00FE04D4" w:rsidP="00FE04D4">
            <w:pPr>
              <w:spacing w:after="0" w:line="240" w:lineRule="auto"/>
              <w:jc w:val="right"/>
              <w:rPr>
                <w:rFonts w:ascii="Calibri" w:eastAsia="Calibri" w:hAnsi="Calibri" w:cs="Arial"/>
                <w:b/>
                <w:sz w:val="20"/>
                <w:szCs w:val="20"/>
                <w:lang w:val="en-US"/>
              </w:rPr>
            </w:pPr>
            <w:r w:rsidRPr="009E792D">
              <w:rPr>
                <w:rFonts w:ascii="Calibri" w:eastAsia="Times New Roman" w:hAnsi="Calibri" w:cs="Arial"/>
                <w:b/>
                <w:sz w:val="20"/>
                <w:szCs w:val="20"/>
                <w:lang w:val="en-US"/>
              </w:rPr>
              <w:t>HRK ‘000</w:t>
            </w:r>
          </w:p>
        </w:tc>
      </w:tr>
      <w:tr w:rsidR="00FE04D4" w:rsidRPr="009E792D" w14:paraId="27EBA261" w14:textId="77777777" w:rsidTr="009E792D">
        <w:tc>
          <w:tcPr>
            <w:tcW w:w="2100" w:type="pct"/>
            <w:vAlign w:val="bottom"/>
          </w:tcPr>
          <w:p w14:paraId="0EB993B7" w14:textId="77777777" w:rsidR="00FE04D4" w:rsidRPr="009E792D" w:rsidRDefault="00FE04D4" w:rsidP="00FE04D4">
            <w:pPr>
              <w:tabs>
                <w:tab w:val="right" w:pos="1202"/>
              </w:tabs>
              <w:spacing w:after="0" w:line="300" w:lineRule="exact"/>
              <w:outlineLvl w:val="0"/>
              <w:rPr>
                <w:rFonts w:ascii="Calibri" w:eastAsia="Times New Roman" w:hAnsi="Calibri" w:cs="Arial"/>
                <w:b/>
                <w:bCs/>
                <w:sz w:val="20"/>
                <w:szCs w:val="20"/>
                <w:lang w:val="en-US"/>
              </w:rPr>
            </w:pPr>
            <w:bookmarkStart w:id="613" w:name="_Toc4060468"/>
            <w:r w:rsidRPr="009E792D">
              <w:rPr>
                <w:rFonts w:ascii="Calibri" w:eastAsia="Times New Roman" w:hAnsi="Calibri" w:cs="Arial"/>
                <w:b/>
                <w:bCs/>
                <w:sz w:val="20"/>
                <w:szCs w:val="20"/>
                <w:lang w:val="en-US"/>
              </w:rPr>
              <w:t>Assets</w:t>
            </w:r>
            <w:bookmarkEnd w:id="613"/>
          </w:p>
        </w:tc>
        <w:tc>
          <w:tcPr>
            <w:tcW w:w="725" w:type="pct"/>
            <w:vAlign w:val="bottom"/>
          </w:tcPr>
          <w:p w14:paraId="006496B2" w14:textId="77777777" w:rsidR="00FE04D4" w:rsidRPr="009E792D" w:rsidRDefault="00FE04D4" w:rsidP="00FE04D4">
            <w:pPr>
              <w:tabs>
                <w:tab w:val="right" w:pos="1202"/>
              </w:tabs>
              <w:spacing w:after="0" w:line="300" w:lineRule="exact"/>
              <w:outlineLvl w:val="0"/>
              <w:rPr>
                <w:rFonts w:ascii="Calibri" w:eastAsia="Times New Roman" w:hAnsi="Calibri" w:cs="Arial"/>
                <w:b/>
                <w:bCs/>
                <w:sz w:val="20"/>
                <w:szCs w:val="20"/>
                <w:lang w:val="en-US"/>
              </w:rPr>
            </w:pPr>
          </w:p>
        </w:tc>
        <w:tc>
          <w:tcPr>
            <w:tcW w:w="726" w:type="pct"/>
            <w:vAlign w:val="bottom"/>
          </w:tcPr>
          <w:p w14:paraId="2DF5DB85" w14:textId="77777777" w:rsidR="00FE04D4" w:rsidRPr="009E792D" w:rsidRDefault="00FE04D4" w:rsidP="00FE04D4">
            <w:pPr>
              <w:tabs>
                <w:tab w:val="right" w:pos="1202"/>
              </w:tabs>
              <w:spacing w:after="0" w:line="300" w:lineRule="exact"/>
              <w:outlineLvl w:val="0"/>
              <w:rPr>
                <w:rFonts w:ascii="Calibri" w:eastAsia="Times New Roman" w:hAnsi="Calibri" w:cs="Arial"/>
                <w:b/>
                <w:bCs/>
                <w:sz w:val="20"/>
                <w:szCs w:val="20"/>
                <w:lang w:val="en-US"/>
              </w:rPr>
            </w:pPr>
          </w:p>
        </w:tc>
        <w:tc>
          <w:tcPr>
            <w:tcW w:w="725" w:type="pct"/>
            <w:vAlign w:val="bottom"/>
          </w:tcPr>
          <w:p w14:paraId="4BF34147" w14:textId="77777777" w:rsidR="00FE04D4" w:rsidRPr="009E792D" w:rsidRDefault="00FE04D4" w:rsidP="00FE04D4">
            <w:pPr>
              <w:tabs>
                <w:tab w:val="right" w:pos="1202"/>
              </w:tabs>
              <w:spacing w:after="0" w:line="300" w:lineRule="exact"/>
              <w:outlineLvl w:val="0"/>
              <w:rPr>
                <w:rFonts w:ascii="Calibri" w:eastAsia="Times New Roman" w:hAnsi="Calibri" w:cs="Arial"/>
                <w:b/>
                <w:bCs/>
                <w:sz w:val="20"/>
                <w:szCs w:val="20"/>
                <w:lang w:val="en-US"/>
              </w:rPr>
            </w:pPr>
          </w:p>
        </w:tc>
        <w:tc>
          <w:tcPr>
            <w:tcW w:w="724" w:type="pct"/>
            <w:vAlign w:val="bottom"/>
          </w:tcPr>
          <w:p w14:paraId="4E1C1F5A" w14:textId="77777777" w:rsidR="00FE04D4" w:rsidRPr="009E792D" w:rsidRDefault="00FE04D4" w:rsidP="00FE04D4">
            <w:pPr>
              <w:tabs>
                <w:tab w:val="right" w:pos="1202"/>
              </w:tabs>
              <w:spacing w:after="0" w:line="301" w:lineRule="exact"/>
              <w:jc w:val="right"/>
              <w:outlineLvl w:val="0"/>
              <w:rPr>
                <w:rFonts w:ascii="Calibri" w:eastAsia="Times New Roman" w:hAnsi="Calibri" w:cs="Arial"/>
                <w:sz w:val="20"/>
                <w:szCs w:val="20"/>
                <w:lang w:val="en-US"/>
              </w:rPr>
            </w:pPr>
          </w:p>
        </w:tc>
      </w:tr>
      <w:tr w:rsidR="00C71EB7" w:rsidRPr="009E792D" w14:paraId="2A51E8DA" w14:textId="77777777" w:rsidTr="009E792D">
        <w:tc>
          <w:tcPr>
            <w:tcW w:w="2100" w:type="pct"/>
            <w:vAlign w:val="bottom"/>
          </w:tcPr>
          <w:p w14:paraId="15C11F2F" w14:textId="77777777" w:rsidR="00C71EB7" w:rsidRPr="009E792D" w:rsidRDefault="00C71EB7" w:rsidP="00C71EB7">
            <w:pPr>
              <w:tabs>
                <w:tab w:val="right" w:pos="1202"/>
              </w:tabs>
              <w:spacing w:after="0" w:line="300" w:lineRule="exact"/>
              <w:outlineLvl w:val="0"/>
              <w:rPr>
                <w:rFonts w:ascii="Calibri" w:eastAsia="Times New Roman" w:hAnsi="Calibri" w:cs="Arial"/>
                <w:sz w:val="20"/>
                <w:szCs w:val="20"/>
                <w:lang w:val="en-US"/>
              </w:rPr>
            </w:pPr>
            <w:bookmarkStart w:id="614" w:name="_Toc4060469"/>
            <w:r w:rsidRPr="009E792D">
              <w:rPr>
                <w:rFonts w:ascii="Calibri" w:eastAsia="Times New Roman" w:hAnsi="Calibri" w:cs="Arial"/>
                <w:sz w:val="20"/>
                <w:szCs w:val="20"/>
                <w:lang w:val="en-US"/>
              </w:rPr>
              <w:t>Cash on hand and current accounts with banks</w:t>
            </w:r>
            <w:bookmarkEnd w:id="614"/>
          </w:p>
        </w:tc>
        <w:tc>
          <w:tcPr>
            <w:tcW w:w="725" w:type="pct"/>
            <w:tcBorders>
              <w:top w:val="nil"/>
              <w:left w:val="nil"/>
              <w:bottom w:val="nil"/>
              <w:right w:val="nil"/>
            </w:tcBorders>
            <w:shd w:val="clear" w:color="auto" w:fill="auto"/>
            <w:vAlign w:val="bottom"/>
          </w:tcPr>
          <w:p w14:paraId="2CD60D8A" w14:textId="70ABE8CF" w:rsidR="00C71EB7" w:rsidRPr="009E792D" w:rsidRDefault="00C71EB7" w:rsidP="00C71EB7">
            <w:pPr>
              <w:tabs>
                <w:tab w:val="right" w:pos="1202"/>
              </w:tabs>
              <w:spacing w:after="0" w:line="301" w:lineRule="exact"/>
              <w:jc w:val="right"/>
              <w:outlineLvl w:val="0"/>
              <w:rPr>
                <w:rFonts w:ascii="Calibri" w:eastAsia="Times New Roman" w:hAnsi="Calibri" w:cs="Calibri"/>
                <w:sz w:val="20"/>
                <w:szCs w:val="20"/>
                <w:lang w:val="en-US"/>
              </w:rPr>
            </w:pPr>
            <w:r w:rsidRPr="009E792D">
              <w:rPr>
                <w:rFonts w:ascii="Calibri" w:hAnsi="Calibri" w:cs="Calibri"/>
                <w:sz w:val="20"/>
                <w:szCs w:val="20"/>
              </w:rPr>
              <w:t>1</w:t>
            </w:r>
            <w:r w:rsidR="00AC3578">
              <w:rPr>
                <w:rFonts w:ascii="Calibri" w:hAnsi="Calibri" w:cs="Calibri"/>
                <w:sz w:val="20"/>
                <w:szCs w:val="20"/>
              </w:rPr>
              <w:t>,</w:t>
            </w:r>
            <w:r w:rsidRPr="009E792D">
              <w:rPr>
                <w:rFonts w:ascii="Calibri" w:hAnsi="Calibri" w:cs="Calibri"/>
                <w:sz w:val="20"/>
                <w:szCs w:val="20"/>
              </w:rPr>
              <w:t>577</w:t>
            </w:r>
            <w:r w:rsidR="00AC3578">
              <w:rPr>
                <w:rFonts w:ascii="Calibri" w:hAnsi="Calibri" w:cs="Calibri"/>
                <w:sz w:val="20"/>
                <w:szCs w:val="20"/>
              </w:rPr>
              <w:t>,</w:t>
            </w:r>
            <w:r w:rsidRPr="009E792D">
              <w:rPr>
                <w:rFonts w:ascii="Calibri" w:hAnsi="Calibri" w:cs="Calibri"/>
                <w:sz w:val="20"/>
                <w:szCs w:val="20"/>
              </w:rPr>
              <w:t>56</w:t>
            </w:r>
            <w:r w:rsidR="00B158BC">
              <w:rPr>
                <w:rFonts w:ascii="Calibri" w:hAnsi="Calibri" w:cs="Calibri"/>
                <w:sz w:val="20"/>
                <w:szCs w:val="20"/>
              </w:rPr>
              <w:t>7</w:t>
            </w:r>
          </w:p>
        </w:tc>
        <w:tc>
          <w:tcPr>
            <w:tcW w:w="726" w:type="pct"/>
            <w:tcBorders>
              <w:top w:val="nil"/>
              <w:left w:val="nil"/>
              <w:bottom w:val="nil"/>
              <w:right w:val="nil"/>
            </w:tcBorders>
            <w:shd w:val="clear" w:color="auto" w:fill="auto"/>
            <w:vAlign w:val="bottom"/>
          </w:tcPr>
          <w:p w14:paraId="2AD23B34" w14:textId="06D66E11" w:rsidR="00C71EB7" w:rsidRPr="009E792D" w:rsidRDefault="00C71EB7" w:rsidP="00C71EB7">
            <w:pPr>
              <w:tabs>
                <w:tab w:val="right" w:pos="1202"/>
              </w:tabs>
              <w:spacing w:after="0" w:line="301" w:lineRule="exact"/>
              <w:jc w:val="right"/>
              <w:outlineLvl w:val="0"/>
              <w:rPr>
                <w:rFonts w:ascii="Calibri" w:eastAsia="Times New Roman" w:hAnsi="Calibri" w:cs="Calibri"/>
                <w:sz w:val="20"/>
                <w:szCs w:val="20"/>
                <w:lang w:val="en-US"/>
              </w:rPr>
            </w:pPr>
            <w:r w:rsidRPr="009E792D">
              <w:rPr>
                <w:rFonts w:cstheme="minorHAnsi"/>
                <w:color w:val="000000" w:themeColor="text1"/>
                <w:sz w:val="20"/>
                <w:szCs w:val="20"/>
              </w:rPr>
              <w:t>1,961,985</w:t>
            </w:r>
          </w:p>
        </w:tc>
        <w:tc>
          <w:tcPr>
            <w:tcW w:w="725" w:type="pct"/>
            <w:tcBorders>
              <w:top w:val="nil"/>
              <w:left w:val="nil"/>
              <w:bottom w:val="nil"/>
              <w:right w:val="nil"/>
            </w:tcBorders>
            <w:shd w:val="clear" w:color="auto" w:fill="auto"/>
            <w:vAlign w:val="bottom"/>
          </w:tcPr>
          <w:p w14:paraId="5E360C16" w14:textId="324DD9A0" w:rsidR="00C71EB7" w:rsidRPr="00AC3578" w:rsidRDefault="00C71EB7" w:rsidP="00C71EB7">
            <w:pPr>
              <w:tabs>
                <w:tab w:val="right" w:pos="1202"/>
              </w:tabs>
              <w:spacing w:after="0" w:line="301" w:lineRule="exact"/>
              <w:jc w:val="right"/>
              <w:outlineLvl w:val="0"/>
              <w:rPr>
                <w:rFonts w:ascii="Calibri" w:eastAsia="Times New Roman" w:hAnsi="Calibri" w:cs="Calibri"/>
                <w:sz w:val="20"/>
                <w:szCs w:val="20"/>
                <w:lang w:val="en-US"/>
              </w:rPr>
            </w:pPr>
            <w:r w:rsidRPr="00AC3578">
              <w:rPr>
                <w:rFonts w:ascii="Calibri" w:hAnsi="Calibri" w:cs="Calibri"/>
                <w:sz w:val="20"/>
                <w:szCs w:val="20"/>
              </w:rPr>
              <w:t>1</w:t>
            </w:r>
            <w:r w:rsidR="00AC3578">
              <w:rPr>
                <w:rFonts w:ascii="Calibri" w:hAnsi="Calibri" w:cs="Calibri"/>
                <w:sz w:val="20"/>
                <w:szCs w:val="20"/>
              </w:rPr>
              <w:t>,</w:t>
            </w:r>
            <w:r w:rsidRPr="00AC3578">
              <w:rPr>
                <w:rFonts w:ascii="Calibri" w:hAnsi="Calibri" w:cs="Calibri"/>
                <w:sz w:val="20"/>
                <w:szCs w:val="20"/>
              </w:rPr>
              <w:t>571</w:t>
            </w:r>
            <w:r w:rsidR="00AC3578">
              <w:rPr>
                <w:rFonts w:ascii="Calibri" w:hAnsi="Calibri" w:cs="Calibri"/>
                <w:sz w:val="20"/>
                <w:szCs w:val="20"/>
              </w:rPr>
              <w:t>,</w:t>
            </w:r>
            <w:r w:rsidRPr="00AC3578">
              <w:rPr>
                <w:rFonts w:ascii="Calibri" w:hAnsi="Calibri" w:cs="Calibri"/>
                <w:sz w:val="20"/>
                <w:szCs w:val="20"/>
              </w:rPr>
              <w:t>205</w:t>
            </w:r>
          </w:p>
        </w:tc>
        <w:tc>
          <w:tcPr>
            <w:tcW w:w="724" w:type="pct"/>
            <w:tcBorders>
              <w:top w:val="nil"/>
              <w:left w:val="nil"/>
              <w:bottom w:val="nil"/>
              <w:right w:val="nil"/>
            </w:tcBorders>
            <w:shd w:val="clear" w:color="auto" w:fill="auto"/>
            <w:vAlign w:val="bottom"/>
          </w:tcPr>
          <w:p w14:paraId="5A7A8BCC" w14:textId="489FEDD9" w:rsidR="00C71EB7" w:rsidRPr="009E792D" w:rsidRDefault="00C71EB7" w:rsidP="00C71EB7">
            <w:pPr>
              <w:spacing w:after="0" w:line="280" w:lineRule="exact"/>
              <w:jc w:val="right"/>
              <w:rPr>
                <w:rFonts w:ascii="Calibri" w:eastAsia="Calibri" w:hAnsi="Calibri" w:cs="Calibri"/>
                <w:sz w:val="20"/>
                <w:szCs w:val="20"/>
                <w:lang w:val="en-US"/>
              </w:rPr>
            </w:pPr>
            <w:r w:rsidRPr="009E792D">
              <w:rPr>
                <w:rFonts w:cstheme="minorHAnsi"/>
                <w:color w:val="000000" w:themeColor="text1"/>
                <w:sz w:val="20"/>
                <w:szCs w:val="20"/>
              </w:rPr>
              <w:t>1,958,619</w:t>
            </w:r>
          </w:p>
        </w:tc>
      </w:tr>
      <w:tr w:rsidR="00C71EB7" w:rsidRPr="009E792D" w14:paraId="1AB265A7" w14:textId="77777777" w:rsidTr="009E792D">
        <w:tc>
          <w:tcPr>
            <w:tcW w:w="2100" w:type="pct"/>
            <w:vAlign w:val="bottom"/>
          </w:tcPr>
          <w:p w14:paraId="235EC193" w14:textId="77777777" w:rsidR="00C71EB7" w:rsidRPr="009E792D" w:rsidRDefault="00C71EB7" w:rsidP="00C71EB7">
            <w:pPr>
              <w:tabs>
                <w:tab w:val="right" w:pos="1202"/>
              </w:tabs>
              <w:spacing w:after="0" w:line="300" w:lineRule="exact"/>
              <w:outlineLvl w:val="0"/>
              <w:rPr>
                <w:rFonts w:ascii="Calibri" w:eastAsia="Times New Roman" w:hAnsi="Calibri" w:cs="Arial"/>
                <w:sz w:val="20"/>
                <w:szCs w:val="20"/>
                <w:lang w:val="en-US"/>
              </w:rPr>
            </w:pPr>
            <w:bookmarkStart w:id="615" w:name="_Toc4060471"/>
            <w:r w:rsidRPr="009E792D">
              <w:rPr>
                <w:rFonts w:ascii="Calibri" w:eastAsia="Times New Roman" w:hAnsi="Calibri" w:cs="Arial"/>
                <w:sz w:val="20"/>
                <w:szCs w:val="20"/>
                <w:lang w:val="en-US"/>
              </w:rPr>
              <w:t>Deposits with other banks</w:t>
            </w:r>
            <w:bookmarkEnd w:id="615"/>
          </w:p>
        </w:tc>
        <w:tc>
          <w:tcPr>
            <w:tcW w:w="725" w:type="pct"/>
            <w:tcBorders>
              <w:top w:val="nil"/>
              <w:left w:val="nil"/>
              <w:bottom w:val="nil"/>
              <w:right w:val="nil"/>
            </w:tcBorders>
            <w:shd w:val="clear" w:color="auto" w:fill="auto"/>
            <w:vAlign w:val="bottom"/>
          </w:tcPr>
          <w:p w14:paraId="0534D7BB" w14:textId="4CF9CBC2" w:rsidR="00C71EB7" w:rsidRPr="009E792D" w:rsidRDefault="00C71EB7" w:rsidP="00C71EB7">
            <w:pPr>
              <w:tabs>
                <w:tab w:val="right" w:pos="1202"/>
              </w:tabs>
              <w:spacing w:after="0" w:line="301" w:lineRule="exact"/>
              <w:jc w:val="right"/>
              <w:outlineLvl w:val="0"/>
              <w:rPr>
                <w:rFonts w:ascii="Calibri" w:eastAsia="Times New Roman" w:hAnsi="Calibri" w:cs="Calibri"/>
                <w:sz w:val="20"/>
                <w:szCs w:val="20"/>
                <w:lang w:val="en-US"/>
              </w:rPr>
            </w:pPr>
            <w:r w:rsidRPr="009E792D">
              <w:rPr>
                <w:rFonts w:ascii="Calibri" w:hAnsi="Calibri" w:cs="Calibri"/>
                <w:sz w:val="20"/>
                <w:szCs w:val="20"/>
              </w:rPr>
              <w:t>15</w:t>
            </w:r>
            <w:r w:rsidR="00AC3578">
              <w:rPr>
                <w:rFonts w:ascii="Calibri" w:hAnsi="Calibri" w:cs="Calibri"/>
                <w:sz w:val="20"/>
                <w:szCs w:val="20"/>
              </w:rPr>
              <w:t>,</w:t>
            </w:r>
            <w:r w:rsidRPr="009E792D">
              <w:rPr>
                <w:rFonts w:ascii="Calibri" w:hAnsi="Calibri" w:cs="Calibri"/>
                <w:sz w:val="20"/>
                <w:szCs w:val="20"/>
              </w:rPr>
              <w:t>215</w:t>
            </w:r>
          </w:p>
        </w:tc>
        <w:tc>
          <w:tcPr>
            <w:tcW w:w="726" w:type="pct"/>
            <w:tcBorders>
              <w:top w:val="nil"/>
              <w:left w:val="nil"/>
              <w:bottom w:val="nil"/>
              <w:right w:val="nil"/>
            </w:tcBorders>
            <w:shd w:val="clear" w:color="auto" w:fill="auto"/>
            <w:vAlign w:val="bottom"/>
          </w:tcPr>
          <w:p w14:paraId="5744E4AB" w14:textId="7179C666" w:rsidR="00C71EB7" w:rsidRPr="009E792D" w:rsidRDefault="00C71EB7" w:rsidP="00C71EB7">
            <w:pPr>
              <w:tabs>
                <w:tab w:val="right" w:pos="1202"/>
              </w:tabs>
              <w:spacing w:after="0" w:line="301" w:lineRule="exact"/>
              <w:jc w:val="right"/>
              <w:outlineLvl w:val="0"/>
              <w:rPr>
                <w:rFonts w:ascii="Calibri" w:eastAsia="Times New Roman" w:hAnsi="Calibri" w:cs="Calibri"/>
                <w:sz w:val="20"/>
                <w:szCs w:val="20"/>
                <w:lang w:val="en-US"/>
              </w:rPr>
            </w:pPr>
            <w:r w:rsidRPr="009E792D">
              <w:rPr>
                <w:rFonts w:cstheme="minorHAnsi"/>
                <w:color w:val="000000" w:themeColor="text1"/>
                <w:sz w:val="20"/>
                <w:szCs w:val="20"/>
              </w:rPr>
              <w:t>7,500</w:t>
            </w:r>
          </w:p>
        </w:tc>
        <w:tc>
          <w:tcPr>
            <w:tcW w:w="725" w:type="pct"/>
            <w:tcBorders>
              <w:top w:val="nil"/>
              <w:left w:val="nil"/>
              <w:bottom w:val="nil"/>
              <w:right w:val="nil"/>
            </w:tcBorders>
            <w:shd w:val="clear" w:color="auto" w:fill="auto"/>
            <w:vAlign w:val="bottom"/>
          </w:tcPr>
          <w:p w14:paraId="090555C2" w14:textId="01DC99CB" w:rsidR="00C71EB7" w:rsidRPr="00AC3578" w:rsidRDefault="00C71EB7" w:rsidP="00C71EB7">
            <w:pPr>
              <w:tabs>
                <w:tab w:val="right" w:pos="1202"/>
              </w:tabs>
              <w:spacing w:after="0" w:line="301" w:lineRule="exact"/>
              <w:jc w:val="right"/>
              <w:outlineLvl w:val="0"/>
              <w:rPr>
                <w:rFonts w:ascii="Calibri" w:eastAsia="Times New Roman" w:hAnsi="Calibri" w:cs="Calibri"/>
                <w:sz w:val="20"/>
                <w:szCs w:val="20"/>
                <w:lang w:val="en-US"/>
              </w:rPr>
            </w:pPr>
            <w:r w:rsidRPr="00AC3578">
              <w:rPr>
                <w:rFonts w:ascii="Calibri" w:hAnsi="Calibri" w:cs="Calibri"/>
                <w:sz w:val="20"/>
                <w:szCs w:val="20"/>
              </w:rPr>
              <w:t>15</w:t>
            </w:r>
            <w:r w:rsidR="00AC3578">
              <w:rPr>
                <w:rFonts w:ascii="Calibri" w:hAnsi="Calibri" w:cs="Calibri"/>
                <w:sz w:val="20"/>
                <w:szCs w:val="20"/>
              </w:rPr>
              <w:t>,</w:t>
            </w:r>
            <w:r w:rsidRPr="00AC3578">
              <w:rPr>
                <w:rFonts w:ascii="Calibri" w:hAnsi="Calibri" w:cs="Calibri"/>
                <w:sz w:val="20"/>
                <w:szCs w:val="20"/>
              </w:rPr>
              <w:t>215</w:t>
            </w:r>
          </w:p>
        </w:tc>
        <w:tc>
          <w:tcPr>
            <w:tcW w:w="724" w:type="pct"/>
            <w:tcBorders>
              <w:top w:val="nil"/>
              <w:left w:val="nil"/>
              <w:bottom w:val="nil"/>
              <w:right w:val="nil"/>
            </w:tcBorders>
            <w:shd w:val="clear" w:color="auto" w:fill="auto"/>
            <w:vAlign w:val="bottom"/>
          </w:tcPr>
          <w:p w14:paraId="2CB79A97" w14:textId="21760F47" w:rsidR="00C71EB7" w:rsidRPr="009E792D" w:rsidRDefault="00C71EB7" w:rsidP="00C71EB7">
            <w:pPr>
              <w:tabs>
                <w:tab w:val="right" w:pos="1202"/>
              </w:tabs>
              <w:spacing w:after="0" w:line="301" w:lineRule="exact"/>
              <w:jc w:val="right"/>
              <w:outlineLvl w:val="0"/>
              <w:rPr>
                <w:rFonts w:ascii="Calibri" w:eastAsia="Times New Roman" w:hAnsi="Calibri" w:cs="Calibri"/>
                <w:sz w:val="20"/>
                <w:szCs w:val="20"/>
                <w:lang w:val="en-US"/>
              </w:rPr>
            </w:pPr>
            <w:r w:rsidRPr="009E792D">
              <w:rPr>
                <w:rFonts w:cstheme="minorHAnsi"/>
                <w:color w:val="000000" w:themeColor="text1"/>
                <w:sz w:val="20"/>
                <w:szCs w:val="20"/>
              </w:rPr>
              <w:t>7,500</w:t>
            </w:r>
          </w:p>
        </w:tc>
      </w:tr>
      <w:tr w:rsidR="00C71EB7" w:rsidRPr="009E792D" w14:paraId="5E6E96FB" w14:textId="77777777" w:rsidTr="009E792D">
        <w:tc>
          <w:tcPr>
            <w:tcW w:w="2100" w:type="pct"/>
            <w:vAlign w:val="bottom"/>
          </w:tcPr>
          <w:p w14:paraId="48F2867E" w14:textId="77777777" w:rsidR="00C71EB7" w:rsidRPr="009E792D" w:rsidRDefault="00C71EB7" w:rsidP="00C71EB7">
            <w:pPr>
              <w:tabs>
                <w:tab w:val="right" w:pos="1202"/>
              </w:tabs>
              <w:spacing w:after="0" w:line="300" w:lineRule="exact"/>
              <w:outlineLvl w:val="0"/>
              <w:rPr>
                <w:rFonts w:ascii="Calibri" w:eastAsia="Times New Roman" w:hAnsi="Calibri" w:cs="Arial"/>
                <w:sz w:val="20"/>
                <w:szCs w:val="20"/>
                <w:lang w:val="en-US"/>
              </w:rPr>
            </w:pPr>
            <w:bookmarkStart w:id="616" w:name="_Toc4060474"/>
            <w:r w:rsidRPr="009E792D">
              <w:rPr>
                <w:rFonts w:ascii="Calibri" w:eastAsia="Times New Roman" w:hAnsi="Calibri" w:cs="Arial"/>
                <w:sz w:val="20"/>
                <w:szCs w:val="20"/>
                <w:lang w:val="en-US"/>
              </w:rPr>
              <w:t>Loans to financial institutions</w:t>
            </w:r>
            <w:bookmarkEnd w:id="616"/>
          </w:p>
        </w:tc>
        <w:tc>
          <w:tcPr>
            <w:tcW w:w="725" w:type="pct"/>
            <w:tcBorders>
              <w:top w:val="nil"/>
              <w:left w:val="nil"/>
              <w:bottom w:val="nil"/>
              <w:right w:val="nil"/>
            </w:tcBorders>
            <w:shd w:val="clear" w:color="auto" w:fill="auto"/>
            <w:vAlign w:val="bottom"/>
          </w:tcPr>
          <w:p w14:paraId="1B1E6CE9" w14:textId="7EF8A764" w:rsidR="00C71EB7" w:rsidRPr="009E792D" w:rsidRDefault="00C71EB7" w:rsidP="00C71EB7">
            <w:pPr>
              <w:tabs>
                <w:tab w:val="right" w:pos="1202"/>
              </w:tabs>
              <w:spacing w:after="0" w:line="301" w:lineRule="exact"/>
              <w:jc w:val="right"/>
              <w:outlineLvl w:val="0"/>
              <w:rPr>
                <w:rFonts w:ascii="Calibri" w:eastAsia="Times New Roman" w:hAnsi="Calibri" w:cs="Calibri"/>
                <w:sz w:val="20"/>
                <w:szCs w:val="20"/>
                <w:lang w:val="en-US"/>
              </w:rPr>
            </w:pPr>
            <w:r w:rsidRPr="009E792D">
              <w:rPr>
                <w:rFonts w:ascii="Calibri" w:hAnsi="Calibri" w:cs="Calibri"/>
                <w:sz w:val="20"/>
                <w:szCs w:val="20"/>
              </w:rPr>
              <w:t>6</w:t>
            </w:r>
            <w:r w:rsidR="00AC3578">
              <w:rPr>
                <w:rFonts w:ascii="Calibri" w:hAnsi="Calibri" w:cs="Calibri"/>
                <w:sz w:val="20"/>
                <w:szCs w:val="20"/>
              </w:rPr>
              <w:t>,</w:t>
            </w:r>
            <w:r w:rsidRPr="009E792D">
              <w:rPr>
                <w:rFonts w:ascii="Calibri" w:hAnsi="Calibri" w:cs="Calibri"/>
                <w:sz w:val="20"/>
                <w:szCs w:val="20"/>
              </w:rPr>
              <w:t>941</w:t>
            </w:r>
            <w:r w:rsidR="00AC3578">
              <w:rPr>
                <w:rFonts w:ascii="Calibri" w:hAnsi="Calibri" w:cs="Calibri"/>
                <w:sz w:val="20"/>
                <w:szCs w:val="20"/>
              </w:rPr>
              <w:t>,</w:t>
            </w:r>
            <w:r w:rsidRPr="009E792D">
              <w:rPr>
                <w:rFonts w:ascii="Calibri" w:hAnsi="Calibri" w:cs="Calibri"/>
                <w:sz w:val="20"/>
                <w:szCs w:val="20"/>
              </w:rPr>
              <w:t>960</w:t>
            </w:r>
          </w:p>
        </w:tc>
        <w:tc>
          <w:tcPr>
            <w:tcW w:w="726" w:type="pct"/>
            <w:tcBorders>
              <w:top w:val="nil"/>
              <w:left w:val="nil"/>
              <w:bottom w:val="nil"/>
              <w:right w:val="nil"/>
            </w:tcBorders>
            <w:shd w:val="clear" w:color="auto" w:fill="auto"/>
            <w:vAlign w:val="bottom"/>
          </w:tcPr>
          <w:p w14:paraId="7944F803" w14:textId="6011FB54" w:rsidR="00C71EB7" w:rsidRPr="009E792D" w:rsidRDefault="00C71EB7" w:rsidP="00C71EB7">
            <w:pPr>
              <w:tabs>
                <w:tab w:val="right" w:pos="1202"/>
              </w:tabs>
              <w:spacing w:after="0" w:line="301" w:lineRule="exact"/>
              <w:jc w:val="right"/>
              <w:outlineLvl w:val="0"/>
              <w:rPr>
                <w:rFonts w:ascii="Calibri" w:eastAsia="Times New Roman" w:hAnsi="Calibri" w:cs="Calibri"/>
                <w:sz w:val="20"/>
                <w:szCs w:val="20"/>
                <w:lang w:val="en-US"/>
              </w:rPr>
            </w:pPr>
            <w:r w:rsidRPr="009E792D">
              <w:rPr>
                <w:rFonts w:cstheme="minorHAnsi"/>
                <w:color w:val="000000" w:themeColor="text1"/>
                <w:sz w:val="20"/>
                <w:szCs w:val="20"/>
              </w:rPr>
              <w:t>7,050,143</w:t>
            </w:r>
          </w:p>
        </w:tc>
        <w:tc>
          <w:tcPr>
            <w:tcW w:w="725" w:type="pct"/>
            <w:tcBorders>
              <w:top w:val="nil"/>
              <w:left w:val="nil"/>
              <w:bottom w:val="nil"/>
              <w:right w:val="nil"/>
            </w:tcBorders>
            <w:shd w:val="clear" w:color="auto" w:fill="auto"/>
            <w:vAlign w:val="bottom"/>
          </w:tcPr>
          <w:p w14:paraId="65EB9555" w14:textId="2CF4C49F" w:rsidR="00C71EB7" w:rsidRPr="00AC3578" w:rsidRDefault="00C71EB7" w:rsidP="00C71EB7">
            <w:pPr>
              <w:tabs>
                <w:tab w:val="right" w:pos="1202"/>
              </w:tabs>
              <w:spacing w:after="0" w:line="301" w:lineRule="exact"/>
              <w:jc w:val="right"/>
              <w:outlineLvl w:val="0"/>
              <w:rPr>
                <w:rFonts w:ascii="Calibri" w:eastAsia="Times New Roman" w:hAnsi="Calibri" w:cs="Calibri"/>
                <w:sz w:val="20"/>
                <w:szCs w:val="20"/>
                <w:lang w:val="en-US"/>
              </w:rPr>
            </w:pPr>
            <w:r w:rsidRPr="00AC3578">
              <w:rPr>
                <w:rFonts w:ascii="Calibri" w:hAnsi="Calibri" w:cs="Calibri"/>
                <w:sz w:val="20"/>
                <w:szCs w:val="20"/>
              </w:rPr>
              <w:t>6</w:t>
            </w:r>
            <w:r w:rsidR="00AC3578">
              <w:rPr>
                <w:rFonts w:ascii="Calibri" w:hAnsi="Calibri" w:cs="Calibri"/>
                <w:sz w:val="20"/>
                <w:szCs w:val="20"/>
              </w:rPr>
              <w:t>,</w:t>
            </w:r>
            <w:r w:rsidRPr="00AC3578">
              <w:rPr>
                <w:rFonts w:ascii="Calibri" w:hAnsi="Calibri" w:cs="Calibri"/>
                <w:sz w:val="20"/>
                <w:szCs w:val="20"/>
              </w:rPr>
              <w:t>941</w:t>
            </w:r>
            <w:r w:rsidR="00AC3578">
              <w:rPr>
                <w:rFonts w:ascii="Calibri" w:hAnsi="Calibri" w:cs="Calibri"/>
                <w:sz w:val="20"/>
                <w:szCs w:val="20"/>
              </w:rPr>
              <w:t>,</w:t>
            </w:r>
            <w:r w:rsidRPr="00AC3578">
              <w:rPr>
                <w:rFonts w:ascii="Calibri" w:hAnsi="Calibri" w:cs="Calibri"/>
                <w:sz w:val="20"/>
                <w:szCs w:val="20"/>
              </w:rPr>
              <w:t>960</w:t>
            </w:r>
          </w:p>
        </w:tc>
        <w:tc>
          <w:tcPr>
            <w:tcW w:w="724" w:type="pct"/>
            <w:tcBorders>
              <w:top w:val="nil"/>
              <w:left w:val="nil"/>
              <w:bottom w:val="nil"/>
              <w:right w:val="nil"/>
            </w:tcBorders>
            <w:shd w:val="clear" w:color="auto" w:fill="auto"/>
            <w:vAlign w:val="bottom"/>
          </w:tcPr>
          <w:p w14:paraId="19CCBCAA" w14:textId="0DA7580C" w:rsidR="00C71EB7" w:rsidRPr="009E792D" w:rsidRDefault="00C71EB7" w:rsidP="00C71EB7">
            <w:pPr>
              <w:tabs>
                <w:tab w:val="right" w:pos="1202"/>
              </w:tabs>
              <w:spacing w:after="0" w:line="301" w:lineRule="exact"/>
              <w:jc w:val="right"/>
              <w:outlineLvl w:val="0"/>
              <w:rPr>
                <w:rFonts w:ascii="Calibri" w:eastAsia="Times New Roman" w:hAnsi="Calibri" w:cs="Calibri"/>
                <w:sz w:val="20"/>
                <w:szCs w:val="20"/>
                <w:lang w:val="en-US"/>
              </w:rPr>
            </w:pPr>
            <w:r w:rsidRPr="009E792D">
              <w:rPr>
                <w:rFonts w:cstheme="minorHAnsi"/>
                <w:color w:val="000000" w:themeColor="text1"/>
                <w:sz w:val="20"/>
                <w:szCs w:val="20"/>
              </w:rPr>
              <w:t>7,050,143</w:t>
            </w:r>
          </w:p>
        </w:tc>
      </w:tr>
      <w:tr w:rsidR="00C71EB7" w:rsidRPr="009E792D" w14:paraId="52779C6C" w14:textId="77777777" w:rsidTr="009E792D">
        <w:tc>
          <w:tcPr>
            <w:tcW w:w="2100" w:type="pct"/>
            <w:vAlign w:val="bottom"/>
          </w:tcPr>
          <w:p w14:paraId="53A2F120" w14:textId="77777777" w:rsidR="00C71EB7" w:rsidRPr="009E792D" w:rsidRDefault="00C71EB7" w:rsidP="00C71EB7">
            <w:pPr>
              <w:tabs>
                <w:tab w:val="right" w:pos="1202"/>
              </w:tabs>
              <w:spacing w:after="0" w:line="300" w:lineRule="exact"/>
              <w:outlineLvl w:val="0"/>
              <w:rPr>
                <w:rFonts w:ascii="Calibri" w:eastAsia="Times New Roman" w:hAnsi="Calibri" w:cs="Arial"/>
                <w:sz w:val="20"/>
                <w:szCs w:val="20"/>
                <w:lang w:val="en-US"/>
              </w:rPr>
            </w:pPr>
            <w:bookmarkStart w:id="617" w:name="_Toc4060477"/>
            <w:r w:rsidRPr="009E792D">
              <w:rPr>
                <w:rFonts w:ascii="Calibri" w:eastAsia="Times New Roman" w:hAnsi="Calibri" w:cs="Arial"/>
                <w:sz w:val="20"/>
                <w:szCs w:val="20"/>
                <w:lang w:val="en-US"/>
              </w:rPr>
              <w:t>Loans to other customers</w:t>
            </w:r>
            <w:bookmarkEnd w:id="617"/>
          </w:p>
        </w:tc>
        <w:tc>
          <w:tcPr>
            <w:tcW w:w="725" w:type="pct"/>
            <w:tcBorders>
              <w:top w:val="nil"/>
              <w:left w:val="nil"/>
              <w:bottom w:val="nil"/>
              <w:right w:val="nil"/>
            </w:tcBorders>
            <w:shd w:val="clear" w:color="auto" w:fill="auto"/>
            <w:vAlign w:val="bottom"/>
          </w:tcPr>
          <w:p w14:paraId="2D093F94" w14:textId="4DFE2845" w:rsidR="00C71EB7" w:rsidRPr="009E792D" w:rsidRDefault="00C71EB7" w:rsidP="00C71EB7">
            <w:pPr>
              <w:tabs>
                <w:tab w:val="right" w:pos="1202"/>
              </w:tabs>
              <w:spacing w:after="0" w:line="301" w:lineRule="exact"/>
              <w:jc w:val="right"/>
              <w:outlineLvl w:val="0"/>
              <w:rPr>
                <w:rFonts w:ascii="Calibri" w:eastAsia="Times New Roman" w:hAnsi="Calibri" w:cs="Calibri"/>
                <w:sz w:val="20"/>
                <w:szCs w:val="20"/>
                <w:lang w:val="en-US"/>
              </w:rPr>
            </w:pPr>
            <w:r w:rsidRPr="009E792D">
              <w:rPr>
                <w:rFonts w:ascii="Calibri" w:hAnsi="Calibri" w:cs="Calibri"/>
                <w:sz w:val="20"/>
                <w:szCs w:val="20"/>
              </w:rPr>
              <w:t>15</w:t>
            </w:r>
            <w:r w:rsidR="00AC3578">
              <w:rPr>
                <w:rFonts w:ascii="Calibri" w:hAnsi="Calibri" w:cs="Calibri"/>
                <w:sz w:val="20"/>
                <w:szCs w:val="20"/>
              </w:rPr>
              <w:t>,</w:t>
            </w:r>
            <w:r w:rsidRPr="009E792D">
              <w:rPr>
                <w:rFonts w:ascii="Calibri" w:hAnsi="Calibri" w:cs="Calibri"/>
                <w:sz w:val="20"/>
                <w:szCs w:val="20"/>
              </w:rPr>
              <w:t>726</w:t>
            </w:r>
            <w:r w:rsidR="00AC3578">
              <w:rPr>
                <w:rFonts w:ascii="Calibri" w:hAnsi="Calibri" w:cs="Calibri"/>
                <w:sz w:val="20"/>
                <w:szCs w:val="20"/>
              </w:rPr>
              <w:t>,</w:t>
            </w:r>
            <w:r w:rsidRPr="009E792D">
              <w:rPr>
                <w:rFonts w:ascii="Calibri" w:hAnsi="Calibri" w:cs="Calibri"/>
                <w:sz w:val="20"/>
                <w:szCs w:val="20"/>
              </w:rPr>
              <w:t>433</w:t>
            </w:r>
          </w:p>
        </w:tc>
        <w:tc>
          <w:tcPr>
            <w:tcW w:w="726" w:type="pct"/>
            <w:tcBorders>
              <w:top w:val="nil"/>
              <w:left w:val="nil"/>
              <w:bottom w:val="nil"/>
              <w:right w:val="nil"/>
            </w:tcBorders>
            <w:shd w:val="clear" w:color="auto" w:fill="auto"/>
            <w:vAlign w:val="bottom"/>
          </w:tcPr>
          <w:p w14:paraId="56D8DA45" w14:textId="33459927" w:rsidR="00C71EB7" w:rsidRPr="009E792D" w:rsidRDefault="00C71EB7" w:rsidP="00C71EB7">
            <w:pPr>
              <w:tabs>
                <w:tab w:val="right" w:pos="1202"/>
              </w:tabs>
              <w:spacing w:after="0" w:line="301" w:lineRule="exact"/>
              <w:jc w:val="right"/>
              <w:outlineLvl w:val="0"/>
              <w:rPr>
                <w:rFonts w:ascii="Calibri" w:eastAsia="Times New Roman" w:hAnsi="Calibri" w:cs="Calibri"/>
                <w:sz w:val="20"/>
                <w:szCs w:val="20"/>
                <w:lang w:val="en-US"/>
              </w:rPr>
            </w:pPr>
            <w:r w:rsidRPr="009E792D">
              <w:rPr>
                <w:rFonts w:cstheme="minorHAnsi"/>
                <w:color w:val="000000" w:themeColor="text1"/>
                <w:sz w:val="20"/>
                <w:szCs w:val="20"/>
              </w:rPr>
              <w:t>15,964,376</w:t>
            </w:r>
          </w:p>
        </w:tc>
        <w:tc>
          <w:tcPr>
            <w:tcW w:w="725" w:type="pct"/>
            <w:tcBorders>
              <w:top w:val="nil"/>
              <w:left w:val="nil"/>
              <w:bottom w:val="nil"/>
              <w:right w:val="nil"/>
            </w:tcBorders>
            <w:shd w:val="clear" w:color="auto" w:fill="auto"/>
            <w:vAlign w:val="bottom"/>
          </w:tcPr>
          <w:p w14:paraId="583A6A2C" w14:textId="0A3CBE46" w:rsidR="00C71EB7" w:rsidRPr="00AC3578" w:rsidRDefault="00C71EB7" w:rsidP="00C71EB7">
            <w:pPr>
              <w:tabs>
                <w:tab w:val="right" w:pos="1202"/>
              </w:tabs>
              <w:spacing w:after="0" w:line="301" w:lineRule="exact"/>
              <w:jc w:val="right"/>
              <w:outlineLvl w:val="0"/>
              <w:rPr>
                <w:rFonts w:ascii="Calibri" w:eastAsia="Times New Roman" w:hAnsi="Calibri" w:cs="Calibri"/>
                <w:sz w:val="20"/>
                <w:szCs w:val="20"/>
                <w:lang w:val="en-US"/>
              </w:rPr>
            </w:pPr>
            <w:r w:rsidRPr="00AC3578">
              <w:rPr>
                <w:rFonts w:ascii="Calibri" w:hAnsi="Calibri" w:cs="Calibri"/>
                <w:sz w:val="20"/>
                <w:szCs w:val="20"/>
              </w:rPr>
              <w:t>15</w:t>
            </w:r>
            <w:r w:rsidR="00AC3578">
              <w:rPr>
                <w:rFonts w:ascii="Calibri" w:hAnsi="Calibri" w:cs="Calibri"/>
                <w:sz w:val="20"/>
                <w:szCs w:val="20"/>
              </w:rPr>
              <w:t>,</w:t>
            </w:r>
            <w:r w:rsidRPr="00AC3578">
              <w:rPr>
                <w:rFonts w:ascii="Calibri" w:hAnsi="Calibri" w:cs="Calibri"/>
                <w:sz w:val="20"/>
                <w:szCs w:val="20"/>
              </w:rPr>
              <w:t>726</w:t>
            </w:r>
            <w:r w:rsidR="00AC3578">
              <w:rPr>
                <w:rFonts w:ascii="Calibri" w:hAnsi="Calibri" w:cs="Calibri"/>
                <w:sz w:val="20"/>
                <w:szCs w:val="20"/>
              </w:rPr>
              <w:t>,</w:t>
            </w:r>
            <w:r w:rsidRPr="00AC3578">
              <w:rPr>
                <w:rFonts w:ascii="Calibri" w:hAnsi="Calibri" w:cs="Calibri"/>
                <w:sz w:val="20"/>
                <w:szCs w:val="20"/>
              </w:rPr>
              <w:t>433</w:t>
            </w:r>
          </w:p>
        </w:tc>
        <w:tc>
          <w:tcPr>
            <w:tcW w:w="724" w:type="pct"/>
            <w:tcBorders>
              <w:top w:val="nil"/>
              <w:left w:val="nil"/>
              <w:bottom w:val="nil"/>
              <w:right w:val="nil"/>
            </w:tcBorders>
            <w:shd w:val="clear" w:color="auto" w:fill="auto"/>
            <w:vAlign w:val="bottom"/>
          </w:tcPr>
          <w:p w14:paraId="54080368" w14:textId="01F4E670" w:rsidR="00C71EB7" w:rsidRPr="009E792D" w:rsidRDefault="00C71EB7" w:rsidP="00C71EB7">
            <w:pPr>
              <w:tabs>
                <w:tab w:val="right" w:pos="1202"/>
              </w:tabs>
              <w:spacing w:after="0" w:line="301" w:lineRule="exact"/>
              <w:jc w:val="right"/>
              <w:outlineLvl w:val="0"/>
              <w:rPr>
                <w:rFonts w:ascii="Calibri" w:eastAsia="Times New Roman" w:hAnsi="Calibri" w:cs="Calibri"/>
                <w:sz w:val="20"/>
                <w:szCs w:val="20"/>
                <w:lang w:val="en-US"/>
              </w:rPr>
            </w:pPr>
            <w:r w:rsidRPr="009E792D">
              <w:rPr>
                <w:rFonts w:cstheme="minorHAnsi"/>
                <w:color w:val="000000" w:themeColor="text1"/>
                <w:sz w:val="20"/>
                <w:szCs w:val="20"/>
              </w:rPr>
              <w:t>15,964,376</w:t>
            </w:r>
          </w:p>
        </w:tc>
      </w:tr>
      <w:tr w:rsidR="00C71EB7" w:rsidRPr="009E792D" w14:paraId="64178A76" w14:textId="77777777" w:rsidTr="009E792D">
        <w:tc>
          <w:tcPr>
            <w:tcW w:w="2100" w:type="pct"/>
            <w:vAlign w:val="bottom"/>
          </w:tcPr>
          <w:p w14:paraId="51B8CDCD" w14:textId="77777777" w:rsidR="00C71EB7" w:rsidRPr="009E792D" w:rsidRDefault="00C71EB7" w:rsidP="00C71EB7">
            <w:pPr>
              <w:tabs>
                <w:tab w:val="right" w:pos="1202"/>
              </w:tabs>
              <w:spacing w:after="0" w:line="300" w:lineRule="exact"/>
              <w:outlineLvl w:val="0"/>
              <w:rPr>
                <w:rFonts w:ascii="Calibri" w:eastAsia="Times New Roman" w:hAnsi="Calibri" w:cs="Arial"/>
                <w:sz w:val="20"/>
                <w:szCs w:val="20"/>
                <w:lang w:val="en-US"/>
              </w:rPr>
            </w:pPr>
            <w:bookmarkStart w:id="618" w:name="_Toc4060480"/>
            <w:r w:rsidRPr="009E792D">
              <w:rPr>
                <w:rFonts w:ascii="Calibri" w:eastAsia="Times New Roman" w:hAnsi="Calibri" w:cs="Arial"/>
                <w:sz w:val="20"/>
                <w:szCs w:val="20"/>
                <w:lang w:val="en-US"/>
              </w:rPr>
              <w:t>Financial assets at fair value through profit or loss</w:t>
            </w:r>
            <w:bookmarkEnd w:id="618"/>
          </w:p>
        </w:tc>
        <w:tc>
          <w:tcPr>
            <w:tcW w:w="725" w:type="pct"/>
            <w:tcBorders>
              <w:top w:val="nil"/>
              <w:left w:val="nil"/>
              <w:bottom w:val="nil"/>
              <w:right w:val="nil"/>
            </w:tcBorders>
            <w:shd w:val="clear" w:color="auto" w:fill="auto"/>
            <w:vAlign w:val="bottom"/>
          </w:tcPr>
          <w:p w14:paraId="39BC00E6" w14:textId="08684BCF" w:rsidR="00C71EB7" w:rsidRPr="009E792D" w:rsidRDefault="00C71EB7" w:rsidP="00C71EB7">
            <w:pPr>
              <w:tabs>
                <w:tab w:val="right" w:pos="1202"/>
              </w:tabs>
              <w:spacing w:after="0" w:line="301" w:lineRule="exact"/>
              <w:jc w:val="right"/>
              <w:outlineLvl w:val="0"/>
              <w:rPr>
                <w:rFonts w:ascii="Calibri" w:eastAsia="Times New Roman" w:hAnsi="Calibri" w:cs="Calibri"/>
                <w:sz w:val="20"/>
                <w:szCs w:val="20"/>
                <w:lang w:val="en-US"/>
              </w:rPr>
            </w:pPr>
            <w:r w:rsidRPr="009E792D">
              <w:rPr>
                <w:rFonts w:ascii="Calibri" w:hAnsi="Calibri" w:cs="Calibri"/>
                <w:sz w:val="20"/>
                <w:szCs w:val="20"/>
              </w:rPr>
              <w:t>25</w:t>
            </w:r>
            <w:r w:rsidR="00AC3578">
              <w:rPr>
                <w:rFonts w:ascii="Calibri" w:hAnsi="Calibri" w:cs="Calibri"/>
                <w:sz w:val="20"/>
                <w:szCs w:val="20"/>
              </w:rPr>
              <w:t>,</w:t>
            </w:r>
            <w:r w:rsidRPr="009E792D">
              <w:rPr>
                <w:rFonts w:ascii="Calibri" w:hAnsi="Calibri" w:cs="Calibri"/>
                <w:sz w:val="20"/>
                <w:szCs w:val="20"/>
              </w:rPr>
              <w:t>652</w:t>
            </w:r>
          </w:p>
        </w:tc>
        <w:tc>
          <w:tcPr>
            <w:tcW w:w="726" w:type="pct"/>
            <w:tcBorders>
              <w:top w:val="nil"/>
              <w:left w:val="nil"/>
              <w:bottom w:val="nil"/>
              <w:right w:val="nil"/>
            </w:tcBorders>
            <w:shd w:val="clear" w:color="auto" w:fill="auto"/>
            <w:vAlign w:val="bottom"/>
          </w:tcPr>
          <w:p w14:paraId="7C7B3FB5" w14:textId="02D7FE27" w:rsidR="00C71EB7" w:rsidRPr="009E792D" w:rsidRDefault="00C71EB7" w:rsidP="00C71EB7">
            <w:pPr>
              <w:tabs>
                <w:tab w:val="right" w:pos="1202"/>
              </w:tabs>
              <w:spacing w:after="0" w:line="301" w:lineRule="exact"/>
              <w:jc w:val="right"/>
              <w:outlineLvl w:val="0"/>
              <w:rPr>
                <w:rFonts w:ascii="Calibri" w:eastAsia="Times New Roman" w:hAnsi="Calibri" w:cs="Calibri"/>
                <w:sz w:val="20"/>
                <w:szCs w:val="20"/>
                <w:lang w:val="en-US"/>
              </w:rPr>
            </w:pPr>
            <w:r w:rsidRPr="009E792D">
              <w:rPr>
                <w:rFonts w:cstheme="minorHAnsi"/>
                <w:color w:val="000000" w:themeColor="text1"/>
                <w:sz w:val="20"/>
                <w:szCs w:val="20"/>
              </w:rPr>
              <w:t>16,375</w:t>
            </w:r>
          </w:p>
        </w:tc>
        <w:tc>
          <w:tcPr>
            <w:tcW w:w="725" w:type="pct"/>
            <w:tcBorders>
              <w:top w:val="nil"/>
              <w:left w:val="nil"/>
              <w:bottom w:val="nil"/>
              <w:right w:val="nil"/>
            </w:tcBorders>
            <w:shd w:val="clear" w:color="auto" w:fill="auto"/>
            <w:vAlign w:val="bottom"/>
          </w:tcPr>
          <w:p w14:paraId="1F47FFE3" w14:textId="06DF4AE9" w:rsidR="00C71EB7" w:rsidRPr="00AC3578" w:rsidRDefault="00C71EB7" w:rsidP="00C71EB7">
            <w:pPr>
              <w:tabs>
                <w:tab w:val="right" w:pos="1202"/>
              </w:tabs>
              <w:spacing w:after="0" w:line="301" w:lineRule="exact"/>
              <w:jc w:val="right"/>
              <w:outlineLvl w:val="0"/>
              <w:rPr>
                <w:rFonts w:ascii="Calibri" w:eastAsia="Times New Roman" w:hAnsi="Calibri" w:cs="Calibri"/>
                <w:sz w:val="20"/>
                <w:szCs w:val="20"/>
                <w:lang w:val="en-US"/>
              </w:rPr>
            </w:pPr>
            <w:r w:rsidRPr="00AC3578">
              <w:rPr>
                <w:rFonts w:ascii="Calibri" w:hAnsi="Calibri" w:cs="Calibri"/>
                <w:sz w:val="20"/>
                <w:szCs w:val="20"/>
              </w:rPr>
              <w:t>25</w:t>
            </w:r>
            <w:r w:rsidR="00AC3578">
              <w:rPr>
                <w:rFonts w:ascii="Calibri" w:hAnsi="Calibri" w:cs="Calibri"/>
                <w:sz w:val="20"/>
                <w:szCs w:val="20"/>
              </w:rPr>
              <w:t>,</w:t>
            </w:r>
            <w:r w:rsidRPr="00AC3578">
              <w:rPr>
                <w:rFonts w:ascii="Calibri" w:hAnsi="Calibri" w:cs="Calibri"/>
                <w:sz w:val="20"/>
                <w:szCs w:val="20"/>
              </w:rPr>
              <w:t>652</w:t>
            </w:r>
          </w:p>
        </w:tc>
        <w:tc>
          <w:tcPr>
            <w:tcW w:w="724" w:type="pct"/>
            <w:tcBorders>
              <w:top w:val="nil"/>
              <w:left w:val="nil"/>
              <w:bottom w:val="nil"/>
              <w:right w:val="nil"/>
            </w:tcBorders>
            <w:shd w:val="clear" w:color="auto" w:fill="auto"/>
            <w:vAlign w:val="bottom"/>
          </w:tcPr>
          <w:p w14:paraId="28306821" w14:textId="44425636" w:rsidR="00C71EB7" w:rsidRPr="009E792D" w:rsidRDefault="00C71EB7" w:rsidP="00C71EB7">
            <w:pPr>
              <w:tabs>
                <w:tab w:val="right" w:pos="1202"/>
              </w:tabs>
              <w:spacing w:after="0" w:line="301" w:lineRule="exact"/>
              <w:jc w:val="right"/>
              <w:outlineLvl w:val="0"/>
              <w:rPr>
                <w:rFonts w:ascii="Calibri" w:eastAsia="Times New Roman" w:hAnsi="Calibri" w:cs="Calibri"/>
                <w:sz w:val="20"/>
                <w:szCs w:val="20"/>
                <w:lang w:val="en-US"/>
              </w:rPr>
            </w:pPr>
            <w:r w:rsidRPr="009E792D">
              <w:rPr>
                <w:rFonts w:cstheme="minorHAnsi"/>
                <w:color w:val="000000" w:themeColor="text1"/>
                <w:sz w:val="20"/>
                <w:szCs w:val="20"/>
              </w:rPr>
              <w:t>16,375</w:t>
            </w:r>
          </w:p>
        </w:tc>
      </w:tr>
      <w:tr w:rsidR="00C71EB7" w:rsidRPr="009E792D" w14:paraId="2C854E89" w14:textId="77777777" w:rsidTr="009E792D">
        <w:tc>
          <w:tcPr>
            <w:tcW w:w="2100" w:type="pct"/>
            <w:vAlign w:val="bottom"/>
          </w:tcPr>
          <w:p w14:paraId="7627ADDA" w14:textId="77777777" w:rsidR="00C71EB7" w:rsidRPr="009E792D" w:rsidRDefault="00C71EB7" w:rsidP="00C71EB7">
            <w:pPr>
              <w:tabs>
                <w:tab w:val="right" w:pos="1202"/>
              </w:tabs>
              <w:spacing w:after="0" w:line="300" w:lineRule="exact"/>
              <w:outlineLvl w:val="0"/>
              <w:rPr>
                <w:rFonts w:ascii="Calibri" w:eastAsia="Times New Roman" w:hAnsi="Calibri" w:cs="Arial"/>
                <w:sz w:val="20"/>
                <w:szCs w:val="20"/>
                <w:lang w:val="en-US"/>
              </w:rPr>
            </w:pPr>
            <w:bookmarkStart w:id="619" w:name="_Toc4060483"/>
            <w:r w:rsidRPr="009E792D">
              <w:rPr>
                <w:rFonts w:ascii="Calibri" w:eastAsia="Times New Roman" w:hAnsi="Calibri" w:cs="Arial"/>
                <w:sz w:val="20"/>
                <w:szCs w:val="20"/>
                <w:lang w:val="en-US"/>
              </w:rPr>
              <w:t>Financial assets at fair value through other comprehensive income</w:t>
            </w:r>
            <w:bookmarkEnd w:id="619"/>
          </w:p>
        </w:tc>
        <w:tc>
          <w:tcPr>
            <w:tcW w:w="725" w:type="pct"/>
            <w:tcBorders>
              <w:top w:val="nil"/>
              <w:left w:val="nil"/>
              <w:bottom w:val="nil"/>
              <w:right w:val="nil"/>
            </w:tcBorders>
            <w:shd w:val="clear" w:color="auto" w:fill="auto"/>
            <w:vAlign w:val="bottom"/>
          </w:tcPr>
          <w:p w14:paraId="6B456DFE" w14:textId="4FDBEAFF" w:rsidR="00C71EB7" w:rsidRPr="009E792D" w:rsidDel="0062368C" w:rsidRDefault="00C71EB7" w:rsidP="00C71EB7">
            <w:pPr>
              <w:tabs>
                <w:tab w:val="right" w:pos="1202"/>
              </w:tabs>
              <w:spacing w:after="0" w:line="301" w:lineRule="exact"/>
              <w:jc w:val="right"/>
              <w:outlineLvl w:val="0"/>
              <w:rPr>
                <w:rFonts w:ascii="Calibri" w:eastAsia="Times New Roman" w:hAnsi="Calibri" w:cs="Calibri"/>
                <w:sz w:val="20"/>
                <w:szCs w:val="20"/>
                <w:lang w:val="en-US"/>
              </w:rPr>
            </w:pPr>
            <w:r w:rsidRPr="009E792D">
              <w:rPr>
                <w:rFonts w:ascii="Calibri" w:hAnsi="Calibri" w:cs="Calibri"/>
                <w:sz w:val="20"/>
                <w:szCs w:val="20"/>
              </w:rPr>
              <w:t>3</w:t>
            </w:r>
            <w:r w:rsidR="00AC3578">
              <w:rPr>
                <w:rFonts w:ascii="Calibri" w:hAnsi="Calibri" w:cs="Calibri"/>
                <w:sz w:val="20"/>
                <w:szCs w:val="20"/>
              </w:rPr>
              <w:t>,</w:t>
            </w:r>
            <w:r w:rsidRPr="009E792D">
              <w:rPr>
                <w:rFonts w:ascii="Calibri" w:hAnsi="Calibri" w:cs="Calibri"/>
                <w:sz w:val="20"/>
                <w:szCs w:val="20"/>
              </w:rPr>
              <w:t>205</w:t>
            </w:r>
            <w:r w:rsidR="00AC3578">
              <w:rPr>
                <w:rFonts w:ascii="Calibri" w:hAnsi="Calibri" w:cs="Calibri"/>
                <w:sz w:val="20"/>
                <w:szCs w:val="20"/>
              </w:rPr>
              <w:t>,</w:t>
            </w:r>
            <w:r w:rsidRPr="009E792D">
              <w:rPr>
                <w:rFonts w:ascii="Calibri" w:hAnsi="Calibri" w:cs="Calibri"/>
                <w:sz w:val="20"/>
                <w:szCs w:val="20"/>
              </w:rPr>
              <w:t>64</w:t>
            </w:r>
            <w:r w:rsidR="00F077D6">
              <w:rPr>
                <w:rFonts w:ascii="Calibri" w:hAnsi="Calibri" w:cs="Calibri"/>
                <w:sz w:val="20"/>
                <w:szCs w:val="20"/>
              </w:rPr>
              <w:t>7</w:t>
            </w:r>
          </w:p>
        </w:tc>
        <w:tc>
          <w:tcPr>
            <w:tcW w:w="726" w:type="pct"/>
            <w:tcBorders>
              <w:top w:val="nil"/>
              <w:left w:val="nil"/>
              <w:bottom w:val="nil"/>
              <w:right w:val="nil"/>
            </w:tcBorders>
            <w:shd w:val="clear" w:color="auto" w:fill="auto"/>
            <w:vAlign w:val="bottom"/>
          </w:tcPr>
          <w:p w14:paraId="61999565" w14:textId="63927048" w:rsidR="00C71EB7" w:rsidRPr="009E792D" w:rsidRDefault="00C71EB7" w:rsidP="00C71EB7">
            <w:pPr>
              <w:tabs>
                <w:tab w:val="right" w:pos="1202"/>
              </w:tabs>
              <w:spacing w:after="0" w:line="301" w:lineRule="exact"/>
              <w:jc w:val="right"/>
              <w:outlineLvl w:val="0"/>
              <w:rPr>
                <w:rFonts w:ascii="Calibri" w:eastAsia="Times New Roman" w:hAnsi="Calibri" w:cs="Calibri"/>
                <w:sz w:val="20"/>
                <w:szCs w:val="20"/>
                <w:lang w:val="en-US"/>
              </w:rPr>
            </w:pPr>
            <w:r w:rsidRPr="009E792D">
              <w:rPr>
                <w:rFonts w:cstheme="minorHAnsi"/>
                <w:color w:val="000000" w:themeColor="text1"/>
                <w:sz w:val="20"/>
                <w:szCs w:val="20"/>
              </w:rPr>
              <w:t>2,929,514</w:t>
            </w:r>
          </w:p>
        </w:tc>
        <w:tc>
          <w:tcPr>
            <w:tcW w:w="725" w:type="pct"/>
            <w:tcBorders>
              <w:top w:val="nil"/>
              <w:left w:val="nil"/>
              <w:bottom w:val="nil"/>
              <w:right w:val="nil"/>
            </w:tcBorders>
            <w:shd w:val="clear" w:color="auto" w:fill="auto"/>
            <w:vAlign w:val="bottom"/>
          </w:tcPr>
          <w:p w14:paraId="5C0521BA" w14:textId="24E62CE5" w:rsidR="00C71EB7" w:rsidRPr="00AC3578" w:rsidDel="0062368C" w:rsidRDefault="00C71EB7" w:rsidP="00C71EB7">
            <w:pPr>
              <w:tabs>
                <w:tab w:val="right" w:pos="1202"/>
              </w:tabs>
              <w:spacing w:after="0" w:line="301" w:lineRule="exact"/>
              <w:jc w:val="right"/>
              <w:outlineLvl w:val="0"/>
              <w:rPr>
                <w:rFonts w:ascii="Calibri" w:eastAsia="Times New Roman" w:hAnsi="Calibri" w:cs="Calibri"/>
                <w:sz w:val="20"/>
                <w:szCs w:val="20"/>
                <w:lang w:val="en-US"/>
              </w:rPr>
            </w:pPr>
            <w:r w:rsidRPr="00AC3578">
              <w:rPr>
                <w:rFonts w:ascii="Calibri" w:hAnsi="Calibri" w:cs="Calibri"/>
                <w:sz w:val="20"/>
                <w:szCs w:val="20"/>
              </w:rPr>
              <w:t>3</w:t>
            </w:r>
            <w:r w:rsidR="00AC3578">
              <w:rPr>
                <w:rFonts w:ascii="Calibri" w:hAnsi="Calibri" w:cs="Calibri"/>
                <w:sz w:val="20"/>
                <w:szCs w:val="20"/>
              </w:rPr>
              <w:t>,</w:t>
            </w:r>
            <w:r w:rsidRPr="00AC3578">
              <w:rPr>
                <w:rFonts w:ascii="Calibri" w:hAnsi="Calibri" w:cs="Calibri"/>
                <w:sz w:val="20"/>
                <w:szCs w:val="20"/>
              </w:rPr>
              <w:t>152</w:t>
            </w:r>
            <w:r w:rsidR="00AC3578">
              <w:rPr>
                <w:rFonts w:ascii="Calibri" w:hAnsi="Calibri" w:cs="Calibri"/>
                <w:sz w:val="20"/>
                <w:szCs w:val="20"/>
              </w:rPr>
              <w:t>,</w:t>
            </w:r>
            <w:r w:rsidRPr="00AC3578">
              <w:rPr>
                <w:rFonts w:ascii="Calibri" w:hAnsi="Calibri" w:cs="Calibri"/>
                <w:sz w:val="20"/>
                <w:szCs w:val="20"/>
              </w:rPr>
              <w:t>504</w:t>
            </w:r>
          </w:p>
        </w:tc>
        <w:tc>
          <w:tcPr>
            <w:tcW w:w="724" w:type="pct"/>
            <w:tcBorders>
              <w:top w:val="nil"/>
              <w:left w:val="nil"/>
              <w:bottom w:val="nil"/>
              <w:right w:val="nil"/>
            </w:tcBorders>
            <w:shd w:val="clear" w:color="auto" w:fill="auto"/>
            <w:vAlign w:val="bottom"/>
          </w:tcPr>
          <w:p w14:paraId="4BEBB4D6" w14:textId="48A35238" w:rsidR="00C71EB7" w:rsidRPr="009E792D" w:rsidRDefault="00C71EB7" w:rsidP="00C71EB7">
            <w:pPr>
              <w:tabs>
                <w:tab w:val="right" w:pos="1202"/>
              </w:tabs>
              <w:spacing w:after="0" w:line="301" w:lineRule="exact"/>
              <w:jc w:val="right"/>
              <w:outlineLvl w:val="0"/>
              <w:rPr>
                <w:rFonts w:ascii="Calibri" w:eastAsia="Times New Roman" w:hAnsi="Calibri" w:cs="Calibri"/>
                <w:sz w:val="20"/>
                <w:szCs w:val="20"/>
                <w:lang w:val="en-US"/>
              </w:rPr>
            </w:pPr>
            <w:r w:rsidRPr="009E792D">
              <w:rPr>
                <w:rFonts w:cstheme="minorHAnsi"/>
                <w:color w:val="000000" w:themeColor="text1"/>
                <w:sz w:val="20"/>
                <w:szCs w:val="20"/>
              </w:rPr>
              <w:t>2,872,688</w:t>
            </w:r>
          </w:p>
        </w:tc>
      </w:tr>
      <w:tr w:rsidR="00C71EB7" w:rsidRPr="009E792D" w14:paraId="407511ED" w14:textId="77777777" w:rsidTr="009E792D">
        <w:tc>
          <w:tcPr>
            <w:tcW w:w="2100" w:type="pct"/>
            <w:vAlign w:val="bottom"/>
          </w:tcPr>
          <w:p w14:paraId="37B19AED" w14:textId="77777777" w:rsidR="00C71EB7" w:rsidRPr="009E792D" w:rsidRDefault="00C71EB7" w:rsidP="00C71EB7">
            <w:pPr>
              <w:tabs>
                <w:tab w:val="right" w:pos="1202"/>
              </w:tabs>
              <w:spacing w:after="0" w:line="300" w:lineRule="exact"/>
              <w:outlineLvl w:val="0"/>
              <w:rPr>
                <w:rFonts w:ascii="Calibri" w:eastAsia="Times New Roman" w:hAnsi="Calibri" w:cs="Arial"/>
                <w:sz w:val="20"/>
                <w:szCs w:val="20"/>
                <w:lang w:val="en-US"/>
              </w:rPr>
            </w:pPr>
            <w:bookmarkStart w:id="620" w:name="_Toc4060495"/>
            <w:r w:rsidRPr="009E792D">
              <w:rPr>
                <w:rFonts w:ascii="Calibri" w:eastAsia="Times New Roman" w:hAnsi="Calibri" w:cs="Arial"/>
                <w:sz w:val="20"/>
                <w:szCs w:val="20"/>
                <w:lang w:val="en-US"/>
              </w:rPr>
              <w:t>Other assets</w:t>
            </w:r>
            <w:bookmarkEnd w:id="620"/>
          </w:p>
        </w:tc>
        <w:tc>
          <w:tcPr>
            <w:tcW w:w="725" w:type="pct"/>
            <w:tcBorders>
              <w:top w:val="nil"/>
              <w:left w:val="nil"/>
              <w:bottom w:val="single" w:sz="4" w:space="0" w:color="auto"/>
              <w:right w:val="nil"/>
            </w:tcBorders>
            <w:shd w:val="clear" w:color="auto" w:fill="auto"/>
            <w:vAlign w:val="bottom"/>
          </w:tcPr>
          <w:p w14:paraId="33915A5A" w14:textId="34AAC7E4" w:rsidR="00C71EB7" w:rsidRPr="009E792D" w:rsidRDefault="00C71EB7" w:rsidP="00C71EB7">
            <w:pPr>
              <w:tabs>
                <w:tab w:val="right" w:pos="1202"/>
              </w:tabs>
              <w:spacing w:after="0" w:line="301" w:lineRule="exact"/>
              <w:jc w:val="right"/>
              <w:outlineLvl w:val="0"/>
              <w:rPr>
                <w:rFonts w:ascii="Calibri" w:eastAsia="Times New Roman" w:hAnsi="Calibri" w:cs="Calibri"/>
                <w:sz w:val="20"/>
                <w:szCs w:val="20"/>
                <w:lang w:val="en-US"/>
              </w:rPr>
            </w:pPr>
            <w:r w:rsidRPr="009E792D">
              <w:rPr>
                <w:rFonts w:cstheme="minorHAnsi"/>
                <w:color w:val="000000" w:themeColor="text1"/>
                <w:sz w:val="20"/>
                <w:szCs w:val="20"/>
              </w:rPr>
              <w:t>5</w:t>
            </w:r>
            <w:r w:rsidR="00AC3578">
              <w:rPr>
                <w:rFonts w:cstheme="minorHAnsi"/>
                <w:color w:val="000000" w:themeColor="text1"/>
                <w:sz w:val="20"/>
                <w:szCs w:val="20"/>
              </w:rPr>
              <w:t>,</w:t>
            </w:r>
            <w:r w:rsidRPr="009E792D">
              <w:rPr>
                <w:rFonts w:cstheme="minorHAnsi"/>
                <w:color w:val="000000" w:themeColor="text1"/>
                <w:sz w:val="20"/>
                <w:szCs w:val="20"/>
              </w:rPr>
              <w:t>837</w:t>
            </w:r>
          </w:p>
        </w:tc>
        <w:tc>
          <w:tcPr>
            <w:tcW w:w="726" w:type="pct"/>
            <w:tcBorders>
              <w:top w:val="nil"/>
              <w:left w:val="nil"/>
              <w:bottom w:val="single" w:sz="4" w:space="0" w:color="auto"/>
              <w:right w:val="nil"/>
            </w:tcBorders>
            <w:shd w:val="clear" w:color="auto" w:fill="auto"/>
            <w:vAlign w:val="bottom"/>
          </w:tcPr>
          <w:p w14:paraId="6A4409E1" w14:textId="510F5F03" w:rsidR="00C71EB7" w:rsidRPr="009E792D" w:rsidRDefault="00C71EB7" w:rsidP="00C71EB7">
            <w:pPr>
              <w:spacing w:after="0" w:line="280" w:lineRule="exact"/>
              <w:jc w:val="right"/>
              <w:rPr>
                <w:rFonts w:ascii="Calibri" w:eastAsia="Times New Roman" w:hAnsi="Calibri" w:cs="Calibri"/>
                <w:sz w:val="20"/>
                <w:szCs w:val="20"/>
                <w:lang w:val="en-US"/>
              </w:rPr>
            </w:pPr>
            <w:r w:rsidRPr="009E792D">
              <w:rPr>
                <w:rFonts w:cstheme="minorHAnsi"/>
                <w:sz w:val="20"/>
                <w:szCs w:val="20"/>
              </w:rPr>
              <w:t>7,311</w:t>
            </w:r>
          </w:p>
        </w:tc>
        <w:tc>
          <w:tcPr>
            <w:tcW w:w="725" w:type="pct"/>
            <w:tcBorders>
              <w:top w:val="nil"/>
              <w:left w:val="nil"/>
              <w:bottom w:val="single" w:sz="4" w:space="0" w:color="auto"/>
              <w:right w:val="nil"/>
            </w:tcBorders>
            <w:shd w:val="clear" w:color="auto" w:fill="auto"/>
            <w:vAlign w:val="bottom"/>
          </w:tcPr>
          <w:p w14:paraId="4F3BFF1D" w14:textId="5EE258A2" w:rsidR="00C71EB7" w:rsidRPr="00AC3578" w:rsidRDefault="00C71EB7" w:rsidP="00C71EB7">
            <w:pPr>
              <w:tabs>
                <w:tab w:val="right" w:pos="1202"/>
              </w:tabs>
              <w:spacing w:after="0" w:line="301" w:lineRule="exact"/>
              <w:jc w:val="right"/>
              <w:outlineLvl w:val="0"/>
              <w:rPr>
                <w:rFonts w:ascii="Calibri" w:eastAsia="Times New Roman" w:hAnsi="Calibri" w:cs="Calibri"/>
                <w:sz w:val="20"/>
                <w:szCs w:val="20"/>
                <w:lang w:val="en-US"/>
              </w:rPr>
            </w:pPr>
            <w:r w:rsidRPr="00AC3578">
              <w:rPr>
                <w:rFonts w:cstheme="minorHAnsi"/>
                <w:color w:val="000000" w:themeColor="text1"/>
                <w:sz w:val="20"/>
                <w:szCs w:val="20"/>
              </w:rPr>
              <w:t>3</w:t>
            </w:r>
            <w:r w:rsidR="00AC3578">
              <w:rPr>
                <w:rFonts w:cstheme="minorHAnsi"/>
                <w:color w:val="000000" w:themeColor="text1"/>
                <w:sz w:val="20"/>
                <w:szCs w:val="20"/>
              </w:rPr>
              <w:t>,</w:t>
            </w:r>
            <w:r w:rsidRPr="00AC3578">
              <w:rPr>
                <w:rFonts w:cstheme="minorHAnsi"/>
                <w:color w:val="000000" w:themeColor="text1"/>
                <w:sz w:val="20"/>
                <w:szCs w:val="20"/>
              </w:rPr>
              <w:t>008</w:t>
            </w:r>
          </w:p>
        </w:tc>
        <w:tc>
          <w:tcPr>
            <w:tcW w:w="724" w:type="pct"/>
            <w:tcBorders>
              <w:top w:val="nil"/>
              <w:left w:val="nil"/>
              <w:bottom w:val="single" w:sz="4" w:space="0" w:color="auto"/>
              <w:right w:val="nil"/>
            </w:tcBorders>
            <w:shd w:val="clear" w:color="auto" w:fill="auto"/>
            <w:vAlign w:val="bottom"/>
          </w:tcPr>
          <w:p w14:paraId="4BB6D779" w14:textId="63CA58FA" w:rsidR="00C71EB7" w:rsidRPr="009E792D" w:rsidRDefault="00C71EB7" w:rsidP="00C71EB7">
            <w:pPr>
              <w:spacing w:after="0" w:line="280" w:lineRule="exact"/>
              <w:jc w:val="right"/>
              <w:rPr>
                <w:rFonts w:ascii="Calibri" w:eastAsia="Times New Roman" w:hAnsi="Calibri" w:cs="Calibri"/>
                <w:snapToGrid w:val="0"/>
                <w:sz w:val="20"/>
                <w:szCs w:val="20"/>
                <w:lang w:val="en-US"/>
              </w:rPr>
            </w:pPr>
            <w:r w:rsidRPr="009E792D">
              <w:rPr>
                <w:rFonts w:cstheme="minorHAnsi"/>
                <w:color w:val="000000" w:themeColor="text1"/>
                <w:sz w:val="20"/>
                <w:szCs w:val="20"/>
              </w:rPr>
              <w:t>4,699</w:t>
            </w:r>
          </w:p>
        </w:tc>
      </w:tr>
      <w:tr w:rsidR="00C71EB7" w:rsidRPr="009E792D" w14:paraId="417F3821" w14:textId="77777777" w:rsidTr="00F1328F">
        <w:tc>
          <w:tcPr>
            <w:tcW w:w="2100" w:type="pct"/>
            <w:vAlign w:val="bottom"/>
          </w:tcPr>
          <w:p w14:paraId="663D8A2F" w14:textId="77777777" w:rsidR="00C71EB7" w:rsidRPr="009E792D" w:rsidRDefault="00C71EB7" w:rsidP="00C71EB7">
            <w:pPr>
              <w:tabs>
                <w:tab w:val="right" w:pos="1202"/>
              </w:tabs>
              <w:spacing w:after="0" w:line="300" w:lineRule="exact"/>
              <w:outlineLvl w:val="0"/>
              <w:rPr>
                <w:rFonts w:ascii="Calibri" w:eastAsia="Times New Roman" w:hAnsi="Calibri" w:cs="Arial"/>
                <w:b/>
                <w:bCs/>
                <w:sz w:val="20"/>
                <w:szCs w:val="20"/>
                <w:lang w:val="en-US"/>
              </w:rPr>
            </w:pPr>
            <w:bookmarkStart w:id="621" w:name="_Toc4060496"/>
            <w:r w:rsidRPr="009E792D">
              <w:rPr>
                <w:rFonts w:ascii="Calibri" w:eastAsia="Times New Roman" w:hAnsi="Calibri" w:cs="Arial"/>
                <w:b/>
                <w:bCs/>
                <w:sz w:val="20"/>
                <w:szCs w:val="20"/>
                <w:lang w:val="en-US"/>
              </w:rPr>
              <w:t>Total</w:t>
            </w:r>
            <w:bookmarkEnd w:id="621"/>
          </w:p>
        </w:tc>
        <w:tc>
          <w:tcPr>
            <w:tcW w:w="725" w:type="pct"/>
            <w:tcBorders>
              <w:top w:val="single" w:sz="4" w:space="0" w:color="auto"/>
              <w:bottom w:val="single" w:sz="12" w:space="0" w:color="auto"/>
            </w:tcBorders>
            <w:vAlign w:val="bottom"/>
          </w:tcPr>
          <w:p w14:paraId="61EB2C27" w14:textId="0574DB86" w:rsidR="00C71EB7" w:rsidRPr="009E792D" w:rsidRDefault="00C71EB7" w:rsidP="00C71EB7">
            <w:pPr>
              <w:spacing w:after="0" w:line="280" w:lineRule="exact"/>
              <w:jc w:val="right"/>
              <w:rPr>
                <w:rFonts w:ascii="Calibri" w:eastAsia="Times New Roman" w:hAnsi="Calibri" w:cs="Calibri"/>
                <w:b/>
                <w:bCs/>
                <w:sz w:val="20"/>
                <w:szCs w:val="20"/>
                <w:lang w:val="en-US"/>
              </w:rPr>
            </w:pPr>
            <w:r w:rsidRPr="009E792D">
              <w:rPr>
                <w:rFonts w:cstheme="minorHAnsi"/>
                <w:b/>
                <w:bCs/>
                <w:color w:val="000000" w:themeColor="text1"/>
                <w:sz w:val="20"/>
                <w:szCs w:val="20"/>
              </w:rPr>
              <w:t>27</w:t>
            </w:r>
            <w:r w:rsidR="00AC3578">
              <w:rPr>
                <w:rFonts w:cstheme="minorHAnsi"/>
                <w:b/>
                <w:bCs/>
                <w:color w:val="000000" w:themeColor="text1"/>
                <w:sz w:val="20"/>
                <w:szCs w:val="20"/>
              </w:rPr>
              <w:t>,</w:t>
            </w:r>
            <w:r w:rsidRPr="009E792D">
              <w:rPr>
                <w:rFonts w:cstheme="minorHAnsi"/>
                <w:b/>
                <w:bCs/>
                <w:color w:val="000000" w:themeColor="text1"/>
                <w:sz w:val="20"/>
                <w:szCs w:val="20"/>
              </w:rPr>
              <w:t>498</w:t>
            </w:r>
            <w:r w:rsidR="00AC3578">
              <w:rPr>
                <w:rFonts w:cstheme="minorHAnsi"/>
                <w:b/>
                <w:bCs/>
                <w:color w:val="000000" w:themeColor="text1"/>
                <w:sz w:val="20"/>
                <w:szCs w:val="20"/>
              </w:rPr>
              <w:t>,</w:t>
            </w:r>
            <w:r w:rsidRPr="009E792D">
              <w:rPr>
                <w:rFonts w:cstheme="minorHAnsi"/>
                <w:b/>
                <w:bCs/>
                <w:color w:val="000000" w:themeColor="text1"/>
                <w:sz w:val="20"/>
                <w:szCs w:val="20"/>
              </w:rPr>
              <w:t>311</w:t>
            </w:r>
          </w:p>
        </w:tc>
        <w:tc>
          <w:tcPr>
            <w:tcW w:w="726" w:type="pct"/>
            <w:tcBorders>
              <w:top w:val="single" w:sz="4" w:space="0" w:color="auto"/>
              <w:bottom w:val="single" w:sz="12" w:space="0" w:color="auto"/>
            </w:tcBorders>
            <w:shd w:val="clear" w:color="auto" w:fill="auto"/>
            <w:vAlign w:val="bottom"/>
          </w:tcPr>
          <w:p w14:paraId="1609B068" w14:textId="4A1C9121" w:rsidR="00C71EB7" w:rsidRPr="009E792D" w:rsidRDefault="00C71EB7" w:rsidP="00C71EB7">
            <w:pPr>
              <w:tabs>
                <w:tab w:val="right" w:pos="1202"/>
              </w:tabs>
              <w:spacing w:after="0" w:line="340" w:lineRule="exact"/>
              <w:jc w:val="right"/>
              <w:outlineLvl w:val="0"/>
              <w:rPr>
                <w:rFonts w:ascii="Calibri" w:eastAsia="Times New Roman" w:hAnsi="Calibri" w:cs="Calibri"/>
                <w:b/>
                <w:bCs/>
                <w:sz w:val="20"/>
                <w:szCs w:val="20"/>
                <w:lang w:val="en-US"/>
              </w:rPr>
            </w:pPr>
            <w:r w:rsidRPr="009E792D">
              <w:rPr>
                <w:rFonts w:cstheme="minorHAnsi"/>
                <w:b/>
                <w:bCs/>
                <w:sz w:val="20"/>
                <w:szCs w:val="20"/>
              </w:rPr>
              <w:t>27,937,204</w:t>
            </w:r>
          </w:p>
        </w:tc>
        <w:tc>
          <w:tcPr>
            <w:tcW w:w="725" w:type="pct"/>
            <w:tcBorders>
              <w:top w:val="single" w:sz="4" w:space="0" w:color="auto"/>
              <w:bottom w:val="single" w:sz="12" w:space="0" w:color="auto"/>
            </w:tcBorders>
            <w:vAlign w:val="bottom"/>
          </w:tcPr>
          <w:p w14:paraId="0CC15043" w14:textId="2D1D979A" w:rsidR="00C71EB7" w:rsidRPr="00AC3578" w:rsidRDefault="00C71EB7" w:rsidP="00C71EB7">
            <w:pPr>
              <w:tabs>
                <w:tab w:val="right" w:pos="1202"/>
              </w:tabs>
              <w:spacing w:after="0" w:line="340" w:lineRule="exact"/>
              <w:jc w:val="right"/>
              <w:outlineLvl w:val="0"/>
              <w:rPr>
                <w:rFonts w:ascii="Calibri" w:eastAsia="Times New Roman" w:hAnsi="Calibri" w:cs="Calibri"/>
                <w:b/>
                <w:bCs/>
                <w:sz w:val="20"/>
                <w:szCs w:val="20"/>
                <w:lang w:val="en-US"/>
              </w:rPr>
            </w:pPr>
            <w:r w:rsidRPr="00AC3578">
              <w:rPr>
                <w:rFonts w:cstheme="minorHAnsi"/>
                <w:b/>
                <w:bCs/>
                <w:color w:val="000000" w:themeColor="text1"/>
                <w:sz w:val="20"/>
                <w:szCs w:val="20"/>
              </w:rPr>
              <w:t>27</w:t>
            </w:r>
            <w:r w:rsidR="00AC3578">
              <w:rPr>
                <w:rFonts w:cstheme="minorHAnsi"/>
                <w:b/>
                <w:bCs/>
                <w:color w:val="000000" w:themeColor="text1"/>
                <w:sz w:val="20"/>
                <w:szCs w:val="20"/>
              </w:rPr>
              <w:t>,</w:t>
            </w:r>
            <w:r w:rsidRPr="00AC3578">
              <w:rPr>
                <w:rFonts w:cstheme="minorHAnsi"/>
                <w:b/>
                <w:bCs/>
                <w:color w:val="000000" w:themeColor="text1"/>
                <w:sz w:val="20"/>
                <w:szCs w:val="20"/>
              </w:rPr>
              <w:t>435</w:t>
            </w:r>
            <w:r w:rsidR="00AC3578">
              <w:rPr>
                <w:rFonts w:cstheme="minorHAnsi"/>
                <w:b/>
                <w:bCs/>
                <w:color w:val="000000" w:themeColor="text1"/>
                <w:sz w:val="20"/>
                <w:szCs w:val="20"/>
              </w:rPr>
              <w:t>,</w:t>
            </w:r>
            <w:r w:rsidRPr="00AC3578">
              <w:rPr>
                <w:rFonts w:cstheme="minorHAnsi"/>
                <w:b/>
                <w:bCs/>
                <w:color w:val="000000" w:themeColor="text1"/>
                <w:sz w:val="20"/>
                <w:szCs w:val="20"/>
              </w:rPr>
              <w:t>977</w:t>
            </w:r>
          </w:p>
        </w:tc>
        <w:tc>
          <w:tcPr>
            <w:tcW w:w="724" w:type="pct"/>
            <w:tcBorders>
              <w:top w:val="single" w:sz="4" w:space="0" w:color="auto"/>
              <w:bottom w:val="single" w:sz="12" w:space="0" w:color="auto"/>
            </w:tcBorders>
            <w:vAlign w:val="bottom"/>
          </w:tcPr>
          <w:p w14:paraId="6F30E2F1" w14:textId="5A5D9EF8" w:rsidR="00C71EB7" w:rsidRPr="009E792D" w:rsidRDefault="00C71EB7" w:rsidP="00C71EB7">
            <w:pPr>
              <w:tabs>
                <w:tab w:val="right" w:pos="1202"/>
              </w:tabs>
              <w:spacing w:after="0" w:line="340" w:lineRule="exact"/>
              <w:jc w:val="right"/>
              <w:outlineLvl w:val="0"/>
              <w:rPr>
                <w:rFonts w:ascii="Calibri" w:eastAsia="Times New Roman" w:hAnsi="Calibri" w:cs="Calibri"/>
                <w:b/>
                <w:bCs/>
                <w:sz w:val="20"/>
                <w:szCs w:val="20"/>
                <w:lang w:val="en-US"/>
              </w:rPr>
            </w:pPr>
            <w:r w:rsidRPr="009E792D">
              <w:rPr>
                <w:rFonts w:cstheme="minorHAnsi"/>
                <w:b/>
                <w:bCs/>
                <w:color w:val="000000" w:themeColor="text1"/>
                <w:sz w:val="20"/>
                <w:szCs w:val="20"/>
              </w:rPr>
              <w:t>27,874,400</w:t>
            </w:r>
          </w:p>
        </w:tc>
      </w:tr>
      <w:tr w:rsidR="00C71EB7" w:rsidRPr="009E792D" w14:paraId="19390ADE" w14:textId="77777777" w:rsidTr="009E792D">
        <w:trPr>
          <w:trHeight w:val="109"/>
        </w:trPr>
        <w:tc>
          <w:tcPr>
            <w:tcW w:w="2100" w:type="pct"/>
            <w:vAlign w:val="bottom"/>
          </w:tcPr>
          <w:p w14:paraId="48991823" w14:textId="77777777" w:rsidR="00C71EB7" w:rsidRPr="009E792D" w:rsidRDefault="00C71EB7" w:rsidP="00C71EB7">
            <w:pPr>
              <w:keepNext/>
              <w:keepLines/>
              <w:tabs>
                <w:tab w:val="decimal" w:pos="1202"/>
              </w:tabs>
              <w:spacing w:after="0" w:line="140" w:lineRule="exact"/>
              <w:rPr>
                <w:rFonts w:ascii="Calibri" w:eastAsia="Times New Roman" w:hAnsi="Calibri" w:cs="Arial"/>
                <w:b/>
                <w:position w:val="4"/>
                <w:sz w:val="20"/>
                <w:szCs w:val="20"/>
                <w:u w:val="thick"/>
                <w:lang w:val="en-US"/>
              </w:rPr>
            </w:pPr>
          </w:p>
        </w:tc>
        <w:tc>
          <w:tcPr>
            <w:tcW w:w="725" w:type="pct"/>
            <w:tcBorders>
              <w:top w:val="single" w:sz="12" w:space="0" w:color="auto"/>
            </w:tcBorders>
            <w:vAlign w:val="bottom"/>
          </w:tcPr>
          <w:p w14:paraId="343FE1DD" w14:textId="77777777" w:rsidR="00C71EB7" w:rsidRPr="009E792D" w:rsidRDefault="00C71EB7" w:rsidP="00C71EB7">
            <w:pPr>
              <w:spacing w:after="0" w:line="280" w:lineRule="exact"/>
              <w:jc w:val="right"/>
              <w:rPr>
                <w:rFonts w:ascii="Calibri" w:eastAsia="Times New Roman" w:hAnsi="Calibri" w:cs="Calibri"/>
                <w:sz w:val="20"/>
                <w:szCs w:val="20"/>
                <w:lang w:val="en-US"/>
              </w:rPr>
            </w:pPr>
          </w:p>
        </w:tc>
        <w:tc>
          <w:tcPr>
            <w:tcW w:w="726" w:type="pct"/>
            <w:tcBorders>
              <w:top w:val="single" w:sz="12" w:space="0" w:color="auto"/>
            </w:tcBorders>
            <w:vAlign w:val="bottom"/>
          </w:tcPr>
          <w:p w14:paraId="11C8AB63" w14:textId="77777777" w:rsidR="00C71EB7" w:rsidRPr="009E792D" w:rsidRDefault="00C71EB7" w:rsidP="00C71EB7">
            <w:pPr>
              <w:spacing w:after="0" w:line="280" w:lineRule="exact"/>
              <w:jc w:val="right"/>
              <w:rPr>
                <w:rFonts w:ascii="Calibri" w:eastAsia="Times New Roman" w:hAnsi="Calibri" w:cs="Calibri"/>
                <w:sz w:val="20"/>
                <w:szCs w:val="20"/>
                <w:lang w:val="en-US"/>
              </w:rPr>
            </w:pPr>
          </w:p>
        </w:tc>
        <w:tc>
          <w:tcPr>
            <w:tcW w:w="725" w:type="pct"/>
            <w:tcBorders>
              <w:top w:val="single" w:sz="12" w:space="0" w:color="auto"/>
            </w:tcBorders>
            <w:vAlign w:val="bottom"/>
          </w:tcPr>
          <w:p w14:paraId="5A63AF1C" w14:textId="77777777" w:rsidR="00C71EB7" w:rsidRPr="00AC3578" w:rsidRDefault="00C71EB7" w:rsidP="00C71EB7">
            <w:pPr>
              <w:spacing w:after="0" w:line="280" w:lineRule="exact"/>
              <w:jc w:val="right"/>
              <w:rPr>
                <w:rFonts w:ascii="Calibri" w:eastAsia="Times New Roman" w:hAnsi="Calibri" w:cs="Calibri"/>
                <w:sz w:val="20"/>
                <w:szCs w:val="20"/>
                <w:lang w:val="en-US"/>
              </w:rPr>
            </w:pPr>
          </w:p>
        </w:tc>
        <w:tc>
          <w:tcPr>
            <w:tcW w:w="724" w:type="pct"/>
            <w:tcBorders>
              <w:top w:val="single" w:sz="12" w:space="0" w:color="auto"/>
            </w:tcBorders>
            <w:vAlign w:val="bottom"/>
          </w:tcPr>
          <w:p w14:paraId="3D419D37" w14:textId="77777777" w:rsidR="00C71EB7" w:rsidRPr="009E792D" w:rsidRDefault="00C71EB7" w:rsidP="00C71EB7">
            <w:pPr>
              <w:spacing w:after="0" w:line="280" w:lineRule="exact"/>
              <w:jc w:val="right"/>
              <w:rPr>
                <w:rFonts w:ascii="Calibri" w:eastAsia="Calibri" w:hAnsi="Calibri" w:cs="Calibri"/>
                <w:sz w:val="20"/>
                <w:szCs w:val="20"/>
                <w:lang w:val="en-US"/>
              </w:rPr>
            </w:pPr>
          </w:p>
        </w:tc>
      </w:tr>
      <w:tr w:rsidR="00C71EB7" w:rsidRPr="009E792D" w14:paraId="136BEF80" w14:textId="77777777" w:rsidTr="009E792D">
        <w:tc>
          <w:tcPr>
            <w:tcW w:w="2100" w:type="pct"/>
            <w:vAlign w:val="bottom"/>
          </w:tcPr>
          <w:p w14:paraId="3C62AFDB" w14:textId="77777777" w:rsidR="00C71EB7" w:rsidRPr="009E792D" w:rsidRDefault="00C71EB7" w:rsidP="00C71EB7">
            <w:pPr>
              <w:tabs>
                <w:tab w:val="right" w:pos="1202"/>
              </w:tabs>
              <w:spacing w:after="0" w:line="300" w:lineRule="exact"/>
              <w:outlineLvl w:val="0"/>
              <w:rPr>
                <w:rFonts w:ascii="Calibri" w:eastAsia="Times New Roman" w:hAnsi="Calibri" w:cs="Arial"/>
                <w:b/>
                <w:bCs/>
                <w:sz w:val="20"/>
                <w:szCs w:val="20"/>
                <w:lang w:val="en-US"/>
              </w:rPr>
            </w:pPr>
            <w:bookmarkStart w:id="622" w:name="_Toc4060499"/>
            <w:r w:rsidRPr="009E792D">
              <w:rPr>
                <w:rFonts w:ascii="Calibri" w:eastAsia="Times New Roman" w:hAnsi="Calibri" w:cs="Arial"/>
                <w:b/>
                <w:bCs/>
                <w:sz w:val="20"/>
                <w:szCs w:val="20"/>
                <w:lang w:val="en-US"/>
              </w:rPr>
              <w:t>Guarantees and commitments</w:t>
            </w:r>
            <w:bookmarkEnd w:id="622"/>
          </w:p>
        </w:tc>
        <w:tc>
          <w:tcPr>
            <w:tcW w:w="725" w:type="pct"/>
            <w:vAlign w:val="bottom"/>
          </w:tcPr>
          <w:p w14:paraId="310129CB" w14:textId="77777777" w:rsidR="00C71EB7" w:rsidRPr="009E792D" w:rsidRDefault="00C71EB7" w:rsidP="00C71EB7">
            <w:pPr>
              <w:spacing w:after="0" w:line="280" w:lineRule="exact"/>
              <w:jc w:val="right"/>
              <w:rPr>
                <w:rFonts w:ascii="Calibri" w:eastAsia="Times New Roman" w:hAnsi="Calibri" w:cs="Calibri"/>
                <w:sz w:val="20"/>
                <w:szCs w:val="20"/>
                <w:lang w:val="en-US"/>
              </w:rPr>
            </w:pPr>
          </w:p>
        </w:tc>
        <w:tc>
          <w:tcPr>
            <w:tcW w:w="726" w:type="pct"/>
            <w:vAlign w:val="bottom"/>
          </w:tcPr>
          <w:p w14:paraId="14AD244B" w14:textId="77777777" w:rsidR="00C71EB7" w:rsidRPr="009E792D" w:rsidRDefault="00C71EB7" w:rsidP="00C71EB7">
            <w:pPr>
              <w:spacing w:after="0" w:line="280" w:lineRule="exact"/>
              <w:jc w:val="right"/>
              <w:rPr>
                <w:rFonts w:ascii="Calibri" w:eastAsia="Times New Roman" w:hAnsi="Calibri" w:cs="Calibri"/>
                <w:sz w:val="20"/>
                <w:szCs w:val="20"/>
                <w:lang w:val="en-US"/>
              </w:rPr>
            </w:pPr>
          </w:p>
        </w:tc>
        <w:tc>
          <w:tcPr>
            <w:tcW w:w="725" w:type="pct"/>
            <w:vAlign w:val="bottom"/>
          </w:tcPr>
          <w:p w14:paraId="51561907" w14:textId="77777777" w:rsidR="00C71EB7" w:rsidRPr="00AC3578" w:rsidRDefault="00C71EB7" w:rsidP="00C71EB7">
            <w:pPr>
              <w:spacing w:after="0" w:line="280" w:lineRule="exact"/>
              <w:jc w:val="right"/>
              <w:rPr>
                <w:rFonts w:ascii="Calibri" w:eastAsia="Times New Roman" w:hAnsi="Calibri" w:cs="Calibri"/>
                <w:sz w:val="20"/>
                <w:szCs w:val="20"/>
                <w:lang w:val="en-US"/>
              </w:rPr>
            </w:pPr>
          </w:p>
        </w:tc>
        <w:tc>
          <w:tcPr>
            <w:tcW w:w="724" w:type="pct"/>
            <w:vAlign w:val="bottom"/>
          </w:tcPr>
          <w:p w14:paraId="6F0AFBD4" w14:textId="77777777" w:rsidR="00C71EB7" w:rsidRPr="009E792D" w:rsidRDefault="00C71EB7" w:rsidP="00C71EB7">
            <w:pPr>
              <w:spacing w:after="0" w:line="280" w:lineRule="exact"/>
              <w:jc w:val="right"/>
              <w:rPr>
                <w:rFonts w:ascii="Calibri" w:eastAsia="Calibri" w:hAnsi="Calibri" w:cs="Calibri"/>
                <w:sz w:val="20"/>
                <w:szCs w:val="20"/>
                <w:lang w:val="en-US"/>
              </w:rPr>
            </w:pPr>
          </w:p>
        </w:tc>
      </w:tr>
      <w:tr w:rsidR="00AC3578" w:rsidRPr="009E792D" w14:paraId="6D0E81DF" w14:textId="77777777" w:rsidTr="009E792D">
        <w:tc>
          <w:tcPr>
            <w:tcW w:w="2100" w:type="pct"/>
            <w:vAlign w:val="bottom"/>
          </w:tcPr>
          <w:p w14:paraId="2ECFC22A" w14:textId="77777777" w:rsidR="00AC3578" w:rsidRPr="009E792D" w:rsidRDefault="00AC3578" w:rsidP="00AC3578">
            <w:pPr>
              <w:tabs>
                <w:tab w:val="right" w:pos="1202"/>
              </w:tabs>
              <w:spacing w:after="0" w:line="300" w:lineRule="exact"/>
              <w:outlineLvl w:val="0"/>
              <w:rPr>
                <w:rFonts w:ascii="Calibri" w:eastAsia="Times New Roman" w:hAnsi="Calibri" w:cs="Arial"/>
                <w:bCs/>
                <w:sz w:val="20"/>
                <w:szCs w:val="20"/>
                <w:lang w:val="en-US"/>
              </w:rPr>
            </w:pPr>
            <w:bookmarkStart w:id="623" w:name="_Toc4060500"/>
            <w:r w:rsidRPr="009E792D">
              <w:rPr>
                <w:rFonts w:ascii="Calibri" w:eastAsia="Times New Roman" w:hAnsi="Calibri" w:cs="Arial"/>
                <w:bCs/>
                <w:sz w:val="20"/>
                <w:szCs w:val="20"/>
                <w:lang w:val="en-US"/>
              </w:rPr>
              <w:t>Guarantees issued in HRK</w:t>
            </w:r>
            <w:bookmarkEnd w:id="623"/>
          </w:p>
        </w:tc>
        <w:tc>
          <w:tcPr>
            <w:tcW w:w="725" w:type="pct"/>
            <w:tcBorders>
              <w:top w:val="nil"/>
              <w:left w:val="nil"/>
              <w:bottom w:val="nil"/>
              <w:right w:val="nil"/>
            </w:tcBorders>
            <w:shd w:val="clear" w:color="auto" w:fill="auto"/>
            <w:vAlign w:val="bottom"/>
          </w:tcPr>
          <w:p w14:paraId="735895BA" w14:textId="3A7E544C" w:rsidR="00AC3578" w:rsidRPr="009E792D" w:rsidRDefault="00AC3578" w:rsidP="00AC3578">
            <w:pPr>
              <w:spacing w:after="0" w:line="280" w:lineRule="exact"/>
              <w:jc w:val="right"/>
              <w:rPr>
                <w:rFonts w:ascii="Calibri" w:eastAsia="Times New Roman" w:hAnsi="Calibri" w:cs="Calibri"/>
                <w:sz w:val="20"/>
                <w:szCs w:val="20"/>
                <w:lang w:val="en-US"/>
              </w:rPr>
            </w:pPr>
            <w:r w:rsidRPr="009E792D">
              <w:rPr>
                <w:rFonts w:ascii="Calibri" w:hAnsi="Calibri" w:cs="Calibri"/>
                <w:sz w:val="20"/>
                <w:szCs w:val="20"/>
              </w:rPr>
              <w:t>146</w:t>
            </w:r>
            <w:r>
              <w:rPr>
                <w:rFonts w:ascii="Calibri" w:hAnsi="Calibri" w:cs="Calibri"/>
                <w:sz w:val="20"/>
                <w:szCs w:val="20"/>
              </w:rPr>
              <w:t>,</w:t>
            </w:r>
            <w:r w:rsidRPr="009E792D">
              <w:rPr>
                <w:rFonts w:ascii="Calibri" w:hAnsi="Calibri" w:cs="Calibri"/>
                <w:sz w:val="20"/>
                <w:szCs w:val="20"/>
              </w:rPr>
              <w:t>049</w:t>
            </w:r>
          </w:p>
        </w:tc>
        <w:tc>
          <w:tcPr>
            <w:tcW w:w="726" w:type="pct"/>
            <w:tcBorders>
              <w:top w:val="nil"/>
              <w:left w:val="nil"/>
              <w:bottom w:val="nil"/>
              <w:right w:val="nil"/>
            </w:tcBorders>
            <w:shd w:val="clear" w:color="auto" w:fill="auto"/>
            <w:vAlign w:val="bottom"/>
          </w:tcPr>
          <w:p w14:paraId="287503EC" w14:textId="199EEB3B" w:rsidR="00AC3578" w:rsidRPr="009E792D" w:rsidRDefault="00AC3578" w:rsidP="00AC3578">
            <w:pPr>
              <w:tabs>
                <w:tab w:val="right" w:pos="1202"/>
              </w:tabs>
              <w:spacing w:after="0" w:line="301" w:lineRule="exact"/>
              <w:jc w:val="right"/>
              <w:outlineLvl w:val="0"/>
              <w:rPr>
                <w:rFonts w:ascii="Calibri" w:eastAsia="Times New Roman" w:hAnsi="Calibri" w:cs="Calibri"/>
                <w:sz w:val="20"/>
                <w:szCs w:val="20"/>
                <w:lang w:val="en-US"/>
              </w:rPr>
            </w:pPr>
            <w:r w:rsidRPr="009E792D">
              <w:rPr>
                <w:rFonts w:cstheme="minorHAnsi"/>
                <w:color w:val="000000" w:themeColor="text1"/>
                <w:sz w:val="20"/>
                <w:szCs w:val="20"/>
              </w:rPr>
              <w:t>140,113</w:t>
            </w:r>
          </w:p>
        </w:tc>
        <w:tc>
          <w:tcPr>
            <w:tcW w:w="725" w:type="pct"/>
            <w:tcBorders>
              <w:top w:val="nil"/>
              <w:left w:val="nil"/>
              <w:bottom w:val="nil"/>
              <w:right w:val="nil"/>
            </w:tcBorders>
            <w:shd w:val="clear" w:color="auto" w:fill="auto"/>
            <w:vAlign w:val="bottom"/>
          </w:tcPr>
          <w:p w14:paraId="2C24383F" w14:textId="655CD66B" w:rsidR="00AC3578" w:rsidRPr="00AC3578" w:rsidRDefault="00AC3578" w:rsidP="00AC3578">
            <w:pPr>
              <w:tabs>
                <w:tab w:val="right" w:pos="1202"/>
              </w:tabs>
              <w:spacing w:after="0" w:line="301" w:lineRule="exact"/>
              <w:jc w:val="right"/>
              <w:outlineLvl w:val="0"/>
              <w:rPr>
                <w:rFonts w:ascii="Calibri" w:eastAsia="Times New Roman" w:hAnsi="Calibri" w:cs="Calibri"/>
                <w:sz w:val="20"/>
                <w:szCs w:val="20"/>
                <w:lang w:val="en-US"/>
              </w:rPr>
            </w:pPr>
            <w:r w:rsidRPr="00AC3578">
              <w:rPr>
                <w:rFonts w:ascii="Calibri" w:hAnsi="Calibri" w:cs="Calibri"/>
                <w:sz w:val="20"/>
                <w:szCs w:val="20"/>
              </w:rPr>
              <w:t>146</w:t>
            </w:r>
            <w:r>
              <w:rPr>
                <w:rFonts w:ascii="Calibri" w:hAnsi="Calibri" w:cs="Calibri"/>
                <w:sz w:val="20"/>
                <w:szCs w:val="20"/>
              </w:rPr>
              <w:t>,</w:t>
            </w:r>
            <w:r w:rsidRPr="00AC3578">
              <w:rPr>
                <w:rFonts w:ascii="Calibri" w:hAnsi="Calibri" w:cs="Calibri"/>
                <w:sz w:val="20"/>
                <w:szCs w:val="20"/>
              </w:rPr>
              <w:t>049</w:t>
            </w:r>
          </w:p>
        </w:tc>
        <w:tc>
          <w:tcPr>
            <w:tcW w:w="724" w:type="pct"/>
            <w:tcBorders>
              <w:top w:val="nil"/>
              <w:left w:val="nil"/>
              <w:bottom w:val="nil"/>
              <w:right w:val="nil"/>
            </w:tcBorders>
            <w:shd w:val="clear" w:color="auto" w:fill="auto"/>
            <w:vAlign w:val="bottom"/>
          </w:tcPr>
          <w:p w14:paraId="048E959E" w14:textId="339C4A1C" w:rsidR="00AC3578" w:rsidRPr="009E792D" w:rsidRDefault="00AC3578" w:rsidP="00AC3578">
            <w:pPr>
              <w:tabs>
                <w:tab w:val="right" w:pos="1202"/>
              </w:tabs>
              <w:spacing w:after="0" w:line="301" w:lineRule="exact"/>
              <w:jc w:val="right"/>
              <w:outlineLvl w:val="0"/>
              <w:rPr>
                <w:rFonts w:ascii="Calibri" w:eastAsia="Times New Roman" w:hAnsi="Calibri" w:cs="Calibri"/>
                <w:sz w:val="20"/>
                <w:szCs w:val="20"/>
                <w:lang w:val="en-US"/>
              </w:rPr>
            </w:pPr>
            <w:r w:rsidRPr="009E792D">
              <w:rPr>
                <w:rFonts w:cstheme="minorHAnsi"/>
                <w:color w:val="000000" w:themeColor="text1"/>
                <w:sz w:val="20"/>
                <w:szCs w:val="20"/>
              </w:rPr>
              <w:t>140,113</w:t>
            </w:r>
          </w:p>
        </w:tc>
      </w:tr>
      <w:tr w:rsidR="00AC3578" w:rsidRPr="009E792D" w14:paraId="7EF239A3" w14:textId="77777777" w:rsidTr="009E792D">
        <w:tc>
          <w:tcPr>
            <w:tcW w:w="2100" w:type="pct"/>
            <w:vAlign w:val="bottom"/>
          </w:tcPr>
          <w:p w14:paraId="6099400C" w14:textId="77777777" w:rsidR="00AC3578" w:rsidRPr="009E792D" w:rsidRDefault="00AC3578" w:rsidP="00AC3578">
            <w:pPr>
              <w:tabs>
                <w:tab w:val="right" w:pos="1202"/>
              </w:tabs>
              <w:spacing w:after="0" w:line="300" w:lineRule="exact"/>
              <w:outlineLvl w:val="0"/>
              <w:rPr>
                <w:rFonts w:ascii="Calibri" w:eastAsia="Times New Roman" w:hAnsi="Calibri" w:cs="Arial"/>
                <w:sz w:val="20"/>
                <w:szCs w:val="20"/>
                <w:lang w:val="en-US"/>
              </w:rPr>
            </w:pPr>
            <w:bookmarkStart w:id="624" w:name="_Toc4060503"/>
            <w:r w:rsidRPr="009E792D">
              <w:rPr>
                <w:rFonts w:ascii="Calibri" w:eastAsia="Times New Roman" w:hAnsi="Calibri" w:cs="Arial"/>
                <w:sz w:val="20"/>
                <w:szCs w:val="20"/>
                <w:lang w:val="en-US"/>
              </w:rPr>
              <w:t>Issued guarantees in foreign currency</w:t>
            </w:r>
            <w:bookmarkEnd w:id="624"/>
          </w:p>
        </w:tc>
        <w:tc>
          <w:tcPr>
            <w:tcW w:w="725" w:type="pct"/>
            <w:tcBorders>
              <w:top w:val="nil"/>
              <w:left w:val="nil"/>
              <w:bottom w:val="nil"/>
              <w:right w:val="nil"/>
            </w:tcBorders>
            <w:shd w:val="clear" w:color="auto" w:fill="auto"/>
            <w:vAlign w:val="bottom"/>
          </w:tcPr>
          <w:p w14:paraId="723AE5E5" w14:textId="0B0555E9" w:rsidR="00AC3578" w:rsidRPr="009E792D" w:rsidRDefault="00AC3578" w:rsidP="00AC3578">
            <w:pPr>
              <w:spacing w:after="0" w:line="280" w:lineRule="exact"/>
              <w:jc w:val="right"/>
              <w:rPr>
                <w:rFonts w:ascii="Calibri" w:eastAsia="Times New Roman" w:hAnsi="Calibri" w:cs="Calibri"/>
                <w:sz w:val="20"/>
                <w:szCs w:val="20"/>
                <w:lang w:val="en-US"/>
              </w:rPr>
            </w:pPr>
            <w:r w:rsidRPr="009E792D">
              <w:rPr>
                <w:rFonts w:ascii="Calibri" w:hAnsi="Calibri" w:cs="Calibri"/>
                <w:sz w:val="20"/>
                <w:szCs w:val="20"/>
              </w:rPr>
              <w:t>195</w:t>
            </w:r>
            <w:r>
              <w:rPr>
                <w:rFonts w:ascii="Calibri" w:hAnsi="Calibri" w:cs="Calibri"/>
                <w:sz w:val="20"/>
                <w:szCs w:val="20"/>
              </w:rPr>
              <w:t>,</w:t>
            </w:r>
            <w:r w:rsidRPr="009E792D">
              <w:rPr>
                <w:rFonts w:ascii="Calibri" w:hAnsi="Calibri" w:cs="Calibri"/>
                <w:sz w:val="20"/>
                <w:szCs w:val="20"/>
              </w:rPr>
              <w:t>102</w:t>
            </w:r>
          </w:p>
        </w:tc>
        <w:tc>
          <w:tcPr>
            <w:tcW w:w="726" w:type="pct"/>
            <w:tcBorders>
              <w:top w:val="nil"/>
              <w:left w:val="nil"/>
              <w:bottom w:val="nil"/>
              <w:right w:val="nil"/>
            </w:tcBorders>
            <w:shd w:val="clear" w:color="auto" w:fill="auto"/>
            <w:vAlign w:val="bottom"/>
          </w:tcPr>
          <w:p w14:paraId="589284B7" w14:textId="6DDADDC0" w:rsidR="00AC3578" w:rsidRPr="009E792D" w:rsidRDefault="00AC3578" w:rsidP="00AC3578">
            <w:pPr>
              <w:tabs>
                <w:tab w:val="right" w:pos="1202"/>
              </w:tabs>
              <w:spacing w:after="0" w:line="301" w:lineRule="exact"/>
              <w:jc w:val="right"/>
              <w:outlineLvl w:val="0"/>
              <w:rPr>
                <w:rFonts w:ascii="Calibri" w:eastAsia="Times New Roman" w:hAnsi="Calibri" w:cs="Calibri"/>
                <w:sz w:val="20"/>
                <w:szCs w:val="20"/>
                <w:lang w:val="en-US"/>
              </w:rPr>
            </w:pPr>
            <w:r w:rsidRPr="009E792D">
              <w:rPr>
                <w:rFonts w:cstheme="minorHAnsi"/>
                <w:color w:val="000000" w:themeColor="text1"/>
                <w:sz w:val="20"/>
                <w:szCs w:val="20"/>
              </w:rPr>
              <w:t>260,705</w:t>
            </w:r>
          </w:p>
        </w:tc>
        <w:tc>
          <w:tcPr>
            <w:tcW w:w="725" w:type="pct"/>
            <w:tcBorders>
              <w:top w:val="nil"/>
              <w:left w:val="nil"/>
              <w:bottom w:val="nil"/>
              <w:right w:val="nil"/>
            </w:tcBorders>
            <w:shd w:val="clear" w:color="auto" w:fill="auto"/>
            <w:vAlign w:val="bottom"/>
          </w:tcPr>
          <w:p w14:paraId="07FA4A82" w14:textId="0DDCA448" w:rsidR="00AC3578" w:rsidRPr="00AC3578" w:rsidRDefault="00AC3578" w:rsidP="00AC3578">
            <w:pPr>
              <w:tabs>
                <w:tab w:val="right" w:pos="1202"/>
              </w:tabs>
              <w:spacing w:after="0" w:line="301" w:lineRule="exact"/>
              <w:jc w:val="right"/>
              <w:outlineLvl w:val="0"/>
              <w:rPr>
                <w:rFonts w:ascii="Calibri" w:eastAsia="Times New Roman" w:hAnsi="Calibri" w:cs="Calibri"/>
                <w:sz w:val="20"/>
                <w:szCs w:val="20"/>
                <w:lang w:val="en-US"/>
              </w:rPr>
            </w:pPr>
            <w:r w:rsidRPr="00AC3578">
              <w:rPr>
                <w:rFonts w:ascii="Calibri" w:hAnsi="Calibri" w:cs="Calibri"/>
                <w:sz w:val="20"/>
                <w:szCs w:val="20"/>
              </w:rPr>
              <w:t>195</w:t>
            </w:r>
            <w:r>
              <w:rPr>
                <w:rFonts w:ascii="Calibri" w:hAnsi="Calibri" w:cs="Calibri"/>
                <w:sz w:val="20"/>
                <w:szCs w:val="20"/>
              </w:rPr>
              <w:t>,</w:t>
            </w:r>
            <w:r w:rsidRPr="00AC3578">
              <w:rPr>
                <w:rFonts w:ascii="Calibri" w:hAnsi="Calibri" w:cs="Calibri"/>
                <w:sz w:val="20"/>
                <w:szCs w:val="20"/>
              </w:rPr>
              <w:t>102</w:t>
            </w:r>
          </w:p>
        </w:tc>
        <w:tc>
          <w:tcPr>
            <w:tcW w:w="724" w:type="pct"/>
            <w:tcBorders>
              <w:top w:val="nil"/>
              <w:left w:val="nil"/>
              <w:bottom w:val="nil"/>
              <w:right w:val="nil"/>
            </w:tcBorders>
            <w:shd w:val="clear" w:color="auto" w:fill="auto"/>
            <w:vAlign w:val="bottom"/>
          </w:tcPr>
          <w:p w14:paraId="28091187" w14:textId="12AFE52F" w:rsidR="00AC3578" w:rsidRPr="009E792D" w:rsidRDefault="00AC3578" w:rsidP="00AC3578">
            <w:pPr>
              <w:tabs>
                <w:tab w:val="right" w:pos="1202"/>
              </w:tabs>
              <w:spacing w:after="0" w:line="301" w:lineRule="exact"/>
              <w:jc w:val="right"/>
              <w:outlineLvl w:val="0"/>
              <w:rPr>
                <w:rFonts w:ascii="Calibri" w:eastAsia="Times New Roman" w:hAnsi="Calibri" w:cs="Calibri"/>
                <w:sz w:val="20"/>
                <w:szCs w:val="20"/>
                <w:lang w:val="en-US"/>
              </w:rPr>
            </w:pPr>
            <w:r w:rsidRPr="009E792D">
              <w:rPr>
                <w:rFonts w:cstheme="minorHAnsi"/>
                <w:color w:val="000000" w:themeColor="text1"/>
                <w:sz w:val="20"/>
                <w:szCs w:val="20"/>
              </w:rPr>
              <w:t>260,705</w:t>
            </w:r>
          </w:p>
        </w:tc>
      </w:tr>
      <w:tr w:rsidR="00AC3578" w:rsidRPr="009E792D" w14:paraId="0BDFDB69" w14:textId="77777777" w:rsidTr="00D12067">
        <w:tc>
          <w:tcPr>
            <w:tcW w:w="2100" w:type="pct"/>
            <w:vAlign w:val="bottom"/>
          </w:tcPr>
          <w:p w14:paraId="68680567" w14:textId="77777777" w:rsidR="00AC3578" w:rsidRPr="009E792D" w:rsidRDefault="00AC3578" w:rsidP="00AC3578">
            <w:pPr>
              <w:tabs>
                <w:tab w:val="right" w:pos="1202"/>
              </w:tabs>
              <w:spacing w:after="0" w:line="300" w:lineRule="exact"/>
              <w:outlineLvl w:val="0"/>
              <w:rPr>
                <w:rFonts w:ascii="Calibri" w:eastAsia="Times New Roman" w:hAnsi="Calibri" w:cs="Arial"/>
                <w:sz w:val="20"/>
                <w:szCs w:val="20"/>
                <w:lang w:val="en-US"/>
              </w:rPr>
            </w:pPr>
            <w:bookmarkStart w:id="625" w:name="_Toc4060506"/>
            <w:r w:rsidRPr="009E792D">
              <w:rPr>
                <w:rFonts w:ascii="Calibri" w:eastAsia="Times New Roman" w:hAnsi="Calibri" w:cs="Arial"/>
                <w:sz w:val="20"/>
                <w:szCs w:val="20"/>
                <w:lang w:val="en-US"/>
              </w:rPr>
              <w:t>Undrawn loans</w:t>
            </w:r>
            <w:bookmarkEnd w:id="625"/>
          </w:p>
        </w:tc>
        <w:tc>
          <w:tcPr>
            <w:tcW w:w="725" w:type="pct"/>
            <w:tcBorders>
              <w:top w:val="nil"/>
              <w:left w:val="nil"/>
              <w:bottom w:val="nil"/>
              <w:right w:val="nil"/>
            </w:tcBorders>
            <w:shd w:val="clear" w:color="auto" w:fill="auto"/>
            <w:vAlign w:val="bottom"/>
          </w:tcPr>
          <w:p w14:paraId="79A425CB" w14:textId="4A428030" w:rsidR="00AC3578" w:rsidRPr="009E792D" w:rsidDel="00942ACF" w:rsidRDefault="00AC3578" w:rsidP="00AC3578">
            <w:pPr>
              <w:spacing w:after="0" w:line="280" w:lineRule="exact"/>
              <w:jc w:val="right"/>
              <w:rPr>
                <w:rFonts w:ascii="Calibri" w:eastAsia="Times New Roman" w:hAnsi="Calibri" w:cs="Calibri"/>
                <w:sz w:val="20"/>
                <w:szCs w:val="20"/>
                <w:lang w:val="en-US"/>
              </w:rPr>
            </w:pPr>
            <w:r w:rsidRPr="009E792D">
              <w:rPr>
                <w:rFonts w:cstheme="minorHAnsi"/>
                <w:color w:val="000000" w:themeColor="text1"/>
                <w:sz w:val="20"/>
                <w:szCs w:val="20"/>
              </w:rPr>
              <w:t>3</w:t>
            </w:r>
            <w:r>
              <w:rPr>
                <w:rFonts w:cstheme="minorHAnsi"/>
                <w:color w:val="000000" w:themeColor="text1"/>
                <w:sz w:val="20"/>
                <w:szCs w:val="20"/>
              </w:rPr>
              <w:t>,</w:t>
            </w:r>
            <w:r w:rsidRPr="009E792D">
              <w:rPr>
                <w:rFonts w:cstheme="minorHAnsi"/>
                <w:color w:val="000000" w:themeColor="text1"/>
                <w:sz w:val="20"/>
                <w:szCs w:val="20"/>
              </w:rPr>
              <w:t>184</w:t>
            </w:r>
            <w:r>
              <w:rPr>
                <w:rFonts w:cstheme="minorHAnsi"/>
                <w:color w:val="000000" w:themeColor="text1"/>
                <w:sz w:val="20"/>
                <w:szCs w:val="20"/>
              </w:rPr>
              <w:t>,</w:t>
            </w:r>
            <w:r w:rsidRPr="009E792D">
              <w:rPr>
                <w:rFonts w:cstheme="minorHAnsi"/>
                <w:color w:val="000000" w:themeColor="text1"/>
                <w:sz w:val="20"/>
                <w:szCs w:val="20"/>
              </w:rPr>
              <w:t>386</w:t>
            </w:r>
          </w:p>
        </w:tc>
        <w:tc>
          <w:tcPr>
            <w:tcW w:w="726" w:type="pct"/>
            <w:tcBorders>
              <w:top w:val="nil"/>
              <w:left w:val="nil"/>
              <w:bottom w:val="single" w:sz="4" w:space="0" w:color="auto"/>
              <w:right w:val="nil"/>
            </w:tcBorders>
            <w:shd w:val="clear" w:color="auto" w:fill="auto"/>
            <w:vAlign w:val="bottom"/>
          </w:tcPr>
          <w:p w14:paraId="294AD3BC" w14:textId="28593B9C" w:rsidR="00AC3578" w:rsidRPr="009E792D" w:rsidRDefault="00AC3578" w:rsidP="00AC3578">
            <w:pPr>
              <w:tabs>
                <w:tab w:val="right" w:pos="1202"/>
              </w:tabs>
              <w:spacing w:after="0" w:line="301" w:lineRule="exact"/>
              <w:jc w:val="right"/>
              <w:outlineLvl w:val="0"/>
              <w:rPr>
                <w:rFonts w:ascii="Calibri" w:eastAsia="Times New Roman" w:hAnsi="Calibri" w:cs="Calibri"/>
                <w:sz w:val="20"/>
                <w:szCs w:val="20"/>
                <w:lang w:val="en-US"/>
              </w:rPr>
            </w:pPr>
            <w:r w:rsidRPr="009E792D">
              <w:rPr>
                <w:rFonts w:cstheme="minorHAnsi"/>
                <w:color w:val="000000" w:themeColor="text1"/>
                <w:sz w:val="20"/>
                <w:szCs w:val="20"/>
              </w:rPr>
              <w:t>3,457,291</w:t>
            </w:r>
          </w:p>
        </w:tc>
        <w:tc>
          <w:tcPr>
            <w:tcW w:w="725" w:type="pct"/>
            <w:tcBorders>
              <w:top w:val="nil"/>
              <w:left w:val="nil"/>
              <w:bottom w:val="nil"/>
              <w:right w:val="nil"/>
            </w:tcBorders>
            <w:shd w:val="clear" w:color="auto" w:fill="auto"/>
            <w:vAlign w:val="bottom"/>
          </w:tcPr>
          <w:p w14:paraId="36A997DB" w14:textId="5C04E8C7" w:rsidR="00AC3578" w:rsidRPr="00AC3578" w:rsidDel="00942ACF" w:rsidRDefault="00AC3578" w:rsidP="00AC3578">
            <w:pPr>
              <w:tabs>
                <w:tab w:val="right" w:pos="1202"/>
              </w:tabs>
              <w:spacing w:after="0" w:line="301" w:lineRule="exact"/>
              <w:jc w:val="right"/>
              <w:outlineLvl w:val="0"/>
              <w:rPr>
                <w:rFonts w:ascii="Calibri" w:eastAsia="Times New Roman" w:hAnsi="Calibri" w:cs="Calibri"/>
                <w:sz w:val="20"/>
                <w:szCs w:val="20"/>
                <w:lang w:val="en-US"/>
              </w:rPr>
            </w:pPr>
            <w:r w:rsidRPr="00AC3578">
              <w:rPr>
                <w:rFonts w:cstheme="minorHAnsi"/>
                <w:color w:val="000000" w:themeColor="text1"/>
                <w:sz w:val="20"/>
                <w:szCs w:val="20"/>
              </w:rPr>
              <w:t>3</w:t>
            </w:r>
            <w:r>
              <w:rPr>
                <w:rFonts w:cstheme="minorHAnsi"/>
                <w:color w:val="000000" w:themeColor="text1"/>
                <w:sz w:val="20"/>
                <w:szCs w:val="20"/>
              </w:rPr>
              <w:t>,</w:t>
            </w:r>
            <w:r w:rsidRPr="00AC3578">
              <w:rPr>
                <w:rFonts w:cstheme="minorHAnsi"/>
                <w:color w:val="000000" w:themeColor="text1"/>
                <w:sz w:val="20"/>
                <w:szCs w:val="20"/>
              </w:rPr>
              <w:t>184</w:t>
            </w:r>
            <w:r>
              <w:rPr>
                <w:rFonts w:cstheme="minorHAnsi"/>
                <w:color w:val="000000" w:themeColor="text1"/>
                <w:sz w:val="20"/>
                <w:szCs w:val="20"/>
              </w:rPr>
              <w:t>,</w:t>
            </w:r>
            <w:r w:rsidRPr="00AC3578">
              <w:rPr>
                <w:rFonts w:cstheme="minorHAnsi"/>
                <w:color w:val="000000" w:themeColor="text1"/>
                <w:sz w:val="20"/>
                <w:szCs w:val="20"/>
              </w:rPr>
              <w:t>386</w:t>
            </w:r>
          </w:p>
        </w:tc>
        <w:tc>
          <w:tcPr>
            <w:tcW w:w="724" w:type="pct"/>
            <w:tcBorders>
              <w:top w:val="nil"/>
              <w:left w:val="nil"/>
              <w:bottom w:val="single" w:sz="4" w:space="0" w:color="auto"/>
              <w:right w:val="nil"/>
            </w:tcBorders>
            <w:shd w:val="clear" w:color="auto" w:fill="auto"/>
            <w:vAlign w:val="bottom"/>
          </w:tcPr>
          <w:p w14:paraId="23338E1E" w14:textId="135DD3F0" w:rsidR="00AC3578" w:rsidRPr="009E792D" w:rsidRDefault="00AC3578" w:rsidP="00AC3578">
            <w:pPr>
              <w:tabs>
                <w:tab w:val="right" w:pos="1202"/>
              </w:tabs>
              <w:spacing w:after="0" w:line="301" w:lineRule="exact"/>
              <w:jc w:val="right"/>
              <w:outlineLvl w:val="0"/>
              <w:rPr>
                <w:rFonts w:ascii="Calibri" w:eastAsia="Times New Roman" w:hAnsi="Calibri" w:cs="Calibri"/>
                <w:sz w:val="20"/>
                <w:szCs w:val="20"/>
                <w:lang w:val="en-US"/>
              </w:rPr>
            </w:pPr>
            <w:r w:rsidRPr="009E792D">
              <w:rPr>
                <w:rFonts w:cstheme="minorHAnsi"/>
                <w:color w:val="000000" w:themeColor="text1"/>
                <w:sz w:val="20"/>
                <w:szCs w:val="20"/>
              </w:rPr>
              <w:t>3,457,291</w:t>
            </w:r>
          </w:p>
        </w:tc>
      </w:tr>
      <w:tr w:rsidR="00AC3578" w:rsidRPr="009E792D" w14:paraId="1064AA2A" w14:textId="77777777" w:rsidTr="00D12067">
        <w:tc>
          <w:tcPr>
            <w:tcW w:w="2100" w:type="pct"/>
            <w:vAlign w:val="bottom"/>
          </w:tcPr>
          <w:p w14:paraId="6BAECFBF" w14:textId="77777777" w:rsidR="00AC3578" w:rsidRPr="009E792D" w:rsidRDefault="00AC3578" w:rsidP="00AC3578">
            <w:pPr>
              <w:tabs>
                <w:tab w:val="right" w:pos="1202"/>
              </w:tabs>
              <w:spacing w:after="0" w:line="300" w:lineRule="exact"/>
              <w:outlineLvl w:val="0"/>
              <w:rPr>
                <w:rFonts w:ascii="Calibri" w:eastAsia="Times New Roman" w:hAnsi="Calibri" w:cs="Arial"/>
                <w:b/>
                <w:bCs/>
                <w:sz w:val="20"/>
                <w:szCs w:val="20"/>
                <w:lang w:val="en-US"/>
              </w:rPr>
            </w:pPr>
            <w:bookmarkStart w:id="626" w:name="_Toc4060512"/>
            <w:r w:rsidRPr="009E792D">
              <w:rPr>
                <w:rFonts w:ascii="Calibri" w:eastAsia="Times New Roman" w:hAnsi="Calibri" w:cs="Arial"/>
                <w:b/>
                <w:bCs/>
                <w:sz w:val="20"/>
                <w:szCs w:val="20"/>
                <w:lang w:val="en-US"/>
              </w:rPr>
              <w:t>Total</w:t>
            </w:r>
            <w:bookmarkEnd w:id="626"/>
          </w:p>
        </w:tc>
        <w:tc>
          <w:tcPr>
            <w:tcW w:w="725" w:type="pct"/>
            <w:tcBorders>
              <w:top w:val="single" w:sz="4" w:space="0" w:color="auto"/>
              <w:bottom w:val="single" w:sz="12" w:space="0" w:color="auto"/>
            </w:tcBorders>
            <w:vAlign w:val="bottom"/>
          </w:tcPr>
          <w:p w14:paraId="2C64C973" w14:textId="37146E50" w:rsidR="00AC3578" w:rsidRPr="009E792D" w:rsidRDefault="00AC3578" w:rsidP="00AC3578">
            <w:pPr>
              <w:spacing w:after="0" w:line="280" w:lineRule="exact"/>
              <w:jc w:val="right"/>
              <w:rPr>
                <w:rFonts w:ascii="Calibri" w:eastAsia="Times New Roman" w:hAnsi="Calibri" w:cs="Calibri"/>
                <w:b/>
                <w:bCs/>
                <w:sz w:val="20"/>
                <w:szCs w:val="20"/>
                <w:lang w:val="en-US"/>
              </w:rPr>
            </w:pPr>
            <w:r w:rsidRPr="009E792D">
              <w:rPr>
                <w:rFonts w:cstheme="minorHAnsi"/>
                <w:b/>
                <w:bCs/>
                <w:color w:val="000000" w:themeColor="text1"/>
                <w:sz w:val="20"/>
                <w:szCs w:val="20"/>
              </w:rPr>
              <w:t>3</w:t>
            </w:r>
            <w:r>
              <w:rPr>
                <w:rFonts w:cstheme="minorHAnsi"/>
                <w:b/>
                <w:bCs/>
                <w:color w:val="000000" w:themeColor="text1"/>
                <w:sz w:val="20"/>
                <w:szCs w:val="20"/>
              </w:rPr>
              <w:t>,</w:t>
            </w:r>
            <w:r w:rsidRPr="009E792D">
              <w:rPr>
                <w:rFonts w:cstheme="minorHAnsi"/>
                <w:b/>
                <w:bCs/>
                <w:color w:val="000000" w:themeColor="text1"/>
                <w:sz w:val="20"/>
                <w:szCs w:val="20"/>
              </w:rPr>
              <w:t>525</w:t>
            </w:r>
            <w:r>
              <w:rPr>
                <w:rFonts w:cstheme="minorHAnsi"/>
                <w:b/>
                <w:bCs/>
                <w:color w:val="000000" w:themeColor="text1"/>
                <w:sz w:val="20"/>
                <w:szCs w:val="20"/>
              </w:rPr>
              <w:t>,</w:t>
            </w:r>
            <w:r w:rsidRPr="009E792D">
              <w:rPr>
                <w:rFonts w:cstheme="minorHAnsi"/>
                <w:b/>
                <w:bCs/>
                <w:color w:val="000000" w:themeColor="text1"/>
                <w:sz w:val="20"/>
                <w:szCs w:val="20"/>
              </w:rPr>
              <w:t>537</w:t>
            </w:r>
          </w:p>
        </w:tc>
        <w:tc>
          <w:tcPr>
            <w:tcW w:w="726" w:type="pct"/>
            <w:tcBorders>
              <w:top w:val="single" w:sz="4" w:space="0" w:color="auto"/>
              <w:bottom w:val="single" w:sz="12" w:space="0" w:color="auto"/>
            </w:tcBorders>
            <w:vAlign w:val="bottom"/>
          </w:tcPr>
          <w:p w14:paraId="31910C62" w14:textId="6AF9DE78" w:rsidR="00AC3578" w:rsidRPr="009E792D" w:rsidRDefault="00AC3578" w:rsidP="00AC3578">
            <w:pPr>
              <w:spacing w:after="0" w:line="280" w:lineRule="exact"/>
              <w:jc w:val="right"/>
              <w:rPr>
                <w:rFonts w:ascii="Calibri" w:eastAsia="Times New Roman" w:hAnsi="Calibri" w:cs="Calibri"/>
                <w:b/>
                <w:bCs/>
                <w:sz w:val="20"/>
                <w:szCs w:val="20"/>
                <w:lang w:val="en-US"/>
              </w:rPr>
            </w:pPr>
            <w:r w:rsidRPr="009E792D">
              <w:rPr>
                <w:rFonts w:cstheme="minorHAnsi"/>
                <w:b/>
                <w:bCs/>
                <w:color w:val="000000" w:themeColor="text1"/>
                <w:sz w:val="20"/>
                <w:szCs w:val="20"/>
              </w:rPr>
              <w:t>3,858,109</w:t>
            </w:r>
          </w:p>
        </w:tc>
        <w:tc>
          <w:tcPr>
            <w:tcW w:w="725" w:type="pct"/>
            <w:tcBorders>
              <w:top w:val="single" w:sz="4" w:space="0" w:color="auto"/>
              <w:bottom w:val="single" w:sz="12" w:space="0" w:color="auto"/>
            </w:tcBorders>
            <w:vAlign w:val="bottom"/>
          </w:tcPr>
          <w:p w14:paraId="2494C9A5" w14:textId="2CBA0512" w:rsidR="00AC3578" w:rsidRPr="00AC3578" w:rsidRDefault="00AC3578" w:rsidP="00AC3578">
            <w:pPr>
              <w:spacing w:after="0" w:line="280" w:lineRule="exact"/>
              <w:jc w:val="right"/>
              <w:rPr>
                <w:rFonts w:ascii="Calibri" w:eastAsia="Times New Roman" w:hAnsi="Calibri" w:cs="Calibri"/>
                <w:b/>
                <w:bCs/>
                <w:sz w:val="20"/>
                <w:szCs w:val="20"/>
                <w:lang w:val="en-US"/>
              </w:rPr>
            </w:pPr>
            <w:r w:rsidRPr="00AC3578">
              <w:rPr>
                <w:rFonts w:cstheme="minorHAnsi"/>
                <w:b/>
                <w:bCs/>
                <w:color w:val="000000" w:themeColor="text1"/>
                <w:sz w:val="20"/>
                <w:szCs w:val="20"/>
              </w:rPr>
              <w:t>3</w:t>
            </w:r>
            <w:r>
              <w:rPr>
                <w:rFonts w:cstheme="minorHAnsi"/>
                <w:b/>
                <w:bCs/>
                <w:color w:val="000000" w:themeColor="text1"/>
                <w:sz w:val="20"/>
                <w:szCs w:val="20"/>
              </w:rPr>
              <w:t>,</w:t>
            </w:r>
            <w:r w:rsidRPr="00AC3578">
              <w:rPr>
                <w:rFonts w:cstheme="minorHAnsi"/>
                <w:b/>
                <w:bCs/>
                <w:color w:val="000000" w:themeColor="text1"/>
                <w:sz w:val="20"/>
                <w:szCs w:val="20"/>
              </w:rPr>
              <w:t>525</w:t>
            </w:r>
            <w:r>
              <w:rPr>
                <w:rFonts w:cstheme="minorHAnsi"/>
                <w:b/>
                <w:bCs/>
                <w:color w:val="000000" w:themeColor="text1"/>
                <w:sz w:val="20"/>
                <w:szCs w:val="20"/>
              </w:rPr>
              <w:t>,</w:t>
            </w:r>
            <w:r w:rsidRPr="00AC3578">
              <w:rPr>
                <w:rFonts w:cstheme="minorHAnsi"/>
                <w:b/>
                <w:bCs/>
                <w:color w:val="000000" w:themeColor="text1"/>
                <w:sz w:val="20"/>
                <w:szCs w:val="20"/>
              </w:rPr>
              <w:t>537</w:t>
            </w:r>
          </w:p>
        </w:tc>
        <w:tc>
          <w:tcPr>
            <w:tcW w:w="724" w:type="pct"/>
            <w:tcBorders>
              <w:top w:val="single" w:sz="4" w:space="0" w:color="auto"/>
              <w:bottom w:val="single" w:sz="12" w:space="0" w:color="auto"/>
            </w:tcBorders>
            <w:vAlign w:val="bottom"/>
          </w:tcPr>
          <w:p w14:paraId="7B0881B3" w14:textId="1B455B26" w:rsidR="00AC3578" w:rsidRPr="009E792D" w:rsidRDefault="00AC3578" w:rsidP="00AC3578">
            <w:pPr>
              <w:spacing w:after="0" w:line="280" w:lineRule="exact"/>
              <w:jc w:val="right"/>
              <w:rPr>
                <w:rFonts w:ascii="Calibri" w:eastAsia="Calibri" w:hAnsi="Calibri" w:cs="Calibri"/>
                <w:b/>
                <w:sz w:val="20"/>
                <w:szCs w:val="20"/>
                <w:lang w:val="en-US"/>
              </w:rPr>
            </w:pPr>
            <w:r w:rsidRPr="009E792D">
              <w:rPr>
                <w:rFonts w:cstheme="minorHAnsi"/>
                <w:b/>
                <w:bCs/>
                <w:color w:val="000000" w:themeColor="text1"/>
                <w:sz w:val="20"/>
                <w:szCs w:val="20"/>
              </w:rPr>
              <w:t>3,858,109</w:t>
            </w:r>
          </w:p>
        </w:tc>
      </w:tr>
      <w:tr w:rsidR="00AC3578" w:rsidRPr="009E792D" w14:paraId="2ED03095" w14:textId="77777777" w:rsidTr="00D12067">
        <w:trPr>
          <w:trHeight w:hRule="exact" w:val="340"/>
        </w:trPr>
        <w:tc>
          <w:tcPr>
            <w:tcW w:w="2100" w:type="pct"/>
            <w:vAlign w:val="bottom"/>
          </w:tcPr>
          <w:p w14:paraId="00E0C3BC" w14:textId="77777777" w:rsidR="00AC3578" w:rsidRPr="009E792D" w:rsidRDefault="00AC3578" w:rsidP="00AC3578">
            <w:pPr>
              <w:tabs>
                <w:tab w:val="right" w:pos="1202"/>
              </w:tabs>
              <w:spacing w:after="0" w:line="300" w:lineRule="exact"/>
              <w:outlineLvl w:val="0"/>
              <w:rPr>
                <w:rFonts w:ascii="Calibri" w:eastAsia="Times New Roman" w:hAnsi="Calibri" w:cs="Arial"/>
                <w:b/>
                <w:bCs/>
                <w:sz w:val="20"/>
                <w:szCs w:val="20"/>
                <w:lang w:val="en-US"/>
              </w:rPr>
            </w:pPr>
            <w:bookmarkStart w:id="627" w:name="_Toc4060513"/>
            <w:r w:rsidRPr="009E792D">
              <w:rPr>
                <w:rFonts w:ascii="Calibri" w:eastAsia="Times New Roman" w:hAnsi="Calibri" w:cs="Arial"/>
                <w:b/>
                <w:bCs/>
                <w:sz w:val="20"/>
                <w:szCs w:val="20"/>
                <w:lang w:val="en-US"/>
              </w:rPr>
              <w:t>Total credit risk exposure</w:t>
            </w:r>
            <w:bookmarkEnd w:id="627"/>
          </w:p>
        </w:tc>
        <w:tc>
          <w:tcPr>
            <w:tcW w:w="725" w:type="pct"/>
            <w:tcBorders>
              <w:top w:val="single" w:sz="12" w:space="0" w:color="auto"/>
              <w:bottom w:val="single" w:sz="12" w:space="0" w:color="auto"/>
            </w:tcBorders>
            <w:vAlign w:val="bottom"/>
          </w:tcPr>
          <w:p w14:paraId="49C1B8CC" w14:textId="48454F03" w:rsidR="00AC3578" w:rsidRPr="009E792D" w:rsidRDefault="00AC3578" w:rsidP="00AC3578">
            <w:pPr>
              <w:spacing w:after="0" w:line="280" w:lineRule="exact"/>
              <w:jc w:val="right"/>
              <w:rPr>
                <w:rFonts w:ascii="Calibri" w:eastAsia="Times New Roman" w:hAnsi="Calibri" w:cs="Calibri"/>
                <w:b/>
                <w:bCs/>
                <w:sz w:val="20"/>
                <w:szCs w:val="20"/>
                <w:lang w:val="en-US"/>
              </w:rPr>
            </w:pPr>
            <w:r w:rsidRPr="009E792D">
              <w:rPr>
                <w:rFonts w:cstheme="minorHAnsi"/>
                <w:b/>
                <w:bCs/>
                <w:color w:val="000000" w:themeColor="text1"/>
                <w:sz w:val="20"/>
                <w:szCs w:val="20"/>
              </w:rPr>
              <w:t>31</w:t>
            </w:r>
            <w:r>
              <w:rPr>
                <w:rFonts w:cstheme="minorHAnsi"/>
                <w:b/>
                <w:bCs/>
                <w:color w:val="000000" w:themeColor="text1"/>
                <w:sz w:val="20"/>
                <w:szCs w:val="20"/>
              </w:rPr>
              <w:t>,</w:t>
            </w:r>
            <w:r w:rsidRPr="009E792D">
              <w:rPr>
                <w:rFonts w:cstheme="minorHAnsi"/>
                <w:b/>
                <w:bCs/>
                <w:color w:val="000000" w:themeColor="text1"/>
                <w:sz w:val="20"/>
                <w:szCs w:val="20"/>
              </w:rPr>
              <w:t>023</w:t>
            </w:r>
            <w:r>
              <w:rPr>
                <w:rFonts w:cstheme="minorHAnsi"/>
                <w:b/>
                <w:bCs/>
                <w:color w:val="000000" w:themeColor="text1"/>
                <w:sz w:val="20"/>
                <w:szCs w:val="20"/>
              </w:rPr>
              <w:t>,</w:t>
            </w:r>
            <w:r w:rsidRPr="009E792D">
              <w:rPr>
                <w:rFonts w:cstheme="minorHAnsi"/>
                <w:b/>
                <w:bCs/>
                <w:color w:val="000000" w:themeColor="text1"/>
                <w:sz w:val="20"/>
                <w:szCs w:val="20"/>
              </w:rPr>
              <w:t>848</w:t>
            </w:r>
          </w:p>
        </w:tc>
        <w:tc>
          <w:tcPr>
            <w:tcW w:w="726" w:type="pct"/>
            <w:tcBorders>
              <w:top w:val="single" w:sz="12" w:space="0" w:color="auto"/>
              <w:bottom w:val="single" w:sz="12" w:space="0" w:color="auto"/>
            </w:tcBorders>
            <w:vAlign w:val="bottom"/>
          </w:tcPr>
          <w:p w14:paraId="27DB381D" w14:textId="22D8F06E" w:rsidR="00AC3578" w:rsidRPr="009E792D" w:rsidRDefault="00AC3578" w:rsidP="00AC3578">
            <w:pPr>
              <w:spacing w:after="0" w:line="280" w:lineRule="exact"/>
              <w:jc w:val="right"/>
              <w:rPr>
                <w:rFonts w:ascii="Calibri" w:eastAsia="Times New Roman" w:hAnsi="Calibri" w:cs="Calibri"/>
                <w:b/>
                <w:bCs/>
                <w:sz w:val="20"/>
                <w:szCs w:val="20"/>
                <w:lang w:val="en-US"/>
              </w:rPr>
            </w:pPr>
            <w:r w:rsidRPr="009E792D">
              <w:rPr>
                <w:rFonts w:cstheme="minorHAnsi"/>
                <w:b/>
                <w:bCs/>
                <w:color w:val="000000" w:themeColor="text1"/>
                <w:sz w:val="20"/>
                <w:szCs w:val="20"/>
              </w:rPr>
              <w:t>31,795,313</w:t>
            </w:r>
          </w:p>
        </w:tc>
        <w:tc>
          <w:tcPr>
            <w:tcW w:w="725" w:type="pct"/>
            <w:tcBorders>
              <w:top w:val="single" w:sz="12" w:space="0" w:color="auto"/>
              <w:bottom w:val="single" w:sz="12" w:space="0" w:color="auto"/>
            </w:tcBorders>
            <w:vAlign w:val="bottom"/>
          </w:tcPr>
          <w:p w14:paraId="200472D9" w14:textId="31E7CDBF" w:rsidR="00AC3578" w:rsidRPr="00AC3578" w:rsidRDefault="00AC3578" w:rsidP="00AC3578">
            <w:pPr>
              <w:spacing w:after="0" w:line="280" w:lineRule="exact"/>
              <w:jc w:val="right"/>
              <w:rPr>
                <w:rFonts w:ascii="Calibri" w:eastAsia="Times New Roman" w:hAnsi="Calibri" w:cs="Calibri"/>
                <w:b/>
                <w:bCs/>
                <w:sz w:val="20"/>
                <w:szCs w:val="20"/>
                <w:lang w:val="en-US"/>
              </w:rPr>
            </w:pPr>
            <w:r w:rsidRPr="00AC3578">
              <w:rPr>
                <w:rFonts w:cstheme="minorHAnsi"/>
                <w:b/>
                <w:bCs/>
                <w:color w:val="000000" w:themeColor="text1"/>
                <w:sz w:val="20"/>
                <w:szCs w:val="20"/>
              </w:rPr>
              <w:t>30</w:t>
            </w:r>
            <w:r>
              <w:rPr>
                <w:rFonts w:cstheme="minorHAnsi"/>
                <w:b/>
                <w:bCs/>
                <w:color w:val="000000" w:themeColor="text1"/>
                <w:sz w:val="20"/>
                <w:szCs w:val="20"/>
              </w:rPr>
              <w:t>,</w:t>
            </w:r>
            <w:r w:rsidRPr="00AC3578">
              <w:rPr>
                <w:rFonts w:cstheme="minorHAnsi"/>
                <w:b/>
                <w:bCs/>
                <w:color w:val="000000" w:themeColor="text1"/>
                <w:sz w:val="20"/>
                <w:szCs w:val="20"/>
              </w:rPr>
              <w:t>961</w:t>
            </w:r>
            <w:r>
              <w:rPr>
                <w:rFonts w:cstheme="minorHAnsi"/>
                <w:b/>
                <w:bCs/>
                <w:color w:val="000000" w:themeColor="text1"/>
                <w:sz w:val="20"/>
                <w:szCs w:val="20"/>
              </w:rPr>
              <w:t>,</w:t>
            </w:r>
            <w:r w:rsidRPr="00AC3578">
              <w:rPr>
                <w:rFonts w:cstheme="minorHAnsi"/>
                <w:b/>
                <w:bCs/>
                <w:color w:val="000000" w:themeColor="text1"/>
                <w:sz w:val="20"/>
                <w:szCs w:val="20"/>
              </w:rPr>
              <w:t>514</w:t>
            </w:r>
          </w:p>
        </w:tc>
        <w:tc>
          <w:tcPr>
            <w:tcW w:w="724" w:type="pct"/>
            <w:tcBorders>
              <w:top w:val="single" w:sz="12" w:space="0" w:color="auto"/>
              <w:bottom w:val="single" w:sz="12" w:space="0" w:color="auto"/>
            </w:tcBorders>
            <w:vAlign w:val="bottom"/>
          </w:tcPr>
          <w:p w14:paraId="65B6BF27" w14:textId="2FCF0FAA" w:rsidR="00AC3578" w:rsidRPr="009E792D" w:rsidRDefault="00AC3578" w:rsidP="00AC3578">
            <w:pPr>
              <w:spacing w:after="0" w:line="280" w:lineRule="exact"/>
              <w:jc w:val="right"/>
              <w:rPr>
                <w:rFonts w:ascii="Calibri" w:eastAsia="Calibri" w:hAnsi="Calibri" w:cs="Calibri"/>
                <w:b/>
                <w:sz w:val="20"/>
                <w:szCs w:val="20"/>
                <w:lang w:val="en-US"/>
              </w:rPr>
            </w:pPr>
            <w:r w:rsidRPr="009E792D">
              <w:rPr>
                <w:rFonts w:cstheme="minorHAnsi"/>
                <w:b/>
                <w:bCs/>
                <w:color w:val="000000" w:themeColor="text1"/>
                <w:sz w:val="20"/>
                <w:szCs w:val="20"/>
              </w:rPr>
              <w:t>31,732,509</w:t>
            </w:r>
          </w:p>
        </w:tc>
      </w:tr>
    </w:tbl>
    <w:p w14:paraId="0901E1B2" w14:textId="77777777" w:rsidR="00364B19" w:rsidRPr="00537128" w:rsidRDefault="00364B19" w:rsidP="005B7D9D">
      <w:pPr>
        <w:tabs>
          <w:tab w:val="left" w:pos="709"/>
          <w:tab w:val="left" w:pos="851"/>
        </w:tabs>
        <w:spacing w:after="0" w:line="240" w:lineRule="auto"/>
        <w:jc w:val="both"/>
        <w:rPr>
          <w:rFonts w:ascii="Calibri" w:eastAsia="Times New Roman" w:hAnsi="Calibri" w:cs="Arial"/>
          <w:color w:val="000000" w:themeColor="text1"/>
          <w:lang w:val="en-US"/>
        </w:rPr>
      </w:pPr>
    </w:p>
    <w:p w14:paraId="283C15B9" w14:textId="77777777" w:rsidR="00D20207" w:rsidRPr="00537128" w:rsidRDefault="00D20207" w:rsidP="005B7D9D">
      <w:pPr>
        <w:tabs>
          <w:tab w:val="left" w:pos="709"/>
          <w:tab w:val="left" w:pos="851"/>
        </w:tabs>
        <w:spacing w:after="0" w:line="240" w:lineRule="auto"/>
        <w:jc w:val="both"/>
        <w:rPr>
          <w:rFonts w:ascii="Calibri" w:eastAsia="Times New Roman" w:hAnsi="Calibri" w:cs="Arial"/>
          <w:color w:val="000000" w:themeColor="text1"/>
          <w:lang w:val="en-US"/>
        </w:rPr>
      </w:pPr>
    </w:p>
    <w:p w14:paraId="241A2C8E" w14:textId="77777777" w:rsidR="00D20207" w:rsidRPr="00537128" w:rsidRDefault="00D20207" w:rsidP="005B7D9D">
      <w:pPr>
        <w:tabs>
          <w:tab w:val="left" w:pos="709"/>
          <w:tab w:val="left" w:pos="851"/>
        </w:tabs>
        <w:spacing w:after="0" w:line="240" w:lineRule="auto"/>
        <w:jc w:val="both"/>
        <w:rPr>
          <w:rFonts w:ascii="Calibri" w:eastAsia="Times New Roman" w:hAnsi="Calibri" w:cs="Arial"/>
          <w:color w:val="000000" w:themeColor="text1"/>
          <w:lang w:val="en-US"/>
        </w:rPr>
      </w:pPr>
    </w:p>
    <w:p w14:paraId="1B2C0EF7" w14:textId="77777777" w:rsidR="00364B19" w:rsidRPr="00537128" w:rsidRDefault="00364B19" w:rsidP="005B7D9D">
      <w:pPr>
        <w:tabs>
          <w:tab w:val="left" w:pos="709"/>
          <w:tab w:val="left" w:pos="851"/>
        </w:tabs>
        <w:spacing w:after="0" w:line="240" w:lineRule="auto"/>
        <w:jc w:val="both"/>
        <w:rPr>
          <w:rFonts w:ascii="Calibri" w:eastAsia="Times New Roman" w:hAnsi="Calibri" w:cs="Arial"/>
          <w:color w:val="000000" w:themeColor="text1"/>
          <w:lang w:val="en-US"/>
        </w:rPr>
        <w:sectPr w:rsidR="00364B19" w:rsidRPr="00537128">
          <w:pgSz w:w="11906" w:h="16838"/>
          <w:pgMar w:top="1417" w:right="1417" w:bottom="1417" w:left="1417" w:header="708" w:footer="708" w:gutter="0"/>
          <w:cols w:space="708"/>
          <w:docGrid w:linePitch="360"/>
        </w:sectPr>
      </w:pPr>
    </w:p>
    <w:p w14:paraId="0446E93C" w14:textId="77777777" w:rsidR="00364B19" w:rsidRPr="00537128" w:rsidRDefault="00364B19" w:rsidP="00364B19">
      <w:pPr>
        <w:spacing w:after="0" w:line="240" w:lineRule="auto"/>
        <w:jc w:val="both"/>
        <w:rPr>
          <w:rFonts w:ascii="Calibri" w:eastAsia="Times New Roman" w:hAnsi="Calibri" w:cs="Calibri"/>
          <w:b/>
          <w:bCs/>
          <w:color w:val="000000" w:themeColor="text1"/>
          <w:lang w:val="en-US" w:eastAsia="hr-HR"/>
        </w:rPr>
      </w:pPr>
      <w:bookmarkStart w:id="628" w:name="_Hlk37076030"/>
    </w:p>
    <w:p w14:paraId="2F6E4B8F" w14:textId="7EE65434" w:rsidR="00364B19" w:rsidRPr="00537128" w:rsidRDefault="00B357CE" w:rsidP="00364B19">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35557F99" w14:textId="77777777" w:rsidR="00364B19" w:rsidRPr="00537128"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14:paraId="2C0CD179" w14:textId="6539456D" w:rsidR="00364B19" w:rsidRPr="00537128" w:rsidRDefault="00B357CE" w:rsidP="00364B19">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364B19" w:rsidRPr="00537128">
        <w:rPr>
          <w:rFonts w:ascii="Calibri" w:eastAsia="Times New Roman" w:hAnsi="Calibri" w:cs="Arial"/>
          <w:b/>
          <w:color w:val="000000" w:themeColor="text1"/>
          <w:lang w:val="en-US"/>
        </w:rPr>
        <w:t xml:space="preserve">   Credit risk (continued)</w:t>
      </w:r>
    </w:p>
    <w:p w14:paraId="02CCCDFA"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06069A15"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Concentration of risk and maximum credit risk exposure (continued)</w:t>
      </w:r>
    </w:p>
    <w:p w14:paraId="4651DC31"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4D7915FD" w14:textId="77777777" w:rsidR="00364B19" w:rsidRPr="00537128" w:rsidRDefault="00364B19" w:rsidP="00364B19">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Concentration of assets and guarantees and commitments, net exposure, according to geographical segments, before the effect of mitigation through collateral received, is as follows:</w:t>
      </w:r>
    </w:p>
    <w:p w14:paraId="394D5F6E"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tbl>
      <w:tblPr>
        <w:tblW w:w="5025" w:type="pct"/>
        <w:tblLayout w:type="fixed"/>
        <w:tblCellMar>
          <w:left w:w="30" w:type="dxa"/>
          <w:right w:w="30" w:type="dxa"/>
        </w:tblCellMar>
        <w:tblLook w:val="0000" w:firstRow="0" w:lastRow="0" w:firstColumn="0" w:lastColumn="0" w:noHBand="0" w:noVBand="0"/>
      </w:tblPr>
      <w:tblGrid>
        <w:gridCol w:w="3600"/>
        <w:gridCol w:w="1380"/>
        <w:gridCol w:w="1380"/>
        <w:gridCol w:w="1380"/>
        <w:gridCol w:w="1377"/>
      </w:tblGrid>
      <w:tr w:rsidR="00FE04D4" w:rsidRPr="00537128" w14:paraId="2E57FB49" w14:textId="77777777" w:rsidTr="00A1123E">
        <w:trPr>
          <w:cantSplit/>
          <w:trHeight w:val="877"/>
          <w:tblHeader/>
        </w:trPr>
        <w:tc>
          <w:tcPr>
            <w:tcW w:w="1974" w:type="pct"/>
            <w:vAlign w:val="center"/>
          </w:tcPr>
          <w:p w14:paraId="2E289CB6" w14:textId="77777777" w:rsidR="00FE04D4" w:rsidRPr="00537128" w:rsidRDefault="00FE04D4" w:rsidP="00FE04D4">
            <w:pPr>
              <w:tabs>
                <w:tab w:val="right" w:pos="1202"/>
              </w:tabs>
              <w:spacing w:after="0" w:line="240" w:lineRule="atLeast"/>
              <w:outlineLvl w:val="0"/>
              <w:rPr>
                <w:rFonts w:ascii="Calibri" w:eastAsia="Calibri" w:hAnsi="Calibri" w:cs="Arial"/>
                <w:b/>
                <w:sz w:val="19"/>
                <w:szCs w:val="19"/>
                <w:lang w:val="en-US"/>
              </w:rPr>
            </w:pPr>
            <w:bookmarkStart w:id="629" w:name="_Toc4060514"/>
            <w:r w:rsidRPr="00537128">
              <w:rPr>
                <w:rFonts w:ascii="Calibri" w:eastAsia="Calibri" w:hAnsi="Calibri" w:cs="Arial"/>
                <w:b/>
                <w:sz w:val="19"/>
                <w:szCs w:val="19"/>
                <w:lang w:val="en-US"/>
              </w:rPr>
              <w:t>Group</w:t>
            </w:r>
            <w:bookmarkEnd w:id="629"/>
          </w:p>
          <w:p w14:paraId="6710B806" w14:textId="77777777" w:rsidR="00FE04D4" w:rsidRPr="00537128" w:rsidRDefault="00FE04D4" w:rsidP="00FE04D4">
            <w:pPr>
              <w:tabs>
                <w:tab w:val="right" w:pos="1202"/>
              </w:tabs>
              <w:spacing w:after="0" w:line="240" w:lineRule="atLeast"/>
              <w:outlineLvl w:val="0"/>
              <w:rPr>
                <w:rFonts w:ascii="Calibri" w:eastAsia="Calibri" w:hAnsi="Calibri" w:cs="Arial"/>
                <w:b/>
                <w:sz w:val="19"/>
                <w:szCs w:val="19"/>
                <w:lang w:val="en-US"/>
              </w:rPr>
            </w:pPr>
          </w:p>
          <w:p w14:paraId="0770AA15" w14:textId="55DA29E0" w:rsidR="00FE04D4" w:rsidRPr="00537128" w:rsidRDefault="00FE04D4" w:rsidP="00FE04D4">
            <w:pPr>
              <w:tabs>
                <w:tab w:val="right" w:pos="1202"/>
              </w:tabs>
              <w:spacing w:after="0" w:line="240" w:lineRule="atLeast"/>
              <w:outlineLvl w:val="0"/>
              <w:rPr>
                <w:rFonts w:ascii="Calibri" w:eastAsia="Calibri" w:hAnsi="Calibri" w:cs="Arial"/>
                <w:b/>
                <w:sz w:val="19"/>
                <w:szCs w:val="19"/>
                <w:lang w:val="en-US"/>
              </w:rPr>
            </w:pPr>
            <w:bookmarkStart w:id="630" w:name="_Toc4060515"/>
            <w:r w:rsidRPr="00537128">
              <w:rPr>
                <w:rFonts w:ascii="Calibri" w:eastAsia="Calibri" w:hAnsi="Calibri" w:cs="Arial"/>
                <w:b/>
                <w:sz w:val="19"/>
                <w:szCs w:val="19"/>
                <w:lang w:val="en-US"/>
              </w:rPr>
              <w:t xml:space="preserve">31 </w:t>
            </w:r>
            <w:bookmarkEnd w:id="630"/>
            <w:r w:rsidRPr="00537128">
              <w:rPr>
                <w:rFonts w:ascii="Calibri" w:eastAsia="Calibri" w:hAnsi="Calibri" w:cs="Arial"/>
                <w:b/>
                <w:sz w:val="19"/>
                <w:szCs w:val="19"/>
                <w:lang w:val="en-US"/>
              </w:rPr>
              <w:t>March 202</w:t>
            </w:r>
            <w:r w:rsidR="00C403C6">
              <w:rPr>
                <w:rFonts w:ascii="Calibri" w:eastAsia="Calibri" w:hAnsi="Calibri" w:cs="Arial"/>
                <w:b/>
                <w:sz w:val="19"/>
                <w:szCs w:val="19"/>
                <w:lang w:val="en-US"/>
              </w:rPr>
              <w:t>2</w:t>
            </w:r>
          </w:p>
        </w:tc>
        <w:tc>
          <w:tcPr>
            <w:tcW w:w="757" w:type="pct"/>
            <w:vAlign w:val="center"/>
          </w:tcPr>
          <w:p w14:paraId="08398A53"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31" w:name="_Toc4060516"/>
            <w:r w:rsidRPr="00537128">
              <w:rPr>
                <w:rFonts w:ascii="Calibri" w:eastAsia="Calibri" w:hAnsi="Calibri" w:cs="Arial"/>
                <w:b/>
                <w:sz w:val="19"/>
                <w:szCs w:val="19"/>
                <w:lang w:val="en-US"/>
              </w:rPr>
              <w:t>Republic of Croatia</w:t>
            </w:r>
            <w:bookmarkEnd w:id="631"/>
          </w:p>
        </w:tc>
        <w:tc>
          <w:tcPr>
            <w:tcW w:w="757" w:type="pct"/>
            <w:vAlign w:val="center"/>
          </w:tcPr>
          <w:p w14:paraId="227C4974"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32" w:name="_Toc4060517"/>
            <w:r w:rsidRPr="00537128">
              <w:rPr>
                <w:rFonts w:ascii="Calibri" w:eastAsia="Calibri" w:hAnsi="Calibri" w:cs="Arial"/>
                <w:b/>
                <w:sz w:val="19"/>
                <w:szCs w:val="19"/>
                <w:lang w:val="en-US"/>
              </w:rPr>
              <w:t>EU</w:t>
            </w:r>
            <w:bookmarkEnd w:id="632"/>
          </w:p>
          <w:p w14:paraId="151A9C91"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 xml:space="preserve"> </w:t>
            </w:r>
            <w:bookmarkStart w:id="633" w:name="_Toc4060518"/>
            <w:r w:rsidRPr="00537128">
              <w:rPr>
                <w:rFonts w:ascii="Calibri" w:eastAsia="Calibri" w:hAnsi="Calibri" w:cs="Arial"/>
                <w:b/>
                <w:sz w:val="19"/>
                <w:szCs w:val="19"/>
                <w:lang w:val="en-US"/>
              </w:rPr>
              <w:t>countries</w:t>
            </w:r>
            <w:bookmarkEnd w:id="633"/>
          </w:p>
        </w:tc>
        <w:tc>
          <w:tcPr>
            <w:tcW w:w="757" w:type="pct"/>
            <w:vAlign w:val="center"/>
          </w:tcPr>
          <w:p w14:paraId="38F52DB5" w14:textId="77777777" w:rsidR="00FE04D4" w:rsidRPr="00537128" w:rsidRDefault="00FE04D4" w:rsidP="00FE04D4">
            <w:pPr>
              <w:tabs>
                <w:tab w:val="right" w:pos="1202"/>
              </w:tabs>
              <w:spacing w:after="0" w:line="240" w:lineRule="atLeast"/>
              <w:jc w:val="right"/>
              <w:outlineLvl w:val="0"/>
              <w:rPr>
                <w:rFonts w:ascii="Calibri" w:eastAsia="Calibri" w:hAnsi="Calibri" w:cs="Arial"/>
                <w:b/>
                <w:sz w:val="19"/>
                <w:szCs w:val="19"/>
                <w:lang w:val="en-US"/>
              </w:rPr>
            </w:pPr>
            <w:bookmarkStart w:id="634" w:name="_Toc4060519"/>
            <w:r w:rsidRPr="00537128">
              <w:rPr>
                <w:rFonts w:ascii="Calibri" w:eastAsia="Calibri" w:hAnsi="Calibri" w:cs="Arial"/>
                <w:b/>
                <w:sz w:val="19"/>
                <w:szCs w:val="19"/>
                <w:lang w:val="en-US"/>
              </w:rPr>
              <w:t>Other</w:t>
            </w:r>
            <w:bookmarkEnd w:id="634"/>
            <w:r w:rsidRPr="00537128">
              <w:rPr>
                <w:rFonts w:ascii="Calibri" w:eastAsia="Calibri" w:hAnsi="Calibri" w:cs="Arial"/>
                <w:b/>
                <w:sz w:val="19"/>
                <w:szCs w:val="19"/>
                <w:lang w:val="en-US"/>
              </w:rPr>
              <w:t xml:space="preserve"> </w:t>
            </w:r>
          </w:p>
          <w:p w14:paraId="30E75A16" w14:textId="77777777" w:rsidR="00FE04D4" w:rsidRPr="00537128" w:rsidRDefault="00FE04D4" w:rsidP="00FE04D4">
            <w:pPr>
              <w:tabs>
                <w:tab w:val="right" w:pos="1202"/>
              </w:tabs>
              <w:spacing w:after="0" w:line="240" w:lineRule="atLeast"/>
              <w:jc w:val="right"/>
              <w:outlineLvl w:val="0"/>
              <w:rPr>
                <w:rFonts w:ascii="Calibri" w:eastAsia="Calibri" w:hAnsi="Calibri" w:cs="Arial"/>
                <w:b/>
                <w:sz w:val="19"/>
                <w:szCs w:val="19"/>
                <w:lang w:val="en-US"/>
              </w:rPr>
            </w:pPr>
            <w:bookmarkStart w:id="635" w:name="_Toc4060520"/>
            <w:r w:rsidRPr="00537128">
              <w:rPr>
                <w:rFonts w:ascii="Calibri" w:eastAsia="Calibri" w:hAnsi="Calibri" w:cs="Arial"/>
                <w:b/>
                <w:sz w:val="19"/>
                <w:szCs w:val="19"/>
                <w:lang w:val="en-US"/>
              </w:rPr>
              <w:t>countries</w:t>
            </w:r>
            <w:bookmarkEnd w:id="635"/>
            <w:r w:rsidRPr="00537128">
              <w:rPr>
                <w:rFonts w:ascii="Calibri" w:eastAsia="Calibri" w:hAnsi="Calibri" w:cs="Arial"/>
                <w:b/>
                <w:sz w:val="19"/>
                <w:szCs w:val="19"/>
                <w:lang w:val="en-US"/>
              </w:rPr>
              <w:t xml:space="preserve"> </w:t>
            </w:r>
          </w:p>
        </w:tc>
        <w:tc>
          <w:tcPr>
            <w:tcW w:w="755" w:type="pct"/>
            <w:vAlign w:val="center"/>
          </w:tcPr>
          <w:p w14:paraId="3677D5F5" w14:textId="77777777" w:rsidR="00FE04D4" w:rsidRPr="00537128" w:rsidRDefault="00FE04D4" w:rsidP="00FE04D4">
            <w:pPr>
              <w:tabs>
                <w:tab w:val="right" w:pos="1202"/>
              </w:tabs>
              <w:spacing w:after="0" w:line="240" w:lineRule="atLeast"/>
              <w:jc w:val="right"/>
              <w:outlineLvl w:val="0"/>
              <w:rPr>
                <w:rFonts w:ascii="Calibri" w:eastAsia="Calibri" w:hAnsi="Calibri" w:cs="Arial"/>
                <w:b/>
                <w:sz w:val="19"/>
                <w:szCs w:val="19"/>
                <w:lang w:val="en-US"/>
              </w:rPr>
            </w:pPr>
            <w:bookmarkStart w:id="636" w:name="_Toc4060521"/>
            <w:r w:rsidRPr="00537128">
              <w:rPr>
                <w:rFonts w:ascii="Calibri" w:eastAsia="Calibri" w:hAnsi="Calibri" w:cs="Arial"/>
                <w:b/>
                <w:sz w:val="19"/>
                <w:szCs w:val="19"/>
                <w:lang w:val="en-US"/>
              </w:rPr>
              <w:t>Total</w:t>
            </w:r>
            <w:bookmarkEnd w:id="636"/>
          </w:p>
        </w:tc>
      </w:tr>
      <w:tr w:rsidR="00FE04D4" w:rsidRPr="00537128" w14:paraId="19958A57" w14:textId="77777777" w:rsidTr="00A1123E">
        <w:trPr>
          <w:cantSplit/>
          <w:trHeight w:hRule="exact" w:val="247"/>
          <w:tblHeader/>
        </w:trPr>
        <w:tc>
          <w:tcPr>
            <w:tcW w:w="1974" w:type="pct"/>
          </w:tcPr>
          <w:p w14:paraId="004FECDA" w14:textId="77777777" w:rsidR="00FE04D4" w:rsidRPr="00537128" w:rsidRDefault="00FE04D4" w:rsidP="00FE04D4">
            <w:pPr>
              <w:tabs>
                <w:tab w:val="right" w:pos="1202"/>
              </w:tabs>
              <w:spacing w:after="0" w:line="240" w:lineRule="atLeast"/>
              <w:outlineLvl w:val="0"/>
              <w:rPr>
                <w:rFonts w:ascii="Calibri" w:eastAsia="Calibri" w:hAnsi="Calibri" w:cs="Arial"/>
                <w:b/>
                <w:sz w:val="19"/>
                <w:szCs w:val="19"/>
                <w:lang w:val="en-US"/>
              </w:rPr>
            </w:pPr>
          </w:p>
        </w:tc>
        <w:tc>
          <w:tcPr>
            <w:tcW w:w="757" w:type="pct"/>
          </w:tcPr>
          <w:p w14:paraId="153E05B2"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37" w:name="_Toc4060522"/>
            <w:r w:rsidRPr="00537128">
              <w:rPr>
                <w:rFonts w:ascii="Calibri" w:eastAsia="Times New Roman" w:hAnsi="Calibri" w:cs="Arial"/>
                <w:b/>
                <w:sz w:val="18"/>
                <w:szCs w:val="18"/>
                <w:lang w:val="en-US"/>
              </w:rPr>
              <w:t>HRK ‘000</w:t>
            </w:r>
            <w:bookmarkEnd w:id="637"/>
          </w:p>
        </w:tc>
        <w:tc>
          <w:tcPr>
            <w:tcW w:w="757" w:type="pct"/>
          </w:tcPr>
          <w:p w14:paraId="076D2E5F"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38" w:name="_Toc4060523"/>
            <w:r w:rsidRPr="00537128">
              <w:rPr>
                <w:rFonts w:ascii="Calibri" w:eastAsia="Times New Roman" w:hAnsi="Calibri" w:cs="Arial"/>
                <w:b/>
                <w:bCs/>
                <w:sz w:val="18"/>
                <w:szCs w:val="18"/>
                <w:lang w:val="en-US"/>
              </w:rPr>
              <w:t>HRK ‘000</w:t>
            </w:r>
            <w:bookmarkEnd w:id="638"/>
          </w:p>
        </w:tc>
        <w:tc>
          <w:tcPr>
            <w:tcW w:w="757" w:type="pct"/>
          </w:tcPr>
          <w:p w14:paraId="0298B6E8" w14:textId="77777777" w:rsidR="00FE04D4" w:rsidRPr="00537128" w:rsidRDefault="00FE04D4" w:rsidP="00FE04D4">
            <w:pPr>
              <w:tabs>
                <w:tab w:val="right" w:pos="1202"/>
              </w:tabs>
              <w:spacing w:after="0" w:line="240" w:lineRule="atLeast"/>
              <w:jc w:val="right"/>
              <w:outlineLvl w:val="0"/>
              <w:rPr>
                <w:rFonts w:ascii="Calibri" w:eastAsia="Calibri" w:hAnsi="Calibri" w:cs="Arial"/>
                <w:b/>
                <w:sz w:val="19"/>
                <w:szCs w:val="19"/>
                <w:lang w:val="en-US"/>
              </w:rPr>
            </w:pPr>
            <w:bookmarkStart w:id="639" w:name="_Toc4060524"/>
            <w:r w:rsidRPr="00537128">
              <w:rPr>
                <w:rFonts w:ascii="Calibri" w:eastAsia="Times New Roman" w:hAnsi="Calibri" w:cs="Arial"/>
                <w:b/>
                <w:sz w:val="18"/>
                <w:szCs w:val="18"/>
                <w:lang w:val="en-US"/>
              </w:rPr>
              <w:t>HRK ‘000</w:t>
            </w:r>
            <w:bookmarkEnd w:id="639"/>
          </w:p>
        </w:tc>
        <w:tc>
          <w:tcPr>
            <w:tcW w:w="755" w:type="pct"/>
          </w:tcPr>
          <w:p w14:paraId="37AD9763" w14:textId="77777777" w:rsidR="00FE04D4" w:rsidRPr="00537128" w:rsidRDefault="00FE04D4" w:rsidP="00FE04D4">
            <w:pPr>
              <w:tabs>
                <w:tab w:val="right" w:pos="1202"/>
              </w:tabs>
              <w:spacing w:after="0" w:line="240" w:lineRule="atLeast"/>
              <w:jc w:val="right"/>
              <w:outlineLvl w:val="0"/>
              <w:rPr>
                <w:rFonts w:ascii="Calibri" w:eastAsia="Calibri" w:hAnsi="Calibri" w:cs="Arial"/>
                <w:b/>
                <w:sz w:val="19"/>
                <w:szCs w:val="19"/>
                <w:lang w:val="en-US"/>
              </w:rPr>
            </w:pPr>
            <w:bookmarkStart w:id="640" w:name="_Toc4060525"/>
            <w:r w:rsidRPr="00537128">
              <w:rPr>
                <w:rFonts w:ascii="Calibri" w:eastAsia="Times New Roman" w:hAnsi="Calibri" w:cs="Arial"/>
                <w:b/>
                <w:bCs/>
                <w:sz w:val="18"/>
                <w:szCs w:val="18"/>
                <w:lang w:val="en-US"/>
              </w:rPr>
              <w:t>HRK ‘000</w:t>
            </w:r>
            <w:bookmarkEnd w:id="640"/>
          </w:p>
        </w:tc>
      </w:tr>
      <w:tr w:rsidR="00FE04D4" w:rsidRPr="00537128" w14:paraId="14B51267" w14:textId="77777777" w:rsidTr="00A1123E">
        <w:trPr>
          <w:cantSplit/>
          <w:trHeight w:val="273"/>
          <w:tblHeader/>
        </w:trPr>
        <w:tc>
          <w:tcPr>
            <w:tcW w:w="1974" w:type="pct"/>
          </w:tcPr>
          <w:p w14:paraId="18E8F257" w14:textId="77777777" w:rsidR="00FE04D4" w:rsidRPr="00537128" w:rsidRDefault="00FE04D4" w:rsidP="00FE04D4">
            <w:pPr>
              <w:tabs>
                <w:tab w:val="right" w:pos="1202"/>
              </w:tabs>
              <w:spacing w:after="0" w:line="280" w:lineRule="exact"/>
              <w:outlineLvl w:val="0"/>
              <w:rPr>
                <w:rFonts w:ascii="Calibri" w:eastAsia="Calibri" w:hAnsi="Calibri" w:cs="Arial"/>
                <w:b/>
                <w:bCs/>
                <w:sz w:val="19"/>
                <w:szCs w:val="19"/>
                <w:lang w:val="en-US"/>
              </w:rPr>
            </w:pPr>
            <w:bookmarkStart w:id="641" w:name="_Toc4060526"/>
            <w:r w:rsidRPr="00537128">
              <w:rPr>
                <w:rFonts w:ascii="Calibri" w:eastAsia="Calibri" w:hAnsi="Calibri" w:cs="Arial"/>
                <w:b/>
                <w:bCs/>
                <w:sz w:val="19"/>
                <w:szCs w:val="19"/>
                <w:lang w:val="en-US"/>
              </w:rPr>
              <w:t>Assets</w:t>
            </w:r>
            <w:bookmarkEnd w:id="641"/>
          </w:p>
        </w:tc>
        <w:tc>
          <w:tcPr>
            <w:tcW w:w="757" w:type="pct"/>
          </w:tcPr>
          <w:p w14:paraId="3BA5B911" w14:textId="77777777" w:rsidR="00FE04D4" w:rsidRPr="00537128" w:rsidRDefault="00FE04D4" w:rsidP="00FE04D4">
            <w:pPr>
              <w:spacing w:after="0" w:line="280" w:lineRule="exact"/>
              <w:jc w:val="right"/>
              <w:rPr>
                <w:rFonts w:ascii="Calibri" w:eastAsia="Calibri" w:hAnsi="Calibri" w:cs="Arial"/>
                <w:sz w:val="19"/>
                <w:szCs w:val="19"/>
                <w:lang w:val="en-US"/>
              </w:rPr>
            </w:pPr>
          </w:p>
        </w:tc>
        <w:tc>
          <w:tcPr>
            <w:tcW w:w="757" w:type="pct"/>
          </w:tcPr>
          <w:p w14:paraId="5FB98343" w14:textId="77777777" w:rsidR="00FE04D4" w:rsidRPr="00537128" w:rsidRDefault="00FE04D4" w:rsidP="00FE04D4">
            <w:pPr>
              <w:spacing w:after="0" w:line="280" w:lineRule="exact"/>
              <w:jc w:val="right"/>
              <w:rPr>
                <w:rFonts w:ascii="Calibri" w:eastAsia="Calibri" w:hAnsi="Calibri" w:cs="Arial"/>
                <w:sz w:val="19"/>
                <w:szCs w:val="19"/>
                <w:lang w:val="en-US"/>
              </w:rPr>
            </w:pPr>
          </w:p>
        </w:tc>
        <w:tc>
          <w:tcPr>
            <w:tcW w:w="757" w:type="pct"/>
          </w:tcPr>
          <w:p w14:paraId="6AED831E" w14:textId="77777777" w:rsidR="00FE04D4" w:rsidRPr="00537128" w:rsidRDefault="00FE04D4" w:rsidP="00FE04D4">
            <w:pPr>
              <w:spacing w:after="0" w:line="280" w:lineRule="exact"/>
              <w:jc w:val="right"/>
              <w:rPr>
                <w:rFonts w:ascii="Calibri" w:eastAsia="Calibri" w:hAnsi="Calibri" w:cs="Arial"/>
                <w:sz w:val="19"/>
                <w:szCs w:val="19"/>
                <w:lang w:val="en-US"/>
              </w:rPr>
            </w:pPr>
          </w:p>
        </w:tc>
        <w:tc>
          <w:tcPr>
            <w:tcW w:w="755" w:type="pct"/>
          </w:tcPr>
          <w:p w14:paraId="34CC17AD" w14:textId="77777777" w:rsidR="00FE04D4" w:rsidRPr="00537128" w:rsidRDefault="00FE04D4" w:rsidP="00FE04D4">
            <w:pPr>
              <w:spacing w:after="0" w:line="280" w:lineRule="exact"/>
              <w:jc w:val="center"/>
              <w:rPr>
                <w:rFonts w:ascii="Calibri" w:eastAsia="Calibri" w:hAnsi="Calibri" w:cs="Arial"/>
                <w:sz w:val="19"/>
                <w:szCs w:val="19"/>
                <w:lang w:val="en-US"/>
              </w:rPr>
            </w:pPr>
          </w:p>
        </w:tc>
      </w:tr>
      <w:tr w:rsidR="00D97C94" w:rsidRPr="00537128" w14:paraId="211CC08D" w14:textId="77777777" w:rsidTr="00DC67B9">
        <w:trPr>
          <w:cantSplit/>
          <w:trHeight w:val="273"/>
          <w:tblHeader/>
        </w:trPr>
        <w:tc>
          <w:tcPr>
            <w:tcW w:w="1974" w:type="pct"/>
            <w:vAlign w:val="bottom"/>
          </w:tcPr>
          <w:p w14:paraId="018FC8FF" w14:textId="77777777" w:rsidR="00D97C94" w:rsidRPr="00537128" w:rsidRDefault="00D97C94" w:rsidP="00D97C94">
            <w:pPr>
              <w:tabs>
                <w:tab w:val="right" w:pos="1202"/>
              </w:tabs>
              <w:spacing w:after="0" w:line="280" w:lineRule="exact"/>
              <w:outlineLvl w:val="0"/>
              <w:rPr>
                <w:rFonts w:ascii="Calibri" w:eastAsia="Calibri" w:hAnsi="Calibri" w:cs="Times New Roman"/>
                <w:sz w:val="19"/>
                <w:szCs w:val="19"/>
                <w:lang w:val="en-US"/>
              </w:rPr>
            </w:pPr>
            <w:bookmarkStart w:id="642" w:name="_Toc4060527"/>
            <w:r w:rsidRPr="00537128">
              <w:rPr>
                <w:rFonts w:ascii="Calibri" w:eastAsia="Calibri" w:hAnsi="Calibri" w:cs="Arial"/>
                <w:sz w:val="19"/>
                <w:szCs w:val="19"/>
                <w:lang w:val="en-US"/>
              </w:rPr>
              <w:t>Cash on hand and current accounts with banks</w:t>
            </w:r>
            <w:bookmarkEnd w:id="642"/>
          </w:p>
        </w:tc>
        <w:tc>
          <w:tcPr>
            <w:tcW w:w="757" w:type="pct"/>
            <w:tcBorders>
              <w:top w:val="nil"/>
              <w:left w:val="nil"/>
              <w:bottom w:val="nil"/>
              <w:right w:val="nil"/>
            </w:tcBorders>
            <w:shd w:val="clear" w:color="auto" w:fill="auto"/>
            <w:vAlign w:val="center"/>
          </w:tcPr>
          <w:p w14:paraId="041E8E5F" w14:textId="59E5263E" w:rsidR="00D97C94" w:rsidRPr="00CA1F1A" w:rsidRDefault="00D97C94" w:rsidP="00D97C94">
            <w:pPr>
              <w:tabs>
                <w:tab w:val="right" w:pos="1202"/>
              </w:tabs>
              <w:spacing w:after="0" w:line="280" w:lineRule="exact"/>
              <w:jc w:val="right"/>
              <w:outlineLvl w:val="0"/>
              <w:rPr>
                <w:rFonts w:ascii="Calibri" w:eastAsia="Calibri" w:hAnsi="Calibri" w:cs="Times New Roman"/>
                <w:sz w:val="19"/>
                <w:szCs w:val="19"/>
                <w:lang w:val="en-US"/>
              </w:rPr>
            </w:pPr>
            <w:r w:rsidRPr="00BC56B6">
              <w:rPr>
                <w:rFonts w:ascii="Calibri" w:hAnsi="Calibri" w:cs="Calibri"/>
                <w:sz w:val="19"/>
                <w:szCs w:val="19"/>
              </w:rPr>
              <w:t>1</w:t>
            </w:r>
            <w:r w:rsidR="00596A50">
              <w:rPr>
                <w:rFonts w:ascii="Calibri" w:hAnsi="Calibri" w:cs="Calibri"/>
                <w:sz w:val="19"/>
                <w:szCs w:val="19"/>
              </w:rPr>
              <w:t>,</w:t>
            </w:r>
            <w:r w:rsidRPr="00BC56B6">
              <w:rPr>
                <w:rFonts w:ascii="Calibri" w:hAnsi="Calibri" w:cs="Calibri"/>
                <w:sz w:val="19"/>
                <w:szCs w:val="19"/>
              </w:rPr>
              <w:t>196</w:t>
            </w:r>
            <w:r w:rsidR="00596A50">
              <w:rPr>
                <w:rFonts w:ascii="Calibri" w:hAnsi="Calibri" w:cs="Calibri"/>
                <w:sz w:val="19"/>
                <w:szCs w:val="19"/>
              </w:rPr>
              <w:t>,</w:t>
            </w:r>
            <w:r w:rsidRPr="00BC56B6">
              <w:rPr>
                <w:rFonts w:ascii="Calibri" w:hAnsi="Calibri" w:cs="Calibri"/>
                <w:sz w:val="19"/>
                <w:szCs w:val="19"/>
              </w:rPr>
              <w:t>975</w:t>
            </w:r>
          </w:p>
        </w:tc>
        <w:tc>
          <w:tcPr>
            <w:tcW w:w="757" w:type="pct"/>
            <w:tcBorders>
              <w:top w:val="nil"/>
              <w:left w:val="nil"/>
              <w:bottom w:val="nil"/>
              <w:right w:val="nil"/>
            </w:tcBorders>
            <w:shd w:val="clear" w:color="auto" w:fill="auto"/>
            <w:vAlign w:val="center"/>
          </w:tcPr>
          <w:p w14:paraId="23487AAD" w14:textId="5B959BFE" w:rsidR="00D97C94" w:rsidRPr="00537128" w:rsidRDefault="00D97C94" w:rsidP="00D97C94">
            <w:pPr>
              <w:tabs>
                <w:tab w:val="right" w:pos="1202"/>
              </w:tabs>
              <w:spacing w:after="0" w:line="280" w:lineRule="exact"/>
              <w:jc w:val="right"/>
              <w:outlineLvl w:val="0"/>
              <w:rPr>
                <w:rFonts w:ascii="Calibri" w:eastAsia="Calibri" w:hAnsi="Calibri" w:cs="Times New Roman"/>
                <w:sz w:val="19"/>
                <w:szCs w:val="19"/>
                <w:lang w:val="en-US"/>
              </w:rPr>
            </w:pPr>
            <w:r w:rsidRPr="00901A96">
              <w:rPr>
                <w:rFonts w:ascii="Calibri" w:hAnsi="Calibri" w:cs="Calibri"/>
                <w:sz w:val="19"/>
                <w:szCs w:val="19"/>
              </w:rPr>
              <w:t>54</w:t>
            </w:r>
            <w:r w:rsidR="00596A50">
              <w:rPr>
                <w:rFonts w:ascii="Calibri" w:hAnsi="Calibri" w:cs="Calibri"/>
                <w:sz w:val="19"/>
                <w:szCs w:val="19"/>
              </w:rPr>
              <w:t>,</w:t>
            </w:r>
            <w:r w:rsidRPr="00901A96">
              <w:rPr>
                <w:rFonts w:ascii="Calibri" w:hAnsi="Calibri" w:cs="Calibri"/>
                <w:sz w:val="19"/>
                <w:szCs w:val="19"/>
              </w:rPr>
              <w:t>147</w:t>
            </w:r>
          </w:p>
        </w:tc>
        <w:tc>
          <w:tcPr>
            <w:tcW w:w="757" w:type="pct"/>
            <w:tcBorders>
              <w:top w:val="nil"/>
              <w:left w:val="nil"/>
              <w:bottom w:val="nil"/>
              <w:right w:val="nil"/>
            </w:tcBorders>
            <w:shd w:val="clear" w:color="auto" w:fill="auto"/>
            <w:vAlign w:val="center"/>
          </w:tcPr>
          <w:p w14:paraId="2E970B9C" w14:textId="25EFEDE5" w:rsidR="00D97C94" w:rsidRPr="00537128" w:rsidRDefault="00D97C94" w:rsidP="00D97C94">
            <w:pPr>
              <w:tabs>
                <w:tab w:val="right" w:pos="1202"/>
              </w:tabs>
              <w:spacing w:after="0" w:line="280" w:lineRule="exact"/>
              <w:jc w:val="right"/>
              <w:outlineLvl w:val="0"/>
              <w:rPr>
                <w:rFonts w:ascii="Calibri" w:eastAsia="Calibri" w:hAnsi="Calibri" w:cs="Times New Roman"/>
                <w:sz w:val="19"/>
                <w:szCs w:val="19"/>
                <w:lang w:val="en-US"/>
              </w:rPr>
            </w:pPr>
            <w:r w:rsidRPr="00901A96">
              <w:rPr>
                <w:rFonts w:ascii="Calibri" w:hAnsi="Calibri" w:cs="Calibri"/>
                <w:sz w:val="19"/>
                <w:szCs w:val="19"/>
              </w:rPr>
              <w:t>326</w:t>
            </w:r>
            <w:r w:rsidR="00596A50">
              <w:rPr>
                <w:rFonts w:ascii="Calibri" w:hAnsi="Calibri" w:cs="Calibri"/>
                <w:sz w:val="19"/>
                <w:szCs w:val="19"/>
              </w:rPr>
              <w:t>,</w:t>
            </w:r>
            <w:r w:rsidRPr="00901A96">
              <w:rPr>
                <w:rFonts w:ascii="Calibri" w:hAnsi="Calibri" w:cs="Calibri"/>
                <w:sz w:val="19"/>
                <w:szCs w:val="19"/>
              </w:rPr>
              <w:t>44</w:t>
            </w:r>
            <w:r w:rsidR="00BF6B5F">
              <w:rPr>
                <w:rFonts w:ascii="Calibri" w:hAnsi="Calibri" w:cs="Calibri"/>
                <w:sz w:val="19"/>
                <w:szCs w:val="19"/>
              </w:rPr>
              <w:t>5</w:t>
            </w:r>
          </w:p>
        </w:tc>
        <w:tc>
          <w:tcPr>
            <w:tcW w:w="755" w:type="pct"/>
            <w:tcBorders>
              <w:top w:val="nil"/>
              <w:left w:val="nil"/>
              <w:bottom w:val="nil"/>
              <w:right w:val="nil"/>
            </w:tcBorders>
            <w:shd w:val="clear" w:color="auto" w:fill="auto"/>
            <w:vAlign w:val="center"/>
          </w:tcPr>
          <w:p w14:paraId="73A5222B" w14:textId="34FBF17C" w:rsidR="00D97C94" w:rsidRPr="00537128" w:rsidRDefault="00D97C94" w:rsidP="00D97C94">
            <w:pPr>
              <w:tabs>
                <w:tab w:val="right" w:pos="1202"/>
              </w:tabs>
              <w:spacing w:after="0" w:line="280" w:lineRule="exact"/>
              <w:jc w:val="right"/>
              <w:outlineLvl w:val="0"/>
              <w:rPr>
                <w:rFonts w:ascii="Calibri" w:eastAsia="Calibri" w:hAnsi="Calibri" w:cs="Times New Roman"/>
                <w:sz w:val="19"/>
                <w:szCs w:val="19"/>
                <w:lang w:val="en-US"/>
              </w:rPr>
            </w:pPr>
            <w:r w:rsidRPr="00901A96">
              <w:rPr>
                <w:rFonts w:ascii="Calibri" w:hAnsi="Calibri" w:cs="Calibri"/>
                <w:sz w:val="19"/>
                <w:szCs w:val="19"/>
              </w:rPr>
              <w:t>1</w:t>
            </w:r>
            <w:r w:rsidR="00596A50">
              <w:rPr>
                <w:rFonts w:ascii="Calibri" w:hAnsi="Calibri" w:cs="Calibri"/>
                <w:sz w:val="19"/>
                <w:szCs w:val="19"/>
              </w:rPr>
              <w:t>,</w:t>
            </w:r>
            <w:r w:rsidRPr="00901A96">
              <w:rPr>
                <w:rFonts w:ascii="Calibri" w:hAnsi="Calibri" w:cs="Calibri"/>
                <w:sz w:val="19"/>
                <w:szCs w:val="19"/>
              </w:rPr>
              <w:t>577</w:t>
            </w:r>
            <w:r w:rsidR="00596A50">
              <w:rPr>
                <w:rFonts w:ascii="Calibri" w:hAnsi="Calibri" w:cs="Calibri"/>
                <w:sz w:val="19"/>
                <w:szCs w:val="19"/>
              </w:rPr>
              <w:t>,</w:t>
            </w:r>
            <w:r w:rsidRPr="00901A96">
              <w:rPr>
                <w:rFonts w:ascii="Calibri" w:hAnsi="Calibri" w:cs="Calibri"/>
                <w:sz w:val="19"/>
                <w:szCs w:val="19"/>
              </w:rPr>
              <w:t>56</w:t>
            </w:r>
            <w:r w:rsidR="00BF6B5F">
              <w:rPr>
                <w:rFonts w:ascii="Calibri" w:hAnsi="Calibri" w:cs="Calibri"/>
                <w:sz w:val="19"/>
                <w:szCs w:val="19"/>
              </w:rPr>
              <w:t>7</w:t>
            </w:r>
          </w:p>
        </w:tc>
      </w:tr>
      <w:tr w:rsidR="00D97C94" w:rsidRPr="00537128" w14:paraId="550A36DB" w14:textId="77777777" w:rsidTr="00DC67B9">
        <w:trPr>
          <w:cantSplit/>
          <w:trHeight w:val="273"/>
          <w:tblHeader/>
        </w:trPr>
        <w:tc>
          <w:tcPr>
            <w:tcW w:w="1974" w:type="pct"/>
            <w:vAlign w:val="bottom"/>
          </w:tcPr>
          <w:p w14:paraId="671392E6" w14:textId="77777777" w:rsidR="00D97C94" w:rsidRPr="00537128" w:rsidRDefault="00D97C94" w:rsidP="00D97C94">
            <w:pPr>
              <w:tabs>
                <w:tab w:val="right" w:pos="1202"/>
              </w:tabs>
              <w:spacing w:after="0" w:line="280" w:lineRule="exact"/>
              <w:outlineLvl w:val="0"/>
              <w:rPr>
                <w:rFonts w:ascii="Calibri" w:eastAsia="Calibri" w:hAnsi="Calibri" w:cs="Times New Roman"/>
                <w:sz w:val="19"/>
                <w:szCs w:val="19"/>
                <w:lang w:val="en-US"/>
              </w:rPr>
            </w:pPr>
            <w:bookmarkStart w:id="643" w:name="_Toc4060531"/>
            <w:r w:rsidRPr="00537128">
              <w:rPr>
                <w:rFonts w:ascii="Calibri" w:eastAsia="Calibri" w:hAnsi="Calibri" w:cs="Arial"/>
                <w:sz w:val="19"/>
                <w:szCs w:val="19"/>
                <w:lang w:val="en-US"/>
              </w:rPr>
              <w:t>Deposits with other banks</w:t>
            </w:r>
            <w:bookmarkEnd w:id="643"/>
          </w:p>
        </w:tc>
        <w:tc>
          <w:tcPr>
            <w:tcW w:w="757" w:type="pct"/>
            <w:tcBorders>
              <w:top w:val="nil"/>
              <w:left w:val="nil"/>
              <w:bottom w:val="nil"/>
              <w:right w:val="nil"/>
            </w:tcBorders>
            <w:shd w:val="clear" w:color="auto" w:fill="auto"/>
            <w:vAlign w:val="center"/>
          </w:tcPr>
          <w:p w14:paraId="74F76BCD" w14:textId="752A9C9F" w:rsidR="00D97C94" w:rsidRPr="00537128" w:rsidRDefault="00D97C94" w:rsidP="00D97C94">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w:t>
            </w:r>
          </w:p>
        </w:tc>
        <w:tc>
          <w:tcPr>
            <w:tcW w:w="757" w:type="pct"/>
            <w:tcBorders>
              <w:top w:val="nil"/>
              <w:left w:val="nil"/>
              <w:bottom w:val="nil"/>
              <w:right w:val="nil"/>
            </w:tcBorders>
            <w:shd w:val="clear" w:color="auto" w:fill="auto"/>
            <w:vAlign w:val="center"/>
          </w:tcPr>
          <w:p w14:paraId="52EF870A" w14:textId="75B956C3" w:rsidR="00D97C94" w:rsidRPr="00537128" w:rsidRDefault="00D97C94" w:rsidP="00D97C94">
            <w:pPr>
              <w:tabs>
                <w:tab w:val="right" w:pos="1202"/>
              </w:tabs>
              <w:spacing w:after="0" w:line="280" w:lineRule="exact"/>
              <w:jc w:val="right"/>
              <w:outlineLvl w:val="0"/>
              <w:rPr>
                <w:rFonts w:ascii="Calibri" w:eastAsia="Calibri" w:hAnsi="Calibri" w:cs="Times New Roman"/>
                <w:sz w:val="19"/>
                <w:szCs w:val="19"/>
                <w:lang w:val="en-US"/>
              </w:rPr>
            </w:pPr>
            <w:r w:rsidRPr="00901A96">
              <w:rPr>
                <w:rFonts w:ascii="Calibri" w:hAnsi="Calibri" w:cs="Calibri"/>
                <w:sz w:val="19"/>
                <w:szCs w:val="19"/>
              </w:rPr>
              <w:t>15</w:t>
            </w:r>
            <w:r w:rsidR="00596A50">
              <w:rPr>
                <w:rFonts w:ascii="Calibri" w:hAnsi="Calibri" w:cs="Calibri"/>
                <w:sz w:val="19"/>
                <w:szCs w:val="19"/>
              </w:rPr>
              <w:t>,</w:t>
            </w:r>
            <w:r w:rsidRPr="00901A96">
              <w:rPr>
                <w:rFonts w:ascii="Calibri" w:hAnsi="Calibri" w:cs="Calibri"/>
                <w:sz w:val="19"/>
                <w:szCs w:val="19"/>
              </w:rPr>
              <w:t>215</w:t>
            </w:r>
          </w:p>
        </w:tc>
        <w:tc>
          <w:tcPr>
            <w:tcW w:w="757" w:type="pct"/>
            <w:tcBorders>
              <w:top w:val="nil"/>
              <w:left w:val="nil"/>
              <w:bottom w:val="nil"/>
              <w:right w:val="nil"/>
            </w:tcBorders>
            <w:shd w:val="clear" w:color="auto" w:fill="auto"/>
            <w:vAlign w:val="center"/>
          </w:tcPr>
          <w:p w14:paraId="4A1C764E" w14:textId="46FDB30C" w:rsidR="00D97C94" w:rsidRPr="00537128" w:rsidRDefault="00D97C94" w:rsidP="00D97C94">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w:t>
            </w:r>
          </w:p>
        </w:tc>
        <w:tc>
          <w:tcPr>
            <w:tcW w:w="755" w:type="pct"/>
            <w:tcBorders>
              <w:top w:val="nil"/>
              <w:left w:val="nil"/>
              <w:bottom w:val="nil"/>
              <w:right w:val="nil"/>
            </w:tcBorders>
            <w:shd w:val="clear" w:color="auto" w:fill="auto"/>
            <w:vAlign w:val="center"/>
          </w:tcPr>
          <w:p w14:paraId="40F368D9" w14:textId="290647F4" w:rsidR="00D97C94" w:rsidRPr="00537128" w:rsidRDefault="00D97C94" w:rsidP="00D97C94">
            <w:pPr>
              <w:tabs>
                <w:tab w:val="right" w:pos="1202"/>
              </w:tabs>
              <w:spacing w:after="0" w:line="280" w:lineRule="exact"/>
              <w:jc w:val="right"/>
              <w:outlineLvl w:val="0"/>
              <w:rPr>
                <w:rFonts w:ascii="Calibri" w:eastAsia="Calibri" w:hAnsi="Calibri" w:cs="Times New Roman"/>
                <w:sz w:val="19"/>
                <w:szCs w:val="19"/>
                <w:lang w:val="en-US"/>
              </w:rPr>
            </w:pPr>
            <w:r w:rsidRPr="00901A96">
              <w:rPr>
                <w:rFonts w:ascii="Calibri" w:hAnsi="Calibri" w:cs="Calibri"/>
                <w:sz w:val="19"/>
                <w:szCs w:val="19"/>
              </w:rPr>
              <w:t>15</w:t>
            </w:r>
            <w:r w:rsidR="00596A50">
              <w:rPr>
                <w:rFonts w:ascii="Calibri" w:hAnsi="Calibri" w:cs="Calibri"/>
                <w:sz w:val="19"/>
                <w:szCs w:val="19"/>
              </w:rPr>
              <w:t>,</w:t>
            </w:r>
            <w:r w:rsidRPr="00901A96">
              <w:rPr>
                <w:rFonts w:ascii="Calibri" w:hAnsi="Calibri" w:cs="Calibri"/>
                <w:sz w:val="19"/>
                <w:szCs w:val="19"/>
              </w:rPr>
              <w:t>215</w:t>
            </w:r>
          </w:p>
        </w:tc>
      </w:tr>
      <w:tr w:rsidR="00D97C94" w:rsidRPr="00537128" w14:paraId="3A1AB068" w14:textId="77777777" w:rsidTr="00DC67B9">
        <w:trPr>
          <w:cantSplit/>
          <w:trHeight w:val="273"/>
          <w:tblHeader/>
        </w:trPr>
        <w:tc>
          <w:tcPr>
            <w:tcW w:w="1974" w:type="pct"/>
            <w:vAlign w:val="bottom"/>
          </w:tcPr>
          <w:p w14:paraId="03E74A3A" w14:textId="77777777" w:rsidR="00D97C94" w:rsidRPr="00537128" w:rsidRDefault="00D97C94" w:rsidP="00D97C94">
            <w:pPr>
              <w:tabs>
                <w:tab w:val="right" w:pos="1202"/>
              </w:tabs>
              <w:spacing w:after="0" w:line="280" w:lineRule="exact"/>
              <w:outlineLvl w:val="0"/>
              <w:rPr>
                <w:rFonts w:ascii="Calibri" w:eastAsia="Calibri" w:hAnsi="Calibri" w:cs="Times New Roman"/>
                <w:sz w:val="19"/>
                <w:szCs w:val="19"/>
                <w:lang w:val="en-US"/>
              </w:rPr>
            </w:pPr>
            <w:bookmarkStart w:id="644" w:name="_Toc4060536"/>
            <w:r w:rsidRPr="00537128">
              <w:rPr>
                <w:rFonts w:ascii="Calibri" w:eastAsia="Calibri" w:hAnsi="Calibri" w:cs="Arial"/>
                <w:sz w:val="19"/>
                <w:szCs w:val="19"/>
                <w:lang w:val="en-US"/>
              </w:rPr>
              <w:t>Loans to financial institutions</w:t>
            </w:r>
            <w:bookmarkEnd w:id="644"/>
          </w:p>
        </w:tc>
        <w:tc>
          <w:tcPr>
            <w:tcW w:w="757" w:type="pct"/>
            <w:tcBorders>
              <w:top w:val="nil"/>
              <w:left w:val="nil"/>
              <w:bottom w:val="nil"/>
              <w:right w:val="nil"/>
            </w:tcBorders>
            <w:shd w:val="clear" w:color="auto" w:fill="auto"/>
            <w:vAlign w:val="center"/>
          </w:tcPr>
          <w:p w14:paraId="5B173E4D" w14:textId="7DEB18C5" w:rsidR="00D97C94" w:rsidRPr="00537128" w:rsidRDefault="00D97C94" w:rsidP="00D97C94">
            <w:pPr>
              <w:tabs>
                <w:tab w:val="right" w:pos="1202"/>
              </w:tabs>
              <w:spacing w:after="0" w:line="280" w:lineRule="exact"/>
              <w:jc w:val="right"/>
              <w:outlineLvl w:val="0"/>
              <w:rPr>
                <w:rFonts w:ascii="Calibri" w:eastAsia="Calibri" w:hAnsi="Calibri" w:cs="Times New Roman"/>
                <w:sz w:val="19"/>
                <w:szCs w:val="19"/>
                <w:lang w:val="en-US"/>
              </w:rPr>
            </w:pPr>
            <w:r w:rsidRPr="00BC56B6">
              <w:rPr>
                <w:rFonts w:ascii="Calibri" w:hAnsi="Calibri" w:cs="Calibri"/>
                <w:sz w:val="19"/>
                <w:szCs w:val="19"/>
              </w:rPr>
              <w:t>6</w:t>
            </w:r>
            <w:r w:rsidR="00596A50">
              <w:rPr>
                <w:rFonts w:ascii="Calibri" w:hAnsi="Calibri" w:cs="Calibri"/>
                <w:sz w:val="19"/>
                <w:szCs w:val="19"/>
              </w:rPr>
              <w:t>,</w:t>
            </w:r>
            <w:r w:rsidRPr="00BC56B6">
              <w:rPr>
                <w:rFonts w:ascii="Calibri" w:hAnsi="Calibri" w:cs="Calibri"/>
                <w:sz w:val="19"/>
                <w:szCs w:val="19"/>
              </w:rPr>
              <w:t>941</w:t>
            </w:r>
            <w:r w:rsidR="00596A50">
              <w:rPr>
                <w:rFonts w:ascii="Calibri" w:hAnsi="Calibri" w:cs="Calibri"/>
                <w:sz w:val="19"/>
                <w:szCs w:val="19"/>
              </w:rPr>
              <w:t>,</w:t>
            </w:r>
            <w:r w:rsidRPr="00BC56B6">
              <w:rPr>
                <w:rFonts w:ascii="Calibri" w:hAnsi="Calibri" w:cs="Calibri"/>
                <w:sz w:val="19"/>
                <w:szCs w:val="19"/>
              </w:rPr>
              <w:t>960</w:t>
            </w:r>
          </w:p>
        </w:tc>
        <w:tc>
          <w:tcPr>
            <w:tcW w:w="757" w:type="pct"/>
            <w:tcBorders>
              <w:top w:val="nil"/>
              <w:left w:val="nil"/>
              <w:bottom w:val="nil"/>
              <w:right w:val="nil"/>
            </w:tcBorders>
            <w:shd w:val="clear" w:color="auto" w:fill="auto"/>
            <w:vAlign w:val="center"/>
          </w:tcPr>
          <w:p w14:paraId="25BE08C2" w14:textId="100637F2" w:rsidR="00D97C94" w:rsidRPr="00537128" w:rsidRDefault="00D97C94" w:rsidP="00D97C94">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w:t>
            </w:r>
          </w:p>
        </w:tc>
        <w:tc>
          <w:tcPr>
            <w:tcW w:w="757" w:type="pct"/>
            <w:tcBorders>
              <w:top w:val="nil"/>
              <w:left w:val="nil"/>
              <w:bottom w:val="nil"/>
              <w:right w:val="nil"/>
            </w:tcBorders>
            <w:shd w:val="clear" w:color="auto" w:fill="auto"/>
            <w:vAlign w:val="center"/>
          </w:tcPr>
          <w:p w14:paraId="0662CCD4" w14:textId="599CF250" w:rsidR="00D97C94" w:rsidRPr="00537128" w:rsidRDefault="00D97C94" w:rsidP="00D97C94">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w:t>
            </w:r>
          </w:p>
        </w:tc>
        <w:tc>
          <w:tcPr>
            <w:tcW w:w="755" w:type="pct"/>
            <w:tcBorders>
              <w:top w:val="nil"/>
              <w:left w:val="nil"/>
              <w:bottom w:val="nil"/>
              <w:right w:val="nil"/>
            </w:tcBorders>
            <w:shd w:val="clear" w:color="auto" w:fill="auto"/>
            <w:vAlign w:val="center"/>
          </w:tcPr>
          <w:p w14:paraId="17588608" w14:textId="4E3491AD" w:rsidR="00D97C94" w:rsidRPr="00537128" w:rsidRDefault="00D97C94" w:rsidP="00D97C94">
            <w:pPr>
              <w:tabs>
                <w:tab w:val="right" w:pos="1202"/>
              </w:tabs>
              <w:spacing w:after="0" w:line="280" w:lineRule="exact"/>
              <w:jc w:val="right"/>
              <w:outlineLvl w:val="0"/>
              <w:rPr>
                <w:rFonts w:ascii="Calibri" w:eastAsia="Calibri" w:hAnsi="Calibri" w:cs="Times New Roman"/>
                <w:sz w:val="19"/>
                <w:szCs w:val="19"/>
                <w:lang w:val="en-US"/>
              </w:rPr>
            </w:pPr>
            <w:r w:rsidRPr="00901A96">
              <w:rPr>
                <w:rFonts w:ascii="Calibri" w:hAnsi="Calibri" w:cs="Calibri"/>
                <w:sz w:val="19"/>
                <w:szCs w:val="19"/>
              </w:rPr>
              <w:t>6</w:t>
            </w:r>
            <w:r w:rsidR="00596A50">
              <w:rPr>
                <w:rFonts w:ascii="Calibri" w:hAnsi="Calibri" w:cs="Calibri"/>
                <w:sz w:val="19"/>
                <w:szCs w:val="19"/>
              </w:rPr>
              <w:t>,</w:t>
            </w:r>
            <w:r w:rsidRPr="00901A96">
              <w:rPr>
                <w:rFonts w:ascii="Calibri" w:hAnsi="Calibri" w:cs="Calibri"/>
                <w:sz w:val="19"/>
                <w:szCs w:val="19"/>
              </w:rPr>
              <w:t>941</w:t>
            </w:r>
            <w:r w:rsidR="00596A50">
              <w:rPr>
                <w:rFonts w:ascii="Calibri" w:hAnsi="Calibri" w:cs="Calibri"/>
                <w:sz w:val="19"/>
                <w:szCs w:val="19"/>
              </w:rPr>
              <w:t>,</w:t>
            </w:r>
            <w:r w:rsidRPr="00901A96">
              <w:rPr>
                <w:rFonts w:ascii="Calibri" w:hAnsi="Calibri" w:cs="Calibri"/>
                <w:sz w:val="19"/>
                <w:szCs w:val="19"/>
              </w:rPr>
              <w:t>960</w:t>
            </w:r>
          </w:p>
        </w:tc>
      </w:tr>
      <w:tr w:rsidR="00D97C94" w:rsidRPr="00537128" w14:paraId="7038BF73" w14:textId="77777777" w:rsidTr="00DC67B9">
        <w:trPr>
          <w:cantSplit/>
          <w:trHeight w:val="273"/>
          <w:tblHeader/>
        </w:trPr>
        <w:tc>
          <w:tcPr>
            <w:tcW w:w="1974" w:type="pct"/>
            <w:vAlign w:val="bottom"/>
          </w:tcPr>
          <w:p w14:paraId="2CEE54E8" w14:textId="77777777" w:rsidR="00D97C94" w:rsidRPr="00537128" w:rsidRDefault="00D97C94" w:rsidP="00D97C94">
            <w:pPr>
              <w:tabs>
                <w:tab w:val="right" w:pos="1202"/>
              </w:tabs>
              <w:spacing w:after="0" w:line="280" w:lineRule="exact"/>
              <w:outlineLvl w:val="0"/>
              <w:rPr>
                <w:rFonts w:ascii="Calibri" w:eastAsia="Calibri" w:hAnsi="Calibri" w:cs="Times New Roman"/>
                <w:sz w:val="19"/>
                <w:szCs w:val="19"/>
                <w:lang w:val="en-US"/>
              </w:rPr>
            </w:pPr>
            <w:bookmarkStart w:id="645" w:name="_Toc4060541"/>
            <w:r w:rsidRPr="00537128">
              <w:rPr>
                <w:rFonts w:ascii="Calibri" w:eastAsia="Calibri" w:hAnsi="Calibri" w:cs="Arial"/>
                <w:sz w:val="19"/>
                <w:szCs w:val="19"/>
                <w:lang w:val="en-US"/>
              </w:rPr>
              <w:t>Loans to other customers</w:t>
            </w:r>
            <w:bookmarkEnd w:id="645"/>
          </w:p>
        </w:tc>
        <w:tc>
          <w:tcPr>
            <w:tcW w:w="757" w:type="pct"/>
            <w:tcBorders>
              <w:top w:val="nil"/>
              <w:left w:val="nil"/>
              <w:bottom w:val="nil"/>
              <w:right w:val="nil"/>
            </w:tcBorders>
            <w:shd w:val="clear" w:color="auto" w:fill="auto"/>
            <w:vAlign w:val="center"/>
          </w:tcPr>
          <w:p w14:paraId="4E3C1AED" w14:textId="24B1AC2D" w:rsidR="00D97C94" w:rsidRPr="00537128" w:rsidRDefault="00D97C94" w:rsidP="00D97C94">
            <w:pPr>
              <w:tabs>
                <w:tab w:val="right" w:pos="1202"/>
              </w:tabs>
              <w:spacing w:after="0" w:line="280" w:lineRule="exact"/>
              <w:jc w:val="right"/>
              <w:outlineLvl w:val="0"/>
              <w:rPr>
                <w:rFonts w:ascii="Calibri" w:eastAsia="Calibri" w:hAnsi="Calibri" w:cs="Times New Roman"/>
                <w:sz w:val="19"/>
                <w:szCs w:val="19"/>
                <w:lang w:val="en-US"/>
              </w:rPr>
            </w:pPr>
            <w:r w:rsidRPr="00BC56B6">
              <w:rPr>
                <w:rFonts w:ascii="Calibri" w:hAnsi="Calibri" w:cs="Calibri"/>
                <w:sz w:val="19"/>
                <w:szCs w:val="19"/>
              </w:rPr>
              <w:t>15</w:t>
            </w:r>
            <w:r w:rsidR="00596A50">
              <w:rPr>
                <w:rFonts w:ascii="Calibri" w:hAnsi="Calibri" w:cs="Calibri"/>
                <w:sz w:val="19"/>
                <w:szCs w:val="19"/>
              </w:rPr>
              <w:t>,</w:t>
            </w:r>
            <w:r w:rsidRPr="00BC56B6">
              <w:rPr>
                <w:rFonts w:ascii="Calibri" w:hAnsi="Calibri" w:cs="Calibri"/>
                <w:sz w:val="19"/>
                <w:szCs w:val="19"/>
              </w:rPr>
              <w:t>624</w:t>
            </w:r>
            <w:r w:rsidR="00596A50">
              <w:rPr>
                <w:rFonts w:ascii="Calibri" w:hAnsi="Calibri" w:cs="Calibri"/>
                <w:sz w:val="19"/>
                <w:szCs w:val="19"/>
              </w:rPr>
              <w:t>,</w:t>
            </w:r>
            <w:r w:rsidRPr="00BC56B6">
              <w:rPr>
                <w:rFonts w:ascii="Calibri" w:hAnsi="Calibri" w:cs="Calibri"/>
                <w:sz w:val="19"/>
                <w:szCs w:val="19"/>
              </w:rPr>
              <w:t>161</w:t>
            </w:r>
          </w:p>
        </w:tc>
        <w:tc>
          <w:tcPr>
            <w:tcW w:w="757" w:type="pct"/>
            <w:tcBorders>
              <w:top w:val="nil"/>
              <w:left w:val="nil"/>
              <w:bottom w:val="nil"/>
              <w:right w:val="nil"/>
            </w:tcBorders>
            <w:shd w:val="clear" w:color="auto" w:fill="auto"/>
            <w:vAlign w:val="center"/>
          </w:tcPr>
          <w:p w14:paraId="72E1DD59" w14:textId="28BBC75A" w:rsidR="00D97C94" w:rsidRPr="00537128" w:rsidRDefault="00D97C94" w:rsidP="00D97C94">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w:t>
            </w:r>
          </w:p>
        </w:tc>
        <w:tc>
          <w:tcPr>
            <w:tcW w:w="757" w:type="pct"/>
            <w:tcBorders>
              <w:top w:val="nil"/>
              <w:left w:val="nil"/>
              <w:bottom w:val="nil"/>
              <w:right w:val="nil"/>
            </w:tcBorders>
            <w:shd w:val="clear" w:color="auto" w:fill="auto"/>
            <w:vAlign w:val="center"/>
          </w:tcPr>
          <w:p w14:paraId="5DF584B5" w14:textId="2907A991" w:rsidR="00D97C94" w:rsidRPr="00537128" w:rsidRDefault="00D97C94" w:rsidP="00D97C94">
            <w:pPr>
              <w:tabs>
                <w:tab w:val="right" w:pos="1202"/>
              </w:tabs>
              <w:spacing w:after="0" w:line="280" w:lineRule="exact"/>
              <w:jc w:val="right"/>
              <w:outlineLvl w:val="0"/>
              <w:rPr>
                <w:rFonts w:ascii="Calibri" w:eastAsia="Calibri" w:hAnsi="Calibri" w:cs="Times New Roman"/>
                <w:sz w:val="19"/>
                <w:szCs w:val="19"/>
                <w:lang w:val="en-US"/>
              </w:rPr>
            </w:pPr>
            <w:r w:rsidRPr="00901A96">
              <w:rPr>
                <w:rFonts w:ascii="Calibri" w:hAnsi="Calibri" w:cs="Calibri"/>
                <w:sz w:val="19"/>
                <w:szCs w:val="19"/>
              </w:rPr>
              <w:t>102</w:t>
            </w:r>
            <w:r w:rsidR="00596A50">
              <w:rPr>
                <w:rFonts w:ascii="Calibri" w:hAnsi="Calibri" w:cs="Calibri"/>
                <w:sz w:val="19"/>
                <w:szCs w:val="19"/>
              </w:rPr>
              <w:t>,</w:t>
            </w:r>
            <w:r w:rsidRPr="00901A96">
              <w:rPr>
                <w:rFonts w:ascii="Calibri" w:hAnsi="Calibri" w:cs="Calibri"/>
                <w:sz w:val="19"/>
                <w:szCs w:val="19"/>
              </w:rPr>
              <w:t>272</w:t>
            </w:r>
          </w:p>
        </w:tc>
        <w:tc>
          <w:tcPr>
            <w:tcW w:w="755" w:type="pct"/>
            <w:tcBorders>
              <w:top w:val="nil"/>
              <w:left w:val="nil"/>
              <w:bottom w:val="nil"/>
              <w:right w:val="nil"/>
            </w:tcBorders>
            <w:shd w:val="clear" w:color="auto" w:fill="auto"/>
            <w:vAlign w:val="center"/>
          </w:tcPr>
          <w:p w14:paraId="2EF10AD1" w14:textId="6065EE38" w:rsidR="00D97C94" w:rsidRPr="00537128" w:rsidRDefault="00D97C94" w:rsidP="00D97C94">
            <w:pPr>
              <w:tabs>
                <w:tab w:val="right" w:pos="1202"/>
              </w:tabs>
              <w:spacing w:after="0" w:line="280" w:lineRule="exact"/>
              <w:jc w:val="right"/>
              <w:outlineLvl w:val="0"/>
              <w:rPr>
                <w:rFonts w:ascii="Calibri" w:eastAsia="Calibri" w:hAnsi="Calibri" w:cs="Times New Roman"/>
                <w:sz w:val="19"/>
                <w:szCs w:val="19"/>
                <w:lang w:val="en-US"/>
              </w:rPr>
            </w:pPr>
            <w:r w:rsidRPr="00901A96">
              <w:rPr>
                <w:rFonts w:ascii="Calibri" w:hAnsi="Calibri" w:cs="Calibri"/>
                <w:sz w:val="19"/>
                <w:szCs w:val="19"/>
              </w:rPr>
              <w:t>15</w:t>
            </w:r>
            <w:r w:rsidR="00596A50">
              <w:rPr>
                <w:rFonts w:ascii="Calibri" w:hAnsi="Calibri" w:cs="Calibri"/>
                <w:sz w:val="19"/>
                <w:szCs w:val="19"/>
              </w:rPr>
              <w:t>,</w:t>
            </w:r>
            <w:r w:rsidRPr="00901A96">
              <w:rPr>
                <w:rFonts w:ascii="Calibri" w:hAnsi="Calibri" w:cs="Calibri"/>
                <w:sz w:val="19"/>
                <w:szCs w:val="19"/>
              </w:rPr>
              <w:t>726</w:t>
            </w:r>
            <w:r w:rsidR="00596A50">
              <w:rPr>
                <w:rFonts w:ascii="Calibri" w:hAnsi="Calibri" w:cs="Calibri"/>
                <w:sz w:val="19"/>
                <w:szCs w:val="19"/>
              </w:rPr>
              <w:t>,</w:t>
            </w:r>
            <w:r w:rsidRPr="00901A96">
              <w:rPr>
                <w:rFonts w:ascii="Calibri" w:hAnsi="Calibri" w:cs="Calibri"/>
                <w:sz w:val="19"/>
                <w:szCs w:val="19"/>
              </w:rPr>
              <w:t>433</w:t>
            </w:r>
          </w:p>
        </w:tc>
      </w:tr>
      <w:tr w:rsidR="00D97C94" w:rsidRPr="00537128" w14:paraId="6E14AE08" w14:textId="77777777" w:rsidTr="00DC67B9">
        <w:trPr>
          <w:cantSplit/>
          <w:trHeight w:val="273"/>
          <w:tblHeader/>
        </w:trPr>
        <w:tc>
          <w:tcPr>
            <w:tcW w:w="1974" w:type="pct"/>
          </w:tcPr>
          <w:p w14:paraId="4C15A293" w14:textId="77777777" w:rsidR="00D97C94" w:rsidRPr="00537128" w:rsidRDefault="00D97C94" w:rsidP="00D97C94">
            <w:pPr>
              <w:tabs>
                <w:tab w:val="right" w:pos="1202"/>
              </w:tabs>
              <w:spacing w:after="0" w:line="280" w:lineRule="exact"/>
              <w:outlineLvl w:val="0"/>
              <w:rPr>
                <w:rFonts w:ascii="Calibri" w:eastAsia="Calibri" w:hAnsi="Calibri" w:cs="Arial"/>
                <w:sz w:val="19"/>
                <w:szCs w:val="19"/>
                <w:lang w:val="en-US"/>
              </w:rPr>
            </w:pPr>
            <w:bookmarkStart w:id="646" w:name="_Toc4060546"/>
            <w:r w:rsidRPr="00537128">
              <w:rPr>
                <w:rFonts w:ascii="Calibri" w:eastAsia="Calibri" w:hAnsi="Calibri" w:cs="Arial"/>
                <w:sz w:val="19"/>
                <w:szCs w:val="19"/>
                <w:lang w:val="en-US"/>
              </w:rPr>
              <w:t>Financial assets at fair value through profit or loss</w:t>
            </w:r>
            <w:bookmarkEnd w:id="646"/>
          </w:p>
        </w:tc>
        <w:tc>
          <w:tcPr>
            <w:tcW w:w="757" w:type="pct"/>
            <w:tcBorders>
              <w:top w:val="nil"/>
              <w:left w:val="nil"/>
              <w:bottom w:val="nil"/>
              <w:right w:val="nil"/>
            </w:tcBorders>
            <w:shd w:val="clear" w:color="auto" w:fill="auto"/>
            <w:vAlign w:val="center"/>
          </w:tcPr>
          <w:p w14:paraId="750ACEB8" w14:textId="1D35CFCF" w:rsidR="00D97C94" w:rsidRPr="00537128" w:rsidRDefault="00D97C94" w:rsidP="00D97C94">
            <w:pPr>
              <w:tabs>
                <w:tab w:val="right" w:pos="1202"/>
              </w:tabs>
              <w:spacing w:after="0" w:line="280" w:lineRule="exact"/>
              <w:jc w:val="right"/>
              <w:outlineLvl w:val="0"/>
              <w:rPr>
                <w:rFonts w:ascii="Calibri" w:eastAsia="Calibri" w:hAnsi="Calibri" w:cs="Times New Roman"/>
                <w:sz w:val="19"/>
                <w:szCs w:val="19"/>
                <w:lang w:val="en-US"/>
              </w:rPr>
            </w:pPr>
            <w:r w:rsidRPr="00BC56B6">
              <w:rPr>
                <w:rFonts w:ascii="Calibri" w:hAnsi="Calibri" w:cs="Calibri"/>
                <w:sz w:val="19"/>
                <w:szCs w:val="19"/>
              </w:rPr>
              <w:t>25</w:t>
            </w:r>
            <w:r w:rsidR="00596A50">
              <w:rPr>
                <w:rFonts w:ascii="Calibri" w:hAnsi="Calibri" w:cs="Calibri"/>
                <w:sz w:val="19"/>
                <w:szCs w:val="19"/>
              </w:rPr>
              <w:t>,</w:t>
            </w:r>
            <w:r w:rsidRPr="00BC56B6">
              <w:rPr>
                <w:rFonts w:ascii="Calibri" w:hAnsi="Calibri" w:cs="Calibri"/>
                <w:sz w:val="19"/>
                <w:szCs w:val="19"/>
              </w:rPr>
              <w:t>652</w:t>
            </w:r>
          </w:p>
        </w:tc>
        <w:tc>
          <w:tcPr>
            <w:tcW w:w="757" w:type="pct"/>
            <w:tcBorders>
              <w:top w:val="nil"/>
              <w:left w:val="nil"/>
              <w:bottom w:val="nil"/>
              <w:right w:val="nil"/>
            </w:tcBorders>
            <w:shd w:val="clear" w:color="auto" w:fill="auto"/>
            <w:vAlign w:val="center"/>
          </w:tcPr>
          <w:p w14:paraId="3AA96992" w14:textId="10D98EF7" w:rsidR="00D97C94" w:rsidRPr="00537128" w:rsidRDefault="00D97C94" w:rsidP="00D97C94">
            <w:pPr>
              <w:tabs>
                <w:tab w:val="right" w:pos="1202"/>
              </w:tabs>
              <w:spacing w:after="0" w:line="280" w:lineRule="exact"/>
              <w:jc w:val="right"/>
              <w:outlineLvl w:val="0"/>
              <w:rPr>
                <w:rFonts w:ascii="Calibri" w:eastAsia="Calibri" w:hAnsi="Calibri" w:cs="Times New Roman"/>
                <w:sz w:val="19"/>
                <w:szCs w:val="19"/>
                <w:lang w:val="en-US"/>
              </w:rPr>
            </w:pPr>
            <w:r w:rsidRPr="00901A96">
              <w:rPr>
                <w:rFonts w:ascii="Calibri" w:hAnsi="Calibri" w:cs="Calibri"/>
                <w:sz w:val="19"/>
                <w:szCs w:val="19"/>
              </w:rPr>
              <w:t>-</w:t>
            </w:r>
          </w:p>
        </w:tc>
        <w:tc>
          <w:tcPr>
            <w:tcW w:w="757" w:type="pct"/>
            <w:tcBorders>
              <w:top w:val="nil"/>
              <w:left w:val="nil"/>
              <w:bottom w:val="nil"/>
              <w:right w:val="nil"/>
            </w:tcBorders>
            <w:shd w:val="clear" w:color="auto" w:fill="auto"/>
            <w:vAlign w:val="center"/>
          </w:tcPr>
          <w:p w14:paraId="1043E247" w14:textId="054E66C3" w:rsidR="00D97C94" w:rsidRPr="00537128" w:rsidRDefault="00D97C94" w:rsidP="00D97C94">
            <w:pPr>
              <w:tabs>
                <w:tab w:val="right" w:pos="1202"/>
              </w:tabs>
              <w:spacing w:after="0" w:line="280" w:lineRule="exact"/>
              <w:jc w:val="right"/>
              <w:outlineLvl w:val="0"/>
              <w:rPr>
                <w:rFonts w:ascii="Calibri" w:eastAsia="Calibri" w:hAnsi="Calibri" w:cs="Times New Roman"/>
                <w:sz w:val="19"/>
                <w:szCs w:val="19"/>
                <w:lang w:val="en-US"/>
              </w:rPr>
            </w:pPr>
            <w:r w:rsidRPr="00901A96">
              <w:rPr>
                <w:rFonts w:ascii="Calibri" w:hAnsi="Calibri" w:cs="Calibri"/>
                <w:sz w:val="19"/>
                <w:szCs w:val="19"/>
              </w:rPr>
              <w:t>-</w:t>
            </w:r>
          </w:p>
        </w:tc>
        <w:tc>
          <w:tcPr>
            <w:tcW w:w="755" w:type="pct"/>
            <w:tcBorders>
              <w:top w:val="nil"/>
              <w:left w:val="nil"/>
              <w:bottom w:val="nil"/>
              <w:right w:val="nil"/>
            </w:tcBorders>
            <w:shd w:val="clear" w:color="auto" w:fill="auto"/>
            <w:vAlign w:val="center"/>
          </w:tcPr>
          <w:p w14:paraId="174C8846" w14:textId="10EF8315" w:rsidR="00D97C94" w:rsidRPr="00537128" w:rsidRDefault="00D97C94" w:rsidP="00D97C94">
            <w:pPr>
              <w:tabs>
                <w:tab w:val="right" w:pos="1202"/>
              </w:tabs>
              <w:spacing w:after="0" w:line="280" w:lineRule="exact"/>
              <w:jc w:val="right"/>
              <w:outlineLvl w:val="0"/>
              <w:rPr>
                <w:rFonts w:ascii="Calibri" w:eastAsia="Calibri" w:hAnsi="Calibri" w:cs="Times New Roman"/>
                <w:sz w:val="19"/>
                <w:szCs w:val="19"/>
                <w:lang w:val="en-US"/>
              </w:rPr>
            </w:pPr>
            <w:r w:rsidRPr="00901A96">
              <w:rPr>
                <w:rFonts w:ascii="Calibri" w:hAnsi="Calibri" w:cs="Calibri"/>
                <w:sz w:val="19"/>
                <w:szCs w:val="19"/>
              </w:rPr>
              <w:t>25</w:t>
            </w:r>
            <w:r w:rsidR="00596A50">
              <w:rPr>
                <w:rFonts w:ascii="Calibri" w:hAnsi="Calibri" w:cs="Calibri"/>
                <w:sz w:val="19"/>
                <w:szCs w:val="19"/>
              </w:rPr>
              <w:t>,</w:t>
            </w:r>
            <w:r w:rsidRPr="00901A96">
              <w:rPr>
                <w:rFonts w:ascii="Calibri" w:hAnsi="Calibri" w:cs="Calibri"/>
                <w:sz w:val="19"/>
                <w:szCs w:val="19"/>
              </w:rPr>
              <w:t>652</w:t>
            </w:r>
          </w:p>
        </w:tc>
      </w:tr>
      <w:tr w:rsidR="00D97C94" w:rsidRPr="00537128" w14:paraId="0D762276" w14:textId="77777777" w:rsidTr="00DC67B9">
        <w:trPr>
          <w:cantSplit/>
          <w:trHeight w:val="273"/>
          <w:tblHeader/>
        </w:trPr>
        <w:tc>
          <w:tcPr>
            <w:tcW w:w="1974" w:type="pct"/>
            <w:vAlign w:val="center"/>
          </w:tcPr>
          <w:p w14:paraId="2A65697C" w14:textId="77777777" w:rsidR="00D97C94" w:rsidRPr="00537128" w:rsidRDefault="00D97C94" w:rsidP="00D97C94">
            <w:pPr>
              <w:tabs>
                <w:tab w:val="right" w:pos="1202"/>
              </w:tabs>
              <w:spacing w:after="0" w:line="280" w:lineRule="exact"/>
              <w:outlineLvl w:val="0"/>
              <w:rPr>
                <w:rFonts w:ascii="Calibri" w:eastAsia="Calibri" w:hAnsi="Calibri" w:cs="Arial"/>
                <w:sz w:val="19"/>
                <w:szCs w:val="19"/>
                <w:lang w:val="en-US"/>
              </w:rPr>
            </w:pPr>
            <w:bookmarkStart w:id="647" w:name="_Toc4060551"/>
            <w:r w:rsidRPr="00537128">
              <w:rPr>
                <w:rFonts w:ascii="Calibri" w:eastAsia="Calibri" w:hAnsi="Calibri" w:cs="Arial"/>
                <w:sz w:val="19"/>
                <w:szCs w:val="19"/>
                <w:lang w:val="en-US"/>
              </w:rPr>
              <w:t>Financial assets at fair value through other comprehensive income</w:t>
            </w:r>
            <w:bookmarkEnd w:id="647"/>
          </w:p>
        </w:tc>
        <w:tc>
          <w:tcPr>
            <w:tcW w:w="757" w:type="pct"/>
            <w:tcBorders>
              <w:top w:val="nil"/>
              <w:left w:val="nil"/>
              <w:bottom w:val="nil"/>
              <w:right w:val="nil"/>
            </w:tcBorders>
            <w:shd w:val="clear" w:color="auto" w:fill="auto"/>
            <w:vAlign w:val="center"/>
          </w:tcPr>
          <w:p w14:paraId="0F8C8833" w14:textId="1594ECF8" w:rsidR="00D97C94" w:rsidRPr="00537128" w:rsidRDefault="00D97C94" w:rsidP="00D97C94">
            <w:pPr>
              <w:tabs>
                <w:tab w:val="right" w:pos="1202"/>
              </w:tabs>
              <w:spacing w:after="0" w:line="280" w:lineRule="exact"/>
              <w:jc w:val="right"/>
              <w:outlineLvl w:val="0"/>
              <w:rPr>
                <w:rFonts w:ascii="Calibri" w:eastAsia="Calibri" w:hAnsi="Calibri" w:cs="Times New Roman"/>
                <w:sz w:val="19"/>
                <w:szCs w:val="19"/>
                <w:lang w:val="en-US"/>
              </w:rPr>
            </w:pPr>
            <w:r w:rsidRPr="00BC56B6">
              <w:rPr>
                <w:rFonts w:ascii="Calibri" w:hAnsi="Calibri" w:cs="Calibri"/>
                <w:sz w:val="19"/>
                <w:szCs w:val="19"/>
              </w:rPr>
              <w:t>3</w:t>
            </w:r>
            <w:r w:rsidR="00596A50">
              <w:rPr>
                <w:rFonts w:ascii="Calibri" w:hAnsi="Calibri" w:cs="Calibri"/>
                <w:sz w:val="19"/>
                <w:szCs w:val="19"/>
              </w:rPr>
              <w:t>,</w:t>
            </w:r>
            <w:r w:rsidRPr="00BC56B6">
              <w:rPr>
                <w:rFonts w:ascii="Calibri" w:hAnsi="Calibri" w:cs="Calibri"/>
                <w:sz w:val="19"/>
                <w:szCs w:val="19"/>
              </w:rPr>
              <w:t>204</w:t>
            </w:r>
            <w:r w:rsidR="00596A50">
              <w:rPr>
                <w:rFonts w:ascii="Calibri" w:hAnsi="Calibri" w:cs="Calibri"/>
                <w:sz w:val="19"/>
                <w:szCs w:val="19"/>
              </w:rPr>
              <w:t>,</w:t>
            </w:r>
            <w:r w:rsidRPr="00BC56B6">
              <w:rPr>
                <w:rFonts w:ascii="Calibri" w:hAnsi="Calibri" w:cs="Calibri"/>
                <w:sz w:val="19"/>
                <w:szCs w:val="19"/>
              </w:rPr>
              <w:t>14</w:t>
            </w:r>
            <w:r w:rsidR="003D5D65">
              <w:rPr>
                <w:rFonts w:ascii="Calibri" w:hAnsi="Calibri" w:cs="Calibri"/>
                <w:sz w:val="19"/>
                <w:szCs w:val="19"/>
              </w:rPr>
              <w:t>3</w:t>
            </w:r>
          </w:p>
        </w:tc>
        <w:tc>
          <w:tcPr>
            <w:tcW w:w="757" w:type="pct"/>
            <w:tcBorders>
              <w:top w:val="nil"/>
              <w:left w:val="nil"/>
              <w:bottom w:val="nil"/>
              <w:right w:val="nil"/>
            </w:tcBorders>
            <w:shd w:val="clear" w:color="auto" w:fill="auto"/>
            <w:vAlign w:val="center"/>
          </w:tcPr>
          <w:p w14:paraId="1D51D150" w14:textId="3EE0D9E7" w:rsidR="00D97C94" w:rsidRPr="00537128" w:rsidRDefault="00D97C94" w:rsidP="00D97C94">
            <w:pPr>
              <w:tabs>
                <w:tab w:val="right" w:pos="1202"/>
              </w:tabs>
              <w:spacing w:after="0" w:line="280" w:lineRule="exact"/>
              <w:jc w:val="right"/>
              <w:outlineLvl w:val="0"/>
              <w:rPr>
                <w:rFonts w:ascii="Calibri" w:eastAsia="Calibri" w:hAnsi="Calibri" w:cs="Times New Roman"/>
                <w:sz w:val="19"/>
                <w:szCs w:val="19"/>
                <w:lang w:val="en-US"/>
              </w:rPr>
            </w:pPr>
            <w:r w:rsidRPr="00901A96">
              <w:rPr>
                <w:rFonts w:ascii="Calibri" w:hAnsi="Calibri" w:cs="Calibri"/>
                <w:sz w:val="19"/>
                <w:szCs w:val="19"/>
              </w:rPr>
              <w:t>1</w:t>
            </w:r>
            <w:r w:rsidR="00596A50">
              <w:rPr>
                <w:rFonts w:ascii="Calibri" w:hAnsi="Calibri" w:cs="Calibri"/>
                <w:sz w:val="19"/>
                <w:szCs w:val="19"/>
              </w:rPr>
              <w:t>,</w:t>
            </w:r>
            <w:r w:rsidRPr="00901A96">
              <w:rPr>
                <w:rFonts w:ascii="Calibri" w:hAnsi="Calibri" w:cs="Calibri"/>
                <w:sz w:val="19"/>
                <w:szCs w:val="19"/>
              </w:rPr>
              <w:t>504</w:t>
            </w:r>
          </w:p>
        </w:tc>
        <w:tc>
          <w:tcPr>
            <w:tcW w:w="757" w:type="pct"/>
            <w:tcBorders>
              <w:top w:val="nil"/>
              <w:left w:val="nil"/>
              <w:bottom w:val="nil"/>
              <w:right w:val="nil"/>
            </w:tcBorders>
            <w:shd w:val="clear" w:color="auto" w:fill="auto"/>
            <w:vAlign w:val="center"/>
          </w:tcPr>
          <w:p w14:paraId="66D7BA29" w14:textId="7834B90B" w:rsidR="00D97C94" w:rsidRPr="00537128" w:rsidRDefault="00D97C94" w:rsidP="00D97C94">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w:t>
            </w:r>
          </w:p>
        </w:tc>
        <w:tc>
          <w:tcPr>
            <w:tcW w:w="755" w:type="pct"/>
            <w:tcBorders>
              <w:top w:val="nil"/>
              <w:left w:val="nil"/>
              <w:bottom w:val="nil"/>
              <w:right w:val="nil"/>
            </w:tcBorders>
            <w:shd w:val="clear" w:color="auto" w:fill="auto"/>
            <w:vAlign w:val="center"/>
          </w:tcPr>
          <w:p w14:paraId="7D0D9766" w14:textId="5D289156" w:rsidR="00D97C94" w:rsidRPr="00537128" w:rsidRDefault="00D97C94" w:rsidP="00D97C94">
            <w:pPr>
              <w:tabs>
                <w:tab w:val="right" w:pos="1202"/>
              </w:tabs>
              <w:spacing w:after="0" w:line="280" w:lineRule="exact"/>
              <w:jc w:val="right"/>
              <w:outlineLvl w:val="0"/>
              <w:rPr>
                <w:rFonts w:ascii="Calibri" w:eastAsia="Calibri" w:hAnsi="Calibri" w:cs="Times New Roman"/>
                <w:sz w:val="19"/>
                <w:szCs w:val="19"/>
                <w:lang w:val="en-US"/>
              </w:rPr>
            </w:pPr>
            <w:r w:rsidRPr="00901A96">
              <w:rPr>
                <w:rFonts w:ascii="Calibri" w:hAnsi="Calibri" w:cs="Calibri"/>
                <w:sz w:val="19"/>
                <w:szCs w:val="19"/>
              </w:rPr>
              <w:t>3</w:t>
            </w:r>
            <w:r w:rsidR="00596A50">
              <w:rPr>
                <w:rFonts w:ascii="Calibri" w:hAnsi="Calibri" w:cs="Calibri"/>
                <w:sz w:val="19"/>
                <w:szCs w:val="19"/>
              </w:rPr>
              <w:t>,</w:t>
            </w:r>
            <w:r w:rsidRPr="00901A96">
              <w:rPr>
                <w:rFonts w:ascii="Calibri" w:hAnsi="Calibri" w:cs="Calibri"/>
                <w:sz w:val="19"/>
                <w:szCs w:val="19"/>
              </w:rPr>
              <w:t>205</w:t>
            </w:r>
            <w:r w:rsidR="00596A50">
              <w:rPr>
                <w:rFonts w:ascii="Calibri" w:hAnsi="Calibri" w:cs="Calibri"/>
                <w:sz w:val="19"/>
                <w:szCs w:val="19"/>
              </w:rPr>
              <w:t>,</w:t>
            </w:r>
            <w:r w:rsidRPr="00901A96">
              <w:rPr>
                <w:rFonts w:ascii="Calibri" w:hAnsi="Calibri" w:cs="Calibri"/>
                <w:sz w:val="19"/>
                <w:szCs w:val="19"/>
              </w:rPr>
              <w:t>64</w:t>
            </w:r>
            <w:r w:rsidR="003D5D65">
              <w:rPr>
                <w:rFonts w:ascii="Calibri" w:hAnsi="Calibri" w:cs="Calibri"/>
                <w:sz w:val="19"/>
                <w:szCs w:val="19"/>
              </w:rPr>
              <w:t>7</w:t>
            </w:r>
          </w:p>
        </w:tc>
      </w:tr>
      <w:tr w:rsidR="00D97C94" w:rsidRPr="00537128" w14:paraId="3C47F5DE" w14:textId="77777777" w:rsidTr="00DC67B9">
        <w:trPr>
          <w:cantSplit/>
          <w:trHeight w:val="273"/>
          <w:tblHeader/>
        </w:trPr>
        <w:tc>
          <w:tcPr>
            <w:tcW w:w="1974" w:type="pct"/>
            <w:vAlign w:val="bottom"/>
          </w:tcPr>
          <w:p w14:paraId="0E6E0ED3" w14:textId="77777777" w:rsidR="00D97C94" w:rsidRPr="00537128" w:rsidRDefault="00D97C94" w:rsidP="00D97C94">
            <w:pPr>
              <w:tabs>
                <w:tab w:val="right" w:pos="1202"/>
              </w:tabs>
              <w:spacing w:after="0" w:line="280" w:lineRule="exact"/>
              <w:outlineLvl w:val="0"/>
              <w:rPr>
                <w:rFonts w:ascii="Calibri" w:eastAsia="Calibri" w:hAnsi="Calibri" w:cs="Times New Roman"/>
                <w:sz w:val="19"/>
                <w:szCs w:val="19"/>
                <w:lang w:val="en-US"/>
              </w:rPr>
            </w:pPr>
            <w:bookmarkStart w:id="648" w:name="_Toc4060561"/>
            <w:r w:rsidRPr="00537128">
              <w:rPr>
                <w:rFonts w:ascii="Calibri" w:eastAsia="Calibri" w:hAnsi="Calibri" w:cs="Times New Roman"/>
                <w:sz w:val="19"/>
                <w:szCs w:val="19"/>
                <w:lang w:val="en-US"/>
              </w:rPr>
              <w:t>Other assets</w:t>
            </w:r>
            <w:bookmarkEnd w:id="648"/>
          </w:p>
        </w:tc>
        <w:tc>
          <w:tcPr>
            <w:tcW w:w="757" w:type="pct"/>
            <w:tcBorders>
              <w:top w:val="nil"/>
              <w:left w:val="nil"/>
              <w:bottom w:val="single" w:sz="4" w:space="0" w:color="auto"/>
              <w:right w:val="nil"/>
            </w:tcBorders>
            <w:shd w:val="clear" w:color="auto" w:fill="auto"/>
            <w:vAlign w:val="center"/>
          </w:tcPr>
          <w:p w14:paraId="2F3B63B5" w14:textId="594CE492" w:rsidR="00D97C94" w:rsidRPr="00537128" w:rsidRDefault="00D97C94" w:rsidP="00D97C94">
            <w:pPr>
              <w:tabs>
                <w:tab w:val="right" w:pos="1202"/>
              </w:tabs>
              <w:spacing w:after="0" w:line="280" w:lineRule="exact"/>
              <w:jc w:val="right"/>
              <w:outlineLvl w:val="0"/>
              <w:rPr>
                <w:rFonts w:ascii="Calibri" w:eastAsia="Calibri" w:hAnsi="Calibri" w:cs="Times New Roman"/>
                <w:sz w:val="19"/>
                <w:szCs w:val="19"/>
                <w:lang w:val="en-US"/>
              </w:rPr>
            </w:pPr>
            <w:r w:rsidRPr="00BC56B6">
              <w:rPr>
                <w:rFonts w:ascii="Calibri" w:hAnsi="Calibri" w:cs="Calibri"/>
                <w:sz w:val="19"/>
                <w:szCs w:val="19"/>
              </w:rPr>
              <w:t>4</w:t>
            </w:r>
            <w:r w:rsidR="00596A50">
              <w:rPr>
                <w:rFonts w:ascii="Calibri" w:hAnsi="Calibri" w:cs="Calibri"/>
                <w:sz w:val="19"/>
                <w:szCs w:val="19"/>
              </w:rPr>
              <w:t>,</w:t>
            </w:r>
            <w:r w:rsidRPr="00BC56B6">
              <w:rPr>
                <w:rFonts w:ascii="Calibri" w:hAnsi="Calibri" w:cs="Calibri"/>
                <w:sz w:val="19"/>
                <w:szCs w:val="19"/>
              </w:rPr>
              <w:t>455</w:t>
            </w:r>
          </w:p>
        </w:tc>
        <w:tc>
          <w:tcPr>
            <w:tcW w:w="757" w:type="pct"/>
            <w:tcBorders>
              <w:top w:val="nil"/>
              <w:left w:val="nil"/>
              <w:bottom w:val="single" w:sz="4" w:space="0" w:color="auto"/>
              <w:right w:val="nil"/>
            </w:tcBorders>
            <w:shd w:val="clear" w:color="auto" w:fill="auto"/>
            <w:vAlign w:val="center"/>
          </w:tcPr>
          <w:p w14:paraId="146CF34B" w14:textId="207963B2" w:rsidR="00D97C94" w:rsidRPr="00537128" w:rsidRDefault="00D97C94" w:rsidP="00D97C94">
            <w:pPr>
              <w:tabs>
                <w:tab w:val="right" w:pos="1202"/>
              </w:tabs>
              <w:spacing w:after="0" w:line="280" w:lineRule="exact"/>
              <w:jc w:val="right"/>
              <w:outlineLvl w:val="0"/>
              <w:rPr>
                <w:rFonts w:ascii="Calibri" w:eastAsia="Calibri" w:hAnsi="Calibri" w:cs="Times New Roman"/>
                <w:sz w:val="19"/>
                <w:szCs w:val="19"/>
                <w:lang w:val="en-US"/>
              </w:rPr>
            </w:pPr>
            <w:r w:rsidRPr="00901A96">
              <w:rPr>
                <w:rFonts w:ascii="Calibri" w:hAnsi="Calibri" w:cs="Calibri"/>
                <w:sz w:val="19"/>
                <w:szCs w:val="19"/>
              </w:rPr>
              <w:t>163</w:t>
            </w:r>
          </w:p>
        </w:tc>
        <w:tc>
          <w:tcPr>
            <w:tcW w:w="757" w:type="pct"/>
            <w:tcBorders>
              <w:top w:val="nil"/>
              <w:left w:val="nil"/>
              <w:bottom w:val="single" w:sz="4" w:space="0" w:color="auto"/>
              <w:right w:val="nil"/>
            </w:tcBorders>
            <w:shd w:val="clear" w:color="auto" w:fill="auto"/>
            <w:vAlign w:val="center"/>
          </w:tcPr>
          <w:p w14:paraId="32BE443C" w14:textId="1D854F1E" w:rsidR="00D97C94" w:rsidRPr="00537128" w:rsidRDefault="00D97C94" w:rsidP="00D97C94">
            <w:pPr>
              <w:tabs>
                <w:tab w:val="right" w:pos="1202"/>
              </w:tabs>
              <w:spacing w:after="0" w:line="280" w:lineRule="exact"/>
              <w:jc w:val="right"/>
              <w:outlineLvl w:val="0"/>
              <w:rPr>
                <w:rFonts w:ascii="Calibri" w:eastAsia="Calibri" w:hAnsi="Calibri" w:cs="Times New Roman"/>
                <w:sz w:val="19"/>
                <w:szCs w:val="19"/>
                <w:lang w:val="en-US"/>
              </w:rPr>
            </w:pPr>
            <w:r w:rsidRPr="00901A96">
              <w:rPr>
                <w:rFonts w:ascii="Calibri" w:hAnsi="Calibri" w:cs="Calibri"/>
                <w:sz w:val="19"/>
                <w:szCs w:val="19"/>
              </w:rPr>
              <w:t>1</w:t>
            </w:r>
            <w:r w:rsidR="00596A50">
              <w:rPr>
                <w:rFonts w:ascii="Calibri" w:hAnsi="Calibri" w:cs="Calibri"/>
                <w:sz w:val="19"/>
                <w:szCs w:val="19"/>
              </w:rPr>
              <w:t>,</w:t>
            </w:r>
            <w:r w:rsidRPr="00901A96">
              <w:rPr>
                <w:rFonts w:ascii="Calibri" w:hAnsi="Calibri" w:cs="Calibri"/>
                <w:sz w:val="19"/>
                <w:szCs w:val="19"/>
              </w:rPr>
              <w:t>219</w:t>
            </w:r>
          </w:p>
        </w:tc>
        <w:tc>
          <w:tcPr>
            <w:tcW w:w="755" w:type="pct"/>
            <w:tcBorders>
              <w:top w:val="nil"/>
              <w:left w:val="nil"/>
              <w:bottom w:val="nil"/>
              <w:right w:val="nil"/>
            </w:tcBorders>
            <w:shd w:val="clear" w:color="auto" w:fill="auto"/>
            <w:vAlign w:val="center"/>
          </w:tcPr>
          <w:p w14:paraId="484C9048" w14:textId="0A5F478C" w:rsidR="00D97C94" w:rsidRPr="00537128" w:rsidRDefault="00D97C94" w:rsidP="00D97C94">
            <w:pPr>
              <w:tabs>
                <w:tab w:val="right" w:pos="1202"/>
              </w:tabs>
              <w:spacing w:after="0" w:line="280" w:lineRule="exact"/>
              <w:jc w:val="right"/>
              <w:outlineLvl w:val="0"/>
              <w:rPr>
                <w:rFonts w:ascii="Calibri" w:eastAsia="Calibri" w:hAnsi="Calibri" w:cs="Times New Roman"/>
                <w:sz w:val="19"/>
                <w:szCs w:val="19"/>
                <w:lang w:val="en-US"/>
              </w:rPr>
            </w:pPr>
            <w:r w:rsidRPr="00901A96">
              <w:rPr>
                <w:rFonts w:ascii="Calibri" w:hAnsi="Calibri" w:cs="Calibri"/>
                <w:sz w:val="19"/>
                <w:szCs w:val="19"/>
              </w:rPr>
              <w:t>5</w:t>
            </w:r>
            <w:r w:rsidR="00596A50">
              <w:rPr>
                <w:rFonts w:ascii="Calibri" w:hAnsi="Calibri" w:cs="Calibri"/>
                <w:sz w:val="19"/>
                <w:szCs w:val="19"/>
              </w:rPr>
              <w:t>,</w:t>
            </w:r>
            <w:r w:rsidRPr="00901A96">
              <w:rPr>
                <w:rFonts w:ascii="Calibri" w:hAnsi="Calibri" w:cs="Calibri"/>
                <w:sz w:val="19"/>
                <w:szCs w:val="19"/>
              </w:rPr>
              <w:t>837</w:t>
            </w:r>
          </w:p>
        </w:tc>
      </w:tr>
      <w:tr w:rsidR="00D97C94" w:rsidRPr="00537128" w14:paraId="019AD003" w14:textId="77777777" w:rsidTr="00DC67B9">
        <w:trPr>
          <w:cantSplit/>
          <w:trHeight w:val="272"/>
          <w:tblHeader/>
        </w:trPr>
        <w:tc>
          <w:tcPr>
            <w:tcW w:w="1974" w:type="pct"/>
            <w:vAlign w:val="bottom"/>
          </w:tcPr>
          <w:p w14:paraId="2FB02C14" w14:textId="77777777" w:rsidR="00D97C94" w:rsidRPr="00537128" w:rsidRDefault="00D97C94" w:rsidP="00D97C94">
            <w:pPr>
              <w:tabs>
                <w:tab w:val="right" w:pos="1202"/>
              </w:tabs>
              <w:spacing w:after="0" w:line="280" w:lineRule="exact"/>
              <w:outlineLvl w:val="0"/>
              <w:rPr>
                <w:rFonts w:ascii="Calibri" w:eastAsia="Calibri" w:hAnsi="Calibri" w:cs="Times New Roman"/>
                <w:b/>
                <w:bCs/>
                <w:sz w:val="19"/>
                <w:szCs w:val="19"/>
                <w:lang w:val="en-US"/>
              </w:rPr>
            </w:pPr>
            <w:bookmarkStart w:id="649" w:name="_Toc4060566"/>
            <w:r w:rsidRPr="00537128">
              <w:rPr>
                <w:rFonts w:ascii="Calibri" w:eastAsia="Calibri" w:hAnsi="Calibri" w:cs="Times New Roman"/>
                <w:b/>
                <w:bCs/>
                <w:sz w:val="19"/>
                <w:szCs w:val="19"/>
                <w:lang w:val="en-US"/>
              </w:rPr>
              <w:t>Total</w:t>
            </w:r>
            <w:bookmarkEnd w:id="649"/>
            <w:r w:rsidRPr="00537128">
              <w:rPr>
                <w:rFonts w:ascii="Calibri" w:eastAsia="Calibri" w:hAnsi="Calibri" w:cs="Times New Roman"/>
                <w:b/>
                <w:bCs/>
                <w:sz w:val="19"/>
                <w:szCs w:val="19"/>
                <w:lang w:val="en-US"/>
              </w:rPr>
              <w:t xml:space="preserve"> </w:t>
            </w:r>
          </w:p>
        </w:tc>
        <w:tc>
          <w:tcPr>
            <w:tcW w:w="757" w:type="pct"/>
            <w:tcBorders>
              <w:top w:val="nil"/>
              <w:left w:val="nil"/>
              <w:bottom w:val="single" w:sz="8" w:space="0" w:color="auto"/>
              <w:right w:val="nil"/>
            </w:tcBorders>
            <w:shd w:val="clear" w:color="auto" w:fill="auto"/>
            <w:vAlign w:val="center"/>
          </w:tcPr>
          <w:p w14:paraId="1497BA5C" w14:textId="0EB17E89" w:rsidR="00D97C94" w:rsidRPr="00CA1F1A" w:rsidRDefault="00D97C94" w:rsidP="00D97C94">
            <w:pPr>
              <w:tabs>
                <w:tab w:val="right" w:pos="1202"/>
              </w:tabs>
              <w:spacing w:after="0" w:line="280" w:lineRule="exact"/>
              <w:jc w:val="right"/>
              <w:outlineLvl w:val="0"/>
              <w:rPr>
                <w:rFonts w:ascii="Calibri" w:eastAsia="Calibri" w:hAnsi="Calibri" w:cs="Times New Roman"/>
                <w:b/>
                <w:bCs/>
                <w:sz w:val="19"/>
                <w:szCs w:val="19"/>
                <w:lang w:val="en-US"/>
              </w:rPr>
            </w:pPr>
            <w:r w:rsidRPr="00BC56B6">
              <w:rPr>
                <w:rFonts w:ascii="Calibri" w:hAnsi="Calibri" w:cs="Calibri"/>
                <w:b/>
                <w:bCs/>
                <w:sz w:val="19"/>
                <w:szCs w:val="19"/>
              </w:rPr>
              <w:t>26</w:t>
            </w:r>
            <w:r w:rsidR="00596A50">
              <w:rPr>
                <w:rFonts w:ascii="Calibri" w:hAnsi="Calibri" w:cs="Calibri"/>
                <w:b/>
                <w:bCs/>
                <w:sz w:val="19"/>
                <w:szCs w:val="19"/>
              </w:rPr>
              <w:t>,</w:t>
            </w:r>
            <w:r w:rsidRPr="00BC56B6">
              <w:rPr>
                <w:rFonts w:ascii="Calibri" w:hAnsi="Calibri" w:cs="Calibri"/>
                <w:b/>
                <w:bCs/>
                <w:sz w:val="19"/>
                <w:szCs w:val="19"/>
              </w:rPr>
              <w:t>997</w:t>
            </w:r>
            <w:r w:rsidR="00596A50">
              <w:rPr>
                <w:rFonts w:ascii="Calibri" w:hAnsi="Calibri" w:cs="Calibri"/>
                <w:b/>
                <w:bCs/>
                <w:sz w:val="19"/>
                <w:szCs w:val="19"/>
              </w:rPr>
              <w:t>,</w:t>
            </w:r>
            <w:r w:rsidRPr="00BC56B6">
              <w:rPr>
                <w:rFonts w:ascii="Calibri" w:hAnsi="Calibri" w:cs="Calibri"/>
                <w:b/>
                <w:bCs/>
                <w:sz w:val="19"/>
                <w:szCs w:val="19"/>
              </w:rPr>
              <w:t>34</w:t>
            </w:r>
            <w:r w:rsidR="003D5D65">
              <w:rPr>
                <w:rFonts w:ascii="Calibri" w:hAnsi="Calibri" w:cs="Calibri"/>
                <w:b/>
                <w:bCs/>
                <w:sz w:val="19"/>
                <w:szCs w:val="19"/>
              </w:rPr>
              <w:t>6</w:t>
            </w:r>
          </w:p>
        </w:tc>
        <w:tc>
          <w:tcPr>
            <w:tcW w:w="757" w:type="pct"/>
            <w:tcBorders>
              <w:top w:val="nil"/>
              <w:left w:val="nil"/>
              <w:bottom w:val="single" w:sz="8" w:space="0" w:color="auto"/>
              <w:right w:val="nil"/>
            </w:tcBorders>
            <w:shd w:val="clear" w:color="auto" w:fill="auto"/>
            <w:vAlign w:val="center"/>
          </w:tcPr>
          <w:p w14:paraId="1BD50CA7" w14:textId="67DEBE54" w:rsidR="00D97C94" w:rsidRPr="00CA1F1A" w:rsidRDefault="00D97C94" w:rsidP="00D97C94">
            <w:pPr>
              <w:tabs>
                <w:tab w:val="right" w:pos="1202"/>
              </w:tabs>
              <w:spacing w:after="0" w:line="280" w:lineRule="exact"/>
              <w:jc w:val="right"/>
              <w:outlineLvl w:val="0"/>
              <w:rPr>
                <w:rFonts w:ascii="Calibri" w:eastAsia="Calibri" w:hAnsi="Calibri" w:cs="Times New Roman"/>
                <w:b/>
                <w:bCs/>
                <w:sz w:val="19"/>
                <w:szCs w:val="19"/>
                <w:lang w:val="en-US"/>
              </w:rPr>
            </w:pPr>
            <w:r w:rsidRPr="00901A96">
              <w:rPr>
                <w:rFonts w:ascii="Calibri" w:hAnsi="Calibri" w:cs="Calibri"/>
                <w:b/>
                <w:bCs/>
                <w:sz w:val="19"/>
                <w:szCs w:val="19"/>
              </w:rPr>
              <w:t>71</w:t>
            </w:r>
            <w:r w:rsidR="00596A50">
              <w:rPr>
                <w:rFonts w:ascii="Calibri" w:hAnsi="Calibri" w:cs="Calibri"/>
                <w:b/>
                <w:bCs/>
                <w:sz w:val="19"/>
                <w:szCs w:val="19"/>
              </w:rPr>
              <w:t>,</w:t>
            </w:r>
            <w:r w:rsidRPr="00901A96">
              <w:rPr>
                <w:rFonts w:ascii="Calibri" w:hAnsi="Calibri" w:cs="Calibri"/>
                <w:b/>
                <w:bCs/>
                <w:sz w:val="19"/>
                <w:szCs w:val="19"/>
              </w:rPr>
              <w:t>029</w:t>
            </w:r>
          </w:p>
        </w:tc>
        <w:tc>
          <w:tcPr>
            <w:tcW w:w="757" w:type="pct"/>
            <w:tcBorders>
              <w:top w:val="nil"/>
              <w:left w:val="nil"/>
              <w:bottom w:val="single" w:sz="8" w:space="0" w:color="auto"/>
              <w:right w:val="nil"/>
            </w:tcBorders>
            <w:shd w:val="clear" w:color="auto" w:fill="auto"/>
            <w:vAlign w:val="center"/>
          </w:tcPr>
          <w:p w14:paraId="5753231B" w14:textId="78E26FDA" w:rsidR="00D97C94" w:rsidRPr="00CA1F1A" w:rsidRDefault="00D97C94" w:rsidP="00D97C94">
            <w:pPr>
              <w:tabs>
                <w:tab w:val="right" w:pos="1202"/>
              </w:tabs>
              <w:spacing w:after="0" w:line="280" w:lineRule="exact"/>
              <w:jc w:val="right"/>
              <w:outlineLvl w:val="0"/>
              <w:rPr>
                <w:rFonts w:ascii="Calibri" w:eastAsia="Calibri" w:hAnsi="Calibri" w:cs="Times New Roman"/>
                <w:b/>
                <w:bCs/>
                <w:sz w:val="19"/>
                <w:szCs w:val="19"/>
                <w:lang w:val="en-US"/>
              </w:rPr>
            </w:pPr>
            <w:r w:rsidRPr="00901A96">
              <w:rPr>
                <w:rFonts w:ascii="Calibri" w:hAnsi="Calibri" w:cs="Calibri"/>
                <w:b/>
                <w:bCs/>
                <w:sz w:val="19"/>
                <w:szCs w:val="19"/>
              </w:rPr>
              <w:t>429</w:t>
            </w:r>
            <w:r w:rsidR="00596A50">
              <w:rPr>
                <w:rFonts w:ascii="Calibri" w:hAnsi="Calibri" w:cs="Calibri"/>
                <w:b/>
                <w:bCs/>
                <w:sz w:val="19"/>
                <w:szCs w:val="19"/>
              </w:rPr>
              <w:t>,</w:t>
            </w:r>
            <w:r w:rsidRPr="00901A96">
              <w:rPr>
                <w:rFonts w:ascii="Calibri" w:hAnsi="Calibri" w:cs="Calibri"/>
                <w:b/>
                <w:bCs/>
                <w:sz w:val="19"/>
                <w:szCs w:val="19"/>
              </w:rPr>
              <w:t>93</w:t>
            </w:r>
            <w:r w:rsidR="003D5D65">
              <w:rPr>
                <w:rFonts w:ascii="Calibri" w:hAnsi="Calibri" w:cs="Calibri"/>
                <w:b/>
                <w:bCs/>
                <w:sz w:val="19"/>
                <w:szCs w:val="19"/>
              </w:rPr>
              <w:t>6</w:t>
            </w:r>
          </w:p>
        </w:tc>
        <w:tc>
          <w:tcPr>
            <w:tcW w:w="755" w:type="pct"/>
            <w:tcBorders>
              <w:top w:val="single" w:sz="4" w:space="0" w:color="auto"/>
              <w:left w:val="nil"/>
              <w:bottom w:val="single" w:sz="8" w:space="0" w:color="auto"/>
              <w:right w:val="nil"/>
            </w:tcBorders>
            <w:shd w:val="clear" w:color="auto" w:fill="auto"/>
            <w:vAlign w:val="center"/>
          </w:tcPr>
          <w:p w14:paraId="2B76A4BE" w14:textId="08AE5D95" w:rsidR="00D97C94" w:rsidRPr="00CA1F1A" w:rsidRDefault="00D97C94" w:rsidP="00D97C94">
            <w:pPr>
              <w:tabs>
                <w:tab w:val="right" w:pos="1202"/>
              </w:tabs>
              <w:spacing w:after="0" w:line="280" w:lineRule="exact"/>
              <w:jc w:val="right"/>
              <w:outlineLvl w:val="0"/>
              <w:rPr>
                <w:rFonts w:ascii="Calibri" w:eastAsia="Calibri" w:hAnsi="Calibri" w:cs="Times New Roman"/>
                <w:b/>
                <w:bCs/>
                <w:sz w:val="19"/>
                <w:szCs w:val="19"/>
                <w:lang w:val="en-US"/>
              </w:rPr>
            </w:pPr>
            <w:r w:rsidRPr="00901A96">
              <w:rPr>
                <w:rFonts w:ascii="Calibri" w:hAnsi="Calibri" w:cs="Calibri"/>
                <w:b/>
                <w:bCs/>
                <w:sz w:val="19"/>
                <w:szCs w:val="19"/>
              </w:rPr>
              <w:t>27</w:t>
            </w:r>
            <w:r w:rsidR="00596A50">
              <w:rPr>
                <w:rFonts w:ascii="Calibri" w:hAnsi="Calibri" w:cs="Calibri"/>
                <w:b/>
                <w:bCs/>
                <w:sz w:val="19"/>
                <w:szCs w:val="19"/>
              </w:rPr>
              <w:t>,</w:t>
            </w:r>
            <w:r w:rsidRPr="00901A96">
              <w:rPr>
                <w:rFonts w:ascii="Calibri" w:hAnsi="Calibri" w:cs="Calibri"/>
                <w:b/>
                <w:bCs/>
                <w:sz w:val="19"/>
                <w:szCs w:val="19"/>
              </w:rPr>
              <w:t>498</w:t>
            </w:r>
            <w:r w:rsidR="00596A50">
              <w:rPr>
                <w:rFonts w:ascii="Calibri" w:hAnsi="Calibri" w:cs="Calibri"/>
                <w:b/>
                <w:bCs/>
                <w:sz w:val="19"/>
                <w:szCs w:val="19"/>
              </w:rPr>
              <w:t>,</w:t>
            </w:r>
            <w:r w:rsidRPr="00901A96">
              <w:rPr>
                <w:rFonts w:ascii="Calibri" w:hAnsi="Calibri" w:cs="Calibri"/>
                <w:b/>
                <w:bCs/>
                <w:sz w:val="19"/>
                <w:szCs w:val="19"/>
              </w:rPr>
              <w:t>311</w:t>
            </w:r>
          </w:p>
        </w:tc>
      </w:tr>
      <w:tr w:rsidR="00D97C94" w:rsidRPr="00537128" w14:paraId="52E14BE1" w14:textId="77777777" w:rsidTr="00A1123E">
        <w:tblPrEx>
          <w:tblCellMar>
            <w:left w:w="31" w:type="dxa"/>
            <w:right w:w="31" w:type="dxa"/>
          </w:tblCellMar>
        </w:tblPrEx>
        <w:trPr>
          <w:cantSplit/>
          <w:trHeight w:val="273"/>
          <w:tblHeader/>
        </w:trPr>
        <w:tc>
          <w:tcPr>
            <w:tcW w:w="1974" w:type="pct"/>
            <w:vAlign w:val="bottom"/>
          </w:tcPr>
          <w:p w14:paraId="2B2AC567" w14:textId="77777777" w:rsidR="00D97C94" w:rsidRPr="00537128" w:rsidRDefault="00D97C94" w:rsidP="00D97C94">
            <w:pPr>
              <w:tabs>
                <w:tab w:val="right" w:pos="1202"/>
              </w:tabs>
              <w:spacing w:after="0" w:line="280" w:lineRule="exact"/>
              <w:outlineLvl w:val="0"/>
              <w:rPr>
                <w:rFonts w:ascii="Calibri" w:eastAsia="Calibri" w:hAnsi="Calibri" w:cs="Times New Roman"/>
                <w:b/>
                <w:bCs/>
                <w:sz w:val="19"/>
                <w:szCs w:val="19"/>
                <w:lang w:val="en-US"/>
              </w:rPr>
            </w:pPr>
          </w:p>
        </w:tc>
        <w:tc>
          <w:tcPr>
            <w:tcW w:w="757" w:type="pct"/>
            <w:tcBorders>
              <w:top w:val="single" w:sz="12" w:space="0" w:color="auto"/>
            </w:tcBorders>
            <w:shd w:val="clear" w:color="auto" w:fill="auto"/>
            <w:vAlign w:val="bottom"/>
          </w:tcPr>
          <w:p w14:paraId="22E3D0BF" w14:textId="77777777" w:rsidR="00D97C94" w:rsidRPr="00537128" w:rsidRDefault="00D97C94" w:rsidP="00D97C94">
            <w:pPr>
              <w:tabs>
                <w:tab w:val="right" w:pos="1202"/>
              </w:tabs>
              <w:spacing w:after="0" w:line="280" w:lineRule="exact"/>
              <w:jc w:val="right"/>
              <w:outlineLvl w:val="0"/>
              <w:rPr>
                <w:rFonts w:ascii="Calibri" w:eastAsia="Calibri" w:hAnsi="Calibri" w:cs="Times New Roman"/>
                <w:sz w:val="19"/>
                <w:szCs w:val="19"/>
                <w:lang w:val="en-US"/>
              </w:rPr>
            </w:pPr>
          </w:p>
        </w:tc>
        <w:tc>
          <w:tcPr>
            <w:tcW w:w="757" w:type="pct"/>
            <w:tcBorders>
              <w:top w:val="single" w:sz="12" w:space="0" w:color="auto"/>
            </w:tcBorders>
            <w:shd w:val="clear" w:color="auto" w:fill="auto"/>
            <w:vAlign w:val="bottom"/>
          </w:tcPr>
          <w:p w14:paraId="18CBE394" w14:textId="77777777" w:rsidR="00D97C94" w:rsidRPr="00537128" w:rsidRDefault="00D97C94" w:rsidP="00D97C94">
            <w:pPr>
              <w:tabs>
                <w:tab w:val="right" w:pos="1202"/>
              </w:tabs>
              <w:spacing w:after="0" w:line="280" w:lineRule="exact"/>
              <w:jc w:val="right"/>
              <w:outlineLvl w:val="0"/>
              <w:rPr>
                <w:rFonts w:ascii="Calibri" w:eastAsia="Calibri" w:hAnsi="Calibri" w:cs="Times New Roman"/>
                <w:sz w:val="19"/>
                <w:szCs w:val="19"/>
                <w:lang w:val="en-US"/>
              </w:rPr>
            </w:pPr>
          </w:p>
        </w:tc>
        <w:tc>
          <w:tcPr>
            <w:tcW w:w="757" w:type="pct"/>
            <w:tcBorders>
              <w:top w:val="single" w:sz="12" w:space="0" w:color="auto"/>
            </w:tcBorders>
            <w:shd w:val="clear" w:color="auto" w:fill="auto"/>
            <w:vAlign w:val="bottom"/>
          </w:tcPr>
          <w:p w14:paraId="60E658BA" w14:textId="77777777" w:rsidR="00D97C94" w:rsidRPr="00537128" w:rsidRDefault="00D97C94" w:rsidP="00D97C94">
            <w:pPr>
              <w:tabs>
                <w:tab w:val="right" w:pos="1202"/>
              </w:tabs>
              <w:spacing w:after="0" w:line="280" w:lineRule="exact"/>
              <w:jc w:val="right"/>
              <w:outlineLvl w:val="0"/>
              <w:rPr>
                <w:rFonts w:ascii="Calibri" w:eastAsia="Calibri" w:hAnsi="Calibri" w:cs="Times New Roman"/>
                <w:sz w:val="19"/>
                <w:szCs w:val="19"/>
                <w:lang w:val="en-US"/>
              </w:rPr>
            </w:pPr>
          </w:p>
        </w:tc>
        <w:tc>
          <w:tcPr>
            <w:tcW w:w="755" w:type="pct"/>
            <w:tcBorders>
              <w:top w:val="single" w:sz="12" w:space="0" w:color="auto"/>
            </w:tcBorders>
            <w:shd w:val="clear" w:color="auto" w:fill="auto"/>
            <w:vAlign w:val="bottom"/>
          </w:tcPr>
          <w:p w14:paraId="7FE6C35A" w14:textId="77777777" w:rsidR="00D97C94" w:rsidRPr="00537128" w:rsidRDefault="00D97C94" w:rsidP="00D97C94">
            <w:pPr>
              <w:tabs>
                <w:tab w:val="right" w:pos="1202"/>
              </w:tabs>
              <w:spacing w:after="0" w:line="280" w:lineRule="exact"/>
              <w:jc w:val="right"/>
              <w:outlineLvl w:val="0"/>
              <w:rPr>
                <w:rFonts w:ascii="Calibri" w:eastAsia="Calibri" w:hAnsi="Calibri" w:cs="Times New Roman"/>
                <w:sz w:val="19"/>
                <w:szCs w:val="19"/>
                <w:lang w:val="en-US"/>
              </w:rPr>
            </w:pPr>
          </w:p>
        </w:tc>
      </w:tr>
      <w:tr w:rsidR="00D97C94" w:rsidRPr="00537128" w14:paraId="44D0C92E" w14:textId="77777777" w:rsidTr="00A1123E">
        <w:tblPrEx>
          <w:tblCellMar>
            <w:left w:w="31" w:type="dxa"/>
            <w:right w:w="31" w:type="dxa"/>
          </w:tblCellMar>
        </w:tblPrEx>
        <w:trPr>
          <w:cantSplit/>
          <w:trHeight w:val="273"/>
          <w:tblHeader/>
        </w:trPr>
        <w:tc>
          <w:tcPr>
            <w:tcW w:w="1974" w:type="pct"/>
          </w:tcPr>
          <w:p w14:paraId="2828DE11" w14:textId="6C3F0276" w:rsidR="00D97C94" w:rsidRPr="00537128" w:rsidRDefault="00D97C94" w:rsidP="00D97C94">
            <w:pPr>
              <w:tabs>
                <w:tab w:val="right" w:pos="1202"/>
              </w:tabs>
              <w:spacing w:after="0" w:line="280" w:lineRule="exact"/>
              <w:outlineLvl w:val="0"/>
              <w:rPr>
                <w:rFonts w:ascii="Calibri" w:eastAsia="Calibri" w:hAnsi="Calibri" w:cs="Times New Roman"/>
                <w:b/>
                <w:bCs/>
                <w:sz w:val="19"/>
                <w:szCs w:val="19"/>
                <w:lang w:val="en-US"/>
              </w:rPr>
            </w:pPr>
            <w:bookmarkStart w:id="650" w:name="_Toc4060571"/>
            <w:r w:rsidRPr="00537128">
              <w:rPr>
                <w:rFonts w:ascii="Calibri" w:eastAsia="Calibri" w:hAnsi="Calibri" w:cs="Arial"/>
                <w:b/>
                <w:bCs/>
                <w:sz w:val="19"/>
                <w:szCs w:val="19"/>
                <w:lang w:val="en-US"/>
              </w:rPr>
              <w:t>Guarantees and commitments</w:t>
            </w:r>
            <w:bookmarkEnd w:id="650"/>
          </w:p>
        </w:tc>
        <w:tc>
          <w:tcPr>
            <w:tcW w:w="757" w:type="pct"/>
            <w:shd w:val="clear" w:color="auto" w:fill="auto"/>
            <w:vAlign w:val="bottom"/>
          </w:tcPr>
          <w:p w14:paraId="42DBF829" w14:textId="77777777" w:rsidR="00D97C94" w:rsidRPr="00537128" w:rsidRDefault="00D97C94" w:rsidP="00D97C94">
            <w:pPr>
              <w:tabs>
                <w:tab w:val="right" w:pos="1202"/>
              </w:tabs>
              <w:spacing w:after="0" w:line="280" w:lineRule="exact"/>
              <w:jc w:val="right"/>
              <w:outlineLvl w:val="0"/>
              <w:rPr>
                <w:rFonts w:ascii="Calibri" w:eastAsia="Calibri" w:hAnsi="Calibri" w:cs="Times New Roman"/>
                <w:sz w:val="19"/>
                <w:szCs w:val="19"/>
                <w:lang w:val="en-US"/>
              </w:rPr>
            </w:pPr>
          </w:p>
        </w:tc>
        <w:tc>
          <w:tcPr>
            <w:tcW w:w="757" w:type="pct"/>
            <w:shd w:val="clear" w:color="auto" w:fill="auto"/>
            <w:vAlign w:val="bottom"/>
          </w:tcPr>
          <w:p w14:paraId="0BCC0966" w14:textId="77777777" w:rsidR="00D97C94" w:rsidRPr="00537128" w:rsidRDefault="00D97C94" w:rsidP="00D97C94">
            <w:pPr>
              <w:tabs>
                <w:tab w:val="right" w:pos="1202"/>
              </w:tabs>
              <w:spacing w:after="0" w:line="280" w:lineRule="exact"/>
              <w:jc w:val="right"/>
              <w:outlineLvl w:val="0"/>
              <w:rPr>
                <w:rFonts w:ascii="Calibri" w:eastAsia="Calibri" w:hAnsi="Calibri" w:cs="Times New Roman"/>
                <w:sz w:val="19"/>
                <w:szCs w:val="19"/>
                <w:lang w:val="en-US"/>
              </w:rPr>
            </w:pPr>
          </w:p>
        </w:tc>
        <w:tc>
          <w:tcPr>
            <w:tcW w:w="757" w:type="pct"/>
            <w:shd w:val="clear" w:color="auto" w:fill="auto"/>
            <w:vAlign w:val="bottom"/>
          </w:tcPr>
          <w:p w14:paraId="2D9152FD" w14:textId="77777777" w:rsidR="00D97C94" w:rsidRPr="00537128" w:rsidRDefault="00D97C94" w:rsidP="00D97C94">
            <w:pPr>
              <w:tabs>
                <w:tab w:val="right" w:pos="1202"/>
              </w:tabs>
              <w:spacing w:after="0" w:line="280" w:lineRule="exact"/>
              <w:jc w:val="right"/>
              <w:outlineLvl w:val="0"/>
              <w:rPr>
                <w:rFonts w:ascii="Calibri" w:eastAsia="Calibri" w:hAnsi="Calibri" w:cs="Times New Roman"/>
                <w:sz w:val="19"/>
                <w:szCs w:val="19"/>
                <w:lang w:val="en-US"/>
              </w:rPr>
            </w:pPr>
          </w:p>
        </w:tc>
        <w:tc>
          <w:tcPr>
            <w:tcW w:w="755" w:type="pct"/>
            <w:shd w:val="clear" w:color="auto" w:fill="auto"/>
            <w:vAlign w:val="bottom"/>
          </w:tcPr>
          <w:p w14:paraId="3B2991F2" w14:textId="77777777" w:rsidR="00D97C94" w:rsidRPr="00537128" w:rsidRDefault="00D97C94" w:rsidP="00D97C94">
            <w:pPr>
              <w:tabs>
                <w:tab w:val="right" w:pos="1202"/>
              </w:tabs>
              <w:spacing w:after="0" w:line="280" w:lineRule="exact"/>
              <w:jc w:val="right"/>
              <w:outlineLvl w:val="0"/>
              <w:rPr>
                <w:rFonts w:ascii="Calibri" w:eastAsia="Calibri" w:hAnsi="Calibri" w:cs="Times New Roman"/>
                <w:sz w:val="19"/>
                <w:szCs w:val="19"/>
                <w:lang w:val="en-US"/>
              </w:rPr>
            </w:pPr>
          </w:p>
        </w:tc>
      </w:tr>
      <w:tr w:rsidR="00CA4D2D" w:rsidRPr="00537128" w14:paraId="15F75A26" w14:textId="77777777" w:rsidTr="004643D3">
        <w:tblPrEx>
          <w:tblCellMar>
            <w:left w:w="31" w:type="dxa"/>
            <w:right w:w="31" w:type="dxa"/>
          </w:tblCellMar>
        </w:tblPrEx>
        <w:trPr>
          <w:cantSplit/>
          <w:trHeight w:val="273"/>
          <w:tblHeader/>
        </w:trPr>
        <w:tc>
          <w:tcPr>
            <w:tcW w:w="1974" w:type="pct"/>
          </w:tcPr>
          <w:p w14:paraId="18C2C281" w14:textId="0309B2D2" w:rsidR="00CA4D2D" w:rsidRPr="00537128" w:rsidRDefault="00CA4D2D" w:rsidP="00CA4D2D">
            <w:pPr>
              <w:tabs>
                <w:tab w:val="right" w:pos="1202"/>
              </w:tabs>
              <w:spacing w:after="0" w:line="280" w:lineRule="exact"/>
              <w:outlineLvl w:val="0"/>
              <w:rPr>
                <w:rFonts w:ascii="Calibri" w:eastAsia="Calibri" w:hAnsi="Calibri" w:cs="Arial"/>
                <w:bCs/>
                <w:sz w:val="19"/>
                <w:szCs w:val="19"/>
                <w:lang w:val="en-US"/>
              </w:rPr>
            </w:pPr>
            <w:bookmarkStart w:id="651" w:name="_Toc4060572"/>
            <w:r w:rsidRPr="00537128">
              <w:rPr>
                <w:rFonts w:ascii="Calibri" w:eastAsia="Calibri" w:hAnsi="Calibri" w:cs="Arial"/>
                <w:bCs/>
                <w:sz w:val="19"/>
                <w:szCs w:val="19"/>
                <w:lang w:val="en-US"/>
              </w:rPr>
              <w:t>Guarantees issued in HRK</w:t>
            </w:r>
            <w:bookmarkEnd w:id="651"/>
          </w:p>
        </w:tc>
        <w:tc>
          <w:tcPr>
            <w:tcW w:w="757" w:type="pct"/>
            <w:tcBorders>
              <w:top w:val="nil"/>
              <w:left w:val="nil"/>
              <w:bottom w:val="nil"/>
              <w:right w:val="nil"/>
            </w:tcBorders>
            <w:shd w:val="clear" w:color="auto" w:fill="auto"/>
            <w:vAlign w:val="center"/>
          </w:tcPr>
          <w:p w14:paraId="02AC8BB6" w14:textId="18F6164B" w:rsidR="00CA4D2D" w:rsidRPr="00537128" w:rsidRDefault="00CA4D2D" w:rsidP="00CA4D2D">
            <w:pPr>
              <w:tabs>
                <w:tab w:val="right" w:pos="1202"/>
              </w:tabs>
              <w:spacing w:after="0" w:line="280" w:lineRule="exact"/>
              <w:jc w:val="right"/>
              <w:outlineLvl w:val="0"/>
              <w:rPr>
                <w:rFonts w:ascii="Calibri" w:eastAsia="Calibri" w:hAnsi="Calibri" w:cs="Times New Roman"/>
                <w:sz w:val="19"/>
                <w:szCs w:val="19"/>
                <w:lang w:val="en-US"/>
              </w:rPr>
            </w:pPr>
            <w:r w:rsidRPr="00BC56B6">
              <w:rPr>
                <w:rFonts w:ascii="Calibri" w:hAnsi="Calibri" w:cs="Calibri"/>
                <w:sz w:val="19"/>
                <w:szCs w:val="19"/>
              </w:rPr>
              <w:t>146</w:t>
            </w:r>
            <w:r w:rsidR="00596A50">
              <w:rPr>
                <w:rFonts w:ascii="Calibri" w:hAnsi="Calibri" w:cs="Calibri"/>
                <w:sz w:val="19"/>
                <w:szCs w:val="19"/>
              </w:rPr>
              <w:t>,</w:t>
            </w:r>
            <w:r w:rsidRPr="00BC56B6">
              <w:rPr>
                <w:rFonts w:ascii="Calibri" w:hAnsi="Calibri" w:cs="Calibri"/>
                <w:sz w:val="19"/>
                <w:szCs w:val="19"/>
              </w:rPr>
              <w:t>049</w:t>
            </w:r>
          </w:p>
        </w:tc>
        <w:tc>
          <w:tcPr>
            <w:tcW w:w="757" w:type="pct"/>
            <w:tcBorders>
              <w:top w:val="nil"/>
              <w:left w:val="nil"/>
              <w:bottom w:val="nil"/>
              <w:right w:val="nil"/>
            </w:tcBorders>
            <w:shd w:val="clear" w:color="auto" w:fill="auto"/>
            <w:vAlign w:val="center"/>
          </w:tcPr>
          <w:p w14:paraId="3078651D" w14:textId="4C7FEA8A" w:rsidR="00CA4D2D" w:rsidRPr="00A1123E" w:rsidRDefault="00CA4D2D" w:rsidP="00CA4D2D">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w:t>
            </w:r>
          </w:p>
        </w:tc>
        <w:tc>
          <w:tcPr>
            <w:tcW w:w="757" w:type="pct"/>
            <w:tcBorders>
              <w:top w:val="nil"/>
              <w:left w:val="nil"/>
              <w:bottom w:val="nil"/>
              <w:right w:val="nil"/>
            </w:tcBorders>
            <w:shd w:val="clear" w:color="auto" w:fill="auto"/>
            <w:vAlign w:val="center"/>
          </w:tcPr>
          <w:p w14:paraId="15CBD285" w14:textId="62559BE1" w:rsidR="00CA4D2D" w:rsidRPr="00A1123E" w:rsidRDefault="00CA4D2D" w:rsidP="00CA4D2D">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w:t>
            </w:r>
          </w:p>
        </w:tc>
        <w:tc>
          <w:tcPr>
            <w:tcW w:w="755" w:type="pct"/>
            <w:tcBorders>
              <w:top w:val="nil"/>
              <w:left w:val="nil"/>
              <w:bottom w:val="nil"/>
              <w:right w:val="nil"/>
            </w:tcBorders>
            <w:shd w:val="clear" w:color="auto" w:fill="auto"/>
            <w:vAlign w:val="center"/>
          </w:tcPr>
          <w:p w14:paraId="4757FFA6" w14:textId="33712F8D" w:rsidR="00CA4D2D" w:rsidRPr="00A1123E" w:rsidRDefault="00CA4D2D" w:rsidP="00CA4D2D">
            <w:pPr>
              <w:tabs>
                <w:tab w:val="right" w:pos="1202"/>
              </w:tabs>
              <w:spacing w:after="0" w:line="280" w:lineRule="exact"/>
              <w:jc w:val="right"/>
              <w:outlineLvl w:val="0"/>
              <w:rPr>
                <w:rFonts w:ascii="Calibri" w:eastAsia="Calibri" w:hAnsi="Calibri" w:cs="Times New Roman"/>
                <w:sz w:val="19"/>
                <w:szCs w:val="19"/>
                <w:lang w:val="en-US"/>
              </w:rPr>
            </w:pPr>
            <w:r w:rsidRPr="00901A96">
              <w:rPr>
                <w:rFonts w:ascii="Calibri" w:hAnsi="Calibri" w:cs="Calibri"/>
                <w:sz w:val="19"/>
                <w:szCs w:val="19"/>
              </w:rPr>
              <w:t>146</w:t>
            </w:r>
            <w:r w:rsidR="00596A50">
              <w:rPr>
                <w:rFonts w:ascii="Calibri" w:hAnsi="Calibri" w:cs="Calibri"/>
                <w:sz w:val="19"/>
                <w:szCs w:val="19"/>
              </w:rPr>
              <w:t>,</w:t>
            </w:r>
            <w:r w:rsidRPr="00901A96">
              <w:rPr>
                <w:rFonts w:ascii="Calibri" w:hAnsi="Calibri" w:cs="Calibri"/>
                <w:sz w:val="19"/>
                <w:szCs w:val="19"/>
              </w:rPr>
              <w:t>049</w:t>
            </w:r>
          </w:p>
        </w:tc>
      </w:tr>
      <w:tr w:rsidR="00CA4D2D" w:rsidRPr="00537128" w14:paraId="71A441AE" w14:textId="77777777" w:rsidTr="004643D3">
        <w:tblPrEx>
          <w:tblCellMar>
            <w:left w:w="31" w:type="dxa"/>
            <w:right w:w="31" w:type="dxa"/>
          </w:tblCellMar>
        </w:tblPrEx>
        <w:trPr>
          <w:cantSplit/>
          <w:trHeight w:val="273"/>
          <w:tblHeader/>
        </w:trPr>
        <w:tc>
          <w:tcPr>
            <w:tcW w:w="1974" w:type="pct"/>
            <w:vAlign w:val="bottom"/>
          </w:tcPr>
          <w:p w14:paraId="4D4A2B49" w14:textId="19209EA5" w:rsidR="00CA4D2D" w:rsidRPr="00537128" w:rsidRDefault="00CA4D2D" w:rsidP="00CA4D2D">
            <w:pPr>
              <w:tabs>
                <w:tab w:val="right" w:pos="1202"/>
              </w:tabs>
              <w:spacing w:after="0" w:line="280" w:lineRule="exact"/>
              <w:outlineLvl w:val="0"/>
              <w:rPr>
                <w:rFonts w:ascii="Calibri" w:eastAsia="Calibri" w:hAnsi="Calibri" w:cs="Times New Roman"/>
                <w:sz w:val="19"/>
                <w:szCs w:val="19"/>
                <w:lang w:val="en-US"/>
              </w:rPr>
            </w:pPr>
            <w:bookmarkStart w:id="652" w:name="_Toc4060577"/>
            <w:r w:rsidRPr="00537128">
              <w:rPr>
                <w:rFonts w:ascii="Calibri" w:eastAsia="Calibri" w:hAnsi="Calibri" w:cs="Times New Roman"/>
                <w:sz w:val="19"/>
                <w:szCs w:val="19"/>
                <w:lang w:val="en-US"/>
              </w:rPr>
              <w:t>Issued guarantees in foreign currency</w:t>
            </w:r>
            <w:bookmarkEnd w:id="652"/>
          </w:p>
        </w:tc>
        <w:tc>
          <w:tcPr>
            <w:tcW w:w="757" w:type="pct"/>
            <w:tcBorders>
              <w:top w:val="nil"/>
              <w:left w:val="nil"/>
              <w:bottom w:val="nil"/>
              <w:right w:val="nil"/>
            </w:tcBorders>
            <w:shd w:val="clear" w:color="auto" w:fill="auto"/>
            <w:vAlign w:val="center"/>
          </w:tcPr>
          <w:p w14:paraId="316B744D" w14:textId="03E46863" w:rsidR="00CA4D2D" w:rsidRPr="00537128" w:rsidRDefault="00CA4D2D" w:rsidP="00CA4D2D">
            <w:pPr>
              <w:tabs>
                <w:tab w:val="right" w:pos="1202"/>
              </w:tabs>
              <w:spacing w:after="0" w:line="280" w:lineRule="exact"/>
              <w:jc w:val="right"/>
              <w:outlineLvl w:val="0"/>
              <w:rPr>
                <w:rFonts w:ascii="Calibri" w:eastAsia="Calibri" w:hAnsi="Calibri" w:cs="Times New Roman"/>
                <w:sz w:val="19"/>
                <w:szCs w:val="19"/>
                <w:lang w:val="en-US"/>
              </w:rPr>
            </w:pPr>
            <w:r w:rsidRPr="00BC56B6">
              <w:rPr>
                <w:rFonts w:ascii="Calibri" w:hAnsi="Calibri" w:cs="Calibri"/>
                <w:sz w:val="19"/>
                <w:szCs w:val="19"/>
              </w:rPr>
              <w:t>195</w:t>
            </w:r>
            <w:r w:rsidR="00596A50">
              <w:rPr>
                <w:rFonts w:ascii="Calibri" w:hAnsi="Calibri" w:cs="Calibri"/>
                <w:sz w:val="19"/>
                <w:szCs w:val="19"/>
              </w:rPr>
              <w:t>,</w:t>
            </w:r>
            <w:r w:rsidRPr="00BC56B6">
              <w:rPr>
                <w:rFonts w:ascii="Calibri" w:hAnsi="Calibri" w:cs="Calibri"/>
                <w:sz w:val="19"/>
                <w:szCs w:val="19"/>
              </w:rPr>
              <w:t>102</w:t>
            </w:r>
          </w:p>
        </w:tc>
        <w:tc>
          <w:tcPr>
            <w:tcW w:w="757" w:type="pct"/>
            <w:tcBorders>
              <w:top w:val="nil"/>
              <w:left w:val="nil"/>
              <w:bottom w:val="nil"/>
              <w:right w:val="nil"/>
            </w:tcBorders>
            <w:shd w:val="clear" w:color="auto" w:fill="auto"/>
            <w:vAlign w:val="center"/>
          </w:tcPr>
          <w:p w14:paraId="02596D37" w14:textId="0E1D55EE" w:rsidR="00CA4D2D" w:rsidRPr="00A1123E" w:rsidRDefault="00CA4D2D" w:rsidP="00CA4D2D">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w:t>
            </w:r>
          </w:p>
        </w:tc>
        <w:tc>
          <w:tcPr>
            <w:tcW w:w="757" w:type="pct"/>
            <w:tcBorders>
              <w:top w:val="nil"/>
              <w:left w:val="nil"/>
              <w:bottom w:val="nil"/>
              <w:right w:val="nil"/>
            </w:tcBorders>
            <w:shd w:val="clear" w:color="auto" w:fill="auto"/>
            <w:vAlign w:val="center"/>
          </w:tcPr>
          <w:p w14:paraId="3BBF9625" w14:textId="16763340" w:rsidR="00CA4D2D" w:rsidRPr="00A1123E" w:rsidRDefault="00CA4D2D" w:rsidP="00CA4D2D">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w:t>
            </w:r>
          </w:p>
        </w:tc>
        <w:tc>
          <w:tcPr>
            <w:tcW w:w="755" w:type="pct"/>
            <w:tcBorders>
              <w:top w:val="nil"/>
              <w:left w:val="nil"/>
              <w:bottom w:val="nil"/>
              <w:right w:val="nil"/>
            </w:tcBorders>
            <w:shd w:val="clear" w:color="auto" w:fill="auto"/>
            <w:vAlign w:val="center"/>
          </w:tcPr>
          <w:p w14:paraId="3FEFE801" w14:textId="537AD7BD" w:rsidR="00CA4D2D" w:rsidRPr="00A1123E" w:rsidRDefault="00CA4D2D" w:rsidP="00CA4D2D">
            <w:pPr>
              <w:tabs>
                <w:tab w:val="right" w:pos="1202"/>
              </w:tabs>
              <w:spacing w:after="0" w:line="280" w:lineRule="exact"/>
              <w:jc w:val="right"/>
              <w:outlineLvl w:val="0"/>
              <w:rPr>
                <w:rFonts w:ascii="Calibri" w:eastAsia="Calibri" w:hAnsi="Calibri" w:cs="Times New Roman"/>
                <w:sz w:val="19"/>
                <w:szCs w:val="19"/>
                <w:lang w:val="en-US"/>
              </w:rPr>
            </w:pPr>
            <w:r w:rsidRPr="00901A96">
              <w:rPr>
                <w:rFonts w:ascii="Calibri" w:hAnsi="Calibri" w:cs="Calibri"/>
                <w:sz w:val="19"/>
                <w:szCs w:val="19"/>
              </w:rPr>
              <w:t>195</w:t>
            </w:r>
            <w:r w:rsidR="00596A50">
              <w:rPr>
                <w:rFonts w:ascii="Calibri" w:hAnsi="Calibri" w:cs="Calibri"/>
                <w:sz w:val="19"/>
                <w:szCs w:val="19"/>
              </w:rPr>
              <w:t>,</w:t>
            </w:r>
            <w:r w:rsidRPr="00901A96">
              <w:rPr>
                <w:rFonts w:ascii="Calibri" w:hAnsi="Calibri" w:cs="Calibri"/>
                <w:sz w:val="19"/>
                <w:szCs w:val="19"/>
              </w:rPr>
              <w:t>102</w:t>
            </w:r>
          </w:p>
        </w:tc>
      </w:tr>
      <w:tr w:rsidR="00CA4D2D" w:rsidRPr="00537128" w14:paraId="19F85F24" w14:textId="77777777" w:rsidTr="004643D3">
        <w:tblPrEx>
          <w:tblCellMar>
            <w:left w:w="31" w:type="dxa"/>
            <w:right w:w="31" w:type="dxa"/>
          </w:tblCellMar>
        </w:tblPrEx>
        <w:trPr>
          <w:cantSplit/>
          <w:trHeight w:val="273"/>
          <w:tblHeader/>
        </w:trPr>
        <w:tc>
          <w:tcPr>
            <w:tcW w:w="1974" w:type="pct"/>
            <w:vAlign w:val="bottom"/>
          </w:tcPr>
          <w:p w14:paraId="12C4A445" w14:textId="5BDC96C1" w:rsidR="00CA4D2D" w:rsidRPr="00537128" w:rsidRDefault="00CA4D2D" w:rsidP="00CA4D2D">
            <w:pPr>
              <w:tabs>
                <w:tab w:val="right" w:pos="1202"/>
              </w:tabs>
              <w:spacing w:after="0" w:line="280" w:lineRule="exact"/>
              <w:outlineLvl w:val="0"/>
              <w:rPr>
                <w:rFonts w:ascii="Calibri" w:eastAsia="Calibri" w:hAnsi="Calibri" w:cs="Times New Roman"/>
                <w:sz w:val="19"/>
                <w:szCs w:val="19"/>
                <w:lang w:val="en-US"/>
              </w:rPr>
            </w:pPr>
            <w:bookmarkStart w:id="653" w:name="_Toc4060582"/>
            <w:r w:rsidRPr="00537128">
              <w:rPr>
                <w:rFonts w:ascii="Calibri" w:eastAsia="Calibri" w:hAnsi="Calibri" w:cs="Times New Roman"/>
                <w:sz w:val="19"/>
                <w:szCs w:val="19"/>
                <w:lang w:val="en-US"/>
              </w:rPr>
              <w:t>Undrawn loans</w:t>
            </w:r>
            <w:bookmarkEnd w:id="653"/>
          </w:p>
        </w:tc>
        <w:tc>
          <w:tcPr>
            <w:tcW w:w="757" w:type="pct"/>
            <w:tcBorders>
              <w:top w:val="nil"/>
              <w:left w:val="nil"/>
              <w:bottom w:val="nil"/>
              <w:right w:val="nil"/>
            </w:tcBorders>
            <w:shd w:val="clear" w:color="auto" w:fill="auto"/>
            <w:vAlign w:val="center"/>
          </w:tcPr>
          <w:p w14:paraId="1CDEB4E0" w14:textId="5C4DC4B6" w:rsidR="00CA4D2D" w:rsidRPr="00537128" w:rsidRDefault="00CA4D2D" w:rsidP="00CA4D2D">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3</w:t>
            </w:r>
            <w:r w:rsidR="00596A50">
              <w:rPr>
                <w:rFonts w:ascii="Calibri" w:hAnsi="Calibri" w:cs="Calibri"/>
                <w:sz w:val="19"/>
                <w:szCs w:val="19"/>
              </w:rPr>
              <w:t>,</w:t>
            </w:r>
            <w:r>
              <w:rPr>
                <w:rFonts w:ascii="Calibri" w:hAnsi="Calibri" w:cs="Calibri"/>
                <w:sz w:val="19"/>
                <w:szCs w:val="19"/>
              </w:rPr>
              <w:t>182</w:t>
            </w:r>
            <w:r w:rsidR="00596A50">
              <w:rPr>
                <w:rFonts w:ascii="Calibri" w:hAnsi="Calibri" w:cs="Calibri"/>
                <w:sz w:val="19"/>
                <w:szCs w:val="19"/>
              </w:rPr>
              <w:t>,</w:t>
            </w:r>
            <w:r>
              <w:rPr>
                <w:rFonts w:ascii="Calibri" w:hAnsi="Calibri" w:cs="Calibri"/>
                <w:sz w:val="19"/>
                <w:szCs w:val="19"/>
              </w:rPr>
              <w:t>673</w:t>
            </w:r>
          </w:p>
        </w:tc>
        <w:tc>
          <w:tcPr>
            <w:tcW w:w="757" w:type="pct"/>
            <w:tcBorders>
              <w:top w:val="nil"/>
              <w:left w:val="nil"/>
              <w:bottom w:val="nil"/>
              <w:right w:val="nil"/>
            </w:tcBorders>
            <w:shd w:val="clear" w:color="auto" w:fill="auto"/>
            <w:vAlign w:val="center"/>
          </w:tcPr>
          <w:p w14:paraId="26CDA5A1" w14:textId="44F716A8" w:rsidR="00CA4D2D" w:rsidRPr="00A1123E" w:rsidRDefault="00CA4D2D" w:rsidP="00CA4D2D">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w:t>
            </w:r>
          </w:p>
        </w:tc>
        <w:tc>
          <w:tcPr>
            <w:tcW w:w="757" w:type="pct"/>
            <w:tcBorders>
              <w:top w:val="nil"/>
              <w:left w:val="nil"/>
              <w:bottom w:val="nil"/>
              <w:right w:val="nil"/>
            </w:tcBorders>
            <w:shd w:val="clear" w:color="auto" w:fill="auto"/>
            <w:vAlign w:val="center"/>
          </w:tcPr>
          <w:p w14:paraId="3A57EA6E" w14:textId="0EEA8F9B" w:rsidR="00CA4D2D" w:rsidRPr="00A1123E" w:rsidRDefault="00CA4D2D" w:rsidP="00CA4D2D">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1</w:t>
            </w:r>
            <w:r w:rsidR="00596A50">
              <w:rPr>
                <w:rFonts w:ascii="Calibri" w:hAnsi="Calibri" w:cs="Calibri"/>
                <w:sz w:val="19"/>
                <w:szCs w:val="19"/>
              </w:rPr>
              <w:t>,</w:t>
            </w:r>
            <w:r>
              <w:rPr>
                <w:rFonts w:ascii="Calibri" w:hAnsi="Calibri" w:cs="Calibri"/>
                <w:sz w:val="19"/>
                <w:szCs w:val="19"/>
              </w:rPr>
              <w:t>713</w:t>
            </w:r>
          </w:p>
        </w:tc>
        <w:tc>
          <w:tcPr>
            <w:tcW w:w="755" w:type="pct"/>
            <w:tcBorders>
              <w:top w:val="nil"/>
              <w:left w:val="nil"/>
              <w:bottom w:val="nil"/>
              <w:right w:val="nil"/>
            </w:tcBorders>
            <w:shd w:val="clear" w:color="auto" w:fill="auto"/>
            <w:vAlign w:val="center"/>
          </w:tcPr>
          <w:p w14:paraId="59C948BD" w14:textId="10686B9F" w:rsidR="00CA4D2D" w:rsidRPr="00A1123E" w:rsidRDefault="00CA4D2D" w:rsidP="00CA4D2D">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3</w:t>
            </w:r>
            <w:r w:rsidR="00596A50">
              <w:rPr>
                <w:rFonts w:ascii="Calibri" w:hAnsi="Calibri" w:cs="Calibri"/>
                <w:sz w:val="19"/>
                <w:szCs w:val="19"/>
              </w:rPr>
              <w:t>,</w:t>
            </w:r>
            <w:r>
              <w:rPr>
                <w:rFonts w:ascii="Calibri" w:hAnsi="Calibri" w:cs="Calibri"/>
                <w:sz w:val="19"/>
                <w:szCs w:val="19"/>
              </w:rPr>
              <w:t>184</w:t>
            </w:r>
            <w:r w:rsidR="00596A50">
              <w:rPr>
                <w:rFonts w:ascii="Calibri" w:hAnsi="Calibri" w:cs="Calibri"/>
                <w:sz w:val="19"/>
                <w:szCs w:val="19"/>
              </w:rPr>
              <w:t>,</w:t>
            </w:r>
            <w:r>
              <w:rPr>
                <w:rFonts w:ascii="Calibri" w:hAnsi="Calibri" w:cs="Calibri"/>
                <w:sz w:val="19"/>
                <w:szCs w:val="19"/>
              </w:rPr>
              <w:t>386</w:t>
            </w:r>
          </w:p>
        </w:tc>
      </w:tr>
      <w:tr w:rsidR="00D1234E" w:rsidRPr="00537128" w14:paraId="25BDDEAE" w14:textId="77777777" w:rsidTr="00A1123E">
        <w:tblPrEx>
          <w:tblCellMar>
            <w:left w:w="31" w:type="dxa"/>
            <w:right w:w="31" w:type="dxa"/>
          </w:tblCellMar>
        </w:tblPrEx>
        <w:trPr>
          <w:cantSplit/>
          <w:trHeight w:val="322"/>
          <w:tblHeader/>
        </w:trPr>
        <w:tc>
          <w:tcPr>
            <w:tcW w:w="1974" w:type="pct"/>
            <w:vAlign w:val="bottom"/>
          </w:tcPr>
          <w:p w14:paraId="6866B1CE" w14:textId="7C630543" w:rsidR="00D1234E" w:rsidRPr="00537128" w:rsidRDefault="00D1234E" w:rsidP="00D1234E">
            <w:pPr>
              <w:tabs>
                <w:tab w:val="right" w:pos="1202"/>
              </w:tabs>
              <w:spacing w:after="0" w:line="280" w:lineRule="exact"/>
              <w:outlineLvl w:val="0"/>
              <w:rPr>
                <w:rFonts w:ascii="Calibri" w:eastAsia="Calibri" w:hAnsi="Calibri" w:cs="Times New Roman"/>
                <w:b/>
                <w:bCs/>
                <w:sz w:val="19"/>
                <w:szCs w:val="19"/>
                <w:lang w:val="en-US"/>
              </w:rPr>
            </w:pPr>
            <w:bookmarkStart w:id="654" w:name="_Toc4060592"/>
            <w:r w:rsidRPr="00537128">
              <w:rPr>
                <w:rFonts w:ascii="Calibri" w:eastAsia="Calibri" w:hAnsi="Calibri" w:cs="Times New Roman"/>
                <w:b/>
                <w:bCs/>
                <w:sz w:val="19"/>
                <w:szCs w:val="19"/>
                <w:lang w:val="en-US"/>
              </w:rPr>
              <w:t>Total</w:t>
            </w:r>
            <w:bookmarkEnd w:id="654"/>
          </w:p>
        </w:tc>
        <w:tc>
          <w:tcPr>
            <w:tcW w:w="757" w:type="pct"/>
            <w:tcBorders>
              <w:top w:val="single" w:sz="4" w:space="0" w:color="auto"/>
              <w:left w:val="nil"/>
              <w:bottom w:val="single" w:sz="12" w:space="0" w:color="auto"/>
              <w:right w:val="nil"/>
            </w:tcBorders>
            <w:shd w:val="clear" w:color="auto" w:fill="auto"/>
            <w:vAlign w:val="bottom"/>
          </w:tcPr>
          <w:p w14:paraId="46C021D9" w14:textId="71D5E134" w:rsidR="00D1234E" w:rsidRPr="00CA1F1A" w:rsidRDefault="00D1234E" w:rsidP="00D1234E">
            <w:pPr>
              <w:tabs>
                <w:tab w:val="right" w:pos="1202"/>
              </w:tabs>
              <w:spacing w:after="0" w:line="280" w:lineRule="exact"/>
              <w:jc w:val="right"/>
              <w:outlineLvl w:val="0"/>
              <w:rPr>
                <w:rFonts w:ascii="Calibri" w:eastAsia="Calibri" w:hAnsi="Calibri" w:cs="Times New Roman"/>
                <w:b/>
                <w:bCs/>
                <w:sz w:val="19"/>
                <w:szCs w:val="19"/>
                <w:lang w:val="en-US"/>
              </w:rPr>
            </w:pPr>
            <w:r>
              <w:rPr>
                <w:rFonts w:ascii="Calibri" w:hAnsi="Calibri" w:cs="Calibri"/>
                <w:b/>
                <w:bCs/>
                <w:sz w:val="19"/>
                <w:szCs w:val="19"/>
              </w:rPr>
              <w:t>3</w:t>
            </w:r>
            <w:r w:rsidR="00596A50">
              <w:rPr>
                <w:rFonts w:ascii="Calibri" w:hAnsi="Calibri" w:cs="Calibri"/>
                <w:b/>
                <w:bCs/>
                <w:sz w:val="19"/>
                <w:szCs w:val="19"/>
              </w:rPr>
              <w:t>,</w:t>
            </w:r>
            <w:r>
              <w:rPr>
                <w:rFonts w:ascii="Calibri" w:hAnsi="Calibri" w:cs="Calibri"/>
                <w:b/>
                <w:bCs/>
                <w:sz w:val="19"/>
                <w:szCs w:val="19"/>
              </w:rPr>
              <w:t>523</w:t>
            </w:r>
            <w:r w:rsidR="00596A50">
              <w:rPr>
                <w:rFonts w:ascii="Calibri" w:hAnsi="Calibri" w:cs="Calibri"/>
                <w:b/>
                <w:bCs/>
                <w:sz w:val="19"/>
                <w:szCs w:val="19"/>
              </w:rPr>
              <w:t>,</w:t>
            </w:r>
            <w:r>
              <w:rPr>
                <w:rFonts w:ascii="Calibri" w:hAnsi="Calibri" w:cs="Calibri"/>
                <w:b/>
                <w:bCs/>
                <w:sz w:val="19"/>
                <w:szCs w:val="19"/>
              </w:rPr>
              <w:t>824</w:t>
            </w:r>
          </w:p>
        </w:tc>
        <w:tc>
          <w:tcPr>
            <w:tcW w:w="757" w:type="pct"/>
            <w:tcBorders>
              <w:top w:val="single" w:sz="4" w:space="0" w:color="auto"/>
              <w:left w:val="nil"/>
              <w:bottom w:val="single" w:sz="12" w:space="0" w:color="auto"/>
              <w:right w:val="nil"/>
            </w:tcBorders>
            <w:shd w:val="clear" w:color="auto" w:fill="auto"/>
            <w:vAlign w:val="bottom"/>
          </w:tcPr>
          <w:p w14:paraId="53DF5EE4" w14:textId="3565DBDB" w:rsidR="00D1234E" w:rsidRPr="00CA1F1A" w:rsidRDefault="00D1234E" w:rsidP="00D1234E">
            <w:pPr>
              <w:tabs>
                <w:tab w:val="right" w:pos="1202"/>
              </w:tabs>
              <w:spacing w:after="0" w:line="280" w:lineRule="exact"/>
              <w:jc w:val="right"/>
              <w:outlineLvl w:val="0"/>
              <w:rPr>
                <w:rFonts w:ascii="Calibri" w:eastAsia="Calibri" w:hAnsi="Calibri" w:cs="Times New Roman"/>
                <w:b/>
                <w:bCs/>
                <w:sz w:val="19"/>
                <w:szCs w:val="19"/>
                <w:lang w:val="en-US"/>
              </w:rPr>
            </w:pPr>
            <w:r>
              <w:rPr>
                <w:rFonts w:ascii="Calibri" w:hAnsi="Calibri" w:cs="Calibri"/>
                <w:b/>
                <w:bCs/>
                <w:sz w:val="19"/>
                <w:szCs w:val="19"/>
              </w:rPr>
              <w:t>-</w:t>
            </w:r>
          </w:p>
        </w:tc>
        <w:tc>
          <w:tcPr>
            <w:tcW w:w="757" w:type="pct"/>
            <w:tcBorders>
              <w:top w:val="single" w:sz="4" w:space="0" w:color="auto"/>
              <w:left w:val="nil"/>
              <w:bottom w:val="single" w:sz="12" w:space="0" w:color="auto"/>
              <w:right w:val="nil"/>
            </w:tcBorders>
            <w:shd w:val="clear" w:color="auto" w:fill="auto"/>
            <w:vAlign w:val="bottom"/>
          </w:tcPr>
          <w:p w14:paraId="3B484199" w14:textId="2E019B85" w:rsidR="00D1234E" w:rsidRPr="00CA1F1A" w:rsidRDefault="00D1234E" w:rsidP="00D1234E">
            <w:pPr>
              <w:tabs>
                <w:tab w:val="right" w:pos="1202"/>
              </w:tabs>
              <w:spacing w:after="0" w:line="280" w:lineRule="exact"/>
              <w:jc w:val="right"/>
              <w:outlineLvl w:val="0"/>
              <w:rPr>
                <w:rFonts w:ascii="Calibri" w:eastAsia="Calibri" w:hAnsi="Calibri" w:cs="Times New Roman"/>
                <w:b/>
                <w:bCs/>
                <w:sz w:val="19"/>
                <w:szCs w:val="19"/>
                <w:lang w:val="en-US"/>
              </w:rPr>
            </w:pPr>
            <w:r>
              <w:rPr>
                <w:rFonts w:ascii="Calibri" w:hAnsi="Calibri" w:cs="Calibri"/>
                <w:b/>
                <w:bCs/>
                <w:sz w:val="19"/>
                <w:szCs w:val="19"/>
              </w:rPr>
              <w:t>1</w:t>
            </w:r>
            <w:r w:rsidR="00596A50">
              <w:rPr>
                <w:rFonts w:ascii="Calibri" w:hAnsi="Calibri" w:cs="Calibri"/>
                <w:b/>
                <w:bCs/>
                <w:sz w:val="19"/>
                <w:szCs w:val="19"/>
              </w:rPr>
              <w:t>,</w:t>
            </w:r>
            <w:r>
              <w:rPr>
                <w:rFonts w:ascii="Calibri" w:hAnsi="Calibri" w:cs="Calibri"/>
                <w:b/>
                <w:bCs/>
                <w:sz w:val="19"/>
                <w:szCs w:val="19"/>
              </w:rPr>
              <w:t>713</w:t>
            </w:r>
          </w:p>
        </w:tc>
        <w:tc>
          <w:tcPr>
            <w:tcW w:w="755" w:type="pct"/>
            <w:tcBorders>
              <w:top w:val="single" w:sz="4" w:space="0" w:color="auto"/>
              <w:left w:val="nil"/>
              <w:bottom w:val="single" w:sz="12" w:space="0" w:color="auto"/>
              <w:right w:val="nil"/>
            </w:tcBorders>
            <w:shd w:val="clear" w:color="auto" w:fill="auto"/>
            <w:vAlign w:val="bottom"/>
          </w:tcPr>
          <w:p w14:paraId="5E094C38" w14:textId="5B6F1F24" w:rsidR="00D1234E" w:rsidRPr="00CA1F1A" w:rsidRDefault="00D1234E" w:rsidP="00D1234E">
            <w:pPr>
              <w:tabs>
                <w:tab w:val="right" w:pos="1202"/>
              </w:tabs>
              <w:spacing w:after="0" w:line="280" w:lineRule="exact"/>
              <w:jc w:val="right"/>
              <w:outlineLvl w:val="0"/>
              <w:rPr>
                <w:rFonts w:ascii="Calibri" w:eastAsia="Calibri" w:hAnsi="Calibri" w:cs="Times New Roman"/>
                <w:b/>
                <w:bCs/>
                <w:sz w:val="19"/>
                <w:szCs w:val="19"/>
                <w:lang w:val="en-US"/>
              </w:rPr>
            </w:pPr>
            <w:r>
              <w:rPr>
                <w:rFonts w:ascii="Calibri" w:hAnsi="Calibri" w:cs="Calibri"/>
                <w:b/>
                <w:bCs/>
                <w:sz w:val="19"/>
                <w:szCs w:val="19"/>
              </w:rPr>
              <w:t>3</w:t>
            </w:r>
            <w:r w:rsidR="00596A50">
              <w:rPr>
                <w:rFonts w:ascii="Calibri" w:hAnsi="Calibri" w:cs="Calibri"/>
                <w:b/>
                <w:bCs/>
                <w:sz w:val="19"/>
                <w:szCs w:val="19"/>
              </w:rPr>
              <w:t>,</w:t>
            </w:r>
            <w:r>
              <w:rPr>
                <w:rFonts w:ascii="Calibri" w:hAnsi="Calibri" w:cs="Calibri"/>
                <w:b/>
                <w:bCs/>
                <w:sz w:val="19"/>
                <w:szCs w:val="19"/>
              </w:rPr>
              <w:t>525</w:t>
            </w:r>
            <w:r w:rsidR="00596A50">
              <w:rPr>
                <w:rFonts w:ascii="Calibri" w:hAnsi="Calibri" w:cs="Calibri"/>
                <w:b/>
                <w:bCs/>
                <w:sz w:val="19"/>
                <w:szCs w:val="19"/>
              </w:rPr>
              <w:t>,</w:t>
            </w:r>
            <w:r>
              <w:rPr>
                <w:rFonts w:ascii="Calibri" w:hAnsi="Calibri" w:cs="Calibri"/>
                <w:b/>
                <w:bCs/>
                <w:sz w:val="19"/>
                <w:szCs w:val="19"/>
              </w:rPr>
              <w:t>537</w:t>
            </w:r>
          </w:p>
        </w:tc>
      </w:tr>
      <w:tr w:rsidR="00596A50" w:rsidRPr="00537128" w14:paraId="29FAD835" w14:textId="77777777" w:rsidTr="00A1123E">
        <w:tblPrEx>
          <w:tblCellMar>
            <w:left w:w="31" w:type="dxa"/>
            <w:right w:w="31" w:type="dxa"/>
          </w:tblCellMar>
        </w:tblPrEx>
        <w:trPr>
          <w:cantSplit/>
          <w:trHeight w:val="407"/>
          <w:tblHeader/>
        </w:trPr>
        <w:tc>
          <w:tcPr>
            <w:tcW w:w="1974" w:type="pct"/>
            <w:vAlign w:val="bottom"/>
          </w:tcPr>
          <w:p w14:paraId="001486FE" w14:textId="29A449E1" w:rsidR="00596A50" w:rsidRPr="00537128" w:rsidRDefault="00596A50" w:rsidP="00596A50">
            <w:pPr>
              <w:tabs>
                <w:tab w:val="right" w:pos="1202"/>
              </w:tabs>
              <w:spacing w:after="0" w:line="280" w:lineRule="exact"/>
              <w:outlineLvl w:val="0"/>
              <w:rPr>
                <w:rFonts w:ascii="Calibri" w:eastAsia="Calibri" w:hAnsi="Calibri" w:cs="Times New Roman"/>
                <w:b/>
                <w:bCs/>
                <w:sz w:val="19"/>
                <w:szCs w:val="19"/>
                <w:lang w:val="en-US"/>
              </w:rPr>
            </w:pPr>
            <w:bookmarkStart w:id="655" w:name="_Toc4060597"/>
            <w:r w:rsidRPr="00537128">
              <w:rPr>
                <w:rFonts w:ascii="Calibri" w:eastAsia="Calibri" w:hAnsi="Calibri" w:cs="Arial"/>
                <w:b/>
                <w:bCs/>
                <w:sz w:val="19"/>
                <w:szCs w:val="19"/>
                <w:lang w:val="en-US"/>
              </w:rPr>
              <w:t>Total credit risk exposure</w:t>
            </w:r>
            <w:bookmarkEnd w:id="655"/>
          </w:p>
        </w:tc>
        <w:tc>
          <w:tcPr>
            <w:tcW w:w="757" w:type="pct"/>
            <w:tcBorders>
              <w:top w:val="nil"/>
              <w:left w:val="nil"/>
              <w:bottom w:val="single" w:sz="12" w:space="0" w:color="auto"/>
              <w:right w:val="nil"/>
            </w:tcBorders>
            <w:shd w:val="clear" w:color="auto" w:fill="auto"/>
            <w:vAlign w:val="bottom"/>
          </w:tcPr>
          <w:p w14:paraId="2E8B6038" w14:textId="0E1ADC03" w:rsidR="00596A50" w:rsidRPr="00CA1F1A" w:rsidRDefault="00596A50" w:rsidP="00596A50">
            <w:pPr>
              <w:tabs>
                <w:tab w:val="right" w:pos="1202"/>
              </w:tabs>
              <w:spacing w:after="0" w:line="280" w:lineRule="exact"/>
              <w:jc w:val="right"/>
              <w:outlineLvl w:val="0"/>
              <w:rPr>
                <w:rFonts w:ascii="Calibri" w:eastAsia="Calibri" w:hAnsi="Calibri" w:cs="Times New Roman"/>
                <w:b/>
                <w:bCs/>
                <w:sz w:val="19"/>
                <w:szCs w:val="19"/>
                <w:lang w:val="en-US"/>
              </w:rPr>
            </w:pPr>
            <w:r>
              <w:rPr>
                <w:rFonts w:ascii="Calibri" w:hAnsi="Calibri" w:cs="Calibri"/>
                <w:b/>
                <w:bCs/>
                <w:sz w:val="19"/>
                <w:szCs w:val="19"/>
              </w:rPr>
              <w:t>30,521,1</w:t>
            </w:r>
            <w:r w:rsidR="003D5D65">
              <w:rPr>
                <w:rFonts w:ascii="Calibri" w:hAnsi="Calibri" w:cs="Calibri"/>
                <w:b/>
                <w:bCs/>
                <w:sz w:val="19"/>
                <w:szCs w:val="19"/>
              </w:rPr>
              <w:t>70</w:t>
            </w:r>
          </w:p>
        </w:tc>
        <w:tc>
          <w:tcPr>
            <w:tcW w:w="757" w:type="pct"/>
            <w:tcBorders>
              <w:top w:val="nil"/>
              <w:left w:val="nil"/>
              <w:bottom w:val="single" w:sz="12" w:space="0" w:color="auto"/>
              <w:right w:val="nil"/>
            </w:tcBorders>
            <w:shd w:val="clear" w:color="auto" w:fill="auto"/>
            <w:vAlign w:val="bottom"/>
          </w:tcPr>
          <w:p w14:paraId="33F702B0" w14:textId="2AF5639E" w:rsidR="00596A50" w:rsidRPr="00CA1F1A" w:rsidRDefault="00596A50" w:rsidP="00596A50">
            <w:pPr>
              <w:tabs>
                <w:tab w:val="right" w:pos="1202"/>
              </w:tabs>
              <w:spacing w:after="0" w:line="280" w:lineRule="exact"/>
              <w:jc w:val="right"/>
              <w:outlineLvl w:val="0"/>
              <w:rPr>
                <w:rFonts w:ascii="Calibri" w:eastAsia="Calibri" w:hAnsi="Calibri" w:cs="Times New Roman"/>
                <w:b/>
                <w:bCs/>
                <w:sz w:val="19"/>
                <w:szCs w:val="19"/>
                <w:lang w:val="en-US"/>
              </w:rPr>
            </w:pPr>
            <w:r>
              <w:rPr>
                <w:rFonts w:ascii="Calibri" w:hAnsi="Calibri" w:cs="Calibri"/>
                <w:b/>
                <w:bCs/>
                <w:sz w:val="19"/>
                <w:szCs w:val="19"/>
              </w:rPr>
              <w:t>71,029</w:t>
            </w:r>
          </w:p>
        </w:tc>
        <w:tc>
          <w:tcPr>
            <w:tcW w:w="757" w:type="pct"/>
            <w:tcBorders>
              <w:top w:val="nil"/>
              <w:left w:val="nil"/>
              <w:bottom w:val="single" w:sz="12" w:space="0" w:color="auto"/>
              <w:right w:val="nil"/>
            </w:tcBorders>
            <w:shd w:val="clear" w:color="auto" w:fill="auto"/>
            <w:vAlign w:val="bottom"/>
          </w:tcPr>
          <w:p w14:paraId="262EDFD9" w14:textId="50C774D7" w:rsidR="00596A50" w:rsidRPr="00CA1F1A" w:rsidRDefault="00596A50" w:rsidP="00596A50">
            <w:pPr>
              <w:tabs>
                <w:tab w:val="right" w:pos="1202"/>
              </w:tabs>
              <w:spacing w:after="0" w:line="280" w:lineRule="exact"/>
              <w:jc w:val="right"/>
              <w:outlineLvl w:val="0"/>
              <w:rPr>
                <w:rFonts w:ascii="Calibri" w:eastAsia="Calibri" w:hAnsi="Calibri" w:cs="Times New Roman"/>
                <w:b/>
                <w:bCs/>
                <w:sz w:val="19"/>
                <w:szCs w:val="19"/>
                <w:lang w:val="en-US"/>
              </w:rPr>
            </w:pPr>
            <w:r>
              <w:rPr>
                <w:rFonts w:ascii="Calibri" w:hAnsi="Calibri" w:cs="Calibri"/>
                <w:b/>
                <w:bCs/>
                <w:sz w:val="19"/>
                <w:szCs w:val="19"/>
              </w:rPr>
              <w:t>431,6</w:t>
            </w:r>
            <w:r w:rsidR="003D5D65">
              <w:rPr>
                <w:rFonts w:ascii="Calibri" w:hAnsi="Calibri" w:cs="Calibri"/>
                <w:b/>
                <w:bCs/>
                <w:sz w:val="19"/>
                <w:szCs w:val="19"/>
              </w:rPr>
              <w:t>49</w:t>
            </w:r>
          </w:p>
        </w:tc>
        <w:tc>
          <w:tcPr>
            <w:tcW w:w="755" w:type="pct"/>
            <w:tcBorders>
              <w:top w:val="nil"/>
              <w:left w:val="nil"/>
              <w:bottom w:val="single" w:sz="12" w:space="0" w:color="auto"/>
              <w:right w:val="nil"/>
            </w:tcBorders>
            <w:shd w:val="clear" w:color="auto" w:fill="auto"/>
            <w:vAlign w:val="bottom"/>
          </w:tcPr>
          <w:p w14:paraId="6F4E4D5D" w14:textId="3E2EC570" w:rsidR="00596A50" w:rsidRPr="00CA1F1A" w:rsidRDefault="00596A50" w:rsidP="00596A50">
            <w:pPr>
              <w:tabs>
                <w:tab w:val="right" w:pos="1202"/>
              </w:tabs>
              <w:spacing w:after="0" w:line="280" w:lineRule="exact"/>
              <w:jc w:val="right"/>
              <w:outlineLvl w:val="0"/>
              <w:rPr>
                <w:rFonts w:ascii="Calibri" w:eastAsia="Calibri" w:hAnsi="Calibri" w:cs="Times New Roman"/>
                <w:b/>
                <w:bCs/>
                <w:sz w:val="19"/>
                <w:szCs w:val="19"/>
                <w:lang w:val="en-US"/>
              </w:rPr>
            </w:pPr>
            <w:r>
              <w:rPr>
                <w:rFonts w:ascii="Calibri" w:hAnsi="Calibri" w:cs="Calibri"/>
                <w:b/>
                <w:bCs/>
                <w:sz w:val="19"/>
                <w:szCs w:val="19"/>
              </w:rPr>
              <w:t>31,023,848</w:t>
            </w:r>
          </w:p>
        </w:tc>
      </w:tr>
    </w:tbl>
    <w:p w14:paraId="2BDCB036"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bookmarkEnd w:id="628"/>
    <w:p w14:paraId="4C60D338"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3993EFC0"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sectPr w:rsidR="00364B19" w:rsidRPr="00537128">
          <w:pgSz w:w="11906" w:h="16838"/>
          <w:pgMar w:top="1417" w:right="1417" w:bottom="1417" w:left="1417" w:header="708" w:footer="708" w:gutter="0"/>
          <w:cols w:space="708"/>
          <w:docGrid w:linePitch="360"/>
        </w:sectPr>
      </w:pPr>
    </w:p>
    <w:p w14:paraId="7B615B82" w14:textId="77777777" w:rsidR="00364B19" w:rsidRPr="00537128" w:rsidRDefault="00364B19" w:rsidP="00364B19">
      <w:pPr>
        <w:spacing w:after="0" w:line="240" w:lineRule="auto"/>
        <w:jc w:val="both"/>
        <w:rPr>
          <w:rFonts w:ascii="Calibri" w:eastAsia="Times New Roman" w:hAnsi="Calibri" w:cs="Calibri"/>
          <w:b/>
          <w:bCs/>
          <w:color w:val="000000" w:themeColor="text1"/>
          <w:lang w:val="en-US" w:eastAsia="hr-HR"/>
        </w:rPr>
      </w:pPr>
    </w:p>
    <w:p w14:paraId="6100845C" w14:textId="617EF37A" w:rsidR="00364B19" w:rsidRPr="00537128" w:rsidRDefault="00B357CE" w:rsidP="00364B19">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6BE29A41" w14:textId="77777777" w:rsidR="00364B19" w:rsidRPr="00537128"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14:paraId="6F44B1D6" w14:textId="5E4F6F9A" w:rsidR="00364B19" w:rsidRPr="00537128" w:rsidRDefault="00B357CE" w:rsidP="00364B19">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364B19" w:rsidRPr="00537128">
        <w:rPr>
          <w:rFonts w:ascii="Calibri" w:eastAsia="Times New Roman" w:hAnsi="Calibri" w:cs="Arial"/>
          <w:b/>
          <w:color w:val="000000" w:themeColor="text1"/>
          <w:lang w:val="en-US"/>
        </w:rPr>
        <w:t xml:space="preserve">   Credit risk (continued)</w:t>
      </w:r>
    </w:p>
    <w:p w14:paraId="39675342"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4BF1CFD6"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Concentration of risk and maximum credit risk exposure (continued)</w:t>
      </w:r>
    </w:p>
    <w:p w14:paraId="16BF1BD0"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3C9AB096" w14:textId="77777777" w:rsidR="00364B19" w:rsidRPr="00537128" w:rsidRDefault="00364B19" w:rsidP="00364B19">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Concentration of assets and guarantees and commitments, net exposure, according to geographical segments, before the effect of mitigation through collateral received, is as follows (continued):</w:t>
      </w:r>
    </w:p>
    <w:p w14:paraId="157542E9" w14:textId="0CACE955" w:rsidR="00364B19" w:rsidRPr="00537128" w:rsidRDefault="00364B19" w:rsidP="00364B19">
      <w:pPr>
        <w:spacing w:after="0" w:line="240" w:lineRule="auto"/>
        <w:jc w:val="both"/>
        <w:rPr>
          <w:rFonts w:ascii="Calibri" w:eastAsia="Times New Roman" w:hAnsi="Calibri" w:cs="Arial"/>
          <w:b/>
          <w:color w:val="000000" w:themeColor="text1"/>
          <w:lang w:val="en-US"/>
        </w:rPr>
      </w:pPr>
    </w:p>
    <w:tbl>
      <w:tblPr>
        <w:tblW w:w="5025" w:type="pct"/>
        <w:tblLayout w:type="fixed"/>
        <w:tblCellMar>
          <w:left w:w="30" w:type="dxa"/>
          <w:right w:w="30" w:type="dxa"/>
        </w:tblCellMar>
        <w:tblLook w:val="0000" w:firstRow="0" w:lastRow="0" w:firstColumn="0" w:lastColumn="0" w:noHBand="0" w:noVBand="0"/>
      </w:tblPr>
      <w:tblGrid>
        <w:gridCol w:w="3595"/>
        <w:gridCol w:w="1381"/>
        <w:gridCol w:w="1381"/>
        <w:gridCol w:w="1380"/>
        <w:gridCol w:w="1380"/>
      </w:tblGrid>
      <w:tr w:rsidR="00DC290F" w:rsidRPr="004E1BAA" w14:paraId="66AEFD1E" w14:textId="77777777" w:rsidTr="00765996">
        <w:trPr>
          <w:cantSplit/>
          <w:trHeight w:val="877"/>
          <w:tblHeader/>
        </w:trPr>
        <w:tc>
          <w:tcPr>
            <w:tcW w:w="1971" w:type="pct"/>
            <w:vAlign w:val="center"/>
          </w:tcPr>
          <w:p w14:paraId="56111B4F" w14:textId="77777777" w:rsidR="00DC290F" w:rsidRPr="004E1BAA" w:rsidRDefault="00DC290F" w:rsidP="00DC290F">
            <w:pPr>
              <w:tabs>
                <w:tab w:val="right" w:pos="1202"/>
              </w:tabs>
              <w:spacing w:line="240" w:lineRule="auto"/>
              <w:outlineLvl w:val="0"/>
              <w:rPr>
                <w:rFonts w:ascii="Calibri" w:eastAsia="Calibri" w:hAnsi="Calibri" w:cs="Arial"/>
                <w:b/>
                <w:sz w:val="19"/>
                <w:szCs w:val="19"/>
              </w:rPr>
            </w:pPr>
            <w:r w:rsidRPr="004E1BAA">
              <w:rPr>
                <w:rFonts w:ascii="Calibri" w:eastAsia="Calibri" w:hAnsi="Calibri" w:cs="Arial"/>
                <w:b/>
                <w:sz w:val="19"/>
                <w:szCs w:val="19"/>
              </w:rPr>
              <w:t>Group</w:t>
            </w:r>
          </w:p>
          <w:p w14:paraId="69519A96" w14:textId="77777777" w:rsidR="00DC290F" w:rsidRPr="004E1BAA" w:rsidRDefault="00DC290F" w:rsidP="00DC290F">
            <w:pPr>
              <w:tabs>
                <w:tab w:val="right" w:pos="1202"/>
              </w:tabs>
              <w:spacing w:line="240" w:lineRule="auto"/>
              <w:outlineLvl w:val="0"/>
              <w:rPr>
                <w:rFonts w:ascii="Calibri" w:eastAsia="Calibri" w:hAnsi="Calibri" w:cs="Arial"/>
                <w:b/>
                <w:sz w:val="19"/>
                <w:szCs w:val="19"/>
              </w:rPr>
            </w:pPr>
          </w:p>
          <w:p w14:paraId="7AA4541D" w14:textId="77777777" w:rsidR="00DC290F" w:rsidRPr="004E1BAA" w:rsidRDefault="00DC290F" w:rsidP="00DC290F">
            <w:pPr>
              <w:tabs>
                <w:tab w:val="right" w:pos="1202"/>
              </w:tabs>
              <w:spacing w:line="240" w:lineRule="auto"/>
              <w:outlineLvl w:val="0"/>
              <w:rPr>
                <w:rFonts w:ascii="Calibri" w:eastAsia="Calibri" w:hAnsi="Calibri" w:cs="Arial"/>
                <w:b/>
                <w:sz w:val="19"/>
                <w:szCs w:val="19"/>
              </w:rPr>
            </w:pPr>
            <w:r>
              <w:rPr>
                <w:rFonts w:ascii="Calibri" w:eastAsia="Calibri" w:hAnsi="Calibri" w:cs="Arial"/>
                <w:b/>
                <w:sz w:val="19"/>
                <w:szCs w:val="19"/>
              </w:rPr>
              <w:t>31 December</w:t>
            </w:r>
            <w:r w:rsidRPr="004E1BAA">
              <w:rPr>
                <w:rFonts w:ascii="Calibri" w:eastAsia="Calibri" w:hAnsi="Calibri" w:cs="Arial"/>
                <w:b/>
                <w:sz w:val="19"/>
                <w:szCs w:val="19"/>
              </w:rPr>
              <w:t xml:space="preserve"> 20</w:t>
            </w:r>
            <w:r>
              <w:rPr>
                <w:rFonts w:ascii="Calibri" w:eastAsia="Calibri" w:hAnsi="Calibri" w:cs="Arial"/>
                <w:b/>
                <w:sz w:val="19"/>
                <w:szCs w:val="19"/>
              </w:rPr>
              <w:t>21</w:t>
            </w:r>
          </w:p>
        </w:tc>
        <w:tc>
          <w:tcPr>
            <w:tcW w:w="757" w:type="pct"/>
            <w:vAlign w:val="center"/>
          </w:tcPr>
          <w:p w14:paraId="0D3BE4C2" w14:textId="77777777" w:rsidR="00DC290F" w:rsidRPr="004E1BAA" w:rsidRDefault="00DC290F" w:rsidP="00DC290F">
            <w:pPr>
              <w:tabs>
                <w:tab w:val="right" w:pos="1202"/>
              </w:tabs>
              <w:spacing w:line="240" w:lineRule="auto"/>
              <w:jc w:val="right"/>
              <w:outlineLvl w:val="0"/>
              <w:rPr>
                <w:rFonts w:ascii="Calibri" w:eastAsia="Calibri" w:hAnsi="Calibri" w:cs="Arial"/>
                <w:b/>
                <w:sz w:val="19"/>
                <w:szCs w:val="19"/>
              </w:rPr>
            </w:pPr>
            <w:r w:rsidRPr="004E1BAA">
              <w:rPr>
                <w:rFonts w:ascii="Calibri" w:eastAsia="Calibri" w:hAnsi="Calibri" w:cs="Arial"/>
                <w:b/>
                <w:sz w:val="19"/>
                <w:szCs w:val="19"/>
              </w:rPr>
              <w:t>Republic of Croatia</w:t>
            </w:r>
          </w:p>
        </w:tc>
        <w:tc>
          <w:tcPr>
            <w:tcW w:w="757" w:type="pct"/>
            <w:vAlign w:val="center"/>
          </w:tcPr>
          <w:p w14:paraId="4DC3A2A5" w14:textId="77777777" w:rsidR="00DC290F" w:rsidRPr="004E1BAA" w:rsidRDefault="00DC290F" w:rsidP="00DC290F">
            <w:pPr>
              <w:tabs>
                <w:tab w:val="right" w:pos="1202"/>
              </w:tabs>
              <w:spacing w:line="240" w:lineRule="auto"/>
              <w:jc w:val="right"/>
              <w:outlineLvl w:val="0"/>
              <w:rPr>
                <w:rFonts w:ascii="Calibri" w:eastAsia="Calibri" w:hAnsi="Calibri" w:cs="Arial"/>
                <w:b/>
                <w:sz w:val="19"/>
                <w:szCs w:val="19"/>
              </w:rPr>
            </w:pPr>
            <w:r w:rsidRPr="004E1BAA">
              <w:rPr>
                <w:rFonts w:ascii="Calibri" w:eastAsia="Calibri" w:hAnsi="Calibri" w:cs="Arial"/>
                <w:b/>
                <w:sz w:val="19"/>
                <w:szCs w:val="19"/>
              </w:rPr>
              <w:t>EU</w:t>
            </w:r>
          </w:p>
          <w:p w14:paraId="6543684F" w14:textId="77777777" w:rsidR="00DC290F" w:rsidRPr="004E1BAA" w:rsidRDefault="00DC290F" w:rsidP="00DC290F">
            <w:pPr>
              <w:tabs>
                <w:tab w:val="right" w:pos="1202"/>
              </w:tabs>
              <w:spacing w:line="240" w:lineRule="auto"/>
              <w:jc w:val="right"/>
              <w:outlineLvl w:val="0"/>
              <w:rPr>
                <w:rFonts w:ascii="Calibri" w:eastAsia="Calibri" w:hAnsi="Calibri" w:cs="Arial"/>
                <w:b/>
                <w:sz w:val="19"/>
                <w:szCs w:val="19"/>
              </w:rPr>
            </w:pPr>
            <w:r w:rsidRPr="004E1BAA">
              <w:rPr>
                <w:rFonts w:ascii="Calibri" w:eastAsia="Calibri" w:hAnsi="Calibri" w:cs="Arial"/>
                <w:b/>
                <w:sz w:val="19"/>
                <w:szCs w:val="19"/>
              </w:rPr>
              <w:t xml:space="preserve"> countries</w:t>
            </w:r>
          </w:p>
        </w:tc>
        <w:tc>
          <w:tcPr>
            <w:tcW w:w="757" w:type="pct"/>
            <w:vAlign w:val="center"/>
          </w:tcPr>
          <w:p w14:paraId="66058CC4" w14:textId="77777777" w:rsidR="00DC290F" w:rsidRPr="004E1BAA" w:rsidRDefault="00DC290F" w:rsidP="00DC290F">
            <w:pPr>
              <w:tabs>
                <w:tab w:val="right" w:pos="1202"/>
              </w:tabs>
              <w:spacing w:line="240" w:lineRule="auto"/>
              <w:jc w:val="right"/>
              <w:outlineLvl w:val="0"/>
              <w:rPr>
                <w:rFonts w:ascii="Calibri" w:eastAsia="Calibri" w:hAnsi="Calibri" w:cs="Arial"/>
                <w:b/>
                <w:sz w:val="19"/>
                <w:szCs w:val="19"/>
              </w:rPr>
            </w:pPr>
            <w:r w:rsidRPr="004E1BAA">
              <w:rPr>
                <w:rFonts w:ascii="Calibri" w:eastAsia="Calibri" w:hAnsi="Calibri" w:cs="Arial"/>
                <w:b/>
                <w:sz w:val="19"/>
                <w:szCs w:val="19"/>
              </w:rPr>
              <w:t xml:space="preserve">Other </w:t>
            </w:r>
          </w:p>
          <w:p w14:paraId="7DF634E2" w14:textId="77777777" w:rsidR="00DC290F" w:rsidRPr="004E1BAA" w:rsidRDefault="00DC290F" w:rsidP="00DC290F">
            <w:pPr>
              <w:tabs>
                <w:tab w:val="right" w:pos="1202"/>
              </w:tabs>
              <w:spacing w:line="240" w:lineRule="auto"/>
              <w:jc w:val="right"/>
              <w:outlineLvl w:val="0"/>
              <w:rPr>
                <w:rFonts w:ascii="Calibri" w:eastAsia="Calibri" w:hAnsi="Calibri" w:cs="Arial"/>
                <w:b/>
                <w:sz w:val="19"/>
                <w:szCs w:val="19"/>
              </w:rPr>
            </w:pPr>
            <w:r w:rsidRPr="004E1BAA">
              <w:rPr>
                <w:rFonts w:ascii="Calibri" w:eastAsia="Calibri" w:hAnsi="Calibri" w:cs="Arial"/>
                <w:b/>
                <w:sz w:val="19"/>
                <w:szCs w:val="19"/>
              </w:rPr>
              <w:t xml:space="preserve">countries </w:t>
            </w:r>
          </w:p>
        </w:tc>
        <w:tc>
          <w:tcPr>
            <w:tcW w:w="757" w:type="pct"/>
            <w:vAlign w:val="center"/>
          </w:tcPr>
          <w:p w14:paraId="6957C1B4" w14:textId="77777777" w:rsidR="00DC290F" w:rsidRPr="004E1BAA" w:rsidRDefault="00DC290F" w:rsidP="00DC290F">
            <w:pPr>
              <w:tabs>
                <w:tab w:val="right" w:pos="1202"/>
              </w:tabs>
              <w:spacing w:line="240" w:lineRule="auto"/>
              <w:jc w:val="right"/>
              <w:outlineLvl w:val="0"/>
              <w:rPr>
                <w:rFonts w:ascii="Calibri" w:eastAsia="Calibri" w:hAnsi="Calibri" w:cs="Arial"/>
                <w:b/>
                <w:sz w:val="19"/>
                <w:szCs w:val="19"/>
              </w:rPr>
            </w:pPr>
            <w:r w:rsidRPr="004E1BAA">
              <w:rPr>
                <w:rFonts w:ascii="Calibri" w:eastAsia="Calibri" w:hAnsi="Calibri" w:cs="Arial"/>
                <w:b/>
                <w:sz w:val="19"/>
                <w:szCs w:val="19"/>
              </w:rPr>
              <w:t>Total</w:t>
            </w:r>
          </w:p>
        </w:tc>
      </w:tr>
      <w:tr w:rsidR="00DC290F" w:rsidRPr="004E1BAA" w14:paraId="5AB36885" w14:textId="77777777" w:rsidTr="00765996">
        <w:trPr>
          <w:cantSplit/>
          <w:trHeight w:hRule="exact" w:val="247"/>
          <w:tblHeader/>
        </w:trPr>
        <w:tc>
          <w:tcPr>
            <w:tcW w:w="1971" w:type="pct"/>
          </w:tcPr>
          <w:p w14:paraId="623142DC" w14:textId="77777777" w:rsidR="00DC290F" w:rsidRPr="004E1BAA" w:rsidRDefault="00DC290F" w:rsidP="00DC290F">
            <w:pPr>
              <w:tabs>
                <w:tab w:val="right" w:pos="1202"/>
              </w:tabs>
              <w:spacing w:line="240" w:lineRule="auto"/>
              <w:outlineLvl w:val="0"/>
              <w:rPr>
                <w:rFonts w:ascii="Calibri" w:eastAsia="Calibri" w:hAnsi="Calibri" w:cs="Arial"/>
                <w:b/>
                <w:sz w:val="19"/>
                <w:szCs w:val="19"/>
              </w:rPr>
            </w:pPr>
          </w:p>
        </w:tc>
        <w:tc>
          <w:tcPr>
            <w:tcW w:w="757" w:type="pct"/>
          </w:tcPr>
          <w:p w14:paraId="16DEDF65" w14:textId="77777777" w:rsidR="00DC290F" w:rsidRPr="004E1BAA" w:rsidRDefault="00DC290F" w:rsidP="00DC290F">
            <w:pPr>
              <w:tabs>
                <w:tab w:val="right" w:pos="1202"/>
              </w:tabs>
              <w:spacing w:line="240" w:lineRule="auto"/>
              <w:jc w:val="right"/>
              <w:outlineLvl w:val="0"/>
              <w:rPr>
                <w:rFonts w:ascii="Calibri" w:eastAsia="Calibri" w:hAnsi="Calibri" w:cs="Arial"/>
                <w:b/>
                <w:sz w:val="19"/>
                <w:szCs w:val="19"/>
              </w:rPr>
            </w:pPr>
            <w:r w:rsidRPr="004E1BAA">
              <w:rPr>
                <w:rFonts w:ascii="Calibri" w:hAnsi="Calibri" w:cs="Arial"/>
                <w:b/>
                <w:sz w:val="18"/>
                <w:szCs w:val="18"/>
              </w:rPr>
              <w:t>HRK ‘000</w:t>
            </w:r>
          </w:p>
        </w:tc>
        <w:tc>
          <w:tcPr>
            <w:tcW w:w="757" w:type="pct"/>
          </w:tcPr>
          <w:p w14:paraId="7F2CE7A0" w14:textId="77777777" w:rsidR="00DC290F" w:rsidRPr="004E1BAA" w:rsidRDefault="00DC290F" w:rsidP="00DC290F">
            <w:pPr>
              <w:tabs>
                <w:tab w:val="right" w:pos="1202"/>
              </w:tabs>
              <w:spacing w:line="240" w:lineRule="auto"/>
              <w:jc w:val="right"/>
              <w:outlineLvl w:val="0"/>
              <w:rPr>
                <w:rFonts w:ascii="Calibri" w:eastAsia="Calibri" w:hAnsi="Calibri" w:cs="Arial"/>
                <w:b/>
                <w:sz w:val="19"/>
                <w:szCs w:val="19"/>
              </w:rPr>
            </w:pPr>
            <w:r w:rsidRPr="004E1BAA">
              <w:rPr>
                <w:rFonts w:ascii="Calibri" w:hAnsi="Calibri" w:cs="Arial"/>
                <w:b/>
                <w:bCs/>
                <w:sz w:val="18"/>
                <w:szCs w:val="18"/>
              </w:rPr>
              <w:t>HRK ‘000</w:t>
            </w:r>
          </w:p>
        </w:tc>
        <w:tc>
          <w:tcPr>
            <w:tcW w:w="757" w:type="pct"/>
          </w:tcPr>
          <w:p w14:paraId="78BEDF54" w14:textId="77777777" w:rsidR="00DC290F" w:rsidRPr="004E1BAA" w:rsidRDefault="00DC290F" w:rsidP="00DC290F">
            <w:pPr>
              <w:tabs>
                <w:tab w:val="right" w:pos="1202"/>
              </w:tabs>
              <w:spacing w:line="240" w:lineRule="auto"/>
              <w:jc w:val="right"/>
              <w:outlineLvl w:val="0"/>
              <w:rPr>
                <w:rFonts w:ascii="Calibri" w:eastAsia="Calibri" w:hAnsi="Calibri" w:cs="Arial"/>
                <w:b/>
                <w:sz w:val="19"/>
                <w:szCs w:val="19"/>
              </w:rPr>
            </w:pPr>
            <w:r w:rsidRPr="004E1BAA">
              <w:rPr>
                <w:rFonts w:ascii="Calibri" w:hAnsi="Calibri" w:cs="Arial"/>
                <w:b/>
                <w:sz w:val="18"/>
                <w:szCs w:val="18"/>
              </w:rPr>
              <w:t>HRK ‘000</w:t>
            </w:r>
          </w:p>
        </w:tc>
        <w:tc>
          <w:tcPr>
            <w:tcW w:w="757" w:type="pct"/>
          </w:tcPr>
          <w:p w14:paraId="4D8AA39C" w14:textId="77777777" w:rsidR="00DC290F" w:rsidRPr="004E1BAA" w:rsidRDefault="00DC290F" w:rsidP="00DC290F">
            <w:pPr>
              <w:tabs>
                <w:tab w:val="right" w:pos="1202"/>
              </w:tabs>
              <w:spacing w:line="240" w:lineRule="auto"/>
              <w:jc w:val="right"/>
              <w:outlineLvl w:val="0"/>
              <w:rPr>
                <w:rFonts w:ascii="Calibri" w:eastAsia="Calibri" w:hAnsi="Calibri" w:cs="Arial"/>
                <w:b/>
                <w:sz w:val="19"/>
                <w:szCs w:val="19"/>
              </w:rPr>
            </w:pPr>
            <w:r w:rsidRPr="004E1BAA">
              <w:rPr>
                <w:rFonts w:ascii="Calibri" w:hAnsi="Calibri" w:cs="Arial"/>
                <w:b/>
                <w:bCs/>
                <w:sz w:val="18"/>
                <w:szCs w:val="18"/>
              </w:rPr>
              <w:t>HRK ‘000</w:t>
            </w:r>
          </w:p>
        </w:tc>
      </w:tr>
      <w:tr w:rsidR="00DC290F" w:rsidRPr="004E1BAA" w14:paraId="7EEB5B72" w14:textId="77777777" w:rsidTr="00765996">
        <w:trPr>
          <w:cantSplit/>
          <w:trHeight w:val="273"/>
          <w:tblHeader/>
        </w:trPr>
        <w:tc>
          <w:tcPr>
            <w:tcW w:w="1971" w:type="pct"/>
          </w:tcPr>
          <w:p w14:paraId="2FBD8FC8" w14:textId="77777777" w:rsidR="00DC290F" w:rsidRPr="004E1BAA" w:rsidRDefault="00DC290F" w:rsidP="00DC290F">
            <w:pPr>
              <w:tabs>
                <w:tab w:val="right" w:pos="1202"/>
              </w:tabs>
              <w:spacing w:line="240" w:lineRule="auto"/>
              <w:outlineLvl w:val="0"/>
              <w:rPr>
                <w:rFonts w:ascii="Calibri" w:eastAsia="Calibri" w:hAnsi="Calibri" w:cs="Arial"/>
                <w:b/>
                <w:bCs/>
                <w:sz w:val="19"/>
                <w:szCs w:val="19"/>
              </w:rPr>
            </w:pPr>
            <w:r w:rsidRPr="004E1BAA">
              <w:rPr>
                <w:rFonts w:ascii="Calibri" w:eastAsia="Calibri" w:hAnsi="Calibri" w:cs="Arial"/>
                <w:b/>
                <w:bCs/>
                <w:sz w:val="19"/>
                <w:szCs w:val="19"/>
              </w:rPr>
              <w:t>Assets</w:t>
            </w:r>
          </w:p>
        </w:tc>
        <w:tc>
          <w:tcPr>
            <w:tcW w:w="757" w:type="pct"/>
          </w:tcPr>
          <w:p w14:paraId="1641C0DA" w14:textId="77777777" w:rsidR="00DC290F" w:rsidRPr="004E1BAA" w:rsidRDefault="00DC290F" w:rsidP="00DC290F">
            <w:pPr>
              <w:spacing w:line="240" w:lineRule="auto"/>
              <w:jc w:val="right"/>
              <w:rPr>
                <w:rFonts w:ascii="Calibri" w:eastAsia="Calibri" w:hAnsi="Calibri" w:cs="Arial"/>
                <w:sz w:val="19"/>
                <w:szCs w:val="19"/>
              </w:rPr>
            </w:pPr>
          </w:p>
        </w:tc>
        <w:tc>
          <w:tcPr>
            <w:tcW w:w="757" w:type="pct"/>
          </w:tcPr>
          <w:p w14:paraId="739032D3" w14:textId="77777777" w:rsidR="00DC290F" w:rsidRPr="004E1BAA" w:rsidRDefault="00DC290F" w:rsidP="00DC290F">
            <w:pPr>
              <w:spacing w:line="240" w:lineRule="auto"/>
              <w:jc w:val="right"/>
              <w:rPr>
                <w:rFonts w:ascii="Calibri" w:eastAsia="Calibri" w:hAnsi="Calibri" w:cs="Arial"/>
                <w:sz w:val="19"/>
                <w:szCs w:val="19"/>
              </w:rPr>
            </w:pPr>
          </w:p>
        </w:tc>
        <w:tc>
          <w:tcPr>
            <w:tcW w:w="757" w:type="pct"/>
          </w:tcPr>
          <w:p w14:paraId="7DFABB5D" w14:textId="77777777" w:rsidR="00DC290F" w:rsidRPr="004E1BAA" w:rsidRDefault="00DC290F" w:rsidP="00DC290F">
            <w:pPr>
              <w:spacing w:line="240" w:lineRule="auto"/>
              <w:jc w:val="right"/>
              <w:rPr>
                <w:rFonts w:ascii="Calibri" w:eastAsia="Calibri" w:hAnsi="Calibri" w:cs="Arial"/>
                <w:sz w:val="19"/>
                <w:szCs w:val="19"/>
              </w:rPr>
            </w:pPr>
          </w:p>
        </w:tc>
        <w:tc>
          <w:tcPr>
            <w:tcW w:w="757" w:type="pct"/>
          </w:tcPr>
          <w:p w14:paraId="16F2E296" w14:textId="77777777" w:rsidR="00DC290F" w:rsidRPr="004E1BAA" w:rsidRDefault="00DC290F" w:rsidP="00DC290F">
            <w:pPr>
              <w:spacing w:line="240" w:lineRule="auto"/>
              <w:jc w:val="center"/>
              <w:rPr>
                <w:rFonts w:ascii="Calibri" w:eastAsia="Calibri" w:hAnsi="Calibri" w:cs="Arial"/>
                <w:sz w:val="19"/>
                <w:szCs w:val="19"/>
              </w:rPr>
            </w:pPr>
          </w:p>
        </w:tc>
      </w:tr>
      <w:tr w:rsidR="00DC290F" w:rsidRPr="004E1BAA" w14:paraId="4D76463B" w14:textId="77777777" w:rsidTr="00765996">
        <w:trPr>
          <w:cantSplit/>
          <w:trHeight w:val="273"/>
          <w:tblHeader/>
        </w:trPr>
        <w:tc>
          <w:tcPr>
            <w:tcW w:w="1971" w:type="pct"/>
            <w:vAlign w:val="bottom"/>
          </w:tcPr>
          <w:p w14:paraId="26202525" w14:textId="77777777" w:rsidR="00DC290F" w:rsidRPr="004E1BAA" w:rsidRDefault="00DC290F" w:rsidP="00DC290F">
            <w:pPr>
              <w:tabs>
                <w:tab w:val="right" w:pos="1202"/>
              </w:tabs>
              <w:spacing w:line="240" w:lineRule="auto"/>
              <w:outlineLvl w:val="0"/>
              <w:rPr>
                <w:rFonts w:ascii="Calibri" w:eastAsia="Calibri" w:hAnsi="Calibri"/>
                <w:sz w:val="19"/>
                <w:szCs w:val="19"/>
              </w:rPr>
            </w:pPr>
            <w:r w:rsidRPr="004E1BAA">
              <w:rPr>
                <w:rFonts w:ascii="Calibri" w:eastAsia="Calibri" w:hAnsi="Calibri" w:cs="Arial"/>
                <w:sz w:val="19"/>
                <w:szCs w:val="19"/>
              </w:rPr>
              <w:t>Cash on hand and current accounts with banks</w:t>
            </w:r>
          </w:p>
        </w:tc>
        <w:tc>
          <w:tcPr>
            <w:tcW w:w="757" w:type="pct"/>
            <w:tcBorders>
              <w:top w:val="nil"/>
              <w:left w:val="nil"/>
              <w:bottom w:val="nil"/>
              <w:right w:val="nil"/>
            </w:tcBorders>
            <w:shd w:val="clear" w:color="auto" w:fill="auto"/>
            <w:vAlign w:val="bottom"/>
          </w:tcPr>
          <w:p w14:paraId="3A3DB251" w14:textId="77777777" w:rsidR="00DC290F" w:rsidRPr="004E1BAA" w:rsidRDefault="00DC290F" w:rsidP="00DC290F">
            <w:pPr>
              <w:spacing w:line="240" w:lineRule="auto"/>
              <w:jc w:val="right"/>
              <w:rPr>
                <w:rFonts w:ascii="Calibri" w:eastAsia="Calibri" w:hAnsi="Calibri" w:cs="Arial"/>
                <w:sz w:val="19"/>
                <w:szCs w:val="19"/>
              </w:rPr>
            </w:pPr>
            <w:bookmarkStart w:id="656" w:name="_Toc67329277"/>
            <w:r w:rsidRPr="006577DA">
              <w:rPr>
                <w:sz w:val="19"/>
                <w:szCs w:val="19"/>
              </w:rPr>
              <w:t>1</w:t>
            </w:r>
            <w:r>
              <w:rPr>
                <w:sz w:val="19"/>
                <w:szCs w:val="19"/>
              </w:rPr>
              <w:t>,</w:t>
            </w:r>
            <w:r w:rsidRPr="006577DA">
              <w:rPr>
                <w:sz w:val="19"/>
                <w:szCs w:val="19"/>
              </w:rPr>
              <w:t>881</w:t>
            </w:r>
            <w:r>
              <w:rPr>
                <w:sz w:val="19"/>
                <w:szCs w:val="19"/>
              </w:rPr>
              <w:t>,</w:t>
            </w:r>
            <w:r w:rsidRPr="006577DA">
              <w:rPr>
                <w:sz w:val="19"/>
                <w:szCs w:val="19"/>
              </w:rPr>
              <w:t>083</w:t>
            </w:r>
            <w:bookmarkEnd w:id="656"/>
          </w:p>
        </w:tc>
        <w:tc>
          <w:tcPr>
            <w:tcW w:w="757" w:type="pct"/>
            <w:tcBorders>
              <w:top w:val="nil"/>
              <w:left w:val="nil"/>
              <w:bottom w:val="nil"/>
              <w:right w:val="nil"/>
            </w:tcBorders>
            <w:shd w:val="clear" w:color="auto" w:fill="auto"/>
            <w:vAlign w:val="bottom"/>
          </w:tcPr>
          <w:p w14:paraId="6BEE97E7" w14:textId="77777777" w:rsidR="00DC290F" w:rsidRPr="004E1BAA" w:rsidRDefault="00DC290F" w:rsidP="00DC290F">
            <w:pPr>
              <w:tabs>
                <w:tab w:val="right" w:pos="1202"/>
              </w:tabs>
              <w:spacing w:line="240" w:lineRule="auto"/>
              <w:jc w:val="right"/>
              <w:outlineLvl w:val="0"/>
              <w:rPr>
                <w:rFonts w:ascii="Calibri" w:eastAsia="Calibri" w:hAnsi="Calibri"/>
                <w:sz w:val="19"/>
                <w:szCs w:val="19"/>
              </w:rPr>
            </w:pPr>
            <w:bookmarkStart w:id="657" w:name="_Toc67329278"/>
            <w:r w:rsidRPr="006577DA">
              <w:rPr>
                <w:sz w:val="19"/>
                <w:szCs w:val="19"/>
              </w:rPr>
              <w:t>25</w:t>
            </w:r>
            <w:r>
              <w:rPr>
                <w:sz w:val="19"/>
                <w:szCs w:val="19"/>
              </w:rPr>
              <w:t>,</w:t>
            </w:r>
            <w:r w:rsidRPr="006577DA">
              <w:rPr>
                <w:sz w:val="19"/>
                <w:szCs w:val="19"/>
              </w:rPr>
              <w:t>319</w:t>
            </w:r>
            <w:bookmarkEnd w:id="657"/>
          </w:p>
        </w:tc>
        <w:tc>
          <w:tcPr>
            <w:tcW w:w="757" w:type="pct"/>
            <w:tcBorders>
              <w:top w:val="nil"/>
              <w:left w:val="nil"/>
              <w:bottom w:val="nil"/>
              <w:right w:val="nil"/>
            </w:tcBorders>
            <w:shd w:val="clear" w:color="auto" w:fill="auto"/>
            <w:vAlign w:val="bottom"/>
          </w:tcPr>
          <w:p w14:paraId="3B4667E3" w14:textId="77777777" w:rsidR="00DC290F" w:rsidRPr="004E1BAA" w:rsidRDefault="00DC290F" w:rsidP="00DC290F">
            <w:pPr>
              <w:tabs>
                <w:tab w:val="right" w:pos="1202"/>
              </w:tabs>
              <w:spacing w:line="240" w:lineRule="auto"/>
              <w:jc w:val="right"/>
              <w:outlineLvl w:val="0"/>
              <w:rPr>
                <w:rFonts w:ascii="Calibri" w:eastAsia="Calibri" w:hAnsi="Calibri"/>
                <w:sz w:val="19"/>
                <w:szCs w:val="19"/>
              </w:rPr>
            </w:pPr>
            <w:bookmarkStart w:id="658" w:name="_Toc67329279"/>
            <w:r w:rsidRPr="006577DA">
              <w:rPr>
                <w:sz w:val="19"/>
                <w:szCs w:val="19"/>
              </w:rPr>
              <w:t>55</w:t>
            </w:r>
            <w:r>
              <w:rPr>
                <w:sz w:val="19"/>
                <w:szCs w:val="19"/>
              </w:rPr>
              <w:t>,</w:t>
            </w:r>
            <w:r w:rsidRPr="006577DA">
              <w:rPr>
                <w:sz w:val="19"/>
                <w:szCs w:val="19"/>
              </w:rPr>
              <w:t>583</w:t>
            </w:r>
            <w:bookmarkEnd w:id="658"/>
          </w:p>
        </w:tc>
        <w:tc>
          <w:tcPr>
            <w:tcW w:w="757" w:type="pct"/>
            <w:tcBorders>
              <w:top w:val="nil"/>
              <w:left w:val="nil"/>
              <w:bottom w:val="nil"/>
              <w:right w:val="nil"/>
            </w:tcBorders>
            <w:shd w:val="clear" w:color="auto" w:fill="auto"/>
            <w:vAlign w:val="bottom"/>
          </w:tcPr>
          <w:p w14:paraId="170C49C2" w14:textId="77777777" w:rsidR="00DC290F" w:rsidRPr="004E1BAA" w:rsidRDefault="00DC290F" w:rsidP="00DC290F">
            <w:pPr>
              <w:tabs>
                <w:tab w:val="right" w:pos="1202"/>
              </w:tabs>
              <w:spacing w:line="240" w:lineRule="auto"/>
              <w:jc w:val="right"/>
              <w:outlineLvl w:val="0"/>
              <w:rPr>
                <w:rFonts w:ascii="Calibri" w:eastAsia="Calibri" w:hAnsi="Calibri"/>
                <w:sz w:val="19"/>
                <w:szCs w:val="19"/>
              </w:rPr>
            </w:pPr>
            <w:bookmarkStart w:id="659" w:name="_Toc67329280"/>
            <w:r w:rsidRPr="006577DA">
              <w:rPr>
                <w:sz w:val="19"/>
                <w:szCs w:val="19"/>
              </w:rPr>
              <w:t>1</w:t>
            </w:r>
            <w:r>
              <w:rPr>
                <w:sz w:val="19"/>
                <w:szCs w:val="19"/>
              </w:rPr>
              <w:t>,</w:t>
            </w:r>
            <w:r w:rsidRPr="006577DA">
              <w:rPr>
                <w:sz w:val="19"/>
                <w:szCs w:val="19"/>
              </w:rPr>
              <w:t>961</w:t>
            </w:r>
            <w:r>
              <w:rPr>
                <w:sz w:val="19"/>
                <w:szCs w:val="19"/>
              </w:rPr>
              <w:t>,</w:t>
            </w:r>
            <w:r w:rsidRPr="006577DA">
              <w:rPr>
                <w:sz w:val="19"/>
                <w:szCs w:val="19"/>
              </w:rPr>
              <w:t>985</w:t>
            </w:r>
            <w:bookmarkEnd w:id="659"/>
          </w:p>
        </w:tc>
      </w:tr>
      <w:tr w:rsidR="00DC290F" w:rsidRPr="004E1BAA" w14:paraId="6FEF5057" w14:textId="77777777" w:rsidTr="00765996">
        <w:trPr>
          <w:cantSplit/>
          <w:trHeight w:val="273"/>
          <w:tblHeader/>
        </w:trPr>
        <w:tc>
          <w:tcPr>
            <w:tcW w:w="1971" w:type="pct"/>
            <w:vAlign w:val="bottom"/>
          </w:tcPr>
          <w:p w14:paraId="4D712C76" w14:textId="77777777" w:rsidR="00DC290F" w:rsidRPr="004E1BAA" w:rsidRDefault="00DC290F" w:rsidP="00DC290F">
            <w:pPr>
              <w:tabs>
                <w:tab w:val="right" w:pos="1202"/>
              </w:tabs>
              <w:spacing w:line="240" w:lineRule="auto"/>
              <w:outlineLvl w:val="0"/>
              <w:rPr>
                <w:rFonts w:ascii="Calibri" w:eastAsia="Calibri" w:hAnsi="Calibri"/>
                <w:sz w:val="19"/>
                <w:szCs w:val="19"/>
              </w:rPr>
            </w:pPr>
            <w:r w:rsidRPr="004E1BAA">
              <w:rPr>
                <w:rFonts w:ascii="Calibri" w:eastAsia="Calibri" w:hAnsi="Calibri" w:cs="Arial"/>
                <w:sz w:val="19"/>
                <w:szCs w:val="19"/>
              </w:rPr>
              <w:t>Deposits with other banks</w:t>
            </w:r>
          </w:p>
        </w:tc>
        <w:tc>
          <w:tcPr>
            <w:tcW w:w="757" w:type="pct"/>
            <w:tcBorders>
              <w:top w:val="nil"/>
              <w:left w:val="nil"/>
              <w:bottom w:val="nil"/>
              <w:right w:val="nil"/>
            </w:tcBorders>
            <w:shd w:val="clear" w:color="auto" w:fill="auto"/>
            <w:vAlign w:val="bottom"/>
          </w:tcPr>
          <w:p w14:paraId="09C37B58" w14:textId="77777777" w:rsidR="00DC290F" w:rsidRPr="004E1BAA" w:rsidRDefault="00DC290F" w:rsidP="00DC290F">
            <w:pPr>
              <w:tabs>
                <w:tab w:val="right" w:pos="1202"/>
              </w:tabs>
              <w:spacing w:line="240" w:lineRule="auto"/>
              <w:jc w:val="right"/>
              <w:outlineLvl w:val="0"/>
              <w:rPr>
                <w:rFonts w:ascii="Calibri" w:eastAsia="Calibri" w:hAnsi="Calibri"/>
                <w:sz w:val="19"/>
                <w:szCs w:val="19"/>
              </w:rPr>
            </w:pPr>
            <w:bookmarkStart w:id="660" w:name="_Toc67329282"/>
            <w:r>
              <w:rPr>
                <w:sz w:val="19"/>
                <w:szCs w:val="19"/>
              </w:rPr>
              <w:t>-</w:t>
            </w:r>
            <w:bookmarkEnd w:id="660"/>
          </w:p>
        </w:tc>
        <w:tc>
          <w:tcPr>
            <w:tcW w:w="757" w:type="pct"/>
            <w:tcBorders>
              <w:top w:val="nil"/>
              <w:left w:val="nil"/>
              <w:bottom w:val="nil"/>
              <w:right w:val="nil"/>
            </w:tcBorders>
            <w:shd w:val="clear" w:color="auto" w:fill="auto"/>
            <w:vAlign w:val="bottom"/>
          </w:tcPr>
          <w:p w14:paraId="2B5F9598" w14:textId="77777777" w:rsidR="00DC290F" w:rsidRPr="004E1BAA" w:rsidRDefault="00DC290F" w:rsidP="00DC290F">
            <w:pPr>
              <w:tabs>
                <w:tab w:val="right" w:pos="1202"/>
              </w:tabs>
              <w:spacing w:line="240" w:lineRule="auto"/>
              <w:jc w:val="right"/>
              <w:outlineLvl w:val="0"/>
              <w:rPr>
                <w:rFonts w:ascii="Calibri" w:eastAsia="Calibri" w:hAnsi="Calibri"/>
                <w:sz w:val="19"/>
                <w:szCs w:val="19"/>
              </w:rPr>
            </w:pPr>
            <w:bookmarkStart w:id="661" w:name="_Toc67329283"/>
            <w:r w:rsidRPr="006577DA">
              <w:rPr>
                <w:sz w:val="19"/>
                <w:szCs w:val="19"/>
              </w:rPr>
              <w:t>7</w:t>
            </w:r>
            <w:r>
              <w:rPr>
                <w:sz w:val="19"/>
                <w:szCs w:val="19"/>
              </w:rPr>
              <w:t>,</w:t>
            </w:r>
            <w:r w:rsidRPr="006577DA">
              <w:rPr>
                <w:sz w:val="19"/>
                <w:szCs w:val="19"/>
              </w:rPr>
              <w:t>500</w:t>
            </w:r>
            <w:bookmarkEnd w:id="661"/>
          </w:p>
        </w:tc>
        <w:tc>
          <w:tcPr>
            <w:tcW w:w="757" w:type="pct"/>
            <w:tcBorders>
              <w:top w:val="nil"/>
              <w:left w:val="nil"/>
              <w:bottom w:val="nil"/>
              <w:right w:val="nil"/>
            </w:tcBorders>
            <w:shd w:val="clear" w:color="auto" w:fill="auto"/>
            <w:vAlign w:val="bottom"/>
          </w:tcPr>
          <w:p w14:paraId="0CFAABA8" w14:textId="77777777" w:rsidR="00DC290F" w:rsidRPr="004E1BAA" w:rsidRDefault="00DC290F" w:rsidP="00DC290F">
            <w:pPr>
              <w:tabs>
                <w:tab w:val="right" w:pos="1202"/>
              </w:tabs>
              <w:spacing w:line="240" w:lineRule="auto"/>
              <w:jc w:val="right"/>
              <w:outlineLvl w:val="0"/>
              <w:rPr>
                <w:rFonts w:ascii="Calibri" w:eastAsia="Calibri" w:hAnsi="Calibri"/>
                <w:sz w:val="19"/>
                <w:szCs w:val="19"/>
              </w:rPr>
            </w:pPr>
            <w:bookmarkStart w:id="662" w:name="_Toc67329284"/>
            <w:r>
              <w:rPr>
                <w:sz w:val="19"/>
                <w:szCs w:val="19"/>
              </w:rPr>
              <w:t>-</w:t>
            </w:r>
            <w:bookmarkEnd w:id="662"/>
          </w:p>
        </w:tc>
        <w:tc>
          <w:tcPr>
            <w:tcW w:w="757" w:type="pct"/>
            <w:tcBorders>
              <w:top w:val="nil"/>
              <w:left w:val="nil"/>
              <w:bottom w:val="nil"/>
              <w:right w:val="nil"/>
            </w:tcBorders>
            <w:shd w:val="clear" w:color="auto" w:fill="auto"/>
            <w:vAlign w:val="bottom"/>
          </w:tcPr>
          <w:p w14:paraId="079811CB" w14:textId="77777777" w:rsidR="00DC290F" w:rsidRPr="004E1BAA" w:rsidRDefault="00DC290F" w:rsidP="00DC290F">
            <w:pPr>
              <w:tabs>
                <w:tab w:val="right" w:pos="1202"/>
              </w:tabs>
              <w:spacing w:line="240" w:lineRule="auto"/>
              <w:jc w:val="right"/>
              <w:outlineLvl w:val="0"/>
              <w:rPr>
                <w:rFonts w:ascii="Calibri" w:eastAsia="Calibri" w:hAnsi="Calibri"/>
                <w:sz w:val="19"/>
                <w:szCs w:val="19"/>
              </w:rPr>
            </w:pPr>
            <w:bookmarkStart w:id="663" w:name="_Toc67329285"/>
            <w:r w:rsidRPr="006577DA">
              <w:rPr>
                <w:sz w:val="19"/>
                <w:szCs w:val="19"/>
              </w:rPr>
              <w:t>7</w:t>
            </w:r>
            <w:r>
              <w:rPr>
                <w:sz w:val="19"/>
                <w:szCs w:val="19"/>
              </w:rPr>
              <w:t>,</w:t>
            </w:r>
            <w:r w:rsidRPr="006577DA">
              <w:rPr>
                <w:sz w:val="19"/>
                <w:szCs w:val="19"/>
              </w:rPr>
              <w:t>500</w:t>
            </w:r>
            <w:bookmarkEnd w:id="663"/>
          </w:p>
        </w:tc>
      </w:tr>
      <w:tr w:rsidR="00DC290F" w:rsidRPr="004E1BAA" w14:paraId="05D2E9AE" w14:textId="77777777" w:rsidTr="00765996">
        <w:trPr>
          <w:cantSplit/>
          <w:trHeight w:val="273"/>
          <w:tblHeader/>
        </w:trPr>
        <w:tc>
          <w:tcPr>
            <w:tcW w:w="1971" w:type="pct"/>
            <w:vAlign w:val="bottom"/>
          </w:tcPr>
          <w:p w14:paraId="4AEA1144" w14:textId="77777777" w:rsidR="00DC290F" w:rsidRPr="004E1BAA" w:rsidRDefault="00DC290F" w:rsidP="00DC290F">
            <w:pPr>
              <w:tabs>
                <w:tab w:val="right" w:pos="1202"/>
              </w:tabs>
              <w:spacing w:line="240" w:lineRule="auto"/>
              <w:outlineLvl w:val="0"/>
              <w:rPr>
                <w:rFonts w:ascii="Calibri" w:eastAsia="Calibri" w:hAnsi="Calibri"/>
                <w:sz w:val="19"/>
                <w:szCs w:val="19"/>
              </w:rPr>
            </w:pPr>
            <w:r w:rsidRPr="004E1BAA">
              <w:rPr>
                <w:rFonts w:ascii="Calibri" w:eastAsia="Calibri" w:hAnsi="Calibri" w:cs="Arial"/>
                <w:sz w:val="19"/>
                <w:szCs w:val="19"/>
              </w:rPr>
              <w:t>Loans to financial institutions</w:t>
            </w:r>
          </w:p>
        </w:tc>
        <w:tc>
          <w:tcPr>
            <w:tcW w:w="757" w:type="pct"/>
            <w:tcBorders>
              <w:top w:val="nil"/>
              <w:left w:val="nil"/>
              <w:bottom w:val="nil"/>
              <w:right w:val="nil"/>
            </w:tcBorders>
            <w:shd w:val="clear" w:color="auto" w:fill="auto"/>
            <w:vAlign w:val="bottom"/>
          </w:tcPr>
          <w:p w14:paraId="10A53AB1" w14:textId="77777777" w:rsidR="00DC290F" w:rsidRPr="004E1BAA" w:rsidRDefault="00DC290F" w:rsidP="00DC290F">
            <w:pPr>
              <w:tabs>
                <w:tab w:val="right" w:pos="1202"/>
              </w:tabs>
              <w:spacing w:line="240" w:lineRule="auto"/>
              <w:jc w:val="right"/>
              <w:outlineLvl w:val="0"/>
              <w:rPr>
                <w:rFonts w:ascii="Calibri" w:eastAsia="Calibri" w:hAnsi="Calibri"/>
                <w:sz w:val="19"/>
                <w:szCs w:val="19"/>
              </w:rPr>
            </w:pPr>
            <w:bookmarkStart w:id="664" w:name="_Toc67329287"/>
            <w:r w:rsidRPr="006577DA">
              <w:rPr>
                <w:sz w:val="19"/>
                <w:szCs w:val="19"/>
              </w:rPr>
              <w:t>7</w:t>
            </w:r>
            <w:r>
              <w:rPr>
                <w:sz w:val="19"/>
                <w:szCs w:val="19"/>
              </w:rPr>
              <w:t>,</w:t>
            </w:r>
            <w:r w:rsidRPr="006577DA">
              <w:rPr>
                <w:sz w:val="19"/>
                <w:szCs w:val="19"/>
              </w:rPr>
              <w:t>050</w:t>
            </w:r>
            <w:r>
              <w:rPr>
                <w:sz w:val="19"/>
                <w:szCs w:val="19"/>
              </w:rPr>
              <w:t>,</w:t>
            </w:r>
            <w:r w:rsidRPr="006577DA">
              <w:rPr>
                <w:sz w:val="19"/>
                <w:szCs w:val="19"/>
              </w:rPr>
              <w:t>143</w:t>
            </w:r>
            <w:bookmarkEnd w:id="664"/>
          </w:p>
        </w:tc>
        <w:tc>
          <w:tcPr>
            <w:tcW w:w="757" w:type="pct"/>
            <w:tcBorders>
              <w:top w:val="nil"/>
              <w:left w:val="nil"/>
              <w:bottom w:val="nil"/>
              <w:right w:val="nil"/>
            </w:tcBorders>
            <w:shd w:val="clear" w:color="auto" w:fill="auto"/>
            <w:vAlign w:val="bottom"/>
          </w:tcPr>
          <w:p w14:paraId="2DC95BBD" w14:textId="77777777" w:rsidR="00DC290F" w:rsidRPr="004E1BAA" w:rsidRDefault="00DC290F" w:rsidP="00DC290F">
            <w:pPr>
              <w:tabs>
                <w:tab w:val="right" w:pos="1202"/>
              </w:tabs>
              <w:spacing w:line="240" w:lineRule="auto"/>
              <w:jc w:val="right"/>
              <w:outlineLvl w:val="0"/>
              <w:rPr>
                <w:rFonts w:ascii="Calibri" w:eastAsia="Calibri" w:hAnsi="Calibri"/>
                <w:sz w:val="19"/>
                <w:szCs w:val="19"/>
              </w:rPr>
            </w:pPr>
            <w:bookmarkStart w:id="665" w:name="_Toc67329288"/>
            <w:r>
              <w:rPr>
                <w:sz w:val="19"/>
                <w:szCs w:val="19"/>
              </w:rPr>
              <w:t>-</w:t>
            </w:r>
            <w:bookmarkEnd w:id="665"/>
          </w:p>
        </w:tc>
        <w:tc>
          <w:tcPr>
            <w:tcW w:w="757" w:type="pct"/>
            <w:tcBorders>
              <w:top w:val="nil"/>
              <w:left w:val="nil"/>
              <w:bottom w:val="nil"/>
              <w:right w:val="nil"/>
            </w:tcBorders>
            <w:shd w:val="clear" w:color="auto" w:fill="auto"/>
            <w:vAlign w:val="bottom"/>
          </w:tcPr>
          <w:p w14:paraId="20D1276C" w14:textId="77777777" w:rsidR="00DC290F" w:rsidRPr="004E1BAA" w:rsidRDefault="00DC290F" w:rsidP="00DC290F">
            <w:pPr>
              <w:tabs>
                <w:tab w:val="right" w:pos="1202"/>
              </w:tabs>
              <w:spacing w:line="240" w:lineRule="auto"/>
              <w:jc w:val="right"/>
              <w:outlineLvl w:val="0"/>
              <w:rPr>
                <w:rFonts w:ascii="Calibri" w:eastAsia="Calibri" w:hAnsi="Calibri"/>
                <w:sz w:val="19"/>
                <w:szCs w:val="19"/>
              </w:rPr>
            </w:pPr>
            <w:bookmarkStart w:id="666" w:name="_Toc67329289"/>
            <w:r>
              <w:rPr>
                <w:sz w:val="19"/>
                <w:szCs w:val="19"/>
              </w:rPr>
              <w:t>-</w:t>
            </w:r>
            <w:bookmarkEnd w:id="666"/>
          </w:p>
        </w:tc>
        <w:tc>
          <w:tcPr>
            <w:tcW w:w="757" w:type="pct"/>
            <w:tcBorders>
              <w:top w:val="nil"/>
              <w:left w:val="nil"/>
              <w:bottom w:val="nil"/>
              <w:right w:val="nil"/>
            </w:tcBorders>
            <w:shd w:val="clear" w:color="auto" w:fill="auto"/>
            <w:vAlign w:val="bottom"/>
          </w:tcPr>
          <w:p w14:paraId="12E211D6" w14:textId="77777777" w:rsidR="00DC290F" w:rsidRPr="004E1BAA" w:rsidRDefault="00DC290F" w:rsidP="00DC290F">
            <w:pPr>
              <w:tabs>
                <w:tab w:val="right" w:pos="1202"/>
              </w:tabs>
              <w:spacing w:line="240" w:lineRule="auto"/>
              <w:jc w:val="right"/>
              <w:outlineLvl w:val="0"/>
              <w:rPr>
                <w:rFonts w:ascii="Calibri" w:eastAsia="Calibri" w:hAnsi="Calibri"/>
                <w:sz w:val="19"/>
                <w:szCs w:val="19"/>
              </w:rPr>
            </w:pPr>
            <w:bookmarkStart w:id="667" w:name="_Toc67329290"/>
            <w:r w:rsidRPr="006577DA">
              <w:rPr>
                <w:sz w:val="19"/>
                <w:szCs w:val="19"/>
              </w:rPr>
              <w:t>7</w:t>
            </w:r>
            <w:r>
              <w:rPr>
                <w:sz w:val="19"/>
                <w:szCs w:val="19"/>
              </w:rPr>
              <w:t>,</w:t>
            </w:r>
            <w:r w:rsidRPr="006577DA">
              <w:rPr>
                <w:sz w:val="19"/>
                <w:szCs w:val="19"/>
              </w:rPr>
              <w:t>050</w:t>
            </w:r>
            <w:r>
              <w:rPr>
                <w:sz w:val="19"/>
                <w:szCs w:val="19"/>
              </w:rPr>
              <w:t>,</w:t>
            </w:r>
            <w:r w:rsidRPr="006577DA">
              <w:rPr>
                <w:sz w:val="19"/>
                <w:szCs w:val="19"/>
              </w:rPr>
              <w:t>143</w:t>
            </w:r>
            <w:bookmarkEnd w:id="667"/>
          </w:p>
        </w:tc>
      </w:tr>
      <w:tr w:rsidR="00DC290F" w:rsidRPr="004E1BAA" w14:paraId="4A149E1B" w14:textId="77777777" w:rsidTr="00765996">
        <w:trPr>
          <w:cantSplit/>
          <w:trHeight w:val="273"/>
          <w:tblHeader/>
        </w:trPr>
        <w:tc>
          <w:tcPr>
            <w:tcW w:w="1971" w:type="pct"/>
            <w:vAlign w:val="bottom"/>
          </w:tcPr>
          <w:p w14:paraId="075B6EC3" w14:textId="77777777" w:rsidR="00DC290F" w:rsidRPr="004E1BAA" w:rsidRDefault="00DC290F" w:rsidP="00DC290F">
            <w:pPr>
              <w:tabs>
                <w:tab w:val="right" w:pos="1202"/>
              </w:tabs>
              <w:spacing w:line="240" w:lineRule="auto"/>
              <w:outlineLvl w:val="0"/>
              <w:rPr>
                <w:rFonts w:ascii="Calibri" w:eastAsia="Calibri" w:hAnsi="Calibri"/>
                <w:sz w:val="19"/>
                <w:szCs w:val="19"/>
              </w:rPr>
            </w:pPr>
            <w:r w:rsidRPr="004E1BAA">
              <w:rPr>
                <w:rFonts w:ascii="Calibri" w:eastAsia="Calibri" w:hAnsi="Calibri" w:cs="Arial"/>
                <w:sz w:val="19"/>
                <w:szCs w:val="19"/>
              </w:rPr>
              <w:t>Loans to other customers</w:t>
            </w:r>
          </w:p>
        </w:tc>
        <w:tc>
          <w:tcPr>
            <w:tcW w:w="757" w:type="pct"/>
            <w:tcBorders>
              <w:top w:val="nil"/>
              <w:left w:val="nil"/>
              <w:bottom w:val="nil"/>
              <w:right w:val="nil"/>
            </w:tcBorders>
            <w:shd w:val="clear" w:color="auto" w:fill="auto"/>
            <w:vAlign w:val="bottom"/>
          </w:tcPr>
          <w:p w14:paraId="59B4EB4E" w14:textId="77777777" w:rsidR="00DC290F" w:rsidRPr="004E1BAA" w:rsidRDefault="00DC290F" w:rsidP="00DC290F">
            <w:pPr>
              <w:tabs>
                <w:tab w:val="right" w:pos="1202"/>
              </w:tabs>
              <w:spacing w:line="240" w:lineRule="auto"/>
              <w:jc w:val="right"/>
              <w:outlineLvl w:val="0"/>
              <w:rPr>
                <w:rFonts w:ascii="Calibri" w:eastAsia="Calibri" w:hAnsi="Calibri"/>
                <w:sz w:val="19"/>
                <w:szCs w:val="19"/>
              </w:rPr>
            </w:pPr>
            <w:bookmarkStart w:id="668" w:name="_Toc67329292"/>
            <w:r w:rsidRPr="006577DA">
              <w:rPr>
                <w:sz w:val="19"/>
                <w:szCs w:val="19"/>
              </w:rPr>
              <w:t>15</w:t>
            </w:r>
            <w:r>
              <w:rPr>
                <w:sz w:val="19"/>
                <w:szCs w:val="19"/>
              </w:rPr>
              <w:t>,</w:t>
            </w:r>
            <w:r w:rsidRPr="006577DA">
              <w:rPr>
                <w:sz w:val="19"/>
                <w:szCs w:val="19"/>
              </w:rPr>
              <w:t>681</w:t>
            </w:r>
            <w:r>
              <w:rPr>
                <w:sz w:val="19"/>
                <w:szCs w:val="19"/>
              </w:rPr>
              <w:t>,</w:t>
            </w:r>
            <w:r w:rsidRPr="006577DA">
              <w:rPr>
                <w:sz w:val="19"/>
                <w:szCs w:val="19"/>
              </w:rPr>
              <w:t>740</w:t>
            </w:r>
            <w:bookmarkEnd w:id="668"/>
          </w:p>
        </w:tc>
        <w:tc>
          <w:tcPr>
            <w:tcW w:w="757" w:type="pct"/>
            <w:tcBorders>
              <w:top w:val="nil"/>
              <w:left w:val="nil"/>
              <w:bottom w:val="nil"/>
              <w:right w:val="nil"/>
            </w:tcBorders>
            <w:shd w:val="clear" w:color="auto" w:fill="auto"/>
            <w:vAlign w:val="bottom"/>
          </w:tcPr>
          <w:p w14:paraId="0CB3FF95" w14:textId="77777777" w:rsidR="00DC290F" w:rsidRPr="004E1BAA" w:rsidRDefault="00DC290F" w:rsidP="00DC290F">
            <w:pPr>
              <w:tabs>
                <w:tab w:val="right" w:pos="1202"/>
              </w:tabs>
              <w:spacing w:line="240" w:lineRule="auto"/>
              <w:jc w:val="right"/>
              <w:outlineLvl w:val="0"/>
              <w:rPr>
                <w:rFonts w:ascii="Calibri" w:eastAsia="Calibri" w:hAnsi="Calibri"/>
                <w:sz w:val="19"/>
                <w:szCs w:val="19"/>
              </w:rPr>
            </w:pPr>
            <w:bookmarkStart w:id="669" w:name="_Toc67329293"/>
            <w:r>
              <w:rPr>
                <w:sz w:val="19"/>
                <w:szCs w:val="19"/>
              </w:rPr>
              <w:t>-</w:t>
            </w:r>
            <w:bookmarkEnd w:id="669"/>
          </w:p>
        </w:tc>
        <w:tc>
          <w:tcPr>
            <w:tcW w:w="757" w:type="pct"/>
            <w:tcBorders>
              <w:top w:val="nil"/>
              <w:left w:val="nil"/>
              <w:bottom w:val="nil"/>
              <w:right w:val="nil"/>
            </w:tcBorders>
            <w:shd w:val="clear" w:color="auto" w:fill="auto"/>
            <w:vAlign w:val="bottom"/>
          </w:tcPr>
          <w:p w14:paraId="7060AE59" w14:textId="77777777" w:rsidR="00DC290F" w:rsidRPr="004E1BAA" w:rsidRDefault="00DC290F" w:rsidP="00DC290F">
            <w:pPr>
              <w:tabs>
                <w:tab w:val="right" w:pos="1202"/>
              </w:tabs>
              <w:spacing w:line="240" w:lineRule="auto"/>
              <w:jc w:val="right"/>
              <w:outlineLvl w:val="0"/>
              <w:rPr>
                <w:rFonts w:ascii="Calibri" w:eastAsia="Calibri" w:hAnsi="Calibri"/>
                <w:sz w:val="19"/>
                <w:szCs w:val="19"/>
              </w:rPr>
            </w:pPr>
            <w:bookmarkStart w:id="670" w:name="_Toc67329294"/>
            <w:r w:rsidRPr="006577DA">
              <w:rPr>
                <w:sz w:val="19"/>
                <w:szCs w:val="19"/>
              </w:rPr>
              <w:t>282</w:t>
            </w:r>
            <w:r>
              <w:rPr>
                <w:sz w:val="19"/>
                <w:szCs w:val="19"/>
              </w:rPr>
              <w:t>,</w:t>
            </w:r>
            <w:r w:rsidRPr="006577DA">
              <w:rPr>
                <w:sz w:val="19"/>
                <w:szCs w:val="19"/>
              </w:rPr>
              <w:t>636</w:t>
            </w:r>
            <w:bookmarkEnd w:id="670"/>
          </w:p>
        </w:tc>
        <w:tc>
          <w:tcPr>
            <w:tcW w:w="757" w:type="pct"/>
            <w:tcBorders>
              <w:top w:val="nil"/>
              <w:left w:val="nil"/>
              <w:bottom w:val="nil"/>
              <w:right w:val="nil"/>
            </w:tcBorders>
            <w:shd w:val="clear" w:color="auto" w:fill="auto"/>
            <w:vAlign w:val="bottom"/>
          </w:tcPr>
          <w:p w14:paraId="480D8784" w14:textId="77777777" w:rsidR="00DC290F" w:rsidRPr="004E1BAA" w:rsidRDefault="00DC290F" w:rsidP="00DC290F">
            <w:pPr>
              <w:tabs>
                <w:tab w:val="right" w:pos="1202"/>
              </w:tabs>
              <w:spacing w:line="240" w:lineRule="auto"/>
              <w:jc w:val="right"/>
              <w:outlineLvl w:val="0"/>
              <w:rPr>
                <w:rFonts w:ascii="Calibri" w:eastAsia="Calibri" w:hAnsi="Calibri"/>
                <w:sz w:val="19"/>
                <w:szCs w:val="19"/>
              </w:rPr>
            </w:pPr>
            <w:bookmarkStart w:id="671" w:name="_Toc67329295"/>
            <w:r w:rsidRPr="006577DA">
              <w:rPr>
                <w:sz w:val="19"/>
                <w:szCs w:val="19"/>
              </w:rPr>
              <w:t>15</w:t>
            </w:r>
            <w:r>
              <w:rPr>
                <w:sz w:val="19"/>
                <w:szCs w:val="19"/>
              </w:rPr>
              <w:t>,</w:t>
            </w:r>
            <w:r w:rsidRPr="006577DA">
              <w:rPr>
                <w:sz w:val="19"/>
                <w:szCs w:val="19"/>
              </w:rPr>
              <w:t>964</w:t>
            </w:r>
            <w:r>
              <w:rPr>
                <w:sz w:val="19"/>
                <w:szCs w:val="19"/>
              </w:rPr>
              <w:t>,</w:t>
            </w:r>
            <w:r w:rsidRPr="006577DA">
              <w:rPr>
                <w:sz w:val="19"/>
                <w:szCs w:val="19"/>
              </w:rPr>
              <w:t>376</w:t>
            </w:r>
            <w:bookmarkEnd w:id="671"/>
          </w:p>
        </w:tc>
      </w:tr>
      <w:tr w:rsidR="00DC290F" w:rsidRPr="004E1BAA" w14:paraId="01D0B9CD" w14:textId="77777777" w:rsidTr="00765996">
        <w:trPr>
          <w:cantSplit/>
          <w:trHeight w:val="273"/>
          <w:tblHeader/>
        </w:trPr>
        <w:tc>
          <w:tcPr>
            <w:tcW w:w="1971" w:type="pct"/>
          </w:tcPr>
          <w:p w14:paraId="140252C5" w14:textId="77777777" w:rsidR="00DC290F" w:rsidRPr="004E1BAA" w:rsidRDefault="00DC290F" w:rsidP="00DC290F">
            <w:pPr>
              <w:tabs>
                <w:tab w:val="right" w:pos="1202"/>
              </w:tabs>
              <w:spacing w:line="240" w:lineRule="auto"/>
              <w:outlineLvl w:val="0"/>
              <w:rPr>
                <w:rFonts w:ascii="Calibri" w:eastAsia="Calibri" w:hAnsi="Calibri" w:cs="Arial"/>
                <w:sz w:val="19"/>
                <w:szCs w:val="19"/>
              </w:rPr>
            </w:pPr>
            <w:r w:rsidRPr="004E1BAA">
              <w:rPr>
                <w:rFonts w:ascii="Calibri" w:eastAsia="Calibri" w:hAnsi="Calibri" w:cs="Arial"/>
                <w:sz w:val="19"/>
                <w:szCs w:val="19"/>
              </w:rPr>
              <w:t>Financial assets at fair value through profit or loss</w:t>
            </w:r>
          </w:p>
        </w:tc>
        <w:tc>
          <w:tcPr>
            <w:tcW w:w="757" w:type="pct"/>
            <w:tcBorders>
              <w:top w:val="nil"/>
              <w:left w:val="nil"/>
              <w:bottom w:val="nil"/>
              <w:right w:val="nil"/>
            </w:tcBorders>
            <w:shd w:val="clear" w:color="auto" w:fill="auto"/>
            <w:vAlign w:val="bottom"/>
          </w:tcPr>
          <w:p w14:paraId="382E04B1" w14:textId="77777777" w:rsidR="00DC290F" w:rsidRPr="004E1BAA" w:rsidRDefault="00DC290F" w:rsidP="00DC290F">
            <w:pPr>
              <w:tabs>
                <w:tab w:val="right" w:pos="1202"/>
              </w:tabs>
              <w:spacing w:line="240" w:lineRule="auto"/>
              <w:jc w:val="right"/>
              <w:outlineLvl w:val="0"/>
              <w:rPr>
                <w:rFonts w:ascii="Calibri" w:eastAsia="Calibri" w:hAnsi="Calibri"/>
                <w:sz w:val="19"/>
                <w:szCs w:val="19"/>
              </w:rPr>
            </w:pPr>
            <w:bookmarkStart w:id="672" w:name="_Toc67329297"/>
            <w:r w:rsidRPr="006577DA">
              <w:rPr>
                <w:sz w:val="19"/>
                <w:szCs w:val="19"/>
              </w:rPr>
              <w:t>16</w:t>
            </w:r>
            <w:r>
              <w:rPr>
                <w:sz w:val="19"/>
                <w:szCs w:val="19"/>
              </w:rPr>
              <w:t>,</w:t>
            </w:r>
            <w:r w:rsidRPr="006577DA">
              <w:rPr>
                <w:sz w:val="19"/>
                <w:szCs w:val="19"/>
              </w:rPr>
              <w:t>375</w:t>
            </w:r>
            <w:bookmarkEnd w:id="672"/>
          </w:p>
        </w:tc>
        <w:tc>
          <w:tcPr>
            <w:tcW w:w="757" w:type="pct"/>
            <w:tcBorders>
              <w:top w:val="nil"/>
              <w:left w:val="nil"/>
              <w:bottom w:val="nil"/>
              <w:right w:val="nil"/>
            </w:tcBorders>
            <w:shd w:val="clear" w:color="auto" w:fill="auto"/>
            <w:vAlign w:val="bottom"/>
          </w:tcPr>
          <w:p w14:paraId="5876CBD2" w14:textId="77777777" w:rsidR="00DC290F" w:rsidRPr="004E1BAA" w:rsidRDefault="00DC290F" w:rsidP="00DC290F">
            <w:pPr>
              <w:tabs>
                <w:tab w:val="right" w:pos="1202"/>
              </w:tabs>
              <w:spacing w:line="240" w:lineRule="auto"/>
              <w:jc w:val="right"/>
              <w:outlineLvl w:val="0"/>
              <w:rPr>
                <w:rFonts w:ascii="Calibri" w:eastAsia="Calibri" w:hAnsi="Calibri"/>
                <w:sz w:val="19"/>
                <w:szCs w:val="19"/>
              </w:rPr>
            </w:pPr>
            <w:bookmarkStart w:id="673" w:name="_Toc67329298"/>
            <w:r w:rsidRPr="006577DA">
              <w:rPr>
                <w:sz w:val="19"/>
                <w:szCs w:val="19"/>
              </w:rPr>
              <w:t>-</w:t>
            </w:r>
            <w:bookmarkEnd w:id="673"/>
          </w:p>
        </w:tc>
        <w:tc>
          <w:tcPr>
            <w:tcW w:w="757" w:type="pct"/>
            <w:tcBorders>
              <w:top w:val="nil"/>
              <w:left w:val="nil"/>
              <w:bottom w:val="nil"/>
              <w:right w:val="nil"/>
            </w:tcBorders>
            <w:shd w:val="clear" w:color="auto" w:fill="auto"/>
            <w:vAlign w:val="bottom"/>
          </w:tcPr>
          <w:p w14:paraId="6076291A" w14:textId="77777777" w:rsidR="00DC290F" w:rsidRPr="004E1BAA" w:rsidRDefault="00DC290F" w:rsidP="00DC290F">
            <w:pPr>
              <w:tabs>
                <w:tab w:val="right" w:pos="1202"/>
              </w:tabs>
              <w:spacing w:line="240" w:lineRule="auto"/>
              <w:jc w:val="right"/>
              <w:outlineLvl w:val="0"/>
              <w:rPr>
                <w:rFonts w:ascii="Calibri" w:eastAsia="Calibri" w:hAnsi="Calibri"/>
                <w:sz w:val="19"/>
                <w:szCs w:val="19"/>
              </w:rPr>
            </w:pPr>
            <w:bookmarkStart w:id="674" w:name="_Toc67329299"/>
            <w:r w:rsidRPr="006577DA">
              <w:rPr>
                <w:sz w:val="19"/>
                <w:szCs w:val="19"/>
              </w:rPr>
              <w:t>-</w:t>
            </w:r>
            <w:bookmarkEnd w:id="674"/>
          </w:p>
        </w:tc>
        <w:tc>
          <w:tcPr>
            <w:tcW w:w="757" w:type="pct"/>
            <w:tcBorders>
              <w:top w:val="nil"/>
              <w:left w:val="nil"/>
              <w:bottom w:val="nil"/>
              <w:right w:val="nil"/>
            </w:tcBorders>
            <w:shd w:val="clear" w:color="auto" w:fill="auto"/>
            <w:vAlign w:val="bottom"/>
          </w:tcPr>
          <w:p w14:paraId="3013C747" w14:textId="77777777" w:rsidR="00DC290F" w:rsidRPr="004E1BAA" w:rsidRDefault="00DC290F" w:rsidP="00DC290F">
            <w:pPr>
              <w:tabs>
                <w:tab w:val="right" w:pos="1202"/>
              </w:tabs>
              <w:spacing w:line="240" w:lineRule="auto"/>
              <w:jc w:val="right"/>
              <w:outlineLvl w:val="0"/>
              <w:rPr>
                <w:rFonts w:ascii="Calibri" w:eastAsia="Calibri" w:hAnsi="Calibri"/>
                <w:sz w:val="19"/>
                <w:szCs w:val="19"/>
              </w:rPr>
            </w:pPr>
            <w:bookmarkStart w:id="675" w:name="_Toc67329300"/>
            <w:r w:rsidRPr="006577DA">
              <w:rPr>
                <w:sz w:val="19"/>
                <w:szCs w:val="19"/>
              </w:rPr>
              <w:t>16</w:t>
            </w:r>
            <w:r>
              <w:rPr>
                <w:sz w:val="19"/>
                <w:szCs w:val="19"/>
              </w:rPr>
              <w:t>,</w:t>
            </w:r>
            <w:r w:rsidRPr="006577DA">
              <w:rPr>
                <w:sz w:val="19"/>
                <w:szCs w:val="19"/>
              </w:rPr>
              <w:t>375</w:t>
            </w:r>
            <w:bookmarkEnd w:id="675"/>
          </w:p>
        </w:tc>
      </w:tr>
      <w:tr w:rsidR="00DC290F" w:rsidRPr="004E1BAA" w14:paraId="012239A1" w14:textId="77777777" w:rsidTr="00765996">
        <w:trPr>
          <w:cantSplit/>
          <w:trHeight w:val="273"/>
          <w:tblHeader/>
        </w:trPr>
        <w:tc>
          <w:tcPr>
            <w:tcW w:w="1971" w:type="pct"/>
            <w:vAlign w:val="center"/>
          </w:tcPr>
          <w:p w14:paraId="3F749A21" w14:textId="77777777" w:rsidR="00DC290F" w:rsidRPr="004E1BAA" w:rsidRDefault="00DC290F" w:rsidP="00DC290F">
            <w:pPr>
              <w:tabs>
                <w:tab w:val="right" w:pos="1202"/>
              </w:tabs>
              <w:spacing w:line="240" w:lineRule="auto"/>
              <w:outlineLvl w:val="0"/>
              <w:rPr>
                <w:rFonts w:ascii="Calibri" w:eastAsia="Calibri" w:hAnsi="Calibri" w:cs="Arial"/>
                <w:sz w:val="19"/>
                <w:szCs w:val="19"/>
              </w:rPr>
            </w:pPr>
            <w:r w:rsidRPr="004E1BAA">
              <w:rPr>
                <w:rFonts w:ascii="Calibri" w:eastAsia="Calibri" w:hAnsi="Calibri" w:cs="Arial"/>
                <w:sz w:val="19"/>
                <w:szCs w:val="19"/>
              </w:rPr>
              <w:t>Financial assets at fair value through other comprehensive income</w:t>
            </w:r>
          </w:p>
        </w:tc>
        <w:tc>
          <w:tcPr>
            <w:tcW w:w="757" w:type="pct"/>
            <w:tcBorders>
              <w:top w:val="nil"/>
              <w:left w:val="nil"/>
              <w:bottom w:val="nil"/>
              <w:right w:val="nil"/>
            </w:tcBorders>
            <w:shd w:val="clear" w:color="auto" w:fill="auto"/>
            <w:vAlign w:val="bottom"/>
          </w:tcPr>
          <w:p w14:paraId="7749C7B8" w14:textId="77777777" w:rsidR="00DC290F" w:rsidRPr="004E1BAA" w:rsidRDefault="00DC290F" w:rsidP="00DC290F">
            <w:pPr>
              <w:tabs>
                <w:tab w:val="right" w:pos="1202"/>
              </w:tabs>
              <w:spacing w:line="240" w:lineRule="auto"/>
              <w:jc w:val="right"/>
              <w:outlineLvl w:val="0"/>
              <w:rPr>
                <w:rFonts w:ascii="Calibri" w:eastAsia="Calibri" w:hAnsi="Calibri"/>
                <w:sz w:val="19"/>
                <w:szCs w:val="19"/>
              </w:rPr>
            </w:pPr>
            <w:bookmarkStart w:id="676" w:name="_Toc67329302"/>
            <w:r w:rsidRPr="006577DA">
              <w:rPr>
                <w:sz w:val="19"/>
                <w:szCs w:val="19"/>
              </w:rPr>
              <w:t>2</w:t>
            </w:r>
            <w:r>
              <w:rPr>
                <w:sz w:val="19"/>
                <w:szCs w:val="19"/>
              </w:rPr>
              <w:t>,</w:t>
            </w:r>
            <w:r w:rsidRPr="006577DA">
              <w:rPr>
                <w:sz w:val="19"/>
                <w:szCs w:val="19"/>
              </w:rPr>
              <w:t>928</w:t>
            </w:r>
            <w:r>
              <w:rPr>
                <w:sz w:val="19"/>
                <w:szCs w:val="19"/>
              </w:rPr>
              <w:t>,</w:t>
            </w:r>
            <w:r w:rsidRPr="006577DA">
              <w:rPr>
                <w:sz w:val="19"/>
                <w:szCs w:val="19"/>
              </w:rPr>
              <w:t>045</w:t>
            </w:r>
            <w:bookmarkEnd w:id="676"/>
          </w:p>
        </w:tc>
        <w:tc>
          <w:tcPr>
            <w:tcW w:w="757" w:type="pct"/>
            <w:tcBorders>
              <w:top w:val="nil"/>
              <w:left w:val="nil"/>
              <w:bottom w:val="nil"/>
              <w:right w:val="nil"/>
            </w:tcBorders>
            <w:shd w:val="clear" w:color="auto" w:fill="auto"/>
            <w:vAlign w:val="bottom"/>
          </w:tcPr>
          <w:p w14:paraId="647FC59E" w14:textId="77777777" w:rsidR="00DC290F" w:rsidRPr="004E1BAA" w:rsidRDefault="00DC290F" w:rsidP="00DC290F">
            <w:pPr>
              <w:tabs>
                <w:tab w:val="right" w:pos="1202"/>
              </w:tabs>
              <w:spacing w:line="240" w:lineRule="auto"/>
              <w:jc w:val="right"/>
              <w:outlineLvl w:val="0"/>
              <w:rPr>
                <w:rFonts w:ascii="Calibri" w:eastAsia="Calibri" w:hAnsi="Calibri"/>
                <w:sz w:val="19"/>
                <w:szCs w:val="19"/>
              </w:rPr>
            </w:pPr>
            <w:bookmarkStart w:id="677" w:name="_Toc67329303"/>
            <w:r w:rsidRPr="006577DA">
              <w:rPr>
                <w:sz w:val="19"/>
                <w:szCs w:val="19"/>
              </w:rPr>
              <w:t>1</w:t>
            </w:r>
            <w:r>
              <w:rPr>
                <w:sz w:val="19"/>
                <w:szCs w:val="19"/>
              </w:rPr>
              <w:t>,</w:t>
            </w:r>
            <w:r w:rsidRPr="006577DA">
              <w:rPr>
                <w:sz w:val="19"/>
                <w:szCs w:val="19"/>
              </w:rPr>
              <w:t>469</w:t>
            </w:r>
            <w:bookmarkEnd w:id="677"/>
          </w:p>
        </w:tc>
        <w:tc>
          <w:tcPr>
            <w:tcW w:w="757" w:type="pct"/>
            <w:tcBorders>
              <w:top w:val="nil"/>
              <w:left w:val="nil"/>
              <w:bottom w:val="nil"/>
              <w:right w:val="nil"/>
            </w:tcBorders>
            <w:shd w:val="clear" w:color="auto" w:fill="auto"/>
            <w:vAlign w:val="bottom"/>
          </w:tcPr>
          <w:p w14:paraId="14CD2E45" w14:textId="77777777" w:rsidR="00DC290F" w:rsidRPr="004E1BAA" w:rsidRDefault="00DC290F" w:rsidP="00DC290F">
            <w:pPr>
              <w:tabs>
                <w:tab w:val="right" w:pos="1202"/>
              </w:tabs>
              <w:spacing w:line="240" w:lineRule="auto"/>
              <w:jc w:val="right"/>
              <w:outlineLvl w:val="0"/>
              <w:rPr>
                <w:rFonts w:ascii="Calibri" w:eastAsia="Calibri" w:hAnsi="Calibri"/>
                <w:sz w:val="19"/>
                <w:szCs w:val="19"/>
              </w:rPr>
            </w:pPr>
            <w:bookmarkStart w:id="678" w:name="_Toc67329304"/>
            <w:r>
              <w:rPr>
                <w:sz w:val="19"/>
                <w:szCs w:val="19"/>
              </w:rPr>
              <w:t>-</w:t>
            </w:r>
            <w:bookmarkEnd w:id="678"/>
          </w:p>
        </w:tc>
        <w:tc>
          <w:tcPr>
            <w:tcW w:w="757" w:type="pct"/>
            <w:tcBorders>
              <w:top w:val="nil"/>
              <w:left w:val="nil"/>
              <w:bottom w:val="nil"/>
              <w:right w:val="nil"/>
            </w:tcBorders>
            <w:shd w:val="clear" w:color="auto" w:fill="auto"/>
            <w:vAlign w:val="bottom"/>
          </w:tcPr>
          <w:p w14:paraId="1E74C7D0" w14:textId="77777777" w:rsidR="00DC290F" w:rsidRPr="004E1BAA" w:rsidRDefault="00DC290F" w:rsidP="00DC290F">
            <w:pPr>
              <w:tabs>
                <w:tab w:val="right" w:pos="1202"/>
              </w:tabs>
              <w:spacing w:line="240" w:lineRule="auto"/>
              <w:jc w:val="right"/>
              <w:outlineLvl w:val="0"/>
              <w:rPr>
                <w:rFonts w:ascii="Calibri" w:eastAsia="Calibri" w:hAnsi="Calibri"/>
                <w:sz w:val="19"/>
                <w:szCs w:val="19"/>
              </w:rPr>
            </w:pPr>
            <w:bookmarkStart w:id="679" w:name="_Toc67329305"/>
            <w:r w:rsidRPr="006577DA">
              <w:rPr>
                <w:sz w:val="19"/>
                <w:szCs w:val="19"/>
              </w:rPr>
              <w:t>2</w:t>
            </w:r>
            <w:r>
              <w:rPr>
                <w:sz w:val="19"/>
                <w:szCs w:val="19"/>
              </w:rPr>
              <w:t>,</w:t>
            </w:r>
            <w:r w:rsidRPr="006577DA">
              <w:rPr>
                <w:sz w:val="19"/>
                <w:szCs w:val="19"/>
              </w:rPr>
              <w:t>929</w:t>
            </w:r>
            <w:r>
              <w:rPr>
                <w:sz w:val="19"/>
                <w:szCs w:val="19"/>
              </w:rPr>
              <w:t>,</w:t>
            </w:r>
            <w:r w:rsidRPr="006577DA">
              <w:rPr>
                <w:sz w:val="19"/>
                <w:szCs w:val="19"/>
              </w:rPr>
              <w:t>514</w:t>
            </w:r>
            <w:bookmarkEnd w:id="679"/>
          </w:p>
        </w:tc>
      </w:tr>
      <w:tr w:rsidR="00DC290F" w:rsidRPr="004E1BAA" w14:paraId="14A2EA6A" w14:textId="77777777" w:rsidTr="00765996">
        <w:trPr>
          <w:cantSplit/>
          <w:trHeight w:val="273"/>
          <w:tblHeader/>
        </w:trPr>
        <w:tc>
          <w:tcPr>
            <w:tcW w:w="1971" w:type="pct"/>
            <w:vAlign w:val="bottom"/>
          </w:tcPr>
          <w:p w14:paraId="19097868" w14:textId="77777777" w:rsidR="00DC290F" w:rsidRPr="004E1BAA" w:rsidRDefault="00DC290F" w:rsidP="00DC290F">
            <w:pPr>
              <w:tabs>
                <w:tab w:val="right" w:pos="1202"/>
              </w:tabs>
              <w:spacing w:line="240" w:lineRule="auto"/>
              <w:outlineLvl w:val="0"/>
              <w:rPr>
                <w:rFonts w:ascii="Calibri" w:eastAsia="Calibri" w:hAnsi="Calibri"/>
                <w:sz w:val="19"/>
                <w:szCs w:val="19"/>
              </w:rPr>
            </w:pPr>
            <w:r w:rsidRPr="004E1BAA">
              <w:rPr>
                <w:rFonts w:ascii="Calibri" w:eastAsia="Calibri" w:hAnsi="Calibri"/>
                <w:sz w:val="19"/>
                <w:szCs w:val="19"/>
              </w:rPr>
              <w:t>Other assets</w:t>
            </w:r>
          </w:p>
        </w:tc>
        <w:tc>
          <w:tcPr>
            <w:tcW w:w="757" w:type="pct"/>
            <w:tcBorders>
              <w:top w:val="nil"/>
              <w:left w:val="nil"/>
              <w:bottom w:val="single" w:sz="4" w:space="0" w:color="auto"/>
              <w:right w:val="nil"/>
            </w:tcBorders>
            <w:shd w:val="clear" w:color="auto" w:fill="auto"/>
            <w:vAlign w:val="bottom"/>
          </w:tcPr>
          <w:p w14:paraId="1B5CF9FD" w14:textId="77777777" w:rsidR="00DC290F" w:rsidRPr="004E1BAA" w:rsidRDefault="00DC290F" w:rsidP="00DC290F">
            <w:pPr>
              <w:tabs>
                <w:tab w:val="right" w:pos="1202"/>
              </w:tabs>
              <w:spacing w:line="240" w:lineRule="auto"/>
              <w:jc w:val="right"/>
              <w:outlineLvl w:val="0"/>
              <w:rPr>
                <w:rFonts w:ascii="Calibri" w:eastAsia="Calibri" w:hAnsi="Calibri"/>
                <w:sz w:val="19"/>
                <w:szCs w:val="19"/>
              </w:rPr>
            </w:pPr>
            <w:bookmarkStart w:id="680" w:name="_Toc67329312"/>
            <w:r w:rsidRPr="006577DA">
              <w:rPr>
                <w:sz w:val="19"/>
                <w:szCs w:val="19"/>
              </w:rPr>
              <w:t>6</w:t>
            </w:r>
            <w:r>
              <w:rPr>
                <w:sz w:val="19"/>
                <w:szCs w:val="19"/>
              </w:rPr>
              <w:t>,</w:t>
            </w:r>
            <w:r w:rsidRPr="006577DA">
              <w:rPr>
                <w:sz w:val="19"/>
                <w:szCs w:val="19"/>
              </w:rPr>
              <w:t>430</w:t>
            </w:r>
            <w:bookmarkEnd w:id="680"/>
          </w:p>
        </w:tc>
        <w:tc>
          <w:tcPr>
            <w:tcW w:w="757" w:type="pct"/>
            <w:tcBorders>
              <w:top w:val="nil"/>
              <w:left w:val="nil"/>
              <w:bottom w:val="single" w:sz="4" w:space="0" w:color="auto"/>
              <w:right w:val="nil"/>
            </w:tcBorders>
            <w:shd w:val="clear" w:color="auto" w:fill="auto"/>
            <w:vAlign w:val="bottom"/>
          </w:tcPr>
          <w:p w14:paraId="58EF1379" w14:textId="77777777" w:rsidR="00DC290F" w:rsidRPr="004E1BAA" w:rsidRDefault="00DC290F" w:rsidP="00DC290F">
            <w:pPr>
              <w:tabs>
                <w:tab w:val="right" w:pos="1202"/>
              </w:tabs>
              <w:spacing w:line="240" w:lineRule="auto"/>
              <w:jc w:val="right"/>
              <w:outlineLvl w:val="0"/>
              <w:rPr>
                <w:rFonts w:ascii="Calibri" w:eastAsia="Calibri" w:hAnsi="Calibri"/>
                <w:sz w:val="19"/>
                <w:szCs w:val="19"/>
              </w:rPr>
            </w:pPr>
            <w:bookmarkStart w:id="681" w:name="_Toc67329313"/>
            <w:r w:rsidRPr="006577DA">
              <w:rPr>
                <w:sz w:val="19"/>
                <w:szCs w:val="19"/>
              </w:rPr>
              <w:t>254</w:t>
            </w:r>
            <w:bookmarkEnd w:id="681"/>
          </w:p>
        </w:tc>
        <w:tc>
          <w:tcPr>
            <w:tcW w:w="757" w:type="pct"/>
            <w:tcBorders>
              <w:top w:val="nil"/>
              <w:left w:val="nil"/>
              <w:bottom w:val="single" w:sz="4" w:space="0" w:color="auto"/>
              <w:right w:val="nil"/>
            </w:tcBorders>
            <w:shd w:val="clear" w:color="auto" w:fill="auto"/>
            <w:vAlign w:val="bottom"/>
          </w:tcPr>
          <w:p w14:paraId="66CADFC2" w14:textId="77777777" w:rsidR="00DC290F" w:rsidRPr="004E1BAA" w:rsidRDefault="00DC290F" w:rsidP="00DC290F">
            <w:pPr>
              <w:tabs>
                <w:tab w:val="right" w:pos="1202"/>
              </w:tabs>
              <w:spacing w:line="240" w:lineRule="auto"/>
              <w:jc w:val="right"/>
              <w:outlineLvl w:val="0"/>
              <w:rPr>
                <w:rFonts w:ascii="Calibri" w:eastAsia="Calibri" w:hAnsi="Calibri"/>
                <w:sz w:val="19"/>
                <w:szCs w:val="19"/>
              </w:rPr>
            </w:pPr>
            <w:bookmarkStart w:id="682" w:name="_Toc67329314"/>
            <w:r w:rsidRPr="006577DA">
              <w:rPr>
                <w:sz w:val="19"/>
                <w:szCs w:val="19"/>
              </w:rPr>
              <w:t>627</w:t>
            </w:r>
            <w:bookmarkEnd w:id="682"/>
          </w:p>
        </w:tc>
        <w:tc>
          <w:tcPr>
            <w:tcW w:w="757" w:type="pct"/>
            <w:tcBorders>
              <w:top w:val="nil"/>
              <w:left w:val="nil"/>
              <w:bottom w:val="single" w:sz="4" w:space="0" w:color="auto"/>
              <w:right w:val="nil"/>
            </w:tcBorders>
            <w:shd w:val="clear" w:color="auto" w:fill="auto"/>
            <w:vAlign w:val="bottom"/>
          </w:tcPr>
          <w:p w14:paraId="0FF7130F" w14:textId="77777777" w:rsidR="00DC290F" w:rsidRPr="004E1BAA" w:rsidRDefault="00DC290F" w:rsidP="00DC290F">
            <w:pPr>
              <w:tabs>
                <w:tab w:val="right" w:pos="1202"/>
              </w:tabs>
              <w:spacing w:line="240" w:lineRule="auto"/>
              <w:jc w:val="right"/>
              <w:outlineLvl w:val="0"/>
              <w:rPr>
                <w:rFonts w:ascii="Calibri" w:eastAsia="Calibri" w:hAnsi="Calibri"/>
                <w:sz w:val="19"/>
                <w:szCs w:val="19"/>
              </w:rPr>
            </w:pPr>
            <w:bookmarkStart w:id="683" w:name="_Toc67329315"/>
            <w:r w:rsidRPr="006577DA">
              <w:rPr>
                <w:sz w:val="19"/>
                <w:szCs w:val="19"/>
              </w:rPr>
              <w:t>7</w:t>
            </w:r>
            <w:r>
              <w:rPr>
                <w:sz w:val="19"/>
                <w:szCs w:val="19"/>
              </w:rPr>
              <w:t>,</w:t>
            </w:r>
            <w:r w:rsidRPr="006577DA">
              <w:rPr>
                <w:sz w:val="19"/>
                <w:szCs w:val="19"/>
              </w:rPr>
              <w:t>311</w:t>
            </w:r>
            <w:bookmarkEnd w:id="683"/>
          </w:p>
        </w:tc>
      </w:tr>
      <w:tr w:rsidR="00DC290F" w:rsidRPr="004E1BAA" w14:paraId="5AC1025F" w14:textId="77777777" w:rsidTr="00765996">
        <w:trPr>
          <w:cantSplit/>
          <w:trHeight w:val="272"/>
          <w:tblHeader/>
        </w:trPr>
        <w:tc>
          <w:tcPr>
            <w:tcW w:w="1971" w:type="pct"/>
            <w:vAlign w:val="bottom"/>
          </w:tcPr>
          <w:p w14:paraId="49078E51" w14:textId="77777777" w:rsidR="00DC290F" w:rsidRPr="004E1BAA" w:rsidRDefault="00DC290F" w:rsidP="00DC290F">
            <w:pPr>
              <w:tabs>
                <w:tab w:val="right" w:pos="1202"/>
              </w:tabs>
              <w:spacing w:after="0" w:line="240" w:lineRule="auto"/>
              <w:outlineLvl w:val="0"/>
              <w:rPr>
                <w:rFonts w:ascii="Calibri" w:eastAsia="Calibri" w:hAnsi="Calibri"/>
                <w:b/>
                <w:bCs/>
                <w:sz w:val="19"/>
                <w:szCs w:val="19"/>
              </w:rPr>
            </w:pPr>
            <w:r w:rsidRPr="004E1BAA">
              <w:rPr>
                <w:rFonts w:ascii="Calibri" w:eastAsia="Calibri" w:hAnsi="Calibri"/>
                <w:b/>
                <w:bCs/>
                <w:sz w:val="19"/>
                <w:szCs w:val="19"/>
              </w:rPr>
              <w:t xml:space="preserve">Total </w:t>
            </w:r>
          </w:p>
        </w:tc>
        <w:tc>
          <w:tcPr>
            <w:tcW w:w="757" w:type="pct"/>
            <w:tcBorders>
              <w:top w:val="nil"/>
              <w:left w:val="nil"/>
              <w:bottom w:val="single" w:sz="8" w:space="0" w:color="auto"/>
              <w:right w:val="nil"/>
            </w:tcBorders>
            <w:shd w:val="clear" w:color="auto" w:fill="auto"/>
            <w:vAlign w:val="bottom"/>
          </w:tcPr>
          <w:p w14:paraId="41EBA0E7" w14:textId="77777777" w:rsidR="00DC290F" w:rsidRPr="004E1BAA" w:rsidRDefault="00DC290F" w:rsidP="00DC290F">
            <w:pPr>
              <w:tabs>
                <w:tab w:val="right" w:pos="1202"/>
              </w:tabs>
              <w:spacing w:after="0" w:line="240" w:lineRule="auto"/>
              <w:jc w:val="right"/>
              <w:outlineLvl w:val="0"/>
              <w:rPr>
                <w:rFonts w:ascii="Calibri" w:eastAsia="Calibri" w:hAnsi="Calibri"/>
                <w:b/>
                <w:sz w:val="19"/>
                <w:szCs w:val="19"/>
              </w:rPr>
            </w:pPr>
            <w:bookmarkStart w:id="684" w:name="_Toc67329317"/>
            <w:r w:rsidRPr="006577DA">
              <w:rPr>
                <w:b/>
                <w:bCs/>
                <w:sz w:val="19"/>
                <w:szCs w:val="19"/>
              </w:rPr>
              <w:t>27</w:t>
            </w:r>
            <w:r>
              <w:rPr>
                <w:b/>
                <w:bCs/>
                <w:sz w:val="19"/>
                <w:szCs w:val="19"/>
              </w:rPr>
              <w:t>,</w:t>
            </w:r>
            <w:r w:rsidRPr="006577DA">
              <w:rPr>
                <w:b/>
                <w:bCs/>
                <w:sz w:val="19"/>
                <w:szCs w:val="19"/>
              </w:rPr>
              <w:t>563</w:t>
            </w:r>
            <w:r>
              <w:rPr>
                <w:b/>
                <w:bCs/>
                <w:sz w:val="19"/>
                <w:szCs w:val="19"/>
              </w:rPr>
              <w:t>,</w:t>
            </w:r>
            <w:r w:rsidRPr="006577DA">
              <w:rPr>
                <w:b/>
                <w:bCs/>
                <w:sz w:val="19"/>
                <w:szCs w:val="19"/>
              </w:rPr>
              <w:t>816</w:t>
            </w:r>
            <w:bookmarkEnd w:id="684"/>
          </w:p>
        </w:tc>
        <w:tc>
          <w:tcPr>
            <w:tcW w:w="757" w:type="pct"/>
            <w:tcBorders>
              <w:top w:val="nil"/>
              <w:left w:val="nil"/>
              <w:bottom w:val="single" w:sz="8" w:space="0" w:color="auto"/>
              <w:right w:val="nil"/>
            </w:tcBorders>
            <w:shd w:val="clear" w:color="auto" w:fill="auto"/>
            <w:vAlign w:val="bottom"/>
          </w:tcPr>
          <w:p w14:paraId="078891D7" w14:textId="77777777" w:rsidR="00DC290F" w:rsidRPr="004E1BAA" w:rsidRDefault="00DC290F" w:rsidP="00DC290F">
            <w:pPr>
              <w:tabs>
                <w:tab w:val="right" w:pos="1202"/>
              </w:tabs>
              <w:spacing w:after="0" w:line="240" w:lineRule="auto"/>
              <w:jc w:val="right"/>
              <w:outlineLvl w:val="0"/>
              <w:rPr>
                <w:rFonts w:ascii="Calibri" w:eastAsia="Calibri" w:hAnsi="Calibri"/>
                <w:b/>
                <w:sz w:val="19"/>
                <w:szCs w:val="19"/>
              </w:rPr>
            </w:pPr>
            <w:bookmarkStart w:id="685" w:name="_Toc67329318"/>
            <w:r w:rsidRPr="006577DA">
              <w:rPr>
                <w:b/>
                <w:bCs/>
                <w:sz w:val="19"/>
                <w:szCs w:val="19"/>
              </w:rPr>
              <w:t>34</w:t>
            </w:r>
            <w:r>
              <w:rPr>
                <w:b/>
                <w:bCs/>
                <w:sz w:val="19"/>
                <w:szCs w:val="19"/>
              </w:rPr>
              <w:t>,</w:t>
            </w:r>
            <w:r w:rsidRPr="006577DA">
              <w:rPr>
                <w:b/>
                <w:bCs/>
                <w:sz w:val="19"/>
                <w:szCs w:val="19"/>
              </w:rPr>
              <w:t>542</w:t>
            </w:r>
            <w:bookmarkEnd w:id="685"/>
          </w:p>
        </w:tc>
        <w:tc>
          <w:tcPr>
            <w:tcW w:w="757" w:type="pct"/>
            <w:tcBorders>
              <w:top w:val="nil"/>
              <w:left w:val="nil"/>
              <w:bottom w:val="single" w:sz="8" w:space="0" w:color="auto"/>
              <w:right w:val="nil"/>
            </w:tcBorders>
            <w:shd w:val="clear" w:color="auto" w:fill="auto"/>
            <w:vAlign w:val="bottom"/>
          </w:tcPr>
          <w:p w14:paraId="1D4FA95E" w14:textId="77777777" w:rsidR="00DC290F" w:rsidRPr="004E1BAA" w:rsidRDefault="00DC290F" w:rsidP="00DC290F">
            <w:pPr>
              <w:tabs>
                <w:tab w:val="right" w:pos="1202"/>
              </w:tabs>
              <w:spacing w:after="0" w:line="240" w:lineRule="auto"/>
              <w:jc w:val="right"/>
              <w:outlineLvl w:val="0"/>
              <w:rPr>
                <w:rFonts w:ascii="Calibri" w:eastAsia="Calibri" w:hAnsi="Calibri"/>
                <w:b/>
                <w:sz w:val="19"/>
                <w:szCs w:val="19"/>
              </w:rPr>
            </w:pPr>
            <w:bookmarkStart w:id="686" w:name="_Toc67329319"/>
            <w:r w:rsidRPr="006577DA">
              <w:rPr>
                <w:b/>
                <w:bCs/>
                <w:sz w:val="19"/>
                <w:szCs w:val="19"/>
              </w:rPr>
              <w:t>338</w:t>
            </w:r>
            <w:r>
              <w:rPr>
                <w:b/>
                <w:bCs/>
                <w:sz w:val="19"/>
                <w:szCs w:val="19"/>
              </w:rPr>
              <w:t>,</w:t>
            </w:r>
            <w:r w:rsidRPr="006577DA">
              <w:rPr>
                <w:b/>
                <w:bCs/>
                <w:sz w:val="19"/>
                <w:szCs w:val="19"/>
              </w:rPr>
              <w:t>846</w:t>
            </w:r>
            <w:bookmarkEnd w:id="686"/>
          </w:p>
        </w:tc>
        <w:tc>
          <w:tcPr>
            <w:tcW w:w="757" w:type="pct"/>
            <w:tcBorders>
              <w:top w:val="nil"/>
              <w:left w:val="nil"/>
              <w:bottom w:val="single" w:sz="8" w:space="0" w:color="auto"/>
              <w:right w:val="nil"/>
            </w:tcBorders>
            <w:shd w:val="clear" w:color="auto" w:fill="auto"/>
            <w:vAlign w:val="bottom"/>
          </w:tcPr>
          <w:p w14:paraId="142140D6" w14:textId="77777777" w:rsidR="00DC290F" w:rsidRPr="004E1BAA" w:rsidRDefault="00DC290F" w:rsidP="00DC290F">
            <w:pPr>
              <w:tabs>
                <w:tab w:val="right" w:pos="1202"/>
              </w:tabs>
              <w:spacing w:after="0" w:line="240" w:lineRule="auto"/>
              <w:jc w:val="right"/>
              <w:outlineLvl w:val="0"/>
              <w:rPr>
                <w:rFonts w:ascii="Calibri" w:eastAsia="Calibri" w:hAnsi="Calibri"/>
                <w:b/>
                <w:sz w:val="19"/>
                <w:szCs w:val="19"/>
              </w:rPr>
            </w:pPr>
            <w:bookmarkStart w:id="687" w:name="_Toc67329320"/>
            <w:r w:rsidRPr="006577DA">
              <w:rPr>
                <w:b/>
                <w:bCs/>
                <w:sz w:val="19"/>
                <w:szCs w:val="19"/>
              </w:rPr>
              <w:t>27</w:t>
            </w:r>
            <w:r>
              <w:rPr>
                <w:b/>
                <w:bCs/>
                <w:sz w:val="19"/>
                <w:szCs w:val="19"/>
              </w:rPr>
              <w:t>,</w:t>
            </w:r>
            <w:r w:rsidRPr="006577DA">
              <w:rPr>
                <w:b/>
                <w:bCs/>
                <w:sz w:val="19"/>
                <w:szCs w:val="19"/>
              </w:rPr>
              <w:t>937</w:t>
            </w:r>
            <w:r>
              <w:rPr>
                <w:b/>
                <w:bCs/>
                <w:sz w:val="19"/>
                <w:szCs w:val="19"/>
              </w:rPr>
              <w:t>,</w:t>
            </w:r>
            <w:r w:rsidRPr="006577DA">
              <w:rPr>
                <w:b/>
                <w:bCs/>
                <w:sz w:val="19"/>
                <w:szCs w:val="19"/>
              </w:rPr>
              <w:t>204</w:t>
            </w:r>
            <w:bookmarkEnd w:id="687"/>
          </w:p>
        </w:tc>
      </w:tr>
      <w:tr w:rsidR="00DC290F" w:rsidRPr="004E1BAA" w14:paraId="6DED84D8" w14:textId="77777777" w:rsidTr="00765996">
        <w:tblPrEx>
          <w:tblCellMar>
            <w:left w:w="31" w:type="dxa"/>
            <w:right w:w="31" w:type="dxa"/>
          </w:tblCellMar>
        </w:tblPrEx>
        <w:trPr>
          <w:cantSplit/>
          <w:trHeight w:val="273"/>
          <w:tblHeader/>
        </w:trPr>
        <w:tc>
          <w:tcPr>
            <w:tcW w:w="1971" w:type="pct"/>
            <w:vAlign w:val="bottom"/>
          </w:tcPr>
          <w:p w14:paraId="3984CBEE" w14:textId="77777777" w:rsidR="00DC290F" w:rsidRPr="004E1BAA" w:rsidRDefault="00DC290F" w:rsidP="00DC290F">
            <w:pPr>
              <w:tabs>
                <w:tab w:val="right" w:pos="1202"/>
              </w:tabs>
              <w:spacing w:line="240" w:lineRule="auto"/>
              <w:outlineLvl w:val="0"/>
              <w:rPr>
                <w:rFonts w:ascii="Calibri" w:eastAsia="Calibri" w:hAnsi="Calibri"/>
                <w:b/>
                <w:bCs/>
                <w:sz w:val="19"/>
                <w:szCs w:val="19"/>
              </w:rPr>
            </w:pPr>
          </w:p>
        </w:tc>
        <w:tc>
          <w:tcPr>
            <w:tcW w:w="757" w:type="pct"/>
            <w:tcBorders>
              <w:top w:val="single" w:sz="12" w:space="0" w:color="auto"/>
            </w:tcBorders>
            <w:shd w:val="clear" w:color="auto" w:fill="auto"/>
            <w:vAlign w:val="bottom"/>
          </w:tcPr>
          <w:p w14:paraId="36904600" w14:textId="77777777" w:rsidR="00DC290F" w:rsidRPr="004E1BAA" w:rsidRDefault="00DC290F" w:rsidP="00DC290F">
            <w:pPr>
              <w:tabs>
                <w:tab w:val="right" w:pos="1202"/>
              </w:tabs>
              <w:spacing w:line="240" w:lineRule="auto"/>
              <w:jc w:val="right"/>
              <w:outlineLvl w:val="0"/>
              <w:rPr>
                <w:rFonts w:ascii="Calibri" w:eastAsia="Calibri" w:hAnsi="Calibri"/>
                <w:sz w:val="19"/>
                <w:szCs w:val="19"/>
              </w:rPr>
            </w:pPr>
          </w:p>
        </w:tc>
        <w:tc>
          <w:tcPr>
            <w:tcW w:w="757" w:type="pct"/>
            <w:tcBorders>
              <w:top w:val="single" w:sz="12" w:space="0" w:color="auto"/>
            </w:tcBorders>
            <w:shd w:val="clear" w:color="auto" w:fill="auto"/>
            <w:vAlign w:val="bottom"/>
          </w:tcPr>
          <w:p w14:paraId="57DA2DFD" w14:textId="77777777" w:rsidR="00DC290F" w:rsidRPr="004E1BAA" w:rsidRDefault="00DC290F" w:rsidP="00DC290F">
            <w:pPr>
              <w:tabs>
                <w:tab w:val="right" w:pos="1202"/>
              </w:tabs>
              <w:spacing w:line="240" w:lineRule="auto"/>
              <w:jc w:val="right"/>
              <w:outlineLvl w:val="0"/>
              <w:rPr>
                <w:rFonts w:ascii="Calibri" w:eastAsia="Calibri" w:hAnsi="Calibri"/>
                <w:sz w:val="19"/>
                <w:szCs w:val="19"/>
              </w:rPr>
            </w:pPr>
          </w:p>
        </w:tc>
        <w:tc>
          <w:tcPr>
            <w:tcW w:w="757" w:type="pct"/>
            <w:tcBorders>
              <w:top w:val="single" w:sz="12" w:space="0" w:color="auto"/>
            </w:tcBorders>
            <w:shd w:val="clear" w:color="auto" w:fill="auto"/>
            <w:vAlign w:val="bottom"/>
          </w:tcPr>
          <w:p w14:paraId="68232165" w14:textId="77777777" w:rsidR="00DC290F" w:rsidRPr="004E1BAA" w:rsidRDefault="00DC290F" w:rsidP="00DC290F">
            <w:pPr>
              <w:tabs>
                <w:tab w:val="right" w:pos="1202"/>
              </w:tabs>
              <w:spacing w:line="240" w:lineRule="auto"/>
              <w:jc w:val="right"/>
              <w:outlineLvl w:val="0"/>
              <w:rPr>
                <w:rFonts w:ascii="Calibri" w:eastAsia="Calibri" w:hAnsi="Calibri"/>
                <w:sz w:val="19"/>
                <w:szCs w:val="19"/>
              </w:rPr>
            </w:pPr>
          </w:p>
        </w:tc>
        <w:tc>
          <w:tcPr>
            <w:tcW w:w="757" w:type="pct"/>
            <w:tcBorders>
              <w:top w:val="single" w:sz="12" w:space="0" w:color="auto"/>
            </w:tcBorders>
            <w:shd w:val="clear" w:color="auto" w:fill="auto"/>
            <w:vAlign w:val="bottom"/>
          </w:tcPr>
          <w:p w14:paraId="26C4FB68" w14:textId="77777777" w:rsidR="00DC290F" w:rsidRPr="004E1BAA" w:rsidRDefault="00DC290F" w:rsidP="00DC290F">
            <w:pPr>
              <w:tabs>
                <w:tab w:val="right" w:pos="1202"/>
              </w:tabs>
              <w:spacing w:line="240" w:lineRule="auto"/>
              <w:jc w:val="right"/>
              <w:outlineLvl w:val="0"/>
              <w:rPr>
                <w:rFonts w:ascii="Calibri" w:eastAsia="Calibri" w:hAnsi="Calibri"/>
                <w:sz w:val="19"/>
                <w:szCs w:val="19"/>
              </w:rPr>
            </w:pPr>
          </w:p>
        </w:tc>
      </w:tr>
      <w:tr w:rsidR="00DC290F" w:rsidRPr="004E1BAA" w14:paraId="3EE32F61" w14:textId="77777777" w:rsidTr="00765996">
        <w:tblPrEx>
          <w:tblCellMar>
            <w:left w:w="31" w:type="dxa"/>
            <w:right w:w="31" w:type="dxa"/>
          </w:tblCellMar>
        </w:tblPrEx>
        <w:trPr>
          <w:cantSplit/>
          <w:trHeight w:val="273"/>
          <w:tblHeader/>
        </w:trPr>
        <w:tc>
          <w:tcPr>
            <w:tcW w:w="1971" w:type="pct"/>
          </w:tcPr>
          <w:p w14:paraId="4C0E37EC" w14:textId="77777777" w:rsidR="00DC290F" w:rsidRPr="004E1BAA" w:rsidRDefault="00DC290F" w:rsidP="00DC290F">
            <w:pPr>
              <w:tabs>
                <w:tab w:val="right" w:pos="1202"/>
              </w:tabs>
              <w:spacing w:line="240" w:lineRule="auto"/>
              <w:outlineLvl w:val="0"/>
              <w:rPr>
                <w:rFonts w:ascii="Calibri" w:eastAsia="Calibri" w:hAnsi="Calibri"/>
                <w:b/>
                <w:bCs/>
                <w:sz w:val="19"/>
                <w:szCs w:val="19"/>
              </w:rPr>
            </w:pPr>
            <w:r w:rsidRPr="004E1BAA">
              <w:rPr>
                <w:rFonts w:ascii="Calibri" w:eastAsia="Calibri" w:hAnsi="Calibri" w:cs="Arial"/>
                <w:b/>
                <w:bCs/>
                <w:sz w:val="19"/>
                <w:szCs w:val="19"/>
              </w:rPr>
              <w:t>Guarantees and commitments</w:t>
            </w:r>
          </w:p>
        </w:tc>
        <w:tc>
          <w:tcPr>
            <w:tcW w:w="757" w:type="pct"/>
            <w:shd w:val="clear" w:color="auto" w:fill="auto"/>
            <w:vAlign w:val="bottom"/>
          </w:tcPr>
          <w:p w14:paraId="58843079" w14:textId="77777777" w:rsidR="00DC290F" w:rsidRPr="004E1BAA" w:rsidRDefault="00DC290F" w:rsidP="00DC290F">
            <w:pPr>
              <w:tabs>
                <w:tab w:val="right" w:pos="1202"/>
              </w:tabs>
              <w:spacing w:line="240" w:lineRule="auto"/>
              <w:jc w:val="right"/>
              <w:outlineLvl w:val="0"/>
              <w:rPr>
                <w:rFonts w:ascii="Calibri" w:eastAsia="Calibri" w:hAnsi="Calibri"/>
                <w:sz w:val="19"/>
                <w:szCs w:val="19"/>
              </w:rPr>
            </w:pPr>
          </w:p>
        </w:tc>
        <w:tc>
          <w:tcPr>
            <w:tcW w:w="757" w:type="pct"/>
            <w:shd w:val="clear" w:color="auto" w:fill="auto"/>
            <w:vAlign w:val="bottom"/>
          </w:tcPr>
          <w:p w14:paraId="624486B2" w14:textId="77777777" w:rsidR="00DC290F" w:rsidRPr="004E1BAA" w:rsidRDefault="00DC290F" w:rsidP="00DC290F">
            <w:pPr>
              <w:tabs>
                <w:tab w:val="right" w:pos="1202"/>
              </w:tabs>
              <w:spacing w:line="240" w:lineRule="auto"/>
              <w:jc w:val="right"/>
              <w:outlineLvl w:val="0"/>
              <w:rPr>
                <w:rFonts w:ascii="Calibri" w:eastAsia="Calibri" w:hAnsi="Calibri"/>
                <w:sz w:val="19"/>
                <w:szCs w:val="19"/>
              </w:rPr>
            </w:pPr>
          </w:p>
        </w:tc>
        <w:tc>
          <w:tcPr>
            <w:tcW w:w="757" w:type="pct"/>
            <w:shd w:val="clear" w:color="auto" w:fill="auto"/>
            <w:vAlign w:val="bottom"/>
          </w:tcPr>
          <w:p w14:paraId="79F0345A" w14:textId="77777777" w:rsidR="00DC290F" w:rsidRPr="004E1BAA" w:rsidRDefault="00DC290F" w:rsidP="00DC290F">
            <w:pPr>
              <w:tabs>
                <w:tab w:val="right" w:pos="1202"/>
              </w:tabs>
              <w:spacing w:line="240" w:lineRule="auto"/>
              <w:jc w:val="right"/>
              <w:outlineLvl w:val="0"/>
              <w:rPr>
                <w:rFonts w:ascii="Calibri" w:eastAsia="Calibri" w:hAnsi="Calibri"/>
                <w:sz w:val="19"/>
                <w:szCs w:val="19"/>
              </w:rPr>
            </w:pPr>
          </w:p>
        </w:tc>
        <w:tc>
          <w:tcPr>
            <w:tcW w:w="757" w:type="pct"/>
            <w:shd w:val="clear" w:color="auto" w:fill="auto"/>
            <w:vAlign w:val="bottom"/>
          </w:tcPr>
          <w:p w14:paraId="0F154ACC" w14:textId="77777777" w:rsidR="00DC290F" w:rsidRPr="004E1BAA" w:rsidRDefault="00DC290F" w:rsidP="00DC290F">
            <w:pPr>
              <w:tabs>
                <w:tab w:val="right" w:pos="1202"/>
              </w:tabs>
              <w:spacing w:line="240" w:lineRule="auto"/>
              <w:jc w:val="right"/>
              <w:outlineLvl w:val="0"/>
              <w:rPr>
                <w:rFonts w:ascii="Calibri" w:eastAsia="Calibri" w:hAnsi="Calibri"/>
                <w:sz w:val="19"/>
                <w:szCs w:val="19"/>
              </w:rPr>
            </w:pPr>
          </w:p>
        </w:tc>
      </w:tr>
      <w:tr w:rsidR="00DC290F" w:rsidRPr="004E1BAA" w14:paraId="7987D5F4" w14:textId="77777777" w:rsidTr="00765996">
        <w:tblPrEx>
          <w:tblCellMar>
            <w:left w:w="31" w:type="dxa"/>
            <w:right w:w="31" w:type="dxa"/>
          </w:tblCellMar>
        </w:tblPrEx>
        <w:trPr>
          <w:cantSplit/>
          <w:trHeight w:val="273"/>
          <w:tblHeader/>
        </w:trPr>
        <w:tc>
          <w:tcPr>
            <w:tcW w:w="1971" w:type="pct"/>
          </w:tcPr>
          <w:p w14:paraId="2C9D69B7" w14:textId="77777777" w:rsidR="00DC290F" w:rsidRPr="004E1BAA" w:rsidRDefault="00DC290F" w:rsidP="00DC290F">
            <w:pPr>
              <w:tabs>
                <w:tab w:val="right" w:pos="1202"/>
              </w:tabs>
              <w:spacing w:line="240" w:lineRule="auto"/>
              <w:outlineLvl w:val="0"/>
              <w:rPr>
                <w:rFonts w:ascii="Calibri" w:eastAsia="Calibri" w:hAnsi="Calibri" w:cs="Arial"/>
                <w:bCs/>
                <w:sz w:val="19"/>
                <w:szCs w:val="19"/>
              </w:rPr>
            </w:pPr>
            <w:r w:rsidRPr="004E1BAA">
              <w:rPr>
                <w:rFonts w:ascii="Calibri" w:eastAsia="Calibri" w:hAnsi="Calibri" w:cs="Arial"/>
                <w:bCs/>
                <w:sz w:val="19"/>
                <w:szCs w:val="19"/>
              </w:rPr>
              <w:t>Guarantees issued in HRK</w:t>
            </w:r>
          </w:p>
        </w:tc>
        <w:tc>
          <w:tcPr>
            <w:tcW w:w="757" w:type="pct"/>
            <w:tcBorders>
              <w:top w:val="nil"/>
              <w:left w:val="nil"/>
              <w:bottom w:val="nil"/>
              <w:right w:val="nil"/>
            </w:tcBorders>
            <w:shd w:val="clear" w:color="auto" w:fill="auto"/>
            <w:vAlign w:val="bottom"/>
          </w:tcPr>
          <w:p w14:paraId="2DED6447" w14:textId="77777777" w:rsidR="00DC290F" w:rsidRPr="004E1BAA" w:rsidRDefault="00DC290F" w:rsidP="00DC290F">
            <w:pPr>
              <w:tabs>
                <w:tab w:val="right" w:pos="1202"/>
              </w:tabs>
              <w:spacing w:line="240" w:lineRule="auto"/>
              <w:jc w:val="right"/>
              <w:outlineLvl w:val="0"/>
              <w:rPr>
                <w:rFonts w:ascii="Calibri" w:eastAsia="Calibri" w:hAnsi="Calibri"/>
                <w:sz w:val="19"/>
                <w:szCs w:val="19"/>
              </w:rPr>
            </w:pPr>
            <w:bookmarkStart w:id="688" w:name="_Toc67329323"/>
            <w:r w:rsidRPr="006577DA">
              <w:rPr>
                <w:sz w:val="19"/>
                <w:szCs w:val="19"/>
              </w:rPr>
              <w:t>140</w:t>
            </w:r>
            <w:r>
              <w:rPr>
                <w:sz w:val="19"/>
                <w:szCs w:val="19"/>
              </w:rPr>
              <w:t>,</w:t>
            </w:r>
            <w:r w:rsidRPr="006577DA">
              <w:rPr>
                <w:sz w:val="19"/>
                <w:szCs w:val="19"/>
              </w:rPr>
              <w:t>113</w:t>
            </w:r>
            <w:bookmarkEnd w:id="688"/>
          </w:p>
        </w:tc>
        <w:tc>
          <w:tcPr>
            <w:tcW w:w="757" w:type="pct"/>
            <w:tcBorders>
              <w:top w:val="nil"/>
              <w:left w:val="nil"/>
              <w:bottom w:val="nil"/>
              <w:right w:val="nil"/>
            </w:tcBorders>
            <w:shd w:val="clear" w:color="auto" w:fill="auto"/>
            <w:vAlign w:val="bottom"/>
          </w:tcPr>
          <w:p w14:paraId="072CC69F" w14:textId="77777777" w:rsidR="00DC290F" w:rsidRPr="003239B0" w:rsidRDefault="00DC290F" w:rsidP="00DC290F">
            <w:pPr>
              <w:tabs>
                <w:tab w:val="right" w:pos="1202"/>
              </w:tabs>
              <w:spacing w:line="240" w:lineRule="auto"/>
              <w:jc w:val="right"/>
              <w:outlineLvl w:val="0"/>
              <w:rPr>
                <w:rFonts w:cstheme="minorHAnsi"/>
                <w:color w:val="000000" w:themeColor="text1"/>
                <w:sz w:val="19"/>
                <w:szCs w:val="19"/>
              </w:rPr>
            </w:pPr>
            <w:bookmarkStart w:id="689" w:name="_Toc67329324"/>
            <w:r>
              <w:rPr>
                <w:rFonts w:cstheme="minorHAnsi"/>
                <w:color w:val="000000" w:themeColor="text1"/>
                <w:sz w:val="19"/>
                <w:szCs w:val="19"/>
              </w:rPr>
              <w:t>-</w:t>
            </w:r>
            <w:bookmarkEnd w:id="689"/>
          </w:p>
        </w:tc>
        <w:tc>
          <w:tcPr>
            <w:tcW w:w="757" w:type="pct"/>
            <w:tcBorders>
              <w:top w:val="nil"/>
              <w:left w:val="nil"/>
              <w:bottom w:val="nil"/>
              <w:right w:val="nil"/>
            </w:tcBorders>
            <w:shd w:val="clear" w:color="auto" w:fill="auto"/>
            <w:vAlign w:val="bottom"/>
          </w:tcPr>
          <w:p w14:paraId="5BCC7888" w14:textId="77777777" w:rsidR="00DC290F" w:rsidRPr="003239B0" w:rsidRDefault="00DC290F" w:rsidP="00DC290F">
            <w:pPr>
              <w:tabs>
                <w:tab w:val="right" w:pos="1202"/>
              </w:tabs>
              <w:spacing w:line="240" w:lineRule="auto"/>
              <w:jc w:val="right"/>
              <w:outlineLvl w:val="0"/>
              <w:rPr>
                <w:rFonts w:cstheme="minorHAnsi"/>
                <w:color w:val="000000" w:themeColor="text1"/>
                <w:sz w:val="19"/>
                <w:szCs w:val="19"/>
              </w:rPr>
            </w:pPr>
            <w:bookmarkStart w:id="690" w:name="_Toc67329325"/>
            <w:r>
              <w:rPr>
                <w:rFonts w:cstheme="minorHAnsi"/>
                <w:color w:val="000000" w:themeColor="text1"/>
                <w:sz w:val="19"/>
                <w:szCs w:val="19"/>
              </w:rPr>
              <w:t>-</w:t>
            </w:r>
            <w:bookmarkEnd w:id="690"/>
          </w:p>
        </w:tc>
        <w:tc>
          <w:tcPr>
            <w:tcW w:w="757" w:type="pct"/>
            <w:tcBorders>
              <w:top w:val="nil"/>
              <w:left w:val="nil"/>
              <w:bottom w:val="nil"/>
              <w:right w:val="nil"/>
            </w:tcBorders>
            <w:shd w:val="clear" w:color="auto" w:fill="auto"/>
            <w:vAlign w:val="bottom"/>
          </w:tcPr>
          <w:p w14:paraId="4E38F124" w14:textId="77777777" w:rsidR="00DC290F" w:rsidRPr="003239B0" w:rsidRDefault="00DC290F" w:rsidP="00DC290F">
            <w:pPr>
              <w:tabs>
                <w:tab w:val="right" w:pos="1202"/>
              </w:tabs>
              <w:spacing w:line="240" w:lineRule="auto"/>
              <w:jc w:val="right"/>
              <w:outlineLvl w:val="0"/>
              <w:rPr>
                <w:rFonts w:cstheme="minorHAnsi"/>
                <w:color w:val="000000" w:themeColor="text1"/>
                <w:sz w:val="19"/>
                <w:szCs w:val="19"/>
              </w:rPr>
            </w:pPr>
            <w:bookmarkStart w:id="691" w:name="_Toc67329326"/>
            <w:r w:rsidRPr="006577DA">
              <w:rPr>
                <w:sz w:val="19"/>
                <w:szCs w:val="19"/>
              </w:rPr>
              <w:t>140</w:t>
            </w:r>
            <w:r>
              <w:rPr>
                <w:sz w:val="19"/>
                <w:szCs w:val="19"/>
              </w:rPr>
              <w:t>,</w:t>
            </w:r>
            <w:r w:rsidRPr="006577DA">
              <w:rPr>
                <w:sz w:val="19"/>
                <w:szCs w:val="19"/>
              </w:rPr>
              <w:t>113</w:t>
            </w:r>
            <w:bookmarkEnd w:id="691"/>
          </w:p>
        </w:tc>
      </w:tr>
      <w:tr w:rsidR="00DC290F" w:rsidRPr="004E1BAA" w14:paraId="734B3122" w14:textId="77777777" w:rsidTr="00765996">
        <w:tblPrEx>
          <w:tblCellMar>
            <w:left w:w="31" w:type="dxa"/>
            <w:right w:w="31" w:type="dxa"/>
          </w:tblCellMar>
        </w:tblPrEx>
        <w:trPr>
          <w:cantSplit/>
          <w:trHeight w:val="273"/>
          <w:tblHeader/>
        </w:trPr>
        <w:tc>
          <w:tcPr>
            <w:tcW w:w="1971" w:type="pct"/>
            <w:vAlign w:val="bottom"/>
          </w:tcPr>
          <w:p w14:paraId="6B27F6B6" w14:textId="77777777" w:rsidR="00DC290F" w:rsidRPr="004E1BAA" w:rsidRDefault="00DC290F" w:rsidP="00DC290F">
            <w:pPr>
              <w:tabs>
                <w:tab w:val="right" w:pos="1202"/>
              </w:tabs>
              <w:spacing w:line="240" w:lineRule="auto"/>
              <w:outlineLvl w:val="0"/>
              <w:rPr>
                <w:rFonts w:ascii="Calibri" w:eastAsia="Calibri" w:hAnsi="Calibri"/>
                <w:sz w:val="19"/>
                <w:szCs w:val="19"/>
              </w:rPr>
            </w:pPr>
            <w:r w:rsidRPr="004E1BAA">
              <w:rPr>
                <w:rFonts w:ascii="Calibri" w:eastAsia="Calibri" w:hAnsi="Calibri"/>
                <w:sz w:val="19"/>
                <w:szCs w:val="19"/>
              </w:rPr>
              <w:t>Issued guarantees in foreign currency</w:t>
            </w:r>
          </w:p>
        </w:tc>
        <w:tc>
          <w:tcPr>
            <w:tcW w:w="757" w:type="pct"/>
            <w:tcBorders>
              <w:top w:val="nil"/>
              <w:left w:val="nil"/>
              <w:bottom w:val="nil"/>
              <w:right w:val="nil"/>
            </w:tcBorders>
            <w:shd w:val="clear" w:color="auto" w:fill="auto"/>
            <w:vAlign w:val="bottom"/>
          </w:tcPr>
          <w:p w14:paraId="773094BB" w14:textId="77777777" w:rsidR="00DC290F" w:rsidRPr="004E1BAA" w:rsidRDefault="00DC290F" w:rsidP="00DC290F">
            <w:pPr>
              <w:tabs>
                <w:tab w:val="right" w:pos="1202"/>
              </w:tabs>
              <w:spacing w:line="240" w:lineRule="auto"/>
              <w:jc w:val="right"/>
              <w:outlineLvl w:val="0"/>
              <w:rPr>
                <w:rFonts w:ascii="Calibri" w:eastAsia="Calibri" w:hAnsi="Calibri"/>
                <w:sz w:val="19"/>
                <w:szCs w:val="19"/>
              </w:rPr>
            </w:pPr>
            <w:bookmarkStart w:id="692" w:name="_Toc67329328"/>
            <w:r w:rsidRPr="006577DA">
              <w:rPr>
                <w:sz w:val="19"/>
                <w:szCs w:val="19"/>
              </w:rPr>
              <w:t>260</w:t>
            </w:r>
            <w:r>
              <w:rPr>
                <w:sz w:val="19"/>
                <w:szCs w:val="19"/>
              </w:rPr>
              <w:t>,</w:t>
            </w:r>
            <w:r w:rsidRPr="006577DA">
              <w:rPr>
                <w:sz w:val="19"/>
                <w:szCs w:val="19"/>
              </w:rPr>
              <w:t>705</w:t>
            </w:r>
            <w:bookmarkEnd w:id="692"/>
          </w:p>
        </w:tc>
        <w:tc>
          <w:tcPr>
            <w:tcW w:w="757" w:type="pct"/>
            <w:tcBorders>
              <w:top w:val="nil"/>
              <w:left w:val="nil"/>
              <w:bottom w:val="nil"/>
              <w:right w:val="nil"/>
            </w:tcBorders>
            <w:shd w:val="clear" w:color="auto" w:fill="auto"/>
            <w:vAlign w:val="bottom"/>
          </w:tcPr>
          <w:p w14:paraId="1DC6CA70" w14:textId="77777777" w:rsidR="00DC290F" w:rsidRPr="003239B0" w:rsidRDefault="00DC290F" w:rsidP="00DC290F">
            <w:pPr>
              <w:tabs>
                <w:tab w:val="right" w:pos="1202"/>
              </w:tabs>
              <w:spacing w:line="240" w:lineRule="auto"/>
              <w:jc w:val="right"/>
              <w:outlineLvl w:val="0"/>
              <w:rPr>
                <w:rFonts w:cstheme="minorHAnsi"/>
                <w:color w:val="000000" w:themeColor="text1"/>
                <w:sz w:val="19"/>
                <w:szCs w:val="19"/>
              </w:rPr>
            </w:pPr>
            <w:bookmarkStart w:id="693" w:name="_Toc67329329"/>
            <w:r>
              <w:rPr>
                <w:rFonts w:cstheme="minorHAnsi"/>
                <w:color w:val="000000" w:themeColor="text1"/>
                <w:sz w:val="19"/>
                <w:szCs w:val="19"/>
              </w:rPr>
              <w:t>-</w:t>
            </w:r>
            <w:bookmarkEnd w:id="693"/>
          </w:p>
        </w:tc>
        <w:tc>
          <w:tcPr>
            <w:tcW w:w="757" w:type="pct"/>
            <w:tcBorders>
              <w:top w:val="nil"/>
              <w:left w:val="nil"/>
              <w:bottom w:val="nil"/>
              <w:right w:val="nil"/>
            </w:tcBorders>
            <w:shd w:val="clear" w:color="auto" w:fill="auto"/>
            <w:vAlign w:val="bottom"/>
          </w:tcPr>
          <w:p w14:paraId="6E50F1F1" w14:textId="77777777" w:rsidR="00DC290F" w:rsidRPr="003239B0" w:rsidRDefault="00DC290F" w:rsidP="00DC290F">
            <w:pPr>
              <w:tabs>
                <w:tab w:val="right" w:pos="1202"/>
              </w:tabs>
              <w:spacing w:line="240" w:lineRule="auto"/>
              <w:jc w:val="right"/>
              <w:outlineLvl w:val="0"/>
              <w:rPr>
                <w:rFonts w:cstheme="minorHAnsi"/>
                <w:color w:val="000000" w:themeColor="text1"/>
                <w:sz w:val="19"/>
                <w:szCs w:val="19"/>
              </w:rPr>
            </w:pPr>
            <w:bookmarkStart w:id="694" w:name="_Toc67329330"/>
            <w:r>
              <w:rPr>
                <w:rFonts w:cstheme="minorHAnsi"/>
                <w:color w:val="000000" w:themeColor="text1"/>
                <w:sz w:val="19"/>
                <w:szCs w:val="19"/>
              </w:rPr>
              <w:t>-</w:t>
            </w:r>
            <w:bookmarkEnd w:id="694"/>
          </w:p>
        </w:tc>
        <w:tc>
          <w:tcPr>
            <w:tcW w:w="757" w:type="pct"/>
            <w:tcBorders>
              <w:top w:val="nil"/>
              <w:left w:val="nil"/>
              <w:bottom w:val="nil"/>
              <w:right w:val="nil"/>
            </w:tcBorders>
            <w:shd w:val="clear" w:color="auto" w:fill="auto"/>
            <w:vAlign w:val="bottom"/>
          </w:tcPr>
          <w:p w14:paraId="325EA0CA" w14:textId="77777777" w:rsidR="00DC290F" w:rsidRPr="003239B0" w:rsidRDefault="00DC290F" w:rsidP="00DC290F">
            <w:pPr>
              <w:tabs>
                <w:tab w:val="right" w:pos="1202"/>
              </w:tabs>
              <w:spacing w:line="240" w:lineRule="auto"/>
              <w:jc w:val="right"/>
              <w:outlineLvl w:val="0"/>
              <w:rPr>
                <w:rFonts w:cstheme="minorHAnsi"/>
                <w:color w:val="000000" w:themeColor="text1"/>
                <w:sz w:val="19"/>
                <w:szCs w:val="19"/>
              </w:rPr>
            </w:pPr>
            <w:bookmarkStart w:id="695" w:name="_Toc67329331"/>
            <w:r w:rsidRPr="006577DA">
              <w:rPr>
                <w:sz w:val="19"/>
                <w:szCs w:val="19"/>
              </w:rPr>
              <w:t>260</w:t>
            </w:r>
            <w:r>
              <w:rPr>
                <w:sz w:val="19"/>
                <w:szCs w:val="19"/>
              </w:rPr>
              <w:t>,</w:t>
            </w:r>
            <w:r w:rsidRPr="006577DA">
              <w:rPr>
                <w:sz w:val="19"/>
                <w:szCs w:val="19"/>
              </w:rPr>
              <w:t>705</w:t>
            </w:r>
            <w:bookmarkEnd w:id="695"/>
          </w:p>
        </w:tc>
      </w:tr>
      <w:tr w:rsidR="00DC290F" w:rsidRPr="004E1BAA" w14:paraId="002C1684" w14:textId="77777777" w:rsidTr="00765996">
        <w:tblPrEx>
          <w:tblCellMar>
            <w:left w:w="31" w:type="dxa"/>
            <w:right w:w="31" w:type="dxa"/>
          </w:tblCellMar>
        </w:tblPrEx>
        <w:trPr>
          <w:cantSplit/>
          <w:trHeight w:val="273"/>
          <w:tblHeader/>
        </w:trPr>
        <w:tc>
          <w:tcPr>
            <w:tcW w:w="1971" w:type="pct"/>
            <w:vAlign w:val="bottom"/>
          </w:tcPr>
          <w:p w14:paraId="26A8D7B2" w14:textId="77777777" w:rsidR="00DC290F" w:rsidRPr="004E1BAA" w:rsidRDefault="00DC290F" w:rsidP="00DC290F">
            <w:pPr>
              <w:tabs>
                <w:tab w:val="right" w:pos="1202"/>
              </w:tabs>
              <w:spacing w:line="240" w:lineRule="auto"/>
              <w:outlineLvl w:val="0"/>
              <w:rPr>
                <w:rFonts w:ascii="Calibri" w:eastAsia="Calibri" w:hAnsi="Calibri"/>
                <w:sz w:val="19"/>
                <w:szCs w:val="19"/>
              </w:rPr>
            </w:pPr>
            <w:r w:rsidRPr="004E1BAA">
              <w:rPr>
                <w:rFonts w:ascii="Calibri" w:eastAsia="Calibri" w:hAnsi="Calibri"/>
                <w:sz w:val="19"/>
                <w:szCs w:val="19"/>
              </w:rPr>
              <w:t>Undrawn loans</w:t>
            </w:r>
          </w:p>
        </w:tc>
        <w:tc>
          <w:tcPr>
            <w:tcW w:w="757" w:type="pct"/>
            <w:tcBorders>
              <w:top w:val="nil"/>
              <w:left w:val="nil"/>
              <w:bottom w:val="single" w:sz="4" w:space="0" w:color="auto"/>
              <w:right w:val="nil"/>
            </w:tcBorders>
            <w:shd w:val="clear" w:color="auto" w:fill="auto"/>
            <w:vAlign w:val="bottom"/>
          </w:tcPr>
          <w:p w14:paraId="36678255" w14:textId="77777777" w:rsidR="00DC290F" w:rsidRPr="004E1BAA" w:rsidRDefault="00DC290F" w:rsidP="00DC290F">
            <w:pPr>
              <w:tabs>
                <w:tab w:val="right" w:pos="1202"/>
              </w:tabs>
              <w:spacing w:line="240" w:lineRule="auto"/>
              <w:jc w:val="right"/>
              <w:outlineLvl w:val="0"/>
              <w:rPr>
                <w:rFonts w:ascii="Calibri" w:eastAsia="Calibri" w:hAnsi="Calibri"/>
                <w:sz w:val="19"/>
                <w:szCs w:val="19"/>
              </w:rPr>
            </w:pPr>
            <w:bookmarkStart w:id="696" w:name="_Toc67329338"/>
            <w:r w:rsidRPr="006577DA">
              <w:rPr>
                <w:sz w:val="19"/>
                <w:szCs w:val="19"/>
              </w:rPr>
              <w:t>3</w:t>
            </w:r>
            <w:r>
              <w:rPr>
                <w:sz w:val="19"/>
                <w:szCs w:val="19"/>
              </w:rPr>
              <w:t>,</w:t>
            </w:r>
            <w:r w:rsidRPr="006577DA">
              <w:rPr>
                <w:sz w:val="19"/>
                <w:szCs w:val="19"/>
              </w:rPr>
              <w:t>454</w:t>
            </w:r>
            <w:r>
              <w:rPr>
                <w:sz w:val="19"/>
                <w:szCs w:val="19"/>
              </w:rPr>
              <w:t>,</w:t>
            </w:r>
            <w:r w:rsidRPr="006577DA">
              <w:rPr>
                <w:sz w:val="19"/>
                <w:szCs w:val="19"/>
              </w:rPr>
              <w:t>685</w:t>
            </w:r>
            <w:bookmarkEnd w:id="696"/>
          </w:p>
        </w:tc>
        <w:tc>
          <w:tcPr>
            <w:tcW w:w="757" w:type="pct"/>
            <w:tcBorders>
              <w:top w:val="nil"/>
              <w:left w:val="nil"/>
              <w:bottom w:val="single" w:sz="4" w:space="0" w:color="auto"/>
              <w:right w:val="nil"/>
            </w:tcBorders>
            <w:shd w:val="clear" w:color="auto" w:fill="auto"/>
            <w:vAlign w:val="bottom"/>
          </w:tcPr>
          <w:p w14:paraId="3BFFD956" w14:textId="77777777" w:rsidR="00DC290F" w:rsidRPr="003239B0" w:rsidRDefault="00DC290F" w:rsidP="00DC290F">
            <w:pPr>
              <w:tabs>
                <w:tab w:val="right" w:pos="1202"/>
              </w:tabs>
              <w:spacing w:line="240" w:lineRule="auto"/>
              <w:jc w:val="right"/>
              <w:outlineLvl w:val="0"/>
              <w:rPr>
                <w:rFonts w:cstheme="minorHAnsi"/>
                <w:color w:val="000000" w:themeColor="text1"/>
                <w:sz w:val="19"/>
                <w:szCs w:val="19"/>
              </w:rPr>
            </w:pPr>
            <w:bookmarkStart w:id="697" w:name="_Toc67329339"/>
            <w:r>
              <w:rPr>
                <w:sz w:val="19"/>
                <w:szCs w:val="19"/>
              </w:rPr>
              <w:t>-</w:t>
            </w:r>
            <w:bookmarkEnd w:id="697"/>
          </w:p>
        </w:tc>
        <w:tc>
          <w:tcPr>
            <w:tcW w:w="757" w:type="pct"/>
            <w:tcBorders>
              <w:top w:val="nil"/>
              <w:left w:val="nil"/>
              <w:bottom w:val="single" w:sz="4" w:space="0" w:color="auto"/>
              <w:right w:val="nil"/>
            </w:tcBorders>
            <w:shd w:val="clear" w:color="auto" w:fill="auto"/>
            <w:vAlign w:val="bottom"/>
          </w:tcPr>
          <w:p w14:paraId="614185A4" w14:textId="77777777" w:rsidR="00DC290F" w:rsidRPr="003239B0" w:rsidRDefault="00DC290F" w:rsidP="00DC290F">
            <w:pPr>
              <w:tabs>
                <w:tab w:val="right" w:pos="1202"/>
              </w:tabs>
              <w:spacing w:line="240" w:lineRule="auto"/>
              <w:jc w:val="right"/>
              <w:outlineLvl w:val="0"/>
              <w:rPr>
                <w:rFonts w:cstheme="minorHAnsi"/>
                <w:color w:val="000000" w:themeColor="text1"/>
                <w:sz w:val="19"/>
                <w:szCs w:val="19"/>
              </w:rPr>
            </w:pPr>
            <w:bookmarkStart w:id="698" w:name="_Toc67329340"/>
            <w:r w:rsidRPr="006577DA">
              <w:rPr>
                <w:sz w:val="19"/>
                <w:szCs w:val="19"/>
              </w:rPr>
              <w:t>2</w:t>
            </w:r>
            <w:r>
              <w:rPr>
                <w:sz w:val="19"/>
                <w:szCs w:val="19"/>
              </w:rPr>
              <w:t>,</w:t>
            </w:r>
            <w:r w:rsidRPr="006577DA">
              <w:rPr>
                <w:sz w:val="19"/>
                <w:szCs w:val="19"/>
              </w:rPr>
              <w:t>606</w:t>
            </w:r>
            <w:bookmarkEnd w:id="698"/>
          </w:p>
        </w:tc>
        <w:tc>
          <w:tcPr>
            <w:tcW w:w="757" w:type="pct"/>
            <w:tcBorders>
              <w:top w:val="nil"/>
              <w:left w:val="nil"/>
              <w:bottom w:val="single" w:sz="4" w:space="0" w:color="auto"/>
              <w:right w:val="nil"/>
            </w:tcBorders>
            <w:shd w:val="clear" w:color="auto" w:fill="auto"/>
            <w:vAlign w:val="bottom"/>
          </w:tcPr>
          <w:p w14:paraId="29B0D6C5" w14:textId="77777777" w:rsidR="00DC290F" w:rsidRPr="003239B0" w:rsidRDefault="00DC290F" w:rsidP="00DC290F">
            <w:pPr>
              <w:tabs>
                <w:tab w:val="right" w:pos="1202"/>
              </w:tabs>
              <w:spacing w:line="240" w:lineRule="auto"/>
              <w:jc w:val="right"/>
              <w:outlineLvl w:val="0"/>
              <w:rPr>
                <w:rFonts w:cstheme="minorHAnsi"/>
                <w:color w:val="000000" w:themeColor="text1"/>
                <w:sz w:val="19"/>
                <w:szCs w:val="19"/>
              </w:rPr>
            </w:pPr>
            <w:bookmarkStart w:id="699" w:name="_Toc67329341"/>
            <w:r w:rsidRPr="006577DA">
              <w:rPr>
                <w:sz w:val="19"/>
                <w:szCs w:val="19"/>
              </w:rPr>
              <w:t>3</w:t>
            </w:r>
            <w:r>
              <w:rPr>
                <w:sz w:val="19"/>
                <w:szCs w:val="19"/>
              </w:rPr>
              <w:t>,</w:t>
            </w:r>
            <w:r w:rsidRPr="006577DA">
              <w:rPr>
                <w:sz w:val="19"/>
                <w:szCs w:val="19"/>
              </w:rPr>
              <w:t>457</w:t>
            </w:r>
            <w:r>
              <w:rPr>
                <w:sz w:val="19"/>
                <w:szCs w:val="19"/>
              </w:rPr>
              <w:t>,</w:t>
            </w:r>
            <w:r w:rsidRPr="006577DA">
              <w:rPr>
                <w:sz w:val="19"/>
                <w:szCs w:val="19"/>
              </w:rPr>
              <w:t>291</w:t>
            </w:r>
            <w:bookmarkEnd w:id="699"/>
          </w:p>
        </w:tc>
      </w:tr>
      <w:tr w:rsidR="00DC290F" w:rsidRPr="004E1BAA" w14:paraId="6CD5801F" w14:textId="77777777" w:rsidTr="00765996">
        <w:tblPrEx>
          <w:tblCellMar>
            <w:left w:w="31" w:type="dxa"/>
            <w:right w:w="31" w:type="dxa"/>
          </w:tblCellMar>
        </w:tblPrEx>
        <w:trPr>
          <w:cantSplit/>
          <w:trHeight w:val="322"/>
          <w:tblHeader/>
        </w:trPr>
        <w:tc>
          <w:tcPr>
            <w:tcW w:w="1971" w:type="pct"/>
            <w:vAlign w:val="bottom"/>
          </w:tcPr>
          <w:p w14:paraId="36687C5A" w14:textId="77777777" w:rsidR="00DC290F" w:rsidRPr="004E1BAA" w:rsidRDefault="00DC290F" w:rsidP="00DC290F">
            <w:pPr>
              <w:tabs>
                <w:tab w:val="right" w:pos="1202"/>
              </w:tabs>
              <w:spacing w:line="240" w:lineRule="auto"/>
              <w:outlineLvl w:val="0"/>
              <w:rPr>
                <w:rFonts w:ascii="Calibri" w:eastAsia="Calibri" w:hAnsi="Calibri"/>
                <w:b/>
                <w:bCs/>
                <w:sz w:val="19"/>
                <w:szCs w:val="19"/>
              </w:rPr>
            </w:pPr>
            <w:r w:rsidRPr="004E1BAA">
              <w:rPr>
                <w:rFonts w:ascii="Calibri" w:eastAsia="Calibri" w:hAnsi="Calibri"/>
                <w:b/>
                <w:bCs/>
                <w:sz w:val="19"/>
                <w:szCs w:val="19"/>
              </w:rPr>
              <w:t>Total</w:t>
            </w:r>
          </w:p>
        </w:tc>
        <w:tc>
          <w:tcPr>
            <w:tcW w:w="757" w:type="pct"/>
            <w:tcBorders>
              <w:top w:val="single" w:sz="4" w:space="0" w:color="auto"/>
              <w:left w:val="nil"/>
              <w:bottom w:val="single" w:sz="12" w:space="0" w:color="auto"/>
              <w:right w:val="nil"/>
            </w:tcBorders>
            <w:shd w:val="clear" w:color="auto" w:fill="auto"/>
            <w:vAlign w:val="bottom"/>
          </w:tcPr>
          <w:p w14:paraId="61775D97" w14:textId="77777777" w:rsidR="00DC290F" w:rsidRPr="004E1BAA" w:rsidRDefault="00DC290F" w:rsidP="007027DD">
            <w:pPr>
              <w:tabs>
                <w:tab w:val="right" w:pos="1202"/>
              </w:tabs>
              <w:spacing w:after="0" w:line="240" w:lineRule="auto"/>
              <w:jc w:val="right"/>
              <w:outlineLvl w:val="0"/>
              <w:rPr>
                <w:rFonts w:ascii="Calibri" w:eastAsia="Calibri" w:hAnsi="Calibri"/>
                <w:b/>
                <w:sz w:val="19"/>
                <w:szCs w:val="19"/>
              </w:rPr>
            </w:pPr>
            <w:bookmarkStart w:id="700" w:name="_Toc67329348"/>
            <w:r w:rsidRPr="006577DA">
              <w:rPr>
                <w:b/>
                <w:bCs/>
                <w:sz w:val="19"/>
                <w:szCs w:val="19"/>
              </w:rPr>
              <w:t>3</w:t>
            </w:r>
            <w:r>
              <w:rPr>
                <w:b/>
                <w:bCs/>
                <w:sz w:val="19"/>
                <w:szCs w:val="19"/>
              </w:rPr>
              <w:t>,</w:t>
            </w:r>
            <w:r w:rsidRPr="006577DA">
              <w:rPr>
                <w:b/>
                <w:bCs/>
                <w:sz w:val="19"/>
                <w:szCs w:val="19"/>
              </w:rPr>
              <w:t>855</w:t>
            </w:r>
            <w:r>
              <w:rPr>
                <w:b/>
                <w:bCs/>
                <w:sz w:val="19"/>
                <w:szCs w:val="19"/>
              </w:rPr>
              <w:t>,</w:t>
            </w:r>
            <w:r w:rsidRPr="006577DA">
              <w:rPr>
                <w:b/>
                <w:bCs/>
                <w:sz w:val="19"/>
                <w:szCs w:val="19"/>
              </w:rPr>
              <w:t>503</w:t>
            </w:r>
            <w:bookmarkEnd w:id="700"/>
          </w:p>
        </w:tc>
        <w:tc>
          <w:tcPr>
            <w:tcW w:w="757" w:type="pct"/>
            <w:tcBorders>
              <w:top w:val="single" w:sz="4" w:space="0" w:color="auto"/>
              <w:left w:val="nil"/>
              <w:bottom w:val="single" w:sz="12" w:space="0" w:color="auto"/>
              <w:right w:val="nil"/>
            </w:tcBorders>
            <w:shd w:val="clear" w:color="auto" w:fill="auto"/>
            <w:vAlign w:val="bottom"/>
          </w:tcPr>
          <w:p w14:paraId="3B4E4A5D" w14:textId="77777777" w:rsidR="00DC290F" w:rsidRPr="004E1BAA" w:rsidRDefault="00DC290F" w:rsidP="007027DD">
            <w:pPr>
              <w:tabs>
                <w:tab w:val="right" w:pos="1202"/>
              </w:tabs>
              <w:spacing w:after="0" w:line="240" w:lineRule="auto"/>
              <w:jc w:val="right"/>
              <w:outlineLvl w:val="0"/>
              <w:rPr>
                <w:rFonts w:ascii="Calibri" w:eastAsia="Calibri" w:hAnsi="Calibri"/>
                <w:b/>
                <w:sz w:val="19"/>
                <w:szCs w:val="19"/>
              </w:rPr>
            </w:pPr>
            <w:bookmarkStart w:id="701" w:name="_Toc67329349"/>
            <w:r w:rsidRPr="006577DA">
              <w:rPr>
                <w:b/>
                <w:bCs/>
                <w:sz w:val="19"/>
                <w:szCs w:val="19"/>
              </w:rPr>
              <w:t>-</w:t>
            </w:r>
            <w:bookmarkEnd w:id="701"/>
          </w:p>
        </w:tc>
        <w:tc>
          <w:tcPr>
            <w:tcW w:w="757" w:type="pct"/>
            <w:tcBorders>
              <w:top w:val="single" w:sz="4" w:space="0" w:color="auto"/>
              <w:left w:val="nil"/>
              <w:bottom w:val="single" w:sz="12" w:space="0" w:color="auto"/>
              <w:right w:val="nil"/>
            </w:tcBorders>
            <w:shd w:val="clear" w:color="auto" w:fill="auto"/>
            <w:vAlign w:val="bottom"/>
          </w:tcPr>
          <w:p w14:paraId="4587A9D3" w14:textId="77777777" w:rsidR="00DC290F" w:rsidRPr="004E1BAA" w:rsidRDefault="00DC290F" w:rsidP="007027DD">
            <w:pPr>
              <w:tabs>
                <w:tab w:val="right" w:pos="1202"/>
              </w:tabs>
              <w:spacing w:after="0" w:line="240" w:lineRule="auto"/>
              <w:jc w:val="right"/>
              <w:outlineLvl w:val="0"/>
              <w:rPr>
                <w:rFonts w:ascii="Calibri" w:eastAsia="Calibri" w:hAnsi="Calibri"/>
                <w:b/>
                <w:sz w:val="19"/>
                <w:szCs w:val="19"/>
              </w:rPr>
            </w:pPr>
            <w:bookmarkStart w:id="702" w:name="_Toc67329350"/>
            <w:r w:rsidRPr="006577DA">
              <w:rPr>
                <w:b/>
                <w:bCs/>
                <w:sz w:val="19"/>
                <w:szCs w:val="19"/>
              </w:rPr>
              <w:t>2</w:t>
            </w:r>
            <w:r>
              <w:rPr>
                <w:b/>
                <w:bCs/>
                <w:sz w:val="19"/>
                <w:szCs w:val="19"/>
              </w:rPr>
              <w:t>,</w:t>
            </w:r>
            <w:r w:rsidRPr="006577DA">
              <w:rPr>
                <w:b/>
                <w:bCs/>
                <w:sz w:val="19"/>
                <w:szCs w:val="19"/>
              </w:rPr>
              <w:t>606</w:t>
            </w:r>
            <w:bookmarkEnd w:id="702"/>
          </w:p>
        </w:tc>
        <w:tc>
          <w:tcPr>
            <w:tcW w:w="757" w:type="pct"/>
            <w:tcBorders>
              <w:top w:val="single" w:sz="4" w:space="0" w:color="auto"/>
              <w:left w:val="nil"/>
              <w:bottom w:val="single" w:sz="12" w:space="0" w:color="auto"/>
              <w:right w:val="nil"/>
            </w:tcBorders>
            <w:shd w:val="clear" w:color="auto" w:fill="auto"/>
            <w:vAlign w:val="bottom"/>
          </w:tcPr>
          <w:p w14:paraId="008AEDE8" w14:textId="77777777" w:rsidR="00DC290F" w:rsidRPr="004E1BAA" w:rsidRDefault="00DC290F" w:rsidP="007027DD">
            <w:pPr>
              <w:tabs>
                <w:tab w:val="right" w:pos="1202"/>
              </w:tabs>
              <w:spacing w:after="0" w:line="240" w:lineRule="auto"/>
              <w:jc w:val="right"/>
              <w:outlineLvl w:val="0"/>
              <w:rPr>
                <w:rFonts w:ascii="Calibri" w:eastAsia="Calibri" w:hAnsi="Calibri"/>
                <w:b/>
                <w:sz w:val="19"/>
                <w:szCs w:val="19"/>
              </w:rPr>
            </w:pPr>
            <w:bookmarkStart w:id="703" w:name="_Toc67329351"/>
            <w:r w:rsidRPr="006577DA">
              <w:rPr>
                <w:b/>
                <w:bCs/>
                <w:sz w:val="19"/>
                <w:szCs w:val="19"/>
              </w:rPr>
              <w:t>3</w:t>
            </w:r>
            <w:r>
              <w:rPr>
                <w:b/>
                <w:bCs/>
                <w:sz w:val="19"/>
                <w:szCs w:val="19"/>
              </w:rPr>
              <w:t>,</w:t>
            </w:r>
            <w:r w:rsidRPr="006577DA">
              <w:rPr>
                <w:b/>
                <w:bCs/>
                <w:sz w:val="19"/>
                <w:szCs w:val="19"/>
              </w:rPr>
              <w:t>858</w:t>
            </w:r>
            <w:r>
              <w:rPr>
                <w:b/>
                <w:bCs/>
                <w:sz w:val="19"/>
                <w:szCs w:val="19"/>
              </w:rPr>
              <w:t>,</w:t>
            </w:r>
            <w:r w:rsidRPr="006577DA">
              <w:rPr>
                <w:b/>
                <w:bCs/>
                <w:sz w:val="19"/>
                <w:szCs w:val="19"/>
              </w:rPr>
              <w:t>109</w:t>
            </w:r>
            <w:bookmarkEnd w:id="703"/>
          </w:p>
        </w:tc>
      </w:tr>
      <w:tr w:rsidR="00DC290F" w:rsidRPr="004E1BAA" w14:paraId="5FD8B7BA" w14:textId="77777777" w:rsidTr="00765996">
        <w:tblPrEx>
          <w:tblCellMar>
            <w:left w:w="31" w:type="dxa"/>
            <w:right w:w="31" w:type="dxa"/>
          </w:tblCellMar>
        </w:tblPrEx>
        <w:trPr>
          <w:cantSplit/>
          <w:trHeight w:val="407"/>
          <w:tblHeader/>
        </w:trPr>
        <w:tc>
          <w:tcPr>
            <w:tcW w:w="1971" w:type="pct"/>
            <w:vAlign w:val="bottom"/>
          </w:tcPr>
          <w:p w14:paraId="55A110DC" w14:textId="77777777" w:rsidR="00DC290F" w:rsidRPr="004E1BAA" w:rsidRDefault="00DC290F" w:rsidP="00DC290F">
            <w:pPr>
              <w:tabs>
                <w:tab w:val="right" w:pos="1202"/>
              </w:tabs>
              <w:spacing w:after="0" w:line="240" w:lineRule="auto"/>
              <w:outlineLvl w:val="0"/>
              <w:rPr>
                <w:rFonts w:ascii="Calibri" w:eastAsia="Calibri" w:hAnsi="Calibri"/>
                <w:b/>
                <w:bCs/>
                <w:sz w:val="19"/>
                <w:szCs w:val="19"/>
              </w:rPr>
            </w:pPr>
            <w:r w:rsidRPr="004E1BAA">
              <w:rPr>
                <w:rFonts w:ascii="Calibri" w:eastAsia="Calibri" w:hAnsi="Calibri" w:cs="Arial"/>
                <w:b/>
                <w:bCs/>
                <w:sz w:val="19"/>
                <w:szCs w:val="19"/>
              </w:rPr>
              <w:t>Total credit risk exposure</w:t>
            </w:r>
          </w:p>
        </w:tc>
        <w:tc>
          <w:tcPr>
            <w:tcW w:w="757" w:type="pct"/>
            <w:tcBorders>
              <w:top w:val="nil"/>
              <w:left w:val="nil"/>
              <w:bottom w:val="single" w:sz="12" w:space="0" w:color="auto"/>
              <w:right w:val="nil"/>
            </w:tcBorders>
            <w:shd w:val="clear" w:color="auto" w:fill="auto"/>
            <w:vAlign w:val="bottom"/>
          </w:tcPr>
          <w:p w14:paraId="1F10A702" w14:textId="77777777" w:rsidR="00DC290F" w:rsidRPr="004E1BAA" w:rsidRDefault="00DC290F" w:rsidP="00DC290F">
            <w:pPr>
              <w:tabs>
                <w:tab w:val="right" w:pos="1202"/>
              </w:tabs>
              <w:spacing w:after="0" w:line="240" w:lineRule="auto"/>
              <w:jc w:val="right"/>
              <w:outlineLvl w:val="0"/>
              <w:rPr>
                <w:rFonts w:ascii="Calibri" w:eastAsia="Calibri" w:hAnsi="Calibri"/>
                <w:b/>
                <w:sz w:val="19"/>
                <w:szCs w:val="19"/>
              </w:rPr>
            </w:pPr>
            <w:bookmarkStart w:id="704" w:name="_Toc67329353"/>
            <w:r w:rsidRPr="006577DA">
              <w:rPr>
                <w:b/>
                <w:bCs/>
                <w:sz w:val="19"/>
                <w:szCs w:val="19"/>
              </w:rPr>
              <w:t>31</w:t>
            </w:r>
            <w:r>
              <w:rPr>
                <w:b/>
                <w:bCs/>
                <w:sz w:val="19"/>
                <w:szCs w:val="19"/>
              </w:rPr>
              <w:t>,</w:t>
            </w:r>
            <w:r w:rsidRPr="006577DA">
              <w:rPr>
                <w:b/>
                <w:bCs/>
                <w:sz w:val="19"/>
                <w:szCs w:val="19"/>
              </w:rPr>
              <w:t>419</w:t>
            </w:r>
            <w:r>
              <w:rPr>
                <w:b/>
                <w:bCs/>
                <w:sz w:val="19"/>
                <w:szCs w:val="19"/>
              </w:rPr>
              <w:t>,</w:t>
            </w:r>
            <w:r w:rsidRPr="006577DA">
              <w:rPr>
                <w:b/>
                <w:bCs/>
                <w:sz w:val="19"/>
                <w:szCs w:val="19"/>
              </w:rPr>
              <w:t>319</w:t>
            </w:r>
            <w:bookmarkEnd w:id="704"/>
          </w:p>
        </w:tc>
        <w:tc>
          <w:tcPr>
            <w:tcW w:w="757" w:type="pct"/>
            <w:tcBorders>
              <w:top w:val="nil"/>
              <w:left w:val="nil"/>
              <w:bottom w:val="single" w:sz="12" w:space="0" w:color="auto"/>
              <w:right w:val="nil"/>
            </w:tcBorders>
            <w:shd w:val="clear" w:color="auto" w:fill="auto"/>
            <w:vAlign w:val="bottom"/>
          </w:tcPr>
          <w:p w14:paraId="5CE3BE75" w14:textId="77777777" w:rsidR="00DC290F" w:rsidRPr="004E1BAA" w:rsidRDefault="00DC290F" w:rsidP="00DC290F">
            <w:pPr>
              <w:tabs>
                <w:tab w:val="right" w:pos="1202"/>
              </w:tabs>
              <w:spacing w:after="0" w:line="240" w:lineRule="auto"/>
              <w:jc w:val="right"/>
              <w:outlineLvl w:val="0"/>
              <w:rPr>
                <w:rFonts w:ascii="Calibri" w:eastAsia="Calibri" w:hAnsi="Calibri"/>
                <w:b/>
                <w:sz w:val="19"/>
                <w:szCs w:val="19"/>
              </w:rPr>
            </w:pPr>
            <w:bookmarkStart w:id="705" w:name="_Toc67329354"/>
            <w:r w:rsidRPr="006577DA">
              <w:rPr>
                <w:b/>
                <w:bCs/>
                <w:sz w:val="19"/>
                <w:szCs w:val="19"/>
              </w:rPr>
              <w:t>34</w:t>
            </w:r>
            <w:r>
              <w:rPr>
                <w:b/>
                <w:bCs/>
                <w:sz w:val="19"/>
                <w:szCs w:val="19"/>
              </w:rPr>
              <w:t>,</w:t>
            </w:r>
            <w:r w:rsidRPr="006577DA">
              <w:rPr>
                <w:b/>
                <w:bCs/>
                <w:sz w:val="19"/>
                <w:szCs w:val="19"/>
              </w:rPr>
              <w:t>542</w:t>
            </w:r>
            <w:bookmarkEnd w:id="705"/>
          </w:p>
        </w:tc>
        <w:tc>
          <w:tcPr>
            <w:tcW w:w="757" w:type="pct"/>
            <w:tcBorders>
              <w:top w:val="nil"/>
              <w:left w:val="nil"/>
              <w:bottom w:val="single" w:sz="12" w:space="0" w:color="auto"/>
              <w:right w:val="nil"/>
            </w:tcBorders>
            <w:shd w:val="clear" w:color="auto" w:fill="auto"/>
            <w:vAlign w:val="bottom"/>
          </w:tcPr>
          <w:p w14:paraId="280E7A54" w14:textId="77777777" w:rsidR="00DC290F" w:rsidRPr="004E1BAA" w:rsidRDefault="00DC290F" w:rsidP="00DC290F">
            <w:pPr>
              <w:tabs>
                <w:tab w:val="right" w:pos="1202"/>
              </w:tabs>
              <w:spacing w:after="0" w:line="240" w:lineRule="auto"/>
              <w:jc w:val="right"/>
              <w:outlineLvl w:val="0"/>
              <w:rPr>
                <w:rFonts w:ascii="Calibri" w:eastAsia="Calibri" w:hAnsi="Calibri"/>
                <w:b/>
                <w:sz w:val="19"/>
                <w:szCs w:val="19"/>
              </w:rPr>
            </w:pPr>
            <w:bookmarkStart w:id="706" w:name="_Toc67329355"/>
            <w:r w:rsidRPr="006577DA">
              <w:rPr>
                <w:b/>
                <w:bCs/>
                <w:sz w:val="19"/>
                <w:szCs w:val="19"/>
              </w:rPr>
              <w:t>341</w:t>
            </w:r>
            <w:r>
              <w:rPr>
                <w:b/>
                <w:bCs/>
                <w:sz w:val="19"/>
                <w:szCs w:val="19"/>
              </w:rPr>
              <w:t>,</w:t>
            </w:r>
            <w:r w:rsidRPr="006577DA">
              <w:rPr>
                <w:b/>
                <w:bCs/>
                <w:sz w:val="19"/>
                <w:szCs w:val="19"/>
              </w:rPr>
              <w:t>452</w:t>
            </w:r>
            <w:bookmarkEnd w:id="706"/>
          </w:p>
        </w:tc>
        <w:tc>
          <w:tcPr>
            <w:tcW w:w="757" w:type="pct"/>
            <w:tcBorders>
              <w:top w:val="nil"/>
              <w:left w:val="nil"/>
              <w:bottom w:val="single" w:sz="12" w:space="0" w:color="auto"/>
              <w:right w:val="nil"/>
            </w:tcBorders>
            <w:shd w:val="clear" w:color="auto" w:fill="auto"/>
            <w:vAlign w:val="bottom"/>
          </w:tcPr>
          <w:p w14:paraId="4E77AA9A" w14:textId="77777777" w:rsidR="00DC290F" w:rsidRPr="004E1BAA" w:rsidRDefault="00DC290F" w:rsidP="00DC290F">
            <w:pPr>
              <w:tabs>
                <w:tab w:val="right" w:pos="1202"/>
              </w:tabs>
              <w:spacing w:after="0" w:line="240" w:lineRule="auto"/>
              <w:jc w:val="right"/>
              <w:outlineLvl w:val="0"/>
              <w:rPr>
                <w:rFonts w:ascii="Calibri" w:eastAsia="Calibri" w:hAnsi="Calibri"/>
                <w:b/>
                <w:sz w:val="19"/>
                <w:szCs w:val="19"/>
              </w:rPr>
            </w:pPr>
            <w:bookmarkStart w:id="707" w:name="_Toc67329356"/>
            <w:r w:rsidRPr="006577DA">
              <w:rPr>
                <w:b/>
                <w:bCs/>
                <w:sz w:val="19"/>
                <w:szCs w:val="19"/>
              </w:rPr>
              <w:t>31</w:t>
            </w:r>
            <w:r>
              <w:rPr>
                <w:b/>
                <w:bCs/>
                <w:sz w:val="19"/>
                <w:szCs w:val="19"/>
              </w:rPr>
              <w:t>,</w:t>
            </w:r>
            <w:r w:rsidRPr="006577DA">
              <w:rPr>
                <w:b/>
                <w:bCs/>
                <w:sz w:val="19"/>
                <w:szCs w:val="19"/>
              </w:rPr>
              <w:t>795</w:t>
            </w:r>
            <w:r>
              <w:rPr>
                <w:b/>
                <w:bCs/>
                <w:sz w:val="19"/>
                <w:szCs w:val="19"/>
              </w:rPr>
              <w:t>,</w:t>
            </w:r>
            <w:r w:rsidRPr="006577DA">
              <w:rPr>
                <w:b/>
                <w:bCs/>
                <w:sz w:val="19"/>
                <w:szCs w:val="19"/>
              </w:rPr>
              <w:t>313</w:t>
            </w:r>
            <w:bookmarkEnd w:id="707"/>
          </w:p>
        </w:tc>
      </w:tr>
    </w:tbl>
    <w:p w14:paraId="60800970" w14:textId="2AF70A4B" w:rsidR="00FE04D4" w:rsidRPr="00537128" w:rsidRDefault="00FE04D4" w:rsidP="00364B19">
      <w:pPr>
        <w:spacing w:after="0" w:line="240" w:lineRule="auto"/>
        <w:jc w:val="both"/>
        <w:rPr>
          <w:rFonts w:ascii="Calibri" w:eastAsia="Times New Roman" w:hAnsi="Calibri" w:cs="Arial"/>
          <w:b/>
          <w:color w:val="000000" w:themeColor="text1"/>
          <w:lang w:val="en-US"/>
        </w:rPr>
      </w:pPr>
    </w:p>
    <w:p w14:paraId="6252BBB5" w14:textId="77777777" w:rsidR="00FE04D4" w:rsidRPr="00537128" w:rsidRDefault="00FE04D4" w:rsidP="00364B19">
      <w:pPr>
        <w:spacing w:after="0" w:line="240" w:lineRule="auto"/>
        <w:jc w:val="both"/>
        <w:rPr>
          <w:rFonts w:ascii="Calibri" w:eastAsia="Times New Roman" w:hAnsi="Calibri" w:cs="Arial"/>
          <w:b/>
          <w:color w:val="000000" w:themeColor="text1"/>
          <w:lang w:val="en-US"/>
        </w:rPr>
      </w:pPr>
    </w:p>
    <w:p w14:paraId="3D6AB214"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413E7073"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136CC026"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sectPr w:rsidR="00364B19" w:rsidRPr="00537128">
          <w:pgSz w:w="11906" w:h="16838"/>
          <w:pgMar w:top="1417" w:right="1417" w:bottom="1417" w:left="1417" w:header="708" w:footer="708" w:gutter="0"/>
          <w:cols w:space="708"/>
          <w:docGrid w:linePitch="360"/>
        </w:sectPr>
      </w:pPr>
    </w:p>
    <w:p w14:paraId="4E143983" w14:textId="77777777" w:rsidR="00364B19" w:rsidRPr="00537128" w:rsidRDefault="00364B19" w:rsidP="00364B19">
      <w:pPr>
        <w:spacing w:after="0" w:line="240" w:lineRule="auto"/>
        <w:jc w:val="both"/>
        <w:rPr>
          <w:rFonts w:ascii="Calibri" w:eastAsia="Times New Roman" w:hAnsi="Calibri" w:cs="Calibri"/>
          <w:b/>
          <w:bCs/>
          <w:color w:val="000000" w:themeColor="text1"/>
          <w:lang w:val="en-US" w:eastAsia="hr-HR"/>
        </w:rPr>
      </w:pPr>
    </w:p>
    <w:p w14:paraId="78EF29E8" w14:textId="0E4E0A68" w:rsidR="00364B19" w:rsidRPr="00537128" w:rsidRDefault="00B357CE" w:rsidP="00364B19">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0A27A8E3" w14:textId="77777777" w:rsidR="00364B19" w:rsidRPr="00537128"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14:paraId="2E86CCD4" w14:textId="62F1F60B" w:rsidR="00364B19" w:rsidRPr="00537128" w:rsidRDefault="00B357CE" w:rsidP="00364B19">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364B19" w:rsidRPr="00537128">
        <w:rPr>
          <w:rFonts w:ascii="Calibri" w:eastAsia="Times New Roman" w:hAnsi="Calibri" w:cs="Arial"/>
          <w:b/>
          <w:color w:val="000000" w:themeColor="text1"/>
          <w:lang w:val="en-US"/>
        </w:rPr>
        <w:t xml:space="preserve">   Credit risk (continued)</w:t>
      </w:r>
    </w:p>
    <w:p w14:paraId="046CBBFC"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5A74534A"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Concentration of risk and maximum credit risk exposure (continued)</w:t>
      </w:r>
    </w:p>
    <w:p w14:paraId="3BAC262F"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5641ACEB" w14:textId="77777777" w:rsidR="00364B19" w:rsidRPr="00537128" w:rsidRDefault="00364B19" w:rsidP="00364B19">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Concentration of assets and guarantees and commitments, net exposure, according to geographical segments, before the effect of mitigation through collateral received, is as follows (continued):</w:t>
      </w:r>
    </w:p>
    <w:p w14:paraId="30939707"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14C32B2D"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1E5C0D3B"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tbl>
      <w:tblPr>
        <w:tblW w:w="4999" w:type="pct"/>
        <w:tblLayout w:type="fixed"/>
        <w:tblCellMar>
          <w:left w:w="30" w:type="dxa"/>
          <w:right w:w="30" w:type="dxa"/>
        </w:tblCellMar>
        <w:tblLook w:val="0000" w:firstRow="0" w:lastRow="0" w:firstColumn="0" w:lastColumn="0" w:noHBand="0" w:noVBand="0"/>
      </w:tblPr>
      <w:tblGrid>
        <w:gridCol w:w="3852"/>
        <w:gridCol w:w="1304"/>
        <w:gridCol w:w="1304"/>
        <w:gridCol w:w="1304"/>
        <w:gridCol w:w="1306"/>
      </w:tblGrid>
      <w:tr w:rsidR="00FE04D4" w:rsidRPr="00630D92" w14:paraId="1BC5F5A1" w14:textId="77777777" w:rsidTr="00FE04D4">
        <w:trPr>
          <w:cantSplit/>
          <w:trHeight w:val="579"/>
          <w:tblHeader/>
        </w:trPr>
        <w:tc>
          <w:tcPr>
            <w:tcW w:w="2123" w:type="pct"/>
            <w:vAlign w:val="bottom"/>
          </w:tcPr>
          <w:p w14:paraId="1E85D581" w14:textId="77777777" w:rsidR="00FE04D4" w:rsidRPr="00630D92" w:rsidRDefault="00FE04D4" w:rsidP="00FE04D4">
            <w:pPr>
              <w:tabs>
                <w:tab w:val="right" w:pos="1202"/>
              </w:tabs>
              <w:spacing w:after="0" w:line="301" w:lineRule="exact"/>
              <w:outlineLvl w:val="0"/>
              <w:rPr>
                <w:rFonts w:ascii="Calibri" w:eastAsia="Times New Roman" w:hAnsi="Calibri" w:cs="Arial"/>
                <w:b/>
                <w:sz w:val="19"/>
                <w:szCs w:val="19"/>
                <w:lang w:val="en-US"/>
              </w:rPr>
            </w:pPr>
            <w:bookmarkStart w:id="708" w:name="_Toc4060685"/>
            <w:r w:rsidRPr="00630D92">
              <w:rPr>
                <w:rFonts w:ascii="Calibri" w:eastAsia="Times New Roman" w:hAnsi="Calibri" w:cs="Arial"/>
                <w:b/>
                <w:sz w:val="19"/>
                <w:szCs w:val="19"/>
                <w:lang w:val="en-US"/>
              </w:rPr>
              <w:t>Bank</w:t>
            </w:r>
            <w:bookmarkEnd w:id="708"/>
          </w:p>
          <w:p w14:paraId="0F5C7FAC" w14:textId="0F694DF3" w:rsidR="00FE04D4" w:rsidRPr="00630D92" w:rsidRDefault="00FE04D4" w:rsidP="00FE04D4">
            <w:pPr>
              <w:tabs>
                <w:tab w:val="right" w:pos="1202"/>
              </w:tabs>
              <w:spacing w:after="0" w:line="301" w:lineRule="exact"/>
              <w:outlineLvl w:val="0"/>
              <w:rPr>
                <w:rFonts w:ascii="Calibri" w:eastAsia="Times New Roman" w:hAnsi="Calibri" w:cs="Arial"/>
                <w:sz w:val="19"/>
                <w:szCs w:val="19"/>
                <w:lang w:val="en-US"/>
              </w:rPr>
            </w:pPr>
            <w:bookmarkStart w:id="709" w:name="_Toc4060686"/>
            <w:r w:rsidRPr="00630D92">
              <w:rPr>
                <w:rFonts w:ascii="Calibri" w:eastAsia="Calibri" w:hAnsi="Calibri" w:cs="Arial"/>
                <w:b/>
                <w:sz w:val="19"/>
                <w:szCs w:val="19"/>
                <w:lang w:val="en-US"/>
              </w:rPr>
              <w:t>31 March</w:t>
            </w:r>
            <w:r w:rsidRPr="00630D92">
              <w:rPr>
                <w:rFonts w:ascii="Calibri" w:eastAsia="Times New Roman" w:hAnsi="Calibri" w:cs="Arial"/>
                <w:b/>
                <w:sz w:val="19"/>
                <w:szCs w:val="19"/>
                <w:lang w:val="en-US"/>
              </w:rPr>
              <w:t xml:space="preserve"> </w:t>
            </w:r>
            <w:bookmarkEnd w:id="709"/>
            <w:r w:rsidRPr="00630D92">
              <w:rPr>
                <w:rFonts w:ascii="Calibri" w:eastAsia="Times New Roman" w:hAnsi="Calibri" w:cs="Arial"/>
                <w:b/>
                <w:sz w:val="19"/>
                <w:szCs w:val="19"/>
                <w:lang w:val="en-US"/>
              </w:rPr>
              <w:t>202</w:t>
            </w:r>
            <w:r w:rsidR="003A682C" w:rsidRPr="00630D92">
              <w:rPr>
                <w:rFonts w:ascii="Calibri" w:eastAsia="Times New Roman" w:hAnsi="Calibri" w:cs="Arial"/>
                <w:b/>
                <w:sz w:val="19"/>
                <w:szCs w:val="19"/>
                <w:lang w:val="en-US"/>
              </w:rPr>
              <w:t>2</w:t>
            </w:r>
          </w:p>
        </w:tc>
        <w:tc>
          <w:tcPr>
            <w:tcW w:w="719" w:type="pct"/>
            <w:vAlign w:val="bottom"/>
          </w:tcPr>
          <w:p w14:paraId="6A9A99BC" w14:textId="77777777" w:rsidR="00FE04D4" w:rsidRPr="00630D92"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710" w:name="_Toc4060687"/>
            <w:r w:rsidRPr="00630D92">
              <w:rPr>
                <w:rFonts w:ascii="Calibri" w:eastAsia="Calibri" w:hAnsi="Calibri" w:cs="Arial"/>
                <w:b/>
                <w:sz w:val="19"/>
                <w:szCs w:val="19"/>
                <w:lang w:val="en-US"/>
              </w:rPr>
              <w:t>Republic of Croatia</w:t>
            </w:r>
            <w:bookmarkEnd w:id="710"/>
          </w:p>
        </w:tc>
        <w:tc>
          <w:tcPr>
            <w:tcW w:w="719" w:type="pct"/>
            <w:vAlign w:val="bottom"/>
          </w:tcPr>
          <w:p w14:paraId="4808C09A" w14:textId="77777777" w:rsidR="00FE04D4" w:rsidRPr="00630D92"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711" w:name="_Toc4060688"/>
            <w:r w:rsidRPr="00630D92">
              <w:rPr>
                <w:rFonts w:ascii="Calibri" w:eastAsia="Calibri" w:hAnsi="Calibri" w:cs="Arial"/>
                <w:b/>
                <w:sz w:val="19"/>
                <w:szCs w:val="19"/>
                <w:lang w:val="en-US"/>
              </w:rPr>
              <w:t>EU</w:t>
            </w:r>
            <w:bookmarkEnd w:id="711"/>
            <w:r w:rsidRPr="00630D92">
              <w:rPr>
                <w:rFonts w:ascii="Calibri" w:eastAsia="Calibri" w:hAnsi="Calibri" w:cs="Arial"/>
                <w:b/>
                <w:sz w:val="19"/>
                <w:szCs w:val="19"/>
                <w:lang w:val="en-US"/>
              </w:rPr>
              <w:t xml:space="preserve"> </w:t>
            </w:r>
          </w:p>
          <w:p w14:paraId="12D19EBA" w14:textId="77777777" w:rsidR="00FE04D4" w:rsidRPr="00630D92"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712" w:name="_Toc4060689"/>
            <w:r w:rsidRPr="00630D92">
              <w:rPr>
                <w:rFonts w:ascii="Calibri" w:eastAsia="Calibri" w:hAnsi="Calibri" w:cs="Arial"/>
                <w:b/>
                <w:sz w:val="19"/>
                <w:szCs w:val="19"/>
                <w:lang w:val="en-US"/>
              </w:rPr>
              <w:t>countries</w:t>
            </w:r>
            <w:bookmarkEnd w:id="712"/>
          </w:p>
        </w:tc>
        <w:tc>
          <w:tcPr>
            <w:tcW w:w="719" w:type="pct"/>
            <w:vAlign w:val="bottom"/>
          </w:tcPr>
          <w:p w14:paraId="0EC303B0" w14:textId="77777777" w:rsidR="00FE04D4" w:rsidRPr="00630D92"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713" w:name="_Toc4060690"/>
            <w:r w:rsidRPr="00630D92">
              <w:rPr>
                <w:rFonts w:ascii="Calibri" w:eastAsia="Calibri" w:hAnsi="Calibri" w:cs="Arial"/>
                <w:b/>
                <w:sz w:val="19"/>
                <w:szCs w:val="19"/>
                <w:lang w:val="en-US"/>
              </w:rPr>
              <w:t>Other</w:t>
            </w:r>
            <w:bookmarkEnd w:id="713"/>
            <w:r w:rsidRPr="00630D92">
              <w:rPr>
                <w:rFonts w:ascii="Calibri" w:eastAsia="Calibri" w:hAnsi="Calibri" w:cs="Arial"/>
                <w:b/>
                <w:sz w:val="19"/>
                <w:szCs w:val="19"/>
                <w:lang w:val="en-US"/>
              </w:rPr>
              <w:t xml:space="preserve"> </w:t>
            </w:r>
          </w:p>
          <w:p w14:paraId="6A7140AA" w14:textId="77777777" w:rsidR="00FE04D4" w:rsidRPr="00630D92"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714" w:name="_Toc4060691"/>
            <w:r w:rsidRPr="00630D92">
              <w:rPr>
                <w:rFonts w:ascii="Calibri" w:eastAsia="Calibri" w:hAnsi="Calibri" w:cs="Arial"/>
                <w:b/>
                <w:sz w:val="19"/>
                <w:szCs w:val="19"/>
                <w:lang w:val="en-US"/>
              </w:rPr>
              <w:t>countries</w:t>
            </w:r>
            <w:bookmarkEnd w:id="714"/>
            <w:r w:rsidRPr="00630D92">
              <w:rPr>
                <w:rFonts w:ascii="Calibri" w:eastAsia="Calibri" w:hAnsi="Calibri" w:cs="Arial"/>
                <w:b/>
                <w:sz w:val="19"/>
                <w:szCs w:val="19"/>
                <w:lang w:val="en-US"/>
              </w:rPr>
              <w:t xml:space="preserve"> </w:t>
            </w:r>
          </w:p>
        </w:tc>
        <w:tc>
          <w:tcPr>
            <w:tcW w:w="720" w:type="pct"/>
            <w:vAlign w:val="bottom"/>
          </w:tcPr>
          <w:p w14:paraId="15CAAFC6" w14:textId="77777777" w:rsidR="00FE04D4" w:rsidRPr="00630D92"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715" w:name="_Toc4060692"/>
            <w:r w:rsidRPr="00630D92">
              <w:rPr>
                <w:rFonts w:ascii="Calibri" w:eastAsia="Calibri" w:hAnsi="Calibri" w:cs="Arial"/>
                <w:b/>
                <w:sz w:val="19"/>
                <w:szCs w:val="19"/>
                <w:lang w:val="en-US"/>
              </w:rPr>
              <w:t>Total</w:t>
            </w:r>
            <w:bookmarkEnd w:id="715"/>
          </w:p>
        </w:tc>
      </w:tr>
      <w:tr w:rsidR="00FE04D4" w:rsidRPr="00630D92" w14:paraId="33A07B0B" w14:textId="77777777" w:rsidTr="001E7D22">
        <w:trPr>
          <w:cantSplit/>
          <w:trHeight w:val="250"/>
          <w:tblHeader/>
        </w:trPr>
        <w:tc>
          <w:tcPr>
            <w:tcW w:w="2123" w:type="pct"/>
          </w:tcPr>
          <w:p w14:paraId="146CEBE5" w14:textId="77777777" w:rsidR="00FE04D4" w:rsidRPr="00630D92" w:rsidRDefault="00FE04D4" w:rsidP="00FE04D4">
            <w:pPr>
              <w:tabs>
                <w:tab w:val="right" w:pos="1202"/>
              </w:tabs>
              <w:spacing w:after="0" w:line="301" w:lineRule="exact"/>
              <w:outlineLvl w:val="0"/>
              <w:rPr>
                <w:rFonts w:ascii="Calibri" w:eastAsia="Times New Roman" w:hAnsi="Calibri" w:cs="Arial"/>
                <w:sz w:val="19"/>
                <w:szCs w:val="19"/>
                <w:lang w:val="en-US"/>
              </w:rPr>
            </w:pPr>
          </w:p>
        </w:tc>
        <w:tc>
          <w:tcPr>
            <w:tcW w:w="719" w:type="pct"/>
            <w:vAlign w:val="bottom"/>
          </w:tcPr>
          <w:p w14:paraId="31A271D4" w14:textId="77777777" w:rsidR="00FE04D4" w:rsidRPr="00630D92"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716" w:name="_Toc4060693"/>
            <w:r w:rsidRPr="00630D92">
              <w:rPr>
                <w:rFonts w:ascii="Calibri" w:eastAsia="Calibri" w:hAnsi="Calibri" w:cs="Arial"/>
                <w:b/>
                <w:sz w:val="19"/>
                <w:szCs w:val="19"/>
                <w:lang w:val="en-US"/>
              </w:rPr>
              <w:t>HRK ‘000</w:t>
            </w:r>
            <w:bookmarkEnd w:id="716"/>
          </w:p>
        </w:tc>
        <w:tc>
          <w:tcPr>
            <w:tcW w:w="719" w:type="pct"/>
            <w:vAlign w:val="bottom"/>
          </w:tcPr>
          <w:p w14:paraId="3FF5B05A" w14:textId="77777777" w:rsidR="00FE04D4" w:rsidRPr="00630D92"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717" w:name="_Toc4060694"/>
            <w:r w:rsidRPr="00630D92">
              <w:rPr>
                <w:rFonts w:ascii="Calibri" w:eastAsia="Calibri" w:hAnsi="Calibri" w:cs="Arial"/>
                <w:b/>
                <w:sz w:val="19"/>
                <w:szCs w:val="19"/>
                <w:lang w:val="en-US"/>
              </w:rPr>
              <w:t>HRK ‘000</w:t>
            </w:r>
            <w:bookmarkEnd w:id="717"/>
          </w:p>
        </w:tc>
        <w:tc>
          <w:tcPr>
            <w:tcW w:w="719" w:type="pct"/>
            <w:vAlign w:val="bottom"/>
          </w:tcPr>
          <w:p w14:paraId="4F7B3A78" w14:textId="77777777" w:rsidR="00FE04D4" w:rsidRPr="00630D92"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718" w:name="_Toc4060695"/>
            <w:r w:rsidRPr="00630D92">
              <w:rPr>
                <w:rFonts w:ascii="Calibri" w:eastAsia="Calibri" w:hAnsi="Calibri" w:cs="Arial"/>
                <w:b/>
                <w:sz w:val="19"/>
                <w:szCs w:val="19"/>
                <w:lang w:val="en-US"/>
              </w:rPr>
              <w:t>HRK ‘000</w:t>
            </w:r>
            <w:bookmarkEnd w:id="718"/>
          </w:p>
        </w:tc>
        <w:tc>
          <w:tcPr>
            <w:tcW w:w="720" w:type="pct"/>
            <w:vAlign w:val="bottom"/>
          </w:tcPr>
          <w:p w14:paraId="457EFC43" w14:textId="77777777" w:rsidR="00FE04D4" w:rsidRPr="00630D92"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719" w:name="_Toc4060696"/>
            <w:r w:rsidRPr="00630D92">
              <w:rPr>
                <w:rFonts w:ascii="Calibri" w:eastAsia="Calibri" w:hAnsi="Calibri" w:cs="Arial"/>
                <w:b/>
                <w:sz w:val="19"/>
                <w:szCs w:val="19"/>
                <w:lang w:val="en-US"/>
              </w:rPr>
              <w:t>HRK ‘000</w:t>
            </w:r>
            <w:bookmarkEnd w:id="719"/>
          </w:p>
        </w:tc>
      </w:tr>
      <w:tr w:rsidR="00FE04D4" w:rsidRPr="00630D92" w14:paraId="384A3323" w14:textId="77777777" w:rsidTr="00FE04D4">
        <w:trPr>
          <w:cantSplit/>
          <w:trHeight w:val="250"/>
          <w:tblHeader/>
        </w:trPr>
        <w:tc>
          <w:tcPr>
            <w:tcW w:w="2123" w:type="pct"/>
          </w:tcPr>
          <w:p w14:paraId="2E9D33A2" w14:textId="77777777" w:rsidR="00FE04D4" w:rsidRPr="00630D92" w:rsidRDefault="00FE04D4" w:rsidP="00FE04D4">
            <w:pPr>
              <w:tabs>
                <w:tab w:val="right" w:pos="1202"/>
              </w:tabs>
              <w:spacing w:after="0" w:line="301" w:lineRule="exact"/>
              <w:outlineLvl w:val="0"/>
              <w:rPr>
                <w:rFonts w:ascii="Calibri" w:eastAsia="Times New Roman" w:hAnsi="Calibri" w:cs="Arial"/>
                <w:b/>
                <w:sz w:val="19"/>
                <w:szCs w:val="19"/>
                <w:lang w:val="en-US"/>
              </w:rPr>
            </w:pPr>
            <w:bookmarkStart w:id="720" w:name="_Toc4060697"/>
            <w:r w:rsidRPr="00630D92">
              <w:rPr>
                <w:rFonts w:ascii="Calibri" w:eastAsia="Times New Roman" w:hAnsi="Calibri" w:cs="Arial"/>
                <w:b/>
                <w:sz w:val="19"/>
                <w:szCs w:val="19"/>
                <w:lang w:val="en-US"/>
              </w:rPr>
              <w:t>Assets</w:t>
            </w:r>
            <w:bookmarkEnd w:id="720"/>
          </w:p>
        </w:tc>
        <w:tc>
          <w:tcPr>
            <w:tcW w:w="719" w:type="pct"/>
          </w:tcPr>
          <w:p w14:paraId="5FD29123" w14:textId="77777777" w:rsidR="00FE04D4" w:rsidRPr="00630D92" w:rsidRDefault="00FE04D4" w:rsidP="00FE04D4">
            <w:pPr>
              <w:spacing w:after="0" w:line="280" w:lineRule="exact"/>
              <w:jc w:val="right"/>
              <w:rPr>
                <w:rFonts w:ascii="Times New Roman" w:eastAsia="Times New Roman" w:hAnsi="Times New Roman" w:cs="Arial"/>
                <w:sz w:val="19"/>
                <w:szCs w:val="19"/>
                <w:lang w:val="en-US"/>
              </w:rPr>
            </w:pPr>
          </w:p>
        </w:tc>
        <w:tc>
          <w:tcPr>
            <w:tcW w:w="719" w:type="pct"/>
          </w:tcPr>
          <w:p w14:paraId="2C16C9E7" w14:textId="77777777" w:rsidR="00FE04D4" w:rsidRPr="00630D92" w:rsidRDefault="00FE04D4" w:rsidP="00FE04D4">
            <w:pPr>
              <w:spacing w:after="0" w:line="280" w:lineRule="exact"/>
              <w:jc w:val="right"/>
              <w:rPr>
                <w:rFonts w:ascii="Times New Roman" w:eastAsia="Times New Roman" w:hAnsi="Times New Roman" w:cs="Arial"/>
                <w:sz w:val="19"/>
                <w:szCs w:val="19"/>
                <w:lang w:val="en-US"/>
              </w:rPr>
            </w:pPr>
          </w:p>
        </w:tc>
        <w:tc>
          <w:tcPr>
            <w:tcW w:w="719" w:type="pct"/>
          </w:tcPr>
          <w:p w14:paraId="014C62C3" w14:textId="77777777" w:rsidR="00FE04D4" w:rsidRPr="00630D92" w:rsidRDefault="00FE04D4" w:rsidP="00FE04D4">
            <w:pPr>
              <w:spacing w:after="0" w:line="280" w:lineRule="exact"/>
              <w:jc w:val="right"/>
              <w:rPr>
                <w:rFonts w:ascii="Times New Roman" w:eastAsia="Times New Roman" w:hAnsi="Times New Roman" w:cs="Arial"/>
                <w:sz w:val="19"/>
                <w:szCs w:val="19"/>
                <w:lang w:val="en-US"/>
              </w:rPr>
            </w:pPr>
          </w:p>
        </w:tc>
        <w:tc>
          <w:tcPr>
            <w:tcW w:w="720" w:type="pct"/>
          </w:tcPr>
          <w:p w14:paraId="6A757D06" w14:textId="77777777" w:rsidR="00FE04D4" w:rsidRPr="00630D92" w:rsidRDefault="00FE04D4" w:rsidP="00FE04D4">
            <w:pPr>
              <w:spacing w:after="0" w:line="280" w:lineRule="exact"/>
              <w:jc w:val="center"/>
              <w:rPr>
                <w:rFonts w:ascii="Times New Roman" w:eastAsia="Times New Roman" w:hAnsi="Times New Roman" w:cs="Arial"/>
                <w:sz w:val="19"/>
                <w:szCs w:val="19"/>
                <w:lang w:val="en-US"/>
              </w:rPr>
            </w:pPr>
          </w:p>
        </w:tc>
      </w:tr>
      <w:tr w:rsidR="00742AD7" w:rsidRPr="00630D92" w14:paraId="650D6B6B" w14:textId="77777777" w:rsidTr="00281EA5">
        <w:trPr>
          <w:cantSplit/>
          <w:trHeight w:val="250"/>
          <w:tblHeader/>
        </w:trPr>
        <w:tc>
          <w:tcPr>
            <w:tcW w:w="2123" w:type="pct"/>
            <w:vAlign w:val="bottom"/>
          </w:tcPr>
          <w:p w14:paraId="1198907F" w14:textId="77777777" w:rsidR="00742AD7" w:rsidRPr="00630D92" w:rsidRDefault="00742AD7" w:rsidP="00742AD7">
            <w:pPr>
              <w:tabs>
                <w:tab w:val="right" w:pos="1202"/>
              </w:tabs>
              <w:spacing w:after="0" w:line="301" w:lineRule="exact"/>
              <w:outlineLvl w:val="0"/>
              <w:rPr>
                <w:rFonts w:ascii="Calibri" w:eastAsia="Times New Roman" w:hAnsi="Calibri" w:cs="Arial"/>
                <w:sz w:val="19"/>
                <w:szCs w:val="19"/>
                <w:lang w:val="en-US"/>
              </w:rPr>
            </w:pPr>
            <w:bookmarkStart w:id="721" w:name="_Toc4060698"/>
            <w:r w:rsidRPr="00630D92">
              <w:rPr>
                <w:rFonts w:ascii="Calibri" w:eastAsia="Times New Roman" w:hAnsi="Calibri" w:cs="Arial"/>
                <w:sz w:val="19"/>
                <w:szCs w:val="19"/>
                <w:lang w:val="en-US"/>
              </w:rPr>
              <w:t>Cash on hand and current accounts with banks</w:t>
            </w:r>
            <w:bookmarkEnd w:id="721"/>
          </w:p>
        </w:tc>
        <w:tc>
          <w:tcPr>
            <w:tcW w:w="719" w:type="pct"/>
            <w:tcBorders>
              <w:top w:val="nil"/>
              <w:left w:val="nil"/>
              <w:bottom w:val="nil"/>
              <w:right w:val="nil"/>
            </w:tcBorders>
            <w:shd w:val="clear" w:color="auto" w:fill="auto"/>
            <w:vAlign w:val="center"/>
          </w:tcPr>
          <w:p w14:paraId="24EC1641" w14:textId="2BF8DF55" w:rsidR="00742AD7" w:rsidRPr="00630D92" w:rsidRDefault="00742AD7" w:rsidP="00742AD7">
            <w:pPr>
              <w:tabs>
                <w:tab w:val="right" w:pos="1202"/>
              </w:tabs>
              <w:spacing w:after="0" w:line="280" w:lineRule="exact"/>
              <w:jc w:val="right"/>
              <w:outlineLvl w:val="0"/>
              <w:rPr>
                <w:rFonts w:ascii="Calibri" w:eastAsia="Calibri" w:hAnsi="Calibri" w:cs="Times New Roman"/>
                <w:sz w:val="19"/>
                <w:szCs w:val="19"/>
                <w:lang w:val="en-US"/>
              </w:rPr>
            </w:pPr>
            <w:r w:rsidRPr="00630D92">
              <w:rPr>
                <w:rFonts w:ascii="Calibri" w:hAnsi="Calibri" w:cs="Calibri"/>
                <w:sz w:val="19"/>
                <w:szCs w:val="19"/>
              </w:rPr>
              <w:t xml:space="preserve">                          1</w:t>
            </w:r>
            <w:r w:rsidR="00630D92" w:rsidRPr="00630D92">
              <w:rPr>
                <w:rFonts w:ascii="Calibri" w:hAnsi="Calibri" w:cs="Calibri"/>
                <w:sz w:val="19"/>
                <w:szCs w:val="19"/>
              </w:rPr>
              <w:t>,</w:t>
            </w:r>
            <w:r w:rsidRPr="00630D92">
              <w:rPr>
                <w:rFonts w:ascii="Calibri" w:hAnsi="Calibri" w:cs="Calibri"/>
                <w:sz w:val="19"/>
                <w:szCs w:val="19"/>
              </w:rPr>
              <w:t>190</w:t>
            </w:r>
            <w:r w:rsidR="00630D92" w:rsidRPr="00630D92">
              <w:rPr>
                <w:rFonts w:ascii="Calibri" w:hAnsi="Calibri" w:cs="Calibri"/>
                <w:sz w:val="19"/>
                <w:szCs w:val="19"/>
              </w:rPr>
              <w:t>,</w:t>
            </w:r>
            <w:r w:rsidRPr="00630D92">
              <w:rPr>
                <w:rFonts w:ascii="Calibri" w:hAnsi="Calibri" w:cs="Calibri"/>
                <w:sz w:val="19"/>
                <w:szCs w:val="19"/>
              </w:rPr>
              <w:t xml:space="preserve">612 </w:t>
            </w:r>
          </w:p>
        </w:tc>
        <w:tc>
          <w:tcPr>
            <w:tcW w:w="719" w:type="pct"/>
            <w:tcBorders>
              <w:top w:val="nil"/>
              <w:left w:val="nil"/>
              <w:bottom w:val="nil"/>
              <w:right w:val="nil"/>
            </w:tcBorders>
            <w:shd w:val="clear" w:color="auto" w:fill="auto"/>
            <w:vAlign w:val="center"/>
          </w:tcPr>
          <w:p w14:paraId="101E8559" w14:textId="612CE2C3" w:rsidR="00742AD7" w:rsidRPr="00630D92" w:rsidRDefault="00742AD7" w:rsidP="00742AD7">
            <w:pPr>
              <w:tabs>
                <w:tab w:val="right" w:pos="1202"/>
              </w:tabs>
              <w:spacing w:after="0" w:line="280" w:lineRule="exact"/>
              <w:jc w:val="right"/>
              <w:outlineLvl w:val="0"/>
              <w:rPr>
                <w:rFonts w:ascii="Calibri" w:eastAsia="Calibri" w:hAnsi="Calibri" w:cs="Times New Roman"/>
                <w:sz w:val="19"/>
                <w:szCs w:val="19"/>
                <w:lang w:val="en-US"/>
              </w:rPr>
            </w:pPr>
            <w:r w:rsidRPr="00630D92">
              <w:rPr>
                <w:rFonts w:ascii="Calibri" w:hAnsi="Calibri" w:cs="Calibri"/>
                <w:sz w:val="19"/>
                <w:szCs w:val="19"/>
              </w:rPr>
              <w:t xml:space="preserve">                                54</w:t>
            </w:r>
            <w:r w:rsidR="00630D92" w:rsidRPr="00630D92">
              <w:rPr>
                <w:rFonts w:ascii="Calibri" w:hAnsi="Calibri" w:cs="Calibri"/>
                <w:sz w:val="19"/>
                <w:szCs w:val="19"/>
              </w:rPr>
              <w:t>,</w:t>
            </w:r>
            <w:r w:rsidRPr="00630D92">
              <w:rPr>
                <w:rFonts w:ascii="Calibri" w:hAnsi="Calibri" w:cs="Calibri"/>
                <w:sz w:val="19"/>
                <w:szCs w:val="19"/>
              </w:rPr>
              <w:t xml:space="preserve">147 </w:t>
            </w:r>
          </w:p>
        </w:tc>
        <w:tc>
          <w:tcPr>
            <w:tcW w:w="719" w:type="pct"/>
            <w:tcBorders>
              <w:top w:val="nil"/>
              <w:left w:val="nil"/>
              <w:bottom w:val="nil"/>
              <w:right w:val="nil"/>
            </w:tcBorders>
            <w:shd w:val="clear" w:color="auto" w:fill="auto"/>
            <w:vAlign w:val="center"/>
          </w:tcPr>
          <w:p w14:paraId="7DEE509D" w14:textId="45A46BD0" w:rsidR="00742AD7" w:rsidRPr="00630D92" w:rsidRDefault="00742AD7" w:rsidP="00742AD7">
            <w:pPr>
              <w:tabs>
                <w:tab w:val="right" w:pos="1202"/>
              </w:tabs>
              <w:spacing w:after="0" w:line="280" w:lineRule="exact"/>
              <w:jc w:val="right"/>
              <w:outlineLvl w:val="0"/>
              <w:rPr>
                <w:rFonts w:ascii="Calibri" w:eastAsia="Calibri" w:hAnsi="Calibri" w:cs="Times New Roman"/>
                <w:sz w:val="19"/>
                <w:szCs w:val="19"/>
                <w:lang w:val="en-US"/>
              </w:rPr>
            </w:pPr>
            <w:r w:rsidRPr="00630D92">
              <w:rPr>
                <w:rFonts w:ascii="Calibri" w:hAnsi="Calibri" w:cs="Calibri"/>
                <w:sz w:val="19"/>
                <w:szCs w:val="19"/>
              </w:rPr>
              <w:t xml:space="preserve">                             326</w:t>
            </w:r>
            <w:r w:rsidR="00630D92" w:rsidRPr="00630D92">
              <w:rPr>
                <w:rFonts w:ascii="Calibri" w:hAnsi="Calibri" w:cs="Calibri"/>
                <w:sz w:val="19"/>
                <w:szCs w:val="19"/>
              </w:rPr>
              <w:t>,</w:t>
            </w:r>
            <w:r w:rsidRPr="00630D92">
              <w:rPr>
                <w:rFonts w:ascii="Calibri" w:hAnsi="Calibri" w:cs="Calibri"/>
                <w:sz w:val="19"/>
                <w:szCs w:val="19"/>
              </w:rPr>
              <w:t xml:space="preserve">446 </w:t>
            </w:r>
          </w:p>
        </w:tc>
        <w:tc>
          <w:tcPr>
            <w:tcW w:w="720" w:type="pct"/>
            <w:tcBorders>
              <w:top w:val="nil"/>
              <w:left w:val="nil"/>
              <w:bottom w:val="nil"/>
              <w:right w:val="nil"/>
            </w:tcBorders>
            <w:shd w:val="clear" w:color="auto" w:fill="auto"/>
            <w:vAlign w:val="center"/>
          </w:tcPr>
          <w:p w14:paraId="3A979A76" w14:textId="5764D894" w:rsidR="00742AD7" w:rsidRPr="00630D92" w:rsidRDefault="00742AD7" w:rsidP="00742AD7">
            <w:pPr>
              <w:tabs>
                <w:tab w:val="right" w:pos="1202"/>
              </w:tabs>
              <w:spacing w:after="0" w:line="280" w:lineRule="exact"/>
              <w:jc w:val="right"/>
              <w:outlineLvl w:val="0"/>
              <w:rPr>
                <w:rFonts w:ascii="Calibri" w:eastAsia="Calibri" w:hAnsi="Calibri" w:cs="Times New Roman"/>
                <w:sz w:val="19"/>
                <w:szCs w:val="19"/>
                <w:lang w:val="en-US"/>
              </w:rPr>
            </w:pPr>
            <w:r w:rsidRPr="00630D92">
              <w:rPr>
                <w:rFonts w:ascii="Calibri" w:hAnsi="Calibri" w:cs="Calibri"/>
                <w:sz w:val="19"/>
                <w:szCs w:val="19"/>
              </w:rPr>
              <w:t xml:space="preserve">                          1</w:t>
            </w:r>
            <w:r w:rsidR="00630D92" w:rsidRPr="00630D92">
              <w:rPr>
                <w:rFonts w:ascii="Calibri" w:hAnsi="Calibri" w:cs="Calibri"/>
                <w:sz w:val="19"/>
                <w:szCs w:val="19"/>
              </w:rPr>
              <w:t>,</w:t>
            </w:r>
            <w:r w:rsidRPr="00630D92">
              <w:rPr>
                <w:rFonts w:ascii="Calibri" w:hAnsi="Calibri" w:cs="Calibri"/>
                <w:sz w:val="19"/>
                <w:szCs w:val="19"/>
              </w:rPr>
              <w:t>571</w:t>
            </w:r>
            <w:r w:rsidR="00630D92" w:rsidRPr="00630D92">
              <w:rPr>
                <w:rFonts w:ascii="Calibri" w:hAnsi="Calibri" w:cs="Calibri"/>
                <w:sz w:val="19"/>
                <w:szCs w:val="19"/>
              </w:rPr>
              <w:t>,</w:t>
            </w:r>
            <w:r w:rsidRPr="00630D92">
              <w:rPr>
                <w:rFonts w:ascii="Calibri" w:hAnsi="Calibri" w:cs="Calibri"/>
                <w:sz w:val="19"/>
                <w:szCs w:val="19"/>
              </w:rPr>
              <w:t xml:space="preserve">205 </w:t>
            </w:r>
          </w:p>
        </w:tc>
      </w:tr>
      <w:tr w:rsidR="00742AD7" w:rsidRPr="00630D92" w14:paraId="6556F48F" w14:textId="77777777" w:rsidTr="00281EA5">
        <w:trPr>
          <w:cantSplit/>
          <w:trHeight w:val="250"/>
          <w:tblHeader/>
        </w:trPr>
        <w:tc>
          <w:tcPr>
            <w:tcW w:w="2123" w:type="pct"/>
            <w:vAlign w:val="bottom"/>
          </w:tcPr>
          <w:p w14:paraId="4EDEDDCF" w14:textId="77777777" w:rsidR="00742AD7" w:rsidRPr="00630D92" w:rsidRDefault="00742AD7" w:rsidP="00742AD7">
            <w:pPr>
              <w:tabs>
                <w:tab w:val="right" w:pos="1202"/>
              </w:tabs>
              <w:spacing w:after="0" w:line="301" w:lineRule="exact"/>
              <w:outlineLvl w:val="0"/>
              <w:rPr>
                <w:rFonts w:ascii="Calibri" w:eastAsia="Times New Roman" w:hAnsi="Calibri" w:cs="Arial"/>
                <w:sz w:val="19"/>
                <w:szCs w:val="19"/>
                <w:lang w:val="en-US"/>
              </w:rPr>
            </w:pPr>
            <w:bookmarkStart w:id="722" w:name="_Toc4060703"/>
            <w:r w:rsidRPr="00630D92">
              <w:rPr>
                <w:rFonts w:ascii="Calibri" w:eastAsia="Times New Roman" w:hAnsi="Calibri" w:cs="Arial"/>
                <w:sz w:val="19"/>
                <w:szCs w:val="19"/>
                <w:lang w:val="en-US"/>
              </w:rPr>
              <w:t>Deposits with other banks</w:t>
            </w:r>
            <w:bookmarkEnd w:id="722"/>
          </w:p>
        </w:tc>
        <w:tc>
          <w:tcPr>
            <w:tcW w:w="719" w:type="pct"/>
            <w:tcBorders>
              <w:top w:val="nil"/>
              <w:left w:val="nil"/>
              <w:bottom w:val="nil"/>
              <w:right w:val="nil"/>
            </w:tcBorders>
            <w:shd w:val="clear" w:color="auto" w:fill="auto"/>
            <w:vAlign w:val="center"/>
          </w:tcPr>
          <w:p w14:paraId="56F0244A" w14:textId="15E4AE2A" w:rsidR="00742AD7" w:rsidRPr="00630D92" w:rsidRDefault="00742AD7" w:rsidP="00742AD7">
            <w:pPr>
              <w:tabs>
                <w:tab w:val="right" w:pos="1202"/>
              </w:tabs>
              <w:spacing w:after="0" w:line="280" w:lineRule="exact"/>
              <w:jc w:val="right"/>
              <w:outlineLvl w:val="0"/>
              <w:rPr>
                <w:rFonts w:ascii="Calibri" w:eastAsia="Calibri" w:hAnsi="Calibri" w:cs="Times New Roman"/>
                <w:sz w:val="19"/>
                <w:szCs w:val="19"/>
                <w:lang w:val="en-US"/>
              </w:rPr>
            </w:pPr>
            <w:r w:rsidRPr="00630D92">
              <w:rPr>
                <w:rFonts w:ascii="Calibri" w:hAnsi="Calibri" w:cs="Calibri"/>
                <w:sz w:val="19"/>
                <w:szCs w:val="19"/>
              </w:rPr>
              <w:t xml:space="preserve">                   -   </w:t>
            </w:r>
          </w:p>
        </w:tc>
        <w:tc>
          <w:tcPr>
            <w:tcW w:w="719" w:type="pct"/>
            <w:tcBorders>
              <w:top w:val="nil"/>
              <w:left w:val="nil"/>
              <w:bottom w:val="nil"/>
              <w:right w:val="nil"/>
            </w:tcBorders>
            <w:shd w:val="clear" w:color="auto" w:fill="auto"/>
            <w:vAlign w:val="center"/>
          </w:tcPr>
          <w:p w14:paraId="55AD1FC5" w14:textId="65871838" w:rsidR="00742AD7" w:rsidRPr="00630D92" w:rsidRDefault="00742AD7" w:rsidP="00742AD7">
            <w:pPr>
              <w:tabs>
                <w:tab w:val="right" w:pos="1202"/>
              </w:tabs>
              <w:spacing w:after="0" w:line="280" w:lineRule="exact"/>
              <w:jc w:val="right"/>
              <w:outlineLvl w:val="0"/>
              <w:rPr>
                <w:rFonts w:ascii="Calibri" w:eastAsia="Calibri" w:hAnsi="Calibri" w:cs="Times New Roman"/>
                <w:sz w:val="19"/>
                <w:szCs w:val="19"/>
                <w:lang w:val="en-US"/>
              </w:rPr>
            </w:pPr>
            <w:r w:rsidRPr="00630D92">
              <w:rPr>
                <w:rFonts w:ascii="Calibri" w:hAnsi="Calibri" w:cs="Calibri"/>
                <w:sz w:val="19"/>
                <w:szCs w:val="19"/>
              </w:rPr>
              <w:t xml:space="preserve">   15</w:t>
            </w:r>
            <w:r w:rsidR="00630D92" w:rsidRPr="00630D92">
              <w:rPr>
                <w:rFonts w:ascii="Calibri" w:hAnsi="Calibri" w:cs="Calibri"/>
                <w:sz w:val="19"/>
                <w:szCs w:val="19"/>
              </w:rPr>
              <w:t>,</w:t>
            </w:r>
            <w:r w:rsidRPr="00630D92">
              <w:rPr>
                <w:rFonts w:ascii="Calibri" w:hAnsi="Calibri" w:cs="Calibri"/>
                <w:sz w:val="19"/>
                <w:szCs w:val="19"/>
              </w:rPr>
              <w:t xml:space="preserve">215 </w:t>
            </w:r>
          </w:p>
        </w:tc>
        <w:tc>
          <w:tcPr>
            <w:tcW w:w="719" w:type="pct"/>
            <w:tcBorders>
              <w:top w:val="nil"/>
              <w:left w:val="nil"/>
              <w:bottom w:val="nil"/>
              <w:right w:val="nil"/>
            </w:tcBorders>
            <w:shd w:val="clear" w:color="auto" w:fill="auto"/>
            <w:vAlign w:val="center"/>
          </w:tcPr>
          <w:p w14:paraId="6DA8B031" w14:textId="1AB7571C" w:rsidR="00742AD7" w:rsidRPr="00630D92" w:rsidRDefault="00742AD7" w:rsidP="00742AD7">
            <w:pPr>
              <w:tabs>
                <w:tab w:val="right" w:pos="1202"/>
              </w:tabs>
              <w:spacing w:after="0" w:line="280" w:lineRule="exact"/>
              <w:jc w:val="right"/>
              <w:outlineLvl w:val="0"/>
              <w:rPr>
                <w:rFonts w:ascii="Calibri" w:eastAsia="Calibri" w:hAnsi="Calibri" w:cs="Times New Roman"/>
                <w:sz w:val="19"/>
                <w:szCs w:val="19"/>
                <w:lang w:val="en-US"/>
              </w:rPr>
            </w:pPr>
            <w:r w:rsidRPr="00630D92">
              <w:rPr>
                <w:rFonts w:ascii="Calibri" w:hAnsi="Calibri" w:cs="Calibri"/>
                <w:sz w:val="19"/>
                <w:szCs w:val="19"/>
              </w:rPr>
              <w:t xml:space="preserve">                     -   </w:t>
            </w:r>
          </w:p>
        </w:tc>
        <w:tc>
          <w:tcPr>
            <w:tcW w:w="720" w:type="pct"/>
            <w:tcBorders>
              <w:top w:val="nil"/>
              <w:left w:val="nil"/>
              <w:bottom w:val="nil"/>
              <w:right w:val="nil"/>
            </w:tcBorders>
            <w:shd w:val="clear" w:color="auto" w:fill="auto"/>
            <w:vAlign w:val="center"/>
          </w:tcPr>
          <w:p w14:paraId="7B7C29A7" w14:textId="7541F550" w:rsidR="00742AD7" w:rsidRPr="00630D92" w:rsidRDefault="00742AD7" w:rsidP="00742AD7">
            <w:pPr>
              <w:tabs>
                <w:tab w:val="right" w:pos="1202"/>
              </w:tabs>
              <w:spacing w:after="0" w:line="280" w:lineRule="exact"/>
              <w:jc w:val="right"/>
              <w:outlineLvl w:val="0"/>
              <w:rPr>
                <w:rFonts w:ascii="Calibri" w:eastAsia="Calibri" w:hAnsi="Calibri" w:cs="Times New Roman"/>
                <w:sz w:val="19"/>
                <w:szCs w:val="19"/>
                <w:lang w:val="en-US"/>
              </w:rPr>
            </w:pPr>
            <w:r w:rsidRPr="00630D92">
              <w:rPr>
                <w:rFonts w:ascii="Calibri" w:hAnsi="Calibri" w:cs="Calibri"/>
                <w:sz w:val="19"/>
                <w:szCs w:val="19"/>
              </w:rPr>
              <w:t xml:space="preserve">          15</w:t>
            </w:r>
            <w:r w:rsidR="00630D92" w:rsidRPr="00630D92">
              <w:rPr>
                <w:rFonts w:ascii="Calibri" w:hAnsi="Calibri" w:cs="Calibri"/>
                <w:sz w:val="19"/>
                <w:szCs w:val="19"/>
              </w:rPr>
              <w:t>,</w:t>
            </w:r>
            <w:r w:rsidRPr="00630D92">
              <w:rPr>
                <w:rFonts w:ascii="Calibri" w:hAnsi="Calibri" w:cs="Calibri"/>
                <w:sz w:val="19"/>
                <w:szCs w:val="19"/>
              </w:rPr>
              <w:t xml:space="preserve">215 </w:t>
            </w:r>
          </w:p>
        </w:tc>
      </w:tr>
      <w:tr w:rsidR="00742AD7" w:rsidRPr="00630D92" w14:paraId="7D9DACD9" w14:textId="77777777" w:rsidTr="00281EA5">
        <w:trPr>
          <w:cantSplit/>
          <w:trHeight w:val="250"/>
          <w:tblHeader/>
        </w:trPr>
        <w:tc>
          <w:tcPr>
            <w:tcW w:w="2123" w:type="pct"/>
            <w:vAlign w:val="bottom"/>
          </w:tcPr>
          <w:p w14:paraId="53F10CC1" w14:textId="77777777" w:rsidR="00742AD7" w:rsidRPr="00630D92" w:rsidRDefault="00742AD7" w:rsidP="00742AD7">
            <w:pPr>
              <w:tabs>
                <w:tab w:val="right" w:pos="1202"/>
              </w:tabs>
              <w:spacing w:after="0" w:line="301" w:lineRule="exact"/>
              <w:outlineLvl w:val="0"/>
              <w:rPr>
                <w:rFonts w:ascii="Calibri" w:eastAsia="Times New Roman" w:hAnsi="Calibri" w:cs="Arial"/>
                <w:sz w:val="19"/>
                <w:szCs w:val="19"/>
                <w:lang w:val="en-US"/>
              </w:rPr>
            </w:pPr>
            <w:bookmarkStart w:id="723" w:name="_Toc4060708"/>
            <w:r w:rsidRPr="00630D92">
              <w:rPr>
                <w:rFonts w:ascii="Calibri" w:eastAsia="Times New Roman" w:hAnsi="Calibri" w:cs="Arial"/>
                <w:sz w:val="19"/>
                <w:szCs w:val="19"/>
                <w:lang w:val="en-US"/>
              </w:rPr>
              <w:t>Loans to financial institutions</w:t>
            </w:r>
            <w:bookmarkEnd w:id="723"/>
          </w:p>
        </w:tc>
        <w:tc>
          <w:tcPr>
            <w:tcW w:w="719" w:type="pct"/>
            <w:tcBorders>
              <w:top w:val="nil"/>
              <w:left w:val="nil"/>
              <w:bottom w:val="nil"/>
              <w:right w:val="nil"/>
            </w:tcBorders>
            <w:shd w:val="clear" w:color="auto" w:fill="auto"/>
            <w:vAlign w:val="center"/>
          </w:tcPr>
          <w:p w14:paraId="61833D26" w14:textId="3164A659" w:rsidR="00742AD7" w:rsidRPr="00630D92" w:rsidRDefault="00742AD7" w:rsidP="00742AD7">
            <w:pPr>
              <w:tabs>
                <w:tab w:val="right" w:pos="1202"/>
              </w:tabs>
              <w:spacing w:after="0" w:line="280" w:lineRule="exact"/>
              <w:jc w:val="right"/>
              <w:outlineLvl w:val="0"/>
              <w:rPr>
                <w:rFonts w:ascii="Calibri" w:eastAsia="Calibri" w:hAnsi="Calibri" w:cs="Times New Roman"/>
                <w:sz w:val="19"/>
                <w:szCs w:val="19"/>
                <w:lang w:val="en-US"/>
              </w:rPr>
            </w:pPr>
            <w:r w:rsidRPr="00630D92">
              <w:rPr>
                <w:rFonts w:ascii="Calibri" w:hAnsi="Calibri" w:cs="Calibri"/>
                <w:sz w:val="19"/>
                <w:szCs w:val="19"/>
              </w:rPr>
              <w:t>6</w:t>
            </w:r>
            <w:r w:rsidR="00630D92" w:rsidRPr="00630D92">
              <w:rPr>
                <w:rFonts w:ascii="Calibri" w:hAnsi="Calibri" w:cs="Calibri"/>
                <w:sz w:val="19"/>
                <w:szCs w:val="19"/>
              </w:rPr>
              <w:t>,</w:t>
            </w:r>
            <w:r w:rsidRPr="00630D92">
              <w:rPr>
                <w:rFonts w:ascii="Calibri" w:hAnsi="Calibri" w:cs="Calibri"/>
                <w:sz w:val="19"/>
                <w:szCs w:val="19"/>
              </w:rPr>
              <w:t>941</w:t>
            </w:r>
            <w:r w:rsidR="00630D92" w:rsidRPr="00630D92">
              <w:rPr>
                <w:rFonts w:ascii="Calibri" w:hAnsi="Calibri" w:cs="Calibri"/>
                <w:sz w:val="19"/>
                <w:szCs w:val="19"/>
              </w:rPr>
              <w:t>,</w:t>
            </w:r>
            <w:r w:rsidRPr="00630D92">
              <w:rPr>
                <w:rFonts w:ascii="Calibri" w:hAnsi="Calibri" w:cs="Calibri"/>
                <w:sz w:val="19"/>
                <w:szCs w:val="19"/>
              </w:rPr>
              <w:t xml:space="preserve">960 </w:t>
            </w:r>
          </w:p>
        </w:tc>
        <w:tc>
          <w:tcPr>
            <w:tcW w:w="719" w:type="pct"/>
            <w:tcBorders>
              <w:top w:val="nil"/>
              <w:left w:val="nil"/>
              <w:bottom w:val="nil"/>
              <w:right w:val="nil"/>
            </w:tcBorders>
            <w:shd w:val="clear" w:color="auto" w:fill="auto"/>
            <w:vAlign w:val="center"/>
          </w:tcPr>
          <w:p w14:paraId="02CDD05F" w14:textId="5BD0E753" w:rsidR="00742AD7" w:rsidRPr="00630D92" w:rsidRDefault="00742AD7" w:rsidP="00742AD7">
            <w:pPr>
              <w:tabs>
                <w:tab w:val="right" w:pos="1202"/>
              </w:tabs>
              <w:spacing w:after="0" w:line="280" w:lineRule="exact"/>
              <w:jc w:val="right"/>
              <w:outlineLvl w:val="0"/>
              <w:rPr>
                <w:rFonts w:ascii="Calibri" w:eastAsia="Calibri" w:hAnsi="Calibri" w:cs="Times New Roman"/>
                <w:sz w:val="19"/>
                <w:szCs w:val="19"/>
                <w:lang w:val="en-US"/>
              </w:rPr>
            </w:pPr>
            <w:r w:rsidRPr="00630D92">
              <w:rPr>
                <w:rFonts w:ascii="Calibri" w:hAnsi="Calibri" w:cs="Calibri"/>
                <w:sz w:val="19"/>
                <w:szCs w:val="19"/>
              </w:rPr>
              <w:t xml:space="preserve">      -   </w:t>
            </w:r>
          </w:p>
        </w:tc>
        <w:tc>
          <w:tcPr>
            <w:tcW w:w="719" w:type="pct"/>
            <w:tcBorders>
              <w:top w:val="nil"/>
              <w:left w:val="nil"/>
              <w:bottom w:val="nil"/>
              <w:right w:val="nil"/>
            </w:tcBorders>
            <w:shd w:val="clear" w:color="auto" w:fill="auto"/>
            <w:vAlign w:val="center"/>
          </w:tcPr>
          <w:p w14:paraId="2CBF7FC4" w14:textId="78474968" w:rsidR="00742AD7" w:rsidRPr="00630D92" w:rsidRDefault="00742AD7" w:rsidP="00742AD7">
            <w:pPr>
              <w:tabs>
                <w:tab w:val="right" w:pos="1202"/>
              </w:tabs>
              <w:spacing w:after="0" w:line="280" w:lineRule="exact"/>
              <w:jc w:val="right"/>
              <w:outlineLvl w:val="0"/>
              <w:rPr>
                <w:rFonts w:ascii="Calibri" w:eastAsia="Calibri" w:hAnsi="Calibri" w:cs="Times New Roman"/>
                <w:sz w:val="19"/>
                <w:szCs w:val="19"/>
                <w:lang w:val="en-US"/>
              </w:rPr>
            </w:pPr>
            <w:r w:rsidRPr="00630D92">
              <w:rPr>
                <w:rFonts w:ascii="Calibri" w:hAnsi="Calibri" w:cs="Calibri"/>
                <w:sz w:val="19"/>
                <w:szCs w:val="19"/>
              </w:rPr>
              <w:t xml:space="preserve">       -   </w:t>
            </w:r>
          </w:p>
        </w:tc>
        <w:tc>
          <w:tcPr>
            <w:tcW w:w="720" w:type="pct"/>
            <w:tcBorders>
              <w:top w:val="nil"/>
              <w:left w:val="nil"/>
              <w:bottom w:val="nil"/>
              <w:right w:val="nil"/>
            </w:tcBorders>
            <w:shd w:val="clear" w:color="auto" w:fill="auto"/>
            <w:vAlign w:val="center"/>
          </w:tcPr>
          <w:p w14:paraId="49953EF9" w14:textId="106A00A8" w:rsidR="00742AD7" w:rsidRPr="00630D92" w:rsidRDefault="00742AD7" w:rsidP="00742AD7">
            <w:pPr>
              <w:tabs>
                <w:tab w:val="right" w:pos="1202"/>
              </w:tabs>
              <w:spacing w:after="0" w:line="280" w:lineRule="exact"/>
              <w:jc w:val="right"/>
              <w:outlineLvl w:val="0"/>
              <w:rPr>
                <w:rFonts w:ascii="Calibri" w:eastAsia="Calibri" w:hAnsi="Calibri" w:cs="Times New Roman"/>
                <w:sz w:val="19"/>
                <w:szCs w:val="19"/>
                <w:lang w:val="en-US"/>
              </w:rPr>
            </w:pPr>
            <w:r w:rsidRPr="00630D92">
              <w:rPr>
                <w:rFonts w:ascii="Calibri" w:hAnsi="Calibri" w:cs="Calibri"/>
                <w:sz w:val="19"/>
                <w:szCs w:val="19"/>
              </w:rPr>
              <w:t xml:space="preserve">      6</w:t>
            </w:r>
            <w:r w:rsidR="00630D92" w:rsidRPr="00630D92">
              <w:rPr>
                <w:rFonts w:ascii="Calibri" w:hAnsi="Calibri" w:cs="Calibri"/>
                <w:sz w:val="19"/>
                <w:szCs w:val="19"/>
              </w:rPr>
              <w:t>,</w:t>
            </w:r>
            <w:r w:rsidRPr="00630D92">
              <w:rPr>
                <w:rFonts w:ascii="Calibri" w:hAnsi="Calibri" w:cs="Calibri"/>
                <w:sz w:val="19"/>
                <w:szCs w:val="19"/>
              </w:rPr>
              <w:t>941</w:t>
            </w:r>
            <w:r w:rsidR="00630D92" w:rsidRPr="00630D92">
              <w:rPr>
                <w:rFonts w:ascii="Calibri" w:hAnsi="Calibri" w:cs="Calibri"/>
                <w:sz w:val="19"/>
                <w:szCs w:val="19"/>
              </w:rPr>
              <w:t>,</w:t>
            </w:r>
            <w:r w:rsidRPr="00630D92">
              <w:rPr>
                <w:rFonts w:ascii="Calibri" w:hAnsi="Calibri" w:cs="Calibri"/>
                <w:sz w:val="19"/>
                <w:szCs w:val="19"/>
              </w:rPr>
              <w:t xml:space="preserve">960 </w:t>
            </w:r>
          </w:p>
        </w:tc>
      </w:tr>
      <w:tr w:rsidR="00742AD7" w:rsidRPr="00630D92" w14:paraId="19387891" w14:textId="77777777" w:rsidTr="00281EA5">
        <w:trPr>
          <w:cantSplit/>
          <w:trHeight w:val="250"/>
          <w:tblHeader/>
        </w:trPr>
        <w:tc>
          <w:tcPr>
            <w:tcW w:w="2123" w:type="pct"/>
            <w:vAlign w:val="bottom"/>
          </w:tcPr>
          <w:p w14:paraId="24FCEB3B" w14:textId="77777777" w:rsidR="00742AD7" w:rsidRPr="00630D92" w:rsidRDefault="00742AD7" w:rsidP="00742AD7">
            <w:pPr>
              <w:tabs>
                <w:tab w:val="right" w:pos="1202"/>
              </w:tabs>
              <w:spacing w:after="0" w:line="301" w:lineRule="exact"/>
              <w:outlineLvl w:val="0"/>
              <w:rPr>
                <w:rFonts w:ascii="Calibri" w:eastAsia="Times New Roman" w:hAnsi="Calibri" w:cs="Arial"/>
                <w:sz w:val="19"/>
                <w:szCs w:val="19"/>
                <w:lang w:val="en-US"/>
              </w:rPr>
            </w:pPr>
            <w:bookmarkStart w:id="724" w:name="_Toc4060713"/>
            <w:r w:rsidRPr="00630D92">
              <w:rPr>
                <w:rFonts w:ascii="Calibri" w:eastAsia="Times New Roman" w:hAnsi="Calibri" w:cs="Arial"/>
                <w:sz w:val="19"/>
                <w:szCs w:val="19"/>
                <w:lang w:val="en-US"/>
              </w:rPr>
              <w:t>Loans to other customers</w:t>
            </w:r>
            <w:bookmarkEnd w:id="724"/>
          </w:p>
        </w:tc>
        <w:tc>
          <w:tcPr>
            <w:tcW w:w="719" w:type="pct"/>
            <w:tcBorders>
              <w:top w:val="nil"/>
              <w:left w:val="nil"/>
              <w:bottom w:val="nil"/>
              <w:right w:val="nil"/>
            </w:tcBorders>
            <w:shd w:val="clear" w:color="auto" w:fill="auto"/>
            <w:vAlign w:val="center"/>
          </w:tcPr>
          <w:p w14:paraId="15D90D94" w14:textId="029963A3" w:rsidR="00742AD7" w:rsidRPr="00630D92" w:rsidRDefault="00742AD7" w:rsidP="00742AD7">
            <w:pPr>
              <w:tabs>
                <w:tab w:val="right" w:pos="1202"/>
              </w:tabs>
              <w:spacing w:after="0" w:line="280" w:lineRule="exact"/>
              <w:jc w:val="right"/>
              <w:outlineLvl w:val="0"/>
              <w:rPr>
                <w:rFonts w:ascii="Calibri" w:eastAsia="Calibri" w:hAnsi="Calibri" w:cs="Times New Roman"/>
                <w:sz w:val="19"/>
                <w:szCs w:val="19"/>
                <w:lang w:val="en-US"/>
              </w:rPr>
            </w:pPr>
            <w:r w:rsidRPr="00630D92">
              <w:rPr>
                <w:rFonts w:ascii="Calibri" w:hAnsi="Calibri" w:cs="Calibri"/>
                <w:sz w:val="19"/>
                <w:szCs w:val="19"/>
              </w:rPr>
              <w:t>15</w:t>
            </w:r>
            <w:r w:rsidR="00630D92" w:rsidRPr="00630D92">
              <w:rPr>
                <w:rFonts w:ascii="Calibri" w:hAnsi="Calibri" w:cs="Calibri"/>
                <w:sz w:val="19"/>
                <w:szCs w:val="19"/>
              </w:rPr>
              <w:t>,</w:t>
            </w:r>
            <w:r w:rsidRPr="00630D92">
              <w:rPr>
                <w:rFonts w:ascii="Calibri" w:hAnsi="Calibri" w:cs="Calibri"/>
                <w:sz w:val="19"/>
                <w:szCs w:val="19"/>
              </w:rPr>
              <w:t>624</w:t>
            </w:r>
            <w:r w:rsidR="00630D92" w:rsidRPr="00630D92">
              <w:rPr>
                <w:rFonts w:ascii="Calibri" w:hAnsi="Calibri" w:cs="Calibri"/>
                <w:sz w:val="19"/>
                <w:szCs w:val="19"/>
              </w:rPr>
              <w:t>,</w:t>
            </w:r>
            <w:r w:rsidRPr="00630D92">
              <w:rPr>
                <w:rFonts w:ascii="Calibri" w:hAnsi="Calibri" w:cs="Calibri"/>
                <w:sz w:val="19"/>
                <w:szCs w:val="19"/>
              </w:rPr>
              <w:t xml:space="preserve">161 </w:t>
            </w:r>
          </w:p>
        </w:tc>
        <w:tc>
          <w:tcPr>
            <w:tcW w:w="719" w:type="pct"/>
            <w:tcBorders>
              <w:top w:val="nil"/>
              <w:left w:val="nil"/>
              <w:bottom w:val="nil"/>
              <w:right w:val="nil"/>
            </w:tcBorders>
            <w:shd w:val="clear" w:color="auto" w:fill="auto"/>
            <w:vAlign w:val="center"/>
          </w:tcPr>
          <w:p w14:paraId="42EAA3C2" w14:textId="71E9DEDE" w:rsidR="00742AD7" w:rsidRPr="00630D92" w:rsidRDefault="00742AD7" w:rsidP="00742AD7">
            <w:pPr>
              <w:tabs>
                <w:tab w:val="right" w:pos="1202"/>
              </w:tabs>
              <w:spacing w:after="0" w:line="280" w:lineRule="exact"/>
              <w:jc w:val="right"/>
              <w:outlineLvl w:val="0"/>
              <w:rPr>
                <w:rFonts w:ascii="Calibri" w:eastAsia="Calibri" w:hAnsi="Calibri" w:cs="Times New Roman"/>
                <w:sz w:val="19"/>
                <w:szCs w:val="19"/>
                <w:lang w:val="en-US"/>
              </w:rPr>
            </w:pPr>
            <w:r w:rsidRPr="00630D92">
              <w:rPr>
                <w:rFonts w:ascii="Calibri" w:hAnsi="Calibri" w:cs="Calibri"/>
                <w:sz w:val="19"/>
                <w:szCs w:val="19"/>
              </w:rPr>
              <w:t xml:space="preserve">                     -   </w:t>
            </w:r>
          </w:p>
        </w:tc>
        <w:tc>
          <w:tcPr>
            <w:tcW w:w="719" w:type="pct"/>
            <w:tcBorders>
              <w:top w:val="nil"/>
              <w:left w:val="nil"/>
              <w:bottom w:val="nil"/>
              <w:right w:val="nil"/>
            </w:tcBorders>
            <w:shd w:val="clear" w:color="auto" w:fill="auto"/>
            <w:vAlign w:val="center"/>
          </w:tcPr>
          <w:p w14:paraId="3E991DC5" w14:textId="1F5FB92F" w:rsidR="00742AD7" w:rsidRPr="00630D92" w:rsidRDefault="00742AD7" w:rsidP="00742AD7">
            <w:pPr>
              <w:tabs>
                <w:tab w:val="right" w:pos="1202"/>
              </w:tabs>
              <w:spacing w:after="0" w:line="280" w:lineRule="exact"/>
              <w:jc w:val="right"/>
              <w:outlineLvl w:val="0"/>
              <w:rPr>
                <w:rFonts w:ascii="Calibri" w:eastAsia="Calibri" w:hAnsi="Calibri" w:cs="Times New Roman"/>
                <w:sz w:val="19"/>
                <w:szCs w:val="19"/>
                <w:lang w:val="en-US"/>
              </w:rPr>
            </w:pPr>
            <w:r w:rsidRPr="00630D92">
              <w:rPr>
                <w:rFonts w:ascii="Calibri" w:hAnsi="Calibri" w:cs="Calibri"/>
                <w:sz w:val="19"/>
                <w:szCs w:val="19"/>
              </w:rPr>
              <w:t xml:space="preserve">     102</w:t>
            </w:r>
            <w:r w:rsidR="00630D92" w:rsidRPr="00630D92">
              <w:rPr>
                <w:rFonts w:ascii="Calibri" w:hAnsi="Calibri" w:cs="Calibri"/>
                <w:sz w:val="19"/>
                <w:szCs w:val="19"/>
              </w:rPr>
              <w:t>,</w:t>
            </w:r>
            <w:r w:rsidRPr="00630D92">
              <w:rPr>
                <w:rFonts w:ascii="Calibri" w:hAnsi="Calibri" w:cs="Calibri"/>
                <w:sz w:val="19"/>
                <w:szCs w:val="19"/>
              </w:rPr>
              <w:t xml:space="preserve">272 </w:t>
            </w:r>
          </w:p>
        </w:tc>
        <w:tc>
          <w:tcPr>
            <w:tcW w:w="720" w:type="pct"/>
            <w:tcBorders>
              <w:top w:val="nil"/>
              <w:left w:val="nil"/>
              <w:bottom w:val="nil"/>
              <w:right w:val="nil"/>
            </w:tcBorders>
            <w:shd w:val="clear" w:color="auto" w:fill="auto"/>
            <w:vAlign w:val="center"/>
          </w:tcPr>
          <w:p w14:paraId="1317F5AC" w14:textId="1DCD829C" w:rsidR="00742AD7" w:rsidRPr="00630D92" w:rsidRDefault="00742AD7" w:rsidP="00742AD7">
            <w:pPr>
              <w:tabs>
                <w:tab w:val="right" w:pos="1202"/>
              </w:tabs>
              <w:spacing w:after="0" w:line="280" w:lineRule="exact"/>
              <w:jc w:val="right"/>
              <w:outlineLvl w:val="0"/>
              <w:rPr>
                <w:rFonts w:ascii="Calibri" w:eastAsia="Calibri" w:hAnsi="Calibri" w:cs="Times New Roman"/>
                <w:sz w:val="19"/>
                <w:szCs w:val="19"/>
                <w:lang w:val="en-US"/>
              </w:rPr>
            </w:pPr>
            <w:r w:rsidRPr="00630D92">
              <w:rPr>
                <w:rFonts w:ascii="Calibri" w:hAnsi="Calibri" w:cs="Calibri"/>
                <w:sz w:val="19"/>
                <w:szCs w:val="19"/>
              </w:rPr>
              <w:t xml:space="preserve">    15</w:t>
            </w:r>
            <w:r w:rsidR="00630D92" w:rsidRPr="00630D92">
              <w:rPr>
                <w:rFonts w:ascii="Calibri" w:hAnsi="Calibri" w:cs="Calibri"/>
                <w:sz w:val="19"/>
                <w:szCs w:val="19"/>
              </w:rPr>
              <w:t>,</w:t>
            </w:r>
            <w:r w:rsidRPr="00630D92">
              <w:rPr>
                <w:rFonts w:ascii="Calibri" w:hAnsi="Calibri" w:cs="Calibri"/>
                <w:sz w:val="19"/>
                <w:szCs w:val="19"/>
              </w:rPr>
              <w:t>726</w:t>
            </w:r>
            <w:r w:rsidR="00630D92" w:rsidRPr="00630D92">
              <w:rPr>
                <w:rFonts w:ascii="Calibri" w:hAnsi="Calibri" w:cs="Calibri"/>
                <w:sz w:val="19"/>
                <w:szCs w:val="19"/>
              </w:rPr>
              <w:t>,</w:t>
            </w:r>
            <w:r w:rsidRPr="00630D92">
              <w:rPr>
                <w:rFonts w:ascii="Calibri" w:hAnsi="Calibri" w:cs="Calibri"/>
                <w:sz w:val="19"/>
                <w:szCs w:val="19"/>
              </w:rPr>
              <w:t xml:space="preserve">433 </w:t>
            </w:r>
          </w:p>
        </w:tc>
      </w:tr>
      <w:tr w:rsidR="00742AD7" w:rsidRPr="00630D92" w14:paraId="0D77C533" w14:textId="77777777" w:rsidTr="00281EA5">
        <w:trPr>
          <w:cantSplit/>
          <w:trHeight w:val="250"/>
          <w:tblHeader/>
        </w:trPr>
        <w:tc>
          <w:tcPr>
            <w:tcW w:w="2123" w:type="pct"/>
            <w:vAlign w:val="bottom"/>
          </w:tcPr>
          <w:p w14:paraId="2676052E" w14:textId="77777777" w:rsidR="00742AD7" w:rsidRPr="00630D92" w:rsidRDefault="00742AD7" w:rsidP="00742AD7">
            <w:pPr>
              <w:tabs>
                <w:tab w:val="right" w:pos="1202"/>
              </w:tabs>
              <w:spacing w:after="0" w:line="301" w:lineRule="exact"/>
              <w:outlineLvl w:val="0"/>
              <w:rPr>
                <w:rFonts w:ascii="Calibri" w:eastAsia="Times New Roman" w:hAnsi="Calibri" w:cs="Arial"/>
                <w:sz w:val="19"/>
                <w:szCs w:val="19"/>
                <w:lang w:val="en-US"/>
              </w:rPr>
            </w:pPr>
            <w:bookmarkStart w:id="725" w:name="_Toc4060718"/>
            <w:r w:rsidRPr="00630D92">
              <w:rPr>
                <w:rFonts w:ascii="Calibri" w:eastAsia="Times New Roman" w:hAnsi="Calibri" w:cs="Arial"/>
                <w:sz w:val="19"/>
                <w:szCs w:val="19"/>
                <w:lang w:val="en-US"/>
              </w:rPr>
              <w:t>Financial assets at fair value through profit or loss</w:t>
            </w:r>
            <w:bookmarkEnd w:id="725"/>
            <w:r w:rsidRPr="00630D92">
              <w:rPr>
                <w:rFonts w:ascii="Calibri" w:eastAsia="Times New Roman" w:hAnsi="Calibri" w:cs="Arial"/>
                <w:sz w:val="19"/>
                <w:szCs w:val="19"/>
                <w:lang w:val="en-US"/>
              </w:rPr>
              <w:t xml:space="preserve"> </w:t>
            </w:r>
          </w:p>
        </w:tc>
        <w:tc>
          <w:tcPr>
            <w:tcW w:w="719" w:type="pct"/>
            <w:tcBorders>
              <w:top w:val="nil"/>
              <w:left w:val="nil"/>
              <w:bottom w:val="nil"/>
              <w:right w:val="nil"/>
            </w:tcBorders>
            <w:shd w:val="clear" w:color="auto" w:fill="auto"/>
            <w:vAlign w:val="center"/>
          </w:tcPr>
          <w:p w14:paraId="18B17986" w14:textId="73438DE4" w:rsidR="00742AD7" w:rsidRPr="00630D92" w:rsidDel="00B1050C" w:rsidRDefault="00742AD7" w:rsidP="00742AD7">
            <w:pPr>
              <w:tabs>
                <w:tab w:val="right" w:pos="1202"/>
              </w:tabs>
              <w:spacing w:after="0" w:line="280" w:lineRule="exact"/>
              <w:jc w:val="right"/>
              <w:outlineLvl w:val="0"/>
              <w:rPr>
                <w:rFonts w:ascii="Calibri" w:eastAsia="Calibri" w:hAnsi="Calibri" w:cs="Times New Roman"/>
                <w:sz w:val="19"/>
                <w:szCs w:val="19"/>
                <w:lang w:val="en-US"/>
              </w:rPr>
            </w:pPr>
            <w:r w:rsidRPr="00630D92">
              <w:rPr>
                <w:rFonts w:ascii="Calibri" w:hAnsi="Calibri" w:cs="Calibri"/>
                <w:sz w:val="19"/>
                <w:szCs w:val="19"/>
              </w:rPr>
              <w:t>25</w:t>
            </w:r>
            <w:r w:rsidR="00630D92" w:rsidRPr="00630D92">
              <w:rPr>
                <w:rFonts w:ascii="Calibri" w:hAnsi="Calibri" w:cs="Calibri"/>
                <w:sz w:val="19"/>
                <w:szCs w:val="19"/>
              </w:rPr>
              <w:t>,</w:t>
            </w:r>
            <w:r w:rsidRPr="00630D92">
              <w:rPr>
                <w:rFonts w:ascii="Calibri" w:hAnsi="Calibri" w:cs="Calibri"/>
                <w:sz w:val="19"/>
                <w:szCs w:val="19"/>
              </w:rPr>
              <w:t>652</w:t>
            </w:r>
          </w:p>
        </w:tc>
        <w:tc>
          <w:tcPr>
            <w:tcW w:w="719" w:type="pct"/>
            <w:tcBorders>
              <w:top w:val="nil"/>
              <w:left w:val="nil"/>
              <w:bottom w:val="nil"/>
              <w:right w:val="nil"/>
            </w:tcBorders>
            <w:shd w:val="clear" w:color="auto" w:fill="auto"/>
            <w:vAlign w:val="center"/>
          </w:tcPr>
          <w:p w14:paraId="6B8FCBEA" w14:textId="350D839A" w:rsidR="00742AD7" w:rsidRPr="00630D92" w:rsidDel="00B1050C" w:rsidRDefault="00742AD7" w:rsidP="00742AD7">
            <w:pPr>
              <w:tabs>
                <w:tab w:val="right" w:pos="1202"/>
              </w:tabs>
              <w:spacing w:after="0" w:line="280" w:lineRule="exact"/>
              <w:jc w:val="right"/>
              <w:outlineLvl w:val="0"/>
              <w:rPr>
                <w:rFonts w:ascii="Calibri" w:eastAsia="Calibri" w:hAnsi="Calibri" w:cs="Times New Roman"/>
                <w:sz w:val="19"/>
                <w:szCs w:val="19"/>
                <w:lang w:val="en-US"/>
              </w:rPr>
            </w:pPr>
            <w:r w:rsidRPr="00630D92">
              <w:rPr>
                <w:rFonts w:ascii="Calibri" w:hAnsi="Calibri" w:cs="Calibri"/>
                <w:sz w:val="19"/>
                <w:szCs w:val="19"/>
              </w:rPr>
              <w:t>-</w:t>
            </w:r>
          </w:p>
        </w:tc>
        <w:tc>
          <w:tcPr>
            <w:tcW w:w="719" w:type="pct"/>
            <w:tcBorders>
              <w:top w:val="nil"/>
              <w:left w:val="nil"/>
              <w:bottom w:val="nil"/>
              <w:right w:val="nil"/>
            </w:tcBorders>
            <w:shd w:val="clear" w:color="auto" w:fill="auto"/>
            <w:vAlign w:val="center"/>
          </w:tcPr>
          <w:p w14:paraId="068EBFBB" w14:textId="627E7DD0" w:rsidR="00742AD7" w:rsidRPr="00630D92" w:rsidDel="00B1050C" w:rsidRDefault="00742AD7" w:rsidP="00742AD7">
            <w:pPr>
              <w:tabs>
                <w:tab w:val="right" w:pos="1202"/>
              </w:tabs>
              <w:spacing w:after="0" w:line="280" w:lineRule="exact"/>
              <w:jc w:val="right"/>
              <w:outlineLvl w:val="0"/>
              <w:rPr>
                <w:rFonts w:ascii="Calibri" w:eastAsia="Calibri" w:hAnsi="Calibri" w:cs="Times New Roman"/>
                <w:sz w:val="19"/>
                <w:szCs w:val="19"/>
                <w:lang w:val="en-US"/>
              </w:rPr>
            </w:pPr>
            <w:r w:rsidRPr="00630D92">
              <w:rPr>
                <w:rFonts w:ascii="Calibri" w:hAnsi="Calibri" w:cs="Calibri"/>
                <w:sz w:val="19"/>
                <w:szCs w:val="19"/>
              </w:rPr>
              <w:t>-</w:t>
            </w:r>
          </w:p>
        </w:tc>
        <w:tc>
          <w:tcPr>
            <w:tcW w:w="720" w:type="pct"/>
            <w:tcBorders>
              <w:top w:val="nil"/>
              <w:left w:val="nil"/>
              <w:bottom w:val="nil"/>
              <w:right w:val="nil"/>
            </w:tcBorders>
            <w:shd w:val="clear" w:color="auto" w:fill="auto"/>
            <w:vAlign w:val="center"/>
          </w:tcPr>
          <w:p w14:paraId="2D5E15D1" w14:textId="0C7EE6A0" w:rsidR="00742AD7" w:rsidRPr="00630D92" w:rsidDel="00B1050C" w:rsidRDefault="00742AD7" w:rsidP="00742AD7">
            <w:pPr>
              <w:tabs>
                <w:tab w:val="right" w:pos="1202"/>
              </w:tabs>
              <w:spacing w:after="0" w:line="280" w:lineRule="exact"/>
              <w:jc w:val="right"/>
              <w:outlineLvl w:val="0"/>
              <w:rPr>
                <w:rFonts w:ascii="Calibri" w:eastAsia="Calibri" w:hAnsi="Calibri" w:cs="Times New Roman"/>
                <w:sz w:val="19"/>
                <w:szCs w:val="19"/>
                <w:lang w:val="en-US"/>
              </w:rPr>
            </w:pPr>
            <w:r w:rsidRPr="00630D92">
              <w:rPr>
                <w:rFonts w:ascii="Calibri" w:hAnsi="Calibri" w:cs="Calibri"/>
                <w:sz w:val="19"/>
                <w:szCs w:val="19"/>
              </w:rPr>
              <w:t>25</w:t>
            </w:r>
            <w:r w:rsidR="00630D92" w:rsidRPr="00630D92">
              <w:rPr>
                <w:rFonts w:ascii="Calibri" w:hAnsi="Calibri" w:cs="Calibri"/>
                <w:sz w:val="19"/>
                <w:szCs w:val="19"/>
              </w:rPr>
              <w:t>,</w:t>
            </w:r>
            <w:r w:rsidRPr="00630D92">
              <w:rPr>
                <w:rFonts w:ascii="Calibri" w:hAnsi="Calibri" w:cs="Calibri"/>
                <w:sz w:val="19"/>
                <w:szCs w:val="19"/>
              </w:rPr>
              <w:t>652</w:t>
            </w:r>
          </w:p>
        </w:tc>
      </w:tr>
      <w:tr w:rsidR="00742AD7" w:rsidRPr="00630D92" w14:paraId="43CFE1AD" w14:textId="77777777" w:rsidTr="00281EA5">
        <w:trPr>
          <w:cantSplit/>
          <w:trHeight w:val="250"/>
          <w:tblHeader/>
        </w:trPr>
        <w:tc>
          <w:tcPr>
            <w:tcW w:w="2123" w:type="pct"/>
            <w:vAlign w:val="bottom"/>
          </w:tcPr>
          <w:p w14:paraId="46D4F9F0" w14:textId="77777777" w:rsidR="00742AD7" w:rsidRPr="00630D92" w:rsidRDefault="00742AD7" w:rsidP="00742AD7">
            <w:pPr>
              <w:tabs>
                <w:tab w:val="right" w:pos="1202"/>
              </w:tabs>
              <w:spacing w:after="0" w:line="301" w:lineRule="exact"/>
              <w:outlineLvl w:val="0"/>
              <w:rPr>
                <w:rFonts w:ascii="Calibri" w:eastAsia="Times New Roman" w:hAnsi="Calibri" w:cs="Arial"/>
                <w:sz w:val="19"/>
                <w:szCs w:val="19"/>
                <w:lang w:val="en-US"/>
              </w:rPr>
            </w:pPr>
            <w:bookmarkStart w:id="726" w:name="_Toc4060723"/>
            <w:r w:rsidRPr="00630D92">
              <w:rPr>
                <w:rFonts w:ascii="Calibri" w:eastAsia="Times New Roman" w:hAnsi="Calibri" w:cs="Arial"/>
                <w:sz w:val="19"/>
                <w:szCs w:val="19"/>
                <w:lang w:val="en-US"/>
              </w:rPr>
              <w:t>Financial assets at fair value through other comprehensive income</w:t>
            </w:r>
            <w:bookmarkEnd w:id="726"/>
            <w:r w:rsidRPr="00630D92">
              <w:rPr>
                <w:rFonts w:ascii="Calibri" w:eastAsia="Times New Roman" w:hAnsi="Calibri" w:cs="Arial"/>
                <w:sz w:val="19"/>
                <w:szCs w:val="19"/>
                <w:lang w:val="en-US"/>
              </w:rPr>
              <w:t xml:space="preserve"> </w:t>
            </w:r>
          </w:p>
        </w:tc>
        <w:tc>
          <w:tcPr>
            <w:tcW w:w="719" w:type="pct"/>
            <w:tcBorders>
              <w:top w:val="nil"/>
              <w:left w:val="nil"/>
              <w:bottom w:val="nil"/>
              <w:right w:val="nil"/>
            </w:tcBorders>
            <w:shd w:val="clear" w:color="auto" w:fill="auto"/>
            <w:vAlign w:val="center"/>
          </w:tcPr>
          <w:p w14:paraId="73853FCE" w14:textId="72F2DBE8" w:rsidR="00742AD7" w:rsidRPr="00630D92" w:rsidRDefault="00742AD7" w:rsidP="00742AD7">
            <w:pPr>
              <w:tabs>
                <w:tab w:val="right" w:pos="1202"/>
              </w:tabs>
              <w:spacing w:after="0" w:line="280" w:lineRule="exact"/>
              <w:jc w:val="right"/>
              <w:outlineLvl w:val="0"/>
              <w:rPr>
                <w:rFonts w:ascii="Calibri" w:eastAsia="Calibri" w:hAnsi="Calibri" w:cs="Times New Roman"/>
                <w:sz w:val="19"/>
                <w:szCs w:val="19"/>
                <w:lang w:val="en-US"/>
              </w:rPr>
            </w:pPr>
            <w:r w:rsidRPr="00630D92">
              <w:rPr>
                <w:rFonts w:ascii="Calibri" w:hAnsi="Calibri" w:cs="Calibri"/>
                <w:sz w:val="19"/>
                <w:szCs w:val="19"/>
              </w:rPr>
              <w:t>3</w:t>
            </w:r>
            <w:r w:rsidR="00630D92" w:rsidRPr="00630D92">
              <w:rPr>
                <w:rFonts w:ascii="Calibri" w:hAnsi="Calibri" w:cs="Calibri"/>
                <w:sz w:val="19"/>
                <w:szCs w:val="19"/>
              </w:rPr>
              <w:t>,</w:t>
            </w:r>
            <w:r w:rsidRPr="00630D92">
              <w:rPr>
                <w:rFonts w:ascii="Calibri" w:hAnsi="Calibri" w:cs="Calibri"/>
                <w:sz w:val="19"/>
                <w:szCs w:val="19"/>
              </w:rPr>
              <w:t>151</w:t>
            </w:r>
            <w:r w:rsidR="00630D92" w:rsidRPr="00630D92">
              <w:rPr>
                <w:rFonts w:ascii="Calibri" w:hAnsi="Calibri" w:cs="Calibri"/>
                <w:sz w:val="19"/>
                <w:szCs w:val="19"/>
              </w:rPr>
              <w:t>,</w:t>
            </w:r>
            <w:r w:rsidRPr="00630D92">
              <w:rPr>
                <w:rFonts w:ascii="Calibri" w:hAnsi="Calibri" w:cs="Calibri"/>
                <w:sz w:val="19"/>
                <w:szCs w:val="19"/>
              </w:rPr>
              <w:t>000</w:t>
            </w:r>
          </w:p>
        </w:tc>
        <w:tc>
          <w:tcPr>
            <w:tcW w:w="719" w:type="pct"/>
            <w:tcBorders>
              <w:top w:val="nil"/>
              <w:left w:val="nil"/>
              <w:bottom w:val="nil"/>
              <w:right w:val="nil"/>
            </w:tcBorders>
            <w:shd w:val="clear" w:color="auto" w:fill="auto"/>
            <w:vAlign w:val="center"/>
          </w:tcPr>
          <w:p w14:paraId="59EDB6F3" w14:textId="011D0E2F" w:rsidR="00742AD7" w:rsidRPr="00630D92" w:rsidRDefault="00742AD7" w:rsidP="00742AD7">
            <w:pPr>
              <w:tabs>
                <w:tab w:val="right" w:pos="1202"/>
              </w:tabs>
              <w:spacing w:after="0" w:line="280" w:lineRule="exact"/>
              <w:jc w:val="right"/>
              <w:outlineLvl w:val="0"/>
              <w:rPr>
                <w:rFonts w:ascii="Calibri" w:eastAsia="Calibri" w:hAnsi="Calibri" w:cs="Times New Roman"/>
                <w:sz w:val="19"/>
                <w:szCs w:val="19"/>
                <w:lang w:val="en-US"/>
              </w:rPr>
            </w:pPr>
            <w:r w:rsidRPr="00630D92">
              <w:rPr>
                <w:rFonts w:ascii="Calibri" w:hAnsi="Calibri" w:cs="Calibri"/>
                <w:sz w:val="19"/>
                <w:szCs w:val="19"/>
              </w:rPr>
              <w:t>1</w:t>
            </w:r>
            <w:r w:rsidR="00630D92" w:rsidRPr="00630D92">
              <w:rPr>
                <w:rFonts w:ascii="Calibri" w:hAnsi="Calibri" w:cs="Calibri"/>
                <w:sz w:val="19"/>
                <w:szCs w:val="19"/>
              </w:rPr>
              <w:t>,</w:t>
            </w:r>
            <w:r w:rsidRPr="00630D92">
              <w:rPr>
                <w:rFonts w:ascii="Calibri" w:hAnsi="Calibri" w:cs="Calibri"/>
                <w:sz w:val="19"/>
                <w:szCs w:val="19"/>
              </w:rPr>
              <w:t>504</w:t>
            </w:r>
          </w:p>
        </w:tc>
        <w:tc>
          <w:tcPr>
            <w:tcW w:w="719" w:type="pct"/>
            <w:tcBorders>
              <w:top w:val="nil"/>
              <w:left w:val="nil"/>
              <w:bottom w:val="nil"/>
              <w:right w:val="nil"/>
            </w:tcBorders>
            <w:shd w:val="clear" w:color="auto" w:fill="auto"/>
            <w:vAlign w:val="center"/>
          </w:tcPr>
          <w:p w14:paraId="0F905E86" w14:textId="5E3D587B" w:rsidR="00742AD7" w:rsidRPr="00630D92" w:rsidRDefault="00742AD7" w:rsidP="00742AD7">
            <w:pPr>
              <w:tabs>
                <w:tab w:val="right" w:pos="1202"/>
              </w:tabs>
              <w:spacing w:after="0" w:line="280" w:lineRule="exact"/>
              <w:jc w:val="right"/>
              <w:outlineLvl w:val="0"/>
              <w:rPr>
                <w:rFonts w:ascii="Calibri" w:eastAsia="Calibri" w:hAnsi="Calibri" w:cs="Times New Roman"/>
                <w:sz w:val="19"/>
                <w:szCs w:val="19"/>
                <w:lang w:val="en-US"/>
              </w:rPr>
            </w:pPr>
            <w:r w:rsidRPr="00630D92">
              <w:rPr>
                <w:rFonts w:ascii="Calibri" w:hAnsi="Calibri" w:cs="Calibri"/>
                <w:sz w:val="19"/>
                <w:szCs w:val="19"/>
              </w:rPr>
              <w:t>-</w:t>
            </w:r>
          </w:p>
        </w:tc>
        <w:tc>
          <w:tcPr>
            <w:tcW w:w="720" w:type="pct"/>
            <w:tcBorders>
              <w:top w:val="nil"/>
              <w:left w:val="nil"/>
              <w:bottom w:val="nil"/>
              <w:right w:val="nil"/>
            </w:tcBorders>
            <w:shd w:val="clear" w:color="auto" w:fill="auto"/>
            <w:vAlign w:val="center"/>
          </w:tcPr>
          <w:p w14:paraId="3086F0C7" w14:textId="7D43817F" w:rsidR="00742AD7" w:rsidRPr="00630D92" w:rsidRDefault="00742AD7" w:rsidP="00742AD7">
            <w:pPr>
              <w:tabs>
                <w:tab w:val="right" w:pos="1202"/>
              </w:tabs>
              <w:spacing w:after="0" w:line="280" w:lineRule="exact"/>
              <w:jc w:val="right"/>
              <w:outlineLvl w:val="0"/>
              <w:rPr>
                <w:rFonts w:ascii="Calibri" w:eastAsia="Calibri" w:hAnsi="Calibri" w:cs="Times New Roman"/>
                <w:sz w:val="19"/>
                <w:szCs w:val="19"/>
                <w:lang w:val="en-US"/>
              </w:rPr>
            </w:pPr>
            <w:r w:rsidRPr="00630D92">
              <w:rPr>
                <w:rFonts w:ascii="Calibri" w:hAnsi="Calibri" w:cs="Calibri"/>
                <w:sz w:val="19"/>
                <w:szCs w:val="19"/>
              </w:rPr>
              <w:t>3</w:t>
            </w:r>
            <w:r w:rsidR="00630D92" w:rsidRPr="00630D92">
              <w:rPr>
                <w:rFonts w:ascii="Calibri" w:hAnsi="Calibri" w:cs="Calibri"/>
                <w:sz w:val="19"/>
                <w:szCs w:val="19"/>
              </w:rPr>
              <w:t>,</w:t>
            </w:r>
            <w:r w:rsidRPr="00630D92">
              <w:rPr>
                <w:rFonts w:ascii="Calibri" w:hAnsi="Calibri" w:cs="Calibri"/>
                <w:sz w:val="19"/>
                <w:szCs w:val="19"/>
              </w:rPr>
              <w:t>152</w:t>
            </w:r>
            <w:r w:rsidR="00630D92" w:rsidRPr="00630D92">
              <w:rPr>
                <w:rFonts w:ascii="Calibri" w:hAnsi="Calibri" w:cs="Calibri"/>
                <w:sz w:val="19"/>
                <w:szCs w:val="19"/>
              </w:rPr>
              <w:t>,</w:t>
            </w:r>
            <w:r w:rsidRPr="00630D92">
              <w:rPr>
                <w:rFonts w:ascii="Calibri" w:hAnsi="Calibri" w:cs="Calibri"/>
                <w:sz w:val="19"/>
                <w:szCs w:val="19"/>
              </w:rPr>
              <w:t>504</w:t>
            </w:r>
          </w:p>
        </w:tc>
      </w:tr>
      <w:tr w:rsidR="00742AD7" w:rsidRPr="00630D92" w14:paraId="37A4B2FF" w14:textId="77777777" w:rsidTr="00A1123E">
        <w:trPr>
          <w:cantSplit/>
          <w:trHeight w:val="250"/>
          <w:tblHeader/>
        </w:trPr>
        <w:tc>
          <w:tcPr>
            <w:tcW w:w="2123" w:type="pct"/>
            <w:vAlign w:val="bottom"/>
          </w:tcPr>
          <w:p w14:paraId="19118C75" w14:textId="77777777" w:rsidR="00742AD7" w:rsidRPr="00630D92" w:rsidRDefault="00742AD7" w:rsidP="00742AD7">
            <w:pPr>
              <w:tabs>
                <w:tab w:val="right" w:pos="1202"/>
              </w:tabs>
              <w:spacing w:after="0" w:line="301" w:lineRule="exact"/>
              <w:outlineLvl w:val="0"/>
              <w:rPr>
                <w:rFonts w:ascii="Calibri" w:eastAsia="Times New Roman" w:hAnsi="Calibri" w:cs="Arial"/>
                <w:sz w:val="19"/>
                <w:szCs w:val="19"/>
                <w:lang w:val="en-US"/>
              </w:rPr>
            </w:pPr>
            <w:bookmarkStart w:id="727" w:name="_Toc4060728"/>
            <w:r w:rsidRPr="00630D92">
              <w:rPr>
                <w:rFonts w:ascii="Calibri" w:eastAsia="Times New Roman" w:hAnsi="Calibri" w:cs="Arial"/>
                <w:sz w:val="19"/>
                <w:szCs w:val="19"/>
                <w:lang w:val="en-US"/>
              </w:rPr>
              <w:t>Other assets</w:t>
            </w:r>
            <w:bookmarkEnd w:id="727"/>
          </w:p>
        </w:tc>
        <w:tc>
          <w:tcPr>
            <w:tcW w:w="719" w:type="pct"/>
            <w:tcBorders>
              <w:top w:val="nil"/>
              <w:left w:val="nil"/>
              <w:bottom w:val="nil"/>
              <w:right w:val="nil"/>
            </w:tcBorders>
            <w:shd w:val="clear" w:color="auto" w:fill="auto"/>
            <w:vAlign w:val="bottom"/>
          </w:tcPr>
          <w:p w14:paraId="5146197A" w14:textId="233EADFB" w:rsidR="00742AD7" w:rsidRPr="00630D92" w:rsidRDefault="00742AD7" w:rsidP="00742AD7">
            <w:pPr>
              <w:tabs>
                <w:tab w:val="right" w:pos="1202"/>
              </w:tabs>
              <w:spacing w:after="0" w:line="280" w:lineRule="exact"/>
              <w:jc w:val="right"/>
              <w:outlineLvl w:val="0"/>
              <w:rPr>
                <w:rFonts w:ascii="Calibri" w:eastAsia="Calibri" w:hAnsi="Calibri" w:cs="Times New Roman"/>
                <w:sz w:val="19"/>
                <w:szCs w:val="19"/>
                <w:lang w:val="en-US"/>
              </w:rPr>
            </w:pPr>
            <w:r w:rsidRPr="00630D92">
              <w:rPr>
                <w:rFonts w:cstheme="minorHAnsi"/>
                <w:color w:val="000000" w:themeColor="text1"/>
                <w:sz w:val="19"/>
                <w:szCs w:val="19"/>
              </w:rPr>
              <w:t>2</w:t>
            </w:r>
            <w:r w:rsidR="00630D92" w:rsidRPr="00630D92">
              <w:rPr>
                <w:rFonts w:cstheme="minorHAnsi"/>
                <w:color w:val="000000" w:themeColor="text1"/>
                <w:sz w:val="19"/>
                <w:szCs w:val="19"/>
              </w:rPr>
              <w:t>,</w:t>
            </w:r>
            <w:r w:rsidRPr="00630D92">
              <w:rPr>
                <w:rFonts w:cstheme="minorHAnsi"/>
                <w:color w:val="000000" w:themeColor="text1"/>
                <w:sz w:val="19"/>
                <w:szCs w:val="19"/>
              </w:rPr>
              <w:t>993</w:t>
            </w:r>
          </w:p>
        </w:tc>
        <w:tc>
          <w:tcPr>
            <w:tcW w:w="719" w:type="pct"/>
            <w:tcBorders>
              <w:top w:val="nil"/>
              <w:left w:val="nil"/>
              <w:bottom w:val="nil"/>
              <w:right w:val="nil"/>
            </w:tcBorders>
            <w:shd w:val="clear" w:color="auto" w:fill="auto"/>
            <w:vAlign w:val="bottom"/>
          </w:tcPr>
          <w:p w14:paraId="094C4746" w14:textId="088A438F" w:rsidR="00742AD7" w:rsidRPr="00630D92" w:rsidRDefault="00742AD7" w:rsidP="00742AD7">
            <w:pPr>
              <w:tabs>
                <w:tab w:val="right" w:pos="1202"/>
              </w:tabs>
              <w:spacing w:after="0" w:line="280" w:lineRule="exact"/>
              <w:jc w:val="right"/>
              <w:outlineLvl w:val="0"/>
              <w:rPr>
                <w:rFonts w:ascii="Calibri" w:eastAsia="Calibri" w:hAnsi="Calibri" w:cs="Times New Roman"/>
                <w:sz w:val="19"/>
                <w:szCs w:val="19"/>
                <w:lang w:val="en-US"/>
              </w:rPr>
            </w:pPr>
            <w:r w:rsidRPr="00630D92">
              <w:rPr>
                <w:rFonts w:cstheme="minorHAnsi"/>
                <w:color w:val="000000" w:themeColor="text1"/>
                <w:sz w:val="19"/>
                <w:szCs w:val="19"/>
              </w:rPr>
              <w:t>13</w:t>
            </w:r>
          </w:p>
        </w:tc>
        <w:tc>
          <w:tcPr>
            <w:tcW w:w="719" w:type="pct"/>
            <w:tcBorders>
              <w:top w:val="nil"/>
              <w:left w:val="nil"/>
              <w:bottom w:val="nil"/>
              <w:right w:val="nil"/>
            </w:tcBorders>
            <w:shd w:val="clear" w:color="auto" w:fill="auto"/>
            <w:vAlign w:val="bottom"/>
          </w:tcPr>
          <w:p w14:paraId="4E56F5C3" w14:textId="3B4E71C2" w:rsidR="00742AD7" w:rsidRPr="00630D92" w:rsidRDefault="00742AD7" w:rsidP="00742AD7">
            <w:pPr>
              <w:tabs>
                <w:tab w:val="right" w:pos="1202"/>
              </w:tabs>
              <w:spacing w:after="0" w:line="280" w:lineRule="exact"/>
              <w:jc w:val="right"/>
              <w:outlineLvl w:val="0"/>
              <w:rPr>
                <w:rFonts w:ascii="Calibri" w:eastAsia="Calibri" w:hAnsi="Calibri" w:cs="Times New Roman"/>
                <w:sz w:val="19"/>
                <w:szCs w:val="19"/>
                <w:lang w:val="en-US"/>
              </w:rPr>
            </w:pPr>
            <w:r w:rsidRPr="00630D92">
              <w:rPr>
                <w:rFonts w:cstheme="minorHAnsi"/>
                <w:color w:val="000000" w:themeColor="text1"/>
                <w:sz w:val="19"/>
                <w:szCs w:val="19"/>
              </w:rPr>
              <w:t>2</w:t>
            </w:r>
          </w:p>
        </w:tc>
        <w:tc>
          <w:tcPr>
            <w:tcW w:w="720" w:type="pct"/>
            <w:tcBorders>
              <w:top w:val="nil"/>
              <w:left w:val="nil"/>
              <w:bottom w:val="nil"/>
              <w:right w:val="nil"/>
            </w:tcBorders>
            <w:shd w:val="clear" w:color="auto" w:fill="auto"/>
            <w:vAlign w:val="bottom"/>
          </w:tcPr>
          <w:p w14:paraId="791F0F8E" w14:textId="79CEA378" w:rsidR="00742AD7" w:rsidRPr="00630D92" w:rsidRDefault="00742AD7" w:rsidP="00742AD7">
            <w:pPr>
              <w:tabs>
                <w:tab w:val="right" w:pos="1202"/>
              </w:tabs>
              <w:spacing w:after="0" w:line="280" w:lineRule="exact"/>
              <w:jc w:val="right"/>
              <w:outlineLvl w:val="0"/>
              <w:rPr>
                <w:rFonts w:ascii="Calibri" w:eastAsia="Calibri" w:hAnsi="Calibri" w:cs="Times New Roman"/>
                <w:sz w:val="19"/>
                <w:szCs w:val="19"/>
                <w:lang w:val="en-US"/>
              </w:rPr>
            </w:pPr>
            <w:r w:rsidRPr="00630D92">
              <w:rPr>
                <w:rFonts w:cstheme="minorHAnsi"/>
                <w:color w:val="000000" w:themeColor="text1"/>
                <w:sz w:val="19"/>
                <w:szCs w:val="19"/>
              </w:rPr>
              <w:t>3</w:t>
            </w:r>
            <w:r w:rsidR="00630D92" w:rsidRPr="00630D92">
              <w:rPr>
                <w:rFonts w:cstheme="minorHAnsi"/>
                <w:color w:val="000000" w:themeColor="text1"/>
                <w:sz w:val="19"/>
                <w:szCs w:val="19"/>
              </w:rPr>
              <w:t>,</w:t>
            </w:r>
            <w:r w:rsidRPr="00630D92">
              <w:rPr>
                <w:rFonts w:cstheme="minorHAnsi"/>
                <w:color w:val="000000" w:themeColor="text1"/>
                <w:sz w:val="19"/>
                <w:szCs w:val="19"/>
              </w:rPr>
              <w:t>008</w:t>
            </w:r>
          </w:p>
        </w:tc>
      </w:tr>
      <w:tr w:rsidR="00742AD7" w:rsidRPr="00630D92" w14:paraId="3D9798D1" w14:textId="77777777" w:rsidTr="00A1123E">
        <w:trPr>
          <w:cantSplit/>
          <w:trHeight w:val="249"/>
          <w:tblHeader/>
        </w:trPr>
        <w:tc>
          <w:tcPr>
            <w:tcW w:w="2123" w:type="pct"/>
            <w:vAlign w:val="bottom"/>
          </w:tcPr>
          <w:p w14:paraId="4473B694" w14:textId="77777777" w:rsidR="00742AD7" w:rsidRPr="00630D92" w:rsidRDefault="00742AD7" w:rsidP="00742AD7">
            <w:pPr>
              <w:tabs>
                <w:tab w:val="right" w:pos="1202"/>
              </w:tabs>
              <w:spacing w:after="0" w:line="301" w:lineRule="exact"/>
              <w:outlineLvl w:val="0"/>
              <w:rPr>
                <w:rFonts w:ascii="Calibri" w:eastAsia="Times New Roman" w:hAnsi="Calibri" w:cs="Arial"/>
                <w:b/>
                <w:sz w:val="19"/>
                <w:szCs w:val="19"/>
                <w:lang w:val="en-US"/>
              </w:rPr>
            </w:pPr>
            <w:bookmarkStart w:id="728" w:name="_Toc4060733"/>
            <w:r w:rsidRPr="00630D92">
              <w:rPr>
                <w:rFonts w:ascii="Calibri" w:eastAsia="Times New Roman" w:hAnsi="Calibri" w:cs="Arial"/>
                <w:b/>
                <w:sz w:val="19"/>
                <w:szCs w:val="19"/>
                <w:lang w:val="en-US"/>
              </w:rPr>
              <w:t>Total</w:t>
            </w:r>
            <w:bookmarkEnd w:id="728"/>
            <w:r w:rsidRPr="00630D92">
              <w:rPr>
                <w:rFonts w:ascii="Calibri" w:eastAsia="Times New Roman" w:hAnsi="Calibri" w:cs="Arial"/>
                <w:b/>
                <w:sz w:val="19"/>
                <w:szCs w:val="19"/>
                <w:lang w:val="en-US"/>
              </w:rPr>
              <w:t xml:space="preserve"> </w:t>
            </w:r>
          </w:p>
        </w:tc>
        <w:tc>
          <w:tcPr>
            <w:tcW w:w="719" w:type="pct"/>
            <w:tcBorders>
              <w:top w:val="single" w:sz="8" w:space="0" w:color="auto"/>
              <w:left w:val="nil"/>
              <w:bottom w:val="single" w:sz="8" w:space="0" w:color="auto"/>
              <w:right w:val="nil"/>
            </w:tcBorders>
            <w:shd w:val="clear" w:color="auto" w:fill="auto"/>
            <w:vAlign w:val="bottom"/>
          </w:tcPr>
          <w:p w14:paraId="263032B8" w14:textId="6518F6B0" w:rsidR="00742AD7" w:rsidRPr="00630D92" w:rsidRDefault="00742AD7" w:rsidP="00742AD7">
            <w:pPr>
              <w:tabs>
                <w:tab w:val="right" w:pos="1202"/>
              </w:tabs>
              <w:spacing w:after="0" w:line="280" w:lineRule="exact"/>
              <w:jc w:val="right"/>
              <w:outlineLvl w:val="0"/>
              <w:rPr>
                <w:rFonts w:ascii="Calibri" w:eastAsia="Calibri" w:hAnsi="Calibri" w:cs="Times New Roman"/>
                <w:b/>
                <w:bCs/>
                <w:sz w:val="19"/>
                <w:szCs w:val="19"/>
                <w:lang w:val="en-US"/>
              </w:rPr>
            </w:pPr>
            <w:r w:rsidRPr="00630D92">
              <w:rPr>
                <w:rFonts w:cstheme="minorHAnsi"/>
                <w:b/>
                <w:bCs/>
                <w:color w:val="000000" w:themeColor="text1"/>
                <w:sz w:val="19"/>
                <w:szCs w:val="19"/>
              </w:rPr>
              <w:t>26</w:t>
            </w:r>
            <w:r w:rsidR="00630D92" w:rsidRPr="00630D92">
              <w:rPr>
                <w:rFonts w:cstheme="minorHAnsi"/>
                <w:b/>
                <w:bCs/>
                <w:color w:val="000000" w:themeColor="text1"/>
                <w:sz w:val="19"/>
                <w:szCs w:val="19"/>
              </w:rPr>
              <w:t>,</w:t>
            </w:r>
            <w:r w:rsidRPr="00630D92">
              <w:rPr>
                <w:rFonts w:cstheme="minorHAnsi"/>
                <w:b/>
                <w:bCs/>
                <w:color w:val="000000" w:themeColor="text1"/>
                <w:sz w:val="19"/>
                <w:szCs w:val="19"/>
              </w:rPr>
              <w:t>936</w:t>
            </w:r>
            <w:r w:rsidR="00630D92" w:rsidRPr="00630D92">
              <w:rPr>
                <w:rFonts w:cstheme="minorHAnsi"/>
                <w:b/>
                <w:bCs/>
                <w:color w:val="000000" w:themeColor="text1"/>
                <w:sz w:val="19"/>
                <w:szCs w:val="19"/>
              </w:rPr>
              <w:t>,</w:t>
            </w:r>
            <w:r w:rsidRPr="00630D92">
              <w:rPr>
                <w:rFonts w:cstheme="minorHAnsi"/>
                <w:b/>
                <w:bCs/>
                <w:color w:val="000000" w:themeColor="text1"/>
                <w:sz w:val="19"/>
                <w:szCs w:val="19"/>
              </w:rPr>
              <w:t>378</w:t>
            </w:r>
          </w:p>
        </w:tc>
        <w:tc>
          <w:tcPr>
            <w:tcW w:w="719" w:type="pct"/>
            <w:tcBorders>
              <w:top w:val="single" w:sz="8" w:space="0" w:color="auto"/>
              <w:left w:val="nil"/>
              <w:bottom w:val="single" w:sz="8" w:space="0" w:color="auto"/>
              <w:right w:val="nil"/>
            </w:tcBorders>
            <w:shd w:val="clear" w:color="auto" w:fill="auto"/>
            <w:vAlign w:val="bottom"/>
          </w:tcPr>
          <w:p w14:paraId="2216865A" w14:textId="26F73259" w:rsidR="00742AD7" w:rsidRPr="00630D92" w:rsidRDefault="00742AD7" w:rsidP="00742AD7">
            <w:pPr>
              <w:tabs>
                <w:tab w:val="right" w:pos="1202"/>
              </w:tabs>
              <w:spacing w:after="0" w:line="280" w:lineRule="exact"/>
              <w:jc w:val="right"/>
              <w:outlineLvl w:val="0"/>
              <w:rPr>
                <w:rFonts w:ascii="Calibri" w:eastAsia="Calibri" w:hAnsi="Calibri" w:cs="Times New Roman"/>
                <w:b/>
                <w:bCs/>
                <w:sz w:val="19"/>
                <w:szCs w:val="19"/>
                <w:lang w:val="en-US"/>
              </w:rPr>
            </w:pPr>
            <w:r w:rsidRPr="00630D92">
              <w:rPr>
                <w:rFonts w:cstheme="minorHAnsi"/>
                <w:b/>
                <w:bCs/>
                <w:color w:val="000000" w:themeColor="text1"/>
                <w:sz w:val="19"/>
                <w:szCs w:val="19"/>
              </w:rPr>
              <w:t>70</w:t>
            </w:r>
            <w:r w:rsidR="00630D92" w:rsidRPr="00630D92">
              <w:rPr>
                <w:rFonts w:cstheme="minorHAnsi"/>
                <w:b/>
                <w:bCs/>
                <w:color w:val="000000" w:themeColor="text1"/>
                <w:sz w:val="19"/>
                <w:szCs w:val="19"/>
              </w:rPr>
              <w:t>,</w:t>
            </w:r>
            <w:r w:rsidRPr="00630D92">
              <w:rPr>
                <w:rFonts w:cstheme="minorHAnsi"/>
                <w:b/>
                <w:bCs/>
                <w:color w:val="000000" w:themeColor="text1"/>
                <w:sz w:val="19"/>
                <w:szCs w:val="19"/>
              </w:rPr>
              <w:t>879</w:t>
            </w:r>
          </w:p>
        </w:tc>
        <w:tc>
          <w:tcPr>
            <w:tcW w:w="719" w:type="pct"/>
            <w:tcBorders>
              <w:top w:val="single" w:sz="8" w:space="0" w:color="auto"/>
              <w:left w:val="nil"/>
              <w:bottom w:val="single" w:sz="8" w:space="0" w:color="auto"/>
              <w:right w:val="nil"/>
            </w:tcBorders>
            <w:shd w:val="clear" w:color="auto" w:fill="auto"/>
            <w:vAlign w:val="bottom"/>
          </w:tcPr>
          <w:p w14:paraId="552CE570" w14:textId="3C4CC071" w:rsidR="00742AD7" w:rsidRPr="00630D92" w:rsidRDefault="00742AD7" w:rsidP="00742AD7">
            <w:pPr>
              <w:tabs>
                <w:tab w:val="right" w:pos="1202"/>
              </w:tabs>
              <w:spacing w:after="0" w:line="280" w:lineRule="exact"/>
              <w:jc w:val="right"/>
              <w:outlineLvl w:val="0"/>
              <w:rPr>
                <w:rFonts w:ascii="Calibri" w:eastAsia="Calibri" w:hAnsi="Calibri" w:cs="Times New Roman"/>
                <w:b/>
                <w:bCs/>
                <w:sz w:val="19"/>
                <w:szCs w:val="19"/>
                <w:lang w:val="en-US"/>
              </w:rPr>
            </w:pPr>
            <w:r w:rsidRPr="00630D92">
              <w:rPr>
                <w:rFonts w:cstheme="minorHAnsi"/>
                <w:b/>
                <w:bCs/>
                <w:color w:val="000000" w:themeColor="text1"/>
                <w:sz w:val="19"/>
                <w:szCs w:val="19"/>
              </w:rPr>
              <w:t>428</w:t>
            </w:r>
            <w:r w:rsidR="00630D92" w:rsidRPr="00630D92">
              <w:rPr>
                <w:rFonts w:cstheme="minorHAnsi"/>
                <w:b/>
                <w:bCs/>
                <w:color w:val="000000" w:themeColor="text1"/>
                <w:sz w:val="19"/>
                <w:szCs w:val="19"/>
              </w:rPr>
              <w:t>,</w:t>
            </w:r>
            <w:r w:rsidRPr="00630D92">
              <w:rPr>
                <w:rFonts w:cstheme="minorHAnsi"/>
                <w:b/>
                <w:bCs/>
                <w:color w:val="000000" w:themeColor="text1"/>
                <w:sz w:val="19"/>
                <w:szCs w:val="19"/>
              </w:rPr>
              <w:t>720</w:t>
            </w:r>
          </w:p>
        </w:tc>
        <w:tc>
          <w:tcPr>
            <w:tcW w:w="720" w:type="pct"/>
            <w:tcBorders>
              <w:top w:val="single" w:sz="8" w:space="0" w:color="auto"/>
              <w:left w:val="nil"/>
              <w:bottom w:val="single" w:sz="8" w:space="0" w:color="auto"/>
              <w:right w:val="nil"/>
            </w:tcBorders>
            <w:shd w:val="clear" w:color="auto" w:fill="auto"/>
            <w:vAlign w:val="bottom"/>
          </w:tcPr>
          <w:p w14:paraId="366AE31D" w14:textId="472B6467" w:rsidR="00742AD7" w:rsidRPr="00630D92" w:rsidRDefault="00742AD7" w:rsidP="00742AD7">
            <w:pPr>
              <w:tabs>
                <w:tab w:val="right" w:pos="1202"/>
              </w:tabs>
              <w:spacing w:after="0" w:line="280" w:lineRule="exact"/>
              <w:jc w:val="right"/>
              <w:outlineLvl w:val="0"/>
              <w:rPr>
                <w:rFonts w:ascii="Calibri" w:eastAsia="Calibri" w:hAnsi="Calibri" w:cs="Times New Roman"/>
                <w:b/>
                <w:bCs/>
                <w:sz w:val="19"/>
                <w:szCs w:val="19"/>
                <w:lang w:val="en-US"/>
              </w:rPr>
            </w:pPr>
            <w:r w:rsidRPr="00630D92">
              <w:rPr>
                <w:rFonts w:cstheme="minorHAnsi"/>
                <w:b/>
                <w:bCs/>
                <w:color w:val="000000" w:themeColor="text1"/>
                <w:sz w:val="19"/>
                <w:szCs w:val="19"/>
              </w:rPr>
              <w:t>27</w:t>
            </w:r>
            <w:r w:rsidR="00630D92" w:rsidRPr="00630D92">
              <w:rPr>
                <w:rFonts w:cstheme="minorHAnsi"/>
                <w:b/>
                <w:bCs/>
                <w:color w:val="000000" w:themeColor="text1"/>
                <w:sz w:val="19"/>
                <w:szCs w:val="19"/>
              </w:rPr>
              <w:t>,</w:t>
            </w:r>
            <w:r w:rsidRPr="00630D92">
              <w:rPr>
                <w:rFonts w:cstheme="minorHAnsi"/>
                <w:b/>
                <w:bCs/>
                <w:color w:val="000000" w:themeColor="text1"/>
                <w:sz w:val="19"/>
                <w:szCs w:val="19"/>
              </w:rPr>
              <w:t>435</w:t>
            </w:r>
            <w:r w:rsidR="00630D92" w:rsidRPr="00630D92">
              <w:rPr>
                <w:rFonts w:cstheme="minorHAnsi"/>
                <w:b/>
                <w:bCs/>
                <w:color w:val="000000" w:themeColor="text1"/>
                <w:sz w:val="19"/>
                <w:szCs w:val="19"/>
              </w:rPr>
              <w:t>,</w:t>
            </w:r>
            <w:r w:rsidRPr="00630D92">
              <w:rPr>
                <w:rFonts w:cstheme="minorHAnsi"/>
                <w:b/>
                <w:bCs/>
                <w:color w:val="000000" w:themeColor="text1"/>
                <w:sz w:val="19"/>
                <w:szCs w:val="19"/>
              </w:rPr>
              <w:t>977</w:t>
            </w:r>
          </w:p>
        </w:tc>
      </w:tr>
      <w:tr w:rsidR="00742AD7" w:rsidRPr="00630D92" w14:paraId="2736B07D" w14:textId="77777777" w:rsidTr="00A1123E">
        <w:tblPrEx>
          <w:tblCellMar>
            <w:left w:w="31" w:type="dxa"/>
            <w:right w:w="31" w:type="dxa"/>
          </w:tblCellMar>
        </w:tblPrEx>
        <w:trPr>
          <w:cantSplit/>
          <w:trHeight w:val="250"/>
          <w:tblHeader/>
        </w:trPr>
        <w:tc>
          <w:tcPr>
            <w:tcW w:w="2123" w:type="pct"/>
            <w:vAlign w:val="bottom"/>
          </w:tcPr>
          <w:p w14:paraId="7BCE5620" w14:textId="77777777" w:rsidR="00742AD7" w:rsidRPr="00630D92" w:rsidRDefault="00742AD7" w:rsidP="00742AD7">
            <w:pPr>
              <w:tabs>
                <w:tab w:val="right" w:pos="1202"/>
              </w:tabs>
              <w:spacing w:after="0" w:line="301" w:lineRule="exact"/>
              <w:outlineLvl w:val="0"/>
              <w:rPr>
                <w:rFonts w:ascii="Calibri" w:eastAsia="Times New Roman" w:hAnsi="Calibri" w:cs="Arial"/>
                <w:sz w:val="19"/>
                <w:szCs w:val="19"/>
                <w:lang w:val="en-US"/>
              </w:rPr>
            </w:pPr>
          </w:p>
        </w:tc>
        <w:tc>
          <w:tcPr>
            <w:tcW w:w="719" w:type="pct"/>
            <w:tcBorders>
              <w:top w:val="single" w:sz="12" w:space="0" w:color="auto"/>
            </w:tcBorders>
            <w:vAlign w:val="bottom"/>
          </w:tcPr>
          <w:p w14:paraId="35CAFF6A" w14:textId="77777777" w:rsidR="00742AD7" w:rsidRPr="00630D92" w:rsidRDefault="00742AD7" w:rsidP="00742AD7">
            <w:pPr>
              <w:tabs>
                <w:tab w:val="right" w:pos="1202"/>
              </w:tabs>
              <w:spacing w:after="0" w:line="280" w:lineRule="exact"/>
              <w:jc w:val="right"/>
              <w:outlineLvl w:val="0"/>
              <w:rPr>
                <w:rFonts w:ascii="Calibri" w:eastAsia="Calibri" w:hAnsi="Calibri" w:cs="Times New Roman"/>
                <w:sz w:val="19"/>
                <w:szCs w:val="19"/>
                <w:lang w:val="en-US"/>
              </w:rPr>
            </w:pPr>
          </w:p>
        </w:tc>
        <w:tc>
          <w:tcPr>
            <w:tcW w:w="719" w:type="pct"/>
            <w:tcBorders>
              <w:top w:val="single" w:sz="12" w:space="0" w:color="auto"/>
            </w:tcBorders>
            <w:vAlign w:val="bottom"/>
          </w:tcPr>
          <w:p w14:paraId="47B54DAA" w14:textId="77777777" w:rsidR="00742AD7" w:rsidRPr="00630D92" w:rsidRDefault="00742AD7" w:rsidP="00742AD7">
            <w:pPr>
              <w:tabs>
                <w:tab w:val="right" w:pos="1202"/>
              </w:tabs>
              <w:spacing w:after="0" w:line="280" w:lineRule="exact"/>
              <w:jc w:val="right"/>
              <w:outlineLvl w:val="0"/>
              <w:rPr>
                <w:rFonts w:ascii="Calibri" w:eastAsia="Calibri" w:hAnsi="Calibri" w:cs="Times New Roman"/>
                <w:sz w:val="19"/>
                <w:szCs w:val="19"/>
                <w:lang w:val="en-US"/>
              </w:rPr>
            </w:pPr>
          </w:p>
        </w:tc>
        <w:tc>
          <w:tcPr>
            <w:tcW w:w="719" w:type="pct"/>
            <w:tcBorders>
              <w:top w:val="single" w:sz="12" w:space="0" w:color="auto"/>
            </w:tcBorders>
            <w:vAlign w:val="bottom"/>
          </w:tcPr>
          <w:p w14:paraId="11714987" w14:textId="77777777" w:rsidR="00742AD7" w:rsidRPr="00630D92" w:rsidRDefault="00742AD7" w:rsidP="00742AD7">
            <w:pPr>
              <w:tabs>
                <w:tab w:val="right" w:pos="1202"/>
              </w:tabs>
              <w:spacing w:after="0" w:line="280" w:lineRule="exact"/>
              <w:jc w:val="right"/>
              <w:outlineLvl w:val="0"/>
              <w:rPr>
                <w:rFonts w:ascii="Calibri" w:eastAsia="Calibri" w:hAnsi="Calibri" w:cs="Times New Roman"/>
                <w:sz w:val="19"/>
                <w:szCs w:val="19"/>
                <w:lang w:val="en-US"/>
              </w:rPr>
            </w:pPr>
          </w:p>
        </w:tc>
        <w:tc>
          <w:tcPr>
            <w:tcW w:w="720" w:type="pct"/>
            <w:tcBorders>
              <w:top w:val="single" w:sz="12" w:space="0" w:color="auto"/>
            </w:tcBorders>
            <w:vAlign w:val="bottom"/>
          </w:tcPr>
          <w:p w14:paraId="421E808E" w14:textId="77777777" w:rsidR="00742AD7" w:rsidRPr="00630D92" w:rsidRDefault="00742AD7" w:rsidP="00742AD7">
            <w:pPr>
              <w:tabs>
                <w:tab w:val="right" w:pos="1202"/>
              </w:tabs>
              <w:spacing w:after="0" w:line="280" w:lineRule="exact"/>
              <w:jc w:val="right"/>
              <w:outlineLvl w:val="0"/>
              <w:rPr>
                <w:rFonts w:ascii="Calibri" w:eastAsia="Calibri" w:hAnsi="Calibri" w:cs="Times New Roman"/>
                <w:sz w:val="19"/>
                <w:szCs w:val="19"/>
                <w:lang w:val="en-US"/>
              </w:rPr>
            </w:pPr>
          </w:p>
        </w:tc>
      </w:tr>
      <w:tr w:rsidR="00742AD7" w:rsidRPr="00630D92" w14:paraId="46D5DB6B" w14:textId="77777777" w:rsidTr="00A1123E">
        <w:tblPrEx>
          <w:tblCellMar>
            <w:left w:w="31" w:type="dxa"/>
            <w:right w:w="31" w:type="dxa"/>
          </w:tblCellMar>
        </w:tblPrEx>
        <w:trPr>
          <w:cantSplit/>
          <w:trHeight w:val="312"/>
          <w:tblHeader/>
        </w:trPr>
        <w:tc>
          <w:tcPr>
            <w:tcW w:w="2123" w:type="pct"/>
            <w:vAlign w:val="bottom"/>
          </w:tcPr>
          <w:p w14:paraId="781D6A46" w14:textId="77777777" w:rsidR="00742AD7" w:rsidRPr="00630D92" w:rsidRDefault="00742AD7" w:rsidP="00742AD7">
            <w:pPr>
              <w:tabs>
                <w:tab w:val="right" w:pos="1202"/>
              </w:tabs>
              <w:spacing w:after="0" w:line="301" w:lineRule="exact"/>
              <w:outlineLvl w:val="0"/>
              <w:rPr>
                <w:rFonts w:ascii="Calibri" w:eastAsia="Times New Roman" w:hAnsi="Calibri" w:cs="Arial"/>
                <w:b/>
                <w:sz w:val="19"/>
                <w:szCs w:val="19"/>
                <w:lang w:val="en-US"/>
              </w:rPr>
            </w:pPr>
            <w:bookmarkStart w:id="729" w:name="_Toc4060738"/>
            <w:r w:rsidRPr="00630D92">
              <w:rPr>
                <w:rFonts w:ascii="Calibri" w:eastAsia="Times New Roman" w:hAnsi="Calibri" w:cs="Arial"/>
                <w:b/>
                <w:sz w:val="19"/>
                <w:szCs w:val="19"/>
                <w:lang w:val="en-US"/>
              </w:rPr>
              <w:t>Guarantees and commitments</w:t>
            </w:r>
            <w:bookmarkEnd w:id="729"/>
          </w:p>
        </w:tc>
        <w:tc>
          <w:tcPr>
            <w:tcW w:w="719" w:type="pct"/>
            <w:vAlign w:val="bottom"/>
          </w:tcPr>
          <w:p w14:paraId="1B82E87B" w14:textId="77777777" w:rsidR="00742AD7" w:rsidRPr="00630D92" w:rsidRDefault="00742AD7" w:rsidP="00742AD7">
            <w:pPr>
              <w:tabs>
                <w:tab w:val="right" w:pos="1202"/>
              </w:tabs>
              <w:spacing w:after="0" w:line="280" w:lineRule="exact"/>
              <w:jc w:val="right"/>
              <w:outlineLvl w:val="0"/>
              <w:rPr>
                <w:rFonts w:ascii="Calibri" w:eastAsia="Calibri" w:hAnsi="Calibri" w:cs="Times New Roman"/>
                <w:sz w:val="19"/>
                <w:szCs w:val="19"/>
                <w:lang w:val="en-US"/>
              </w:rPr>
            </w:pPr>
          </w:p>
        </w:tc>
        <w:tc>
          <w:tcPr>
            <w:tcW w:w="719" w:type="pct"/>
            <w:vAlign w:val="bottom"/>
          </w:tcPr>
          <w:p w14:paraId="081D83A4" w14:textId="77777777" w:rsidR="00742AD7" w:rsidRPr="00630D92" w:rsidRDefault="00742AD7" w:rsidP="00742AD7">
            <w:pPr>
              <w:tabs>
                <w:tab w:val="right" w:pos="1202"/>
              </w:tabs>
              <w:spacing w:after="0" w:line="280" w:lineRule="exact"/>
              <w:jc w:val="right"/>
              <w:outlineLvl w:val="0"/>
              <w:rPr>
                <w:rFonts w:ascii="Calibri" w:eastAsia="Calibri" w:hAnsi="Calibri" w:cs="Times New Roman"/>
                <w:sz w:val="19"/>
                <w:szCs w:val="19"/>
                <w:lang w:val="en-US"/>
              </w:rPr>
            </w:pPr>
          </w:p>
        </w:tc>
        <w:tc>
          <w:tcPr>
            <w:tcW w:w="719" w:type="pct"/>
            <w:vAlign w:val="bottom"/>
          </w:tcPr>
          <w:p w14:paraId="6F4FCC98" w14:textId="77777777" w:rsidR="00742AD7" w:rsidRPr="00630D92" w:rsidRDefault="00742AD7" w:rsidP="00742AD7">
            <w:pPr>
              <w:tabs>
                <w:tab w:val="right" w:pos="1202"/>
              </w:tabs>
              <w:spacing w:after="0" w:line="280" w:lineRule="exact"/>
              <w:jc w:val="right"/>
              <w:outlineLvl w:val="0"/>
              <w:rPr>
                <w:rFonts w:ascii="Calibri" w:eastAsia="Calibri" w:hAnsi="Calibri" w:cs="Times New Roman"/>
                <w:sz w:val="19"/>
                <w:szCs w:val="19"/>
                <w:lang w:val="en-US"/>
              </w:rPr>
            </w:pPr>
          </w:p>
        </w:tc>
        <w:tc>
          <w:tcPr>
            <w:tcW w:w="720" w:type="pct"/>
            <w:vAlign w:val="bottom"/>
          </w:tcPr>
          <w:p w14:paraId="6368CEE4" w14:textId="77777777" w:rsidR="00742AD7" w:rsidRPr="00630D92" w:rsidRDefault="00742AD7" w:rsidP="00742AD7">
            <w:pPr>
              <w:tabs>
                <w:tab w:val="right" w:pos="1202"/>
              </w:tabs>
              <w:spacing w:after="0" w:line="280" w:lineRule="exact"/>
              <w:jc w:val="right"/>
              <w:outlineLvl w:val="0"/>
              <w:rPr>
                <w:rFonts w:ascii="Calibri" w:eastAsia="Calibri" w:hAnsi="Calibri" w:cs="Times New Roman"/>
                <w:sz w:val="19"/>
                <w:szCs w:val="19"/>
                <w:lang w:val="en-US"/>
              </w:rPr>
            </w:pPr>
          </w:p>
        </w:tc>
      </w:tr>
      <w:tr w:rsidR="00E94894" w:rsidRPr="00630D92" w14:paraId="0606D47E" w14:textId="77777777" w:rsidTr="00243244">
        <w:tblPrEx>
          <w:tblCellMar>
            <w:left w:w="31" w:type="dxa"/>
            <w:right w:w="31" w:type="dxa"/>
          </w:tblCellMar>
        </w:tblPrEx>
        <w:trPr>
          <w:cantSplit/>
          <w:trHeight w:val="250"/>
          <w:tblHeader/>
        </w:trPr>
        <w:tc>
          <w:tcPr>
            <w:tcW w:w="2123" w:type="pct"/>
            <w:vAlign w:val="bottom"/>
          </w:tcPr>
          <w:p w14:paraId="154F6281" w14:textId="77777777" w:rsidR="00E94894" w:rsidRPr="00630D92" w:rsidRDefault="00E94894" w:rsidP="00E94894">
            <w:pPr>
              <w:tabs>
                <w:tab w:val="right" w:pos="1202"/>
              </w:tabs>
              <w:spacing w:after="0" w:line="301" w:lineRule="exact"/>
              <w:outlineLvl w:val="0"/>
              <w:rPr>
                <w:rFonts w:ascii="Calibri" w:eastAsia="Times New Roman" w:hAnsi="Calibri" w:cs="Arial"/>
                <w:sz w:val="19"/>
                <w:szCs w:val="19"/>
                <w:lang w:val="en-US"/>
              </w:rPr>
            </w:pPr>
            <w:bookmarkStart w:id="730" w:name="_Toc4060739"/>
            <w:r w:rsidRPr="00630D92">
              <w:rPr>
                <w:rFonts w:ascii="Calibri" w:eastAsia="Times New Roman" w:hAnsi="Calibri" w:cs="Arial"/>
                <w:sz w:val="19"/>
                <w:szCs w:val="19"/>
                <w:lang w:val="en-US"/>
              </w:rPr>
              <w:t>Guarantees issued in HRK</w:t>
            </w:r>
            <w:bookmarkEnd w:id="730"/>
          </w:p>
        </w:tc>
        <w:tc>
          <w:tcPr>
            <w:tcW w:w="719" w:type="pct"/>
            <w:tcBorders>
              <w:top w:val="nil"/>
              <w:left w:val="nil"/>
              <w:bottom w:val="nil"/>
              <w:right w:val="nil"/>
            </w:tcBorders>
            <w:shd w:val="clear" w:color="auto" w:fill="auto"/>
          </w:tcPr>
          <w:p w14:paraId="21829F0B" w14:textId="2EBC6BC5" w:rsidR="00E94894" w:rsidRPr="00630D92" w:rsidRDefault="00E94894" w:rsidP="00E94894">
            <w:pPr>
              <w:tabs>
                <w:tab w:val="right" w:pos="1202"/>
              </w:tabs>
              <w:spacing w:after="0" w:line="280" w:lineRule="exact"/>
              <w:jc w:val="right"/>
              <w:outlineLvl w:val="0"/>
              <w:rPr>
                <w:rFonts w:ascii="Calibri" w:eastAsia="Times New Roman" w:hAnsi="Calibri" w:cs="Calibri"/>
                <w:color w:val="000000"/>
                <w:sz w:val="19"/>
                <w:szCs w:val="19"/>
                <w:lang w:val="en-US"/>
              </w:rPr>
            </w:pPr>
            <w:r w:rsidRPr="00630D92">
              <w:rPr>
                <w:rFonts w:cstheme="minorHAnsi"/>
                <w:sz w:val="19"/>
                <w:szCs w:val="19"/>
              </w:rPr>
              <w:t xml:space="preserve"> 146</w:t>
            </w:r>
            <w:r w:rsidR="00630D92" w:rsidRPr="00630D92">
              <w:rPr>
                <w:rFonts w:cstheme="minorHAnsi"/>
                <w:sz w:val="19"/>
                <w:szCs w:val="19"/>
              </w:rPr>
              <w:t>,</w:t>
            </w:r>
            <w:r w:rsidRPr="00630D92">
              <w:rPr>
                <w:rFonts w:cstheme="minorHAnsi"/>
                <w:sz w:val="19"/>
                <w:szCs w:val="19"/>
              </w:rPr>
              <w:t xml:space="preserve">049 </w:t>
            </w:r>
          </w:p>
        </w:tc>
        <w:tc>
          <w:tcPr>
            <w:tcW w:w="719" w:type="pct"/>
            <w:tcBorders>
              <w:top w:val="nil"/>
              <w:left w:val="nil"/>
              <w:bottom w:val="nil"/>
              <w:right w:val="nil"/>
            </w:tcBorders>
            <w:shd w:val="clear" w:color="auto" w:fill="auto"/>
          </w:tcPr>
          <w:p w14:paraId="2B1C3AF8" w14:textId="1A09784F" w:rsidR="00E94894" w:rsidRPr="00630D92" w:rsidRDefault="00E94894" w:rsidP="00E94894">
            <w:pPr>
              <w:tabs>
                <w:tab w:val="right" w:pos="1202"/>
              </w:tabs>
              <w:spacing w:after="0" w:line="280" w:lineRule="exact"/>
              <w:jc w:val="right"/>
              <w:outlineLvl w:val="0"/>
              <w:rPr>
                <w:rFonts w:ascii="Calibri" w:eastAsia="Times New Roman" w:hAnsi="Calibri" w:cs="Calibri"/>
                <w:color w:val="000000"/>
                <w:sz w:val="19"/>
                <w:szCs w:val="19"/>
                <w:lang w:val="en-US"/>
              </w:rPr>
            </w:pPr>
            <w:r w:rsidRPr="00630D92">
              <w:rPr>
                <w:rFonts w:cstheme="minorHAnsi"/>
                <w:sz w:val="19"/>
                <w:szCs w:val="19"/>
              </w:rPr>
              <w:t xml:space="preserve"> -   </w:t>
            </w:r>
          </w:p>
        </w:tc>
        <w:tc>
          <w:tcPr>
            <w:tcW w:w="719" w:type="pct"/>
            <w:tcBorders>
              <w:top w:val="nil"/>
              <w:left w:val="nil"/>
              <w:bottom w:val="nil"/>
              <w:right w:val="nil"/>
            </w:tcBorders>
            <w:shd w:val="clear" w:color="auto" w:fill="auto"/>
          </w:tcPr>
          <w:p w14:paraId="750F0AFE" w14:textId="78593D4C" w:rsidR="00E94894" w:rsidRPr="00630D92" w:rsidRDefault="00E94894" w:rsidP="00E94894">
            <w:pPr>
              <w:tabs>
                <w:tab w:val="right" w:pos="1202"/>
              </w:tabs>
              <w:spacing w:after="0" w:line="280" w:lineRule="exact"/>
              <w:jc w:val="right"/>
              <w:outlineLvl w:val="0"/>
              <w:rPr>
                <w:rFonts w:ascii="Calibri" w:eastAsia="Times New Roman" w:hAnsi="Calibri" w:cs="Calibri"/>
                <w:color w:val="000000"/>
                <w:sz w:val="19"/>
                <w:szCs w:val="19"/>
                <w:lang w:val="en-US"/>
              </w:rPr>
            </w:pPr>
            <w:r w:rsidRPr="00630D92">
              <w:rPr>
                <w:rFonts w:cstheme="minorHAnsi"/>
                <w:sz w:val="19"/>
                <w:szCs w:val="19"/>
              </w:rPr>
              <w:t xml:space="preserve"> -   </w:t>
            </w:r>
          </w:p>
        </w:tc>
        <w:tc>
          <w:tcPr>
            <w:tcW w:w="720" w:type="pct"/>
            <w:tcBorders>
              <w:top w:val="nil"/>
              <w:left w:val="nil"/>
              <w:bottom w:val="nil"/>
              <w:right w:val="nil"/>
            </w:tcBorders>
            <w:shd w:val="clear" w:color="auto" w:fill="auto"/>
          </w:tcPr>
          <w:p w14:paraId="5D259660" w14:textId="618A9B7E" w:rsidR="00E94894" w:rsidRPr="00630D92" w:rsidRDefault="00E94894" w:rsidP="00E94894">
            <w:pPr>
              <w:tabs>
                <w:tab w:val="right" w:pos="1202"/>
              </w:tabs>
              <w:spacing w:after="0" w:line="280" w:lineRule="exact"/>
              <w:jc w:val="right"/>
              <w:outlineLvl w:val="0"/>
              <w:rPr>
                <w:rFonts w:ascii="Calibri" w:eastAsia="Times New Roman" w:hAnsi="Calibri" w:cs="Calibri"/>
                <w:color w:val="000000"/>
                <w:sz w:val="19"/>
                <w:szCs w:val="19"/>
                <w:lang w:val="en-US"/>
              </w:rPr>
            </w:pPr>
            <w:r w:rsidRPr="00630D92">
              <w:rPr>
                <w:rFonts w:cstheme="minorHAnsi"/>
                <w:sz w:val="19"/>
                <w:szCs w:val="19"/>
              </w:rPr>
              <w:t xml:space="preserve"> 146</w:t>
            </w:r>
            <w:r w:rsidR="00630D92" w:rsidRPr="00630D92">
              <w:rPr>
                <w:rFonts w:cstheme="minorHAnsi"/>
                <w:sz w:val="19"/>
                <w:szCs w:val="19"/>
              </w:rPr>
              <w:t>,</w:t>
            </w:r>
            <w:r w:rsidRPr="00630D92">
              <w:rPr>
                <w:rFonts w:cstheme="minorHAnsi"/>
                <w:sz w:val="19"/>
                <w:szCs w:val="19"/>
              </w:rPr>
              <w:t xml:space="preserve">049 </w:t>
            </w:r>
          </w:p>
        </w:tc>
      </w:tr>
      <w:tr w:rsidR="00E94894" w:rsidRPr="00630D92" w14:paraId="7325293F" w14:textId="77777777" w:rsidTr="00243244">
        <w:tblPrEx>
          <w:tblCellMar>
            <w:left w:w="31" w:type="dxa"/>
            <w:right w:w="31" w:type="dxa"/>
          </w:tblCellMar>
        </w:tblPrEx>
        <w:trPr>
          <w:cantSplit/>
          <w:trHeight w:val="250"/>
          <w:tblHeader/>
        </w:trPr>
        <w:tc>
          <w:tcPr>
            <w:tcW w:w="2123" w:type="pct"/>
            <w:vAlign w:val="bottom"/>
          </w:tcPr>
          <w:p w14:paraId="4F12A3AA" w14:textId="77777777" w:rsidR="00E94894" w:rsidRPr="00630D92" w:rsidRDefault="00E94894" w:rsidP="00E94894">
            <w:pPr>
              <w:tabs>
                <w:tab w:val="right" w:pos="1202"/>
              </w:tabs>
              <w:spacing w:after="0" w:line="301" w:lineRule="exact"/>
              <w:outlineLvl w:val="0"/>
              <w:rPr>
                <w:rFonts w:ascii="Calibri" w:eastAsia="Times New Roman" w:hAnsi="Calibri" w:cs="Arial"/>
                <w:sz w:val="19"/>
                <w:szCs w:val="19"/>
                <w:lang w:val="en-US"/>
              </w:rPr>
            </w:pPr>
            <w:bookmarkStart w:id="731" w:name="_Toc4060744"/>
            <w:r w:rsidRPr="00630D92">
              <w:rPr>
                <w:rFonts w:ascii="Calibri" w:eastAsia="Times New Roman" w:hAnsi="Calibri" w:cs="Arial"/>
                <w:sz w:val="19"/>
                <w:szCs w:val="19"/>
                <w:lang w:val="en-US"/>
              </w:rPr>
              <w:t>Issued guarantees in foreign currency</w:t>
            </w:r>
            <w:bookmarkEnd w:id="731"/>
          </w:p>
        </w:tc>
        <w:tc>
          <w:tcPr>
            <w:tcW w:w="719" w:type="pct"/>
            <w:tcBorders>
              <w:top w:val="nil"/>
              <w:left w:val="nil"/>
              <w:bottom w:val="nil"/>
              <w:right w:val="nil"/>
            </w:tcBorders>
            <w:shd w:val="clear" w:color="auto" w:fill="auto"/>
          </w:tcPr>
          <w:p w14:paraId="191D8BF3" w14:textId="3C032B72" w:rsidR="00E94894" w:rsidRPr="00630D92" w:rsidRDefault="00E94894" w:rsidP="00E94894">
            <w:pPr>
              <w:tabs>
                <w:tab w:val="right" w:pos="1202"/>
              </w:tabs>
              <w:spacing w:after="0" w:line="280" w:lineRule="exact"/>
              <w:jc w:val="right"/>
              <w:outlineLvl w:val="0"/>
              <w:rPr>
                <w:rFonts w:ascii="Calibri" w:eastAsia="Times New Roman" w:hAnsi="Calibri" w:cs="Calibri"/>
                <w:color w:val="000000"/>
                <w:sz w:val="19"/>
                <w:szCs w:val="19"/>
                <w:lang w:val="en-US"/>
              </w:rPr>
            </w:pPr>
            <w:r w:rsidRPr="00630D92">
              <w:rPr>
                <w:rFonts w:cstheme="minorHAnsi"/>
                <w:sz w:val="19"/>
                <w:szCs w:val="19"/>
              </w:rPr>
              <w:t xml:space="preserve"> 195</w:t>
            </w:r>
            <w:r w:rsidR="00630D92" w:rsidRPr="00630D92">
              <w:rPr>
                <w:rFonts w:cstheme="minorHAnsi"/>
                <w:sz w:val="19"/>
                <w:szCs w:val="19"/>
              </w:rPr>
              <w:t>,</w:t>
            </w:r>
            <w:r w:rsidRPr="00630D92">
              <w:rPr>
                <w:rFonts w:cstheme="minorHAnsi"/>
                <w:sz w:val="19"/>
                <w:szCs w:val="19"/>
              </w:rPr>
              <w:t xml:space="preserve">102 </w:t>
            </w:r>
          </w:p>
        </w:tc>
        <w:tc>
          <w:tcPr>
            <w:tcW w:w="719" w:type="pct"/>
            <w:tcBorders>
              <w:top w:val="nil"/>
              <w:left w:val="nil"/>
              <w:bottom w:val="nil"/>
              <w:right w:val="nil"/>
            </w:tcBorders>
            <w:shd w:val="clear" w:color="auto" w:fill="auto"/>
          </w:tcPr>
          <w:p w14:paraId="1D8E9EEE" w14:textId="439E77E1" w:rsidR="00E94894" w:rsidRPr="00630D92" w:rsidRDefault="00E94894" w:rsidP="00E94894">
            <w:pPr>
              <w:tabs>
                <w:tab w:val="right" w:pos="1202"/>
              </w:tabs>
              <w:spacing w:after="0" w:line="280" w:lineRule="exact"/>
              <w:jc w:val="right"/>
              <w:outlineLvl w:val="0"/>
              <w:rPr>
                <w:rFonts w:ascii="Calibri" w:eastAsia="Times New Roman" w:hAnsi="Calibri" w:cs="Calibri"/>
                <w:color w:val="000000"/>
                <w:sz w:val="19"/>
                <w:szCs w:val="19"/>
                <w:lang w:val="en-US"/>
              </w:rPr>
            </w:pPr>
            <w:r w:rsidRPr="00630D92">
              <w:rPr>
                <w:rFonts w:cstheme="minorHAnsi"/>
                <w:sz w:val="19"/>
                <w:szCs w:val="19"/>
              </w:rPr>
              <w:t xml:space="preserve"> -   </w:t>
            </w:r>
          </w:p>
        </w:tc>
        <w:tc>
          <w:tcPr>
            <w:tcW w:w="719" w:type="pct"/>
            <w:tcBorders>
              <w:top w:val="nil"/>
              <w:left w:val="nil"/>
              <w:bottom w:val="nil"/>
              <w:right w:val="nil"/>
            </w:tcBorders>
            <w:shd w:val="clear" w:color="auto" w:fill="auto"/>
          </w:tcPr>
          <w:p w14:paraId="0373C60A" w14:textId="3169DC2A" w:rsidR="00E94894" w:rsidRPr="00630D92" w:rsidRDefault="00E94894" w:rsidP="00E94894">
            <w:pPr>
              <w:tabs>
                <w:tab w:val="right" w:pos="1202"/>
              </w:tabs>
              <w:spacing w:after="0" w:line="280" w:lineRule="exact"/>
              <w:jc w:val="right"/>
              <w:outlineLvl w:val="0"/>
              <w:rPr>
                <w:rFonts w:ascii="Calibri" w:eastAsia="Times New Roman" w:hAnsi="Calibri" w:cs="Calibri"/>
                <w:color w:val="000000"/>
                <w:sz w:val="19"/>
                <w:szCs w:val="19"/>
                <w:lang w:val="en-US"/>
              </w:rPr>
            </w:pPr>
            <w:r w:rsidRPr="00630D92">
              <w:rPr>
                <w:rFonts w:cstheme="minorHAnsi"/>
                <w:sz w:val="19"/>
                <w:szCs w:val="19"/>
              </w:rPr>
              <w:t xml:space="preserve"> -   </w:t>
            </w:r>
          </w:p>
        </w:tc>
        <w:tc>
          <w:tcPr>
            <w:tcW w:w="720" w:type="pct"/>
            <w:tcBorders>
              <w:top w:val="nil"/>
              <w:left w:val="nil"/>
              <w:bottom w:val="nil"/>
              <w:right w:val="nil"/>
            </w:tcBorders>
            <w:shd w:val="clear" w:color="auto" w:fill="auto"/>
          </w:tcPr>
          <w:p w14:paraId="0B811C3E" w14:textId="72781097" w:rsidR="00E94894" w:rsidRPr="00630D92" w:rsidRDefault="00E94894" w:rsidP="00E94894">
            <w:pPr>
              <w:tabs>
                <w:tab w:val="right" w:pos="1202"/>
              </w:tabs>
              <w:spacing w:after="0" w:line="280" w:lineRule="exact"/>
              <w:jc w:val="right"/>
              <w:outlineLvl w:val="0"/>
              <w:rPr>
                <w:rFonts w:ascii="Calibri" w:eastAsia="Times New Roman" w:hAnsi="Calibri" w:cs="Calibri"/>
                <w:color w:val="000000"/>
                <w:sz w:val="19"/>
                <w:szCs w:val="19"/>
                <w:lang w:val="en-US"/>
              </w:rPr>
            </w:pPr>
            <w:r w:rsidRPr="00630D92">
              <w:rPr>
                <w:rFonts w:cstheme="minorHAnsi"/>
                <w:sz w:val="19"/>
                <w:szCs w:val="19"/>
              </w:rPr>
              <w:t xml:space="preserve"> 195</w:t>
            </w:r>
            <w:r w:rsidR="00630D92" w:rsidRPr="00630D92">
              <w:rPr>
                <w:rFonts w:cstheme="minorHAnsi"/>
                <w:sz w:val="19"/>
                <w:szCs w:val="19"/>
              </w:rPr>
              <w:t>,</w:t>
            </w:r>
            <w:r w:rsidRPr="00630D92">
              <w:rPr>
                <w:rFonts w:cstheme="minorHAnsi"/>
                <w:sz w:val="19"/>
                <w:szCs w:val="19"/>
              </w:rPr>
              <w:t xml:space="preserve">102 </w:t>
            </w:r>
          </w:p>
        </w:tc>
      </w:tr>
      <w:tr w:rsidR="00E94894" w:rsidRPr="00630D92" w14:paraId="7543D263" w14:textId="77777777" w:rsidTr="00243244">
        <w:tblPrEx>
          <w:tblCellMar>
            <w:left w:w="31" w:type="dxa"/>
            <w:right w:w="31" w:type="dxa"/>
          </w:tblCellMar>
        </w:tblPrEx>
        <w:trPr>
          <w:cantSplit/>
          <w:trHeight w:val="250"/>
          <w:tblHeader/>
        </w:trPr>
        <w:tc>
          <w:tcPr>
            <w:tcW w:w="2123" w:type="pct"/>
            <w:vAlign w:val="bottom"/>
          </w:tcPr>
          <w:p w14:paraId="5BF6B58B" w14:textId="77777777" w:rsidR="00E94894" w:rsidRPr="00630D92" w:rsidRDefault="00E94894" w:rsidP="00E94894">
            <w:pPr>
              <w:tabs>
                <w:tab w:val="right" w:pos="1202"/>
              </w:tabs>
              <w:spacing w:after="0" w:line="301" w:lineRule="exact"/>
              <w:outlineLvl w:val="0"/>
              <w:rPr>
                <w:rFonts w:ascii="Calibri" w:eastAsia="Times New Roman" w:hAnsi="Calibri" w:cs="Arial"/>
                <w:sz w:val="19"/>
                <w:szCs w:val="19"/>
                <w:lang w:val="en-US"/>
              </w:rPr>
            </w:pPr>
            <w:bookmarkStart w:id="732" w:name="_Toc4060749"/>
            <w:r w:rsidRPr="00630D92">
              <w:rPr>
                <w:rFonts w:ascii="Calibri" w:eastAsia="Times New Roman" w:hAnsi="Calibri" w:cs="Arial"/>
                <w:sz w:val="19"/>
                <w:szCs w:val="19"/>
                <w:lang w:val="en-US"/>
              </w:rPr>
              <w:t>Undrawn loans</w:t>
            </w:r>
            <w:bookmarkEnd w:id="732"/>
          </w:p>
        </w:tc>
        <w:tc>
          <w:tcPr>
            <w:tcW w:w="719" w:type="pct"/>
            <w:tcBorders>
              <w:top w:val="nil"/>
              <w:left w:val="nil"/>
              <w:bottom w:val="single" w:sz="4" w:space="0" w:color="auto"/>
              <w:right w:val="nil"/>
            </w:tcBorders>
            <w:shd w:val="clear" w:color="auto" w:fill="auto"/>
          </w:tcPr>
          <w:p w14:paraId="229F775B" w14:textId="0763B51C" w:rsidR="00E94894" w:rsidRPr="00630D92" w:rsidRDefault="00E94894" w:rsidP="00E94894">
            <w:pPr>
              <w:tabs>
                <w:tab w:val="right" w:pos="1202"/>
              </w:tabs>
              <w:spacing w:after="0" w:line="280" w:lineRule="exact"/>
              <w:jc w:val="right"/>
              <w:outlineLvl w:val="0"/>
              <w:rPr>
                <w:rFonts w:ascii="Calibri" w:eastAsia="Times New Roman" w:hAnsi="Calibri" w:cs="Calibri"/>
                <w:color w:val="000000"/>
                <w:sz w:val="19"/>
                <w:szCs w:val="19"/>
                <w:lang w:val="en-US"/>
              </w:rPr>
            </w:pPr>
            <w:r w:rsidRPr="00630D92">
              <w:rPr>
                <w:rFonts w:cstheme="minorHAnsi"/>
                <w:sz w:val="19"/>
                <w:szCs w:val="19"/>
              </w:rPr>
              <w:t xml:space="preserve"> 3</w:t>
            </w:r>
            <w:r w:rsidR="00630D92" w:rsidRPr="00630D92">
              <w:rPr>
                <w:rFonts w:cstheme="minorHAnsi"/>
                <w:sz w:val="19"/>
                <w:szCs w:val="19"/>
              </w:rPr>
              <w:t>,</w:t>
            </w:r>
            <w:r w:rsidRPr="00630D92">
              <w:rPr>
                <w:rFonts w:cstheme="minorHAnsi"/>
                <w:sz w:val="19"/>
                <w:szCs w:val="19"/>
              </w:rPr>
              <w:t>182</w:t>
            </w:r>
            <w:r w:rsidR="00630D92" w:rsidRPr="00630D92">
              <w:rPr>
                <w:rFonts w:cstheme="minorHAnsi"/>
                <w:sz w:val="19"/>
                <w:szCs w:val="19"/>
              </w:rPr>
              <w:t>,</w:t>
            </w:r>
            <w:r w:rsidRPr="00630D92">
              <w:rPr>
                <w:rFonts w:cstheme="minorHAnsi"/>
                <w:sz w:val="19"/>
                <w:szCs w:val="19"/>
              </w:rPr>
              <w:t xml:space="preserve">673 </w:t>
            </w:r>
          </w:p>
        </w:tc>
        <w:tc>
          <w:tcPr>
            <w:tcW w:w="719" w:type="pct"/>
            <w:tcBorders>
              <w:top w:val="nil"/>
              <w:left w:val="nil"/>
              <w:bottom w:val="single" w:sz="4" w:space="0" w:color="auto"/>
              <w:right w:val="nil"/>
            </w:tcBorders>
            <w:shd w:val="clear" w:color="auto" w:fill="auto"/>
          </w:tcPr>
          <w:p w14:paraId="5AB29A13" w14:textId="310F04AB" w:rsidR="00E94894" w:rsidRPr="00630D92" w:rsidRDefault="00E94894" w:rsidP="00E94894">
            <w:pPr>
              <w:tabs>
                <w:tab w:val="right" w:pos="1202"/>
              </w:tabs>
              <w:spacing w:after="0" w:line="280" w:lineRule="exact"/>
              <w:jc w:val="right"/>
              <w:outlineLvl w:val="0"/>
              <w:rPr>
                <w:rFonts w:ascii="Calibri" w:eastAsia="Times New Roman" w:hAnsi="Calibri" w:cs="Calibri"/>
                <w:color w:val="000000"/>
                <w:sz w:val="19"/>
                <w:szCs w:val="19"/>
                <w:lang w:val="en-US"/>
              </w:rPr>
            </w:pPr>
            <w:r w:rsidRPr="00630D92">
              <w:rPr>
                <w:rFonts w:cstheme="minorHAnsi"/>
                <w:sz w:val="19"/>
                <w:szCs w:val="19"/>
              </w:rPr>
              <w:t xml:space="preserve"> -   </w:t>
            </w:r>
          </w:p>
        </w:tc>
        <w:tc>
          <w:tcPr>
            <w:tcW w:w="719" w:type="pct"/>
            <w:tcBorders>
              <w:top w:val="nil"/>
              <w:left w:val="nil"/>
              <w:bottom w:val="single" w:sz="4" w:space="0" w:color="auto"/>
              <w:right w:val="nil"/>
            </w:tcBorders>
            <w:shd w:val="clear" w:color="auto" w:fill="auto"/>
          </w:tcPr>
          <w:p w14:paraId="10CDB7B4" w14:textId="65DDCF3C" w:rsidR="00E94894" w:rsidRPr="00630D92" w:rsidRDefault="00E94894" w:rsidP="00E94894">
            <w:pPr>
              <w:tabs>
                <w:tab w:val="right" w:pos="1202"/>
              </w:tabs>
              <w:spacing w:after="0" w:line="280" w:lineRule="exact"/>
              <w:jc w:val="right"/>
              <w:outlineLvl w:val="0"/>
              <w:rPr>
                <w:rFonts w:ascii="Calibri" w:eastAsia="Times New Roman" w:hAnsi="Calibri" w:cs="Calibri"/>
                <w:color w:val="000000"/>
                <w:sz w:val="19"/>
                <w:szCs w:val="19"/>
                <w:lang w:val="en-US"/>
              </w:rPr>
            </w:pPr>
            <w:r w:rsidRPr="00630D92">
              <w:rPr>
                <w:rFonts w:cstheme="minorHAnsi"/>
                <w:sz w:val="19"/>
                <w:szCs w:val="19"/>
              </w:rPr>
              <w:t xml:space="preserve"> 1</w:t>
            </w:r>
            <w:r w:rsidR="00630D92" w:rsidRPr="00630D92">
              <w:rPr>
                <w:rFonts w:cstheme="minorHAnsi"/>
                <w:sz w:val="19"/>
                <w:szCs w:val="19"/>
              </w:rPr>
              <w:t>,</w:t>
            </w:r>
            <w:r w:rsidRPr="00630D92">
              <w:rPr>
                <w:rFonts w:cstheme="minorHAnsi"/>
                <w:sz w:val="19"/>
                <w:szCs w:val="19"/>
              </w:rPr>
              <w:t xml:space="preserve">713 </w:t>
            </w:r>
          </w:p>
        </w:tc>
        <w:tc>
          <w:tcPr>
            <w:tcW w:w="720" w:type="pct"/>
            <w:tcBorders>
              <w:top w:val="nil"/>
              <w:left w:val="nil"/>
              <w:bottom w:val="single" w:sz="4" w:space="0" w:color="auto"/>
              <w:right w:val="nil"/>
            </w:tcBorders>
            <w:shd w:val="clear" w:color="auto" w:fill="auto"/>
          </w:tcPr>
          <w:p w14:paraId="3F0D1DFA" w14:textId="77244DB9" w:rsidR="00E94894" w:rsidRPr="00630D92" w:rsidRDefault="00E94894" w:rsidP="00E94894">
            <w:pPr>
              <w:tabs>
                <w:tab w:val="right" w:pos="1202"/>
              </w:tabs>
              <w:spacing w:after="0" w:line="280" w:lineRule="exact"/>
              <w:jc w:val="right"/>
              <w:outlineLvl w:val="0"/>
              <w:rPr>
                <w:rFonts w:ascii="Calibri" w:eastAsia="Times New Roman" w:hAnsi="Calibri" w:cs="Calibri"/>
                <w:color w:val="000000"/>
                <w:sz w:val="19"/>
                <w:szCs w:val="19"/>
                <w:lang w:val="en-US"/>
              </w:rPr>
            </w:pPr>
            <w:r w:rsidRPr="00630D92">
              <w:rPr>
                <w:rFonts w:cstheme="minorHAnsi"/>
                <w:sz w:val="19"/>
                <w:szCs w:val="19"/>
              </w:rPr>
              <w:t xml:space="preserve"> 3</w:t>
            </w:r>
            <w:r w:rsidR="00630D92" w:rsidRPr="00630D92">
              <w:rPr>
                <w:rFonts w:cstheme="minorHAnsi"/>
                <w:sz w:val="19"/>
                <w:szCs w:val="19"/>
              </w:rPr>
              <w:t>,</w:t>
            </w:r>
            <w:r w:rsidRPr="00630D92">
              <w:rPr>
                <w:rFonts w:cstheme="minorHAnsi"/>
                <w:sz w:val="19"/>
                <w:szCs w:val="19"/>
              </w:rPr>
              <w:t>184</w:t>
            </w:r>
            <w:r w:rsidR="00630D92" w:rsidRPr="00630D92">
              <w:rPr>
                <w:rFonts w:cstheme="minorHAnsi"/>
                <w:sz w:val="19"/>
                <w:szCs w:val="19"/>
              </w:rPr>
              <w:t>,</w:t>
            </w:r>
            <w:r w:rsidRPr="00630D92">
              <w:rPr>
                <w:rFonts w:cstheme="minorHAnsi"/>
                <w:sz w:val="19"/>
                <w:szCs w:val="19"/>
              </w:rPr>
              <w:t xml:space="preserve">386 </w:t>
            </w:r>
          </w:p>
        </w:tc>
      </w:tr>
      <w:tr w:rsidR="00E94894" w:rsidRPr="00630D92" w14:paraId="64DDA249" w14:textId="77777777" w:rsidTr="00A1123E">
        <w:tblPrEx>
          <w:tblCellMar>
            <w:left w:w="31" w:type="dxa"/>
            <w:right w:w="31" w:type="dxa"/>
          </w:tblCellMar>
        </w:tblPrEx>
        <w:trPr>
          <w:cantSplit/>
          <w:trHeight w:val="203"/>
          <w:tblHeader/>
        </w:trPr>
        <w:tc>
          <w:tcPr>
            <w:tcW w:w="2123" w:type="pct"/>
            <w:vAlign w:val="bottom"/>
          </w:tcPr>
          <w:p w14:paraId="45EB269C" w14:textId="77777777" w:rsidR="00E94894" w:rsidRPr="00630D92" w:rsidRDefault="00E94894" w:rsidP="00E94894">
            <w:pPr>
              <w:tabs>
                <w:tab w:val="right" w:pos="1202"/>
              </w:tabs>
              <w:spacing w:after="0" w:line="301" w:lineRule="exact"/>
              <w:outlineLvl w:val="0"/>
              <w:rPr>
                <w:rFonts w:ascii="Calibri" w:eastAsia="Times New Roman" w:hAnsi="Calibri" w:cs="Arial"/>
                <w:b/>
                <w:sz w:val="19"/>
                <w:szCs w:val="19"/>
                <w:lang w:val="en-US"/>
              </w:rPr>
            </w:pPr>
            <w:bookmarkStart w:id="733" w:name="_Toc4060759"/>
            <w:r w:rsidRPr="00630D92">
              <w:rPr>
                <w:rFonts w:ascii="Calibri" w:eastAsia="Times New Roman" w:hAnsi="Calibri" w:cs="Arial"/>
                <w:b/>
                <w:sz w:val="19"/>
                <w:szCs w:val="19"/>
                <w:lang w:val="en-US"/>
              </w:rPr>
              <w:t>Total</w:t>
            </w:r>
            <w:bookmarkEnd w:id="733"/>
          </w:p>
        </w:tc>
        <w:tc>
          <w:tcPr>
            <w:tcW w:w="719" w:type="pct"/>
            <w:tcBorders>
              <w:top w:val="single" w:sz="4" w:space="0" w:color="auto"/>
              <w:left w:val="nil"/>
              <w:bottom w:val="single" w:sz="12" w:space="0" w:color="auto"/>
              <w:right w:val="nil"/>
            </w:tcBorders>
            <w:shd w:val="clear" w:color="auto" w:fill="auto"/>
            <w:vAlign w:val="bottom"/>
          </w:tcPr>
          <w:p w14:paraId="6935183E" w14:textId="0A056D87" w:rsidR="00E94894" w:rsidRPr="00630D92" w:rsidRDefault="00E94894" w:rsidP="00E94894">
            <w:pPr>
              <w:tabs>
                <w:tab w:val="right" w:pos="1202"/>
              </w:tabs>
              <w:spacing w:after="0" w:line="280" w:lineRule="exact"/>
              <w:jc w:val="right"/>
              <w:outlineLvl w:val="0"/>
              <w:rPr>
                <w:rFonts w:ascii="Calibri" w:eastAsia="Calibri" w:hAnsi="Calibri" w:cs="Times New Roman"/>
                <w:b/>
                <w:sz w:val="19"/>
                <w:szCs w:val="19"/>
                <w:lang w:val="en-US"/>
              </w:rPr>
            </w:pPr>
            <w:r w:rsidRPr="00630D92">
              <w:rPr>
                <w:b/>
                <w:bCs/>
                <w:sz w:val="19"/>
                <w:szCs w:val="19"/>
              </w:rPr>
              <w:t xml:space="preserve"> 3</w:t>
            </w:r>
            <w:r w:rsidR="00630D92" w:rsidRPr="00630D92">
              <w:rPr>
                <w:b/>
                <w:bCs/>
                <w:sz w:val="19"/>
                <w:szCs w:val="19"/>
              </w:rPr>
              <w:t>,</w:t>
            </w:r>
            <w:r w:rsidRPr="00630D92">
              <w:rPr>
                <w:b/>
                <w:bCs/>
                <w:sz w:val="19"/>
                <w:szCs w:val="19"/>
              </w:rPr>
              <w:t>523</w:t>
            </w:r>
            <w:r w:rsidR="00630D92" w:rsidRPr="00630D92">
              <w:rPr>
                <w:b/>
                <w:bCs/>
                <w:sz w:val="19"/>
                <w:szCs w:val="19"/>
              </w:rPr>
              <w:t>,</w:t>
            </w:r>
            <w:r w:rsidRPr="00630D92">
              <w:rPr>
                <w:b/>
                <w:bCs/>
                <w:sz w:val="19"/>
                <w:szCs w:val="19"/>
              </w:rPr>
              <w:t xml:space="preserve">824 </w:t>
            </w:r>
          </w:p>
        </w:tc>
        <w:tc>
          <w:tcPr>
            <w:tcW w:w="719" w:type="pct"/>
            <w:tcBorders>
              <w:top w:val="single" w:sz="4" w:space="0" w:color="auto"/>
              <w:left w:val="nil"/>
              <w:bottom w:val="single" w:sz="12" w:space="0" w:color="auto"/>
              <w:right w:val="nil"/>
            </w:tcBorders>
            <w:shd w:val="clear" w:color="auto" w:fill="auto"/>
            <w:vAlign w:val="bottom"/>
          </w:tcPr>
          <w:p w14:paraId="34F0001B" w14:textId="087C218E" w:rsidR="00E94894" w:rsidRPr="00630D92" w:rsidRDefault="00E94894" w:rsidP="00E94894">
            <w:pPr>
              <w:tabs>
                <w:tab w:val="right" w:pos="1202"/>
              </w:tabs>
              <w:spacing w:after="0" w:line="280" w:lineRule="exact"/>
              <w:jc w:val="right"/>
              <w:outlineLvl w:val="0"/>
              <w:rPr>
                <w:rFonts w:ascii="Calibri" w:eastAsia="Calibri" w:hAnsi="Calibri" w:cs="Times New Roman"/>
                <w:b/>
                <w:sz w:val="19"/>
                <w:szCs w:val="19"/>
                <w:lang w:val="en-US"/>
              </w:rPr>
            </w:pPr>
            <w:r w:rsidRPr="00630D92">
              <w:rPr>
                <w:b/>
                <w:bCs/>
                <w:sz w:val="19"/>
                <w:szCs w:val="19"/>
              </w:rPr>
              <w:t xml:space="preserve"> -   </w:t>
            </w:r>
          </w:p>
        </w:tc>
        <w:tc>
          <w:tcPr>
            <w:tcW w:w="719" w:type="pct"/>
            <w:tcBorders>
              <w:top w:val="single" w:sz="4" w:space="0" w:color="auto"/>
              <w:left w:val="nil"/>
              <w:bottom w:val="single" w:sz="12" w:space="0" w:color="auto"/>
              <w:right w:val="nil"/>
            </w:tcBorders>
            <w:shd w:val="clear" w:color="auto" w:fill="auto"/>
            <w:vAlign w:val="bottom"/>
          </w:tcPr>
          <w:p w14:paraId="7640CFC4" w14:textId="0B15B747" w:rsidR="00E94894" w:rsidRPr="00630D92" w:rsidRDefault="00E94894" w:rsidP="00E94894">
            <w:pPr>
              <w:tabs>
                <w:tab w:val="right" w:pos="1202"/>
              </w:tabs>
              <w:spacing w:after="0" w:line="280" w:lineRule="exact"/>
              <w:jc w:val="right"/>
              <w:outlineLvl w:val="0"/>
              <w:rPr>
                <w:rFonts w:ascii="Calibri" w:eastAsia="Calibri" w:hAnsi="Calibri" w:cs="Times New Roman"/>
                <w:b/>
                <w:sz w:val="19"/>
                <w:szCs w:val="19"/>
                <w:lang w:val="en-US"/>
              </w:rPr>
            </w:pPr>
            <w:r w:rsidRPr="00630D92">
              <w:rPr>
                <w:b/>
                <w:bCs/>
                <w:sz w:val="19"/>
                <w:szCs w:val="19"/>
              </w:rPr>
              <w:t xml:space="preserve"> 1</w:t>
            </w:r>
            <w:r w:rsidR="00630D92" w:rsidRPr="00630D92">
              <w:rPr>
                <w:b/>
                <w:bCs/>
                <w:sz w:val="19"/>
                <w:szCs w:val="19"/>
              </w:rPr>
              <w:t>,</w:t>
            </w:r>
            <w:r w:rsidRPr="00630D92">
              <w:rPr>
                <w:b/>
                <w:bCs/>
                <w:sz w:val="19"/>
                <w:szCs w:val="19"/>
              </w:rPr>
              <w:t xml:space="preserve">713 </w:t>
            </w:r>
          </w:p>
        </w:tc>
        <w:tc>
          <w:tcPr>
            <w:tcW w:w="720" w:type="pct"/>
            <w:tcBorders>
              <w:top w:val="single" w:sz="4" w:space="0" w:color="auto"/>
              <w:left w:val="nil"/>
              <w:bottom w:val="single" w:sz="12" w:space="0" w:color="auto"/>
              <w:right w:val="nil"/>
            </w:tcBorders>
            <w:shd w:val="clear" w:color="auto" w:fill="auto"/>
            <w:vAlign w:val="bottom"/>
          </w:tcPr>
          <w:p w14:paraId="2F6F88BE" w14:textId="338D4306" w:rsidR="00E94894" w:rsidRPr="00630D92" w:rsidRDefault="00E94894" w:rsidP="00E94894">
            <w:pPr>
              <w:tabs>
                <w:tab w:val="right" w:pos="1202"/>
              </w:tabs>
              <w:spacing w:after="0" w:line="280" w:lineRule="exact"/>
              <w:jc w:val="right"/>
              <w:outlineLvl w:val="0"/>
              <w:rPr>
                <w:rFonts w:ascii="Calibri" w:eastAsia="Calibri" w:hAnsi="Calibri" w:cs="Times New Roman"/>
                <w:b/>
                <w:sz w:val="19"/>
                <w:szCs w:val="19"/>
                <w:lang w:val="en-US"/>
              </w:rPr>
            </w:pPr>
            <w:r w:rsidRPr="00630D92">
              <w:rPr>
                <w:b/>
                <w:bCs/>
                <w:sz w:val="19"/>
                <w:szCs w:val="19"/>
              </w:rPr>
              <w:t xml:space="preserve"> 3</w:t>
            </w:r>
            <w:r w:rsidR="00630D92" w:rsidRPr="00630D92">
              <w:rPr>
                <w:b/>
                <w:bCs/>
                <w:sz w:val="19"/>
                <w:szCs w:val="19"/>
              </w:rPr>
              <w:t>,</w:t>
            </w:r>
            <w:r w:rsidRPr="00630D92">
              <w:rPr>
                <w:b/>
                <w:bCs/>
                <w:sz w:val="19"/>
                <w:szCs w:val="19"/>
              </w:rPr>
              <w:t>525</w:t>
            </w:r>
            <w:r w:rsidR="00630D92" w:rsidRPr="00630D92">
              <w:rPr>
                <w:b/>
                <w:bCs/>
                <w:sz w:val="19"/>
                <w:szCs w:val="19"/>
              </w:rPr>
              <w:t>,</w:t>
            </w:r>
            <w:r w:rsidRPr="00630D92">
              <w:rPr>
                <w:b/>
                <w:bCs/>
                <w:sz w:val="19"/>
                <w:szCs w:val="19"/>
              </w:rPr>
              <w:t xml:space="preserve">537 </w:t>
            </w:r>
          </w:p>
        </w:tc>
      </w:tr>
      <w:tr w:rsidR="00C351C8" w:rsidRPr="00630D92" w14:paraId="2B88A52B" w14:textId="77777777" w:rsidTr="00A1123E">
        <w:tblPrEx>
          <w:tblCellMar>
            <w:left w:w="31" w:type="dxa"/>
            <w:right w:w="31" w:type="dxa"/>
          </w:tblCellMar>
        </w:tblPrEx>
        <w:trPr>
          <w:cantSplit/>
          <w:trHeight w:val="358"/>
          <w:tblHeader/>
        </w:trPr>
        <w:tc>
          <w:tcPr>
            <w:tcW w:w="2123" w:type="pct"/>
            <w:vAlign w:val="bottom"/>
          </w:tcPr>
          <w:p w14:paraId="25A7AC61" w14:textId="77777777" w:rsidR="00C351C8" w:rsidRPr="00630D92" w:rsidRDefault="00C351C8" w:rsidP="00C351C8">
            <w:pPr>
              <w:tabs>
                <w:tab w:val="right" w:pos="1202"/>
              </w:tabs>
              <w:spacing w:after="0" w:line="301" w:lineRule="exact"/>
              <w:outlineLvl w:val="0"/>
              <w:rPr>
                <w:rFonts w:ascii="Calibri" w:eastAsia="Times New Roman" w:hAnsi="Calibri" w:cs="Arial"/>
                <w:b/>
                <w:sz w:val="19"/>
                <w:szCs w:val="19"/>
                <w:lang w:val="en-US"/>
              </w:rPr>
            </w:pPr>
            <w:bookmarkStart w:id="734" w:name="_Toc4060764"/>
            <w:r w:rsidRPr="00630D92">
              <w:rPr>
                <w:rFonts w:ascii="Calibri" w:eastAsia="Times New Roman" w:hAnsi="Calibri" w:cs="Arial"/>
                <w:b/>
                <w:sz w:val="19"/>
                <w:szCs w:val="19"/>
                <w:lang w:val="en-US"/>
              </w:rPr>
              <w:t>Total credit risk exposure</w:t>
            </w:r>
            <w:bookmarkEnd w:id="734"/>
          </w:p>
        </w:tc>
        <w:tc>
          <w:tcPr>
            <w:tcW w:w="719" w:type="pct"/>
            <w:tcBorders>
              <w:top w:val="nil"/>
              <w:left w:val="nil"/>
              <w:bottom w:val="single" w:sz="12" w:space="0" w:color="auto"/>
              <w:right w:val="nil"/>
            </w:tcBorders>
            <w:shd w:val="clear" w:color="auto" w:fill="auto"/>
            <w:vAlign w:val="bottom"/>
          </w:tcPr>
          <w:p w14:paraId="2C8CC142" w14:textId="6AB4E7A7" w:rsidR="00C351C8" w:rsidRPr="00630D92" w:rsidRDefault="00C351C8" w:rsidP="00C351C8">
            <w:pPr>
              <w:tabs>
                <w:tab w:val="right" w:pos="1202"/>
              </w:tabs>
              <w:spacing w:after="0" w:line="280" w:lineRule="exact"/>
              <w:jc w:val="right"/>
              <w:outlineLvl w:val="0"/>
              <w:rPr>
                <w:rFonts w:ascii="Calibri" w:eastAsia="Calibri" w:hAnsi="Calibri" w:cs="Times New Roman"/>
                <w:b/>
                <w:bCs/>
                <w:sz w:val="19"/>
                <w:szCs w:val="19"/>
                <w:lang w:val="en-US"/>
              </w:rPr>
            </w:pPr>
            <w:r w:rsidRPr="00630D92">
              <w:rPr>
                <w:b/>
                <w:bCs/>
                <w:sz w:val="19"/>
                <w:szCs w:val="19"/>
              </w:rPr>
              <w:t xml:space="preserve"> 30</w:t>
            </w:r>
            <w:r w:rsidR="00630D92" w:rsidRPr="00630D92">
              <w:rPr>
                <w:b/>
                <w:bCs/>
                <w:sz w:val="19"/>
                <w:szCs w:val="19"/>
              </w:rPr>
              <w:t>,</w:t>
            </w:r>
            <w:r w:rsidRPr="00630D92">
              <w:rPr>
                <w:b/>
                <w:bCs/>
                <w:sz w:val="19"/>
                <w:szCs w:val="19"/>
              </w:rPr>
              <w:t>460</w:t>
            </w:r>
            <w:r w:rsidR="00630D92" w:rsidRPr="00630D92">
              <w:rPr>
                <w:b/>
                <w:bCs/>
                <w:sz w:val="19"/>
                <w:szCs w:val="19"/>
              </w:rPr>
              <w:t>,</w:t>
            </w:r>
            <w:r w:rsidRPr="00630D92">
              <w:rPr>
                <w:b/>
                <w:bCs/>
                <w:sz w:val="19"/>
                <w:szCs w:val="19"/>
              </w:rPr>
              <w:t xml:space="preserve">202 </w:t>
            </w:r>
          </w:p>
        </w:tc>
        <w:tc>
          <w:tcPr>
            <w:tcW w:w="719" w:type="pct"/>
            <w:tcBorders>
              <w:top w:val="nil"/>
              <w:left w:val="nil"/>
              <w:bottom w:val="single" w:sz="12" w:space="0" w:color="auto"/>
              <w:right w:val="nil"/>
            </w:tcBorders>
            <w:shd w:val="clear" w:color="auto" w:fill="auto"/>
            <w:vAlign w:val="bottom"/>
          </w:tcPr>
          <w:p w14:paraId="2EDEC769" w14:textId="4C0F4E57" w:rsidR="00C351C8" w:rsidRPr="00630D92" w:rsidRDefault="00C351C8" w:rsidP="00C351C8">
            <w:pPr>
              <w:tabs>
                <w:tab w:val="right" w:pos="1202"/>
              </w:tabs>
              <w:spacing w:after="0" w:line="280" w:lineRule="exact"/>
              <w:jc w:val="right"/>
              <w:outlineLvl w:val="0"/>
              <w:rPr>
                <w:rFonts w:ascii="Calibri" w:eastAsia="Calibri" w:hAnsi="Calibri" w:cs="Times New Roman"/>
                <w:b/>
                <w:bCs/>
                <w:sz w:val="19"/>
                <w:szCs w:val="19"/>
                <w:lang w:val="en-US"/>
              </w:rPr>
            </w:pPr>
            <w:r w:rsidRPr="00630D92">
              <w:rPr>
                <w:b/>
                <w:bCs/>
                <w:sz w:val="19"/>
                <w:szCs w:val="19"/>
              </w:rPr>
              <w:t xml:space="preserve"> 70</w:t>
            </w:r>
            <w:r w:rsidR="00630D92" w:rsidRPr="00630D92">
              <w:rPr>
                <w:b/>
                <w:bCs/>
                <w:sz w:val="19"/>
                <w:szCs w:val="19"/>
              </w:rPr>
              <w:t>,</w:t>
            </w:r>
            <w:r w:rsidRPr="00630D92">
              <w:rPr>
                <w:b/>
                <w:bCs/>
                <w:sz w:val="19"/>
                <w:szCs w:val="19"/>
              </w:rPr>
              <w:t xml:space="preserve">879 </w:t>
            </w:r>
          </w:p>
        </w:tc>
        <w:tc>
          <w:tcPr>
            <w:tcW w:w="719" w:type="pct"/>
            <w:tcBorders>
              <w:top w:val="nil"/>
              <w:left w:val="nil"/>
              <w:bottom w:val="single" w:sz="12" w:space="0" w:color="auto"/>
              <w:right w:val="nil"/>
            </w:tcBorders>
            <w:shd w:val="clear" w:color="auto" w:fill="auto"/>
            <w:vAlign w:val="bottom"/>
          </w:tcPr>
          <w:p w14:paraId="3394D718" w14:textId="00FCE5A9" w:rsidR="00C351C8" w:rsidRPr="00630D92" w:rsidRDefault="00C351C8" w:rsidP="00C351C8">
            <w:pPr>
              <w:tabs>
                <w:tab w:val="right" w:pos="1202"/>
              </w:tabs>
              <w:spacing w:after="0" w:line="280" w:lineRule="exact"/>
              <w:jc w:val="right"/>
              <w:outlineLvl w:val="0"/>
              <w:rPr>
                <w:rFonts w:ascii="Calibri" w:eastAsia="Calibri" w:hAnsi="Calibri" w:cs="Times New Roman"/>
                <w:b/>
                <w:bCs/>
                <w:sz w:val="19"/>
                <w:szCs w:val="19"/>
                <w:lang w:val="en-US"/>
              </w:rPr>
            </w:pPr>
            <w:r w:rsidRPr="00630D92">
              <w:rPr>
                <w:b/>
                <w:bCs/>
                <w:sz w:val="19"/>
                <w:szCs w:val="19"/>
              </w:rPr>
              <w:t xml:space="preserve"> 430</w:t>
            </w:r>
            <w:r w:rsidR="00630D92" w:rsidRPr="00630D92">
              <w:rPr>
                <w:b/>
                <w:bCs/>
                <w:sz w:val="19"/>
                <w:szCs w:val="19"/>
              </w:rPr>
              <w:t>,</w:t>
            </w:r>
            <w:r w:rsidRPr="00630D92">
              <w:rPr>
                <w:b/>
                <w:bCs/>
                <w:sz w:val="19"/>
                <w:szCs w:val="19"/>
              </w:rPr>
              <w:t xml:space="preserve">433 </w:t>
            </w:r>
          </w:p>
        </w:tc>
        <w:tc>
          <w:tcPr>
            <w:tcW w:w="720" w:type="pct"/>
            <w:tcBorders>
              <w:top w:val="nil"/>
              <w:left w:val="nil"/>
              <w:bottom w:val="single" w:sz="12" w:space="0" w:color="auto"/>
              <w:right w:val="nil"/>
            </w:tcBorders>
            <w:shd w:val="clear" w:color="auto" w:fill="auto"/>
            <w:vAlign w:val="bottom"/>
          </w:tcPr>
          <w:p w14:paraId="700C864A" w14:textId="2BFA0C25" w:rsidR="00C351C8" w:rsidRPr="00630D92" w:rsidRDefault="00C351C8" w:rsidP="00C351C8">
            <w:pPr>
              <w:tabs>
                <w:tab w:val="right" w:pos="1202"/>
              </w:tabs>
              <w:spacing w:after="0" w:line="280" w:lineRule="exact"/>
              <w:jc w:val="right"/>
              <w:outlineLvl w:val="0"/>
              <w:rPr>
                <w:rFonts w:ascii="Calibri" w:eastAsia="Calibri" w:hAnsi="Calibri" w:cs="Times New Roman"/>
                <w:b/>
                <w:bCs/>
                <w:sz w:val="19"/>
                <w:szCs w:val="19"/>
                <w:lang w:val="en-US"/>
              </w:rPr>
            </w:pPr>
            <w:r w:rsidRPr="00630D92">
              <w:rPr>
                <w:b/>
                <w:bCs/>
                <w:sz w:val="19"/>
                <w:szCs w:val="19"/>
              </w:rPr>
              <w:t xml:space="preserve"> 30</w:t>
            </w:r>
            <w:r w:rsidR="00630D92" w:rsidRPr="00630D92">
              <w:rPr>
                <w:b/>
                <w:bCs/>
                <w:sz w:val="19"/>
                <w:szCs w:val="19"/>
              </w:rPr>
              <w:t>,</w:t>
            </w:r>
            <w:r w:rsidRPr="00630D92">
              <w:rPr>
                <w:b/>
                <w:bCs/>
                <w:sz w:val="19"/>
                <w:szCs w:val="19"/>
              </w:rPr>
              <w:t>961</w:t>
            </w:r>
            <w:r w:rsidR="00630D92" w:rsidRPr="00630D92">
              <w:rPr>
                <w:b/>
                <w:bCs/>
                <w:sz w:val="19"/>
                <w:szCs w:val="19"/>
              </w:rPr>
              <w:t>,</w:t>
            </w:r>
            <w:r w:rsidRPr="00630D92">
              <w:rPr>
                <w:b/>
                <w:bCs/>
                <w:sz w:val="19"/>
                <w:szCs w:val="19"/>
              </w:rPr>
              <w:t xml:space="preserve">514 </w:t>
            </w:r>
          </w:p>
        </w:tc>
      </w:tr>
    </w:tbl>
    <w:p w14:paraId="4C744688"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sectPr w:rsidR="00364B19" w:rsidRPr="00537128">
          <w:pgSz w:w="11906" w:h="16838"/>
          <w:pgMar w:top="1417" w:right="1417" w:bottom="1417" w:left="1417" w:header="708" w:footer="708" w:gutter="0"/>
          <w:cols w:space="708"/>
          <w:docGrid w:linePitch="360"/>
        </w:sectPr>
      </w:pPr>
    </w:p>
    <w:p w14:paraId="23C2AECB" w14:textId="77777777" w:rsidR="00364B19" w:rsidRPr="00537128" w:rsidRDefault="00364B19" w:rsidP="00364B19">
      <w:pPr>
        <w:spacing w:after="0" w:line="240" w:lineRule="auto"/>
        <w:jc w:val="both"/>
        <w:rPr>
          <w:rFonts w:ascii="Calibri" w:eastAsia="Times New Roman" w:hAnsi="Calibri" w:cs="Calibri"/>
          <w:b/>
          <w:bCs/>
          <w:color w:val="000000" w:themeColor="text1"/>
          <w:lang w:val="en-US" w:eastAsia="hr-HR"/>
        </w:rPr>
      </w:pPr>
    </w:p>
    <w:p w14:paraId="7EB85DFC" w14:textId="6CFEB3EB" w:rsidR="00364B19" w:rsidRPr="00537128" w:rsidRDefault="00B357CE" w:rsidP="00364B19">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01FA8E40" w14:textId="77777777" w:rsidR="00364B19" w:rsidRPr="00537128"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14:paraId="042FF0EA" w14:textId="02493955" w:rsidR="00364B19" w:rsidRPr="00537128" w:rsidRDefault="00B357CE" w:rsidP="00364B19">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364B19" w:rsidRPr="00537128">
        <w:rPr>
          <w:rFonts w:ascii="Calibri" w:eastAsia="Times New Roman" w:hAnsi="Calibri" w:cs="Arial"/>
          <w:b/>
          <w:color w:val="000000" w:themeColor="text1"/>
          <w:lang w:val="en-US"/>
        </w:rPr>
        <w:t xml:space="preserve">   Credit risk (continued)</w:t>
      </w:r>
    </w:p>
    <w:p w14:paraId="3E39F54F"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5084C04A"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Concentration of risk and maximum credit risk exposure (continued)</w:t>
      </w:r>
    </w:p>
    <w:p w14:paraId="0FD1B752"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7B726F7F" w14:textId="77777777" w:rsidR="00364B19" w:rsidRPr="00537128" w:rsidRDefault="00364B19" w:rsidP="00364B19">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Concentration of assets and guarantees and commitments, net exposure, according to geographical segments, before the effect of mitigation through collateral received, is as follows (continued):</w:t>
      </w:r>
    </w:p>
    <w:p w14:paraId="702C4981" w14:textId="731B2D20" w:rsidR="00364B19" w:rsidRPr="00537128" w:rsidRDefault="00364B19" w:rsidP="00364B19">
      <w:pPr>
        <w:spacing w:after="0" w:line="240" w:lineRule="auto"/>
        <w:jc w:val="both"/>
        <w:rPr>
          <w:rFonts w:ascii="Calibri" w:eastAsia="Times New Roman" w:hAnsi="Calibri" w:cs="Arial"/>
          <w:b/>
          <w:color w:val="000000" w:themeColor="text1"/>
          <w:lang w:val="en-US"/>
        </w:rPr>
      </w:pPr>
    </w:p>
    <w:tbl>
      <w:tblPr>
        <w:tblW w:w="4999" w:type="pct"/>
        <w:tblLayout w:type="fixed"/>
        <w:tblCellMar>
          <w:left w:w="30" w:type="dxa"/>
          <w:right w:w="30" w:type="dxa"/>
        </w:tblCellMar>
        <w:tblLook w:val="0000" w:firstRow="0" w:lastRow="0" w:firstColumn="0" w:lastColumn="0" w:noHBand="0" w:noVBand="0"/>
      </w:tblPr>
      <w:tblGrid>
        <w:gridCol w:w="3852"/>
        <w:gridCol w:w="1304"/>
        <w:gridCol w:w="1304"/>
        <w:gridCol w:w="1304"/>
        <w:gridCol w:w="1306"/>
      </w:tblGrid>
      <w:tr w:rsidR="009C0C47" w:rsidRPr="005646A2" w14:paraId="3C5BCBBB" w14:textId="77777777" w:rsidTr="00765996">
        <w:trPr>
          <w:cantSplit/>
          <w:trHeight w:val="579"/>
          <w:tblHeader/>
        </w:trPr>
        <w:tc>
          <w:tcPr>
            <w:tcW w:w="2123" w:type="pct"/>
            <w:vAlign w:val="bottom"/>
          </w:tcPr>
          <w:p w14:paraId="3FCC62A3" w14:textId="77777777" w:rsidR="009C0C47" w:rsidRPr="001F110B" w:rsidRDefault="009C0C47" w:rsidP="0073637B">
            <w:pPr>
              <w:tabs>
                <w:tab w:val="right" w:pos="1202"/>
              </w:tabs>
              <w:spacing w:after="0" w:line="280" w:lineRule="exact"/>
              <w:outlineLvl w:val="0"/>
              <w:rPr>
                <w:rFonts w:cs="Arial"/>
                <w:b/>
                <w:sz w:val="19"/>
                <w:szCs w:val="19"/>
              </w:rPr>
            </w:pPr>
            <w:bookmarkStart w:id="735" w:name="_Hlk97732210"/>
            <w:r w:rsidRPr="001F110B">
              <w:rPr>
                <w:rFonts w:cs="Arial"/>
                <w:b/>
                <w:sz w:val="19"/>
                <w:szCs w:val="19"/>
              </w:rPr>
              <w:t>Bank</w:t>
            </w:r>
          </w:p>
          <w:p w14:paraId="1EF0E840" w14:textId="77777777" w:rsidR="009C0C47" w:rsidRPr="001F110B" w:rsidRDefault="009C0C47" w:rsidP="0073637B">
            <w:pPr>
              <w:tabs>
                <w:tab w:val="right" w:pos="1202"/>
              </w:tabs>
              <w:spacing w:after="0" w:line="280" w:lineRule="exact"/>
              <w:outlineLvl w:val="0"/>
              <w:rPr>
                <w:rFonts w:cs="Arial"/>
                <w:sz w:val="19"/>
                <w:szCs w:val="19"/>
              </w:rPr>
            </w:pPr>
            <w:r>
              <w:rPr>
                <w:rFonts w:ascii="Calibri" w:eastAsia="Calibri" w:hAnsi="Calibri" w:cs="Arial"/>
                <w:b/>
                <w:sz w:val="19"/>
                <w:szCs w:val="19"/>
              </w:rPr>
              <w:t>31 December</w:t>
            </w:r>
            <w:r w:rsidRPr="001F110B">
              <w:rPr>
                <w:rFonts w:cs="Arial"/>
                <w:b/>
                <w:sz w:val="19"/>
                <w:szCs w:val="19"/>
              </w:rPr>
              <w:t xml:space="preserve"> 20</w:t>
            </w:r>
            <w:r>
              <w:rPr>
                <w:rFonts w:cs="Arial"/>
                <w:b/>
                <w:sz w:val="19"/>
                <w:szCs w:val="19"/>
              </w:rPr>
              <w:t>21</w:t>
            </w:r>
          </w:p>
        </w:tc>
        <w:tc>
          <w:tcPr>
            <w:tcW w:w="719" w:type="pct"/>
            <w:vAlign w:val="bottom"/>
          </w:tcPr>
          <w:p w14:paraId="1B0A9B58" w14:textId="77777777" w:rsidR="009C0C47" w:rsidRPr="001F110B" w:rsidRDefault="009C0C47" w:rsidP="0073637B">
            <w:pPr>
              <w:tabs>
                <w:tab w:val="right" w:pos="1202"/>
              </w:tabs>
              <w:spacing w:after="0" w:line="280" w:lineRule="exact"/>
              <w:jc w:val="right"/>
              <w:outlineLvl w:val="0"/>
              <w:rPr>
                <w:rFonts w:ascii="Calibri" w:eastAsia="Calibri" w:hAnsi="Calibri" w:cs="Arial"/>
                <w:b/>
                <w:sz w:val="19"/>
                <w:szCs w:val="19"/>
              </w:rPr>
            </w:pPr>
            <w:r w:rsidRPr="001F110B">
              <w:rPr>
                <w:rFonts w:ascii="Calibri" w:eastAsia="Calibri" w:hAnsi="Calibri" w:cs="Arial"/>
                <w:b/>
                <w:sz w:val="19"/>
                <w:szCs w:val="19"/>
              </w:rPr>
              <w:t>Republic of Croatia</w:t>
            </w:r>
          </w:p>
        </w:tc>
        <w:tc>
          <w:tcPr>
            <w:tcW w:w="719" w:type="pct"/>
            <w:vAlign w:val="bottom"/>
          </w:tcPr>
          <w:p w14:paraId="00F64C60" w14:textId="77777777" w:rsidR="009C0C47" w:rsidRPr="001F110B" w:rsidRDefault="009C0C47" w:rsidP="0073637B">
            <w:pPr>
              <w:tabs>
                <w:tab w:val="right" w:pos="1202"/>
              </w:tabs>
              <w:spacing w:after="0" w:line="280" w:lineRule="exact"/>
              <w:jc w:val="right"/>
              <w:outlineLvl w:val="0"/>
              <w:rPr>
                <w:rFonts w:ascii="Calibri" w:eastAsia="Calibri" w:hAnsi="Calibri" w:cs="Arial"/>
                <w:b/>
                <w:sz w:val="19"/>
                <w:szCs w:val="19"/>
              </w:rPr>
            </w:pPr>
            <w:r w:rsidRPr="001F110B">
              <w:rPr>
                <w:rFonts w:ascii="Calibri" w:eastAsia="Calibri" w:hAnsi="Calibri" w:cs="Arial"/>
                <w:b/>
                <w:sz w:val="19"/>
                <w:szCs w:val="19"/>
              </w:rPr>
              <w:t xml:space="preserve">EU </w:t>
            </w:r>
          </w:p>
          <w:p w14:paraId="03DCA458" w14:textId="77777777" w:rsidR="009C0C47" w:rsidRPr="001F110B" w:rsidRDefault="009C0C47" w:rsidP="0073637B">
            <w:pPr>
              <w:tabs>
                <w:tab w:val="right" w:pos="1202"/>
              </w:tabs>
              <w:spacing w:after="0" w:line="280" w:lineRule="exact"/>
              <w:jc w:val="right"/>
              <w:outlineLvl w:val="0"/>
              <w:rPr>
                <w:rFonts w:ascii="Calibri" w:eastAsia="Calibri" w:hAnsi="Calibri" w:cs="Arial"/>
                <w:b/>
                <w:sz w:val="19"/>
                <w:szCs w:val="19"/>
              </w:rPr>
            </w:pPr>
            <w:r w:rsidRPr="001F110B">
              <w:rPr>
                <w:rFonts w:ascii="Calibri" w:eastAsia="Calibri" w:hAnsi="Calibri" w:cs="Arial"/>
                <w:b/>
                <w:sz w:val="19"/>
                <w:szCs w:val="19"/>
              </w:rPr>
              <w:t>countries</w:t>
            </w:r>
          </w:p>
        </w:tc>
        <w:tc>
          <w:tcPr>
            <w:tcW w:w="719" w:type="pct"/>
            <w:vAlign w:val="bottom"/>
          </w:tcPr>
          <w:p w14:paraId="4299708D" w14:textId="77777777" w:rsidR="009C0C47" w:rsidRPr="001F110B" w:rsidRDefault="009C0C47" w:rsidP="0073637B">
            <w:pPr>
              <w:tabs>
                <w:tab w:val="right" w:pos="1202"/>
              </w:tabs>
              <w:spacing w:after="0" w:line="280" w:lineRule="exact"/>
              <w:jc w:val="right"/>
              <w:outlineLvl w:val="0"/>
              <w:rPr>
                <w:rFonts w:ascii="Calibri" w:eastAsia="Calibri" w:hAnsi="Calibri" w:cs="Arial"/>
                <w:b/>
                <w:sz w:val="19"/>
                <w:szCs w:val="19"/>
              </w:rPr>
            </w:pPr>
            <w:r w:rsidRPr="001F110B">
              <w:rPr>
                <w:rFonts w:ascii="Calibri" w:eastAsia="Calibri" w:hAnsi="Calibri" w:cs="Arial"/>
                <w:b/>
                <w:sz w:val="19"/>
                <w:szCs w:val="19"/>
              </w:rPr>
              <w:t xml:space="preserve">Other </w:t>
            </w:r>
          </w:p>
          <w:p w14:paraId="137FB97C" w14:textId="77777777" w:rsidR="009C0C47" w:rsidRPr="001F110B" w:rsidRDefault="009C0C47" w:rsidP="0073637B">
            <w:pPr>
              <w:tabs>
                <w:tab w:val="right" w:pos="1202"/>
              </w:tabs>
              <w:spacing w:after="0" w:line="280" w:lineRule="exact"/>
              <w:jc w:val="right"/>
              <w:outlineLvl w:val="0"/>
              <w:rPr>
                <w:rFonts w:ascii="Calibri" w:eastAsia="Calibri" w:hAnsi="Calibri" w:cs="Arial"/>
                <w:b/>
                <w:sz w:val="19"/>
                <w:szCs w:val="19"/>
              </w:rPr>
            </w:pPr>
            <w:r w:rsidRPr="001F110B">
              <w:rPr>
                <w:rFonts w:ascii="Calibri" w:eastAsia="Calibri" w:hAnsi="Calibri" w:cs="Arial"/>
                <w:b/>
                <w:sz w:val="19"/>
                <w:szCs w:val="19"/>
              </w:rPr>
              <w:t xml:space="preserve">countries </w:t>
            </w:r>
          </w:p>
        </w:tc>
        <w:tc>
          <w:tcPr>
            <w:tcW w:w="720" w:type="pct"/>
            <w:vAlign w:val="bottom"/>
          </w:tcPr>
          <w:p w14:paraId="25FB7F9F" w14:textId="77777777" w:rsidR="009C0C47" w:rsidRPr="001F110B" w:rsidRDefault="009C0C47" w:rsidP="0073637B">
            <w:pPr>
              <w:tabs>
                <w:tab w:val="right" w:pos="1202"/>
              </w:tabs>
              <w:spacing w:after="0" w:line="280" w:lineRule="exact"/>
              <w:jc w:val="right"/>
              <w:outlineLvl w:val="0"/>
              <w:rPr>
                <w:rFonts w:ascii="Calibri" w:eastAsia="Calibri" w:hAnsi="Calibri" w:cs="Arial"/>
                <w:b/>
                <w:sz w:val="19"/>
                <w:szCs w:val="19"/>
              </w:rPr>
            </w:pPr>
            <w:r w:rsidRPr="001F110B">
              <w:rPr>
                <w:rFonts w:ascii="Calibri" w:eastAsia="Calibri" w:hAnsi="Calibri" w:cs="Arial"/>
                <w:b/>
                <w:sz w:val="19"/>
                <w:szCs w:val="19"/>
              </w:rPr>
              <w:t>Total</w:t>
            </w:r>
          </w:p>
        </w:tc>
      </w:tr>
      <w:tr w:rsidR="009C0C47" w:rsidRPr="005646A2" w14:paraId="0204BD53" w14:textId="77777777" w:rsidTr="00765996">
        <w:trPr>
          <w:cantSplit/>
          <w:trHeight w:val="250"/>
          <w:tblHeader/>
        </w:trPr>
        <w:tc>
          <w:tcPr>
            <w:tcW w:w="2123" w:type="pct"/>
          </w:tcPr>
          <w:p w14:paraId="28A39E06" w14:textId="77777777" w:rsidR="009C0C47" w:rsidRPr="001F110B" w:rsidRDefault="009C0C47" w:rsidP="0073637B">
            <w:pPr>
              <w:tabs>
                <w:tab w:val="right" w:pos="1202"/>
              </w:tabs>
              <w:spacing w:after="0" w:line="280" w:lineRule="exact"/>
              <w:outlineLvl w:val="0"/>
              <w:rPr>
                <w:rFonts w:cs="Arial"/>
                <w:sz w:val="19"/>
                <w:szCs w:val="19"/>
              </w:rPr>
            </w:pPr>
          </w:p>
        </w:tc>
        <w:tc>
          <w:tcPr>
            <w:tcW w:w="719" w:type="pct"/>
          </w:tcPr>
          <w:p w14:paraId="27F224E6" w14:textId="77777777" w:rsidR="009C0C47" w:rsidRPr="001F110B" w:rsidRDefault="009C0C47" w:rsidP="0073637B">
            <w:pPr>
              <w:tabs>
                <w:tab w:val="right" w:pos="1202"/>
              </w:tabs>
              <w:spacing w:after="0" w:line="280" w:lineRule="exact"/>
              <w:jc w:val="right"/>
              <w:outlineLvl w:val="0"/>
              <w:rPr>
                <w:rFonts w:ascii="Calibri" w:eastAsia="Calibri" w:hAnsi="Calibri" w:cs="Arial"/>
                <w:b/>
                <w:sz w:val="19"/>
                <w:szCs w:val="19"/>
              </w:rPr>
            </w:pPr>
            <w:r w:rsidRPr="001F110B">
              <w:rPr>
                <w:rFonts w:ascii="Calibri" w:eastAsia="Calibri" w:hAnsi="Calibri" w:cs="Arial"/>
                <w:b/>
                <w:sz w:val="19"/>
                <w:szCs w:val="19"/>
              </w:rPr>
              <w:t>HRK ‘000</w:t>
            </w:r>
          </w:p>
        </w:tc>
        <w:tc>
          <w:tcPr>
            <w:tcW w:w="719" w:type="pct"/>
          </w:tcPr>
          <w:p w14:paraId="0F7E416E" w14:textId="77777777" w:rsidR="009C0C47" w:rsidRPr="001F110B" w:rsidRDefault="009C0C47" w:rsidP="0073637B">
            <w:pPr>
              <w:tabs>
                <w:tab w:val="right" w:pos="1202"/>
              </w:tabs>
              <w:spacing w:after="0" w:line="280" w:lineRule="exact"/>
              <w:jc w:val="right"/>
              <w:outlineLvl w:val="0"/>
              <w:rPr>
                <w:rFonts w:ascii="Calibri" w:eastAsia="Calibri" w:hAnsi="Calibri" w:cs="Arial"/>
                <w:b/>
                <w:sz w:val="19"/>
                <w:szCs w:val="19"/>
              </w:rPr>
            </w:pPr>
            <w:r w:rsidRPr="001F110B">
              <w:rPr>
                <w:rFonts w:ascii="Calibri" w:eastAsia="Calibri" w:hAnsi="Calibri" w:cs="Arial"/>
                <w:b/>
                <w:sz w:val="19"/>
                <w:szCs w:val="19"/>
              </w:rPr>
              <w:t>HRK ‘000</w:t>
            </w:r>
          </w:p>
        </w:tc>
        <w:tc>
          <w:tcPr>
            <w:tcW w:w="719" w:type="pct"/>
          </w:tcPr>
          <w:p w14:paraId="79A0E370" w14:textId="77777777" w:rsidR="009C0C47" w:rsidRPr="001F110B" w:rsidRDefault="009C0C47" w:rsidP="0073637B">
            <w:pPr>
              <w:tabs>
                <w:tab w:val="right" w:pos="1202"/>
              </w:tabs>
              <w:spacing w:after="0" w:line="280" w:lineRule="exact"/>
              <w:jc w:val="right"/>
              <w:outlineLvl w:val="0"/>
              <w:rPr>
                <w:rFonts w:ascii="Calibri" w:eastAsia="Calibri" w:hAnsi="Calibri" w:cs="Arial"/>
                <w:b/>
                <w:sz w:val="19"/>
                <w:szCs w:val="19"/>
              </w:rPr>
            </w:pPr>
            <w:r w:rsidRPr="001F110B">
              <w:rPr>
                <w:rFonts w:ascii="Calibri" w:eastAsia="Calibri" w:hAnsi="Calibri" w:cs="Arial"/>
                <w:b/>
                <w:sz w:val="19"/>
                <w:szCs w:val="19"/>
              </w:rPr>
              <w:t>HRK ‘000</w:t>
            </w:r>
          </w:p>
        </w:tc>
        <w:tc>
          <w:tcPr>
            <w:tcW w:w="720" w:type="pct"/>
          </w:tcPr>
          <w:p w14:paraId="2C422EA8" w14:textId="77777777" w:rsidR="009C0C47" w:rsidRPr="001F110B" w:rsidRDefault="009C0C47" w:rsidP="0073637B">
            <w:pPr>
              <w:tabs>
                <w:tab w:val="right" w:pos="1202"/>
              </w:tabs>
              <w:spacing w:after="0" w:line="280" w:lineRule="exact"/>
              <w:jc w:val="right"/>
              <w:outlineLvl w:val="0"/>
              <w:rPr>
                <w:rFonts w:ascii="Calibri" w:eastAsia="Calibri" w:hAnsi="Calibri" w:cs="Arial"/>
                <w:b/>
                <w:sz w:val="19"/>
                <w:szCs w:val="19"/>
              </w:rPr>
            </w:pPr>
            <w:r w:rsidRPr="001F110B">
              <w:rPr>
                <w:rFonts w:ascii="Calibri" w:eastAsia="Calibri" w:hAnsi="Calibri" w:cs="Arial"/>
                <w:b/>
                <w:sz w:val="19"/>
                <w:szCs w:val="19"/>
              </w:rPr>
              <w:t>HRK ‘000</w:t>
            </w:r>
          </w:p>
        </w:tc>
      </w:tr>
      <w:tr w:rsidR="009C0C47" w:rsidRPr="005646A2" w14:paraId="68D66776" w14:textId="77777777" w:rsidTr="00765996">
        <w:trPr>
          <w:cantSplit/>
          <w:trHeight w:val="250"/>
          <w:tblHeader/>
        </w:trPr>
        <w:tc>
          <w:tcPr>
            <w:tcW w:w="2123" w:type="pct"/>
          </w:tcPr>
          <w:p w14:paraId="0ADFC7E9" w14:textId="77777777" w:rsidR="009C0C47" w:rsidRPr="001F110B" w:rsidRDefault="009C0C47" w:rsidP="0073637B">
            <w:pPr>
              <w:tabs>
                <w:tab w:val="right" w:pos="1202"/>
              </w:tabs>
              <w:spacing w:after="0" w:line="280" w:lineRule="exact"/>
              <w:outlineLvl w:val="0"/>
              <w:rPr>
                <w:rFonts w:cs="Arial"/>
                <w:b/>
                <w:sz w:val="19"/>
                <w:szCs w:val="19"/>
              </w:rPr>
            </w:pPr>
            <w:r w:rsidRPr="001F110B">
              <w:rPr>
                <w:rFonts w:cs="Arial"/>
                <w:b/>
                <w:sz w:val="19"/>
                <w:szCs w:val="19"/>
              </w:rPr>
              <w:t>Assets</w:t>
            </w:r>
          </w:p>
        </w:tc>
        <w:tc>
          <w:tcPr>
            <w:tcW w:w="719" w:type="pct"/>
          </w:tcPr>
          <w:p w14:paraId="4604F64F" w14:textId="77777777" w:rsidR="009C0C47" w:rsidRPr="005646A2" w:rsidRDefault="009C0C47" w:rsidP="0073637B">
            <w:pPr>
              <w:spacing w:after="0" w:line="280" w:lineRule="exact"/>
              <w:jc w:val="right"/>
              <w:rPr>
                <w:rFonts w:cs="Arial"/>
                <w:sz w:val="19"/>
                <w:szCs w:val="19"/>
              </w:rPr>
            </w:pPr>
          </w:p>
        </w:tc>
        <w:tc>
          <w:tcPr>
            <w:tcW w:w="719" w:type="pct"/>
          </w:tcPr>
          <w:p w14:paraId="476A1C2A" w14:textId="77777777" w:rsidR="009C0C47" w:rsidRPr="005646A2" w:rsidRDefault="009C0C47" w:rsidP="0073637B">
            <w:pPr>
              <w:spacing w:after="0" w:line="280" w:lineRule="exact"/>
              <w:jc w:val="right"/>
              <w:rPr>
                <w:rFonts w:cs="Arial"/>
                <w:sz w:val="19"/>
                <w:szCs w:val="19"/>
              </w:rPr>
            </w:pPr>
          </w:p>
        </w:tc>
        <w:tc>
          <w:tcPr>
            <w:tcW w:w="719" w:type="pct"/>
          </w:tcPr>
          <w:p w14:paraId="4CC76241" w14:textId="77777777" w:rsidR="009C0C47" w:rsidRPr="005646A2" w:rsidRDefault="009C0C47" w:rsidP="0073637B">
            <w:pPr>
              <w:spacing w:after="0" w:line="280" w:lineRule="exact"/>
              <w:jc w:val="right"/>
              <w:rPr>
                <w:rFonts w:cs="Arial"/>
                <w:sz w:val="19"/>
                <w:szCs w:val="19"/>
              </w:rPr>
            </w:pPr>
          </w:p>
        </w:tc>
        <w:tc>
          <w:tcPr>
            <w:tcW w:w="720" w:type="pct"/>
          </w:tcPr>
          <w:p w14:paraId="18114024" w14:textId="77777777" w:rsidR="009C0C47" w:rsidRPr="005646A2" w:rsidRDefault="009C0C47" w:rsidP="0073637B">
            <w:pPr>
              <w:spacing w:after="0" w:line="280" w:lineRule="exact"/>
              <w:jc w:val="center"/>
              <w:rPr>
                <w:rFonts w:cs="Arial"/>
                <w:sz w:val="19"/>
                <w:szCs w:val="19"/>
              </w:rPr>
            </w:pPr>
          </w:p>
        </w:tc>
      </w:tr>
      <w:tr w:rsidR="009C0C47" w:rsidRPr="005646A2" w14:paraId="55E2D6BD" w14:textId="77777777" w:rsidTr="00765996">
        <w:trPr>
          <w:cantSplit/>
          <w:trHeight w:val="250"/>
          <w:tblHeader/>
        </w:trPr>
        <w:tc>
          <w:tcPr>
            <w:tcW w:w="2123" w:type="pct"/>
            <w:vAlign w:val="bottom"/>
          </w:tcPr>
          <w:p w14:paraId="044C1787" w14:textId="77777777" w:rsidR="009C0C47" w:rsidRPr="001F110B" w:rsidRDefault="009C0C47" w:rsidP="0073637B">
            <w:pPr>
              <w:tabs>
                <w:tab w:val="right" w:pos="1202"/>
              </w:tabs>
              <w:spacing w:after="0" w:line="280" w:lineRule="exact"/>
              <w:outlineLvl w:val="0"/>
              <w:rPr>
                <w:rFonts w:cs="Arial"/>
                <w:sz w:val="19"/>
                <w:szCs w:val="19"/>
              </w:rPr>
            </w:pPr>
            <w:r w:rsidRPr="001F110B">
              <w:rPr>
                <w:rFonts w:cs="Arial"/>
                <w:sz w:val="19"/>
                <w:szCs w:val="19"/>
              </w:rPr>
              <w:t>Cash on hand and current accounts with banks</w:t>
            </w:r>
          </w:p>
        </w:tc>
        <w:tc>
          <w:tcPr>
            <w:tcW w:w="719" w:type="pct"/>
            <w:tcBorders>
              <w:top w:val="nil"/>
              <w:left w:val="nil"/>
              <w:bottom w:val="nil"/>
              <w:right w:val="nil"/>
            </w:tcBorders>
            <w:shd w:val="clear" w:color="auto" w:fill="auto"/>
            <w:vAlign w:val="bottom"/>
          </w:tcPr>
          <w:p w14:paraId="762F3A9B" w14:textId="77777777" w:rsidR="009C0C47" w:rsidRPr="00EE7B81" w:rsidRDefault="009C0C47" w:rsidP="0073637B">
            <w:pPr>
              <w:tabs>
                <w:tab w:val="right" w:pos="1202"/>
              </w:tabs>
              <w:spacing w:after="0" w:line="280" w:lineRule="exact"/>
              <w:jc w:val="right"/>
              <w:outlineLvl w:val="0"/>
              <w:rPr>
                <w:rFonts w:ascii="Calibri" w:eastAsia="Calibri" w:hAnsi="Calibri"/>
                <w:sz w:val="19"/>
                <w:szCs w:val="19"/>
              </w:rPr>
            </w:pPr>
            <w:bookmarkStart w:id="736" w:name="_Toc67329463"/>
            <w:r w:rsidRPr="006577DA">
              <w:rPr>
                <w:sz w:val="19"/>
                <w:szCs w:val="19"/>
              </w:rPr>
              <w:t xml:space="preserve"> 1</w:t>
            </w:r>
            <w:r>
              <w:rPr>
                <w:sz w:val="19"/>
                <w:szCs w:val="19"/>
              </w:rPr>
              <w:t>,</w:t>
            </w:r>
            <w:r w:rsidRPr="006577DA">
              <w:rPr>
                <w:sz w:val="19"/>
                <w:szCs w:val="19"/>
              </w:rPr>
              <w:t>877</w:t>
            </w:r>
            <w:r>
              <w:rPr>
                <w:sz w:val="19"/>
                <w:szCs w:val="19"/>
              </w:rPr>
              <w:t>,</w:t>
            </w:r>
            <w:r w:rsidRPr="006577DA">
              <w:rPr>
                <w:sz w:val="19"/>
                <w:szCs w:val="19"/>
              </w:rPr>
              <w:t xml:space="preserve">717 </w:t>
            </w:r>
            <w:bookmarkEnd w:id="736"/>
          </w:p>
        </w:tc>
        <w:tc>
          <w:tcPr>
            <w:tcW w:w="719" w:type="pct"/>
            <w:tcBorders>
              <w:top w:val="nil"/>
              <w:left w:val="nil"/>
              <w:bottom w:val="nil"/>
              <w:right w:val="nil"/>
            </w:tcBorders>
            <w:shd w:val="clear" w:color="auto" w:fill="auto"/>
            <w:vAlign w:val="bottom"/>
          </w:tcPr>
          <w:p w14:paraId="0CE83EBA" w14:textId="77777777" w:rsidR="009C0C47" w:rsidRPr="00EE7B81" w:rsidRDefault="009C0C47" w:rsidP="0073637B">
            <w:pPr>
              <w:tabs>
                <w:tab w:val="right" w:pos="1202"/>
              </w:tabs>
              <w:spacing w:after="0" w:line="280" w:lineRule="exact"/>
              <w:jc w:val="right"/>
              <w:outlineLvl w:val="0"/>
              <w:rPr>
                <w:rFonts w:ascii="Calibri" w:eastAsia="Calibri" w:hAnsi="Calibri"/>
                <w:sz w:val="19"/>
                <w:szCs w:val="19"/>
              </w:rPr>
            </w:pPr>
            <w:bookmarkStart w:id="737" w:name="_Toc67329464"/>
            <w:r w:rsidRPr="006577DA">
              <w:rPr>
                <w:sz w:val="19"/>
                <w:szCs w:val="19"/>
              </w:rPr>
              <w:t xml:space="preserve"> 25</w:t>
            </w:r>
            <w:r>
              <w:rPr>
                <w:sz w:val="19"/>
                <w:szCs w:val="19"/>
              </w:rPr>
              <w:t>,</w:t>
            </w:r>
            <w:r w:rsidRPr="006577DA">
              <w:rPr>
                <w:sz w:val="19"/>
                <w:szCs w:val="19"/>
              </w:rPr>
              <w:t xml:space="preserve">319 </w:t>
            </w:r>
            <w:bookmarkEnd w:id="737"/>
          </w:p>
        </w:tc>
        <w:tc>
          <w:tcPr>
            <w:tcW w:w="719" w:type="pct"/>
            <w:tcBorders>
              <w:top w:val="nil"/>
              <w:left w:val="nil"/>
              <w:bottom w:val="nil"/>
              <w:right w:val="nil"/>
            </w:tcBorders>
            <w:shd w:val="clear" w:color="auto" w:fill="auto"/>
            <w:vAlign w:val="bottom"/>
          </w:tcPr>
          <w:p w14:paraId="44BB2722" w14:textId="77777777" w:rsidR="009C0C47" w:rsidRPr="00EE7B81" w:rsidRDefault="009C0C47" w:rsidP="0073637B">
            <w:pPr>
              <w:tabs>
                <w:tab w:val="right" w:pos="1202"/>
              </w:tabs>
              <w:spacing w:after="0" w:line="280" w:lineRule="exact"/>
              <w:jc w:val="right"/>
              <w:outlineLvl w:val="0"/>
              <w:rPr>
                <w:rFonts w:ascii="Calibri" w:eastAsia="Calibri" w:hAnsi="Calibri"/>
                <w:sz w:val="19"/>
                <w:szCs w:val="19"/>
              </w:rPr>
            </w:pPr>
            <w:bookmarkStart w:id="738" w:name="_Toc67329465"/>
            <w:r w:rsidRPr="006577DA">
              <w:rPr>
                <w:sz w:val="19"/>
                <w:szCs w:val="19"/>
              </w:rPr>
              <w:t xml:space="preserve"> 55</w:t>
            </w:r>
            <w:r>
              <w:rPr>
                <w:sz w:val="19"/>
                <w:szCs w:val="19"/>
              </w:rPr>
              <w:t>,</w:t>
            </w:r>
            <w:r w:rsidRPr="006577DA">
              <w:rPr>
                <w:sz w:val="19"/>
                <w:szCs w:val="19"/>
              </w:rPr>
              <w:t xml:space="preserve">583 </w:t>
            </w:r>
            <w:bookmarkEnd w:id="738"/>
          </w:p>
        </w:tc>
        <w:tc>
          <w:tcPr>
            <w:tcW w:w="720" w:type="pct"/>
            <w:tcBorders>
              <w:top w:val="nil"/>
              <w:left w:val="nil"/>
              <w:bottom w:val="nil"/>
              <w:right w:val="nil"/>
            </w:tcBorders>
            <w:shd w:val="clear" w:color="auto" w:fill="auto"/>
            <w:vAlign w:val="bottom"/>
          </w:tcPr>
          <w:p w14:paraId="5AD91AB7" w14:textId="77777777" w:rsidR="009C0C47" w:rsidRPr="00EE7B81" w:rsidRDefault="009C0C47" w:rsidP="0073637B">
            <w:pPr>
              <w:tabs>
                <w:tab w:val="right" w:pos="1202"/>
              </w:tabs>
              <w:spacing w:after="0" w:line="280" w:lineRule="exact"/>
              <w:jc w:val="right"/>
              <w:outlineLvl w:val="0"/>
              <w:rPr>
                <w:rFonts w:ascii="Calibri" w:eastAsia="Calibri" w:hAnsi="Calibri"/>
                <w:sz w:val="19"/>
                <w:szCs w:val="19"/>
              </w:rPr>
            </w:pPr>
            <w:bookmarkStart w:id="739" w:name="_Toc67329466"/>
            <w:r w:rsidRPr="006577DA">
              <w:rPr>
                <w:sz w:val="19"/>
                <w:szCs w:val="19"/>
              </w:rPr>
              <w:t xml:space="preserve"> 1</w:t>
            </w:r>
            <w:r>
              <w:rPr>
                <w:sz w:val="19"/>
                <w:szCs w:val="19"/>
              </w:rPr>
              <w:t>,</w:t>
            </w:r>
            <w:r w:rsidRPr="006577DA">
              <w:rPr>
                <w:sz w:val="19"/>
                <w:szCs w:val="19"/>
              </w:rPr>
              <w:t>958</w:t>
            </w:r>
            <w:r>
              <w:rPr>
                <w:sz w:val="19"/>
                <w:szCs w:val="19"/>
              </w:rPr>
              <w:t>,</w:t>
            </w:r>
            <w:r w:rsidRPr="006577DA">
              <w:rPr>
                <w:sz w:val="19"/>
                <w:szCs w:val="19"/>
              </w:rPr>
              <w:t xml:space="preserve">619 </w:t>
            </w:r>
            <w:bookmarkEnd w:id="739"/>
          </w:p>
        </w:tc>
      </w:tr>
      <w:tr w:rsidR="009C0C47" w:rsidRPr="005646A2" w14:paraId="1588B72B" w14:textId="77777777" w:rsidTr="00765996">
        <w:trPr>
          <w:cantSplit/>
          <w:trHeight w:val="250"/>
          <w:tblHeader/>
        </w:trPr>
        <w:tc>
          <w:tcPr>
            <w:tcW w:w="2123" w:type="pct"/>
            <w:vAlign w:val="bottom"/>
          </w:tcPr>
          <w:p w14:paraId="7A54FEF4" w14:textId="77777777" w:rsidR="009C0C47" w:rsidRPr="001F110B" w:rsidRDefault="009C0C47" w:rsidP="0073637B">
            <w:pPr>
              <w:tabs>
                <w:tab w:val="right" w:pos="1202"/>
              </w:tabs>
              <w:spacing w:after="0" w:line="280" w:lineRule="exact"/>
              <w:outlineLvl w:val="0"/>
              <w:rPr>
                <w:rFonts w:cs="Arial"/>
                <w:sz w:val="19"/>
                <w:szCs w:val="19"/>
              </w:rPr>
            </w:pPr>
            <w:r w:rsidRPr="001F110B">
              <w:rPr>
                <w:rFonts w:cs="Arial"/>
                <w:sz w:val="19"/>
                <w:szCs w:val="19"/>
              </w:rPr>
              <w:t>Deposits with other banks</w:t>
            </w:r>
          </w:p>
        </w:tc>
        <w:tc>
          <w:tcPr>
            <w:tcW w:w="719" w:type="pct"/>
            <w:tcBorders>
              <w:top w:val="nil"/>
              <w:left w:val="nil"/>
              <w:bottom w:val="nil"/>
              <w:right w:val="nil"/>
            </w:tcBorders>
            <w:shd w:val="clear" w:color="auto" w:fill="auto"/>
            <w:vAlign w:val="bottom"/>
          </w:tcPr>
          <w:p w14:paraId="29C5BEDE" w14:textId="77777777" w:rsidR="009C0C47" w:rsidRPr="00EE7B81" w:rsidRDefault="009C0C47" w:rsidP="0073637B">
            <w:pPr>
              <w:tabs>
                <w:tab w:val="right" w:pos="1202"/>
              </w:tabs>
              <w:spacing w:after="0" w:line="280" w:lineRule="exact"/>
              <w:jc w:val="right"/>
              <w:outlineLvl w:val="0"/>
              <w:rPr>
                <w:rFonts w:ascii="Calibri" w:eastAsia="Calibri" w:hAnsi="Calibri"/>
                <w:sz w:val="19"/>
                <w:szCs w:val="19"/>
              </w:rPr>
            </w:pPr>
            <w:bookmarkStart w:id="740" w:name="_Toc67329468"/>
            <w:r w:rsidRPr="006577DA">
              <w:rPr>
                <w:sz w:val="19"/>
                <w:szCs w:val="19"/>
              </w:rPr>
              <w:t xml:space="preserve"> -   </w:t>
            </w:r>
            <w:bookmarkEnd w:id="740"/>
          </w:p>
        </w:tc>
        <w:tc>
          <w:tcPr>
            <w:tcW w:w="719" w:type="pct"/>
            <w:tcBorders>
              <w:top w:val="nil"/>
              <w:left w:val="nil"/>
              <w:bottom w:val="nil"/>
              <w:right w:val="nil"/>
            </w:tcBorders>
            <w:shd w:val="clear" w:color="auto" w:fill="auto"/>
            <w:vAlign w:val="bottom"/>
          </w:tcPr>
          <w:p w14:paraId="2238179A" w14:textId="77777777" w:rsidR="009C0C47" w:rsidRPr="00EE7B81" w:rsidRDefault="009C0C47" w:rsidP="0073637B">
            <w:pPr>
              <w:tabs>
                <w:tab w:val="right" w:pos="1202"/>
              </w:tabs>
              <w:spacing w:after="0" w:line="280" w:lineRule="exact"/>
              <w:jc w:val="right"/>
              <w:outlineLvl w:val="0"/>
              <w:rPr>
                <w:rFonts w:ascii="Calibri" w:eastAsia="Calibri" w:hAnsi="Calibri"/>
                <w:sz w:val="19"/>
                <w:szCs w:val="19"/>
              </w:rPr>
            </w:pPr>
            <w:bookmarkStart w:id="741" w:name="_Toc67329469"/>
            <w:r w:rsidRPr="006577DA">
              <w:rPr>
                <w:sz w:val="19"/>
                <w:szCs w:val="19"/>
              </w:rPr>
              <w:t xml:space="preserve"> 7</w:t>
            </w:r>
            <w:r>
              <w:rPr>
                <w:sz w:val="19"/>
                <w:szCs w:val="19"/>
              </w:rPr>
              <w:t>,</w:t>
            </w:r>
            <w:r w:rsidRPr="006577DA">
              <w:rPr>
                <w:sz w:val="19"/>
                <w:szCs w:val="19"/>
              </w:rPr>
              <w:t xml:space="preserve">500 </w:t>
            </w:r>
            <w:bookmarkEnd w:id="741"/>
          </w:p>
        </w:tc>
        <w:tc>
          <w:tcPr>
            <w:tcW w:w="719" w:type="pct"/>
            <w:tcBorders>
              <w:top w:val="nil"/>
              <w:left w:val="nil"/>
              <w:bottom w:val="nil"/>
              <w:right w:val="nil"/>
            </w:tcBorders>
            <w:shd w:val="clear" w:color="auto" w:fill="auto"/>
            <w:vAlign w:val="bottom"/>
          </w:tcPr>
          <w:p w14:paraId="5CEE3753" w14:textId="77777777" w:rsidR="009C0C47" w:rsidRPr="00EE7B81" w:rsidRDefault="009C0C47" w:rsidP="0073637B">
            <w:pPr>
              <w:tabs>
                <w:tab w:val="right" w:pos="1202"/>
              </w:tabs>
              <w:spacing w:after="0" w:line="280" w:lineRule="exact"/>
              <w:jc w:val="right"/>
              <w:outlineLvl w:val="0"/>
              <w:rPr>
                <w:rFonts w:ascii="Calibri" w:eastAsia="Calibri" w:hAnsi="Calibri"/>
                <w:sz w:val="19"/>
                <w:szCs w:val="19"/>
              </w:rPr>
            </w:pPr>
            <w:bookmarkStart w:id="742" w:name="_Toc67329470"/>
            <w:r w:rsidRPr="006577DA">
              <w:rPr>
                <w:sz w:val="19"/>
                <w:szCs w:val="19"/>
              </w:rPr>
              <w:t xml:space="preserve"> -   </w:t>
            </w:r>
            <w:bookmarkEnd w:id="742"/>
          </w:p>
        </w:tc>
        <w:tc>
          <w:tcPr>
            <w:tcW w:w="720" w:type="pct"/>
            <w:tcBorders>
              <w:top w:val="nil"/>
              <w:left w:val="nil"/>
              <w:bottom w:val="nil"/>
              <w:right w:val="nil"/>
            </w:tcBorders>
            <w:shd w:val="clear" w:color="auto" w:fill="auto"/>
            <w:vAlign w:val="bottom"/>
          </w:tcPr>
          <w:p w14:paraId="39CD56D3" w14:textId="77777777" w:rsidR="009C0C47" w:rsidRPr="00EE7B81" w:rsidRDefault="009C0C47" w:rsidP="0073637B">
            <w:pPr>
              <w:tabs>
                <w:tab w:val="right" w:pos="1202"/>
              </w:tabs>
              <w:spacing w:after="0" w:line="280" w:lineRule="exact"/>
              <w:jc w:val="right"/>
              <w:outlineLvl w:val="0"/>
              <w:rPr>
                <w:rFonts w:ascii="Calibri" w:eastAsia="Calibri" w:hAnsi="Calibri"/>
                <w:sz w:val="19"/>
                <w:szCs w:val="19"/>
              </w:rPr>
            </w:pPr>
            <w:bookmarkStart w:id="743" w:name="_Toc67329471"/>
            <w:r w:rsidRPr="006577DA">
              <w:rPr>
                <w:sz w:val="19"/>
                <w:szCs w:val="19"/>
              </w:rPr>
              <w:t xml:space="preserve"> 7</w:t>
            </w:r>
            <w:r>
              <w:rPr>
                <w:sz w:val="19"/>
                <w:szCs w:val="19"/>
              </w:rPr>
              <w:t>,</w:t>
            </w:r>
            <w:r w:rsidRPr="006577DA">
              <w:rPr>
                <w:sz w:val="19"/>
                <w:szCs w:val="19"/>
              </w:rPr>
              <w:t xml:space="preserve">500 </w:t>
            </w:r>
            <w:bookmarkEnd w:id="743"/>
          </w:p>
        </w:tc>
      </w:tr>
      <w:tr w:rsidR="009C0C47" w:rsidRPr="005646A2" w14:paraId="65A3FBF0" w14:textId="77777777" w:rsidTr="00765996">
        <w:trPr>
          <w:cantSplit/>
          <w:trHeight w:val="250"/>
          <w:tblHeader/>
        </w:trPr>
        <w:tc>
          <w:tcPr>
            <w:tcW w:w="2123" w:type="pct"/>
            <w:vAlign w:val="bottom"/>
          </w:tcPr>
          <w:p w14:paraId="38E7B048" w14:textId="77777777" w:rsidR="009C0C47" w:rsidRPr="001F110B" w:rsidRDefault="009C0C47" w:rsidP="0073637B">
            <w:pPr>
              <w:tabs>
                <w:tab w:val="right" w:pos="1202"/>
              </w:tabs>
              <w:spacing w:after="0" w:line="280" w:lineRule="exact"/>
              <w:outlineLvl w:val="0"/>
              <w:rPr>
                <w:rFonts w:cs="Arial"/>
                <w:sz w:val="19"/>
                <w:szCs w:val="19"/>
              </w:rPr>
            </w:pPr>
            <w:r w:rsidRPr="001F110B">
              <w:rPr>
                <w:rFonts w:cs="Arial"/>
                <w:sz w:val="19"/>
                <w:szCs w:val="19"/>
              </w:rPr>
              <w:t>Loans to financial institutions</w:t>
            </w:r>
          </w:p>
        </w:tc>
        <w:tc>
          <w:tcPr>
            <w:tcW w:w="719" w:type="pct"/>
            <w:tcBorders>
              <w:top w:val="nil"/>
              <w:left w:val="nil"/>
              <w:bottom w:val="nil"/>
              <w:right w:val="nil"/>
            </w:tcBorders>
            <w:shd w:val="clear" w:color="auto" w:fill="auto"/>
            <w:vAlign w:val="bottom"/>
          </w:tcPr>
          <w:p w14:paraId="2B6294D2" w14:textId="77777777" w:rsidR="009C0C47" w:rsidRPr="00EE7B81" w:rsidRDefault="009C0C47" w:rsidP="0073637B">
            <w:pPr>
              <w:tabs>
                <w:tab w:val="right" w:pos="1202"/>
              </w:tabs>
              <w:spacing w:after="0" w:line="280" w:lineRule="exact"/>
              <w:jc w:val="right"/>
              <w:outlineLvl w:val="0"/>
              <w:rPr>
                <w:rFonts w:ascii="Calibri" w:eastAsia="Calibri" w:hAnsi="Calibri"/>
                <w:sz w:val="19"/>
                <w:szCs w:val="19"/>
              </w:rPr>
            </w:pPr>
            <w:bookmarkStart w:id="744" w:name="_Toc67329473"/>
            <w:r w:rsidRPr="006577DA">
              <w:rPr>
                <w:sz w:val="19"/>
                <w:szCs w:val="19"/>
              </w:rPr>
              <w:t xml:space="preserve"> 7</w:t>
            </w:r>
            <w:r>
              <w:rPr>
                <w:sz w:val="19"/>
                <w:szCs w:val="19"/>
              </w:rPr>
              <w:t>,</w:t>
            </w:r>
            <w:r w:rsidRPr="006577DA">
              <w:rPr>
                <w:sz w:val="19"/>
                <w:szCs w:val="19"/>
              </w:rPr>
              <w:t>050</w:t>
            </w:r>
            <w:r>
              <w:rPr>
                <w:sz w:val="19"/>
                <w:szCs w:val="19"/>
              </w:rPr>
              <w:t>,</w:t>
            </w:r>
            <w:r w:rsidRPr="006577DA">
              <w:rPr>
                <w:sz w:val="19"/>
                <w:szCs w:val="19"/>
              </w:rPr>
              <w:t xml:space="preserve">143 </w:t>
            </w:r>
            <w:bookmarkEnd w:id="744"/>
          </w:p>
        </w:tc>
        <w:tc>
          <w:tcPr>
            <w:tcW w:w="719" w:type="pct"/>
            <w:tcBorders>
              <w:top w:val="nil"/>
              <w:left w:val="nil"/>
              <w:bottom w:val="nil"/>
              <w:right w:val="nil"/>
            </w:tcBorders>
            <w:shd w:val="clear" w:color="auto" w:fill="auto"/>
            <w:vAlign w:val="bottom"/>
          </w:tcPr>
          <w:p w14:paraId="7FF40DE2" w14:textId="77777777" w:rsidR="009C0C47" w:rsidRPr="00EE7B81" w:rsidRDefault="009C0C47" w:rsidP="0073637B">
            <w:pPr>
              <w:tabs>
                <w:tab w:val="right" w:pos="1202"/>
              </w:tabs>
              <w:spacing w:after="0" w:line="280" w:lineRule="exact"/>
              <w:jc w:val="right"/>
              <w:outlineLvl w:val="0"/>
              <w:rPr>
                <w:rFonts w:ascii="Calibri" w:eastAsia="Calibri" w:hAnsi="Calibri"/>
                <w:sz w:val="19"/>
                <w:szCs w:val="19"/>
              </w:rPr>
            </w:pPr>
            <w:bookmarkStart w:id="745" w:name="_Toc67329474"/>
            <w:r w:rsidRPr="006577DA">
              <w:rPr>
                <w:sz w:val="19"/>
                <w:szCs w:val="19"/>
              </w:rPr>
              <w:t xml:space="preserve"> -   </w:t>
            </w:r>
            <w:bookmarkEnd w:id="745"/>
          </w:p>
        </w:tc>
        <w:tc>
          <w:tcPr>
            <w:tcW w:w="719" w:type="pct"/>
            <w:tcBorders>
              <w:top w:val="nil"/>
              <w:left w:val="nil"/>
              <w:bottom w:val="nil"/>
              <w:right w:val="nil"/>
            </w:tcBorders>
            <w:shd w:val="clear" w:color="auto" w:fill="auto"/>
            <w:vAlign w:val="bottom"/>
          </w:tcPr>
          <w:p w14:paraId="50C58FE3" w14:textId="77777777" w:rsidR="009C0C47" w:rsidRPr="00EE7B81" w:rsidRDefault="009C0C47" w:rsidP="0073637B">
            <w:pPr>
              <w:tabs>
                <w:tab w:val="right" w:pos="1202"/>
              </w:tabs>
              <w:spacing w:after="0" w:line="280" w:lineRule="exact"/>
              <w:jc w:val="right"/>
              <w:outlineLvl w:val="0"/>
              <w:rPr>
                <w:rFonts w:ascii="Calibri" w:eastAsia="Calibri" w:hAnsi="Calibri"/>
                <w:sz w:val="19"/>
                <w:szCs w:val="19"/>
              </w:rPr>
            </w:pPr>
            <w:bookmarkStart w:id="746" w:name="_Toc67329475"/>
            <w:r w:rsidRPr="006577DA">
              <w:rPr>
                <w:sz w:val="19"/>
                <w:szCs w:val="19"/>
              </w:rPr>
              <w:t xml:space="preserve"> -   </w:t>
            </w:r>
            <w:bookmarkEnd w:id="746"/>
          </w:p>
        </w:tc>
        <w:tc>
          <w:tcPr>
            <w:tcW w:w="720" w:type="pct"/>
            <w:tcBorders>
              <w:top w:val="nil"/>
              <w:left w:val="nil"/>
              <w:bottom w:val="nil"/>
              <w:right w:val="nil"/>
            </w:tcBorders>
            <w:shd w:val="clear" w:color="auto" w:fill="auto"/>
            <w:vAlign w:val="bottom"/>
          </w:tcPr>
          <w:p w14:paraId="462DC9D0" w14:textId="77777777" w:rsidR="009C0C47" w:rsidRPr="00EE7B81" w:rsidRDefault="009C0C47" w:rsidP="0073637B">
            <w:pPr>
              <w:tabs>
                <w:tab w:val="right" w:pos="1202"/>
              </w:tabs>
              <w:spacing w:after="0" w:line="280" w:lineRule="exact"/>
              <w:jc w:val="right"/>
              <w:outlineLvl w:val="0"/>
              <w:rPr>
                <w:rFonts w:ascii="Calibri" w:eastAsia="Calibri" w:hAnsi="Calibri"/>
                <w:sz w:val="19"/>
                <w:szCs w:val="19"/>
              </w:rPr>
            </w:pPr>
            <w:bookmarkStart w:id="747" w:name="_Toc67329476"/>
            <w:r w:rsidRPr="006577DA">
              <w:rPr>
                <w:sz w:val="19"/>
                <w:szCs w:val="19"/>
              </w:rPr>
              <w:t xml:space="preserve"> 7</w:t>
            </w:r>
            <w:r>
              <w:rPr>
                <w:sz w:val="19"/>
                <w:szCs w:val="19"/>
              </w:rPr>
              <w:t>,</w:t>
            </w:r>
            <w:r w:rsidRPr="006577DA">
              <w:rPr>
                <w:sz w:val="19"/>
                <w:szCs w:val="19"/>
              </w:rPr>
              <w:t>050</w:t>
            </w:r>
            <w:r>
              <w:rPr>
                <w:sz w:val="19"/>
                <w:szCs w:val="19"/>
              </w:rPr>
              <w:t>,</w:t>
            </w:r>
            <w:r w:rsidRPr="006577DA">
              <w:rPr>
                <w:sz w:val="19"/>
                <w:szCs w:val="19"/>
              </w:rPr>
              <w:t xml:space="preserve">143 </w:t>
            </w:r>
            <w:bookmarkEnd w:id="747"/>
          </w:p>
        </w:tc>
      </w:tr>
      <w:tr w:rsidR="009C0C47" w:rsidRPr="005646A2" w14:paraId="1229DE7F" w14:textId="77777777" w:rsidTr="00765996">
        <w:trPr>
          <w:cantSplit/>
          <w:trHeight w:val="250"/>
          <w:tblHeader/>
        </w:trPr>
        <w:tc>
          <w:tcPr>
            <w:tcW w:w="2123" w:type="pct"/>
            <w:vAlign w:val="bottom"/>
          </w:tcPr>
          <w:p w14:paraId="5F051C0C" w14:textId="77777777" w:rsidR="009C0C47" w:rsidRPr="001F110B" w:rsidRDefault="009C0C47" w:rsidP="0073637B">
            <w:pPr>
              <w:tabs>
                <w:tab w:val="right" w:pos="1202"/>
              </w:tabs>
              <w:spacing w:after="0" w:line="280" w:lineRule="exact"/>
              <w:outlineLvl w:val="0"/>
              <w:rPr>
                <w:rFonts w:cs="Arial"/>
                <w:sz w:val="19"/>
                <w:szCs w:val="19"/>
              </w:rPr>
            </w:pPr>
            <w:r w:rsidRPr="001F110B">
              <w:rPr>
                <w:rFonts w:cs="Arial"/>
                <w:sz w:val="19"/>
                <w:szCs w:val="19"/>
              </w:rPr>
              <w:t>Loans to other customers</w:t>
            </w:r>
          </w:p>
        </w:tc>
        <w:tc>
          <w:tcPr>
            <w:tcW w:w="719" w:type="pct"/>
            <w:tcBorders>
              <w:top w:val="nil"/>
              <w:left w:val="nil"/>
              <w:bottom w:val="nil"/>
              <w:right w:val="nil"/>
            </w:tcBorders>
            <w:shd w:val="clear" w:color="auto" w:fill="auto"/>
            <w:vAlign w:val="bottom"/>
          </w:tcPr>
          <w:p w14:paraId="6211EDD8" w14:textId="77777777" w:rsidR="009C0C47" w:rsidRPr="00EE7B81" w:rsidRDefault="009C0C47" w:rsidP="0073637B">
            <w:pPr>
              <w:tabs>
                <w:tab w:val="right" w:pos="1202"/>
              </w:tabs>
              <w:spacing w:after="0" w:line="280" w:lineRule="exact"/>
              <w:jc w:val="right"/>
              <w:outlineLvl w:val="0"/>
              <w:rPr>
                <w:rFonts w:ascii="Calibri" w:eastAsia="Calibri" w:hAnsi="Calibri"/>
                <w:sz w:val="19"/>
                <w:szCs w:val="19"/>
              </w:rPr>
            </w:pPr>
            <w:bookmarkStart w:id="748" w:name="_Toc67329478"/>
            <w:r w:rsidRPr="006577DA">
              <w:rPr>
                <w:sz w:val="19"/>
                <w:szCs w:val="19"/>
              </w:rPr>
              <w:t xml:space="preserve"> 15</w:t>
            </w:r>
            <w:r>
              <w:rPr>
                <w:sz w:val="19"/>
                <w:szCs w:val="19"/>
              </w:rPr>
              <w:t>,</w:t>
            </w:r>
            <w:r w:rsidRPr="006577DA">
              <w:rPr>
                <w:sz w:val="19"/>
                <w:szCs w:val="19"/>
              </w:rPr>
              <w:t>681</w:t>
            </w:r>
            <w:r>
              <w:rPr>
                <w:sz w:val="19"/>
                <w:szCs w:val="19"/>
              </w:rPr>
              <w:t>,</w:t>
            </w:r>
            <w:r w:rsidRPr="006577DA">
              <w:rPr>
                <w:sz w:val="19"/>
                <w:szCs w:val="19"/>
              </w:rPr>
              <w:t xml:space="preserve">740 </w:t>
            </w:r>
            <w:bookmarkEnd w:id="748"/>
          </w:p>
        </w:tc>
        <w:tc>
          <w:tcPr>
            <w:tcW w:w="719" w:type="pct"/>
            <w:tcBorders>
              <w:top w:val="nil"/>
              <w:left w:val="nil"/>
              <w:bottom w:val="nil"/>
              <w:right w:val="nil"/>
            </w:tcBorders>
            <w:shd w:val="clear" w:color="auto" w:fill="auto"/>
            <w:vAlign w:val="bottom"/>
          </w:tcPr>
          <w:p w14:paraId="64DE707A" w14:textId="77777777" w:rsidR="009C0C47" w:rsidRPr="00EE7B81" w:rsidRDefault="009C0C47" w:rsidP="0073637B">
            <w:pPr>
              <w:tabs>
                <w:tab w:val="right" w:pos="1202"/>
              </w:tabs>
              <w:spacing w:after="0" w:line="280" w:lineRule="exact"/>
              <w:jc w:val="right"/>
              <w:outlineLvl w:val="0"/>
              <w:rPr>
                <w:rFonts w:ascii="Calibri" w:eastAsia="Calibri" w:hAnsi="Calibri"/>
                <w:sz w:val="19"/>
                <w:szCs w:val="19"/>
              </w:rPr>
            </w:pPr>
            <w:bookmarkStart w:id="749" w:name="_Toc67329479"/>
            <w:r w:rsidRPr="006577DA">
              <w:rPr>
                <w:sz w:val="19"/>
                <w:szCs w:val="19"/>
              </w:rPr>
              <w:t xml:space="preserve"> -   </w:t>
            </w:r>
            <w:bookmarkEnd w:id="749"/>
          </w:p>
        </w:tc>
        <w:tc>
          <w:tcPr>
            <w:tcW w:w="719" w:type="pct"/>
            <w:tcBorders>
              <w:top w:val="nil"/>
              <w:left w:val="nil"/>
              <w:bottom w:val="nil"/>
              <w:right w:val="nil"/>
            </w:tcBorders>
            <w:shd w:val="clear" w:color="auto" w:fill="auto"/>
            <w:vAlign w:val="bottom"/>
          </w:tcPr>
          <w:p w14:paraId="448DDF92" w14:textId="77777777" w:rsidR="009C0C47" w:rsidRPr="00EE7B81" w:rsidRDefault="009C0C47" w:rsidP="0073637B">
            <w:pPr>
              <w:tabs>
                <w:tab w:val="right" w:pos="1202"/>
              </w:tabs>
              <w:spacing w:after="0" w:line="280" w:lineRule="exact"/>
              <w:jc w:val="right"/>
              <w:outlineLvl w:val="0"/>
              <w:rPr>
                <w:rFonts w:ascii="Calibri" w:eastAsia="Calibri" w:hAnsi="Calibri"/>
                <w:sz w:val="19"/>
                <w:szCs w:val="19"/>
              </w:rPr>
            </w:pPr>
            <w:bookmarkStart w:id="750" w:name="_Toc67329480"/>
            <w:r w:rsidRPr="006577DA">
              <w:rPr>
                <w:sz w:val="19"/>
                <w:szCs w:val="19"/>
              </w:rPr>
              <w:t xml:space="preserve"> 282</w:t>
            </w:r>
            <w:r>
              <w:rPr>
                <w:sz w:val="19"/>
                <w:szCs w:val="19"/>
              </w:rPr>
              <w:t>,</w:t>
            </w:r>
            <w:r w:rsidRPr="006577DA">
              <w:rPr>
                <w:sz w:val="19"/>
                <w:szCs w:val="19"/>
              </w:rPr>
              <w:t xml:space="preserve">636 </w:t>
            </w:r>
            <w:bookmarkEnd w:id="750"/>
          </w:p>
        </w:tc>
        <w:tc>
          <w:tcPr>
            <w:tcW w:w="720" w:type="pct"/>
            <w:tcBorders>
              <w:top w:val="nil"/>
              <w:left w:val="nil"/>
              <w:bottom w:val="nil"/>
              <w:right w:val="nil"/>
            </w:tcBorders>
            <w:shd w:val="clear" w:color="auto" w:fill="auto"/>
            <w:vAlign w:val="bottom"/>
          </w:tcPr>
          <w:p w14:paraId="11C6C96C" w14:textId="77777777" w:rsidR="009C0C47" w:rsidRPr="00EE7B81" w:rsidRDefault="009C0C47" w:rsidP="0073637B">
            <w:pPr>
              <w:tabs>
                <w:tab w:val="right" w:pos="1202"/>
              </w:tabs>
              <w:spacing w:after="0" w:line="280" w:lineRule="exact"/>
              <w:jc w:val="right"/>
              <w:outlineLvl w:val="0"/>
              <w:rPr>
                <w:rFonts w:ascii="Calibri" w:eastAsia="Calibri" w:hAnsi="Calibri"/>
                <w:sz w:val="19"/>
                <w:szCs w:val="19"/>
              </w:rPr>
            </w:pPr>
            <w:bookmarkStart w:id="751" w:name="_Toc67329481"/>
            <w:r w:rsidRPr="006577DA">
              <w:rPr>
                <w:sz w:val="19"/>
                <w:szCs w:val="19"/>
              </w:rPr>
              <w:t xml:space="preserve"> 15</w:t>
            </w:r>
            <w:r>
              <w:rPr>
                <w:sz w:val="19"/>
                <w:szCs w:val="19"/>
              </w:rPr>
              <w:t>,</w:t>
            </w:r>
            <w:r w:rsidRPr="006577DA">
              <w:rPr>
                <w:sz w:val="19"/>
                <w:szCs w:val="19"/>
              </w:rPr>
              <w:t>964</w:t>
            </w:r>
            <w:r>
              <w:rPr>
                <w:sz w:val="19"/>
                <w:szCs w:val="19"/>
              </w:rPr>
              <w:t>,</w:t>
            </w:r>
            <w:r w:rsidRPr="006577DA">
              <w:rPr>
                <w:sz w:val="19"/>
                <w:szCs w:val="19"/>
              </w:rPr>
              <w:t xml:space="preserve">376 </w:t>
            </w:r>
            <w:bookmarkEnd w:id="751"/>
          </w:p>
        </w:tc>
      </w:tr>
      <w:tr w:rsidR="009C0C47" w:rsidRPr="005646A2" w14:paraId="39A34052" w14:textId="77777777" w:rsidTr="00765996">
        <w:trPr>
          <w:cantSplit/>
          <w:trHeight w:val="250"/>
          <w:tblHeader/>
        </w:trPr>
        <w:tc>
          <w:tcPr>
            <w:tcW w:w="2123" w:type="pct"/>
            <w:vAlign w:val="bottom"/>
          </w:tcPr>
          <w:p w14:paraId="6B4972B2" w14:textId="77777777" w:rsidR="009C0C47" w:rsidRPr="001F110B" w:rsidRDefault="009C0C47" w:rsidP="0073637B">
            <w:pPr>
              <w:tabs>
                <w:tab w:val="right" w:pos="1202"/>
              </w:tabs>
              <w:spacing w:after="0" w:line="280" w:lineRule="exact"/>
              <w:outlineLvl w:val="0"/>
              <w:rPr>
                <w:rFonts w:cs="Arial"/>
                <w:sz w:val="19"/>
                <w:szCs w:val="19"/>
              </w:rPr>
            </w:pPr>
            <w:r w:rsidRPr="001F110B">
              <w:rPr>
                <w:rFonts w:cs="Arial"/>
                <w:sz w:val="19"/>
                <w:szCs w:val="19"/>
              </w:rPr>
              <w:t xml:space="preserve">Financial assets at fair value through profit or loss </w:t>
            </w:r>
          </w:p>
        </w:tc>
        <w:tc>
          <w:tcPr>
            <w:tcW w:w="719" w:type="pct"/>
            <w:tcBorders>
              <w:top w:val="nil"/>
              <w:left w:val="nil"/>
              <w:bottom w:val="nil"/>
              <w:right w:val="nil"/>
            </w:tcBorders>
            <w:shd w:val="clear" w:color="auto" w:fill="auto"/>
            <w:vAlign w:val="bottom"/>
          </w:tcPr>
          <w:p w14:paraId="7BC1F838" w14:textId="77777777" w:rsidR="009C0C47" w:rsidRPr="00EE7B81" w:rsidDel="00B1050C" w:rsidRDefault="009C0C47" w:rsidP="0073637B">
            <w:pPr>
              <w:tabs>
                <w:tab w:val="right" w:pos="1202"/>
              </w:tabs>
              <w:spacing w:after="0" w:line="280" w:lineRule="exact"/>
              <w:jc w:val="right"/>
              <w:outlineLvl w:val="0"/>
              <w:rPr>
                <w:rFonts w:ascii="Calibri" w:eastAsia="Calibri" w:hAnsi="Calibri"/>
                <w:sz w:val="19"/>
                <w:szCs w:val="19"/>
              </w:rPr>
            </w:pPr>
            <w:bookmarkStart w:id="752" w:name="_Toc67329483"/>
            <w:r w:rsidRPr="006577DA">
              <w:rPr>
                <w:sz w:val="19"/>
                <w:szCs w:val="19"/>
              </w:rPr>
              <w:t>16</w:t>
            </w:r>
            <w:r>
              <w:rPr>
                <w:sz w:val="19"/>
                <w:szCs w:val="19"/>
              </w:rPr>
              <w:t>,</w:t>
            </w:r>
            <w:r w:rsidRPr="006577DA">
              <w:rPr>
                <w:sz w:val="19"/>
                <w:szCs w:val="19"/>
              </w:rPr>
              <w:t>375</w:t>
            </w:r>
            <w:bookmarkEnd w:id="752"/>
          </w:p>
        </w:tc>
        <w:tc>
          <w:tcPr>
            <w:tcW w:w="719" w:type="pct"/>
            <w:tcBorders>
              <w:top w:val="nil"/>
              <w:left w:val="nil"/>
              <w:bottom w:val="nil"/>
              <w:right w:val="nil"/>
            </w:tcBorders>
            <w:shd w:val="clear" w:color="auto" w:fill="auto"/>
            <w:vAlign w:val="bottom"/>
          </w:tcPr>
          <w:p w14:paraId="5B5C695D" w14:textId="77777777" w:rsidR="009C0C47" w:rsidRPr="00EE7B81" w:rsidDel="00B1050C" w:rsidRDefault="009C0C47" w:rsidP="0073637B">
            <w:pPr>
              <w:tabs>
                <w:tab w:val="right" w:pos="1202"/>
              </w:tabs>
              <w:spacing w:after="0" w:line="280" w:lineRule="exact"/>
              <w:jc w:val="right"/>
              <w:outlineLvl w:val="0"/>
              <w:rPr>
                <w:rFonts w:ascii="Calibri" w:eastAsia="Calibri" w:hAnsi="Calibri"/>
                <w:sz w:val="19"/>
                <w:szCs w:val="19"/>
              </w:rPr>
            </w:pPr>
            <w:bookmarkStart w:id="753" w:name="_Toc67329484"/>
            <w:r w:rsidRPr="006577DA">
              <w:rPr>
                <w:sz w:val="19"/>
                <w:szCs w:val="19"/>
              </w:rPr>
              <w:t>-</w:t>
            </w:r>
            <w:bookmarkEnd w:id="753"/>
          </w:p>
        </w:tc>
        <w:tc>
          <w:tcPr>
            <w:tcW w:w="719" w:type="pct"/>
            <w:tcBorders>
              <w:top w:val="nil"/>
              <w:left w:val="nil"/>
              <w:bottom w:val="nil"/>
              <w:right w:val="nil"/>
            </w:tcBorders>
            <w:shd w:val="clear" w:color="auto" w:fill="auto"/>
            <w:vAlign w:val="bottom"/>
          </w:tcPr>
          <w:p w14:paraId="0342F9B8" w14:textId="77777777" w:rsidR="009C0C47" w:rsidRPr="00EE7B81" w:rsidDel="00B1050C" w:rsidRDefault="009C0C47" w:rsidP="0073637B">
            <w:pPr>
              <w:tabs>
                <w:tab w:val="right" w:pos="1202"/>
              </w:tabs>
              <w:spacing w:after="0" w:line="280" w:lineRule="exact"/>
              <w:jc w:val="right"/>
              <w:outlineLvl w:val="0"/>
              <w:rPr>
                <w:rFonts w:ascii="Calibri" w:eastAsia="Calibri" w:hAnsi="Calibri"/>
                <w:sz w:val="19"/>
                <w:szCs w:val="19"/>
              </w:rPr>
            </w:pPr>
            <w:bookmarkStart w:id="754" w:name="_Toc67329485"/>
            <w:r w:rsidRPr="006577DA">
              <w:rPr>
                <w:sz w:val="19"/>
                <w:szCs w:val="19"/>
              </w:rPr>
              <w:t>-</w:t>
            </w:r>
            <w:bookmarkEnd w:id="754"/>
          </w:p>
        </w:tc>
        <w:tc>
          <w:tcPr>
            <w:tcW w:w="720" w:type="pct"/>
            <w:tcBorders>
              <w:top w:val="nil"/>
              <w:left w:val="nil"/>
              <w:bottom w:val="nil"/>
              <w:right w:val="nil"/>
            </w:tcBorders>
            <w:shd w:val="clear" w:color="auto" w:fill="auto"/>
            <w:vAlign w:val="bottom"/>
          </w:tcPr>
          <w:p w14:paraId="3B72AEA8" w14:textId="77777777" w:rsidR="009C0C47" w:rsidRPr="00EE7B81" w:rsidDel="00B1050C" w:rsidRDefault="009C0C47" w:rsidP="0073637B">
            <w:pPr>
              <w:tabs>
                <w:tab w:val="right" w:pos="1202"/>
              </w:tabs>
              <w:spacing w:after="0" w:line="280" w:lineRule="exact"/>
              <w:jc w:val="right"/>
              <w:outlineLvl w:val="0"/>
              <w:rPr>
                <w:rFonts w:ascii="Calibri" w:eastAsia="Calibri" w:hAnsi="Calibri"/>
                <w:sz w:val="19"/>
                <w:szCs w:val="19"/>
              </w:rPr>
            </w:pPr>
            <w:bookmarkStart w:id="755" w:name="_Toc67329486"/>
            <w:r w:rsidRPr="006577DA">
              <w:rPr>
                <w:sz w:val="19"/>
                <w:szCs w:val="19"/>
              </w:rPr>
              <w:t>16</w:t>
            </w:r>
            <w:r>
              <w:rPr>
                <w:sz w:val="19"/>
                <w:szCs w:val="19"/>
              </w:rPr>
              <w:t>,</w:t>
            </w:r>
            <w:r w:rsidRPr="006577DA">
              <w:rPr>
                <w:sz w:val="19"/>
                <w:szCs w:val="19"/>
              </w:rPr>
              <w:t>375</w:t>
            </w:r>
            <w:bookmarkEnd w:id="755"/>
          </w:p>
        </w:tc>
      </w:tr>
      <w:tr w:rsidR="009C0C47" w:rsidRPr="005646A2" w14:paraId="3270ED7B" w14:textId="77777777" w:rsidTr="00765996">
        <w:trPr>
          <w:cantSplit/>
          <w:trHeight w:val="250"/>
          <w:tblHeader/>
        </w:trPr>
        <w:tc>
          <w:tcPr>
            <w:tcW w:w="2123" w:type="pct"/>
            <w:vAlign w:val="bottom"/>
          </w:tcPr>
          <w:p w14:paraId="46E759BD" w14:textId="77777777" w:rsidR="009C0C47" w:rsidRPr="001F110B" w:rsidRDefault="009C0C47" w:rsidP="0073637B">
            <w:pPr>
              <w:tabs>
                <w:tab w:val="right" w:pos="1202"/>
              </w:tabs>
              <w:spacing w:after="0" w:line="280" w:lineRule="exact"/>
              <w:outlineLvl w:val="0"/>
              <w:rPr>
                <w:rFonts w:cs="Arial"/>
                <w:sz w:val="19"/>
                <w:szCs w:val="19"/>
              </w:rPr>
            </w:pPr>
            <w:r w:rsidRPr="001F110B">
              <w:rPr>
                <w:rFonts w:cs="Arial"/>
                <w:sz w:val="19"/>
                <w:szCs w:val="19"/>
              </w:rPr>
              <w:t xml:space="preserve">Financial assets at fair value through other comprehensive income </w:t>
            </w:r>
          </w:p>
        </w:tc>
        <w:tc>
          <w:tcPr>
            <w:tcW w:w="719" w:type="pct"/>
            <w:tcBorders>
              <w:top w:val="nil"/>
              <w:left w:val="nil"/>
              <w:bottom w:val="nil"/>
              <w:right w:val="nil"/>
            </w:tcBorders>
            <w:shd w:val="clear" w:color="auto" w:fill="auto"/>
            <w:vAlign w:val="bottom"/>
          </w:tcPr>
          <w:p w14:paraId="346A7A3B" w14:textId="77777777" w:rsidR="009C0C47" w:rsidRPr="00EE7B81" w:rsidRDefault="009C0C47" w:rsidP="0073637B">
            <w:pPr>
              <w:tabs>
                <w:tab w:val="right" w:pos="1202"/>
              </w:tabs>
              <w:spacing w:after="0" w:line="280" w:lineRule="exact"/>
              <w:jc w:val="right"/>
              <w:outlineLvl w:val="0"/>
              <w:rPr>
                <w:rFonts w:ascii="Calibri" w:eastAsia="Calibri" w:hAnsi="Calibri"/>
                <w:sz w:val="19"/>
                <w:szCs w:val="19"/>
              </w:rPr>
            </w:pPr>
            <w:bookmarkStart w:id="756" w:name="_Toc67329488"/>
            <w:r w:rsidRPr="006577DA">
              <w:rPr>
                <w:sz w:val="19"/>
                <w:szCs w:val="19"/>
              </w:rPr>
              <w:t>2</w:t>
            </w:r>
            <w:r>
              <w:rPr>
                <w:sz w:val="19"/>
                <w:szCs w:val="19"/>
              </w:rPr>
              <w:t>,</w:t>
            </w:r>
            <w:r w:rsidRPr="006577DA">
              <w:rPr>
                <w:sz w:val="19"/>
                <w:szCs w:val="19"/>
              </w:rPr>
              <w:t>871</w:t>
            </w:r>
            <w:r>
              <w:rPr>
                <w:sz w:val="19"/>
                <w:szCs w:val="19"/>
              </w:rPr>
              <w:t>,</w:t>
            </w:r>
            <w:r w:rsidRPr="006577DA">
              <w:rPr>
                <w:sz w:val="19"/>
                <w:szCs w:val="19"/>
              </w:rPr>
              <w:t>219</w:t>
            </w:r>
            <w:bookmarkEnd w:id="756"/>
          </w:p>
        </w:tc>
        <w:tc>
          <w:tcPr>
            <w:tcW w:w="719" w:type="pct"/>
            <w:tcBorders>
              <w:top w:val="nil"/>
              <w:left w:val="nil"/>
              <w:bottom w:val="nil"/>
              <w:right w:val="nil"/>
            </w:tcBorders>
            <w:shd w:val="clear" w:color="auto" w:fill="auto"/>
            <w:vAlign w:val="bottom"/>
          </w:tcPr>
          <w:p w14:paraId="73E009B7" w14:textId="77777777" w:rsidR="009C0C47" w:rsidRPr="00EE7B81" w:rsidRDefault="009C0C47" w:rsidP="0073637B">
            <w:pPr>
              <w:tabs>
                <w:tab w:val="right" w:pos="1202"/>
              </w:tabs>
              <w:spacing w:after="0" w:line="280" w:lineRule="exact"/>
              <w:jc w:val="right"/>
              <w:outlineLvl w:val="0"/>
              <w:rPr>
                <w:rFonts w:ascii="Calibri" w:eastAsia="Calibri" w:hAnsi="Calibri"/>
                <w:sz w:val="19"/>
                <w:szCs w:val="19"/>
              </w:rPr>
            </w:pPr>
            <w:bookmarkStart w:id="757" w:name="_Toc67329489"/>
            <w:r w:rsidRPr="006577DA">
              <w:rPr>
                <w:sz w:val="19"/>
                <w:szCs w:val="19"/>
              </w:rPr>
              <w:t>1</w:t>
            </w:r>
            <w:r>
              <w:rPr>
                <w:sz w:val="19"/>
                <w:szCs w:val="19"/>
              </w:rPr>
              <w:t>,</w:t>
            </w:r>
            <w:r w:rsidRPr="006577DA">
              <w:rPr>
                <w:sz w:val="19"/>
                <w:szCs w:val="19"/>
              </w:rPr>
              <w:t>469</w:t>
            </w:r>
            <w:bookmarkEnd w:id="757"/>
          </w:p>
        </w:tc>
        <w:tc>
          <w:tcPr>
            <w:tcW w:w="719" w:type="pct"/>
            <w:tcBorders>
              <w:top w:val="nil"/>
              <w:left w:val="nil"/>
              <w:bottom w:val="nil"/>
              <w:right w:val="nil"/>
            </w:tcBorders>
            <w:shd w:val="clear" w:color="auto" w:fill="auto"/>
            <w:vAlign w:val="bottom"/>
          </w:tcPr>
          <w:p w14:paraId="74E19AFA" w14:textId="77777777" w:rsidR="009C0C47" w:rsidRPr="00EE7B81" w:rsidRDefault="009C0C47" w:rsidP="0073637B">
            <w:pPr>
              <w:tabs>
                <w:tab w:val="right" w:pos="1202"/>
              </w:tabs>
              <w:spacing w:after="0" w:line="280" w:lineRule="exact"/>
              <w:jc w:val="right"/>
              <w:outlineLvl w:val="0"/>
              <w:rPr>
                <w:rFonts w:ascii="Calibri" w:eastAsia="Calibri" w:hAnsi="Calibri"/>
                <w:sz w:val="19"/>
                <w:szCs w:val="19"/>
              </w:rPr>
            </w:pPr>
            <w:bookmarkStart w:id="758" w:name="_Toc67329490"/>
            <w:r w:rsidRPr="006577DA">
              <w:rPr>
                <w:sz w:val="19"/>
                <w:szCs w:val="19"/>
              </w:rPr>
              <w:t>-</w:t>
            </w:r>
            <w:bookmarkEnd w:id="758"/>
          </w:p>
        </w:tc>
        <w:tc>
          <w:tcPr>
            <w:tcW w:w="720" w:type="pct"/>
            <w:tcBorders>
              <w:top w:val="nil"/>
              <w:left w:val="nil"/>
              <w:bottom w:val="nil"/>
              <w:right w:val="nil"/>
            </w:tcBorders>
            <w:shd w:val="clear" w:color="auto" w:fill="auto"/>
            <w:vAlign w:val="bottom"/>
          </w:tcPr>
          <w:p w14:paraId="0E035F6F" w14:textId="77777777" w:rsidR="009C0C47" w:rsidRPr="00EE7B81" w:rsidRDefault="009C0C47" w:rsidP="0073637B">
            <w:pPr>
              <w:tabs>
                <w:tab w:val="right" w:pos="1202"/>
              </w:tabs>
              <w:spacing w:after="0" w:line="280" w:lineRule="exact"/>
              <w:jc w:val="right"/>
              <w:outlineLvl w:val="0"/>
              <w:rPr>
                <w:rFonts w:ascii="Calibri" w:eastAsia="Calibri" w:hAnsi="Calibri"/>
                <w:sz w:val="19"/>
                <w:szCs w:val="19"/>
              </w:rPr>
            </w:pPr>
            <w:bookmarkStart w:id="759" w:name="_Toc67329491"/>
            <w:r w:rsidRPr="006577DA">
              <w:rPr>
                <w:sz w:val="19"/>
                <w:szCs w:val="19"/>
              </w:rPr>
              <w:t>2</w:t>
            </w:r>
            <w:r>
              <w:rPr>
                <w:sz w:val="19"/>
                <w:szCs w:val="19"/>
              </w:rPr>
              <w:t>,</w:t>
            </w:r>
            <w:r w:rsidRPr="006577DA">
              <w:rPr>
                <w:sz w:val="19"/>
                <w:szCs w:val="19"/>
              </w:rPr>
              <w:t>872</w:t>
            </w:r>
            <w:r>
              <w:rPr>
                <w:sz w:val="19"/>
                <w:szCs w:val="19"/>
              </w:rPr>
              <w:t>,</w:t>
            </w:r>
            <w:r w:rsidRPr="006577DA">
              <w:rPr>
                <w:sz w:val="19"/>
                <w:szCs w:val="19"/>
              </w:rPr>
              <w:t>688</w:t>
            </w:r>
            <w:bookmarkEnd w:id="759"/>
          </w:p>
        </w:tc>
      </w:tr>
      <w:tr w:rsidR="009C0C47" w:rsidRPr="005646A2" w14:paraId="79DEEEE4" w14:textId="77777777" w:rsidTr="00765996">
        <w:trPr>
          <w:cantSplit/>
          <w:trHeight w:val="250"/>
          <w:tblHeader/>
        </w:trPr>
        <w:tc>
          <w:tcPr>
            <w:tcW w:w="2123" w:type="pct"/>
            <w:vAlign w:val="bottom"/>
          </w:tcPr>
          <w:p w14:paraId="31535E74" w14:textId="77777777" w:rsidR="009C0C47" w:rsidRPr="001F110B" w:rsidRDefault="009C0C47" w:rsidP="0073637B">
            <w:pPr>
              <w:tabs>
                <w:tab w:val="right" w:pos="1202"/>
              </w:tabs>
              <w:spacing w:after="0" w:line="280" w:lineRule="exact"/>
              <w:outlineLvl w:val="0"/>
              <w:rPr>
                <w:rFonts w:cs="Arial"/>
                <w:sz w:val="19"/>
                <w:szCs w:val="19"/>
              </w:rPr>
            </w:pPr>
            <w:r w:rsidRPr="001F110B">
              <w:rPr>
                <w:rFonts w:cs="Arial"/>
                <w:sz w:val="19"/>
                <w:szCs w:val="19"/>
              </w:rPr>
              <w:t>Other assets</w:t>
            </w:r>
          </w:p>
        </w:tc>
        <w:tc>
          <w:tcPr>
            <w:tcW w:w="719" w:type="pct"/>
            <w:tcBorders>
              <w:top w:val="nil"/>
              <w:left w:val="nil"/>
              <w:bottom w:val="nil"/>
              <w:right w:val="nil"/>
            </w:tcBorders>
            <w:shd w:val="clear" w:color="auto" w:fill="auto"/>
            <w:vAlign w:val="bottom"/>
          </w:tcPr>
          <w:p w14:paraId="665B48A7" w14:textId="77777777" w:rsidR="009C0C47" w:rsidRPr="00EE7B81" w:rsidRDefault="009C0C47" w:rsidP="0073637B">
            <w:pPr>
              <w:tabs>
                <w:tab w:val="right" w:pos="1202"/>
              </w:tabs>
              <w:spacing w:after="0" w:line="280" w:lineRule="exact"/>
              <w:jc w:val="right"/>
              <w:outlineLvl w:val="0"/>
              <w:rPr>
                <w:rFonts w:ascii="Calibri" w:eastAsia="Calibri" w:hAnsi="Calibri"/>
                <w:sz w:val="19"/>
                <w:szCs w:val="19"/>
              </w:rPr>
            </w:pPr>
            <w:bookmarkStart w:id="760" w:name="_Toc67329493"/>
            <w:r w:rsidRPr="006577DA">
              <w:rPr>
                <w:sz w:val="19"/>
                <w:szCs w:val="19"/>
              </w:rPr>
              <w:t>4</w:t>
            </w:r>
            <w:r>
              <w:rPr>
                <w:sz w:val="19"/>
                <w:szCs w:val="19"/>
              </w:rPr>
              <w:t>,</w:t>
            </w:r>
            <w:r w:rsidRPr="006577DA">
              <w:rPr>
                <w:sz w:val="19"/>
                <w:szCs w:val="19"/>
              </w:rPr>
              <w:t>699</w:t>
            </w:r>
            <w:bookmarkEnd w:id="760"/>
          </w:p>
        </w:tc>
        <w:tc>
          <w:tcPr>
            <w:tcW w:w="719" w:type="pct"/>
            <w:tcBorders>
              <w:top w:val="nil"/>
              <w:left w:val="nil"/>
              <w:bottom w:val="nil"/>
              <w:right w:val="nil"/>
            </w:tcBorders>
            <w:shd w:val="clear" w:color="auto" w:fill="auto"/>
            <w:vAlign w:val="bottom"/>
          </w:tcPr>
          <w:p w14:paraId="56FF1791" w14:textId="77777777" w:rsidR="009C0C47" w:rsidRPr="00EE7B81" w:rsidRDefault="009C0C47" w:rsidP="0073637B">
            <w:pPr>
              <w:tabs>
                <w:tab w:val="right" w:pos="1202"/>
              </w:tabs>
              <w:spacing w:after="0" w:line="280" w:lineRule="exact"/>
              <w:jc w:val="right"/>
              <w:outlineLvl w:val="0"/>
              <w:rPr>
                <w:rFonts w:ascii="Calibri" w:eastAsia="Calibri" w:hAnsi="Calibri"/>
                <w:sz w:val="19"/>
                <w:szCs w:val="19"/>
              </w:rPr>
            </w:pPr>
            <w:bookmarkStart w:id="761" w:name="_Toc67329494"/>
            <w:r w:rsidRPr="006577DA">
              <w:rPr>
                <w:sz w:val="19"/>
                <w:szCs w:val="19"/>
              </w:rPr>
              <w:t>-</w:t>
            </w:r>
            <w:bookmarkEnd w:id="761"/>
          </w:p>
        </w:tc>
        <w:tc>
          <w:tcPr>
            <w:tcW w:w="719" w:type="pct"/>
            <w:tcBorders>
              <w:top w:val="nil"/>
              <w:left w:val="nil"/>
              <w:bottom w:val="nil"/>
              <w:right w:val="nil"/>
            </w:tcBorders>
            <w:shd w:val="clear" w:color="auto" w:fill="auto"/>
            <w:vAlign w:val="bottom"/>
          </w:tcPr>
          <w:p w14:paraId="1337FAE8" w14:textId="77777777" w:rsidR="009C0C47" w:rsidRPr="00EE7B81" w:rsidRDefault="009C0C47" w:rsidP="0073637B">
            <w:pPr>
              <w:tabs>
                <w:tab w:val="right" w:pos="1202"/>
              </w:tabs>
              <w:spacing w:after="0" w:line="280" w:lineRule="exact"/>
              <w:jc w:val="right"/>
              <w:outlineLvl w:val="0"/>
              <w:rPr>
                <w:rFonts w:ascii="Calibri" w:eastAsia="Calibri" w:hAnsi="Calibri"/>
                <w:sz w:val="19"/>
                <w:szCs w:val="19"/>
              </w:rPr>
            </w:pPr>
            <w:bookmarkStart w:id="762" w:name="_Toc67329495"/>
            <w:r w:rsidRPr="006577DA">
              <w:rPr>
                <w:sz w:val="19"/>
                <w:szCs w:val="19"/>
              </w:rPr>
              <w:t>-</w:t>
            </w:r>
            <w:bookmarkEnd w:id="762"/>
          </w:p>
        </w:tc>
        <w:tc>
          <w:tcPr>
            <w:tcW w:w="720" w:type="pct"/>
            <w:tcBorders>
              <w:top w:val="nil"/>
              <w:left w:val="nil"/>
              <w:bottom w:val="nil"/>
              <w:right w:val="nil"/>
            </w:tcBorders>
            <w:shd w:val="clear" w:color="auto" w:fill="auto"/>
            <w:vAlign w:val="bottom"/>
          </w:tcPr>
          <w:p w14:paraId="65A158F7" w14:textId="77777777" w:rsidR="009C0C47" w:rsidRPr="00EE7B81" w:rsidRDefault="009C0C47" w:rsidP="0073637B">
            <w:pPr>
              <w:tabs>
                <w:tab w:val="right" w:pos="1202"/>
              </w:tabs>
              <w:spacing w:after="0" w:line="280" w:lineRule="exact"/>
              <w:jc w:val="right"/>
              <w:outlineLvl w:val="0"/>
              <w:rPr>
                <w:rFonts w:ascii="Calibri" w:eastAsia="Calibri" w:hAnsi="Calibri"/>
                <w:sz w:val="19"/>
                <w:szCs w:val="19"/>
              </w:rPr>
            </w:pPr>
            <w:bookmarkStart w:id="763" w:name="_Toc67329496"/>
            <w:r w:rsidRPr="006577DA">
              <w:rPr>
                <w:sz w:val="19"/>
                <w:szCs w:val="19"/>
              </w:rPr>
              <w:t>4</w:t>
            </w:r>
            <w:r>
              <w:rPr>
                <w:sz w:val="19"/>
                <w:szCs w:val="19"/>
              </w:rPr>
              <w:t>,</w:t>
            </w:r>
            <w:r w:rsidRPr="006577DA">
              <w:rPr>
                <w:sz w:val="19"/>
                <w:szCs w:val="19"/>
              </w:rPr>
              <w:t>699</w:t>
            </w:r>
            <w:bookmarkEnd w:id="763"/>
          </w:p>
        </w:tc>
      </w:tr>
      <w:tr w:rsidR="009C0C47" w:rsidRPr="005646A2" w14:paraId="71A887E9" w14:textId="77777777" w:rsidTr="00765996">
        <w:trPr>
          <w:cantSplit/>
          <w:trHeight w:val="456"/>
          <w:tblHeader/>
        </w:trPr>
        <w:tc>
          <w:tcPr>
            <w:tcW w:w="2123" w:type="pct"/>
            <w:vAlign w:val="bottom"/>
          </w:tcPr>
          <w:p w14:paraId="787FA7FF" w14:textId="77777777" w:rsidR="009C0C47" w:rsidRPr="001F110B" w:rsidRDefault="009C0C47" w:rsidP="0073637B">
            <w:pPr>
              <w:tabs>
                <w:tab w:val="right" w:pos="1202"/>
              </w:tabs>
              <w:spacing w:after="0" w:line="280" w:lineRule="exact"/>
              <w:outlineLvl w:val="0"/>
              <w:rPr>
                <w:rFonts w:cs="Arial"/>
                <w:b/>
                <w:sz w:val="19"/>
                <w:szCs w:val="19"/>
              </w:rPr>
            </w:pPr>
            <w:r w:rsidRPr="001F110B">
              <w:rPr>
                <w:rFonts w:cs="Arial"/>
                <w:b/>
                <w:sz w:val="19"/>
                <w:szCs w:val="19"/>
              </w:rPr>
              <w:t xml:space="preserve">Total </w:t>
            </w:r>
          </w:p>
        </w:tc>
        <w:tc>
          <w:tcPr>
            <w:tcW w:w="719" w:type="pct"/>
            <w:tcBorders>
              <w:top w:val="single" w:sz="8" w:space="0" w:color="auto"/>
              <w:left w:val="nil"/>
              <w:bottom w:val="single" w:sz="18" w:space="0" w:color="auto"/>
              <w:right w:val="nil"/>
            </w:tcBorders>
            <w:shd w:val="clear" w:color="auto" w:fill="auto"/>
            <w:vAlign w:val="bottom"/>
          </w:tcPr>
          <w:p w14:paraId="545CD58D" w14:textId="77777777" w:rsidR="009C0C47" w:rsidRPr="00EE7B81" w:rsidRDefault="009C0C47" w:rsidP="0073637B">
            <w:pPr>
              <w:tabs>
                <w:tab w:val="right" w:pos="1202"/>
              </w:tabs>
              <w:spacing w:after="0" w:line="280" w:lineRule="exact"/>
              <w:jc w:val="right"/>
              <w:outlineLvl w:val="0"/>
              <w:rPr>
                <w:rFonts w:ascii="Calibri" w:eastAsia="Calibri" w:hAnsi="Calibri"/>
                <w:b/>
                <w:sz w:val="19"/>
                <w:szCs w:val="19"/>
              </w:rPr>
            </w:pPr>
            <w:bookmarkStart w:id="764" w:name="_Toc67329498"/>
            <w:r w:rsidRPr="006577DA">
              <w:rPr>
                <w:b/>
                <w:bCs/>
                <w:sz w:val="19"/>
                <w:szCs w:val="19"/>
              </w:rPr>
              <w:t>27</w:t>
            </w:r>
            <w:r>
              <w:rPr>
                <w:b/>
                <w:bCs/>
                <w:sz w:val="19"/>
                <w:szCs w:val="19"/>
              </w:rPr>
              <w:t>,</w:t>
            </w:r>
            <w:r w:rsidRPr="006577DA">
              <w:rPr>
                <w:b/>
                <w:bCs/>
                <w:sz w:val="19"/>
                <w:szCs w:val="19"/>
              </w:rPr>
              <w:t>501</w:t>
            </w:r>
            <w:r>
              <w:rPr>
                <w:b/>
                <w:bCs/>
                <w:sz w:val="19"/>
                <w:szCs w:val="19"/>
              </w:rPr>
              <w:t>,</w:t>
            </w:r>
            <w:r w:rsidRPr="006577DA">
              <w:rPr>
                <w:b/>
                <w:bCs/>
                <w:sz w:val="19"/>
                <w:szCs w:val="19"/>
              </w:rPr>
              <w:t>893</w:t>
            </w:r>
            <w:bookmarkEnd w:id="764"/>
          </w:p>
        </w:tc>
        <w:tc>
          <w:tcPr>
            <w:tcW w:w="719" w:type="pct"/>
            <w:tcBorders>
              <w:top w:val="single" w:sz="8" w:space="0" w:color="auto"/>
              <w:left w:val="nil"/>
              <w:bottom w:val="single" w:sz="18" w:space="0" w:color="auto"/>
              <w:right w:val="nil"/>
            </w:tcBorders>
            <w:shd w:val="clear" w:color="auto" w:fill="auto"/>
            <w:vAlign w:val="bottom"/>
          </w:tcPr>
          <w:p w14:paraId="08795C11" w14:textId="77777777" w:rsidR="009C0C47" w:rsidRPr="00EE7B81" w:rsidRDefault="009C0C47" w:rsidP="0073637B">
            <w:pPr>
              <w:tabs>
                <w:tab w:val="right" w:pos="1202"/>
              </w:tabs>
              <w:spacing w:after="0" w:line="280" w:lineRule="exact"/>
              <w:jc w:val="right"/>
              <w:outlineLvl w:val="0"/>
              <w:rPr>
                <w:rFonts w:ascii="Calibri" w:eastAsia="Calibri" w:hAnsi="Calibri"/>
                <w:b/>
                <w:sz w:val="19"/>
                <w:szCs w:val="19"/>
              </w:rPr>
            </w:pPr>
            <w:bookmarkStart w:id="765" w:name="_Toc67329499"/>
            <w:r w:rsidRPr="006577DA">
              <w:rPr>
                <w:b/>
                <w:bCs/>
                <w:sz w:val="19"/>
                <w:szCs w:val="19"/>
              </w:rPr>
              <w:t>34</w:t>
            </w:r>
            <w:r>
              <w:rPr>
                <w:b/>
                <w:bCs/>
                <w:sz w:val="19"/>
                <w:szCs w:val="19"/>
              </w:rPr>
              <w:t>,</w:t>
            </w:r>
            <w:r w:rsidRPr="006577DA">
              <w:rPr>
                <w:b/>
                <w:bCs/>
                <w:sz w:val="19"/>
                <w:szCs w:val="19"/>
              </w:rPr>
              <w:t>288</w:t>
            </w:r>
            <w:bookmarkEnd w:id="765"/>
          </w:p>
        </w:tc>
        <w:tc>
          <w:tcPr>
            <w:tcW w:w="719" w:type="pct"/>
            <w:tcBorders>
              <w:top w:val="single" w:sz="8" w:space="0" w:color="auto"/>
              <w:left w:val="nil"/>
              <w:bottom w:val="single" w:sz="18" w:space="0" w:color="auto"/>
              <w:right w:val="nil"/>
            </w:tcBorders>
            <w:shd w:val="clear" w:color="auto" w:fill="auto"/>
            <w:vAlign w:val="bottom"/>
          </w:tcPr>
          <w:p w14:paraId="32CDA37C" w14:textId="77777777" w:rsidR="009C0C47" w:rsidRPr="00EE7B81" w:rsidRDefault="009C0C47" w:rsidP="0073637B">
            <w:pPr>
              <w:tabs>
                <w:tab w:val="right" w:pos="1202"/>
              </w:tabs>
              <w:spacing w:after="0" w:line="280" w:lineRule="exact"/>
              <w:jc w:val="right"/>
              <w:outlineLvl w:val="0"/>
              <w:rPr>
                <w:rFonts w:ascii="Calibri" w:eastAsia="Calibri" w:hAnsi="Calibri"/>
                <w:b/>
                <w:sz w:val="19"/>
                <w:szCs w:val="19"/>
              </w:rPr>
            </w:pPr>
            <w:bookmarkStart w:id="766" w:name="_Toc67329500"/>
            <w:r w:rsidRPr="006577DA">
              <w:rPr>
                <w:b/>
                <w:bCs/>
                <w:sz w:val="19"/>
                <w:szCs w:val="19"/>
              </w:rPr>
              <w:t>338</w:t>
            </w:r>
            <w:r>
              <w:rPr>
                <w:b/>
                <w:bCs/>
                <w:sz w:val="19"/>
                <w:szCs w:val="19"/>
              </w:rPr>
              <w:t>,</w:t>
            </w:r>
            <w:r w:rsidRPr="006577DA">
              <w:rPr>
                <w:b/>
                <w:bCs/>
                <w:sz w:val="19"/>
                <w:szCs w:val="19"/>
              </w:rPr>
              <w:t>219</w:t>
            </w:r>
            <w:bookmarkEnd w:id="766"/>
          </w:p>
        </w:tc>
        <w:tc>
          <w:tcPr>
            <w:tcW w:w="720" w:type="pct"/>
            <w:tcBorders>
              <w:top w:val="single" w:sz="8" w:space="0" w:color="auto"/>
              <w:left w:val="nil"/>
              <w:bottom w:val="single" w:sz="18" w:space="0" w:color="auto"/>
              <w:right w:val="nil"/>
            </w:tcBorders>
            <w:shd w:val="clear" w:color="auto" w:fill="auto"/>
            <w:vAlign w:val="bottom"/>
          </w:tcPr>
          <w:p w14:paraId="1605A570" w14:textId="77777777" w:rsidR="009C0C47" w:rsidRPr="00EE7B81" w:rsidRDefault="009C0C47" w:rsidP="0073637B">
            <w:pPr>
              <w:tabs>
                <w:tab w:val="right" w:pos="1202"/>
              </w:tabs>
              <w:spacing w:after="0" w:line="280" w:lineRule="exact"/>
              <w:jc w:val="right"/>
              <w:outlineLvl w:val="0"/>
              <w:rPr>
                <w:rFonts w:ascii="Calibri" w:eastAsia="Calibri" w:hAnsi="Calibri"/>
                <w:b/>
                <w:sz w:val="19"/>
                <w:szCs w:val="19"/>
              </w:rPr>
            </w:pPr>
            <w:bookmarkStart w:id="767" w:name="_Toc67329501"/>
            <w:r w:rsidRPr="006577DA">
              <w:rPr>
                <w:b/>
                <w:bCs/>
                <w:sz w:val="19"/>
                <w:szCs w:val="19"/>
              </w:rPr>
              <w:t>27</w:t>
            </w:r>
            <w:r>
              <w:rPr>
                <w:b/>
                <w:bCs/>
                <w:sz w:val="19"/>
                <w:szCs w:val="19"/>
              </w:rPr>
              <w:t>,</w:t>
            </w:r>
            <w:r w:rsidRPr="006577DA">
              <w:rPr>
                <w:b/>
                <w:bCs/>
                <w:sz w:val="19"/>
                <w:szCs w:val="19"/>
              </w:rPr>
              <w:t>874</w:t>
            </w:r>
            <w:r>
              <w:rPr>
                <w:b/>
                <w:bCs/>
                <w:sz w:val="19"/>
                <w:szCs w:val="19"/>
              </w:rPr>
              <w:t>,</w:t>
            </w:r>
            <w:r w:rsidRPr="006577DA">
              <w:rPr>
                <w:b/>
                <w:bCs/>
                <w:sz w:val="19"/>
                <w:szCs w:val="19"/>
              </w:rPr>
              <w:t>400</w:t>
            </w:r>
            <w:bookmarkEnd w:id="767"/>
          </w:p>
        </w:tc>
      </w:tr>
      <w:tr w:rsidR="009C0C47" w:rsidRPr="005646A2" w14:paraId="53E773A3" w14:textId="77777777" w:rsidTr="00765996">
        <w:tblPrEx>
          <w:tblCellMar>
            <w:left w:w="31" w:type="dxa"/>
            <w:right w:w="31" w:type="dxa"/>
          </w:tblCellMar>
        </w:tblPrEx>
        <w:trPr>
          <w:cantSplit/>
          <w:trHeight w:val="250"/>
          <w:tblHeader/>
        </w:trPr>
        <w:tc>
          <w:tcPr>
            <w:tcW w:w="2123" w:type="pct"/>
            <w:vAlign w:val="bottom"/>
          </w:tcPr>
          <w:p w14:paraId="6972E7C2" w14:textId="77777777" w:rsidR="009C0C47" w:rsidRPr="001F110B" w:rsidRDefault="009C0C47" w:rsidP="0073637B">
            <w:pPr>
              <w:tabs>
                <w:tab w:val="right" w:pos="1202"/>
              </w:tabs>
              <w:spacing w:after="0" w:line="280" w:lineRule="exact"/>
              <w:outlineLvl w:val="0"/>
              <w:rPr>
                <w:rFonts w:cs="Arial"/>
                <w:sz w:val="19"/>
                <w:szCs w:val="19"/>
              </w:rPr>
            </w:pPr>
          </w:p>
        </w:tc>
        <w:tc>
          <w:tcPr>
            <w:tcW w:w="719" w:type="pct"/>
            <w:tcBorders>
              <w:top w:val="single" w:sz="18" w:space="0" w:color="auto"/>
            </w:tcBorders>
            <w:vAlign w:val="bottom"/>
          </w:tcPr>
          <w:p w14:paraId="7831EFE4" w14:textId="77777777" w:rsidR="009C0C47" w:rsidRPr="00EE7B81" w:rsidRDefault="009C0C47" w:rsidP="0073637B">
            <w:pPr>
              <w:tabs>
                <w:tab w:val="right" w:pos="1202"/>
              </w:tabs>
              <w:spacing w:after="0" w:line="280" w:lineRule="exact"/>
              <w:jc w:val="right"/>
              <w:outlineLvl w:val="0"/>
              <w:rPr>
                <w:rFonts w:ascii="Calibri" w:eastAsia="Calibri" w:hAnsi="Calibri"/>
                <w:sz w:val="19"/>
                <w:szCs w:val="19"/>
              </w:rPr>
            </w:pPr>
          </w:p>
        </w:tc>
        <w:tc>
          <w:tcPr>
            <w:tcW w:w="719" w:type="pct"/>
            <w:tcBorders>
              <w:top w:val="single" w:sz="18" w:space="0" w:color="auto"/>
            </w:tcBorders>
            <w:vAlign w:val="bottom"/>
          </w:tcPr>
          <w:p w14:paraId="2ECCE5AE" w14:textId="77777777" w:rsidR="009C0C47" w:rsidRPr="00EE7B81" w:rsidRDefault="009C0C47" w:rsidP="0073637B">
            <w:pPr>
              <w:tabs>
                <w:tab w:val="right" w:pos="1202"/>
              </w:tabs>
              <w:spacing w:after="0" w:line="280" w:lineRule="exact"/>
              <w:jc w:val="right"/>
              <w:outlineLvl w:val="0"/>
              <w:rPr>
                <w:rFonts w:ascii="Calibri" w:eastAsia="Calibri" w:hAnsi="Calibri"/>
                <w:sz w:val="19"/>
                <w:szCs w:val="19"/>
              </w:rPr>
            </w:pPr>
          </w:p>
        </w:tc>
        <w:tc>
          <w:tcPr>
            <w:tcW w:w="719" w:type="pct"/>
            <w:tcBorders>
              <w:top w:val="single" w:sz="18" w:space="0" w:color="auto"/>
            </w:tcBorders>
            <w:vAlign w:val="bottom"/>
          </w:tcPr>
          <w:p w14:paraId="059414C3" w14:textId="77777777" w:rsidR="009C0C47" w:rsidRPr="00EE7B81" w:rsidRDefault="009C0C47" w:rsidP="0073637B">
            <w:pPr>
              <w:tabs>
                <w:tab w:val="right" w:pos="1202"/>
              </w:tabs>
              <w:spacing w:after="0" w:line="280" w:lineRule="exact"/>
              <w:jc w:val="right"/>
              <w:outlineLvl w:val="0"/>
              <w:rPr>
                <w:rFonts w:ascii="Calibri" w:eastAsia="Calibri" w:hAnsi="Calibri"/>
                <w:sz w:val="19"/>
                <w:szCs w:val="19"/>
              </w:rPr>
            </w:pPr>
          </w:p>
        </w:tc>
        <w:tc>
          <w:tcPr>
            <w:tcW w:w="720" w:type="pct"/>
            <w:tcBorders>
              <w:top w:val="single" w:sz="18" w:space="0" w:color="auto"/>
            </w:tcBorders>
            <w:vAlign w:val="bottom"/>
          </w:tcPr>
          <w:p w14:paraId="1CED3A6F" w14:textId="77777777" w:rsidR="009C0C47" w:rsidRPr="00EE7B81" w:rsidRDefault="009C0C47" w:rsidP="0073637B">
            <w:pPr>
              <w:tabs>
                <w:tab w:val="right" w:pos="1202"/>
              </w:tabs>
              <w:spacing w:after="0" w:line="280" w:lineRule="exact"/>
              <w:jc w:val="right"/>
              <w:outlineLvl w:val="0"/>
              <w:rPr>
                <w:rFonts w:ascii="Calibri" w:eastAsia="Calibri" w:hAnsi="Calibri"/>
                <w:sz w:val="19"/>
                <w:szCs w:val="19"/>
              </w:rPr>
            </w:pPr>
          </w:p>
        </w:tc>
      </w:tr>
      <w:tr w:rsidR="009C0C47" w:rsidRPr="005646A2" w14:paraId="2564639E" w14:textId="77777777" w:rsidTr="00765996">
        <w:tblPrEx>
          <w:tblCellMar>
            <w:left w:w="31" w:type="dxa"/>
            <w:right w:w="31" w:type="dxa"/>
          </w:tblCellMar>
        </w:tblPrEx>
        <w:trPr>
          <w:cantSplit/>
          <w:trHeight w:val="312"/>
          <w:tblHeader/>
        </w:trPr>
        <w:tc>
          <w:tcPr>
            <w:tcW w:w="2123" w:type="pct"/>
            <w:vAlign w:val="bottom"/>
          </w:tcPr>
          <w:p w14:paraId="714C20B5" w14:textId="77777777" w:rsidR="009C0C47" w:rsidRPr="001F110B" w:rsidRDefault="009C0C47" w:rsidP="0073637B">
            <w:pPr>
              <w:tabs>
                <w:tab w:val="right" w:pos="1202"/>
              </w:tabs>
              <w:spacing w:after="0" w:line="280" w:lineRule="exact"/>
              <w:outlineLvl w:val="0"/>
              <w:rPr>
                <w:rFonts w:cs="Arial"/>
                <w:b/>
                <w:sz w:val="19"/>
                <w:szCs w:val="19"/>
              </w:rPr>
            </w:pPr>
            <w:r w:rsidRPr="001F110B">
              <w:rPr>
                <w:rFonts w:cs="Arial"/>
                <w:b/>
                <w:sz w:val="19"/>
                <w:szCs w:val="19"/>
              </w:rPr>
              <w:t>Guarantees and commitments</w:t>
            </w:r>
          </w:p>
        </w:tc>
        <w:tc>
          <w:tcPr>
            <w:tcW w:w="719" w:type="pct"/>
            <w:vAlign w:val="bottom"/>
          </w:tcPr>
          <w:p w14:paraId="108FC08F" w14:textId="77777777" w:rsidR="009C0C47" w:rsidRPr="00EE7B81" w:rsidRDefault="009C0C47" w:rsidP="0073637B">
            <w:pPr>
              <w:tabs>
                <w:tab w:val="right" w:pos="1202"/>
              </w:tabs>
              <w:spacing w:after="0" w:line="280" w:lineRule="exact"/>
              <w:jc w:val="right"/>
              <w:outlineLvl w:val="0"/>
              <w:rPr>
                <w:rFonts w:ascii="Calibri" w:eastAsia="Calibri" w:hAnsi="Calibri"/>
                <w:sz w:val="19"/>
                <w:szCs w:val="19"/>
              </w:rPr>
            </w:pPr>
          </w:p>
        </w:tc>
        <w:tc>
          <w:tcPr>
            <w:tcW w:w="719" w:type="pct"/>
            <w:vAlign w:val="bottom"/>
          </w:tcPr>
          <w:p w14:paraId="75DAEAB7" w14:textId="77777777" w:rsidR="009C0C47" w:rsidRPr="00EE7B81" w:rsidRDefault="009C0C47" w:rsidP="0073637B">
            <w:pPr>
              <w:tabs>
                <w:tab w:val="right" w:pos="1202"/>
              </w:tabs>
              <w:spacing w:after="0" w:line="280" w:lineRule="exact"/>
              <w:jc w:val="right"/>
              <w:outlineLvl w:val="0"/>
              <w:rPr>
                <w:rFonts w:ascii="Calibri" w:eastAsia="Calibri" w:hAnsi="Calibri"/>
                <w:sz w:val="19"/>
                <w:szCs w:val="19"/>
              </w:rPr>
            </w:pPr>
          </w:p>
        </w:tc>
        <w:tc>
          <w:tcPr>
            <w:tcW w:w="719" w:type="pct"/>
            <w:vAlign w:val="bottom"/>
          </w:tcPr>
          <w:p w14:paraId="6A6B543B" w14:textId="77777777" w:rsidR="009C0C47" w:rsidRPr="00EE7B81" w:rsidRDefault="009C0C47" w:rsidP="0073637B">
            <w:pPr>
              <w:tabs>
                <w:tab w:val="right" w:pos="1202"/>
              </w:tabs>
              <w:spacing w:after="0" w:line="280" w:lineRule="exact"/>
              <w:jc w:val="right"/>
              <w:outlineLvl w:val="0"/>
              <w:rPr>
                <w:rFonts w:ascii="Calibri" w:eastAsia="Calibri" w:hAnsi="Calibri"/>
                <w:sz w:val="19"/>
                <w:szCs w:val="19"/>
              </w:rPr>
            </w:pPr>
          </w:p>
        </w:tc>
        <w:tc>
          <w:tcPr>
            <w:tcW w:w="720" w:type="pct"/>
            <w:vAlign w:val="bottom"/>
          </w:tcPr>
          <w:p w14:paraId="328B4F0D" w14:textId="77777777" w:rsidR="009C0C47" w:rsidRPr="00EE7B81" w:rsidRDefault="009C0C47" w:rsidP="0073637B">
            <w:pPr>
              <w:tabs>
                <w:tab w:val="right" w:pos="1202"/>
              </w:tabs>
              <w:spacing w:after="0" w:line="280" w:lineRule="exact"/>
              <w:jc w:val="right"/>
              <w:outlineLvl w:val="0"/>
              <w:rPr>
                <w:rFonts w:ascii="Calibri" w:eastAsia="Calibri" w:hAnsi="Calibri"/>
                <w:sz w:val="19"/>
                <w:szCs w:val="19"/>
              </w:rPr>
            </w:pPr>
          </w:p>
        </w:tc>
      </w:tr>
      <w:tr w:rsidR="009C0C47" w:rsidRPr="005646A2" w14:paraId="2ADC83B2" w14:textId="77777777" w:rsidTr="00765996">
        <w:tblPrEx>
          <w:tblCellMar>
            <w:left w:w="31" w:type="dxa"/>
            <w:right w:w="31" w:type="dxa"/>
          </w:tblCellMar>
        </w:tblPrEx>
        <w:trPr>
          <w:cantSplit/>
          <w:trHeight w:val="250"/>
          <w:tblHeader/>
        </w:trPr>
        <w:tc>
          <w:tcPr>
            <w:tcW w:w="2123" w:type="pct"/>
            <w:vAlign w:val="bottom"/>
          </w:tcPr>
          <w:p w14:paraId="174E593A" w14:textId="77777777" w:rsidR="009C0C47" w:rsidRPr="001F110B" w:rsidRDefault="009C0C47" w:rsidP="0073637B">
            <w:pPr>
              <w:tabs>
                <w:tab w:val="right" w:pos="1202"/>
              </w:tabs>
              <w:spacing w:after="0" w:line="280" w:lineRule="exact"/>
              <w:outlineLvl w:val="0"/>
              <w:rPr>
                <w:rFonts w:cs="Arial"/>
                <w:sz w:val="19"/>
                <w:szCs w:val="19"/>
              </w:rPr>
            </w:pPr>
            <w:r w:rsidRPr="001F110B">
              <w:rPr>
                <w:rFonts w:cs="Arial"/>
                <w:sz w:val="19"/>
                <w:szCs w:val="19"/>
              </w:rPr>
              <w:t>Guarantees issued in HRK</w:t>
            </w:r>
          </w:p>
        </w:tc>
        <w:tc>
          <w:tcPr>
            <w:tcW w:w="719" w:type="pct"/>
            <w:tcBorders>
              <w:top w:val="nil"/>
              <w:left w:val="nil"/>
              <w:bottom w:val="nil"/>
              <w:right w:val="nil"/>
            </w:tcBorders>
            <w:shd w:val="clear" w:color="auto" w:fill="auto"/>
            <w:vAlign w:val="bottom"/>
          </w:tcPr>
          <w:p w14:paraId="33C1BBB8" w14:textId="77777777" w:rsidR="009C0C47" w:rsidRPr="0060291E" w:rsidRDefault="009C0C47" w:rsidP="0073637B">
            <w:pPr>
              <w:tabs>
                <w:tab w:val="right" w:pos="1202"/>
              </w:tabs>
              <w:spacing w:after="0" w:line="280" w:lineRule="exact"/>
              <w:jc w:val="right"/>
              <w:outlineLvl w:val="0"/>
              <w:rPr>
                <w:rFonts w:cstheme="minorHAnsi"/>
                <w:color w:val="000000" w:themeColor="text1"/>
                <w:sz w:val="19"/>
                <w:szCs w:val="19"/>
              </w:rPr>
            </w:pPr>
            <w:bookmarkStart w:id="768" w:name="_Toc67329504"/>
            <w:r w:rsidRPr="000239F2">
              <w:rPr>
                <w:sz w:val="19"/>
                <w:szCs w:val="19"/>
              </w:rPr>
              <w:t xml:space="preserve"> 140</w:t>
            </w:r>
            <w:r>
              <w:rPr>
                <w:sz w:val="19"/>
                <w:szCs w:val="19"/>
              </w:rPr>
              <w:t>,</w:t>
            </w:r>
            <w:r w:rsidRPr="000239F2">
              <w:rPr>
                <w:sz w:val="19"/>
                <w:szCs w:val="19"/>
              </w:rPr>
              <w:t xml:space="preserve">113 </w:t>
            </w:r>
            <w:bookmarkEnd w:id="768"/>
          </w:p>
        </w:tc>
        <w:tc>
          <w:tcPr>
            <w:tcW w:w="719" w:type="pct"/>
            <w:tcBorders>
              <w:top w:val="nil"/>
              <w:left w:val="nil"/>
              <w:bottom w:val="nil"/>
              <w:right w:val="nil"/>
            </w:tcBorders>
            <w:shd w:val="clear" w:color="auto" w:fill="auto"/>
            <w:vAlign w:val="bottom"/>
          </w:tcPr>
          <w:p w14:paraId="2A4B5DC8" w14:textId="77777777" w:rsidR="009C0C47" w:rsidRPr="0060291E" w:rsidRDefault="009C0C47" w:rsidP="0073637B">
            <w:pPr>
              <w:tabs>
                <w:tab w:val="right" w:pos="1202"/>
              </w:tabs>
              <w:spacing w:after="0" w:line="280" w:lineRule="exact"/>
              <w:jc w:val="right"/>
              <w:outlineLvl w:val="0"/>
              <w:rPr>
                <w:rFonts w:cstheme="minorHAnsi"/>
                <w:color w:val="000000" w:themeColor="text1"/>
                <w:sz w:val="19"/>
                <w:szCs w:val="19"/>
              </w:rPr>
            </w:pPr>
            <w:bookmarkStart w:id="769" w:name="_Toc67329505"/>
            <w:r w:rsidRPr="000239F2">
              <w:rPr>
                <w:sz w:val="19"/>
                <w:szCs w:val="19"/>
              </w:rPr>
              <w:t xml:space="preserve"> -   </w:t>
            </w:r>
            <w:bookmarkEnd w:id="769"/>
          </w:p>
        </w:tc>
        <w:tc>
          <w:tcPr>
            <w:tcW w:w="719" w:type="pct"/>
            <w:tcBorders>
              <w:top w:val="nil"/>
              <w:left w:val="nil"/>
              <w:bottom w:val="nil"/>
              <w:right w:val="nil"/>
            </w:tcBorders>
            <w:shd w:val="clear" w:color="auto" w:fill="auto"/>
            <w:vAlign w:val="bottom"/>
          </w:tcPr>
          <w:p w14:paraId="285996A0" w14:textId="77777777" w:rsidR="009C0C47" w:rsidRPr="0060291E" w:rsidRDefault="009C0C47" w:rsidP="0073637B">
            <w:pPr>
              <w:tabs>
                <w:tab w:val="right" w:pos="1202"/>
              </w:tabs>
              <w:spacing w:after="0" w:line="280" w:lineRule="exact"/>
              <w:jc w:val="right"/>
              <w:outlineLvl w:val="0"/>
              <w:rPr>
                <w:rFonts w:cstheme="minorHAnsi"/>
                <w:color w:val="000000" w:themeColor="text1"/>
                <w:sz w:val="19"/>
                <w:szCs w:val="19"/>
              </w:rPr>
            </w:pPr>
            <w:bookmarkStart w:id="770" w:name="_Toc67329506"/>
            <w:r w:rsidRPr="000239F2">
              <w:rPr>
                <w:sz w:val="19"/>
                <w:szCs w:val="19"/>
              </w:rPr>
              <w:t xml:space="preserve"> -   </w:t>
            </w:r>
            <w:bookmarkEnd w:id="770"/>
          </w:p>
        </w:tc>
        <w:tc>
          <w:tcPr>
            <w:tcW w:w="720" w:type="pct"/>
            <w:tcBorders>
              <w:top w:val="nil"/>
              <w:left w:val="nil"/>
              <w:bottom w:val="nil"/>
              <w:right w:val="nil"/>
            </w:tcBorders>
            <w:shd w:val="clear" w:color="auto" w:fill="auto"/>
            <w:vAlign w:val="bottom"/>
          </w:tcPr>
          <w:p w14:paraId="0FF45138" w14:textId="77777777" w:rsidR="009C0C47" w:rsidRPr="0060291E" w:rsidRDefault="009C0C47" w:rsidP="0073637B">
            <w:pPr>
              <w:tabs>
                <w:tab w:val="right" w:pos="1202"/>
              </w:tabs>
              <w:spacing w:after="0" w:line="280" w:lineRule="exact"/>
              <w:jc w:val="right"/>
              <w:outlineLvl w:val="0"/>
              <w:rPr>
                <w:rFonts w:cstheme="minorHAnsi"/>
                <w:color w:val="000000" w:themeColor="text1"/>
                <w:sz w:val="19"/>
                <w:szCs w:val="19"/>
              </w:rPr>
            </w:pPr>
            <w:bookmarkStart w:id="771" w:name="_Toc67329507"/>
            <w:r w:rsidRPr="000239F2">
              <w:rPr>
                <w:sz w:val="19"/>
                <w:szCs w:val="19"/>
              </w:rPr>
              <w:t xml:space="preserve"> 140</w:t>
            </w:r>
            <w:r>
              <w:rPr>
                <w:sz w:val="19"/>
                <w:szCs w:val="19"/>
              </w:rPr>
              <w:t>,</w:t>
            </w:r>
            <w:r w:rsidRPr="000239F2">
              <w:rPr>
                <w:sz w:val="19"/>
                <w:szCs w:val="19"/>
              </w:rPr>
              <w:t xml:space="preserve">113 </w:t>
            </w:r>
            <w:bookmarkEnd w:id="771"/>
          </w:p>
        </w:tc>
      </w:tr>
      <w:tr w:rsidR="009C0C47" w:rsidRPr="005646A2" w14:paraId="2A295E70" w14:textId="77777777" w:rsidTr="00765996">
        <w:tblPrEx>
          <w:tblCellMar>
            <w:left w:w="31" w:type="dxa"/>
            <w:right w:w="31" w:type="dxa"/>
          </w:tblCellMar>
        </w:tblPrEx>
        <w:trPr>
          <w:cantSplit/>
          <w:trHeight w:val="250"/>
          <w:tblHeader/>
        </w:trPr>
        <w:tc>
          <w:tcPr>
            <w:tcW w:w="2123" w:type="pct"/>
            <w:vAlign w:val="bottom"/>
          </w:tcPr>
          <w:p w14:paraId="68B51FE6" w14:textId="77777777" w:rsidR="009C0C47" w:rsidRPr="001F110B" w:rsidRDefault="009C0C47" w:rsidP="0073637B">
            <w:pPr>
              <w:tabs>
                <w:tab w:val="right" w:pos="1202"/>
              </w:tabs>
              <w:spacing w:after="0" w:line="280" w:lineRule="exact"/>
              <w:outlineLvl w:val="0"/>
              <w:rPr>
                <w:rFonts w:cs="Arial"/>
                <w:sz w:val="19"/>
                <w:szCs w:val="19"/>
              </w:rPr>
            </w:pPr>
            <w:r w:rsidRPr="001F110B">
              <w:rPr>
                <w:rFonts w:cs="Arial"/>
                <w:sz w:val="19"/>
                <w:szCs w:val="19"/>
              </w:rPr>
              <w:t>Issued guarantees in foreign currency</w:t>
            </w:r>
          </w:p>
        </w:tc>
        <w:tc>
          <w:tcPr>
            <w:tcW w:w="719" w:type="pct"/>
            <w:tcBorders>
              <w:top w:val="nil"/>
              <w:left w:val="nil"/>
              <w:bottom w:val="nil"/>
              <w:right w:val="nil"/>
            </w:tcBorders>
            <w:shd w:val="clear" w:color="auto" w:fill="auto"/>
            <w:vAlign w:val="bottom"/>
          </w:tcPr>
          <w:p w14:paraId="0795AB67" w14:textId="77777777" w:rsidR="009C0C47" w:rsidRPr="0060291E" w:rsidRDefault="009C0C47" w:rsidP="0073637B">
            <w:pPr>
              <w:tabs>
                <w:tab w:val="right" w:pos="1202"/>
              </w:tabs>
              <w:spacing w:after="0" w:line="280" w:lineRule="exact"/>
              <w:jc w:val="right"/>
              <w:outlineLvl w:val="0"/>
              <w:rPr>
                <w:rFonts w:cstheme="minorHAnsi"/>
                <w:color w:val="000000" w:themeColor="text1"/>
                <w:sz w:val="19"/>
                <w:szCs w:val="19"/>
              </w:rPr>
            </w:pPr>
            <w:bookmarkStart w:id="772" w:name="_Toc67329509"/>
            <w:r w:rsidRPr="000239F2">
              <w:rPr>
                <w:sz w:val="19"/>
                <w:szCs w:val="19"/>
              </w:rPr>
              <w:t xml:space="preserve"> 260</w:t>
            </w:r>
            <w:r>
              <w:rPr>
                <w:sz w:val="19"/>
                <w:szCs w:val="19"/>
              </w:rPr>
              <w:t>,</w:t>
            </w:r>
            <w:r w:rsidRPr="000239F2">
              <w:rPr>
                <w:sz w:val="19"/>
                <w:szCs w:val="19"/>
              </w:rPr>
              <w:t xml:space="preserve">705 </w:t>
            </w:r>
            <w:bookmarkEnd w:id="772"/>
          </w:p>
        </w:tc>
        <w:tc>
          <w:tcPr>
            <w:tcW w:w="719" w:type="pct"/>
            <w:tcBorders>
              <w:top w:val="nil"/>
              <w:left w:val="nil"/>
              <w:bottom w:val="nil"/>
              <w:right w:val="nil"/>
            </w:tcBorders>
            <w:shd w:val="clear" w:color="auto" w:fill="auto"/>
            <w:vAlign w:val="bottom"/>
          </w:tcPr>
          <w:p w14:paraId="13DD30AA" w14:textId="77777777" w:rsidR="009C0C47" w:rsidRPr="0060291E" w:rsidRDefault="009C0C47" w:rsidP="0073637B">
            <w:pPr>
              <w:tabs>
                <w:tab w:val="right" w:pos="1202"/>
              </w:tabs>
              <w:spacing w:after="0" w:line="280" w:lineRule="exact"/>
              <w:jc w:val="right"/>
              <w:outlineLvl w:val="0"/>
              <w:rPr>
                <w:rFonts w:cstheme="minorHAnsi"/>
                <w:color w:val="000000" w:themeColor="text1"/>
                <w:sz w:val="19"/>
                <w:szCs w:val="19"/>
              </w:rPr>
            </w:pPr>
            <w:bookmarkStart w:id="773" w:name="_Toc67329510"/>
            <w:r w:rsidRPr="000239F2">
              <w:rPr>
                <w:sz w:val="19"/>
                <w:szCs w:val="19"/>
              </w:rPr>
              <w:t xml:space="preserve"> -   </w:t>
            </w:r>
            <w:bookmarkEnd w:id="773"/>
          </w:p>
        </w:tc>
        <w:tc>
          <w:tcPr>
            <w:tcW w:w="719" w:type="pct"/>
            <w:tcBorders>
              <w:top w:val="nil"/>
              <w:left w:val="nil"/>
              <w:bottom w:val="nil"/>
              <w:right w:val="nil"/>
            </w:tcBorders>
            <w:shd w:val="clear" w:color="auto" w:fill="auto"/>
            <w:vAlign w:val="bottom"/>
          </w:tcPr>
          <w:p w14:paraId="27A09D9C" w14:textId="77777777" w:rsidR="009C0C47" w:rsidRPr="0060291E" w:rsidRDefault="009C0C47" w:rsidP="0073637B">
            <w:pPr>
              <w:tabs>
                <w:tab w:val="right" w:pos="1202"/>
              </w:tabs>
              <w:spacing w:after="0" w:line="280" w:lineRule="exact"/>
              <w:jc w:val="right"/>
              <w:outlineLvl w:val="0"/>
              <w:rPr>
                <w:rFonts w:cstheme="minorHAnsi"/>
                <w:color w:val="000000" w:themeColor="text1"/>
                <w:sz w:val="19"/>
                <w:szCs w:val="19"/>
              </w:rPr>
            </w:pPr>
            <w:bookmarkStart w:id="774" w:name="_Toc67329511"/>
            <w:r w:rsidRPr="000239F2">
              <w:rPr>
                <w:sz w:val="19"/>
                <w:szCs w:val="19"/>
              </w:rPr>
              <w:t xml:space="preserve"> -   </w:t>
            </w:r>
            <w:bookmarkEnd w:id="774"/>
          </w:p>
        </w:tc>
        <w:tc>
          <w:tcPr>
            <w:tcW w:w="720" w:type="pct"/>
            <w:tcBorders>
              <w:top w:val="nil"/>
              <w:left w:val="nil"/>
              <w:bottom w:val="nil"/>
              <w:right w:val="nil"/>
            </w:tcBorders>
            <w:shd w:val="clear" w:color="auto" w:fill="auto"/>
            <w:vAlign w:val="bottom"/>
          </w:tcPr>
          <w:p w14:paraId="57CB37D2" w14:textId="77777777" w:rsidR="009C0C47" w:rsidRPr="0060291E" w:rsidRDefault="009C0C47" w:rsidP="0073637B">
            <w:pPr>
              <w:tabs>
                <w:tab w:val="right" w:pos="1202"/>
              </w:tabs>
              <w:spacing w:after="0" w:line="280" w:lineRule="exact"/>
              <w:jc w:val="right"/>
              <w:outlineLvl w:val="0"/>
              <w:rPr>
                <w:rFonts w:cstheme="minorHAnsi"/>
                <w:color w:val="000000" w:themeColor="text1"/>
                <w:sz w:val="19"/>
                <w:szCs w:val="19"/>
              </w:rPr>
            </w:pPr>
            <w:bookmarkStart w:id="775" w:name="_Toc67329512"/>
            <w:r w:rsidRPr="000239F2">
              <w:rPr>
                <w:sz w:val="19"/>
                <w:szCs w:val="19"/>
              </w:rPr>
              <w:t xml:space="preserve"> 260</w:t>
            </w:r>
            <w:r>
              <w:rPr>
                <w:sz w:val="19"/>
                <w:szCs w:val="19"/>
              </w:rPr>
              <w:t>,</w:t>
            </w:r>
            <w:r w:rsidRPr="000239F2">
              <w:rPr>
                <w:sz w:val="19"/>
                <w:szCs w:val="19"/>
              </w:rPr>
              <w:t xml:space="preserve">705 </w:t>
            </w:r>
            <w:bookmarkEnd w:id="775"/>
          </w:p>
        </w:tc>
      </w:tr>
      <w:tr w:rsidR="009C0C47" w:rsidRPr="005646A2" w14:paraId="4664C439" w14:textId="77777777" w:rsidTr="00765996">
        <w:tblPrEx>
          <w:tblCellMar>
            <w:left w:w="31" w:type="dxa"/>
            <w:right w:w="31" w:type="dxa"/>
          </w:tblCellMar>
        </w:tblPrEx>
        <w:trPr>
          <w:cantSplit/>
          <w:trHeight w:val="250"/>
          <w:tblHeader/>
        </w:trPr>
        <w:tc>
          <w:tcPr>
            <w:tcW w:w="2123" w:type="pct"/>
            <w:vAlign w:val="bottom"/>
          </w:tcPr>
          <w:p w14:paraId="1018BECA" w14:textId="77777777" w:rsidR="009C0C47" w:rsidRPr="001F110B" w:rsidRDefault="009C0C47" w:rsidP="0073637B">
            <w:pPr>
              <w:tabs>
                <w:tab w:val="right" w:pos="1202"/>
              </w:tabs>
              <w:spacing w:after="0" w:line="280" w:lineRule="exact"/>
              <w:outlineLvl w:val="0"/>
              <w:rPr>
                <w:rFonts w:cs="Arial"/>
                <w:sz w:val="19"/>
                <w:szCs w:val="19"/>
              </w:rPr>
            </w:pPr>
            <w:r w:rsidRPr="001F110B">
              <w:rPr>
                <w:rFonts w:cs="Arial"/>
                <w:sz w:val="19"/>
                <w:szCs w:val="19"/>
              </w:rPr>
              <w:t>Undrawn loans</w:t>
            </w:r>
          </w:p>
        </w:tc>
        <w:tc>
          <w:tcPr>
            <w:tcW w:w="719" w:type="pct"/>
            <w:tcBorders>
              <w:top w:val="nil"/>
              <w:left w:val="nil"/>
              <w:bottom w:val="single" w:sz="4" w:space="0" w:color="auto"/>
              <w:right w:val="nil"/>
            </w:tcBorders>
            <w:shd w:val="clear" w:color="auto" w:fill="auto"/>
            <w:vAlign w:val="bottom"/>
          </w:tcPr>
          <w:p w14:paraId="205C0588" w14:textId="77777777" w:rsidR="009C0C47" w:rsidRPr="0060291E" w:rsidRDefault="009C0C47" w:rsidP="0073637B">
            <w:pPr>
              <w:tabs>
                <w:tab w:val="right" w:pos="1202"/>
              </w:tabs>
              <w:spacing w:after="0" w:line="280" w:lineRule="exact"/>
              <w:jc w:val="right"/>
              <w:outlineLvl w:val="0"/>
              <w:rPr>
                <w:rFonts w:cstheme="minorHAnsi"/>
                <w:color w:val="000000" w:themeColor="text1"/>
                <w:sz w:val="19"/>
                <w:szCs w:val="19"/>
              </w:rPr>
            </w:pPr>
            <w:bookmarkStart w:id="776" w:name="_Toc67329519"/>
            <w:r w:rsidRPr="000239F2">
              <w:rPr>
                <w:sz w:val="19"/>
                <w:szCs w:val="19"/>
              </w:rPr>
              <w:t xml:space="preserve"> 3</w:t>
            </w:r>
            <w:r>
              <w:rPr>
                <w:sz w:val="19"/>
                <w:szCs w:val="19"/>
              </w:rPr>
              <w:t>,</w:t>
            </w:r>
            <w:r w:rsidRPr="000239F2">
              <w:rPr>
                <w:sz w:val="19"/>
                <w:szCs w:val="19"/>
              </w:rPr>
              <w:t>454</w:t>
            </w:r>
            <w:r>
              <w:rPr>
                <w:sz w:val="19"/>
                <w:szCs w:val="19"/>
              </w:rPr>
              <w:t>,</w:t>
            </w:r>
            <w:r w:rsidRPr="000239F2">
              <w:rPr>
                <w:sz w:val="19"/>
                <w:szCs w:val="19"/>
              </w:rPr>
              <w:t xml:space="preserve">685 </w:t>
            </w:r>
            <w:bookmarkEnd w:id="776"/>
          </w:p>
        </w:tc>
        <w:tc>
          <w:tcPr>
            <w:tcW w:w="719" w:type="pct"/>
            <w:tcBorders>
              <w:top w:val="nil"/>
              <w:left w:val="nil"/>
              <w:bottom w:val="single" w:sz="4" w:space="0" w:color="auto"/>
              <w:right w:val="nil"/>
            </w:tcBorders>
            <w:shd w:val="clear" w:color="auto" w:fill="auto"/>
            <w:vAlign w:val="bottom"/>
          </w:tcPr>
          <w:p w14:paraId="054CE416" w14:textId="77777777" w:rsidR="009C0C47" w:rsidRPr="0060291E" w:rsidRDefault="009C0C47" w:rsidP="0073637B">
            <w:pPr>
              <w:tabs>
                <w:tab w:val="right" w:pos="1202"/>
              </w:tabs>
              <w:spacing w:after="0" w:line="280" w:lineRule="exact"/>
              <w:jc w:val="right"/>
              <w:outlineLvl w:val="0"/>
              <w:rPr>
                <w:rFonts w:cstheme="minorHAnsi"/>
                <w:color w:val="000000" w:themeColor="text1"/>
                <w:sz w:val="19"/>
                <w:szCs w:val="19"/>
              </w:rPr>
            </w:pPr>
            <w:bookmarkStart w:id="777" w:name="_Toc67329520"/>
            <w:r w:rsidRPr="000239F2">
              <w:rPr>
                <w:sz w:val="19"/>
                <w:szCs w:val="19"/>
              </w:rPr>
              <w:t xml:space="preserve"> -   </w:t>
            </w:r>
            <w:bookmarkEnd w:id="777"/>
          </w:p>
        </w:tc>
        <w:tc>
          <w:tcPr>
            <w:tcW w:w="719" w:type="pct"/>
            <w:tcBorders>
              <w:top w:val="nil"/>
              <w:left w:val="nil"/>
              <w:bottom w:val="single" w:sz="4" w:space="0" w:color="auto"/>
              <w:right w:val="nil"/>
            </w:tcBorders>
            <w:shd w:val="clear" w:color="auto" w:fill="auto"/>
            <w:vAlign w:val="bottom"/>
          </w:tcPr>
          <w:p w14:paraId="71D6E3E0" w14:textId="77777777" w:rsidR="009C0C47" w:rsidRPr="0060291E" w:rsidRDefault="009C0C47" w:rsidP="0073637B">
            <w:pPr>
              <w:tabs>
                <w:tab w:val="right" w:pos="1202"/>
              </w:tabs>
              <w:spacing w:after="0" w:line="280" w:lineRule="exact"/>
              <w:jc w:val="right"/>
              <w:outlineLvl w:val="0"/>
              <w:rPr>
                <w:rFonts w:cstheme="minorHAnsi"/>
                <w:color w:val="000000" w:themeColor="text1"/>
                <w:sz w:val="19"/>
                <w:szCs w:val="19"/>
              </w:rPr>
            </w:pPr>
            <w:bookmarkStart w:id="778" w:name="_Toc67329521"/>
            <w:r w:rsidRPr="000239F2">
              <w:rPr>
                <w:sz w:val="19"/>
                <w:szCs w:val="19"/>
              </w:rPr>
              <w:t xml:space="preserve"> 2</w:t>
            </w:r>
            <w:r>
              <w:rPr>
                <w:sz w:val="19"/>
                <w:szCs w:val="19"/>
              </w:rPr>
              <w:t>,</w:t>
            </w:r>
            <w:r w:rsidRPr="000239F2">
              <w:rPr>
                <w:sz w:val="19"/>
                <w:szCs w:val="19"/>
              </w:rPr>
              <w:t xml:space="preserve">606 </w:t>
            </w:r>
            <w:bookmarkEnd w:id="778"/>
          </w:p>
        </w:tc>
        <w:tc>
          <w:tcPr>
            <w:tcW w:w="720" w:type="pct"/>
            <w:tcBorders>
              <w:top w:val="nil"/>
              <w:left w:val="nil"/>
              <w:bottom w:val="single" w:sz="4" w:space="0" w:color="auto"/>
              <w:right w:val="nil"/>
            </w:tcBorders>
            <w:shd w:val="clear" w:color="auto" w:fill="auto"/>
            <w:vAlign w:val="bottom"/>
          </w:tcPr>
          <w:p w14:paraId="5BF0F7F1" w14:textId="77777777" w:rsidR="009C0C47" w:rsidRPr="0060291E" w:rsidRDefault="009C0C47" w:rsidP="0073637B">
            <w:pPr>
              <w:tabs>
                <w:tab w:val="right" w:pos="1202"/>
              </w:tabs>
              <w:spacing w:after="0" w:line="280" w:lineRule="exact"/>
              <w:jc w:val="right"/>
              <w:outlineLvl w:val="0"/>
              <w:rPr>
                <w:rFonts w:cstheme="minorHAnsi"/>
                <w:color w:val="000000" w:themeColor="text1"/>
                <w:sz w:val="19"/>
                <w:szCs w:val="19"/>
              </w:rPr>
            </w:pPr>
            <w:bookmarkStart w:id="779" w:name="_Toc67329522"/>
            <w:r w:rsidRPr="000239F2">
              <w:rPr>
                <w:sz w:val="19"/>
                <w:szCs w:val="19"/>
              </w:rPr>
              <w:t xml:space="preserve"> 3</w:t>
            </w:r>
            <w:r>
              <w:rPr>
                <w:sz w:val="19"/>
                <w:szCs w:val="19"/>
              </w:rPr>
              <w:t>,</w:t>
            </w:r>
            <w:r w:rsidRPr="000239F2">
              <w:rPr>
                <w:sz w:val="19"/>
                <w:szCs w:val="19"/>
              </w:rPr>
              <w:t>457</w:t>
            </w:r>
            <w:r>
              <w:rPr>
                <w:sz w:val="19"/>
                <w:szCs w:val="19"/>
              </w:rPr>
              <w:t>,</w:t>
            </w:r>
            <w:r w:rsidRPr="000239F2">
              <w:rPr>
                <w:sz w:val="19"/>
                <w:szCs w:val="19"/>
              </w:rPr>
              <w:t xml:space="preserve">291 </w:t>
            </w:r>
            <w:bookmarkEnd w:id="779"/>
          </w:p>
        </w:tc>
      </w:tr>
      <w:tr w:rsidR="009C0C47" w:rsidRPr="005646A2" w14:paraId="27D858C6" w14:textId="77777777" w:rsidTr="00765996">
        <w:tblPrEx>
          <w:tblCellMar>
            <w:left w:w="31" w:type="dxa"/>
            <w:right w:w="31" w:type="dxa"/>
          </w:tblCellMar>
        </w:tblPrEx>
        <w:trPr>
          <w:cantSplit/>
          <w:trHeight w:val="425"/>
          <w:tblHeader/>
        </w:trPr>
        <w:tc>
          <w:tcPr>
            <w:tcW w:w="2123" w:type="pct"/>
            <w:vAlign w:val="bottom"/>
          </w:tcPr>
          <w:p w14:paraId="22C89939" w14:textId="77777777" w:rsidR="009C0C47" w:rsidRPr="001F110B" w:rsidRDefault="009C0C47" w:rsidP="0073637B">
            <w:pPr>
              <w:tabs>
                <w:tab w:val="right" w:pos="1202"/>
              </w:tabs>
              <w:spacing w:after="0" w:line="280" w:lineRule="exact"/>
              <w:outlineLvl w:val="0"/>
              <w:rPr>
                <w:rFonts w:cs="Arial"/>
                <w:b/>
                <w:sz w:val="19"/>
                <w:szCs w:val="19"/>
              </w:rPr>
            </w:pPr>
            <w:r w:rsidRPr="001F110B">
              <w:rPr>
                <w:rFonts w:cs="Arial"/>
                <w:b/>
                <w:sz w:val="19"/>
                <w:szCs w:val="19"/>
              </w:rPr>
              <w:t>Total</w:t>
            </w:r>
          </w:p>
        </w:tc>
        <w:tc>
          <w:tcPr>
            <w:tcW w:w="719" w:type="pct"/>
            <w:tcBorders>
              <w:top w:val="single" w:sz="4" w:space="0" w:color="auto"/>
              <w:left w:val="nil"/>
              <w:bottom w:val="single" w:sz="18" w:space="0" w:color="auto"/>
              <w:right w:val="nil"/>
            </w:tcBorders>
            <w:shd w:val="clear" w:color="auto" w:fill="auto"/>
            <w:vAlign w:val="bottom"/>
          </w:tcPr>
          <w:p w14:paraId="04AAE35F" w14:textId="77777777" w:rsidR="009C0C47" w:rsidRPr="00EE7B81" w:rsidRDefault="009C0C47" w:rsidP="0073637B">
            <w:pPr>
              <w:tabs>
                <w:tab w:val="right" w:pos="1202"/>
              </w:tabs>
              <w:spacing w:after="0" w:line="280" w:lineRule="exact"/>
              <w:jc w:val="right"/>
              <w:outlineLvl w:val="0"/>
              <w:rPr>
                <w:rFonts w:ascii="Calibri" w:eastAsia="Calibri" w:hAnsi="Calibri"/>
                <w:b/>
                <w:sz w:val="19"/>
                <w:szCs w:val="19"/>
              </w:rPr>
            </w:pPr>
            <w:bookmarkStart w:id="780" w:name="_Toc67329529"/>
            <w:r w:rsidRPr="006577DA">
              <w:rPr>
                <w:b/>
                <w:bCs/>
                <w:sz w:val="19"/>
                <w:szCs w:val="19"/>
              </w:rPr>
              <w:t xml:space="preserve"> 3</w:t>
            </w:r>
            <w:r>
              <w:rPr>
                <w:b/>
                <w:bCs/>
                <w:sz w:val="19"/>
                <w:szCs w:val="19"/>
              </w:rPr>
              <w:t>,</w:t>
            </w:r>
            <w:r w:rsidRPr="006577DA">
              <w:rPr>
                <w:b/>
                <w:bCs/>
                <w:sz w:val="19"/>
                <w:szCs w:val="19"/>
              </w:rPr>
              <w:t>855</w:t>
            </w:r>
            <w:r>
              <w:rPr>
                <w:b/>
                <w:bCs/>
                <w:sz w:val="19"/>
                <w:szCs w:val="19"/>
              </w:rPr>
              <w:t>,</w:t>
            </w:r>
            <w:r w:rsidRPr="006577DA">
              <w:rPr>
                <w:b/>
                <w:bCs/>
                <w:sz w:val="19"/>
                <w:szCs w:val="19"/>
              </w:rPr>
              <w:t xml:space="preserve">503 </w:t>
            </w:r>
            <w:bookmarkEnd w:id="780"/>
          </w:p>
        </w:tc>
        <w:tc>
          <w:tcPr>
            <w:tcW w:w="719" w:type="pct"/>
            <w:tcBorders>
              <w:top w:val="single" w:sz="4" w:space="0" w:color="auto"/>
              <w:left w:val="nil"/>
              <w:bottom w:val="single" w:sz="18" w:space="0" w:color="auto"/>
              <w:right w:val="nil"/>
            </w:tcBorders>
            <w:shd w:val="clear" w:color="auto" w:fill="auto"/>
            <w:vAlign w:val="bottom"/>
          </w:tcPr>
          <w:p w14:paraId="2AE167D0" w14:textId="77777777" w:rsidR="009C0C47" w:rsidRPr="00EE7B81" w:rsidRDefault="009C0C47" w:rsidP="0073637B">
            <w:pPr>
              <w:tabs>
                <w:tab w:val="right" w:pos="1202"/>
              </w:tabs>
              <w:spacing w:after="0" w:line="280" w:lineRule="exact"/>
              <w:jc w:val="right"/>
              <w:outlineLvl w:val="0"/>
              <w:rPr>
                <w:rFonts w:ascii="Calibri" w:eastAsia="Calibri" w:hAnsi="Calibri"/>
                <w:b/>
                <w:sz w:val="19"/>
                <w:szCs w:val="19"/>
              </w:rPr>
            </w:pPr>
            <w:bookmarkStart w:id="781" w:name="_Toc67329530"/>
            <w:r w:rsidRPr="006577DA">
              <w:rPr>
                <w:b/>
                <w:bCs/>
                <w:sz w:val="19"/>
                <w:szCs w:val="19"/>
              </w:rPr>
              <w:t xml:space="preserve"> -   </w:t>
            </w:r>
            <w:bookmarkEnd w:id="781"/>
          </w:p>
        </w:tc>
        <w:tc>
          <w:tcPr>
            <w:tcW w:w="719" w:type="pct"/>
            <w:tcBorders>
              <w:top w:val="single" w:sz="4" w:space="0" w:color="auto"/>
              <w:left w:val="nil"/>
              <w:bottom w:val="single" w:sz="18" w:space="0" w:color="auto"/>
              <w:right w:val="nil"/>
            </w:tcBorders>
            <w:shd w:val="clear" w:color="auto" w:fill="auto"/>
            <w:vAlign w:val="bottom"/>
          </w:tcPr>
          <w:p w14:paraId="24586829" w14:textId="77777777" w:rsidR="009C0C47" w:rsidRPr="00EE7B81" w:rsidRDefault="009C0C47" w:rsidP="0073637B">
            <w:pPr>
              <w:tabs>
                <w:tab w:val="right" w:pos="1202"/>
              </w:tabs>
              <w:spacing w:after="0" w:line="280" w:lineRule="exact"/>
              <w:jc w:val="right"/>
              <w:outlineLvl w:val="0"/>
              <w:rPr>
                <w:rFonts w:ascii="Calibri" w:eastAsia="Calibri" w:hAnsi="Calibri"/>
                <w:b/>
                <w:sz w:val="19"/>
                <w:szCs w:val="19"/>
              </w:rPr>
            </w:pPr>
            <w:bookmarkStart w:id="782" w:name="_Toc67329531"/>
            <w:r w:rsidRPr="006577DA">
              <w:rPr>
                <w:b/>
                <w:bCs/>
                <w:sz w:val="19"/>
                <w:szCs w:val="19"/>
              </w:rPr>
              <w:t xml:space="preserve"> 2</w:t>
            </w:r>
            <w:r>
              <w:rPr>
                <w:b/>
                <w:bCs/>
                <w:sz w:val="19"/>
                <w:szCs w:val="19"/>
              </w:rPr>
              <w:t>,</w:t>
            </w:r>
            <w:r w:rsidRPr="006577DA">
              <w:rPr>
                <w:b/>
                <w:bCs/>
                <w:sz w:val="19"/>
                <w:szCs w:val="19"/>
              </w:rPr>
              <w:t xml:space="preserve">606 </w:t>
            </w:r>
            <w:bookmarkEnd w:id="782"/>
          </w:p>
        </w:tc>
        <w:tc>
          <w:tcPr>
            <w:tcW w:w="720" w:type="pct"/>
            <w:tcBorders>
              <w:top w:val="single" w:sz="4" w:space="0" w:color="auto"/>
              <w:left w:val="nil"/>
              <w:bottom w:val="single" w:sz="18" w:space="0" w:color="auto"/>
              <w:right w:val="nil"/>
            </w:tcBorders>
            <w:shd w:val="clear" w:color="auto" w:fill="auto"/>
            <w:vAlign w:val="bottom"/>
          </w:tcPr>
          <w:p w14:paraId="6EA0BF50" w14:textId="77777777" w:rsidR="009C0C47" w:rsidRPr="00EE7B81" w:rsidRDefault="009C0C47" w:rsidP="0073637B">
            <w:pPr>
              <w:tabs>
                <w:tab w:val="right" w:pos="1202"/>
              </w:tabs>
              <w:spacing w:after="0" w:line="280" w:lineRule="exact"/>
              <w:jc w:val="right"/>
              <w:outlineLvl w:val="0"/>
              <w:rPr>
                <w:rFonts w:ascii="Calibri" w:eastAsia="Calibri" w:hAnsi="Calibri"/>
                <w:b/>
                <w:sz w:val="19"/>
                <w:szCs w:val="19"/>
              </w:rPr>
            </w:pPr>
            <w:bookmarkStart w:id="783" w:name="_Toc67329532"/>
            <w:r w:rsidRPr="006577DA">
              <w:rPr>
                <w:b/>
                <w:bCs/>
                <w:sz w:val="19"/>
                <w:szCs w:val="19"/>
              </w:rPr>
              <w:t xml:space="preserve"> 3</w:t>
            </w:r>
            <w:r>
              <w:rPr>
                <w:b/>
                <w:bCs/>
                <w:sz w:val="19"/>
                <w:szCs w:val="19"/>
              </w:rPr>
              <w:t>,</w:t>
            </w:r>
            <w:r w:rsidRPr="006577DA">
              <w:rPr>
                <w:b/>
                <w:bCs/>
                <w:sz w:val="19"/>
                <w:szCs w:val="19"/>
              </w:rPr>
              <w:t>858</w:t>
            </w:r>
            <w:r>
              <w:rPr>
                <w:b/>
                <w:bCs/>
                <w:sz w:val="19"/>
                <w:szCs w:val="19"/>
              </w:rPr>
              <w:t>,</w:t>
            </w:r>
            <w:r w:rsidRPr="006577DA">
              <w:rPr>
                <w:b/>
                <w:bCs/>
                <w:sz w:val="19"/>
                <w:szCs w:val="19"/>
              </w:rPr>
              <w:t xml:space="preserve">109 </w:t>
            </w:r>
            <w:bookmarkEnd w:id="783"/>
          </w:p>
        </w:tc>
      </w:tr>
      <w:tr w:rsidR="009C0C47" w:rsidRPr="005646A2" w14:paraId="34114C3D" w14:textId="77777777" w:rsidTr="00765996">
        <w:tblPrEx>
          <w:tblCellMar>
            <w:left w:w="31" w:type="dxa"/>
            <w:right w:w="31" w:type="dxa"/>
          </w:tblCellMar>
        </w:tblPrEx>
        <w:trPr>
          <w:cantSplit/>
          <w:trHeight w:val="467"/>
          <w:tblHeader/>
        </w:trPr>
        <w:tc>
          <w:tcPr>
            <w:tcW w:w="2123" w:type="pct"/>
            <w:vAlign w:val="bottom"/>
          </w:tcPr>
          <w:p w14:paraId="31D26F62" w14:textId="77777777" w:rsidR="009C0C47" w:rsidRPr="001F110B" w:rsidRDefault="009C0C47" w:rsidP="0073637B">
            <w:pPr>
              <w:tabs>
                <w:tab w:val="right" w:pos="1202"/>
              </w:tabs>
              <w:spacing w:after="0" w:line="280" w:lineRule="exact"/>
              <w:outlineLvl w:val="0"/>
              <w:rPr>
                <w:rFonts w:cs="Arial"/>
                <w:b/>
                <w:sz w:val="19"/>
                <w:szCs w:val="19"/>
              </w:rPr>
            </w:pPr>
            <w:r w:rsidRPr="001F110B">
              <w:rPr>
                <w:rFonts w:cs="Arial"/>
                <w:b/>
                <w:sz w:val="19"/>
                <w:szCs w:val="19"/>
              </w:rPr>
              <w:t>Total credit risk exposure</w:t>
            </w:r>
          </w:p>
        </w:tc>
        <w:tc>
          <w:tcPr>
            <w:tcW w:w="719" w:type="pct"/>
            <w:tcBorders>
              <w:top w:val="single" w:sz="18" w:space="0" w:color="auto"/>
              <w:left w:val="nil"/>
              <w:bottom w:val="single" w:sz="18" w:space="0" w:color="auto"/>
              <w:right w:val="nil"/>
            </w:tcBorders>
            <w:shd w:val="clear" w:color="auto" w:fill="auto"/>
            <w:vAlign w:val="bottom"/>
          </w:tcPr>
          <w:p w14:paraId="7107D911" w14:textId="77777777" w:rsidR="009C0C47" w:rsidRPr="00047543" w:rsidRDefault="009C0C47" w:rsidP="0073637B">
            <w:pPr>
              <w:tabs>
                <w:tab w:val="right" w:pos="1202"/>
              </w:tabs>
              <w:spacing w:after="0" w:line="280" w:lineRule="exact"/>
              <w:jc w:val="right"/>
              <w:outlineLvl w:val="0"/>
              <w:rPr>
                <w:b/>
                <w:bCs/>
                <w:sz w:val="19"/>
                <w:szCs w:val="19"/>
              </w:rPr>
            </w:pPr>
            <w:bookmarkStart w:id="784" w:name="_Toc67329533"/>
            <w:r w:rsidRPr="006577DA">
              <w:rPr>
                <w:b/>
                <w:bCs/>
                <w:sz w:val="19"/>
                <w:szCs w:val="19"/>
              </w:rPr>
              <w:t xml:space="preserve"> 31</w:t>
            </w:r>
            <w:r>
              <w:rPr>
                <w:b/>
                <w:bCs/>
                <w:sz w:val="19"/>
                <w:szCs w:val="19"/>
              </w:rPr>
              <w:t>,</w:t>
            </w:r>
            <w:r w:rsidRPr="006577DA">
              <w:rPr>
                <w:b/>
                <w:bCs/>
                <w:sz w:val="19"/>
                <w:szCs w:val="19"/>
              </w:rPr>
              <w:t>357</w:t>
            </w:r>
            <w:r>
              <w:rPr>
                <w:b/>
                <w:bCs/>
                <w:sz w:val="19"/>
                <w:szCs w:val="19"/>
              </w:rPr>
              <w:t>,</w:t>
            </w:r>
            <w:r w:rsidRPr="006577DA">
              <w:rPr>
                <w:b/>
                <w:bCs/>
                <w:sz w:val="19"/>
                <w:szCs w:val="19"/>
              </w:rPr>
              <w:t xml:space="preserve">396 </w:t>
            </w:r>
            <w:bookmarkEnd w:id="784"/>
          </w:p>
        </w:tc>
        <w:tc>
          <w:tcPr>
            <w:tcW w:w="719" w:type="pct"/>
            <w:tcBorders>
              <w:top w:val="single" w:sz="18" w:space="0" w:color="auto"/>
              <w:left w:val="nil"/>
              <w:bottom w:val="single" w:sz="18" w:space="0" w:color="auto"/>
              <w:right w:val="nil"/>
            </w:tcBorders>
            <w:shd w:val="clear" w:color="auto" w:fill="auto"/>
            <w:vAlign w:val="bottom"/>
          </w:tcPr>
          <w:p w14:paraId="551F528B" w14:textId="77777777" w:rsidR="009C0C47" w:rsidRPr="00047543" w:rsidRDefault="009C0C47" w:rsidP="0073637B">
            <w:pPr>
              <w:tabs>
                <w:tab w:val="right" w:pos="1202"/>
              </w:tabs>
              <w:spacing w:after="0" w:line="280" w:lineRule="exact"/>
              <w:jc w:val="right"/>
              <w:outlineLvl w:val="0"/>
              <w:rPr>
                <w:b/>
                <w:bCs/>
                <w:sz w:val="19"/>
                <w:szCs w:val="19"/>
              </w:rPr>
            </w:pPr>
            <w:bookmarkStart w:id="785" w:name="_Toc67329534"/>
            <w:r w:rsidRPr="006577DA">
              <w:rPr>
                <w:b/>
                <w:bCs/>
                <w:sz w:val="19"/>
                <w:szCs w:val="19"/>
              </w:rPr>
              <w:t xml:space="preserve"> 34</w:t>
            </w:r>
            <w:r>
              <w:rPr>
                <w:b/>
                <w:bCs/>
                <w:sz w:val="19"/>
                <w:szCs w:val="19"/>
              </w:rPr>
              <w:t>,</w:t>
            </w:r>
            <w:r w:rsidRPr="006577DA">
              <w:rPr>
                <w:b/>
                <w:bCs/>
                <w:sz w:val="19"/>
                <w:szCs w:val="19"/>
              </w:rPr>
              <w:t xml:space="preserve">288 </w:t>
            </w:r>
            <w:bookmarkEnd w:id="785"/>
          </w:p>
        </w:tc>
        <w:tc>
          <w:tcPr>
            <w:tcW w:w="719" w:type="pct"/>
            <w:tcBorders>
              <w:top w:val="single" w:sz="18" w:space="0" w:color="auto"/>
              <w:left w:val="nil"/>
              <w:bottom w:val="single" w:sz="18" w:space="0" w:color="auto"/>
              <w:right w:val="nil"/>
            </w:tcBorders>
            <w:shd w:val="clear" w:color="auto" w:fill="auto"/>
            <w:vAlign w:val="bottom"/>
          </w:tcPr>
          <w:p w14:paraId="2DAE7198" w14:textId="77777777" w:rsidR="009C0C47" w:rsidRPr="00047543" w:rsidRDefault="009C0C47" w:rsidP="0073637B">
            <w:pPr>
              <w:tabs>
                <w:tab w:val="right" w:pos="1202"/>
              </w:tabs>
              <w:spacing w:after="0" w:line="280" w:lineRule="exact"/>
              <w:jc w:val="right"/>
              <w:outlineLvl w:val="0"/>
              <w:rPr>
                <w:b/>
                <w:bCs/>
                <w:sz w:val="19"/>
                <w:szCs w:val="19"/>
              </w:rPr>
            </w:pPr>
            <w:bookmarkStart w:id="786" w:name="_Toc67329535"/>
            <w:r w:rsidRPr="006577DA">
              <w:rPr>
                <w:b/>
                <w:bCs/>
                <w:sz w:val="19"/>
                <w:szCs w:val="19"/>
              </w:rPr>
              <w:t xml:space="preserve"> 340</w:t>
            </w:r>
            <w:r>
              <w:rPr>
                <w:b/>
                <w:bCs/>
                <w:sz w:val="19"/>
                <w:szCs w:val="19"/>
              </w:rPr>
              <w:t>,</w:t>
            </w:r>
            <w:r w:rsidRPr="006577DA">
              <w:rPr>
                <w:b/>
                <w:bCs/>
                <w:sz w:val="19"/>
                <w:szCs w:val="19"/>
              </w:rPr>
              <w:t xml:space="preserve">825 </w:t>
            </w:r>
            <w:bookmarkEnd w:id="786"/>
          </w:p>
        </w:tc>
        <w:tc>
          <w:tcPr>
            <w:tcW w:w="720" w:type="pct"/>
            <w:tcBorders>
              <w:top w:val="single" w:sz="18" w:space="0" w:color="auto"/>
              <w:left w:val="nil"/>
              <w:bottom w:val="single" w:sz="18" w:space="0" w:color="auto"/>
              <w:right w:val="nil"/>
            </w:tcBorders>
            <w:shd w:val="clear" w:color="auto" w:fill="auto"/>
            <w:vAlign w:val="bottom"/>
          </w:tcPr>
          <w:p w14:paraId="1848988E" w14:textId="77777777" w:rsidR="009C0C47" w:rsidRPr="00047543" w:rsidRDefault="009C0C47" w:rsidP="0073637B">
            <w:pPr>
              <w:tabs>
                <w:tab w:val="right" w:pos="1202"/>
              </w:tabs>
              <w:spacing w:after="0" w:line="280" w:lineRule="exact"/>
              <w:jc w:val="right"/>
              <w:outlineLvl w:val="0"/>
              <w:rPr>
                <w:b/>
                <w:bCs/>
                <w:sz w:val="19"/>
                <w:szCs w:val="19"/>
              </w:rPr>
            </w:pPr>
            <w:bookmarkStart w:id="787" w:name="_Toc67329536"/>
            <w:r w:rsidRPr="006577DA">
              <w:rPr>
                <w:b/>
                <w:bCs/>
                <w:sz w:val="19"/>
                <w:szCs w:val="19"/>
              </w:rPr>
              <w:t xml:space="preserve"> 31</w:t>
            </w:r>
            <w:r>
              <w:rPr>
                <w:b/>
                <w:bCs/>
                <w:sz w:val="19"/>
                <w:szCs w:val="19"/>
              </w:rPr>
              <w:t>,</w:t>
            </w:r>
            <w:r w:rsidRPr="006577DA">
              <w:rPr>
                <w:b/>
                <w:bCs/>
                <w:sz w:val="19"/>
                <w:szCs w:val="19"/>
              </w:rPr>
              <w:t>732</w:t>
            </w:r>
            <w:r>
              <w:rPr>
                <w:b/>
                <w:bCs/>
                <w:sz w:val="19"/>
                <w:szCs w:val="19"/>
              </w:rPr>
              <w:t>,</w:t>
            </w:r>
            <w:r w:rsidRPr="006577DA">
              <w:rPr>
                <w:b/>
                <w:bCs/>
                <w:sz w:val="19"/>
                <w:szCs w:val="19"/>
              </w:rPr>
              <w:t xml:space="preserve">509 </w:t>
            </w:r>
            <w:bookmarkEnd w:id="787"/>
          </w:p>
        </w:tc>
      </w:tr>
      <w:bookmarkEnd w:id="735"/>
    </w:tbl>
    <w:p w14:paraId="749F1610" w14:textId="161E6451" w:rsidR="00FE04D4" w:rsidRPr="00537128" w:rsidRDefault="00FE04D4" w:rsidP="00364B19">
      <w:pPr>
        <w:spacing w:after="0" w:line="240" w:lineRule="auto"/>
        <w:jc w:val="both"/>
        <w:rPr>
          <w:rFonts w:ascii="Calibri" w:eastAsia="Times New Roman" w:hAnsi="Calibri" w:cs="Arial"/>
          <w:b/>
          <w:color w:val="000000" w:themeColor="text1"/>
          <w:lang w:val="en-US"/>
        </w:rPr>
      </w:pPr>
    </w:p>
    <w:p w14:paraId="26FB3EAF" w14:textId="77777777" w:rsidR="00FE04D4" w:rsidRPr="00537128" w:rsidRDefault="00FE04D4" w:rsidP="00364B19">
      <w:pPr>
        <w:spacing w:after="0" w:line="240" w:lineRule="auto"/>
        <w:jc w:val="both"/>
        <w:rPr>
          <w:rFonts w:ascii="Calibri" w:eastAsia="Times New Roman" w:hAnsi="Calibri" w:cs="Arial"/>
          <w:b/>
          <w:color w:val="000000" w:themeColor="text1"/>
          <w:lang w:val="en-US"/>
        </w:rPr>
      </w:pPr>
    </w:p>
    <w:p w14:paraId="241FC1A3"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71544B2D"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49D4E9B2"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sectPr w:rsidR="00364B19" w:rsidRPr="00537128">
          <w:pgSz w:w="11906" w:h="16838"/>
          <w:pgMar w:top="1417" w:right="1417" w:bottom="1417" w:left="1417" w:header="708" w:footer="708" w:gutter="0"/>
          <w:cols w:space="708"/>
          <w:docGrid w:linePitch="360"/>
        </w:sectPr>
      </w:pPr>
    </w:p>
    <w:p w14:paraId="08161E52" w14:textId="77777777" w:rsidR="00364B19" w:rsidRPr="00537128" w:rsidRDefault="00364B19" w:rsidP="00364B19">
      <w:pPr>
        <w:spacing w:after="0" w:line="240" w:lineRule="auto"/>
        <w:jc w:val="both"/>
        <w:rPr>
          <w:rFonts w:ascii="Calibri" w:eastAsia="Times New Roman" w:hAnsi="Calibri" w:cs="Calibri"/>
          <w:b/>
          <w:bCs/>
          <w:color w:val="000000" w:themeColor="text1"/>
          <w:lang w:val="en-US" w:eastAsia="hr-HR"/>
        </w:rPr>
      </w:pPr>
    </w:p>
    <w:p w14:paraId="5395DC4C" w14:textId="236E7AF2" w:rsidR="00364B19" w:rsidRPr="00537128" w:rsidRDefault="00B357CE" w:rsidP="00364B19">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37312567" w14:textId="77777777" w:rsidR="00364B19" w:rsidRPr="00537128"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14:paraId="7374B96E" w14:textId="606F6A48" w:rsidR="00364B19" w:rsidRPr="00537128" w:rsidRDefault="00B357CE" w:rsidP="00364B19">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364B19" w:rsidRPr="00537128">
        <w:rPr>
          <w:rFonts w:ascii="Calibri" w:eastAsia="Times New Roman" w:hAnsi="Calibri" w:cs="Arial"/>
          <w:b/>
          <w:color w:val="000000" w:themeColor="text1"/>
          <w:lang w:val="en-US"/>
        </w:rPr>
        <w:t xml:space="preserve">   Credit risk (continued)</w:t>
      </w:r>
    </w:p>
    <w:p w14:paraId="5FFAA912"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2E34F7F9"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Concentration of risk and maximum credit risk exposure (continued)</w:t>
      </w:r>
    </w:p>
    <w:p w14:paraId="4119DC88"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182E156A" w14:textId="77777777" w:rsidR="00364B19" w:rsidRPr="00537128" w:rsidRDefault="00364B19" w:rsidP="002578CA">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 xml:space="preserve">Concentration of assets and guarantees and commitments, according to industry, net exposure, before and after the effect of mitigation through collateral received:  </w:t>
      </w:r>
    </w:p>
    <w:p w14:paraId="3AF84C57" w14:textId="77777777" w:rsidR="00364B19" w:rsidRPr="00537128" w:rsidRDefault="00364B19" w:rsidP="002578CA">
      <w:pPr>
        <w:spacing w:after="0" w:line="240" w:lineRule="auto"/>
        <w:jc w:val="both"/>
        <w:rPr>
          <w:rFonts w:ascii="Calibri" w:eastAsia="Times New Roman" w:hAnsi="Calibri" w:cs="Arial"/>
          <w:b/>
          <w:color w:val="000000" w:themeColor="text1"/>
          <w:lang w:val="en-US"/>
        </w:rPr>
      </w:pPr>
    </w:p>
    <w:tbl>
      <w:tblPr>
        <w:tblpPr w:leftFromText="181" w:rightFromText="181" w:vertAnchor="text" w:tblpY="1"/>
        <w:tblOverlap w:val="never"/>
        <w:tblW w:w="5000" w:type="pct"/>
        <w:tblLayout w:type="fixed"/>
        <w:tblCellMar>
          <w:left w:w="30" w:type="dxa"/>
          <w:right w:w="30" w:type="dxa"/>
        </w:tblCellMar>
        <w:tblLook w:val="0000" w:firstRow="0" w:lastRow="0" w:firstColumn="0" w:lastColumn="0" w:noHBand="0" w:noVBand="0"/>
      </w:tblPr>
      <w:tblGrid>
        <w:gridCol w:w="4262"/>
        <w:gridCol w:w="1315"/>
        <w:gridCol w:w="1165"/>
        <w:gridCol w:w="1165"/>
        <w:gridCol w:w="1165"/>
      </w:tblGrid>
      <w:tr w:rsidR="00FE04D4" w:rsidRPr="00537128" w14:paraId="0A9A3C91" w14:textId="77777777" w:rsidTr="00FE04D4">
        <w:trPr>
          <w:cantSplit/>
          <w:trHeight w:val="919"/>
          <w:tblHeader/>
        </w:trPr>
        <w:tc>
          <w:tcPr>
            <w:tcW w:w="2349" w:type="pct"/>
            <w:vAlign w:val="bottom"/>
          </w:tcPr>
          <w:p w14:paraId="105278D6" w14:textId="77777777" w:rsidR="00FE04D4" w:rsidRPr="00537128" w:rsidRDefault="00FE04D4" w:rsidP="00FE04D4">
            <w:pPr>
              <w:tabs>
                <w:tab w:val="right" w:pos="1202"/>
              </w:tabs>
              <w:spacing w:after="0" w:line="240" w:lineRule="atLeast"/>
              <w:outlineLvl w:val="0"/>
              <w:rPr>
                <w:rFonts w:ascii="Calibri" w:eastAsia="Times New Roman" w:hAnsi="Calibri" w:cs="Arial"/>
                <w:b/>
                <w:sz w:val="19"/>
                <w:szCs w:val="19"/>
                <w:lang w:val="en-US"/>
              </w:rPr>
            </w:pPr>
            <w:bookmarkStart w:id="788" w:name="_Toc4060848"/>
            <w:r w:rsidRPr="00537128">
              <w:rPr>
                <w:rFonts w:ascii="Calibri" w:eastAsia="Times New Roman" w:hAnsi="Calibri" w:cs="Arial"/>
                <w:b/>
                <w:sz w:val="19"/>
                <w:szCs w:val="19"/>
                <w:lang w:val="en-US"/>
              </w:rPr>
              <w:t>Group</w:t>
            </w:r>
            <w:bookmarkEnd w:id="788"/>
          </w:p>
        </w:tc>
        <w:tc>
          <w:tcPr>
            <w:tcW w:w="725" w:type="pct"/>
            <w:vAlign w:val="center"/>
          </w:tcPr>
          <w:p w14:paraId="46F26C0E"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5D282568"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682FFC31"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13EAD5D8"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331A847B"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1B592154"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4560414C"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18B5D9C7"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789" w:name="_Toc4060849"/>
            <w:r w:rsidRPr="00537128">
              <w:rPr>
                <w:rFonts w:ascii="Calibri" w:eastAsia="Calibri" w:hAnsi="Calibri" w:cs="Arial"/>
                <w:b/>
                <w:sz w:val="19"/>
                <w:szCs w:val="19"/>
                <w:lang w:val="en-US"/>
              </w:rPr>
              <w:t>Highest exposure</w:t>
            </w:r>
            <w:bookmarkEnd w:id="789"/>
          </w:p>
        </w:tc>
        <w:tc>
          <w:tcPr>
            <w:tcW w:w="642" w:type="pct"/>
            <w:vAlign w:val="center"/>
          </w:tcPr>
          <w:p w14:paraId="1370609E"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59373F26"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790" w:name="_Toc4060850"/>
            <w:r w:rsidRPr="00537128">
              <w:rPr>
                <w:rFonts w:ascii="Calibri" w:eastAsia="Calibri" w:hAnsi="Calibri" w:cs="Arial"/>
                <w:b/>
                <w:sz w:val="19"/>
                <w:szCs w:val="19"/>
                <w:lang w:val="en-US"/>
              </w:rPr>
              <w:t>Highest exposure after the effect of mitigation through collateral received</w:t>
            </w:r>
            <w:bookmarkEnd w:id="790"/>
          </w:p>
        </w:tc>
        <w:tc>
          <w:tcPr>
            <w:tcW w:w="642" w:type="pct"/>
            <w:vAlign w:val="center"/>
          </w:tcPr>
          <w:p w14:paraId="377E8606"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0BE85944"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6BB54B4F"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25170C16"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00378189"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6C711A91"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4A15168D"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260EFA6A"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791" w:name="_Toc4060851"/>
            <w:r w:rsidRPr="00537128">
              <w:rPr>
                <w:rFonts w:ascii="Calibri" w:eastAsia="Calibri" w:hAnsi="Calibri" w:cs="Arial"/>
                <w:b/>
                <w:sz w:val="19"/>
                <w:szCs w:val="19"/>
                <w:lang w:val="en-US"/>
              </w:rPr>
              <w:t>Highest exposure</w:t>
            </w:r>
            <w:bookmarkEnd w:id="791"/>
          </w:p>
        </w:tc>
        <w:tc>
          <w:tcPr>
            <w:tcW w:w="642" w:type="pct"/>
            <w:vAlign w:val="center"/>
          </w:tcPr>
          <w:p w14:paraId="27A96A29"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295A5C78"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792" w:name="_Toc4060852"/>
            <w:r w:rsidRPr="00537128">
              <w:rPr>
                <w:rFonts w:ascii="Calibri" w:eastAsia="Calibri" w:hAnsi="Calibri" w:cs="Arial"/>
                <w:b/>
                <w:sz w:val="19"/>
                <w:szCs w:val="19"/>
                <w:lang w:val="en-US"/>
              </w:rPr>
              <w:t>Highest exposure after the effect of mitigation through collateral received</w:t>
            </w:r>
            <w:bookmarkEnd w:id="792"/>
          </w:p>
        </w:tc>
      </w:tr>
      <w:tr w:rsidR="00FE04D4" w:rsidRPr="00537128" w14:paraId="3C73D21F" w14:textId="77777777" w:rsidTr="00FE04D4">
        <w:trPr>
          <w:cantSplit/>
          <w:trHeight w:val="270"/>
          <w:tblHeader/>
        </w:trPr>
        <w:tc>
          <w:tcPr>
            <w:tcW w:w="2349" w:type="pct"/>
          </w:tcPr>
          <w:p w14:paraId="5A123967" w14:textId="77777777" w:rsidR="00FE04D4" w:rsidRPr="00537128" w:rsidRDefault="00FE04D4" w:rsidP="00FE04D4">
            <w:pPr>
              <w:spacing w:after="0" w:line="280" w:lineRule="exact"/>
              <w:ind w:left="113" w:hanging="113"/>
              <w:rPr>
                <w:rFonts w:ascii="Calibri" w:eastAsia="Calibri" w:hAnsi="Calibri" w:cs="Arial"/>
                <w:sz w:val="19"/>
                <w:szCs w:val="19"/>
                <w:lang w:val="en-US"/>
              </w:rPr>
            </w:pPr>
          </w:p>
        </w:tc>
        <w:tc>
          <w:tcPr>
            <w:tcW w:w="725" w:type="pct"/>
            <w:vAlign w:val="center"/>
          </w:tcPr>
          <w:p w14:paraId="09B0EF30" w14:textId="77777777"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bookmarkStart w:id="793" w:name="_Toc4060853"/>
            <w:r w:rsidRPr="00537128">
              <w:rPr>
                <w:rFonts w:ascii="Calibri" w:eastAsia="Calibri" w:hAnsi="Calibri" w:cs="Arial"/>
                <w:b/>
                <w:sz w:val="19"/>
                <w:szCs w:val="19"/>
                <w:lang w:val="en-US"/>
              </w:rPr>
              <w:t xml:space="preserve">31 March </w:t>
            </w:r>
            <w:bookmarkEnd w:id="793"/>
          </w:p>
          <w:p w14:paraId="0830FD23" w14:textId="3308EC68"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202</w:t>
            </w:r>
            <w:r w:rsidR="005B5AAF">
              <w:rPr>
                <w:rFonts w:ascii="Calibri" w:eastAsia="Calibri" w:hAnsi="Calibri" w:cs="Arial"/>
                <w:b/>
                <w:sz w:val="19"/>
                <w:szCs w:val="19"/>
                <w:lang w:val="en-US"/>
              </w:rPr>
              <w:t>2</w:t>
            </w:r>
          </w:p>
        </w:tc>
        <w:tc>
          <w:tcPr>
            <w:tcW w:w="642" w:type="pct"/>
            <w:vAlign w:val="center"/>
          </w:tcPr>
          <w:p w14:paraId="2B182161" w14:textId="77777777"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 xml:space="preserve">31 March </w:t>
            </w:r>
          </w:p>
          <w:p w14:paraId="5A6BDD96" w14:textId="68670D7C"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202</w:t>
            </w:r>
            <w:r w:rsidR="005B5AAF">
              <w:rPr>
                <w:rFonts w:ascii="Calibri" w:eastAsia="Calibri" w:hAnsi="Calibri" w:cs="Arial"/>
                <w:b/>
                <w:sz w:val="19"/>
                <w:szCs w:val="19"/>
                <w:lang w:val="en-US"/>
              </w:rPr>
              <w:t>2</w:t>
            </w:r>
          </w:p>
        </w:tc>
        <w:tc>
          <w:tcPr>
            <w:tcW w:w="642" w:type="pct"/>
            <w:vAlign w:val="center"/>
          </w:tcPr>
          <w:p w14:paraId="7720B455" w14:textId="635B5F83"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31 December 202</w:t>
            </w:r>
            <w:r w:rsidR="005B5AAF">
              <w:rPr>
                <w:rFonts w:ascii="Calibri" w:eastAsia="Calibri" w:hAnsi="Calibri" w:cs="Arial"/>
                <w:b/>
                <w:sz w:val="19"/>
                <w:szCs w:val="19"/>
                <w:lang w:val="en-US"/>
              </w:rPr>
              <w:t>1</w:t>
            </w:r>
          </w:p>
        </w:tc>
        <w:tc>
          <w:tcPr>
            <w:tcW w:w="642" w:type="pct"/>
            <w:vAlign w:val="center"/>
          </w:tcPr>
          <w:p w14:paraId="3CB30FD9" w14:textId="2162CFC1"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31 December 202</w:t>
            </w:r>
            <w:r w:rsidR="005B5AAF">
              <w:rPr>
                <w:rFonts w:ascii="Calibri" w:eastAsia="Calibri" w:hAnsi="Calibri" w:cs="Arial"/>
                <w:b/>
                <w:sz w:val="19"/>
                <w:szCs w:val="19"/>
                <w:lang w:val="en-US"/>
              </w:rPr>
              <w:t>1</w:t>
            </w:r>
          </w:p>
        </w:tc>
      </w:tr>
      <w:tr w:rsidR="00FE04D4" w:rsidRPr="00537128" w14:paraId="0E59A2D8" w14:textId="77777777" w:rsidTr="00FE04D4">
        <w:trPr>
          <w:cantSplit/>
          <w:trHeight w:val="270"/>
          <w:tblHeader/>
        </w:trPr>
        <w:tc>
          <w:tcPr>
            <w:tcW w:w="2349" w:type="pct"/>
          </w:tcPr>
          <w:p w14:paraId="4250C461" w14:textId="77777777" w:rsidR="00FE04D4" w:rsidRPr="00537128" w:rsidRDefault="00FE04D4" w:rsidP="00FE04D4">
            <w:pPr>
              <w:spacing w:after="0" w:line="280" w:lineRule="exact"/>
              <w:ind w:left="113" w:hanging="113"/>
              <w:rPr>
                <w:rFonts w:ascii="Calibri" w:eastAsia="Calibri" w:hAnsi="Calibri" w:cs="Arial"/>
                <w:sz w:val="19"/>
                <w:szCs w:val="19"/>
                <w:lang w:val="en-US"/>
              </w:rPr>
            </w:pPr>
          </w:p>
        </w:tc>
        <w:tc>
          <w:tcPr>
            <w:tcW w:w="725" w:type="pct"/>
          </w:tcPr>
          <w:p w14:paraId="2F8AA444" w14:textId="77777777"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bookmarkStart w:id="794" w:name="_Toc4060857"/>
            <w:r w:rsidRPr="00537128">
              <w:rPr>
                <w:rFonts w:ascii="Calibri" w:eastAsia="Times New Roman" w:hAnsi="Calibri" w:cs="Arial"/>
                <w:b/>
                <w:sz w:val="19"/>
                <w:szCs w:val="19"/>
                <w:lang w:val="en-US"/>
              </w:rPr>
              <w:t>HRK ‘000</w:t>
            </w:r>
            <w:bookmarkEnd w:id="794"/>
          </w:p>
        </w:tc>
        <w:tc>
          <w:tcPr>
            <w:tcW w:w="642" w:type="pct"/>
          </w:tcPr>
          <w:p w14:paraId="74CC952C" w14:textId="77777777"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bookmarkStart w:id="795" w:name="_Toc4060858"/>
            <w:r w:rsidRPr="00537128">
              <w:rPr>
                <w:rFonts w:ascii="Calibri" w:eastAsia="Times New Roman" w:hAnsi="Calibri" w:cs="Arial"/>
                <w:b/>
                <w:bCs/>
                <w:sz w:val="19"/>
                <w:szCs w:val="19"/>
                <w:lang w:val="en-US"/>
              </w:rPr>
              <w:t>HRK ‘000</w:t>
            </w:r>
            <w:bookmarkEnd w:id="795"/>
          </w:p>
        </w:tc>
        <w:tc>
          <w:tcPr>
            <w:tcW w:w="642" w:type="pct"/>
          </w:tcPr>
          <w:p w14:paraId="6783BC55" w14:textId="28E5132B"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Times New Roman" w:hAnsi="Calibri" w:cs="Arial"/>
                <w:b/>
                <w:sz w:val="19"/>
                <w:szCs w:val="19"/>
                <w:lang w:val="en-US"/>
              </w:rPr>
              <w:t>HRK ‘000</w:t>
            </w:r>
          </w:p>
        </w:tc>
        <w:tc>
          <w:tcPr>
            <w:tcW w:w="642" w:type="pct"/>
          </w:tcPr>
          <w:p w14:paraId="43DCF2C1" w14:textId="348A9D09"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Times New Roman" w:hAnsi="Calibri" w:cs="Arial"/>
                <w:b/>
                <w:bCs/>
                <w:sz w:val="19"/>
                <w:szCs w:val="19"/>
                <w:lang w:val="en-US"/>
              </w:rPr>
              <w:t>HRK ‘000</w:t>
            </w:r>
          </w:p>
        </w:tc>
      </w:tr>
      <w:tr w:rsidR="00FE04D4" w:rsidRPr="00537128" w14:paraId="166685F0" w14:textId="77777777" w:rsidTr="00FE04D4">
        <w:trPr>
          <w:cantSplit/>
          <w:trHeight w:val="270"/>
          <w:tblHeader/>
        </w:trPr>
        <w:tc>
          <w:tcPr>
            <w:tcW w:w="2349" w:type="pct"/>
          </w:tcPr>
          <w:p w14:paraId="1FC8EBF2" w14:textId="77777777" w:rsidR="00FE04D4" w:rsidRPr="00537128" w:rsidRDefault="00FE04D4" w:rsidP="00FE04D4">
            <w:pPr>
              <w:spacing w:after="0" w:line="280" w:lineRule="exact"/>
              <w:ind w:left="113" w:hanging="113"/>
              <w:rPr>
                <w:rFonts w:ascii="Calibri" w:eastAsia="Calibri" w:hAnsi="Calibri" w:cs="Arial"/>
                <w:sz w:val="19"/>
                <w:szCs w:val="19"/>
                <w:lang w:val="en-US"/>
              </w:rPr>
            </w:pPr>
          </w:p>
        </w:tc>
        <w:tc>
          <w:tcPr>
            <w:tcW w:w="725" w:type="pct"/>
          </w:tcPr>
          <w:p w14:paraId="7A107495" w14:textId="77777777" w:rsidR="00FE04D4" w:rsidRPr="00537128" w:rsidRDefault="00FE04D4" w:rsidP="00FE04D4">
            <w:pPr>
              <w:tabs>
                <w:tab w:val="right" w:pos="1202"/>
              </w:tabs>
              <w:spacing w:after="0" w:line="280" w:lineRule="exact"/>
              <w:jc w:val="right"/>
              <w:outlineLvl w:val="0"/>
              <w:rPr>
                <w:rFonts w:ascii="Calibri" w:eastAsia="Times New Roman" w:hAnsi="Calibri" w:cs="Arial"/>
                <w:b/>
                <w:sz w:val="19"/>
                <w:szCs w:val="19"/>
                <w:lang w:val="en-US"/>
              </w:rPr>
            </w:pPr>
          </w:p>
        </w:tc>
        <w:tc>
          <w:tcPr>
            <w:tcW w:w="642" w:type="pct"/>
          </w:tcPr>
          <w:p w14:paraId="645577E1" w14:textId="77777777" w:rsidR="00FE04D4" w:rsidRPr="00537128" w:rsidRDefault="00FE04D4" w:rsidP="00FE04D4">
            <w:pPr>
              <w:tabs>
                <w:tab w:val="right" w:pos="1202"/>
              </w:tabs>
              <w:spacing w:after="0" w:line="280" w:lineRule="exact"/>
              <w:jc w:val="right"/>
              <w:outlineLvl w:val="0"/>
              <w:rPr>
                <w:rFonts w:ascii="Calibri" w:eastAsia="Times New Roman" w:hAnsi="Calibri" w:cs="Arial"/>
                <w:b/>
                <w:bCs/>
                <w:sz w:val="19"/>
                <w:szCs w:val="19"/>
                <w:lang w:val="en-US"/>
              </w:rPr>
            </w:pPr>
          </w:p>
        </w:tc>
        <w:tc>
          <w:tcPr>
            <w:tcW w:w="642" w:type="pct"/>
          </w:tcPr>
          <w:p w14:paraId="3DE4E767" w14:textId="77777777" w:rsidR="00FE04D4" w:rsidRPr="00537128" w:rsidRDefault="00FE04D4" w:rsidP="00FE04D4">
            <w:pPr>
              <w:tabs>
                <w:tab w:val="right" w:pos="1202"/>
              </w:tabs>
              <w:spacing w:after="0" w:line="280" w:lineRule="exact"/>
              <w:jc w:val="right"/>
              <w:outlineLvl w:val="0"/>
              <w:rPr>
                <w:rFonts w:ascii="Calibri" w:eastAsia="Times New Roman" w:hAnsi="Calibri" w:cs="Arial"/>
                <w:b/>
                <w:sz w:val="19"/>
                <w:szCs w:val="19"/>
                <w:lang w:val="en-US"/>
              </w:rPr>
            </w:pPr>
          </w:p>
        </w:tc>
        <w:tc>
          <w:tcPr>
            <w:tcW w:w="642" w:type="pct"/>
          </w:tcPr>
          <w:p w14:paraId="118E2D24" w14:textId="77777777" w:rsidR="00FE04D4" w:rsidRPr="00537128" w:rsidRDefault="00FE04D4" w:rsidP="00FE04D4">
            <w:pPr>
              <w:tabs>
                <w:tab w:val="right" w:pos="1202"/>
              </w:tabs>
              <w:spacing w:after="0" w:line="280" w:lineRule="exact"/>
              <w:jc w:val="right"/>
              <w:outlineLvl w:val="0"/>
              <w:rPr>
                <w:rFonts w:ascii="Calibri" w:eastAsia="Times New Roman" w:hAnsi="Calibri" w:cs="Arial"/>
                <w:b/>
                <w:bCs/>
                <w:sz w:val="19"/>
                <w:szCs w:val="19"/>
                <w:lang w:val="en-US"/>
              </w:rPr>
            </w:pPr>
          </w:p>
        </w:tc>
      </w:tr>
      <w:tr w:rsidR="00B35109" w:rsidRPr="00537128" w14:paraId="0835F968" w14:textId="77777777" w:rsidTr="00FE04D4">
        <w:trPr>
          <w:cantSplit/>
          <w:trHeight w:val="270"/>
          <w:tblHeader/>
        </w:trPr>
        <w:tc>
          <w:tcPr>
            <w:tcW w:w="2349" w:type="pct"/>
            <w:vAlign w:val="bottom"/>
          </w:tcPr>
          <w:p w14:paraId="762D0314" w14:textId="77777777" w:rsidR="00B35109" w:rsidRPr="00537128" w:rsidRDefault="00B35109" w:rsidP="00B35109">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Financial intermediation and insurance</w:t>
            </w:r>
          </w:p>
        </w:tc>
        <w:tc>
          <w:tcPr>
            <w:tcW w:w="725" w:type="pct"/>
            <w:tcBorders>
              <w:top w:val="nil"/>
              <w:left w:val="nil"/>
              <w:bottom w:val="nil"/>
              <w:right w:val="nil"/>
            </w:tcBorders>
            <w:shd w:val="clear" w:color="auto" w:fill="auto"/>
            <w:vAlign w:val="bottom"/>
          </w:tcPr>
          <w:p w14:paraId="37DC0DA1" w14:textId="5A3BEFED" w:rsidR="00B35109" w:rsidRPr="00A1123E" w:rsidRDefault="00B35109" w:rsidP="00B35109">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10</w:t>
            </w:r>
            <w:r w:rsidR="00F756B2">
              <w:rPr>
                <w:rFonts w:ascii="Calibri" w:hAnsi="Calibri" w:cs="Calibri"/>
                <w:sz w:val="19"/>
                <w:szCs w:val="19"/>
              </w:rPr>
              <w:t>,</w:t>
            </w:r>
            <w:r w:rsidRPr="007A49AD">
              <w:rPr>
                <w:rFonts w:ascii="Calibri" w:hAnsi="Calibri" w:cs="Calibri"/>
                <w:sz w:val="19"/>
                <w:szCs w:val="19"/>
              </w:rPr>
              <w:t>333</w:t>
            </w:r>
            <w:r w:rsidR="00F756B2">
              <w:rPr>
                <w:rFonts w:ascii="Calibri" w:hAnsi="Calibri" w:cs="Calibri"/>
                <w:sz w:val="19"/>
                <w:szCs w:val="19"/>
              </w:rPr>
              <w:t>,</w:t>
            </w:r>
            <w:r w:rsidRPr="007A49AD">
              <w:rPr>
                <w:rFonts w:ascii="Calibri" w:hAnsi="Calibri" w:cs="Calibri"/>
                <w:sz w:val="19"/>
                <w:szCs w:val="19"/>
              </w:rPr>
              <w:t>420</w:t>
            </w:r>
          </w:p>
        </w:tc>
        <w:tc>
          <w:tcPr>
            <w:tcW w:w="642" w:type="pct"/>
            <w:tcBorders>
              <w:top w:val="nil"/>
              <w:left w:val="nil"/>
              <w:bottom w:val="nil"/>
              <w:right w:val="nil"/>
            </w:tcBorders>
            <w:shd w:val="clear" w:color="auto" w:fill="auto"/>
            <w:vAlign w:val="bottom"/>
          </w:tcPr>
          <w:p w14:paraId="10039A9B" w14:textId="79E75CEE" w:rsidR="00B35109" w:rsidRPr="00A1123E" w:rsidRDefault="00B35109" w:rsidP="00B35109">
            <w:pPr>
              <w:tabs>
                <w:tab w:val="right" w:pos="1202"/>
              </w:tabs>
              <w:spacing w:after="0" w:line="240" w:lineRule="auto"/>
              <w:jc w:val="right"/>
              <w:outlineLvl w:val="0"/>
              <w:rPr>
                <w:rFonts w:ascii="Calibri" w:eastAsia="Times New Roman" w:hAnsi="Calibri" w:cs="Calibri"/>
                <w:color w:val="000000"/>
                <w:sz w:val="19"/>
                <w:szCs w:val="19"/>
                <w:lang w:val="en-US"/>
              </w:rPr>
            </w:pPr>
            <w:r w:rsidRPr="002517EE">
              <w:rPr>
                <w:rFonts w:ascii="Calibri" w:hAnsi="Calibri" w:cs="Calibri"/>
                <w:sz w:val="19"/>
                <w:szCs w:val="19"/>
              </w:rPr>
              <w:t>-</w:t>
            </w:r>
          </w:p>
        </w:tc>
        <w:tc>
          <w:tcPr>
            <w:tcW w:w="642" w:type="pct"/>
            <w:tcBorders>
              <w:top w:val="nil"/>
              <w:left w:val="nil"/>
              <w:bottom w:val="nil"/>
              <w:right w:val="nil"/>
            </w:tcBorders>
            <w:shd w:val="clear" w:color="auto" w:fill="auto"/>
            <w:vAlign w:val="bottom"/>
          </w:tcPr>
          <w:p w14:paraId="754ED9DD" w14:textId="7828941F" w:rsidR="00B35109" w:rsidRPr="00537128" w:rsidRDefault="00B35109" w:rsidP="00B35109">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10</w:t>
            </w:r>
            <w:r>
              <w:rPr>
                <w:sz w:val="19"/>
                <w:szCs w:val="19"/>
              </w:rPr>
              <w:t>,</w:t>
            </w:r>
            <w:r w:rsidRPr="001B1B87">
              <w:rPr>
                <w:sz w:val="19"/>
                <w:szCs w:val="19"/>
              </w:rPr>
              <w:t>805</w:t>
            </w:r>
            <w:r>
              <w:rPr>
                <w:sz w:val="19"/>
                <w:szCs w:val="19"/>
              </w:rPr>
              <w:t>,</w:t>
            </w:r>
            <w:r w:rsidRPr="001B1B87">
              <w:rPr>
                <w:sz w:val="19"/>
                <w:szCs w:val="19"/>
              </w:rPr>
              <w:t>364</w:t>
            </w:r>
          </w:p>
        </w:tc>
        <w:tc>
          <w:tcPr>
            <w:tcW w:w="642" w:type="pct"/>
            <w:tcBorders>
              <w:top w:val="nil"/>
              <w:left w:val="nil"/>
              <w:bottom w:val="nil"/>
              <w:right w:val="nil"/>
            </w:tcBorders>
            <w:shd w:val="clear" w:color="auto" w:fill="auto"/>
            <w:vAlign w:val="bottom"/>
          </w:tcPr>
          <w:p w14:paraId="6D08DDE8" w14:textId="485989A6" w:rsidR="00B35109" w:rsidRPr="00537128" w:rsidRDefault="00B35109" w:rsidP="00B35109">
            <w:pPr>
              <w:tabs>
                <w:tab w:val="right" w:pos="1202"/>
              </w:tabs>
              <w:spacing w:after="0" w:line="240" w:lineRule="auto"/>
              <w:jc w:val="right"/>
              <w:outlineLvl w:val="0"/>
              <w:rPr>
                <w:rFonts w:ascii="Calibri" w:eastAsia="Calibri" w:hAnsi="Calibri" w:cs="Times New Roman"/>
                <w:sz w:val="19"/>
                <w:szCs w:val="19"/>
                <w:lang w:val="en-US"/>
              </w:rPr>
            </w:pPr>
            <w:r>
              <w:rPr>
                <w:sz w:val="19"/>
                <w:szCs w:val="19"/>
              </w:rPr>
              <w:t>-</w:t>
            </w:r>
          </w:p>
        </w:tc>
      </w:tr>
      <w:tr w:rsidR="00B35109" w:rsidRPr="00537128" w14:paraId="242832DE" w14:textId="77777777" w:rsidTr="00FE04D4">
        <w:trPr>
          <w:cantSplit/>
          <w:trHeight w:val="270"/>
          <w:tblHeader/>
        </w:trPr>
        <w:tc>
          <w:tcPr>
            <w:tcW w:w="2349" w:type="pct"/>
            <w:vAlign w:val="bottom"/>
          </w:tcPr>
          <w:p w14:paraId="19ADC275" w14:textId="77777777" w:rsidR="00B35109" w:rsidRPr="00537128" w:rsidRDefault="00B35109" w:rsidP="00B35109">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Water and electric supply and other infrastructure</w:t>
            </w:r>
          </w:p>
        </w:tc>
        <w:tc>
          <w:tcPr>
            <w:tcW w:w="725" w:type="pct"/>
            <w:tcBorders>
              <w:top w:val="nil"/>
              <w:left w:val="nil"/>
              <w:bottom w:val="nil"/>
              <w:right w:val="nil"/>
            </w:tcBorders>
            <w:shd w:val="clear" w:color="auto" w:fill="auto"/>
            <w:vAlign w:val="bottom"/>
          </w:tcPr>
          <w:p w14:paraId="3A09B468" w14:textId="4D46A437" w:rsidR="00B35109" w:rsidRPr="00A1123E" w:rsidRDefault="00B35109" w:rsidP="00B35109">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1</w:t>
            </w:r>
            <w:r w:rsidR="00F756B2">
              <w:rPr>
                <w:rFonts w:ascii="Calibri" w:hAnsi="Calibri" w:cs="Calibri"/>
                <w:sz w:val="19"/>
                <w:szCs w:val="19"/>
              </w:rPr>
              <w:t>,</w:t>
            </w:r>
            <w:r w:rsidRPr="007A49AD">
              <w:rPr>
                <w:rFonts w:ascii="Calibri" w:hAnsi="Calibri" w:cs="Calibri"/>
                <w:sz w:val="19"/>
                <w:szCs w:val="19"/>
              </w:rPr>
              <w:t>918</w:t>
            </w:r>
            <w:r w:rsidR="00F756B2">
              <w:rPr>
                <w:rFonts w:ascii="Calibri" w:hAnsi="Calibri" w:cs="Calibri"/>
                <w:sz w:val="19"/>
                <w:szCs w:val="19"/>
              </w:rPr>
              <w:t>,</w:t>
            </w:r>
            <w:r w:rsidRPr="007A49AD">
              <w:rPr>
                <w:rFonts w:ascii="Calibri" w:hAnsi="Calibri" w:cs="Calibri"/>
                <w:sz w:val="19"/>
                <w:szCs w:val="19"/>
              </w:rPr>
              <w:t>226</w:t>
            </w:r>
          </w:p>
        </w:tc>
        <w:tc>
          <w:tcPr>
            <w:tcW w:w="642" w:type="pct"/>
            <w:tcBorders>
              <w:top w:val="nil"/>
              <w:left w:val="nil"/>
              <w:bottom w:val="nil"/>
              <w:right w:val="nil"/>
            </w:tcBorders>
            <w:shd w:val="clear" w:color="auto" w:fill="auto"/>
            <w:vAlign w:val="bottom"/>
          </w:tcPr>
          <w:p w14:paraId="215AD293" w14:textId="421B10DA" w:rsidR="00B35109" w:rsidRPr="00A1123E" w:rsidRDefault="00B35109" w:rsidP="00B35109">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961</w:t>
            </w:r>
            <w:r w:rsidR="00F756B2">
              <w:rPr>
                <w:rFonts w:ascii="Calibri" w:hAnsi="Calibri" w:cs="Calibri"/>
                <w:sz w:val="19"/>
                <w:szCs w:val="19"/>
              </w:rPr>
              <w:t>,</w:t>
            </w:r>
            <w:r w:rsidRPr="007A49AD">
              <w:rPr>
                <w:rFonts w:ascii="Calibri" w:hAnsi="Calibri" w:cs="Calibri"/>
                <w:sz w:val="19"/>
                <w:szCs w:val="19"/>
              </w:rPr>
              <w:t>655</w:t>
            </w:r>
          </w:p>
        </w:tc>
        <w:tc>
          <w:tcPr>
            <w:tcW w:w="642" w:type="pct"/>
            <w:tcBorders>
              <w:top w:val="nil"/>
              <w:left w:val="nil"/>
              <w:bottom w:val="nil"/>
              <w:right w:val="nil"/>
            </w:tcBorders>
            <w:shd w:val="clear" w:color="auto" w:fill="auto"/>
            <w:vAlign w:val="bottom"/>
          </w:tcPr>
          <w:p w14:paraId="344D0E3F" w14:textId="32305077" w:rsidR="00B35109" w:rsidRPr="00537128" w:rsidRDefault="00B35109" w:rsidP="00B35109">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1</w:t>
            </w:r>
            <w:r>
              <w:rPr>
                <w:sz w:val="19"/>
                <w:szCs w:val="19"/>
              </w:rPr>
              <w:t>,</w:t>
            </w:r>
            <w:r w:rsidRPr="001B1B87">
              <w:rPr>
                <w:sz w:val="19"/>
                <w:szCs w:val="19"/>
              </w:rPr>
              <w:t>925</w:t>
            </w:r>
            <w:r>
              <w:rPr>
                <w:sz w:val="19"/>
                <w:szCs w:val="19"/>
              </w:rPr>
              <w:t>,</w:t>
            </w:r>
            <w:r w:rsidRPr="001B1B87">
              <w:rPr>
                <w:sz w:val="19"/>
                <w:szCs w:val="19"/>
              </w:rPr>
              <w:t>271</w:t>
            </w:r>
          </w:p>
        </w:tc>
        <w:tc>
          <w:tcPr>
            <w:tcW w:w="642" w:type="pct"/>
            <w:tcBorders>
              <w:top w:val="nil"/>
              <w:left w:val="nil"/>
              <w:bottom w:val="nil"/>
              <w:right w:val="nil"/>
            </w:tcBorders>
            <w:shd w:val="clear" w:color="auto" w:fill="auto"/>
            <w:vAlign w:val="bottom"/>
          </w:tcPr>
          <w:p w14:paraId="0B284D3F" w14:textId="461F87DC" w:rsidR="00B35109" w:rsidRPr="00537128" w:rsidRDefault="00B35109" w:rsidP="00B35109">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973</w:t>
            </w:r>
            <w:r>
              <w:rPr>
                <w:sz w:val="19"/>
                <w:szCs w:val="19"/>
              </w:rPr>
              <w:t>,</w:t>
            </w:r>
            <w:r w:rsidRPr="001B1B87">
              <w:rPr>
                <w:sz w:val="19"/>
                <w:szCs w:val="19"/>
              </w:rPr>
              <w:t>895</w:t>
            </w:r>
          </w:p>
        </w:tc>
      </w:tr>
      <w:tr w:rsidR="00B35109" w:rsidRPr="00537128" w14:paraId="252DE2A9" w14:textId="77777777" w:rsidTr="00FE04D4">
        <w:trPr>
          <w:cantSplit/>
          <w:trHeight w:val="270"/>
          <w:tblHeader/>
        </w:trPr>
        <w:tc>
          <w:tcPr>
            <w:tcW w:w="2349" w:type="pct"/>
            <w:vAlign w:val="bottom"/>
          </w:tcPr>
          <w:p w14:paraId="35344557" w14:textId="77777777" w:rsidR="00B35109" w:rsidRPr="00537128" w:rsidRDefault="00B35109" w:rsidP="00B35109">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Tourism</w:t>
            </w:r>
          </w:p>
        </w:tc>
        <w:tc>
          <w:tcPr>
            <w:tcW w:w="725" w:type="pct"/>
            <w:tcBorders>
              <w:top w:val="nil"/>
              <w:left w:val="nil"/>
              <w:bottom w:val="nil"/>
              <w:right w:val="nil"/>
            </w:tcBorders>
            <w:shd w:val="clear" w:color="auto" w:fill="auto"/>
            <w:vAlign w:val="bottom"/>
          </w:tcPr>
          <w:p w14:paraId="3154FA84" w14:textId="54E54D20" w:rsidR="00B35109" w:rsidRPr="00A1123E" w:rsidRDefault="00B35109" w:rsidP="00B35109">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3</w:t>
            </w:r>
            <w:r w:rsidR="00F756B2">
              <w:rPr>
                <w:rFonts w:ascii="Calibri" w:hAnsi="Calibri" w:cs="Calibri"/>
                <w:sz w:val="19"/>
                <w:szCs w:val="19"/>
              </w:rPr>
              <w:t>,</w:t>
            </w:r>
            <w:r w:rsidRPr="007A49AD">
              <w:rPr>
                <w:rFonts w:ascii="Calibri" w:hAnsi="Calibri" w:cs="Calibri"/>
                <w:sz w:val="19"/>
                <w:szCs w:val="19"/>
              </w:rPr>
              <w:t>779</w:t>
            </w:r>
            <w:r w:rsidR="00F756B2">
              <w:rPr>
                <w:rFonts w:ascii="Calibri" w:hAnsi="Calibri" w:cs="Calibri"/>
                <w:sz w:val="19"/>
                <w:szCs w:val="19"/>
              </w:rPr>
              <w:t>,</w:t>
            </w:r>
            <w:r w:rsidRPr="007A49AD">
              <w:rPr>
                <w:rFonts w:ascii="Calibri" w:hAnsi="Calibri" w:cs="Calibri"/>
                <w:sz w:val="19"/>
                <w:szCs w:val="19"/>
              </w:rPr>
              <w:t>757</w:t>
            </w:r>
          </w:p>
        </w:tc>
        <w:tc>
          <w:tcPr>
            <w:tcW w:w="642" w:type="pct"/>
            <w:tcBorders>
              <w:top w:val="nil"/>
              <w:left w:val="nil"/>
              <w:bottom w:val="nil"/>
              <w:right w:val="nil"/>
            </w:tcBorders>
            <w:shd w:val="clear" w:color="auto" w:fill="auto"/>
            <w:vAlign w:val="bottom"/>
          </w:tcPr>
          <w:p w14:paraId="241B609D" w14:textId="7515DF52" w:rsidR="00B35109" w:rsidRPr="00A1123E" w:rsidRDefault="00B35109" w:rsidP="00B35109">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769</w:t>
            </w:r>
            <w:r w:rsidR="00F756B2">
              <w:rPr>
                <w:rFonts w:ascii="Calibri" w:hAnsi="Calibri" w:cs="Calibri"/>
                <w:sz w:val="19"/>
                <w:szCs w:val="19"/>
              </w:rPr>
              <w:t>,</w:t>
            </w:r>
            <w:r w:rsidRPr="007A49AD">
              <w:rPr>
                <w:rFonts w:ascii="Calibri" w:hAnsi="Calibri" w:cs="Calibri"/>
                <w:sz w:val="19"/>
                <w:szCs w:val="19"/>
              </w:rPr>
              <w:t>978</w:t>
            </w:r>
          </w:p>
        </w:tc>
        <w:tc>
          <w:tcPr>
            <w:tcW w:w="642" w:type="pct"/>
            <w:tcBorders>
              <w:top w:val="nil"/>
              <w:left w:val="nil"/>
              <w:bottom w:val="nil"/>
              <w:right w:val="nil"/>
            </w:tcBorders>
            <w:shd w:val="clear" w:color="auto" w:fill="auto"/>
            <w:vAlign w:val="bottom"/>
          </w:tcPr>
          <w:p w14:paraId="49562586" w14:textId="53868CF1" w:rsidR="00B35109" w:rsidRPr="00537128" w:rsidRDefault="00B35109" w:rsidP="00B35109">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3</w:t>
            </w:r>
            <w:r>
              <w:rPr>
                <w:sz w:val="19"/>
                <w:szCs w:val="19"/>
              </w:rPr>
              <w:t>,</w:t>
            </w:r>
            <w:r w:rsidRPr="001B1B87">
              <w:rPr>
                <w:sz w:val="19"/>
                <w:szCs w:val="19"/>
              </w:rPr>
              <w:t>648</w:t>
            </w:r>
            <w:r>
              <w:rPr>
                <w:sz w:val="19"/>
                <w:szCs w:val="19"/>
              </w:rPr>
              <w:t>,</w:t>
            </w:r>
            <w:r w:rsidRPr="001B1B87">
              <w:rPr>
                <w:sz w:val="19"/>
                <w:szCs w:val="19"/>
              </w:rPr>
              <w:t>347</w:t>
            </w:r>
          </w:p>
        </w:tc>
        <w:tc>
          <w:tcPr>
            <w:tcW w:w="642" w:type="pct"/>
            <w:tcBorders>
              <w:top w:val="nil"/>
              <w:left w:val="nil"/>
              <w:bottom w:val="nil"/>
              <w:right w:val="nil"/>
            </w:tcBorders>
            <w:shd w:val="clear" w:color="auto" w:fill="auto"/>
            <w:vAlign w:val="bottom"/>
          </w:tcPr>
          <w:p w14:paraId="08EA7241" w14:textId="1DBABE93" w:rsidR="00B35109" w:rsidRPr="00537128" w:rsidRDefault="00B35109" w:rsidP="00B35109">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657</w:t>
            </w:r>
            <w:r>
              <w:rPr>
                <w:sz w:val="19"/>
                <w:szCs w:val="19"/>
              </w:rPr>
              <w:t>,</w:t>
            </w:r>
            <w:r w:rsidRPr="001B1B87">
              <w:rPr>
                <w:sz w:val="19"/>
                <w:szCs w:val="19"/>
              </w:rPr>
              <w:t>484</w:t>
            </w:r>
          </w:p>
        </w:tc>
      </w:tr>
      <w:tr w:rsidR="00B35109" w:rsidRPr="00537128" w14:paraId="4C0B8D7F" w14:textId="77777777" w:rsidTr="00FE04D4">
        <w:trPr>
          <w:cantSplit/>
          <w:trHeight w:val="270"/>
          <w:tblHeader/>
        </w:trPr>
        <w:tc>
          <w:tcPr>
            <w:tcW w:w="2349" w:type="pct"/>
            <w:vAlign w:val="bottom"/>
          </w:tcPr>
          <w:p w14:paraId="6C5D25F7" w14:textId="77777777" w:rsidR="00B35109" w:rsidRPr="00537128" w:rsidRDefault="00B35109" w:rsidP="00B35109">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Transport, </w:t>
            </w:r>
            <w:proofErr w:type="gramStart"/>
            <w:r w:rsidRPr="00537128">
              <w:rPr>
                <w:rFonts w:ascii="Calibri" w:eastAsia="Calibri" w:hAnsi="Calibri" w:cs="Arial"/>
                <w:bCs/>
                <w:sz w:val="19"/>
                <w:szCs w:val="19"/>
                <w:lang w:val="en-US"/>
              </w:rPr>
              <w:t>warehousing</w:t>
            </w:r>
            <w:proofErr w:type="gramEnd"/>
            <w:r w:rsidRPr="00537128">
              <w:rPr>
                <w:rFonts w:ascii="Calibri" w:eastAsia="Calibri" w:hAnsi="Calibri" w:cs="Arial"/>
                <w:bCs/>
                <w:sz w:val="19"/>
                <w:szCs w:val="19"/>
                <w:lang w:val="en-US"/>
              </w:rPr>
              <w:t xml:space="preserve"> and connections</w:t>
            </w:r>
          </w:p>
        </w:tc>
        <w:tc>
          <w:tcPr>
            <w:tcW w:w="725" w:type="pct"/>
            <w:tcBorders>
              <w:top w:val="nil"/>
              <w:left w:val="nil"/>
              <w:bottom w:val="nil"/>
              <w:right w:val="nil"/>
            </w:tcBorders>
            <w:shd w:val="clear" w:color="auto" w:fill="auto"/>
            <w:vAlign w:val="bottom"/>
          </w:tcPr>
          <w:p w14:paraId="4C8653E4" w14:textId="4D903871" w:rsidR="00B35109" w:rsidRPr="00A1123E" w:rsidRDefault="00B35109" w:rsidP="00B35109">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2</w:t>
            </w:r>
            <w:r w:rsidR="00F756B2">
              <w:rPr>
                <w:rFonts w:ascii="Calibri" w:hAnsi="Calibri" w:cs="Calibri"/>
                <w:sz w:val="19"/>
                <w:szCs w:val="19"/>
              </w:rPr>
              <w:t>,</w:t>
            </w:r>
            <w:r w:rsidRPr="007A49AD">
              <w:rPr>
                <w:rFonts w:ascii="Calibri" w:hAnsi="Calibri" w:cs="Calibri"/>
                <w:sz w:val="19"/>
                <w:szCs w:val="19"/>
              </w:rPr>
              <w:t>473</w:t>
            </w:r>
            <w:r w:rsidR="00F756B2">
              <w:rPr>
                <w:rFonts w:ascii="Calibri" w:hAnsi="Calibri" w:cs="Calibri"/>
                <w:sz w:val="19"/>
                <w:szCs w:val="19"/>
              </w:rPr>
              <w:t>,</w:t>
            </w:r>
            <w:r w:rsidRPr="007A49AD">
              <w:rPr>
                <w:rFonts w:ascii="Calibri" w:hAnsi="Calibri" w:cs="Calibri"/>
                <w:sz w:val="19"/>
                <w:szCs w:val="19"/>
              </w:rPr>
              <w:t>316</w:t>
            </w:r>
          </w:p>
        </w:tc>
        <w:tc>
          <w:tcPr>
            <w:tcW w:w="642" w:type="pct"/>
            <w:tcBorders>
              <w:top w:val="nil"/>
              <w:left w:val="nil"/>
              <w:bottom w:val="nil"/>
              <w:right w:val="nil"/>
            </w:tcBorders>
            <w:shd w:val="clear" w:color="auto" w:fill="auto"/>
            <w:vAlign w:val="bottom"/>
          </w:tcPr>
          <w:p w14:paraId="584D1FAD" w14:textId="0994ED5F" w:rsidR="00B35109" w:rsidRPr="00A1123E" w:rsidRDefault="00B35109" w:rsidP="00B35109">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488</w:t>
            </w:r>
            <w:r w:rsidR="00F756B2">
              <w:rPr>
                <w:rFonts w:ascii="Calibri" w:hAnsi="Calibri" w:cs="Calibri"/>
                <w:sz w:val="19"/>
                <w:szCs w:val="19"/>
              </w:rPr>
              <w:t>,</w:t>
            </w:r>
            <w:r w:rsidRPr="007A49AD">
              <w:rPr>
                <w:rFonts w:ascii="Calibri" w:hAnsi="Calibri" w:cs="Calibri"/>
                <w:sz w:val="19"/>
                <w:szCs w:val="19"/>
              </w:rPr>
              <w:t>679</w:t>
            </w:r>
          </w:p>
        </w:tc>
        <w:tc>
          <w:tcPr>
            <w:tcW w:w="642" w:type="pct"/>
            <w:tcBorders>
              <w:top w:val="nil"/>
              <w:left w:val="nil"/>
              <w:bottom w:val="nil"/>
              <w:right w:val="nil"/>
            </w:tcBorders>
            <w:shd w:val="clear" w:color="auto" w:fill="auto"/>
            <w:vAlign w:val="bottom"/>
          </w:tcPr>
          <w:p w14:paraId="21C5257D" w14:textId="15F14D8D" w:rsidR="00B35109" w:rsidRPr="00537128" w:rsidRDefault="00B35109" w:rsidP="00B35109">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2</w:t>
            </w:r>
            <w:r>
              <w:rPr>
                <w:sz w:val="19"/>
                <w:szCs w:val="19"/>
              </w:rPr>
              <w:t>,</w:t>
            </w:r>
            <w:r w:rsidRPr="001B1B87">
              <w:rPr>
                <w:sz w:val="19"/>
                <w:szCs w:val="19"/>
              </w:rPr>
              <w:t>496</w:t>
            </w:r>
            <w:r>
              <w:rPr>
                <w:sz w:val="19"/>
                <w:szCs w:val="19"/>
              </w:rPr>
              <w:t>,</w:t>
            </w:r>
            <w:r w:rsidRPr="001B1B87">
              <w:rPr>
                <w:sz w:val="19"/>
                <w:szCs w:val="19"/>
              </w:rPr>
              <w:t>070</w:t>
            </w:r>
          </w:p>
        </w:tc>
        <w:tc>
          <w:tcPr>
            <w:tcW w:w="642" w:type="pct"/>
            <w:tcBorders>
              <w:top w:val="nil"/>
              <w:left w:val="nil"/>
              <w:bottom w:val="nil"/>
              <w:right w:val="nil"/>
            </w:tcBorders>
            <w:shd w:val="clear" w:color="auto" w:fill="auto"/>
            <w:vAlign w:val="bottom"/>
          </w:tcPr>
          <w:p w14:paraId="233BE6A2" w14:textId="51AAC181" w:rsidR="00B35109" w:rsidRPr="00537128" w:rsidRDefault="00B35109" w:rsidP="00B35109">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481</w:t>
            </w:r>
            <w:r>
              <w:rPr>
                <w:sz w:val="19"/>
                <w:szCs w:val="19"/>
              </w:rPr>
              <w:t>,</w:t>
            </w:r>
            <w:r w:rsidRPr="001B1B87">
              <w:rPr>
                <w:sz w:val="19"/>
                <w:szCs w:val="19"/>
              </w:rPr>
              <w:t>157</w:t>
            </w:r>
          </w:p>
        </w:tc>
      </w:tr>
      <w:tr w:rsidR="00B35109" w:rsidRPr="00537128" w14:paraId="6E8C0382" w14:textId="77777777" w:rsidTr="00FE04D4">
        <w:trPr>
          <w:cantSplit/>
          <w:trHeight w:val="270"/>
          <w:tblHeader/>
        </w:trPr>
        <w:tc>
          <w:tcPr>
            <w:tcW w:w="2349" w:type="pct"/>
            <w:vAlign w:val="bottom"/>
          </w:tcPr>
          <w:p w14:paraId="72402743" w14:textId="77777777" w:rsidR="00B35109" w:rsidRPr="00537128" w:rsidRDefault="00B35109" w:rsidP="00B35109">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Shipbuilding</w:t>
            </w:r>
          </w:p>
        </w:tc>
        <w:tc>
          <w:tcPr>
            <w:tcW w:w="725" w:type="pct"/>
            <w:tcBorders>
              <w:top w:val="nil"/>
              <w:left w:val="nil"/>
              <w:bottom w:val="nil"/>
              <w:right w:val="nil"/>
            </w:tcBorders>
            <w:shd w:val="clear" w:color="auto" w:fill="auto"/>
            <w:vAlign w:val="bottom"/>
          </w:tcPr>
          <w:p w14:paraId="222F2549" w14:textId="35C06C23" w:rsidR="00B35109" w:rsidRPr="00A1123E" w:rsidRDefault="00B35109" w:rsidP="00B35109">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1</w:t>
            </w:r>
            <w:r w:rsidR="00F756B2">
              <w:rPr>
                <w:rFonts w:ascii="Calibri" w:hAnsi="Calibri" w:cs="Calibri"/>
                <w:sz w:val="19"/>
                <w:szCs w:val="19"/>
              </w:rPr>
              <w:t>,</w:t>
            </w:r>
            <w:r w:rsidRPr="007A49AD">
              <w:rPr>
                <w:rFonts w:ascii="Calibri" w:hAnsi="Calibri" w:cs="Calibri"/>
                <w:sz w:val="19"/>
                <w:szCs w:val="19"/>
              </w:rPr>
              <w:t>095</w:t>
            </w:r>
            <w:r w:rsidR="00F756B2">
              <w:rPr>
                <w:rFonts w:ascii="Calibri" w:hAnsi="Calibri" w:cs="Calibri"/>
                <w:sz w:val="19"/>
                <w:szCs w:val="19"/>
              </w:rPr>
              <w:t>,</w:t>
            </w:r>
            <w:r w:rsidRPr="007A49AD">
              <w:rPr>
                <w:rFonts w:ascii="Calibri" w:hAnsi="Calibri" w:cs="Calibri"/>
                <w:sz w:val="19"/>
                <w:szCs w:val="19"/>
              </w:rPr>
              <w:t>333</w:t>
            </w:r>
          </w:p>
        </w:tc>
        <w:tc>
          <w:tcPr>
            <w:tcW w:w="642" w:type="pct"/>
            <w:tcBorders>
              <w:top w:val="nil"/>
              <w:left w:val="nil"/>
              <w:bottom w:val="nil"/>
              <w:right w:val="nil"/>
            </w:tcBorders>
            <w:shd w:val="clear" w:color="auto" w:fill="auto"/>
            <w:vAlign w:val="bottom"/>
          </w:tcPr>
          <w:p w14:paraId="05B62363" w14:textId="778023FB" w:rsidR="00B35109" w:rsidRPr="00A1123E" w:rsidRDefault="00B35109" w:rsidP="00B35109">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52</w:t>
            </w:r>
            <w:r w:rsidR="00F756B2">
              <w:rPr>
                <w:rFonts w:ascii="Calibri" w:hAnsi="Calibri" w:cs="Calibri"/>
                <w:sz w:val="19"/>
                <w:szCs w:val="19"/>
              </w:rPr>
              <w:t>,</w:t>
            </w:r>
            <w:r w:rsidRPr="007A49AD">
              <w:rPr>
                <w:rFonts w:ascii="Calibri" w:hAnsi="Calibri" w:cs="Calibri"/>
                <w:sz w:val="19"/>
                <w:szCs w:val="19"/>
              </w:rPr>
              <w:t>597</w:t>
            </w:r>
          </w:p>
        </w:tc>
        <w:tc>
          <w:tcPr>
            <w:tcW w:w="642" w:type="pct"/>
            <w:tcBorders>
              <w:top w:val="nil"/>
              <w:left w:val="nil"/>
              <w:bottom w:val="nil"/>
              <w:right w:val="nil"/>
            </w:tcBorders>
            <w:shd w:val="clear" w:color="auto" w:fill="auto"/>
            <w:vAlign w:val="bottom"/>
          </w:tcPr>
          <w:p w14:paraId="3778337B" w14:textId="6E82644C" w:rsidR="00B35109" w:rsidRPr="00537128" w:rsidRDefault="00B35109" w:rsidP="00B35109">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1</w:t>
            </w:r>
            <w:r>
              <w:rPr>
                <w:sz w:val="19"/>
                <w:szCs w:val="19"/>
              </w:rPr>
              <w:t>,</w:t>
            </w:r>
            <w:r w:rsidRPr="001B1B87">
              <w:rPr>
                <w:sz w:val="19"/>
                <w:szCs w:val="19"/>
              </w:rPr>
              <w:t>481</w:t>
            </w:r>
            <w:r>
              <w:rPr>
                <w:sz w:val="19"/>
                <w:szCs w:val="19"/>
              </w:rPr>
              <w:t>,</w:t>
            </w:r>
            <w:r w:rsidRPr="001B1B87">
              <w:rPr>
                <w:sz w:val="19"/>
                <w:szCs w:val="19"/>
              </w:rPr>
              <w:t>871</w:t>
            </w:r>
          </w:p>
        </w:tc>
        <w:tc>
          <w:tcPr>
            <w:tcW w:w="642" w:type="pct"/>
            <w:tcBorders>
              <w:top w:val="nil"/>
              <w:left w:val="nil"/>
              <w:bottom w:val="nil"/>
              <w:right w:val="nil"/>
            </w:tcBorders>
            <w:shd w:val="clear" w:color="auto" w:fill="auto"/>
            <w:vAlign w:val="bottom"/>
          </w:tcPr>
          <w:p w14:paraId="195BB719" w14:textId="33C0D166" w:rsidR="00B35109" w:rsidRPr="00537128" w:rsidRDefault="00B35109" w:rsidP="00B35109">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88</w:t>
            </w:r>
            <w:r>
              <w:rPr>
                <w:sz w:val="19"/>
                <w:szCs w:val="19"/>
              </w:rPr>
              <w:t>,</w:t>
            </w:r>
            <w:r w:rsidRPr="001B1B87">
              <w:rPr>
                <w:sz w:val="19"/>
                <w:szCs w:val="19"/>
              </w:rPr>
              <w:t>546</w:t>
            </w:r>
          </w:p>
        </w:tc>
      </w:tr>
      <w:tr w:rsidR="00B35109" w:rsidRPr="00537128" w14:paraId="6D2D2FD5" w14:textId="77777777" w:rsidTr="00FE04D4">
        <w:trPr>
          <w:cantSplit/>
          <w:trHeight w:val="270"/>
          <w:tblHeader/>
        </w:trPr>
        <w:tc>
          <w:tcPr>
            <w:tcW w:w="2349" w:type="pct"/>
            <w:vAlign w:val="bottom"/>
          </w:tcPr>
          <w:p w14:paraId="0C6F92BB" w14:textId="77777777" w:rsidR="00B35109" w:rsidRPr="00537128" w:rsidDel="00FF5490" w:rsidRDefault="00B35109" w:rsidP="00B35109">
            <w:pPr>
              <w:spacing w:after="0" w:line="280" w:lineRule="exact"/>
              <w:rPr>
                <w:rFonts w:ascii="Calibri" w:eastAsia="Calibri" w:hAnsi="Calibri" w:cs="Arial"/>
                <w:sz w:val="19"/>
                <w:szCs w:val="19"/>
                <w:lang w:val="en-US"/>
              </w:rPr>
            </w:pPr>
            <w:r w:rsidRPr="00537128">
              <w:rPr>
                <w:rFonts w:ascii="Calibri" w:eastAsia="Calibri" w:hAnsi="Calibri" w:cs="Arial"/>
                <w:bCs/>
                <w:sz w:val="19"/>
                <w:szCs w:val="19"/>
                <w:lang w:val="en-US"/>
              </w:rPr>
              <w:t>Agriculture and fishery</w:t>
            </w:r>
          </w:p>
        </w:tc>
        <w:tc>
          <w:tcPr>
            <w:tcW w:w="725" w:type="pct"/>
            <w:tcBorders>
              <w:top w:val="nil"/>
              <w:left w:val="nil"/>
              <w:bottom w:val="nil"/>
              <w:right w:val="nil"/>
            </w:tcBorders>
            <w:shd w:val="clear" w:color="auto" w:fill="auto"/>
            <w:vAlign w:val="bottom"/>
          </w:tcPr>
          <w:p w14:paraId="2F5CD731" w14:textId="07CC87E9" w:rsidR="00B35109" w:rsidRPr="00A1123E" w:rsidRDefault="00B35109" w:rsidP="00B35109">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566</w:t>
            </w:r>
            <w:r w:rsidR="00F756B2">
              <w:rPr>
                <w:rFonts w:ascii="Calibri" w:hAnsi="Calibri" w:cs="Calibri"/>
                <w:sz w:val="19"/>
                <w:szCs w:val="19"/>
              </w:rPr>
              <w:t>,</w:t>
            </w:r>
            <w:r w:rsidRPr="007A49AD">
              <w:rPr>
                <w:rFonts w:ascii="Calibri" w:hAnsi="Calibri" w:cs="Calibri"/>
                <w:sz w:val="19"/>
                <w:szCs w:val="19"/>
              </w:rPr>
              <w:t>046</w:t>
            </w:r>
          </w:p>
        </w:tc>
        <w:tc>
          <w:tcPr>
            <w:tcW w:w="642" w:type="pct"/>
            <w:tcBorders>
              <w:top w:val="nil"/>
              <w:left w:val="nil"/>
              <w:bottom w:val="nil"/>
              <w:right w:val="nil"/>
            </w:tcBorders>
            <w:shd w:val="clear" w:color="auto" w:fill="auto"/>
            <w:vAlign w:val="bottom"/>
          </w:tcPr>
          <w:p w14:paraId="17B842AD" w14:textId="62B45738" w:rsidR="00B35109" w:rsidRPr="00A1123E" w:rsidRDefault="00B35109" w:rsidP="00B35109">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148</w:t>
            </w:r>
            <w:r w:rsidR="00F756B2">
              <w:rPr>
                <w:rFonts w:ascii="Calibri" w:hAnsi="Calibri" w:cs="Calibri"/>
                <w:sz w:val="19"/>
                <w:szCs w:val="19"/>
              </w:rPr>
              <w:t>,</w:t>
            </w:r>
            <w:r w:rsidRPr="007A49AD">
              <w:rPr>
                <w:rFonts w:ascii="Calibri" w:hAnsi="Calibri" w:cs="Calibri"/>
                <w:sz w:val="19"/>
                <w:szCs w:val="19"/>
              </w:rPr>
              <w:t>810</w:t>
            </w:r>
          </w:p>
        </w:tc>
        <w:tc>
          <w:tcPr>
            <w:tcW w:w="642" w:type="pct"/>
            <w:tcBorders>
              <w:top w:val="nil"/>
              <w:left w:val="nil"/>
              <w:bottom w:val="nil"/>
              <w:right w:val="nil"/>
            </w:tcBorders>
            <w:shd w:val="clear" w:color="auto" w:fill="auto"/>
            <w:vAlign w:val="bottom"/>
          </w:tcPr>
          <w:p w14:paraId="12E2B274" w14:textId="0D32F538" w:rsidR="00B35109" w:rsidRPr="00537128" w:rsidRDefault="00B35109" w:rsidP="00B35109">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596</w:t>
            </w:r>
            <w:r>
              <w:rPr>
                <w:sz w:val="19"/>
                <w:szCs w:val="19"/>
              </w:rPr>
              <w:t>,</w:t>
            </w:r>
            <w:r w:rsidRPr="001B1B87">
              <w:rPr>
                <w:sz w:val="19"/>
                <w:szCs w:val="19"/>
              </w:rPr>
              <w:t>042</w:t>
            </w:r>
          </w:p>
        </w:tc>
        <w:tc>
          <w:tcPr>
            <w:tcW w:w="642" w:type="pct"/>
            <w:tcBorders>
              <w:top w:val="nil"/>
              <w:left w:val="nil"/>
              <w:bottom w:val="nil"/>
              <w:right w:val="nil"/>
            </w:tcBorders>
            <w:shd w:val="clear" w:color="auto" w:fill="auto"/>
            <w:vAlign w:val="bottom"/>
          </w:tcPr>
          <w:p w14:paraId="1DE4CA2F" w14:textId="5CBB0416" w:rsidR="00B35109" w:rsidRPr="00537128" w:rsidRDefault="00B35109" w:rsidP="00B35109">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164</w:t>
            </w:r>
            <w:r>
              <w:rPr>
                <w:sz w:val="19"/>
                <w:szCs w:val="19"/>
              </w:rPr>
              <w:t>,</w:t>
            </w:r>
            <w:r w:rsidRPr="001B1B87">
              <w:rPr>
                <w:sz w:val="19"/>
                <w:szCs w:val="19"/>
              </w:rPr>
              <w:t>847</w:t>
            </w:r>
          </w:p>
        </w:tc>
      </w:tr>
      <w:tr w:rsidR="00B35109" w:rsidRPr="00537128" w14:paraId="6A05E476" w14:textId="77777777" w:rsidTr="00FE04D4">
        <w:trPr>
          <w:cantSplit/>
          <w:trHeight w:val="270"/>
          <w:tblHeader/>
        </w:trPr>
        <w:tc>
          <w:tcPr>
            <w:tcW w:w="2349" w:type="pct"/>
            <w:vAlign w:val="bottom"/>
          </w:tcPr>
          <w:p w14:paraId="7990F882" w14:textId="77777777" w:rsidR="00B35109" w:rsidRPr="00537128" w:rsidDel="00FF5490" w:rsidRDefault="00B35109" w:rsidP="00B35109">
            <w:pPr>
              <w:spacing w:after="0" w:line="280" w:lineRule="exact"/>
              <w:rPr>
                <w:rFonts w:ascii="Calibri" w:eastAsia="Calibri" w:hAnsi="Calibri" w:cs="Arial"/>
                <w:sz w:val="19"/>
                <w:szCs w:val="19"/>
                <w:lang w:val="en-US"/>
              </w:rPr>
            </w:pPr>
            <w:r w:rsidRPr="00537128">
              <w:rPr>
                <w:rFonts w:ascii="Calibri" w:eastAsia="Calibri" w:hAnsi="Calibri" w:cs="Arial"/>
                <w:bCs/>
                <w:sz w:val="19"/>
                <w:szCs w:val="19"/>
                <w:lang w:val="en-US"/>
              </w:rPr>
              <w:t>Food industry</w:t>
            </w:r>
          </w:p>
        </w:tc>
        <w:tc>
          <w:tcPr>
            <w:tcW w:w="725" w:type="pct"/>
            <w:tcBorders>
              <w:top w:val="nil"/>
              <w:left w:val="nil"/>
              <w:bottom w:val="nil"/>
              <w:right w:val="nil"/>
            </w:tcBorders>
            <w:shd w:val="clear" w:color="auto" w:fill="auto"/>
            <w:vAlign w:val="bottom"/>
          </w:tcPr>
          <w:p w14:paraId="499A966D" w14:textId="2995A66C" w:rsidR="00B35109" w:rsidRPr="00A1123E" w:rsidRDefault="00B35109" w:rsidP="00B35109">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906</w:t>
            </w:r>
            <w:r w:rsidR="00F756B2">
              <w:rPr>
                <w:rFonts w:ascii="Calibri" w:hAnsi="Calibri" w:cs="Calibri"/>
                <w:sz w:val="19"/>
                <w:szCs w:val="19"/>
              </w:rPr>
              <w:t>,</w:t>
            </w:r>
            <w:r w:rsidRPr="007A49AD">
              <w:rPr>
                <w:rFonts w:ascii="Calibri" w:hAnsi="Calibri" w:cs="Calibri"/>
                <w:sz w:val="19"/>
                <w:szCs w:val="19"/>
              </w:rPr>
              <w:t>412</w:t>
            </w:r>
          </w:p>
        </w:tc>
        <w:tc>
          <w:tcPr>
            <w:tcW w:w="642" w:type="pct"/>
            <w:tcBorders>
              <w:top w:val="nil"/>
              <w:left w:val="nil"/>
              <w:bottom w:val="nil"/>
              <w:right w:val="nil"/>
            </w:tcBorders>
            <w:shd w:val="clear" w:color="auto" w:fill="auto"/>
            <w:vAlign w:val="bottom"/>
          </w:tcPr>
          <w:p w14:paraId="4A89AF89" w14:textId="40022572" w:rsidR="00B35109" w:rsidRPr="00A1123E" w:rsidRDefault="00B35109" w:rsidP="00B35109">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188</w:t>
            </w:r>
            <w:r w:rsidR="00F756B2">
              <w:rPr>
                <w:rFonts w:ascii="Calibri" w:hAnsi="Calibri" w:cs="Calibri"/>
                <w:sz w:val="19"/>
                <w:szCs w:val="19"/>
              </w:rPr>
              <w:t>,</w:t>
            </w:r>
            <w:r w:rsidRPr="007A49AD">
              <w:rPr>
                <w:rFonts w:ascii="Calibri" w:hAnsi="Calibri" w:cs="Calibri"/>
                <w:sz w:val="19"/>
                <w:szCs w:val="19"/>
              </w:rPr>
              <w:t>884</w:t>
            </w:r>
          </w:p>
        </w:tc>
        <w:tc>
          <w:tcPr>
            <w:tcW w:w="642" w:type="pct"/>
            <w:tcBorders>
              <w:top w:val="nil"/>
              <w:left w:val="nil"/>
              <w:bottom w:val="nil"/>
              <w:right w:val="nil"/>
            </w:tcBorders>
            <w:shd w:val="clear" w:color="auto" w:fill="auto"/>
            <w:vAlign w:val="bottom"/>
          </w:tcPr>
          <w:p w14:paraId="1F1FEFBE" w14:textId="3355066A" w:rsidR="00B35109" w:rsidRPr="00537128" w:rsidRDefault="00B35109" w:rsidP="00B35109">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966</w:t>
            </w:r>
            <w:r>
              <w:rPr>
                <w:sz w:val="19"/>
                <w:szCs w:val="19"/>
              </w:rPr>
              <w:t>,</w:t>
            </w:r>
            <w:r w:rsidRPr="001B1B87">
              <w:rPr>
                <w:sz w:val="19"/>
                <w:szCs w:val="19"/>
              </w:rPr>
              <w:t>929</w:t>
            </w:r>
          </w:p>
        </w:tc>
        <w:tc>
          <w:tcPr>
            <w:tcW w:w="642" w:type="pct"/>
            <w:tcBorders>
              <w:top w:val="nil"/>
              <w:left w:val="nil"/>
              <w:bottom w:val="nil"/>
              <w:right w:val="nil"/>
            </w:tcBorders>
            <w:shd w:val="clear" w:color="auto" w:fill="auto"/>
            <w:vAlign w:val="bottom"/>
          </w:tcPr>
          <w:p w14:paraId="273CFEC0" w14:textId="41B9D702" w:rsidR="00B35109" w:rsidRPr="00537128" w:rsidRDefault="00B35109" w:rsidP="00B35109">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192</w:t>
            </w:r>
            <w:r>
              <w:rPr>
                <w:sz w:val="19"/>
                <w:szCs w:val="19"/>
              </w:rPr>
              <w:t>,</w:t>
            </w:r>
            <w:r w:rsidRPr="001B1B87">
              <w:rPr>
                <w:sz w:val="19"/>
                <w:szCs w:val="19"/>
              </w:rPr>
              <w:t>536</w:t>
            </w:r>
          </w:p>
        </w:tc>
      </w:tr>
      <w:tr w:rsidR="00B35109" w:rsidRPr="00537128" w14:paraId="3CC58215" w14:textId="77777777" w:rsidTr="00FE04D4">
        <w:trPr>
          <w:cantSplit/>
          <w:trHeight w:val="270"/>
          <w:tblHeader/>
        </w:trPr>
        <w:tc>
          <w:tcPr>
            <w:tcW w:w="2349" w:type="pct"/>
            <w:vAlign w:val="bottom"/>
          </w:tcPr>
          <w:p w14:paraId="7F1A8577" w14:textId="77777777" w:rsidR="00B35109" w:rsidRPr="00537128" w:rsidDel="00FF5490" w:rsidRDefault="00B35109" w:rsidP="00B35109">
            <w:pPr>
              <w:spacing w:after="0" w:line="280" w:lineRule="exact"/>
              <w:rPr>
                <w:rFonts w:ascii="Calibri" w:eastAsia="Calibri" w:hAnsi="Calibri" w:cs="Arial"/>
                <w:sz w:val="19"/>
                <w:szCs w:val="19"/>
                <w:lang w:val="en-US"/>
              </w:rPr>
            </w:pPr>
            <w:r w:rsidRPr="00537128">
              <w:rPr>
                <w:rFonts w:ascii="Calibri" w:eastAsia="Calibri" w:hAnsi="Calibri" w:cs="Arial"/>
                <w:sz w:val="19"/>
                <w:szCs w:val="19"/>
                <w:lang w:val="en-US"/>
              </w:rPr>
              <w:t>Construction industry</w:t>
            </w:r>
          </w:p>
        </w:tc>
        <w:tc>
          <w:tcPr>
            <w:tcW w:w="725" w:type="pct"/>
            <w:tcBorders>
              <w:top w:val="nil"/>
              <w:left w:val="nil"/>
              <w:bottom w:val="nil"/>
              <w:right w:val="nil"/>
            </w:tcBorders>
            <w:shd w:val="clear" w:color="auto" w:fill="auto"/>
            <w:vAlign w:val="bottom"/>
          </w:tcPr>
          <w:p w14:paraId="377F1713" w14:textId="780118B3" w:rsidR="00B35109" w:rsidRPr="00A1123E" w:rsidRDefault="00B35109" w:rsidP="00B35109">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2</w:t>
            </w:r>
            <w:r w:rsidR="00F756B2">
              <w:rPr>
                <w:rFonts w:ascii="Calibri" w:hAnsi="Calibri" w:cs="Calibri"/>
                <w:sz w:val="19"/>
                <w:szCs w:val="19"/>
              </w:rPr>
              <w:t>,</w:t>
            </w:r>
            <w:r w:rsidRPr="007A49AD">
              <w:rPr>
                <w:rFonts w:ascii="Calibri" w:hAnsi="Calibri" w:cs="Calibri"/>
                <w:sz w:val="19"/>
                <w:szCs w:val="19"/>
              </w:rPr>
              <w:t>847</w:t>
            </w:r>
            <w:r w:rsidR="00F756B2">
              <w:rPr>
                <w:rFonts w:ascii="Calibri" w:hAnsi="Calibri" w:cs="Calibri"/>
                <w:sz w:val="19"/>
                <w:szCs w:val="19"/>
              </w:rPr>
              <w:t>,</w:t>
            </w:r>
            <w:r w:rsidRPr="007A49AD">
              <w:rPr>
                <w:rFonts w:ascii="Calibri" w:hAnsi="Calibri" w:cs="Calibri"/>
                <w:sz w:val="19"/>
                <w:szCs w:val="19"/>
              </w:rPr>
              <w:t>281</w:t>
            </w:r>
          </w:p>
        </w:tc>
        <w:tc>
          <w:tcPr>
            <w:tcW w:w="642" w:type="pct"/>
            <w:tcBorders>
              <w:top w:val="nil"/>
              <w:left w:val="nil"/>
              <w:bottom w:val="nil"/>
              <w:right w:val="nil"/>
            </w:tcBorders>
            <w:shd w:val="clear" w:color="auto" w:fill="auto"/>
            <w:vAlign w:val="bottom"/>
          </w:tcPr>
          <w:p w14:paraId="21A4FCA9" w14:textId="52421EDE" w:rsidR="00B35109" w:rsidRPr="00A1123E" w:rsidRDefault="00B35109" w:rsidP="00B35109">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118</w:t>
            </w:r>
            <w:r w:rsidR="00F756B2">
              <w:rPr>
                <w:rFonts w:ascii="Calibri" w:hAnsi="Calibri" w:cs="Calibri"/>
                <w:sz w:val="19"/>
                <w:szCs w:val="19"/>
              </w:rPr>
              <w:t>,</w:t>
            </w:r>
            <w:r w:rsidRPr="007A49AD">
              <w:rPr>
                <w:rFonts w:ascii="Calibri" w:hAnsi="Calibri" w:cs="Calibri"/>
                <w:sz w:val="19"/>
                <w:szCs w:val="19"/>
              </w:rPr>
              <w:t>034</w:t>
            </w:r>
          </w:p>
        </w:tc>
        <w:tc>
          <w:tcPr>
            <w:tcW w:w="642" w:type="pct"/>
            <w:tcBorders>
              <w:top w:val="nil"/>
              <w:left w:val="nil"/>
              <w:bottom w:val="nil"/>
              <w:right w:val="nil"/>
            </w:tcBorders>
            <w:shd w:val="clear" w:color="auto" w:fill="auto"/>
            <w:vAlign w:val="bottom"/>
          </w:tcPr>
          <w:p w14:paraId="517DA12E" w14:textId="1C5450C7" w:rsidR="00B35109" w:rsidRPr="00537128" w:rsidRDefault="00B35109" w:rsidP="00B35109">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2</w:t>
            </w:r>
            <w:r>
              <w:rPr>
                <w:sz w:val="19"/>
                <w:szCs w:val="19"/>
              </w:rPr>
              <w:t>,</w:t>
            </w:r>
            <w:r w:rsidRPr="001B1B87">
              <w:rPr>
                <w:sz w:val="19"/>
                <w:szCs w:val="19"/>
              </w:rPr>
              <w:t>836</w:t>
            </w:r>
            <w:r>
              <w:rPr>
                <w:sz w:val="19"/>
                <w:szCs w:val="19"/>
              </w:rPr>
              <w:t>,</w:t>
            </w:r>
            <w:r w:rsidRPr="001B1B87">
              <w:rPr>
                <w:sz w:val="19"/>
                <w:szCs w:val="19"/>
              </w:rPr>
              <w:t>586</w:t>
            </w:r>
          </w:p>
        </w:tc>
        <w:tc>
          <w:tcPr>
            <w:tcW w:w="642" w:type="pct"/>
            <w:tcBorders>
              <w:top w:val="nil"/>
              <w:left w:val="nil"/>
              <w:bottom w:val="nil"/>
              <w:right w:val="nil"/>
            </w:tcBorders>
            <w:shd w:val="clear" w:color="auto" w:fill="auto"/>
            <w:vAlign w:val="bottom"/>
          </w:tcPr>
          <w:p w14:paraId="5B9D4DFB" w14:textId="79F051F4" w:rsidR="00B35109" w:rsidRPr="00537128" w:rsidRDefault="00B35109" w:rsidP="00B35109">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124</w:t>
            </w:r>
            <w:r>
              <w:rPr>
                <w:sz w:val="19"/>
                <w:szCs w:val="19"/>
              </w:rPr>
              <w:t>,</w:t>
            </w:r>
            <w:r w:rsidRPr="001B1B87">
              <w:rPr>
                <w:sz w:val="19"/>
                <w:szCs w:val="19"/>
              </w:rPr>
              <w:t>601</w:t>
            </w:r>
          </w:p>
        </w:tc>
      </w:tr>
      <w:tr w:rsidR="00B35109" w:rsidRPr="00537128" w14:paraId="14962924" w14:textId="77777777" w:rsidTr="00FE04D4">
        <w:trPr>
          <w:cantSplit/>
          <w:trHeight w:val="270"/>
          <w:tblHeader/>
        </w:trPr>
        <w:tc>
          <w:tcPr>
            <w:tcW w:w="2349" w:type="pct"/>
            <w:vAlign w:val="bottom"/>
          </w:tcPr>
          <w:p w14:paraId="001C28B0" w14:textId="77777777" w:rsidR="00B35109" w:rsidRPr="00537128" w:rsidDel="00FF5490" w:rsidRDefault="00B35109" w:rsidP="00B35109">
            <w:pPr>
              <w:spacing w:after="0" w:line="280" w:lineRule="exact"/>
              <w:rPr>
                <w:rFonts w:ascii="Calibri" w:eastAsia="Calibri" w:hAnsi="Calibri" w:cs="Arial"/>
                <w:sz w:val="19"/>
                <w:szCs w:val="19"/>
                <w:lang w:val="en-US"/>
              </w:rPr>
            </w:pPr>
            <w:r w:rsidRPr="00537128">
              <w:rPr>
                <w:rFonts w:ascii="Calibri" w:eastAsia="Calibri" w:hAnsi="Calibri" w:cs="Arial"/>
                <w:sz w:val="19"/>
                <w:szCs w:val="19"/>
                <w:lang w:val="en-US"/>
              </w:rPr>
              <w:t>Other industry</w:t>
            </w:r>
          </w:p>
        </w:tc>
        <w:tc>
          <w:tcPr>
            <w:tcW w:w="725" w:type="pct"/>
            <w:tcBorders>
              <w:top w:val="nil"/>
              <w:left w:val="nil"/>
              <w:bottom w:val="nil"/>
              <w:right w:val="nil"/>
            </w:tcBorders>
            <w:shd w:val="clear" w:color="auto" w:fill="auto"/>
            <w:vAlign w:val="bottom"/>
          </w:tcPr>
          <w:p w14:paraId="53519F3C" w14:textId="1DE5043F" w:rsidR="00B35109" w:rsidRPr="00A1123E" w:rsidRDefault="00B35109" w:rsidP="00B35109">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691</w:t>
            </w:r>
            <w:r w:rsidR="00F756B2">
              <w:rPr>
                <w:rFonts w:ascii="Calibri" w:hAnsi="Calibri" w:cs="Calibri"/>
                <w:sz w:val="19"/>
                <w:szCs w:val="19"/>
              </w:rPr>
              <w:t>,</w:t>
            </w:r>
            <w:r w:rsidRPr="007A49AD">
              <w:rPr>
                <w:rFonts w:ascii="Calibri" w:hAnsi="Calibri" w:cs="Calibri"/>
                <w:sz w:val="19"/>
                <w:szCs w:val="19"/>
              </w:rPr>
              <w:t>324</w:t>
            </w:r>
          </w:p>
        </w:tc>
        <w:tc>
          <w:tcPr>
            <w:tcW w:w="642" w:type="pct"/>
            <w:tcBorders>
              <w:top w:val="nil"/>
              <w:left w:val="nil"/>
              <w:bottom w:val="nil"/>
              <w:right w:val="nil"/>
            </w:tcBorders>
            <w:shd w:val="clear" w:color="auto" w:fill="auto"/>
            <w:vAlign w:val="bottom"/>
          </w:tcPr>
          <w:p w14:paraId="7D569C95" w14:textId="4472D742" w:rsidR="00B35109" w:rsidRPr="00A1123E" w:rsidRDefault="00B35109" w:rsidP="00B35109">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180</w:t>
            </w:r>
            <w:r w:rsidR="00F756B2">
              <w:rPr>
                <w:rFonts w:ascii="Calibri" w:hAnsi="Calibri" w:cs="Calibri"/>
                <w:sz w:val="19"/>
                <w:szCs w:val="19"/>
              </w:rPr>
              <w:t>,</w:t>
            </w:r>
            <w:r w:rsidRPr="007A49AD">
              <w:rPr>
                <w:rFonts w:ascii="Calibri" w:hAnsi="Calibri" w:cs="Calibri"/>
                <w:sz w:val="19"/>
                <w:szCs w:val="19"/>
              </w:rPr>
              <w:t>747</w:t>
            </w:r>
          </w:p>
        </w:tc>
        <w:tc>
          <w:tcPr>
            <w:tcW w:w="642" w:type="pct"/>
            <w:tcBorders>
              <w:top w:val="nil"/>
              <w:left w:val="nil"/>
              <w:bottom w:val="nil"/>
              <w:right w:val="nil"/>
            </w:tcBorders>
            <w:shd w:val="clear" w:color="auto" w:fill="auto"/>
            <w:vAlign w:val="bottom"/>
          </w:tcPr>
          <w:p w14:paraId="7EC1FBE8" w14:textId="7124CC8A" w:rsidR="00B35109" w:rsidRPr="00537128" w:rsidRDefault="00B35109" w:rsidP="00B35109">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730</w:t>
            </w:r>
            <w:r>
              <w:rPr>
                <w:sz w:val="19"/>
                <w:szCs w:val="19"/>
              </w:rPr>
              <w:t>,</w:t>
            </w:r>
            <w:r w:rsidRPr="001B1B87">
              <w:rPr>
                <w:sz w:val="19"/>
                <w:szCs w:val="19"/>
              </w:rPr>
              <w:t>574</w:t>
            </w:r>
          </w:p>
        </w:tc>
        <w:tc>
          <w:tcPr>
            <w:tcW w:w="642" w:type="pct"/>
            <w:tcBorders>
              <w:top w:val="nil"/>
              <w:left w:val="nil"/>
              <w:bottom w:val="nil"/>
              <w:right w:val="nil"/>
            </w:tcBorders>
            <w:shd w:val="clear" w:color="auto" w:fill="auto"/>
            <w:vAlign w:val="bottom"/>
          </w:tcPr>
          <w:p w14:paraId="72E9F62E" w14:textId="289C0E95" w:rsidR="00B35109" w:rsidRPr="00537128" w:rsidRDefault="00B35109" w:rsidP="00B35109">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240</w:t>
            </w:r>
            <w:r>
              <w:rPr>
                <w:sz w:val="19"/>
                <w:szCs w:val="19"/>
              </w:rPr>
              <w:t>,</w:t>
            </w:r>
            <w:r w:rsidRPr="001B1B87">
              <w:rPr>
                <w:sz w:val="19"/>
                <w:szCs w:val="19"/>
              </w:rPr>
              <w:t>299</w:t>
            </w:r>
          </w:p>
        </w:tc>
      </w:tr>
      <w:tr w:rsidR="00B35109" w:rsidRPr="00537128" w14:paraId="64F3BEDE" w14:textId="77777777" w:rsidTr="00FE04D4">
        <w:trPr>
          <w:cantSplit/>
          <w:trHeight w:val="270"/>
          <w:tblHeader/>
        </w:trPr>
        <w:tc>
          <w:tcPr>
            <w:tcW w:w="2349" w:type="pct"/>
            <w:vAlign w:val="bottom"/>
          </w:tcPr>
          <w:p w14:paraId="5FB5093E" w14:textId="77777777" w:rsidR="00B35109" w:rsidRPr="00537128" w:rsidDel="00FF5490" w:rsidRDefault="00B35109" w:rsidP="00B35109">
            <w:pPr>
              <w:spacing w:after="0" w:line="280" w:lineRule="exact"/>
              <w:rPr>
                <w:rFonts w:ascii="Calibri" w:eastAsia="Calibri" w:hAnsi="Calibri" w:cs="Arial"/>
                <w:sz w:val="19"/>
                <w:szCs w:val="19"/>
                <w:lang w:val="en-US"/>
              </w:rPr>
            </w:pPr>
            <w:r w:rsidRPr="00537128">
              <w:rPr>
                <w:rFonts w:ascii="Calibri" w:eastAsia="Calibri" w:hAnsi="Calibri" w:cs="Arial"/>
                <w:bCs/>
                <w:sz w:val="19"/>
                <w:szCs w:val="19"/>
                <w:lang w:val="en-US"/>
              </w:rPr>
              <w:t>Public administration</w:t>
            </w:r>
          </w:p>
        </w:tc>
        <w:tc>
          <w:tcPr>
            <w:tcW w:w="725" w:type="pct"/>
            <w:tcBorders>
              <w:top w:val="nil"/>
              <w:left w:val="nil"/>
              <w:bottom w:val="nil"/>
              <w:right w:val="nil"/>
            </w:tcBorders>
            <w:shd w:val="clear" w:color="auto" w:fill="auto"/>
            <w:vAlign w:val="bottom"/>
          </w:tcPr>
          <w:p w14:paraId="3F306E15" w14:textId="6C7A10B6" w:rsidR="00B35109" w:rsidRPr="00A1123E" w:rsidRDefault="00B35109" w:rsidP="00B35109">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3</w:t>
            </w:r>
            <w:r w:rsidR="00F756B2">
              <w:rPr>
                <w:rFonts w:ascii="Calibri" w:hAnsi="Calibri" w:cs="Calibri"/>
                <w:sz w:val="19"/>
                <w:szCs w:val="19"/>
              </w:rPr>
              <w:t>,</w:t>
            </w:r>
            <w:r w:rsidRPr="007A49AD">
              <w:rPr>
                <w:rFonts w:ascii="Calibri" w:hAnsi="Calibri" w:cs="Calibri"/>
                <w:sz w:val="19"/>
                <w:szCs w:val="19"/>
              </w:rPr>
              <w:t>193</w:t>
            </w:r>
            <w:r w:rsidR="00F756B2">
              <w:rPr>
                <w:rFonts w:ascii="Calibri" w:hAnsi="Calibri" w:cs="Calibri"/>
                <w:sz w:val="19"/>
                <w:szCs w:val="19"/>
              </w:rPr>
              <w:t>,</w:t>
            </w:r>
            <w:r w:rsidRPr="007A49AD">
              <w:rPr>
                <w:rFonts w:ascii="Calibri" w:hAnsi="Calibri" w:cs="Calibri"/>
                <w:sz w:val="19"/>
                <w:szCs w:val="19"/>
              </w:rPr>
              <w:t>461</w:t>
            </w:r>
          </w:p>
        </w:tc>
        <w:tc>
          <w:tcPr>
            <w:tcW w:w="642" w:type="pct"/>
            <w:tcBorders>
              <w:top w:val="nil"/>
              <w:left w:val="nil"/>
              <w:bottom w:val="nil"/>
              <w:right w:val="nil"/>
            </w:tcBorders>
            <w:shd w:val="clear" w:color="auto" w:fill="auto"/>
            <w:vAlign w:val="bottom"/>
          </w:tcPr>
          <w:p w14:paraId="3FFBFE4F" w14:textId="38ED9CFC" w:rsidR="00B35109" w:rsidRPr="00A1123E" w:rsidRDefault="00B35109" w:rsidP="00B35109">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3</w:t>
            </w:r>
            <w:r w:rsidR="00F756B2">
              <w:rPr>
                <w:rFonts w:ascii="Calibri" w:hAnsi="Calibri" w:cs="Calibri"/>
                <w:sz w:val="19"/>
                <w:szCs w:val="19"/>
              </w:rPr>
              <w:t>,</w:t>
            </w:r>
            <w:r w:rsidRPr="007A49AD">
              <w:rPr>
                <w:rFonts w:ascii="Calibri" w:hAnsi="Calibri" w:cs="Calibri"/>
                <w:sz w:val="19"/>
                <w:szCs w:val="19"/>
              </w:rPr>
              <w:t>190</w:t>
            </w:r>
            <w:r w:rsidR="00F756B2">
              <w:rPr>
                <w:rFonts w:ascii="Calibri" w:hAnsi="Calibri" w:cs="Calibri"/>
                <w:sz w:val="19"/>
                <w:szCs w:val="19"/>
              </w:rPr>
              <w:t>,</w:t>
            </w:r>
            <w:r w:rsidRPr="007A49AD">
              <w:rPr>
                <w:rFonts w:ascii="Calibri" w:hAnsi="Calibri" w:cs="Calibri"/>
                <w:sz w:val="19"/>
                <w:szCs w:val="19"/>
              </w:rPr>
              <w:t>089</w:t>
            </w:r>
          </w:p>
        </w:tc>
        <w:tc>
          <w:tcPr>
            <w:tcW w:w="642" w:type="pct"/>
            <w:tcBorders>
              <w:top w:val="nil"/>
              <w:left w:val="nil"/>
              <w:bottom w:val="nil"/>
              <w:right w:val="nil"/>
            </w:tcBorders>
            <w:shd w:val="clear" w:color="auto" w:fill="auto"/>
            <w:vAlign w:val="bottom"/>
          </w:tcPr>
          <w:p w14:paraId="4157FF01" w14:textId="387C0A2D" w:rsidR="00B35109" w:rsidRPr="00537128" w:rsidRDefault="00B35109" w:rsidP="00B35109">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2</w:t>
            </w:r>
            <w:r>
              <w:rPr>
                <w:sz w:val="19"/>
                <w:szCs w:val="19"/>
              </w:rPr>
              <w:t>,</w:t>
            </w:r>
            <w:r w:rsidRPr="001B1B87">
              <w:rPr>
                <w:sz w:val="19"/>
                <w:szCs w:val="19"/>
              </w:rPr>
              <w:t>918</w:t>
            </w:r>
            <w:r>
              <w:rPr>
                <w:sz w:val="19"/>
                <w:szCs w:val="19"/>
              </w:rPr>
              <w:t>,</w:t>
            </w:r>
            <w:r w:rsidRPr="001B1B87">
              <w:rPr>
                <w:sz w:val="19"/>
                <w:szCs w:val="19"/>
              </w:rPr>
              <w:t>243</w:t>
            </w:r>
          </w:p>
        </w:tc>
        <w:tc>
          <w:tcPr>
            <w:tcW w:w="642" w:type="pct"/>
            <w:tcBorders>
              <w:top w:val="nil"/>
              <w:left w:val="nil"/>
              <w:bottom w:val="nil"/>
              <w:right w:val="nil"/>
            </w:tcBorders>
            <w:shd w:val="clear" w:color="auto" w:fill="auto"/>
            <w:vAlign w:val="bottom"/>
          </w:tcPr>
          <w:p w14:paraId="67DEAF30" w14:textId="39439ABE" w:rsidR="00B35109" w:rsidRPr="00537128" w:rsidRDefault="00B35109" w:rsidP="00B35109">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2</w:t>
            </w:r>
            <w:r>
              <w:rPr>
                <w:sz w:val="19"/>
                <w:szCs w:val="19"/>
              </w:rPr>
              <w:t>,</w:t>
            </w:r>
            <w:r w:rsidRPr="001B1B87">
              <w:rPr>
                <w:sz w:val="19"/>
                <w:szCs w:val="19"/>
              </w:rPr>
              <w:t>914</w:t>
            </w:r>
            <w:r>
              <w:rPr>
                <w:sz w:val="19"/>
                <w:szCs w:val="19"/>
              </w:rPr>
              <w:t>,</w:t>
            </w:r>
            <w:r w:rsidRPr="001B1B87">
              <w:rPr>
                <w:sz w:val="19"/>
                <w:szCs w:val="19"/>
              </w:rPr>
              <w:t>897</w:t>
            </w:r>
          </w:p>
        </w:tc>
      </w:tr>
      <w:tr w:rsidR="00B35109" w:rsidRPr="00537128" w14:paraId="6B5CB05E" w14:textId="77777777" w:rsidTr="00FE04D4">
        <w:trPr>
          <w:cantSplit/>
          <w:trHeight w:val="270"/>
          <w:tblHeader/>
        </w:trPr>
        <w:tc>
          <w:tcPr>
            <w:tcW w:w="2349" w:type="pct"/>
            <w:vAlign w:val="bottom"/>
          </w:tcPr>
          <w:p w14:paraId="75EE4335" w14:textId="77777777" w:rsidR="00B35109" w:rsidRPr="00537128" w:rsidDel="00FF5490" w:rsidRDefault="00B35109" w:rsidP="00B35109">
            <w:pPr>
              <w:spacing w:after="0" w:line="280" w:lineRule="exact"/>
              <w:rPr>
                <w:rFonts w:ascii="Calibri" w:eastAsia="Calibri" w:hAnsi="Calibri" w:cs="Arial"/>
                <w:sz w:val="19"/>
                <w:szCs w:val="19"/>
                <w:lang w:val="en-US"/>
              </w:rPr>
            </w:pPr>
            <w:r w:rsidRPr="00537128">
              <w:rPr>
                <w:rFonts w:ascii="Calibri" w:eastAsia="Calibri" w:hAnsi="Calibri" w:cs="Arial"/>
                <w:bCs/>
                <w:sz w:val="19"/>
                <w:szCs w:val="19"/>
                <w:lang w:val="en-US"/>
              </w:rPr>
              <w:t>Education</w:t>
            </w:r>
          </w:p>
        </w:tc>
        <w:tc>
          <w:tcPr>
            <w:tcW w:w="725" w:type="pct"/>
            <w:tcBorders>
              <w:top w:val="nil"/>
              <w:left w:val="nil"/>
              <w:bottom w:val="nil"/>
              <w:right w:val="nil"/>
            </w:tcBorders>
            <w:shd w:val="clear" w:color="auto" w:fill="auto"/>
            <w:vAlign w:val="bottom"/>
          </w:tcPr>
          <w:p w14:paraId="50952C0F" w14:textId="7E973A07" w:rsidR="00B35109" w:rsidRPr="00A1123E" w:rsidRDefault="00B35109" w:rsidP="00B35109">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32</w:t>
            </w:r>
            <w:r w:rsidR="00F756B2">
              <w:rPr>
                <w:rFonts w:ascii="Calibri" w:hAnsi="Calibri" w:cs="Calibri"/>
                <w:sz w:val="19"/>
                <w:szCs w:val="19"/>
              </w:rPr>
              <w:t>,</w:t>
            </w:r>
            <w:r w:rsidRPr="007A49AD">
              <w:rPr>
                <w:rFonts w:ascii="Calibri" w:hAnsi="Calibri" w:cs="Calibri"/>
                <w:sz w:val="19"/>
                <w:szCs w:val="19"/>
              </w:rPr>
              <w:t>305</w:t>
            </w:r>
          </w:p>
        </w:tc>
        <w:tc>
          <w:tcPr>
            <w:tcW w:w="642" w:type="pct"/>
            <w:tcBorders>
              <w:top w:val="nil"/>
              <w:left w:val="nil"/>
              <w:bottom w:val="nil"/>
              <w:right w:val="nil"/>
            </w:tcBorders>
            <w:shd w:val="clear" w:color="auto" w:fill="auto"/>
            <w:vAlign w:val="bottom"/>
          </w:tcPr>
          <w:p w14:paraId="05C81332" w14:textId="53D70B83" w:rsidR="00B35109" w:rsidRPr="00A1123E" w:rsidRDefault="00B35109" w:rsidP="00B35109">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30</w:t>
            </w:r>
            <w:r w:rsidR="00F756B2">
              <w:rPr>
                <w:rFonts w:ascii="Calibri" w:hAnsi="Calibri" w:cs="Calibri"/>
                <w:sz w:val="19"/>
                <w:szCs w:val="19"/>
              </w:rPr>
              <w:t>,</w:t>
            </w:r>
            <w:r w:rsidRPr="007A49AD">
              <w:rPr>
                <w:rFonts w:ascii="Calibri" w:hAnsi="Calibri" w:cs="Calibri"/>
                <w:sz w:val="19"/>
                <w:szCs w:val="19"/>
              </w:rPr>
              <w:t>130</w:t>
            </w:r>
          </w:p>
        </w:tc>
        <w:tc>
          <w:tcPr>
            <w:tcW w:w="642" w:type="pct"/>
            <w:tcBorders>
              <w:top w:val="nil"/>
              <w:left w:val="nil"/>
              <w:bottom w:val="nil"/>
              <w:right w:val="nil"/>
            </w:tcBorders>
            <w:shd w:val="clear" w:color="auto" w:fill="auto"/>
            <w:vAlign w:val="bottom"/>
          </w:tcPr>
          <w:p w14:paraId="67950D2C" w14:textId="618FB388" w:rsidR="00B35109" w:rsidRPr="00537128" w:rsidRDefault="00B35109" w:rsidP="00B35109">
            <w:pPr>
              <w:tabs>
                <w:tab w:val="right" w:pos="1202"/>
              </w:tabs>
              <w:spacing w:after="0" w:line="301" w:lineRule="exact"/>
              <w:jc w:val="right"/>
              <w:outlineLvl w:val="0"/>
              <w:rPr>
                <w:rFonts w:ascii="Calibri" w:eastAsia="Calibri" w:hAnsi="Calibri" w:cs="Times New Roman"/>
                <w:sz w:val="19"/>
                <w:szCs w:val="19"/>
                <w:lang w:val="en-US"/>
              </w:rPr>
            </w:pPr>
            <w:r w:rsidRPr="001B1B87">
              <w:rPr>
                <w:sz w:val="19"/>
                <w:szCs w:val="19"/>
              </w:rPr>
              <w:t>32</w:t>
            </w:r>
            <w:r>
              <w:rPr>
                <w:sz w:val="19"/>
                <w:szCs w:val="19"/>
              </w:rPr>
              <w:t>,</w:t>
            </w:r>
            <w:r w:rsidRPr="001B1B87">
              <w:rPr>
                <w:sz w:val="19"/>
                <w:szCs w:val="19"/>
              </w:rPr>
              <w:t>142</w:t>
            </w:r>
          </w:p>
        </w:tc>
        <w:tc>
          <w:tcPr>
            <w:tcW w:w="642" w:type="pct"/>
            <w:tcBorders>
              <w:top w:val="nil"/>
              <w:left w:val="nil"/>
              <w:bottom w:val="nil"/>
              <w:right w:val="nil"/>
            </w:tcBorders>
            <w:shd w:val="clear" w:color="auto" w:fill="auto"/>
            <w:vAlign w:val="bottom"/>
          </w:tcPr>
          <w:p w14:paraId="5C275109" w14:textId="24E4E58A" w:rsidR="00B35109" w:rsidRPr="00537128" w:rsidRDefault="00B35109" w:rsidP="00B35109">
            <w:pPr>
              <w:tabs>
                <w:tab w:val="right" w:pos="1202"/>
              </w:tabs>
              <w:spacing w:after="0" w:line="301" w:lineRule="exact"/>
              <w:jc w:val="right"/>
              <w:outlineLvl w:val="0"/>
              <w:rPr>
                <w:rFonts w:ascii="Calibri" w:eastAsia="Calibri" w:hAnsi="Calibri" w:cs="Times New Roman"/>
                <w:sz w:val="19"/>
                <w:szCs w:val="19"/>
                <w:lang w:val="en-US"/>
              </w:rPr>
            </w:pPr>
            <w:r w:rsidRPr="001B1B87">
              <w:rPr>
                <w:sz w:val="19"/>
                <w:szCs w:val="19"/>
              </w:rPr>
              <w:t>29</w:t>
            </w:r>
            <w:r>
              <w:rPr>
                <w:sz w:val="19"/>
                <w:szCs w:val="19"/>
              </w:rPr>
              <w:t>,</w:t>
            </w:r>
            <w:r w:rsidRPr="001B1B87">
              <w:rPr>
                <w:sz w:val="19"/>
                <w:szCs w:val="19"/>
              </w:rPr>
              <w:t>789</w:t>
            </w:r>
          </w:p>
        </w:tc>
      </w:tr>
      <w:tr w:rsidR="00B35109" w:rsidRPr="00537128" w14:paraId="2045F7A6" w14:textId="77777777" w:rsidTr="00FE04D4">
        <w:trPr>
          <w:cantSplit/>
          <w:trHeight w:val="270"/>
          <w:tblHeader/>
        </w:trPr>
        <w:tc>
          <w:tcPr>
            <w:tcW w:w="2349" w:type="pct"/>
            <w:vAlign w:val="bottom"/>
          </w:tcPr>
          <w:p w14:paraId="5DE6E7C7" w14:textId="77777777" w:rsidR="00B35109" w:rsidRPr="00537128" w:rsidRDefault="00B35109" w:rsidP="00B35109">
            <w:pPr>
              <w:spacing w:after="0" w:line="240" w:lineRule="auto"/>
              <w:rPr>
                <w:rFonts w:ascii="Calibri" w:eastAsia="Calibri" w:hAnsi="Calibri" w:cs="Arial"/>
                <w:sz w:val="19"/>
                <w:szCs w:val="19"/>
                <w:lang w:val="en-US"/>
              </w:rPr>
            </w:pPr>
            <w:r w:rsidRPr="00537128">
              <w:rPr>
                <w:rFonts w:ascii="Calibri" w:eastAsia="Calibri" w:hAnsi="Calibri" w:cs="Arial"/>
                <w:bCs/>
                <w:sz w:val="19"/>
                <w:szCs w:val="19"/>
                <w:lang w:val="en-US"/>
              </w:rPr>
              <w:t xml:space="preserve">Manufacture of basic metals and fabricated metal products, except machinery and equipment </w:t>
            </w:r>
          </w:p>
        </w:tc>
        <w:tc>
          <w:tcPr>
            <w:tcW w:w="725" w:type="pct"/>
            <w:tcBorders>
              <w:top w:val="nil"/>
              <w:left w:val="nil"/>
              <w:bottom w:val="nil"/>
              <w:right w:val="nil"/>
            </w:tcBorders>
            <w:shd w:val="clear" w:color="auto" w:fill="auto"/>
            <w:vAlign w:val="bottom"/>
          </w:tcPr>
          <w:p w14:paraId="7E56B134" w14:textId="1561B148" w:rsidR="00B35109" w:rsidRPr="00A1123E" w:rsidRDefault="00B35109" w:rsidP="00B35109">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273</w:t>
            </w:r>
            <w:r w:rsidR="00F756B2">
              <w:rPr>
                <w:rFonts w:ascii="Calibri" w:hAnsi="Calibri" w:cs="Calibri"/>
                <w:sz w:val="19"/>
                <w:szCs w:val="19"/>
              </w:rPr>
              <w:t>,</w:t>
            </w:r>
            <w:r w:rsidRPr="007A49AD">
              <w:rPr>
                <w:rFonts w:ascii="Calibri" w:hAnsi="Calibri" w:cs="Calibri"/>
                <w:sz w:val="19"/>
                <w:szCs w:val="19"/>
              </w:rPr>
              <w:t>911</w:t>
            </w:r>
          </w:p>
        </w:tc>
        <w:tc>
          <w:tcPr>
            <w:tcW w:w="642" w:type="pct"/>
            <w:tcBorders>
              <w:top w:val="nil"/>
              <w:left w:val="nil"/>
              <w:bottom w:val="nil"/>
              <w:right w:val="nil"/>
            </w:tcBorders>
            <w:shd w:val="clear" w:color="auto" w:fill="auto"/>
            <w:vAlign w:val="bottom"/>
          </w:tcPr>
          <w:p w14:paraId="5ED91804" w14:textId="67FE3620" w:rsidR="00B35109" w:rsidRPr="00A1123E" w:rsidRDefault="00B35109" w:rsidP="00B35109">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56</w:t>
            </w:r>
            <w:r w:rsidR="00F756B2">
              <w:rPr>
                <w:rFonts w:ascii="Calibri" w:hAnsi="Calibri" w:cs="Calibri"/>
                <w:sz w:val="19"/>
                <w:szCs w:val="19"/>
              </w:rPr>
              <w:t>,</w:t>
            </w:r>
            <w:r w:rsidRPr="007A49AD">
              <w:rPr>
                <w:rFonts w:ascii="Calibri" w:hAnsi="Calibri" w:cs="Calibri"/>
                <w:sz w:val="19"/>
                <w:szCs w:val="19"/>
              </w:rPr>
              <w:t>385</w:t>
            </w:r>
          </w:p>
        </w:tc>
        <w:tc>
          <w:tcPr>
            <w:tcW w:w="642" w:type="pct"/>
            <w:tcBorders>
              <w:top w:val="nil"/>
              <w:left w:val="nil"/>
              <w:bottom w:val="nil"/>
              <w:right w:val="nil"/>
            </w:tcBorders>
            <w:shd w:val="clear" w:color="auto" w:fill="auto"/>
            <w:vAlign w:val="bottom"/>
          </w:tcPr>
          <w:p w14:paraId="497B42AB" w14:textId="3F6F82EC" w:rsidR="00B35109" w:rsidRPr="00537128" w:rsidRDefault="00B35109" w:rsidP="00B35109">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281</w:t>
            </w:r>
            <w:r>
              <w:rPr>
                <w:sz w:val="19"/>
                <w:szCs w:val="19"/>
              </w:rPr>
              <w:t>,</w:t>
            </w:r>
            <w:r w:rsidRPr="001B1B87">
              <w:rPr>
                <w:sz w:val="19"/>
                <w:szCs w:val="19"/>
              </w:rPr>
              <w:t>395</w:t>
            </w:r>
          </w:p>
        </w:tc>
        <w:tc>
          <w:tcPr>
            <w:tcW w:w="642" w:type="pct"/>
            <w:tcBorders>
              <w:top w:val="nil"/>
              <w:left w:val="nil"/>
              <w:bottom w:val="nil"/>
              <w:right w:val="nil"/>
            </w:tcBorders>
            <w:shd w:val="clear" w:color="auto" w:fill="auto"/>
            <w:vAlign w:val="bottom"/>
          </w:tcPr>
          <w:p w14:paraId="18B98592" w14:textId="450CD26B" w:rsidR="00B35109" w:rsidRPr="00537128" w:rsidRDefault="00B35109" w:rsidP="00B35109">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46</w:t>
            </w:r>
            <w:r>
              <w:rPr>
                <w:sz w:val="19"/>
                <w:szCs w:val="19"/>
              </w:rPr>
              <w:t>,</w:t>
            </w:r>
            <w:r w:rsidRPr="001B1B87">
              <w:rPr>
                <w:sz w:val="19"/>
                <w:szCs w:val="19"/>
              </w:rPr>
              <w:t>890</w:t>
            </w:r>
          </w:p>
        </w:tc>
      </w:tr>
      <w:tr w:rsidR="00B35109" w:rsidRPr="00537128" w14:paraId="64535783" w14:textId="77777777" w:rsidTr="00FE04D4">
        <w:trPr>
          <w:cantSplit/>
          <w:trHeight w:val="270"/>
          <w:tblHeader/>
        </w:trPr>
        <w:tc>
          <w:tcPr>
            <w:tcW w:w="2349" w:type="pct"/>
            <w:vAlign w:val="bottom"/>
          </w:tcPr>
          <w:p w14:paraId="373A6B54" w14:textId="77777777" w:rsidR="00B35109" w:rsidRPr="00537128" w:rsidRDefault="00B35109" w:rsidP="00B35109">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Manufacture of chemicals and chemical products</w:t>
            </w:r>
          </w:p>
        </w:tc>
        <w:tc>
          <w:tcPr>
            <w:tcW w:w="725" w:type="pct"/>
            <w:tcBorders>
              <w:top w:val="nil"/>
              <w:left w:val="nil"/>
              <w:bottom w:val="nil"/>
              <w:right w:val="nil"/>
            </w:tcBorders>
            <w:shd w:val="clear" w:color="auto" w:fill="auto"/>
            <w:vAlign w:val="bottom"/>
          </w:tcPr>
          <w:p w14:paraId="57344F0E" w14:textId="2F6A67A9" w:rsidR="00B35109" w:rsidRPr="00A1123E" w:rsidRDefault="00B35109" w:rsidP="00B35109">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82</w:t>
            </w:r>
            <w:r w:rsidR="00F756B2">
              <w:rPr>
                <w:rFonts w:ascii="Calibri" w:hAnsi="Calibri" w:cs="Calibri"/>
                <w:sz w:val="19"/>
                <w:szCs w:val="19"/>
              </w:rPr>
              <w:t>,</w:t>
            </w:r>
            <w:r w:rsidRPr="007A49AD">
              <w:rPr>
                <w:rFonts w:ascii="Calibri" w:hAnsi="Calibri" w:cs="Calibri"/>
                <w:sz w:val="19"/>
                <w:szCs w:val="19"/>
              </w:rPr>
              <w:t>467</w:t>
            </w:r>
          </w:p>
        </w:tc>
        <w:tc>
          <w:tcPr>
            <w:tcW w:w="642" w:type="pct"/>
            <w:tcBorders>
              <w:top w:val="nil"/>
              <w:left w:val="nil"/>
              <w:bottom w:val="nil"/>
              <w:right w:val="nil"/>
            </w:tcBorders>
            <w:shd w:val="clear" w:color="auto" w:fill="auto"/>
            <w:vAlign w:val="bottom"/>
          </w:tcPr>
          <w:p w14:paraId="0CC9A840" w14:textId="416967CD" w:rsidR="00B35109" w:rsidRPr="00A1123E" w:rsidRDefault="00B35109" w:rsidP="00B35109">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23</w:t>
            </w:r>
            <w:r w:rsidR="00F756B2">
              <w:rPr>
                <w:rFonts w:ascii="Calibri" w:hAnsi="Calibri" w:cs="Calibri"/>
                <w:sz w:val="19"/>
                <w:szCs w:val="19"/>
              </w:rPr>
              <w:t>,</w:t>
            </w:r>
            <w:r w:rsidRPr="007A49AD">
              <w:rPr>
                <w:rFonts w:ascii="Calibri" w:hAnsi="Calibri" w:cs="Calibri"/>
                <w:sz w:val="19"/>
                <w:szCs w:val="19"/>
              </w:rPr>
              <w:t>611</w:t>
            </w:r>
          </w:p>
        </w:tc>
        <w:tc>
          <w:tcPr>
            <w:tcW w:w="642" w:type="pct"/>
            <w:tcBorders>
              <w:top w:val="nil"/>
              <w:left w:val="nil"/>
              <w:bottom w:val="nil"/>
              <w:right w:val="nil"/>
            </w:tcBorders>
            <w:shd w:val="clear" w:color="auto" w:fill="auto"/>
            <w:vAlign w:val="bottom"/>
          </w:tcPr>
          <w:p w14:paraId="2F4862C3" w14:textId="1858EA4B" w:rsidR="00B35109" w:rsidRPr="00537128" w:rsidRDefault="00B35109" w:rsidP="00B35109">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86</w:t>
            </w:r>
            <w:r>
              <w:rPr>
                <w:sz w:val="19"/>
                <w:szCs w:val="19"/>
              </w:rPr>
              <w:t>,</w:t>
            </w:r>
            <w:r w:rsidRPr="001B1B87">
              <w:rPr>
                <w:sz w:val="19"/>
                <w:szCs w:val="19"/>
              </w:rPr>
              <w:t>151</w:t>
            </w:r>
          </w:p>
        </w:tc>
        <w:tc>
          <w:tcPr>
            <w:tcW w:w="642" w:type="pct"/>
            <w:tcBorders>
              <w:top w:val="nil"/>
              <w:left w:val="nil"/>
              <w:bottom w:val="nil"/>
              <w:right w:val="nil"/>
            </w:tcBorders>
            <w:shd w:val="clear" w:color="auto" w:fill="auto"/>
            <w:vAlign w:val="bottom"/>
          </w:tcPr>
          <w:p w14:paraId="07019F92" w14:textId="5CF4C7DF" w:rsidR="00B35109" w:rsidRPr="00537128" w:rsidRDefault="00B35109" w:rsidP="00B35109">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22</w:t>
            </w:r>
            <w:r>
              <w:rPr>
                <w:sz w:val="19"/>
                <w:szCs w:val="19"/>
              </w:rPr>
              <w:t>,</w:t>
            </w:r>
            <w:r w:rsidRPr="001B1B87">
              <w:rPr>
                <w:sz w:val="19"/>
                <w:szCs w:val="19"/>
              </w:rPr>
              <w:t>533</w:t>
            </w:r>
          </w:p>
        </w:tc>
      </w:tr>
      <w:tr w:rsidR="00B35109" w:rsidRPr="00537128" w14:paraId="5D649CA2" w14:textId="77777777" w:rsidTr="00FE04D4">
        <w:trPr>
          <w:cantSplit/>
          <w:trHeight w:val="270"/>
          <w:tblHeader/>
        </w:trPr>
        <w:tc>
          <w:tcPr>
            <w:tcW w:w="2349" w:type="pct"/>
            <w:vAlign w:val="bottom"/>
          </w:tcPr>
          <w:p w14:paraId="6C51349F" w14:textId="77777777" w:rsidR="00B35109" w:rsidRPr="00537128" w:rsidRDefault="00B35109" w:rsidP="00B35109">
            <w:pPr>
              <w:spacing w:after="0" w:line="280" w:lineRule="exact"/>
              <w:rPr>
                <w:rFonts w:ascii="Calibri" w:eastAsia="Calibri" w:hAnsi="Calibri" w:cs="Arial"/>
                <w:sz w:val="19"/>
                <w:szCs w:val="19"/>
                <w:lang w:val="en-US"/>
              </w:rPr>
            </w:pPr>
            <w:r w:rsidRPr="00537128">
              <w:rPr>
                <w:rFonts w:ascii="Calibri" w:eastAsia="Calibri" w:hAnsi="Calibri" w:cs="Arial"/>
                <w:bCs/>
                <w:sz w:val="19"/>
                <w:szCs w:val="19"/>
                <w:lang w:val="en-US"/>
              </w:rPr>
              <w:t xml:space="preserve">Manufacture of other non-metallic mineral products </w:t>
            </w:r>
          </w:p>
        </w:tc>
        <w:tc>
          <w:tcPr>
            <w:tcW w:w="725" w:type="pct"/>
            <w:tcBorders>
              <w:top w:val="nil"/>
              <w:left w:val="nil"/>
              <w:bottom w:val="nil"/>
              <w:right w:val="nil"/>
            </w:tcBorders>
            <w:shd w:val="clear" w:color="auto" w:fill="auto"/>
            <w:vAlign w:val="bottom"/>
          </w:tcPr>
          <w:p w14:paraId="025CB785" w14:textId="767FC214" w:rsidR="00B35109" w:rsidRPr="00A1123E" w:rsidRDefault="00B35109" w:rsidP="00B35109">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165</w:t>
            </w:r>
            <w:r w:rsidR="00F756B2">
              <w:rPr>
                <w:rFonts w:ascii="Calibri" w:hAnsi="Calibri" w:cs="Calibri"/>
                <w:sz w:val="19"/>
                <w:szCs w:val="19"/>
              </w:rPr>
              <w:t>,</w:t>
            </w:r>
            <w:r w:rsidRPr="007A49AD">
              <w:rPr>
                <w:rFonts w:ascii="Calibri" w:hAnsi="Calibri" w:cs="Calibri"/>
                <w:sz w:val="19"/>
                <w:szCs w:val="19"/>
              </w:rPr>
              <w:t>557</w:t>
            </w:r>
          </w:p>
        </w:tc>
        <w:tc>
          <w:tcPr>
            <w:tcW w:w="642" w:type="pct"/>
            <w:tcBorders>
              <w:top w:val="nil"/>
              <w:left w:val="nil"/>
              <w:bottom w:val="nil"/>
              <w:right w:val="nil"/>
            </w:tcBorders>
            <w:shd w:val="clear" w:color="auto" w:fill="auto"/>
            <w:vAlign w:val="bottom"/>
          </w:tcPr>
          <w:p w14:paraId="39F91141" w14:textId="67EA9E04" w:rsidR="00B35109" w:rsidRPr="00A1123E" w:rsidRDefault="00B35109" w:rsidP="00B35109">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132</w:t>
            </w:r>
            <w:r w:rsidR="00F756B2">
              <w:rPr>
                <w:rFonts w:ascii="Calibri" w:hAnsi="Calibri" w:cs="Calibri"/>
                <w:sz w:val="19"/>
                <w:szCs w:val="19"/>
              </w:rPr>
              <w:t>,</w:t>
            </w:r>
            <w:r w:rsidRPr="007A49AD">
              <w:rPr>
                <w:rFonts w:ascii="Calibri" w:hAnsi="Calibri" w:cs="Calibri"/>
                <w:sz w:val="19"/>
                <w:szCs w:val="19"/>
              </w:rPr>
              <w:t>663</w:t>
            </w:r>
          </w:p>
        </w:tc>
        <w:tc>
          <w:tcPr>
            <w:tcW w:w="642" w:type="pct"/>
            <w:tcBorders>
              <w:top w:val="nil"/>
              <w:left w:val="nil"/>
              <w:bottom w:val="nil"/>
              <w:right w:val="nil"/>
            </w:tcBorders>
            <w:shd w:val="clear" w:color="auto" w:fill="auto"/>
            <w:vAlign w:val="bottom"/>
          </w:tcPr>
          <w:p w14:paraId="2317BD57" w14:textId="08AA87C8" w:rsidR="00B35109" w:rsidRPr="00537128" w:rsidRDefault="00B35109" w:rsidP="00B35109">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171</w:t>
            </w:r>
            <w:r>
              <w:rPr>
                <w:sz w:val="19"/>
                <w:szCs w:val="19"/>
              </w:rPr>
              <w:t>,</w:t>
            </w:r>
            <w:r w:rsidRPr="001B1B87">
              <w:rPr>
                <w:sz w:val="19"/>
                <w:szCs w:val="19"/>
              </w:rPr>
              <w:t>322</w:t>
            </w:r>
          </w:p>
        </w:tc>
        <w:tc>
          <w:tcPr>
            <w:tcW w:w="642" w:type="pct"/>
            <w:tcBorders>
              <w:top w:val="nil"/>
              <w:left w:val="nil"/>
              <w:bottom w:val="nil"/>
              <w:right w:val="nil"/>
            </w:tcBorders>
            <w:shd w:val="clear" w:color="auto" w:fill="auto"/>
            <w:vAlign w:val="bottom"/>
          </w:tcPr>
          <w:p w14:paraId="60C76B1A" w14:textId="39DD79B7" w:rsidR="00B35109" w:rsidRPr="00537128" w:rsidRDefault="00B35109" w:rsidP="00B35109">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126</w:t>
            </w:r>
            <w:r>
              <w:rPr>
                <w:sz w:val="19"/>
                <w:szCs w:val="19"/>
              </w:rPr>
              <w:t>,</w:t>
            </w:r>
            <w:r w:rsidRPr="001B1B87">
              <w:rPr>
                <w:sz w:val="19"/>
                <w:szCs w:val="19"/>
              </w:rPr>
              <w:t>355</w:t>
            </w:r>
          </w:p>
        </w:tc>
      </w:tr>
      <w:tr w:rsidR="00B35109" w:rsidRPr="00537128" w14:paraId="50F90412" w14:textId="77777777" w:rsidTr="00FE04D4">
        <w:trPr>
          <w:cantSplit/>
          <w:trHeight w:val="270"/>
          <w:tblHeader/>
        </w:trPr>
        <w:tc>
          <w:tcPr>
            <w:tcW w:w="2349" w:type="pct"/>
            <w:vAlign w:val="bottom"/>
          </w:tcPr>
          <w:p w14:paraId="77D9EB09" w14:textId="77777777" w:rsidR="00B35109" w:rsidRPr="00537128" w:rsidRDefault="00B35109" w:rsidP="00B35109">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Pharmaceutical industry</w:t>
            </w:r>
          </w:p>
        </w:tc>
        <w:tc>
          <w:tcPr>
            <w:tcW w:w="725" w:type="pct"/>
            <w:tcBorders>
              <w:top w:val="nil"/>
              <w:left w:val="nil"/>
              <w:bottom w:val="nil"/>
              <w:right w:val="nil"/>
            </w:tcBorders>
            <w:shd w:val="clear" w:color="auto" w:fill="auto"/>
            <w:vAlign w:val="bottom"/>
          </w:tcPr>
          <w:p w14:paraId="7E1A9F98" w14:textId="1ED1B972" w:rsidR="00B35109" w:rsidRPr="00A1123E" w:rsidRDefault="00B35109" w:rsidP="00B35109">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409</w:t>
            </w:r>
            <w:r w:rsidR="00F756B2">
              <w:rPr>
                <w:rFonts w:ascii="Calibri" w:hAnsi="Calibri" w:cs="Calibri"/>
                <w:sz w:val="19"/>
                <w:szCs w:val="19"/>
              </w:rPr>
              <w:t>,</w:t>
            </w:r>
            <w:r w:rsidRPr="007A49AD">
              <w:rPr>
                <w:rFonts w:ascii="Calibri" w:hAnsi="Calibri" w:cs="Calibri"/>
                <w:sz w:val="19"/>
                <w:szCs w:val="19"/>
              </w:rPr>
              <w:t>730</w:t>
            </w:r>
          </w:p>
        </w:tc>
        <w:tc>
          <w:tcPr>
            <w:tcW w:w="642" w:type="pct"/>
            <w:tcBorders>
              <w:top w:val="nil"/>
              <w:left w:val="nil"/>
              <w:bottom w:val="nil"/>
              <w:right w:val="nil"/>
            </w:tcBorders>
            <w:shd w:val="clear" w:color="auto" w:fill="auto"/>
            <w:vAlign w:val="bottom"/>
          </w:tcPr>
          <w:p w14:paraId="5E6976A3" w14:textId="7196727D" w:rsidR="00B35109" w:rsidRPr="00A1123E" w:rsidRDefault="00B35109" w:rsidP="00B35109">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372</w:t>
            </w:r>
            <w:r w:rsidR="00F756B2">
              <w:rPr>
                <w:rFonts w:ascii="Calibri" w:hAnsi="Calibri" w:cs="Calibri"/>
                <w:sz w:val="19"/>
                <w:szCs w:val="19"/>
              </w:rPr>
              <w:t>,</w:t>
            </w:r>
            <w:r w:rsidRPr="007A49AD">
              <w:rPr>
                <w:rFonts w:ascii="Calibri" w:hAnsi="Calibri" w:cs="Calibri"/>
                <w:sz w:val="19"/>
                <w:szCs w:val="19"/>
              </w:rPr>
              <w:t>545</w:t>
            </w:r>
          </w:p>
        </w:tc>
        <w:tc>
          <w:tcPr>
            <w:tcW w:w="642" w:type="pct"/>
            <w:tcBorders>
              <w:top w:val="nil"/>
              <w:left w:val="nil"/>
              <w:bottom w:val="nil"/>
              <w:right w:val="nil"/>
            </w:tcBorders>
            <w:shd w:val="clear" w:color="auto" w:fill="auto"/>
            <w:vAlign w:val="bottom"/>
          </w:tcPr>
          <w:p w14:paraId="0EF94520" w14:textId="2C5A3ED3" w:rsidR="00B35109" w:rsidRPr="00537128" w:rsidRDefault="00B35109" w:rsidP="00B35109">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416</w:t>
            </w:r>
            <w:r>
              <w:rPr>
                <w:sz w:val="19"/>
                <w:szCs w:val="19"/>
              </w:rPr>
              <w:t>,</w:t>
            </w:r>
            <w:r w:rsidRPr="001B1B87">
              <w:rPr>
                <w:sz w:val="19"/>
                <w:szCs w:val="19"/>
              </w:rPr>
              <w:t>205</w:t>
            </w:r>
          </w:p>
        </w:tc>
        <w:tc>
          <w:tcPr>
            <w:tcW w:w="642" w:type="pct"/>
            <w:tcBorders>
              <w:top w:val="nil"/>
              <w:left w:val="nil"/>
              <w:bottom w:val="nil"/>
              <w:right w:val="nil"/>
            </w:tcBorders>
            <w:shd w:val="clear" w:color="auto" w:fill="auto"/>
            <w:vAlign w:val="bottom"/>
          </w:tcPr>
          <w:p w14:paraId="0BDDA469" w14:textId="44CFB1F4" w:rsidR="00B35109" w:rsidRPr="00537128" w:rsidRDefault="00B35109" w:rsidP="00B35109">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379</w:t>
            </w:r>
            <w:r>
              <w:rPr>
                <w:sz w:val="19"/>
                <w:szCs w:val="19"/>
              </w:rPr>
              <w:t>,</w:t>
            </w:r>
            <w:r w:rsidRPr="001B1B87">
              <w:rPr>
                <w:sz w:val="19"/>
                <w:szCs w:val="19"/>
              </w:rPr>
              <w:t>399</w:t>
            </w:r>
          </w:p>
        </w:tc>
      </w:tr>
      <w:tr w:rsidR="00B35109" w:rsidRPr="00537128" w14:paraId="627F23A4" w14:textId="77777777" w:rsidTr="00F756B2">
        <w:trPr>
          <w:cantSplit/>
          <w:trHeight w:val="270"/>
          <w:tblHeader/>
        </w:trPr>
        <w:tc>
          <w:tcPr>
            <w:tcW w:w="2349" w:type="pct"/>
            <w:vAlign w:val="bottom"/>
          </w:tcPr>
          <w:p w14:paraId="7C1DFBA7" w14:textId="77777777" w:rsidR="00B35109" w:rsidRPr="00537128" w:rsidRDefault="00B35109" w:rsidP="00B35109">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Manufacture of motor vehicles, </w:t>
            </w:r>
            <w:proofErr w:type="gramStart"/>
            <w:r w:rsidRPr="00537128">
              <w:rPr>
                <w:rFonts w:ascii="Calibri" w:eastAsia="Calibri" w:hAnsi="Calibri" w:cs="Arial"/>
                <w:bCs/>
                <w:sz w:val="19"/>
                <w:szCs w:val="19"/>
                <w:lang w:val="en-US"/>
              </w:rPr>
              <w:t>trailers</w:t>
            </w:r>
            <w:proofErr w:type="gramEnd"/>
            <w:r w:rsidRPr="00537128">
              <w:rPr>
                <w:rFonts w:ascii="Calibri" w:eastAsia="Calibri" w:hAnsi="Calibri" w:cs="Arial"/>
                <w:bCs/>
                <w:sz w:val="19"/>
                <w:szCs w:val="19"/>
                <w:lang w:val="en-US"/>
              </w:rPr>
              <w:t xml:space="preserve"> and semi - trailers</w:t>
            </w:r>
          </w:p>
        </w:tc>
        <w:tc>
          <w:tcPr>
            <w:tcW w:w="725" w:type="pct"/>
            <w:tcBorders>
              <w:top w:val="nil"/>
              <w:left w:val="nil"/>
              <w:right w:val="nil"/>
            </w:tcBorders>
            <w:shd w:val="clear" w:color="auto" w:fill="auto"/>
            <w:vAlign w:val="bottom"/>
          </w:tcPr>
          <w:p w14:paraId="254C430F" w14:textId="761C3ECD" w:rsidR="00B35109" w:rsidRPr="00A1123E" w:rsidRDefault="00B35109" w:rsidP="00B35109">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264</w:t>
            </w:r>
            <w:r w:rsidR="00F756B2">
              <w:rPr>
                <w:rFonts w:ascii="Calibri" w:hAnsi="Calibri" w:cs="Calibri"/>
                <w:sz w:val="19"/>
                <w:szCs w:val="19"/>
              </w:rPr>
              <w:t>,</w:t>
            </w:r>
            <w:r w:rsidRPr="007A49AD">
              <w:rPr>
                <w:rFonts w:ascii="Calibri" w:hAnsi="Calibri" w:cs="Calibri"/>
                <w:sz w:val="19"/>
                <w:szCs w:val="19"/>
              </w:rPr>
              <w:t>573</w:t>
            </w:r>
          </w:p>
        </w:tc>
        <w:tc>
          <w:tcPr>
            <w:tcW w:w="642" w:type="pct"/>
            <w:tcBorders>
              <w:top w:val="nil"/>
              <w:left w:val="nil"/>
              <w:right w:val="nil"/>
            </w:tcBorders>
            <w:shd w:val="clear" w:color="auto" w:fill="auto"/>
            <w:vAlign w:val="bottom"/>
          </w:tcPr>
          <w:p w14:paraId="79B566FE" w14:textId="5084966C" w:rsidR="00B35109" w:rsidRPr="00A1123E" w:rsidRDefault="00B35109" w:rsidP="00B35109">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17</w:t>
            </w:r>
            <w:r w:rsidR="00F756B2">
              <w:rPr>
                <w:rFonts w:ascii="Calibri" w:hAnsi="Calibri" w:cs="Calibri"/>
                <w:sz w:val="19"/>
                <w:szCs w:val="19"/>
              </w:rPr>
              <w:t>,</w:t>
            </w:r>
            <w:r w:rsidRPr="007A49AD">
              <w:rPr>
                <w:rFonts w:ascii="Calibri" w:hAnsi="Calibri" w:cs="Calibri"/>
                <w:sz w:val="19"/>
                <w:szCs w:val="19"/>
              </w:rPr>
              <w:t>033</w:t>
            </w:r>
          </w:p>
        </w:tc>
        <w:tc>
          <w:tcPr>
            <w:tcW w:w="642" w:type="pct"/>
            <w:tcBorders>
              <w:top w:val="nil"/>
              <w:left w:val="nil"/>
              <w:right w:val="nil"/>
            </w:tcBorders>
            <w:shd w:val="clear" w:color="auto" w:fill="auto"/>
            <w:vAlign w:val="bottom"/>
          </w:tcPr>
          <w:p w14:paraId="3F3D2897" w14:textId="3C221BC1" w:rsidR="00B35109" w:rsidRPr="00537128" w:rsidRDefault="00B35109" w:rsidP="00B35109">
            <w:pPr>
              <w:tabs>
                <w:tab w:val="right" w:pos="1202"/>
              </w:tabs>
              <w:spacing w:after="0" w:line="240" w:lineRule="auto"/>
              <w:jc w:val="right"/>
              <w:outlineLvl w:val="0"/>
              <w:rPr>
                <w:rFonts w:ascii="Calibri" w:eastAsia="Times New Roman" w:hAnsi="Calibri" w:cs="Calibri"/>
                <w:color w:val="000000"/>
                <w:sz w:val="19"/>
                <w:szCs w:val="19"/>
                <w:lang w:val="en-US"/>
              </w:rPr>
            </w:pPr>
            <w:r w:rsidRPr="001B1B87">
              <w:rPr>
                <w:sz w:val="19"/>
                <w:szCs w:val="19"/>
              </w:rPr>
              <w:t>266</w:t>
            </w:r>
            <w:r>
              <w:rPr>
                <w:sz w:val="19"/>
                <w:szCs w:val="19"/>
              </w:rPr>
              <w:t>,</w:t>
            </w:r>
            <w:r w:rsidRPr="001B1B87">
              <w:rPr>
                <w:sz w:val="19"/>
                <w:szCs w:val="19"/>
              </w:rPr>
              <w:t>004</w:t>
            </w:r>
          </w:p>
        </w:tc>
        <w:tc>
          <w:tcPr>
            <w:tcW w:w="642" w:type="pct"/>
            <w:tcBorders>
              <w:top w:val="nil"/>
              <w:left w:val="nil"/>
              <w:right w:val="nil"/>
            </w:tcBorders>
            <w:shd w:val="clear" w:color="auto" w:fill="auto"/>
            <w:vAlign w:val="bottom"/>
          </w:tcPr>
          <w:p w14:paraId="284B0EAF" w14:textId="346F3C0A" w:rsidR="00B35109" w:rsidRPr="00537128" w:rsidRDefault="00B35109" w:rsidP="00B35109">
            <w:pPr>
              <w:tabs>
                <w:tab w:val="right" w:pos="1202"/>
              </w:tabs>
              <w:spacing w:after="0" w:line="240" w:lineRule="auto"/>
              <w:jc w:val="right"/>
              <w:outlineLvl w:val="0"/>
              <w:rPr>
                <w:rFonts w:ascii="Calibri" w:eastAsia="Times New Roman" w:hAnsi="Calibri" w:cs="Calibri"/>
                <w:color w:val="000000"/>
                <w:sz w:val="19"/>
                <w:szCs w:val="19"/>
                <w:lang w:val="en-US"/>
              </w:rPr>
            </w:pPr>
            <w:r w:rsidRPr="001B1B87">
              <w:rPr>
                <w:sz w:val="19"/>
                <w:szCs w:val="19"/>
              </w:rPr>
              <w:t>17</w:t>
            </w:r>
            <w:r>
              <w:rPr>
                <w:sz w:val="19"/>
                <w:szCs w:val="19"/>
              </w:rPr>
              <w:t>,</w:t>
            </w:r>
            <w:r w:rsidRPr="001B1B87">
              <w:rPr>
                <w:sz w:val="19"/>
                <w:szCs w:val="19"/>
              </w:rPr>
              <w:t>411</w:t>
            </w:r>
          </w:p>
        </w:tc>
      </w:tr>
      <w:tr w:rsidR="00B35109" w:rsidRPr="00537128" w14:paraId="12B867B5" w14:textId="77777777" w:rsidTr="00F756B2">
        <w:trPr>
          <w:cantSplit/>
          <w:trHeight w:val="270"/>
          <w:tblHeader/>
        </w:trPr>
        <w:tc>
          <w:tcPr>
            <w:tcW w:w="2349" w:type="pct"/>
            <w:vAlign w:val="bottom"/>
          </w:tcPr>
          <w:p w14:paraId="42874323" w14:textId="77777777" w:rsidR="00B35109" w:rsidRPr="00537128" w:rsidRDefault="00B35109" w:rsidP="00B35109">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Other</w:t>
            </w:r>
          </w:p>
        </w:tc>
        <w:tc>
          <w:tcPr>
            <w:tcW w:w="725" w:type="pct"/>
            <w:tcBorders>
              <w:top w:val="nil"/>
              <w:left w:val="nil"/>
              <w:bottom w:val="single" w:sz="4" w:space="0" w:color="auto"/>
              <w:right w:val="nil"/>
            </w:tcBorders>
            <w:shd w:val="clear" w:color="auto" w:fill="auto"/>
            <w:vAlign w:val="bottom"/>
          </w:tcPr>
          <w:p w14:paraId="5A277985" w14:textId="17B783F8" w:rsidR="00B35109" w:rsidRPr="00A1123E" w:rsidRDefault="00B35109" w:rsidP="00B35109">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1</w:t>
            </w:r>
            <w:r w:rsidR="00F756B2">
              <w:rPr>
                <w:rFonts w:ascii="Calibri" w:hAnsi="Calibri" w:cs="Calibri"/>
                <w:sz w:val="19"/>
                <w:szCs w:val="19"/>
              </w:rPr>
              <w:t>,</w:t>
            </w:r>
            <w:r w:rsidRPr="007A49AD">
              <w:rPr>
                <w:rFonts w:ascii="Calibri" w:hAnsi="Calibri" w:cs="Calibri"/>
                <w:sz w:val="19"/>
                <w:szCs w:val="19"/>
              </w:rPr>
              <w:t>990</w:t>
            </w:r>
            <w:r w:rsidR="00F756B2">
              <w:rPr>
                <w:rFonts w:ascii="Calibri" w:hAnsi="Calibri" w:cs="Calibri"/>
                <w:sz w:val="19"/>
                <w:szCs w:val="19"/>
              </w:rPr>
              <w:t>,</w:t>
            </w:r>
            <w:r w:rsidRPr="007A49AD">
              <w:rPr>
                <w:rFonts w:ascii="Calibri" w:hAnsi="Calibri" w:cs="Calibri"/>
                <w:sz w:val="19"/>
                <w:szCs w:val="19"/>
              </w:rPr>
              <w:t>729</w:t>
            </w:r>
          </w:p>
        </w:tc>
        <w:tc>
          <w:tcPr>
            <w:tcW w:w="642" w:type="pct"/>
            <w:tcBorders>
              <w:top w:val="nil"/>
              <w:left w:val="nil"/>
              <w:bottom w:val="single" w:sz="4" w:space="0" w:color="auto"/>
              <w:right w:val="nil"/>
            </w:tcBorders>
            <w:shd w:val="clear" w:color="auto" w:fill="auto"/>
            <w:vAlign w:val="bottom"/>
          </w:tcPr>
          <w:p w14:paraId="376DBB0F" w14:textId="3DC35537" w:rsidR="00B35109" w:rsidRPr="00A1123E" w:rsidRDefault="00B35109" w:rsidP="00B35109">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189</w:t>
            </w:r>
            <w:r w:rsidR="00F756B2">
              <w:rPr>
                <w:rFonts w:ascii="Calibri" w:hAnsi="Calibri" w:cs="Calibri"/>
                <w:sz w:val="19"/>
                <w:szCs w:val="19"/>
              </w:rPr>
              <w:t>,</w:t>
            </w:r>
            <w:r w:rsidRPr="007A49AD">
              <w:rPr>
                <w:rFonts w:ascii="Calibri" w:hAnsi="Calibri" w:cs="Calibri"/>
                <w:sz w:val="19"/>
                <w:szCs w:val="19"/>
              </w:rPr>
              <w:t>681</w:t>
            </w:r>
          </w:p>
        </w:tc>
        <w:tc>
          <w:tcPr>
            <w:tcW w:w="642" w:type="pct"/>
            <w:tcBorders>
              <w:top w:val="nil"/>
              <w:left w:val="nil"/>
              <w:bottom w:val="single" w:sz="4" w:space="0" w:color="auto"/>
              <w:right w:val="nil"/>
            </w:tcBorders>
            <w:shd w:val="clear" w:color="auto" w:fill="auto"/>
            <w:vAlign w:val="bottom"/>
          </w:tcPr>
          <w:p w14:paraId="07ADFCD4" w14:textId="1F61224E" w:rsidR="00B35109" w:rsidRPr="00537128" w:rsidRDefault="00B35109" w:rsidP="00B35109">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2</w:t>
            </w:r>
            <w:r>
              <w:rPr>
                <w:sz w:val="19"/>
                <w:szCs w:val="19"/>
              </w:rPr>
              <w:t>,</w:t>
            </w:r>
            <w:r w:rsidRPr="001B1B87">
              <w:rPr>
                <w:sz w:val="19"/>
                <w:szCs w:val="19"/>
              </w:rPr>
              <w:t>136</w:t>
            </w:r>
            <w:r>
              <w:rPr>
                <w:sz w:val="19"/>
                <w:szCs w:val="19"/>
              </w:rPr>
              <w:t>,</w:t>
            </w:r>
            <w:r w:rsidRPr="001B1B87">
              <w:rPr>
                <w:sz w:val="19"/>
                <w:szCs w:val="19"/>
              </w:rPr>
              <w:t>797</w:t>
            </w:r>
          </w:p>
        </w:tc>
        <w:tc>
          <w:tcPr>
            <w:tcW w:w="642" w:type="pct"/>
            <w:tcBorders>
              <w:top w:val="nil"/>
              <w:left w:val="nil"/>
              <w:bottom w:val="single" w:sz="4" w:space="0" w:color="auto"/>
              <w:right w:val="nil"/>
            </w:tcBorders>
            <w:shd w:val="clear" w:color="auto" w:fill="auto"/>
            <w:vAlign w:val="bottom"/>
          </w:tcPr>
          <w:p w14:paraId="38C90458" w14:textId="4968229D" w:rsidR="00B35109" w:rsidRPr="00537128" w:rsidRDefault="00B35109" w:rsidP="00B35109">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291</w:t>
            </w:r>
            <w:r>
              <w:rPr>
                <w:sz w:val="19"/>
                <w:szCs w:val="19"/>
              </w:rPr>
              <w:t>,</w:t>
            </w:r>
            <w:r w:rsidRPr="001B1B87">
              <w:rPr>
                <w:sz w:val="19"/>
                <w:szCs w:val="19"/>
              </w:rPr>
              <w:t>527</w:t>
            </w:r>
          </w:p>
        </w:tc>
      </w:tr>
      <w:tr w:rsidR="00F756B2" w:rsidRPr="00537128" w14:paraId="21528BE0" w14:textId="77777777" w:rsidTr="00F756B2">
        <w:tblPrEx>
          <w:tblCellMar>
            <w:left w:w="31" w:type="dxa"/>
            <w:right w:w="31" w:type="dxa"/>
          </w:tblCellMar>
        </w:tblPrEx>
        <w:trPr>
          <w:cantSplit/>
          <w:trHeight w:val="363"/>
          <w:tblHeader/>
        </w:trPr>
        <w:tc>
          <w:tcPr>
            <w:tcW w:w="2349" w:type="pct"/>
            <w:vAlign w:val="bottom"/>
          </w:tcPr>
          <w:p w14:paraId="61551C12" w14:textId="77777777" w:rsidR="00F756B2" w:rsidRPr="00537128" w:rsidRDefault="00F756B2" w:rsidP="00F756B2">
            <w:pPr>
              <w:spacing w:after="0" w:line="280" w:lineRule="exact"/>
              <w:rPr>
                <w:rFonts w:ascii="Calibri" w:eastAsia="Calibri" w:hAnsi="Calibri" w:cs="Arial"/>
                <w:b/>
                <w:bCs/>
                <w:sz w:val="19"/>
                <w:szCs w:val="19"/>
                <w:lang w:val="en-US"/>
              </w:rPr>
            </w:pPr>
            <w:r w:rsidRPr="00537128">
              <w:rPr>
                <w:rFonts w:ascii="Calibri" w:eastAsia="Calibri" w:hAnsi="Calibri" w:cs="Arial"/>
                <w:b/>
                <w:bCs/>
                <w:sz w:val="19"/>
                <w:szCs w:val="19"/>
                <w:lang w:val="en-US"/>
              </w:rPr>
              <w:t>Total credit risk exposure</w:t>
            </w:r>
          </w:p>
        </w:tc>
        <w:tc>
          <w:tcPr>
            <w:tcW w:w="725" w:type="pct"/>
            <w:tcBorders>
              <w:top w:val="single" w:sz="4" w:space="0" w:color="auto"/>
              <w:left w:val="nil"/>
              <w:bottom w:val="single" w:sz="12" w:space="0" w:color="auto"/>
              <w:right w:val="nil"/>
            </w:tcBorders>
            <w:shd w:val="clear" w:color="auto" w:fill="auto"/>
            <w:vAlign w:val="bottom"/>
          </w:tcPr>
          <w:p w14:paraId="1922BD40" w14:textId="11971925" w:rsidR="00F756B2" w:rsidRPr="00A1123E" w:rsidRDefault="00F756B2" w:rsidP="00F756B2">
            <w:pPr>
              <w:tabs>
                <w:tab w:val="right" w:pos="1202"/>
              </w:tabs>
              <w:spacing w:after="0" w:line="240" w:lineRule="auto"/>
              <w:jc w:val="right"/>
              <w:outlineLvl w:val="0"/>
              <w:rPr>
                <w:rFonts w:ascii="Calibri" w:eastAsia="Times New Roman" w:hAnsi="Calibri" w:cs="Calibri"/>
                <w:b/>
                <w:noProof/>
                <w:color w:val="000000"/>
                <w:sz w:val="19"/>
                <w:szCs w:val="19"/>
                <w:lang w:val="en-US" w:eastAsia="hr-HR"/>
              </w:rPr>
            </w:pPr>
            <w:r>
              <w:rPr>
                <w:rFonts w:cstheme="minorHAnsi"/>
                <w:b/>
                <w:noProof/>
                <w:color w:val="000000" w:themeColor="text1"/>
                <w:sz w:val="19"/>
                <w:szCs w:val="19"/>
                <w:lang w:eastAsia="hr-HR"/>
              </w:rPr>
              <w:t>31,023,848</w:t>
            </w:r>
          </w:p>
        </w:tc>
        <w:tc>
          <w:tcPr>
            <w:tcW w:w="642" w:type="pct"/>
            <w:tcBorders>
              <w:top w:val="single" w:sz="4" w:space="0" w:color="auto"/>
              <w:left w:val="nil"/>
              <w:bottom w:val="single" w:sz="12" w:space="0" w:color="auto"/>
              <w:right w:val="nil"/>
            </w:tcBorders>
            <w:shd w:val="clear" w:color="auto" w:fill="auto"/>
            <w:vAlign w:val="bottom"/>
          </w:tcPr>
          <w:p w14:paraId="64C30A81" w14:textId="1277DC2B" w:rsidR="00F756B2" w:rsidRPr="00A1123E" w:rsidRDefault="00F756B2" w:rsidP="00F756B2">
            <w:pPr>
              <w:tabs>
                <w:tab w:val="right" w:pos="1202"/>
              </w:tabs>
              <w:spacing w:after="0" w:line="240" w:lineRule="auto"/>
              <w:jc w:val="right"/>
              <w:outlineLvl w:val="0"/>
              <w:rPr>
                <w:rFonts w:ascii="Calibri" w:eastAsia="Times New Roman" w:hAnsi="Calibri" w:cs="Calibri"/>
                <w:b/>
                <w:noProof/>
                <w:color w:val="000000"/>
                <w:sz w:val="19"/>
                <w:szCs w:val="19"/>
                <w:lang w:val="en-US" w:eastAsia="hr-HR"/>
              </w:rPr>
            </w:pPr>
            <w:r>
              <w:rPr>
                <w:rFonts w:cstheme="minorHAnsi"/>
                <w:b/>
                <w:color w:val="000000" w:themeColor="text1"/>
                <w:sz w:val="19"/>
                <w:szCs w:val="19"/>
              </w:rPr>
              <w:t>6,921,521</w:t>
            </w:r>
          </w:p>
        </w:tc>
        <w:tc>
          <w:tcPr>
            <w:tcW w:w="642" w:type="pct"/>
            <w:tcBorders>
              <w:top w:val="single" w:sz="4" w:space="0" w:color="auto"/>
              <w:left w:val="nil"/>
              <w:bottom w:val="single" w:sz="12" w:space="0" w:color="auto"/>
              <w:right w:val="nil"/>
            </w:tcBorders>
            <w:shd w:val="clear" w:color="auto" w:fill="auto"/>
            <w:vAlign w:val="bottom"/>
          </w:tcPr>
          <w:p w14:paraId="2976D0EE" w14:textId="3F6AF615" w:rsidR="00F756B2" w:rsidRPr="00537128" w:rsidRDefault="00F756B2" w:rsidP="00F756B2">
            <w:pPr>
              <w:tabs>
                <w:tab w:val="right" w:pos="1202"/>
              </w:tabs>
              <w:spacing w:after="0" w:line="240" w:lineRule="auto"/>
              <w:jc w:val="right"/>
              <w:outlineLvl w:val="0"/>
              <w:rPr>
                <w:rFonts w:ascii="Calibri" w:eastAsia="Calibri" w:hAnsi="Calibri" w:cs="Times New Roman"/>
                <w:b/>
                <w:sz w:val="19"/>
                <w:szCs w:val="19"/>
                <w:lang w:val="en-US" w:eastAsia="hr-HR"/>
              </w:rPr>
            </w:pPr>
            <w:r w:rsidRPr="001B1B87">
              <w:rPr>
                <w:b/>
                <w:bCs/>
                <w:sz w:val="19"/>
                <w:szCs w:val="19"/>
              </w:rPr>
              <w:t>31</w:t>
            </w:r>
            <w:r>
              <w:rPr>
                <w:b/>
                <w:bCs/>
                <w:sz w:val="19"/>
                <w:szCs w:val="19"/>
              </w:rPr>
              <w:t>,</w:t>
            </w:r>
            <w:r w:rsidRPr="001B1B87">
              <w:rPr>
                <w:b/>
                <w:bCs/>
                <w:sz w:val="19"/>
                <w:szCs w:val="19"/>
              </w:rPr>
              <w:t>795</w:t>
            </w:r>
            <w:r>
              <w:rPr>
                <w:b/>
                <w:bCs/>
                <w:sz w:val="19"/>
                <w:szCs w:val="19"/>
              </w:rPr>
              <w:t>,</w:t>
            </w:r>
            <w:r w:rsidRPr="001B1B87">
              <w:rPr>
                <w:b/>
                <w:bCs/>
                <w:sz w:val="19"/>
                <w:szCs w:val="19"/>
              </w:rPr>
              <w:t>313</w:t>
            </w:r>
          </w:p>
        </w:tc>
        <w:tc>
          <w:tcPr>
            <w:tcW w:w="642" w:type="pct"/>
            <w:tcBorders>
              <w:top w:val="single" w:sz="4" w:space="0" w:color="auto"/>
              <w:left w:val="nil"/>
              <w:bottom w:val="single" w:sz="12" w:space="0" w:color="auto"/>
              <w:right w:val="nil"/>
            </w:tcBorders>
            <w:shd w:val="clear" w:color="auto" w:fill="auto"/>
            <w:vAlign w:val="bottom"/>
          </w:tcPr>
          <w:p w14:paraId="4E39FAAD" w14:textId="1B81605B" w:rsidR="00F756B2" w:rsidRPr="00537128" w:rsidRDefault="00F756B2" w:rsidP="00F756B2">
            <w:pPr>
              <w:tabs>
                <w:tab w:val="right" w:pos="1202"/>
              </w:tabs>
              <w:spacing w:after="0" w:line="240" w:lineRule="auto"/>
              <w:jc w:val="right"/>
              <w:outlineLvl w:val="0"/>
              <w:rPr>
                <w:rFonts w:ascii="Calibri" w:eastAsia="Calibri" w:hAnsi="Calibri" w:cs="Arial"/>
                <w:b/>
                <w:sz w:val="19"/>
                <w:szCs w:val="19"/>
                <w:lang w:val="en-US"/>
              </w:rPr>
            </w:pPr>
            <w:r w:rsidRPr="005D2621">
              <w:rPr>
                <w:rFonts w:cstheme="minorHAnsi"/>
                <w:b/>
                <w:color w:val="000000" w:themeColor="text1"/>
                <w:sz w:val="19"/>
                <w:szCs w:val="19"/>
              </w:rPr>
              <w:t>6</w:t>
            </w:r>
            <w:r>
              <w:rPr>
                <w:rFonts w:cstheme="minorHAnsi"/>
                <w:b/>
                <w:color w:val="000000" w:themeColor="text1"/>
                <w:sz w:val="19"/>
                <w:szCs w:val="19"/>
              </w:rPr>
              <w:t>,</w:t>
            </w:r>
            <w:r w:rsidRPr="005D2621">
              <w:rPr>
                <w:rFonts w:cstheme="minorHAnsi"/>
                <w:b/>
                <w:color w:val="000000" w:themeColor="text1"/>
                <w:sz w:val="19"/>
                <w:szCs w:val="19"/>
              </w:rPr>
              <w:t>752</w:t>
            </w:r>
            <w:r>
              <w:rPr>
                <w:rFonts w:cstheme="minorHAnsi"/>
                <w:b/>
                <w:color w:val="000000" w:themeColor="text1"/>
                <w:sz w:val="19"/>
                <w:szCs w:val="19"/>
              </w:rPr>
              <w:t>,</w:t>
            </w:r>
            <w:r w:rsidRPr="005D2621">
              <w:rPr>
                <w:rFonts w:cstheme="minorHAnsi"/>
                <w:b/>
                <w:color w:val="000000" w:themeColor="text1"/>
                <w:sz w:val="19"/>
                <w:szCs w:val="19"/>
              </w:rPr>
              <w:t>166</w:t>
            </w:r>
          </w:p>
        </w:tc>
      </w:tr>
    </w:tbl>
    <w:p w14:paraId="4E7FE29D"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1B2570C3" w14:textId="77777777" w:rsidR="00E922D1" w:rsidRPr="00537128" w:rsidRDefault="00E922D1" w:rsidP="00364B19">
      <w:pPr>
        <w:spacing w:after="0" w:line="240" w:lineRule="auto"/>
        <w:jc w:val="both"/>
        <w:rPr>
          <w:rFonts w:ascii="Calibri" w:eastAsia="Times New Roman" w:hAnsi="Calibri" w:cs="Arial"/>
          <w:b/>
          <w:color w:val="000000" w:themeColor="text1"/>
          <w:lang w:val="en-US"/>
        </w:rPr>
      </w:pPr>
    </w:p>
    <w:p w14:paraId="0663A682" w14:textId="77777777" w:rsidR="00E922D1" w:rsidRPr="00537128" w:rsidRDefault="00E922D1" w:rsidP="00A1123E">
      <w:pPr>
        <w:tabs>
          <w:tab w:val="right" w:pos="1202"/>
        </w:tabs>
        <w:spacing w:after="0" w:line="240" w:lineRule="auto"/>
        <w:jc w:val="right"/>
        <w:outlineLvl w:val="0"/>
        <w:rPr>
          <w:rFonts w:ascii="Calibri" w:eastAsia="Times New Roman" w:hAnsi="Calibri" w:cs="Arial"/>
          <w:b/>
          <w:color w:val="000000" w:themeColor="text1"/>
          <w:lang w:val="en-US"/>
        </w:rPr>
        <w:sectPr w:rsidR="00E922D1" w:rsidRPr="00537128">
          <w:pgSz w:w="11906" w:h="16838"/>
          <w:pgMar w:top="1417" w:right="1417" w:bottom="1417" w:left="1417" w:header="708" w:footer="708" w:gutter="0"/>
          <w:cols w:space="708"/>
          <w:docGrid w:linePitch="360"/>
        </w:sectPr>
      </w:pPr>
    </w:p>
    <w:p w14:paraId="37F78F83" w14:textId="77777777" w:rsidR="002578CA" w:rsidRPr="00537128" w:rsidRDefault="002578CA" w:rsidP="002578CA">
      <w:pPr>
        <w:spacing w:after="0" w:line="240" w:lineRule="auto"/>
        <w:jc w:val="both"/>
        <w:rPr>
          <w:rFonts w:ascii="Calibri" w:eastAsia="Times New Roman" w:hAnsi="Calibri" w:cs="Calibri"/>
          <w:b/>
          <w:bCs/>
          <w:color w:val="000000" w:themeColor="text1"/>
          <w:sz w:val="14"/>
          <w:szCs w:val="14"/>
          <w:lang w:val="en-US" w:eastAsia="hr-HR"/>
        </w:rPr>
      </w:pPr>
    </w:p>
    <w:p w14:paraId="2F49569A" w14:textId="06BF9665" w:rsidR="002578CA" w:rsidRPr="00537128" w:rsidRDefault="00B357CE" w:rsidP="002578CA">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2B8C2CC3" w14:textId="77777777" w:rsidR="002578CA" w:rsidRPr="00537128" w:rsidRDefault="002578CA" w:rsidP="002578CA">
      <w:pPr>
        <w:tabs>
          <w:tab w:val="left" w:pos="709"/>
          <w:tab w:val="left" w:pos="851"/>
        </w:tabs>
        <w:spacing w:after="0" w:line="240" w:lineRule="auto"/>
        <w:jc w:val="both"/>
        <w:rPr>
          <w:rFonts w:ascii="Calibri" w:eastAsia="Times New Roman" w:hAnsi="Calibri" w:cs="Arial"/>
          <w:color w:val="000000" w:themeColor="text1"/>
          <w:sz w:val="18"/>
          <w:szCs w:val="18"/>
          <w:lang w:val="en-US"/>
        </w:rPr>
      </w:pPr>
    </w:p>
    <w:p w14:paraId="3B9DEE03" w14:textId="7EF95390" w:rsidR="002578CA" w:rsidRPr="00537128" w:rsidRDefault="00B357CE" w:rsidP="002578CA">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2578CA" w:rsidRPr="00537128">
        <w:rPr>
          <w:rFonts w:ascii="Calibri" w:eastAsia="Times New Roman" w:hAnsi="Calibri" w:cs="Arial"/>
          <w:b/>
          <w:color w:val="000000" w:themeColor="text1"/>
          <w:lang w:val="en-US"/>
        </w:rPr>
        <w:t xml:space="preserve">   Credit risk (continued)</w:t>
      </w:r>
    </w:p>
    <w:p w14:paraId="34C0B345" w14:textId="77777777" w:rsidR="002578CA" w:rsidRPr="00537128" w:rsidRDefault="002578CA" w:rsidP="002578CA">
      <w:pPr>
        <w:spacing w:after="0" w:line="240" w:lineRule="auto"/>
        <w:jc w:val="both"/>
        <w:rPr>
          <w:rFonts w:ascii="Calibri" w:eastAsia="Times New Roman" w:hAnsi="Calibri" w:cs="Arial"/>
          <w:b/>
          <w:color w:val="000000" w:themeColor="text1"/>
          <w:sz w:val="12"/>
          <w:szCs w:val="12"/>
          <w:lang w:val="en-US"/>
        </w:rPr>
      </w:pPr>
    </w:p>
    <w:p w14:paraId="5FAA3129" w14:textId="77777777" w:rsidR="002578CA" w:rsidRPr="00537128" w:rsidRDefault="002578CA" w:rsidP="002578CA">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Concentration of risk and maximum credit risk exposure (continued)</w:t>
      </w:r>
    </w:p>
    <w:p w14:paraId="1F2CDC98" w14:textId="77777777" w:rsidR="002578CA" w:rsidRPr="00537128" w:rsidRDefault="002578CA" w:rsidP="002578CA">
      <w:pPr>
        <w:spacing w:after="0" w:line="240" w:lineRule="auto"/>
        <w:jc w:val="both"/>
        <w:rPr>
          <w:rFonts w:ascii="Calibri" w:eastAsia="Times New Roman" w:hAnsi="Calibri" w:cs="Arial"/>
          <w:b/>
          <w:color w:val="000000" w:themeColor="text1"/>
          <w:sz w:val="12"/>
          <w:szCs w:val="12"/>
          <w:lang w:val="en-US"/>
        </w:rPr>
      </w:pPr>
    </w:p>
    <w:p w14:paraId="17177FE0" w14:textId="5FD1A419" w:rsidR="00E922D1" w:rsidRPr="00537128" w:rsidRDefault="002578CA" w:rsidP="00364B19">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Concentration of assets and guarantees and commitments, according to industry, net exposure, before and after the effect of mitigation through collateral received:</w:t>
      </w:r>
    </w:p>
    <w:p w14:paraId="08914A26" w14:textId="48D638F8" w:rsidR="00FE04D4" w:rsidRPr="00537128" w:rsidRDefault="00FE04D4" w:rsidP="00364B19">
      <w:pPr>
        <w:spacing w:after="0" w:line="240" w:lineRule="auto"/>
        <w:jc w:val="both"/>
        <w:rPr>
          <w:rFonts w:ascii="Calibri" w:eastAsia="Times New Roman" w:hAnsi="Calibri" w:cs="Arial"/>
          <w:bCs/>
          <w:color w:val="000000" w:themeColor="text1"/>
          <w:sz w:val="18"/>
          <w:szCs w:val="18"/>
          <w:lang w:val="en-US"/>
        </w:rPr>
      </w:pPr>
    </w:p>
    <w:tbl>
      <w:tblPr>
        <w:tblpPr w:leftFromText="180" w:rightFromText="180" w:vertAnchor="text" w:horzAnchor="margin" w:tblpY="-81"/>
        <w:tblOverlap w:val="never"/>
        <w:tblW w:w="5000" w:type="pct"/>
        <w:tblLayout w:type="fixed"/>
        <w:tblCellMar>
          <w:left w:w="30" w:type="dxa"/>
          <w:right w:w="30" w:type="dxa"/>
        </w:tblCellMar>
        <w:tblLook w:val="0000" w:firstRow="0" w:lastRow="0" w:firstColumn="0" w:lastColumn="0" w:noHBand="0" w:noVBand="0"/>
      </w:tblPr>
      <w:tblGrid>
        <w:gridCol w:w="4126"/>
        <w:gridCol w:w="1236"/>
        <w:gridCol w:w="1167"/>
        <w:gridCol w:w="1306"/>
        <w:gridCol w:w="1237"/>
      </w:tblGrid>
      <w:tr w:rsidR="00FE04D4" w:rsidRPr="00537128" w14:paraId="1F234A39" w14:textId="77777777" w:rsidTr="00FE04D4">
        <w:trPr>
          <w:cantSplit/>
          <w:trHeight w:val="1985"/>
          <w:tblHeader/>
        </w:trPr>
        <w:tc>
          <w:tcPr>
            <w:tcW w:w="2274" w:type="pct"/>
            <w:vAlign w:val="bottom"/>
          </w:tcPr>
          <w:p w14:paraId="2AEA083B" w14:textId="77777777" w:rsidR="00FE04D4" w:rsidRPr="00537128" w:rsidRDefault="00FE04D4" w:rsidP="00FE04D4">
            <w:pPr>
              <w:tabs>
                <w:tab w:val="right" w:pos="1202"/>
              </w:tabs>
              <w:spacing w:after="0" w:line="240" w:lineRule="atLeast"/>
              <w:outlineLvl w:val="0"/>
              <w:rPr>
                <w:rFonts w:ascii="Calibri" w:eastAsia="Times New Roman" w:hAnsi="Calibri" w:cs="Arial"/>
                <w:b/>
                <w:sz w:val="19"/>
                <w:szCs w:val="19"/>
                <w:lang w:val="en-US"/>
              </w:rPr>
            </w:pPr>
            <w:bookmarkStart w:id="796" w:name="_Toc4060927"/>
            <w:r w:rsidRPr="00537128">
              <w:rPr>
                <w:rFonts w:ascii="Calibri" w:eastAsia="Times New Roman" w:hAnsi="Calibri" w:cs="Arial"/>
                <w:b/>
                <w:sz w:val="19"/>
                <w:szCs w:val="19"/>
                <w:lang w:val="en-US"/>
              </w:rPr>
              <w:t>Bank</w:t>
            </w:r>
            <w:bookmarkEnd w:id="796"/>
          </w:p>
        </w:tc>
        <w:tc>
          <w:tcPr>
            <w:tcW w:w="681" w:type="pct"/>
            <w:vAlign w:val="center"/>
          </w:tcPr>
          <w:p w14:paraId="6F4A8856"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195D4155"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29A0178C"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7DB41C24"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01A87975"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37483208"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67B41D0B"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03CB26E3" w14:textId="77777777" w:rsidR="00FE04D4" w:rsidRPr="00537128" w:rsidRDefault="00FE04D4" w:rsidP="00FE04D4">
            <w:pPr>
              <w:tabs>
                <w:tab w:val="right" w:pos="1202"/>
              </w:tabs>
              <w:spacing w:after="0" w:line="240" w:lineRule="atLeast"/>
              <w:jc w:val="right"/>
              <w:outlineLvl w:val="0"/>
              <w:rPr>
                <w:rFonts w:ascii="Calibri" w:eastAsia="Times New Roman" w:hAnsi="Calibri" w:cs="Arial"/>
                <w:b/>
                <w:sz w:val="19"/>
                <w:szCs w:val="19"/>
                <w:lang w:val="en-US"/>
              </w:rPr>
            </w:pPr>
            <w:bookmarkStart w:id="797" w:name="_Toc4060928"/>
            <w:r w:rsidRPr="00537128">
              <w:rPr>
                <w:rFonts w:ascii="Calibri" w:eastAsia="Calibri" w:hAnsi="Calibri" w:cs="Arial"/>
                <w:b/>
                <w:sz w:val="19"/>
                <w:szCs w:val="19"/>
                <w:lang w:val="en-US"/>
              </w:rPr>
              <w:t>Highest exposure</w:t>
            </w:r>
            <w:bookmarkEnd w:id="797"/>
          </w:p>
        </w:tc>
        <w:tc>
          <w:tcPr>
            <w:tcW w:w="643" w:type="pct"/>
            <w:vAlign w:val="center"/>
          </w:tcPr>
          <w:p w14:paraId="239F778E"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37BA590E" w14:textId="77777777" w:rsidR="00FE04D4" w:rsidRPr="00537128" w:rsidRDefault="00FE04D4" w:rsidP="00FE04D4">
            <w:pPr>
              <w:tabs>
                <w:tab w:val="right" w:pos="1202"/>
              </w:tabs>
              <w:spacing w:after="0" w:line="240" w:lineRule="atLeast"/>
              <w:jc w:val="right"/>
              <w:outlineLvl w:val="0"/>
              <w:rPr>
                <w:rFonts w:ascii="Calibri" w:eastAsia="Times New Roman" w:hAnsi="Calibri" w:cs="Arial"/>
                <w:b/>
                <w:sz w:val="19"/>
                <w:szCs w:val="19"/>
                <w:lang w:val="en-US"/>
              </w:rPr>
            </w:pPr>
            <w:bookmarkStart w:id="798" w:name="_Toc4060929"/>
            <w:r w:rsidRPr="00537128">
              <w:rPr>
                <w:rFonts w:ascii="Calibri" w:eastAsia="Calibri" w:hAnsi="Calibri" w:cs="Arial"/>
                <w:b/>
                <w:sz w:val="19"/>
                <w:szCs w:val="19"/>
                <w:lang w:val="en-US"/>
              </w:rPr>
              <w:t>Highest exposure after the effect of mitigation through collateral received</w:t>
            </w:r>
            <w:bookmarkEnd w:id="798"/>
          </w:p>
        </w:tc>
        <w:tc>
          <w:tcPr>
            <w:tcW w:w="720" w:type="pct"/>
            <w:vAlign w:val="center"/>
          </w:tcPr>
          <w:p w14:paraId="02F73918"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6155FA60"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3A73189C"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6C83DA15"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1952476D"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048AD461"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5D022E0E"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37ADBE5B" w14:textId="77777777" w:rsidR="00FE04D4" w:rsidRPr="00537128" w:rsidRDefault="00FE04D4" w:rsidP="00FE04D4">
            <w:pPr>
              <w:tabs>
                <w:tab w:val="right" w:pos="1202"/>
              </w:tabs>
              <w:spacing w:after="0" w:line="240" w:lineRule="atLeast"/>
              <w:jc w:val="right"/>
              <w:outlineLvl w:val="0"/>
              <w:rPr>
                <w:rFonts w:ascii="Calibri" w:eastAsia="Times New Roman" w:hAnsi="Calibri" w:cs="Arial"/>
                <w:b/>
                <w:sz w:val="19"/>
                <w:szCs w:val="19"/>
                <w:lang w:val="en-US"/>
              </w:rPr>
            </w:pPr>
            <w:bookmarkStart w:id="799" w:name="_Toc4060930"/>
            <w:r w:rsidRPr="00537128">
              <w:rPr>
                <w:rFonts w:ascii="Calibri" w:eastAsia="Calibri" w:hAnsi="Calibri" w:cs="Arial"/>
                <w:b/>
                <w:sz w:val="19"/>
                <w:szCs w:val="19"/>
                <w:lang w:val="en-US"/>
              </w:rPr>
              <w:t>Highest exposure</w:t>
            </w:r>
            <w:bookmarkEnd w:id="799"/>
          </w:p>
        </w:tc>
        <w:tc>
          <w:tcPr>
            <w:tcW w:w="682" w:type="pct"/>
            <w:vAlign w:val="center"/>
          </w:tcPr>
          <w:p w14:paraId="1F6C78C9"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1F6274B0" w14:textId="77777777" w:rsidR="00FE04D4" w:rsidRPr="00537128" w:rsidRDefault="00FE04D4" w:rsidP="00FE04D4">
            <w:pPr>
              <w:tabs>
                <w:tab w:val="right" w:pos="1202"/>
              </w:tabs>
              <w:spacing w:after="0" w:line="240" w:lineRule="atLeast"/>
              <w:jc w:val="right"/>
              <w:outlineLvl w:val="0"/>
              <w:rPr>
                <w:rFonts w:ascii="Calibri" w:eastAsia="Times New Roman" w:hAnsi="Calibri" w:cs="Arial"/>
                <w:b/>
                <w:sz w:val="19"/>
                <w:szCs w:val="19"/>
                <w:lang w:val="en-US"/>
              </w:rPr>
            </w:pPr>
            <w:bookmarkStart w:id="800" w:name="_Toc4060931"/>
            <w:r w:rsidRPr="00537128">
              <w:rPr>
                <w:rFonts w:ascii="Calibri" w:eastAsia="Calibri" w:hAnsi="Calibri" w:cs="Arial"/>
                <w:b/>
                <w:sz w:val="19"/>
                <w:szCs w:val="19"/>
                <w:lang w:val="en-US"/>
              </w:rPr>
              <w:t>Highest exposure after the effect of mitigation through collateral received</w:t>
            </w:r>
            <w:bookmarkEnd w:id="800"/>
          </w:p>
        </w:tc>
      </w:tr>
      <w:tr w:rsidR="00FE04D4" w:rsidRPr="00537128" w14:paraId="42B3F85E" w14:textId="77777777" w:rsidTr="00FE04D4">
        <w:trPr>
          <w:cantSplit/>
          <w:trHeight w:val="253"/>
          <w:tblHeader/>
        </w:trPr>
        <w:tc>
          <w:tcPr>
            <w:tcW w:w="2274" w:type="pct"/>
          </w:tcPr>
          <w:p w14:paraId="27E32EB8" w14:textId="77777777" w:rsidR="00FE04D4" w:rsidRPr="00537128" w:rsidRDefault="00FE04D4" w:rsidP="00FE04D4">
            <w:pPr>
              <w:spacing w:after="0" w:line="280" w:lineRule="exact"/>
              <w:ind w:left="113" w:hanging="113"/>
              <w:rPr>
                <w:rFonts w:ascii="Calibri" w:eastAsia="Calibri" w:hAnsi="Calibri" w:cs="Arial"/>
                <w:sz w:val="19"/>
                <w:szCs w:val="19"/>
                <w:lang w:val="en-US"/>
              </w:rPr>
            </w:pPr>
          </w:p>
        </w:tc>
        <w:tc>
          <w:tcPr>
            <w:tcW w:w="681" w:type="pct"/>
            <w:vAlign w:val="center"/>
          </w:tcPr>
          <w:p w14:paraId="192560A9" w14:textId="77777777"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bookmarkStart w:id="801" w:name="_Toc4060932"/>
            <w:r w:rsidRPr="00537128">
              <w:rPr>
                <w:rFonts w:ascii="Calibri" w:eastAsia="Calibri" w:hAnsi="Calibri" w:cs="Arial"/>
                <w:b/>
                <w:sz w:val="19"/>
                <w:szCs w:val="19"/>
                <w:lang w:val="en-US"/>
              </w:rPr>
              <w:t>31 March</w:t>
            </w:r>
          </w:p>
          <w:bookmarkEnd w:id="801"/>
          <w:p w14:paraId="518423A8" w14:textId="39696870"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202</w:t>
            </w:r>
            <w:r w:rsidR="005000ED">
              <w:rPr>
                <w:rFonts w:ascii="Calibri" w:eastAsia="Calibri" w:hAnsi="Calibri" w:cs="Arial"/>
                <w:b/>
                <w:sz w:val="19"/>
                <w:szCs w:val="19"/>
                <w:lang w:val="en-US"/>
              </w:rPr>
              <w:t>2</w:t>
            </w:r>
          </w:p>
        </w:tc>
        <w:tc>
          <w:tcPr>
            <w:tcW w:w="643" w:type="pct"/>
            <w:vAlign w:val="center"/>
          </w:tcPr>
          <w:p w14:paraId="028AF5FB" w14:textId="77777777"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bookmarkStart w:id="802" w:name="_Hlk68874416"/>
            <w:r w:rsidRPr="00537128">
              <w:rPr>
                <w:rFonts w:ascii="Calibri" w:eastAsia="Calibri" w:hAnsi="Calibri" w:cs="Arial"/>
                <w:b/>
                <w:sz w:val="19"/>
                <w:szCs w:val="19"/>
                <w:lang w:val="en-US"/>
              </w:rPr>
              <w:t>31 March</w:t>
            </w:r>
          </w:p>
          <w:p w14:paraId="5558C390" w14:textId="58BDABBD"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202</w:t>
            </w:r>
            <w:bookmarkEnd w:id="802"/>
            <w:r w:rsidR="005000ED">
              <w:rPr>
                <w:rFonts w:ascii="Calibri" w:eastAsia="Calibri" w:hAnsi="Calibri" w:cs="Arial"/>
                <w:b/>
                <w:sz w:val="19"/>
                <w:szCs w:val="19"/>
                <w:lang w:val="en-US"/>
              </w:rPr>
              <w:t>2</w:t>
            </w:r>
          </w:p>
        </w:tc>
        <w:tc>
          <w:tcPr>
            <w:tcW w:w="720" w:type="pct"/>
            <w:vAlign w:val="center"/>
          </w:tcPr>
          <w:p w14:paraId="49535BDB" w14:textId="61C0FCE6"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31 December 202</w:t>
            </w:r>
            <w:r w:rsidR="005000ED">
              <w:rPr>
                <w:rFonts w:ascii="Calibri" w:eastAsia="Calibri" w:hAnsi="Calibri" w:cs="Arial"/>
                <w:b/>
                <w:sz w:val="19"/>
                <w:szCs w:val="19"/>
                <w:lang w:val="en-US"/>
              </w:rPr>
              <w:t>1</w:t>
            </w:r>
          </w:p>
        </w:tc>
        <w:tc>
          <w:tcPr>
            <w:tcW w:w="682" w:type="pct"/>
            <w:vAlign w:val="center"/>
          </w:tcPr>
          <w:p w14:paraId="1DF7B3A8" w14:textId="42E69AB4"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31 December 202</w:t>
            </w:r>
            <w:r w:rsidR="005000ED">
              <w:rPr>
                <w:rFonts w:ascii="Calibri" w:eastAsia="Calibri" w:hAnsi="Calibri" w:cs="Arial"/>
                <w:b/>
                <w:sz w:val="19"/>
                <w:szCs w:val="19"/>
                <w:lang w:val="en-US"/>
              </w:rPr>
              <w:t>1</w:t>
            </w:r>
          </w:p>
        </w:tc>
      </w:tr>
      <w:tr w:rsidR="00FE04D4" w:rsidRPr="00537128" w14:paraId="674526B1" w14:textId="77777777" w:rsidTr="00FE04D4">
        <w:trPr>
          <w:cantSplit/>
          <w:trHeight w:val="253"/>
          <w:tblHeader/>
        </w:trPr>
        <w:tc>
          <w:tcPr>
            <w:tcW w:w="2274" w:type="pct"/>
          </w:tcPr>
          <w:p w14:paraId="0D4BFACE" w14:textId="77777777" w:rsidR="00FE04D4" w:rsidRPr="00537128" w:rsidRDefault="00FE04D4" w:rsidP="00FE04D4">
            <w:pPr>
              <w:spacing w:after="0" w:line="280" w:lineRule="exact"/>
              <w:ind w:left="113" w:hanging="113"/>
              <w:rPr>
                <w:rFonts w:ascii="Calibri" w:eastAsia="Calibri" w:hAnsi="Calibri" w:cs="Arial"/>
                <w:sz w:val="19"/>
                <w:szCs w:val="19"/>
                <w:lang w:val="en-US"/>
              </w:rPr>
            </w:pPr>
          </w:p>
        </w:tc>
        <w:tc>
          <w:tcPr>
            <w:tcW w:w="681" w:type="pct"/>
          </w:tcPr>
          <w:p w14:paraId="36E15D58" w14:textId="77777777"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bookmarkStart w:id="803" w:name="_Toc4060936"/>
            <w:r w:rsidRPr="00537128">
              <w:rPr>
                <w:rFonts w:ascii="Calibri" w:eastAsia="Times New Roman" w:hAnsi="Calibri" w:cs="Arial"/>
                <w:b/>
                <w:sz w:val="19"/>
                <w:szCs w:val="19"/>
                <w:lang w:val="en-US"/>
              </w:rPr>
              <w:t>HRK ‘000</w:t>
            </w:r>
            <w:bookmarkEnd w:id="803"/>
          </w:p>
        </w:tc>
        <w:tc>
          <w:tcPr>
            <w:tcW w:w="643" w:type="pct"/>
          </w:tcPr>
          <w:p w14:paraId="7EC6CEC2" w14:textId="77777777"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bookmarkStart w:id="804" w:name="_Toc4060937"/>
            <w:r w:rsidRPr="00537128">
              <w:rPr>
                <w:rFonts w:ascii="Calibri" w:eastAsia="Times New Roman" w:hAnsi="Calibri" w:cs="Arial"/>
                <w:b/>
                <w:bCs/>
                <w:sz w:val="19"/>
                <w:szCs w:val="19"/>
                <w:lang w:val="en-US"/>
              </w:rPr>
              <w:t>HRK ‘000</w:t>
            </w:r>
            <w:bookmarkEnd w:id="804"/>
          </w:p>
        </w:tc>
        <w:tc>
          <w:tcPr>
            <w:tcW w:w="720" w:type="pct"/>
          </w:tcPr>
          <w:p w14:paraId="2BF6E7DB" w14:textId="34ECB08A"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Times New Roman" w:hAnsi="Calibri" w:cs="Arial"/>
                <w:b/>
                <w:sz w:val="19"/>
                <w:szCs w:val="19"/>
                <w:lang w:val="en-US"/>
              </w:rPr>
              <w:t>HRK ‘000</w:t>
            </w:r>
          </w:p>
        </w:tc>
        <w:tc>
          <w:tcPr>
            <w:tcW w:w="682" w:type="pct"/>
          </w:tcPr>
          <w:p w14:paraId="3A298E4E" w14:textId="09A3DA7D"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Times New Roman" w:hAnsi="Calibri" w:cs="Arial"/>
                <w:b/>
                <w:bCs/>
                <w:sz w:val="19"/>
                <w:szCs w:val="19"/>
                <w:lang w:val="en-US"/>
              </w:rPr>
              <w:t>HRK ‘000</w:t>
            </w:r>
          </w:p>
        </w:tc>
      </w:tr>
      <w:tr w:rsidR="00FE04D4" w:rsidRPr="00537128" w14:paraId="53260A14" w14:textId="77777777" w:rsidTr="00FE04D4">
        <w:trPr>
          <w:cantSplit/>
          <w:trHeight w:val="121"/>
          <w:tblHeader/>
        </w:trPr>
        <w:tc>
          <w:tcPr>
            <w:tcW w:w="2274" w:type="pct"/>
          </w:tcPr>
          <w:p w14:paraId="62EA44C4" w14:textId="77777777" w:rsidR="00FE04D4" w:rsidRPr="00537128" w:rsidRDefault="00FE04D4" w:rsidP="00FE04D4">
            <w:pPr>
              <w:tabs>
                <w:tab w:val="right" w:pos="1202"/>
              </w:tabs>
              <w:spacing w:after="0" w:line="240" w:lineRule="auto"/>
              <w:ind w:left="113" w:hanging="113"/>
              <w:jc w:val="right"/>
              <w:outlineLvl w:val="0"/>
              <w:rPr>
                <w:rFonts w:ascii="Calibri" w:eastAsia="Calibri" w:hAnsi="Calibri" w:cs="Arial"/>
                <w:bCs/>
                <w:sz w:val="10"/>
                <w:szCs w:val="10"/>
                <w:lang w:val="en-US"/>
              </w:rPr>
            </w:pPr>
          </w:p>
        </w:tc>
        <w:tc>
          <w:tcPr>
            <w:tcW w:w="681" w:type="pct"/>
            <w:vAlign w:val="center"/>
          </w:tcPr>
          <w:p w14:paraId="505D05B1" w14:textId="77777777" w:rsidR="00FE04D4" w:rsidRPr="00537128" w:rsidRDefault="00FE04D4" w:rsidP="00FE04D4">
            <w:pPr>
              <w:tabs>
                <w:tab w:val="right" w:pos="1202"/>
              </w:tabs>
              <w:spacing w:after="0" w:line="240" w:lineRule="auto"/>
              <w:ind w:left="113" w:hanging="113"/>
              <w:jc w:val="right"/>
              <w:outlineLvl w:val="0"/>
              <w:rPr>
                <w:rFonts w:ascii="Calibri" w:eastAsia="Calibri" w:hAnsi="Calibri" w:cs="Arial"/>
                <w:bCs/>
                <w:sz w:val="10"/>
                <w:szCs w:val="10"/>
                <w:lang w:val="en-US"/>
              </w:rPr>
            </w:pPr>
          </w:p>
        </w:tc>
        <w:tc>
          <w:tcPr>
            <w:tcW w:w="643" w:type="pct"/>
            <w:vAlign w:val="center"/>
          </w:tcPr>
          <w:p w14:paraId="1BB0461F" w14:textId="77777777" w:rsidR="00FE04D4" w:rsidRPr="00537128" w:rsidRDefault="00FE04D4" w:rsidP="00FE04D4">
            <w:pPr>
              <w:tabs>
                <w:tab w:val="right" w:pos="1202"/>
              </w:tabs>
              <w:spacing w:after="0" w:line="240" w:lineRule="auto"/>
              <w:ind w:left="113" w:hanging="113"/>
              <w:jc w:val="right"/>
              <w:outlineLvl w:val="0"/>
              <w:rPr>
                <w:rFonts w:ascii="Calibri" w:eastAsia="Calibri" w:hAnsi="Calibri" w:cs="Arial"/>
                <w:bCs/>
                <w:sz w:val="10"/>
                <w:szCs w:val="10"/>
                <w:lang w:val="en-US"/>
              </w:rPr>
            </w:pPr>
          </w:p>
        </w:tc>
        <w:tc>
          <w:tcPr>
            <w:tcW w:w="720" w:type="pct"/>
            <w:vAlign w:val="center"/>
          </w:tcPr>
          <w:p w14:paraId="547EDF8A" w14:textId="77777777" w:rsidR="00FE04D4" w:rsidRPr="00537128" w:rsidRDefault="00FE04D4" w:rsidP="00FE04D4">
            <w:pPr>
              <w:tabs>
                <w:tab w:val="right" w:pos="1202"/>
              </w:tabs>
              <w:spacing w:after="0" w:line="240" w:lineRule="auto"/>
              <w:ind w:left="113" w:hanging="113"/>
              <w:jc w:val="right"/>
              <w:outlineLvl w:val="0"/>
              <w:rPr>
                <w:rFonts w:ascii="Calibri" w:eastAsia="Calibri" w:hAnsi="Calibri" w:cs="Arial"/>
                <w:bCs/>
                <w:sz w:val="10"/>
                <w:szCs w:val="10"/>
                <w:lang w:val="en-US"/>
              </w:rPr>
            </w:pPr>
          </w:p>
        </w:tc>
        <w:tc>
          <w:tcPr>
            <w:tcW w:w="682" w:type="pct"/>
            <w:vAlign w:val="center"/>
          </w:tcPr>
          <w:p w14:paraId="22528787" w14:textId="77777777" w:rsidR="00FE04D4" w:rsidRPr="00537128" w:rsidRDefault="00FE04D4" w:rsidP="00FE04D4">
            <w:pPr>
              <w:tabs>
                <w:tab w:val="right" w:pos="1202"/>
              </w:tabs>
              <w:spacing w:after="0" w:line="240" w:lineRule="auto"/>
              <w:ind w:left="113" w:hanging="113"/>
              <w:jc w:val="right"/>
              <w:outlineLvl w:val="0"/>
              <w:rPr>
                <w:rFonts w:ascii="Calibri" w:eastAsia="Calibri" w:hAnsi="Calibri" w:cs="Arial"/>
                <w:bCs/>
                <w:sz w:val="10"/>
                <w:szCs w:val="10"/>
                <w:lang w:val="en-US"/>
              </w:rPr>
            </w:pPr>
          </w:p>
        </w:tc>
      </w:tr>
      <w:tr w:rsidR="0014788E" w:rsidRPr="00537128" w14:paraId="0ADFF8DA" w14:textId="77777777" w:rsidTr="00A1123E">
        <w:trPr>
          <w:cantSplit/>
          <w:trHeight w:val="253"/>
          <w:tblHeader/>
        </w:trPr>
        <w:tc>
          <w:tcPr>
            <w:tcW w:w="2274" w:type="pct"/>
            <w:vAlign w:val="bottom"/>
          </w:tcPr>
          <w:p w14:paraId="755D7868" w14:textId="77777777" w:rsidR="0014788E" w:rsidRPr="00537128" w:rsidRDefault="0014788E" w:rsidP="0014788E">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Financial intermediation and insurance </w:t>
            </w:r>
          </w:p>
        </w:tc>
        <w:tc>
          <w:tcPr>
            <w:tcW w:w="681" w:type="pct"/>
            <w:tcBorders>
              <w:top w:val="nil"/>
              <w:left w:val="nil"/>
              <w:bottom w:val="nil"/>
              <w:right w:val="nil"/>
            </w:tcBorders>
            <w:shd w:val="clear" w:color="auto" w:fill="auto"/>
            <w:vAlign w:val="bottom"/>
          </w:tcPr>
          <w:p w14:paraId="1DE11123" w14:textId="6BC517B1" w:rsidR="0014788E" w:rsidRPr="00A1123E" w:rsidRDefault="0014788E" w:rsidP="0014788E">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10</w:t>
            </w:r>
            <w:r w:rsidR="00953512">
              <w:rPr>
                <w:rFonts w:ascii="Calibri" w:hAnsi="Calibri" w:cs="Calibri"/>
                <w:sz w:val="19"/>
                <w:szCs w:val="19"/>
              </w:rPr>
              <w:t>,</w:t>
            </w:r>
            <w:r w:rsidRPr="007A49AD">
              <w:rPr>
                <w:rFonts w:ascii="Calibri" w:hAnsi="Calibri" w:cs="Calibri"/>
                <w:sz w:val="19"/>
                <w:szCs w:val="19"/>
              </w:rPr>
              <w:t>325</w:t>
            </w:r>
            <w:r w:rsidR="00953512">
              <w:rPr>
                <w:rFonts w:ascii="Calibri" w:hAnsi="Calibri" w:cs="Calibri"/>
                <w:sz w:val="19"/>
                <w:szCs w:val="19"/>
              </w:rPr>
              <w:t>,</w:t>
            </w:r>
            <w:r w:rsidRPr="007A49AD">
              <w:rPr>
                <w:rFonts w:ascii="Calibri" w:hAnsi="Calibri" w:cs="Calibri"/>
                <w:sz w:val="19"/>
                <w:szCs w:val="19"/>
              </w:rPr>
              <w:t>691</w:t>
            </w:r>
          </w:p>
        </w:tc>
        <w:tc>
          <w:tcPr>
            <w:tcW w:w="643" w:type="pct"/>
            <w:tcBorders>
              <w:top w:val="nil"/>
              <w:left w:val="nil"/>
              <w:bottom w:val="nil"/>
              <w:right w:val="nil"/>
            </w:tcBorders>
            <w:shd w:val="clear" w:color="auto" w:fill="auto"/>
            <w:vAlign w:val="bottom"/>
          </w:tcPr>
          <w:p w14:paraId="5E5B4028" w14:textId="09289C31" w:rsidR="0014788E" w:rsidRPr="00A1123E" w:rsidRDefault="0014788E" w:rsidP="0014788E">
            <w:pPr>
              <w:tabs>
                <w:tab w:val="right" w:pos="1202"/>
              </w:tabs>
              <w:spacing w:after="0" w:line="240" w:lineRule="auto"/>
              <w:jc w:val="right"/>
              <w:outlineLvl w:val="0"/>
              <w:rPr>
                <w:rFonts w:ascii="Calibri" w:eastAsia="Times New Roman" w:hAnsi="Calibri" w:cs="Calibri"/>
                <w:color w:val="000000"/>
                <w:sz w:val="19"/>
                <w:szCs w:val="19"/>
                <w:lang w:val="en-US"/>
              </w:rPr>
            </w:pPr>
            <w:r>
              <w:rPr>
                <w:rFonts w:ascii="Calibri" w:hAnsi="Calibri" w:cs="Calibri"/>
                <w:sz w:val="19"/>
                <w:szCs w:val="19"/>
              </w:rPr>
              <w:t>-</w:t>
            </w:r>
          </w:p>
        </w:tc>
        <w:tc>
          <w:tcPr>
            <w:tcW w:w="720" w:type="pct"/>
            <w:tcBorders>
              <w:top w:val="nil"/>
              <w:left w:val="nil"/>
              <w:bottom w:val="nil"/>
              <w:right w:val="nil"/>
            </w:tcBorders>
            <w:shd w:val="clear" w:color="auto" w:fill="auto"/>
            <w:vAlign w:val="bottom"/>
          </w:tcPr>
          <w:p w14:paraId="6DB93391" w14:textId="250F1E59" w:rsidR="0014788E" w:rsidRPr="00537128" w:rsidRDefault="0014788E" w:rsidP="0014788E">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10</w:t>
            </w:r>
            <w:r>
              <w:rPr>
                <w:sz w:val="19"/>
                <w:szCs w:val="19"/>
              </w:rPr>
              <w:t>,</w:t>
            </w:r>
            <w:r w:rsidRPr="001B1B87">
              <w:rPr>
                <w:sz w:val="19"/>
                <w:szCs w:val="19"/>
              </w:rPr>
              <w:t>801</w:t>
            </w:r>
            <w:r>
              <w:rPr>
                <w:sz w:val="19"/>
                <w:szCs w:val="19"/>
              </w:rPr>
              <w:t>,</w:t>
            </w:r>
            <w:r w:rsidRPr="001B1B87">
              <w:rPr>
                <w:sz w:val="19"/>
                <w:szCs w:val="19"/>
              </w:rPr>
              <w:t>196</w:t>
            </w:r>
          </w:p>
        </w:tc>
        <w:tc>
          <w:tcPr>
            <w:tcW w:w="682" w:type="pct"/>
            <w:tcBorders>
              <w:top w:val="nil"/>
              <w:left w:val="nil"/>
              <w:bottom w:val="nil"/>
              <w:right w:val="nil"/>
            </w:tcBorders>
            <w:shd w:val="clear" w:color="auto" w:fill="auto"/>
            <w:vAlign w:val="bottom"/>
          </w:tcPr>
          <w:p w14:paraId="74FC373C" w14:textId="7A53EC4F" w:rsidR="0014788E" w:rsidRPr="00537128" w:rsidRDefault="0014788E" w:rsidP="0014788E">
            <w:pPr>
              <w:tabs>
                <w:tab w:val="right" w:pos="1202"/>
              </w:tabs>
              <w:spacing w:after="0" w:line="240" w:lineRule="auto"/>
              <w:jc w:val="right"/>
              <w:outlineLvl w:val="0"/>
              <w:rPr>
                <w:rFonts w:ascii="Calibri" w:eastAsia="Calibri" w:hAnsi="Calibri" w:cs="Times New Roman"/>
                <w:sz w:val="19"/>
                <w:szCs w:val="19"/>
                <w:lang w:val="en-US"/>
              </w:rPr>
            </w:pPr>
            <w:r>
              <w:rPr>
                <w:sz w:val="19"/>
                <w:szCs w:val="19"/>
              </w:rPr>
              <w:t>-</w:t>
            </w:r>
          </w:p>
        </w:tc>
      </w:tr>
      <w:tr w:rsidR="0014788E" w:rsidRPr="00537128" w14:paraId="653F1BD7" w14:textId="77777777" w:rsidTr="00A1123E">
        <w:trPr>
          <w:cantSplit/>
          <w:trHeight w:val="253"/>
          <w:tblHeader/>
        </w:trPr>
        <w:tc>
          <w:tcPr>
            <w:tcW w:w="2274" w:type="pct"/>
            <w:vAlign w:val="bottom"/>
          </w:tcPr>
          <w:p w14:paraId="4D5A8701" w14:textId="77777777" w:rsidR="0014788E" w:rsidRPr="00537128" w:rsidRDefault="0014788E" w:rsidP="0014788E">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Water and electric supply and other infrastructure </w:t>
            </w:r>
          </w:p>
        </w:tc>
        <w:tc>
          <w:tcPr>
            <w:tcW w:w="681" w:type="pct"/>
            <w:tcBorders>
              <w:top w:val="nil"/>
              <w:left w:val="nil"/>
              <w:bottom w:val="nil"/>
              <w:right w:val="nil"/>
            </w:tcBorders>
            <w:shd w:val="clear" w:color="auto" w:fill="auto"/>
            <w:vAlign w:val="bottom"/>
          </w:tcPr>
          <w:p w14:paraId="24FA19F7" w14:textId="3DC9EC04" w:rsidR="0014788E" w:rsidRPr="00A1123E" w:rsidRDefault="0014788E" w:rsidP="0014788E">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1</w:t>
            </w:r>
            <w:r w:rsidR="00953512">
              <w:rPr>
                <w:rFonts w:ascii="Calibri" w:hAnsi="Calibri" w:cs="Calibri"/>
                <w:sz w:val="19"/>
                <w:szCs w:val="19"/>
              </w:rPr>
              <w:t>,</w:t>
            </w:r>
            <w:r w:rsidRPr="007A49AD">
              <w:rPr>
                <w:rFonts w:ascii="Calibri" w:hAnsi="Calibri" w:cs="Calibri"/>
                <w:sz w:val="19"/>
                <w:szCs w:val="19"/>
              </w:rPr>
              <w:t>918</w:t>
            </w:r>
            <w:r w:rsidR="00953512">
              <w:rPr>
                <w:rFonts w:ascii="Calibri" w:hAnsi="Calibri" w:cs="Calibri"/>
                <w:sz w:val="19"/>
                <w:szCs w:val="19"/>
              </w:rPr>
              <w:t>,</w:t>
            </w:r>
            <w:r w:rsidRPr="007A49AD">
              <w:rPr>
                <w:rFonts w:ascii="Calibri" w:hAnsi="Calibri" w:cs="Calibri"/>
                <w:sz w:val="19"/>
                <w:szCs w:val="19"/>
              </w:rPr>
              <w:t>226</w:t>
            </w:r>
          </w:p>
        </w:tc>
        <w:tc>
          <w:tcPr>
            <w:tcW w:w="643" w:type="pct"/>
            <w:tcBorders>
              <w:top w:val="nil"/>
              <w:left w:val="nil"/>
              <w:bottom w:val="nil"/>
              <w:right w:val="nil"/>
            </w:tcBorders>
            <w:shd w:val="clear" w:color="auto" w:fill="auto"/>
            <w:vAlign w:val="bottom"/>
          </w:tcPr>
          <w:p w14:paraId="29C2E216" w14:textId="1569493C" w:rsidR="0014788E" w:rsidRPr="00A1123E" w:rsidRDefault="0014788E" w:rsidP="0014788E">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961</w:t>
            </w:r>
            <w:r w:rsidR="00953512">
              <w:rPr>
                <w:rFonts w:ascii="Calibri" w:hAnsi="Calibri" w:cs="Calibri"/>
                <w:sz w:val="19"/>
                <w:szCs w:val="19"/>
              </w:rPr>
              <w:t>,</w:t>
            </w:r>
            <w:r w:rsidRPr="007A49AD">
              <w:rPr>
                <w:rFonts w:ascii="Calibri" w:hAnsi="Calibri" w:cs="Calibri"/>
                <w:sz w:val="19"/>
                <w:szCs w:val="19"/>
              </w:rPr>
              <w:t>655</w:t>
            </w:r>
          </w:p>
        </w:tc>
        <w:tc>
          <w:tcPr>
            <w:tcW w:w="720" w:type="pct"/>
            <w:tcBorders>
              <w:top w:val="nil"/>
              <w:left w:val="nil"/>
              <w:bottom w:val="nil"/>
              <w:right w:val="nil"/>
            </w:tcBorders>
            <w:shd w:val="clear" w:color="auto" w:fill="auto"/>
            <w:vAlign w:val="bottom"/>
          </w:tcPr>
          <w:p w14:paraId="3468392A" w14:textId="3744C33C" w:rsidR="0014788E" w:rsidRPr="00537128" w:rsidRDefault="0014788E" w:rsidP="0014788E">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1</w:t>
            </w:r>
            <w:r>
              <w:rPr>
                <w:sz w:val="19"/>
                <w:szCs w:val="19"/>
              </w:rPr>
              <w:t>,</w:t>
            </w:r>
            <w:r w:rsidRPr="001B1B87">
              <w:rPr>
                <w:sz w:val="19"/>
                <w:szCs w:val="19"/>
              </w:rPr>
              <w:t>925</w:t>
            </w:r>
            <w:r>
              <w:rPr>
                <w:sz w:val="19"/>
                <w:szCs w:val="19"/>
              </w:rPr>
              <w:t>,</w:t>
            </w:r>
            <w:r w:rsidRPr="001B1B87">
              <w:rPr>
                <w:sz w:val="19"/>
                <w:szCs w:val="19"/>
              </w:rPr>
              <w:t>271</w:t>
            </w:r>
          </w:p>
        </w:tc>
        <w:tc>
          <w:tcPr>
            <w:tcW w:w="682" w:type="pct"/>
            <w:tcBorders>
              <w:top w:val="nil"/>
              <w:left w:val="nil"/>
              <w:bottom w:val="nil"/>
              <w:right w:val="nil"/>
            </w:tcBorders>
            <w:shd w:val="clear" w:color="auto" w:fill="auto"/>
            <w:vAlign w:val="bottom"/>
          </w:tcPr>
          <w:p w14:paraId="1D65CB90" w14:textId="56A1D876" w:rsidR="0014788E" w:rsidRPr="00537128" w:rsidRDefault="0014788E" w:rsidP="0014788E">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973</w:t>
            </w:r>
            <w:r>
              <w:rPr>
                <w:sz w:val="19"/>
                <w:szCs w:val="19"/>
              </w:rPr>
              <w:t>,</w:t>
            </w:r>
            <w:r w:rsidRPr="001B1B87">
              <w:rPr>
                <w:sz w:val="19"/>
                <w:szCs w:val="19"/>
              </w:rPr>
              <w:t>895</w:t>
            </w:r>
          </w:p>
        </w:tc>
      </w:tr>
      <w:tr w:rsidR="0014788E" w:rsidRPr="00537128" w14:paraId="5D37BD60" w14:textId="77777777" w:rsidTr="00A1123E">
        <w:trPr>
          <w:cantSplit/>
          <w:trHeight w:val="253"/>
          <w:tblHeader/>
        </w:trPr>
        <w:tc>
          <w:tcPr>
            <w:tcW w:w="2274" w:type="pct"/>
            <w:vAlign w:val="bottom"/>
          </w:tcPr>
          <w:p w14:paraId="411C00B7" w14:textId="77777777" w:rsidR="0014788E" w:rsidRPr="00537128" w:rsidRDefault="0014788E" w:rsidP="0014788E">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Tourism</w:t>
            </w:r>
          </w:p>
        </w:tc>
        <w:tc>
          <w:tcPr>
            <w:tcW w:w="681" w:type="pct"/>
            <w:tcBorders>
              <w:top w:val="nil"/>
              <w:left w:val="nil"/>
              <w:bottom w:val="nil"/>
              <w:right w:val="nil"/>
            </w:tcBorders>
            <w:shd w:val="clear" w:color="auto" w:fill="auto"/>
            <w:vAlign w:val="bottom"/>
          </w:tcPr>
          <w:p w14:paraId="6A543EC0" w14:textId="6C7D74E1" w:rsidR="0014788E" w:rsidRPr="00A1123E" w:rsidRDefault="0014788E" w:rsidP="0014788E">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3</w:t>
            </w:r>
            <w:r w:rsidR="00953512">
              <w:rPr>
                <w:rFonts w:ascii="Calibri" w:hAnsi="Calibri" w:cs="Calibri"/>
                <w:sz w:val="19"/>
                <w:szCs w:val="19"/>
              </w:rPr>
              <w:t>,</w:t>
            </w:r>
            <w:r w:rsidRPr="007A49AD">
              <w:rPr>
                <w:rFonts w:ascii="Calibri" w:hAnsi="Calibri" w:cs="Calibri"/>
                <w:sz w:val="19"/>
                <w:szCs w:val="19"/>
              </w:rPr>
              <w:t>779</w:t>
            </w:r>
            <w:r w:rsidR="00953512">
              <w:rPr>
                <w:rFonts w:ascii="Calibri" w:hAnsi="Calibri" w:cs="Calibri"/>
                <w:sz w:val="19"/>
                <w:szCs w:val="19"/>
              </w:rPr>
              <w:t>,</w:t>
            </w:r>
            <w:r w:rsidRPr="007A49AD">
              <w:rPr>
                <w:rFonts w:ascii="Calibri" w:hAnsi="Calibri" w:cs="Calibri"/>
                <w:sz w:val="19"/>
                <w:szCs w:val="19"/>
              </w:rPr>
              <w:t>756</w:t>
            </w:r>
          </w:p>
        </w:tc>
        <w:tc>
          <w:tcPr>
            <w:tcW w:w="643" w:type="pct"/>
            <w:tcBorders>
              <w:top w:val="nil"/>
              <w:left w:val="nil"/>
              <w:bottom w:val="nil"/>
              <w:right w:val="nil"/>
            </w:tcBorders>
            <w:shd w:val="clear" w:color="auto" w:fill="auto"/>
            <w:vAlign w:val="bottom"/>
          </w:tcPr>
          <w:p w14:paraId="3CF83686" w14:textId="440FD75E" w:rsidR="0014788E" w:rsidRPr="00A1123E" w:rsidRDefault="0014788E" w:rsidP="0014788E">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769</w:t>
            </w:r>
            <w:r w:rsidR="00953512">
              <w:rPr>
                <w:rFonts w:ascii="Calibri" w:hAnsi="Calibri" w:cs="Calibri"/>
                <w:sz w:val="19"/>
                <w:szCs w:val="19"/>
              </w:rPr>
              <w:t>,</w:t>
            </w:r>
            <w:r w:rsidRPr="007A49AD">
              <w:rPr>
                <w:rFonts w:ascii="Calibri" w:hAnsi="Calibri" w:cs="Calibri"/>
                <w:sz w:val="19"/>
                <w:szCs w:val="19"/>
              </w:rPr>
              <w:t>978</w:t>
            </w:r>
          </w:p>
        </w:tc>
        <w:tc>
          <w:tcPr>
            <w:tcW w:w="720" w:type="pct"/>
            <w:tcBorders>
              <w:top w:val="nil"/>
              <w:left w:val="nil"/>
              <w:bottom w:val="nil"/>
              <w:right w:val="nil"/>
            </w:tcBorders>
            <w:shd w:val="clear" w:color="auto" w:fill="auto"/>
            <w:vAlign w:val="bottom"/>
          </w:tcPr>
          <w:p w14:paraId="1950864D" w14:textId="2847626D" w:rsidR="0014788E" w:rsidRPr="00537128" w:rsidRDefault="0014788E" w:rsidP="0014788E">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3</w:t>
            </w:r>
            <w:r>
              <w:rPr>
                <w:sz w:val="19"/>
                <w:szCs w:val="19"/>
              </w:rPr>
              <w:t>,</w:t>
            </w:r>
            <w:r w:rsidRPr="001B1B87">
              <w:rPr>
                <w:sz w:val="19"/>
                <w:szCs w:val="19"/>
              </w:rPr>
              <w:t>648</w:t>
            </w:r>
            <w:r>
              <w:rPr>
                <w:sz w:val="19"/>
                <w:szCs w:val="19"/>
              </w:rPr>
              <w:t>,</w:t>
            </w:r>
            <w:r w:rsidRPr="001B1B87">
              <w:rPr>
                <w:sz w:val="19"/>
                <w:szCs w:val="19"/>
              </w:rPr>
              <w:t>347</w:t>
            </w:r>
          </w:p>
        </w:tc>
        <w:tc>
          <w:tcPr>
            <w:tcW w:w="682" w:type="pct"/>
            <w:tcBorders>
              <w:top w:val="nil"/>
              <w:left w:val="nil"/>
              <w:bottom w:val="nil"/>
              <w:right w:val="nil"/>
            </w:tcBorders>
            <w:shd w:val="clear" w:color="auto" w:fill="auto"/>
            <w:vAlign w:val="bottom"/>
          </w:tcPr>
          <w:p w14:paraId="413D06B9" w14:textId="385FFEA8" w:rsidR="0014788E" w:rsidRPr="00537128" w:rsidRDefault="0014788E" w:rsidP="0014788E">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657</w:t>
            </w:r>
            <w:r>
              <w:rPr>
                <w:sz w:val="19"/>
                <w:szCs w:val="19"/>
              </w:rPr>
              <w:t>,</w:t>
            </w:r>
            <w:r w:rsidRPr="001B1B87">
              <w:rPr>
                <w:sz w:val="19"/>
                <w:szCs w:val="19"/>
              </w:rPr>
              <w:t>484</w:t>
            </w:r>
          </w:p>
        </w:tc>
      </w:tr>
      <w:tr w:rsidR="0014788E" w:rsidRPr="00537128" w14:paraId="5F61DAD9" w14:textId="77777777" w:rsidTr="00A1123E">
        <w:trPr>
          <w:cantSplit/>
          <w:trHeight w:val="253"/>
          <w:tblHeader/>
        </w:trPr>
        <w:tc>
          <w:tcPr>
            <w:tcW w:w="2274" w:type="pct"/>
            <w:vAlign w:val="bottom"/>
          </w:tcPr>
          <w:p w14:paraId="3E68E15E" w14:textId="77777777" w:rsidR="0014788E" w:rsidRPr="00537128" w:rsidRDefault="0014788E" w:rsidP="0014788E">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Transport, </w:t>
            </w:r>
            <w:proofErr w:type="gramStart"/>
            <w:r w:rsidRPr="00537128">
              <w:rPr>
                <w:rFonts w:ascii="Calibri" w:eastAsia="Calibri" w:hAnsi="Calibri" w:cs="Arial"/>
                <w:bCs/>
                <w:sz w:val="19"/>
                <w:szCs w:val="19"/>
                <w:lang w:val="en-US"/>
              </w:rPr>
              <w:t>warehousing</w:t>
            </w:r>
            <w:proofErr w:type="gramEnd"/>
            <w:r w:rsidRPr="00537128">
              <w:rPr>
                <w:rFonts w:ascii="Calibri" w:eastAsia="Calibri" w:hAnsi="Calibri" w:cs="Arial"/>
                <w:bCs/>
                <w:sz w:val="19"/>
                <w:szCs w:val="19"/>
                <w:lang w:val="en-US"/>
              </w:rPr>
              <w:t xml:space="preserve"> and connections</w:t>
            </w:r>
          </w:p>
        </w:tc>
        <w:tc>
          <w:tcPr>
            <w:tcW w:w="681" w:type="pct"/>
            <w:tcBorders>
              <w:top w:val="nil"/>
              <w:left w:val="nil"/>
              <w:bottom w:val="nil"/>
              <w:right w:val="nil"/>
            </w:tcBorders>
            <w:shd w:val="clear" w:color="auto" w:fill="auto"/>
            <w:vAlign w:val="bottom"/>
          </w:tcPr>
          <w:p w14:paraId="589AB6A7" w14:textId="552B6929" w:rsidR="0014788E" w:rsidRPr="00A1123E" w:rsidRDefault="0014788E" w:rsidP="0014788E">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2</w:t>
            </w:r>
            <w:r w:rsidR="00953512">
              <w:rPr>
                <w:rFonts w:ascii="Calibri" w:hAnsi="Calibri" w:cs="Calibri"/>
                <w:sz w:val="19"/>
                <w:szCs w:val="19"/>
              </w:rPr>
              <w:t>,</w:t>
            </w:r>
            <w:r w:rsidRPr="007A49AD">
              <w:rPr>
                <w:rFonts w:ascii="Calibri" w:hAnsi="Calibri" w:cs="Calibri"/>
                <w:sz w:val="19"/>
                <w:szCs w:val="19"/>
              </w:rPr>
              <w:t>473</w:t>
            </w:r>
            <w:r w:rsidR="00953512">
              <w:rPr>
                <w:rFonts w:ascii="Calibri" w:hAnsi="Calibri" w:cs="Calibri"/>
                <w:sz w:val="19"/>
                <w:szCs w:val="19"/>
              </w:rPr>
              <w:t>,</w:t>
            </w:r>
            <w:r w:rsidRPr="007A49AD">
              <w:rPr>
                <w:rFonts w:ascii="Calibri" w:hAnsi="Calibri" w:cs="Calibri"/>
                <w:sz w:val="19"/>
                <w:szCs w:val="19"/>
              </w:rPr>
              <w:t>288</w:t>
            </w:r>
          </w:p>
        </w:tc>
        <w:tc>
          <w:tcPr>
            <w:tcW w:w="643" w:type="pct"/>
            <w:tcBorders>
              <w:top w:val="nil"/>
              <w:left w:val="nil"/>
              <w:bottom w:val="nil"/>
              <w:right w:val="nil"/>
            </w:tcBorders>
            <w:shd w:val="clear" w:color="auto" w:fill="auto"/>
            <w:vAlign w:val="bottom"/>
          </w:tcPr>
          <w:p w14:paraId="425E06E6" w14:textId="06382B25" w:rsidR="0014788E" w:rsidRPr="00A1123E" w:rsidRDefault="0014788E" w:rsidP="0014788E">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488</w:t>
            </w:r>
            <w:r w:rsidR="00953512">
              <w:rPr>
                <w:rFonts w:ascii="Calibri" w:hAnsi="Calibri" w:cs="Calibri"/>
                <w:sz w:val="19"/>
                <w:szCs w:val="19"/>
              </w:rPr>
              <w:t>,</w:t>
            </w:r>
            <w:r w:rsidRPr="007A49AD">
              <w:rPr>
                <w:rFonts w:ascii="Calibri" w:hAnsi="Calibri" w:cs="Calibri"/>
                <w:sz w:val="19"/>
                <w:szCs w:val="19"/>
              </w:rPr>
              <w:t>651</w:t>
            </w:r>
          </w:p>
        </w:tc>
        <w:tc>
          <w:tcPr>
            <w:tcW w:w="720" w:type="pct"/>
            <w:tcBorders>
              <w:top w:val="nil"/>
              <w:left w:val="nil"/>
              <w:bottom w:val="nil"/>
              <w:right w:val="nil"/>
            </w:tcBorders>
            <w:shd w:val="clear" w:color="auto" w:fill="auto"/>
            <w:vAlign w:val="bottom"/>
          </w:tcPr>
          <w:p w14:paraId="2C3B846A" w14:textId="40AFD9B8" w:rsidR="0014788E" w:rsidRPr="00537128" w:rsidRDefault="0014788E" w:rsidP="0014788E">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2</w:t>
            </w:r>
            <w:r>
              <w:rPr>
                <w:sz w:val="19"/>
                <w:szCs w:val="19"/>
              </w:rPr>
              <w:t>,</w:t>
            </w:r>
            <w:r w:rsidRPr="001B1B87">
              <w:rPr>
                <w:sz w:val="19"/>
                <w:szCs w:val="19"/>
              </w:rPr>
              <w:t>495</w:t>
            </w:r>
            <w:r>
              <w:rPr>
                <w:sz w:val="19"/>
                <w:szCs w:val="19"/>
              </w:rPr>
              <w:t>,</w:t>
            </w:r>
            <w:r w:rsidRPr="001B1B87">
              <w:rPr>
                <w:sz w:val="19"/>
                <w:szCs w:val="19"/>
              </w:rPr>
              <w:t>987</w:t>
            </w:r>
          </w:p>
        </w:tc>
        <w:tc>
          <w:tcPr>
            <w:tcW w:w="682" w:type="pct"/>
            <w:tcBorders>
              <w:top w:val="nil"/>
              <w:left w:val="nil"/>
              <w:bottom w:val="nil"/>
              <w:right w:val="nil"/>
            </w:tcBorders>
            <w:shd w:val="clear" w:color="auto" w:fill="auto"/>
            <w:vAlign w:val="bottom"/>
          </w:tcPr>
          <w:p w14:paraId="0253AEB4" w14:textId="7C447255" w:rsidR="0014788E" w:rsidRPr="00537128" w:rsidRDefault="0014788E" w:rsidP="0014788E">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481</w:t>
            </w:r>
            <w:r>
              <w:rPr>
                <w:sz w:val="19"/>
                <w:szCs w:val="19"/>
              </w:rPr>
              <w:t>,</w:t>
            </w:r>
            <w:r w:rsidRPr="001B1B87">
              <w:rPr>
                <w:sz w:val="19"/>
                <w:szCs w:val="19"/>
              </w:rPr>
              <w:t>074</w:t>
            </w:r>
          </w:p>
        </w:tc>
      </w:tr>
      <w:tr w:rsidR="0014788E" w:rsidRPr="00537128" w14:paraId="4D6A6D00" w14:textId="77777777" w:rsidTr="00A1123E">
        <w:trPr>
          <w:cantSplit/>
          <w:trHeight w:val="253"/>
          <w:tblHeader/>
        </w:trPr>
        <w:tc>
          <w:tcPr>
            <w:tcW w:w="2274" w:type="pct"/>
            <w:vAlign w:val="bottom"/>
          </w:tcPr>
          <w:p w14:paraId="48159E29" w14:textId="77777777" w:rsidR="0014788E" w:rsidRPr="00537128" w:rsidDel="00FF5490" w:rsidRDefault="0014788E" w:rsidP="0014788E">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Shipbuilding </w:t>
            </w:r>
          </w:p>
        </w:tc>
        <w:tc>
          <w:tcPr>
            <w:tcW w:w="681" w:type="pct"/>
            <w:tcBorders>
              <w:top w:val="nil"/>
              <w:left w:val="nil"/>
              <w:bottom w:val="nil"/>
              <w:right w:val="nil"/>
            </w:tcBorders>
            <w:shd w:val="clear" w:color="auto" w:fill="auto"/>
            <w:vAlign w:val="bottom"/>
          </w:tcPr>
          <w:p w14:paraId="006167E2" w14:textId="694D9758" w:rsidR="0014788E" w:rsidRPr="00A1123E" w:rsidRDefault="0014788E" w:rsidP="0014788E">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1</w:t>
            </w:r>
            <w:r w:rsidR="00953512">
              <w:rPr>
                <w:rFonts w:ascii="Calibri" w:hAnsi="Calibri" w:cs="Calibri"/>
                <w:sz w:val="19"/>
                <w:szCs w:val="19"/>
              </w:rPr>
              <w:t>,</w:t>
            </w:r>
            <w:r w:rsidRPr="007A49AD">
              <w:rPr>
                <w:rFonts w:ascii="Calibri" w:hAnsi="Calibri" w:cs="Calibri"/>
                <w:sz w:val="19"/>
                <w:szCs w:val="19"/>
              </w:rPr>
              <w:t>095</w:t>
            </w:r>
            <w:r w:rsidR="00953512">
              <w:rPr>
                <w:rFonts w:ascii="Calibri" w:hAnsi="Calibri" w:cs="Calibri"/>
                <w:sz w:val="19"/>
                <w:szCs w:val="19"/>
              </w:rPr>
              <w:t>,</w:t>
            </w:r>
            <w:r w:rsidRPr="007A49AD">
              <w:rPr>
                <w:rFonts w:ascii="Calibri" w:hAnsi="Calibri" w:cs="Calibri"/>
                <w:sz w:val="19"/>
                <w:szCs w:val="19"/>
              </w:rPr>
              <w:t>333</w:t>
            </w:r>
          </w:p>
        </w:tc>
        <w:tc>
          <w:tcPr>
            <w:tcW w:w="643" w:type="pct"/>
            <w:tcBorders>
              <w:top w:val="nil"/>
              <w:left w:val="nil"/>
              <w:bottom w:val="nil"/>
              <w:right w:val="nil"/>
            </w:tcBorders>
            <w:shd w:val="clear" w:color="auto" w:fill="auto"/>
            <w:vAlign w:val="bottom"/>
          </w:tcPr>
          <w:p w14:paraId="33DB0C8A" w14:textId="7473FBCB" w:rsidR="0014788E" w:rsidRPr="00A1123E" w:rsidRDefault="0014788E" w:rsidP="0014788E">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52</w:t>
            </w:r>
            <w:r w:rsidR="00953512">
              <w:rPr>
                <w:rFonts w:ascii="Calibri" w:hAnsi="Calibri" w:cs="Calibri"/>
                <w:sz w:val="19"/>
                <w:szCs w:val="19"/>
              </w:rPr>
              <w:t>,</w:t>
            </w:r>
            <w:r w:rsidRPr="007A49AD">
              <w:rPr>
                <w:rFonts w:ascii="Calibri" w:hAnsi="Calibri" w:cs="Calibri"/>
                <w:sz w:val="19"/>
                <w:szCs w:val="19"/>
              </w:rPr>
              <w:t>597</w:t>
            </w:r>
          </w:p>
        </w:tc>
        <w:tc>
          <w:tcPr>
            <w:tcW w:w="720" w:type="pct"/>
            <w:tcBorders>
              <w:top w:val="nil"/>
              <w:left w:val="nil"/>
              <w:bottom w:val="nil"/>
              <w:right w:val="nil"/>
            </w:tcBorders>
            <w:shd w:val="clear" w:color="auto" w:fill="auto"/>
            <w:vAlign w:val="bottom"/>
          </w:tcPr>
          <w:p w14:paraId="757CCFE4" w14:textId="69BBCC46" w:rsidR="0014788E" w:rsidRPr="00537128" w:rsidRDefault="0014788E" w:rsidP="0014788E">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1</w:t>
            </w:r>
            <w:r>
              <w:rPr>
                <w:sz w:val="19"/>
                <w:szCs w:val="19"/>
              </w:rPr>
              <w:t>,</w:t>
            </w:r>
            <w:r w:rsidRPr="001B1B87">
              <w:rPr>
                <w:sz w:val="19"/>
                <w:szCs w:val="19"/>
              </w:rPr>
              <w:t>481</w:t>
            </w:r>
            <w:r>
              <w:rPr>
                <w:sz w:val="19"/>
                <w:szCs w:val="19"/>
              </w:rPr>
              <w:t>,</w:t>
            </w:r>
            <w:r w:rsidRPr="001B1B87">
              <w:rPr>
                <w:sz w:val="19"/>
                <w:szCs w:val="19"/>
              </w:rPr>
              <w:t>871</w:t>
            </w:r>
          </w:p>
        </w:tc>
        <w:tc>
          <w:tcPr>
            <w:tcW w:w="682" w:type="pct"/>
            <w:tcBorders>
              <w:top w:val="nil"/>
              <w:left w:val="nil"/>
              <w:bottom w:val="nil"/>
              <w:right w:val="nil"/>
            </w:tcBorders>
            <w:shd w:val="clear" w:color="auto" w:fill="auto"/>
            <w:vAlign w:val="bottom"/>
          </w:tcPr>
          <w:p w14:paraId="50404A2C" w14:textId="4D254F34" w:rsidR="0014788E" w:rsidRPr="00537128" w:rsidRDefault="0014788E" w:rsidP="0014788E">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88</w:t>
            </w:r>
            <w:r>
              <w:rPr>
                <w:sz w:val="19"/>
                <w:szCs w:val="19"/>
              </w:rPr>
              <w:t>,</w:t>
            </w:r>
            <w:r w:rsidRPr="001B1B87">
              <w:rPr>
                <w:sz w:val="19"/>
                <w:szCs w:val="19"/>
              </w:rPr>
              <w:t>546</w:t>
            </w:r>
          </w:p>
        </w:tc>
      </w:tr>
      <w:tr w:rsidR="0014788E" w:rsidRPr="00537128" w14:paraId="5B2BDBE6" w14:textId="77777777" w:rsidTr="00A1123E">
        <w:trPr>
          <w:cantSplit/>
          <w:trHeight w:val="253"/>
          <w:tblHeader/>
        </w:trPr>
        <w:tc>
          <w:tcPr>
            <w:tcW w:w="2274" w:type="pct"/>
            <w:vAlign w:val="bottom"/>
          </w:tcPr>
          <w:p w14:paraId="06E46BE0" w14:textId="77777777" w:rsidR="0014788E" w:rsidRPr="00537128" w:rsidDel="00FF5490" w:rsidRDefault="0014788E" w:rsidP="0014788E">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Agriculture and fishery </w:t>
            </w:r>
          </w:p>
        </w:tc>
        <w:tc>
          <w:tcPr>
            <w:tcW w:w="681" w:type="pct"/>
            <w:tcBorders>
              <w:top w:val="nil"/>
              <w:left w:val="nil"/>
              <w:bottom w:val="nil"/>
              <w:right w:val="nil"/>
            </w:tcBorders>
            <w:shd w:val="clear" w:color="auto" w:fill="auto"/>
            <w:vAlign w:val="bottom"/>
          </w:tcPr>
          <w:p w14:paraId="040B1FCF" w14:textId="3F917586" w:rsidR="0014788E" w:rsidRPr="00A1123E" w:rsidRDefault="0014788E" w:rsidP="0014788E">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565</w:t>
            </w:r>
            <w:r w:rsidR="00953512">
              <w:rPr>
                <w:rFonts w:ascii="Calibri" w:hAnsi="Calibri" w:cs="Calibri"/>
                <w:sz w:val="19"/>
                <w:szCs w:val="19"/>
              </w:rPr>
              <w:t>,</w:t>
            </w:r>
            <w:r w:rsidRPr="007A49AD">
              <w:rPr>
                <w:rFonts w:ascii="Calibri" w:hAnsi="Calibri" w:cs="Calibri"/>
                <w:sz w:val="19"/>
                <w:szCs w:val="19"/>
              </w:rPr>
              <w:t>953</w:t>
            </w:r>
          </w:p>
        </w:tc>
        <w:tc>
          <w:tcPr>
            <w:tcW w:w="643" w:type="pct"/>
            <w:tcBorders>
              <w:top w:val="nil"/>
              <w:left w:val="nil"/>
              <w:bottom w:val="nil"/>
              <w:right w:val="nil"/>
            </w:tcBorders>
            <w:shd w:val="clear" w:color="auto" w:fill="auto"/>
            <w:vAlign w:val="bottom"/>
          </w:tcPr>
          <w:p w14:paraId="39CFFADA" w14:textId="734E5879" w:rsidR="0014788E" w:rsidRPr="00A1123E" w:rsidRDefault="0014788E" w:rsidP="0014788E">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148</w:t>
            </w:r>
            <w:r w:rsidR="00953512">
              <w:rPr>
                <w:rFonts w:ascii="Calibri" w:hAnsi="Calibri" w:cs="Calibri"/>
                <w:sz w:val="19"/>
                <w:szCs w:val="19"/>
              </w:rPr>
              <w:t>,</w:t>
            </w:r>
            <w:r w:rsidRPr="007A49AD">
              <w:rPr>
                <w:rFonts w:ascii="Calibri" w:hAnsi="Calibri" w:cs="Calibri"/>
                <w:sz w:val="19"/>
                <w:szCs w:val="19"/>
              </w:rPr>
              <w:t>717</w:t>
            </w:r>
          </w:p>
        </w:tc>
        <w:tc>
          <w:tcPr>
            <w:tcW w:w="720" w:type="pct"/>
            <w:tcBorders>
              <w:top w:val="nil"/>
              <w:left w:val="nil"/>
              <w:bottom w:val="nil"/>
              <w:right w:val="nil"/>
            </w:tcBorders>
            <w:shd w:val="clear" w:color="auto" w:fill="auto"/>
            <w:vAlign w:val="bottom"/>
          </w:tcPr>
          <w:p w14:paraId="7AD74EF0" w14:textId="12D4B922" w:rsidR="0014788E" w:rsidRPr="00537128" w:rsidRDefault="0014788E" w:rsidP="0014788E">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595</w:t>
            </w:r>
            <w:r>
              <w:rPr>
                <w:sz w:val="19"/>
                <w:szCs w:val="19"/>
              </w:rPr>
              <w:t>,</w:t>
            </w:r>
            <w:r w:rsidRPr="001B1B87">
              <w:rPr>
                <w:sz w:val="19"/>
                <w:szCs w:val="19"/>
              </w:rPr>
              <w:t>896</w:t>
            </w:r>
          </w:p>
        </w:tc>
        <w:tc>
          <w:tcPr>
            <w:tcW w:w="682" w:type="pct"/>
            <w:tcBorders>
              <w:top w:val="nil"/>
              <w:left w:val="nil"/>
              <w:bottom w:val="nil"/>
              <w:right w:val="nil"/>
            </w:tcBorders>
            <w:shd w:val="clear" w:color="auto" w:fill="auto"/>
            <w:vAlign w:val="bottom"/>
          </w:tcPr>
          <w:p w14:paraId="30FC53E9" w14:textId="705FC232" w:rsidR="0014788E" w:rsidRPr="00537128" w:rsidRDefault="0014788E" w:rsidP="0014788E">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164</w:t>
            </w:r>
            <w:r>
              <w:rPr>
                <w:sz w:val="19"/>
                <w:szCs w:val="19"/>
              </w:rPr>
              <w:t>,</w:t>
            </w:r>
            <w:r w:rsidRPr="001B1B87">
              <w:rPr>
                <w:sz w:val="19"/>
                <w:szCs w:val="19"/>
              </w:rPr>
              <w:t>701</w:t>
            </w:r>
          </w:p>
        </w:tc>
      </w:tr>
      <w:tr w:rsidR="0014788E" w:rsidRPr="00537128" w14:paraId="6901A73A" w14:textId="77777777" w:rsidTr="00A1123E">
        <w:trPr>
          <w:cantSplit/>
          <w:trHeight w:val="253"/>
          <w:tblHeader/>
        </w:trPr>
        <w:tc>
          <w:tcPr>
            <w:tcW w:w="2274" w:type="pct"/>
            <w:vAlign w:val="bottom"/>
          </w:tcPr>
          <w:p w14:paraId="3C9FE09E" w14:textId="77777777" w:rsidR="0014788E" w:rsidRPr="00537128" w:rsidDel="00FF5490" w:rsidRDefault="0014788E" w:rsidP="0014788E">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Food industry</w:t>
            </w:r>
          </w:p>
        </w:tc>
        <w:tc>
          <w:tcPr>
            <w:tcW w:w="681" w:type="pct"/>
            <w:tcBorders>
              <w:top w:val="nil"/>
              <w:left w:val="nil"/>
              <w:bottom w:val="nil"/>
              <w:right w:val="nil"/>
            </w:tcBorders>
            <w:shd w:val="clear" w:color="auto" w:fill="auto"/>
            <w:vAlign w:val="bottom"/>
          </w:tcPr>
          <w:p w14:paraId="5C78F3F9" w14:textId="1BB88AEB" w:rsidR="0014788E" w:rsidRPr="00A1123E" w:rsidRDefault="0014788E" w:rsidP="0014788E">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906</w:t>
            </w:r>
            <w:r w:rsidR="00953512">
              <w:rPr>
                <w:rFonts w:ascii="Calibri" w:hAnsi="Calibri" w:cs="Calibri"/>
                <w:sz w:val="19"/>
                <w:szCs w:val="19"/>
              </w:rPr>
              <w:t>,</w:t>
            </w:r>
            <w:r w:rsidRPr="007A49AD">
              <w:rPr>
                <w:rFonts w:ascii="Calibri" w:hAnsi="Calibri" w:cs="Calibri"/>
                <w:sz w:val="19"/>
                <w:szCs w:val="19"/>
              </w:rPr>
              <w:t>355</w:t>
            </w:r>
          </w:p>
        </w:tc>
        <w:tc>
          <w:tcPr>
            <w:tcW w:w="643" w:type="pct"/>
            <w:tcBorders>
              <w:top w:val="nil"/>
              <w:left w:val="nil"/>
              <w:bottom w:val="nil"/>
              <w:right w:val="nil"/>
            </w:tcBorders>
            <w:shd w:val="clear" w:color="auto" w:fill="auto"/>
            <w:vAlign w:val="bottom"/>
          </w:tcPr>
          <w:p w14:paraId="27348AD9" w14:textId="111D46BD" w:rsidR="0014788E" w:rsidRPr="00A1123E" w:rsidRDefault="0014788E" w:rsidP="0014788E">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188</w:t>
            </w:r>
            <w:r w:rsidR="00953512">
              <w:rPr>
                <w:rFonts w:ascii="Calibri" w:hAnsi="Calibri" w:cs="Calibri"/>
                <w:sz w:val="19"/>
                <w:szCs w:val="19"/>
              </w:rPr>
              <w:t>,</w:t>
            </w:r>
            <w:r w:rsidRPr="007A49AD">
              <w:rPr>
                <w:rFonts w:ascii="Calibri" w:hAnsi="Calibri" w:cs="Calibri"/>
                <w:sz w:val="19"/>
                <w:szCs w:val="19"/>
              </w:rPr>
              <w:t>827</w:t>
            </w:r>
          </w:p>
        </w:tc>
        <w:tc>
          <w:tcPr>
            <w:tcW w:w="720" w:type="pct"/>
            <w:tcBorders>
              <w:top w:val="nil"/>
              <w:left w:val="nil"/>
              <w:bottom w:val="nil"/>
              <w:right w:val="nil"/>
            </w:tcBorders>
            <w:shd w:val="clear" w:color="auto" w:fill="auto"/>
            <w:vAlign w:val="bottom"/>
          </w:tcPr>
          <w:p w14:paraId="25BF762F" w14:textId="2511FDB2" w:rsidR="0014788E" w:rsidRPr="00537128" w:rsidRDefault="0014788E" w:rsidP="0014788E">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966</w:t>
            </w:r>
            <w:r>
              <w:rPr>
                <w:sz w:val="19"/>
                <w:szCs w:val="19"/>
              </w:rPr>
              <w:t>,</w:t>
            </w:r>
            <w:r w:rsidRPr="001B1B87">
              <w:rPr>
                <w:sz w:val="19"/>
                <w:szCs w:val="19"/>
              </w:rPr>
              <w:t>803</w:t>
            </w:r>
          </w:p>
        </w:tc>
        <w:tc>
          <w:tcPr>
            <w:tcW w:w="682" w:type="pct"/>
            <w:tcBorders>
              <w:top w:val="nil"/>
              <w:left w:val="nil"/>
              <w:bottom w:val="nil"/>
              <w:right w:val="nil"/>
            </w:tcBorders>
            <w:shd w:val="clear" w:color="auto" w:fill="auto"/>
            <w:vAlign w:val="bottom"/>
          </w:tcPr>
          <w:p w14:paraId="3D25AA43" w14:textId="7B262698" w:rsidR="0014788E" w:rsidRPr="00537128" w:rsidRDefault="0014788E" w:rsidP="0014788E">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192</w:t>
            </w:r>
            <w:r>
              <w:rPr>
                <w:sz w:val="19"/>
                <w:szCs w:val="19"/>
              </w:rPr>
              <w:t>,</w:t>
            </w:r>
            <w:r w:rsidRPr="001B1B87">
              <w:rPr>
                <w:sz w:val="19"/>
                <w:szCs w:val="19"/>
              </w:rPr>
              <w:t>409</w:t>
            </w:r>
          </w:p>
        </w:tc>
      </w:tr>
      <w:tr w:rsidR="0014788E" w:rsidRPr="00537128" w14:paraId="005C34D9" w14:textId="77777777" w:rsidTr="00A1123E">
        <w:trPr>
          <w:cantSplit/>
          <w:trHeight w:val="253"/>
          <w:tblHeader/>
        </w:trPr>
        <w:tc>
          <w:tcPr>
            <w:tcW w:w="2274" w:type="pct"/>
            <w:vAlign w:val="bottom"/>
          </w:tcPr>
          <w:p w14:paraId="7F794292" w14:textId="77777777" w:rsidR="0014788E" w:rsidRPr="00537128" w:rsidDel="00FF5490" w:rsidRDefault="0014788E" w:rsidP="0014788E">
            <w:pPr>
              <w:spacing w:after="0" w:line="280" w:lineRule="exact"/>
              <w:rPr>
                <w:rFonts w:ascii="Calibri" w:eastAsia="Calibri" w:hAnsi="Calibri" w:cs="Arial"/>
                <w:bCs/>
                <w:sz w:val="19"/>
                <w:szCs w:val="19"/>
                <w:lang w:val="en-US"/>
              </w:rPr>
            </w:pPr>
            <w:r w:rsidRPr="00537128">
              <w:rPr>
                <w:rFonts w:ascii="Calibri" w:eastAsia="Calibri" w:hAnsi="Calibri" w:cs="Arial"/>
                <w:sz w:val="19"/>
                <w:szCs w:val="19"/>
                <w:lang w:val="en-US"/>
              </w:rPr>
              <w:t xml:space="preserve">Construction industry </w:t>
            </w:r>
          </w:p>
        </w:tc>
        <w:tc>
          <w:tcPr>
            <w:tcW w:w="681" w:type="pct"/>
            <w:tcBorders>
              <w:top w:val="nil"/>
              <w:left w:val="nil"/>
              <w:bottom w:val="nil"/>
              <w:right w:val="nil"/>
            </w:tcBorders>
            <w:shd w:val="clear" w:color="auto" w:fill="auto"/>
            <w:vAlign w:val="bottom"/>
          </w:tcPr>
          <w:p w14:paraId="69FBC775" w14:textId="052CFE64" w:rsidR="0014788E" w:rsidRPr="00A1123E" w:rsidRDefault="0014788E" w:rsidP="0014788E">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2</w:t>
            </w:r>
            <w:r w:rsidR="00953512">
              <w:rPr>
                <w:rFonts w:ascii="Calibri" w:hAnsi="Calibri" w:cs="Calibri"/>
                <w:sz w:val="19"/>
                <w:szCs w:val="19"/>
              </w:rPr>
              <w:t>,</w:t>
            </w:r>
            <w:r w:rsidRPr="007A49AD">
              <w:rPr>
                <w:rFonts w:ascii="Calibri" w:hAnsi="Calibri" w:cs="Calibri"/>
                <w:sz w:val="19"/>
                <w:szCs w:val="19"/>
              </w:rPr>
              <w:t>846</w:t>
            </w:r>
            <w:r w:rsidR="00953512">
              <w:rPr>
                <w:rFonts w:ascii="Calibri" w:hAnsi="Calibri" w:cs="Calibri"/>
                <w:sz w:val="19"/>
                <w:szCs w:val="19"/>
              </w:rPr>
              <w:t>,</w:t>
            </w:r>
            <w:r w:rsidRPr="007A49AD">
              <w:rPr>
                <w:rFonts w:ascii="Calibri" w:hAnsi="Calibri" w:cs="Calibri"/>
                <w:sz w:val="19"/>
                <w:szCs w:val="19"/>
              </w:rPr>
              <w:t>904</w:t>
            </w:r>
          </w:p>
        </w:tc>
        <w:tc>
          <w:tcPr>
            <w:tcW w:w="643" w:type="pct"/>
            <w:tcBorders>
              <w:top w:val="nil"/>
              <w:left w:val="nil"/>
              <w:bottom w:val="nil"/>
              <w:right w:val="nil"/>
            </w:tcBorders>
            <w:shd w:val="clear" w:color="auto" w:fill="auto"/>
            <w:vAlign w:val="bottom"/>
          </w:tcPr>
          <w:p w14:paraId="7B1FCD69" w14:textId="57E8AA35" w:rsidR="0014788E" w:rsidRPr="00A1123E" w:rsidRDefault="0014788E" w:rsidP="0014788E">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117</w:t>
            </w:r>
            <w:r w:rsidR="00953512">
              <w:rPr>
                <w:rFonts w:ascii="Calibri" w:hAnsi="Calibri" w:cs="Calibri"/>
                <w:sz w:val="19"/>
                <w:szCs w:val="19"/>
              </w:rPr>
              <w:t>,</w:t>
            </w:r>
            <w:r w:rsidRPr="007A49AD">
              <w:rPr>
                <w:rFonts w:ascii="Calibri" w:hAnsi="Calibri" w:cs="Calibri"/>
                <w:sz w:val="19"/>
                <w:szCs w:val="19"/>
              </w:rPr>
              <w:t>657</w:t>
            </w:r>
          </w:p>
        </w:tc>
        <w:tc>
          <w:tcPr>
            <w:tcW w:w="720" w:type="pct"/>
            <w:tcBorders>
              <w:top w:val="nil"/>
              <w:left w:val="nil"/>
              <w:bottom w:val="nil"/>
              <w:right w:val="nil"/>
            </w:tcBorders>
            <w:shd w:val="clear" w:color="auto" w:fill="auto"/>
            <w:vAlign w:val="bottom"/>
          </w:tcPr>
          <w:p w14:paraId="0E18234B" w14:textId="7AB98CA3" w:rsidR="0014788E" w:rsidRPr="00537128" w:rsidRDefault="0014788E" w:rsidP="0014788E">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2</w:t>
            </w:r>
            <w:r>
              <w:rPr>
                <w:sz w:val="19"/>
                <w:szCs w:val="19"/>
              </w:rPr>
              <w:t>,</w:t>
            </w:r>
            <w:r w:rsidRPr="001B1B87">
              <w:rPr>
                <w:sz w:val="19"/>
                <w:szCs w:val="19"/>
              </w:rPr>
              <w:t>836</w:t>
            </w:r>
            <w:r>
              <w:rPr>
                <w:sz w:val="19"/>
                <w:szCs w:val="19"/>
              </w:rPr>
              <w:t>,</w:t>
            </w:r>
            <w:r w:rsidRPr="001B1B87">
              <w:rPr>
                <w:sz w:val="19"/>
                <w:szCs w:val="19"/>
              </w:rPr>
              <w:t>306</w:t>
            </w:r>
          </w:p>
        </w:tc>
        <w:tc>
          <w:tcPr>
            <w:tcW w:w="682" w:type="pct"/>
            <w:tcBorders>
              <w:top w:val="nil"/>
              <w:left w:val="nil"/>
              <w:bottom w:val="nil"/>
              <w:right w:val="nil"/>
            </w:tcBorders>
            <w:shd w:val="clear" w:color="auto" w:fill="auto"/>
            <w:vAlign w:val="bottom"/>
          </w:tcPr>
          <w:p w14:paraId="4F0EA852" w14:textId="5161916B" w:rsidR="0014788E" w:rsidRPr="00537128" w:rsidRDefault="0014788E" w:rsidP="0014788E">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124</w:t>
            </w:r>
            <w:r>
              <w:rPr>
                <w:sz w:val="19"/>
                <w:szCs w:val="19"/>
              </w:rPr>
              <w:t>,</w:t>
            </w:r>
            <w:r w:rsidRPr="001B1B87">
              <w:rPr>
                <w:sz w:val="19"/>
                <w:szCs w:val="19"/>
              </w:rPr>
              <w:t>321</w:t>
            </w:r>
          </w:p>
        </w:tc>
      </w:tr>
      <w:tr w:rsidR="0014788E" w:rsidRPr="00537128" w14:paraId="2B2554A4" w14:textId="77777777" w:rsidTr="00A1123E">
        <w:trPr>
          <w:cantSplit/>
          <w:trHeight w:val="253"/>
          <w:tblHeader/>
        </w:trPr>
        <w:tc>
          <w:tcPr>
            <w:tcW w:w="2274" w:type="pct"/>
            <w:vAlign w:val="bottom"/>
          </w:tcPr>
          <w:p w14:paraId="6C642140" w14:textId="77777777" w:rsidR="0014788E" w:rsidRPr="00537128" w:rsidDel="00FF5490" w:rsidRDefault="0014788E" w:rsidP="0014788E">
            <w:pPr>
              <w:spacing w:after="0" w:line="280" w:lineRule="exact"/>
              <w:rPr>
                <w:rFonts w:ascii="Calibri" w:eastAsia="Calibri" w:hAnsi="Calibri" w:cs="Arial"/>
                <w:bCs/>
                <w:sz w:val="19"/>
                <w:szCs w:val="19"/>
                <w:lang w:val="en-US"/>
              </w:rPr>
            </w:pPr>
            <w:r w:rsidRPr="00537128">
              <w:rPr>
                <w:rFonts w:ascii="Calibri" w:eastAsia="Calibri" w:hAnsi="Calibri" w:cs="Arial"/>
                <w:sz w:val="19"/>
                <w:szCs w:val="19"/>
                <w:lang w:val="en-US"/>
              </w:rPr>
              <w:t>Other industry</w:t>
            </w:r>
          </w:p>
        </w:tc>
        <w:tc>
          <w:tcPr>
            <w:tcW w:w="681" w:type="pct"/>
            <w:tcBorders>
              <w:top w:val="nil"/>
              <w:left w:val="nil"/>
              <w:bottom w:val="nil"/>
              <w:right w:val="nil"/>
            </w:tcBorders>
            <w:shd w:val="clear" w:color="auto" w:fill="auto"/>
            <w:vAlign w:val="bottom"/>
          </w:tcPr>
          <w:p w14:paraId="585C8BD6" w14:textId="2BD821E6" w:rsidR="0014788E" w:rsidRPr="00A1123E" w:rsidRDefault="0014788E" w:rsidP="0014788E">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690</w:t>
            </w:r>
            <w:r w:rsidR="00953512">
              <w:rPr>
                <w:rFonts w:ascii="Calibri" w:hAnsi="Calibri" w:cs="Calibri"/>
                <w:sz w:val="19"/>
                <w:szCs w:val="19"/>
              </w:rPr>
              <w:t>,</w:t>
            </w:r>
            <w:r w:rsidRPr="007A49AD">
              <w:rPr>
                <w:rFonts w:ascii="Calibri" w:hAnsi="Calibri" w:cs="Calibri"/>
                <w:sz w:val="19"/>
                <w:szCs w:val="19"/>
              </w:rPr>
              <w:t>816</w:t>
            </w:r>
          </w:p>
        </w:tc>
        <w:tc>
          <w:tcPr>
            <w:tcW w:w="643" w:type="pct"/>
            <w:tcBorders>
              <w:top w:val="nil"/>
              <w:left w:val="nil"/>
              <w:bottom w:val="nil"/>
              <w:right w:val="nil"/>
            </w:tcBorders>
            <w:shd w:val="clear" w:color="auto" w:fill="auto"/>
            <w:vAlign w:val="bottom"/>
          </w:tcPr>
          <w:p w14:paraId="716D7512" w14:textId="1895E197" w:rsidR="0014788E" w:rsidRPr="00A1123E" w:rsidRDefault="0014788E" w:rsidP="0014788E">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180</w:t>
            </w:r>
            <w:r w:rsidR="00953512">
              <w:rPr>
                <w:rFonts w:ascii="Calibri" w:hAnsi="Calibri" w:cs="Calibri"/>
                <w:sz w:val="19"/>
                <w:szCs w:val="19"/>
              </w:rPr>
              <w:t>,</w:t>
            </w:r>
            <w:r w:rsidRPr="007A49AD">
              <w:rPr>
                <w:rFonts w:ascii="Calibri" w:hAnsi="Calibri" w:cs="Calibri"/>
                <w:sz w:val="19"/>
                <w:szCs w:val="19"/>
              </w:rPr>
              <w:t>238</w:t>
            </w:r>
          </w:p>
        </w:tc>
        <w:tc>
          <w:tcPr>
            <w:tcW w:w="720" w:type="pct"/>
            <w:tcBorders>
              <w:top w:val="nil"/>
              <w:left w:val="nil"/>
              <w:bottom w:val="nil"/>
              <w:right w:val="nil"/>
            </w:tcBorders>
            <w:shd w:val="clear" w:color="auto" w:fill="auto"/>
            <w:vAlign w:val="bottom"/>
          </w:tcPr>
          <w:p w14:paraId="0F3115B3" w14:textId="5C249BEA" w:rsidR="0014788E" w:rsidRPr="00537128" w:rsidRDefault="0014788E" w:rsidP="0014788E">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730</w:t>
            </w:r>
            <w:r>
              <w:rPr>
                <w:sz w:val="19"/>
                <w:szCs w:val="19"/>
              </w:rPr>
              <w:t>,</w:t>
            </w:r>
            <w:r w:rsidRPr="001B1B87">
              <w:rPr>
                <w:sz w:val="19"/>
                <w:szCs w:val="19"/>
              </w:rPr>
              <w:t>311</w:t>
            </w:r>
          </w:p>
        </w:tc>
        <w:tc>
          <w:tcPr>
            <w:tcW w:w="682" w:type="pct"/>
            <w:tcBorders>
              <w:top w:val="nil"/>
              <w:left w:val="nil"/>
              <w:bottom w:val="nil"/>
              <w:right w:val="nil"/>
            </w:tcBorders>
            <w:shd w:val="clear" w:color="auto" w:fill="auto"/>
            <w:vAlign w:val="bottom"/>
          </w:tcPr>
          <w:p w14:paraId="691A25B4" w14:textId="2024417A" w:rsidR="0014788E" w:rsidRPr="00537128" w:rsidRDefault="0014788E" w:rsidP="0014788E">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240</w:t>
            </w:r>
            <w:r>
              <w:rPr>
                <w:sz w:val="19"/>
                <w:szCs w:val="19"/>
              </w:rPr>
              <w:t>,</w:t>
            </w:r>
            <w:r w:rsidRPr="001B1B87">
              <w:rPr>
                <w:sz w:val="19"/>
                <w:szCs w:val="19"/>
              </w:rPr>
              <w:t>036</w:t>
            </w:r>
          </w:p>
        </w:tc>
      </w:tr>
      <w:tr w:rsidR="0014788E" w:rsidRPr="00537128" w14:paraId="6B4E03D5" w14:textId="77777777" w:rsidTr="00A1123E">
        <w:trPr>
          <w:cantSplit/>
          <w:trHeight w:val="253"/>
          <w:tblHeader/>
        </w:trPr>
        <w:tc>
          <w:tcPr>
            <w:tcW w:w="2274" w:type="pct"/>
            <w:vAlign w:val="bottom"/>
          </w:tcPr>
          <w:p w14:paraId="522CE0C8" w14:textId="77777777" w:rsidR="0014788E" w:rsidRPr="00537128" w:rsidDel="00FF5490" w:rsidRDefault="0014788E" w:rsidP="0014788E">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Public administration </w:t>
            </w:r>
          </w:p>
        </w:tc>
        <w:tc>
          <w:tcPr>
            <w:tcW w:w="681" w:type="pct"/>
            <w:tcBorders>
              <w:top w:val="nil"/>
              <w:left w:val="nil"/>
              <w:bottom w:val="nil"/>
              <w:right w:val="nil"/>
            </w:tcBorders>
            <w:shd w:val="clear" w:color="auto" w:fill="auto"/>
            <w:vAlign w:val="bottom"/>
          </w:tcPr>
          <w:p w14:paraId="1EB84441" w14:textId="04F01B76" w:rsidR="0014788E" w:rsidRPr="00A1123E" w:rsidRDefault="0014788E" w:rsidP="0014788E">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3</w:t>
            </w:r>
            <w:r w:rsidR="00953512">
              <w:rPr>
                <w:rFonts w:ascii="Calibri" w:hAnsi="Calibri" w:cs="Calibri"/>
                <w:sz w:val="19"/>
                <w:szCs w:val="19"/>
              </w:rPr>
              <w:t>,</w:t>
            </w:r>
            <w:r w:rsidRPr="007A49AD">
              <w:rPr>
                <w:rFonts w:ascii="Calibri" w:hAnsi="Calibri" w:cs="Calibri"/>
                <w:sz w:val="19"/>
                <w:szCs w:val="19"/>
              </w:rPr>
              <w:t>142</w:t>
            </w:r>
            <w:r w:rsidR="00953512">
              <w:rPr>
                <w:rFonts w:ascii="Calibri" w:hAnsi="Calibri" w:cs="Calibri"/>
                <w:sz w:val="19"/>
                <w:szCs w:val="19"/>
              </w:rPr>
              <w:t>,</w:t>
            </w:r>
            <w:r w:rsidRPr="007A49AD">
              <w:rPr>
                <w:rFonts w:ascii="Calibri" w:hAnsi="Calibri" w:cs="Calibri"/>
                <w:sz w:val="19"/>
                <w:szCs w:val="19"/>
              </w:rPr>
              <w:t>675</w:t>
            </w:r>
          </w:p>
        </w:tc>
        <w:tc>
          <w:tcPr>
            <w:tcW w:w="643" w:type="pct"/>
            <w:tcBorders>
              <w:top w:val="nil"/>
              <w:left w:val="nil"/>
              <w:bottom w:val="nil"/>
              <w:right w:val="nil"/>
            </w:tcBorders>
            <w:shd w:val="clear" w:color="auto" w:fill="auto"/>
            <w:vAlign w:val="bottom"/>
          </w:tcPr>
          <w:p w14:paraId="1E1F4529" w14:textId="7FFE84FD" w:rsidR="0014788E" w:rsidRPr="00A1123E" w:rsidRDefault="0014788E" w:rsidP="0014788E">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3</w:t>
            </w:r>
            <w:r w:rsidR="00953512">
              <w:rPr>
                <w:rFonts w:ascii="Calibri" w:hAnsi="Calibri" w:cs="Calibri"/>
                <w:sz w:val="19"/>
                <w:szCs w:val="19"/>
              </w:rPr>
              <w:t>,</w:t>
            </w:r>
            <w:r w:rsidRPr="007A49AD">
              <w:rPr>
                <w:rFonts w:ascii="Calibri" w:hAnsi="Calibri" w:cs="Calibri"/>
                <w:sz w:val="19"/>
                <w:szCs w:val="19"/>
              </w:rPr>
              <w:t>139</w:t>
            </w:r>
            <w:r w:rsidR="00953512">
              <w:rPr>
                <w:rFonts w:ascii="Calibri" w:hAnsi="Calibri" w:cs="Calibri"/>
                <w:sz w:val="19"/>
                <w:szCs w:val="19"/>
              </w:rPr>
              <w:t>,</w:t>
            </w:r>
            <w:r w:rsidRPr="007A49AD">
              <w:rPr>
                <w:rFonts w:ascii="Calibri" w:hAnsi="Calibri" w:cs="Calibri"/>
                <w:sz w:val="19"/>
                <w:szCs w:val="19"/>
              </w:rPr>
              <w:t>304</w:t>
            </w:r>
          </w:p>
        </w:tc>
        <w:tc>
          <w:tcPr>
            <w:tcW w:w="720" w:type="pct"/>
            <w:tcBorders>
              <w:top w:val="nil"/>
              <w:left w:val="nil"/>
              <w:bottom w:val="nil"/>
              <w:right w:val="nil"/>
            </w:tcBorders>
            <w:shd w:val="clear" w:color="auto" w:fill="auto"/>
            <w:vAlign w:val="bottom"/>
          </w:tcPr>
          <w:p w14:paraId="30ACFDAD" w14:textId="0E92B6BE" w:rsidR="0014788E" w:rsidRPr="00537128" w:rsidRDefault="0014788E" w:rsidP="0014788E">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2</w:t>
            </w:r>
            <w:r>
              <w:rPr>
                <w:sz w:val="19"/>
                <w:szCs w:val="19"/>
              </w:rPr>
              <w:t>,</w:t>
            </w:r>
            <w:r w:rsidRPr="001B1B87">
              <w:rPr>
                <w:sz w:val="19"/>
                <w:szCs w:val="19"/>
              </w:rPr>
              <w:t>863</w:t>
            </w:r>
            <w:r>
              <w:rPr>
                <w:sz w:val="19"/>
                <w:szCs w:val="19"/>
              </w:rPr>
              <w:t>,</w:t>
            </w:r>
            <w:r w:rsidRPr="001B1B87">
              <w:rPr>
                <w:sz w:val="19"/>
                <w:szCs w:val="19"/>
              </w:rPr>
              <w:t>812</w:t>
            </w:r>
          </w:p>
        </w:tc>
        <w:tc>
          <w:tcPr>
            <w:tcW w:w="682" w:type="pct"/>
            <w:tcBorders>
              <w:top w:val="nil"/>
              <w:left w:val="nil"/>
              <w:bottom w:val="nil"/>
              <w:right w:val="nil"/>
            </w:tcBorders>
            <w:shd w:val="clear" w:color="auto" w:fill="auto"/>
            <w:vAlign w:val="bottom"/>
          </w:tcPr>
          <w:p w14:paraId="778CB022" w14:textId="2003CF7F" w:rsidR="0014788E" w:rsidRPr="00537128" w:rsidRDefault="0014788E" w:rsidP="0014788E">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2</w:t>
            </w:r>
            <w:r>
              <w:rPr>
                <w:sz w:val="19"/>
                <w:szCs w:val="19"/>
              </w:rPr>
              <w:t>,</w:t>
            </w:r>
            <w:r w:rsidRPr="001B1B87">
              <w:rPr>
                <w:sz w:val="19"/>
                <w:szCs w:val="19"/>
              </w:rPr>
              <w:t>860</w:t>
            </w:r>
            <w:r>
              <w:rPr>
                <w:sz w:val="19"/>
                <w:szCs w:val="19"/>
              </w:rPr>
              <w:t>,</w:t>
            </w:r>
            <w:r w:rsidRPr="001B1B87">
              <w:rPr>
                <w:sz w:val="19"/>
                <w:szCs w:val="19"/>
              </w:rPr>
              <w:t>466</w:t>
            </w:r>
          </w:p>
        </w:tc>
      </w:tr>
      <w:tr w:rsidR="0014788E" w:rsidRPr="00537128" w14:paraId="63B0CBC0" w14:textId="77777777" w:rsidTr="00A1123E">
        <w:trPr>
          <w:cantSplit/>
          <w:trHeight w:val="253"/>
          <w:tblHeader/>
        </w:trPr>
        <w:tc>
          <w:tcPr>
            <w:tcW w:w="2274" w:type="pct"/>
            <w:vAlign w:val="bottom"/>
          </w:tcPr>
          <w:p w14:paraId="2AF5E968" w14:textId="77777777" w:rsidR="0014788E" w:rsidRPr="00537128" w:rsidDel="00FF5490" w:rsidRDefault="0014788E" w:rsidP="0014788E">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Education </w:t>
            </w:r>
          </w:p>
        </w:tc>
        <w:tc>
          <w:tcPr>
            <w:tcW w:w="681" w:type="pct"/>
            <w:tcBorders>
              <w:top w:val="nil"/>
              <w:left w:val="nil"/>
              <w:bottom w:val="nil"/>
              <w:right w:val="nil"/>
            </w:tcBorders>
            <w:shd w:val="clear" w:color="auto" w:fill="auto"/>
            <w:vAlign w:val="bottom"/>
          </w:tcPr>
          <w:p w14:paraId="37080B54" w14:textId="6D36F49F" w:rsidR="0014788E" w:rsidRPr="00A1123E" w:rsidRDefault="0014788E" w:rsidP="0014788E">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32</w:t>
            </w:r>
            <w:r w:rsidR="00953512">
              <w:rPr>
                <w:rFonts w:ascii="Calibri" w:hAnsi="Calibri" w:cs="Calibri"/>
                <w:sz w:val="19"/>
                <w:szCs w:val="19"/>
              </w:rPr>
              <w:t>,</w:t>
            </w:r>
            <w:r w:rsidRPr="007A49AD">
              <w:rPr>
                <w:rFonts w:ascii="Calibri" w:hAnsi="Calibri" w:cs="Calibri"/>
                <w:sz w:val="19"/>
                <w:szCs w:val="19"/>
              </w:rPr>
              <w:t>305</w:t>
            </w:r>
          </w:p>
        </w:tc>
        <w:tc>
          <w:tcPr>
            <w:tcW w:w="643" w:type="pct"/>
            <w:tcBorders>
              <w:top w:val="nil"/>
              <w:left w:val="nil"/>
              <w:bottom w:val="nil"/>
              <w:right w:val="nil"/>
            </w:tcBorders>
            <w:shd w:val="clear" w:color="auto" w:fill="auto"/>
            <w:vAlign w:val="bottom"/>
          </w:tcPr>
          <w:p w14:paraId="4AA77978" w14:textId="4C95B768" w:rsidR="0014788E" w:rsidRPr="00A1123E" w:rsidRDefault="0014788E" w:rsidP="0014788E">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30</w:t>
            </w:r>
            <w:r w:rsidR="00953512">
              <w:rPr>
                <w:rFonts w:ascii="Calibri" w:hAnsi="Calibri" w:cs="Calibri"/>
                <w:sz w:val="19"/>
                <w:szCs w:val="19"/>
              </w:rPr>
              <w:t>,</w:t>
            </w:r>
            <w:r w:rsidRPr="007A49AD">
              <w:rPr>
                <w:rFonts w:ascii="Calibri" w:hAnsi="Calibri" w:cs="Calibri"/>
                <w:sz w:val="19"/>
                <w:szCs w:val="19"/>
              </w:rPr>
              <w:t>130</w:t>
            </w:r>
          </w:p>
        </w:tc>
        <w:tc>
          <w:tcPr>
            <w:tcW w:w="720" w:type="pct"/>
            <w:tcBorders>
              <w:top w:val="nil"/>
              <w:left w:val="nil"/>
              <w:bottom w:val="nil"/>
              <w:right w:val="nil"/>
            </w:tcBorders>
            <w:shd w:val="clear" w:color="auto" w:fill="auto"/>
            <w:vAlign w:val="bottom"/>
          </w:tcPr>
          <w:p w14:paraId="15EBD646" w14:textId="0F8B6B38" w:rsidR="0014788E" w:rsidRPr="00537128" w:rsidRDefault="0014788E" w:rsidP="0014788E">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32</w:t>
            </w:r>
            <w:r>
              <w:rPr>
                <w:sz w:val="19"/>
                <w:szCs w:val="19"/>
              </w:rPr>
              <w:t>,</w:t>
            </w:r>
            <w:r w:rsidRPr="001B1B87">
              <w:rPr>
                <w:sz w:val="19"/>
                <w:szCs w:val="19"/>
              </w:rPr>
              <w:t>142</w:t>
            </w:r>
          </w:p>
        </w:tc>
        <w:tc>
          <w:tcPr>
            <w:tcW w:w="682" w:type="pct"/>
            <w:tcBorders>
              <w:top w:val="nil"/>
              <w:left w:val="nil"/>
              <w:bottom w:val="nil"/>
              <w:right w:val="nil"/>
            </w:tcBorders>
            <w:shd w:val="clear" w:color="auto" w:fill="auto"/>
            <w:vAlign w:val="bottom"/>
          </w:tcPr>
          <w:p w14:paraId="13880191" w14:textId="0B370225" w:rsidR="0014788E" w:rsidRPr="00537128" w:rsidRDefault="0014788E" w:rsidP="0014788E">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29</w:t>
            </w:r>
            <w:r>
              <w:rPr>
                <w:sz w:val="19"/>
                <w:szCs w:val="19"/>
              </w:rPr>
              <w:t>,</w:t>
            </w:r>
            <w:r w:rsidRPr="001B1B87">
              <w:rPr>
                <w:sz w:val="19"/>
                <w:szCs w:val="19"/>
              </w:rPr>
              <w:t>789</w:t>
            </w:r>
          </w:p>
        </w:tc>
      </w:tr>
      <w:tr w:rsidR="0014788E" w:rsidRPr="00537128" w14:paraId="050F9072" w14:textId="77777777" w:rsidTr="00A1123E">
        <w:trPr>
          <w:cantSplit/>
          <w:trHeight w:val="253"/>
          <w:tblHeader/>
        </w:trPr>
        <w:tc>
          <w:tcPr>
            <w:tcW w:w="2274" w:type="pct"/>
            <w:vAlign w:val="bottom"/>
          </w:tcPr>
          <w:p w14:paraId="108567CF" w14:textId="77777777" w:rsidR="0014788E" w:rsidRPr="00537128" w:rsidRDefault="0014788E" w:rsidP="0014788E">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Manufacture of basic metals and fabricated metal products, except machinery and equipment </w:t>
            </w:r>
          </w:p>
        </w:tc>
        <w:tc>
          <w:tcPr>
            <w:tcW w:w="681" w:type="pct"/>
            <w:tcBorders>
              <w:top w:val="nil"/>
              <w:left w:val="nil"/>
              <w:bottom w:val="nil"/>
              <w:right w:val="nil"/>
            </w:tcBorders>
            <w:shd w:val="clear" w:color="auto" w:fill="auto"/>
            <w:vAlign w:val="bottom"/>
          </w:tcPr>
          <w:p w14:paraId="68EC289E" w14:textId="5FDFA454" w:rsidR="0014788E" w:rsidRPr="00A1123E" w:rsidRDefault="0014788E" w:rsidP="0014788E">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273</w:t>
            </w:r>
            <w:r w:rsidR="00953512">
              <w:rPr>
                <w:rFonts w:ascii="Calibri" w:hAnsi="Calibri" w:cs="Calibri"/>
                <w:sz w:val="19"/>
                <w:szCs w:val="19"/>
              </w:rPr>
              <w:t>,</w:t>
            </w:r>
            <w:r w:rsidRPr="007A49AD">
              <w:rPr>
                <w:rFonts w:ascii="Calibri" w:hAnsi="Calibri" w:cs="Calibri"/>
                <w:sz w:val="19"/>
                <w:szCs w:val="19"/>
              </w:rPr>
              <w:t>867</w:t>
            </w:r>
          </w:p>
        </w:tc>
        <w:tc>
          <w:tcPr>
            <w:tcW w:w="643" w:type="pct"/>
            <w:tcBorders>
              <w:top w:val="nil"/>
              <w:left w:val="nil"/>
              <w:bottom w:val="nil"/>
              <w:right w:val="nil"/>
            </w:tcBorders>
            <w:shd w:val="clear" w:color="auto" w:fill="auto"/>
            <w:vAlign w:val="bottom"/>
          </w:tcPr>
          <w:p w14:paraId="46DF2CFC" w14:textId="7AFF8D92" w:rsidR="0014788E" w:rsidRPr="00A1123E" w:rsidRDefault="0014788E" w:rsidP="0014788E">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56</w:t>
            </w:r>
            <w:r w:rsidR="00953512">
              <w:rPr>
                <w:rFonts w:ascii="Calibri" w:hAnsi="Calibri" w:cs="Calibri"/>
                <w:sz w:val="19"/>
                <w:szCs w:val="19"/>
              </w:rPr>
              <w:t>,</w:t>
            </w:r>
            <w:r w:rsidRPr="007A49AD">
              <w:rPr>
                <w:rFonts w:ascii="Calibri" w:hAnsi="Calibri" w:cs="Calibri"/>
                <w:sz w:val="19"/>
                <w:szCs w:val="19"/>
              </w:rPr>
              <w:t>341</w:t>
            </w:r>
          </w:p>
        </w:tc>
        <w:tc>
          <w:tcPr>
            <w:tcW w:w="720" w:type="pct"/>
            <w:tcBorders>
              <w:top w:val="nil"/>
              <w:left w:val="nil"/>
              <w:bottom w:val="nil"/>
              <w:right w:val="nil"/>
            </w:tcBorders>
            <w:shd w:val="clear" w:color="auto" w:fill="auto"/>
            <w:vAlign w:val="bottom"/>
          </w:tcPr>
          <w:p w14:paraId="7ACD957D" w14:textId="0F9516B3" w:rsidR="0014788E" w:rsidRPr="00537128" w:rsidRDefault="0014788E" w:rsidP="0014788E">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281</w:t>
            </w:r>
            <w:r>
              <w:rPr>
                <w:sz w:val="19"/>
                <w:szCs w:val="19"/>
              </w:rPr>
              <w:t>,</w:t>
            </w:r>
            <w:r w:rsidRPr="001B1B87">
              <w:rPr>
                <w:sz w:val="19"/>
                <w:szCs w:val="19"/>
              </w:rPr>
              <w:t>312</w:t>
            </w:r>
          </w:p>
        </w:tc>
        <w:tc>
          <w:tcPr>
            <w:tcW w:w="682" w:type="pct"/>
            <w:tcBorders>
              <w:top w:val="nil"/>
              <w:left w:val="nil"/>
              <w:bottom w:val="nil"/>
              <w:right w:val="nil"/>
            </w:tcBorders>
            <w:shd w:val="clear" w:color="auto" w:fill="auto"/>
            <w:vAlign w:val="bottom"/>
          </w:tcPr>
          <w:p w14:paraId="3BECC35D" w14:textId="0FF0C06A" w:rsidR="0014788E" w:rsidRPr="00537128" w:rsidRDefault="0014788E" w:rsidP="0014788E">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46</w:t>
            </w:r>
            <w:r>
              <w:rPr>
                <w:sz w:val="19"/>
                <w:szCs w:val="19"/>
              </w:rPr>
              <w:t>,</w:t>
            </w:r>
            <w:r w:rsidRPr="001B1B87">
              <w:rPr>
                <w:sz w:val="19"/>
                <w:szCs w:val="19"/>
              </w:rPr>
              <w:t>808</w:t>
            </w:r>
          </w:p>
        </w:tc>
      </w:tr>
      <w:tr w:rsidR="0014788E" w:rsidRPr="00537128" w14:paraId="76799681" w14:textId="77777777" w:rsidTr="00A1123E">
        <w:trPr>
          <w:cantSplit/>
          <w:trHeight w:val="253"/>
          <w:tblHeader/>
        </w:trPr>
        <w:tc>
          <w:tcPr>
            <w:tcW w:w="2274" w:type="pct"/>
            <w:vAlign w:val="bottom"/>
          </w:tcPr>
          <w:p w14:paraId="412507BB" w14:textId="77777777" w:rsidR="0014788E" w:rsidRPr="00537128" w:rsidRDefault="0014788E" w:rsidP="0014788E">
            <w:pPr>
              <w:spacing w:after="0" w:line="280" w:lineRule="exact"/>
              <w:rPr>
                <w:rFonts w:ascii="Calibri" w:eastAsia="Calibri" w:hAnsi="Calibri" w:cs="Arial"/>
                <w:sz w:val="19"/>
                <w:szCs w:val="19"/>
                <w:lang w:val="en-US"/>
              </w:rPr>
            </w:pPr>
            <w:r w:rsidRPr="00537128">
              <w:rPr>
                <w:rFonts w:ascii="Calibri" w:eastAsia="Calibri" w:hAnsi="Calibri" w:cs="Arial"/>
                <w:bCs/>
                <w:sz w:val="19"/>
                <w:szCs w:val="19"/>
                <w:lang w:val="en-US"/>
              </w:rPr>
              <w:t xml:space="preserve">Manufacture of chemicals and chemical products </w:t>
            </w:r>
          </w:p>
        </w:tc>
        <w:tc>
          <w:tcPr>
            <w:tcW w:w="681" w:type="pct"/>
            <w:tcBorders>
              <w:top w:val="nil"/>
              <w:left w:val="nil"/>
              <w:bottom w:val="nil"/>
              <w:right w:val="nil"/>
            </w:tcBorders>
            <w:shd w:val="clear" w:color="auto" w:fill="auto"/>
            <w:vAlign w:val="bottom"/>
          </w:tcPr>
          <w:p w14:paraId="44A6721E" w14:textId="119F3409" w:rsidR="0014788E" w:rsidRPr="00A1123E" w:rsidRDefault="0014788E" w:rsidP="0014788E">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82</w:t>
            </w:r>
            <w:r w:rsidR="00953512">
              <w:rPr>
                <w:rFonts w:ascii="Calibri" w:hAnsi="Calibri" w:cs="Calibri"/>
                <w:sz w:val="19"/>
                <w:szCs w:val="19"/>
              </w:rPr>
              <w:t>,</w:t>
            </w:r>
            <w:r w:rsidRPr="007A49AD">
              <w:rPr>
                <w:rFonts w:ascii="Calibri" w:hAnsi="Calibri" w:cs="Calibri"/>
                <w:sz w:val="19"/>
                <w:szCs w:val="19"/>
              </w:rPr>
              <w:t>467</w:t>
            </w:r>
          </w:p>
        </w:tc>
        <w:tc>
          <w:tcPr>
            <w:tcW w:w="643" w:type="pct"/>
            <w:tcBorders>
              <w:top w:val="nil"/>
              <w:left w:val="nil"/>
              <w:bottom w:val="nil"/>
              <w:right w:val="nil"/>
            </w:tcBorders>
            <w:shd w:val="clear" w:color="auto" w:fill="auto"/>
            <w:vAlign w:val="bottom"/>
          </w:tcPr>
          <w:p w14:paraId="4074B2EE" w14:textId="33861D7F" w:rsidR="0014788E" w:rsidRPr="00A1123E" w:rsidRDefault="0014788E" w:rsidP="0014788E">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23</w:t>
            </w:r>
            <w:r w:rsidR="00953512">
              <w:rPr>
                <w:rFonts w:ascii="Calibri" w:hAnsi="Calibri" w:cs="Calibri"/>
                <w:sz w:val="19"/>
                <w:szCs w:val="19"/>
              </w:rPr>
              <w:t>,</w:t>
            </w:r>
            <w:r w:rsidRPr="007A49AD">
              <w:rPr>
                <w:rFonts w:ascii="Calibri" w:hAnsi="Calibri" w:cs="Calibri"/>
                <w:sz w:val="19"/>
                <w:szCs w:val="19"/>
              </w:rPr>
              <w:t>611</w:t>
            </w:r>
          </w:p>
        </w:tc>
        <w:tc>
          <w:tcPr>
            <w:tcW w:w="720" w:type="pct"/>
            <w:tcBorders>
              <w:top w:val="nil"/>
              <w:left w:val="nil"/>
              <w:bottom w:val="nil"/>
              <w:right w:val="nil"/>
            </w:tcBorders>
            <w:shd w:val="clear" w:color="auto" w:fill="auto"/>
            <w:vAlign w:val="bottom"/>
          </w:tcPr>
          <w:p w14:paraId="5801199E" w14:textId="3622E314" w:rsidR="0014788E" w:rsidRPr="00537128" w:rsidRDefault="0014788E" w:rsidP="0014788E">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86</w:t>
            </w:r>
            <w:r>
              <w:rPr>
                <w:sz w:val="19"/>
                <w:szCs w:val="19"/>
              </w:rPr>
              <w:t>,</w:t>
            </w:r>
            <w:r w:rsidRPr="001B1B87">
              <w:rPr>
                <w:sz w:val="19"/>
                <w:szCs w:val="19"/>
              </w:rPr>
              <w:t>151</w:t>
            </w:r>
          </w:p>
        </w:tc>
        <w:tc>
          <w:tcPr>
            <w:tcW w:w="682" w:type="pct"/>
            <w:tcBorders>
              <w:top w:val="nil"/>
              <w:left w:val="nil"/>
              <w:bottom w:val="nil"/>
              <w:right w:val="nil"/>
            </w:tcBorders>
            <w:shd w:val="clear" w:color="auto" w:fill="auto"/>
            <w:vAlign w:val="bottom"/>
          </w:tcPr>
          <w:p w14:paraId="3D40B557" w14:textId="6A882787" w:rsidR="0014788E" w:rsidRPr="00537128" w:rsidRDefault="0014788E" w:rsidP="0014788E">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22</w:t>
            </w:r>
            <w:r>
              <w:rPr>
                <w:sz w:val="19"/>
                <w:szCs w:val="19"/>
              </w:rPr>
              <w:t>,</w:t>
            </w:r>
            <w:r w:rsidRPr="001B1B87">
              <w:rPr>
                <w:sz w:val="19"/>
                <w:szCs w:val="19"/>
              </w:rPr>
              <w:t>533</w:t>
            </w:r>
          </w:p>
        </w:tc>
      </w:tr>
      <w:tr w:rsidR="0014788E" w:rsidRPr="00537128" w14:paraId="4A03EE95" w14:textId="77777777" w:rsidTr="00A1123E">
        <w:trPr>
          <w:cantSplit/>
          <w:trHeight w:val="253"/>
          <w:tblHeader/>
        </w:trPr>
        <w:tc>
          <w:tcPr>
            <w:tcW w:w="2274" w:type="pct"/>
            <w:vAlign w:val="bottom"/>
          </w:tcPr>
          <w:p w14:paraId="318FD324" w14:textId="77777777" w:rsidR="0014788E" w:rsidRPr="00537128" w:rsidRDefault="0014788E" w:rsidP="0014788E">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Manufacture of other non-metallic mineral products</w:t>
            </w:r>
          </w:p>
        </w:tc>
        <w:tc>
          <w:tcPr>
            <w:tcW w:w="681" w:type="pct"/>
            <w:tcBorders>
              <w:top w:val="nil"/>
              <w:left w:val="nil"/>
              <w:bottom w:val="nil"/>
              <w:right w:val="nil"/>
            </w:tcBorders>
            <w:shd w:val="clear" w:color="auto" w:fill="auto"/>
            <w:vAlign w:val="bottom"/>
          </w:tcPr>
          <w:p w14:paraId="75A3E4B7" w14:textId="48B54F17" w:rsidR="0014788E" w:rsidRPr="00A1123E" w:rsidRDefault="0014788E" w:rsidP="0014788E">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165</w:t>
            </w:r>
            <w:r w:rsidR="00953512">
              <w:rPr>
                <w:rFonts w:ascii="Calibri" w:hAnsi="Calibri" w:cs="Calibri"/>
                <w:sz w:val="19"/>
                <w:szCs w:val="19"/>
              </w:rPr>
              <w:t>,</w:t>
            </w:r>
            <w:r w:rsidRPr="007A49AD">
              <w:rPr>
                <w:rFonts w:ascii="Calibri" w:hAnsi="Calibri" w:cs="Calibri"/>
                <w:sz w:val="19"/>
                <w:szCs w:val="19"/>
              </w:rPr>
              <w:t>557</w:t>
            </w:r>
          </w:p>
        </w:tc>
        <w:tc>
          <w:tcPr>
            <w:tcW w:w="643" w:type="pct"/>
            <w:tcBorders>
              <w:top w:val="nil"/>
              <w:left w:val="nil"/>
              <w:bottom w:val="nil"/>
              <w:right w:val="nil"/>
            </w:tcBorders>
            <w:shd w:val="clear" w:color="auto" w:fill="auto"/>
            <w:vAlign w:val="bottom"/>
          </w:tcPr>
          <w:p w14:paraId="2B8A3C1D" w14:textId="4031F91A" w:rsidR="0014788E" w:rsidRPr="00A1123E" w:rsidRDefault="0014788E" w:rsidP="0014788E">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132</w:t>
            </w:r>
            <w:r w:rsidR="00953512">
              <w:rPr>
                <w:rFonts w:ascii="Calibri" w:hAnsi="Calibri" w:cs="Calibri"/>
                <w:sz w:val="19"/>
                <w:szCs w:val="19"/>
              </w:rPr>
              <w:t>,</w:t>
            </w:r>
            <w:r w:rsidRPr="007A49AD">
              <w:rPr>
                <w:rFonts w:ascii="Calibri" w:hAnsi="Calibri" w:cs="Calibri"/>
                <w:sz w:val="19"/>
                <w:szCs w:val="19"/>
              </w:rPr>
              <w:t>663</w:t>
            </w:r>
          </w:p>
        </w:tc>
        <w:tc>
          <w:tcPr>
            <w:tcW w:w="720" w:type="pct"/>
            <w:tcBorders>
              <w:top w:val="nil"/>
              <w:left w:val="nil"/>
              <w:bottom w:val="nil"/>
              <w:right w:val="nil"/>
            </w:tcBorders>
            <w:shd w:val="clear" w:color="auto" w:fill="auto"/>
            <w:vAlign w:val="bottom"/>
          </w:tcPr>
          <w:p w14:paraId="7130F348" w14:textId="27E14D75" w:rsidR="0014788E" w:rsidRPr="00537128" w:rsidRDefault="0014788E" w:rsidP="0014788E">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171</w:t>
            </w:r>
            <w:r>
              <w:rPr>
                <w:sz w:val="19"/>
                <w:szCs w:val="19"/>
              </w:rPr>
              <w:t>,</w:t>
            </w:r>
            <w:r w:rsidRPr="001B1B87">
              <w:rPr>
                <w:sz w:val="19"/>
                <w:szCs w:val="19"/>
              </w:rPr>
              <w:t>322</w:t>
            </w:r>
          </w:p>
        </w:tc>
        <w:tc>
          <w:tcPr>
            <w:tcW w:w="682" w:type="pct"/>
            <w:tcBorders>
              <w:top w:val="nil"/>
              <w:left w:val="nil"/>
              <w:bottom w:val="nil"/>
              <w:right w:val="nil"/>
            </w:tcBorders>
            <w:shd w:val="clear" w:color="auto" w:fill="auto"/>
            <w:vAlign w:val="bottom"/>
          </w:tcPr>
          <w:p w14:paraId="7DF20DAF" w14:textId="0D09F7B3" w:rsidR="0014788E" w:rsidRPr="00537128" w:rsidRDefault="0014788E" w:rsidP="0014788E">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126</w:t>
            </w:r>
            <w:r>
              <w:rPr>
                <w:sz w:val="19"/>
                <w:szCs w:val="19"/>
              </w:rPr>
              <w:t>,</w:t>
            </w:r>
            <w:r w:rsidRPr="001B1B87">
              <w:rPr>
                <w:sz w:val="19"/>
                <w:szCs w:val="19"/>
              </w:rPr>
              <w:t>355</w:t>
            </w:r>
          </w:p>
        </w:tc>
      </w:tr>
      <w:tr w:rsidR="0014788E" w:rsidRPr="00537128" w14:paraId="2CB6B370" w14:textId="77777777" w:rsidTr="00A1123E">
        <w:trPr>
          <w:cantSplit/>
          <w:trHeight w:val="253"/>
          <w:tblHeader/>
        </w:trPr>
        <w:tc>
          <w:tcPr>
            <w:tcW w:w="2274" w:type="pct"/>
            <w:vAlign w:val="bottom"/>
          </w:tcPr>
          <w:p w14:paraId="13E49549" w14:textId="77777777" w:rsidR="0014788E" w:rsidRPr="00537128" w:rsidRDefault="0014788E" w:rsidP="0014788E">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Pharmaceutical industry </w:t>
            </w:r>
          </w:p>
        </w:tc>
        <w:tc>
          <w:tcPr>
            <w:tcW w:w="681" w:type="pct"/>
            <w:tcBorders>
              <w:top w:val="nil"/>
              <w:left w:val="nil"/>
              <w:bottom w:val="nil"/>
              <w:right w:val="nil"/>
            </w:tcBorders>
            <w:shd w:val="clear" w:color="auto" w:fill="auto"/>
            <w:vAlign w:val="bottom"/>
          </w:tcPr>
          <w:p w14:paraId="433FCC1D" w14:textId="7D5F7FCB" w:rsidR="0014788E" w:rsidRPr="00A1123E" w:rsidRDefault="0014788E" w:rsidP="0014788E">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408</w:t>
            </w:r>
            <w:r w:rsidR="00953512">
              <w:rPr>
                <w:rFonts w:ascii="Calibri" w:hAnsi="Calibri" w:cs="Calibri"/>
                <w:sz w:val="19"/>
                <w:szCs w:val="19"/>
              </w:rPr>
              <w:t>,</w:t>
            </w:r>
            <w:r w:rsidRPr="007A49AD">
              <w:rPr>
                <w:rFonts w:ascii="Calibri" w:hAnsi="Calibri" w:cs="Calibri"/>
                <w:sz w:val="19"/>
                <w:szCs w:val="19"/>
              </w:rPr>
              <w:t>455</w:t>
            </w:r>
          </w:p>
        </w:tc>
        <w:tc>
          <w:tcPr>
            <w:tcW w:w="643" w:type="pct"/>
            <w:tcBorders>
              <w:top w:val="nil"/>
              <w:left w:val="nil"/>
              <w:bottom w:val="nil"/>
              <w:right w:val="nil"/>
            </w:tcBorders>
            <w:shd w:val="clear" w:color="auto" w:fill="auto"/>
            <w:vAlign w:val="bottom"/>
          </w:tcPr>
          <w:p w14:paraId="01865007" w14:textId="1F1240F5" w:rsidR="0014788E" w:rsidRPr="00A1123E" w:rsidRDefault="0014788E" w:rsidP="0014788E">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371</w:t>
            </w:r>
            <w:r w:rsidR="00953512">
              <w:rPr>
                <w:rFonts w:ascii="Calibri" w:hAnsi="Calibri" w:cs="Calibri"/>
                <w:sz w:val="19"/>
                <w:szCs w:val="19"/>
              </w:rPr>
              <w:t>,</w:t>
            </w:r>
            <w:r w:rsidRPr="007A49AD">
              <w:rPr>
                <w:rFonts w:ascii="Calibri" w:hAnsi="Calibri" w:cs="Calibri"/>
                <w:sz w:val="19"/>
                <w:szCs w:val="19"/>
              </w:rPr>
              <w:t>270</w:t>
            </w:r>
          </w:p>
        </w:tc>
        <w:tc>
          <w:tcPr>
            <w:tcW w:w="720" w:type="pct"/>
            <w:tcBorders>
              <w:top w:val="nil"/>
              <w:left w:val="nil"/>
              <w:bottom w:val="nil"/>
              <w:right w:val="nil"/>
            </w:tcBorders>
            <w:shd w:val="clear" w:color="auto" w:fill="auto"/>
            <w:vAlign w:val="bottom"/>
          </w:tcPr>
          <w:p w14:paraId="18B8C7B4" w14:textId="3A062716" w:rsidR="0014788E" w:rsidRPr="00537128" w:rsidRDefault="0014788E" w:rsidP="0014788E">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414</w:t>
            </w:r>
            <w:r>
              <w:rPr>
                <w:sz w:val="19"/>
                <w:szCs w:val="19"/>
              </w:rPr>
              <w:t>,</w:t>
            </w:r>
            <w:r w:rsidRPr="001B1B87">
              <w:rPr>
                <w:sz w:val="19"/>
                <w:szCs w:val="19"/>
              </w:rPr>
              <w:t>615</w:t>
            </w:r>
          </w:p>
        </w:tc>
        <w:tc>
          <w:tcPr>
            <w:tcW w:w="682" w:type="pct"/>
            <w:tcBorders>
              <w:top w:val="nil"/>
              <w:left w:val="nil"/>
              <w:bottom w:val="nil"/>
              <w:right w:val="nil"/>
            </w:tcBorders>
            <w:shd w:val="clear" w:color="auto" w:fill="auto"/>
            <w:vAlign w:val="bottom"/>
          </w:tcPr>
          <w:p w14:paraId="03D20FD9" w14:textId="047337BB" w:rsidR="0014788E" w:rsidRPr="00537128" w:rsidRDefault="0014788E" w:rsidP="0014788E">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377</w:t>
            </w:r>
            <w:r>
              <w:rPr>
                <w:sz w:val="19"/>
                <w:szCs w:val="19"/>
              </w:rPr>
              <w:t>,</w:t>
            </w:r>
            <w:r w:rsidRPr="001B1B87">
              <w:rPr>
                <w:sz w:val="19"/>
                <w:szCs w:val="19"/>
              </w:rPr>
              <w:t>809</w:t>
            </w:r>
          </w:p>
        </w:tc>
      </w:tr>
      <w:tr w:rsidR="0014788E" w:rsidRPr="00537128" w14:paraId="54DC4B90" w14:textId="77777777" w:rsidTr="00953512">
        <w:trPr>
          <w:cantSplit/>
          <w:trHeight w:val="253"/>
          <w:tblHeader/>
        </w:trPr>
        <w:tc>
          <w:tcPr>
            <w:tcW w:w="2274" w:type="pct"/>
            <w:vAlign w:val="bottom"/>
          </w:tcPr>
          <w:p w14:paraId="780EA956" w14:textId="77777777" w:rsidR="0014788E" w:rsidRPr="00537128" w:rsidRDefault="0014788E" w:rsidP="0014788E">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Manufacture of motor vehicles, </w:t>
            </w:r>
            <w:proofErr w:type="gramStart"/>
            <w:r w:rsidRPr="00537128">
              <w:rPr>
                <w:rFonts w:ascii="Calibri" w:eastAsia="Calibri" w:hAnsi="Calibri" w:cs="Arial"/>
                <w:bCs/>
                <w:sz w:val="19"/>
                <w:szCs w:val="19"/>
                <w:lang w:val="en-US"/>
              </w:rPr>
              <w:t>trailers</w:t>
            </w:r>
            <w:proofErr w:type="gramEnd"/>
            <w:r w:rsidRPr="00537128">
              <w:rPr>
                <w:rFonts w:ascii="Calibri" w:eastAsia="Calibri" w:hAnsi="Calibri" w:cs="Arial"/>
                <w:bCs/>
                <w:sz w:val="19"/>
                <w:szCs w:val="19"/>
                <w:lang w:val="en-US"/>
              </w:rPr>
              <w:t xml:space="preserve"> and semi - trailers</w:t>
            </w:r>
          </w:p>
        </w:tc>
        <w:tc>
          <w:tcPr>
            <w:tcW w:w="681" w:type="pct"/>
            <w:tcBorders>
              <w:top w:val="nil"/>
              <w:left w:val="nil"/>
              <w:right w:val="nil"/>
            </w:tcBorders>
            <w:shd w:val="clear" w:color="auto" w:fill="auto"/>
            <w:vAlign w:val="bottom"/>
          </w:tcPr>
          <w:p w14:paraId="65834209" w14:textId="7054A300" w:rsidR="0014788E" w:rsidRPr="00A1123E" w:rsidRDefault="0014788E" w:rsidP="0014788E">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264</w:t>
            </w:r>
            <w:r w:rsidR="00953512">
              <w:rPr>
                <w:rFonts w:ascii="Calibri" w:hAnsi="Calibri" w:cs="Calibri"/>
                <w:sz w:val="19"/>
                <w:szCs w:val="19"/>
              </w:rPr>
              <w:t>,</w:t>
            </w:r>
            <w:r w:rsidRPr="007A49AD">
              <w:rPr>
                <w:rFonts w:ascii="Calibri" w:hAnsi="Calibri" w:cs="Calibri"/>
                <w:sz w:val="19"/>
                <w:szCs w:val="19"/>
              </w:rPr>
              <w:t>573</w:t>
            </w:r>
          </w:p>
        </w:tc>
        <w:tc>
          <w:tcPr>
            <w:tcW w:w="643" w:type="pct"/>
            <w:tcBorders>
              <w:top w:val="nil"/>
              <w:left w:val="nil"/>
              <w:right w:val="nil"/>
            </w:tcBorders>
            <w:shd w:val="clear" w:color="auto" w:fill="auto"/>
            <w:vAlign w:val="bottom"/>
          </w:tcPr>
          <w:p w14:paraId="77894A2D" w14:textId="25DE16FE" w:rsidR="0014788E" w:rsidRPr="00A1123E" w:rsidRDefault="0014788E" w:rsidP="0014788E">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17</w:t>
            </w:r>
            <w:r w:rsidR="00953512">
              <w:rPr>
                <w:rFonts w:ascii="Calibri" w:hAnsi="Calibri" w:cs="Calibri"/>
                <w:sz w:val="19"/>
                <w:szCs w:val="19"/>
              </w:rPr>
              <w:t>,</w:t>
            </w:r>
            <w:r w:rsidRPr="007A49AD">
              <w:rPr>
                <w:rFonts w:ascii="Calibri" w:hAnsi="Calibri" w:cs="Calibri"/>
                <w:sz w:val="19"/>
                <w:szCs w:val="19"/>
              </w:rPr>
              <w:t>033</w:t>
            </w:r>
          </w:p>
        </w:tc>
        <w:tc>
          <w:tcPr>
            <w:tcW w:w="720" w:type="pct"/>
            <w:tcBorders>
              <w:top w:val="nil"/>
              <w:left w:val="nil"/>
              <w:right w:val="nil"/>
            </w:tcBorders>
            <w:shd w:val="clear" w:color="auto" w:fill="auto"/>
            <w:vAlign w:val="bottom"/>
          </w:tcPr>
          <w:p w14:paraId="68EFAAAA" w14:textId="1DF2D4DA" w:rsidR="0014788E" w:rsidRPr="00537128" w:rsidRDefault="0014788E" w:rsidP="0014788E">
            <w:pPr>
              <w:tabs>
                <w:tab w:val="right" w:pos="1202"/>
              </w:tabs>
              <w:spacing w:after="0" w:line="240" w:lineRule="auto"/>
              <w:jc w:val="right"/>
              <w:outlineLvl w:val="0"/>
              <w:rPr>
                <w:rFonts w:ascii="Calibri" w:eastAsia="Times New Roman" w:hAnsi="Calibri" w:cs="Calibri"/>
                <w:color w:val="000000"/>
                <w:sz w:val="19"/>
                <w:szCs w:val="19"/>
                <w:lang w:val="en-US"/>
              </w:rPr>
            </w:pPr>
            <w:r w:rsidRPr="001B1B87">
              <w:rPr>
                <w:sz w:val="19"/>
                <w:szCs w:val="19"/>
              </w:rPr>
              <w:t>266</w:t>
            </w:r>
            <w:r>
              <w:rPr>
                <w:sz w:val="19"/>
                <w:szCs w:val="19"/>
              </w:rPr>
              <w:t>,</w:t>
            </w:r>
            <w:r w:rsidRPr="001B1B87">
              <w:rPr>
                <w:sz w:val="19"/>
                <w:szCs w:val="19"/>
              </w:rPr>
              <w:t>004</w:t>
            </w:r>
          </w:p>
        </w:tc>
        <w:tc>
          <w:tcPr>
            <w:tcW w:w="682" w:type="pct"/>
            <w:tcBorders>
              <w:top w:val="nil"/>
              <w:left w:val="nil"/>
              <w:right w:val="nil"/>
            </w:tcBorders>
            <w:shd w:val="clear" w:color="auto" w:fill="auto"/>
            <w:vAlign w:val="bottom"/>
          </w:tcPr>
          <w:p w14:paraId="4D732196" w14:textId="2C54F712" w:rsidR="0014788E" w:rsidRPr="00537128" w:rsidRDefault="0014788E" w:rsidP="0014788E">
            <w:pPr>
              <w:tabs>
                <w:tab w:val="right" w:pos="1202"/>
              </w:tabs>
              <w:spacing w:after="0" w:line="240" w:lineRule="auto"/>
              <w:jc w:val="right"/>
              <w:outlineLvl w:val="0"/>
              <w:rPr>
                <w:rFonts w:ascii="Calibri" w:eastAsia="Times New Roman" w:hAnsi="Calibri" w:cs="Calibri"/>
                <w:color w:val="000000"/>
                <w:sz w:val="19"/>
                <w:szCs w:val="19"/>
                <w:lang w:val="en-US"/>
              </w:rPr>
            </w:pPr>
            <w:r w:rsidRPr="001B1B87">
              <w:rPr>
                <w:sz w:val="19"/>
                <w:szCs w:val="19"/>
              </w:rPr>
              <w:t>17</w:t>
            </w:r>
            <w:r>
              <w:rPr>
                <w:sz w:val="19"/>
                <w:szCs w:val="19"/>
              </w:rPr>
              <w:t>,</w:t>
            </w:r>
            <w:r w:rsidRPr="001B1B87">
              <w:rPr>
                <w:sz w:val="19"/>
                <w:szCs w:val="19"/>
              </w:rPr>
              <w:t>411</w:t>
            </w:r>
          </w:p>
        </w:tc>
      </w:tr>
      <w:tr w:rsidR="0014788E" w:rsidRPr="00537128" w14:paraId="6F573DA7" w14:textId="77777777" w:rsidTr="00953512">
        <w:trPr>
          <w:cantSplit/>
          <w:trHeight w:val="253"/>
          <w:tblHeader/>
        </w:trPr>
        <w:tc>
          <w:tcPr>
            <w:tcW w:w="2274" w:type="pct"/>
            <w:vAlign w:val="bottom"/>
          </w:tcPr>
          <w:p w14:paraId="224BA583" w14:textId="77777777" w:rsidR="0014788E" w:rsidRPr="00537128" w:rsidRDefault="0014788E" w:rsidP="0014788E">
            <w:pPr>
              <w:spacing w:after="0" w:line="280" w:lineRule="exact"/>
              <w:rPr>
                <w:rFonts w:ascii="Calibri" w:eastAsia="Calibri" w:hAnsi="Calibri" w:cs="Arial"/>
                <w:sz w:val="19"/>
                <w:szCs w:val="19"/>
                <w:lang w:val="en-US"/>
              </w:rPr>
            </w:pPr>
            <w:r w:rsidRPr="00537128">
              <w:rPr>
                <w:rFonts w:ascii="Calibri" w:eastAsia="Calibri" w:hAnsi="Calibri" w:cs="Arial"/>
                <w:bCs/>
                <w:sz w:val="19"/>
                <w:szCs w:val="19"/>
                <w:lang w:val="en-US"/>
              </w:rPr>
              <w:t xml:space="preserve">Other </w:t>
            </w:r>
          </w:p>
        </w:tc>
        <w:tc>
          <w:tcPr>
            <w:tcW w:w="681" w:type="pct"/>
            <w:tcBorders>
              <w:top w:val="nil"/>
              <w:left w:val="nil"/>
              <w:bottom w:val="single" w:sz="4" w:space="0" w:color="auto"/>
              <w:right w:val="nil"/>
            </w:tcBorders>
            <w:shd w:val="clear" w:color="auto" w:fill="auto"/>
            <w:vAlign w:val="bottom"/>
          </w:tcPr>
          <w:p w14:paraId="4B195008" w14:textId="01D20E16" w:rsidR="0014788E" w:rsidRPr="00A1123E" w:rsidRDefault="0014788E" w:rsidP="0014788E">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1</w:t>
            </w:r>
            <w:r w:rsidR="00953512">
              <w:rPr>
                <w:rFonts w:ascii="Calibri" w:hAnsi="Calibri" w:cs="Calibri"/>
                <w:sz w:val="19"/>
                <w:szCs w:val="19"/>
              </w:rPr>
              <w:t>,</w:t>
            </w:r>
            <w:r w:rsidRPr="007A49AD">
              <w:rPr>
                <w:rFonts w:ascii="Calibri" w:hAnsi="Calibri" w:cs="Calibri"/>
                <w:sz w:val="19"/>
                <w:szCs w:val="19"/>
              </w:rPr>
              <w:t>989</w:t>
            </w:r>
            <w:r w:rsidR="00953512">
              <w:rPr>
                <w:rFonts w:ascii="Calibri" w:hAnsi="Calibri" w:cs="Calibri"/>
                <w:sz w:val="19"/>
                <w:szCs w:val="19"/>
              </w:rPr>
              <w:t>,</w:t>
            </w:r>
            <w:r w:rsidRPr="007A49AD">
              <w:rPr>
                <w:rFonts w:ascii="Calibri" w:hAnsi="Calibri" w:cs="Calibri"/>
                <w:sz w:val="19"/>
                <w:szCs w:val="19"/>
              </w:rPr>
              <w:t>293</w:t>
            </w:r>
          </w:p>
        </w:tc>
        <w:tc>
          <w:tcPr>
            <w:tcW w:w="643" w:type="pct"/>
            <w:tcBorders>
              <w:top w:val="nil"/>
              <w:left w:val="nil"/>
              <w:bottom w:val="single" w:sz="4" w:space="0" w:color="auto"/>
              <w:right w:val="nil"/>
            </w:tcBorders>
            <w:shd w:val="clear" w:color="auto" w:fill="auto"/>
            <w:vAlign w:val="bottom"/>
          </w:tcPr>
          <w:p w14:paraId="25201AA6" w14:textId="4558DF44" w:rsidR="0014788E" w:rsidRPr="00A1123E" w:rsidRDefault="0014788E" w:rsidP="0014788E">
            <w:pPr>
              <w:tabs>
                <w:tab w:val="right" w:pos="1202"/>
              </w:tabs>
              <w:spacing w:after="0" w:line="240" w:lineRule="auto"/>
              <w:jc w:val="right"/>
              <w:outlineLvl w:val="0"/>
              <w:rPr>
                <w:rFonts w:ascii="Calibri" w:eastAsia="Times New Roman" w:hAnsi="Calibri" w:cs="Calibri"/>
                <w:color w:val="000000"/>
                <w:sz w:val="19"/>
                <w:szCs w:val="19"/>
                <w:lang w:val="en-US"/>
              </w:rPr>
            </w:pPr>
            <w:r w:rsidRPr="007A49AD">
              <w:rPr>
                <w:rFonts w:ascii="Calibri" w:hAnsi="Calibri" w:cs="Calibri"/>
                <w:sz w:val="19"/>
                <w:szCs w:val="19"/>
              </w:rPr>
              <w:t>188</w:t>
            </w:r>
            <w:r w:rsidR="00953512">
              <w:rPr>
                <w:rFonts w:ascii="Calibri" w:hAnsi="Calibri" w:cs="Calibri"/>
                <w:sz w:val="19"/>
                <w:szCs w:val="19"/>
              </w:rPr>
              <w:t>,</w:t>
            </w:r>
            <w:r w:rsidRPr="007A49AD">
              <w:rPr>
                <w:rFonts w:ascii="Calibri" w:hAnsi="Calibri" w:cs="Calibri"/>
                <w:sz w:val="19"/>
                <w:szCs w:val="19"/>
              </w:rPr>
              <w:t>245</w:t>
            </w:r>
          </w:p>
        </w:tc>
        <w:tc>
          <w:tcPr>
            <w:tcW w:w="720" w:type="pct"/>
            <w:tcBorders>
              <w:top w:val="nil"/>
              <w:left w:val="nil"/>
              <w:bottom w:val="single" w:sz="4" w:space="0" w:color="auto"/>
              <w:right w:val="nil"/>
            </w:tcBorders>
            <w:shd w:val="clear" w:color="auto" w:fill="auto"/>
            <w:vAlign w:val="bottom"/>
          </w:tcPr>
          <w:p w14:paraId="5BAB20AE" w14:textId="1101A142" w:rsidR="0014788E" w:rsidRPr="00537128" w:rsidRDefault="0014788E" w:rsidP="0014788E">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2</w:t>
            </w:r>
            <w:r>
              <w:rPr>
                <w:sz w:val="19"/>
                <w:szCs w:val="19"/>
              </w:rPr>
              <w:t>,</w:t>
            </w:r>
            <w:r w:rsidRPr="001B1B87">
              <w:rPr>
                <w:sz w:val="19"/>
                <w:szCs w:val="19"/>
              </w:rPr>
              <w:t>135</w:t>
            </w:r>
            <w:r>
              <w:rPr>
                <w:sz w:val="19"/>
                <w:szCs w:val="19"/>
              </w:rPr>
              <w:t>,</w:t>
            </w:r>
            <w:r w:rsidRPr="001B1B87">
              <w:rPr>
                <w:sz w:val="19"/>
                <w:szCs w:val="19"/>
              </w:rPr>
              <w:t>163</w:t>
            </w:r>
          </w:p>
        </w:tc>
        <w:tc>
          <w:tcPr>
            <w:tcW w:w="682" w:type="pct"/>
            <w:tcBorders>
              <w:top w:val="nil"/>
              <w:left w:val="nil"/>
              <w:bottom w:val="single" w:sz="4" w:space="0" w:color="auto"/>
              <w:right w:val="nil"/>
            </w:tcBorders>
            <w:shd w:val="clear" w:color="auto" w:fill="auto"/>
            <w:vAlign w:val="bottom"/>
          </w:tcPr>
          <w:p w14:paraId="4F118CE6" w14:textId="7A93AFCA" w:rsidR="0014788E" w:rsidRPr="00537128" w:rsidRDefault="0014788E" w:rsidP="0014788E">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289</w:t>
            </w:r>
            <w:r>
              <w:rPr>
                <w:sz w:val="19"/>
                <w:szCs w:val="19"/>
              </w:rPr>
              <w:t>,</w:t>
            </w:r>
            <w:r w:rsidRPr="001B1B87">
              <w:rPr>
                <w:sz w:val="19"/>
                <w:szCs w:val="19"/>
              </w:rPr>
              <w:t>893</w:t>
            </w:r>
          </w:p>
        </w:tc>
      </w:tr>
      <w:tr w:rsidR="00953512" w:rsidRPr="00537128" w14:paraId="3911146E" w14:textId="77777777" w:rsidTr="00953512">
        <w:tblPrEx>
          <w:tblCellMar>
            <w:left w:w="31" w:type="dxa"/>
            <w:right w:w="31" w:type="dxa"/>
          </w:tblCellMar>
        </w:tblPrEx>
        <w:trPr>
          <w:cantSplit/>
          <w:trHeight w:val="340"/>
          <w:tblHeader/>
        </w:trPr>
        <w:tc>
          <w:tcPr>
            <w:tcW w:w="2274" w:type="pct"/>
            <w:vAlign w:val="bottom"/>
          </w:tcPr>
          <w:p w14:paraId="2736E7E1" w14:textId="77777777" w:rsidR="00953512" w:rsidRPr="00537128" w:rsidRDefault="00953512" w:rsidP="00953512">
            <w:pPr>
              <w:spacing w:after="0" w:line="280" w:lineRule="exact"/>
              <w:rPr>
                <w:rFonts w:ascii="Calibri" w:eastAsia="Calibri" w:hAnsi="Calibri" w:cs="Arial"/>
                <w:b/>
                <w:bCs/>
                <w:sz w:val="19"/>
                <w:szCs w:val="19"/>
                <w:lang w:val="en-US"/>
              </w:rPr>
            </w:pPr>
            <w:r w:rsidRPr="00537128">
              <w:rPr>
                <w:rFonts w:ascii="Calibri" w:eastAsia="Calibri" w:hAnsi="Calibri" w:cs="Arial"/>
                <w:b/>
                <w:bCs/>
                <w:sz w:val="19"/>
                <w:szCs w:val="19"/>
                <w:lang w:val="en-US"/>
              </w:rPr>
              <w:t xml:space="preserve">Total credit risk exposure </w:t>
            </w:r>
          </w:p>
        </w:tc>
        <w:tc>
          <w:tcPr>
            <w:tcW w:w="681" w:type="pct"/>
            <w:tcBorders>
              <w:top w:val="single" w:sz="4" w:space="0" w:color="auto"/>
              <w:left w:val="nil"/>
              <w:bottom w:val="single" w:sz="12" w:space="0" w:color="auto"/>
              <w:right w:val="nil"/>
            </w:tcBorders>
            <w:shd w:val="clear" w:color="auto" w:fill="auto"/>
            <w:vAlign w:val="bottom"/>
          </w:tcPr>
          <w:p w14:paraId="006A75D7" w14:textId="2B61C4B3" w:rsidR="00953512" w:rsidRPr="00537128" w:rsidRDefault="00953512" w:rsidP="00953512">
            <w:pPr>
              <w:tabs>
                <w:tab w:val="right" w:pos="1202"/>
              </w:tabs>
              <w:spacing w:after="0" w:line="240" w:lineRule="auto"/>
              <w:jc w:val="right"/>
              <w:outlineLvl w:val="0"/>
              <w:rPr>
                <w:rFonts w:ascii="Calibri" w:eastAsia="Times New Roman" w:hAnsi="Calibri" w:cs="Calibri"/>
                <w:b/>
                <w:sz w:val="19"/>
                <w:szCs w:val="19"/>
                <w:lang w:val="en-US"/>
              </w:rPr>
            </w:pPr>
            <w:r>
              <w:rPr>
                <w:rFonts w:cstheme="minorHAnsi"/>
                <w:b/>
                <w:noProof/>
                <w:color w:val="000000" w:themeColor="text1"/>
                <w:sz w:val="19"/>
                <w:szCs w:val="19"/>
                <w:lang w:eastAsia="hr-HR"/>
              </w:rPr>
              <w:t>30,961,514</w:t>
            </w:r>
          </w:p>
        </w:tc>
        <w:tc>
          <w:tcPr>
            <w:tcW w:w="643" w:type="pct"/>
            <w:tcBorders>
              <w:top w:val="single" w:sz="4" w:space="0" w:color="auto"/>
              <w:left w:val="nil"/>
              <w:bottom w:val="single" w:sz="12" w:space="0" w:color="auto"/>
              <w:right w:val="nil"/>
            </w:tcBorders>
            <w:shd w:val="clear" w:color="auto" w:fill="auto"/>
            <w:vAlign w:val="bottom"/>
          </w:tcPr>
          <w:p w14:paraId="0F375715" w14:textId="31ABC3BC" w:rsidR="00953512" w:rsidRPr="00537128" w:rsidRDefault="00953512" w:rsidP="00953512">
            <w:pPr>
              <w:tabs>
                <w:tab w:val="right" w:pos="1202"/>
              </w:tabs>
              <w:spacing w:after="0" w:line="240" w:lineRule="auto"/>
              <w:jc w:val="right"/>
              <w:outlineLvl w:val="0"/>
              <w:rPr>
                <w:rFonts w:ascii="Calibri" w:eastAsia="Times New Roman" w:hAnsi="Calibri" w:cs="Calibri"/>
                <w:b/>
                <w:sz w:val="19"/>
                <w:szCs w:val="19"/>
                <w:lang w:val="en-US"/>
              </w:rPr>
            </w:pPr>
            <w:r>
              <w:rPr>
                <w:rFonts w:cstheme="minorHAnsi"/>
                <w:b/>
                <w:color w:val="000000" w:themeColor="text1"/>
                <w:sz w:val="19"/>
                <w:szCs w:val="19"/>
              </w:rPr>
              <w:t>6,866,917</w:t>
            </w:r>
          </w:p>
        </w:tc>
        <w:tc>
          <w:tcPr>
            <w:tcW w:w="720" w:type="pct"/>
            <w:tcBorders>
              <w:top w:val="single" w:sz="4" w:space="0" w:color="auto"/>
              <w:left w:val="nil"/>
              <w:bottom w:val="single" w:sz="12" w:space="0" w:color="auto"/>
              <w:right w:val="nil"/>
            </w:tcBorders>
            <w:shd w:val="clear" w:color="auto" w:fill="auto"/>
            <w:vAlign w:val="bottom"/>
          </w:tcPr>
          <w:p w14:paraId="591466EB" w14:textId="3F23AE83" w:rsidR="00953512" w:rsidRPr="00537128" w:rsidRDefault="00953512" w:rsidP="00953512">
            <w:pPr>
              <w:tabs>
                <w:tab w:val="right" w:pos="1202"/>
              </w:tabs>
              <w:spacing w:after="0" w:line="240" w:lineRule="auto"/>
              <w:jc w:val="right"/>
              <w:outlineLvl w:val="0"/>
              <w:rPr>
                <w:rFonts w:ascii="Calibri" w:eastAsia="Calibri" w:hAnsi="Calibri" w:cs="Times New Roman"/>
                <w:b/>
                <w:sz w:val="19"/>
                <w:szCs w:val="19"/>
                <w:lang w:val="en-US" w:eastAsia="hr-HR"/>
              </w:rPr>
            </w:pPr>
            <w:r w:rsidRPr="001B1B87">
              <w:rPr>
                <w:b/>
                <w:bCs/>
                <w:sz w:val="19"/>
                <w:szCs w:val="19"/>
              </w:rPr>
              <w:t>31</w:t>
            </w:r>
            <w:r>
              <w:rPr>
                <w:b/>
                <w:bCs/>
                <w:sz w:val="19"/>
                <w:szCs w:val="19"/>
              </w:rPr>
              <w:t>,</w:t>
            </w:r>
            <w:r w:rsidRPr="001B1B87">
              <w:rPr>
                <w:b/>
                <w:bCs/>
                <w:sz w:val="19"/>
                <w:szCs w:val="19"/>
              </w:rPr>
              <w:t>732</w:t>
            </w:r>
            <w:r>
              <w:rPr>
                <w:b/>
                <w:bCs/>
                <w:sz w:val="19"/>
                <w:szCs w:val="19"/>
              </w:rPr>
              <w:t>,</w:t>
            </w:r>
            <w:r w:rsidRPr="001B1B87">
              <w:rPr>
                <w:b/>
                <w:bCs/>
                <w:sz w:val="19"/>
                <w:szCs w:val="19"/>
              </w:rPr>
              <w:t>509</w:t>
            </w:r>
          </w:p>
        </w:tc>
        <w:tc>
          <w:tcPr>
            <w:tcW w:w="682" w:type="pct"/>
            <w:tcBorders>
              <w:top w:val="single" w:sz="4" w:space="0" w:color="auto"/>
              <w:left w:val="nil"/>
              <w:bottom w:val="single" w:sz="12" w:space="0" w:color="auto"/>
              <w:right w:val="nil"/>
            </w:tcBorders>
            <w:shd w:val="clear" w:color="auto" w:fill="auto"/>
            <w:vAlign w:val="bottom"/>
          </w:tcPr>
          <w:p w14:paraId="7EBD23BD" w14:textId="055AB27D" w:rsidR="00953512" w:rsidRPr="00537128" w:rsidRDefault="00953512" w:rsidP="00953512">
            <w:pPr>
              <w:tabs>
                <w:tab w:val="right" w:pos="1202"/>
              </w:tabs>
              <w:spacing w:after="0" w:line="240" w:lineRule="auto"/>
              <w:jc w:val="right"/>
              <w:outlineLvl w:val="0"/>
              <w:rPr>
                <w:rFonts w:ascii="Calibri" w:eastAsia="Calibri" w:hAnsi="Calibri" w:cs="Arial"/>
                <w:b/>
                <w:sz w:val="19"/>
                <w:szCs w:val="19"/>
                <w:lang w:val="en-US"/>
              </w:rPr>
            </w:pPr>
            <w:r w:rsidRPr="001B1B87">
              <w:rPr>
                <w:b/>
                <w:bCs/>
                <w:sz w:val="19"/>
                <w:szCs w:val="19"/>
              </w:rPr>
              <w:t>6</w:t>
            </w:r>
            <w:r>
              <w:rPr>
                <w:b/>
                <w:bCs/>
                <w:sz w:val="19"/>
                <w:szCs w:val="19"/>
              </w:rPr>
              <w:t>,</w:t>
            </w:r>
            <w:r w:rsidRPr="001B1B87">
              <w:rPr>
                <w:b/>
                <w:bCs/>
                <w:sz w:val="19"/>
                <w:szCs w:val="19"/>
              </w:rPr>
              <w:t>693</w:t>
            </w:r>
            <w:r>
              <w:rPr>
                <w:b/>
                <w:bCs/>
                <w:sz w:val="19"/>
                <w:szCs w:val="19"/>
              </w:rPr>
              <w:t>,</w:t>
            </w:r>
            <w:r w:rsidRPr="001B1B87">
              <w:rPr>
                <w:b/>
                <w:bCs/>
                <w:sz w:val="19"/>
                <w:szCs w:val="19"/>
              </w:rPr>
              <w:t>530</w:t>
            </w:r>
          </w:p>
        </w:tc>
      </w:tr>
    </w:tbl>
    <w:p w14:paraId="6D09FAC6" w14:textId="036046DA" w:rsidR="002578CA" w:rsidRPr="00537128" w:rsidRDefault="002578CA" w:rsidP="002578CA">
      <w:pPr>
        <w:spacing w:after="0" w:line="240" w:lineRule="auto"/>
        <w:jc w:val="both"/>
        <w:rPr>
          <w:rFonts w:ascii="Times New Roman" w:eastAsia="Times New Roman" w:hAnsi="Times New Roman" w:cs="Times New Roman"/>
          <w:color w:val="000000" w:themeColor="text1"/>
          <w:sz w:val="24"/>
          <w:szCs w:val="24"/>
          <w:lang w:val="en-US"/>
        </w:rPr>
      </w:pPr>
      <w:r w:rsidRPr="00537128">
        <w:rPr>
          <w:rFonts w:ascii="Calibri" w:eastAsia="Times New Roman" w:hAnsi="Calibri" w:cs="Arial"/>
          <w:color w:val="000000" w:themeColor="text1"/>
          <w:lang w:val="en-US"/>
        </w:rPr>
        <w:t xml:space="preserve">Concentration of assets and guarantees and commitments according to industry for both </w:t>
      </w:r>
      <w:r w:rsidR="009A6B86">
        <w:rPr>
          <w:rFonts w:ascii="Calibri" w:eastAsia="Times New Roman" w:hAnsi="Calibri" w:cs="Arial"/>
          <w:color w:val="000000" w:themeColor="text1"/>
          <w:lang w:val="en-US"/>
        </w:rPr>
        <w:t>periods</w:t>
      </w:r>
      <w:r w:rsidRPr="00537128">
        <w:rPr>
          <w:rFonts w:ascii="Calibri" w:eastAsia="Times New Roman" w:hAnsi="Calibri" w:cs="Arial"/>
          <w:color w:val="000000" w:themeColor="text1"/>
          <w:lang w:val="en-US"/>
        </w:rPr>
        <w:t xml:space="preserve"> has been compiled in accordance with the National Classification of Activities 2007 (“NKD 2007”).</w:t>
      </w:r>
      <w:r w:rsidRPr="00537128">
        <w:rPr>
          <w:rFonts w:ascii="Times New Roman" w:eastAsia="Times New Roman" w:hAnsi="Times New Roman" w:cs="Times New Roman"/>
          <w:color w:val="000000" w:themeColor="text1"/>
          <w:sz w:val="24"/>
          <w:szCs w:val="24"/>
          <w:lang w:val="en-US"/>
        </w:rPr>
        <w:t xml:space="preserve"> </w:t>
      </w:r>
    </w:p>
    <w:p w14:paraId="4D204B84" w14:textId="07F7FCC7" w:rsidR="002578CA" w:rsidRPr="00537128" w:rsidRDefault="002578CA" w:rsidP="00364B19">
      <w:pPr>
        <w:spacing w:after="0" w:line="240" w:lineRule="auto"/>
        <w:jc w:val="both"/>
        <w:rPr>
          <w:rFonts w:ascii="Calibri" w:eastAsia="Times New Roman" w:hAnsi="Calibri" w:cs="Arial"/>
          <w:color w:val="000000" w:themeColor="text1"/>
          <w:lang w:val="en-US"/>
        </w:rPr>
        <w:sectPr w:rsidR="002578CA" w:rsidRPr="00537128">
          <w:pgSz w:w="11906" w:h="16838"/>
          <w:pgMar w:top="1417" w:right="1417" w:bottom="1417" w:left="1417" w:header="708" w:footer="708" w:gutter="0"/>
          <w:cols w:space="708"/>
          <w:docGrid w:linePitch="360"/>
        </w:sectPr>
      </w:pPr>
      <w:r w:rsidRPr="00537128">
        <w:rPr>
          <w:rFonts w:ascii="Calibri" w:eastAsia="Times New Roman" w:hAnsi="Calibri" w:cs="Arial"/>
          <w:color w:val="000000" w:themeColor="text1"/>
          <w:lang w:val="en-US"/>
        </w:rPr>
        <w:t xml:space="preserve">In the preparation of the Note, a combined approach is applied, which takes into consideration business activities of a debtor, retains the names of activities different from those in the National Classification of Activities and unites similar business activities.  </w:t>
      </w:r>
    </w:p>
    <w:p w14:paraId="6AFDDE9E" w14:textId="77777777" w:rsidR="002578CA" w:rsidRPr="00537128" w:rsidRDefault="002578CA" w:rsidP="002578CA">
      <w:pPr>
        <w:spacing w:after="0" w:line="240" w:lineRule="auto"/>
        <w:jc w:val="both"/>
        <w:rPr>
          <w:rFonts w:ascii="Calibri" w:eastAsia="Times New Roman" w:hAnsi="Calibri" w:cs="Calibri"/>
          <w:b/>
          <w:bCs/>
          <w:color w:val="000000" w:themeColor="text1"/>
          <w:sz w:val="20"/>
          <w:szCs w:val="20"/>
          <w:lang w:val="en-US" w:eastAsia="hr-HR"/>
        </w:rPr>
      </w:pPr>
    </w:p>
    <w:p w14:paraId="2852412C" w14:textId="4B9D12A9" w:rsidR="002578CA" w:rsidRPr="00537128" w:rsidRDefault="00B357CE" w:rsidP="002578CA">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769AEC81" w14:textId="77777777" w:rsidR="002578CA" w:rsidRPr="00537128" w:rsidRDefault="002578CA" w:rsidP="002578CA">
      <w:pPr>
        <w:tabs>
          <w:tab w:val="left" w:pos="709"/>
          <w:tab w:val="left" w:pos="851"/>
        </w:tabs>
        <w:spacing w:after="0" w:line="240" w:lineRule="auto"/>
        <w:jc w:val="both"/>
        <w:rPr>
          <w:rFonts w:ascii="Calibri" w:eastAsia="Times New Roman" w:hAnsi="Calibri" w:cs="Arial"/>
          <w:color w:val="000000" w:themeColor="text1"/>
          <w:sz w:val="20"/>
          <w:szCs w:val="20"/>
          <w:lang w:val="en-US"/>
        </w:rPr>
      </w:pPr>
    </w:p>
    <w:p w14:paraId="3070018F" w14:textId="63E1B68F" w:rsidR="002578CA" w:rsidRPr="00537128" w:rsidRDefault="00B357CE" w:rsidP="002578CA">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2578CA" w:rsidRPr="00537128">
        <w:rPr>
          <w:rFonts w:ascii="Calibri" w:eastAsia="Times New Roman" w:hAnsi="Calibri" w:cs="Arial"/>
          <w:b/>
          <w:color w:val="000000" w:themeColor="text1"/>
          <w:lang w:val="en-US"/>
        </w:rPr>
        <w:t xml:space="preserve">   Credit risk (continued)</w:t>
      </w:r>
    </w:p>
    <w:p w14:paraId="53F8859E" w14:textId="77777777" w:rsidR="002578CA" w:rsidRPr="00537128" w:rsidRDefault="002578CA" w:rsidP="002578CA">
      <w:pPr>
        <w:spacing w:after="0" w:line="240" w:lineRule="auto"/>
        <w:jc w:val="both"/>
        <w:rPr>
          <w:rFonts w:ascii="Calibri" w:eastAsia="Times New Roman" w:hAnsi="Calibri" w:cs="Arial"/>
          <w:b/>
          <w:color w:val="000000" w:themeColor="text1"/>
          <w:sz w:val="20"/>
          <w:szCs w:val="20"/>
          <w:lang w:val="en-US"/>
        </w:rPr>
      </w:pPr>
    </w:p>
    <w:p w14:paraId="002AE0DC" w14:textId="77777777" w:rsidR="002578CA" w:rsidRPr="00537128" w:rsidRDefault="002578CA" w:rsidP="002578CA">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Concentration of risk and maximum credit risk exposure (continued)</w:t>
      </w:r>
    </w:p>
    <w:p w14:paraId="0800FEF7" w14:textId="6210B35F" w:rsidR="002578CA" w:rsidRPr="00537128" w:rsidRDefault="002578CA" w:rsidP="002578CA">
      <w:pPr>
        <w:spacing w:after="0" w:line="240" w:lineRule="auto"/>
        <w:jc w:val="both"/>
        <w:rPr>
          <w:rFonts w:ascii="Calibri" w:eastAsia="Times New Roman" w:hAnsi="Calibri" w:cs="Arial"/>
          <w:b/>
          <w:color w:val="000000" w:themeColor="text1"/>
          <w:sz w:val="20"/>
          <w:szCs w:val="20"/>
          <w:lang w:val="en-US"/>
        </w:rPr>
      </w:pPr>
    </w:p>
    <w:p w14:paraId="35BE399A" w14:textId="7BDDC7D2" w:rsidR="00FE04D4" w:rsidRPr="00537128" w:rsidRDefault="00FE04D4" w:rsidP="00FE04D4">
      <w:pPr>
        <w:tabs>
          <w:tab w:val="right" w:pos="9129"/>
        </w:tabs>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The fair value of collateral for the Group as of 31 March 202</w:t>
      </w:r>
      <w:r w:rsidR="002E5043">
        <w:rPr>
          <w:rFonts w:ascii="Calibri" w:eastAsia="Times New Roman" w:hAnsi="Calibri" w:cs="Arial"/>
          <w:bCs/>
          <w:color w:val="000000" w:themeColor="text1"/>
          <w:lang w:val="en-US"/>
        </w:rPr>
        <w:t>2</w:t>
      </w:r>
      <w:r w:rsidRPr="00537128">
        <w:rPr>
          <w:rFonts w:ascii="Calibri" w:eastAsia="Times New Roman" w:hAnsi="Calibri" w:cs="Arial"/>
          <w:bCs/>
          <w:color w:val="000000" w:themeColor="text1"/>
          <w:lang w:val="en-US"/>
        </w:rPr>
        <w:t xml:space="preserve"> amounted to HRK </w:t>
      </w:r>
      <w:r w:rsidR="00F40455" w:rsidRPr="00E7026F">
        <w:rPr>
          <w:rFonts w:ascii="Calibri" w:eastAsia="Times New Roman" w:hAnsi="Calibri" w:cs="Arial"/>
          <w:bCs/>
          <w:color w:val="000000" w:themeColor="text1"/>
          <w:lang w:val="en-US"/>
        </w:rPr>
        <w:t>2</w:t>
      </w:r>
      <w:r w:rsidR="00E7026F" w:rsidRPr="00E7026F">
        <w:rPr>
          <w:rFonts w:ascii="Calibri" w:eastAsia="Times New Roman" w:hAnsi="Calibri" w:cs="Arial"/>
          <w:bCs/>
          <w:color w:val="000000" w:themeColor="text1"/>
          <w:lang w:val="en-US"/>
        </w:rPr>
        <w:t>4</w:t>
      </w:r>
      <w:r w:rsidR="00F40455" w:rsidRPr="00E7026F">
        <w:rPr>
          <w:rFonts w:ascii="Calibri" w:eastAsia="Times New Roman" w:hAnsi="Calibri" w:cs="Arial"/>
          <w:bCs/>
          <w:color w:val="000000" w:themeColor="text1"/>
          <w:lang w:val="en-US"/>
        </w:rPr>
        <w:t>,</w:t>
      </w:r>
      <w:r w:rsidR="00E7026F" w:rsidRPr="00E7026F">
        <w:rPr>
          <w:rFonts w:ascii="Calibri" w:eastAsia="Times New Roman" w:hAnsi="Calibri" w:cs="Arial"/>
          <w:bCs/>
          <w:color w:val="000000" w:themeColor="text1"/>
          <w:lang w:val="en-US"/>
        </w:rPr>
        <w:t>102</w:t>
      </w:r>
      <w:r w:rsidR="00F40455" w:rsidRPr="00E7026F">
        <w:rPr>
          <w:rFonts w:ascii="Calibri" w:eastAsia="Times New Roman" w:hAnsi="Calibri" w:cs="Arial"/>
          <w:bCs/>
          <w:color w:val="000000" w:themeColor="text1"/>
          <w:lang w:val="en-US"/>
        </w:rPr>
        <w:t>,</w:t>
      </w:r>
      <w:r w:rsidR="00E7026F" w:rsidRPr="00E7026F">
        <w:rPr>
          <w:rFonts w:ascii="Calibri" w:eastAsia="Times New Roman" w:hAnsi="Calibri" w:cs="Arial"/>
          <w:bCs/>
          <w:color w:val="000000" w:themeColor="text1"/>
          <w:lang w:val="en-US"/>
        </w:rPr>
        <w:t>327</w:t>
      </w:r>
      <w:r w:rsidR="00F40455" w:rsidRPr="00F40455">
        <w:rPr>
          <w:rFonts w:ascii="Calibri" w:eastAsia="Times New Roman" w:hAnsi="Calibri" w:cs="Arial"/>
          <w:bCs/>
          <w:color w:val="000000" w:themeColor="text1"/>
          <w:lang w:val="en-US"/>
        </w:rPr>
        <w:t xml:space="preserve"> </w:t>
      </w:r>
      <w:r w:rsidRPr="00537128">
        <w:rPr>
          <w:rFonts w:ascii="Calibri" w:eastAsia="Times New Roman" w:hAnsi="Calibri" w:cs="Arial"/>
          <w:bCs/>
          <w:color w:val="000000" w:themeColor="text1"/>
          <w:lang w:val="en-US"/>
        </w:rPr>
        <w:t>thousand (31 December 202</w:t>
      </w:r>
      <w:r w:rsidR="002E5043">
        <w:rPr>
          <w:rFonts w:ascii="Calibri" w:eastAsia="Times New Roman" w:hAnsi="Calibri" w:cs="Arial"/>
          <w:bCs/>
          <w:color w:val="000000" w:themeColor="text1"/>
          <w:lang w:val="en-US"/>
        </w:rPr>
        <w:t>1</w:t>
      </w:r>
      <w:r w:rsidRPr="00537128">
        <w:rPr>
          <w:rFonts w:ascii="Calibri" w:eastAsia="Times New Roman" w:hAnsi="Calibri" w:cs="Arial"/>
          <w:bCs/>
          <w:color w:val="000000" w:themeColor="text1"/>
          <w:lang w:val="en-US"/>
        </w:rPr>
        <w:t>: HRK 2</w:t>
      </w:r>
      <w:r w:rsidR="002E5043">
        <w:rPr>
          <w:rFonts w:ascii="Calibri" w:eastAsia="Times New Roman" w:hAnsi="Calibri" w:cs="Arial"/>
          <w:bCs/>
          <w:color w:val="000000" w:themeColor="text1"/>
          <w:lang w:val="en-US"/>
        </w:rPr>
        <w:t>5</w:t>
      </w:r>
      <w:r w:rsidRPr="00537128">
        <w:rPr>
          <w:rFonts w:ascii="Calibri" w:eastAsia="Times New Roman" w:hAnsi="Calibri" w:cs="Arial"/>
          <w:bCs/>
          <w:color w:val="000000" w:themeColor="text1"/>
          <w:lang w:val="en-US"/>
        </w:rPr>
        <w:t>,</w:t>
      </w:r>
      <w:r w:rsidR="002E5043">
        <w:rPr>
          <w:rFonts w:ascii="Calibri" w:eastAsia="Times New Roman" w:hAnsi="Calibri" w:cs="Arial"/>
          <w:bCs/>
          <w:color w:val="000000" w:themeColor="text1"/>
          <w:lang w:val="en-US"/>
        </w:rPr>
        <w:t>043</w:t>
      </w:r>
      <w:r w:rsidRPr="00537128">
        <w:rPr>
          <w:rFonts w:ascii="Calibri" w:eastAsia="Times New Roman" w:hAnsi="Calibri" w:cs="Arial"/>
          <w:bCs/>
          <w:color w:val="000000" w:themeColor="text1"/>
          <w:lang w:val="en-US"/>
        </w:rPr>
        <w:t>,</w:t>
      </w:r>
      <w:r w:rsidR="002E5043">
        <w:rPr>
          <w:rFonts w:ascii="Calibri" w:eastAsia="Times New Roman" w:hAnsi="Calibri" w:cs="Arial"/>
          <w:bCs/>
          <w:color w:val="000000" w:themeColor="text1"/>
          <w:lang w:val="en-US"/>
        </w:rPr>
        <w:t>147</w:t>
      </w:r>
      <w:r w:rsidRPr="00537128">
        <w:rPr>
          <w:rFonts w:ascii="Calibri" w:eastAsia="Times New Roman" w:hAnsi="Calibri" w:cs="Arial"/>
          <w:bCs/>
          <w:color w:val="000000" w:themeColor="text1"/>
          <w:lang w:val="en-US"/>
        </w:rPr>
        <w:t xml:space="preserve"> thousand) and for the Bank HRK </w:t>
      </w:r>
      <w:r w:rsidR="00F40455" w:rsidRPr="00E7026F">
        <w:rPr>
          <w:rFonts w:ascii="Calibri" w:eastAsia="Times New Roman" w:hAnsi="Calibri" w:cs="Arial"/>
          <w:bCs/>
          <w:color w:val="000000" w:themeColor="text1"/>
          <w:lang w:val="en-US"/>
        </w:rPr>
        <w:t>2</w:t>
      </w:r>
      <w:r w:rsidR="00E7026F" w:rsidRPr="00E7026F">
        <w:rPr>
          <w:rFonts w:ascii="Calibri" w:eastAsia="Times New Roman" w:hAnsi="Calibri" w:cs="Arial"/>
          <w:bCs/>
          <w:color w:val="000000" w:themeColor="text1"/>
          <w:lang w:val="en-US"/>
        </w:rPr>
        <w:t>4</w:t>
      </w:r>
      <w:r w:rsidR="00F40455" w:rsidRPr="00E7026F">
        <w:rPr>
          <w:rFonts w:ascii="Calibri" w:eastAsia="Times New Roman" w:hAnsi="Calibri" w:cs="Arial"/>
          <w:bCs/>
          <w:color w:val="000000" w:themeColor="text1"/>
          <w:lang w:val="en-US"/>
        </w:rPr>
        <w:t>,</w:t>
      </w:r>
      <w:r w:rsidR="00E7026F" w:rsidRPr="00E7026F">
        <w:rPr>
          <w:rFonts w:ascii="Calibri" w:eastAsia="Times New Roman" w:hAnsi="Calibri" w:cs="Arial"/>
          <w:bCs/>
          <w:color w:val="000000" w:themeColor="text1"/>
          <w:lang w:val="en-US"/>
        </w:rPr>
        <w:t>094</w:t>
      </w:r>
      <w:r w:rsidR="00F40455" w:rsidRPr="00E7026F">
        <w:rPr>
          <w:rFonts w:ascii="Calibri" w:eastAsia="Times New Roman" w:hAnsi="Calibri" w:cs="Arial"/>
          <w:bCs/>
          <w:color w:val="000000" w:themeColor="text1"/>
          <w:lang w:val="en-US"/>
        </w:rPr>
        <w:t>,</w:t>
      </w:r>
      <w:r w:rsidR="00E7026F" w:rsidRPr="00E7026F">
        <w:rPr>
          <w:rFonts w:ascii="Calibri" w:eastAsia="Times New Roman" w:hAnsi="Calibri" w:cs="Arial"/>
          <w:bCs/>
          <w:color w:val="000000" w:themeColor="text1"/>
          <w:lang w:val="en-US"/>
        </w:rPr>
        <w:t>597</w:t>
      </w:r>
      <w:r w:rsidR="00F40455" w:rsidRPr="00E7026F">
        <w:rPr>
          <w:rFonts w:ascii="Calibri" w:eastAsia="Times New Roman" w:hAnsi="Calibri" w:cs="Arial"/>
          <w:bCs/>
          <w:color w:val="000000" w:themeColor="text1"/>
          <w:lang w:val="en-US"/>
        </w:rPr>
        <w:t xml:space="preserve"> </w:t>
      </w:r>
      <w:r w:rsidRPr="00E7026F">
        <w:rPr>
          <w:rFonts w:ascii="Calibri" w:eastAsia="Times New Roman" w:hAnsi="Calibri" w:cs="Arial"/>
          <w:bCs/>
          <w:color w:val="000000" w:themeColor="text1"/>
          <w:lang w:val="en-US"/>
        </w:rPr>
        <w:t>thousand</w:t>
      </w:r>
      <w:r w:rsidRPr="00537128">
        <w:rPr>
          <w:rFonts w:ascii="Calibri" w:eastAsia="Times New Roman" w:hAnsi="Calibri" w:cs="Arial"/>
          <w:bCs/>
          <w:color w:val="000000" w:themeColor="text1"/>
          <w:lang w:val="en-US"/>
        </w:rPr>
        <w:t xml:space="preserve"> (31 December 202</w:t>
      </w:r>
      <w:r w:rsidR="004568D7">
        <w:rPr>
          <w:rFonts w:ascii="Calibri" w:eastAsia="Times New Roman" w:hAnsi="Calibri" w:cs="Arial"/>
          <w:bCs/>
          <w:color w:val="000000" w:themeColor="text1"/>
          <w:lang w:val="en-US"/>
        </w:rPr>
        <w:t>1</w:t>
      </w:r>
      <w:r w:rsidRPr="00537128">
        <w:rPr>
          <w:rFonts w:ascii="Calibri" w:eastAsia="Times New Roman" w:hAnsi="Calibri" w:cs="Arial"/>
          <w:bCs/>
          <w:color w:val="000000" w:themeColor="text1"/>
          <w:lang w:val="en-US"/>
        </w:rPr>
        <w:t>: HRK 2</w:t>
      </w:r>
      <w:r w:rsidR="004568D7">
        <w:rPr>
          <w:rFonts w:ascii="Calibri" w:eastAsia="Times New Roman" w:hAnsi="Calibri" w:cs="Arial"/>
          <w:bCs/>
          <w:color w:val="000000" w:themeColor="text1"/>
          <w:lang w:val="en-US"/>
        </w:rPr>
        <w:t>5</w:t>
      </w:r>
      <w:r w:rsidRPr="00537128">
        <w:rPr>
          <w:rFonts w:ascii="Calibri" w:eastAsia="Times New Roman" w:hAnsi="Calibri" w:cs="Arial"/>
          <w:bCs/>
          <w:color w:val="000000" w:themeColor="text1"/>
          <w:lang w:val="en-US"/>
        </w:rPr>
        <w:t>,</w:t>
      </w:r>
      <w:r w:rsidR="004568D7">
        <w:rPr>
          <w:rFonts w:ascii="Calibri" w:eastAsia="Times New Roman" w:hAnsi="Calibri" w:cs="Arial"/>
          <w:bCs/>
          <w:color w:val="000000" w:themeColor="text1"/>
          <w:lang w:val="en-US"/>
        </w:rPr>
        <w:t>038</w:t>
      </w:r>
      <w:r w:rsidRPr="00537128">
        <w:rPr>
          <w:rFonts w:ascii="Calibri" w:eastAsia="Times New Roman" w:hAnsi="Calibri" w:cs="Arial"/>
          <w:bCs/>
          <w:color w:val="000000" w:themeColor="text1"/>
          <w:lang w:val="en-US"/>
        </w:rPr>
        <w:t>,</w:t>
      </w:r>
      <w:r w:rsidR="004568D7">
        <w:rPr>
          <w:rFonts w:ascii="Calibri" w:eastAsia="Times New Roman" w:hAnsi="Calibri" w:cs="Arial"/>
          <w:bCs/>
          <w:color w:val="000000" w:themeColor="text1"/>
          <w:lang w:val="en-US"/>
        </w:rPr>
        <w:t>979</w:t>
      </w:r>
      <w:r w:rsidRPr="00537128">
        <w:rPr>
          <w:rFonts w:ascii="Calibri" w:eastAsia="Times New Roman" w:hAnsi="Calibri" w:cs="Arial"/>
          <w:bCs/>
          <w:color w:val="000000" w:themeColor="text1"/>
          <w:lang w:val="en-US"/>
        </w:rPr>
        <w:t xml:space="preserve"> thousand).</w:t>
      </w:r>
    </w:p>
    <w:p w14:paraId="6182327C" w14:textId="5555D893" w:rsidR="002578CA" w:rsidRPr="00537128" w:rsidRDefault="002578CA" w:rsidP="002578CA">
      <w:pPr>
        <w:tabs>
          <w:tab w:val="right" w:pos="9129"/>
        </w:tabs>
        <w:spacing w:after="0" w:line="240" w:lineRule="auto"/>
        <w:jc w:val="both"/>
        <w:rPr>
          <w:rFonts w:ascii="Calibri" w:eastAsia="Times New Roman" w:hAnsi="Calibri" w:cs="Arial"/>
          <w:bCs/>
          <w:color w:val="000000" w:themeColor="text1"/>
          <w:lang w:val="en-US"/>
        </w:rPr>
      </w:pPr>
    </w:p>
    <w:p w14:paraId="59625292" w14:textId="632FB1EA" w:rsidR="00FE04D4" w:rsidRPr="00537128" w:rsidRDefault="00FE04D4" w:rsidP="002578CA">
      <w:pPr>
        <w:tabs>
          <w:tab w:val="right" w:pos="9129"/>
        </w:tabs>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 xml:space="preserve">Net highest exposure as </w:t>
      </w:r>
      <w:proofErr w:type="gramStart"/>
      <w:r w:rsidRPr="00537128">
        <w:rPr>
          <w:rFonts w:ascii="Calibri" w:eastAsia="Times New Roman" w:hAnsi="Calibri" w:cs="Arial"/>
          <w:bCs/>
          <w:color w:val="000000" w:themeColor="text1"/>
          <w:lang w:val="en-US"/>
        </w:rPr>
        <w:t>at</w:t>
      </w:r>
      <w:proofErr w:type="gramEnd"/>
      <w:r w:rsidRPr="00537128">
        <w:rPr>
          <w:rFonts w:ascii="Calibri" w:eastAsia="Times New Roman" w:hAnsi="Calibri" w:cs="Arial"/>
          <w:bCs/>
          <w:color w:val="000000" w:themeColor="text1"/>
          <w:lang w:val="en-US"/>
        </w:rPr>
        <w:t xml:space="preserve"> 31 March 202</w:t>
      </w:r>
      <w:r w:rsidR="00121A78">
        <w:rPr>
          <w:rFonts w:ascii="Calibri" w:eastAsia="Times New Roman" w:hAnsi="Calibri" w:cs="Arial"/>
          <w:bCs/>
          <w:color w:val="000000" w:themeColor="text1"/>
          <w:lang w:val="en-US"/>
        </w:rPr>
        <w:t>2</w:t>
      </w:r>
      <w:r w:rsidRPr="00537128">
        <w:rPr>
          <w:rFonts w:ascii="Calibri" w:eastAsia="Times New Roman" w:hAnsi="Calibri" w:cs="Arial"/>
          <w:bCs/>
          <w:color w:val="000000" w:themeColor="text1"/>
          <w:lang w:val="en-US"/>
        </w:rPr>
        <w:t xml:space="preserve"> for the Group amounted to HRK </w:t>
      </w:r>
      <w:r w:rsidR="00E7026F" w:rsidRPr="00E7026F">
        <w:rPr>
          <w:rFonts w:ascii="Calibri" w:eastAsia="Times New Roman" w:hAnsi="Calibri" w:cs="Arial"/>
          <w:bCs/>
          <w:color w:val="000000" w:themeColor="text1"/>
          <w:lang w:val="en-US"/>
        </w:rPr>
        <w:t>6</w:t>
      </w:r>
      <w:r w:rsidR="00F40455" w:rsidRPr="00E7026F">
        <w:rPr>
          <w:rFonts w:ascii="Calibri" w:eastAsia="Times New Roman" w:hAnsi="Calibri" w:cs="Arial"/>
          <w:bCs/>
          <w:color w:val="000000" w:themeColor="text1"/>
          <w:lang w:val="en-US"/>
        </w:rPr>
        <w:t>,</w:t>
      </w:r>
      <w:r w:rsidR="00E7026F" w:rsidRPr="00E7026F">
        <w:rPr>
          <w:rFonts w:ascii="Calibri" w:eastAsia="Times New Roman" w:hAnsi="Calibri" w:cs="Arial"/>
          <w:bCs/>
          <w:color w:val="000000" w:themeColor="text1"/>
          <w:lang w:val="en-US"/>
        </w:rPr>
        <w:t>921</w:t>
      </w:r>
      <w:r w:rsidR="00F40455" w:rsidRPr="00E7026F">
        <w:rPr>
          <w:rFonts w:ascii="Calibri" w:eastAsia="Times New Roman" w:hAnsi="Calibri" w:cs="Arial"/>
          <w:bCs/>
          <w:color w:val="000000" w:themeColor="text1"/>
          <w:lang w:val="en-US"/>
        </w:rPr>
        <w:t>,</w:t>
      </w:r>
      <w:r w:rsidR="00E7026F" w:rsidRPr="00E7026F">
        <w:rPr>
          <w:rFonts w:ascii="Calibri" w:eastAsia="Times New Roman" w:hAnsi="Calibri" w:cs="Arial"/>
          <w:bCs/>
          <w:color w:val="000000" w:themeColor="text1"/>
          <w:lang w:val="en-US"/>
        </w:rPr>
        <w:t>521</w:t>
      </w:r>
      <w:r w:rsidR="00F40455" w:rsidRPr="00E7026F">
        <w:rPr>
          <w:rFonts w:ascii="Calibri" w:eastAsia="Times New Roman" w:hAnsi="Calibri" w:cs="Arial"/>
          <w:bCs/>
          <w:color w:val="000000" w:themeColor="text1"/>
          <w:lang w:val="en-US"/>
        </w:rPr>
        <w:t xml:space="preserve"> </w:t>
      </w:r>
      <w:r w:rsidRPr="00E7026F">
        <w:rPr>
          <w:rFonts w:ascii="Calibri" w:eastAsia="Times New Roman" w:hAnsi="Calibri" w:cs="Arial"/>
          <w:bCs/>
          <w:color w:val="000000" w:themeColor="text1"/>
          <w:lang w:val="en-US"/>
        </w:rPr>
        <w:t>thousand</w:t>
      </w:r>
      <w:r w:rsidRPr="00537128">
        <w:rPr>
          <w:rFonts w:ascii="Calibri" w:eastAsia="Times New Roman" w:hAnsi="Calibri" w:cs="Arial"/>
          <w:bCs/>
          <w:color w:val="000000" w:themeColor="text1"/>
          <w:lang w:val="en-US"/>
        </w:rPr>
        <w:t xml:space="preserve"> (31 December 202</w:t>
      </w:r>
      <w:r w:rsidR="00121A78">
        <w:rPr>
          <w:rFonts w:ascii="Calibri" w:eastAsia="Times New Roman" w:hAnsi="Calibri" w:cs="Arial"/>
          <w:bCs/>
          <w:color w:val="000000" w:themeColor="text1"/>
          <w:lang w:val="en-US"/>
        </w:rPr>
        <w:t>1</w:t>
      </w:r>
      <w:r w:rsidRPr="00537128">
        <w:rPr>
          <w:rFonts w:ascii="Calibri" w:eastAsia="Times New Roman" w:hAnsi="Calibri" w:cs="Arial"/>
          <w:bCs/>
          <w:color w:val="000000" w:themeColor="text1"/>
          <w:lang w:val="en-US"/>
        </w:rPr>
        <w:t>: HRK 6,</w:t>
      </w:r>
      <w:r w:rsidR="00121A78">
        <w:rPr>
          <w:rFonts w:ascii="Calibri" w:eastAsia="Times New Roman" w:hAnsi="Calibri" w:cs="Arial"/>
          <w:bCs/>
          <w:color w:val="000000" w:themeColor="text1"/>
          <w:lang w:val="en-US"/>
        </w:rPr>
        <w:t>752</w:t>
      </w:r>
      <w:r w:rsidRPr="00537128">
        <w:rPr>
          <w:rFonts w:ascii="Calibri" w:eastAsia="Times New Roman" w:hAnsi="Calibri" w:cs="Arial"/>
          <w:bCs/>
          <w:color w:val="000000" w:themeColor="text1"/>
          <w:lang w:val="en-US"/>
        </w:rPr>
        <w:t>,</w:t>
      </w:r>
      <w:r w:rsidR="00121A78">
        <w:rPr>
          <w:rFonts w:ascii="Calibri" w:eastAsia="Times New Roman" w:hAnsi="Calibri" w:cs="Arial"/>
          <w:bCs/>
          <w:color w:val="000000" w:themeColor="text1"/>
          <w:lang w:val="en-US"/>
        </w:rPr>
        <w:t>166</w:t>
      </w:r>
      <w:r w:rsidRPr="00537128">
        <w:rPr>
          <w:rFonts w:ascii="Calibri" w:eastAsia="Times New Roman" w:hAnsi="Calibri" w:cs="Arial"/>
          <w:bCs/>
          <w:color w:val="000000" w:themeColor="text1"/>
          <w:lang w:val="en-US"/>
        </w:rPr>
        <w:t xml:space="preserve"> thousand) and for the Bank HRK </w:t>
      </w:r>
      <w:r w:rsidR="00E7026F" w:rsidRPr="00E7026F">
        <w:rPr>
          <w:rFonts w:ascii="Calibri" w:eastAsia="Times New Roman" w:hAnsi="Calibri" w:cs="Arial"/>
          <w:bCs/>
          <w:color w:val="000000" w:themeColor="text1"/>
          <w:lang w:val="en-US"/>
        </w:rPr>
        <w:t>6</w:t>
      </w:r>
      <w:r w:rsidR="00F40455" w:rsidRPr="00E7026F">
        <w:rPr>
          <w:rFonts w:ascii="Calibri" w:eastAsia="Times New Roman" w:hAnsi="Calibri" w:cs="Arial"/>
          <w:bCs/>
          <w:color w:val="000000" w:themeColor="text1"/>
          <w:lang w:val="en-US"/>
        </w:rPr>
        <w:t>,</w:t>
      </w:r>
      <w:r w:rsidR="00E7026F" w:rsidRPr="00E7026F">
        <w:rPr>
          <w:rFonts w:ascii="Calibri" w:eastAsia="Times New Roman" w:hAnsi="Calibri" w:cs="Arial"/>
          <w:bCs/>
          <w:color w:val="000000" w:themeColor="text1"/>
          <w:lang w:val="en-US"/>
        </w:rPr>
        <w:t>866</w:t>
      </w:r>
      <w:r w:rsidR="00F40455" w:rsidRPr="00E7026F">
        <w:rPr>
          <w:rFonts w:ascii="Calibri" w:eastAsia="Times New Roman" w:hAnsi="Calibri" w:cs="Arial"/>
          <w:bCs/>
          <w:color w:val="000000" w:themeColor="text1"/>
          <w:lang w:val="en-US"/>
        </w:rPr>
        <w:t>,</w:t>
      </w:r>
      <w:r w:rsidR="00E7026F" w:rsidRPr="00E7026F">
        <w:rPr>
          <w:rFonts w:ascii="Calibri" w:eastAsia="Times New Roman" w:hAnsi="Calibri" w:cs="Arial"/>
          <w:bCs/>
          <w:color w:val="000000" w:themeColor="text1"/>
          <w:lang w:val="en-US"/>
        </w:rPr>
        <w:t>917</w:t>
      </w:r>
      <w:r w:rsidR="00F40455" w:rsidRPr="00E7026F">
        <w:rPr>
          <w:rFonts w:ascii="Calibri" w:eastAsia="Times New Roman" w:hAnsi="Calibri" w:cs="Arial"/>
          <w:bCs/>
          <w:color w:val="000000" w:themeColor="text1"/>
          <w:lang w:val="en-US"/>
        </w:rPr>
        <w:t xml:space="preserve"> </w:t>
      </w:r>
      <w:r w:rsidRPr="00E7026F">
        <w:rPr>
          <w:rFonts w:ascii="Calibri" w:eastAsia="Times New Roman" w:hAnsi="Calibri" w:cs="Arial"/>
          <w:bCs/>
          <w:color w:val="000000" w:themeColor="text1"/>
          <w:lang w:val="en-US"/>
        </w:rPr>
        <w:t>thousand</w:t>
      </w:r>
      <w:r w:rsidRPr="00537128">
        <w:rPr>
          <w:rFonts w:ascii="Calibri" w:eastAsia="Times New Roman" w:hAnsi="Calibri" w:cs="Arial"/>
          <w:bCs/>
          <w:color w:val="000000" w:themeColor="text1"/>
          <w:lang w:val="en-US"/>
        </w:rPr>
        <w:t xml:space="preserve"> (31 December 202</w:t>
      </w:r>
      <w:r w:rsidR="00900315">
        <w:rPr>
          <w:rFonts w:ascii="Calibri" w:eastAsia="Times New Roman" w:hAnsi="Calibri" w:cs="Arial"/>
          <w:bCs/>
          <w:color w:val="000000" w:themeColor="text1"/>
          <w:lang w:val="en-US"/>
        </w:rPr>
        <w:t>1</w:t>
      </w:r>
      <w:r w:rsidRPr="00537128">
        <w:rPr>
          <w:rFonts w:ascii="Calibri" w:eastAsia="Times New Roman" w:hAnsi="Calibri" w:cs="Arial"/>
          <w:bCs/>
          <w:color w:val="000000" w:themeColor="text1"/>
          <w:lang w:val="en-US"/>
        </w:rPr>
        <w:t>: HRK 6,</w:t>
      </w:r>
      <w:r w:rsidR="00900315">
        <w:rPr>
          <w:rFonts w:ascii="Calibri" w:eastAsia="Times New Roman" w:hAnsi="Calibri" w:cs="Arial"/>
          <w:bCs/>
          <w:color w:val="000000" w:themeColor="text1"/>
          <w:lang w:val="en-US"/>
        </w:rPr>
        <w:t>693</w:t>
      </w:r>
      <w:r w:rsidRPr="00537128">
        <w:rPr>
          <w:rFonts w:ascii="Calibri" w:eastAsia="Times New Roman" w:hAnsi="Calibri" w:cs="Arial"/>
          <w:bCs/>
          <w:color w:val="000000" w:themeColor="text1"/>
          <w:lang w:val="en-US"/>
        </w:rPr>
        <w:t>,</w:t>
      </w:r>
      <w:r w:rsidR="00900315">
        <w:rPr>
          <w:rFonts w:ascii="Calibri" w:eastAsia="Times New Roman" w:hAnsi="Calibri" w:cs="Arial"/>
          <w:bCs/>
          <w:color w:val="000000" w:themeColor="text1"/>
          <w:lang w:val="en-US"/>
        </w:rPr>
        <w:t>530</w:t>
      </w:r>
      <w:r w:rsidRPr="00537128">
        <w:rPr>
          <w:rFonts w:ascii="Calibri" w:eastAsia="Times New Roman" w:hAnsi="Calibri" w:cs="Arial"/>
          <w:bCs/>
          <w:color w:val="000000" w:themeColor="text1"/>
          <w:lang w:val="en-US"/>
        </w:rPr>
        <w:t xml:space="preserve"> thousand).</w:t>
      </w:r>
    </w:p>
    <w:p w14:paraId="1F3FF983" w14:textId="77777777" w:rsidR="002578CA" w:rsidRPr="00537128" w:rsidRDefault="002578CA" w:rsidP="002578CA">
      <w:pPr>
        <w:tabs>
          <w:tab w:val="right" w:pos="9129"/>
        </w:tabs>
        <w:spacing w:after="0" w:line="240" w:lineRule="auto"/>
        <w:jc w:val="both"/>
        <w:rPr>
          <w:rFonts w:ascii="Calibri" w:eastAsia="Times New Roman" w:hAnsi="Calibri" w:cs="Arial"/>
          <w:bCs/>
          <w:color w:val="000000" w:themeColor="text1"/>
          <w:lang w:val="en-US"/>
        </w:rPr>
      </w:pPr>
    </w:p>
    <w:p w14:paraId="51139676" w14:textId="5AFCDF42" w:rsidR="002578CA" w:rsidRPr="00537128" w:rsidRDefault="00FE04D4" w:rsidP="002578CA">
      <w:pPr>
        <w:tabs>
          <w:tab w:val="right" w:pos="9129"/>
        </w:tabs>
        <w:spacing w:after="0" w:line="240" w:lineRule="auto"/>
        <w:jc w:val="both"/>
        <w:rPr>
          <w:rFonts w:ascii="Calibri" w:eastAsia="Times New Roman" w:hAnsi="Calibri" w:cs="Calibri"/>
          <w:bCs/>
          <w:color w:val="000000" w:themeColor="text1"/>
          <w:lang w:val="en-US"/>
        </w:rPr>
      </w:pPr>
      <w:r w:rsidRPr="0079637E">
        <w:rPr>
          <w:rFonts w:ascii="Calibri" w:eastAsia="Times New Roman" w:hAnsi="Calibri" w:cs="Calibri"/>
          <w:bCs/>
          <w:color w:val="000000" w:themeColor="text1"/>
          <w:lang w:val="en-US"/>
        </w:rPr>
        <w:t xml:space="preserve">In the total net highest exposure after the effect of mitigation through collateral received as of </w:t>
      </w:r>
      <w:r w:rsidR="004A287E" w:rsidRPr="0079637E">
        <w:rPr>
          <w:rFonts w:ascii="Calibri" w:eastAsia="Times New Roman" w:hAnsi="Calibri" w:cs="Calibri"/>
          <w:bCs/>
          <w:color w:val="000000" w:themeColor="text1"/>
          <w:lang w:val="en-US"/>
        </w:rPr>
        <w:t>31 March 202</w:t>
      </w:r>
      <w:r w:rsidR="0079637E">
        <w:rPr>
          <w:rFonts w:ascii="Calibri" w:eastAsia="Times New Roman" w:hAnsi="Calibri" w:cs="Calibri"/>
          <w:bCs/>
          <w:color w:val="000000" w:themeColor="text1"/>
          <w:lang w:val="en-US"/>
        </w:rPr>
        <w:t>2</w:t>
      </w:r>
      <w:r w:rsidRPr="0079637E">
        <w:rPr>
          <w:rFonts w:ascii="Calibri" w:eastAsia="Times New Roman" w:hAnsi="Calibri" w:cs="Calibri"/>
          <w:bCs/>
          <w:color w:val="000000" w:themeColor="text1"/>
          <w:lang w:val="en-US"/>
        </w:rPr>
        <w:t xml:space="preserve">, the credit risk of HRK </w:t>
      </w:r>
      <w:r w:rsidR="00244551" w:rsidRPr="00244551">
        <w:rPr>
          <w:rFonts w:ascii="Calibri" w:eastAsia="Times New Roman" w:hAnsi="Calibri" w:cs="Calibri"/>
          <w:bCs/>
          <w:color w:val="000000" w:themeColor="text1"/>
          <w:lang w:val="en-US"/>
        </w:rPr>
        <w:t>4</w:t>
      </w:r>
      <w:r w:rsidR="00F40455" w:rsidRPr="00244551">
        <w:rPr>
          <w:rFonts w:ascii="Calibri" w:eastAsia="Times New Roman" w:hAnsi="Calibri" w:cs="Calibri"/>
          <w:bCs/>
          <w:color w:val="000000" w:themeColor="text1"/>
          <w:lang w:val="en-US"/>
        </w:rPr>
        <w:t>,</w:t>
      </w:r>
      <w:r w:rsidR="00244551" w:rsidRPr="00244551">
        <w:rPr>
          <w:rFonts w:ascii="Calibri" w:eastAsia="Times New Roman" w:hAnsi="Calibri" w:cs="Calibri"/>
          <w:bCs/>
          <w:color w:val="000000" w:themeColor="text1"/>
          <w:lang w:val="en-US"/>
        </w:rPr>
        <w:t>637</w:t>
      </w:r>
      <w:r w:rsidR="00F40455" w:rsidRPr="00244551">
        <w:rPr>
          <w:rFonts w:ascii="Calibri" w:eastAsia="Times New Roman" w:hAnsi="Calibri" w:cs="Calibri"/>
          <w:bCs/>
          <w:color w:val="000000" w:themeColor="text1"/>
          <w:lang w:val="en-US"/>
        </w:rPr>
        <w:t>,</w:t>
      </w:r>
      <w:r w:rsidR="00244551" w:rsidRPr="00244551">
        <w:rPr>
          <w:rFonts w:ascii="Calibri" w:eastAsia="Times New Roman" w:hAnsi="Calibri" w:cs="Calibri"/>
          <w:bCs/>
          <w:color w:val="000000" w:themeColor="text1"/>
          <w:lang w:val="en-US"/>
        </w:rPr>
        <w:t>319</w:t>
      </w:r>
      <w:r w:rsidR="00F40455" w:rsidRPr="0079637E">
        <w:rPr>
          <w:rFonts w:ascii="Calibri" w:eastAsia="Times New Roman" w:hAnsi="Calibri" w:cs="Calibri"/>
          <w:bCs/>
          <w:color w:val="000000" w:themeColor="text1"/>
          <w:lang w:val="en-US"/>
        </w:rPr>
        <w:t xml:space="preserve"> </w:t>
      </w:r>
      <w:r w:rsidRPr="0079637E">
        <w:rPr>
          <w:rFonts w:ascii="Calibri" w:eastAsia="Times New Roman" w:hAnsi="Calibri" w:cs="Calibri"/>
          <w:bCs/>
          <w:color w:val="000000" w:themeColor="text1"/>
          <w:lang w:val="en-US"/>
        </w:rPr>
        <w:t>thousand for the Group (31 December 202</w:t>
      </w:r>
      <w:r w:rsidR="0079637E">
        <w:rPr>
          <w:rFonts w:ascii="Calibri" w:eastAsia="Times New Roman" w:hAnsi="Calibri" w:cs="Calibri"/>
          <w:bCs/>
          <w:color w:val="000000" w:themeColor="text1"/>
          <w:lang w:val="en-US"/>
        </w:rPr>
        <w:t>1</w:t>
      </w:r>
      <w:r w:rsidRPr="0079637E">
        <w:rPr>
          <w:rFonts w:ascii="Calibri" w:eastAsia="Times New Roman" w:hAnsi="Calibri" w:cs="Calibri"/>
          <w:bCs/>
          <w:color w:val="000000" w:themeColor="text1"/>
          <w:lang w:val="en-US"/>
        </w:rPr>
        <w:t>: HRK</w:t>
      </w:r>
      <w:r w:rsidRPr="00537128">
        <w:rPr>
          <w:rFonts w:ascii="Calibri" w:eastAsia="Times New Roman" w:hAnsi="Calibri" w:cs="Calibri"/>
          <w:bCs/>
          <w:color w:val="000000" w:themeColor="text1"/>
          <w:lang w:val="en-US"/>
        </w:rPr>
        <w:t xml:space="preserve"> </w:t>
      </w:r>
      <w:r w:rsidR="004A287E" w:rsidRPr="00537128">
        <w:rPr>
          <w:rFonts w:ascii="Calibri" w:eastAsia="Times New Roman" w:hAnsi="Calibri" w:cs="Calibri"/>
          <w:bCs/>
          <w:color w:val="000000" w:themeColor="text1"/>
          <w:lang w:val="en-US"/>
        </w:rPr>
        <w:t>4,</w:t>
      </w:r>
      <w:r w:rsidR="0079637E">
        <w:rPr>
          <w:rFonts w:ascii="Calibri" w:eastAsia="Times New Roman" w:hAnsi="Calibri" w:cs="Calibri"/>
          <w:bCs/>
          <w:color w:val="000000" w:themeColor="text1"/>
          <w:lang w:val="en-US"/>
        </w:rPr>
        <w:t>361</w:t>
      </w:r>
      <w:r w:rsidR="004A287E" w:rsidRPr="00537128">
        <w:rPr>
          <w:rFonts w:ascii="Calibri" w:eastAsia="Times New Roman" w:hAnsi="Calibri" w:cs="Calibri"/>
          <w:bCs/>
          <w:color w:val="000000" w:themeColor="text1"/>
          <w:lang w:val="en-US"/>
        </w:rPr>
        <w:t>,</w:t>
      </w:r>
      <w:r w:rsidR="0079637E">
        <w:rPr>
          <w:rFonts w:ascii="Calibri" w:eastAsia="Times New Roman" w:hAnsi="Calibri" w:cs="Calibri"/>
          <w:bCs/>
          <w:color w:val="000000" w:themeColor="text1"/>
          <w:lang w:val="en-US"/>
        </w:rPr>
        <w:t>928</w:t>
      </w:r>
      <w:r w:rsidR="004A287E" w:rsidRPr="00537128">
        <w:rPr>
          <w:rFonts w:ascii="Calibri" w:eastAsia="Times New Roman" w:hAnsi="Calibri" w:cs="Calibri"/>
          <w:bCs/>
          <w:color w:val="000000" w:themeColor="text1"/>
          <w:lang w:val="en-US"/>
        </w:rPr>
        <w:t xml:space="preserve"> </w:t>
      </w:r>
      <w:r w:rsidRPr="00537128">
        <w:rPr>
          <w:rFonts w:ascii="Calibri" w:eastAsia="Times New Roman" w:hAnsi="Calibri" w:cs="Calibri"/>
          <w:bCs/>
          <w:color w:val="000000" w:themeColor="text1"/>
          <w:lang w:val="en-US"/>
        </w:rPr>
        <w:t xml:space="preserve">thousand) and </w:t>
      </w:r>
      <w:r w:rsidRPr="00BB040E">
        <w:rPr>
          <w:rFonts w:ascii="Calibri" w:eastAsia="Times New Roman" w:hAnsi="Calibri" w:cs="Calibri"/>
          <w:bCs/>
          <w:color w:val="000000" w:themeColor="text1"/>
          <w:lang w:val="en-US"/>
        </w:rPr>
        <w:t xml:space="preserve">HRK </w:t>
      </w:r>
      <w:r w:rsidR="00244551" w:rsidRPr="00BB040E">
        <w:rPr>
          <w:rFonts w:ascii="Calibri" w:eastAsia="Times New Roman" w:hAnsi="Calibri" w:cs="Calibri"/>
          <w:bCs/>
          <w:color w:val="000000" w:themeColor="text1"/>
          <w:lang w:val="en-US"/>
        </w:rPr>
        <w:t>4</w:t>
      </w:r>
      <w:r w:rsidR="00F40455" w:rsidRPr="00BB040E">
        <w:rPr>
          <w:rFonts w:ascii="Calibri" w:eastAsia="Times New Roman" w:hAnsi="Calibri" w:cs="Calibri"/>
          <w:bCs/>
          <w:color w:val="000000" w:themeColor="text1"/>
          <w:lang w:val="en-US"/>
        </w:rPr>
        <w:t>,</w:t>
      </w:r>
      <w:r w:rsidR="00BB040E" w:rsidRPr="00BB040E">
        <w:rPr>
          <w:rFonts w:ascii="Calibri" w:eastAsia="Times New Roman" w:hAnsi="Calibri" w:cs="Calibri"/>
          <w:bCs/>
          <w:color w:val="000000" w:themeColor="text1"/>
          <w:lang w:val="en-US"/>
        </w:rPr>
        <w:t>586</w:t>
      </w:r>
      <w:r w:rsidR="00F40455" w:rsidRPr="00BB040E">
        <w:rPr>
          <w:rFonts w:ascii="Calibri" w:eastAsia="Times New Roman" w:hAnsi="Calibri" w:cs="Calibri"/>
          <w:bCs/>
          <w:color w:val="000000" w:themeColor="text1"/>
          <w:lang w:val="en-US"/>
        </w:rPr>
        <w:t>,</w:t>
      </w:r>
      <w:r w:rsidR="00BB040E" w:rsidRPr="00BB040E">
        <w:rPr>
          <w:rFonts w:ascii="Calibri" w:eastAsia="Times New Roman" w:hAnsi="Calibri" w:cs="Calibri"/>
          <w:bCs/>
          <w:color w:val="000000" w:themeColor="text1"/>
          <w:lang w:val="en-US"/>
        </w:rPr>
        <w:t>583</w:t>
      </w:r>
      <w:r w:rsidR="00F40455" w:rsidRPr="00F40455">
        <w:rPr>
          <w:rFonts w:ascii="Calibri" w:eastAsia="Times New Roman" w:hAnsi="Calibri" w:cs="Calibri"/>
          <w:bCs/>
          <w:color w:val="000000" w:themeColor="text1"/>
          <w:lang w:val="en-US"/>
        </w:rPr>
        <w:t xml:space="preserve"> </w:t>
      </w:r>
      <w:r w:rsidRPr="00537128">
        <w:rPr>
          <w:rFonts w:ascii="Calibri" w:eastAsia="Times New Roman" w:hAnsi="Calibri" w:cs="Calibri"/>
          <w:bCs/>
          <w:color w:val="000000" w:themeColor="text1"/>
          <w:lang w:val="en-US"/>
        </w:rPr>
        <w:t>thousand for the Bank (31 December 202</w:t>
      </w:r>
      <w:r w:rsidR="0079637E">
        <w:rPr>
          <w:rFonts w:ascii="Calibri" w:eastAsia="Times New Roman" w:hAnsi="Calibri" w:cs="Calibri"/>
          <w:bCs/>
          <w:color w:val="000000" w:themeColor="text1"/>
          <w:lang w:val="en-US"/>
        </w:rPr>
        <w:t>1</w:t>
      </w:r>
      <w:r w:rsidRPr="00537128">
        <w:rPr>
          <w:rFonts w:ascii="Calibri" w:eastAsia="Times New Roman" w:hAnsi="Calibri" w:cs="Calibri"/>
          <w:bCs/>
          <w:color w:val="000000" w:themeColor="text1"/>
          <w:lang w:val="en-US"/>
        </w:rPr>
        <w:t xml:space="preserve">: HRK </w:t>
      </w:r>
      <w:r w:rsidR="004A287E" w:rsidRPr="00537128">
        <w:rPr>
          <w:rFonts w:ascii="Calibri" w:eastAsia="Times New Roman" w:hAnsi="Calibri" w:cs="Calibri"/>
          <w:bCs/>
          <w:color w:val="000000" w:themeColor="text1"/>
          <w:lang w:val="en-US"/>
        </w:rPr>
        <w:t>4,</w:t>
      </w:r>
      <w:r w:rsidR="000652CA">
        <w:rPr>
          <w:rFonts w:ascii="Calibri" w:eastAsia="Times New Roman" w:hAnsi="Calibri" w:cs="Calibri"/>
          <w:bCs/>
          <w:color w:val="000000" w:themeColor="text1"/>
          <w:lang w:val="en-US"/>
        </w:rPr>
        <w:t>307</w:t>
      </w:r>
      <w:r w:rsidR="004A287E" w:rsidRPr="00537128">
        <w:rPr>
          <w:rFonts w:ascii="Calibri" w:eastAsia="Times New Roman" w:hAnsi="Calibri" w:cs="Calibri"/>
          <w:bCs/>
          <w:color w:val="000000" w:themeColor="text1"/>
          <w:lang w:val="en-US"/>
        </w:rPr>
        <w:t>,</w:t>
      </w:r>
      <w:r w:rsidR="000652CA">
        <w:rPr>
          <w:rFonts w:ascii="Calibri" w:eastAsia="Times New Roman" w:hAnsi="Calibri" w:cs="Calibri"/>
          <w:bCs/>
          <w:color w:val="000000" w:themeColor="text1"/>
          <w:lang w:val="en-US"/>
        </w:rPr>
        <w:t>497</w:t>
      </w:r>
      <w:r w:rsidR="004A287E" w:rsidRPr="00537128">
        <w:rPr>
          <w:rFonts w:ascii="Calibri" w:eastAsia="Times New Roman" w:hAnsi="Calibri" w:cs="Calibri"/>
          <w:bCs/>
          <w:color w:val="000000" w:themeColor="text1"/>
          <w:lang w:val="en-US"/>
        </w:rPr>
        <w:t xml:space="preserve"> </w:t>
      </w:r>
      <w:r w:rsidRPr="00537128">
        <w:rPr>
          <w:rFonts w:ascii="Calibri" w:eastAsia="Times New Roman" w:hAnsi="Calibri" w:cs="Calibri"/>
          <w:bCs/>
          <w:color w:val="000000" w:themeColor="text1"/>
          <w:lang w:val="en-US"/>
        </w:rPr>
        <w:t xml:space="preserve">thousand) is not covered with ordinary collateral, but it relates to receivables and received funds from the Republic of Croatia for the Group and the Bank </w:t>
      </w:r>
      <w:r w:rsidRPr="00FE48F6">
        <w:rPr>
          <w:rFonts w:ascii="Calibri" w:eastAsia="Times New Roman" w:hAnsi="Calibri" w:cs="Calibri"/>
          <w:bCs/>
          <w:color w:val="000000" w:themeColor="text1"/>
          <w:lang w:val="en-US"/>
        </w:rPr>
        <w:t xml:space="preserve">of HRK </w:t>
      </w:r>
      <w:r w:rsidR="00FE48F6" w:rsidRPr="00FE48F6">
        <w:rPr>
          <w:rFonts w:ascii="Calibri" w:eastAsia="Times New Roman" w:hAnsi="Calibri" w:cs="Calibri"/>
          <w:bCs/>
          <w:color w:val="000000" w:themeColor="text1"/>
          <w:lang w:val="en-US"/>
        </w:rPr>
        <w:t>468</w:t>
      </w:r>
      <w:r w:rsidR="00F40455" w:rsidRPr="00FE48F6">
        <w:rPr>
          <w:rFonts w:ascii="Calibri" w:eastAsia="Times New Roman" w:hAnsi="Calibri" w:cs="Calibri"/>
          <w:bCs/>
          <w:color w:val="000000" w:themeColor="text1"/>
          <w:lang w:val="en-US"/>
        </w:rPr>
        <w:t>,</w:t>
      </w:r>
      <w:r w:rsidR="00FE48F6" w:rsidRPr="00FE48F6">
        <w:rPr>
          <w:rFonts w:ascii="Calibri" w:eastAsia="Times New Roman" w:hAnsi="Calibri" w:cs="Calibri"/>
          <w:bCs/>
          <w:color w:val="000000" w:themeColor="text1"/>
          <w:lang w:val="en-US"/>
        </w:rPr>
        <w:t>481</w:t>
      </w:r>
      <w:r w:rsidR="00F40455" w:rsidRPr="00F40455">
        <w:rPr>
          <w:rFonts w:ascii="Calibri" w:eastAsia="Times New Roman" w:hAnsi="Calibri" w:cs="Calibri"/>
          <w:bCs/>
          <w:color w:val="000000" w:themeColor="text1"/>
          <w:lang w:val="en-US"/>
        </w:rPr>
        <w:t xml:space="preserve"> </w:t>
      </w:r>
      <w:r w:rsidRPr="00537128">
        <w:rPr>
          <w:rFonts w:ascii="Calibri" w:eastAsia="Times New Roman" w:hAnsi="Calibri" w:cs="Calibri"/>
          <w:bCs/>
          <w:color w:val="000000" w:themeColor="text1"/>
          <w:lang w:val="en-US"/>
        </w:rPr>
        <w:t>thousand (31 December 202</w:t>
      </w:r>
      <w:r w:rsidR="000652CA">
        <w:rPr>
          <w:rFonts w:ascii="Calibri" w:eastAsia="Times New Roman" w:hAnsi="Calibri" w:cs="Calibri"/>
          <w:bCs/>
          <w:color w:val="000000" w:themeColor="text1"/>
          <w:lang w:val="en-US"/>
        </w:rPr>
        <w:t>1</w:t>
      </w:r>
      <w:r w:rsidRPr="00537128">
        <w:rPr>
          <w:rFonts w:ascii="Calibri" w:eastAsia="Times New Roman" w:hAnsi="Calibri" w:cs="Calibri"/>
          <w:bCs/>
          <w:color w:val="000000" w:themeColor="text1"/>
          <w:lang w:val="en-US"/>
        </w:rPr>
        <w:t xml:space="preserve">: HRK </w:t>
      </w:r>
      <w:r w:rsidR="000C4C95">
        <w:rPr>
          <w:rFonts w:ascii="Calibri" w:eastAsia="Times New Roman" w:hAnsi="Calibri" w:cs="Calibri"/>
          <w:bCs/>
          <w:color w:val="000000" w:themeColor="text1"/>
          <w:lang w:val="en-US"/>
        </w:rPr>
        <w:t>478</w:t>
      </w:r>
      <w:r w:rsidR="004A287E" w:rsidRPr="00537128">
        <w:rPr>
          <w:rFonts w:ascii="Calibri" w:eastAsia="Times New Roman" w:hAnsi="Calibri" w:cs="Calibri"/>
          <w:bCs/>
          <w:color w:val="000000" w:themeColor="text1"/>
          <w:lang w:val="en-US"/>
        </w:rPr>
        <w:t>,</w:t>
      </w:r>
      <w:r w:rsidR="00936361">
        <w:rPr>
          <w:rFonts w:ascii="Calibri" w:eastAsia="Times New Roman" w:hAnsi="Calibri" w:cs="Calibri"/>
          <w:bCs/>
          <w:color w:val="000000" w:themeColor="text1"/>
          <w:lang w:val="en-US"/>
        </w:rPr>
        <w:t>914</w:t>
      </w:r>
      <w:r w:rsidR="004A287E" w:rsidRPr="00537128">
        <w:rPr>
          <w:rFonts w:ascii="Calibri" w:eastAsia="Times New Roman" w:hAnsi="Calibri" w:cs="Calibri"/>
          <w:bCs/>
          <w:color w:val="000000" w:themeColor="text1"/>
          <w:lang w:val="en-US"/>
        </w:rPr>
        <w:t xml:space="preserve"> </w:t>
      </w:r>
      <w:r w:rsidRPr="00537128">
        <w:rPr>
          <w:rFonts w:ascii="Calibri" w:eastAsia="Times New Roman" w:hAnsi="Calibri" w:cs="Calibri"/>
          <w:bCs/>
          <w:color w:val="000000" w:themeColor="text1"/>
          <w:lang w:val="en-US"/>
        </w:rPr>
        <w:t xml:space="preserve">thousand), from local (regional) authorities of HRK </w:t>
      </w:r>
      <w:bookmarkStart w:id="805" w:name="_Hlk68874644"/>
      <w:r w:rsidR="00FE48F6" w:rsidRPr="00FE48F6">
        <w:rPr>
          <w:rFonts w:ascii="Calibri" w:eastAsia="Times New Roman" w:hAnsi="Calibri" w:cs="Calibri"/>
          <w:bCs/>
          <w:color w:val="000000" w:themeColor="text1"/>
          <w:lang w:val="en-US"/>
        </w:rPr>
        <w:t>793</w:t>
      </w:r>
      <w:r w:rsidR="00F40455" w:rsidRPr="00FE48F6">
        <w:rPr>
          <w:rFonts w:ascii="Calibri" w:eastAsia="Times New Roman" w:hAnsi="Calibri" w:cs="Calibri"/>
          <w:bCs/>
          <w:color w:val="000000" w:themeColor="text1"/>
          <w:lang w:val="en-US"/>
        </w:rPr>
        <w:t>,</w:t>
      </w:r>
      <w:r w:rsidR="00FE48F6" w:rsidRPr="00FE48F6">
        <w:rPr>
          <w:rFonts w:ascii="Calibri" w:eastAsia="Times New Roman" w:hAnsi="Calibri" w:cs="Calibri"/>
          <w:bCs/>
          <w:color w:val="000000" w:themeColor="text1"/>
          <w:lang w:val="en-US"/>
        </w:rPr>
        <w:t>628</w:t>
      </w:r>
      <w:r w:rsidR="00F40455" w:rsidRPr="00F40455">
        <w:rPr>
          <w:rFonts w:ascii="Calibri" w:eastAsia="Times New Roman" w:hAnsi="Calibri" w:cs="Calibri"/>
          <w:bCs/>
          <w:color w:val="000000" w:themeColor="text1"/>
          <w:lang w:val="en-US"/>
        </w:rPr>
        <w:t xml:space="preserve"> </w:t>
      </w:r>
      <w:bookmarkEnd w:id="805"/>
      <w:r w:rsidRPr="00537128">
        <w:rPr>
          <w:rFonts w:ascii="Calibri" w:eastAsia="Times New Roman" w:hAnsi="Calibri" w:cs="Calibri"/>
          <w:bCs/>
          <w:color w:val="000000" w:themeColor="text1"/>
          <w:lang w:val="en-US"/>
        </w:rPr>
        <w:t>thousand (31 December 20</w:t>
      </w:r>
      <w:r w:rsidR="004A287E" w:rsidRPr="00537128">
        <w:rPr>
          <w:rFonts w:ascii="Calibri" w:eastAsia="Times New Roman" w:hAnsi="Calibri" w:cs="Calibri"/>
          <w:bCs/>
          <w:color w:val="000000" w:themeColor="text1"/>
          <w:lang w:val="en-US"/>
        </w:rPr>
        <w:t>2</w:t>
      </w:r>
      <w:r w:rsidR="00936361">
        <w:rPr>
          <w:rFonts w:ascii="Calibri" w:eastAsia="Times New Roman" w:hAnsi="Calibri" w:cs="Calibri"/>
          <w:bCs/>
          <w:color w:val="000000" w:themeColor="text1"/>
          <w:lang w:val="en-US"/>
        </w:rPr>
        <w:t>1</w:t>
      </w:r>
      <w:r w:rsidRPr="00537128">
        <w:rPr>
          <w:rFonts w:ascii="Calibri" w:eastAsia="Times New Roman" w:hAnsi="Calibri" w:cs="Calibri"/>
          <w:bCs/>
          <w:color w:val="000000" w:themeColor="text1"/>
          <w:lang w:val="en-US"/>
        </w:rPr>
        <w:t xml:space="preserve">: HRK </w:t>
      </w:r>
      <w:r w:rsidR="00936361">
        <w:rPr>
          <w:rFonts w:ascii="Calibri" w:eastAsia="Times New Roman" w:hAnsi="Calibri" w:cs="Calibri"/>
          <w:bCs/>
          <w:color w:val="000000" w:themeColor="text1"/>
          <w:lang w:val="en-US"/>
        </w:rPr>
        <w:t>777</w:t>
      </w:r>
      <w:r w:rsidR="004A287E" w:rsidRPr="00537128">
        <w:rPr>
          <w:rFonts w:ascii="Calibri" w:eastAsia="Times New Roman" w:hAnsi="Calibri" w:cs="Calibri"/>
          <w:bCs/>
          <w:color w:val="000000" w:themeColor="text1"/>
          <w:lang w:val="en-US"/>
        </w:rPr>
        <w:t>,</w:t>
      </w:r>
      <w:r w:rsidR="00936361">
        <w:rPr>
          <w:rFonts w:ascii="Calibri" w:eastAsia="Times New Roman" w:hAnsi="Calibri" w:cs="Calibri"/>
          <w:bCs/>
          <w:color w:val="000000" w:themeColor="text1"/>
          <w:lang w:val="en-US"/>
        </w:rPr>
        <w:t>947</w:t>
      </w:r>
      <w:r w:rsidR="004A287E" w:rsidRPr="00537128">
        <w:rPr>
          <w:rFonts w:ascii="Calibri" w:eastAsia="Times New Roman" w:hAnsi="Calibri" w:cs="Calibri"/>
          <w:bCs/>
          <w:color w:val="000000" w:themeColor="text1"/>
          <w:lang w:val="en-US"/>
        </w:rPr>
        <w:t xml:space="preserve"> </w:t>
      </w:r>
      <w:r w:rsidRPr="00537128">
        <w:rPr>
          <w:rFonts w:ascii="Calibri" w:eastAsia="Times New Roman" w:hAnsi="Calibri" w:cs="Calibri"/>
          <w:bCs/>
          <w:color w:val="000000" w:themeColor="text1"/>
          <w:lang w:val="en-US"/>
        </w:rPr>
        <w:t xml:space="preserve">thousand), state-owned companies for whose commitments the Republic of Croatia guarantees jointly and unconditionally of HRK </w:t>
      </w:r>
      <w:r w:rsidR="00A0230F" w:rsidRPr="0097763E">
        <w:rPr>
          <w:rFonts w:ascii="Calibri" w:eastAsia="Times New Roman" w:hAnsi="Calibri" w:cs="Calibri"/>
          <w:bCs/>
          <w:color w:val="000000" w:themeColor="text1"/>
          <w:lang w:val="en-US"/>
        </w:rPr>
        <w:t>1</w:t>
      </w:r>
      <w:r w:rsidR="0097763E" w:rsidRPr="0097763E">
        <w:rPr>
          <w:rFonts w:ascii="Calibri" w:eastAsia="Times New Roman" w:hAnsi="Calibri" w:cs="Calibri"/>
          <w:bCs/>
          <w:color w:val="000000" w:themeColor="text1"/>
          <w:lang w:val="en-US"/>
        </w:rPr>
        <w:t>74</w:t>
      </w:r>
      <w:r w:rsidR="00A0230F" w:rsidRPr="0097763E">
        <w:rPr>
          <w:rFonts w:ascii="Calibri" w:eastAsia="Times New Roman" w:hAnsi="Calibri" w:cs="Calibri"/>
          <w:bCs/>
          <w:color w:val="000000" w:themeColor="text1"/>
          <w:lang w:val="en-US"/>
        </w:rPr>
        <w:t>,1</w:t>
      </w:r>
      <w:r w:rsidR="0097763E" w:rsidRPr="0097763E">
        <w:rPr>
          <w:rFonts w:ascii="Calibri" w:eastAsia="Times New Roman" w:hAnsi="Calibri" w:cs="Calibri"/>
          <w:bCs/>
          <w:color w:val="000000" w:themeColor="text1"/>
          <w:lang w:val="en-US"/>
        </w:rPr>
        <w:t>09</w:t>
      </w:r>
      <w:r w:rsidR="00A0230F" w:rsidRPr="0097763E">
        <w:rPr>
          <w:rFonts w:ascii="Calibri" w:eastAsia="Times New Roman" w:hAnsi="Calibri" w:cs="Calibri"/>
          <w:bCs/>
          <w:color w:val="000000" w:themeColor="text1"/>
          <w:lang w:val="en-US"/>
        </w:rPr>
        <w:t xml:space="preserve"> </w:t>
      </w:r>
      <w:r w:rsidRPr="0097763E">
        <w:rPr>
          <w:rFonts w:ascii="Calibri" w:eastAsia="Times New Roman" w:hAnsi="Calibri" w:cs="Calibri"/>
          <w:bCs/>
          <w:color w:val="000000" w:themeColor="text1"/>
          <w:lang w:val="en-US"/>
        </w:rPr>
        <w:t>thousand</w:t>
      </w:r>
      <w:r w:rsidRPr="00537128">
        <w:rPr>
          <w:rFonts w:ascii="Calibri" w:eastAsia="Times New Roman" w:hAnsi="Calibri" w:cs="Calibri"/>
          <w:bCs/>
          <w:color w:val="000000" w:themeColor="text1"/>
          <w:lang w:val="en-US"/>
        </w:rPr>
        <w:t xml:space="preserve"> (31 December 20</w:t>
      </w:r>
      <w:r w:rsidR="004A287E" w:rsidRPr="00537128">
        <w:rPr>
          <w:rFonts w:ascii="Calibri" w:eastAsia="Times New Roman" w:hAnsi="Calibri" w:cs="Calibri"/>
          <w:bCs/>
          <w:color w:val="000000" w:themeColor="text1"/>
          <w:lang w:val="en-US"/>
        </w:rPr>
        <w:t>2</w:t>
      </w:r>
      <w:r w:rsidR="0011458F">
        <w:rPr>
          <w:rFonts w:ascii="Calibri" w:eastAsia="Times New Roman" w:hAnsi="Calibri" w:cs="Calibri"/>
          <w:bCs/>
          <w:color w:val="000000" w:themeColor="text1"/>
          <w:lang w:val="en-US"/>
        </w:rPr>
        <w:t>1</w:t>
      </w:r>
      <w:r w:rsidRPr="00537128">
        <w:rPr>
          <w:rFonts w:ascii="Calibri" w:eastAsia="Times New Roman" w:hAnsi="Calibri" w:cs="Calibri"/>
          <w:bCs/>
          <w:color w:val="000000" w:themeColor="text1"/>
          <w:lang w:val="en-US"/>
        </w:rPr>
        <w:t xml:space="preserve">: HRK </w:t>
      </w:r>
      <w:r w:rsidR="001B4D6B">
        <w:rPr>
          <w:rFonts w:ascii="Calibri" w:eastAsia="Times New Roman" w:hAnsi="Calibri" w:cs="Calibri"/>
          <w:bCs/>
          <w:color w:val="000000" w:themeColor="text1"/>
          <w:lang w:val="en-US"/>
        </w:rPr>
        <w:t>180</w:t>
      </w:r>
      <w:r w:rsidRPr="00537128">
        <w:rPr>
          <w:rFonts w:ascii="Calibri" w:eastAsia="Times New Roman" w:hAnsi="Calibri" w:cs="Calibri"/>
          <w:bCs/>
          <w:color w:val="000000" w:themeColor="text1"/>
          <w:lang w:val="en-US"/>
        </w:rPr>
        <w:t>,</w:t>
      </w:r>
      <w:r w:rsidR="001B4D6B">
        <w:rPr>
          <w:rFonts w:ascii="Calibri" w:eastAsia="Times New Roman" w:hAnsi="Calibri" w:cs="Calibri"/>
          <w:bCs/>
          <w:color w:val="000000" w:themeColor="text1"/>
          <w:lang w:val="en-US"/>
        </w:rPr>
        <w:t>112</w:t>
      </w:r>
      <w:r w:rsidRPr="00537128">
        <w:rPr>
          <w:rFonts w:ascii="Calibri" w:eastAsia="Times New Roman" w:hAnsi="Calibri" w:cs="Calibri"/>
          <w:bCs/>
          <w:color w:val="000000" w:themeColor="text1"/>
          <w:lang w:val="en-US"/>
        </w:rPr>
        <w:t xml:space="preserve"> thousand), government funds of HRK </w:t>
      </w:r>
      <w:r w:rsidR="0097763E" w:rsidRPr="0097763E">
        <w:rPr>
          <w:rFonts w:ascii="Calibri" w:eastAsia="Times New Roman" w:hAnsi="Calibri" w:cs="Calibri"/>
          <w:bCs/>
          <w:color w:val="000000" w:themeColor="text1"/>
          <w:lang w:val="en-US"/>
        </w:rPr>
        <w:t>1</w:t>
      </w:r>
      <w:r w:rsidR="00A0230F" w:rsidRPr="0097763E">
        <w:rPr>
          <w:rFonts w:ascii="Calibri" w:eastAsia="Times New Roman" w:hAnsi="Calibri" w:cs="Calibri"/>
          <w:bCs/>
          <w:color w:val="000000" w:themeColor="text1"/>
          <w:lang w:val="en-US"/>
        </w:rPr>
        <w:t>3</w:t>
      </w:r>
      <w:r w:rsidR="00A0230F" w:rsidRPr="00537128">
        <w:rPr>
          <w:rFonts w:ascii="Calibri" w:eastAsia="Times New Roman" w:hAnsi="Calibri" w:cs="Calibri"/>
          <w:bCs/>
          <w:color w:val="000000" w:themeColor="text1"/>
          <w:lang w:val="en-US"/>
        </w:rPr>
        <w:t xml:space="preserve"> </w:t>
      </w:r>
      <w:r w:rsidRPr="00537128">
        <w:rPr>
          <w:rFonts w:ascii="Calibri" w:eastAsia="Times New Roman" w:hAnsi="Calibri" w:cs="Calibri"/>
          <w:bCs/>
          <w:color w:val="000000" w:themeColor="text1"/>
          <w:lang w:val="en-US"/>
        </w:rPr>
        <w:t>thousand (31 December 20</w:t>
      </w:r>
      <w:r w:rsidR="004A287E" w:rsidRPr="00537128">
        <w:rPr>
          <w:rFonts w:ascii="Calibri" w:eastAsia="Times New Roman" w:hAnsi="Calibri" w:cs="Calibri"/>
          <w:bCs/>
          <w:color w:val="000000" w:themeColor="text1"/>
          <w:lang w:val="en-US"/>
        </w:rPr>
        <w:t>2</w:t>
      </w:r>
      <w:r w:rsidR="00CC43A6">
        <w:rPr>
          <w:rFonts w:ascii="Calibri" w:eastAsia="Times New Roman" w:hAnsi="Calibri" w:cs="Calibri"/>
          <w:bCs/>
          <w:color w:val="000000" w:themeColor="text1"/>
          <w:lang w:val="en-US"/>
        </w:rPr>
        <w:t>1</w:t>
      </w:r>
      <w:r w:rsidRPr="00537128">
        <w:rPr>
          <w:rFonts w:ascii="Calibri" w:eastAsia="Times New Roman" w:hAnsi="Calibri" w:cs="Calibri"/>
          <w:bCs/>
          <w:color w:val="000000" w:themeColor="text1"/>
          <w:lang w:val="en-US"/>
        </w:rPr>
        <w:t xml:space="preserve">: HRK </w:t>
      </w:r>
      <w:r w:rsidR="004A287E" w:rsidRPr="00537128">
        <w:rPr>
          <w:rFonts w:ascii="Calibri" w:eastAsia="Times New Roman" w:hAnsi="Calibri" w:cs="Calibri"/>
          <w:bCs/>
          <w:color w:val="000000" w:themeColor="text1"/>
          <w:lang w:val="en-US"/>
        </w:rPr>
        <w:t>1</w:t>
      </w:r>
      <w:r w:rsidR="00CC43A6">
        <w:rPr>
          <w:rFonts w:ascii="Calibri" w:eastAsia="Times New Roman" w:hAnsi="Calibri" w:cs="Calibri"/>
          <w:bCs/>
          <w:color w:val="000000" w:themeColor="text1"/>
          <w:lang w:val="en-US"/>
        </w:rPr>
        <w:t>2</w:t>
      </w:r>
      <w:r w:rsidRPr="00537128">
        <w:rPr>
          <w:rFonts w:ascii="Calibri" w:eastAsia="Times New Roman" w:hAnsi="Calibri" w:cs="Calibri"/>
          <w:bCs/>
          <w:color w:val="000000" w:themeColor="text1"/>
          <w:lang w:val="en-US"/>
        </w:rPr>
        <w:t xml:space="preserve"> thousand), government bonds and Treasury bills of the Ministry of Finance of </w:t>
      </w:r>
      <w:r w:rsidRPr="00942B15">
        <w:rPr>
          <w:rFonts w:ascii="Calibri" w:eastAsia="Times New Roman" w:hAnsi="Calibri" w:cs="Calibri"/>
          <w:bCs/>
          <w:color w:val="000000" w:themeColor="text1"/>
          <w:lang w:val="en-US"/>
        </w:rPr>
        <w:t xml:space="preserve">HRK </w:t>
      </w:r>
      <w:r w:rsidR="00A0230F" w:rsidRPr="00942B15">
        <w:rPr>
          <w:rFonts w:ascii="Calibri" w:eastAsia="Times New Roman" w:hAnsi="Calibri" w:cs="Calibri"/>
          <w:bCs/>
          <w:color w:val="000000" w:themeColor="text1"/>
          <w:lang w:val="en-US"/>
        </w:rPr>
        <w:t>3,</w:t>
      </w:r>
      <w:r w:rsidR="00942B15" w:rsidRPr="00942B15">
        <w:rPr>
          <w:rFonts w:ascii="Calibri" w:eastAsia="Times New Roman" w:hAnsi="Calibri" w:cs="Calibri"/>
          <w:bCs/>
          <w:color w:val="000000" w:themeColor="text1"/>
          <w:lang w:val="en-US"/>
        </w:rPr>
        <w:t>201</w:t>
      </w:r>
      <w:r w:rsidR="00A0230F" w:rsidRPr="00942B15">
        <w:rPr>
          <w:rFonts w:ascii="Calibri" w:eastAsia="Times New Roman" w:hAnsi="Calibri" w:cs="Calibri"/>
          <w:bCs/>
          <w:color w:val="000000" w:themeColor="text1"/>
          <w:lang w:val="en-US"/>
        </w:rPr>
        <w:t>,</w:t>
      </w:r>
      <w:r w:rsidR="00942B15" w:rsidRPr="00942B15">
        <w:rPr>
          <w:rFonts w:ascii="Calibri" w:eastAsia="Times New Roman" w:hAnsi="Calibri" w:cs="Calibri"/>
          <w:bCs/>
          <w:color w:val="000000" w:themeColor="text1"/>
          <w:lang w:val="en-US"/>
        </w:rPr>
        <w:t>089</w:t>
      </w:r>
      <w:r w:rsidR="00A0230F" w:rsidRPr="00942B15">
        <w:rPr>
          <w:rFonts w:ascii="Calibri" w:eastAsia="Times New Roman" w:hAnsi="Calibri" w:cs="Calibri"/>
          <w:bCs/>
          <w:color w:val="000000" w:themeColor="text1"/>
          <w:lang w:val="en-US"/>
        </w:rPr>
        <w:t xml:space="preserve"> </w:t>
      </w:r>
      <w:r w:rsidRPr="00942B15">
        <w:rPr>
          <w:rFonts w:ascii="Calibri" w:eastAsia="Times New Roman" w:hAnsi="Calibri" w:cs="Calibri"/>
          <w:bCs/>
          <w:color w:val="000000" w:themeColor="text1"/>
          <w:lang w:val="en-US"/>
        </w:rPr>
        <w:t>thousand</w:t>
      </w:r>
      <w:r w:rsidRPr="00537128">
        <w:rPr>
          <w:rFonts w:ascii="Calibri" w:eastAsia="Times New Roman" w:hAnsi="Calibri" w:cs="Calibri"/>
          <w:bCs/>
          <w:color w:val="000000" w:themeColor="text1"/>
          <w:lang w:val="en-US"/>
        </w:rPr>
        <w:t xml:space="preserve"> for the Group and HRK </w:t>
      </w:r>
      <w:r w:rsidR="00A0230F" w:rsidRPr="00BC1EFB">
        <w:rPr>
          <w:rFonts w:ascii="Calibri" w:eastAsia="Times New Roman" w:hAnsi="Calibri" w:cs="Calibri"/>
          <w:bCs/>
          <w:color w:val="000000" w:themeColor="text1"/>
          <w:lang w:val="en-US"/>
        </w:rPr>
        <w:t>3,</w:t>
      </w:r>
      <w:r w:rsidR="00BC1EFB" w:rsidRPr="00BC1EFB">
        <w:rPr>
          <w:rFonts w:ascii="Calibri" w:eastAsia="Times New Roman" w:hAnsi="Calibri" w:cs="Calibri"/>
          <w:bCs/>
          <w:color w:val="000000" w:themeColor="text1"/>
          <w:lang w:val="en-US"/>
        </w:rPr>
        <w:t>150</w:t>
      </w:r>
      <w:r w:rsidR="00A0230F" w:rsidRPr="00BC1EFB">
        <w:rPr>
          <w:rFonts w:ascii="Calibri" w:eastAsia="Times New Roman" w:hAnsi="Calibri" w:cs="Calibri"/>
          <w:bCs/>
          <w:color w:val="000000" w:themeColor="text1"/>
          <w:lang w:val="en-US"/>
        </w:rPr>
        <w:t>,</w:t>
      </w:r>
      <w:r w:rsidR="00BC1EFB" w:rsidRPr="00BC1EFB">
        <w:rPr>
          <w:rFonts w:ascii="Calibri" w:eastAsia="Times New Roman" w:hAnsi="Calibri" w:cs="Calibri"/>
          <w:bCs/>
          <w:color w:val="000000" w:themeColor="text1"/>
          <w:lang w:val="en-US"/>
        </w:rPr>
        <w:t>353</w:t>
      </w:r>
      <w:r w:rsidR="00A0230F" w:rsidRPr="00BC1EFB">
        <w:rPr>
          <w:rFonts w:ascii="Calibri" w:eastAsia="Times New Roman" w:hAnsi="Calibri" w:cs="Calibri"/>
          <w:bCs/>
          <w:color w:val="000000" w:themeColor="text1"/>
          <w:lang w:val="en-US"/>
        </w:rPr>
        <w:t xml:space="preserve"> </w:t>
      </w:r>
      <w:r w:rsidRPr="00BC1EFB">
        <w:rPr>
          <w:rFonts w:ascii="Calibri" w:eastAsia="Times New Roman" w:hAnsi="Calibri" w:cs="Calibri"/>
          <w:bCs/>
          <w:color w:val="000000" w:themeColor="text1"/>
          <w:lang w:val="en-US"/>
        </w:rPr>
        <w:t>thousand</w:t>
      </w:r>
      <w:r w:rsidRPr="00537128">
        <w:rPr>
          <w:rFonts w:ascii="Calibri" w:eastAsia="Times New Roman" w:hAnsi="Calibri" w:cs="Calibri"/>
          <w:bCs/>
          <w:color w:val="000000" w:themeColor="text1"/>
          <w:lang w:val="en-US"/>
        </w:rPr>
        <w:t xml:space="preserve"> for the Bank (31 December 20</w:t>
      </w:r>
      <w:r w:rsidR="004A287E" w:rsidRPr="00537128">
        <w:rPr>
          <w:rFonts w:ascii="Calibri" w:eastAsia="Times New Roman" w:hAnsi="Calibri" w:cs="Calibri"/>
          <w:bCs/>
          <w:color w:val="000000" w:themeColor="text1"/>
          <w:lang w:val="en-US"/>
        </w:rPr>
        <w:t>2</w:t>
      </w:r>
      <w:r w:rsidR="003A4C09">
        <w:rPr>
          <w:rFonts w:ascii="Calibri" w:eastAsia="Times New Roman" w:hAnsi="Calibri" w:cs="Calibri"/>
          <w:bCs/>
          <w:color w:val="000000" w:themeColor="text1"/>
          <w:lang w:val="en-US"/>
        </w:rPr>
        <w:t>1</w:t>
      </w:r>
      <w:r w:rsidRPr="00537128">
        <w:rPr>
          <w:rFonts w:ascii="Calibri" w:eastAsia="Times New Roman" w:hAnsi="Calibri" w:cs="Calibri"/>
          <w:bCs/>
          <w:color w:val="000000" w:themeColor="text1"/>
          <w:lang w:val="en-US"/>
        </w:rPr>
        <w:t xml:space="preserve">: HRK </w:t>
      </w:r>
      <w:r w:rsidR="007033E0">
        <w:rPr>
          <w:rFonts w:ascii="Calibri" w:eastAsia="Times New Roman" w:hAnsi="Calibri" w:cs="Calibri"/>
          <w:bCs/>
          <w:color w:val="000000" w:themeColor="text1"/>
          <w:lang w:val="en-US"/>
        </w:rPr>
        <w:t>2</w:t>
      </w:r>
      <w:r w:rsidR="004A287E" w:rsidRPr="00537128">
        <w:rPr>
          <w:rFonts w:ascii="Calibri" w:eastAsia="Times New Roman" w:hAnsi="Calibri" w:cs="Calibri"/>
          <w:bCs/>
          <w:color w:val="000000" w:themeColor="text1"/>
          <w:lang w:val="en-US"/>
        </w:rPr>
        <w:t>,</w:t>
      </w:r>
      <w:r w:rsidR="007033E0">
        <w:rPr>
          <w:rFonts w:ascii="Calibri" w:eastAsia="Times New Roman" w:hAnsi="Calibri" w:cs="Calibri"/>
          <w:bCs/>
          <w:color w:val="000000" w:themeColor="text1"/>
          <w:lang w:val="en-US"/>
        </w:rPr>
        <w:t>924</w:t>
      </w:r>
      <w:r w:rsidR="004A287E" w:rsidRPr="00537128">
        <w:rPr>
          <w:rFonts w:ascii="Calibri" w:eastAsia="Times New Roman" w:hAnsi="Calibri" w:cs="Calibri"/>
          <w:bCs/>
          <w:color w:val="000000" w:themeColor="text1"/>
          <w:lang w:val="en-US"/>
        </w:rPr>
        <w:t>,</w:t>
      </w:r>
      <w:r w:rsidR="007033E0">
        <w:rPr>
          <w:rFonts w:ascii="Calibri" w:eastAsia="Times New Roman" w:hAnsi="Calibri" w:cs="Calibri"/>
          <w:bCs/>
          <w:color w:val="000000" w:themeColor="text1"/>
          <w:lang w:val="en-US"/>
        </w:rPr>
        <w:t>943</w:t>
      </w:r>
      <w:r w:rsidR="004A287E" w:rsidRPr="00537128">
        <w:rPr>
          <w:rFonts w:ascii="Calibri" w:eastAsia="Times New Roman" w:hAnsi="Calibri" w:cs="Calibri"/>
          <w:bCs/>
          <w:color w:val="000000" w:themeColor="text1"/>
          <w:lang w:val="en-US"/>
        </w:rPr>
        <w:t xml:space="preserve"> </w:t>
      </w:r>
      <w:r w:rsidRPr="00537128">
        <w:rPr>
          <w:rFonts w:ascii="Calibri" w:eastAsia="Times New Roman" w:hAnsi="Calibri" w:cs="Calibri"/>
          <w:bCs/>
          <w:color w:val="000000" w:themeColor="text1"/>
          <w:lang w:val="en-US"/>
        </w:rPr>
        <w:t xml:space="preserve">thousand for the Group and HRK </w:t>
      </w:r>
      <w:r w:rsidR="007033E0">
        <w:rPr>
          <w:rFonts w:ascii="Calibri" w:eastAsia="Times New Roman" w:hAnsi="Calibri" w:cs="Calibri"/>
          <w:bCs/>
          <w:color w:val="000000" w:themeColor="text1"/>
          <w:lang w:val="en-US"/>
        </w:rPr>
        <w:t>2</w:t>
      </w:r>
      <w:r w:rsidR="004A287E" w:rsidRPr="00537128">
        <w:rPr>
          <w:rFonts w:ascii="Calibri" w:eastAsia="Times New Roman" w:hAnsi="Calibri" w:cs="Calibri"/>
          <w:bCs/>
          <w:color w:val="000000" w:themeColor="text1"/>
          <w:lang w:val="en-US"/>
        </w:rPr>
        <w:t>,</w:t>
      </w:r>
      <w:r w:rsidR="007033E0">
        <w:rPr>
          <w:rFonts w:ascii="Calibri" w:eastAsia="Times New Roman" w:hAnsi="Calibri" w:cs="Calibri"/>
          <w:bCs/>
          <w:color w:val="000000" w:themeColor="text1"/>
          <w:lang w:val="en-US"/>
        </w:rPr>
        <w:t>870</w:t>
      </w:r>
      <w:r w:rsidR="004A287E" w:rsidRPr="00537128">
        <w:rPr>
          <w:rFonts w:ascii="Calibri" w:eastAsia="Times New Roman" w:hAnsi="Calibri" w:cs="Calibri"/>
          <w:bCs/>
          <w:color w:val="000000" w:themeColor="text1"/>
          <w:lang w:val="en-US"/>
        </w:rPr>
        <w:t>,</w:t>
      </w:r>
      <w:r w:rsidR="007033E0">
        <w:rPr>
          <w:rFonts w:ascii="Calibri" w:eastAsia="Times New Roman" w:hAnsi="Calibri" w:cs="Calibri"/>
          <w:bCs/>
          <w:color w:val="000000" w:themeColor="text1"/>
          <w:lang w:val="en-US"/>
        </w:rPr>
        <w:t>512</w:t>
      </w:r>
      <w:r w:rsidR="004A287E" w:rsidRPr="00537128">
        <w:rPr>
          <w:rFonts w:ascii="Calibri" w:eastAsia="Times New Roman" w:hAnsi="Calibri" w:cs="Calibri"/>
          <w:bCs/>
          <w:color w:val="000000" w:themeColor="text1"/>
          <w:lang w:val="en-US"/>
        </w:rPr>
        <w:t xml:space="preserve"> </w:t>
      </w:r>
      <w:r w:rsidRPr="00537128">
        <w:rPr>
          <w:rFonts w:ascii="Calibri" w:eastAsia="Times New Roman" w:hAnsi="Calibri" w:cs="Calibri"/>
          <w:bCs/>
          <w:color w:val="000000" w:themeColor="text1"/>
          <w:lang w:val="en-US"/>
        </w:rPr>
        <w:t>thousand for the Bank).</w:t>
      </w:r>
    </w:p>
    <w:p w14:paraId="7EF38947" w14:textId="77777777" w:rsidR="00FE04D4" w:rsidRPr="00537128" w:rsidRDefault="00FE04D4" w:rsidP="002578CA">
      <w:pPr>
        <w:tabs>
          <w:tab w:val="right" w:pos="9129"/>
        </w:tabs>
        <w:spacing w:after="0" w:line="240" w:lineRule="auto"/>
        <w:jc w:val="both"/>
        <w:rPr>
          <w:rFonts w:ascii="Calibri" w:eastAsia="Times New Roman" w:hAnsi="Calibri" w:cs="Arial"/>
          <w:bCs/>
          <w:color w:val="000000" w:themeColor="text1"/>
          <w:lang w:val="en-US"/>
        </w:rPr>
      </w:pPr>
    </w:p>
    <w:p w14:paraId="77801E61" w14:textId="77777777" w:rsidR="002578CA" w:rsidRPr="00537128" w:rsidRDefault="002578CA" w:rsidP="002578CA">
      <w:pPr>
        <w:tabs>
          <w:tab w:val="right" w:pos="9129"/>
        </w:tabs>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Part of the placements with net exposure relates to placements provisionally and partially covered with collateral and the further increase in exposure has been stopped pending the submission of the full collateral necessary for compliance with the requested collateral coverage ratio.</w:t>
      </w:r>
    </w:p>
    <w:p w14:paraId="091A7690" w14:textId="77777777" w:rsidR="002578CA" w:rsidRPr="00537128" w:rsidRDefault="002578CA" w:rsidP="002578CA">
      <w:pPr>
        <w:tabs>
          <w:tab w:val="right" w:pos="9129"/>
        </w:tabs>
        <w:spacing w:after="0" w:line="240" w:lineRule="auto"/>
        <w:jc w:val="both"/>
        <w:rPr>
          <w:rFonts w:ascii="Calibri" w:eastAsia="Times New Roman" w:hAnsi="Calibri" w:cs="Arial"/>
          <w:bCs/>
          <w:color w:val="000000" w:themeColor="text1"/>
          <w:lang w:val="en-US"/>
        </w:rPr>
      </w:pPr>
    </w:p>
    <w:p w14:paraId="57432796" w14:textId="77777777" w:rsidR="002578CA" w:rsidRPr="00537128" w:rsidRDefault="002578CA" w:rsidP="002578CA">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Financial intermediation includes mainly commercial bank.</w:t>
      </w:r>
    </w:p>
    <w:p w14:paraId="66C347D9" w14:textId="77777777" w:rsidR="002578CA" w:rsidRPr="00537128" w:rsidRDefault="002578CA" w:rsidP="002578CA">
      <w:pPr>
        <w:spacing w:after="0" w:line="240" w:lineRule="auto"/>
        <w:jc w:val="both"/>
        <w:rPr>
          <w:rFonts w:ascii="Calibri" w:eastAsia="Times New Roman" w:hAnsi="Calibri" w:cs="Arial"/>
          <w:bCs/>
          <w:color w:val="000000" w:themeColor="text1"/>
          <w:lang w:val="en-US"/>
        </w:rPr>
      </w:pPr>
    </w:p>
    <w:p w14:paraId="6CA84D69" w14:textId="77777777" w:rsidR="002578CA" w:rsidRPr="00537128" w:rsidRDefault="002578CA" w:rsidP="002578CA">
      <w:pPr>
        <w:spacing w:after="0" w:line="240" w:lineRule="auto"/>
        <w:jc w:val="both"/>
        <w:rPr>
          <w:rFonts w:ascii="Calibri" w:eastAsia="Times New Roman" w:hAnsi="Calibri" w:cs="Arial"/>
          <w:b/>
          <w:color w:val="000000" w:themeColor="text1"/>
          <w:sz w:val="20"/>
          <w:szCs w:val="20"/>
          <w:lang w:val="en-US"/>
        </w:rPr>
        <w:sectPr w:rsidR="002578CA" w:rsidRPr="00537128">
          <w:pgSz w:w="11906" w:h="16838"/>
          <w:pgMar w:top="1417" w:right="1417" w:bottom="1417" w:left="1417" w:header="708" w:footer="708" w:gutter="0"/>
          <w:cols w:space="708"/>
          <w:docGrid w:linePitch="360"/>
        </w:sectPr>
      </w:pPr>
    </w:p>
    <w:p w14:paraId="0FAE9F79" w14:textId="77777777" w:rsidR="00900DBE" w:rsidRPr="00BC329B" w:rsidRDefault="00900DBE" w:rsidP="00900DBE">
      <w:pPr>
        <w:spacing w:after="0" w:line="240" w:lineRule="auto"/>
        <w:jc w:val="both"/>
        <w:rPr>
          <w:rFonts w:ascii="Calibri" w:eastAsia="Times New Roman" w:hAnsi="Calibri" w:cs="Calibri"/>
          <w:b/>
          <w:bCs/>
          <w:color w:val="000000" w:themeColor="text1"/>
          <w:sz w:val="10"/>
          <w:szCs w:val="10"/>
          <w:lang w:val="en-US" w:eastAsia="hr-HR"/>
        </w:rPr>
      </w:pPr>
      <w:bookmarkStart w:id="806" w:name="_Hlk37078561"/>
    </w:p>
    <w:p w14:paraId="39288ED8" w14:textId="678C94AC" w:rsidR="00900DBE" w:rsidRPr="00537128" w:rsidRDefault="00B357CE" w:rsidP="00900DBE">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63FCBC8C" w14:textId="77777777" w:rsidR="00900DBE" w:rsidRPr="00537128" w:rsidRDefault="00900DBE" w:rsidP="00900DBE">
      <w:pPr>
        <w:tabs>
          <w:tab w:val="left" w:pos="709"/>
          <w:tab w:val="left" w:pos="851"/>
        </w:tabs>
        <w:spacing w:after="0" w:line="240" w:lineRule="auto"/>
        <w:jc w:val="both"/>
        <w:rPr>
          <w:rFonts w:ascii="Calibri" w:eastAsia="Times New Roman" w:hAnsi="Calibri" w:cs="Arial"/>
          <w:color w:val="000000" w:themeColor="text1"/>
          <w:sz w:val="12"/>
          <w:szCs w:val="12"/>
          <w:lang w:val="en-US"/>
        </w:rPr>
      </w:pPr>
    </w:p>
    <w:p w14:paraId="71DA3D05" w14:textId="17306B98" w:rsidR="00900DBE" w:rsidRPr="00537128" w:rsidRDefault="00B357CE" w:rsidP="00900DBE">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900DBE" w:rsidRPr="00537128">
        <w:rPr>
          <w:rFonts w:ascii="Calibri" w:eastAsia="Times New Roman" w:hAnsi="Calibri" w:cs="Arial"/>
          <w:b/>
          <w:color w:val="000000" w:themeColor="text1"/>
          <w:lang w:val="en-US"/>
        </w:rPr>
        <w:t xml:space="preserve">   Credit risk (continued)</w:t>
      </w:r>
    </w:p>
    <w:p w14:paraId="5C63D3D0" w14:textId="77777777" w:rsidR="00900DBE" w:rsidRPr="00537128" w:rsidRDefault="00900DBE" w:rsidP="00900DBE">
      <w:pPr>
        <w:spacing w:after="0" w:line="240" w:lineRule="auto"/>
        <w:jc w:val="both"/>
        <w:rPr>
          <w:rFonts w:ascii="Calibri" w:eastAsia="Times New Roman" w:hAnsi="Calibri" w:cs="Arial"/>
          <w:b/>
          <w:color w:val="000000" w:themeColor="text1"/>
          <w:sz w:val="12"/>
          <w:szCs w:val="12"/>
          <w:lang w:val="en-US"/>
        </w:rPr>
      </w:pPr>
    </w:p>
    <w:p w14:paraId="7CC1BB16" w14:textId="77777777" w:rsidR="00900DBE" w:rsidRPr="00537128" w:rsidRDefault="00900DBE" w:rsidP="00900DBE">
      <w:pPr>
        <w:spacing w:after="0"/>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Credit risk quality according to type of financial assets</w:t>
      </w:r>
      <w:r w:rsidR="00712478" w:rsidRPr="00537128">
        <w:rPr>
          <w:rFonts w:ascii="Calibri" w:eastAsia="Times New Roman" w:hAnsi="Calibri" w:cs="Arial"/>
          <w:b/>
          <w:color w:val="000000" w:themeColor="text1"/>
          <w:lang w:val="en-US"/>
        </w:rPr>
        <w:t xml:space="preserve"> </w:t>
      </w:r>
    </w:p>
    <w:p w14:paraId="2F3323BE" w14:textId="77777777" w:rsidR="00900DBE" w:rsidRPr="0070421F" w:rsidRDefault="00900DBE" w:rsidP="00900DBE">
      <w:pPr>
        <w:spacing w:after="0"/>
        <w:rPr>
          <w:rFonts w:ascii="Calibri" w:eastAsia="Times New Roman" w:hAnsi="Calibri" w:cs="Arial"/>
          <w:b/>
          <w:color w:val="000000" w:themeColor="text1"/>
          <w:sz w:val="8"/>
          <w:szCs w:val="8"/>
          <w:lang w:val="en-US"/>
        </w:rPr>
      </w:pPr>
    </w:p>
    <w:p w14:paraId="57EF0777" w14:textId="63E97CDA" w:rsidR="00900DBE" w:rsidRPr="00537128" w:rsidRDefault="00900DBE" w:rsidP="00900DBE">
      <w:pPr>
        <w:spacing w:after="0" w:line="240" w:lineRule="auto"/>
        <w:jc w:val="both"/>
        <w:rPr>
          <w:rFonts w:ascii="Calibri" w:eastAsia="Calibri" w:hAnsi="Calibri" w:cs="Arial"/>
          <w:color w:val="000000" w:themeColor="text1"/>
          <w:sz w:val="19"/>
          <w:szCs w:val="19"/>
          <w:lang w:val="en-US"/>
        </w:rPr>
      </w:pPr>
      <w:r w:rsidRPr="00537128">
        <w:rPr>
          <w:rFonts w:ascii="Calibri" w:eastAsia="Calibri" w:hAnsi="Calibri" w:cs="Arial"/>
          <w:color w:val="000000" w:themeColor="text1"/>
          <w:sz w:val="19"/>
          <w:szCs w:val="19"/>
          <w:lang w:val="en-US"/>
        </w:rPr>
        <w:t>Credit risk analysis, net exposure, before and after the effect of mitigation through collateral received, according to the type of financial assets on positions of assets and guarantees and commitments by risk category, is as follows:</w:t>
      </w:r>
    </w:p>
    <w:p w14:paraId="0F67923D" w14:textId="77777777" w:rsidR="004A287E" w:rsidRPr="0070421F" w:rsidRDefault="004A287E" w:rsidP="00900DBE">
      <w:pPr>
        <w:spacing w:after="0" w:line="240" w:lineRule="auto"/>
        <w:jc w:val="both"/>
        <w:rPr>
          <w:rFonts w:ascii="Calibri" w:eastAsia="Calibri" w:hAnsi="Calibri" w:cs="Arial"/>
          <w:color w:val="000000" w:themeColor="text1"/>
          <w:sz w:val="16"/>
          <w:szCs w:val="16"/>
          <w:lang w:val="en-US"/>
        </w:rPr>
      </w:pPr>
    </w:p>
    <w:bookmarkEnd w:id="806"/>
    <w:tbl>
      <w:tblPr>
        <w:tblW w:w="5223" w:type="pct"/>
        <w:jc w:val="center"/>
        <w:tblLayout w:type="fixed"/>
        <w:tblLook w:val="0000" w:firstRow="0" w:lastRow="0" w:firstColumn="0" w:lastColumn="0" w:noHBand="0" w:noVBand="0"/>
      </w:tblPr>
      <w:tblGrid>
        <w:gridCol w:w="2566"/>
        <w:gridCol w:w="1004"/>
        <w:gridCol w:w="1007"/>
        <w:gridCol w:w="1007"/>
        <w:gridCol w:w="1003"/>
        <w:gridCol w:w="1006"/>
        <w:gridCol w:w="1006"/>
        <w:gridCol w:w="1003"/>
        <w:gridCol w:w="1006"/>
        <w:gridCol w:w="1006"/>
        <w:gridCol w:w="1003"/>
        <w:gridCol w:w="1006"/>
        <w:gridCol w:w="1003"/>
      </w:tblGrid>
      <w:tr w:rsidR="004A287E" w:rsidRPr="00537128" w14:paraId="3ECDBAA9" w14:textId="77777777" w:rsidTr="004A287E">
        <w:trPr>
          <w:trHeight w:val="1454"/>
          <w:jc w:val="center"/>
        </w:trPr>
        <w:tc>
          <w:tcPr>
            <w:tcW w:w="877" w:type="pct"/>
          </w:tcPr>
          <w:p w14:paraId="23E1F1B3" w14:textId="77777777" w:rsidR="004A287E" w:rsidRPr="00537128" w:rsidRDefault="004A287E" w:rsidP="004A287E">
            <w:pPr>
              <w:spacing w:after="0" w:line="240" w:lineRule="auto"/>
              <w:rPr>
                <w:rFonts w:ascii="Calibri" w:eastAsia="Calibri" w:hAnsi="Calibri" w:cs="Arial"/>
                <w:b/>
                <w:bCs/>
                <w:sz w:val="15"/>
                <w:szCs w:val="15"/>
                <w:lang w:val="en-US"/>
              </w:rPr>
            </w:pPr>
            <w:r w:rsidRPr="00537128">
              <w:rPr>
                <w:rFonts w:ascii="Calibri" w:eastAsia="Calibri" w:hAnsi="Calibri" w:cs="Arial"/>
                <w:b/>
                <w:bCs/>
                <w:sz w:val="15"/>
                <w:szCs w:val="15"/>
                <w:lang w:val="en-US"/>
              </w:rPr>
              <w:br w:type="page"/>
              <w:t>Group</w:t>
            </w:r>
          </w:p>
          <w:p w14:paraId="2E022C9B" w14:textId="2EF54191" w:rsidR="004A287E" w:rsidRPr="00537128" w:rsidRDefault="004A287E" w:rsidP="004A287E">
            <w:pPr>
              <w:spacing w:after="0" w:line="240" w:lineRule="auto"/>
              <w:rPr>
                <w:rFonts w:ascii="Calibri" w:eastAsia="Calibri" w:hAnsi="Calibri" w:cs="Arial"/>
                <w:sz w:val="15"/>
                <w:szCs w:val="15"/>
                <w:lang w:val="en-US"/>
              </w:rPr>
            </w:pPr>
            <w:r w:rsidRPr="00537128">
              <w:rPr>
                <w:rFonts w:ascii="Calibri" w:eastAsia="Calibri" w:hAnsi="Calibri" w:cs="Arial"/>
                <w:b/>
                <w:bCs/>
                <w:sz w:val="15"/>
                <w:szCs w:val="15"/>
                <w:lang w:val="en-US"/>
              </w:rPr>
              <w:t>31 March 202</w:t>
            </w:r>
            <w:r w:rsidR="0070421F">
              <w:rPr>
                <w:rFonts w:ascii="Calibri" w:eastAsia="Calibri" w:hAnsi="Calibri" w:cs="Arial"/>
                <w:b/>
                <w:bCs/>
                <w:sz w:val="15"/>
                <w:szCs w:val="15"/>
                <w:lang w:val="en-US"/>
              </w:rPr>
              <w:t>2</w:t>
            </w:r>
          </w:p>
        </w:tc>
        <w:tc>
          <w:tcPr>
            <w:tcW w:w="343" w:type="pct"/>
            <w:vAlign w:val="bottom"/>
          </w:tcPr>
          <w:p w14:paraId="24760237"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5E3FAB88"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1</w:t>
            </w:r>
          </w:p>
        </w:tc>
        <w:tc>
          <w:tcPr>
            <w:tcW w:w="344" w:type="pct"/>
            <w:vAlign w:val="bottom"/>
          </w:tcPr>
          <w:p w14:paraId="4BA4590C"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7AF8F6A0"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2</w:t>
            </w:r>
          </w:p>
        </w:tc>
        <w:tc>
          <w:tcPr>
            <w:tcW w:w="344" w:type="pct"/>
            <w:vAlign w:val="bottom"/>
          </w:tcPr>
          <w:p w14:paraId="3C1A4D17"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580C33A9"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3</w:t>
            </w:r>
          </w:p>
        </w:tc>
        <w:tc>
          <w:tcPr>
            <w:tcW w:w="343" w:type="pct"/>
            <w:vAlign w:val="bottom"/>
          </w:tcPr>
          <w:p w14:paraId="6726BF19"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547E00B7"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of risk POCI</w:t>
            </w:r>
          </w:p>
        </w:tc>
        <w:tc>
          <w:tcPr>
            <w:tcW w:w="344" w:type="pct"/>
            <w:vAlign w:val="bottom"/>
          </w:tcPr>
          <w:p w14:paraId="00EE5622" w14:textId="77777777" w:rsidR="004A287E" w:rsidRPr="00537128" w:rsidRDefault="004A287E" w:rsidP="004A287E">
            <w:pPr>
              <w:spacing w:after="0" w:line="240" w:lineRule="auto"/>
              <w:jc w:val="right"/>
              <w:rPr>
                <w:rFonts w:ascii="Calibri" w:eastAsia="Calibri" w:hAnsi="Calibri" w:cs="Times New Roman"/>
                <w:sz w:val="15"/>
                <w:szCs w:val="15"/>
                <w:lang w:val="en-US"/>
              </w:rPr>
            </w:pPr>
            <w:r w:rsidRPr="00537128">
              <w:rPr>
                <w:rFonts w:ascii="Calibri" w:eastAsia="Calibri" w:hAnsi="Calibri" w:cs="Arial"/>
                <w:b/>
                <w:sz w:val="15"/>
                <w:szCs w:val="15"/>
                <w:lang w:val="en-US"/>
              </w:rPr>
              <w:t>Not subject to IFRS 9</w:t>
            </w:r>
          </w:p>
        </w:tc>
        <w:tc>
          <w:tcPr>
            <w:tcW w:w="344" w:type="pct"/>
            <w:vAlign w:val="bottom"/>
          </w:tcPr>
          <w:p w14:paraId="526B0E2C"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 exposure of total portfolio</w:t>
            </w:r>
          </w:p>
        </w:tc>
        <w:tc>
          <w:tcPr>
            <w:tcW w:w="343" w:type="pct"/>
            <w:vAlign w:val="bottom"/>
          </w:tcPr>
          <w:p w14:paraId="700B942F"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 exposure of portfolio after the effect of mitigation through collateral received Stage 1</w:t>
            </w:r>
          </w:p>
        </w:tc>
        <w:tc>
          <w:tcPr>
            <w:tcW w:w="344" w:type="pct"/>
            <w:vAlign w:val="bottom"/>
          </w:tcPr>
          <w:p w14:paraId="0740D174"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Net exposure of portfolio after the effect of mitigation through collateral received Stage 2</w:t>
            </w:r>
          </w:p>
        </w:tc>
        <w:tc>
          <w:tcPr>
            <w:tcW w:w="344" w:type="pct"/>
            <w:vAlign w:val="bottom"/>
          </w:tcPr>
          <w:p w14:paraId="5CB004B7"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Net exposure of portfolio after the effect of mitigation through collateral received Stage 3</w:t>
            </w:r>
          </w:p>
        </w:tc>
        <w:tc>
          <w:tcPr>
            <w:tcW w:w="343" w:type="pct"/>
            <w:vAlign w:val="bottom"/>
          </w:tcPr>
          <w:p w14:paraId="67B1B572"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 xml:space="preserve">Net </w:t>
            </w:r>
            <w:proofErr w:type="gramStart"/>
            <w:r w:rsidRPr="00537128">
              <w:rPr>
                <w:rFonts w:ascii="Calibri" w:eastAsia="Calibri" w:hAnsi="Calibri" w:cs="Arial"/>
                <w:b/>
                <w:sz w:val="15"/>
                <w:szCs w:val="15"/>
                <w:lang w:val="en-US"/>
              </w:rPr>
              <w:t>exposure  of</w:t>
            </w:r>
            <w:proofErr w:type="gramEnd"/>
            <w:r w:rsidRPr="00537128">
              <w:rPr>
                <w:rFonts w:ascii="Calibri" w:eastAsia="Calibri" w:hAnsi="Calibri" w:cs="Arial"/>
                <w:b/>
                <w:sz w:val="15"/>
                <w:szCs w:val="15"/>
                <w:lang w:val="en-US"/>
              </w:rPr>
              <w:t xml:space="preserve"> portfolio after the effect of mitigation through collateral received POCI</w:t>
            </w:r>
          </w:p>
        </w:tc>
        <w:tc>
          <w:tcPr>
            <w:tcW w:w="344" w:type="pct"/>
            <w:vAlign w:val="bottom"/>
          </w:tcPr>
          <w:p w14:paraId="278AD5DE"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Not subject to IFRS 9 after the effect of mitigation through</w:t>
            </w:r>
          </w:p>
          <w:p w14:paraId="143B7E5E"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 xml:space="preserve"> collateral received</w:t>
            </w:r>
          </w:p>
        </w:tc>
        <w:tc>
          <w:tcPr>
            <w:tcW w:w="343" w:type="pct"/>
            <w:vAlign w:val="bottom"/>
          </w:tcPr>
          <w:p w14:paraId="496B9206"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 xml:space="preserve">Net exposure of total portfolio after the effect of mitigation through collateral received </w:t>
            </w:r>
          </w:p>
        </w:tc>
      </w:tr>
      <w:tr w:rsidR="004A287E" w:rsidRPr="00537128" w14:paraId="5ED3AD87" w14:textId="77777777" w:rsidTr="004A287E">
        <w:trPr>
          <w:trHeight w:val="126"/>
          <w:jc w:val="center"/>
        </w:trPr>
        <w:tc>
          <w:tcPr>
            <w:tcW w:w="877" w:type="pct"/>
          </w:tcPr>
          <w:p w14:paraId="757EADFF" w14:textId="77777777" w:rsidR="004A287E" w:rsidRPr="00537128" w:rsidRDefault="004A287E" w:rsidP="004A287E">
            <w:pPr>
              <w:spacing w:after="0" w:line="240" w:lineRule="auto"/>
              <w:rPr>
                <w:rFonts w:ascii="Calibri" w:eastAsia="Calibri" w:hAnsi="Calibri" w:cs="Arial"/>
                <w:b/>
                <w:bCs/>
                <w:sz w:val="15"/>
                <w:szCs w:val="15"/>
                <w:lang w:val="en-US"/>
              </w:rPr>
            </w:pPr>
          </w:p>
        </w:tc>
        <w:tc>
          <w:tcPr>
            <w:tcW w:w="343" w:type="pct"/>
          </w:tcPr>
          <w:p w14:paraId="17E61037"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7008DC21"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1EF1C923"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3CBE13F7"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6310B2CF"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12A8A55D"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6ADCA56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2DC2E266"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28742585"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0AD01737"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6C175FC9"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57C294CF"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r>
      <w:tr w:rsidR="004A287E" w:rsidRPr="00537128" w14:paraId="0F475A09" w14:textId="77777777" w:rsidTr="004A287E">
        <w:trPr>
          <w:trHeight w:val="92"/>
          <w:jc w:val="center"/>
        </w:trPr>
        <w:tc>
          <w:tcPr>
            <w:tcW w:w="877" w:type="pct"/>
          </w:tcPr>
          <w:p w14:paraId="79B4F632" w14:textId="77777777" w:rsidR="004A287E" w:rsidRPr="00537128" w:rsidRDefault="004A287E" w:rsidP="004A287E">
            <w:pPr>
              <w:tabs>
                <w:tab w:val="right" w:pos="1202"/>
              </w:tabs>
              <w:spacing w:after="0" w:line="301"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Assets</w:t>
            </w:r>
          </w:p>
        </w:tc>
        <w:tc>
          <w:tcPr>
            <w:tcW w:w="343" w:type="pct"/>
            <w:vAlign w:val="bottom"/>
          </w:tcPr>
          <w:p w14:paraId="2E55DA6B"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2EA91742"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27EE1765"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74043E0D"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61CD7A0C"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22D00BFB"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22686C0F"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1B06470E"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5AE0A220"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76B88EBF"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21492F86"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0FB0DE28"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r>
      <w:tr w:rsidR="00CD3156" w:rsidRPr="00537128" w14:paraId="1D3748DB" w14:textId="77777777" w:rsidTr="00F7700B">
        <w:trPr>
          <w:trHeight w:val="149"/>
          <w:jc w:val="center"/>
        </w:trPr>
        <w:tc>
          <w:tcPr>
            <w:tcW w:w="877" w:type="pct"/>
            <w:vAlign w:val="bottom"/>
          </w:tcPr>
          <w:p w14:paraId="3F55B2E8" w14:textId="77777777" w:rsidR="00CD3156" w:rsidRPr="00537128" w:rsidRDefault="00CD3156" w:rsidP="00CD3156">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Cash on hand and current accounts with banks</w:t>
            </w:r>
          </w:p>
        </w:tc>
        <w:tc>
          <w:tcPr>
            <w:tcW w:w="343" w:type="pct"/>
            <w:tcBorders>
              <w:top w:val="nil"/>
              <w:left w:val="nil"/>
              <w:bottom w:val="nil"/>
              <w:right w:val="nil"/>
            </w:tcBorders>
            <w:shd w:val="clear" w:color="auto" w:fill="auto"/>
            <w:vAlign w:val="bottom"/>
          </w:tcPr>
          <w:p w14:paraId="55BD4B7E" w14:textId="067E94E0" w:rsidR="00CD3156" w:rsidRPr="00537128" w:rsidRDefault="00CD3156" w:rsidP="00CD3156">
            <w:pPr>
              <w:spacing w:after="0" w:line="240" w:lineRule="auto"/>
              <w:jc w:val="right"/>
              <w:rPr>
                <w:rFonts w:ascii="Calibri" w:eastAsia="Calibri" w:hAnsi="Calibri" w:cs="Arial"/>
                <w:sz w:val="15"/>
                <w:szCs w:val="15"/>
                <w:lang w:val="en-US"/>
              </w:rPr>
            </w:pPr>
            <w:r w:rsidRPr="007A49AD">
              <w:rPr>
                <w:sz w:val="15"/>
                <w:szCs w:val="15"/>
              </w:rPr>
              <w:t xml:space="preserve"> 1</w:t>
            </w:r>
            <w:r w:rsidR="002E11F3">
              <w:rPr>
                <w:sz w:val="15"/>
                <w:szCs w:val="15"/>
              </w:rPr>
              <w:t>,</w:t>
            </w:r>
            <w:r w:rsidRPr="007A49AD">
              <w:rPr>
                <w:sz w:val="15"/>
                <w:szCs w:val="15"/>
              </w:rPr>
              <w:t>577</w:t>
            </w:r>
            <w:r w:rsidR="002E11F3">
              <w:rPr>
                <w:sz w:val="15"/>
                <w:szCs w:val="15"/>
              </w:rPr>
              <w:t>,</w:t>
            </w:r>
            <w:r w:rsidRPr="007A49AD">
              <w:rPr>
                <w:sz w:val="15"/>
                <w:szCs w:val="15"/>
              </w:rPr>
              <w:t>56</w:t>
            </w:r>
            <w:r>
              <w:rPr>
                <w:sz w:val="15"/>
                <w:szCs w:val="15"/>
              </w:rPr>
              <w:t>7</w:t>
            </w:r>
            <w:r w:rsidRPr="007A49AD">
              <w:rPr>
                <w:sz w:val="15"/>
                <w:szCs w:val="15"/>
              </w:rPr>
              <w:t xml:space="preserve"> </w:t>
            </w:r>
          </w:p>
        </w:tc>
        <w:tc>
          <w:tcPr>
            <w:tcW w:w="344" w:type="pct"/>
            <w:tcBorders>
              <w:top w:val="nil"/>
              <w:left w:val="nil"/>
              <w:bottom w:val="nil"/>
              <w:right w:val="nil"/>
            </w:tcBorders>
            <w:shd w:val="clear" w:color="auto" w:fill="auto"/>
            <w:vAlign w:val="bottom"/>
          </w:tcPr>
          <w:p w14:paraId="5A05F91D" w14:textId="6F9455FC" w:rsidR="00CD3156" w:rsidRPr="00537128" w:rsidRDefault="00CD3156" w:rsidP="00CD3156">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3232AD4B" w14:textId="28B384D5" w:rsidR="00CD3156" w:rsidRPr="00537128" w:rsidRDefault="00CD3156" w:rsidP="00CD3156">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shd w:val="clear" w:color="auto" w:fill="auto"/>
            <w:vAlign w:val="bottom"/>
          </w:tcPr>
          <w:p w14:paraId="5D2EF554" w14:textId="09FBA298" w:rsidR="00CD3156" w:rsidRPr="00537128" w:rsidRDefault="00CD3156" w:rsidP="00CD3156">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6D86849C" w14:textId="15995213" w:rsidR="00CD3156" w:rsidRPr="00537128" w:rsidRDefault="00CD3156" w:rsidP="00CD3156">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5C9A407E" w14:textId="12C87D8A" w:rsidR="00CD3156" w:rsidRPr="00537128" w:rsidRDefault="00CD3156" w:rsidP="00CD3156">
            <w:pPr>
              <w:spacing w:after="0" w:line="240" w:lineRule="auto"/>
              <w:jc w:val="right"/>
              <w:rPr>
                <w:rFonts w:ascii="Calibri" w:eastAsia="Calibri" w:hAnsi="Calibri" w:cs="Arial"/>
                <w:sz w:val="15"/>
                <w:szCs w:val="15"/>
                <w:lang w:val="en-US"/>
              </w:rPr>
            </w:pPr>
            <w:r w:rsidRPr="007A49AD">
              <w:rPr>
                <w:sz w:val="15"/>
                <w:szCs w:val="15"/>
              </w:rPr>
              <w:t xml:space="preserve"> 1</w:t>
            </w:r>
            <w:r w:rsidR="002E11F3">
              <w:rPr>
                <w:sz w:val="15"/>
                <w:szCs w:val="15"/>
              </w:rPr>
              <w:t>,</w:t>
            </w:r>
            <w:r w:rsidRPr="007A49AD">
              <w:rPr>
                <w:sz w:val="15"/>
                <w:szCs w:val="15"/>
              </w:rPr>
              <w:t>577</w:t>
            </w:r>
            <w:r w:rsidR="002E11F3">
              <w:rPr>
                <w:sz w:val="15"/>
                <w:szCs w:val="15"/>
              </w:rPr>
              <w:t>,</w:t>
            </w:r>
            <w:r w:rsidRPr="007A49AD">
              <w:rPr>
                <w:sz w:val="15"/>
                <w:szCs w:val="15"/>
              </w:rPr>
              <w:t>56</w:t>
            </w:r>
            <w:r>
              <w:rPr>
                <w:sz w:val="15"/>
                <w:szCs w:val="15"/>
              </w:rPr>
              <w:t>7</w:t>
            </w:r>
            <w:r w:rsidRPr="007A49AD">
              <w:rPr>
                <w:sz w:val="15"/>
                <w:szCs w:val="15"/>
              </w:rPr>
              <w:t xml:space="preserve"> </w:t>
            </w:r>
          </w:p>
        </w:tc>
        <w:tc>
          <w:tcPr>
            <w:tcW w:w="343" w:type="pct"/>
            <w:tcBorders>
              <w:top w:val="nil"/>
              <w:left w:val="nil"/>
              <w:bottom w:val="nil"/>
              <w:right w:val="nil"/>
            </w:tcBorders>
            <w:vAlign w:val="bottom"/>
          </w:tcPr>
          <w:p w14:paraId="24A90A4D" w14:textId="15ECFC76" w:rsidR="00CD3156" w:rsidRPr="00537128" w:rsidRDefault="00CD3156" w:rsidP="00CD3156">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03FCEE5D" w14:textId="3F9DFBFB" w:rsidR="00CD3156" w:rsidRPr="00537128" w:rsidRDefault="00CD3156" w:rsidP="00CD3156">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195116B7" w14:textId="2AD8A01B" w:rsidR="00CD3156" w:rsidRPr="00537128" w:rsidRDefault="00CD3156" w:rsidP="00CD3156">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vAlign w:val="bottom"/>
          </w:tcPr>
          <w:p w14:paraId="56E13568" w14:textId="5382F011" w:rsidR="00CD3156" w:rsidRPr="00537128" w:rsidRDefault="00CD3156" w:rsidP="00CD3156">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18CAC933" w14:textId="6140A838" w:rsidR="00CD3156" w:rsidRPr="00537128" w:rsidRDefault="00CD3156" w:rsidP="00CD3156">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vAlign w:val="bottom"/>
          </w:tcPr>
          <w:p w14:paraId="36956B04" w14:textId="088269B4" w:rsidR="00CD3156" w:rsidRPr="00537128" w:rsidRDefault="00CD3156" w:rsidP="00CD3156">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r>
      <w:tr w:rsidR="00CD3156" w:rsidRPr="00537128" w14:paraId="5174AED7" w14:textId="77777777" w:rsidTr="00831F9B">
        <w:trPr>
          <w:trHeight w:val="149"/>
          <w:jc w:val="center"/>
        </w:trPr>
        <w:tc>
          <w:tcPr>
            <w:tcW w:w="877" w:type="pct"/>
            <w:vAlign w:val="bottom"/>
          </w:tcPr>
          <w:p w14:paraId="6CF2A936" w14:textId="77777777" w:rsidR="00CD3156" w:rsidRPr="00537128" w:rsidRDefault="00CD3156" w:rsidP="00CD3156">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Deposits with other banks</w:t>
            </w:r>
          </w:p>
        </w:tc>
        <w:tc>
          <w:tcPr>
            <w:tcW w:w="343" w:type="pct"/>
            <w:tcBorders>
              <w:top w:val="nil"/>
              <w:left w:val="nil"/>
              <w:bottom w:val="nil"/>
              <w:right w:val="nil"/>
            </w:tcBorders>
            <w:shd w:val="clear" w:color="auto" w:fill="auto"/>
          </w:tcPr>
          <w:p w14:paraId="34526A8A" w14:textId="71B99034" w:rsidR="00CD3156" w:rsidRPr="00537128" w:rsidRDefault="00CD3156" w:rsidP="00CD3156">
            <w:pPr>
              <w:spacing w:after="0" w:line="240" w:lineRule="auto"/>
              <w:jc w:val="right"/>
              <w:rPr>
                <w:rFonts w:ascii="Calibri" w:eastAsia="Calibri" w:hAnsi="Calibri" w:cs="Arial"/>
                <w:sz w:val="15"/>
                <w:szCs w:val="15"/>
                <w:lang w:val="en-US"/>
              </w:rPr>
            </w:pPr>
            <w:r w:rsidRPr="007A49AD">
              <w:rPr>
                <w:sz w:val="15"/>
                <w:szCs w:val="15"/>
              </w:rPr>
              <w:t xml:space="preserve"> 15</w:t>
            </w:r>
            <w:r w:rsidR="002E11F3">
              <w:rPr>
                <w:sz w:val="15"/>
                <w:szCs w:val="15"/>
              </w:rPr>
              <w:t>,</w:t>
            </w:r>
            <w:r w:rsidRPr="007A49AD">
              <w:rPr>
                <w:sz w:val="15"/>
                <w:szCs w:val="15"/>
              </w:rPr>
              <w:t xml:space="preserve">215 </w:t>
            </w:r>
          </w:p>
        </w:tc>
        <w:tc>
          <w:tcPr>
            <w:tcW w:w="344" w:type="pct"/>
            <w:tcBorders>
              <w:top w:val="nil"/>
              <w:left w:val="nil"/>
              <w:bottom w:val="nil"/>
              <w:right w:val="nil"/>
            </w:tcBorders>
            <w:shd w:val="clear" w:color="auto" w:fill="auto"/>
            <w:vAlign w:val="bottom"/>
          </w:tcPr>
          <w:p w14:paraId="58CDF597" w14:textId="285F6AF4" w:rsidR="00CD3156" w:rsidRPr="00537128" w:rsidRDefault="00CD3156" w:rsidP="00CD3156">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70538A4E" w14:textId="1882DAD3" w:rsidR="00CD3156" w:rsidRPr="00537128" w:rsidRDefault="00CD3156" w:rsidP="00CD3156">
            <w:pPr>
              <w:spacing w:after="0" w:line="240" w:lineRule="auto"/>
              <w:jc w:val="right"/>
              <w:rPr>
                <w:rFonts w:ascii="Calibri" w:eastAsia="Calibri" w:hAnsi="Calibri" w:cs="Arial"/>
                <w:sz w:val="15"/>
                <w:szCs w:val="15"/>
                <w:lang w:val="en-US"/>
              </w:rPr>
            </w:pPr>
          </w:p>
        </w:tc>
        <w:tc>
          <w:tcPr>
            <w:tcW w:w="343" w:type="pct"/>
            <w:tcBorders>
              <w:top w:val="nil"/>
              <w:left w:val="nil"/>
              <w:bottom w:val="nil"/>
              <w:right w:val="nil"/>
            </w:tcBorders>
            <w:shd w:val="clear" w:color="auto" w:fill="auto"/>
            <w:vAlign w:val="bottom"/>
          </w:tcPr>
          <w:p w14:paraId="4FEDB41E" w14:textId="12170761" w:rsidR="00CD3156" w:rsidRPr="00537128" w:rsidRDefault="00CD3156" w:rsidP="00CD3156">
            <w:pPr>
              <w:spacing w:after="0" w:line="240" w:lineRule="auto"/>
              <w:jc w:val="right"/>
              <w:rPr>
                <w:rFonts w:ascii="Calibri" w:eastAsia="Calibri" w:hAnsi="Calibri" w:cs="Arial"/>
                <w:sz w:val="15"/>
                <w:szCs w:val="15"/>
                <w:lang w:val="en-US"/>
              </w:rPr>
            </w:pPr>
          </w:p>
        </w:tc>
        <w:tc>
          <w:tcPr>
            <w:tcW w:w="344" w:type="pct"/>
            <w:tcBorders>
              <w:top w:val="nil"/>
              <w:left w:val="nil"/>
              <w:bottom w:val="nil"/>
              <w:right w:val="nil"/>
            </w:tcBorders>
            <w:shd w:val="clear" w:color="auto" w:fill="auto"/>
            <w:vAlign w:val="bottom"/>
          </w:tcPr>
          <w:p w14:paraId="6D23BE62" w14:textId="26186CEA" w:rsidR="00CD3156" w:rsidRPr="00537128" w:rsidRDefault="00CD3156" w:rsidP="00CD3156">
            <w:pPr>
              <w:spacing w:after="0" w:line="240" w:lineRule="auto"/>
              <w:jc w:val="right"/>
              <w:rPr>
                <w:rFonts w:ascii="Calibri" w:eastAsia="Calibri" w:hAnsi="Calibri" w:cs="Arial"/>
                <w:sz w:val="15"/>
                <w:szCs w:val="15"/>
                <w:lang w:val="en-US"/>
              </w:rPr>
            </w:pPr>
          </w:p>
        </w:tc>
        <w:tc>
          <w:tcPr>
            <w:tcW w:w="344" w:type="pct"/>
            <w:tcBorders>
              <w:top w:val="nil"/>
              <w:left w:val="nil"/>
              <w:bottom w:val="nil"/>
              <w:right w:val="nil"/>
            </w:tcBorders>
            <w:shd w:val="clear" w:color="auto" w:fill="auto"/>
          </w:tcPr>
          <w:p w14:paraId="0F4BAD7D" w14:textId="3F2D1736" w:rsidR="00CD3156" w:rsidRPr="00537128" w:rsidRDefault="00CD3156" w:rsidP="00CD3156">
            <w:pPr>
              <w:spacing w:after="0" w:line="240" w:lineRule="auto"/>
              <w:jc w:val="right"/>
              <w:rPr>
                <w:rFonts w:ascii="Calibri" w:eastAsia="Calibri" w:hAnsi="Calibri" w:cs="Arial"/>
                <w:sz w:val="15"/>
                <w:szCs w:val="15"/>
                <w:lang w:val="en-US"/>
              </w:rPr>
            </w:pPr>
            <w:r w:rsidRPr="007A49AD">
              <w:rPr>
                <w:sz w:val="15"/>
                <w:szCs w:val="15"/>
              </w:rPr>
              <w:t xml:space="preserve"> 15</w:t>
            </w:r>
            <w:r w:rsidR="002E11F3">
              <w:rPr>
                <w:sz w:val="15"/>
                <w:szCs w:val="15"/>
              </w:rPr>
              <w:t>,</w:t>
            </w:r>
            <w:r w:rsidRPr="007A49AD">
              <w:rPr>
                <w:sz w:val="15"/>
                <w:szCs w:val="15"/>
              </w:rPr>
              <w:t xml:space="preserve">215 </w:t>
            </w:r>
          </w:p>
        </w:tc>
        <w:tc>
          <w:tcPr>
            <w:tcW w:w="343" w:type="pct"/>
            <w:tcBorders>
              <w:top w:val="nil"/>
              <w:left w:val="nil"/>
              <w:bottom w:val="nil"/>
              <w:right w:val="nil"/>
            </w:tcBorders>
            <w:vAlign w:val="bottom"/>
          </w:tcPr>
          <w:p w14:paraId="654B5FDC" w14:textId="081B48FA" w:rsidR="00CD3156" w:rsidRPr="00537128" w:rsidRDefault="00CD3156" w:rsidP="00CD3156">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17A977C1" w14:textId="19CB543F" w:rsidR="00CD3156" w:rsidRPr="00537128" w:rsidRDefault="00CD3156" w:rsidP="00CD3156">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5B63F21D" w14:textId="286BBBEC" w:rsidR="00CD3156" w:rsidRPr="00537128" w:rsidRDefault="00CD3156" w:rsidP="00CD3156">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vAlign w:val="bottom"/>
          </w:tcPr>
          <w:p w14:paraId="244C3BEC" w14:textId="481507B4" w:rsidR="00CD3156" w:rsidRPr="00537128" w:rsidRDefault="00CD3156" w:rsidP="00CD3156">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1BA38A1A" w14:textId="69D55C5B" w:rsidR="00CD3156" w:rsidRPr="00537128" w:rsidRDefault="00CD3156" w:rsidP="00CD3156">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vAlign w:val="bottom"/>
          </w:tcPr>
          <w:p w14:paraId="6BF5D837" w14:textId="3944F257" w:rsidR="00CD3156" w:rsidRPr="00537128" w:rsidRDefault="00CD3156" w:rsidP="00CD3156">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r>
      <w:tr w:rsidR="00CD3156" w:rsidRPr="00537128" w14:paraId="7DD69AB7" w14:textId="77777777" w:rsidTr="00831F9B">
        <w:trPr>
          <w:trHeight w:val="142"/>
          <w:jc w:val="center"/>
        </w:trPr>
        <w:tc>
          <w:tcPr>
            <w:tcW w:w="877" w:type="pct"/>
            <w:vAlign w:val="bottom"/>
          </w:tcPr>
          <w:p w14:paraId="04644780" w14:textId="77777777" w:rsidR="00CD3156" w:rsidRPr="00537128" w:rsidRDefault="00CD3156" w:rsidP="00CD3156">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Loans to financial institutions</w:t>
            </w:r>
          </w:p>
        </w:tc>
        <w:tc>
          <w:tcPr>
            <w:tcW w:w="343" w:type="pct"/>
            <w:tcBorders>
              <w:top w:val="nil"/>
              <w:left w:val="nil"/>
              <w:bottom w:val="nil"/>
              <w:right w:val="nil"/>
            </w:tcBorders>
            <w:shd w:val="clear" w:color="auto" w:fill="auto"/>
          </w:tcPr>
          <w:p w14:paraId="1617A15D" w14:textId="053DB551" w:rsidR="00CD3156" w:rsidRPr="00537128" w:rsidRDefault="00CD3156" w:rsidP="00CD3156">
            <w:pPr>
              <w:spacing w:after="0" w:line="240" w:lineRule="auto"/>
              <w:jc w:val="right"/>
              <w:rPr>
                <w:rFonts w:ascii="Calibri" w:eastAsia="Calibri" w:hAnsi="Calibri" w:cs="Arial"/>
                <w:sz w:val="15"/>
                <w:szCs w:val="15"/>
                <w:lang w:val="en-US"/>
              </w:rPr>
            </w:pPr>
            <w:r w:rsidRPr="007A49AD">
              <w:rPr>
                <w:sz w:val="15"/>
                <w:szCs w:val="15"/>
              </w:rPr>
              <w:t xml:space="preserve"> 6</w:t>
            </w:r>
            <w:r w:rsidR="002E11F3">
              <w:rPr>
                <w:sz w:val="15"/>
                <w:szCs w:val="15"/>
              </w:rPr>
              <w:t>,</w:t>
            </w:r>
            <w:r w:rsidRPr="007A49AD">
              <w:rPr>
                <w:sz w:val="15"/>
                <w:szCs w:val="15"/>
              </w:rPr>
              <w:t>757</w:t>
            </w:r>
            <w:r w:rsidR="002E11F3">
              <w:rPr>
                <w:sz w:val="15"/>
                <w:szCs w:val="15"/>
              </w:rPr>
              <w:t>,</w:t>
            </w:r>
            <w:r w:rsidRPr="007A49AD">
              <w:rPr>
                <w:sz w:val="15"/>
                <w:szCs w:val="15"/>
              </w:rPr>
              <w:t xml:space="preserve">593 </w:t>
            </w:r>
          </w:p>
        </w:tc>
        <w:tc>
          <w:tcPr>
            <w:tcW w:w="344" w:type="pct"/>
            <w:tcBorders>
              <w:top w:val="nil"/>
              <w:left w:val="nil"/>
              <w:bottom w:val="nil"/>
              <w:right w:val="nil"/>
            </w:tcBorders>
            <w:shd w:val="clear" w:color="auto" w:fill="auto"/>
            <w:vAlign w:val="bottom"/>
          </w:tcPr>
          <w:p w14:paraId="2396388A" w14:textId="5BEA751F" w:rsidR="00CD3156" w:rsidRPr="00537128" w:rsidRDefault="00CD3156" w:rsidP="00CD3156">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180</w:t>
            </w:r>
            <w:r w:rsidR="002E11F3">
              <w:rPr>
                <w:rFonts w:eastAsia="Calibri" w:cs="Arial"/>
                <w:color w:val="000000" w:themeColor="text1"/>
                <w:sz w:val="15"/>
                <w:szCs w:val="15"/>
              </w:rPr>
              <w:t>,</w:t>
            </w:r>
            <w:r>
              <w:rPr>
                <w:rFonts w:eastAsia="Calibri" w:cs="Arial"/>
                <w:color w:val="000000" w:themeColor="text1"/>
                <w:sz w:val="15"/>
                <w:szCs w:val="15"/>
              </w:rPr>
              <w:t>815</w:t>
            </w:r>
          </w:p>
        </w:tc>
        <w:tc>
          <w:tcPr>
            <w:tcW w:w="344" w:type="pct"/>
            <w:tcBorders>
              <w:top w:val="nil"/>
              <w:left w:val="nil"/>
              <w:bottom w:val="nil"/>
              <w:right w:val="nil"/>
            </w:tcBorders>
            <w:shd w:val="clear" w:color="auto" w:fill="auto"/>
            <w:vAlign w:val="bottom"/>
          </w:tcPr>
          <w:p w14:paraId="5503D21C" w14:textId="18A2ACC6" w:rsidR="00CD3156" w:rsidRPr="00537128" w:rsidRDefault="00CD3156" w:rsidP="00CD3156">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3</w:t>
            </w:r>
            <w:r w:rsidR="002E11F3">
              <w:rPr>
                <w:rFonts w:eastAsia="Calibri" w:cs="Arial"/>
                <w:color w:val="000000" w:themeColor="text1"/>
                <w:sz w:val="15"/>
                <w:szCs w:val="15"/>
              </w:rPr>
              <w:t>,</w:t>
            </w:r>
            <w:r>
              <w:rPr>
                <w:rFonts w:eastAsia="Calibri" w:cs="Arial"/>
                <w:color w:val="000000" w:themeColor="text1"/>
                <w:sz w:val="15"/>
                <w:szCs w:val="15"/>
              </w:rPr>
              <w:t>552</w:t>
            </w:r>
          </w:p>
        </w:tc>
        <w:tc>
          <w:tcPr>
            <w:tcW w:w="343" w:type="pct"/>
            <w:tcBorders>
              <w:top w:val="nil"/>
              <w:left w:val="nil"/>
              <w:bottom w:val="nil"/>
              <w:right w:val="nil"/>
            </w:tcBorders>
            <w:shd w:val="clear" w:color="auto" w:fill="auto"/>
            <w:vAlign w:val="bottom"/>
          </w:tcPr>
          <w:p w14:paraId="0EA05D0F" w14:textId="7E34FCF6" w:rsidR="00CD3156" w:rsidRPr="00537128" w:rsidRDefault="00CD3156" w:rsidP="00CD3156">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391EB69B" w14:textId="51D96825" w:rsidR="00CD3156" w:rsidRPr="00537128" w:rsidRDefault="00CD3156" w:rsidP="00CD3156">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6A502DF3" w14:textId="257C0D98" w:rsidR="00CD3156" w:rsidRPr="00537128" w:rsidRDefault="00CD3156" w:rsidP="00CD3156">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6</w:t>
            </w:r>
            <w:r w:rsidR="002E11F3">
              <w:rPr>
                <w:rFonts w:eastAsia="Calibri" w:cs="Arial"/>
                <w:color w:val="000000" w:themeColor="text1"/>
                <w:sz w:val="15"/>
                <w:szCs w:val="15"/>
              </w:rPr>
              <w:t>,</w:t>
            </w:r>
            <w:r>
              <w:rPr>
                <w:rFonts w:eastAsia="Calibri" w:cs="Arial"/>
                <w:color w:val="000000" w:themeColor="text1"/>
                <w:sz w:val="15"/>
                <w:szCs w:val="15"/>
              </w:rPr>
              <w:t>941</w:t>
            </w:r>
            <w:r w:rsidR="002E11F3">
              <w:rPr>
                <w:rFonts w:eastAsia="Calibri" w:cs="Arial"/>
                <w:color w:val="000000" w:themeColor="text1"/>
                <w:sz w:val="15"/>
                <w:szCs w:val="15"/>
              </w:rPr>
              <w:t>,</w:t>
            </w:r>
            <w:r>
              <w:rPr>
                <w:rFonts w:eastAsia="Calibri" w:cs="Arial"/>
                <w:color w:val="000000" w:themeColor="text1"/>
                <w:sz w:val="15"/>
                <w:szCs w:val="15"/>
              </w:rPr>
              <w:t>960</w:t>
            </w:r>
          </w:p>
        </w:tc>
        <w:tc>
          <w:tcPr>
            <w:tcW w:w="343" w:type="pct"/>
            <w:tcBorders>
              <w:top w:val="nil"/>
              <w:left w:val="nil"/>
              <w:bottom w:val="nil"/>
              <w:right w:val="nil"/>
            </w:tcBorders>
            <w:vAlign w:val="bottom"/>
          </w:tcPr>
          <w:p w14:paraId="20FFB4B9" w14:textId="0B2D5E96" w:rsidR="00CD3156" w:rsidRPr="00537128" w:rsidRDefault="00CD3156" w:rsidP="00CD3156">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0CC4D0D6" w14:textId="66926799" w:rsidR="00CD3156" w:rsidRPr="00537128" w:rsidRDefault="00CD3156" w:rsidP="00CD3156">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758C5AFC" w14:textId="199D40E3" w:rsidR="00CD3156" w:rsidRPr="00537128" w:rsidRDefault="00CD3156" w:rsidP="00CD3156">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vAlign w:val="bottom"/>
          </w:tcPr>
          <w:p w14:paraId="248B6D0F" w14:textId="40CEF1F2" w:rsidR="00CD3156" w:rsidRPr="00537128" w:rsidRDefault="00CD3156" w:rsidP="00CD3156">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13E3A780" w14:textId="5E24B491" w:rsidR="00CD3156" w:rsidRPr="00537128" w:rsidRDefault="00CD3156" w:rsidP="00CD3156">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vAlign w:val="bottom"/>
          </w:tcPr>
          <w:p w14:paraId="1F9DA52E" w14:textId="41300ED8" w:rsidR="00CD3156" w:rsidRPr="00537128" w:rsidRDefault="00CD3156" w:rsidP="00CD3156">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r>
      <w:tr w:rsidR="00CD3156" w:rsidRPr="00537128" w14:paraId="0B4687ED" w14:textId="77777777" w:rsidTr="00831F9B">
        <w:trPr>
          <w:trHeight w:val="149"/>
          <w:jc w:val="center"/>
        </w:trPr>
        <w:tc>
          <w:tcPr>
            <w:tcW w:w="877" w:type="pct"/>
            <w:vAlign w:val="bottom"/>
          </w:tcPr>
          <w:p w14:paraId="2CFA69D9" w14:textId="77777777" w:rsidR="00CD3156" w:rsidRPr="00537128" w:rsidRDefault="00CD3156" w:rsidP="00CD3156">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Loans to other customers</w:t>
            </w:r>
          </w:p>
        </w:tc>
        <w:tc>
          <w:tcPr>
            <w:tcW w:w="343" w:type="pct"/>
            <w:tcBorders>
              <w:top w:val="nil"/>
              <w:left w:val="nil"/>
              <w:bottom w:val="nil"/>
              <w:right w:val="nil"/>
            </w:tcBorders>
            <w:shd w:val="clear" w:color="auto" w:fill="auto"/>
          </w:tcPr>
          <w:p w14:paraId="1DBB7DFB" w14:textId="0818B3FE" w:rsidR="00CD3156" w:rsidRPr="00537128" w:rsidRDefault="00CD3156" w:rsidP="00CD3156">
            <w:pPr>
              <w:spacing w:after="0" w:line="240" w:lineRule="auto"/>
              <w:jc w:val="right"/>
              <w:rPr>
                <w:rFonts w:ascii="Calibri" w:eastAsia="Calibri" w:hAnsi="Calibri" w:cs="Arial"/>
                <w:sz w:val="15"/>
                <w:szCs w:val="15"/>
                <w:lang w:val="en-US"/>
              </w:rPr>
            </w:pPr>
            <w:r w:rsidRPr="007A49AD">
              <w:rPr>
                <w:sz w:val="15"/>
                <w:szCs w:val="15"/>
              </w:rPr>
              <w:t xml:space="preserve"> 12</w:t>
            </w:r>
            <w:r w:rsidR="002E11F3">
              <w:rPr>
                <w:sz w:val="15"/>
                <w:szCs w:val="15"/>
              </w:rPr>
              <w:t>,</w:t>
            </w:r>
            <w:r w:rsidRPr="007A49AD">
              <w:rPr>
                <w:sz w:val="15"/>
                <w:szCs w:val="15"/>
              </w:rPr>
              <w:t>898</w:t>
            </w:r>
            <w:r w:rsidR="002E11F3">
              <w:rPr>
                <w:sz w:val="15"/>
                <w:szCs w:val="15"/>
              </w:rPr>
              <w:t>,</w:t>
            </w:r>
            <w:r w:rsidRPr="007A49AD">
              <w:rPr>
                <w:sz w:val="15"/>
                <w:szCs w:val="15"/>
              </w:rPr>
              <w:t xml:space="preserve">940 </w:t>
            </w:r>
          </w:p>
        </w:tc>
        <w:tc>
          <w:tcPr>
            <w:tcW w:w="344" w:type="pct"/>
            <w:tcBorders>
              <w:top w:val="nil"/>
              <w:left w:val="nil"/>
              <w:bottom w:val="nil"/>
              <w:right w:val="nil"/>
            </w:tcBorders>
            <w:shd w:val="clear" w:color="auto" w:fill="auto"/>
            <w:vAlign w:val="bottom"/>
          </w:tcPr>
          <w:p w14:paraId="3CDCB8FC" w14:textId="28C7A88E" w:rsidR="00CD3156" w:rsidRPr="00537128" w:rsidRDefault="00CD3156" w:rsidP="00CD3156">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886</w:t>
            </w:r>
            <w:r w:rsidR="002E11F3">
              <w:rPr>
                <w:rFonts w:eastAsia="Calibri" w:cs="Arial"/>
                <w:color w:val="000000" w:themeColor="text1"/>
                <w:sz w:val="15"/>
                <w:szCs w:val="15"/>
              </w:rPr>
              <w:t>,</w:t>
            </w:r>
            <w:r>
              <w:rPr>
                <w:rFonts w:eastAsia="Calibri" w:cs="Arial"/>
                <w:color w:val="000000" w:themeColor="text1"/>
                <w:sz w:val="15"/>
                <w:szCs w:val="15"/>
              </w:rPr>
              <w:t>042</w:t>
            </w:r>
          </w:p>
        </w:tc>
        <w:tc>
          <w:tcPr>
            <w:tcW w:w="344" w:type="pct"/>
            <w:tcBorders>
              <w:top w:val="nil"/>
              <w:left w:val="nil"/>
              <w:bottom w:val="nil"/>
              <w:right w:val="nil"/>
            </w:tcBorders>
            <w:shd w:val="clear" w:color="auto" w:fill="auto"/>
            <w:vAlign w:val="bottom"/>
          </w:tcPr>
          <w:p w14:paraId="7AB17B3A" w14:textId="48A789A0" w:rsidR="00CD3156" w:rsidRPr="00537128" w:rsidRDefault="00CD3156" w:rsidP="00CD3156">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945</w:t>
            </w:r>
            <w:r w:rsidR="002E11F3">
              <w:rPr>
                <w:rFonts w:eastAsia="Calibri" w:cs="Arial"/>
                <w:color w:val="000000" w:themeColor="text1"/>
                <w:sz w:val="15"/>
                <w:szCs w:val="15"/>
              </w:rPr>
              <w:t>,</w:t>
            </w:r>
            <w:r>
              <w:rPr>
                <w:rFonts w:eastAsia="Calibri" w:cs="Arial"/>
                <w:color w:val="000000" w:themeColor="text1"/>
                <w:sz w:val="15"/>
                <w:szCs w:val="15"/>
              </w:rPr>
              <w:t>468</w:t>
            </w:r>
          </w:p>
        </w:tc>
        <w:tc>
          <w:tcPr>
            <w:tcW w:w="343" w:type="pct"/>
            <w:tcBorders>
              <w:top w:val="nil"/>
              <w:left w:val="nil"/>
              <w:bottom w:val="nil"/>
              <w:right w:val="nil"/>
            </w:tcBorders>
            <w:shd w:val="clear" w:color="auto" w:fill="auto"/>
            <w:vAlign w:val="bottom"/>
          </w:tcPr>
          <w:p w14:paraId="05D15E8E" w14:textId="63B914B3" w:rsidR="00CD3156" w:rsidRPr="00537128" w:rsidRDefault="00CD3156" w:rsidP="00CD3156">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995</w:t>
            </w:r>
            <w:r w:rsidR="002E11F3">
              <w:rPr>
                <w:rFonts w:eastAsia="Calibri" w:cs="Arial"/>
                <w:color w:val="000000" w:themeColor="text1"/>
                <w:sz w:val="15"/>
                <w:szCs w:val="15"/>
              </w:rPr>
              <w:t>,</w:t>
            </w:r>
            <w:r>
              <w:rPr>
                <w:rFonts w:eastAsia="Calibri" w:cs="Arial"/>
                <w:color w:val="000000" w:themeColor="text1"/>
                <w:sz w:val="15"/>
                <w:szCs w:val="15"/>
              </w:rPr>
              <w:t>983</w:t>
            </w:r>
          </w:p>
        </w:tc>
        <w:tc>
          <w:tcPr>
            <w:tcW w:w="344" w:type="pct"/>
            <w:tcBorders>
              <w:top w:val="nil"/>
              <w:left w:val="nil"/>
              <w:bottom w:val="nil"/>
              <w:right w:val="nil"/>
            </w:tcBorders>
            <w:shd w:val="clear" w:color="auto" w:fill="auto"/>
            <w:vAlign w:val="bottom"/>
          </w:tcPr>
          <w:p w14:paraId="4C251213" w14:textId="144E435F" w:rsidR="00CD3156" w:rsidRPr="00537128" w:rsidRDefault="00CD3156" w:rsidP="00CD3156">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45334E59" w14:textId="3BF7E0CE" w:rsidR="00CD3156" w:rsidRPr="00537128" w:rsidRDefault="00CD3156" w:rsidP="00CD3156">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15</w:t>
            </w:r>
            <w:r w:rsidR="002E11F3">
              <w:rPr>
                <w:rFonts w:eastAsia="Calibri" w:cs="Arial"/>
                <w:color w:val="000000" w:themeColor="text1"/>
                <w:sz w:val="15"/>
                <w:szCs w:val="15"/>
              </w:rPr>
              <w:t>,</w:t>
            </w:r>
            <w:r>
              <w:rPr>
                <w:rFonts w:eastAsia="Calibri" w:cs="Arial"/>
                <w:color w:val="000000" w:themeColor="text1"/>
                <w:sz w:val="15"/>
                <w:szCs w:val="15"/>
              </w:rPr>
              <w:t>726</w:t>
            </w:r>
            <w:r w:rsidR="002E11F3">
              <w:rPr>
                <w:rFonts w:eastAsia="Calibri" w:cs="Arial"/>
                <w:color w:val="000000" w:themeColor="text1"/>
                <w:sz w:val="15"/>
                <w:szCs w:val="15"/>
              </w:rPr>
              <w:t>,</w:t>
            </w:r>
            <w:r>
              <w:rPr>
                <w:rFonts w:eastAsia="Calibri" w:cs="Arial"/>
                <w:color w:val="000000" w:themeColor="text1"/>
                <w:sz w:val="15"/>
                <w:szCs w:val="15"/>
              </w:rPr>
              <w:t>433</w:t>
            </w:r>
          </w:p>
        </w:tc>
        <w:tc>
          <w:tcPr>
            <w:tcW w:w="343" w:type="pct"/>
            <w:tcBorders>
              <w:top w:val="nil"/>
              <w:left w:val="nil"/>
              <w:bottom w:val="nil"/>
              <w:right w:val="nil"/>
            </w:tcBorders>
            <w:vAlign w:val="bottom"/>
          </w:tcPr>
          <w:p w14:paraId="5C51984D" w14:textId="4D913C16" w:rsidR="00CD3156" w:rsidRPr="00537128" w:rsidRDefault="00CD3156" w:rsidP="00CD3156">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2</w:t>
            </w:r>
            <w:r w:rsidR="002E11F3">
              <w:rPr>
                <w:rFonts w:eastAsia="Calibri" w:cs="Arial"/>
                <w:color w:val="000000" w:themeColor="text1"/>
                <w:sz w:val="15"/>
                <w:szCs w:val="15"/>
              </w:rPr>
              <w:t>,</w:t>
            </w:r>
            <w:r>
              <w:rPr>
                <w:rFonts w:eastAsia="Calibri" w:cs="Arial"/>
                <w:color w:val="000000" w:themeColor="text1"/>
                <w:sz w:val="15"/>
                <w:szCs w:val="15"/>
              </w:rPr>
              <w:t>859</w:t>
            </w:r>
            <w:r w:rsidR="002E11F3">
              <w:rPr>
                <w:rFonts w:eastAsia="Calibri" w:cs="Arial"/>
                <w:color w:val="000000" w:themeColor="text1"/>
                <w:sz w:val="15"/>
                <w:szCs w:val="15"/>
              </w:rPr>
              <w:t>,</w:t>
            </w:r>
            <w:r>
              <w:rPr>
                <w:rFonts w:eastAsia="Calibri" w:cs="Arial"/>
                <w:color w:val="000000" w:themeColor="text1"/>
                <w:sz w:val="15"/>
                <w:szCs w:val="15"/>
              </w:rPr>
              <w:t>924</w:t>
            </w:r>
          </w:p>
        </w:tc>
        <w:tc>
          <w:tcPr>
            <w:tcW w:w="344" w:type="pct"/>
            <w:tcBorders>
              <w:top w:val="nil"/>
              <w:left w:val="nil"/>
              <w:bottom w:val="nil"/>
              <w:right w:val="nil"/>
            </w:tcBorders>
            <w:vAlign w:val="bottom"/>
          </w:tcPr>
          <w:p w14:paraId="414CB85C" w14:textId="37FF1F85" w:rsidR="00CD3156" w:rsidRPr="00537128" w:rsidRDefault="00CD3156" w:rsidP="00CD3156">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99</w:t>
            </w:r>
            <w:r w:rsidR="002E11F3">
              <w:rPr>
                <w:rFonts w:eastAsia="Calibri" w:cs="Arial"/>
                <w:color w:val="000000" w:themeColor="text1"/>
                <w:sz w:val="15"/>
                <w:szCs w:val="15"/>
              </w:rPr>
              <w:t>,</w:t>
            </w:r>
            <w:r>
              <w:rPr>
                <w:rFonts w:eastAsia="Calibri" w:cs="Arial"/>
                <w:color w:val="000000" w:themeColor="text1"/>
                <w:sz w:val="15"/>
                <w:szCs w:val="15"/>
              </w:rPr>
              <w:t>932</w:t>
            </w:r>
          </w:p>
        </w:tc>
        <w:tc>
          <w:tcPr>
            <w:tcW w:w="344" w:type="pct"/>
            <w:tcBorders>
              <w:top w:val="nil"/>
              <w:left w:val="nil"/>
              <w:bottom w:val="nil"/>
              <w:right w:val="nil"/>
            </w:tcBorders>
            <w:vAlign w:val="bottom"/>
          </w:tcPr>
          <w:p w14:paraId="37497AF6" w14:textId="44D55B1A" w:rsidR="00CD3156" w:rsidRPr="00537128" w:rsidRDefault="00CD3156" w:rsidP="00CD3156">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179</w:t>
            </w:r>
            <w:r w:rsidR="002E11F3">
              <w:rPr>
                <w:rFonts w:eastAsia="Calibri" w:cs="Arial"/>
                <w:color w:val="000000" w:themeColor="text1"/>
                <w:sz w:val="15"/>
                <w:szCs w:val="15"/>
              </w:rPr>
              <w:t>,</w:t>
            </w:r>
            <w:r>
              <w:rPr>
                <w:rFonts w:eastAsia="Calibri" w:cs="Arial"/>
                <w:color w:val="000000" w:themeColor="text1"/>
                <w:sz w:val="15"/>
                <w:szCs w:val="15"/>
              </w:rPr>
              <w:t>494</w:t>
            </w:r>
          </w:p>
        </w:tc>
        <w:tc>
          <w:tcPr>
            <w:tcW w:w="343" w:type="pct"/>
            <w:tcBorders>
              <w:top w:val="nil"/>
              <w:left w:val="nil"/>
              <w:bottom w:val="nil"/>
              <w:right w:val="nil"/>
            </w:tcBorders>
            <w:vAlign w:val="bottom"/>
          </w:tcPr>
          <w:p w14:paraId="18FF0B88" w14:textId="607CE0BA" w:rsidR="00CD3156" w:rsidRPr="00537128" w:rsidRDefault="00CD3156" w:rsidP="00CD3156">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42</w:t>
            </w:r>
            <w:r w:rsidR="002E11F3">
              <w:rPr>
                <w:rFonts w:eastAsia="Calibri" w:cs="Arial"/>
                <w:color w:val="000000" w:themeColor="text1"/>
                <w:sz w:val="15"/>
                <w:szCs w:val="15"/>
              </w:rPr>
              <w:t>,</w:t>
            </w:r>
            <w:r>
              <w:rPr>
                <w:rFonts w:eastAsia="Calibri" w:cs="Arial"/>
                <w:color w:val="000000" w:themeColor="text1"/>
                <w:sz w:val="15"/>
                <w:szCs w:val="15"/>
              </w:rPr>
              <w:t>639</w:t>
            </w:r>
          </w:p>
        </w:tc>
        <w:tc>
          <w:tcPr>
            <w:tcW w:w="344" w:type="pct"/>
            <w:tcBorders>
              <w:top w:val="nil"/>
              <w:left w:val="nil"/>
              <w:bottom w:val="nil"/>
              <w:right w:val="nil"/>
            </w:tcBorders>
            <w:vAlign w:val="bottom"/>
          </w:tcPr>
          <w:p w14:paraId="0B6A23EC" w14:textId="078FB8F5" w:rsidR="00CD3156" w:rsidRPr="00537128" w:rsidRDefault="00CD3156" w:rsidP="00CD3156">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vAlign w:val="bottom"/>
          </w:tcPr>
          <w:p w14:paraId="01F0BB1A" w14:textId="745D4AC2" w:rsidR="00CD3156" w:rsidRPr="00537128" w:rsidRDefault="00CD3156" w:rsidP="00CD3156">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3</w:t>
            </w:r>
            <w:r w:rsidR="002E11F3">
              <w:rPr>
                <w:rFonts w:eastAsia="Calibri" w:cs="Arial"/>
                <w:color w:val="000000" w:themeColor="text1"/>
                <w:sz w:val="15"/>
                <w:szCs w:val="15"/>
              </w:rPr>
              <w:t>,</w:t>
            </w:r>
            <w:r>
              <w:rPr>
                <w:rFonts w:eastAsia="Calibri" w:cs="Arial"/>
                <w:color w:val="000000" w:themeColor="text1"/>
                <w:sz w:val="15"/>
                <w:szCs w:val="15"/>
              </w:rPr>
              <w:t>181</w:t>
            </w:r>
            <w:r w:rsidR="002E11F3">
              <w:rPr>
                <w:rFonts w:eastAsia="Calibri" w:cs="Arial"/>
                <w:color w:val="000000" w:themeColor="text1"/>
                <w:sz w:val="15"/>
                <w:szCs w:val="15"/>
              </w:rPr>
              <w:t>,</w:t>
            </w:r>
            <w:r>
              <w:rPr>
                <w:rFonts w:eastAsia="Calibri" w:cs="Arial"/>
                <w:color w:val="000000" w:themeColor="text1"/>
                <w:sz w:val="15"/>
                <w:szCs w:val="15"/>
              </w:rPr>
              <w:t>989</w:t>
            </w:r>
          </w:p>
        </w:tc>
      </w:tr>
      <w:tr w:rsidR="00CD3156" w:rsidRPr="00537128" w14:paraId="1C133F62" w14:textId="77777777" w:rsidTr="004A287E">
        <w:trPr>
          <w:trHeight w:val="149"/>
          <w:jc w:val="center"/>
        </w:trPr>
        <w:tc>
          <w:tcPr>
            <w:tcW w:w="877" w:type="pct"/>
            <w:vAlign w:val="bottom"/>
          </w:tcPr>
          <w:p w14:paraId="2BD93A69" w14:textId="77777777" w:rsidR="00CD3156" w:rsidRPr="00537128" w:rsidRDefault="00CD3156" w:rsidP="00CD3156">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Financial assets at fair value through profit or loss</w:t>
            </w:r>
          </w:p>
        </w:tc>
        <w:tc>
          <w:tcPr>
            <w:tcW w:w="343" w:type="pct"/>
            <w:tcBorders>
              <w:top w:val="nil"/>
              <w:left w:val="nil"/>
              <w:bottom w:val="nil"/>
              <w:right w:val="nil"/>
            </w:tcBorders>
            <w:shd w:val="clear" w:color="auto" w:fill="auto"/>
            <w:vAlign w:val="bottom"/>
          </w:tcPr>
          <w:p w14:paraId="47A2982A" w14:textId="231F8A23" w:rsidR="00CD3156" w:rsidRPr="00537128" w:rsidRDefault="00CD3156" w:rsidP="00CD3156">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43B45F88" w14:textId="0C0317CA" w:rsidR="00CD3156" w:rsidRPr="00537128" w:rsidRDefault="00CD3156" w:rsidP="00CD3156">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79C1C583" w14:textId="6DB46743" w:rsidR="00CD3156" w:rsidRPr="00537128" w:rsidRDefault="00CD3156" w:rsidP="00CD3156">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shd w:val="clear" w:color="auto" w:fill="auto"/>
            <w:vAlign w:val="bottom"/>
          </w:tcPr>
          <w:p w14:paraId="19C31C04" w14:textId="3CEA6F19" w:rsidR="00CD3156" w:rsidRPr="00537128" w:rsidRDefault="00CD3156" w:rsidP="00CD3156">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6D168ECE" w14:textId="2AC30B8C" w:rsidR="00CD3156" w:rsidRPr="00537128" w:rsidRDefault="00CD3156" w:rsidP="00CD3156">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z w:val="15"/>
                <w:szCs w:val="15"/>
              </w:rPr>
              <w:t>25</w:t>
            </w:r>
            <w:r w:rsidR="002E11F3">
              <w:rPr>
                <w:rFonts w:eastAsia="Calibri" w:cs="Arial"/>
                <w:color w:val="000000" w:themeColor="text1"/>
                <w:sz w:val="15"/>
                <w:szCs w:val="15"/>
              </w:rPr>
              <w:t>,</w:t>
            </w:r>
            <w:r>
              <w:rPr>
                <w:rFonts w:eastAsia="Calibri" w:cs="Arial"/>
                <w:color w:val="000000" w:themeColor="text1"/>
                <w:sz w:val="15"/>
                <w:szCs w:val="15"/>
              </w:rPr>
              <w:t>652</w:t>
            </w:r>
          </w:p>
        </w:tc>
        <w:tc>
          <w:tcPr>
            <w:tcW w:w="344" w:type="pct"/>
            <w:tcBorders>
              <w:top w:val="nil"/>
              <w:left w:val="nil"/>
              <w:bottom w:val="nil"/>
              <w:right w:val="nil"/>
            </w:tcBorders>
            <w:shd w:val="clear" w:color="auto" w:fill="auto"/>
            <w:vAlign w:val="bottom"/>
          </w:tcPr>
          <w:p w14:paraId="15716E5F" w14:textId="3F4118D6" w:rsidR="00CD3156" w:rsidRPr="00537128" w:rsidRDefault="00CD3156" w:rsidP="00CD3156">
            <w:pPr>
              <w:tabs>
                <w:tab w:val="right" w:pos="1202"/>
              </w:tabs>
              <w:spacing w:after="0" w:line="301" w:lineRule="exact"/>
              <w:jc w:val="right"/>
              <w:outlineLvl w:val="0"/>
              <w:rPr>
                <w:rFonts w:ascii="Calibri" w:eastAsia="Calibri" w:hAnsi="Calibri" w:cs="Arial"/>
                <w:spacing w:val="-2"/>
                <w:sz w:val="15"/>
                <w:szCs w:val="15"/>
                <w:highlight w:val="yellow"/>
                <w:lang w:val="en-US"/>
              </w:rPr>
            </w:pPr>
            <w:r>
              <w:rPr>
                <w:rFonts w:eastAsia="Calibri" w:cs="Arial"/>
                <w:color w:val="000000" w:themeColor="text1"/>
                <w:sz w:val="15"/>
                <w:szCs w:val="15"/>
              </w:rPr>
              <w:t>25</w:t>
            </w:r>
            <w:r w:rsidR="002E11F3">
              <w:rPr>
                <w:rFonts w:eastAsia="Calibri" w:cs="Arial"/>
                <w:color w:val="000000" w:themeColor="text1"/>
                <w:sz w:val="15"/>
                <w:szCs w:val="15"/>
              </w:rPr>
              <w:t>,</w:t>
            </w:r>
            <w:r>
              <w:rPr>
                <w:rFonts w:eastAsia="Calibri" w:cs="Arial"/>
                <w:color w:val="000000" w:themeColor="text1"/>
                <w:sz w:val="15"/>
                <w:szCs w:val="15"/>
              </w:rPr>
              <w:t>652</w:t>
            </w:r>
          </w:p>
        </w:tc>
        <w:tc>
          <w:tcPr>
            <w:tcW w:w="343" w:type="pct"/>
            <w:tcBorders>
              <w:top w:val="nil"/>
              <w:left w:val="nil"/>
              <w:bottom w:val="nil"/>
              <w:right w:val="nil"/>
            </w:tcBorders>
            <w:vAlign w:val="bottom"/>
          </w:tcPr>
          <w:p w14:paraId="3BA3FDF7" w14:textId="6ACA97C4" w:rsidR="00CD3156" w:rsidRPr="00537128" w:rsidRDefault="00CD3156" w:rsidP="00CD3156">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1D52C333" w14:textId="792D28A5" w:rsidR="00CD3156" w:rsidRPr="00537128" w:rsidRDefault="00CD3156" w:rsidP="00CD3156">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0B174689" w14:textId="547D3841" w:rsidR="00CD3156" w:rsidRPr="00537128" w:rsidRDefault="00CD3156" w:rsidP="00CD3156">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vAlign w:val="bottom"/>
          </w:tcPr>
          <w:p w14:paraId="16F9A26E" w14:textId="62E3E842" w:rsidR="00CD3156" w:rsidRPr="00537128" w:rsidRDefault="00CD3156" w:rsidP="00CD3156">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01D91355" w14:textId="432ADF55" w:rsidR="00CD3156" w:rsidRPr="00537128" w:rsidRDefault="00CD3156" w:rsidP="00CD3156">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z w:val="15"/>
                <w:szCs w:val="15"/>
              </w:rPr>
              <w:t>25</w:t>
            </w:r>
            <w:r w:rsidR="002E11F3">
              <w:rPr>
                <w:rFonts w:eastAsia="Calibri" w:cs="Arial"/>
                <w:color w:val="000000" w:themeColor="text1"/>
                <w:sz w:val="15"/>
                <w:szCs w:val="15"/>
              </w:rPr>
              <w:t>,</w:t>
            </w:r>
            <w:r>
              <w:rPr>
                <w:rFonts w:eastAsia="Calibri" w:cs="Arial"/>
                <w:color w:val="000000" w:themeColor="text1"/>
                <w:sz w:val="15"/>
                <w:szCs w:val="15"/>
              </w:rPr>
              <w:t>374</w:t>
            </w:r>
          </w:p>
        </w:tc>
        <w:tc>
          <w:tcPr>
            <w:tcW w:w="343" w:type="pct"/>
            <w:tcBorders>
              <w:top w:val="nil"/>
              <w:left w:val="nil"/>
              <w:bottom w:val="nil"/>
              <w:right w:val="nil"/>
            </w:tcBorders>
            <w:shd w:val="clear" w:color="auto" w:fill="auto"/>
            <w:vAlign w:val="bottom"/>
          </w:tcPr>
          <w:p w14:paraId="7FC74E49" w14:textId="021E2F60" w:rsidR="00CD3156" w:rsidRPr="00537128" w:rsidRDefault="00CD3156" w:rsidP="00CD3156">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z w:val="15"/>
                <w:szCs w:val="15"/>
              </w:rPr>
              <w:t>25</w:t>
            </w:r>
            <w:r w:rsidR="002E11F3">
              <w:rPr>
                <w:rFonts w:eastAsia="Calibri" w:cs="Arial"/>
                <w:color w:val="000000" w:themeColor="text1"/>
                <w:sz w:val="15"/>
                <w:szCs w:val="15"/>
              </w:rPr>
              <w:t>,</w:t>
            </w:r>
            <w:r>
              <w:rPr>
                <w:rFonts w:eastAsia="Calibri" w:cs="Arial"/>
                <w:color w:val="000000" w:themeColor="text1"/>
                <w:sz w:val="15"/>
                <w:szCs w:val="15"/>
              </w:rPr>
              <w:t>374</w:t>
            </w:r>
          </w:p>
        </w:tc>
      </w:tr>
      <w:tr w:rsidR="00CD3156" w:rsidRPr="00537128" w14:paraId="3F2986AC" w14:textId="77777777" w:rsidTr="004A287E">
        <w:trPr>
          <w:trHeight w:val="126"/>
          <w:jc w:val="center"/>
        </w:trPr>
        <w:tc>
          <w:tcPr>
            <w:tcW w:w="877" w:type="pct"/>
            <w:vAlign w:val="bottom"/>
          </w:tcPr>
          <w:p w14:paraId="29735C8F" w14:textId="77777777" w:rsidR="00CD3156" w:rsidRPr="00537128" w:rsidRDefault="00CD3156" w:rsidP="00CD3156">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Financial assets at fair value through other comprehensive income</w:t>
            </w:r>
          </w:p>
        </w:tc>
        <w:tc>
          <w:tcPr>
            <w:tcW w:w="343" w:type="pct"/>
            <w:tcBorders>
              <w:top w:val="nil"/>
              <w:left w:val="nil"/>
              <w:bottom w:val="nil"/>
              <w:right w:val="nil"/>
            </w:tcBorders>
            <w:shd w:val="clear" w:color="auto" w:fill="auto"/>
            <w:vAlign w:val="bottom"/>
          </w:tcPr>
          <w:p w14:paraId="49B29824" w14:textId="5F1BB188" w:rsidR="00CD3156" w:rsidRPr="00537128" w:rsidRDefault="00CD3156" w:rsidP="00CD3156">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color w:val="000000" w:themeColor="text1"/>
                <w:sz w:val="15"/>
                <w:szCs w:val="15"/>
              </w:rPr>
              <w:t>3</w:t>
            </w:r>
            <w:r w:rsidR="002E11F3">
              <w:rPr>
                <w:rFonts w:eastAsia="Calibri" w:cs="Arial"/>
                <w:color w:val="000000" w:themeColor="text1"/>
                <w:sz w:val="15"/>
                <w:szCs w:val="15"/>
              </w:rPr>
              <w:t>,</w:t>
            </w:r>
            <w:r>
              <w:rPr>
                <w:rFonts w:eastAsia="Calibri" w:cs="Arial"/>
                <w:color w:val="000000" w:themeColor="text1"/>
                <w:sz w:val="15"/>
                <w:szCs w:val="15"/>
              </w:rPr>
              <w:t>204</w:t>
            </w:r>
            <w:r w:rsidR="002E11F3">
              <w:rPr>
                <w:rFonts w:eastAsia="Calibri" w:cs="Arial"/>
                <w:color w:val="000000" w:themeColor="text1"/>
                <w:sz w:val="15"/>
                <w:szCs w:val="15"/>
              </w:rPr>
              <w:t>,</w:t>
            </w:r>
            <w:r>
              <w:rPr>
                <w:rFonts w:eastAsia="Calibri" w:cs="Arial"/>
                <w:color w:val="000000" w:themeColor="text1"/>
                <w:sz w:val="15"/>
                <w:szCs w:val="15"/>
              </w:rPr>
              <w:t>143</w:t>
            </w:r>
          </w:p>
        </w:tc>
        <w:tc>
          <w:tcPr>
            <w:tcW w:w="344" w:type="pct"/>
            <w:tcBorders>
              <w:top w:val="nil"/>
              <w:left w:val="nil"/>
              <w:bottom w:val="nil"/>
              <w:right w:val="nil"/>
            </w:tcBorders>
            <w:shd w:val="clear" w:color="auto" w:fill="auto"/>
            <w:vAlign w:val="bottom"/>
          </w:tcPr>
          <w:p w14:paraId="63836DC6" w14:textId="1DF1B4FB" w:rsidR="00CD3156" w:rsidRPr="00537128" w:rsidRDefault="00CD3156" w:rsidP="00CD3156">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441736D2" w14:textId="131C01A3" w:rsidR="00CD3156" w:rsidRPr="00537128" w:rsidRDefault="00CD3156" w:rsidP="00CD3156">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color w:val="000000" w:themeColor="text1"/>
                <w:sz w:val="15"/>
                <w:szCs w:val="15"/>
              </w:rPr>
              <w:t>1</w:t>
            </w:r>
            <w:r w:rsidR="002E11F3">
              <w:rPr>
                <w:rFonts w:eastAsia="Calibri" w:cs="Arial"/>
                <w:color w:val="000000" w:themeColor="text1"/>
                <w:sz w:val="15"/>
                <w:szCs w:val="15"/>
              </w:rPr>
              <w:t>,</w:t>
            </w:r>
            <w:r>
              <w:rPr>
                <w:rFonts w:eastAsia="Calibri" w:cs="Arial"/>
                <w:color w:val="000000" w:themeColor="text1"/>
                <w:sz w:val="15"/>
                <w:szCs w:val="15"/>
              </w:rPr>
              <w:t>504</w:t>
            </w:r>
          </w:p>
        </w:tc>
        <w:tc>
          <w:tcPr>
            <w:tcW w:w="343" w:type="pct"/>
            <w:tcBorders>
              <w:top w:val="nil"/>
              <w:left w:val="nil"/>
              <w:bottom w:val="nil"/>
              <w:right w:val="nil"/>
            </w:tcBorders>
            <w:shd w:val="clear" w:color="auto" w:fill="auto"/>
            <w:vAlign w:val="bottom"/>
          </w:tcPr>
          <w:p w14:paraId="499EF3B9" w14:textId="361F9BBF" w:rsidR="00CD3156" w:rsidRPr="00537128" w:rsidRDefault="00CD3156" w:rsidP="00CD3156">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71F8ED73" w14:textId="75A6C54D" w:rsidR="00CD3156" w:rsidRPr="00537128" w:rsidRDefault="00CD3156" w:rsidP="00CD3156">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75BA4E88" w14:textId="688863DF" w:rsidR="00CD3156" w:rsidRPr="00537128" w:rsidRDefault="00CD3156" w:rsidP="00CD3156">
            <w:pPr>
              <w:tabs>
                <w:tab w:val="right" w:pos="1202"/>
              </w:tabs>
              <w:spacing w:after="0" w:line="301" w:lineRule="exact"/>
              <w:jc w:val="right"/>
              <w:outlineLvl w:val="0"/>
              <w:rPr>
                <w:rFonts w:ascii="Calibri" w:eastAsia="Calibri" w:hAnsi="Calibri" w:cs="Arial"/>
                <w:snapToGrid w:val="0"/>
                <w:sz w:val="15"/>
                <w:szCs w:val="15"/>
                <w:highlight w:val="yellow"/>
                <w:lang w:val="en-US"/>
              </w:rPr>
            </w:pPr>
            <w:r>
              <w:rPr>
                <w:rFonts w:eastAsia="Calibri" w:cs="Arial"/>
                <w:color w:val="000000" w:themeColor="text1"/>
                <w:sz w:val="15"/>
                <w:szCs w:val="15"/>
              </w:rPr>
              <w:t>3</w:t>
            </w:r>
            <w:r w:rsidR="002E11F3">
              <w:rPr>
                <w:rFonts w:eastAsia="Calibri" w:cs="Arial"/>
                <w:color w:val="000000" w:themeColor="text1"/>
                <w:sz w:val="15"/>
                <w:szCs w:val="15"/>
              </w:rPr>
              <w:t>,</w:t>
            </w:r>
            <w:r>
              <w:rPr>
                <w:rFonts w:eastAsia="Calibri" w:cs="Arial"/>
                <w:color w:val="000000" w:themeColor="text1"/>
                <w:sz w:val="15"/>
                <w:szCs w:val="15"/>
              </w:rPr>
              <w:t>205</w:t>
            </w:r>
            <w:r w:rsidR="002E11F3">
              <w:rPr>
                <w:rFonts w:eastAsia="Calibri" w:cs="Arial"/>
                <w:color w:val="000000" w:themeColor="text1"/>
                <w:sz w:val="15"/>
                <w:szCs w:val="15"/>
              </w:rPr>
              <w:t>,</w:t>
            </w:r>
            <w:r>
              <w:rPr>
                <w:rFonts w:eastAsia="Calibri" w:cs="Arial"/>
                <w:color w:val="000000" w:themeColor="text1"/>
                <w:sz w:val="15"/>
                <w:szCs w:val="15"/>
              </w:rPr>
              <w:t>647</w:t>
            </w:r>
          </w:p>
        </w:tc>
        <w:tc>
          <w:tcPr>
            <w:tcW w:w="343" w:type="pct"/>
            <w:tcBorders>
              <w:top w:val="nil"/>
              <w:left w:val="nil"/>
              <w:bottom w:val="nil"/>
              <w:right w:val="nil"/>
            </w:tcBorders>
            <w:shd w:val="clear" w:color="auto" w:fill="auto"/>
            <w:vAlign w:val="bottom"/>
          </w:tcPr>
          <w:p w14:paraId="0763BE0E" w14:textId="3817603E" w:rsidR="00CD3156" w:rsidRPr="00537128" w:rsidRDefault="00CD3156" w:rsidP="00CD3156">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color w:val="000000" w:themeColor="text1"/>
                <w:sz w:val="15"/>
                <w:szCs w:val="15"/>
              </w:rPr>
              <w:t>3</w:t>
            </w:r>
            <w:r w:rsidR="002E11F3">
              <w:rPr>
                <w:rFonts w:eastAsia="Calibri" w:cs="Arial"/>
                <w:color w:val="000000" w:themeColor="text1"/>
                <w:sz w:val="15"/>
                <w:szCs w:val="15"/>
              </w:rPr>
              <w:t>,</w:t>
            </w:r>
            <w:r>
              <w:rPr>
                <w:rFonts w:eastAsia="Calibri" w:cs="Arial"/>
                <w:color w:val="000000" w:themeColor="text1"/>
                <w:sz w:val="15"/>
                <w:szCs w:val="15"/>
              </w:rPr>
              <w:t>204</w:t>
            </w:r>
            <w:r w:rsidR="002E11F3">
              <w:rPr>
                <w:rFonts w:eastAsia="Calibri" w:cs="Arial"/>
                <w:color w:val="000000" w:themeColor="text1"/>
                <w:sz w:val="15"/>
                <w:szCs w:val="15"/>
              </w:rPr>
              <w:t>,</w:t>
            </w:r>
            <w:r>
              <w:rPr>
                <w:rFonts w:eastAsia="Calibri" w:cs="Arial"/>
                <w:color w:val="000000" w:themeColor="text1"/>
                <w:sz w:val="15"/>
                <w:szCs w:val="15"/>
              </w:rPr>
              <w:t>142</w:t>
            </w:r>
          </w:p>
        </w:tc>
        <w:tc>
          <w:tcPr>
            <w:tcW w:w="344" w:type="pct"/>
            <w:tcBorders>
              <w:top w:val="nil"/>
              <w:left w:val="nil"/>
              <w:bottom w:val="nil"/>
              <w:right w:val="nil"/>
            </w:tcBorders>
            <w:shd w:val="clear" w:color="auto" w:fill="auto"/>
            <w:vAlign w:val="bottom"/>
          </w:tcPr>
          <w:p w14:paraId="187EE24D" w14:textId="2E0D1CB2" w:rsidR="00CD3156" w:rsidRPr="00537128" w:rsidRDefault="00CD3156" w:rsidP="00CD3156">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56BC54D3" w14:textId="25BB6C5A" w:rsidR="00CD3156" w:rsidRPr="00537128" w:rsidRDefault="00CD3156" w:rsidP="00CD3156">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color w:val="000000" w:themeColor="text1"/>
                <w:sz w:val="15"/>
                <w:szCs w:val="15"/>
              </w:rPr>
              <w:t>1</w:t>
            </w:r>
            <w:r w:rsidR="002E11F3">
              <w:rPr>
                <w:rFonts w:eastAsia="Calibri" w:cs="Arial"/>
                <w:color w:val="000000" w:themeColor="text1"/>
                <w:sz w:val="15"/>
                <w:szCs w:val="15"/>
              </w:rPr>
              <w:t>,</w:t>
            </w:r>
            <w:r>
              <w:rPr>
                <w:rFonts w:eastAsia="Calibri" w:cs="Arial"/>
                <w:color w:val="000000" w:themeColor="text1"/>
                <w:sz w:val="15"/>
                <w:szCs w:val="15"/>
              </w:rPr>
              <w:t>504</w:t>
            </w:r>
          </w:p>
        </w:tc>
        <w:tc>
          <w:tcPr>
            <w:tcW w:w="343" w:type="pct"/>
            <w:tcBorders>
              <w:top w:val="nil"/>
              <w:left w:val="nil"/>
              <w:bottom w:val="nil"/>
              <w:right w:val="nil"/>
            </w:tcBorders>
            <w:shd w:val="clear" w:color="auto" w:fill="auto"/>
            <w:vAlign w:val="bottom"/>
          </w:tcPr>
          <w:p w14:paraId="120F0CFB" w14:textId="10F2098E" w:rsidR="00CD3156" w:rsidRPr="00537128" w:rsidRDefault="00CD3156" w:rsidP="00CD3156">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6671A2FE" w14:textId="30654742" w:rsidR="00CD3156" w:rsidRPr="00537128" w:rsidRDefault="00CD3156" w:rsidP="00CD3156">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shd w:val="clear" w:color="auto" w:fill="auto"/>
            <w:vAlign w:val="bottom"/>
          </w:tcPr>
          <w:p w14:paraId="3086D1C0" w14:textId="54A658DD" w:rsidR="00CD3156" w:rsidRPr="00537128" w:rsidRDefault="00CD3156" w:rsidP="00CD3156">
            <w:pPr>
              <w:tabs>
                <w:tab w:val="right" w:pos="1202"/>
              </w:tabs>
              <w:spacing w:after="0" w:line="301" w:lineRule="exact"/>
              <w:jc w:val="right"/>
              <w:outlineLvl w:val="0"/>
              <w:rPr>
                <w:rFonts w:ascii="Calibri" w:eastAsia="Calibri" w:hAnsi="Calibri" w:cs="Arial"/>
                <w:snapToGrid w:val="0"/>
                <w:sz w:val="15"/>
                <w:szCs w:val="15"/>
                <w:highlight w:val="yellow"/>
                <w:lang w:val="en-US"/>
              </w:rPr>
            </w:pPr>
            <w:r>
              <w:rPr>
                <w:rFonts w:eastAsia="Calibri" w:cs="Arial"/>
                <w:color w:val="000000" w:themeColor="text1"/>
                <w:sz w:val="15"/>
                <w:szCs w:val="15"/>
              </w:rPr>
              <w:t>3</w:t>
            </w:r>
            <w:r w:rsidR="002E11F3">
              <w:rPr>
                <w:rFonts w:eastAsia="Calibri" w:cs="Arial"/>
                <w:color w:val="000000" w:themeColor="text1"/>
                <w:sz w:val="15"/>
                <w:szCs w:val="15"/>
              </w:rPr>
              <w:t>,</w:t>
            </w:r>
            <w:r>
              <w:rPr>
                <w:rFonts w:eastAsia="Calibri" w:cs="Arial"/>
                <w:color w:val="000000" w:themeColor="text1"/>
                <w:sz w:val="15"/>
                <w:szCs w:val="15"/>
              </w:rPr>
              <w:t>205</w:t>
            </w:r>
            <w:r w:rsidR="002E11F3">
              <w:rPr>
                <w:rFonts w:eastAsia="Calibri" w:cs="Arial"/>
                <w:color w:val="000000" w:themeColor="text1"/>
                <w:sz w:val="15"/>
                <w:szCs w:val="15"/>
              </w:rPr>
              <w:t>,</w:t>
            </w:r>
            <w:r>
              <w:rPr>
                <w:rFonts w:eastAsia="Calibri" w:cs="Arial"/>
                <w:color w:val="000000" w:themeColor="text1"/>
                <w:sz w:val="15"/>
                <w:szCs w:val="15"/>
              </w:rPr>
              <w:t>646</w:t>
            </w:r>
          </w:p>
        </w:tc>
      </w:tr>
      <w:tr w:rsidR="00CD3156" w:rsidRPr="00537128" w14:paraId="5159AF66" w14:textId="77777777" w:rsidTr="004A287E">
        <w:trPr>
          <w:trHeight w:hRule="exact" w:val="227"/>
          <w:jc w:val="center"/>
        </w:trPr>
        <w:tc>
          <w:tcPr>
            <w:tcW w:w="877" w:type="pct"/>
            <w:vAlign w:val="bottom"/>
          </w:tcPr>
          <w:p w14:paraId="372038BF" w14:textId="77777777" w:rsidR="00CD3156" w:rsidRPr="00537128" w:rsidRDefault="00CD3156" w:rsidP="00CD3156">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Other assets</w:t>
            </w:r>
          </w:p>
        </w:tc>
        <w:tc>
          <w:tcPr>
            <w:tcW w:w="343" w:type="pct"/>
            <w:tcBorders>
              <w:top w:val="nil"/>
              <w:left w:val="nil"/>
              <w:bottom w:val="single" w:sz="8" w:space="0" w:color="auto"/>
              <w:right w:val="nil"/>
            </w:tcBorders>
            <w:shd w:val="clear" w:color="auto" w:fill="auto"/>
            <w:vAlign w:val="bottom"/>
          </w:tcPr>
          <w:p w14:paraId="6A2DBD11" w14:textId="3DBCEF8D" w:rsidR="00CD3156" w:rsidRPr="00537128" w:rsidRDefault="00CD3156" w:rsidP="00CD3156">
            <w:pPr>
              <w:tabs>
                <w:tab w:val="right" w:pos="1202"/>
              </w:tabs>
              <w:spacing w:after="0" w:line="240" w:lineRule="auto"/>
              <w:jc w:val="right"/>
              <w:outlineLvl w:val="0"/>
              <w:rPr>
                <w:rFonts w:ascii="Calibri" w:eastAsia="Calibri" w:hAnsi="Calibri" w:cs="Arial"/>
                <w:snapToGrid w:val="0"/>
                <w:sz w:val="15"/>
                <w:szCs w:val="15"/>
                <w:lang w:val="en-US"/>
              </w:rPr>
            </w:pPr>
            <w:r>
              <w:rPr>
                <w:rFonts w:eastAsia="Calibri" w:cs="Arial"/>
                <w:color w:val="000000" w:themeColor="text1"/>
                <w:sz w:val="15"/>
                <w:szCs w:val="15"/>
              </w:rPr>
              <w:t>4</w:t>
            </w:r>
            <w:r w:rsidR="002E11F3">
              <w:rPr>
                <w:rFonts w:eastAsia="Calibri" w:cs="Arial"/>
                <w:color w:val="000000" w:themeColor="text1"/>
                <w:sz w:val="15"/>
                <w:szCs w:val="15"/>
              </w:rPr>
              <w:t>,</w:t>
            </w:r>
            <w:r>
              <w:rPr>
                <w:rFonts w:eastAsia="Calibri" w:cs="Arial"/>
                <w:color w:val="000000" w:themeColor="text1"/>
                <w:sz w:val="15"/>
                <w:szCs w:val="15"/>
              </w:rPr>
              <w:t>913</w:t>
            </w:r>
          </w:p>
        </w:tc>
        <w:tc>
          <w:tcPr>
            <w:tcW w:w="344" w:type="pct"/>
            <w:tcBorders>
              <w:top w:val="nil"/>
              <w:left w:val="nil"/>
              <w:bottom w:val="single" w:sz="8" w:space="0" w:color="auto"/>
              <w:right w:val="nil"/>
            </w:tcBorders>
            <w:shd w:val="clear" w:color="auto" w:fill="auto"/>
            <w:vAlign w:val="bottom"/>
          </w:tcPr>
          <w:p w14:paraId="77BB3287" w14:textId="2C020F61" w:rsidR="00CD3156" w:rsidRPr="00537128" w:rsidRDefault="00CD3156" w:rsidP="00CD3156">
            <w:pPr>
              <w:tabs>
                <w:tab w:val="right" w:pos="1202"/>
              </w:tabs>
              <w:spacing w:after="0" w:line="240" w:lineRule="auto"/>
              <w:jc w:val="right"/>
              <w:outlineLvl w:val="0"/>
              <w:rPr>
                <w:rFonts w:ascii="Calibri" w:eastAsia="Calibri" w:hAnsi="Calibri" w:cs="Arial"/>
                <w:snapToGrid w:val="0"/>
                <w:sz w:val="15"/>
                <w:szCs w:val="15"/>
                <w:lang w:val="en-US"/>
              </w:rPr>
            </w:pPr>
            <w:r>
              <w:rPr>
                <w:rFonts w:eastAsia="Calibri" w:cs="Arial"/>
                <w:color w:val="000000" w:themeColor="text1"/>
                <w:sz w:val="15"/>
                <w:szCs w:val="15"/>
              </w:rPr>
              <w:t>3</w:t>
            </w:r>
          </w:p>
        </w:tc>
        <w:tc>
          <w:tcPr>
            <w:tcW w:w="344" w:type="pct"/>
            <w:tcBorders>
              <w:top w:val="nil"/>
              <w:left w:val="nil"/>
              <w:bottom w:val="single" w:sz="8" w:space="0" w:color="auto"/>
              <w:right w:val="nil"/>
            </w:tcBorders>
            <w:shd w:val="clear" w:color="auto" w:fill="auto"/>
            <w:vAlign w:val="bottom"/>
          </w:tcPr>
          <w:p w14:paraId="638E60D3" w14:textId="6614CF2F" w:rsidR="00CD3156" w:rsidRPr="00537128" w:rsidRDefault="00CD3156" w:rsidP="00CD3156">
            <w:pPr>
              <w:tabs>
                <w:tab w:val="right" w:pos="1202"/>
              </w:tabs>
              <w:spacing w:after="0" w:line="240" w:lineRule="auto"/>
              <w:jc w:val="right"/>
              <w:outlineLvl w:val="0"/>
              <w:rPr>
                <w:rFonts w:ascii="Calibri" w:eastAsia="Calibri" w:hAnsi="Calibri" w:cs="Arial"/>
                <w:snapToGrid w:val="0"/>
                <w:sz w:val="15"/>
                <w:szCs w:val="15"/>
                <w:lang w:val="en-US"/>
              </w:rPr>
            </w:pPr>
            <w:r>
              <w:rPr>
                <w:rFonts w:eastAsia="Calibri" w:cs="Arial"/>
                <w:color w:val="000000" w:themeColor="text1"/>
                <w:sz w:val="15"/>
                <w:szCs w:val="15"/>
              </w:rPr>
              <w:t>861</w:t>
            </w:r>
          </w:p>
        </w:tc>
        <w:tc>
          <w:tcPr>
            <w:tcW w:w="343" w:type="pct"/>
            <w:tcBorders>
              <w:top w:val="nil"/>
              <w:left w:val="nil"/>
              <w:bottom w:val="single" w:sz="8" w:space="0" w:color="auto"/>
              <w:right w:val="nil"/>
            </w:tcBorders>
            <w:shd w:val="clear" w:color="auto" w:fill="auto"/>
            <w:vAlign w:val="bottom"/>
          </w:tcPr>
          <w:p w14:paraId="68255B30" w14:textId="475D1AD6" w:rsidR="00CD3156" w:rsidRPr="00537128" w:rsidRDefault="00CD3156" w:rsidP="00CD3156">
            <w:pPr>
              <w:tabs>
                <w:tab w:val="right" w:pos="1202"/>
              </w:tabs>
              <w:spacing w:after="0" w:line="240" w:lineRule="auto"/>
              <w:jc w:val="right"/>
              <w:outlineLvl w:val="0"/>
              <w:rPr>
                <w:rFonts w:ascii="Calibri" w:eastAsia="Calibri" w:hAnsi="Calibri" w:cs="Arial"/>
                <w:snapToGrid w:val="0"/>
                <w:sz w:val="15"/>
                <w:szCs w:val="15"/>
                <w:lang w:val="en-US"/>
              </w:rPr>
            </w:pPr>
            <w:r>
              <w:rPr>
                <w:rFonts w:eastAsia="Calibri" w:cs="Arial"/>
                <w:color w:val="000000" w:themeColor="text1"/>
                <w:sz w:val="15"/>
                <w:szCs w:val="15"/>
              </w:rPr>
              <w:t>60</w:t>
            </w:r>
          </w:p>
        </w:tc>
        <w:tc>
          <w:tcPr>
            <w:tcW w:w="344" w:type="pct"/>
            <w:tcBorders>
              <w:top w:val="nil"/>
              <w:left w:val="nil"/>
              <w:bottom w:val="single" w:sz="8" w:space="0" w:color="auto"/>
              <w:right w:val="nil"/>
            </w:tcBorders>
            <w:shd w:val="clear" w:color="auto" w:fill="auto"/>
            <w:vAlign w:val="bottom"/>
          </w:tcPr>
          <w:p w14:paraId="7C2826C9" w14:textId="59DB58A2" w:rsidR="00CD3156" w:rsidRPr="00537128" w:rsidRDefault="00CD3156" w:rsidP="00CD3156">
            <w:pPr>
              <w:tabs>
                <w:tab w:val="right" w:pos="1202"/>
              </w:tabs>
              <w:spacing w:after="0" w:line="240" w:lineRule="auto"/>
              <w:jc w:val="right"/>
              <w:outlineLvl w:val="0"/>
              <w:rPr>
                <w:rFonts w:ascii="Calibri" w:eastAsia="Calibri" w:hAnsi="Calibri" w:cs="Arial"/>
                <w:snapToGrid w:val="0"/>
                <w:sz w:val="15"/>
                <w:szCs w:val="15"/>
                <w:lang w:val="en-US"/>
              </w:rPr>
            </w:pPr>
            <w:r>
              <w:rPr>
                <w:rFonts w:eastAsia="Calibri" w:cs="Arial"/>
                <w:color w:val="000000" w:themeColor="text1"/>
                <w:sz w:val="15"/>
                <w:szCs w:val="15"/>
              </w:rPr>
              <w:t>-</w:t>
            </w:r>
          </w:p>
        </w:tc>
        <w:tc>
          <w:tcPr>
            <w:tcW w:w="344" w:type="pct"/>
            <w:tcBorders>
              <w:top w:val="nil"/>
              <w:left w:val="nil"/>
              <w:bottom w:val="single" w:sz="8" w:space="0" w:color="auto"/>
              <w:right w:val="nil"/>
            </w:tcBorders>
            <w:shd w:val="clear" w:color="auto" w:fill="auto"/>
            <w:vAlign w:val="bottom"/>
          </w:tcPr>
          <w:p w14:paraId="2B64F1DE" w14:textId="4A11FADC" w:rsidR="00CD3156" w:rsidRPr="00537128" w:rsidRDefault="00CD3156" w:rsidP="00CD3156">
            <w:pPr>
              <w:tabs>
                <w:tab w:val="right" w:pos="1202"/>
              </w:tabs>
              <w:spacing w:after="0" w:line="240" w:lineRule="auto"/>
              <w:jc w:val="right"/>
              <w:outlineLvl w:val="0"/>
              <w:rPr>
                <w:rFonts w:ascii="Calibri" w:eastAsia="Calibri" w:hAnsi="Calibri" w:cs="Arial"/>
                <w:snapToGrid w:val="0"/>
                <w:sz w:val="15"/>
                <w:szCs w:val="15"/>
                <w:lang w:val="en-US"/>
              </w:rPr>
            </w:pPr>
            <w:r>
              <w:rPr>
                <w:rFonts w:eastAsia="Calibri" w:cs="Arial"/>
                <w:color w:val="000000" w:themeColor="text1"/>
                <w:sz w:val="15"/>
                <w:szCs w:val="15"/>
              </w:rPr>
              <w:t>5</w:t>
            </w:r>
            <w:r w:rsidR="002E11F3">
              <w:rPr>
                <w:rFonts w:eastAsia="Calibri" w:cs="Arial"/>
                <w:color w:val="000000" w:themeColor="text1"/>
                <w:sz w:val="15"/>
                <w:szCs w:val="15"/>
              </w:rPr>
              <w:t>,</w:t>
            </w:r>
            <w:r>
              <w:rPr>
                <w:rFonts w:eastAsia="Calibri" w:cs="Arial"/>
                <w:color w:val="000000" w:themeColor="text1"/>
                <w:sz w:val="15"/>
                <w:szCs w:val="15"/>
              </w:rPr>
              <w:t>837</w:t>
            </w:r>
          </w:p>
        </w:tc>
        <w:tc>
          <w:tcPr>
            <w:tcW w:w="343" w:type="pct"/>
            <w:tcBorders>
              <w:top w:val="nil"/>
              <w:left w:val="nil"/>
              <w:bottom w:val="single" w:sz="8" w:space="0" w:color="auto"/>
              <w:right w:val="nil"/>
            </w:tcBorders>
            <w:vAlign w:val="bottom"/>
          </w:tcPr>
          <w:p w14:paraId="5A9FAD6F" w14:textId="3E80DF1D" w:rsidR="00CD3156" w:rsidRPr="00537128" w:rsidRDefault="00CD3156" w:rsidP="00CD3156">
            <w:pPr>
              <w:tabs>
                <w:tab w:val="right" w:pos="1202"/>
              </w:tabs>
              <w:spacing w:after="0" w:line="240" w:lineRule="auto"/>
              <w:jc w:val="right"/>
              <w:outlineLvl w:val="0"/>
              <w:rPr>
                <w:rFonts w:ascii="Calibri" w:eastAsia="Calibri" w:hAnsi="Calibri" w:cs="Arial"/>
                <w:snapToGrid w:val="0"/>
                <w:sz w:val="15"/>
                <w:szCs w:val="15"/>
                <w:lang w:val="en-US"/>
              </w:rPr>
            </w:pPr>
            <w:r>
              <w:rPr>
                <w:rFonts w:eastAsia="Calibri" w:cs="Arial"/>
                <w:color w:val="000000" w:themeColor="text1"/>
                <w:sz w:val="15"/>
                <w:szCs w:val="15"/>
              </w:rPr>
              <w:t>1</w:t>
            </w:r>
            <w:r w:rsidR="002E11F3">
              <w:rPr>
                <w:rFonts w:eastAsia="Calibri" w:cs="Arial"/>
                <w:color w:val="000000" w:themeColor="text1"/>
                <w:sz w:val="15"/>
                <w:szCs w:val="15"/>
              </w:rPr>
              <w:t>,</w:t>
            </w:r>
            <w:r>
              <w:rPr>
                <w:rFonts w:eastAsia="Calibri" w:cs="Arial"/>
                <w:color w:val="000000" w:themeColor="text1"/>
                <w:sz w:val="15"/>
                <w:szCs w:val="15"/>
              </w:rPr>
              <w:t>800</w:t>
            </w:r>
          </w:p>
        </w:tc>
        <w:tc>
          <w:tcPr>
            <w:tcW w:w="344" w:type="pct"/>
            <w:tcBorders>
              <w:top w:val="nil"/>
              <w:left w:val="nil"/>
              <w:bottom w:val="single" w:sz="8" w:space="0" w:color="auto"/>
              <w:right w:val="nil"/>
            </w:tcBorders>
            <w:vAlign w:val="bottom"/>
          </w:tcPr>
          <w:p w14:paraId="3ACD68B8" w14:textId="3CB4CA21" w:rsidR="00CD3156" w:rsidRPr="00537128" w:rsidRDefault="00CD3156" w:rsidP="00CD3156">
            <w:pPr>
              <w:tabs>
                <w:tab w:val="right" w:pos="1202"/>
              </w:tabs>
              <w:spacing w:after="0" w:line="240" w:lineRule="auto"/>
              <w:jc w:val="right"/>
              <w:outlineLvl w:val="0"/>
              <w:rPr>
                <w:rFonts w:ascii="Calibri" w:eastAsia="Calibri" w:hAnsi="Calibri" w:cs="Arial"/>
                <w:snapToGrid w:val="0"/>
                <w:sz w:val="15"/>
                <w:szCs w:val="15"/>
                <w:lang w:val="en-US"/>
              </w:rPr>
            </w:pPr>
            <w:r>
              <w:rPr>
                <w:rFonts w:eastAsia="Calibri" w:cs="Arial"/>
                <w:color w:val="000000" w:themeColor="text1"/>
                <w:sz w:val="15"/>
                <w:szCs w:val="15"/>
              </w:rPr>
              <w:t>2</w:t>
            </w:r>
          </w:p>
        </w:tc>
        <w:tc>
          <w:tcPr>
            <w:tcW w:w="344" w:type="pct"/>
            <w:tcBorders>
              <w:top w:val="nil"/>
              <w:left w:val="nil"/>
              <w:bottom w:val="single" w:sz="8" w:space="0" w:color="auto"/>
              <w:right w:val="nil"/>
            </w:tcBorders>
            <w:vAlign w:val="bottom"/>
          </w:tcPr>
          <w:p w14:paraId="75373C2C" w14:textId="7EBB21FC" w:rsidR="00CD3156" w:rsidRPr="00537128" w:rsidRDefault="00CD3156" w:rsidP="00CD3156">
            <w:pPr>
              <w:tabs>
                <w:tab w:val="right" w:pos="1202"/>
              </w:tabs>
              <w:spacing w:after="0" w:line="240" w:lineRule="auto"/>
              <w:jc w:val="right"/>
              <w:outlineLvl w:val="0"/>
              <w:rPr>
                <w:rFonts w:ascii="Calibri" w:eastAsia="Calibri" w:hAnsi="Calibri" w:cs="Arial"/>
                <w:snapToGrid w:val="0"/>
                <w:sz w:val="15"/>
                <w:szCs w:val="15"/>
                <w:lang w:val="en-US"/>
              </w:rPr>
            </w:pPr>
            <w:r>
              <w:rPr>
                <w:rFonts w:eastAsia="Calibri" w:cs="Arial"/>
                <w:color w:val="000000" w:themeColor="text1"/>
                <w:sz w:val="15"/>
                <w:szCs w:val="15"/>
              </w:rPr>
              <w:t>689</w:t>
            </w:r>
          </w:p>
        </w:tc>
        <w:tc>
          <w:tcPr>
            <w:tcW w:w="343" w:type="pct"/>
            <w:tcBorders>
              <w:top w:val="nil"/>
              <w:left w:val="nil"/>
              <w:bottom w:val="single" w:sz="8" w:space="0" w:color="auto"/>
              <w:right w:val="nil"/>
            </w:tcBorders>
            <w:vAlign w:val="bottom"/>
          </w:tcPr>
          <w:p w14:paraId="630C6250" w14:textId="6C13C41E" w:rsidR="00CD3156" w:rsidRPr="00537128" w:rsidRDefault="00CD3156" w:rsidP="00CD3156">
            <w:pPr>
              <w:tabs>
                <w:tab w:val="right" w:pos="1202"/>
              </w:tabs>
              <w:spacing w:after="0" w:line="240" w:lineRule="auto"/>
              <w:jc w:val="right"/>
              <w:outlineLvl w:val="0"/>
              <w:rPr>
                <w:rFonts w:ascii="Calibri" w:eastAsia="Calibri" w:hAnsi="Calibri" w:cs="Arial"/>
                <w:snapToGrid w:val="0"/>
                <w:sz w:val="15"/>
                <w:szCs w:val="15"/>
                <w:lang w:val="en-US"/>
              </w:rPr>
            </w:pPr>
            <w:r>
              <w:rPr>
                <w:rFonts w:eastAsia="Calibri" w:cs="Arial"/>
                <w:color w:val="000000" w:themeColor="text1"/>
                <w:sz w:val="15"/>
                <w:szCs w:val="15"/>
              </w:rPr>
              <w:t>60</w:t>
            </w:r>
          </w:p>
        </w:tc>
        <w:tc>
          <w:tcPr>
            <w:tcW w:w="344" w:type="pct"/>
            <w:tcBorders>
              <w:top w:val="nil"/>
              <w:left w:val="nil"/>
              <w:bottom w:val="single" w:sz="8" w:space="0" w:color="auto"/>
              <w:right w:val="nil"/>
            </w:tcBorders>
            <w:vAlign w:val="bottom"/>
          </w:tcPr>
          <w:p w14:paraId="6D247A7D" w14:textId="4D57B19A" w:rsidR="00CD3156" w:rsidRPr="00537128" w:rsidRDefault="00CD3156" w:rsidP="00CD3156">
            <w:pPr>
              <w:tabs>
                <w:tab w:val="right" w:pos="1202"/>
              </w:tabs>
              <w:spacing w:after="0" w:line="240" w:lineRule="auto"/>
              <w:jc w:val="right"/>
              <w:outlineLvl w:val="0"/>
              <w:rPr>
                <w:rFonts w:ascii="Calibri" w:eastAsia="Calibri" w:hAnsi="Calibri" w:cs="Arial"/>
                <w:snapToGrid w:val="0"/>
                <w:sz w:val="15"/>
                <w:szCs w:val="15"/>
                <w:lang w:val="en-US"/>
              </w:rPr>
            </w:pPr>
            <w:r>
              <w:rPr>
                <w:rFonts w:eastAsia="Calibri" w:cs="Arial"/>
                <w:color w:val="000000" w:themeColor="text1"/>
                <w:sz w:val="15"/>
                <w:szCs w:val="15"/>
              </w:rPr>
              <w:t>-</w:t>
            </w:r>
          </w:p>
        </w:tc>
        <w:tc>
          <w:tcPr>
            <w:tcW w:w="343" w:type="pct"/>
            <w:tcBorders>
              <w:top w:val="nil"/>
              <w:left w:val="nil"/>
              <w:bottom w:val="single" w:sz="8" w:space="0" w:color="auto"/>
              <w:right w:val="nil"/>
            </w:tcBorders>
            <w:vAlign w:val="bottom"/>
          </w:tcPr>
          <w:p w14:paraId="2B7C0F0A" w14:textId="133A1C59" w:rsidR="00CD3156" w:rsidRPr="00537128" w:rsidRDefault="00CD3156" w:rsidP="00CD3156">
            <w:pPr>
              <w:tabs>
                <w:tab w:val="right" w:pos="1202"/>
              </w:tabs>
              <w:spacing w:after="0" w:line="240" w:lineRule="auto"/>
              <w:jc w:val="right"/>
              <w:outlineLvl w:val="0"/>
              <w:rPr>
                <w:rFonts w:ascii="Calibri" w:eastAsia="Calibri" w:hAnsi="Calibri" w:cs="Arial"/>
                <w:snapToGrid w:val="0"/>
                <w:sz w:val="15"/>
                <w:szCs w:val="15"/>
                <w:lang w:val="en-US"/>
              </w:rPr>
            </w:pPr>
            <w:r>
              <w:rPr>
                <w:rFonts w:eastAsia="Calibri" w:cs="Arial"/>
                <w:color w:val="000000" w:themeColor="text1"/>
                <w:sz w:val="15"/>
                <w:szCs w:val="15"/>
              </w:rPr>
              <w:t>2</w:t>
            </w:r>
            <w:r w:rsidR="002E11F3">
              <w:rPr>
                <w:rFonts w:eastAsia="Calibri" w:cs="Arial"/>
                <w:color w:val="000000" w:themeColor="text1"/>
                <w:sz w:val="15"/>
                <w:szCs w:val="15"/>
              </w:rPr>
              <w:t>,</w:t>
            </w:r>
            <w:r>
              <w:rPr>
                <w:rFonts w:eastAsia="Calibri" w:cs="Arial"/>
                <w:color w:val="000000" w:themeColor="text1"/>
                <w:sz w:val="15"/>
                <w:szCs w:val="15"/>
              </w:rPr>
              <w:t>551</w:t>
            </w:r>
          </w:p>
        </w:tc>
      </w:tr>
      <w:tr w:rsidR="00D23223" w:rsidRPr="00537128" w14:paraId="145A3A65" w14:textId="77777777" w:rsidTr="004A287E">
        <w:trPr>
          <w:trHeight w:val="60"/>
          <w:jc w:val="center"/>
        </w:trPr>
        <w:tc>
          <w:tcPr>
            <w:tcW w:w="877" w:type="pct"/>
          </w:tcPr>
          <w:p w14:paraId="78AAC1CE" w14:textId="77777777" w:rsidR="00D23223" w:rsidRPr="00537128" w:rsidRDefault="00D23223" w:rsidP="00D23223">
            <w:pPr>
              <w:tabs>
                <w:tab w:val="right" w:pos="1202"/>
              </w:tabs>
              <w:spacing w:after="0" w:line="301"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Total</w:t>
            </w:r>
          </w:p>
        </w:tc>
        <w:tc>
          <w:tcPr>
            <w:tcW w:w="343" w:type="pct"/>
            <w:tcBorders>
              <w:top w:val="nil"/>
              <w:left w:val="nil"/>
              <w:bottom w:val="single" w:sz="12" w:space="0" w:color="auto"/>
              <w:right w:val="nil"/>
            </w:tcBorders>
            <w:shd w:val="clear" w:color="auto" w:fill="auto"/>
            <w:vAlign w:val="bottom"/>
          </w:tcPr>
          <w:p w14:paraId="49D9EF4D" w14:textId="040E175B" w:rsidR="00D23223" w:rsidRPr="00537128" w:rsidRDefault="00D23223" w:rsidP="00D23223">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24</w:t>
            </w:r>
            <w:r w:rsidR="002E11F3">
              <w:rPr>
                <w:rFonts w:eastAsia="Calibri" w:cs="Arial"/>
                <w:b/>
                <w:bCs/>
                <w:color w:val="000000" w:themeColor="text1"/>
                <w:sz w:val="15"/>
                <w:szCs w:val="15"/>
              </w:rPr>
              <w:t>,</w:t>
            </w:r>
            <w:r>
              <w:rPr>
                <w:rFonts w:eastAsia="Calibri" w:cs="Arial"/>
                <w:b/>
                <w:bCs/>
                <w:color w:val="000000" w:themeColor="text1"/>
                <w:sz w:val="15"/>
                <w:szCs w:val="15"/>
              </w:rPr>
              <w:t>458</w:t>
            </w:r>
            <w:r w:rsidR="002E11F3">
              <w:rPr>
                <w:rFonts w:eastAsia="Calibri" w:cs="Arial"/>
                <w:b/>
                <w:bCs/>
                <w:color w:val="000000" w:themeColor="text1"/>
                <w:sz w:val="15"/>
                <w:szCs w:val="15"/>
              </w:rPr>
              <w:t>,</w:t>
            </w:r>
            <w:r>
              <w:rPr>
                <w:rFonts w:eastAsia="Calibri" w:cs="Arial"/>
                <w:b/>
                <w:bCs/>
                <w:color w:val="000000" w:themeColor="text1"/>
                <w:sz w:val="15"/>
                <w:szCs w:val="15"/>
              </w:rPr>
              <w:t>371</w:t>
            </w:r>
          </w:p>
        </w:tc>
        <w:tc>
          <w:tcPr>
            <w:tcW w:w="344" w:type="pct"/>
            <w:tcBorders>
              <w:top w:val="nil"/>
              <w:left w:val="nil"/>
              <w:bottom w:val="single" w:sz="12" w:space="0" w:color="auto"/>
              <w:right w:val="nil"/>
            </w:tcBorders>
            <w:shd w:val="clear" w:color="auto" w:fill="auto"/>
            <w:vAlign w:val="bottom"/>
          </w:tcPr>
          <w:p w14:paraId="48BE335D" w14:textId="5CA11FC6" w:rsidR="00D23223" w:rsidRPr="00537128" w:rsidRDefault="00D23223" w:rsidP="00D23223">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1</w:t>
            </w:r>
            <w:r w:rsidR="002E11F3">
              <w:rPr>
                <w:rFonts w:eastAsia="Calibri" w:cs="Arial"/>
                <w:b/>
                <w:bCs/>
                <w:color w:val="000000" w:themeColor="text1"/>
                <w:sz w:val="15"/>
                <w:szCs w:val="15"/>
              </w:rPr>
              <w:t>,</w:t>
            </w:r>
            <w:r>
              <w:rPr>
                <w:rFonts w:eastAsia="Calibri" w:cs="Arial"/>
                <w:b/>
                <w:bCs/>
                <w:color w:val="000000" w:themeColor="text1"/>
                <w:sz w:val="15"/>
                <w:szCs w:val="15"/>
              </w:rPr>
              <w:t>066</w:t>
            </w:r>
            <w:r w:rsidR="002E11F3">
              <w:rPr>
                <w:rFonts w:eastAsia="Calibri" w:cs="Arial"/>
                <w:b/>
                <w:bCs/>
                <w:color w:val="000000" w:themeColor="text1"/>
                <w:sz w:val="15"/>
                <w:szCs w:val="15"/>
              </w:rPr>
              <w:t>,</w:t>
            </w:r>
            <w:r>
              <w:rPr>
                <w:rFonts w:eastAsia="Calibri" w:cs="Arial"/>
                <w:b/>
                <w:bCs/>
                <w:color w:val="000000" w:themeColor="text1"/>
                <w:sz w:val="15"/>
                <w:szCs w:val="15"/>
              </w:rPr>
              <w:t>860</w:t>
            </w:r>
          </w:p>
        </w:tc>
        <w:tc>
          <w:tcPr>
            <w:tcW w:w="344" w:type="pct"/>
            <w:tcBorders>
              <w:top w:val="nil"/>
              <w:left w:val="nil"/>
              <w:bottom w:val="single" w:sz="12" w:space="0" w:color="auto"/>
              <w:right w:val="nil"/>
            </w:tcBorders>
            <w:shd w:val="clear" w:color="auto" w:fill="auto"/>
            <w:vAlign w:val="bottom"/>
          </w:tcPr>
          <w:p w14:paraId="43C5612F" w14:textId="195FF800" w:rsidR="00D23223" w:rsidRPr="00537128" w:rsidRDefault="00D23223" w:rsidP="00D23223">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951</w:t>
            </w:r>
            <w:r w:rsidR="002E11F3">
              <w:rPr>
                <w:rFonts w:eastAsia="Calibri" w:cs="Arial"/>
                <w:b/>
                <w:bCs/>
                <w:color w:val="000000" w:themeColor="text1"/>
                <w:sz w:val="15"/>
                <w:szCs w:val="15"/>
              </w:rPr>
              <w:t>,</w:t>
            </w:r>
            <w:r>
              <w:rPr>
                <w:rFonts w:eastAsia="Calibri" w:cs="Arial"/>
                <w:b/>
                <w:bCs/>
                <w:color w:val="000000" w:themeColor="text1"/>
                <w:sz w:val="15"/>
                <w:szCs w:val="15"/>
              </w:rPr>
              <w:t>385</w:t>
            </w:r>
          </w:p>
        </w:tc>
        <w:tc>
          <w:tcPr>
            <w:tcW w:w="343" w:type="pct"/>
            <w:tcBorders>
              <w:top w:val="nil"/>
              <w:left w:val="nil"/>
              <w:bottom w:val="single" w:sz="12" w:space="0" w:color="auto"/>
              <w:right w:val="nil"/>
            </w:tcBorders>
            <w:shd w:val="clear" w:color="auto" w:fill="auto"/>
            <w:vAlign w:val="bottom"/>
          </w:tcPr>
          <w:p w14:paraId="062E1F38" w14:textId="1F979ACE" w:rsidR="00D23223" w:rsidRPr="00537128" w:rsidRDefault="00D23223" w:rsidP="00D23223">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996</w:t>
            </w:r>
            <w:r w:rsidR="002E11F3">
              <w:rPr>
                <w:rFonts w:eastAsia="Calibri" w:cs="Arial"/>
                <w:b/>
                <w:bCs/>
                <w:color w:val="000000" w:themeColor="text1"/>
                <w:sz w:val="15"/>
                <w:szCs w:val="15"/>
              </w:rPr>
              <w:t>,</w:t>
            </w:r>
            <w:r>
              <w:rPr>
                <w:rFonts w:eastAsia="Calibri" w:cs="Arial"/>
                <w:b/>
                <w:bCs/>
                <w:color w:val="000000" w:themeColor="text1"/>
                <w:sz w:val="15"/>
                <w:szCs w:val="15"/>
              </w:rPr>
              <w:t>043</w:t>
            </w:r>
          </w:p>
        </w:tc>
        <w:tc>
          <w:tcPr>
            <w:tcW w:w="344" w:type="pct"/>
            <w:tcBorders>
              <w:top w:val="nil"/>
              <w:left w:val="nil"/>
              <w:bottom w:val="single" w:sz="12" w:space="0" w:color="auto"/>
              <w:right w:val="nil"/>
            </w:tcBorders>
            <w:shd w:val="clear" w:color="auto" w:fill="auto"/>
            <w:vAlign w:val="bottom"/>
          </w:tcPr>
          <w:p w14:paraId="32706456" w14:textId="15272226" w:rsidR="00D23223" w:rsidRPr="00537128" w:rsidRDefault="00D23223" w:rsidP="00D23223">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25</w:t>
            </w:r>
            <w:r w:rsidR="002E11F3">
              <w:rPr>
                <w:rFonts w:eastAsia="Calibri" w:cs="Arial"/>
                <w:b/>
                <w:bCs/>
                <w:color w:val="000000" w:themeColor="text1"/>
                <w:sz w:val="15"/>
                <w:szCs w:val="15"/>
              </w:rPr>
              <w:t>,</w:t>
            </w:r>
            <w:r>
              <w:rPr>
                <w:rFonts w:eastAsia="Calibri" w:cs="Arial"/>
                <w:b/>
                <w:bCs/>
                <w:color w:val="000000" w:themeColor="text1"/>
                <w:sz w:val="15"/>
                <w:szCs w:val="15"/>
              </w:rPr>
              <w:t>652</w:t>
            </w:r>
          </w:p>
        </w:tc>
        <w:tc>
          <w:tcPr>
            <w:tcW w:w="344" w:type="pct"/>
            <w:tcBorders>
              <w:top w:val="nil"/>
              <w:left w:val="nil"/>
              <w:bottom w:val="single" w:sz="12" w:space="0" w:color="auto"/>
              <w:right w:val="nil"/>
            </w:tcBorders>
            <w:shd w:val="clear" w:color="auto" w:fill="auto"/>
            <w:vAlign w:val="bottom"/>
          </w:tcPr>
          <w:p w14:paraId="1CC60B8A" w14:textId="501D0F7D" w:rsidR="00D23223" w:rsidRPr="00537128" w:rsidRDefault="00D23223" w:rsidP="00D23223">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27</w:t>
            </w:r>
            <w:r w:rsidR="002E11F3">
              <w:rPr>
                <w:rFonts w:eastAsia="Calibri" w:cs="Arial"/>
                <w:b/>
                <w:bCs/>
                <w:color w:val="000000" w:themeColor="text1"/>
                <w:sz w:val="15"/>
                <w:szCs w:val="15"/>
              </w:rPr>
              <w:t>,</w:t>
            </w:r>
            <w:r>
              <w:rPr>
                <w:rFonts w:eastAsia="Calibri" w:cs="Arial"/>
                <w:b/>
                <w:bCs/>
                <w:color w:val="000000" w:themeColor="text1"/>
                <w:sz w:val="15"/>
                <w:szCs w:val="15"/>
              </w:rPr>
              <w:t>498</w:t>
            </w:r>
            <w:r w:rsidR="002E11F3">
              <w:rPr>
                <w:rFonts w:eastAsia="Calibri" w:cs="Arial"/>
                <w:b/>
                <w:bCs/>
                <w:color w:val="000000" w:themeColor="text1"/>
                <w:sz w:val="15"/>
                <w:szCs w:val="15"/>
              </w:rPr>
              <w:t>,</w:t>
            </w:r>
            <w:r>
              <w:rPr>
                <w:rFonts w:eastAsia="Calibri" w:cs="Arial"/>
                <w:b/>
                <w:bCs/>
                <w:color w:val="000000" w:themeColor="text1"/>
                <w:sz w:val="15"/>
                <w:szCs w:val="15"/>
              </w:rPr>
              <w:t>311</w:t>
            </w:r>
          </w:p>
        </w:tc>
        <w:tc>
          <w:tcPr>
            <w:tcW w:w="343" w:type="pct"/>
            <w:tcBorders>
              <w:top w:val="nil"/>
              <w:left w:val="nil"/>
              <w:bottom w:val="single" w:sz="12" w:space="0" w:color="auto"/>
              <w:right w:val="nil"/>
            </w:tcBorders>
            <w:vAlign w:val="bottom"/>
          </w:tcPr>
          <w:p w14:paraId="74B56DDE" w14:textId="3F6DB78B" w:rsidR="00D23223" w:rsidRPr="00537128" w:rsidRDefault="00D23223" w:rsidP="00D23223">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6</w:t>
            </w:r>
            <w:r w:rsidR="002E11F3">
              <w:rPr>
                <w:rFonts w:eastAsia="Calibri" w:cs="Arial"/>
                <w:b/>
                <w:bCs/>
                <w:color w:val="000000" w:themeColor="text1"/>
                <w:sz w:val="15"/>
                <w:szCs w:val="15"/>
              </w:rPr>
              <w:t>,</w:t>
            </w:r>
            <w:r>
              <w:rPr>
                <w:rFonts w:eastAsia="Calibri" w:cs="Arial"/>
                <w:b/>
                <w:bCs/>
                <w:color w:val="000000" w:themeColor="text1"/>
                <w:sz w:val="15"/>
                <w:szCs w:val="15"/>
              </w:rPr>
              <w:t>065</w:t>
            </w:r>
            <w:r w:rsidR="002E11F3">
              <w:rPr>
                <w:rFonts w:eastAsia="Calibri" w:cs="Arial"/>
                <w:b/>
                <w:bCs/>
                <w:color w:val="000000" w:themeColor="text1"/>
                <w:sz w:val="15"/>
                <w:szCs w:val="15"/>
              </w:rPr>
              <w:t>,</w:t>
            </w:r>
            <w:r>
              <w:rPr>
                <w:rFonts w:eastAsia="Calibri" w:cs="Arial"/>
                <w:b/>
                <w:bCs/>
                <w:color w:val="000000" w:themeColor="text1"/>
                <w:sz w:val="15"/>
                <w:szCs w:val="15"/>
              </w:rPr>
              <w:t>866</w:t>
            </w:r>
          </w:p>
        </w:tc>
        <w:tc>
          <w:tcPr>
            <w:tcW w:w="344" w:type="pct"/>
            <w:tcBorders>
              <w:top w:val="nil"/>
              <w:left w:val="nil"/>
              <w:bottom w:val="single" w:sz="12" w:space="0" w:color="auto"/>
              <w:right w:val="nil"/>
            </w:tcBorders>
            <w:vAlign w:val="bottom"/>
          </w:tcPr>
          <w:p w14:paraId="6F44DB73" w14:textId="4A97EEDD" w:rsidR="00D23223" w:rsidRPr="00537128" w:rsidRDefault="00D23223" w:rsidP="00D23223">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99</w:t>
            </w:r>
            <w:r w:rsidR="002E11F3">
              <w:rPr>
                <w:rFonts w:eastAsia="Calibri" w:cs="Arial"/>
                <w:b/>
                <w:bCs/>
                <w:color w:val="000000" w:themeColor="text1"/>
                <w:sz w:val="15"/>
                <w:szCs w:val="15"/>
              </w:rPr>
              <w:t>,</w:t>
            </w:r>
            <w:r>
              <w:rPr>
                <w:rFonts w:eastAsia="Calibri" w:cs="Arial"/>
                <w:b/>
                <w:bCs/>
                <w:color w:val="000000" w:themeColor="text1"/>
                <w:sz w:val="15"/>
                <w:szCs w:val="15"/>
              </w:rPr>
              <w:t>934</w:t>
            </w:r>
          </w:p>
        </w:tc>
        <w:tc>
          <w:tcPr>
            <w:tcW w:w="344" w:type="pct"/>
            <w:tcBorders>
              <w:top w:val="nil"/>
              <w:left w:val="nil"/>
              <w:bottom w:val="single" w:sz="12" w:space="0" w:color="auto"/>
              <w:right w:val="nil"/>
            </w:tcBorders>
            <w:vAlign w:val="bottom"/>
          </w:tcPr>
          <w:p w14:paraId="3FA3CA15" w14:textId="1DD3796F" w:rsidR="00D23223" w:rsidRPr="00537128" w:rsidRDefault="00D23223" w:rsidP="00D23223">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181</w:t>
            </w:r>
            <w:r w:rsidR="002E11F3">
              <w:rPr>
                <w:rFonts w:eastAsia="Calibri" w:cs="Arial"/>
                <w:b/>
                <w:bCs/>
                <w:color w:val="000000" w:themeColor="text1"/>
                <w:sz w:val="15"/>
                <w:szCs w:val="15"/>
              </w:rPr>
              <w:t>,</w:t>
            </w:r>
            <w:r>
              <w:rPr>
                <w:rFonts w:eastAsia="Calibri" w:cs="Arial"/>
                <w:b/>
                <w:bCs/>
                <w:color w:val="000000" w:themeColor="text1"/>
                <w:sz w:val="15"/>
                <w:szCs w:val="15"/>
              </w:rPr>
              <w:t>687</w:t>
            </w:r>
          </w:p>
        </w:tc>
        <w:tc>
          <w:tcPr>
            <w:tcW w:w="343" w:type="pct"/>
            <w:tcBorders>
              <w:top w:val="nil"/>
              <w:left w:val="nil"/>
              <w:bottom w:val="single" w:sz="12" w:space="0" w:color="auto"/>
              <w:right w:val="nil"/>
            </w:tcBorders>
            <w:vAlign w:val="bottom"/>
          </w:tcPr>
          <w:p w14:paraId="098C527C" w14:textId="24B60AC8" w:rsidR="00D23223" w:rsidRPr="00537128" w:rsidRDefault="00D23223" w:rsidP="00D23223">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42</w:t>
            </w:r>
            <w:r w:rsidR="002E11F3">
              <w:rPr>
                <w:rFonts w:eastAsia="Calibri" w:cs="Arial"/>
                <w:b/>
                <w:bCs/>
                <w:color w:val="000000" w:themeColor="text1"/>
                <w:sz w:val="15"/>
                <w:szCs w:val="15"/>
              </w:rPr>
              <w:t>,</w:t>
            </w:r>
            <w:r>
              <w:rPr>
                <w:rFonts w:eastAsia="Calibri" w:cs="Arial"/>
                <w:b/>
                <w:bCs/>
                <w:color w:val="000000" w:themeColor="text1"/>
                <w:sz w:val="15"/>
                <w:szCs w:val="15"/>
              </w:rPr>
              <w:t>699</w:t>
            </w:r>
          </w:p>
        </w:tc>
        <w:tc>
          <w:tcPr>
            <w:tcW w:w="344" w:type="pct"/>
            <w:tcBorders>
              <w:top w:val="nil"/>
              <w:left w:val="nil"/>
              <w:bottom w:val="single" w:sz="12" w:space="0" w:color="auto"/>
              <w:right w:val="nil"/>
            </w:tcBorders>
            <w:vAlign w:val="bottom"/>
          </w:tcPr>
          <w:p w14:paraId="67452421" w14:textId="7EFCADEA" w:rsidR="00D23223" w:rsidRPr="00537128" w:rsidRDefault="00D23223" w:rsidP="00D23223">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25</w:t>
            </w:r>
            <w:r w:rsidR="002E11F3">
              <w:rPr>
                <w:rFonts w:eastAsia="Calibri" w:cs="Arial"/>
                <w:b/>
                <w:bCs/>
                <w:color w:val="000000" w:themeColor="text1"/>
                <w:sz w:val="15"/>
                <w:szCs w:val="15"/>
              </w:rPr>
              <w:t>,</w:t>
            </w:r>
            <w:r>
              <w:rPr>
                <w:rFonts w:eastAsia="Calibri" w:cs="Arial"/>
                <w:b/>
                <w:bCs/>
                <w:color w:val="000000" w:themeColor="text1"/>
                <w:sz w:val="15"/>
                <w:szCs w:val="15"/>
              </w:rPr>
              <w:t>374</w:t>
            </w:r>
          </w:p>
        </w:tc>
        <w:tc>
          <w:tcPr>
            <w:tcW w:w="343" w:type="pct"/>
            <w:tcBorders>
              <w:top w:val="nil"/>
              <w:left w:val="nil"/>
              <w:bottom w:val="single" w:sz="12" w:space="0" w:color="auto"/>
              <w:right w:val="nil"/>
            </w:tcBorders>
            <w:vAlign w:val="bottom"/>
          </w:tcPr>
          <w:p w14:paraId="6287F1F5" w14:textId="3814E3D4" w:rsidR="00D23223" w:rsidRPr="00537128" w:rsidRDefault="00D23223" w:rsidP="00D23223">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6</w:t>
            </w:r>
            <w:r w:rsidR="002E11F3">
              <w:rPr>
                <w:rFonts w:eastAsia="Calibri" w:cs="Arial"/>
                <w:b/>
                <w:bCs/>
                <w:color w:val="000000" w:themeColor="text1"/>
                <w:sz w:val="15"/>
                <w:szCs w:val="15"/>
              </w:rPr>
              <w:t>,</w:t>
            </w:r>
            <w:r>
              <w:rPr>
                <w:rFonts w:eastAsia="Calibri" w:cs="Arial"/>
                <w:b/>
                <w:bCs/>
                <w:color w:val="000000" w:themeColor="text1"/>
                <w:sz w:val="15"/>
                <w:szCs w:val="15"/>
              </w:rPr>
              <w:t>415</w:t>
            </w:r>
            <w:r w:rsidR="002E11F3">
              <w:rPr>
                <w:rFonts w:eastAsia="Calibri" w:cs="Arial"/>
                <w:b/>
                <w:bCs/>
                <w:color w:val="000000" w:themeColor="text1"/>
                <w:sz w:val="15"/>
                <w:szCs w:val="15"/>
              </w:rPr>
              <w:t>,</w:t>
            </w:r>
            <w:r>
              <w:rPr>
                <w:rFonts w:eastAsia="Calibri" w:cs="Arial"/>
                <w:b/>
                <w:bCs/>
                <w:color w:val="000000" w:themeColor="text1"/>
                <w:sz w:val="15"/>
                <w:szCs w:val="15"/>
              </w:rPr>
              <w:t>560</w:t>
            </w:r>
          </w:p>
        </w:tc>
      </w:tr>
      <w:tr w:rsidR="00D23223" w:rsidRPr="00537128" w14:paraId="2E3ADBB3" w14:textId="77777777" w:rsidTr="004A287E">
        <w:trPr>
          <w:trHeight w:val="200"/>
          <w:jc w:val="center"/>
        </w:trPr>
        <w:tc>
          <w:tcPr>
            <w:tcW w:w="877" w:type="pct"/>
          </w:tcPr>
          <w:p w14:paraId="647EE7DE" w14:textId="77777777" w:rsidR="00D23223" w:rsidRPr="00537128" w:rsidRDefault="00D23223" w:rsidP="00D23223">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Guarantees and commitments</w:t>
            </w:r>
          </w:p>
        </w:tc>
        <w:tc>
          <w:tcPr>
            <w:tcW w:w="343" w:type="pct"/>
            <w:tcBorders>
              <w:top w:val="nil"/>
              <w:left w:val="nil"/>
              <w:bottom w:val="nil"/>
              <w:right w:val="nil"/>
            </w:tcBorders>
            <w:shd w:val="clear" w:color="auto" w:fill="auto"/>
            <w:vAlign w:val="bottom"/>
          </w:tcPr>
          <w:p w14:paraId="73920BCF" w14:textId="77777777" w:rsidR="00D23223" w:rsidRPr="00537128" w:rsidRDefault="00D23223" w:rsidP="00D23223">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44DBEE13" w14:textId="77777777" w:rsidR="00D23223" w:rsidRPr="00537128" w:rsidRDefault="00D23223" w:rsidP="00D23223">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44491BB4" w14:textId="77777777" w:rsidR="00D23223" w:rsidRPr="00537128" w:rsidRDefault="00D23223" w:rsidP="00D23223">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shd w:val="clear" w:color="auto" w:fill="auto"/>
            <w:vAlign w:val="bottom"/>
          </w:tcPr>
          <w:p w14:paraId="43B8A933" w14:textId="77777777" w:rsidR="00D23223" w:rsidRPr="00537128" w:rsidRDefault="00D23223" w:rsidP="00D23223">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1E3FD715" w14:textId="77777777" w:rsidR="00D23223" w:rsidRPr="00537128" w:rsidRDefault="00D23223" w:rsidP="00D23223">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122AF408" w14:textId="77777777" w:rsidR="00D23223" w:rsidRPr="00537128" w:rsidRDefault="00D23223" w:rsidP="00D23223">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14E0A19D" w14:textId="77777777" w:rsidR="00D23223" w:rsidRPr="00537128" w:rsidRDefault="00D23223" w:rsidP="00D23223">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08A4BB30" w14:textId="77777777" w:rsidR="00D23223" w:rsidRPr="00537128" w:rsidRDefault="00D23223" w:rsidP="00D23223">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32ADC7ED" w14:textId="77777777" w:rsidR="00D23223" w:rsidRPr="00537128" w:rsidRDefault="00D23223" w:rsidP="00D23223">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4FDB9E5F" w14:textId="77777777" w:rsidR="00D23223" w:rsidRPr="00537128" w:rsidRDefault="00D23223" w:rsidP="00D23223">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37578318" w14:textId="77777777" w:rsidR="00D23223" w:rsidRPr="00537128" w:rsidRDefault="00D23223" w:rsidP="00D23223">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334D0EBB" w14:textId="77777777" w:rsidR="00D23223" w:rsidRPr="00537128" w:rsidRDefault="00D23223" w:rsidP="00D23223">
            <w:pPr>
              <w:tabs>
                <w:tab w:val="right" w:pos="1202"/>
              </w:tabs>
              <w:spacing w:after="0" w:line="240" w:lineRule="auto"/>
              <w:jc w:val="right"/>
              <w:outlineLvl w:val="0"/>
              <w:rPr>
                <w:rFonts w:ascii="Calibri" w:eastAsia="Calibri" w:hAnsi="Calibri" w:cs="Arial"/>
                <w:snapToGrid w:val="0"/>
                <w:sz w:val="15"/>
                <w:szCs w:val="15"/>
                <w:lang w:val="en-US"/>
              </w:rPr>
            </w:pPr>
          </w:p>
        </w:tc>
      </w:tr>
      <w:tr w:rsidR="002E11F3" w:rsidRPr="00537128" w14:paraId="696DC851" w14:textId="77777777" w:rsidTr="007D6F2C">
        <w:trPr>
          <w:trHeight w:val="200"/>
          <w:jc w:val="center"/>
        </w:trPr>
        <w:tc>
          <w:tcPr>
            <w:tcW w:w="877" w:type="pct"/>
            <w:vAlign w:val="bottom"/>
          </w:tcPr>
          <w:p w14:paraId="230B2B9C" w14:textId="77777777" w:rsidR="002E11F3" w:rsidRPr="00537128" w:rsidRDefault="002E11F3" w:rsidP="002E11F3">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Guarantees issued in HRK</w:t>
            </w:r>
          </w:p>
        </w:tc>
        <w:tc>
          <w:tcPr>
            <w:tcW w:w="343" w:type="pct"/>
            <w:tcBorders>
              <w:top w:val="nil"/>
              <w:left w:val="nil"/>
              <w:bottom w:val="nil"/>
              <w:right w:val="nil"/>
            </w:tcBorders>
            <w:shd w:val="clear" w:color="auto" w:fill="auto"/>
          </w:tcPr>
          <w:p w14:paraId="7E94C161" w14:textId="6C07D664" w:rsidR="002E11F3" w:rsidRPr="00537128" w:rsidRDefault="002E11F3" w:rsidP="002E11F3">
            <w:pPr>
              <w:spacing w:after="0" w:line="240" w:lineRule="auto"/>
              <w:jc w:val="right"/>
              <w:rPr>
                <w:rFonts w:ascii="Calibri" w:eastAsia="Calibri" w:hAnsi="Calibri" w:cs="Arial"/>
                <w:sz w:val="15"/>
                <w:szCs w:val="15"/>
                <w:lang w:val="en-US"/>
              </w:rPr>
            </w:pPr>
            <w:r w:rsidRPr="007A49AD">
              <w:rPr>
                <w:sz w:val="15"/>
                <w:szCs w:val="15"/>
              </w:rPr>
              <w:t xml:space="preserve"> 73</w:t>
            </w:r>
            <w:r>
              <w:rPr>
                <w:sz w:val="15"/>
                <w:szCs w:val="15"/>
              </w:rPr>
              <w:t>,</w:t>
            </w:r>
            <w:r w:rsidRPr="007A49AD">
              <w:rPr>
                <w:sz w:val="15"/>
                <w:szCs w:val="15"/>
              </w:rPr>
              <w:t xml:space="preserve">868 </w:t>
            </w:r>
          </w:p>
        </w:tc>
        <w:tc>
          <w:tcPr>
            <w:tcW w:w="344" w:type="pct"/>
            <w:tcBorders>
              <w:top w:val="nil"/>
              <w:left w:val="nil"/>
              <w:bottom w:val="nil"/>
              <w:right w:val="nil"/>
            </w:tcBorders>
            <w:shd w:val="clear" w:color="auto" w:fill="auto"/>
          </w:tcPr>
          <w:p w14:paraId="2BCBB1E8" w14:textId="5DF04692" w:rsidR="002E11F3" w:rsidRPr="00537128" w:rsidRDefault="002E11F3" w:rsidP="002E11F3">
            <w:pPr>
              <w:spacing w:after="0" w:line="240" w:lineRule="auto"/>
              <w:jc w:val="right"/>
              <w:rPr>
                <w:rFonts w:ascii="Calibri" w:eastAsia="Calibri" w:hAnsi="Calibri" w:cs="Arial"/>
                <w:sz w:val="15"/>
                <w:szCs w:val="15"/>
                <w:lang w:val="en-US"/>
              </w:rPr>
            </w:pPr>
            <w:r w:rsidRPr="007A49AD">
              <w:rPr>
                <w:sz w:val="15"/>
                <w:szCs w:val="15"/>
              </w:rPr>
              <w:t xml:space="preserve"> 22</w:t>
            </w:r>
            <w:r>
              <w:rPr>
                <w:sz w:val="15"/>
                <w:szCs w:val="15"/>
              </w:rPr>
              <w:t>,</w:t>
            </w:r>
            <w:r w:rsidRPr="007A49AD">
              <w:rPr>
                <w:sz w:val="15"/>
                <w:szCs w:val="15"/>
              </w:rPr>
              <w:t xml:space="preserve">713 </w:t>
            </w:r>
          </w:p>
        </w:tc>
        <w:tc>
          <w:tcPr>
            <w:tcW w:w="344" w:type="pct"/>
            <w:tcBorders>
              <w:top w:val="nil"/>
              <w:left w:val="nil"/>
              <w:bottom w:val="nil"/>
              <w:right w:val="nil"/>
            </w:tcBorders>
            <w:shd w:val="clear" w:color="auto" w:fill="auto"/>
          </w:tcPr>
          <w:p w14:paraId="4074DAF0" w14:textId="0265FBBE" w:rsidR="002E11F3" w:rsidRPr="00537128" w:rsidRDefault="002E11F3" w:rsidP="002E11F3">
            <w:pPr>
              <w:spacing w:after="0" w:line="240" w:lineRule="auto"/>
              <w:jc w:val="right"/>
              <w:rPr>
                <w:rFonts w:ascii="Calibri" w:eastAsia="Calibri" w:hAnsi="Calibri" w:cs="Arial"/>
                <w:sz w:val="15"/>
                <w:szCs w:val="15"/>
                <w:lang w:val="en-US"/>
              </w:rPr>
            </w:pPr>
            <w:r w:rsidRPr="007A49AD">
              <w:rPr>
                <w:sz w:val="15"/>
                <w:szCs w:val="15"/>
              </w:rPr>
              <w:t xml:space="preserve"> 49</w:t>
            </w:r>
            <w:r>
              <w:rPr>
                <w:sz w:val="15"/>
                <w:szCs w:val="15"/>
              </w:rPr>
              <w:t>,</w:t>
            </w:r>
            <w:r w:rsidRPr="007A49AD">
              <w:rPr>
                <w:sz w:val="15"/>
                <w:szCs w:val="15"/>
              </w:rPr>
              <w:t xml:space="preserve">468 </w:t>
            </w:r>
          </w:p>
        </w:tc>
        <w:tc>
          <w:tcPr>
            <w:tcW w:w="343" w:type="pct"/>
            <w:tcBorders>
              <w:top w:val="nil"/>
              <w:left w:val="nil"/>
              <w:bottom w:val="nil"/>
              <w:right w:val="nil"/>
            </w:tcBorders>
            <w:shd w:val="clear" w:color="auto" w:fill="auto"/>
          </w:tcPr>
          <w:p w14:paraId="5DFFF1DE" w14:textId="18002FAB" w:rsidR="002E11F3" w:rsidRPr="00537128" w:rsidRDefault="002E11F3" w:rsidP="002E11F3">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4" w:type="pct"/>
            <w:tcBorders>
              <w:top w:val="nil"/>
              <w:left w:val="nil"/>
              <w:bottom w:val="nil"/>
              <w:right w:val="nil"/>
            </w:tcBorders>
            <w:shd w:val="clear" w:color="auto" w:fill="auto"/>
          </w:tcPr>
          <w:p w14:paraId="3EEEB2D5" w14:textId="5A316180" w:rsidR="002E11F3" w:rsidRPr="00537128" w:rsidRDefault="002E11F3" w:rsidP="002E11F3">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4" w:type="pct"/>
            <w:tcBorders>
              <w:top w:val="nil"/>
              <w:left w:val="nil"/>
              <w:bottom w:val="nil"/>
              <w:right w:val="nil"/>
            </w:tcBorders>
            <w:shd w:val="clear" w:color="auto" w:fill="auto"/>
          </w:tcPr>
          <w:p w14:paraId="664F5F68" w14:textId="0956D426" w:rsidR="002E11F3" w:rsidRPr="00537128" w:rsidRDefault="002E11F3" w:rsidP="002E11F3">
            <w:pPr>
              <w:spacing w:after="0" w:line="240" w:lineRule="auto"/>
              <w:jc w:val="right"/>
              <w:rPr>
                <w:rFonts w:ascii="Calibri" w:eastAsia="Calibri" w:hAnsi="Calibri" w:cs="Arial"/>
                <w:sz w:val="15"/>
                <w:szCs w:val="15"/>
                <w:lang w:val="en-US"/>
              </w:rPr>
            </w:pPr>
            <w:r w:rsidRPr="007A49AD">
              <w:rPr>
                <w:sz w:val="15"/>
                <w:szCs w:val="15"/>
              </w:rPr>
              <w:t xml:space="preserve"> 146</w:t>
            </w:r>
            <w:r>
              <w:rPr>
                <w:sz w:val="15"/>
                <w:szCs w:val="15"/>
              </w:rPr>
              <w:t>,</w:t>
            </w:r>
            <w:r w:rsidRPr="007A49AD">
              <w:rPr>
                <w:sz w:val="15"/>
                <w:szCs w:val="15"/>
              </w:rPr>
              <w:t xml:space="preserve">049 </w:t>
            </w:r>
          </w:p>
        </w:tc>
        <w:tc>
          <w:tcPr>
            <w:tcW w:w="343" w:type="pct"/>
            <w:tcBorders>
              <w:top w:val="nil"/>
              <w:left w:val="nil"/>
              <w:bottom w:val="nil"/>
              <w:right w:val="nil"/>
            </w:tcBorders>
          </w:tcPr>
          <w:p w14:paraId="0E0C044F" w14:textId="483DF7C6" w:rsidR="002E11F3" w:rsidRPr="00537128" w:rsidRDefault="002E11F3" w:rsidP="002E11F3">
            <w:pPr>
              <w:spacing w:after="0" w:line="240" w:lineRule="auto"/>
              <w:jc w:val="right"/>
              <w:rPr>
                <w:rFonts w:ascii="Calibri" w:eastAsia="Calibri" w:hAnsi="Calibri" w:cs="Arial"/>
                <w:sz w:val="15"/>
                <w:szCs w:val="15"/>
                <w:lang w:val="en-US"/>
              </w:rPr>
            </w:pPr>
            <w:r w:rsidRPr="007A49AD">
              <w:rPr>
                <w:sz w:val="15"/>
                <w:szCs w:val="15"/>
              </w:rPr>
              <w:t xml:space="preserve"> 32</w:t>
            </w:r>
            <w:r>
              <w:rPr>
                <w:sz w:val="15"/>
                <w:szCs w:val="15"/>
              </w:rPr>
              <w:t>,</w:t>
            </w:r>
            <w:r w:rsidRPr="007A49AD">
              <w:rPr>
                <w:sz w:val="15"/>
                <w:szCs w:val="15"/>
              </w:rPr>
              <w:t xml:space="preserve">827 </w:t>
            </w:r>
          </w:p>
        </w:tc>
        <w:tc>
          <w:tcPr>
            <w:tcW w:w="344" w:type="pct"/>
            <w:tcBorders>
              <w:top w:val="nil"/>
              <w:left w:val="nil"/>
              <w:bottom w:val="nil"/>
              <w:right w:val="nil"/>
            </w:tcBorders>
          </w:tcPr>
          <w:p w14:paraId="7E0DF0E9" w14:textId="0D0E7834" w:rsidR="002E11F3" w:rsidRPr="00537128" w:rsidRDefault="002E11F3" w:rsidP="002E11F3">
            <w:pPr>
              <w:spacing w:after="0" w:line="240" w:lineRule="auto"/>
              <w:jc w:val="right"/>
              <w:rPr>
                <w:rFonts w:ascii="Calibri" w:eastAsia="Calibri" w:hAnsi="Calibri" w:cs="Arial"/>
                <w:sz w:val="15"/>
                <w:szCs w:val="15"/>
                <w:lang w:val="en-US"/>
              </w:rPr>
            </w:pPr>
            <w:r w:rsidRPr="007A49AD">
              <w:rPr>
                <w:sz w:val="15"/>
                <w:szCs w:val="15"/>
              </w:rPr>
              <w:t xml:space="preserve"> 22</w:t>
            </w:r>
            <w:r>
              <w:rPr>
                <w:sz w:val="15"/>
                <w:szCs w:val="15"/>
              </w:rPr>
              <w:t>,</w:t>
            </w:r>
            <w:r w:rsidRPr="007A49AD">
              <w:rPr>
                <w:sz w:val="15"/>
                <w:szCs w:val="15"/>
              </w:rPr>
              <w:t xml:space="preserve">713 </w:t>
            </w:r>
          </w:p>
        </w:tc>
        <w:tc>
          <w:tcPr>
            <w:tcW w:w="344" w:type="pct"/>
            <w:tcBorders>
              <w:top w:val="nil"/>
              <w:left w:val="nil"/>
              <w:bottom w:val="nil"/>
              <w:right w:val="nil"/>
            </w:tcBorders>
          </w:tcPr>
          <w:p w14:paraId="77E00CE8" w14:textId="7465981C" w:rsidR="002E11F3" w:rsidRPr="00537128" w:rsidRDefault="002E11F3" w:rsidP="002E11F3">
            <w:pPr>
              <w:spacing w:after="0" w:line="240" w:lineRule="auto"/>
              <w:jc w:val="right"/>
              <w:rPr>
                <w:rFonts w:ascii="Calibri" w:eastAsia="Calibri" w:hAnsi="Calibri" w:cs="Arial"/>
                <w:sz w:val="15"/>
                <w:szCs w:val="15"/>
                <w:lang w:val="en-US"/>
              </w:rPr>
            </w:pPr>
            <w:r w:rsidRPr="007A49AD">
              <w:rPr>
                <w:sz w:val="15"/>
                <w:szCs w:val="15"/>
              </w:rPr>
              <w:t xml:space="preserve"> 24</w:t>
            </w:r>
            <w:r>
              <w:rPr>
                <w:sz w:val="15"/>
                <w:szCs w:val="15"/>
              </w:rPr>
              <w:t>,</w:t>
            </w:r>
            <w:r w:rsidRPr="007A49AD">
              <w:rPr>
                <w:sz w:val="15"/>
                <w:szCs w:val="15"/>
              </w:rPr>
              <w:t xml:space="preserve">268 </w:t>
            </w:r>
          </w:p>
        </w:tc>
        <w:tc>
          <w:tcPr>
            <w:tcW w:w="343" w:type="pct"/>
            <w:tcBorders>
              <w:top w:val="nil"/>
              <w:left w:val="nil"/>
              <w:bottom w:val="nil"/>
              <w:right w:val="nil"/>
            </w:tcBorders>
          </w:tcPr>
          <w:p w14:paraId="695C20A2" w14:textId="7E448702" w:rsidR="002E11F3" w:rsidRPr="00537128" w:rsidRDefault="002E11F3" w:rsidP="002E11F3">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4" w:type="pct"/>
            <w:tcBorders>
              <w:top w:val="nil"/>
              <w:left w:val="nil"/>
              <w:bottom w:val="nil"/>
              <w:right w:val="nil"/>
            </w:tcBorders>
          </w:tcPr>
          <w:p w14:paraId="0E5CC68A" w14:textId="25FC52B0" w:rsidR="002E11F3" w:rsidRPr="00537128" w:rsidRDefault="002E11F3" w:rsidP="002E11F3">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3" w:type="pct"/>
            <w:tcBorders>
              <w:top w:val="nil"/>
              <w:left w:val="nil"/>
              <w:bottom w:val="nil"/>
              <w:right w:val="nil"/>
            </w:tcBorders>
          </w:tcPr>
          <w:p w14:paraId="18394DE3" w14:textId="48785101" w:rsidR="002E11F3" w:rsidRPr="00537128" w:rsidRDefault="002E11F3" w:rsidP="002E11F3">
            <w:pPr>
              <w:spacing w:after="0" w:line="240" w:lineRule="auto"/>
              <w:jc w:val="right"/>
              <w:rPr>
                <w:rFonts w:ascii="Calibri" w:eastAsia="Calibri" w:hAnsi="Calibri" w:cs="Arial"/>
                <w:sz w:val="15"/>
                <w:szCs w:val="15"/>
                <w:lang w:val="en-US"/>
              </w:rPr>
            </w:pPr>
            <w:r w:rsidRPr="007A49AD">
              <w:rPr>
                <w:sz w:val="15"/>
                <w:szCs w:val="15"/>
              </w:rPr>
              <w:t xml:space="preserve"> 79</w:t>
            </w:r>
            <w:r>
              <w:rPr>
                <w:sz w:val="15"/>
                <w:szCs w:val="15"/>
              </w:rPr>
              <w:t>,</w:t>
            </w:r>
            <w:r w:rsidRPr="007A49AD">
              <w:rPr>
                <w:sz w:val="15"/>
                <w:szCs w:val="15"/>
              </w:rPr>
              <w:t xml:space="preserve">808 </w:t>
            </w:r>
          </w:p>
        </w:tc>
      </w:tr>
      <w:tr w:rsidR="00F7700B" w:rsidRPr="00537128" w14:paraId="128AF44A" w14:textId="77777777" w:rsidTr="00F7700B">
        <w:trPr>
          <w:trHeight w:val="200"/>
          <w:jc w:val="center"/>
        </w:trPr>
        <w:tc>
          <w:tcPr>
            <w:tcW w:w="877" w:type="pct"/>
            <w:vAlign w:val="bottom"/>
          </w:tcPr>
          <w:p w14:paraId="487DD21F" w14:textId="5C1845E6" w:rsidR="00F7700B" w:rsidRPr="00537128" w:rsidRDefault="00F7700B" w:rsidP="00F7700B">
            <w:pPr>
              <w:tabs>
                <w:tab w:val="right" w:pos="1202"/>
              </w:tabs>
              <w:spacing w:after="0" w:line="240" w:lineRule="auto"/>
              <w:outlineLvl w:val="0"/>
              <w:rPr>
                <w:rFonts w:ascii="Calibri" w:eastAsia="Calibri" w:hAnsi="Calibri" w:cs="Times New Roman"/>
                <w:sz w:val="15"/>
                <w:szCs w:val="15"/>
                <w:lang w:val="en-US"/>
              </w:rPr>
            </w:pPr>
            <w:r w:rsidRPr="00D13EB3">
              <w:rPr>
                <w:rFonts w:ascii="Calibri" w:hAnsi="Calibri"/>
                <w:sz w:val="15"/>
                <w:szCs w:val="15"/>
              </w:rPr>
              <w:t>Issued guarantees in foreign currency</w:t>
            </w:r>
          </w:p>
        </w:tc>
        <w:tc>
          <w:tcPr>
            <w:tcW w:w="343" w:type="pct"/>
            <w:tcBorders>
              <w:top w:val="nil"/>
              <w:left w:val="nil"/>
              <w:bottom w:val="nil"/>
              <w:right w:val="nil"/>
            </w:tcBorders>
            <w:shd w:val="clear" w:color="auto" w:fill="auto"/>
            <w:vAlign w:val="bottom"/>
          </w:tcPr>
          <w:p w14:paraId="1DF2BE3D" w14:textId="0690AFE0" w:rsidR="00F7700B" w:rsidRPr="00537128" w:rsidRDefault="00F7700B" w:rsidP="00F7700B">
            <w:pPr>
              <w:spacing w:after="0" w:line="240" w:lineRule="auto"/>
              <w:jc w:val="right"/>
              <w:rPr>
                <w:rFonts w:ascii="Calibri" w:eastAsia="Calibri" w:hAnsi="Calibri" w:cs="Arial"/>
                <w:sz w:val="15"/>
                <w:szCs w:val="15"/>
                <w:lang w:val="en-US"/>
              </w:rPr>
            </w:pPr>
            <w:r w:rsidRPr="007A49AD">
              <w:rPr>
                <w:sz w:val="15"/>
                <w:szCs w:val="15"/>
              </w:rPr>
              <w:t xml:space="preserve"> 64</w:t>
            </w:r>
            <w:r>
              <w:rPr>
                <w:sz w:val="15"/>
                <w:szCs w:val="15"/>
              </w:rPr>
              <w:t>,</w:t>
            </w:r>
            <w:r w:rsidRPr="007A49AD">
              <w:rPr>
                <w:sz w:val="15"/>
                <w:szCs w:val="15"/>
              </w:rPr>
              <w:t xml:space="preserve">636 </w:t>
            </w:r>
          </w:p>
        </w:tc>
        <w:tc>
          <w:tcPr>
            <w:tcW w:w="344" w:type="pct"/>
            <w:tcBorders>
              <w:top w:val="nil"/>
              <w:left w:val="nil"/>
              <w:bottom w:val="nil"/>
              <w:right w:val="nil"/>
            </w:tcBorders>
            <w:shd w:val="clear" w:color="auto" w:fill="auto"/>
            <w:vAlign w:val="bottom"/>
          </w:tcPr>
          <w:p w14:paraId="0478EEE0" w14:textId="615F5EF2" w:rsidR="00F7700B" w:rsidRPr="00537128" w:rsidRDefault="00F7700B" w:rsidP="00F7700B">
            <w:pPr>
              <w:spacing w:after="0" w:line="240" w:lineRule="auto"/>
              <w:jc w:val="right"/>
              <w:rPr>
                <w:rFonts w:ascii="Calibri" w:eastAsia="Calibri" w:hAnsi="Calibri" w:cs="Arial"/>
                <w:sz w:val="15"/>
                <w:szCs w:val="15"/>
                <w:lang w:val="en-US"/>
              </w:rPr>
            </w:pPr>
            <w:r w:rsidRPr="007A49AD">
              <w:rPr>
                <w:sz w:val="15"/>
                <w:szCs w:val="15"/>
              </w:rPr>
              <w:t xml:space="preserve"> 380 </w:t>
            </w:r>
          </w:p>
        </w:tc>
        <w:tc>
          <w:tcPr>
            <w:tcW w:w="344" w:type="pct"/>
            <w:tcBorders>
              <w:top w:val="nil"/>
              <w:left w:val="nil"/>
              <w:bottom w:val="nil"/>
              <w:right w:val="nil"/>
            </w:tcBorders>
            <w:shd w:val="clear" w:color="auto" w:fill="auto"/>
            <w:vAlign w:val="bottom"/>
          </w:tcPr>
          <w:p w14:paraId="2E70AA25" w14:textId="6461C689" w:rsidR="00F7700B" w:rsidRPr="00537128" w:rsidRDefault="00F7700B" w:rsidP="00F7700B">
            <w:pPr>
              <w:spacing w:after="0" w:line="240" w:lineRule="auto"/>
              <w:jc w:val="right"/>
              <w:rPr>
                <w:rFonts w:ascii="Calibri" w:eastAsia="Calibri" w:hAnsi="Calibri" w:cs="Arial"/>
                <w:sz w:val="15"/>
                <w:szCs w:val="15"/>
                <w:lang w:val="en-US"/>
              </w:rPr>
            </w:pPr>
            <w:r w:rsidRPr="007A49AD">
              <w:rPr>
                <w:sz w:val="15"/>
                <w:szCs w:val="15"/>
              </w:rPr>
              <w:t xml:space="preserve"> 130</w:t>
            </w:r>
            <w:r>
              <w:rPr>
                <w:sz w:val="15"/>
                <w:szCs w:val="15"/>
              </w:rPr>
              <w:t>,</w:t>
            </w:r>
            <w:r w:rsidRPr="007A49AD">
              <w:rPr>
                <w:sz w:val="15"/>
                <w:szCs w:val="15"/>
              </w:rPr>
              <w:t xml:space="preserve">086 </w:t>
            </w:r>
          </w:p>
        </w:tc>
        <w:tc>
          <w:tcPr>
            <w:tcW w:w="343" w:type="pct"/>
            <w:tcBorders>
              <w:top w:val="nil"/>
              <w:left w:val="nil"/>
              <w:bottom w:val="nil"/>
              <w:right w:val="nil"/>
            </w:tcBorders>
            <w:shd w:val="clear" w:color="auto" w:fill="auto"/>
            <w:vAlign w:val="bottom"/>
          </w:tcPr>
          <w:p w14:paraId="333C0BB5" w14:textId="44FAB042" w:rsidR="00F7700B" w:rsidRPr="00537128" w:rsidRDefault="00F7700B" w:rsidP="00F7700B">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4" w:type="pct"/>
            <w:tcBorders>
              <w:top w:val="nil"/>
              <w:left w:val="nil"/>
              <w:bottom w:val="nil"/>
              <w:right w:val="nil"/>
            </w:tcBorders>
            <w:shd w:val="clear" w:color="auto" w:fill="auto"/>
            <w:vAlign w:val="bottom"/>
          </w:tcPr>
          <w:p w14:paraId="2199F66C" w14:textId="6048B695" w:rsidR="00F7700B" w:rsidRPr="00537128" w:rsidRDefault="00F7700B" w:rsidP="00F7700B">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4" w:type="pct"/>
            <w:tcBorders>
              <w:top w:val="nil"/>
              <w:left w:val="nil"/>
              <w:bottom w:val="nil"/>
              <w:right w:val="nil"/>
            </w:tcBorders>
            <w:shd w:val="clear" w:color="auto" w:fill="auto"/>
            <w:vAlign w:val="bottom"/>
          </w:tcPr>
          <w:p w14:paraId="2A8F54A5" w14:textId="2806BE08" w:rsidR="00F7700B" w:rsidRPr="00537128" w:rsidRDefault="00F7700B" w:rsidP="00F7700B">
            <w:pPr>
              <w:spacing w:after="0" w:line="240" w:lineRule="auto"/>
              <w:jc w:val="right"/>
              <w:rPr>
                <w:rFonts w:ascii="Calibri" w:eastAsia="Calibri" w:hAnsi="Calibri" w:cs="Arial"/>
                <w:sz w:val="15"/>
                <w:szCs w:val="15"/>
                <w:lang w:val="en-US"/>
              </w:rPr>
            </w:pPr>
            <w:r w:rsidRPr="007A49AD">
              <w:rPr>
                <w:sz w:val="15"/>
                <w:szCs w:val="15"/>
              </w:rPr>
              <w:t xml:space="preserve"> 195</w:t>
            </w:r>
            <w:r>
              <w:rPr>
                <w:sz w:val="15"/>
                <w:szCs w:val="15"/>
              </w:rPr>
              <w:t>,</w:t>
            </w:r>
            <w:r w:rsidRPr="007A49AD">
              <w:rPr>
                <w:sz w:val="15"/>
                <w:szCs w:val="15"/>
              </w:rPr>
              <w:t xml:space="preserve">102 </w:t>
            </w:r>
          </w:p>
        </w:tc>
        <w:tc>
          <w:tcPr>
            <w:tcW w:w="343" w:type="pct"/>
            <w:tcBorders>
              <w:top w:val="nil"/>
              <w:left w:val="nil"/>
              <w:bottom w:val="nil"/>
              <w:right w:val="nil"/>
            </w:tcBorders>
            <w:vAlign w:val="bottom"/>
          </w:tcPr>
          <w:p w14:paraId="57AEF563" w14:textId="2AC5E74A" w:rsidR="00F7700B" w:rsidRPr="00537128" w:rsidRDefault="00F7700B" w:rsidP="00F7700B">
            <w:pPr>
              <w:spacing w:after="0" w:line="240" w:lineRule="auto"/>
              <w:jc w:val="right"/>
              <w:rPr>
                <w:rFonts w:ascii="Calibri" w:eastAsia="Calibri" w:hAnsi="Calibri" w:cs="Arial"/>
                <w:sz w:val="15"/>
                <w:szCs w:val="15"/>
                <w:lang w:val="en-US"/>
              </w:rPr>
            </w:pPr>
            <w:r w:rsidRPr="007A49AD">
              <w:rPr>
                <w:sz w:val="15"/>
                <w:szCs w:val="15"/>
              </w:rPr>
              <w:t xml:space="preserve"> 51</w:t>
            </w:r>
            <w:r>
              <w:rPr>
                <w:sz w:val="15"/>
                <w:szCs w:val="15"/>
              </w:rPr>
              <w:t>,</w:t>
            </w:r>
            <w:r w:rsidRPr="007A49AD">
              <w:rPr>
                <w:sz w:val="15"/>
                <w:szCs w:val="15"/>
              </w:rPr>
              <w:t xml:space="preserve">631 </w:t>
            </w:r>
          </w:p>
        </w:tc>
        <w:tc>
          <w:tcPr>
            <w:tcW w:w="344" w:type="pct"/>
            <w:tcBorders>
              <w:top w:val="nil"/>
              <w:left w:val="nil"/>
              <w:bottom w:val="nil"/>
              <w:right w:val="nil"/>
            </w:tcBorders>
          </w:tcPr>
          <w:p w14:paraId="6E08C0B0" w14:textId="10879069" w:rsidR="00F7700B" w:rsidRPr="00537128" w:rsidRDefault="00F7700B" w:rsidP="00F7700B">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4" w:type="pct"/>
            <w:tcBorders>
              <w:top w:val="nil"/>
              <w:left w:val="nil"/>
              <w:bottom w:val="nil"/>
              <w:right w:val="nil"/>
            </w:tcBorders>
          </w:tcPr>
          <w:p w14:paraId="60D50517" w14:textId="08D5ABFD" w:rsidR="00F7700B" w:rsidRPr="00537128" w:rsidRDefault="00F7700B" w:rsidP="00F7700B">
            <w:pPr>
              <w:spacing w:after="0" w:line="240" w:lineRule="auto"/>
              <w:jc w:val="right"/>
              <w:rPr>
                <w:rFonts w:ascii="Calibri" w:eastAsia="Calibri" w:hAnsi="Calibri" w:cs="Arial"/>
                <w:sz w:val="15"/>
                <w:szCs w:val="15"/>
                <w:lang w:val="en-US"/>
              </w:rPr>
            </w:pPr>
            <w:r w:rsidRPr="007A49AD">
              <w:rPr>
                <w:sz w:val="15"/>
                <w:szCs w:val="15"/>
              </w:rPr>
              <w:t xml:space="preserve"> 56</w:t>
            </w:r>
            <w:r>
              <w:rPr>
                <w:sz w:val="15"/>
                <w:szCs w:val="15"/>
              </w:rPr>
              <w:t>,</w:t>
            </w:r>
            <w:r w:rsidRPr="007A49AD">
              <w:rPr>
                <w:sz w:val="15"/>
                <w:szCs w:val="15"/>
              </w:rPr>
              <w:t xml:space="preserve">348 </w:t>
            </w:r>
          </w:p>
        </w:tc>
        <w:tc>
          <w:tcPr>
            <w:tcW w:w="343" w:type="pct"/>
            <w:tcBorders>
              <w:top w:val="nil"/>
              <w:left w:val="nil"/>
              <w:bottom w:val="nil"/>
              <w:right w:val="nil"/>
            </w:tcBorders>
          </w:tcPr>
          <w:p w14:paraId="67312596" w14:textId="2C14EF8C" w:rsidR="00F7700B" w:rsidRPr="00537128" w:rsidRDefault="00F7700B" w:rsidP="00F7700B">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4" w:type="pct"/>
            <w:tcBorders>
              <w:top w:val="nil"/>
              <w:left w:val="nil"/>
              <w:bottom w:val="nil"/>
              <w:right w:val="nil"/>
            </w:tcBorders>
          </w:tcPr>
          <w:p w14:paraId="637BCA59" w14:textId="3A36A3BA" w:rsidR="00F7700B" w:rsidRPr="00537128" w:rsidRDefault="00F7700B" w:rsidP="00F7700B">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3" w:type="pct"/>
            <w:tcBorders>
              <w:top w:val="nil"/>
              <w:left w:val="nil"/>
              <w:bottom w:val="nil"/>
              <w:right w:val="nil"/>
            </w:tcBorders>
          </w:tcPr>
          <w:p w14:paraId="1F0EB6E3" w14:textId="43F731D4" w:rsidR="00F7700B" w:rsidRPr="00537128" w:rsidRDefault="00F7700B" w:rsidP="00F7700B">
            <w:pPr>
              <w:spacing w:after="0" w:line="240" w:lineRule="auto"/>
              <w:jc w:val="right"/>
              <w:rPr>
                <w:rFonts w:ascii="Calibri" w:eastAsia="Calibri" w:hAnsi="Calibri" w:cs="Arial"/>
                <w:sz w:val="15"/>
                <w:szCs w:val="15"/>
                <w:lang w:val="en-US"/>
              </w:rPr>
            </w:pPr>
            <w:r w:rsidRPr="007A49AD">
              <w:rPr>
                <w:sz w:val="15"/>
                <w:szCs w:val="15"/>
              </w:rPr>
              <w:t xml:space="preserve"> 107</w:t>
            </w:r>
            <w:r>
              <w:rPr>
                <w:sz w:val="15"/>
                <w:szCs w:val="15"/>
              </w:rPr>
              <w:t>,</w:t>
            </w:r>
            <w:r w:rsidRPr="007A49AD">
              <w:rPr>
                <w:sz w:val="15"/>
                <w:szCs w:val="15"/>
              </w:rPr>
              <w:t xml:space="preserve">979 </w:t>
            </w:r>
          </w:p>
        </w:tc>
      </w:tr>
      <w:tr w:rsidR="002E11F3" w:rsidRPr="00537128" w14:paraId="196E0690" w14:textId="77777777" w:rsidTr="00F7700B">
        <w:trPr>
          <w:trHeight w:val="200"/>
          <w:jc w:val="center"/>
        </w:trPr>
        <w:tc>
          <w:tcPr>
            <w:tcW w:w="877" w:type="pct"/>
            <w:vAlign w:val="bottom"/>
          </w:tcPr>
          <w:p w14:paraId="77CA7BD8" w14:textId="77777777" w:rsidR="002E11F3" w:rsidRPr="00537128" w:rsidRDefault="002E11F3" w:rsidP="002E11F3">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 xml:space="preserve">Undrawn loans </w:t>
            </w:r>
          </w:p>
        </w:tc>
        <w:tc>
          <w:tcPr>
            <w:tcW w:w="343" w:type="pct"/>
            <w:tcBorders>
              <w:top w:val="nil"/>
              <w:left w:val="nil"/>
              <w:bottom w:val="single" w:sz="4" w:space="0" w:color="auto"/>
              <w:right w:val="nil"/>
            </w:tcBorders>
            <w:shd w:val="clear" w:color="auto" w:fill="auto"/>
            <w:vAlign w:val="bottom"/>
          </w:tcPr>
          <w:p w14:paraId="2DFDF9D1" w14:textId="17817918" w:rsidR="002E11F3" w:rsidRPr="00537128" w:rsidRDefault="002E11F3" w:rsidP="002E11F3">
            <w:pPr>
              <w:spacing w:after="0" w:line="240" w:lineRule="auto"/>
              <w:jc w:val="right"/>
              <w:rPr>
                <w:rFonts w:ascii="Calibri" w:eastAsia="Calibri" w:hAnsi="Calibri" w:cs="Arial"/>
                <w:sz w:val="15"/>
                <w:szCs w:val="15"/>
                <w:lang w:val="en-US"/>
              </w:rPr>
            </w:pPr>
            <w:r w:rsidRPr="007A49AD">
              <w:rPr>
                <w:sz w:val="15"/>
                <w:szCs w:val="15"/>
              </w:rPr>
              <w:t xml:space="preserve"> 2</w:t>
            </w:r>
            <w:r>
              <w:rPr>
                <w:sz w:val="15"/>
                <w:szCs w:val="15"/>
              </w:rPr>
              <w:t>,</w:t>
            </w:r>
            <w:r w:rsidRPr="007A49AD">
              <w:rPr>
                <w:sz w:val="15"/>
                <w:szCs w:val="15"/>
              </w:rPr>
              <w:t>949</w:t>
            </w:r>
            <w:r>
              <w:rPr>
                <w:sz w:val="15"/>
                <w:szCs w:val="15"/>
              </w:rPr>
              <w:t>,</w:t>
            </w:r>
            <w:r w:rsidRPr="007A49AD">
              <w:rPr>
                <w:sz w:val="15"/>
                <w:szCs w:val="15"/>
              </w:rPr>
              <w:t xml:space="preserve">500 </w:t>
            </w:r>
          </w:p>
        </w:tc>
        <w:tc>
          <w:tcPr>
            <w:tcW w:w="344" w:type="pct"/>
            <w:tcBorders>
              <w:top w:val="nil"/>
              <w:left w:val="nil"/>
              <w:bottom w:val="single" w:sz="4" w:space="0" w:color="auto"/>
              <w:right w:val="nil"/>
            </w:tcBorders>
            <w:shd w:val="clear" w:color="auto" w:fill="auto"/>
            <w:vAlign w:val="bottom"/>
          </w:tcPr>
          <w:p w14:paraId="03659395" w14:textId="2EB7602E" w:rsidR="002E11F3" w:rsidRPr="00537128" w:rsidRDefault="002E11F3" w:rsidP="002E11F3">
            <w:pPr>
              <w:spacing w:after="0" w:line="240" w:lineRule="auto"/>
              <w:jc w:val="right"/>
              <w:rPr>
                <w:rFonts w:ascii="Calibri" w:eastAsia="Calibri" w:hAnsi="Calibri" w:cs="Arial"/>
                <w:sz w:val="15"/>
                <w:szCs w:val="15"/>
                <w:lang w:val="en-US"/>
              </w:rPr>
            </w:pPr>
            <w:r w:rsidRPr="007A49AD">
              <w:rPr>
                <w:sz w:val="15"/>
                <w:szCs w:val="15"/>
              </w:rPr>
              <w:t xml:space="preserve"> 177</w:t>
            </w:r>
            <w:r>
              <w:rPr>
                <w:sz w:val="15"/>
                <w:szCs w:val="15"/>
              </w:rPr>
              <w:t>,</w:t>
            </w:r>
            <w:r w:rsidRPr="007A49AD">
              <w:rPr>
                <w:sz w:val="15"/>
                <w:szCs w:val="15"/>
              </w:rPr>
              <w:t xml:space="preserve">905 </w:t>
            </w:r>
          </w:p>
        </w:tc>
        <w:tc>
          <w:tcPr>
            <w:tcW w:w="344" w:type="pct"/>
            <w:tcBorders>
              <w:top w:val="nil"/>
              <w:left w:val="nil"/>
              <w:bottom w:val="single" w:sz="4" w:space="0" w:color="auto"/>
              <w:right w:val="nil"/>
            </w:tcBorders>
            <w:shd w:val="clear" w:color="auto" w:fill="auto"/>
            <w:vAlign w:val="bottom"/>
          </w:tcPr>
          <w:p w14:paraId="6ADB67A2" w14:textId="5CFFA647" w:rsidR="002E11F3" w:rsidRPr="00537128" w:rsidRDefault="002E11F3" w:rsidP="002E11F3">
            <w:pPr>
              <w:spacing w:after="0" w:line="240" w:lineRule="auto"/>
              <w:jc w:val="right"/>
              <w:rPr>
                <w:rFonts w:ascii="Calibri" w:eastAsia="Calibri" w:hAnsi="Calibri" w:cs="Arial"/>
                <w:sz w:val="15"/>
                <w:szCs w:val="15"/>
                <w:lang w:val="en-US"/>
              </w:rPr>
            </w:pPr>
            <w:r w:rsidRPr="009E41E7">
              <w:t xml:space="preserve"> - </w:t>
            </w:r>
          </w:p>
        </w:tc>
        <w:tc>
          <w:tcPr>
            <w:tcW w:w="343" w:type="pct"/>
            <w:tcBorders>
              <w:top w:val="nil"/>
              <w:left w:val="nil"/>
              <w:bottom w:val="single" w:sz="4" w:space="0" w:color="auto"/>
              <w:right w:val="nil"/>
            </w:tcBorders>
            <w:shd w:val="clear" w:color="auto" w:fill="auto"/>
            <w:vAlign w:val="bottom"/>
          </w:tcPr>
          <w:p w14:paraId="7E23AE01" w14:textId="0D70CF03" w:rsidR="002E11F3" w:rsidRPr="00537128" w:rsidRDefault="002E11F3" w:rsidP="002E11F3">
            <w:pPr>
              <w:spacing w:after="0" w:line="240" w:lineRule="auto"/>
              <w:jc w:val="right"/>
              <w:rPr>
                <w:rFonts w:ascii="Calibri" w:eastAsia="Calibri" w:hAnsi="Calibri" w:cs="Arial"/>
                <w:sz w:val="15"/>
                <w:szCs w:val="15"/>
                <w:lang w:val="en-US"/>
              </w:rPr>
            </w:pPr>
            <w:r w:rsidRPr="007A49AD">
              <w:rPr>
                <w:sz w:val="15"/>
                <w:szCs w:val="15"/>
              </w:rPr>
              <w:t xml:space="preserve"> 56</w:t>
            </w:r>
            <w:r>
              <w:rPr>
                <w:sz w:val="15"/>
                <w:szCs w:val="15"/>
              </w:rPr>
              <w:t>,</w:t>
            </w:r>
            <w:r w:rsidRPr="007A49AD">
              <w:rPr>
                <w:sz w:val="15"/>
                <w:szCs w:val="15"/>
              </w:rPr>
              <w:t xml:space="preserve">981 </w:t>
            </w:r>
          </w:p>
        </w:tc>
        <w:tc>
          <w:tcPr>
            <w:tcW w:w="344" w:type="pct"/>
            <w:tcBorders>
              <w:top w:val="nil"/>
              <w:left w:val="nil"/>
              <w:bottom w:val="single" w:sz="4" w:space="0" w:color="auto"/>
              <w:right w:val="nil"/>
            </w:tcBorders>
            <w:shd w:val="clear" w:color="auto" w:fill="auto"/>
            <w:vAlign w:val="bottom"/>
          </w:tcPr>
          <w:p w14:paraId="39D75BD1" w14:textId="0C1E108B" w:rsidR="002E11F3" w:rsidRPr="00537128" w:rsidRDefault="002E11F3" w:rsidP="002E11F3">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4" w:type="pct"/>
            <w:tcBorders>
              <w:top w:val="nil"/>
              <w:left w:val="nil"/>
              <w:bottom w:val="single" w:sz="4" w:space="0" w:color="auto"/>
              <w:right w:val="nil"/>
            </w:tcBorders>
            <w:shd w:val="clear" w:color="auto" w:fill="auto"/>
            <w:vAlign w:val="bottom"/>
          </w:tcPr>
          <w:p w14:paraId="15EA39B8" w14:textId="5102988A" w:rsidR="002E11F3" w:rsidRPr="00537128" w:rsidRDefault="002E11F3" w:rsidP="002E11F3">
            <w:pPr>
              <w:spacing w:after="0" w:line="240" w:lineRule="auto"/>
              <w:jc w:val="right"/>
              <w:rPr>
                <w:rFonts w:ascii="Calibri" w:eastAsia="Calibri" w:hAnsi="Calibri" w:cs="Arial"/>
                <w:sz w:val="15"/>
                <w:szCs w:val="15"/>
                <w:lang w:val="en-US"/>
              </w:rPr>
            </w:pPr>
            <w:r w:rsidRPr="007A49AD">
              <w:rPr>
                <w:sz w:val="15"/>
                <w:szCs w:val="15"/>
              </w:rPr>
              <w:t xml:space="preserve"> 3</w:t>
            </w:r>
            <w:r>
              <w:rPr>
                <w:sz w:val="15"/>
                <w:szCs w:val="15"/>
              </w:rPr>
              <w:t>,</w:t>
            </w:r>
            <w:r w:rsidRPr="007A49AD">
              <w:rPr>
                <w:sz w:val="15"/>
                <w:szCs w:val="15"/>
              </w:rPr>
              <w:t>184</w:t>
            </w:r>
            <w:r>
              <w:rPr>
                <w:sz w:val="15"/>
                <w:szCs w:val="15"/>
              </w:rPr>
              <w:t>,</w:t>
            </w:r>
            <w:r w:rsidRPr="007A49AD">
              <w:rPr>
                <w:sz w:val="15"/>
                <w:szCs w:val="15"/>
              </w:rPr>
              <w:t xml:space="preserve">386 </w:t>
            </w:r>
          </w:p>
        </w:tc>
        <w:tc>
          <w:tcPr>
            <w:tcW w:w="343" w:type="pct"/>
            <w:tcBorders>
              <w:top w:val="nil"/>
              <w:left w:val="nil"/>
              <w:bottom w:val="single" w:sz="4" w:space="0" w:color="auto"/>
              <w:right w:val="nil"/>
            </w:tcBorders>
            <w:vAlign w:val="bottom"/>
          </w:tcPr>
          <w:p w14:paraId="55B504AF" w14:textId="5CB7301F" w:rsidR="002E11F3" w:rsidRPr="00537128" w:rsidRDefault="002E11F3" w:rsidP="002E11F3">
            <w:pPr>
              <w:spacing w:after="0" w:line="240" w:lineRule="auto"/>
              <w:jc w:val="right"/>
              <w:rPr>
                <w:rFonts w:ascii="Calibri" w:eastAsia="Calibri" w:hAnsi="Calibri" w:cs="Arial"/>
                <w:sz w:val="15"/>
                <w:szCs w:val="15"/>
                <w:lang w:val="en-US"/>
              </w:rPr>
            </w:pPr>
            <w:r w:rsidRPr="007A49AD">
              <w:rPr>
                <w:sz w:val="15"/>
                <w:szCs w:val="15"/>
              </w:rPr>
              <w:t xml:space="preserve"> 242</w:t>
            </w:r>
            <w:r>
              <w:rPr>
                <w:sz w:val="15"/>
                <w:szCs w:val="15"/>
              </w:rPr>
              <w:t>,</w:t>
            </w:r>
            <w:r w:rsidRPr="007A49AD">
              <w:rPr>
                <w:sz w:val="15"/>
                <w:szCs w:val="15"/>
              </w:rPr>
              <w:t xml:space="preserve">306 </w:t>
            </w:r>
          </w:p>
        </w:tc>
        <w:tc>
          <w:tcPr>
            <w:tcW w:w="344" w:type="pct"/>
            <w:tcBorders>
              <w:top w:val="nil"/>
              <w:left w:val="nil"/>
              <w:bottom w:val="single" w:sz="4" w:space="0" w:color="auto"/>
              <w:right w:val="nil"/>
            </w:tcBorders>
            <w:vAlign w:val="bottom"/>
          </w:tcPr>
          <w:p w14:paraId="1C819A4C" w14:textId="643CC219" w:rsidR="002E11F3" w:rsidRPr="00537128" w:rsidRDefault="002E11F3" w:rsidP="002E11F3">
            <w:pPr>
              <w:spacing w:after="0" w:line="240" w:lineRule="auto"/>
              <w:jc w:val="right"/>
              <w:rPr>
                <w:rFonts w:ascii="Calibri" w:eastAsia="Calibri" w:hAnsi="Calibri" w:cs="Arial"/>
                <w:sz w:val="15"/>
                <w:szCs w:val="15"/>
                <w:lang w:val="en-US"/>
              </w:rPr>
            </w:pPr>
            <w:r w:rsidRPr="007A49AD">
              <w:rPr>
                <w:sz w:val="15"/>
                <w:szCs w:val="15"/>
              </w:rPr>
              <w:t xml:space="preserve"> 75</w:t>
            </w:r>
            <w:r>
              <w:rPr>
                <w:sz w:val="15"/>
                <w:szCs w:val="15"/>
              </w:rPr>
              <w:t>,</w:t>
            </w:r>
            <w:r w:rsidRPr="007A49AD">
              <w:rPr>
                <w:sz w:val="15"/>
                <w:szCs w:val="15"/>
              </w:rPr>
              <w:t xml:space="preserve">078 </w:t>
            </w:r>
          </w:p>
        </w:tc>
        <w:tc>
          <w:tcPr>
            <w:tcW w:w="344" w:type="pct"/>
            <w:tcBorders>
              <w:top w:val="nil"/>
              <w:left w:val="nil"/>
              <w:bottom w:val="single" w:sz="4" w:space="0" w:color="auto"/>
              <w:right w:val="nil"/>
            </w:tcBorders>
            <w:vAlign w:val="bottom"/>
          </w:tcPr>
          <w:p w14:paraId="33091E97" w14:textId="07E94EAD" w:rsidR="002E11F3" w:rsidRPr="00537128" w:rsidRDefault="002E11F3" w:rsidP="002E11F3">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3" w:type="pct"/>
            <w:tcBorders>
              <w:top w:val="nil"/>
              <w:left w:val="nil"/>
              <w:bottom w:val="single" w:sz="4" w:space="0" w:color="auto"/>
              <w:right w:val="nil"/>
            </w:tcBorders>
            <w:vAlign w:val="bottom"/>
          </w:tcPr>
          <w:p w14:paraId="7FE75D8B" w14:textId="1C7BE757" w:rsidR="002E11F3" w:rsidRPr="00537128" w:rsidRDefault="002E11F3" w:rsidP="002E11F3">
            <w:pPr>
              <w:spacing w:after="0" w:line="240" w:lineRule="auto"/>
              <w:jc w:val="right"/>
              <w:rPr>
                <w:rFonts w:ascii="Calibri" w:eastAsia="Calibri" w:hAnsi="Calibri" w:cs="Arial"/>
                <w:sz w:val="15"/>
                <w:szCs w:val="15"/>
                <w:lang w:val="en-US"/>
              </w:rPr>
            </w:pPr>
            <w:r w:rsidRPr="007A49AD">
              <w:rPr>
                <w:sz w:val="15"/>
                <w:szCs w:val="15"/>
              </w:rPr>
              <w:t xml:space="preserve"> 790 </w:t>
            </w:r>
          </w:p>
        </w:tc>
        <w:tc>
          <w:tcPr>
            <w:tcW w:w="344" w:type="pct"/>
            <w:tcBorders>
              <w:top w:val="nil"/>
              <w:left w:val="nil"/>
              <w:bottom w:val="single" w:sz="4" w:space="0" w:color="auto"/>
              <w:right w:val="nil"/>
            </w:tcBorders>
            <w:vAlign w:val="bottom"/>
          </w:tcPr>
          <w:p w14:paraId="69FCA3C4" w14:textId="5866B9B0" w:rsidR="002E11F3" w:rsidRPr="00537128" w:rsidRDefault="002E11F3" w:rsidP="002E11F3">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3" w:type="pct"/>
            <w:tcBorders>
              <w:top w:val="nil"/>
              <w:left w:val="nil"/>
              <w:bottom w:val="single" w:sz="4" w:space="0" w:color="auto"/>
              <w:right w:val="nil"/>
            </w:tcBorders>
            <w:vAlign w:val="bottom"/>
          </w:tcPr>
          <w:p w14:paraId="1C23833A" w14:textId="3598A3AE" w:rsidR="002E11F3" w:rsidRPr="00537128" w:rsidRDefault="002E11F3" w:rsidP="002E11F3">
            <w:pPr>
              <w:spacing w:after="0" w:line="240" w:lineRule="auto"/>
              <w:jc w:val="right"/>
              <w:rPr>
                <w:rFonts w:ascii="Calibri" w:eastAsia="Calibri" w:hAnsi="Calibri" w:cs="Arial"/>
                <w:sz w:val="15"/>
                <w:szCs w:val="15"/>
                <w:lang w:val="en-US"/>
              </w:rPr>
            </w:pPr>
            <w:r w:rsidRPr="007A49AD">
              <w:rPr>
                <w:sz w:val="15"/>
                <w:szCs w:val="15"/>
              </w:rPr>
              <w:t xml:space="preserve"> 318</w:t>
            </w:r>
            <w:r>
              <w:rPr>
                <w:sz w:val="15"/>
                <w:szCs w:val="15"/>
              </w:rPr>
              <w:t>,</w:t>
            </w:r>
            <w:r w:rsidRPr="007A49AD">
              <w:rPr>
                <w:sz w:val="15"/>
                <w:szCs w:val="15"/>
              </w:rPr>
              <w:t xml:space="preserve">174 </w:t>
            </w:r>
          </w:p>
        </w:tc>
      </w:tr>
      <w:tr w:rsidR="002E11F3" w:rsidRPr="00537128" w14:paraId="7689B8AE" w14:textId="77777777" w:rsidTr="00A1123E">
        <w:trPr>
          <w:trHeight w:val="7"/>
          <w:jc w:val="center"/>
        </w:trPr>
        <w:tc>
          <w:tcPr>
            <w:tcW w:w="877" w:type="pct"/>
            <w:vAlign w:val="bottom"/>
          </w:tcPr>
          <w:p w14:paraId="2CFE8886" w14:textId="77777777" w:rsidR="002E11F3" w:rsidRPr="00537128" w:rsidRDefault="002E11F3" w:rsidP="002E11F3">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 xml:space="preserve">Total </w:t>
            </w:r>
          </w:p>
        </w:tc>
        <w:tc>
          <w:tcPr>
            <w:tcW w:w="343" w:type="pct"/>
            <w:tcBorders>
              <w:top w:val="single" w:sz="4" w:space="0" w:color="auto"/>
              <w:left w:val="nil"/>
              <w:bottom w:val="single" w:sz="12" w:space="0" w:color="auto"/>
              <w:right w:val="nil"/>
            </w:tcBorders>
            <w:shd w:val="clear" w:color="auto" w:fill="auto"/>
            <w:vAlign w:val="bottom"/>
          </w:tcPr>
          <w:p w14:paraId="3BC837B9" w14:textId="6D19B1C5" w:rsidR="002E11F3" w:rsidRPr="00537128" w:rsidRDefault="002E11F3" w:rsidP="002E11F3">
            <w:pPr>
              <w:spacing w:after="0" w:line="301" w:lineRule="exact"/>
              <w:jc w:val="right"/>
              <w:rPr>
                <w:rFonts w:ascii="Calibri" w:eastAsia="Calibri" w:hAnsi="Calibri" w:cs="Arial"/>
                <w:b/>
                <w:bCs/>
                <w:sz w:val="15"/>
                <w:szCs w:val="15"/>
                <w:lang w:val="en-US"/>
              </w:rPr>
            </w:pPr>
            <w:r w:rsidRPr="007A49AD">
              <w:rPr>
                <w:b/>
                <w:bCs/>
                <w:sz w:val="15"/>
                <w:szCs w:val="15"/>
              </w:rPr>
              <w:t xml:space="preserve"> 3</w:t>
            </w:r>
            <w:r>
              <w:rPr>
                <w:b/>
                <w:bCs/>
                <w:sz w:val="15"/>
                <w:szCs w:val="15"/>
              </w:rPr>
              <w:t>,</w:t>
            </w:r>
            <w:r w:rsidRPr="007A49AD">
              <w:rPr>
                <w:b/>
                <w:bCs/>
                <w:sz w:val="15"/>
                <w:szCs w:val="15"/>
              </w:rPr>
              <w:t>088</w:t>
            </w:r>
            <w:r>
              <w:rPr>
                <w:b/>
                <w:bCs/>
                <w:sz w:val="15"/>
                <w:szCs w:val="15"/>
              </w:rPr>
              <w:t>,</w:t>
            </w:r>
            <w:r w:rsidRPr="007A49AD">
              <w:rPr>
                <w:b/>
                <w:bCs/>
                <w:sz w:val="15"/>
                <w:szCs w:val="15"/>
              </w:rPr>
              <w:t xml:space="preserve">004 </w:t>
            </w:r>
          </w:p>
        </w:tc>
        <w:tc>
          <w:tcPr>
            <w:tcW w:w="344" w:type="pct"/>
            <w:tcBorders>
              <w:top w:val="single" w:sz="4" w:space="0" w:color="auto"/>
              <w:left w:val="nil"/>
              <w:bottom w:val="single" w:sz="12" w:space="0" w:color="auto"/>
              <w:right w:val="nil"/>
            </w:tcBorders>
            <w:shd w:val="clear" w:color="auto" w:fill="auto"/>
            <w:vAlign w:val="bottom"/>
          </w:tcPr>
          <w:p w14:paraId="0B0E9325" w14:textId="75AD09EB" w:rsidR="002E11F3" w:rsidRPr="00537128" w:rsidRDefault="002E11F3" w:rsidP="002E11F3">
            <w:pPr>
              <w:spacing w:after="0" w:line="301" w:lineRule="exact"/>
              <w:jc w:val="right"/>
              <w:rPr>
                <w:rFonts w:ascii="Calibri" w:eastAsia="Calibri" w:hAnsi="Calibri" w:cs="Arial"/>
                <w:b/>
                <w:bCs/>
                <w:sz w:val="15"/>
                <w:szCs w:val="15"/>
                <w:lang w:val="en-US"/>
              </w:rPr>
            </w:pPr>
            <w:r w:rsidRPr="007A49AD">
              <w:rPr>
                <w:b/>
                <w:bCs/>
                <w:sz w:val="15"/>
                <w:szCs w:val="15"/>
              </w:rPr>
              <w:t xml:space="preserve"> 200</w:t>
            </w:r>
            <w:r>
              <w:rPr>
                <w:b/>
                <w:bCs/>
                <w:sz w:val="15"/>
                <w:szCs w:val="15"/>
              </w:rPr>
              <w:t>,</w:t>
            </w:r>
            <w:r w:rsidRPr="007A49AD">
              <w:rPr>
                <w:b/>
                <w:bCs/>
                <w:sz w:val="15"/>
                <w:szCs w:val="15"/>
              </w:rPr>
              <w:t xml:space="preserve">998 </w:t>
            </w:r>
          </w:p>
        </w:tc>
        <w:tc>
          <w:tcPr>
            <w:tcW w:w="344" w:type="pct"/>
            <w:tcBorders>
              <w:top w:val="single" w:sz="4" w:space="0" w:color="auto"/>
              <w:left w:val="nil"/>
              <w:bottom w:val="single" w:sz="12" w:space="0" w:color="auto"/>
              <w:right w:val="nil"/>
            </w:tcBorders>
            <w:shd w:val="clear" w:color="auto" w:fill="auto"/>
            <w:vAlign w:val="bottom"/>
          </w:tcPr>
          <w:p w14:paraId="492FAB3D" w14:textId="7EBF4BAB" w:rsidR="002E11F3" w:rsidRPr="00537128" w:rsidRDefault="002E11F3" w:rsidP="002E11F3">
            <w:pPr>
              <w:spacing w:after="0" w:line="301" w:lineRule="exact"/>
              <w:jc w:val="right"/>
              <w:rPr>
                <w:rFonts w:ascii="Calibri" w:eastAsia="Calibri" w:hAnsi="Calibri" w:cs="Arial"/>
                <w:b/>
                <w:bCs/>
                <w:sz w:val="15"/>
                <w:szCs w:val="15"/>
                <w:lang w:val="en-US"/>
              </w:rPr>
            </w:pPr>
            <w:r w:rsidRPr="007A49AD">
              <w:rPr>
                <w:b/>
                <w:bCs/>
                <w:sz w:val="15"/>
                <w:szCs w:val="15"/>
              </w:rPr>
              <w:t xml:space="preserve"> 179</w:t>
            </w:r>
            <w:r>
              <w:rPr>
                <w:b/>
                <w:bCs/>
                <w:sz w:val="15"/>
                <w:szCs w:val="15"/>
              </w:rPr>
              <w:t>,</w:t>
            </w:r>
            <w:r w:rsidRPr="007A49AD">
              <w:rPr>
                <w:b/>
                <w:bCs/>
                <w:sz w:val="15"/>
                <w:szCs w:val="15"/>
              </w:rPr>
              <w:t xml:space="preserve">554 </w:t>
            </w:r>
          </w:p>
        </w:tc>
        <w:tc>
          <w:tcPr>
            <w:tcW w:w="343" w:type="pct"/>
            <w:tcBorders>
              <w:top w:val="single" w:sz="4" w:space="0" w:color="auto"/>
              <w:left w:val="nil"/>
              <w:bottom w:val="single" w:sz="12" w:space="0" w:color="auto"/>
              <w:right w:val="nil"/>
            </w:tcBorders>
            <w:shd w:val="clear" w:color="auto" w:fill="auto"/>
            <w:vAlign w:val="bottom"/>
          </w:tcPr>
          <w:p w14:paraId="44C910DC" w14:textId="64618847" w:rsidR="002E11F3" w:rsidRPr="00537128" w:rsidRDefault="002E11F3" w:rsidP="002E11F3">
            <w:pPr>
              <w:spacing w:after="0" w:line="301" w:lineRule="exact"/>
              <w:jc w:val="right"/>
              <w:rPr>
                <w:rFonts w:ascii="Calibri" w:eastAsia="Calibri" w:hAnsi="Calibri" w:cs="Arial"/>
                <w:b/>
                <w:bCs/>
                <w:sz w:val="15"/>
                <w:szCs w:val="15"/>
                <w:lang w:val="en-US"/>
              </w:rPr>
            </w:pPr>
            <w:r w:rsidRPr="007A49AD">
              <w:rPr>
                <w:b/>
                <w:bCs/>
                <w:sz w:val="15"/>
                <w:szCs w:val="15"/>
              </w:rPr>
              <w:t xml:space="preserve"> 56</w:t>
            </w:r>
            <w:r>
              <w:rPr>
                <w:b/>
                <w:bCs/>
                <w:sz w:val="15"/>
                <w:szCs w:val="15"/>
              </w:rPr>
              <w:t>,</w:t>
            </w:r>
            <w:r w:rsidRPr="007A49AD">
              <w:rPr>
                <w:b/>
                <w:bCs/>
                <w:sz w:val="15"/>
                <w:szCs w:val="15"/>
              </w:rPr>
              <w:t xml:space="preserve">981 </w:t>
            </w:r>
          </w:p>
        </w:tc>
        <w:tc>
          <w:tcPr>
            <w:tcW w:w="344" w:type="pct"/>
            <w:tcBorders>
              <w:top w:val="single" w:sz="4" w:space="0" w:color="auto"/>
              <w:left w:val="nil"/>
              <w:bottom w:val="single" w:sz="12" w:space="0" w:color="auto"/>
              <w:right w:val="nil"/>
            </w:tcBorders>
            <w:shd w:val="clear" w:color="auto" w:fill="auto"/>
            <w:vAlign w:val="bottom"/>
          </w:tcPr>
          <w:p w14:paraId="7098AF9F" w14:textId="415FE698" w:rsidR="002E11F3" w:rsidRPr="00537128" w:rsidRDefault="002E11F3" w:rsidP="002E11F3">
            <w:pPr>
              <w:spacing w:after="0" w:line="301" w:lineRule="exact"/>
              <w:jc w:val="right"/>
              <w:rPr>
                <w:rFonts w:ascii="Calibri" w:eastAsia="Calibri" w:hAnsi="Calibri" w:cs="Arial"/>
                <w:b/>
                <w:bCs/>
                <w:sz w:val="15"/>
                <w:szCs w:val="15"/>
                <w:lang w:val="en-US"/>
              </w:rPr>
            </w:pPr>
            <w:r w:rsidRPr="007A49AD">
              <w:rPr>
                <w:b/>
                <w:bCs/>
                <w:sz w:val="15"/>
                <w:szCs w:val="15"/>
              </w:rPr>
              <w:t xml:space="preserve"> - </w:t>
            </w:r>
          </w:p>
        </w:tc>
        <w:tc>
          <w:tcPr>
            <w:tcW w:w="344" w:type="pct"/>
            <w:tcBorders>
              <w:top w:val="single" w:sz="4" w:space="0" w:color="auto"/>
              <w:left w:val="nil"/>
              <w:bottom w:val="single" w:sz="12" w:space="0" w:color="auto"/>
              <w:right w:val="nil"/>
            </w:tcBorders>
            <w:shd w:val="clear" w:color="auto" w:fill="auto"/>
            <w:vAlign w:val="bottom"/>
          </w:tcPr>
          <w:p w14:paraId="2C964F97" w14:textId="0617FE21" w:rsidR="002E11F3" w:rsidRPr="00537128" w:rsidRDefault="002E11F3" w:rsidP="002E11F3">
            <w:pPr>
              <w:spacing w:after="0" w:line="301" w:lineRule="exact"/>
              <w:jc w:val="right"/>
              <w:rPr>
                <w:rFonts w:ascii="Calibri" w:eastAsia="Calibri" w:hAnsi="Calibri" w:cs="Arial"/>
                <w:b/>
                <w:bCs/>
                <w:sz w:val="15"/>
                <w:szCs w:val="15"/>
                <w:lang w:val="en-US"/>
              </w:rPr>
            </w:pPr>
            <w:r w:rsidRPr="007A49AD">
              <w:rPr>
                <w:b/>
                <w:bCs/>
                <w:sz w:val="15"/>
                <w:szCs w:val="15"/>
              </w:rPr>
              <w:t xml:space="preserve"> 3</w:t>
            </w:r>
            <w:r>
              <w:rPr>
                <w:b/>
                <w:bCs/>
                <w:sz w:val="15"/>
                <w:szCs w:val="15"/>
              </w:rPr>
              <w:t>,</w:t>
            </w:r>
            <w:r w:rsidRPr="007A49AD">
              <w:rPr>
                <w:b/>
                <w:bCs/>
                <w:sz w:val="15"/>
                <w:szCs w:val="15"/>
              </w:rPr>
              <w:t>525</w:t>
            </w:r>
            <w:r>
              <w:rPr>
                <w:b/>
                <w:bCs/>
                <w:sz w:val="15"/>
                <w:szCs w:val="15"/>
              </w:rPr>
              <w:t>,</w:t>
            </w:r>
            <w:r w:rsidRPr="007A49AD">
              <w:rPr>
                <w:b/>
                <w:bCs/>
                <w:sz w:val="15"/>
                <w:szCs w:val="15"/>
              </w:rPr>
              <w:t xml:space="preserve">537 </w:t>
            </w:r>
          </w:p>
        </w:tc>
        <w:tc>
          <w:tcPr>
            <w:tcW w:w="343" w:type="pct"/>
            <w:tcBorders>
              <w:top w:val="single" w:sz="4" w:space="0" w:color="auto"/>
              <w:left w:val="nil"/>
              <w:bottom w:val="single" w:sz="12" w:space="0" w:color="auto"/>
              <w:right w:val="nil"/>
            </w:tcBorders>
            <w:vAlign w:val="bottom"/>
          </w:tcPr>
          <w:p w14:paraId="1D780BD4" w14:textId="0F1D3485" w:rsidR="002E11F3" w:rsidRPr="00537128" w:rsidRDefault="002E11F3" w:rsidP="002E11F3">
            <w:pPr>
              <w:spacing w:after="0" w:line="301" w:lineRule="exact"/>
              <w:jc w:val="right"/>
              <w:rPr>
                <w:rFonts w:ascii="Calibri" w:eastAsia="Calibri" w:hAnsi="Calibri" w:cs="Arial"/>
                <w:b/>
                <w:bCs/>
                <w:sz w:val="15"/>
                <w:szCs w:val="15"/>
                <w:lang w:val="en-US"/>
              </w:rPr>
            </w:pPr>
            <w:r w:rsidRPr="007A49AD">
              <w:rPr>
                <w:b/>
                <w:bCs/>
                <w:sz w:val="15"/>
                <w:szCs w:val="15"/>
              </w:rPr>
              <w:t xml:space="preserve"> 326</w:t>
            </w:r>
            <w:r>
              <w:rPr>
                <w:b/>
                <w:bCs/>
                <w:sz w:val="15"/>
                <w:szCs w:val="15"/>
              </w:rPr>
              <w:t>,</w:t>
            </w:r>
            <w:r w:rsidRPr="007A49AD">
              <w:rPr>
                <w:b/>
                <w:bCs/>
                <w:sz w:val="15"/>
                <w:szCs w:val="15"/>
              </w:rPr>
              <w:t xml:space="preserve">764 </w:t>
            </w:r>
          </w:p>
        </w:tc>
        <w:tc>
          <w:tcPr>
            <w:tcW w:w="344" w:type="pct"/>
            <w:tcBorders>
              <w:top w:val="single" w:sz="4" w:space="0" w:color="auto"/>
              <w:left w:val="nil"/>
              <w:bottom w:val="single" w:sz="12" w:space="0" w:color="auto"/>
              <w:right w:val="nil"/>
            </w:tcBorders>
            <w:vAlign w:val="bottom"/>
          </w:tcPr>
          <w:p w14:paraId="216A91CB" w14:textId="07F86604" w:rsidR="002E11F3" w:rsidRPr="00537128" w:rsidRDefault="002E11F3" w:rsidP="002E11F3">
            <w:pPr>
              <w:spacing w:after="0" w:line="301" w:lineRule="exact"/>
              <w:jc w:val="right"/>
              <w:rPr>
                <w:rFonts w:ascii="Calibri" w:eastAsia="Calibri" w:hAnsi="Calibri" w:cs="Arial"/>
                <w:b/>
                <w:bCs/>
                <w:sz w:val="15"/>
                <w:szCs w:val="15"/>
                <w:lang w:val="en-US"/>
              </w:rPr>
            </w:pPr>
            <w:r w:rsidRPr="007A49AD">
              <w:rPr>
                <w:b/>
                <w:bCs/>
                <w:sz w:val="15"/>
                <w:szCs w:val="15"/>
              </w:rPr>
              <w:t xml:space="preserve"> 97</w:t>
            </w:r>
            <w:r>
              <w:rPr>
                <w:b/>
                <w:bCs/>
                <w:sz w:val="15"/>
                <w:szCs w:val="15"/>
              </w:rPr>
              <w:t>,</w:t>
            </w:r>
            <w:r w:rsidRPr="007A49AD">
              <w:rPr>
                <w:b/>
                <w:bCs/>
                <w:sz w:val="15"/>
                <w:szCs w:val="15"/>
              </w:rPr>
              <w:t xml:space="preserve">791 </w:t>
            </w:r>
          </w:p>
        </w:tc>
        <w:tc>
          <w:tcPr>
            <w:tcW w:w="344" w:type="pct"/>
            <w:tcBorders>
              <w:top w:val="single" w:sz="4" w:space="0" w:color="auto"/>
              <w:left w:val="nil"/>
              <w:bottom w:val="single" w:sz="12" w:space="0" w:color="auto"/>
              <w:right w:val="nil"/>
            </w:tcBorders>
            <w:vAlign w:val="bottom"/>
          </w:tcPr>
          <w:p w14:paraId="1067E10E" w14:textId="27AEAD9E" w:rsidR="002E11F3" w:rsidRPr="00537128" w:rsidRDefault="002E11F3" w:rsidP="002E11F3">
            <w:pPr>
              <w:spacing w:after="0" w:line="301" w:lineRule="exact"/>
              <w:jc w:val="right"/>
              <w:rPr>
                <w:rFonts w:ascii="Calibri" w:eastAsia="Calibri" w:hAnsi="Calibri" w:cs="Arial"/>
                <w:b/>
                <w:bCs/>
                <w:sz w:val="15"/>
                <w:szCs w:val="15"/>
                <w:lang w:val="en-US"/>
              </w:rPr>
            </w:pPr>
            <w:r w:rsidRPr="007A49AD">
              <w:rPr>
                <w:b/>
                <w:bCs/>
                <w:sz w:val="15"/>
                <w:szCs w:val="15"/>
              </w:rPr>
              <w:t xml:space="preserve"> 80</w:t>
            </w:r>
            <w:r>
              <w:rPr>
                <w:b/>
                <w:bCs/>
                <w:sz w:val="15"/>
                <w:szCs w:val="15"/>
              </w:rPr>
              <w:t>,</w:t>
            </w:r>
            <w:r w:rsidRPr="007A49AD">
              <w:rPr>
                <w:b/>
                <w:bCs/>
                <w:sz w:val="15"/>
                <w:szCs w:val="15"/>
              </w:rPr>
              <w:t xml:space="preserve">616 </w:t>
            </w:r>
          </w:p>
        </w:tc>
        <w:tc>
          <w:tcPr>
            <w:tcW w:w="343" w:type="pct"/>
            <w:tcBorders>
              <w:top w:val="single" w:sz="4" w:space="0" w:color="auto"/>
              <w:left w:val="nil"/>
              <w:bottom w:val="single" w:sz="12" w:space="0" w:color="auto"/>
              <w:right w:val="nil"/>
            </w:tcBorders>
            <w:vAlign w:val="bottom"/>
          </w:tcPr>
          <w:p w14:paraId="7C31946C" w14:textId="764AA2D0" w:rsidR="002E11F3" w:rsidRPr="00537128" w:rsidRDefault="002E11F3" w:rsidP="002E11F3">
            <w:pPr>
              <w:spacing w:after="0" w:line="301" w:lineRule="exact"/>
              <w:jc w:val="right"/>
              <w:rPr>
                <w:rFonts w:ascii="Calibri" w:eastAsia="Calibri" w:hAnsi="Calibri" w:cs="Arial"/>
                <w:b/>
                <w:bCs/>
                <w:sz w:val="15"/>
                <w:szCs w:val="15"/>
                <w:lang w:val="en-US"/>
              </w:rPr>
            </w:pPr>
            <w:r w:rsidRPr="007A49AD">
              <w:rPr>
                <w:b/>
                <w:bCs/>
                <w:sz w:val="15"/>
                <w:szCs w:val="15"/>
              </w:rPr>
              <w:t xml:space="preserve"> 790 </w:t>
            </w:r>
          </w:p>
        </w:tc>
        <w:tc>
          <w:tcPr>
            <w:tcW w:w="344" w:type="pct"/>
            <w:tcBorders>
              <w:top w:val="single" w:sz="4" w:space="0" w:color="auto"/>
              <w:left w:val="nil"/>
              <w:bottom w:val="single" w:sz="12" w:space="0" w:color="auto"/>
              <w:right w:val="nil"/>
            </w:tcBorders>
            <w:vAlign w:val="bottom"/>
          </w:tcPr>
          <w:p w14:paraId="1517F83C" w14:textId="2854F3C9" w:rsidR="002E11F3" w:rsidRPr="00537128" w:rsidRDefault="002E11F3" w:rsidP="002E11F3">
            <w:pPr>
              <w:spacing w:after="0" w:line="301" w:lineRule="exact"/>
              <w:jc w:val="right"/>
              <w:rPr>
                <w:rFonts w:ascii="Calibri" w:eastAsia="Calibri" w:hAnsi="Calibri" w:cs="Arial"/>
                <w:b/>
                <w:bCs/>
                <w:sz w:val="15"/>
                <w:szCs w:val="15"/>
                <w:lang w:val="en-US"/>
              </w:rPr>
            </w:pPr>
            <w:r w:rsidRPr="007A49AD">
              <w:rPr>
                <w:b/>
                <w:bCs/>
                <w:sz w:val="15"/>
                <w:szCs w:val="15"/>
              </w:rPr>
              <w:t xml:space="preserve"> - </w:t>
            </w:r>
          </w:p>
        </w:tc>
        <w:tc>
          <w:tcPr>
            <w:tcW w:w="343" w:type="pct"/>
            <w:tcBorders>
              <w:top w:val="single" w:sz="4" w:space="0" w:color="auto"/>
              <w:left w:val="nil"/>
              <w:bottom w:val="single" w:sz="12" w:space="0" w:color="auto"/>
              <w:right w:val="nil"/>
            </w:tcBorders>
            <w:vAlign w:val="bottom"/>
          </w:tcPr>
          <w:p w14:paraId="539AD928" w14:textId="11BA3310" w:rsidR="002E11F3" w:rsidRPr="00537128" w:rsidRDefault="002E11F3" w:rsidP="002E11F3">
            <w:pPr>
              <w:spacing w:after="0" w:line="301" w:lineRule="exact"/>
              <w:jc w:val="right"/>
              <w:rPr>
                <w:rFonts w:ascii="Calibri" w:eastAsia="Calibri" w:hAnsi="Calibri" w:cs="Arial"/>
                <w:b/>
                <w:bCs/>
                <w:sz w:val="15"/>
                <w:szCs w:val="15"/>
                <w:lang w:val="en-US"/>
              </w:rPr>
            </w:pPr>
            <w:r w:rsidRPr="007A49AD">
              <w:rPr>
                <w:b/>
                <w:bCs/>
                <w:sz w:val="15"/>
                <w:szCs w:val="15"/>
              </w:rPr>
              <w:t xml:space="preserve"> 505</w:t>
            </w:r>
            <w:r>
              <w:rPr>
                <w:b/>
                <w:bCs/>
                <w:sz w:val="15"/>
                <w:szCs w:val="15"/>
              </w:rPr>
              <w:t>,</w:t>
            </w:r>
            <w:r w:rsidRPr="007A49AD">
              <w:rPr>
                <w:b/>
                <w:bCs/>
                <w:sz w:val="15"/>
                <w:szCs w:val="15"/>
              </w:rPr>
              <w:t xml:space="preserve">961 </w:t>
            </w:r>
          </w:p>
        </w:tc>
      </w:tr>
      <w:tr w:rsidR="002E11F3" w:rsidRPr="00537128" w14:paraId="340336BE" w14:textId="77777777" w:rsidTr="004A287E">
        <w:trPr>
          <w:trHeight w:val="50"/>
          <w:jc w:val="center"/>
        </w:trPr>
        <w:tc>
          <w:tcPr>
            <w:tcW w:w="877" w:type="pct"/>
            <w:vAlign w:val="bottom"/>
          </w:tcPr>
          <w:p w14:paraId="1C7EF3A8" w14:textId="77777777" w:rsidR="002E11F3" w:rsidRPr="00537128" w:rsidRDefault="002E11F3" w:rsidP="002E11F3">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Total credit risk exposure</w:t>
            </w:r>
          </w:p>
        </w:tc>
        <w:tc>
          <w:tcPr>
            <w:tcW w:w="343" w:type="pct"/>
            <w:tcBorders>
              <w:top w:val="nil"/>
              <w:left w:val="nil"/>
              <w:bottom w:val="single" w:sz="12" w:space="0" w:color="auto"/>
              <w:right w:val="nil"/>
            </w:tcBorders>
            <w:shd w:val="clear" w:color="auto" w:fill="auto"/>
            <w:vAlign w:val="bottom"/>
          </w:tcPr>
          <w:p w14:paraId="4D564507" w14:textId="7D4BC89E" w:rsidR="002E11F3" w:rsidRPr="00537128" w:rsidRDefault="002E11F3" w:rsidP="002E11F3">
            <w:pPr>
              <w:tabs>
                <w:tab w:val="right" w:pos="1202"/>
              </w:tabs>
              <w:spacing w:after="0" w:line="301" w:lineRule="exact"/>
              <w:jc w:val="right"/>
              <w:outlineLvl w:val="0"/>
              <w:rPr>
                <w:rFonts w:ascii="Calibri" w:eastAsia="Calibri" w:hAnsi="Calibri" w:cs="Arial"/>
                <w:b/>
                <w:bCs/>
                <w:sz w:val="15"/>
                <w:szCs w:val="15"/>
                <w:lang w:val="en-US"/>
              </w:rPr>
            </w:pPr>
            <w:r w:rsidRPr="007A49AD">
              <w:rPr>
                <w:b/>
                <w:bCs/>
                <w:sz w:val="15"/>
                <w:szCs w:val="15"/>
              </w:rPr>
              <w:t xml:space="preserve"> 27</w:t>
            </w:r>
            <w:r>
              <w:rPr>
                <w:b/>
                <w:bCs/>
                <w:sz w:val="15"/>
                <w:szCs w:val="15"/>
              </w:rPr>
              <w:t>,</w:t>
            </w:r>
            <w:r w:rsidRPr="007A49AD">
              <w:rPr>
                <w:b/>
                <w:bCs/>
                <w:sz w:val="15"/>
                <w:szCs w:val="15"/>
              </w:rPr>
              <w:t>546</w:t>
            </w:r>
            <w:r>
              <w:rPr>
                <w:b/>
                <w:bCs/>
                <w:sz w:val="15"/>
                <w:szCs w:val="15"/>
              </w:rPr>
              <w:t>,</w:t>
            </w:r>
            <w:r w:rsidRPr="007A49AD">
              <w:rPr>
                <w:b/>
                <w:bCs/>
                <w:sz w:val="15"/>
                <w:szCs w:val="15"/>
              </w:rPr>
              <w:t xml:space="preserve">375 </w:t>
            </w:r>
          </w:p>
        </w:tc>
        <w:tc>
          <w:tcPr>
            <w:tcW w:w="344" w:type="pct"/>
            <w:tcBorders>
              <w:top w:val="nil"/>
              <w:left w:val="nil"/>
              <w:bottom w:val="single" w:sz="12" w:space="0" w:color="auto"/>
              <w:right w:val="nil"/>
            </w:tcBorders>
            <w:shd w:val="clear" w:color="auto" w:fill="auto"/>
            <w:vAlign w:val="bottom"/>
          </w:tcPr>
          <w:p w14:paraId="01A304F3" w14:textId="04B77110" w:rsidR="002E11F3" w:rsidRPr="00537128" w:rsidRDefault="002E11F3" w:rsidP="002E11F3">
            <w:pPr>
              <w:tabs>
                <w:tab w:val="right" w:pos="1202"/>
              </w:tabs>
              <w:spacing w:after="0" w:line="301" w:lineRule="exact"/>
              <w:jc w:val="right"/>
              <w:outlineLvl w:val="0"/>
              <w:rPr>
                <w:rFonts w:ascii="Calibri" w:eastAsia="Calibri" w:hAnsi="Calibri" w:cs="Arial"/>
                <w:b/>
                <w:bCs/>
                <w:sz w:val="15"/>
                <w:szCs w:val="15"/>
                <w:lang w:val="en-US"/>
              </w:rPr>
            </w:pPr>
            <w:r w:rsidRPr="007A49AD">
              <w:rPr>
                <w:b/>
                <w:bCs/>
                <w:sz w:val="15"/>
                <w:szCs w:val="15"/>
              </w:rPr>
              <w:t xml:space="preserve"> 1</w:t>
            </w:r>
            <w:r>
              <w:rPr>
                <w:b/>
                <w:bCs/>
                <w:sz w:val="15"/>
                <w:szCs w:val="15"/>
              </w:rPr>
              <w:t>,</w:t>
            </w:r>
            <w:r w:rsidRPr="007A49AD">
              <w:rPr>
                <w:b/>
                <w:bCs/>
                <w:sz w:val="15"/>
                <w:szCs w:val="15"/>
              </w:rPr>
              <w:t>267</w:t>
            </w:r>
            <w:r>
              <w:rPr>
                <w:b/>
                <w:bCs/>
                <w:sz w:val="15"/>
                <w:szCs w:val="15"/>
              </w:rPr>
              <w:t>,</w:t>
            </w:r>
            <w:r w:rsidRPr="007A49AD">
              <w:rPr>
                <w:b/>
                <w:bCs/>
                <w:sz w:val="15"/>
                <w:szCs w:val="15"/>
              </w:rPr>
              <w:t xml:space="preserve">858 </w:t>
            </w:r>
          </w:p>
        </w:tc>
        <w:tc>
          <w:tcPr>
            <w:tcW w:w="344" w:type="pct"/>
            <w:tcBorders>
              <w:top w:val="nil"/>
              <w:left w:val="nil"/>
              <w:bottom w:val="single" w:sz="12" w:space="0" w:color="auto"/>
              <w:right w:val="nil"/>
            </w:tcBorders>
            <w:shd w:val="clear" w:color="auto" w:fill="auto"/>
            <w:vAlign w:val="bottom"/>
          </w:tcPr>
          <w:p w14:paraId="660184DD" w14:textId="7637CE49" w:rsidR="002E11F3" w:rsidRPr="00537128" w:rsidRDefault="002E11F3" w:rsidP="002E11F3">
            <w:pPr>
              <w:tabs>
                <w:tab w:val="right" w:pos="1202"/>
              </w:tabs>
              <w:spacing w:after="0" w:line="301" w:lineRule="exact"/>
              <w:jc w:val="right"/>
              <w:outlineLvl w:val="0"/>
              <w:rPr>
                <w:rFonts w:ascii="Calibri" w:eastAsia="Calibri" w:hAnsi="Calibri" w:cs="Arial"/>
                <w:b/>
                <w:bCs/>
                <w:sz w:val="15"/>
                <w:szCs w:val="15"/>
                <w:lang w:val="en-US"/>
              </w:rPr>
            </w:pPr>
            <w:r w:rsidRPr="007A49AD">
              <w:rPr>
                <w:b/>
                <w:bCs/>
                <w:sz w:val="15"/>
                <w:szCs w:val="15"/>
              </w:rPr>
              <w:t xml:space="preserve"> 1</w:t>
            </w:r>
            <w:r>
              <w:rPr>
                <w:b/>
                <w:bCs/>
                <w:sz w:val="15"/>
                <w:szCs w:val="15"/>
              </w:rPr>
              <w:t>,</w:t>
            </w:r>
            <w:r w:rsidRPr="007A49AD">
              <w:rPr>
                <w:b/>
                <w:bCs/>
                <w:sz w:val="15"/>
                <w:szCs w:val="15"/>
              </w:rPr>
              <w:t>130</w:t>
            </w:r>
            <w:r>
              <w:rPr>
                <w:b/>
                <w:bCs/>
                <w:sz w:val="15"/>
                <w:szCs w:val="15"/>
              </w:rPr>
              <w:t>,</w:t>
            </w:r>
            <w:r w:rsidRPr="007A49AD">
              <w:rPr>
                <w:b/>
                <w:bCs/>
                <w:sz w:val="15"/>
                <w:szCs w:val="15"/>
              </w:rPr>
              <w:t xml:space="preserve">939 </w:t>
            </w:r>
          </w:p>
        </w:tc>
        <w:tc>
          <w:tcPr>
            <w:tcW w:w="343" w:type="pct"/>
            <w:tcBorders>
              <w:top w:val="nil"/>
              <w:left w:val="nil"/>
              <w:bottom w:val="single" w:sz="12" w:space="0" w:color="auto"/>
              <w:right w:val="nil"/>
            </w:tcBorders>
            <w:shd w:val="clear" w:color="auto" w:fill="auto"/>
            <w:vAlign w:val="bottom"/>
          </w:tcPr>
          <w:p w14:paraId="63530107" w14:textId="60F26023" w:rsidR="002E11F3" w:rsidRPr="00537128" w:rsidRDefault="002E11F3" w:rsidP="002E11F3">
            <w:pPr>
              <w:tabs>
                <w:tab w:val="right" w:pos="1202"/>
              </w:tabs>
              <w:spacing w:after="0" w:line="301" w:lineRule="exact"/>
              <w:jc w:val="right"/>
              <w:outlineLvl w:val="0"/>
              <w:rPr>
                <w:rFonts w:ascii="Calibri" w:eastAsia="Calibri" w:hAnsi="Calibri" w:cs="Arial"/>
                <w:b/>
                <w:bCs/>
                <w:sz w:val="15"/>
                <w:szCs w:val="15"/>
                <w:lang w:val="en-US"/>
              </w:rPr>
            </w:pPr>
            <w:r w:rsidRPr="007A49AD">
              <w:rPr>
                <w:b/>
                <w:bCs/>
                <w:sz w:val="15"/>
                <w:szCs w:val="15"/>
              </w:rPr>
              <w:t xml:space="preserve"> 1</w:t>
            </w:r>
            <w:r>
              <w:rPr>
                <w:b/>
                <w:bCs/>
                <w:sz w:val="15"/>
                <w:szCs w:val="15"/>
              </w:rPr>
              <w:t>,</w:t>
            </w:r>
            <w:r w:rsidRPr="007A49AD">
              <w:rPr>
                <w:b/>
                <w:bCs/>
                <w:sz w:val="15"/>
                <w:szCs w:val="15"/>
              </w:rPr>
              <w:t>053</w:t>
            </w:r>
            <w:r>
              <w:rPr>
                <w:b/>
                <w:bCs/>
                <w:sz w:val="15"/>
                <w:szCs w:val="15"/>
              </w:rPr>
              <w:t>,</w:t>
            </w:r>
            <w:r w:rsidRPr="007A49AD">
              <w:rPr>
                <w:b/>
                <w:bCs/>
                <w:sz w:val="15"/>
                <w:szCs w:val="15"/>
              </w:rPr>
              <w:t xml:space="preserve">024 </w:t>
            </w:r>
          </w:p>
        </w:tc>
        <w:tc>
          <w:tcPr>
            <w:tcW w:w="344" w:type="pct"/>
            <w:tcBorders>
              <w:top w:val="nil"/>
              <w:left w:val="nil"/>
              <w:bottom w:val="single" w:sz="12" w:space="0" w:color="auto"/>
              <w:right w:val="nil"/>
            </w:tcBorders>
            <w:shd w:val="clear" w:color="auto" w:fill="auto"/>
            <w:vAlign w:val="bottom"/>
          </w:tcPr>
          <w:p w14:paraId="025B60AF" w14:textId="4F0D95C9" w:rsidR="002E11F3" w:rsidRPr="00537128" w:rsidRDefault="002E11F3" w:rsidP="002E11F3">
            <w:pPr>
              <w:tabs>
                <w:tab w:val="right" w:pos="1202"/>
              </w:tabs>
              <w:spacing w:after="0" w:line="301" w:lineRule="exact"/>
              <w:jc w:val="right"/>
              <w:outlineLvl w:val="0"/>
              <w:rPr>
                <w:rFonts w:ascii="Calibri" w:eastAsia="Calibri" w:hAnsi="Calibri" w:cs="Arial"/>
                <w:b/>
                <w:bCs/>
                <w:sz w:val="15"/>
                <w:szCs w:val="15"/>
                <w:lang w:val="en-US"/>
              </w:rPr>
            </w:pPr>
            <w:r w:rsidRPr="007A49AD">
              <w:rPr>
                <w:b/>
                <w:bCs/>
                <w:sz w:val="15"/>
                <w:szCs w:val="15"/>
              </w:rPr>
              <w:t xml:space="preserve"> 25</w:t>
            </w:r>
            <w:r>
              <w:rPr>
                <w:b/>
                <w:bCs/>
                <w:sz w:val="15"/>
                <w:szCs w:val="15"/>
              </w:rPr>
              <w:t>,</w:t>
            </w:r>
            <w:r w:rsidRPr="007A49AD">
              <w:rPr>
                <w:b/>
                <w:bCs/>
                <w:sz w:val="15"/>
                <w:szCs w:val="15"/>
              </w:rPr>
              <w:t xml:space="preserve">652 </w:t>
            </w:r>
          </w:p>
        </w:tc>
        <w:tc>
          <w:tcPr>
            <w:tcW w:w="344" w:type="pct"/>
            <w:tcBorders>
              <w:top w:val="nil"/>
              <w:left w:val="nil"/>
              <w:bottom w:val="single" w:sz="12" w:space="0" w:color="auto"/>
              <w:right w:val="nil"/>
            </w:tcBorders>
            <w:shd w:val="clear" w:color="auto" w:fill="auto"/>
            <w:vAlign w:val="bottom"/>
          </w:tcPr>
          <w:p w14:paraId="0698C5B6" w14:textId="555932BD" w:rsidR="002E11F3" w:rsidRPr="00537128" w:rsidRDefault="002E11F3" w:rsidP="002E11F3">
            <w:pPr>
              <w:tabs>
                <w:tab w:val="right" w:pos="1202"/>
              </w:tabs>
              <w:spacing w:after="0" w:line="301" w:lineRule="exact"/>
              <w:jc w:val="right"/>
              <w:outlineLvl w:val="0"/>
              <w:rPr>
                <w:rFonts w:ascii="Calibri" w:eastAsia="Calibri" w:hAnsi="Calibri" w:cs="Arial"/>
                <w:b/>
                <w:bCs/>
                <w:sz w:val="15"/>
                <w:szCs w:val="15"/>
                <w:lang w:val="en-US"/>
              </w:rPr>
            </w:pPr>
            <w:r w:rsidRPr="007A49AD">
              <w:rPr>
                <w:b/>
                <w:bCs/>
                <w:sz w:val="15"/>
                <w:szCs w:val="15"/>
              </w:rPr>
              <w:t xml:space="preserve"> 31</w:t>
            </w:r>
            <w:r>
              <w:rPr>
                <w:b/>
                <w:bCs/>
                <w:sz w:val="15"/>
                <w:szCs w:val="15"/>
              </w:rPr>
              <w:t>,</w:t>
            </w:r>
            <w:r w:rsidRPr="007A49AD">
              <w:rPr>
                <w:b/>
                <w:bCs/>
                <w:sz w:val="15"/>
                <w:szCs w:val="15"/>
              </w:rPr>
              <w:t>023</w:t>
            </w:r>
            <w:r>
              <w:rPr>
                <w:b/>
                <w:bCs/>
                <w:sz w:val="15"/>
                <w:szCs w:val="15"/>
              </w:rPr>
              <w:t>,</w:t>
            </w:r>
            <w:r w:rsidRPr="007A49AD">
              <w:rPr>
                <w:b/>
                <w:bCs/>
                <w:sz w:val="15"/>
                <w:szCs w:val="15"/>
              </w:rPr>
              <w:t xml:space="preserve">848 </w:t>
            </w:r>
          </w:p>
        </w:tc>
        <w:tc>
          <w:tcPr>
            <w:tcW w:w="343" w:type="pct"/>
            <w:tcBorders>
              <w:top w:val="nil"/>
              <w:left w:val="nil"/>
              <w:bottom w:val="single" w:sz="12" w:space="0" w:color="auto"/>
              <w:right w:val="nil"/>
            </w:tcBorders>
            <w:vAlign w:val="bottom"/>
          </w:tcPr>
          <w:p w14:paraId="2DE58A12" w14:textId="289F0D60" w:rsidR="002E11F3" w:rsidRPr="00537128" w:rsidRDefault="002E11F3" w:rsidP="002E11F3">
            <w:pPr>
              <w:tabs>
                <w:tab w:val="right" w:pos="1202"/>
              </w:tabs>
              <w:spacing w:after="0" w:line="301" w:lineRule="exact"/>
              <w:jc w:val="right"/>
              <w:outlineLvl w:val="0"/>
              <w:rPr>
                <w:rFonts w:ascii="Calibri" w:eastAsia="Calibri" w:hAnsi="Calibri" w:cs="Arial"/>
                <w:b/>
                <w:bCs/>
                <w:sz w:val="15"/>
                <w:szCs w:val="15"/>
                <w:lang w:val="en-US"/>
              </w:rPr>
            </w:pPr>
            <w:r w:rsidRPr="007A49AD">
              <w:rPr>
                <w:b/>
                <w:bCs/>
                <w:sz w:val="15"/>
                <w:szCs w:val="15"/>
              </w:rPr>
              <w:t xml:space="preserve"> 6</w:t>
            </w:r>
            <w:r>
              <w:rPr>
                <w:b/>
                <w:bCs/>
                <w:sz w:val="15"/>
                <w:szCs w:val="15"/>
              </w:rPr>
              <w:t>,</w:t>
            </w:r>
            <w:r w:rsidRPr="007A49AD">
              <w:rPr>
                <w:b/>
                <w:bCs/>
                <w:sz w:val="15"/>
                <w:szCs w:val="15"/>
              </w:rPr>
              <w:t>392</w:t>
            </w:r>
            <w:r>
              <w:rPr>
                <w:b/>
                <w:bCs/>
                <w:sz w:val="15"/>
                <w:szCs w:val="15"/>
              </w:rPr>
              <w:t>,</w:t>
            </w:r>
            <w:r w:rsidRPr="007A49AD">
              <w:rPr>
                <w:b/>
                <w:bCs/>
                <w:sz w:val="15"/>
                <w:szCs w:val="15"/>
              </w:rPr>
              <w:t xml:space="preserve">630 </w:t>
            </w:r>
          </w:p>
        </w:tc>
        <w:tc>
          <w:tcPr>
            <w:tcW w:w="344" w:type="pct"/>
            <w:tcBorders>
              <w:top w:val="nil"/>
              <w:left w:val="nil"/>
              <w:bottom w:val="single" w:sz="12" w:space="0" w:color="auto"/>
              <w:right w:val="nil"/>
            </w:tcBorders>
            <w:vAlign w:val="bottom"/>
          </w:tcPr>
          <w:p w14:paraId="59EEB2CA" w14:textId="7F926BA3" w:rsidR="002E11F3" w:rsidRPr="00537128" w:rsidRDefault="002E11F3" w:rsidP="002E11F3">
            <w:pPr>
              <w:tabs>
                <w:tab w:val="right" w:pos="1202"/>
              </w:tabs>
              <w:spacing w:after="0" w:line="301" w:lineRule="exact"/>
              <w:jc w:val="right"/>
              <w:outlineLvl w:val="0"/>
              <w:rPr>
                <w:rFonts w:ascii="Calibri" w:eastAsia="Calibri" w:hAnsi="Calibri" w:cs="Arial"/>
                <w:b/>
                <w:bCs/>
                <w:sz w:val="15"/>
                <w:szCs w:val="15"/>
                <w:lang w:val="en-US"/>
              </w:rPr>
            </w:pPr>
            <w:r w:rsidRPr="007A49AD">
              <w:rPr>
                <w:b/>
                <w:bCs/>
                <w:sz w:val="15"/>
                <w:szCs w:val="15"/>
              </w:rPr>
              <w:t xml:space="preserve"> 197</w:t>
            </w:r>
            <w:r>
              <w:rPr>
                <w:b/>
                <w:bCs/>
                <w:sz w:val="15"/>
                <w:szCs w:val="15"/>
              </w:rPr>
              <w:t>,</w:t>
            </w:r>
            <w:r w:rsidRPr="007A49AD">
              <w:rPr>
                <w:b/>
                <w:bCs/>
                <w:sz w:val="15"/>
                <w:szCs w:val="15"/>
              </w:rPr>
              <w:t xml:space="preserve">725 </w:t>
            </w:r>
          </w:p>
        </w:tc>
        <w:tc>
          <w:tcPr>
            <w:tcW w:w="344" w:type="pct"/>
            <w:tcBorders>
              <w:top w:val="nil"/>
              <w:left w:val="nil"/>
              <w:bottom w:val="single" w:sz="12" w:space="0" w:color="auto"/>
              <w:right w:val="nil"/>
            </w:tcBorders>
            <w:vAlign w:val="bottom"/>
          </w:tcPr>
          <w:p w14:paraId="354DCD4E" w14:textId="1D87FA3E" w:rsidR="002E11F3" w:rsidRPr="00537128" w:rsidRDefault="002E11F3" w:rsidP="002E11F3">
            <w:pPr>
              <w:tabs>
                <w:tab w:val="right" w:pos="1202"/>
              </w:tabs>
              <w:spacing w:after="0" w:line="301" w:lineRule="exact"/>
              <w:jc w:val="right"/>
              <w:outlineLvl w:val="0"/>
              <w:rPr>
                <w:rFonts w:ascii="Calibri" w:eastAsia="Calibri" w:hAnsi="Calibri" w:cs="Arial"/>
                <w:b/>
                <w:bCs/>
                <w:sz w:val="15"/>
                <w:szCs w:val="15"/>
                <w:lang w:val="en-US"/>
              </w:rPr>
            </w:pPr>
            <w:r w:rsidRPr="007A49AD">
              <w:rPr>
                <w:b/>
                <w:bCs/>
                <w:sz w:val="15"/>
                <w:szCs w:val="15"/>
              </w:rPr>
              <w:t xml:space="preserve"> 262</w:t>
            </w:r>
            <w:r>
              <w:rPr>
                <w:b/>
                <w:bCs/>
                <w:sz w:val="15"/>
                <w:szCs w:val="15"/>
              </w:rPr>
              <w:t>,</w:t>
            </w:r>
            <w:r w:rsidRPr="007A49AD">
              <w:rPr>
                <w:b/>
                <w:bCs/>
                <w:sz w:val="15"/>
                <w:szCs w:val="15"/>
              </w:rPr>
              <w:t xml:space="preserve">303 </w:t>
            </w:r>
          </w:p>
        </w:tc>
        <w:tc>
          <w:tcPr>
            <w:tcW w:w="343" w:type="pct"/>
            <w:tcBorders>
              <w:top w:val="nil"/>
              <w:left w:val="nil"/>
              <w:bottom w:val="single" w:sz="12" w:space="0" w:color="auto"/>
              <w:right w:val="nil"/>
            </w:tcBorders>
            <w:vAlign w:val="bottom"/>
          </w:tcPr>
          <w:p w14:paraId="04CA0A4C" w14:textId="5018F5E7" w:rsidR="002E11F3" w:rsidRPr="00537128" w:rsidRDefault="002E11F3" w:rsidP="002E11F3">
            <w:pPr>
              <w:tabs>
                <w:tab w:val="right" w:pos="1202"/>
              </w:tabs>
              <w:spacing w:after="0" w:line="301" w:lineRule="exact"/>
              <w:jc w:val="right"/>
              <w:outlineLvl w:val="0"/>
              <w:rPr>
                <w:rFonts w:ascii="Calibri" w:eastAsia="Calibri" w:hAnsi="Calibri" w:cs="Arial"/>
                <w:b/>
                <w:bCs/>
                <w:sz w:val="15"/>
                <w:szCs w:val="15"/>
                <w:lang w:val="en-US"/>
              </w:rPr>
            </w:pPr>
            <w:r w:rsidRPr="007A49AD">
              <w:rPr>
                <w:b/>
                <w:bCs/>
                <w:sz w:val="15"/>
                <w:szCs w:val="15"/>
              </w:rPr>
              <w:t xml:space="preserve"> 43</w:t>
            </w:r>
            <w:r>
              <w:rPr>
                <w:b/>
                <w:bCs/>
                <w:sz w:val="15"/>
                <w:szCs w:val="15"/>
              </w:rPr>
              <w:t>,</w:t>
            </w:r>
            <w:r w:rsidRPr="007A49AD">
              <w:rPr>
                <w:b/>
                <w:bCs/>
                <w:sz w:val="15"/>
                <w:szCs w:val="15"/>
              </w:rPr>
              <w:t xml:space="preserve">489 </w:t>
            </w:r>
          </w:p>
        </w:tc>
        <w:tc>
          <w:tcPr>
            <w:tcW w:w="344" w:type="pct"/>
            <w:tcBorders>
              <w:top w:val="nil"/>
              <w:left w:val="nil"/>
              <w:bottom w:val="single" w:sz="12" w:space="0" w:color="auto"/>
              <w:right w:val="nil"/>
            </w:tcBorders>
            <w:vAlign w:val="bottom"/>
          </w:tcPr>
          <w:p w14:paraId="55F9BABC" w14:textId="23C4CE0E" w:rsidR="002E11F3" w:rsidRPr="00537128" w:rsidRDefault="002E11F3" w:rsidP="002E11F3">
            <w:pPr>
              <w:tabs>
                <w:tab w:val="right" w:pos="1202"/>
              </w:tabs>
              <w:spacing w:after="0" w:line="301" w:lineRule="exact"/>
              <w:jc w:val="right"/>
              <w:outlineLvl w:val="0"/>
              <w:rPr>
                <w:rFonts w:ascii="Calibri" w:eastAsia="Calibri" w:hAnsi="Calibri" w:cs="Arial"/>
                <w:b/>
                <w:bCs/>
                <w:sz w:val="15"/>
                <w:szCs w:val="15"/>
                <w:lang w:val="en-US"/>
              </w:rPr>
            </w:pPr>
            <w:r w:rsidRPr="007A49AD">
              <w:rPr>
                <w:b/>
                <w:bCs/>
                <w:sz w:val="15"/>
                <w:szCs w:val="15"/>
              </w:rPr>
              <w:t xml:space="preserve"> 25</w:t>
            </w:r>
            <w:r>
              <w:rPr>
                <w:b/>
                <w:bCs/>
                <w:sz w:val="15"/>
                <w:szCs w:val="15"/>
              </w:rPr>
              <w:t>,</w:t>
            </w:r>
            <w:r w:rsidRPr="007A49AD">
              <w:rPr>
                <w:b/>
                <w:bCs/>
                <w:sz w:val="15"/>
                <w:szCs w:val="15"/>
              </w:rPr>
              <w:t xml:space="preserve">374 </w:t>
            </w:r>
          </w:p>
        </w:tc>
        <w:tc>
          <w:tcPr>
            <w:tcW w:w="343" w:type="pct"/>
            <w:tcBorders>
              <w:top w:val="nil"/>
              <w:left w:val="nil"/>
              <w:bottom w:val="single" w:sz="12" w:space="0" w:color="auto"/>
              <w:right w:val="nil"/>
            </w:tcBorders>
            <w:vAlign w:val="bottom"/>
          </w:tcPr>
          <w:p w14:paraId="687D8FD1" w14:textId="4226B569" w:rsidR="002E11F3" w:rsidRPr="00537128" w:rsidRDefault="002E11F3" w:rsidP="002E11F3">
            <w:pPr>
              <w:tabs>
                <w:tab w:val="right" w:pos="1202"/>
              </w:tabs>
              <w:spacing w:after="0" w:line="301" w:lineRule="exact"/>
              <w:jc w:val="right"/>
              <w:outlineLvl w:val="0"/>
              <w:rPr>
                <w:rFonts w:ascii="Calibri" w:eastAsia="Calibri" w:hAnsi="Calibri" w:cs="Arial"/>
                <w:b/>
                <w:bCs/>
                <w:sz w:val="15"/>
                <w:szCs w:val="15"/>
                <w:lang w:val="en-US"/>
              </w:rPr>
            </w:pPr>
            <w:r w:rsidRPr="007A49AD">
              <w:rPr>
                <w:b/>
                <w:bCs/>
                <w:sz w:val="15"/>
                <w:szCs w:val="15"/>
              </w:rPr>
              <w:t xml:space="preserve"> 6</w:t>
            </w:r>
            <w:r>
              <w:rPr>
                <w:b/>
                <w:bCs/>
                <w:sz w:val="15"/>
                <w:szCs w:val="15"/>
              </w:rPr>
              <w:t>,</w:t>
            </w:r>
            <w:r w:rsidRPr="007A49AD">
              <w:rPr>
                <w:b/>
                <w:bCs/>
                <w:sz w:val="15"/>
                <w:szCs w:val="15"/>
              </w:rPr>
              <w:t>921</w:t>
            </w:r>
            <w:r>
              <w:rPr>
                <w:b/>
                <w:bCs/>
                <w:sz w:val="15"/>
                <w:szCs w:val="15"/>
              </w:rPr>
              <w:t>,</w:t>
            </w:r>
            <w:r w:rsidRPr="007A49AD">
              <w:rPr>
                <w:b/>
                <w:bCs/>
                <w:sz w:val="15"/>
                <w:szCs w:val="15"/>
              </w:rPr>
              <w:t xml:space="preserve">521 </w:t>
            </w:r>
          </w:p>
        </w:tc>
      </w:tr>
    </w:tbl>
    <w:p w14:paraId="77E01CE0" w14:textId="77777777" w:rsidR="004A287E" w:rsidRPr="00537128" w:rsidRDefault="004A287E" w:rsidP="00900DBE">
      <w:pPr>
        <w:spacing w:after="0" w:line="240" w:lineRule="auto"/>
        <w:jc w:val="both"/>
        <w:rPr>
          <w:rFonts w:ascii="Calibri" w:eastAsia="Times New Roman" w:hAnsi="Calibri" w:cs="Arial"/>
          <w:b/>
          <w:color w:val="000000" w:themeColor="text1"/>
          <w:sz w:val="20"/>
          <w:szCs w:val="20"/>
          <w:lang w:val="en-US"/>
        </w:rPr>
      </w:pPr>
    </w:p>
    <w:p w14:paraId="634AC1EF" w14:textId="4D52ADBD" w:rsidR="004A287E" w:rsidRPr="00537128" w:rsidRDefault="004A287E" w:rsidP="00900DBE">
      <w:pPr>
        <w:spacing w:after="0" w:line="240" w:lineRule="auto"/>
        <w:jc w:val="both"/>
        <w:rPr>
          <w:rFonts w:ascii="Calibri" w:eastAsia="Times New Roman" w:hAnsi="Calibri" w:cs="Arial"/>
          <w:b/>
          <w:color w:val="000000" w:themeColor="text1"/>
          <w:sz w:val="20"/>
          <w:szCs w:val="20"/>
          <w:lang w:val="en-US"/>
        </w:rPr>
        <w:sectPr w:rsidR="004A287E" w:rsidRPr="00537128" w:rsidSect="00900DBE">
          <w:pgSz w:w="16838" w:h="11906" w:orient="landscape"/>
          <w:pgMar w:top="1418" w:right="1418" w:bottom="1134" w:left="1418" w:header="709" w:footer="709" w:gutter="0"/>
          <w:cols w:space="708"/>
          <w:docGrid w:linePitch="360"/>
        </w:sectPr>
      </w:pPr>
    </w:p>
    <w:p w14:paraId="45FEDAEB" w14:textId="77777777" w:rsidR="00900DBE" w:rsidRPr="00537128" w:rsidRDefault="00900DBE" w:rsidP="00900DBE">
      <w:pPr>
        <w:spacing w:after="0" w:line="240" w:lineRule="auto"/>
        <w:jc w:val="both"/>
        <w:rPr>
          <w:rFonts w:ascii="Calibri" w:eastAsia="Times New Roman" w:hAnsi="Calibri" w:cs="Calibri"/>
          <w:b/>
          <w:bCs/>
          <w:color w:val="000000" w:themeColor="text1"/>
          <w:sz w:val="12"/>
          <w:szCs w:val="12"/>
          <w:lang w:val="en-US" w:eastAsia="hr-HR"/>
        </w:rPr>
      </w:pPr>
    </w:p>
    <w:p w14:paraId="5D215531" w14:textId="154E8AC2" w:rsidR="00900DBE" w:rsidRPr="00537128" w:rsidRDefault="00B357CE" w:rsidP="00900DBE">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62CE2140" w14:textId="77777777" w:rsidR="00900DBE" w:rsidRPr="00537128" w:rsidRDefault="00900DBE" w:rsidP="00900DBE">
      <w:pPr>
        <w:tabs>
          <w:tab w:val="left" w:pos="709"/>
          <w:tab w:val="left" w:pos="851"/>
        </w:tabs>
        <w:spacing w:after="0" w:line="240" w:lineRule="auto"/>
        <w:jc w:val="both"/>
        <w:rPr>
          <w:rFonts w:ascii="Calibri" w:eastAsia="Times New Roman" w:hAnsi="Calibri" w:cs="Arial"/>
          <w:color w:val="000000" w:themeColor="text1"/>
          <w:sz w:val="12"/>
          <w:szCs w:val="12"/>
          <w:lang w:val="en-US"/>
        </w:rPr>
      </w:pPr>
    </w:p>
    <w:p w14:paraId="18DE7609" w14:textId="012DF704" w:rsidR="00900DBE" w:rsidRPr="00537128" w:rsidRDefault="00B357CE" w:rsidP="00900DBE">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900DBE" w:rsidRPr="00537128">
        <w:rPr>
          <w:rFonts w:ascii="Calibri" w:eastAsia="Times New Roman" w:hAnsi="Calibri" w:cs="Arial"/>
          <w:b/>
          <w:color w:val="000000" w:themeColor="text1"/>
          <w:lang w:val="en-US"/>
        </w:rPr>
        <w:t xml:space="preserve">   Credit risk (continued)</w:t>
      </w:r>
    </w:p>
    <w:p w14:paraId="2962EC52" w14:textId="77777777" w:rsidR="00900DBE" w:rsidRPr="00537128" w:rsidRDefault="00900DBE" w:rsidP="00900DBE">
      <w:pPr>
        <w:spacing w:after="0" w:line="240" w:lineRule="auto"/>
        <w:jc w:val="both"/>
        <w:rPr>
          <w:rFonts w:ascii="Calibri" w:eastAsia="Times New Roman" w:hAnsi="Calibri" w:cs="Arial"/>
          <w:b/>
          <w:color w:val="000000" w:themeColor="text1"/>
          <w:sz w:val="12"/>
          <w:szCs w:val="12"/>
          <w:lang w:val="en-US"/>
        </w:rPr>
      </w:pPr>
    </w:p>
    <w:p w14:paraId="5310D058" w14:textId="77777777" w:rsidR="00900DBE" w:rsidRPr="00537128" w:rsidRDefault="00900DBE" w:rsidP="00900DBE">
      <w:pPr>
        <w:spacing w:after="0"/>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Credit risk quality according to type of financial assets</w:t>
      </w:r>
      <w:r w:rsidR="00712478" w:rsidRPr="00537128">
        <w:rPr>
          <w:rFonts w:ascii="Calibri" w:eastAsia="Times New Roman" w:hAnsi="Calibri" w:cs="Arial"/>
          <w:b/>
          <w:color w:val="000000" w:themeColor="text1"/>
          <w:lang w:val="en-US"/>
        </w:rPr>
        <w:t xml:space="preserve"> (continued)</w:t>
      </w:r>
    </w:p>
    <w:p w14:paraId="47158F8B" w14:textId="77777777" w:rsidR="00900DBE" w:rsidRPr="00537128" w:rsidRDefault="00900DBE" w:rsidP="00900DBE">
      <w:pPr>
        <w:spacing w:after="0"/>
        <w:rPr>
          <w:rFonts w:ascii="Calibri" w:eastAsia="Times New Roman" w:hAnsi="Calibri" w:cs="Arial"/>
          <w:b/>
          <w:color w:val="000000" w:themeColor="text1"/>
          <w:sz w:val="12"/>
          <w:szCs w:val="12"/>
          <w:lang w:val="en-US"/>
        </w:rPr>
      </w:pPr>
    </w:p>
    <w:p w14:paraId="21309D97" w14:textId="1902782F" w:rsidR="00900DBE" w:rsidRPr="00537128" w:rsidRDefault="00900DBE" w:rsidP="00900DBE">
      <w:pPr>
        <w:spacing w:after="0" w:line="240" w:lineRule="auto"/>
        <w:jc w:val="both"/>
        <w:rPr>
          <w:rFonts w:ascii="Calibri" w:eastAsia="Calibri" w:hAnsi="Calibri" w:cs="Arial"/>
          <w:color w:val="000000" w:themeColor="text1"/>
          <w:sz w:val="19"/>
          <w:szCs w:val="19"/>
          <w:lang w:val="en-US"/>
        </w:rPr>
      </w:pPr>
      <w:r w:rsidRPr="00537128">
        <w:rPr>
          <w:rFonts w:ascii="Calibri" w:eastAsia="Calibri" w:hAnsi="Calibri" w:cs="Arial"/>
          <w:color w:val="000000" w:themeColor="text1"/>
          <w:sz w:val="19"/>
          <w:szCs w:val="19"/>
          <w:lang w:val="en-US"/>
        </w:rPr>
        <w:t>Credit risk analysis, net exposure, before and after the effect of mitigation through collateral received, according to the type of financial assets on positions of assets and guarantees and commitments by risk category, is as follows:</w:t>
      </w:r>
    </w:p>
    <w:tbl>
      <w:tblPr>
        <w:tblW w:w="5223" w:type="pct"/>
        <w:jc w:val="center"/>
        <w:tblLayout w:type="fixed"/>
        <w:tblLook w:val="0000" w:firstRow="0" w:lastRow="0" w:firstColumn="0" w:lastColumn="0" w:noHBand="0" w:noVBand="0"/>
      </w:tblPr>
      <w:tblGrid>
        <w:gridCol w:w="2566"/>
        <w:gridCol w:w="1004"/>
        <w:gridCol w:w="1007"/>
        <w:gridCol w:w="1007"/>
        <w:gridCol w:w="1003"/>
        <w:gridCol w:w="1006"/>
        <w:gridCol w:w="1006"/>
        <w:gridCol w:w="1003"/>
        <w:gridCol w:w="1006"/>
        <w:gridCol w:w="1006"/>
        <w:gridCol w:w="1003"/>
        <w:gridCol w:w="1006"/>
        <w:gridCol w:w="1003"/>
      </w:tblGrid>
      <w:tr w:rsidR="00B16158" w:rsidRPr="00D13EB3" w14:paraId="61C671D9" w14:textId="77777777" w:rsidTr="00E44437">
        <w:trPr>
          <w:trHeight w:val="1454"/>
          <w:jc w:val="center"/>
        </w:trPr>
        <w:tc>
          <w:tcPr>
            <w:tcW w:w="877" w:type="pct"/>
          </w:tcPr>
          <w:p w14:paraId="4283C525" w14:textId="77777777" w:rsidR="00B16158" w:rsidRPr="00D13EB3" w:rsidRDefault="00B16158" w:rsidP="00B16158">
            <w:pPr>
              <w:spacing w:after="40" w:line="240" w:lineRule="auto"/>
              <w:rPr>
                <w:rFonts w:ascii="Calibri" w:hAnsi="Calibri" w:cs="Arial"/>
                <w:b/>
                <w:bCs/>
                <w:sz w:val="15"/>
                <w:szCs w:val="15"/>
              </w:rPr>
            </w:pPr>
            <w:bookmarkStart w:id="807" w:name="_Hlk97803476"/>
            <w:r w:rsidRPr="00D13EB3">
              <w:rPr>
                <w:rFonts w:ascii="Calibri" w:hAnsi="Calibri" w:cs="Arial"/>
                <w:b/>
                <w:bCs/>
                <w:sz w:val="15"/>
                <w:szCs w:val="15"/>
              </w:rPr>
              <w:br w:type="page"/>
              <w:t>Group</w:t>
            </w:r>
          </w:p>
          <w:p w14:paraId="542EFADA" w14:textId="77777777" w:rsidR="00B16158" w:rsidRPr="00D13EB3" w:rsidRDefault="00B16158" w:rsidP="00B16158">
            <w:pPr>
              <w:spacing w:after="40" w:line="240" w:lineRule="auto"/>
              <w:rPr>
                <w:rFonts w:ascii="Calibri" w:hAnsi="Calibri" w:cs="Arial"/>
                <w:sz w:val="15"/>
                <w:szCs w:val="15"/>
              </w:rPr>
            </w:pPr>
            <w:r>
              <w:rPr>
                <w:rFonts w:ascii="Calibri" w:hAnsi="Calibri" w:cs="Arial"/>
                <w:b/>
                <w:bCs/>
                <w:sz w:val="15"/>
                <w:szCs w:val="15"/>
              </w:rPr>
              <w:t xml:space="preserve">31 December </w:t>
            </w:r>
            <w:r w:rsidRPr="00D13EB3">
              <w:rPr>
                <w:rFonts w:ascii="Calibri" w:hAnsi="Calibri" w:cs="Arial"/>
                <w:b/>
                <w:bCs/>
                <w:sz w:val="15"/>
                <w:szCs w:val="15"/>
              </w:rPr>
              <w:t>20</w:t>
            </w:r>
            <w:r>
              <w:rPr>
                <w:rFonts w:ascii="Calibri" w:hAnsi="Calibri" w:cs="Arial"/>
                <w:b/>
                <w:bCs/>
                <w:sz w:val="15"/>
                <w:szCs w:val="15"/>
              </w:rPr>
              <w:t>21</w:t>
            </w:r>
          </w:p>
        </w:tc>
        <w:tc>
          <w:tcPr>
            <w:tcW w:w="343" w:type="pct"/>
            <w:vAlign w:val="bottom"/>
          </w:tcPr>
          <w:p w14:paraId="295A51F1" w14:textId="77777777" w:rsidR="00B16158" w:rsidRPr="00D13EB3" w:rsidRDefault="00B16158" w:rsidP="00B16158">
            <w:pPr>
              <w:spacing w:after="40" w:line="240" w:lineRule="auto"/>
              <w:jc w:val="right"/>
              <w:rPr>
                <w:rFonts w:ascii="Calibri" w:hAnsi="Calibri" w:cs="Arial"/>
                <w:b/>
                <w:sz w:val="15"/>
                <w:szCs w:val="15"/>
              </w:rPr>
            </w:pPr>
            <w:r w:rsidRPr="00D13EB3">
              <w:rPr>
                <w:rFonts w:ascii="Calibri" w:hAnsi="Calibri" w:cs="Arial"/>
                <w:b/>
                <w:sz w:val="15"/>
                <w:szCs w:val="15"/>
              </w:rPr>
              <w:t>Net</w:t>
            </w:r>
          </w:p>
          <w:p w14:paraId="09064EBD" w14:textId="77777777" w:rsidR="00B16158" w:rsidRPr="00D13EB3" w:rsidRDefault="00B16158" w:rsidP="00B16158">
            <w:pPr>
              <w:spacing w:after="40" w:line="240" w:lineRule="auto"/>
              <w:jc w:val="right"/>
              <w:rPr>
                <w:rFonts w:ascii="Calibri" w:hAnsi="Calibri" w:cs="Arial"/>
                <w:b/>
                <w:sz w:val="15"/>
                <w:szCs w:val="15"/>
              </w:rPr>
            </w:pPr>
            <w:r w:rsidRPr="00D13EB3">
              <w:rPr>
                <w:rFonts w:ascii="Calibri" w:hAnsi="Calibri" w:cs="Arial"/>
                <w:b/>
                <w:sz w:val="15"/>
                <w:szCs w:val="15"/>
              </w:rPr>
              <w:t>exposure of portfolio - risk Stage 1</w:t>
            </w:r>
          </w:p>
        </w:tc>
        <w:tc>
          <w:tcPr>
            <w:tcW w:w="344" w:type="pct"/>
            <w:vAlign w:val="bottom"/>
          </w:tcPr>
          <w:p w14:paraId="52076760" w14:textId="77777777" w:rsidR="00B16158" w:rsidRPr="00D13EB3" w:rsidRDefault="00B16158" w:rsidP="00B16158">
            <w:pPr>
              <w:spacing w:after="40" w:line="240" w:lineRule="auto"/>
              <w:jc w:val="right"/>
              <w:rPr>
                <w:rFonts w:ascii="Calibri" w:hAnsi="Calibri" w:cs="Arial"/>
                <w:b/>
                <w:sz w:val="15"/>
                <w:szCs w:val="15"/>
              </w:rPr>
            </w:pPr>
            <w:r w:rsidRPr="00D13EB3">
              <w:rPr>
                <w:rFonts w:ascii="Calibri" w:hAnsi="Calibri" w:cs="Arial"/>
                <w:b/>
                <w:sz w:val="15"/>
                <w:szCs w:val="15"/>
              </w:rPr>
              <w:t>Net</w:t>
            </w:r>
          </w:p>
          <w:p w14:paraId="0115A8FE" w14:textId="77777777" w:rsidR="00B16158" w:rsidRPr="00D13EB3" w:rsidRDefault="00B16158" w:rsidP="00B16158">
            <w:pPr>
              <w:spacing w:after="40" w:line="240" w:lineRule="auto"/>
              <w:jc w:val="right"/>
              <w:rPr>
                <w:rFonts w:ascii="Calibri" w:hAnsi="Calibri" w:cs="Arial"/>
                <w:b/>
                <w:sz w:val="15"/>
                <w:szCs w:val="15"/>
              </w:rPr>
            </w:pPr>
            <w:r w:rsidRPr="00D13EB3">
              <w:rPr>
                <w:rFonts w:ascii="Calibri" w:hAnsi="Calibri" w:cs="Arial"/>
                <w:b/>
                <w:sz w:val="15"/>
                <w:szCs w:val="15"/>
              </w:rPr>
              <w:t>exposure of portfolio - risk Stage 2</w:t>
            </w:r>
          </w:p>
        </w:tc>
        <w:tc>
          <w:tcPr>
            <w:tcW w:w="344" w:type="pct"/>
            <w:vAlign w:val="bottom"/>
          </w:tcPr>
          <w:p w14:paraId="3700C6F4" w14:textId="77777777" w:rsidR="00B16158" w:rsidRPr="00D13EB3" w:rsidRDefault="00B16158" w:rsidP="00B16158">
            <w:pPr>
              <w:spacing w:after="40" w:line="240" w:lineRule="auto"/>
              <w:jc w:val="right"/>
              <w:rPr>
                <w:rFonts w:ascii="Calibri" w:hAnsi="Calibri" w:cs="Arial"/>
                <w:b/>
                <w:sz w:val="15"/>
                <w:szCs w:val="15"/>
              </w:rPr>
            </w:pPr>
            <w:r w:rsidRPr="00D13EB3">
              <w:rPr>
                <w:rFonts w:ascii="Calibri" w:hAnsi="Calibri" w:cs="Arial"/>
                <w:b/>
                <w:sz w:val="15"/>
                <w:szCs w:val="15"/>
              </w:rPr>
              <w:t>Net</w:t>
            </w:r>
          </w:p>
          <w:p w14:paraId="33DD5EB3" w14:textId="77777777" w:rsidR="00B16158" w:rsidRPr="00D13EB3" w:rsidRDefault="00B16158" w:rsidP="00B16158">
            <w:pPr>
              <w:spacing w:after="40" w:line="240" w:lineRule="auto"/>
              <w:jc w:val="right"/>
              <w:rPr>
                <w:rFonts w:ascii="Calibri" w:hAnsi="Calibri" w:cs="Arial"/>
                <w:b/>
                <w:sz w:val="15"/>
                <w:szCs w:val="15"/>
              </w:rPr>
            </w:pPr>
            <w:r w:rsidRPr="00D13EB3">
              <w:rPr>
                <w:rFonts w:ascii="Calibri" w:hAnsi="Calibri" w:cs="Arial"/>
                <w:b/>
                <w:sz w:val="15"/>
                <w:szCs w:val="15"/>
              </w:rPr>
              <w:t>exposure of portfolio - risk Stage 3</w:t>
            </w:r>
          </w:p>
        </w:tc>
        <w:tc>
          <w:tcPr>
            <w:tcW w:w="343" w:type="pct"/>
            <w:vAlign w:val="bottom"/>
          </w:tcPr>
          <w:p w14:paraId="4E86D916" w14:textId="77777777" w:rsidR="00B16158" w:rsidRPr="00D13EB3" w:rsidRDefault="00B16158" w:rsidP="00B16158">
            <w:pPr>
              <w:spacing w:after="40" w:line="240" w:lineRule="auto"/>
              <w:jc w:val="right"/>
              <w:rPr>
                <w:rFonts w:ascii="Calibri" w:hAnsi="Calibri" w:cs="Arial"/>
                <w:b/>
                <w:sz w:val="15"/>
                <w:szCs w:val="15"/>
              </w:rPr>
            </w:pPr>
            <w:r w:rsidRPr="00D13EB3">
              <w:rPr>
                <w:rFonts w:ascii="Calibri" w:hAnsi="Calibri" w:cs="Arial"/>
                <w:b/>
                <w:sz w:val="15"/>
                <w:szCs w:val="15"/>
              </w:rPr>
              <w:t>Net</w:t>
            </w:r>
          </w:p>
          <w:p w14:paraId="2642F597" w14:textId="77777777" w:rsidR="00B16158" w:rsidRPr="00D13EB3" w:rsidRDefault="00B16158" w:rsidP="00B16158">
            <w:pPr>
              <w:spacing w:after="40" w:line="240" w:lineRule="auto"/>
              <w:jc w:val="right"/>
              <w:rPr>
                <w:rFonts w:ascii="Calibri" w:hAnsi="Calibri" w:cs="Arial"/>
                <w:b/>
                <w:sz w:val="15"/>
                <w:szCs w:val="15"/>
              </w:rPr>
            </w:pPr>
            <w:r w:rsidRPr="00D13EB3">
              <w:rPr>
                <w:rFonts w:ascii="Calibri" w:hAnsi="Calibri" w:cs="Arial"/>
                <w:b/>
                <w:sz w:val="15"/>
                <w:szCs w:val="15"/>
              </w:rPr>
              <w:t>exposure of portfolio of risk POCI</w:t>
            </w:r>
          </w:p>
        </w:tc>
        <w:tc>
          <w:tcPr>
            <w:tcW w:w="344" w:type="pct"/>
            <w:vAlign w:val="bottom"/>
          </w:tcPr>
          <w:p w14:paraId="71D4581A" w14:textId="77777777" w:rsidR="00B16158" w:rsidRPr="00D13EB3" w:rsidRDefault="00B16158" w:rsidP="00B16158">
            <w:pPr>
              <w:spacing w:after="40" w:line="240" w:lineRule="auto"/>
              <w:jc w:val="right"/>
              <w:rPr>
                <w:sz w:val="15"/>
                <w:szCs w:val="15"/>
              </w:rPr>
            </w:pPr>
            <w:r w:rsidRPr="00D13EB3">
              <w:rPr>
                <w:rFonts w:ascii="Calibri" w:hAnsi="Calibri" w:cs="Arial"/>
                <w:b/>
                <w:sz w:val="15"/>
                <w:szCs w:val="15"/>
              </w:rPr>
              <w:t>Not subject to IFRS 9</w:t>
            </w:r>
          </w:p>
        </w:tc>
        <w:tc>
          <w:tcPr>
            <w:tcW w:w="344" w:type="pct"/>
            <w:vAlign w:val="bottom"/>
          </w:tcPr>
          <w:p w14:paraId="7A44CAC3" w14:textId="77777777" w:rsidR="00B16158" w:rsidRPr="00D13EB3" w:rsidRDefault="00B16158" w:rsidP="00B16158">
            <w:pPr>
              <w:spacing w:after="40" w:line="240" w:lineRule="auto"/>
              <w:jc w:val="right"/>
              <w:rPr>
                <w:rFonts w:ascii="Calibri" w:hAnsi="Calibri" w:cs="Arial"/>
                <w:b/>
                <w:sz w:val="15"/>
                <w:szCs w:val="15"/>
              </w:rPr>
            </w:pPr>
            <w:r w:rsidRPr="00D13EB3">
              <w:rPr>
                <w:rFonts w:ascii="Calibri" w:hAnsi="Calibri" w:cs="Arial"/>
                <w:b/>
                <w:sz w:val="15"/>
                <w:szCs w:val="15"/>
              </w:rPr>
              <w:t>Net exposure of total portfolio</w:t>
            </w:r>
          </w:p>
        </w:tc>
        <w:tc>
          <w:tcPr>
            <w:tcW w:w="343" w:type="pct"/>
            <w:vAlign w:val="bottom"/>
          </w:tcPr>
          <w:p w14:paraId="3C239BA4" w14:textId="77777777" w:rsidR="00B16158" w:rsidRPr="00D13EB3" w:rsidRDefault="00B16158" w:rsidP="00B16158">
            <w:pPr>
              <w:spacing w:after="40" w:line="240" w:lineRule="auto"/>
              <w:jc w:val="right"/>
              <w:rPr>
                <w:rFonts w:ascii="Calibri" w:hAnsi="Calibri" w:cs="Arial"/>
                <w:b/>
                <w:sz w:val="15"/>
                <w:szCs w:val="15"/>
              </w:rPr>
            </w:pPr>
            <w:r w:rsidRPr="00D13EB3">
              <w:rPr>
                <w:rFonts w:ascii="Calibri" w:hAnsi="Calibri" w:cs="Arial"/>
                <w:b/>
                <w:sz w:val="15"/>
                <w:szCs w:val="15"/>
              </w:rPr>
              <w:t>Net exposure of portfolio after the effect of mitigation through collateral received Stage 1</w:t>
            </w:r>
          </w:p>
        </w:tc>
        <w:tc>
          <w:tcPr>
            <w:tcW w:w="344" w:type="pct"/>
            <w:vAlign w:val="bottom"/>
          </w:tcPr>
          <w:p w14:paraId="3D16C5B5" w14:textId="77777777" w:rsidR="00B16158" w:rsidRPr="00D13EB3" w:rsidRDefault="00B16158" w:rsidP="00B16158">
            <w:pPr>
              <w:spacing w:after="40" w:line="240" w:lineRule="auto"/>
              <w:jc w:val="right"/>
              <w:rPr>
                <w:rFonts w:ascii="Calibri" w:hAnsi="Calibri" w:cs="Arial"/>
                <w:b/>
                <w:sz w:val="15"/>
                <w:szCs w:val="15"/>
                <w:highlight w:val="yellow"/>
              </w:rPr>
            </w:pPr>
            <w:r w:rsidRPr="00D13EB3">
              <w:rPr>
                <w:rFonts w:ascii="Calibri" w:hAnsi="Calibri" w:cs="Arial"/>
                <w:b/>
                <w:sz w:val="15"/>
                <w:szCs w:val="15"/>
              </w:rPr>
              <w:t>Net exposure of portfolio after the effect of mitigation through collateral received Stage 2</w:t>
            </w:r>
          </w:p>
        </w:tc>
        <w:tc>
          <w:tcPr>
            <w:tcW w:w="344" w:type="pct"/>
            <w:vAlign w:val="bottom"/>
          </w:tcPr>
          <w:p w14:paraId="2DAB9682" w14:textId="77777777" w:rsidR="00B16158" w:rsidRPr="00D13EB3" w:rsidRDefault="00B16158" w:rsidP="00B16158">
            <w:pPr>
              <w:spacing w:after="40" w:line="240" w:lineRule="auto"/>
              <w:jc w:val="right"/>
              <w:rPr>
                <w:rFonts w:ascii="Calibri" w:hAnsi="Calibri" w:cs="Arial"/>
                <w:b/>
                <w:sz w:val="15"/>
                <w:szCs w:val="15"/>
                <w:highlight w:val="yellow"/>
              </w:rPr>
            </w:pPr>
            <w:r w:rsidRPr="00D13EB3">
              <w:rPr>
                <w:rFonts w:ascii="Calibri" w:hAnsi="Calibri" w:cs="Arial"/>
                <w:b/>
                <w:sz w:val="15"/>
                <w:szCs w:val="15"/>
              </w:rPr>
              <w:t>Net exposure of portfolio after the effect of mitigation through collateral received Stage 3</w:t>
            </w:r>
          </w:p>
        </w:tc>
        <w:tc>
          <w:tcPr>
            <w:tcW w:w="343" w:type="pct"/>
            <w:vAlign w:val="bottom"/>
          </w:tcPr>
          <w:p w14:paraId="2AB9C654" w14:textId="77777777" w:rsidR="00B16158" w:rsidRPr="00D13EB3" w:rsidRDefault="00B16158" w:rsidP="00B16158">
            <w:pPr>
              <w:spacing w:after="40" w:line="240" w:lineRule="auto"/>
              <w:jc w:val="right"/>
              <w:rPr>
                <w:rFonts w:ascii="Calibri" w:hAnsi="Calibri" w:cs="Arial"/>
                <w:b/>
                <w:sz w:val="15"/>
                <w:szCs w:val="15"/>
              </w:rPr>
            </w:pPr>
            <w:r w:rsidRPr="00D13EB3">
              <w:rPr>
                <w:rFonts w:ascii="Calibri" w:hAnsi="Calibri" w:cs="Arial"/>
                <w:b/>
                <w:sz w:val="15"/>
                <w:szCs w:val="15"/>
              </w:rPr>
              <w:t>Net exposure  of portfolio after the effect of mitigation through collateral received POCI</w:t>
            </w:r>
          </w:p>
        </w:tc>
        <w:tc>
          <w:tcPr>
            <w:tcW w:w="344" w:type="pct"/>
            <w:vAlign w:val="bottom"/>
          </w:tcPr>
          <w:p w14:paraId="33FA5AD6" w14:textId="77777777" w:rsidR="00B16158" w:rsidRPr="00D13EB3" w:rsidRDefault="00B16158" w:rsidP="00B16158">
            <w:pPr>
              <w:spacing w:after="40" w:line="240" w:lineRule="auto"/>
              <w:jc w:val="right"/>
              <w:rPr>
                <w:rFonts w:ascii="Calibri" w:hAnsi="Calibri" w:cs="Arial"/>
                <w:b/>
                <w:sz w:val="15"/>
                <w:szCs w:val="15"/>
              </w:rPr>
            </w:pPr>
            <w:r w:rsidRPr="00D13EB3">
              <w:rPr>
                <w:rFonts w:ascii="Calibri" w:hAnsi="Calibri" w:cs="Arial"/>
                <w:b/>
                <w:sz w:val="15"/>
                <w:szCs w:val="15"/>
              </w:rPr>
              <w:t>Not subject to IFRS 9 after the effect of mitigation through</w:t>
            </w:r>
          </w:p>
          <w:p w14:paraId="267B80D0" w14:textId="77777777" w:rsidR="00B16158" w:rsidRPr="00D13EB3" w:rsidRDefault="00B16158" w:rsidP="00B16158">
            <w:pPr>
              <w:spacing w:after="40" w:line="240" w:lineRule="auto"/>
              <w:jc w:val="right"/>
              <w:rPr>
                <w:rFonts w:ascii="Calibri" w:hAnsi="Calibri" w:cs="Arial"/>
                <w:b/>
                <w:sz w:val="15"/>
                <w:szCs w:val="15"/>
                <w:highlight w:val="yellow"/>
              </w:rPr>
            </w:pPr>
            <w:r w:rsidRPr="00D13EB3">
              <w:rPr>
                <w:rFonts w:ascii="Calibri" w:hAnsi="Calibri" w:cs="Arial"/>
                <w:b/>
                <w:sz w:val="15"/>
                <w:szCs w:val="15"/>
              </w:rPr>
              <w:t xml:space="preserve"> collateral received</w:t>
            </w:r>
          </w:p>
        </w:tc>
        <w:tc>
          <w:tcPr>
            <w:tcW w:w="343" w:type="pct"/>
            <w:vAlign w:val="bottom"/>
          </w:tcPr>
          <w:p w14:paraId="6B096076" w14:textId="77777777" w:rsidR="00B16158" w:rsidRPr="00D13EB3" w:rsidRDefault="00B16158" w:rsidP="00B16158">
            <w:pPr>
              <w:spacing w:after="40" w:line="240" w:lineRule="auto"/>
              <w:jc w:val="right"/>
              <w:rPr>
                <w:rFonts w:ascii="Calibri" w:hAnsi="Calibri" w:cs="Arial"/>
                <w:b/>
                <w:sz w:val="15"/>
                <w:szCs w:val="15"/>
                <w:highlight w:val="yellow"/>
              </w:rPr>
            </w:pPr>
            <w:r w:rsidRPr="00D13EB3">
              <w:rPr>
                <w:rFonts w:ascii="Calibri" w:hAnsi="Calibri" w:cs="Arial"/>
                <w:b/>
                <w:sz w:val="15"/>
                <w:szCs w:val="15"/>
              </w:rPr>
              <w:t xml:space="preserve">Net exposure of total portfolio after the effect of mitigation through collateral received </w:t>
            </w:r>
          </w:p>
        </w:tc>
      </w:tr>
      <w:tr w:rsidR="00B16158" w:rsidRPr="00D13EB3" w14:paraId="0FB17FC1" w14:textId="77777777" w:rsidTr="00E44437">
        <w:trPr>
          <w:trHeight w:val="126"/>
          <w:jc w:val="center"/>
        </w:trPr>
        <w:tc>
          <w:tcPr>
            <w:tcW w:w="877" w:type="pct"/>
          </w:tcPr>
          <w:p w14:paraId="150A69BA" w14:textId="77777777" w:rsidR="00B16158" w:rsidRPr="00D13EB3" w:rsidRDefault="00B16158" w:rsidP="00B16158">
            <w:pPr>
              <w:spacing w:after="40" w:line="240" w:lineRule="auto"/>
              <w:rPr>
                <w:rFonts w:ascii="Calibri" w:hAnsi="Calibri" w:cs="Arial"/>
                <w:b/>
                <w:bCs/>
                <w:sz w:val="15"/>
                <w:szCs w:val="15"/>
              </w:rPr>
            </w:pPr>
          </w:p>
        </w:tc>
        <w:tc>
          <w:tcPr>
            <w:tcW w:w="343" w:type="pct"/>
          </w:tcPr>
          <w:p w14:paraId="4B86BA85" w14:textId="77777777" w:rsidR="00B16158" w:rsidRPr="00D13EB3" w:rsidRDefault="00B16158" w:rsidP="00B16158">
            <w:pPr>
              <w:spacing w:after="40" w:line="240" w:lineRule="auto"/>
              <w:jc w:val="right"/>
              <w:rPr>
                <w:rFonts w:ascii="Calibri" w:hAnsi="Calibri" w:cs="Arial"/>
                <w:b/>
                <w:sz w:val="15"/>
                <w:szCs w:val="15"/>
              </w:rPr>
            </w:pPr>
            <w:r w:rsidRPr="00D13EB3">
              <w:rPr>
                <w:rFonts w:ascii="Calibri" w:hAnsi="Calibri" w:cs="Arial"/>
                <w:b/>
                <w:sz w:val="15"/>
                <w:szCs w:val="15"/>
              </w:rPr>
              <w:t>HRK ‘000</w:t>
            </w:r>
          </w:p>
        </w:tc>
        <w:tc>
          <w:tcPr>
            <w:tcW w:w="344" w:type="pct"/>
          </w:tcPr>
          <w:p w14:paraId="0AAE51C4" w14:textId="77777777" w:rsidR="00B16158" w:rsidRPr="00D13EB3" w:rsidRDefault="00B16158" w:rsidP="00B16158">
            <w:pPr>
              <w:spacing w:after="40" w:line="240" w:lineRule="auto"/>
              <w:jc w:val="right"/>
              <w:rPr>
                <w:rFonts w:ascii="Calibri" w:hAnsi="Calibri" w:cs="Arial"/>
                <w:b/>
                <w:sz w:val="15"/>
                <w:szCs w:val="15"/>
              </w:rPr>
            </w:pPr>
            <w:r w:rsidRPr="00D13EB3">
              <w:rPr>
                <w:rFonts w:ascii="Calibri" w:hAnsi="Calibri" w:cs="Arial"/>
                <w:b/>
                <w:sz w:val="15"/>
                <w:szCs w:val="15"/>
              </w:rPr>
              <w:t>HRK ‘000</w:t>
            </w:r>
          </w:p>
        </w:tc>
        <w:tc>
          <w:tcPr>
            <w:tcW w:w="344" w:type="pct"/>
          </w:tcPr>
          <w:p w14:paraId="5C8390B0" w14:textId="77777777" w:rsidR="00B16158" w:rsidRPr="00D13EB3" w:rsidRDefault="00B16158" w:rsidP="00B16158">
            <w:pPr>
              <w:spacing w:after="40" w:line="240" w:lineRule="auto"/>
              <w:jc w:val="right"/>
              <w:rPr>
                <w:rFonts w:ascii="Calibri" w:hAnsi="Calibri" w:cs="Arial"/>
                <w:b/>
                <w:sz w:val="15"/>
                <w:szCs w:val="15"/>
              </w:rPr>
            </w:pPr>
            <w:r w:rsidRPr="00D13EB3">
              <w:rPr>
                <w:rFonts w:ascii="Calibri" w:hAnsi="Calibri" w:cs="Arial"/>
                <w:b/>
                <w:sz w:val="15"/>
                <w:szCs w:val="15"/>
              </w:rPr>
              <w:t>HRK ‘000</w:t>
            </w:r>
          </w:p>
        </w:tc>
        <w:tc>
          <w:tcPr>
            <w:tcW w:w="343" w:type="pct"/>
          </w:tcPr>
          <w:p w14:paraId="3E528A87" w14:textId="77777777" w:rsidR="00B16158" w:rsidRPr="00D13EB3" w:rsidRDefault="00B16158" w:rsidP="00B16158">
            <w:pPr>
              <w:spacing w:after="40" w:line="240" w:lineRule="auto"/>
              <w:jc w:val="right"/>
              <w:rPr>
                <w:rFonts w:ascii="Calibri" w:hAnsi="Calibri" w:cs="Arial"/>
                <w:b/>
                <w:sz w:val="15"/>
                <w:szCs w:val="15"/>
              </w:rPr>
            </w:pPr>
            <w:r w:rsidRPr="00D13EB3">
              <w:rPr>
                <w:rFonts w:ascii="Calibri" w:hAnsi="Calibri" w:cs="Arial"/>
                <w:b/>
                <w:sz w:val="15"/>
                <w:szCs w:val="15"/>
              </w:rPr>
              <w:t>HRK ‘000</w:t>
            </w:r>
          </w:p>
        </w:tc>
        <w:tc>
          <w:tcPr>
            <w:tcW w:w="344" w:type="pct"/>
          </w:tcPr>
          <w:p w14:paraId="7F9927AB" w14:textId="77777777" w:rsidR="00B16158" w:rsidRPr="00D13EB3" w:rsidRDefault="00B16158" w:rsidP="00B16158">
            <w:pPr>
              <w:spacing w:after="40" w:line="240" w:lineRule="auto"/>
              <w:jc w:val="right"/>
              <w:rPr>
                <w:rFonts w:ascii="Calibri" w:hAnsi="Calibri" w:cs="Arial"/>
                <w:b/>
                <w:sz w:val="15"/>
                <w:szCs w:val="15"/>
              </w:rPr>
            </w:pPr>
            <w:r w:rsidRPr="00D13EB3">
              <w:rPr>
                <w:rFonts w:ascii="Calibri" w:hAnsi="Calibri" w:cs="Arial"/>
                <w:b/>
                <w:sz w:val="15"/>
                <w:szCs w:val="15"/>
              </w:rPr>
              <w:t>HRK ‘000</w:t>
            </w:r>
          </w:p>
        </w:tc>
        <w:tc>
          <w:tcPr>
            <w:tcW w:w="344" w:type="pct"/>
          </w:tcPr>
          <w:p w14:paraId="3193C807" w14:textId="77777777" w:rsidR="00B16158" w:rsidRPr="00D13EB3" w:rsidRDefault="00B16158" w:rsidP="00B16158">
            <w:pPr>
              <w:spacing w:after="40" w:line="240" w:lineRule="auto"/>
              <w:jc w:val="right"/>
              <w:rPr>
                <w:rFonts w:ascii="Calibri" w:hAnsi="Calibri" w:cs="Arial"/>
                <w:b/>
                <w:sz w:val="15"/>
                <w:szCs w:val="15"/>
              </w:rPr>
            </w:pPr>
            <w:r w:rsidRPr="00D13EB3">
              <w:rPr>
                <w:rFonts w:ascii="Calibri" w:hAnsi="Calibri" w:cs="Arial"/>
                <w:b/>
                <w:sz w:val="15"/>
                <w:szCs w:val="15"/>
              </w:rPr>
              <w:t>HRK ‘000</w:t>
            </w:r>
          </w:p>
        </w:tc>
        <w:tc>
          <w:tcPr>
            <w:tcW w:w="343" w:type="pct"/>
          </w:tcPr>
          <w:p w14:paraId="0D6D8698" w14:textId="77777777" w:rsidR="00B16158" w:rsidRPr="00D13EB3" w:rsidRDefault="00B16158" w:rsidP="00B16158">
            <w:pPr>
              <w:spacing w:after="40" w:line="240" w:lineRule="auto"/>
              <w:jc w:val="right"/>
              <w:rPr>
                <w:rFonts w:ascii="Calibri" w:hAnsi="Calibri" w:cs="Arial"/>
                <w:b/>
                <w:sz w:val="15"/>
                <w:szCs w:val="15"/>
              </w:rPr>
            </w:pPr>
            <w:r w:rsidRPr="00D13EB3">
              <w:rPr>
                <w:rFonts w:ascii="Calibri" w:hAnsi="Calibri" w:cs="Arial"/>
                <w:b/>
                <w:sz w:val="15"/>
                <w:szCs w:val="15"/>
              </w:rPr>
              <w:t>HRK ‘000</w:t>
            </w:r>
          </w:p>
        </w:tc>
        <w:tc>
          <w:tcPr>
            <w:tcW w:w="344" w:type="pct"/>
          </w:tcPr>
          <w:p w14:paraId="3DD124B9" w14:textId="77777777" w:rsidR="00B16158" w:rsidRPr="00D13EB3" w:rsidRDefault="00B16158" w:rsidP="00B16158">
            <w:pPr>
              <w:spacing w:after="40" w:line="240" w:lineRule="auto"/>
              <w:jc w:val="right"/>
              <w:rPr>
                <w:rFonts w:ascii="Calibri" w:hAnsi="Calibri" w:cs="Arial"/>
                <w:b/>
                <w:sz w:val="15"/>
                <w:szCs w:val="15"/>
              </w:rPr>
            </w:pPr>
            <w:r w:rsidRPr="00D13EB3">
              <w:rPr>
                <w:rFonts w:ascii="Calibri" w:hAnsi="Calibri" w:cs="Arial"/>
                <w:b/>
                <w:sz w:val="15"/>
                <w:szCs w:val="15"/>
              </w:rPr>
              <w:t>HRK ‘000</w:t>
            </w:r>
          </w:p>
        </w:tc>
        <w:tc>
          <w:tcPr>
            <w:tcW w:w="344" w:type="pct"/>
          </w:tcPr>
          <w:p w14:paraId="1B7AAD31" w14:textId="77777777" w:rsidR="00B16158" w:rsidRPr="00D13EB3" w:rsidRDefault="00B16158" w:rsidP="00B16158">
            <w:pPr>
              <w:spacing w:after="40" w:line="240" w:lineRule="auto"/>
              <w:jc w:val="right"/>
              <w:rPr>
                <w:rFonts w:ascii="Calibri" w:hAnsi="Calibri" w:cs="Arial"/>
                <w:b/>
                <w:sz w:val="15"/>
                <w:szCs w:val="15"/>
              </w:rPr>
            </w:pPr>
            <w:r w:rsidRPr="00D13EB3">
              <w:rPr>
                <w:rFonts w:ascii="Calibri" w:hAnsi="Calibri" w:cs="Arial"/>
                <w:b/>
                <w:sz w:val="15"/>
                <w:szCs w:val="15"/>
              </w:rPr>
              <w:t>HRK ‘000</w:t>
            </w:r>
          </w:p>
        </w:tc>
        <w:tc>
          <w:tcPr>
            <w:tcW w:w="343" w:type="pct"/>
          </w:tcPr>
          <w:p w14:paraId="4C52FE6D" w14:textId="77777777" w:rsidR="00B16158" w:rsidRPr="00D13EB3" w:rsidRDefault="00B16158" w:rsidP="00B16158">
            <w:pPr>
              <w:spacing w:after="40" w:line="240" w:lineRule="auto"/>
              <w:jc w:val="right"/>
              <w:rPr>
                <w:rFonts w:ascii="Calibri" w:hAnsi="Calibri" w:cs="Arial"/>
                <w:b/>
                <w:sz w:val="15"/>
                <w:szCs w:val="15"/>
              </w:rPr>
            </w:pPr>
            <w:r w:rsidRPr="00D13EB3">
              <w:rPr>
                <w:rFonts w:ascii="Calibri" w:hAnsi="Calibri" w:cs="Arial"/>
                <w:b/>
                <w:sz w:val="15"/>
                <w:szCs w:val="15"/>
              </w:rPr>
              <w:t>HRK ‘000</w:t>
            </w:r>
          </w:p>
        </w:tc>
        <w:tc>
          <w:tcPr>
            <w:tcW w:w="344" w:type="pct"/>
          </w:tcPr>
          <w:p w14:paraId="26F77C55" w14:textId="77777777" w:rsidR="00B16158" w:rsidRPr="00D13EB3" w:rsidRDefault="00B16158" w:rsidP="00B16158">
            <w:pPr>
              <w:spacing w:after="40" w:line="240" w:lineRule="auto"/>
              <w:jc w:val="right"/>
              <w:rPr>
                <w:rFonts w:ascii="Calibri" w:hAnsi="Calibri" w:cs="Arial"/>
                <w:b/>
                <w:sz w:val="15"/>
                <w:szCs w:val="15"/>
              </w:rPr>
            </w:pPr>
            <w:r w:rsidRPr="00D13EB3">
              <w:rPr>
                <w:rFonts w:ascii="Calibri" w:hAnsi="Calibri" w:cs="Arial"/>
                <w:b/>
                <w:sz w:val="15"/>
                <w:szCs w:val="15"/>
              </w:rPr>
              <w:t>HRK ‘000</w:t>
            </w:r>
          </w:p>
        </w:tc>
        <w:tc>
          <w:tcPr>
            <w:tcW w:w="343" w:type="pct"/>
          </w:tcPr>
          <w:p w14:paraId="7F698F75" w14:textId="77777777" w:rsidR="00B16158" w:rsidRPr="00D13EB3" w:rsidRDefault="00B16158" w:rsidP="00B16158">
            <w:pPr>
              <w:spacing w:after="40" w:line="240" w:lineRule="auto"/>
              <w:jc w:val="right"/>
              <w:rPr>
                <w:rFonts w:ascii="Calibri" w:hAnsi="Calibri" w:cs="Arial"/>
                <w:b/>
                <w:sz w:val="15"/>
                <w:szCs w:val="15"/>
              </w:rPr>
            </w:pPr>
            <w:r w:rsidRPr="00D13EB3">
              <w:rPr>
                <w:rFonts w:ascii="Calibri" w:hAnsi="Calibri" w:cs="Arial"/>
                <w:b/>
                <w:sz w:val="15"/>
                <w:szCs w:val="15"/>
              </w:rPr>
              <w:t>HRK ‘000</w:t>
            </w:r>
          </w:p>
        </w:tc>
      </w:tr>
      <w:tr w:rsidR="00B16158" w:rsidRPr="00D13EB3" w14:paraId="5A4FFB2A" w14:textId="77777777" w:rsidTr="00E44437">
        <w:trPr>
          <w:trHeight w:val="92"/>
          <w:jc w:val="center"/>
        </w:trPr>
        <w:tc>
          <w:tcPr>
            <w:tcW w:w="877" w:type="pct"/>
          </w:tcPr>
          <w:p w14:paraId="277ED985" w14:textId="77777777" w:rsidR="00B16158" w:rsidRPr="00D13EB3" w:rsidRDefault="00B16158" w:rsidP="00B16158">
            <w:pPr>
              <w:tabs>
                <w:tab w:val="right" w:pos="1202"/>
              </w:tabs>
              <w:spacing w:after="40" w:line="240" w:lineRule="auto"/>
              <w:outlineLvl w:val="0"/>
              <w:rPr>
                <w:rFonts w:ascii="Calibri" w:hAnsi="Calibri" w:cs="Arial"/>
                <w:b/>
                <w:bCs/>
                <w:sz w:val="15"/>
                <w:szCs w:val="15"/>
              </w:rPr>
            </w:pPr>
            <w:r w:rsidRPr="00D13EB3">
              <w:rPr>
                <w:rFonts w:ascii="Calibri" w:hAnsi="Calibri" w:cs="Arial"/>
                <w:b/>
                <w:bCs/>
                <w:sz w:val="15"/>
                <w:szCs w:val="15"/>
              </w:rPr>
              <w:t>Assets</w:t>
            </w:r>
          </w:p>
        </w:tc>
        <w:tc>
          <w:tcPr>
            <w:tcW w:w="343" w:type="pct"/>
            <w:vAlign w:val="bottom"/>
          </w:tcPr>
          <w:p w14:paraId="486B84F4" w14:textId="77777777" w:rsidR="00B16158" w:rsidRPr="00D13EB3" w:rsidRDefault="00B16158" w:rsidP="00B16158">
            <w:pPr>
              <w:tabs>
                <w:tab w:val="right" w:pos="1202"/>
              </w:tabs>
              <w:spacing w:after="40" w:line="240" w:lineRule="auto"/>
              <w:jc w:val="right"/>
              <w:outlineLvl w:val="0"/>
              <w:rPr>
                <w:rFonts w:ascii="Calibri" w:hAnsi="Calibri" w:cs="Arial"/>
                <w:b/>
                <w:bCs/>
                <w:sz w:val="15"/>
                <w:szCs w:val="15"/>
              </w:rPr>
            </w:pPr>
          </w:p>
        </w:tc>
        <w:tc>
          <w:tcPr>
            <w:tcW w:w="344" w:type="pct"/>
            <w:vAlign w:val="bottom"/>
          </w:tcPr>
          <w:p w14:paraId="5FD862F9" w14:textId="77777777" w:rsidR="00B16158" w:rsidRPr="00D13EB3" w:rsidRDefault="00B16158" w:rsidP="00B16158">
            <w:pPr>
              <w:tabs>
                <w:tab w:val="right" w:pos="1202"/>
              </w:tabs>
              <w:spacing w:after="40" w:line="240" w:lineRule="auto"/>
              <w:jc w:val="right"/>
              <w:outlineLvl w:val="0"/>
              <w:rPr>
                <w:rFonts w:ascii="Calibri" w:hAnsi="Calibri" w:cs="Arial"/>
                <w:b/>
                <w:bCs/>
                <w:sz w:val="15"/>
                <w:szCs w:val="15"/>
              </w:rPr>
            </w:pPr>
          </w:p>
        </w:tc>
        <w:tc>
          <w:tcPr>
            <w:tcW w:w="344" w:type="pct"/>
            <w:vAlign w:val="bottom"/>
          </w:tcPr>
          <w:p w14:paraId="0B59DE99" w14:textId="77777777" w:rsidR="00B16158" w:rsidRPr="00D13EB3" w:rsidRDefault="00B16158" w:rsidP="00B16158">
            <w:pPr>
              <w:tabs>
                <w:tab w:val="right" w:pos="1202"/>
              </w:tabs>
              <w:spacing w:after="40" w:line="240" w:lineRule="auto"/>
              <w:jc w:val="right"/>
              <w:outlineLvl w:val="0"/>
              <w:rPr>
                <w:rFonts w:ascii="Calibri" w:hAnsi="Calibri" w:cs="Arial"/>
                <w:b/>
                <w:bCs/>
                <w:sz w:val="15"/>
                <w:szCs w:val="15"/>
              </w:rPr>
            </w:pPr>
          </w:p>
        </w:tc>
        <w:tc>
          <w:tcPr>
            <w:tcW w:w="343" w:type="pct"/>
            <w:vAlign w:val="bottom"/>
          </w:tcPr>
          <w:p w14:paraId="11BD5BE4" w14:textId="77777777" w:rsidR="00B16158" w:rsidRPr="00D13EB3" w:rsidRDefault="00B16158" w:rsidP="00B16158">
            <w:pPr>
              <w:tabs>
                <w:tab w:val="right" w:pos="1202"/>
              </w:tabs>
              <w:spacing w:after="40" w:line="240" w:lineRule="auto"/>
              <w:jc w:val="right"/>
              <w:outlineLvl w:val="0"/>
              <w:rPr>
                <w:rFonts w:ascii="Calibri" w:hAnsi="Calibri" w:cs="Arial"/>
                <w:b/>
                <w:bCs/>
                <w:sz w:val="15"/>
                <w:szCs w:val="15"/>
              </w:rPr>
            </w:pPr>
          </w:p>
        </w:tc>
        <w:tc>
          <w:tcPr>
            <w:tcW w:w="344" w:type="pct"/>
            <w:vAlign w:val="bottom"/>
          </w:tcPr>
          <w:p w14:paraId="287AF82C" w14:textId="77777777" w:rsidR="00B16158" w:rsidRPr="00D13EB3" w:rsidRDefault="00B16158" w:rsidP="00B16158">
            <w:pPr>
              <w:tabs>
                <w:tab w:val="right" w:pos="1202"/>
              </w:tabs>
              <w:spacing w:after="40" w:line="240" w:lineRule="auto"/>
              <w:jc w:val="right"/>
              <w:outlineLvl w:val="0"/>
              <w:rPr>
                <w:rFonts w:ascii="Calibri" w:hAnsi="Calibri" w:cs="Arial"/>
                <w:b/>
                <w:bCs/>
                <w:sz w:val="15"/>
                <w:szCs w:val="15"/>
              </w:rPr>
            </w:pPr>
          </w:p>
        </w:tc>
        <w:tc>
          <w:tcPr>
            <w:tcW w:w="344" w:type="pct"/>
            <w:vAlign w:val="bottom"/>
          </w:tcPr>
          <w:p w14:paraId="108F6842" w14:textId="77777777" w:rsidR="00B16158" w:rsidRPr="00D13EB3" w:rsidRDefault="00B16158" w:rsidP="00B16158">
            <w:pPr>
              <w:tabs>
                <w:tab w:val="right" w:pos="1202"/>
              </w:tabs>
              <w:spacing w:after="40" w:line="240" w:lineRule="auto"/>
              <w:jc w:val="right"/>
              <w:outlineLvl w:val="0"/>
              <w:rPr>
                <w:rFonts w:ascii="Calibri" w:hAnsi="Calibri" w:cs="Arial"/>
                <w:b/>
                <w:bCs/>
                <w:sz w:val="15"/>
                <w:szCs w:val="15"/>
              </w:rPr>
            </w:pPr>
          </w:p>
        </w:tc>
        <w:tc>
          <w:tcPr>
            <w:tcW w:w="343" w:type="pct"/>
            <w:vAlign w:val="bottom"/>
          </w:tcPr>
          <w:p w14:paraId="689F6F43" w14:textId="77777777" w:rsidR="00B16158" w:rsidRPr="00D13EB3" w:rsidRDefault="00B16158" w:rsidP="00B16158">
            <w:pPr>
              <w:tabs>
                <w:tab w:val="right" w:pos="1202"/>
              </w:tabs>
              <w:spacing w:after="40" w:line="240" w:lineRule="auto"/>
              <w:jc w:val="right"/>
              <w:outlineLvl w:val="0"/>
              <w:rPr>
                <w:rFonts w:ascii="Calibri" w:hAnsi="Calibri" w:cs="Arial"/>
                <w:b/>
                <w:bCs/>
                <w:sz w:val="15"/>
                <w:szCs w:val="15"/>
              </w:rPr>
            </w:pPr>
          </w:p>
        </w:tc>
        <w:tc>
          <w:tcPr>
            <w:tcW w:w="344" w:type="pct"/>
            <w:vAlign w:val="bottom"/>
          </w:tcPr>
          <w:p w14:paraId="477C3B86" w14:textId="77777777" w:rsidR="00B16158" w:rsidRPr="00D13EB3" w:rsidRDefault="00B16158" w:rsidP="00B16158">
            <w:pPr>
              <w:tabs>
                <w:tab w:val="right" w:pos="1202"/>
              </w:tabs>
              <w:spacing w:after="40" w:line="240" w:lineRule="auto"/>
              <w:jc w:val="right"/>
              <w:outlineLvl w:val="0"/>
              <w:rPr>
                <w:rFonts w:ascii="Calibri" w:hAnsi="Calibri" w:cs="Arial"/>
                <w:b/>
                <w:bCs/>
                <w:sz w:val="15"/>
                <w:szCs w:val="15"/>
              </w:rPr>
            </w:pPr>
          </w:p>
        </w:tc>
        <w:tc>
          <w:tcPr>
            <w:tcW w:w="344" w:type="pct"/>
            <w:vAlign w:val="bottom"/>
          </w:tcPr>
          <w:p w14:paraId="040469E3" w14:textId="77777777" w:rsidR="00B16158" w:rsidRPr="00D13EB3" w:rsidRDefault="00B16158" w:rsidP="00B16158">
            <w:pPr>
              <w:tabs>
                <w:tab w:val="right" w:pos="1202"/>
              </w:tabs>
              <w:spacing w:after="40" w:line="240" w:lineRule="auto"/>
              <w:jc w:val="right"/>
              <w:outlineLvl w:val="0"/>
              <w:rPr>
                <w:rFonts w:ascii="Calibri" w:hAnsi="Calibri" w:cs="Arial"/>
                <w:b/>
                <w:bCs/>
                <w:sz w:val="15"/>
                <w:szCs w:val="15"/>
              </w:rPr>
            </w:pPr>
          </w:p>
        </w:tc>
        <w:tc>
          <w:tcPr>
            <w:tcW w:w="343" w:type="pct"/>
            <w:vAlign w:val="bottom"/>
          </w:tcPr>
          <w:p w14:paraId="385ED3A6" w14:textId="77777777" w:rsidR="00B16158" w:rsidRPr="00D13EB3" w:rsidRDefault="00B16158" w:rsidP="00B16158">
            <w:pPr>
              <w:tabs>
                <w:tab w:val="right" w:pos="1202"/>
              </w:tabs>
              <w:spacing w:after="40" w:line="240" w:lineRule="auto"/>
              <w:jc w:val="right"/>
              <w:outlineLvl w:val="0"/>
              <w:rPr>
                <w:rFonts w:ascii="Calibri" w:hAnsi="Calibri" w:cs="Arial"/>
                <w:b/>
                <w:bCs/>
                <w:sz w:val="15"/>
                <w:szCs w:val="15"/>
              </w:rPr>
            </w:pPr>
          </w:p>
        </w:tc>
        <w:tc>
          <w:tcPr>
            <w:tcW w:w="344" w:type="pct"/>
            <w:vAlign w:val="bottom"/>
          </w:tcPr>
          <w:p w14:paraId="28EA6B43" w14:textId="77777777" w:rsidR="00B16158" w:rsidRPr="00D13EB3" w:rsidRDefault="00B16158" w:rsidP="00B16158">
            <w:pPr>
              <w:tabs>
                <w:tab w:val="right" w:pos="1202"/>
              </w:tabs>
              <w:spacing w:after="40" w:line="240" w:lineRule="auto"/>
              <w:jc w:val="right"/>
              <w:outlineLvl w:val="0"/>
              <w:rPr>
                <w:rFonts w:ascii="Calibri" w:hAnsi="Calibri" w:cs="Arial"/>
                <w:b/>
                <w:bCs/>
                <w:sz w:val="15"/>
                <w:szCs w:val="15"/>
              </w:rPr>
            </w:pPr>
          </w:p>
        </w:tc>
        <w:tc>
          <w:tcPr>
            <w:tcW w:w="343" w:type="pct"/>
            <w:vAlign w:val="bottom"/>
          </w:tcPr>
          <w:p w14:paraId="4421A8A8" w14:textId="77777777" w:rsidR="00B16158" w:rsidRPr="00D13EB3" w:rsidRDefault="00B16158" w:rsidP="00B16158">
            <w:pPr>
              <w:tabs>
                <w:tab w:val="right" w:pos="1202"/>
              </w:tabs>
              <w:spacing w:after="40" w:line="240" w:lineRule="auto"/>
              <w:jc w:val="right"/>
              <w:outlineLvl w:val="0"/>
              <w:rPr>
                <w:rFonts w:ascii="Calibri" w:hAnsi="Calibri" w:cs="Arial"/>
                <w:b/>
                <w:bCs/>
                <w:sz w:val="15"/>
                <w:szCs w:val="15"/>
              </w:rPr>
            </w:pPr>
          </w:p>
        </w:tc>
      </w:tr>
      <w:tr w:rsidR="00B16158" w:rsidRPr="00D13EB3" w14:paraId="09B52B98" w14:textId="77777777" w:rsidTr="00E44437">
        <w:trPr>
          <w:trHeight w:val="149"/>
          <w:jc w:val="center"/>
        </w:trPr>
        <w:tc>
          <w:tcPr>
            <w:tcW w:w="877" w:type="pct"/>
            <w:vAlign w:val="bottom"/>
          </w:tcPr>
          <w:p w14:paraId="496354B2" w14:textId="77777777" w:rsidR="00B16158" w:rsidRPr="00D13EB3" w:rsidRDefault="00B16158" w:rsidP="00B16158">
            <w:pPr>
              <w:tabs>
                <w:tab w:val="right" w:pos="1202"/>
              </w:tabs>
              <w:spacing w:after="40" w:line="240" w:lineRule="auto"/>
              <w:outlineLvl w:val="0"/>
              <w:rPr>
                <w:rFonts w:ascii="Calibri" w:hAnsi="Calibri"/>
                <w:sz w:val="15"/>
                <w:szCs w:val="15"/>
              </w:rPr>
            </w:pPr>
            <w:r w:rsidRPr="00D13EB3">
              <w:rPr>
                <w:rFonts w:ascii="Calibri" w:hAnsi="Calibri"/>
                <w:sz w:val="15"/>
                <w:szCs w:val="15"/>
              </w:rPr>
              <w:t>Cash on hand and current accounts with banks</w:t>
            </w:r>
          </w:p>
        </w:tc>
        <w:tc>
          <w:tcPr>
            <w:tcW w:w="343" w:type="pct"/>
            <w:tcBorders>
              <w:top w:val="nil"/>
              <w:left w:val="nil"/>
              <w:bottom w:val="nil"/>
              <w:right w:val="nil"/>
            </w:tcBorders>
            <w:shd w:val="clear" w:color="auto" w:fill="auto"/>
            <w:vAlign w:val="bottom"/>
          </w:tcPr>
          <w:p w14:paraId="02B513B9"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1</w:t>
            </w:r>
            <w:r>
              <w:rPr>
                <w:sz w:val="15"/>
                <w:szCs w:val="15"/>
              </w:rPr>
              <w:t>,</w:t>
            </w:r>
            <w:r w:rsidRPr="001B1B87">
              <w:rPr>
                <w:sz w:val="15"/>
                <w:szCs w:val="15"/>
              </w:rPr>
              <w:t>961</w:t>
            </w:r>
            <w:r>
              <w:rPr>
                <w:sz w:val="15"/>
                <w:szCs w:val="15"/>
              </w:rPr>
              <w:t>,</w:t>
            </w:r>
            <w:r w:rsidRPr="001B1B87">
              <w:rPr>
                <w:sz w:val="15"/>
                <w:szCs w:val="15"/>
              </w:rPr>
              <w:t xml:space="preserve">985 </w:t>
            </w:r>
          </w:p>
        </w:tc>
        <w:tc>
          <w:tcPr>
            <w:tcW w:w="344" w:type="pct"/>
            <w:tcBorders>
              <w:top w:val="nil"/>
              <w:left w:val="nil"/>
              <w:bottom w:val="nil"/>
              <w:right w:val="nil"/>
            </w:tcBorders>
            <w:shd w:val="clear" w:color="auto" w:fill="auto"/>
            <w:vAlign w:val="bottom"/>
          </w:tcPr>
          <w:p w14:paraId="77C258A0"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 </w:t>
            </w:r>
          </w:p>
        </w:tc>
        <w:tc>
          <w:tcPr>
            <w:tcW w:w="344" w:type="pct"/>
            <w:tcBorders>
              <w:top w:val="nil"/>
              <w:left w:val="nil"/>
              <w:bottom w:val="nil"/>
              <w:right w:val="nil"/>
            </w:tcBorders>
            <w:shd w:val="clear" w:color="auto" w:fill="auto"/>
            <w:vAlign w:val="bottom"/>
          </w:tcPr>
          <w:p w14:paraId="75CEE9B6"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 </w:t>
            </w:r>
          </w:p>
        </w:tc>
        <w:tc>
          <w:tcPr>
            <w:tcW w:w="343" w:type="pct"/>
            <w:tcBorders>
              <w:top w:val="nil"/>
              <w:left w:val="nil"/>
              <w:bottom w:val="nil"/>
              <w:right w:val="nil"/>
            </w:tcBorders>
            <w:shd w:val="clear" w:color="auto" w:fill="auto"/>
            <w:vAlign w:val="bottom"/>
          </w:tcPr>
          <w:p w14:paraId="1DE8D824"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 </w:t>
            </w:r>
          </w:p>
        </w:tc>
        <w:tc>
          <w:tcPr>
            <w:tcW w:w="344" w:type="pct"/>
            <w:tcBorders>
              <w:top w:val="nil"/>
              <w:left w:val="nil"/>
              <w:bottom w:val="nil"/>
              <w:right w:val="nil"/>
            </w:tcBorders>
            <w:shd w:val="clear" w:color="auto" w:fill="auto"/>
            <w:vAlign w:val="bottom"/>
          </w:tcPr>
          <w:p w14:paraId="08B89BA6"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 </w:t>
            </w:r>
          </w:p>
        </w:tc>
        <w:tc>
          <w:tcPr>
            <w:tcW w:w="344" w:type="pct"/>
            <w:tcBorders>
              <w:top w:val="nil"/>
              <w:left w:val="nil"/>
              <w:bottom w:val="nil"/>
              <w:right w:val="nil"/>
            </w:tcBorders>
            <w:shd w:val="clear" w:color="auto" w:fill="auto"/>
            <w:vAlign w:val="bottom"/>
          </w:tcPr>
          <w:p w14:paraId="2D37D61E"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1</w:t>
            </w:r>
            <w:r>
              <w:rPr>
                <w:sz w:val="15"/>
                <w:szCs w:val="15"/>
              </w:rPr>
              <w:t>,</w:t>
            </w:r>
            <w:r w:rsidRPr="001B1B87">
              <w:rPr>
                <w:sz w:val="15"/>
                <w:szCs w:val="15"/>
              </w:rPr>
              <w:t>961</w:t>
            </w:r>
            <w:r>
              <w:rPr>
                <w:sz w:val="15"/>
                <w:szCs w:val="15"/>
              </w:rPr>
              <w:t>,</w:t>
            </w:r>
            <w:r w:rsidRPr="001B1B87">
              <w:rPr>
                <w:sz w:val="15"/>
                <w:szCs w:val="15"/>
              </w:rPr>
              <w:t xml:space="preserve">985 </w:t>
            </w:r>
          </w:p>
        </w:tc>
        <w:tc>
          <w:tcPr>
            <w:tcW w:w="343" w:type="pct"/>
            <w:tcBorders>
              <w:top w:val="nil"/>
              <w:left w:val="nil"/>
              <w:bottom w:val="nil"/>
              <w:right w:val="nil"/>
            </w:tcBorders>
            <w:vAlign w:val="bottom"/>
          </w:tcPr>
          <w:p w14:paraId="521E1A2F"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 </w:t>
            </w:r>
          </w:p>
        </w:tc>
        <w:tc>
          <w:tcPr>
            <w:tcW w:w="344" w:type="pct"/>
            <w:tcBorders>
              <w:top w:val="nil"/>
              <w:left w:val="nil"/>
              <w:bottom w:val="nil"/>
              <w:right w:val="nil"/>
            </w:tcBorders>
            <w:vAlign w:val="bottom"/>
          </w:tcPr>
          <w:p w14:paraId="67DF5C62"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 </w:t>
            </w:r>
          </w:p>
        </w:tc>
        <w:tc>
          <w:tcPr>
            <w:tcW w:w="344" w:type="pct"/>
            <w:tcBorders>
              <w:top w:val="nil"/>
              <w:left w:val="nil"/>
              <w:bottom w:val="nil"/>
              <w:right w:val="nil"/>
            </w:tcBorders>
            <w:vAlign w:val="bottom"/>
          </w:tcPr>
          <w:p w14:paraId="7EE7F73C"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 </w:t>
            </w:r>
          </w:p>
        </w:tc>
        <w:tc>
          <w:tcPr>
            <w:tcW w:w="343" w:type="pct"/>
            <w:tcBorders>
              <w:top w:val="nil"/>
              <w:left w:val="nil"/>
              <w:bottom w:val="nil"/>
              <w:right w:val="nil"/>
            </w:tcBorders>
            <w:vAlign w:val="bottom"/>
          </w:tcPr>
          <w:p w14:paraId="2404BE9F"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 </w:t>
            </w:r>
          </w:p>
        </w:tc>
        <w:tc>
          <w:tcPr>
            <w:tcW w:w="344" w:type="pct"/>
            <w:tcBorders>
              <w:top w:val="nil"/>
              <w:left w:val="nil"/>
              <w:bottom w:val="nil"/>
              <w:right w:val="nil"/>
            </w:tcBorders>
            <w:vAlign w:val="bottom"/>
          </w:tcPr>
          <w:p w14:paraId="65119D1F"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 </w:t>
            </w:r>
          </w:p>
        </w:tc>
        <w:tc>
          <w:tcPr>
            <w:tcW w:w="343" w:type="pct"/>
            <w:tcBorders>
              <w:top w:val="nil"/>
              <w:left w:val="nil"/>
              <w:bottom w:val="nil"/>
              <w:right w:val="nil"/>
            </w:tcBorders>
            <w:vAlign w:val="bottom"/>
          </w:tcPr>
          <w:p w14:paraId="6FC5936A"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 </w:t>
            </w:r>
          </w:p>
        </w:tc>
      </w:tr>
      <w:tr w:rsidR="00B16158" w:rsidRPr="00D13EB3" w14:paraId="51A78964" w14:textId="77777777" w:rsidTr="00E44437">
        <w:trPr>
          <w:trHeight w:val="149"/>
          <w:jc w:val="center"/>
        </w:trPr>
        <w:tc>
          <w:tcPr>
            <w:tcW w:w="877" w:type="pct"/>
            <w:vAlign w:val="bottom"/>
          </w:tcPr>
          <w:p w14:paraId="065610DB" w14:textId="77777777" w:rsidR="00B16158" w:rsidRPr="00D13EB3" w:rsidRDefault="00B16158" w:rsidP="00B16158">
            <w:pPr>
              <w:tabs>
                <w:tab w:val="right" w:pos="1202"/>
              </w:tabs>
              <w:spacing w:after="40" w:line="240" w:lineRule="auto"/>
              <w:outlineLvl w:val="0"/>
              <w:rPr>
                <w:rFonts w:ascii="Calibri" w:hAnsi="Calibri"/>
                <w:sz w:val="15"/>
                <w:szCs w:val="15"/>
              </w:rPr>
            </w:pPr>
            <w:r w:rsidRPr="00D13EB3">
              <w:rPr>
                <w:rFonts w:ascii="Calibri" w:hAnsi="Calibri"/>
                <w:sz w:val="15"/>
                <w:szCs w:val="15"/>
              </w:rPr>
              <w:t>Deposits with other banks</w:t>
            </w:r>
          </w:p>
        </w:tc>
        <w:tc>
          <w:tcPr>
            <w:tcW w:w="343" w:type="pct"/>
            <w:tcBorders>
              <w:top w:val="nil"/>
              <w:left w:val="nil"/>
              <w:bottom w:val="nil"/>
              <w:right w:val="nil"/>
            </w:tcBorders>
            <w:shd w:val="clear" w:color="auto" w:fill="auto"/>
            <w:vAlign w:val="bottom"/>
          </w:tcPr>
          <w:p w14:paraId="2ED16299"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7</w:t>
            </w:r>
            <w:r>
              <w:rPr>
                <w:sz w:val="15"/>
                <w:szCs w:val="15"/>
              </w:rPr>
              <w:t>,</w:t>
            </w:r>
            <w:r w:rsidRPr="001B1B87">
              <w:rPr>
                <w:sz w:val="15"/>
                <w:szCs w:val="15"/>
              </w:rPr>
              <w:t xml:space="preserve">500 </w:t>
            </w:r>
          </w:p>
        </w:tc>
        <w:tc>
          <w:tcPr>
            <w:tcW w:w="344" w:type="pct"/>
            <w:tcBorders>
              <w:top w:val="nil"/>
              <w:left w:val="nil"/>
              <w:bottom w:val="nil"/>
              <w:right w:val="nil"/>
            </w:tcBorders>
            <w:shd w:val="clear" w:color="auto" w:fill="auto"/>
            <w:vAlign w:val="bottom"/>
          </w:tcPr>
          <w:p w14:paraId="31C05489"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 </w:t>
            </w:r>
          </w:p>
        </w:tc>
        <w:tc>
          <w:tcPr>
            <w:tcW w:w="344" w:type="pct"/>
            <w:tcBorders>
              <w:top w:val="nil"/>
              <w:left w:val="nil"/>
              <w:bottom w:val="nil"/>
              <w:right w:val="nil"/>
            </w:tcBorders>
            <w:shd w:val="clear" w:color="auto" w:fill="auto"/>
            <w:vAlign w:val="bottom"/>
          </w:tcPr>
          <w:p w14:paraId="3A77D427"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 </w:t>
            </w:r>
          </w:p>
        </w:tc>
        <w:tc>
          <w:tcPr>
            <w:tcW w:w="343" w:type="pct"/>
            <w:tcBorders>
              <w:top w:val="nil"/>
              <w:left w:val="nil"/>
              <w:bottom w:val="nil"/>
              <w:right w:val="nil"/>
            </w:tcBorders>
            <w:shd w:val="clear" w:color="auto" w:fill="auto"/>
            <w:vAlign w:val="bottom"/>
          </w:tcPr>
          <w:p w14:paraId="2212A17B"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 </w:t>
            </w:r>
          </w:p>
        </w:tc>
        <w:tc>
          <w:tcPr>
            <w:tcW w:w="344" w:type="pct"/>
            <w:tcBorders>
              <w:top w:val="nil"/>
              <w:left w:val="nil"/>
              <w:bottom w:val="nil"/>
              <w:right w:val="nil"/>
            </w:tcBorders>
            <w:shd w:val="clear" w:color="auto" w:fill="auto"/>
            <w:vAlign w:val="bottom"/>
          </w:tcPr>
          <w:p w14:paraId="3FC99FD6"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 </w:t>
            </w:r>
          </w:p>
        </w:tc>
        <w:tc>
          <w:tcPr>
            <w:tcW w:w="344" w:type="pct"/>
            <w:tcBorders>
              <w:top w:val="nil"/>
              <w:left w:val="nil"/>
              <w:bottom w:val="nil"/>
              <w:right w:val="nil"/>
            </w:tcBorders>
            <w:shd w:val="clear" w:color="auto" w:fill="auto"/>
            <w:vAlign w:val="bottom"/>
          </w:tcPr>
          <w:p w14:paraId="35059867"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7</w:t>
            </w:r>
            <w:r>
              <w:rPr>
                <w:sz w:val="15"/>
                <w:szCs w:val="15"/>
              </w:rPr>
              <w:t>,</w:t>
            </w:r>
            <w:r w:rsidRPr="001B1B87">
              <w:rPr>
                <w:sz w:val="15"/>
                <w:szCs w:val="15"/>
              </w:rPr>
              <w:t xml:space="preserve">500 </w:t>
            </w:r>
          </w:p>
        </w:tc>
        <w:tc>
          <w:tcPr>
            <w:tcW w:w="343" w:type="pct"/>
            <w:tcBorders>
              <w:top w:val="nil"/>
              <w:left w:val="nil"/>
              <w:bottom w:val="nil"/>
              <w:right w:val="nil"/>
            </w:tcBorders>
            <w:vAlign w:val="bottom"/>
          </w:tcPr>
          <w:p w14:paraId="32B48215"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 </w:t>
            </w:r>
          </w:p>
        </w:tc>
        <w:tc>
          <w:tcPr>
            <w:tcW w:w="344" w:type="pct"/>
            <w:tcBorders>
              <w:top w:val="nil"/>
              <w:left w:val="nil"/>
              <w:bottom w:val="nil"/>
              <w:right w:val="nil"/>
            </w:tcBorders>
            <w:vAlign w:val="bottom"/>
          </w:tcPr>
          <w:p w14:paraId="51EF313A"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 </w:t>
            </w:r>
          </w:p>
        </w:tc>
        <w:tc>
          <w:tcPr>
            <w:tcW w:w="344" w:type="pct"/>
            <w:tcBorders>
              <w:top w:val="nil"/>
              <w:left w:val="nil"/>
              <w:bottom w:val="nil"/>
              <w:right w:val="nil"/>
            </w:tcBorders>
            <w:vAlign w:val="bottom"/>
          </w:tcPr>
          <w:p w14:paraId="6040507D"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 </w:t>
            </w:r>
          </w:p>
        </w:tc>
        <w:tc>
          <w:tcPr>
            <w:tcW w:w="343" w:type="pct"/>
            <w:tcBorders>
              <w:top w:val="nil"/>
              <w:left w:val="nil"/>
              <w:bottom w:val="nil"/>
              <w:right w:val="nil"/>
            </w:tcBorders>
            <w:vAlign w:val="bottom"/>
          </w:tcPr>
          <w:p w14:paraId="1E5CC41F"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 </w:t>
            </w:r>
          </w:p>
        </w:tc>
        <w:tc>
          <w:tcPr>
            <w:tcW w:w="344" w:type="pct"/>
            <w:tcBorders>
              <w:top w:val="nil"/>
              <w:left w:val="nil"/>
              <w:bottom w:val="nil"/>
              <w:right w:val="nil"/>
            </w:tcBorders>
            <w:vAlign w:val="bottom"/>
          </w:tcPr>
          <w:p w14:paraId="67DCA4A3"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 </w:t>
            </w:r>
          </w:p>
        </w:tc>
        <w:tc>
          <w:tcPr>
            <w:tcW w:w="343" w:type="pct"/>
            <w:tcBorders>
              <w:top w:val="nil"/>
              <w:left w:val="nil"/>
              <w:bottom w:val="nil"/>
              <w:right w:val="nil"/>
            </w:tcBorders>
            <w:vAlign w:val="bottom"/>
          </w:tcPr>
          <w:p w14:paraId="16A4F714"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 </w:t>
            </w:r>
          </w:p>
        </w:tc>
      </w:tr>
      <w:tr w:rsidR="00B16158" w:rsidRPr="00D13EB3" w14:paraId="687763A8" w14:textId="77777777" w:rsidTr="00E44437">
        <w:trPr>
          <w:trHeight w:val="142"/>
          <w:jc w:val="center"/>
        </w:trPr>
        <w:tc>
          <w:tcPr>
            <w:tcW w:w="877" w:type="pct"/>
            <w:vAlign w:val="bottom"/>
          </w:tcPr>
          <w:p w14:paraId="234E93FA" w14:textId="77777777" w:rsidR="00B16158" w:rsidRPr="00D13EB3" w:rsidRDefault="00B16158" w:rsidP="00B16158">
            <w:pPr>
              <w:tabs>
                <w:tab w:val="right" w:pos="1202"/>
              </w:tabs>
              <w:spacing w:after="40" w:line="240" w:lineRule="auto"/>
              <w:outlineLvl w:val="0"/>
              <w:rPr>
                <w:rFonts w:ascii="Calibri" w:hAnsi="Calibri"/>
                <w:sz w:val="15"/>
                <w:szCs w:val="15"/>
              </w:rPr>
            </w:pPr>
            <w:r w:rsidRPr="00D13EB3">
              <w:rPr>
                <w:rFonts w:ascii="Calibri" w:hAnsi="Calibri"/>
                <w:sz w:val="15"/>
                <w:szCs w:val="15"/>
              </w:rPr>
              <w:t>Loans to financial institutions</w:t>
            </w:r>
          </w:p>
        </w:tc>
        <w:tc>
          <w:tcPr>
            <w:tcW w:w="343" w:type="pct"/>
            <w:tcBorders>
              <w:top w:val="nil"/>
              <w:left w:val="nil"/>
              <w:bottom w:val="nil"/>
              <w:right w:val="nil"/>
            </w:tcBorders>
            <w:shd w:val="clear" w:color="auto" w:fill="auto"/>
            <w:vAlign w:val="bottom"/>
          </w:tcPr>
          <w:p w14:paraId="188F9EB6"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6</w:t>
            </w:r>
            <w:r>
              <w:rPr>
                <w:sz w:val="15"/>
                <w:szCs w:val="15"/>
              </w:rPr>
              <w:t>,</w:t>
            </w:r>
            <w:r w:rsidRPr="001B1B87">
              <w:rPr>
                <w:sz w:val="15"/>
                <w:szCs w:val="15"/>
              </w:rPr>
              <w:t>865</w:t>
            </w:r>
            <w:r>
              <w:rPr>
                <w:sz w:val="15"/>
                <w:szCs w:val="15"/>
              </w:rPr>
              <w:t>,</w:t>
            </w:r>
            <w:r w:rsidRPr="001B1B87">
              <w:rPr>
                <w:sz w:val="15"/>
                <w:szCs w:val="15"/>
              </w:rPr>
              <w:t xml:space="preserve">821 </w:t>
            </w:r>
          </w:p>
        </w:tc>
        <w:tc>
          <w:tcPr>
            <w:tcW w:w="344" w:type="pct"/>
            <w:tcBorders>
              <w:top w:val="nil"/>
              <w:left w:val="nil"/>
              <w:bottom w:val="nil"/>
              <w:right w:val="nil"/>
            </w:tcBorders>
            <w:shd w:val="clear" w:color="auto" w:fill="auto"/>
            <w:vAlign w:val="bottom"/>
          </w:tcPr>
          <w:p w14:paraId="58C86B21"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180</w:t>
            </w:r>
            <w:r>
              <w:rPr>
                <w:sz w:val="15"/>
                <w:szCs w:val="15"/>
              </w:rPr>
              <w:t>,</w:t>
            </w:r>
            <w:r w:rsidRPr="001B1B87">
              <w:rPr>
                <w:sz w:val="15"/>
                <w:szCs w:val="15"/>
              </w:rPr>
              <w:t xml:space="preserve">760 </w:t>
            </w:r>
          </w:p>
        </w:tc>
        <w:tc>
          <w:tcPr>
            <w:tcW w:w="344" w:type="pct"/>
            <w:tcBorders>
              <w:top w:val="nil"/>
              <w:left w:val="nil"/>
              <w:bottom w:val="nil"/>
              <w:right w:val="nil"/>
            </w:tcBorders>
            <w:shd w:val="clear" w:color="auto" w:fill="auto"/>
            <w:vAlign w:val="bottom"/>
          </w:tcPr>
          <w:p w14:paraId="1BC2C7FA"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3</w:t>
            </w:r>
            <w:r>
              <w:rPr>
                <w:sz w:val="15"/>
                <w:szCs w:val="15"/>
              </w:rPr>
              <w:t>,</w:t>
            </w:r>
            <w:r w:rsidRPr="001B1B87">
              <w:rPr>
                <w:sz w:val="15"/>
                <w:szCs w:val="15"/>
              </w:rPr>
              <w:t xml:space="preserve">562 </w:t>
            </w:r>
          </w:p>
        </w:tc>
        <w:tc>
          <w:tcPr>
            <w:tcW w:w="343" w:type="pct"/>
            <w:tcBorders>
              <w:top w:val="nil"/>
              <w:left w:val="nil"/>
              <w:bottom w:val="nil"/>
              <w:right w:val="nil"/>
            </w:tcBorders>
            <w:shd w:val="clear" w:color="auto" w:fill="auto"/>
            <w:vAlign w:val="bottom"/>
          </w:tcPr>
          <w:p w14:paraId="1A7E8662"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 </w:t>
            </w:r>
          </w:p>
        </w:tc>
        <w:tc>
          <w:tcPr>
            <w:tcW w:w="344" w:type="pct"/>
            <w:tcBorders>
              <w:top w:val="nil"/>
              <w:left w:val="nil"/>
              <w:bottom w:val="nil"/>
              <w:right w:val="nil"/>
            </w:tcBorders>
            <w:shd w:val="clear" w:color="auto" w:fill="auto"/>
            <w:vAlign w:val="bottom"/>
          </w:tcPr>
          <w:p w14:paraId="02F618CD"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 </w:t>
            </w:r>
          </w:p>
        </w:tc>
        <w:tc>
          <w:tcPr>
            <w:tcW w:w="344" w:type="pct"/>
            <w:tcBorders>
              <w:top w:val="nil"/>
              <w:left w:val="nil"/>
              <w:bottom w:val="nil"/>
              <w:right w:val="nil"/>
            </w:tcBorders>
            <w:shd w:val="clear" w:color="auto" w:fill="auto"/>
            <w:vAlign w:val="bottom"/>
          </w:tcPr>
          <w:p w14:paraId="3622109E"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7</w:t>
            </w:r>
            <w:r>
              <w:rPr>
                <w:sz w:val="15"/>
                <w:szCs w:val="15"/>
              </w:rPr>
              <w:t>,</w:t>
            </w:r>
            <w:r w:rsidRPr="001B1B87">
              <w:rPr>
                <w:sz w:val="15"/>
                <w:szCs w:val="15"/>
              </w:rPr>
              <w:t>050</w:t>
            </w:r>
            <w:r>
              <w:rPr>
                <w:sz w:val="15"/>
                <w:szCs w:val="15"/>
              </w:rPr>
              <w:t>,</w:t>
            </w:r>
            <w:r w:rsidRPr="001B1B87">
              <w:rPr>
                <w:sz w:val="15"/>
                <w:szCs w:val="15"/>
              </w:rPr>
              <w:t xml:space="preserve">143 </w:t>
            </w:r>
          </w:p>
        </w:tc>
        <w:tc>
          <w:tcPr>
            <w:tcW w:w="343" w:type="pct"/>
            <w:tcBorders>
              <w:top w:val="nil"/>
              <w:left w:val="nil"/>
              <w:bottom w:val="nil"/>
              <w:right w:val="nil"/>
            </w:tcBorders>
            <w:vAlign w:val="bottom"/>
          </w:tcPr>
          <w:p w14:paraId="53E45451"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 </w:t>
            </w:r>
          </w:p>
        </w:tc>
        <w:tc>
          <w:tcPr>
            <w:tcW w:w="344" w:type="pct"/>
            <w:tcBorders>
              <w:top w:val="nil"/>
              <w:left w:val="nil"/>
              <w:bottom w:val="nil"/>
              <w:right w:val="nil"/>
            </w:tcBorders>
            <w:vAlign w:val="bottom"/>
          </w:tcPr>
          <w:p w14:paraId="79838CE0"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 </w:t>
            </w:r>
          </w:p>
        </w:tc>
        <w:tc>
          <w:tcPr>
            <w:tcW w:w="344" w:type="pct"/>
            <w:tcBorders>
              <w:top w:val="nil"/>
              <w:left w:val="nil"/>
              <w:bottom w:val="nil"/>
              <w:right w:val="nil"/>
            </w:tcBorders>
            <w:vAlign w:val="bottom"/>
          </w:tcPr>
          <w:p w14:paraId="46C06B54"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 </w:t>
            </w:r>
          </w:p>
        </w:tc>
        <w:tc>
          <w:tcPr>
            <w:tcW w:w="343" w:type="pct"/>
            <w:tcBorders>
              <w:top w:val="nil"/>
              <w:left w:val="nil"/>
              <w:bottom w:val="nil"/>
              <w:right w:val="nil"/>
            </w:tcBorders>
            <w:vAlign w:val="bottom"/>
          </w:tcPr>
          <w:p w14:paraId="5EE25C64"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 </w:t>
            </w:r>
          </w:p>
        </w:tc>
        <w:tc>
          <w:tcPr>
            <w:tcW w:w="344" w:type="pct"/>
            <w:tcBorders>
              <w:top w:val="nil"/>
              <w:left w:val="nil"/>
              <w:bottom w:val="nil"/>
              <w:right w:val="nil"/>
            </w:tcBorders>
            <w:vAlign w:val="bottom"/>
          </w:tcPr>
          <w:p w14:paraId="2CFF513B"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 </w:t>
            </w:r>
          </w:p>
        </w:tc>
        <w:tc>
          <w:tcPr>
            <w:tcW w:w="343" w:type="pct"/>
            <w:tcBorders>
              <w:top w:val="nil"/>
              <w:left w:val="nil"/>
              <w:bottom w:val="nil"/>
              <w:right w:val="nil"/>
            </w:tcBorders>
            <w:vAlign w:val="bottom"/>
          </w:tcPr>
          <w:p w14:paraId="59DC034C"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 </w:t>
            </w:r>
          </w:p>
        </w:tc>
      </w:tr>
      <w:tr w:rsidR="00B16158" w:rsidRPr="00D13EB3" w14:paraId="58CBD432" w14:textId="77777777" w:rsidTr="00E44437">
        <w:trPr>
          <w:trHeight w:val="149"/>
          <w:jc w:val="center"/>
        </w:trPr>
        <w:tc>
          <w:tcPr>
            <w:tcW w:w="877" w:type="pct"/>
            <w:vAlign w:val="bottom"/>
          </w:tcPr>
          <w:p w14:paraId="47371732" w14:textId="77777777" w:rsidR="00B16158" w:rsidRPr="00D13EB3" w:rsidRDefault="00B16158" w:rsidP="00B16158">
            <w:pPr>
              <w:tabs>
                <w:tab w:val="right" w:pos="1202"/>
              </w:tabs>
              <w:spacing w:after="40" w:line="240" w:lineRule="auto"/>
              <w:outlineLvl w:val="0"/>
              <w:rPr>
                <w:rFonts w:ascii="Calibri" w:hAnsi="Calibri"/>
                <w:sz w:val="15"/>
                <w:szCs w:val="15"/>
              </w:rPr>
            </w:pPr>
            <w:r w:rsidRPr="00D13EB3">
              <w:rPr>
                <w:rFonts w:ascii="Calibri" w:hAnsi="Calibri"/>
                <w:sz w:val="15"/>
                <w:szCs w:val="15"/>
              </w:rPr>
              <w:t>Loans to other customers</w:t>
            </w:r>
          </w:p>
        </w:tc>
        <w:tc>
          <w:tcPr>
            <w:tcW w:w="343" w:type="pct"/>
            <w:tcBorders>
              <w:top w:val="nil"/>
              <w:left w:val="nil"/>
              <w:bottom w:val="nil"/>
              <w:right w:val="nil"/>
            </w:tcBorders>
            <w:shd w:val="clear" w:color="auto" w:fill="auto"/>
            <w:vAlign w:val="bottom"/>
          </w:tcPr>
          <w:p w14:paraId="2781B9F9"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12</w:t>
            </w:r>
            <w:r>
              <w:rPr>
                <w:sz w:val="15"/>
                <w:szCs w:val="15"/>
              </w:rPr>
              <w:t>,</w:t>
            </w:r>
            <w:r w:rsidRPr="001B1B87">
              <w:rPr>
                <w:sz w:val="15"/>
                <w:szCs w:val="15"/>
              </w:rPr>
              <w:t>779</w:t>
            </w:r>
            <w:r>
              <w:rPr>
                <w:sz w:val="15"/>
                <w:szCs w:val="15"/>
              </w:rPr>
              <w:t>,</w:t>
            </w:r>
            <w:r w:rsidRPr="001B1B87">
              <w:rPr>
                <w:sz w:val="15"/>
                <w:szCs w:val="15"/>
              </w:rPr>
              <w:t xml:space="preserve">081 </w:t>
            </w:r>
          </w:p>
        </w:tc>
        <w:tc>
          <w:tcPr>
            <w:tcW w:w="344" w:type="pct"/>
            <w:tcBorders>
              <w:top w:val="nil"/>
              <w:left w:val="nil"/>
              <w:bottom w:val="nil"/>
              <w:right w:val="nil"/>
            </w:tcBorders>
            <w:shd w:val="clear" w:color="auto" w:fill="auto"/>
            <w:vAlign w:val="bottom"/>
          </w:tcPr>
          <w:p w14:paraId="36C85302"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827</w:t>
            </w:r>
            <w:r>
              <w:rPr>
                <w:sz w:val="15"/>
                <w:szCs w:val="15"/>
              </w:rPr>
              <w:t>,</w:t>
            </w:r>
            <w:r w:rsidRPr="001B1B87">
              <w:rPr>
                <w:sz w:val="15"/>
                <w:szCs w:val="15"/>
              </w:rPr>
              <w:t xml:space="preserve">965 </w:t>
            </w:r>
          </w:p>
        </w:tc>
        <w:tc>
          <w:tcPr>
            <w:tcW w:w="344" w:type="pct"/>
            <w:tcBorders>
              <w:top w:val="nil"/>
              <w:left w:val="nil"/>
              <w:bottom w:val="nil"/>
              <w:right w:val="nil"/>
            </w:tcBorders>
            <w:shd w:val="clear" w:color="auto" w:fill="auto"/>
            <w:vAlign w:val="bottom"/>
          </w:tcPr>
          <w:p w14:paraId="3E254D7E"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1</w:t>
            </w:r>
            <w:r>
              <w:rPr>
                <w:sz w:val="15"/>
                <w:szCs w:val="15"/>
              </w:rPr>
              <w:t>,</w:t>
            </w:r>
            <w:r w:rsidRPr="001B1B87">
              <w:rPr>
                <w:sz w:val="15"/>
                <w:szCs w:val="15"/>
              </w:rPr>
              <w:t>163</w:t>
            </w:r>
            <w:r>
              <w:rPr>
                <w:sz w:val="15"/>
                <w:szCs w:val="15"/>
              </w:rPr>
              <w:t>,</w:t>
            </w:r>
            <w:r w:rsidRPr="001B1B87">
              <w:rPr>
                <w:sz w:val="15"/>
                <w:szCs w:val="15"/>
              </w:rPr>
              <w:t xml:space="preserve">771 </w:t>
            </w:r>
          </w:p>
        </w:tc>
        <w:tc>
          <w:tcPr>
            <w:tcW w:w="343" w:type="pct"/>
            <w:tcBorders>
              <w:top w:val="nil"/>
              <w:left w:val="nil"/>
              <w:bottom w:val="nil"/>
              <w:right w:val="nil"/>
            </w:tcBorders>
            <w:shd w:val="clear" w:color="auto" w:fill="auto"/>
            <w:vAlign w:val="bottom"/>
          </w:tcPr>
          <w:p w14:paraId="381AA57A"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1</w:t>
            </w:r>
            <w:r>
              <w:rPr>
                <w:sz w:val="15"/>
                <w:szCs w:val="15"/>
              </w:rPr>
              <w:t>,</w:t>
            </w:r>
            <w:r w:rsidRPr="001B1B87">
              <w:rPr>
                <w:sz w:val="15"/>
                <w:szCs w:val="15"/>
              </w:rPr>
              <w:t>193</w:t>
            </w:r>
            <w:r>
              <w:rPr>
                <w:sz w:val="15"/>
                <w:szCs w:val="15"/>
              </w:rPr>
              <w:t>,</w:t>
            </w:r>
            <w:r w:rsidRPr="001B1B87">
              <w:rPr>
                <w:sz w:val="15"/>
                <w:szCs w:val="15"/>
              </w:rPr>
              <w:t xml:space="preserve">559 </w:t>
            </w:r>
          </w:p>
        </w:tc>
        <w:tc>
          <w:tcPr>
            <w:tcW w:w="344" w:type="pct"/>
            <w:tcBorders>
              <w:top w:val="nil"/>
              <w:left w:val="nil"/>
              <w:bottom w:val="nil"/>
              <w:right w:val="nil"/>
            </w:tcBorders>
            <w:shd w:val="clear" w:color="auto" w:fill="auto"/>
            <w:vAlign w:val="bottom"/>
          </w:tcPr>
          <w:p w14:paraId="714B16D4"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 </w:t>
            </w:r>
          </w:p>
        </w:tc>
        <w:tc>
          <w:tcPr>
            <w:tcW w:w="344" w:type="pct"/>
            <w:tcBorders>
              <w:top w:val="nil"/>
              <w:left w:val="nil"/>
              <w:bottom w:val="nil"/>
              <w:right w:val="nil"/>
            </w:tcBorders>
            <w:shd w:val="clear" w:color="auto" w:fill="auto"/>
            <w:vAlign w:val="bottom"/>
          </w:tcPr>
          <w:p w14:paraId="68B7B73A"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15</w:t>
            </w:r>
            <w:r>
              <w:rPr>
                <w:sz w:val="15"/>
                <w:szCs w:val="15"/>
              </w:rPr>
              <w:t>,</w:t>
            </w:r>
            <w:r w:rsidRPr="001B1B87">
              <w:rPr>
                <w:sz w:val="15"/>
                <w:szCs w:val="15"/>
              </w:rPr>
              <w:t>964</w:t>
            </w:r>
            <w:r>
              <w:rPr>
                <w:sz w:val="15"/>
                <w:szCs w:val="15"/>
              </w:rPr>
              <w:t>,</w:t>
            </w:r>
            <w:r w:rsidRPr="001B1B87">
              <w:rPr>
                <w:sz w:val="15"/>
                <w:szCs w:val="15"/>
              </w:rPr>
              <w:t xml:space="preserve">376 </w:t>
            </w:r>
          </w:p>
        </w:tc>
        <w:tc>
          <w:tcPr>
            <w:tcW w:w="343" w:type="pct"/>
            <w:tcBorders>
              <w:top w:val="nil"/>
              <w:left w:val="nil"/>
              <w:bottom w:val="nil"/>
              <w:right w:val="nil"/>
            </w:tcBorders>
            <w:vAlign w:val="bottom"/>
          </w:tcPr>
          <w:p w14:paraId="6AFD21C8"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2</w:t>
            </w:r>
            <w:r>
              <w:rPr>
                <w:sz w:val="15"/>
                <w:szCs w:val="15"/>
              </w:rPr>
              <w:t>,</w:t>
            </w:r>
            <w:r w:rsidRPr="001B1B87">
              <w:rPr>
                <w:sz w:val="15"/>
                <w:szCs w:val="15"/>
              </w:rPr>
              <w:t>855</w:t>
            </w:r>
            <w:r>
              <w:rPr>
                <w:sz w:val="15"/>
                <w:szCs w:val="15"/>
              </w:rPr>
              <w:t>,</w:t>
            </w:r>
            <w:r w:rsidRPr="001B1B87">
              <w:rPr>
                <w:sz w:val="15"/>
                <w:szCs w:val="15"/>
              </w:rPr>
              <w:t xml:space="preserve">314 </w:t>
            </w:r>
          </w:p>
        </w:tc>
        <w:tc>
          <w:tcPr>
            <w:tcW w:w="344" w:type="pct"/>
            <w:tcBorders>
              <w:top w:val="nil"/>
              <w:left w:val="nil"/>
              <w:bottom w:val="nil"/>
              <w:right w:val="nil"/>
            </w:tcBorders>
            <w:vAlign w:val="bottom"/>
          </w:tcPr>
          <w:p w14:paraId="0C05DD36"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92</w:t>
            </w:r>
            <w:r>
              <w:rPr>
                <w:sz w:val="15"/>
                <w:szCs w:val="15"/>
              </w:rPr>
              <w:t>,</w:t>
            </w:r>
            <w:r w:rsidRPr="001B1B87">
              <w:rPr>
                <w:sz w:val="15"/>
                <w:szCs w:val="15"/>
              </w:rPr>
              <w:t xml:space="preserve">792 </w:t>
            </w:r>
          </w:p>
        </w:tc>
        <w:tc>
          <w:tcPr>
            <w:tcW w:w="344" w:type="pct"/>
            <w:tcBorders>
              <w:top w:val="nil"/>
              <w:left w:val="nil"/>
              <w:bottom w:val="nil"/>
              <w:right w:val="nil"/>
            </w:tcBorders>
            <w:vAlign w:val="bottom"/>
          </w:tcPr>
          <w:p w14:paraId="5804154A"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205</w:t>
            </w:r>
            <w:r>
              <w:rPr>
                <w:sz w:val="15"/>
                <w:szCs w:val="15"/>
              </w:rPr>
              <w:t>,</w:t>
            </w:r>
            <w:r w:rsidRPr="001B1B87">
              <w:rPr>
                <w:sz w:val="15"/>
                <w:szCs w:val="15"/>
              </w:rPr>
              <w:t xml:space="preserve">605 </w:t>
            </w:r>
          </w:p>
        </w:tc>
        <w:tc>
          <w:tcPr>
            <w:tcW w:w="343" w:type="pct"/>
            <w:tcBorders>
              <w:top w:val="nil"/>
              <w:left w:val="nil"/>
              <w:bottom w:val="nil"/>
              <w:right w:val="nil"/>
            </w:tcBorders>
            <w:vAlign w:val="bottom"/>
          </w:tcPr>
          <w:p w14:paraId="2FB1AC53"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34</w:t>
            </w:r>
            <w:r>
              <w:rPr>
                <w:sz w:val="15"/>
                <w:szCs w:val="15"/>
              </w:rPr>
              <w:t>,</w:t>
            </w:r>
            <w:r w:rsidRPr="001B1B87">
              <w:rPr>
                <w:sz w:val="15"/>
                <w:szCs w:val="15"/>
              </w:rPr>
              <w:t xml:space="preserve">769 </w:t>
            </w:r>
          </w:p>
        </w:tc>
        <w:tc>
          <w:tcPr>
            <w:tcW w:w="344" w:type="pct"/>
            <w:tcBorders>
              <w:top w:val="nil"/>
              <w:left w:val="nil"/>
              <w:bottom w:val="nil"/>
              <w:right w:val="nil"/>
            </w:tcBorders>
            <w:vAlign w:val="bottom"/>
          </w:tcPr>
          <w:p w14:paraId="4E2CA9F8"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 </w:t>
            </w:r>
          </w:p>
        </w:tc>
        <w:tc>
          <w:tcPr>
            <w:tcW w:w="343" w:type="pct"/>
            <w:tcBorders>
              <w:top w:val="nil"/>
              <w:left w:val="nil"/>
              <w:bottom w:val="nil"/>
              <w:right w:val="nil"/>
            </w:tcBorders>
            <w:vAlign w:val="bottom"/>
          </w:tcPr>
          <w:p w14:paraId="22816351"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3</w:t>
            </w:r>
            <w:r>
              <w:rPr>
                <w:sz w:val="15"/>
                <w:szCs w:val="15"/>
              </w:rPr>
              <w:t>,</w:t>
            </w:r>
            <w:r w:rsidRPr="001B1B87">
              <w:rPr>
                <w:sz w:val="15"/>
                <w:szCs w:val="15"/>
              </w:rPr>
              <w:t>188</w:t>
            </w:r>
            <w:r>
              <w:rPr>
                <w:sz w:val="15"/>
                <w:szCs w:val="15"/>
              </w:rPr>
              <w:t>,</w:t>
            </w:r>
            <w:r w:rsidRPr="001B1B87">
              <w:rPr>
                <w:sz w:val="15"/>
                <w:szCs w:val="15"/>
              </w:rPr>
              <w:t xml:space="preserve">480 </w:t>
            </w:r>
          </w:p>
        </w:tc>
      </w:tr>
      <w:tr w:rsidR="00B16158" w:rsidRPr="00D13EB3" w14:paraId="75EFB745" w14:textId="77777777" w:rsidTr="00E44437">
        <w:trPr>
          <w:trHeight w:val="149"/>
          <w:jc w:val="center"/>
        </w:trPr>
        <w:tc>
          <w:tcPr>
            <w:tcW w:w="877" w:type="pct"/>
            <w:vAlign w:val="bottom"/>
          </w:tcPr>
          <w:p w14:paraId="1E985DBB" w14:textId="77777777" w:rsidR="00B16158" w:rsidRPr="00D13EB3" w:rsidRDefault="00B16158" w:rsidP="00B16158">
            <w:pPr>
              <w:tabs>
                <w:tab w:val="right" w:pos="1202"/>
              </w:tabs>
              <w:spacing w:after="40" w:line="240" w:lineRule="auto"/>
              <w:outlineLvl w:val="0"/>
              <w:rPr>
                <w:rFonts w:ascii="Calibri" w:hAnsi="Calibri"/>
                <w:sz w:val="15"/>
                <w:szCs w:val="15"/>
              </w:rPr>
            </w:pPr>
            <w:r w:rsidRPr="00D13EB3">
              <w:rPr>
                <w:rFonts w:ascii="Calibri" w:hAnsi="Calibri"/>
                <w:sz w:val="15"/>
                <w:szCs w:val="15"/>
              </w:rPr>
              <w:t>Financial assets at fair value through profit or loss</w:t>
            </w:r>
          </w:p>
        </w:tc>
        <w:tc>
          <w:tcPr>
            <w:tcW w:w="343" w:type="pct"/>
            <w:tcBorders>
              <w:top w:val="nil"/>
              <w:left w:val="nil"/>
              <w:bottom w:val="nil"/>
              <w:right w:val="nil"/>
            </w:tcBorders>
            <w:shd w:val="clear" w:color="auto" w:fill="auto"/>
            <w:vAlign w:val="bottom"/>
          </w:tcPr>
          <w:p w14:paraId="5650810F" w14:textId="77777777" w:rsidR="00B16158" w:rsidRPr="00D13EB3" w:rsidRDefault="00B16158" w:rsidP="00B16158">
            <w:pPr>
              <w:tabs>
                <w:tab w:val="right" w:pos="1202"/>
              </w:tabs>
              <w:spacing w:after="40" w:line="240" w:lineRule="auto"/>
              <w:jc w:val="right"/>
              <w:outlineLvl w:val="0"/>
              <w:rPr>
                <w:rFonts w:ascii="Calibri" w:hAnsi="Calibri" w:cs="Arial"/>
                <w:spacing w:val="-2"/>
                <w:sz w:val="15"/>
                <w:szCs w:val="15"/>
              </w:rPr>
            </w:pPr>
            <w:r w:rsidRPr="001B1B87">
              <w:rPr>
                <w:sz w:val="15"/>
                <w:szCs w:val="15"/>
              </w:rPr>
              <w:t xml:space="preserve"> - </w:t>
            </w:r>
          </w:p>
        </w:tc>
        <w:tc>
          <w:tcPr>
            <w:tcW w:w="344" w:type="pct"/>
            <w:tcBorders>
              <w:top w:val="nil"/>
              <w:left w:val="nil"/>
              <w:bottom w:val="nil"/>
              <w:right w:val="nil"/>
            </w:tcBorders>
            <w:shd w:val="clear" w:color="auto" w:fill="auto"/>
            <w:vAlign w:val="bottom"/>
          </w:tcPr>
          <w:p w14:paraId="69740A24" w14:textId="77777777" w:rsidR="00B16158" w:rsidRPr="00D13EB3" w:rsidRDefault="00B16158" w:rsidP="00B16158">
            <w:pPr>
              <w:tabs>
                <w:tab w:val="right" w:pos="1202"/>
              </w:tabs>
              <w:spacing w:after="40" w:line="240" w:lineRule="auto"/>
              <w:jc w:val="right"/>
              <w:outlineLvl w:val="0"/>
              <w:rPr>
                <w:rFonts w:ascii="Calibri" w:hAnsi="Calibri" w:cs="Arial"/>
                <w:spacing w:val="-2"/>
                <w:sz w:val="15"/>
                <w:szCs w:val="15"/>
              </w:rPr>
            </w:pPr>
            <w:r w:rsidRPr="001B1B87">
              <w:rPr>
                <w:sz w:val="15"/>
                <w:szCs w:val="15"/>
              </w:rPr>
              <w:t xml:space="preserve"> - </w:t>
            </w:r>
          </w:p>
        </w:tc>
        <w:tc>
          <w:tcPr>
            <w:tcW w:w="344" w:type="pct"/>
            <w:tcBorders>
              <w:top w:val="nil"/>
              <w:left w:val="nil"/>
              <w:bottom w:val="nil"/>
              <w:right w:val="nil"/>
            </w:tcBorders>
            <w:shd w:val="clear" w:color="auto" w:fill="auto"/>
            <w:vAlign w:val="bottom"/>
          </w:tcPr>
          <w:p w14:paraId="23B60449" w14:textId="77777777" w:rsidR="00B16158" w:rsidRPr="00D13EB3" w:rsidRDefault="00B16158" w:rsidP="00B16158">
            <w:pPr>
              <w:tabs>
                <w:tab w:val="right" w:pos="1202"/>
              </w:tabs>
              <w:spacing w:after="40" w:line="240" w:lineRule="auto"/>
              <w:jc w:val="right"/>
              <w:outlineLvl w:val="0"/>
              <w:rPr>
                <w:rFonts w:ascii="Calibri" w:hAnsi="Calibri" w:cs="Arial"/>
                <w:spacing w:val="-2"/>
                <w:sz w:val="15"/>
                <w:szCs w:val="15"/>
              </w:rPr>
            </w:pPr>
            <w:r w:rsidRPr="001B1B87">
              <w:rPr>
                <w:sz w:val="15"/>
                <w:szCs w:val="15"/>
              </w:rPr>
              <w:t xml:space="preserve"> - </w:t>
            </w:r>
          </w:p>
        </w:tc>
        <w:tc>
          <w:tcPr>
            <w:tcW w:w="343" w:type="pct"/>
            <w:tcBorders>
              <w:top w:val="nil"/>
              <w:left w:val="nil"/>
              <w:bottom w:val="nil"/>
              <w:right w:val="nil"/>
            </w:tcBorders>
            <w:shd w:val="clear" w:color="auto" w:fill="auto"/>
            <w:vAlign w:val="bottom"/>
          </w:tcPr>
          <w:p w14:paraId="18CF2C01" w14:textId="77777777" w:rsidR="00B16158" w:rsidRPr="00D13EB3" w:rsidRDefault="00B16158" w:rsidP="00B16158">
            <w:pPr>
              <w:tabs>
                <w:tab w:val="right" w:pos="1202"/>
              </w:tabs>
              <w:spacing w:after="40" w:line="240" w:lineRule="auto"/>
              <w:jc w:val="right"/>
              <w:outlineLvl w:val="0"/>
              <w:rPr>
                <w:rFonts w:ascii="Calibri" w:hAnsi="Calibri" w:cs="Arial"/>
                <w:spacing w:val="-2"/>
                <w:sz w:val="15"/>
                <w:szCs w:val="15"/>
              </w:rPr>
            </w:pPr>
            <w:r w:rsidRPr="001B1B87">
              <w:rPr>
                <w:sz w:val="15"/>
                <w:szCs w:val="15"/>
              </w:rPr>
              <w:t xml:space="preserve"> - </w:t>
            </w:r>
          </w:p>
        </w:tc>
        <w:tc>
          <w:tcPr>
            <w:tcW w:w="344" w:type="pct"/>
            <w:tcBorders>
              <w:top w:val="nil"/>
              <w:left w:val="nil"/>
              <w:bottom w:val="nil"/>
              <w:right w:val="nil"/>
            </w:tcBorders>
            <w:shd w:val="clear" w:color="auto" w:fill="auto"/>
            <w:vAlign w:val="bottom"/>
          </w:tcPr>
          <w:p w14:paraId="5ED7E0C7" w14:textId="77777777" w:rsidR="00B16158" w:rsidRPr="00D13EB3" w:rsidRDefault="00B16158" w:rsidP="00B16158">
            <w:pPr>
              <w:tabs>
                <w:tab w:val="right" w:pos="1202"/>
              </w:tabs>
              <w:spacing w:after="40" w:line="240" w:lineRule="auto"/>
              <w:jc w:val="right"/>
              <w:outlineLvl w:val="0"/>
              <w:rPr>
                <w:rFonts w:ascii="Calibri" w:hAnsi="Calibri" w:cs="Arial"/>
                <w:spacing w:val="-2"/>
                <w:sz w:val="15"/>
                <w:szCs w:val="15"/>
              </w:rPr>
            </w:pPr>
            <w:r w:rsidRPr="001B1B87">
              <w:rPr>
                <w:sz w:val="15"/>
                <w:szCs w:val="15"/>
              </w:rPr>
              <w:t xml:space="preserve"> 16</w:t>
            </w:r>
            <w:r>
              <w:rPr>
                <w:sz w:val="15"/>
                <w:szCs w:val="15"/>
              </w:rPr>
              <w:t>,</w:t>
            </w:r>
            <w:r w:rsidRPr="001B1B87">
              <w:rPr>
                <w:sz w:val="15"/>
                <w:szCs w:val="15"/>
              </w:rPr>
              <w:t xml:space="preserve">375 </w:t>
            </w:r>
          </w:p>
        </w:tc>
        <w:tc>
          <w:tcPr>
            <w:tcW w:w="344" w:type="pct"/>
            <w:tcBorders>
              <w:top w:val="nil"/>
              <w:left w:val="nil"/>
              <w:bottom w:val="nil"/>
              <w:right w:val="nil"/>
            </w:tcBorders>
            <w:shd w:val="clear" w:color="auto" w:fill="auto"/>
            <w:vAlign w:val="bottom"/>
          </w:tcPr>
          <w:p w14:paraId="1AD717E6" w14:textId="77777777" w:rsidR="00B16158" w:rsidRPr="00D13EB3" w:rsidRDefault="00B16158" w:rsidP="00B16158">
            <w:pPr>
              <w:tabs>
                <w:tab w:val="right" w:pos="1202"/>
              </w:tabs>
              <w:spacing w:after="40" w:line="240" w:lineRule="auto"/>
              <w:jc w:val="right"/>
              <w:outlineLvl w:val="0"/>
              <w:rPr>
                <w:rFonts w:ascii="Calibri" w:hAnsi="Calibri" w:cs="Arial"/>
                <w:spacing w:val="-2"/>
                <w:sz w:val="15"/>
                <w:szCs w:val="15"/>
                <w:highlight w:val="yellow"/>
              </w:rPr>
            </w:pPr>
            <w:r w:rsidRPr="001B1B87">
              <w:rPr>
                <w:sz w:val="15"/>
                <w:szCs w:val="15"/>
              </w:rPr>
              <w:t xml:space="preserve"> 16</w:t>
            </w:r>
            <w:r>
              <w:rPr>
                <w:sz w:val="15"/>
                <w:szCs w:val="15"/>
              </w:rPr>
              <w:t>,</w:t>
            </w:r>
            <w:r w:rsidRPr="001B1B87">
              <w:rPr>
                <w:sz w:val="15"/>
                <w:szCs w:val="15"/>
              </w:rPr>
              <w:t xml:space="preserve">375 </w:t>
            </w:r>
          </w:p>
        </w:tc>
        <w:tc>
          <w:tcPr>
            <w:tcW w:w="343" w:type="pct"/>
            <w:tcBorders>
              <w:top w:val="nil"/>
              <w:left w:val="nil"/>
              <w:bottom w:val="nil"/>
              <w:right w:val="nil"/>
            </w:tcBorders>
            <w:vAlign w:val="bottom"/>
          </w:tcPr>
          <w:p w14:paraId="48BC91B8" w14:textId="77777777" w:rsidR="00B16158" w:rsidRPr="00D13EB3" w:rsidRDefault="00B16158" w:rsidP="00B16158">
            <w:pPr>
              <w:tabs>
                <w:tab w:val="right" w:pos="1202"/>
              </w:tabs>
              <w:spacing w:after="40" w:line="240" w:lineRule="auto"/>
              <w:jc w:val="right"/>
              <w:outlineLvl w:val="0"/>
              <w:rPr>
                <w:rFonts w:ascii="Calibri" w:hAnsi="Calibri" w:cs="Arial"/>
                <w:spacing w:val="-2"/>
                <w:sz w:val="15"/>
                <w:szCs w:val="15"/>
              </w:rPr>
            </w:pPr>
            <w:r w:rsidRPr="001B1B87">
              <w:rPr>
                <w:sz w:val="15"/>
                <w:szCs w:val="15"/>
              </w:rPr>
              <w:t xml:space="preserve"> - </w:t>
            </w:r>
          </w:p>
        </w:tc>
        <w:tc>
          <w:tcPr>
            <w:tcW w:w="344" w:type="pct"/>
            <w:tcBorders>
              <w:top w:val="nil"/>
              <w:left w:val="nil"/>
              <w:bottom w:val="nil"/>
              <w:right w:val="nil"/>
            </w:tcBorders>
            <w:vAlign w:val="bottom"/>
          </w:tcPr>
          <w:p w14:paraId="052F1E68" w14:textId="77777777" w:rsidR="00B16158" w:rsidRPr="00D13EB3" w:rsidRDefault="00B16158" w:rsidP="00B16158">
            <w:pPr>
              <w:tabs>
                <w:tab w:val="right" w:pos="1202"/>
              </w:tabs>
              <w:spacing w:after="40" w:line="240" w:lineRule="auto"/>
              <w:jc w:val="right"/>
              <w:outlineLvl w:val="0"/>
              <w:rPr>
                <w:rFonts w:ascii="Calibri" w:hAnsi="Calibri" w:cs="Arial"/>
                <w:spacing w:val="-2"/>
                <w:sz w:val="15"/>
                <w:szCs w:val="15"/>
              </w:rPr>
            </w:pPr>
            <w:r w:rsidRPr="001B1B87">
              <w:rPr>
                <w:sz w:val="15"/>
                <w:szCs w:val="15"/>
              </w:rPr>
              <w:t xml:space="preserve"> - </w:t>
            </w:r>
          </w:p>
        </w:tc>
        <w:tc>
          <w:tcPr>
            <w:tcW w:w="344" w:type="pct"/>
            <w:tcBorders>
              <w:top w:val="nil"/>
              <w:left w:val="nil"/>
              <w:bottom w:val="nil"/>
              <w:right w:val="nil"/>
            </w:tcBorders>
            <w:vAlign w:val="bottom"/>
          </w:tcPr>
          <w:p w14:paraId="7BAE3818" w14:textId="77777777" w:rsidR="00B16158" w:rsidRPr="00D13EB3" w:rsidRDefault="00B16158" w:rsidP="00B16158">
            <w:pPr>
              <w:tabs>
                <w:tab w:val="right" w:pos="1202"/>
              </w:tabs>
              <w:spacing w:after="40" w:line="240" w:lineRule="auto"/>
              <w:jc w:val="right"/>
              <w:outlineLvl w:val="0"/>
              <w:rPr>
                <w:rFonts w:ascii="Calibri" w:hAnsi="Calibri" w:cs="Arial"/>
                <w:spacing w:val="-2"/>
                <w:sz w:val="15"/>
                <w:szCs w:val="15"/>
              </w:rPr>
            </w:pPr>
            <w:r w:rsidRPr="001B1B87">
              <w:rPr>
                <w:sz w:val="15"/>
                <w:szCs w:val="15"/>
              </w:rPr>
              <w:t xml:space="preserve"> - </w:t>
            </w:r>
          </w:p>
        </w:tc>
        <w:tc>
          <w:tcPr>
            <w:tcW w:w="343" w:type="pct"/>
            <w:tcBorders>
              <w:top w:val="nil"/>
              <w:left w:val="nil"/>
              <w:bottom w:val="nil"/>
              <w:right w:val="nil"/>
            </w:tcBorders>
            <w:vAlign w:val="bottom"/>
          </w:tcPr>
          <w:p w14:paraId="65AAF963" w14:textId="77777777" w:rsidR="00B16158" w:rsidRPr="00D13EB3" w:rsidRDefault="00B16158" w:rsidP="00B16158">
            <w:pPr>
              <w:tabs>
                <w:tab w:val="right" w:pos="1202"/>
              </w:tabs>
              <w:spacing w:after="40" w:line="240" w:lineRule="auto"/>
              <w:jc w:val="right"/>
              <w:outlineLvl w:val="0"/>
              <w:rPr>
                <w:rFonts w:ascii="Calibri" w:hAnsi="Calibri" w:cs="Arial"/>
                <w:spacing w:val="-2"/>
                <w:sz w:val="15"/>
                <w:szCs w:val="15"/>
              </w:rPr>
            </w:pPr>
            <w:r w:rsidRPr="001B1B87">
              <w:rPr>
                <w:sz w:val="15"/>
                <w:szCs w:val="15"/>
              </w:rPr>
              <w:t xml:space="preserve"> - </w:t>
            </w:r>
          </w:p>
        </w:tc>
        <w:tc>
          <w:tcPr>
            <w:tcW w:w="344" w:type="pct"/>
            <w:tcBorders>
              <w:top w:val="nil"/>
              <w:left w:val="nil"/>
              <w:bottom w:val="nil"/>
              <w:right w:val="nil"/>
            </w:tcBorders>
            <w:shd w:val="clear" w:color="auto" w:fill="auto"/>
            <w:vAlign w:val="bottom"/>
          </w:tcPr>
          <w:p w14:paraId="6B2E30CA" w14:textId="77777777" w:rsidR="00B16158" w:rsidRPr="00D13EB3" w:rsidRDefault="00B16158" w:rsidP="00B16158">
            <w:pPr>
              <w:tabs>
                <w:tab w:val="right" w:pos="1202"/>
              </w:tabs>
              <w:spacing w:after="40" w:line="240" w:lineRule="auto"/>
              <w:jc w:val="right"/>
              <w:outlineLvl w:val="0"/>
              <w:rPr>
                <w:rFonts w:ascii="Calibri" w:hAnsi="Calibri" w:cs="Arial"/>
                <w:spacing w:val="-2"/>
                <w:sz w:val="15"/>
                <w:szCs w:val="15"/>
              </w:rPr>
            </w:pPr>
            <w:r w:rsidRPr="001B1B87">
              <w:rPr>
                <w:sz w:val="15"/>
                <w:szCs w:val="15"/>
              </w:rPr>
              <w:t xml:space="preserve"> 16</w:t>
            </w:r>
            <w:r>
              <w:rPr>
                <w:sz w:val="15"/>
                <w:szCs w:val="15"/>
              </w:rPr>
              <w:t>,</w:t>
            </w:r>
            <w:r w:rsidRPr="001B1B87">
              <w:rPr>
                <w:sz w:val="15"/>
                <w:szCs w:val="15"/>
              </w:rPr>
              <w:t xml:space="preserve">375 </w:t>
            </w:r>
          </w:p>
        </w:tc>
        <w:tc>
          <w:tcPr>
            <w:tcW w:w="343" w:type="pct"/>
            <w:tcBorders>
              <w:top w:val="nil"/>
              <w:left w:val="nil"/>
              <w:bottom w:val="nil"/>
              <w:right w:val="nil"/>
            </w:tcBorders>
            <w:shd w:val="clear" w:color="auto" w:fill="auto"/>
            <w:vAlign w:val="bottom"/>
          </w:tcPr>
          <w:p w14:paraId="6612AFD0" w14:textId="77777777" w:rsidR="00B16158" w:rsidRPr="00D13EB3" w:rsidRDefault="00B16158" w:rsidP="00B16158">
            <w:pPr>
              <w:tabs>
                <w:tab w:val="right" w:pos="1202"/>
              </w:tabs>
              <w:spacing w:after="40" w:line="240" w:lineRule="auto"/>
              <w:jc w:val="right"/>
              <w:outlineLvl w:val="0"/>
              <w:rPr>
                <w:rFonts w:ascii="Calibri" w:hAnsi="Calibri" w:cs="Arial"/>
                <w:spacing w:val="-2"/>
                <w:sz w:val="15"/>
                <w:szCs w:val="15"/>
              </w:rPr>
            </w:pPr>
            <w:r w:rsidRPr="001B1B87">
              <w:rPr>
                <w:sz w:val="15"/>
                <w:szCs w:val="15"/>
              </w:rPr>
              <w:t xml:space="preserve"> 16</w:t>
            </w:r>
            <w:r>
              <w:rPr>
                <w:sz w:val="15"/>
                <w:szCs w:val="15"/>
              </w:rPr>
              <w:t>,</w:t>
            </w:r>
            <w:r w:rsidRPr="001B1B87">
              <w:rPr>
                <w:sz w:val="15"/>
                <w:szCs w:val="15"/>
              </w:rPr>
              <w:t xml:space="preserve">375 </w:t>
            </w:r>
          </w:p>
        </w:tc>
      </w:tr>
      <w:tr w:rsidR="00B16158" w:rsidRPr="00D13EB3" w14:paraId="2AF869DB" w14:textId="77777777" w:rsidTr="00E44437">
        <w:trPr>
          <w:trHeight w:val="126"/>
          <w:jc w:val="center"/>
        </w:trPr>
        <w:tc>
          <w:tcPr>
            <w:tcW w:w="877" w:type="pct"/>
            <w:vAlign w:val="bottom"/>
          </w:tcPr>
          <w:p w14:paraId="0856C3D0" w14:textId="77777777" w:rsidR="00B16158" w:rsidRPr="00D13EB3" w:rsidRDefault="00B16158" w:rsidP="00B16158">
            <w:pPr>
              <w:tabs>
                <w:tab w:val="right" w:pos="1202"/>
              </w:tabs>
              <w:spacing w:after="40" w:line="240" w:lineRule="auto"/>
              <w:outlineLvl w:val="0"/>
              <w:rPr>
                <w:rFonts w:ascii="Calibri" w:hAnsi="Calibri"/>
                <w:sz w:val="15"/>
                <w:szCs w:val="15"/>
              </w:rPr>
            </w:pPr>
            <w:r w:rsidRPr="00D13EB3">
              <w:rPr>
                <w:rFonts w:ascii="Calibri" w:hAnsi="Calibri"/>
                <w:sz w:val="15"/>
                <w:szCs w:val="15"/>
              </w:rPr>
              <w:t>Financial assets at fair value through other comprehensive income</w:t>
            </w:r>
          </w:p>
        </w:tc>
        <w:tc>
          <w:tcPr>
            <w:tcW w:w="343" w:type="pct"/>
            <w:tcBorders>
              <w:top w:val="nil"/>
              <w:left w:val="nil"/>
              <w:bottom w:val="nil"/>
              <w:right w:val="nil"/>
            </w:tcBorders>
            <w:shd w:val="clear" w:color="auto" w:fill="auto"/>
            <w:vAlign w:val="bottom"/>
          </w:tcPr>
          <w:p w14:paraId="03A2ABDA" w14:textId="77777777" w:rsidR="00B16158" w:rsidRPr="00D13EB3" w:rsidRDefault="00B16158" w:rsidP="00B16158">
            <w:pPr>
              <w:tabs>
                <w:tab w:val="right" w:pos="1202"/>
              </w:tabs>
              <w:spacing w:after="40" w:line="240" w:lineRule="auto"/>
              <w:jc w:val="right"/>
              <w:outlineLvl w:val="0"/>
              <w:rPr>
                <w:rFonts w:ascii="Calibri" w:hAnsi="Calibri" w:cs="Arial"/>
                <w:snapToGrid w:val="0"/>
                <w:sz w:val="15"/>
                <w:szCs w:val="15"/>
              </w:rPr>
            </w:pPr>
            <w:r w:rsidRPr="001B1B87">
              <w:rPr>
                <w:sz w:val="15"/>
                <w:szCs w:val="15"/>
              </w:rPr>
              <w:t xml:space="preserve"> 2</w:t>
            </w:r>
            <w:r>
              <w:rPr>
                <w:sz w:val="15"/>
                <w:szCs w:val="15"/>
              </w:rPr>
              <w:t>,</w:t>
            </w:r>
            <w:r w:rsidRPr="001B1B87">
              <w:rPr>
                <w:sz w:val="15"/>
                <w:szCs w:val="15"/>
              </w:rPr>
              <w:t>928</w:t>
            </w:r>
            <w:r>
              <w:rPr>
                <w:sz w:val="15"/>
                <w:szCs w:val="15"/>
              </w:rPr>
              <w:t>,</w:t>
            </w:r>
            <w:r w:rsidRPr="001B1B87">
              <w:rPr>
                <w:sz w:val="15"/>
                <w:szCs w:val="15"/>
              </w:rPr>
              <w:t xml:space="preserve">045 </w:t>
            </w:r>
          </w:p>
        </w:tc>
        <w:tc>
          <w:tcPr>
            <w:tcW w:w="344" w:type="pct"/>
            <w:tcBorders>
              <w:top w:val="nil"/>
              <w:left w:val="nil"/>
              <w:bottom w:val="nil"/>
              <w:right w:val="nil"/>
            </w:tcBorders>
            <w:shd w:val="clear" w:color="auto" w:fill="auto"/>
            <w:vAlign w:val="bottom"/>
          </w:tcPr>
          <w:p w14:paraId="12A780E5" w14:textId="77777777" w:rsidR="00B16158" w:rsidRPr="00D13EB3" w:rsidRDefault="00B16158" w:rsidP="00B16158">
            <w:pPr>
              <w:tabs>
                <w:tab w:val="right" w:pos="1202"/>
              </w:tabs>
              <w:spacing w:after="40" w:line="240" w:lineRule="auto"/>
              <w:jc w:val="right"/>
              <w:outlineLvl w:val="0"/>
              <w:rPr>
                <w:rFonts w:ascii="Calibri" w:hAnsi="Calibri" w:cs="Arial"/>
                <w:snapToGrid w:val="0"/>
                <w:sz w:val="15"/>
                <w:szCs w:val="15"/>
              </w:rPr>
            </w:pPr>
            <w:r w:rsidRPr="001B1B87">
              <w:rPr>
                <w:sz w:val="15"/>
                <w:szCs w:val="15"/>
              </w:rPr>
              <w:t xml:space="preserve"> - </w:t>
            </w:r>
          </w:p>
        </w:tc>
        <w:tc>
          <w:tcPr>
            <w:tcW w:w="344" w:type="pct"/>
            <w:tcBorders>
              <w:top w:val="nil"/>
              <w:left w:val="nil"/>
              <w:bottom w:val="nil"/>
              <w:right w:val="nil"/>
            </w:tcBorders>
            <w:shd w:val="clear" w:color="auto" w:fill="auto"/>
            <w:vAlign w:val="bottom"/>
          </w:tcPr>
          <w:p w14:paraId="3F089B98" w14:textId="77777777" w:rsidR="00B16158" w:rsidRPr="00D13EB3" w:rsidRDefault="00B16158" w:rsidP="00B16158">
            <w:pPr>
              <w:tabs>
                <w:tab w:val="right" w:pos="1202"/>
              </w:tabs>
              <w:spacing w:after="40" w:line="240" w:lineRule="auto"/>
              <w:jc w:val="right"/>
              <w:outlineLvl w:val="0"/>
              <w:rPr>
                <w:rFonts w:ascii="Calibri" w:hAnsi="Calibri" w:cs="Arial"/>
                <w:snapToGrid w:val="0"/>
                <w:sz w:val="15"/>
                <w:szCs w:val="15"/>
              </w:rPr>
            </w:pPr>
            <w:r w:rsidRPr="001B1B87">
              <w:rPr>
                <w:sz w:val="15"/>
                <w:szCs w:val="15"/>
              </w:rPr>
              <w:t xml:space="preserve"> 1</w:t>
            </w:r>
            <w:r>
              <w:rPr>
                <w:sz w:val="15"/>
                <w:szCs w:val="15"/>
              </w:rPr>
              <w:t>,</w:t>
            </w:r>
            <w:r w:rsidRPr="001B1B87">
              <w:rPr>
                <w:sz w:val="15"/>
                <w:szCs w:val="15"/>
              </w:rPr>
              <w:t xml:space="preserve">469 </w:t>
            </w:r>
          </w:p>
        </w:tc>
        <w:tc>
          <w:tcPr>
            <w:tcW w:w="343" w:type="pct"/>
            <w:tcBorders>
              <w:top w:val="nil"/>
              <w:left w:val="nil"/>
              <w:bottom w:val="nil"/>
              <w:right w:val="nil"/>
            </w:tcBorders>
            <w:shd w:val="clear" w:color="auto" w:fill="auto"/>
            <w:vAlign w:val="bottom"/>
          </w:tcPr>
          <w:p w14:paraId="4845FE38" w14:textId="77777777" w:rsidR="00B16158" w:rsidRPr="00D13EB3" w:rsidRDefault="00B16158" w:rsidP="00B16158">
            <w:pPr>
              <w:tabs>
                <w:tab w:val="right" w:pos="1202"/>
              </w:tabs>
              <w:spacing w:after="40" w:line="240" w:lineRule="auto"/>
              <w:jc w:val="right"/>
              <w:outlineLvl w:val="0"/>
              <w:rPr>
                <w:rFonts w:ascii="Calibri" w:hAnsi="Calibri" w:cs="Arial"/>
                <w:snapToGrid w:val="0"/>
                <w:sz w:val="15"/>
                <w:szCs w:val="15"/>
              </w:rPr>
            </w:pPr>
            <w:r w:rsidRPr="001B1B87">
              <w:rPr>
                <w:sz w:val="15"/>
                <w:szCs w:val="15"/>
              </w:rPr>
              <w:t xml:space="preserve"> - </w:t>
            </w:r>
          </w:p>
        </w:tc>
        <w:tc>
          <w:tcPr>
            <w:tcW w:w="344" w:type="pct"/>
            <w:tcBorders>
              <w:top w:val="nil"/>
              <w:left w:val="nil"/>
              <w:bottom w:val="nil"/>
              <w:right w:val="nil"/>
            </w:tcBorders>
            <w:shd w:val="clear" w:color="auto" w:fill="auto"/>
            <w:vAlign w:val="bottom"/>
          </w:tcPr>
          <w:p w14:paraId="403688AE" w14:textId="77777777" w:rsidR="00B16158" w:rsidRPr="00D13EB3" w:rsidRDefault="00B16158" w:rsidP="00B16158">
            <w:pPr>
              <w:tabs>
                <w:tab w:val="right" w:pos="1202"/>
              </w:tabs>
              <w:spacing w:after="40" w:line="240" w:lineRule="auto"/>
              <w:jc w:val="right"/>
              <w:outlineLvl w:val="0"/>
              <w:rPr>
                <w:rFonts w:ascii="Calibri" w:hAnsi="Calibri" w:cs="Arial"/>
                <w:snapToGrid w:val="0"/>
                <w:sz w:val="15"/>
                <w:szCs w:val="15"/>
              </w:rPr>
            </w:pPr>
            <w:r w:rsidRPr="001B1B87">
              <w:rPr>
                <w:sz w:val="15"/>
                <w:szCs w:val="15"/>
              </w:rPr>
              <w:t xml:space="preserve"> - </w:t>
            </w:r>
          </w:p>
        </w:tc>
        <w:tc>
          <w:tcPr>
            <w:tcW w:w="344" w:type="pct"/>
            <w:tcBorders>
              <w:top w:val="nil"/>
              <w:left w:val="nil"/>
              <w:bottom w:val="nil"/>
              <w:right w:val="nil"/>
            </w:tcBorders>
            <w:shd w:val="clear" w:color="auto" w:fill="auto"/>
            <w:vAlign w:val="bottom"/>
          </w:tcPr>
          <w:p w14:paraId="072648FE" w14:textId="77777777" w:rsidR="00B16158" w:rsidRPr="00D13EB3" w:rsidRDefault="00B16158" w:rsidP="00B16158">
            <w:pPr>
              <w:tabs>
                <w:tab w:val="right" w:pos="1202"/>
              </w:tabs>
              <w:spacing w:after="40" w:line="240" w:lineRule="auto"/>
              <w:jc w:val="right"/>
              <w:outlineLvl w:val="0"/>
              <w:rPr>
                <w:rFonts w:ascii="Calibri" w:hAnsi="Calibri" w:cs="Arial"/>
                <w:snapToGrid w:val="0"/>
                <w:sz w:val="15"/>
                <w:szCs w:val="15"/>
                <w:highlight w:val="yellow"/>
              </w:rPr>
            </w:pPr>
            <w:r w:rsidRPr="001B1B87">
              <w:rPr>
                <w:sz w:val="15"/>
                <w:szCs w:val="15"/>
              </w:rPr>
              <w:t xml:space="preserve"> 2</w:t>
            </w:r>
            <w:r>
              <w:rPr>
                <w:sz w:val="15"/>
                <w:szCs w:val="15"/>
              </w:rPr>
              <w:t>,</w:t>
            </w:r>
            <w:r w:rsidRPr="001B1B87">
              <w:rPr>
                <w:sz w:val="15"/>
                <w:szCs w:val="15"/>
              </w:rPr>
              <w:t>929</w:t>
            </w:r>
            <w:r>
              <w:rPr>
                <w:sz w:val="15"/>
                <w:szCs w:val="15"/>
              </w:rPr>
              <w:t>,</w:t>
            </w:r>
            <w:r w:rsidRPr="001B1B87">
              <w:rPr>
                <w:sz w:val="15"/>
                <w:szCs w:val="15"/>
              </w:rPr>
              <w:t xml:space="preserve">514 </w:t>
            </w:r>
          </w:p>
        </w:tc>
        <w:tc>
          <w:tcPr>
            <w:tcW w:w="343" w:type="pct"/>
            <w:tcBorders>
              <w:top w:val="nil"/>
              <w:left w:val="nil"/>
              <w:bottom w:val="nil"/>
              <w:right w:val="nil"/>
            </w:tcBorders>
            <w:shd w:val="clear" w:color="auto" w:fill="auto"/>
            <w:vAlign w:val="bottom"/>
          </w:tcPr>
          <w:p w14:paraId="62CADA37" w14:textId="77777777" w:rsidR="00B16158" w:rsidRPr="00D13EB3" w:rsidRDefault="00B16158" w:rsidP="00B16158">
            <w:pPr>
              <w:tabs>
                <w:tab w:val="right" w:pos="1202"/>
              </w:tabs>
              <w:spacing w:after="40" w:line="240" w:lineRule="auto"/>
              <w:jc w:val="right"/>
              <w:outlineLvl w:val="0"/>
              <w:rPr>
                <w:rFonts w:ascii="Calibri" w:hAnsi="Calibri" w:cs="Arial"/>
                <w:snapToGrid w:val="0"/>
                <w:sz w:val="15"/>
                <w:szCs w:val="15"/>
              </w:rPr>
            </w:pPr>
            <w:r w:rsidRPr="001B1B87">
              <w:rPr>
                <w:sz w:val="15"/>
                <w:szCs w:val="15"/>
              </w:rPr>
              <w:t xml:space="preserve"> 2</w:t>
            </w:r>
            <w:r>
              <w:rPr>
                <w:sz w:val="15"/>
                <w:szCs w:val="15"/>
              </w:rPr>
              <w:t>,</w:t>
            </w:r>
            <w:r w:rsidRPr="001B1B87">
              <w:rPr>
                <w:sz w:val="15"/>
                <w:szCs w:val="15"/>
              </w:rPr>
              <w:t>928</w:t>
            </w:r>
            <w:r>
              <w:rPr>
                <w:sz w:val="15"/>
                <w:szCs w:val="15"/>
              </w:rPr>
              <w:t>,</w:t>
            </w:r>
            <w:r w:rsidRPr="001B1B87">
              <w:rPr>
                <w:sz w:val="15"/>
                <w:szCs w:val="15"/>
              </w:rPr>
              <w:t xml:space="preserve">045 </w:t>
            </w:r>
          </w:p>
        </w:tc>
        <w:tc>
          <w:tcPr>
            <w:tcW w:w="344" w:type="pct"/>
            <w:tcBorders>
              <w:top w:val="nil"/>
              <w:left w:val="nil"/>
              <w:bottom w:val="nil"/>
              <w:right w:val="nil"/>
            </w:tcBorders>
            <w:shd w:val="clear" w:color="auto" w:fill="auto"/>
            <w:vAlign w:val="bottom"/>
          </w:tcPr>
          <w:p w14:paraId="1B2254B0" w14:textId="77777777" w:rsidR="00B16158" w:rsidRPr="00D13EB3" w:rsidRDefault="00B16158" w:rsidP="00B16158">
            <w:pPr>
              <w:tabs>
                <w:tab w:val="right" w:pos="1202"/>
              </w:tabs>
              <w:spacing w:after="40" w:line="240" w:lineRule="auto"/>
              <w:jc w:val="right"/>
              <w:outlineLvl w:val="0"/>
              <w:rPr>
                <w:rFonts w:ascii="Calibri" w:hAnsi="Calibri" w:cs="Arial"/>
                <w:snapToGrid w:val="0"/>
                <w:sz w:val="15"/>
                <w:szCs w:val="15"/>
              </w:rPr>
            </w:pPr>
            <w:r w:rsidRPr="001B1B87">
              <w:rPr>
                <w:sz w:val="15"/>
                <w:szCs w:val="15"/>
              </w:rPr>
              <w:t xml:space="preserve"> - </w:t>
            </w:r>
          </w:p>
        </w:tc>
        <w:tc>
          <w:tcPr>
            <w:tcW w:w="344" w:type="pct"/>
            <w:tcBorders>
              <w:top w:val="nil"/>
              <w:left w:val="nil"/>
              <w:bottom w:val="nil"/>
              <w:right w:val="nil"/>
            </w:tcBorders>
            <w:shd w:val="clear" w:color="auto" w:fill="auto"/>
            <w:vAlign w:val="bottom"/>
          </w:tcPr>
          <w:p w14:paraId="0F179C36" w14:textId="77777777" w:rsidR="00B16158" w:rsidRPr="00D13EB3" w:rsidRDefault="00B16158" w:rsidP="00B16158">
            <w:pPr>
              <w:tabs>
                <w:tab w:val="right" w:pos="1202"/>
              </w:tabs>
              <w:spacing w:after="40" w:line="240" w:lineRule="auto"/>
              <w:jc w:val="right"/>
              <w:outlineLvl w:val="0"/>
              <w:rPr>
                <w:rFonts w:ascii="Calibri" w:hAnsi="Calibri" w:cs="Arial"/>
                <w:snapToGrid w:val="0"/>
                <w:sz w:val="15"/>
                <w:szCs w:val="15"/>
              </w:rPr>
            </w:pPr>
            <w:r w:rsidRPr="001B1B87">
              <w:rPr>
                <w:sz w:val="15"/>
                <w:szCs w:val="15"/>
              </w:rPr>
              <w:t xml:space="preserve"> 1</w:t>
            </w:r>
            <w:r>
              <w:rPr>
                <w:sz w:val="15"/>
                <w:szCs w:val="15"/>
              </w:rPr>
              <w:t>,</w:t>
            </w:r>
            <w:r w:rsidRPr="001B1B87">
              <w:rPr>
                <w:sz w:val="15"/>
                <w:szCs w:val="15"/>
              </w:rPr>
              <w:t xml:space="preserve">469 </w:t>
            </w:r>
          </w:p>
        </w:tc>
        <w:tc>
          <w:tcPr>
            <w:tcW w:w="343" w:type="pct"/>
            <w:tcBorders>
              <w:top w:val="nil"/>
              <w:left w:val="nil"/>
              <w:bottom w:val="nil"/>
              <w:right w:val="nil"/>
            </w:tcBorders>
            <w:shd w:val="clear" w:color="auto" w:fill="auto"/>
            <w:vAlign w:val="bottom"/>
          </w:tcPr>
          <w:p w14:paraId="17D086E8" w14:textId="77777777" w:rsidR="00B16158" w:rsidRPr="00D13EB3" w:rsidRDefault="00B16158" w:rsidP="00B16158">
            <w:pPr>
              <w:tabs>
                <w:tab w:val="right" w:pos="1202"/>
              </w:tabs>
              <w:spacing w:after="40" w:line="240" w:lineRule="auto"/>
              <w:jc w:val="right"/>
              <w:outlineLvl w:val="0"/>
              <w:rPr>
                <w:rFonts w:ascii="Calibri" w:hAnsi="Calibri" w:cs="Arial"/>
                <w:snapToGrid w:val="0"/>
                <w:sz w:val="15"/>
                <w:szCs w:val="15"/>
              </w:rPr>
            </w:pPr>
            <w:r w:rsidRPr="001B1B87">
              <w:rPr>
                <w:sz w:val="15"/>
                <w:szCs w:val="15"/>
              </w:rPr>
              <w:t xml:space="preserve"> - </w:t>
            </w:r>
          </w:p>
        </w:tc>
        <w:tc>
          <w:tcPr>
            <w:tcW w:w="344" w:type="pct"/>
            <w:tcBorders>
              <w:top w:val="nil"/>
              <w:left w:val="nil"/>
              <w:bottom w:val="nil"/>
              <w:right w:val="nil"/>
            </w:tcBorders>
            <w:shd w:val="clear" w:color="auto" w:fill="auto"/>
            <w:vAlign w:val="bottom"/>
          </w:tcPr>
          <w:p w14:paraId="35D42A1B" w14:textId="77777777" w:rsidR="00B16158" w:rsidRPr="00D13EB3" w:rsidRDefault="00B16158" w:rsidP="00B16158">
            <w:pPr>
              <w:tabs>
                <w:tab w:val="right" w:pos="1202"/>
              </w:tabs>
              <w:spacing w:after="40" w:line="240" w:lineRule="auto"/>
              <w:jc w:val="right"/>
              <w:outlineLvl w:val="0"/>
              <w:rPr>
                <w:rFonts w:ascii="Calibri" w:hAnsi="Calibri" w:cs="Arial"/>
                <w:snapToGrid w:val="0"/>
                <w:sz w:val="15"/>
                <w:szCs w:val="15"/>
              </w:rPr>
            </w:pPr>
            <w:r w:rsidRPr="001B1B87">
              <w:rPr>
                <w:sz w:val="15"/>
                <w:szCs w:val="15"/>
              </w:rPr>
              <w:t xml:space="preserve"> - </w:t>
            </w:r>
          </w:p>
        </w:tc>
        <w:tc>
          <w:tcPr>
            <w:tcW w:w="343" w:type="pct"/>
            <w:tcBorders>
              <w:top w:val="nil"/>
              <w:left w:val="nil"/>
              <w:bottom w:val="nil"/>
              <w:right w:val="nil"/>
            </w:tcBorders>
            <w:shd w:val="clear" w:color="auto" w:fill="auto"/>
            <w:vAlign w:val="bottom"/>
          </w:tcPr>
          <w:p w14:paraId="27600DA6" w14:textId="77777777" w:rsidR="00B16158" w:rsidRPr="00D13EB3" w:rsidRDefault="00B16158" w:rsidP="00B16158">
            <w:pPr>
              <w:tabs>
                <w:tab w:val="right" w:pos="1202"/>
              </w:tabs>
              <w:spacing w:after="40" w:line="240" w:lineRule="auto"/>
              <w:jc w:val="right"/>
              <w:outlineLvl w:val="0"/>
              <w:rPr>
                <w:rFonts w:ascii="Calibri" w:hAnsi="Calibri" w:cs="Arial"/>
                <w:snapToGrid w:val="0"/>
                <w:sz w:val="15"/>
                <w:szCs w:val="15"/>
                <w:highlight w:val="yellow"/>
              </w:rPr>
            </w:pPr>
            <w:r w:rsidRPr="001B1B87">
              <w:rPr>
                <w:sz w:val="15"/>
                <w:szCs w:val="15"/>
              </w:rPr>
              <w:t xml:space="preserve"> 2</w:t>
            </w:r>
            <w:r>
              <w:rPr>
                <w:sz w:val="15"/>
                <w:szCs w:val="15"/>
              </w:rPr>
              <w:t>,</w:t>
            </w:r>
            <w:r w:rsidRPr="001B1B87">
              <w:rPr>
                <w:sz w:val="15"/>
                <w:szCs w:val="15"/>
              </w:rPr>
              <w:t>929</w:t>
            </w:r>
            <w:r>
              <w:rPr>
                <w:sz w:val="15"/>
                <w:szCs w:val="15"/>
              </w:rPr>
              <w:t>,</w:t>
            </w:r>
            <w:r w:rsidRPr="001B1B87">
              <w:rPr>
                <w:sz w:val="15"/>
                <w:szCs w:val="15"/>
              </w:rPr>
              <w:t xml:space="preserve">514 </w:t>
            </w:r>
          </w:p>
        </w:tc>
      </w:tr>
      <w:tr w:rsidR="00B16158" w:rsidRPr="00D13EB3" w14:paraId="27B7E397" w14:textId="77777777" w:rsidTr="00E44437">
        <w:trPr>
          <w:trHeight w:hRule="exact" w:val="227"/>
          <w:jc w:val="center"/>
        </w:trPr>
        <w:tc>
          <w:tcPr>
            <w:tcW w:w="877" w:type="pct"/>
            <w:vAlign w:val="bottom"/>
          </w:tcPr>
          <w:p w14:paraId="1701B427" w14:textId="77777777" w:rsidR="00B16158" w:rsidRPr="00D13EB3" w:rsidRDefault="00B16158" w:rsidP="00B16158">
            <w:pPr>
              <w:tabs>
                <w:tab w:val="right" w:pos="1202"/>
              </w:tabs>
              <w:spacing w:after="40" w:line="240" w:lineRule="auto"/>
              <w:outlineLvl w:val="0"/>
              <w:rPr>
                <w:rFonts w:ascii="Calibri" w:hAnsi="Calibri"/>
                <w:sz w:val="15"/>
                <w:szCs w:val="15"/>
              </w:rPr>
            </w:pPr>
            <w:r w:rsidRPr="00D13EB3">
              <w:rPr>
                <w:rFonts w:ascii="Calibri" w:hAnsi="Calibri"/>
                <w:sz w:val="15"/>
                <w:szCs w:val="15"/>
              </w:rPr>
              <w:t>Other assets</w:t>
            </w:r>
          </w:p>
        </w:tc>
        <w:tc>
          <w:tcPr>
            <w:tcW w:w="343" w:type="pct"/>
            <w:tcBorders>
              <w:top w:val="nil"/>
              <w:left w:val="nil"/>
              <w:bottom w:val="single" w:sz="8" w:space="0" w:color="auto"/>
              <w:right w:val="nil"/>
            </w:tcBorders>
            <w:shd w:val="clear" w:color="auto" w:fill="auto"/>
            <w:vAlign w:val="bottom"/>
          </w:tcPr>
          <w:p w14:paraId="3768FB7C" w14:textId="77777777" w:rsidR="00B16158" w:rsidRPr="00D13EB3" w:rsidRDefault="00B16158" w:rsidP="00B16158">
            <w:pPr>
              <w:tabs>
                <w:tab w:val="right" w:pos="1202"/>
              </w:tabs>
              <w:spacing w:after="40" w:line="240" w:lineRule="auto"/>
              <w:jc w:val="right"/>
              <w:outlineLvl w:val="0"/>
              <w:rPr>
                <w:rFonts w:ascii="Calibri" w:hAnsi="Calibri" w:cs="Arial"/>
                <w:snapToGrid w:val="0"/>
                <w:sz w:val="15"/>
                <w:szCs w:val="15"/>
              </w:rPr>
            </w:pPr>
            <w:r w:rsidRPr="001B1B87">
              <w:rPr>
                <w:sz w:val="15"/>
                <w:szCs w:val="15"/>
              </w:rPr>
              <w:t xml:space="preserve"> 5</w:t>
            </w:r>
            <w:r>
              <w:rPr>
                <w:sz w:val="15"/>
                <w:szCs w:val="15"/>
              </w:rPr>
              <w:t>,</w:t>
            </w:r>
            <w:r w:rsidRPr="001B1B87">
              <w:rPr>
                <w:sz w:val="15"/>
                <w:szCs w:val="15"/>
              </w:rPr>
              <w:t xml:space="preserve">938 </w:t>
            </w:r>
          </w:p>
        </w:tc>
        <w:tc>
          <w:tcPr>
            <w:tcW w:w="344" w:type="pct"/>
            <w:tcBorders>
              <w:top w:val="nil"/>
              <w:left w:val="nil"/>
              <w:bottom w:val="single" w:sz="8" w:space="0" w:color="auto"/>
              <w:right w:val="nil"/>
            </w:tcBorders>
            <w:shd w:val="clear" w:color="auto" w:fill="auto"/>
            <w:vAlign w:val="bottom"/>
          </w:tcPr>
          <w:p w14:paraId="51848A2E" w14:textId="77777777" w:rsidR="00B16158" w:rsidRPr="00D13EB3" w:rsidRDefault="00B16158" w:rsidP="00B16158">
            <w:pPr>
              <w:tabs>
                <w:tab w:val="right" w:pos="1202"/>
              </w:tabs>
              <w:spacing w:after="40" w:line="240" w:lineRule="auto"/>
              <w:jc w:val="right"/>
              <w:outlineLvl w:val="0"/>
              <w:rPr>
                <w:rFonts w:ascii="Calibri" w:hAnsi="Calibri" w:cs="Arial"/>
                <w:snapToGrid w:val="0"/>
                <w:sz w:val="15"/>
                <w:szCs w:val="15"/>
              </w:rPr>
            </w:pPr>
            <w:r w:rsidRPr="001B1B87">
              <w:rPr>
                <w:sz w:val="15"/>
                <w:szCs w:val="15"/>
              </w:rPr>
              <w:t xml:space="preserve"> 12 </w:t>
            </w:r>
          </w:p>
        </w:tc>
        <w:tc>
          <w:tcPr>
            <w:tcW w:w="344" w:type="pct"/>
            <w:tcBorders>
              <w:top w:val="nil"/>
              <w:left w:val="nil"/>
              <w:bottom w:val="single" w:sz="8" w:space="0" w:color="auto"/>
              <w:right w:val="nil"/>
            </w:tcBorders>
            <w:shd w:val="clear" w:color="auto" w:fill="auto"/>
            <w:vAlign w:val="bottom"/>
          </w:tcPr>
          <w:p w14:paraId="64B5E126" w14:textId="77777777" w:rsidR="00B16158" w:rsidRPr="00D13EB3" w:rsidRDefault="00B16158" w:rsidP="00B16158">
            <w:pPr>
              <w:tabs>
                <w:tab w:val="right" w:pos="1202"/>
              </w:tabs>
              <w:spacing w:after="40" w:line="240" w:lineRule="auto"/>
              <w:jc w:val="right"/>
              <w:outlineLvl w:val="0"/>
              <w:rPr>
                <w:rFonts w:ascii="Calibri" w:hAnsi="Calibri" w:cs="Arial"/>
                <w:snapToGrid w:val="0"/>
                <w:sz w:val="15"/>
                <w:szCs w:val="15"/>
              </w:rPr>
            </w:pPr>
            <w:r w:rsidRPr="001B1B87">
              <w:rPr>
                <w:sz w:val="15"/>
                <w:szCs w:val="15"/>
              </w:rPr>
              <w:t xml:space="preserve"> 1</w:t>
            </w:r>
            <w:r>
              <w:rPr>
                <w:sz w:val="15"/>
                <w:szCs w:val="15"/>
              </w:rPr>
              <w:t>,</w:t>
            </w:r>
            <w:r w:rsidRPr="001B1B87">
              <w:rPr>
                <w:sz w:val="15"/>
                <w:szCs w:val="15"/>
              </w:rPr>
              <w:t xml:space="preserve">310 </w:t>
            </w:r>
          </w:p>
        </w:tc>
        <w:tc>
          <w:tcPr>
            <w:tcW w:w="343" w:type="pct"/>
            <w:tcBorders>
              <w:top w:val="nil"/>
              <w:left w:val="nil"/>
              <w:bottom w:val="single" w:sz="8" w:space="0" w:color="auto"/>
              <w:right w:val="nil"/>
            </w:tcBorders>
            <w:shd w:val="clear" w:color="auto" w:fill="auto"/>
            <w:vAlign w:val="bottom"/>
          </w:tcPr>
          <w:p w14:paraId="308B51DC" w14:textId="77777777" w:rsidR="00B16158" w:rsidRPr="00D13EB3" w:rsidRDefault="00B16158" w:rsidP="00B16158">
            <w:pPr>
              <w:tabs>
                <w:tab w:val="right" w:pos="1202"/>
              </w:tabs>
              <w:spacing w:after="40" w:line="240" w:lineRule="auto"/>
              <w:jc w:val="right"/>
              <w:outlineLvl w:val="0"/>
              <w:rPr>
                <w:rFonts w:ascii="Calibri" w:hAnsi="Calibri" w:cs="Arial"/>
                <w:snapToGrid w:val="0"/>
                <w:sz w:val="15"/>
                <w:szCs w:val="15"/>
              </w:rPr>
            </w:pPr>
            <w:r w:rsidRPr="001B1B87">
              <w:rPr>
                <w:sz w:val="15"/>
                <w:szCs w:val="15"/>
              </w:rPr>
              <w:t xml:space="preserve"> 51 </w:t>
            </w:r>
          </w:p>
        </w:tc>
        <w:tc>
          <w:tcPr>
            <w:tcW w:w="344" w:type="pct"/>
            <w:tcBorders>
              <w:top w:val="nil"/>
              <w:left w:val="nil"/>
              <w:bottom w:val="single" w:sz="8" w:space="0" w:color="auto"/>
              <w:right w:val="nil"/>
            </w:tcBorders>
            <w:shd w:val="clear" w:color="auto" w:fill="auto"/>
            <w:vAlign w:val="bottom"/>
          </w:tcPr>
          <w:p w14:paraId="6BD043B4" w14:textId="77777777" w:rsidR="00B16158" w:rsidRPr="00D13EB3" w:rsidRDefault="00B16158" w:rsidP="00B16158">
            <w:pPr>
              <w:tabs>
                <w:tab w:val="right" w:pos="1202"/>
              </w:tabs>
              <w:spacing w:after="40" w:line="240" w:lineRule="auto"/>
              <w:jc w:val="right"/>
              <w:outlineLvl w:val="0"/>
              <w:rPr>
                <w:rFonts w:ascii="Calibri" w:hAnsi="Calibri" w:cs="Arial"/>
                <w:snapToGrid w:val="0"/>
                <w:sz w:val="15"/>
                <w:szCs w:val="15"/>
              </w:rPr>
            </w:pPr>
            <w:r w:rsidRPr="001B1B87">
              <w:rPr>
                <w:sz w:val="15"/>
                <w:szCs w:val="15"/>
              </w:rPr>
              <w:t xml:space="preserve"> - </w:t>
            </w:r>
          </w:p>
        </w:tc>
        <w:tc>
          <w:tcPr>
            <w:tcW w:w="344" w:type="pct"/>
            <w:tcBorders>
              <w:top w:val="nil"/>
              <w:left w:val="nil"/>
              <w:bottom w:val="single" w:sz="8" w:space="0" w:color="auto"/>
              <w:right w:val="nil"/>
            </w:tcBorders>
            <w:shd w:val="clear" w:color="auto" w:fill="auto"/>
            <w:vAlign w:val="bottom"/>
          </w:tcPr>
          <w:p w14:paraId="2FC247FA" w14:textId="77777777" w:rsidR="00B16158" w:rsidRPr="00D13EB3" w:rsidRDefault="00B16158" w:rsidP="00B16158">
            <w:pPr>
              <w:tabs>
                <w:tab w:val="right" w:pos="1202"/>
              </w:tabs>
              <w:spacing w:after="40" w:line="240" w:lineRule="auto"/>
              <w:jc w:val="right"/>
              <w:outlineLvl w:val="0"/>
              <w:rPr>
                <w:rFonts w:ascii="Calibri" w:hAnsi="Calibri" w:cs="Arial"/>
                <w:snapToGrid w:val="0"/>
                <w:sz w:val="15"/>
                <w:szCs w:val="15"/>
              </w:rPr>
            </w:pPr>
            <w:r w:rsidRPr="001B1B87">
              <w:rPr>
                <w:sz w:val="15"/>
                <w:szCs w:val="15"/>
              </w:rPr>
              <w:t xml:space="preserve"> 7</w:t>
            </w:r>
            <w:r>
              <w:rPr>
                <w:sz w:val="15"/>
                <w:szCs w:val="15"/>
              </w:rPr>
              <w:t>,</w:t>
            </w:r>
            <w:r w:rsidRPr="001B1B87">
              <w:rPr>
                <w:sz w:val="15"/>
                <w:szCs w:val="15"/>
              </w:rPr>
              <w:t xml:space="preserve">311 </w:t>
            </w:r>
          </w:p>
        </w:tc>
        <w:tc>
          <w:tcPr>
            <w:tcW w:w="343" w:type="pct"/>
            <w:tcBorders>
              <w:top w:val="nil"/>
              <w:left w:val="nil"/>
              <w:bottom w:val="single" w:sz="8" w:space="0" w:color="auto"/>
              <w:right w:val="nil"/>
            </w:tcBorders>
            <w:vAlign w:val="bottom"/>
          </w:tcPr>
          <w:p w14:paraId="4B5017C3" w14:textId="77777777" w:rsidR="00B16158" w:rsidRPr="00D13EB3" w:rsidRDefault="00B16158" w:rsidP="00B16158">
            <w:pPr>
              <w:tabs>
                <w:tab w:val="right" w:pos="1202"/>
              </w:tabs>
              <w:spacing w:after="40" w:line="240" w:lineRule="auto"/>
              <w:jc w:val="right"/>
              <w:outlineLvl w:val="0"/>
              <w:rPr>
                <w:rFonts w:ascii="Calibri" w:hAnsi="Calibri" w:cs="Arial"/>
                <w:snapToGrid w:val="0"/>
                <w:sz w:val="15"/>
                <w:szCs w:val="15"/>
              </w:rPr>
            </w:pPr>
            <w:r w:rsidRPr="001B1B87">
              <w:rPr>
                <w:sz w:val="15"/>
                <w:szCs w:val="15"/>
              </w:rPr>
              <w:t xml:space="preserve"> 2</w:t>
            </w:r>
            <w:r>
              <w:rPr>
                <w:sz w:val="15"/>
                <w:szCs w:val="15"/>
              </w:rPr>
              <w:t>,</w:t>
            </w:r>
            <w:r w:rsidRPr="001B1B87">
              <w:rPr>
                <w:sz w:val="15"/>
                <w:szCs w:val="15"/>
              </w:rPr>
              <w:t xml:space="preserve">398 </w:t>
            </w:r>
          </w:p>
        </w:tc>
        <w:tc>
          <w:tcPr>
            <w:tcW w:w="344" w:type="pct"/>
            <w:tcBorders>
              <w:top w:val="nil"/>
              <w:left w:val="nil"/>
              <w:bottom w:val="single" w:sz="8" w:space="0" w:color="auto"/>
              <w:right w:val="nil"/>
            </w:tcBorders>
            <w:vAlign w:val="bottom"/>
          </w:tcPr>
          <w:p w14:paraId="5AAC7ACA" w14:textId="77777777" w:rsidR="00B16158" w:rsidRPr="00D13EB3" w:rsidRDefault="00B16158" w:rsidP="00B16158">
            <w:pPr>
              <w:tabs>
                <w:tab w:val="right" w:pos="1202"/>
              </w:tabs>
              <w:spacing w:after="40" w:line="240" w:lineRule="auto"/>
              <w:jc w:val="right"/>
              <w:outlineLvl w:val="0"/>
              <w:rPr>
                <w:rFonts w:ascii="Calibri" w:hAnsi="Calibri" w:cs="Arial"/>
                <w:snapToGrid w:val="0"/>
                <w:sz w:val="15"/>
                <w:szCs w:val="15"/>
              </w:rPr>
            </w:pPr>
            <w:r w:rsidRPr="001B1B87">
              <w:rPr>
                <w:sz w:val="15"/>
                <w:szCs w:val="15"/>
              </w:rPr>
              <w:t xml:space="preserve"> 12 </w:t>
            </w:r>
          </w:p>
        </w:tc>
        <w:tc>
          <w:tcPr>
            <w:tcW w:w="344" w:type="pct"/>
            <w:tcBorders>
              <w:top w:val="nil"/>
              <w:left w:val="nil"/>
              <w:bottom w:val="single" w:sz="8" w:space="0" w:color="auto"/>
              <w:right w:val="nil"/>
            </w:tcBorders>
            <w:vAlign w:val="bottom"/>
          </w:tcPr>
          <w:p w14:paraId="25EF8741" w14:textId="77777777" w:rsidR="00B16158" w:rsidRPr="00D13EB3" w:rsidRDefault="00B16158" w:rsidP="00B16158">
            <w:pPr>
              <w:tabs>
                <w:tab w:val="right" w:pos="1202"/>
              </w:tabs>
              <w:spacing w:after="40" w:line="240" w:lineRule="auto"/>
              <w:jc w:val="right"/>
              <w:outlineLvl w:val="0"/>
              <w:rPr>
                <w:rFonts w:ascii="Calibri" w:hAnsi="Calibri" w:cs="Arial"/>
                <w:snapToGrid w:val="0"/>
                <w:sz w:val="15"/>
                <w:szCs w:val="15"/>
              </w:rPr>
            </w:pPr>
            <w:r w:rsidRPr="001B1B87">
              <w:rPr>
                <w:sz w:val="15"/>
                <w:szCs w:val="15"/>
              </w:rPr>
              <w:t xml:space="preserve"> 749 </w:t>
            </w:r>
          </w:p>
        </w:tc>
        <w:tc>
          <w:tcPr>
            <w:tcW w:w="343" w:type="pct"/>
            <w:tcBorders>
              <w:top w:val="nil"/>
              <w:left w:val="nil"/>
              <w:bottom w:val="single" w:sz="8" w:space="0" w:color="auto"/>
              <w:right w:val="nil"/>
            </w:tcBorders>
            <w:vAlign w:val="bottom"/>
          </w:tcPr>
          <w:p w14:paraId="7124835B" w14:textId="77777777" w:rsidR="00B16158" w:rsidRPr="00D13EB3" w:rsidRDefault="00B16158" w:rsidP="00B16158">
            <w:pPr>
              <w:tabs>
                <w:tab w:val="right" w:pos="1202"/>
              </w:tabs>
              <w:spacing w:after="40" w:line="240" w:lineRule="auto"/>
              <w:jc w:val="right"/>
              <w:outlineLvl w:val="0"/>
              <w:rPr>
                <w:rFonts w:ascii="Calibri" w:hAnsi="Calibri" w:cs="Arial"/>
                <w:snapToGrid w:val="0"/>
                <w:sz w:val="15"/>
                <w:szCs w:val="15"/>
              </w:rPr>
            </w:pPr>
            <w:r w:rsidRPr="001B1B87">
              <w:rPr>
                <w:sz w:val="15"/>
                <w:szCs w:val="15"/>
              </w:rPr>
              <w:t xml:space="preserve"> 51 </w:t>
            </w:r>
          </w:p>
        </w:tc>
        <w:tc>
          <w:tcPr>
            <w:tcW w:w="344" w:type="pct"/>
            <w:tcBorders>
              <w:top w:val="nil"/>
              <w:left w:val="nil"/>
              <w:bottom w:val="single" w:sz="8" w:space="0" w:color="auto"/>
              <w:right w:val="nil"/>
            </w:tcBorders>
            <w:vAlign w:val="bottom"/>
          </w:tcPr>
          <w:p w14:paraId="20D0237C" w14:textId="77777777" w:rsidR="00B16158" w:rsidRPr="00D13EB3" w:rsidRDefault="00B16158" w:rsidP="00B16158">
            <w:pPr>
              <w:tabs>
                <w:tab w:val="right" w:pos="1202"/>
              </w:tabs>
              <w:spacing w:after="40" w:line="240" w:lineRule="auto"/>
              <w:jc w:val="right"/>
              <w:outlineLvl w:val="0"/>
              <w:rPr>
                <w:rFonts w:ascii="Calibri" w:hAnsi="Calibri" w:cs="Arial"/>
                <w:snapToGrid w:val="0"/>
                <w:sz w:val="15"/>
                <w:szCs w:val="15"/>
              </w:rPr>
            </w:pPr>
            <w:r>
              <w:rPr>
                <w:rFonts w:eastAsia="Calibri" w:cs="Arial"/>
                <w:color w:val="000000" w:themeColor="text1"/>
                <w:sz w:val="15"/>
                <w:szCs w:val="15"/>
              </w:rPr>
              <w:t>-</w:t>
            </w:r>
          </w:p>
        </w:tc>
        <w:tc>
          <w:tcPr>
            <w:tcW w:w="343" w:type="pct"/>
            <w:tcBorders>
              <w:top w:val="nil"/>
              <w:left w:val="nil"/>
              <w:bottom w:val="single" w:sz="8" w:space="0" w:color="auto"/>
              <w:right w:val="nil"/>
            </w:tcBorders>
            <w:vAlign w:val="bottom"/>
          </w:tcPr>
          <w:p w14:paraId="6BEE1566" w14:textId="77777777" w:rsidR="00B16158" w:rsidRPr="00D13EB3" w:rsidRDefault="00B16158" w:rsidP="00B16158">
            <w:pPr>
              <w:tabs>
                <w:tab w:val="right" w:pos="1202"/>
              </w:tabs>
              <w:spacing w:after="40" w:line="240" w:lineRule="auto"/>
              <w:jc w:val="right"/>
              <w:outlineLvl w:val="0"/>
              <w:rPr>
                <w:rFonts w:ascii="Calibri" w:hAnsi="Calibri" w:cs="Arial"/>
                <w:snapToGrid w:val="0"/>
                <w:sz w:val="15"/>
                <w:szCs w:val="15"/>
              </w:rPr>
            </w:pPr>
            <w:r w:rsidRPr="001B1B87">
              <w:rPr>
                <w:sz w:val="15"/>
                <w:szCs w:val="15"/>
              </w:rPr>
              <w:t xml:space="preserve"> 3</w:t>
            </w:r>
            <w:r>
              <w:rPr>
                <w:sz w:val="15"/>
                <w:szCs w:val="15"/>
              </w:rPr>
              <w:t>,</w:t>
            </w:r>
            <w:r w:rsidRPr="001B1B87">
              <w:rPr>
                <w:sz w:val="15"/>
                <w:szCs w:val="15"/>
              </w:rPr>
              <w:t xml:space="preserve">210 </w:t>
            </w:r>
          </w:p>
        </w:tc>
      </w:tr>
      <w:tr w:rsidR="00B16158" w:rsidRPr="00D13EB3" w14:paraId="034C3D12" w14:textId="77777777" w:rsidTr="00E44437">
        <w:trPr>
          <w:trHeight w:val="60"/>
          <w:jc w:val="center"/>
        </w:trPr>
        <w:tc>
          <w:tcPr>
            <w:tcW w:w="877" w:type="pct"/>
          </w:tcPr>
          <w:p w14:paraId="54A2E34F" w14:textId="77777777" w:rsidR="00B16158" w:rsidRPr="00D13EB3" w:rsidRDefault="00B16158" w:rsidP="00B16158">
            <w:pPr>
              <w:tabs>
                <w:tab w:val="right" w:pos="1202"/>
              </w:tabs>
              <w:spacing w:after="40" w:line="240" w:lineRule="auto"/>
              <w:outlineLvl w:val="0"/>
              <w:rPr>
                <w:rFonts w:ascii="Calibri" w:hAnsi="Calibri" w:cs="Arial"/>
                <w:b/>
                <w:bCs/>
                <w:sz w:val="15"/>
                <w:szCs w:val="15"/>
              </w:rPr>
            </w:pPr>
            <w:r w:rsidRPr="00D13EB3">
              <w:rPr>
                <w:rFonts w:ascii="Calibri" w:hAnsi="Calibri" w:cs="Arial"/>
                <w:b/>
                <w:bCs/>
                <w:sz w:val="15"/>
                <w:szCs w:val="15"/>
              </w:rPr>
              <w:t>Total</w:t>
            </w:r>
          </w:p>
        </w:tc>
        <w:tc>
          <w:tcPr>
            <w:tcW w:w="343" w:type="pct"/>
            <w:tcBorders>
              <w:top w:val="nil"/>
              <w:left w:val="nil"/>
              <w:bottom w:val="single" w:sz="12" w:space="0" w:color="auto"/>
              <w:right w:val="nil"/>
            </w:tcBorders>
            <w:shd w:val="clear" w:color="auto" w:fill="auto"/>
            <w:vAlign w:val="bottom"/>
          </w:tcPr>
          <w:p w14:paraId="07F7242C" w14:textId="77777777" w:rsidR="00B16158" w:rsidRPr="00D13EB3" w:rsidRDefault="00B16158" w:rsidP="00B16158">
            <w:pPr>
              <w:tabs>
                <w:tab w:val="right" w:pos="1202"/>
              </w:tabs>
              <w:spacing w:after="40" w:line="240" w:lineRule="auto"/>
              <w:jc w:val="right"/>
              <w:outlineLvl w:val="0"/>
              <w:rPr>
                <w:rFonts w:ascii="Calibri" w:hAnsi="Calibri" w:cs="Arial"/>
                <w:b/>
                <w:bCs/>
                <w:sz w:val="15"/>
                <w:szCs w:val="15"/>
              </w:rPr>
            </w:pPr>
            <w:r w:rsidRPr="001B1B87">
              <w:rPr>
                <w:b/>
                <w:bCs/>
                <w:sz w:val="15"/>
                <w:szCs w:val="15"/>
              </w:rPr>
              <w:t xml:space="preserve"> 24</w:t>
            </w:r>
            <w:r>
              <w:rPr>
                <w:b/>
                <w:bCs/>
                <w:sz w:val="15"/>
                <w:szCs w:val="15"/>
              </w:rPr>
              <w:t>,</w:t>
            </w:r>
            <w:r w:rsidRPr="001B1B87">
              <w:rPr>
                <w:b/>
                <w:bCs/>
                <w:sz w:val="15"/>
                <w:szCs w:val="15"/>
              </w:rPr>
              <w:t>548</w:t>
            </w:r>
            <w:r>
              <w:rPr>
                <w:b/>
                <w:bCs/>
                <w:sz w:val="15"/>
                <w:szCs w:val="15"/>
              </w:rPr>
              <w:t>,</w:t>
            </w:r>
            <w:r w:rsidRPr="001B1B87">
              <w:rPr>
                <w:b/>
                <w:bCs/>
                <w:sz w:val="15"/>
                <w:szCs w:val="15"/>
              </w:rPr>
              <w:t xml:space="preserve">370 </w:t>
            </w:r>
          </w:p>
        </w:tc>
        <w:tc>
          <w:tcPr>
            <w:tcW w:w="344" w:type="pct"/>
            <w:tcBorders>
              <w:top w:val="nil"/>
              <w:left w:val="nil"/>
              <w:bottom w:val="single" w:sz="12" w:space="0" w:color="auto"/>
              <w:right w:val="nil"/>
            </w:tcBorders>
            <w:shd w:val="clear" w:color="auto" w:fill="auto"/>
            <w:vAlign w:val="bottom"/>
          </w:tcPr>
          <w:p w14:paraId="2F3350A0" w14:textId="77777777" w:rsidR="00B16158" w:rsidRPr="00D13EB3" w:rsidRDefault="00B16158" w:rsidP="00B16158">
            <w:pPr>
              <w:tabs>
                <w:tab w:val="right" w:pos="1202"/>
              </w:tabs>
              <w:spacing w:after="40" w:line="240" w:lineRule="auto"/>
              <w:jc w:val="right"/>
              <w:outlineLvl w:val="0"/>
              <w:rPr>
                <w:rFonts w:ascii="Calibri" w:hAnsi="Calibri" w:cs="Arial"/>
                <w:b/>
                <w:bCs/>
                <w:sz w:val="15"/>
                <w:szCs w:val="15"/>
              </w:rPr>
            </w:pPr>
            <w:r w:rsidRPr="001B1B87">
              <w:rPr>
                <w:b/>
                <w:bCs/>
                <w:sz w:val="15"/>
                <w:szCs w:val="15"/>
              </w:rPr>
              <w:t xml:space="preserve"> 1</w:t>
            </w:r>
            <w:r>
              <w:rPr>
                <w:b/>
                <w:bCs/>
                <w:sz w:val="15"/>
                <w:szCs w:val="15"/>
              </w:rPr>
              <w:t>,</w:t>
            </w:r>
            <w:r w:rsidRPr="001B1B87">
              <w:rPr>
                <w:b/>
                <w:bCs/>
                <w:sz w:val="15"/>
                <w:szCs w:val="15"/>
              </w:rPr>
              <w:t>008</w:t>
            </w:r>
            <w:r>
              <w:rPr>
                <w:b/>
                <w:bCs/>
                <w:sz w:val="15"/>
                <w:szCs w:val="15"/>
              </w:rPr>
              <w:t>,</w:t>
            </w:r>
            <w:r w:rsidRPr="001B1B87">
              <w:rPr>
                <w:b/>
                <w:bCs/>
                <w:sz w:val="15"/>
                <w:szCs w:val="15"/>
              </w:rPr>
              <w:t xml:space="preserve">737 </w:t>
            </w:r>
          </w:p>
        </w:tc>
        <w:tc>
          <w:tcPr>
            <w:tcW w:w="344" w:type="pct"/>
            <w:tcBorders>
              <w:top w:val="nil"/>
              <w:left w:val="nil"/>
              <w:bottom w:val="single" w:sz="12" w:space="0" w:color="auto"/>
              <w:right w:val="nil"/>
            </w:tcBorders>
            <w:shd w:val="clear" w:color="auto" w:fill="auto"/>
            <w:vAlign w:val="bottom"/>
          </w:tcPr>
          <w:p w14:paraId="5EA8DD25" w14:textId="77777777" w:rsidR="00B16158" w:rsidRPr="00D13EB3" w:rsidRDefault="00B16158" w:rsidP="00B16158">
            <w:pPr>
              <w:tabs>
                <w:tab w:val="right" w:pos="1202"/>
              </w:tabs>
              <w:spacing w:after="40" w:line="240" w:lineRule="auto"/>
              <w:jc w:val="right"/>
              <w:outlineLvl w:val="0"/>
              <w:rPr>
                <w:rFonts w:ascii="Calibri" w:hAnsi="Calibri" w:cs="Arial"/>
                <w:b/>
                <w:bCs/>
                <w:sz w:val="15"/>
                <w:szCs w:val="15"/>
              </w:rPr>
            </w:pPr>
            <w:r w:rsidRPr="001B1B87">
              <w:rPr>
                <w:b/>
                <w:bCs/>
                <w:sz w:val="15"/>
                <w:szCs w:val="15"/>
              </w:rPr>
              <w:t xml:space="preserve"> 1</w:t>
            </w:r>
            <w:r>
              <w:rPr>
                <w:b/>
                <w:bCs/>
                <w:sz w:val="15"/>
                <w:szCs w:val="15"/>
              </w:rPr>
              <w:t>,</w:t>
            </w:r>
            <w:r w:rsidRPr="001B1B87">
              <w:rPr>
                <w:b/>
                <w:bCs/>
                <w:sz w:val="15"/>
                <w:szCs w:val="15"/>
              </w:rPr>
              <w:t>170</w:t>
            </w:r>
            <w:r>
              <w:rPr>
                <w:b/>
                <w:bCs/>
                <w:sz w:val="15"/>
                <w:szCs w:val="15"/>
              </w:rPr>
              <w:t>,</w:t>
            </w:r>
            <w:r w:rsidRPr="001B1B87">
              <w:rPr>
                <w:b/>
                <w:bCs/>
                <w:sz w:val="15"/>
                <w:szCs w:val="15"/>
              </w:rPr>
              <w:t xml:space="preserve">112 </w:t>
            </w:r>
          </w:p>
        </w:tc>
        <w:tc>
          <w:tcPr>
            <w:tcW w:w="343" w:type="pct"/>
            <w:tcBorders>
              <w:top w:val="nil"/>
              <w:left w:val="nil"/>
              <w:bottom w:val="single" w:sz="12" w:space="0" w:color="auto"/>
              <w:right w:val="nil"/>
            </w:tcBorders>
            <w:shd w:val="clear" w:color="auto" w:fill="auto"/>
            <w:vAlign w:val="bottom"/>
          </w:tcPr>
          <w:p w14:paraId="0F38B82D" w14:textId="77777777" w:rsidR="00B16158" w:rsidRPr="00D13EB3" w:rsidRDefault="00B16158" w:rsidP="00B16158">
            <w:pPr>
              <w:tabs>
                <w:tab w:val="right" w:pos="1202"/>
              </w:tabs>
              <w:spacing w:after="40" w:line="240" w:lineRule="auto"/>
              <w:jc w:val="right"/>
              <w:outlineLvl w:val="0"/>
              <w:rPr>
                <w:rFonts w:ascii="Calibri" w:hAnsi="Calibri" w:cs="Arial"/>
                <w:b/>
                <w:bCs/>
                <w:sz w:val="15"/>
                <w:szCs w:val="15"/>
              </w:rPr>
            </w:pPr>
            <w:r w:rsidRPr="001B1B87">
              <w:rPr>
                <w:b/>
                <w:bCs/>
                <w:sz w:val="15"/>
                <w:szCs w:val="15"/>
              </w:rPr>
              <w:t xml:space="preserve"> 1</w:t>
            </w:r>
            <w:r>
              <w:rPr>
                <w:b/>
                <w:bCs/>
                <w:sz w:val="15"/>
                <w:szCs w:val="15"/>
              </w:rPr>
              <w:t>,</w:t>
            </w:r>
            <w:r w:rsidRPr="001B1B87">
              <w:rPr>
                <w:b/>
                <w:bCs/>
                <w:sz w:val="15"/>
                <w:szCs w:val="15"/>
              </w:rPr>
              <w:t>193</w:t>
            </w:r>
            <w:r>
              <w:rPr>
                <w:b/>
                <w:bCs/>
                <w:sz w:val="15"/>
                <w:szCs w:val="15"/>
              </w:rPr>
              <w:t>,</w:t>
            </w:r>
            <w:r w:rsidRPr="001B1B87">
              <w:rPr>
                <w:b/>
                <w:bCs/>
                <w:sz w:val="15"/>
                <w:szCs w:val="15"/>
              </w:rPr>
              <w:t xml:space="preserve">610 </w:t>
            </w:r>
          </w:p>
        </w:tc>
        <w:tc>
          <w:tcPr>
            <w:tcW w:w="344" w:type="pct"/>
            <w:tcBorders>
              <w:top w:val="nil"/>
              <w:left w:val="nil"/>
              <w:bottom w:val="single" w:sz="12" w:space="0" w:color="auto"/>
              <w:right w:val="nil"/>
            </w:tcBorders>
            <w:shd w:val="clear" w:color="auto" w:fill="auto"/>
            <w:vAlign w:val="bottom"/>
          </w:tcPr>
          <w:p w14:paraId="0DFE40C3" w14:textId="77777777" w:rsidR="00B16158" w:rsidRPr="00D13EB3" w:rsidRDefault="00B16158" w:rsidP="00B16158">
            <w:pPr>
              <w:tabs>
                <w:tab w:val="right" w:pos="1202"/>
              </w:tabs>
              <w:spacing w:after="40" w:line="240" w:lineRule="auto"/>
              <w:jc w:val="right"/>
              <w:outlineLvl w:val="0"/>
              <w:rPr>
                <w:rFonts w:ascii="Calibri" w:hAnsi="Calibri" w:cs="Arial"/>
                <w:b/>
                <w:bCs/>
                <w:sz w:val="15"/>
                <w:szCs w:val="15"/>
              </w:rPr>
            </w:pPr>
            <w:r w:rsidRPr="001B1B87">
              <w:rPr>
                <w:b/>
                <w:bCs/>
                <w:sz w:val="15"/>
                <w:szCs w:val="15"/>
              </w:rPr>
              <w:t xml:space="preserve"> 16</w:t>
            </w:r>
            <w:r>
              <w:rPr>
                <w:b/>
                <w:bCs/>
                <w:sz w:val="15"/>
                <w:szCs w:val="15"/>
              </w:rPr>
              <w:t>,</w:t>
            </w:r>
            <w:r w:rsidRPr="001B1B87">
              <w:rPr>
                <w:b/>
                <w:bCs/>
                <w:sz w:val="15"/>
                <w:szCs w:val="15"/>
              </w:rPr>
              <w:t xml:space="preserve">375 </w:t>
            </w:r>
          </w:p>
        </w:tc>
        <w:tc>
          <w:tcPr>
            <w:tcW w:w="344" w:type="pct"/>
            <w:tcBorders>
              <w:top w:val="nil"/>
              <w:left w:val="nil"/>
              <w:bottom w:val="single" w:sz="12" w:space="0" w:color="auto"/>
              <w:right w:val="nil"/>
            </w:tcBorders>
            <w:shd w:val="clear" w:color="auto" w:fill="auto"/>
            <w:vAlign w:val="bottom"/>
          </w:tcPr>
          <w:p w14:paraId="6E0724F8" w14:textId="77777777" w:rsidR="00B16158" w:rsidRPr="00D13EB3" w:rsidRDefault="00B16158" w:rsidP="00B16158">
            <w:pPr>
              <w:tabs>
                <w:tab w:val="right" w:pos="1202"/>
              </w:tabs>
              <w:spacing w:after="40" w:line="240" w:lineRule="auto"/>
              <w:jc w:val="right"/>
              <w:outlineLvl w:val="0"/>
              <w:rPr>
                <w:rFonts w:ascii="Calibri" w:hAnsi="Calibri" w:cs="Arial"/>
                <w:b/>
                <w:bCs/>
                <w:sz w:val="15"/>
                <w:szCs w:val="15"/>
              </w:rPr>
            </w:pPr>
            <w:r w:rsidRPr="001B1B87">
              <w:rPr>
                <w:b/>
                <w:bCs/>
                <w:sz w:val="15"/>
                <w:szCs w:val="15"/>
              </w:rPr>
              <w:t xml:space="preserve"> 27</w:t>
            </w:r>
            <w:r>
              <w:rPr>
                <w:b/>
                <w:bCs/>
                <w:sz w:val="15"/>
                <w:szCs w:val="15"/>
              </w:rPr>
              <w:t>,</w:t>
            </w:r>
            <w:r w:rsidRPr="001B1B87">
              <w:rPr>
                <w:b/>
                <w:bCs/>
                <w:sz w:val="15"/>
                <w:szCs w:val="15"/>
              </w:rPr>
              <w:t>937</w:t>
            </w:r>
            <w:r>
              <w:rPr>
                <w:b/>
                <w:bCs/>
                <w:sz w:val="15"/>
                <w:szCs w:val="15"/>
              </w:rPr>
              <w:t>,</w:t>
            </w:r>
            <w:r w:rsidRPr="001B1B87">
              <w:rPr>
                <w:b/>
                <w:bCs/>
                <w:sz w:val="15"/>
                <w:szCs w:val="15"/>
              </w:rPr>
              <w:t xml:space="preserve">204 </w:t>
            </w:r>
          </w:p>
        </w:tc>
        <w:tc>
          <w:tcPr>
            <w:tcW w:w="343" w:type="pct"/>
            <w:tcBorders>
              <w:top w:val="nil"/>
              <w:left w:val="nil"/>
              <w:bottom w:val="single" w:sz="12" w:space="0" w:color="auto"/>
              <w:right w:val="nil"/>
            </w:tcBorders>
            <w:vAlign w:val="bottom"/>
          </w:tcPr>
          <w:p w14:paraId="23223DC6" w14:textId="77777777" w:rsidR="00B16158" w:rsidRPr="00D13EB3" w:rsidRDefault="00B16158" w:rsidP="00B16158">
            <w:pPr>
              <w:tabs>
                <w:tab w:val="right" w:pos="1202"/>
              </w:tabs>
              <w:spacing w:after="40" w:line="240" w:lineRule="auto"/>
              <w:jc w:val="right"/>
              <w:outlineLvl w:val="0"/>
              <w:rPr>
                <w:rFonts w:ascii="Calibri" w:hAnsi="Calibri" w:cs="Arial"/>
                <w:b/>
                <w:bCs/>
                <w:sz w:val="15"/>
                <w:szCs w:val="15"/>
              </w:rPr>
            </w:pPr>
            <w:r w:rsidRPr="001B1B87">
              <w:rPr>
                <w:b/>
                <w:bCs/>
                <w:sz w:val="15"/>
                <w:szCs w:val="15"/>
              </w:rPr>
              <w:t xml:space="preserve"> 5</w:t>
            </w:r>
            <w:r>
              <w:rPr>
                <w:b/>
                <w:bCs/>
                <w:sz w:val="15"/>
                <w:szCs w:val="15"/>
              </w:rPr>
              <w:t>,</w:t>
            </w:r>
            <w:r w:rsidRPr="001B1B87">
              <w:rPr>
                <w:b/>
                <w:bCs/>
                <w:sz w:val="15"/>
                <w:szCs w:val="15"/>
              </w:rPr>
              <w:t>785</w:t>
            </w:r>
            <w:r>
              <w:rPr>
                <w:b/>
                <w:bCs/>
                <w:sz w:val="15"/>
                <w:szCs w:val="15"/>
              </w:rPr>
              <w:t>,</w:t>
            </w:r>
            <w:r w:rsidRPr="001B1B87">
              <w:rPr>
                <w:b/>
                <w:bCs/>
                <w:sz w:val="15"/>
                <w:szCs w:val="15"/>
              </w:rPr>
              <w:t xml:space="preserve">757 </w:t>
            </w:r>
          </w:p>
        </w:tc>
        <w:tc>
          <w:tcPr>
            <w:tcW w:w="344" w:type="pct"/>
            <w:tcBorders>
              <w:top w:val="nil"/>
              <w:left w:val="nil"/>
              <w:bottom w:val="single" w:sz="12" w:space="0" w:color="auto"/>
              <w:right w:val="nil"/>
            </w:tcBorders>
            <w:vAlign w:val="bottom"/>
          </w:tcPr>
          <w:p w14:paraId="73A89C2F" w14:textId="77777777" w:rsidR="00B16158" w:rsidRPr="00D13EB3" w:rsidRDefault="00B16158" w:rsidP="00B16158">
            <w:pPr>
              <w:tabs>
                <w:tab w:val="right" w:pos="1202"/>
              </w:tabs>
              <w:spacing w:after="40" w:line="240" w:lineRule="auto"/>
              <w:jc w:val="right"/>
              <w:outlineLvl w:val="0"/>
              <w:rPr>
                <w:rFonts w:ascii="Calibri" w:hAnsi="Calibri" w:cs="Arial"/>
                <w:b/>
                <w:bCs/>
                <w:sz w:val="15"/>
                <w:szCs w:val="15"/>
              </w:rPr>
            </w:pPr>
            <w:r w:rsidRPr="001B1B87">
              <w:rPr>
                <w:b/>
                <w:bCs/>
                <w:sz w:val="15"/>
                <w:szCs w:val="15"/>
              </w:rPr>
              <w:t xml:space="preserve"> 92</w:t>
            </w:r>
            <w:r>
              <w:rPr>
                <w:b/>
                <w:bCs/>
                <w:sz w:val="15"/>
                <w:szCs w:val="15"/>
              </w:rPr>
              <w:t>,</w:t>
            </w:r>
            <w:r w:rsidRPr="001B1B87">
              <w:rPr>
                <w:b/>
                <w:bCs/>
                <w:sz w:val="15"/>
                <w:szCs w:val="15"/>
              </w:rPr>
              <w:t xml:space="preserve">804 </w:t>
            </w:r>
          </w:p>
        </w:tc>
        <w:tc>
          <w:tcPr>
            <w:tcW w:w="344" w:type="pct"/>
            <w:tcBorders>
              <w:top w:val="nil"/>
              <w:left w:val="nil"/>
              <w:bottom w:val="single" w:sz="12" w:space="0" w:color="auto"/>
              <w:right w:val="nil"/>
            </w:tcBorders>
            <w:vAlign w:val="bottom"/>
          </w:tcPr>
          <w:p w14:paraId="267CAD50" w14:textId="77777777" w:rsidR="00B16158" w:rsidRPr="00D13EB3" w:rsidRDefault="00B16158" w:rsidP="00B16158">
            <w:pPr>
              <w:tabs>
                <w:tab w:val="right" w:pos="1202"/>
              </w:tabs>
              <w:spacing w:after="40" w:line="240" w:lineRule="auto"/>
              <w:jc w:val="right"/>
              <w:outlineLvl w:val="0"/>
              <w:rPr>
                <w:rFonts w:ascii="Calibri" w:hAnsi="Calibri" w:cs="Arial"/>
                <w:b/>
                <w:bCs/>
                <w:sz w:val="15"/>
                <w:szCs w:val="15"/>
              </w:rPr>
            </w:pPr>
            <w:r w:rsidRPr="001B1B87">
              <w:rPr>
                <w:b/>
                <w:bCs/>
                <w:sz w:val="15"/>
                <w:szCs w:val="15"/>
              </w:rPr>
              <w:t xml:space="preserve"> 207</w:t>
            </w:r>
            <w:r>
              <w:rPr>
                <w:b/>
                <w:bCs/>
                <w:sz w:val="15"/>
                <w:szCs w:val="15"/>
              </w:rPr>
              <w:t>,</w:t>
            </w:r>
            <w:r w:rsidRPr="001B1B87">
              <w:rPr>
                <w:b/>
                <w:bCs/>
                <w:sz w:val="15"/>
                <w:szCs w:val="15"/>
              </w:rPr>
              <w:t xml:space="preserve">823 </w:t>
            </w:r>
          </w:p>
        </w:tc>
        <w:tc>
          <w:tcPr>
            <w:tcW w:w="343" w:type="pct"/>
            <w:tcBorders>
              <w:top w:val="nil"/>
              <w:left w:val="nil"/>
              <w:bottom w:val="single" w:sz="12" w:space="0" w:color="auto"/>
              <w:right w:val="nil"/>
            </w:tcBorders>
            <w:vAlign w:val="bottom"/>
          </w:tcPr>
          <w:p w14:paraId="1811A1D1" w14:textId="77777777" w:rsidR="00B16158" w:rsidRPr="00D13EB3" w:rsidRDefault="00B16158" w:rsidP="00B16158">
            <w:pPr>
              <w:tabs>
                <w:tab w:val="right" w:pos="1202"/>
              </w:tabs>
              <w:spacing w:after="40" w:line="240" w:lineRule="auto"/>
              <w:jc w:val="right"/>
              <w:outlineLvl w:val="0"/>
              <w:rPr>
                <w:rFonts w:ascii="Calibri" w:hAnsi="Calibri" w:cs="Arial"/>
                <w:b/>
                <w:bCs/>
                <w:sz w:val="15"/>
                <w:szCs w:val="15"/>
              </w:rPr>
            </w:pPr>
            <w:r w:rsidRPr="001B1B87">
              <w:rPr>
                <w:b/>
                <w:bCs/>
                <w:sz w:val="15"/>
                <w:szCs w:val="15"/>
              </w:rPr>
              <w:t xml:space="preserve"> 34</w:t>
            </w:r>
            <w:r>
              <w:rPr>
                <w:b/>
                <w:bCs/>
                <w:sz w:val="15"/>
                <w:szCs w:val="15"/>
              </w:rPr>
              <w:t>,</w:t>
            </w:r>
            <w:r w:rsidRPr="001B1B87">
              <w:rPr>
                <w:b/>
                <w:bCs/>
                <w:sz w:val="15"/>
                <w:szCs w:val="15"/>
              </w:rPr>
              <w:t xml:space="preserve">820 </w:t>
            </w:r>
          </w:p>
        </w:tc>
        <w:tc>
          <w:tcPr>
            <w:tcW w:w="344" w:type="pct"/>
            <w:tcBorders>
              <w:top w:val="nil"/>
              <w:left w:val="nil"/>
              <w:bottom w:val="single" w:sz="12" w:space="0" w:color="auto"/>
              <w:right w:val="nil"/>
            </w:tcBorders>
            <w:vAlign w:val="bottom"/>
          </w:tcPr>
          <w:p w14:paraId="77799AE6" w14:textId="77777777" w:rsidR="00B16158" w:rsidRPr="00D13EB3" w:rsidRDefault="00B16158" w:rsidP="00B16158">
            <w:pPr>
              <w:tabs>
                <w:tab w:val="right" w:pos="1202"/>
              </w:tabs>
              <w:spacing w:after="40" w:line="240" w:lineRule="auto"/>
              <w:jc w:val="right"/>
              <w:outlineLvl w:val="0"/>
              <w:rPr>
                <w:rFonts w:ascii="Calibri" w:hAnsi="Calibri" w:cs="Arial"/>
                <w:b/>
                <w:bCs/>
                <w:sz w:val="15"/>
                <w:szCs w:val="15"/>
              </w:rPr>
            </w:pPr>
            <w:r w:rsidRPr="001B1B87">
              <w:rPr>
                <w:b/>
                <w:bCs/>
                <w:sz w:val="15"/>
                <w:szCs w:val="15"/>
              </w:rPr>
              <w:t xml:space="preserve"> 16</w:t>
            </w:r>
            <w:r>
              <w:rPr>
                <w:b/>
                <w:bCs/>
                <w:sz w:val="15"/>
                <w:szCs w:val="15"/>
              </w:rPr>
              <w:t>,</w:t>
            </w:r>
            <w:r w:rsidRPr="001B1B87">
              <w:rPr>
                <w:b/>
                <w:bCs/>
                <w:sz w:val="15"/>
                <w:szCs w:val="15"/>
              </w:rPr>
              <w:t xml:space="preserve">375 </w:t>
            </w:r>
          </w:p>
        </w:tc>
        <w:tc>
          <w:tcPr>
            <w:tcW w:w="343" w:type="pct"/>
            <w:tcBorders>
              <w:top w:val="nil"/>
              <w:left w:val="nil"/>
              <w:bottom w:val="single" w:sz="12" w:space="0" w:color="auto"/>
              <w:right w:val="nil"/>
            </w:tcBorders>
            <w:vAlign w:val="bottom"/>
          </w:tcPr>
          <w:p w14:paraId="0F3870CE" w14:textId="77777777" w:rsidR="00B16158" w:rsidRPr="00D13EB3" w:rsidRDefault="00B16158" w:rsidP="00B16158">
            <w:pPr>
              <w:tabs>
                <w:tab w:val="right" w:pos="1202"/>
              </w:tabs>
              <w:spacing w:after="40" w:line="240" w:lineRule="auto"/>
              <w:jc w:val="right"/>
              <w:outlineLvl w:val="0"/>
              <w:rPr>
                <w:rFonts w:ascii="Calibri" w:hAnsi="Calibri" w:cs="Arial"/>
                <w:b/>
                <w:bCs/>
                <w:sz w:val="15"/>
                <w:szCs w:val="15"/>
              </w:rPr>
            </w:pPr>
            <w:r w:rsidRPr="001B1B87">
              <w:rPr>
                <w:b/>
                <w:bCs/>
                <w:sz w:val="15"/>
                <w:szCs w:val="15"/>
              </w:rPr>
              <w:t xml:space="preserve"> 6</w:t>
            </w:r>
            <w:r>
              <w:rPr>
                <w:b/>
                <w:bCs/>
                <w:sz w:val="15"/>
                <w:szCs w:val="15"/>
              </w:rPr>
              <w:t>,</w:t>
            </w:r>
            <w:r w:rsidRPr="001B1B87">
              <w:rPr>
                <w:b/>
                <w:bCs/>
                <w:sz w:val="15"/>
                <w:szCs w:val="15"/>
              </w:rPr>
              <w:t>137</w:t>
            </w:r>
            <w:r>
              <w:rPr>
                <w:b/>
                <w:bCs/>
                <w:sz w:val="15"/>
                <w:szCs w:val="15"/>
              </w:rPr>
              <w:t>,</w:t>
            </w:r>
            <w:r w:rsidRPr="001B1B87">
              <w:rPr>
                <w:b/>
                <w:bCs/>
                <w:sz w:val="15"/>
                <w:szCs w:val="15"/>
              </w:rPr>
              <w:t xml:space="preserve">579 </w:t>
            </w:r>
          </w:p>
        </w:tc>
      </w:tr>
      <w:tr w:rsidR="00B16158" w:rsidRPr="00D13EB3" w14:paraId="49FBAF9B" w14:textId="77777777" w:rsidTr="00E44437">
        <w:trPr>
          <w:trHeight w:val="200"/>
          <w:jc w:val="center"/>
        </w:trPr>
        <w:tc>
          <w:tcPr>
            <w:tcW w:w="877" w:type="pct"/>
          </w:tcPr>
          <w:p w14:paraId="1ECF91CA" w14:textId="77777777" w:rsidR="00B16158" w:rsidRPr="00D13EB3" w:rsidRDefault="00B16158" w:rsidP="00B16158">
            <w:pPr>
              <w:tabs>
                <w:tab w:val="right" w:pos="1202"/>
              </w:tabs>
              <w:spacing w:after="40" w:line="240" w:lineRule="auto"/>
              <w:outlineLvl w:val="0"/>
              <w:rPr>
                <w:rFonts w:ascii="Calibri" w:hAnsi="Calibri" w:cs="Arial"/>
                <w:b/>
                <w:bCs/>
                <w:sz w:val="15"/>
                <w:szCs w:val="15"/>
              </w:rPr>
            </w:pPr>
            <w:r w:rsidRPr="00D13EB3">
              <w:rPr>
                <w:rFonts w:ascii="Calibri" w:hAnsi="Calibri" w:cs="Arial"/>
                <w:b/>
                <w:bCs/>
                <w:sz w:val="15"/>
                <w:szCs w:val="15"/>
              </w:rPr>
              <w:t>Guarantees and commitments</w:t>
            </w:r>
          </w:p>
        </w:tc>
        <w:tc>
          <w:tcPr>
            <w:tcW w:w="343" w:type="pct"/>
            <w:tcBorders>
              <w:top w:val="nil"/>
              <w:left w:val="nil"/>
              <w:bottom w:val="nil"/>
              <w:right w:val="nil"/>
            </w:tcBorders>
            <w:shd w:val="clear" w:color="auto" w:fill="auto"/>
            <w:vAlign w:val="bottom"/>
          </w:tcPr>
          <w:p w14:paraId="1C18B958" w14:textId="77777777" w:rsidR="00B16158" w:rsidRPr="00D13EB3" w:rsidRDefault="00B16158" w:rsidP="00B16158">
            <w:pPr>
              <w:tabs>
                <w:tab w:val="right" w:pos="1202"/>
              </w:tabs>
              <w:spacing w:after="40" w:line="240" w:lineRule="auto"/>
              <w:jc w:val="right"/>
              <w:outlineLvl w:val="0"/>
              <w:rPr>
                <w:rFonts w:ascii="Calibri" w:hAnsi="Calibri" w:cs="Arial"/>
                <w:snapToGrid w:val="0"/>
                <w:sz w:val="15"/>
                <w:szCs w:val="15"/>
              </w:rPr>
            </w:pPr>
          </w:p>
        </w:tc>
        <w:tc>
          <w:tcPr>
            <w:tcW w:w="344" w:type="pct"/>
            <w:tcBorders>
              <w:top w:val="nil"/>
              <w:left w:val="nil"/>
              <w:bottom w:val="nil"/>
              <w:right w:val="nil"/>
            </w:tcBorders>
            <w:shd w:val="clear" w:color="auto" w:fill="auto"/>
            <w:vAlign w:val="bottom"/>
          </w:tcPr>
          <w:p w14:paraId="7B8B2FF8" w14:textId="77777777" w:rsidR="00B16158" w:rsidRPr="00D13EB3" w:rsidRDefault="00B16158" w:rsidP="00B16158">
            <w:pPr>
              <w:tabs>
                <w:tab w:val="right" w:pos="1202"/>
              </w:tabs>
              <w:spacing w:after="40" w:line="240" w:lineRule="auto"/>
              <w:jc w:val="right"/>
              <w:outlineLvl w:val="0"/>
              <w:rPr>
                <w:rFonts w:ascii="Calibri" w:hAnsi="Calibri" w:cs="Arial"/>
                <w:snapToGrid w:val="0"/>
                <w:sz w:val="15"/>
                <w:szCs w:val="15"/>
              </w:rPr>
            </w:pPr>
          </w:p>
        </w:tc>
        <w:tc>
          <w:tcPr>
            <w:tcW w:w="344" w:type="pct"/>
            <w:tcBorders>
              <w:top w:val="nil"/>
              <w:left w:val="nil"/>
              <w:bottom w:val="nil"/>
              <w:right w:val="nil"/>
            </w:tcBorders>
            <w:shd w:val="clear" w:color="auto" w:fill="auto"/>
            <w:vAlign w:val="bottom"/>
          </w:tcPr>
          <w:p w14:paraId="25BC367B" w14:textId="77777777" w:rsidR="00B16158" w:rsidRPr="00D13EB3" w:rsidRDefault="00B16158" w:rsidP="00B16158">
            <w:pPr>
              <w:tabs>
                <w:tab w:val="right" w:pos="1202"/>
              </w:tabs>
              <w:spacing w:after="40" w:line="240" w:lineRule="auto"/>
              <w:jc w:val="right"/>
              <w:outlineLvl w:val="0"/>
              <w:rPr>
                <w:rFonts w:ascii="Calibri" w:hAnsi="Calibri" w:cs="Arial"/>
                <w:snapToGrid w:val="0"/>
                <w:sz w:val="15"/>
                <w:szCs w:val="15"/>
              </w:rPr>
            </w:pPr>
          </w:p>
        </w:tc>
        <w:tc>
          <w:tcPr>
            <w:tcW w:w="343" w:type="pct"/>
            <w:tcBorders>
              <w:top w:val="nil"/>
              <w:left w:val="nil"/>
              <w:bottom w:val="nil"/>
              <w:right w:val="nil"/>
            </w:tcBorders>
            <w:shd w:val="clear" w:color="auto" w:fill="auto"/>
            <w:vAlign w:val="bottom"/>
          </w:tcPr>
          <w:p w14:paraId="4082CA0D" w14:textId="77777777" w:rsidR="00B16158" w:rsidRPr="00D13EB3" w:rsidRDefault="00B16158" w:rsidP="00B16158">
            <w:pPr>
              <w:tabs>
                <w:tab w:val="right" w:pos="1202"/>
              </w:tabs>
              <w:spacing w:after="40" w:line="240" w:lineRule="auto"/>
              <w:jc w:val="right"/>
              <w:outlineLvl w:val="0"/>
              <w:rPr>
                <w:rFonts w:ascii="Calibri" w:hAnsi="Calibri" w:cs="Arial"/>
                <w:snapToGrid w:val="0"/>
                <w:sz w:val="15"/>
                <w:szCs w:val="15"/>
              </w:rPr>
            </w:pPr>
          </w:p>
        </w:tc>
        <w:tc>
          <w:tcPr>
            <w:tcW w:w="344" w:type="pct"/>
            <w:tcBorders>
              <w:top w:val="nil"/>
              <w:left w:val="nil"/>
              <w:bottom w:val="nil"/>
              <w:right w:val="nil"/>
            </w:tcBorders>
            <w:shd w:val="clear" w:color="auto" w:fill="auto"/>
            <w:vAlign w:val="bottom"/>
          </w:tcPr>
          <w:p w14:paraId="748E257E" w14:textId="77777777" w:rsidR="00B16158" w:rsidRPr="00D13EB3" w:rsidRDefault="00B16158" w:rsidP="00B16158">
            <w:pPr>
              <w:tabs>
                <w:tab w:val="right" w:pos="1202"/>
              </w:tabs>
              <w:spacing w:after="40" w:line="240" w:lineRule="auto"/>
              <w:jc w:val="right"/>
              <w:outlineLvl w:val="0"/>
              <w:rPr>
                <w:rFonts w:ascii="Calibri" w:hAnsi="Calibri" w:cs="Arial"/>
                <w:snapToGrid w:val="0"/>
                <w:sz w:val="15"/>
                <w:szCs w:val="15"/>
              </w:rPr>
            </w:pPr>
          </w:p>
        </w:tc>
        <w:tc>
          <w:tcPr>
            <w:tcW w:w="344" w:type="pct"/>
            <w:tcBorders>
              <w:top w:val="nil"/>
              <w:left w:val="nil"/>
              <w:bottom w:val="nil"/>
              <w:right w:val="nil"/>
            </w:tcBorders>
            <w:shd w:val="clear" w:color="auto" w:fill="auto"/>
            <w:vAlign w:val="bottom"/>
          </w:tcPr>
          <w:p w14:paraId="0C414BA3" w14:textId="77777777" w:rsidR="00B16158" w:rsidRPr="00D13EB3" w:rsidRDefault="00B16158" w:rsidP="00B16158">
            <w:pPr>
              <w:tabs>
                <w:tab w:val="right" w:pos="1202"/>
              </w:tabs>
              <w:spacing w:after="40" w:line="240" w:lineRule="auto"/>
              <w:jc w:val="right"/>
              <w:outlineLvl w:val="0"/>
              <w:rPr>
                <w:rFonts w:ascii="Calibri" w:hAnsi="Calibri" w:cs="Arial"/>
                <w:snapToGrid w:val="0"/>
                <w:sz w:val="15"/>
                <w:szCs w:val="15"/>
              </w:rPr>
            </w:pPr>
          </w:p>
        </w:tc>
        <w:tc>
          <w:tcPr>
            <w:tcW w:w="343" w:type="pct"/>
            <w:tcBorders>
              <w:top w:val="nil"/>
              <w:left w:val="nil"/>
              <w:bottom w:val="nil"/>
              <w:right w:val="nil"/>
            </w:tcBorders>
            <w:vAlign w:val="bottom"/>
          </w:tcPr>
          <w:p w14:paraId="3FFF5F3E" w14:textId="77777777" w:rsidR="00B16158" w:rsidRPr="00D13EB3" w:rsidRDefault="00B16158" w:rsidP="00B16158">
            <w:pPr>
              <w:tabs>
                <w:tab w:val="right" w:pos="1202"/>
              </w:tabs>
              <w:spacing w:after="40" w:line="240" w:lineRule="auto"/>
              <w:jc w:val="right"/>
              <w:outlineLvl w:val="0"/>
              <w:rPr>
                <w:rFonts w:ascii="Calibri" w:hAnsi="Calibri" w:cs="Arial"/>
                <w:snapToGrid w:val="0"/>
                <w:sz w:val="15"/>
                <w:szCs w:val="15"/>
              </w:rPr>
            </w:pPr>
          </w:p>
        </w:tc>
        <w:tc>
          <w:tcPr>
            <w:tcW w:w="344" w:type="pct"/>
            <w:tcBorders>
              <w:top w:val="nil"/>
              <w:left w:val="nil"/>
              <w:bottom w:val="nil"/>
              <w:right w:val="nil"/>
            </w:tcBorders>
            <w:vAlign w:val="bottom"/>
          </w:tcPr>
          <w:p w14:paraId="42F59BC0" w14:textId="77777777" w:rsidR="00B16158" w:rsidRPr="00D13EB3" w:rsidRDefault="00B16158" w:rsidP="00B16158">
            <w:pPr>
              <w:tabs>
                <w:tab w:val="right" w:pos="1202"/>
              </w:tabs>
              <w:spacing w:after="40" w:line="240" w:lineRule="auto"/>
              <w:jc w:val="right"/>
              <w:outlineLvl w:val="0"/>
              <w:rPr>
                <w:rFonts w:ascii="Calibri" w:hAnsi="Calibri" w:cs="Arial"/>
                <w:snapToGrid w:val="0"/>
                <w:sz w:val="15"/>
                <w:szCs w:val="15"/>
              </w:rPr>
            </w:pPr>
          </w:p>
        </w:tc>
        <w:tc>
          <w:tcPr>
            <w:tcW w:w="344" w:type="pct"/>
            <w:tcBorders>
              <w:top w:val="nil"/>
              <w:left w:val="nil"/>
              <w:bottom w:val="nil"/>
              <w:right w:val="nil"/>
            </w:tcBorders>
            <w:vAlign w:val="bottom"/>
          </w:tcPr>
          <w:p w14:paraId="6364E080" w14:textId="77777777" w:rsidR="00B16158" w:rsidRPr="00D13EB3" w:rsidRDefault="00B16158" w:rsidP="00B16158">
            <w:pPr>
              <w:tabs>
                <w:tab w:val="right" w:pos="1202"/>
              </w:tabs>
              <w:spacing w:after="40" w:line="240" w:lineRule="auto"/>
              <w:jc w:val="right"/>
              <w:outlineLvl w:val="0"/>
              <w:rPr>
                <w:rFonts w:ascii="Calibri" w:hAnsi="Calibri" w:cs="Arial"/>
                <w:snapToGrid w:val="0"/>
                <w:sz w:val="15"/>
                <w:szCs w:val="15"/>
              </w:rPr>
            </w:pPr>
          </w:p>
        </w:tc>
        <w:tc>
          <w:tcPr>
            <w:tcW w:w="343" w:type="pct"/>
            <w:tcBorders>
              <w:top w:val="nil"/>
              <w:left w:val="nil"/>
              <w:bottom w:val="nil"/>
              <w:right w:val="nil"/>
            </w:tcBorders>
            <w:vAlign w:val="bottom"/>
          </w:tcPr>
          <w:p w14:paraId="300580D8" w14:textId="77777777" w:rsidR="00B16158" w:rsidRPr="00D13EB3" w:rsidRDefault="00B16158" w:rsidP="00B16158">
            <w:pPr>
              <w:tabs>
                <w:tab w:val="right" w:pos="1202"/>
              </w:tabs>
              <w:spacing w:after="40" w:line="240" w:lineRule="auto"/>
              <w:jc w:val="right"/>
              <w:outlineLvl w:val="0"/>
              <w:rPr>
                <w:rFonts w:ascii="Calibri" w:hAnsi="Calibri" w:cs="Arial"/>
                <w:snapToGrid w:val="0"/>
                <w:sz w:val="15"/>
                <w:szCs w:val="15"/>
              </w:rPr>
            </w:pPr>
          </w:p>
        </w:tc>
        <w:tc>
          <w:tcPr>
            <w:tcW w:w="344" w:type="pct"/>
            <w:tcBorders>
              <w:top w:val="nil"/>
              <w:left w:val="nil"/>
              <w:bottom w:val="nil"/>
              <w:right w:val="nil"/>
            </w:tcBorders>
            <w:vAlign w:val="bottom"/>
          </w:tcPr>
          <w:p w14:paraId="5E2C98FC" w14:textId="77777777" w:rsidR="00B16158" w:rsidRPr="00D13EB3" w:rsidRDefault="00B16158" w:rsidP="00B16158">
            <w:pPr>
              <w:tabs>
                <w:tab w:val="right" w:pos="1202"/>
              </w:tabs>
              <w:spacing w:after="40" w:line="240" w:lineRule="auto"/>
              <w:jc w:val="right"/>
              <w:outlineLvl w:val="0"/>
              <w:rPr>
                <w:rFonts w:ascii="Calibri" w:hAnsi="Calibri" w:cs="Arial"/>
                <w:snapToGrid w:val="0"/>
                <w:sz w:val="15"/>
                <w:szCs w:val="15"/>
              </w:rPr>
            </w:pPr>
          </w:p>
        </w:tc>
        <w:tc>
          <w:tcPr>
            <w:tcW w:w="343" w:type="pct"/>
            <w:tcBorders>
              <w:top w:val="nil"/>
              <w:left w:val="nil"/>
              <w:bottom w:val="nil"/>
              <w:right w:val="nil"/>
            </w:tcBorders>
            <w:vAlign w:val="bottom"/>
          </w:tcPr>
          <w:p w14:paraId="6FF5F66D" w14:textId="77777777" w:rsidR="00B16158" w:rsidRPr="00D13EB3" w:rsidRDefault="00B16158" w:rsidP="00B16158">
            <w:pPr>
              <w:tabs>
                <w:tab w:val="right" w:pos="1202"/>
              </w:tabs>
              <w:spacing w:after="40" w:line="240" w:lineRule="auto"/>
              <w:jc w:val="right"/>
              <w:outlineLvl w:val="0"/>
              <w:rPr>
                <w:rFonts w:ascii="Calibri" w:hAnsi="Calibri" w:cs="Arial"/>
                <w:snapToGrid w:val="0"/>
                <w:sz w:val="15"/>
                <w:szCs w:val="15"/>
              </w:rPr>
            </w:pPr>
          </w:p>
        </w:tc>
      </w:tr>
      <w:tr w:rsidR="00B16158" w:rsidRPr="00D13EB3" w14:paraId="3BCED136" w14:textId="77777777" w:rsidTr="00E44437">
        <w:trPr>
          <w:trHeight w:val="200"/>
          <w:jc w:val="center"/>
        </w:trPr>
        <w:tc>
          <w:tcPr>
            <w:tcW w:w="877" w:type="pct"/>
            <w:vAlign w:val="bottom"/>
          </w:tcPr>
          <w:p w14:paraId="578C9876" w14:textId="77777777" w:rsidR="00B16158" w:rsidRPr="00D13EB3" w:rsidRDefault="00B16158" w:rsidP="00B16158">
            <w:pPr>
              <w:tabs>
                <w:tab w:val="right" w:pos="1202"/>
              </w:tabs>
              <w:spacing w:after="40" w:line="240" w:lineRule="auto"/>
              <w:outlineLvl w:val="0"/>
              <w:rPr>
                <w:rFonts w:ascii="Calibri" w:hAnsi="Calibri"/>
                <w:sz w:val="15"/>
                <w:szCs w:val="15"/>
              </w:rPr>
            </w:pPr>
            <w:r w:rsidRPr="00D13EB3">
              <w:rPr>
                <w:rFonts w:ascii="Calibri" w:hAnsi="Calibri"/>
                <w:sz w:val="15"/>
                <w:szCs w:val="15"/>
              </w:rPr>
              <w:t>Guarantees issued in HRK</w:t>
            </w:r>
          </w:p>
        </w:tc>
        <w:tc>
          <w:tcPr>
            <w:tcW w:w="343" w:type="pct"/>
            <w:tcBorders>
              <w:top w:val="nil"/>
              <w:left w:val="nil"/>
              <w:bottom w:val="nil"/>
              <w:right w:val="nil"/>
            </w:tcBorders>
            <w:shd w:val="clear" w:color="auto" w:fill="auto"/>
            <w:vAlign w:val="bottom"/>
          </w:tcPr>
          <w:p w14:paraId="47C1C7D3"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71</w:t>
            </w:r>
            <w:r>
              <w:rPr>
                <w:sz w:val="15"/>
                <w:szCs w:val="15"/>
              </w:rPr>
              <w:t>,</w:t>
            </w:r>
            <w:r w:rsidRPr="001B1B87">
              <w:rPr>
                <w:sz w:val="15"/>
                <w:szCs w:val="15"/>
              </w:rPr>
              <w:t xml:space="preserve">262 </w:t>
            </w:r>
          </w:p>
        </w:tc>
        <w:tc>
          <w:tcPr>
            <w:tcW w:w="344" w:type="pct"/>
            <w:tcBorders>
              <w:top w:val="nil"/>
              <w:left w:val="nil"/>
              <w:bottom w:val="nil"/>
              <w:right w:val="nil"/>
            </w:tcBorders>
            <w:shd w:val="clear" w:color="auto" w:fill="auto"/>
            <w:vAlign w:val="bottom"/>
          </w:tcPr>
          <w:p w14:paraId="701BC523"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22</w:t>
            </w:r>
            <w:r>
              <w:rPr>
                <w:sz w:val="15"/>
                <w:szCs w:val="15"/>
              </w:rPr>
              <w:t>,</w:t>
            </w:r>
            <w:r w:rsidRPr="001B1B87">
              <w:rPr>
                <w:sz w:val="15"/>
                <w:szCs w:val="15"/>
              </w:rPr>
              <w:t xml:space="preserve">713 </w:t>
            </w:r>
          </w:p>
        </w:tc>
        <w:tc>
          <w:tcPr>
            <w:tcW w:w="344" w:type="pct"/>
            <w:tcBorders>
              <w:top w:val="nil"/>
              <w:left w:val="nil"/>
              <w:bottom w:val="nil"/>
              <w:right w:val="nil"/>
            </w:tcBorders>
            <w:shd w:val="clear" w:color="auto" w:fill="auto"/>
            <w:vAlign w:val="bottom"/>
          </w:tcPr>
          <w:p w14:paraId="7466C799"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46</w:t>
            </w:r>
            <w:r>
              <w:rPr>
                <w:sz w:val="15"/>
                <w:szCs w:val="15"/>
              </w:rPr>
              <w:t>,</w:t>
            </w:r>
            <w:r w:rsidRPr="001B1B87">
              <w:rPr>
                <w:sz w:val="15"/>
                <w:szCs w:val="15"/>
              </w:rPr>
              <w:t xml:space="preserve">138 </w:t>
            </w:r>
          </w:p>
        </w:tc>
        <w:tc>
          <w:tcPr>
            <w:tcW w:w="343" w:type="pct"/>
            <w:tcBorders>
              <w:top w:val="nil"/>
              <w:left w:val="nil"/>
              <w:bottom w:val="nil"/>
              <w:right w:val="nil"/>
            </w:tcBorders>
            <w:shd w:val="clear" w:color="auto" w:fill="auto"/>
            <w:vAlign w:val="bottom"/>
          </w:tcPr>
          <w:p w14:paraId="26042A66"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 </w:t>
            </w:r>
          </w:p>
        </w:tc>
        <w:tc>
          <w:tcPr>
            <w:tcW w:w="344" w:type="pct"/>
            <w:tcBorders>
              <w:top w:val="nil"/>
              <w:left w:val="nil"/>
              <w:bottom w:val="nil"/>
              <w:right w:val="nil"/>
            </w:tcBorders>
            <w:shd w:val="clear" w:color="auto" w:fill="auto"/>
            <w:vAlign w:val="bottom"/>
          </w:tcPr>
          <w:p w14:paraId="08DB619A"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 </w:t>
            </w:r>
          </w:p>
        </w:tc>
        <w:tc>
          <w:tcPr>
            <w:tcW w:w="344" w:type="pct"/>
            <w:tcBorders>
              <w:top w:val="nil"/>
              <w:left w:val="nil"/>
              <w:bottom w:val="nil"/>
              <w:right w:val="nil"/>
            </w:tcBorders>
            <w:shd w:val="clear" w:color="auto" w:fill="auto"/>
            <w:vAlign w:val="bottom"/>
          </w:tcPr>
          <w:p w14:paraId="633BFC8D"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140</w:t>
            </w:r>
            <w:r>
              <w:rPr>
                <w:sz w:val="15"/>
                <w:szCs w:val="15"/>
              </w:rPr>
              <w:t>,</w:t>
            </w:r>
            <w:r w:rsidRPr="001B1B87">
              <w:rPr>
                <w:sz w:val="15"/>
                <w:szCs w:val="15"/>
              </w:rPr>
              <w:t xml:space="preserve">113 </w:t>
            </w:r>
          </w:p>
        </w:tc>
        <w:tc>
          <w:tcPr>
            <w:tcW w:w="343" w:type="pct"/>
            <w:tcBorders>
              <w:top w:val="nil"/>
              <w:left w:val="nil"/>
              <w:bottom w:val="nil"/>
              <w:right w:val="nil"/>
            </w:tcBorders>
            <w:vAlign w:val="bottom"/>
          </w:tcPr>
          <w:p w14:paraId="0F54A27D"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30</w:t>
            </w:r>
            <w:r>
              <w:rPr>
                <w:sz w:val="15"/>
                <w:szCs w:val="15"/>
              </w:rPr>
              <w:t>,</w:t>
            </w:r>
            <w:r w:rsidRPr="001B1B87">
              <w:rPr>
                <w:sz w:val="15"/>
                <w:szCs w:val="15"/>
              </w:rPr>
              <w:t xml:space="preserve">516 </w:t>
            </w:r>
          </w:p>
        </w:tc>
        <w:tc>
          <w:tcPr>
            <w:tcW w:w="344" w:type="pct"/>
            <w:tcBorders>
              <w:top w:val="nil"/>
              <w:left w:val="nil"/>
              <w:bottom w:val="nil"/>
              <w:right w:val="nil"/>
            </w:tcBorders>
            <w:vAlign w:val="bottom"/>
          </w:tcPr>
          <w:p w14:paraId="3CEA5327"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18</w:t>
            </w:r>
            <w:r>
              <w:rPr>
                <w:sz w:val="15"/>
                <w:szCs w:val="15"/>
              </w:rPr>
              <w:t>,</w:t>
            </w:r>
            <w:r w:rsidRPr="001B1B87">
              <w:rPr>
                <w:sz w:val="15"/>
                <w:szCs w:val="15"/>
              </w:rPr>
              <w:t xml:space="preserve">957 </w:t>
            </w:r>
          </w:p>
        </w:tc>
        <w:tc>
          <w:tcPr>
            <w:tcW w:w="344" w:type="pct"/>
            <w:tcBorders>
              <w:top w:val="nil"/>
              <w:left w:val="nil"/>
              <w:bottom w:val="nil"/>
              <w:right w:val="nil"/>
            </w:tcBorders>
            <w:vAlign w:val="bottom"/>
          </w:tcPr>
          <w:p w14:paraId="0484CC6C"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20</w:t>
            </w:r>
            <w:r>
              <w:rPr>
                <w:sz w:val="15"/>
                <w:szCs w:val="15"/>
              </w:rPr>
              <w:t>,</w:t>
            </w:r>
            <w:r w:rsidRPr="001B1B87">
              <w:rPr>
                <w:sz w:val="15"/>
                <w:szCs w:val="15"/>
              </w:rPr>
              <w:t xml:space="preserve">938 </w:t>
            </w:r>
          </w:p>
        </w:tc>
        <w:tc>
          <w:tcPr>
            <w:tcW w:w="343" w:type="pct"/>
            <w:tcBorders>
              <w:top w:val="nil"/>
              <w:left w:val="nil"/>
              <w:bottom w:val="nil"/>
              <w:right w:val="nil"/>
            </w:tcBorders>
            <w:vAlign w:val="bottom"/>
          </w:tcPr>
          <w:p w14:paraId="75A3091F"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 </w:t>
            </w:r>
          </w:p>
        </w:tc>
        <w:tc>
          <w:tcPr>
            <w:tcW w:w="344" w:type="pct"/>
            <w:tcBorders>
              <w:top w:val="nil"/>
              <w:left w:val="nil"/>
              <w:bottom w:val="nil"/>
              <w:right w:val="nil"/>
            </w:tcBorders>
            <w:vAlign w:val="bottom"/>
          </w:tcPr>
          <w:p w14:paraId="0AA1EBD1"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 </w:t>
            </w:r>
          </w:p>
        </w:tc>
        <w:tc>
          <w:tcPr>
            <w:tcW w:w="343" w:type="pct"/>
            <w:tcBorders>
              <w:top w:val="nil"/>
              <w:left w:val="nil"/>
              <w:bottom w:val="nil"/>
              <w:right w:val="nil"/>
            </w:tcBorders>
            <w:vAlign w:val="bottom"/>
          </w:tcPr>
          <w:p w14:paraId="00E066A7"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70</w:t>
            </w:r>
            <w:r>
              <w:rPr>
                <w:sz w:val="15"/>
                <w:szCs w:val="15"/>
              </w:rPr>
              <w:t>,</w:t>
            </w:r>
            <w:r w:rsidRPr="001B1B87">
              <w:rPr>
                <w:sz w:val="15"/>
                <w:szCs w:val="15"/>
              </w:rPr>
              <w:t xml:space="preserve">411 </w:t>
            </w:r>
          </w:p>
        </w:tc>
      </w:tr>
      <w:tr w:rsidR="00B16158" w:rsidRPr="00D13EB3" w14:paraId="6C40D4E7" w14:textId="77777777" w:rsidTr="00E44437">
        <w:trPr>
          <w:trHeight w:val="200"/>
          <w:jc w:val="center"/>
        </w:trPr>
        <w:tc>
          <w:tcPr>
            <w:tcW w:w="877" w:type="pct"/>
            <w:vAlign w:val="bottom"/>
          </w:tcPr>
          <w:p w14:paraId="083CD578" w14:textId="77777777" w:rsidR="00B16158" w:rsidRPr="00D13EB3" w:rsidRDefault="00B16158" w:rsidP="00B16158">
            <w:pPr>
              <w:tabs>
                <w:tab w:val="right" w:pos="1202"/>
              </w:tabs>
              <w:spacing w:after="40" w:line="240" w:lineRule="auto"/>
              <w:outlineLvl w:val="0"/>
              <w:rPr>
                <w:rFonts w:ascii="Calibri" w:hAnsi="Calibri"/>
                <w:sz w:val="15"/>
                <w:szCs w:val="15"/>
              </w:rPr>
            </w:pPr>
            <w:r w:rsidRPr="00D13EB3">
              <w:rPr>
                <w:rFonts w:ascii="Calibri" w:hAnsi="Calibri"/>
                <w:sz w:val="15"/>
                <w:szCs w:val="15"/>
              </w:rPr>
              <w:t>Issued guarantees in foreign currency</w:t>
            </w:r>
          </w:p>
        </w:tc>
        <w:tc>
          <w:tcPr>
            <w:tcW w:w="343" w:type="pct"/>
            <w:tcBorders>
              <w:top w:val="nil"/>
              <w:left w:val="nil"/>
              <w:bottom w:val="nil"/>
              <w:right w:val="nil"/>
            </w:tcBorders>
            <w:shd w:val="clear" w:color="auto" w:fill="auto"/>
            <w:vAlign w:val="bottom"/>
          </w:tcPr>
          <w:p w14:paraId="20D61B29"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62</w:t>
            </w:r>
            <w:r>
              <w:rPr>
                <w:sz w:val="15"/>
                <w:szCs w:val="15"/>
              </w:rPr>
              <w:t>,</w:t>
            </w:r>
            <w:r w:rsidRPr="001B1B87">
              <w:rPr>
                <w:sz w:val="15"/>
                <w:szCs w:val="15"/>
              </w:rPr>
              <w:t xml:space="preserve">694 </w:t>
            </w:r>
          </w:p>
        </w:tc>
        <w:tc>
          <w:tcPr>
            <w:tcW w:w="344" w:type="pct"/>
            <w:tcBorders>
              <w:top w:val="nil"/>
              <w:left w:val="nil"/>
              <w:bottom w:val="nil"/>
              <w:right w:val="nil"/>
            </w:tcBorders>
            <w:shd w:val="clear" w:color="auto" w:fill="auto"/>
            <w:vAlign w:val="bottom"/>
          </w:tcPr>
          <w:p w14:paraId="50DCC112"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377 </w:t>
            </w:r>
          </w:p>
        </w:tc>
        <w:tc>
          <w:tcPr>
            <w:tcW w:w="344" w:type="pct"/>
            <w:tcBorders>
              <w:top w:val="nil"/>
              <w:left w:val="nil"/>
              <w:bottom w:val="nil"/>
              <w:right w:val="nil"/>
            </w:tcBorders>
            <w:shd w:val="clear" w:color="auto" w:fill="auto"/>
            <w:vAlign w:val="bottom"/>
          </w:tcPr>
          <w:p w14:paraId="3FE7ACD3"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197</w:t>
            </w:r>
            <w:r>
              <w:rPr>
                <w:sz w:val="15"/>
                <w:szCs w:val="15"/>
              </w:rPr>
              <w:t>,</w:t>
            </w:r>
            <w:r w:rsidRPr="001B1B87">
              <w:rPr>
                <w:sz w:val="15"/>
                <w:szCs w:val="15"/>
              </w:rPr>
              <w:t xml:space="preserve">634 </w:t>
            </w:r>
          </w:p>
        </w:tc>
        <w:tc>
          <w:tcPr>
            <w:tcW w:w="343" w:type="pct"/>
            <w:tcBorders>
              <w:top w:val="nil"/>
              <w:left w:val="nil"/>
              <w:bottom w:val="nil"/>
              <w:right w:val="nil"/>
            </w:tcBorders>
            <w:shd w:val="clear" w:color="auto" w:fill="auto"/>
            <w:vAlign w:val="bottom"/>
          </w:tcPr>
          <w:p w14:paraId="35DDF9F6"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 </w:t>
            </w:r>
          </w:p>
        </w:tc>
        <w:tc>
          <w:tcPr>
            <w:tcW w:w="344" w:type="pct"/>
            <w:tcBorders>
              <w:top w:val="nil"/>
              <w:left w:val="nil"/>
              <w:bottom w:val="nil"/>
              <w:right w:val="nil"/>
            </w:tcBorders>
            <w:shd w:val="clear" w:color="auto" w:fill="auto"/>
            <w:vAlign w:val="bottom"/>
          </w:tcPr>
          <w:p w14:paraId="1FCB2E02"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 </w:t>
            </w:r>
          </w:p>
        </w:tc>
        <w:tc>
          <w:tcPr>
            <w:tcW w:w="344" w:type="pct"/>
            <w:tcBorders>
              <w:top w:val="nil"/>
              <w:left w:val="nil"/>
              <w:bottom w:val="nil"/>
              <w:right w:val="nil"/>
            </w:tcBorders>
            <w:shd w:val="clear" w:color="auto" w:fill="auto"/>
            <w:vAlign w:val="bottom"/>
          </w:tcPr>
          <w:p w14:paraId="50B0BBD2"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260</w:t>
            </w:r>
            <w:r>
              <w:rPr>
                <w:sz w:val="15"/>
                <w:szCs w:val="15"/>
              </w:rPr>
              <w:t>,</w:t>
            </w:r>
            <w:r w:rsidRPr="001B1B87">
              <w:rPr>
                <w:sz w:val="15"/>
                <w:szCs w:val="15"/>
              </w:rPr>
              <w:t xml:space="preserve">705 </w:t>
            </w:r>
          </w:p>
        </w:tc>
        <w:tc>
          <w:tcPr>
            <w:tcW w:w="343" w:type="pct"/>
            <w:tcBorders>
              <w:top w:val="nil"/>
              <w:left w:val="nil"/>
              <w:bottom w:val="nil"/>
              <w:right w:val="nil"/>
            </w:tcBorders>
            <w:vAlign w:val="bottom"/>
          </w:tcPr>
          <w:p w14:paraId="272250DD"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49</w:t>
            </w:r>
            <w:r>
              <w:rPr>
                <w:sz w:val="15"/>
                <w:szCs w:val="15"/>
              </w:rPr>
              <w:t>,</w:t>
            </w:r>
            <w:r w:rsidRPr="001B1B87">
              <w:rPr>
                <w:sz w:val="15"/>
                <w:szCs w:val="15"/>
              </w:rPr>
              <w:t xml:space="preserve">764 </w:t>
            </w:r>
          </w:p>
        </w:tc>
        <w:tc>
          <w:tcPr>
            <w:tcW w:w="344" w:type="pct"/>
            <w:tcBorders>
              <w:top w:val="nil"/>
              <w:left w:val="nil"/>
              <w:bottom w:val="nil"/>
              <w:right w:val="nil"/>
            </w:tcBorders>
            <w:vAlign w:val="bottom"/>
          </w:tcPr>
          <w:p w14:paraId="6A850580"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 </w:t>
            </w:r>
          </w:p>
        </w:tc>
        <w:tc>
          <w:tcPr>
            <w:tcW w:w="344" w:type="pct"/>
            <w:tcBorders>
              <w:top w:val="nil"/>
              <w:left w:val="nil"/>
              <w:bottom w:val="nil"/>
              <w:right w:val="nil"/>
            </w:tcBorders>
            <w:vAlign w:val="bottom"/>
          </w:tcPr>
          <w:p w14:paraId="0C30E9D4"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71</w:t>
            </w:r>
            <w:r>
              <w:rPr>
                <w:sz w:val="15"/>
                <w:szCs w:val="15"/>
              </w:rPr>
              <w:t>,</w:t>
            </w:r>
            <w:r w:rsidRPr="001B1B87">
              <w:rPr>
                <w:sz w:val="15"/>
                <w:szCs w:val="15"/>
              </w:rPr>
              <w:t xml:space="preserve">433 </w:t>
            </w:r>
          </w:p>
        </w:tc>
        <w:tc>
          <w:tcPr>
            <w:tcW w:w="343" w:type="pct"/>
            <w:tcBorders>
              <w:top w:val="nil"/>
              <w:left w:val="nil"/>
              <w:bottom w:val="nil"/>
              <w:right w:val="nil"/>
            </w:tcBorders>
            <w:vAlign w:val="bottom"/>
          </w:tcPr>
          <w:p w14:paraId="4B8713D3"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 </w:t>
            </w:r>
          </w:p>
        </w:tc>
        <w:tc>
          <w:tcPr>
            <w:tcW w:w="344" w:type="pct"/>
            <w:tcBorders>
              <w:top w:val="nil"/>
              <w:left w:val="nil"/>
              <w:bottom w:val="nil"/>
              <w:right w:val="nil"/>
            </w:tcBorders>
            <w:vAlign w:val="bottom"/>
          </w:tcPr>
          <w:p w14:paraId="18106D22"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 </w:t>
            </w:r>
          </w:p>
        </w:tc>
        <w:tc>
          <w:tcPr>
            <w:tcW w:w="343" w:type="pct"/>
            <w:tcBorders>
              <w:top w:val="nil"/>
              <w:left w:val="nil"/>
              <w:bottom w:val="nil"/>
              <w:right w:val="nil"/>
            </w:tcBorders>
            <w:vAlign w:val="bottom"/>
          </w:tcPr>
          <w:p w14:paraId="49375EE8"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121</w:t>
            </w:r>
            <w:r>
              <w:rPr>
                <w:sz w:val="15"/>
                <w:szCs w:val="15"/>
              </w:rPr>
              <w:t>,</w:t>
            </w:r>
            <w:r w:rsidRPr="001B1B87">
              <w:rPr>
                <w:sz w:val="15"/>
                <w:szCs w:val="15"/>
              </w:rPr>
              <w:t xml:space="preserve">197 </w:t>
            </w:r>
          </w:p>
        </w:tc>
      </w:tr>
      <w:tr w:rsidR="00B16158" w:rsidRPr="00D13EB3" w14:paraId="07341223" w14:textId="77777777" w:rsidTr="00E44437">
        <w:trPr>
          <w:trHeight w:val="200"/>
          <w:jc w:val="center"/>
        </w:trPr>
        <w:tc>
          <w:tcPr>
            <w:tcW w:w="877" w:type="pct"/>
            <w:vAlign w:val="center"/>
          </w:tcPr>
          <w:p w14:paraId="0E348DF8" w14:textId="77777777" w:rsidR="00B16158" w:rsidRPr="00D13EB3" w:rsidRDefault="00B16158" w:rsidP="00B16158">
            <w:pPr>
              <w:tabs>
                <w:tab w:val="right" w:pos="1202"/>
              </w:tabs>
              <w:spacing w:after="40" w:line="240" w:lineRule="auto"/>
              <w:outlineLvl w:val="0"/>
              <w:rPr>
                <w:rFonts w:ascii="Calibri" w:hAnsi="Calibri"/>
                <w:sz w:val="15"/>
                <w:szCs w:val="15"/>
              </w:rPr>
            </w:pPr>
            <w:r w:rsidRPr="00D13EB3">
              <w:rPr>
                <w:rFonts w:ascii="Calibri" w:hAnsi="Calibri"/>
                <w:sz w:val="15"/>
                <w:szCs w:val="15"/>
              </w:rPr>
              <w:t xml:space="preserve">Undrawn loans </w:t>
            </w:r>
          </w:p>
        </w:tc>
        <w:tc>
          <w:tcPr>
            <w:tcW w:w="343" w:type="pct"/>
            <w:tcBorders>
              <w:top w:val="nil"/>
              <w:left w:val="nil"/>
              <w:bottom w:val="single" w:sz="6" w:space="0" w:color="auto"/>
              <w:right w:val="nil"/>
            </w:tcBorders>
            <w:shd w:val="clear" w:color="auto" w:fill="auto"/>
            <w:vAlign w:val="bottom"/>
          </w:tcPr>
          <w:p w14:paraId="113713E0"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3</w:t>
            </w:r>
            <w:r>
              <w:rPr>
                <w:sz w:val="15"/>
                <w:szCs w:val="15"/>
              </w:rPr>
              <w:t>,</w:t>
            </w:r>
            <w:r w:rsidRPr="001B1B87">
              <w:rPr>
                <w:sz w:val="15"/>
                <w:szCs w:val="15"/>
              </w:rPr>
              <w:t>167</w:t>
            </w:r>
            <w:r>
              <w:rPr>
                <w:sz w:val="15"/>
                <w:szCs w:val="15"/>
              </w:rPr>
              <w:t>,</w:t>
            </w:r>
            <w:r w:rsidRPr="001B1B87">
              <w:rPr>
                <w:sz w:val="15"/>
                <w:szCs w:val="15"/>
              </w:rPr>
              <w:t xml:space="preserve">285 </w:t>
            </w:r>
          </w:p>
        </w:tc>
        <w:tc>
          <w:tcPr>
            <w:tcW w:w="344" w:type="pct"/>
            <w:tcBorders>
              <w:top w:val="nil"/>
              <w:left w:val="nil"/>
              <w:bottom w:val="single" w:sz="6" w:space="0" w:color="auto"/>
              <w:right w:val="nil"/>
            </w:tcBorders>
            <w:shd w:val="clear" w:color="auto" w:fill="auto"/>
            <w:vAlign w:val="bottom"/>
          </w:tcPr>
          <w:p w14:paraId="0902355F"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253</w:t>
            </w:r>
            <w:r>
              <w:rPr>
                <w:sz w:val="15"/>
                <w:szCs w:val="15"/>
              </w:rPr>
              <w:t>,</w:t>
            </w:r>
            <w:r w:rsidRPr="001B1B87">
              <w:rPr>
                <w:sz w:val="15"/>
                <w:szCs w:val="15"/>
              </w:rPr>
              <w:t xml:space="preserve">401 </w:t>
            </w:r>
          </w:p>
        </w:tc>
        <w:tc>
          <w:tcPr>
            <w:tcW w:w="344" w:type="pct"/>
            <w:tcBorders>
              <w:top w:val="nil"/>
              <w:left w:val="nil"/>
              <w:bottom w:val="single" w:sz="6" w:space="0" w:color="auto"/>
              <w:right w:val="nil"/>
            </w:tcBorders>
            <w:shd w:val="clear" w:color="auto" w:fill="auto"/>
            <w:vAlign w:val="bottom"/>
          </w:tcPr>
          <w:p w14:paraId="34C62B72"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 </w:t>
            </w:r>
          </w:p>
        </w:tc>
        <w:tc>
          <w:tcPr>
            <w:tcW w:w="343" w:type="pct"/>
            <w:tcBorders>
              <w:top w:val="nil"/>
              <w:left w:val="nil"/>
              <w:bottom w:val="single" w:sz="6" w:space="0" w:color="auto"/>
              <w:right w:val="nil"/>
            </w:tcBorders>
            <w:shd w:val="clear" w:color="auto" w:fill="auto"/>
            <w:vAlign w:val="bottom"/>
          </w:tcPr>
          <w:p w14:paraId="317D7527"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36</w:t>
            </w:r>
            <w:r>
              <w:rPr>
                <w:sz w:val="15"/>
                <w:szCs w:val="15"/>
              </w:rPr>
              <w:t>,</w:t>
            </w:r>
            <w:r w:rsidRPr="001B1B87">
              <w:rPr>
                <w:sz w:val="15"/>
                <w:szCs w:val="15"/>
              </w:rPr>
              <w:t xml:space="preserve">605 </w:t>
            </w:r>
          </w:p>
        </w:tc>
        <w:tc>
          <w:tcPr>
            <w:tcW w:w="344" w:type="pct"/>
            <w:tcBorders>
              <w:top w:val="nil"/>
              <w:left w:val="nil"/>
              <w:bottom w:val="single" w:sz="6" w:space="0" w:color="auto"/>
              <w:right w:val="nil"/>
            </w:tcBorders>
            <w:shd w:val="clear" w:color="auto" w:fill="auto"/>
            <w:vAlign w:val="bottom"/>
          </w:tcPr>
          <w:p w14:paraId="3504309C"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 </w:t>
            </w:r>
          </w:p>
        </w:tc>
        <w:tc>
          <w:tcPr>
            <w:tcW w:w="344" w:type="pct"/>
            <w:tcBorders>
              <w:top w:val="nil"/>
              <w:left w:val="nil"/>
              <w:bottom w:val="single" w:sz="6" w:space="0" w:color="auto"/>
              <w:right w:val="nil"/>
            </w:tcBorders>
            <w:shd w:val="clear" w:color="auto" w:fill="auto"/>
            <w:vAlign w:val="bottom"/>
          </w:tcPr>
          <w:p w14:paraId="7CC9A989"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3</w:t>
            </w:r>
            <w:r>
              <w:rPr>
                <w:sz w:val="15"/>
                <w:szCs w:val="15"/>
              </w:rPr>
              <w:t>,</w:t>
            </w:r>
            <w:r w:rsidRPr="001B1B87">
              <w:rPr>
                <w:sz w:val="15"/>
                <w:szCs w:val="15"/>
              </w:rPr>
              <w:t>457</w:t>
            </w:r>
            <w:r>
              <w:rPr>
                <w:sz w:val="15"/>
                <w:szCs w:val="15"/>
              </w:rPr>
              <w:t>,</w:t>
            </w:r>
            <w:r w:rsidRPr="001B1B87">
              <w:rPr>
                <w:sz w:val="15"/>
                <w:szCs w:val="15"/>
              </w:rPr>
              <w:t xml:space="preserve">291 </w:t>
            </w:r>
          </w:p>
        </w:tc>
        <w:tc>
          <w:tcPr>
            <w:tcW w:w="343" w:type="pct"/>
            <w:tcBorders>
              <w:top w:val="nil"/>
              <w:left w:val="nil"/>
              <w:bottom w:val="single" w:sz="6" w:space="0" w:color="auto"/>
              <w:right w:val="nil"/>
            </w:tcBorders>
            <w:vAlign w:val="bottom"/>
          </w:tcPr>
          <w:p w14:paraId="5F79D6F1"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282</w:t>
            </w:r>
            <w:r>
              <w:rPr>
                <w:sz w:val="15"/>
                <w:szCs w:val="15"/>
              </w:rPr>
              <w:t>,</w:t>
            </w:r>
            <w:r w:rsidRPr="001B1B87">
              <w:rPr>
                <w:sz w:val="15"/>
                <w:szCs w:val="15"/>
              </w:rPr>
              <w:t xml:space="preserve">102 </w:t>
            </w:r>
          </w:p>
        </w:tc>
        <w:tc>
          <w:tcPr>
            <w:tcW w:w="344" w:type="pct"/>
            <w:tcBorders>
              <w:top w:val="nil"/>
              <w:left w:val="nil"/>
              <w:bottom w:val="single" w:sz="6" w:space="0" w:color="auto"/>
              <w:right w:val="nil"/>
            </w:tcBorders>
            <w:vAlign w:val="bottom"/>
          </w:tcPr>
          <w:p w14:paraId="6037C439"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140</w:t>
            </w:r>
            <w:r>
              <w:rPr>
                <w:sz w:val="15"/>
                <w:szCs w:val="15"/>
              </w:rPr>
              <w:t>,</w:t>
            </w:r>
            <w:r w:rsidRPr="001B1B87">
              <w:rPr>
                <w:sz w:val="15"/>
                <w:szCs w:val="15"/>
              </w:rPr>
              <w:t xml:space="preserve">095 </w:t>
            </w:r>
          </w:p>
        </w:tc>
        <w:tc>
          <w:tcPr>
            <w:tcW w:w="344" w:type="pct"/>
            <w:tcBorders>
              <w:top w:val="nil"/>
              <w:left w:val="nil"/>
              <w:bottom w:val="single" w:sz="6" w:space="0" w:color="auto"/>
              <w:right w:val="nil"/>
            </w:tcBorders>
            <w:vAlign w:val="bottom"/>
          </w:tcPr>
          <w:p w14:paraId="566FB564"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 </w:t>
            </w:r>
          </w:p>
        </w:tc>
        <w:tc>
          <w:tcPr>
            <w:tcW w:w="343" w:type="pct"/>
            <w:tcBorders>
              <w:top w:val="nil"/>
              <w:left w:val="nil"/>
              <w:bottom w:val="single" w:sz="6" w:space="0" w:color="auto"/>
              <w:right w:val="nil"/>
            </w:tcBorders>
            <w:vAlign w:val="bottom"/>
          </w:tcPr>
          <w:p w14:paraId="168EB2BE"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782 </w:t>
            </w:r>
          </w:p>
        </w:tc>
        <w:tc>
          <w:tcPr>
            <w:tcW w:w="344" w:type="pct"/>
            <w:tcBorders>
              <w:top w:val="nil"/>
              <w:left w:val="nil"/>
              <w:bottom w:val="single" w:sz="6" w:space="0" w:color="auto"/>
              <w:right w:val="nil"/>
            </w:tcBorders>
            <w:vAlign w:val="bottom"/>
          </w:tcPr>
          <w:p w14:paraId="7B6BEEB3"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 </w:t>
            </w:r>
          </w:p>
        </w:tc>
        <w:tc>
          <w:tcPr>
            <w:tcW w:w="343" w:type="pct"/>
            <w:tcBorders>
              <w:top w:val="nil"/>
              <w:left w:val="nil"/>
              <w:bottom w:val="single" w:sz="6" w:space="0" w:color="auto"/>
              <w:right w:val="nil"/>
            </w:tcBorders>
            <w:vAlign w:val="bottom"/>
          </w:tcPr>
          <w:p w14:paraId="76B13466" w14:textId="77777777" w:rsidR="00B16158" w:rsidRPr="00D13EB3" w:rsidRDefault="00B16158" w:rsidP="00B16158">
            <w:pPr>
              <w:spacing w:after="40" w:line="240" w:lineRule="auto"/>
              <w:jc w:val="right"/>
              <w:rPr>
                <w:rFonts w:ascii="Calibri" w:hAnsi="Calibri" w:cs="Arial"/>
                <w:sz w:val="15"/>
                <w:szCs w:val="15"/>
              </w:rPr>
            </w:pPr>
            <w:r w:rsidRPr="001B1B87">
              <w:rPr>
                <w:sz w:val="15"/>
                <w:szCs w:val="15"/>
              </w:rPr>
              <w:t xml:space="preserve"> 422</w:t>
            </w:r>
            <w:r>
              <w:rPr>
                <w:sz w:val="15"/>
                <w:szCs w:val="15"/>
              </w:rPr>
              <w:t>,</w:t>
            </w:r>
            <w:r w:rsidRPr="001B1B87">
              <w:rPr>
                <w:sz w:val="15"/>
                <w:szCs w:val="15"/>
              </w:rPr>
              <w:t xml:space="preserve">979 </w:t>
            </w:r>
          </w:p>
        </w:tc>
      </w:tr>
      <w:tr w:rsidR="00B16158" w:rsidRPr="00D13EB3" w14:paraId="027476A5" w14:textId="77777777" w:rsidTr="00E44437">
        <w:trPr>
          <w:trHeight w:val="7"/>
          <w:jc w:val="center"/>
        </w:trPr>
        <w:tc>
          <w:tcPr>
            <w:tcW w:w="877" w:type="pct"/>
            <w:vAlign w:val="bottom"/>
          </w:tcPr>
          <w:p w14:paraId="73A87D89" w14:textId="77777777" w:rsidR="00B16158" w:rsidRPr="00D13EB3" w:rsidRDefault="00B16158" w:rsidP="00CD57BD">
            <w:pPr>
              <w:tabs>
                <w:tab w:val="right" w:pos="1202"/>
              </w:tabs>
              <w:spacing w:after="40" w:line="240" w:lineRule="auto"/>
              <w:outlineLvl w:val="0"/>
              <w:rPr>
                <w:rFonts w:ascii="Calibri" w:hAnsi="Calibri" w:cs="Arial"/>
                <w:b/>
                <w:bCs/>
                <w:sz w:val="15"/>
                <w:szCs w:val="15"/>
              </w:rPr>
            </w:pPr>
            <w:r w:rsidRPr="00D13EB3">
              <w:rPr>
                <w:rFonts w:ascii="Calibri" w:hAnsi="Calibri" w:cs="Arial"/>
                <w:b/>
                <w:bCs/>
                <w:sz w:val="15"/>
                <w:szCs w:val="15"/>
              </w:rPr>
              <w:t xml:space="preserve">Total </w:t>
            </w:r>
          </w:p>
        </w:tc>
        <w:tc>
          <w:tcPr>
            <w:tcW w:w="343" w:type="pct"/>
            <w:tcBorders>
              <w:top w:val="single" w:sz="6" w:space="0" w:color="auto"/>
              <w:left w:val="nil"/>
              <w:bottom w:val="single" w:sz="12" w:space="0" w:color="auto"/>
              <w:right w:val="nil"/>
            </w:tcBorders>
            <w:shd w:val="clear" w:color="auto" w:fill="auto"/>
            <w:vAlign w:val="bottom"/>
          </w:tcPr>
          <w:p w14:paraId="21E4F326" w14:textId="77777777" w:rsidR="00B16158" w:rsidRPr="00D13EB3" w:rsidRDefault="00B16158" w:rsidP="00CD57BD">
            <w:pPr>
              <w:spacing w:after="40" w:line="240" w:lineRule="auto"/>
              <w:jc w:val="right"/>
              <w:rPr>
                <w:rFonts w:ascii="Calibri" w:hAnsi="Calibri" w:cs="Arial"/>
                <w:b/>
                <w:bCs/>
                <w:sz w:val="15"/>
                <w:szCs w:val="15"/>
              </w:rPr>
            </w:pPr>
            <w:r w:rsidRPr="001B1B87">
              <w:rPr>
                <w:b/>
                <w:bCs/>
                <w:sz w:val="15"/>
                <w:szCs w:val="15"/>
              </w:rPr>
              <w:t xml:space="preserve"> 3</w:t>
            </w:r>
            <w:r>
              <w:rPr>
                <w:b/>
                <w:bCs/>
                <w:sz w:val="15"/>
                <w:szCs w:val="15"/>
              </w:rPr>
              <w:t>,</w:t>
            </w:r>
            <w:r w:rsidRPr="001B1B87">
              <w:rPr>
                <w:b/>
                <w:bCs/>
                <w:sz w:val="15"/>
                <w:szCs w:val="15"/>
              </w:rPr>
              <w:t>301</w:t>
            </w:r>
            <w:r>
              <w:rPr>
                <w:b/>
                <w:bCs/>
                <w:sz w:val="15"/>
                <w:szCs w:val="15"/>
              </w:rPr>
              <w:t>,</w:t>
            </w:r>
            <w:r w:rsidRPr="001B1B87">
              <w:rPr>
                <w:b/>
                <w:bCs/>
                <w:sz w:val="15"/>
                <w:szCs w:val="15"/>
              </w:rPr>
              <w:t xml:space="preserve">241 </w:t>
            </w:r>
          </w:p>
        </w:tc>
        <w:tc>
          <w:tcPr>
            <w:tcW w:w="344" w:type="pct"/>
            <w:tcBorders>
              <w:top w:val="single" w:sz="6" w:space="0" w:color="auto"/>
              <w:left w:val="nil"/>
              <w:bottom w:val="single" w:sz="12" w:space="0" w:color="auto"/>
              <w:right w:val="nil"/>
            </w:tcBorders>
            <w:shd w:val="clear" w:color="auto" w:fill="auto"/>
            <w:vAlign w:val="bottom"/>
          </w:tcPr>
          <w:p w14:paraId="6750AE60" w14:textId="77777777" w:rsidR="00B16158" w:rsidRPr="00D13EB3" w:rsidRDefault="00B16158" w:rsidP="00CD57BD">
            <w:pPr>
              <w:spacing w:after="40" w:line="240" w:lineRule="auto"/>
              <w:jc w:val="right"/>
              <w:rPr>
                <w:rFonts w:ascii="Calibri" w:hAnsi="Calibri" w:cs="Arial"/>
                <w:b/>
                <w:bCs/>
                <w:sz w:val="15"/>
                <w:szCs w:val="15"/>
              </w:rPr>
            </w:pPr>
            <w:r w:rsidRPr="001B1B87">
              <w:rPr>
                <w:b/>
                <w:bCs/>
                <w:sz w:val="15"/>
                <w:szCs w:val="15"/>
              </w:rPr>
              <w:t xml:space="preserve"> 276</w:t>
            </w:r>
            <w:r>
              <w:rPr>
                <w:b/>
                <w:bCs/>
                <w:sz w:val="15"/>
                <w:szCs w:val="15"/>
              </w:rPr>
              <w:t>,</w:t>
            </w:r>
            <w:r w:rsidRPr="001B1B87">
              <w:rPr>
                <w:b/>
                <w:bCs/>
                <w:sz w:val="15"/>
                <w:szCs w:val="15"/>
              </w:rPr>
              <w:t xml:space="preserve">491 </w:t>
            </w:r>
          </w:p>
        </w:tc>
        <w:tc>
          <w:tcPr>
            <w:tcW w:w="344" w:type="pct"/>
            <w:tcBorders>
              <w:top w:val="single" w:sz="6" w:space="0" w:color="auto"/>
              <w:left w:val="nil"/>
              <w:bottom w:val="single" w:sz="12" w:space="0" w:color="auto"/>
              <w:right w:val="nil"/>
            </w:tcBorders>
            <w:shd w:val="clear" w:color="auto" w:fill="auto"/>
            <w:vAlign w:val="bottom"/>
          </w:tcPr>
          <w:p w14:paraId="1D3E9436" w14:textId="77777777" w:rsidR="00B16158" w:rsidRPr="00D13EB3" w:rsidRDefault="00B16158" w:rsidP="00CD57BD">
            <w:pPr>
              <w:spacing w:after="40" w:line="240" w:lineRule="auto"/>
              <w:jc w:val="right"/>
              <w:rPr>
                <w:rFonts w:ascii="Calibri" w:hAnsi="Calibri" w:cs="Arial"/>
                <w:b/>
                <w:bCs/>
                <w:sz w:val="15"/>
                <w:szCs w:val="15"/>
              </w:rPr>
            </w:pPr>
            <w:r w:rsidRPr="001B1B87">
              <w:rPr>
                <w:b/>
                <w:bCs/>
                <w:sz w:val="15"/>
                <w:szCs w:val="15"/>
              </w:rPr>
              <w:t xml:space="preserve"> 243</w:t>
            </w:r>
            <w:r>
              <w:rPr>
                <w:b/>
                <w:bCs/>
                <w:sz w:val="15"/>
                <w:szCs w:val="15"/>
              </w:rPr>
              <w:t>,</w:t>
            </w:r>
            <w:r w:rsidRPr="001B1B87">
              <w:rPr>
                <w:b/>
                <w:bCs/>
                <w:sz w:val="15"/>
                <w:szCs w:val="15"/>
              </w:rPr>
              <w:t xml:space="preserve">772 </w:t>
            </w:r>
          </w:p>
        </w:tc>
        <w:tc>
          <w:tcPr>
            <w:tcW w:w="343" w:type="pct"/>
            <w:tcBorders>
              <w:top w:val="single" w:sz="6" w:space="0" w:color="auto"/>
              <w:left w:val="nil"/>
              <w:bottom w:val="single" w:sz="12" w:space="0" w:color="auto"/>
              <w:right w:val="nil"/>
            </w:tcBorders>
            <w:shd w:val="clear" w:color="auto" w:fill="auto"/>
            <w:vAlign w:val="bottom"/>
          </w:tcPr>
          <w:p w14:paraId="04C88E59" w14:textId="77777777" w:rsidR="00B16158" w:rsidRPr="00D13EB3" w:rsidRDefault="00B16158" w:rsidP="00CD57BD">
            <w:pPr>
              <w:spacing w:after="40" w:line="240" w:lineRule="auto"/>
              <w:jc w:val="right"/>
              <w:rPr>
                <w:rFonts w:ascii="Calibri" w:hAnsi="Calibri" w:cs="Arial"/>
                <w:b/>
                <w:bCs/>
                <w:sz w:val="15"/>
                <w:szCs w:val="15"/>
              </w:rPr>
            </w:pPr>
            <w:r w:rsidRPr="001B1B87">
              <w:rPr>
                <w:b/>
                <w:bCs/>
                <w:sz w:val="15"/>
                <w:szCs w:val="15"/>
              </w:rPr>
              <w:t xml:space="preserve"> 36</w:t>
            </w:r>
            <w:r>
              <w:rPr>
                <w:b/>
                <w:bCs/>
                <w:sz w:val="15"/>
                <w:szCs w:val="15"/>
              </w:rPr>
              <w:t>,</w:t>
            </w:r>
            <w:r w:rsidRPr="001B1B87">
              <w:rPr>
                <w:b/>
                <w:bCs/>
                <w:sz w:val="15"/>
                <w:szCs w:val="15"/>
              </w:rPr>
              <w:t xml:space="preserve">605 </w:t>
            </w:r>
          </w:p>
        </w:tc>
        <w:tc>
          <w:tcPr>
            <w:tcW w:w="344" w:type="pct"/>
            <w:tcBorders>
              <w:top w:val="single" w:sz="6" w:space="0" w:color="auto"/>
              <w:left w:val="nil"/>
              <w:bottom w:val="single" w:sz="12" w:space="0" w:color="auto"/>
              <w:right w:val="nil"/>
            </w:tcBorders>
            <w:shd w:val="clear" w:color="auto" w:fill="auto"/>
            <w:vAlign w:val="bottom"/>
          </w:tcPr>
          <w:p w14:paraId="1D099EB0" w14:textId="77777777" w:rsidR="00B16158" w:rsidRPr="00D13EB3" w:rsidRDefault="00B16158" w:rsidP="00CD57BD">
            <w:pPr>
              <w:spacing w:after="40" w:line="240" w:lineRule="auto"/>
              <w:jc w:val="right"/>
              <w:rPr>
                <w:rFonts w:ascii="Calibri" w:hAnsi="Calibri" w:cs="Arial"/>
                <w:b/>
                <w:bCs/>
                <w:sz w:val="15"/>
                <w:szCs w:val="15"/>
              </w:rPr>
            </w:pPr>
            <w:r w:rsidRPr="001B1B87">
              <w:rPr>
                <w:b/>
                <w:bCs/>
                <w:sz w:val="15"/>
                <w:szCs w:val="15"/>
              </w:rPr>
              <w:t xml:space="preserve"> - </w:t>
            </w:r>
          </w:p>
        </w:tc>
        <w:tc>
          <w:tcPr>
            <w:tcW w:w="344" w:type="pct"/>
            <w:tcBorders>
              <w:top w:val="single" w:sz="6" w:space="0" w:color="auto"/>
              <w:left w:val="nil"/>
              <w:bottom w:val="single" w:sz="12" w:space="0" w:color="auto"/>
              <w:right w:val="nil"/>
            </w:tcBorders>
            <w:shd w:val="clear" w:color="auto" w:fill="auto"/>
            <w:vAlign w:val="bottom"/>
          </w:tcPr>
          <w:p w14:paraId="15197BD0" w14:textId="77777777" w:rsidR="00B16158" w:rsidRPr="00D13EB3" w:rsidRDefault="00B16158" w:rsidP="00CD57BD">
            <w:pPr>
              <w:spacing w:after="40" w:line="240" w:lineRule="auto"/>
              <w:jc w:val="right"/>
              <w:rPr>
                <w:rFonts w:ascii="Calibri" w:hAnsi="Calibri" w:cs="Arial"/>
                <w:b/>
                <w:bCs/>
                <w:sz w:val="15"/>
                <w:szCs w:val="15"/>
              </w:rPr>
            </w:pPr>
            <w:r w:rsidRPr="001B1B87">
              <w:rPr>
                <w:b/>
                <w:bCs/>
                <w:sz w:val="15"/>
                <w:szCs w:val="15"/>
              </w:rPr>
              <w:t xml:space="preserve"> 3</w:t>
            </w:r>
            <w:r>
              <w:rPr>
                <w:b/>
                <w:bCs/>
                <w:sz w:val="15"/>
                <w:szCs w:val="15"/>
              </w:rPr>
              <w:t>,</w:t>
            </w:r>
            <w:r w:rsidRPr="001B1B87">
              <w:rPr>
                <w:b/>
                <w:bCs/>
                <w:sz w:val="15"/>
                <w:szCs w:val="15"/>
              </w:rPr>
              <w:t>858</w:t>
            </w:r>
            <w:r>
              <w:rPr>
                <w:b/>
                <w:bCs/>
                <w:sz w:val="15"/>
                <w:szCs w:val="15"/>
              </w:rPr>
              <w:t>,</w:t>
            </w:r>
            <w:r w:rsidRPr="001B1B87">
              <w:rPr>
                <w:b/>
                <w:bCs/>
                <w:sz w:val="15"/>
                <w:szCs w:val="15"/>
              </w:rPr>
              <w:t xml:space="preserve">109 </w:t>
            </w:r>
          </w:p>
        </w:tc>
        <w:tc>
          <w:tcPr>
            <w:tcW w:w="343" w:type="pct"/>
            <w:tcBorders>
              <w:top w:val="single" w:sz="6" w:space="0" w:color="auto"/>
              <w:left w:val="nil"/>
              <w:bottom w:val="single" w:sz="12" w:space="0" w:color="auto"/>
              <w:right w:val="nil"/>
            </w:tcBorders>
            <w:vAlign w:val="bottom"/>
          </w:tcPr>
          <w:p w14:paraId="0DAFA50B" w14:textId="77777777" w:rsidR="00B16158" w:rsidRPr="00D13EB3" w:rsidRDefault="00B16158" w:rsidP="00CD57BD">
            <w:pPr>
              <w:spacing w:after="40" w:line="240" w:lineRule="auto"/>
              <w:jc w:val="right"/>
              <w:rPr>
                <w:rFonts w:ascii="Calibri" w:hAnsi="Calibri" w:cs="Arial"/>
                <w:b/>
                <w:bCs/>
                <w:sz w:val="15"/>
                <w:szCs w:val="15"/>
              </w:rPr>
            </w:pPr>
            <w:r w:rsidRPr="001B1B87">
              <w:rPr>
                <w:b/>
                <w:bCs/>
                <w:sz w:val="15"/>
                <w:szCs w:val="15"/>
              </w:rPr>
              <w:t xml:space="preserve"> 362</w:t>
            </w:r>
            <w:r>
              <w:rPr>
                <w:b/>
                <w:bCs/>
                <w:sz w:val="15"/>
                <w:szCs w:val="15"/>
              </w:rPr>
              <w:t>,</w:t>
            </w:r>
            <w:r w:rsidRPr="001B1B87">
              <w:rPr>
                <w:b/>
                <w:bCs/>
                <w:sz w:val="15"/>
                <w:szCs w:val="15"/>
              </w:rPr>
              <w:t xml:space="preserve">382 </w:t>
            </w:r>
          </w:p>
        </w:tc>
        <w:tc>
          <w:tcPr>
            <w:tcW w:w="344" w:type="pct"/>
            <w:tcBorders>
              <w:top w:val="single" w:sz="6" w:space="0" w:color="auto"/>
              <w:left w:val="nil"/>
              <w:bottom w:val="single" w:sz="12" w:space="0" w:color="auto"/>
              <w:right w:val="nil"/>
            </w:tcBorders>
            <w:vAlign w:val="bottom"/>
          </w:tcPr>
          <w:p w14:paraId="265B5F9A" w14:textId="77777777" w:rsidR="00B16158" w:rsidRPr="00D13EB3" w:rsidRDefault="00B16158" w:rsidP="00CD57BD">
            <w:pPr>
              <w:spacing w:after="40" w:line="240" w:lineRule="auto"/>
              <w:jc w:val="right"/>
              <w:rPr>
                <w:rFonts w:ascii="Calibri" w:hAnsi="Calibri" w:cs="Arial"/>
                <w:b/>
                <w:bCs/>
                <w:sz w:val="15"/>
                <w:szCs w:val="15"/>
              </w:rPr>
            </w:pPr>
            <w:r w:rsidRPr="001B1B87">
              <w:rPr>
                <w:b/>
                <w:bCs/>
                <w:sz w:val="15"/>
                <w:szCs w:val="15"/>
              </w:rPr>
              <w:t xml:space="preserve"> 159</w:t>
            </w:r>
            <w:r>
              <w:rPr>
                <w:b/>
                <w:bCs/>
                <w:sz w:val="15"/>
                <w:szCs w:val="15"/>
              </w:rPr>
              <w:t>,</w:t>
            </w:r>
            <w:r w:rsidRPr="001B1B87">
              <w:rPr>
                <w:b/>
                <w:bCs/>
                <w:sz w:val="15"/>
                <w:szCs w:val="15"/>
              </w:rPr>
              <w:t xml:space="preserve">052 </w:t>
            </w:r>
          </w:p>
        </w:tc>
        <w:tc>
          <w:tcPr>
            <w:tcW w:w="344" w:type="pct"/>
            <w:tcBorders>
              <w:top w:val="single" w:sz="6" w:space="0" w:color="auto"/>
              <w:left w:val="nil"/>
              <w:bottom w:val="single" w:sz="12" w:space="0" w:color="auto"/>
              <w:right w:val="nil"/>
            </w:tcBorders>
            <w:vAlign w:val="bottom"/>
          </w:tcPr>
          <w:p w14:paraId="1A6F7129" w14:textId="77777777" w:rsidR="00B16158" w:rsidRPr="00D13EB3" w:rsidRDefault="00B16158" w:rsidP="00CD57BD">
            <w:pPr>
              <w:spacing w:after="40" w:line="240" w:lineRule="auto"/>
              <w:jc w:val="right"/>
              <w:rPr>
                <w:rFonts w:ascii="Calibri" w:hAnsi="Calibri" w:cs="Arial"/>
                <w:b/>
                <w:bCs/>
                <w:sz w:val="15"/>
                <w:szCs w:val="15"/>
              </w:rPr>
            </w:pPr>
            <w:r w:rsidRPr="001B1B87">
              <w:rPr>
                <w:b/>
                <w:bCs/>
                <w:sz w:val="15"/>
                <w:szCs w:val="15"/>
              </w:rPr>
              <w:t xml:space="preserve"> 92</w:t>
            </w:r>
            <w:r>
              <w:rPr>
                <w:b/>
                <w:bCs/>
                <w:sz w:val="15"/>
                <w:szCs w:val="15"/>
              </w:rPr>
              <w:t>,</w:t>
            </w:r>
            <w:r w:rsidRPr="001B1B87">
              <w:rPr>
                <w:b/>
                <w:bCs/>
                <w:sz w:val="15"/>
                <w:szCs w:val="15"/>
              </w:rPr>
              <w:t xml:space="preserve">371 </w:t>
            </w:r>
          </w:p>
        </w:tc>
        <w:tc>
          <w:tcPr>
            <w:tcW w:w="343" w:type="pct"/>
            <w:tcBorders>
              <w:top w:val="single" w:sz="6" w:space="0" w:color="auto"/>
              <w:left w:val="nil"/>
              <w:bottom w:val="single" w:sz="12" w:space="0" w:color="auto"/>
              <w:right w:val="nil"/>
            </w:tcBorders>
            <w:vAlign w:val="bottom"/>
          </w:tcPr>
          <w:p w14:paraId="4055000C" w14:textId="77777777" w:rsidR="00B16158" w:rsidRPr="00D13EB3" w:rsidRDefault="00B16158" w:rsidP="00CD57BD">
            <w:pPr>
              <w:spacing w:after="40" w:line="240" w:lineRule="auto"/>
              <w:jc w:val="right"/>
              <w:rPr>
                <w:rFonts w:ascii="Calibri" w:hAnsi="Calibri" w:cs="Arial"/>
                <w:b/>
                <w:bCs/>
                <w:sz w:val="15"/>
                <w:szCs w:val="15"/>
              </w:rPr>
            </w:pPr>
            <w:r w:rsidRPr="001B1B87">
              <w:rPr>
                <w:b/>
                <w:bCs/>
                <w:sz w:val="15"/>
                <w:szCs w:val="15"/>
              </w:rPr>
              <w:t xml:space="preserve"> 782 </w:t>
            </w:r>
          </w:p>
        </w:tc>
        <w:tc>
          <w:tcPr>
            <w:tcW w:w="344" w:type="pct"/>
            <w:tcBorders>
              <w:top w:val="single" w:sz="6" w:space="0" w:color="auto"/>
              <w:left w:val="nil"/>
              <w:bottom w:val="single" w:sz="12" w:space="0" w:color="auto"/>
              <w:right w:val="nil"/>
            </w:tcBorders>
            <w:vAlign w:val="bottom"/>
          </w:tcPr>
          <w:p w14:paraId="17EF9125" w14:textId="77777777" w:rsidR="00B16158" w:rsidRPr="00D13EB3" w:rsidRDefault="00B16158" w:rsidP="00CD57BD">
            <w:pPr>
              <w:spacing w:after="40" w:line="240" w:lineRule="auto"/>
              <w:jc w:val="right"/>
              <w:rPr>
                <w:rFonts w:ascii="Calibri" w:hAnsi="Calibri" w:cs="Arial"/>
                <w:b/>
                <w:bCs/>
                <w:sz w:val="15"/>
                <w:szCs w:val="15"/>
              </w:rPr>
            </w:pPr>
            <w:r w:rsidRPr="001B1B87">
              <w:rPr>
                <w:b/>
                <w:bCs/>
                <w:sz w:val="15"/>
                <w:szCs w:val="15"/>
              </w:rPr>
              <w:t xml:space="preserve"> - </w:t>
            </w:r>
          </w:p>
        </w:tc>
        <w:tc>
          <w:tcPr>
            <w:tcW w:w="343" w:type="pct"/>
            <w:tcBorders>
              <w:top w:val="single" w:sz="6" w:space="0" w:color="auto"/>
              <w:left w:val="nil"/>
              <w:bottom w:val="single" w:sz="12" w:space="0" w:color="auto"/>
              <w:right w:val="nil"/>
            </w:tcBorders>
            <w:vAlign w:val="bottom"/>
          </w:tcPr>
          <w:p w14:paraId="5CA0088A" w14:textId="77777777" w:rsidR="00B16158" w:rsidRPr="00D13EB3" w:rsidRDefault="00B16158" w:rsidP="00CD57BD">
            <w:pPr>
              <w:spacing w:after="40" w:line="240" w:lineRule="auto"/>
              <w:jc w:val="right"/>
              <w:rPr>
                <w:rFonts w:ascii="Calibri" w:hAnsi="Calibri" w:cs="Arial"/>
                <w:b/>
                <w:bCs/>
                <w:sz w:val="15"/>
                <w:szCs w:val="15"/>
              </w:rPr>
            </w:pPr>
            <w:r w:rsidRPr="001B1B87">
              <w:rPr>
                <w:b/>
                <w:bCs/>
                <w:sz w:val="15"/>
                <w:szCs w:val="15"/>
              </w:rPr>
              <w:t xml:space="preserve"> 614</w:t>
            </w:r>
            <w:r>
              <w:rPr>
                <w:b/>
                <w:bCs/>
                <w:sz w:val="15"/>
                <w:szCs w:val="15"/>
              </w:rPr>
              <w:t>,</w:t>
            </w:r>
            <w:r w:rsidRPr="001B1B87">
              <w:rPr>
                <w:b/>
                <w:bCs/>
                <w:sz w:val="15"/>
                <w:szCs w:val="15"/>
              </w:rPr>
              <w:t xml:space="preserve">587 </w:t>
            </w:r>
          </w:p>
        </w:tc>
      </w:tr>
      <w:tr w:rsidR="00B16158" w:rsidRPr="00D13EB3" w14:paraId="51E59224" w14:textId="77777777" w:rsidTr="00CD57BD">
        <w:trPr>
          <w:trHeight w:val="325"/>
          <w:jc w:val="center"/>
        </w:trPr>
        <w:tc>
          <w:tcPr>
            <w:tcW w:w="877" w:type="pct"/>
            <w:vAlign w:val="bottom"/>
          </w:tcPr>
          <w:p w14:paraId="48F8499E" w14:textId="77777777" w:rsidR="00B16158" w:rsidRPr="00D13EB3" w:rsidRDefault="00B16158" w:rsidP="00CD57BD">
            <w:pPr>
              <w:tabs>
                <w:tab w:val="right" w:pos="1202"/>
              </w:tabs>
              <w:spacing w:after="40" w:line="240" w:lineRule="auto"/>
              <w:outlineLvl w:val="0"/>
              <w:rPr>
                <w:rFonts w:ascii="Calibri" w:hAnsi="Calibri" w:cs="Arial"/>
                <w:b/>
                <w:bCs/>
                <w:sz w:val="15"/>
                <w:szCs w:val="15"/>
              </w:rPr>
            </w:pPr>
            <w:r w:rsidRPr="00D13EB3">
              <w:rPr>
                <w:rFonts w:ascii="Calibri" w:hAnsi="Calibri" w:cs="Arial"/>
                <w:b/>
                <w:bCs/>
                <w:sz w:val="15"/>
                <w:szCs w:val="15"/>
              </w:rPr>
              <w:t>Total credit risk exposure</w:t>
            </w:r>
          </w:p>
        </w:tc>
        <w:tc>
          <w:tcPr>
            <w:tcW w:w="343" w:type="pct"/>
            <w:tcBorders>
              <w:top w:val="nil"/>
              <w:left w:val="nil"/>
              <w:bottom w:val="single" w:sz="12" w:space="0" w:color="auto"/>
              <w:right w:val="nil"/>
            </w:tcBorders>
            <w:shd w:val="clear" w:color="auto" w:fill="auto"/>
            <w:vAlign w:val="bottom"/>
          </w:tcPr>
          <w:p w14:paraId="782D1CA5" w14:textId="77777777" w:rsidR="00B16158" w:rsidRPr="00E36AA6" w:rsidRDefault="00B16158" w:rsidP="00CD57BD">
            <w:pPr>
              <w:spacing w:after="40" w:line="240" w:lineRule="auto"/>
              <w:jc w:val="right"/>
              <w:rPr>
                <w:b/>
                <w:bCs/>
                <w:sz w:val="15"/>
                <w:szCs w:val="15"/>
              </w:rPr>
            </w:pPr>
            <w:r w:rsidRPr="001B1B87">
              <w:rPr>
                <w:b/>
                <w:bCs/>
                <w:sz w:val="15"/>
                <w:szCs w:val="15"/>
              </w:rPr>
              <w:t xml:space="preserve"> 27</w:t>
            </w:r>
            <w:r>
              <w:rPr>
                <w:b/>
                <w:bCs/>
                <w:sz w:val="15"/>
                <w:szCs w:val="15"/>
              </w:rPr>
              <w:t>,</w:t>
            </w:r>
            <w:r w:rsidRPr="001B1B87">
              <w:rPr>
                <w:b/>
                <w:bCs/>
                <w:sz w:val="15"/>
                <w:szCs w:val="15"/>
              </w:rPr>
              <w:t>849</w:t>
            </w:r>
            <w:r>
              <w:rPr>
                <w:b/>
                <w:bCs/>
                <w:sz w:val="15"/>
                <w:szCs w:val="15"/>
              </w:rPr>
              <w:t>,</w:t>
            </w:r>
            <w:r w:rsidRPr="001B1B87">
              <w:rPr>
                <w:b/>
                <w:bCs/>
                <w:sz w:val="15"/>
                <w:szCs w:val="15"/>
              </w:rPr>
              <w:t xml:space="preserve">611 </w:t>
            </w:r>
          </w:p>
        </w:tc>
        <w:tc>
          <w:tcPr>
            <w:tcW w:w="344" w:type="pct"/>
            <w:tcBorders>
              <w:top w:val="nil"/>
              <w:left w:val="nil"/>
              <w:bottom w:val="single" w:sz="12" w:space="0" w:color="auto"/>
              <w:right w:val="nil"/>
            </w:tcBorders>
            <w:shd w:val="clear" w:color="auto" w:fill="auto"/>
            <w:vAlign w:val="bottom"/>
          </w:tcPr>
          <w:p w14:paraId="75B0EC82" w14:textId="77777777" w:rsidR="00B16158" w:rsidRPr="00E36AA6" w:rsidRDefault="00B16158" w:rsidP="00CD57BD">
            <w:pPr>
              <w:spacing w:after="40" w:line="240" w:lineRule="auto"/>
              <w:jc w:val="right"/>
              <w:rPr>
                <w:b/>
                <w:bCs/>
                <w:sz w:val="15"/>
                <w:szCs w:val="15"/>
              </w:rPr>
            </w:pPr>
            <w:r w:rsidRPr="001B1B87">
              <w:rPr>
                <w:b/>
                <w:bCs/>
                <w:sz w:val="15"/>
                <w:szCs w:val="15"/>
              </w:rPr>
              <w:t xml:space="preserve"> 1</w:t>
            </w:r>
            <w:r>
              <w:rPr>
                <w:b/>
                <w:bCs/>
                <w:sz w:val="15"/>
                <w:szCs w:val="15"/>
              </w:rPr>
              <w:t>,</w:t>
            </w:r>
            <w:r w:rsidRPr="001B1B87">
              <w:rPr>
                <w:b/>
                <w:bCs/>
                <w:sz w:val="15"/>
                <w:szCs w:val="15"/>
              </w:rPr>
              <w:t>285</w:t>
            </w:r>
            <w:r>
              <w:rPr>
                <w:b/>
                <w:bCs/>
                <w:sz w:val="15"/>
                <w:szCs w:val="15"/>
              </w:rPr>
              <w:t>,</w:t>
            </w:r>
            <w:r w:rsidRPr="001B1B87">
              <w:rPr>
                <w:b/>
                <w:bCs/>
                <w:sz w:val="15"/>
                <w:szCs w:val="15"/>
              </w:rPr>
              <w:t xml:space="preserve">228 </w:t>
            </w:r>
          </w:p>
        </w:tc>
        <w:tc>
          <w:tcPr>
            <w:tcW w:w="344" w:type="pct"/>
            <w:tcBorders>
              <w:top w:val="nil"/>
              <w:left w:val="nil"/>
              <w:bottom w:val="single" w:sz="12" w:space="0" w:color="auto"/>
              <w:right w:val="nil"/>
            </w:tcBorders>
            <w:shd w:val="clear" w:color="auto" w:fill="auto"/>
            <w:vAlign w:val="bottom"/>
          </w:tcPr>
          <w:p w14:paraId="1F6E401F" w14:textId="77777777" w:rsidR="00B16158" w:rsidRPr="00E36AA6" w:rsidRDefault="00B16158" w:rsidP="00CD57BD">
            <w:pPr>
              <w:spacing w:after="40" w:line="240" w:lineRule="auto"/>
              <w:jc w:val="right"/>
              <w:rPr>
                <w:b/>
                <w:bCs/>
                <w:sz w:val="15"/>
                <w:szCs w:val="15"/>
              </w:rPr>
            </w:pPr>
            <w:r w:rsidRPr="001B1B87">
              <w:rPr>
                <w:b/>
                <w:bCs/>
                <w:sz w:val="15"/>
                <w:szCs w:val="15"/>
              </w:rPr>
              <w:t xml:space="preserve"> 1</w:t>
            </w:r>
            <w:r>
              <w:rPr>
                <w:b/>
                <w:bCs/>
                <w:sz w:val="15"/>
                <w:szCs w:val="15"/>
              </w:rPr>
              <w:t>,</w:t>
            </w:r>
            <w:r w:rsidRPr="001B1B87">
              <w:rPr>
                <w:b/>
                <w:bCs/>
                <w:sz w:val="15"/>
                <w:szCs w:val="15"/>
              </w:rPr>
              <w:t>413</w:t>
            </w:r>
            <w:r>
              <w:rPr>
                <w:b/>
                <w:bCs/>
                <w:sz w:val="15"/>
                <w:szCs w:val="15"/>
              </w:rPr>
              <w:t>,</w:t>
            </w:r>
            <w:r w:rsidRPr="001B1B87">
              <w:rPr>
                <w:b/>
                <w:bCs/>
                <w:sz w:val="15"/>
                <w:szCs w:val="15"/>
              </w:rPr>
              <w:t xml:space="preserve">884 </w:t>
            </w:r>
          </w:p>
        </w:tc>
        <w:tc>
          <w:tcPr>
            <w:tcW w:w="343" w:type="pct"/>
            <w:tcBorders>
              <w:top w:val="nil"/>
              <w:left w:val="nil"/>
              <w:bottom w:val="single" w:sz="12" w:space="0" w:color="auto"/>
              <w:right w:val="nil"/>
            </w:tcBorders>
            <w:shd w:val="clear" w:color="auto" w:fill="auto"/>
            <w:vAlign w:val="bottom"/>
          </w:tcPr>
          <w:p w14:paraId="639EB9B4" w14:textId="77777777" w:rsidR="00B16158" w:rsidRPr="00E36AA6" w:rsidRDefault="00B16158" w:rsidP="00CD57BD">
            <w:pPr>
              <w:spacing w:after="40" w:line="240" w:lineRule="auto"/>
              <w:jc w:val="right"/>
              <w:rPr>
                <w:b/>
                <w:bCs/>
                <w:sz w:val="15"/>
                <w:szCs w:val="15"/>
              </w:rPr>
            </w:pPr>
            <w:r w:rsidRPr="001B1B87">
              <w:rPr>
                <w:b/>
                <w:bCs/>
                <w:sz w:val="15"/>
                <w:szCs w:val="15"/>
              </w:rPr>
              <w:t xml:space="preserve"> 1</w:t>
            </w:r>
            <w:r>
              <w:rPr>
                <w:b/>
                <w:bCs/>
                <w:sz w:val="15"/>
                <w:szCs w:val="15"/>
              </w:rPr>
              <w:t>,</w:t>
            </w:r>
            <w:r w:rsidRPr="001B1B87">
              <w:rPr>
                <w:b/>
                <w:bCs/>
                <w:sz w:val="15"/>
                <w:szCs w:val="15"/>
              </w:rPr>
              <w:t>230</w:t>
            </w:r>
            <w:r>
              <w:rPr>
                <w:b/>
                <w:bCs/>
                <w:sz w:val="15"/>
                <w:szCs w:val="15"/>
              </w:rPr>
              <w:t>,</w:t>
            </w:r>
            <w:r w:rsidRPr="001B1B87">
              <w:rPr>
                <w:b/>
                <w:bCs/>
                <w:sz w:val="15"/>
                <w:szCs w:val="15"/>
              </w:rPr>
              <w:t xml:space="preserve">215 </w:t>
            </w:r>
          </w:p>
        </w:tc>
        <w:tc>
          <w:tcPr>
            <w:tcW w:w="344" w:type="pct"/>
            <w:tcBorders>
              <w:top w:val="nil"/>
              <w:left w:val="nil"/>
              <w:bottom w:val="single" w:sz="12" w:space="0" w:color="auto"/>
              <w:right w:val="nil"/>
            </w:tcBorders>
            <w:shd w:val="clear" w:color="auto" w:fill="auto"/>
            <w:vAlign w:val="bottom"/>
          </w:tcPr>
          <w:p w14:paraId="5B47236D" w14:textId="77777777" w:rsidR="00B16158" w:rsidRPr="00E36AA6" w:rsidRDefault="00B16158" w:rsidP="00CD57BD">
            <w:pPr>
              <w:spacing w:after="40" w:line="240" w:lineRule="auto"/>
              <w:jc w:val="right"/>
              <w:rPr>
                <w:b/>
                <w:bCs/>
                <w:sz w:val="15"/>
                <w:szCs w:val="15"/>
              </w:rPr>
            </w:pPr>
            <w:r w:rsidRPr="001B1B87">
              <w:rPr>
                <w:b/>
                <w:bCs/>
                <w:sz w:val="15"/>
                <w:szCs w:val="15"/>
              </w:rPr>
              <w:t xml:space="preserve"> 16</w:t>
            </w:r>
            <w:r>
              <w:rPr>
                <w:b/>
                <w:bCs/>
                <w:sz w:val="15"/>
                <w:szCs w:val="15"/>
              </w:rPr>
              <w:t>,</w:t>
            </w:r>
            <w:r w:rsidRPr="001B1B87">
              <w:rPr>
                <w:b/>
                <w:bCs/>
                <w:sz w:val="15"/>
                <w:szCs w:val="15"/>
              </w:rPr>
              <w:t xml:space="preserve">375 </w:t>
            </w:r>
          </w:p>
        </w:tc>
        <w:tc>
          <w:tcPr>
            <w:tcW w:w="344" w:type="pct"/>
            <w:tcBorders>
              <w:top w:val="nil"/>
              <w:left w:val="nil"/>
              <w:bottom w:val="single" w:sz="12" w:space="0" w:color="auto"/>
              <w:right w:val="nil"/>
            </w:tcBorders>
            <w:shd w:val="clear" w:color="auto" w:fill="auto"/>
            <w:vAlign w:val="bottom"/>
          </w:tcPr>
          <w:p w14:paraId="53270229" w14:textId="77777777" w:rsidR="00B16158" w:rsidRPr="00E36AA6" w:rsidRDefault="00B16158" w:rsidP="00CD57BD">
            <w:pPr>
              <w:spacing w:after="40" w:line="240" w:lineRule="auto"/>
              <w:jc w:val="right"/>
              <w:rPr>
                <w:b/>
                <w:bCs/>
                <w:sz w:val="15"/>
                <w:szCs w:val="15"/>
              </w:rPr>
            </w:pPr>
            <w:r w:rsidRPr="001B1B87">
              <w:rPr>
                <w:b/>
                <w:bCs/>
                <w:sz w:val="15"/>
                <w:szCs w:val="15"/>
              </w:rPr>
              <w:t xml:space="preserve"> 31</w:t>
            </w:r>
            <w:r>
              <w:rPr>
                <w:b/>
                <w:bCs/>
                <w:sz w:val="15"/>
                <w:szCs w:val="15"/>
              </w:rPr>
              <w:t>,</w:t>
            </w:r>
            <w:r w:rsidRPr="001B1B87">
              <w:rPr>
                <w:b/>
                <w:bCs/>
                <w:sz w:val="15"/>
                <w:szCs w:val="15"/>
              </w:rPr>
              <w:t>795</w:t>
            </w:r>
            <w:r>
              <w:rPr>
                <w:b/>
                <w:bCs/>
                <w:sz w:val="15"/>
                <w:szCs w:val="15"/>
              </w:rPr>
              <w:t>,</w:t>
            </w:r>
            <w:r w:rsidRPr="001B1B87">
              <w:rPr>
                <w:b/>
                <w:bCs/>
                <w:sz w:val="15"/>
                <w:szCs w:val="15"/>
              </w:rPr>
              <w:t xml:space="preserve">313 </w:t>
            </w:r>
          </w:p>
        </w:tc>
        <w:tc>
          <w:tcPr>
            <w:tcW w:w="343" w:type="pct"/>
            <w:tcBorders>
              <w:top w:val="nil"/>
              <w:left w:val="nil"/>
              <w:bottom w:val="single" w:sz="12" w:space="0" w:color="auto"/>
              <w:right w:val="nil"/>
            </w:tcBorders>
            <w:vAlign w:val="bottom"/>
          </w:tcPr>
          <w:p w14:paraId="1A8AB883" w14:textId="77777777" w:rsidR="00B16158" w:rsidRPr="00E36AA6" w:rsidRDefault="00B16158" w:rsidP="00CD57BD">
            <w:pPr>
              <w:spacing w:after="40" w:line="240" w:lineRule="auto"/>
              <w:jc w:val="right"/>
              <w:rPr>
                <w:b/>
                <w:bCs/>
                <w:sz w:val="15"/>
                <w:szCs w:val="15"/>
              </w:rPr>
            </w:pPr>
            <w:r w:rsidRPr="001B1B87">
              <w:rPr>
                <w:b/>
                <w:bCs/>
                <w:sz w:val="15"/>
                <w:szCs w:val="15"/>
              </w:rPr>
              <w:t xml:space="preserve"> 6</w:t>
            </w:r>
            <w:r>
              <w:rPr>
                <w:b/>
                <w:bCs/>
                <w:sz w:val="15"/>
                <w:szCs w:val="15"/>
              </w:rPr>
              <w:t>,</w:t>
            </w:r>
            <w:r w:rsidRPr="001B1B87">
              <w:rPr>
                <w:b/>
                <w:bCs/>
                <w:sz w:val="15"/>
                <w:szCs w:val="15"/>
              </w:rPr>
              <w:t>148</w:t>
            </w:r>
            <w:r>
              <w:rPr>
                <w:b/>
                <w:bCs/>
                <w:sz w:val="15"/>
                <w:szCs w:val="15"/>
              </w:rPr>
              <w:t>,</w:t>
            </w:r>
            <w:r w:rsidRPr="001B1B87">
              <w:rPr>
                <w:b/>
                <w:bCs/>
                <w:sz w:val="15"/>
                <w:szCs w:val="15"/>
              </w:rPr>
              <w:t xml:space="preserve">139 </w:t>
            </w:r>
          </w:p>
        </w:tc>
        <w:tc>
          <w:tcPr>
            <w:tcW w:w="344" w:type="pct"/>
            <w:tcBorders>
              <w:top w:val="nil"/>
              <w:left w:val="nil"/>
              <w:bottom w:val="single" w:sz="12" w:space="0" w:color="auto"/>
              <w:right w:val="nil"/>
            </w:tcBorders>
            <w:vAlign w:val="bottom"/>
          </w:tcPr>
          <w:p w14:paraId="56D5365B" w14:textId="77777777" w:rsidR="00B16158" w:rsidRPr="00E36AA6" w:rsidRDefault="00B16158" w:rsidP="00CD57BD">
            <w:pPr>
              <w:spacing w:after="40" w:line="240" w:lineRule="auto"/>
              <w:jc w:val="right"/>
              <w:rPr>
                <w:b/>
                <w:bCs/>
                <w:sz w:val="15"/>
                <w:szCs w:val="15"/>
              </w:rPr>
            </w:pPr>
            <w:r w:rsidRPr="001B1B87">
              <w:rPr>
                <w:b/>
                <w:bCs/>
                <w:sz w:val="15"/>
                <w:szCs w:val="15"/>
              </w:rPr>
              <w:t xml:space="preserve"> 251</w:t>
            </w:r>
            <w:r>
              <w:rPr>
                <w:b/>
                <w:bCs/>
                <w:sz w:val="15"/>
                <w:szCs w:val="15"/>
              </w:rPr>
              <w:t>,</w:t>
            </w:r>
            <w:r w:rsidRPr="001B1B87">
              <w:rPr>
                <w:b/>
                <w:bCs/>
                <w:sz w:val="15"/>
                <w:szCs w:val="15"/>
              </w:rPr>
              <w:t xml:space="preserve">856 </w:t>
            </w:r>
          </w:p>
        </w:tc>
        <w:tc>
          <w:tcPr>
            <w:tcW w:w="344" w:type="pct"/>
            <w:tcBorders>
              <w:top w:val="nil"/>
              <w:left w:val="nil"/>
              <w:bottom w:val="single" w:sz="12" w:space="0" w:color="auto"/>
              <w:right w:val="nil"/>
            </w:tcBorders>
            <w:vAlign w:val="bottom"/>
          </w:tcPr>
          <w:p w14:paraId="4C9326D0" w14:textId="77777777" w:rsidR="00B16158" w:rsidRPr="00E36AA6" w:rsidRDefault="00B16158" w:rsidP="00CD57BD">
            <w:pPr>
              <w:spacing w:after="40" w:line="240" w:lineRule="auto"/>
              <w:jc w:val="right"/>
              <w:rPr>
                <w:b/>
                <w:bCs/>
                <w:sz w:val="15"/>
                <w:szCs w:val="15"/>
              </w:rPr>
            </w:pPr>
            <w:r w:rsidRPr="001B1B87">
              <w:rPr>
                <w:b/>
                <w:bCs/>
                <w:sz w:val="15"/>
                <w:szCs w:val="15"/>
              </w:rPr>
              <w:t xml:space="preserve"> 300</w:t>
            </w:r>
            <w:r>
              <w:rPr>
                <w:b/>
                <w:bCs/>
                <w:sz w:val="15"/>
                <w:szCs w:val="15"/>
              </w:rPr>
              <w:t>,</w:t>
            </w:r>
            <w:r w:rsidRPr="001B1B87">
              <w:rPr>
                <w:b/>
                <w:bCs/>
                <w:sz w:val="15"/>
                <w:szCs w:val="15"/>
              </w:rPr>
              <w:t xml:space="preserve">194 </w:t>
            </w:r>
          </w:p>
        </w:tc>
        <w:tc>
          <w:tcPr>
            <w:tcW w:w="343" w:type="pct"/>
            <w:tcBorders>
              <w:top w:val="nil"/>
              <w:left w:val="nil"/>
              <w:bottom w:val="single" w:sz="12" w:space="0" w:color="auto"/>
              <w:right w:val="nil"/>
            </w:tcBorders>
            <w:vAlign w:val="bottom"/>
          </w:tcPr>
          <w:p w14:paraId="4444C6AA" w14:textId="77777777" w:rsidR="00B16158" w:rsidRPr="00E36AA6" w:rsidRDefault="00B16158" w:rsidP="00CD57BD">
            <w:pPr>
              <w:spacing w:after="40" w:line="240" w:lineRule="auto"/>
              <w:jc w:val="right"/>
              <w:rPr>
                <w:b/>
                <w:bCs/>
                <w:sz w:val="15"/>
                <w:szCs w:val="15"/>
              </w:rPr>
            </w:pPr>
            <w:r w:rsidRPr="001B1B87">
              <w:rPr>
                <w:b/>
                <w:bCs/>
                <w:sz w:val="15"/>
                <w:szCs w:val="15"/>
              </w:rPr>
              <w:t xml:space="preserve"> 35</w:t>
            </w:r>
            <w:r>
              <w:rPr>
                <w:b/>
                <w:bCs/>
                <w:sz w:val="15"/>
                <w:szCs w:val="15"/>
              </w:rPr>
              <w:t>,</w:t>
            </w:r>
            <w:r w:rsidRPr="001B1B87">
              <w:rPr>
                <w:b/>
                <w:bCs/>
                <w:sz w:val="15"/>
                <w:szCs w:val="15"/>
              </w:rPr>
              <w:t xml:space="preserve">602 </w:t>
            </w:r>
          </w:p>
        </w:tc>
        <w:tc>
          <w:tcPr>
            <w:tcW w:w="344" w:type="pct"/>
            <w:tcBorders>
              <w:top w:val="nil"/>
              <w:left w:val="nil"/>
              <w:bottom w:val="single" w:sz="12" w:space="0" w:color="auto"/>
              <w:right w:val="nil"/>
            </w:tcBorders>
            <w:vAlign w:val="bottom"/>
          </w:tcPr>
          <w:p w14:paraId="1D863E14" w14:textId="77777777" w:rsidR="00B16158" w:rsidRPr="00E36AA6" w:rsidRDefault="00B16158" w:rsidP="00CD57BD">
            <w:pPr>
              <w:spacing w:after="40" w:line="240" w:lineRule="auto"/>
              <w:jc w:val="right"/>
              <w:rPr>
                <w:b/>
                <w:bCs/>
                <w:sz w:val="15"/>
                <w:szCs w:val="15"/>
              </w:rPr>
            </w:pPr>
            <w:r w:rsidRPr="001B1B87">
              <w:rPr>
                <w:b/>
                <w:bCs/>
                <w:sz w:val="15"/>
                <w:szCs w:val="15"/>
              </w:rPr>
              <w:t xml:space="preserve"> 16</w:t>
            </w:r>
            <w:r>
              <w:rPr>
                <w:b/>
                <w:bCs/>
                <w:sz w:val="15"/>
                <w:szCs w:val="15"/>
              </w:rPr>
              <w:t>,</w:t>
            </w:r>
            <w:r w:rsidRPr="001B1B87">
              <w:rPr>
                <w:b/>
                <w:bCs/>
                <w:sz w:val="15"/>
                <w:szCs w:val="15"/>
              </w:rPr>
              <w:t xml:space="preserve">375 </w:t>
            </w:r>
          </w:p>
        </w:tc>
        <w:tc>
          <w:tcPr>
            <w:tcW w:w="343" w:type="pct"/>
            <w:tcBorders>
              <w:top w:val="nil"/>
              <w:left w:val="nil"/>
              <w:bottom w:val="single" w:sz="12" w:space="0" w:color="auto"/>
              <w:right w:val="nil"/>
            </w:tcBorders>
            <w:vAlign w:val="bottom"/>
          </w:tcPr>
          <w:p w14:paraId="42084255" w14:textId="77777777" w:rsidR="00B16158" w:rsidRPr="00E36AA6" w:rsidRDefault="00B16158" w:rsidP="00CD57BD">
            <w:pPr>
              <w:spacing w:after="40" w:line="240" w:lineRule="auto"/>
              <w:jc w:val="right"/>
              <w:rPr>
                <w:b/>
                <w:bCs/>
                <w:sz w:val="15"/>
                <w:szCs w:val="15"/>
              </w:rPr>
            </w:pPr>
            <w:r w:rsidRPr="001B1B87">
              <w:rPr>
                <w:b/>
                <w:bCs/>
                <w:sz w:val="15"/>
                <w:szCs w:val="15"/>
              </w:rPr>
              <w:t xml:space="preserve"> 6</w:t>
            </w:r>
            <w:r>
              <w:rPr>
                <w:b/>
                <w:bCs/>
                <w:sz w:val="15"/>
                <w:szCs w:val="15"/>
              </w:rPr>
              <w:t>,</w:t>
            </w:r>
            <w:r w:rsidRPr="001B1B87">
              <w:rPr>
                <w:b/>
                <w:bCs/>
                <w:sz w:val="15"/>
                <w:szCs w:val="15"/>
              </w:rPr>
              <w:t>752</w:t>
            </w:r>
            <w:r>
              <w:rPr>
                <w:b/>
                <w:bCs/>
                <w:sz w:val="15"/>
                <w:szCs w:val="15"/>
              </w:rPr>
              <w:t>,</w:t>
            </w:r>
            <w:r w:rsidRPr="001B1B87">
              <w:rPr>
                <w:b/>
                <w:bCs/>
                <w:sz w:val="15"/>
                <w:szCs w:val="15"/>
              </w:rPr>
              <w:t xml:space="preserve">166 </w:t>
            </w:r>
          </w:p>
        </w:tc>
      </w:tr>
      <w:bookmarkEnd w:id="807"/>
    </w:tbl>
    <w:p w14:paraId="0EC953C8" w14:textId="77777777" w:rsidR="004A287E" w:rsidRPr="00537128" w:rsidRDefault="004A287E" w:rsidP="00900DBE">
      <w:pPr>
        <w:spacing w:after="0" w:line="240" w:lineRule="auto"/>
        <w:jc w:val="both"/>
        <w:rPr>
          <w:rFonts w:ascii="Calibri" w:eastAsia="Calibri" w:hAnsi="Calibri" w:cs="Arial"/>
          <w:color w:val="000000" w:themeColor="text1"/>
          <w:sz w:val="19"/>
          <w:szCs w:val="19"/>
          <w:lang w:val="en-US"/>
        </w:rPr>
      </w:pPr>
    </w:p>
    <w:p w14:paraId="5FDD719E" w14:textId="77777777" w:rsidR="004A287E" w:rsidRPr="00537128" w:rsidRDefault="004A287E" w:rsidP="00900DBE">
      <w:pPr>
        <w:spacing w:after="0" w:line="240" w:lineRule="auto"/>
        <w:jc w:val="both"/>
        <w:rPr>
          <w:rFonts w:ascii="Calibri" w:eastAsia="Calibri" w:hAnsi="Calibri" w:cs="Arial"/>
          <w:color w:val="000000" w:themeColor="text1"/>
          <w:sz w:val="19"/>
          <w:szCs w:val="19"/>
          <w:lang w:val="en-US"/>
        </w:rPr>
      </w:pPr>
    </w:p>
    <w:p w14:paraId="393C70CA" w14:textId="77777777" w:rsidR="00712478" w:rsidRPr="00537128" w:rsidRDefault="00712478" w:rsidP="00900DBE">
      <w:pPr>
        <w:spacing w:after="0" w:line="240" w:lineRule="auto"/>
        <w:jc w:val="both"/>
        <w:rPr>
          <w:rFonts w:ascii="Calibri" w:eastAsia="Times New Roman" w:hAnsi="Calibri" w:cs="Arial"/>
          <w:b/>
          <w:color w:val="000000" w:themeColor="text1"/>
          <w:sz w:val="20"/>
          <w:szCs w:val="20"/>
          <w:lang w:val="en-US"/>
        </w:rPr>
        <w:sectPr w:rsidR="00712478" w:rsidRPr="00537128" w:rsidSect="00900DBE">
          <w:pgSz w:w="16838" w:h="11906" w:orient="landscape"/>
          <w:pgMar w:top="1418" w:right="1418" w:bottom="1134" w:left="1418" w:header="709" w:footer="709" w:gutter="0"/>
          <w:cols w:space="708"/>
          <w:docGrid w:linePitch="360"/>
        </w:sectPr>
      </w:pPr>
    </w:p>
    <w:p w14:paraId="5EBFD451" w14:textId="77777777" w:rsidR="00712478" w:rsidRPr="00537128" w:rsidRDefault="00712478" w:rsidP="00712478">
      <w:pPr>
        <w:spacing w:after="0" w:line="240" w:lineRule="auto"/>
        <w:jc w:val="both"/>
        <w:rPr>
          <w:rFonts w:ascii="Calibri" w:eastAsia="Times New Roman" w:hAnsi="Calibri" w:cs="Calibri"/>
          <w:b/>
          <w:bCs/>
          <w:color w:val="000000" w:themeColor="text1"/>
          <w:sz w:val="12"/>
          <w:szCs w:val="12"/>
          <w:lang w:val="en-US" w:eastAsia="hr-HR"/>
        </w:rPr>
      </w:pPr>
      <w:bookmarkStart w:id="808" w:name="_Hlk37078953"/>
    </w:p>
    <w:p w14:paraId="00410697" w14:textId="7EFE674F" w:rsidR="00712478" w:rsidRPr="00537128" w:rsidRDefault="00B357CE" w:rsidP="00712478">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59A67631" w14:textId="77777777" w:rsidR="00712478" w:rsidRPr="00537128" w:rsidRDefault="00712478" w:rsidP="00712478">
      <w:pPr>
        <w:tabs>
          <w:tab w:val="left" w:pos="709"/>
          <w:tab w:val="left" w:pos="851"/>
        </w:tabs>
        <w:spacing w:after="0" w:line="240" w:lineRule="auto"/>
        <w:jc w:val="both"/>
        <w:rPr>
          <w:rFonts w:ascii="Calibri" w:eastAsia="Times New Roman" w:hAnsi="Calibri" w:cs="Arial"/>
          <w:color w:val="000000" w:themeColor="text1"/>
          <w:sz w:val="12"/>
          <w:szCs w:val="12"/>
          <w:lang w:val="en-US"/>
        </w:rPr>
      </w:pPr>
    </w:p>
    <w:p w14:paraId="62111D80" w14:textId="00CE3F22" w:rsidR="00712478" w:rsidRPr="00537128" w:rsidRDefault="00B357CE" w:rsidP="00712478">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712478" w:rsidRPr="00537128">
        <w:rPr>
          <w:rFonts w:ascii="Calibri" w:eastAsia="Times New Roman" w:hAnsi="Calibri" w:cs="Arial"/>
          <w:b/>
          <w:color w:val="000000" w:themeColor="text1"/>
          <w:lang w:val="en-US"/>
        </w:rPr>
        <w:t xml:space="preserve">   Credit risk (continued)</w:t>
      </w:r>
    </w:p>
    <w:p w14:paraId="45A5AEB6" w14:textId="77777777" w:rsidR="00712478" w:rsidRPr="00537128" w:rsidRDefault="00712478" w:rsidP="00712478">
      <w:pPr>
        <w:spacing w:after="0" w:line="240" w:lineRule="auto"/>
        <w:jc w:val="both"/>
        <w:rPr>
          <w:rFonts w:ascii="Calibri" w:eastAsia="Times New Roman" w:hAnsi="Calibri" w:cs="Arial"/>
          <w:b/>
          <w:color w:val="000000" w:themeColor="text1"/>
          <w:sz w:val="12"/>
          <w:szCs w:val="12"/>
          <w:lang w:val="en-US"/>
        </w:rPr>
      </w:pPr>
    </w:p>
    <w:p w14:paraId="002C5596" w14:textId="77777777" w:rsidR="00712478" w:rsidRPr="00537128" w:rsidRDefault="00712478" w:rsidP="00712478">
      <w:pPr>
        <w:spacing w:after="0"/>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Credit risk quality according to type of financial assets (continued)</w:t>
      </w:r>
    </w:p>
    <w:p w14:paraId="3FDC0A53" w14:textId="77777777" w:rsidR="00712478" w:rsidRPr="00537128" w:rsidRDefault="00712478" w:rsidP="00712478">
      <w:pPr>
        <w:spacing w:after="0"/>
        <w:rPr>
          <w:rFonts w:ascii="Calibri" w:eastAsia="Times New Roman" w:hAnsi="Calibri" w:cs="Arial"/>
          <w:b/>
          <w:color w:val="000000" w:themeColor="text1"/>
          <w:sz w:val="12"/>
          <w:szCs w:val="12"/>
          <w:lang w:val="en-US"/>
        </w:rPr>
      </w:pPr>
    </w:p>
    <w:p w14:paraId="7784D9C8" w14:textId="61036780" w:rsidR="00712478" w:rsidRPr="00537128" w:rsidRDefault="00712478" w:rsidP="00712478">
      <w:pPr>
        <w:spacing w:after="0" w:line="240" w:lineRule="auto"/>
        <w:jc w:val="both"/>
        <w:rPr>
          <w:rFonts w:ascii="Calibri" w:eastAsia="Calibri" w:hAnsi="Calibri" w:cs="Arial"/>
          <w:color w:val="000000" w:themeColor="text1"/>
          <w:sz w:val="19"/>
          <w:szCs w:val="19"/>
          <w:lang w:val="en-US"/>
        </w:rPr>
      </w:pPr>
      <w:r w:rsidRPr="00537128">
        <w:rPr>
          <w:rFonts w:ascii="Calibri" w:eastAsia="Calibri" w:hAnsi="Calibri" w:cs="Arial"/>
          <w:color w:val="000000" w:themeColor="text1"/>
          <w:sz w:val="19"/>
          <w:szCs w:val="19"/>
          <w:lang w:val="en-US"/>
        </w:rPr>
        <w:t>Credit risk analysis, net exposure, before and after the effect of mitigation through collateral received, according to the type of financial assets on positions of assets and guarantees and commitments by risk category, is as follows:</w:t>
      </w:r>
    </w:p>
    <w:p w14:paraId="5AA68A57" w14:textId="77777777" w:rsidR="004A287E" w:rsidRPr="00A314F4" w:rsidRDefault="004A287E" w:rsidP="00712478">
      <w:pPr>
        <w:spacing w:after="0" w:line="240" w:lineRule="auto"/>
        <w:jc w:val="both"/>
        <w:rPr>
          <w:rFonts w:ascii="Calibri" w:eastAsia="Calibri" w:hAnsi="Calibri" w:cs="Arial"/>
          <w:color w:val="000000" w:themeColor="text1"/>
          <w:sz w:val="10"/>
          <w:szCs w:val="10"/>
          <w:lang w:val="en-US"/>
        </w:rPr>
      </w:pPr>
    </w:p>
    <w:tbl>
      <w:tblPr>
        <w:tblW w:w="5223" w:type="pct"/>
        <w:jc w:val="center"/>
        <w:tblLayout w:type="fixed"/>
        <w:tblLook w:val="0000" w:firstRow="0" w:lastRow="0" w:firstColumn="0" w:lastColumn="0" w:noHBand="0" w:noVBand="0"/>
      </w:tblPr>
      <w:tblGrid>
        <w:gridCol w:w="2566"/>
        <w:gridCol w:w="1004"/>
        <w:gridCol w:w="1007"/>
        <w:gridCol w:w="1007"/>
        <w:gridCol w:w="1003"/>
        <w:gridCol w:w="1006"/>
        <w:gridCol w:w="1006"/>
        <w:gridCol w:w="1003"/>
        <w:gridCol w:w="1006"/>
        <w:gridCol w:w="1006"/>
        <w:gridCol w:w="1003"/>
        <w:gridCol w:w="1006"/>
        <w:gridCol w:w="1003"/>
      </w:tblGrid>
      <w:tr w:rsidR="004A287E" w:rsidRPr="00537128" w14:paraId="3277F1F9" w14:textId="77777777" w:rsidTr="004A287E">
        <w:trPr>
          <w:trHeight w:val="1454"/>
          <w:jc w:val="center"/>
        </w:trPr>
        <w:tc>
          <w:tcPr>
            <w:tcW w:w="877" w:type="pct"/>
          </w:tcPr>
          <w:p w14:paraId="260893A2" w14:textId="77777777" w:rsidR="004A287E" w:rsidRPr="00537128" w:rsidRDefault="004A287E" w:rsidP="004A287E">
            <w:pPr>
              <w:spacing w:after="0" w:line="240" w:lineRule="auto"/>
              <w:rPr>
                <w:rFonts w:ascii="Calibri" w:eastAsia="Calibri" w:hAnsi="Calibri" w:cs="Arial"/>
                <w:b/>
                <w:bCs/>
                <w:sz w:val="15"/>
                <w:szCs w:val="15"/>
                <w:lang w:val="en-US"/>
              </w:rPr>
            </w:pPr>
            <w:bookmarkStart w:id="809" w:name="_Hlk29376806"/>
            <w:bookmarkEnd w:id="808"/>
            <w:r w:rsidRPr="00537128">
              <w:rPr>
                <w:rFonts w:ascii="Calibri" w:eastAsia="Calibri" w:hAnsi="Calibri" w:cs="Arial"/>
                <w:b/>
                <w:bCs/>
                <w:sz w:val="15"/>
                <w:szCs w:val="15"/>
                <w:lang w:val="en-US"/>
              </w:rPr>
              <w:br w:type="page"/>
              <w:t>Bank</w:t>
            </w:r>
          </w:p>
          <w:p w14:paraId="32147D94" w14:textId="77777777" w:rsidR="004A287E" w:rsidRPr="00537128" w:rsidRDefault="004A287E" w:rsidP="004A287E">
            <w:pPr>
              <w:spacing w:after="0" w:line="240" w:lineRule="auto"/>
              <w:rPr>
                <w:rFonts w:ascii="Calibri" w:eastAsia="Calibri" w:hAnsi="Calibri" w:cs="Arial"/>
                <w:b/>
                <w:bCs/>
                <w:sz w:val="15"/>
                <w:szCs w:val="15"/>
                <w:lang w:val="en-US"/>
              </w:rPr>
            </w:pPr>
          </w:p>
          <w:p w14:paraId="5722546E" w14:textId="36FD9F77" w:rsidR="004A287E" w:rsidRPr="00537128" w:rsidRDefault="004A287E" w:rsidP="004A287E">
            <w:pPr>
              <w:spacing w:after="0" w:line="240" w:lineRule="auto"/>
              <w:rPr>
                <w:rFonts w:ascii="Calibri" w:eastAsia="Calibri" w:hAnsi="Calibri" w:cs="Arial"/>
                <w:sz w:val="15"/>
                <w:szCs w:val="15"/>
                <w:lang w:val="en-US"/>
              </w:rPr>
            </w:pPr>
            <w:r w:rsidRPr="00537128">
              <w:rPr>
                <w:rFonts w:ascii="Calibri" w:eastAsia="Calibri" w:hAnsi="Calibri" w:cs="Arial"/>
                <w:b/>
                <w:bCs/>
                <w:sz w:val="15"/>
                <w:szCs w:val="15"/>
                <w:lang w:val="en-US"/>
              </w:rPr>
              <w:t>31 March 202</w:t>
            </w:r>
            <w:r w:rsidR="000F2DD3">
              <w:rPr>
                <w:rFonts w:ascii="Calibri" w:eastAsia="Calibri" w:hAnsi="Calibri" w:cs="Arial"/>
                <w:b/>
                <w:bCs/>
                <w:sz w:val="15"/>
                <w:szCs w:val="15"/>
                <w:lang w:val="en-US"/>
              </w:rPr>
              <w:t>2</w:t>
            </w:r>
          </w:p>
        </w:tc>
        <w:tc>
          <w:tcPr>
            <w:tcW w:w="343" w:type="pct"/>
            <w:vAlign w:val="bottom"/>
          </w:tcPr>
          <w:p w14:paraId="5B0DEC9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403ADEAF"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1</w:t>
            </w:r>
          </w:p>
        </w:tc>
        <w:tc>
          <w:tcPr>
            <w:tcW w:w="344" w:type="pct"/>
            <w:vAlign w:val="bottom"/>
          </w:tcPr>
          <w:p w14:paraId="2D7DBA64"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4B64477F"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2</w:t>
            </w:r>
          </w:p>
        </w:tc>
        <w:tc>
          <w:tcPr>
            <w:tcW w:w="344" w:type="pct"/>
            <w:vAlign w:val="bottom"/>
          </w:tcPr>
          <w:p w14:paraId="6117C3AD"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67BABD4E"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3</w:t>
            </w:r>
          </w:p>
        </w:tc>
        <w:tc>
          <w:tcPr>
            <w:tcW w:w="343" w:type="pct"/>
            <w:vAlign w:val="bottom"/>
          </w:tcPr>
          <w:p w14:paraId="01FD440A"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6C27D9E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of risk POCI</w:t>
            </w:r>
          </w:p>
        </w:tc>
        <w:tc>
          <w:tcPr>
            <w:tcW w:w="344" w:type="pct"/>
            <w:vAlign w:val="bottom"/>
          </w:tcPr>
          <w:p w14:paraId="4FE0059B" w14:textId="77777777" w:rsidR="004A287E" w:rsidRPr="00537128" w:rsidRDefault="004A287E" w:rsidP="004A287E">
            <w:pPr>
              <w:spacing w:after="0" w:line="240" w:lineRule="auto"/>
              <w:jc w:val="right"/>
              <w:rPr>
                <w:rFonts w:ascii="Calibri" w:eastAsia="Calibri" w:hAnsi="Calibri" w:cs="Times New Roman"/>
                <w:sz w:val="15"/>
                <w:szCs w:val="15"/>
                <w:lang w:val="en-US"/>
              </w:rPr>
            </w:pPr>
            <w:r w:rsidRPr="00537128">
              <w:rPr>
                <w:rFonts w:ascii="Calibri" w:eastAsia="Calibri" w:hAnsi="Calibri" w:cs="Arial"/>
                <w:b/>
                <w:sz w:val="15"/>
                <w:szCs w:val="15"/>
                <w:lang w:val="en-US"/>
              </w:rPr>
              <w:t>Not subject to IFRS 9</w:t>
            </w:r>
          </w:p>
        </w:tc>
        <w:tc>
          <w:tcPr>
            <w:tcW w:w="344" w:type="pct"/>
            <w:vAlign w:val="bottom"/>
          </w:tcPr>
          <w:p w14:paraId="6043F82E"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 exposure of total portfolio</w:t>
            </w:r>
          </w:p>
        </w:tc>
        <w:tc>
          <w:tcPr>
            <w:tcW w:w="343" w:type="pct"/>
            <w:vAlign w:val="bottom"/>
          </w:tcPr>
          <w:p w14:paraId="2A94D3A1"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Net exposure of portfolio after the effect of mitigation through collateral received Stage 1</w:t>
            </w:r>
          </w:p>
        </w:tc>
        <w:tc>
          <w:tcPr>
            <w:tcW w:w="344" w:type="pct"/>
            <w:vAlign w:val="bottom"/>
          </w:tcPr>
          <w:p w14:paraId="2A8795F1"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Net exposure of portfolio after the effect of mitigation through collateral received Stage 2</w:t>
            </w:r>
          </w:p>
        </w:tc>
        <w:tc>
          <w:tcPr>
            <w:tcW w:w="344" w:type="pct"/>
            <w:vAlign w:val="bottom"/>
          </w:tcPr>
          <w:p w14:paraId="2E8FF8D9"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Net exposure of portfolio after the effect of mitigation through collateral received Stage 3</w:t>
            </w:r>
          </w:p>
        </w:tc>
        <w:tc>
          <w:tcPr>
            <w:tcW w:w="343" w:type="pct"/>
            <w:vAlign w:val="bottom"/>
          </w:tcPr>
          <w:p w14:paraId="644A5C72"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 xml:space="preserve">Net </w:t>
            </w:r>
            <w:proofErr w:type="gramStart"/>
            <w:r w:rsidRPr="00537128">
              <w:rPr>
                <w:rFonts w:ascii="Calibri" w:eastAsia="Calibri" w:hAnsi="Calibri" w:cs="Arial"/>
                <w:b/>
                <w:sz w:val="15"/>
                <w:szCs w:val="15"/>
                <w:lang w:val="en-US"/>
              </w:rPr>
              <w:t>exposure  of</w:t>
            </w:r>
            <w:proofErr w:type="gramEnd"/>
            <w:r w:rsidRPr="00537128">
              <w:rPr>
                <w:rFonts w:ascii="Calibri" w:eastAsia="Calibri" w:hAnsi="Calibri" w:cs="Arial"/>
                <w:b/>
                <w:sz w:val="15"/>
                <w:szCs w:val="15"/>
                <w:lang w:val="en-US"/>
              </w:rPr>
              <w:t xml:space="preserve"> portfolio after the effect of mitigation through collateral received POCI</w:t>
            </w:r>
          </w:p>
        </w:tc>
        <w:tc>
          <w:tcPr>
            <w:tcW w:w="344" w:type="pct"/>
            <w:vAlign w:val="bottom"/>
          </w:tcPr>
          <w:p w14:paraId="13C9636C"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Not subject to IFRS 9 after the effect of mitigation through</w:t>
            </w:r>
          </w:p>
          <w:p w14:paraId="2FF7F031"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 xml:space="preserve"> collateral received</w:t>
            </w:r>
          </w:p>
        </w:tc>
        <w:tc>
          <w:tcPr>
            <w:tcW w:w="343" w:type="pct"/>
            <w:vAlign w:val="bottom"/>
          </w:tcPr>
          <w:p w14:paraId="55C645FE"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 xml:space="preserve">Net exposure of total portfolio after the effect of mitigation through collateral received </w:t>
            </w:r>
          </w:p>
        </w:tc>
      </w:tr>
      <w:tr w:rsidR="004A287E" w:rsidRPr="00537128" w14:paraId="49E2737F" w14:textId="77777777" w:rsidTr="004A287E">
        <w:trPr>
          <w:trHeight w:val="126"/>
          <w:jc w:val="center"/>
        </w:trPr>
        <w:tc>
          <w:tcPr>
            <w:tcW w:w="877" w:type="pct"/>
          </w:tcPr>
          <w:p w14:paraId="3E8AA8FC" w14:textId="77777777" w:rsidR="004A287E" w:rsidRPr="00537128" w:rsidRDefault="004A287E" w:rsidP="004A287E">
            <w:pPr>
              <w:spacing w:after="0" w:line="240" w:lineRule="auto"/>
              <w:rPr>
                <w:rFonts w:ascii="Calibri" w:eastAsia="Calibri" w:hAnsi="Calibri" w:cs="Arial"/>
                <w:b/>
                <w:bCs/>
                <w:sz w:val="15"/>
                <w:szCs w:val="15"/>
                <w:lang w:val="en-US"/>
              </w:rPr>
            </w:pPr>
          </w:p>
        </w:tc>
        <w:tc>
          <w:tcPr>
            <w:tcW w:w="343" w:type="pct"/>
          </w:tcPr>
          <w:p w14:paraId="6881A8F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513C926E"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1BCA595C"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3CD2D844"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7FBF8B3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724D512A"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1B2FA67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0E1277A8"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758519A1"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0E353F23"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2BC3C8C1"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10F95FF2"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r>
      <w:tr w:rsidR="004A287E" w:rsidRPr="00537128" w14:paraId="51009082" w14:textId="77777777" w:rsidTr="004A287E">
        <w:trPr>
          <w:trHeight w:val="92"/>
          <w:jc w:val="center"/>
        </w:trPr>
        <w:tc>
          <w:tcPr>
            <w:tcW w:w="877" w:type="pct"/>
          </w:tcPr>
          <w:p w14:paraId="0F75ABE7" w14:textId="77777777" w:rsidR="004A287E" w:rsidRPr="00537128" w:rsidRDefault="004A287E" w:rsidP="004A287E">
            <w:pPr>
              <w:tabs>
                <w:tab w:val="right" w:pos="1202"/>
              </w:tabs>
              <w:spacing w:after="0" w:line="301"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Assets</w:t>
            </w:r>
          </w:p>
        </w:tc>
        <w:tc>
          <w:tcPr>
            <w:tcW w:w="343" w:type="pct"/>
            <w:vAlign w:val="bottom"/>
          </w:tcPr>
          <w:p w14:paraId="30506B73"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1836ECE7"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0E2B1065"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2520A83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70E12DCC"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09A6EEB0"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641F87EA"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28ADFBC5"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35A06D4A"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668D769D"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5C0C50DB"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5F86CA02"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r>
      <w:tr w:rsidR="00353692" w:rsidRPr="00537128" w14:paraId="08E6580E" w14:textId="77777777" w:rsidTr="004A287E">
        <w:trPr>
          <w:trHeight w:val="149"/>
          <w:jc w:val="center"/>
        </w:trPr>
        <w:tc>
          <w:tcPr>
            <w:tcW w:w="877" w:type="pct"/>
            <w:vAlign w:val="bottom"/>
          </w:tcPr>
          <w:p w14:paraId="1DB4A6A4" w14:textId="77777777" w:rsidR="00353692" w:rsidRPr="00537128" w:rsidRDefault="00353692" w:rsidP="00353692">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Cash on hand and current accounts with banks</w:t>
            </w:r>
          </w:p>
        </w:tc>
        <w:tc>
          <w:tcPr>
            <w:tcW w:w="343" w:type="pct"/>
            <w:tcBorders>
              <w:top w:val="nil"/>
              <w:left w:val="nil"/>
              <w:bottom w:val="nil"/>
              <w:right w:val="nil"/>
            </w:tcBorders>
            <w:shd w:val="clear" w:color="auto" w:fill="auto"/>
            <w:vAlign w:val="bottom"/>
          </w:tcPr>
          <w:p w14:paraId="3669AC22" w14:textId="7888FB43"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1</w:t>
            </w:r>
            <w:r>
              <w:rPr>
                <w:sz w:val="15"/>
                <w:szCs w:val="15"/>
              </w:rPr>
              <w:t>,</w:t>
            </w:r>
            <w:r w:rsidRPr="007A49AD">
              <w:rPr>
                <w:sz w:val="15"/>
                <w:szCs w:val="15"/>
              </w:rPr>
              <w:t>571</w:t>
            </w:r>
            <w:r>
              <w:rPr>
                <w:sz w:val="15"/>
                <w:szCs w:val="15"/>
              </w:rPr>
              <w:t>,</w:t>
            </w:r>
            <w:r w:rsidRPr="007A49AD">
              <w:rPr>
                <w:sz w:val="15"/>
                <w:szCs w:val="15"/>
              </w:rPr>
              <w:t xml:space="preserve">205 </w:t>
            </w:r>
          </w:p>
        </w:tc>
        <w:tc>
          <w:tcPr>
            <w:tcW w:w="344" w:type="pct"/>
            <w:tcBorders>
              <w:top w:val="nil"/>
              <w:left w:val="nil"/>
              <w:bottom w:val="nil"/>
              <w:right w:val="nil"/>
            </w:tcBorders>
            <w:shd w:val="clear" w:color="auto" w:fill="auto"/>
            <w:vAlign w:val="bottom"/>
          </w:tcPr>
          <w:p w14:paraId="0EFD63EE" w14:textId="20E0304D"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4" w:type="pct"/>
            <w:tcBorders>
              <w:top w:val="nil"/>
              <w:left w:val="nil"/>
              <w:bottom w:val="nil"/>
              <w:right w:val="nil"/>
            </w:tcBorders>
            <w:shd w:val="clear" w:color="auto" w:fill="auto"/>
            <w:vAlign w:val="bottom"/>
          </w:tcPr>
          <w:p w14:paraId="29EF5131" w14:textId="53A9CE1E"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3" w:type="pct"/>
            <w:tcBorders>
              <w:top w:val="nil"/>
              <w:left w:val="nil"/>
              <w:bottom w:val="nil"/>
              <w:right w:val="nil"/>
            </w:tcBorders>
            <w:shd w:val="clear" w:color="auto" w:fill="auto"/>
            <w:vAlign w:val="bottom"/>
          </w:tcPr>
          <w:p w14:paraId="5D0A9353" w14:textId="34552E10"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4" w:type="pct"/>
            <w:tcBorders>
              <w:top w:val="nil"/>
              <w:left w:val="nil"/>
              <w:bottom w:val="nil"/>
              <w:right w:val="nil"/>
            </w:tcBorders>
            <w:shd w:val="clear" w:color="auto" w:fill="auto"/>
            <w:vAlign w:val="bottom"/>
          </w:tcPr>
          <w:p w14:paraId="79C2BEC6" w14:textId="42D4FB7F"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4" w:type="pct"/>
            <w:tcBorders>
              <w:top w:val="nil"/>
              <w:left w:val="nil"/>
              <w:bottom w:val="nil"/>
              <w:right w:val="nil"/>
            </w:tcBorders>
            <w:shd w:val="clear" w:color="auto" w:fill="auto"/>
            <w:vAlign w:val="bottom"/>
          </w:tcPr>
          <w:p w14:paraId="3F1DBA26" w14:textId="3A01A7F1"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1</w:t>
            </w:r>
            <w:r>
              <w:rPr>
                <w:sz w:val="15"/>
                <w:szCs w:val="15"/>
              </w:rPr>
              <w:t>,</w:t>
            </w:r>
            <w:r w:rsidRPr="007A49AD">
              <w:rPr>
                <w:sz w:val="15"/>
                <w:szCs w:val="15"/>
              </w:rPr>
              <w:t>571</w:t>
            </w:r>
            <w:r>
              <w:rPr>
                <w:sz w:val="15"/>
                <w:szCs w:val="15"/>
              </w:rPr>
              <w:t>,</w:t>
            </w:r>
            <w:r w:rsidRPr="007A49AD">
              <w:rPr>
                <w:sz w:val="15"/>
                <w:szCs w:val="15"/>
              </w:rPr>
              <w:t xml:space="preserve">205 </w:t>
            </w:r>
          </w:p>
        </w:tc>
        <w:tc>
          <w:tcPr>
            <w:tcW w:w="343" w:type="pct"/>
            <w:tcBorders>
              <w:top w:val="nil"/>
              <w:left w:val="nil"/>
              <w:bottom w:val="nil"/>
              <w:right w:val="nil"/>
            </w:tcBorders>
            <w:vAlign w:val="bottom"/>
          </w:tcPr>
          <w:p w14:paraId="727B2655" w14:textId="2C72FB78"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4" w:type="pct"/>
            <w:tcBorders>
              <w:top w:val="nil"/>
              <w:left w:val="nil"/>
              <w:bottom w:val="nil"/>
              <w:right w:val="nil"/>
            </w:tcBorders>
            <w:vAlign w:val="bottom"/>
          </w:tcPr>
          <w:p w14:paraId="797A859C" w14:textId="5225EFC0"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4" w:type="pct"/>
            <w:tcBorders>
              <w:top w:val="nil"/>
              <w:left w:val="nil"/>
              <w:bottom w:val="nil"/>
              <w:right w:val="nil"/>
            </w:tcBorders>
            <w:vAlign w:val="bottom"/>
          </w:tcPr>
          <w:p w14:paraId="6C649FE4" w14:textId="146B8BB1"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3" w:type="pct"/>
            <w:tcBorders>
              <w:top w:val="nil"/>
              <w:left w:val="nil"/>
              <w:bottom w:val="nil"/>
              <w:right w:val="nil"/>
            </w:tcBorders>
            <w:vAlign w:val="bottom"/>
          </w:tcPr>
          <w:p w14:paraId="6B56CF28" w14:textId="7CDAD133"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4" w:type="pct"/>
            <w:tcBorders>
              <w:top w:val="nil"/>
              <w:left w:val="nil"/>
              <w:bottom w:val="nil"/>
              <w:right w:val="nil"/>
            </w:tcBorders>
            <w:vAlign w:val="bottom"/>
          </w:tcPr>
          <w:p w14:paraId="7C562FEF" w14:textId="719891CD"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3" w:type="pct"/>
            <w:tcBorders>
              <w:top w:val="nil"/>
              <w:left w:val="nil"/>
              <w:bottom w:val="nil"/>
              <w:right w:val="nil"/>
            </w:tcBorders>
            <w:vAlign w:val="bottom"/>
          </w:tcPr>
          <w:p w14:paraId="1179CE27" w14:textId="051E647B"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 </w:t>
            </w:r>
          </w:p>
        </w:tc>
      </w:tr>
      <w:tr w:rsidR="00353692" w:rsidRPr="00537128" w14:paraId="03786D50" w14:textId="77777777" w:rsidTr="004A287E">
        <w:trPr>
          <w:trHeight w:val="149"/>
          <w:jc w:val="center"/>
        </w:trPr>
        <w:tc>
          <w:tcPr>
            <w:tcW w:w="877" w:type="pct"/>
            <w:vAlign w:val="bottom"/>
          </w:tcPr>
          <w:p w14:paraId="07CCD92C" w14:textId="77777777" w:rsidR="00353692" w:rsidRPr="00537128" w:rsidRDefault="00353692" w:rsidP="00353692">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Deposits with other banks</w:t>
            </w:r>
          </w:p>
        </w:tc>
        <w:tc>
          <w:tcPr>
            <w:tcW w:w="343" w:type="pct"/>
            <w:tcBorders>
              <w:top w:val="nil"/>
              <w:left w:val="nil"/>
              <w:bottom w:val="nil"/>
              <w:right w:val="nil"/>
            </w:tcBorders>
            <w:shd w:val="clear" w:color="auto" w:fill="auto"/>
            <w:vAlign w:val="bottom"/>
          </w:tcPr>
          <w:p w14:paraId="58B4166B" w14:textId="1D4C0652"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15</w:t>
            </w:r>
            <w:r>
              <w:rPr>
                <w:sz w:val="15"/>
                <w:szCs w:val="15"/>
              </w:rPr>
              <w:t>,</w:t>
            </w:r>
            <w:r w:rsidRPr="007A49AD">
              <w:rPr>
                <w:sz w:val="15"/>
                <w:szCs w:val="15"/>
              </w:rPr>
              <w:t xml:space="preserve">215 </w:t>
            </w:r>
          </w:p>
        </w:tc>
        <w:tc>
          <w:tcPr>
            <w:tcW w:w="344" w:type="pct"/>
            <w:tcBorders>
              <w:top w:val="nil"/>
              <w:left w:val="nil"/>
              <w:bottom w:val="nil"/>
              <w:right w:val="nil"/>
            </w:tcBorders>
            <w:shd w:val="clear" w:color="auto" w:fill="auto"/>
            <w:vAlign w:val="bottom"/>
          </w:tcPr>
          <w:p w14:paraId="0FCCF1DF" w14:textId="24725C54"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4" w:type="pct"/>
            <w:tcBorders>
              <w:top w:val="nil"/>
              <w:left w:val="nil"/>
              <w:bottom w:val="nil"/>
              <w:right w:val="nil"/>
            </w:tcBorders>
            <w:shd w:val="clear" w:color="auto" w:fill="auto"/>
            <w:vAlign w:val="bottom"/>
          </w:tcPr>
          <w:p w14:paraId="4467BA2C" w14:textId="524CC6C6"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3" w:type="pct"/>
            <w:tcBorders>
              <w:top w:val="nil"/>
              <w:left w:val="nil"/>
              <w:bottom w:val="nil"/>
              <w:right w:val="nil"/>
            </w:tcBorders>
            <w:shd w:val="clear" w:color="auto" w:fill="auto"/>
            <w:vAlign w:val="bottom"/>
          </w:tcPr>
          <w:p w14:paraId="5A5E12BC" w14:textId="667285F9"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4" w:type="pct"/>
            <w:tcBorders>
              <w:top w:val="nil"/>
              <w:left w:val="nil"/>
              <w:bottom w:val="nil"/>
              <w:right w:val="nil"/>
            </w:tcBorders>
            <w:shd w:val="clear" w:color="auto" w:fill="auto"/>
            <w:vAlign w:val="bottom"/>
          </w:tcPr>
          <w:p w14:paraId="66018D96" w14:textId="528A9ED0"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4" w:type="pct"/>
            <w:tcBorders>
              <w:top w:val="nil"/>
              <w:left w:val="nil"/>
              <w:bottom w:val="nil"/>
              <w:right w:val="nil"/>
            </w:tcBorders>
            <w:shd w:val="clear" w:color="auto" w:fill="auto"/>
            <w:vAlign w:val="bottom"/>
          </w:tcPr>
          <w:p w14:paraId="64A1A4C8" w14:textId="47417A0F"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15</w:t>
            </w:r>
            <w:r>
              <w:rPr>
                <w:sz w:val="15"/>
                <w:szCs w:val="15"/>
              </w:rPr>
              <w:t>,</w:t>
            </w:r>
            <w:r w:rsidRPr="007A49AD">
              <w:rPr>
                <w:sz w:val="15"/>
                <w:szCs w:val="15"/>
              </w:rPr>
              <w:t xml:space="preserve">215 </w:t>
            </w:r>
          </w:p>
        </w:tc>
        <w:tc>
          <w:tcPr>
            <w:tcW w:w="343" w:type="pct"/>
            <w:tcBorders>
              <w:top w:val="nil"/>
              <w:left w:val="nil"/>
              <w:bottom w:val="nil"/>
              <w:right w:val="nil"/>
            </w:tcBorders>
            <w:vAlign w:val="bottom"/>
          </w:tcPr>
          <w:p w14:paraId="283B7F13" w14:textId="09AA87B9"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4" w:type="pct"/>
            <w:tcBorders>
              <w:top w:val="nil"/>
              <w:left w:val="nil"/>
              <w:bottom w:val="nil"/>
              <w:right w:val="nil"/>
            </w:tcBorders>
            <w:vAlign w:val="bottom"/>
          </w:tcPr>
          <w:p w14:paraId="0D86BD65" w14:textId="6E258431"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4" w:type="pct"/>
            <w:tcBorders>
              <w:top w:val="nil"/>
              <w:left w:val="nil"/>
              <w:bottom w:val="nil"/>
              <w:right w:val="nil"/>
            </w:tcBorders>
            <w:vAlign w:val="bottom"/>
          </w:tcPr>
          <w:p w14:paraId="051C75BB" w14:textId="304D50A6"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3" w:type="pct"/>
            <w:tcBorders>
              <w:top w:val="nil"/>
              <w:left w:val="nil"/>
              <w:bottom w:val="nil"/>
              <w:right w:val="nil"/>
            </w:tcBorders>
            <w:vAlign w:val="bottom"/>
          </w:tcPr>
          <w:p w14:paraId="2FDD3697" w14:textId="211BCC18"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4" w:type="pct"/>
            <w:tcBorders>
              <w:top w:val="nil"/>
              <w:left w:val="nil"/>
              <w:bottom w:val="nil"/>
              <w:right w:val="nil"/>
            </w:tcBorders>
            <w:vAlign w:val="bottom"/>
          </w:tcPr>
          <w:p w14:paraId="54840669" w14:textId="42717BC0"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3" w:type="pct"/>
            <w:tcBorders>
              <w:top w:val="nil"/>
              <w:left w:val="nil"/>
              <w:bottom w:val="nil"/>
              <w:right w:val="nil"/>
            </w:tcBorders>
            <w:vAlign w:val="bottom"/>
          </w:tcPr>
          <w:p w14:paraId="67F6D5E4" w14:textId="16A55616"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 </w:t>
            </w:r>
          </w:p>
        </w:tc>
      </w:tr>
      <w:tr w:rsidR="00353692" w:rsidRPr="00537128" w14:paraId="6F4F966E" w14:textId="77777777" w:rsidTr="004A287E">
        <w:trPr>
          <w:trHeight w:val="114"/>
          <w:jc w:val="center"/>
        </w:trPr>
        <w:tc>
          <w:tcPr>
            <w:tcW w:w="877" w:type="pct"/>
            <w:vAlign w:val="bottom"/>
          </w:tcPr>
          <w:p w14:paraId="3E06559A" w14:textId="77777777" w:rsidR="00353692" w:rsidRPr="00537128" w:rsidRDefault="00353692" w:rsidP="00353692">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Loans to financial institutions</w:t>
            </w:r>
          </w:p>
        </w:tc>
        <w:tc>
          <w:tcPr>
            <w:tcW w:w="343" w:type="pct"/>
            <w:tcBorders>
              <w:top w:val="nil"/>
              <w:left w:val="nil"/>
              <w:bottom w:val="nil"/>
              <w:right w:val="nil"/>
            </w:tcBorders>
            <w:shd w:val="clear" w:color="auto" w:fill="auto"/>
            <w:vAlign w:val="bottom"/>
          </w:tcPr>
          <w:p w14:paraId="140ECFFC" w14:textId="6E706697"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6</w:t>
            </w:r>
            <w:r>
              <w:rPr>
                <w:sz w:val="15"/>
                <w:szCs w:val="15"/>
              </w:rPr>
              <w:t>,</w:t>
            </w:r>
            <w:r w:rsidRPr="007A49AD">
              <w:rPr>
                <w:sz w:val="15"/>
                <w:szCs w:val="15"/>
              </w:rPr>
              <w:t>757</w:t>
            </w:r>
            <w:r>
              <w:rPr>
                <w:sz w:val="15"/>
                <w:szCs w:val="15"/>
              </w:rPr>
              <w:t>,</w:t>
            </w:r>
            <w:r w:rsidRPr="007A49AD">
              <w:rPr>
                <w:sz w:val="15"/>
                <w:szCs w:val="15"/>
              </w:rPr>
              <w:t xml:space="preserve">593 </w:t>
            </w:r>
          </w:p>
        </w:tc>
        <w:tc>
          <w:tcPr>
            <w:tcW w:w="344" w:type="pct"/>
            <w:tcBorders>
              <w:top w:val="nil"/>
              <w:left w:val="nil"/>
              <w:bottom w:val="nil"/>
              <w:right w:val="nil"/>
            </w:tcBorders>
            <w:shd w:val="clear" w:color="auto" w:fill="auto"/>
            <w:vAlign w:val="bottom"/>
          </w:tcPr>
          <w:p w14:paraId="174DC4A0" w14:textId="07E878A7"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180</w:t>
            </w:r>
            <w:r>
              <w:rPr>
                <w:sz w:val="15"/>
                <w:szCs w:val="15"/>
              </w:rPr>
              <w:t>,</w:t>
            </w:r>
            <w:r w:rsidRPr="007A49AD">
              <w:rPr>
                <w:sz w:val="15"/>
                <w:szCs w:val="15"/>
              </w:rPr>
              <w:t xml:space="preserve">815 </w:t>
            </w:r>
          </w:p>
        </w:tc>
        <w:tc>
          <w:tcPr>
            <w:tcW w:w="344" w:type="pct"/>
            <w:tcBorders>
              <w:top w:val="nil"/>
              <w:left w:val="nil"/>
              <w:bottom w:val="nil"/>
              <w:right w:val="nil"/>
            </w:tcBorders>
            <w:shd w:val="clear" w:color="auto" w:fill="auto"/>
            <w:vAlign w:val="bottom"/>
          </w:tcPr>
          <w:p w14:paraId="1D7CEBF1" w14:textId="6EAF508D"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3</w:t>
            </w:r>
            <w:r>
              <w:rPr>
                <w:sz w:val="15"/>
                <w:szCs w:val="15"/>
              </w:rPr>
              <w:t>,</w:t>
            </w:r>
            <w:r w:rsidRPr="007A49AD">
              <w:rPr>
                <w:sz w:val="15"/>
                <w:szCs w:val="15"/>
              </w:rPr>
              <w:t xml:space="preserve">552 </w:t>
            </w:r>
          </w:p>
        </w:tc>
        <w:tc>
          <w:tcPr>
            <w:tcW w:w="343" w:type="pct"/>
            <w:tcBorders>
              <w:top w:val="nil"/>
              <w:left w:val="nil"/>
              <w:bottom w:val="nil"/>
              <w:right w:val="nil"/>
            </w:tcBorders>
            <w:shd w:val="clear" w:color="auto" w:fill="auto"/>
            <w:vAlign w:val="bottom"/>
          </w:tcPr>
          <w:p w14:paraId="5C7450C5" w14:textId="7D1C59DF"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4" w:type="pct"/>
            <w:tcBorders>
              <w:top w:val="nil"/>
              <w:left w:val="nil"/>
              <w:bottom w:val="nil"/>
              <w:right w:val="nil"/>
            </w:tcBorders>
            <w:shd w:val="clear" w:color="auto" w:fill="auto"/>
            <w:vAlign w:val="bottom"/>
          </w:tcPr>
          <w:p w14:paraId="754B75B2" w14:textId="43B0BD71"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4" w:type="pct"/>
            <w:tcBorders>
              <w:top w:val="nil"/>
              <w:left w:val="nil"/>
              <w:bottom w:val="nil"/>
              <w:right w:val="nil"/>
            </w:tcBorders>
            <w:shd w:val="clear" w:color="auto" w:fill="auto"/>
            <w:vAlign w:val="bottom"/>
          </w:tcPr>
          <w:p w14:paraId="6AEF2F96" w14:textId="69BFD32E"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6</w:t>
            </w:r>
            <w:r>
              <w:rPr>
                <w:sz w:val="15"/>
                <w:szCs w:val="15"/>
              </w:rPr>
              <w:t>,</w:t>
            </w:r>
            <w:r w:rsidRPr="007A49AD">
              <w:rPr>
                <w:sz w:val="15"/>
                <w:szCs w:val="15"/>
              </w:rPr>
              <w:t>941</w:t>
            </w:r>
            <w:r>
              <w:rPr>
                <w:sz w:val="15"/>
                <w:szCs w:val="15"/>
              </w:rPr>
              <w:t>,</w:t>
            </w:r>
            <w:r w:rsidRPr="007A49AD">
              <w:rPr>
                <w:sz w:val="15"/>
                <w:szCs w:val="15"/>
              </w:rPr>
              <w:t xml:space="preserve">960 </w:t>
            </w:r>
          </w:p>
        </w:tc>
        <w:tc>
          <w:tcPr>
            <w:tcW w:w="343" w:type="pct"/>
            <w:tcBorders>
              <w:top w:val="nil"/>
              <w:left w:val="nil"/>
              <w:bottom w:val="nil"/>
              <w:right w:val="nil"/>
            </w:tcBorders>
            <w:vAlign w:val="bottom"/>
          </w:tcPr>
          <w:p w14:paraId="75018C7E" w14:textId="056584D9"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4" w:type="pct"/>
            <w:tcBorders>
              <w:top w:val="nil"/>
              <w:left w:val="nil"/>
              <w:bottom w:val="nil"/>
              <w:right w:val="nil"/>
            </w:tcBorders>
            <w:vAlign w:val="bottom"/>
          </w:tcPr>
          <w:p w14:paraId="5777B97B" w14:textId="22A6311B"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4" w:type="pct"/>
            <w:tcBorders>
              <w:top w:val="nil"/>
              <w:left w:val="nil"/>
              <w:bottom w:val="nil"/>
              <w:right w:val="nil"/>
            </w:tcBorders>
            <w:vAlign w:val="bottom"/>
          </w:tcPr>
          <w:p w14:paraId="27137954" w14:textId="5CB69C18"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3" w:type="pct"/>
            <w:tcBorders>
              <w:top w:val="nil"/>
              <w:left w:val="nil"/>
              <w:bottom w:val="nil"/>
              <w:right w:val="nil"/>
            </w:tcBorders>
            <w:vAlign w:val="bottom"/>
          </w:tcPr>
          <w:p w14:paraId="31225698" w14:textId="648F22E7"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4" w:type="pct"/>
            <w:tcBorders>
              <w:top w:val="nil"/>
              <w:left w:val="nil"/>
              <w:bottom w:val="nil"/>
              <w:right w:val="nil"/>
            </w:tcBorders>
            <w:vAlign w:val="bottom"/>
          </w:tcPr>
          <w:p w14:paraId="0D60DF36" w14:textId="623ADE1E"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3" w:type="pct"/>
            <w:tcBorders>
              <w:top w:val="nil"/>
              <w:left w:val="nil"/>
              <w:bottom w:val="nil"/>
              <w:right w:val="nil"/>
            </w:tcBorders>
            <w:vAlign w:val="bottom"/>
          </w:tcPr>
          <w:p w14:paraId="585FD3DC" w14:textId="07681BD0"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 </w:t>
            </w:r>
          </w:p>
        </w:tc>
      </w:tr>
      <w:tr w:rsidR="00353692" w:rsidRPr="00537128" w14:paraId="6604DCFB" w14:textId="77777777" w:rsidTr="004A287E">
        <w:trPr>
          <w:trHeight w:val="149"/>
          <w:jc w:val="center"/>
        </w:trPr>
        <w:tc>
          <w:tcPr>
            <w:tcW w:w="877" w:type="pct"/>
            <w:vAlign w:val="bottom"/>
          </w:tcPr>
          <w:p w14:paraId="5B4AEF4C" w14:textId="77777777" w:rsidR="00353692" w:rsidRPr="00537128" w:rsidRDefault="00353692" w:rsidP="00353692">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Loans to other customers</w:t>
            </w:r>
          </w:p>
        </w:tc>
        <w:tc>
          <w:tcPr>
            <w:tcW w:w="343" w:type="pct"/>
            <w:tcBorders>
              <w:top w:val="nil"/>
              <w:left w:val="nil"/>
              <w:bottom w:val="nil"/>
              <w:right w:val="nil"/>
            </w:tcBorders>
            <w:shd w:val="clear" w:color="auto" w:fill="auto"/>
            <w:vAlign w:val="bottom"/>
          </w:tcPr>
          <w:p w14:paraId="64CB21D4" w14:textId="66719722"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12</w:t>
            </w:r>
            <w:r>
              <w:rPr>
                <w:sz w:val="15"/>
                <w:szCs w:val="15"/>
              </w:rPr>
              <w:t>,</w:t>
            </w:r>
            <w:r w:rsidRPr="007A49AD">
              <w:rPr>
                <w:sz w:val="15"/>
                <w:szCs w:val="15"/>
              </w:rPr>
              <w:t>898</w:t>
            </w:r>
            <w:r>
              <w:rPr>
                <w:sz w:val="15"/>
                <w:szCs w:val="15"/>
              </w:rPr>
              <w:t>,</w:t>
            </w:r>
            <w:r w:rsidRPr="007A49AD">
              <w:rPr>
                <w:sz w:val="15"/>
                <w:szCs w:val="15"/>
              </w:rPr>
              <w:t xml:space="preserve">940 </w:t>
            </w:r>
          </w:p>
        </w:tc>
        <w:tc>
          <w:tcPr>
            <w:tcW w:w="344" w:type="pct"/>
            <w:tcBorders>
              <w:top w:val="nil"/>
              <w:left w:val="nil"/>
              <w:bottom w:val="nil"/>
              <w:right w:val="nil"/>
            </w:tcBorders>
            <w:shd w:val="clear" w:color="auto" w:fill="auto"/>
            <w:vAlign w:val="bottom"/>
          </w:tcPr>
          <w:p w14:paraId="5FDDBF72" w14:textId="10B3B104"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886</w:t>
            </w:r>
            <w:r>
              <w:rPr>
                <w:sz w:val="15"/>
                <w:szCs w:val="15"/>
              </w:rPr>
              <w:t>,</w:t>
            </w:r>
            <w:r w:rsidRPr="007A49AD">
              <w:rPr>
                <w:sz w:val="15"/>
                <w:szCs w:val="15"/>
              </w:rPr>
              <w:t xml:space="preserve">042 </w:t>
            </w:r>
          </w:p>
        </w:tc>
        <w:tc>
          <w:tcPr>
            <w:tcW w:w="344" w:type="pct"/>
            <w:tcBorders>
              <w:top w:val="nil"/>
              <w:left w:val="nil"/>
              <w:bottom w:val="nil"/>
              <w:right w:val="nil"/>
            </w:tcBorders>
            <w:shd w:val="clear" w:color="auto" w:fill="auto"/>
            <w:vAlign w:val="bottom"/>
          </w:tcPr>
          <w:p w14:paraId="590654CD" w14:textId="40DBD0EE"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945</w:t>
            </w:r>
            <w:r>
              <w:rPr>
                <w:sz w:val="15"/>
                <w:szCs w:val="15"/>
              </w:rPr>
              <w:t>,</w:t>
            </w:r>
            <w:r w:rsidRPr="007A49AD">
              <w:rPr>
                <w:sz w:val="15"/>
                <w:szCs w:val="15"/>
              </w:rPr>
              <w:t xml:space="preserve">468 </w:t>
            </w:r>
          </w:p>
        </w:tc>
        <w:tc>
          <w:tcPr>
            <w:tcW w:w="343" w:type="pct"/>
            <w:tcBorders>
              <w:top w:val="nil"/>
              <w:left w:val="nil"/>
              <w:bottom w:val="nil"/>
              <w:right w:val="nil"/>
            </w:tcBorders>
            <w:shd w:val="clear" w:color="auto" w:fill="auto"/>
            <w:vAlign w:val="bottom"/>
          </w:tcPr>
          <w:p w14:paraId="62F014E3" w14:textId="15D82FBE"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995</w:t>
            </w:r>
            <w:r>
              <w:rPr>
                <w:sz w:val="15"/>
                <w:szCs w:val="15"/>
              </w:rPr>
              <w:t>,</w:t>
            </w:r>
            <w:r w:rsidRPr="007A49AD">
              <w:rPr>
                <w:sz w:val="15"/>
                <w:szCs w:val="15"/>
              </w:rPr>
              <w:t xml:space="preserve">983 </w:t>
            </w:r>
          </w:p>
        </w:tc>
        <w:tc>
          <w:tcPr>
            <w:tcW w:w="344" w:type="pct"/>
            <w:tcBorders>
              <w:top w:val="nil"/>
              <w:left w:val="nil"/>
              <w:bottom w:val="nil"/>
              <w:right w:val="nil"/>
            </w:tcBorders>
            <w:shd w:val="clear" w:color="auto" w:fill="auto"/>
            <w:vAlign w:val="bottom"/>
          </w:tcPr>
          <w:p w14:paraId="2F5E2F31" w14:textId="7428FDAC"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4" w:type="pct"/>
            <w:tcBorders>
              <w:top w:val="nil"/>
              <w:left w:val="nil"/>
              <w:bottom w:val="nil"/>
              <w:right w:val="nil"/>
            </w:tcBorders>
            <w:shd w:val="clear" w:color="auto" w:fill="auto"/>
            <w:vAlign w:val="bottom"/>
          </w:tcPr>
          <w:p w14:paraId="4B4545C3" w14:textId="6B5E71C8"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15</w:t>
            </w:r>
            <w:r>
              <w:rPr>
                <w:sz w:val="15"/>
                <w:szCs w:val="15"/>
              </w:rPr>
              <w:t>,</w:t>
            </w:r>
            <w:r w:rsidRPr="007A49AD">
              <w:rPr>
                <w:sz w:val="15"/>
                <w:szCs w:val="15"/>
              </w:rPr>
              <w:t>726</w:t>
            </w:r>
            <w:r>
              <w:rPr>
                <w:sz w:val="15"/>
                <w:szCs w:val="15"/>
              </w:rPr>
              <w:t>,</w:t>
            </w:r>
            <w:r w:rsidRPr="007A49AD">
              <w:rPr>
                <w:sz w:val="15"/>
                <w:szCs w:val="15"/>
              </w:rPr>
              <w:t xml:space="preserve">433 </w:t>
            </w:r>
          </w:p>
        </w:tc>
        <w:tc>
          <w:tcPr>
            <w:tcW w:w="343" w:type="pct"/>
            <w:tcBorders>
              <w:top w:val="nil"/>
              <w:left w:val="nil"/>
              <w:bottom w:val="nil"/>
              <w:right w:val="nil"/>
            </w:tcBorders>
            <w:vAlign w:val="bottom"/>
          </w:tcPr>
          <w:p w14:paraId="3B923750" w14:textId="4C9F34C0"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2</w:t>
            </w:r>
            <w:r>
              <w:rPr>
                <w:sz w:val="15"/>
                <w:szCs w:val="15"/>
              </w:rPr>
              <w:t>,</w:t>
            </w:r>
            <w:r w:rsidRPr="007A49AD">
              <w:rPr>
                <w:sz w:val="15"/>
                <w:szCs w:val="15"/>
              </w:rPr>
              <w:t>859</w:t>
            </w:r>
            <w:r>
              <w:rPr>
                <w:sz w:val="15"/>
                <w:szCs w:val="15"/>
              </w:rPr>
              <w:t>,</w:t>
            </w:r>
            <w:r w:rsidRPr="007A49AD">
              <w:rPr>
                <w:sz w:val="15"/>
                <w:szCs w:val="15"/>
              </w:rPr>
              <w:t xml:space="preserve">924 </w:t>
            </w:r>
          </w:p>
        </w:tc>
        <w:tc>
          <w:tcPr>
            <w:tcW w:w="344" w:type="pct"/>
            <w:tcBorders>
              <w:top w:val="nil"/>
              <w:left w:val="nil"/>
              <w:bottom w:val="nil"/>
              <w:right w:val="nil"/>
            </w:tcBorders>
            <w:vAlign w:val="bottom"/>
          </w:tcPr>
          <w:p w14:paraId="7360B9FF" w14:textId="23B07B81"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99</w:t>
            </w:r>
            <w:r>
              <w:rPr>
                <w:sz w:val="15"/>
                <w:szCs w:val="15"/>
              </w:rPr>
              <w:t>,</w:t>
            </w:r>
            <w:r w:rsidRPr="007A49AD">
              <w:rPr>
                <w:sz w:val="15"/>
                <w:szCs w:val="15"/>
              </w:rPr>
              <w:t xml:space="preserve">932 </w:t>
            </w:r>
          </w:p>
        </w:tc>
        <w:tc>
          <w:tcPr>
            <w:tcW w:w="344" w:type="pct"/>
            <w:tcBorders>
              <w:top w:val="nil"/>
              <w:left w:val="nil"/>
              <w:bottom w:val="nil"/>
              <w:right w:val="nil"/>
            </w:tcBorders>
            <w:vAlign w:val="bottom"/>
          </w:tcPr>
          <w:p w14:paraId="60CC65D8" w14:textId="5196395D"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179</w:t>
            </w:r>
            <w:r>
              <w:rPr>
                <w:sz w:val="15"/>
                <w:szCs w:val="15"/>
              </w:rPr>
              <w:t>,</w:t>
            </w:r>
            <w:r w:rsidRPr="007A49AD">
              <w:rPr>
                <w:sz w:val="15"/>
                <w:szCs w:val="15"/>
              </w:rPr>
              <w:t xml:space="preserve">494 </w:t>
            </w:r>
          </w:p>
        </w:tc>
        <w:tc>
          <w:tcPr>
            <w:tcW w:w="343" w:type="pct"/>
            <w:tcBorders>
              <w:top w:val="nil"/>
              <w:left w:val="nil"/>
              <w:bottom w:val="nil"/>
              <w:right w:val="nil"/>
            </w:tcBorders>
            <w:vAlign w:val="bottom"/>
          </w:tcPr>
          <w:p w14:paraId="1C6BF333" w14:textId="6DFF57CD"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42</w:t>
            </w:r>
            <w:r>
              <w:rPr>
                <w:sz w:val="15"/>
                <w:szCs w:val="15"/>
              </w:rPr>
              <w:t>,</w:t>
            </w:r>
            <w:r w:rsidRPr="007A49AD">
              <w:rPr>
                <w:sz w:val="15"/>
                <w:szCs w:val="15"/>
              </w:rPr>
              <w:t xml:space="preserve">639 </w:t>
            </w:r>
          </w:p>
        </w:tc>
        <w:tc>
          <w:tcPr>
            <w:tcW w:w="344" w:type="pct"/>
            <w:tcBorders>
              <w:top w:val="nil"/>
              <w:left w:val="nil"/>
              <w:bottom w:val="nil"/>
              <w:right w:val="nil"/>
            </w:tcBorders>
            <w:vAlign w:val="bottom"/>
          </w:tcPr>
          <w:p w14:paraId="745DBC4C" w14:textId="6AB34BE1"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3" w:type="pct"/>
            <w:tcBorders>
              <w:top w:val="nil"/>
              <w:left w:val="nil"/>
              <w:bottom w:val="nil"/>
              <w:right w:val="nil"/>
            </w:tcBorders>
            <w:vAlign w:val="bottom"/>
          </w:tcPr>
          <w:p w14:paraId="4B0DA878" w14:textId="23CFEAFA"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3</w:t>
            </w:r>
            <w:r>
              <w:rPr>
                <w:sz w:val="15"/>
                <w:szCs w:val="15"/>
              </w:rPr>
              <w:t>,</w:t>
            </w:r>
            <w:r w:rsidRPr="007A49AD">
              <w:rPr>
                <w:sz w:val="15"/>
                <w:szCs w:val="15"/>
              </w:rPr>
              <w:t>181</w:t>
            </w:r>
            <w:r>
              <w:rPr>
                <w:sz w:val="15"/>
                <w:szCs w:val="15"/>
              </w:rPr>
              <w:t>,</w:t>
            </w:r>
            <w:r w:rsidRPr="007A49AD">
              <w:rPr>
                <w:sz w:val="15"/>
                <w:szCs w:val="15"/>
              </w:rPr>
              <w:t xml:space="preserve">989 </w:t>
            </w:r>
          </w:p>
        </w:tc>
      </w:tr>
      <w:tr w:rsidR="00353692" w:rsidRPr="00537128" w14:paraId="6094FEE2" w14:textId="77777777" w:rsidTr="004A287E">
        <w:trPr>
          <w:trHeight w:val="149"/>
          <w:jc w:val="center"/>
        </w:trPr>
        <w:tc>
          <w:tcPr>
            <w:tcW w:w="877" w:type="pct"/>
            <w:vAlign w:val="bottom"/>
          </w:tcPr>
          <w:p w14:paraId="639E7DC5" w14:textId="77777777" w:rsidR="00353692" w:rsidRPr="00537128" w:rsidRDefault="00353692" w:rsidP="00353692">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Financial assets at fair value through profit or loss</w:t>
            </w:r>
          </w:p>
        </w:tc>
        <w:tc>
          <w:tcPr>
            <w:tcW w:w="343" w:type="pct"/>
            <w:tcBorders>
              <w:top w:val="nil"/>
              <w:left w:val="nil"/>
              <w:bottom w:val="nil"/>
              <w:right w:val="nil"/>
            </w:tcBorders>
            <w:shd w:val="clear" w:color="auto" w:fill="auto"/>
            <w:vAlign w:val="bottom"/>
          </w:tcPr>
          <w:p w14:paraId="524BE0AE" w14:textId="00BDF82A" w:rsidR="00353692" w:rsidRPr="00537128" w:rsidRDefault="00353692" w:rsidP="00353692">
            <w:pPr>
              <w:tabs>
                <w:tab w:val="right" w:pos="1202"/>
              </w:tabs>
              <w:spacing w:after="0" w:line="301" w:lineRule="exact"/>
              <w:jc w:val="right"/>
              <w:outlineLvl w:val="0"/>
              <w:rPr>
                <w:rFonts w:ascii="Calibri" w:eastAsia="Calibri" w:hAnsi="Calibri" w:cs="Arial"/>
                <w:spacing w:val="-2"/>
                <w:sz w:val="15"/>
                <w:szCs w:val="15"/>
                <w:lang w:val="en-US"/>
              </w:rPr>
            </w:pPr>
            <w:r w:rsidRPr="007A49AD">
              <w:rPr>
                <w:sz w:val="15"/>
                <w:szCs w:val="15"/>
              </w:rPr>
              <w:t xml:space="preserve"> - </w:t>
            </w:r>
          </w:p>
        </w:tc>
        <w:tc>
          <w:tcPr>
            <w:tcW w:w="344" w:type="pct"/>
            <w:tcBorders>
              <w:top w:val="nil"/>
              <w:left w:val="nil"/>
              <w:bottom w:val="nil"/>
              <w:right w:val="nil"/>
            </w:tcBorders>
            <w:shd w:val="clear" w:color="auto" w:fill="auto"/>
            <w:vAlign w:val="bottom"/>
          </w:tcPr>
          <w:p w14:paraId="43F7658D" w14:textId="12E6098D" w:rsidR="00353692" w:rsidRPr="00537128" w:rsidRDefault="00353692" w:rsidP="00353692">
            <w:pPr>
              <w:tabs>
                <w:tab w:val="right" w:pos="1202"/>
              </w:tabs>
              <w:spacing w:after="0" w:line="301" w:lineRule="exact"/>
              <w:jc w:val="right"/>
              <w:outlineLvl w:val="0"/>
              <w:rPr>
                <w:rFonts w:ascii="Calibri" w:eastAsia="Calibri" w:hAnsi="Calibri" w:cs="Arial"/>
                <w:spacing w:val="-2"/>
                <w:sz w:val="15"/>
                <w:szCs w:val="15"/>
                <w:lang w:val="en-US"/>
              </w:rPr>
            </w:pPr>
            <w:r w:rsidRPr="007A49AD">
              <w:rPr>
                <w:sz w:val="15"/>
                <w:szCs w:val="15"/>
              </w:rPr>
              <w:t xml:space="preserve"> - </w:t>
            </w:r>
          </w:p>
        </w:tc>
        <w:tc>
          <w:tcPr>
            <w:tcW w:w="344" w:type="pct"/>
            <w:tcBorders>
              <w:top w:val="nil"/>
              <w:left w:val="nil"/>
              <w:bottom w:val="nil"/>
              <w:right w:val="nil"/>
            </w:tcBorders>
            <w:shd w:val="clear" w:color="auto" w:fill="auto"/>
            <w:vAlign w:val="bottom"/>
          </w:tcPr>
          <w:p w14:paraId="04FFB31C" w14:textId="1E0912BC" w:rsidR="00353692" w:rsidRPr="00537128" w:rsidRDefault="00353692" w:rsidP="00353692">
            <w:pPr>
              <w:tabs>
                <w:tab w:val="right" w:pos="1202"/>
              </w:tabs>
              <w:spacing w:after="0" w:line="301" w:lineRule="exact"/>
              <w:jc w:val="right"/>
              <w:outlineLvl w:val="0"/>
              <w:rPr>
                <w:rFonts w:ascii="Calibri" w:eastAsia="Calibri" w:hAnsi="Calibri" w:cs="Arial"/>
                <w:spacing w:val="-2"/>
                <w:sz w:val="15"/>
                <w:szCs w:val="15"/>
                <w:lang w:val="en-US"/>
              </w:rPr>
            </w:pPr>
            <w:r w:rsidRPr="007A49AD">
              <w:rPr>
                <w:sz w:val="15"/>
                <w:szCs w:val="15"/>
              </w:rPr>
              <w:t xml:space="preserve"> - </w:t>
            </w:r>
          </w:p>
        </w:tc>
        <w:tc>
          <w:tcPr>
            <w:tcW w:w="343" w:type="pct"/>
            <w:tcBorders>
              <w:top w:val="nil"/>
              <w:left w:val="nil"/>
              <w:bottom w:val="nil"/>
              <w:right w:val="nil"/>
            </w:tcBorders>
            <w:shd w:val="clear" w:color="auto" w:fill="auto"/>
            <w:vAlign w:val="bottom"/>
          </w:tcPr>
          <w:p w14:paraId="6086E753" w14:textId="5D20713A" w:rsidR="00353692" w:rsidRPr="00537128" w:rsidRDefault="00353692" w:rsidP="00353692">
            <w:pPr>
              <w:tabs>
                <w:tab w:val="right" w:pos="1202"/>
              </w:tabs>
              <w:spacing w:after="0" w:line="301" w:lineRule="exact"/>
              <w:jc w:val="right"/>
              <w:outlineLvl w:val="0"/>
              <w:rPr>
                <w:rFonts w:ascii="Calibri" w:eastAsia="Calibri" w:hAnsi="Calibri" w:cs="Arial"/>
                <w:spacing w:val="-2"/>
                <w:sz w:val="15"/>
                <w:szCs w:val="15"/>
                <w:lang w:val="en-US"/>
              </w:rPr>
            </w:pPr>
            <w:r w:rsidRPr="007A49AD">
              <w:rPr>
                <w:sz w:val="15"/>
                <w:szCs w:val="15"/>
              </w:rPr>
              <w:t xml:space="preserve"> - </w:t>
            </w:r>
          </w:p>
        </w:tc>
        <w:tc>
          <w:tcPr>
            <w:tcW w:w="344" w:type="pct"/>
            <w:tcBorders>
              <w:top w:val="nil"/>
              <w:left w:val="nil"/>
              <w:bottom w:val="nil"/>
              <w:right w:val="nil"/>
            </w:tcBorders>
            <w:shd w:val="clear" w:color="auto" w:fill="auto"/>
            <w:vAlign w:val="bottom"/>
          </w:tcPr>
          <w:p w14:paraId="32655729" w14:textId="27C9B504" w:rsidR="00353692" w:rsidRPr="00537128" w:rsidRDefault="00353692" w:rsidP="00353692">
            <w:pPr>
              <w:tabs>
                <w:tab w:val="right" w:pos="1202"/>
              </w:tabs>
              <w:spacing w:after="0" w:line="301" w:lineRule="exact"/>
              <w:jc w:val="right"/>
              <w:outlineLvl w:val="0"/>
              <w:rPr>
                <w:rFonts w:ascii="Calibri" w:eastAsia="Calibri" w:hAnsi="Calibri" w:cs="Arial"/>
                <w:spacing w:val="-2"/>
                <w:sz w:val="15"/>
                <w:szCs w:val="15"/>
                <w:lang w:val="en-US"/>
              </w:rPr>
            </w:pPr>
            <w:r w:rsidRPr="007A49AD">
              <w:rPr>
                <w:sz w:val="15"/>
                <w:szCs w:val="15"/>
              </w:rPr>
              <w:t xml:space="preserve"> 25</w:t>
            </w:r>
            <w:r>
              <w:rPr>
                <w:sz w:val="15"/>
                <w:szCs w:val="15"/>
              </w:rPr>
              <w:t>,</w:t>
            </w:r>
            <w:r w:rsidRPr="007A49AD">
              <w:rPr>
                <w:sz w:val="15"/>
                <w:szCs w:val="15"/>
              </w:rPr>
              <w:t xml:space="preserve">652 </w:t>
            </w:r>
          </w:p>
        </w:tc>
        <w:tc>
          <w:tcPr>
            <w:tcW w:w="344" w:type="pct"/>
            <w:tcBorders>
              <w:top w:val="nil"/>
              <w:left w:val="nil"/>
              <w:bottom w:val="nil"/>
              <w:right w:val="nil"/>
            </w:tcBorders>
            <w:shd w:val="clear" w:color="auto" w:fill="auto"/>
            <w:vAlign w:val="bottom"/>
          </w:tcPr>
          <w:p w14:paraId="74CD8AF8" w14:textId="20A57793" w:rsidR="00353692" w:rsidRPr="00537128" w:rsidRDefault="00353692" w:rsidP="00353692">
            <w:pPr>
              <w:tabs>
                <w:tab w:val="right" w:pos="1202"/>
              </w:tabs>
              <w:spacing w:after="0" w:line="301" w:lineRule="exact"/>
              <w:jc w:val="right"/>
              <w:outlineLvl w:val="0"/>
              <w:rPr>
                <w:rFonts w:ascii="Calibri" w:eastAsia="Calibri" w:hAnsi="Calibri" w:cs="Arial"/>
                <w:spacing w:val="-2"/>
                <w:sz w:val="15"/>
                <w:szCs w:val="15"/>
                <w:highlight w:val="yellow"/>
                <w:lang w:val="en-US"/>
              </w:rPr>
            </w:pPr>
            <w:r w:rsidRPr="007A49AD">
              <w:rPr>
                <w:sz w:val="15"/>
                <w:szCs w:val="15"/>
              </w:rPr>
              <w:t xml:space="preserve"> 25</w:t>
            </w:r>
            <w:r>
              <w:rPr>
                <w:sz w:val="15"/>
                <w:szCs w:val="15"/>
              </w:rPr>
              <w:t>,</w:t>
            </w:r>
            <w:r w:rsidRPr="007A49AD">
              <w:rPr>
                <w:sz w:val="15"/>
                <w:szCs w:val="15"/>
              </w:rPr>
              <w:t xml:space="preserve">652 </w:t>
            </w:r>
          </w:p>
        </w:tc>
        <w:tc>
          <w:tcPr>
            <w:tcW w:w="343" w:type="pct"/>
            <w:tcBorders>
              <w:top w:val="nil"/>
              <w:left w:val="nil"/>
              <w:bottom w:val="nil"/>
              <w:right w:val="nil"/>
            </w:tcBorders>
            <w:vAlign w:val="bottom"/>
          </w:tcPr>
          <w:p w14:paraId="0C594C73" w14:textId="78CBB8B4" w:rsidR="00353692" w:rsidRPr="00537128" w:rsidRDefault="00353692" w:rsidP="00353692">
            <w:pPr>
              <w:tabs>
                <w:tab w:val="right" w:pos="1202"/>
              </w:tabs>
              <w:spacing w:after="0" w:line="301" w:lineRule="exact"/>
              <w:jc w:val="right"/>
              <w:outlineLvl w:val="0"/>
              <w:rPr>
                <w:rFonts w:ascii="Calibri" w:eastAsia="Calibri" w:hAnsi="Calibri" w:cs="Arial"/>
                <w:spacing w:val="-2"/>
                <w:sz w:val="15"/>
                <w:szCs w:val="15"/>
                <w:lang w:val="en-US"/>
              </w:rPr>
            </w:pPr>
            <w:r w:rsidRPr="007A49AD">
              <w:rPr>
                <w:sz w:val="15"/>
                <w:szCs w:val="15"/>
              </w:rPr>
              <w:t xml:space="preserve"> - </w:t>
            </w:r>
          </w:p>
        </w:tc>
        <w:tc>
          <w:tcPr>
            <w:tcW w:w="344" w:type="pct"/>
            <w:tcBorders>
              <w:top w:val="nil"/>
              <w:left w:val="nil"/>
              <w:bottom w:val="nil"/>
              <w:right w:val="nil"/>
            </w:tcBorders>
            <w:vAlign w:val="bottom"/>
          </w:tcPr>
          <w:p w14:paraId="58D69119" w14:textId="3A79D39E" w:rsidR="00353692" w:rsidRPr="00537128" w:rsidRDefault="00353692" w:rsidP="00353692">
            <w:pPr>
              <w:tabs>
                <w:tab w:val="right" w:pos="1202"/>
              </w:tabs>
              <w:spacing w:after="0" w:line="301" w:lineRule="exact"/>
              <w:jc w:val="right"/>
              <w:outlineLvl w:val="0"/>
              <w:rPr>
                <w:rFonts w:ascii="Calibri" w:eastAsia="Calibri" w:hAnsi="Calibri" w:cs="Arial"/>
                <w:spacing w:val="-2"/>
                <w:sz w:val="15"/>
                <w:szCs w:val="15"/>
                <w:lang w:val="en-US"/>
              </w:rPr>
            </w:pPr>
            <w:r w:rsidRPr="007A49AD">
              <w:rPr>
                <w:sz w:val="15"/>
                <w:szCs w:val="15"/>
              </w:rPr>
              <w:t xml:space="preserve"> - </w:t>
            </w:r>
          </w:p>
        </w:tc>
        <w:tc>
          <w:tcPr>
            <w:tcW w:w="344" w:type="pct"/>
            <w:tcBorders>
              <w:top w:val="nil"/>
              <w:left w:val="nil"/>
              <w:bottom w:val="nil"/>
              <w:right w:val="nil"/>
            </w:tcBorders>
            <w:vAlign w:val="bottom"/>
          </w:tcPr>
          <w:p w14:paraId="3A894433" w14:textId="6EB8228C" w:rsidR="00353692" w:rsidRPr="00537128" w:rsidRDefault="00353692" w:rsidP="00353692">
            <w:pPr>
              <w:tabs>
                <w:tab w:val="right" w:pos="1202"/>
              </w:tabs>
              <w:spacing w:after="0" w:line="301" w:lineRule="exact"/>
              <w:jc w:val="right"/>
              <w:outlineLvl w:val="0"/>
              <w:rPr>
                <w:rFonts w:ascii="Calibri" w:eastAsia="Calibri" w:hAnsi="Calibri" w:cs="Arial"/>
                <w:spacing w:val="-2"/>
                <w:sz w:val="15"/>
                <w:szCs w:val="15"/>
                <w:lang w:val="en-US"/>
              </w:rPr>
            </w:pPr>
            <w:r w:rsidRPr="007A49AD">
              <w:rPr>
                <w:sz w:val="15"/>
                <w:szCs w:val="15"/>
              </w:rPr>
              <w:t xml:space="preserve"> - </w:t>
            </w:r>
          </w:p>
        </w:tc>
        <w:tc>
          <w:tcPr>
            <w:tcW w:w="343" w:type="pct"/>
            <w:tcBorders>
              <w:top w:val="nil"/>
              <w:left w:val="nil"/>
              <w:bottom w:val="nil"/>
              <w:right w:val="nil"/>
            </w:tcBorders>
            <w:vAlign w:val="bottom"/>
          </w:tcPr>
          <w:p w14:paraId="3F0A2362" w14:textId="29124002" w:rsidR="00353692" w:rsidRPr="00537128" w:rsidRDefault="00353692" w:rsidP="00353692">
            <w:pPr>
              <w:tabs>
                <w:tab w:val="right" w:pos="1202"/>
              </w:tabs>
              <w:spacing w:after="0" w:line="301" w:lineRule="exact"/>
              <w:jc w:val="right"/>
              <w:outlineLvl w:val="0"/>
              <w:rPr>
                <w:rFonts w:ascii="Calibri" w:eastAsia="Calibri" w:hAnsi="Calibri" w:cs="Arial"/>
                <w:spacing w:val="-2"/>
                <w:sz w:val="15"/>
                <w:szCs w:val="15"/>
                <w:lang w:val="en-US"/>
              </w:rPr>
            </w:pPr>
            <w:r w:rsidRPr="007A49AD">
              <w:rPr>
                <w:sz w:val="15"/>
                <w:szCs w:val="15"/>
              </w:rPr>
              <w:t xml:space="preserve"> - </w:t>
            </w:r>
          </w:p>
        </w:tc>
        <w:tc>
          <w:tcPr>
            <w:tcW w:w="344" w:type="pct"/>
            <w:tcBorders>
              <w:top w:val="nil"/>
              <w:left w:val="nil"/>
              <w:bottom w:val="nil"/>
              <w:right w:val="nil"/>
            </w:tcBorders>
            <w:shd w:val="clear" w:color="auto" w:fill="auto"/>
            <w:vAlign w:val="bottom"/>
          </w:tcPr>
          <w:p w14:paraId="02FC2BB1" w14:textId="3718A027" w:rsidR="00353692" w:rsidRPr="00537128" w:rsidRDefault="00353692" w:rsidP="00353692">
            <w:pPr>
              <w:tabs>
                <w:tab w:val="right" w:pos="1202"/>
              </w:tabs>
              <w:spacing w:after="0" w:line="301" w:lineRule="exact"/>
              <w:jc w:val="right"/>
              <w:outlineLvl w:val="0"/>
              <w:rPr>
                <w:rFonts w:ascii="Calibri" w:eastAsia="Calibri" w:hAnsi="Calibri" w:cs="Arial"/>
                <w:spacing w:val="-2"/>
                <w:sz w:val="15"/>
                <w:szCs w:val="15"/>
                <w:lang w:val="en-US"/>
              </w:rPr>
            </w:pPr>
            <w:r w:rsidRPr="007A49AD">
              <w:rPr>
                <w:sz w:val="15"/>
                <w:szCs w:val="15"/>
              </w:rPr>
              <w:t xml:space="preserve"> 25</w:t>
            </w:r>
            <w:r>
              <w:rPr>
                <w:sz w:val="15"/>
                <w:szCs w:val="15"/>
              </w:rPr>
              <w:t>,</w:t>
            </w:r>
            <w:r w:rsidRPr="007A49AD">
              <w:rPr>
                <w:sz w:val="15"/>
                <w:szCs w:val="15"/>
              </w:rPr>
              <w:t xml:space="preserve">374 </w:t>
            </w:r>
          </w:p>
        </w:tc>
        <w:tc>
          <w:tcPr>
            <w:tcW w:w="343" w:type="pct"/>
            <w:tcBorders>
              <w:top w:val="nil"/>
              <w:left w:val="nil"/>
              <w:bottom w:val="nil"/>
              <w:right w:val="nil"/>
            </w:tcBorders>
            <w:shd w:val="clear" w:color="auto" w:fill="auto"/>
            <w:vAlign w:val="bottom"/>
          </w:tcPr>
          <w:p w14:paraId="1F24C48C" w14:textId="06A574D1" w:rsidR="00353692" w:rsidRPr="00537128" w:rsidRDefault="00353692" w:rsidP="00353692">
            <w:pPr>
              <w:tabs>
                <w:tab w:val="right" w:pos="1202"/>
              </w:tabs>
              <w:spacing w:after="0" w:line="301" w:lineRule="exact"/>
              <w:jc w:val="right"/>
              <w:outlineLvl w:val="0"/>
              <w:rPr>
                <w:rFonts w:ascii="Calibri" w:eastAsia="Calibri" w:hAnsi="Calibri" w:cs="Arial"/>
                <w:spacing w:val="-2"/>
                <w:sz w:val="15"/>
                <w:szCs w:val="15"/>
                <w:lang w:val="en-US"/>
              </w:rPr>
            </w:pPr>
            <w:r w:rsidRPr="007A49AD">
              <w:rPr>
                <w:sz w:val="15"/>
                <w:szCs w:val="15"/>
              </w:rPr>
              <w:t xml:space="preserve"> 25</w:t>
            </w:r>
            <w:r>
              <w:rPr>
                <w:sz w:val="15"/>
                <w:szCs w:val="15"/>
              </w:rPr>
              <w:t>,</w:t>
            </w:r>
            <w:r w:rsidRPr="007A49AD">
              <w:rPr>
                <w:sz w:val="15"/>
                <w:szCs w:val="15"/>
              </w:rPr>
              <w:t xml:space="preserve">374 </w:t>
            </w:r>
          </w:p>
        </w:tc>
      </w:tr>
      <w:tr w:rsidR="00353692" w:rsidRPr="00537128" w14:paraId="690F30B4" w14:textId="77777777" w:rsidTr="004A287E">
        <w:trPr>
          <w:trHeight w:val="126"/>
          <w:jc w:val="center"/>
        </w:trPr>
        <w:tc>
          <w:tcPr>
            <w:tcW w:w="877" w:type="pct"/>
            <w:vAlign w:val="bottom"/>
          </w:tcPr>
          <w:p w14:paraId="4F0314A5" w14:textId="77777777" w:rsidR="00353692" w:rsidRPr="00537128" w:rsidRDefault="00353692" w:rsidP="00353692">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Financial assets at fair value through other comprehensive income</w:t>
            </w:r>
          </w:p>
        </w:tc>
        <w:tc>
          <w:tcPr>
            <w:tcW w:w="343" w:type="pct"/>
            <w:tcBorders>
              <w:top w:val="nil"/>
              <w:left w:val="nil"/>
              <w:bottom w:val="nil"/>
              <w:right w:val="nil"/>
            </w:tcBorders>
            <w:shd w:val="clear" w:color="auto" w:fill="auto"/>
            <w:vAlign w:val="bottom"/>
          </w:tcPr>
          <w:p w14:paraId="443BD109" w14:textId="04CEC1EB" w:rsidR="00353692" w:rsidRPr="00537128" w:rsidRDefault="00353692" w:rsidP="00353692">
            <w:pPr>
              <w:tabs>
                <w:tab w:val="right" w:pos="1202"/>
              </w:tabs>
              <w:spacing w:after="0" w:line="301" w:lineRule="exact"/>
              <w:jc w:val="right"/>
              <w:outlineLvl w:val="0"/>
              <w:rPr>
                <w:rFonts w:ascii="Calibri" w:eastAsia="Calibri" w:hAnsi="Calibri" w:cs="Arial"/>
                <w:snapToGrid w:val="0"/>
                <w:sz w:val="15"/>
                <w:szCs w:val="15"/>
                <w:lang w:val="en-US"/>
              </w:rPr>
            </w:pPr>
            <w:r w:rsidRPr="007A49AD">
              <w:rPr>
                <w:sz w:val="15"/>
                <w:szCs w:val="15"/>
              </w:rPr>
              <w:t xml:space="preserve"> 3</w:t>
            </w:r>
            <w:r>
              <w:rPr>
                <w:sz w:val="15"/>
                <w:szCs w:val="15"/>
              </w:rPr>
              <w:t>,</w:t>
            </w:r>
            <w:r w:rsidRPr="007A49AD">
              <w:rPr>
                <w:sz w:val="15"/>
                <w:szCs w:val="15"/>
              </w:rPr>
              <w:t>151</w:t>
            </w:r>
            <w:r>
              <w:rPr>
                <w:sz w:val="15"/>
                <w:szCs w:val="15"/>
              </w:rPr>
              <w:t>,</w:t>
            </w:r>
            <w:r w:rsidRPr="007A49AD">
              <w:rPr>
                <w:sz w:val="15"/>
                <w:szCs w:val="15"/>
              </w:rPr>
              <w:t xml:space="preserve">000 </w:t>
            </w:r>
          </w:p>
        </w:tc>
        <w:tc>
          <w:tcPr>
            <w:tcW w:w="344" w:type="pct"/>
            <w:tcBorders>
              <w:top w:val="nil"/>
              <w:left w:val="nil"/>
              <w:bottom w:val="nil"/>
              <w:right w:val="nil"/>
            </w:tcBorders>
            <w:shd w:val="clear" w:color="auto" w:fill="auto"/>
            <w:vAlign w:val="bottom"/>
          </w:tcPr>
          <w:p w14:paraId="45CF30F8" w14:textId="72916A7A" w:rsidR="00353692" w:rsidRPr="00537128" w:rsidRDefault="00353692" w:rsidP="00353692">
            <w:pPr>
              <w:tabs>
                <w:tab w:val="right" w:pos="1202"/>
              </w:tabs>
              <w:spacing w:after="0" w:line="301" w:lineRule="exact"/>
              <w:jc w:val="right"/>
              <w:outlineLvl w:val="0"/>
              <w:rPr>
                <w:rFonts w:ascii="Calibri" w:eastAsia="Calibri" w:hAnsi="Calibri" w:cs="Arial"/>
                <w:snapToGrid w:val="0"/>
                <w:sz w:val="15"/>
                <w:szCs w:val="15"/>
                <w:lang w:val="en-US"/>
              </w:rPr>
            </w:pPr>
            <w:r w:rsidRPr="007A49AD">
              <w:rPr>
                <w:sz w:val="15"/>
                <w:szCs w:val="15"/>
              </w:rPr>
              <w:t xml:space="preserve"> - </w:t>
            </w:r>
          </w:p>
        </w:tc>
        <w:tc>
          <w:tcPr>
            <w:tcW w:w="344" w:type="pct"/>
            <w:tcBorders>
              <w:top w:val="nil"/>
              <w:left w:val="nil"/>
              <w:bottom w:val="nil"/>
              <w:right w:val="nil"/>
            </w:tcBorders>
            <w:shd w:val="clear" w:color="auto" w:fill="auto"/>
            <w:vAlign w:val="bottom"/>
          </w:tcPr>
          <w:p w14:paraId="389666BF" w14:textId="004996D9" w:rsidR="00353692" w:rsidRPr="00537128" w:rsidRDefault="00353692" w:rsidP="00353692">
            <w:pPr>
              <w:tabs>
                <w:tab w:val="right" w:pos="1202"/>
              </w:tabs>
              <w:spacing w:after="0" w:line="301" w:lineRule="exact"/>
              <w:jc w:val="right"/>
              <w:outlineLvl w:val="0"/>
              <w:rPr>
                <w:rFonts w:ascii="Calibri" w:eastAsia="Calibri" w:hAnsi="Calibri" w:cs="Arial"/>
                <w:snapToGrid w:val="0"/>
                <w:sz w:val="15"/>
                <w:szCs w:val="15"/>
                <w:lang w:val="en-US"/>
              </w:rPr>
            </w:pPr>
            <w:r w:rsidRPr="007A49AD">
              <w:rPr>
                <w:sz w:val="15"/>
                <w:szCs w:val="15"/>
              </w:rPr>
              <w:t xml:space="preserve"> 1</w:t>
            </w:r>
            <w:r>
              <w:rPr>
                <w:sz w:val="15"/>
                <w:szCs w:val="15"/>
              </w:rPr>
              <w:t>,</w:t>
            </w:r>
            <w:r w:rsidRPr="007A49AD">
              <w:rPr>
                <w:sz w:val="15"/>
                <w:szCs w:val="15"/>
              </w:rPr>
              <w:t xml:space="preserve">504 </w:t>
            </w:r>
          </w:p>
        </w:tc>
        <w:tc>
          <w:tcPr>
            <w:tcW w:w="343" w:type="pct"/>
            <w:tcBorders>
              <w:top w:val="nil"/>
              <w:left w:val="nil"/>
              <w:bottom w:val="nil"/>
              <w:right w:val="nil"/>
            </w:tcBorders>
            <w:shd w:val="clear" w:color="auto" w:fill="auto"/>
            <w:vAlign w:val="bottom"/>
          </w:tcPr>
          <w:p w14:paraId="7CF08041" w14:textId="7C0FF14A" w:rsidR="00353692" w:rsidRPr="00537128" w:rsidRDefault="00353692" w:rsidP="00353692">
            <w:pPr>
              <w:tabs>
                <w:tab w:val="right" w:pos="1202"/>
              </w:tabs>
              <w:spacing w:after="0" w:line="301" w:lineRule="exact"/>
              <w:jc w:val="right"/>
              <w:outlineLvl w:val="0"/>
              <w:rPr>
                <w:rFonts w:ascii="Calibri" w:eastAsia="Calibri" w:hAnsi="Calibri" w:cs="Arial"/>
                <w:snapToGrid w:val="0"/>
                <w:sz w:val="15"/>
                <w:szCs w:val="15"/>
                <w:lang w:val="en-US"/>
              </w:rPr>
            </w:pPr>
            <w:r w:rsidRPr="007A49AD">
              <w:rPr>
                <w:sz w:val="15"/>
                <w:szCs w:val="15"/>
              </w:rPr>
              <w:t xml:space="preserve"> - </w:t>
            </w:r>
          </w:p>
        </w:tc>
        <w:tc>
          <w:tcPr>
            <w:tcW w:w="344" w:type="pct"/>
            <w:tcBorders>
              <w:top w:val="nil"/>
              <w:left w:val="nil"/>
              <w:bottom w:val="nil"/>
              <w:right w:val="nil"/>
            </w:tcBorders>
            <w:shd w:val="clear" w:color="auto" w:fill="auto"/>
            <w:vAlign w:val="bottom"/>
          </w:tcPr>
          <w:p w14:paraId="317539C5" w14:textId="0AA8A882" w:rsidR="00353692" w:rsidRPr="00537128" w:rsidRDefault="00353692" w:rsidP="00353692">
            <w:pPr>
              <w:tabs>
                <w:tab w:val="right" w:pos="1202"/>
              </w:tabs>
              <w:spacing w:after="0" w:line="301" w:lineRule="exact"/>
              <w:jc w:val="right"/>
              <w:outlineLvl w:val="0"/>
              <w:rPr>
                <w:rFonts w:ascii="Calibri" w:eastAsia="Calibri" w:hAnsi="Calibri" w:cs="Arial"/>
                <w:snapToGrid w:val="0"/>
                <w:sz w:val="15"/>
                <w:szCs w:val="15"/>
                <w:lang w:val="en-US"/>
              </w:rPr>
            </w:pPr>
            <w:r w:rsidRPr="007A49AD">
              <w:rPr>
                <w:sz w:val="15"/>
                <w:szCs w:val="15"/>
              </w:rPr>
              <w:t xml:space="preserve"> - </w:t>
            </w:r>
          </w:p>
        </w:tc>
        <w:tc>
          <w:tcPr>
            <w:tcW w:w="344" w:type="pct"/>
            <w:tcBorders>
              <w:top w:val="nil"/>
              <w:left w:val="nil"/>
              <w:bottom w:val="nil"/>
              <w:right w:val="nil"/>
            </w:tcBorders>
            <w:shd w:val="clear" w:color="auto" w:fill="auto"/>
            <w:vAlign w:val="bottom"/>
          </w:tcPr>
          <w:p w14:paraId="793613A7" w14:textId="03ED5C83" w:rsidR="00353692" w:rsidRPr="00537128" w:rsidRDefault="00353692" w:rsidP="00353692">
            <w:pPr>
              <w:tabs>
                <w:tab w:val="right" w:pos="1202"/>
              </w:tabs>
              <w:spacing w:after="0" w:line="301" w:lineRule="exact"/>
              <w:jc w:val="right"/>
              <w:outlineLvl w:val="0"/>
              <w:rPr>
                <w:rFonts w:ascii="Calibri" w:eastAsia="Calibri" w:hAnsi="Calibri" w:cs="Arial"/>
                <w:snapToGrid w:val="0"/>
                <w:sz w:val="15"/>
                <w:szCs w:val="15"/>
                <w:highlight w:val="yellow"/>
                <w:lang w:val="en-US"/>
              </w:rPr>
            </w:pPr>
            <w:r w:rsidRPr="007A49AD">
              <w:rPr>
                <w:sz w:val="15"/>
                <w:szCs w:val="15"/>
              </w:rPr>
              <w:t xml:space="preserve"> 3</w:t>
            </w:r>
            <w:r>
              <w:rPr>
                <w:sz w:val="15"/>
                <w:szCs w:val="15"/>
              </w:rPr>
              <w:t>,</w:t>
            </w:r>
            <w:r w:rsidRPr="007A49AD">
              <w:rPr>
                <w:sz w:val="15"/>
                <w:szCs w:val="15"/>
              </w:rPr>
              <w:t>152</w:t>
            </w:r>
            <w:r>
              <w:rPr>
                <w:sz w:val="15"/>
                <w:szCs w:val="15"/>
              </w:rPr>
              <w:t>,</w:t>
            </w:r>
            <w:r w:rsidRPr="007A49AD">
              <w:rPr>
                <w:sz w:val="15"/>
                <w:szCs w:val="15"/>
              </w:rPr>
              <w:t xml:space="preserve">504 </w:t>
            </w:r>
          </w:p>
        </w:tc>
        <w:tc>
          <w:tcPr>
            <w:tcW w:w="343" w:type="pct"/>
            <w:tcBorders>
              <w:top w:val="nil"/>
              <w:left w:val="nil"/>
              <w:bottom w:val="nil"/>
              <w:right w:val="nil"/>
            </w:tcBorders>
            <w:shd w:val="clear" w:color="auto" w:fill="auto"/>
            <w:vAlign w:val="bottom"/>
          </w:tcPr>
          <w:p w14:paraId="2A9CECBF" w14:textId="785BB56D" w:rsidR="00353692" w:rsidRPr="00537128" w:rsidRDefault="00353692" w:rsidP="00353692">
            <w:pPr>
              <w:tabs>
                <w:tab w:val="right" w:pos="1202"/>
              </w:tabs>
              <w:spacing w:after="0" w:line="301" w:lineRule="exact"/>
              <w:jc w:val="right"/>
              <w:outlineLvl w:val="0"/>
              <w:rPr>
                <w:rFonts w:ascii="Calibri" w:eastAsia="Calibri" w:hAnsi="Calibri" w:cs="Arial"/>
                <w:snapToGrid w:val="0"/>
                <w:sz w:val="15"/>
                <w:szCs w:val="15"/>
                <w:lang w:val="en-US"/>
              </w:rPr>
            </w:pPr>
            <w:r w:rsidRPr="007A49AD">
              <w:rPr>
                <w:sz w:val="15"/>
                <w:szCs w:val="15"/>
              </w:rPr>
              <w:t xml:space="preserve"> 3</w:t>
            </w:r>
            <w:r>
              <w:rPr>
                <w:sz w:val="15"/>
                <w:szCs w:val="15"/>
              </w:rPr>
              <w:t>,</w:t>
            </w:r>
            <w:r w:rsidRPr="007A49AD">
              <w:rPr>
                <w:sz w:val="15"/>
                <w:szCs w:val="15"/>
              </w:rPr>
              <w:t>151</w:t>
            </w:r>
            <w:r>
              <w:rPr>
                <w:sz w:val="15"/>
                <w:szCs w:val="15"/>
              </w:rPr>
              <w:t>,</w:t>
            </w:r>
            <w:r w:rsidRPr="007A49AD">
              <w:rPr>
                <w:sz w:val="15"/>
                <w:szCs w:val="15"/>
              </w:rPr>
              <w:t xml:space="preserve">000 </w:t>
            </w:r>
          </w:p>
        </w:tc>
        <w:tc>
          <w:tcPr>
            <w:tcW w:w="344" w:type="pct"/>
            <w:tcBorders>
              <w:top w:val="nil"/>
              <w:left w:val="nil"/>
              <w:bottom w:val="nil"/>
              <w:right w:val="nil"/>
            </w:tcBorders>
            <w:shd w:val="clear" w:color="auto" w:fill="auto"/>
            <w:vAlign w:val="bottom"/>
          </w:tcPr>
          <w:p w14:paraId="6133379F" w14:textId="30EEEFC7" w:rsidR="00353692" w:rsidRPr="00537128" w:rsidRDefault="00353692" w:rsidP="00353692">
            <w:pPr>
              <w:tabs>
                <w:tab w:val="right" w:pos="1202"/>
              </w:tabs>
              <w:spacing w:after="0" w:line="301" w:lineRule="exact"/>
              <w:jc w:val="right"/>
              <w:outlineLvl w:val="0"/>
              <w:rPr>
                <w:rFonts w:ascii="Calibri" w:eastAsia="Calibri" w:hAnsi="Calibri" w:cs="Arial"/>
                <w:snapToGrid w:val="0"/>
                <w:sz w:val="15"/>
                <w:szCs w:val="15"/>
                <w:lang w:val="en-US"/>
              </w:rPr>
            </w:pPr>
            <w:r w:rsidRPr="007A49AD">
              <w:rPr>
                <w:sz w:val="15"/>
                <w:szCs w:val="15"/>
              </w:rPr>
              <w:t xml:space="preserve"> - </w:t>
            </w:r>
          </w:p>
        </w:tc>
        <w:tc>
          <w:tcPr>
            <w:tcW w:w="344" w:type="pct"/>
            <w:tcBorders>
              <w:top w:val="nil"/>
              <w:left w:val="nil"/>
              <w:bottom w:val="nil"/>
              <w:right w:val="nil"/>
            </w:tcBorders>
            <w:shd w:val="clear" w:color="auto" w:fill="auto"/>
            <w:vAlign w:val="bottom"/>
          </w:tcPr>
          <w:p w14:paraId="04E9BF9C" w14:textId="0EC8CB96" w:rsidR="00353692" w:rsidRPr="00537128" w:rsidRDefault="00353692" w:rsidP="00353692">
            <w:pPr>
              <w:tabs>
                <w:tab w:val="right" w:pos="1202"/>
              </w:tabs>
              <w:spacing w:after="0" w:line="301" w:lineRule="exact"/>
              <w:jc w:val="right"/>
              <w:outlineLvl w:val="0"/>
              <w:rPr>
                <w:rFonts w:ascii="Calibri" w:eastAsia="Calibri" w:hAnsi="Calibri" w:cs="Arial"/>
                <w:snapToGrid w:val="0"/>
                <w:sz w:val="15"/>
                <w:szCs w:val="15"/>
                <w:lang w:val="en-US"/>
              </w:rPr>
            </w:pPr>
            <w:r w:rsidRPr="007A49AD">
              <w:rPr>
                <w:sz w:val="15"/>
                <w:szCs w:val="15"/>
              </w:rPr>
              <w:t xml:space="preserve"> 1</w:t>
            </w:r>
            <w:r>
              <w:rPr>
                <w:sz w:val="15"/>
                <w:szCs w:val="15"/>
              </w:rPr>
              <w:t>,</w:t>
            </w:r>
            <w:r w:rsidRPr="007A49AD">
              <w:rPr>
                <w:sz w:val="15"/>
                <w:szCs w:val="15"/>
              </w:rPr>
              <w:t xml:space="preserve">504 </w:t>
            </w:r>
          </w:p>
        </w:tc>
        <w:tc>
          <w:tcPr>
            <w:tcW w:w="343" w:type="pct"/>
            <w:tcBorders>
              <w:top w:val="nil"/>
              <w:left w:val="nil"/>
              <w:bottom w:val="nil"/>
              <w:right w:val="nil"/>
            </w:tcBorders>
            <w:shd w:val="clear" w:color="auto" w:fill="auto"/>
            <w:vAlign w:val="bottom"/>
          </w:tcPr>
          <w:p w14:paraId="166865EB" w14:textId="713597E2" w:rsidR="00353692" w:rsidRPr="00537128" w:rsidRDefault="00353692" w:rsidP="00353692">
            <w:pPr>
              <w:tabs>
                <w:tab w:val="right" w:pos="1202"/>
              </w:tabs>
              <w:spacing w:after="0" w:line="301" w:lineRule="exact"/>
              <w:jc w:val="right"/>
              <w:outlineLvl w:val="0"/>
              <w:rPr>
                <w:rFonts w:ascii="Calibri" w:eastAsia="Calibri" w:hAnsi="Calibri" w:cs="Arial"/>
                <w:snapToGrid w:val="0"/>
                <w:sz w:val="15"/>
                <w:szCs w:val="15"/>
                <w:lang w:val="en-US"/>
              </w:rPr>
            </w:pPr>
            <w:r w:rsidRPr="007A49AD">
              <w:rPr>
                <w:sz w:val="15"/>
                <w:szCs w:val="15"/>
              </w:rPr>
              <w:t xml:space="preserve"> - </w:t>
            </w:r>
          </w:p>
        </w:tc>
        <w:tc>
          <w:tcPr>
            <w:tcW w:w="344" w:type="pct"/>
            <w:tcBorders>
              <w:top w:val="nil"/>
              <w:left w:val="nil"/>
              <w:bottom w:val="nil"/>
              <w:right w:val="nil"/>
            </w:tcBorders>
            <w:shd w:val="clear" w:color="auto" w:fill="auto"/>
            <w:vAlign w:val="bottom"/>
          </w:tcPr>
          <w:p w14:paraId="3E1A9C39" w14:textId="3010B9C1" w:rsidR="00353692" w:rsidRPr="00537128" w:rsidRDefault="00353692" w:rsidP="00353692">
            <w:pPr>
              <w:tabs>
                <w:tab w:val="right" w:pos="1202"/>
              </w:tabs>
              <w:spacing w:after="0" w:line="301" w:lineRule="exact"/>
              <w:jc w:val="right"/>
              <w:outlineLvl w:val="0"/>
              <w:rPr>
                <w:rFonts w:ascii="Calibri" w:eastAsia="Calibri" w:hAnsi="Calibri" w:cs="Arial"/>
                <w:snapToGrid w:val="0"/>
                <w:sz w:val="15"/>
                <w:szCs w:val="15"/>
                <w:lang w:val="en-US"/>
              </w:rPr>
            </w:pPr>
            <w:r w:rsidRPr="007A49AD">
              <w:rPr>
                <w:sz w:val="15"/>
                <w:szCs w:val="15"/>
              </w:rPr>
              <w:t xml:space="preserve"> - </w:t>
            </w:r>
          </w:p>
        </w:tc>
        <w:tc>
          <w:tcPr>
            <w:tcW w:w="343" w:type="pct"/>
            <w:tcBorders>
              <w:top w:val="nil"/>
              <w:left w:val="nil"/>
              <w:bottom w:val="nil"/>
              <w:right w:val="nil"/>
            </w:tcBorders>
            <w:shd w:val="clear" w:color="auto" w:fill="auto"/>
            <w:vAlign w:val="bottom"/>
          </w:tcPr>
          <w:p w14:paraId="1DE804DC" w14:textId="5D6BF8DE" w:rsidR="00353692" w:rsidRPr="00537128" w:rsidRDefault="00353692" w:rsidP="00353692">
            <w:pPr>
              <w:tabs>
                <w:tab w:val="right" w:pos="1202"/>
              </w:tabs>
              <w:spacing w:after="0" w:line="301" w:lineRule="exact"/>
              <w:jc w:val="right"/>
              <w:outlineLvl w:val="0"/>
              <w:rPr>
                <w:rFonts w:ascii="Calibri" w:eastAsia="Calibri" w:hAnsi="Calibri" w:cs="Arial"/>
                <w:snapToGrid w:val="0"/>
                <w:sz w:val="15"/>
                <w:szCs w:val="15"/>
                <w:highlight w:val="yellow"/>
                <w:lang w:val="en-US"/>
              </w:rPr>
            </w:pPr>
            <w:r w:rsidRPr="007A49AD">
              <w:rPr>
                <w:sz w:val="15"/>
                <w:szCs w:val="15"/>
              </w:rPr>
              <w:t xml:space="preserve"> 3</w:t>
            </w:r>
            <w:r>
              <w:rPr>
                <w:sz w:val="15"/>
                <w:szCs w:val="15"/>
              </w:rPr>
              <w:t>,</w:t>
            </w:r>
            <w:r w:rsidRPr="007A49AD">
              <w:rPr>
                <w:sz w:val="15"/>
                <w:szCs w:val="15"/>
              </w:rPr>
              <w:t>152</w:t>
            </w:r>
            <w:r>
              <w:rPr>
                <w:sz w:val="15"/>
                <w:szCs w:val="15"/>
              </w:rPr>
              <w:t>,</w:t>
            </w:r>
            <w:r w:rsidRPr="007A49AD">
              <w:rPr>
                <w:sz w:val="15"/>
                <w:szCs w:val="15"/>
              </w:rPr>
              <w:t xml:space="preserve">504 </w:t>
            </w:r>
          </w:p>
        </w:tc>
      </w:tr>
      <w:tr w:rsidR="00353692" w:rsidRPr="00537128" w14:paraId="4CCF18B7" w14:textId="77777777" w:rsidTr="004A287E">
        <w:trPr>
          <w:trHeight w:val="74"/>
          <w:jc w:val="center"/>
        </w:trPr>
        <w:tc>
          <w:tcPr>
            <w:tcW w:w="877" w:type="pct"/>
            <w:vAlign w:val="bottom"/>
          </w:tcPr>
          <w:p w14:paraId="06CC5FDB" w14:textId="77777777" w:rsidR="00353692" w:rsidRPr="00537128" w:rsidRDefault="00353692" w:rsidP="00353692">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Other assets</w:t>
            </w:r>
          </w:p>
        </w:tc>
        <w:tc>
          <w:tcPr>
            <w:tcW w:w="343" w:type="pct"/>
            <w:tcBorders>
              <w:top w:val="nil"/>
              <w:left w:val="nil"/>
              <w:bottom w:val="single" w:sz="8" w:space="0" w:color="auto"/>
              <w:right w:val="nil"/>
            </w:tcBorders>
            <w:shd w:val="clear" w:color="auto" w:fill="auto"/>
            <w:vAlign w:val="bottom"/>
          </w:tcPr>
          <w:p w14:paraId="69860EB3" w14:textId="6DE40C0B" w:rsidR="00353692" w:rsidRPr="00537128" w:rsidRDefault="00353692" w:rsidP="00353692">
            <w:pPr>
              <w:tabs>
                <w:tab w:val="right" w:pos="1202"/>
              </w:tabs>
              <w:spacing w:after="0" w:line="240" w:lineRule="auto"/>
              <w:jc w:val="right"/>
              <w:outlineLvl w:val="0"/>
              <w:rPr>
                <w:rFonts w:ascii="Calibri" w:eastAsia="Calibri" w:hAnsi="Calibri" w:cs="Arial"/>
                <w:snapToGrid w:val="0"/>
                <w:sz w:val="15"/>
                <w:szCs w:val="15"/>
                <w:lang w:val="en-US"/>
              </w:rPr>
            </w:pPr>
            <w:r w:rsidRPr="007A49AD">
              <w:rPr>
                <w:sz w:val="15"/>
                <w:szCs w:val="15"/>
              </w:rPr>
              <w:t xml:space="preserve"> 2</w:t>
            </w:r>
            <w:r>
              <w:rPr>
                <w:sz w:val="15"/>
                <w:szCs w:val="15"/>
              </w:rPr>
              <w:t>,</w:t>
            </w:r>
            <w:r w:rsidRPr="007A49AD">
              <w:rPr>
                <w:sz w:val="15"/>
                <w:szCs w:val="15"/>
              </w:rPr>
              <w:t xml:space="preserve">084 </w:t>
            </w:r>
          </w:p>
        </w:tc>
        <w:tc>
          <w:tcPr>
            <w:tcW w:w="344" w:type="pct"/>
            <w:tcBorders>
              <w:top w:val="nil"/>
              <w:left w:val="nil"/>
              <w:bottom w:val="single" w:sz="8" w:space="0" w:color="auto"/>
              <w:right w:val="nil"/>
            </w:tcBorders>
            <w:shd w:val="clear" w:color="auto" w:fill="auto"/>
            <w:vAlign w:val="bottom"/>
          </w:tcPr>
          <w:p w14:paraId="56EEE76E" w14:textId="3CA0153B" w:rsidR="00353692" w:rsidRPr="00537128" w:rsidRDefault="00353692" w:rsidP="00353692">
            <w:pPr>
              <w:tabs>
                <w:tab w:val="right" w:pos="1202"/>
              </w:tabs>
              <w:spacing w:after="0" w:line="240" w:lineRule="auto"/>
              <w:jc w:val="right"/>
              <w:outlineLvl w:val="0"/>
              <w:rPr>
                <w:rFonts w:ascii="Calibri" w:eastAsia="Calibri" w:hAnsi="Calibri" w:cs="Arial"/>
                <w:snapToGrid w:val="0"/>
                <w:sz w:val="15"/>
                <w:szCs w:val="15"/>
                <w:lang w:val="en-US"/>
              </w:rPr>
            </w:pPr>
            <w:r w:rsidRPr="007A49AD">
              <w:rPr>
                <w:sz w:val="15"/>
                <w:szCs w:val="15"/>
              </w:rPr>
              <w:t xml:space="preserve"> 3 </w:t>
            </w:r>
          </w:p>
        </w:tc>
        <w:tc>
          <w:tcPr>
            <w:tcW w:w="344" w:type="pct"/>
            <w:tcBorders>
              <w:top w:val="nil"/>
              <w:left w:val="nil"/>
              <w:bottom w:val="single" w:sz="8" w:space="0" w:color="auto"/>
              <w:right w:val="nil"/>
            </w:tcBorders>
            <w:shd w:val="clear" w:color="auto" w:fill="auto"/>
            <w:vAlign w:val="bottom"/>
          </w:tcPr>
          <w:p w14:paraId="26315136" w14:textId="645B55CB" w:rsidR="00353692" w:rsidRPr="00537128" w:rsidRDefault="00353692" w:rsidP="00353692">
            <w:pPr>
              <w:tabs>
                <w:tab w:val="right" w:pos="1202"/>
              </w:tabs>
              <w:spacing w:after="0" w:line="240" w:lineRule="auto"/>
              <w:jc w:val="right"/>
              <w:outlineLvl w:val="0"/>
              <w:rPr>
                <w:rFonts w:ascii="Calibri" w:eastAsia="Calibri" w:hAnsi="Calibri" w:cs="Arial"/>
                <w:snapToGrid w:val="0"/>
                <w:sz w:val="15"/>
                <w:szCs w:val="15"/>
                <w:lang w:val="en-US"/>
              </w:rPr>
            </w:pPr>
            <w:r w:rsidRPr="007A49AD">
              <w:rPr>
                <w:sz w:val="15"/>
                <w:szCs w:val="15"/>
              </w:rPr>
              <w:t xml:space="preserve"> 861 </w:t>
            </w:r>
          </w:p>
        </w:tc>
        <w:tc>
          <w:tcPr>
            <w:tcW w:w="343" w:type="pct"/>
            <w:tcBorders>
              <w:top w:val="nil"/>
              <w:left w:val="nil"/>
              <w:bottom w:val="single" w:sz="8" w:space="0" w:color="auto"/>
              <w:right w:val="nil"/>
            </w:tcBorders>
            <w:shd w:val="clear" w:color="auto" w:fill="auto"/>
            <w:vAlign w:val="bottom"/>
          </w:tcPr>
          <w:p w14:paraId="4D054DD2" w14:textId="1EF73307" w:rsidR="00353692" w:rsidRPr="00537128" w:rsidRDefault="00353692" w:rsidP="00353692">
            <w:pPr>
              <w:tabs>
                <w:tab w:val="right" w:pos="1202"/>
              </w:tabs>
              <w:spacing w:after="0" w:line="240" w:lineRule="auto"/>
              <w:jc w:val="right"/>
              <w:outlineLvl w:val="0"/>
              <w:rPr>
                <w:rFonts w:ascii="Calibri" w:eastAsia="Calibri" w:hAnsi="Calibri" w:cs="Arial"/>
                <w:snapToGrid w:val="0"/>
                <w:sz w:val="15"/>
                <w:szCs w:val="15"/>
                <w:lang w:val="en-US"/>
              </w:rPr>
            </w:pPr>
            <w:r w:rsidRPr="007A49AD">
              <w:rPr>
                <w:sz w:val="15"/>
                <w:szCs w:val="15"/>
              </w:rPr>
              <w:t xml:space="preserve"> 60 </w:t>
            </w:r>
          </w:p>
        </w:tc>
        <w:tc>
          <w:tcPr>
            <w:tcW w:w="344" w:type="pct"/>
            <w:tcBorders>
              <w:top w:val="nil"/>
              <w:left w:val="nil"/>
              <w:bottom w:val="single" w:sz="8" w:space="0" w:color="auto"/>
              <w:right w:val="nil"/>
            </w:tcBorders>
            <w:shd w:val="clear" w:color="auto" w:fill="auto"/>
            <w:vAlign w:val="bottom"/>
          </w:tcPr>
          <w:p w14:paraId="5F875CE2" w14:textId="0C6D44B3" w:rsidR="00353692" w:rsidRPr="00537128" w:rsidRDefault="00353692" w:rsidP="00353692">
            <w:pPr>
              <w:tabs>
                <w:tab w:val="right" w:pos="1202"/>
              </w:tabs>
              <w:spacing w:after="0" w:line="240" w:lineRule="auto"/>
              <w:jc w:val="right"/>
              <w:outlineLvl w:val="0"/>
              <w:rPr>
                <w:rFonts w:ascii="Calibri" w:eastAsia="Calibri" w:hAnsi="Calibri" w:cs="Arial"/>
                <w:snapToGrid w:val="0"/>
                <w:sz w:val="15"/>
                <w:szCs w:val="15"/>
                <w:lang w:val="en-US"/>
              </w:rPr>
            </w:pPr>
            <w:r w:rsidRPr="007A49AD">
              <w:rPr>
                <w:sz w:val="15"/>
                <w:szCs w:val="15"/>
              </w:rPr>
              <w:t xml:space="preserve"> - </w:t>
            </w:r>
          </w:p>
        </w:tc>
        <w:tc>
          <w:tcPr>
            <w:tcW w:w="344" w:type="pct"/>
            <w:tcBorders>
              <w:top w:val="nil"/>
              <w:left w:val="nil"/>
              <w:bottom w:val="single" w:sz="8" w:space="0" w:color="auto"/>
              <w:right w:val="nil"/>
            </w:tcBorders>
            <w:shd w:val="clear" w:color="auto" w:fill="auto"/>
            <w:vAlign w:val="bottom"/>
          </w:tcPr>
          <w:p w14:paraId="67034402" w14:textId="306524C8" w:rsidR="00353692" w:rsidRPr="00537128" w:rsidRDefault="00353692" w:rsidP="00353692">
            <w:pPr>
              <w:tabs>
                <w:tab w:val="right" w:pos="1202"/>
              </w:tabs>
              <w:spacing w:after="0" w:line="240" w:lineRule="auto"/>
              <w:jc w:val="right"/>
              <w:outlineLvl w:val="0"/>
              <w:rPr>
                <w:rFonts w:ascii="Calibri" w:eastAsia="Calibri" w:hAnsi="Calibri" w:cs="Arial"/>
                <w:snapToGrid w:val="0"/>
                <w:sz w:val="15"/>
                <w:szCs w:val="15"/>
                <w:lang w:val="en-US"/>
              </w:rPr>
            </w:pPr>
            <w:r w:rsidRPr="007A49AD">
              <w:rPr>
                <w:sz w:val="15"/>
                <w:szCs w:val="15"/>
              </w:rPr>
              <w:t xml:space="preserve"> 3</w:t>
            </w:r>
            <w:r>
              <w:rPr>
                <w:sz w:val="15"/>
                <w:szCs w:val="15"/>
              </w:rPr>
              <w:t>,</w:t>
            </w:r>
            <w:r w:rsidRPr="007A49AD">
              <w:rPr>
                <w:sz w:val="15"/>
                <w:szCs w:val="15"/>
              </w:rPr>
              <w:t xml:space="preserve">008 </w:t>
            </w:r>
          </w:p>
        </w:tc>
        <w:tc>
          <w:tcPr>
            <w:tcW w:w="343" w:type="pct"/>
            <w:tcBorders>
              <w:top w:val="nil"/>
              <w:left w:val="nil"/>
              <w:bottom w:val="single" w:sz="8" w:space="0" w:color="auto"/>
              <w:right w:val="nil"/>
            </w:tcBorders>
            <w:vAlign w:val="bottom"/>
          </w:tcPr>
          <w:p w14:paraId="0354EEE0" w14:textId="00442E31" w:rsidR="00353692" w:rsidRPr="00537128" w:rsidRDefault="00353692" w:rsidP="00353692">
            <w:pPr>
              <w:tabs>
                <w:tab w:val="right" w:pos="1202"/>
              </w:tabs>
              <w:spacing w:after="0" w:line="240" w:lineRule="auto"/>
              <w:jc w:val="right"/>
              <w:outlineLvl w:val="0"/>
              <w:rPr>
                <w:rFonts w:ascii="Calibri" w:eastAsia="Calibri" w:hAnsi="Calibri" w:cs="Arial"/>
                <w:snapToGrid w:val="0"/>
                <w:sz w:val="15"/>
                <w:szCs w:val="15"/>
                <w:lang w:val="en-US"/>
              </w:rPr>
            </w:pPr>
            <w:r w:rsidRPr="007A49AD">
              <w:rPr>
                <w:sz w:val="15"/>
                <w:szCs w:val="15"/>
              </w:rPr>
              <w:t xml:space="preserve"> 338 </w:t>
            </w:r>
          </w:p>
        </w:tc>
        <w:tc>
          <w:tcPr>
            <w:tcW w:w="344" w:type="pct"/>
            <w:tcBorders>
              <w:top w:val="nil"/>
              <w:left w:val="nil"/>
              <w:bottom w:val="single" w:sz="8" w:space="0" w:color="auto"/>
              <w:right w:val="nil"/>
            </w:tcBorders>
            <w:vAlign w:val="bottom"/>
          </w:tcPr>
          <w:p w14:paraId="6C5CBB4C" w14:textId="52ACD069" w:rsidR="00353692" w:rsidRPr="00537128" w:rsidRDefault="00353692" w:rsidP="00353692">
            <w:pPr>
              <w:tabs>
                <w:tab w:val="right" w:pos="1202"/>
              </w:tabs>
              <w:spacing w:after="0" w:line="240" w:lineRule="auto"/>
              <w:jc w:val="right"/>
              <w:outlineLvl w:val="0"/>
              <w:rPr>
                <w:rFonts w:ascii="Calibri" w:eastAsia="Calibri" w:hAnsi="Calibri" w:cs="Arial"/>
                <w:snapToGrid w:val="0"/>
                <w:sz w:val="15"/>
                <w:szCs w:val="15"/>
                <w:lang w:val="en-US"/>
              </w:rPr>
            </w:pPr>
            <w:r w:rsidRPr="007A49AD">
              <w:rPr>
                <w:sz w:val="15"/>
                <w:szCs w:val="15"/>
              </w:rPr>
              <w:t xml:space="preserve"> 2 </w:t>
            </w:r>
          </w:p>
        </w:tc>
        <w:tc>
          <w:tcPr>
            <w:tcW w:w="344" w:type="pct"/>
            <w:tcBorders>
              <w:top w:val="nil"/>
              <w:left w:val="nil"/>
              <w:bottom w:val="single" w:sz="8" w:space="0" w:color="auto"/>
              <w:right w:val="nil"/>
            </w:tcBorders>
            <w:vAlign w:val="bottom"/>
          </w:tcPr>
          <w:p w14:paraId="3C8A4E18" w14:textId="4AC43858" w:rsidR="00353692" w:rsidRPr="00537128" w:rsidRDefault="00353692" w:rsidP="00353692">
            <w:pPr>
              <w:tabs>
                <w:tab w:val="right" w:pos="1202"/>
              </w:tabs>
              <w:spacing w:after="0" w:line="240" w:lineRule="auto"/>
              <w:jc w:val="right"/>
              <w:outlineLvl w:val="0"/>
              <w:rPr>
                <w:rFonts w:ascii="Calibri" w:eastAsia="Calibri" w:hAnsi="Calibri" w:cs="Arial"/>
                <w:snapToGrid w:val="0"/>
                <w:sz w:val="15"/>
                <w:szCs w:val="15"/>
                <w:lang w:val="en-US"/>
              </w:rPr>
            </w:pPr>
            <w:r w:rsidRPr="007A49AD">
              <w:rPr>
                <w:sz w:val="15"/>
                <w:szCs w:val="15"/>
              </w:rPr>
              <w:t xml:space="preserve"> 689 </w:t>
            </w:r>
          </w:p>
        </w:tc>
        <w:tc>
          <w:tcPr>
            <w:tcW w:w="343" w:type="pct"/>
            <w:tcBorders>
              <w:top w:val="nil"/>
              <w:left w:val="nil"/>
              <w:bottom w:val="single" w:sz="8" w:space="0" w:color="auto"/>
              <w:right w:val="nil"/>
            </w:tcBorders>
            <w:vAlign w:val="bottom"/>
          </w:tcPr>
          <w:p w14:paraId="20E2C676" w14:textId="64B254EB" w:rsidR="00353692" w:rsidRPr="00537128" w:rsidRDefault="00353692" w:rsidP="00353692">
            <w:pPr>
              <w:tabs>
                <w:tab w:val="right" w:pos="1202"/>
              </w:tabs>
              <w:spacing w:after="0" w:line="240" w:lineRule="auto"/>
              <w:jc w:val="right"/>
              <w:outlineLvl w:val="0"/>
              <w:rPr>
                <w:rFonts w:ascii="Calibri" w:eastAsia="Calibri" w:hAnsi="Calibri" w:cs="Arial"/>
                <w:snapToGrid w:val="0"/>
                <w:sz w:val="15"/>
                <w:szCs w:val="15"/>
                <w:lang w:val="en-US"/>
              </w:rPr>
            </w:pPr>
            <w:r w:rsidRPr="007A49AD">
              <w:rPr>
                <w:sz w:val="15"/>
                <w:szCs w:val="15"/>
              </w:rPr>
              <w:t xml:space="preserve"> 60 </w:t>
            </w:r>
          </w:p>
        </w:tc>
        <w:tc>
          <w:tcPr>
            <w:tcW w:w="344" w:type="pct"/>
            <w:tcBorders>
              <w:top w:val="nil"/>
              <w:left w:val="nil"/>
              <w:bottom w:val="single" w:sz="8" w:space="0" w:color="auto"/>
              <w:right w:val="nil"/>
            </w:tcBorders>
            <w:vAlign w:val="bottom"/>
          </w:tcPr>
          <w:p w14:paraId="36E46B3E" w14:textId="2870AA1E" w:rsidR="00353692" w:rsidRPr="00537128" w:rsidRDefault="00353692" w:rsidP="00353692">
            <w:pPr>
              <w:tabs>
                <w:tab w:val="right" w:pos="1202"/>
              </w:tabs>
              <w:spacing w:after="0" w:line="240" w:lineRule="auto"/>
              <w:jc w:val="right"/>
              <w:outlineLvl w:val="0"/>
              <w:rPr>
                <w:rFonts w:ascii="Calibri" w:eastAsia="Calibri" w:hAnsi="Calibri" w:cs="Arial"/>
                <w:snapToGrid w:val="0"/>
                <w:sz w:val="15"/>
                <w:szCs w:val="15"/>
                <w:lang w:val="en-US"/>
              </w:rPr>
            </w:pPr>
            <w:r w:rsidRPr="007A49AD">
              <w:rPr>
                <w:sz w:val="15"/>
                <w:szCs w:val="15"/>
              </w:rPr>
              <w:t xml:space="preserve"> - </w:t>
            </w:r>
          </w:p>
        </w:tc>
        <w:tc>
          <w:tcPr>
            <w:tcW w:w="343" w:type="pct"/>
            <w:tcBorders>
              <w:top w:val="nil"/>
              <w:left w:val="nil"/>
              <w:bottom w:val="single" w:sz="8" w:space="0" w:color="auto"/>
              <w:right w:val="nil"/>
            </w:tcBorders>
            <w:vAlign w:val="bottom"/>
          </w:tcPr>
          <w:p w14:paraId="73F30336" w14:textId="5A98562A" w:rsidR="00353692" w:rsidRPr="00537128" w:rsidRDefault="00353692" w:rsidP="00353692">
            <w:pPr>
              <w:tabs>
                <w:tab w:val="right" w:pos="1202"/>
              </w:tabs>
              <w:spacing w:after="0" w:line="240" w:lineRule="auto"/>
              <w:jc w:val="right"/>
              <w:outlineLvl w:val="0"/>
              <w:rPr>
                <w:rFonts w:ascii="Calibri" w:eastAsia="Calibri" w:hAnsi="Calibri" w:cs="Arial"/>
                <w:snapToGrid w:val="0"/>
                <w:sz w:val="15"/>
                <w:szCs w:val="15"/>
                <w:lang w:val="en-US"/>
              </w:rPr>
            </w:pPr>
            <w:r w:rsidRPr="007A49AD">
              <w:rPr>
                <w:sz w:val="15"/>
                <w:szCs w:val="15"/>
              </w:rPr>
              <w:t xml:space="preserve"> 1</w:t>
            </w:r>
            <w:r>
              <w:rPr>
                <w:sz w:val="15"/>
                <w:szCs w:val="15"/>
              </w:rPr>
              <w:t>,</w:t>
            </w:r>
            <w:r w:rsidRPr="007A49AD">
              <w:rPr>
                <w:sz w:val="15"/>
                <w:szCs w:val="15"/>
              </w:rPr>
              <w:t xml:space="preserve">089 </w:t>
            </w:r>
          </w:p>
        </w:tc>
      </w:tr>
      <w:tr w:rsidR="00353692" w:rsidRPr="00537128" w14:paraId="7B84CD28" w14:textId="77777777" w:rsidTr="004A287E">
        <w:trPr>
          <w:trHeight w:val="97"/>
          <w:jc w:val="center"/>
        </w:trPr>
        <w:tc>
          <w:tcPr>
            <w:tcW w:w="877" w:type="pct"/>
          </w:tcPr>
          <w:p w14:paraId="3FF4061D" w14:textId="77777777" w:rsidR="00353692" w:rsidRPr="00537128" w:rsidRDefault="00353692" w:rsidP="00353692">
            <w:pPr>
              <w:tabs>
                <w:tab w:val="right" w:pos="1202"/>
              </w:tabs>
              <w:spacing w:after="0" w:line="301"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Total</w:t>
            </w:r>
          </w:p>
        </w:tc>
        <w:tc>
          <w:tcPr>
            <w:tcW w:w="343" w:type="pct"/>
            <w:tcBorders>
              <w:top w:val="nil"/>
              <w:left w:val="nil"/>
              <w:bottom w:val="single" w:sz="12" w:space="0" w:color="auto"/>
              <w:right w:val="nil"/>
            </w:tcBorders>
            <w:shd w:val="clear" w:color="auto" w:fill="auto"/>
            <w:vAlign w:val="bottom"/>
          </w:tcPr>
          <w:p w14:paraId="0F9B5404" w14:textId="7EB199F6" w:rsidR="00353692" w:rsidRPr="00537128" w:rsidRDefault="00353692" w:rsidP="00353692">
            <w:pPr>
              <w:tabs>
                <w:tab w:val="right" w:pos="1202"/>
              </w:tabs>
              <w:spacing w:after="0" w:line="301" w:lineRule="exact"/>
              <w:jc w:val="right"/>
              <w:outlineLvl w:val="0"/>
              <w:rPr>
                <w:rFonts w:ascii="Calibri" w:eastAsia="Calibri" w:hAnsi="Calibri" w:cs="Arial"/>
                <w:b/>
                <w:bCs/>
                <w:sz w:val="15"/>
                <w:szCs w:val="15"/>
                <w:lang w:val="en-US"/>
              </w:rPr>
            </w:pPr>
            <w:r w:rsidRPr="007A49AD">
              <w:rPr>
                <w:b/>
                <w:bCs/>
                <w:sz w:val="15"/>
                <w:szCs w:val="15"/>
              </w:rPr>
              <w:t>24</w:t>
            </w:r>
            <w:r>
              <w:rPr>
                <w:b/>
                <w:bCs/>
                <w:sz w:val="15"/>
                <w:szCs w:val="15"/>
              </w:rPr>
              <w:t>,</w:t>
            </w:r>
            <w:r w:rsidRPr="007A49AD">
              <w:rPr>
                <w:b/>
                <w:bCs/>
                <w:sz w:val="15"/>
                <w:szCs w:val="15"/>
              </w:rPr>
              <w:t>396</w:t>
            </w:r>
            <w:r>
              <w:rPr>
                <w:b/>
                <w:bCs/>
                <w:sz w:val="15"/>
                <w:szCs w:val="15"/>
              </w:rPr>
              <w:t>,</w:t>
            </w:r>
            <w:r w:rsidRPr="007A49AD">
              <w:rPr>
                <w:b/>
                <w:bCs/>
                <w:sz w:val="15"/>
                <w:szCs w:val="15"/>
              </w:rPr>
              <w:t xml:space="preserve">037 </w:t>
            </w:r>
          </w:p>
        </w:tc>
        <w:tc>
          <w:tcPr>
            <w:tcW w:w="344" w:type="pct"/>
            <w:tcBorders>
              <w:top w:val="nil"/>
              <w:left w:val="nil"/>
              <w:bottom w:val="single" w:sz="12" w:space="0" w:color="auto"/>
              <w:right w:val="nil"/>
            </w:tcBorders>
            <w:shd w:val="clear" w:color="auto" w:fill="auto"/>
            <w:vAlign w:val="bottom"/>
          </w:tcPr>
          <w:p w14:paraId="54F2C9E2" w14:textId="1BA15392" w:rsidR="00353692" w:rsidRPr="00537128" w:rsidRDefault="00353692" w:rsidP="00353692">
            <w:pPr>
              <w:tabs>
                <w:tab w:val="right" w:pos="1202"/>
              </w:tabs>
              <w:spacing w:after="0" w:line="301" w:lineRule="exact"/>
              <w:jc w:val="right"/>
              <w:outlineLvl w:val="0"/>
              <w:rPr>
                <w:rFonts w:ascii="Calibri" w:eastAsia="Calibri" w:hAnsi="Calibri" w:cs="Arial"/>
                <w:b/>
                <w:bCs/>
                <w:sz w:val="15"/>
                <w:szCs w:val="15"/>
                <w:lang w:val="en-US"/>
              </w:rPr>
            </w:pPr>
            <w:r w:rsidRPr="007A49AD">
              <w:rPr>
                <w:b/>
                <w:bCs/>
                <w:sz w:val="15"/>
                <w:szCs w:val="15"/>
              </w:rPr>
              <w:t xml:space="preserve"> 1</w:t>
            </w:r>
            <w:r>
              <w:rPr>
                <w:b/>
                <w:bCs/>
                <w:sz w:val="15"/>
                <w:szCs w:val="15"/>
              </w:rPr>
              <w:t>,</w:t>
            </w:r>
            <w:r w:rsidRPr="007A49AD">
              <w:rPr>
                <w:b/>
                <w:bCs/>
                <w:sz w:val="15"/>
                <w:szCs w:val="15"/>
              </w:rPr>
              <w:t>066</w:t>
            </w:r>
            <w:r>
              <w:rPr>
                <w:b/>
                <w:bCs/>
                <w:sz w:val="15"/>
                <w:szCs w:val="15"/>
              </w:rPr>
              <w:t>,</w:t>
            </w:r>
            <w:r w:rsidRPr="007A49AD">
              <w:rPr>
                <w:b/>
                <w:bCs/>
                <w:sz w:val="15"/>
                <w:szCs w:val="15"/>
              </w:rPr>
              <w:t xml:space="preserve">860 </w:t>
            </w:r>
          </w:p>
        </w:tc>
        <w:tc>
          <w:tcPr>
            <w:tcW w:w="344" w:type="pct"/>
            <w:tcBorders>
              <w:top w:val="nil"/>
              <w:left w:val="nil"/>
              <w:bottom w:val="single" w:sz="12" w:space="0" w:color="auto"/>
              <w:right w:val="nil"/>
            </w:tcBorders>
            <w:shd w:val="clear" w:color="auto" w:fill="auto"/>
            <w:vAlign w:val="bottom"/>
          </w:tcPr>
          <w:p w14:paraId="0137D84B" w14:textId="55599D6E" w:rsidR="00353692" w:rsidRPr="00537128" w:rsidRDefault="00353692" w:rsidP="00353692">
            <w:pPr>
              <w:tabs>
                <w:tab w:val="right" w:pos="1202"/>
              </w:tabs>
              <w:spacing w:after="0" w:line="301" w:lineRule="exact"/>
              <w:jc w:val="right"/>
              <w:outlineLvl w:val="0"/>
              <w:rPr>
                <w:rFonts w:ascii="Calibri" w:eastAsia="Calibri" w:hAnsi="Calibri" w:cs="Arial"/>
                <w:b/>
                <w:bCs/>
                <w:sz w:val="15"/>
                <w:szCs w:val="15"/>
                <w:lang w:val="en-US"/>
              </w:rPr>
            </w:pPr>
            <w:r w:rsidRPr="007A49AD">
              <w:rPr>
                <w:b/>
                <w:bCs/>
                <w:sz w:val="15"/>
                <w:szCs w:val="15"/>
              </w:rPr>
              <w:t xml:space="preserve"> 951</w:t>
            </w:r>
            <w:r>
              <w:rPr>
                <w:b/>
                <w:bCs/>
                <w:sz w:val="15"/>
                <w:szCs w:val="15"/>
              </w:rPr>
              <w:t>,</w:t>
            </w:r>
            <w:r w:rsidRPr="007A49AD">
              <w:rPr>
                <w:b/>
                <w:bCs/>
                <w:sz w:val="15"/>
                <w:szCs w:val="15"/>
              </w:rPr>
              <w:t xml:space="preserve">385 </w:t>
            </w:r>
          </w:p>
        </w:tc>
        <w:tc>
          <w:tcPr>
            <w:tcW w:w="343" w:type="pct"/>
            <w:tcBorders>
              <w:top w:val="nil"/>
              <w:left w:val="nil"/>
              <w:bottom w:val="single" w:sz="12" w:space="0" w:color="auto"/>
              <w:right w:val="nil"/>
            </w:tcBorders>
            <w:shd w:val="clear" w:color="auto" w:fill="auto"/>
            <w:vAlign w:val="bottom"/>
          </w:tcPr>
          <w:p w14:paraId="56716C05" w14:textId="1F57A8E8" w:rsidR="00353692" w:rsidRPr="00537128" w:rsidRDefault="00353692" w:rsidP="00353692">
            <w:pPr>
              <w:tabs>
                <w:tab w:val="right" w:pos="1202"/>
              </w:tabs>
              <w:spacing w:after="0" w:line="301" w:lineRule="exact"/>
              <w:jc w:val="right"/>
              <w:outlineLvl w:val="0"/>
              <w:rPr>
                <w:rFonts w:ascii="Calibri" w:eastAsia="Calibri" w:hAnsi="Calibri" w:cs="Arial"/>
                <w:b/>
                <w:bCs/>
                <w:sz w:val="15"/>
                <w:szCs w:val="15"/>
                <w:lang w:val="en-US"/>
              </w:rPr>
            </w:pPr>
            <w:r w:rsidRPr="007A49AD">
              <w:rPr>
                <w:b/>
                <w:bCs/>
                <w:sz w:val="15"/>
                <w:szCs w:val="15"/>
              </w:rPr>
              <w:t xml:space="preserve"> 996</w:t>
            </w:r>
            <w:r>
              <w:rPr>
                <w:b/>
                <w:bCs/>
                <w:sz w:val="15"/>
                <w:szCs w:val="15"/>
              </w:rPr>
              <w:t>,</w:t>
            </w:r>
            <w:r w:rsidRPr="007A49AD">
              <w:rPr>
                <w:b/>
                <w:bCs/>
                <w:sz w:val="15"/>
                <w:szCs w:val="15"/>
              </w:rPr>
              <w:t xml:space="preserve">043 </w:t>
            </w:r>
          </w:p>
        </w:tc>
        <w:tc>
          <w:tcPr>
            <w:tcW w:w="344" w:type="pct"/>
            <w:tcBorders>
              <w:top w:val="nil"/>
              <w:left w:val="nil"/>
              <w:bottom w:val="single" w:sz="12" w:space="0" w:color="auto"/>
              <w:right w:val="nil"/>
            </w:tcBorders>
            <w:shd w:val="clear" w:color="auto" w:fill="auto"/>
            <w:vAlign w:val="bottom"/>
          </w:tcPr>
          <w:p w14:paraId="5849CD30" w14:textId="31C4C8F6" w:rsidR="00353692" w:rsidRPr="00537128" w:rsidRDefault="00353692" w:rsidP="00353692">
            <w:pPr>
              <w:tabs>
                <w:tab w:val="right" w:pos="1202"/>
              </w:tabs>
              <w:spacing w:after="0" w:line="301" w:lineRule="exact"/>
              <w:jc w:val="right"/>
              <w:outlineLvl w:val="0"/>
              <w:rPr>
                <w:rFonts w:ascii="Calibri" w:eastAsia="Calibri" w:hAnsi="Calibri" w:cs="Arial"/>
                <w:b/>
                <w:bCs/>
                <w:sz w:val="15"/>
                <w:szCs w:val="15"/>
                <w:lang w:val="en-US"/>
              </w:rPr>
            </w:pPr>
            <w:r w:rsidRPr="007A49AD">
              <w:rPr>
                <w:b/>
                <w:bCs/>
                <w:sz w:val="15"/>
                <w:szCs w:val="15"/>
              </w:rPr>
              <w:t xml:space="preserve"> 25</w:t>
            </w:r>
            <w:r>
              <w:rPr>
                <w:b/>
                <w:bCs/>
                <w:sz w:val="15"/>
                <w:szCs w:val="15"/>
              </w:rPr>
              <w:t>,</w:t>
            </w:r>
            <w:r w:rsidRPr="007A49AD">
              <w:rPr>
                <w:b/>
                <w:bCs/>
                <w:sz w:val="15"/>
                <w:szCs w:val="15"/>
              </w:rPr>
              <w:t xml:space="preserve">652 </w:t>
            </w:r>
          </w:p>
        </w:tc>
        <w:tc>
          <w:tcPr>
            <w:tcW w:w="344" w:type="pct"/>
            <w:tcBorders>
              <w:top w:val="nil"/>
              <w:left w:val="nil"/>
              <w:bottom w:val="single" w:sz="12" w:space="0" w:color="auto"/>
              <w:right w:val="nil"/>
            </w:tcBorders>
            <w:shd w:val="clear" w:color="auto" w:fill="auto"/>
            <w:vAlign w:val="bottom"/>
          </w:tcPr>
          <w:p w14:paraId="225199C8" w14:textId="45CB1933" w:rsidR="00353692" w:rsidRPr="00537128" w:rsidRDefault="00353692" w:rsidP="00353692">
            <w:pPr>
              <w:tabs>
                <w:tab w:val="right" w:pos="1202"/>
              </w:tabs>
              <w:spacing w:after="0" w:line="301" w:lineRule="exact"/>
              <w:jc w:val="right"/>
              <w:outlineLvl w:val="0"/>
              <w:rPr>
                <w:rFonts w:ascii="Calibri" w:eastAsia="Calibri" w:hAnsi="Calibri" w:cs="Arial"/>
                <w:b/>
                <w:bCs/>
                <w:sz w:val="15"/>
                <w:szCs w:val="15"/>
                <w:lang w:val="en-US"/>
              </w:rPr>
            </w:pPr>
            <w:r w:rsidRPr="007A49AD">
              <w:rPr>
                <w:b/>
                <w:bCs/>
                <w:sz w:val="15"/>
                <w:szCs w:val="15"/>
              </w:rPr>
              <w:t xml:space="preserve"> 27</w:t>
            </w:r>
            <w:r>
              <w:rPr>
                <w:b/>
                <w:bCs/>
                <w:sz w:val="15"/>
                <w:szCs w:val="15"/>
              </w:rPr>
              <w:t>,</w:t>
            </w:r>
            <w:r w:rsidRPr="007A49AD">
              <w:rPr>
                <w:b/>
                <w:bCs/>
                <w:sz w:val="15"/>
                <w:szCs w:val="15"/>
              </w:rPr>
              <w:t>435</w:t>
            </w:r>
            <w:r>
              <w:rPr>
                <w:b/>
                <w:bCs/>
                <w:sz w:val="15"/>
                <w:szCs w:val="15"/>
              </w:rPr>
              <w:t>,</w:t>
            </w:r>
            <w:r w:rsidRPr="007A49AD">
              <w:rPr>
                <w:b/>
                <w:bCs/>
                <w:sz w:val="15"/>
                <w:szCs w:val="15"/>
              </w:rPr>
              <w:t xml:space="preserve">977 </w:t>
            </w:r>
          </w:p>
        </w:tc>
        <w:tc>
          <w:tcPr>
            <w:tcW w:w="343" w:type="pct"/>
            <w:tcBorders>
              <w:top w:val="nil"/>
              <w:left w:val="nil"/>
              <w:bottom w:val="single" w:sz="12" w:space="0" w:color="auto"/>
              <w:right w:val="nil"/>
            </w:tcBorders>
            <w:vAlign w:val="bottom"/>
          </w:tcPr>
          <w:p w14:paraId="2F85645A" w14:textId="4E61CE01" w:rsidR="00353692" w:rsidRPr="00537128" w:rsidRDefault="00353692" w:rsidP="00353692">
            <w:pPr>
              <w:tabs>
                <w:tab w:val="right" w:pos="1202"/>
              </w:tabs>
              <w:spacing w:after="0" w:line="301" w:lineRule="exact"/>
              <w:jc w:val="right"/>
              <w:outlineLvl w:val="0"/>
              <w:rPr>
                <w:rFonts w:ascii="Calibri" w:eastAsia="Calibri" w:hAnsi="Calibri" w:cs="Arial"/>
                <w:b/>
                <w:bCs/>
                <w:sz w:val="15"/>
                <w:szCs w:val="15"/>
                <w:lang w:val="en-US"/>
              </w:rPr>
            </w:pPr>
            <w:r w:rsidRPr="007A49AD">
              <w:rPr>
                <w:b/>
                <w:bCs/>
                <w:sz w:val="15"/>
                <w:szCs w:val="15"/>
              </w:rPr>
              <w:t xml:space="preserve"> 6</w:t>
            </w:r>
            <w:r>
              <w:rPr>
                <w:b/>
                <w:bCs/>
                <w:sz w:val="15"/>
                <w:szCs w:val="15"/>
              </w:rPr>
              <w:t>,</w:t>
            </w:r>
            <w:r w:rsidRPr="007A49AD">
              <w:rPr>
                <w:b/>
                <w:bCs/>
                <w:sz w:val="15"/>
                <w:szCs w:val="15"/>
              </w:rPr>
              <w:t>011</w:t>
            </w:r>
            <w:r>
              <w:rPr>
                <w:b/>
                <w:bCs/>
                <w:sz w:val="15"/>
                <w:szCs w:val="15"/>
              </w:rPr>
              <w:t>,</w:t>
            </w:r>
            <w:r w:rsidRPr="007A49AD">
              <w:rPr>
                <w:b/>
                <w:bCs/>
                <w:sz w:val="15"/>
                <w:szCs w:val="15"/>
              </w:rPr>
              <w:t xml:space="preserve">262 </w:t>
            </w:r>
          </w:p>
        </w:tc>
        <w:tc>
          <w:tcPr>
            <w:tcW w:w="344" w:type="pct"/>
            <w:tcBorders>
              <w:top w:val="nil"/>
              <w:left w:val="nil"/>
              <w:bottom w:val="single" w:sz="12" w:space="0" w:color="auto"/>
              <w:right w:val="nil"/>
            </w:tcBorders>
            <w:vAlign w:val="bottom"/>
          </w:tcPr>
          <w:p w14:paraId="2B678A3E" w14:textId="4CB19174" w:rsidR="00353692" w:rsidRPr="00537128" w:rsidRDefault="00353692" w:rsidP="00353692">
            <w:pPr>
              <w:tabs>
                <w:tab w:val="right" w:pos="1202"/>
              </w:tabs>
              <w:spacing w:after="0" w:line="301" w:lineRule="exact"/>
              <w:jc w:val="right"/>
              <w:outlineLvl w:val="0"/>
              <w:rPr>
                <w:rFonts w:ascii="Calibri" w:eastAsia="Calibri" w:hAnsi="Calibri" w:cs="Arial"/>
                <w:b/>
                <w:bCs/>
                <w:sz w:val="15"/>
                <w:szCs w:val="15"/>
                <w:lang w:val="en-US"/>
              </w:rPr>
            </w:pPr>
            <w:r w:rsidRPr="007A49AD">
              <w:rPr>
                <w:b/>
                <w:bCs/>
                <w:sz w:val="15"/>
                <w:szCs w:val="15"/>
              </w:rPr>
              <w:t xml:space="preserve"> 99</w:t>
            </w:r>
            <w:r>
              <w:rPr>
                <w:b/>
                <w:bCs/>
                <w:sz w:val="15"/>
                <w:szCs w:val="15"/>
              </w:rPr>
              <w:t>,</w:t>
            </w:r>
            <w:r w:rsidRPr="007A49AD">
              <w:rPr>
                <w:b/>
                <w:bCs/>
                <w:sz w:val="15"/>
                <w:szCs w:val="15"/>
              </w:rPr>
              <w:t xml:space="preserve">934 </w:t>
            </w:r>
          </w:p>
        </w:tc>
        <w:tc>
          <w:tcPr>
            <w:tcW w:w="344" w:type="pct"/>
            <w:tcBorders>
              <w:top w:val="nil"/>
              <w:left w:val="nil"/>
              <w:bottom w:val="single" w:sz="12" w:space="0" w:color="auto"/>
              <w:right w:val="nil"/>
            </w:tcBorders>
            <w:vAlign w:val="bottom"/>
          </w:tcPr>
          <w:p w14:paraId="3E2F332E" w14:textId="706A96B9" w:rsidR="00353692" w:rsidRPr="00537128" w:rsidRDefault="00353692" w:rsidP="00353692">
            <w:pPr>
              <w:tabs>
                <w:tab w:val="right" w:pos="1202"/>
              </w:tabs>
              <w:spacing w:after="0" w:line="301" w:lineRule="exact"/>
              <w:jc w:val="right"/>
              <w:outlineLvl w:val="0"/>
              <w:rPr>
                <w:rFonts w:ascii="Calibri" w:eastAsia="Calibri" w:hAnsi="Calibri" w:cs="Arial"/>
                <w:b/>
                <w:bCs/>
                <w:sz w:val="15"/>
                <w:szCs w:val="15"/>
                <w:lang w:val="en-US"/>
              </w:rPr>
            </w:pPr>
            <w:r w:rsidRPr="007A49AD">
              <w:rPr>
                <w:b/>
                <w:bCs/>
                <w:sz w:val="15"/>
                <w:szCs w:val="15"/>
              </w:rPr>
              <w:t xml:space="preserve"> 181</w:t>
            </w:r>
            <w:r>
              <w:rPr>
                <w:b/>
                <w:bCs/>
                <w:sz w:val="15"/>
                <w:szCs w:val="15"/>
              </w:rPr>
              <w:t>,</w:t>
            </w:r>
            <w:r w:rsidRPr="007A49AD">
              <w:rPr>
                <w:b/>
                <w:bCs/>
                <w:sz w:val="15"/>
                <w:szCs w:val="15"/>
              </w:rPr>
              <w:t xml:space="preserve">687 </w:t>
            </w:r>
          </w:p>
        </w:tc>
        <w:tc>
          <w:tcPr>
            <w:tcW w:w="343" w:type="pct"/>
            <w:tcBorders>
              <w:top w:val="nil"/>
              <w:left w:val="nil"/>
              <w:bottom w:val="single" w:sz="12" w:space="0" w:color="auto"/>
              <w:right w:val="nil"/>
            </w:tcBorders>
            <w:vAlign w:val="bottom"/>
          </w:tcPr>
          <w:p w14:paraId="33CB5091" w14:textId="621C30DA" w:rsidR="00353692" w:rsidRPr="00537128" w:rsidRDefault="00353692" w:rsidP="00353692">
            <w:pPr>
              <w:tabs>
                <w:tab w:val="right" w:pos="1202"/>
              </w:tabs>
              <w:spacing w:after="0" w:line="301" w:lineRule="exact"/>
              <w:jc w:val="right"/>
              <w:outlineLvl w:val="0"/>
              <w:rPr>
                <w:rFonts w:ascii="Calibri" w:eastAsia="Calibri" w:hAnsi="Calibri" w:cs="Arial"/>
                <w:b/>
                <w:bCs/>
                <w:sz w:val="15"/>
                <w:szCs w:val="15"/>
                <w:lang w:val="en-US"/>
              </w:rPr>
            </w:pPr>
            <w:r w:rsidRPr="007A49AD">
              <w:rPr>
                <w:b/>
                <w:bCs/>
                <w:sz w:val="15"/>
                <w:szCs w:val="15"/>
              </w:rPr>
              <w:t xml:space="preserve"> 42</w:t>
            </w:r>
            <w:r>
              <w:rPr>
                <w:b/>
                <w:bCs/>
                <w:sz w:val="15"/>
                <w:szCs w:val="15"/>
              </w:rPr>
              <w:t>,</w:t>
            </w:r>
            <w:r w:rsidRPr="007A49AD">
              <w:rPr>
                <w:b/>
                <w:bCs/>
                <w:sz w:val="15"/>
                <w:szCs w:val="15"/>
              </w:rPr>
              <w:t xml:space="preserve">699 </w:t>
            </w:r>
          </w:p>
        </w:tc>
        <w:tc>
          <w:tcPr>
            <w:tcW w:w="344" w:type="pct"/>
            <w:tcBorders>
              <w:top w:val="nil"/>
              <w:left w:val="nil"/>
              <w:bottom w:val="single" w:sz="12" w:space="0" w:color="auto"/>
              <w:right w:val="nil"/>
            </w:tcBorders>
            <w:vAlign w:val="bottom"/>
          </w:tcPr>
          <w:p w14:paraId="19DE90E3" w14:textId="691A1010" w:rsidR="00353692" w:rsidRPr="00537128" w:rsidRDefault="00353692" w:rsidP="00353692">
            <w:pPr>
              <w:tabs>
                <w:tab w:val="right" w:pos="1202"/>
              </w:tabs>
              <w:spacing w:after="0" w:line="301" w:lineRule="exact"/>
              <w:jc w:val="right"/>
              <w:outlineLvl w:val="0"/>
              <w:rPr>
                <w:rFonts w:ascii="Calibri" w:eastAsia="Calibri" w:hAnsi="Calibri" w:cs="Arial"/>
                <w:b/>
                <w:bCs/>
                <w:sz w:val="15"/>
                <w:szCs w:val="15"/>
                <w:lang w:val="en-US"/>
              </w:rPr>
            </w:pPr>
            <w:r w:rsidRPr="007A49AD">
              <w:rPr>
                <w:b/>
                <w:bCs/>
                <w:sz w:val="15"/>
                <w:szCs w:val="15"/>
              </w:rPr>
              <w:t xml:space="preserve"> 25</w:t>
            </w:r>
            <w:r>
              <w:rPr>
                <w:b/>
                <w:bCs/>
                <w:sz w:val="15"/>
                <w:szCs w:val="15"/>
              </w:rPr>
              <w:t>,</w:t>
            </w:r>
            <w:r w:rsidRPr="007A49AD">
              <w:rPr>
                <w:b/>
                <w:bCs/>
                <w:sz w:val="15"/>
                <w:szCs w:val="15"/>
              </w:rPr>
              <w:t xml:space="preserve">374 </w:t>
            </w:r>
          </w:p>
        </w:tc>
        <w:tc>
          <w:tcPr>
            <w:tcW w:w="343" w:type="pct"/>
            <w:tcBorders>
              <w:top w:val="nil"/>
              <w:left w:val="nil"/>
              <w:bottom w:val="single" w:sz="12" w:space="0" w:color="auto"/>
              <w:right w:val="nil"/>
            </w:tcBorders>
            <w:vAlign w:val="bottom"/>
          </w:tcPr>
          <w:p w14:paraId="0A690F83" w14:textId="0950BC3A" w:rsidR="00353692" w:rsidRPr="00537128" w:rsidRDefault="00353692" w:rsidP="00353692">
            <w:pPr>
              <w:tabs>
                <w:tab w:val="right" w:pos="1202"/>
              </w:tabs>
              <w:spacing w:after="0" w:line="301" w:lineRule="exact"/>
              <w:jc w:val="right"/>
              <w:outlineLvl w:val="0"/>
              <w:rPr>
                <w:rFonts w:ascii="Calibri" w:eastAsia="Calibri" w:hAnsi="Calibri" w:cs="Arial"/>
                <w:b/>
                <w:bCs/>
                <w:sz w:val="15"/>
                <w:szCs w:val="15"/>
                <w:lang w:val="en-US"/>
              </w:rPr>
            </w:pPr>
            <w:r w:rsidRPr="007A49AD">
              <w:rPr>
                <w:b/>
                <w:bCs/>
                <w:sz w:val="15"/>
                <w:szCs w:val="15"/>
              </w:rPr>
              <w:t xml:space="preserve"> 6</w:t>
            </w:r>
            <w:r>
              <w:rPr>
                <w:b/>
                <w:bCs/>
                <w:sz w:val="15"/>
                <w:szCs w:val="15"/>
              </w:rPr>
              <w:t>,</w:t>
            </w:r>
            <w:r w:rsidRPr="007A49AD">
              <w:rPr>
                <w:b/>
                <w:bCs/>
                <w:sz w:val="15"/>
                <w:szCs w:val="15"/>
              </w:rPr>
              <w:t>360</w:t>
            </w:r>
            <w:r>
              <w:rPr>
                <w:b/>
                <w:bCs/>
                <w:sz w:val="15"/>
                <w:szCs w:val="15"/>
              </w:rPr>
              <w:t>,</w:t>
            </w:r>
            <w:r w:rsidRPr="007A49AD">
              <w:rPr>
                <w:b/>
                <w:bCs/>
                <w:sz w:val="15"/>
                <w:szCs w:val="15"/>
              </w:rPr>
              <w:t xml:space="preserve">956 </w:t>
            </w:r>
          </w:p>
        </w:tc>
      </w:tr>
      <w:tr w:rsidR="00353692" w:rsidRPr="00537128" w14:paraId="25CEF3A2" w14:textId="77777777" w:rsidTr="004A287E">
        <w:trPr>
          <w:trHeight w:val="200"/>
          <w:jc w:val="center"/>
        </w:trPr>
        <w:tc>
          <w:tcPr>
            <w:tcW w:w="877" w:type="pct"/>
          </w:tcPr>
          <w:p w14:paraId="30BF7D0E" w14:textId="77777777" w:rsidR="00353692" w:rsidRPr="00537128" w:rsidRDefault="00353692" w:rsidP="00353692">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Guarantees and commitments</w:t>
            </w:r>
          </w:p>
        </w:tc>
        <w:tc>
          <w:tcPr>
            <w:tcW w:w="343" w:type="pct"/>
            <w:tcBorders>
              <w:top w:val="nil"/>
              <w:left w:val="nil"/>
              <w:bottom w:val="nil"/>
              <w:right w:val="nil"/>
            </w:tcBorders>
            <w:shd w:val="clear" w:color="auto" w:fill="auto"/>
            <w:vAlign w:val="bottom"/>
          </w:tcPr>
          <w:p w14:paraId="3D2D4FF0" w14:textId="77777777" w:rsidR="00353692" w:rsidRPr="00537128" w:rsidRDefault="00353692" w:rsidP="00353692">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0E607977" w14:textId="77777777" w:rsidR="00353692" w:rsidRPr="00537128" w:rsidRDefault="00353692" w:rsidP="00353692">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26208474" w14:textId="77777777" w:rsidR="00353692" w:rsidRPr="00537128" w:rsidRDefault="00353692" w:rsidP="00353692">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shd w:val="clear" w:color="auto" w:fill="auto"/>
            <w:vAlign w:val="bottom"/>
          </w:tcPr>
          <w:p w14:paraId="48860EC9" w14:textId="77777777" w:rsidR="00353692" w:rsidRPr="00537128" w:rsidRDefault="00353692" w:rsidP="00353692">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59F21B25" w14:textId="77777777" w:rsidR="00353692" w:rsidRPr="00537128" w:rsidRDefault="00353692" w:rsidP="00353692">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38084A63" w14:textId="77777777" w:rsidR="00353692" w:rsidRPr="00537128" w:rsidRDefault="00353692" w:rsidP="00353692">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311A79AE" w14:textId="77777777" w:rsidR="00353692" w:rsidRPr="00537128" w:rsidRDefault="00353692" w:rsidP="00353692">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5FBAC726" w14:textId="77777777" w:rsidR="00353692" w:rsidRPr="00537128" w:rsidRDefault="00353692" w:rsidP="00353692">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1B76ECD3" w14:textId="77777777" w:rsidR="00353692" w:rsidRPr="00537128" w:rsidRDefault="00353692" w:rsidP="00353692">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3C682355" w14:textId="77777777" w:rsidR="00353692" w:rsidRPr="00537128" w:rsidRDefault="00353692" w:rsidP="00353692">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02205511" w14:textId="77777777" w:rsidR="00353692" w:rsidRPr="00537128" w:rsidRDefault="00353692" w:rsidP="00353692">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2D6C10D8" w14:textId="77777777" w:rsidR="00353692" w:rsidRPr="00537128" w:rsidRDefault="00353692" w:rsidP="00353692">
            <w:pPr>
              <w:tabs>
                <w:tab w:val="right" w:pos="1202"/>
              </w:tabs>
              <w:spacing w:after="0" w:line="240" w:lineRule="auto"/>
              <w:jc w:val="right"/>
              <w:outlineLvl w:val="0"/>
              <w:rPr>
                <w:rFonts w:ascii="Calibri" w:eastAsia="Calibri" w:hAnsi="Calibri" w:cs="Arial"/>
                <w:snapToGrid w:val="0"/>
                <w:sz w:val="15"/>
                <w:szCs w:val="15"/>
                <w:lang w:val="en-US"/>
              </w:rPr>
            </w:pPr>
          </w:p>
        </w:tc>
      </w:tr>
      <w:tr w:rsidR="00353692" w:rsidRPr="00537128" w14:paraId="2C365A8D" w14:textId="77777777" w:rsidTr="00470DF3">
        <w:trPr>
          <w:trHeight w:val="200"/>
          <w:jc w:val="center"/>
        </w:trPr>
        <w:tc>
          <w:tcPr>
            <w:tcW w:w="877" w:type="pct"/>
            <w:vAlign w:val="bottom"/>
          </w:tcPr>
          <w:p w14:paraId="0F654B12" w14:textId="77777777" w:rsidR="00353692" w:rsidRPr="00537128" w:rsidRDefault="00353692" w:rsidP="00353692">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Guarantees issued in HRK</w:t>
            </w:r>
          </w:p>
        </w:tc>
        <w:tc>
          <w:tcPr>
            <w:tcW w:w="343" w:type="pct"/>
            <w:tcBorders>
              <w:top w:val="nil"/>
              <w:left w:val="nil"/>
              <w:bottom w:val="nil"/>
              <w:right w:val="nil"/>
            </w:tcBorders>
            <w:shd w:val="clear" w:color="auto" w:fill="auto"/>
          </w:tcPr>
          <w:p w14:paraId="3BFDB460" w14:textId="4C341072"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73</w:t>
            </w:r>
            <w:r>
              <w:rPr>
                <w:sz w:val="15"/>
                <w:szCs w:val="15"/>
              </w:rPr>
              <w:t>,</w:t>
            </w:r>
            <w:r w:rsidRPr="007A49AD">
              <w:rPr>
                <w:sz w:val="15"/>
                <w:szCs w:val="15"/>
              </w:rPr>
              <w:t xml:space="preserve">868 </w:t>
            </w:r>
          </w:p>
        </w:tc>
        <w:tc>
          <w:tcPr>
            <w:tcW w:w="344" w:type="pct"/>
            <w:tcBorders>
              <w:top w:val="nil"/>
              <w:left w:val="nil"/>
              <w:bottom w:val="nil"/>
              <w:right w:val="nil"/>
            </w:tcBorders>
            <w:shd w:val="clear" w:color="auto" w:fill="auto"/>
          </w:tcPr>
          <w:p w14:paraId="0EFDA19E" w14:textId="1E2ECF1C"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22</w:t>
            </w:r>
            <w:r>
              <w:rPr>
                <w:sz w:val="15"/>
                <w:szCs w:val="15"/>
              </w:rPr>
              <w:t>,</w:t>
            </w:r>
            <w:r w:rsidRPr="007A49AD">
              <w:rPr>
                <w:sz w:val="15"/>
                <w:szCs w:val="15"/>
              </w:rPr>
              <w:t xml:space="preserve">713 </w:t>
            </w:r>
          </w:p>
        </w:tc>
        <w:tc>
          <w:tcPr>
            <w:tcW w:w="344" w:type="pct"/>
            <w:tcBorders>
              <w:top w:val="nil"/>
              <w:left w:val="nil"/>
              <w:bottom w:val="nil"/>
              <w:right w:val="nil"/>
            </w:tcBorders>
            <w:shd w:val="clear" w:color="auto" w:fill="auto"/>
          </w:tcPr>
          <w:p w14:paraId="332DDC9A" w14:textId="2946F706"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49</w:t>
            </w:r>
            <w:r>
              <w:rPr>
                <w:sz w:val="15"/>
                <w:szCs w:val="15"/>
              </w:rPr>
              <w:t>,</w:t>
            </w:r>
            <w:r w:rsidRPr="007A49AD">
              <w:rPr>
                <w:sz w:val="15"/>
                <w:szCs w:val="15"/>
              </w:rPr>
              <w:t xml:space="preserve">468 </w:t>
            </w:r>
          </w:p>
        </w:tc>
        <w:tc>
          <w:tcPr>
            <w:tcW w:w="343" w:type="pct"/>
            <w:tcBorders>
              <w:top w:val="nil"/>
              <w:left w:val="nil"/>
              <w:bottom w:val="nil"/>
              <w:right w:val="nil"/>
            </w:tcBorders>
            <w:shd w:val="clear" w:color="auto" w:fill="auto"/>
          </w:tcPr>
          <w:p w14:paraId="0174CE40" w14:textId="47310529"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4" w:type="pct"/>
            <w:tcBorders>
              <w:top w:val="nil"/>
              <w:left w:val="nil"/>
              <w:bottom w:val="nil"/>
              <w:right w:val="nil"/>
            </w:tcBorders>
            <w:shd w:val="clear" w:color="auto" w:fill="auto"/>
          </w:tcPr>
          <w:p w14:paraId="7919199B" w14:textId="3E9FC458"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4" w:type="pct"/>
            <w:tcBorders>
              <w:top w:val="nil"/>
              <w:left w:val="nil"/>
              <w:bottom w:val="nil"/>
              <w:right w:val="nil"/>
            </w:tcBorders>
            <w:shd w:val="clear" w:color="auto" w:fill="auto"/>
          </w:tcPr>
          <w:p w14:paraId="52F83D87" w14:textId="0DB0D6BC"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146</w:t>
            </w:r>
            <w:r>
              <w:rPr>
                <w:sz w:val="15"/>
                <w:szCs w:val="15"/>
              </w:rPr>
              <w:t>,</w:t>
            </w:r>
            <w:r w:rsidRPr="007A49AD">
              <w:rPr>
                <w:sz w:val="15"/>
                <w:szCs w:val="15"/>
              </w:rPr>
              <w:t xml:space="preserve">049 </w:t>
            </w:r>
          </w:p>
        </w:tc>
        <w:tc>
          <w:tcPr>
            <w:tcW w:w="343" w:type="pct"/>
            <w:tcBorders>
              <w:top w:val="nil"/>
              <w:left w:val="nil"/>
              <w:bottom w:val="nil"/>
              <w:right w:val="nil"/>
            </w:tcBorders>
          </w:tcPr>
          <w:p w14:paraId="185D50EB" w14:textId="049FA7D3"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32</w:t>
            </w:r>
            <w:r>
              <w:rPr>
                <w:sz w:val="15"/>
                <w:szCs w:val="15"/>
              </w:rPr>
              <w:t>,</w:t>
            </w:r>
            <w:r w:rsidRPr="007A49AD">
              <w:rPr>
                <w:sz w:val="15"/>
                <w:szCs w:val="15"/>
              </w:rPr>
              <w:t xml:space="preserve">827 </w:t>
            </w:r>
          </w:p>
        </w:tc>
        <w:tc>
          <w:tcPr>
            <w:tcW w:w="344" w:type="pct"/>
            <w:tcBorders>
              <w:top w:val="nil"/>
              <w:left w:val="nil"/>
              <w:bottom w:val="nil"/>
              <w:right w:val="nil"/>
            </w:tcBorders>
          </w:tcPr>
          <w:p w14:paraId="4EF5F7ED" w14:textId="296990BA"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22</w:t>
            </w:r>
            <w:r>
              <w:rPr>
                <w:sz w:val="15"/>
                <w:szCs w:val="15"/>
              </w:rPr>
              <w:t>,</w:t>
            </w:r>
            <w:r w:rsidRPr="007A49AD">
              <w:rPr>
                <w:sz w:val="15"/>
                <w:szCs w:val="15"/>
              </w:rPr>
              <w:t xml:space="preserve">713 </w:t>
            </w:r>
          </w:p>
        </w:tc>
        <w:tc>
          <w:tcPr>
            <w:tcW w:w="344" w:type="pct"/>
            <w:tcBorders>
              <w:top w:val="nil"/>
              <w:left w:val="nil"/>
              <w:bottom w:val="nil"/>
              <w:right w:val="nil"/>
            </w:tcBorders>
          </w:tcPr>
          <w:p w14:paraId="4D350D8C" w14:textId="665960C8"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24</w:t>
            </w:r>
            <w:r>
              <w:rPr>
                <w:sz w:val="15"/>
                <w:szCs w:val="15"/>
              </w:rPr>
              <w:t>,</w:t>
            </w:r>
            <w:r w:rsidRPr="007A49AD">
              <w:rPr>
                <w:sz w:val="15"/>
                <w:szCs w:val="15"/>
              </w:rPr>
              <w:t xml:space="preserve">268 </w:t>
            </w:r>
          </w:p>
        </w:tc>
        <w:tc>
          <w:tcPr>
            <w:tcW w:w="343" w:type="pct"/>
            <w:tcBorders>
              <w:top w:val="nil"/>
              <w:left w:val="nil"/>
              <w:bottom w:val="nil"/>
              <w:right w:val="nil"/>
            </w:tcBorders>
          </w:tcPr>
          <w:p w14:paraId="07559485" w14:textId="24ED9C59"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4" w:type="pct"/>
            <w:tcBorders>
              <w:top w:val="nil"/>
              <w:left w:val="nil"/>
              <w:bottom w:val="nil"/>
              <w:right w:val="nil"/>
            </w:tcBorders>
          </w:tcPr>
          <w:p w14:paraId="792F71ED" w14:textId="4A93D9FF"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3" w:type="pct"/>
            <w:tcBorders>
              <w:top w:val="nil"/>
              <w:left w:val="nil"/>
              <w:bottom w:val="nil"/>
              <w:right w:val="nil"/>
            </w:tcBorders>
          </w:tcPr>
          <w:p w14:paraId="2C329978" w14:textId="504A9CC0"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79</w:t>
            </w:r>
            <w:r>
              <w:rPr>
                <w:sz w:val="15"/>
                <w:szCs w:val="15"/>
              </w:rPr>
              <w:t>,</w:t>
            </w:r>
            <w:r w:rsidRPr="007A49AD">
              <w:rPr>
                <w:sz w:val="15"/>
                <w:szCs w:val="15"/>
              </w:rPr>
              <w:t xml:space="preserve">808 </w:t>
            </w:r>
          </w:p>
        </w:tc>
      </w:tr>
      <w:tr w:rsidR="00353692" w:rsidRPr="00537128" w14:paraId="6D67BA6C" w14:textId="77777777" w:rsidTr="00470DF3">
        <w:trPr>
          <w:trHeight w:val="200"/>
          <w:jc w:val="center"/>
        </w:trPr>
        <w:tc>
          <w:tcPr>
            <w:tcW w:w="877" w:type="pct"/>
            <w:vAlign w:val="bottom"/>
          </w:tcPr>
          <w:p w14:paraId="3C3C916A" w14:textId="77777777" w:rsidR="00353692" w:rsidRPr="00537128" w:rsidRDefault="00353692" w:rsidP="00353692">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Issued guarantees in foreign currency</w:t>
            </w:r>
          </w:p>
        </w:tc>
        <w:tc>
          <w:tcPr>
            <w:tcW w:w="343" w:type="pct"/>
            <w:tcBorders>
              <w:top w:val="nil"/>
              <w:left w:val="nil"/>
              <w:bottom w:val="nil"/>
              <w:right w:val="nil"/>
            </w:tcBorders>
            <w:shd w:val="clear" w:color="auto" w:fill="auto"/>
          </w:tcPr>
          <w:p w14:paraId="7AA36034" w14:textId="2DC18D51"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64</w:t>
            </w:r>
            <w:r>
              <w:rPr>
                <w:sz w:val="15"/>
                <w:szCs w:val="15"/>
              </w:rPr>
              <w:t>,</w:t>
            </w:r>
            <w:r w:rsidRPr="007A49AD">
              <w:rPr>
                <w:sz w:val="15"/>
                <w:szCs w:val="15"/>
              </w:rPr>
              <w:t xml:space="preserve">636 </w:t>
            </w:r>
          </w:p>
        </w:tc>
        <w:tc>
          <w:tcPr>
            <w:tcW w:w="344" w:type="pct"/>
            <w:tcBorders>
              <w:top w:val="nil"/>
              <w:left w:val="nil"/>
              <w:bottom w:val="nil"/>
              <w:right w:val="nil"/>
            </w:tcBorders>
            <w:shd w:val="clear" w:color="auto" w:fill="auto"/>
          </w:tcPr>
          <w:p w14:paraId="68AE9CC8" w14:textId="77B1D294"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380 </w:t>
            </w:r>
          </w:p>
        </w:tc>
        <w:tc>
          <w:tcPr>
            <w:tcW w:w="344" w:type="pct"/>
            <w:tcBorders>
              <w:top w:val="nil"/>
              <w:left w:val="nil"/>
              <w:bottom w:val="nil"/>
              <w:right w:val="nil"/>
            </w:tcBorders>
            <w:shd w:val="clear" w:color="auto" w:fill="auto"/>
          </w:tcPr>
          <w:p w14:paraId="0DC18218" w14:textId="2D456653"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130</w:t>
            </w:r>
            <w:r>
              <w:rPr>
                <w:sz w:val="15"/>
                <w:szCs w:val="15"/>
              </w:rPr>
              <w:t>,</w:t>
            </w:r>
            <w:r w:rsidRPr="007A49AD">
              <w:rPr>
                <w:sz w:val="15"/>
                <w:szCs w:val="15"/>
              </w:rPr>
              <w:t xml:space="preserve">086 </w:t>
            </w:r>
          </w:p>
        </w:tc>
        <w:tc>
          <w:tcPr>
            <w:tcW w:w="343" w:type="pct"/>
            <w:tcBorders>
              <w:top w:val="nil"/>
              <w:left w:val="nil"/>
              <w:bottom w:val="nil"/>
              <w:right w:val="nil"/>
            </w:tcBorders>
            <w:shd w:val="clear" w:color="auto" w:fill="auto"/>
          </w:tcPr>
          <w:p w14:paraId="53A8999A" w14:textId="1C41859B"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4" w:type="pct"/>
            <w:tcBorders>
              <w:top w:val="nil"/>
              <w:left w:val="nil"/>
              <w:bottom w:val="nil"/>
              <w:right w:val="nil"/>
            </w:tcBorders>
            <w:shd w:val="clear" w:color="auto" w:fill="auto"/>
          </w:tcPr>
          <w:p w14:paraId="06197C58" w14:textId="18AF43E2"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4" w:type="pct"/>
            <w:tcBorders>
              <w:top w:val="nil"/>
              <w:left w:val="nil"/>
              <w:bottom w:val="nil"/>
              <w:right w:val="nil"/>
            </w:tcBorders>
            <w:shd w:val="clear" w:color="auto" w:fill="auto"/>
          </w:tcPr>
          <w:p w14:paraId="1AC3F5D1" w14:textId="159C019B"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195</w:t>
            </w:r>
            <w:r>
              <w:rPr>
                <w:sz w:val="15"/>
                <w:szCs w:val="15"/>
              </w:rPr>
              <w:t>,</w:t>
            </w:r>
            <w:r w:rsidRPr="007A49AD">
              <w:rPr>
                <w:sz w:val="15"/>
                <w:szCs w:val="15"/>
              </w:rPr>
              <w:t xml:space="preserve">102 </w:t>
            </w:r>
          </w:p>
        </w:tc>
        <w:tc>
          <w:tcPr>
            <w:tcW w:w="343" w:type="pct"/>
            <w:tcBorders>
              <w:top w:val="nil"/>
              <w:left w:val="nil"/>
              <w:bottom w:val="nil"/>
              <w:right w:val="nil"/>
            </w:tcBorders>
          </w:tcPr>
          <w:p w14:paraId="6ABA0F17" w14:textId="2ECB1C43"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51</w:t>
            </w:r>
            <w:r>
              <w:rPr>
                <w:sz w:val="15"/>
                <w:szCs w:val="15"/>
              </w:rPr>
              <w:t>,</w:t>
            </w:r>
            <w:r w:rsidRPr="007A49AD">
              <w:rPr>
                <w:sz w:val="15"/>
                <w:szCs w:val="15"/>
              </w:rPr>
              <w:t xml:space="preserve">631 </w:t>
            </w:r>
          </w:p>
        </w:tc>
        <w:tc>
          <w:tcPr>
            <w:tcW w:w="344" w:type="pct"/>
            <w:tcBorders>
              <w:top w:val="nil"/>
              <w:left w:val="nil"/>
              <w:bottom w:val="nil"/>
              <w:right w:val="nil"/>
            </w:tcBorders>
          </w:tcPr>
          <w:p w14:paraId="7EE1E016" w14:textId="4696CB50"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4" w:type="pct"/>
            <w:tcBorders>
              <w:top w:val="nil"/>
              <w:left w:val="nil"/>
              <w:bottom w:val="nil"/>
              <w:right w:val="nil"/>
            </w:tcBorders>
          </w:tcPr>
          <w:p w14:paraId="3A5E9A10" w14:textId="6D058A85"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56</w:t>
            </w:r>
            <w:r>
              <w:rPr>
                <w:sz w:val="15"/>
                <w:szCs w:val="15"/>
              </w:rPr>
              <w:t>,</w:t>
            </w:r>
            <w:r w:rsidRPr="007A49AD">
              <w:rPr>
                <w:sz w:val="15"/>
                <w:szCs w:val="15"/>
              </w:rPr>
              <w:t xml:space="preserve">348 </w:t>
            </w:r>
          </w:p>
        </w:tc>
        <w:tc>
          <w:tcPr>
            <w:tcW w:w="343" w:type="pct"/>
            <w:tcBorders>
              <w:top w:val="nil"/>
              <w:left w:val="nil"/>
              <w:bottom w:val="nil"/>
              <w:right w:val="nil"/>
            </w:tcBorders>
          </w:tcPr>
          <w:p w14:paraId="5A492B35" w14:textId="5A7C76B9"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4" w:type="pct"/>
            <w:tcBorders>
              <w:top w:val="nil"/>
              <w:left w:val="nil"/>
              <w:bottom w:val="nil"/>
              <w:right w:val="nil"/>
            </w:tcBorders>
          </w:tcPr>
          <w:p w14:paraId="440B7076" w14:textId="73E38460"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3" w:type="pct"/>
            <w:tcBorders>
              <w:top w:val="nil"/>
              <w:left w:val="nil"/>
              <w:bottom w:val="nil"/>
              <w:right w:val="nil"/>
            </w:tcBorders>
          </w:tcPr>
          <w:p w14:paraId="05E64167" w14:textId="7C597615"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107</w:t>
            </w:r>
            <w:r>
              <w:rPr>
                <w:sz w:val="15"/>
                <w:szCs w:val="15"/>
              </w:rPr>
              <w:t>,</w:t>
            </w:r>
            <w:r w:rsidRPr="007A49AD">
              <w:rPr>
                <w:sz w:val="15"/>
                <w:szCs w:val="15"/>
              </w:rPr>
              <w:t xml:space="preserve">979 </w:t>
            </w:r>
          </w:p>
        </w:tc>
      </w:tr>
      <w:tr w:rsidR="00353692" w:rsidRPr="00537128" w14:paraId="47D718F2" w14:textId="77777777" w:rsidTr="00470DF3">
        <w:trPr>
          <w:trHeight w:val="200"/>
          <w:jc w:val="center"/>
        </w:trPr>
        <w:tc>
          <w:tcPr>
            <w:tcW w:w="877" w:type="pct"/>
            <w:vAlign w:val="bottom"/>
          </w:tcPr>
          <w:p w14:paraId="459530DD" w14:textId="77777777" w:rsidR="00353692" w:rsidRPr="00537128" w:rsidRDefault="00353692" w:rsidP="00353692">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 xml:space="preserve">Undrawn loans </w:t>
            </w:r>
          </w:p>
        </w:tc>
        <w:tc>
          <w:tcPr>
            <w:tcW w:w="343" w:type="pct"/>
            <w:tcBorders>
              <w:top w:val="nil"/>
              <w:left w:val="nil"/>
              <w:bottom w:val="single" w:sz="4" w:space="0" w:color="auto"/>
              <w:right w:val="nil"/>
            </w:tcBorders>
            <w:shd w:val="clear" w:color="auto" w:fill="auto"/>
          </w:tcPr>
          <w:p w14:paraId="07806342" w14:textId="4642ED02"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2</w:t>
            </w:r>
            <w:r>
              <w:rPr>
                <w:sz w:val="15"/>
                <w:szCs w:val="15"/>
              </w:rPr>
              <w:t>,</w:t>
            </w:r>
            <w:r w:rsidRPr="007A49AD">
              <w:rPr>
                <w:sz w:val="15"/>
                <w:szCs w:val="15"/>
              </w:rPr>
              <w:t>949</w:t>
            </w:r>
            <w:r>
              <w:rPr>
                <w:sz w:val="15"/>
                <w:szCs w:val="15"/>
              </w:rPr>
              <w:t>,</w:t>
            </w:r>
            <w:r w:rsidRPr="007A49AD">
              <w:rPr>
                <w:sz w:val="15"/>
                <w:szCs w:val="15"/>
              </w:rPr>
              <w:t xml:space="preserve">500 </w:t>
            </w:r>
          </w:p>
        </w:tc>
        <w:tc>
          <w:tcPr>
            <w:tcW w:w="344" w:type="pct"/>
            <w:tcBorders>
              <w:top w:val="nil"/>
              <w:left w:val="nil"/>
              <w:bottom w:val="single" w:sz="4" w:space="0" w:color="auto"/>
              <w:right w:val="nil"/>
            </w:tcBorders>
            <w:shd w:val="clear" w:color="auto" w:fill="auto"/>
          </w:tcPr>
          <w:p w14:paraId="636C8DB4" w14:textId="4ABEBC14"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177</w:t>
            </w:r>
            <w:r>
              <w:rPr>
                <w:sz w:val="15"/>
                <w:szCs w:val="15"/>
              </w:rPr>
              <w:t>,</w:t>
            </w:r>
            <w:r w:rsidRPr="007A49AD">
              <w:rPr>
                <w:sz w:val="15"/>
                <w:szCs w:val="15"/>
              </w:rPr>
              <w:t xml:space="preserve">905 </w:t>
            </w:r>
          </w:p>
        </w:tc>
        <w:tc>
          <w:tcPr>
            <w:tcW w:w="344" w:type="pct"/>
            <w:tcBorders>
              <w:top w:val="nil"/>
              <w:left w:val="nil"/>
              <w:bottom w:val="single" w:sz="4" w:space="0" w:color="auto"/>
              <w:right w:val="nil"/>
            </w:tcBorders>
            <w:shd w:val="clear" w:color="auto" w:fill="auto"/>
          </w:tcPr>
          <w:p w14:paraId="56850B1B" w14:textId="351B5AA4"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3" w:type="pct"/>
            <w:tcBorders>
              <w:top w:val="nil"/>
              <w:left w:val="nil"/>
              <w:bottom w:val="single" w:sz="4" w:space="0" w:color="auto"/>
              <w:right w:val="nil"/>
            </w:tcBorders>
            <w:shd w:val="clear" w:color="auto" w:fill="auto"/>
          </w:tcPr>
          <w:p w14:paraId="4907E70C" w14:textId="0E7C6FA6"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56</w:t>
            </w:r>
            <w:r>
              <w:rPr>
                <w:sz w:val="15"/>
                <w:szCs w:val="15"/>
              </w:rPr>
              <w:t>,</w:t>
            </w:r>
            <w:r w:rsidRPr="007A49AD">
              <w:rPr>
                <w:sz w:val="15"/>
                <w:szCs w:val="15"/>
              </w:rPr>
              <w:t xml:space="preserve">981 </w:t>
            </w:r>
          </w:p>
        </w:tc>
        <w:tc>
          <w:tcPr>
            <w:tcW w:w="344" w:type="pct"/>
            <w:tcBorders>
              <w:top w:val="nil"/>
              <w:left w:val="nil"/>
              <w:bottom w:val="single" w:sz="4" w:space="0" w:color="auto"/>
              <w:right w:val="nil"/>
            </w:tcBorders>
            <w:shd w:val="clear" w:color="auto" w:fill="auto"/>
          </w:tcPr>
          <w:p w14:paraId="4F3781D6" w14:textId="109B345D"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4" w:type="pct"/>
            <w:tcBorders>
              <w:top w:val="nil"/>
              <w:left w:val="nil"/>
              <w:bottom w:val="single" w:sz="4" w:space="0" w:color="auto"/>
              <w:right w:val="nil"/>
            </w:tcBorders>
            <w:shd w:val="clear" w:color="auto" w:fill="auto"/>
          </w:tcPr>
          <w:p w14:paraId="1F7CDDB7" w14:textId="5F99C8D7"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3</w:t>
            </w:r>
            <w:r>
              <w:rPr>
                <w:sz w:val="15"/>
                <w:szCs w:val="15"/>
              </w:rPr>
              <w:t>,</w:t>
            </w:r>
            <w:r w:rsidRPr="007A49AD">
              <w:rPr>
                <w:sz w:val="15"/>
                <w:szCs w:val="15"/>
              </w:rPr>
              <w:t>184</w:t>
            </w:r>
            <w:r>
              <w:rPr>
                <w:sz w:val="15"/>
                <w:szCs w:val="15"/>
              </w:rPr>
              <w:t>,</w:t>
            </w:r>
            <w:r w:rsidRPr="007A49AD">
              <w:rPr>
                <w:sz w:val="15"/>
                <w:szCs w:val="15"/>
              </w:rPr>
              <w:t xml:space="preserve">386 </w:t>
            </w:r>
          </w:p>
        </w:tc>
        <w:tc>
          <w:tcPr>
            <w:tcW w:w="343" w:type="pct"/>
            <w:tcBorders>
              <w:top w:val="nil"/>
              <w:left w:val="nil"/>
              <w:bottom w:val="single" w:sz="4" w:space="0" w:color="auto"/>
              <w:right w:val="nil"/>
            </w:tcBorders>
          </w:tcPr>
          <w:p w14:paraId="14526955" w14:textId="7FC3794F"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242</w:t>
            </w:r>
            <w:r>
              <w:rPr>
                <w:sz w:val="15"/>
                <w:szCs w:val="15"/>
              </w:rPr>
              <w:t>,</w:t>
            </w:r>
            <w:r w:rsidRPr="007A49AD">
              <w:rPr>
                <w:sz w:val="15"/>
                <w:szCs w:val="15"/>
              </w:rPr>
              <w:t xml:space="preserve">306 </w:t>
            </w:r>
          </w:p>
        </w:tc>
        <w:tc>
          <w:tcPr>
            <w:tcW w:w="344" w:type="pct"/>
            <w:tcBorders>
              <w:top w:val="nil"/>
              <w:left w:val="nil"/>
              <w:bottom w:val="single" w:sz="4" w:space="0" w:color="auto"/>
              <w:right w:val="nil"/>
            </w:tcBorders>
          </w:tcPr>
          <w:p w14:paraId="389FB008" w14:textId="0B214ABC"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75</w:t>
            </w:r>
            <w:r>
              <w:rPr>
                <w:sz w:val="15"/>
                <w:szCs w:val="15"/>
              </w:rPr>
              <w:t>,</w:t>
            </w:r>
            <w:r w:rsidRPr="007A49AD">
              <w:rPr>
                <w:sz w:val="15"/>
                <w:szCs w:val="15"/>
              </w:rPr>
              <w:t xml:space="preserve">078 </w:t>
            </w:r>
          </w:p>
        </w:tc>
        <w:tc>
          <w:tcPr>
            <w:tcW w:w="344" w:type="pct"/>
            <w:tcBorders>
              <w:top w:val="nil"/>
              <w:left w:val="nil"/>
              <w:bottom w:val="single" w:sz="4" w:space="0" w:color="auto"/>
              <w:right w:val="nil"/>
            </w:tcBorders>
          </w:tcPr>
          <w:p w14:paraId="6130E7B0" w14:textId="478B7DA0"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3" w:type="pct"/>
            <w:tcBorders>
              <w:top w:val="nil"/>
              <w:left w:val="nil"/>
              <w:bottom w:val="single" w:sz="4" w:space="0" w:color="auto"/>
              <w:right w:val="nil"/>
            </w:tcBorders>
          </w:tcPr>
          <w:p w14:paraId="2C354167" w14:textId="4D5F2C2E"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790 </w:t>
            </w:r>
          </w:p>
        </w:tc>
        <w:tc>
          <w:tcPr>
            <w:tcW w:w="344" w:type="pct"/>
            <w:tcBorders>
              <w:top w:val="nil"/>
              <w:left w:val="nil"/>
              <w:bottom w:val="single" w:sz="4" w:space="0" w:color="auto"/>
              <w:right w:val="nil"/>
            </w:tcBorders>
          </w:tcPr>
          <w:p w14:paraId="121AC691" w14:textId="572EBE5F"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 </w:t>
            </w:r>
          </w:p>
        </w:tc>
        <w:tc>
          <w:tcPr>
            <w:tcW w:w="343" w:type="pct"/>
            <w:tcBorders>
              <w:top w:val="nil"/>
              <w:left w:val="nil"/>
              <w:bottom w:val="single" w:sz="4" w:space="0" w:color="auto"/>
              <w:right w:val="nil"/>
            </w:tcBorders>
          </w:tcPr>
          <w:p w14:paraId="28405A5B" w14:textId="1102392F" w:rsidR="00353692" w:rsidRPr="00537128" w:rsidRDefault="00353692" w:rsidP="00353692">
            <w:pPr>
              <w:spacing w:after="0" w:line="240" w:lineRule="auto"/>
              <w:jc w:val="right"/>
              <w:rPr>
                <w:rFonts w:ascii="Calibri" w:eastAsia="Calibri" w:hAnsi="Calibri" w:cs="Arial"/>
                <w:sz w:val="15"/>
                <w:szCs w:val="15"/>
                <w:lang w:val="en-US"/>
              </w:rPr>
            </w:pPr>
            <w:r w:rsidRPr="007A49AD">
              <w:rPr>
                <w:sz w:val="15"/>
                <w:szCs w:val="15"/>
              </w:rPr>
              <w:t xml:space="preserve"> 318</w:t>
            </w:r>
            <w:r>
              <w:rPr>
                <w:sz w:val="15"/>
                <w:szCs w:val="15"/>
              </w:rPr>
              <w:t>,</w:t>
            </w:r>
            <w:r w:rsidRPr="007A49AD">
              <w:rPr>
                <w:sz w:val="15"/>
                <w:szCs w:val="15"/>
              </w:rPr>
              <w:t xml:space="preserve">174 </w:t>
            </w:r>
          </w:p>
        </w:tc>
      </w:tr>
      <w:tr w:rsidR="00353692" w:rsidRPr="00537128" w14:paraId="39DFEE8C" w14:textId="77777777" w:rsidTr="00470DF3">
        <w:trPr>
          <w:trHeight w:val="145"/>
          <w:jc w:val="center"/>
        </w:trPr>
        <w:tc>
          <w:tcPr>
            <w:tcW w:w="877" w:type="pct"/>
            <w:vAlign w:val="bottom"/>
          </w:tcPr>
          <w:p w14:paraId="21E4C51F" w14:textId="77777777" w:rsidR="00353692" w:rsidRPr="00537128" w:rsidRDefault="00353692" w:rsidP="00353692">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 xml:space="preserve">Total </w:t>
            </w:r>
          </w:p>
        </w:tc>
        <w:tc>
          <w:tcPr>
            <w:tcW w:w="343" w:type="pct"/>
            <w:tcBorders>
              <w:top w:val="single" w:sz="4" w:space="0" w:color="auto"/>
              <w:left w:val="nil"/>
              <w:bottom w:val="single" w:sz="12" w:space="0" w:color="auto"/>
              <w:right w:val="nil"/>
            </w:tcBorders>
            <w:shd w:val="clear" w:color="auto" w:fill="auto"/>
          </w:tcPr>
          <w:p w14:paraId="606AFB7E" w14:textId="15E1A148" w:rsidR="00353692" w:rsidRPr="00537128" w:rsidRDefault="00353692" w:rsidP="00353692">
            <w:pPr>
              <w:spacing w:after="0" w:line="301" w:lineRule="exact"/>
              <w:jc w:val="right"/>
              <w:rPr>
                <w:rFonts w:ascii="Calibri" w:eastAsia="Calibri" w:hAnsi="Calibri" w:cs="Arial"/>
                <w:b/>
                <w:bCs/>
                <w:sz w:val="15"/>
                <w:szCs w:val="15"/>
                <w:lang w:val="en-US"/>
              </w:rPr>
            </w:pPr>
            <w:r w:rsidRPr="007A49AD">
              <w:rPr>
                <w:sz w:val="15"/>
                <w:szCs w:val="15"/>
              </w:rPr>
              <w:t xml:space="preserve"> 3</w:t>
            </w:r>
            <w:r>
              <w:rPr>
                <w:sz w:val="15"/>
                <w:szCs w:val="15"/>
              </w:rPr>
              <w:t>,</w:t>
            </w:r>
            <w:r w:rsidRPr="007A49AD">
              <w:rPr>
                <w:sz w:val="15"/>
                <w:szCs w:val="15"/>
              </w:rPr>
              <w:t>088</w:t>
            </w:r>
            <w:r>
              <w:rPr>
                <w:sz w:val="15"/>
                <w:szCs w:val="15"/>
              </w:rPr>
              <w:t>,</w:t>
            </w:r>
            <w:r w:rsidRPr="007A49AD">
              <w:rPr>
                <w:sz w:val="15"/>
                <w:szCs w:val="15"/>
              </w:rPr>
              <w:t xml:space="preserve">004 </w:t>
            </w:r>
          </w:p>
        </w:tc>
        <w:tc>
          <w:tcPr>
            <w:tcW w:w="344" w:type="pct"/>
            <w:tcBorders>
              <w:top w:val="single" w:sz="4" w:space="0" w:color="auto"/>
              <w:left w:val="nil"/>
              <w:bottom w:val="single" w:sz="12" w:space="0" w:color="auto"/>
              <w:right w:val="nil"/>
            </w:tcBorders>
            <w:shd w:val="clear" w:color="auto" w:fill="auto"/>
          </w:tcPr>
          <w:p w14:paraId="033F0AB0" w14:textId="54677AAC" w:rsidR="00353692" w:rsidRPr="00537128" w:rsidRDefault="00353692" w:rsidP="00353692">
            <w:pPr>
              <w:spacing w:after="0" w:line="301" w:lineRule="exact"/>
              <w:jc w:val="right"/>
              <w:rPr>
                <w:rFonts w:ascii="Calibri" w:eastAsia="Calibri" w:hAnsi="Calibri" w:cs="Arial"/>
                <w:b/>
                <w:bCs/>
                <w:sz w:val="15"/>
                <w:szCs w:val="15"/>
                <w:lang w:val="en-US"/>
              </w:rPr>
            </w:pPr>
            <w:r w:rsidRPr="007A49AD">
              <w:rPr>
                <w:sz w:val="15"/>
                <w:szCs w:val="15"/>
              </w:rPr>
              <w:t xml:space="preserve"> 200</w:t>
            </w:r>
            <w:r>
              <w:rPr>
                <w:sz w:val="15"/>
                <w:szCs w:val="15"/>
              </w:rPr>
              <w:t>,</w:t>
            </w:r>
            <w:r w:rsidRPr="007A49AD">
              <w:rPr>
                <w:sz w:val="15"/>
                <w:szCs w:val="15"/>
              </w:rPr>
              <w:t xml:space="preserve">998 </w:t>
            </w:r>
          </w:p>
        </w:tc>
        <w:tc>
          <w:tcPr>
            <w:tcW w:w="344" w:type="pct"/>
            <w:tcBorders>
              <w:top w:val="single" w:sz="4" w:space="0" w:color="auto"/>
              <w:left w:val="nil"/>
              <w:bottom w:val="single" w:sz="12" w:space="0" w:color="auto"/>
              <w:right w:val="nil"/>
            </w:tcBorders>
            <w:shd w:val="clear" w:color="auto" w:fill="auto"/>
          </w:tcPr>
          <w:p w14:paraId="2489A35C" w14:textId="65969BC9" w:rsidR="00353692" w:rsidRPr="00537128" w:rsidRDefault="00353692" w:rsidP="00353692">
            <w:pPr>
              <w:spacing w:after="0" w:line="301" w:lineRule="exact"/>
              <w:jc w:val="right"/>
              <w:rPr>
                <w:rFonts w:ascii="Calibri" w:eastAsia="Calibri" w:hAnsi="Calibri" w:cs="Arial"/>
                <w:b/>
                <w:bCs/>
                <w:sz w:val="15"/>
                <w:szCs w:val="15"/>
                <w:lang w:val="en-US"/>
              </w:rPr>
            </w:pPr>
            <w:r w:rsidRPr="007A49AD">
              <w:rPr>
                <w:sz w:val="15"/>
                <w:szCs w:val="15"/>
              </w:rPr>
              <w:t xml:space="preserve"> 179</w:t>
            </w:r>
            <w:r>
              <w:rPr>
                <w:sz w:val="15"/>
                <w:szCs w:val="15"/>
              </w:rPr>
              <w:t>,</w:t>
            </w:r>
            <w:r w:rsidRPr="007A49AD">
              <w:rPr>
                <w:sz w:val="15"/>
                <w:szCs w:val="15"/>
              </w:rPr>
              <w:t xml:space="preserve">554 </w:t>
            </w:r>
          </w:p>
        </w:tc>
        <w:tc>
          <w:tcPr>
            <w:tcW w:w="343" w:type="pct"/>
            <w:tcBorders>
              <w:top w:val="single" w:sz="4" w:space="0" w:color="auto"/>
              <w:left w:val="nil"/>
              <w:bottom w:val="single" w:sz="12" w:space="0" w:color="auto"/>
              <w:right w:val="nil"/>
            </w:tcBorders>
            <w:shd w:val="clear" w:color="auto" w:fill="auto"/>
          </w:tcPr>
          <w:p w14:paraId="4F4CB459" w14:textId="771FA85C" w:rsidR="00353692" w:rsidRPr="00537128" w:rsidRDefault="00353692" w:rsidP="00353692">
            <w:pPr>
              <w:spacing w:after="0" w:line="301" w:lineRule="exact"/>
              <w:jc w:val="right"/>
              <w:rPr>
                <w:rFonts w:ascii="Calibri" w:eastAsia="Calibri" w:hAnsi="Calibri" w:cs="Arial"/>
                <w:b/>
                <w:bCs/>
                <w:sz w:val="15"/>
                <w:szCs w:val="15"/>
                <w:lang w:val="en-US"/>
              </w:rPr>
            </w:pPr>
            <w:r w:rsidRPr="007A49AD">
              <w:rPr>
                <w:sz w:val="15"/>
                <w:szCs w:val="15"/>
              </w:rPr>
              <w:t xml:space="preserve"> 56</w:t>
            </w:r>
            <w:r>
              <w:rPr>
                <w:sz w:val="15"/>
                <w:szCs w:val="15"/>
              </w:rPr>
              <w:t>,</w:t>
            </w:r>
            <w:r w:rsidRPr="007A49AD">
              <w:rPr>
                <w:sz w:val="15"/>
                <w:szCs w:val="15"/>
              </w:rPr>
              <w:t xml:space="preserve">981 </w:t>
            </w:r>
          </w:p>
        </w:tc>
        <w:tc>
          <w:tcPr>
            <w:tcW w:w="344" w:type="pct"/>
            <w:tcBorders>
              <w:top w:val="single" w:sz="4" w:space="0" w:color="auto"/>
              <w:left w:val="nil"/>
              <w:bottom w:val="single" w:sz="12" w:space="0" w:color="auto"/>
              <w:right w:val="nil"/>
            </w:tcBorders>
            <w:shd w:val="clear" w:color="auto" w:fill="auto"/>
          </w:tcPr>
          <w:p w14:paraId="4CAFA674" w14:textId="735917E4" w:rsidR="00353692" w:rsidRPr="00537128" w:rsidRDefault="00353692" w:rsidP="00353692">
            <w:pPr>
              <w:spacing w:after="0" w:line="301" w:lineRule="exact"/>
              <w:jc w:val="right"/>
              <w:rPr>
                <w:rFonts w:ascii="Calibri" w:eastAsia="Calibri" w:hAnsi="Calibri" w:cs="Arial"/>
                <w:b/>
                <w:bCs/>
                <w:sz w:val="15"/>
                <w:szCs w:val="15"/>
                <w:lang w:val="en-US"/>
              </w:rPr>
            </w:pPr>
            <w:r w:rsidRPr="007A49AD">
              <w:rPr>
                <w:sz w:val="15"/>
                <w:szCs w:val="15"/>
              </w:rPr>
              <w:t xml:space="preserve"> - </w:t>
            </w:r>
          </w:p>
        </w:tc>
        <w:tc>
          <w:tcPr>
            <w:tcW w:w="344" w:type="pct"/>
            <w:tcBorders>
              <w:top w:val="single" w:sz="4" w:space="0" w:color="auto"/>
              <w:left w:val="nil"/>
              <w:bottom w:val="single" w:sz="12" w:space="0" w:color="auto"/>
              <w:right w:val="nil"/>
            </w:tcBorders>
            <w:shd w:val="clear" w:color="auto" w:fill="auto"/>
          </w:tcPr>
          <w:p w14:paraId="09918E1B" w14:textId="0BF6D793" w:rsidR="00353692" w:rsidRPr="00537128" w:rsidRDefault="00353692" w:rsidP="00353692">
            <w:pPr>
              <w:spacing w:after="0" w:line="301" w:lineRule="exact"/>
              <w:jc w:val="right"/>
              <w:rPr>
                <w:rFonts w:ascii="Calibri" w:eastAsia="Calibri" w:hAnsi="Calibri" w:cs="Arial"/>
                <w:b/>
                <w:bCs/>
                <w:sz w:val="15"/>
                <w:szCs w:val="15"/>
                <w:lang w:val="en-US"/>
              </w:rPr>
            </w:pPr>
            <w:r w:rsidRPr="007A49AD">
              <w:rPr>
                <w:sz w:val="15"/>
                <w:szCs w:val="15"/>
              </w:rPr>
              <w:t xml:space="preserve"> 3</w:t>
            </w:r>
            <w:r>
              <w:rPr>
                <w:sz w:val="15"/>
                <w:szCs w:val="15"/>
              </w:rPr>
              <w:t>,</w:t>
            </w:r>
            <w:r w:rsidRPr="007A49AD">
              <w:rPr>
                <w:sz w:val="15"/>
                <w:szCs w:val="15"/>
              </w:rPr>
              <w:t>525</w:t>
            </w:r>
            <w:r>
              <w:rPr>
                <w:sz w:val="15"/>
                <w:szCs w:val="15"/>
              </w:rPr>
              <w:t>,</w:t>
            </w:r>
            <w:r w:rsidRPr="007A49AD">
              <w:rPr>
                <w:sz w:val="15"/>
                <w:szCs w:val="15"/>
              </w:rPr>
              <w:t xml:space="preserve">537 </w:t>
            </w:r>
          </w:p>
        </w:tc>
        <w:tc>
          <w:tcPr>
            <w:tcW w:w="343" w:type="pct"/>
            <w:tcBorders>
              <w:top w:val="single" w:sz="4" w:space="0" w:color="auto"/>
              <w:left w:val="nil"/>
              <w:bottom w:val="single" w:sz="12" w:space="0" w:color="auto"/>
              <w:right w:val="nil"/>
            </w:tcBorders>
          </w:tcPr>
          <w:p w14:paraId="30054CBE" w14:textId="2853D186" w:rsidR="00353692" w:rsidRPr="00537128" w:rsidRDefault="00353692" w:rsidP="00353692">
            <w:pPr>
              <w:spacing w:after="0" w:line="301" w:lineRule="exact"/>
              <w:jc w:val="right"/>
              <w:rPr>
                <w:rFonts w:ascii="Calibri" w:eastAsia="Calibri" w:hAnsi="Calibri" w:cs="Arial"/>
                <w:b/>
                <w:bCs/>
                <w:sz w:val="15"/>
                <w:szCs w:val="15"/>
                <w:lang w:val="en-US"/>
              </w:rPr>
            </w:pPr>
            <w:r w:rsidRPr="007A49AD">
              <w:rPr>
                <w:sz w:val="15"/>
                <w:szCs w:val="15"/>
              </w:rPr>
              <w:t xml:space="preserve"> 326</w:t>
            </w:r>
            <w:r>
              <w:rPr>
                <w:sz w:val="15"/>
                <w:szCs w:val="15"/>
              </w:rPr>
              <w:t>,</w:t>
            </w:r>
            <w:r w:rsidRPr="007A49AD">
              <w:rPr>
                <w:sz w:val="15"/>
                <w:szCs w:val="15"/>
              </w:rPr>
              <w:t xml:space="preserve">764 </w:t>
            </w:r>
          </w:p>
        </w:tc>
        <w:tc>
          <w:tcPr>
            <w:tcW w:w="344" w:type="pct"/>
            <w:tcBorders>
              <w:top w:val="single" w:sz="4" w:space="0" w:color="auto"/>
              <w:left w:val="nil"/>
              <w:bottom w:val="single" w:sz="12" w:space="0" w:color="auto"/>
              <w:right w:val="nil"/>
            </w:tcBorders>
          </w:tcPr>
          <w:p w14:paraId="565DF1EF" w14:textId="52EEF5D7" w:rsidR="00353692" w:rsidRPr="00537128" w:rsidRDefault="00353692" w:rsidP="00353692">
            <w:pPr>
              <w:spacing w:after="0" w:line="301" w:lineRule="exact"/>
              <w:jc w:val="right"/>
              <w:rPr>
                <w:rFonts w:ascii="Calibri" w:eastAsia="Calibri" w:hAnsi="Calibri" w:cs="Arial"/>
                <w:b/>
                <w:bCs/>
                <w:sz w:val="15"/>
                <w:szCs w:val="15"/>
                <w:lang w:val="en-US"/>
              </w:rPr>
            </w:pPr>
            <w:r w:rsidRPr="007A49AD">
              <w:rPr>
                <w:sz w:val="15"/>
                <w:szCs w:val="15"/>
              </w:rPr>
              <w:t xml:space="preserve"> 97</w:t>
            </w:r>
            <w:r>
              <w:rPr>
                <w:sz w:val="15"/>
                <w:szCs w:val="15"/>
              </w:rPr>
              <w:t>,</w:t>
            </w:r>
            <w:r w:rsidRPr="007A49AD">
              <w:rPr>
                <w:sz w:val="15"/>
                <w:szCs w:val="15"/>
              </w:rPr>
              <w:t xml:space="preserve">791 </w:t>
            </w:r>
          </w:p>
        </w:tc>
        <w:tc>
          <w:tcPr>
            <w:tcW w:w="344" w:type="pct"/>
            <w:tcBorders>
              <w:top w:val="single" w:sz="4" w:space="0" w:color="auto"/>
              <w:left w:val="nil"/>
              <w:bottom w:val="single" w:sz="12" w:space="0" w:color="auto"/>
              <w:right w:val="nil"/>
            </w:tcBorders>
          </w:tcPr>
          <w:p w14:paraId="6D1740A7" w14:textId="0280D275" w:rsidR="00353692" w:rsidRPr="00537128" w:rsidRDefault="00353692" w:rsidP="00353692">
            <w:pPr>
              <w:spacing w:after="0" w:line="301" w:lineRule="exact"/>
              <w:jc w:val="right"/>
              <w:rPr>
                <w:rFonts w:ascii="Calibri" w:eastAsia="Calibri" w:hAnsi="Calibri" w:cs="Arial"/>
                <w:b/>
                <w:bCs/>
                <w:sz w:val="15"/>
                <w:szCs w:val="15"/>
                <w:lang w:val="en-US"/>
              </w:rPr>
            </w:pPr>
            <w:r w:rsidRPr="007A49AD">
              <w:rPr>
                <w:sz w:val="15"/>
                <w:szCs w:val="15"/>
              </w:rPr>
              <w:t xml:space="preserve"> 80</w:t>
            </w:r>
            <w:r>
              <w:rPr>
                <w:sz w:val="15"/>
                <w:szCs w:val="15"/>
              </w:rPr>
              <w:t>,</w:t>
            </w:r>
            <w:r w:rsidRPr="007A49AD">
              <w:rPr>
                <w:sz w:val="15"/>
                <w:szCs w:val="15"/>
              </w:rPr>
              <w:t xml:space="preserve">616 </w:t>
            </w:r>
          </w:p>
        </w:tc>
        <w:tc>
          <w:tcPr>
            <w:tcW w:w="343" w:type="pct"/>
            <w:tcBorders>
              <w:top w:val="single" w:sz="4" w:space="0" w:color="auto"/>
              <w:left w:val="nil"/>
              <w:bottom w:val="single" w:sz="12" w:space="0" w:color="auto"/>
              <w:right w:val="nil"/>
            </w:tcBorders>
          </w:tcPr>
          <w:p w14:paraId="301836E9" w14:textId="0CEB73EF" w:rsidR="00353692" w:rsidRPr="00537128" w:rsidRDefault="00353692" w:rsidP="00353692">
            <w:pPr>
              <w:spacing w:after="0" w:line="301" w:lineRule="exact"/>
              <w:jc w:val="right"/>
              <w:rPr>
                <w:rFonts w:ascii="Calibri" w:eastAsia="Calibri" w:hAnsi="Calibri" w:cs="Arial"/>
                <w:b/>
                <w:bCs/>
                <w:sz w:val="15"/>
                <w:szCs w:val="15"/>
                <w:lang w:val="en-US"/>
              </w:rPr>
            </w:pPr>
            <w:r w:rsidRPr="007A49AD">
              <w:rPr>
                <w:sz w:val="15"/>
                <w:szCs w:val="15"/>
              </w:rPr>
              <w:t xml:space="preserve"> 790 </w:t>
            </w:r>
          </w:p>
        </w:tc>
        <w:tc>
          <w:tcPr>
            <w:tcW w:w="344" w:type="pct"/>
            <w:tcBorders>
              <w:top w:val="single" w:sz="4" w:space="0" w:color="auto"/>
              <w:left w:val="nil"/>
              <w:bottom w:val="single" w:sz="12" w:space="0" w:color="auto"/>
              <w:right w:val="nil"/>
            </w:tcBorders>
          </w:tcPr>
          <w:p w14:paraId="2BFF6662" w14:textId="3FCB47A1" w:rsidR="00353692" w:rsidRPr="00537128" w:rsidRDefault="00353692" w:rsidP="00353692">
            <w:pPr>
              <w:spacing w:after="0" w:line="301" w:lineRule="exact"/>
              <w:jc w:val="right"/>
              <w:rPr>
                <w:rFonts w:ascii="Calibri" w:eastAsia="Calibri" w:hAnsi="Calibri" w:cs="Arial"/>
                <w:b/>
                <w:bCs/>
                <w:sz w:val="15"/>
                <w:szCs w:val="15"/>
                <w:lang w:val="en-US"/>
              </w:rPr>
            </w:pPr>
            <w:r w:rsidRPr="007A49AD">
              <w:rPr>
                <w:sz w:val="15"/>
                <w:szCs w:val="15"/>
              </w:rPr>
              <w:t xml:space="preserve"> - </w:t>
            </w:r>
          </w:p>
        </w:tc>
        <w:tc>
          <w:tcPr>
            <w:tcW w:w="343" w:type="pct"/>
            <w:tcBorders>
              <w:top w:val="single" w:sz="4" w:space="0" w:color="auto"/>
              <w:left w:val="nil"/>
              <w:bottom w:val="single" w:sz="12" w:space="0" w:color="auto"/>
              <w:right w:val="nil"/>
            </w:tcBorders>
          </w:tcPr>
          <w:p w14:paraId="000779FF" w14:textId="2F3C0119" w:rsidR="00353692" w:rsidRPr="00537128" w:rsidRDefault="00353692" w:rsidP="00353692">
            <w:pPr>
              <w:spacing w:after="0" w:line="301" w:lineRule="exact"/>
              <w:jc w:val="right"/>
              <w:rPr>
                <w:rFonts w:ascii="Calibri" w:eastAsia="Calibri" w:hAnsi="Calibri" w:cs="Arial"/>
                <w:b/>
                <w:bCs/>
                <w:sz w:val="15"/>
                <w:szCs w:val="15"/>
                <w:lang w:val="en-US"/>
              </w:rPr>
            </w:pPr>
            <w:r w:rsidRPr="007A49AD">
              <w:rPr>
                <w:sz w:val="15"/>
                <w:szCs w:val="15"/>
              </w:rPr>
              <w:t xml:space="preserve"> 505</w:t>
            </w:r>
            <w:r>
              <w:rPr>
                <w:sz w:val="15"/>
                <w:szCs w:val="15"/>
              </w:rPr>
              <w:t>,</w:t>
            </w:r>
            <w:r w:rsidRPr="007A49AD">
              <w:rPr>
                <w:sz w:val="15"/>
                <w:szCs w:val="15"/>
              </w:rPr>
              <w:t xml:space="preserve">961 </w:t>
            </w:r>
          </w:p>
        </w:tc>
      </w:tr>
      <w:tr w:rsidR="00353692" w:rsidRPr="00537128" w14:paraId="7EB1B43F" w14:textId="77777777" w:rsidTr="004A287E">
        <w:trPr>
          <w:trHeight w:val="111"/>
          <w:jc w:val="center"/>
        </w:trPr>
        <w:tc>
          <w:tcPr>
            <w:tcW w:w="877" w:type="pct"/>
            <w:vAlign w:val="bottom"/>
          </w:tcPr>
          <w:p w14:paraId="5ECF5291" w14:textId="77777777" w:rsidR="00353692" w:rsidRPr="00537128" w:rsidRDefault="00353692" w:rsidP="00353692">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Total credit risk exposure</w:t>
            </w:r>
          </w:p>
        </w:tc>
        <w:tc>
          <w:tcPr>
            <w:tcW w:w="343" w:type="pct"/>
            <w:tcBorders>
              <w:top w:val="nil"/>
              <w:left w:val="nil"/>
              <w:bottom w:val="single" w:sz="12" w:space="0" w:color="auto"/>
              <w:right w:val="nil"/>
            </w:tcBorders>
            <w:shd w:val="clear" w:color="auto" w:fill="auto"/>
            <w:vAlign w:val="bottom"/>
          </w:tcPr>
          <w:p w14:paraId="529F66C2" w14:textId="750F55AB" w:rsidR="00353692" w:rsidRPr="00537128" w:rsidRDefault="00353692" w:rsidP="00353692">
            <w:pPr>
              <w:tabs>
                <w:tab w:val="right" w:pos="1202"/>
              </w:tabs>
              <w:spacing w:after="0" w:line="301" w:lineRule="exact"/>
              <w:jc w:val="right"/>
              <w:outlineLvl w:val="0"/>
              <w:rPr>
                <w:rFonts w:ascii="Calibri" w:eastAsia="Calibri" w:hAnsi="Calibri" w:cs="Arial"/>
                <w:b/>
                <w:bCs/>
                <w:sz w:val="15"/>
                <w:szCs w:val="15"/>
                <w:lang w:val="en-US"/>
              </w:rPr>
            </w:pPr>
            <w:r w:rsidRPr="007A49AD">
              <w:rPr>
                <w:b/>
                <w:bCs/>
                <w:sz w:val="15"/>
                <w:szCs w:val="15"/>
              </w:rPr>
              <w:t>27</w:t>
            </w:r>
            <w:r>
              <w:rPr>
                <w:b/>
                <w:bCs/>
                <w:sz w:val="15"/>
                <w:szCs w:val="15"/>
              </w:rPr>
              <w:t>,</w:t>
            </w:r>
            <w:r w:rsidRPr="007A49AD">
              <w:rPr>
                <w:b/>
                <w:bCs/>
                <w:sz w:val="15"/>
                <w:szCs w:val="15"/>
              </w:rPr>
              <w:t>484</w:t>
            </w:r>
            <w:r>
              <w:rPr>
                <w:b/>
                <w:bCs/>
                <w:sz w:val="15"/>
                <w:szCs w:val="15"/>
              </w:rPr>
              <w:t>,</w:t>
            </w:r>
            <w:r w:rsidRPr="007A49AD">
              <w:rPr>
                <w:b/>
                <w:bCs/>
                <w:sz w:val="15"/>
                <w:szCs w:val="15"/>
              </w:rPr>
              <w:t xml:space="preserve">041 </w:t>
            </w:r>
          </w:p>
        </w:tc>
        <w:tc>
          <w:tcPr>
            <w:tcW w:w="344" w:type="pct"/>
            <w:tcBorders>
              <w:top w:val="nil"/>
              <w:left w:val="nil"/>
              <w:bottom w:val="single" w:sz="12" w:space="0" w:color="auto"/>
              <w:right w:val="nil"/>
            </w:tcBorders>
            <w:shd w:val="clear" w:color="auto" w:fill="auto"/>
            <w:vAlign w:val="bottom"/>
          </w:tcPr>
          <w:p w14:paraId="4835F166" w14:textId="431E4B56" w:rsidR="00353692" w:rsidRPr="00537128" w:rsidRDefault="00353692" w:rsidP="00353692">
            <w:pPr>
              <w:tabs>
                <w:tab w:val="right" w:pos="1202"/>
              </w:tabs>
              <w:spacing w:after="0" w:line="301" w:lineRule="exact"/>
              <w:jc w:val="right"/>
              <w:outlineLvl w:val="0"/>
              <w:rPr>
                <w:rFonts w:ascii="Calibri" w:eastAsia="Calibri" w:hAnsi="Calibri" w:cs="Arial"/>
                <w:b/>
                <w:bCs/>
                <w:sz w:val="15"/>
                <w:szCs w:val="15"/>
                <w:lang w:val="en-US"/>
              </w:rPr>
            </w:pPr>
            <w:r w:rsidRPr="007A49AD">
              <w:rPr>
                <w:b/>
                <w:bCs/>
                <w:sz w:val="15"/>
                <w:szCs w:val="15"/>
              </w:rPr>
              <w:t xml:space="preserve"> 1</w:t>
            </w:r>
            <w:r>
              <w:rPr>
                <w:b/>
                <w:bCs/>
                <w:sz w:val="15"/>
                <w:szCs w:val="15"/>
              </w:rPr>
              <w:t>,</w:t>
            </w:r>
            <w:r w:rsidRPr="007A49AD">
              <w:rPr>
                <w:b/>
                <w:bCs/>
                <w:sz w:val="15"/>
                <w:szCs w:val="15"/>
              </w:rPr>
              <w:t>267</w:t>
            </w:r>
            <w:r>
              <w:rPr>
                <w:b/>
                <w:bCs/>
                <w:sz w:val="15"/>
                <w:szCs w:val="15"/>
              </w:rPr>
              <w:t>,</w:t>
            </w:r>
            <w:r w:rsidRPr="007A49AD">
              <w:rPr>
                <w:b/>
                <w:bCs/>
                <w:sz w:val="15"/>
                <w:szCs w:val="15"/>
              </w:rPr>
              <w:t xml:space="preserve">858 </w:t>
            </w:r>
          </w:p>
        </w:tc>
        <w:tc>
          <w:tcPr>
            <w:tcW w:w="344" w:type="pct"/>
            <w:tcBorders>
              <w:top w:val="nil"/>
              <w:left w:val="nil"/>
              <w:bottom w:val="single" w:sz="12" w:space="0" w:color="auto"/>
              <w:right w:val="nil"/>
            </w:tcBorders>
            <w:shd w:val="clear" w:color="auto" w:fill="auto"/>
            <w:vAlign w:val="bottom"/>
          </w:tcPr>
          <w:p w14:paraId="587AB67C" w14:textId="7163E3C5" w:rsidR="00353692" w:rsidRPr="00537128" w:rsidRDefault="00353692" w:rsidP="00353692">
            <w:pPr>
              <w:tabs>
                <w:tab w:val="right" w:pos="1202"/>
              </w:tabs>
              <w:spacing w:after="0" w:line="301" w:lineRule="exact"/>
              <w:jc w:val="right"/>
              <w:outlineLvl w:val="0"/>
              <w:rPr>
                <w:rFonts w:ascii="Calibri" w:eastAsia="Calibri" w:hAnsi="Calibri" w:cs="Arial"/>
                <w:b/>
                <w:bCs/>
                <w:sz w:val="15"/>
                <w:szCs w:val="15"/>
                <w:lang w:val="en-US"/>
              </w:rPr>
            </w:pPr>
            <w:r w:rsidRPr="007A49AD">
              <w:rPr>
                <w:b/>
                <w:bCs/>
                <w:sz w:val="15"/>
                <w:szCs w:val="15"/>
              </w:rPr>
              <w:t xml:space="preserve"> 1</w:t>
            </w:r>
            <w:r>
              <w:rPr>
                <w:b/>
                <w:bCs/>
                <w:sz w:val="15"/>
                <w:szCs w:val="15"/>
              </w:rPr>
              <w:t>,</w:t>
            </w:r>
            <w:r w:rsidRPr="007A49AD">
              <w:rPr>
                <w:b/>
                <w:bCs/>
                <w:sz w:val="15"/>
                <w:szCs w:val="15"/>
              </w:rPr>
              <w:t>130</w:t>
            </w:r>
            <w:r>
              <w:rPr>
                <w:b/>
                <w:bCs/>
                <w:sz w:val="15"/>
                <w:szCs w:val="15"/>
              </w:rPr>
              <w:t>,</w:t>
            </w:r>
            <w:r w:rsidRPr="007A49AD">
              <w:rPr>
                <w:b/>
                <w:bCs/>
                <w:sz w:val="15"/>
                <w:szCs w:val="15"/>
              </w:rPr>
              <w:t xml:space="preserve">939 </w:t>
            </w:r>
          </w:p>
        </w:tc>
        <w:tc>
          <w:tcPr>
            <w:tcW w:w="343" w:type="pct"/>
            <w:tcBorders>
              <w:top w:val="nil"/>
              <w:left w:val="nil"/>
              <w:bottom w:val="single" w:sz="12" w:space="0" w:color="auto"/>
              <w:right w:val="nil"/>
            </w:tcBorders>
            <w:shd w:val="clear" w:color="auto" w:fill="auto"/>
            <w:vAlign w:val="bottom"/>
          </w:tcPr>
          <w:p w14:paraId="76B7AA7B" w14:textId="60BE9250" w:rsidR="00353692" w:rsidRPr="00537128" w:rsidRDefault="00353692" w:rsidP="00353692">
            <w:pPr>
              <w:tabs>
                <w:tab w:val="right" w:pos="1202"/>
              </w:tabs>
              <w:spacing w:after="0" w:line="301" w:lineRule="exact"/>
              <w:jc w:val="right"/>
              <w:outlineLvl w:val="0"/>
              <w:rPr>
                <w:rFonts w:ascii="Calibri" w:eastAsia="Calibri" w:hAnsi="Calibri" w:cs="Arial"/>
                <w:b/>
                <w:bCs/>
                <w:sz w:val="15"/>
                <w:szCs w:val="15"/>
                <w:lang w:val="en-US"/>
              </w:rPr>
            </w:pPr>
            <w:r w:rsidRPr="007A49AD">
              <w:rPr>
                <w:b/>
                <w:bCs/>
                <w:sz w:val="15"/>
                <w:szCs w:val="15"/>
              </w:rPr>
              <w:t xml:space="preserve"> 1</w:t>
            </w:r>
            <w:r>
              <w:rPr>
                <w:b/>
                <w:bCs/>
                <w:sz w:val="15"/>
                <w:szCs w:val="15"/>
              </w:rPr>
              <w:t>,</w:t>
            </w:r>
            <w:r w:rsidRPr="007A49AD">
              <w:rPr>
                <w:b/>
                <w:bCs/>
                <w:sz w:val="15"/>
                <w:szCs w:val="15"/>
              </w:rPr>
              <w:t>053</w:t>
            </w:r>
            <w:r>
              <w:rPr>
                <w:b/>
                <w:bCs/>
                <w:sz w:val="15"/>
                <w:szCs w:val="15"/>
              </w:rPr>
              <w:t>,</w:t>
            </w:r>
            <w:r w:rsidRPr="007A49AD">
              <w:rPr>
                <w:b/>
                <w:bCs/>
                <w:sz w:val="15"/>
                <w:szCs w:val="15"/>
              </w:rPr>
              <w:t xml:space="preserve">024 </w:t>
            </w:r>
          </w:p>
        </w:tc>
        <w:tc>
          <w:tcPr>
            <w:tcW w:w="344" w:type="pct"/>
            <w:tcBorders>
              <w:top w:val="nil"/>
              <w:left w:val="nil"/>
              <w:bottom w:val="single" w:sz="12" w:space="0" w:color="auto"/>
              <w:right w:val="nil"/>
            </w:tcBorders>
            <w:shd w:val="clear" w:color="auto" w:fill="auto"/>
            <w:vAlign w:val="bottom"/>
          </w:tcPr>
          <w:p w14:paraId="7F141F0D" w14:textId="3BE1C75F" w:rsidR="00353692" w:rsidRPr="00537128" w:rsidRDefault="00353692" w:rsidP="00353692">
            <w:pPr>
              <w:tabs>
                <w:tab w:val="right" w:pos="1202"/>
              </w:tabs>
              <w:spacing w:after="0" w:line="301" w:lineRule="exact"/>
              <w:jc w:val="right"/>
              <w:outlineLvl w:val="0"/>
              <w:rPr>
                <w:rFonts w:ascii="Calibri" w:eastAsia="Calibri" w:hAnsi="Calibri" w:cs="Arial"/>
                <w:b/>
                <w:bCs/>
                <w:sz w:val="15"/>
                <w:szCs w:val="15"/>
                <w:lang w:val="en-US"/>
              </w:rPr>
            </w:pPr>
            <w:r w:rsidRPr="007A49AD">
              <w:rPr>
                <w:b/>
                <w:bCs/>
                <w:sz w:val="15"/>
                <w:szCs w:val="15"/>
              </w:rPr>
              <w:t xml:space="preserve"> 25</w:t>
            </w:r>
            <w:r>
              <w:rPr>
                <w:b/>
                <w:bCs/>
                <w:sz w:val="15"/>
                <w:szCs w:val="15"/>
              </w:rPr>
              <w:t>,</w:t>
            </w:r>
            <w:r w:rsidRPr="007A49AD">
              <w:rPr>
                <w:b/>
                <w:bCs/>
                <w:sz w:val="15"/>
                <w:szCs w:val="15"/>
              </w:rPr>
              <w:t xml:space="preserve">652 </w:t>
            </w:r>
          </w:p>
        </w:tc>
        <w:tc>
          <w:tcPr>
            <w:tcW w:w="344" w:type="pct"/>
            <w:tcBorders>
              <w:top w:val="nil"/>
              <w:left w:val="nil"/>
              <w:bottom w:val="single" w:sz="12" w:space="0" w:color="auto"/>
              <w:right w:val="nil"/>
            </w:tcBorders>
            <w:shd w:val="clear" w:color="auto" w:fill="auto"/>
            <w:vAlign w:val="bottom"/>
          </w:tcPr>
          <w:p w14:paraId="41F824FE" w14:textId="00A616C4" w:rsidR="00353692" w:rsidRPr="00537128" w:rsidRDefault="00353692" w:rsidP="00353692">
            <w:pPr>
              <w:tabs>
                <w:tab w:val="right" w:pos="1202"/>
              </w:tabs>
              <w:spacing w:after="0" w:line="301" w:lineRule="exact"/>
              <w:jc w:val="right"/>
              <w:outlineLvl w:val="0"/>
              <w:rPr>
                <w:rFonts w:ascii="Calibri" w:eastAsia="Calibri" w:hAnsi="Calibri" w:cs="Arial"/>
                <w:b/>
                <w:bCs/>
                <w:sz w:val="15"/>
                <w:szCs w:val="15"/>
                <w:lang w:val="en-US"/>
              </w:rPr>
            </w:pPr>
            <w:r w:rsidRPr="007A49AD">
              <w:rPr>
                <w:b/>
                <w:bCs/>
                <w:sz w:val="15"/>
                <w:szCs w:val="15"/>
              </w:rPr>
              <w:t xml:space="preserve"> 30</w:t>
            </w:r>
            <w:r>
              <w:rPr>
                <w:b/>
                <w:bCs/>
                <w:sz w:val="15"/>
                <w:szCs w:val="15"/>
              </w:rPr>
              <w:t>,</w:t>
            </w:r>
            <w:r w:rsidRPr="007A49AD">
              <w:rPr>
                <w:b/>
                <w:bCs/>
                <w:sz w:val="15"/>
                <w:szCs w:val="15"/>
              </w:rPr>
              <w:t>961</w:t>
            </w:r>
            <w:r>
              <w:rPr>
                <w:b/>
                <w:bCs/>
                <w:sz w:val="15"/>
                <w:szCs w:val="15"/>
              </w:rPr>
              <w:t>,</w:t>
            </w:r>
            <w:r w:rsidRPr="007A49AD">
              <w:rPr>
                <w:b/>
                <w:bCs/>
                <w:sz w:val="15"/>
                <w:szCs w:val="15"/>
              </w:rPr>
              <w:t xml:space="preserve">514 </w:t>
            </w:r>
          </w:p>
        </w:tc>
        <w:tc>
          <w:tcPr>
            <w:tcW w:w="343" w:type="pct"/>
            <w:tcBorders>
              <w:top w:val="nil"/>
              <w:left w:val="nil"/>
              <w:bottom w:val="single" w:sz="12" w:space="0" w:color="auto"/>
              <w:right w:val="nil"/>
            </w:tcBorders>
            <w:vAlign w:val="bottom"/>
          </w:tcPr>
          <w:p w14:paraId="67AFF412" w14:textId="55884146" w:rsidR="00353692" w:rsidRPr="00537128" w:rsidRDefault="00353692" w:rsidP="00353692">
            <w:pPr>
              <w:tabs>
                <w:tab w:val="right" w:pos="1202"/>
              </w:tabs>
              <w:spacing w:after="0" w:line="301" w:lineRule="exact"/>
              <w:jc w:val="right"/>
              <w:outlineLvl w:val="0"/>
              <w:rPr>
                <w:rFonts w:ascii="Calibri" w:eastAsia="Calibri" w:hAnsi="Calibri" w:cs="Arial"/>
                <w:b/>
                <w:bCs/>
                <w:sz w:val="15"/>
                <w:szCs w:val="15"/>
                <w:lang w:val="en-US"/>
              </w:rPr>
            </w:pPr>
            <w:r w:rsidRPr="007A49AD">
              <w:rPr>
                <w:b/>
                <w:bCs/>
                <w:sz w:val="15"/>
                <w:szCs w:val="15"/>
              </w:rPr>
              <w:t xml:space="preserve"> 6</w:t>
            </w:r>
            <w:r>
              <w:rPr>
                <w:b/>
                <w:bCs/>
                <w:sz w:val="15"/>
                <w:szCs w:val="15"/>
              </w:rPr>
              <w:t>,</w:t>
            </w:r>
            <w:r w:rsidRPr="007A49AD">
              <w:rPr>
                <w:b/>
                <w:bCs/>
                <w:sz w:val="15"/>
                <w:szCs w:val="15"/>
              </w:rPr>
              <w:t>338</w:t>
            </w:r>
            <w:r>
              <w:rPr>
                <w:b/>
                <w:bCs/>
                <w:sz w:val="15"/>
                <w:szCs w:val="15"/>
              </w:rPr>
              <w:t>,</w:t>
            </w:r>
            <w:r w:rsidRPr="007A49AD">
              <w:rPr>
                <w:b/>
                <w:bCs/>
                <w:sz w:val="15"/>
                <w:szCs w:val="15"/>
              </w:rPr>
              <w:t xml:space="preserve">026 </w:t>
            </w:r>
          </w:p>
        </w:tc>
        <w:tc>
          <w:tcPr>
            <w:tcW w:w="344" w:type="pct"/>
            <w:tcBorders>
              <w:top w:val="nil"/>
              <w:left w:val="nil"/>
              <w:bottom w:val="single" w:sz="12" w:space="0" w:color="auto"/>
              <w:right w:val="nil"/>
            </w:tcBorders>
            <w:vAlign w:val="bottom"/>
          </w:tcPr>
          <w:p w14:paraId="64334189" w14:textId="2C1722D7" w:rsidR="00353692" w:rsidRPr="00537128" w:rsidRDefault="00353692" w:rsidP="00353692">
            <w:pPr>
              <w:tabs>
                <w:tab w:val="right" w:pos="1202"/>
              </w:tabs>
              <w:spacing w:after="0" w:line="301" w:lineRule="exact"/>
              <w:jc w:val="right"/>
              <w:outlineLvl w:val="0"/>
              <w:rPr>
                <w:rFonts w:ascii="Calibri" w:eastAsia="Calibri" w:hAnsi="Calibri" w:cs="Arial"/>
                <w:b/>
                <w:bCs/>
                <w:sz w:val="15"/>
                <w:szCs w:val="15"/>
                <w:lang w:val="en-US"/>
              </w:rPr>
            </w:pPr>
            <w:r w:rsidRPr="007A49AD">
              <w:rPr>
                <w:b/>
                <w:bCs/>
                <w:sz w:val="15"/>
                <w:szCs w:val="15"/>
              </w:rPr>
              <w:t xml:space="preserve"> 197</w:t>
            </w:r>
            <w:r>
              <w:rPr>
                <w:b/>
                <w:bCs/>
                <w:sz w:val="15"/>
                <w:szCs w:val="15"/>
              </w:rPr>
              <w:t>,</w:t>
            </w:r>
            <w:r w:rsidRPr="007A49AD">
              <w:rPr>
                <w:b/>
                <w:bCs/>
                <w:sz w:val="15"/>
                <w:szCs w:val="15"/>
              </w:rPr>
              <w:t xml:space="preserve">725 </w:t>
            </w:r>
          </w:p>
        </w:tc>
        <w:tc>
          <w:tcPr>
            <w:tcW w:w="344" w:type="pct"/>
            <w:tcBorders>
              <w:top w:val="nil"/>
              <w:left w:val="nil"/>
              <w:bottom w:val="single" w:sz="12" w:space="0" w:color="auto"/>
              <w:right w:val="nil"/>
            </w:tcBorders>
            <w:vAlign w:val="bottom"/>
          </w:tcPr>
          <w:p w14:paraId="1D660D4C" w14:textId="36A86AA5" w:rsidR="00353692" w:rsidRPr="00537128" w:rsidRDefault="00353692" w:rsidP="00353692">
            <w:pPr>
              <w:tabs>
                <w:tab w:val="right" w:pos="1202"/>
              </w:tabs>
              <w:spacing w:after="0" w:line="301" w:lineRule="exact"/>
              <w:jc w:val="right"/>
              <w:outlineLvl w:val="0"/>
              <w:rPr>
                <w:rFonts w:ascii="Calibri" w:eastAsia="Calibri" w:hAnsi="Calibri" w:cs="Arial"/>
                <w:b/>
                <w:bCs/>
                <w:sz w:val="15"/>
                <w:szCs w:val="15"/>
                <w:lang w:val="en-US"/>
              </w:rPr>
            </w:pPr>
            <w:r w:rsidRPr="007A49AD">
              <w:rPr>
                <w:b/>
                <w:bCs/>
                <w:sz w:val="15"/>
                <w:szCs w:val="15"/>
              </w:rPr>
              <w:t xml:space="preserve"> 262</w:t>
            </w:r>
            <w:r>
              <w:rPr>
                <w:b/>
                <w:bCs/>
                <w:sz w:val="15"/>
                <w:szCs w:val="15"/>
              </w:rPr>
              <w:t>,</w:t>
            </w:r>
            <w:r w:rsidRPr="007A49AD">
              <w:rPr>
                <w:b/>
                <w:bCs/>
                <w:sz w:val="15"/>
                <w:szCs w:val="15"/>
              </w:rPr>
              <w:t xml:space="preserve">303 </w:t>
            </w:r>
          </w:p>
        </w:tc>
        <w:tc>
          <w:tcPr>
            <w:tcW w:w="343" w:type="pct"/>
            <w:tcBorders>
              <w:top w:val="nil"/>
              <w:left w:val="nil"/>
              <w:bottom w:val="single" w:sz="12" w:space="0" w:color="auto"/>
              <w:right w:val="nil"/>
            </w:tcBorders>
            <w:vAlign w:val="bottom"/>
          </w:tcPr>
          <w:p w14:paraId="6F18DEFE" w14:textId="617F7292" w:rsidR="00353692" w:rsidRPr="00537128" w:rsidRDefault="00353692" w:rsidP="00353692">
            <w:pPr>
              <w:tabs>
                <w:tab w:val="right" w:pos="1202"/>
              </w:tabs>
              <w:spacing w:after="0" w:line="301" w:lineRule="exact"/>
              <w:jc w:val="right"/>
              <w:outlineLvl w:val="0"/>
              <w:rPr>
                <w:rFonts w:ascii="Calibri" w:eastAsia="Calibri" w:hAnsi="Calibri" w:cs="Arial"/>
                <w:b/>
                <w:bCs/>
                <w:sz w:val="15"/>
                <w:szCs w:val="15"/>
                <w:lang w:val="en-US"/>
              </w:rPr>
            </w:pPr>
            <w:r w:rsidRPr="007A49AD">
              <w:rPr>
                <w:b/>
                <w:bCs/>
                <w:sz w:val="15"/>
                <w:szCs w:val="15"/>
              </w:rPr>
              <w:t xml:space="preserve"> 43</w:t>
            </w:r>
            <w:r>
              <w:rPr>
                <w:b/>
                <w:bCs/>
                <w:sz w:val="15"/>
                <w:szCs w:val="15"/>
              </w:rPr>
              <w:t>,</w:t>
            </w:r>
            <w:r w:rsidRPr="007A49AD">
              <w:rPr>
                <w:b/>
                <w:bCs/>
                <w:sz w:val="15"/>
                <w:szCs w:val="15"/>
              </w:rPr>
              <w:t xml:space="preserve">489 </w:t>
            </w:r>
          </w:p>
        </w:tc>
        <w:tc>
          <w:tcPr>
            <w:tcW w:w="344" w:type="pct"/>
            <w:tcBorders>
              <w:top w:val="nil"/>
              <w:left w:val="nil"/>
              <w:bottom w:val="single" w:sz="12" w:space="0" w:color="auto"/>
              <w:right w:val="nil"/>
            </w:tcBorders>
            <w:vAlign w:val="bottom"/>
          </w:tcPr>
          <w:p w14:paraId="282FB3EE" w14:textId="50AE1CE4" w:rsidR="00353692" w:rsidRPr="00537128" w:rsidRDefault="00353692" w:rsidP="00353692">
            <w:pPr>
              <w:tabs>
                <w:tab w:val="right" w:pos="1202"/>
              </w:tabs>
              <w:spacing w:after="0" w:line="301" w:lineRule="exact"/>
              <w:jc w:val="right"/>
              <w:outlineLvl w:val="0"/>
              <w:rPr>
                <w:rFonts w:ascii="Calibri" w:eastAsia="Calibri" w:hAnsi="Calibri" w:cs="Arial"/>
                <w:b/>
                <w:bCs/>
                <w:sz w:val="15"/>
                <w:szCs w:val="15"/>
                <w:lang w:val="en-US"/>
              </w:rPr>
            </w:pPr>
            <w:r w:rsidRPr="007A49AD">
              <w:rPr>
                <w:b/>
                <w:bCs/>
                <w:sz w:val="15"/>
                <w:szCs w:val="15"/>
              </w:rPr>
              <w:t xml:space="preserve"> 25</w:t>
            </w:r>
            <w:r>
              <w:rPr>
                <w:b/>
                <w:bCs/>
                <w:sz w:val="15"/>
                <w:szCs w:val="15"/>
              </w:rPr>
              <w:t>,</w:t>
            </w:r>
            <w:r w:rsidRPr="007A49AD">
              <w:rPr>
                <w:b/>
                <w:bCs/>
                <w:sz w:val="15"/>
                <w:szCs w:val="15"/>
              </w:rPr>
              <w:t xml:space="preserve">374 </w:t>
            </w:r>
          </w:p>
        </w:tc>
        <w:tc>
          <w:tcPr>
            <w:tcW w:w="343" w:type="pct"/>
            <w:tcBorders>
              <w:top w:val="nil"/>
              <w:left w:val="nil"/>
              <w:bottom w:val="single" w:sz="12" w:space="0" w:color="auto"/>
              <w:right w:val="nil"/>
            </w:tcBorders>
            <w:vAlign w:val="bottom"/>
          </w:tcPr>
          <w:p w14:paraId="49167C77" w14:textId="17F20157" w:rsidR="00353692" w:rsidRPr="00537128" w:rsidRDefault="00353692" w:rsidP="00353692">
            <w:pPr>
              <w:tabs>
                <w:tab w:val="right" w:pos="1202"/>
              </w:tabs>
              <w:spacing w:after="0" w:line="301" w:lineRule="exact"/>
              <w:jc w:val="right"/>
              <w:outlineLvl w:val="0"/>
              <w:rPr>
                <w:rFonts w:ascii="Calibri" w:eastAsia="Calibri" w:hAnsi="Calibri" w:cs="Arial"/>
                <w:b/>
                <w:bCs/>
                <w:sz w:val="15"/>
                <w:szCs w:val="15"/>
                <w:lang w:val="en-US"/>
              </w:rPr>
            </w:pPr>
            <w:r w:rsidRPr="007A49AD">
              <w:rPr>
                <w:b/>
                <w:bCs/>
                <w:sz w:val="15"/>
                <w:szCs w:val="15"/>
              </w:rPr>
              <w:t xml:space="preserve"> 6</w:t>
            </w:r>
            <w:r>
              <w:rPr>
                <w:b/>
                <w:bCs/>
                <w:sz w:val="15"/>
                <w:szCs w:val="15"/>
              </w:rPr>
              <w:t>,</w:t>
            </w:r>
            <w:r w:rsidRPr="007A49AD">
              <w:rPr>
                <w:b/>
                <w:bCs/>
                <w:sz w:val="15"/>
                <w:szCs w:val="15"/>
              </w:rPr>
              <w:t>866</w:t>
            </w:r>
            <w:r>
              <w:rPr>
                <w:b/>
                <w:bCs/>
                <w:sz w:val="15"/>
                <w:szCs w:val="15"/>
              </w:rPr>
              <w:t>,</w:t>
            </w:r>
            <w:r w:rsidRPr="007A49AD">
              <w:rPr>
                <w:b/>
                <w:bCs/>
                <w:sz w:val="15"/>
                <w:szCs w:val="15"/>
              </w:rPr>
              <w:t xml:space="preserve">917 </w:t>
            </w:r>
          </w:p>
        </w:tc>
      </w:tr>
      <w:bookmarkEnd w:id="809"/>
    </w:tbl>
    <w:p w14:paraId="7ECB334B" w14:textId="77777777" w:rsidR="004A287E" w:rsidRPr="00537128" w:rsidRDefault="004A287E" w:rsidP="00900DBE">
      <w:pPr>
        <w:spacing w:after="0" w:line="240" w:lineRule="auto"/>
        <w:jc w:val="both"/>
        <w:rPr>
          <w:rFonts w:ascii="Calibri" w:eastAsia="Times New Roman" w:hAnsi="Calibri" w:cs="Arial"/>
          <w:b/>
          <w:color w:val="000000" w:themeColor="text1"/>
          <w:sz w:val="20"/>
          <w:szCs w:val="20"/>
          <w:lang w:val="en-US"/>
        </w:rPr>
      </w:pPr>
    </w:p>
    <w:p w14:paraId="2656D641" w14:textId="7213DB26" w:rsidR="004A287E" w:rsidRPr="00537128" w:rsidRDefault="004A287E" w:rsidP="00900DBE">
      <w:pPr>
        <w:spacing w:after="0" w:line="240" w:lineRule="auto"/>
        <w:jc w:val="both"/>
        <w:rPr>
          <w:rFonts w:ascii="Calibri" w:eastAsia="Times New Roman" w:hAnsi="Calibri" w:cs="Arial"/>
          <w:b/>
          <w:color w:val="000000" w:themeColor="text1"/>
          <w:sz w:val="20"/>
          <w:szCs w:val="20"/>
          <w:lang w:val="en-US"/>
        </w:rPr>
        <w:sectPr w:rsidR="004A287E" w:rsidRPr="00537128" w:rsidSect="00900DBE">
          <w:pgSz w:w="16838" w:h="11906" w:orient="landscape"/>
          <w:pgMar w:top="1418" w:right="1418" w:bottom="1134" w:left="1418" w:header="709" w:footer="709" w:gutter="0"/>
          <w:cols w:space="708"/>
          <w:docGrid w:linePitch="360"/>
        </w:sectPr>
      </w:pPr>
    </w:p>
    <w:p w14:paraId="6C664DCF" w14:textId="77777777" w:rsidR="00712478" w:rsidRPr="00537128" w:rsidRDefault="00712478" w:rsidP="00712478">
      <w:pPr>
        <w:spacing w:after="0" w:line="240" w:lineRule="auto"/>
        <w:jc w:val="both"/>
        <w:rPr>
          <w:rFonts w:ascii="Calibri" w:eastAsia="Times New Roman" w:hAnsi="Calibri" w:cs="Calibri"/>
          <w:b/>
          <w:bCs/>
          <w:color w:val="000000" w:themeColor="text1"/>
          <w:sz w:val="12"/>
          <w:szCs w:val="12"/>
          <w:lang w:val="en-US" w:eastAsia="hr-HR"/>
        </w:rPr>
      </w:pPr>
    </w:p>
    <w:p w14:paraId="2BC3E201" w14:textId="35887C7D" w:rsidR="00712478" w:rsidRPr="00537128" w:rsidRDefault="00B357CE" w:rsidP="00712478">
      <w:pPr>
        <w:spacing w:after="0" w:line="240" w:lineRule="auto"/>
        <w:jc w:val="both"/>
        <w:rPr>
          <w:rFonts w:ascii="Calibri" w:eastAsia="Times New Roman" w:hAnsi="Calibri" w:cs="Calibri"/>
          <w:bCs/>
          <w:color w:val="000000" w:themeColor="text1"/>
          <w:lang w:val="en-US"/>
        </w:rPr>
      </w:pPr>
      <w:bookmarkStart w:id="810" w:name="_Hlk37079030"/>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712478" w:rsidRPr="00537128">
        <w:rPr>
          <w:rFonts w:ascii="Calibri" w:eastAsia="Times New Roman" w:hAnsi="Calibri" w:cs="Calibri"/>
          <w:b/>
          <w:bCs/>
          <w:color w:val="000000" w:themeColor="text1"/>
          <w:lang w:val="en-US" w:eastAsia="hr-HR"/>
        </w:rPr>
        <w:t>.</w:t>
      </w:r>
      <w:r w:rsidR="00712478" w:rsidRPr="00537128">
        <w:rPr>
          <w:rFonts w:ascii="Calibri" w:eastAsia="Times New Roman" w:hAnsi="Calibri" w:cs="Calibri"/>
          <w:b/>
          <w:bCs/>
          <w:color w:val="000000" w:themeColor="text1"/>
          <w:lang w:val="en-US"/>
        </w:rPr>
        <w:tab/>
        <w:t>Risk management (continued)</w:t>
      </w:r>
    </w:p>
    <w:p w14:paraId="14C2181B" w14:textId="77777777" w:rsidR="00712478" w:rsidRPr="00537128" w:rsidRDefault="00712478" w:rsidP="00712478">
      <w:pPr>
        <w:tabs>
          <w:tab w:val="left" w:pos="709"/>
          <w:tab w:val="left" w:pos="851"/>
        </w:tabs>
        <w:spacing w:after="0" w:line="240" w:lineRule="auto"/>
        <w:jc w:val="both"/>
        <w:rPr>
          <w:rFonts w:ascii="Calibri" w:eastAsia="Times New Roman" w:hAnsi="Calibri" w:cs="Arial"/>
          <w:color w:val="000000" w:themeColor="text1"/>
          <w:sz w:val="12"/>
          <w:szCs w:val="12"/>
          <w:lang w:val="en-US"/>
        </w:rPr>
      </w:pPr>
    </w:p>
    <w:p w14:paraId="7523922E" w14:textId="501CA4FF" w:rsidR="00712478" w:rsidRPr="00537128" w:rsidRDefault="00B357CE" w:rsidP="00712478">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712478" w:rsidRPr="00537128">
        <w:rPr>
          <w:rFonts w:ascii="Calibri" w:eastAsia="Times New Roman" w:hAnsi="Calibri" w:cs="Arial"/>
          <w:b/>
          <w:color w:val="000000" w:themeColor="text1"/>
          <w:lang w:val="en-US"/>
        </w:rPr>
        <w:t xml:space="preserve">   Credit risk (continued)</w:t>
      </w:r>
    </w:p>
    <w:p w14:paraId="70ABEEC3" w14:textId="77777777" w:rsidR="00712478" w:rsidRPr="00537128" w:rsidRDefault="00712478" w:rsidP="00712478">
      <w:pPr>
        <w:spacing w:after="0" w:line="240" w:lineRule="auto"/>
        <w:jc w:val="both"/>
        <w:rPr>
          <w:rFonts w:ascii="Calibri" w:eastAsia="Times New Roman" w:hAnsi="Calibri" w:cs="Arial"/>
          <w:b/>
          <w:color w:val="000000" w:themeColor="text1"/>
          <w:sz w:val="12"/>
          <w:szCs w:val="12"/>
          <w:lang w:val="en-US"/>
        </w:rPr>
      </w:pPr>
    </w:p>
    <w:p w14:paraId="0EF39904" w14:textId="77777777" w:rsidR="00712478" w:rsidRPr="00537128" w:rsidRDefault="00712478" w:rsidP="00712478">
      <w:pPr>
        <w:spacing w:after="0"/>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Credit risk quality according to type of financial assets (continued)</w:t>
      </w:r>
    </w:p>
    <w:bookmarkEnd w:id="810"/>
    <w:p w14:paraId="3241F0C4" w14:textId="77777777" w:rsidR="00712478" w:rsidRPr="00537128" w:rsidRDefault="00712478" w:rsidP="00712478">
      <w:pPr>
        <w:spacing w:after="0"/>
        <w:rPr>
          <w:rFonts w:ascii="Calibri" w:eastAsia="Times New Roman" w:hAnsi="Calibri" w:cs="Arial"/>
          <w:b/>
          <w:color w:val="000000" w:themeColor="text1"/>
          <w:sz w:val="12"/>
          <w:szCs w:val="12"/>
          <w:lang w:val="en-US"/>
        </w:rPr>
      </w:pPr>
    </w:p>
    <w:p w14:paraId="26BE5F87" w14:textId="77777777" w:rsidR="00712478" w:rsidRPr="00537128" w:rsidRDefault="00712478" w:rsidP="00712478">
      <w:pPr>
        <w:spacing w:after="0" w:line="240" w:lineRule="auto"/>
        <w:jc w:val="both"/>
        <w:rPr>
          <w:rFonts w:ascii="Calibri" w:eastAsia="Calibri" w:hAnsi="Calibri" w:cs="Arial"/>
          <w:color w:val="000000" w:themeColor="text1"/>
          <w:sz w:val="19"/>
          <w:szCs w:val="19"/>
          <w:lang w:val="en-US"/>
        </w:rPr>
      </w:pPr>
      <w:r w:rsidRPr="00537128">
        <w:rPr>
          <w:rFonts w:ascii="Calibri" w:eastAsia="Calibri" w:hAnsi="Calibri" w:cs="Arial"/>
          <w:color w:val="000000" w:themeColor="text1"/>
          <w:sz w:val="19"/>
          <w:szCs w:val="19"/>
          <w:lang w:val="en-US"/>
        </w:rPr>
        <w:t>Credit risk analysis, net exposure, before and after the effect of mitigation through collateral received, according to the type of financial assets on positions of assets and guarantees and commitments by risk category, is as follows:</w:t>
      </w:r>
    </w:p>
    <w:tbl>
      <w:tblPr>
        <w:tblW w:w="5223" w:type="pct"/>
        <w:jc w:val="center"/>
        <w:tblLayout w:type="fixed"/>
        <w:tblLook w:val="0000" w:firstRow="0" w:lastRow="0" w:firstColumn="0" w:lastColumn="0" w:noHBand="0" w:noVBand="0"/>
      </w:tblPr>
      <w:tblGrid>
        <w:gridCol w:w="2566"/>
        <w:gridCol w:w="1004"/>
        <w:gridCol w:w="1007"/>
        <w:gridCol w:w="1007"/>
        <w:gridCol w:w="1003"/>
        <w:gridCol w:w="1006"/>
        <w:gridCol w:w="1006"/>
        <w:gridCol w:w="1003"/>
        <w:gridCol w:w="1006"/>
        <w:gridCol w:w="1006"/>
        <w:gridCol w:w="1003"/>
        <w:gridCol w:w="1006"/>
        <w:gridCol w:w="1003"/>
      </w:tblGrid>
      <w:tr w:rsidR="00F92405" w:rsidRPr="00F92405" w14:paraId="0F253D61" w14:textId="77777777" w:rsidTr="00E44437">
        <w:trPr>
          <w:trHeight w:val="1454"/>
          <w:jc w:val="center"/>
        </w:trPr>
        <w:tc>
          <w:tcPr>
            <w:tcW w:w="877" w:type="pct"/>
          </w:tcPr>
          <w:p w14:paraId="5B127FC4" w14:textId="77777777" w:rsidR="00F92405" w:rsidRPr="00F92405" w:rsidRDefault="00F92405" w:rsidP="00F92405">
            <w:pPr>
              <w:spacing w:after="0" w:line="240" w:lineRule="auto"/>
              <w:rPr>
                <w:rFonts w:ascii="Calibri" w:eastAsia="Calibri" w:hAnsi="Calibri" w:cs="Arial"/>
                <w:b/>
                <w:bCs/>
                <w:sz w:val="15"/>
                <w:szCs w:val="15"/>
                <w:lang w:val="en-GB"/>
              </w:rPr>
            </w:pPr>
            <w:r w:rsidRPr="00F92405">
              <w:rPr>
                <w:rFonts w:ascii="Calibri" w:eastAsia="Calibri" w:hAnsi="Calibri" w:cs="Arial"/>
                <w:b/>
                <w:bCs/>
                <w:sz w:val="15"/>
                <w:szCs w:val="15"/>
                <w:lang w:val="en-GB"/>
              </w:rPr>
              <w:br w:type="page"/>
              <w:t>Bank</w:t>
            </w:r>
          </w:p>
          <w:p w14:paraId="6FBC6315" w14:textId="77777777" w:rsidR="00F92405" w:rsidRPr="00F92405" w:rsidRDefault="00F92405" w:rsidP="00F92405">
            <w:pPr>
              <w:spacing w:after="0" w:line="240" w:lineRule="auto"/>
              <w:rPr>
                <w:rFonts w:ascii="Calibri" w:eastAsia="Calibri" w:hAnsi="Calibri" w:cs="Arial"/>
                <w:b/>
                <w:bCs/>
                <w:sz w:val="15"/>
                <w:szCs w:val="15"/>
                <w:lang w:val="en-GB"/>
              </w:rPr>
            </w:pPr>
          </w:p>
          <w:p w14:paraId="29321783" w14:textId="77777777" w:rsidR="00F92405" w:rsidRPr="00F92405" w:rsidRDefault="00F92405" w:rsidP="00F92405">
            <w:pPr>
              <w:spacing w:after="0" w:line="240" w:lineRule="auto"/>
              <w:rPr>
                <w:rFonts w:ascii="Calibri" w:eastAsia="Calibri" w:hAnsi="Calibri" w:cs="Arial"/>
                <w:sz w:val="15"/>
                <w:szCs w:val="15"/>
                <w:lang w:val="en-GB"/>
              </w:rPr>
            </w:pPr>
            <w:r w:rsidRPr="00F92405">
              <w:rPr>
                <w:rFonts w:ascii="Calibri" w:eastAsia="Calibri" w:hAnsi="Calibri" w:cs="Arial"/>
                <w:b/>
                <w:bCs/>
                <w:sz w:val="15"/>
                <w:szCs w:val="15"/>
                <w:lang w:val="en-GB"/>
              </w:rPr>
              <w:t>31 December 2021</w:t>
            </w:r>
          </w:p>
        </w:tc>
        <w:tc>
          <w:tcPr>
            <w:tcW w:w="343" w:type="pct"/>
            <w:vAlign w:val="bottom"/>
          </w:tcPr>
          <w:p w14:paraId="01BCD23D" w14:textId="77777777" w:rsidR="00F92405" w:rsidRPr="00F92405" w:rsidRDefault="00F92405" w:rsidP="00F92405">
            <w:pPr>
              <w:spacing w:after="0" w:line="240" w:lineRule="auto"/>
              <w:jc w:val="right"/>
              <w:rPr>
                <w:rFonts w:ascii="Calibri" w:eastAsia="Calibri" w:hAnsi="Calibri" w:cs="Arial"/>
                <w:b/>
                <w:sz w:val="15"/>
                <w:szCs w:val="15"/>
                <w:lang w:val="en-GB"/>
              </w:rPr>
            </w:pPr>
            <w:r w:rsidRPr="00F92405">
              <w:rPr>
                <w:rFonts w:ascii="Calibri" w:eastAsia="Calibri" w:hAnsi="Calibri" w:cs="Arial"/>
                <w:b/>
                <w:sz w:val="15"/>
                <w:szCs w:val="15"/>
                <w:lang w:val="en-GB"/>
              </w:rPr>
              <w:t>Net</w:t>
            </w:r>
          </w:p>
          <w:p w14:paraId="43DA12E0" w14:textId="77777777" w:rsidR="00F92405" w:rsidRPr="00F92405" w:rsidRDefault="00F92405" w:rsidP="00F92405">
            <w:pPr>
              <w:spacing w:after="0" w:line="240" w:lineRule="auto"/>
              <w:jc w:val="right"/>
              <w:rPr>
                <w:rFonts w:ascii="Calibri" w:eastAsia="Calibri" w:hAnsi="Calibri" w:cs="Arial"/>
                <w:b/>
                <w:sz w:val="15"/>
                <w:szCs w:val="15"/>
                <w:lang w:val="en-GB"/>
              </w:rPr>
            </w:pPr>
            <w:r w:rsidRPr="00F92405">
              <w:rPr>
                <w:rFonts w:ascii="Calibri" w:eastAsia="Calibri" w:hAnsi="Calibri" w:cs="Arial"/>
                <w:b/>
                <w:sz w:val="15"/>
                <w:szCs w:val="15"/>
                <w:lang w:val="en-GB"/>
              </w:rPr>
              <w:t>exposure of portfolio - risk Stage 1</w:t>
            </w:r>
          </w:p>
        </w:tc>
        <w:tc>
          <w:tcPr>
            <w:tcW w:w="344" w:type="pct"/>
            <w:vAlign w:val="bottom"/>
          </w:tcPr>
          <w:p w14:paraId="2012F55E" w14:textId="77777777" w:rsidR="00F92405" w:rsidRPr="00F92405" w:rsidRDefault="00F92405" w:rsidP="00F92405">
            <w:pPr>
              <w:spacing w:after="0" w:line="240" w:lineRule="auto"/>
              <w:jc w:val="right"/>
              <w:rPr>
                <w:rFonts w:ascii="Calibri" w:eastAsia="Calibri" w:hAnsi="Calibri" w:cs="Arial"/>
                <w:b/>
                <w:sz w:val="15"/>
                <w:szCs w:val="15"/>
                <w:lang w:val="en-GB"/>
              </w:rPr>
            </w:pPr>
            <w:r w:rsidRPr="00F92405">
              <w:rPr>
                <w:rFonts w:ascii="Calibri" w:eastAsia="Calibri" w:hAnsi="Calibri" w:cs="Arial"/>
                <w:b/>
                <w:sz w:val="15"/>
                <w:szCs w:val="15"/>
                <w:lang w:val="en-GB"/>
              </w:rPr>
              <w:t>Net</w:t>
            </w:r>
          </w:p>
          <w:p w14:paraId="125BE766" w14:textId="77777777" w:rsidR="00F92405" w:rsidRPr="00F92405" w:rsidRDefault="00F92405" w:rsidP="00F92405">
            <w:pPr>
              <w:spacing w:after="0" w:line="240" w:lineRule="auto"/>
              <w:jc w:val="right"/>
              <w:rPr>
                <w:rFonts w:ascii="Calibri" w:eastAsia="Calibri" w:hAnsi="Calibri" w:cs="Arial"/>
                <w:b/>
                <w:sz w:val="15"/>
                <w:szCs w:val="15"/>
                <w:lang w:val="en-GB"/>
              </w:rPr>
            </w:pPr>
            <w:r w:rsidRPr="00F92405">
              <w:rPr>
                <w:rFonts w:ascii="Calibri" w:eastAsia="Calibri" w:hAnsi="Calibri" w:cs="Arial"/>
                <w:b/>
                <w:sz w:val="15"/>
                <w:szCs w:val="15"/>
                <w:lang w:val="en-GB"/>
              </w:rPr>
              <w:t>exposure of portfolio - risk Stage 2</w:t>
            </w:r>
          </w:p>
        </w:tc>
        <w:tc>
          <w:tcPr>
            <w:tcW w:w="344" w:type="pct"/>
            <w:vAlign w:val="bottom"/>
          </w:tcPr>
          <w:p w14:paraId="6AC8FC22" w14:textId="77777777" w:rsidR="00F92405" w:rsidRPr="00F92405" w:rsidRDefault="00F92405" w:rsidP="00F92405">
            <w:pPr>
              <w:spacing w:after="0" w:line="240" w:lineRule="auto"/>
              <w:jc w:val="right"/>
              <w:rPr>
                <w:rFonts w:ascii="Calibri" w:eastAsia="Calibri" w:hAnsi="Calibri" w:cs="Arial"/>
                <w:b/>
                <w:sz w:val="15"/>
                <w:szCs w:val="15"/>
                <w:lang w:val="en-GB"/>
              </w:rPr>
            </w:pPr>
            <w:r w:rsidRPr="00F92405">
              <w:rPr>
                <w:rFonts w:ascii="Calibri" w:eastAsia="Calibri" w:hAnsi="Calibri" w:cs="Arial"/>
                <w:b/>
                <w:sz w:val="15"/>
                <w:szCs w:val="15"/>
                <w:lang w:val="en-GB"/>
              </w:rPr>
              <w:t>Net</w:t>
            </w:r>
          </w:p>
          <w:p w14:paraId="3B7D9A84" w14:textId="77777777" w:rsidR="00F92405" w:rsidRPr="00F92405" w:rsidRDefault="00F92405" w:rsidP="00F92405">
            <w:pPr>
              <w:spacing w:after="0" w:line="240" w:lineRule="auto"/>
              <w:jc w:val="right"/>
              <w:rPr>
                <w:rFonts w:ascii="Calibri" w:eastAsia="Calibri" w:hAnsi="Calibri" w:cs="Arial"/>
                <w:b/>
                <w:sz w:val="15"/>
                <w:szCs w:val="15"/>
                <w:lang w:val="en-GB"/>
              </w:rPr>
            </w:pPr>
            <w:r w:rsidRPr="00F92405">
              <w:rPr>
                <w:rFonts w:ascii="Calibri" w:eastAsia="Calibri" w:hAnsi="Calibri" w:cs="Arial"/>
                <w:b/>
                <w:sz w:val="15"/>
                <w:szCs w:val="15"/>
                <w:lang w:val="en-GB"/>
              </w:rPr>
              <w:t>exposure of portfolio - risk Stage 3</w:t>
            </w:r>
          </w:p>
        </w:tc>
        <w:tc>
          <w:tcPr>
            <w:tcW w:w="343" w:type="pct"/>
            <w:vAlign w:val="bottom"/>
          </w:tcPr>
          <w:p w14:paraId="5C9D7EA9" w14:textId="77777777" w:rsidR="00F92405" w:rsidRPr="00F92405" w:rsidRDefault="00F92405" w:rsidP="00F92405">
            <w:pPr>
              <w:spacing w:after="0" w:line="240" w:lineRule="auto"/>
              <w:jc w:val="right"/>
              <w:rPr>
                <w:rFonts w:ascii="Calibri" w:eastAsia="Calibri" w:hAnsi="Calibri" w:cs="Arial"/>
                <w:b/>
                <w:sz w:val="15"/>
                <w:szCs w:val="15"/>
                <w:lang w:val="en-GB"/>
              </w:rPr>
            </w:pPr>
            <w:r w:rsidRPr="00F92405">
              <w:rPr>
                <w:rFonts w:ascii="Calibri" w:eastAsia="Calibri" w:hAnsi="Calibri" w:cs="Arial"/>
                <w:b/>
                <w:sz w:val="15"/>
                <w:szCs w:val="15"/>
                <w:lang w:val="en-GB"/>
              </w:rPr>
              <w:t>Net</w:t>
            </w:r>
          </w:p>
          <w:p w14:paraId="211108E4" w14:textId="77777777" w:rsidR="00F92405" w:rsidRPr="00F92405" w:rsidRDefault="00F92405" w:rsidP="00F92405">
            <w:pPr>
              <w:spacing w:after="0" w:line="240" w:lineRule="auto"/>
              <w:jc w:val="right"/>
              <w:rPr>
                <w:rFonts w:ascii="Calibri" w:eastAsia="Calibri" w:hAnsi="Calibri" w:cs="Arial"/>
                <w:b/>
                <w:sz w:val="15"/>
                <w:szCs w:val="15"/>
                <w:lang w:val="en-GB"/>
              </w:rPr>
            </w:pPr>
            <w:r w:rsidRPr="00F92405">
              <w:rPr>
                <w:rFonts w:ascii="Calibri" w:eastAsia="Calibri" w:hAnsi="Calibri" w:cs="Arial"/>
                <w:b/>
                <w:sz w:val="15"/>
                <w:szCs w:val="15"/>
                <w:lang w:val="en-GB"/>
              </w:rPr>
              <w:t>exposure of portfolio of risk POCI</w:t>
            </w:r>
          </w:p>
        </w:tc>
        <w:tc>
          <w:tcPr>
            <w:tcW w:w="344" w:type="pct"/>
            <w:vAlign w:val="bottom"/>
          </w:tcPr>
          <w:p w14:paraId="258ED118" w14:textId="77777777" w:rsidR="00F92405" w:rsidRPr="00F92405" w:rsidRDefault="00F92405" w:rsidP="00F92405">
            <w:pPr>
              <w:spacing w:after="0" w:line="240" w:lineRule="auto"/>
              <w:jc w:val="right"/>
              <w:rPr>
                <w:rFonts w:ascii="Calibri" w:eastAsia="Calibri" w:hAnsi="Calibri" w:cs="Times New Roman"/>
                <w:sz w:val="15"/>
                <w:szCs w:val="15"/>
                <w:lang w:val="en-GB"/>
              </w:rPr>
            </w:pPr>
            <w:r w:rsidRPr="00F92405">
              <w:rPr>
                <w:rFonts w:ascii="Calibri" w:eastAsia="Calibri" w:hAnsi="Calibri" w:cs="Arial"/>
                <w:b/>
                <w:sz w:val="15"/>
                <w:szCs w:val="15"/>
                <w:lang w:val="en-GB"/>
              </w:rPr>
              <w:t>Not subject to IFRS 9</w:t>
            </w:r>
          </w:p>
        </w:tc>
        <w:tc>
          <w:tcPr>
            <w:tcW w:w="344" w:type="pct"/>
            <w:vAlign w:val="bottom"/>
          </w:tcPr>
          <w:p w14:paraId="72F85D62" w14:textId="77777777" w:rsidR="00F92405" w:rsidRPr="00F92405" w:rsidRDefault="00F92405" w:rsidP="00F92405">
            <w:pPr>
              <w:spacing w:after="0" w:line="240" w:lineRule="auto"/>
              <w:jc w:val="right"/>
              <w:rPr>
                <w:rFonts w:ascii="Calibri" w:eastAsia="Calibri" w:hAnsi="Calibri" w:cs="Arial"/>
                <w:b/>
                <w:sz w:val="15"/>
                <w:szCs w:val="15"/>
                <w:lang w:val="en-GB"/>
              </w:rPr>
            </w:pPr>
            <w:r w:rsidRPr="00F92405">
              <w:rPr>
                <w:rFonts w:ascii="Calibri" w:eastAsia="Calibri" w:hAnsi="Calibri" w:cs="Arial"/>
                <w:b/>
                <w:sz w:val="15"/>
                <w:szCs w:val="15"/>
                <w:lang w:val="en-GB"/>
              </w:rPr>
              <w:t>Net exposure of total portfolio</w:t>
            </w:r>
          </w:p>
        </w:tc>
        <w:tc>
          <w:tcPr>
            <w:tcW w:w="343" w:type="pct"/>
            <w:vAlign w:val="bottom"/>
          </w:tcPr>
          <w:p w14:paraId="3D23665F" w14:textId="77777777" w:rsidR="00F92405" w:rsidRPr="00F92405" w:rsidRDefault="00F92405" w:rsidP="00F92405">
            <w:pPr>
              <w:spacing w:after="0" w:line="240" w:lineRule="auto"/>
              <w:jc w:val="right"/>
              <w:rPr>
                <w:rFonts w:ascii="Calibri" w:eastAsia="Calibri" w:hAnsi="Calibri" w:cs="Arial"/>
                <w:b/>
                <w:sz w:val="15"/>
                <w:szCs w:val="15"/>
                <w:highlight w:val="yellow"/>
                <w:lang w:val="en-GB"/>
              </w:rPr>
            </w:pPr>
            <w:r w:rsidRPr="00F92405">
              <w:rPr>
                <w:rFonts w:ascii="Calibri" w:eastAsia="Calibri" w:hAnsi="Calibri" w:cs="Arial"/>
                <w:b/>
                <w:sz w:val="15"/>
                <w:szCs w:val="15"/>
                <w:lang w:val="en-GB"/>
              </w:rPr>
              <w:t>Net exposure of portfolio after the effect of mitigation through collateral received Stage 1</w:t>
            </w:r>
          </w:p>
        </w:tc>
        <w:tc>
          <w:tcPr>
            <w:tcW w:w="344" w:type="pct"/>
            <w:vAlign w:val="bottom"/>
          </w:tcPr>
          <w:p w14:paraId="121B2866" w14:textId="77777777" w:rsidR="00F92405" w:rsidRPr="00F92405" w:rsidRDefault="00F92405" w:rsidP="00F92405">
            <w:pPr>
              <w:spacing w:after="0" w:line="240" w:lineRule="auto"/>
              <w:jc w:val="right"/>
              <w:rPr>
                <w:rFonts w:ascii="Calibri" w:eastAsia="Calibri" w:hAnsi="Calibri" w:cs="Arial"/>
                <w:b/>
                <w:sz w:val="15"/>
                <w:szCs w:val="15"/>
                <w:highlight w:val="yellow"/>
                <w:lang w:val="en-GB"/>
              </w:rPr>
            </w:pPr>
            <w:r w:rsidRPr="00F92405">
              <w:rPr>
                <w:rFonts w:ascii="Calibri" w:eastAsia="Calibri" w:hAnsi="Calibri" w:cs="Arial"/>
                <w:b/>
                <w:sz w:val="15"/>
                <w:szCs w:val="15"/>
                <w:lang w:val="en-GB"/>
              </w:rPr>
              <w:t>Net exposure of portfolio after the effect of mitigation through collateral received Stage 2</w:t>
            </w:r>
          </w:p>
        </w:tc>
        <w:tc>
          <w:tcPr>
            <w:tcW w:w="344" w:type="pct"/>
            <w:vAlign w:val="bottom"/>
          </w:tcPr>
          <w:p w14:paraId="36E99B62" w14:textId="77777777" w:rsidR="00F92405" w:rsidRPr="00F92405" w:rsidRDefault="00F92405" w:rsidP="00F92405">
            <w:pPr>
              <w:spacing w:after="0" w:line="240" w:lineRule="auto"/>
              <w:jc w:val="right"/>
              <w:rPr>
                <w:rFonts w:ascii="Calibri" w:eastAsia="Calibri" w:hAnsi="Calibri" w:cs="Arial"/>
                <w:b/>
                <w:sz w:val="15"/>
                <w:szCs w:val="15"/>
                <w:highlight w:val="yellow"/>
                <w:lang w:val="en-GB"/>
              </w:rPr>
            </w:pPr>
            <w:r w:rsidRPr="00F92405">
              <w:rPr>
                <w:rFonts w:ascii="Calibri" w:eastAsia="Calibri" w:hAnsi="Calibri" w:cs="Arial"/>
                <w:b/>
                <w:sz w:val="15"/>
                <w:szCs w:val="15"/>
                <w:lang w:val="en-GB"/>
              </w:rPr>
              <w:t>Net exposure of portfolio after the effect of mitigation through collateral received Stage 3</w:t>
            </w:r>
          </w:p>
        </w:tc>
        <w:tc>
          <w:tcPr>
            <w:tcW w:w="343" w:type="pct"/>
            <w:vAlign w:val="bottom"/>
          </w:tcPr>
          <w:p w14:paraId="3AFADFA2" w14:textId="77777777" w:rsidR="00F92405" w:rsidRPr="00F92405" w:rsidRDefault="00F92405" w:rsidP="00F92405">
            <w:pPr>
              <w:spacing w:after="0" w:line="240" w:lineRule="auto"/>
              <w:jc w:val="right"/>
              <w:rPr>
                <w:rFonts w:ascii="Calibri" w:eastAsia="Calibri" w:hAnsi="Calibri" w:cs="Arial"/>
                <w:b/>
                <w:sz w:val="15"/>
                <w:szCs w:val="15"/>
                <w:highlight w:val="yellow"/>
                <w:lang w:val="en-GB"/>
              </w:rPr>
            </w:pPr>
            <w:r w:rsidRPr="00F92405">
              <w:rPr>
                <w:rFonts w:ascii="Calibri" w:eastAsia="Calibri" w:hAnsi="Calibri" w:cs="Arial"/>
                <w:b/>
                <w:sz w:val="15"/>
                <w:szCs w:val="15"/>
                <w:lang w:val="en-GB"/>
              </w:rPr>
              <w:t xml:space="preserve">Net </w:t>
            </w:r>
            <w:proofErr w:type="gramStart"/>
            <w:r w:rsidRPr="00F92405">
              <w:rPr>
                <w:rFonts w:ascii="Calibri" w:eastAsia="Calibri" w:hAnsi="Calibri" w:cs="Arial"/>
                <w:b/>
                <w:sz w:val="15"/>
                <w:szCs w:val="15"/>
                <w:lang w:val="en-GB"/>
              </w:rPr>
              <w:t>exposure  of</w:t>
            </w:r>
            <w:proofErr w:type="gramEnd"/>
            <w:r w:rsidRPr="00F92405">
              <w:rPr>
                <w:rFonts w:ascii="Calibri" w:eastAsia="Calibri" w:hAnsi="Calibri" w:cs="Arial"/>
                <w:b/>
                <w:sz w:val="15"/>
                <w:szCs w:val="15"/>
                <w:lang w:val="en-GB"/>
              </w:rPr>
              <w:t xml:space="preserve"> portfolio after the effect of mitigation through collateral received POCI</w:t>
            </w:r>
          </w:p>
        </w:tc>
        <w:tc>
          <w:tcPr>
            <w:tcW w:w="344" w:type="pct"/>
            <w:vAlign w:val="bottom"/>
          </w:tcPr>
          <w:p w14:paraId="45622C4F" w14:textId="77777777" w:rsidR="00F92405" w:rsidRPr="00F92405" w:rsidRDefault="00F92405" w:rsidP="00F92405">
            <w:pPr>
              <w:spacing w:after="0" w:line="240" w:lineRule="auto"/>
              <w:jc w:val="right"/>
              <w:rPr>
                <w:rFonts w:ascii="Calibri" w:eastAsia="Calibri" w:hAnsi="Calibri" w:cs="Arial"/>
                <w:b/>
                <w:sz w:val="15"/>
                <w:szCs w:val="15"/>
                <w:lang w:val="en-GB"/>
              </w:rPr>
            </w:pPr>
            <w:r w:rsidRPr="00F92405">
              <w:rPr>
                <w:rFonts w:ascii="Calibri" w:eastAsia="Calibri" w:hAnsi="Calibri" w:cs="Arial"/>
                <w:b/>
                <w:sz w:val="15"/>
                <w:szCs w:val="15"/>
                <w:lang w:val="en-GB"/>
              </w:rPr>
              <w:t>Not subject to IFRS 9 after the effect of mitigation through</w:t>
            </w:r>
          </w:p>
          <w:p w14:paraId="624AA019" w14:textId="77777777" w:rsidR="00F92405" w:rsidRPr="00F92405" w:rsidRDefault="00F92405" w:rsidP="00F92405">
            <w:pPr>
              <w:spacing w:after="0" w:line="240" w:lineRule="auto"/>
              <w:jc w:val="right"/>
              <w:rPr>
                <w:rFonts w:ascii="Calibri" w:eastAsia="Calibri" w:hAnsi="Calibri" w:cs="Arial"/>
                <w:b/>
                <w:sz w:val="15"/>
                <w:szCs w:val="15"/>
                <w:highlight w:val="yellow"/>
                <w:lang w:val="en-GB"/>
              </w:rPr>
            </w:pPr>
            <w:r w:rsidRPr="00F92405">
              <w:rPr>
                <w:rFonts w:ascii="Calibri" w:eastAsia="Calibri" w:hAnsi="Calibri" w:cs="Arial"/>
                <w:b/>
                <w:sz w:val="15"/>
                <w:szCs w:val="15"/>
                <w:lang w:val="en-GB"/>
              </w:rPr>
              <w:t xml:space="preserve"> collateral received</w:t>
            </w:r>
          </w:p>
        </w:tc>
        <w:tc>
          <w:tcPr>
            <w:tcW w:w="343" w:type="pct"/>
            <w:vAlign w:val="bottom"/>
          </w:tcPr>
          <w:p w14:paraId="63ECD145" w14:textId="77777777" w:rsidR="00F92405" w:rsidRPr="00F92405" w:rsidRDefault="00F92405" w:rsidP="00F92405">
            <w:pPr>
              <w:spacing w:after="0" w:line="240" w:lineRule="auto"/>
              <w:jc w:val="right"/>
              <w:rPr>
                <w:rFonts w:ascii="Calibri" w:eastAsia="Calibri" w:hAnsi="Calibri" w:cs="Arial"/>
                <w:b/>
                <w:sz w:val="15"/>
                <w:szCs w:val="15"/>
                <w:highlight w:val="yellow"/>
                <w:lang w:val="en-GB"/>
              </w:rPr>
            </w:pPr>
            <w:r w:rsidRPr="00F92405">
              <w:rPr>
                <w:rFonts w:ascii="Calibri" w:eastAsia="Calibri" w:hAnsi="Calibri" w:cs="Arial"/>
                <w:b/>
                <w:sz w:val="15"/>
                <w:szCs w:val="15"/>
                <w:lang w:val="en-GB"/>
              </w:rPr>
              <w:t xml:space="preserve">Net exposure of total portfolio after the effect of mitigation through collateral received </w:t>
            </w:r>
          </w:p>
        </w:tc>
      </w:tr>
      <w:tr w:rsidR="00F92405" w:rsidRPr="00F92405" w14:paraId="4AD98B1B" w14:textId="77777777" w:rsidTr="00E44437">
        <w:trPr>
          <w:trHeight w:val="126"/>
          <w:jc w:val="center"/>
        </w:trPr>
        <w:tc>
          <w:tcPr>
            <w:tcW w:w="877" w:type="pct"/>
          </w:tcPr>
          <w:p w14:paraId="22B068A3" w14:textId="77777777" w:rsidR="00F92405" w:rsidRPr="00F92405" w:rsidRDefault="00F92405" w:rsidP="00F92405">
            <w:pPr>
              <w:spacing w:after="0" w:line="240" w:lineRule="auto"/>
              <w:rPr>
                <w:rFonts w:ascii="Calibri" w:eastAsia="Calibri" w:hAnsi="Calibri" w:cs="Arial"/>
                <w:b/>
                <w:bCs/>
                <w:sz w:val="15"/>
                <w:szCs w:val="15"/>
                <w:lang w:val="en-GB"/>
              </w:rPr>
            </w:pPr>
          </w:p>
        </w:tc>
        <w:tc>
          <w:tcPr>
            <w:tcW w:w="343" w:type="pct"/>
          </w:tcPr>
          <w:p w14:paraId="64AB0A1B" w14:textId="77777777" w:rsidR="00F92405" w:rsidRPr="00F92405" w:rsidRDefault="00F92405" w:rsidP="00F92405">
            <w:pPr>
              <w:spacing w:after="0" w:line="240" w:lineRule="auto"/>
              <w:jc w:val="right"/>
              <w:rPr>
                <w:rFonts w:ascii="Calibri" w:eastAsia="Calibri" w:hAnsi="Calibri" w:cs="Arial"/>
                <w:b/>
                <w:sz w:val="15"/>
                <w:szCs w:val="15"/>
                <w:lang w:val="en-GB"/>
              </w:rPr>
            </w:pPr>
            <w:r w:rsidRPr="00F92405">
              <w:rPr>
                <w:rFonts w:ascii="Calibri" w:eastAsia="Calibri" w:hAnsi="Calibri" w:cs="Arial"/>
                <w:b/>
                <w:sz w:val="15"/>
                <w:szCs w:val="15"/>
                <w:lang w:val="en-GB"/>
              </w:rPr>
              <w:t>HRK ‘000</w:t>
            </w:r>
          </w:p>
        </w:tc>
        <w:tc>
          <w:tcPr>
            <w:tcW w:w="344" w:type="pct"/>
          </w:tcPr>
          <w:p w14:paraId="10AFA64C" w14:textId="77777777" w:rsidR="00F92405" w:rsidRPr="00F92405" w:rsidRDefault="00F92405" w:rsidP="00F92405">
            <w:pPr>
              <w:spacing w:after="0" w:line="240" w:lineRule="auto"/>
              <w:jc w:val="right"/>
              <w:rPr>
                <w:rFonts w:ascii="Calibri" w:eastAsia="Calibri" w:hAnsi="Calibri" w:cs="Arial"/>
                <w:b/>
                <w:sz w:val="15"/>
                <w:szCs w:val="15"/>
                <w:lang w:val="en-GB"/>
              </w:rPr>
            </w:pPr>
            <w:r w:rsidRPr="00F92405">
              <w:rPr>
                <w:rFonts w:ascii="Calibri" w:eastAsia="Calibri" w:hAnsi="Calibri" w:cs="Arial"/>
                <w:b/>
                <w:sz w:val="15"/>
                <w:szCs w:val="15"/>
                <w:lang w:val="en-GB"/>
              </w:rPr>
              <w:t>HRK ‘000</w:t>
            </w:r>
          </w:p>
        </w:tc>
        <w:tc>
          <w:tcPr>
            <w:tcW w:w="344" w:type="pct"/>
          </w:tcPr>
          <w:p w14:paraId="3D8B6815" w14:textId="77777777" w:rsidR="00F92405" w:rsidRPr="00F92405" w:rsidRDefault="00F92405" w:rsidP="00F92405">
            <w:pPr>
              <w:spacing w:after="0" w:line="240" w:lineRule="auto"/>
              <w:jc w:val="right"/>
              <w:rPr>
                <w:rFonts w:ascii="Calibri" w:eastAsia="Calibri" w:hAnsi="Calibri" w:cs="Arial"/>
                <w:b/>
                <w:sz w:val="15"/>
                <w:szCs w:val="15"/>
                <w:lang w:val="en-GB"/>
              </w:rPr>
            </w:pPr>
            <w:r w:rsidRPr="00F92405">
              <w:rPr>
                <w:rFonts w:ascii="Calibri" w:eastAsia="Calibri" w:hAnsi="Calibri" w:cs="Arial"/>
                <w:b/>
                <w:sz w:val="15"/>
                <w:szCs w:val="15"/>
                <w:lang w:val="en-GB"/>
              </w:rPr>
              <w:t>HRK ‘000</w:t>
            </w:r>
          </w:p>
        </w:tc>
        <w:tc>
          <w:tcPr>
            <w:tcW w:w="343" w:type="pct"/>
          </w:tcPr>
          <w:p w14:paraId="2824C97E" w14:textId="77777777" w:rsidR="00F92405" w:rsidRPr="00F92405" w:rsidRDefault="00F92405" w:rsidP="00F92405">
            <w:pPr>
              <w:spacing w:after="0" w:line="240" w:lineRule="auto"/>
              <w:jc w:val="right"/>
              <w:rPr>
                <w:rFonts w:ascii="Calibri" w:eastAsia="Calibri" w:hAnsi="Calibri" w:cs="Arial"/>
                <w:b/>
                <w:sz w:val="15"/>
                <w:szCs w:val="15"/>
                <w:lang w:val="en-GB"/>
              </w:rPr>
            </w:pPr>
            <w:r w:rsidRPr="00F92405">
              <w:rPr>
                <w:rFonts w:ascii="Calibri" w:eastAsia="Calibri" w:hAnsi="Calibri" w:cs="Arial"/>
                <w:b/>
                <w:sz w:val="15"/>
                <w:szCs w:val="15"/>
                <w:lang w:val="en-GB"/>
              </w:rPr>
              <w:t>HRK ‘000</w:t>
            </w:r>
          </w:p>
        </w:tc>
        <w:tc>
          <w:tcPr>
            <w:tcW w:w="344" w:type="pct"/>
          </w:tcPr>
          <w:p w14:paraId="2652B4C7" w14:textId="77777777" w:rsidR="00F92405" w:rsidRPr="00F92405" w:rsidRDefault="00F92405" w:rsidP="00F92405">
            <w:pPr>
              <w:spacing w:after="0" w:line="240" w:lineRule="auto"/>
              <w:jc w:val="right"/>
              <w:rPr>
                <w:rFonts w:ascii="Calibri" w:eastAsia="Calibri" w:hAnsi="Calibri" w:cs="Arial"/>
                <w:b/>
                <w:sz w:val="15"/>
                <w:szCs w:val="15"/>
                <w:lang w:val="en-GB"/>
              </w:rPr>
            </w:pPr>
            <w:r w:rsidRPr="00F92405">
              <w:rPr>
                <w:rFonts w:ascii="Calibri" w:eastAsia="Calibri" w:hAnsi="Calibri" w:cs="Arial"/>
                <w:b/>
                <w:sz w:val="15"/>
                <w:szCs w:val="15"/>
                <w:lang w:val="en-GB"/>
              </w:rPr>
              <w:t>HRK ‘000</w:t>
            </w:r>
          </w:p>
        </w:tc>
        <w:tc>
          <w:tcPr>
            <w:tcW w:w="344" w:type="pct"/>
          </w:tcPr>
          <w:p w14:paraId="4DEDED24" w14:textId="77777777" w:rsidR="00F92405" w:rsidRPr="00F92405" w:rsidRDefault="00F92405" w:rsidP="00F92405">
            <w:pPr>
              <w:spacing w:after="0" w:line="240" w:lineRule="auto"/>
              <w:jc w:val="right"/>
              <w:rPr>
                <w:rFonts w:ascii="Calibri" w:eastAsia="Calibri" w:hAnsi="Calibri" w:cs="Arial"/>
                <w:b/>
                <w:sz w:val="15"/>
                <w:szCs w:val="15"/>
                <w:lang w:val="en-GB"/>
              </w:rPr>
            </w:pPr>
            <w:r w:rsidRPr="00F92405">
              <w:rPr>
                <w:rFonts w:ascii="Calibri" w:eastAsia="Calibri" w:hAnsi="Calibri" w:cs="Arial"/>
                <w:b/>
                <w:sz w:val="15"/>
                <w:szCs w:val="15"/>
                <w:lang w:val="en-GB"/>
              </w:rPr>
              <w:t>HRK ‘000</w:t>
            </w:r>
          </w:p>
        </w:tc>
        <w:tc>
          <w:tcPr>
            <w:tcW w:w="343" w:type="pct"/>
          </w:tcPr>
          <w:p w14:paraId="3BAF566B" w14:textId="77777777" w:rsidR="00F92405" w:rsidRPr="00F92405" w:rsidRDefault="00F92405" w:rsidP="00F92405">
            <w:pPr>
              <w:spacing w:after="0" w:line="240" w:lineRule="auto"/>
              <w:jc w:val="right"/>
              <w:rPr>
                <w:rFonts w:ascii="Calibri" w:eastAsia="Calibri" w:hAnsi="Calibri" w:cs="Arial"/>
                <w:b/>
                <w:sz w:val="15"/>
                <w:szCs w:val="15"/>
                <w:lang w:val="en-GB"/>
              </w:rPr>
            </w:pPr>
            <w:r w:rsidRPr="00F92405">
              <w:rPr>
                <w:rFonts w:ascii="Calibri" w:eastAsia="Calibri" w:hAnsi="Calibri" w:cs="Arial"/>
                <w:b/>
                <w:sz w:val="15"/>
                <w:szCs w:val="15"/>
                <w:lang w:val="en-GB"/>
              </w:rPr>
              <w:t>HRK ‘000</w:t>
            </w:r>
          </w:p>
        </w:tc>
        <w:tc>
          <w:tcPr>
            <w:tcW w:w="344" w:type="pct"/>
          </w:tcPr>
          <w:p w14:paraId="509326A1" w14:textId="77777777" w:rsidR="00F92405" w:rsidRPr="00F92405" w:rsidRDefault="00F92405" w:rsidP="00F92405">
            <w:pPr>
              <w:spacing w:after="0" w:line="240" w:lineRule="auto"/>
              <w:jc w:val="right"/>
              <w:rPr>
                <w:rFonts w:ascii="Calibri" w:eastAsia="Calibri" w:hAnsi="Calibri" w:cs="Arial"/>
                <w:b/>
                <w:sz w:val="15"/>
                <w:szCs w:val="15"/>
                <w:lang w:val="en-GB"/>
              </w:rPr>
            </w:pPr>
            <w:r w:rsidRPr="00F92405">
              <w:rPr>
                <w:rFonts w:ascii="Calibri" w:eastAsia="Calibri" w:hAnsi="Calibri" w:cs="Arial"/>
                <w:b/>
                <w:sz w:val="15"/>
                <w:szCs w:val="15"/>
                <w:lang w:val="en-GB"/>
              </w:rPr>
              <w:t>HRK ‘000</w:t>
            </w:r>
          </w:p>
        </w:tc>
        <w:tc>
          <w:tcPr>
            <w:tcW w:w="344" w:type="pct"/>
          </w:tcPr>
          <w:p w14:paraId="383DCD93" w14:textId="77777777" w:rsidR="00F92405" w:rsidRPr="00F92405" w:rsidRDefault="00F92405" w:rsidP="00F92405">
            <w:pPr>
              <w:spacing w:after="0" w:line="240" w:lineRule="auto"/>
              <w:jc w:val="right"/>
              <w:rPr>
                <w:rFonts w:ascii="Calibri" w:eastAsia="Calibri" w:hAnsi="Calibri" w:cs="Arial"/>
                <w:b/>
                <w:sz w:val="15"/>
                <w:szCs w:val="15"/>
                <w:lang w:val="en-GB"/>
              </w:rPr>
            </w:pPr>
            <w:r w:rsidRPr="00F92405">
              <w:rPr>
                <w:rFonts w:ascii="Calibri" w:eastAsia="Calibri" w:hAnsi="Calibri" w:cs="Arial"/>
                <w:b/>
                <w:sz w:val="15"/>
                <w:szCs w:val="15"/>
                <w:lang w:val="en-GB"/>
              </w:rPr>
              <w:t>HRK ‘000</w:t>
            </w:r>
          </w:p>
        </w:tc>
        <w:tc>
          <w:tcPr>
            <w:tcW w:w="343" w:type="pct"/>
          </w:tcPr>
          <w:p w14:paraId="36044723" w14:textId="77777777" w:rsidR="00F92405" w:rsidRPr="00F92405" w:rsidRDefault="00F92405" w:rsidP="00F92405">
            <w:pPr>
              <w:spacing w:after="0" w:line="240" w:lineRule="auto"/>
              <w:jc w:val="right"/>
              <w:rPr>
                <w:rFonts w:ascii="Calibri" w:eastAsia="Calibri" w:hAnsi="Calibri" w:cs="Arial"/>
                <w:b/>
                <w:sz w:val="15"/>
                <w:szCs w:val="15"/>
                <w:lang w:val="en-GB"/>
              </w:rPr>
            </w:pPr>
            <w:r w:rsidRPr="00F92405">
              <w:rPr>
                <w:rFonts w:ascii="Calibri" w:eastAsia="Calibri" w:hAnsi="Calibri" w:cs="Arial"/>
                <w:b/>
                <w:sz w:val="15"/>
                <w:szCs w:val="15"/>
                <w:lang w:val="en-GB"/>
              </w:rPr>
              <w:t>HRK ‘000</w:t>
            </w:r>
          </w:p>
        </w:tc>
        <w:tc>
          <w:tcPr>
            <w:tcW w:w="344" w:type="pct"/>
          </w:tcPr>
          <w:p w14:paraId="5D29CF2C" w14:textId="77777777" w:rsidR="00F92405" w:rsidRPr="00F92405" w:rsidRDefault="00F92405" w:rsidP="00F92405">
            <w:pPr>
              <w:spacing w:after="0" w:line="240" w:lineRule="auto"/>
              <w:jc w:val="right"/>
              <w:rPr>
                <w:rFonts w:ascii="Calibri" w:eastAsia="Calibri" w:hAnsi="Calibri" w:cs="Arial"/>
                <w:b/>
                <w:sz w:val="15"/>
                <w:szCs w:val="15"/>
                <w:lang w:val="en-GB"/>
              </w:rPr>
            </w:pPr>
            <w:r w:rsidRPr="00F92405">
              <w:rPr>
                <w:rFonts w:ascii="Calibri" w:eastAsia="Calibri" w:hAnsi="Calibri" w:cs="Arial"/>
                <w:b/>
                <w:sz w:val="15"/>
                <w:szCs w:val="15"/>
                <w:lang w:val="en-GB"/>
              </w:rPr>
              <w:t>HRK ‘000</w:t>
            </w:r>
          </w:p>
        </w:tc>
        <w:tc>
          <w:tcPr>
            <w:tcW w:w="343" w:type="pct"/>
          </w:tcPr>
          <w:p w14:paraId="27FDB370" w14:textId="77777777" w:rsidR="00F92405" w:rsidRPr="00F92405" w:rsidRDefault="00F92405" w:rsidP="00F92405">
            <w:pPr>
              <w:spacing w:after="0" w:line="240" w:lineRule="auto"/>
              <w:jc w:val="right"/>
              <w:rPr>
                <w:rFonts w:ascii="Calibri" w:eastAsia="Calibri" w:hAnsi="Calibri" w:cs="Arial"/>
                <w:b/>
                <w:sz w:val="15"/>
                <w:szCs w:val="15"/>
                <w:lang w:val="en-GB"/>
              </w:rPr>
            </w:pPr>
            <w:r w:rsidRPr="00F92405">
              <w:rPr>
                <w:rFonts w:ascii="Calibri" w:eastAsia="Calibri" w:hAnsi="Calibri" w:cs="Arial"/>
                <w:b/>
                <w:sz w:val="15"/>
                <w:szCs w:val="15"/>
                <w:lang w:val="en-GB"/>
              </w:rPr>
              <w:t>HRK ‘000</w:t>
            </w:r>
          </w:p>
        </w:tc>
      </w:tr>
      <w:tr w:rsidR="00F92405" w:rsidRPr="00F92405" w14:paraId="33C1FDFE" w14:textId="77777777" w:rsidTr="00E44437">
        <w:trPr>
          <w:trHeight w:val="92"/>
          <w:jc w:val="center"/>
        </w:trPr>
        <w:tc>
          <w:tcPr>
            <w:tcW w:w="877" w:type="pct"/>
          </w:tcPr>
          <w:p w14:paraId="16BA6639" w14:textId="77777777" w:rsidR="00F92405" w:rsidRPr="00F92405" w:rsidRDefault="00F92405" w:rsidP="00F92405">
            <w:pPr>
              <w:tabs>
                <w:tab w:val="right" w:pos="1202"/>
              </w:tabs>
              <w:spacing w:after="0" w:line="301" w:lineRule="exact"/>
              <w:outlineLvl w:val="0"/>
              <w:rPr>
                <w:rFonts w:ascii="Calibri" w:eastAsia="Calibri" w:hAnsi="Calibri" w:cs="Arial"/>
                <w:b/>
                <w:bCs/>
                <w:sz w:val="15"/>
                <w:szCs w:val="15"/>
                <w:lang w:val="en-GB"/>
              </w:rPr>
            </w:pPr>
            <w:r w:rsidRPr="00F92405">
              <w:rPr>
                <w:rFonts w:ascii="Calibri" w:eastAsia="Calibri" w:hAnsi="Calibri" w:cs="Arial"/>
                <w:b/>
                <w:bCs/>
                <w:sz w:val="15"/>
                <w:szCs w:val="15"/>
                <w:lang w:val="en-GB"/>
              </w:rPr>
              <w:t>Assets</w:t>
            </w:r>
          </w:p>
        </w:tc>
        <w:tc>
          <w:tcPr>
            <w:tcW w:w="343" w:type="pct"/>
            <w:vAlign w:val="bottom"/>
          </w:tcPr>
          <w:p w14:paraId="07F06344" w14:textId="77777777" w:rsidR="00F92405" w:rsidRPr="00F92405" w:rsidRDefault="00F92405" w:rsidP="00F92405">
            <w:pPr>
              <w:tabs>
                <w:tab w:val="right" w:pos="1202"/>
              </w:tabs>
              <w:spacing w:after="0" w:line="301" w:lineRule="exact"/>
              <w:jc w:val="right"/>
              <w:outlineLvl w:val="0"/>
              <w:rPr>
                <w:rFonts w:ascii="Calibri" w:eastAsia="Calibri" w:hAnsi="Calibri" w:cs="Arial"/>
                <w:b/>
                <w:bCs/>
                <w:sz w:val="15"/>
                <w:szCs w:val="15"/>
                <w:lang w:val="en-GB"/>
              </w:rPr>
            </w:pPr>
          </w:p>
        </w:tc>
        <w:tc>
          <w:tcPr>
            <w:tcW w:w="344" w:type="pct"/>
            <w:vAlign w:val="bottom"/>
          </w:tcPr>
          <w:p w14:paraId="2C1CD0EA" w14:textId="77777777" w:rsidR="00F92405" w:rsidRPr="00F92405" w:rsidRDefault="00F92405" w:rsidP="00F92405">
            <w:pPr>
              <w:tabs>
                <w:tab w:val="right" w:pos="1202"/>
              </w:tabs>
              <w:spacing w:after="0" w:line="301" w:lineRule="exact"/>
              <w:jc w:val="right"/>
              <w:outlineLvl w:val="0"/>
              <w:rPr>
                <w:rFonts w:ascii="Calibri" w:eastAsia="Calibri" w:hAnsi="Calibri" w:cs="Arial"/>
                <w:b/>
                <w:bCs/>
                <w:sz w:val="15"/>
                <w:szCs w:val="15"/>
                <w:lang w:val="en-GB"/>
              </w:rPr>
            </w:pPr>
          </w:p>
        </w:tc>
        <w:tc>
          <w:tcPr>
            <w:tcW w:w="344" w:type="pct"/>
            <w:vAlign w:val="bottom"/>
          </w:tcPr>
          <w:p w14:paraId="68877719" w14:textId="77777777" w:rsidR="00F92405" w:rsidRPr="00F92405" w:rsidRDefault="00F92405" w:rsidP="00F92405">
            <w:pPr>
              <w:tabs>
                <w:tab w:val="right" w:pos="1202"/>
              </w:tabs>
              <w:spacing w:after="0" w:line="301" w:lineRule="exact"/>
              <w:jc w:val="right"/>
              <w:outlineLvl w:val="0"/>
              <w:rPr>
                <w:rFonts w:ascii="Calibri" w:eastAsia="Calibri" w:hAnsi="Calibri" w:cs="Arial"/>
                <w:b/>
                <w:bCs/>
                <w:sz w:val="15"/>
                <w:szCs w:val="15"/>
                <w:lang w:val="en-GB"/>
              </w:rPr>
            </w:pPr>
          </w:p>
        </w:tc>
        <w:tc>
          <w:tcPr>
            <w:tcW w:w="343" w:type="pct"/>
            <w:vAlign w:val="bottom"/>
          </w:tcPr>
          <w:p w14:paraId="2FF0EEF9" w14:textId="77777777" w:rsidR="00F92405" w:rsidRPr="00F92405" w:rsidRDefault="00F92405" w:rsidP="00F92405">
            <w:pPr>
              <w:tabs>
                <w:tab w:val="right" w:pos="1202"/>
              </w:tabs>
              <w:spacing w:after="0" w:line="301" w:lineRule="exact"/>
              <w:jc w:val="right"/>
              <w:outlineLvl w:val="0"/>
              <w:rPr>
                <w:rFonts w:ascii="Calibri" w:eastAsia="Calibri" w:hAnsi="Calibri" w:cs="Arial"/>
                <w:b/>
                <w:bCs/>
                <w:sz w:val="15"/>
                <w:szCs w:val="15"/>
                <w:lang w:val="en-GB"/>
              </w:rPr>
            </w:pPr>
          </w:p>
        </w:tc>
        <w:tc>
          <w:tcPr>
            <w:tcW w:w="344" w:type="pct"/>
            <w:vAlign w:val="bottom"/>
          </w:tcPr>
          <w:p w14:paraId="490C87B8" w14:textId="77777777" w:rsidR="00F92405" w:rsidRPr="00F92405" w:rsidRDefault="00F92405" w:rsidP="00F92405">
            <w:pPr>
              <w:tabs>
                <w:tab w:val="right" w:pos="1202"/>
              </w:tabs>
              <w:spacing w:after="0" w:line="301" w:lineRule="exact"/>
              <w:jc w:val="right"/>
              <w:outlineLvl w:val="0"/>
              <w:rPr>
                <w:rFonts w:ascii="Calibri" w:eastAsia="Calibri" w:hAnsi="Calibri" w:cs="Arial"/>
                <w:b/>
                <w:bCs/>
                <w:sz w:val="15"/>
                <w:szCs w:val="15"/>
                <w:lang w:val="en-GB"/>
              </w:rPr>
            </w:pPr>
          </w:p>
        </w:tc>
        <w:tc>
          <w:tcPr>
            <w:tcW w:w="344" w:type="pct"/>
            <w:vAlign w:val="bottom"/>
          </w:tcPr>
          <w:p w14:paraId="00BF7FB4" w14:textId="77777777" w:rsidR="00F92405" w:rsidRPr="00F92405" w:rsidRDefault="00F92405" w:rsidP="00F92405">
            <w:pPr>
              <w:tabs>
                <w:tab w:val="right" w:pos="1202"/>
              </w:tabs>
              <w:spacing w:after="0" w:line="301" w:lineRule="exact"/>
              <w:jc w:val="right"/>
              <w:outlineLvl w:val="0"/>
              <w:rPr>
                <w:rFonts w:ascii="Calibri" w:eastAsia="Calibri" w:hAnsi="Calibri" w:cs="Arial"/>
                <w:b/>
                <w:bCs/>
                <w:sz w:val="15"/>
                <w:szCs w:val="15"/>
                <w:lang w:val="en-GB"/>
              </w:rPr>
            </w:pPr>
          </w:p>
        </w:tc>
        <w:tc>
          <w:tcPr>
            <w:tcW w:w="343" w:type="pct"/>
            <w:vAlign w:val="bottom"/>
          </w:tcPr>
          <w:p w14:paraId="4D92D868" w14:textId="77777777" w:rsidR="00F92405" w:rsidRPr="00F92405" w:rsidRDefault="00F92405" w:rsidP="00F92405">
            <w:pPr>
              <w:tabs>
                <w:tab w:val="right" w:pos="1202"/>
              </w:tabs>
              <w:spacing w:after="0" w:line="301" w:lineRule="exact"/>
              <w:jc w:val="right"/>
              <w:outlineLvl w:val="0"/>
              <w:rPr>
                <w:rFonts w:ascii="Calibri" w:eastAsia="Calibri" w:hAnsi="Calibri" w:cs="Arial"/>
                <w:b/>
                <w:bCs/>
                <w:sz w:val="15"/>
                <w:szCs w:val="15"/>
                <w:lang w:val="en-GB"/>
              </w:rPr>
            </w:pPr>
          </w:p>
        </w:tc>
        <w:tc>
          <w:tcPr>
            <w:tcW w:w="344" w:type="pct"/>
            <w:vAlign w:val="bottom"/>
          </w:tcPr>
          <w:p w14:paraId="1584FA95" w14:textId="77777777" w:rsidR="00F92405" w:rsidRPr="00F92405" w:rsidRDefault="00F92405" w:rsidP="00F92405">
            <w:pPr>
              <w:tabs>
                <w:tab w:val="right" w:pos="1202"/>
              </w:tabs>
              <w:spacing w:after="0" w:line="301" w:lineRule="exact"/>
              <w:jc w:val="right"/>
              <w:outlineLvl w:val="0"/>
              <w:rPr>
                <w:rFonts w:ascii="Calibri" w:eastAsia="Calibri" w:hAnsi="Calibri" w:cs="Arial"/>
                <w:b/>
                <w:bCs/>
                <w:sz w:val="15"/>
                <w:szCs w:val="15"/>
                <w:lang w:val="en-GB"/>
              </w:rPr>
            </w:pPr>
          </w:p>
        </w:tc>
        <w:tc>
          <w:tcPr>
            <w:tcW w:w="344" w:type="pct"/>
            <w:vAlign w:val="bottom"/>
          </w:tcPr>
          <w:p w14:paraId="298DDB2E" w14:textId="77777777" w:rsidR="00F92405" w:rsidRPr="00F92405" w:rsidRDefault="00F92405" w:rsidP="00F92405">
            <w:pPr>
              <w:tabs>
                <w:tab w:val="right" w:pos="1202"/>
              </w:tabs>
              <w:spacing w:after="0" w:line="301" w:lineRule="exact"/>
              <w:jc w:val="right"/>
              <w:outlineLvl w:val="0"/>
              <w:rPr>
                <w:rFonts w:ascii="Calibri" w:eastAsia="Calibri" w:hAnsi="Calibri" w:cs="Arial"/>
                <w:b/>
                <w:bCs/>
                <w:sz w:val="15"/>
                <w:szCs w:val="15"/>
                <w:lang w:val="en-GB"/>
              </w:rPr>
            </w:pPr>
          </w:p>
        </w:tc>
        <w:tc>
          <w:tcPr>
            <w:tcW w:w="343" w:type="pct"/>
            <w:vAlign w:val="bottom"/>
          </w:tcPr>
          <w:p w14:paraId="421E3E44" w14:textId="77777777" w:rsidR="00F92405" w:rsidRPr="00F92405" w:rsidRDefault="00F92405" w:rsidP="00F92405">
            <w:pPr>
              <w:tabs>
                <w:tab w:val="right" w:pos="1202"/>
              </w:tabs>
              <w:spacing w:after="0" w:line="301" w:lineRule="exact"/>
              <w:jc w:val="right"/>
              <w:outlineLvl w:val="0"/>
              <w:rPr>
                <w:rFonts w:ascii="Calibri" w:eastAsia="Calibri" w:hAnsi="Calibri" w:cs="Arial"/>
                <w:b/>
                <w:bCs/>
                <w:sz w:val="15"/>
                <w:szCs w:val="15"/>
                <w:lang w:val="en-GB"/>
              </w:rPr>
            </w:pPr>
          </w:p>
        </w:tc>
        <w:tc>
          <w:tcPr>
            <w:tcW w:w="344" w:type="pct"/>
            <w:vAlign w:val="bottom"/>
          </w:tcPr>
          <w:p w14:paraId="1D478648" w14:textId="77777777" w:rsidR="00F92405" w:rsidRPr="00F92405" w:rsidRDefault="00F92405" w:rsidP="00F92405">
            <w:pPr>
              <w:tabs>
                <w:tab w:val="right" w:pos="1202"/>
              </w:tabs>
              <w:spacing w:after="0" w:line="301" w:lineRule="exact"/>
              <w:jc w:val="right"/>
              <w:outlineLvl w:val="0"/>
              <w:rPr>
                <w:rFonts w:ascii="Calibri" w:eastAsia="Calibri" w:hAnsi="Calibri" w:cs="Arial"/>
                <w:b/>
                <w:bCs/>
                <w:sz w:val="15"/>
                <w:szCs w:val="15"/>
                <w:lang w:val="en-GB"/>
              </w:rPr>
            </w:pPr>
          </w:p>
        </w:tc>
        <w:tc>
          <w:tcPr>
            <w:tcW w:w="343" w:type="pct"/>
            <w:vAlign w:val="bottom"/>
          </w:tcPr>
          <w:p w14:paraId="5BF727E2" w14:textId="77777777" w:rsidR="00F92405" w:rsidRPr="00F92405" w:rsidRDefault="00F92405" w:rsidP="00F92405">
            <w:pPr>
              <w:tabs>
                <w:tab w:val="right" w:pos="1202"/>
              </w:tabs>
              <w:spacing w:after="0" w:line="301" w:lineRule="exact"/>
              <w:jc w:val="right"/>
              <w:outlineLvl w:val="0"/>
              <w:rPr>
                <w:rFonts w:ascii="Calibri" w:eastAsia="Calibri" w:hAnsi="Calibri" w:cs="Arial"/>
                <w:b/>
                <w:bCs/>
                <w:sz w:val="15"/>
                <w:szCs w:val="15"/>
                <w:lang w:val="en-GB"/>
              </w:rPr>
            </w:pPr>
          </w:p>
        </w:tc>
      </w:tr>
      <w:tr w:rsidR="00F92405" w:rsidRPr="00F92405" w14:paraId="19600A78" w14:textId="77777777" w:rsidTr="00E44437">
        <w:trPr>
          <w:trHeight w:val="149"/>
          <w:jc w:val="center"/>
        </w:trPr>
        <w:tc>
          <w:tcPr>
            <w:tcW w:w="877" w:type="pct"/>
            <w:vAlign w:val="bottom"/>
          </w:tcPr>
          <w:p w14:paraId="3439BA89" w14:textId="77777777" w:rsidR="00F92405" w:rsidRPr="00F92405" w:rsidRDefault="00F92405" w:rsidP="00F92405">
            <w:pPr>
              <w:tabs>
                <w:tab w:val="right" w:pos="1202"/>
              </w:tabs>
              <w:spacing w:after="0" w:line="240" w:lineRule="auto"/>
              <w:outlineLvl w:val="0"/>
              <w:rPr>
                <w:rFonts w:ascii="Calibri" w:eastAsia="Calibri" w:hAnsi="Calibri" w:cs="Times New Roman"/>
                <w:sz w:val="15"/>
                <w:szCs w:val="15"/>
                <w:lang w:val="en-GB"/>
              </w:rPr>
            </w:pPr>
            <w:r w:rsidRPr="00F92405">
              <w:rPr>
                <w:rFonts w:ascii="Calibri" w:eastAsia="Calibri" w:hAnsi="Calibri" w:cs="Times New Roman"/>
                <w:sz w:val="15"/>
                <w:szCs w:val="15"/>
                <w:lang w:val="en-GB"/>
              </w:rPr>
              <w:t>Cash on hand and current accounts with banks</w:t>
            </w:r>
          </w:p>
        </w:tc>
        <w:tc>
          <w:tcPr>
            <w:tcW w:w="343" w:type="pct"/>
            <w:tcBorders>
              <w:top w:val="nil"/>
              <w:left w:val="nil"/>
              <w:bottom w:val="nil"/>
              <w:right w:val="nil"/>
            </w:tcBorders>
            <w:shd w:val="clear" w:color="auto" w:fill="auto"/>
            <w:vAlign w:val="bottom"/>
          </w:tcPr>
          <w:p w14:paraId="25B5FBA1"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1,958,619 </w:t>
            </w:r>
          </w:p>
        </w:tc>
        <w:tc>
          <w:tcPr>
            <w:tcW w:w="344" w:type="pct"/>
            <w:tcBorders>
              <w:top w:val="nil"/>
              <w:left w:val="nil"/>
              <w:bottom w:val="nil"/>
              <w:right w:val="nil"/>
            </w:tcBorders>
            <w:shd w:val="clear" w:color="auto" w:fill="auto"/>
            <w:vAlign w:val="bottom"/>
          </w:tcPr>
          <w:p w14:paraId="51830B81"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2B5D40A9"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 </w:t>
            </w:r>
          </w:p>
        </w:tc>
        <w:tc>
          <w:tcPr>
            <w:tcW w:w="343" w:type="pct"/>
            <w:tcBorders>
              <w:top w:val="nil"/>
              <w:left w:val="nil"/>
              <w:bottom w:val="nil"/>
              <w:right w:val="nil"/>
            </w:tcBorders>
            <w:shd w:val="clear" w:color="auto" w:fill="auto"/>
            <w:vAlign w:val="bottom"/>
          </w:tcPr>
          <w:p w14:paraId="33866358"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459DF98A"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587B036A"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1,958,619 </w:t>
            </w:r>
          </w:p>
        </w:tc>
        <w:tc>
          <w:tcPr>
            <w:tcW w:w="343" w:type="pct"/>
            <w:tcBorders>
              <w:top w:val="nil"/>
              <w:left w:val="nil"/>
              <w:bottom w:val="nil"/>
              <w:right w:val="nil"/>
            </w:tcBorders>
            <w:vAlign w:val="bottom"/>
          </w:tcPr>
          <w:p w14:paraId="023EE303"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 </w:t>
            </w:r>
          </w:p>
        </w:tc>
        <w:tc>
          <w:tcPr>
            <w:tcW w:w="344" w:type="pct"/>
            <w:tcBorders>
              <w:top w:val="nil"/>
              <w:left w:val="nil"/>
              <w:bottom w:val="nil"/>
              <w:right w:val="nil"/>
            </w:tcBorders>
            <w:vAlign w:val="bottom"/>
          </w:tcPr>
          <w:p w14:paraId="419793FA"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 </w:t>
            </w:r>
          </w:p>
        </w:tc>
        <w:tc>
          <w:tcPr>
            <w:tcW w:w="344" w:type="pct"/>
            <w:tcBorders>
              <w:top w:val="nil"/>
              <w:left w:val="nil"/>
              <w:bottom w:val="nil"/>
              <w:right w:val="nil"/>
            </w:tcBorders>
            <w:vAlign w:val="bottom"/>
          </w:tcPr>
          <w:p w14:paraId="6F14A5E7"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 </w:t>
            </w:r>
          </w:p>
        </w:tc>
        <w:tc>
          <w:tcPr>
            <w:tcW w:w="343" w:type="pct"/>
            <w:tcBorders>
              <w:top w:val="nil"/>
              <w:left w:val="nil"/>
              <w:bottom w:val="nil"/>
              <w:right w:val="nil"/>
            </w:tcBorders>
            <w:vAlign w:val="bottom"/>
          </w:tcPr>
          <w:p w14:paraId="062D75B9"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 </w:t>
            </w:r>
          </w:p>
        </w:tc>
        <w:tc>
          <w:tcPr>
            <w:tcW w:w="344" w:type="pct"/>
            <w:tcBorders>
              <w:top w:val="nil"/>
              <w:left w:val="nil"/>
              <w:bottom w:val="nil"/>
              <w:right w:val="nil"/>
            </w:tcBorders>
            <w:vAlign w:val="bottom"/>
          </w:tcPr>
          <w:p w14:paraId="1909F5C7"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 </w:t>
            </w:r>
          </w:p>
        </w:tc>
        <w:tc>
          <w:tcPr>
            <w:tcW w:w="343" w:type="pct"/>
            <w:tcBorders>
              <w:top w:val="nil"/>
              <w:left w:val="nil"/>
              <w:bottom w:val="nil"/>
              <w:right w:val="nil"/>
            </w:tcBorders>
            <w:vAlign w:val="bottom"/>
          </w:tcPr>
          <w:p w14:paraId="2E269648"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 </w:t>
            </w:r>
          </w:p>
        </w:tc>
      </w:tr>
      <w:tr w:rsidR="00F92405" w:rsidRPr="00F92405" w14:paraId="5F8D9B4B" w14:textId="77777777" w:rsidTr="00E44437">
        <w:trPr>
          <w:trHeight w:val="149"/>
          <w:jc w:val="center"/>
        </w:trPr>
        <w:tc>
          <w:tcPr>
            <w:tcW w:w="877" w:type="pct"/>
            <w:vAlign w:val="bottom"/>
          </w:tcPr>
          <w:p w14:paraId="147E6DEB" w14:textId="77777777" w:rsidR="00F92405" w:rsidRPr="00F92405" w:rsidRDefault="00F92405" w:rsidP="00F92405">
            <w:pPr>
              <w:tabs>
                <w:tab w:val="right" w:pos="1202"/>
              </w:tabs>
              <w:spacing w:after="0" w:line="240" w:lineRule="auto"/>
              <w:outlineLvl w:val="0"/>
              <w:rPr>
                <w:rFonts w:ascii="Calibri" w:eastAsia="Calibri" w:hAnsi="Calibri" w:cs="Times New Roman"/>
                <w:sz w:val="15"/>
                <w:szCs w:val="15"/>
                <w:lang w:val="en-GB"/>
              </w:rPr>
            </w:pPr>
            <w:r w:rsidRPr="00F92405">
              <w:rPr>
                <w:rFonts w:ascii="Calibri" w:eastAsia="Calibri" w:hAnsi="Calibri" w:cs="Times New Roman"/>
                <w:sz w:val="15"/>
                <w:szCs w:val="15"/>
                <w:lang w:val="en-GB"/>
              </w:rPr>
              <w:t>Deposits with other banks</w:t>
            </w:r>
          </w:p>
        </w:tc>
        <w:tc>
          <w:tcPr>
            <w:tcW w:w="343" w:type="pct"/>
            <w:tcBorders>
              <w:top w:val="nil"/>
              <w:left w:val="nil"/>
              <w:bottom w:val="nil"/>
              <w:right w:val="nil"/>
            </w:tcBorders>
            <w:shd w:val="clear" w:color="auto" w:fill="auto"/>
            <w:vAlign w:val="bottom"/>
          </w:tcPr>
          <w:p w14:paraId="514B9F6B"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7,500 </w:t>
            </w:r>
          </w:p>
        </w:tc>
        <w:tc>
          <w:tcPr>
            <w:tcW w:w="344" w:type="pct"/>
            <w:tcBorders>
              <w:top w:val="nil"/>
              <w:left w:val="nil"/>
              <w:bottom w:val="nil"/>
              <w:right w:val="nil"/>
            </w:tcBorders>
            <w:shd w:val="clear" w:color="auto" w:fill="auto"/>
            <w:vAlign w:val="bottom"/>
          </w:tcPr>
          <w:p w14:paraId="5D2FBDE9"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0B957F05"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 </w:t>
            </w:r>
          </w:p>
        </w:tc>
        <w:tc>
          <w:tcPr>
            <w:tcW w:w="343" w:type="pct"/>
            <w:tcBorders>
              <w:top w:val="nil"/>
              <w:left w:val="nil"/>
              <w:bottom w:val="nil"/>
              <w:right w:val="nil"/>
            </w:tcBorders>
            <w:shd w:val="clear" w:color="auto" w:fill="auto"/>
            <w:vAlign w:val="bottom"/>
          </w:tcPr>
          <w:p w14:paraId="0136A176"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27DCD9A6"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5E968E78"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7,500 </w:t>
            </w:r>
          </w:p>
        </w:tc>
        <w:tc>
          <w:tcPr>
            <w:tcW w:w="343" w:type="pct"/>
            <w:tcBorders>
              <w:top w:val="nil"/>
              <w:left w:val="nil"/>
              <w:bottom w:val="nil"/>
              <w:right w:val="nil"/>
            </w:tcBorders>
            <w:vAlign w:val="bottom"/>
          </w:tcPr>
          <w:p w14:paraId="50E47CC7"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 </w:t>
            </w:r>
          </w:p>
        </w:tc>
        <w:tc>
          <w:tcPr>
            <w:tcW w:w="344" w:type="pct"/>
            <w:tcBorders>
              <w:top w:val="nil"/>
              <w:left w:val="nil"/>
              <w:bottom w:val="nil"/>
              <w:right w:val="nil"/>
            </w:tcBorders>
            <w:vAlign w:val="bottom"/>
          </w:tcPr>
          <w:p w14:paraId="6893C518"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 </w:t>
            </w:r>
          </w:p>
        </w:tc>
        <w:tc>
          <w:tcPr>
            <w:tcW w:w="344" w:type="pct"/>
            <w:tcBorders>
              <w:top w:val="nil"/>
              <w:left w:val="nil"/>
              <w:bottom w:val="nil"/>
              <w:right w:val="nil"/>
            </w:tcBorders>
            <w:vAlign w:val="bottom"/>
          </w:tcPr>
          <w:p w14:paraId="07FD0BA7"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 </w:t>
            </w:r>
          </w:p>
        </w:tc>
        <w:tc>
          <w:tcPr>
            <w:tcW w:w="343" w:type="pct"/>
            <w:tcBorders>
              <w:top w:val="nil"/>
              <w:left w:val="nil"/>
              <w:bottom w:val="nil"/>
              <w:right w:val="nil"/>
            </w:tcBorders>
            <w:vAlign w:val="bottom"/>
          </w:tcPr>
          <w:p w14:paraId="11B4C8A8"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 </w:t>
            </w:r>
          </w:p>
        </w:tc>
        <w:tc>
          <w:tcPr>
            <w:tcW w:w="344" w:type="pct"/>
            <w:tcBorders>
              <w:top w:val="nil"/>
              <w:left w:val="nil"/>
              <w:bottom w:val="nil"/>
              <w:right w:val="nil"/>
            </w:tcBorders>
            <w:vAlign w:val="bottom"/>
          </w:tcPr>
          <w:p w14:paraId="5F829757"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 </w:t>
            </w:r>
          </w:p>
        </w:tc>
        <w:tc>
          <w:tcPr>
            <w:tcW w:w="343" w:type="pct"/>
            <w:tcBorders>
              <w:top w:val="nil"/>
              <w:left w:val="nil"/>
              <w:bottom w:val="nil"/>
              <w:right w:val="nil"/>
            </w:tcBorders>
            <w:vAlign w:val="bottom"/>
          </w:tcPr>
          <w:p w14:paraId="2FF4DB4B"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 </w:t>
            </w:r>
          </w:p>
        </w:tc>
      </w:tr>
      <w:tr w:rsidR="00F92405" w:rsidRPr="00F92405" w14:paraId="392CF2D1" w14:textId="77777777" w:rsidTr="00E44437">
        <w:trPr>
          <w:trHeight w:val="114"/>
          <w:jc w:val="center"/>
        </w:trPr>
        <w:tc>
          <w:tcPr>
            <w:tcW w:w="877" w:type="pct"/>
            <w:vAlign w:val="bottom"/>
          </w:tcPr>
          <w:p w14:paraId="568B7E49" w14:textId="77777777" w:rsidR="00F92405" w:rsidRPr="00F92405" w:rsidRDefault="00F92405" w:rsidP="00F92405">
            <w:pPr>
              <w:tabs>
                <w:tab w:val="right" w:pos="1202"/>
              </w:tabs>
              <w:spacing w:after="0" w:line="240" w:lineRule="auto"/>
              <w:outlineLvl w:val="0"/>
              <w:rPr>
                <w:rFonts w:ascii="Calibri" w:eastAsia="Calibri" w:hAnsi="Calibri" w:cs="Times New Roman"/>
                <w:sz w:val="15"/>
                <w:szCs w:val="15"/>
                <w:lang w:val="en-GB"/>
              </w:rPr>
            </w:pPr>
            <w:r w:rsidRPr="00F92405">
              <w:rPr>
                <w:rFonts w:ascii="Calibri" w:eastAsia="Calibri" w:hAnsi="Calibri" w:cs="Times New Roman"/>
                <w:sz w:val="15"/>
                <w:szCs w:val="15"/>
                <w:lang w:val="en-GB"/>
              </w:rPr>
              <w:t>Loans to financial institutions</w:t>
            </w:r>
          </w:p>
        </w:tc>
        <w:tc>
          <w:tcPr>
            <w:tcW w:w="343" w:type="pct"/>
            <w:tcBorders>
              <w:top w:val="nil"/>
              <w:left w:val="nil"/>
              <w:bottom w:val="nil"/>
              <w:right w:val="nil"/>
            </w:tcBorders>
            <w:shd w:val="clear" w:color="auto" w:fill="auto"/>
            <w:vAlign w:val="bottom"/>
          </w:tcPr>
          <w:p w14:paraId="4078A1E4"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6,865,821 </w:t>
            </w:r>
          </w:p>
        </w:tc>
        <w:tc>
          <w:tcPr>
            <w:tcW w:w="344" w:type="pct"/>
            <w:tcBorders>
              <w:top w:val="nil"/>
              <w:left w:val="nil"/>
              <w:bottom w:val="nil"/>
              <w:right w:val="nil"/>
            </w:tcBorders>
            <w:shd w:val="clear" w:color="auto" w:fill="auto"/>
            <w:vAlign w:val="bottom"/>
          </w:tcPr>
          <w:p w14:paraId="6EE78CD4"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180,760 </w:t>
            </w:r>
          </w:p>
        </w:tc>
        <w:tc>
          <w:tcPr>
            <w:tcW w:w="344" w:type="pct"/>
            <w:tcBorders>
              <w:top w:val="nil"/>
              <w:left w:val="nil"/>
              <w:bottom w:val="nil"/>
              <w:right w:val="nil"/>
            </w:tcBorders>
            <w:shd w:val="clear" w:color="auto" w:fill="auto"/>
            <w:vAlign w:val="bottom"/>
          </w:tcPr>
          <w:p w14:paraId="44129B86"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3,562 </w:t>
            </w:r>
          </w:p>
        </w:tc>
        <w:tc>
          <w:tcPr>
            <w:tcW w:w="343" w:type="pct"/>
            <w:tcBorders>
              <w:top w:val="nil"/>
              <w:left w:val="nil"/>
              <w:bottom w:val="nil"/>
              <w:right w:val="nil"/>
            </w:tcBorders>
            <w:shd w:val="clear" w:color="auto" w:fill="auto"/>
            <w:vAlign w:val="bottom"/>
          </w:tcPr>
          <w:p w14:paraId="18E53CEC"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2D5EEA06"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2D44BC2D"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7,050,143 </w:t>
            </w:r>
          </w:p>
        </w:tc>
        <w:tc>
          <w:tcPr>
            <w:tcW w:w="343" w:type="pct"/>
            <w:tcBorders>
              <w:top w:val="nil"/>
              <w:left w:val="nil"/>
              <w:bottom w:val="nil"/>
              <w:right w:val="nil"/>
            </w:tcBorders>
            <w:vAlign w:val="bottom"/>
          </w:tcPr>
          <w:p w14:paraId="40F3D593"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 </w:t>
            </w:r>
          </w:p>
        </w:tc>
        <w:tc>
          <w:tcPr>
            <w:tcW w:w="344" w:type="pct"/>
            <w:tcBorders>
              <w:top w:val="nil"/>
              <w:left w:val="nil"/>
              <w:bottom w:val="nil"/>
              <w:right w:val="nil"/>
            </w:tcBorders>
            <w:vAlign w:val="bottom"/>
          </w:tcPr>
          <w:p w14:paraId="65555053"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 </w:t>
            </w:r>
          </w:p>
        </w:tc>
        <w:tc>
          <w:tcPr>
            <w:tcW w:w="344" w:type="pct"/>
            <w:tcBorders>
              <w:top w:val="nil"/>
              <w:left w:val="nil"/>
              <w:bottom w:val="nil"/>
              <w:right w:val="nil"/>
            </w:tcBorders>
            <w:vAlign w:val="bottom"/>
          </w:tcPr>
          <w:p w14:paraId="14F77DE3"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 </w:t>
            </w:r>
          </w:p>
        </w:tc>
        <w:tc>
          <w:tcPr>
            <w:tcW w:w="343" w:type="pct"/>
            <w:tcBorders>
              <w:top w:val="nil"/>
              <w:left w:val="nil"/>
              <w:bottom w:val="nil"/>
              <w:right w:val="nil"/>
            </w:tcBorders>
            <w:vAlign w:val="bottom"/>
          </w:tcPr>
          <w:p w14:paraId="75A518FF"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 </w:t>
            </w:r>
          </w:p>
        </w:tc>
        <w:tc>
          <w:tcPr>
            <w:tcW w:w="344" w:type="pct"/>
            <w:tcBorders>
              <w:top w:val="nil"/>
              <w:left w:val="nil"/>
              <w:bottom w:val="nil"/>
              <w:right w:val="nil"/>
            </w:tcBorders>
            <w:vAlign w:val="bottom"/>
          </w:tcPr>
          <w:p w14:paraId="59BCDCEE"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 </w:t>
            </w:r>
          </w:p>
        </w:tc>
        <w:tc>
          <w:tcPr>
            <w:tcW w:w="343" w:type="pct"/>
            <w:tcBorders>
              <w:top w:val="nil"/>
              <w:left w:val="nil"/>
              <w:bottom w:val="nil"/>
              <w:right w:val="nil"/>
            </w:tcBorders>
            <w:vAlign w:val="bottom"/>
          </w:tcPr>
          <w:p w14:paraId="3D747EB0"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 </w:t>
            </w:r>
          </w:p>
        </w:tc>
      </w:tr>
      <w:tr w:rsidR="00F92405" w:rsidRPr="00F92405" w14:paraId="44DFF45F" w14:textId="77777777" w:rsidTr="00E44437">
        <w:trPr>
          <w:trHeight w:val="149"/>
          <w:jc w:val="center"/>
        </w:trPr>
        <w:tc>
          <w:tcPr>
            <w:tcW w:w="877" w:type="pct"/>
            <w:vAlign w:val="bottom"/>
          </w:tcPr>
          <w:p w14:paraId="0C6BFD57" w14:textId="77777777" w:rsidR="00F92405" w:rsidRPr="00F92405" w:rsidRDefault="00F92405" w:rsidP="00F92405">
            <w:pPr>
              <w:tabs>
                <w:tab w:val="right" w:pos="1202"/>
              </w:tabs>
              <w:spacing w:after="0" w:line="240" w:lineRule="auto"/>
              <w:outlineLvl w:val="0"/>
              <w:rPr>
                <w:rFonts w:ascii="Calibri" w:eastAsia="Calibri" w:hAnsi="Calibri" w:cs="Times New Roman"/>
                <w:sz w:val="15"/>
                <w:szCs w:val="15"/>
                <w:lang w:val="en-GB"/>
              </w:rPr>
            </w:pPr>
            <w:r w:rsidRPr="00F92405">
              <w:rPr>
                <w:rFonts w:ascii="Calibri" w:eastAsia="Calibri" w:hAnsi="Calibri" w:cs="Times New Roman"/>
                <w:sz w:val="15"/>
                <w:szCs w:val="15"/>
                <w:lang w:val="en-GB"/>
              </w:rPr>
              <w:t>Loans to other customers</w:t>
            </w:r>
          </w:p>
        </w:tc>
        <w:tc>
          <w:tcPr>
            <w:tcW w:w="343" w:type="pct"/>
            <w:tcBorders>
              <w:top w:val="nil"/>
              <w:left w:val="nil"/>
              <w:bottom w:val="nil"/>
              <w:right w:val="nil"/>
            </w:tcBorders>
            <w:shd w:val="clear" w:color="auto" w:fill="auto"/>
            <w:vAlign w:val="bottom"/>
          </w:tcPr>
          <w:p w14:paraId="25E2BC0A"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12,779,081 </w:t>
            </w:r>
          </w:p>
        </w:tc>
        <w:tc>
          <w:tcPr>
            <w:tcW w:w="344" w:type="pct"/>
            <w:tcBorders>
              <w:top w:val="nil"/>
              <w:left w:val="nil"/>
              <w:bottom w:val="nil"/>
              <w:right w:val="nil"/>
            </w:tcBorders>
            <w:shd w:val="clear" w:color="auto" w:fill="auto"/>
            <w:vAlign w:val="bottom"/>
          </w:tcPr>
          <w:p w14:paraId="06547F6A"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827,965 </w:t>
            </w:r>
          </w:p>
        </w:tc>
        <w:tc>
          <w:tcPr>
            <w:tcW w:w="344" w:type="pct"/>
            <w:tcBorders>
              <w:top w:val="nil"/>
              <w:left w:val="nil"/>
              <w:bottom w:val="nil"/>
              <w:right w:val="nil"/>
            </w:tcBorders>
            <w:shd w:val="clear" w:color="auto" w:fill="auto"/>
            <w:vAlign w:val="bottom"/>
          </w:tcPr>
          <w:p w14:paraId="72A8A653"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1,163,771 </w:t>
            </w:r>
          </w:p>
        </w:tc>
        <w:tc>
          <w:tcPr>
            <w:tcW w:w="343" w:type="pct"/>
            <w:tcBorders>
              <w:top w:val="nil"/>
              <w:left w:val="nil"/>
              <w:bottom w:val="nil"/>
              <w:right w:val="nil"/>
            </w:tcBorders>
            <w:shd w:val="clear" w:color="auto" w:fill="auto"/>
            <w:vAlign w:val="bottom"/>
          </w:tcPr>
          <w:p w14:paraId="4B01AD6C"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1,193,559 </w:t>
            </w:r>
          </w:p>
        </w:tc>
        <w:tc>
          <w:tcPr>
            <w:tcW w:w="344" w:type="pct"/>
            <w:tcBorders>
              <w:top w:val="nil"/>
              <w:left w:val="nil"/>
              <w:bottom w:val="nil"/>
              <w:right w:val="nil"/>
            </w:tcBorders>
            <w:shd w:val="clear" w:color="auto" w:fill="auto"/>
            <w:vAlign w:val="bottom"/>
          </w:tcPr>
          <w:p w14:paraId="1A66D809"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767A95E7"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15,964,376 </w:t>
            </w:r>
          </w:p>
        </w:tc>
        <w:tc>
          <w:tcPr>
            <w:tcW w:w="343" w:type="pct"/>
            <w:tcBorders>
              <w:top w:val="nil"/>
              <w:left w:val="nil"/>
              <w:bottom w:val="nil"/>
              <w:right w:val="nil"/>
            </w:tcBorders>
            <w:vAlign w:val="bottom"/>
          </w:tcPr>
          <w:p w14:paraId="57D5A771"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2,855,314 </w:t>
            </w:r>
          </w:p>
        </w:tc>
        <w:tc>
          <w:tcPr>
            <w:tcW w:w="344" w:type="pct"/>
            <w:tcBorders>
              <w:top w:val="nil"/>
              <w:left w:val="nil"/>
              <w:bottom w:val="nil"/>
              <w:right w:val="nil"/>
            </w:tcBorders>
            <w:vAlign w:val="bottom"/>
          </w:tcPr>
          <w:p w14:paraId="3A8582E0"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92,792 </w:t>
            </w:r>
          </w:p>
        </w:tc>
        <w:tc>
          <w:tcPr>
            <w:tcW w:w="344" w:type="pct"/>
            <w:tcBorders>
              <w:top w:val="nil"/>
              <w:left w:val="nil"/>
              <w:bottom w:val="nil"/>
              <w:right w:val="nil"/>
            </w:tcBorders>
            <w:vAlign w:val="bottom"/>
          </w:tcPr>
          <w:p w14:paraId="2EFAA9A3"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205,605 </w:t>
            </w:r>
          </w:p>
        </w:tc>
        <w:tc>
          <w:tcPr>
            <w:tcW w:w="343" w:type="pct"/>
            <w:tcBorders>
              <w:top w:val="nil"/>
              <w:left w:val="nil"/>
              <w:bottom w:val="nil"/>
              <w:right w:val="nil"/>
            </w:tcBorders>
            <w:vAlign w:val="bottom"/>
          </w:tcPr>
          <w:p w14:paraId="614A9905"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34,769 </w:t>
            </w:r>
          </w:p>
        </w:tc>
        <w:tc>
          <w:tcPr>
            <w:tcW w:w="344" w:type="pct"/>
            <w:tcBorders>
              <w:top w:val="nil"/>
              <w:left w:val="nil"/>
              <w:bottom w:val="nil"/>
              <w:right w:val="nil"/>
            </w:tcBorders>
            <w:vAlign w:val="bottom"/>
          </w:tcPr>
          <w:p w14:paraId="05DD479C"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 </w:t>
            </w:r>
          </w:p>
        </w:tc>
        <w:tc>
          <w:tcPr>
            <w:tcW w:w="343" w:type="pct"/>
            <w:tcBorders>
              <w:top w:val="nil"/>
              <w:left w:val="nil"/>
              <w:bottom w:val="nil"/>
              <w:right w:val="nil"/>
            </w:tcBorders>
            <w:vAlign w:val="bottom"/>
          </w:tcPr>
          <w:p w14:paraId="1510E9A4"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3,188,480 </w:t>
            </w:r>
          </w:p>
        </w:tc>
      </w:tr>
      <w:tr w:rsidR="00F92405" w:rsidRPr="00F92405" w14:paraId="01C7656E" w14:textId="77777777" w:rsidTr="00E44437">
        <w:trPr>
          <w:trHeight w:val="149"/>
          <w:jc w:val="center"/>
        </w:trPr>
        <w:tc>
          <w:tcPr>
            <w:tcW w:w="877" w:type="pct"/>
            <w:vAlign w:val="bottom"/>
          </w:tcPr>
          <w:p w14:paraId="5EAEB867" w14:textId="77777777" w:rsidR="00F92405" w:rsidRPr="00F92405" w:rsidRDefault="00F92405" w:rsidP="00F92405">
            <w:pPr>
              <w:tabs>
                <w:tab w:val="right" w:pos="1202"/>
              </w:tabs>
              <w:spacing w:after="0" w:line="240" w:lineRule="auto"/>
              <w:outlineLvl w:val="0"/>
              <w:rPr>
                <w:rFonts w:ascii="Calibri" w:eastAsia="Calibri" w:hAnsi="Calibri" w:cs="Times New Roman"/>
                <w:sz w:val="15"/>
                <w:szCs w:val="15"/>
                <w:lang w:val="en-GB"/>
              </w:rPr>
            </w:pPr>
            <w:r w:rsidRPr="00F92405">
              <w:rPr>
                <w:rFonts w:ascii="Calibri" w:eastAsia="Calibri" w:hAnsi="Calibri" w:cs="Times New Roman"/>
                <w:sz w:val="15"/>
                <w:szCs w:val="15"/>
                <w:lang w:val="en-GB"/>
              </w:rPr>
              <w:t>Financial assets at fair value through profit or loss</w:t>
            </w:r>
          </w:p>
        </w:tc>
        <w:tc>
          <w:tcPr>
            <w:tcW w:w="343" w:type="pct"/>
            <w:tcBorders>
              <w:top w:val="nil"/>
              <w:left w:val="nil"/>
              <w:bottom w:val="nil"/>
              <w:right w:val="nil"/>
            </w:tcBorders>
            <w:shd w:val="clear" w:color="auto" w:fill="auto"/>
            <w:vAlign w:val="bottom"/>
          </w:tcPr>
          <w:p w14:paraId="6FE523BA" w14:textId="77777777" w:rsidR="00F92405" w:rsidRPr="00F92405" w:rsidRDefault="00F92405" w:rsidP="00F92405">
            <w:pPr>
              <w:tabs>
                <w:tab w:val="right" w:pos="1202"/>
              </w:tabs>
              <w:spacing w:after="0" w:line="301" w:lineRule="exact"/>
              <w:jc w:val="right"/>
              <w:outlineLvl w:val="0"/>
              <w:rPr>
                <w:rFonts w:ascii="Calibri" w:eastAsia="Calibri" w:hAnsi="Calibri" w:cs="Arial"/>
                <w:spacing w:val="-2"/>
                <w:sz w:val="15"/>
                <w:szCs w:val="15"/>
                <w:lang w:val="en-GB"/>
              </w:rPr>
            </w:pPr>
            <w:r w:rsidRPr="00F9240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44988E61" w14:textId="77777777" w:rsidR="00F92405" w:rsidRPr="00F92405" w:rsidRDefault="00F92405" w:rsidP="00F92405">
            <w:pPr>
              <w:tabs>
                <w:tab w:val="right" w:pos="1202"/>
              </w:tabs>
              <w:spacing w:after="0" w:line="301" w:lineRule="exact"/>
              <w:jc w:val="right"/>
              <w:outlineLvl w:val="0"/>
              <w:rPr>
                <w:rFonts w:ascii="Calibri" w:eastAsia="Calibri" w:hAnsi="Calibri" w:cs="Arial"/>
                <w:spacing w:val="-2"/>
                <w:sz w:val="15"/>
                <w:szCs w:val="15"/>
                <w:lang w:val="en-GB"/>
              </w:rPr>
            </w:pPr>
            <w:r w:rsidRPr="00F9240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2B9B0A2A" w14:textId="77777777" w:rsidR="00F92405" w:rsidRPr="00F92405" w:rsidRDefault="00F92405" w:rsidP="00F92405">
            <w:pPr>
              <w:tabs>
                <w:tab w:val="right" w:pos="1202"/>
              </w:tabs>
              <w:spacing w:after="0" w:line="301" w:lineRule="exact"/>
              <w:jc w:val="right"/>
              <w:outlineLvl w:val="0"/>
              <w:rPr>
                <w:rFonts w:ascii="Calibri" w:eastAsia="Calibri" w:hAnsi="Calibri" w:cs="Arial"/>
                <w:spacing w:val="-2"/>
                <w:sz w:val="15"/>
                <w:szCs w:val="15"/>
                <w:lang w:val="en-GB"/>
              </w:rPr>
            </w:pPr>
            <w:r w:rsidRPr="00F92405">
              <w:rPr>
                <w:rFonts w:ascii="Calibri" w:eastAsia="Times New Roman" w:hAnsi="Calibri" w:cs="Times New Roman"/>
                <w:sz w:val="15"/>
                <w:szCs w:val="15"/>
                <w:lang w:val="en-US"/>
              </w:rPr>
              <w:t xml:space="preserve"> - </w:t>
            </w:r>
          </w:p>
        </w:tc>
        <w:tc>
          <w:tcPr>
            <w:tcW w:w="343" w:type="pct"/>
            <w:tcBorders>
              <w:top w:val="nil"/>
              <w:left w:val="nil"/>
              <w:bottom w:val="nil"/>
              <w:right w:val="nil"/>
            </w:tcBorders>
            <w:shd w:val="clear" w:color="auto" w:fill="auto"/>
            <w:vAlign w:val="bottom"/>
          </w:tcPr>
          <w:p w14:paraId="75E1A873" w14:textId="77777777" w:rsidR="00F92405" w:rsidRPr="00F92405" w:rsidRDefault="00F92405" w:rsidP="00F92405">
            <w:pPr>
              <w:tabs>
                <w:tab w:val="right" w:pos="1202"/>
              </w:tabs>
              <w:spacing w:after="0" w:line="301" w:lineRule="exact"/>
              <w:jc w:val="right"/>
              <w:outlineLvl w:val="0"/>
              <w:rPr>
                <w:rFonts w:ascii="Calibri" w:eastAsia="Calibri" w:hAnsi="Calibri" w:cs="Arial"/>
                <w:spacing w:val="-2"/>
                <w:sz w:val="15"/>
                <w:szCs w:val="15"/>
                <w:lang w:val="en-GB"/>
              </w:rPr>
            </w:pPr>
            <w:r w:rsidRPr="00F9240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6D0830A5" w14:textId="77777777" w:rsidR="00F92405" w:rsidRPr="00F92405" w:rsidRDefault="00F92405" w:rsidP="00F92405">
            <w:pPr>
              <w:tabs>
                <w:tab w:val="right" w:pos="1202"/>
              </w:tabs>
              <w:spacing w:after="0" w:line="301" w:lineRule="exact"/>
              <w:jc w:val="right"/>
              <w:outlineLvl w:val="0"/>
              <w:rPr>
                <w:rFonts w:ascii="Calibri" w:eastAsia="Calibri" w:hAnsi="Calibri" w:cs="Arial"/>
                <w:spacing w:val="-2"/>
                <w:sz w:val="15"/>
                <w:szCs w:val="15"/>
                <w:lang w:val="en-GB"/>
              </w:rPr>
            </w:pPr>
            <w:r w:rsidRPr="00F92405">
              <w:rPr>
                <w:rFonts w:ascii="Calibri" w:eastAsia="Times New Roman" w:hAnsi="Calibri" w:cs="Times New Roman"/>
                <w:sz w:val="15"/>
                <w:szCs w:val="15"/>
                <w:lang w:val="en-US"/>
              </w:rPr>
              <w:t xml:space="preserve"> 16,375 </w:t>
            </w:r>
          </w:p>
        </w:tc>
        <w:tc>
          <w:tcPr>
            <w:tcW w:w="344" w:type="pct"/>
            <w:tcBorders>
              <w:top w:val="nil"/>
              <w:left w:val="nil"/>
              <w:bottom w:val="nil"/>
              <w:right w:val="nil"/>
            </w:tcBorders>
            <w:shd w:val="clear" w:color="auto" w:fill="auto"/>
            <w:vAlign w:val="bottom"/>
          </w:tcPr>
          <w:p w14:paraId="6E3F274B" w14:textId="77777777" w:rsidR="00F92405" w:rsidRPr="00F92405" w:rsidRDefault="00F92405" w:rsidP="00F92405">
            <w:pPr>
              <w:tabs>
                <w:tab w:val="right" w:pos="1202"/>
              </w:tabs>
              <w:spacing w:after="0" w:line="301" w:lineRule="exact"/>
              <w:jc w:val="right"/>
              <w:outlineLvl w:val="0"/>
              <w:rPr>
                <w:rFonts w:ascii="Calibri" w:eastAsia="Calibri" w:hAnsi="Calibri" w:cs="Arial"/>
                <w:spacing w:val="-2"/>
                <w:sz w:val="15"/>
                <w:szCs w:val="15"/>
                <w:highlight w:val="yellow"/>
                <w:lang w:val="en-GB"/>
              </w:rPr>
            </w:pPr>
            <w:r w:rsidRPr="00F92405">
              <w:rPr>
                <w:rFonts w:ascii="Calibri" w:eastAsia="Times New Roman" w:hAnsi="Calibri" w:cs="Times New Roman"/>
                <w:sz w:val="15"/>
                <w:szCs w:val="15"/>
                <w:lang w:val="en-US"/>
              </w:rPr>
              <w:t xml:space="preserve"> 16,375 </w:t>
            </w:r>
          </w:p>
        </w:tc>
        <w:tc>
          <w:tcPr>
            <w:tcW w:w="343" w:type="pct"/>
            <w:tcBorders>
              <w:top w:val="nil"/>
              <w:left w:val="nil"/>
              <w:bottom w:val="nil"/>
              <w:right w:val="nil"/>
            </w:tcBorders>
            <w:vAlign w:val="bottom"/>
          </w:tcPr>
          <w:p w14:paraId="07D3641B" w14:textId="77777777" w:rsidR="00F92405" w:rsidRPr="00F92405" w:rsidRDefault="00F92405" w:rsidP="00F92405">
            <w:pPr>
              <w:tabs>
                <w:tab w:val="right" w:pos="1202"/>
              </w:tabs>
              <w:spacing w:after="0" w:line="301" w:lineRule="exact"/>
              <w:jc w:val="right"/>
              <w:outlineLvl w:val="0"/>
              <w:rPr>
                <w:rFonts w:ascii="Calibri" w:eastAsia="Calibri" w:hAnsi="Calibri" w:cs="Arial"/>
                <w:spacing w:val="-2"/>
                <w:sz w:val="15"/>
                <w:szCs w:val="15"/>
                <w:lang w:val="en-GB"/>
              </w:rPr>
            </w:pPr>
            <w:r w:rsidRPr="00F92405">
              <w:rPr>
                <w:rFonts w:ascii="Calibri" w:eastAsia="Times New Roman" w:hAnsi="Calibri" w:cs="Times New Roman"/>
                <w:sz w:val="15"/>
                <w:szCs w:val="15"/>
                <w:lang w:val="en-US"/>
              </w:rPr>
              <w:t xml:space="preserve"> - </w:t>
            </w:r>
          </w:p>
        </w:tc>
        <w:tc>
          <w:tcPr>
            <w:tcW w:w="344" w:type="pct"/>
            <w:tcBorders>
              <w:top w:val="nil"/>
              <w:left w:val="nil"/>
              <w:bottom w:val="nil"/>
              <w:right w:val="nil"/>
            </w:tcBorders>
            <w:vAlign w:val="bottom"/>
          </w:tcPr>
          <w:p w14:paraId="53B41D06" w14:textId="77777777" w:rsidR="00F92405" w:rsidRPr="00F92405" w:rsidRDefault="00F92405" w:rsidP="00F92405">
            <w:pPr>
              <w:tabs>
                <w:tab w:val="right" w:pos="1202"/>
              </w:tabs>
              <w:spacing w:after="0" w:line="301" w:lineRule="exact"/>
              <w:jc w:val="right"/>
              <w:outlineLvl w:val="0"/>
              <w:rPr>
                <w:rFonts w:ascii="Calibri" w:eastAsia="Calibri" w:hAnsi="Calibri" w:cs="Arial"/>
                <w:spacing w:val="-2"/>
                <w:sz w:val="15"/>
                <w:szCs w:val="15"/>
                <w:lang w:val="en-GB"/>
              </w:rPr>
            </w:pPr>
            <w:r w:rsidRPr="00F92405">
              <w:rPr>
                <w:rFonts w:ascii="Calibri" w:eastAsia="Times New Roman" w:hAnsi="Calibri" w:cs="Times New Roman"/>
                <w:sz w:val="15"/>
                <w:szCs w:val="15"/>
                <w:lang w:val="en-US"/>
              </w:rPr>
              <w:t xml:space="preserve"> - </w:t>
            </w:r>
          </w:p>
        </w:tc>
        <w:tc>
          <w:tcPr>
            <w:tcW w:w="344" w:type="pct"/>
            <w:tcBorders>
              <w:top w:val="nil"/>
              <w:left w:val="nil"/>
              <w:bottom w:val="nil"/>
              <w:right w:val="nil"/>
            </w:tcBorders>
            <w:vAlign w:val="bottom"/>
          </w:tcPr>
          <w:p w14:paraId="3FCA5861" w14:textId="77777777" w:rsidR="00F92405" w:rsidRPr="00F92405" w:rsidRDefault="00F92405" w:rsidP="00F92405">
            <w:pPr>
              <w:tabs>
                <w:tab w:val="right" w:pos="1202"/>
              </w:tabs>
              <w:spacing w:after="0" w:line="301" w:lineRule="exact"/>
              <w:jc w:val="right"/>
              <w:outlineLvl w:val="0"/>
              <w:rPr>
                <w:rFonts w:ascii="Calibri" w:eastAsia="Calibri" w:hAnsi="Calibri" w:cs="Arial"/>
                <w:spacing w:val="-2"/>
                <w:sz w:val="15"/>
                <w:szCs w:val="15"/>
                <w:lang w:val="en-GB"/>
              </w:rPr>
            </w:pPr>
            <w:r w:rsidRPr="00F92405">
              <w:rPr>
                <w:rFonts w:ascii="Calibri" w:eastAsia="Times New Roman" w:hAnsi="Calibri" w:cs="Times New Roman"/>
                <w:sz w:val="15"/>
                <w:szCs w:val="15"/>
                <w:lang w:val="en-US"/>
              </w:rPr>
              <w:t xml:space="preserve"> - </w:t>
            </w:r>
          </w:p>
        </w:tc>
        <w:tc>
          <w:tcPr>
            <w:tcW w:w="343" w:type="pct"/>
            <w:tcBorders>
              <w:top w:val="nil"/>
              <w:left w:val="nil"/>
              <w:bottom w:val="nil"/>
              <w:right w:val="nil"/>
            </w:tcBorders>
            <w:vAlign w:val="bottom"/>
          </w:tcPr>
          <w:p w14:paraId="50AD5BFA" w14:textId="77777777" w:rsidR="00F92405" w:rsidRPr="00F92405" w:rsidRDefault="00F92405" w:rsidP="00F92405">
            <w:pPr>
              <w:tabs>
                <w:tab w:val="right" w:pos="1202"/>
              </w:tabs>
              <w:spacing w:after="0" w:line="301" w:lineRule="exact"/>
              <w:jc w:val="right"/>
              <w:outlineLvl w:val="0"/>
              <w:rPr>
                <w:rFonts w:ascii="Calibri" w:eastAsia="Calibri" w:hAnsi="Calibri" w:cs="Arial"/>
                <w:spacing w:val="-2"/>
                <w:sz w:val="15"/>
                <w:szCs w:val="15"/>
                <w:lang w:val="en-GB"/>
              </w:rPr>
            </w:pPr>
            <w:r w:rsidRPr="00F9240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25AE5E63" w14:textId="77777777" w:rsidR="00F92405" w:rsidRPr="00F92405" w:rsidRDefault="00F92405" w:rsidP="00F92405">
            <w:pPr>
              <w:tabs>
                <w:tab w:val="right" w:pos="1202"/>
              </w:tabs>
              <w:spacing w:after="0" w:line="301" w:lineRule="exact"/>
              <w:jc w:val="right"/>
              <w:outlineLvl w:val="0"/>
              <w:rPr>
                <w:rFonts w:ascii="Calibri" w:eastAsia="Calibri" w:hAnsi="Calibri" w:cs="Arial"/>
                <w:spacing w:val="-2"/>
                <w:sz w:val="15"/>
                <w:szCs w:val="15"/>
                <w:lang w:val="en-GB"/>
              </w:rPr>
            </w:pPr>
            <w:r w:rsidRPr="00F92405">
              <w:rPr>
                <w:rFonts w:ascii="Calibri" w:eastAsia="Times New Roman" w:hAnsi="Calibri" w:cs="Times New Roman"/>
                <w:sz w:val="15"/>
                <w:szCs w:val="15"/>
                <w:lang w:val="en-US"/>
              </w:rPr>
              <w:t xml:space="preserve"> 16,375 </w:t>
            </w:r>
          </w:p>
        </w:tc>
        <w:tc>
          <w:tcPr>
            <w:tcW w:w="343" w:type="pct"/>
            <w:tcBorders>
              <w:top w:val="nil"/>
              <w:left w:val="nil"/>
              <w:bottom w:val="nil"/>
              <w:right w:val="nil"/>
            </w:tcBorders>
            <w:shd w:val="clear" w:color="auto" w:fill="auto"/>
            <w:vAlign w:val="bottom"/>
          </w:tcPr>
          <w:p w14:paraId="2D67CA44" w14:textId="77777777" w:rsidR="00F92405" w:rsidRPr="00F92405" w:rsidRDefault="00F92405" w:rsidP="00F92405">
            <w:pPr>
              <w:tabs>
                <w:tab w:val="right" w:pos="1202"/>
              </w:tabs>
              <w:spacing w:after="0" w:line="301" w:lineRule="exact"/>
              <w:jc w:val="right"/>
              <w:outlineLvl w:val="0"/>
              <w:rPr>
                <w:rFonts w:ascii="Calibri" w:eastAsia="Calibri" w:hAnsi="Calibri" w:cs="Arial"/>
                <w:spacing w:val="-2"/>
                <w:sz w:val="15"/>
                <w:szCs w:val="15"/>
                <w:lang w:val="en-GB"/>
              </w:rPr>
            </w:pPr>
            <w:r w:rsidRPr="00F92405">
              <w:rPr>
                <w:rFonts w:ascii="Calibri" w:eastAsia="Times New Roman" w:hAnsi="Calibri" w:cs="Times New Roman"/>
                <w:sz w:val="15"/>
                <w:szCs w:val="15"/>
                <w:lang w:val="en-US"/>
              </w:rPr>
              <w:t xml:space="preserve"> 16,375 </w:t>
            </w:r>
          </w:p>
        </w:tc>
      </w:tr>
      <w:tr w:rsidR="00F92405" w:rsidRPr="00F92405" w14:paraId="5C7115C7" w14:textId="77777777" w:rsidTr="00E44437">
        <w:trPr>
          <w:trHeight w:val="126"/>
          <w:jc w:val="center"/>
        </w:trPr>
        <w:tc>
          <w:tcPr>
            <w:tcW w:w="877" w:type="pct"/>
            <w:vAlign w:val="bottom"/>
          </w:tcPr>
          <w:p w14:paraId="598ACE74" w14:textId="77777777" w:rsidR="00F92405" w:rsidRPr="00F92405" w:rsidRDefault="00F92405" w:rsidP="00F92405">
            <w:pPr>
              <w:tabs>
                <w:tab w:val="right" w:pos="1202"/>
              </w:tabs>
              <w:spacing w:after="0" w:line="240" w:lineRule="auto"/>
              <w:outlineLvl w:val="0"/>
              <w:rPr>
                <w:rFonts w:ascii="Calibri" w:eastAsia="Calibri" w:hAnsi="Calibri" w:cs="Times New Roman"/>
                <w:sz w:val="15"/>
                <w:szCs w:val="15"/>
                <w:lang w:val="en-GB"/>
              </w:rPr>
            </w:pPr>
            <w:r w:rsidRPr="00F92405">
              <w:rPr>
                <w:rFonts w:ascii="Calibri" w:eastAsia="Calibri" w:hAnsi="Calibri" w:cs="Times New Roman"/>
                <w:sz w:val="15"/>
                <w:szCs w:val="15"/>
                <w:lang w:val="en-GB"/>
              </w:rPr>
              <w:t>Financial assets at fair value through other comprehensive income</w:t>
            </w:r>
          </w:p>
        </w:tc>
        <w:tc>
          <w:tcPr>
            <w:tcW w:w="343" w:type="pct"/>
            <w:tcBorders>
              <w:top w:val="nil"/>
              <w:left w:val="nil"/>
              <w:bottom w:val="nil"/>
              <w:right w:val="nil"/>
            </w:tcBorders>
            <w:shd w:val="clear" w:color="auto" w:fill="auto"/>
            <w:vAlign w:val="bottom"/>
          </w:tcPr>
          <w:p w14:paraId="3D1F1967" w14:textId="77777777" w:rsidR="00F92405" w:rsidRPr="00F92405" w:rsidRDefault="00F92405" w:rsidP="00F92405">
            <w:pPr>
              <w:tabs>
                <w:tab w:val="right" w:pos="1202"/>
              </w:tabs>
              <w:spacing w:after="0" w:line="301" w:lineRule="exact"/>
              <w:jc w:val="right"/>
              <w:outlineLvl w:val="0"/>
              <w:rPr>
                <w:rFonts w:ascii="Calibri" w:eastAsia="Calibri" w:hAnsi="Calibri" w:cs="Arial"/>
                <w:snapToGrid w:val="0"/>
                <w:sz w:val="15"/>
                <w:szCs w:val="15"/>
                <w:lang w:val="en-GB"/>
              </w:rPr>
            </w:pPr>
            <w:r w:rsidRPr="00F92405">
              <w:rPr>
                <w:rFonts w:ascii="Calibri" w:eastAsia="Times New Roman" w:hAnsi="Calibri" w:cs="Times New Roman"/>
                <w:sz w:val="15"/>
                <w:szCs w:val="15"/>
                <w:lang w:val="en-US"/>
              </w:rPr>
              <w:t xml:space="preserve"> 2,871,219 </w:t>
            </w:r>
          </w:p>
        </w:tc>
        <w:tc>
          <w:tcPr>
            <w:tcW w:w="344" w:type="pct"/>
            <w:tcBorders>
              <w:top w:val="nil"/>
              <w:left w:val="nil"/>
              <w:bottom w:val="nil"/>
              <w:right w:val="nil"/>
            </w:tcBorders>
            <w:shd w:val="clear" w:color="auto" w:fill="auto"/>
            <w:vAlign w:val="bottom"/>
          </w:tcPr>
          <w:p w14:paraId="6D1E460D" w14:textId="77777777" w:rsidR="00F92405" w:rsidRPr="00F92405" w:rsidRDefault="00F92405" w:rsidP="00F92405">
            <w:pPr>
              <w:tabs>
                <w:tab w:val="right" w:pos="1202"/>
              </w:tabs>
              <w:spacing w:after="0" w:line="301" w:lineRule="exact"/>
              <w:jc w:val="right"/>
              <w:outlineLvl w:val="0"/>
              <w:rPr>
                <w:rFonts w:ascii="Calibri" w:eastAsia="Calibri" w:hAnsi="Calibri" w:cs="Arial"/>
                <w:snapToGrid w:val="0"/>
                <w:sz w:val="15"/>
                <w:szCs w:val="15"/>
                <w:lang w:val="en-GB"/>
              </w:rPr>
            </w:pPr>
            <w:r w:rsidRPr="00F9240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3D72656C" w14:textId="77777777" w:rsidR="00F92405" w:rsidRPr="00F92405" w:rsidRDefault="00F92405" w:rsidP="00F92405">
            <w:pPr>
              <w:tabs>
                <w:tab w:val="right" w:pos="1202"/>
              </w:tabs>
              <w:spacing w:after="0" w:line="301" w:lineRule="exact"/>
              <w:jc w:val="right"/>
              <w:outlineLvl w:val="0"/>
              <w:rPr>
                <w:rFonts w:ascii="Calibri" w:eastAsia="Calibri" w:hAnsi="Calibri" w:cs="Arial"/>
                <w:snapToGrid w:val="0"/>
                <w:sz w:val="15"/>
                <w:szCs w:val="15"/>
                <w:lang w:val="en-GB"/>
              </w:rPr>
            </w:pPr>
            <w:r w:rsidRPr="00F92405">
              <w:rPr>
                <w:rFonts w:ascii="Calibri" w:eastAsia="Times New Roman" w:hAnsi="Calibri" w:cs="Times New Roman"/>
                <w:sz w:val="15"/>
                <w:szCs w:val="15"/>
                <w:lang w:val="en-US"/>
              </w:rPr>
              <w:t xml:space="preserve"> 1,469 </w:t>
            </w:r>
          </w:p>
        </w:tc>
        <w:tc>
          <w:tcPr>
            <w:tcW w:w="343" w:type="pct"/>
            <w:tcBorders>
              <w:top w:val="nil"/>
              <w:left w:val="nil"/>
              <w:bottom w:val="nil"/>
              <w:right w:val="nil"/>
            </w:tcBorders>
            <w:shd w:val="clear" w:color="auto" w:fill="auto"/>
            <w:vAlign w:val="bottom"/>
          </w:tcPr>
          <w:p w14:paraId="68A9AE15" w14:textId="77777777" w:rsidR="00F92405" w:rsidRPr="00F92405" w:rsidRDefault="00F92405" w:rsidP="00F92405">
            <w:pPr>
              <w:tabs>
                <w:tab w:val="right" w:pos="1202"/>
              </w:tabs>
              <w:spacing w:after="0" w:line="301" w:lineRule="exact"/>
              <w:jc w:val="right"/>
              <w:outlineLvl w:val="0"/>
              <w:rPr>
                <w:rFonts w:ascii="Calibri" w:eastAsia="Calibri" w:hAnsi="Calibri" w:cs="Arial"/>
                <w:snapToGrid w:val="0"/>
                <w:sz w:val="15"/>
                <w:szCs w:val="15"/>
                <w:lang w:val="en-GB"/>
              </w:rPr>
            </w:pPr>
            <w:r w:rsidRPr="00F9240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50885144" w14:textId="77777777" w:rsidR="00F92405" w:rsidRPr="00F92405" w:rsidRDefault="00F92405" w:rsidP="00F92405">
            <w:pPr>
              <w:tabs>
                <w:tab w:val="right" w:pos="1202"/>
              </w:tabs>
              <w:spacing w:after="0" w:line="301" w:lineRule="exact"/>
              <w:jc w:val="right"/>
              <w:outlineLvl w:val="0"/>
              <w:rPr>
                <w:rFonts w:ascii="Calibri" w:eastAsia="Calibri" w:hAnsi="Calibri" w:cs="Arial"/>
                <w:snapToGrid w:val="0"/>
                <w:sz w:val="15"/>
                <w:szCs w:val="15"/>
                <w:lang w:val="en-GB"/>
              </w:rPr>
            </w:pPr>
            <w:r w:rsidRPr="00F9240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18A27E4A" w14:textId="77777777" w:rsidR="00F92405" w:rsidRPr="00F92405" w:rsidRDefault="00F92405" w:rsidP="00F92405">
            <w:pPr>
              <w:tabs>
                <w:tab w:val="right" w:pos="1202"/>
              </w:tabs>
              <w:spacing w:after="0" w:line="301" w:lineRule="exact"/>
              <w:jc w:val="right"/>
              <w:outlineLvl w:val="0"/>
              <w:rPr>
                <w:rFonts w:ascii="Calibri" w:eastAsia="Calibri" w:hAnsi="Calibri" w:cs="Arial"/>
                <w:snapToGrid w:val="0"/>
                <w:sz w:val="15"/>
                <w:szCs w:val="15"/>
                <w:highlight w:val="yellow"/>
                <w:lang w:val="en-GB"/>
              </w:rPr>
            </w:pPr>
            <w:r w:rsidRPr="00F92405">
              <w:rPr>
                <w:rFonts w:ascii="Calibri" w:eastAsia="Times New Roman" w:hAnsi="Calibri" w:cs="Times New Roman"/>
                <w:sz w:val="15"/>
                <w:szCs w:val="15"/>
                <w:lang w:val="en-US"/>
              </w:rPr>
              <w:t xml:space="preserve"> 2,872,688 </w:t>
            </w:r>
          </w:p>
        </w:tc>
        <w:tc>
          <w:tcPr>
            <w:tcW w:w="343" w:type="pct"/>
            <w:tcBorders>
              <w:top w:val="nil"/>
              <w:left w:val="nil"/>
              <w:bottom w:val="nil"/>
              <w:right w:val="nil"/>
            </w:tcBorders>
            <w:shd w:val="clear" w:color="auto" w:fill="auto"/>
            <w:vAlign w:val="bottom"/>
          </w:tcPr>
          <w:p w14:paraId="2CD39588" w14:textId="77777777" w:rsidR="00F92405" w:rsidRPr="00F92405" w:rsidRDefault="00F92405" w:rsidP="00F92405">
            <w:pPr>
              <w:tabs>
                <w:tab w:val="right" w:pos="1202"/>
              </w:tabs>
              <w:spacing w:after="0" w:line="301" w:lineRule="exact"/>
              <w:jc w:val="right"/>
              <w:outlineLvl w:val="0"/>
              <w:rPr>
                <w:rFonts w:ascii="Calibri" w:eastAsia="Calibri" w:hAnsi="Calibri" w:cs="Arial"/>
                <w:snapToGrid w:val="0"/>
                <w:sz w:val="15"/>
                <w:szCs w:val="15"/>
                <w:lang w:val="en-GB"/>
              </w:rPr>
            </w:pPr>
            <w:r w:rsidRPr="00F92405">
              <w:rPr>
                <w:rFonts w:ascii="Calibri" w:eastAsia="Times New Roman" w:hAnsi="Calibri" w:cs="Times New Roman"/>
                <w:sz w:val="15"/>
                <w:szCs w:val="15"/>
                <w:lang w:val="en-US"/>
              </w:rPr>
              <w:t xml:space="preserve"> 2,871,219 </w:t>
            </w:r>
          </w:p>
        </w:tc>
        <w:tc>
          <w:tcPr>
            <w:tcW w:w="344" w:type="pct"/>
            <w:tcBorders>
              <w:top w:val="nil"/>
              <w:left w:val="nil"/>
              <w:bottom w:val="nil"/>
              <w:right w:val="nil"/>
            </w:tcBorders>
            <w:shd w:val="clear" w:color="auto" w:fill="auto"/>
            <w:vAlign w:val="bottom"/>
          </w:tcPr>
          <w:p w14:paraId="4C1C422B" w14:textId="77777777" w:rsidR="00F92405" w:rsidRPr="00F92405" w:rsidRDefault="00F92405" w:rsidP="00F92405">
            <w:pPr>
              <w:tabs>
                <w:tab w:val="right" w:pos="1202"/>
              </w:tabs>
              <w:spacing w:after="0" w:line="301" w:lineRule="exact"/>
              <w:jc w:val="right"/>
              <w:outlineLvl w:val="0"/>
              <w:rPr>
                <w:rFonts w:ascii="Calibri" w:eastAsia="Calibri" w:hAnsi="Calibri" w:cs="Arial"/>
                <w:snapToGrid w:val="0"/>
                <w:sz w:val="15"/>
                <w:szCs w:val="15"/>
                <w:lang w:val="en-GB"/>
              </w:rPr>
            </w:pPr>
            <w:r w:rsidRPr="00F9240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73235B90" w14:textId="77777777" w:rsidR="00F92405" w:rsidRPr="00F92405" w:rsidRDefault="00F92405" w:rsidP="00F92405">
            <w:pPr>
              <w:tabs>
                <w:tab w:val="right" w:pos="1202"/>
              </w:tabs>
              <w:spacing w:after="0" w:line="301" w:lineRule="exact"/>
              <w:jc w:val="right"/>
              <w:outlineLvl w:val="0"/>
              <w:rPr>
                <w:rFonts w:ascii="Calibri" w:eastAsia="Calibri" w:hAnsi="Calibri" w:cs="Arial"/>
                <w:snapToGrid w:val="0"/>
                <w:sz w:val="15"/>
                <w:szCs w:val="15"/>
                <w:lang w:val="en-GB"/>
              </w:rPr>
            </w:pPr>
            <w:r w:rsidRPr="00F92405">
              <w:rPr>
                <w:rFonts w:ascii="Calibri" w:eastAsia="Times New Roman" w:hAnsi="Calibri" w:cs="Times New Roman"/>
                <w:sz w:val="15"/>
                <w:szCs w:val="15"/>
                <w:lang w:val="en-US"/>
              </w:rPr>
              <w:t xml:space="preserve"> 1,469 </w:t>
            </w:r>
          </w:p>
        </w:tc>
        <w:tc>
          <w:tcPr>
            <w:tcW w:w="343" w:type="pct"/>
            <w:tcBorders>
              <w:top w:val="nil"/>
              <w:left w:val="nil"/>
              <w:bottom w:val="nil"/>
              <w:right w:val="nil"/>
            </w:tcBorders>
            <w:shd w:val="clear" w:color="auto" w:fill="auto"/>
            <w:vAlign w:val="bottom"/>
          </w:tcPr>
          <w:p w14:paraId="2E7C8B64" w14:textId="77777777" w:rsidR="00F92405" w:rsidRPr="00F92405" w:rsidRDefault="00F92405" w:rsidP="00F92405">
            <w:pPr>
              <w:tabs>
                <w:tab w:val="right" w:pos="1202"/>
              </w:tabs>
              <w:spacing w:after="0" w:line="301" w:lineRule="exact"/>
              <w:jc w:val="right"/>
              <w:outlineLvl w:val="0"/>
              <w:rPr>
                <w:rFonts w:ascii="Calibri" w:eastAsia="Calibri" w:hAnsi="Calibri" w:cs="Arial"/>
                <w:snapToGrid w:val="0"/>
                <w:sz w:val="15"/>
                <w:szCs w:val="15"/>
                <w:lang w:val="en-GB"/>
              </w:rPr>
            </w:pPr>
            <w:r w:rsidRPr="00F9240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7AFC3A57" w14:textId="77777777" w:rsidR="00F92405" w:rsidRPr="00F92405" w:rsidRDefault="00F92405" w:rsidP="00F92405">
            <w:pPr>
              <w:tabs>
                <w:tab w:val="right" w:pos="1202"/>
              </w:tabs>
              <w:spacing w:after="0" w:line="301" w:lineRule="exact"/>
              <w:jc w:val="right"/>
              <w:outlineLvl w:val="0"/>
              <w:rPr>
                <w:rFonts w:ascii="Calibri" w:eastAsia="Calibri" w:hAnsi="Calibri" w:cs="Arial"/>
                <w:snapToGrid w:val="0"/>
                <w:sz w:val="15"/>
                <w:szCs w:val="15"/>
                <w:lang w:val="en-GB"/>
              </w:rPr>
            </w:pPr>
            <w:r w:rsidRPr="00F92405">
              <w:rPr>
                <w:rFonts w:ascii="Calibri" w:eastAsia="Times New Roman" w:hAnsi="Calibri" w:cs="Times New Roman"/>
                <w:sz w:val="15"/>
                <w:szCs w:val="15"/>
                <w:lang w:val="en-US"/>
              </w:rPr>
              <w:t xml:space="preserve"> - </w:t>
            </w:r>
          </w:p>
        </w:tc>
        <w:tc>
          <w:tcPr>
            <w:tcW w:w="343" w:type="pct"/>
            <w:tcBorders>
              <w:top w:val="nil"/>
              <w:left w:val="nil"/>
              <w:bottom w:val="nil"/>
              <w:right w:val="nil"/>
            </w:tcBorders>
            <w:shd w:val="clear" w:color="auto" w:fill="auto"/>
            <w:vAlign w:val="bottom"/>
          </w:tcPr>
          <w:p w14:paraId="39571298" w14:textId="77777777" w:rsidR="00F92405" w:rsidRPr="00F92405" w:rsidRDefault="00F92405" w:rsidP="00F92405">
            <w:pPr>
              <w:tabs>
                <w:tab w:val="right" w:pos="1202"/>
              </w:tabs>
              <w:spacing w:after="0" w:line="301" w:lineRule="exact"/>
              <w:jc w:val="right"/>
              <w:outlineLvl w:val="0"/>
              <w:rPr>
                <w:rFonts w:ascii="Calibri" w:eastAsia="Calibri" w:hAnsi="Calibri" w:cs="Arial"/>
                <w:snapToGrid w:val="0"/>
                <w:sz w:val="15"/>
                <w:szCs w:val="15"/>
                <w:highlight w:val="yellow"/>
                <w:lang w:val="en-GB"/>
              </w:rPr>
            </w:pPr>
            <w:r w:rsidRPr="00F92405">
              <w:rPr>
                <w:rFonts w:ascii="Calibri" w:eastAsia="Times New Roman" w:hAnsi="Calibri" w:cs="Times New Roman"/>
                <w:sz w:val="15"/>
                <w:szCs w:val="15"/>
                <w:lang w:val="en-US"/>
              </w:rPr>
              <w:t xml:space="preserve"> 2,872,688 </w:t>
            </w:r>
          </w:p>
        </w:tc>
      </w:tr>
      <w:tr w:rsidR="00F92405" w:rsidRPr="00F92405" w14:paraId="3E2F5EFA" w14:textId="77777777" w:rsidTr="00E44437">
        <w:trPr>
          <w:trHeight w:val="74"/>
          <w:jc w:val="center"/>
        </w:trPr>
        <w:tc>
          <w:tcPr>
            <w:tcW w:w="877" w:type="pct"/>
            <w:vAlign w:val="bottom"/>
          </w:tcPr>
          <w:p w14:paraId="795D54D9" w14:textId="77777777" w:rsidR="00F92405" w:rsidRPr="00F92405" w:rsidRDefault="00F92405" w:rsidP="00F92405">
            <w:pPr>
              <w:tabs>
                <w:tab w:val="right" w:pos="1202"/>
              </w:tabs>
              <w:spacing w:after="0" w:line="240" w:lineRule="auto"/>
              <w:outlineLvl w:val="0"/>
              <w:rPr>
                <w:rFonts w:ascii="Calibri" w:eastAsia="Calibri" w:hAnsi="Calibri" w:cs="Times New Roman"/>
                <w:sz w:val="15"/>
                <w:szCs w:val="15"/>
                <w:lang w:val="en-GB"/>
              </w:rPr>
            </w:pPr>
            <w:r w:rsidRPr="00F92405">
              <w:rPr>
                <w:rFonts w:ascii="Calibri" w:eastAsia="Calibri" w:hAnsi="Calibri" w:cs="Times New Roman"/>
                <w:sz w:val="15"/>
                <w:szCs w:val="15"/>
                <w:lang w:val="en-GB"/>
              </w:rPr>
              <w:t>Other assets</w:t>
            </w:r>
          </w:p>
        </w:tc>
        <w:tc>
          <w:tcPr>
            <w:tcW w:w="343" w:type="pct"/>
            <w:tcBorders>
              <w:top w:val="nil"/>
              <w:left w:val="nil"/>
              <w:bottom w:val="single" w:sz="8" w:space="0" w:color="auto"/>
              <w:right w:val="nil"/>
            </w:tcBorders>
            <w:shd w:val="clear" w:color="auto" w:fill="auto"/>
            <w:vAlign w:val="bottom"/>
          </w:tcPr>
          <w:p w14:paraId="0C8CF5B5" w14:textId="77777777" w:rsidR="00F92405" w:rsidRPr="00F92405" w:rsidRDefault="00F92405" w:rsidP="00F92405">
            <w:pPr>
              <w:tabs>
                <w:tab w:val="right" w:pos="1202"/>
              </w:tabs>
              <w:spacing w:after="0" w:line="240" w:lineRule="auto"/>
              <w:jc w:val="right"/>
              <w:outlineLvl w:val="0"/>
              <w:rPr>
                <w:rFonts w:ascii="Calibri" w:eastAsia="Calibri" w:hAnsi="Calibri" w:cs="Arial"/>
                <w:snapToGrid w:val="0"/>
                <w:sz w:val="15"/>
                <w:szCs w:val="15"/>
                <w:lang w:val="en-GB"/>
              </w:rPr>
            </w:pPr>
            <w:r w:rsidRPr="00F92405">
              <w:rPr>
                <w:rFonts w:ascii="Calibri" w:eastAsia="Times New Roman" w:hAnsi="Calibri" w:cs="Times New Roman"/>
                <w:sz w:val="15"/>
                <w:szCs w:val="15"/>
                <w:lang w:val="en-US"/>
              </w:rPr>
              <w:t xml:space="preserve"> 3,326 </w:t>
            </w:r>
          </w:p>
        </w:tc>
        <w:tc>
          <w:tcPr>
            <w:tcW w:w="344" w:type="pct"/>
            <w:tcBorders>
              <w:top w:val="nil"/>
              <w:left w:val="nil"/>
              <w:bottom w:val="single" w:sz="8" w:space="0" w:color="auto"/>
              <w:right w:val="nil"/>
            </w:tcBorders>
            <w:shd w:val="clear" w:color="auto" w:fill="auto"/>
            <w:vAlign w:val="bottom"/>
          </w:tcPr>
          <w:p w14:paraId="16BAD163" w14:textId="77777777" w:rsidR="00F92405" w:rsidRPr="00F92405" w:rsidRDefault="00F92405" w:rsidP="00F92405">
            <w:pPr>
              <w:tabs>
                <w:tab w:val="right" w:pos="1202"/>
              </w:tabs>
              <w:spacing w:after="0" w:line="240" w:lineRule="auto"/>
              <w:jc w:val="right"/>
              <w:outlineLvl w:val="0"/>
              <w:rPr>
                <w:rFonts w:ascii="Calibri" w:eastAsia="Calibri" w:hAnsi="Calibri" w:cs="Arial"/>
                <w:snapToGrid w:val="0"/>
                <w:sz w:val="15"/>
                <w:szCs w:val="15"/>
                <w:lang w:val="en-GB"/>
              </w:rPr>
            </w:pPr>
            <w:r w:rsidRPr="00F92405">
              <w:rPr>
                <w:rFonts w:ascii="Calibri" w:eastAsia="Times New Roman" w:hAnsi="Calibri" w:cs="Times New Roman"/>
                <w:sz w:val="15"/>
                <w:szCs w:val="15"/>
                <w:lang w:val="en-US"/>
              </w:rPr>
              <w:t xml:space="preserve"> 12 </w:t>
            </w:r>
          </w:p>
        </w:tc>
        <w:tc>
          <w:tcPr>
            <w:tcW w:w="344" w:type="pct"/>
            <w:tcBorders>
              <w:top w:val="nil"/>
              <w:left w:val="nil"/>
              <w:bottom w:val="single" w:sz="8" w:space="0" w:color="auto"/>
              <w:right w:val="nil"/>
            </w:tcBorders>
            <w:shd w:val="clear" w:color="auto" w:fill="auto"/>
            <w:vAlign w:val="bottom"/>
          </w:tcPr>
          <w:p w14:paraId="17FF7206" w14:textId="77777777" w:rsidR="00F92405" w:rsidRPr="00F92405" w:rsidRDefault="00F92405" w:rsidP="00F92405">
            <w:pPr>
              <w:tabs>
                <w:tab w:val="right" w:pos="1202"/>
              </w:tabs>
              <w:spacing w:after="0" w:line="240" w:lineRule="auto"/>
              <w:jc w:val="right"/>
              <w:outlineLvl w:val="0"/>
              <w:rPr>
                <w:rFonts w:ascii="Calibri" w:eastAsia="Calibri" w:hAnsi="Calibri" w:cs="Arial"/>
                <w:snapToGrid w:val="0"/>
                <w:sz w:val="15"/>
                <w:szCs w:val="15"/>
                <w:lang w:val="en-GB"/>
              </w:rPr>
            </w:pPr>
            <w:r w:rsidRPr="00F92405">
              <w:rPr>
                <w:rFonts w:ascii="Calibri" w:eastAsia="Times New Roman" w:hAnsi="Calibri" w:cs="Times New Roman"/>
                <w:sz w:val="15"/>
                <w:szCs w:val="15"/>
                <w:lang w:val="en-US"/>
              </w:rPr>
              <w:t xml:space="preserve"> 1,310 </w:t>
            </w:r>
          </w:p>
        </w:tc>
        <w:tc>
          <w:tcPr>
            <w:tcW w:w="343" w:type="pct"/>
            <w:tcBorders>
              <w:top w:val="nil"/>
              <w:left w:val="nil"/>
              <w:bottom w:val="single" w:sz="8" w:space="0" w:color="auto"/>
              <w:right w:val="nil"/>
            </w:tcBorders>
            <w:shd w:val="clear" w:color="auto" w:fill="auto"/>
            <w:vAlign w:val="bottom"/>
          </w:tcPr>
          <w:p w14:paraId="3DC6065A" w14:textId="77777777" w:rsidR="00F92405" w:rsidRPr="00F92405" w:rsidRDefault="00F92405" w:rsidP="00F92405">
            <w:pPr>
              <w:tabs>
                <w:tab w:val="right" w:pos="1202"/>
              </w:tabs>
              <w:spacing w:after="0" w:line="240" w:lineRule="auto"/>
              <w:jc w:val="right"/>
              <w:outlineLvl w:val="0"/>
              <w:rPr>
                <w:rFonts w:ascii="Calibri" w:eastAsia="Calibri" w:hAnsi="Calibri" w:cs="Arial"/>
                <w:snapToGrid w:val="0"/>
                <w:sz w:val="15"/>
                <w:szCs w:val="15"/>
                <w:lang w:val="en-GB"/>
              </w:rPr>
            </w:pPr>
            <w:r w:rsidRPr="00F92405">
              <w:rPr>
                <w:rFonts w:ascii="Calibri" w:eastAsia="Times New Roman" w:hAnsi="Calibri" w:cs="Times New Roman"/>
                <w:sz w:val="15"/>
                <w:szCs w:val="15"/>
                <w:lang w:val="en-US"/>
              </w:rPr>
              <w:t xml:space="preserve"> 51 </w:t>
            </w:r>
          </w:p>
        </w:tc>
        <w:tc>
          <w:tcPr>
            <w:tcW w:w="344" w:type="pct"/>
            <w:tcBorders>
              <w:top w:val="nil"/>
              <w:left w:val="nil"/>
              <w:bottom w:val="single" w:sz="8" w:space="0" w:color="auto"/>
              <w:right w:val="nil"/>
            </w:tcBorders>
            <w:shd w:val="clear" w:color="auto" w:fill="auto"/>
            <w:vAlign w:val="bottom"/>
          </w:tcPr>
          <w:p w14:paraId="70EE910B" w14:textId="77777777" w:rsidR="00F92405" w:rsidRPr="00F92405" w:rsidRDefault="00F92405" w:rsidP="00F92405">
            <w:pPr>
              <w:tabs>
                <w:tab w:val="right" w:pos="1202"/>
              </w:tabs>
              <w:spacing w:after="0" w:line="240" w:lineRule="auto"/>
              <w:jc w:val="right"/>
              <w:outlineLvl w:val="0"/>
              <w:rPr>
                <w:rFonts w:ascii="Calibri" w:eastAsia="Calibri" w:hAnsi="Calibri" w:cs="Arial"/>
                <w:snapToGrid w:val="0"/>
                <w:sz w:val="15"/>
                <w:szCs w:val="15"/>
                <w:lang w:val="en-GB"/>
              </w:rPr>
            </w:pPr>
            <w:r w:rsidRPr="00F92405">
              <w:rPr>
                <w:rFonts w:ascii="Calibri" w:eastAsia="Times New Roman" w:hAnsi="Calibri" w:cs="Times New Roman"/>
                <w:sz w:val="15"/>
                <w:szCs w:val="15"/>
                <w:lang w:val="en-US"/>
              </w:rPr>
              <w:t xml:space="preserve"> - </w:t>
            </w:r>
          </w:p>
        </w:tc>
        <w:tc>
          <w:tcPr>
            <w:tcW w:w="344" w:type="pct"/>
            <w:tcBorders>
              <w:top w:val="nil"/>
              <w:left w:val="nil"/>
              <w:bottom w:val="single" w:sz="8" w:space="0" w:color="auto"/>
              <w:right w:val="nil"/>
            </w:tcBorders>
            <w:shd w:val="clear" w:color="auto" w:fill="auto"/>
            <w:vAlign w:val="bottom"/>
          </w:tcPr>
          <w:p w14:paraId="0B3F57D9" w14:textId="77777777" w:rsidR="00F92405" w:rsidRPr="00F92405" w:rsidRDefault="00F92405" w:rsidP="00F92405">
            <w:pPr>
              <w:tabs>
                <w:tab w:val="right" w:pos="1202"/>
              </w:tabs>
              <w:spacing w:after="0" w:line="240" w:lineRule="auto"/>
              <w:jc w:val="right"/>
              <w:outlineLvl w:val="0"/>
              <w:rPr>
                <w:rFonts w:ascii="Calibri" w:eastAsia="Calibri" w:hAnsi="Calibri" w:cs="Arial"/>
                <w:snapToGrid w:val="0"/>
                <w:sz w:val="15"/>
                <w:szCs w:val="15"/>
                <w:lang w:val="en-GB"/>
              </w:rPr>
            </w:pPr>
            <w:r w:rsidRPr="00F92405">
              <w:rPr>
                <w:rFonts w:ascii="Calibri" w:eastAsia="Times New Roman" w:hAnsi="Calibri" w:cs="Times New Roman"/>
                <w:sz w:val="15"/>
                <w:szCs w:val="15"/>
                <w:lang w:val="en-US"/>
              </w:rPr>
              <w:t xml:space="preserve"> 4,699 </w:t>
            </w:r>
          </w:p>
        </w:tc>
        <w:tc>
          <w:tcPr>
            <w:tcW w:w="343" w:type="pct"/>
            <w:tcBorders>
              <w:top w:val="nil"/>
              <w:left w:val="nil"/>
              <w:bottom w:val="single" w:sz="8" w:space="0" w:color="auto"/>
              <w:right w:val="nil"/>
            </w:tcBorders>
            <w:vAlign w:val="bottom"/>
          </w:tcPr>
          <w:p w14:paraId="1819D542" w14:textId="77777777" w:rsidR="00F92405" w:rsidRPr="00F92405" w:rsidRDefault="00F92405" w:rsidP="00F92405">
            <w:pPr>
              <w:tabs>
                <w:tab w:val="right" w:pos="1202"/>
              </w:tabs>
              <w:spacing w:after="0" w:line="240" w:lineRule="auto"/>
              <w:jc w:val="right"/>
              <w:outlineLvl w:val="0"/>
              <w:rPr>
                <w:rFonts w:ascii="Calibri" w:eastAsia="Calibri" w:hAnsi="Calibri" w:cs="Arial"/>
                <w:snapToGrid w:val="0"/>
                <w:sz w:val="15"/>
                <w:szCs w:val="15"/>
                <w:lang w:val="en-GB"/>
              </w:rPr>
            </w:pPr>
            <w:r w:rsidRPr="00F92405">
              <w:rPr>
                <w:rFonts w:ascii="Calibri" w:eastAsia="Times New Roman" w:hAnsi="Calibri" w:cs="Times New Roman"/>
                <w:sz w:val="15"/>
                <w:szCs w:val="15"/>
                <w:lang w:val="en-US"/>
              </w:rPr>
              <w:t xml:space="preserve"> 588 </w:t>
            </w:r>
          </w:p>
        </w:tc>
        <w:tc>
          <w:tcPr>
            <w:tcW w:w="344" w:type="pct"/>
            <w:tcBorders>
              <w:top w:val="nil"/>
              <w:left w:val="nil"/>
              <w:bottom w:val="single" w:sz="8" w:space="0" w:color="auto"/>
              <w:right w:val="nil"/>
            </w:tcBorders>
            <w:vAlign w:val="bottom"/>
          </w:tcPr>
          <w:p w14:paraId="32170C02" w14:textId="77777777" w:rsidR="00F92405" w:rsidRPr="00F92405" w:rsidRDefault="00F92405" w:rsidP="00F92405">
            <w:pPr>
              <w:tabs>
                <w:tab w:val="right" w:pos="1202"/>
              </w:tabs>
              <w:spacing w:after="0" w:line="240" w:lineRule="auto"/>
              <w:jc w:val="right"/>
              <w:outlineLvl w:val="0"/>
              <w:rPr>
                <w:rFonts w:ascii="Calibri" w:eastAsia="Calibri" w:hAnsi="Calibri" w:cs="Arial"/>
                <w:snapToGrid w:val="0"/>
                <w:sz w:val="15"/>
                <w:szCs w:val="15"/>
                <w:lang w:val="en-GB"/>
              </w:rPr>
            </w:pPr>
            <w:r w:rsidRPr="00F92405">
              <w:rPr>
                <w:rFonts w:ascii="Calibri" w:eastAsia="Times New Roman" w:hAnsi="Calibri" w:cs="Times New Roman"/>
                <w:sz w:val="15"/>
                <w:szCs w:val="15"/>
                <w:lang w:val="en-US"/>
              </w:rPr>
              <w:t xml:space="preserve"> 12 </w:t>
            </w:r>
          </w:p>
        </w:tc>
        <w:tc>
          <w:tcPr>
            <w:tcW w:w="344" w:type="pct"/>
            <w:tcBorders>
              <w:top w:val="nil"/>
              <w:left w:val="nil"/>
              <w:bottom w:val="single" w:sz="8" w:space="0" w:color="auto"/>
              <w:right w:val="nil"/>
            </w:tcBorders>
            <w:vAlign w:val="bottom"/>
          </w:tcPr>
          <w:p w14:paraId="39348A0F" w14:textId="77777777" w:rsidR="00F92405" w:rsidRPr="00F92405" w:rsidRDefault="00F92405" w:rsidP="00F92405">
            <w:pPr>
              <w:tabs>
                <w:tab w:val="right" w:pos="1202"/>
              </w:tabs>
              <w:spacing w:after="0" w:line="240" w:lineRule="auto"/>
              <w:jc w:val="right"/>
              <w:outlineLvl w:val="0"/>
              <w:rPr>
                <w:rFonts w:ascii="Calibri" w:eastAsia="Calibri" w:hAnsi="Calibri" w:cs="Arial"/>
                <w:snapToGrid w:val="0"/>
                <w:sz w:val="15"/>
                <w:szCs w:val="15"/>
                <w:lang w:val="en-GB"/>
              </w:rPr>
            </w:pPr>
            <w:r w:rsidRPr="00F92405">
              <w:rPr>
                <w:rFonts w:ascii="Calibri" w:eastAsia="Times New Roman" w:hAnsi="Calibri" w:cs="Times New Roman"/>
                <w:sz w:val="15"/>
                <w:szCs w:val="15"/>
                <w:lang w:val="en-US"/>
              </w:rPr>
              <w:t xml:space="preserve"> 749 </w:t>
            </w:r>
          </w:p>
        </w:tc>
        <w:tc>
          <w:tcPr>
            <w:tcW w:w="343" w:type="pct"/>
            <w:tcBorders>
              <w:top w:val="nil"/>
              <w:left w:val="nil"/>
              <w:bottom w:val="single" w:sz="8" w:space="0" w:color="auto"/>
              <w:right w:val="nil"/>
            </w:tcBorders>
            <w:vAlign w:val="bottom"/>
          </w:tcPr>
          <w:p w14:paraId="2FA1396B" w14:textId="77777777" w:rsidR="00F92405" w:rsidRPr="00F92405" w:rsidRDefault="00F92405" w:rsidP="00F92405">
            <w:pPr>
              <w:tabs>
                <w:tab w:val="right" w:pos="1202"/>
              </w:tabs>
              <w:spacing w:after="0" w:line="240" w:lineRule="auto"/>
              <w:jc w:val="right"/>
              <w:outlineLvl w:val="0"/>
              <w:rPr>
                <w:rFonts w:ascii="Calibri" w:eastAsia="Calibri" w:hAnsi="Calibri" w:cs="Arial"/>
                <w:snapToGrid w:val="0"/>
                <w:sz w:val="15"/>
                <w:szCs w:val="15"/>
                <w:lang w:val="en-GB"/>
              </w:rPr>
            </w:pPr>
            <w:r w:rsidRPr="00F92405">
              <w:rPr>
                <w:rFonts w:ascii="Calibri" w:eastAsia="Times New Roman" w:hAnsi="Calibri" w:cs="Times New Roman"/>
                <w:sz w:val="15"/>
                <w:szCs w:val="15"/>
                <w:lang w:val="en-US"/>
              </w:rPr>
              <w:t xml:space="preserve"> 51 </w:t>
            </w:r>
          </w:p>
        </w:tc>
        <w:tc>
          <w:tcPr>
            <w:tcW w:w="344" w:type="pct"/>
            <w:tcBorders>
              <w:top w:val="nil"/>
              <w:left w:val="nil"/>
              <w:bottom w:val="single" w:sz="8" w:space="0" w:color="auto"/>
              <w:right w:val="nil"/>
            </w:tcBorders>
            <w:vAlign w:val="bottom"/>
          </w:tcPr>
          <w:p w14:paraId="57247AC9" w14:textId="77777777" w:rsidR="00F92405" w:rsidRPr="00F92405" w:rsidRDefault="00F92405" w:rsidP="00F92405">
            <w:pPr>
              <w:tabs>
                <w:tab w:val="right" w:pos="1202"/>
              </w:tabs>
              <w:spacing w:after="0" w:line="240" w:lineRule="auto"/>
              <w:jc w:val="right"/>
              <w:outlineLvl w:val="0"/>
              <w:rPr>
                <w:rFonts w:ascii="Calibri" w:eastAsia="Calibri" w:hAnsi="Calibri" w:cs="Arial"/>
                <w:snapToGrid w:val="0"/>
                <w:sz w:val="15"/>
                <w:szCs w:val="15"/>
                <w:lang w:val="en-GB"/>
              </w:rPr>
            </w:pPr>
            <w:r w:rsidRPr="00F92405">
              <w:rPr>
                <w:rFonts w:ascii="Calibri" w:eastAsia="Times New Roman" w:hAnsi="Calibri" w:cs="Times New Roman"/>
                <w:sz w:val="15"/>
                <w:szCs w:val="15"/>
                <w:lang w:val="en-US"/>
              </w:rPr>
              <w:t xml:space="preserve"> - </w:t>
            </w:r>
          </w:p>
        </w:tc>
        <w:tc>
          <w:tcPr>
            <w:tcW w:w="343" w:type="pct"/>
            <w:tcBorders>
              <w:top w:val="nil"/>
              <w:left w:val="nil"/>
              <w:bottom w:val="single" w:sz="8" w:space="0" w:color="auto"/>
              <w:right w:val="nil"/>
            </w:tcBorders>
            <w:vAlign w:val="bottom"/>
          </w:tcPr>
          <w:p w14:paraId="2D8764B6" w14:textId="77777777" w:rsidR="00F92405" w:rsidRPr="00F92405" w:rsidRDefault="00F92405" w:rsidP="00F92405">
            <w:pPr>
              <w:tabs>
                <w:tab w:val="right" w:pos="1202"/>
              </w:tabs>
              <w:spacing w:after="0" w:line="240" w:lineRule="auto"/>
              <w:jc w:val="right"/>
              <w:outlineLvl w:val="0"/>
              <w:rPr>
                <w:rFonts w:ascii="Calibri" w:eastAsia="Calibri" w:hAnsi="Calibri" w:cs="Arial"/>
                <w:snapToGrid w:val="0"/>
                <w:sz w:val="15"/>
                <w:szCs w:val="15"/>
                <w:lang w:val="en-GB"/>
              </w:rPr>
            </w:pPr>
            <w:r w:rsidRPr="00F92405">
              <w:rPr>
                <w:rFonts w:ascii="Calibri" w:eastAsia="Times New Roman" w:hAnsi="Calibri" w:cs="Times New Roman"/>
                <w:sz w:val="15"/>
                <w:szCs w:val="15"/>
                <w:lang w:val="en-US"/>
              </w:rPr>
              <w:t xml:space="preserve"> 1,400 </w:t>
            </w:r>
          </w:p>
        </w:tc>
      </w:tr>
      <w:tr w:rsidR="00F92405" w:rsidRPr="00F92405" w14:paraId="5F56D8B4" w14:textId="77777777" w:rsidTr="00E44437">
        <w:trPr>
          <w:trHeight w:val="97"/>
          <w:jc w:val="center"/>
        </w:trPr>
        <w:tc>
          <w:tcPr>
            <w:tcW w:w="877" w:type="pct"/>
          </w:tcPr>
          <w:p w14:paraId="3A5B73E3" w14:textId="77777777" w:rsidR="00F92405" w:rsidRPr="00F92405" w:rsidRDefault="00F92405" w:rsidP="00F92405">
            <w:pPr>
              <w:tabs>
                <w:tab w:val="right" w:pos="1202"/>
              </w:tabs>
              <w:spacing w:after="0" w:line="301" w:lineRule="exact"/>
              <w:outlineLvl w:val="0"/>
              <w:rPr>
                <w:rFonts w:ascii="Calibri" w:eastAsia="Calibri" w:hAnsi="Calibri" w:cs="Arial"/>
                <w:b/>
                <w:bCs/>
                <w:sz w:val="15"/>
                <w:szCs w:val="15"/>
                <w:lang w:val="en-GB"/>
              </w:rPr>
            </w:pPr>
            <w:r w:rsidRPr="00F92405">
              <w:rPr>
                <w:rFonts w:ascii="Calibri" w:eastAsia="Calibri" w:hAnsi="Calibri" w:cs="Arial"/>
                <w:b/>
                <w:bCs/>
                <w:sz w:val="15"/>
                <w:szCs w:val="15"/>
                <w:lang w:val="en-GB"/>
              </w:rPr>
              <w:t>Total</w:t>
            </w:r>
          </w:p>
        </w:tc>
        <w:tc>
          <w:tcPr>
            <w:tcW w:w="343" w:type="pct"/>
            <w:tcBorders>
              <w:top w:val="nil"/>
              <w:left w:val="nil"/>
              <w:bottom w:val="single" w:sz="12" w:space="0" w:color="auto"/>
              <w:right w:val="nil"/>
            </w:tcBorders>
            <w:shd w:val="clear" w:color="auto" w:fill="auto"/>
            <w:vAlign w:val="bottom"/>
          </w:tcPr>
          <w:p w14:paraId="6179A7DA" w14:textId="77777777" w:rsidR="00F92405" w:rsidRPr="00F92405" w:rsidRDefault="00F92405" w:rsidP="00F92405">
            <w:pPr>
              <w:tabs>
                <w:tab w:val="right" w:pos="1202"/>
              </w:tabs>
              <w:spacing w:after="0" w:line="301" w:lineRule="exact"/>
              <w:jc w:val="right"/>
              <w:outlineLvl w:val="0"/>
              <w:rPr>
                <w:rFonts w:ascii="Calibri" w:eastAsia="Calibri" w:hAnsi="Calibri" w:cs="Arial"/>
                <w:b/>
                <w:bCs/>
                <w:sz w:val="15"/>
                <w:szCs w:val="15"/>
                <w:lang w:val="en-GB"/>
              </w:rPr>
            </w:pPr>
            <w:r w:rsidRPr="00F92405">
              <w:rPr>
                <w:rFonts w:ascii="Calibri" w:eastAsia="Times New Roman" w:hAnsi="Calibri" w:cs="Times New Roman"/>
                <w:b/>
                <w:bCs/>
                <w:sz w:val="15"/>
                <w:szCs w:val="15"/>
                <w:lang w:val="en-US"/>
              </w:rPr>
              <w:t xml:space="preserve"> 24,485,566 </w:t>
            </w:r>
          </w:p>
        </w:tc>
        <w:tc>
          <w:tcPr>
            <w:tcW w:w="344" w:type="pct"/>
            <w:tcBorders>
              <w:top w:val="nil"/>
              <w:left w:val="nil"/>
              <w:bottom w:val="single" w:sz="12" w:space="0" w:color="auto"/>
              <w:right w:val="nil"/>
            </w:tcBorders>
            <w:shd w:val="clear" w:color="auto" w:fill="auto"/>
            <w:vAlign w:val="bottom"/>
          </w:tcPr>
          <w:p w14:paraId="13292E9D" w14:textId="77777777" w:rsidR="00F92405" w:rsidRPr="00F92405" w:rsidRDefault="00F92405" w:rsidP="00F92405">
            <w:pPr>
              <w:tabs>
                <w:tab w:val="right" w:pos="1202"/>
              </w:tabs>
              <w:spacing w:after="0" w:line="301" w:lineRule="exact"/>
              <w:jc w:val="right"/>
              <w:outlineLvl w:val="0"/>
              <w:rPr>
                <w:rFonts w:ascii="Calibri" w:eastAsia="Calibri" w:hAnsi="Calibri" w:cs="Arial"/>
                <w:b/>
                <w:bCs/>
                <w:sz w:val="15"/>
                <w:szCs w:val="15"/>
                <w:lang w:val="en-GB"/>
              </w:rPr>
            </w:pPr>
            <w:r w:rsidRPr="00F92405">
              <w:rPr>
                <w:rFonts w:ascii="Calibri" w:eastAsia="Times New Roman" w:hAnsi="Calibri" w:cs="Times New Roman"/>
                <w:b/>
                <w:bCs/>
                <w:sz w:val="15"/>
                <w:szCs w:val="15"/>
                <w:lang w:val="en-US"/>
              </w:rPr>
              <w:t xml:space="preserve"> 1,008,737 </w:t>
            </w:r>
          </w:p>
        </w:tc>
        <w:tc>
          <w:tcPr>
            <w:tcW w:w="344" w:type="pct"/>
            <w:tcBorders>
              <w:top w:val="nil"/>
              <w:left w:val="nil"/>
              <w:bottom w:val="single" w:sz="12" w:space="0" w:color="auto"/>
              <w:right w:val="nil"/>
            </w:tcBorders>
            <w:shd w:val="clear" w:color="auto" w:fill="auto"/>
            <w:vAlign w:val="bottom"/>
          </w:tcPr>
          <w:p w14:paraId="2DEDFD66" w14:textId="77777777" w:rsidR="00F92405" w:rsidRPr="00F92405" w:rsidRDefault="00F92405" w:rsidP="00F92405">
            <w:pPr>
              <w:tabs>
                <w:tab w:val="right" w:pos="1202"/>
              </w:tabs>
              <w:spacing w:after="0" w:line="301" w:lineRule="exact"/>
              <w:jc w:val="right"/>
              <w:outlineLvl w:val="0"/>
              <w:rPr>
                <w:rFonts w:ascii="Calibri" w:eastAsia="Calibri" w:hAnsi="Calibri" w:cs="Arial"/>
                <w:b/>
                <w:bCs/>
                <w:sz w:val="15"/>
                <w:szCs w:val="15"/>
                <w:lang w:val="en-GB"/>
              </w:rPr>
            </w:pPr>
            <w:r w:rsidRPr="00F92405">
              <w:rPr>
                <w:rFonts w:ascii="Calibri" w:eastAsia="Times New Roman" w:hAnsi="Calibri" w:cs="Times New Roman"/>
                <w:b/>
                <w:bCs/>
                <w:sz w:val="15"/>
                <w:szCs w:val="15"/>
                <w:lang w:val="en-US"/>
              </w:rPr>
              <w:t xml:space="preserve"> 1,170,112 </w:t>
            </w:r>
          </w:p>
        </w:tc>
        <w:tc>
          <w:tcPr>
            <w:tcW w:w="343" w:type="pct"/>
            <w:tcBorders>
              <w:top w:val="nil"/>
              <w:left w:val="nil"/>
              <w:bottom w:val="single" w:sz="12" w:space="0" w:color="auto"/>
              <w:right w:val="nil"/>
            </w:tcBorders>
            <w:shd w:val="clear" w:color="auto" w:fill="auto"/>
            <w:vAlign w:val="bottom"/>
          </w:tcPr>
          <w:p w14:paraId="1E1F0D05" w14:textId="77777777" w:rsidR="00F92405" w:rsidRPr="00F92405" w:rsidRDefault="00F92405" w:rsidP="00F92405">
            <w:pPr>
              <w:tabs>
                <w:tab w:val="right" w:pos="1202"/>
              </w:tabs>
              <w:spacing w:after="0" w:line="301" w:lineRule="exact"/>
              <w:jc w:val="right"/>
              <w:outlineLvl w:val="0"/>
              <w:rPr>
                <w:rFonts w:ascii="Calibri" w:eastAsia="Calibri" w:hAnsi="Calibri" w:cs="Arial"/>
                <w:b/>
                <w:bCs/>
                <w:sz w:val="15"/>
                <w:szCs w:val="15"/>
                <w:lang w:val="en-GB"/>
              </w:rPr>
            </w:pPr>
            <w:r w:rsidRPr="00F92405">
              <w:rPr>
                <w:rFonts w:ascii="Calibri" w:eastAsia="Times New Roman" w:hAnsi="Calibri" w:cs="Times New Roman"/>
                <w:b/>
                <w:bCs/>
                <w:sz w:val="15"/>
                <w:szCs w:val="15"/>
                <w:lang w:val="en-US"/>
              </w:rPr>
              <w:t xml:space="preserve"> 1,193,610 </w:t>
            </w:r>
          </w:p>
        </w:tc>
        <w:tc>
          <w:tcPr>
            <w:tcW w:w="344" w:type="pct"/>
            <w:tcBorders>
              <w:top w:val="nil"/>
              <w:left w:val="nil"/>
              <w:bottom w:val="single" w:sz="12" w:space="0" w:color="auto"/>
              <w:right w:val="nil"/>
            </w:tcBorders>
            <w:shd w:val="clear" w:color="auto" w:fill="auto"/>
            <w:vAlign w:val="bottom"/>
          </w:tcPr>
          <w:p w14:paraId="28433FED" w14:textId="77777777" w:rsidR="00F92405" w:rsidRPr="00F92405" w:rsidRDefault="00F92405" w:rsidP="00F92405">
            <w:pPr>
              <w:tabs>
                <w:tab w:val="right" w:pos="1202"/>
              </w:tabs>
              <w:spacing w:after="0" w:line="301" w:lineRule="exact"/>
              <w:jc w:val="right"/>
              <w:outlineLvl w:val="0"/>
              <w:rPr>
                <w:rFonts w:ascii="Calibri" w:eastAsia="Calibri" w:hAnsi="Calibri" w:cs="Arial"/>
                <w:b/>
                <w:bCs/>
                <w:sz w:val="15"/>
                <w:szCs w:val="15"/>
                <w:lang w:val="en-GB"/>
              </w:rPr>
            </w:pPr>
            <w:r w:rsidRPr="00F92405">
              <w:rPr>
                <w:rFonts w:ascii="Calibri" w:eastAsia="Times New Roman" w:hAnsi="Calibri" w:cs="Times New Roman"/>
                <w:b/>
                <w:bCs/>
                <w:sz w:val="15"/>
                <w:szCs w:val="15"/>
                <w:lang w:val="en-US"/>
              </w:rPr>
              <w:t xml:space="preserve"> 16,375 </w:t>
            </w:r>
          </w:p>
        </w:tc>
        <w:tc>
          <w:tcPr>
            <w:tcW w:w="344" w:type="pct"/>
            <w:tcBorders>
              <w:top w:val="nil"/>
              <w:left w:val="nil"/>
              <w:bottom w:val="single" w:sz="12" w:space="0" w:color="auto"/>
              <w:right w:val="nil"/>
            </w:tcBorders>
            <w:shd w:val="clear" w:color="auto" w:fill="auto"/>
            <w:vAlign w:val="bottom"/>
          </w:tcPr>
          <w:p w14:paraId="36F82909" w14:textId="77777777" w:rsidR="00F92405" w:rsidRPr="00F92405" w:rsidRDefault="00F92405" w:rsidP="00F92405">
            <w:pPr>
              <w:tabs>
                <w:tab w:val="right" w:pos="1202"/>
              </w:tabs>
              <w:spacing w:after="0" w:line="301" w:lineRule="exact"/>
              <w:jc w:val="right"/>
              <w:outlineLvl w:val="0"/>
              <w:rPr>
                <w:rFonts w:ascii="Calibri" w:eastAsia="Calibri" w:hAnsi="Calibri" w:cs="Arial"/>
                <w:b/>
                <w:bCs/>
                <w:sz w:val="15"/>
                <w:szCs w:val="15"/>
                <w:lang w:val="en-GB"/>
              </w:rPr>
            </w:pPr>
            <w:r w:rsidRPr="00F92405">
              <w:rPr>
                <w:rFonts w:ascii="Calibri" w:eastAsia="Times New Roman" w:hAnsi="Calibri" w:cs="Times New Roman"/>
                <w:b/>
                <w:bCs/>
                <w:sz w:val="15"/>
                <w:szCs w:val="15"/>
                <w:lang w:val="en-US"/>
              </w:rPr>
              <w:t xml:space="preserve"> 27,874,400 </w:t>
            </w:r>
          </w:p>
        </w:tc>
        <w:tc>
          <w:tcPr>
            <w:tcW w:w="343" w:type="pct"/>
            <w:tcBorders>
              <w:top w:val="nil"/>
              <w:left w:val="nil"/>
              <w:bottom w:val="single" w:sz="12" w:space="0" w:color="auto"/>
              <w:right w:val="nil"/>
            </w:tcBorders>
            <w:vAlign w:val="bottom"/>
          </w:tcPr>
          <w:p w14:paraId="694B121D" w14:textId="77777777" w:rsidR="00F92405" w:rsidRPr="00F92405" w:rsidRDefault="00F92405" w:rsidP="00F92405">
            <w:pPr>
              <w:tabs>
                <w:tab w:val="right" w:pos="1202"/>
              </w:tabs>
              <w:spacing w:after="0" w:line="301" w:lineRule="exact"/>
              <w:jc w:val="right"/>
              <w:outlineLvl w:val="0"/>
              <w:rPr>
                <w:rFonts w:ascii="Calibri" w:eastAsia="Calibri" w:hAnsi="Calibri" w:cs="Arial"/>
                <w:b/>
                <w:bCs/>
                <w:sz w:val="15"/>
                <w:szCs w:val="15"/>
                <w:lang w:val="en-GB"/>
              </w:rPr>
            </w:pPr>
            <w:r w:rsidRPr="00F92405">
              <w:rPr>
                <w:rFonts w:ascii="Calibri" w:eastAsia="Times New Roman" w:hAnsi="Calibri" w:cs="Times New Roman"/>
                <w:b/>
                <w:bCs/>
                <w:sz w:val="15"/>
                <w:szCs w:val="15"/>
                <w:lang w:val="en-US"/>
              </w:rPr>
              <w:t xml:space="preserve"> 5,727,121 </w:t>
            </w:r>
          </w:p>
        </w:tc>
        <w:tc>
          <w:tcPr>
            <w:tcW w:w="344" w:type="pct"/>
            <w:tcBorders>
              <w:top w:val="nil"/>
              <w:left w:val="nil"/>
              <w:bottom w:val="single" w:sz="12" w:space="0" w:color="auto"/>
              <w:right w:val="nil"/>
            </w:tcBorders>
            <w:vAlign w:val="bottom"/>
          </w:tcPr>
          <w:p w14:paraId="0002C632" w14:textId="77777777" w:rsidR="00F92405" w:rsidRPr="00F92405" w:rsidRDefault="00F92405" w:rsidP="00F92405">
            <w:pPr>
              <w:tabs>
                <w:tab w:val="right" w:pos="1202"/>
              </w:tabs>
              <w:spacing w:after="0" w:line="301" w:lineRule="exact"/>
              <w:jc w:val="right"/>
              <w:outlineLvl w:val="0"/>
              <w:rPr>
                <w:rFonts w:ascii="Calibri" w:eastAsia="Calibri" w:hAnsi="Calibri" w:cs="Arial"/>
                <w:b/>
                <w:bCs/>
                <w:sz w:val="15"/>
                <w:szCs w:val="15"/>
                <w:lang w:val="en-GB"/>
              </w:rPr>
            </w:pPr>
            <w:r w:rsidRPr="00F92405">
              <w:rPr>
                <w:rFonts w:ascii="Calibri" w:eastAsia="Times New Roman" w:hAnsi="Calibri" w:cs="Times New Roman"/>
                <w:b/>
                <w:bCs/>
                <w:sz w:val="15"/>
                <w:szCs w:val="15"/>
                <w:lang w:val="en-US"/>
              </w:rPr>
              <w:t xml:space="preserve"> 92,804 </w:t>
            </w:r>
          </w:p>
        </w:tc>
        <w:tc>
          <w:tcPr>
            <w:tcW w:w="344" w:type="pct"/>
            <w:tcBorders>
              <w:top w:val="nil"/>
              <w:left w:val="nil"/>
              <w:bottom w:val="single" w:sz="12" w:space="0" w:color="auto"/>
              <w:right w:val="nil"/>
            </w:tcBorders>
            <w:vAlign w:val="bottom"/>
          </w:tcPr>
          <w:p w14:paraId="057A0F9C" w14:textId="77777777" w:rsidR="00F92405" w:rsidRPr="00F92405" w:rsidRDefault="00F92405" w:rsidP="00F92405">
            <w:pPr>
              <w:tabs>
                <w:tab w:val="right" w:pos="1202"/>
              </w:tabs>
              <w:spacing w:after="0" w:line="301" w:lineRule="exact"/>
              <w:jc w:val="right"/>
              <w:outlineLvl w:val="0"/>
              <w:rPr>
                <w:rFonts w:ascii="Calibri" w:eastAsia="Calibri" w:hAnsi="Calibri" w:cs="Arial"/>
                <w:b/>
                <w:bCs/>
                <w:sz w:val="15"/>
                <w:szCs w:val="15"/>
                <w:lang w:val="en-GB"/>
              </w:rPr>
            </w:pPr>
            <w:r w:rsidRPr="00F92405">
              <w:rPr>
                <w:rFonts w:ascii="Calibri" w:eastAsia="Times New Roman" w:hAnsi="Calibri" w:cs="Times New Roman"/>
                <w:b/>
                <w:bCs/>
                <w:sz w:val="15"/>
                <w:szCs w:val="15"/>
                <w:lang w:val="en-US"/>
              </w:rPr>
              <w:t xml:space="preserve"> 207,823 </w:t>
            </w:r>
          </w:p>
        </w:tc>
        <w:tc>
          <w:tcPr>
            <w:tcW w:w="343" w:type="pct"/>
            <w:tcBorders>
              <w:top w:val="nil"/>
              <w:left w:val="nil"/>
              <w:bottom w:val="single" w:sz="12" w:space="0" w:color="auto"/>
              <w:right w:val="nil"/>
            </w:tcBorders>
            <w:vAlign w:val="bottom"/>
          </w:tcPr>
          <w:p w14:paraId="36B583EE" w14:textId="77777777" w:rsidR="00F92405" w:rsidRPr="00F92405" w:rsidRDefault="00F92405" w:rsidP="00F92405">
            <w:pPr>
              <w:tabs>
                <w:tab w:val="right" w:pos="1202"/>
              </w:tabs>
              <w:spacing w:after="0" w:line="301" w:lineRule="exact"/>
              <w:jc w:val="right"/>
              <w:outlineLvl w:val="0"/>
              <w:rPr>
                <w:rFonts w:ascii="Calibri" w:eastAsia="Calibri" w:hAnsi="Calibri" w:cs="Arial"/>
                <w:b/>
                <w:bCs/>
                <w:sz w:val="15"/>
                <w:szCs w:val="15"/>
                <w:lang w:val="en-GB"/>
              </w:rPr>
            </w:pPr>
            <w:r w:rsidRPr="00F92405">
              <w:rPr>
                <w:rFonts w:ascii="Calibri" w:eastAsia="Times New Roman" w:hAnsi="Calibri" w:cs="Times New Roman"/>
                <w:b/>
                <w:bCs/>
                <w:sz w:val="15"/>
                <w:szCs w:val="15"/>
                <w:lang w:val="en-US"/>
              </w:rPr>
              <w:t xml:space="preserve"> 34,820 </w:t>
            </w:r>
          </w:p>
        </w:tc>
        <w:tc>
          <w:tcPr>
            <w:tcW w:w="344" w:type="pct"/>
            <w:tcBorders>
              <w:top w:val="nil"/>
              <w:left w:val="nil"/>
              <w:bottom w:val="single" w:sz="12" w:space="0" w:color="auto"/>
              <w:right w:val="nil"/>
            </w:tcBorders>
            <w:vAlign w:val="bottom"/>
          </w:tcPr>
          <w:p w14:paraId="6C9301DE" w14:textId="77777777" w:rsidR="00F92405" w:rsidRPr="00F92405" w:rsidRDefault="00F92405" w:rsidP="00F92405">
            <w:pPr>
              <w:tabs>
                <w:tab w:val="right" w:pos="1202"/>
              </w:tabs>
              <w:spacing w:after="0" w:line="301" w:lineRule="exact"/>
              <w:jc w:val="right"/>
              <w:outlineLvl w:val="0"/>
              <w:rPr>
                <w:rFonts w:ascii="Calibri" w:eastAsia="Calibri" w:hAnsi="Calibri" w:cs="Arial"/>
                <w:b/>
                <w:bCs/>
                <w:sz w:val="15"/>
                <w:szCs w:val="15"/>
                <w:lang w:val="en-GB"/>
              </w:rPr>
            </w:pPr>
            <w:r w:rsidRPr="00F92405">
              <w:rPr>
                <w:rFonts w:ascii="Calibri" w:eastAsia="Times New Roman" w:hAnsi="Calibri" w:cs="Times New Roman"/>
                <w:b/>
                <w:bCs/>
                <w:sz w:val="15"/>
                <w:szCs w:val="15"/>
                <w:lang w:val="en-US"/>
              </w:rPr>
              <w:t xml:space="preserve"> 16,375 </w:t>
            </w:r>
          </w:p>
        </w:tc>
        <w:tc>
          <w:tcPr>
            <w:tcW w:w="343" w:type="pct"/>
            <w:tcBorders>
              <w:top w:val="nil"/>
              <w:left w:val="nil"/>
              <w:bottom w:val="single" w:sz="12" w:space="0" w:color="auto"/>
              <w:right w:val="nil"/>
            </w:tcBorders>
            <w:vAlign w:val="bottom"/>
          </w:tcPr>
          <w:p w14:paraId="5EBBA286" w14:textId="77777777" w:rsidR="00F92405" w:rsidRPr="00F92405" w:rsidRDefault="00F92405" w:rsidP="00F92405">
            <w:pPr>
              <w:tabs>
                <w:tab w:val="right" w:pos="1202"/>
              </w:tabs>
              <w:spacing w:after="0" w:line="301" w:lineRule="exact"/>
              <w:jc w:val="right"/>
              <w:outlineLvl w:val="0"/>
              <w:rPr>
                <w:rFonts w:ascii="Calibri" w:eastAsia="Calibri" w:hAnsi="Calibri" w:cs="Arial"/>
                <w:b/>
                <w:bCs/>
                <w:sz w:val="15"/>
                <w:szCs w:val="15"/>
                <w:lang w:val="en-GB"/>
              </w:rPr>
            </w:pPr>
            <w:r w:rsidRPr="00F92405">
              <w:rPr>
                <w:rFonts w:ascii="Calibri" w:eastAsia="Times New Roman" w:hAnsi="Calibri" w:cs="Times New Roman"/>
                <w:b/>
                <w:bCs/>
                <w:sz w:val="15"/>
                <w:szCs w:val="15"/>
                <w:lang w:val="en-US"/>
              </w:rPr>
              <w:t xml:space="preserve"> 6,078,943 </w:t>
            </w:r>
          </w:p>
        </w:tc>
      </w:tr>
      <w:tr w:rsidR="00F92405" w:rsidRPr="00F92405" w14:paraId="243E62B8" w14:textId="77777777" w:rsidTr="00E44437">
        <w:trPr>
          <w:trHeight w:val="200"/>
          <w:jc w:val="center"/>
        </w:trPr>
        <w:tc>
          <w:tcPr>
            <w:tcW w:w="877" w:type="pct"/>
          </w:tcPr>
          <w:p w14:paraId="21C44C0E" w14:textId="77777777" w:rsidR="00F92405" w:rsidRPr="00F92405" w:rsidRDefault="00F92405" w:rsidP="00F92405">
            <w:pPr>
              <w:tabs>
                <w:tab w:val="right" w:pos="1202"/>
              </w:tabs>
              <w:spacing w:after="0" w:line="200" w:lineRule="exact"/>
              <w:outlineLvl w:val="0"/>
              <w:rPr>
                <w:rFonts w:ascii="Calibri" w:eastAsia="Calibri" w:hAnsi="Calibri" w:cs="Arial"/>
                <w:b/>
                <w:bCs/>
                <w:sz w:val="15"/>
                <w:szCs w:val="15"/>
                <w:lang w:val="en-GB"/>
              </w:rPr>
            </w:pPr>
            <w:r w:rsidRPr="00F92405">
              <w:rPr>
                <w:rFonts w:ascii="Calibri" w:eastAsia="Calibri" w:hAnsi="Calibri" w:cs="Arial"/>
                <w:b/>
                <w:bCs/>
                <w:sz w:val="15"/>
                <w:szCs w:val="15"/>
                <w:lang w:val="en-GB"/>
              </w:rPr>
              <w:t>Guarantees and commitments</w:t>
            </w:r>
          </w:p>
        </w:tc>
        <w:tc>
          <w:tcPr>
            <w:tcW w:w="343" w:type="pct"/>
            <w:tcBorders>
              <w:top w:val="nil"/>
              <w:left w:val="nil"/>
              <w:bottom w:val="nil"/>
              <w:right w:val="nil"/>
            </w:tcBorders>
            <w:shd w:val="clear" w:color="auto" w:fill="auto"/>
            <w:vAlign w:val="bottom"/>
          </w:tcPr>
          <w:p w14:paraId="02A686B0" w14:textId="77777777" w:rsidR="00F92405" w:rsidRPr="00F92405" w:rsidRDefault="00F92405" w:rsidP="00F92405">
            <w:pPr>
              <w:tabs>
                <w:tab w:val="right" w:pos="1202"/>
              </w:tabs>
              <w:spacing w:after="0" w:line="240" w:lineRule="auto"/>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shd w:val="clear" w:color="auto" w:fill="auto"/>
            <w:vAlign w:val="bottom"/>
          </w:tcPr>
          <w:p w14:paraId="4989B9FF" w14:textId="77777777" w:rsidR="00F92405" w:rsidRPr="00F92405" w:rsidRDefault="00F92405" w:rsidP="00F92405">
            <w:pPr>
              <w:tabs>
                <w:tab w:val="right" w:pos="1202"/>
              </w:tabs>
              <w:spacing w:after="0" w:line="240" w:lineRule="auto"/>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shd w:val="clear" w:color="auto" w:fill="auto"/>
            <w:vAlign w:val="bottom"/>
          </w:tcPr>
          <w:p w14:paraId="43B13DFC" w14:textId="77777777" w:rsidR="00F92405" w:rsidRPr="00F92405" w:rsidRDefault="00F92405" w:rsidP="00F92405">
            <w:pPr>
              <w:tabs>
                <w:tab w:val="right" w:pos="1202"/>
              </w:tabs>
              <w:spacing w:after="0" w:line="240" w:lineRule="auto"/>
              <w:jc w:val="right"/>
              <w:outlineLvl w:val="0"/>
              <w:rPr>
                <w:rFonts w:ascii="Calibri" w:eastAsia="Calibri" w:hAnsi="Calibri" w:cs="Arial"/>
                <w:snapToGrid w:val="0"/>
                <w:sz w:val="15"/>
                <w:szCs w:val="15"/>
                <w:lang w:val="en-GB"/>
              </w:rPr>
            </w:pPr>
          </w:p>
        </w:tc>
        <w:tc>
          <w:tcPr>
            <w:tcW w:w="343" w:type="pct"/>
            <w:tcBorders>
              <w:top w:val="nil"/>
              <w:left w:val="nil"/>
              <w:bottom w:val="nil"/>
              <w:right w:val="nil"/>
            </w:tcBorders>
            <w:shd w:val="clear" w:color="auto" w:fill="auto"/>
            <w:vAlign w:val="bottom"/>
          </w:tcPr>
          <w:p w14:paraId="01A3CEEF" w14:textId="77777777" w:rsidR="00F92405" w:rsidRPr="00F92405" w:rsidRDefault="00F92405" w:rsidP="00F92405">
            <w:pPr>
              <w:tabs>
                <w:tab w:val="right" w:pos="1202"/>
              </w:tabs>
              <w:spacing w:after="0" w:line="240" w:lineRule="auto"/>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shd w:val="clear" w:color="auto" w:fill="auto"/>
            <w:vAlign w:val="bottom"/>
          </w:tcPr>
          <w:p w14:paraId="044646E6" w14:textId="77777777" w:rsidR="00F92405" w:rsidRPr="00F92405" w:rsidRDefault="00F92405" w:rsidP="00F92405">
            <w:pPr>
              <w:tabs>
                <w:tab w:val="right" w:pos="1202"/>
              </w:tabs>
              <w:spacing w:after="0" w:line="240" w:lineRule="auto"/>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shd w:val="clear" w:color="auto" w:fill="auto"/>
            <w:vAlign w:val="bottom"/>
          </w:tcPr>
          <w:p w14:paraId="171A8F25" w14:textId="77777777" w:rsidR="00F92405" w:rsidRPr="00F92405" w:rsidRDefault="00F92405" w:rsidP="00F92405">
            <w:pPr>
              <w:tabs>
                <w:tab w:val="right" w:pos="1202"/>
              </w:tabs>
              <w:spacing w:after="0" w:line="240" w:lineRule="auto"/>
              <w:jc w:val="right"/>
              <w:outlineLvl w:val="0"/>
              <w:rPr>
                <w:rFonts w:ascii="Calibri" w:eastAsia="Calibri" w:hAnsi="Calibri" w:cs="Arial"/>
                <w:snapToGrid w:val="0"/>
                <w:sz w:val="15"/>
                <w:szCs w:val="15"/>
                <w:lang w:val="en-GB"/>
              </w:rPr>
            </w:pPr>
          </w:p>
        </w:tc>
        <w:tc>
          <w:tcPr>
            <w:tcW w:w="343" w:type="pct"/>
            <w:tcBorders>
              <w:top w:val="nil"/>
              <w:left w:val="nil"/>
              <w:bottom w:val="nil"/>
              <w:right w:val="nil"/>
            </w:tcBorders>
            <w:vAlign w:val="bottom"/>
          </w:tcPr>
          <w:p w14:paraId="70F23625" w14:textId="77777777" w:rsidR="00F92405" w:rsidRPr="00F92405" w:rsidRDefault="00F92405" w:rsidP="00F92405">
            <w:pPr>
              <w:tabs>
                <w:tab w:val="right" w:pos="1202"/>
              </w:tabs>
              <w:spacing w:after="0" w:line="240" w:lineRule="auto"/>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vAlign w:val="bottom"/>
          </w:tcPr>
          <w:p w14:paraId="171410C0" w14:textId="77777777" w:rsidR="00F92405" w:rsidRPr="00F92405" w:rsidRDefault="00F92405" w:rsidP="00F92405">
            <w:pPr>
              <w:tabs>
                <w:tab w:val="right" w:pos="1202"/>
              </w:tabs>
              <w:spacing w:after="0" w:line="240" w:lineRule="auto"/>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vAlign w:val="bottom"/>
          </w:tcPr>
          <w:p w14:paraId="77D36399" w14:textId="77777777" w:rsidR="00F92405" w:rsidRPr="00F92405" w:rsidRDefault="00F92405" w:rsidP="00F92405">
            <w:pPr>
              <w:tabs>
                <w:tab w:val="right" w:pos="1202"/>
              </w:tabs>
              <w:spacing w:after="0" w:line="240" w:lineRule="auto"/>
              <w:jc w:val="right"/>
              <w:outlineLvl w:val="0"/>
              <w:rPr>
                <w:rFonts w:ascii="Calibri" w:eastAsia="Calibri" w:hAnsi="Calibri" w:cs="Arial"/>
                <w:snapToGrid w:val="0"/>
                <w:sz w:val="15"/>
                <w:szCs w:val="15"/>
                <w:lang w:val="en-GB"/>
              </w:rPr>
            </w:pPr>
          </w:p>
        </w:tc>
        <w:tc>
          <w:tcPr>
            <w:tcW w:w="343" w:type="pct"/>
            <w:tcBorders>
              <w:top w:val="nil"/>
              <w:left w:val="nil"/>
              <w:bottom w:val="nil"/>
              <w:right w:val="nil"/>
            </w:tcBorders>
            <w:vAlign w:val="bottom"/>
          </w:tcPr>
          <w:p w14:paraId="03A0DA39" w14:textId="77777777" w:rsidR="00F92405" w:rsidRPr="00F92405" w:rsidRDefault="00F92405" w:rsidP="00F92405">
            <w:pPr>
              <w:tabs>
                <w:tab w:val="right" w:pos="1202"/>
              </w:tabs>
              <w:spacing w:after="0" w:line="240" w:lineRule="auto"/>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vAlign w:val="bottom"/>
          </w:tcPr>
          <w:p w14:paraId="4CE07713" w14:textId="77777777" w:rsidR="00F92405" w:rsidRPr="00F92405" w:rsidRDefault="00F92405" w:rsidP="00F92405">
            <w:pPr>
              <w:tabs>
                <w:tab w:val="right" w:pos="1202"/>
              </w:tabs>
              <w:spacing w:after="0" w:line="240" w:lineRule="auto"/>
              <w:jc w:val="right"/>
              <w:outlineLvl w:val="0"/>
              <w:rPr>
                <w:rFonts w:ascii="Calibri" w:eastAsia="Calibri" w:hAnsi="Calibri" w:cs="Arial"/>
                <w:snapToGrid w:val="0"/>
                <w:sz w:val="15"/>
                <w:szCs w:val="15"/>
                <w:lang w:val="en-GB"/>
              </w:rPr>
            </w:pPr>
          </w:p>
        </w:tc>
        <w:tc>
          <w:tcPr>
            <w:tcW w:w="343" w:type="pct"/>
            <w:tcBorders>
              <w:top w:val="nil"/>
              <w:left w:val="nil"/>
              <w:bottom w:val="nil"/>
              <w:right w:val="nil"/>
            </w:tcBorders>
            <w:vAlign w:val="bottom"/>
          </w:tcPr>
          <w:p w14:paraId="5A4500D9" w14:textId="77777777" w:rsidR="00F92405" w:rsidRPr="00F92405" w:rsidRDefault="00F92405" w:rsidP="00F92405">
            <w:pPr>
              <w:tabs>
                <w:tab w:val="right" w:pos="1202"/>
              </w:tabs>
              <w:spacing w:after="0" w:line="240" w:lineRule="auto"/>
              <w:jc w:val="right"/>
              <w:outlineLvl w:val="0"/>
              <w:rPr>
                <w:rFonts w:ascii="Calibri" w:eastAsia="Calibri" w:hAnsi="Calibri" w:cs="Arial"/>
                <w:snapToGrid w:val="0"/>
                <w:sz w:val="15"/>
                <w:szCs w:val="15"/>
                <w:lang w:val="en-GB"/>
              </w:rPr>
            </w:pPr>
          </w:p>
        </w:tc>
      </w:tr>
      <w:tr w:rsidR="00F92405" w:rsidRPr="00F92405" w14:paraId="2E7088B5" w14:textId="77777777" w:rsidTr="00E44437">
        <w:trPr>
          <w:trHeight w:val="200"/>
          <w:jc w:val="center"/>
        </w:trPr>
        <w:tc>
          <w:tcPr>
            <w:tcW w:w="877" w:type="pct"/>
            <w:vAlign w:val="bottom"/>
          </w:tcPr>
          <w:p w14:paraId="085DF72D" w14:textId="77777777" w:rsidR="00F92405" w:rsidRPr="00F92405" w:rsidRDefault="00F92405" w:rsidP="00F92405">
            <w:pPr>
              <w:tabs>
                <w:tab w:val="right" w:pos="1202"/>
              </w:tabs>
              <w:spacing w:after="0" w:line="240" w:lineRule="auto"/>
              <w:outlineLvl w:val="0"/>
              <w:rPr>
                <w:rFonts w:ascii="Calibri" w:eastAsia="Calibri" w:hAnsi="Calibri" w:cs="Times New Roman"/>
                <w:sz w:val="15"/>
                <w:szCs w:val="15"/>
                <w:lang w:val="en-GB"/>
              </w:rPr>
            </w:pPr>
            <w:r w:rsidRPr="00F92405">
              <w:rPr>
                <w:rFonts w:ascii="Calibri" w:eastAsia="Calibri" w:hAnsi="Calibri" w:cs="Times New Roman"/>
                <w:sz w:val="15"/>
                <w:szCs w:val="15"/>
                <w:lang w:val="en-GB"/>
              </w:rPr>
              <w:t>Guarantees issued in HRK</w:t>
            </w:r>
          </w:p>
        </w:tc>
        <w:tc>
          <w:tcPr>
            <w:tcW w:w="343" w:type="pct"/>
            <w:tcBorders>
              <w:top w:val="nil"/>
              <w:left w:val="nil"/>
              <w:bottom w:val="nil"/>
              <w:right w:val="nil"/>
            </w:tcBorders>
            <w:shd w:val="clear" w:color="auto" w:fill="auto"/>
            <w:vAlign w:val="bottom"/>
          </w:tcPr>
          <w:p w14:paraId="17E03405"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71,262 </w:t>
            </w:r>
          </w:p>
        </w:tc>
        <w:tc>
          <w:tcPr>
            <w:tcW w:w="344" w:type="pct"/>
            <w:tcBorders>
              <w:top w:val="nil"/>
              <w:left w:val="nil"/>
              <w:bottom w:val="nil"/>
              <w:right w:val="nil"/>
            </w:tcBorders>
            <w:shd w:val="clear" w:color="auto" w:fill="auto"/>
            <w:vAlign w:val="bottom"/>
          </w:tcPr>
          <w:p w14:paraId="0F385FEA"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22,713 </w:t>
            </w:r>
          </w:p>
        </w:tc>
        <w:tc>
          <w:tcPr>
            <w:tcW w:w="344" w:type="pct"/>
            <w:tcBorders>
              <w:top w:val="nil"/>
              <w:left w:val="nil"/>
              <w:bottom w:val="nil"/>
              <w:right w:val="nil"/>
            </w:tcBorders>
            <w:shd w:val="clear" w:color="auto" w:fill="auto"/>
            <w:vAlign w:val="bottom"/>
          </w:tcPr>
          <w:p w14:paraId="00C43B0D"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46,138 </w:t>
            </w:r>
          </w:p>
        </w:tc>
        <w:tc>
          <w:tcPr>
            <w:tcW w:w="343" w:type="pct"/>
            <w:tcBorders>
              <w:top w:val="nil"/>
              <w:left w:val="nil"/>
              <w:bottom w:val="nil"/>
              <w:right w:val="nil"/>
            </w:tcBorders>
            <w:shd w:val="clear" w:color="auto" w:fill="auto"/>
            <w:vAlign w:val="bottom"/>
          </w:tcPr>
          <w:p w14:paraId="031A0731"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18928F63"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49938ADD"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140,113 </w:t>
            </w:r>
          </w:p>
        </w:tc>
        <w:tc>
          <w:tcPr>
            <w:tcW w:w="343" w:type="pct"/>
            <w:tcBorders>
              <w:top w:val="nil"/>
              <w:left w:val="nil"/>
              <w:bottom w:val="nil"/>
              <w:right w:val="nil"/>
            </w:tcBorders>
            <w:vAlign w:val="bottom"/>
          </w:tcPr>
          <w:p w14:paraId="3C430CD3"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30,516 </w:t>
            </w:r>
          </w:p>
        </w:tc>
        <w:tc>
          <w:tcPr>
            <w:tcW w:w="344" w:type="pct"/>
            <w:tcBorders>
              <w:top w:val="nil"/>
              <w:left w:val="nil"/>
              <w:bottom w:val="nil"/>
              <w:right w:val="nil"/>
            </w:tcBorders>
            <w:vAlign w:val="bottom"/>
          </w:tcPr>
          <w:p w14:paraId="734FD636"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18,957 </w:t>
            </w:r>
          </w:p>
        </w:tc>
        <w:tc>
          <w:tcPr>
            <w:tcW w:w="344" w:type="pct"/>
            <w:tcBorders>
              <w:top w:val="nil"/>
              <w:left w:val="nil"/>
              <w:bottom w:val="nil"/>
              <w:right w:val="nil"/>
            </w:tcBorders>
            <w:vAlign w:val="bottom"/>
          </w:tcPr>
          <w:p w14:paraId="58D9D478"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20,938 </w:t>
            </w:r>
          </w:p>
        </w:tc>
        <w:tc>
          <w:tcPr>
            <w:tcW w:w="343" w:type="pct"/>
            <w:tcBorders>
              <w:top w:val="nil"/>
              <w:left w:val="nil"/>
              <w:bottom w:val="nil"/>
              <w:right w:val="nil"/>
            </w:tcBorders>
            <w:vAlign w:val="bottom"/>
          </w:tcPr>
          <w:p w14:paraId="37B8ED5D"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 </w:t>
            </w:r>
          </w:p>
        </w:tc>
        <w:tc>
          <w:tcPr>
            <w:tcW w:w="344" w:type="pct"/>
            <w:tcBorders>
              <w:top w:val="nil"/>
              <w:left w:val="nil"/>
              <w:bottom w:val="nil"/>
              <w:right w:val="nil"/>
            </w:tcBorders>
            <w:vAlign w:val="bottom"/>
          </w:tcPr>
          <w:p w14:paraId="4C76E698"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 </w:t>
            </w:r>
          </w:p>
        </w:tc>
        <w:tc>
          <w:tcPr>
            <w:tcW w:w="343" w:type="pct"/>
            <w:tcBorders>
              <w:top w:val="nil"/>
              <w:left w:val="nil"/>
              <w:bottom w:val="nil"/>
              <w:right w:val="nil"/>
            </w:tcBorders>
            <w:vAlign w:val="bottom"/>
          </w:tcPr>
          <w:p w14:paraId="08793EF2"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70,411 </w:t>
            </w:r>
          </w:p>
        </w:tc>
      </w:tr>
      <w:tr w:rsidR="00F92405" w:rsidRPr="00F92405" w14:paraId="401AA8F8" w14:textId="77777777" w:rsidTr="00E44437">
        <w:trPr>
          <w:trHeight w:val="200"/>
          <w:jc w:val="center"/>
        </w:trPr>
        <w:tc>
          <w:tcPr>
            <w:tcW w:w="877" w:type="pct"/>
            <w:vAlign w:val="bottom"/>
          </w:tcPr>
          <w:p w14:paraId="2E394379" w14:textId="77777777" w:rsidR="00F92405" w:rsidRPr="00F92405" w:rsidRDefault="00F92405" w:rsidP="00F92405">
            <w:pPr>
              <w:tabs>
                <w:tab w:val="right" w:pos="1202"/>
              </w:tabs>
              <w:spacing w:after="0" w:line="240" w:lineRule="auto"/>
              <w:outlineLvl w:val="0"/>
              <w:rPr>
                <w:rFonts w:ascii="Calibri" w:eastAsia="Calibri" w:hAnsi="Calibri" w:cs="Times New Roman"/>
                <w:sz w:val="15"/>
                <w:szCs w:val="15"/>
                <w:lang w:val="en-GB"/>
              </w:rPr>
            </w:pPr>
            <w:r w:rsidRPr="00F92405">
              <w:rPr>
                <w:rFonts w:ascii="Calibri" w:eastAsia="Calibri" w:hAnsi="Calibri" w:cs="Times New Roman"/>
                <w:sz w:val="15"/>
                <w:szCs w:val="15"/>
                <w:lang w:val="en-GB"/>
              </w:rPr>
              <w:t>Issued guarantees in foreign currency</w:t>
            </w:r>
          </w:p>
        </w:tc>
        <w:tc>
          <w:tcPr>
            <w:tcW w:w="343" w:type="pct"/>
            <w:tcBorders>
              <w:top w:val="nil"/>
              <w:left w:val="nil"/>
              <w:bottom w:val="nil"/>
              <w:right w:val="nil"/>
            </w:tcBorders>
            <w:shd w:val="clear" w:color="auto" w:fill="auto"/>
            <w:vAlign w:val="bottom"/>
          </w:tcPr>
          <w:p w14:paraId="65DE49E1"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62,694 </w:t>
            </w:r>
          </w:p>
        </w:tc>
        <w:tc>
          <w:tcPr>
            <w:tcW w:w="344" w:type="pct"/>
            <w:tcBorders>
              <w:top w:val="nil"/>
              <w:left w:val="nil"/>
              <w:bottom w:val="nil"/>
              <w:right w:val="nil"/>
            </w:tcBorders>
            <w:shd w:val="clear" w:color="auto" w:fill="auto"/>
            <w:vAlign w:val="bottom"/>
          </w:tcPr>
          <w:p w14:paraId="1BC51D2C"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377 </w:t>
            </w:r>
          </w:p>
        </w:tc>
        <w:tc>
          <w:tcPr>
            <w:tcW w:w="344" w:type="pct"/>
            <w:tcBorders>
              <w:top w:val="nil"/>
              <w:left w:val="nil"/>
              <w:bottom w:val="nil"/>
              <w:right w:val="nil"/>
            </w:tcBorders>
            <w:shd w:val="clear" w:color="auto" w:fill="auto"/>
            <w:vAlign w:val="bottom"/>
          </w:tcPr>
          <w:p w14:paraId="73FCF20E"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197,634 </w:t>
            </w:r>
          </w:p>
        </w:tc>
        <w:tc>
          <w:tcPr>
            <w:tcW w:w="343" w:type="pct"/>
            <w:tcBorders>
              <w:top w:val="nil"/>
              <w:left w:val="nil"/>
              <w:bottom w:val="nil"/>
              <w:right w:val="nil"/>
            </w:tcBorders>
            <w:shd w:val="clear" w:color="auto" w:fill="auto"/>
            <w:vAlign w:val="bottom"/>
          </w:tcPr>
          <w:p w14:paraId="49DEF174"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08E1DE6A"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5C1E31DE"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260,705 </w:t>
            </w:r>
          </w:p>
        </w:tc>
        <w:tc>
          <w:tcPr>
            <w:tcW w:w="343" w:type="pct"/>
            <w:tcBorders>
              <w:top w:val="nil"/>
              <w:left w:val="nil"/>
              <w:bottom w:val="nil"/>
              <w:right w:val="nil"/>
            </w:tcBorders>
            <w:vAlign w:val="bottom"/>
          </w:tcPr>
          <w:p w14:paraId="0D6BF5AE"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49,764 </w:t>
            </w:r>
          </w:p>
        </w:tc>
        <w:tc>
          <w:tcPr>
            <w:tcW w:w="344" w:type="pct"/>
            <w:tcBorders>
              <w:top w:val="nil"/>
              <w:left w:val="nil"/>
              <w:bottom w:val="nil"/>
              <w:right w:val="nil"/>
            </w:tcBorders>
            <w:vAlign w:val="bottom"/>
          </w:tcPr>
          <w:p w14:paraId="01BCDA7F"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 </w:t>
            </w:r>
          </w:p>
        </w:tc>
        <w:tc>
          <w:tcPr>
            <w:tcW w:w="344" w:type="pct"/>
            <w:tcBorders>
              <w:top w:val="nil"/>
              <w:left w:val="nil"/>
              <w:bottom w:val="nil"/>
              <w:right w:val="nil"/>
            </w:tcBorders>
            <w:vAlign w:val="bottom"/>
          </w:tcPr>
          <w:p w14:paraId="4516FC26"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71,433 </w:t>
            </w:r>
          </w:p>
        </w:tc>
        <w:tc>
          <w:tcPr>
            <w:tcW w:w="343" w:type="pct"/>
            <w:tcBorders>
              <w:top w:val="nil"/>
              <w:left w:val="nil"/>
              <w:bottom w:val="nil"/>
              <w:right w:val="nil"/>
            </w:tcBorders>
            <w:vAlign w:val="bottom"/>
          </w:tcPr>
          <w:p w14:paraId="1DD4189F"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 </w:t>
            </w:r>
          </w:p>
        </w:tc>
        <w:tc>
          <w:tcPr>
            <w:tcW w:w="344" w:type="pct"/>
            <w:tcBorders>
              <w:top w:val="nil"/>
              <w:left w:val="nil"/>
              <w:bottom w:val="nil"/>
              <w:right w:val="nil"/>
            </w:tcBorders>
            <w:vAlign w:val="bottom"/>
          </w:tcPr>
          <w:p w14:paraId="6CC15BEF"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 </w:t>
            </w:r>
          </w:p>
        </w:tc>
        <w:tc>
          <w:tcPr>
            <w:tcW w:w="343" w:type="pct"/>
            <w:tcBorders>
              <w:top w:val="nil"/>
              <w:left w:val="nil"/>
              <w:bottom w:val="nil"/>
              <w:right w:val="nil"/>
            </w:tcBorders>
            <w:vAlign w:val="bottom"/>
          </w:tcPr>
          <w:p w14:paraId="50F0C74D"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121,197 </w:t>
            </w:r>
          </w:p>
        </w:tc>
      </w:tr>
      <w:tr w:rsidR="00F92405" w:rsidRPr="00F92405" w14:paraId="79F6B1BB" w14:textId="77777777" w:rsidTr="00E44437">
        <w:trPr>
          <w:trHeight w:val="200"/>
          <w:jc w:val="center"/>
        </w:trPr>
        <w:tc>
          <w:tcPr>
            <w:tcW w:w="877" w:type="pct"/>
            <w:vAlign w:val="bottom"/>
          </w:tcPr>
          <w:p w14:paraId="59D0FD52" w14:textId="77777777" w:rsidR="00F92405" w:rsidRPr="00F92405" w:rsidRDefault="00F92405" w:rsidP="00F92405">
            <w:pPr>
              <w:tabs>
                <w:tab w:val="right" w:pos="1202"/>
              </w:tabs>
              <w:spacing w:after="0" w:line="240" w:lineRule="auto"/>
              <w:outlineLvl w:val="0"/>
              <w:rPr>
                <w:rFonts w:ascii="Calibri" w:eastAsia="Calibri" w:hAnsi="Calibri" w:cs="Times New Roman"/>
                <w:sz w:val="15"/>
                <w:szCs w:val="15"/>
                <w:lang w:val="en-GB"/>
              </w:rPr>
            </w:pPr>
            <w:r w:rsidRPr="00F92405">
              <w:rPr>
                <w:rFonts w:ascii="Calibri" w:eastAsia="Calibri" w:hAnsi="Calibri" w:cs="Times New Roman"/>
                <w:sz w:val="15"/>
                <w:szCs w:val="15"/>
                <w:lang w:val="en-GB"/>
              </w:rPr>
              <w:t xml:space="preserve">Undrawn loans </w:t>
            </w:r>
          </w:p>
        </w:tc>
        <w:tc>
          <w:tcPr>
            <w:tcW w:w="343" w:type="pct"/>
            <w:tcBorders>
              <w:top w:val="nil"/>
              <w:left w:val="nil"/>
              <w:bottom w:val="single" w:sz="6" w:space="0" w:color="auto"/>
              <w:right w:val="nil"/>
            </w:tcBorders>
            <w:shd w:val="clear" w:color="auto" w:fill="auto"/>
            <w:vAlign w:val="bottom"/>
          </w:tcPr>
          <w:p w14:paraId="41931AB7"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3,167,285 </w:t>
            </w:r>
          </w:p>
        </w:tc>
        <w:tc>
          <w:tcPr>
            <w:tcW w:w="344" w:type="pct"/>
            <w:tcBorders>
              <w:top w:val="nil"/>
              <w:left w:val="nil"/>
              <w:bottom w:val="single" w:sz="6" w:space="0" w:color="auto"/>
              <w:right w:val="nil"/>
            </w:tcBorders>
            <w:shd w:val="clear" w:color="auto" w:fill="auto"/>
            <w:vAlign w:val="bottom"/>
          </w:tcPr>
          <w:p w14:paraId="4374B5D9"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253,401 </w:t>
            </w:r>
          </w:p>
        </w:tc>
        <w:tc>
          <w:tcPr>
            <w:tcW w:w="344" w:type="pct"/>
            <w:tcBorders>
              <w:top w:val="nil"/>
              <w:left w:val="nil"/>
              <w:bottom w:val="single" w:sz="6" w:space="0" w:color="auto"/>
              <w:right w:val="nil"/>
            </w:tcBorders>
            <w:shd w:val="clear" w:color="auto" w:fill="auto"/>
            <w:vAlign w:val="bottom"/>
          </w:tcPr>
          <w:p w14:paraId="6F7117BA"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 </w:t>
            </w:r>
          </w:p>
        </w:tc>
        <w:tc>
          <w:tcPr>
            <w:tcW w:w="343" w:type="pct"/>
            <w:tcBorders>
              <w:top w:val="nil"/>
              <w:left w:val="nil"/>
              <w:bottom w:val="single" w:sz="6" w:space="0" w:color="auto"/>
              <w:right w:val="nil"/>
            </w:tcBorders>
            <w:shd w:val="clear" w:color="auto" w:fill="auto"/>
            <w:vAlign w:val="bottom"/>
          </w:tcPr>
          <w:p w14:paraId="60A828DD"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36,605 </w:t>
            </w:r>
          </w:p>
        </w:tc>
        <w:tc>
          <w:tcPr>
            <w:tcW w:w="344" w:type="pct"/>
            <w:tcBorders>
              <w:top w:val="nil"/>
              <w:left w:val="nil"/>
              <w:bottom w:val="single" w:sz="6" w:space="0" w:color="auto"/>
              <w:right w:val="nil"/>
            </w:tcBorders>
            <w:shd w:val="clear" w:color="auto" w:fill="auto"/>
            <w:vAlign w:val="bottom"/>
          </w:tcPr>
          <w:p w14:paraId="2E348E83"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 </w:t>
            </w:r>
          </w:p>
        </w:tc>
        <w:tc>
          <w:tcPr>
            <w:tcW w:w="344" w:type="pct"/>
            <w:tcBorders>
              <w:top w:val="nil"/>
              <w:left w:val="nil"/>
              <w:bottom w:val="single" w:sz="6" w:space="0" w:color="auto"/>
              <w:right w:val="nil"/>
            </w:tcBorders>
            <w:shd w:val="clear" w:color="auto" w:fill="auto"/>
            <w:vAlign w:val="bottom"/>
          </w:tcPr>
          <w:p w14:paraId="314C0478"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3,457,291 </w:t>
            </w:r>
          </w:p>
        </w:tc>
        <w:tc>
          <w:tcPr>
            <w:tcW w:w="343" w:type="pct"/>
            <w:tcBorders>
              <w:top w:val="nil"/>
              <w:left w:val="nil"/>
              <w:bottom w:val="single" w:sz="6" w:space="0" w:color="auto"/>
              <w:right w:val="nil"/>
            </w:tcBorders>
            <w:vAlign w:val="bottom"/>
          </w:tcPr>
          <w:p w14:paraId="4C543101"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282,102 </w:t>
            </w:r>
          </w:p>
        </w:tc>
        <w:tc>
          <w:tcPr>
            <w:tcW w:w="344" w:type="pct"/>
            <w:tcBorders>
              <w:top w:val="nil"/>
              <w:left w:val="nil"/>
              <w:bottom w:val="single" w:sz="6" w:space="0" w:color="auto"/>
              <w:right w:val="nil"/>
            </w:tcBorders>
            <w:vAlign w:val="bottom"/>
          </w:tcPr>
          <w:p w14:paraId="54E8E328"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140,095 </w:t>
            </w:r>
          </w:p>
        </w:tc>
        <w:tc>
          <w:tcPr>
            <w:tcW w:w="344" w:type="pct"/>
            <w:tcBorders>
              <w:top w:val="nil"/>
              <w:left w:val="nil"/>
              <w:bottom w:val="single" w:sz="6" w:space="0" w:color="auto"/>
              <w:right w:val="nil"/>
            </w:tcBorders>
            <w:vAlign w:val="bottom"/>
          </w:tcPr>
          <w:p w14:paraId="055F4FAD"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 </w:t>
            </w:r>
          </w:p>
        </w:tc>
        <w:tc>
          <w:tcPr>
            <w:tcW w:w="343" w:type="pct"/>
            <w:tcBorders>
              <w:top w:val="nil"/>
              <w:left w:val="nil"/>
              <w:bottom w:val="single" w:sz="6" w:space="0" w:color="auto"/>
              <w:right w:val="nil"/>
            </w:tcBorders>
            <w:vAlign w:val="bottom"/>
          </w:tcPr>
          <w:p w14:paraId="348040AB"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782 </w:t>
            </w:r>
          </w:p>
        </w:tc>
        <w:tc>
          <w:tcPr>
            <w:tcW w:w="344" w:type="pct"/>
            <w:tcBorders>
              <w:top w:val="nil"/>
              <w:left w:val="nil"/>
              <w:bottom w:val="single" w:sz="6" w:space="0" w:color="auto"/>
              <w:right w:val="nil"/>
            </w:tcBorders>
            <w:vAlign w:val="bottom"/>
          </w:tcPr>
          <w:p w14:paraId="373DA907"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 </w:t>
            </w:r>
          </w:p>
        </w:tc>
        <w:tc>
          <w:tcPr>
            <w:tcW w:w="343" w:type="pct"/>
            <w:tcBorders>
              <w:top w:val="nil"/>
              <w:left w:val="nil"/>
              <w:bottom w:val="single" w:sz="6" w:space="0" w:color="auto"/>
              <w:right w:val="nil"/>
            </w:tcBorders>
            <w:vAlign w:val="bottom"/>
          </w:tcPr>
          <w:p w14:paraId="538A4144" w14:textId="77777777" w:rsidR="00F92405" w:rsidRPr="00F92405" w:rsidRDefault="00F92405" w:rsidP="00F92405">
            <w:pPr>
              <w:spacing w:after="0" w:line="240" w:lineRule="auto"/>
              <w:jc w:val="right"/>
              <w:rPr>
                <w:rFonts w:ascii="Calibri" w:eastAsia="Calibri" w:hAnsi="Calibri" w:cs="Arial"/>
                <w:sz w:val="15"/>
                <w:szCs w:val="15"/>
                <w:lang w:val="en-GB"/>
              </w:rPr>
            </w:pPr>
            <w:r w:rsidRPr="00F92405">
              <w:rPr>
                <w:rFonts w:ascii="Calibri" w:eastAsia="Times New Roman" w:hAnsi="Calibri" w:cs="Times New Roman"/>
                <w:sz w:val="15"/>
                <w:szCs w:val="15"/>
                <w:lang w:val="en-US"/>
              </w:rPr>
              <w:t xml:space="preserve"> 422,979 </w:t>
            </w:r>
          </w:p>
        </w:tc>
      </w:tr>
      <w:tr w:rsidR="00F92405" w:rsidRPr="00F92405" w14:paraId="07F99D26" w14:textId="77777777" w:rsidTr="00E44437">
        <w:trPr>
          <w:trHeight w:val="145"/>
          <w:jc w:val="center"/>
        </w:trPr>
        <w:tc>
          <w:tcPr>
            <w:tcW w:w="877" w:type="pct"/>
            <w:vAlign w:val="bottom"/>
          </w:tcPr>
          <w:p w14:paraId="080D3F95" w14:textId="77777777" w:rsidR="00F92405" w:rsidRPr="00F92405" w:rsidRDefault="00F92405" w:rsidP="00F92405">
            <w:pPr>
              <w:tabs>
                <w:tab w:val="right" w:pos="1202"/>
              </w:tabs>
              <w:spacing w:after="0" w:line="200" w:lineRule="exact"/>
              <w:outlineLvl w:val="0"/>
              <w:rPr>
                <w:rFonts w:ascii="Calibri" w:eastAsia="Calibri" w:hAnsi="Calibri" w:cs="Arial"/>
                <w:b/>
                <w:bCs/>
                <w:sz w:val="15"/>
                <w:szCs w:val="15"/>
                <w:lang w:val="en-GB"/>
              </w:rPr>
            </w:pPr>
            <w:r w:rsidRPr="00F92405">
              <w:rPr>
                <w:rFonts w:ascii="Calibri" w:eastAsia="Calibri" w:hAnsi="Calibri" w:cs="Arial"/>
                <w:b/>
                <w:bCs/>
                <w:sz w:val="15"/>
                <w:szCs w:val="15"/>
                <w:lang w:val="en-GB"/>
              </w:rPr>
              <w:t xml:space="preserve">Total </w:t>
            </w:r>
          </w:p>
        </w:tc>
        <w:tc>
          <w:tcPr>
            <w:tcW w:w="343" w:type="pct"/>
            <w:tcBorders>
              <w:top w:val="single" w:sz="6" w:space="0" w:color="auto"/>
              <w:left w:val="nil"/>
              <w:bottom w:val="single" w:sz="12" w:space="0" w:color="auto"/>
              <w:right w:val="nil"/>
            </w:tcBorders>
            <w:shd w:val="clear" w:color="auto" w:fill="auto"/>
            <w:vAlign w:val="bottom"/>
          </w:tcPr>
          <w:p w14:paraId="7F4CF949" w14:textId="77777777" w:rsidR="00F92405" w:rsidRPr="00F92405" w:rsidRDefault="00F92405" w:rsidP="00F92405">
            <w:pPr>
              <w:spacing w:after="0" w:line="301" w:lineRule="exact"/>
              <w:jc w:val="right"/>
              <w:rPr>
                <w:rFonts w:ascii="Calibri" w:eastAsia="Calibri" w:hAnsi="Calibri" w:cs="Arial"/>
                <w:b/>
                <w:bCs/>
                <w:sz w:val="15"/>
                <w:szCs w:val="15"/>
                <w:lang w:val="en-GB"/>
              </w:rPr>
            </w:pPr>
            <w:r w:rsidRPr="00F92405">
              <w:rPr>
                <w:rFonts w:ascii="Calibri" w:eastAsia="Times New Roman" w:hAnsi="Calibri" w:cs="Times New Roman"/>
                <w:b/>
                <w:bCs/>
                <w:sz w:val="15"/>
                <w:szCs w:val="15"/>
                <w:lang w:val="en-US"/>
              </w:rPr>
              <w:t xml:space="preserve"> 3,301,241 </w:t>
            </w:r>
          </w:p>
        </w:tc>
        <w:tc>
          <w:tcPr>
            <w:tcW w:w="344" w:type="pct"/>
            <w:tcBorders>
              <w:top w:val="single" w:sz="6" w:space="0" w:color="auto"/>
              <w:left w:val="nil"/>
              <w:bottom w:val="single" w:sz="12" w:space="0" w:color="auto"/>
              <w:right w:val="nil"/>
            </w:tcBorders>
            <w:shd w:val="clear" w:color="auto" w:fill="auto"/>
            <w:vAlign w:val="bottom"/>
          </w:tcPr>
          <w:p w14:paraId="470474A2" w14:textId="77777777" w:rsidR="00F92405" w:rsidRPr="00F92405" w:rsidRDefault="00F92405" w:rsidP="00F92405">
            <w:pPr>
              <w:spacing w:after="0" w:line="301" w:lineRule="exact"/>
              <w:jc w:val="right"/>
              <w:rPr>
                <w:rFonts w:ascii="Calibri" w:eastAsia="Calibri" w:hAnsi="Calibri" w:cs="Arial"/>
                <w:b/>
                <w:bCs/>
                <w:sz w:val="15"/>
                <w:szCs w:val="15"/>
                <w:lang w:val="en-GB"/>
              </w:rPr>
            </w:pPr>
            <w:r w:rsidRPr="00F92405">
              <w:rPr>
                <w:rFonts w:ascii="Calibri" w:eastAsia="Times New Roman" w:hAnsi="Calibri" w:cs="Times New Roman"/>
                <w:b/>
                <w:bCs/>
                <w:sz w:val="15"/>
                <w:szCs w:val="15"/>
                <w:lang w:val="en-US"/>
              </w:rPr>
              <w:t xml:space="preserve"> 276,491 </w:t>
            </w:r>
          </w:p>
        </w:tc>
        <w:tc>
          <w:tcPr>
            <w:tcW w:w="344" w:type="pct"/>
            <w:tcBorders>
              <w:top w:val="single" w:sz="6" w:space="0" w:color="auto"/>
              <w:left w:val="nil"/>
              <w:bottom w:val="single" w:sz="12" w:space="0" w:color="auto"/>
              <w:right w:val="nil"/>
            </w:tcBorders>
            <w:shd w:val="clear" w:color="auto" w:fill="auto"/>
            <w:vAlign w:val="bottom"/>
          </w:tcPr>
          <w:p w14:paraId="10FB424C" w14:textId="77777777" w:rsidR="00F92405" w:rsidRPr="00F92405" w:rsidRDefault="00F92405" w:rsidP="00F92405">
            <w:pPr>
              <w:spacing w:after="0" w:line="301" w:lineRule="exact"/>
              <w:jc w:val="right"/>
              <w:rPr>
                <w:rFonts w:ascii="Calibri" w:eastAsia="Calibri" w:hAnsi="Calibri" w:cs="Arial"/>
                <w:b/>
                <w:bCs/>
                <w:sz w:val="15"/>
                <w:szCs w:val="15"/>
                <w:lang w:val="en-GB"/>
              </w:rPr>
            </w:pPr>
            <w:r w:rsidRPr="00F92405">
              <w:rPr>
                <w:rFonts w:ascii="Calibri" w:eastAsia="Times New Roman" w:hAnsi="Calibri" w:cs="Times New Roman"/>
                <w:b/>
                <w:bCs/>
                <w:sz w:val="15"/>
                <w:szCs w:val="15"/>
                <w:lang w:val="en-US"/>
              </w:rPr>
              <w:t xml:space="preserve"> 243,772 </w:t>
            </w:r>
          </w:p>
        </w:tc>
        <w:tc>
          <w:tcPr>
            <w:tcW w:w="343" w:type="pct"/>
            <w:tcBorders>
              <w:top w:val="single" w:sz="6" w:space="0" w:color="auto"/>
              <w:left w:val="nil"/>
              <w:bottom w:val="single" w:sz="12" w:space="0" w:color="auto"/>
              <w:right w:val="nil"/>
            </w:tcBorders>
            <w:shd w:val="clear" w:color="auto" w:fill="auto"/>
            <w:vAlign w:val="bottom"/>
          </w:tcPr>
          <w:p w14:paraId="122B101D" w14:textId="77777777" w:rsidR="00F92405" w:rsidRPr="00F92405" w:rsidRDefault="00F92405" w:rsidP="00F92405">
            <w:pPr>
              <w:spacing w:after="0" w:line="301" w:lineRule="exact"/>
              <w:jc w:val="right"/>
              <w:rPr>
                <w:rFonts w:ascii="Calibri" w:eastAsia="Calibri" w:hAnsi="Calibri" w:cs="Arial"/>
                <w:b/>
                <w:bCs/>
                <w:sz w:val="15"/>
                <w:szCs w:val="15"/>
                <w:lang w:val="en-GB"/>
              </w:rPr>
            </w:pPr>
            <w:r w:rsidRPr="00F92405">
              <w:rPr>
                <w:rFonts w:ascii="Calibri" w:eastAsia="Times New Roman" w:hAnsi="Calibri" w:cs="Times New Roman"/>
                <w:b/>
                <w:bCs/>
                <w:sz w:val="15"/>
                <w:szCs w:val="15"/>
                <w:lang w:val="en-US"/>
              </w:rPr>
              <w:t xml:space="preserve"> 36,605 </w:t>
            </w:r>
          </w:p>
        </w:tc>
        <w:tc>
          <w:tcPr>
            <w:tcW w:w="344" w:type="pct"/>
            <w:tcBorders>
              <w:top w:val="single" w:sz="6" w:space="0" w:color="auto"/>
              <w:left w:val="nil"/>
              <w:bottom w:val="single" w:sz="12" w:space="0" w:color="auto"/>
              <w:right w:val="nil"/>
            </w:tcBorders>
            <w:shd w:val="clear" w:color="auto" w:fill="auto"/>
            <w:vAlign w:val="bottom"/>
          </w:tcPr>
          <w:p w14:paraId="1915EC59" w14:textId="77777777" w:rsidR="00F92405" w:rsidRPr="00F92405" w:rsidRDefault="00F92405" w:rsidP="00F92405">
            <w:pPr>
              <w:spacing w:after="0" w:line="301" w:lineRule="exact"/>
              <w:jc w:val="right"/>
              <w:rPr>
                <w:rFonts w:ascii="Calibri" w:eastAsia="Calibri" w:hAnsi="Calibri" w:cs="Arial"/>
                <w:b/>
                <w:bCs/>
                <w:sz w:val="15"/>
                <w:szCs w:val="15"/>
                <w:lang w:val="en-GB"/>
              </w:rPr>
            </w:pPr>
            <w:r w:rsidRPr="00F92405">
              <w:rPr>
                <w:rFonts w:ascii="Calibri" w:eastAsia="Times New Roman" w:hAnsi="Calibri" w:cs="Times New Roman"/>
                <w:b/>
                <w:bCs/>
                <w:sz w:val="15"/>
                <w:szCs w:val="15"/>
                <w:lang w:val="en-US"/>
              </w:rPr>
              <w:t xml:space="preserve"> - </w:t>
            </w:r>
          </w:p>
        </w:tc>
        <w:tc>
          <w:tcPr>
            <w:tcW w:w="344" w:type="pct"/>
            <w:tcBorders>
              <w:top w:val="single" w:sz="6" w:space="0" w:color="auto"/>
              <w:left w:val="nil"/>
              <w:bottom w:val="single" w:sz="12" w:space="0" w:color="auto"/>
              <w:right w:val="nil"/>
            </w:tcBorders>
            <w:shd w:val="clear" w:color="auto" w:fill="auto"/>
            <w:vAlign w:val="bottom"/>
          </w:tcPr>
          <w:p w14:paraId="7918D491" w14:textId="77777777" w:rsidR="00F92405" w:rsidRPr="00F92405" w:rsidRDefault="00F92405" w:rsidP="00F92405">
            <w:pPr>
              <w:spacing w:after="0" w:line="301" w:lineRule="exact"/>
              <w:jc w:val="right"/>
              <w:rPr>
                <w:rFonts w:ascii="Calibri" w:eastAsia="Calibri" w:hAnsi="Calibri" w:cs="Arial"/>
                <w:b/>
                <w:bCs/>
                <w:sz w:val="15"/>
                <w:szCs w:val="15"/>
                <w:lang w:val="en-GB"/>
              </w:rPr>
            </w:pPr>
            <w:r w:rsidRPr="00F92405">
              <w:rPr>
                <w:rFonts w:ascii="Calibri" w:eastAsia="Times New Roman" w:hAnsi="Calibri" w:cs="Times New Roman"/>
                <w:b/>
                <w:bCs/>
                <w:sz w:val="15"/>
                <w:szCs w:val="15"/>
                <w:lang w:val="en-US"/>
              </w:rPr>
              <w:t xml:space="preserve"> 3,858,109 </w:t>
            </w:r>
          </w:p>
        </w:tc>
        <w:tc>
          <w:tcPr>
            <w:tcW w:w="343" w:type="pct"/>
            <w:tcBorders>
              <w:top w:val="single" w:sz="6" w:space="0" w:color="auto"/>
              <w:left w:val="nil"/>
              <w:bottom w:val="single" w:sz="12" w:space="0" w:color="auto"/>
              <w:right w:val="nil"/>
            </w:tcBorders>
            <w:vAlign w:val="bottom"/>
          </w:tcPr>
          <w:p w14:paraId="489FAE65" w14:textId="77777777" w:rsidR="00F92405" w:rsidRPr="00F92405" w:rsidRDefault="00F92405" w:rsidP="00F92405">
            <w:pPr>
              <w:spacing w:after="0" w:line="301" w:lineRule="exact"/>
              <w:jc w:val="right"/>
              <w:rPr>
                <w:rFonts w:ascii="Calibri" w:eastAsia="Calibri" w:hAnsi="Calibri" w:cs="Arial"/>
                <w:b/>
                <w:bCs/>
                <w:sz w:val="15"/>
                <w:szCs w:val="15"/>
                <w:lang w:val="en-GB"/>
              </w:rPr>
            </w:pPr>
            <w:r w:rsidRPr="00F92405">
              <w:rPr>
                <w:rFonts w:ascii="Calibri" w:eastAsia="Times New Roman" w:hAnsi="Calibri" w:cs="Times New Roman"/>
                <w:b/>
                <w:bCs/>
                <w:sz w:val="15"/>
                <w:szCs w:val="15"/>
                <w:lang w:val="en-US"/>
              </w:rPr>
              <w:t xml:space="preserve"> 362,382 </w:t>
            </w:r>
          </w:p>
        </w:tc>
        <w:tc>
          <w:tcPr>
            <w:tcW w:w="344" w:type="pct"/>
            <w:tcBorders>
              <w:top w:val="single" w:sz="6" w:space="0" w:color="auto"/>
              <w:left w:val="nil"/>
              <w:bottom w:val="single" w:sz="12" w:space="0" w:color="auto"/>
              <w:right w:val="nil"/>
            </w:tcBorders>
            <w:vAlign w:val="bottom"/>
          </w:tcPr>
          <w:p w14:paraId="30F22BF0" w14:textId="77777777" w:rsidR="00F92405" w:rsidRPr="00F92405" w:rsidRDefault="00F92405" w:rsidP="00F92405">
            <w:pPr>
              <w:spacing w:after="0" w:line="301" w:lineRule="exact"/>
              <w:jc w:val="right"/>
              <w:rPr>
                <w:rFonts w:ascii="Calibri" w:eastAsia="Calibri" w:hAnsi="Calibri" w:cs="Arial"/>
                <w:b/>
                <w:bCs/>
                <w:sz w:val="15"/>
                <w:szCs w:val="15"/>
                <w:lang w:val="en-GB"/>
              </w:rPr>
            </w:pPr>
            <w:r w:rsidRPr="00F92405">
              <w:rPr>
                <w:rFonts w:ascii="Calibri" w:eastAsia="Times New Roman" w:hAnsi="Calibri" w:cs="Times New Roman"/>
                <w:b/>
                <w:bCs/>
                <w:sz w:val="15"/>
                <w:szCs w:val="15"/>
                <w:lang w:val="en-US"/>
              </w:rPr>
              <w:t xml:space="preserve"> 159,052 </w:t>
            </w:r>
          </w:p>
        </w:tc>
        <w:tc>
          <w:tcPr>
            <w:tcW w:w="344" w:type="pct"/>
            <w:tcBorders>
              <w:top w:val="single" w:sz="6" w:space="0" w:color="auto"/>
              <w:left w:val="nil"/>
              <w:bottom w:val="single" w:sz="12" w:space="0" w:color="auto"/>
              <w:right w:val="nil"/>
            </w:tcBorders>
            <w:vAlign w:val="bottom"/>
          </w:tcPr>
          <w:p w14:paraId="558C6875" w14:textId="77777777" w:rsidR="00F92405" w:rsidRPr="00F92405" w:rsidRDefault="00F92405" w:rsidP="00F92405">
            <w:pPr>
              <w:spacing w:after="0" w:line="301" w:lineRule="exact"/>
              <w:jc w:val="right"/>
              <w:rPr>
                <w:rFonts w:ascii="Calibri" w:eastAsia="Calibri" w:hAnsi="Calibri" w:cs="Arial"/>
                <w:b/>
                <w:bCs/>
                <w:sz w:val="15"/>
                <w:szCs w:val="15"/>
                <w:lang w:val="en-GB"/>
              </w:rPr>
            </w:pPr>
            <w:r w:rsidRPr="00F92405">
              <w:rPr>
                <w:rFonts w:ascii="Calibri" w:eastAsia="Times New Roman" w:hAnsi="Calibri" w:cs="Times New Roman"/>
                <w:b/>
                <w:bCs/>
                <w:sz w:val="15"/>
                <w:szCs w:val="15"/>
                <w:lang w:val="en-US"/>
              </w:rPr>
              <w:t xml:space="preserve"> 92,371 </w:t>
            </w:r>
          </w:p>
        </w:tc>
        <w:tc>
          <w:tcPr>
            <w:tcW w:w="343" w:type="pct"/>
            <w:tcBorders>
              <w:top w:val="single" w:sz="6" w:space="0" w:color="auto"/>
              <w:left w:val="nil"/>
              <w:bottom w:val="single" w:sz="12" w:space="0" w:color="auto"/>
              <w:right w:val="nil"/>
            </w:tcBorders>
            <w:vAlign w:val="bottom"/>
          </w:tcPr>
          <w:p w14:paraId="06903B48" w14:textId="77777777" w:rsidR="00F92405" w:rsidRPr="00F92405" w:rsidRDefault="00F92405" w:rsidP="00F92405">
            <w:pPr>
              <w:spacing w:after="0" w:line="301" w:lineRule="exact"/>
              <w:jc w:val="right"/>
              <w:rPr>
                <w:rFonts w:ascii="Calibri" w:eastAsia="Calibri" w:hAnsi="Calibri" w:cs="Arial"/>
                <w:b/>
                <w:bCs/>
                <w:sz w:val="15"/>
                <w:szCs w:val="15"/>
                <w:lang w:val="en-GB"/>
              </w:rPr>
            </w:pPr>
            <w:r w:rsidRPr="00F92405">
              <w:rPr>
                <w:rFonts w:ascii="Calibri" w:eastAsia="Times New Roman" w:hAnsi="Calibri" w:cs="Times New Roman"/>
                <w:b/>
                <w:bCs/>
                <w:sz w:val="15"/>
                <w:szCs w:val="15"/>
                <w:lang w:val="en-US"/>
              </w:rPr>
              <w:t xml:space="preserve"> 782 </w:t>
            </w:r>
          </w:p>
        </w:tc>
        <w:tc>
          <w:tcPr>
            <w:tcW w:w="344" w:type="pct"/>
            <w:tcBorders>
              <w:top w:val="single" w:sz="6" w:space="0" w:color="auto"/>
              <w:left w:val="nil"/>
              <w:bottom w:val="single" w:sz="12" w:space="0" w:color="auto"/>
              <w:right w:val="nil"/>
            </w:tcBorders>
            <w:vAlign w:val="bottom"/>
          </w:tcPr>
          <w:p w14:paraId="663EE669" w14:textId="77777777" w:rsidR="00F92405" w:rsidRPr="00F92405" w:rsidRDefault="00F92405" w:rsidP="00F92405">
            <w:pPr>
              <w:spacing w:after="0" w:line="301" w:lineRule="exact"/>
              <w:jc w:val="right"/>
              <w:rPr>
                <w:rFonts w:ascii="Calibri" w:eastAsia="Calibri" w:hAnsi="Calibri" w:cs="Arial"/>
                <w:b/>
                <w:bCs/>
                <w:sz w:val="15"/>
                <w:szCs w:val="15"/>
                <w:lang w:val="en-GB"/>
              </w:rPr>
            </w:pPr>
            <w:r w:rsidRPr="00F92405">
              <w:rPr>
                <w:rFonts w:ascii="Calibri" w:eastAsia="Times New Roman" w:hAnsi="Calibri" w:cs="Times New Roman"/>
                <w:b/>
                <w:bCs/>
                <w:sz w:val="15"/>
                <w:szCs w:val="15"/>
                <w:lang w:val="en-US"/>
              </w:rPr>
              <w:t xml:space="preserve"> - </w:t>
            </w:r>
          </w:p>
        </w:tc>
        <w:tc>
          <w:tcPr>
            <w:tcW w:w="343" w:type="pct"/>
            <w:tcBorders>
              <w:top w:val="single" w:sz="6" w:space="0" w:color="auto"/>
              <w:left w:val="nil"/>
              <w:bottom w:val="single" w:sz="12" w:space="0" w:color="auto"/>
              <w:right w:val="nil"/>
            </w:tcBorders>
            <w:vAlign w:val="bottom"/>
          </w:tcPr>
          <w:p w14:paraId="161A3F43" w14:textId="77777777" w:rsidR="00F92405" w:rsidRPr="00F92405" w:rsidRDefault="00F92405" w:rsidP="00F92405">
            <w:pPr>
              <w:spacing w:after="0" w:line="301" w:lineRule="exact"/>
              <w:jc w:val="right"/>
              <w:rPr>
                <w:rFonts w:ascii="Calibri" w:eastAsia="Calibri" w:hAnsi="Calibri" w:cs="Arial"/>
                <w:b/>
                <w:bCs/>
                <w:sz w:val="15"/>
                <w:szCs w:val="15"/>
                <w:lang w:val="en-GB"/>
              </w:rPr>
            </w:pPr>
            <w:r w:rsidRPr="00F92405">
              <w:rPr>
                <w:rFonts w:ascii="Calibri" w:eastAsia="Times New Roman" w:hAnsi="Calibri" w:cs="Times New Roman"/>
                <w:b/>
                <w:bCs/>
                <w:sz w:val="15"/>
                <w:szCs w:val="15"/>
                <w:lang w:val="en-US"/>
              </w:rPr>
              <w:t xml:space="preserve"> 614,587 </w:t>
            </w:r>
          </w:p>
        </w:tc>
      </w:tr>
      <w:tr w:rsidR="00F92405" w:rsidRPr="00F92405" w14:paraId="0188E7EF" w14:textId="77777777" w:rsidTr="00E44437">
        <w:trPr>
          <w:trHeight w:val="111"/>
          <w:jc w:val="center"/>
        </w:trPr>
        <w:tc>
          <w:tcPr>
            <w:tcW w:w="877" w:type="pct"/>
            <w:vAlign w:val="bottom"/>
          </w:tcPr>
          <w:p w14:paraId="0E0E69F0" w14:textId="77777777" w:rsidR="00F92405" w:rsidRPr="00F92405" w:rsidRDefault="00F92405" w:rsidP="00F92405">
            <w:pPr>
              <w:tabs>
                <w:tab w:val="right" w:pos="1202"/>
              </w:tabs>
              <w:spacing w:after="0" w:line="200" w:lineRule="exact"/>
              <w:outlineLvl w:val="0"/>
              <w:rPr>
                <w:rFonts w:ascii="Calibri" w:eastAsia="Calibri" w:hAnsi="Calibri" w:cs="Arial"/>
                <w:b/>
                <w:bCs/>
                <w:sz w:val="15"/>
                <w:szCs w:val="15"/>
                <w:lang w:val="en-GB"/>
              </w:rPr>
            </w:pPr>
            <w:r w:rsidRPr="00F92405">
              <w:rPr>
                <w:rFonts w:ascii="Calibri" w:eastAsia="Calibri" w:hAnsi="Calibri" w:cs="Arial"/>
                <w:b/>
                <w:bCs/>
                <w:sz w:val="15"/>
                <w:szCs w:val="15"/>
                <w:lang w:val="en-GB"/>
              </w:rPr>
              <w:t>Total credit risk exposure</w:t>
            </w:r>
          </w:p>
        </w:tc>
        <w:tc>
          <w:tcPr>
            <w:tcW w:w="343" w:type="pct"/>
            <w:tcBorders>
              <w:top w:val="nil"/>
              <w:left w:val="nil"/>
              <w:bottom w:val="single" w:sz="12" w:space="0" w:color="auto"/>
              <w:right w:val="nil"/>
            </w:tcBorders>
            <w:shd w:val="clear" w:color="auto" w:fill="auto"/>
            <w:vAlign w:val="bottom"/>
          </w:tcPr>
          <w:p w14:paraId="5A02D954" w14:textId="77777777" w:rsidR="00F92405" w:rsidRPr="00F92405" w:rsidRDefault="00F92405" w:rsidP="00F92405">
            <w:pPr>
              <w:tabs>
                <w:tab w:val="right" w:pos="1202"/>
              </w:tabs>
              <w:spacing w:after="0" w:line="301" w:lineRule="exact"/>
              <w:jc w:val="right"/>
              <w:outlineLvl w:val="0"/>
              <w:rPr>
                <w:rFonts w:ascii="Calibri" w:eastAsia="Calibri" w:hAnsi="Calibri" w:cs="Arial"/>
                <w:b/>
                <w:bCs/>
                <w:sz w:val="15"/>
                <w:szCs w:val="15"/>
                <w:lang w:val="en-GB"/>
              </w:rPr>
            </w:pPr>
            <w:r w:rsidRPr="00F92405">
              <w:rPr>
                <w:rFonts w:ascii="Calibri" w:eastAsia="Times New Roman" w:hAnsi="Calibri" w:cs="Times New Roman"/>
                <w:b/>
                <w:bCs/>
                <w:sz w:val="15"/>
                <w:szCs w:val="15"/>
                <w:lang w:val="en-US"/>
              </w:rPr>
              <w:t xml:space="preserve"> 27,786,807 </w:t>
            </w:r>
          </w:p>
        </w:tc>
        <w:tc>
          <w:tcPr>
            <w:tcW w:w="344" w:type="pct"/>
            <w:tcBorders>
              <w:top w:val="nil"/>
              <w:left w:val="nil"/>
              <w:bottom w:val="single" w:sz="12" w:space="0" w:color="auto"/>
              <w:right w:val="nil"/>
            </w:tcBorders>
            <w:shd w:val="clear" w:color="auto" w:fill="auto"/>
            <w:vAlign w:val="bottom"/>
          </w:tcPr>
          <w:p w14:paraId="3A584DBF" w14:textId="77777777" w:rsidR="00F92405" w:rsidRPr="00F92405" w:rsidRDefault="00F92405" w:rsidP="00F92405">
            <w:pPr>
              <w:tabs>
                <w:tab w:val="right" w:pos="1202"/>
              </w:tabs>
              <w:spacing w:after="0" w:line="301" w:lineRule="exact"/>
              <w:jc w:val="right"/>
              <w:outlineLvl w:val="0"/>
              <w:rPr>
                <w:rFonts w:ascii="Calibri" w:eastAsia="Calibri" w:hAnsi="Calibri" w:cs="Arial"/>
                <w:b/>
                <w:bCs/>
                <w:sz w:val="15"/>
                <w:szCs w:val="15"/>
                <w:lang w:val="en-GB"/>
              </w:rPr>
            </w:pPr>
            <w:r w:rsidRPr="00F92405">
              <w:rPr>
                <w:rFonts w:ascii="Calibri" w:eastAsia="Times New Roman" w:hAnsi="Calibri" w:cs="Times New Roman"/>
                <w:b/>
                <w:bCs/>
                <w:sz w:val="15"/>
                <w:szCs w:val="15"/>
                <w:lang w:val="en-US"/>
              </w:rPr>
              <w:t xml:space="preserve"> 1,285,228 </w:t>
            </w:r>
          </w:p>
        </w:tc>
        <w:tc>
          <w:tcPr>
            <w:tcW w:w="344" w:type="pct"/>
            <w:tcBorders>
              <w:top w:val="nil"/>
              <w:left w:val="nil"/>
              <w:bottom w:val="single" w:sz="12" w:space="0" w:color="auto"/>
              <w:right w:val="nil"/>
            </w:tcBorders>
            <w:shd w:val="clear" w:color="auto" w:fill="auto"/>
            <w:vAlign w:val="bottom"/>
          </w:tcPr>
          <w:p w14:paraId="68AB773E" w14:textId="77777777" w:rsidR="00F92405" w:rsidRPr="00F92405" w:rsidRDefault="00F92405" w:rsidP="00F92405">
            <w:pPr>
              <w:tabs>
                <w:tab w:val="right" w:pos="1202"/>
              </w:tabs>
              <w:spacing w:after="0" w:line="301" w:lineRule="exact"/>
              <w:jc w:val="right"/>
              <w:outlineLvl w:val="0"/>
              <w:rPr>
                <w:rFonts w:ascii="Calibri" w:eastAsia="Calibri" w:hAnsi="Calibri" w:cs="Arial"/>
                <w:b/>
                <w:bCs/>
                <w:sz w:val="15"/>
                <w:szCs w:val="15"/>
                <w:lang w:val="en-GB"/>
              </w:rPr>
            </w:pPr>
            <w:r w:rsidRPr="00F92405">
              <w:rPr>
                <w:rFonts w:ascii="Calibri" w:eastAsia="Times New Roman" w:hAnsi="Calibri" w:cs="Times New Roman"/>
                <w:b/>
                <w:bCs/>
                <w:sz w:val="15"/>
                <w:szCs w:val="15"/>
                <w:lang w:val="en-US"/>
              </w:rPr>
              <w:t xml:space="preserve"> 1,413,884 </w:t>
            </w:r>
          </w:p>
        </w:tc>
        <w:tc>
          <w:tcPr>
            <w:tcW w:w="343" w:type="pct"/>
            <w:tcBorders>
              <w:top w:val="nil"/>
              <w:left w:val="nil"/>
              <w:bottom w:val="single" w:sz="12" w:space="0" w:color="auto"/>
              <w:right w:val="nil"/>
            </w:tcBorders>
            <w:shd w:val="clear" w:color="auto" w:fill="auto"/>
            <w:vAlign w:val="bottom"/>
          </w:tcPr>
          <w:p w14:paraId="150A8415" w14:textId="77777777" w:rsidR="00F92405" w:rsidRPr="00F92405" w:rsidRDefault="00F92405" w:rsidP="00F92405">
            <w:pPr>
              <w:tabs>
                <w:tab w:val="right" w:pos="1202"/>
              </w:tabs>
              <w:spacing w:after="0" w:line="301" w:lineRule="exact"/>
              <w:jc w:val="right"/>
              <w:outlineLvl w:val="0"/>
              <w:rPr>
                <w:rFonts w:ascii="Calibri" w:eastAsia="Calibri" w:hAnsi="Calibri" w:cs="Arial"/>
                <w:b/>
                <w:bCs/>
                <w:sz w:val="15"/>
                <w:szCs w:val="15"/>
                <w:lang w:val="en-GB"/>
              </w:rPr>
            </w:pPr>
            <w:r w:rsidRPr="00F92405">
              <w:rPr>
                <w:rFonts w:ascii="Calibri" w:eastAsia="Times New Roman" w:hAnsi="Calibri" w:cs="Times New Roman"/>
                <w:b/>
                <w:bCs/>
                <w:sz w:val="15"/>
                <w:szCs w:val="15"/>
                <w:lang w:val="en-US"/>
              </w:rPr>
              <w:t xml:space="preserve"> 1,230,215 </w:t>
            </w:r>
          </w:p>
        </w:tc>
        <w:tc>
          <w:tcPr>
            <w:tcW w:w="344" w:type="pct"/>
            <w:tcBorders>
              <w:top w:val="nil"/>
              <w:left w:val="nil"/>
              <w:bottom w:val="single" w:sz="12" w:space="0" w:color="auto"/>
              <w:right w:val="nil"/>
            </w:tcBorders>
            <w:shd w:val="clear" w:color="auto" w:fill="auto"/>
            <w:vAlign w:val="bottom"/>
          </w:tcPr>
          <w:p w14:paraId="4F79C516" w14:textId="77777777" w:rsidR="00F92405" w:rsidRPr="00F92405" w:rsidRDefault="00F92405" w:rsidP="00F92405">
            <w:pPr>
              <w:tabs>
                <w:tab w:val="right" w:pos="1202"/>
              </w:tabs>
              <w:spacing w:after="0" w:line="301" w:lineRule="exact"/>
              <w:jc w:val="right"/>
              <w:outlineLvl w:val="0"/>
              <w:rPr>
                <w:rFonts w:ascii="Calibri" w:eastAsia="Calibri" w:hAnsi="Calibri" w:cs="Arial"/>
                <w:b/>
                <w:bCs/>
                <w:sz w:val="15"/>
                <w:szCs w:val="15"/>
                <w:lang w:val="en-GB"/>
              </w:rPr>
            </w:pPr>
            <w:r w:rsidRPr="00F92405">
              <w:rPr>
                <w:rFonts w:ascii="Calibri" w:eastAsia="Times New Roman" w:hAnsi="Calibri" w:cs="Times New Roman"/>
                <w:b/>
                <w:bCs/>
                <w:sz w:val="15"/>
                <w:szCs w:val="15"/>
                <w:lang w:val="en-US"/>
              </w:rPr>
              <w:t xml:space="preserve"> 16,375 </w:t>
            </w:r>
          </w:p>
        </w:tc>
        <w:tc>
          <w:tcPr>
            <w:tcW w:w="344" w:type="pct"/>
            <w:tcBorders>
              <w:top w:val="nil"/>
              <w:left w:val="nil"/>
              <w:bottom w:val="single" w:sz="12" w:space="0" w:color="auto"/>
              <w:right w:val="nil"/>
            </w:tcBorders>
            <w:shd w:val="clear" w:color="auto" w:fill="auto"/>
            <w:vAlign w:val="bottom"/>
          </w:tcPr>
          <w:p w14:paraId="0D8AC452" w14:textId="77777777" w:rsidR="00F92405" w:rsidRPr="00F92405" w:rsidRDefault="00F92405" w:rsidP="00F92405">
            <w:pPr>
              <w:tabs>
                <w:tab w:val="right" w:pos="1202"/>
              </w:tabs>
              <w:spacing w:after="0" w:line="301" w:lineRule="exact"/>
              <w:jc w:val="right"/>
              <w:outlineLvl w:val="0"/>
              <w:rPr>
                <w:rFonts w:ascii="Calibri" w:eastAsia="Calibri" w:hAnsi="Calibri" w:cs="Arial"/>
                <w:b/>
                <w:bCs/>
                <w:sz w:val="15"/>
                <w:szCs w:val="15"/>
                <w:lang w:val="en-GB"/>
              </w:rPr>
            </w:pPr>
            <w:r w:rsidRPr="00F92405">
              <w:rPr>
                <w:rFonts w:ascii="Calibri" w:eastAsia="Times New Roman" w:hAnsi="Calibri" w:cs="Times New Roman"/>
                <w:b/>
                <w:bCs/>
                <w:sz w:val="15"/>
                <w:szCs w:val="15"/>
                <w:lang w:val="en-US"/>
              </w:rPr>
              <w:t xml:space="preserve"> 31,732,509 </w:t>
            </w:r>
          </w:p>
        </w:tc>
        <w:tc>
          <w:tcPr>
            <w:tcW w:w="343" w:type="pct"/>
            <w:tcBorders>
              <w:top w:val="nil"/>
              <w:left w:val="nil"/>
              <w:bottom w:val="single" w:sz="12" w:space="0" w:color="auto"/>
              <w:right w:val="nil"/>
            </w:tcBorders>
            <w:vAlign w:val="bottom"/>
          </w:tcPr>
          <w:p w14:paraId="1F9A43C6" w14:textId="77777777" w:rsidR="00F92405" w:rsidRPr="00F92405" w:rsidRDefault="00F92405" w:rsidP="00F92405">
            <w:pPr>
              <w:tabs>
                <w:tab w:val="right" w:pos="1202"/>
              </w:tabs>
              <w:spacing w:after="0" w:line="301" w:lineRule="exact"/>
              <w:jc w:val="right"/>
              <w:outlineLvl w:val="0"/>
              <w:rPr>
                <w:rFonts w:ascii="Calibri" w:eastAsia="Calibri" w:hAnsi="Calibri" w:cs="Arial"/>
                <w:b/>
                <w:bCs/>
                <w:sz w:val="15"/>
                <w:szCs w:val="15"/>
                <w:lang w:val="en-GB"/>
              </w:rPr>
            </w:pPr>
            <w:r w:rsidRPr="00F92405">
              <w:rPr>
                <w:rFonts w:ascii="Calibri" w:eastAsia="Times New Roman" w:hAnsi="Calibri" w:cs="Times New Roman"/>
                <w:b/>
                <w:bCs/>
                <w:sz w:val="15"/>
                <w:szCs w:val="15"/>
                <w:lang w:val="en-US"/>
              </w:rPr>
              <w:t xml:space="preserve"> 6,089,503 </w:t>
            </w:r>
          </w:p>
        </w:tc>
        <w:tc>
          <w:tcPr>
            <w:tcW w:w="344" w:type="pct"/>
            <w:tcBorders>
              <w:top w:val="nil"/>
              <w:left w:val="nil"/>
              <w:bottom w:val="single" w:sz="12" w:space="0" w:color="auto"/>
              <w:right w:val="nil"/>
            </w:tcBorders>
            <w:vAlign w:val="bottom"/>
          </w:tcPr>
          <w:p w14:paraId="7C26CF6E" w14:textId="77777777" w:rsidR="00F92405" w:rsidRPr="00F92405" w:rsidRDefault="00F92405" w:rsidP="00F92405">
            <w:pPr>
              <w:tabs>
                <w:tab w:val="right" w:pos="1202"/>
              </w:tabs>
              <w:spacing w:after="0" w:line="301" w:lineRule="exact"/>
              <w:jc w:val="right"/>
              <w:outlineLvl w:val="0"/>
              <w:rPr>
                <w:rFonts w:ascii="Calibri" w:eastAsia="Calibri" w:hAnsi="Calibri" w:cs="Arial"/>
                <w:b/>
                <w:bCs/>
                <w:sz w:val="15"/>
                <w:szCs w:val="15"/>
                <w:lang w:val="en-GB"/>
              </w:rPr>
            </w:pPr>
            <w:r w:rsidRPr="00F92405">
              <w:rPr>
                <w:rFonts w:ascii="Calibri" w:eastAsia="Times New Roman" w:hAnsi="Calibri" w:cs="Times New Roman"/>
                <w:b/>
                <w:bCs/>
                <w:sz w:val="15"/>
                <w:szCs w:val="15"/>
                <w:lang w:val="en-US"/>
              </w:rPr>
              <w:t xml:space="preserve"> 251,856 </w:t>
            </w:r>
          </w:p>
        </w:tc>
        <w:tc>
          <w:tcPr>
            <w:tcW w:w="344" w:type="pct"/>
            <w:tcBorders>
              <w:top w:val="nil"/>
              <w:left w:val="nil"/>
              <w:bottom w:val="single" w:sz="12" w:space="0" w:color="auto"/>
              <w:right w:val="nil"/>
            </w:tcBorders>
            <w:vAlign w:val="bottom"/>
          </w:tcPr>
          <w:p w14:paraId="77F09A41" w14:textId="77777777" w:rsidR="00F92405" w:rsidRPr="00F92405" w:rsidRDefault="00F92405" w:rsidP="00F92405">
            <w:pPr>
              <w:tabs>
                <w:tab w:val="right" w:pos="1202"/>
              </w:tabs>
              <w:spacing w:after="0" w:line="301" w:lineRule="exact"/>
              <w:jc w:val="right"/>
              <w:outlineLvl w:val="0"/>
              <w:rPr>
                <w:rFonts w:ascii="Calibri" w:eastAsia="Calibri" w:hAnsi="Calibri" w:cs="Arial"/>
                <w:b/>
                <w:bCs/>
                <w:sz w:val="15"/>
                <w:szCs w:val="15"/>
                <w:lang w:val="en-GB"/>
              </w:rPr>
            </w:pPr>
            <w:r w:rsidRPr="00F92405">
              <w:rPr>
                <w:rFonts w:ascii="Calibri" w:eastAsia="Times New Roman" w:hAnsi="Calibri" w:cs="Times New Roman"/>
                <w:b/>
                <w:bCs/>
                <w:sz w:val="15"/>
                <w:szCs w:val="15"/>
                <w:lang w:val="en-US"/>
              </w:rPr>
              <w:t xml:space="preserve"> 300,194 </w:t>
            </w:r>
          </w:p>
        </w:tc>
        <w:tc>
          <w:tcPr>
            <w:tcW w:w="343" w:type="pct"/>
            <w:tcBorders>
              <w:top w:val="nil"/>
              <w:left w:val="nil"/>
              <w:bottom w:val="single" w:sz="12" w:space="0" w:color="auto"/>
              <w:right w:val="nil"/>
            </w:tcBorders>
            <w:vAlign w:val="bottom"/>
          </w:tcPr>
          <w:p w14:paraId="645AB402" w14:textId="77777777" w:rsidR="00F92405" w:rsidRPr="00F92405" w:rsidRDefault="00F92405" w:rsidP="00F92405">
            <w:pPr>
              <w:tabs>
                <w:tab w:val="right" w:pos="1202"/>
              </w:tabs>
              <w:spacing w:after="0" w:line="301" w:lineRule="exact"/>
              <w:jc w:val="right"/>
              <w:outlineLvl w:val="0"/>
              <w:rPr>
                <w:rFonts w:ascii="Calibri" w:eastAsia="Calibri" w:hAnsi="Calibri" w:cs="Arial"/>
                <w:b/>
                <w:bCs/>
                <w:sz w:val="15"/>
                <w:szCs w:val="15"/>
                <w:lang w:val="en-GB"/>
              </w:rPr>
            </w:pPr>
            <w:r w:rsidRPr="00F92405">
              <w:rPr>
                <w:rFonts w:ascii="Calibri" w:eastAsia="Times New Roman" w:hAnsi="Calibri" w:cs="Times New Roman"/>
                <w:b/>
                <w:bCs/>
                <w:sz w:val="15"/>
                <w:szCs w:val="15"/>
                <w:lang w:val="en-US"/>
              </w:rPr>
              <w:t xml:space="preserve"> 35,602 </w:t>
            </w:r>
          </w:p>
        </w:tc>
        <w:tc>
          <w:tcPr>
            <w:tcW w:w="344" w:type="pct"/>
            <w:tcBorders>
              <w:top w:val="nil"/>
              <w:left w:val="nil"/>
              <w:bottom w:val="single" w:sz="12" w:space="0" w:color="auto"/>
              <w:right w:val="nil"/>
            </w:tcBorders>
            <w:vAlign w:val="bottom"/>
          </w:tcPr>
          <w:p w14:paraId="06B8AF6F" w14:textId="77777777" w:rsidR="00F92405" w:rsidRPr="00F92405" w:rsidRDefault="00F92405" w:rsidP="00F92405">
            <w:pPr>
              <w:tabs>
                <w:tab w:val="right" w:pos="1202"/>
              </w:tabs>
              <w:spacing w:after="0" w:line="301" w:lineRule="exact"/>
              <w:jc w:val="right"/>
              <w:outlineLvl w:val="0"/>
              <w:rPr>
                <w:rFonts w:ascii="Calibri" w:eastAsia="Calibri" w:hAnsi="Calibri" w:cs="Arial"/>
                <w:b/>
                <w:bCs/>
                <w:sz w:val="15"/>
                <w:szCs w:val="15"/>
                <w:lang w:val="en-GB"/>
              </w:rPr>
            </w:pPr>
            <w:r w:rsidRPr="00F92405">
              <w:rPr>
                <w:rFonts w:ascii="Calibri" w:eastAsia="Times New Roman" w:hAnsi="Calibri" w:cs="Times New Roman"/>
                <w:b/>
                <w:bCs/>
                <w:sz w:val="15"/>
                <w:szCs w:val="15"/>
                <w:lang w:val="en-US"/>
              </w:rPr>
              <w:t xml:space="preserve"> 16,375 </w:t>
            </w:r>
          </w:p>
        </w:tc>
        <w:tc>
          <w:tcPr>
            <w:tcW w:w="343" w:type="pct"/>
            <w:tcBorders>
              <w:top w:val="nil"/>
              <w:left w:val="nil"/>
              <w:bottom w:val="single" w:sz="12" w:space="0" w:color="auto"/>
              <w:right w:val="nil"/>
            </w:tcBorders>
            <w:vAlign w:val="bottom"/>
          </w:tcPr>
          <w:p w14:paraId="762EEEB7" w14:textId="77777777" w:rsidR="00F92405" w:rsidRPr="00F92405" w:rsidRDefault="00F92405" w:rsidP="00F92405">
            <w:pPr>
              <w:tabs>
                <w:tab w:val="right" w:pos="1202"/>
              </w:tabs>
              <w:spacing w:after="0" w:line="301" w:lineRule="exact"/>
              <w:jc w:val="right"/>
              <w:outlineLvl w:val="0"/>
              <w:rPr>
                <w:rFonts w:ascii="Calibri" w:eastAsia="Calibri" w:hAnsi="Calibri" w:cs="Arial"/>
                <w:b/>
                <w:bCs/>
                <w:sz w:val="15"/>
                <w:szCs w:val="15"/>
                <w:lang w:val="en-GB"/>
              </w:rPr>
            </w:pPr>
            <w:r w:rsidRPr="00F92405">
              <w:rPr>
                <w:rFonts w:ascii="Calibri" w:eastAsia="Times New Roman" w:hAnsi="Calibri" w:cs="Times New Roman"/>
                <w:b/>
                <w:bCs/>
                <w:sz w:val="15"/>
                <w:szCs w:val="15"/>
                <w:lang w:val="en-US"/>
              </w:rPr>
              <w:t xml:space="preserve"> 6,693,530 </w:t>
            </w:r>
          </w:p>
        </w:tc>
      </w:tr>
    </w:tbl>
    <w:p w14:paraId="58EC83BF" w14:textId="4BE2C002" w:rsidR="004A287E" w:rsidRPr="00537128" w:rsidRDefault="004A287E" w:rsidP="00900DBE">
      <w:pPr>
        <w:spacing w:after="0" w:line="240" w:lineRule="auto"/>
        <w:jc w:val="both"/>
        <w:rPr>
          <w:rFonts w:ascii="Calibri" w:eastAsia="Times New Roman" w:hAnsi="Calibri" w:cs="Arial"/>
          <w:b/>
          <w:color w:val="000000" w:themeColor="text1"/>
          <w:sz w:val="20"/>
          <w:szCs w:val="20"/>
          <w:lang w:val="en-US"/>
        </w:rPr>
      </w:pPr>
    </w:p>
    <w:p w14:paraId="54ECDCD3" w14:textId="77777777" w:rsidR="004A287E" w:rsidRPr="00537128" w:rsidRDefault="004A287E" w:rsidP="00900DBE">
      <w:pPr>
        <w:spacing w:after="0" w:line="240" w:lineRule="auto"/>
        <w:jc w:val="both"/>
        <w:rPr>
          <w:rFonts w:ascii="Calibri" w:eastAsia="Times New Roman" w:hAnsi="Calibri" w:cs="Arial"/>
          <w:b/>
          <w:color w:val="000000" w:themeColor="text1"/>
          <w:sz w:val="20"/>
          <w:szCs w:val="20"/>
          <w:lang w:val="en-US"/>
        </w:rPr>
      </w:pPr>
    </w:p>
    <w:p w14:paraId="22967D21" w14:textId="788D1F09" w:rsidR="004A287E" w:rsidRPr="00537128" w:rsidRDefault="004A287E" w:rsidP="00900DBE">
      <w:pPr>
        <w:spacing w:after="0" w:line="240" w:lineRule="auto"/>
        <w:jc w:val="both"/>
        <w:rPr>
          <w:rFonts w:ascii="Calibri" w:eastAsia="Times New Roman" w:hAnsi="Calibri" w:cs="Arial"/>
          <w:b/>
          <w:color w:val="000000" w:themeColor="text1"/>
          <w:sz w:val="20"/>
          <w:szCs w:val="20"/>
          <w:lang w:val="en-US"/>
        </w:rPr>
        <w:sectPr w:rsidR="004A287E" w:rsidRPr="00537128" w:rsidSect="00900DBE">
          <w:pgSz w:w="16838" w:h="11906" w:orient="landscape"/>
          <w:pgMar w:top="1418" w:right="1418" w:bottom="1134" w:left="1418" w:header="709" w:footer="709" w:gutter="0"/>
          <w:cols w:space="708"/>
          <w:docGrid w:linePitch="360"/>
        </w:sectPr>
      </w:pPr>
    </w:p>
    <w:p w14:paraId="024B326F" w14:textId="77777777" w:rsidR="00712478" w:rsidRPr="00537128" w:rsidRDefault="00712478" w:rsidP="00712478">
      <w:pPr>
        <w:spacing w:after="0" w:line="240" w:lineRule="auto"/>
        <w:jc w:val="both"/>
        <w:rPr>
          <w:rFonts w:ascii="Calibri" w:eastAsia="Times New Roman" w:hAnsi="Calibri" w:cs="Calibri"/>
          <w:bCs/>
          <w:color w:val="000000" w:themeColor="text1"/>
          <w:lang w:val="en-US" w:eastAsia="hr-HR"/>
        </w:rPr>
      </w:pPr>
    </w:p>
    <w:p w14:paraId="19DA7ED4" w14:textId="7A0A9856" w:rsidR="00712478" w:rsidRPr="00537128" w:rsidRDefault="00B357CE" w:rsidP="00712478">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712478" w:rsidRPr="00537128">
        <w:rPr>
          <w:rFonts w:ascii="Calibri" w:eastAsia="Times New Roman" w:hAnsi="Calibri" w:cs="Calibri"/>
          <w:b/>
          <w:bCs/>
          <w:color w:val="000000" w:themeColor="text1"/>
          <w:lang w:val="en-US" w:eastAsia="hr-HR"/>
        </w:rPr>
        <w:t>.</w:t>
      </w:r>
      <w:r w:rsidR="00712478" w:rsidRPr="00537128">
        <w:rPr>
          <w:rFonts w:ascii="Calibri" w:eastAsia="Times New Roman" w:hAnsi="Calibri" w:cs="Calibri"/>
          <w:b/>
          <w:bCs/>
          <w:color w:val="000000" w:themeColor="text1"/>
          <w:lang w:val="en-US"/>
        </w:rPr>
        <w:tab/>
        <w:t>Risk management (continued)</w:t>
      </w:r>
    </w:p>
    <w:p w14:paraId="6E404ED3" w14:textId="77777777" w:rsidR="00712478" w:rsidRPr="00537128" w:rsidRDefault="00712478" w:rsidP="00712478">
      <w:pPr>
        <w:tabs>
          <w:tab w:val="left" w:pos="709"/>
          <w:tab w:val="left" w:pos="851"/>
        </w:tabs>
        <w:spacing w:after="0" w:line="240" w:lineRule="auto"/>
        <w:jc w:val="both"/>
        <w:rPr>
          <w:rFonts w:ascii="Calibri" w:eastAsia="Times New Roman" w:hAnsi="Calibri" w:cs="Arial"/>
          <w:bCs/>
          <w:color w:val="000000" w:themeColor="text1"/>
          <w:lang w:val="en-US"/>
        </w:rPr>
      </w:pPr>
    </w:p>
    <w:p w14:paraId="341CF442" w14:textId="03830951" w:rsidR="00712478" w:rsidRPr="00537128" w:rsidRDefault="00B357CE" w:rsidP="00712478">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712478" w:rsidRPr="00537128">
        <w:rPr>
          <w:rFonts w:ascii="Calibri" w:eastAsia="Times New Roman" w:hAnsi="Calibri" w:cs="Arial"/>
          <w:b/>
          <w:color w:val="000000" w:themeColor="text1"/>
          <w:lang w:val="en-US"/>
        </w:rPr>
        <w:t xml:space="preserve">   Credit risk (continued)</w:t>
      </w:r>
    </w:p>
    <w:p w14:paraId="55D34857" w14:textId="77777777" w:rsidR="00712478" w:rsidRPr="00537128" w:rsidRDefault="00712478" w:rsidP="00712478">
      <w:pPr>
        <w:spacing w:after="0" w:line="240" w:lineRule="auto"/>
        <w:jc w:val="both"/>
        <w:rPr>
          <w:rFonts w:ascii="Calibri" w:eastAsia="Times New Roman" w:hAnsi="Calibri" w:cs="Arial"/>
          <w:bCs/>
          <w:color w:val="000000" w:themeColor="text1"/>
          <w:lang w:val="en-US"/>
        </w:rPr>
      </w:pPr>
    </w:p>
    <w:p w14:paraId="258B0C92" w14:textId="77777777" w:rsidR="00712478" w:rsidRPr="00537128" w:rsidRDefault="00712478" w:rsidP="00712478">
      <w:pPr>
        <w:spacing w:after="0"/>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Credit risk quality according to type of financial assets (continued)</w:t>
      </w:r>
    </w:p>
    <w:p w14:paraId="0EC69265" w14:textId="77777777" w:rsidR="004A287E" w:rsidRPr="00537128" w:rsidRDefault="004A287E" w:rsidP="004A287E">
      <w:pPr>
        <w:spacing w:after="0" w:line="240" w:lineRule="auto"/>
        <w:jc w:val="both"/>
        <w:rPr>
          <w:rFonts w:ascii="Calibri" w:eastAsia="Calibri" w:hAnsi="Calibri" w:cs="Arial"/>
          <w:bCs/>
          <w:color w:val="000000" w:themeColor="text1"/>
          <w:lang w:val="en-US"/>
        </w:rPr>
      </w:pPr>
    </w:p>
    <w:p w14:paraId="761FEF1E" w14:textId="4BE3D352" w:rsidR="004A287E" w:rsidRPr="00537128" w:rsidRDefault="004A287E" w:rsidP="004A287E">
      <w:pPr>
        <w:spacing w:after="0" w:line="240" w:lineRule="auto"/>
        <w:jc w:val="both"/>
        <w:rPr>
          <w:rFonts w:ascii="Calibri" w:eastAsia="Calibri" w:hAnsi="Calibri" w:cs="Arial"/>
          <w:bCs/>
          <w:color w:val="000000" w:themeColor="text1"/>
          <w:lang w:val="en-US"/>
        </w:rPr>
      </w:pPr>
      <w:r w:rsidRPr="00537128">
        <w:rPr>
          <w:rFonts w:ascii="Calibri" w:eastAsia="Calibri" w:hAnsi="Calibri" w:cs="Arial"/>
          <w:bCs/>
          <w:color w:val="000000" w:themeColor="text1"/>
          <w:lang w:val="en-US"/>
        </w:rPr>
        <w:t>As at 31 March 202</w:t>
      </w:r>
      <w:r w:rsidR="00945652">
        <w:rPr>
          <w:rFonts w:ascii="Calibri" w:eastAsia="Calibri" w:hAnsi="Calibri" w:cs="Arial"/>
          <w:bCs/>
          <w:color w:val="000000" w:themeColor="text1"/>
          <w:lang w:val="en-US"/>
        </w:rPr>
        <w:t>2</w:t>
      </w:r>
      <w:r w:rsidRPr="00537128">
        <w:rPr>
          <w:rFonts w:ascii="Calibri" w:eastAsia="Calibri" w:hAnsi="Calibri" w:cs="Arial"/>
          <w:bCs/>
          <w:color w:val="000000" w:themeColor="text1"/>
          <w:lang w:val="en-US"/>
        </w:rPr>
        <w:t xml:space="preserve"> in the total net highest exposure of the Group and the Bank after the effect of mitigation through collateral received, the amount of loans to other customers of </w:t>
      </w:r>
      <w:r w:rsidRPr="00353692">
        <w:rPr>
          <w:rFonts w:ascii="Calibri" w:eastAsia="Calibri" w:hAnsi="Calibri" w:cs="Arial"/>
          <w:bCs/>
          <w:color w:val="000000" w:themeColor="text1"/>
          <w:lang w:val="en-US"/>
        </w:rPr>
        <w:t xml:space="preserve">HRK </w:t>
      </w:r>
      <w:r w:rsidR="00A0230F" w:rsidRPr="00353692">
        <w:rPr>
          <w:rFonts w:ascii="Calibri" w:eastAsia="Calibri" w:hAnsi="Calibri" w:cs="Arial"/>
          <w:bCs/>
          <w:color w:val="000000" w:themeColor="text1"/>
          <w:lang w:val="en-US"/>
        </w:rPr>
        <w:t>1,</w:t>
      </w:r>
      <w:r w:rsidR="00353692" w:rsidRPr="00353692">
        <w:rPr>
          <w:rFonts w:ascii="Calibri" w:eastAsia="Calibri" w:hAnsi="Calibri" w:cs="Arial"/>
          <w:bCs/>
          <w:color w:val="000000" w:themeColor="text1"/>
          <w:lang w:val="en-US"/>
        </w:rPr>
        <w:t>436</w:t>
      </w:r>
      <w:r w:rsidR="00A0230F" w:rsidRPr="00353692">
        <w:rPr>
          <w:rFonts w:ascii="Calibri" w:eastAsia="Calibri" w:hAnsi="Calibri" w:cs="Arial"/>
          <w:bCs/>
          <w:color w:val="000000" w:themeColor="text1"/>
          <w:lang w:val="en-US"/>
        </w:rPr>
        <w:t>,</w:t>
      </w:r>
      <w:r w:rsidR="00353692" w:rsidRPr="00353692">
        <w:rPr>
          <w:rFonts w:ascii="Calibri" w:eastAsia="Calibri" w:hAnsi="Calibri" w:cs="Arial"/>
          <w:bCs/>
          <w:color w:val="000000" w:themeColor="text1"/>
          <w:lang w:val="en-US"/>
        </w:rPr>
        <w:t>067</w:t>
      </w:r>
      <w:r w:rsidR="00A0230F">
        <w:rPr>
          <w:rFonts w:ascii="Calibri" w:eastAsia="Calibri" w:hAnsi="Calibri" w:cs="Arial"/>
          <w:bCs/>
          <w:color w:val="000000" w:themeColor="text1"/>
          <w:lang w:val="en-US"/>
        </w:rPr>
        <w:t xml:space="preserve"> </w:t>
      </w:r>
      <w:r w:rsidRPr="00537128">
        <w:rPr>
          <w:rFonts w:ascii="Calibri" w:eastAsia="Calibri" w:hAnsi="Calibri" w:cs="Arial"/>
          <w:bCs/>
          <w:color w:val="000000" w:themeColor="text1"/>
          <w:lang w:val="en-US"/>
        </w:rPr>
        <w:t xml:space="preserve">thousand is not covered by ordinary collateral, but it relates to receivables and received funds from the Republic of Croatia of HRK </w:t>
      </w:r>
      <w:r w:rsidR="00353692" w:rsidRPr="00353692">
        <w:rPr>
          <w:rFonts w:ascii="Calibri" w:eastAsia="Calibri" w:hAnsi="Calibri" w:cs="Arial"/>
          <w:bCs/>
          <w:color w:val="000000" w:themeColor="text1"/>
          <w:lang w:val="en-US"/>
        </w:rPr>
        <w:t>468</w:t>
      </w:r>
      <w:r w:rsidR="00A0230F" w:rsidRPr="00353692">
        <w:rPr>
          <w:rFonts w:ascii="Calibri" w:eastAsia="Calibri" w:hAnsi="Calibri" w:cs="Arial"/>
          <w:bCs/>
          <w:color w:val="000000" w:themeColor="text1"/>
          <w:lang w:val="en-US"/>
        </w:rPr>
        <w:t>,</w:t>
      </w:r>
      <w:r w:rsidR="00353692" w:rsidRPr="00353692">
        <w:rPr>
          <w:rFonts w:ascii="Calibri" w:eastAsia="Calibri" w:hAnsi="Calibri" w:cs="Arial"/>
          <w:bCs/>
          <w:color w:val="000000" w:themeColor="text1"/>
          <w:lang w:val="en-US"/>
        </w:rPr>
        <w:t>330</w:t>
      </w:r>
      <w:r w:rsidR="00A0230F" w:rsidRPr="00353692">
        <w:rPr>
          <w:rFonts w:ascii="Calibri" w:eastAsia="Calibri" w:hAnsi="Calibri" w:cs="Arial"/>
          <w:bCs/>
          <w:color w:val="000000" w:themeColor="text1"/>
          <w:lang w:val="en-US"/>
        </w:rPr>
        <w:t xml:space="preserve"> </w:t>
      </w:r>
      <w:r w:rsidRPr="00353692">
        <w:rPr>
          <w:rFonts w:ascii="Calibri" w:eastAsia="Calibri" w:hAnsi="Calibri" w:cs="Arial"/>
          <w:bCs/>
          <w:color w:val="000000" w:themeColor="text1"/>
          <w:lang w:val="en-US"/>
        </w:rPr>
        <w:t>thousand</w:t>
      </w:r>
      <w:r w:rsidRPr="00537128">
        <w:rPr>
          <w:rFonts w:ascii="Calibri" w:eastAsia="Calibri" w:hAnsi="Calibri" w:cs="Arial"/>
          <w:bCs/>
          <w:color w:val="000000" w:themeColor="text1"/>
          <w:lang w:val="en-US"/>
        </w:rPr>
        <w:t xml:space="preserve">, local and regional authorities of HRK </w:t>
      </w:r>
      <w:r w:rsidR="00353692" w:rsidRPr="00353692">
        <w:rPr>
          <w:rFonts w:ascii="Calibri" w:eastAsia="Calibri" w:hAnsi="Calibri" w:cs="Arial"/>
          <w:bCs/>
          <w:color w:val="000000" w:themeColor="text1"/>
          <w:lang w:val="en-US"/>
        </w:rPr>
        <w:t>793</w:t>
      </w:r>
      <w:r w:rsidR="00A0230F" w:rsidRPr="00353692">
        <w:rPr>
          <w:rFonts w:ascii="Calibri" w:eastAsia="Calibri" w:hAnsi="Calibri" w:cs="Arial"/>
          <w:bCs/>
          <w:color w:val="000000" w:themeColor="text1"/>
          <w:lang w:val="en-US"/>
        </w:rPr>
        <w:t>,</w:t>
      </w:r>
      <w:r w:rsidR="00353692" w:rsidRPr="00353692">
        <w:rPr>
          <w:rFonts w:ascii="Calibri" w:eastAsia="Calibri" w:hAnsi="Calibri" w:cs="Arial"/>
          <w:bCs/>
          <w:color w:val="000000" w:themeColor="text1"/>
          <w:lang w:val="en-US"/>
        </w:rPr>
        <w:t>628</w:t>
      </w:r>
      <w:r w:rsidR="00A0230F" w:rsidRPr="00A0230F">
        <w:rPr>
          <w:rFonts w:ascii="Calibri" w:eastAsia="Calibri" w:hAnsi="Calibri" w:cs="Arial"/>
          <w:bCs/>
          <w:color w:val="000000" w:themeColor="text1"/>
          <w:lang w:val="en-US"/>
        </w:rPr>
        <w:t xml:space="preserve"> </w:t>
      </w:r>
      <w:r w:rsidRPr="00537128">
        <w:rPr>
          <w:rFonts w:ascii="Calibri" w:eastAsia="Calibri" w:hAnsi="Calibri" w:cs="Arial"/>
          <w:bCs/>
          <w:color w:val="000000" w:themeColor="text1"/>
          <w:lang w:val="en-US"/>
        </w:rPr>
        <w:t xml:space="preserve">thousand and public companies for whose liabilities the Republic of Croatia guarantees jointly and unconditionally of </w:t>
      </w:r>
      <w:r w:rsidRPr="00353692">
        <w:rPr>
          <w:rFonts w:ascii="Calibri" w:eastAsia="Calibri" w:hAnsi="Calibri" w:cs="Arial"/>
          <w:bCs/>
          <w:color w:val="000000" w:themeColor="text1"/>
          <w:lang w:val="en-US"/>
        </w:rPr>
        <w:t xml:space="preserve">HRK </w:t>
      </w:r>
      <w:r w:rsidR="00A0230F" w:rsidRPr="00353692">
        <w:rPr>
          <w:rFonts w:ascii="Calibri" w:eastAsia="Calibri" w:hAnsi="Calibri" w:cs="Arial"/>
          <w:bCs/>
          <w:color w:val="000000" w:themeColor="text1"/>
          <w:lang w:val="en-US"/>
        </w:rPr>
        <w:t>1</w:t>
      </w:r>
      <w:r w:rsidR="00353692" w:rsidRPr="00353692">
        <w:rPr>
          <w:rFonts w:ascii="Calibri" w:eastAsia="Calibri" w:hAnsi="Calibri" w:cs="Arial"/>
          <w:bCs/>
          <w:color w:val="000000" w:themeColor="text1"/>
          <w:lang w:val="en-US"/>
        </w:rPr>
        <w:t>74</w:t>
      </w:r>
      <w:r w:rsidR="00A0230F" w:rsidRPr="00353692">
        <w:rPr>
          <w:rFonts w:ascii="Calibri" w:eastAsia="Calibri" w:hAnsi="Calibri" w:cs="Arial"/>
          <w:bCs/>
          <w:color w:val="000000" w:themeColor="text1"/>
          <w:lang w:val="en-US"/>
        </w:rPr>
        <w:t>,</w:t>
      </w:r>
      <w:r w:rsidR="00353692" w:rsidRPr="00353692">
        <w:rPr>
          <w:rFonts w:ascii="Calibri" w:eastAsia="Calibri" w:hAnsi="Calibri" w:cs="Arial"/>
          <w:bCs/>
          <w:color w:val="000000" w:themeColor="text1"/>
          <w:lang w:val="en-US"/>
        </w:rPr>
        <w:t>109</w:t>
      </w:r>
      <w:r w:rsidR="00353692">
        <w:rPr>
          <w:rFonts w:ascii="Calibri" w:eastAsia="Calibri" w:hAnsi="Calibri" w:cs="Arial"/>
          <w:bCs/>
          <w:color w:val="000000" w:themeColor="text1"/>
          <w:lang w:val="en-US"/>
        </w:rPr>
        <w:t xml:space="preserve"> </w:t>
      </w:r>
      <w:r w:rsidRPr="00537128">
        <w:rPr>
          <w:rFonts w:ascii="Calibri" w:eastAsia="Calibri" w:hAnsi="Calibri" w:cs="Arial"/>
          <w:bCs/>
          <w:color w:val="000000" w:themeColor="text1"/>
          <w:lang w:val="en-US"/>
        </w:rPr>
        <w:t>thousand.</w:t>
      </w:r>
    </w:p>
    <w:p w14:paraId="42254C08" w14:textId="77777777" w:rsidR="004A287E" w:rsidRPr="00537128" w:rsidRDefault="004A287E" w:rsidP="004A287E">
      <w:pPr>
        <w:spacing w:after="0" w:line="240" w:lineRule="auto"/>
        <w:jc w:val="both"/>
        <w:rPr>
          <w:rFonts w:ascii="Calibri" w:eastAsia="Calibri" w:hAnsi="Calibri" w:cs="Arial"/>
          <w:bCs/>
          <w:color w:val="000000" w:themeColor="text1"/>
          <w:lang w:val="en-US"/>
        </w:rPr>
      </w:pPr>
    </w:p>
    <w:p w14:paraId="2BE2ABBE" w14:textId="174BE9A4" w:rsidR="004A287E" w:rsidRPr="00537128" w:rsidRDefault="004A287E" w:rsidP="004A287E">
      <w:pPr>
        <w:spacing w:after="0" w:line="240" w:lineRule="auto"/>
        <w:jc w:val="both"/>
        <w:rPr>
          <w:rFonts w:ascii="Calibri" w:eastAsia="Calibri" w:hAnsi="Calibri" w:cs="Arial"/>
          <w:bCs/>
          <w:color w:val="000000" w:themeColor="text1"/>
          <w:lang w:val="en-US"/>
        </w:rPr>
      </w:pPr>
      <w:r w:rsidRPr="00537128">
        <w:rPr>
          <w:rFonts w:ascii="Calibri" w:eastAsia="Calibri" w:hAnsi="Calibri" w:cs="Arial"/>
          <w:bCs/>
          <w:color w:val="000000" w:themeColor="text1"/>
          <w:lang w:val="en-US"/>
        </w:rPr>
        <w:t xml:space="preserve">As </w:t>
      </w:r>
      <w:proofErr w:type="gramStart"/>
      <w:r w:rsidRPr="00537128">
        <w:rPr>
          <w:rFonts w:ascii="Calibri" w:eastAsia="Calibri" w:hAnsi="Calibri" w:cs="Arial"/>
          <w:bCs/>
          <w:color w:val="000000" w:themeColor="text1"/>
          <w:lang w:val="en-US"/>
        </w:rPr>
        <w:t>at</w:t>
      </w:r>
      <w:proofErr w:type="gramEnd"/>
      <w:r w:rsidRPr="00537128">
        <w:rPr>
          <w:rFonts w:ascii="Calibri" w:eastAsia="Calibri" w:hAnsi="Calibri" w:cs="Arial"/>
          <w:bCs/>
          <w:color w:val="000000" w:themeColor="text1"/>
          <w:lang w:val="en-US"/>
        </w:rPr>
        <w:t xml:space="preserve"> 31 March 202</w:t>
      </w:r>
      <w:r w:rsidR="006D0AE7">
        <w:rPr>
          <w:rFonts w:ascii="Calibri" w:eastAsia="Calibri" w:hAnsi="Calibri" w:cs="Arial"/>
          <w:bCs/>
          <w:color w:val="000000" w:themeColor="text1"/>
          <w:lang w:val="en-US"/>
        </w:rPr>
        <w:t>2</w:t>
      </w:r>
      <w:r w:rsidRPr="00537128">
        <w:rPr>
          <w:rFonts w:ascii="Calibri" w:eastAsia="Calibri" w:hAnsi="Calibri" w:cs="Arial"/>
          <w:bCs/>
          <w:color w:val="000000" w:themeColor="text1"/>
          <w:lang w:val="en-US"/>
        </w:rPr>
        <w:t xml:space="preserve"> the amount of financial assets at fair value through other comprehensive income is not covered by ordinary collateral but it relates to government bonds and treasury bills of the Ministry of Finance of </w:t>
      </w:r>
      <w:r w:rsidRPr="008514CB">
        <w:rPr>
          <w:rFonts w:ascii="Calibri" w:eastAsia="Calibri" w:hAnsi="Calibri" w:cs="Arial"/>
          <w:bCs/>
          <w:color w:val="000000" w:themeColor="text1"/>
          <w:lang w:val="en-US"/>
        </w:rPr>
        <w:t xml:space="preserve">HRK </w:t>
      </w:r>
      <w:r w:rsidR="00A0230F" w:rsidRPr="008514CB">
        <w:rPr>
          <w:rFonts w:ascii="Calibri" w:eastAsia="Calibri" w:hAnsi="Calibri" w:cs="Arial"/>
          <w:bCs/>
          <w:color w:val="000000" w:themeColor="text1"/>
          <w:lang w:val="en-US"/>
        </w:rPr>
        <w:t>3,</w:t>
      </w:r>
      <w:r w:rsidR="008514CB" w:rsidRPr="008514CB">
        <w:rPr>
          <w:rFonts w:ascii="Calibri" w:eastAsia="Calibri" w:hAnsi="Calibri" w:cs="Arial"/>
          <w:bCs/>
          <w:color w:val="000000" w:themeColor="text1"/>
          <w:lang w:val="en-US"/>
        </w:rPr>
        <w:t>201</w:t>
      </w:r>
      <w:r w:rsidR="00A0230F" w:rsidRPr="008514CB">
        <w:rPr>
          <w:rFonts w:ascii="Calibri" w:eastAsia="Calibri" w:hAnsi="Calibri" w:cs="Arial"/>
          <w:bCs/>
          <w:color w:val="000000" w:themeColor="text1"/>
          <w:lang w:val="en-US"/>
        </w:rPr>
        <w:t>,</w:t>
      </w:r>
      <w:r w:rsidR="008514CB" w:rsidRPr="008514CB">
        <w:rPr>
          <w:rFonts w:ascii="Calibri" w:eastAsia="Calibri" w:hAnsi="Calibri" w:cs="Arial"/>
          <w:bCs/>
          <w:color w:val="000000" w:themeColor="text1"/>
          <w:lang w:val="en-US"/>
        </w:rPr>
        <w:t>089</w:t>
      </w:r>
      <w:r w:rsidR="00A0230F" w:rsidRPr="008514CB">
        <w:rPr>
          <w:rFonts w:ascii="Calibri" w:eastAsia="Calibri" w:hAnsi="Calibri" w:cs="Arial"/>
          <w:bCs/>
          <w:color w:val="000000" w:themeColor="text1"/>
          <w:lang w:val="en-US"/>
        </w:rPr>
        <w:t xml:space="preserve"> </w:t>
      </w:r>
      <w:r w:rsidRPr="008514CB">
        <w:rPr>
          <w:rFonts w:ascii="Calibri" w:eastAsia="Calibri" w:hAnsi="Calibri" w:cs="Arial"/>
          <w:bCs/>
          <w:color w:val="000000" w:themeColor="text1"/>
          <w:lang w:val="en-US"/>
        </w:rPr>
        <w:t>thousand</w:t>
      </w:r>
      <w:r w:rsidRPr="00537128">
        <w:rPr>
          <w:rFonts w:ascii="Calibri" w:eastAsia="Calibri" w:hAnsi="Calibri" w:cs="Arial"/>
          <w:bCs/>
          <w:color w:val="000000" w:themeColor="text1"/>
          <w:lang w:val="en-US"/>
        </w:rPr>
        <w:t xml:space="preserve"> for the Group and </w:t>
      </w:r>
      <w:r w:rsidRPr="008514CB">
        <w:rPr>
          <w:rFonts w:ascii="Calibri" w:eastAsia="Calibri" w:hAnsi="Calibri" w:cs="Arial"/>
          <w:bCs/>
          <w:color w:val="000000" w:themeColor="text1"/>
          <w:lang w:val="en-US"/>
        </w:rPr>
        <w:t xml:space="preserve">HRK </w:t>
      </w:r>
      <w:r w:rsidR="00A0230F" w:rsidRPr="008514CB">
        <w:rPr>
          <w:rFonts w:ascii="Calibri" w:eastAsia="Calibri" w:hAnsi="Calibri" w:cs="Arial"/>
          <w:bCs/>
          <w:color w:val="000000" w:themeColor="text1"/>
          <w:lang w:val="en-US"/>
        </w:rPr>
        <w:t>3,</w:t>
      </w:r>
      <w:r w:rsidR="008514CB" w:rsidRPr="008514CB">
        <w:rPr>
          <w:rFonts w:ascii="Calibri" w:eastAsia="Calibri" w:hAnsi="Calibri" w:cs="Arial"/>
          <w:bCs/>
          <w:color w:val="000000" w:themeColor="text1"/>
          <w:lang w:val="en-US"/>
        </w:rPr>
        <w:t>150</w:t>
      </w:r>
      <w:r w:rsidR="00A0230F" w:rsidRPr="008514CB">
        <w:rPr>
          <w:rFonts w:ascii="Calibri" w:eastAsia="Calibri" w:hAnsi="Calibri" w:cs="Arial"/>
          <w:bCs/>
          <w:color w:val="000000" w:themeColor="text1"/>
          <w:lang w:val="en-US"/>
        </w:rPr>
        <w:t>,</w:t>
      </w:r>
      <w:r w:rsidR="008514CB" w:rsidRPr="008514CB">
        <w:rPr>
          <w:rFonts w:ascii="Calibri" w:eastAsia="Calibri" w:hAnsi="Calibri" w:cs="Arial"/>
          <w:bCs/>
          <w:color w:val="000000" w:themeColor="text1"/>
          <w:lang w:val="en-US"/>
        </w:rPr>
        <w:t>353</w:t>
      </w:r>
      <w:r w:rsidR="00A0230F" w:rsidRPr="008514CB">
        <w:rPr>
          <w:rFonts w:ascii="Calibri" w:eastAsia="Calibri" w:hAnsi="Calibri" w:cs="Arial"/>
          <w:bCs/>
          <w:color w:val="000000" w:themeColor="text1"/>
          <w:lang w:val="en-US"/>
        </w:rPr>
        <w:t xml:space="preserve"> </w:t>
      </w:r>
      <w:r w:rsidRPr="008514CB">
        <w:rPr>
          <w:rFonts w:ascii="Calibri" w:eastAsia="Calibri" w:hAnsi="Calibri" w:cs="Arial"/>
          <w:bCs/>
          <w:color w:val="000000" w:themeColor="text1"/>
          <w:lang w:val="en-US"/>
        </w:rPr>
        <w:t>thousand</w:t>
      </w:r>
      <w:r w:rsidRPr="00537128">
        <w:rPr>
          <w:rFonts w:ascii="Calibri" w:eastAsia="Calibri" w:hAnsi="Calibri" w:cs="Arial"/>
          <w:bCs/>
          <w:color w:val="000000" w:themeColor="text1"/>
          <w:lang w:val="en-US"/>
        </w:rPr>
        <w:t xml:space="preserve"> for the Bank.</w:t>
      </w:r>
    </w:p>
    <w:p w14:paraId="31E373E3" w14:textId="77777777" w:rsidR="004A287E" w:rsidRPr="00537128" w:rsidRDefault="004A287E" w:rsidP="004A287E">
      <w:pPr>
        <w:spacing w:after="0" w:line="240" w:lineRule="auto"/>
        <w:jc w:val="both"/>
        <w:rPr>
          <w:rFonts w:ascii="Calibri" w:eastAsia="Calibri" w:hAnsi="Calibri" w:cs="Arial"/>
          <w:bCs/>
          <w:color w:val="000000" w:themeColor="text1"/>
          <w:lang w:val="en-US"/>
        </w:rPr>
      </w:pPr>
    </w:p>
    <w:p w14:paraId="32F73124" w14:textId="30E4772B" w:rsidR="00712478" w:rsidRPr="00537128" w:rsidRDefault="004A287E" w:rsidP="004A287E">
      <w:pPr>
        <w:spacing w:after="0" w:line="240" w:lineRule="auto"/>
        <w:jc w:val="both"/>
        <w:rPr>
          <w:rFonts w:ascii="Calibri" w:eastAsia="Times New Roman" w:hAnsi="Calibri" w:cs="Arial"/>
          <w:color w:val="000000" w:themeColor="text1"/>
          <w:lang w:val="en-US"/>
        </w:rPr>
      </w:pPr>
      <w:r w:rsidRPr="00537128">
        <w:rPr>
          <w:rFonts w:ascii="Calibri" w:eastAsia="Calibri" w:hAnsi="Calibri" w:cs="Arial"/>
          <w:bCs/>
          <w:color w:val="000000" w:themeColor="text1"/>
          <w:lang w:val="en-US"/>
        </w:rPr>
        <w:t xml:space="preserve">As </w:t>
      </w:r>
      <w:proofErr w:type="gramStart"/>
      <w:r w:rsidRPr="00537128">
        <w:rPr>
          <w:rFonts w:ascii="Calibri" w:eastAsia="Calibri" w:hAnsi="Calibri" w:cs="Arial"/>
          <w:bCs/>
          <w:color w:val="000000" w:themeColor="text1"/>
          <w:lang w:val="en-US"/>
        </w:rPr>
        <w:t>at</w:t>
      </w:r>
      <w:proofErr w:type="gramEnd"/>
      <w:r w:rsidRPr="00537128">
        <w:rPr>
          <w:rFonts w:ascii="Calibri" w:eastAsia="Calibri" w:hAnsi="Calibri" w:cs="Arial"/>
          <w:bCs/>
          <w:color w:val="000000" w:themeColor="text1"/>
          <w:lang w:val="en-US"/>
        </w:rPr>
        <w:t xml:space="preserve"> 31 March 202</w:t>
      </w:r>
      <w:r w:rsidR="009C49A1">
        <w:rPr>
          <w:rFonts w:ascii="Calibri" w:eastAsia="Calibri" w:hAnsi="Calibri" w:cs="Arial"/>
          <w:bCs/>
          <w:color w:val="000000" w:themeColor="text1"/>
          <w:lang w:val="en-US"/>
        </w:rPr>
        <w:t>2</w:t>
      </w:r>
      <w:r w:rsidRPr="00537128">
        <w:rPr>
          <w:rFonts w:ascii="Calibri" w:eastAsia="Calibri" w:hAnsi="Calibri" w:cs="Arial"/>
          <w:bCs/>
          <w:color w:val="000000" w:themeColor="text1"/>
          <w:lang w:val="en-US"/>
        </w:rPr>
        <w:t xml:space="preserve"> other assets of HRK </w:t>
      </w:r>
      <w:r w:rsidR="00A0230F" w:rsidRPr="008514CB">
        <w:rPr>
          <w:rFonts w:ascii="Calibri" w:eastAsia="Calibri" w:hAnsi="Calibri" w:cs="Arial"/>
          <w:bCs/>
          <w:color w:val="000000" w:themeColor="text1"/>
          <w:lang w:val="en-US"/>
        </w:rPr>
        <w:t>1</w:t>
      </w:r>
      <w:r w:rsidR="008514CB" w:rsidRPr="008514CB">
        <w:rPr>
          <w:rFonts w:ascii="Calibri" w:eastAsia="Calibri" w:hAnsi="Calibri" w:cs="Arial"/>
          <w:bCs/>
          <w:color w:val="000000" w:themeColor="text1"/>
          <w:lang w:val="en-US"/>
        </w:rPr>
        <w:t>6</w:t>
      </w:r>
      <w:r w:rsidR="00A0230F" w:rsidRPr="008514CB">
        <w:rPr>
          <w:rFonts w:ascii="Calibri" w:eastAsia="Calibri" w:hAnsi="Calibri" w:cs="Arial"/>
          <w:bCs/>
          <w:color w:val="000000" w:themeColor="text1"/>
          <w:lang w:val="en-US"/>
        </w:rPr>
        <w:t xml:space="preserve">3 </w:t>
      </w:r>
      <w:r w:rsidRPr="008514CB">
        <w:rPr>
          <w:rFonts w:ascii="Calibri" w:eastAsia="Calibri" w:hAnsi="Calibri" w:cs="Arial"/>
          <w:bCs/>
          <w:color w:val="000000" w:themeColor="text1"/>
          <w:lang w:val="en-US"/>
        </w:rPr>
        <w:t>t</w:t>
      </w:r>
      <w:r w:rsidRPr="00537128">
        <w:rPr>
          <w:rFonts w:ascii="Calibri" w:eastAsia="Calibri" w:hAnsi="Calibri" w:cs="Arial"/>
          <w:bCs/>
          <w:color w:val="000000" w:themeColor="text1"/>
          <w:lang w:val="en-US"/>
        </w:rPr>
        <w:t>housand are not covered by ordinary collateral, but relate to receivables from the Republic of Croatia and the government funds.</w:t>
      </w:r>
    </w:p>
    <w:p w14:paraId="3889B914" w14:textId="77777777" w:rsidR="004A287E" w:rsidRPr="00537128" w:rsidRDefault="004A287E" w:rsidP="004A287E">
      <w:pPr>
        <w:spacing w:after="0" w:line="240" w:lineRule="auto"/>
        <w:jc w:val="both"/>
        <w:rPr>
          <w:rFonts w:ascii="Calibri" w:eastAsia="Times New Roman" w:hAnsi="Calibri" w:cs="Arial"/>
          <w:color w:val="000000" w:themeColor="text1"/>
          <w:lang w:val="en-US"/>
        </w:rPr>
      </w:pPr>
    </w:p>
    <w:p w14:paraId="25CB4A51" w14:textId="72B312E0" w:rsidR="004A287E" w:rsidRPr="00537128" w:rsidRDefault="004A287E" w:rsidP="004A287E">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As at 31 December 202</w:t>
      </w:r>
      <w:r w:rsidR="009C49A1">
        <w:rPr>
          <w:rFonts w:ascii="Calibri" w:eastAsia="Times New Roman" w:hAnsi="Calibri" w:cs="Arial"/>
          <w:color w:val="000000" w:themeColor="text1"/>
          <w:lang w:val="en-US"/>
        </w:rPr>
        <w:t>1</w:t>
      </w:r>
      <w:r w:rsidRPr="00537128">
        <w:rPr>
          <w:rFonts w:ascii="Calibri" w:eastAsia="Times New Roman" w:hAnsi="Calibri" w:cs="Arial"/>
          <w:color w:val="000000" w:themeColor="text1"/>
          <w:lang w:val="en-US"/>
        </w:rPr>
        <w:t xml:space="preserve"> in the total net highest exposure of the Group and the Bank after the effect of mitigation through collateral received, the amount of loans to other customers of HRK 1,</w:t>
      </w:r>
      <w:r w:rsidR="00F34C8E">
        <w:rPr>
          <w:rFonts w:ascii="Calibri" w:eastAsia="Times New Roman" w:hAnsi="Calibri" w:cs="Arial"/>
          <w:color w:val="000000" w:themeColor="text1"/>
          <w:lang w:val="en-US"/>
        </w:rPr>
        <w:t>436</w:t>
      </w:r>
      <w:r w:rsidRPr="00537128">
        <w:rPr>
          <w:rFonts w:ascii="Calibri" w:eastAsia="Times New Roman" w:hAnsi="Calibri" w:cs="Arial"/>
          <w:color w:val="000000" w:themeColor="text1"/>
          <w:lang w:val="en-US"/>
        </w:rPr>
        <w:t>,</w:t>
      </w:r>
      <w:r w:rsidR="00F34C8E">
        <w:rPr>
          <w:rFonts w:ascii="Calibri" w:eastAsia="Times New Roman" w:hAnsi="Calibri" w:cs="Arial"/>
          <w:color w:val="000000" w:themeColor="text1"/>
          <w:lang w:val="en-US"/>
        </w:rPr>
        <w:t>818</w:t>
      </w:r>
      <w:r w:rsidRPr="00537128">
        <w:rPr>
          <w:rFonts w:ascii="Calibri" w:eastAsia="Times New Roman" w:hAnsi="Calibri" w:cs="Arial"/>
          <w:color w:val="000000" w:themeColor="text1"/>
          <w:lang w:val="en-US"/>
        </w:rPr>
        <w:t xml:space="preserve"> thousand is not covered by ordinary collateral, but it relates to receivables and received funds from the Republic of Croatia of HRK </w:t>
      </w:r>
      <w:r w:rsidR="00F34C8E">
        <w:rPr>
          <w:rFonts w:ascii="Calibri" w:eastAsia="Times New Roman" w:hAnsi="Calibri" w:cs="Arial"/>
          <w:color w:val="000000" w:themeColor="text1"/>
          <w:lang w:val="en-US"/>
        </w:rPr>
        <w:t>478</w:t>
      </w:r>
      <w:r w:rsidRPr="00537128">
        <w:rPr>
          <w:rFonts w:ascii="Calibri" w:eastAsia="Times New Roman" w:hAnsi="Calibri" w:cs="Arial"/>
          <w:color w:val="000000" w:themeColor="text1"/>
          <w:lang w:val="en-US"/>
        </w:rPr>
        <w:t>,</w:t>
      </w:r>
      <w:r w:rsidR="00F34C8E">
        <w:rPr>
          <w:rFonts w:ascii="Calibri" w:eastAsia="Times New Roman" w:hAnsi="Calibri" w:cs="Arial"/>
          <w:color w:val="000000" w:themeColor="text1"/>
          <w:lang w:val="en-US"/>
        </w:rPr>
        <w:t>759</w:t>
      </w:r>
      <w:r w:rsidRPr="00537128">
        <w:rPr>
          <w:rFonts w:ascii="Calibri" w:eastAsia="Times New Roman" w:hAnsi="Calibri" w:cs="Arial"/>
          <w:color w:val="000000" w:themeColor="text1"/>
          <w:lang w:val="en-US"/>
        </w:rPr>
        <w:t xml:space="preserve"> thousand, local and regional authorities of HRK </w:t>
      </w:r>
      <w:r w:rsidR="004568C1">
        <w:rPr>
          <w:rFonts w:ascii="Calibri" w:eastAsia="Times New Roman" w:hAnsi="Calibri" w:cs="Arial"/>
          <w:color w:val="000000" w:themeColor="text1"/>
          <w:lang w:val="en-US"/>
        </w:rPr>
        <w:t>777</w:t>
      </w:r>
      <w:r w:rsidRPr="00537128">
        <w:rPr>
          <w:rFonts w:ascii="Calibri" w:eastAsia="Times New Roman" w:hAnsi="Calibri" w:cs="Arial"/>
          <w:color w:val="000000" w:themeColor="text1"/>
          <w:lang w:val="en-US"/>
        </w:rPr>
        <w:t>,</w:t>
      </w:r>
      <w:r w:rsidR="004568C1">
        <w:rPr>
          <w:rFonts w:ascii="Calibri" w:eastAsia="Times New Roman" w:hAnsi="Calibri" w:cs="Arial"/>
          <w:color w:val="000000" w:themeColor="text1"/>
          <w:lang w:val="en-US"/>
        </w:rPr>
        <w:t>947</w:t>
      </w:r>
      <w:r w:rsidRPr="00537128">
        <w:rPr>
          <w:rFonts w:ascii="Calibri" w:eastAsia="Times New Roman" w:hAnsi="Calibri" w:cs="Arial"/>
          <w:color w:val="000000" w:themeColor="text1"/>
          <w:lang w:val="en-US"/>
        </w:rPr>
        <w:t xml:space="preserve"> thousand and public companies for whose liabilities the Republic of Croatia guarantees jointly and unconditionally of HRK </w:t>
      </w:r>
      <w:r w:rsidR="009B1E90">
        <w:rPr>
          <w:rFonts w:ascii="Calibri" w:eastAsia="Times New Roman" w:hAnsi="Calibri" w:cs="Arial"/>
          <w:color w:val="000000" w:themeColor="text1"/>
          <w:lang w:val="en-US"/>
        </w:rPr>
        <w:t>180</w:t>
      </w:r>
      <w:r w:rsidRPr="00537128">
        <w:rPr>
          <w:rFonts w:ascii="Calibri" w:eastAsia="Times New Roman" w:hAnsi="Calibri" w:cs="Arial"/>
          <w:color w:val="000000" w:themeColor="text1"/>
          <w:lang w:val="en-US"/>
        </w:rPr>
        <w:t>,</w:t>
      </w:r>
      <w:r w:rsidR="009B1E90">
        <w:rPr>
          <w:rFonts w:ascii="Calibri" w:eastAsia="Times New Roman" w:hAnsi="Calibri" w:cs="Arial"/>
          <w:color w:val="000000" w:themeColor="text1"/>
          <w:lang w:val="en-US"/>
        </w:rPr>
        <w:t>112</w:t>
      </w:r>
      <w:r w:rsidRPr="00537128">
        <w:rPr>
          <w:rFonts w:ascii="Calibri" w:eastAsia="Times New Roman" w:hAnsi="Calibri" w:cs="Arial"/>
          <w:color w:val="000000" w:themeColor="text1"/>
          <w:lang w:val="en-US"/>
        </w:rPr>
        <w:t xml:space="preserve"> thousand.</w:t>
      </w:r>
    </w:p>
    <w:p w14:paraId="02EED9F3" w14:textId="77777777" w:rsidR="004A287E" w:rsidRPr="00537128" w:rsidRDefault="004A287E" w:rsidP="004A287E">
      <w:pPr>
        <w:spacing w:after="0" w:line="240" w:lineRule="auto"/>
        <w:jc w:val="both"/>
        <w:rPr>
          <w:rFonts w:ascii="Calibri" w:eastAsia="Times New Roman" w:hAnsi="Calibri" w:cs="Arial"/>
          <w:color w:val="000000" w:themeColor="text1"/>
          <w:lang w:val="en-US"/>
        </w:rPr>
      </w:pPr>
    </w:p>
    <w:p w14:paraId="202BEE8F" w14:textId="106B15E9" w:rsidR="004A287E" w:rsidRPr="00537128" w:rsidRDefault="004A287E" w:rsidP="004A287E">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 xml:space="preserve">As </w:t>
      </w:r>
      <w:proofErr w:type="gramStart"/>
      <w:r w:rsidRPr="00537128">
        <w:rPr>
          <w:rFonts w:ascii="Calibri" w:eastAsia="Times New Roman" w:hAnsi="Calibri" w:cs="Arial"/>
          <w:color w:val="000000" w:themeColor="text1"/>
          <w:lang w:val="en-US"/>
        </w:rPr>
        <w:t>at</w:t>
      </w:r>
      <w:proofErr w:type="gramEnd"/>
      <w:r w:rsidRPr="00537128">
        <w:rPr>
          <w:rFonts w:ascii="Calibri" w:eastAsia="Times New Roman" w:hAnsi="Calibri" w:cs="Arial"/>
          <w:color w:val="000000" w:themeColor="text1"/>
          <w:lang w:val="en-US"/>
        </w:rPr>
        <w:t xml:space="preserve"> 31 December 202</w:t>
      </w:r>
      <w:r w:rsidR="009B1E90">
        <w:rPr>
          <w:rFonts w:ascii="Calibri" w:eastAsia="Times New Roman" w:hAnsi="Calibri" w:cs="Arial"/>
          <w:color w:val="000000" w:themeColor="text1"/>
          <w:lang w:val="en-US"/>
        </w:rPr>
        <w:t>1</w:t>
      </w:r>
      <w:r w:rsidRPr="00537128">
        <w:rPr>
          <w:rFonts w:ascii="Calibri" w:eastAsia="Times New Roman" w:hAnsi="Calibri" w:cs="Arial"/>
          <w:color w:val="000000" w:themeColor="text1"/>
          <w:lang w:val="en-US"/>
        </w:rPr>
        <w:t xml:space="preserve"> the amount of financial assets at fair value through other comprehensive income is not covered by ordinary collateral but it relates to government bonds and treasury bills of the Ministry of Finance of HRK </w:t>
      </w:r>
      <w:r w:rsidR="009B1E90">
        <w:rPr>
          <w:rFonts w:ascii="Calibri" w:eastAsia="Times New Roman" w:hAnsi="Calibri" w:cs="Arial"/>
          <w:color w:val="000000" w:themeColor="text1"/>
          <w:lang w:val="en-US"/>
        </w:rPr>
        <w:t>2</w:t>
      </w:r>
      <w:r w:rsidRPr="00537128">
        <w:rPr>
          <w:rFonts w:ascii="Calibri" w:eastAsia="Times New Roman" w:hAnsi="Calibri" w:cs="Arial"/>
          <w:color w:val="000000" w:themeColor="text1"/>
          <w:lang w:val="en-US"/>
        </w:rPr>
        <w:t>,</w:t>
      </w:r>
      <w:r w:rsidR="009B1E90">
        <w:rPr>
          <w:rFonts w:ascii="Calibri" w:eastAsia="Times New Roman" w:hAnsi="Calibri" w:cs="Arial"/>
          <w:color w:val="000000" w:themeColor="text1"/>
          <w:lang w:val="en-US"/>
        </w:rPr>
        <w:t>924</w:t>
      </w:r>
      <w:r w:rsidRPr="00537128">
        <w:rPr>
          <w:rFonts w:ascii="Calibri" w:eastAsia="Times New Roman" w:hAnsi="Calibri" w:cs="Arial"/>
          <w:color w:val="000000" w:themeColor="text1"/>
          <w:lang w:val="en-US"/>
        </w:rPr>
        <w:t>,</w:t>
      </w:r>
      <w:r w:rsidR="009B1E90">
        <w:rPr>
          <w:rFonts w:ascii="Calibri" w:eastAsia="Times New Roman" w:hAnsi="Calibri" w:cs="Arial"/>
          <w:color w:val="000000" w:themeColor="text1"/>
          <w:lang w:val="en-US"/>
        </w:rPr>
        <w:t>943</w:t>
      </w:r>
      <w:r w:rsidRPr="00537128">
        <w:rPr>
          <w:rFonts w:ascii="Calibri" w:eastAsia="Times New Roman" w:hAnsi="Calibri" w:cs="Arial"/>
          <w:color w:val="000000" w:themeColor="text1"/>
          <w:lang w:val="en-US"/>
        </w:rPr>
        <w:t xml:space="preserve"> thousand for the Group and HRK </w:t>
      </w:r>
      <w:r w:rsidR="000F5124">
        <w:rPr>
          <w:rFonts w:ascii="Calibri" w:eastAsia="Times New Roman" w:hAnsi="Calibri" w:cs="Arial"/>
          <w:color w:val="000000" w:themeColor="text1"/>
          <w:lang w:val="en-US"/>
        </w:rPr>
        <w:t>2</w:t>
      </w:r>
      <w:r w:rsidRPr="00537128">
        <w:rPr>
          <w:rFonts w:ascii="Calibri" w:eastAsia="Times New Roman" w:hAnsi="Calibri" w:cs="Arial"/>
          <w:color w:val="000000" w:themeColor="text1"/>
          <w:lang w:val="en-US"/>
        </w:rPr>
        <w:t>,</w:t>
      </w:r>
      <w:r w:rsidR="000F5124">
        <w:rPr>
          <w:rFonts w:ascii="Calibri" w:eastAsia="Times New Roman" w:hAnsi="Calibri" w:cs="Arial"/>
          <w:color w:val="000000" w:themeColor="text1"/>
          <w:lang w:val="en-US"/>
        </w:rPr>
        <w:t>870</w:t>
      </w:r>
      <w:r w:rsidRPr="00537128">
        <w:rPr>
          <w:rFonts w:ascii="Calibri" w:eastAsia="Times New Roman" w:hAnsi="Calibri" w:cs="Arial"/>
          <w:color w:val="000000" w:themeColor="text1"/>
          <w:lang w:val="en-US"/>
        </w:rPr>
        <w:t>,</w:t>
      </w:r>
      <w:r w:rsidR="000F5124">
        <w:rPr>
          <w:rFonts w:ascii="Calibri" w:eastAsia="Times New Roman" w:hAnsi="Calibri" w:cs="Arial"/>
          <w:color w:val="000000" w:themeColor="text1"/>
          <w:lang w:val="en-US"/>
        </w:rPr>
        <w:t>512</w:t>
      </w:r>
      <w:r w:rsidRPr="00537128">
        <w:rPr>
          <w:rFonts w:ascii="Calibri" w:eastAsia="Times New Roman" w:hAnsi="Calibri" w:cs="Arial"/>
          <w:color w:val="000000" w:themeColor="text1"/>
          <w:lang w:val="en-US"/>
        </w:rPr>
        <w:t xml:space="preserve"> thousand for the Bank.</w:t>
      </w:r>
    </w:p>
    <w:p w14:paraId="506BAF07" w14:textId="77777777" w:rsidR="004A287E" w:rsidRPr="00537128" w:rsidRDefault="004A287E" w:rsidP="004A287E">
      <w:pPr>
        <w:spacing w:after="0" w:line="240" w:lineRule="auto"/>
        <w:jc w:val="both"/>
        <w:rPr>
          <w:rFonts w:ascii="Calibri" w:eastAsia="Times New Roman" w:hAnsi="Calibri" w:cs="Arial"/>
          <w:color w:val="000000" w:themeColor="text1"/>
          <w:lang w:val="en-US"/>
        </w:rPr>
      </w:pPr>
    </w:p>
    <w:p w14:paraId="42CC5C32" w14:textId="224987FE" w:rsidR="00712478" w:rsidRPr="00537128" w:rsidRDefault="004A287E" w:rsidP="004A287E">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 xml:space="preserve">As </w:t>
      </w:r>
      <w:proofErr w:type="gramStart"/>
      <w:r w:rsidRPr="00537128">
        <w:rPr>
          <w:rFonts w:ascii="Calibri" w:eastAsia="Times New Roman" w:hAnsi="Calibri" w:cs="Arial"/>
          <w:color w:val="000000" w:themeColor="text1"/>
          <w:lang w:val="en-US"/>
        </w:rPr>
        <w:t>at</w:t>
      </w:r>
      <w:proofErr w:type="gramEnd"/>
      <w:r w:rsidRPr="00537128">
        <w:rPr>
          <w:rFonts w:ascii="Calibri" w:eastAsia="Times New Roman" w:hAnsi="Calibri" w:cs="Arial"/>
          <w:color w:val="000000" w:themeColor="text1"/>
          <w:lang w:val="en-US"/>
        </w:rPr>
        <w:t xml:space="preserve"> 31 December 202</w:t>
      </w:r>
      <w:r w:rsidR="000F5124">
        <w:rPr>
          <w:rFonts w:ascii="Calibri" w:eastAsia="Times New Roman" w:hAnsi="Calibri" w:cs="Arial"/>
          <w:color w:val="000000" w:themeColor="text1"/>
          <w:lang w:val="en-US"/>
        </w:rPr>
        <w:t>1</w:t>
      </w:r>
      <w:r w:rsidRPr="00537128">
        <w:rPr>
          <w:rFonts w:ascii="Calibri" w:eastAsia="Times New Roman" w:hAnsi="Calibri" w:cs="Arial"/>
          <w:color w:val="000000" w:themeColor="text1"/>
          <w:lang w:val="en-US"/>
        </w:rPr>
        <w:t xml:space="preserve"> other assets of HRK </w:t>
      </w:r>
      <w:r w:rsidR="000F5124">
        <w:rPr>
          <w:rFonts w:ascii="Calibri" w:eastAsia="Times New Roman" w:hAnsi="Calibri" w:cs="Arial"/>
          <w:color w:val="000000" w:themeColor="text1"/>
          <w:lang w:val="en-US"/>
        </w:rPr>
        <w:t>167</w:t>
      </w:r>
      <w:r w:rsidRPr="00537128">
        <w:rPr>
          <w:rFonts w:ascii="Calibri" w:eastAsia="Times New Roman" w:hAnsi="Calibri" w:cs="Arial"/>
          <w:color w:val="000000" w:themeColor="text1"/>
          <w:lang w:val="en-US"/>
        </w:rPr>
        <w:t xml:space="preserve"> thousand are not covered by ordinary collateral, but relate to receivables from the Republic of Croatia and the government funds.</w:t>
      </w:r>
    </w:p>
    <w:p w14:paraId="2EC30509" w14:textId="0AA4F92C" w:rsidR="004A287E" w:rsidRPr="00537128" w:rsidRDefault="004A287E" w:rsidP="004A287E">
      <w:pPr>
        <w:spacing w:after="0" w:line="240" w:lineRule="auto"/>
        <w:jc w:val="both"/>
        <w:rPr>
          <w:rFonts w:ascii="Calibri" w:eastAsia="Times New Roman" w:hAnsi="Calibri" w:cs="Arial"/>
          <w:color w:val="000000" w:themeColor="text1"/>
          <w:lang w:val="en-US"/>
        </w:rPr>
      </w:pPr>
    </w:p>
    <w:p w14:paraId="75F7CAB9" w14:textId="77777777" w:rsidR="004A287E" w:rsidRPr="00537128" w:rsidRDefault="004A287E" w:rsidP="004A287E">
      <w:pPr>
        <w:spacing w:after="0" w:line="240" w:lineRule="auto"/>
        <w:jc w:val="both"/>
        <w:rPr>
          <w:rFonts w:ascii="Calibri" w:eastAsia="Times New Roman" w:hAnsi="Calibri" w:cs="Arial"/>
          <w:bCs/>
          <w:color w:val="000000" w:themeColor="text1"/>
          <w:lang w:val="en-US"/>
        </w:rPr>
      </w:pPr>
    </w:p>
    <w:p w14:paraId="34F9B9E4" w14:textId="77777777" w:rsidR="00712478" w:rsidRPr="00537128" w:rsidRDefault="00712478" w:rsidP="00712478">
      <w:pPr>
        <w:spacing w:after="0" w:line="240" w:lineRule="auto"/>
        <w:jc w:val="both"/>
        <w:rPr>
          <w:rFonts w:ascii="Calibri" w:eastAsia="Times New Roman" w:hAnsi="Calibri" w:cs="Arial"/>
          <w:bCs/>
          <w:color w:val="000000" w:themeColor="text1"/>
          <w:lang w:val="en-US"/>
        </w:rPr>
        <w:sectPr w:rsidR="00712478" w:rsidRPr="00537128" w:rsidSect="00712478">
          <w:pgSz w:w="11906" w:h="16838"/>
          <w:pgMar w:top="1418" w:right="1134" w:bottom="1418" w:left="1418" w:header="709" w:footer="709" w:gutter="0"/>
          <w:cols w:space="708"/>
          <w:docGrid w:linePitch="360"/>
        </w:sectPr>
      </w:pPr>
    </w:p>
    <w:p w14:paraId="6B5D1D7E" w14:textId="77777777" w:rsidR="00712478" w:rsidRPr="00537128" w:rsidRDefault="00712478" w:rsidP="00712478">
      <w:pPr>
        <w:spacing w:after="0" w:line="240" w:lineRule="auto"/>
        <w:jc w:val="both"/>
        <w:rPr>
          <w:rFonts w:ascii="Calibri" w:eastAsia="Calibri" w:hAnsi="Calibri" w:cs="Arial"/>
          <w:b/>
          <w:bCs/>
          <w:color w:val="000000" w:themeColor="text1"/>
          <w:lang w:val="en-US"/>
        </w:rPr>
      </w:pPr>
      <w:bookmarkStart w:id="811" w:name="_Hlk37079317"/>
    </w:p>
    <w:p w14:paraId="6E41576B" w14:textId="13B8D68A" w:rsidR="00712478" w:rsidRPr="00537128" w:rsidRDefault="00B357CE" w:rsidP="00712478">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712478" w:rsidRPr="00537128">
        <w:rPr>
          <w:rFonts w:ascii="Calibri" w:eastAsia="Calibri" w:hAnsi="Calibri" w:cs="Arial"/>
          <w:b/>
          <w:bCs/>
          <w:color w:val="000000" w:themeColor="text1"/>
          <w:lang w:val="en-US"/>
        </w:rPr>
        <w:t>.</w:t>
      </w:r>
      <w:r w:rsidR="00712478" w:rsidRPr="00537128">
        <w:rPr>
          <w:rFonts w:ascii="Calibri" w:eastAsia="Calibri" w:hAnsi="Calibri" w:cs="Arial"/>
          <w:b/>
          <w:bCs/>
          <w:color w:val="000000" w:themeColor="text1"/>
          <w:lang w:val="en-US"/>
        </w:rPr>
        <w:tab/>
        <w:t>Risk management (continued)</w:t>
      </w:r>
    </w:p>
    <w:p w14:paraId="5BC38C65" w14:textId="77777777" w:rsidR="00712478" w:rsidRPr="00537128" w:rsidRDefault="00712478" w:rsidP="00712478">
      <w:pPr>
        <w:spacing w:after="0" w:line="240" w:lineRule="auto"/>
        <w:jc w:val="both"/>
        <w:rPr>
          <w:rFonts w:ascii="Calibri" w:eastAsia="Times New Roman" w:hAnsi="Calibri" w:cs="Times New Roman"/>
          <w:b/>
          <w:color w:val="000000" w:themeColor="text1"/>
          <w:lang w:val="en-US"/>
        </w:rPr>
      </w:pPr>
    </w:p>
    <w:p w14:paraId="77EDE783" w14:textId="0A96E981" w:rsidR="00712478" w:rsidRPr="00537128" w:rsidRDefault="00B357CE" w:rsidP="00712478">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712478" w:rsidRPr="00537128">
        <w:rPr>
          <w:rFonts w:ascii="Calibri" w:eastAsia="Times New Roman" w:hAnsi="Calibri" w:cs="Times New Roman"/>
          <w:b/>
          <w:color w:val="000000" w:themeColor="text1"/>
          <w:lang w:val="en-US"/>
        </w:rPr>
        <w:t xml:space="preserve"> </w:t>
      </w:r>
      <w:r w:rsidR="00712478" w:rsidRPr="00537128">
        <w:rPr>
          <w:rFonts w:ascii="Calibri" w:eastAsia="Times New Roman" w:hAnsi="Calibri" w:cs="Times New Roman"/>
          <w:b/>
          <w:color w:val="000000" w:themeColor="text1"/>
          <w:lang w:val="en-US"/>
        </w:rPr>
        <w:tab/>
        <w:t>Credit risk (continued)</w:t>
      </w:r>
    </w:p>
    <w:p w14:paraId="7CD79136" w14:textId="77777777" w:rsidR="00712478" w:rsidRPr="00537128" w:rsidRDefault="00712478" w:rsidP="00712478">
      <w:pPr>
        <w:spacing w:after="0" w:line="240" w:lineRule="auto"/>
        <w:jc w:val="both"/>
        <w:rPr>
          <w:rFonts w:ascii="Calibri" w:eastAsia="Calibri" w:hAnsi="Calibri" w:cs="Arial"/>
          <w:b/>
          <w:bCs/>
          <w:i/>
          <w:color w:val="000000" w:themeColor="text1"/>
          <w:lang w:val="en-US"/>
        </w:rPr>
      </w:pPr>
    </w:p>
    <w:p w14:paraId="74EAB1EF" w14:textId="77777777" w:rsidR="00712478" w:rsidRPr="00537128" w:rsidRDefault="00712478" w:rsidP="00712478">
      <w:pPr>
        <w:numPr>
          <w:ilvl w:val="8"/>
          <w:numId w:val="43"/>
        </w:numPr>
        <w:spacing w:after="0" w:line="240" w:lineRule="auto"/>
        <w:ind w:left="284" w:hanging="284"/>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p>
    <w:p w14:paraId="6AB91EA0" w14:textId="77777777" w:rsidR="00712478" w:rsidRPr="00537128" w:rsidRDefault="00712478" w:rsidP="00712478">
      <w:pPr>
        <w:spacing w:after="0" w:line="240" w:lineRule="auto"/>
        <w:jc w:val="both"/>
        <w:rPr>
          <w:rFonts w:ascii="Calibri" w:eastAsia="Calibri" w:hAnsi="Calibri" w:cs="Arial"/>
          <w:b/>
          <w:bCs/>
          <w:color w:val="000000" w:themeColor="text1"/>
          <w:sz w:val="16"/>
          <w:szCs w:val="16"/>
          <w:lang w:val="en-US"/>
        </w:rPr>
      </w:pPr>
    </w:p>
    <w:bookmarkEnd w:id="811"/>
    <w:p w14:paraId="5AD8C341" w14:textId="77777777" w:rsidR="00712478" w:rsidRPr="00537128" w:rsidRDefault="00712478" w:rsidP="00712478">
      <w:pPr>
        <w:autoSpaceDE w:val="0"/>
        <w:autoSpaceDN w:val="0"/>
        <w:adjustRightInd w:val="0"/>
        <w:spacing w:after="0" w:line="240" w:lineRule="auto"/>
        <w:jc w:val="both"/>
        <w:rPr>
          <w:rFonts w:ascii="Univers LT Std 45 Light" w:eastAsia="Times New Roman" w:hAnsi="Univers LT Std 45 Light" w:cs="Univers LT Std 45 Light"/>
          <w:color w:val="000000" w:themeColor="text1"/>
          <w:lang w:val="en-US" w:eastAsia="hr-HR"/>
        </w:rPr>
      </w:pPr>
      <w:r w:rsidRPr="00537128">
        <w:rPr>
          <w:rFonts w:ascii="Univers LT Std 45 Light" w:eastAsia="Times New Roman" w:hAnsi="Univers LT Std 45 Light" w:cs="Univers LT Std 45 Light"/>
          <w:color w:val="000000" w:themeColor="text1"/>
          <w:lang w:val="en-US" w:eastAsia="hr-HR"/>
        </w:rPr>
        <w:t>The following tables</w:t>
      </w:r>
      <w:r w:rsidRPr="00537128">
        <w:rPr>
          <w:rFonts w:ascii="Univers LT Std 45 Light" w:eastAsia="Times New Roman" w:hAnsi="Univers LT Std 45 Light" w:cs="Univers LT Std 45 Light"/>
          <w:b/>
          <w:bCs/>
          <w:color w:val="000000" w:themeColor="text1"/>
          <w:lang w:val="en-US" w:eastAsia="hr-HR"/>
        </w:rPr>
        <w:t xml:space="preserve"> </w:t>
      </w:r>
      <w:r w:rsidRPr="00537128">
        <w:rPr>
          <w:rFonts w:ascii="Univers LT Std 45 Light" w:eastAsia="Times New Roman" w:hAnsi="Univers LT Std 45 Light" w:cs="Univers LT Std 45 Light"/>
          <w:color w:val="000000" w:themeColor="text1"/>
          <w:lang w:val="en-US" w:eastAsia="hr-HR"/>
        </w:rPr>
        <w:t>show reconciliations from the opening to the closing balance of the loss allowance by class of financial instrument by risk category:</w:t>
      </w:r>
    </w:p>
    <w:p w14:paraId="48C77A5E" w14:textId="77777777" w:rsidR="00712478" w:rsidRPr="00537128" w:rsidRDefault="00712478" w:rsidP="00712478">
      <w:pPr>
        <w:spacing w:after="0" w:line="240" w:lineRule="auto"/>
        <w:jc w:val="both"/>
        <w:rPr>
          <w:rFonts w:ascii="Calibri" w:eastAsia="Calibri" w:hAnsi="Calibri" w:cs="Times New Roman"/>
          <w:b/>
          <w:bCs/>
          <w:color w:val="000000" w:themeColor="text1"/>
          <w:lang w:val="en-US"/>
        </w:rPr>
      </w:pPr>
    </w:p>
    <w:p w14:paraId="27AE3540" w14:textId="77777777" w:rsidR="00712478" w:rsidRPr="00537128" w:rsidRDefault="00712478" w:rsidP="00712478">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Cash on hand and current accounts with banks</w:t>
      </w:r>
    </w:p>
    <w:p w14:paraId="613DAE91" w14:textId="39B52982" w:rsidR="00712478" w:rsidRPr="00537128" w:rsidRDefault="00712478" w:rsidP="00712478">
      <w:pPr>
        <w:spacing w:after="0" w:line="240" w:lineRule="auto"/>
        <w:jc w:val="both"/>
        <w:rPr>
          <w:rFonts w:ascii="Calibri" w:eastAsia="Calibri" w:hAnsi="Calibri" w:cs="Arial"/>
          <w:b/>
          <w:bCs/>
          <w:color w:val="000000" w:themeColor="text1"/>
          <w:lang w:val="en-US"/>
        </w:rPr>
      </w:pPr>
    </w:p>
    <w:p w14:paraId="76064228" w14:textId="77777777" w:rsidR="004A287E" w:rsidRPr="00537128" w:rsidRDefault="004A287E" w:rsidP="00712478">
      <w:pPr>
        <w:spacing w:after="0" w:line="240" w:lineRule="auto"/>
        <w:jc w:val="both"/>
        <w:rPr>
          <w:rFonts w:ascii="Calibri" w:eastAsia="Calibri" w:hAnsi="Calibri" w:cs="Arial"/>
          <w:b/>
          <w:bCs/>
          <w:color w:val="000000" w:themeColor="text1"/>
          <w:lang w:val="en-US"/>
        </w:rPr>
      </w:pPr>
    </w:p>
    <w:tbl>
      <w:tblPr>
        <w:tblpPr w:leftFromText="180" w:rightFromText="180" w:vertAnchor="text" w:horzAnchor="margin" w:tblpY="10"/>
        <w:tblW w:w="4908" w:type="pct"/>
        <w:tblLayout w:type="fixed"/>
        <w:tblLook w:val="0000" w:firstRow="0" w:lastRow="0" w:firstColumn="0" w:lastColumn="0" w:noHBand="0" w:noVBand="0"/>
      </w:tblPr>
      <w:tblGrid>
        <w:gridCol w:w="3329"/>
        <w:gridCol w:w="1194"/>
        <w:gridCol w:w="1194"/>
        <w:gridCol w:w="1181"/>
        <w:gridCol w:w="1111"/>
        <w:gridCol w:w="1173"/>
      </w:tblGrid>
      <w:tr w:rsidR="004A287E" w:rsidRPr="00537128" w14:paraId="3E48B208" w14:textId="77777777" w:rsidTr="004A287E">
        <w:trPr>
          <w:trHeight w:val="276"/>
        </w:trPr>
        <w:tc>
          <w:tcPr>
            <w:tcW w:w="1813" w:type="pct"/>
          </w:tcPr>
          <w:p w14:paraId="6CC539AC" w14:textId="77777777" w:rsidR="004A287E" w:rsidRPr="00537128" w:rsidRDefault="004A287E" w:rsidP="004A287E">
            <w:pPr>
              <w:spacing w:after="0" w:line="240" w:lineRule="auto"/>
              <w:rPr>
                <w:rFonts w:ascii="Calibri" w:eastAsia="Calibri" w:hAnsi="Calibri" w:cs="Arial"/>
                <w:b/>
                <w:bCs/>
                <w:sz w:val="20"/>
                <w:szCs w:val="20"/>
                <w:lang w:val="en-US"/>
              </w:rPr>
            </w:pPr>
            <w:bookmarkStart w:id="812" w:name="_Hlk5871427"/>
            <w:r w:rsidRPr="00537128">
              <w:rPr>
                <w:rFonts w:ascii="Calibri" w:eastAsia="Calibri" w:hAnsi="Calibri" w:cs="Arial"/>
                <w:b/>
                <w:bCs/>
                <w:sz w:val="20"/>
                <w:szCs w:val="20"/>
                <w:lang w:val="en-US"/>
              </w:rPr>
              <w:br w:type="page"/>
              <w:t>Group</w:t>
            </w:r>
          </w:p>
        </w:tc>
        <w:tc>
          <w:tcPr>
            <w:tcW w:w="3187" w:type="pct"/>
            <w:gridSpan w:val="5"/>
            <w:vAlign w:val="bottom"/>
          </w:tcPr>
          <w:p w14:paraId="65425F23" w14:textId="77777777" w:rsidR="004A287E" w:rsidRPr="00537128" w:rsidRDefault="004A287E" w:rsidP="004A287E">
            <w:pPr>
              <w:spacing w:after="0" w:line="240" w:lineRule="auto"/>
              <w:jc w:val="right"/>
              <w:rPr>
                <w:rFonts w:ascii="Calibri" w:eastAsia="Calibri" w:hAnsi="Calibri" w:cs="Arial"/>
                <w:b/>
                <w:sz w:val="20"/>
                <w:szCs w:val="20"/>
                <w:lang w:val="en-US"/>
              </w:rPr>
            </w:pPr>
          </w:p>
        </w:tc>
      </w:tr>
      <w:tr w:rsidR="004A287E" w:rsidRPr="00537128" w14:paraId="5CB9BF3A" w14:textId="77777777" w:rsidTr="004A287E">
        <w:trPr>
          <w:trHeight w:val="44"/>
        </w:trPr>
        <w:tc>
          <w:tcPr>
            <w:tcW w:w="1813" w:type="pct"/>
          </w:tcPr>
          <w:p w14:paraId="05E2C177" w14:textId="6C6BC1C2"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31 March 202</w:t>
            </w:r>
            <w:r w:rsidR="00E01539">
              <w:rPr>
                <w:rFonts w:ascii="Calibri" w:eastAsia="Calibri" w:hAnsi="Calibri" w:cs="Arial"/>
                <w:b/>
                <w:bCs/>
                <w:sz w:val="20"/>
                <w:szCs w:val="20"/>
                <w:lang w:val="en-US"/>
              </w:rPr>
              <w:t>2</w:t>
            </w:r>
          </w:p>
        </w:tc>
        <w:tc>
          <w:tcPr>
            <w:tcW w:w="650" w:type="pct"/>
            <w:vAlign w:val="bottom"/>
          </w:tcPr>
          <w:p w14:paraId="67249C90"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1</w:t>
            </w:r>
          </w:p>
        </w:tc>
        <w:tc>
          <w:tcPr>
            <w:tcW w:w="650" w:type="pct"/>
            <w:vAlign w:val="bottom"/>
          </w:tcPr>
          <w:p w14:paraId="02973235"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2</w:t>
            </w:r>
          </w:p>
        </w:tc>
        <w:tc>
          <w:tcPr>
            <w:tcW w:w="643" w:type="pct"/>
            <w:vAlign w:val="bottom"/>
          </w:tcPr>
          <w:p w14:paraId="7D6DD253"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3</w:t>
            </w:r>
          </w:p>
        </w:tc>
        <w:tc>
          <w:tcPr>
            <w:tcW w:w="605" w:type="pct"/>
            <w:vAlign w:val="bottom"/>
          </w:tcPr>
          <w:p w14:paraId="792AA766"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POCI</w:t>
            </w:r>
          </w:p>
        </w:tc>
        <w:tc>
          <w:tcPr>
            <w:tcW w:w="639" w:type="pct"/>
            <w:vAlign w:val="bottom"/>
          </w:tcPr>
          <w:p w14:paraId="7464DE86"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Total</w:t>
            </w:r>
          </w:p>
        </w:tc>
      </w:tr>
      <w:tr w:rsidR="004A287E" w:rsidRPr="00537128" w14:paraId="657A2DA3" w14:textId="77777777" w:rsidTr="004A287E">
        <w:trPr>
          <w:trHeight w:val="44"/>
        </w:trPr>
        <w:tc>
          <w:tcPr>
            <w:tcW w:w="1813" w:type="pct"/>
          </w:tcPr>
          <w:p w14:paraId="5CE9FA59"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50" w:type="pct"/>
          </w:tcPr>
          <w:p w14:paraId="1735FFDA"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50" w:type="pct"/>
          </w:tcPr>
          <w:p w14:paraId="0DA507AB"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3" w:type="pct"/>
          </w:tcPr>
          <w:p w14:paraId="0F23EAD0"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05" w:type="pct"/>
          </w:tcPr>
          <w:p w14:paraId="6FF3F02C"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39" w:type="pct"/>
          </w:tcPr>
          <w:p w14:paraId="7C51B42D"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r>
      <w:tr w:rsidR="004A287E" w:rsidRPr="00537128" w14:paraId="1C8F8EF4" w14:textId="77777777" w:rsidTr="004A287E">
        <w:trPr>
          <w:trHeight w:val="44"/>
        </w:trPr>
        <w:tc>
          <w:tcPr>
            <w:tcW w:w="1813" w:type="pct"/>
          </w:tcPr>
          <w:p w14:paraId="1B35B9D5"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50" w:type="pct"/>
          </w:tcPr>
          <w:p w14:paraId="7726DE44"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50" w:type="pct"/>
          </w:tcPr>
          <w:p w14:paraId="2929D842"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3" w:type="pct"/>
          </w:tcPr>
          <w:p w14:paraId="455A11B3"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05" w:type="pct"/>
          </w:tcPr>
          <w:p w14:paraId="2B65E2EF"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39" w:type="pct"/>
          </w:tcPr>
          <w:p w14:paraId="7EBFBBAB" w14:textId="77777777" w:rsidR="004A287E" w:rsidRPr="00537128" w:rsidRDefault="004A287E" w:rsidP="004A287E">
            <w:pPr>
              <w:spacing w:after="0" w:line="240" w:lineRule="auto"/>
              <w:jc w:val="right"/>
              <w:rPr>
                <w:rFonts w:ascii="Calibri" w:eastAsia="Calibri" w:hAnsi="Calibri" w:cs="Arial"/>
                <w:b/>
                <w:sz w:val="20"/>
                <w:szCs w:val="20"/>
                <w:lang w:val="en-US"/>
              </w:rPr>
            </w:pPr>
          </w:p>
        </w:tc>
      </w:tr>
      <w:tr w:rsidR="00E07C9A" w:rsidRPr="00537128" w14:paraId="724F8BC7" w14:textId="77777777" w:rsidTr="00842BE1">
        <w:trPr>
          <w:trHeight w:val="166"/>
        </w:trPr>
        <w:tc>
          <w:tcPr>
            <w:tcW w:w="1813" w:type="pct"/>
            <w:vAlign w:val="bottom"/>
          </w:tcPr>
          <w:p w14:paraId="4A6BD59F" w14:textId="60E3299E" w:rsidR="00E07C9A" w:rsidRPr="00537128" w:rsidRDefault="00E07C9A" w:rsidP="00E07C9A">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 xml:space="preserve">Balance </w:t>
            </w:r>
            <w:proofErr w:type="gramStart"/>
            <w:r w:rsidRPr="00537128">
              <w:rPr>
                <w:rFonts w:ascii="Calibri" w:eastAsia="Calibri" w:hAnsi="Calibri" w:cs="Times New Roman"/>
                <w:sz w:val="20"/>
                <w:szCs w:val="20"/>
                <w:lang w:val="en-US"/>
              </w:rPr>
              <w:t>at</w:t>
            </w:r>
            <w:proofErr w:type="gramEnd"/>
            <w:r w:rsidRPr="00537128">
              <w:rPr>
                <w:rFonts w:ascii="Calibri" w:eastAsia="Calibri" w:hAnsi="Calibri" w:cs="Times New Roman"/>
                <w:sz w:val="20"/>
                <w:szCs w:val="20"/>
                <w:lang w:val="en-US"/>
              </w:rPr>
              <w:t xml:space="preserve"> 1 January 202</w:t>
            </w:r>
            <w:r>
              <w:rPr>
                <w:rFonts w:ascii="Calibri" w:eastAsia="Calibri" w:hAnsi="Calibri" w:cs="Times New Roman"/>
                <w:sz w:val="20"/>
                <w:szCs w:val="20"/>
                <w:lang w:val="en-US"/>
              </w:rPr>
              <w:t>2</w:t>
            </w:r>
          </w:p>
        </w:tc>
        <w:tc>
          <w:tcPr>
            <w:tcW w:w="650" w:type="pct"/>
            <w:shd w:val="clear" w:color="auto" w:fill="auto"/>
          </w:tcPr>
          <w:p w14:paraId="25EF0A55" w14:textId="1A7D816E" w:rsidR="00E07C9A" w:rsidRPr="00537128" w:rsidRDefault="00E07C9A" w:rsidP="00E07C9A">
            <w:pPr>
              <w:spacing w:after="0" w:line="240" w:lineRule="auto"/>
              <w:jc w:val="right"/>
              <w:rPr>
                <w:rFonts w:ascii="Calibri" w:eastAsia="Calibri" w:hAnsi="Calibri" w:cs="Arial"/>
                <w:sz w:val="20"/>
                <w:szCs w:val="20"/>
                <w:lang w:val="en-US"/>
              </w:rPr>
            </w:pPr>
            <w:r w:rsidRPr="007A49AD">
              <w:rPr>
                <w:sz w:val="20"/>
                <w:szCs w:val="20"/>
              </w:rPr>
              <w:t xml:space="preserve"> 1</w:t>
            </w:r>
            <w:r>
              <w:rPr>
                <w:sz w:val="20"/>
                <w:szCs w:val="20"/>
              </w:rPr>
              <w:t>,</w:t>
            </w:r>
            <w:r w:rsidRPr="007A49AD">
              <w:rPr>
                <w:sz w:val="20"/>
                <w:szCs w:val="20"/>
              </w:rPr>
              <w:t xml:space="preserve">809 </w:t>
            </w:r>
          </w:p>
        </w:tc>
        <w:tc>
          <w:tcPr>
            <w:tcW w:w="650" w:type="pct"/>
            <w:shd w:val="clear" w:color="auto" w:fill="auto"/>
          </w:tcPr>
          <w:p w14:paraId="5E6C22FD" w14:textId="701ACEC4" w:rsidR="00E07C9A" w:rsidRPr="00537128" w:rsidRDefault="00E07C9A" w:rsidP="00E07C9A">
            <w:pPr>
              <w:spacing w:after="0" w:line="240" w:lineRule="auto"/>
              <w:jc w:val="right"/>
              <w:rPr>
                <w:rFonts w:ascii="Calibri" w:eastAsia="Calibri" w:hAnsi="Calibri" w:cs="Arial"/>
                <w:sz w:val="20"/>
                <w:szCs w:val="20"/>
                <w:lang w:val="en-US"/>
              </w:rPr>
            </w:pPr>
            <w:r w:rsidRPr="007A49AD">
              <w:rPr>
                <w:sz w:val="20"/>
                <w:szCs w:val="20"/>
              </w:rPr>
              <w:t xml:space="preserve"> - </w:t>
            </w:r>
          </w:p>
        </w:tc>
        <w:tc>
          <w:tcPr>
            <w:tcW w:w="643" w:type="pct"/>
            <w:shd w:val="clear" w:color="auto" w:fill="auto"/>
          </w:tcPr>
          <w:p w14:paraId="75872204" w14:textId="4F7B1BDB" w:rsidR="00E07C9A" w:rsidRPr="00537128" w:rsidRDefault="00E07C9A" w:rsidP="00E07C9A">
            <w:pPr>
              <w:spacing w:after="0" w:line="240" w:lineRule="auto"/>
              <w:jc w:val="right"/>
              <w:rPr>
                <w:rFonts w:ascii="Calibri" w:eastAsia="Calibri" w:hAnsi="Calibri" w:cs="Arial"/>
                <w:sz w:val="20"/>
                <w:szCs w:val="20"/>
                <w:lang w:val="en-US"/>
              </w:rPr>
            </w:pPr>
            <w:r w:rsidRPr="007A49AD">
              <w:rPr>
                <w:sz w:val="20"/>
                <w:szCs w:val="20"/>
              </w:rPr>
              <w:t xml:space="preserve"> - </w:t>
            </w:r>
          </w:p>
        </w:tc>
        <w:tc>
          <w:tcPr>
            <w:tcW w:w="605" w:type="pct"/>
            <w:shd w:val="clear" w:color="auto" w:fill="auto"/>
          </w:tcPr>
          <w:p w14:paraId="5C30F90D" w14:textId="40E874B4" w:rsidR="00E07C9A" w:rsidRPr="00537128" w:rsidRDefault="00E07C9A" w:rsidP="00E07C9A">
            <w:pPr>
              <w:spacing w:after="0" w:line="240" w:lineRule="auto"/>
              <w:jc w:val="right"/>
              <w:rPr>
                <w:rFonts w:ascii="Calibri" w:eastAsia="Calibri" w:hAnsi="Calibri" w:cs="Arial"/>
                <w:sz w:val="20"/>
                <w:szCs w:val="20"/>
                <w:lang w:val="en-US"/>
              </w:rPr>
            </w:pPr>
            <w:r w:rsidRPr="007A49AD">
              <w:rPr>
                <w:sz w:val="20"/>
                <w:szCs w:val="20"/>
              </w:rPr>
              <w:t xml:space="preserve"> - </w:t>
            </w:r>
          </w:p>
        </w:tc>
        <w:tc>
          <w:tcPr>
            <w:tcW w:w="639" w:type="pct"/>
            <w:shd w:val="clear" w:color="auto" w:fill="auto"/>
          </w:tcPr>
          <w:p w14:paraId="5DCF3C77" w14:textId="006454BD" w:rsidR="00E07C9A" w:rsidRPr="00537128" w:rsidRDefault="00E07C9A" w:rsidP="00E07C9A">
            <w:pPr>
              <w:spacing w:after="0" w:line="240" w:lineRule="auto"/>
              <w:jc w:val="right"/>
              <w:rPr>
                <w:rFonts w:ascii="Calibri" w:eastAsia="Calibri" w:hAnsi="Calibri" w:cs="Arial"/>
                <w:sz w:val="20"/>
                <w:szCs w:val="20"/>
                <w:lang w:val="en-US"/>
              </w:rPr>
            </w:pPr>
            <w:r w:rsidRPr="007A49AD">
              <w:rPr>
                <w:sz w:val="20"/>
                <w:szCs w:val="20"/>
              </w:rPr>
              <w:t xml:space="preserve"> 1</w:t>
            </w:r>
            <w:r>
              <w:rPr>
                <w:sz w:val="20"/>
                <w:szCs w:val="20"/>
              </w:rPr>
              <w:t>,</w:t>
            </w:r>
            <w:r w:rsidRPr="007A49AD">
              <w:rPr>
                <w:sz w:val="20"/>
                <w:szCs w:val="20"/>
              </w:rPr>
              <w:t xml:space="preserve">809 </w:t>
            </w:r>
          </w:p>
        </w:tc>
      </w:tr>
      <w:tr w:rsidR="00E07C9A" w:rsidRPr="00537128" w14:paraId="616AE036" w14:textId="77777777" w:rsidTr="004A287E">
        <w:trPr>
          <w:trHeight w:val="166"/>
        </w:trPr>
        <w:tc>
          <w:tcPr>
            <w:tcW w:w="1813" w:type="pct"/>
            <w:vAlign w:val="bottom"/>
          </w:tcPr>
          <w:p w14:paraId="70B2365E" w14:textId="77777777" w:rsidR="00E07C9A" w:rsidRPr="00537128" w:rsidRDefault="00E07C9A" w:rsidP="00E07C9A">
            <w:pPr>
              <w:tabs>
                <w:tab w:val="right" w:pos="1202"/>
              </w:tabs>
              <w:spacing w:after="0" w:line="240" w:lineRule="auto"/>
              <w:outlineLvl w:val="0"/>
              <w:rPr>
                <w:rFonts w:ascii="Calibri" w:eastAsia="Calibri" w:hAnsi="Calibri" w:cs="Times New Roman"/>
                <w:sz w:val="20"/>
                <w:szCs w:val="20"/>
                <w:lang w:val="en-US"/>
              </w:rPr>
            </w:pPr>
            <w:bookmarkStart w:id="813" w:name="_Hlk16865676"/>
            <w:r w:rsidRPr="00537128">
              <w:rPr>
                <w:rFonts w:ascii="Calibri" w:eastAsia="Calibri" w:hAnsi="Calibri" w:cs="Times New Roman"/>
                <w:sz w:val="20"/>
                <w:szCs w:val="20"/>
                <w:lang w:val="en-US"/>
              </w:rPr>
              <w:t>Transfer to Stage 1</w:t>
            </w:r>
            <w:bookmarkEnd w:id="813"/>
          </w:p>
        </w:tc>
        <w:tc>
          <w:tcPr>
            <w:tcW w:w="650" w:type="pct"/>
            <w:shd w:val="clear" w:color="auto" w:fill="auto"/>
            <w:vAlign w:val="bottom"/>
          </w:tcPr>
          <w:p w14:paraId="7FDCB5B2" w14:textId="01EC8546" w:rsidR="00E07C9A" w:rsidRPr="00537128" w:rsidRDefault="00E07C9A" w:rsidP="00E07C9A">
            <w:pPr>
              <w:spacing w:after="0" w:line="240" w:lineRule="auto"/>
              <w:jc w:val="right"/>
              <w:rPr>
                <w:rFonts w:ascii="Calibri" w:eastAsia="Calibri" w:hAnsi="Calibri" w:cs="Arial"/>
                <w:sz w:val="20"/>
                <w:szCs w:val="20"/>
                <w:lang w:val="en-US"/>
              </w:rPr>
            </w:pPr>
            <w:r w:rsidRPr="007F5B1C">
              <w:rPr>
                <w:rFonts w:eastAsia="Calibri" w:cs="Calibri"/>
                <w:color w:val="000000" w:themeColor="text1"/>
                <w:sz w:val="20"/>
                <w:szCs w:val="20"/>
              </w:rPr>
              <w:t>-</w:t>
            </w:r>
          </w:p>
        </w:tc>
        <w:tc>
          <w:tcPr>
            <w:tcW w:w="650" w:type="pct"/>
            <w:shd w:val="clear" w:color="auto" w:fill="auto"/>
            <w:vAlign w:val="bottom"/>
          </w:tcPr>
          <w:p w14:paraId="5133701D" w14:textId="69C1802E" w:rsidR="00E07C9A" w:rsidRPr="00537128" w:rsidRDefault="00E07C9A" w:rsidP="00E07C9A">
            <w:pPr>
              <w:spacing w:after="0" w:line="240" w:lineRule="auto"/>
              <w:jc w:val="right"/>
              <w:rPr>
                <w:rFonts w:ascii="Calibri" w:eastAsia="Calibri" w:hAnsi="Calibri" w:cs="Arial"/>
                <w:sz w:val="20"/>
                <w:szCs w:val="20"/>
                <w:lang w:val="en-US"/>
              </w:rPr>
            </w:pPr>
            <w:r w:rsidRPr="007F5B1C">
              <w:rPr>
                <w:rFonts w:eastAsia="Calibri" w:cs="Calibri"/>
                <w:color w:val="000000" w:themeColor="text1"/>
                <w:sz w:val="20"/>
                <w:szCs w:val="20"/>
              </w:rPr>
              <w:t>-</w:t>
            </w:r>
          </w:p>
        </w:tc>
        <w:tc>
          <w:tcPr>
            <w:tcW w:w="643" w:type="pct"/>
            <w:shd w:val="clear" w:color="auto" w:fill="auto"/>
            <w:vAlign w:val="bottom"/>
          </w:tcPr>
          <w:p w14:paraId="3D60EB84" w14:textId="3F5F55EE" w:rsidR="00E07C9A" w:rsidRPr="00537128" w:rsidRDefault="00E07C9A" w:rsidP="00E07C9A">
            <w:pPr>
              <w:spacing w:after="0" w:line="240" w:lineRule="auto"/>
              <w:jc w:val="right"/>
              <w:rPr>
                <w:rFonts w:ascii="Calibri" w:eastAsia="Calibri" w:hAnsi="Calibri" w:cs="Arial"/>
                <w:sz w:val="20"/>
                <w:szCs w:val="20"/>
                <w:lang w:val="en-US"/>
              </w:rPr>
            </w:pPr>
            <w:r w:rsidRPr="007F5B1C">
              <w:rPr>
                <w:rFonts w:eastAsia="Calibri" w:cs="Calibri"/>
                <w:color w:val="000000" w:themeColor="text1"/>
                <w:sz w:val="20"/>
                <w:szCs w:val="20"/>
              </w:rPr>
              <w:t>-</w:t>
            </w:r>
          </w:p>
        </w:tc>
        <w:tc>
          <w:tcPr>
            <w:tcW w:w="605" w:type="pct"/>
            <w:shd w:val="clear" w:color="auto" w:fill="auto"/>
            <w:vAlign w:val="bottom"/>
          </w:tcPr>
          <w:p w14:paraId="4A37FEC5" w14:textId="4770678C" w:rsidR="00E07C9A" w:rsidRPr="00537128" w:rsidRDefault="00E07C9A" w:rsidP="00E07C9A">
            <w:pPr>
              <w:spacing w:after="0" w:line="240" w:lineRule="auto"/>
              <w:jc w:val="right"/>
              <w:rPr>
                <w:rFonts w:ascii="Calibri" w:eastAsia="Calibri" w:hAnsi="Calibri" w:cs="Arial"/>
                <w:sz w:val="20"/>
                <w:szCs w:val="20"/>
                <w:lang w:val="en-US"/>
              </w:rPr>
            </w:pPr>
            <w:r w:rsidRPr="007F5B1C">
              <w:rPr>
                <w:rFonts w:eastAsia="Calibri" w:cs="Calibri"/>
                <w:color w:val="000000" w:themeColor="text1"/>
                <w:sz w:val="20"/>
                <w:szCs w:val="20"/>
              </w:rPr>
              <w:t>-</w:t>
            </w:r>
          </w:p>
        </w:tc>
        <w:tc>
          <w:tcPr>
            <w:tcW w:w="639" w:type="pct"/>
            <w:shd w:val="clear" w:color="auto" w:fill="auto"/>
            <w:vAlign w:val="bottom"/>
          </w:tcPr>
          <w:p w14:paraId="6135A0E8" w14:textId="3E4148C4" w:rsidR="00E07C9A" w:rsidRPr="00537128" w:rsidRDefault="00E07C9A" w:rsidP="00E07C9A">
            <w:pPr>
              <w:spacing w:after="0" w:line="240" w:lineRule="auto"/>
              <w:jc w:val="right"/>
              <w:rPr>
                <w:rFonts w:ascii="Calibri" w:eastAsia="Calibri" w:hAnsi="Calibri" w:cs="Arial"/>
                <w:sz w:val="20"/>
                <w:szCs w:val="20"/>
                <w:lang w:val="en-US"/>
              </w:rPr>
            </w:pPr>
            <w:r w:rsidRPr="007F5B1C">
              <w:rPr>
                <w:rFonts w:eastAsia="Calibri" w:cs="Calibri"/>
                <w:color w:val="000000" w:themeColor="text1"/>
                <w:sz w:val="20"/>
                <w:szCs w:val="20"/>
              </w:rPr>
              <w:t>-</w:t>
            </w:r>
          </w:p>
        </w:tc>
      </w:tr>
      <w:tr w:rsidR="00E07C9A" w:rsidRPr="00537128" w14:paraId="37B9AEF6" w14:textId="77777777" w:rsidTr="004A287E">
        <w:trPr>
          <w:trHeight w:val="166"/>
        </w:trPr>
        <w:tc>
          <w:tcPr>
            <w:tcW w:w="1813" w:type="pct"/>
            <w:vAlign w:val="bottom"/>
          </w:tcPr>
          <w:p w14:paraId="5C286217" w14:textId="77777777" w:rsidR="00E07C9A" w:rsidRPr="00537128" w:rsidRDefault="00E07C9A" w:rsidP="00E07C9A">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2</w:t>
            </w:r>
          </w:p>
        </w:tc>
        <w:tc>
          <w:tcPr>
            <w:tcW w:w="650" w:type="pct"/>
            <w:shd w:val="clear" w:color="auto" w:fill="auto"/>
            <w:vAlign w:val="bottom"/>
          </w:tcPr>
          <w:p w14:paraId="1447EA78" w14:textId="6991580C" w:rsidR="00E07C9A" w:rsidRPr="00537128" w:rsidRDefault="00E07C9A" w:rsidP="00E07C9A">
            <w:pPr>
              <w:spacing w:after="0" w:line="240" w:lineRule="auto"/>
              <w:jc w:val="right"/>
              <w:rPr>
                <w:rFonts w:ascii="Calibri" w:eastAsia="Calibri" w:hAnsi="Calibri" w:cs="Arial"/>
                <w:sz w:val="20"/>
                <w:szCs w:val="20"/>
                <w:lang w:val="en-US"/>
              </w:rPr>
            </w:pPr>
            <w:r w:rsidRPr="007F5B1C">
              <w:rPr>
                <w:rFonts w:eastAsia="Calibri" w:cs="Calibri"/>
                <w:color w:val="000000" w:themeColor="text1"/>
                <w:sz w:val="20"/>
                <w:szCs w:val="20"/>
              </w:rPr>
              <w:t>-</w:t>
            </w:r>
          </w:p>
        </w:tc>
        <w:tc>
          <w:tcPr>
            <w:tcW w:w="650" w:type="pct"/>
            <w:shd w:val="clear" w:color="auto" w:fill="auto"/>
            <w:vAlign w:val="bottom"/>
          </w:tcPr>
          <w:p w14:paraId="25FAB677" w14:textId="07EBC431" w:rsidR="00E07C9A" w:rsidRPr="00537128" w:rsidRDefault="00E07C9A" w:rsidP="00E07C9A">
            <w:pPr>
              <w:spacing w:after="0" w:line="240" w:lineRule="auto"/>
              <w:jc w:val="right"/>
              <w:rPr>
                <w:rFonts w:ascii="Calibri" w:eastAsia="Calibri" w:hAnsi="Calibri" w:cs="Arial"/>
                <w:sz w:val="20"/>
                <w:szCs w:val="20"/>
                <w:lang w:val="en-US"/>
              </w:rPr>
            </w:pPr>
            <w:r w:rsidRPr="007F5B1C">
              <w:rPr>
                <w:rFonts w:eastAsia="Calibri" w:cs="Calibri"/>
                <w:color w:val="000000" w:themeColor="text1"/>
                <w:sz w:val="20"/>
                <w:szCs w:val="20"/>
              </w:rPr>
              <w:t>-</w:t>
            </w:r>
          </w:p>
        </w:tc>
        <w:tc>
          <w:tcPr>
            <w:tcW w:w="643" w:type="pct"/>
            <w:shd w:val="clear" w:color="auto" w:fill="auto"/>
            <w:vAlign w:val="bottom"/>
          </w:tcPr>
          <w:p w14:paraId="1E36C7E7" w14:textId="7AD23AA1" w:rsidR="00E07C9A" w:rsidRPr="00537128" w:rsidRDefault="00E07C9A" w:rsidP="00E07C9A">
            <w:pPr>
              <w:spacing w:after="0" w:line="240" w:lineRule="auto"/>
              <w:jc w:val="right"/>
              <w:rPr>
                <w:rFonts w:ascii="Calibri" w:eastAsia="Calibri" w:hAnsi="Calibri" w:cs="Arial"/>
                <w:sz w:val="20"/>
                <w:szCs w:val="20"/>
                <w:lang w:val="en-US"/>
              </w:rPr>
            </w:pPr>
            <w:r w:rsidRPr="007F5B1C">
              <w:rPr>
                <w:rFonts w:eastAsia="Calibri" w:cs="Calibri"/>
                <w:color w:val="000000" w:themeColor="text1"/>
                <w:sz w:val="20"/>
                <w:szCs w:val="20"/>
              </w:rPr>
              <w:t>-</w:t>
            </w:r>
          </w:p>
        </w:tc>
        <w:tc>
          <w:tcPr>
            <w:tcW w:w="605" w:type="pct"/>
            <w:shd w:val="clear" w:color="auto" w:fill="auto"/>
            <w:vAlign w:val="bottom"/>
          </w:tcPr>
          <w:p w14:paraId="369FA623" w14:textId="6E20207B" w:rsidR="00E07C9A" w:rsidRPr="00537128" w:rsidRDefault="00E07C9A" w:rsidP="00E07C9A">
            <w:pPr>
              <w:spacing w:after="0" w:line="240" w:lineRule="auto"/>
              <w:jc w:val="right"/>
              <w:rPr>
                <w:rFonts w:ascii="Calibri" w:eastAsia="Calibri" w:hAnsi="Calibri" w:cs="Arial"/>
                <w:sz w:val="20"/>
                <w:szCs w:val="20"/>
                <w:lang w:val="en-US"/>
              </w:rPr>
            </w:pPr>
            <w:r w:rsidRPr="007F5B1C">
              <w:rPr>
                <w:rFonts w:eastAsia="Calibri" w:cs="Calibri"/>
                <w:color w:val="000000" w:themeColor="text1"/>
                <w:sz w:val="20"/>
                <w:szCs w:val="20"/>
              </w:rPr>
              <w:t>-</w:t>
            </w:r>
          </w:p>
        </w:tc>
        <w:tc>
          <w:tcPr>
            <w:tcW w:w="639" w:type="pct"/>
            <w:shd w:val="clear" w:color="auto" w:fill="auto"/>
            <w:vAlign w:val="bottom"/>
          </w:tcPr>
          <w:p w14:paraId="25B54F8E" w14:textId="618B0166" w:rsidR="00E07C9A" w:rsidRPr="00537128" w:rsidRDefault="00E07C9A" w:rsidP="00E07C9A">
            <w:pPr>
              <w:spacing w:after="0" w:line="240" w:lineRule="auto"/>
              <w:jc w:val="right"/>
              <w:rPr>
                <w:rFonts w:ascii="Calibri" w:eastAsia="Calibri" w:hAnsi="Calibri" w:cs="Arial"/>
                <w:sz w:val="20"/>
                <w:szCs w:val="20"/>
                <w:lang w:val="en-US"/>
              </w:rPr>
            </w:pPr>
            <w:r w:rsidRPr="007F5B1C">
              <w:rPr>
                <w:rFonts w:eastAsia="Calibri" w:cs="Calibri"/>
                <w:color w:val="000000" w:themeColor="text1"/>
                <w:sz w:val="20"/>
                <w:szCs w:val="20"/>
              </w:rPr>
              <w:t>-</w:t>
            </w:r>
          </w:p>
        </w:tc>
      </w:tr>
      <w:tr w:rsidR="00E07C9A" w:rsidRPr="00537128" w14:paraId="55A43F89" w14:textId="77777777" w:rsidTr="004A287E">
        <w:trPr>
          <w:trHeight w:val="166"/>
        </w:trPr>
        <w:tc>
          <w:tcPr>
            <w:tcW w:w="1813" w:type="pct"/>
            <w:vAlign w:val="bottom"/>
          </w:tcPr>
          <w:p w14:paraId="6979EBEE" w14:textId="77777777" w:rsidR="00E07C9A" w:rsidRPr="00537128" w:rsidRDefault="00E07C9A" w:rsidP="00E07C9A">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3</w:t>
            </w:r>
          </w:p>
        </w:tc>
        <w:tc>
          <w:tcPr>
            <w:tcW w:w="650" w:type="pct"/>
            <w:shd w:val="clear" w:color="auto" w:fill="auto"/>
            <w:vAlign w:val="bottom"/>
          </w:tcPr>
          <w:p w14:paraId="055CFE21" w14:textId="2CC1837E" w:rsidR="00E07C9A" w:rsidRPr="00537128" w:rsidRDefault="00E07C9A" w:rsidP="00E07C9A">
            <w:pPr>
              <w:spacing w:after="0" w:line="240" w:lineRule="auto"/>
              <w:jc w:val="right"/>
              <w:rPr>
                <w:rFonts w:ascii="Calibri" w:eastAsia="Calibri" w:hAnsi="Calibri" w:cs="Arial"/>
                <w:sz w:val="20"/>
                <w:szCs w:val="20"/>
                <w:lang w:val="en-US"/>
              </w:rPr>
            </w:pPr>
            <w:r w:rsidRPr="007F5B1C">
              <w:rPr>
                <w:rFonts w:eastAsia="Calibri" w:cs="Calibri"/>
                <w:color w:val="000000" w:themeColor="text1"/>
                <w:sz w:val="20"/>
                <w:szCs w:val="20"/>
              </w:rPr>
              <w:t>-</w:t>
            </w:r>
          </w:p>
        </w:tc>
        <w:tc>
          <w:tcPr>
            <w:tcW w:w="650" w:type="pct"/>
            <w:shd w:val="clear" w:color="auto" w:fill="auto"/>
            <w:vAlign w:val="bottom"/>
          </w:tcPr>
          <w:p w14:paraId="5B8DE458" w14:textId="16DE3FA9" w:rsidR="00E07C9A" w:rsidRPr="00537128" w:rsidRDefault="00E07C9A" w:rsidP="00E07C9A">
            <w:pPr>
              <w:spacing w:after="0" w:line="240" w:lineRule="auto"/>
              <w:jc w:val="right"/>
              <w:rPr>
                <w:rFonts w:ascii="Calibri" w:eastAsia="Calibri" w:hAnsi="Calibri" w:cs="Arial"/>
                <w:sz w:val="20"/>
                <w:szCs w:val="20"/>
                <w:lang w:val="en-US"/>
              </w:rPr>
            </w:pPr>
            <w:r w:rsidRPr="007F5B1C">
              <w:rPr>
                <w:rFonts w:eastAsia="Calibri" w:cs="Calibri"/>
                <w:color w:val="000000" w:themeColor="text1"/>
                <w:sz w:val="20"/>
                <w:szCs w:val="20"/>
              </w:rPr>
              <w:t>-</w:t>
            </w:r>
          </w:p>
        </w:tc>
        <w:tc>
          <w:tcPr>
            <w:tcW w:w="643" w:type="pct"/>
            <w:shd w:val="clear" w:color="auto" w:fill="auto"/>
            <w:vAlign w:val="bottom"/>
          </w:tcPr>
          <w:p w14:paraId="6D7DF230" w14:textId="673CE36D" w:rsidR="00E07C9A" w:rsidRPr="00537128" w:rsidRDefault="00E07C9A" w:rsidP="00E07C9A">
            <w:pPr>
              <w:spacing w:after="0" w:line="240" w:lineRule="auto"/>
              <w:jc w:val="right"/>
              <w:rPr>
                <w:rFonts w:ascii="Calibri" w:eastAsia="Calibri" w:hAnsi="Calibri" w:cs="Arial"/>
                <w:sz w:val="20"/>
                <w:szCs w:val="20"/>
                <w:lang w:val="en-US"/>
              </w:rPr>
            </w:pPr>
            <w:r w:rsidRPr="007F5B1C">
              <w:rPr>
                <w:rFonts w:eastAsia="Calibri" w:cs="Calibri"/>
                <w:color w:val="000000" w:themeColor="text1"/>
                <w:sz w:val="20"/>
                <w:szCs w:val="20"/>
              </w:rPr>
              <w:t>-</w:t>
            </w:r>
          </w:p>
        </w:tc>
        <w:tc>
          <w:tcPr>
            <w:tcW w:w="605" w:type="pct"/>
            <w:shd w:val="clear" w:color="auto" w:fill="auto"/>
            <w:vAlign w:val="bottom"/>
          </w:tcPr>
          <w:p w14:paraId="13C0FCB3" w14:textId="25EDACCF" w:rsidR="00E07C9A" w:rsidRPr="00537128" w:rsidRDefault="00E07C9A" w:rsidP="00E07C9A">
            <w:pPr>
              <w:spacing w:after="0" w:line="240" w:lineRule="auto"/>
              <w:jc w:val="right"/>
              <w:rPr>
                <w:rFonts w:ascii="Calibri" w:eastAsia="Calibri" w:hAnsi="Calibri" w:cs="Arial"/>
                <w:sz w:val="20"/>
                <w:szCs w:val="20"/>
                <w:lang w:val="en-US"/>
              </w:rPr>
            </w:pPr>
            <w:r w:rsidRPr="007F5B1C">
              <w:rPr>
                <w:rFonts w:eastAsia="Calibri" w:cs="Calibri"/>
                <w:color w:val="000000" w:themeColor="text1"/>
                <w:sz w:val="20"/>
                <w:szCs w:val="20"/>
              </w:rPr>
              <w:t>-</w:t>
            </w:r>
          </w:p>
        </w:tc>
        <w:tc>
          <w:tcPr>
            <w:tcW w:w="639" w:type="pct"/>
            <w:shd w:val="clear" w:color="auto" w:fill="auto"/>
            <w:vAlign w:val="bottom"/>
          </w:tcPr>
          <w:p w14:paraId="6DAB09CF" w14:textId="2A0B3D5E" w:rsidR="00E07C9A" w:rsidRPr="00537128" w:rsidRDefault="00E07C9A" w:rsidP="00E07C9A">
            <w:pPr>
              <w:spacing w:after="0" w:line="240" w:lineRule="auto"/>
              <w:jc w:val="right"/>
              <w:rPr>
                <w:rFonts w:ascii="Calibri" w:eastAsia="Calibri" w:hAnsi="Calibri" w:cs="Arial"/>
                <w:sz w:val="20"/>
                <w:szCs w:val="20"/>
                <w:lang w:val="en-US"/>
              </w:rPr>
            </w:pPr>
            <w:r w:rsidRPr="007F5B1C">
              <w:rPr>
                <w:rFonts w:eastAsia="Calibri" w:cs="Calibri"/>
                <w:color w:val="000000" w:themeColor="text1"/>
                <w:sz w:val="20"/>
                <w:szCs w:val="20"/>
              </w:rPr>
              <w:t>-</w:t>
            </w:r>
          </w:p>
        </w:tc>
      </w:tr>
      <w:tr w:rsidR="00E07C9A" w:rsidRPr="00537128" w14:paraId="3EE767D0" w14:textId="77777777" w:rsidTr="004A287E">
        <w:trPr>
          <w:trHeight w:val="166"/>
        </w:trPr>
        <w:tc>
          <w:tcPr>
            <w:tcW w:w="1813" w:type="pct"/>
            <w:vAlign w:val="bottom"/>
          </w:tcPr>
          <w:p w14:paraId="192655FF" w14:textId="2C7446CA" w:rsidR="00E07C9A" w:rsidRPr="00537128" w:rsidRDefault="00E07C9A" w:rsidP="00E07C9A">
            <w:pPr>
              <w:tabs>
                <w:tab w:val="right" w:pos="1202"/>
              </w:tabs>
              <w:spacing w:after="0" w:line="240" w:lineRule="auto"/>
              <w:outlineLvl w:val="0"/>
              <w:rPr>
                <w:rFonts w:ascii="Calibri" w:eastAsia="Calibri" w:hAnsi="Calibri" w:cs="Times New Roman"/>
                <w:sz w:val="20"/>
                <w:szCs w:val="20"/>
                <w:highlight w:val="yellow"/>
                <w:lang w:val="en-US"/>
              </w:rPr>
            </w:pPr>
            <w:r w:rsidRPr="00537128">
              <w:rPr>
                <w:rFonts w:ascii="Calibri" w:eastAsia="Calibri" w:hAnsi="Calibri" w:cs="Times New Roman"/>
                <w:sz w:val="20"/>
                <w:szCs w:val="20"/>
                <w:lang w:val="en-US"/>
              </w:rPr>
              <w:t xml:space="preserve">Net </w:t>
            </w:r>
            <w:r w:rsidR="00DF10E9">
              <w:rPr>
                <w:rFonts w:ascii="Calibri" w:eastAsia="Calibri" w:hAnsi="Calibri" w:cs="Times New Roman"/>
                <w:sz w:val="20"/>
                <w:szCs w:val="20"/>
                <w:lang w:val="en-US"/>
              </w:rPr>
              <w:t>(release)</w:t>
            </w:r>
            <w:r w:rsidRPr="00537128" w:rsidDel="00515E45">
              <w:rPr>
                <w:rFonts w:ascii="Calibri" w:eastAsia="Calibri" w:hAnsi="Calibri" w:cs="Times New Roman"/>
                <w:sz w:val="20"/>
                <w:szCs w:val="20"/>
                <w:lang w:val="en-US"/>
              </w:rPr>
              <w:t xml:space="preserve"> </w:t>
            </w:r>
            <w:r w:rsidRPr="00537128">
              <w:rPr>
                <w:rFonts w:ascii="Calibri" w:eastAsia="Calibri" w:hAnsi="Calibri" w:cs="Times New Roman"/>
                <w:sz w:val="20"/>
                <w:szCs w:val="20"/>
                <w:lang w:val="en-US"/>
              </w:rPr>
              <w:t>of loss allowance</w:t>
            </w:r>
          </w:p>
        </w:tc>
        <w:tc>
          <w:tcPr>
            <w:tcW w:w="650" w:type="pct"/>
            <w:shd w:val="clear" w:color="auto" w:fill="auto"/>
            <w:vAlign w:val="bottom"/>
          </w:tcPr>
          <w:p w14:paraId="6EBDC856" w14:textId="0C3E1385" w:rsidR="00E07C9A" w:rsidRPr="00537128" w:rsidRDefault="00E07C9A" w:rsidP="00E07C9A">
            <w:pPr>
              <w:spacing w:after="0" w:line="240" w:lineRule="auto"/>
              <w:jc w:val="right"/>
              <w:rPr>
                <w:rFonts w:ascii="Calibri" w:eastAsia="Calibri" w:hAnsi="Calibri" w:cs="Calibri"/>
                <w:color w:val="000000"/>
                <w:sz w:val="20"/>
                <w:szCs w:val="20"/>
                <w:lang w:val="en-US"/>
              </w:rPr>
            </w:pPr>
            <w:r w:rsidRPr="007A49AD">
              <w:rPr>
                <w:sz w:val="20"/>
                <w:szCs w:val="20"/>
              </w:rPr>
              <w:t xml:space="preserve"> (547)</w:t>
            </w:r>
          </w:p>
        </w:tc>
        <w:tc>
          <w:tcPr>
            <w:tcW w:w="650" w:type="pct"/>
            <w:shd w:val="clear" w:color="auto" w:fill="auto"/>
            <w:vAlign w:val="bottom"/>
          </w:tcPr>
          <w:p w14:paraId="01BB8DFF" w14:textId="447F9D06" w:rsidR="00E07C9A" w:rsidRPr="00537128" w:rsidRDefault="00E07C9A" w:rsidP="00E07C9A">
            <w:pPr>
              <w:spacing w:after="0" w:line="240" w:lineRule="auto"/>
              <w:jc w:val="right"/>
              <w:rPr>
                <w:rFonts w:ascii="Calibri" w:eastAsia="Calibri" w:hAnsi="Calibri" w:cs="Calibri"/>
                <w:color w:val="000000"/>
                <w:sz w:val="20"/>
                <w:szCs w:val="20"/>
                <w:lang w:val="en-US"/>
              </w:rPr>
            </w:pPr>
            <w:r w:rsidRPr="007A49AD">
              <w:rPr>
                <w:sz w:val="20"/>
                <w:szCs w:val="20"/>
              </w:rPr>
              <w:t xml:space="preserve"> - </w:t>
            </w:r>
          </w:p>
        </w:tc>
        <w:tc>
          <w:tcPr>
            <w:tcW w:w="643" w:type="pct"/>
            <w:shd w:val="clear" w:color="auto" w:fill="auto"/>
            <w:vAlign w:val="bottom"/>
          </w:tcPr>
          <w:p w14:paraId="134321C4" w14:textId="6EB7C27F" w:rsidR="00E07C9A" w:rsidRPr="00537128" w:rsidRDefault="00E07C9A" w:rsidP="00E07C9A">
            <w:pPr>
              <w:spacing w:after="0" w:line="240" w:lineRule="auto"/>
              <w:jc w:val="right"/>
              <w:rPr>
                <w:rFonts w:ascii="Calibri" w:eastAsia="Calibri" w:hAnsi="Calibri" w:cs="Calibri"/>
                <w:color w:val="000000"/>
                <w:sz w:val="20"/>
                <w:szCs w:val="20"/>
                <w:lang w:val="en-US"/>
              </w:rPr>
            </w:pPr>
            <w:r w:rsidRPr="007A49AD">
              <w:rPr>
                <w:sz w:val="20"/>
                <w:szCs w:val="20"/>
              </w:rPr>
              <w:t xml:space="preserve"> - </w:t>
            </w:r>
          </w:p>
        </w:tc>
        <w:tc>
          <w:tcPr>
            <w:tcW w:w="605" w:type="pct"/>
            <w:shd w:val="clear" w:color="auto" w:fill="auto"/>
            <w:vAlign w:val="bottom"/>
          </w:tcPr>
          <w:p w14:paraId="1173238A" w14:textId="1AAD81BE" w:rsidR="00E07C9A" w:rsidRPr="00537128" w:rsidRDefault="00E07C9A" w:rsidP="00E07C9A">
            <w:pPr>
              <w:spacing w:after="0" w:line="240" w:lineRule="auto"/>
              <w:jc w:val="right"/>
              <w:rPr>
                <w:rFonts w:ascii="Calibri" w:eastAsia="Calibri" w:hAnsi="Calibri" w:cs="Calibri"/>
                <w:color w:val="000000"/>
                <w:sz w:val="20"/>
                <w:szCs w:val="20"/>
                <w:lang w:val="en-US"/>
              </w:rPr>
            </w:pPr>
            <w:r w:rsidRPr="007A49AD">
              <w:rPr>
                <w:sz w:val="20"/>
                <w:szCs w:val="20"/>
              </w:rPr>
              <w:t xml:space="preserve"> - </w:t>
            </w:r>
          </w:p>
        </w:tc>
        <w:tc>
          <w:tcPr>
            <w:tcW w:w="639" w:type="pct"/>
            <w:shd w:val="clear" w:color="auto" w:fill="auto"/>
            <w:vAlign w:val="bottom"/>
          </w:tcPr>
          <w:p w14:paraId="09272C9E" w14:textId="0D571664" w:rsidR="00E07C9A" w:rsidRPr="00537128" w:rsidRDefault="00E07C9A" w:rsidP="00E07C9A">
            <w:pPr>
              <w:spacing w:after="0" w:line="240" w:lineRule="auto"/>
              <w:jc w:val="right"/>
              <w:rPr>
                <w:rFonts w:ascii="Calibri" w:eastAsia="Calibri" w:hAnsi="Calibri" w:cs="Calibri"/>
                <w:color w:val="000000"/>
                <w:sz w:val="20"/>
                <w:szCs w:val="20"/>
                <w:lang w:val="en-US"/>
              </w:rPr>
            </w:pPr>
            <w:r w:rsidRPr="007A49AD">
              <w:rPr>
                <w:sz w:val="20"/>
                <w:szCs w:val="20"/>
              </w:rPr>
              <w:t xml:space="preserve"> (547)</w:t>
            </w:r>
          </w:p>
        </w:tc>
      </w:tr>
      <w:tr w:rsidR="00E07C9A" w:rsidRPr="00537128" w14:paraId="07848A8F" w14:textId="77777777" w:rsidTr="004A287E">
        <w:trPr>
          <w:trHeight w:val="166"/>
        </w:trPr>
        <w:tc>
          <w:tcPr>
            <w:tcW w:w="1813" w:type="pct"/>
            <w:vAlign w:val="bottom"/>
          </w:tcPr>
          <w:p w14:paraId="4E867C2A" w14:textId="0DB27DF6" w:rsidR="00E07C9A" w:rsidRPr="00537128" w:rsidRDefault="00E07C9A" w:rsidP="00E07C9A">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 xml:space="preserve">Net foreign exchange </w:t>
            </w:r>
            <w:r>
              <w:rPr>
                <w:rFonts w:ascii="Calibri" w:eastAsia="Calibri" w:hAnsi="Calibri" w:cs="Times New Roman"/>
                <w:sz w:val="20"/>
                <w:szCs w:val="20"/>
                <w:lang w:val="en-US"/>
              </w:rPr>
              <w:t>gain/</w:t>
            </w:r>
            <w:r w:rsidRPr="00537128">
              <w:rPr>
                <w:rFonts w:ascii="Calibri" w:eastAsia="Calibri" w:hAnsi="Calibri" w:cs="Times New Roman"/>
                <w:sz w:val="20"/>
                <w:szCs w:val="20"/>
                <w:lang w:val="en-US"/>
              </w:rPr>
              <w:t>loss on loss allowances</w:t>
            </w:r>
          </w:p>
        </w:tc>
        <w:tc>
          <w:tcPr>
            <w:tcW w:w="650" w:type="pct"/>
            <w:shd w:val="clear" w:color="auto" w:fill="auto"/>
            <w:vAlign w:val="bottom"/>
          </w:tcPr>
          <w:p w14:paraId="18563CCA" w14:textId="6102AEED" w:rsidR="00E07C9A" w:rsidRPr="00537128" w:rsidRDefault="00E07C9A" w:rsidP="00E07C9A">
            <w:pPr>
              <w:spacing w:after="0" w:line="240" w:lineRule="auto"/>
              <w:jc w:val="right"/>
              <w:rPr>
                <w:rFonts w:ascii="Calibri" w:eastAsia="Calibri" w:hAnsi="Calibri" w:cs="Calibri"/>
                <w:color w:val="000000"/>
                <w:sz w:val="20"/>
                <w:szCs w:val="20"/>
                <w:lang w:val="en-US"/>
              </w:rPr>
            </w:pPr>
            <w:r w:rsidRPr="007F5B1C">
              <w:rPr>
                <w:rFonts w:eastAsia="Calibri" w:cs="Calibri"/>
                <w:color w:val="000000" w:themeColor="text1"/>
                <w:sz w:val="20"/>
                <w:szCs w:val="20"/>
              </w:rPr>
              <w:t>-</w:t>
            </w:r>
          </w:p>
        </w:tc>
        <w:tc>
          <w:tcPr>
            <w:tcW w:w="650" w:type="pct"/>
            <w:shd w:val="clear" w:color="auto" w:fill="auto"/>
            <w:vAlign w:val="bottom"/>
          </w:tcPr>
          <w:p w14:paraId="3F66C994" w14:textId="3EFDA791" w:rsidR="00E07C9A" w:rsidRPr="00537128" w:rsidRDefault="00E07C9A" w:rsidP="00E07C9A">
            <w:pPr>
              <w:spacing w:after="0" w:line="240" w:lineRule="auto"/>
              <w:jc w:val="right"/>
              <w:rPr>
                <w:rFonts w:ascii="Calibri" w:eastAsia="Calibri" w:hAnsi="Calibri" w:cs="Calibri"/>
                <w:color w:val="000000"/>
                <w:sz w:val="20"/>
                <w:szCs w:val="20"/>
                <w:lang w:val="en-US"/>
              </w:rPr>
            </w:pPr>
            <w:r w:rsidRPr="007F5B1C">
              <w:rPr>
                <w:rFonts w:eastAsia="Calibri" w:cs="Calibri"/>
                <w:color w:val="000000" w:themeColor="text1"/>
                <w:sz w:val="20"/>
                <w:szCs w:val="20"/>
              </w:rPr>
              <w:t>-</w:t>
            </w:r>
          </w:p>
        </w:tc>
        <w:tc>
          <w:tcPr>
            <w:tcW w:w="643" w:type="pct"/>
            <w:shd w:val="clear" w:color="auto" w:fill="auto"/>
            <w:vAlign w:val="bottom"/>
          </w:tcPr>
          <w:p w14:paraId="65501572" w14:textId="24124DFA" w:rsidR="00E07C9A" w:rsidRPr="00537128" w:rsidRDefault="00E07C9A" w:rsidP="00E07C9A">
            <w:pPr>
              <w:spacing w:after="0" w:line="240" w:lineRule="auto"/>
              <w:jc w:val="right"/>
              <w:rPr>
                <w:rFonts w:ascii="Calibri" w:eastAsia="Calibri" w:hAnsi="Calibri" w:cs="Calibri"/>
                <w:color w:val="000000"/>
                <w:sz w:val="20"/>
                <w:szCs w:val="20"/>
                <w:lang w:val="en-US"/>
              </w:rPr>
            </w:pPr>
            <w:r w:rsidRPr="007F5B1C">
              <w:rPr>
                <w:rFonts w:eastAsia="Calibri" w:cs="Calibri"/>
                <w:color w:val="000000" w:themeColor="text1"/>
                <w:sz w:val="20"/>
                <w:szCs w:val="20"/>
              </w:rPr>
              <w:t>-</w:t>
            </w:r>
          </w:p>
        </w:tc>
        <w:tc>
          <w:tcPr>
            <w:tcW w:w="605" w:type="pct"/>
            <w:shd w:val="clear" w:color="auto" w:fill="auto"/>
            <w:vAlign w:val="bottom"/>
          </w:tcPr>
          <w:p w14:paraId="4C5398B8" w14:textId="6D4643AA" w:rsidR="00E07C9A" w:rsidRPr="00537128" w:rsidRDefault="00E07C9A" w:rsidP="00E07C9A">
            <w:pPr>
              <w:spacing w:after="0" w:line="240" w:lineRule="auto"/>
              <w:jc w:val="right"/>
              <w:rPr>
                <w:rFonts w:ascii="Calibri" w:eastAsia="Calibri" w:hAnsi="Calibri" w:cs="Calibri"/>
                <w:color w:val="000000"/>
                <w:sz w:val="20"/>
                <w:szCs w:val="20"/>
                <w:lang w:val="en-US"/>
              </w:rPr>
            </w:pPr>
            <w:r w:rsidRPr="007F5B1C">
              <w:rPr>
                <w:rFonts w:eastAsia="Calibri" w:cs="Calibri"/>
                <w:color w:val="000000" w:themeColor="text1"/>
                <w:sz w:val="20"/>
                <w:szCs w:val="20"/>
              </w:rPr>
              <w:t>-</w:t>
            </w:r>
          </w:p>
        </w:tc>
        <w:tc>
          <w:tcPr>
            <w:tcW w:w="639" w:type="pct"/>
            <w:shd w:val="clear" w:color="auto" w:fill="auto"/>
            <w:vAlign w:val="bottom"/>
          </w:tcPr>
          <w:p w14:paraId="3E16B0AC" w14:textId="3B9EB46A" w:rsidR="00E07C9A" w:rsidRPr="00537128" w:rsidRDefault="00E07C9A" w:rsidP="00E07C9A">
            <w:pPr>
              <w:spacing w:after="0" w:line="240" w:lineRule="auto"/>
              <w:jc w:val="right"/>
              <w:rPr>
                <w:rFonts w:ascii="Calibri" w:eastAsia="Calibri" w:hAnsi="Calibri" w:cs="Calibri"/>
                <w:color w:val="000000"/>
                <w:sz w:val="20"/>
                <w:szCs w:val="20"/>
                <w:lang w:val="en-US"/>
              </w:rPr>
            </w:pPr>
            <w:r w:rsidRPr="007F5B1C">
              <w:rPr>
                <w:rFonts w:eastAsia="Calibri" w:cs="Calibri"/>
                <w:color w:val="000000" w:themeColor="text1"/>
                <w:sz w:val="20"/>
                <w:szCs w:val="20"/>
              </w:rPr>
              <w:t>-</w:t>
            </w:r>
          </w:p>
        </w:tc>
      </w:tr>
      <w:tr w:rsidR="00E07C9A" w:rsidRPr="00537128" w14:paraId="35A6CC63" w14:textId="77777777" w:rsidTr="00842BE1">
        <w:trPr>
          <w:trHeight w:val="32"/>
        </w:trPr>
        <w:tc>
          <w:tcPr>
            <w:tcW w:w="1813" w:type="pct"/>
            <w:vAlign w:val="bottom"/>
          </w:tcPr>
          <w:p w14:paraId="02C43BC9" w14:textId="447215E6" w:rsidR="00E07C9A" w:rsidRPr="00537128" w:rsidRDefault="00E07C9A" w:rsidP="00E07C9A">
            <w:pPr>
              <w:tabs>
                <w:tab w:val="right" w:pos="1202"/>
              </w:tabs>
              <w:spacing w:after="0" w:line="301" w:lineRule="exact"/>
              <w:outlineLvl w:val="0"/>
              <w:rPr>
                <w:rFonts w:ascii="Calibri" w:eastAsia="Calibri" w:hAnsi="Calibri" w:cs="Arial"/>
                <w:b/>
                <w:bCs/>
                <w:sz w:val="20"/>
                <w:szCs w:val="20"/>
                <w:lang w:val="en-US"/>
              </w:rPr>
            </w:pPr>
            <w:r w:rsidRPr="00537128">
              <w:rPr>
                <w:rFonts w:ascii="Calibri" w:eastAsia="Calibri" w:hAnsi="Calibri" w:cs="Arial"/>
                <w:b/>
                <w:bCs/>
                <w:sz w:val="20"/>
                <w:szCs w:val="20"/>
                <w:lang w:val="en-US"/>
              </w:rPr>
              <w:t xml:space="preserve">Balance </w:t>
            </w:r>
            <w:proofErr w:type="gramStart"/>
            <w:r w:rsidRPr="00537128">
              <w:rPr>
                <w:rFonts w:ascii="Calibri" w:eastAsia="Calibri" w:hAnsi="Calibri" w:cs="Arial"/>
                <w:b/>
                <w:bCs/>
                <w:sz w:val="20"/>
                <w:szCs w:val="20"/>
                <w:lang w:val="en-US"/>
              </w:rPr>
              <w:t>at</w:t>
            </w:r>
            <w:proofErr w:type="gramEnd"/>
            <w:r w:rsidRPr="00537128">
              <w:rPr>
                <w:rFonts w:ascii="Calibri" w:eastAsia="Calibri" w:hAnsi="Calibri" w:cs="Arial"/>
                <w:b/>
                <w:bCs/>
                <w:sz w:val="20"/>
                <w:szCs w:val="20"/>
                <w:lang w:val="en-US"/>
              </w:rPr>
              <w:t xml:space="preserve"> 31 March 202</w:t>
            </w:r>
            <w:r>
              <w:rPr>
                <w:rFonts w:ascii="Calibri" w:eastAsia="Calibri" w:hAnsi="Calibri" w:cs="Arial"/>
                <w:b/>
                <w:bCs/>
                <w:sz w:val="20"/>
                <w:szCs w:val="20"/>
                <w:lang w:val="en-US"/>
              </w:rPr>
              <w:t>2</w:t>
            </w:r>
          </w:p>
        </w:tc>
        <w:tc>
          <w:tcPr>
            <w:tcW w:w="650" w:type="pct"/>
            <w:tcBorders>
              <w:top w:val="single" w:sz="4" w:space="0" w:color="auto"/>
              <w:left w:val="nil"/>
              <w:bottom w:val="single" w:sz="12" w:space="0" w:color="auto"/>
              <w:right w:val="nil"/>
            </w:tcBorders>
            <w:shd w:val="clear" w:color="auto" w:fill="auto"/>
          </w:tcPr>
          <w:p w14:paraId="3D364B76" w14:textId="1CFD6E83" w:rsidR="00E07C9A" w:rsidRPr="00537128" w:rsidRDefault="00E07C9A" w:rsidP="00E07C9A">
            <w:pPr>
              <w:tabs>
                <w:tab w:val="right" w:pos="1202"/>
              </w:tabs>
              <w:spacing w:after="0" w:line="301" w:lineRule="exact"/>
              <w:jc w:val="right"/>
              <w:outlineLvl w:val="0"/>
              <w:rPr>
                <w:rFonts w:ascii="Calibri" w:eastAsia="Calibri" w:hAnsi="Calibri" w:cs="Arial"/>
                <w:b/>
                <w:bCs/>
                <w:sz w:val="20"/>
                <w:szCs w:val="20"/>
                <w:lang w:val="en-US"/>
              </w:rPr>
            </w:pPr>
            <w:r w:rsidRPr="007A49AD">
              <w:rPr>
                <w:b/>
                <w:bCs/>
                <w:sz w:val="20"/>
                <w:szCs w:val="20"/>
              </w:rPr>
              <w:t xml:space="preserve"> 1</w:t>
            </w:r>
            <w:r>
              <w:rPr>
                <w:b/>
                <w:bCs/>
                <w:sz w:val="20"/>
                <w:szCs w:val="20"/>
              </w:rPr>
              <w:t>,</w:t>
            </w:r>
            <w:r w:rsidRPr="007A49AD">
              <w:rPr>
                <w:b/>
                <w:bCs/>
                <w:sz w:val="20"/>
                <w:szCs w:val="20"/>
              </w:rPr>
              <w:t xml:space="preserve">262 </w:t>
            </w:r>
          </w:p>
        </w:tc>
        <w:tc>
          <w:tcPr>
            <w:tcW w:w="650" w:type="pct"/>
            <w:tcBorders>
              <w:top w:val="single" w:sz="4" w:space="0" w:color="auto"/>
              <w:left w:val="nil"/>
              <w:bottom w:val="single" w:sz="12" w:space="0" w:color="auto"/>
              <w:right w:val="nil"/>
            </w:tcBorders>
            <w:shd w:val="clear" w:color="auto" w:fill="auto"/>
          </w:tcPr>
          <w:p w14:paraId="66F9C59C" w14:textId="7C90636B" w:rsidR="00E07C9A" w:rsidRPr="00537128" w:rsidRDefault="00E07C9A" w:rsidP="00E07C9A">
            <w:pPr>
              <w:tabs>
                <w:tab w:val="right" w:pos="1202"/>
              </w:tabs>
              <w:spacing w:after="0" w:line="301" w:lineRule="exact"/>
              <w:jc w:val="right"/>
              <w:outlineLvl w:val="0"/>
              <w:rPr>
                <w:rFonts w:ascii="Calibri" w:eastAsia="Calibri" w:hAnsi="Calibri" w:cs="Arial"/>
                <w:b/>
                <w:bCs/>
                <w:sz w:val="20"/>
                <w:szCs w:val="20"/>
                <w:lang w:val="en-US"/>
              </w:rPr>
            </w:pPr>
            <w:r w:rsidRPr="007A49AD">
              <w:rPr>
                <w:b/>
                <w:bCs/>
                <w:sz w:val="20"/>
                <w:szCs w:val="20"/>
              </w:rPr>
              <w:t xml:space="preserve"> - </w:t>
            </w:r>
          </w:p>
        </w:tc>
        <w:tc>
          <w:tcPr>
            <w:tcW w:w="643" w:type="pct"/>
            <w:tcBorders>
              <w:top w:val="single" w:sz="4" w:space="0" w:color="auto"/>
              <w:left w:val="nil"/>
              <w:bottom w:val="single" w:sz="12" w:space="0" w:color="auto"/>
              <w:right w:val="nil"/>
            </w:tcBorders>
            <w:shd w:val="clear" w:color="auto" w:fill="auto"/>
          </w:tcPr>
          <w:p w14:paraId="171ED70D" w14:textId="4A42F6EF" w:rsidR="00E07C9A" w:rsidRPr="00537128" w:rsidRDefault="00E07C9A" w:rsidP="00E07C9A">
            <w:pPr>
              <w:tabs>
                <w:tab w:val="right" w:pos="1202"/>
              </w:tabs>
              <w:spacing w:after="0" w:line="301" w:lineRule="exact"/>
              <w:jc w:val="right"/>
              <w:outlineLvl w:val="0"/>
              <w:rPr>
                <w:rFonts w:ascii="Calibri" w:eastAsia="Calibri" w:hAnsi="Calibri" w:cs="Arial"/>
                <w:b/>
                <w:bCs/>
                <w:sz w:val="20"/>
                <w:szCs w:val="20"/>
                <w:lang w:val="en-US"/>
              </w:rPr>
            </w:pPr>
            <w:r w:rsidRPr="007A49AD">
              <w:rPr>
                <w:b/>
                <w:bCs/>
                <w:sz w:val="20"/>
                <w:szCs w:val="20"/>
              </w:rPr>
              <w:t xml:space="preserve"> - </w:t>
            </w:r>
          </w:p>
        </w:tc>
        <w:tc>
          <w:tcPr>
            <w:tcW w:w="605" w:type="pct"/>
            <w:tcBorders>
              <w:top w:val="single" w:sz="4" w:space="0" w:color="auto"/>
              <w:left w:val="nil"/>
              <w:bottom w:val="single" w:sz="12" w:space="0" w:color="auto"/>
              <w:right w:val="nil"/>
            </w:tcBorders>
            <w:shd w:val="clear" w:color="auto" w:fill="auto"/>
          </w:tcPr>
          <w:p w14:paraId="152CDE59" w14:textId="0607FA6E" w:rsidR="00E07C9A" w:rsidRPr="00537128" w:rsidRDefault="00E07C9A" w:rsidP="00E07C9A">
            <w:pPr>
              <w:tabs>
                <w:tab w:val="right" w:pos="1202"/>
              </w:tabs>
              <w:spacing w:after="0" w:line="301" w:lineRule="exact"/>
              <w:jc w:val="right"/>
              <w:outlineLvl w:val="0"/>
              <w:rPr>
                <w:rFonts w:ascii="Calibri" w:eastAsia="Calibri" w:hAnsi="Calibri" w:cs="Arial"/>
                <w:b/>
                <w:bCs/>
                <w:sz w:val="20"/>
                <w:szCs w:val="20"/>
                <w:lang w:val="en-US"/>
              </w:rPr>
            </w:pPr>
            <w:r w:rsidRPr="007A49AD">
              <w:rPr>
                <w:b/>
                <w:bCs/>
                <w:sz w:val="20"/>
                <w:szCs w:val="20"/>
              </w:rPr>
              <w:t xml:space="preserve"> - </w:t>
            </w:r>
          </w:p>
        </w:tc>
        <w:tc>
          <w:tcPr>
            <w:tcW w:w="639" w:type="pct"/>
            <w:tcBorders>
              <w:top w:val="single" w:sz="4" w:space="0" w:color="auto"/>
              <w:left w:val="nil"/>
              <w:bottom w:val="single" w:sz="12" w:space="0" w:color="auto"/>
              <w:right w:val="nil"/>
            </w:tcBorders>
            <w:shd w:val="clear" w:color="auto" w:fill="auto"/>
          </w:tcPr>
          <w:p w14:paraId="755AC0E3" w14:textId="326C938A" w:rsidR="00E07C9A" w:rsidRPr="00537128" w:rsidRDefault="00E07C9A" w:rsidP="00E07C9A">
            <w:pPr>
              <w:tabs>
                <w:tab w:val="right" w:pos="1202"/>
              </w:tabs>
              <w:spacing w:after="0" w:line="301" w:lineRule="exact"/>
              <w:jc w:val="right"/>
              <w:outlineLvl w:val="0"/>
              <w:rPr>
                <w:rFonts w:ascii="Calibri" w:eastAsia="Calibri" w:hAnsi="Calibri" w:cs="Arial"/>
                <w:b/>
                <w:bCs/>
                <w:sz w:val="20"/>
                <w:szCs w:val="20"/>
                <w:lang w:val="en-US"/>
              </w:rPr>
            </w:pPr>
            <w:r w:rsidRPr="007A49AD">
              <w:rPr>
                <w:b/>
                <w:bCs/>
                <w:sz w:val="20"/>
                <w:szCs w:val="20"/>
              </w:rPr>
              <w:t xml:space="preserve"> 1</w:t>
            </w:r>
            <w:r>
              <w:rPr>
                <w:b/>
                <w:bCs/>
                <w:sz w:val="20"/>
                <w:szCs w:val="20"/>
              </w:rPr>
              <w:t>,</w:t>
            </w:r>
            <w:r w:rsidRPr="007A49AD">
              <w:rPr>
                <w:b/>
                <w:bCs/>
                <w:sz w:val="20"/>
                <w:szCs w:val="20"/>
              </w:rPr>
              <w:t xml:space="preserve">262 </w:t>
            </w:r>
          </w:p>
        </w:tc>
      </w:tr>
      <w:bookmarkEnd w:id="812"/>
    </w:tbl>
    <w:p w14:paraId="165ED41C" w14:textId="2A49B50A" w:rsidR="00712478" w:rsidRPr="00537128" w:rsidRDefault="00712478" w:rsidP="00712478">
      <w:pPr>
        <w:spacing w:after="0" w:line="240" w:lineRule="auto"/>
        <w:jc w:val="both"/>
        <w:rPr>
          <w:rFonts w:ascii="Calibri" w:eastAsia="Times New Roman" w:hAnsi="Calibri" w:cs="Times New Roman"/>
          <w:b/>
          <w:bCs/>
          <w:color w:val="000000" w:themeColor="text1"/>
          <w:lang w:val="en-US"/>
        </w:rPr>
      </w:pPr>
    </w:p>
    <w:p w14:paraId="68B31839" w14:textId="189C65B9" w:rsidR="004A287E" w:rsidRDefault="004A287E" w:rsidP="00712478">
      <w:pPr>
        <w:spacing w:after="0" w:line="240" w:lineRule="auto"/>
        <w:jc w:val="both"/>
        <w:rPr>
          <w:rFonts w:ascii="Calibri" w:eastAsia="Times New Roman" w:hAnsi="Calibri" w:cs="Times New Roman"/>
          <w:b/>
          <w:bCs/>
          <w:color w:val="000000" w:themeColor="text1"/>
          <w:lang w:val="en-US"/>
        </w:rPr>
      </w:pPr>
    </w:p>
    <w:p w14:paraId="42F73643" w14:textId="77777777" w:rsidR="00964619" w:rsidRPr="00537128" w:rsidRDefault="00964619" w:rsidP="00712478">
      <w:pPr>
        <w:spacing w:after="0" w:line="240" w:lineRule="auto"/>
        <w:jc w:val="both"/>
        <w:rPr>
          <w:rFonts w:ascii="Calibri" w:eastAsia="Times New Roman" w:hAnsi="Calibri" w:cs="Times New Roman"/>
          <w:b/>
          <w:bCs/>
          <w:color w:val="000000" w:themeColor="text1"/>
          <w:lang w:val="en-US"/>
        </w:rPr>
      </w:pPr>
    </w:p>
    <w:tbl>
      <w:tblPr>
        <w:tblpPr w:leftFromText="180" w:rightFromText="180" w:vertAnchor="text" w:horzAnchor="margin" w:tblpY="10"/>
        <w:tblW w:w="4908" w:type="pct"/>
        <w:tblLayout w:type="fixed"/>
        <w:tblLook w:val="0000" w:firstRow="0" w:lastRow="0" w:firstColumn="0" w:lastColumn="0" w:noHBand="0" w:noVBand="0"/>
      </w:tblPr>
      <w:tblGrid>
        <w:gridCol w:w="3329"/>
        <w:gridCol w:w="1194"/>
        <w:gridCol w:w="1194"/>
        <w:gridCol w:w="1181"/>
        <w:gridCol w:w="1111"/>
        <w:gridCol w:w="1173"/>
      </w:tblGrid>
      <w:tr w:rsidR="00964619" w:rsidRPr="00964619" w14:paraId="6704F909" w14:textId="77777777" w:rsidTr="00E44437">
        <w:trPr>
          <w:trHeight w:val="276"/>
        </w:trPr>
        <w:tc>
          <w:tcPr>
            <w:tcW w:w="1813" w:type="pct"/>
          </w:tcPr>
          <w:p w14:paraId="027AFC51" w14:textId="77777777" w:rsidR="00964619" w:rsidRPr="00964619" w:rsidRDefault="00964619" w:rsidP="00964619">
            <w:pPr>
              <w:spacing w:after="0" w:line="240" w:lineRule="auto"/>
              <w:rPr>
                <w:rFonts w:ascii="Calibri" w:eastAsia="Calibri" w:hAnsi="Calibri" w:cs="Arial"/>
                <w:b/>
                <w:bCs/>
                <w:sz w:val="20"/>
                <w:szCs w:val="20"/>
                <w:lang w:val="en-GB"/>
              </w:rPr>
            </w:pPr>
            <w:r w:rsidRPr="00964619">
              <w:rPr>
                <w:rFonts w:ascii="Calibri" w:eastAsia="Calibri" w:hAnsi="Calibri" w:cs="Arial"/>
                <w:b/>
                <w:bCs/>
                <w:sz w:val="20"/>
                <w:szCs w:val="20"/>
                <w:lang w:val="en-GB"/>
              </w:rPr>
              <w:br w:type="page"/>
              <w:t>Group</w:t>
            </w:r>
          </w:p>
        </w:tc>
        <w:tc>
          <w:tcPr>
            <w:tcW w:w="3187" w:type="pct"/>
            <w:gridSpan w:val="5"/>
            <w:vAlign w:val="bottom"/>
          </w:tcPr>
          <w:p w14:paraId="432E6C7E" w14:textId="77777777" w:rsidR="00964619" w:rsidRPr="00964619" w:rsidRDefault="00964619" w:rsidP="00964619">
            <w:pPr>
              <w:spacing w:after="0" w:line="240" w:lineRule="auto"/>
              <w:jc w:val="right"/>
              <w:rPr>
                <w:rFonts w:ascii="Calibri" w:eastAsia="Calibri" w:hAnsi="Calibri" w:cs="Arial"/>
                <w:b/>
                <w:sz w:val="20"/>
                <w:szCs w:val="20"/>
                <w:lang w:val="en-GB"/>
              </w:rPr>
            </w:pPr>
          </w:p>
        </w:tc>
      </w:tr>
      <w:tr w:rsidR="00964619" w:rsidRPr="00964619" w14:paraId="754E353D" w14:textId="77777777" w:rsidTr="00E44437">
        <w:trPr>
          <w:trHeight w:val="44"/>
        </w:trPr>
        <w:tc>
          <w:tcPr>
            <w:tcW w:w="1813" w:type="pct"/>
          </w:tcPr>
          <w:p w14:paraId="44D2C841" w14:textId="77777777" w:rsidR="00964619" w:rsidRPr="00964619" w:rsidRDefault="00964619" w:rsidP="00964619">
            <w:pPr>
              <w:spacing w:after="0" w:line="240" w:lineRule="auto"/>
              <w:rPr>
                <w:rFonts w:ascii="Calibri" w:eastAsia="Calibri" w:hAnsi="Calibri" w:cs="Arial"/>
                <w:b/>
                <w:bCs/>
                <w:sz w:val="20"/>
                <w:szCs w:val="20"/>
                <w:lang w:val="en-GB"/>
              </w:rPr>
            </w:pPr>
            <w:r w:rsidRPr="00964619">
              <w:rPr>
                <w:rFonts w:ascii="Calibri" w:eastAsia="Calibri" w:hAnsi="Calibri" w:cs="Arial"/>
                <w:b/>
                <w:bCs/>
                <w:sz w:val="20"/>
                <w:szCs w:val="20"/>
                <w:lang w:val="en-GB"/>
              </w:rPr>
              <w:t>31 December 2021</w:t>
            </w:r>
          </w:p>
        </w:tc>
        <w:tc>
          <w:tcPr>
            <w:tcW w:w="650" w:type="pct"/>
            <w:vAlign w:val="bottom"/>
          </w:tcPr>
          <w:p w14:paraId="6559345C" w14:textId="77777777" w:rsidR="00964619" w:rsidRPr="00964619" w:rsidRDefault="00964619" w:rsidP="00964619">
            <w:pPr>
              <w:spacing w:after="0" w:line="240" w:lineRule="auto"/>
              <w:jc w:val="right"/>
              <w:rPr>
                <w:rFonts w:ascii="Calibri" w:eastAsia="Calibri" w:hAnsi="Calibri" w:cs="Arial"/>
                <w:b/>
                <w:sz w:val="20"/>
                <w:szCs w:val="20"/>
                <w:lang w:val="en-GB"/>
              </w:rPr>
            </w:pPr>
            <w:r w:rsidRPr="00964619">
              <w:rPr>
                <w:rFonts w:ascii="Calibri" w:eastAsia="Calibri" w:hAnsi="Calibri" w:cs="Arial"/>
                <w:b/>
                <w:sz w:val="20"/>
                <w:szCs w:val="20"/>
                <w:lang w:val="en-GB"/>
              </w:rPr>
              <w:t>Stage 1</w:t>
            </w:r>
          </w:p>
        </w:tc>
        <w:tc>
          <w:tcPr>
            <w:tcW w:w="650" w:type="pct"/>
            <w:vAlign w:val="bottom"/>
          </w:tcPr>
          <w:p w14:paraId="2A3AA9F4" w14:textId="77777777" w:rsidR="00964619" w:rsidRPr="00964619" w:rsidRDefault="00964619" w:rsidP="00964619">
            <w:pPr>
              <w:spacing w:after="0" w:line="240" w:lineRule="auto"/>
              <w:jc w:val="right"/>
              <w:rPr>
                <w:rFonts w:ascii="Calibri" w:eastAsia="Calibri" w:hAnsi="Calibri" w:cs="Arial"/>
                <w:b/>
                <w:sz w:val="20"/>
                <w:szCs w:val="20"/>
                <w:lang w:val="en-GB"/>
              </w:rPr>
            </w:pPr>
            <w:r w:rsidRPr="00964619">
              <w:rPr>
                <w:rFonts w:ascii="Calibri" w:eastAsia="Calibri" w:hAnsi="Calibri" w:cs="Arial"/>
                <w:b/>
                <w:sz w:val="20"/>
                <w:szCs w:val="20"/>
                <w:lang w:val="en-GB"/>
              </w:rPr>
              <w:t>Stage 2</w:t>
            </w:r>
          </w:p>
        </w:tc>
        <w:tc>
          <w:tcPr>
            <w:tcW w:w="643" w:type="pct"/>
            <w:vAlign w:val="bottom"/>
          </w:tcPr>
          <w:p w14:paraId="2796CB23" w14:textId="77777777" w:rsidR="00964619" w:rsidRPr="00964619" w:rsidRDefault="00964619" w:rsidP="00964619">
            <w:pPr>
              <w:spacing w:after="0" w:line="240" w:lineRule="auto"/>
              <w:jc w:val="right"/>
              <w:rPr>
                <w:rFonts w:ascii="Calibri" w:eastAsia="Calibri" w:hAnsi="Calibri" w:cs="Arial"/>
                <w:b/>
                <w:sz w:val="20"/>
                <w:szCs w:val="20"/>
                <w:lang w:val="en-GB"/>
              </w:rPr>
            </w:pPr>
            <w:r w:rsidRPr="00964619">
              <w:rPr>
                <w:rFonts w:ascii="Calibri" w:eastAsia="Calibri" w:hAnsi="Calibri" w:cs="Arial"/>
                <w:b/>
                <w:sz w:val="20"/>
                <w:szCs w:val="20"/>
                <w:lang w:val="en-GB"/>
              </w:rPr>
              <w:t>Stage 3</w:t>
            </w:r>
          </w:p>
        </w:tc>
        <w:tc>
          <w:tcPr>
            <w:tcW w:w="605" w:type="pct"/>
            <w:vAlign w:val="bottom"/>
          </w:tcPr>
          <w:p w14:paraId="5EFBBADB" w14:textId="77777777" w:rsidR="00964619" w:rsidRPr="00964619" w:rsidRDefault="00964619" w:rsidP="00964619">
            <w:pPr>
              <w:spacing w:after="0" w:line="240" w:lineRule="auto"/>
              <w:jc w:val="right"/>
              <w:rPr>
                <w:rFonts w:ascii="Calibri" w:eastAsia="Calibri" w:hAnsi="Calibri" w:cs="Arial"/>
                <w:b/>
                <w:sz w:val="20"/>
                <w:szCs w:val="20"/>
                <w:lang w:val="en-GB"/>
              </w:rPr>
            </w:pPr>
            <w:r w:rsidRPr="00964619">
              <w:rPr>
                <w:rFonts w:ascii="Calibri" w:eastAsia="Calibri" w:hAnsi="Calibri" w:cs="Arial"/>
                <w:b/>
                <w:sz w:val="20"/>
                <w:szCs w:val="20"/>
                <w:lang w:val="en-GB"/>
              </w:rPr>
              <w:t>POCI</w:t>
            </w:r>
          </w:p>
        </w:tc>
        <w:tc>
          <w:tcPr>
            <w:tcW w:w="639" w:type="pct"/>
            <w:vAlign w:val="bottom"/>
          </w:tcPr>
          <w:p w14:paraId="7A3C45C9" w14:textId="77777777" w:rsidR="00964619" w:rsidRPr="00964619" w:rsidRDefault="00964619" w:rsidP="00964619">
            <w:pPr>
              <w:spacing w:after="0" w:line="240" w:lineRule="auto"/>
              <w:jc w:val="right"/>
              <w:rPr>
                <w:rFonts w:ascii="Calibri" w:eastAsia="Calibri" w:hAnsi="Calibri" w:cs="Arial"/>
                <w:b/>
                <w:sz w:val="20"/>
                <w:szCs w:val="20"/>
                <w:lang w:val="en-GB"/>
              </w:rPr>
            </w:pPr>
            <w:r w:rsidRPr="00964619">
              <w:rPr>
                <w:rFonts w:ascii="Calibri" w:eastAsia="Calibri" w:hAnsi="Calibri" w:cs="Arial"/>
                <w:b/>
                <w:sz w:val="20"/>
                <w:szCs w:val="20"/>
                <w:lang w:val="en-GB"/>
              </w:rPr>
              <w:t>Total</w:t>
            </w:r>
          </w:p>
        </w:tc>
      </w:tr>
      <w:tr w:rsidR="00964619" w:rsidRPr="00964619" w14:paraId="3B65BE25" w14:textId="77777777" w:rsidTr="00E44437">
        <w:trPr>
          <w:trHeight w:val="44"/>
        </w:trPr>
        <w:tc>
          <w:tcPr>
            <w:tcW w:w="1813" w:type="pct"/>
          </w:tcPr>
          <w:p w14:paraId="545D63DD" w14:textId="77777777" w:rsidR="00964619" w:rsidRPr="00964619" w:rsidRDefault="00964619" w:rsidP="00964619">
            <w:pPr>
              <w:spacing w:after="0" w:line="240" w:lineRule="auto"/>
              <w:rPr>
                <w:rFonts w:ascii="Calibri" w:eastAsia="Calibri" w:hAnsi="Calibri" w:cs="Arial"/>
                <w:b/>
                <w:bCs/>
                <w:sz w:val="20"/>
                <w:szCs w:val="20"/>
                <w:lang w:val="en-GB"/>
              </w:rPr>
            </w:pPr>
          </w:p>
        </w:tc>
        <w:tc>
          <w:tcPr>
            <w:tcW w:w="650" w:type="pct"/>
          </w:tcPr>
          <w:p w14:paraId="1DCCF51F" w14:textId="77777777" w:rsidR="00964619" w:rsidRPr="00964619" w:rsidRDefault="00964619" w:rsidP="00964619">
            <w:pPr>
              <w:spacing w:after="0" w:line="240" w:lineRule="auto"/>
              <w:jc w:val="right"/>
              <w:rPr>
                <w:rFonts w:ascii="Calibri" w:eastAsia="Calibri" w:hAnsi="Calibri" w:cs="Arial"/>
                <w:b/>
                <w:sz w:val="20"/>
                <w:szCs w:val="20"/>
                <w:lang w:val="en-GB"/>
              </w:rPr>
            </w:pPr>
            <w:r w:rsidRPr="00964619">
              <w:rPr>
                <w:rFonts w:ascii="Calibri" w:eastAsia="Calibri" w:hAnsi="Calibri" w:cs="Arial"/>
                <w:b/>
                <w:sz w:val="20"/>
                <w:szCs w:val="20"/>
                <w:lang w:val="en-GB"/>
              </w:rPr>
              <w:t>HRK ‘000</w:t>
            </w:r>
          </w:p>
        </w:tc>
        <w:tc>
          <w:tcPr>
            <w:tcW w:w="650" w:type="pct"/>
          </w:tcPr>
          <w:p w14:paraId="5AE465F3" w14:textId="77777777" w:rsidR="00964619" w:rsidRPr="00964619" w:rsidRDefault="00964619" w:rsidP="00964619">
            <w:pPr>
              <w:spacing w:after="0" w:line="240" w:lineRule="auto"/>
              <w:jc w:val="right"/>
              <w:rPr>
                <w:rFonts w:ascii="Calibri" w:eastAsia="Calibri" w:hAnsi="Calibri" w:cs="Arial"/>
                <w:b/>
                <w:sz w:val="20"/>
                <w:szCs w:val="20"/>
                <w:lang w:val="en-GB"/>
              </w:rPr>
            </w:pPr>
            <w:r w:rsidRPr="00964619">
              <w:rPr>
                <w:rFonts w:ascii="Calibri" w:eastAsia="Calibri" w:hAnsi="Calibri" w:cs="Arial"/>
                <w:b/>
                <w:sz w:val="20"/>
                <w:szCs w:val="20"/>
                <w:lang w:val="en-GB"/>
              </w:rPr>
              <w:t>HRK ‘000</w:t>
            </w:r>
          </w:p>
        </w:tc>
        <w:tc>
          <w:tcPr>
            <w:tcW w:w="643" w:type="pct"/>
          </w:tcPr>
          <w:p w14:paraId="07280441" w14:textId="77777777" w:rsidR="00964619" w:rsidRPr="00964619" w:rsidRDefault="00964619" w:rsidP="00964619">
            <w:pPr>
              <w:spacing w:after="0" w:line="240" w:lineRule="auto"/>
              <w:jc w:val="right"/>
              <w:rPr>
                <w:rFonts w:ascii="Calibri" w:eastAsia="Calibri" w:hAnsi="Calibri" w:cs="Arial"/>
                <w:b/>
                <w:sz w:val="20"/>
                <w:szCs w:val="20"/>
                <w:lang w:val="en-GB"/>
              </w:rPr>
            </w:pPr>
            <w:r w:rsidRPr="00964619">
              <w:rPr>
                <w:rFonts w:ascii="Calibri" w:eastAsia="Calibri" w:hAnsi="Calibri" w:cs="Arial"/>
                <w:b/>
                <w:sz w:val="20"/>
                <w:szCs w:val="20"/>
                <w:lang w:val="en-GB"/>
              </w:rPr>
              <w:t>HRK ‘000</w:t>
            </w:r>
          </w:p>
        </w:tc>
        <w:tc>
          <w:tcPr>
            <w:tcW w:w="605" w:type="pct"/>
          </w:tcPr>
          <w:p w14:paraId="2537F773" w14:textId="77777777" w:rsidR="00964619" w:rsidRPr="00964619" w:rsidRDefault="00964619" w:rsidP="00964619">
            <w:pPr>
              <w:spacing w:after="0" w:line="240" w:lineRule="auto"/>
              <w:jc w:val="right"/>
              <w:rPr>
                <w:rFonts w:ascii="Calibri" w:eastAsia="Calibri" w:hAnsi="Calibri" w:cs="Arial"/>
                <w:b/>
                <w:sz w:val="20"/>
                <w:szCs w:val="20"/>
                <w:lang w:val="en-GB"/>
              </w:rPr>
            </w:pPr>
            <w:r w:rsidRPr="00964619">
              <w:rPr>
                <w:rFonts w:ascii="Calibri" w:eastAsia="Calibri" w:hAnsi="Calibri" w:cs="Arial"/>
                <w:b/>
                <w:sz w:val="20"/>
                <w:szCs w:val="20"/>
                <w:lang w:val="en-GB"/>
              </w:rPr>
              <w:t>HRK ‘000</w:t>
            </w:r>
          </w:p>
        </w:tc>
        <w:tc>
          <w:tcPr>
            <w:tcW w:w="639" w:type="pct"/>
          </w:tcPr>
          <w:p w14:paraId="6F1CB557" w14:textId="77777777" w:rsidR="00964619" w:rsidRPr="00964619" w:rsidRDefault="00964619" w:rsidP="00964619">
            <w:pPr>
              <w:spacing w:after="0" w:line="240" w:lineRule="auto"/>
              <w:jc w:val="right"/>
              <w:rPr>
                <w:rFonts w:ascii="Calibri" w:eastAsia="Calibri" w:hAnsi="Calibri" w:cs="Arial"/>
                <w:b/>
                <w:sz w:val="20"/>
                <w:szCs w:val="20"/>
                <w:lang w:val="en-GB"/>
              </w:rPr>
            </w:pPr>
            <w:r w:rsidRPr="00964619">
              <w:rPr>
                <w:rFonts w:ascii="Calibri" w:eastAsia="Calibri" w:hAnsi="Calibri" w:cs="Arial"/>
                <w:b/>
                <w:sz w:val="20"/>
                <w:szCs w:val="20"/>
                <w:lang w:val="en-GB"/>
              </w:rPr>
              <w:t>HRK ‘000</w:t>
            </w:r>
          </w:p>
        </w:tc>
      </w:tr>
      <w:tr w:rsidR="00964619" w:rsidRPr="00964619" w14:paraId="1A3009B2" w14:textId="77777777" w:rsidTr="00E44437">
        <w:trPr>
          <w:trHeight w:val="44"/>
        </w:trPr>
        <w:tc>
          <w:tcPr>
            <w:tcW w:w="1813" w:type="pct"/>
          </w:tcPr>
          <w:p w14:paraId="493C6EE0" w14:textId="77777777" w:rsidR="00964619" w:rsidRPr="00964619" w:rsidRDefault="00964619" w:rsidP="00964619">
            <w:pPr>
              <w:spacing w:after="0" w:line="240" w:lineRule="auto"/>
              <w:rPr>
                <w:rFonts w:ascii="Calibri" w:eastAsia="Calibri" w:hAnsi="Calibri" w:cs="Arial"/>
                <w:b/>
                <w:bCs/>
                <w:sz w:val="20"/>
                <w:szCs w:val="20"/>
                <w:lang w:val="en-GB"/>
              </w:rPr>
            </w:pPr>
          </w:p>
        </w:tc>
        <w:tc>
          <w:tcPr>
            <w:tcW w:w="650" w:type="pct"/>
          </w:tcPr>
          <w:p w14:paraId="2E76749F" w14:textId="77777777" w:rsidR="00964619" w:rsidRPr="00964619" w:rsidRDefault="00964619" w:rsidP="00964619">
            <w:pPr>
              <w:spacing w:after="0" w:line="240" w:lineRule="auto"/>
              <w:jc w:val="right"/>
              <w:rPr>
                <w:rFonts w:ascii="Calibri" w:eastAsia="Calibri" w:hAnsi="Calibri" w:cs="Arial"/>
                <w:b/>
                <w:sz w:val="20"/>
                <w:szCs w:val="20"/>
                <w:lang w:val="en-GB"/>
              </w:rPr>
            </w:pPr>
          </w:p>
        </w:tc>
        <w:tc>
          <w:tcPr>
            <w:tcW w:w="650" w:type="pct"/>
          </w:tcPr>
          <w:p w14:paraId="1164CB29" w14:textId="77777777" w:rsidR="00964619" w:rsidRPr="00964619" w:rsidRDefault="00964619" w:rsidP="00964619">
            <w:pPr>
              <w:spacing w:after="0" w:line="240" w:lineRule="auto"/>
              <w:jc w:val="right"/>
              <w:rPr>
                <w:rFonts w:ascii="Calibri" w:eastAsia="Calibri" w:hAnsi="Calibri" w:cs="Arial"/>
                <w:b/>
                <w:sz w:val="20"/>
                <w:szCs w:val="20"/>
                <w:lang w:val="en-GB"/>
              </w:rPr>
            </w:pPr>
          </w:p>
        </w:tc>
        <w:tc>
          <w:tcPr>
            <w:tcW w:w="643" w:type="pct"/>
          </w:tcPr>
          <w:p w14:paraId="62D29DBD" w14:textId="77777777" w:rsidR="00964619" w:rsidRPr="00964619" w:rsidRDefault="00964619" w:rsidP="00964619">
            <w:pPr>
              <w:spacing w:after="0" w:line="240" w:lineRule="auto"/>
              <w:jc w:val="right"/>
              <w:rPr>
                <w:rFonts w:ascii="Calibri" w:eastAsia="Calibri" w:hAnsi="Calibri" w:cs="Arial"/>
                <w:b/>
                <w:sz w:val="20"/>
                <w:szCs w:val="20"/>
                <w:lang w:val="en-GB"/>
              </w:rPr>
            </w:pPr>
          </w:p>
        </w:tc>
        <w:tc>
          <w:tcPr>
            <w:tcW w:w="605" w:type="pct"/>
          </w:tcPr>
          <w:p w14:paraId="44FA3E31" w14:textId="77777777" w:rsidR="00964619" w:rsidRPr="00964619" w:rsidRDefault="00964619" w:rsidP="00964619">
            <w:pPr>
              <w:spacing w:after="0" w:line="240" w:lineRule="auto"/>
              <w:jc w:val="right"/>
              <w:rPr>
                <w:rFonts w:ascii="Calibri" w:eastAsia="Calibri" w:hAnsi="Calibri" w:cs="Arial"/>
                <w:b/>
                <w:sz w:val="20"/>
                <w:szCs w:val="20"/>
                <w:lang w:val="en-GB"/>
              </w:rPr>
            </w:pPr>
          </w:p>
        </w:tc>
        <w:tc>
          <w:tcPr>
            <w:tcW w:w="639" w:type="pct"/>
          </w:tcPr>
          <w:p w14:paraId="4F30B22B" w14:textId="77777777" w:rsidR="00964619" w:rsidRPr="00964619" w:rsidRDefault="00964619" w:rsidP="00964619">
            <w:pPr>
              <w:spacing w:after="0" w:line="240" w:lineRule="auto"/>
              <w:jc w:val="right"/>
              <w:rPr>
                <w:rFonts w:ascii="Calibri" w:eastAsia="Calibri" w:hAnsi="Calibri" w:cs="Arial"/>
                <w:b/>
                <w:sz w:val="20"/>
                <w:szCs w:val="20"/>
                <w:lang w:val="en-GB"/>
              </w:rPr>
            </w:pPr>
          </w:p>
        </w:tc>
      </w:tr>
      <w:tr w:rsidR="00964619" w:rsidRPr="00964619" w14:paraId="18271B67" w14:textId="77777777" w:rsidTr="00E44437">
        <w:trPr>
          <w:trHeight w:val="166"/>
        </w:trPr>
        <w:tc>
          <w:tcPr>
            <w:tcW w:w="1813" w:type="pct"/>
            <w:vAlign w:val="bottom"/>
          </w:tcPr>
          <w:p w14:paraId="3FF09E9F" w14:textId="77777777" w:rsidR="00964619" w:rsidRPr="00964619" w:rsidRDefault="00964619" w:rsidP="00964619">
            <w:pPr>
              <w:tabs>
                <w:tab w:val="right" w:pos="1202"/>
              </w:tabs>
              <w:spacing w:after="0" w:line="240" w:lineRule="auto"/>
              <w:outlineLvl w:val="0"/>
              <w:rPr>
                <w:rFonts w:ascii="Calibri" w:eastAsia="Calibri" w:hAnsi="Calibri" w:cs="Times New Roman"/>
                <w:sz w:val="20"/>
                <w:szCs w:val="20"/>
                <w:lang w:val="en-GB"/>
              </w:rPr>
            </w:pPr>
            <w:r w:rsidRPr="00964619">
              <w:rPr>
                <w:rFonts w:ascii="Calibri" w:eastAsia="Calibri" w:hAnsi="Calibri" w:cs="Times New Roman"/>
                <w:sz w:val="20"/>
                <w:szCs w:val="20"/>
                <w:lang w:val="en-GB"/>
              </w:rPr>
              <w:t xml:space="preserve">Balance </w:t>
            </w:r>
            <w:proofErr w:type="gramStart"/>
            <w:r w:rsidRPr="00964619">
              <w:rPr>
                <w:rFonts w:ascii="Calibri" w:eastAsia="Calibri" w:hAnsi="Calibri" w:cs="Times New Roman"/>
                <w:sz w:val="20"/>
                <w:szCs w:val="20"/>
                <w:lang w:val="en-GB"/>
              </w:rPr>
              <w:t>at</w:t>
            </w:r>
            <w:proofErr w:type="gramEnd"/>
            <w:r w:rsidRPr="00964619">
              <w:rPr>
                <w:rFonts w:ascii="Calibri" w:eastAsia="Calibri" w:hAnsi="Calibri" w:cs="Times New Roman"/>
                <w:sz w:val="20"/>
                <w:szCs w:val="20"/>
                <w:lang w:val="en-GB"/>
              </w:rPr>
              <w:t xml:space="preserve"> 1 January 2021</w:t>
            </w:r>
          </w:p>
        </w:tc>
        <w:tc>
          <w:tcPr>
            <w:tcW w:w="650" w:type="pct"/>
            <w:shd w:val="clear" w:color="auto" w:fill="auto"/>
          </w:tcPr>
          <w:p w14:paraId="0D021301" w14:textId="77777777" w:rsidR="00964619" w:rsidRPr="00964619" w:rsidRDefault="00964619" w:rsidP="00964619">
            <w:pPr>
              <w:spacing w:after="0" w:line="240" w:lineRule="auto"/>
              <w:jc w:val="right"/>
              <w:rPr>
                <w:rFonts w:ascii="Calibri" w:eastAsia="Calibri" w:hAnsi="Calibri" w:cs="Arial"/>
                <w:sz w:val="20"/>
                <w:szCs w:val="20"/>
                <w:lang w:val="en-GB"/>
              </w:rPr>
            </w:pPr>
            <w:r w:rsidRPr="00964619">
              <w:rPr>
                <w:rFonts w:ascii="Calibri" w:eastAsia="Times New Roman" w:hAnsi="Calibri" w:cs="Times New Roman"/>
                <w:sz w:val="20"/>
                <w:szCs w:val="20"/>
                <w:lang w:val="en-US"/>
              </w:rPr>
              <w:t xml:space="preserve"> 1,652 </w:t>
            </w:r>
          </w:p>
        </w:tc>
        <w:tc>
          <w:tcPr>
            <w:tcW w:w="650" w:type="pct"/>
            <w:shd w:val="clear" w:color="auto" w:fill="auto"/>
          </w:tcPr>
          <w:p w14:paraId="239FCDA7" w14:textId="77777777" w:rsidR="00964619" w:rsidRPr="00964619" w:rsidRDefault="00964619" w:rsidP="00964619">
            <w:pPr>
              <w:spacing w:after="0" w:line="240" w:lineRule="auto"/>
              <w:jc w:val="right"/>
              <w:rPr>
                <w:rFonts w:ascii="Calibri" w:eastAsia="Calibri" w:hAnsi="Calibri" w:cs="Arial"/>
                <w:sz w:val="20"/>
                <w:szCs w:val="20"/>
                <w:lang w:val="en-GB"/>
              </w:rPr>
            </w:pPr>
            <w:r w:rsidRPr="00964619">
              <w:rPr>
                <w:rFonts w:ascii="Calibri" w:eastAsia="Times New Roman" w:hAnsi="Calibri" w:cs="Times New Roman"/>
                <w:sz w:val="20"/>
                <w:szCs w:val="20"/>
                <w:lang w:val="en-US"/>
              </w:rPr>
              <w:t xml:space="preserve"> - </w:t>
            </w:r>
          </w:p>
        </w:tc>
        <w:tc>
          <w:tcPr>
            <w:tcW w:w="643" w:type="pct"/>
            <w:shd w:val="clear" w:color="auto" w:fill="auto"/>
          </w:tcPr>
          <w:p w14:paraId="44A153AA" w14:textId="77777777" w:rsidR="00964619" w:rsidRPr="00964619" w:rsidRDefault="00964619" w:rsidP="00964619">
            <w:pPr>
              <w:spacing w:after="0" w:line="240" w:lineRule="auto"/>
              <w:jc w:val="right"/>
              <w:rPr>
                <w:rFonts w:ascii="Calibri" w:eastAsia="Calibri" w:hAnsi="Calibri" w:cs="Arial"/>
                <w:sz w:val="20"/>
                <w:szCs w:val="20"/>
                <w:lang w:val="en-GB"/>
              </w:rPr>
            </w:pPr>
            <w:r w:rsidRPr="00964619">
              <w:rPr>
                <w:rFonts w:ascii="Calibri" w:eastAsia="Times New Roman" w:hAnsi="Calibri" w:cs="Times New Roman"/>
                <w:sz w:val="20"/>
                <w:szCs w:val="20"/>
                <w:lang w:val="en-US"/>
              </w:rPr>
              <w:t xml:space="preserve"> - </w:t>
            </w:r>
          </w:p>
        </w:tc>
        <w:tc>
          <w:tcPr>
            <w:tcW w:w="605" w:type="pct"/>
            <w:shd w:val="clear" w:color="auto" w:fill="auto"/>
          </w:tcPr>
          <w:p w14:paraId="7C136BFC" w14:textId="77777777" w:rsidR="00964619" w:rsidRPr="00964619" w:rsidRDefault="00964619" w:rsidP="00964619">
            <w:pPr>
              <w:spacing w:after="0" w:line="240" w:lineRule="auto"/>
              <w:jc w:val="right"/>
              <w:rPr>
                <w:rFonts w:ascii="Calibri" w:eastAsia="Calibri" w:hAnsi="Calibri" w:cs="Arial"/>
                <w:sz w:val="20"/>
                <w:szCs w:val="20"/>
                <w:lang w:val="en-GB"/>
              </w:rPr>
            </w:pPr>
            <w:r w:rsidRPr="00964619">
              <w:rPr>
                <w:rFonts w:ascii="Calibri" w:eastAsia="Times New Roman" w:hAnsi="Calibri" w:cs="Times New Roman"/>
                <w:sz w:val="20"/>
                <w:szCs w:val="20"/>
                <w:lang w:val="en-US"/>
              </w:rPr>
              <w:t xml:space="preserve"> - </w:t>
            </w:r>
          </w:p>
        </w:tc>
        <w:tc>
          <w:tcPr>
            <w:tcW w:w="639" w:type="pct"/>
            <w:shd w:val="clear" w:color="auto" w:fill="auto"/>
          </w:tcPr>
          <w:p w14:paraId="10228A7A" w14:textId="77777777" w:rsidR="00964619" w:rsidRPr="00964619" w:rsidRDefault="00964619" w:rsidP="00964619">
            <w:pPr>
              <w:spacing w:after="0" w:line="240" w:lineRule="auto"/>
              <w:jc w:val="right"/>
              <w:rPr>
                <w:rFonts w:ascii="Calibri" w:eastAsia="Calibri" w:hAnsi="Calibri" w:cs="Arial"/>
                <w:sz w:val="20"/>
                <w:szCs w:val="20"/>
                <w:lang w:val="en-GB"/>
              </w:rPr>
            </w:pPr>
            <w:r w:rsidRPr="00964619">
              <w:rPr>
                <w:rFonts w:ascii="Calibri" w:eastAsia="Times New Roman" w:hAnsi="Calibri" w:cs="Times New Roman"/>
                <w:sz w:val="20"/>
                <w:szCs w:val="20"/>
                <w:lang w:val="en-US"/>
              </w:rPr>
              <w:t xml:space="preserve"> 1,652 </w:t>
            </w:r>
          </w:p>
        </w:tc>
      </w:tr>
      <w:tr w:rsidR="00964619" w:rsidRPr="00964619" w14:paraId="17620138" w14:textId="77777777" w:rsidTr="00E44437">
        <w:trPr>
          <w:trHeight w:val="166"/>
        </w:trPr>
        <w:tc>
          <w:tcPr>
            <w:tcW w:w="1813" w:type="pct"/>
            <w:vAlign w:val="bottom"/>
          </w:tcPr>
          <w:p w14:paraId="2F52F0EC" w14:textId="77777777" w:rsidR="00964619" w:rsidRPr="00964619" w:rsidRDefault="00964619" w:rsidP="00964619">
            <w:pPr>
              <w:tabs>
                <w:tab w:val="right" w:pos="1202"/>
              </w:tabs>
              <w:spacing w:after="0" w:line="240" w:lineRule="auto"/>
              <w:outlineLvl w:val="0"/>
              <w:rPr>
                <w:rFonts w:ascii="Calibri" w:eastAsia="Calibri" w:hAnsi="Calibri" w:cs="Times New Roman"/>
                <w:sz w:val="20"/>
                <w:szCs w:val="20"/>
                <w:lang w:val="en-GB"/>
              </w:rPr>
            </w:pPr>
            <w:r w:rsidRPr="00964619">
              <w:rPr>
                <w:rFonts w:ascii="Calibri" w:eastAsia="Calibri" w:hAnsi="Calibri" w:cs="Times New Roman"/>
                <w:sz w:val="20"/>
                <w:szCs w:val="20"/>
                <w:lang w:val="en-GB"/>
              </w:rPr>
              <w:t>Transfer to Stage 1</w:t>
            </w:r>
          </w:p>
        </w:tc>
        <w:tc>
          <w:tcPr>
            <w:tcW w:w="650" w:type="pct"/>
            <w:shd w:val="clear" w:color="auto" w:fill="auto"/>
            <w:vAlign w:val="bottom"/>
          </w:tcPr>
          <w:p w14:paraId="1BF1518C" w14:textId="77777777" w:rsidR="00964619" w:rsidRPr="00964619" w:rsidRDefault="00964619" w:rsidP="00964619">
            <w:pPr>
              <w:spacing w:after="0" w:line="240" w:lineRule="auto"/>
              <w:jc w:val="right"/>
              <w:rPr>
                <w:rFonts w:ascii="Calibri" w:eastAsia="Calibri" w:hAnsi="Calibri" w:cs="Arial"/>
                <w:sz w:val="20"/>
                <w:szCs w:val="20"/>
                <w:lang w:val="en-GB"/>
              </w:rPr>
            </w:pPr>
            <w:r w:rsidRPr="00964619">
              <w:rPr>
                <w:rFonts w:ascii="Calibri" w:eastAsia="Calibri" w:hAnsi="Calibri" w:cs="Calibri"/>
                <w:color w:val="000000"/>
                <w:sz w:val="20"/>
                <w:szCs w:val="20"/>
              </w:rPr>
              <w:t>-</w:t>
            </w:r>
          </w:p>
        </w:tc>
        <w:tc>
          <w:tcPr>
            <w:tcW w:w="650" w:type="pct"/>
            <w:shd w:val="clear" w:color="auto" w:fill="auto"/>
            <w:vAlign w:val="bottom"/>
          </w:tcPr>
          <w:p w14:paraId="13D22A19" w14:textId="77777777" w:rsidR="00964619" w:rsidRPr="00964619" w:rsidRDefault="00964619" w:rsidP="00964619">
            <w:pPr>
              <w:spacing w:after="0" w:line="240" w:lineRule="auto"/>
              <w:jc w:val="right"/>
              <w:rPr>
                <w:rFonts w:ascii="Calibri" w:eastAsia="Calibri" w:hAnsi="Calibri" w:cs="Arial"/>
                <w:sz w:val="20"/>
                <w:szCs w:val="20"/>
                <w:lang w:val="en-GB"/>
              </w:rPr>
            </w:pPr>
            <w:r w:rsidRPr="00964619">
              <w:rPr>
                <w:rFonts w:ascii="Calibri" w:eastAsia="Calibri" w:hAnsi="Calibri" w:cs="Calibri"/>
                <w:color w:val="000000"/>
                <w:sz w:val="20"/>
                <w:szCs w:val="20"/>
              </w:rPr>
              <w:t>-</w:t>
            </w:r>
          </w:p>
        </w:tc>
        <w:tc>
          <w:tcPr>
            <w:tcW w:w="643" w:type="pct"/>
            <w:shd w:val="clear" w:color="auto" w:fill="auto"/>
            <w:vAlign w:val="bottom"/>
          </w:tcPr>
          <w:p w14:paraId="00A5CA71" w14:textId="77777777" w:rsidR="00964619" w:rsidRPr="00964619" w:rsidRDefault="00964619" w:rsidP="00964619">
            <w:pPr>
              <w:spacing w:after="0" w:line="240" w:lineRule="auto"/>
              <w:jc w:val="right"/>
              <w:rPr>
                <w:rFonts w:ascii="Calibri" w:eastAsia="Calibri" w:hAnsi="Calibri" w:cs="Arial"/>
                <w:sz w:val="20"/>
                <w:szCs w:val="20"/>
                <w:lang w:val="en-GB"/>
              </w:rPr>
            </w:pPr>
            <w:r w:rsidRPr="00964619">
              <w:rPr>
                <w:rFonts w:ascii="Calibri" w:eastAsia="Calibri" w:hAnsi="Calibri" w:cs="Calibri"/>
                <w:color w:val="000000"/>
                <w:sz w:val="20"/>
                <w:szCs w:val="20"/>
              </w:rPr>
              <w:t>-</w:t>
            </w:r>
          </w:p>
        </w:tc>
        <w:tc>
          <w:tcPr>
            <w:tcW w:w="605" w:type="pct"/>
            <w:shd w:val="clear" w:color="auto" w:fill="auto"/>
            <w:vAlign w:val="bottom"/>
          </w:tcPr>
          <w:p w14:paraId="7353FDDB" w14:textId="77777777" w:rsidR="00964619" w:rsidRPr="00964619" w:rsidRDefault="00964619" w:rsidP="00964619">
            <w:pPr>
              <w:spacing w:after="0" w:line="240" w:lineRule="auto"/>
              <w:jc w:val="right"/>
              <w:rPr>
                <w:rFonts w:ascii="Calibri" w:eastAsia="Calibri" w:hAnsi="Calibri" w:cs="Arial"/>
                <w:sz w:val="20"/>
                <w:szCs w:val="20"/>
                <w:lang w:val="en-GB"/>
              </w:rPr>
            </w:pPr>
            <w:r w:rsidRPr="00964619">
              <w:rPr>
                <w:rFonts w:ascii="Calibri" w:eastAsia="Calibri" w:hAnsi="Calibri" w:cs="Calibri"/>
                <w:color w:val="000000"/>
                <w:sz w:val="20"/>
                <w:szCs w:val="20"/>
              </w:rPr>
              <w:t>-</w:t>
            </w:r>
          </w:p>
        </w:tc>
        <w:tc>
          <w:tcPr>
            <w:tcW w:w="639" w:type="pct"/>
            <w:shd w:val="clear" w:color="auto" w:fill="auto"/>
            <w:vAlign w:val="bottom"/>
          </w:tcPr>
          <w:p w14:paraId="783EAC39" w14:textId="77777777" w:rsidR="00964619" w:rsidRPr="00964619" w:rsidRDefault="00964619" w:rsidP="00964619">
            <w:pPr>
              <w:spacing w:after="0" w:line="240" w:lineRule="auto"/>
              <w:jc w:val="right"/>
              <w:rPr>
                <w:rFonts w:ascii="Calibri" w:eastAsia="Calibri" w:hAnsi="Calibri" w:cs="Arial"/>
                <w:sz w:val="20"/>
                <w:szCs w:val="20"/>
                <w:lang w:val="en-GB"/>
              </w:rPr>
            </w:pPr>
            <w:r w:rsidRPr="00964619">
              <w:rPr>
                <w:rFonts w:ascii="Calibri" w:eastAsia="Calibri" w:hAnsi="Calibri" w:cs="Calibri"/>
                <w:color w:val="000000"/>
                <w:sz w:val="20"/>
                <w:szCs w:val="20"/>
              </w:rPr>
              <w:t>-</w:t>
            </w:r>
          </w:p>
        </w:tc>
      </w:tr>
      <w:tr w:rsidR="00964619" w:rsidRPr="00964619" w14:paraId="7D0A0F84" w14:textId="77777777" w:rsidTr="00E44437">
        <w:trPr>
          <w:trHeight w:val="166"/>
        </w:trPr>
        <w:tc>
          <w:tcPr>
            <w:tcW w:w="1813" w:type="pct"/>
            <w:vAlign w:val="bottom"/>
          </w:tcPr>
          <w:p w14:paraId="25D57439" w14:textId="77777777" w:rsidR="00964619" w:rsidRPr="00964619" w:rsidRDefault="00964619" w:rsidP="00964619">
            <w:pPr>
              <w:tabs>
                <w:tab w:val="right" w:pos="1202"/>
              </w:tabs>
              <w:spacing w:after="0" w:line="240" w:lineRule="auto"/>
              <w:outlineLvl w:val="0"/>
              <w:rPr>
                <w:rFonts w:ascii="Calibri" w:eastAsia="Calibri" w:hAnsi="Calibri" w:cs="Times New Roman"/>
                <w:sz w:val="20"/>
                <w:szCs w:val="20"/>
                <w:lang w:val="en-GB"/>
              </w:rPr>
            </w:pPr>
            <w:r w:rsidRPr="00964619">
              <w:rPr>
                <w:rFonts w:ascii="Calibri" w:eastAsia="Calibri" w:hAnsi="Calibri" w:cs="Times New Roman"/>
                <w:sz w:val="20"/>
                <w:szCs w:val="20"/>
                <w:lang w:val="en-GB"/>
              </w:rPr>
              <w:t>Transfer to Stage 2</w:t>
            </w:r>
          </w:p>
        </w:tc>
        <w:tc>
          <w:tcPr>
            <w:tcW w:w="650" w:type="pct"/>
            <w:shd w:val="clear" w:color="auto" w:fill="auto"/>
            <w:vAlign w:val="bottom"/>
          </w:tcPr>
          <w:p w14:paraId="08D86F00" w14:textId="77777777" w:rsidR="00964619" w:rsidRPr="00964619" w:rsidRDefault="00964619" w:rsidP="00964619">
            <w:pPr>
              <w:spacing w:after="0" w:line="240" w:lineRule="auto"/>
              <w:jc w:val="right"/>
              <w:rPr>
                <w:rFonts w:ascii="Calibri" w:eastAsia="Calibri" w:hAnsi="Calibri" w:cs="Arial"/>
                <w:sz w:val="20"/>
                <w:szCs w:val="20"/>
                <w:lang w:val="en-GB"/>
              </w:rPr>
            </w:pPr>
            <w:r w:rsidRPr="00964619">
              <w:rPr>
                <w:rFonts w:ascii="Calibri" w:eastAsia="Calibri" w:hAnsi="Calibri" w:cs="Calibri"/>
                <w:color w:val="000000"/>
                <w:sz w:val="20"/>
                <w:szCs w:val="20"/>
              </w:rPr>
              <w:t>-</w:t>
            </w:r>
          </w:p>
        </w:tc>
        <w:tc>
          <w:tcPr>
            <w:tcW w:w="650" w:type="pct"/>
            <w:shd w:val="clear" w:color="auto" w:fill="auto"/>
            <w:vAlign w:val="bottom"/>
          </w:tcPr>
          <w:p w14:paraId="722700A1" w14:textId="77777777" w:rsidR="00964619" w:rsidRPr="00964619" w:rsidRDefault="00964619" w:rsidP="00964619">
            <w:pPr>
              <w:spacing w:after="0" w:line="240" w:lineRule="auto"/>
              <w:jc w:val="right"/>
              <w:rPr>
                <w:rFonts w:ascii="Calibri" w:eastAsia="Calibri" w:hAnsi="Calibri" w:cs="Arial"/>
                <w:sz w:val="20"/>
                <w:szCs w:val="20"/>
                <w:lang w:val="en-GB"/>
              </w:rPr>
            </w:pPr>
            <w:r w:rsidRPr="00964619">
              <w:rPr>
                <w:rFonts w:ascii="Calibri" w:eastAsia="Calibri" w:hAnsi="Calibri" w:cs="Calibri"/>
                <w:color w:val="000000"/>
                <w:sz w:val="20"/>
                <w:szCs w:val="20"/>
              </w:rPr>
              <w:t>-</w:t>
            </w:r>
          </w:p>
        </w:tc>
        <w:tc>
          <w:tcPr>
            <w:tcW w:w="643" w:type="pct"/>
            <w:shd w:val="clear" w:color="auto" w:fill="auto"/>
            <w:vAlign w:val="bottom"/>
          </w:tcPr>
          <w:p w14:paraId="5D501214" w14:textId="77777777" w:rsidR="00964619" w:rsidRPr="00964619" w:rsidRDefault="00964619" w:rsidP="00964619">
            <w:pPr>
              <w:spacing w:after="0" w:line="240" w:lineRule="auto"/>
              <w:jc w:val="right"/>
              <w:rPr>
                <w:rFonts w:ascii="Calibri" w:eastAsia="Calibri" w:hAnsi="Calibri" w:cs="Arial"/>
                <w:sz w:val="20"/>
                <w:szCs w:val="20"/>
                <w:lang w:val="en-GB"/>
              </w:rPr>
            </w:pPr>
            <w:r w:rsidRPr="00964619">
              <w:rPr>
                <w:rFonts w:ascii="Calibri" w:eastAsia="Calibri" w:hAnsi="Calibri" w:cs="Calibri"/>
                <w:color w:val="000000"/>
                <w:sz w:val="20"/>
                <w:szCs w:val="20"/>
              </w:rPr>
              <w:t>-</w:t>
            </w:r>
          </w:p>
        </w:tc>
        <w:tc>
          <w:tcPr>
            <w:tcW w:w="605" w:type="pct"/>
            <w:shd w:val="clear" w:color="auto" w:fill="auto"/>
            <w:vAlign w:val="bottom"/>
          </w:tcPr>
          <w:p w14:paraId="63D27130" w14:textId="77777777" w:rsidR="00964619" w:rsidRPr="00964619" w:rsidRDefault="00964619" w:rsidP="00964619">
            <w:pPr>
              <w:spacing w:after="0" w:line="240" w:lineRule="auto"/>
              <w:jc w:val="right"/>
              <w:rPr>
                <w:rFonts w:ascii="Calibri" w:eastAsia="Calibri" w:hAnsi="Calibri" w:cs="Arial"/>
                <w:sz w:val="20"/>
                <w:szCs w:val="20"/>
                <w:lang w:val="en-GB"/>
              </w:rPr>
            </w:pPr>
            <w:r w:rsidRPr="00964619">
              <w:rPr>
                <w:rFonts w:ascii="Calibri" w:eastAsia="Calibri" w:hAnsi="Calibri" w:cs="Calibri"/>
                <w:color w:val="000000"/>
                <w:sz w:val="20"/>
                <w:szCs w:val="20"/>
              </w:rPr>
              <w:t>-</w:t>
            </w:r>
          </w:p>
        </w:tc>
        <w:tc>
          <w:tcPr>
            <w:tcW w:w="639" w:type="pct"/>
            <w:shd w:val="clear" w:color="auto" w:fill="auto"/>
            <w:vAlign w:val="bottom"/>
          </w:tcPr>
          <w:p w14:paraId="1B4D3C2B" w14:textId="77777777" w:rsidR="00964619" w:rsidRPr="00964619" w:rsidRDefault="00964619" w:rsidP="00964619">
            <w:pPr>
              <w:spacing w:after="0" w:line="240" w:lineRule="auto"/>
              <w:jc w:val="right"/>
              <w:rPr>
                <w:rFonts w:ascii="Calibri" w:eastAsia="Calibri" w:hAnsi="Calibri" w:cs="Arial"/>
                <w:sz w:val="20"/>
                <w:szCs w:val="20"/>
                <w:lang w:val="en-GB"/>
              </w:rPr>
            </w:pPr>
            <w:r w:rsidRPr="00964619">
              <w:rPr>
                <w:rFonts w:ascii="Calibri" w:eastAsia="Calibri" w:hAnsi="Calibri" w:cs="Calibri"/>
                <w:color w:val="000000"/>
                <w:sz w:val="20"/>
                <w:szCs w:val="20"/>
              </w:rPr>
              <w:t>-</w:t>
            </w:r>
          </w:p>
        </w:tc>
      </w:tr>
      <w:tr w:rsidR="00964619" w:rsidRPr="00964619" w14:paraId="4583EA50" w14:textId="77777777" w:rsidTr="00E44437">
        <w:trPr>
          <w:trHeight w:val="166"/>
        </w:trPr>
        <w:tc>
          <w:tcPr>
            <w:tcW w:w="1813" w:type="pct"/>
            <w:vAlign w:val="bottom"/>
          </w:tcPr>
          <w:p w14:paraId="06022940" w14:textId="77777777" w:rsidR="00964619" w:rsidRPr="00964619" w:rsidRDefault="00964619" w:rsidP="00964619">
            <w:pPr>
              <w:tabs>
                <w:tab w:val="right" w:pos="1202"/>
              </w:tabs>
              <w:spacing w:after="0" w:line="240" w:lineRule="auto"/>
              <w:outlineLvl w:val="0"/>
              <w:rPr>
                <w:rFonts w:ascii="Calibri" w:eastAsia="Calibri" w:hAnsi="Calibri" w:cs="Times New Roman"/>
                <w:sz w:val="20"/>
                <w:szCs w:val="20"/>
                <w:lang w:val="en-GB"/>
              </w:rPr>
            </w:pPr>
            <w:r w:rsidRPr="00964619">
              <w:rPr>
                <w:rFonts w:ascii="Calibri" w:eastAsia="Calibri" w:hAnsi="Calibri" w:cs="Times New Roman"/>
                <w:sz w:val="20"/>
                <w:szCs w:val="20"/>
                <w:lang w:val="en-GB"/>
              </w:rPr>
              <w:t>Transfer to Stage 3</w:t>
            </w:r>
          </w:p>
        </w:tc>
        <w:tc>
          <w:tcPr>
            <w:tcW w:w="650" w:type="pct"/>
            <w:shd w:val="clear" w:color="auto" w:fill="auto"/>
            <w:vAlign w:val="bottom"/>
          </w:tcPr>
          <w:p w14:paraId="1BF53E1D" w14:textId="77777777" w:rsidR="00964619" w:rsidRPr="00964619" w:rsidRDefault="00964619" w:rsidP="00964619">
            <w:pPr>
              <w:spacing w:after="0" w:line="240" w:lineRule="auto"/>
              <w:jc w:val="right"/>
              <w:rPr>
                <w:rFonts w:ascii="Calibri" w:eastAsia="Calibri" w:hAnsi="Calibri" w:cs="Arial"/>
                <w:sz w:val="20"/>
                <w:szCs w:val="20"/>
                <w:lang w:val="en-GB"/>
              </w:rPr>
            </w:pPr>
            <w:r w:rsidRPr="00964619">
              <w:rPr>
                <w:rFonts w:ascii="Calibri" w:eastAsia="Calibri" w:hAnsi="Calibri" w:cs="Calibri"/>
                <w:color w:val="000000"/>
                <w:sz w:val="20"/>
                <w:szCs w:val="20"/>
              </w:rPr>
              <w:t>-</w:t>
            </w:r>
          </w:p>
        </w:tc>
        <w:tc>
          <w:tcPr>
            <w:tcW w:w="650" w:type="pct"/>
            <w:shd w:val="clear" w:color="auto" w:fill="auto"/>
            <w:vAlign w:val="bottom"/>
          </w:tcPr>
          <w:p w14:paraId="2A5CAB6A" w14:textId="77777777" w:rsidR="00964619" w:rsidRPr="00964619" w:rsidRDefault="00964619" w:rsidP="00964619">
            <w:pPr>
              <w:spacing w:after="0" w:line="240" w:lineRule="auto"/>
              <w:jc w:val="right"/>
              <w:rPr>
                <w:rFonts w:ascii="Calibri" w:eastAsia="Calibri" w:hAnsi="Calibri" w:cs="Arial"/>
                <w:sz w:val="20"/>
                <w:szCs w:val="20"/>
                <w:lang w:val="en-GB"/>
              </w:rPr>
            </w:pPr>
            <w:r w:rsidRPr="00964619">
              <w:rPr>
                <w:rFonts w:ascii="Calibri" w:eastAsia="Calibri" w:hAnsi="Calibri" w:cs="Calibri"/>
                <w:color w:val="000000"/>
                <w:sz w:val="20"/>
                <w:szCs w:val="20"/>
              </w:rPr>
              <w:t>-</w:t>
            </w:r>
          </w:p>
        </w:tc>
        <w:tc>
          <w:tcPr>
            <w:tcW w:w="643" w:type="pct"/>
            <w:shd w:val="clear" w:color="auto" w:fill="auto"/>
            <w:vAlign w:val="bottom"/>
          </w:tcPr>
          <w:p w14:paraId="4028C2EC" w14:textId="77777777" w:rsidR="00964619" w:rsidRPr="00964619" w:rsidRDefault="00964619" w:rsidP="00964619">
            <w:pPr>
              <w:spacing w:after="0" w:line="240" w:lineRule="auto"/>
              <w:jc w:val="right"/>
              <w:rPr>
                <w:rFonts w:ascii="Calibri" w:eastAsia="Calibri" w:hAnsi="Calibri" w:cs="Arial"/>
                <w:sz w:val="20"/>
                <w:szCs w:val="20"/>
                <w:lang w:val="en-GB"/>
              </w:rPr>
            </w:pPr>
            <w:r w:rsidRPr="00964619">
              <w:rPr>
                <w:rFonts w:ascii="Calibri" w:eastAsia="Calibri" w:hAnsi="Calibri" w:cs="Calibri"/>
                <w:color w:val="000000"/>
                <w:sz w:val="20"/>
                <w:szCs w:val="20"/>
              </w:rPr>
              <w:t>-</w:t>
            </w:r>
          </w:p>
        </w:tc>
        <w:tc>
          <w:tcPr>
            <w:tcW w:w="605" w:type="pct"/>
            <w:shd w:val="clear" w:color="auto" w:fill="auto"/>
            <w:vAlign w:val="bottom"/>
          </w:tcPr>
          <w:p w14:paraId="76CAA129" w14:textId="77777777" w:rsidR="00964619" w:rsidRPr="00964619" w:rsidRDefault="00964619" w:rsidP="00964619">
            <w:pPr>
              <w:spacing w:after="0" w:line="240" w:lineRule="auto"/>
              <w:jc w:val="right"/>
              <w:rPr>
                <w:rFonts w:ascii="Calibri" w:eastAsia="Calibri" w:hAnsi="Calibri" w:cs="Arial"/>
                <w:sz w:val="20"/>
                <w:szCs w:val="20"/>
                <w:lang w:val="en-GB"/>
              </w:rPr>
            </w:pPr>
            <w:r w:rsidRPr="00964619">
              <w:rPr>
                <w:rFonts w:ascii="Calibri" w:eastAsia="Calibri" w:hAnsi="Calibri" w:cs="Calibri"/>
                <w:color w:val="000000"/>
                <w:sz w:val="20"/>
                <w:szCs w:val="20"/>
              </w:rPr>
              <w:t>-</w:t>
            </w:r>
          </w:p>
        </w:tc>
        <w:tc>
          <w:tcPr>
            <w:tcW w:w="639" w:type="pct"/>
            <w:shd w:val="clear" w:color="auto" w:fill="auto"/>
            <w:vAlign w:val="bottom"/>
          </w:tcPr>
          <w:p w14:paraId="5695A265" w14:textId="77777777" w:rsidR="00964619" w:rsidRPr="00964619" w:rsidRDefault="00964619" w:rsidP="00964619">
            <w:pPr>
              <w:spacing w:after="0" w:line="240" w:lineRule="auto"/>
              <w:jc w:val="right"/>
              <w:rPr>
                <w:rFonts w:ascii="Calibri" w:eastAsia="Calibri" w:hAnsi="Calibri" w:cs="Arial"/>
                <w:sz w:val="20"/>
                <w:szCs w:val="20"/>
                <w:lang w:val="en-GB"/>
              </w:rPr>
            </w:pPr>
            <w:r w:rsidRPr="00964619">
              <w:rPr>
                <w:rFonts w:ascii="Calibri" w:eastAsia="Calibri" w:hAnsi="Calibri" w:cs="Calibri"/>
                <w:color w:val="000000"/>
                <w:sz w:val="20"/>
                <w:szCs w:val="20"/>
              </w:rPr>
              <w:t>-</w:t>
            </w:r>
          </w:p>
        </w:tc>
      </w:tr>
      <w:tr w:rsidR="00964619" w:rsidRPr="00964619" w14:paraId="37BFE9C8" w14:textId="77777777" w:rsidTr="00E44437">
        <w:trPr>
          <w:trHeight w:val="166"/>
        </w:trPr>
        <w:tc>
          <w:tcPr>
            <w:tcW w:w="1813" w:type="pct"/>
            <w:vAlign w:val="bottom"/>
          </w:tcPr>
          <w:p w14:paraId="70C0CEEF" w14:textId="77777777" w:rsidR="00964619" w:rsidRPr="00964619" w:rsidRDefault="00964619" w:rsidP="00964619">
            <w:pPr>
              <w:tabs>
                <w:tab w:val="right" w:pos="1202"/>
              </w:tabs>
              <w:spacing w:after="0" w:line="240" w:lineRule="auto"/>
              <w:outlineLvl w:val="0"/>
              <w:rPr>
                <w:rFonts w:ascii="Calibri" w:eastAsia="Calibri" w:hAnsi="Calibri" w:cs="Times New Roman"/>
                <w:sz w:val="20"/>
                <w:szCs w:val="20"/>
                <w:highlight w:val="yellow"/>
                <w:lang w:val="en-GB"/>
              </w:rPr>
            </w:pPr>
            <w:r w:rsidRPr="00964619">
              <w:rPr>
                <w:rFonts w:ascii="Calibri" w:eastAsia="Calibri" w:hAnsi="Calibri" w:cs="Times New Roman"/>
                <w:sz w:val="20"/>
                <w:szCs w:val="20"/>
                <w:lang w:val="en-GB"/>
              </w:rPr>
              <w:t>Net increase</w:t>
            </w:r>
            <w:r w:rsidRPr="00964619" w:rsidDel="00515E45">
              <w:rPr>
                <w:rFonts w:ascii="Calibri" w:eastAsia="Calibri" w:hAnsi="Calibri" w:cs="Times New Roman"/>
                <w:sz w:val="20"/>
                <w:szCs w:val="20"/>
                <w:lang w:val="en-GB"/>
              </w:rPr>
              <w:t xml:space="preserve"> </w:t>
            </w:r>
            <w:r w:rsidRPr="00964619">
              <w:rPr>
                <w:rFonts w:ascii="Calibri" w:eastAsia="Calibri" w:hAnsi="Calibri" w:cs="Times New Roman"/>
                <w:sz w:val="20"/>
                <w:szCs w:val="20"/>
                <w:lang w:val="en-GB"/>
              </w:rPr>
              <w:t>of loss allowance</w:t>
            </w:r>
          </w:p>
        </w:tc>
        <w:tc>
          <w:tcPr>
            <w:tcW w:w="650" w:type="pct"/>
            <w:shd w:val="clear" w:color="auto" w:fill="auto"/>
            <w:vAlign w:val="bottom"/>
          </w:tcPr>
          <w:p w14:paraId="2FCF98CB" w14:textId="77777777" w:rsidR="00964619" w:rsidRPr="00964619" w:rsidRDefault="00964619" w:rsidP="00964619">
            <w:pPr>
              <w:spacing w:after="0" w:line="240" w:lineRule="auto"/>
              <w:jc w:val="right"/>
              <w:rPr>
                <w:rFonts w:ascii="Calibri" w:eastAsia="Calibri" w:hAnsi="Calibri" w:cs="Calibri"/>
                <w:color w:val="000000"/>
                <w:sz w:val="20"/>
                <w:szCs w:val="20"/>
              </w:rPr>
            </w:pPr>
            <w:r w:rsidRPr="00964619">
              <w:rPr>
                <w:rFonts w:ascii="Calibri" w:eastAsia="Times New Roman" w:hAnsi="Calibri" w:cs="Times New Roman"/>
                <w:sz w:val="20"/>
                <w:szCs w:val="20"/>
                <w:lang w:val="en-US"/>
              </w:rPr>
              <w:t xml:space="preserve"> 156 </w:t>
            </w:r>
          </w:p>
        </w:tc>
        <w:tc>
          <w:tcPr>
            <w:tcW w:w="650" w:type="pct"/>
            <w:shd w:val="clear" w:color="auto" w:fill="auto"/>
            <w:vAlign w:val="bottom"/>
          </w:tcPr>
          <w:p w14:paraId="4A2561DD" w14:textId="77777777" w:rsidR="00964619" w:rsidRPr="00964619" w:rsidRDefault="00964619" w:rsidP="00964619">
            <w:pPr>
              <w:spacing w:after="0" w:line="240" w:lineRule="auto"/>
              <w:jc w:val="right"/>
              <w:rPr>
                <w:rFonts w:ascii="Calibri" w:eastAsia="Calibri" w:hAnsi="Calibri" w:cs="Calibri"/>
                <w:color w:val="000000"/>
                <w:sz w:val="20"/>
                <w:szCs w:val="20"/>
              </w:rPr>
            </w:pPr>
            <w:r w:rsidRPr="00964619">
              <w:rPr>
                <w:rFonts w:ascii="Calibri" w:eastAsia="Times New Roman" w:hAnsi="Calibri" w:cs="Times New Roman"/>
                <w:sz w:val="20"/>
                <w:szCs w:val="20"/>
                <w:lang w:val="en-US"/>
              </w:rPr>
              <w:t xml:space="preserve"> - </w:t>
            </w:r>
          </w:p>
        </w:tc>
        <w:tc>
          <w:tcPr>
            <w:tcW w:w="643" w:type="pct"/>
            <w:shd w:val="clear" w:color="auto" w:fill="auto"/>
            <w:vAlign w:val="bottom"/>
          </w:tcPr>
          <w:p w14:paraId="17282504" w14:textId="77777777" w:rsidR="00964619" w:rsidRPr="00964619" w:rsidRDefault="00964619" w:rsidP="00964619">
            <w:pPr>
              <w:spacing w:after="0" w:line="240" w:lineRule="auto"/>
              <w:jc w:val="right"/>
              <w:rPr>
                <w:rFonts w:ascii="Calibri" w:eastAsia="Calibri" w:hAnsi="Calibri" w:cs="Calibri"/>
                <w:color w:val="000000"/>
                <w:sz w:val="20"/>
                <w:szCs w:val="20"/>
              </w:rPr>
            </w:pPr>
            <w:r w:rsidRPr="00964619">
              <w:rPr>
                <w:rFonts w:ascii="Calibri" w:eastAsia="Times New Roman" w:hAnsi="Calibri" w:cs="Times New Roman"/>
                <w:sz w:val="20"/>
                <w:szCs w:val="20"/>
                <w:lang w:val="en-US"/>
              </w:rPr>
              <w:t xml:space="preserve"> - </w:t>
            </w:r>
          </w:p>
        </w:tc>
        <w:tc>
          <w:tcPr>
            <w:tcW w:w="605" w:type="pct"/>
            <w:shd w:val="clear" w:color="auto" w:fill="auto"/>
            <w:vAlign w:val="bottom"/>
          </w:tcPr>
          <w:p w14:paraId="7A20DA19" w14:textId="77777777" w:rsidR="00964619" w:rsidRPr="00964619" w:rsidRDefault="00964619" w:rsidP="00964619">
            <w:pPr>
              <w:spacing w:after="0" w:line="240" w:lineRule="auto"/>
              <w:jc w:val="right"/>
              <w:rPr>
                <w:rFonts w:ascii="Calibri" w:eastAsia="Calibri" w:hAnsi="Calibri" w:cs="Calibri"/>
                <w:color w:val="000000"/>
                <w:sz w:val="20"/>
                <w:szCs w:val="20"/>
              </w:rPr>
            </w:pPr>
            <w:r w:rsidRPr="00964619">
              <w:rPr>
                <w:rFonts w:ascii="Calibri" w:eastAsia="Times New Roman" w:hAnsi="Calibri" w:cs="Times New Roman"/>
                <w:sz w:val="20"/>
                <w:szCs w:val="20"/>
                <w:lang w:val="en-US"/>
              </w:rPr>
              <w:t xml:space="preserve"> - </w:t>
            </w:r>
          </w:p>
        </w:tc>
        <w:tc>
          <w:tcPr>
            <w:tcW w:w="639" w:type="pct"/>
            <w:shd w:val="clear" w:color="auto" w:fill="auto"/>
            <w:vAlign w:val="bottom"/>
          </w:tcPr>
          <w:p w14:paraId="595BF481" w14:textId="77777777" w:rsidR="00964619" w:rsidRPr="00964619" w:rsidRDefault="00964619" w:rsidP="00964619">
            <w:pPr>
              <w:spacing w:after="0" w:line="240" w:lineRule="auto"/>
              <w:jc w:val="right"/>
              <w:rPr>
                <w:rFonts w:ascii="Calibri" w:eastAsia="Calibri" w:hAnsi="Calibri" w:cs="Calibri"/>
                <w:color w:val="000000"/>
                <w:sz w:val="20"/>
                <w:szCs w:val="20"/>
              </w:rPr>
            </w:pPr>
            <w:r w:rsidRPr="00964619">
              <w:rPr>
                <w:rFonts w:ascii="Calibri" w:eastAsia="Times New Roman" w:hAnsi="Calibri" w:cs="Times New Roman"/>
                <w:sz w:val="20"/>
                <w:szCs w:val="20"/>
                <w:lang w:val="en-US"/>
              </w:rPr>
              <w:t xml:space="preserve"> 156 </w:t>
            </w:r>
          </w:p>
        </w:tc>
      </w:tr>
      <w:tr w:rsidR="00964619" w:rsidRPr="00964619" w14:paraId="1B8E0E7D" w14:textId="77777777" w:rsidTr="00E44437">
        <w:trPr>
          <w:trHeight w:val="166"/>
        </w:trPr>
        <w:tc>
          <w:tcPr>
            <w:tcW w:w="1813" w:type="pct"/>
            <w:vAlign w:val="bottom"/>
          </w:tcPr>
          <w:p w14:paraId="58786D3B" w14:textId="77777777" w:rsidR="00964619" w:rsidRPr="00964619" w:rsidRDefault="00964619" w:rsidP="00964619">
            <w:pPr>
              <w:tabs>
                <w:tab w:val="right" w:pos="1202"/>
              </w:tabs>
              <w:spacing w:after="0" w:line="240" w:lineRule="auto"/>
              <w:outlineLvl w:val="0"/>
              <w:rPr>
                <w:rFonts w:ascii="Calibri" w:eastAsia="Calibri" w:hAnsi="Calibri" w:cs="Times New Roman"/>
                <w:sz w:val="20"/>
                <w:szCs w:val="20"/>
                <w:lang w:val="en-GB"/>
              </w:rPr>
            </w:pPr>
            <w:r w:rsidRPr="00964619">
              <w:rPr>
                <w:rFonts w:ascii="Calibri" w:eastAsia="Calibri" w:hAnsi="Calibri" w:cs="Times New Roman"/>
                <w:sz w:val="20"/>
                <w:szCs w:val="20"/>
                <w:lang w:val="en-GB"/>
              </w:rPr>
              <w:t>Net foreign exchange gain/loss on loss allowances</w:t>
            </w:r>
          </w:p>
        </w:tc>
        <w:tc>
          <w:tcPr>
            <w:tcW w:w="650" w:type="pct"/>
            <w:shd w:val="clear" w:color="auto" w:fill="auto"/>
            <w:vAlign w:val="bottom"/>
          </w:tcPr>
          <w:p w14:paraId="1F034687" w14:textId="77777777" w:rsidR="00964619" w:rsidRPr="00964619" w:rsidRDefault="00964619" w:rsidP="00964619">
            <w:pPr>
              <w:spacing w:after="0" w:line="240" w:lineRule="auto"/>
              <w:jc w:val="right"/>
              <w:rPr>
                <w:rFonts w:ascii="Calibri" w:eastAsia="Calibri" w:hAnsi="Calibri" w:cs="Calibri"/>
                <w:color w:val="000000"/>
                <w:sz w:val="20"/>
                <w:szCs w:val="20"/>
              </w:rPr>
            </w:pPr>
            <w:r w:rsidRPr="00964619">
              <w:rPr>
                <w:rFonts w:ascii="Calibri" w:eastAsia="Times New Roman" w:hAnsi="Calibri" w:cs="Times New Roman"/>
                <w:sz w:val="20"/>
                <w:szCs w:val="20"/>
                <w:lang w:val="en-US"/>
              </w:rPr>
              <w:t xml:space="preserve"> 1 </w:t>
            </w:r>
          </w:p>
        </w:tc>
        <w:tc>
          <w:tcPr>
            <w:tcW w:w="650" w:type="pct"/>
            <w:shd w:val="clear" w:color="auto" w:fill="auto"/>
            <w:vAlign w:val="bottom"/>
          </w:tcPr>
          <w:p w14:paraId="5BB57791" w14:textId="77777777" w:rsidR="00964619" w:rsidRPr="00964619" w:rsidRDefault="00964619" w:rsidP="00964619">
            <w:pPr>
              <w:spacing w:after="0" w:line="240" w:lineRule="auto"/>
              <w:jc w:val="right"/>
              <w:rPr>
                <w:rFonts w:ascii="Calibri" w:eastAsia="Calibri" w:hAnsi="Calibri" w:cs="Calibri"/>
                <w:color w:val="000000"/>
                <w:sz w:val="20"/>
                <w:szCs w:val="20"/>
              </w:rPr>
            </w:pPr>
            <w:r w:rsidRPr="00964619">
              <w:rPr>
                <w:rFonts w:ascii="Calibri" w:eastAsia="Times New Roman" w:hAnsi="Calibri" w:cs="Times New Roman"/>
                <w:sz w:val="20"/>
                <w:szCs w:val="20"/>
                <w:lang w:val="en-US"/>
              </w:rPr>
              <w:t xml:space="preserve"> - </w:t>
            </w:r>
          </w:p>
        </w:tc>
        <w:tc>
          <w:tcPr>
            <w:tcW w:w="643" w:type="pct"/>
            <w:shd w:val="clear" w:color="auto" w:fill="auto"/>
            <w:vAlign w:val="bottom"/>
          </w:tcPr>
          <w:p w14:paraId="5BB8DD4D" w14:textId="77777777" w:rsidR="00964619" w:rsidRPr="00964619" w:rsidRDefault="00964619" w:rsidP="00964619">
            <w:pPr>
              <w:spacing w:after="0" w:line="240" w:lineRule="auto"/>
              <w:jc w:val="right"/>
              <w:rPr>
                <w:rFonts w:ascii="Calibri" w:eastAsia="Calibri" w:hAnsi="Calibri" w:cs="Calibri"/>
                <w:color w:val="000000"/>
                <w:sz w:val="20"/>
                <w:szCs w:val="20"/>
              </w:rPr>
            </w:pPr>
            <w:r w:rsidRPr="00964619">
              <w:rPr>
                <w:rFonts w:ascii="Calibri" w:eastAsia="Times New Roman" w:hAnsi="Calibri" w:cs="Times New Roman"/>
                <w:sz w:val="20"/>
                <w:szCs w:val="20"/>
                <w:lang w:val="en-US"/>
              </w:rPr>
              <w:t xml:space="preserve"> - </w:t>
            </w:r>
          </w:p>
        </w:tc>
        <w:tc>
          <w:tcPr>
            <w:tcW w:w="605" w:type="pct"/>
            <w:shd w:val="clear" w:color="auto" w:fill="auto"/>
            <w:vAlign w:val="bottom"/>
          </w:tcPr>
          <w:p w14:paraId="5E0EB4D4" w14:textId="77777777" w:rsidR="00964619" w:rsidRPr="00964619" w:rsidRDefault="00964619" w:rsidP="00964619">
            <w:pPr>
              <w:spacing w:after="0" w:line="240" w:lineRule="auto"/>
              <w:jc w:val="right"/>
              <w:rPr>
                <w:rFonts w:ascii="Calibri" w:eastAsia="Calibri" w:hAnsi="Calibri" w:cs="Calibri"/>
                <w:color w:val="000000"/>
                <w:sz w:val="20"/>
                <w:szCs w:val="20"/>
              </w:rPr>
            </w:pPr>
            <w:r w:rsidRPr="00964619">
              <w:rPr>
                <w:rFonts w:ascii="Calibri" w:eastAsia="Times New Roman" w:hAnsi="Calibri" w:cs="Times New Roman"/>
                <w:sz w:val="20"/>
                <w:szCs w:val="20"/>
                <w:lang w:val="en-US"/>
              </w:rPr>
              <w:t xml:space="preserve"> - </w:t>
            </w:r>
          </w:p>
        </w:tc>
        <w:tc>
          <w:tcPr>
            <w:tcW w:w="639" w:type="pct"/>
            <w:shd w:val="clear" w:color="auto" w:fill="auto"/>
            <w:vAlign w:val="bottom"/>
          </w:tcPr>
          <w:p w14:paraId="753C0B65" w14:textId="77777777" w:rsidR="00964619" w:rsidRPr="00964619" w:rsidRDefault="00964619" w:rsidP="00964619">
            <w:pPr>
              <w:spacing w:after="0" w:line="240" w:lineRule="auto"/>
              <w:jc w:val="right"/>
              <w:rPr>
                <w:rFonts w:ascii="Calibri" w:eastAsia="Calibri" w:hAnsi="Calibri" w:cs="Calibri"/>
                <w:color w:val="000000"/>
                <w:sz w:val="20"/>
                <w:szCs w:val="20"/>
              </w:rPr>
            </w:pPr>
            <w:r w:rsidRPr="00964619">
              <w:rPr>
                <w:rFonts w:ascii="Calibri" w:eastAsia="Times New Roman" w:hAnsi="Calibri" w:cs="Times New Roman"/>
                <w:sz w:val="20"/>
                <w:szCs w:val="20"/>
                <w:lang w:val="en-US"/>
              </w:rPr>
              <w:t xml:space="preserve"> 1 </w:t>
            </w:r>
          </w:p>
        </w:tc>
      </w:tr>
      <w:tr w:rsidR="00964619" w:rsidRPr="00964619" w14:paraId="27B2AD1C" w14:textId="77777777" w:rsidTr="00E44437">
        <w:trPr>
          <w:trHeight w:val="32"/>
        </w:trPr>
        <w:tc>
          <w:tcPr>
            <w:tcW w:w="1813" w:type="pct"/>
            <w:vAlign w:val="bottom"/>
          </w:tcPr>
          <w:p w14:paraId="33CEA15C" w14:textId="77777777" w:rsidR="00964619" w:rsidRPr="00964619" w:rsidRDefault="00964619" w:rsidP="00964619">
            <w:pPr>
              <w:tabs>
                <w:tab w:val="right" w:pos="1202"/>
              </w:tabs>
              <w:spacing w:after="0" w:line="301" w:lineRule="exact"/>
              <w:outlineLvl w:val="0"/>
              <w:rPr>
                <w:rFonts w:ascii="Calibri" w:eastAsia="Calibri" w:hAnsi="Calibri" w:cs="Arial"/>
                <w:b/>
                <w:bCs/>
                <w:sz w:val="20"/>
                <w:szCs w:val="20"/>
                <w:lang w:val="en-GB"/>
              </w:rPr>
            </w:pPr>
            <w:r w:rsidRPr="00964619">
              <w:rPr>
                <w:rFonts w:ascii="Calibri" w:eastAsia="Calibri" w:hAnsi="Calibri" w:cs="Arial"/>
                <w:b/>
                <w:bCs/>
                <w:sz w:val="20"/>
                <w:szCs w:val="20"/>
                <w:lang w:val="en-GB"/>
              </w:rPr>
              <w:t xml:space="preserve">Balance </w:t>
            </w:r>
            <w:proofErr w:type="gramStart"/>
            <w:r w:rsidRPr="00964619">
              <w:rPr>
                <w:rFonts w:ascii="Calibri" w:eastAsia="Calibri" w:hAnsi="Calibri" w:cs="Arial"/>
                <w:b/>
                <w:bCs/>
                <w:sz w:val="20"/>
                <w:szCs w:val="20"/>
                <w:lang w:val="en-GB"/>
              </w:rPr>
              <w:t>at</w:t>
            </w:r>
            <w:proofErr w:type="gramEnd"/>
            <w:r w:rsidRPr="00964619">
              <w:rPr>
                <w:rFonts w:ascii="Calibri" w:eastAsia="Calibri" w:hAnsi="Calibri" w:cs="Arial"/>
                <w:b/>
                <w:bCs/>
                <w:sz w:val="20"/>
                <w:szCs w:val="20"/>
                <w:lang w:val="en-GB"/>
              </w:rPr>
              <w:t xml:space="preserve"> 31 December 2021</w:t>
            </w:r>
          </w:p>
        </w:tc>
        <w:tc>
          <w:tcPr>
            <w:tcW w:w="650" w:type="pct"/>
            <w:tcBorders>
              <w:top w:val="single" w:sz="4" w:space="0" w:color="auto"/>
              <w:left w:val="nil"/>
              <w:bottom w:val="single" w:sz="12" w:space="0" w:color="auto"/>
              <w:right w:val="nil"/>
            </w:tcBorders>
            <w:shd w:val="clear" w:color="auto" w:fill="auto"/>
          </w:tcPr>
          <w:p w14:paraId="191118FF" w14:textId="77777777" w:rsidR="00964619" w:rsidRPr="00964619" w:rsidRDefault="00964619" w:rsidP="00964619">
            <w:pPr>
              <w:tabs>
                <w:tab w:val="right" w:pos="1202"/>
              </w:tabs>
              <w:spacing w:after="0" w:line="301" w:lineRule="exact"/>
              <w:jc w:val="right"/>
              <w:outlineLvl w:val="0"/>
              <w:rPr>
                <w:rFonts w:ascii="Calibri" w:eastAsia="Calibri" w:hAnsi="Calibri" w:cs="Arial"/>
                <w:b/>
                <w:bCs/>
                <w:sz w:val="20"/>
                <w:szCs w:val="20"/>
                <w:lang w:val="en-GB"/>
              </w:rPr>
            </w:pPr>
            <w:r w:rsidRPr="00964619">
              <w:rPr>
                <w:rFonts w:ascii="Calibri" w:eastAsia="Times New Roman" w:hAnsi="Calibri" w:cs="Times New Roman"/>
                <w:b/>
                <w:bCs/>
                <w:sz w:val="20"/>
                <w:szCs w:val="20"/>
                <w:lang w:val="en-US"/>
              </w:rPr>
              <w:t xml:space="preserve"> 1,809 </w:t>
            </w:r>
          </w:p>
        </w:tc>
        <w:tc>
          <w:tcPr>
            <w:tcW w:w="650" w:type="pct"/>
            <w:tcBorders>
              <w:top w:val="single" w:sz="4" w:space="0" w:color="auto"/>
              <w:left w:val="nil"/>
              <w:bottom w:val="single" w:sz="12" w:space="0" w:color="auto"/>
              <w:right w:val="nil"/>
            </w:tcBorders>
            <w:shd w:val="clear" w:color="auto" w:fill="auto"/>
          </w:tcPr>
          <w:p w14:paraId="3FF8A88E" w14:textId="77777777" w:rsidR="00964619" w:rsidRPr="00964619" w:rsidRDefault="00964619" w:rsidP="00964619">
            <w:pPr>
              <w:tabs>
                <w:tab w:val="right" w:pos="1202"/>
              </w:tabs>
              <w:spacing w:after="0" w:line="301" w:lineRule="exact"/>
              <w:jc w:val="right"/>
              <w:outlineLvl w:val="0"/>
              <w:rPr>
                <w:rFonts w:ascii="Calibri" w:eastAsia="Calibri" w:hAnsi="Calibri" w:cs="Arial"/>
                <w:b/>
                <w:bCs/>
                <w:sz w:val="20"/>
                <w:szCs w:val="20"/>
                <w:lang w:val="en-GB"/>
              </w:rPr>
            </w:pPr>
            <w:r w:rsidRPr="00964619">
              <w:rPr>
                <w:rFonts w:ascii="Calibri" w:eastAsia="Times New Roman" w:hAnsi="Calibri" w:cs="Times New Roman"/>
                <w:b/>
                <w:bCs/>
                <w:sz w:val="20"/>
                <w:szCs w:val="20"/>
                <w:lang w:val="en-US"/>
              </w:rPr>
              <w:t xml:space="preserve"> - </w:t>
            </w:r>
          </w:p>
        </w:tc>
        <w:tc>
          <w:tcPr>
            <w:tcW w:w="643" w:type="pct"/>
            <w:tcBorders>
              <w:top w:val="single" w:sz="4" w:space="0" w:color="auto"/>
              <w:left w:val="nil"/>
              <w:bottom w:val="single" w:sz="12" w:space="0" w:color="auto"/>
              <w:right w:val="nil"/>
            </w:tcBorders>
            <w:shd w:val="clear" w:color="auto" w:fill="auto"/>
          </w:tcPr>
          <w:p w14:paraId="41673916" w14:textId="77777777" w:rsidR="00964619" w:rsidRPr="00964619" w:rsidRDefault="00964619" w:rsidP="00964619">
            <w:pPr>
              <w:tabs>
                <w:tab w:val="right" w:pos="1202"/>
              </w:tabs>
              <w:spacing w:after="0" w:line="301" w:lineRule="exact"/>
              <w:jc w:val="right"/>
              <w:outlineLvl w:val="0"/>
              <w:rPr>
                <w:rFonts w:ascii="Calibri" w:eastAsia="Calibri" w:hAnsi="Calibri" w:cs="Arial"/>
                <w:b/>
                <w:bCs/>
                <w:sz w:val="20"/>
                <w:szCs w:val="20"/>
                <w:lang w:val="en-GB"/>
              </w:rPr>
            </w:pPr>
            <w:r w:rsidRPr="00964619">
              <w:rPr>
                <w:rFonts w:ascii="Calibri" w:eastAsia="Times New Roman" w:hAnsi="Calibri" w:cs="Times New Roman"/>
                <w:b/>
                <w:bCs/>
                <w:sz w:val="20"/>
                <w:szCs w:val="20"/>
                <w:lang w:val="en-US"/>
              </w:rPr>
              <w:t xml:space="preserve"> - </w:t>
            </w:r>
          </w:p>
        </w:tc>
        <w:tc>
          <w:tcPr>
            <w:tcW w:w="605" w:type="pct"/>
            <w:tcBorders>
              <w:top w:val="single" w:sz="4" w:space="0" w:color="auto"/>
              <w:left w:val="nil"/>
              <w:bottom w:val="single" w:sz="12" w:space="0" w:color="auto"/>
              <w:right w:val="nil"/>
            </w:tcBorders>
            <w:shd w:val="clear" w:color="auto" w:fill="auto"/>
          </w:tcPr>
          <w:p w14:paraId="3005D13E" w14:textId="77777777" w:rsidR="00964619" w:rsidRPr="00964619" w:rsidRDefault="00964619" w:rsidP="00964619">
            <w:pPr>
              <w:tabs>
                <w:tab w:val="right" w:pos="1202"/>
              </w:tabs>
              <w:spacing w:after="0" w:line="301" w:lineRule="exact"/>
              <w:jc w:val="right"/>
              <w:outlineLvl w:val="0"/>
              <w:rPr>
                <w:rFonts w:ascii="Calibri" w:eastAsia="Calibri" w:hAnsi="Calibri" w:cs="Arial"/>
                <w:b/>
                <w:bCs/>
                <w:sz w:val="20"/>
                <w:szCs w:val="20"/>
                <w:lang w:val="en-GB"/>
              </w:rPr>
            </w:pPr>
            <w:r w:rsidRPr="00964619">
              <w:rPr>
                <w:rFonts w:ascii="Calibri" w:eastAsia="Times New Roman" w:hAnsi="Calibri" w:cs="Times New Roman"/>
                <w:b/>
                <w:bCs/>
                <w:sz w:val="20"/>
                <w:szCs w:val="20"/>
                <w:lang w:val="en-US"/>
              </w:rPr>
              <w:t xml:space="preserve"> - </w:t>
            </w:r>
          </w:p>
        </w:tc>
        <w:tc>
          <w:tcPr>
            <w:tcW w:w="639" w:type="pct"/>
            <w:tcBorders>
              <w:top w:val="single" w:sz="4" w:space="0" w:color="auto"/>
              <w:left w:val="nil"/>
              <w:bottom w:val="single" w:sz="12" w:space="0" w:color="auto"/>
              <w:right w:val="nil"/>
            </w:tcBorders>
            <w:shd w:val="clear" w:color="auto" w:fill="auto"/>
          </w:tcPr>
          <w:p w14:paraId="6A38FF9A" w14:textId="77777777" w:rsidR="00964619" w:rsidRPr="00964619" w:rsidRDefault="00964619" w:rsidP="00964619">
            <w:pPr>
              <w:tabs>
                <w:tab w:val="right" w:pos="1202"/>
              </w:tabs>
              <w:spacing w:after="0" w:line="301" w:lineRule="exact"/>
              <w:jc w:val="right"/>
              <w:outlineLvl w:val="0"/>
              <w:rPr>
                <w:rFonts w:ascii="Calibri" w:eastAsia="Calibri" w:hAnsi="Calibri" w:cs="Arial"/>
                <w:b/>
                <w:bCs/>
                <w:sz w:val="20"/>
                <w:szCs w:val="20"/>
                <w:lang w:val="en-GB"/>
              </w:rPr>
            </w:pPr>
            <w:r w:rsidRPr="00964619">
              <w:rPr>
                <w:rFonts w:ascii="Calibri" w:eastAsia="Times New Roman" w:hAnsi="Calibri" w:cs="Times New Roman"/>
                <w:b/>
                <w:bCs/>
                <w:sz w:val="20"/>
                <w:szCs w:val="20"/>
                <w:lang w:val="en-US"/>
              </w:rPr>
              <w:t xml:space="preserve"> 1,809 </w:t>
            </w:r>
          </w:p>
        </w:tc>
      </w:tr>
    </w:tbl>
    <w:p w14:paraId="1647F087" w14:textId="77777777" w:rsidR="00712478" w:rsidRPr="00537128" w:rsidRDefault="00712478" w:rsidP="00712478">
      <w:pPr>
        <w:spacing w:after="0" w:line="240" w:lineRule="auto"/>
        <w:jc w:val="both"/>
        <w:rPr>
          <w:rFonts w:ascii="Calibri" w:eastAsia="Times New Roman" w:hAnsi="Calibri" w:cs="Times New Roman"/>
          <w:b/>
          <w:bCs/>
          <w:color w:val="000000" w:themeColor="text1"/>
          <w:lang w:val="en-US"/>
        </w:rPr>
      </w:pPr>
    </w:p>
    <w:p w14:paraId="5CA5337A"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pPr>
    </w:p>
    <w:p w14:paraId="48B4B140"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sectPr w:rsidR="00716C7A" w:rsidRPr="00537128" w:rsidSect="00712478">
          <w:pgSz w:w="11906" w:h="16838"/>
          <w:pgMar w:top="1418" w:right="1134" w:bottom="1418" w:left="1418" w:header="709" w:footer="709" w:gutter="0"/>
          <w:cols w:space="708"/>
          <w:docGrid w:linePitch="360"/>
        </w:sectPr>
      </w:pPr>
    </w:p>
    <w:p w14:paraId="5700CD99" w14:textId="77777777" w:rsidR="00716C7A" w:rsidRPr="00537128" w:rsidRDefault="00716C7A" w:rsidP="00716C7A">
      <w:pPr>
        <w:spacing w:after="0" w:line="240" w:lineRule="auto"/>
        <w:jc w:val="both"/>
        <w:rPr>
          <w:rFonts w:ascii="Calibri" w:eastAsia="Calibri" w:hAnsi="Calibri" w:cs="Arial"/>
          <w:b/>
          <w:bCs/>
          <w:color w:val="000000" w:themeColor="text1"/>
          <w:lang w:val="en-US"/>
        </w:rPr>
      </w:pPr>
    </w:p>
    <w:p w14:paraId="54DC4F42" w14:textId="5ED332E7" w:rsidR="00716C7A" w:rsidRPr="00537128" w:rsidRDefault="00B357CE" w:rsidP="00716C7A">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716C7A" w:rsidRPr="00537128">
        <w:rPr>
          <w:rFonts w:ascii="Calibri" w:eastAsia="Calibri" w:hAnsi="Calibri" w:cs="Arial"/>
          <w:b/>
          <w:bCs/>
          <w:color w:val="000000" w:themeColor="text1"/>
          <w:lang w:val="en-US"/>
        </w:rPr>
        <w:t>.</w:t>
      </w:r>
      <w:r w:rsidR="00716C7A" w:rsidRPr="00537128">
        <w:rPr>
          <w:rFonts w:ascii="Calibri" w:eastAsia="Calibri" w:hAnsi="Calibri" w:cs="Arial"/>
          <w:b/>
          <w:bCs/>
          <w:color w:val="000000" w:themeColor="text1"/>
          <w:lang w:val="en-US"/>
        </w:rPr>
        <w:tab/>
        <w:t>Risk management (continued)</w:t>
      </w:r>
    </w:p>
    <w:p w14:paraId="22D9674D" w14:textId="77777777" w:rsidR="00716C7A" w:rsidRPr="00537128" w:rsidRDefault="00716C7A" w:rsidP="00716C7A">
      <w:pPr>
        <w:spacing w:after="0" w:line="240" w:lineRule="auto"/>
        <w:jc w:val="both"/>
        <w:rPr>
          <w:rFonts w:ascii="Calibri" w:eastAsia="Times New Roman" w:hAnsi="Calibri" w:cs="Times New Roman"/>
          <w:b/>
          <w:color w:val="000000" w:themeColor="text1"/>
          <w:lang w:val="en-US"/>
        </w:rPr>
      </w:pPr>
    </w:p>
    <w:p w14:paraId="095CC407" w14:textId="6754A773" w:rsidR="00716C7A" w:rsidRPr="00537128" w:rsidRDefault="00B357CE" w:rsidP="00716C7A">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716C7A" w:rsidRPr="00537128">
        <w:rPr>
          <w:rFonts w:ascii="Calibri" w:eastAsia="Times New Roman" w:hAnsi="Calibri" w:cs="Times New Roman"/>
          <w:b/>
          <w:color w:val="000000" w:themeColor="text1"/>
          <w:lang w:val="en-US"/>
        </w:rPr>
        <w:t xml:space="preserve"> </w:t>
      </w:r>
      <w:r w:rsidR="00716C7A" w:rsidRPr="00537128">
        <w:rPr>
          <w:rFonts w:ascii="Calibri" w:eastAsia="Times New Roman" w:hAnsi="Calibri" w:cs="Times New Roman"/>
          <w:b/>
          <w:color w:val="000000" w:themeColor="text1"/>
          <w:lang w:val="en-US"/>
        </w:rPr>
        <w:tab/>
        <w:t>Credit risk (continued)</w:t>
      </w:r>
    </w:p>
    <w:p w14:paraId="46D8E5DB" w14:textId="77777777" w:rsidR="00716C7A" w:rsidRPr="00537128" w:rsidRDefault="00716C7A" w:rsidP="00716C7A">
      <w:pPr>
        <w:spacing w:after="0" w:line="240" w:lineRule="auto"/>
        <w:jc w:val="both"/>
        <w:rPr>
          <w:rFonts w:ascii="Calibri" w:eastAsia="Calibri" w:hAnsi="Calibri" w:cs="Arial"/>
          <w:b/>
          <w:bCs/>
          <w:i/>
          <w:color w:val="000000" w:themeColor="text1"/>
          <w:lang w:val="en-US"/>
        </w:rPr>
      </w:pPr>
    </w:p>
    <w:p w14:paraId="09F6EDEF" w14:textId="52A02B45" w:rsidR="00716C7A" w:rsidRPr="00537128" w:rsidRDefault="00716C7A" w:rsidP="00824E0F">
      <w:pPr>
        <w:numPr>
          <w:ilvl w:val="8"/>
          <w:numId w:val="44"/>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r w:rsidR="00653BD6">
        <w:rPr>
          <w:rFonts w:ascii="Calibri" w:eastAsia="Calibri" w:hAnsi="Calibri" w:cs="Arial"/>
          <w:bCs/>
          <w:i/>
          <w:color w:val="000000" w:themeColor="text1"/>
          <w:lang w:val="en-US"/>
        </w:rPr>
        <w:t xml:space="preserve"> (</w:t>
      </w:r>
      <w:r w:rsidR="00685DB2">
        <w:rPr>
          <w:rFonts w:ascii="Calibri" w:eastAsia="Calibri" w:hAnsi="Calibri" w:cs="Arial"/>
          <w:bCs/>
          <w:i/>
          <w:color w:val="000000" w:themeColor="text1"/>
          <w:lang w:val="en-US"/>
        </w:rPr>
        <w:t>continued)</w:t>
      </w:r>
    </w:p>
    <w:p w14:paraId="6112A876" w14:textId="77777777" w:rsidR="00716C7A" w:rsidRPr="00537128" w:rsidRDefault="00716C7A" w:rsidP="00716C7A">
      <w:pPr>
        <w:spacing w:after="0" w:line="240" w:lineRule="auto"/>
        <w:jc w:val="both"/>
        <w:rPr>
          <w:rFonts w:ascii="Calibri" w:eastAsia="Calibri" w:hAnsi="Calibri" w:cs="Arial"/>
          <w:b/>
          <w:bCs/>
          <w:color w:val="000000" w:themeColor="text1"/>
          <w:sz w:val="16"/>
          <w:szCs w:val="16"/>
          <w:lang w:val="en-US"/>
        </w:rPr>
      </w:pPr>
    </w:p>
    <w:p w14:paraId="23D5B161" w14:textId="77777777" w:rsidR="00716C7A" w:rsidRPr="00537128" w:rsidRDefault="00716C7A" w:rsidP="00716C7A">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Cash on hand and current accounts with banks (continued)</w:t>
      </w:r>
    </w:p>
    <w:p w14:paraId="5802890A" w14:textId="77777777" w:rsidR="00716C7A" w:rsidRPr="00537128" w:rsidRDefault="00716C7A" w:rsidP="00716C7A">
      <w:pPr>
        <w:spacing w:after="0" w:line="240" w:lineRule="auto"/>
        <w:jc w:val="both"/>
        <w:rPr>
          <w:rFonts w:ascii="Calibri" w:eastAsia="Calibri" w:hAnsi="Calibri" w:cs="Arial"/>
          <w:b/>
          <w:bCs/>
          <w:color w:val="000000" w:themeColor="text1"/>
          <w:lang w:val="en-US"/>
        </w:rPr>
      </w:pPr>
    </w:p>
    <w:p w14:paraId="11D93CB8"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5"/>
        <w:gridCol w:w="1216"/>
        <w:gridCol w:w="1216"/>
        <w:gridCol w:w="1203"/>
        <w:gridCol w:w="1132"/>
        <w:gridCol w:w="1192"/>
      </w:tblGrid>
      <w:tr w:rsidR="004A287E" w:rsidRPr="00537128" w14:paraId="3C116F22" w14:textId="77777777" w:rsidTr="004A287E">
        <w:trPr>
          <w:trHeight w:val="277"/>
        </w:trPr>
        <w:tc>
          <w:tcPr>
            <w:tcW w:w="1815" w:type="pct"/>
          </w:tcPr>
          <w:p w14:paraId="750EFBE5"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br w:type="page"/>
              <w:t>Bank</w:t>
            </w:r>
          </w:p>
        </w:tc>
        <w:tc>
          <w:tcPr>
            <w:tcW w:w="3185" w:type="pct"/>
            <w:gridSpan w:val="5"/>
            <w:vAlign w:val="bottom"/>
          </w:tcPr>
          <w:p w14:paraId="5AE270E2" w14:textId="77777777" w:rsidR="004A287E" w:rsidRPr="00537128" w:rsidRDefault="004A287E" w:rsidP="004A287E">
            <w:pPr>
              <w:spacing w:after="0" w:line="240" w:lineRule="auto"/>
              <w:jc w:val="center"/>
              <w:rPr>
                <w:rFonts w:ascii="Calibri" w:eastAsia="Calibri" w:hAnsi="Calibri" w:cs="Arial"/>
                <w:b/>
                <w:sz w:val="20"/>
                <w:szCs w:val="20"/>
                <w:lang w:val="en-US"/>
              </w:rPr>
            </w:pPr>
          </w:p>
        </w:tc>
      </w:tr>
      <w:tr w:rsidR="004A287E" w:rsidRPr="00537128" w14:paraId="5DD1EBCB" w14:textId="77777777" w:rsidTr="004A287E">
        <w:trPr>
          <w:trHeight w:val="46"/>
        </w:trPr>
        <w:tc>
          <w:tcPr>
            <w:tcW w:w="1815" w:type="pct"/>
          </w:tcPr>
          <w:p w14:paraId="03E14DD0" w14:textId="421C47EF" w:rsidR="004A287E" w:rsidRPr="00537128" w:rsidRDefault="002412CA"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31 March 202</w:t>
            </w:r>
            <w:r w:rsidR="00873C25">
              <w:rPr>
                <w:rFonts w:ascii="Calibri" w:eastAsia="Calibri" w:hAnsi="Calibri" w:cs="Arial"/>
                <w:b/>
                <w:bCs/>
                <w:sz w:val="20"/>
                <w:szCs w:val="20"/>
                <w:lang w:val="en-US"/>
              </w:rPr>
              <w:t>2</w:t>
            </w:r>
          </w:p>
        </w:tc>
        <w:tc>
          <w:tcPr>
            <w:tcW w:w="650" w:type="pct"/>
            <w:vAlign w:val="bottom"/>
          </w:tcPr>
          <w:p w14:paraId="7572CB99"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1</w:t>
            </w:r>
          </w:p>
        </w:tc>
        <w:tc>
          <w:tcPr>
            <w:tcW w:w="650" w:type="pct"/>
            <w:vAlign w:val="bottom"/>
          </w:tcPr>
          <w:p w14:paraId="4FF99EC6"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2</w:t>
            </w:r>
          </w:p>
        </w:tc>
        <w:tc>
          <w:tcPr>
            <w:tcW w:w="643" w:type="pct"/>
            <w:vAlign w:val="bottom"/>
          </w:tcPr>
          <w:p w14:paraId="364CE4E0"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3</w:t>
            </w:r>
          </w:p>
        </w:tc>
        <w:tc>
          <w:tcPr>
            <w:tcW w:w="605" w:type="pct"/>
            <w:vAlign w:val="bottom"/>
          </w:tcPr>
          <w:p w14:paraId="3EF54223"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POCI</w:t>
            </w:r>
          </w:p>
        </w:tc>
        <w:tc>
          <w:tcPr>
            <w:tcW w:w="637" w:type="pct"/>
            <w:vAlign w:val="bottom"/>
          </w:tcPr>
          <w:p w14:paraId="61F70D9B"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Total</w:t>
            </w:r>
          </w:p>
        </w:tc>
      </w:tr>
      <w:tr w:rsidR="004A287E" w:rsidRPr="00537128" w14:paraId="5F800C92" w14:textId="77777777" w:rsidTr="004A287E">
        <w:trPr>
          <w:trHeight w:val="46"/>
        </w:trPr>
        <w:tc>
          <w:tcPr>
            <w:tcW w:w="1815" w:type="pct"/>
          </w:tcPr>
          <w:p w14:paraId="594FA795"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50" w:type="pct"/>
          </w:tcPr>
          <w:p w14:paraId="5FDCDAFD"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50" w:type="pct"/>
          </w:tcPr>
          <w:p w14:paraId="36CA1046"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3" w:type="pct"/>
          </w:tcPr>
          <w:p w14:paraId="00DF2AA5"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05" w:type="pct"/>
          </w:tcPr>
          <w:p w14:paraId="0C73ADEC"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37" w:type="pct"/>
          </w:tcPr>
          <w:p w14:paraId="4CE3F021"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r>
      <w:tr w:rsidR="004A287E" w:rsidRPr="00537128" w14:paraId="11E01A44" w14:textId="77777777" w:rsidTr="004A287E">
        <w:trPr>
          <w:trHeight w:val="46"/>
        </w:trPr>
        <w:tc>
          <w:tcPr>
            <w:tcW w:w="1815" w:type="pct"/>
          </w:tcPr>
          <w:p w14:paraId="4E6F38D2"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50" w:type="pct"/>
          </w:tcPr>
          <w:p w14:paraId="1BE3ACD4"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50" w:type="pct"/>
          </w:tcPr>
          <w:p w14:paraId="086A0102"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3" w:type="pct"/>
          </w:tcPr>
          <w:p w14:paraId="65B561D9"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05" w:type="pct"/>
          </w:tcPr>
          <w:p w14:paraId="7A779D8B"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37" w:type="pct"/>
          </w:tcPr>
          <w:p w14:paraId="59E3C3EC" w14:textId="77777777" w:rsidR="004A287E" w:rsidRPr="00537128" w:rsidRDefault="004A287E" w:rsidP="004A287E">
            <w:pPr>
              <w:spacing w:after="0" w:line="240" w:lineRule="auto"/>
              <w:jc w:val="right"/>
              <w:rPr>
                <w:rFonts w:ascii="Calibri" w:eastAsia="Calibri" w:hAnsi="Calibri" w:cs="Arial"/>
                <w:b/>
                <w:sz w:val="20"/>
                <w:szCs w:val="20"/>
                <w:lang w:val="en-US"/>
              </w:rPr>
            </w:pPr>
          </w:p>
        </w:tc>
      </w:tr>
      <w:tr w:rsidR="00DF10E9" w:rsidRPr="00537128" w14:paraId="07DE1C79" w14:textId="77777777" w:rsidTr="00C62052">
        <w:trPr>
          <w:trHeight w:val="291"/>
        </w:trPr>
        <w:tc>
          <w:tcPr>
            <w:tcW w:w="1815" w:type="pct"/>
            <w:vAlign w:val="bottom"/>
          </w:tcPr>
          <w:p w14:paraId="5D5C5AE6" w14:textId="7818FC22" w:rsidR="00DF10E9" w:rsidRPr="00537128" w:rsidRDefault="00DF10E9" w:rsidP="00DF10E9">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 xml:space="preserve">Balance </w:t>
            </w:r>
            <w:proofErr w:type="gramStart"/>
            <w:r w:rsidRPr="00537128">
              <w:rPr>
                <w:rFonts w:ascii="Calibri" w:eastAsia="Calibri" w:hAnsi="Calibri" w:cs="Times New Roman"/>
                <w:sz w:val="20"/>
                <w:szCs w:val="20"/>
                <w:lang w:val="en-US"/>
              </w:rPr>
              <w:t>at</w:t>
            </w:r>
            <w:proofErr w:type="gramEnd"/>
            <w:r w:rsidRPr="00537128">
              <w:rPr>
                <w:rFonts w:ascii="Calibri" w:eastAsia="Calibri" w:hAnsi="Calibri" w:cs="Times New Roman"/>
                <w:sz w:val="20"/>
                <w:szCs w:val="20"/>
                <w:lang w:val="en-US"/>
              </w:rPr>
              <w:t xml:space="preserve"> 1 January 202</w:t>
            </w:r>
            <w:r>
              <w:rPr>
                <w:rFonts w:ascii="Calibri" w:eastAsia="Calibri" w:hAnsi="Calibri" w:cs="Times New Roman"/>
                <w:sz w:val="20"/>
                <w:szCs w:val="20"/>
                <w:lang w:val="en-US"/>
              </w:rPr>
              <w:t>2</w:t>
            </w:r>
          </w:p>
        </w:tc>
        <w:tc>
          <w:tcPr>
            <w:tcW w:w="650" w:type="pct"/>
            <w:tcBorders>
              <w:top w:val="nil"/>
              <w:left w:val="nil"/>
              <w:bottom w:val="nil"/>
              <w:right w:val="nil"/>
            </w:tcBorders>
            <w:shd w:val="clear" w:color="auto" w:fill="auto"/>
          </w:tcPr>
          <w:p w14:paraId="3B180C3C" w14:textId="68A7CB8B" w:rsidR="00DF10E9" w:rsidRPr="00537128" w:rsidRDefault="00DF10E9" w:rsidP="00DF10E9">
            <w:pPr>
              <w:spacing w:after="0" w:line="240" w:lineRule="auto"/>
              <w:jc w:val="right"/>
              <w:rPr>
                <w:rFonts w:ascii="Calibri" w:eastAsia="Calibri" w:hAnsi="Calibri" w:cs="Arial"/>
                <w:sz w:val="20"/>
                <w:szCs w:val="20"/>
                <w:lang w:val="en-US"/>
              </w:rPr>
            </w:pPr>
            <w:r w:rsidRPr="007A49AD">
              <w:rPr>
                <w:sz w:val="20"/>
                <w:szCs w:val="20"/>
              </w:rPr>
              <w:t xml:space="preserve"> 1</w:t>
            </w:r>
            <w:r>
              <w:rPr>
                <w:sz w:val="20"/>
                <w:szCs w:val="20"/>
              </w:rPr>
              <w:t>,</w:t>
            </w:r>
            <w:r w:rsidRPr="007A49AD">
              <w:rPr>
                <w:sz w:val="20"/>
                <w:szCs w:val="20"/>
              </w:rPr>
              <w:t xml:space="preserve">804 </w:t>
            </w:r>
          </w:p>
        </w:tc>
        <w:tc>
          <w:tcPr>
            <w:tcW w:w="650" w:type="pct"/>
            <w:tcBorders>
              <w:top w:val="nil"/>
              <w:left w:val="nil"/>
              <w:bottom w:val="nil"/>
              <w:right w:val="nil"/>
            </w:tcBorders>
            <w:shd w:val="clear" w:color="auto" w:fill="auto"/>
          </w:tcPr>
          <w:p w14:paraId="249A3C1B" w14:textId="52ADDD39" w:rsidR="00DF10E9" w:rsidRPr="00537128" w:rsidRDefault="00DF10E9" w:rsidP="00DF10E9">
            <w:pPr>
              <w:spacing w:after="0" w:line="240" w:lineRule="auto"/>
              <w:jc w:val="right"/>
              <w:rPr>
                <w:rFonts w:ascii="Calibri" w:eastAsia="Calibri" w:hAnsi="Calibri" w:cs="Arial"/>
                <w:sz w:val="20"/>
                <w:szCs w:val="20"/>
                <w:lang w:val="en-US"/>
              </w:rPr>
            </w:pPr>
            <w:r w:rsidRPr="007A49AD">
              <w:rPr>
                <w:sz w:val="20"/>
                <w:szCs w:val="20"/>
              </w:rPr>
              <w:t xml:space="preserve"> - </w:t>
            </w:r>
          </w:p>
        </w:tc>
        <w:tc>
          <w:tcPr>
            <w:tcW w:w="643" w:type="pct"/>
            <w:tcBorders>
              <w:top w:val="nil"/>
              <w:left w:val="nil"/>
              <w:bottom w:val="nil"/>
              <w:right w:val="nil"/>
            </w:tcBorders>
            <w:shd w:val="clear" w:color="auto" w:fill="auto"/>
          </w:tcPr>
          <w:p w14:paraId="4C009746" w14:textId="730CB2CA" w:rsidR="00DF10E9" w:rsidRPr="00537128" w:rsidRDefault="00DF10E9" w:rsidP="00DF10E9">
            <w:pPr>
              <w:spacing w:after="0" w:line="240" w:lineRule="auto"/>
              <w:jc w:val="right"/>
              <w:rPr>
                <w:rFonts w:ascii="Calibri" w:eastAsia="Calibri" w:hAnsi="Calibri" w:cs="Arial"/>
                <w:sz w:val="20"/>
                <w:szCs w:val="20"/>
                <w:lang w:val="en-US"/>
              </w:rPr>
            </w:pPr>
            <w:r w:rsidRPr="007A49AD">
              <w:rPr>
                <w:sz w:val="20"/>
                <w:szCs w:val="20"/>
              </w:rPr>
              <w:t xml:space="preserve"> - </w:t>
            </w:r>
          </w:p>
        </w:tc>
        <w:tc>
          <w:tcPr>
            <w:tcW w:w="605" w:type="pct"/>
            <w:tcBorders>
              <w:top w:val="nil"/>
              <w:left w:val="nil"/>
              <w:bottom w:val="nil"/>
              <w:right w:val="nil"/>
            </w:tcBorders>
            <w:shd w:val="clear" w:color="auto" w:fill="auto"/>
          </w:tcPr>
          <w:p w14:paraId="4DB82C80" w14:textId="4933DC7A" w:rsidR="00DF10E9" w:rsidRPr="00537128" w:rsidRDefault="00DF10E9" w:rsidP="00DF10E9">
            <w:pPr>
              <w:spacing w:after="0" w:line="240" w:lineRule="auto"/>
              <w:jc w:val="right"/>
              <w:rPr>
                <w:rFonts w:ascii="Calibri" w:eastAsia="Calibri" w:hAnsi="Calibri" w:cs="Arial"/>
                <w:sz w:val="20"/>
                <w:szCs w:val="20"/>
                <w:lang w:val="en-US"/>
              </w:rPr>
            </w:pPr>
            <w:r w:rsidRPr="007A49AD">
              <w:rPr>
                <w:sz w:val="20"/>
                <w:szCs w:val="20"/>
              </w:rPr>
              <w:t xml:space="preserve"> - </w:t>
            </w:r>
          </w:p>
        </w:tc>
        <w:tc>
          <w:tcPr>
            <w:tcW w:w="637" w:type="pct"/>
            <w:tcBorders>
              <w:top w:val="nil"/>
              <w:left w:val="nil"/>
              <w:bottom w:val="nil"/>
              <w:right w:val="nil"/>
            </w:tcBorders>
            <w:shd w:val="clear" w:color="auto" w:fill="auto"/>
          </w:tcPr>
          <w:p w14:paraId="2D8FFCB3" w14:textId="7C0B9CC4" w:rsidR="00DF10E9" w:rsidRPr="00537128" w:rsidRDefault="00DF10E9" w:rsidP="00DF10E9">
            <w:pPr>
              <w:spacing w:after="0" w:line="240" w:lineRule="auto"/>
              <w:jc w:val="right"/>
              <w:rPr>
                <w:rFonts w:ascii="Calibri" w:eastAsia="Calibri" w:hAnsi="Calibri" w:cs="Arial"/>
                <w:sz w:val="20"/>
                <w:szCs w:val="20"/>
                <w:lang w:val="en-US"/>
              </w:rPr>
            </w:pPr>
            <w:r w:rsidRPr="007A49AD">
              <w:rPr>
                <w:sz w:val="20"/>
                <w:szCs w:val="20"/>
              </w:rPr>
              <w:t xml:space="preserve"> 1</w:t>
            </w:r>
            <w:r>
              <w:rPr>
                <w:sz w:val="20"/>
                <w:szCs w:val="20"/>
              </w:rPr>
              <w:t>,</w:t>
            </w:r>
            <w:r w:rsidRPr="007A49AD">
              <w:rPr>
                <w:sz w:val="20"/>
                <w:szCs w:val="20"/>
              </w:rPr>
              <w:t xml:space="preserve">804 </w:t>
            </w:r>
          </w:p>
        </w:tc>
      </w:tr>
      <w:tr w:rsidR="00DF10E9" w:rsidRPr="00537128" w14:paraId="5950E8A8" w14:textId="77777777" w:rsidTr="00A1123E">
        <w:trPr>
          <w:trHeight w:val="291"/>
        </w:trPr>
        <w:tc>
          <w:tcPr>
            <w:tcW w:w="1815" w:type="pct"/>
            <w:vAlign w:val="bottom"/>
          </w:tcPr>
          <w:p w14:paraId="6EF6FF55" w14:textId="77777777" w:rsidR="00DF10E9" w:rsidRPr="00537128" w:rsidRDefault="00DF10E9" w:rsidP="00DF10E9">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1</w:t>
            </w:r>
          </w:p>
        </w:tc>
        <w:tc>
          <w:tcPr>
            <w:tcW w:w="650" w:type="pct"/>
            <w:tcBorders>
              <w:top w:val="nil"/>
              <w:left w:val="nil"/>
              <w:right w:val="nil"/>
            </w:tcBorders>
            <w:shd w:val="clear" w:color="auto" w:fill="auto"/>
            <w:vAlign w:val="bottom"/>
          </w:tcPr>
          <w:p w14:paraId="14AE549F" w14:textId="7E43ED86" w:rsidR="00DF10E9" w:rsidRPr="00537128" w:rsidRDefault="00DF10E9" w:rsidP="00DF10E9">
            <w:pPr>
              <w:spacing w:after="0" w:line="240" w:lineRule="auto"/>
              <w:jc w:val="right"/>
              <w:rPr>
                <w:rFonts w:ascii="Calibri" w:eastAsia="Calibri" w:hAnsi="Calibri" w:cs="Arial"/>
                <w:sz w:val="20"/>
                <w:szCs w:val="20"/>
                <w:lang w:val="en-US"/>
              </w:rPr>
            </w:pPr>
            <w:r>
              <w:rPr>
                <w:rFonts w:eastAsia="Calibri" w:cs="Calibri"/>
                <w:color w:val="000000" w:themeColor="text1"/>
                <w:sz w:val="20"/>
                <w:szCs w:val="20"/>
              </w:rPr>
              <w:t>-</w:t>
            </w:r>
          </w:p>
        </w:tc>
        <w:tc>
          <w:tcPr>
            <w:tcW w:w="650" w:type="pct"/>
            <w:tcBorders>
              <w:top w:val="nil"/>
              <w:left w:val="nil"/>
              <w:right w:val="nil"/>
            </w:tcBorders>
            <w:shd w:val="clear" w:color="auto" w:fill="auto"/>
            <w:vAlign w:val="bottom"/>
          </w:tcPr>
          <w:p w14:paraId="7EF10B3C" w14:textId="0EFC35D4" w:rsidR="00DF10E9" w:rsidRPr="00537128" w:rsidRDefault="00DF10E9" w:rsidP="00DF10E9">
            <w:pPr>
              <w:spacing w:after="0" w:line="240" w:lineRule="auto"/>
              <w:jc w:val="right"/>
              <w:rPr>
                <w:rFonts w:ascii="Calibri" w:eastAsia="Calibri" w:hAnsi="Calibri" w:cs="Arial"/>
                <w:sz w:val="20"/>
                <w:szCs w:val="20"/>
                <w:lang w:val="en-US"/>
              </w:rPr>
            </w:pPr>
            <w:r>
              <w:rPr>
                <w:rFonts w:eastAsia="Calibri" w:cs="Calibri"/>
                <w:color w:val="000000" w:themeColor="text1"/>
                <w:sz w:val="20"/>
                <w:szCs w:val="20"/>
              </w:rPr>
              <w:t>-</w:t>
            </w:r>
          </w:p>
        </w:tc>
        <w:tc>
          <w:tcPr>
            <w:tcW w:w="643" w:type="pct"/>
            <w:tcBorders>
              <w:top w:val="nil"/>
              <w:left w:val="nil"/>
              <w:right w:val="nil"/>
            </w:tcBorders>
            <w:shd w:val="clear" w:color="auto" w:fill="auto"/>
            <w:vAlign w:val="bottom"/>
          </w:tcPr>
          <w:p w14:paraId="0048F4D6" w14:textId="7CA9BB23" w:rsidR="00DF10E9" w:rsidRPr="00537128" w:rsidRDefault="00DF10E9" w:rsidP="00DF10E9">
            <w:pPr>
              <w:spacing w:after="0" w:line="240" w:lineRule="auto"/>
              <w:jc w:val="right"/>
              <w:rPr>
                <w:rFonts w:ascii="Calibri" w:eastAsia="Calibri" w:hAnsi="Calibri" w:cs="Arial"/>
                <w:sz w:val="20"/>
                <w:szCs w:val="20"/>
                <w:lang w:val="en-US"/>
              </w:rPr>
            </w:pPr>
            <w:r>
              <w:rPr>
                <w:rFonts w:eastAsia="Calibri" w:cs="Calibri"/>
                <w:color w:val="000000" w:themeColor="text1"/>
                <w:sz w:val="20"/>
                <w:szCs w:val="20"/>
              </w:rPr>
              <w:t>-</w:t>
            </w:r>
          </w:p>
        </w:tc>
        <w:tc>
          <w:tcPr>
            <w:tcW w:w="605" w:type="pct"/>
            <w:tcBorders>
              <w:top w:val="nil"/>
              <w:left w:val="nil"/>
              <w:right w:val="nil"/>
            </w:tcBorders>
            <w:shd w:val="clear" w:color="auto" w:fill="auto"/>
            <w:vAlign w:val="bottom"/>
          </w:tcPr>
          <w:p w14:paraId="09E568EC" w14:textId="167D259A" w:rsidR="00DF10E9" w:rsidRPr="00537128" w:rsidRDefault="00DF10E9" w:rsidP="00DF10E9">
            <w:pPr>
              <w:spacing w:after="0" w:line="240" w:lineRule="auto"/>
              <w:jc w:val="right"/>
              <w:rPr>
                <w:rFonts w:ascii="Calibri" w:eastAsia="Calibri" w:hAnsi="Calibri" w:cs="Arial"/>
                <w:sz w:val="20"/>
                <w:szCs w:val="20"/>
                <w:lang w:val="en-US"/>
              </w:rPr>
            </w:pPr>
            <w:r>
              <w:rPr>
                <w:rFonts w:eastAsia="Calibri" w:cs="Calibri"/>
                <w:color w:val="000000" w:themeColor="text1"/>
                <w:sz w:val="20"/>
                <w:szCs w:val="20"/>
              </w:rPr>
              <w:t>-</w:t>
            </w:r>
          </w:p>
        </w:tc>
        <w:tc>
          <w:tcPr>
            <w:tcW w:w="637" w:type="pct"/>
            <w:tcBorders>
              <w:top w:val="nil"/>
              <w:left w:val="nil"/>
              <w:right w:val="nil"/>
            </w:tcBorders>
            <w:shd w:val="clear" w:color="auto" w:fill="auto"/>
            <w:vAlign w:val="bottom"/>
          </w:tcPr>
          <w:p w14:paraId="40F6DB89" w14:textId="5A185066" w:rsidR="00DF10E9" w:rsidRPr="00537128" w:rsidRDefault="00DF10E9" w:rsidP="00DF10E9">
            <w:pPr>
              <w:spacing w:after="0" w:line="240" w:lineRule="auto"/>
              <w:jc w:val="right"/>
              <w:rPr>
                <w:rFonts w:ascii="Calibri" w:eastAsia="Calibri" w:hAnsi="Calibri" w:cs="Arial"/>
                <w:sz w:val="20"/>
                <w:szCs w:val="20"/>
                <w:lang w:val="en-US"/>
              </w:rPr>
            </w:pPr>
            <w:r>
              <w:rPr>
                <w:rFonts w:eastAsia="Calibri" w:cs="Calibri"/>
                <w:color w:val="000000" w:themeColor="text1"/>
                <w:sz w:val="20"/>
                <w:szCs w:val="20"/>
              </w:rPr>
              <w:t>-</w:t>
            </w:r>
          </w:p>
        </w:tc>
      </w:tr>
      <w:tr w:rsidR="00DF10E9" w:rsidRPr="00537128" w14:paraId="75CCB6AD" w14:textId="77777777" w:rsidTr="00A1123E">
        <w:trPr>
          <w:trHeight w:val="291"/>
        </w:trPr>
        <w:tc>
          <w:tcPr>
            <w:tcW w:w="1815" w:type="pct"/>
            <w:vAlign w:val="bottom"/>
          </w:tcPr>
          <w:p w14:paraId="0FFA540B" w14:textId="77777777" w:rsidR="00DF10E9" w:rsidRPr="00537128" w:rsidRDefault="00DF10E9" w:rsidP="00DF10E9">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2</w:t>
            </w:r>
          </w:p>
        </w:tc>
        <w:tc>
          <w:tcPr>
            <w:tcW w:w="650" w:type="pct"/>
            <w:tcBorders>
              <w:top w:val="nil"/>
              <w:left w:val="nil"/>
              <w:right w:val="nil"/>
            </w:tcBorders>
            <w:shd w:val="clear" w:color="auto" w:fill="auto"/>
            <w:vAlign w:val="bottom"/>
          </w:tcPr>
          <w:p w14:paraId="1176E9C3" w14:textId="71D12F85" w:rsidR="00DF10E9" w:rsidRPr="00537128" w:rsidRDefault="00DF10E9" w:rsidP="00DF10E9">
            <w:pPr>
              <w:spacing w:after="0" w:line="240" w:lineRule="auto"/>
              <w:jc w:val="right"/>
              <w:rPr>
                <w:rFonts w:ascii="Calibri" w:eastAsia="Calibri" w:hAnsi="Calibri" w:cs="Arial"/>
                <w:sz w:val="20"/>
                <w:szCs w:val="20"/>
                <w:lang w:val="en-US"/>
              </w:rPr>
            </w:pPr>
            <w:r>
              <w:rPr>
                <w:rFonts w:eastAsia="Calibri" w:cs="Calibri"/>
                <w:color w:val="000000" w:themeColor="text1"/>
                <w:sz w:val="20"/>
                <w:szCs w:val="20"/>
              </w:rPr>
              <w:t>-</w:t>
            </w:r>
          </w:p>
        </w:tc>
        <w:tc>
          <w:tcPr>
            <w:tcW w:w="650" w:type="pct"/>
            <w:tcBorders>
              <w:top w:val="nil"/>
              <w:left w:val="nil"/>
              <w:right w:val="nil"/>
            </w:tcBorders>
            <w:shd w:val="clear" w:color="auto" w:fill="auto"/>
            <w:vAlign w:val="bottom"/>
          </w:tcPr>
          <w:p w14:paraId="19F2A76C" w14:textId="0118F2B0" w:rsidR="00DF10E9" w:rsidRPr="00537128" w:rsidRDefault="00DF10E9" w:rsidP="00DF10E9">
            <w:pPr>
              <w:spacing w:after="0" w:line="240" w:lineRule="auto"/>
              <w:jc w:val="right"/>
              <w:rPr>
                <w:rFonts w:ascii="Calibri" w:eastAsia="Calibri" w:hAnsi="Calibri" w:cs="Arial"/>
                <w:sz w:val="20"/>
                <w:szCs w:val="20"/>
                <w:lang w:val="en-US"/>
              </w:rPr>
            </w:pPr>
            <w:r>
              <w:rPr>
                <w:rFonts w:eastAsia="Calibri" w:cs="Calibri"/>
                <w:color w:val="000000" w:themeColor="text1"/>
                <w:sz w:val="20"/>
                <w:szCs w:val="20"/>
              </w:rPr>
              <w:t>-</w:t>
            </w:r>
          </w:p>
        </w:tc>
        <w:tc>
          <w:tcPr>
            <w:tcW w:w="643" w:type="pct"/>
            <w:tcBorders>
              <w:top w:val="nil"/>
              <w:left w:val="nil"/>
              <w:right w:val="nil"/>
            </w:tcBorders>
            <w:shd w:val="clear" w:color="auto" w:fill="auto"/>
            <w:vAlign w:val="bottom"/>
          </w:tcPr>
          <w:p w14:paraId="0D0D9BF3" w14:textId="3522F6AC" w:rsidR="00DF10E9" w:rsidRPr="00537128" w:rsidRDefault="00DF10E9" w:rsidP="00DF10E9">
            <w:pPr>
              <w:spacing w:after="0" w:line="240" w:lineRule="auto"/>
              <w:jc w:val="right"/>
              <w:rPr>
                <w:rFonts w:ascii="Calibri" w:eastAsia="Calibri" w:hAnsi="Calibri" w:cs="Arial"/>
                <w:sz w:val="20"/>
                <w:szCs w:val="20"/>
                <w:lang w:val="en-US"/>
              </w:rPr>
            </w:pPr>
            <w:r>
              <w:rPr>
                <w:rFonts w:eastAsia="Calibri" w:cs="Calibri"/>
                <w:color w:val="000000" w:themeColor="text1"/>
                <w:sz w:val="20"/>
                <w:szCs w:val="20"/>
              </w:rPr>
              <w:t>-</w:t>
            </w:r>
          </w:p>
        </w:tc>
        <w:tc>
          <w:tcPr>
            <w:tcW w:w="605" w:type="pct"/>
            <w:tcBorders>
              <w:top w:val="nil"/>
              <w:left w:val="nil"/>
              <w:right w:val="nil"/>
            </w:tcBorders>
            <w:shd w:val="clear" w:color="auto" w:fill="auto"/>
            <w:vAlign w:val="bottom"/>
          </w:tcPr>
          <w:p w14:paraId="5E247837" w14:textId="195DE8D3" w:rsidR="00DF10E9" w:rsidRPr="00537128" w:rsidRDefault="00DF10E9" w:rsidP="00DF10E9">
            <w:pPr>
              <w:spacing w:after="0" w:line="240" w:lineRule="auto"/>
              <w:jc w:val="right"/>
              <w:rPr>
                <w:rFonts w:ascii="Calibri" w:eastAsia="Calibri" w:hAnsi="Calibri" w:cs="Arial"/>
                <w:sz w:val="20"/>
                <w:szCs w:val="20"/>
                <w:lang w:val="en-US"/>
              </w:rPr>
            </w:pPr>
            <w:r>
              <w:rPr>
                <w:rFonts w:eastAsia="Calibri" w:cs="Calibri"/>
                <w:color w:val="000000" w:themeColor="text1"/>
                <w:sz w:val="20"/>
                <w:szCs w:val="20"/>
              </w:rPr>
              <w:t>-</w:t>
            </w:r>
          </w:p>
        </w:tc>
        <w:tc>
          <w:tcPr>
            <w:tcW w:w="637" w:type="pct"/>
            <w:tcBorders>
              <w:top w:val="nil"/>
              <w:left w:val="nil"/>
              <w:right w:val="nil"/>
            </w:tcBorders>
            <w:shd w:val="clear" w:color="auto" w:fill="auto"/>
            <w:vAlign w:val="bottom"/>
          </w:tcPr>
          <w:p w14:paraId="3824C600" w14:textId="42B99871" w:rsidR="00DF10E9" w:rsidRPr="00537128" w:rsidRDefault="00DF10E9" w:rsidP="00DF10E9">
            <w:pPr>
              <w:spacing w:after="0" w:line="240" w:lineRule="auto"/>
              <w:jc w:val="right"/>
              <w:rPr>
                <w:rFonts w:ascii="Calibri" w:eastAsia="Calibri" w:hAnsi="Calibri" w:cs="Arial"/>
                <w:sz w:val="20"/>
                <w:szCs w:val="20"/>
                <w:lang w:val="en-US"/>
              </w:rPr>
            </w:pPr>
            <w:r>
              <w:rPr>
                <w:rFonts w:eastAsia="Calibri" w:cs="Calibri"/>
                <w:color w:val="000000" w:themeColor="text1"/>
                <w:sz w:val="20"/>
                <w:szCs w:val="20"/>
              </w:rPr>
              <w:t>-</w:t>
            </w:r>
          </w:p>
        </w:tc>
      </w:tr>
      <w:tr w:rsidR="00DF10E9" w:rsidRPr="00537128" w14:paraId="218EE89A" w14:textId="77777777" w:rsidTr="00A1123E">
        <w:trPr>
          <w:trHeight w:val="291"/>
        </w:trPr>
        <w:tc>
          <w:tcPr>
            <w:tcW w:w="1815" w:type="pct"/>
            <w:vAlign w:val="bottom"/>
          </w:tcPr>
          <w:p w14:paraId="49891265" w14:textId="77777777" w:rsidR="00DF10E9" w:rsidRPr="00537128" w:rsidRDefault="00DF10E9" w:rsidP="00DF10E9">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3</w:t>
            </w:r>
          </w:p>
        </w:tc>
        <w:tc>
          <w:tcPr>
            <w:tcW w:w="650" w:type="pct"/>
            <w:tcBorders>
              <w:top w:val="nil"/>
              <w:left w:val="nil"/>
              <w:right w:val="nil"/>
            </w:tcBorders>
            <w:shd w:val="clear" w:color="auto" w:fill="auto"/>
            <w:vAlign w:val="bottom"/>
          </w:tcPr>
          <w:p w14:paraId="2A9376CC" w14:textId="651A0891" w:rsidR="00DF10E9" w:rsidRPr="00537128" w:rsidRDefault="00DF10E9" w:rsidP="00DF10E9">
            <w:pPr>
              <w:spacing w:after="0" w:line="240" w:lineRule="auto"/>
              <w:jc w:val="right"/>
              <w:rPr>
                <w:rFonts w:ascii="Calibri" w:eastAsia="Calibri" w:hAnsi="Calibri" w:cs="Arial"/>
                <w:sz w:val="20"/>
                <w:szCs w:val="20"/>
                <w:lang w:val="en-US"/>
              </w:rPr>
            </w:pPr>
            <w:r>
              <w:rPr>
                <w:rFonts w:eastAsia="Calibri" w:cs="Calibri"/>
                <w:color w:val="000000" w:themeColor="text1"/>
                <w:sz w:val="20"/>
                <w:szCs w:val="20"/>
              </w:rPr>
              <w:t>-</w:t>
            </w:r>
          </w:p>
        </w:tc>
        <w:tc>
          <w:tcPr>
            <w:tcW w:w="650" w:type="pct"/>
            <w:tcBorders>
              <w:top w:val="nil"/>
              <w:left w:val="nil"/>
              <w:right w:val="nil"/>
            </w:tcBorders>
            <w:shd w:val="clear" w:color="auto" w:fill="auto"/>
            <w:vAlign w:val="bottom"/>
          </w:tcPr>
          <w:p w14:paraId="76413C3C" w14:textId="32C79F35" w:rsidR="00DF10E9" w:rsidRPr="00537128" w:rsidRDefault="00DF10E9" w:rsidP="00DF10E9">
            <w:pPr>
              <w:spacing w:after="0" w:line="240" w:lineRule="auto"/>
              <w:jc w:val="right"/>
              <w:rPr>
                <w:rFonts w:ascii="Calibri" w:eastAsia="Calibri" w:hAnsi="Calibri" w:cs="Arial"/>
                <w:sz w:val="20"/>
                <w:szCs w:val="20"/>
                <w:lang w:val="en-US"/>
              </w:rPr>
            </w:pPr>
            <w:r>
              <w:rPr>
                <w:rFonts w:eastAsia="Calibri" w:cs="Calibri"/>
                <w:color w:val="000000" w:themeColor="text1"/>
                <w:sz w:val="20"/>
                <w:szCs w:val="20"/>
              </w:rPr>
              <w:t>-</w:t>
            </w:r>
          </w:p>
        </w:tc>
        <w:tc>
          <w:tcPr>
            <w:tcW w:w="643" w:type="pct"/>
            <w:tcBorders>
              <w:top w:val="nil"/>
              <w:left w:val="nil"/>
              <w:right w:val="nil"/>
            </w:tcBorders>
            <w:shd w:val="clear" w:color="auto" w:fill="auto"/>
            <w:vAlign w:val="bottom"/>
          </w:tcPr>
          <w:p w14:paraId="3FB0B89E" w14:textId="2F3389C0" w:rsidR="00DF10E9" w:rsidRPr="00537128" w:rsidRDefault="00DF10E9" w:rsidP="00DF10E9">
            <w:pPr>
              <w:spacing w:after="0" w:line="240" w:lineRule="auto"/>
              <w:jc w:val="right"/>
              <w:rPr>
                <w:rFonts w:ascii="Calibri" w:eastAsia="Calibri" w:hAnsi="Calibri" w:cs="Arial"/>
                <w:sz w:val="20"/>
                <w:szCs w:val="20"/>
                <w:lang w:val="en-US"/>
              </w:rPr>
            </w:pPr>
            <w:r>
              <w:rPr>
                <w:rFonts w:eastAsia="Calibri" w:cs="Calibri"/>
                <w:color w:val="000000" w:themeColor="text1"/>
                <w:sz w:val="20"/>
                <w:szCs w:val="20"/>
              </w:rPr>
              <w:t>-</w:t>
            </w:r>
          </w:p>
        </w:tc>
        <w:tc>
          <w:tcPr>
            <w:tcW w:w="605" w:type="pct"/>
            <w:tcBorders>
              <w:top w:val="nil"/>
              <w:left w:val="nil"/>
              <w:right w:val="nil"/>
            </w:tcBorders>
            <w:shd w:val="clear" w:color="auto" w:fill="auto"/>
            <w:vAlign w:val="bottom"/>
          </w:tcPr>
          <w:p w14:paraId="79A751BF" w14:textId="673847E4" w:rsidR="00DF10E9" w:rsidRPr="00537128" w:rsidRDefault="00DF10E9" w:rsidP="00DF10E9">
            <w:pPr>
              <w:spacing w:after="0" w:line="240" w:lineRule="auto"/>
              <w:jc w:val="right"/>
              <w:rPr>
                <w:rFonts w:ascii="Calibri" w:eastAsia="Calibri" w:hAnsi="Calibri" w:cs="Arial"/>
                <w:sz w:val="20"/>
                <w:szCs w:val="20"/>
                <w:lang w:val="en-US"/>
              </w:rPr>
            </w:pPr>
            <w:r>
              <w:rPr>
                <w:rFonts w:eastAsia="Calibri" w:cs="Calibri"/>
                <w:color w:val="000000" w:themeColor="text1"/>
                <w:sz w:val="20"/>
                <w:szCs w:val="20"/>
              </w:rPr>
              <w:t>-</w:t>
            </w:r>
          </w:p>
        </w:tc>
        <w:tc>
          <w:tcPr>
            <w:tcW w:w="637" w:type="pct"/>
            <w:tcBorders>
              <w:top w:val="nil"/>
              <w:left w:val="nil"/>
              <w:right w:val="nil"/>
            </w:tcBorders>
            <w:shd w:val="clear" w:color="auto" w:fill="auto"/>
            <w:vAlign w:val="bottom"/>
          </w:tcPr>
          <w:p w14:paraId="22F8101D" w14:textId="752AD80E" w:rsidR="00DF10E9" w:rsidRPr="00537128" w:rsidRDefault="00DF10E9" w:rsidP="00DF10E9">
            <w:pPr>
              <w:spacing w:after="0" w:line="240" w:lineRule="auto"/>
              <w:jc w:val="right"/>
              <w:rPr>
                <w:rFonts w:ascii="Calibri" w:eastAsia="Calibri" w:hAnsi="Calibri" w:cs="Arial"/>
                <w:sz w:val="20"/>
                <w:szCs w:val="20"/>
                <w:lang w:val="en-US"/>
              </w:rPr>
            </w:pPr>
            <w:r>
              <w:rPr>
                <w:rFonts w:eastAsia="Calibri" w:cs="Calibri"/>
                <w:color w:val="000000" w:themeColor="text1"/>
                <w:sz w:val="20"/>
                <w:szCs w:val="20"/>
              </w:rPr>
              <w:t>-</w:t>
            </w:r>
          </w:p>
        </w:tc>
      </w:tr>
      <w:tr w:rsidR="00DF10E9" w:rsidRPr="00537128" w14:paraId="63DACFFB" w14:textId="77777777" w:rsidTr="00A1123E">
        <w:trPr>
          <w:trHeight w:val="291"/>
        </w:trPr>
        <w:tc>
          <w:tcPr>
            <w:tcW w:w="1815" w:type="pct"/>
            <w:vAlign w:val="bottom"/>
          </w:tcPr>
          <w:p w14:paraId="027E1B0A" w14:textId="7652BA04" w:rsidR="00DF10E9" w:rsidRPr="00537128" w:rsidRDefault="00DF10E9" w:rsidP="00DF10E9">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 xml:space="preserve">Net </w:t>
            </w:r>
            <w:r>
              <w:rPr>
                <w:rFonts w:ascii="Calibri" w:eastAsia="Calibri" w:hAnsi="Calibri" w:cs="Times New Roman"/>
                <w:sz w:val="20"/>
                <w:szCs w:val="20"/>
                <w:lang w:val="en-US"/>
              </w:rPr>
              <w:t>(release)</w:t>
            </w:r>
            <w:r w:rsidRPr="00537128">
              <w:rPr>
                <w:rFonts w:ascii="Calibri" w:eastAsia="Calibri" w:hAnsi="Calibri" w:cs="Times New Roman"/>
                <w:sz w:val="20"/>
                <w:szCs w:val="20"/>
                <w:lang w:val="en-US"/>
              </w:rPr>
              <w:t xml:space="preserve"> of loss allowance</w:t>
            </w:r>
          </w:p>
        </w:tc>
        <w:tc>
          <w:tcPr>
            <w:tcW w:w="650" w:type="pct"/>
            <w:tcBorders>
              <w:top w:val="nil"/>
              <w:left w:val="nil"/>
              <w:right w:val="nil"/>
            </w:tcBorders>
            <w:shd w:val="clear" w:color="auto" w:fill="auto"/>
            <w:vAlign w:val="bottom"/>
          </w:tcPr>
          <w:p w14:paraId="3ADFFFDD" w14:textId="07AF9650" w:rsidR="00DF10E9" w:rsidRPr="00537128" w:rsidRDefault="00DF10E9" w:rsidP="00DF10E9">
            <w:pPr>
              <w:tabs>
                <w:tab w:val="right" w:pos="1202"/>
              </w:tabs>
              <w:spacing w:after="0" w:line="301" w:lineRule="exact"/>
              <w:jc w:val="right"/>
              <w:outlineLvl w:val="0"/>
              <w:rPr>
                <w:rFonts w:ascii="Calibri" w:eastAsia="Calibri" w:hAnsi="Calibri" w:cs="Calibri"/>
                <w:color w:val="000000"/>
                <w:sz w:val="20"/>
                <w:szCs w:val="20"/>
                <w:lang w:val="en-US"/>
              </w:rPr>
            </w:pPr>
            <w:r w:rsidRPr="007A49AD">
              <w:rPr>
                <w:sz w:val="20"/>
                <w:szCs w:val="20"/>
              </w:rPr>
              <w:t xml:space="preserve"> (549)</w:t>
            </w:r>
          </w:p>
        </w:tc>
        <w:tc>
          <w:tcPr>
            <w:tcW w:w="650" w:type="pct"/>
            <w:tcBorders>
              <w:top w:val="nil"/>
              <w:left w:val="nil"/>
              <w:right w:val="nil"/>
            </w:tcBorders>
            <w:shd w:val="clear" w:color="auto" w:fill="auto"/>
            <w:vAlign w:val="bottom"/>
          </w:tcPr>
          <w:p w14:paraId="3E6781BA" w14:textId="76262D09" w:rsidR="00DF10E9" w:rsidRPr="00537128" w:rsidRDefault="00DF10E9" w:rsidP="00DF10E9">
            <w:pPr>
              <w:tabs>
                <w:tab w:val="right" w:pos="1202"/>
              </w:tabs>
              <w:spacing w:after="0" w:line="301" w:lineRule="exact"/>
              <w:jc w:val="right"/>
              <w:outlineLvl w:val="0"/>
              <w:rPr>
                <w:rFonts w:ascii="Calibri" w:eastAsia="Calibri" w:hAnsi="Calibri" w:cs="Calibri"/>
                <w:color w:val="000000"/>
                <w:sz w:val="20"/>
                <w:szCs w:val="20"/>
                <w:lang w:val="en-US"/>
              </w:rPr>
            </w:pPr>
            <w:r w:rsidRPr="007A49AD">
              <w:rPr>
                <w:sz w:val="20"/>
                <w:szCs w:val="20"/>
              </w:rPr>
              <w:t xml:space="preserve"> - </w:t>
            </w:r>
          </w:p>
        </w:tc>
        <w:tc>
          <w:tcPr>
            <w:tcW w:w="643" w:type="pct"/>
            <w:tcBorders>
              <w:top w:val="nil"/>
              <w:left w:val="nil"/>
              <w:right w:val="nil"/>
            </w:tcBorders>
            <w:shd w:val="clear" w:color="auto" w:fill="auto"/>
            <w:vAlign w:val="bottom"/>
          </w:tcPr>
          <w:p w14:paraId="23E88F25" w14:textId="319AB864" w:rsidR="00DF10E9" w:rsidRPr="00537128" w:rsidRDefault="00DF10E9" w:rsidP="00DF10E9">
            <w:pPr>
              <w:tabs>
                <w:tab w:val="right" w:pos="1202"/>
              </w:tabs>
              <w:spacing w:after="0" w:line="301" w:lineRule="exact"/>
              <w:jc w:val="right"/>
              <w:outlineLvl w:val="0"/>
              <w:rPr>
                <w:rFonts w:ascii="Calibri" w:eastAsia="Calibri" w:hAnsi="Calibri" w:cs="Calibri"/>
                <w:color w:val="000000"/>
                <w:sz w:val="20"/>
                <w:szCs w:val="20"/>
                <w:lang w:val="en-US"/>
              </w:rPr>
            </w:pPr>
            <w:r w:rsidRPr="007A49AD">
              <w:rPr>
                <w:sz w:val="20"/>
                <w:szCs w:val="20"/>
              </w:rPr>
              <w:t xml:space="preserve"> - </w:t>
            </w:r>
          </w:p>
        </w:tc>
        <w:tc>
          <w:tcPr>
            <w:tcW w:w="605" w:type="pct"/>
            <w:tcBorders>
              <w:top w:val="nil"/>
              <w:left w:val="nil"/>
              <w:right w:val="nil"/>
            </w:tcBorders>
            <w:shd w:val="clear" w:color="auto" w:fill="auto"/>
            <w:vAlign w:val="bottom"/>
          </w:tcPr>
          <w:p w14:paraId="2BC8385D" w14:textId="17A0B391" w:rsidR="00DF10E9" w:rsidRPr="00537128" w:rsidRDefault="00DF10E9" w:rsidP="00DF10E9">
            <w:pPr>
              <w:tabs>
                <w:tab w:val="right" w:pos="1202"/>
              </w:tabs>
              <w:spacing w:after="0" w:line="301" w:lineRule="exact"/>
              <w:jc w:val="right"/>
              <w:outlineLvl w:val="0"/>
              <w:rPr>
                <w:rFonts w:ascii="Calibri" w:eastAsia="Calibri" w:hAnsi="Calibri" w:cs="Calibri"/>
                <w:color w:val="000000"/>
                <w:sz w:val="20"/>
                <w:szCs w:val="20"/>
                <w:lang w:val="en-US"/>
              </w:rPr>
            </w:pPr>
            <w:r w:rsidRPr="007A49AD">
              <w:rPr>
                <w:sz w:val="20"/>
                <w:szCs w:val="20"/>
              </w:rPr>
              <w:t xml:space="preserve"> - </w:t>
            </w:r>
          </w:p>
        </w:tc>
        <w:tc>
          <w:tcPr>
            <w:tcW w:w="637" w:type="pct"/>
            <w:tcBorders>
              <w:top w:val="nil"/>
              <w:left w:val="nil"/>
              <w:right w:val="nil"/>
            </w:tcBorders>
            <w:shd w:val="clear" w:color="auto" w:fill="auto"/>
            <w:vAlign w:val="bottom"/>
          </w:tcPr>
          <w:p w14:paraId="3B270AEC" w14:textId="0B156FFC" w:rsidR="00DF10E9" w:rsidRPr="00537128" w:rsidRDefault="00DF10E9" w:rsidP="00DF10E9">
            <w:pPr>
              <w:tabs>
                <w:tab w:val="right" w:pos="1202"/>
              </w:tabs>
              <w:spacing w:after="0" w:line="301" w:lineRule="exact"/>
              <w:jc w:val="right"/>
              <w:outlineLvl w:val="0"/>
              <w:rPr>
                <w:rFonts w:ascii="Calibri" w:eastAsia="Calibri" w:hAnsi="Calibri" w:cs="Calibri"/>
                <w:color w:val="000000"/>
                <w:sz w:val="20"/>
                <w:szCs w:val="20"/>
                <w:lang w:val="en-US"/>
              </w:rPr>
            </w:pPr>
            <w:r w:rsidRPr="007A49AD">
              <w:rPr>
                <w:sz w:val="20"/>
                <w:szCs w:val="20"/>
              </w:rPr>
              <w:t xml:space="preserve"> (549)</w:t>
            </w:r>
          </w:p>
        </w:tc>
      </w:tr>
      <w:tr w:rsidR="00DF10E9" w:rsidRPr="00537128" w14:paraId="60B1ED4E" w14:textId="77777777" w:rsidTr="00C62052">
        <w:trPr>
          <w:trHeight w:val="291"/>
        </w:trPr>
        <w:tc>
          <w:tcPr>
            <w:tcW w:w="1815" w:type="pct"/>
            <w:vAlign w:val="bottom"/>
          </w:tcPr>
          <w:p w14:paraId="5C69BEA0" w14:textId="38EA854B" w:rsidR="00DF10E9" w:rsidRPr="00537128" w:rsidRDefault="00DF10E9" w:rsidP="00DF10E9">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 xml:space="preserve">Net foreign exchange </w:t>
            </w:r>
            <w:r>
              <w:rPr>
                <w:rFonts w:ascii="Calibri" w:eastAsia="Calibri" w:hAnsi="Calibri" w:cs="Times New Roman"/>
                <w:sz w:val="20"/>
                <w:szCs w:val="20"/>
                <w:lang w:val="en-US"/>
              </w:rPr>
              <w:t>gain/</w:t>
            </w:r>
            <w:r w:rsidRPr="00537128">
              <w:rPr>
                <w:rFonts w:ascii="Calibri" w:eastAsia="Calibri" w:hAnsi="Calibri" w:cs="Times New Roman"/>
                <w:sz w:val="20"/>
                <w:szCs w:val="20"/>
                <w:lang w:val="en-US"/>
              </w:rPr>
              <w:t>loss on loss allowances</w:t>
            </w:r>
          </w:p>
        </w:tc>
        <w:tc>
          <w:tcPr>
            <w:tcW w:w="650" w:type="pct"/>
            <w:tcBorders>
              <w:top w:val="nil"/>
              <w:left w:val="nil"/>
              <w:right w:val="nil"/>
            </w:tcBorders>
            <w:shd w:val="clear" w:color="auto" w:fill="auto"/>
            <w:vAlign w:val="bottom"/>
          </w:tcPr>
          <w:p w14:paraId="5FC2F649" w14:textId="5075D3C3" w:rsidR="00DF10E9" w:rsidRPr="00537128" w:rsidRDefault="00DF10E9" w:rsidP="00DF10E9">
            <w:pPr>
              <w:tabs>
                <w:tab w:val="right" w:pos="1202"/>
              </w:tabs>
              <w:spacing w:after="0" w:line="301" w:lineRule="exact"/>
              <w:jc w:val="right"/>
              <w:outlineLvl w:val="0"/>
              <w:rPr>
                <w:rFonts w:ascii="Calibri" w:eastAsia="Calibri" w:hAnsi="Calibri" w:cs="Calibri"/>
                <w:color w:val="000000"/>
                <w:sz w:val="20"/>
                <w:szCs w:val="20"/>
                <w:lang w:val="en-US"/>
              </w:rPr>
            </w:pPr>
            <w:r>
              <w:rPr>
                <w:rFonts w:eastAsia="Calibri" w:cs="Calibri"/>
                <w:color w:val="000000" w:themeColor="text1"/>
                <w:sz w:val="20"/>
                <w:szCs w:val="20"/>
              </w:rPr>
              <w:t>-</w:t>
            </w:r>
          </w:p>
        </w:tc>
        <w:tc>
          <w:tcPr>
            <w:tcW w:w="650" w:type="pct"/>
            <w:tcBorders>
              <w:top w:val="nil"/>
              <w:left w:val="nil"/>
              <w:right w:val="nil"/>
            </w:tcBorders>
            <w:shd w:val="clear" w:color="auto" w:fill="auto"/>
            <w:vAlign w:val="bottom"/>
          </w:tcPr>
          <w:p w14:paraId="556F3984" w14:textId="5349C90A" w:rsidR="00DF10E9" w:rsidRPr="00537128" w:rsidRDefault="00DF10E9" w:rsidP="00DF10E9">
            <w:pPr>
              <w:tabs>
                <w:tab w:val="right" w:pos="1202"/>
              </w:tabs>
              <w:spacing w:after="0" w:line="301" w:lineRule="exact"/>
              <w:jc w:val="right"/>
              <w:outlineLvl w:val="0"/>
              <w:rPr>
                <w:rFonts w:ascii="Calibri" w:eastAsia="Calibri" w:hAnsi="Calibri" w:cs="Calibri"/>
                <w:color w:val="000000"/>
                <w:sz w:val="20"/>
                <w:szCs w:val="20"/>
                <w:lang w:val="en-US"/>
              </w:rPr>
            </w:pPr>
            <w:r>
              <w:rPr>
                <w:rFonts w:eastAsia="Calibri" w:cs="Calibri"/>
                <w:color w:val="000000" w:themeColor="text1"/>
                <w:sz w:val="20"/>
                <w:szCs w:val="20"/>
              </w:rPr>
              <w:t>-</w:t>
            </w:r>
          </w:p>
        </w:tc>
        <w:tc>
          <w:tcPr>
            <w:tcW w:w="643" w:type="pct"/>
            <w:tcBorders>
              <w:top w:val="nil"/>
              <w:left w:val="nil"/>
              <w:right w:val="nil"/>
            </w:tcBorders>
            <w:shd w:val="clear" w:color="auto" w:fill="auto"/>
            <w:vAlign w:val="bottom"/>
          </w:tcPr>
          <w:p w14:paraId="26FE657B" w14:textId="50B25F5F" w:rsidR="00DF10E9" w:rsidRPr="00537128" w:rsidRDefault="00DF10E9" w:rsidP="00DF10E9">
            <w:pPr>
              <w:tabs>
                <w:tab w:val="right" w:pos="1202"/>
              </w:tabs>
              <w:spacing w:after="0" w:line="301" w:lineRule="exact"/>
              <w:jc w:val="right"/>
              <w:outlineLvl w:val="0"/>
              <w:rPr>
                <w:rFonts w:ascii="Calibri" w:eastAsia="Calibri" w:hAnsi="Calibri" w:cs="Calibri"/>
                <w:color w:val="000000"/>
                <w:sz w:val="20"/>
                <w:szCs w:val="20"/>
                <w:lang w:val="en-US"/>
              </w:rPr>
            </w:pPr>
            <w:r>
              <w:rPr>
                <w:rFonts w:eastAsia="Calibri" w:cs="Calibri"/>
                <w:color w:val="000000" w:themeColor="text1"/>
                <w:sz w:val="20"/>
                <w:szCs w:val="20"/>
              </w:rPr>
              <w:t>-</w:t>
            </w:r>
          </w:p>
        </w:tc>
        <w:tc>
          <w:tcPr>
            <w:tcW w:w="605" w:type="pct"/>
            <w:tcBorders>
              <w:top w:val="nil"/>
              <w:left w:val="nil"/>
              <w:right w:val="nil"/>
            </w:tcBorders>
            <w:shd w:val="clear" w:color="auto" w:fill="auto"/>
            <w:vAlign w:val="bottom"/>
          </w:tcPr>
          <w:p w14:paraId="0887E213" w14:textId="66019813" w:rsidR="00DF10E9" w:rsidRPr="00537128" w:rsidRDefault="00DF10E9" w:rsidP="00DF10E9">
            <w:pPr>
              <w:tabs>
                <w:tab w:val="right" w:pos="1202"/>
              </w:tabs>
              <w:spacing w:after="0" w:line="301" w:lineRule="exact"/>
              <w:jc w:val="right"/>
              <w:outlineLvl w:val="0"/>
              <w:rPr>
                <w:rFonts w:ascii="Calibri" w:eastAsia="Calibri" w:hAnsi="Calibri" w:cs="Calibri"/>
                <w:color w:val="000000"/>
                <w:sz w:val="20"/>
                <w:szCs w:val="20"/>
                <w:lang w:val="en-US"/>
              </w:rPr>
            </w:pPr>
            <w:r>
              <w:rPr>
                <w:rFonts w:eastAsia="Calibri" w:cs="Calibri"/>
                <w:color w:val="000000" w:themeColor="text1"/>
                <w:sz w:val="20"/>
                <w:szCs w:val="20"/>
              </w:rPr>
              <w:t>-</w:t>
            </w:r>
          </w:p>
        </w:tc>
        <w:tc>
          <w:tcPr>
            <w:tcW w:w="637" w:type="pct"/>
            <w:tcBorders>
              <w:top w:val="nil"/>
              <w:left w:val="nil"/>
              <w:right w:val="nil"/>
            </w:tcBorders>
            <w:shd w:val="clear" w:color="auto" w:fill="auto"/>
            <w:vAlign w:val="bottom"/>
          </w:tcPr>
          <w:p w14:paraId="5FF8A3D4" w14:textId="66340590" w:rsidR="00DF10E9" w:rsidRPr="00537128" w:rsidRDefault="00DF10E9" w:rsidP="00DF10E9">
            <w:pPr>
              <w:tabs>
                <w:tab w:val="right" w:pos="1202"/>
              </w:tabs>
              <w:spacing w:after="0" w:line="301" w:lineRule="exact"/>
              <w:jc w:val="right"/>
              <w:outlineLvl w:val="0"/>
              <w:rPr>
                <w:rFonts w:ascii="Calibri" w:eastAsia="Calibri" w:hAnsi="Calibri" w:cs="Calibri"/>
                <w:color w:val="000000"/>
                <w:sz w:val="20"/>
                <w:szCs w:val="20"/>
                <w:lang w:val="en-US"/>
              </w:rPr>
            </w:pPr>
            <w:r>
              <w:rPr>
                <w:rFonts w:eastAsia="Calibri" w:cs="Calibri"/>
                <w:color w:val="000000" w:themeColor="text1"/>
                <w:sz w:val="20"/>
                <w:szCs w:val="20"/>
              </w:rPr>
              <w:t>-</w:t>
            </w:r>
          </w:p>
        </w:tc>
      </w:tr>
      <w:tr w:rsidR="00DF10E9" w:rsidRPr="00537128" w14:paraId="702FBA73" w14:textId="77777777" w:rsidTr="00C62052">
        <w:trPr>
          <w:trHeight w:val="33"/>
        </w:trPr>
        <w:tc>
          <w:tcPr>
            <w:tcW w:w="1815" w:type="pct"/>
            <w:vAlign w:val="bottom"/>
          </w:tcPr>
          <w:p w14:paraId="24E9BBC1" w14:textId="5EC9D18B" w:rsidR="00DF10E9" w:rsidRPr="00537128" w:rsidRDefault="00DF10E9" w:rsidP="00DF10E9">
            <w:pPr>
              <w:tabs>
                <w:tab w:val="right" w:pos="1202"/>
              </w:tabs>
              <w:spacing w:after="0" w:line="301" w:lineRule="exact"/>
              <w:outlineLvl w:val="0"/>
              <w:rPr>
                <w:rFonts w:ascii="Calibri" w:eastAsia="Calibri" w:hAnsi="Calibri" w:cs="Arial"/>
                <w:b/>
                <w:bCs/>
                <w:sz w:val="20"/>
                <w:szCs w:val="20"/>
                <w:lang w:val="en-US"/>
              </w:rPr>
            </w:pPr>
            <w:r w:rsidRPr="00537128">
              <w:rPr>
                <w:rFonts w:ascii="Calibri" w:eastAsia="Calibri" w:hAnsi="Calibri" w:cs="Arial"/>
                <w:b/>
                <w:bCs/>
                <w:sz w:val="20"/>
                <w:szCs w:val="20"/>
                <w:lang w:val="en-US"/>
              </w:rPr>
              <w:t xml:space="preserve">Balance </w:t>
            </w:r>
            <w:proofErr w:type="gramStart"/>
            <w:r w:rsidRPr="00537128">
              <w:rPr>
                <w:rFonts w:ascii="Calibri" w:eastAsia="Calibri" w:hAnsi="Calibri" w:cs="Arial"/>
                <w:b/>
                <w:bCs/>
                <w:sz w:val="20"/>
                <w:szCs w:val="20"/>
                <w:lang w:val="en-US"/>
              </w:rPr>
              <w:t>at</w:t>
            </w:r>
            <w:proofErr w:type="gramEnd"/>
            <w:r w:rsidRPr="00537128">
              <w:rPr>
                <w:rFonts w:ascii="Calibri" w:eastAsia="Calibri" w:hAnsi="Calibri" w:cs="Arial"/>
                <w:b/>
                <w:bCs/>
                <w:sz w:val="20"/>
                <w:szCs w:val="20"/>
                <w:lang w:val="en-US"/>
              </w:rPr>
              <w:t xml:space="preserve"> 31 March 202</w:t>
            </w:r>
            <w:r>
              <w:rPr>
                <w:rFonts w:ascii="Calibri" w:eastAsia="Calibri" w:hAnsi="Calibri" w:cs="Arial"/>
                <w:b/>
                <w:bCs/>
                <w:sz w:val="20"/>
                <w:szCs w:val="20"/>
                <w:lang w:val="en-US"/>
              </w:rPr>
              <w:t>2</w:t>
            </w:r>
          </w:p>
        </w:tc>
        <w:tc>
          <w:tcPr>
            <w:tcW w:w="650" w:type="pct"/>
            <w:tcBorders>
              <w:top w:val="single" w:sz="4" w:space="0" w:color="auto"/>
              <w:left w:val="nil"/>
              <w:bottom w:val="single" w:sz="12" w:space="0" w:color="auto"/>
              <w:right w:val="nil"/>
            </w:tcBorders>
            <w:shd w:val="clear" w:color="auto" w:fill="auto"/>
          </w:tcPr>
          <w:p w14:paraId="35D49C9A" w14:textId="1FDB9B69" w:rsidR="00DF10E9" w:rsidRPr="00537128" w:rsidRDefault="00DF10E9" w:rsidP="00DF10E9">
            <w:pPr>
              <w:tabs>
                <w:tab w:val="right" w:pos="1202"/>
              </w:tabs>
              <w:spacing w:after="0" w:line="301" w:lineRule="exact"/>
              <w:jc w:val="right"/>
              <w:outlineLvl w:val="0"/>
              <w:rPr>
                <w:rFonts w:ascii="Calibri" w:eastAsia="Calibri" w:hAnsi="Calibri" w:cs="Arial"/>
                <w:b/>
                <w:bCs/>
                <w:sz w:val="20"/>
                <w:szCs w:val="20"/>
                <w:lang w:val="en-US"/>
              </w:rPr>
            </w:pPr>
            <w:r w:rsidRPr="007A49AD">
              <w:rPr>
                <w:b/>
                <w:bCs/>
                <w:sz w:val="20"/>
                <w:szCs w:val="20"/>
              </w:rPr>
              <w:t xml:space="preserve"> 1</w:t>
            </w:r>
            <w:r>
              <w:rPr>
                <w:b/>
                <w:bCs/>
                <w:sz w:val="20"/>
                <w:szCs w:val="20"/>
              </w:rPr>
              <w:t>,</w:t>
            </w:r>
            <w:r w:rsidRPr="007A49AD">
              <w:rPr>
                <w:b/>
                <w:bCs/>
                <w:sz w:val="20"/>
                <w:szCs w:val="20"/>
              </w:rPr>
              <w:t xml:space="preserve">255 </w:t>
            </w:r>
          </w:p>
        </w:tc>
        <w:tc>
          <w:tcPr>
            <w:tcW w:w="650" w:type="pct"/>
            <w:tcBorders>
              <w:top w:val="single" w:sz="4" w:space="0" w:color="auto"/>
              <w:left w:val="nil"/>
              <w:bottom w:val="single" w:sz="12" w:space="0" w:color="auto"/>
              <w:right w:val="nil"/>
            </w:tcBorders>
            <w:shd w:val="clear" w:color="auto" w:fill="auto"/>
          </w:tcPr>
          <w:p w14:paraId="38889058" w14:textId="792036E8" w:rsidR="00DF10E9" w:rsidRPr="00537128" w:rsidRDefault="00DF10E9" w:rsidP="00DF10E9">
            <w:pPr>
              <w:tabs>
                <w:tab w:val="right" w:pos="1202"/>
              </w:tabs>
              <w:spacing w:after="0" w:line="301" w:lineRule="exact"/>
              <w:jc w:val="right"/>
              <w:outlineLvl w:val="0"/>
              <w:rPr>
                <w:rFonts w:ascii="Calibri" w:eastAsia="Calibri" w:hAnsi="Calibri" w:cs="Arial"/>
                <w:b/>
                <w:bCs/>
                <w:sz w:val="20"/>
                <w:szCs w:val="20"/>
                <w:lang w:val="en-US"/>
              </w:rPr>
            </w:pPr>
            <w:r w:rsidRPr="007A49AD">
              <w:rPr>
                <w:b/>
                <w:bCs/>
                <w:sz w:val="20"/>
                <w:szCs w:val="20"/>
              </w:rPr>
              <w:t xml:space="preserve"> - </w:t>
            </w:r>
          </w:p>
        </w:tc>
        <w:tc>
          <w:tcPr>
            <w:tcW w:w="643" w:type="pct"/>
            <w:tcBorders>
              <w:top w:val="single" w:sz="4" w:space="0" w:color="auto"/>
              <w:left w:val="nil"/>
              <w:bottom w:val="single" w:sz="12" w:space="0" w:color="auto"/>
              <w:right w:val="nil"/>
            </w:tcBorders>
            <w:shd w:val="clear" w:color="auto" w:fill="auto"/>
          </w:tcPr>
          <w:p w14:paraId="6A1655FC" w14:textId="63E769F9" w:rsidR="00DF10E9" w:rsidRPr="00537128" w:rsidRDefault="00DF10E9" w:rsidP="00DF10E9">
            <w:pPr>
              <w:tabs>
                <w:tab w:val="right" w:pos="1202"/>
              </w:tabs>
              <w:spacing w:after="0" w:line="301" w:lineRule="exact"/>
              <w:jc w:val="right"/>
              <w:outlineLvl w:val="0"/>
              <w:rPr>
                <w:rFonts w:ascii="Calibri" w:eastAsia="Calibri" w:hAnsi="Calibri" w:cs="Arial"/>
                <w:b/>
                <w:bCs/>
                <w:sz w:val="20"/>
                <w:szCs w:val="20"/>
                <w:lang w:val="en-US"/>
              </w:rPr>
            </w:pPr>
            <w:r w:rsidRPr="007A49AD">
              <w:rPr>
                <w:b/>
                <w:bCs/>
                <w:sz w:val="20"/>
                <w:szCs w:val="20"/>
              </w:rPr>
              <w:t xml:space="preserve"> - </w:t>
            </w:r>
          </w:p>
        </w:tc>
        <w:tc>
          <w:tcPr>
            <w:tcW w:w="605" w:type="pct"/>
            <w:tcBorders>
              <w:top w:val="single" w:sz="4" w:space="0" w:color="auto"/>
              <w:left w:val="nil"/>
              <w:bottom w:val="single" w:sz="12" w:space="0" w:color="auto"/>
              <w:right w:val="nil"/>
            </w:tcBorders>
            <w:shd w:val="clear" w:color="auto" w:fill="auto"/>
          </w:tcPr>
          <w:p w14:paraId="75ED9277" w14:textId="3FD973DD" w:rsidR="00DF10E9" w:rsidRPr="00537128" w:rsidRDefault="00DF10E9" w:rsidP="00DF10E9">
            <w:pPr>
              <w:tabs>
                <w:tab w:val="right" w:pos="1202"/>
              </w:tabs>
              <w:spacing w:after="0" w:line="301" w:lineRule="exact"/>
              <w:jc w:val="right"/>
              <w:outlineLvl w:val="0"/>
              <w:rPr>
                <w:rFonts w:ascii="Calibri" w:eastAsia="Calibri" w:hAnsi="Calibri" w:cs="Arial"/>
                <w:b/>
                <w:bCs/>
                <w:sz w:val="20"/>
                <w:szCs w:val="20"/>
                <w:lang w:val="en-US"/>
              </w:rPr>
            </w:pPr>
            <w:r w:rsidRPr="007A49AD">
              <w:rPr>
                <w:b/>
                <w:bCs/>
                <w:sz w:val="20"/>
                <w:szCs w:val="20"/>
              </w:rPr>
              <w:t xml:space="preserve"> - </w:t>
            </w:r>
          </w:p>
        </w:tc>
        <w:tc>
          <w:tcPr>
            <w:tcW w:w="637" w:type="pct"/>
            <w:tcBorders>
              <w:top w:val="single" w:sz="4" w:space="0" w:color="auto"/>
              <w:left w:val="nil"/>
              <w:bottom w:val="single" w:sz="12" w:space="0" w:color="auto"/>
              <w:right w:val="nil"/>
            </w:tcBorders>
            <w:shd w:val="clear" w:color="auto" w:fill="auto"/>
          </w:tcPr>
          <w:p w14:paraId="3618CAFA" w14:textId="766A0FF5" w:rsidR="00DF10E9" w:rsidRPr="00537128" w:rsidRDefault="00DF10E9" w:rsidP="00DF10E9">
            <w:pPr>
              <w:tabs>
                <w:tab w:val="right" w:pos="1202"/>
              </w:tabs>
              <w:spacing w:after="0" w:line="301" w:lineRule="exact"/>
              <w:jc w:val="right"/>
              <w:outlineLvl w:val="0"/>
              <w:rPr>
                <w:rFonts w:ascii="Calibri" w:eastAsia="Calibri" w:hAnsi="Calibri" w:cs="Arial"/>
                <w:b/>
                <w:bCs/>
                <w:sz w:val="20"/>
                <w:szCs w:val="20"/>
                <w:lang w:val="en-US"/>
              </w:rPr>
            </w:pPr>
            <w:r w:rsidRPr="007A49AD">
              <w:rPr>
                <w:b/>
                <w:bCs/>
                <w:sz w:val="20"/>
                <w:szCs w:val="20"/>
              </w:rPr>
              <w:t xml:space="preserve"> 1</w:t>
            </w:r>
            <w:r>
              <w:rPr>
                <w:b/>
                <w:bCs/>
                <w:sz w:val="20"/>
                <w:szCs w:val="20"/>
              </w:rPr>
              <w:t>,</w:t>
            </w:r>
            <w:r w:rsidRPr="007A49AD">
              <w:rPr>
                <w:b/>
                <w:bCs/>
                <w:sz w:val="20"/>
                <w:szCs w:val="20"/>
              </w:rPr>
              <w:t xml:space="preserve">255 </w:t>
            </w:r>
          </w:p>
        </w:tc>
      </w:tr>
    </w:tbl>
    <w:p w14:paraId="55FB0CD9" w14:textId="795628B2" w:rsidR="00716C7A" w:rsidRDefault="00716C7A" w:rsidP="00712478">
      <w:pPr>
        <w:spacing w:after="0" w:line="240" w:lineRule="auto"/>
        <w:jc w:val="both"/>
        <w:rPr>
          <w:rFonts w:ascii="Calibri" w:eastAsia="Times New Roman" w:hAnsi="Calibri" w:cs="Arial"/>
          <w:bCs/>
          <w:color w:val="000000" w:themeColor="text1"/>
          <w:lang w:val="en-US"/>
        </w:rPr>
      </w:pPr>
    </w:p>
    <w:p w14:paraId="79642D4C" w14:textId="77777777" w:rsidR="006E52DF" w:rsidRPr="00537128" w:rsidRDefault="006E52DF" w:rsidP="00712478">
      <w:pPr>
        <w:spacing w:after="0" w:line="240" w:lineRule="auto"/>
        <w:jc w:val="both"/>
        <w:rPr>
          <w:rFonts w:ascii="Calibri" w:eastAsia="Times New Roman" w:hAnsi="Calibri" w:cs="Arial"/>
          <w:bCs/>
          <w:color w:val="000000" w:themeColor="text1"/>
          <w:lang w:val="en-US"/>
        </w:rPr>
      </w:pPr>
    </w:p>
    <w:p w14:paraId="51924FDF" w14:textId="41649300" w:rsidR="004A287E" w:rsidRPr="00537128" w:rsidRDefault="004A287E" w:rsidP="00712478">
      <w:pPr>
        <w:spacing w:after="0" w:line="240" w:lineRule="auto"/>
        <w:jc w:val="both"/>
        <w:rPr>
          <w:rFonts w:ascii="Calibri" w:eastAsia="Times New Roman" w:hAnsi="Calibri" w:cs="Arial"/>
          <w:bCs/>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5"/>
        <w:gridCol w:w="1216"/>
        <w:gridCol w:w="1216"/>
        <w:gridCol w:w="1203"/>
        <w:gridCol w:w="1132"/>
        <w:gridCol w:w="1192"/>
      </w:tblGrid>
      <w:tr w:rsidR="006E52DF" w:rsidRPr="006E52DF" w14:paraId="49983DFC" w14:textId="77777777" w:rsidTr="00E44437">
        <w:trPr>
          <w:trHeight w:val="277"/>
        </w:trPr>
        <w:tc>
          <w:tcPr>
            <w:tcW w:w="1815" w:type="pct"/>
          </w:tcPr>
          <w:p w14:paraId="7C550A2F" w14:textId="77777777" w:rsidR="006E52DF" w:rsidRPr="006E52DF" w:rsidRDefault="006E52DF" w:rsidP="006E52DF">
            <w:pPr>
              <w:spacing w:after="0" w:line="240" w:lineRule="auto"/>
              <w:rPr>
                <w:rFonts w:ascii="Calibri" w:eastAsia="Calibri" w:hAnsi="Calibri" w:cs="Arial"/>
                <w:b/>
                <w:bCs/>
                <w:sz w:val="20"/>
                <w:szCs w:val="20"/>
                <w:lang w:val="en-GB"/>
              </w:rPr>
            </w:pPr>
            <w:r w:rsidRPr="006E52DF">
              <w:rPr>
                <w:rFonts w:ascii="Calibri" w:eastAsia="Calibri" w:hAnsi="Calibri" w:cs="Arial"/>
                <w:b/>
                <w:bCs/>
                <w:sz w:val="20"/>
                <w:szCs w:val="20"/>
                <w:lang w:val="en-GB"/>
              </w:rPr>
              <w:br w:type="page"/>
              <w:t>Bank</w:t>
            </w:r>
          </w:p>
        </w:tc>
        <w:tc>
          <w:tcPr>
            <w:tcW w:w="3185" w:type="pct"/>
            <w:gridSpan w:val="5"/>
            <w:vAlign w:val="bottom"/>
          </w:tcPr>
          <w:p w14:paraId="6574B6DE" w14:textId="77777777" w:rsidR="006E52DF" w:rsidRPr="006E52DF" w:rsidRDefault="006E52DF" w:rsidP="006E52DF">
            <w:pPr>
              <w:spacing w:after="0" w:line="240" w:lineRule="auto"/>
              <w:jc w:val="center"/>
              <w:rPr>
                <w:rFonts w:ascii="Calibri" w:eastAsia="Calibri" w:hAnsi="Calibri" w:cs="Arial"/>
                <w:b/>
                <w:sz w:val="20"/>
                <w:szCs w:val="20"/>
                <w:lang w:val="en-GB"/>
              </w:rPr>
            </w:pPr>
          </w:p>
        </w:tc>
      </w:tr>
      <w:tr w:rsidR="006E52DF" w:rsidRPr="006E52DF" w14:paraId="05721BF5" w14:textId="77777777" w:rsidTr="00E44437">
        <w:trPr>
          <w:trHeight w:val="46"/>
        </w:trPr>
        <w:tc>
          <w:tcPr>
            <w:tcW w:w="1815" w:type="pct"/>
          </w:tcPr>
          <w:p w14:paraId="708ED67E" w14:textId="77777777" w:rsidR="006E52DF" w:rsidRPr="006E52DF" w:rsidRDefault="006E52DF" w:rsidP="006E52DF">
            <w:pPr>
              <w:spacing w:after="0" w:line="240" w:lineRule="auto"/>
              <w:rPr>
                <w:rFonts w:ascii="Calibri" w:eastAsia="Calibri" w:hAnsi="Calibri" w:cs="Arial"/>
                <w:b/>
                <w:bCs/>
                <w:sz w:val="20"/>
                <w:szCs w:val="20"/>
                <w:lang w:val="en-GB"/>
              </w:rPr>
            </w:pPr>
            <w:r w:rsidRPr="006E52DF">
              <w:rPr>
                <w:rFonts w:ascii="Calibri" w:eastAsia="Calibri" w:hAnsi="Calibri" w:cs="Arial"/>
                <w:b/>
                <w:bCs/>
                <w:sz w:val="20"/>
                <w:szCs w:val="20"/>
                <w:lang w:val="en-GB"/>
              </w:rPr>
              <w:t>31 December 2021</w:t>
            </w:r>
          </w:p>
        </w:tc>
        <w:tc>
          <w:tcPr>
            <w:tcW w:w="650" w:type="pct"/>
            <w:vAlign w:val="bottom"/>
          </w:tcPr>
          <w:p w14:paraId="32C799D5" w14:textId="77777777" w:rsidR="006E52DF" w:rsidRPr="006E52DF" w:rsidRDefault="006E52DF" w:rsidP="006E52DF">
            <w:pPr>
              <w:spacing w:after="0" w:line="240" w:lineRule="auto"/>
              <w:jc w:val="right"/>
              <w:rPr>
                <w:rFonts w:ascii="Calibri" w:eastAsia="Calibri" w:hAnsi="Calibri" w:cs="Arial"/>
                <w:b/>
                <w:sz w:val="20"/>
                <w:szCs w:val="20"/>
                <w:lang w:val="en-GB"/>
              </w:rPr>
            </w:pPr>
            <w:r w:rsidRPr="006E52DF">
              <w:rPr>
                <w:rFonts w:ascii="Calibri" w:eastAsia="Calibri" w:hAnsi="Calibri" w:cs="Arial"/>
                <w:b/>
                <w:sz w:val="20"/>
                <w:szCs w:val="20"/>
                <w:lang w:val="en-GB"/>
              </w:rPr>
              <w:t>Stage 1</w:t>
            </w:r>
          </w:p>
        </w:tc>
        <w:tc>
          <w:tcPr>
            <w:tcW w:w="650" w:type="pct"/>
            <w:vAlign w:val="bottom"/>
          </w:tcPr>
          <w:p w14:paraId="2E65562C" w14:textId="77777777" w:rsidR="006E52DF" w:rsidRPr="006E52DF" w:rsidRDefault="006E52DF" w:rsidP="006E52DF">
            <w:pPr>
              <w:spacing w:after="0" w:line="240" w:lineRule="auto"/>
              <w:jc w:val="right"/>
              <w:rPr>
                <w:rFonts w:ascii="Calibri" w:eastAsia="Calibri" w:hAnsi="Calibri" w:cs="Arial"/>
                <w:b/>
                <w:sz w:val="20"/>
                <w:szCs w:val="20"/>
                <w:lang w:val="en-GB"/>
              </w:rPr>
            </w:pPr>
            <w:r w:rsidRPr="006E52DF">
              <w:rPr>
                <w:rFonts w:ascii="Calibri" w:eastAsia="Calibri" w:hAnsi="Calibri" w:cs="Arial"/>
                <w:b/>
                <w:sz w:val="20"/>
                <w:szCs w:val="20"/>
                <w:lang w:val="en-GB"/>
              </w:rPr>
              <w:t>Stage 2</w:t>
            </w:r>
          </w:p>
        </w:tc>
        <w:tc>
          <w:tcPr>
            <w:tcW w:w="643" w:type="pct"/>
            <w:vAlign w:val="bottom"/>
          </w:tcPr>
          <w:p w14:paraId="00A7AF01" w14:textId="77777777" w:rsidR="006E52DF" w:rsidRPr="006E52DF" w:rsidRDefault="006E52DF" w:rsidP="006E52DF">
            <w:pPr>
              <w:spacing w:after="0" w:line="240" w:lineRule="auto"/>
              <w:jc w:val="right"/>
              <w:rPr>
                <w:rFonts w:ascii="Calibri" w:eastAsia="Calibri" w:hAnsi="Calibri" w:cs="Arial"/>
                <w:b/>
                <w:sz w:val="20"/>
                <w:szCs w:val="20"/>
                <w:lang w:val="en-GB"/>
              </w:rPr>
            </w:pPr>
            <w:r w:rsidRPr="006E52DF">
              <w:rPr>
                <w:rFonts w:ascii="Calibri" w:eastAsia="Calibri" w:hAnsi="Calibri" w:cs="Arial"/>
                <w:b/>
                <w:sz w:val="20"/>
                <w:szCs w:val="20"/>
                <w:lang w:val="en-GB"/>
              </w:rPr>
              <w:t>Stage 3</w:t>
            </w:r>
          </w:p>
        </w:tc>
        <w:tc>
          <w:tcPr>
            <w:tcW w:w="605" w:type="pct"/>
            <w:vAlign w:val="bottom"/>
          </w:tcPr>
          <w:p w14:paraId="3BF164BF" w14:textId="77777777" w:rsidR="006E52DF" w:rsidRPr="006E52DF" w:rsidRDefault="006E52DF" w:rsidP="006E52DF">
            <w:pPr>
              <w:spacing w:after="0" w:line="240" w:lineRule="auto"/>
              <w:jc w:val="right"/>
              <w:rPr>
                <w:rFonts w:ascii="Calibri" w:eastAsia="Calibri" w:hAnsi="Calibri" w:cs="Arial"/>
                <w:b/>
                <w:sz w:val="20"/>
                <w:szCs w:val="20"/>
                <w:lang w:val="en-GB"/>
              </w:rPr>
            </w:pPr>
            <w:r w:rsidRPr="006E52DF">
              <w:rPr>
                <w:rFonts w:ascii="Calibri" w:eastAsia="Calibri" w:hAnsi="Calibri" w:cs="Arial"/>
                <w:b/>
                <w:sz w:val="20"/>
                <w:szCs w:val="20"/>
                <w:lang w:val="en-GB"/>
              </w:rPr>
              <w:t>POCI</w:t>
            </w:r>
          </w:p>
        </w:tc>
        <w:tc>
          <w:tcPr>
            <w:tcW w:w="637" w:type="pct"/>
            <w:vAlign w:val="bottom"/>
          </w:tcPr>
          <w:p w14:paraId="36B2D3BF" w14:textId="77777777" w:rsidR="006E52DF" w:rsidRPr="006E52DF" w:rsidRDefault="006E52DF" w:rsidP="006E52DF">
            <w:pPr>
              <w:spacing w:after="0" w:line="240" w:lineRule="auto"/>
              <w:jc w:val="right"/>
              <w:rPr>
                <w:rFonts w:ascii="Calibri" w:eastAsia="Calibri" w:hAnsi="Calibri" w:cs="Arial"/>
                <w:b/>
                <w:sz w:val="20"/>
                <w:szCs w:val="20"/>
                <w:lang w:val="en-GB"/>
              </w:rPr>
            </w:pPr>
            <w:r w:rsidRPr="006E52DF">
              <w:rPr>
                <w:rFonts w:ascii="Calibri" w:eastAsia="Calibri" w:hAnsi="Calibri" w:cs="Arial"/>
                <w:b/>
                <w:sz w:val="20"/>
                <w:szCs w:val="20"/>
                <w:lang w:val="en-GB"/>
              </w:rPr>
              <w:t>Total</w:t>
            </w:r>
          </w:p>
        </w:tc>
      </w:tr>
      <w:tr w:rsidR="006E52DF" w:rsidRPr="006E52DF" w14:paraId="380D87C0" w14:textId="77777777" w:rsidTr="00E44437">
        <w:trPr>
          <w:trHeight w:val="46"/>
        </w:trPr>
        <w:tc>
          <w:tcPr>
            <w:tcW w:w="1815" w:type="pct"/>
          </w:tcPr>
          <w:p w14:paraId="05A74A1E" w14:textId="77777777" w:rsidR="006E52DF" w:rsidRPr="006E52DF" w:rsidRDefault="006E52DF" w:rsidP="006E52DF">
            <w:pPr>
              <w:spacing w:after="0" w:line="240" w:lineRule="auto"/>
              <w:rPr>
                <w:rFonts w:ascii="Calibri" w:eastAsia="Calibri" w:hAnsi="Calibri" w:cs="Arial"/>
                <w:b/>
                <w:bCs/>
                <w:sz w:val="20"/>
                <w:szCs w:val="20"/>
                <w:lang w:val="en-GB"/>
              </w:rPr>
            </w:pPr>
          </w:p>
        </w:tc>
        <w:tc>
          <w:tcPr>
            <w:tcW w:w="650" w:type="pct"/>
          </w:tcPr>
          <w:p w14:paraId="7DD318A4" w14:textId="77777777" w:rsidR="006E52DF" w:rsidRPr="006E52DF" w:rsidRDefault="006E52DF" w:rsidP="006E52DF">
            <w:pPr>
              <w:spacing w:after="0" w:line="240" w:lineRule="auto"/>
              <w:jc w:val="right"/>
              <w:rPr>
                <w:rFonts w:ascii="Calibri" w:eastAsia="Calibri" w:hAnsi="Calibri" w:cs="Arial"/>
                <w:b/>
                <w:sz w:val="20"/>
                <w:szCs w:val="20"/>
                <w:lang w:val="en-GB"/>
              </w:rPr>
            </w:pPr>
            <w:r w:rsidRPr="006E52DF">
              <w:rPr>
                <w:rFonts w:ascii="Calibri" w:eastAsia="Calibri" w:hAnsi="Calibri" w:cs="Arial"/>
                <w:b/>
                <w:sz w:val="20"/>
                <w:szCs w:val="20"/>
                <w:lang w:val="en-GB"/>
              </w:rPr>
              <w:t>HRK ‘000</w:t>
            </w:r>
          </w:p>
        </w:tc>
        <w:tc>
          <w:tcPr>
            <w:tcW w:w="650" w:type="pct"/>
          </w:tcPr>
          <w:p w14:paraId="2665512D" w14:textId="77777777" w:rsidR="006E52DF" w:rsidRPr="006E52DF" w:rsidRDefault="006E52DF" w:rsidP="006E52DF">
            <w:pPr>
              <w:spacing w:after="0" w:line="240" w:lineRule="auto"/>
              <w:jc w:val="right"/>
              <w:rPr>
                <w:rFonts w:ascii="Calibri" w:eastAsia="Calibri" w:hAnsi="Calibri" w:cs="Arial"/>
                <w:b/>
                <w:sz w:val="20"/>
                <w:szCs w:val="20"/>
                <w:lang w:val="en-GB"/>
              </w:rPr>
            </w:pPr>
            <w:r w:rsidRPr="006E52DF">
              <w:rPr>
                <w:rFonts w:ascii="Calibri" w:eastAsia="Calibri" w:hAnsi="Calibri" w:cs="Arial"/>
                <w:b/>
                <w:sz w:val="20"/>
                <w:szCs w:val="20"/>
                <w:lang w:val="en-GB"/>
              </w:rPr>
              <w:t>HRK ‘000</w:t>
            </w:r>
          </w:p>
        </w:tc>
        <w:tc>
          <w:tcPr>
            <w:tcW w:w="643" w:type="pct"/>
          </w:tcPr>
          <w:p w14:paraId="17E80018" w14:textId="77777777" w:rsidR="006E52DF" w:rsidRPr="006E52DF" w:rsidRDefault="006E52DF" w:rsidP="006E52DF">
            <w:pPr>
              <w:spacing w:after="0" w:line="240" w:lineRule="auto"/>
              <w:jc w:val="right"/>
              <w:rPr>
                <w:rFonts w:ascii="Calibri" w:eastAsia="Calibri" w:hAnsi="Calibri" w:cs="Arial"/>
                <w:b/>
                <w:sz w:val="20"/>
                <w:szCs w:val="20"/>
                <w:lang w:val="en-GB"/>
              </w:rPr>
            </w:pPr>
            <w:r w:rsidRPr="006E52DF">
              <w:rPr>
                <w:rFonts w:ascii="Calibri" w:eastAsia="Calibri" w:hAnsi="Calibri" w:cs="Arial"/>
                <w:b/>
                <w:sz w:val="20"/>
                <w:szCs w:val="20"/>
                <w:lang w:val="en-GB"/>
              </w:rPr>
              <w:t>HRK ‘000</w:t>
            </w:r>
          </w:p>
        </w:tc>
        <w:tc>
          <w:tcPr>
            <w:tcW w:w="605" w:type="pct"/>
          </w:tcPr>
          <w:p w14:paraId="3A585CE7" w14:textId="77777777" w:rsidR="006E52DF" w:rsidRPr="006E52DF" w:rsidRDefault="006E52DF" w:rsidP="006E52DF">
            <w:pPr>
              <w:spacing w:after="0" w:line="240" w:lineRule="auto"/>
              <w:jc w:val="right"/>
              <w:rPr>
                <w:rFonts w:ascii="Calibri" w:eastAsia="Calibri" w:hAnsi="Calibri" w:cs="Arial"/>
                <w:b/>
                <w:sz w:val="20"/>
                <w:szCs w:val="20"/>
                <w:lang w:val="en-GB"/>
              </w:rPr>
            </w:pPr>
            <w:r w:rsidRPr="006E52DF">
              <w:rPr>
                <w:rFonts w:ascii="Calibri" w:eastAsia="Calibri" w:hAnsi="Calibri" w:cs="Arial"/>
                <w:b/>
                <w:sz w:val="20"/>
                <w:szCs w:val="20"/>
                <w:lang w:val="en-GB"/>
              </w:rPr>
              <w:t>HRK ‘000</w:t>
            </w:r>
          </w:p>
        </w:tc>
        <w:tc>
          <w:tcPr>
            <w:tcW w:w="637" w:type="pct"/>
          </w:tcPr>
          <w:p w14:paraId="6AF0EEFE" w14:textId="77777777" w:rsidR="006E52DF" w:rsidRPr="006E52DF" w:rsidRDefault="006E52DF" w:rsidP="006E52DF">
            <w:pPr>
              <w:spacing w:after="0" w:line="240" w:lineRule="auto"/>
              <w:jc w:val="right"/>
              <w:rPr>
                <w:rFonts w:ascii="Calibri" w:eastAsia="Calibri" w:hAnsi="Calibri" w:cs="Arial"/>
                <w:b/>
                <w:sz w:val="20"/>
                <w:szCs w:val="20"/>
                <w:lang w:val="en-GB"/>
              </w:rPr>
            </w:pPr>
            <w:r w:rsidRPr="006E52DF">
              <w:rPr>
                <w:rFonts w:ascii="Calibri" w:eastAsia="Calibri" w:hAnsi="Calibri" w:cs="Arial"/>
                <w:b/>
                <w:sz w:val="20"/>
                <w:szCs w:val="20"/>
                <w:lang w:val="en-GB"/>
              </w:rPr>
              <w:t>HRK ‘000</w:t>
            </w:r>
          </w:p>
        </w:tc>
      </w:tr>
      <w:tr w:rsidR="006E52DF" w:rsidRPr="006E52DF" w14:paraId="6FD805D8" w14:textId="77777777" w:rsidTr="00E44437">
        <w:trPr>
          <w:trHeight w:val="46"/>
        </w:trPr>
        <w:tc>
          <w:tcPr>
            <w:tcW w:w="1815" w:type="pct"/>
          </w:tcPr>
          <w:p w14:paraId="7A1DA5CA" w14:textId="77777777" w:rsidR="006E52DF" w:rsidRPr="006E52DF" w:rsidRDefault="006E52DF" w:rsidP="006E52DF">
            <w:pPr>
              <w:spacing w:after="0" w:line="240" w:lineRule="auto"/>
              <w:rPr>
                <w:rFonts w:ascii="Calibri" w:eastAsia="Calibri" w:hAnsi="Calibri" w:cs="Arial"/>
                <w:b/>
                <w:bCs/>
                <w:sz w:val="20"/>
                <w:szCs w:val="20"/>
                <w:lang w:val="en-GB"/>
              </w:rPr>
            </w:pPr>
          </w:p>
        </w:tc>
        <w:tc>
          <w:tcPr>
            <w:tcW w:w="650" w:type="pct"/>
          </w:tcPr>
          <w:p w14:paraId="5E6E3CCD" w14:textId="77777777" w:rsidR="006E52DF" w:rsidRPr="006E52DF" w:rsidRDefault="006E52DF" w:rsidP="006E52DF">
            <w:pPr>
              <w:spacing w:after="0" w:line="240" w:lineRule="auto"/>
              <w:jc w:val="right"/>
              <w:rPr>
                <w:rFonts w:ascii="Calibri" w:eastAsia="Calibri" w:hAnsi="Calibri" w:cs="Arial"/>
                <w:b/>
                <w:sz w:val="20"/>
                <w:szCs w:val="20"/>
                <w:lang w:val="en-GB"/>
              </w:rPr>
            </w:pPr>
          </w:p>
        </w:tc>
        <w:tc>
          <w:tcPr>
            <w:tcW w:w="650" w:type="pct"/>
          </w:tcPr>
          <w:p w14:paraId="461F7F94" w14:textId="77777777" w:rsidR="006E52DF" w:rsidRPr="006E52DF" w:rsidRDefault="006E52DF" w:rsidP="006E52DF">
            <w:pPr>
              <w:spacing w:after="0" w:line="240" w:lineRule="auto"/>
              <w:jc w:val="right"/>
              <w:rPr>
                <w:rFonts w:ascii="Calibri" w:eastAsia="Calibri" w:hAnsi="Calibri" w:cs="Arial"/>
                <w:b/>
                <w:sz w:val="20"/>
                <w:szCs w:val="20"/>
                <w:lang w:val="en-GB"/>
              </w:rPr>
            </w:pPr>
          </w:p>
        </w:tc>
        <w:tc>
          <w:tcPr>
            <w:tcW w:w="643" w:type="pct"/>
          </w:tcPr>
          <w:p w14:paraId="416E3B50" w14:textId="77777777" w:rsidR="006E52DF" w:rsidRPr="006E52DF" w:rsidRDefault="006E52DF" w:rsidP="006E52DF">
            <w:pPr>
              <w:spacing w:after="0" w:line="240" w:lineRule="auto"/>
              <w:jc w:val="right"/>
              <w:rPr>
                <w:rFonts w:ascii="Calibri" w:eastAsia="Calibri" w:hAnsi="Calibri" w:cs="Arial"/>
                <w:b/>
                <w:sz w:val="20"/>
                <w:szCs w:val="20"/>
                <w:lang w:val="en-GB"/>
              </w:rPr>
            </w:pPr>
          </w:p>
        </w:tc>
        <w:tc>
          <w:tcPr>
            <w:tcW w:w="605" w:type="pct"/>
          </w:tcPr>
          <w:p w14:paraId="3CE65124" w14:textId="77777777" w:rsidR="006E52DF" w:rsidRPr="006E52DF" w:rsidRDefault="006E52DF" w:rsidP="006E52DF">
            <w:pPr>
              <w:spacing w:after="0" w:line="240" w:lineRule="auto"/>
              <w:jc w:val="right"/>
              <w:rPr>
                <w:rFonts w:ascii="Calibri" w:eastAsia="Calibri" w:hAnsi="Calibri" w:cs="Arial"/>
                <w:b/>
                <w:sz w:val="20"/>
                <w:szCs w:val="20"/>
                <w:lang w:val="en-GB"/>
              </w:rPr>
            </w:pPr>
          </w:p>
        </w:tc>
        <w:tc>
          <w:tcPr>
            <w:tcW w:w="637" w:type="pct"/>
          </w:tcPr>
          <w:p w14:paraId="6AC3AD30" w14:textId="77777777" w:rsidR="006E52DF" w:rsidRPr="006E52DF" w:rsidRDefault="006E52DF" w:rsidP="006E52DF">
            <w:pPr>
              <w:spacing w:after="0" w:line="240" w:lineRule="auto"/>
              <w:jc w:val="right"/>
              <w:rPr>
                <w:rFonts w:ascii="Calibri" w:eastAsia="Calibri" w:hAnsi="Calibri" w:cs="Arial"/>
                <w:b/>
                <w:sz w:val="20"/>
                <w:szCs w:val="20"/>
                <w:lang w:val="en-GB"/>
              </w:rPr>
            </w:pPr>
          </w:p>
        </w:tc>
      </w:tr>
      <w:tr w:rsidR="006E52DF" w:rsidRPr="006E52DF" w14:paraId="03195D7D" w14:textId="77777777" w:rsidTr="00E44437">
        <w:trPr>
          <w:trHeight w:val="291"/>
        </w:trPr>
        <w:tc>
          <w:tcPr>
            <w:tcW w:w="1815" w:type="pct"/>
            <w:vAlign w:val="bottom"/>
          </w:tcPr>
          <w:p w14:paraId="4D650F87" w14:textId="77777777" w:rsidR="006E52DF" w:rsidRPr="006E52DF" w:rsidRDefault="006E52DF" w:rsidP="006E52DF">
            <w:pPr>
              <w:tabs>
                <w:tab w:val="right" w:pos="1202"/>
              </w:tabs>
              <w:spacing w:after="0" w:line="240" w:lineRule="auto"/>
              <w:outlineLvl w:val="0"/>
              <w:rPr>
                <w:rFonts w:ascii="Calibri" w:eastAsia="Calibri" w:hAnsi="Calibri" w:cs="Times New Roman"/>
                <w:sz w:val="20"/>
                <w:szCs w:val="20"/>
                <w:lang w:val="en-GB"/>
              </w:rPr>
            </w:pPr>
            <w:r w:rsidRPr="006E52DF">
              <w:rPr>
                <w:rFonts w:ascii="Calibri" w:eastAsia="Calibri" w:hAnsi="Calibri" w:cs="Times New Roman"/>
                <w:sz w:val="20"/>
                <w:szCs w:val="20"/>
                <w:lang w:val="en-GB"/>
              </w:rPr>
              <w:t xml:space="preserve">Balance </w:t>
            </w:r>
            <w:proofErr w:type="gramStart"/>
            <w:r w:rsidRPr="006E52DF">
              <w:rPr>
                <w:rFonts w:ascii="Calibri" w:eastAsia="Calibri" w:hAnsi="Calibri" w:cs="Times New Roman"/>
                <w:sz w:val="20"/>
                <w:szCs w:val="20"/>
                <w:lang w:val="en-GB"/>
              </w:rPr>
              <w:t>at</w:t>
            </w:r>
            <w:proofErr w:type="gramEnd"/>
            <w:r w:rsidRPr="006E52DF">
              <w:rPr>
                <w:rFonts w:ascii="Calibri" w:eastAsia="Calibri" w:hAnsi="Calibri" w:cs="Times New Roman"/>
                <w:sz w:val="20"/>
                <w:szCs w:val="20"/>
                <w:lang w:val="en-GB"/>
              </w:rPr>
              <w:t xml:space="preserve"> 1 January 2021</w:t>
            </w:r>
          </w:p>
        </w:tc>
        <w:tc>
          <w:tcPr>
            <w:tcW w:w="650" w:type="pct"/>
            <w:tcBorders>
              <w:top w:val="nil"/>
              <w:left w:val="nil"/>
              <w:bottom w:val="nil"/>
              <w:right w:val="nil"/>
            </w:tcBorders>
            <w:shd w:val="clear" w:color="auto" w:fill="auto"/>
            <w:vAlign w:val="bottom"/>
          </w:tcPr>
          <w:p w14:paraId="391182CA" w14:textId="77777777" w:rsidR="006E52DF" w:rsidRPr="006E52DF" w:rsidRDefault="006E52DF" w:rsidP="006E52DF">
            <w:pPr>
              <w:spacing w:after="0" w:line="240" w:lineRule="auto"/>
              <w:jc w:val="right"/>
              <w:rPr>
                <w:rFonts w:ascii="Calibri" w:eastAsia="Calibri" w:hAnsi="Calibri" w:cs="Arial"/>
                <w:sz w:val="20"/>
                <w:szCs w:val="20"/>
                <w:lang w:val="en-GB"/>
              </w:rPr>
            </w:pPr>
            <w:r w:rsidRPr="006E52DF">
              <w:rPr>
                <w:rFonts w:ascii="Calibri" w:eastAsia="Times New Roman" w:hAnsi="Calibri" w:cs="Times New Roman"/>
                <w:sz w:val="20"/>
                <w:szCs w:val="20"/>
                <w:lang w:val="en-US"/>
              </w:rPr>
              <w:t xml:space="preserve"> 1,643 </w:t>
            </w:r>
          </w:p>
        </w:tc>
        <w:tc>
          <w:tcPr>
            <w:tcW w:w="650" w:type="pct"/>
            <w:tcBorders>
              <w:top w:val="nil"/>
              <w:left w:val="nil"/>
              <w:bottom w:val="nil"/>
              <w:right w:val="nil"/>
            </w:tcBorders>
            <w:shd w:val="clear" w:color="auto" w:fill="auto"/>
            <w:vAlign w:val="bottom"/>
          </w:tcPr>
          <w:p w14:paraId="6FD34391" w14:textId="77777777" w:rsidR="006E52DF" w:rsidRPr="006E52DF" w:rsidRDefault="006E52DF" w:rsidP="006E52DF">
            <w:pPr>
              <w:spacing w:after="0" w:line="240" w:lineRule="auto"/>
              <w:jc w:val="right"/>
              <w:rPr>
                <w:rFonts w:ascii="Calibri" w:eastAsia="Calibri" w:hAnsi="Calibri" w:cs="Arial"/>
                <w:sz w:val="20"/>
                <w:szCs w:val="20"/>
                <w:lang w:val="en-GB"/>
              </w:rPr>
            </w:pPr>
            <w:r w:rsidRPr="006E52DF">
              <w:rPr>
                <w:rFonts w:ascii="Calibri" w:eastAsia="Times New Roman" w:hAnsi="Calibri" w:cs="Times New Roman"/>
                <w:sz w:val="20"/>
                <w:szCs w:val="20"/>
                <w:lang w:val="en-US"/>
              </w:rPr>
              <w:t xml:space="preserve"> - </w:t>
            </w:r>
          </w:p>
        </w:tc>
        <w:tc>
          <w:tcPr>
            <w:tcW w:w="643" w:type="pct"/>
            <w:tcBorders>
              <w:top w:val="nil"/>
              <w:left w:val="nil"/>
              <w:bottom w:val="nil"/>
              <w:right w:val="nil"/>
            </w:tcBorders>
            <w:shd w:val="clear" w:color="auto" w:fill="auto"/>
            <w:vAlign w:val="bottom"/>
          </w:tcPr>
          <w:p w14:paraId="16D3F6C2" w14:textId="77777777" w:rsidR="006E52DF" w:rsidRPr="006E52DF" w:rsidRDefault="006E52DF" w:rsidP="006E52DF">
            <w:pPr>
              <w:spacing w:after="0" w:line="240" w:lineRule="auto"/>
              <w:jc w:val="right"/>
              <w:rPr>
                <w:rFonts w:ascii="Calibri" w:eastAsia="Calibri" w:hAnsi="Calibri" w:cs="Arial"/>
                <w:sz w:val="20"/>
                <w:szCs w:val="20"/>
                <w:lang w:val="en-GB"/>
              </w:rPr>
            </w:pPr>
            <w:r w:rsidRPr="006E52DF">
              <w:rPr>
                <w:rFonts w:ascii="Calibri" w:eastAsia="Times New Roman" w:hAnsi="Calibri" w:cs="Times New Roman"/>
                <w:sz w:val="20"/>
                <w:szCs w:val="20"/>
                <w:lang w:val="en-US"/>
              </w:rPr>
              <w:t xml:space="preserve"> - </w:t>
            </w:r>
          </w:p>
        </w:tc>
        <w:tc>
          <w:tcPr>
            <w:tcW w:w="605" w:type="pct"/>
            <w:tcBorders>
              <w:top w:val="nil"/>
              <w:left w:val="nil"/>
              <w:bottom w:val="nil"/>
              <w:right w:val="nil"/>
            </w:tcBorders>
            <w:shd w:val="clear" w:color="auto" w:fill="auto"/>
            <w:vAlign w:val="bottom"/>
          </w:tcPr>
          <w:p w14:paraId="5CAE254D" w14:textId="77777777" w:rsidR="006E52DF" w:rsidRPr="006E52DF" w:rsidRDefault="006E52DF" w:rsidP="006E52DF">
            <w:pPr>
              <w:spacing w:after="0" w:line="240" w:lineRule="auto"/>
              <w:jc w:val="right"/>
              <w:rPr>
                <w:rFonts w:ascii="Calibri" w:eastAsia="Calibri" w:hAnsi="Calibri" w:cs="Arial"/>
                <w:sz w:val="20"/>
                <w:szCs w:val="20"/>
                <w:lang w:val="en-GB"/>
              </w:rPr>
            </w:pPr>
            <w:r w:rsidRPr="006E52DF">
              <w:rPr>
                <w:rFonts w:ascii="Calibri" w:eastAsia="Times New Roman" w:hAnsi="Calibri" w:cs="Times New Roman"/>
                <w:sz w:val="20"/>
                <w:szCs w:val="20"/>
                <w:lang w:val="en-US"/>
              </w:rPr>
              <w:t xml:space="preserve"> - </w:t>
            </w:r>
          </w:p>
        </w:tc>
        <w:tc>
          <w:tcPr>
            <w:tcW w:w="637" w:type="pct"/>
            <w:tcBorders>
              <w:top w:val="nil"/>
              <w:left w:val="nil"/>
              <w:bottom w:val="nil"/>
              <w:right w:val="nil"/>
            </w:tcBorders>
            <w:shd w:val="clear" w:color="auto" w:fill="auto"/>
            <w:vAlign w:val="bottom"/>
          </w:tcPr>
          <w:p w14:paraId="1FD9D6FD" w14:textId="77777777" w:rsidR="006E52DF" w:rsidRPr="006E52DF" w:rsidRDefault="006E52DF" w:rsidP="006E52DF">
            <w:pPr>
              <w:spacing w:after="0" w:line="240" w:lineRule="auto"/>
              <w:jc w:val="right"/>
              <w:rPr>
                <w:rFonts w:ascii="Calibri" w:eastAsia="Calibri" w:hAnsi="Calibri" w:cs="Arial"/>
                <w:sz w:val="20"/>
                <w:szCs w:val="20"/>
                <w:lang w:val="en-GB"/>
              </w:rPr>
            </w:pPr>
            <w:r w:rsidRPr="006E52DF">
              <w:rPr>
                <w:rFonts w:ascii="Calibri" w:eastAsia="Times New Roman" w:hAnsi="Calibri" w:cs="Times New Roman"/>
                <w:sz w:val="20"/>
                <w:szCs w:val="20"/>
                <w:lang w:val="en-US"/>
              </w:rPr>
              <w:t xml:space="preserve"> 1,643 </w:t>
            </w:r>
          </w:p>
        </w:tc>
      </w:tr>
      <w:tr w:rsidR="006E52DF" w:rsidRPr="006E52DF" w14:paraId="23544987" w14:textId="77777777" w:rsidTr="00E44437">
        <w:trPr>
          <w:trHeight w:val="291"/>
        </w:trPr>
        <w:tc>
          <w:tcPr>
            <w:tcW w:w="1815" w:type="pct"/>
            <w:vAlign w:val="bottom"/>
          </w:tcPr>
          <w:p w14:paraId="7F243303" w14:textId="77777777" w:rsidR="006E52DF" w:rsidRPr="006E52DF" w:rsidRDefault="006E52DF" w:rsidP="006E52DF">
            <w:pPr>
              <w:tabs>
                <w:tab w:val="right" w:pos="1202"/>
              </w:tabs>
              <w:spacing w:after="0" w:line="240" w:lineRule="auto"/>
              <w:outlineLvl w:val="0"/>
              <w:rPr>
                <w:rFonts w:ascii="Calibri" w:eastAsia="Calibri" w:hAnsi="Calibri" w:cs="Times New Roman"/>
                <w:sz w:val="20"/>
                <w:szCs w:val="20"/>
                <w:lang w:val="en-GB"/>
              </w:rPr>
            </w:pPr>
            <w:r w:rsidRPr="006E52DF">
              <w:rPr>
                <w:rFonts w:ascii="Calibri" w:eastAsia="Calibri" w:hAnsi="Calibri" w:cs="Times New Roman"/>
                <w:sz w:val="20"/>
                <w:szCs w:val="20"/>
                <w:lang w:val="en-GB"/>
              </w:rPr>
              <w:t>Transfer to Stage 1</w:t>
            </w:r>
          </w:p>
        </w:tc>
        <w:tc>
          <w:tcPr>
            <w:tcW w:w="650" w:type="pct"/>
            <w:tcBorders>
              <w:top w:val="nil"/>
              <w:left w:val="nil"/>
              <w:right w:val="nil"/>
            </w:tcBorders>
            <w:shd w:val="clear" w:color="auto" w:fill="auto"/>
            <w:vAlign w:val="bottom"/>
          </w:tcPr>
          <w:p w14:paraId="2AC5F98C" w14:textId="77777777" w:rsidR="006E52DF" w:rsidRPr="006E52DF" w:rsidRDefault="006E52DF" w:rsidP="006E52DF">
            <w:pPr>
              <w:spacing w:after="0" w:line="240" w:lineRule="auto"/>
              <w:jc w:val="right"/>
              <w:rPr>
                <w:rFonts w:ascii="Calibri" w:eastAsia="Calibri" w:hAnsi="Calibri" w:cs="Arial"/>
                <w:sz w:val="20"/>
                <w:szCs w:val="20"/>
                <w:lang w:val="en-GB"/>
              </w:rPr>
            </w:pPr>
            <w:r w:rsidRPr="006E52DF">
              <w:rPr>
                <w:rFonts w:ascii="Calibri" w:eastAsia="Calibri" w:hAnsi="Calibri" w:cs="Calibri"/>
                <w:color w:val="000000"/>
                <w:sz w:val="20"/>
                <w:szCs w:val="20"/>
              </w:rPr>
              <w:t>-</w:t>
            </w:r>
          </w:p>
        </w:tc>
        <w:tc>
          <w:tcPr>
            <w:tcW w:w="650" w:type="pct"/>
            <w:tcBorders>
              <w:top w:val="nil"/>
              <w:left w:val="nil"/>
              <w:right w:val="nil"/>
            </w:tcBorders>
            <w:shd w:val="clear" w:color="auto" w:fill="auto"/>
            <w:vAlign w:val="bottom"/>
          </w:tcPr>
          <w:p w14:paraId="08033938" w14:textId="77777777" w:rsidR="006E52DF" w:rsidRPr="006E52DF" w:rsidRDefault="006E52DF" w:rsidP="006E52DF">
            <w:pPr>
              <w:spacing w:after="0" w:line="240" w:lineRule="auto"/>
              <w:jc w:val="right"/>
              <w:rPr>
                <w:rFonts w:ascii="Calibri" w:eastAsia="Calibri" w:hAnsi="Calibri" w:cs="Arial"/>
                <w:sz w:val="20"/>
                <w:szCs w:val="20"/>
                <w:lang w:val="en-GB"/>
              </w:rPr>
            </w:pPr>
            <w:r w:rsidRPr="006E52DF">
              <w:rPr>
                <w:rFonts w:ascii="Calibri" w:eastAsia="Calibri" w:hAnsi="Calibri" w:cs="Calibri"/>
                <w:color w:val="000000"/>
                <w:sz w:val="20"/>
                <w:szCs w:val="20"/>
              </w:rPr>
              <w:t>-</w:t>
            </w:r>
          </w:p>
        </w:tc>
        <w:tc>
          <w:tcPr>
            <w:tcW w:w="643" w:type="pct"/>
            <w:tcBorders>
              <w:top w:val="nil"/>
              <w:left w:val="nil"/>
              <w:right w:val="nil"/>
            </w:tcBorders>
            <w:shd w:val="clear" w:color="auto" w:fill="auto"/>
            <w:vAlign w:val="bottom"/>
          </w:tcPr>
          <w:p w14:paraId="7EB6C626" w14:textId="77777777" w:rsidR="006E52DF" w:rsidRPr="006E52DF" w:rsidRDefault="006E52DF" w:rsidP="006E52DF">
            <w:pPr>
              <w:spacing w:after="0" w:line="240" w:lineRule="auto"/>
              <w:jc w:val="right"/>
              <w:rPr>
                <w:rFonts w:ascii="Calibri" w:eastAsia="Calibri" w:hAnsi="Calibri" w:cs="Arial"/>
                <w:sz w:val="20"/>
                <w:szCs w:val="20"/>
                <w:lang w:val="en-GB"/>
              </w:rPr>
            </w:pPr>
            <w:r w:rsidRPr="006E52DF">
              <w:rPr>
                <w:rFonts w:ascii="Calibri" w:eastAsia="Calibri" w:hAnsi="Calibri" w:cs="Calibri"/>
                <w:color w:val="000000"/>
                <w:sz w:val="20"/>
                <w:szCs w:val="20"/>
              </w:rPr>
              <w:t>-</w:t>
            </w:r>
          </w:p>
        </w:tc>
        <w:tc>
          <w:tcPr>
            <w:tcW w:w="605" w:type="pct"/>
            <w:tcBorders>
              <w:top w:val="nil"/>
              <w:left w:val="nil"/>
              <w:right w:val="nil"/>
            </w:tcBorders>
            <w:shd w:val="clear" w:color="auto" w:fill="auto"/>
            <w:vAlign w:val="bottom"/>
          </w:tcPr>
          <w:p w14:paraId="44DC9179" w14:textId="77777777" w:rsidR="006E52DF" w:rsidRPr="006E52DF" w:rsidRDefault="006E52DF" w:rsidP="006E52DF">
            <w:pPr>
              <w:spacing w:after="0" w:line="240" w:lineRule="auto"/>
              <w:jc w:val="right"/>
              <w:rPr>
                <w:rFonts w:ascii="Calibri" w:eastAsia="Calibri" w:hAnsi="Calibri" w:cs="Arial"/>
                <w:sz w:val="20"/>
                <w:szCs w:val="20"/>
                <w:lang w:val="en-GB"/>
              </w:rPr>
            </w:pPr>
            <w:r w:rsidRPr="006E52DF">
              <w:rPr>
                <w:rFonts w:ascii="Calibri" w:eastAsia="Calibri" w:hAnsi="Calibri" w:cs="Calibri"/>
                <w:color w:val="000000"/>
                <w:sz w:val="20"/>
                <w:szCs w:val="20"/>
              </w:rPr>
              <w:t>-</w:t>
            </w:r>
          </w:p>
        </w:tc>
        <w:tc>
          <w:tcPr>
            <w:tcW w:w="637" w:type="pct"/>
            <w:tcBorders>
              <w:top w:val="nil"/>
              <w:left w:val="nil"/>
              <w:right w:val="nil"/>
            </w:tcBorders>
            <w:shd w:val="clear" w:color="auto" w:fill="auto"/>
            <w:vAlign w:val="bottom"/>
          </w:tcPr>
          <w:p w14:paraId="5CC59790" w14:textId="77777777" w:rsidR="006E52DF" w:rsidRPr="006E52DF" w:rsidRDefault="006E52DF" w:rsidP="006E52DF">
            <w:pPr>
              <w:spacing w:after="0" w:line="240" w:lineRule="auto"/>
              <w:jc w:val="right"/>
              <w:rPr>
                <w:rFonts w:ascii="Calibri" w:eastAsia="Calibri" w:hAnsi="Calibri" w:cs="Arial"/>
                <w:sz w:val="20"/>
                <w:szCs w:val="20"/>
                <w:lang w:val="en-GB"/>
              </w:rPr>
            </w:pPr>
            <w:r w:rsidRPr="006E52DF">
              <w:rPr>
                <w:rFonts w:ascii="Calibri" w:eastAsia="Calibri" w:hAnsi="Calibri" w:cs="Calibri"/>
                <w:color w:val="000000"/>
                <w:sz w:val="20"/>
                <w:szCs w:val="20"/>
              </w:rPr>
              <w:t>-</w:t>
            </w:r>
          </w:p>
        </w:tc>
      </w:tr>
      <w:tr w:rsidR="006E52DF" w:rsidRPr="006E52DF" w14:paraId="197D45F6" w14:textId="77777777" w:rsidTr="00E44437">
        <w:trPr>
          <w:trHeight w:val="291"/>
        </w:trPr>
        <w:tc>
          <w:tcPr>
            <w:tcW w:w="1815" w:type="pct"/>
            <w:vAlign w:val="bottom"/>
          </w:tcPr>
          <w:p w14:paraId="73958E31" w14:textId="77777777" w:rsidR="006E52DF" w:rsidRPr="006E52DF" w:rsidRDefault="006E52DF" w:rsidP="006E52DF">
            <w:pPr>
              <w:tabs>
                <w:tab w:val="right" w:pos="1202"/>
              </w:tabs>
              <w:spacing w:after="0" w:line="240" w:lineRule="auto"/>
              <w:outlineLvl w:val="0"/>
              <w:rPr>
                <w:rFonts w:ascii="Calibri" w:eastAsia="Calibri" w:hAnsi="Calibri" w:cs="Times New Roman"/>
                <w:sz w:val="20"/>
                <w:szCs w:val="20"/>
                <w:lang w:val="en-GB"/>
              </w:rPr>
            </w:pPr>
            <w:r w:rsidRPr="006E52DF">
              <w:rPr>
                <w:rFonts w:ascii="Calibri" w:eastAsia="Calibri" w:hAnsi="Calibri" w:cs="Times New Roman"/>
                <w:sz w:val="20"/>
                <w:szCs w:val="20"/>
                <w:lang w:val="en-GB"/>
              </w:rPr>
              <w:t>Transfer to Stage 2</w:t>
            </w:r>
          </w:p>
        </w:tc>
        <w:tc>
          <w:tcPr>
            <w:tcW w:w="650" w:type="pct"/>
            <w:tcBorders>
              <w:top w:val="nil"/>
              <w:left w:val="nil"/>
              <w:right w:val="nil"/>
            </w:tcBorders>
            <w:shd w:val="clear" w:color="auto" w:fill="auto"/>
            <w:vAlign w:val="bottom"/>
          </w:tcPr>
          <w:p w14:paraId="4B7CD8F3" w14:textId="77777777" w:rsidR="006E52DF" w:rsidRPr="006E52DF" w:rsidRDefault="006E52DF" w:rsidP="006E52DF">
            <w:pPr>
              <w:spacing w:after="0" w:line="240" w:lineRule="auto"/>
              <w:jc w:val="right"/>
              <w:rPr>
                <w:rFonts w:ascii="Calibri" w:eastAsia="Calibri" w:hAnsi="Calibri" w:cs="Arial"/>
                <w:sz w:val="20"/>
                <w:szCs w:val="20"/>
                <w:lang w:val="en-GB"/>
              </w:rPr>
            </w:pPr>
            <w:r w:rsidRPr="006E52DF">
              <w:rPr>
                <w:rFonts w:ascii="Calibri" w:eastAsia="Calibri" w:hAnsi="Calibri" w:cs="Calibri"/>
                <w:color w:val="000000"/>
                <w:sz w:val="20"/>
                <w:szCs w:val="20"/>
              </w:rPr>
              <w:t>-</w:t>
            </w:r>
          </w:p>
        </w:tc>
        <w:tc>
          <w:tcPr>
            <w:tcW w:w="650" w:type="pct"/>
            <w:tcBorders>
              <w:top w:val="nil"/>
              <w:left w:val="nil"/>
              <w:right w:val="nil"/>
            </w:tcBorders>
            <w:shd w:val="clear" w:color="auto" w:fill="auto"/>
            <w:vAlign w:val="bottom"/>
          </w:tcPr>
          <w:p w14:paraId="0F9BB287" w14:textId="77777777" w:rsidR="006E52DF" w:rsidRPr="006E52DF" w:rsidRDefault="006E52DF" w:rsidP="006E52DF">
            <w:pPr>
              <w:spacing w:after="0" w:line="240" w:lineRule="auto"/>
              <w:jc w:val="right"/>
              <w:rPr>
                <w:rFonts w:ascii="Calibri" w:eastAsia="Calibri" w:hAnsi="Calibri" w:cs="Arial"/>
                <w:sz w:val="20"/>
                <w:szCs w:val="20"/>
                <w:lang w:val="en-GB"/>
              </w:rPr>
            </w:pPr>
            <w:r w:rsidRPr="006E52DF">
              <w:rPr>
                <w:rFonts w:ascii="Calibri" w:eastAsia="Calibri" w:hAnsi="Calibri" w:cs="Calibri"/>
                <w:color w:val="000000"/>
                <w:sz w:val="20"/>
                <w:szCs w:val="20"/>
              </w:rPr>
              <w:t>-</w:t>
            </w:r>
          </w:p>
        </w:tc>
        <w:tc>
          <w:tcPr>
            <w:tcW w:w="643" w:type="pct"/>
            <w:tcBorders>
              <w:top w:val="nil"/>
              <w:left w:val="nil"/>
              <w:right w:val="nil"/>
            </w:tcBorders>
            <w:shd w:val="clear" w:color="auto" w:fill="auto"/>
            <w:vAlign w:val="bottom"/>
          </w:tcPr>
          <w:p w14:paraId="631CAD1F" w14:textId="77777777" w:rsidR="006E52DF" w:rsidRPr="006E52DF" w:rsidRDefault="006E52DF" w:rsidP="006E52DF">
            <w:pPr>
              <w:spacing w:after="0" w:line="240" w:lineRule="auto"/>
              <w:jc w:val="right"/>
              <w:rPr>
                <w:rFonts w:ascii="Calibri" w:eastAsia="Calibri" w:hAnsi="Calibri" w:cs="Arial"/>
                <w:sz w:val="20"/>
                <w:szCs w:val="20"/>
                <w:lang w:val="en-GB"/>
              </w:rPr>
            </w:pPr>
            <w:r w:rsidRPr="006E52DF">
              <w:rPr>
                <w:rFonts w:ascii="Calibri" w:eastAsia="Calibri" w:hAnsi="Calibri" w:cs="Calibri"/>
                <w:color w:val="000000"/>
                <w:sz w:val="20"/>
                <w:szCs w:val="20"/>
              </w:rPr>
              <w:t>-</w:t>
            </w:r>
          </w:p>
        </w:tc>
        <w:tc>
          <w:tcPr>
            <w:tcW w:w="605" w:type="pct"/>
            <w:tcBorders>
              <w:top w:val="nil"/>
              <w:left w:val="nil"/>
              <w:right w:val="nil"/>
            </w:tcBorders>
            <w:shd w:val="clear" w:color="auto" w:fill="auto"/>
            <w:vAlign w:val="bottom"/>
          </w:tcPr>
          <w:p w14:paraId="5E2A746C" w14:textId="77777777" w:rsidR="006E52DF" w:rsidRPr="006E52DF" w:rsidRDefault="006E52DF" w:rsidP="006E52DF">
            <w:pPr>
              <w:spacing w:after="0" w:line="240" w:lineRule="auto"/>
              <w:jc w:val="right"/>
              <w:rPr>
                <w:rFonts w:ascii="Calibri" w:eastAsia="Calibri" w:hAnsi="Calibri" w:cs="Arial"/>
                <w:sz w:val="20"/>
                <w:szCs w:val="20"/>
                <w:lang w:val="en-GB"/>
              </w:rPr>
            </w:pPr>
            <w:r w:rsidRPr="006E52DF">
              <w:rPr>
                <w:rFonts w:ascii="Calibri" w:eastAsia="Calibri" w:hAnsi="Calibri" w:cs="Calibri"/>
                <w:color w:val="000000"/>
                <w:sz w:val="20"/>
                <w:szCs w:val="20"/>
              </w:rPr>
              <w:t>-</w:t>
            </w:r>
          </w:p>
        </w:tc>
        <w:tc>
          <w:tcPr>
            <w:tcW w:w="637" w:type="pct"/>
            <w:tcBorders>
              <w:top w:val="nil"/>
              <w:left w:val="nil"/>
              <w:right w:val="nil"/>
            </w:tcBorders>
            <w:shd w:val="clear" w:color="auto" w:fill="auto"/>
            <w:vAlign w:val="bottom"/>
          </w:tcPr>
          <w:p w14:paraId="1DC13E3C" w14:textId="77777777" w:rsidR="006E52DF" w:rsidRPr="006E52DF" w:rsidRDefault="006E52DF" w:rsidP="006E52DF">
            <w:pPr>
              <w:spacing w:after="0" w:line="240" w:lineRule="auto"/>
              <w:jc w:val="right"/>
              <w:rPr>
                <w:rFonts w:ascii="Calibri" w:eastAsia="Calibri" w:hAnsi="Calibri" w:cs="Arial"/>
                <w:sz w:val="20"/>
                <w:szCs w:val="20"/>
                <w:lang w:val="en-GB"/>
              </w:rPr>
            </w:pPr>
            <w:r w:rsidRPr="006E52DF">
              <w:rPr>
                <w:rFonts w:ascii="Calibri" w:eastAsia="Calibri" w:hAnsi="Calibri" w:cs="Calibri"/>
                <w:color w:val="000000"/>
                <w:sz w:val="20"/>
                <w:szCs w:val="20"/>
              </w:rPr>
              <w:t>-</w:t>
            </w:r>
          </w:p>
        </w:tc>
      </w:tr>
      <w:tr w:rsidR="006E52DF" w:rsidRPr="006E52DF" w14:paraId="6CE86C50" w14:textId="77777777" w:rsidTr="00E44437">
        <w:trPr>
          <w:trHeight w:val="291"/>
        </w:trPr>
        <w:tc>
          <w:tcPr>
            <w:tcW w:w="1815" w:type="pct"/>
            <w:vAlign w:val="bottom"/>
          </w:tcPr>
          <w:p w14:paraId="75F1B0C0" w14:textId="77777777" w:rsidR="006E52DF" w:rsidRPr="006E52DF" w:rsidRDefault="006E52DF" w:rsidP="006E52DF">
            <w:pPr>
              <w:tabs>
                <w:tab w:val="right" w:pos="1202"/>
              </w:tabs>
              <w:spacing w:after="0" w:line="240" w:lineRule="auto"/>
              <w:outlineLvl w:val="0"/>
              <w:rPr>
                <w:rFonts w:ascii="Calibri" w:eastAsia="Calibri" w:hAnsi="Calibri" w:cs="Times New Roman"/>
                <w:sz w:val="20"/>
                <w:szCs w:val="20"/>
                <w:lang w:val="en-GB"/>
              </w:rPr>
            </w:pPr>
            <w:r w:rsidRPr="006E52DF">
              <w:rPr>
                <w:rFonts w:ascii="Calibri" w:eastAsia="Calibri" w:hAnsi="Calibri" w:cs="Times New Roman"/>
                <w:sz w:val="20"/>
                <w:szCs w:val="20"/>
                <w:lang w:val="en-GB"/>
              </w:rPr>
              <w:t>Transfer to Stage 3</w:t>
            </w:r>
          </w:p>
        </w:tc>
        <w:tc>
          <w:tcPr>
            <w:tcW w:w="650" w:type="pct"/>
            <w:tcBorders>
              <w:top w:val="nil"/>
              <w:left w:val="nil"/>
              <w:right w:val="nil"/>
            </w:tcBorders>
            <w:shd w:val="clear" w:color="auto" w:fill="auto"/>
            <w:vAlign w:val="bottom"/>
          </w:tcPr>
          <w:p w14:paraId="5416B367" w14:textId="77777777" w:rsidR="006E52DF" w:rsidRPr="006E52DF" w:rsidRDefault="006E52DF" w:rsidP="006E52DF">
            <w:pPr>
              <w:spacing w:after="0" w:line="240" w:lineRule="auto"/>
              <w:jc w:val="right"/>
              <w:rPr>
                <w:rFonts w:ascii="Calibri" w:eastAsia="Calibri" w:hAnsi="Calibri" w:cs="Arial"/>
                <w:sz w:val="20"/>
                <w:szCs w:val="20"/>
                <w:lang w:val="en-GB"/>
              </w:rPr>
            </w:pPr>
            <w:r w:rsidRPr="006E52DF">
              <w:rPr>
                <w:rFonts w:ascii="Calibri" w:eastAsia="Calibri" w:hAnsi="Calibri" w:cs="Calibri"/>
                <w:color w:val="000000"/>
                <w:sz w:val="20"/>
                <w:szCs w:val="20"/>
              </w:rPr>
              <w:t>-</w:t>
            </w:r>
          </w:p>
        </w:tc>
        <w:tc>
          <w:tcPr>
            <w:tcW w:w="650" w:type="pct"/>
            <w:tcBorders>
              <w:top w:val="nil"/>
              <w:left w:val="nil"/>
              <w:right w:val="nil"/>
            </w:tcBorders>
            <w:shd w:val="clear" w:color="auto" w:fill="auto"/>
            <w:vAlign w:val="bottom"/>
          </w:tcPr>
          <w:p w14:paraId="05ED67CA" w14:textId="77777777" w:rsidR="006E52DF" w:rsidRPr="006E52DF" w:rsidRDefault="006E52DF" w:rsidP="006E52DF">
            <w:pPr>
              <w:spacing w:after="0" w:line="240" w:lineRule="auto"/>
              <w:jc w:val="right"/>
              <w:rPr>
                <w:rFonts w:ascii="Calibri" w:eastAsia="Calibri" w:hAnsi="Calibri" w:cs="Arial"/>
                <w:sz w:val="20"/>
                <w:szCs w:val="20"/>
                <w:lang w:val="en-GB"/>
              </w:rPr>
            </w:pPr>
            <w:r w:rsidRPr="006E52DF">
              <w:rPr>
                <w:rFonts w:ascii="Calibri" w:eastAsia="Calibri" w:hAnsi="Calibri" w:cs="Calibri"/>
                <w:color w:val="000000"/>
                <w:sz w:val="20"/>
                <w:szCs w:val="20"/>
              </w:rPr>
              <w:t>-</w:t>
            </w:r>
          </w:p>
        </w:tc>
        <w:tc>
          <w:tcPr>
            <w:tcW w:w="643" w:type="pct"/>
            <w:tcBorders>
              <w:top w:val="nil"/>
              <w:left w:val="nil"/>
              <w:right w:val="nil"/>
            </w:tcBorders>
            <w:shd w:val="clear" w:color="auto" w:fill="auto"/>
            <w:vAlign w:val="bottom"/>
          </w:tcPr>
          <w:p w14:paraId="7FB35D09" w14:textId="77777777" w:rsidR="006E52DF" w:rsidRPr="006E52DF" w:rsidRDefault="006E52DF" w:rsidP="006E52DF">
            <w:pPr>
              <w:spacing w:after="0" w:line="240" w:lineRule="auto"/>
              <w:jc w:val="right"/>
              <w:rPr>
                <w:rFonts w:ascii="Calibri" w:eastAsia="Calibri" w:hAnsi="Calibri" w:cs="Arial"/>
                <w:sz w:val="20"/>
                <w:szCs w:val="20"/>
                <w:lang w:val="en-GB"/>
              </w:rPr>
            </w:pPr>
            <w:r w:rsidRPr="006E52DF">
              <w:rPr>
                <w:rFonts w:ascii="Calibri" w:eastAsia="Calibri" w:hAnsi="Calibri" w:cs="Calibri"/>
                <w:color w:val="000000"/>
                <w:sz w:val="20"/>
                <w:szCs w:val="20"/>
              </w:rPr>
              <w:t>-</w:t>
            </w:r>
          </w:p>
        </w:tc>
        <w:tc>
          <w:tcPr>
            <w:tcW w:w="605" w:type="pct"/>
            <w:tcBorders>
              <w:top w:val="nil"/>
              <w:left w:val="nil"/>
              <w:right w:val="nil"/>
            </w:tcBorders>
            <w:shd w:val="clear" w:color="auto" w:fill="auto"/>
            <w:vAlign w:val="bottom"/>
          </w:tcPr>
          <w:p w14:paraId="1F052C5D" w14:textId="77777777" w:rsidR="006E52DF" w:rsidRPr="006E52DF" w:rsidRDefault="006E52DF" w:rsidP="006E52DF">
            <w:pPr>
              <w:spacing w:after="0" w:line="240" w:lineRule="auto"/>
              <w:jc w:val="right"/>
              <w:rPr>
                <w:rFonts w:ascii="Calibri" w:eastAsia="Calibri" w:hAnsi="Calibri" w:cs="Arial"/>
                <w:sz w:val="20"/>
                <w:szCs w:val="20"/>
                <w:lang w:val="en-GB"/>
              </w:rPr>
            </w:pPr>
            <w:r w:rsidRPr="006E52DF">
              <w:rPr>
                <w:rFonts w:ascii="Calibri" w:eastAsia="Calibri" w:hAnsi="Calibri" w:cs="Calibri"/>
                <w:color w:val="000000"/>
                <w:sz w:val="20"/>
                <w:szCs w:val="20"/>
              </w:rPr>
              <w:t>-</w:t>
            </w:r>
          </w:p>
        </w:tc>
        <w:tc>
          <w:tcPr>
            <w:tcW w:w="637" w:type="pct"/>
            <w:tcBorders>
              <w:top w:val="nil"/>
              <w:left w:val="nil"/>
              <w:right w:val="nil"/>
            </w:tcBorders>
            <w:shd w:val="clear" w:color="auto" w:fill="auto"/>
            <w:vAlign w:val="bottom"/>
          </w:tcPr>
          <w:p w14:paraId="2483BCA3" w14:textId="77777777" w:rsidR="006E52DF" w:rsidRPr="006E52DF" w:rsidRDefault="006E52DF" w:rsidP="006E52DF">
            <w:pPr>
              <w:spacing w:after="0" w:line="240" w:lineRule="auto"/>
              <w:jc w:val="right"/>
              <w:rPr>
                <w:rFonts w:ascii="Calibri" w:eastAsia="Calibri" w:hAnsi="Calibri" w:cs="Arial"/>
                <w:sz w:val="20"/>
                <w:szCs w:val="20"/>
                <w:lang w:val="en-GB"/>
              </w:rPr>
            </w:pPr>
            <w:r w:rsidRPr="006E52DF">
              <w:rPr>
                <w:rFonts w:ascii="Calibri" w:eastAsia="Calibri" w:hAnsi="Calibri" w:cs="Calibri"/>
                <w:color w:val="000000"/>
                <w:sz w:val="20"/>
                <w:szCs w:val="20"/>
              </w:rPr>
              <w:t>-</w:t>
            </w:r>
          </w:p>
        </w:tc>
      </w:tr>
      <w:tr w:rsidR="006E52DF" w:rsidRPr="006E52DF" w14:paraId="05239938" w14:textId="77777777" w:rsidTr="00E44437">
        <w:trPr>
          <w:trHeight w:val="291"/>
        </w:trPr>
        <w:tc>
          <w:tcPr>
            <w:tcW w:w="1815" w:type="pct"/>
            <w:vAlign w:val="bottom"/>
          </w:tcPr>
          <w:p w14:paraId="2B90349F" w14:textId="77777777" w:rsidR="006E52DF" w:rsidRPr="006E52DF" w:rsidRDefault="006E52DF" w:rsidP="006E52DF">
            <w:pPr>
              <w:tabs>
                <w:tab w:val="right" w:pos="1202"/>
              </w:tabs>
              <w:spacing w:after="0" w:line="240" w:lineRule="auto"/>
              <w:outlineLvl w:val="0"/>
              <w:rPr>
                <w:rFonts w:ascii="Calibri" w:eastAsia="Calibri" w:hAnsi="Calibri" w:cs="Times New Roman"/>
                <w:sz w:val="20"/>
                <w:szCs w:val="20"/>
                <w:lang w:val="en-GB"/>
              </w:rPr>
            </w:pPr>
            <w:r w:rsidRPr="006E52DF">
              <w:rPr>
                <w:rFonts w:ascii="Calibri" w:eastAsia="Calibri" w:hAnsi="Calibri" w:cs="Times New Roman"/>
                <w:sz w:val="20"/>
                <w:szCs w:val="20"/>
                <w:lang w:val="en-GB"/>
              </w:rPr>
              <w:t>Net increase of loss allowance</w:t>
            </w:r>
          </w:p>
        </w:tc>
        <w:tc>
          <w:tcPr>
            <w:tcW w:w="650" w:type="pct"/>
            <w:tcBorders>
              <w:top w:val="nil"/>
              <w:left w:val="nil"/>
              <w:right w:val="nil"/>
            </w:tcBorders>
            <w:shd w:val="clear" w:color="auto" w:fill="auto"/>
            <w:vAlign w:val="bottom"/>
          </w:tcPr>
          <w:p w14:paraId="563F7F78" w14:textId="77777777" w:rsidR="006E52DF" w:rsidRPr="006E52DF" w:rsidRDefault="006E52DF" w:rsidP="006E52DF">
            <w:pPr>
              <w:tabs>
                <w:tab w:val="right" w:pos="1202"/>
              </w:tabs>
              <w:spacing w:after="0" w:line="301" w:lineRule="exact"/>
              <w:jc w:val="right"/>
              <w:outlineLvl w:val="0"/>
              <w:rPr>
                <w:rFonts w:ascii="Calibri" w:eastAsia="Calibri" w:hAnsi="Calibri" w:cs="Calibri"/>
                <w:color w:val="000000"/>
                <w:sz w:val="20"/>
                <w:szCs w:val="20"/>
              </w:rPr>
            </w:pPr>
            <w:r w:rsidRPr="006E52DF">
              <w:rPr>
                <w:rFonts w:ascii="Calibri" w:eastAsia="Times New Roman" w:hAnsi="Calibri" w:cs="Times New Roman"/>
                <w:sz w:val="20"/>
                <w:szCs w:val="20"/>
                <w:lang w:val="en-US"/>
              </w:rPr>
              <w:t xml:space="preserve"> 160 </w:t>
            </w:r>
          </w:p>
        </w:tc>
        <w:tc>
          <w:tcPr>
            <w:tcW w:w="650" w:type="pct"/>
            <w:tcBorders>
              <w:top w:val="nil"/>
              <w:left w:val="nil"/>
              <w:right w:val="nil"/>
            </w:tcBorders>
            <w:shd w:val="clear" w:color="auto" w:fill="auto"/>
            <w:vAlign w:val="bottom"/>
          </w:tcPr>
          <w:p w14:paraId="5D09F1EA" w14:textId="77777777" w:rsidR="006E52DF" w:rsidRPr="006E52DF" w:rsidRDefault="006E52DF" w:rsidP="006E52DF">
            <w:pPr>
              <w:tabs>
                <w:tab w:val="right" w:pos="1202"/>
              </w:tabs>
              <w:spacing w:after="0" w:line="301" w:lineRule="exact"/>
              <w:jc w:val="right"/>
              <w:outlineLvl w:val="0"/>
              <w:rPr>
                <w:rFonts w:ascii="Calibri" w:eastAsia="Calibri" w:hAnsi="Calibri" w:cs="Calibri"/>
                <w:color w:val="000000"/>
                <w:sz w:val="20"/>
                <w:szCs w:val="20"/>
              </w:rPr>
            </w:pPr>
            <w:r w:rsidRPr="006E52DF">
              <w:rPr>
                <w:rFonts w:ascii="Calibri" w:eastAsia="Times New Roman" w:hAnsi="Calibri" w:cs="Times New Roman"/>
                <w:sz w:val="20"/>
                <w:szCs w:val="20"/>
                <w:lang w:val="en-US"/>
              </w:rPr>
              <w:t xml:space="preserve"> - </w:t>
            </w:r>
          </w:p>
        </w:tc>
        <w:tc>
          <w:tcPr>
            <w:tcW w:w="643" w:type="pct"/>
            <w:tcBorders>
              <w:top w:val="nil"/>
              <w:left w:val="nil"/>
              <w:right w:val="nil"/>
            </w:tcBorders>
            <w:shd w:val="clear" w:color="auto" w:fill="auto"/>
            <w:vAlign w:val="bottom"/>
          </w:tcPr>
          <w:p w14:paraId="6192773F" w14:textId="77777777" w:rsidR="006E52DF" w:rsidRPr="006E52DF" w:rsidRDefault="006E52DF" w:rsidP="006E52DF">
            <w:pPr>
              <w:tabs>
                <w:tab w:val="right" w:pos="1202"/>
              </w:tabs>
              <w:spacing w:after="0" w:line="301" w:lineRule="exact"/>
              <w:jc w:val="right"/>
              <w:outlineLvl w:val="0"/>
              <w:rPr>
                <w:rFonts w:ascii="Calibri" w:eastAsia="Calibri" w:hAnsi="Calibri" w:cs="Calibri"/>
                <w:color w:val="000000"/>
                <w:sz w:val="20"/>
                <w:szCs w:val="20"/>
              </w:rPr>
            </w:pPr>
            <w:r w:rsidRPr="006E52DF">
              <w:rPr>
                <w:rFonts w:ascii="Calibri" w:eastAsia="Times New Roman" w:hAnsi="Calibri" w:cs="Times New Roman"/>
                <w:sz w:val="20"/>
                <w:szCs w:val="20"/>
                <w:lang w:val="en-US"/>
              </w:rPr>
              <w:t xml:space="preserve"> - </w:t>
            </w:r>
          </w:p>
        </w:tc>
        <w:tc>
          <w:tcPr>
            <w:tcW w:w="605" w:type="pct"/>
            <w:tcBorders>
              <w:top w:val="nil"/>
              <w:left w:val="nil"/>
              <w:right w:val="nil"/>
            </w:tcBorders>
            <w:shd w:val="clear" w:color="auto" w:fill="auto"/>
            <w:vAlign w:val="bottom"/>
          </w:tcPr>
          <w:p w14:paraId="4AF5928A" w14:textId="77777777" w:rsidR="006E52DF" w:rsidRPr="006E52DF" w:rsidRDefault="006E52DF" w:rsidP="006E52DF">
            <w:pPr>
              <w:tabs>
                <w:tab w:val="right" w:pos="1202"/>
              </w:tabs>
              <w:spacing w:after="0" w:line="301" w:lineRule="exact"/>
              <w:jc w:val="right"/>
              <w:outlineLvl w:val="0"/>
              <w:rPr>
                <w:rFonts w:ascii="Calibri" w:eastAsia="Calibri" w:hAnsi="Calibri" w:cs="Calibri"/>
                <w:color w:val="000000"/>
                <w:sz w:val="20"/>
                <w:szCs w:val="20"/>
              </w:rPr>
            </w:pPr>
            <w:r w:rsidRPr="006E52DF">
              <w:rPr>
                <w:rFonts w:ascii="Calibri" w:eastAsia="Times New Roman" w:hAnsi="Calibri" w:cs="Times New Roman"/>
                <w:sz w:val="20"/>
                <w:szCs w:val="20"/>
                <w:lang w:val="en-US"/>
              </w:rPr>
              <w:t xml:space="preserve"> - </w:t>
            </w:r>
          </w:p>
        </w:tc>
        <w:tc>
          <w:tcPr>
            <w:tcW w:w="637" w:type="pct"/>
            <w:tcBorders>
              <w:top w:val="nil"/>
              <w:left w:val="nil"/>
              <w:right w:val="nil"/>
            </w:tcBorders>
            <w:shd w:val="clear" w:color="auto" w:fill="auto"/>
            <w:vAlign w:val="bottom"/>
          </w:tcPr>
          <w:p w14:paraId="4A038C21" w14:textId="77777777" w:rsidR="006E52DF" w:rsidRPr="006E52DF" w:rsidRDefault="006E52DF" w:rsidP="006E52DF">
            <w:pPr>
              <w:tabs>
                <w:tab w:val="right" w:pos="1202"/>
              </w:tabs>
              <w:spacing w:after="0" w:line="301" w:lineRule="exact"/>
              <w:jc w:val="right"/>
              <w:outlineLvl w:val="0"/>
              <w:rPr>
                <w:rFonts w:ascii="Calibri" w:eastAsia="Calibri" w:hAnsi="Calibri" w:cs="Calibri"/>
                <w:color w:val="000000"/>
                <w:sz w:val="20"/>
                <w:szCs w:val="20"/>
              </w:rPr>
            </w:pPr>
            <w:r w:rsidRPr="006E52DF">
              <w:rPr>
                <w:rFonts w:ascii="Calibri" w:eastAsia="Times New Roman" w:hAnsi="Calibri" w:cs="Times New Roman"/>
                <w:sz w:val="20"/>
                <w:szCs w:val="20"/>
                <w:lang w:val="en-US"/>
              </w:rPr>
              <w:t xml:space="preserve"> 160 </w:t>
            </w:r>
          </w:p>
        </w:tc>
      </w:tr>
      <w:tr w:rsidR="006E52DF" w:rsidRPr="006E52DF" w14:paraId="77B6A5CA" w14:textId="77777777" w:rsidTr="00E44437">
        <w:trPr>
          <w:trHeight w:val="291"/>
        </w:trPr>
        <w:tc>
          <w:tcPr>
            <w:tcW w:w="1815" w:type="pct"/>
            <w:vAlign w:val="bottom"/>
          </w:tcPr>
          <w:p w14:paraId="41B9BAE8" w14:textId="77777777" w:rsidR="006E52DF" w:rsidRPr="006E52DF" w:rsidRDefault="006E52DF" w:rsidP="006E52DF">
            <w:pPr>
              <w:tabs>
                <w:tab w:val="right" w:pos="1202"/>
              </w:tabs>
              <w:spacing w:after="0" w:line="240" w:lineRule="auto"/>
              <w:outlineLvl w:val="0"/>
              <w:rPr>
                <w:rFonts w:ascii="Calibri" w:eastAsia="Calibri" w:hAnsi="Calibri" w:cs="Times New Roman"/>
                <w:sz w:val="20"/>
                <w:szCs w:val="20"/>
                <w:lang w:val="en-GB"/>
              </w:rPr>
            </w:pPr>
            <w:r w:rsidRPr="006E52DF">
              <w:rPr>
                <w:rFonts w:ascii="Calibri" w:eastAsia="Calibri" w:hAnsi="Calibri" w:cs="Times New Roman"/>
                <w:sz w:val="20"/>
                <w:szCs w:val="20"/>
                <w:lang w:val="en-GB"/>
              </w:rPr>
              <w:t>Net foreign exchange gain/loss on loss allowances</w:t>
            </w:r>
          </w:p>
        </w:tc>
        <w:tc>
          <w:tcPr>
            <w:tcW w:w="650" w:type="pct"/>
            <w:tcBorders>
              <w:top w:val="nil"/>
              <w:left w:val="nil"/>
              <w:bottom w:val="single" w:sz="4" w:space="0" w:color="auto"/>
              <w:right w:val="nil"/>
            </w:tcBorders>
            <w:shd w:val="clear" w:color="auto" w:fill="auto"/>
            <w:vAlign w:val="bottom"/>
          </w:tcPr>
          <w:p w14:paraId="0D442DA7" w14:textId="77777777" w:rsidR="006E52DF" w:rsidRPr="006E52DF" w:rsidRDefault="006E52DF" w:rsidP="006E52DF">
            <w:pPr>
              <w:tabs>
                <w:tab w:val="right" w:pos="1202"/>
              </w:tabs>
              <w:spacing w:after="0" w:line="301" w:lineRule="exact"/>
              <w:jc w:val="right"/>
              <w:outlineLvl w:val="0"/>
              <w:rPr>
                <w:rFonts w:ascii="Calibri" w:eastAsia="Calibri" w:hAnsi="Calibri" w:cs="Calibri"/>
                <w:color w:val="000000"/>
                <w:sz w:val="20"/>
                <w:szCs w:val="20"/>
              </w:rPr>
            </w:pPr>
            <w:r w:rsidRPr="006E52DF">
              <w:rPr>
                <w:rFonts w:ascii="Calibri" w:eastAsia="Times New Roman" w:hAnsi="Calibri" w:cs="Times New Roman"/>
                <w:sz w:val="20"/>
                <w:szCs w:val="20"/>
                <w:lang w:val="en-US"/>
              </w:rPr>
              <w:t xml:space="preserve"> 1 </w:t>
            </w:r>
          </w:p>
        </w:tc>
        <w:tc>
          <w:tcPr>
            <w:tcW w:w="650" w:type="pct"/>
            <w:tcBorders>
              <w:top w:val="nil"/>
              <w:left w:val="nil"/>
              <w:bottom w:val="single" w:sz="4" w:space="0" w:color="auto"/>
              <w:right w:val="nil"/>
            </w:tcBorders>
            <w:shd w:val="clear" w:color="auto" w:fill="auto"/>
            <w:vAlign w:val="bottom"/>
          </w:tcPr>
          <w:p w14:paraId="0B980B34" w14:textId="77777777" w:rsidR="006E52DF" w:rsidRPr="006E52DF" w:rsidRDefault="006E52DF" w:rsidP="006E52DF">
            <w:pPr>
              <w:tabs>
                <w:tab w:val="right" w:pos="1202"/>
              </w:tabs>
              <w:spacing w:after="0" w:line="301" w:lineRule="exact"/>
              <w:jc w:val="right"/>
              <w:outlineLvl w:val="0"/>
              <w:rPr>
                <w:rFonts w:ascii="Calibri" w:eastAsia="Calibri" w:hAnsi="Calibri" w:cs="Calibri"/>
                <w:color w:val="000000"/>
                <w:sz w:val="20"/>
                <w:szCs w:val="20"/>
              </w:rPr>
            </w:pPr>
            <w:r w:rsidRPr="006E52DF">
              <w:rPr>
                <w:rFonts w:ascii="Calibri" w:eastAsia="Times New Roman" w:hAnsi="Calibri" w:cs="Times New Roman"/>
                <w:sz w:val="20"/>
                <w:szCs w:val="20"/>
                <w:lang w:val="en-US"/>
              </w:rPr>
              <w:t xml:space="preserve"> - </w:t>
            </w:r>
          </w:p>
        </w:tc>
        <w:tc>
          <w:tcPr>
            <w:tcW w:w="643" w:type="pct"/>
            <w:tcBorders>
              <w:top w:val="nil"/>
              <w:left w:val="nil"/>
              <w:bottom w:val="single" w:sz="4" w:space="0" w:color="auto"/>
              <w:right w:val="nil"/>
            </w:tcBorders>
            <w:shd w:val="clear" w:color="auto" w:fill="auto"/>
            <w:vAlign w:val="bottom"/>
          </w:tcPr>
          <w:p w14:paraId="62F291D2" w14:textId="77777777" w:rsidR="006E52DF" w:rsidRPr="006E52DF" w:rsidRDefault="006E52DF" w:rsidP="006E52DF">
            <w:pPr>
              <w:tabs>
                <w:tab w:val="right" w:pos="1202"/>
              </w:tabs>
              <w:spacing w:after="0" w:line="301" w:lineRule="exact"/>
              <w:jc w:val="right"/>
              <w:outlineLvl w:val="0"/>
              <w:rPr>
                <w:rFonts w:ascii="Calibri" w:eastAsia="Calibri" w:hAnsi="Calibri" w:cs="Calibri"/>
                <w:color w:val="000000"/>
                <w:sz w:val="20"/>
                <w:szCs w:val="20"/>
              </w:rPr>
            </w:pPr>
            <w:r w:rsidRPr="006E52DF">
              <w:rPr>
                <w:rFonts w:ascii="Calibri" w:eastAsia="Times New Roman" w:hAnsi="Calibri" w:cs="Times New Roman"/>
                <w:sz w:val="20"/>
                <w:szCs w:val="20"/>
                <w:lang w:val="en-US"/>
              </w:rPr>
              <w:t xml:space="preserve"> - </w:t>
            </w:r>
          </w:p>
        </w:tc>
        <w:tc>
          <w:tcPr>
            <w:tcW w:w="605" w:type="pct"/>
            <w:tcBorders>
              <w:top w:val="nil"/>
              <w:left w:val="nil"/>
              <w:bottom w:val="single" w:sz="4" w:space="0" w:color="auto"/>
              <w:right w:val="nil"/>
            </w:tcBorders>
            <w:shd w:val="clear" w:color="auto" w:fill="auto"/>
            <w:vAlign w:val="bottom"/>
          </w:tcPr>
          <w:p w14:paraId="0ED10D85" w14:textId="77777777" w:rsidR="006E52DF" w:rsidRPr="006E52DF" w:rsidRDefault="006E52DF" w:rsidP="006E52DF">
            <w:pPr>
              <w:tabs>
                <w:tab w:val="right" w:pos="1202"/>
              </w:tabs>
              <w:spacing w:after="0" w:line="301" w:lineRule="exact"/>
              <w:jc w:val="right"/>
              <w:outlineLvl w:val="0"/>
              <w:rPr>
                <w:rFonts w:ascii="Calibri" w:eastAsia="Calibri" w:hAnsi="Calibri" w:cs="Calibri"/>
                <w:color w:val="000000"/>
                <w:sz w:val="20"/>
                <w:szCs w:val="20"/>
              </w:rPr>
            </w:pPr>
            <w:r w:rsidRPr="006E52DF">
              <w:rPr>
                <w:rFonts w:ascii="Calibri" w:eastAsia="Times New Roman" w:hAnsi="Calibri" w:cs="Times New Roman"/>
                <w:sz w:val="20"/>
                <w:szCs w:val="20"/>
                <w:lang w:val="en-US"/>
              </w:rPr>
              <w:t xml:space="preserve"> - </w:t>
            </w:r>
          </w:p>
        </w:tc>
        <w:tc>
          <w:tcPr>
            <w:tcW w:w="637" w:type="pct"/>
            <w:tcBorders>
              <w:top w:val="nil"/>
              <w:left w:val="nil"/>
              <w:bottom w:val="single" w:sz="4" w:space="0" w:color="auto"/>
              <w:right w:val="nil"/>
            </w:tcBorders>
            <w:shd w:val="clear" w:color="auto" w:fill="auto"/>
            <w:vAlign w:val="bottom"/>
          </w:tcPr>
          <w:p w14:paraId="05004DD5" w14:textId="77777777" w:rsidR="006E52DF" w:rsidRPr="006E52DF" w:rsidRDefault="006E52DF" w:rsidP="006E52DF">
            <w:pPr>
              <w:tabs>
                <w:tab w:val="right" w:pos="1202"/>
              </w:tabs>
              <w:spacing w:after="0" w:line="301" w:lineRule="exact"/>
              <w:jc w:val="right"/>
              <w:outlineLvl w:val="0"/>
              <w:rPr>
                <w:rFonts w:ascii="Calibri" w:eastAsia="Calibri" w:hAnsi="Calibri" w:cs="Calibri"/>
                <w:color w:val="000000"/>
                <w:sz w:val="20"/>
                <w:szCs w:val="20"/>
              </w:rPr>
            </w:pPr>
            <w:r w:rsidRPr="006E52DF">
              <w:rPr>
                <w:rFonts w:ascii="Calibri" w:eastAsia="Times New Roman" w:hAnsi="Calibri" w:cs="Times New Roman"/>
                <w:sz w:val="20"/>
                <w:szCs w:val="20"/>
                <w:lang w:val="en-US"/>
              </w:rPr>
              <w:t xml:space="preserve"> 1 </w:t>
            </w:r>
          </w:p>
        </w:tc>
      </w:tr>
      <w:tr w:rsidR="006E52DF" w:rsidRPr="006E52DF" w14:paraId="0EAADB12" w14:textId="77777777" w:rsidTr="00E44437">
        <w:trPr>
          <w:trHeight w:val="33"/>
        </w:trPr>
        <w:tc>
          <w:tcPr>
            <w:tcW w:w="1815" w:type="pct"/>
            <w:vAlign w:val="bottom"/>
          </w:tcPr>
          <w:p w14:paraId="3503262D" w14:textId="77777777" w:rsidR="006E52DF" w:rsidRPr="006E52DF" w:rsidRDefault="006E52DF" w:rsidP="006E52DF">
            <w:pPr>
              <w:tabs>
                <w:tab w:val="right" w:pos="1202"/>
              </w:tabs>
              <w:spacing w:after="0" w:line="301" w:lineRule="exact"/>
              <w:outlineLvl w:val="0"/>
              <w:rPr>
                <w:rFonts w:ascii="Calibri" w:eastAsia="Calibri" w:hAnsi="Calibri" w:cs="Arial"/>
                <w:b/>
                <w:bCs/>
                <w:sz w:val="20"/>
                <w:szCs w:val="20"/>
                <w:lang w:val="en-GB"/>
              </w:rPr>
            </w:pPr>
            <w:r w:rsidRPr="006E52DF">
              <w:rPr>
                <w:rFonts w:ascii="Calibri" w:eastAsia="Calibri" w:hAnsi="Calibri" w:cs="Arial"/>
                <w:b/>
                <w:bCs/>
                <w:sz w:val="20"/>
                <w:szCs w:val="20"/>
                <w:lang w:val="en-GB"/>
              </w:rPr>
              <w:t xml:space="preserve">Balance </w:t>
            </w:r>
            <w:proofErr w:type="gramStart"/>
            <w:r w:rsidRPr="006E52DF">
              <w:rPr>
                <w:rFonts w:ascii="Calibri" w:eastAsia="Calibri" w:hAnsi="Calibri" w:cs="Arial"/>
                <w:b/>
                <w:bCs/>
                <w:sz w:val="20"/>
                <w:szCs w:val="20"/>
                <w:lang w:val="en-GB"/>
              </w:rPr>
              <w:t>at</w:t>
            </w:r>
            <w:proofErr w:type="gramEnd"/>
            <w:r w:rsidRPr="006E52DF">
              <w:rPr>
                <w:rFonts w:ascii="Calibri" w:eastAsia="Calibri" w:hAnsi="Calibri" w:cs="Arial"/>
                <w:b/>
                <w:bCs/>
                <w:sz w:val="20"/>
                <w:szCs w:val="20"/>
                <w:lang w:val="en-GB"/>
              </w:rPr>
              <w:t xml:space="preserve"> 31 December 2021</w:t>
            </w:r>
          </w:p>
        </w:tc>
        <w:tc>
          <w:tcPr>
            <w:tcW w:w="650" w:type="pct"/>
            <w:tcBorders>
              <w:top w:val="single" w:sz="4" w:space="0" w:color="auto"/>
              <w:left w:val="nil"/>
              <w:bottom w:val="single" w:sz="12" w:space="0" w:color="auto"/>
              <w:right w:val="nil"/>
            </w:tcBorders>
            <w:shd w:val="clear" w:color="auto" w:fill="auto"/>
          </w:tcPr>
          <w:p w14:paraId="54DC667C" w14:textId="77777777" w:rsidR="006E52DF" w:rsidRPr="006E52DF" w:rsidRDefault="006E52DF" w:rsidP="006E52DF">
            <w:pPr>
              <w:tabs>
                <w:tab w:val="right" w:pos="1202"/>
              </w:tabs>
              <w:spacing w:after="0" w:line="301" w:lineRule="exact"/>
              <w:jc w:val="right"/>
              <w:outlineLvl w:val="0"/>
              <w:rPr>
                <w:rFonts w:ascii="Calibri" w:eastAsia="Calibri" w:hAnsi="Calibri" w:cs="Arial"/>
                <w:b/>
                <w:bCs/>
                <w:sz w:val="20"/>
                <w:szCs w:val="20"/>
                <w:lang w:val="en-GB"/>
              </w:rPr>
            </w:pPr>
            <w:r w:rsidRPr="006E52DF">
              <w:rPr>
                <w:rFonts w:ascii="Calibri" w:eastAsia="Times New Roman" w:hAnsi="Calibri" w:cs="Times New Roman"/>
                <w:b/>
                <w:bCs/>
                <w:sz w:val="20"/>
                <w:szCs w:val="20"/>
                <w:lang w:val="en-US"/>
              </w:rPr>
              <w:t xml:space="preserve"> 1,804 </w:t>
            </w:r>
          </w:p>
        </w:tc>
        <w:tc>
          <w:tcPr>
            <w:tcW w:w="650" w:type="pct"/>
            <w:tcBorders>
              <w:top w:val="single" w:sz="4" w:space="0" w:color="auto"/>
              <w:left w:val="nil"/>
              <w:bottom w:val="single" w:sz="12" w:space="0" w:color="auto"/>
              <w:right w:val="nil"/>
            </w:tcBorders>
            <w:shd w:val="clear" w:color="auto" w:fill="auto"/>
          </w:tcPr>
          <w:p w14:paraId="26549098" w14:textId="77777777" w:rsidR="006E52DF" w:rsidRPr="006E52DF" w:rsidRDefault="006E52DF" w:rsidP="006E52DF">
            <w:pPr>
              <w:tabs>
                <w:tab w:val="right" w:pos="1202"/>
              </w:tabs>
              <w:spacing w:after="0" w:line="301" w:lineRule="exact"/>
              <w:jc w:val="right"/>
              <w:outlineLvl w:val="0"/>
              <w:rPr>
                <w:rFonts w:ascii="Calibri" w:eastAsia="Calibri" w:hAnsi="Calibri" w:cs="Arial"/>
                <w:b/>
                <w:bCs/>
                <w:sz w:val="20"/>
                <w:szCs w:val="20"/>
                <w:lang w:val="en-GB"/>
              </w:rPr>
            </w:pPr>
            <w:r w:rsidRPr="006E52DF">
              <w:rPr>
                <w:rFonts w:ascii="Calibri" w:eastAsia="Times New Roman" w:hAnsi="Calibri" w:cs="Times New Roman"/>
                <w:b/>
                <w:bCs/>
                <w:sz w:val="20"/>
                <w:szCs w:val="20"/>
                <w:lang w:val="en-US"/>
              </w:rPr>
              <w:t xml:space="preserve"> - </w:t>
            </w:r>
          </w:p>
        </w:tc>
        <w:tc>
          <w:tcPr>
            <w:tcW w:w="643" w:type="pct"/>
            <w:tcBorders>
              <w:top w:val="single" w:sz="4" w:space="0" w:color="auto"/>
              <w:left w:val="nil"/>
              <w:bottom w:val="single" w:sz="12" w:space="0" w:color="auto"/>
              <w:right w:val="nil"/>
            </w:tcBorders>
            <w:shd w:val="clear" w:color="auto" w:fill="auto"/>
          </w:tcPr>
          <w:p w14:paraId="153BE020" w14:textId="77777777" w:rsidR="006E52DF" w:rsidRPr="006E52DF" w:rsidRDefault="006E52DF" w:rsidP="006E52DF">
            <w:pPr>
              <w:tabs>
                <w:tab w:val="right" w:pos="1202"/>
              </w:tabs>
              <w:spacing w:after="0" w:line="301" w:lineRule="exact"/>
              <w:jc w:val="right"/>
              <w:outlineLvl w:val="0"/>
              <w:rPr>
                <w:rFonts w:ascii="Calibri" w:eastAsia="Calibri" w:hAnsi="Calibri" w:cs="Arial"/>
                <w:b/>
                <w:bCs/>
                <w:sz w:val="20"/>
                <w:szCs w:val="20"/>
                <w:lang w:val="en-GB"/>
              </w:rPr>
            </w:pPr>
            <w:r w:rsidRPr="006E52DF">
              <w:rPr>
                <w:rFonts w:ascii="Calibri" w:eastAsia="Times New Roman" w:hAnsi="Calibri" w:cs="Times New Roman"/>
                <w:b/>
                <w:bCs/>
                <w:sz w:val="20"/>
                <w:szCs w:val="20"/>
                <w:lang w:val="en-US"/>
              </w:rPr>
              <w:t xml:space="preserve"> - </w:t>
            </w:r>
          </w:p>
        </w:tc>
        <w:tc>
          <w:tcPr>
            <w:tcW w:w="605" w:type="pct"/>
            <w:tcBorders>
              <w:top w:val="single" w:sz="4" w:space="0" w:color="auto"/>
              <w:left w:val="nil"/>
              <w:bottom w:val="single" w:sz="12" w:space="0" w:color="auto"/>
              <w:right w:val="nil"/>
            </w:tcBorders>
            <w:shd w:val="clear" w:color="auto" w:fill="auto"/>
          </w:tcPr>
          <w:p w14:paraId="3511FB5A" w14:textId="77777777" w:rsidR="006E52DF" w:rsidRPr="006E52DF" w:rsidRDefault="006E52DF" w:rsidP="006E52DF">
            <w:pPr>
              <w:tabs>
                <w:tab w:val="right" w:pos="1202"/>
              </w:tabs>
              <w:spacing w:after="0" w:line="301" w:lineRule="exact"/>
              <w:jc w:val="right"/>
              <w:outlineLvl w:val="0"/>
              <w:rPr>
                <w:rFonts w:ascii="Calibri" w:eastAsia="Calibri" w:hAnsi="Calibri" w:cs="Arial"/>
                <w:b/>
                <w:bCs/>
                <w:sz w:val="20"/>
                <w:szCs w:val="20"/>
                <w:lang w:val="en-GB"/>
              </w:rPr>
            </w:pPr>
            <w:r w:rsidRPr="006E52DF">
              <w:rPr>
                <w:rFonts w:ascii="Calibri" w:eastAsia="Times New Roman" w:hAnsi="Calibri" w:cs="Times New Roman"/>
                <w:b/>
                <w:bCs/>
                <w:sz w:val="20"/>
                <w:szCs w:val="20"/>
                <w:lang w:val="en-US"/>
              </w:rPr>
              <w:t xml:space="preserve"> - </w:t>
            </w:r>
          </w:p>
        </w:tc>
        <w:tc>
          <w:tcPr>
            <w:tcW w:w="637" w:type="pct"/>
            <w:tcBorders>
              <w:top w:val="single" w:sz="4" w:space="0" w:color="auto"/>
              <w:left w:val="nil"/>
              <w:bottom w:val="single" w:sz="12" w:space="0" w:color="auto"/>
              <w:right w:val="nil"/>
            </w:tcBorders>
            <w:shd w:val="clear" w:color="auto" w:fill="auto"/>
          </w:tcPr>
          <w:p w14:paraId="0DE4695D" w14:textId="77777777" w:rsidR="006E52DF" w:rsidRPr="006E52DF" w:rsidRDefault="006E52DF" w:rsidP="006E52DF">
            <w:pPr>
              <w:tabs>
                <w:tab w:val="right" w:pos="1202"/>
              </w:tabs>
              <w:spacing w:after="0" w:line="301" w:lineRule="exact"/>
              <w:jc w:val="right"/>
              <w:outlineLvl w:val="0"/>
              <w:rPr>
                <w:rFonts w:ascii="Calibri" w:eastAsia="Calibri" w:hAnsi="Calibri" w:cs="Arial"/>
                <w:b/>
                <w:bCs/>
                <w:sz w:val="20"/>
                <w:szCs w:val="20"/>
                <w:lang w:val="en-GB"/>
              </w:rPr>
            </w:pPr>
            <w:r w:rsidRPr="006E52DF">
              <w:rPr>
                <w:rFonts w:ascii="Calibri" w:eastAsia="Times New Roman" w:hAnsi="Calibri" w:cs="Times New Roman"/>
                <w:b/>
                <w:bCs/>
                <w:sz w:val="20"/>
                <w:szCs w:val="20"/>
                <w:lang w:val="en-US"/>
              </w:rPr>
              <w:t xml:space="preserve"> 1,804 </w:t>
            </w:r>
          </w:p>
        </w:tc>
      </w:tr>
    </w:tbl>
    <w:p w14:paraId="4A683959" w14:textId="1B6CD6B6" w:rsidR="004A287E" w:rsidRPr="00537128" w:rsidRDefault="004A287E" w:rsidP="00712478">
      <w:pPr>
        <w:spacing w:after="0" w:line="240" w:lineRule="auto"/>
        <w:jc w:val="both"/>
        <w:rPr>
          <w:rFonts w:ascii="Calibri" w:eastAsia="Times New Roman" w:hAnsi="Calibri" w:cs="Arial"/>
          <w:bCs/>
          <w:color w:val="000000" w:themeColor="text1"/>
          <w:lang w:val="en-US"/>
        </w:rPr>
      </w:pPr>
    </w:p>
    <w:p w14:paraId="3975D39E" w14:textId="77777777" w:rsidR="004A287E" w:rsidRPr="00537128" w:rsidRDefault="004A287E" w:rsidP="00712478">
      <w:pPr>
        <w:spacing w:after="0" w:line="240" w:lineRule="auto"/>
        <w:jc w:val="both"/>
        <w:rPr>
          <w:rFonts w:ascii="Calibri" w:eastAsia="Times New Roman" w:hAnsi="Calibri" w:cs="Arial"/>
          <w:bCs/>
          <w:color w:val="000000" w:themeColor="text1"/>
          <w:lang w:val="en-US"/>
        </w:rPr>
      </w:pPr>
    </w:p>
    <w:p w14:paraId="4995DACB"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pPr>
    </w:p>
    <w:p w14:paraId="14F78CDE"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sectPr w:rsidR="00716C7A" w:rsidRPr="00537128" w:rsidSect="00712478">
          <w:pgSz w:w="11906" w:h="16838"/>
          <w:pgMar w:top="1418" w:right="1134" w:bottom="1418" w:left="1418" w:header="709" w:footer="709" w:gutter="0"/>
          <w:cols w:space="708"/>
          <w:docGrid w:linePitch="360"/>
        </w:sectPr>
      </w:pPr>
    </w:p>
    <w:p w14:paraId="77E3E26F" w14:textId="77777777" w:rsidR="00716C7A" w:rsidRPr="00537128" w:rsidRDefault="00716C7A" w:rsidP="00716C7A">
      <w:pPr>
        <w:spacing w:after="0" w:line="240" w:lineRule="auto"/>
        <w:jc w:val="both"/>
        <w:rPr>
          <w:rFonts w:ascii="Calibri" w:eastAsia="Calibri" w:hAnsi="Calibri" w:cs="Arial"/>
          <w:b/>
          <w:bCs/>
          <w:color w:val="000000" w:themeColor="text1"/>
          <w:lang w:val="en-US"/>
        </w:rPr>
      </w:pPr>
    </w:p>
    <w:p w14:paraId="7C72A898" w14:textId="35A8D752" w:rsidR="00716C7A" w:rsidRPr="00537128" w:rsidRDefault="00B357CE" w:rsidP="00716C7A">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716C7A" w:rsidRPr="00537128">
        <w:rPr>
          <w:rFonts w:ascii="Calibri" w:eastAsia="Calibri" w:hAnsi="Calibri" w:cs="Arial"/>
          <w:b/>
          <w:bCs/>
          <w:color w:val="000000" w:themeColor="text1"/>
          <w:lang w:val="en-US"/>
        </w:rPr>
        <w:t>.</w:t>
      </w:r>
      <w:r w:rsidR="00716C7A" w:rsidRPr="00537128">
        <w:rPr>
          <w:rFonts w:ascii="Calibri" w:eastAsia="Calibri" w:hAnsi="Calibri" w:cs="Arial"/>
          <w:b/>
          <w:bCs/>
          <w:color w:val="000000" w:themeColor="text1"/>
          <w:lang w:val="en-US"/>
        </w:rPr>
        <w:tab/>
        <w:t>Risk management (continued)</w:t>
      </w:r>
    </w:p>
    <w:p w14:paraId="55BABB30" w14:textId="77777777" w:rsidR="00716C7A" w:rsidRPr="00537128" w:rsidRDefault="00716C7A" w:rsidP="00716C7A">
      <w:pPr>
        <w:spacing w:after="0" w:line="240" w:lineRule="auto"/>
        <w:jc w:val="both"/>
        <w:rPr>
          <w:rFonts w:ascii="Calibri" w:eastAsia="Times New Roman" w:hAnsi="Calibri" w:cs="Times New Roman"/>
          <w:b/>
          <w:color w:val="000000" w:themeColor="text1"/>
          <w:lang w:val="en-US"/>
        </w:rPr>
      </w:pPr>
    </w:p>
    <w:p w14:paraId="77AC16E5" w14:textId="295937E3" w:rsidR="00716C7A" w:rsidRPr="00537128" w:rsidRDefault="00B357CE" w:rsidP="00716C7A">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716C7A" w:rsidRPr="00537128">
        <w:rPr>
          <w:rFonts w:ascii="Calibri" w:eastAsia="Times New Roman" w:hAnsi="Calibri" w:cs="Times New Roman"/>
          <w:b/>
          <w:color w:val="000000" w:themeColor="text1"/>
          <w:lang w:val="en-US"/>
        </w:rPr>
        <w:t xml:space="preserve"> </w:t>
      </w:r>
      <w:r w:rsidR="00716C7A" w:rsidRPr="00537128">
        <w:rPr>
          <w:rFonts w:ascii="Calibri" w:eastAsia="Times New Roman" w:hAnsi="Calibri" w:cs="Times New Roman"/>
          <w:b/>
          <w:color w:val="000000" w:themeColor="text1"/>
          <w:lang w:val="en-US"/>
        </w:rPr>
        <w:tab/>
        <w:t>Credit risk (continued)</w:t>
      </w:r>
    </w:p>
    <w:p w14:paraId="1FF75611" w14:textId="77777777" w:rsidR="00716C7A" w:rsidRPr="00537128" w:rsidRDefault="00716C7A" w:rsidP="00716C7A">
      <w:pPr>
        <w:spacing w:after="0" w:line="240" w:lineRule="auto"/>
        <w:jc w:val="both"/>
        <w:rPr>
          <w:rFonts w:ascii="Calibri" w:eastAsia="Calibri" w:hAnsi="Calibri" w:cs="Arial"/>
          <w:b/>
          <w:bCs/>
          <w:i/>
          <w:color w:val="000000" w:themeColor="text1"/>
          <w:lang w:val="en-US"/>
        </w:rPr>
      </w:pPr>
    </w:p>
    <w:p w14:paraId="6EAD7BDA" w14:textId="5F190FEF" w:rsidR="00716C7A" w:rsidRPr="00537128" w:rsidRDefault="00716C7A" w:rsidP="00824E0F">
      <w:pPr>
        <w:numPr>
          <w:ilvl w:val="8"/>
          <w:numId w:val="45"/>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r w:rsidR="00685DB2">
        <w:rPr>
          <w:rFonts w:ascii="Calibri" w:eastAsia="Calibri" w:hAnsi="Calibri" w:cs="Arial"/>
          <w:bCs/>
          <w:i/>
          <w:color w:val="000000" w:themeColor="text1"/>
          <w:lang w:val="en-US"/>
        </w:rPr>
        <w:t xml:space="preserve"> (continued)</w:t>
      </w:r>
    </w:p>
    <w:p w14:paraId="10754472"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pPr>
    </w:p>
    <w:p w14:paraId="7DCF92C4" w14:textId="77777777" w:rsidR="00716C7A" w:rsidRPr="00537128" w:rsidRDefault="00716C7A" w:rsidP="00716C7A">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Deposits with other banks</w:t>
      </w:r>
    </w:p>
    <w:p w14:paraId="1F3E62BD" w14:textId="77777777" w:rsidR="00716C7A" w:rsidRPr="00537128" w:rsidRDefault="00716C7A" w:rsidP="00716C7A">
      <w:pPr>
        <w:spacing w:after="0" w:line="240" w:lineRule="auto"/>
        <w:jc w:val="both"/>
        <w:rPr>
          <w:rFonts w:ascii="Calibri" w:eastAsia="Times New Roman" w:hAnsi="Calibri" w:cs="Times New Roman"/>
          <w:b/>
          <w:bCs/>
          <w:color w:val="000000" w:themeColor="text1"/>
          <w:lang w:val="en-US"/>
        </w:rPr>
      </w:pPr>
    </w:p>
    <w:p w14:paraId="27527F91"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4A287E" w:rsidRPr="00537128" w14:paraId="067DD7C1" w14:textId="77777777" w:rsidTr="004A287E">
        <w:trPr>
          <w:trHeight w:val="303"/>
        </w:trPr>
        <w:tc>
          <w:tcPr>
            <w:tcW w:w="1814" w:type="pct"/>
          </w:tcPr>
          <w:p w14:paraId="1DAD7423" w14:textId="77777777" w:rsidR="004A287E" w:rsidRPr="00537128" w:rsidRDefault="004A287E" w:rsidP="004A287E">
            <w:pPr>
              <w:spacing w:after="0" w:line="240" w:lineRule="auto"/>
              <w:rPr>
                <w:rFonts w:ascii="Calibri" w:eastAsia="Calibri" w:hAnsi="Calibri" w:cs="Arial"/>
                <w:b/>
                <w:bCs/>
                <w:sz w:val="20"/>
                <w:szCs w:val="20"/>
                <w:lang w:val="en-US"/>
              </w:rPr>
            </w:pPr>
            <w:bookmarkStart w:id="814" w:name="_Hlk5872046"/>
            <w:r w:rsidRPr="00537128">
              <w:rPr>
                <w:rFonts w:ascii="Calibri" w:eastAsia="Calibri" w:hAnsi="Calibri" w:cs="Arial"/>
                <w:b/>
                <w:bCs/>
                <w:sz w:val="20"/>
                <w:szCs w:val="20"/>
                <w:lang w:val="en-US"/>
              </w:rPr>
              <w:br w:type="page"/>
              <w:t>Group and Bank</w:t>
            </w:r>
          </w:p>
        </w:tc>
        <w:tc>
          <w:tcPr>
            <w:tcW w:w="3186" w:type="pct"/>
            <w:gridSpan w:val="5"/>
            <w:vAlign w:val="bottom"/>
          </w:tcPr>
          <w:p w14:paraId="224D31D7" w14:textId="77777777" w:rsidR="004A287E" w:rsidRPr="00537128" w:rsidRDefault="004A287E" w:rsidP="004A287E">
            <w:pPr>
              <w:spacing w:after="0" w:line="240" w:lineRule="auto"/>
              <w:jc w:val="center"/>
              <w:rPr>
                <w:rFonts w:ascii="Calibri" w:eastAsia="Calibri" w:hAnsi="Calibri" w:cs="Arial"/>
                <w:b/>
                <w:sz w:val="20"/>
                <w:szCs w:val="20"/>
                <w:lang w:val="en-US"/>
              </w:rPr>
            </w:pPr>
          </w:p>
        </w:tc>
      </w:tr>
      <w:tr w:rsidR="004A287E" w:rsidRPr="00537128" w14:paraId="4F2F4CA4" w14:textId="77777777" w:rsidTr="004A287E">
        <w:trPr>
          <w:trHeight w:val="47"/>
        </w:trPr>
        <w:tc>
          <w:tcPr>
            <w:tcW w:w="1814" w:type="pct"/>
          </w:tcPr>
          <w:p w14:paraId="24CAC801" w14:textId="53F1CCE0" w:rsidR="004A287E" w:rsidRPr="00537128" w:rsidRDefault="002412CA"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31 March 202</w:t>
            </w:r>
            <w:r w:rsidR="004A3418">
              <w:rPr>
                <w:rFonts w:ascii="Calibri" w:eastAsia="Calibri" w:hAnsi="Calibri" w:cs="Arial"/>
                <w:b/>
                <w:bCs/>
                <w:sz w:val="20"/>
                <w:szCs w:val="20"/>
                <w:lang w:val="en-US"/>
              </w:rPr>
              <w:t>2</w:t>
            </w:r>
          </w:p>
        </w:tc>
        <w:tc>
          <w:tcPr>
            <w:tcW w:w="648" w:type="pct"/>
            <w:vAlign w:val="bottom"/>
          </w:tcPr>
          <w:p w14:paraId="12678D62"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1</w:t>
            </w:r>
          </w:p>
        </w:tc>
        <w:tc>
          <w:tcPr>
            <w:tcW w:w="649" w:type="pct"/>
            <w:vAlign w:val="bottom"/>
          </w:tcPr>
          <w:p w14:paraId="29A792DD"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2</w:t>
            </w:r>
          </w:p>
        </w:tc>
        <w:tc>
          <w:tcPr>
            <w:tcW w:w="642" w:type="pct"/>
            <w:vAlign w:val="bottom"/>
          </w:tcPr>
          <w:p w14:paraId="1CB9ECD9"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3</w:t>
            </w:r>
          </w:p>
        </w:tc>
        <w:tc>
          <w:tcPr>
            <w:tcW w:w="604" w:type="pct"/>
            <w:vAlign w:val="bottom"/>
          </w:tcPr>
          <w:p w14:paraId="23BFFC07"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POCI</w:t>
            </w:r>
          </w:p>
        </w:tc>
        <w:tc>
          <w:tcPr>
            <w:tcW w:w="643" w:type="pct"/>
            <w:vAlign w:val="bottom"/>
          </w:tcPr>
          <w:p w14:paraId="17345F0E"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Total</w:t>
            </w:r>
          </w:p>
        </w:tc>
      </w:tr>
      <w:tr w:rsidR="004A287E" w:rsidRPr="00537128" w14:paraId="5AFBCC37" w14:textId="77777777" w:rsidTr="004A287E">
        <w:trPr>
          <w:trHeight w:val="47"/>
        </w:trPr>
        <w:tc>
          <w:tcPr>
            <w:tcW w:w="1814" w:type="pct"/>
          </w:tcPr>
          <w:p w14:paraId="649BFE07"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48" w:type="pct"/>
          </w:tcPr>
          <w:p w14:paraId="4F6D3333"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9" w:type="pct"/>
          </w:tcPr>
          <w:p w14:paraId="2B521182"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2" w:type="pct"/>
          </w:tcPr>
          <w:p w14:paraId="067663E0"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04" w:type="pct"/>
          </w:tcPr>
          <w:p w14:paraId="06E22BF8"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3" w:type="pct"/>
          </w:tcPr>
          <w:p w14:paraId="2DBD8749"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r>
      <w:tr w:rsidR="004A287E" w:rsidRPr="00537128" w14:paraId="1A3E133A" w14:textId="77777777" w:rsidTr="004A287E">
        <w:trPr>
          <w:trHeight w:val="47"/>
        </w:trPr>
        <w:tc>
          <w:tcPr>
            <w:tcW w:w="1814" w:type="pct"/>
          </w:tcPr>
          <w:p w14:paraId="08D64BE0"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48" w:type="pct"/>
          </w:tcPr>
          <w:p w14:paraId="20298773"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9" w:type="pct"/>
          </w:tcPr>
          <w:p w14:paraId="743E0DA8"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2" w:type="pct"/>
          </w:tcPr>
          <w:p w14:paraId="0B9EDFCB"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04" w:type="pct"/>
          </w:tcPr>
          <w:p w14:paraId="68FC28AA"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3" w:type="pct"/>
          </w:tcPr>
          <w:p w14:paraId="2CB0EB42" w14:textId="77777777" w:rsidR="004A287E" w:rsidRPr="00537128" w:rsidRDefault="004A287E" w:rsidP="004A287E">
            <w:pPr>
              <w:spacing w:after="0" w:line="240" w:lineRule="auto"/>
              <w:jc w:val="right"/>
              <w:rPr>
                <w:rFonts w:ascii="Calibri" w:eastAsia="Calibri" w:hAnsi="Calibri" w:cs="Arial"/>
                <w:b/>
                <w:sz w:val="20"/>
                <w:szCs w:val="20"/>
                <w:lang w:val="en-US"/>
              </w:rPr>
            </w:pPr>
          </w:p>
        </w:tc>
      </w:tr>
      <w:tr w:rsidR="00C15883" w:rsidRPr="00537128" w14:paraId="05969366" w14:textId="77777777" w:rsidTr="004A287E">
        <w:trPr>
          <w:trHeight w:val="164"/>
        </w:trPr>
        <w:tc>
          <w:tcPr>
            <w:tcW w:w="1814" w:type="pct"/>
            <w:vAlign w:val="bottom"/>
          </w:tcPr>
          <w:p w14:paraId="5A746026" w14:textId="0182410D" w:rsidR="00C15883" w:rsidRPr="00537128" w:rsidRDefault="00C15883" w:rsidP="00C15883">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 xml:space="preserve">Balance </w:t>
            </w:r>
            <w:proofErr w:type="gramStart"/>
            <w:r w:rsidRPr="00537128">
              <w:rPr>
                <w:rFonts w:ascii="Calibri" w:eastAsia="Calibri" w:hAnsi="Calibri" w:cs="Times New Roman"/>
                <w:sz w:val="20"/>
                <w:szCs w:val="20"/>
                <w:lang w:val="en-US"/>
              </w:rPr>
              <w:t>at</w:t>
            </w:r>
            <w:proofErr w:type="gramEnd"/>
            <w:r w:rsidRPr="00537128">
              <w:rPr>
                <w:rFonts w:ascii="Calibri" w:eastAsia="Calibri" w:hAnsi="Calibri" w:cs="Times New Roman"/>
                <w:sz w:val="20"/>
                <w:szCs w:val="20"/>
                <w:lang w:val="en-US"/>
              </w:rPr>
              <w:t xml:space="preserve"> 1 January 202</w:t>
            </w:r>
            <w:r>
              <w:rPr>
                <w:rFonts w:ascii="Calibri" w:eastAsia="Calibri" w:hAnsi="Calibri" w:cs="Times New Roman"/>
                <w:sz w:val="20"/>
                <w:szCs w:val="20"/>
                <w:lang w:val="en-US"/>
              </w:rPr>
              <w:t>2</w:t>
            </w:r>
          </w:p>
        </w:tc>
        <w:tc>
          <w:tcPr>
            <w:tcW w:w="648" w:type="pct"/>
            <w:shd w:val="clear" w:color="auto" w:fill="auto"/>
            <w:vAlign w:val="bottom"/>
          </w:tcPr>
          <w:p w14:paraId="3D9987F8" w14:textId="134F1442" w:rsidR="00C15883" w:rsidRPr="00537128" w:rsidRDefault="00C15883" w:rsidP="00C15883">
            <w:pPr>
              <w:spacing w:after="0" w:line="240" w:lineRule="auto"/>
              <w:jc w:val="right"/>
              <w:rPr>
                <w:rFonts w:ascii="Calibri" w:eastAsia="Calibri" w:hAnsi="Calibri" w:cs="Arial"/>
                <w:sz w:val="20"/>
                <w:szCs w:val="20"/>
                <w:lang w:val="en-US"/>
              </w:rPr>
            </w:pPr>
            <w:r w:rsidRPr="007A49AD">
              <w:rPr>
                <w:sz w:val="20"/>
                <w:szCs w:val="20"/>
              </w:rPr>
              <w:t xml:space="preserve"> 1 </w:t>
            </w:r>
          </w:p>
        </w:tc>
        <w:tc>
          <w:tcPr>
            <w:tcW w:w="649" w:type="pct"/>
            <w:shd w:val="clear" w:color="auto" w:fill="auto"/>
            <w:vAlign w:val="bottom"/>
          </w:tcPr>
          <w:p w14:paraId="4601F9BA" w14:textId="5BC8D77B" w:rsidR="00C15883" w:rsidRPr="00537128" w:rsidRDefault="00C15883" w:rsidP="00C15883">
            <w:pPr>
              <w:spacing w:after="0" w:line="240" w:lineRule="auto"/>
              <w:jc w:val="right"/>
              <w:rPr>
                <w:rFonts w:ascii="Calibri" w:eastAsia="Calibri" w:hAnsi="Calibri" w:cs="Arial"/>
                <w:sz w:val="20"/>
                <w:szCs w:val="20"/>
                <w:lang w:val="en-US"/>
              </w:rPr>
            </w:pPr>
            <w:r w:rsidRPr="007A49AD">
              <w:rPr>
                <w:sz w:val="20"/>
                <w:szCs w:val="20"/>
              </w:rPr>
              <w:t xml:space="preserve"> -    </w:t>
            </w:r>
          </w:p>
        </w:tc>
        <w:tc>
          <w:tcPr>
            <w:tcW w:w="642" w:type="pct"/>
            <w:shd w:val="clear" w:color="auto" w:fill="auto"/>
            <w:vAlign w:val="bottom"/>
          </w:tcPr>
          <w:p w14:paraId="54D63D18" w14:textId="42FF69AB" w:rsidR="00C15883" w:rsidRPr="00537128" w:rsidRDefault="00C15883" w:rsidP="00C15883">
            <w:pPr>
              <w:spacing w:after="0" w:line="240" w:lineRule="auto"/>
              <w:jc w:val="right"/>
              <w:rPr>
                <w:rFonts w:ascii="Calibri" w:eastAsia="Calibri" w:hAnsi="Calibri" w:cs="Arial"/>
                <w:sz w:val="20"/>
                <w:szCs w:val="20"/>
                <w:lang w:val="en-US"/>
              </w:rPr>
            </w:pPr>
            <w:r w:rsidRPr="007A49AD">
              <w:rPr>
                <w:sz w:val="20"/>
                <w:szCs w:val="20"/>
              </w:rPr>
              <w:t xml:space="preserve"> -    </w:t>
            </w:r>
          </w:p>
        </w:tc>
        <w:tc>
          <w:tcPr>
            <w:tcW w:w="604" w:type="pct"/>
            <w:shd w:val="clear" w:color="auto" w:fill="auto"/>
            <w:vAlign w:val="bottom"/>
          </w:tcPr>
          <w:p w14:paraId="39F2AA78" w14:textId="5B8592BF" w:rsidR="00C15883" w:rsidRPr="00537128" w:rsidRDefault="00C15883" w:rsidP="00C15883">
            <w:pPr>
              <w:spacing w:after="0" w:line="240" w:lineRule="auto"/>
              <w:jc w:val="right"/>
              <w:rPr>
                <w:rFonts w:ascii="Calibri" w:eastAsia="Calibri" w:hAnsi="Calibri" w:cs="Arial"/>
                <w:sz w:val="20"/>
                <w:szCs w:val="20"/>
                <w:lang w:val="en-US"/>
              </w:rPr>
            </w:pPr>
            <w:r w:rsidRPr="007A49AD">
              <w:rPr>
                <w:sz w:val="20"/>
                <w:szCs w:val="20"/>
              </w:rPr>
              <w:t xml:space="preserve"> -    </w:t>
            </w:r>
          </w:p>
        </w:tc>
        <w:tc>
          <w:tcPr>
            <w:tcW w:w="643" w:type="pct"/>
            <w:shd w:val="clear" w:color="auto" w:fill="auto"/>
            <w:vAlign w:val="bottom"/>
          </w:tcPr>
          <w:p w14:paraId="2D8294E3" w14:textId="2E5B8A1F" w:rsidR="00C15883" w:rsidRPr="00537128" w:rsidRDefault="00C15883" w:rsidP="00C15883">
            <w:pPr>
              <w:spacing w:after="0" w:line="240" w:lineRule="auto"/>
              <w:jc w:val="right"/>
              <w:rPr>
                <w:rFonts w:ascii="Calibri" w:eastAsia="Calibri" w:hAnsi="Calibri" w:cs="Arial"/>
                <w:sz w:val="20"/>
                <w:szCs w:val="20"/>
                <w:lang w:val="en-US"/>
              </w:rPr>
            </w:pPr>
            <w:r w:rsidRPr="007A49AD">
              <w:rPr>
                <w:sz w:val="20"/>
                <w:szCs w:val="20"/>
              </w:rPr>
              <w:t xml:space="preserve"> 1 </w:t>
            </w:r>
          </w:p>
        </w:tc>
      </w:tr>
      <w:tr w:rsidR="00C15883" w:rsidRPr="00537128" w14:paraId="0100A6A1" w14:textId="77777777" w:rsidTr="00A1123E">
        <w:trPr>
          <w:trHeight w:val="164"/>
        </w:trPr>
        <w:tc>
          <w:tcPr>
            <w:tcW w:w="1814" w:type="pct"/>
          </w:tcPr>
          <w:p w14:paraId="7CA155BE" w14:textId="77777777" w:rsidR="00C15883" w:rsidRPr="00537128" w:rsidRDefault="00C15883" w:rsidP="00C15883">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1</w:t>
            </w:r>
          </w:p>
        </w:tc>
        <w:tc>
          <w:tcPr>
            <w:tcW w:w="648" w:type="pct"/>
            <w:tcBorders>
              <w:top w:val="nil"/>
              <w:left w:val="nil"/>
              <w:right w:val="nil"/>
            </w:tcBorders>
            <w:shd w:val="clear" w:color="auto" w:fill="auto"/>
            <w:vAlign w:val="bottom"/>
          </w:tcPr>
          <w:p w14:paraId="546341E0" w14:textId="08CE8DD9" w:rsidR="00C15883" w:rsidRPr="00537128" w:rsidRDefault="00C15883" w:rsidP="00C15883">
            <w:pPr>
              <w:spacing w:after="0" w:line="240" w:lineRule="auto"/>
              <w:jc w:val="right"/>
              <w:rPr>
                <w:rFonts w:ascii="Calibri" w:eastAsia="Calibri" w:hAnsi="Calibri" w:cs="Calibri"/>
                <w:color w:val="000000"/>
                <w:sz w:val="20"/>
                <w:szCs w:val="20"/>
                <w:lang w:val="en-US"/>
              </w:rPr>
            </w:pPr>
            <w:r w:rsidRPr="007A49AD">
              <w:rPr>
                <w:sz w:val="20"/>
                <w:szCs w:val="20"/>
              </w:rPr>
              <w:t xml:space="preserve"> - </w:t>
            </w:r>
          </w:p>
        </w:tc>
        <w:tc>
          <w:tcPr>
            <w:tcW w:w="649" w:type="pct"/>
            <w:tcBorders>
              <w:top w:val="nil"/>
              <w:left w:val="nil"/>
              <w:right w:val="nil"/>
            </w:tcBorders>
            <w:shd w:val="clear" w:color="auto" w:fill="auto"/>
            <w:vAlign w:val="bottom"/>
          </w:tcPr>
          <w:p w14:paraId="7EE2FEEB" w14:textId="7724755A" w:rsidR="00C15883" w:rsidRPr="00537128" w:rsidRDefault="00C15883" w:rsidP="00C15883">
            <w:pPr>
              <w:spacing w:after="0" w:line="240" w:lineRule="auto"/>
              <w:jc w:val="right"/>
              <w:rPr>
                <w:rFonts w:ascii="Calibri" w:eastAsia="Calibri" w:hAnsi="Calibri" w:cs="Calibri"/>
                <w:color w:val="000000"/>
                <w:sz w:val="20"/>
                <w:szCs w:val="20"/>
                <w:lang w:val="en-US"/>
              </w:rPr>
            </w:pPr>
            <w:r w:rsidRPr="007A49AD">
              <w:rPr>
                <w:sz w:val="20"/>
                <w:szCs w:val="20"/>
              </w:rPr>
              <w:t xml:space="preserve"> - </w:t>
            </w:r>
          </w:p>
        </w:tc>
        <w:tc>
          <w:tcPr>
            <w:tcW w:w="642" w:type="pct"/>
            <w:tcBorders>
              <w:top w:val="nil"/>
              <w:left w:val="nil"/>
              <w:right w:val="nil"/>
            </w:tcBorders>
            <w:shd w:val="clear" w:color="auto" w:fill="auto"/>
            <w:vAlign w:val="bottom"/>
          </w:tcPr>
          <w:p w14:paraId="655A87B0" w14:textId="4CB6EE63" w:rsidR="00C15883" w:rsidRPr="00537128" w:rsidRDefault="00C15883" w:rsidP="00C15883">
            <w:pPr>
              <w:spacing w:after="0" w:line="240" w:lineRule="auto"/>
              <w:jc w:val="right"/>
              <w:rPr>
                <w:rFonts w:ascii="Calibri" w:eastAsia="Calibri" w:hAnsi="Calibri" w:cs="Calibri"/>
                <w:color w:val="000000"/>
                <w:sz w:val="20"/>
                <w:szCs w:val="20"/>
                <w:lang w:val="en-US"/>
              </w:rPr>
            </w:pPr>
            <w:r w:rsidRPr="007A49AD">
              <w:rPr>
                <w:sz w:val="20"/>
                <w:szCs w:val="20"/>
              </w:rPr>
              <w:t xml:space="preserve"> - </w:t>
            </w:r>
          </w:p>
        </w:tc>
        <w:tc>
          <w:tcPr>
            <w:tcW w:w="604" w:type="pct"/>
            <w:tcBorders>
              <w:top w:val="nil"/>
              <w:left w:val="nil"/>
              <w:right w:val="nil"/>
            </w:tcBorders>
            <w:shd w:val="clear" w:color="auto" w:fill="auto"/>
            <w:vAlign w:val="bottom"/>
          </w:tcPr>
          <w:p w14:paraId="5D1450C3" w14:textId="20E42D00" w:rsidR="00C15883" w:rsidRPr="00537128" w:rsidRDefault="00C15883" w:rsidP="00C15883">
            <w:pPr>
              <w:spacing w:after="0" w:line="240" w:lineRule="auto"/>
              <w:jc w:val="right"/>
              <w:rPr>
                <w:rFonts w:ascii="Calibri" w:eastAsia="Calibri" w:hAnsi="Calibri" w:cs="Calibri"/>
                <w:color w:val="000000"/>
                <w:sz w:val="20"/>
                <w:szCs w:val="20"/>
                <w:lang w:val="en-US"/>
              </w:rPr>
            </w:pPr>
            <w:r w:rsidRPr="007A49AD">
              <w:rPr>
                <w:sz w:val="20"/>
                <w:szCs w:val="20"/>
              </w:rPr>
              <w:t xml:space="preserve"> - </w:t>
            </w:r>
          </w:p>
        </w:tc>
        <w:tc>
          <w:tcPr>
            <w:tcW w:w="643" w:type="pct"/>
            <w:tcBorders>
              <w:top w:val="nil"/>
              <w:left w:val="nil"/>
              <w:right w:val="nil"/>
            </w:tcBorders>
            <w:shd w:val="clear" w:color="auto" w:fill="auto"/>
            <w:vAlign w:val="bottom"/>
          </w:tcPr>
          <w:p w14:paraId="6F6B4345" w14:textId="6C9F1517" w:rsidR="00C15883" w:rsidRPr="00537128" w:rsidRDefault="00C15883" w:rsidP="00C15883">
            <w:pPr>
              <w:spacing w:after="0" w:line="240" w:lineRule="auto"/>
              <w:jc w:val="right"/>
              <w:rPr>
                <w:rFonts w:ascii="Calibri" w:eastAsia="Calibri" w:hAnsi="Calibri" w:cs="Calibri"/>
                <w:color w:val="000000"/>
                <w:sz w:val="20"/>
                <w:szCs w:val="20"/>
                <w:lang w:val="en-US"/>
              </w:rPr>
            </w:pPr>
            <w:r w:rsidRPr="007A49AD">
              <w:rPr>
                <w:sz w:val="20"/>
                <w:szCs w:val="20"/>
              </w:rPr>
              <w:t xml:space="preserve"> - </w:t>
            </w:r>
          </w:p>
        </w:tc>
      </w:tr>
      <w:tr w:rsidR="00C15883" w:rsidRPr="00537128" w14:paraId="296F4C01" w14:textId="77777777" w:rsidTr="00A1123E">
        <w:trPr>
          <w:trHeight w:val="164"/>
        </w:trPr>
        <w:tc>
          <w:tcPr>
            <w:tcW w:w="1814" w:type="pct"/>
          </w:tcPr>
          <w:p w14:paraId="11052C02" w14:textId="77777777" w:rsidR="00C15883" w:rsidRPr="00537128" w:rsidRDefault="00C15883" w:rsidP="00C15883">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2</w:t>
            </w:r>
          </w:p>
        </w:tc>
        <w:tc>
          <w:tcPr>
            <w:tcW w:w="648" w:type="pct"/>
            <w:tcBorders>
              <w:top w:val="nil"/>
              <w:left w:val="nil"/>
              <w:right w:val="nil"/>
            </w:tcBorders>
            <w:shd w:val="clear" w:color="auto" w:fill="auto"/>
            <w:vAlign w:val="bottom"/>
          </w:tcPr>
          <w:p w14:paraId="0E760114" w14:textId="2DF9071F" w:rsidR="00C15883" w:rsidRPr="00537128" w:rsidRDefault="00C15883" w:rsidP="00C15883">
            <w:pPr>
              <w:spacing w:after="0" w:line="240" w:lineRule="auto"/>
              <w:jc w:val="right"/>
              <w:rPr>
                <w:rFonts w:ascii="Calibri" w:eastAsia="Calibri" w:hAnsi="Calibri" w:cs="Calibri"/>
                <w:color w:val="000000"/>
                <w:sz w:val="20"/>
                <w:szCs w:val="20"/>
                <w:lang w:val="en-US"/>
              </w:rPr>
            </w:pPr>
            <w:r w:rsidRPr="007A49AD">
              <w:rPr>
                <w:sz w:val="20"/>
                <w:szCs w:val="20"/>
              </w:rPr>
              <w:t xml:space="preserve"> - </w:t>
            </w:r>
          </w:p>
        </w:tc>
        <w:tc>
          <w:tcPr>
            <w:tcW w:w="649" w:type="pct"/>
            <w:tcBorders>
              <w:top w:val="nil"/>
              <w:left w:val="nil"/>
              <w:right w:val="nil"/>
            </w:tcBorders>
            <w:shd w:val="clear" w:color="auto" w:fill="auto"/>
            <w:vAlign w:val="bottom"/>
          </w:tcPr>
          <w:p w14:paraId="60140BA8" w14:textId="4592FC2A" w:rsidR="00C15883" w:rsidRPr="00537128" w:rsidRDefault="00C15883" w:rsidP="00C15883">
            <w:pPr>
              <w:spacing w:after="0" w:line="240" w:lineRule="auto"/>
              <w:jc w:val="right"/>
              <w:rPr>
                <w:rFonts w:ascii="Calibri" w:eastAsia="Calibri" w:hAnsi="Calibri" w:cs="Calibri"/>
                <w:color w:val="000000"/>
                <w:sz w:val="20"/>
                <w:szCs w:val="20"/>
                <w:lang w:val="en-US"/>
              </w:rPr>
            </w:pPr>
            <w:r w:rsidRPr="007A49AD">
              <w:rPr>
                <w:sz w:val="20"/>
                <w:szCs w:val="20"/>
              </w:rPr>
              <w:t xml:space="preserve"> - </w:t>
            </w:r>
          </w:p>
        </w:tc>
        <w:tc>
          <w:tcPr>
            <w:tcW w:w="642" w:type="pct"/>
            <w:tcBorders>
              <w:top w:val="nil"/>
              <w:left w:val="nil"/>
              <w:right w:val="nil"/>
            </w:tcBorders>
            <w:shd w:val="clear" w:color="auto" w:fill="auto"/>
            <w:vAlign w:val="bottom"/>
          </w:tcPr>
          <w:p w14:paraId="7C1014BD" w14:textId="32E0B12C" w:rsidR="00C15883" w:rsidRPr="00537128" w:rsidRDefault="00C15883" w:rsidP="00C15883">
            <w:pPr>
              <w:spacing w:after="0" w:line="240" w:lineRule="auto"/>
              <w:jc w:val="right"/>
              <w:rPr>
                <w:rFonts w:ascii="Calibri" w:eastAsia="Calibri" w:hAnsi="Calibri" w:cs="Calibri"/>
                <w:color w:val="000000"/>
                <w:sz w:val="20"/>
                <w:szCs w:val="20"/>
                <w:lang w:val="en-US"/>
              </w:rPr>
            </w:pPr>
            <w:r w:rsidRPr="007A49AD">
              <w:rPr>
                <w:sz w:val="20"/>
                <w:szCs w:val="20"/>
              </w:rPr>
              <w:t xml:space="preserve"> - </w:t>
            </w:r>
          </w:p>
        </w:tc>
        <w:tc>
          <w:tcPr>
            <w:tcW w:w="604" w:type="pct"/>
            <w:tcBorders>
              <w:top w:val="nil"/>
              <w:left w:val="nil"/>
              <w:right w:val="nil"/>
            </w:tcBorders>
            <w:shd w:val="clear" w:color="auto" w:fill="auto"/>
            <w:vAlign w:val="bottom"/>
          </w:tcPr>
          <w:p w14:paraId="0FF8A3FA" w14:textId="70F9BD9F" w:rsidR="00C15883" w:rsidRPr="00537128" w:rsidRDefault="00C15883" w:rsidP="00C15883">
            <w:pPr>
              <w:spacing w:after="0" w:line="240" w:lineRule="auto"/>
              <w:jc w:val="right"/>
              <w:rPr>
                <w:rFonts w:ascii="Calibri" w:eastAsia="Calibri" w:hAnsi="Calibri" w:cs="Calibri"/>
                <w:color w:val="000000"/>
                <w:sz w:val="20"/>
                <w:szCs w:val="20"/>
                <w:lang w:val="en-US"/>
              </w:rPr>
            </w:pPr>
            <w:r w:rsidRPr="007A49AD">
              <w:rPr>
                <w:sz w:val="20"/>
                <w:szCs w:val="20"/>
              </w:rPr>
              <w:t xml:space="preserve"> - </w:t>
            </w:r>
          </w:p>
        </w:tc>
        <w:tc>
          <w:tcPr>
            <w:tcW w:w="643" w:type="pct"/>
            <w:tcBorders>
              <w:top w:val="nil"/>
              <w:left w:val="nil"/>
              <w:right w:val="nil"/>
            </w:tcBorders>
            <w:shd w:val="clear" w:color="auto" w:fill="auto"/>
            <w:vAlign w:val="bottom"/>
          </w:tcPr>
          <w:p w14:paraId="50B77779" w14:textId="37EC7865" w:rsidR="00C15883" w:rsidRPr="00537128" w:rsidRDefault="00C15883" w:rsidP="00C15883">
            <w:pPr>
              <w:spacing w:after="0" w:line="240" w:lineRule="auto"/>
              <w:jc w:val="right"/>
              <w:rPr>
                <w:rFonts w:ascii="Calibri" w:eastAsia="Calibri" w:hAnsi="Calibri" w:cs="Calibri"/>
                <w:color w:val="000000"/>
                <w:sz w:val="20"/>
                <w:szCs w:val="20"/>
                <w:lang w:val="en-US"/>
              </w:rPr>
            </w:pPr>
            <w:r w:rsidRPr="007A49AD">
              <w:rPr>
                <w:sz w:val="20"/>
                <w:szCs w:val="20"/>
              </w:rPr>
              <w:t xml:space="preserve"> - </w:t>
            </w:r>
          </w:p>
        </w:tc>
      </w:tr>
      <w:tr w:rsidR="00C15883" w:rsidRPr="00537128" w14:paraId="1E4CC961" w14:textId="77777777" w:rsidTr="00A1123E">
        <w:trPr>
          <w:trHeight w:val="164"/>
        </w:trPr>
        <w:tc>
          <w:tcPr>
            <w:tcW w:w="1814" w:type="pct"/>
          </w:tcPr>
          <w:p w14:paraId="2DC37D2F" w14:textId="77777777" w:rsidR="00C15883" w:rsidRPr="00537128" w:rsidRDefault="00C15883" w:rsidP="00C15883">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3</w:t>
            </w:r>
          </w:p>
        </w:tc>
        <w:tc>
          <w:tcPr>
            <w:tcW w:w="648" w:type="pct"/>
            <w:tcBorders>
              <w:top w:val="nil"/>
              <w:left w:val="nil"/>
              <w:right w:val="nil"/>
            </w:tcBorders>
            <w:shd w:val="clear" w:color="auto" w:fill="auto"/>
            <w:vAlign w:val="bottom"/>
          </w:tcPr>
          <w:p w14:paraId="3FA63E1B" w14:textId="05D38972" w:rsidR="00C15883" w:rsidRPr="00537128" w:rsidRDefault="00C15883" w:rsidP="00C15883">
            <w:pPr>
              <w:spacing w:after="0" w:line="240" w:lineRule="auto"/>
              <w:jc w:val="right"/>
              <w:rPr>
                <w:rFonts w:ascii="Calibri" w:eastAsia="Calibri" w:hAnsi="Calibri" w:cs="Calibri"/>
                <w:color w:val="000000"/>
                <w:sz w:val="20"/>
                <w:szCs w:val="20"/>
                <w:lang w:val="en-US"/>
              </w:rPr>
            </w:pPr>
            <w:r w:rsidRPr="007A49AD">
              <w:rPr>
                <w:sz w:val="20"/>
                <w:szCs w:val="20"/>
              </w:rPr>
              <w:t xml:space="preserve"> - </w:t>
            </w:r>
          </w:p>
        </w:tc>
        <w:tc>
          <w:tcPr>
            <w:tcW w:w="649" w:type="pct"/>
            <w:tcBorders>
              <w:top w:val="nil"/>
              <w:left w:val="nil"/>
              <w:right w:val="nil"/>
            </w:tcBorders>
            <w:shd w:val="clear" w:color="auto" w:fill="auto"/>
            <w:vAlign w:val="bottom"/>
          </w:tcPr>
          <w:p w14:paraId="67A956F7" w14:textId="1F4C8A38" w:rsidR="00C15883" w:rsidRPr="00537128" w:rsidRDefault="00C15883" w:rsidP="00C15883">
            <w:pPr>
              <w:spacing w:after="0" w:line="240" w:lineRule="auto"/>
              <w:jc w:val="right"/>
              <w:rPr>
                <w:rFonts w:ascii="Calibri" w:eastAsia="Calibri" w:hAnsi="Calibri" w:cs="Calibri"/>
                <w:color w:val="000000"/>
                <w:sz w:val="20"/>
                <w:szCs w:val="20"/>
                <w:lang w:val="en-US"/>
              </w:rPr>
            </w:pPr>
            <w:r w:rsidRPr="007A49AD">
              <w:rPr>
                <w:sz w:val="20"/>
                <w:szCs w:val="20"/>
              </w:rPr>
              <w:t xml:space="preserve"> - </w:t>
            </w:r>
          </w:p>
        </w:tc>
        <w:tc>
          <w:tcPr>
            <w:tcW w:w="642" w:type="pct"/>
            <w:tcBorders>
              <w:top w:val="nil"/>
              <w:left w:val="nil"/>
              <w:right w:val="nil"/>
            </w:tcBorders>
            <w:shd w:val="clear" w:color="auto" w:fill="auto"/>
            <w:vAlign w:val="bottom"/>
          </w:tcPr>
          <w:p w14:paraId="667A34AB" w14:textId="565F5BD6" w:rsidR="00C15883" w:rsidRPr="00537128" w:rsidRDefault="00C15883" w:rsidP="00C15883">
            <w:pPr>
              <w:spacing w:after="0" w:line="240" w:lineRule="auto"/>
              <w:jc w:val="right"/>
              <w:rPr>
                <w:rFonts w:ascii="Calibri" w:eastAsia="Calibri" w:hAnsi="Calibri" w:cs="Calibri"/>
                <w:color w:val="000000"/>
                <w:sz w:val="20"/>
                <w:szCs w:val="20"/>
                <w:lang w:val="en-US"/>
              </w:rPr>
            </w:pPr>
            <w:r w:rsidRPr="007A49AD">
              <w:rPr>
                <w:sz w:val="20"/>
                <w:szCs w:val="20"/>
              </w:rPr>
              <w:t xml:space="preserve"> - </w:t>
            </w:r>
          </w:p>
        </w:tc>
        <w:tc>
          <w:tcPr>
            <w:tcW w:w="604" w:type="pct"/>
            <w:tcBorders>
              <w:top w:val="nil"/>
              <w:left w:val="nil"/>
              <w:right w:val="nil"/>
            </w:tcBorders>
            <w:shd w:val="clear" w:color="auto" w:fill="auto"/>
            <w:vAlign w:val="bottom"/>
          </w:tcPr>
          <w:p w14:paraId="79437662" w14:textId="23530440" w:rsidR="00C15883" w:rsidRPr="00537128" w:rsidRDefault="00C15883" w:rsidP="00C15883">
            <w:pPr>
              <w:spacing w:after="0" w:line="240" w:lineRule="auto"/>
              <w:jc w:val="right"/>
              <w:rPr>
                <w:rFonts w:ascii="Calibri" w:eastAsia="Calibri" w:hAnsi="Calibri" w:cs="Calibri"/>
                <w:color w:val="000000"/>
                <w:sz w:val="20"/>
                <w:szCs w:val="20"/>
                <w:lang w:val="en-US"/>
              </w:rPr>
            </w:pPr>
            <w:r w:rsidRPr="007A49AD">
              <w:rPr>
                <w:sz w:val="20"/>
                <w:szCs w:val="20"/>
              </w:rPr>
              <w:t xml:space="preserve"> - </w:t>
            </w:r>
          </w:p>
        </w:tc>
        <w:tc>
          <w:tcPr>
            <w:tcW w:w="643" w:type="pct"/>
            <w:tcBorders>
              <w:top w:val="nil"/>
              <w:left w:val="nil"/>
              <w:right w:val="nil"/>
            </w:tcBorders>
            <w:shd w:val="clear" w:color="auto" w:fill="auto"/>
            <w:vAlign w:val="bottom"/>
          </w:tcPr>
          <w:p w14:paraId="2C218DE1" w14:textId="42D6C71E" w:rsidR="00C15883" w:rsidRPr="00537128" w:rsidRDefault="00C15883" w:rsidP="00C15883">
            <w:pPr>
              <w:spacing w:after="0" w:line="240" w:lineRule="auto"/>
              <w:jc w:val="right"/>
              <w:rPr>
                <w:rFonts w:ascii="Calibri" w:eastAsia="Calibri" w:hAnsi="Calibri" w:cs="Calibri"/>
                <w:color w:val="000000"/>
                <w:sz w:val="20"/>
                <w:szCs w:val="20"/>
                <w:lang w:val="en-US"/>
              </w:rPr>
            </w:pPr>
            <w:r w:rsidRPr="007A49AD">
              <w:rPr>
                <w:sz w:val="20"/>
                <w:szCs w:val="20"/>
              </w:rPr>
              <w:t xml:space="preserve"> - </w:t>
            </w:r>
          </w:p>
        </w:tc>
      </w:tr>
      <w:tr w:rsidR="00C15883" w:rsidRPr="00537128" w14:paraId="4D96273A" w14:textId="77777777" w:rsidTr="00A1123E">
        <w:trPr>
          <w:trHeight w:val="164"/>
        </w:trPr>
        <w:tc>
          <w:tcPr>
            <w:tcW w:w="1814" w:type="pct"/>
            <w:vAlign w:val="bottom"/>
          </w:tcPr>
          <w:p w14:paraId="02D66383" w14:textId="533435C2" w:rsidR="00C15883" w:rsidRPr="00537128" w:rsidRDefault="00C15883" w:rsidP="00C15883">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 xml:space="preserve">Net </w:t>
            </w:r>
            <w:r>
              <w:rPr>
                <w:rFonts w:ascii="Calibri" w:eastAsia="Calibri" w:hAnsi="Calibri" w:cs="Times New Roman"/>
                <w:sz w:val="20"/>
                <w:szCs w:val="20"/>
                <w:lang w:val="en-US"/>
              </w:rPr>
              <w:t>(</w:t>
            </w:r>
            <w:r w:rsidRPr="00537128">
              <w:rPr>
                <w:rFonts w:ascii="Calibri" w:eastAsia="Calibri" w:hAnsi="Calibri" w:cs="Times New Roman"/>
                <w:sz w:val="20"/>
                <w:szCs w:val="20"/>
                <w:lang w:val="en-US"/>
              </w:rPr>
              <w:t>release</w:t>
            </w:r>
            <w:r>
              <w:rPr>
                <w:rFonts w:ascii="Calibri" w:eastAsia="Calibri" w:hAnsi="Calibri" w:cs="Times New Roman"/>
                <w:sz w:val="20"/>
                <w:szCs w:val="20"/>
                <w:lang w:val="en-US"/>
              </w:rPr>
              <w:t>)</w:t>
            </w:r>
            <w:r w:rsidRPr="00537128">
              <w:rPr>
                <w:rFonts w:ascii="Calibri" w:eastAsia="Calibri" w:hAnsi="Calibri" w:cs="Times New Roman"/>
                <w:sz w:val="20"/>
                <w:szCs w:val="20"/>
                <w:lang w:val="en-US"/>
              </w:rPr>
              <w:t xml:space="preserve"> of loss allowance</w:t>
            </w:r>
          </w:p>
        </w:tc>
        <w:tc>
          <w:tcPr>
            <w:tcW w:w="648" w:type="pct"/>
            <w:shd w:val="clear" w:color="auto" w:fill="auto"/>
            <w:vAlign w:val="bottom"/>
          </w:tcPr>
          <w:p w14:paraId="75B440D3" w14:textId="44A1A8C2" w:rsidR="00C15883" w:rsidRPr="00537128" w:rsidRDefault="00C15883" w:rsidP="00C15883">
            <w:pPr>
              <w:spacing w:after="0" w:line="240" w:lineRule="auto"/>
              <w:jc w:val="right"/>
              <w:rPr>
                <w:rFonts w:ascii="Calibri" w:eastAsia="Calibri" w:hAnsi="Calibri" w:cs="Calibri"/>
                <w:color w:val="000000"/>
                <w:sz w:val="20"/>
                <w:szCs w:val="20"/>
                <w:lang w:val="en-US"/>
              </w:rPr>
            </w:pPr>
            <w:r w:rsidRPr="007A49AD">
              <w:rPr>
                <w:sz w:val="20"/>
                <w:szCs w:val="20"/>
              </w:rPr>
              <w:t xml:space="preserve"> (1)</w:t>
            </w:r>
          </w:p>
        </w:tc>
        <w:tc>
          <w:tcPr>
            <w:tcW w:w="649" w:type="pct"/>
            <w:tcBorders>
              <w:top w:val="nil"/>
              <w:left w:val="nil"/>
              <w:right w:val="nil"/>
            </w:tcBorders>
            <w:shd w:val="clear" w:color="auto" w:fill="auto"/>
            <w:vAlign w:val="bottom"/>
          </w:tcPr>
          <w:p w14:paraId="1F27CD40" w14:textId="08D3F2AC" w:rsidR="00C15883" w:rsidRPr="00537128" w:rsidRDefault="00C15883" w:rsidP="00C15883">
            <w:pPr>
              <w:spacing w:after="0" w:line="240" w:lineRule="auto"/>
              <w:jc w:val="right"/>
              <w:rPr>
                <w:rFonts w:ascii="Calibri" w:eastAsia="Calibri" w:hAnsi="Calibri" w:cs="Calibri"/>
                <w:color w:val="000000"/>
                <w:sz w:val="20"/>
                <w:szCs w:val="20"/>
                <w:lang w:val="en-US"/>
              </w:rPr>
            </w:pPr>
            <w:r w:rsidRPr="007A49AD">
              <w:rPr>
                <w:sz w:val="20"/>
                <w:szCs w:val="20"/>
              </w:rPr>
              <w:t xml:space="preserve"> - </w:t>
            </w:r>
          </w:p>
        </w:tc>
        <w:tc>
          <w:tcPr>
            <w:tcW w:w="642" w:type="pct"/>
            <w:tcBorders>
              <w:top w:val="nil"/>
              <w:left w:val="nil"/>
              <w:right w:val="nil"/>
            </w:tcBorders>
            <w:shd w:val="clear" w:color="auto" w:fill="auto"/>
            <w:vAlign w:val="bottom"/>
          </w:tcPr>
          <w:p w14:paraId="54F9DEB3" w14:textId="46115BF1" w:rsidR="00C15883" w:rsidRPr="00537128" w:rsidRDefault="00C15883" w:rsidP="00C15883">
            <w:pPr>
              <w:spacing w:after="0" w:line="240" w:lineRule="auto"/>
              <w:jc w:val="right"/>
              <w:rPr>
                <w:rFonts w:ascii="Calibri" w:eastAsia="Calibri" w:hAnsi="Calibri" w:cs="Calibri"/>
                <w:color w:val="000000"/>
                <w:sz w:val="20"/>
                <w:szCs w:val="20"/>
                <w:lang w:val="en-US"/>
              </w:rPr>
            </w:pPr>
            <w:r w:rsidRPr="007A49AD">
              <w:rPr>
                <w:sz w:val="20"/>
                <w:szCs w:val="20"/>
              </w:rPr>
              <w:t xml:space="preserve"> - </w:t>
            </w:r>
          </w:p>
        </w:tc>
        <w:tc>
          <w:tcPr>
            <w:tcW w:w="604" w:type="pct"/>
            <w:tcBorders>
              <w:top w:val="nil"/>
              <w:left w:val="nil"/>
              <w:right w:val="nil"/>
            </w:tcBorders>
            <w:shd w:val="clear" w:color="auto" w:fill="auto"/>
            <w:vAlign w:val="bottom"/>
          </w:tcPr>
          <w:p w14:paraId="10E159B0" w14:textId="230113E1" w:rsidR="00C15883" w:rsidRPr="00537128" w:rsidRDefault="00C15883" w:rsidP="00C15883">
            <w:pPr>
              <w:spacing w:after="0" w:line="240" w:lineRule="auto"/>
              <w:jc w:val="right"/>
              <w:rPr>
                <w:rFonts w:ascii="Calibri" w:eastAsia="Calibri" w:hAnsi="Calibri" w:cs="Calibri"/>
                <w:color w:val="000000"/>
                <w:sz w:val="20"/>
                <w:szCs w:val="20"/>
                <w:lang w:val="en-US"/>
              </w:rPr>
            </w:pPr>
            <w:r w:rsidRPr="007A49AD">
              <w:rPr>
                <w:sz w:val="20"/>
                <w:szCs w:val="20"/>
              </w:rPr>
              <w:t xml:space="preserve"> - </w:t>
            </w:r>
          </w:p>
        </w:tc>
        <w:tc>
          <w:tcPr>
            <w:tcW w:w="643" w:type="pct"/>
            <w:shd w:val="clear" w:color="auto" w:fill="auto"/>
            <w:vAlign w:val="bottom"/>
          </w:tcPr>
          <w:p w14:paraId="303A748E" w14:textId="7B6464B8" w:rsidR="00C15883" w:rsidRPr="00537128" w:rsidRDefault="00C15883" w:rsidP="00C15883">
            <w:pPr>
              <w:spacing w:after="0" w:line="240" w:lineRule="auto"/>
              <w:jc w:val="right"/>
              <w:rPr>
                <w:rFonts w:ascii="Calibri" w:eastAsia="Calibri" w:hAnsi="Calibri" w:cs="Calibri"/>
                <w:color w:val="000000"/>
                <w:sz w:val="20"/>
                <w:szCs w:val="20"/>
                <w:lang w:val="en-US"/>
              </w:rPr>
            </w:pPr>
            <w:r w:rsidRPr="007A49AD">
              <w:rPr>
                <w:sz w:val="20"/>
                <w:szCs w:val="20"/>
              </w:rPr>
              <w:t xml:space="preserve"> (1)</w:t>
            </w:r>
          </w:p>
        </w:tc>
      </w:tr>
      <w:tr w:rsidR="00C15883" w:rsidRPr="00537128" w14:paraId="18834A7D" w14:textId="77777777" w:rsidTr="004A287E">
        <w:trPr>
          <w:trHeight w:val="285"/>
        </w:trPr>
        <w:tc>
          <w:tcPr>
            <w:tcW w:w="1814" w:type="pct"/>
            <w:vAlign w:val="bottom"/>
          </w:tcPr>
          <w:p w14:paraId="146BCC64" w14:textId="35B07BE6" w:rsidR="00C15883" w:rsidRPr="00537128" w:rsidRDefault="00C15883" w:rsidP="00C15883">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 xml:space="preserve">Net foreign exchange </w:t>
            </w:r>
            <w:r>
              <w:rPr>
                <w:rFonts w:ascii="Calibri" w:eastAsia="Calibri" w:hAnsi="Calibri" w:cs="Times New Roman"/>
                <w:sz w:val="20"/>
                <w:szCs w:val="20"/>
                <w:lang w:val="en-US"/>
              </w:rPr>
              <w:t>gain/</w:t>
            </w:r>
            <w:r w:rsidRPr="00537128">
              <w:rPr>
                <w:rFonts w:ascii="Calibri" w:eastAsia="Calibri" w:hAnsi="Calibri" w:cs="Times New Roman"/>
                <w:sz w:val="20"/>
                <w:szCs w:val="20"/>
                <w:lang w:val="en-US"/>
              </w:rPr>
              <w:t xml:space="preserve">loss on loss allowances </w:t>
            </w:r>
          </w:p>
        </w:tc>
        <w:tc>
          <w:tcPr>
            <w:tcW w:w="648" w:type="pct"/>
            <w:tcBorders>
              <w:top w:val="nil"/>
              <w:left w:val="nil"/>
              <w:bottom w:val="single" w:sz="4" w:space="0" w:color="auto"/>
              <w:right w:val="nil"/>
            </w:tcBorders>
            <w:shd w:val="clear" w:color="auto" w:fill="auto"/>
            <w:vAlign w:val="bottom"/>
          </w:tcPr>
          <w:p w14:paraId="068CD686" w14:textId="5578D9B5" w:rsidR="00C15883" w:rsidRPr="00537128" w:rsidRDefault="00C15883" w:rsidP="00C15883">
            <w:pPr>
              <w:spacing w:after="0" w:line="240" w:lineRule="auto"/>
              <w:jc w:val="right"/>
              <w:rPr>
                <w:rFonts w:ascii="Calibri" w:eastAsia="Calibri" w:hAnsi="Calibri" w:cs="Calibri"/>
                <w:color w:val="000000"/>
                <w:sz w:val="20"/>
                <w:szCs w:val="20"/>
                <w:lang w:val="en-US"/>
              </w:rPr>
            </w:pPr>
            <w:r w:rsidRPr="007A49AD">
              <w:rPr>
                <w:sz w:val="20"/>
                <w:szCs w:val="20"/>
              </w:rPr>
              <w:t xml:space="preserve"> 2 </w:t>
            </w:r>
          </w:p>
        </w:tc>
        <w:tc>
          <w:tcPr>
            <w:tcW w:w="649" w:type="pct"/>
            <w:tcBorders>
              <w:top w:val="nil"/>
              <w:left w:val="nil"/>
              <w:bottom w:val="single" w:sz="4" w:space="0" w:color="auto"/>
              <w:right w:val="nil"/>
            </w:tcBorders>
            <w:shd w:val="clear" w:color="auto" w:fill="auto"/>
            <w:vAlign w:val="bottom"/>
          </w:tcPr>
          <w:p w14:paraId="640E7D03" w14:textId="1844E021" w:rsidR="00C15883" w:rsidRPr="00537128" w:rsidRDefault="00C15883" w:rsidP="00C15883">
            <w:pPr>
              <w:spacing w:after="0" w:line="240" w:lineRule="auto"/>
              <w:jc w:val="right"/>
              <w:rPr>
                <w:rFonts w:ascii="Calibri" w:eastAsia="Calibri" w:hAnsi="Calibri" w:cs="Calibri"/>
                <w:color w:val="000000"/>
                <w:sz w:val="20"/>
                <w:szCs w:val="20"/>
                <w:lang w:val="en-US"/>
              </w:rPr>
            </w:pPr>
            <w:r w:rsidRPr="007A49AD">
              <w:rPr>
                <w:sz w:val="20"/>
                <w:szCs w:val="20"/>
              </w:rPr>
              <w:t xml:space="preserve"> - </w:t>
            </w:r>
          </w:p>
        </w:tc>
        <w:tc>
          <w:tcPr>
            <w:tcW w:w="642" w:type="pct"/>
            <w:tcBorders>
              <w:top w:val="nil"/>
              <w:left w:val="nil"/>
              <w:bottom w:val="single" w:sz="4" w:space="0" w:color="auto"/>
              <w:right w:val="nil"/>
            </w:tcBorders>
            <w:shd w:val="clear" w:color="auto" w:fill="auto"/>
            <w:vAlign w:val="bottom"/>
          </w:tcPr>
          <w:p w14:paraId="1ADECDFC" w14:textId="255710A1" w:rsidR="00C15883" w:rsidRPr="00537128" w:rsidRDefault="00C15883" w:rsidP="00C15883">
            <w:pPr>
              <w:spacing w:after="0" w:line="240" w:lineRule="auto"/>
              <w:jc w:val="right"/>
              <w:rPr>
                <w:rFonts w:ascii="Calibri" w:eastAsia="Calibri" w:hAnsi="Calibri" w:cs="Calibri"/>
                <w:color w:val="000000"/>
                <w:sz w:val="20"/>
                <w:szCs w:val="20"/>
                <w:lang w:val="en-US"/>
              </w:rPr>
            </w:pPr>
            <w:r w:rsidRPr="007A49AD">
              <w:rPr>
                <w:sz w:val="20"/>
                <w:szCs w:val="20"/>
              </w:rPr>
              <w:t xml:space="preserve"> - </w:t>
            </w:r>
          </w:p>
        </w:tc>
        <w:tc>
          <w:tcPr>
            <w:tcW w:w="604" w:type="pct"/>
            <w:tcBorders>
              <w:top w:val="nil"/>
              <w:left w:val="nil"/>
              <w:bottom w:val="single" w:sz="4" w:space="0" w:color="auto"/>
              <w:right w:val="nil"/>
            </w:tcBorders>
            <w:shd w:val="clear" w:color="auto" w:fill="auto"/>
            <w:vAlign w:val="bottom"/>
          </w:tcPr>
          <w:p w14:paraId="7090F39E" w14:textId="1825C4A3" w:rsidR="00C15883" w:rsidRPr="00537128" w:rsidRDefault="00C15883" w:rsidP="00C15883">
            <w:pPr>
              <w:spacing w:after="0" w:line="240" w:lineRule="auto"/>
              <w:jc w:val="right"/>
              <w:rPr>
                <w:rFonts w:ascii="Calibri" w:eastAsia="Calibri" w:hAnsi="Calibri" w:cs="Calibri"/>
                <w:color w:val="000000"/>
                <w:sz w:val="20"/>
                <w:szCs w:val="20"/>
                <w:lang w:val="en-US"/>
              </w:rPr>
            </w:pPr>
            <w:r w:rsidRPr="007A49AD">
              <w:rPr>
                <w:sz w:val="20"/>
                <w:szCs w:val="20"/>
              </w:rPr>
              <w:t xml:space="preserve"> - </w:t>
            </w:r>
          </w:p>
        </w:tc>
        <w:tc>
          <w:tcPr>
            <w:tcW w:w="643" w:type="pct"/>
            <w:tcBorders>
              <w:top w:val="nil"/>
              <w:left w:val="nil"/>
              <w:bottom w:val="single" w:sz="4" w:space="0" w:color="auto"/>
              <w:right w:val="nil"/>
            </w:tcBorders>
            <w:shd w:val="clear" w:color="auto" w:fill="auto"/>
            <w:vAlign w:val="bottom"/>
          </w:tcPr>
          <w:p w14:paraId="03DEE1A6" w14:textId="7BF55403" w:rsidR="00C15883" w:rsidRPr="00537128" w:rsidRDefault="00C15883" w:rsidP="00C15883">
            <w:pPr>
              <w:spacing w:after="0" w:line="240" w:lineRule="auto"/>
              <w:jc w:val="right"/>
              <w:rPr>
                <w:rFonts w:ascii="Calibri" w:eastAsia="Calibri" w:hAnsi="Calibri" w:cs="Calibri"/>
                <w:color w:val="000000"/>
                <w:sz w:val="20"/>
                <w:szCs w:val="20"/>
                <w:lang w:val="en-US"/>
              </w:rPr>
            </w:pPr>
            <w:r w:rsidRPr="007A49AD">
              <w:rPr>
                <w:sz w:val="20"/>
                <w:szCs w:val="20"/>
              </w:rPr>
              <w:t xml:space="preserve"> 2 </w:t>
            </w:r>
          </w:p>
        </w:tc>
      </w:tr>
      <w:tr w:rsidR="00C15883" w:rsidRPr="00537128" w14:paraId="341F9FA4" w14:textId="77777777" w:rsidTr="004A287E">
        <w:trPr>
          <w:trHeight w:val="35"/>
        </w:trPr>
        <w:tc>
          <w:tcPr>
            <w:tcW w:w="1814" w:type="pct"/>
            <w:vAlign w:val="bottom"/>
          </w:tcPr>
          <w:p w14:paraId="7FCD6530" w14:textId="72AEDFD2" w:rsidR="00C15883" w:rsidRPr="00537128" w:rsidRDefault="00C15883" w:rsidP="00C15883">
            <w:pPr>
              <w:tabs>
                <w:tab w:val="right" w:pos="1202"/>
              </w:tabs>
              <w:spacing w:after="0" w:line="301" w:lineRule="exact"/>
              <w:outlineLvl w:val="0"/>
              <w:rPr>
                <w:rFonts w:ascii="Calibri" w:eastAsia="Calibri" w:hAnsi="Calibri" w:cs="Arial"/>
                <w:b/>
                <w:bCs/>
                <w:sz w:val="20"/>
                <w:szCs w:val="20"/>
                <w:lang w:val="en-US"/>
              </w:rPr>
            </w:pPr>
            <w:r w:rsidRPr="00537128">
              <w:rPr>
                <w:rFonts w:ascii="Calibri" w:eastAsia="Calibri" w:hAnsi="Calibri" w:cs="Arial"/>
                <w:b/>
                <w:bCs/>
                <w:sz w:val="20"/>
                <w:szCs w:val="20"/>
                <w:lang w:val="en-US"/>
              </w:rPr>
              <w:t xml:space="preserve">Balance </w:t>
            </w:r>
            <w:proofErr w:type="gramStart"/>
            <w:r w:rsidRPr="00537128">
              <w:rPr>
                <w:rFonts w:ascii="Calibri" w:eastAsia="Calibri" w:hAnsi="Calibri" w:cs="Arial"/>
                <w:b/>
                <w:bCs/>
                <w:sz w:val="20"/>
                <w:szCs w:val="20"/>
                <w:lang w:val="en-US"/>
              </w:rPr>
              <w:t>at</w:t>
            </w:r>
            <w:proofErr w:type="gramEnd"/>
            <w:r w:rsidRPr="00537128">
              <w:rPr>
                <w:rFonts w:ascii="Calibri" w:eastAsia="Calibri" w:hAnsi="Calibri" w:cs="Arial"/>
                <w:b/>
                <w:bCs/>
                <w:sz w:val="20"/>
                <w:szCs w:val="20"/>
                <w:lang w:val="en-US"/>
              </w:rPr>
              <w:t xml:space="preserve"> 31 March 202</w:t>
            </w:r>
            <w:r>
              <w:rPr>
                <w:rFonts w:ascii="Calibri" w:eastAsia="Calibri" w:hAnsi="Calibri" w:cs="Arial"/>
                <w:b/>
                <w:bCs/>
                <w:sz w:val="20"/>
                <w:szCs w:val="20"/>
                <w:lang w:val="en-US"/>
              </w:rPr>
              <w:t>2</w:t>
            </w:r>
          </w:p>
        </w:tc>
        <w:tc>
          <w:tcPr>
            <w:tcW w:w="648" w:type="pct"/>
            <w:tcBorders>
              <w:top w:val="single" w:sz="4" w:space="0" w:color="auto"/>
              <w:left w:val="nil"/>
              <w:bottom w:val="single" w:sz="12" w:space="0" w:color="auto"/>
              <w:right w:val="nil"/>
            </w:tcBorders>
            <w:shd w:val="clear" w:color="auto" w:fill="auto"/>
            <w:vAlign w:val="bottom"/>
          </w:tcPr>
          <w:p w14:paraId="05AFE318" w14:textId="0DA4FD24" w:rsidR="00C15883" w:rsidRPr="00537128" w:rsidRDefault="00C15883" w:rsidP="00C15883">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20"/>
                <w:szCs w:val="20"/>
              </w:rPr>
              <w:t>2</w:t>
            </w:r>
          </w:p>
        </w:tc>
        <w:tc>
          <w:tcPr>
            <w:tcW w:w="649" w:type="pct"/>
            <w:tcBorders>
              <w:top w:val="single" w:sz="4" w:space="0" w:color="auto"/>
              <w:left w:val="nil"/>
              <w:bottom w:val="single" w:sz="12" w:space="0" w:color="auto"/>
              <w:right w:val="nil"/>
            </w:tcBorders>
            <w:shd w:val="clear" w:color="auto" w:fill="auto"/>
          </w:tcPr>
          <w:p w14:paraId="47A7BE8C" w14:textId="0D8FFFE9" w:rsidR="00C15883" w:rsidRPr="00537128" w:rsidRDefault="00C15883" w:rsidP="00C15883">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20"/>
                <w:szCs w:val="20"/>
              </w:rPr>
              <w:t>-</w:t>
            </w:r>
          </w:p>
        </w:tc>
        <w:tc>
          <w:tcPr>
            <w:tcW w:w="642" w:type="pct"/>
            <w:tcBorders>
              <w:top w:val="single" w:sz="4" w:space="0" w:color="auto"/>
              <w:left w:val="nil"/>
              <w:bottom w:val="single" w:sz="12" w:space="0" w:color="auto"/>
              <w:right w:val="nil"/>
            </w:tcBorders>
            <w:shd w:val="clear" w:color="auto" w:fill="auto"/>
          </w:tcPr>
          <w:p w14:paraId="0945EEDC" w14:textId="6859391A" w:rsidR="00C15883" w:rsidRPr="00537128" w:rsidRDefault="00C15883" w:rsidP="00C15883">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20"/>
                <w:szCs w:val="20"/>
              </w:rPr>
              <w:t>-</w:t>
            </w:r>
          </w:p>
        </w:tc>
        <w:tc>
          <w:tcPr>
            <w:tcW w:w="604" w:type="pct"/>
            <w:tcBorders>
              <w:top w:val="single" w:sz="4" w:space="0" w:color="auto"/>
              <w:left w:val="nil"/>
              <w:bottom w:val="single" w:sz="12" w:space="0" w:color="auto"/>
              <w:right w:val="nil"/>
            </w:tcBorders>
            <w:shd w:val="clear" w:color="auto" w:fill="auto"/>
          </w:tcPr>
          <w:p w14:paraId="5AE913E9" w14:textId="41F081C6" w:rsidR="00C15883" w:rsidRPr="00537128" w:rsidRDefault="00C15883" w:rsidP="00C15883">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20"/>
                <w:szCs w:val="20"/>
              </w:rPr>
              <w:t>-</w:t>
            </w:r>
          </w:p>
        </w:tc>
        <w:tc>
          <w:tcPr>
            <w:tcW w:w="643" w:type="pct"/>
            <w:tcBorders>
              <w:top w:val="single" w:sz="4" w:space="0" w:color="auto"/>
              <w:left w:val="nil"/>
              <w:bottom w:val="single" w:sz="12" w:space="0" w:color="auto"/>
              <w:right w:val="nil"/>
            </w:tcBorders>
            <w:shd w:val="clear" w:color="auto" w:fill="auto"/>
            <w:vAlign w:val="bottom"/>
          </w:tcPr>
          <w:p w14:paraId="3AADAF01" w14:textId="42AF4EEA" w:rsidR="00C15883" w:rsidRPr="00537128" w:rsidRDefault="00C15883" w:rsidP="00C15883">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20"/>
                <w:szCs w:val="20"/>
              </w:rPr>
              <w:t>2</w:t>
            </w:r>
          </w:p>
        </w:tc>
      </w:tr>
      <w:bookmarkEnd w:id="814"/>
    </w:tbl>
    <w:p w14:paraId="22F49F2A" w14:textId="77777777" w:rsidR="00716C7A" w:rsidRPr="00537128" w:rsidRDefault="00716C7A" w:rsidP="00716C7A">
      <w:pPr>
        <w:spacing w:after="0" w:line="240" w:lineRule="auto"/>
        <w:jc w:val="both"/>
        <w:rPr>
          <w:rFonts w:ascii="Calibri" w:eastAsia="Times New Roman" w:hAnsi="Calibri" w:cs="Times New Roman"/>
          <w:b/>
          <w:bCs/>
          <w:color w:val="000000" w:themeColor="text1"/>
          <w:lang w:val="en-US"/>
        </w:rPr>
      </w:pPr>
    </w:p>
    <w:p w14:paraId="4FAE64C6" w14:textId="0EED7380" w:rsidR="00716C7A" w:rsidRDefault="00716C7A" w:rsidP="00712478">
      <w:pPr>
        <w:spacing w:after="0" w:line="240" w:lineRule="auto"/>
        <w:jc w:val="both"/>
        <w:rPr>
          <w:rFonts w:ascii="Calibri" w:eastAsia="Times New Roman" w:hAnsi="Calibri" w:cs="Arial"/>
          <w:bCs/>
          <w:color w:val="000000" w:themeColor="text1"/>
          <w:lang w:val="en-US"/>
        </w:rPr>
      </w:pPr>
    </w:p>
    <w:p w14:paraId="46749E56" w14:textId="77777777" w:rsidR="00381D99" w:rsidRPr="00537128" w:rsidRDefault="00381D99" w:rsidP="00712478">
      <w:pPr>
        <w:spacing w:after="0" w:line="240" w:lineRule="auto"/>
        <w:jc w:val="both"/>
        <w:rPr>
          <w:rFonts w:ascii="Calibri" w:eastAsia="Times New Roman" w:hAnsi="Calibri" w:cs="Arial"/>
          <w:bCs/>
          <w:color w:val="000000" w:themeColor="text1"/>
          <w:lang w:val="en-US"/>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381D99" w:rsidRPr="00381D99" w14:paraId="3354255B" w14:textId="77777777" w:rsidTr="00E44437">
        <w:trPr>
          <w:trHeight w:val="303"/>
        </w:trPr>
        <w:tc>
          <w:tcPr>
            <w:tcW w:w="1814" w:type="pct"/>
          </w:tcPr>
          <w:p w14:paraId="2DA5DC56" w14:textId="77777777" w:rsidR="00381D99" w:rsidRPr="00381D99" w:rsidRDefault="00381D99" w:rsidP="00381D99">
            <w:pPr>
              <w:spacing w:after="0" w:line="240" w:lineRule="auto"/>
              <w:rPr>
                <w:rFonts w:ascii="Calibri" w:eastAsia="Calibri" w:hAnsi="Calibri" w:cs="Arial"/>
                <w:b/>
                <w:bCs/>
                <w:sz w:val="20"/>
                <w:szCs w:val="20"/>
                <w:lang w:val="en-GB"/>
              </w:rPr>
            </w:pPr>
            <w:r w:rsidRPr="00381D99">
              <w:rPr>
                <w:rFonts w:ascii="Calibri" w:eastAsia="Calibri" w:hAnsi="Calibri" w:cs="Arial"/>
                <w:b/>
                <w:bCs/>
                <w:sz w:val="20"/>
                <w:szCs w:val="20"/>
                <w:lang w:val="en-GB"/>
              </w:rPr>
              <w:br w:type="page"/>
              <w:t>Group and Bank</w:t>
            </w:r>
          </w:p>
        </w:tc>
        <w:tc>
          <w:tcPr>
            <w:tcW w:w="3186" w:type="pct"/>
            <w:gridSpan w:val="5"/>
            <w:vAlign w:val="bottom"/>
          </w:tcPr>
          <w:p w14:paraId="4F02A3D6" w14:textId="77777777" w:rsidR="00381D99" w:rsidRPr="00381D99" w:rsidRDefault="00381D99" w:rsidP="00381D99">
            <w:pPr>
              <w:spacing w:after="0" w:line="240" w:lineRule="auto"/>
              <w:jc w:val="center"/>
              <w:rPr>
                <w:rFonts w:ascii="Calibri" w:eastAsia="Calibri" w:hAnsi="Calibri" w:cs="Arial"/>
                <w:b/>
                <w:sz w:val="20"/>
                <w:szCs w:val="20"/>
                <w:lang w:val="en-GB"/>
              </w:rPr>
            </w:pPr>
          </w:p>
        </w:tc>
      </w:tr>
      <w:tr w:rsidR="00381D99" w:rsidRPr="00381D99" w14:paraId="0749DCBC" w14:textId="77777777" w:rsidTr="00E44437">
        <w:trPr>
          <w:trHeight w:val="47"/>
        </w:trPr>
        <w:tc>
          <w:tcPr>
            <w:tcW w:w="1814" w:type="pct"/>
          </w:tcPr>
          <w:p w14:paraId="3E29DB04" w14:textId="77777777" w:rsidR="00381D99" w:rsidRPr="00381D99" w:rsidRDefault="00381D99" w:rsidP="00381D99">
            <w:pPr>
              <w:spacing w:after="0" w:line="240" w:lineRule="auto"/>
              <w:rPr>
                <w:rFonts w:ascii="Calibri" w:eastAsia="Calibri" w:hAnsi="Calibri" w:cs="Arial"/>
                <w:b/>
                <w:bCs/>
                <w:sz w:val="20"/>
                <w:szCs w:val="20"/>
                <w:lang w:val="en-GB"/>
              </w:rPr>
            </w:pPr>
            <w:r w:rsidRPr="00381D99">
              <w:rPr>
                <w:rFonts w:ascii="Calibri" w:eastAsia="Calibri" w:hAnsi="Calibri" w:cs="Arial"/>
                <w:b/>
                <w:bCs/>
                <w:sz w:val="20"/>
                <w:szCs w:val="20"/>
                <w:lang w:val="en-GB"/>
              </w:rPr>
              <w:t>31 December 2021</w:t>
            </w:r>
          </w:p>
        </w:tc>
        <w:tc>
          <w:tcPr>
            <w:tcW w:w="648" w:type="pct"/>
            <w:vAlign w:val="bottom"/>
          </w:tcPr>
          <w:p w14:paraId="66C402D1" w14:textId="77777777" w:rsidR="00381D99" w:rsidRPr="00381D99" w:rsidRDefault="00381D99" w:rsidP="00381D99">
            <w:pPr>
              <w:spacing w:after="0" w:line="240" w:lineRule="auto"/>
              <w:jc w:val="right"/>
              <w:rPr>
                <w:rFonts w:ascii="Calibri" w:eastAsia="Calibri" w:hAnsi="Calibri" w:cs="Arial"/>
                <w:b/>
                <w:sz w:val="20"/>
                <w:szCs w:val="20"/>
                <w:lang w:val="en-GB"/>
              </w:rPr>
            </w:pPr>
            <w:r w:rsidRPr="00381D99">
              <w:rPr>
                <w:rFonts w:ascii="Calibri" w:eastAsia="Calibri" w:hAnsi="Calibri" w:cs="Arial"/>
                <w:b/>
                <w:sz w:val="20"/>
                <w:szCs w:val="20"/>
                <w:lang w:val="en-GB"/>
              </w:rPr>
              <w:t>Stage 1</w:t>
            </w:r>
          </w:p>
        </w:tc>
        <w:tc>
          <w:tcPr>
            <w:tcW w:w="649" w:type="pct"/>
            <w:vAlign w:val="bottom"/>
          </w:tcPr>
          <w:p w14:paraId="08ACE804" w14:textId="77777777" w:rsidR="00381D99" w:rsidRPr="00381D99" w:rsidRDefault="00381D99" w:rsidP="00381D99">
            <w:pPr>
              <w:spacing w:after="0" w:line="240" w:lineRule="auto"/>
              <w:jc w:val="right"/>
              <w:rPr>
                <w:rFonts w:ascii="Calibri" w:eastAsia="Calibri" w:hAnsi="Calibri" w:cs="Arial"/>
                <w:b/>
                <w:sz w:val="20"/>
                <w:szCs w:val="20"/>
                <w:lang w:val="en-GB"/>
              </w:rPr>
            </w:pPr>
            <w:r w:rsidRPr="00381D99">
              <w:rPr>
                <w:rFonts w:ascii="Calibri" w:eastAsia="Calibri" w:hAnsi="Calibri" w:cs="Arial"/>
                <w:b/>
                <w:sz w:val="20"/>
                <w:szCs w:val="20"/>
                <w:lang w:val="en-GB"/>
              </w:rPr>
              <w:t>Stage 2</w:t>
            </w:r>
          </w:p>
        </w:tc>
        <w:tc>
          <w:tcPr>
            <w:tcW w:w="642" w:type="pct"/>
            <w:vAlign w:val="bottom"/>
          </w:tcPr>
          <w:p w14:paraId="6C4D9DFE" w14:textId="77777777" w:rsidR="00381D99" w:rsidRPr="00381D99" w:rsidRDefault="00381D99" w:rsidP="00381D99">
            <w:pPr>
              <w:spacing w:after="0" w:line="240" w:lineRule="auto"/>
              <w:jc w:val="right"/>
              <w:rPr>
                <w:rFonts w:ascii="Calibri" w:eastAsia="Calibri" w:hAnsi="Calibri" w:cs="Arial"/>
                <w:b/>
                <w:sz w:val="20"/>
                <w:szCs w:val="20"/>
                <w:lang w:val="en-GB"/>
              </w:rPr>
            </w:pPr>
            <w:r w:rsidRPr="00381D99">
              <w:rPr>
                <w:rFonts w:ascii="Calibri" w:eastAsia="Calibri" w:hAnsi="Calibri" w:cs="Arial"/>
                <w:b/>
                <w:sz w:val="20"/>
                <w:szCs w:val="20"/>
                <w:lang w:val="en-GB"/>
              </w:rPr>
              <w:t>Stage 3</w:t>
            </w:r>
          </w:p>
        </w:tc>
        <w:tc>
          <w:tcPr>
            <w:tcW w:w="604" w:type="pct"/>
            <w:vAlign w:val="bottom"/>
          </w:tcPr>
          <w:p w14:paraId="78B3107B" w14:textId="77777777" w:rsidR="00381D99" w:rsidRPr="00381D99" w:rsidRDefault="00381D99" w:rsidP="00381D99">
            <w:pPr>
              <w:spacing w:after="0" w:line="240" w:lineRule="auto"/>
              <w:jc w:val="right"/>
              <w:rPr>
                <w:rFonts w:ascii="Calibri" w:eastAsia="Calibri" w:hAnsi="Calibri" w:cs="Arial"/>
                <w:b/>
                <w:sz w:val="20"/>
                <w:szCs w:val="20"/>
                <w:lang w:val="en-GB"/>
              </w:rPr>
            </w:pPr>
            <w:r w:rsidRPr="00381D99">
              <w:rPr>
                <w:rFonts w:ascii="Calibri" w:eastAsia="Calibri" w:hAnsi="Calibri" w:cs="Arial"/>
                <w:b/>
                <w:sz w:val="20"/>
                <w:szCs w:val="20"/>
                <w:lang w:val="en-GB"/>
              </w:rPr>
              <w:t>POCI</w:t>
            </w:r>
          </w:p>
        </w:tc>
        <w:tc>
          <w:tcPr>
            <w:tcW w:w="643" w:type="pct"/>
            <w:vAlign w:val="bottom"/>
          </w:tcPr>
          <w:p w14:paraId="088C3E97" w14:textId="77777777" w:rsidR="00381D99" w:rsidRPr="00381D99" w:rsidRDefault="00381D99" w:rsidP="00381D99">
            <w:pPr>
              <w:spacing w:after="0" w:line="240" w:lineRule="auto"/>
              <w:jc w:val="right"/>
              <w:rPr>
                <w:rFonts w:ascii="Calibri" w:eastAsia="Calibri" w:hAnsi="Calibri" w:cs="Arial"/>
                <w:b/>
                <w:sz w:val="20"/>
                <w:szCs w:val="20"/>
                <w:lang w:val="en-GB"/>
              </w:rPr>
            </w:pPr>
            <w:r w:rsidRPr="00381D99">
              <w:rPr>
                <w:rFonts w:ascii="Calibri" w:eastAsia="Calibri" w:hAnsi="Calibri" w:cs="Arial"/>
                <w:b/>
                <w:sz w:val="20"/>
                <w:szCs w:val="20"/>
                <w:lang w:val="en-GB"/>
              </w:rPr>
              <w:t>Total</w:t>
            </w:r>
          </w:p>
        </w:tc>
      </w:tr>
      <w:tr w:rsidR="00381D99" w:rsidRPr="00381D99" w14:paraId="66D4EEEA" w14:textId="77777777" w:rsidTr="00E44437">
        <w:trPr>
          <w:trHeight w:val="47"/>
        </w:trPr>
        <w:tc>
          <w:tcPr>
            <w:tcW w:w="1814" w:type="pct"/>
          </w:tcPr>
          <w:p w14:paraId="37A5BC6A" w14:textId="77777777" w:rsidR="00381D99" w:rsidRPr="00381D99" w:rsidRDefault="00381D99" w:rsidP="00381D99">
            <w:pPr>
              <w:spacing w:after="0" w:line="240" w:lineRule="auto"/>
              <w:rPr>
                <w:rFonts w:ascii="Calibri" w:eastAsia="Calibri" w:hAnsi="Calibri" w:cs="Arial"/>
                <w:b/>
                <w:bCs/>
                <w:sz w:val="20"/>
                <w:szCs w:val="20"/>
                <w:lang w:val="en-GB"/>
              </w:rPr>
            </w:pPr>
          </w:p>
        </w:tc>
        <w:tc>
          <w:tcPr>
            <w:tcW w:w="648" w:type="pct"/>
          </w:tcPr>
          <w:p w14:paraId="6C39F71C" w14:textId="77777777" w:rsidR="00381D99" w:rsidRPr="00381D99" w:rsidRDefault="00381D99" w:rsidP="00381D99">
            <w:pPr>
              <w:spacing w:after="0" w:line="240" w:lineRule="auto"/>
              <w:jc w:val="right"/>
              <w:rPr>
                <w:rFonts w:ascii="Calibri" w:eastAsia="Calibri" w:hAnsi="Calibri" w:cs="Arial"/>
                <w:b/>
                <w:sz w:val="20"/>
                <w:szCs w:val="20"/>
                <w:lang w:val="en-GB"/>
              </w:rPr>
            </w:pPr>
            <w:r w:rsidRPr="00381D99">
              <w:rPr>
                <w:rFonts w:ascii="Calibri" w:eastAsia="Calibri" w:hAnsi="Calibri" w:cs="Arial"/>
                <w:b/>
                <w:sz w:val="20"/>
                <w:szCs w:val="20"/>
                <w:lang w:val="en-GB"/>
              </w:rPr>
              <w:t>HRK ‘000</w:t>
            </w:r>
          </w:p>
        </w:tc>
        <w:tc>
          <w:tcPr>
            <w:tcW w:w="649" w:type="pct"/>
          </w:tcPr>
          <w:p w14:paraId="06C9EDC1" w14:textId="77777777" w:rsidR="00381D99" w:rsidRPr="00381D99" w:rsidRDefault="00381D99" w:rsidP="00381D99">
            <w:pPr>
              <w:spacing w:after="0" w:line="240" w:lineRule="auto"/>
              <w:jc w:val="right"/>
              <w:rPr>
                <w:rFonts w:ascii="Calibri" w:eastAsia="Calibri" w:hAnsi="Calibri" w:cs="Arial"/>
                <w:b/>
                <w:sz w:val="20"/>
                <w:szCs w:val="20"/>
                <w:lang w:val="en-GB"/>
              </w:rPr>
            </w:pPr>
            <w:r w:rsidRPr="00381D99">
              <w:rPr>
                <w:rFonts w:ascii="Calibri" w:eastAsia="Calibri" w:hAnsi="Calibri" w:cs="Arial"/>
                <w:b/>
                <w:sz w:val="20"/>
                <w:szCs w:val="20"/>
                <w:lang w:val="en-GB"/>
              </w:rPr>
              <w:t>HRK ‘000</w:t>
            </w:r>
          </w:p>
        </w:tc>
        <w:tc>
          <w:tcPr>
            <w:tcW w:w="642" w:type="pct"/>
          </w:tcPr>
          <w:p w14:paraId="0BB2ACE7" w14:textId="77777777" w:rsidR="00381D99" w:rsidRPr="00381D99" w:rsidRDefault="00381D99" w:rsidP="00381D99">
            <w:pPr>
              <w:spacing w:after="0" w:line="240" w:lineRule="auto"/>
              <w:jc w:val="right"/>
              <w:rPr>
                <w:rFonts w:ascii="Calibri" w:eastAsia="Calibri" w:hAnsi="Calibri" w:cs="Arial"/>
                <w:b/>
                <w:sz w:val="20"/>
                <w:szCs w:val="20"/>
                <w:lang w:val="en-GB"/>
              </w:rPr>
            </w:pPr>
            <w:r w:rsidRPr="00381D99">
              <w:rPr>
                <w:rFonts w:ascii="Calibri" w:eastAsia="Calibri" w:hAnsi="Calibri" w:cs="Arial"/>
                <w:b/>
                <w:sz w:val="20"/>
                <w:szCs w:val="20"/>
                <w:lang w:val="en-GB"/>
              </w:rPr>
              <w:t>HRK ‘000</w:t>
            </w:r>
          </w:p>
        </w:tc>
        <w:tc>
          <w:tcPr>
            <w:tcW w:w="604" w:type="pct"/>
          </w:tcPr>
          <w:p w14:paraId="609FDEB3" w14:textId="77777777" w:rsidR="00381D99" w:rsidRPr="00381D99" w:rsidRDefault="00381D99" w:rsidP="00381D99">
            <w:pPr>
              <w:spacing w:after="0" w:line="240" w:lineRule="auto"/>
              <w:jc w:val="right"/>
              <w:rPr>
                <w:rFonts w:ascii="Calibri" w:eastAsia="Calibri" w:hAnsi="Calibri" w:cs="Arial"/>
                <w:b/>
                <w:sz w:val="20"/>
                <w:szCs w:val="20"/>
                <w:lang w:val="en-GB"/>
              </w:rPr>
            </w:pPr>
            <w:r w:rsidRPr="00381D99">
              <w:rPr>
                <w:rFonts w:ascii="Calibri" w:eastAsia="Calibri" w:hAnsi="Calibri" w:cs="Arial"/>
                <w:b/>
                <w:sz w:val="20"/>
                <w:szCs w:val="20"/>
                <w:lang w:val="en-GB"/>
              </w:rPr>
              <w:t>HRK ‘000</w:t>
            </w:r>
          </w:p>
        </w:tc>
        <w:tc>
          <w:tcPr>
            <w:tcW w:w="643" w:type="pct"/>
          </w:tcPr>
          <w:p w14:paraId="702F6F7D" w14:textId="77777777" w:rsidR="00381D99" w:rsidRPr="00381D99" w:rsidRDefault="00381D99" w:rsidP="00381D99">
            <w:pPr>
              <w:spacing w:after="0" w:line="240" w:lineRule="auto"/>
              <w:jc w:val="right"/>
              <w:rPr>
                <w:rFonts w:ascii="Calibri" w:eastAsia="Calibri" w:hAnsi="Calibri" w:cs="Arial"/>
                <w:b/>
                <w:sz w:val="20"/>
                <w:szCs w:val="20"/>
                <w:lang w:val="en-GB"/>
              </w:rPr>
            </w:pPr>
            <w:r w:rsidRPr="00381D99">
              <w:rPr>
                <w:rFonts w:ascii="Calibri" w:eastAsia="Calibri" w:hAnsi="Calibri" w:cs="Arial"/>
                <w:b/>
                <w:sz w:val="20"/>
                <w:szCs w:val="20"/>
                <w:lang w:val="en-GB"/>
              </w:rPr>
              <w:t>HRK ‘000</w:t>
            </w:r>
          </w:p>
        </w:tc>
      </w:tr>
      <w:tr w:rsidR="00381D99" w:rsidRPr="00381D99" w14:paraId="758618CF" w14:textId="77777777" w:rsidTr="00E44437">
        <w:trPr>
          <w:trHeight w:val="47"/>
        </w:trPr>
        <w:tc>
          <w:tcPr>
            <w:tcW w:w="1814" w:type="pct"/>
          </w:tcPr>
          <w:p w14:paraId="11DE856A" w14:textId="77777777" w:rsidR="00381D99" w:rsidRPr="00381D99" w:rsidRDefault="00381D99" w:rsidP="00381D99">
            <w:pPr>
              <w:spacing w:after="0" w:line="240" w:lineRule="auto"/>
              <w:rPr>
                <w:rFonts w:ascii="Calibri" w:eastAsia="Calibri" w:hAnsi="Calibri" w:cs="Arial"/>
                <w:b/>
                <w:bCs/>
                <w:sz w:val="20"/>
                <w:szCs w:val="20"/>
                <w:lang w:val="en-GB"/>
              </w:rPr>
            </w:pPr>
          </w:p>
        </w:tc>
        <w:tc>
          <w:tcPr>
            <w:tcW w:w="648" w:type="pct"/>
          </w:tcPr>
          <w:p w14:paraId="20B0F765" w14:textId="77777777" w:rsidR="00381D99" w:rsidRPr="00381D99" w:rsidRDefault="00381D99" w:rsidP="00381D99">
            <w:pPr>
              <w:spacing w:after="0" w:line="240" w:lineRule="auto"/>
              <w:jc w:val="right"/>
              <w:rPr>
                <w:rFonts w:ascii="Calibri" w:eastAsia="Calibri" w:hAnsi="Calibri" w:cs="Arial"/>
                <w:b/>
                <w:sz w:val="20"/>
                <w:szCs w:val="20"/>
                <w:lang w:val="en-GB"/>
              </w:rPr>
            </w:pPr>
          </w:p>
        </w:tc>
        <w:tc>
          <w:tcPr>
            <w:tcW w:w="649" w:type="pct"/>
          </w:tcPr>
          <w:p w14:paraId="400FA6E6" w14:textId="77777777" w:rsidR="00381D99" w:rsidRPr="00381D99" w:rsidRDefault="00381D99" w:rsidP="00381D99">
            <w:pPr>
              <w:spacing w:after="0" w:line="240" w:lineRule="auto"/>
              <w:jc w:val="right"/>
              <w:rPr>
                <w:rFonts w:ascii="Calibri" w:eastAsia="Calibri" w:hAnsi="Calibri" w:cs="Arial"/>
                <w:b/>
                <w:sz w:val="20"/>
                <w:szCs w:val="20"/>
                <w:lang w:val="en-GB"/>
              </w:rPr>
            </w:pPr>
          </w:p>
        </w:tc>
        <w:tc>
          <w:tcPr>
            <w:tcW w:w="642" w:type="pct"/>
          </w:tcPr>
          <w:p w14:paraId="33828ACA" w14:textId="77777777" w:rsidR="00381D99" w:rsidRPr="00381D99" w:rsidRDefault="00381D99" w:rsidP="00381D99">
            <w:pPr>
              <w:spacing w:after="0" w:line="240" w:lineRule="auto"/>
              <w:jc w:val="right"/>
              <w:rPr>
                <w:rFonts w:ascii="Calibri" w:eastAsia="Calibri" w:hAnsi="Calibri" w:cs="Arial"/>
                <w:b/>
                <w:sz w:val="20"/>
                <w:szCs w:val="20"/>
                <w:lang w:val="en-GB"/>
              </w:rPr>
            </w:pPr>
          </w:p>
        </w:tc>
        <w:tc>
          <w:tcPr>
            <w:tcW w:w="604" w:type="pct"/>
          </w:tcPr>
          <w:p w14:paraId="32133AEE" w14:textId="77777777" w:rsidR="00381D99" w:rsidRPr="00381D99" w:rsidRDefault="00381D99" w:rsidP="00381D99">
            <w:pPr>
              <w:spacing w:after="0" w:line="240" w:lineRule="auto"/>
              <w:jc w:val="right"/>
              <w:rPr>
                <w:rFonts w:ascii="Calibri" w:eastAsia="Calibri" w:hAnsi="Calibri" w:cs="Arial"/>
                <w:b/>
                <w:sz w:val="20"/>
                <w:szCs w:val="20"/>
                <w:lang w:val="en-GB"/>
              </w:rPr>
            </w:pPr>
          </w:p>
        </w:tc>
        <w:tc>
          <w:tcPr>
            <w:tcW w:w="643" w:type="pct"/>
          </w:tcPr>
          <w:p w14:paraId="26C8843E" w14:textId="77777777" w:rsidR="00381D99" w:rsidRPr="00381D99" w:rsidRDefault="00381D99" w:rsidP="00381D99">
            <w:pPr>
              <w:spacing w:after="0" w:line="240" w:lineRule="auto"/>
              <w:jc w:val="right"/>
              <w:rPr>
                <w:rFonts w:ascii="Calibri" w:eastAsia="Calibri" w:hAnsi="Calibri" w:cs="Arial"/>
                <w:b/>
                <w:sz w:val="20"/>
                <w:szCs w:val="20"/>
                <w:lang w:val="en-GB"/>
              </w:rPr>
            </w:pPr>
          </w:p>
        </w:tc>
      </w:tr>
      <w:tr w:rsidR="00381D99" w:rsidRPr="00381D99" w14:paraId="3552ED94" w14:textId="77777777" w:rsidTr="00E44437">
        <w:trPr>
          <w:trHeight w:val="164"/>
        </w:trPr>
        <w:tc>
          <w:tcPr>
            <w:tcW w:w="1814" w:type="pct"/>
            <w:vAlign w:val="bottom"/>
          </w:tcPr>
          <w:p w14:paraId="3472B8AF" w14:textId="77777777" w:rsidR="00381D99" w:rsidRPr="00381D99" w:rsidRDefault="00381D99" w:rsidP="00381D99">
            <w:pPr>
              <w:tabs>
                <w:tab w:val="right" w:pos="1202"/>
              </w:tabs>
              <w:spacing w:after="0" w:line="240" w:lineRule="auto"/>
              <w:outlineLvl w:val="0"/>
              <w:rPr>
                <w:rFonts w:ascii="Calibri" w:eastAsia="Calibri" w:hAnsi="Calibri" w:cs="Times New Roman"/>
                <w:sz w:val="20"/>
                <w:szCs w:val="20"/>
                <w:lang w:val="en-GB"/>
              </w:rPr>
            </w:pPr>
            <w:r w:rsidRPr="00381D99">
              <w:rPr>
                <w:rFonts w:ascii="Calibri" w:eastAsia="Calibri" w:hAnsi="Calibri" w:cs="Times New Roman"/>
                <w:sz w:val="20"/>
                <w:szCs w:val="20"/>
                <w:lang w:val="en-GB"/>
              </w:rPr>
              <w:t xml:space="preserve">Balance </w:t>
            </w:r>
            <w:proofErr w:type="gramStart"/>
            <w:r w:rsidRPr="00381D99">
              <w:rPr>
                <w:rFonts w:ascii="Calibri" w:eastAsia="Calibri" w:hAnsi="Calibri" w:cs="Times New Roman"/>
                <w:sz w:val="20"/>
                <w:szCs w:val="20"/>
                <w:lang w:val="en-GB"/>
              </w:rPr>
              <w:t>at</w:t>
            </w:r>
            <w:proofErr w:type="gramEnd"/>
            <w:r w:rsidRPr="00381D99">
              <w:rPr>
                <w:rFonts w:ascii="Calibri" w:eastAsia="Calibri" w:hAnsi="Calibri" w:cs="Times New Roman"/>
                <w:sz w:val="20"/>
                <w:szCs w:val="20"/>
                <w:lang w:val="en-GB"/>
              </w:rPr>
              <w:t xml:space="preserve"> 1 January 2021</w:t>
            </w:r>
          </w:p>
        </w:tc>
        <w:tc>
          <w:tcPr>
            <w:tcW w:w="648" w:type="pct"/>
            <w:shd w:val="clear" w:color="auto" w:fill="auto"/>
            <w:vAlign w:val="bottom"/>
          </w:tcPr>
          <w:p w14:paraId="3023D23D" w14:textId="77777777" w:rsidR="00381D99" w:rsidRPr="00381D99" w:rsidRDefault="00381D99" w:rsidP="00381D99">
            <w:pPr>
              <w:spacing w:after="0" w:line="240" w:lineRule="auto"/>
              <w:jc w:val="right"/>
              <w:rPr>
                <w:rFonts w:ascii="Calibri" w:eastAsia="Calibri" w:hAnsi="Calibri" w:cs="Arial"/>
                <w:sz w:val="20"/>
                <w:szCs w:val="20"/>
                <w:lang w:val="en-GB"/>
              </w:rPr>
            </w:pPr>
            <w:r w:rsidRPr="00381D99">
              <w:rPr>
                <w:rFonts w:ascii="Calibri" w:eastAsia="Calibri" w:hAnsi="Calibri" w:cs="Calibri"/>
                <w:color w:val="000000"/>
                <w:sz w:val="20"/>
                <w:szCs w:val="20"/>
              </w:rPr>
              <w:t>1</w:t>
            </w:r>
          </w:p>
        </w:tc>
        <w:tc>
          <w:tcPr>
            <w:tcW w:w="649" w:type="pct"/>
            <w:shd w:val="clear" w:color="auto" w:fill="auto"/>
            <w:vAlign w:val="bottom"/>
          </w:tcPr>
          <w:p w14:paraId="69453EA2" w14:textId="77777777" w:rsidR="00381D99" w:rsidRPr="00381D99" w:rsidRDefault="00381D99" w:rsidP="00381D99">
            <w:pPr>
              <w:spacing w:after="0" w:line="240" w:lineRule="auto"/>
              <w:jc w:val="right"/>
              <w:rPr>
                <w:rFonts w:ascii="Calibri" w:eastAsia="Calibri" w:hAnsi="Calibri" w:cs="Arial"/>
                <w:sz w:val="20"/>
                <w:szCs w:val="20"/>
                <w:lang w:val="en-GB"/>
              </w:rPr>
            </w:pPr>
            <w:r w:rsidRPr="00381D99">
              <w:rPr>
                <w:rFonts w:ascii="Calibri" w:eastAsia="Calibri" w:hAnsi="Calibri" w:cs="Calibri"/>
                <w:color w:val="000000"/>
                <w:sz w:val="20"/>
                <w:szCs w:val="20"/>
              </w:rPr>
              <w:t>-</w:t>
            </w:r>
          </w:p>
        </w:tc>
        <w:tc>
          <w:tcPr>
            <w:tcW w:w="642" w:type="pct"/>
            <w:shd w:val="clear" w:color="auto" w:fill="auto"/>
            <w:vAlign w:val="bottom"/>
          </w:tcPr>
          <w:p w14:paraId="2080A9D7" w14:textId="77777777" w:rsidR="00381D99" w:rsidRPr="00381D99" w:rsidRDefault="00381D99" w:rsidP="00381D99">
            <w:pPr>
              <w:spacing w:after="0" w:line="240" w:lineRule="auto"/>
              <w:jc w:val="right"/>
              <w:rPr>
                <w:rFonts w:ascii="Calibri" w:eastAsia="Calibri" w:hAnsi="Calibri" w:cs="Arial"/>
                <w:sz w:val="20"/>
                <w:szCs w:val="20"/>
                <w:lang w:val="en-GB"/>
              </w:rPr>
            </w:pPr>
            <w:r w:rsidRPr="00381D99">
              <w:rPr>
                <w:rFonts w:ascii="Calibri" w:eastAsia="Calibri" w:hAnsi="Calibri" w:cs="Calibri"/>
                <w:color w:val="000000"/>
                <w:sz w:val="20"/>
                <w:szCs w:val="20"/>
              </w:rPr>
              <w:t>-</w:t>
            </w:r>
          </w:p>
        </w:tc>
        <w:tc>
          <w:tcPr>
            <w:tcW w:w="604" w:type="pct"/>
            <w:shd w:val="clear" w:color="auto" w:fill="auto"/>
            <w:vAlign w:val="bottom"/>
          </w:tcPr>
          <w:p w14:paraId="0300608C" w14:textId="77777777" w:rsidR="00381D99" w:rsidRPr="00381D99" w:rsidRDefault="00381D99" w:rsidP="00381D99">
            <w:pPr>
              <w:spacing w:after="0" w:line="240" w:lineRule="auto"/>
              <w:jc w:val="right"/>
              <w:rPr>
                <w:rFonts w:ascii="Calibri" w:eastAsia="Calibri" w:hAnsi="Calibri" w:cs="Arial"/>
                <w:sz w:val="20"/>
                <w:szCs w:val="20"/>
                <w:lang w:val="en-GB"/>
              </w:rPr>
            </w:pPr>
            <w:r w:rsidRPr="00381D99">
              <w:rPr>
                <w:rFonts w:ascii="Calibri" w:eastAsia="Calibri" w:hAnsi="Calibri" w:cs="Calibri"/>
                <w:color w:val="000000"/>
                <w:sz w:val="20"/>
                <w:szCs w:val="20"/>
              </w:rPr>
              <w:t>-</w:t>
            </w:r>
          </w:p>
        </w:tc>
        <w:tc>
          <w:tcPr>
            <w:tcW w:w="643" w:type="pct"/>
            <w:shd w:val="clear" w:color="auto" w:fill="auto"/>
            <w:vAlign w:val="bottom"/>
          </w:tcPr>
          <w:p w14:paraId="40847A41" w14:textId="77777777" w:rsidR="00381D99" w:rsidRPr="00381D99" w:rsidRDefault="00381D99" w:rsidP="00381D99">
            <w:pPr>
              <w:spacing w:after="0" w:line="240" w:lineRule="auto"/>
              <w:jc w:val="right"/>
              <w:rPr>
                <w:rFonts w:ascii="Calibri" w:eastAsia="Calibri" w:hAnsi="Calibri" w:cs="Arial"/>
                <w:sz w:val="20"/>
                <w:szCs w:val="20"/>
                <w:lang w:val="en-GB"/>
              </w:rPr>
            </w:pPr>
            <w:r w:rsidRPr="00381D99">
              <w:rPr>
                <w:rFonts w:ascii="Calibri" w:eastAsia="Calibri" w:hAnsi="Calibri" w:cs="Calibri"/>
                <w:color w:val="000000"/>
                <w:sz w:val="20"/>
                <w:szCs w:val="20"/>
              </w:rPr>
              <w:t>1</w:t>
            </w:r>
          </w:p>
        </w:tc>
      </w:tr>
      <w:tr w:rsidR="00381D99" w:rsidRPr="00381D99" w14:paraId="464F2000" w14:textId="77777777" w:rsidTr="00E44437">
        <w:trPr>
          <w:trHeight w:val="164"/>
        </w:trPr>
        <w:tc>
          <w:tcPr>
            <w:tcW w:w="1814" w:type="pct"/>
          </w:tcPr>
          <w:p w14:paraId="497108B4" w14:textId="77777777" w:rsidR="00381D99" w:rsidRPr="00381D99" w:rsidRDefault="00381D99" w:rsidP="00381D99">
            <w:pPr>
              <w:tabs>
                <w:tab w:val="right" w:pos="1202"/>
              </w:tabs>
              <w:spacing w:after="0" w:line="240" w:lineRule="auto"/>
              <w:outlineLvl w:val="0"/>
              <w:rPr>
                <w:rFonts w:ascii="Calibri" w:eastAsia="Calibri" w:hAnsi="Calibri" w:cs="Times New Roman"/>
                <w:sz w:val="20"/>
                <w:szCs w:val="20"/>
                <w:lang w:val="en-GB"/>
              </w:rPr>
            </w:pPr>
            <w:r w:rsidRPr="00381D99">
              <w:rPr>
                <w:rFonts w:ascii="Calibri" w:eastAsia="Calibri" w:hAnsi="Calibri" w:cs="Times New Roman"/>
                <w:sz w:val="20"/>
                <w:szCs w:val="20"/>
                <w:lang w:val="en-GB"/>
              </w:rPr>
              <w:t>Transfer to Stage 1</w:t>
            </w:r>
          </w:p>
        </w:tc>
        <w:tc>
          <w:tcPr>
            <w:tcW w:w="648" w:type="pct"/>
            <w:tcBorders>
              <w:top w:val="nil"/>
              <w:left w:val="nil"/>
              <w:right w:val="nil"/>
            </w:tcBorders>
            <w:shd w:val="clear" w:color="auto" w:fill="auto"/>
            <w:vAlign w:val="bottom"/>
          </w:tcPr>
          <w:p w14:paraId="1067B53D" w14:textId="77777777" w:rsidR="00381D99" w:rsidRPr="00381D99" w:rsidRDefault="00381D99" w:rsidP="00381D99">
            <w:pPr>
              <w:spacing w:after="0" w:line="240" w:lineRule="auto"/>
              <w:jc w:val="right"/>
              <w:rPr>
                <w:rFonts w:ascii="Calibri" w:eastAsia="Calibri" w:hAnsi="Calibri" w:cs="Calibri"/>
                <w:color w:val="000000"/>
                <w:sz w:val="20"/>
                <w:szCs w:val="20"/>
              </w:rPr>
            </w:pPr>
            <w:r w:rsidRPr="00381D99">
              <w:rPr>
                <w:rFonts w:ascii="Calibri" w:eastAsia="Calibri" w:hAnsi="Calibri" w:cs="Calibri"/>
                <w:color w:val="000000"/>
                <w:sz w:val="20"/>
                <w:szCs w:val="20"/>
              </w:rPr>
              <w:t>-</w:t>
            </w:r>
          </w:p>
        </w:tc>
        <w:tc>
          <w:tcPr>
            <w:tcW w:w="649" w:type="pct"/>
            <w:tcBorders>
              <w:top w:val="nil"/>
              <w:left w:val="nil"/>
              <w:right w:val="nil"/>
            </w:tcBorders>
            <w:shd w:val="clear" w:color="auto" w:fill="auto"/>
            <w:vAlign w:val="bottom"/>
          </w:tcPr>
          <w:p w14:paraId="75A0A273" w14:textId="77777777" w:rsidR="00381D99" w:rsidRPr="00381D99" w:rsidRDefault="00381D99" w:rsidP="00381D99">
            <w:pPr>
              <w:spacing w:after="0" w:line="240" w:lineRule="auto"/>
              <w:jc w:val="right"/>
              <w:rPr>
                <w:rFonts w:ascii="Calibri" w:eastAsia="Calibri" w:hAnsi="Calibri" w:cs="Calibri"/>
                <w:color w:val="000000"/>
                <w:sz w:val="20"/>
                <w:szCs w:val="20"/>
              </w:rPr>
            </w:pPr>
            <w:r w:rsidRPr="00381D99">
              <w:rPr>
                <w:rFonts w:ascii="Calibri" w:eastAsia="Calibri" w:hAnsi="Calibri" w:cs="Calibri"/>
                <w:color w:val="000000"/>
                <w:sz w:val="20"/>
                <w:szCs w:val="20"/>
              </w:rPr>
              <w:t>-</w:t>
            </w:r>
          </w:p>
        </w:tc>
        <w:tc>
          <w:tcPr>
            <w:tcW w:w="642" w:type="pct"/>
            <w:tcBorders>
              <w:top w:val="nil"/>
              <w:left w:val="nil"/>
              <w:right w:val="nil"/>
            </w:tcBorders>
            <w:shd w:val="clear" w:color="auto" w:fill="auto"/>
            <w:vAlign w:val="bottom"/>
          </w:tcPr>
          <w:p w14:paraId="2E8505F2" w14:textId="77777777" w:rsidR="00381D99" w:rsidRPr="00381D99" w:rsidRDefault="00381D99" w:rsidP="00381D99">
            <w:pPr>
              <w:spacing w:after="0" w:line="240" w:lineRule="auto"/>
              <w:jc w:val="right"/>
              <w:rPr>
                <w:rFonts w:ascii="Calibri" w:eastAsia="Calibri" w:hAnsi="Calibri" w:cs="Calibri"/>
                <w:color w:val="000000"/>
                <w:sz w:val="20"/>
                <w:szCs w:val="20"/>
              </w:rPr>
            </w:pPr>
            <w:r w:rsidRPr="00381D99">
              <w:rPr>
                <w:rFonts w:ascii="Calibri" w:eastAsia="Calibri" w:hAnsi="Calibri" w:cs="Calibri"/>
                <w:color w:val="000000"/>
                <w:sz w:val="20"/>
                <w:szCs w:val="20"/>
              </w:rPr>
              <w:t>-</w:t>
            </w:r>
          </w:p>
        </w:tc>
        <w:tc>
          <w:tcPr>
            <w:tcW w:w="604" w:type="pct"/>
            <w:tcBorders>
              <w:top w:val="nil"/>
              <w:left w:val="nil"/>
              <w:right w:val="nil"/>
            </w:tcBorders>
            <w:shd w:val="clear" w:color="auto" w:fill="auto"/>
            <w:vAlign w:val="bottom"/>
          </w:tcPr>
          <w:p w14:paraId="4041EB9B" w14:textId="77777777" w:rsidR="00381D99" w:rsidRPr="00381D99" w:rsidRDefault="00381D99" w:rsidP="00381D99">
            <w:pPr>
              <w:spacing w:after="0" w:line="240" w:lineRule="auto"/>
              <w:jc w:val="right"/>
              <w:rPr>
                <w:rFonts w:ascii="Calibri" w:eastAsia="Calibri" w:hAnsi="Calibri" w:cs="Calibri"/>
                <w:color w:val="000000"/>
                <w:sz w:val="20"/>
                <w:szCs w:val="20"/>
              </w:rPr>
            </w:pPr>
            <w:r w:rsidRPr="00381D99">
              <w:rPr>
                <w:rFonts w:ascii="Calibri" w:eastAsia="Calibri" w:hAnsi="Calibri" w:cs="Calibri"/>
                <w:color w:val="000000"/>
                <w:sz w:val="20"/>
                <w:szCs w:val="20"/>
              </w:rPr>
              <w:t>-</w:t>
            </w:r>
          </w:p>
        </w:tc>
        <w:tc>
          <w:tcPr>
            <w:tcW w:w="643" w:type="pct"/>
            <w:tcBorders>
              <w:top w:val="nil"/>
              <w:left w:val="nil"/>
              <w:right w:val="nil"/>
            </w:tcBorders>
            <w:shd w:val="clear" w:color="auto" w:fill="auto"/>
            <w:vAlign w:val="bottom"/>
          </w:tcPr>
          <w:p w14:paraId="3BF87938" w14:textId="77777777" w:rsidR="00381D99" w:rsidRPr="00381D99" w:rsidRDefault="00381D99" w:rsidP="00381D99">
            <w:pPr>
              <w:spacing w:after="0" w:line="240" w:lineRule="auto"/>
              <w:jc w:val="right"/>
              <w:rPr>
                <w:rFonts w:ascii="Calibri" w:eastAsia="Calibri" w:hAnsi="Calibri" w:cs="Calibri"/>
                <w:color w:val="000000"/>
                <w:sz w:val="20"/>
                <w:szCs w:val="20"/>
              </w:rPr>
            </w:pPr>
            <w:r w:rsidRPr="00381D99">
              <w:rPr>
                <w:rFonts w:ascii="Calibri" w:eastAsia="Calibri" w:hAnsi="Calibri" w:cs="Calibri"/>
                <w:color w:val="000000"/>
                <w:sz w:val="20"/>
                <w:szCs w:val="20"/>
              </w:rPr>
              <w:t>-</w:t>
            </w:r>
          </w:p>
        </w:tc>
      </w:tr>
      <w:tr w:rsidR="00381D99" w:rsidRPr="00381D99" w14:paraId="1E0DF506" w14:textId="77777777" w:rsidTr="00E44437">
        <w:trPr>
          <w:trHeight w:val="164"/>
        </w:trPr>
        <w:tc>
          <w:tcPr>
            <w:tcW w:w="1814" w:type="pct"/>
          </w:tcPr>
          <w:p w14:paraId="648B84DA" w14:textId="77777777" w:rsidR="00381D99" w:rsidRPr="00381D99" w:rsidRDefault="00381D99" w:rsidP="00381D99">
            <w:pPr>
              <w:tabs>
                <w:tab w:val="right" w:pos="1202"/>
              </w:tabs>
              <w:spacing w:after="0" w:line="240" w:lineRule="auto"/>
              <w:outlineLvl w:val="0"/>
              <w:rPr>
                <w:rFonts w:ascii="Calibri" w:eastAsia="Calibri" w:hAnsi="Calibri" w:cs="Times New Roman"/>
                <w:sz w:val="20"/>
                <w:szCs w:val="20"/>
                <w:lang w:val="en-GB"/>
              </w:rPr>
            </w:pPr>
            <w:r w:rsidRPr="00381D99">
              <w:rPr>
                <w:rFonts w:ascii="Calibri" w:eastAsia="Calibri" w:hAnsi="Calibri" w:cs="Times New Roman"/>
                <w:sz w:val="20"/>
                <w:szCs w:val="20"/>
                <w:lang w:val="en-GB"/>
              </w:rPr>
              <w:t>Transfer to Stage 2</w:t>
            </w:r>
          </w:p>
        </w:tc>
        <w:tc>
          <w:tcPr>
            <w:tcW w:w="648" w:type="pct"/>
            <w:tcBorders>
              <w:top w:val="nil"/>
              <w:left w:val="nil"/>
              <w:right w:val="nil"/>
            </w:tcBorders>
            <w:shd w:val="clear" w:color="auto" w:fill="auto"/>
            <w:vAlign w:val="bottom"/>
          </w:tcPr>
          <w:p w14:paraId="57748BC4" w14:textId="77777777" w:rsidR="00381D99" w:rsidRPr="00381D99" w:rsidRDefault="00381D99" w:rsidP="00381D99">
            <w:pPr>
              <w:spacing w:after="0" w:line="240" w:lineRule="auto"/>
              <w:jc w:val="right"/>
              <w:rPr>
                <w:rFonts w:ascii="Calibri" w:eastAsia="Calibri" w:hAnsi="Calibri" w:cs="Calibri"/>
                <w:color w:val="000000"/>
                <w:sz w:val="20"/>
                <w:szCs w:val="20"/>
              </w:rPr>
            </w:pPr>
            <w:r w:rsidRPr="00381D99">
              <w:rPr>
                <w:rFonts w:ascii="Calibri" w:eastAsia="Calibri" w:hAnsi="Calibri" w:cs="Calibri"/>
                <w:color w:val="000000"/>
                <w:sz w:val="20"/>
                <w:szCs w:val="20"/>
              </w:rPr>
              <w:t>-</w:t>
            </w:r>
          </w:p>
        </w:tc>
        <w:tc>
          <w:tcPr>
            <w:tcW w:w="649" w:type="pct"/>
            <w:tcBorders>
              <w:top w:val="nil"/>
              <w:left w:val="nil"/>
              <w:right w:val="nil"/>
            </w:tcBorders>
            <w:shd w:val="clear" w:color="auto" w:fill="auto"/>
            <w:vAlign w:val="bottom"/>
          </w:tcPr>
          <w:p w14:paraId="2D22BF9D" w14:textId="77777777" w:rsidR="00381D99" w:rsidRPr="00381D99" w:rsidRDefault="00381D99" w:rsidP="00381D99">
            <w:pPr>
              <w:spacing w:after="0" w:line="240" w:lineRule="auto"/>
              <w:jc w:val="right"/>
              <w:rPr>
                <w:rFonts w:ascii="Calibri" w:eastAsia="Calibri" w:hAnsi="Calibri" w:cs="Calibri"/>
                <w:color w:val="000000"/>
                <w:sz w:val="20"/>
                <w:szCs w:val="20"/>
              </w:rPr>
            </w:pPr>
            <w:r w:rsidRPr="00381D99">
              <w:rPr>
                <w:rFonts w:ascii="Calibri" w:eastAsia="Calibri" w:hAnsi="Calibri" w:cs="Calibri"/>
                <w:color w:val="000000"/>
                <w:sz w:val="20"/>
                <w:szCs w:val="20"/>
              </w:rPr>
              <w:t>-</w:t>
            </w:r>
          </w:p>
        </w:tc>
        <w:tc>
          <w:tcPr>
            <w:tcW w:w="642" w:type="pct"/>
            <w:tcBorders>
              <w:top w:val="nil"/>
              <w:left w:val="nil"/>
              <w:right w:val="nil"/>
            </w:tcBorders>
            <w:shd w:val="clear" w:color="auto" w:fill="auto"/>
            <w:vAlign w:val="bottom"/>
          </w:tcPr>
          <w:p w14:paraId="291DA29C" w14:textId="77777777" w:rsidR="00381D99" w:rsidRPr="00381D99" w:rsidRDefault="00381D99" w:rsidP="00381D99">
            <w:pPr>
              <w:spacing w:after="0" w:line="240" w:lineRule="auto"/>
              <w:jc w:val="right"/>
              <w:rPr>
                <w:rFonts w:ascii="Calibri" w:eastAsia="Calibri" w:hAnsi="Calibri" w:cs="Calibri"/>
                <w:color w:val="000000"/>
                <w:sz w:val="20"/>
                <w:szCs w:val="20"/>
              </w:rPr>
            </w:pPr>
            <w:r w:rsidRPr="00381D99">
              <w:rPr>
                <w:rFonts w:ascii="Calibri" w:eastAsia="Calibri" w:hAnsi="Calibri" w:cs="Calibri"/>
                <w:color w:val="000000"/>
                <w:sz w:val="20"/>
                <w:szCs w:val="20"/>
              </w:rPr>
              <w:t>-</w:t>
            </w:r>
          </w:p>
        </w:tc>
        <w:tc>
          <w:tcPr>
            <w:tcW w:w="604" w:type="pct"/>
            <w:tcBorders>
              <w:top w:val="nil"/>
              <w:left w:val="nil"/>
              <w:right w:val="nil"/>
            </w:tcBorders>
            <w:shd w:val="clear" w:color="auto" w:fill="auto"/>
            <w:vAlign w:val="bottom"/>
          </w:tcPr>
          <w:p w14:paraId="70F3F377" w14:textId="77777777" w:rsidR="00381D99" w:rsidRPr="00381D99" w:rsidRDefault="00381D99" w:rsidP="00381D99">
            <w:pPr>
              <w:spacing w:after="0" w:line="240" w:lineRule="auto"/>
              <w:jc w:val="right"/>
              <w:rPr>
                <w:rFonts w:ascii="Calibri" w:eastAsia="Calibri" w:hAnsi="Calibri" w:cs="Calibri"/>
                <w:color w:val="000000"/>
                <w:sz w:val="20"/>
                <w:szCs w:val="20"/>
              </w:rPr>
            </w:pPr>
            <w:r w:rsidRPr="00381D99">
              <w:rPr>
                <w:rFonts w:ascii="Calibri" w:eastAsia="Calibri" w:hAnsi="Calibri" w:cs="Calibri"/>
                <w:color w:val="000000"/>
                <w:sz w:val="20"/>
                <w:szCs w:val="20"/>
              </w:rPr>
              <w:t>-</w:t>
            </w:r>
          </w:p>
        </w:tc>
        <w:tc>
          <w:tcPr>
            <w:tcW w:w="643" w:type="pct"/>
            <w:tcBorders>
              <w:top w:val="nil"/>
              <w:left w:val="nil"/>
              <w:right w:val="nil"/>
            </w:tcBorders>
            <w:shd w:val="clear" w:color="auto" w:fill="auto"/>
            <w:vAlign w:val="bottom"/>
          </w:tcPr>
          <w:p w14:paraId="59D0104B" w14:textId="77777777" w:rsidR="00381D99" w:rsidRPr="00381D99" w:rsidRDefault="00381D99" w:rsidP="00381D99">
            <w:pPr>
              <w:spacing w:after="0" w:line="240" w:lineRule="auto"/>
              <w:jc w:val="right"/>
              <w:rPr>
                <w:rFonts w:ascii="Calibri" w:eastAsia="Calibri" w:hAnsi="Calibri" w:cs="Calibri"/>
                <w:color w:val="000000"/>
                <w:sz w:val="20"/>
                <w:szCs w:val="20"/>
              </w:rPr>
            </w:pPr>
            <w:r w:rsidRPr="00381D99">
              <w:rPr>
                <w:rFonts w:ascii="Calibri" w:eastAsia="Calibri" w:hAnsi="Calibri" w:cs="Calibri"/>
                <w:color w:val="000000"/>
                <w:sz w:val="20"/>
                <w:szCs w:val="20"/>
              </w:rPr>
              <w:t>-</w:t>
            </w:r>
          </w:p>
        </w:tc>
      </w:tr>
      <w:tr w:rsidR="00381D99" w:rsidRPr="00381D99" w14:paraId="35C78FE9" w14:textId="77777777" w:rsidTr="00E44437">
        <w:trPr>
          <w:trHeight w:val="164"/>
        </w:trPr>
        <w:tc>
          <w:tcPr>
            <w:tcW w:w="1814" w:type="pct"/>
          </w:tcPr>
          <w:p w14:paraId="187DB09D" w14:textId="77777777" w:rsidR="00381D99" w:rsidRPr="00381D99" w:rsidRDefault="00381D99" w:rsidP="00381D99">
            <w:pPr>
              <w:tabs>
                <w:tab w:val="right" w:pos="1202"/>
              </w:tabs>
              <w:spacing w:after="0" w:line="240" w:lineRule="auto"/>
              <w:outlineLvl w:val="0"/>
              <w:rPr>
                <w:rFonts w:ascii="Calibri" w:eastAsia="Calibri" w:hAnsi="Calibri" w:cs="Times New Roman"/>
                <w:sz w:val="20"/>
                <w:szCs w:val="20"/>
                <w:lang w:val="en-GB"/>
              </w:rPr>
            </w:pPr>
            <w:r w:rsidRPr="00381D99">
              <w:rPr>
                <w:rFonts w:ascii="Calibri" w:eastAsia="Calibri" w:hAnsi="Calibri" w:cs="Times New Roman"/>
                <w:sz w:val="20"/>
                <w:szCs w:val="20"/>
                <w:lang w:val="en-GB"/>
              </w:rPr>
              <w:t>Transfer to Stage 3</w:t>
            </w:r>
          </w:p>
        </w:tc>
        <w:tc>
          <w:tcPr>
            <w:tcW w:w="648" w:type="pct"/>
            <w:tcBorders>
              <w:top w:val="nil"/>
              <w:left w:val="nil"/>
              <w:right w:val="nil"/>
            </w:tcBorders>
            <w:shd w:val="clear" w:color="auto" w:fill="auto"/>
            <w:vAlign w:val="bottom"/>
          </w:tcPr>
          <w:p w14:paraId="28ED2AD0" w14:textId="77777777" w:rsidR="00381D99" w:rsidRPr="00381D99" w:rsidRDefault="00381D99" w:rsidP="00381D99">
            <w:pPr>
              <w:spacing w:after="0" w:line="240" w:lineRule="auto"/>
              <w:jc w:val="right"/>
              <w:rPr>
                <w:rFonts w:ascii="Calibri" w:eastAsia="Calibri" w:hAnsi="Calibri" w:cs="Calibri"/>
                <w:color w:val="000000"/>
                <w:sz w:val="20"/>
                <w:szCs w:val="20"/>
              </w:rPr>
            </w:pPr>
            <w:r w:rsidRPr="00381D99">
              <w:rPr>
                <w:rFonts w:ascii="Calibri" w:eastAsia="Calibri" w:hAnsi="Calibri" w:cs="Calibri"/>
                <w:color w:val="000000"/>
                <w:sz w:val="20"/>
                <w:szCs w:val="20"/>
              </w:rPr>
              <w:t>-</w:t>
            </w:r>
          </w:p>
        </w:tc>
        <w:tc>
          <w:tcPr>
            <w:tcW w:w="649" w:type="pct"/>
            <w:tcBorders>
              <w:top w:val="nil"/>
              <w:left w:val="nil"/>
              <w:right w:val="nil"/>
            </w:tcBorders>
            <w:shd w:val="clear" w:color="auto" w:fill="auto"/>
            <w:vAlign w:val="bottom"/>
          </w:tcPr>
          <w:p w14:paraId="2D9034BF" w14:textId="77777777" w:rsidR="00381D99" w:rsidRPr="00381D99" w:rsidRDefault="00381D99" w:rsidP="00381D99">
            <w:pPr>
              <w:spacing w:after="0" w:line="240" w:lineRule="auto"/>
              <w:jc w:val="right"/>
              <w:rPr>
                <w:rFonts w:ascii="Calibri" w:eastAsia="Calibri" w:hAnsi="Calibri" w:cs="Calibri"/>
                <w:color w:val="000000"/>
                <w:sz w:val="20"/>
                <w:szCs w:val="20"/>
              </w:rPr>
            </w:pPr>
            <w:r w:rsidRPr="00381D99">
              <w:rPr>
                <w:rFonts w:ascii="Calibri" w:eastAsia="Calibri" w:hAnsi="Calibri" w:cs="Calibri"/>
                <w:color w:val="000000"/>
                <w:sz w:val="20"/>
                <w:szCs w:val="20"/>
              </w:rPr>
              <w:t>-</w:t>
            </w:r>
          </w:p>
        </w:tc>
        <w:tc>
          <w:tcPr>
            <w:tcW w:w="642" w:type="pct"/>
            <w:tcBorders>
              <w:top w:val="nil"/>
              <w:left w:val="nil"/>
              <w:right w:val="nil"/>
            </w:tcBorders>
            <w:shd w:val="clear" w:color="auto" w:fill="auto"/>
            <w:vAlign w:val="bottom"/>
          </w:tcPr>
          <w:p w14:paraId="10444C4C" w14:textId="77777777" w:rsidR="00381D99" w:rsidRPr="00381D99" w:rsidRDefault="00381D99" w:rsidP="00381D99">
            <w:pPr>
              <w:spacing w:after="0" w:line="240" w:lineRule="auto"/>
              <w:jc w:val="right"/>
              <w:rPr>
                <w:rFonts w:ascii="Calibri" w:eastAsia="Calibri" w:hAnsi="Calibri" w:cs="Calibri"/>
                <w:color w:val="000000"/>
                <w:sz w:val="20"/>
                <w:szCs w:val="20"/>
              </w:rPr>
            </w:pPr>
            <w:r w:rsidRPr="00381D99">
              <w:rPr>
                <w:rFonts w:ascii="Calibri" w:eastAsia="Calibri" w:hAnsi="Calibri" w:cs="Calibri"/>
                <w:color w:val="000000"/>
                <w:sz w:val="20"/>
                <w:szCs w:val="20"/>
              </w:rPr>
              <w:t>-</w:t>
            </w:r>
          </w:p>
        </w:tc>
        <w:tc>
          <w:tcPr>
            <w:tcW w:w="604" w:type="pct"/>
            <w:tcBorders>
              <w:top w:val="nil"/>
              <w:left w:val="nil"/>
              <w:right w:val="nil"/>
            </w:tcBorders>
            <w:shd w:val="clear" w:color="auto" w:fill="auto"/>
            <w:vAlign w:val="bottom"/>
          </w:tcPr>
          <w:p w14:paraId="272FA8F9" w14:textId="77777777" w:rsidR="00381D99" w:rsidRPr="00381D99" w:rsidRDefault="00381D99" w:rsidP="00381D99">
            <w:pPr>
              <w:spacing w:after="0" w:line="240" w:lineRule="auto"/>
              <w:jc w:val="right"/>
              <w:rPr>
                <w:rFonts w:ascii="Calibri" w:eastAsia="Calibri" w:hAnsi="Calibri" w:cs="Calibri"/>
                <w:color w:val="000000"/>
                <w:sz w:val="20"/>
                <w:szCs w:val="20"/>
              </w:rPr>
            </w:pPr>
            <w:r w:rsidRPr="00381D99">
              <w:rPr>
                <w:rFonts w:ascii="Calibri" w:eastAsia="Calibri" w:hAnsi="Calibri" w:cs="Calibri"/>
                <w:color w:val="000000"/>
                <w:sz w:val="20"/>
                <w:szCs w:val="20"/>
              </w:rPr>
              <w:t>-</w:t>
            </w:r>
          </w:p>
        </w:tc>
        <w:tc>
          <w:tcPr>
            <w:tcW w:w="643" w:type="pct"/>
            <w:tcBorders>
              <w:top w:val="nil"/>
              <w:left w:val="nil"/>
              <w:right w:val="nil"/>
            </w:tcBorders>
            <w:shd w:val="clear" w:color="auto" w:fill="auto"/>
            <w:vAlign w:val="bottom"/>
          </w:tcPr>
          <w:p w14:paraId="6A72161F" w14:textId="77777777" w:rsidR="00381D99" w:rsidRPr="00381D99" w:rsidRDefault="00381D99" w:rsidP="00381D99">
            <w:pPr>
              <w:spacing w:after="0" w:line="240" w:lineRule="auto"/>
              <w:jc w:val="right"/>
              <w:rPr>
                <w:rFonts w:ascii="Calibri" w:eastAsia="Calibri" w:hAnsi="Calibri" w:cs="Calibri"/>
                <w:color w:val="000000"/>
                <w:sz w:val="20"/>
                <w:szCs w:val="20"/>
              </w:rPr>
            </w:pPr>
            <w:r w:rsidRPr="00381D99">
              <w:rPr>
                <w:rFonts w:ascii="Calibri" w:eastAsia="Calibri" w:hAnsi="Calibri" w:cs="Calibri"/>
                <w:color w:val="000000"/>
                <w:sz w:val="20"/>
                <w:szCs w:val="20"/>
              </w:rPr>
              <w:t>-</w:t>
            </w:r>
          </w:p>
        </w:tc>
      </w:tr>
      <w:tr w:rsidR="00381D99" w:rsidRPr="00381D99" w14:paraId="2249E21C" w14:textId="77777777" w:rsidTr="00E44437">
        <w:trPr>
          <w:trHeight w:val="164"/>
        </w:trPr>
        <w:tc>
          <w:tcPr>
            <w:tcW w:w="1814" w:type="pct"/>
            <w:vAlign w:val="bottom"/>
          </w:tcPr>
          <w:p w14:paraId="43E89FA8" w14:textId="546D4DC4" w:rsidR="00381D99" w:rsidRPr="00381D99" w:rsidRDefault="00381D99" w:rsidP="00381D99">
            <w:pPr>
              <w:tabs>
                <w:tab w:val="right" w:pos="1202"/>
              </w:tabs>
              <w:spacing w:after="0" w:line="240" w:lineRule="auto"/>
              <w:outlineLvl w:val="0"/>
              <w:rPr>
                <w:rFonts w:ascii="Calibri" w:eastAsia="Calibri" w:hAnsi="Calibri" w:cs="Times New Roman"/>
                <w:sz w:val="20"/>
                <w:szCs w:val="20"/>
                <w:lang w:val="en-GB"/>
              </w:rPr>
            </w:pPr>
            <w:r w:rsidRPr="00381D99">
              <w:rPr>
                <w:rFonts w:ascii="Calibri" w:eastAsia="Calibri" w:hAnsi="Calibri" w:cs="Times New Roman"/>
                <w:sz w:val="20"/>
                <w:szCs w:val="20"/>
                <w:lang w:val="en-GB"/>
              </w:rPr>
              <w:t xml:space="preserve">Net </w:t>
            </w:r>
            <w:r w:rsidR="00DF10E9">
              <w:rPr>
                <w:rFonts w:ascii="Calibri" w:eastAsia="Calibri" w:hAnsi="Calibri" w:cs="Times New Roman"/>
                <w:sz w:val="20"/>
                <w:szCs w:val="20"/>
                <w:lang w:val="en-GB"/>
              </w:rPr>
              <w:t>(</w:t>
            </w:r>
            <w:r w:rsidRPr="00381D99">
              <w:rPr>
                <w:rFonts w:ascii="Calibri" w:eastAsia="Calibri" w:hAnsi="Calibri" w:cs="Times New Roman"/>
                <w:sz w:val="20"/>
                <w:szCs w:val="20"/>
                <w:lang w:val="en-GB"/>
              </w:rPr>
              <w:t>release</w:t>
            </w:r>
            <w:r w:rsidR="00DF10E9">
              <w:rPr>
                <w:rFonts w:ascii="Calibri" w:eastAsia="Calibri" w:hAnsi="Calibri" w:cs="Times New Roman"/>
                <w:sz w:val="20"/>
                <w:szCs w:val="20"/>
                <w:lang w:val="en-GB"/>
              </w:rPr>
              <w:t>)</w:t>
            </w:r>
            <w:r w:rsidRPr="00381D99">
              <w:rPr>
                <w:rFonts w:ascii="Calibri" w:eastAsia="Calibri" w:hAnsi="Calibri" w:cs="Times New Roman"/>
                <w:sz w:val="20"/>
                <w:szCs w:val="20"/>
                <w:lang w:val="en-GB"/>
              </w:rPr>
              <w:t xml:space="preserve"> of loss allowance</w:t>
            </w:r>
          </w:p>
        </w:tc>
        <w:tc>
          <w:tcPr>
            <w:tcW w:w="648" w:type="pct"/>
            <w:shd w:val="clear" w:color="auto" w:fill="auto"/>
            <w:vAlign w:val="bottom"/>
          </w:tcPr>
          <w:p w14:paraId="4E41CAD8" w14:textId="77777777" w:rsidR="00381D99" w:rsidRPr="00381D99" w:rsidRDefault="00381D99" w:rsidP="00381D99">
            <w:pPr>
              <w:spacing w:after="0" w:line="240" w:lineRule="auto"/>
              <w:jc w:val="right"/>
              <w:rPr>
                <w:rFonts w:ascii="Calibri" w:eastAsia="Calibri" w:hAnsi="Calibri" w:cs="Calibri"/>
                <w:color w:val="000000"/>
                <w:sz w:val="20"/>
                <w:szCs w:val="20"/>
              </w:rPr>
            </w:pPr>
            <w:r w:rsidRPr="00381D99">
              <w:rPr>
                <w:rFonts w:ascii="Calibri" w:eastAsia="Calibri" w:hAnsi="Calibri" w:cs="Calibri"/>
                <w:color w:val="000000"/>
                <w:sz w:val="20"/>
                <w:szCs w:val="20"/>
              </w:rPr>
              <w:t>(1)</w:t>
            </w:r>
          </w:p>
        </w:tc>
        <w:tc>
          <w:tcPr>
            <w:tcW w:w="649" w:type="pct"/>
            <w:tcBorders>
              <w:top w:val="nil"/>
              <w:left w:val="nil"/>
              <w:right w:val="nil"/>
            </w:tcBorders>
            <w:shd w:val="clear" w:color="auto" w:fill="auto"/>
            <w:vAlign w:val="bottom"/>
          </w:tcPr>
          <w:p w14:paraId="4D0FA000" w14:textId="77777777" w:rsidR="00381D99" w:rsidRPr="00381D99" w:rsidRDefault="00381D99" w:rsidP="00381D99">
            <w:pPr>
              <w:spacing w:after="0" w:line="240" w:lineRule="auto"/>
              <w:jc w:val="right"/>
              <w:rPr>
                <w:rFonts w:ascii="Calibri" w:eastAsia="Calibri" w:hAnsi="Calibri" w:cs="Calibri"/>
                <w:color w:val="000000"/>
                <w:sz w:val="20"/>
                <w:szCs w:val="20"/>
              </w:rPr>
            </w:pPr>
            <w:r w:rsidRPr="00381D99">
              <w:rPr>
                <w:rFonts w:ascii="Calibri" w:eastAsia="Calibri" w:hAnsi="Calibri" w:cs="Calibri"/>
                <w:color w:val="000000"/>
                <w:sz w:val="20"/>
                <w:szCs w:val="20"/>
              </w:rPr>
              <w:t>-</w:t>
            </w:r>
          </w:p>
        </w:tc>
        <w:tc>
          <w:tcPr>
            <w:tcW w:w="642" w:type="pct"/>
            <w:tcBorders>
              <w:top w:val="nil"/>
              <w:left w:val="nil"/>
              <w:right w:val="nil"/>
            </w:tcBorders>
            <w:shd w:val="clear" w:color="auto" w:fill="auto"/>
            <w:vAlign w:val="bottom"/>
          </w:tcPr>
          <w:p w14:paraId="6B7A108A" w14:textId="77777777" w:rsidR="00381D99" w:rsidRPr="00381D99" w:rsidRDefault="00381D99" w:rsidP="00381D99">
            <w:pPr>
              <w:spacing w:after="0" w:line="240" w:lineRule="auto"/>
              <w:jc w:val="right"/>
              <w:rPr>
                <w:rFonts w:ascii="Calibri" w:eastAsia="Calibri" w:hAnsi="Calibri" w:cs="Calibri"/>
                <w:color w:val="000000"/>
                <w:sz w:val="20"/>
                <w:szCs w:val="20"/>
              </w:rPr>
            </w:pPr>
            <w:r w:rsidRPr="00381D99">
              <w:rPr>
                <w:rFonts w:ascii="Calibri" w:eastAsia="Calibri" w:hAnsi="Calibri" w:cs="Calibri"/>
                <w:color w:val="000000"/>
                <w:sz w:val="20"/>
                <w:szCs w:val="20"/>
              </w:rPr>
              <w:t>-</w:t>
            </w:r>
          </w:p>
        </w:tc>
        <w:tc>
          <w:tcPr>
            <w:tcW w:w="604" w:type="pct"/>
            <w:tcBorders>
              <w:top w:val="nil"/>
              <w:left w:val="nil"/>
              <w:right w:val="nil"/>
            </w:tcBorders>
            <w:shd w:val="clear" w:color="auto" w:fill="auto"/>
            <w:vAlign w:val="bottom"/>
          </w:tcPr>
          <w:p w14:paraId="44D97797" w14:textId="77777777" w:rsidR="00381D99" w:rsidRPr="00381D99" w:rsidRDefault="00381D99" w:rsidP="00381D99">
            <w:pPr>
              <w:spacing w:after="0" w:line="240" w:lineRule="auto"/>
              <w:jc w:val="right"/>
              <w:rPr>
                <w:rFonts w:ascii="Calibri" w:eastAsia="Calibri" w:hAnsi="Calibri" w:cs="Calibri"/>
                <w:color w:val="000000"/>
                <w:sz w:val="20"/>
                <w:szCs w:val="20"/>
              </w:rPr>
            </w:pPr>
            <w:r w:rsidRPr="00381D99">
              <w:rPr>
                <w:rFonts w:ascii="Calibri" w:eastAsia="Calibri" w:hAnsi="Calibri" w:cs="Calibri"/>
                <w:color w:val="000000"/>
                <w:sz w:val="20"/>
                <w:szCs w:val="20"/>
              </w:rPr>
              <w:t>-</w:t>
            </w:r>
          </w:p>
        </w:tc>
        <w:tc>
          <w:tcPr>
            <w:tcW w:w="643" w:type="pct"/>
            <w:shd w:val="clear" w:color="auto" w:fill="auto"/>
            <w:vAlign w:val="bottom"/>
          </w:tcPr>
          <w:p w14:paraId="65CDC6A0" w14:textId="77777777" w:rsidR="00381D99" w:rsidRPr="00381D99" w:rsidRDefault="00381D99" w:rsidP="00381D99">
            <w:pPr>
              <w:spacing w:after="0" w:line="240" w:lineRule="auto"/>
              <w:jc w:val="right"/>
              <w:rPr>
                <w:rFonts w:ascii="Calibri" w:eastAsia="Calibri" w:hAnsi="Calibri" w:cs="Calibri"/>
                <w:color w:val="000000"/>
                <w:sz w:val="20"/>
                <w:szCs w:val="20"/>
              </w:rPr>
            </w:pPr>
            <w:r w:rsidRPr="00381D99">
              <w:rPr>
                <w:rFonts w:ascii="Calibri" w:eastAsia="Calibri" w:hAnsi="Calibri" w:cs="Calibri"/>
                <w:color w:val="000000"/>
                <w:sz w:val="20"/>
                <w:szCs w:val="20"/>
              </w:rPr>
              <w:t>(1)</w:t>
            </w:r>
          </w:p>
        </w:tc>
      </w:tr>
      <w:tr w:rsidR="00381D99" w:rsidRPr="00381D99" w14:paraId="409D17AE" w14:textId="77777777" w:rsidTr="00E44437">
        <w:trPr>
          <w:trHeight w:val="285"/>
        </w:trPr>
        <w:tc>
          <w:tcPr>
            <w:tcW w:w="1814" w:type="pct"/>
            <w:vAlign w:val="bottom"/>
          </w:tcPr>
          <w:p w14:paraId="07741AED" w14:textId="77777777" w:rsidR="00381D99" w:rsidRPr="00381D99" w:rsidRDefault="00381D99" w:rsidP="00381D99">
            <w:pPr>
              <w:tabs>
                <w:tab w:val="right" w:pos="1202"/>
              </w:tabs>
              <w:spacing w:after="0" w:line="240" w:lineRule="auto"/>
              <w:outlineLvl w:val="0"/>
              <w:rPr>
                <w:rFonts w:ascii="Calibri" w:eastAsia="Calibri" w:hAnsi="Calibri" w:cs="Times New Roman"/>
                <w:sz w:val="20"/>
                <w:szCs w:val="20"/>
                <w:lang w:val="en-GB"/>
              </w:rPr>
            </w:pPr>
            <w:r w:rsidRPr="00381D99">
              <w:rPr>
                <w:rFonts w:ascii="Calibri" w:eastAsia="Calibri" w:hAnsi="Calibri" w:cs="Times New Roman"/>
                <w:sz w:val="20"/>
                <w:szCs w:val="20"/>
                <w:lang w:val="en-GB"/>
              </w:rPr>
              <w:t xml:space="preserve">Net foreign exchange gain/loss on loss allowances </w:t>
            </w:r>
          </w:p>
        </w:tc>
        <w:tc>
          <w:tcPr>
            <w:tcW w:w="648" w:type="pct"/>
            <w:tcBorders>
              <w:top w:val="nil"/>
              <w:left w:val="nil"/>
              <w:bottom w:val="single" w:sz="4" w:space="0" w:color="auto"/>
              <w:right w:val="nil"/>
            </w:tcBorders>
            <w:shd w:val="clear" w:color="auto" w:fill="auto"/>
            <w:vAlign w:val="bottom"/>
          </w:tcPr>
          <w:p w14:paraId="0C39A5E8" w14:textId="77777777" w:rsidR="00381D99" w:rsidRPr="00381D99" w:rsidRDefault="00381D99" w:rsidP="00381D99">
            <w:pPr>
              <w:spacing w:after="0" w:line="240" w:lineRule="auto"/>
              <w:jc w:val="right"/>
              <w:rPr>
                <w:rFonts w:ascii="Calibri" w:eastAsia="Calibri" w:hAnsi="Calibri" w:cs="Calibri"/>
                <w:color w:val="000000"/>
                <w:sz w:val="20"/>
                <w:szCs w:val="20"/>
              </w:rPr>
            </w:pPr>
            <w:r w:rsidRPr="00381D99">
              <w:rPr>
                <w:rFonts w:ascii="Calibri" w:eastAsia="Calibri" w:hAnsi="Calibri" w:cs="Calibri"/>
                <w:color w:val="000000"/>
                <w:sz w:val="20"/>
                <w:szCs w:val="20"/>
              </w:rPr>
              <w:t>1</w:t>
            </w:r>
          </w:p>
        </w:tc>
        <w:tc>
          <w:tcPr>
            <w:tcW w:w="649" w:type="pct"/>
            <w:tcBorders>
              <w:top w:val="nil"/>
              <w:left w:val="nil"/>
              <w:bottom w:val="single" w:sz="4" w:space="0" w:color="auto"/>
              <w:right w:val="nil"/>
            </w:tcBorders>
            <w:shd w:val="clear" w:color="auto" w:fill="auto"/>
            <w:vAlign w:val="bottom"/>
          </w:tcPr>
          <w:p w14:paraId="1A9E646A" w14:textId="77777777" w:rsidR="00381D99" w:rsidRPr="00381D99" w:rsidRDefault="00381D99" w:rsidP="00381D99">
            <w:pPr>
              <w:spacing w:after="0" w:line="240" w:lineRule="auto"/>
              <w:jc w:val="right"/>
              <w:rPr>
                <w:rFonts w:ascii="Calibri" w:eastAsia="Calibri" w:hAnsi="Calibri" w:cs="Calibri"/>
                <w:color w:val="000000"/>
                <w:sz w:val="20"/>
                <w:szCs w:val="20"/>
              </w:rPr>
            </w:pPr>
            <w:r w:rsidRPr="00381D99">
              <w:rPr>
                <w:rFonts w:ascii="Calibri" w:eastAsia="Calibri" w:hAnsi="Calibri" w:cs="Calibri"/>
                <w:color w:val="000000"/>
                <w:sz w:val="20"/>
                <w:szCs w:val="20"/>
              </w:rPr>
              <w:t>-</w:t>
            </w:r>
          </w:p>
        </w:tc>
        <w:tc>
          <w:tcPr>
            <w:tcW w:w="642" w:type="pct"/>
            <w:tcBorders>
              <w:top w:val="nil"/>
              <w:left w:val="nil"/>
              <w:bottom w:val="single" w:sz="4" w:space="0" w:color="auto"/>
              <w:right w:val="nil"/>
            </w:tcBorders>
            <w:shd w:val="clear" w:color="auto" w:fill="auto"/>
            <w:vAlign w:val="bottom"/>
          </w:tcPr>
          <w:p w14:paraId="497EF3A6" w14:textId="77777777" w:rsidR="00381D99" w:rsidRPr="00381D99" w:rsidRDefault="00381D99" w:rsidP="00381D99">
            <w:pPr>
              <w:spacing w:after="0" w:line="240" w:lineRule="auto"/>
              <w:jc w:val="right"/>
              <w:rPr>
                <w:rFonts w:ascii="Calibri" w:eastAsia="Calibri" w:hAnsi="Calibri" w:cs="Calibri"/>
                <w:color w:val="000000"/>
                <w:sz w:val="20"/>
                <w:szCs w:val="20"/>
              </w:rPr>
            </w:pPr>
            <w:r w:rsidRPr="00381D99">
              <w:rPr>
                <w:rFonts w:ascii="Calibri" w:eastAsia="Calibri" w:hAnsi="Calibri" w:cs="Calibri"/>
                <w:color w:val="000000"/>
                <w:sz w:val="20"/>
                <w:szCs w:val="20"/>
              </w:rPr>
              <w:t>-</w:t>
            </w:r>
          </w:p>
        </w:tc>
        <w:tc>
          <w:tcPr>
            <w:tcW w:w="604" w:type="pct"/>
            <w:tcBorders>
              <w:top w:val="nil"/>
              <w:left w:val="nil"/>
              <w:bottom w:val="single" w:sz="4" w:space="0" w:color="auto"/>
              <w:right w:val="nil"/>
            </w:tcBorders>
            <w:shd w:val="clear" w:color="auto" w:fill="auto"/>
            <w:vAlign w:val="bottom"/>
          </w:tcPr>
          <w:p w14:paraId="2656098A" w14:textId="77777777" w:rsidR="00381D99" w:rsidRPr="00381D99" w:rsidRDefault="00381D99" w:rsidP="00381D99">
            <w:pPr>
              <w:spacing w:after="0" w:line="240" w:lineRule="auto"/>
              <w:jc w:val="right"/>
              <w:rPr>
                <w:rFonts w:ascii="Calibri" w:eastAsia="Calibri" w:hAnsi="Calibri" w:cs="Calibri"/>
                <w:color w:val="000000"/>
                <w:sz w:val="20"/>
                <w:szCs w:val="20"/>
              </w:rPr>
            </w:pPr>
            <w:r w:rsidRPr="00381D99">
              <w:rPr>
                <w:rFonts w:ascii="Calibri" w:eastAsia="Calibri" w:hAnsi="Calibri" w:cs="Calibri"/>
                <w:color w:val="000000"/>
                <w:sz w:val="20"/>
                <w:szCs w:val="20"/>
              </w:rPr>
              <w:t>-</w:t>
            </w:r>
          </w:p>
        </w:tc>
        <w:tc>
          <w:tcPr>
            <w:tcW w:w="643" w:type="pct"/>
            <w:tcBorders>
              <w:top w:val="nil"/>
              <w:left w:val="nil"/>
              <w:bottom w:val="single" w:sz="4" w:space="0" w:color="auto"/>
              <w:right w:val="nil"/>
            </w:tcBorders>
            <w:shd w:val="clear" w:color="auto" w:fill="auto"/>
            <w:vAlign w:val="bottom"/>
          </w:tcPr>
          <w:p w14:paraId="4DB8ABA1" w14:textId="77777777" w:rsidR="00381D99" w:rsidRPr="00381D99" w:rsidRDefault="00381D99" w:rsidP="00381D99">
            <w:pPr>
              <w:spacing w:after="0" w:line="240" w:lineRule="auto"/>
              <w:jc w:val="right"/>
              <w:rPr>
                <w:rFonts w:ascii="Calibri" w:eastAsia="Calibri" w:hAnsi="Calibri" w:cs="Calibri"/>
                <w:color w:val="000000"/>
                <w:sz w:val="20"/>
                <w:szCs w:val="20"/>
              </w:rPr>
            </w:pPr>
            <w:r w:rsidRPr="00381D99">
              <w:rPr>
                <w:rFonts w:ascii="Calibri" w:eastAsia="Calibri" w:hAnsi="Calibri" w:cs="Calibri"/>
                <w:color w:val="000000"/>
                <w:sz w:val="20"/>
                <w:szCs w:val="20"/>
              </w:rPr>
              <w:t>1</w:t>
            </w:r>
          </w:p>
        </w:tc>
      </w:tr>
      <w:tr w:rsidR="00381D99" w:rsidRPr="00381D99" w14:paraId="4C4B50FD" w14:textId="77777777" w:rsidTr="00E44437">
        <w:trPr>
          <w:trHeight w:val="35"/>
        </w:trPr>
        <w:tc>
          <w:tcPr>
            <w:tcW w:w="1814" w:type="pct"/>
            <w:vAlign w:val="bottom"/>
          </w:tcPr>
          <w:p w14:paraId="65A24008" w14:textId="77777777" w:rsidR="00381D99" w:rsidRPr="00381D99" w:rsidRDefault="00381D99" w:rsidP="00381D99">
            <w:pPr>
              <w:tabs>
                <w:tab w:val="right" w:pos="1202"/>
              </w:tabs>
              <w:spacing w:after="0" w:line="301" w:lineRule="exact"/>
              <w:outlineLvl w:val="0"/>
              <w:rPr>
                <w:rFonts w:ascii="Calibri" w:eastAsia="Calibri" w:hAnsi="Calibri" w:cs="Arial"/>
                <w:b/>
                <w:bCs/>
                <w:sz w:val="20"/>
                <w:szCs w:val="20"/>
                <w:lang w:val="en-GB"/>
              </w:rPr>
            </w:pPr>
            <w:r w:rsidRPr="00381D99">
              <w:rPr>
                <w:rFonts w:ascii="Calibri" w:eastAsia="Calibri" w:hAnsi="Calibri" w:cs="Arial"/>
                <w:b/>
                <w:bCs/>
                <w:sz w:val="20"/>
                <w:szCs w:val="20"/>
                <w:lang w:val="en-GB"/>
              </w:rPr>
              <w:t xml:space="preserve">Balance </w:t>
            </w:r>
            <w:proofErr w:type="gramStart"/>
            <w:r w:rsidRPr="00381D99">
              <w:rPr>
                <w:rFonts w:ascii="Calibri" w:eastAsia="Calibri" w:hAnsi="Calibri" w:cs="Arial"/>
                <w:b/>
                <w:bCs/>
                <w:sz w:val="20"/>
                <w:szCs w:val="20"/>
                <w:lang w:val="en-GB"/>
              </w:rPr>
              <w:t>at</w:t>
            </w:r>
            <w:proofErr w:type="gramEnd"/>
            <w:r w:rsidRPr="00381D99">
              <w:rPr>
                <w:rFonts w:ascii="Calibri" w:eastAsia="Calibri" w:hAnsi="Calibri" w:cs="Arial"/>
                <w:b/>
                <w:bCs/>
                <w:sz w:val="20"/>
                <w:szCs w:val="20"/>
                <w:lang w:val="en-GB"/>
              </w:rPr>
              <w:t xml:space="preserve"> 31 December 2021</w:t>
            </w:r>
          </w:p>
        </w:tc>
        <w:tc>
          <w:tcPr>
            <w:tcW w:w="648" w:type="pct"/>
            <w:tcBorders>
              <w:top w:val="single" w:sz="4" w:space="0" w:color="auto"/>
              <w:left w:val="nil"/>
              <w:bottom w:val="single" w:sz="12" w:space="0" w:color="auto"/>
              <w:right w:val="nil"/>
            </w:tcBorders>
            <w:shd w:val="clear" w:color="auto" w:fill="auto"/>
            <w:vAlign w:val="bottom"/>
          </w:tcPr>
          <w:p w14:paraId="1C7F5A3C" w14:textId="77777777" w:rsidR="00381D99" w:rsidRPr="00381D99" w:rsidRDefault="00381D99" w:rsidP="00381D99">
            <w:pPr>
              <w:tabs>
                <w:tab w:val="right" w:pos="1202"/>
              </w:tabs>
              <w:spacing w:after="0" w:line="301" w:lineRule="exact"/>
              <w:jc w:val="right"/>
              <w:outlineLvl w:val="0"/>
              <w:rPr>
                <w:rFonts w:ascii="Calibri" w:eastAsia="Calibri" w:hAnsi="Calibri" w:cs="Arial"/>
                <w:b/>
                <w:bCs/>
                <w:sz w:val="20"/>
                <w:szCs w:val="20"/>
                <w:lang w:val="en-GB"/>
              </w:rPr>
            </w:pPr>
            <w:r w:rsidRPr="00381D99">
              <w:rPr>
                <w:rFonts w:ascii="Calibri" w:eastAsia="Calibri" w:hAnsi="Calibri" w:cs="Calibri"/>
                <w:b/>
                <w:bCs/>
                <w:color w:val="000000"/>
                <w:sz w:val="20"/>
                <w:szCs w:val="20"/>
              </w:rPr>
              <w:t>1</w:t>
            </w:r>
          </w:p>
        </w:tc>
        <w:tc>
          <w:tcPr>
            <w:tcW w:w="649" w:type="pct"/>
            <w:tcBorders>
              <w:top w:val="single" w:sz="4" w:space="0" w:color="auto"/>
              <w:left w:val="nil"/>
              <w:bottom w:val="single" w:sz="12" w:space="0" w:color="auto"/>
              <w:right w:val="nil"/>
            </w:tcBorders>
            <w:shd w:val="clear" w:color="auto" w:fill="auto"/>
          </w:tcPr>
          <w:p w14:paraId="5CB575C7" w14:textId="77777777" w:rsidR="00381D99" w:rsidRPr="00381D99" w:rsidRDefault="00381D99" w:rsidP="00381D99">
            <w:pPr>
              <w:tabs>
                <w:tab w:val="right" w:pos="1202"/>
              </w:tabs>
              <w:spacing w:after="0" w:line="301" w:lineRule="exact"/>
              <w:jc w:val="right"/>
              <w:outlineLvl w:val="0"/>
              <w:rPr>
                <w:rFonts w:ascii="Calibri" w:eastAsia="Calibri" w:hAnsi="Calibri" w:cs="Arial"/>
                <w:b/>
                <w:bCs/>
                <w:sz w:val="20"/>
                <w:szCs w:val="20"/>
                <w:lang w:val="en-GB"/>
              </w:rPr>
            </w:pPr>
            <w:r w:rsidRPr="00381D99">
              <w:rPr>
                <w:rFonts w:ascii="Times New Roman" w:eastAsia="Times New Roman" w:hAnsi="Times New Roman" w:cs="Times New Roman"/>
                <w:sz w:val="24"/>
                <w:szCs w:val="24"/>
                <w:lang w:val="en-US"/>
              </w:rPr>
              <w:t>-</w:t>
            </w:r>
          </w:p>
        </w:tc>
        <w:tc>
          <w:tcPr>
            <w:tcW w:w="642" w:type="pct"/>
            <w:tcBorders>
              <w:top w:val="single" w:sz="4" w:space="0" w:color="auto"/>
              <w:left w:val="nil"/>
              <w:bottom w:val="single" w:sz="12" w:space="0" w:color="auto"/>
              <w:right w:val="nil"/>
            </w:tcBorders>
            <w:shd w:val="clear" w:color="auto" w:fill="auto"/>
          </w:tcPr>
          <w:p w14:paraId="38744629" w14:textId="77777777" w:rsidR="00381D99" w:rsidRPr="00381D99" w:rsidRDefault="00381D99" w:rsidP="00381D99">
            <w:pPr>
              <w:tabs>
                <w:tab w:val="right" w:pos="1202"/>
              </w:tabs>
              <w:spacing w:after="0" w:line="301" w:lineRule="exact"/>
              <w:jc w:val="right"/>
              <w:outlineLvl w:val="0"/>
              <w:rPr>
                <w:rFonts w:ascii="Calibri" w:eastAsia="Calibri" w:hAnsi="Calibri" w:cs="Arial"/>
                <w:b/>
                <w:bCs/>
                <w:sz w:val="20"/>
                <w:szCs w:val="20"/>
                <w:lang w:val="en-GB"/>
              </w:rPr>
            </w:pPr>
            <w:r w:rsidRPr="00381D99">
              <w:rPr>
                <w:rFonts w:ascii="Times New Roman" w:eastAsia="Times New Roman" w:hAnsi="Times New Roman" w:cs="Times New Roman"/>
                <w:sz w:val="24"/>
                <w:szCs w:val="24"/>
                <w:lang w:val="en-US"/>
              </w:rPr>
              <w:t>-</w:t>
            </w:r>
          </w:p>
        </w:tc>
        <w:tc>
          <w:tcPr>
            <w:tcW w:w="604" w:type="pct"/>
            <w:tcBorders>
              <w:top w:val="single" w:sz="4" w:space="0" w:color="auto"/>
              <w:left w:val="nil"/>
              <w:bottom w:val="single" w:sz="12" w:space="0" w:color="auto"/>
              <w:right w:val="nil"/>
            </w:tcBorders>
            <w:shd w:val="clear" w:color="auto" w:fill="auto"/>
          </w:tcPr>
          <w:p w14:paraId="5FB457D4" w14:textId="77777777" w:rsidR="00381D99" w:rsidRPr="00381D99" w:rsidRDefault="00381D99" w:rsidP="00381D99">
            <w:pPr>
              <w:tabs>
                <w:tab w:val="right" w:pos="1202"/>
              </w:tabs>
              <w:spacing w:after="0" w:line="301" w:lineRule="exact"/>
              <w:jc w:val="right"/>
              <w:outlineLvl w:val="0"/>
              <w:rPr>
                <w:rFonts w:ascii="Calibri" w:eastAsia="Calibri" w:hAnsi="Calibri" w:cs="Arial"/>
                <w:b/>
                <w:bCs/>
                <w:sz w:val="20"/>
                <w:szCs w:val="20"/>
                <w:lang w:val="en-GB"/>
              </w:rPr>
            </w:pPr>
            <w:r w:rsidRPr="00381D99">
              <w:rPr>
                <w:rFonts w:ascii="Times New Roman" w:eastAsia="Times New Roman" w:hAnsi="Times New Roman" w:cs="Times New Roman"/>
                <w:sz w:val="24"/>
                <w:szCs w:val="24"/>
                <w:lang w:val="en-US"/>
              </w:rPr>
              <w:t>-</w:t>
            </w:r>
          </w:p>
        </w:tc>
        <w:tc>
          <w:tcPr>
            <w:tcW w:w="643" w:type="pct"/>
            <w:tcBorders>
              <w:top w:val="single" w:sz="4" w:space="0" w:color="auto"/>
              <w:left w:val="nil"/>
              <w:bottom w:val="single" w:sz="12" w:space="0" w:color="auto"/>
              <w:right w:val="nil"/>
            </w:tcBorders>
            <w:shd w:val="clear" w:color="auto" w:fill="auto"/>
            <w:vAlign w:val="bottom"/>
          </w:tcPr>
          <w:p w14:paraId="249A3E0D" w14:textId="77777777" w:rsidR="00381D99" w:rsidRPr="00381D99" w:rsidRDefault="00381D99" w:rsidP="00381D99">
            <w:pPr>
              <w:tabs>
                <w:tab w:val="right" w:pos="1202"/>
              </w:tabs>
              <w:spacing w:after="0" w:line="301" w:lineRule="exact"/>
              <w:jc w:val="right"/>
              <w:outlineLvl w:val="0"/>
              <w:rPr>
                <w:rFonts w:ascii="Calibri" w:eastAsia="Calibri" w:hAnsi="Calibri" w:cs="Arial"/>
                <w:b/>
                <w:bCs/>
                <w:sz w:val="20"/>
                <w:szCs w:val="20"/>
                <w:lang w:val="en-GB"/>
              </w:rPr>
            </w:pPr>
            <w:r w:rsidRPr="00381D99">
              <w:rPr>
                <w:rFonts w:ascii="Calibri" w:eastAsia="Calibri" w:hAnsi="Calibri" w:cs="Calibri"/>
                <w:b/>
                <w:bCs/>
                <w:color w:val="000000"/>
                <w:sz w:val="20"/>
                <w:szCs w:val="20"/>
              </w:rPr>
              <w:t>1</w:t>
            </w:r>
          </w:p>
        </w:tc>
      </w:tr>
    </w:tbl>
    <w:p w14:paraId="0357EE43" w14:textId="77777777" w:rsidR="004A287E" w:rsidRPr="00537128" w:rsidRDefault="004A287E" w:rsidP="00712478">
      <w:pPr>
        <w:spacing w:after="0" w:line="240" w:lineRule="auto"/>
        <w:jc w:val="both"/>
        <w:rPr>
          <w:rFonts w:ascii="Calibri" w:eastAsia="Times New Roman" w:hAnsi="Calibri" w:cs="Arial"/>
          <w:bCs/>
          <w:color w:val="000000" w:themeColor="text1"/>
          <w:lang w:val="en-US"/>
        </w:rPr>
      </w:pPr>
    </w:p>
    <w:p w14:paraId="705CEFF2" w14:textId="77777777" w:rsidR="00D20207" w:rsidRPr="00537128" w:rsidRDefault="00D20207" w:rsidP="00712478">
      <w:pPr>
        <w:spacing w:after="0" w:line="240" w:lineRule="auto"/>
        <w:jc w:val="both"/>
        <w:rPr>
          <w:rFonts w:ascii="Calibri" w:eastAsia="Times New Roman" w:hAnsi="Calibri" w:cs="Arial"/>
          <w:bCs/>
          <w:color w:val="000000" w:themeColor="text1"/>
          <w:lang w:val="en-US"/>
        </w:rPr>
      </w:pPr>
    </w:p>
    <w:p w14:paraId="386E05F5"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sectPr w:rsidR="00716C7A" w:rsidRPr="00537128" w:rsidSect="00712478">
          <w:pgSz w:w="11906" w:h="16838"/>
          <w:pgMar w:top="1418" w:right="1134" w:bottom="1418" w:left="1418" w:header="709" w:footer="709" w:gutter="0"/>
          <w:cols w:space="708"/>
          <w:docGrid w:linePitch="360"/>
        </w:sectPr>
      </w:pPr>
    </w:p>
    <w:p w14:paraId="6FE76955" w14:textId="77777777" w:rsidR="00716C7A" w:rsidRPr="00537128" w:rsidRDefault="00716C7A" w:rsidP="00716C7A">
      <w:pPr>
        <w:spacing w:after="0" w:line="240" w:lineRule="auto"/>
        <w:jc w:val="both"/>
        <w:rPr>
          <w:rFonts w:ascii="Calibri" w:eastAsia="Calibri" w:hAnsi="Calibri" w:cs="Arial"/>
          <w:b/>
          <w:bCs/>
          <w:color w:val="000000" w:themeColor="text1"/>
          <w:lang w:val="en-US"/>
        </w:rPr>
      </w:pPr>
    </w:p>
    <w:p w14:paraId="1BC0E036" w14:textId="1CC6D2A5" w:rsidR="00716C7A" w:rsidRPr="00537128" w:rsidRDefault="00B357CE" w:rsidP="00716C7A">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716C7A" w:rsidRPr="00537128">
        <w:rPr>
          <w:rFonts w:ascii="Calibri" w:eastAsia="Calibri" w:hAnsi="Calibri" w:cs="Arial"/>
          <w:b/>
          <w:bCs/>
          <w:color w:val="000000" w:themeColor="text1"/>
          <w:lang w:val="en-US"/>
        </w:rPr>
        <w:t>.</w:t>
      </w:r>
      <w:r w:rsidR="00716C7A" w:rsidRPr="00537128">
        <w:rPr>
          <w:rFonts w:ascii="Calibri" w:eastAsia="Calibri" w:hAnsi="Calibri" w:cs="Arial"/>
          <w:b/>
          <w:bCs/>
          <w:color w:val="000000" w:themeColor="text1"/>
          <w:lang w:val="en-US"/>
        </w:rPr>
        <w:tab/>
        <w:t>Risk management (continued)</w:t>
      </w:r>
    </w:p>
    <w:p w14:paraId="516634AF" w14:textId="77777777" w:rsidR="00716C7A" w:rsidRPr="00537128" w:rsidRDefault="00716C7A" w:rsidP="00716C7A">
      <w:pPr>
        <w:spacing w:after="0" w:line="240" w:lineRule="auto"/>
        <w:jc w:val="both"/>
        <w:rPr>
          <w:rFonts w:ascii="Calibri" w:eastAsia="Times New Roman" w:hAnsi="Calibri" w:cs="Times New Roman"/>
          <w:b/>
          <w:color w:val="000000" w:themeColor="text1"/>
          <w:lang w:val="en-US"/>
        </w:rPr>
      </w:pPr>
    </w:p>
    <w:p w14:paraId="58FFF8D6" w14:textId="128BB8B2" w:rsidR="00716C7A" w:rsidRPr="00537128" w:rsidRDefault="00B357CE" w:rsidP="00716C7A">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716C7A" w:rsidRPr="00537128">
        <w:rPr>
          <w:rFonts w:ascii="Calibri" w:eastAsia="Times New Roman" w:hAnsi="Calibri" w:cs="Times New Roman"/>
          <w:b/>
          <w:color w:val="000000" w:themeColor="text1"/>
          <w:lang w:val="en-US"/>
        </w:rPr>
        <w:t xml:space="preserve"> </w:t>
      </w:r>
      <w:r w:rsidR="00716C7A" w:rsidRPr="00537128">
        <w:rPr>
          <w:rFonts w:ascii="Calibri" w:eastAsia="Times New Roman" w:hAnsi="Calibri" w:cs="Times New Roman"/>
          <w:b/>
          <w:color w:val="000000" w:themeColor="text1"/>
          <w:lang w:val="en-US"/>
        </w:rPr>
        <w:tab/>
        <w:t>Credit risk (continued)</w:t>
      </w:r>
    </w:p>
    <w:p w14:paraId="6EFA0CB8" w14:textId="77777777" w:rsidR="00716C7A" w:rsidRPr="00537128" w:rsidRDefault="00716C7A" w:rsidP="00716C7A">
      <w:pPr>
        <w:spacing w:after="0" w:line="240" w:lineRule="auto"/>
        <w:jc w:val="both"/>
        <w:rPr>
          <w:rFonts w:ascii="Calibri" w:eastAsia="Calibri" w:hAnsi="Calibri" w:cs="Arial"/>
          <w:b/>
          <w:bCs/>
          <w:i/>
          <w:color w:val="000000" w:themeColor="text1"/>
          <w:lang w:val="en-US"/>
        </w:rPr>
      </w:pPr>
    </w:p>
    <w:p w14:paraId="09C6ED07" w14:textId="5616DE85" w:rsidR="00716C7A" w:rsidRPr="00537128" w:rsidRDefault="00716C7A" w:rsidP="00824E0F">
      <w:pPr>
        <w:numPr>
          <w:ilvl w:val="8"/>
          <w:numId w:val="46"/>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r w:rsidR="00685DB2">
        <w:rPr>
          <w:rFonts w:ascii="Calibri" w:eastAsia="Calibri" w:hAnsi="Calibri" w:cs="Arial"/>
          <w:bCs/>
          <w:i/>
          <w:color w:val="000000" w:themeColor="text1"/>
          <w:lang w:val="en-US"/>
        </w:rPr>
        <w:t xml:space="preserve"> (continued)</w:t>
      </w:r>
    </w:p>
    <w:p w14:paraId="2F7FD486"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pPr>
    </w:p>
    <w:p w14:paraId="5608EE3F" w14:textId="77777777" w:rsidR="00716C7A" w:rsidRPr="00537128" w:rsidRDefault="00716C7A" w:rsidP="00716C7A">
      <w:pPr>
        <w:spacing w:after="0" w:line="240" w:lineRule="auto"/>
        <w:jc w:val="both"/>
        <w:rPr>
          <w:rFonts w:ascii="Calibri" w:eastAsia="Times New Roman" w:hAnsi="Calibri" w:cs="Times New Roman"/>
          <w:b/>
          <w:bCs/>
          <w:color w:val="000000" w:themeColor="text1"/>
          <w:lang w:val="en-US"/>
        </w:rPr>
      </w:pPr>
      <w:r w:rsidRPr="00537128">
        <w:rPr>
          <w:rFonts w:ascii="Calibri" w:eastAsia="Times New Roman" w:hAnsi="Calibri" w:cs="Times New Roman"/>
          <w:b/>
          <w:bCs/>
          <w:color w:val="000000" w:themeColor="text1"/>
          <w:lang w:val="en-US"/>
        </w:rPr>
        <w:t>Loans to financial institutions</w:t>
      </w:r>
    </w:p>
    <w:p w14:paraId="2FA8D15C" w14:textId="77777777" w:rsidR="00716C7A" w:rsidRPr="00537128" w:rsidRDefault="00716C7A" w:rsidP="00716C7A">
      <w:pPr>
        <w:spacing w:after="0" w:line="240" w:lineRule="auto"/>
        <w:rPr>
          <w:rFonts w:ascii="Calibri" w:eastAsia="Calibri" w:hAnsi="Calibri" w:cs="Times New Roman"/>
          <w:noProof/>
          <w:color w:val="000000" w:themeColor="text1"/>
          <w:lang w:val="en-US"/>
        </w:rPr>
      </w:pPr>
    </w:p>
    <w:p w14:paraId="09967685"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pPr>
    </w:p>
    <w:tbl>
      <w:tblPr>
        <w:tblpPr w:leftFromText="180" w:rightFromText="180" w:vertAnchor="text" w:horzAnchor="margin" w:tblpY="25"/>
        <w:tblW w:w="4990" w:type="pct"/>
        <w:tblLayout w:type="fixed"/>
        <w:tblLook w:val="0000" w:firstRow="0" w:lastRow="0" w:firstColumn="0" w:lastColumn="0" w:noHBand="0" w:noVBand="0"/>
      </w:tblPr>
      <w:tblGrid>
        <w:gridCol w:w="4118"/>
        <w:gridCol w:w="1042"/>
        <w:gridCol w:w="1042"/>
        <w:gridCol w:w="1044"/>
        <w:gridCol w:w="1042"/>
        <w:gridCol w:w="1047"/>
      </w:tblGrid>
      <w:tr w:rsidR="004A287E" w:rsidRPr="00537128" w14:paraId="509647A4" w14:textId="77777777" w:rsidTr="004A287E">
        <w:trPr>
          <w:trHeight w:val="44"/>
        </w:trPr>
        <w:tc>
          <w:tcPr>
            <w:tcW w:w="2206" w:type="pct"/>
          </w:tcPr>
          <w:p w14:paraId="0D8834C9"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Group and Bank</w:t>
            </w:r>
          </w:p>
        </w:tc>
        <w:tc>
          <w:tcPr>
            <w:tcW w:w="2794" w:type="pct"/>
            <w:gridSpan w:val="5"/>
            <w:vAlign w:val="bottom"/>
          </w:tcPr>
          <w:p w14:paraId="3D5DBFDD" w14:textId="77777777" w:rsidR="004A287E" w:rsidRPr="00537128" w:rsidRDefault="004A287E" w:rsidP="004A287E">
            <w:pPr>
              <w:spacing w:after="0" w:line="240" w:lineRule="auto"/>
              <w:jc w:val="center"/>
              <w:rPr>
                <w:rFonts w:ascii="Calibri" w:eastAsia="Calibri" w:hAnsi="Calibri" w:cs="Arial"/>
                <w:b/>
                <w:sz w:val="20"/>
                <w:szCs w:val="20"/>
                <w:lang w:val="en-US"/>
              </w:rPr>
            </w:pPr>
          </w:p>
        </w:tc>
      </w:tr>
      <w:tr w:rsidR="004A287E" w:rsidRPr="00537128" w14:paraId="5078E719" w14:textId="77777777" w:rsidTr="004A287E">
        <w:trPr>
          <w:trHeight w:val="44"/>
        </w:trPr>
        <w:tc>
          <w:tcPr>
            <w:tcW w:w="2206" w:type="pct"/>
          </w:tcPr>
          <w:p w14:paraId="30474DEC" w14:textId="09D59FE3" w:rsidR="004A287E" w:rsidRPr="00537128" w:rsidRDefault="002412CA"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31 March 202</w:t>
            </w:r>
            <w:r w:rsidR="009926F4">
              <w:rPr>
                <w:rFonts w:ascii="Calibri" w:eastAsia="Calibri" w:hAnsi="Calibri" w:cs="Arial"/>
                <w:b/>
                <w:bCs/>
                <w:sz w:val="20"/>
                <w:szCs w:val="20"/>
                <w:lang w:val="en-US"/>
              </w:rPr>
              <w:t>2</w:t>
            </w:r>
          </w:p>
        </w:tc>
        <w:tc>
          <w:tcPr>
            <w:tcW w:w="558" w:type="pct"/>
            <w:vAlign w:val="bottom"/>
          </w:tcPr>
          <w:p w14:paraId="3A852D6D"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1</w:t>
            </w:r>
          </w:p>
        </w:tc>
        <w:tc>
          <w:tcPr>
            <w:tcW w:w="558" w:type="pct"/>
            <w:vAlign w:val="bottom"/>
          </w:tcPr>
          <w:p w14:paraId="222C8E82"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2</w:t>
            </w:r>
          </w:p>
        </w:tc>
        <w:tc>
          <w:tcPr>
            <w:tcW w:w="559" w:type="pct"/>
            <w:vAlign w:val="bottom"/>
          </w:tcPr>
          <w:p w14:paraId="2263D7E3"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3</w:t>
            </w:r>
          </w:p>
        </w:tc>
        <w:tc>
          <w:tcPr>
            <w:tcW w:w="558" w:type="pct"/>
            <w:vAlign w:val="bottom"/>
          </w:tcPr>
          <w:p w14:paraId="6B5DDDF4"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POCI</w:t>
            </w:r>
          </w:p>
        </w:tc>
        <w:tc>
          <w:tcPr>
            <w:tcW w:w="561" w:type="pct"/>
            <w:vAlign w:val="bottom"/>
          </w:tcPr>
          <w:p w14:paraId="0B18C637"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Total</w:t>
            </w:r>
          </w:p>
        </w:tc>
      </w:tr>
      <w:tr w:rsidR="004A287E" w:rsidRPr="00537128" w14:paraId="208E832A" w14:textId="77777777" w:rsidTr="004A287E">
        <w:trPr>
          <w:trHeight w:val="44"/>
        </w:trPr>
        <w:tc>
          <w:tcPr>
            <w:tcW w:w="2206" w:type="pct"/>
          </w:tcPr>
          <w:p w14:paraId="49468FFC"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558" w:type="pct"/>
          </w:tcPr>
          <w:p w14:paraId="330E9196"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558" w:type="pct"/>
          </w:tcPr>
          <w:p w14:paraId="50F3F591"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559" w:type="pct"/>
          </w:tcPr>
          <w:p w14:paraId="3A209FDB"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558" w:type="pct"/>
          </w:tcPr>
          <w:p w14:paraId="10A168C8"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561" w:type="pct"/>
          </w:tcPr>
          <w:p w14:paraId="1B3D7A6E"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r>
      <w:tr w:rsidR="004A287E" w:rsidRPr="00537128" w14:paraId="65FAE4D3" w14:textId="77777777" w:rsidTr="004A287E">
        <w:trPr>
          <w:trHeight w:hRule="exact" w:val="116"/>
        </w:trPr>
        <w:tc>
          <w:tcPr>
            <w:tcW w:w="2206" w:type="pct"/>
          </w:tcPr>
          <w:p w14:paraId="164A9463"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558" w:type="pct"/>
          </w:tcPr>
          <w:p w14:paraId="462B614C"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558" w:type="pct"/>
          </w:tcPr>
          <w:p w14:paraId="09407774"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559" w:type="pct"/>
          </w:tcPr>
          <w:p w14:paraId="093364A0"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558" w:type="pct"/>
          </w:tcPr>
          <w:p w14:paraId="13A80C8B"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561" w:type="pct"/>
          </w:tcPr>
          <w:p w14:paraId="30F5EFBD" w14:textId="77777777" w:rsidR="004A287E" w:rsidRPr="00537128" w:rsidRDefault="004A287E" w:rsidP="004A287E">
            <w:pPr>
              <w:spacing w:after="0" w:line="240" w:lineRule="auto"/>
              <w:jc w:val="right"/>
              <w:rPr>
                <w:rFonts w:ascii="Calibri" w:eastAsia="Calibri" w:hAnsi="Calibri" w:cs="Arial"/>
                <w:b/>
                <w:sz w:val="20"/>
                <w:szCs w:val="20"/>
                <w:lang w:val="en-US"/>
              </w:rPr>
            </w:pPr>
          </w:p>
        </w:tc>
      </w:tr>
      <w:tr w:rsidR="00650DD3" w:rsidRPr="00537128" w14:paraId="78D9942B" w14:textId="77777777" w:rsidTr="00F00D81">
        <w:trPr>
          <w:trHeight w:val="164"/>
        </w:trPr>
        <w:tc>
          <w:tcPr>
            <w:tcW w:w="2206" w:type="pct"/>
            <w:vAlign w:val="bottom"/>
          </w:tcPr>
          <w:p w14:paraId="65295136" w14:textId="792E4FB4" w:rsidR="00650DD3" w:rsidRPr="00537128" w:rsidRDefault="00650DD3" w:rsidP="00650DD3">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 xml:space="preserve">Balance </w:t>
            </w:r>
            <w:proofErr w:type="gramStart"/>
            <w:r w:rsidRPr="00537128">
              <w:rPr>
                <w:rFonts w:ascii="Calibri" w:eastAsia="Calibri" w:hAnsi="Calibri" w:cs="Times New Roman"/>
                <w:sz w:val="20"/>
                <w:szCs w:val="20"/>
                <w:lang w:val="en-US"/>
              </w:rPr>
              <w:t>at</w:t>
            </w:r>
            <w:proofErr w:type="gramEnd"/>
            <w:r w:rsidRPr="00537128">
              <w:rPr>
                <w:rFonts w:ascii="Calibri" w:eastAsia="Calibri" w:hAnsi="Calibri" w:cs="Times New Roman"/>
                <w:sz w:val="20"/>
                <w:szCs w:val="20"/>
                <w:lang w:val="en-US"/>
              </w:rPr>
              <w:t xml:space="preserve"> 1 January 202</w:t>
            </w:r>
            <w:r>
              <w:rPr>
                <w:rFonts w:ascii="Calibri" w:eastAsia="Calibri" w:hAnsi="Calibri" w:cs="Times New Roman"/>
                <w:sz w:val="20"/>
                <w:szCs w:val="20"/>
                <w:lang w:val="en-US"/>
              </w:rPr>
              <w:t>2</w:t>
            </w:r>
          </w:p>
        </w:tc>
        <w:tc>
          <w:tcPr>
            <w:tcW w:w="558" w:type="pct"/>
            <w:tcBorders>
              <w:top w:val="nil"/>
              <w:left w:val="nil"/>
              <w:bottom w:val="nil"/>
              <w:right w:val="nil"/>
            </w:tcBorders>
            <w:shd w:val="clear" w:color="auto" w:fill="auto"/>
          </w:tcPr>
          <w:p w14:paraId="7D1D674B" w14:textId="78CFF312" w:rsidR="00650DD3" w:rsidRPr="00537128" w:rsidRDefault="00650DD3" w:rsidP="00650DD3">
            <w:pPr>
              <w:spacing w:after="0" w:line="240" w:lineRule="auto"/>
              <w:jc w:val="right"/>
              <w:rPr>
                <w:rFonts w:ascii="Calibri" w:eastAsia="Calibri" w:hAnsi="Calibri" w:cs="Calibri"/>
                <w:color w:val="000000"/>
                <w:sz w:val="20"/>
                <w:szCs w:val="20"/>
                <w:lang w:val="en-US"/>
              </w:rPr>
            </w:pPr>
            <w:r w:rsidRPr="007A49AD">
              <w:rPr>
                <w:sz w:val="20"/>
                <w:szCs w:val="20"/>
              </w:rPr>
              <w:t xml:space="preserve"> 29</w:t>
            </w:r>
            <w:r>
              <w:rPr>
                <w:sz w:val="20"/>
                <w:szCs w:val="20"/>
              </w:rPr>
              <w:t>,</w:t>
            </w:r>
            <w:r w:rsidRPr="007A49AD">
              <w:rPr>
                <w:sz w:val="20"/>
                <w:szCs w:val="20"/>
              </w:rPr>
              <w:t xml:space="preserve">554 </w:t>
            </w:r>
          </w:p>
        </w:tc>
        <w:tc>
          <w:tcPr>
            <w:tcW w:w="558" w:type="pct"/>
            <w:tcBorders>
              <w:top w:val="nil"/>
              <w:left w:val="nil"/>
              <w:bottom w:val="nil"/>
              <w:right w:val="nil"/>
            </w:tcBorders>
            <w:shd w:val="clear" w:color="auto" w:fill="auto"/>
          </w:tcPr>
          <w:p w14:paraId="6C10B0EA" w14:textId="71ED4BAA" w:rsidR="00650DD3" w:rsidRPr="00537128" w:rsidRDefault="00650DD3" w:rsidP="00650DD3">
            <w:pPr>
              <w:spacing w:after="0" w:line="240" w:lineRule="auto"/>
              <w:jc w:val="right"/>
              <w:rPr>
                <w:rFonts w:ascii="Calibri" w:eastAsia="Calibri" w:hAnsi="Calibri" w:cs="Calibri"/>
                <w:color w:val="000000"/>
                <w:sz w:val="20"/>
                <w:szCs w:val="20"/>
                <w:lang w:val="en-US"/>
              </w:rPr>
            </w:pPr>
            <w:r w:rsidRPr="007A49AD">
              <w:rPr>
                <w:sz w:val="20"/>
                <w:szCs w:val="20"/>
              </w:rPr>
              <w:t xml:space="preserve"> 23</w:t>
            </w:r>
            <w:r>
              <w:rPr>
                <w:sz w:val="20"/>
                <w:szCs w:val="20"/>
              </w:rPr>
              <w:t>,</w:t>
            </w:r>
            <w:r w:rsidRPr="007A49AD">
              <w:rPr>
                <w:sz w:val="20"/>
                <w:szCs w:val="20"/>
              </w:rPr>
              <w:t xml:space="preserve">184 </w:t>
            </w:r>
          </w:p>
        </w:tc>
        <w:tc>
          <w:tcPr>
            <w:tcW w:w="559" w:type="pct"/>
            <w:tcBorders>
              <w:top w:val="nil"/>
              <w:left w:val="nil"/>
              <w:bottom w:val="nil"/>
              <w:right w:val="nil"/>
            </w:tcBorders>
            <w:shd w:val="clear" w:color="auto" w:fill="auto"/>
          </w:tcPr>
          <w:p w14:paraId="575FE6D6" w14:textId="471E23B2" w:rsidR="00650DD3" w:rsidRPr="00537128" w:rsidRDefault="00650DD3" w:rsidP="00650DD3">
            <w:pPr>
              <w:spacing w:after="0" w:line="240" w:lineRule="auto"/>
              <w:jc w:val="right"/>
              <w:rPr>
                <w:rFonts w:ascii="Calibri" w:eastAsia="Calibri" w:hAnsi="Calibri" w:cs="Calibri"/>
                <w:color w:val="000000"/>
                <w:sz w:val="20"/>
                <w:szCs w:val="20"/>
                <w:lang w:val="en-US"/>
              </w:rPr>
            </w:pPr>
            <w:r w:rsidRPr="007A49AD">
              <w:rPr>
                <w:sz w:val="20"/>
                <w:szCs w:val="20"/>
              </w:rPr>
              <w:t xml:space="preserve"> 6</w:t>
            </w:r>
            <w:r>
              <w:rPr>
                <w:sz w:val="20"/>
                <w:szCs w:val="20"/>
              </w:rPr>
              <w:t>,</w:t>
            </w:r>
            <w:r w:rsidRPr="007A49AD">
              <w:rPr>
                <w:sz w:val="20"/>
                <w:szCs w:val="20"/>
              </w:rPr>
              <w:t xml:space="preserve">162 </w:t>
            </w:r>
          </w:p>
        </w:tc>
        <w:tc>
          <w:tcPr>
            <w:tcW w:w="558" w:type="pct"/>
            <w:tcBorders>
              <w:top w:val="nil"/>
              <w:left w:val="nil"/>
              <w:bottom w:val="nil"/>
              <w:right w:val="nil"/>
            </w:tcBorders>
            <w:shd w:val="clear" w:color="auto" w:fill="auto"/>
          </w:tcPr>
          <w:p w14:paraId="152773E4" w14:textId="58678F52" w:rsidR="00650DD3" w:rsidRPr="00537128" w:rsidRDefault="00650DD3" w:rsidP="00650DD3">
            <w:pPr>
              <w:spacing w:after="0" w:line="240" w:lineRule="auto"/>
              <w:jc w:val="right"/>
              <w:rPr>
                <w:rFonts w:ascii="Calibri" w:eastAsia="Calibri" w:hAnsi="Calibri" w:cs="Calibri"/>
                <w:color w:val="000000"/>
                <w:sz w:val="20"/>
                <w:szCs w:val="20"/>
                <w:lang w:val="en-US"/>
              </w:rPr>
            </w:pPr>
            <w:r w:rsidRPr="007A49AD">
              <w:rPr>
                <w:sz w:val="20"/>
                <w:szCs w:val="20"/>
              </w:rPr>
              <w:t xml:space="preserve">  -     </w:t>
            </w:r>
          </w:p>
        </w:tc>
        <w:tc>
          <w:tcPr>
            <w:tcW w:w="561" w:type="pct"/>
            <w:tcBorders>
              <w:top w:val="nil"/>
              <w:left w:val="nil"/>
              <w:bottom w:val="nil"/>
              <w:right w:val="nil"/>
            </w:tcBorders>
            <w:shd w:val="clear" w:color="auto" w:fill="auto"/>
          </w:tcPr>
          <w:p w14:paraId="2595A4A2" w14:textId="0C7851AA" w:rsidR="00650DD3" w:rsidRPr="00537128" w:rsidRDefault="00650DD3" w:rsidP="00650DD3">
            <w:pPr>
              <w:spacing w:after="0" w:line="240" w:lineRule="auto"/>
              <w:jc w:val="right"/>
              <w:rPr>
                <w:rFonts w:ascii="Calibri" w:eastAsia="Calibri" w:hAnsi="Calibri" w:cs="Calibri"/>
                <w:color w:val="000000"/>
                <w:sz w:val="20"/>
                <w:szCs w:val="20"/>
                <w:lang w:val="en-US"/>
              </w:rPr>
            </w:pPr>
            <w:r w:rsidRPr="007A49AD">
              <w:rPr>
                <w:sz w:val="20"/>
                <w:szCs w:val="20"/>
              </w:rPr>
              <w:t xml:space="preserve"> 58</w:t>
            </w:r>
            <w:r>
              <w:rPr>
                <w:sz w:val="20"/>
                <w:szCs w:val="20"/>
              </w:rPr>
              <w:t>,</w:t>
            </w:r>
            <w:r w:rsidRPr="007A49AD">
              <w:rPr>
                <w:sz w:val="20"/>
                <w:szCs w:val="20"/>
              </w:rPr>
              <w:t xml:space="preserve">900 </w:t>
            </w:r>
          </w:p>
        </w:tc>
      </w:tr>
      <w:tr w:rsidR="00650DD3" w:rsidRPr="00537128" w14:paraId="637B764C" w14:textId="77777777" w:rsidTr="00F00D81">
        <w:trPr>
          <w:trHeight w:val="164"/>
        </w:trPr>
        <w:tc>
          <w:tcPr>
            <w:tcW w:w="2206" w:type="pct"/>
          </w:tcPr>
          <w:p w14:paraId="4E163419" w14:textId="77777777" w:rsidR="00650DD3" w:rsidRPr="00537128" w:rsidRDefault="00650DD3" w:rsidP="00650DD3">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1</w:t>
            </w:r>
          </w:p>
        </w:tc>
        <w:tc>
          <w:tcPr>
            <w:tcW w:w="558" w:type="pct"/>
            <w:tcBorders>
              <w:top w:val="nil"/>
              <w:left w:val="nil"/>
              <w:bottom w:val="nil"/>
              <w:right w:val="nil"/>
            </w:tcBorders>
            <w:shd w:val="clear" w:color="auto" w:fill="auto"/>
          </w:tcPr>
          <w:p w14:paraId="44D9944C" w14:textId="3E2CC6B8" w:rsidR="00650DD3" w:rsidRPr="00537128" w:rsidRDefault="00650DD3" w:rsidP="00650DD3">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558" w:type="pct"/>
            <w:tcBorders>
              <w:top w:val="nil"/>
              <w:left w:val="nil"/>
              <w:bottom w:val="nil"/>
              <w:right w:val="nil"/>
            </w:tcBorders>
            <w:shd w:val="clear" w:color="auto" w:fill="auto"/>
          </w:tcPr>
          <w:p w14:paraId="6A1B130E" w14:textId="56D0604D" w:rsidR="00650DD3" w:rsidRPr="00537128" w:rsidRDefault="00650DD3" w:rsidP="00650DD3">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559" w:type="pct"/>
            <w:tcBorders>
              <w:top w:val="nil"/>
              <w:left w:val="nil"/>
              <w:bottom w:val="nil"/>
              <w:right w:val="nil"/>
            </w:tcBorders>
            <w:shd w:val="clear" w:color="auto" w:fill="auto"/>
          </w:tcPr>
          <w:p w14:paraId="2BB6EC0F" w14:textId="130B538D" w:rsidR="00650DD3" w:rsidRPr="00537128" w:rsidRDefault="00650DD3" w:rsidP="00650DD3">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558" w:type="pct"/>
            <w:tcBorders>
              <w:top w:val="nil"/>
              <w:left w:val="nil"/>
              <w:bottom w:val="nil"/>
              <w:right w:val="nil"/>
            </w:tcBorders>
            <w:shd w:val="clear" w:color="auto" w:fill="auto"/>
          </w:tcPr>
          <w:p w14:paraId="238ACB7A" w14:textId="3490F914" w:rsidR="00650DD3" w:rsidRPr="00537128" w:rsidRDefault="00650DD3" w:rsidP="00650DD3">
            <w:pPr>
              <w:spacing w:after="0" w:line="240" w:lineRule="auto"/>
              <w:jc w:val="right"/>
              <w:rPr>
                <w:rFonts w:ascii="Calibri" w:eastAsia="Calibri" w:hAnsi="Calibri" w:cs="Arial"/>
                <w:sz w:val="20"/>
                <w:szCs w:val="20"/>
                <w:lang w:val="en-US"/>
              </w:rPr>
            </w:pPr>
            <w:r w:rsidRPr="007A49AD">
              <w:rPr>
                <w:sz w:val="20"/>
                <w:szCs w:val="20"/>
              </w:rPr>
              <w:t xml:space="preserve">  -     </w:t>
            </w:r>
          </w:p>
        </w:tc>
        <w:tc>
          <w:tcPr>
            <w:tcW w:w="561" w:type="pct"/>
            <w:tcBorders>
              <w:top w:val="nil"/>
              <w:left w:val="nil"/>
              <w:bottom w:val="nil"/>
              <w:right w:val="nil"/>
            </w:tcBorders>
            <w:shd w:val="clear" w:color="auto" w:fill="auto"/>
          </w:tcPr>
          <w:p w14:paraId="1EACBA80" w14:textId="38B0383A" w:rsidR="00650DD3" w:rsidRPr="00537128" w:rsidRDefault="00650DD3" w:rsidP="00650DD3">
            <w:pPr>
              <w:spacing w:after="0" w:line="240" w:lineRule="auto"/>
              <w:jc w:val="right"/>
              <w:rPr>
                <w:rFonts w:ascii="Calibri" w:eastAsia="Calibri" w:hAnsi="Calibri" w:cs="Arial"/>
                <w:sz w:val="20"/>
                <w:szCs w:val="20"/>
                <w:lang w:val="en-US"/>
              </w:rPr>
            </w:pPr>
            <w:r w:rsidRPr="007A49AD">
              <w:rPr>
                <w:sz w:val="20"/>
                <w:szCs w:val="20"/>
              </w:rPr>
              <w:t xml:space="preserve"> - </w:t>
            </w:r>
          </w:p>
        </w:tc>
      </w:tr>
      <w:tr w:rsidR="00650DD3" w:rsidRPr="00537128" w14:paraId="164D9B50" w14:textId="77777777" w:rsidTr="00F00D81">
        <w:trPr>
          <w:trHeight w:val="164"/>
        </w:trPr>
        <w:tc>
          <w:tcPr>
            <w:tcW w:w="2206" w:type="pct"/>
          </w:tcPr>
          <w:p w14:paraId="12762B7C" w14:textId="77777777" w:rsidR="00650DD3" w:rsidRPr="00537128" w:rsidRDefault="00650DD3" w:rsidP="00650DD3">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2</w:t>
            </w:r>
          </w:p>
        </w:tc>
        <w:tc>
          <w:tcPr>
            <w:tcW w:w="558" w:type="pct"/>
            <w:tcBorders>
              <w:top w:val="nil"/>
              <w:left w:val="nil"/>
              <w:bottom w:val="nil"/>
              <w:right w:val="nil"/>
            </w:tcBorders>
            <w:shd w:val="clear" w:color="auto" w:fill="auto"/>
          </w:tcPr>
          <w:p w14:paraId="5A6F00C6" w14:textId="5B69D93E" w:rsidR="00650DD3" w:rsidRPr="00537128" w:rsidRDefault="00650DD3" w:rsidP="00650DD3">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558" w:type="pct"/>
            <w:tcBorders>
              <w:top w:val="nil"/>
              <w:left w:val="nil"/>
              <w:bottom w:val="nil"/>
              <w:right w:val="nil"/>
            </w:tcBorders>
            <w:shd w:val="clear" w:color="auto" w:fill="auto"/>
          </w:tcPr>
          <w:p w14:paraId="6F7D85C4" w14:textId="06C00701" w:rsidR="00650DD3" w:rsidRPr="00537128" w:rsidRDefault="00650DD3" w:rsidP="00650DD3">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559" w:type="pct"/>
            <w:tcBorders>
              <w:top w:val="nil"/>
              <w:left w:val="nil"/>
              <w:bottom w:val="nil"/>
              <w:right w:val="nil"/>
            </w:tcBorders>
            <w:shd w:val="clear" w:color="auto" w:fill="auto"/>
          </w:tcPr>
          <w:p w14:paraId="3D81A83D" w14:textId="0FD95EEC" w:rsidR="00650DD3" w:rsidRPr="00537128" w:rsidRDefault="00650DD3" w:rsidP="00650DD3">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558" w:type="pct"/>
            <w:tcBorders>
              <w:top w:val="nil"/>
              <w:left w:val="nil"/>
              <w:bottom w:val="nil"/>
              <w:right w:val="nil"/>
            </w:tcBorders>
            <w:shd w:val="clear" w:color="auto" w:fill="auto"/>
          </w:tcPr>
          <w:p w14:paraId="322005B3" w14:textId="211B47FF" w:rsidR="00650DD3" w:rsidRPr="00537128" w:rsidRDefault="00650DD3" w:rsidP="00650DD3">
            <w:pPr>
              <w:spacing w:after="0" w:line="240" w:lineRule="auto"/>
              <w:jc w:val="right"/>
              <w:rPr>
                <w:rFonts w:ascii="Calibri" w:eastAsia="Calibri" w:hAnsi="Calibri" w:cs="Arial"/>
                <w:sz w:val="20"/>
                <w:szCs w:val="20"/>
                <w:lang w:val="en-US"/>
              </w:rPr>
            </w:pPr>
            <w:r w:rsidRPr="007A49AD">
              <w:rPr>
                <w:sz w:val="20"/>
                <w:szCs w:val="20"/>
              </w:rPr>
              <w:t xml:space="preserve"> - </w:t>
            </w:r>
          </w:p>
        </w:tc>
        <w:tc>
          <w:tcPr>
            <w:tcW w:w="561" w:type="pct"/>
            <w:tcBorders>
              <w:top w:val="nil"/>
              <w:left w:val="nil"/>
              <w:bottom w:val="nil"/>
              <w:right w:val="nil"/>
            </w:tcBorders>
            <w:shd w:val="clear" w:color="auto" w:fill="auto"/>
          </w:tcPr>
          <w:p w14:paraId="11878031" w14:textId="2EA5C752" w:rsidR="00650DD3" w:rsidRPr="00537128" w:rsidRDefault="00650DD3" w:rsidP="00650DD3">
            <w:pPr>
              <w:spacing w:after="0" w:line="240" w:lineRule="auto"/>
              <w:jc w:val="right"/>
              <w:rPr>
                <w:rFonts w:ascii="Calibri" w:eastAsia="Calibri" w:hAnsi="Calibri" w:cs="Arial"/>
                <w:sz w:val="20"/>
                <w:szCs w:val="20"/>
                <w:lang w:val="en-US"/>
              </w:rPr>
            </w:pPr>
            <w:r w:rsidRPr="007A49AD">
              <w:rPr>
                <w:sz w:val="20"/>
                <w:szCs w:val="20"/>
              </w:rPr>
              <w:t xml:space="preserve"> - </w:t>
            </w:r>
          </w:p>
        </w:tc>
      </w:tr>
      <w:tr w:rsidR="00650DD3" w:rsidRPr="00537128" w14:paraId="5DE210C6" w14:textId="77777777" w:rsidTr="00F00D81">
        <w:trPr>
          <w:trHeight w:val="164"/>
        </w:trPr>
        <w:tc>
          <w:tcPr>
            <w:tcW w:w="2206" w:type="pct"/>
          </w:tcPr>
          <w:p w14:paraId="3A4C18CA" w14:textId="77777777" w:rsidR="00650DD3" w:rsidRPr="00537128" w:rsidRDefault="00650DD3" w:rsidP="00650DD3">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3</w:t>
            </w:r>
          </w:p>
        </w:tc>
        <w:tc>
          <w:tcPr>
            <w:tcW w:w="558" w:type="pct"/>
            <w:tcBorders>
              <w:top w:val="nil"/>
              <w:left w:val="nil"/>
              <w:bottom w:val="nil"/>
              <w:right w:val="nil"/>
            </w:tcBorders>
            <w:shd w:val="clear" w:color="auto" w:fill="auto"/>
          </w:tcPr>
          <w:p w14:paraId="145FD73A" w14:textId="28DC6BC8" w:rsidR="00650DD3" w:rsidRPr="00537128" w:rsidRDefault="00650DD3" w:rsidP="00650DD3">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558" w:type="pct"/>
            <w:tcBorders>
              <w:top w:val="nil"/>
              <w:left w:val="nil"/>
              <w:bottom w:val="nil"/>
              <w:right w:val="nil"/>
            </w:tcBorders>
            <w:shd w:val="clear" w:color="auto" w:fill="auto"/>
          </w:tcPr>
          <w:p w14:paraId="3BD07761" w14:textId="2B1FAD13" w:rsidR="00650DD3" w:rsidRPr="00537128" w:rsidRDefault="00650DD3" w:rsidP="00650DD3">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559" w:type="pct"/>
            <w:tcBorders>
              <w:top w:val="nil"/>
              <w:left w:val="nil"/>
              <w:bottom w:val="nil"/>
              <w:right w:val="nil"/>
            </w:tcBorders>
            <w:shd w:val="clear" w:color="auto" w:fill="auto"/>
          </w:tcPr>
          <w:p w14:paraId="47809DA1" w14:textId="793F8E70" w:rsidR="00650DD3" w:rsidRPr="00537128" w:rsidRDefault="00650DD3" w:rsidP="00650DD3">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558" w:type="pct"/>
            <w:tcBorders>
              <w:top w:val="nil"/>
              <w:left w:val="nil"/>
              <w:bottom w:val="nil"/>
              <w:right w:val="nil"/>
            </w:tcBorders>
            <w:shd w:val="clear" w:color="auto" w:fill="auto"/>
          </w:tcPr>
          <w:p w14:paraId="2C2BF7B7" w14:textId="1648450B" w:rsidR="00650DD3" w:rsidRPr="00537128" w:rsidRDefault="00650DD3" w:rsidP="00650DD3">
            <w:pPr>
              <w:spacing w:after="0" w:line="240" w:lineRule="auto"/>
              <w:jc w:val="right"/>
              <w:rPr>
                <w:rFonts w:ascii="Calibri" w:eastAsia="Calibri" w:hAnsi="Calibri" w:cs="Arial"/>
                <w:sz w:val="20"/>
                <w:szCs w:val="20"/>
                <w:lang w:val="en-US"/>
              </w:rPr>
            </w:pPr>
            <w:r w:rsidRPr="007A49AD">
              <w:rPr>
                <w:sz w:val="20"/>
                <w:szCs w:val="20"/>
              </w:rPr>
              <w:t xml:space="preserve"> - </w:t>
            </w:r>
          </w:p>
        </w:tc>
        <w:tc>
          <w:tcPr>
            <w:tcW w:w="561" w:type="pct"/>
            <w:tcBorders>
              <w:top w:val="nil"/>
              <w:left w:val="nil"/>
              <w:bottom w:val="nil"/>
              <w:right w:val="nil"/>
            </w:tcBorders>
            <w:shd w:val="clear" w:color="auto" w:fill="auto"/>
          </w:tcPr>
          <w:p w14:paraId="2DCAF33C" w14:textId="6D8D6F44" w:rsidR="00650DD3" w:rsidRPr="00537128" w:rsidRDefault="00650DD3" w:rsidP="00650DD3">
            <w:pPr>
              <w:spacing w:after="0" w:line="240" w:lineRule="auto"/>
              <w:jc w:val="right"/>
              <w:rPr>
                <w:rFonts w:ascii="Calibri" w:eastAsia="Calibri" w:hAnsi="Calibri" w:cs="Arial"/>
                <w:sz w:val="20"/>
                <w:szCs w:val="20"/>
                <w:lang w:val="en-US"/>
              </w:rPr>
            </w:pPr>
            <w:r w:rsidRPr="007A49AD">
              <w:rPr>
                <w:sz w:val="20"/>
                <w:szCs w:val="20"/>
              </w:rPr>
              <w:t xml:space="preserve"> - </w:t>
            </w:r>
          </w:p>
        </w:tc>
      </w:tr>
      <w:tr w:rsidR="00650DD3" w:rsidRPr="00537128" w14:paraId="031D0702" w14:textId="77777777" w:rsidTr="00F00D81">
        <w:trPr>
          <w:trHeight w:val="164"/>
        </w:trPr>
        <w:tc>
          <w:tcPr>
            <w:tcW w:w="2206" w:type="pct"/>
            <w:vAlign w:val="bottom"/>
          </w:tcPr>
          <w:p w14:paraId="44AA5CD0" w14:textId="7DFB78CB" w:rsidR="00650DD3" w:rsidRPr="00537128" w:rsidRDefault="00650DD3" w:rsidP="00650DD3">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Net (release) of loss allowance</w:t>
            </w:r>
          </w:p>
        </w:tc>
        <w:tc>
          <w:tcPr>
            <w:tcW w:w="558" w:type="pct"/>
            <w:tcBorders>
              <w:top w:val="nil"/>
              <w:left w:val="nil"/>
              <w:bottom w:val="nil"/>
              <w:right w:val="nil"/>
            </w:tcBorders>
            <w:shd w:val="clear" w:color="auto" w:fill="auto"/>
          </w:tcPr>
          <w:p w14:paraId="56B76C15" w14:textId="30E695F6" w:rsidR="00650DD3" w:rsidRPr="00537128" w:rsidRDefault="00650DD3" w:rsidP="00650DD3">
            <w:pPr>
              <w:spacing w:after="0" w:line="240" w:lineRule="auto"/>
              <w:jc w:val="right"/>
              <w:rPr>
                <w:rFonts w:ascii="Calibri" w:eastAsia="Calibri" w:hAnsi="Calibri" w:cs="Calibri"/>
                <w:color w:val="000000"/>
                <w:sz w:val="20"/>
                <w:szCs w:val="20"/>
                <w:lang w:val="en-US"/>
              </w:rPr>
            </w:pPr>
            <w:r w:rsidRPr="007A49AD">
              <w:rPr>
                <w:sz w:val="20"/>
                <w:szCs w:val="20"/>
              </w:rPr>
              <w:t xml:space="preserve"> (1</w:t>
            </w:r>
            <w:r>
              <w:rPr>
                <w:sz w:val="20"/>
                <w:szCs w:val="20"/>
              </w:rPr>
              <w:t>,</w:t>
            </w:r>
            <w:r w:rsidRPr="007A49AD">
              <w:rPr>
                <w:sz w:val="20"/>
                <w:szCs w:val="20"/>
              </w:rPr>
              <w:t>018)</w:t>
            </w:r>
          </w:p>
        </w:tc>
        <w:tc>
          <w:tcPr>
            <w:tcW w:w="558" w:type="pct"/>
            <w:tcBorders>
              <w:top w:val="nil"/>
              <w:left w:val="nil"/>
              <w:bottom w:val="nil"/>
              <w:right w:val="nil"/>
            </w:tcBorders>
            <w:shd w:val="clear" w:color="auto" w:fill="auto"/>
          </w:tcPr>
          <w:p w14:paraId="55BA3745" w14:textId="2059F408" w:rsidR="00650DD3" w:rsidRPr="00537128" w:rsidRDefault="00650DD3" w:rsidP="00650DD3">
            <w:pPr>
              <w:spacing w:after="0" w:line="240" w:lineRule="auto"/>
              <w:jc w:val="right"/>
              <w:rPr>
                <w:rFonts w:ascii="Calibri" w:eastAsia="Calibri" w:hAnsi="Calibri" w:cs="Calibri"/>
                <w:color w:val="000000"/>
                <w:sz w:val="20"/>
                <w:szCs w:val="20"/>
                <w:lang w:val="en-US"/>
              </w:rPr>
            </w:pPr>
            <w:r w:rsidRPr="007A49AD">
              <w:rPr>
                <w:sz w:val="20"/>
                <w:szCs w:val="20"/>
              </w:rPr>
              <w:t xml:space="preserve"> (78)</w:t>
            </w:r>
          </w:p>
        </w:tc>
        <w:tc>
          <w:tcPr>
            <w:tcW w:w="559" w:type="pct"/>
            <w:tcBorders>
              <w:top w:val="nil"/>
              <w:left w:val="nil"/>
              <w:bottom w:val="nil"/>
              <w:right w:val="nil"/>
            </w:tcBorders>
            <w:shd w:val="clear" w:color="auto" w:fill="auto"/>
          </w:tcPr>
          <w:p w14:paraId="63E74382" w14:textId="35F3A4AF" w:rsidR="00650DD3" w:rsidRPr="00537128" w:rsidRDefault="00650DD3" w:rsidP="00650DD3">
            <w:pPr>
              <w:spacing w:after="0" w:line="240" w:lineRule="auto"/>
              <w:jc w:val="right"/>
              <w:rPr>
                <w:rFonts w:ascii="Calibri" w:eastAsia="Calibri" w:hAnsi="Calibri" w:cs="Calibri"/>
                <w:color w:val="000000"/>
                <w:sz w:val="20"/>
                <w:szCs w:val="20"/>
                <w:lang w:val="en-US"/>
              </w:rPr>
            </w:pPr>
            <w:r w:rsidRPr="007A49AD">
              <w:rPr>
                <w:sz w:val="20"/>
                <w:szCs w:val="20"/>
              </w:rPr>
              <w:t xml:space="preserve"> (9)</w:t>
            </w:r>
          </w:p>
        </w:tc>
        <w:tc>
          <w:tcPr>
            <w:tcW w:w="558" w:type="pct"/>
            <w:tcBorders>
              <w:top w:val="nil"/>
              <w:left w:val="nil"/>
              <w:bottom w:val="nil"/>
              <w:right w:val="nil"/>
            </w:tcBorders>
            <w:shd w:val="clear" w:color="auto" w:fill="auto"/>
          </w:tcPr>
          <w:p w14:paraId="3A15AC37" w14:textId="5F0195E1" w:rsidR="00650DD3" w:rsidRPr="00537128" w:rsidRDefault="00650DD3" w:rsidP="00650DD3">
            <w:pPr>
              <w:spacing w:after="0" w:line="240" w:lineRule="auto"/>
              <w:jc w:val="right"/>
              <w:rPr>
                <w:rFonts w:ascii="Calibri" w:eastAsia="Calibri" w:hAnsi="Calibri" w:cs="Calibri"/>
                <w:color w:val="000000"/>
                <w:sz w:val="20"/>
                <w:szCs w:val="20"/>
                <w:lang w:val="en-US"/>
              </w:rPr>
            </w:pPr>
            <w:r w:rsidRPr="007A49AD">
              <w:rPr>
                <w:sz w:val="20"/>
                <w:szCs w:val="20"/>
              </w:rPr>
              <w:t xml:space="preserve"> - </w:t>
            </w:r>
          </w:p>
        </w:tc>
        <w:tc>
          <w:tcPr>
            <w:tcW w:w="561" w:type="pct"/>
            <w:tcBorders>
              <w:top w:val="nil"/>
              <w:left w:val="nil"/>
              <w:bottom w:val="nil"/>
              <w:right w:val="nil"/>
            </w:tcBorders>
            <w:shd w:val="clear" w:color="auto" w:fill="auto"/>
          </w:tcPr>
          <w:p w14:paraId="6C7C9996" w14:textId="2612E0B1" w:rsidR="00650DD3" w:rsidRPr="00537128" w:rsidRDefault="00650DD3" w:rsidP="00650DD3">
            <w:pPr>
              <w:spacing w:after="0" w:line="240" w:lineRule="auto"/>
              <w:jc w:val="right"/>
              <w:rPr>
                <w:rFonts w:ascii="Calibri" w:eastAsia="Calibri" w:hAnsi="Calibri" w:cs="Calibri"/>
                <w:color w:val="000000"/>
                <w:sz w:val="20"/>
                <w:szCs w:val="20"/>
                <w:lang w:val="en-US"/>
              </w:rPr>
            </w:pPr>
            <w:r w:rsidRPr="007A49AD">
              <w:rPr>
                <w:sz w:val="20"/>
                <w:szCs w:val="20"/>
              </w:rPr>
              <w:t xml:space="preserve"> (1</w:t>
            </w:r>
            <w:r>
              <w:rPr>
                <w:sz w:val="20"/>
                <w:szCs w:val="20"/>
              </w:rPr>
              <w:t>,</w:t>
            </w:r>
            <w:r w:rsidRPr="007A49AD">
              <w:rPr>
                <w:sz w:val="20"/>
                <w:szCs w:val="20"/>
              </w:rPr>
              <w:t>105)</w:t>
            </w:r>
          </w:p>
        </w:tc>
      </w:tr>
      <w:tr w:rsidR="00650DD3" w:rsidRPr="00537128" w14:paraId="0D8EF7C6" w14:textId="77777777" w:rsidTr="00A1123E">
        <w:trPr>
          <w:trHeight w:val="164"/>
        </w:trPr>
        <w:tc>
          <w:tcPr>
            <w:tcW w:w="2206" w:type="pct"/>
            <w:vAlign w:val="bottom"/>
          </w:tcPr>
          <w:p w14:paraId="0BA2806B" w14:textId="77777777" w:rsidR="00650DD3" w:rsidRPr="00537128" w:rsidRDefault="00650DD3" w:rsidP="00650DD3">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Unwind – changes due to the lapse of time</w:t>
            </w:r>
          </w:p>
        </w:tc>
        <w:tc>
          <w:tcPr>
            <w:tcW w:w="558" w:type="pct"/>
            <w:tcBorders>
              <w:top w:val="nil"/>
              <w:left w:val="nil"/>
              <w:bottom w:val="nil"/>
              <w:right w:val="nil"/>
            </w:tcBorders>
            <w:shd w:val="clear" w:color="auto" w:fill="auto"/>
            <w:vAlign w:val="bottom"/>
          </w:tcPr>
          <w:p w14:paraId="74252E2F" w14:textId="547376AF" w:rsidR="00650DD3" w:rsidRPr="00537128" w:rsidRDefault="00650DD3" w:rsidP="00650DD3">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558" w:type="pct"/>
            <w:tcBorders>
              <w:top w:val="nil"/>
              <w:left w:val="nil"/>
              <w:bottom w:val="nil"/>
              <w:right w:val="nil"/>
            </w:tcBorders>
            <w:shd w:val="clear" w:color="auto" w:fill="auto"/>
            <w:vAlign w:val="bottom"/>
          </w:tcPr>
          <w:p w14:paraId="5169C370" w14:textId="6C9D0139" w:rsidR="00650DD3" w:rsidRPr="00537128" w:rsidRDefault="00650DD3" w:rsidP="00650DD3">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559" w:type="pct"/>
            <w:tcBorders>
              <w:top w:val="nil"/>
              <w:left w:val="nil"/>
              <w:bottom w:val="nil"/>
              <w:right w:val="nil"/>
            </w:tcBorders>
            <w:shd w:val="clear" w:color="auto" w:fill="auto"/>
            <w:vAlign w:val="bottom"/>
          </w:tcPr>
          <w:p w14:paraId="617B92DA" w14:textId="5E44C5E4" w:rsidR="00650DD3" w:rsidRPr="00537128" w:rsidRDefault="00650DD3" w:rsidP="00650DD3">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558" w:type="pct"/>
            <w:tcBorders>
              <w:top w:val="nil"/>
              <w:left w:val="nil"/>
              <w:bottom w:val="nil"/>
              <w:right w:val="nil"/>
            </w:tcBorders>
            <w:shd w:val="clear" w:color="auto" w:fill="auto"/>
            <w:vAlign w:val="bottom"/>
          </w:tcPr>
          <w:p w14:paraId="5CBD9600" w14:textId="0F68A21C" w:rsidR="00650DD3" w:rsidRPr="00537128" w:rsidRDefault="00650DD3" w:rsidP="00650DD3">
            <w:pPr>
              <w:spacing w:after="0" w:line="240" w:lineRule="auto"/>
              <w:jc w:val="right"/>
              <w:rPr>
                <w:rFonts w:ascii="Calibri" w:eastAsia="Calibri" w:hAnsi="Calibri" w:cs="Calibri"/>
                <w:color w:val="000000"/>
                <w:sz w:val="20"/>
                <w:szCs w:val="20"/>
                <w:lang w:val="en-US"/>
              </w:rPr>
            </w:pPr>
            <w:r w:rsidRPr="001077DF">
              <w:rPr>
                <w:sz w:val="20"/>
                <w:szCs w:val="20"/>
              </w:rPr>
              <w:t xml:space="preserve"> - </w:t>
            </w:r>
          </w:p>
        </w:tc>
        <w:tc>
          <w:tcPr>
            <w:tcW w:w="561" w:type="pct"/>
            <w:tcBorders>
              <w:top w:val="nil"/>
              <w:left w:val="nil"/>
              <w:bottom w:val="nil"/>
              <w:right w:val="nil"/>
            </w:tcBorders>
            <w:shd w:val="clear" w:color="auto" w:fill="auto"/>
            <w:vAlign w:val="bottom"/>
          </w:tcPr>
          <w:p w14:paraId="703071E9" w14:textId="3C1FBD53" w:rsidR="00650DD3" w:rsidRPr="00537128" w:rsidRDefault="00650DD3" w:rsidP="00650DD3">
            <w:pPr>
              <w:spacing w:after="0" w:line="240" w:lineRule="auto"/>
              <w:jc w:val="right"/>
              <w:rPr>
                <w:rFonts w:ascii="Calibri" w:eastAsia="Calibri" w:hAnsi="Calibri" w:cs="Calibri"/>
                <w:color w:val="000000"/>
                <w:sz w:val="20"/>
                <w:szCs w:val="20"/>
                <w:lang w:val="en-US"/>
              </w:rPr>
            </w:pPr>
            <w:r w:rsidRPr="001077DF">
              <w:rPr>
                <w:sz w:val="20"/>
                <w:szCs w:val="20"/>
              </w:rPr>
              <w:t xml:space="preserve"> - </w:t>
            </w:r>
          </w:p>
        </w:tc>
      </w:tr>
      <w:tr w:rsidR="00650DD3" w:rsidRPr="00537128" w14:paraId="6DC32C76" w14:textId="77777777" w:rsidTr="00A1123E">
        <w:trPr>
          <w:trHeight w:val="283"/>
        </w:trPr>
        <w:tc>
          <w:tcPr>
            <w:tcW w:w="2206" w:type="pct"/>
            <w:vAlign w:val="center"/>
          </w:tcPr>
          <w:p w14:paraId="40C431C9" w14:textId="77777777" w:rsidR="00650DD3" w:rsidRPr="00537128" w:rsidRDefault="00650DD3" w:rsidP="00650DD3">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Loss allowances transferred from/to loans to other customers</w:t>
            </w:r>
          </w:p>
        </w:tc>
        <w:tc>
          <w:tcPr>
            <w:tcW w:w="558" w:type="pct"/>
            <w:tcBorders>
              <w:top w:val="nil"/>
              <w:left w:val="nil"/>
              <w:bottom w:val="nil"/>
              <w:right w:val="nil"/>
            </w:tcBorders>
            <w:shd w:val="clear" w:color="auto" w:fill="auto"/>
            <w:vAlign w:val="bottom"/>
          </w:tcPr>
          <w:p w14:paraId="41B6B11B" w14:textId="28AEF8FD" w:rsidR="00650DD3" w:rsidRPr="00537128" w:rsidRDefault="00650DD3" w:rsidP="00650DD3">
            <w:pPr>
              <w:tabs>
                <w:tab w:val="right" w:pos="1202"/>
              </w:tabs>
              <w:spacing w:after="0" w:line="301" w:lineRule="exact"/>
              <w:jc w:val="right"/>
              <w:outlineLvl w:val="0"/>
              <w:rPr>
                <w:rFonts w:ascii="Calibri" w:eastAsia="Calibri" w:hAnsi="Calibri" w:cs="Arial"/>
                <w:spacing w:val="-2"/>
                <w:sz w:val="20"/>
                <w:szCs w:val="20"/>
                <w:lang w:val="en-US"/>
              </w:rPr>
            </w:pPr>
            <w:r>
              <w:rPr>
                <w:rFonts w:ascii="Calibri" w:eastAsia="Calibri" w:hAnsi="Calibri" w:cs="Calibri"/>
                <w:color w:val="000000" w:themeColor="text1"/>
                <w:sz w:val="20"/>
                <w:szCs w:val="20"/>
              </w:rPr>
              <w:t>-</w:t>
            </w:r>
          </w:p>
        </w:tc>
        <w:tc>
          <w:tcPr>
            <w:tcW w:w="558" w:type="pct"/>
            <w:tcBorders>
              <w:top w:val="nil"/>
              <w:left w:val="nil"/>
              <w:bottom w:val="nil"/>
              <w:right w:val="nil"/>
            </w:tcBorders>
            <w:shd w:val="clear" w:color="auto" w:fill="auto"/>
            <w:vAlign w:val="bottom"/>
          </w:tcPr>
          <w:p w14:paraId="18B51E6B" w14:textId="5B92C199" w:rsidR="00650DD3" w:rsidRPr="00537128" w:rsidRDefault="00650DD3" w:rsidP="00650DD3">
            <w:pPr>
              <w:tabs>
                <w:tab w:val="right" w:pos="1202"/>
              </w:tabs>
              <w:spacing w:after="0" w:line="301" w:lineRule="exact"/>
              <w:jc w:val="right"/>
              <w:outlineLvl w:val="0"/>
              <w:rPr>
                <w:rFonts w:ascii="Calibri" w:eastAsia="Calibri" w:hAnsi="Calibri" w:cs="Arial"/>
                <w:spacing w:val="-2"/>
                <w:sz w:val="20"/>
                <w:szCs w:val="20"/>
                <w:lang w:val="en-US"/>
              </w:rPr>
            </w:pPr>
            <w:r>
              <w:rPr>
                <w:rFonts w:ascii="Calibri" w:eastAsia="Calibri" w:hAnsi="Calibri" w:cs="Calibri"/>
                <w:color w:val="000000" w:themeColor="text1"/>
                <w:sz w:val="20"/>
                <w:szCs w:val="20"/>
              </w:rPr>
              <w:t>-</w:t>
            </w:r>
          </w:p>
        </w:tc>
        <w:tc>
          <w:tcPr>
            <w:tcW w:w="559" w:type="pct"/>
            <w:tcBorders>
              <w:top w:val="nil"/>
              <w:left w:val="nil"/>
              <w:bottom w:val="nil"/>
              <w:right w:val="nil"/>
            </w:tcBorders>
            <w:shd w:val="clear" w:color="auto" w:fill="auto"/>
            <w:vAlign w:val="bottom"/>
          </w:tcPr>
          <w:p w14:paraId="775CBEE4" w14:textId="2819F38F" w:rsidR="00650DD3" w:rsidRPr="00537128" w:rsidRDefault="00650DD3" w:rsidP="00650DD3">
            <w:pPr>
              <w:tabs>
                <w:tab w:val="right" w:pos="1202"/>
              </w:tabs>
              <w:spacing w:after="0" w:line="301" w:lineRule="exact"/>
              <w:jc w:val="right"/>
              <w:outlineLvl w:val="0"/>
              <w:rPr>
                <w:rFonts w:ascii="Calibri" w:eastAsia="Calibri" w:hAnsi="Calibri" w:cs="Arial"/>
                <w:spacing w:val="-2"/>
                <w:sz w:val="20"/>
                <w:szCs w:val="20"/>
                <w:lang w:val="en-US"/>
              </w:rPr>
            </w:pPr>
            <w:r>
              <w:rPr>
                <w:rFonts w:ascii="Calibri" w:eastAsia="Calibri" w:hAnsi="Calibri" w:cs="Calibri"/>
                <w:color w:val="000000" w:themeColor="text1"/>
                <w:sz w:val="20"/>
                <w:szCs w:val="20"/>
              </w:rPr>
              <w:t>-</w:t>
            </w:r>
          </w:p>
        </w:tc>
        <w:tc>
          <w:tcPr>
            <w:tcW w:w="558" w:type="pct"/>
            <w:tcBorders>
              <w:top w:val="nil"/>
              <w:left w:val="nil"/>
              <w:bottom w:val="nil"/>
              <w:right w:val="nil"/>
            </w:tcBorders>
            <w:shd w:val="clear" w:color="auto" w:fill="auto"/>
            <w:vAlign w:val="bottom"/>
          </w:tcPr>
          <w:p w14:paraId="3C1430BB" w14:textId="06A17AC9" w:rsidR="00650DD3" w:rsidRPr="00537128" w:rsidRDefault="00650DD3" w:rsidP="00650DD3">
            <w:pPr>
              <w:tabs>
                <w:tab w:val="right" w:pos="1202"/>
              </w:tabs>
              <w:spacing w:after="0" w:line="301" w:lineRule="exact"/>
              <w:jc w:val="right"/>
              <w:outlineLvl w:val="0"/>
              <w:rPr>
                <w:rFonts w:ascii="Calibri" w:eastAsia="Calibri" w:hAnsi="Calibri" w:cs="Arial"/>
                <w:spacing w:val="-2"/>
                <w:sz w:val="20"/>
                <w:szCs w:val="20"/>
                <w:lang w:val="en-US"/>
              </w:rPr>
            </w:pPr>
            <w:r w:rsidRPr="001077DF">
              <w:rPr>
                <w:sz w:val="20"/>
                <w:szCs w:val="20"/>
              </w:rPr>
              <w:t xml:space="preserve"> - </w:t>
            </w:r>
          </w:p>
        </w:tc>
        <w:tc>
          <w:tcPr>
            <w:tcW w:w="561" w:type="pct"/>
            <w:tcBorders>
              <w:top w:val="nil"/>
              <w:left w:val="nil"/>
              <w:bottom w:val="nil"/>
              <w:right w:val="nil"/>
            </w:tcBorders>
            <w:shd w:val="clear" w:color="auto" w:fill="auto"/>
            <w:vAlign w:val="bottom"/>
          </w:tcPr>
          <w:p w14:paraId="6D9E522B" w14:textId="7BF02F95" w:rsidR="00650DD3" w:rsidRPr="00537128" w:rsidRDefault="00650DD3" w:rsidP="00650DD3">
            <w:pPr>
              <w:tabs>
                <w:tab w:val="right" w:pos="1202"/>
              </w:tabs>
              <w:spacing w:after="0" w:line="301" w:lineRule="exact"/>
              <w:jc w:val="right"/>
              <w:outlineLvl w:val="0"/>
              <w:rPr>
                <w:rFonts w:ascii="Calibri" w:eastAsia="Calibri" w:hAnsi="Calibri" w:cs="Arial"/>
                <w:spacing w:val="-2"/>
                <w:sz w:val="20"/>
                <w:szCs w:val="20"/>
                <w:highlight w:val="yellow"/>
                <w:lang w:val="en-US"/>
              </w:rPr>
            </w:pPr>
            <w:r w:rsidRPr="001077DF">
              <w:rPr>
                <w:sz w:val="20"/>
                <w:szCs w:val="20"/>
              </w:rPr>
              <w:t xml:space="preserve"> - </w:t>
            </w:r>
          </w:p>
        </w:tc>
      </w:tr>
      <w:tr w:rsidR="00650DD3" w:rsidRPr="00537128" w14:paraId="551A27D8" w14:textId="77777777" w:rsidTr="004A287E">
        <w:trPr>
          <w:trHeight w:val="164"/>
        </w:trPr>
        <w:tc>
          <w:tcPr>
            <w:tcW w:w="2206" w:type="pct"/>
            <w:vAlign w:val="bottom"/>
          </w:tcPr>
          <w:p w14:paraId="738D99FC" w14:textId="3D204467" w:rsidR="00650DD3" w:rsidRPr="00537128" w:rsidRDefault="00650DD3" w:rsidP="00650DD3">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 xml:space="preserve">Net foreign exchange </w:t>
            </w:r>
            <w:r>
              <w:rPr>
                <w:rFonts w:ascii="Calibri" w:eastAsia="Calibri" w:hAnsi="Calibri" w:cs="Times New Roman"/>
                <w:sz w:val="20"/>
                <w:szCs w:val="20"/>
                <w:lang w:val="en-US"/>
              </w:rPr>
              <w:t>gain/</w:t>
            </w:r>
            <w:r w:rsidRPr="00537128">
              <w:rPr>
                <w:rFonts w:ascii="Calibri" w:eastAsia="Calibri" w:hAnsi="Calibri" w:cs="Times New Roman"/>
                <w:sz w:val="20"/>
                <w:szCs w:val="20"/>
                <w:lang w:val="en-US"/>
              </w:rPr>
              <w:t>loss on</w:t>
            </w:r>
            <w:r w:rsidRPr="00537128">
              <w:rPr>
                <w:rFonts w:ascii="Times New Roman" w:eastAsia="Times New Roman" w:hAnsi="Times New Roman" w:cs="Times New Roman"/>
                <w:sz w:val="20"/>
                <w:szCs w:val="20"/>
                <w:lang w:val="en-US"/>
              </w:rPr>
              <w:t xml:space="preserve"> </w:t>
            </w:r>
            <w:r w:rsidRPr="00537128">
              <w:rPr>
                <w:rFonts w:ascii="Calibri" w:eastAsia="Calibri" w:hAnsi="Calibri" w:cs="Times New Roman"/>
                <w:sz w:val="20"/>
                <w:szCs w:val="20"/>
                <w:lang w:val="en-US"/>
              </w:rPr>
              <w:t xml:space="preserve">loss allowances </w:t>
            </w:r>
          </w:p>
        </w:tc>
        <w:tc>
          <w:tcPr>
            <w:tcW w:w="558" w:type="pct"/>
            <w:tcBorders>
              <w:top w:val="nil"/>
              <w:left w:val="nil"/>
              <w:bottom w:val="single" w:sz="8" w:space="0" w:color="auto"/>
              <w:right w:val="nil"/>
            </w:tcBorders>
            <w:shd w:val="clear" w:color="auto" w:fill="auto"/>
            <w:vAlign w:val="bottom"/>
          </w:tcPr>
          <w:p w14:paraId="1A5940C6" w14:textId="485E5AAB" w:rsidR="00650DD3" w:rsidRPr="00537128" w:rsidRDefault="00650DD3" w:rsidP="00650DD3">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91</w:t>
            </w:r>
          </w:p>
        </w:tc>
        <w:tc>
          <w:tcPr>
            <w:tcW w:w="558" w:type="pct"/>
            <w:tcBorders>
              <w:top w:val="nil"/>
              <w:left w:val="nil"/>
              <w:bottom w:val="single" w:sz="8" w:space="0" w:color="auto"/>
              <w:right w:val="nil"/>
            </w:tcBorders>
            <w:shd w:val="clear" w:color="auto" w:fill="auto"/>
            <w:vAlign w:val="bottom"/>
          </w:tcPr>
          <w:p w14:paraId="6D16B8E1" w14:textId="66C92F8E" w:rsidR="00650DD3" w:rsidRPr="00537128" w:rsidRDefault="00650DD3" w:rsidP="00650DD3">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88</w:t>
            </w:r>
          </w:p>
        </w:tc>
        <w:tc>
          <w:tcPr>
            <w:tcW w:w="559" w:type="pct"/>
            <w:tcBorders>
              <w:top w:val="nil"/>
              <w:left w:val="nil"/>
              <w:bottom w:val="single" w:sz="8" w:space="0" w:color="auto"/>
              <w:right w:val="nil"/>
            </w:tcBorders>
            <w:shd w:val="clear" w:color="auto" w:fill="auto"/>
            <w:vAlign w:val="bottom"/>
          </w:tcPr>
          <w:p w14:paraId="1BBF7E7C" w14:textId="4F3247D5" w:rsidR="00650DD3" w:rsidRPr="00537128" w:rsidRDefault="00650DD3" w:rsidP="00650DD3">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6</w:t>
            </w:r>
          </w:p>
        </w:tc>
        <w:tc>
          <w:tcPr>
            <w:tcW w:w="558" w:type="pct"/>
            <w:tcBorders>
              <w:top w:val="nil"/>
              <w:left w:val="nil"/>
              <w:bottom w:val="single" w:sz="8" w:space="0" w:color="auto"/>
              <w:right w:val="nil"/>
            </w:tcBorders>
            <w:shd w:val="clear" w:color="auto" w:fill="auto"/>
            <w:vAlign w:val="bottom"/>
          </w:tcPr>
          <w:p w14:paraId="1C642082" w14:textId="56FA89C6" w:rsidR="00650DD3" w:rsidRPr="00537128" w:rsidRDefault="00650DD3" w:rsidP="00650DD3">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561" w:type="pct"/>
            <w:tcBorders>
              <w:top w:val="nil"/>
              <w:left w:val="nil"/>
              <w:bottom w:val="single" w:sz="8" w:space="0" w:color="auto"/>
              <w:right w:val="nil"/>
            </w:tcBorders>
            <w:shd w:val="clear" w:color="auto" w:fill="auto"/>
            <w:vAlign w:val="bottom"/>
          </w:tcPr>
          <w:p w14:paraId="483FDD50" w14:textId="64845123" w:rsidR="00650DD3" w:rsidRPr="00537128" w:rsidRDefault="00650DD3" w:rsidP="00650DD3">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185</w:t>
            </w:r>
          </w:p>
        </w:tc>
      </w:tr>
      <w:tr w:rsidR="00650DD3" w:rsidRPr="00537128" w14:paraId="6BEAAE34" w14:textId="77777777" w:rsidTr="00F00D81">
        <w:trPr>
          <w:trHeight w:val="33"/>
        </w:trPr>
        <w:tc>
          <w:tcPr>
            <w:tcW w:w="2206" w:type="pct"/>
            <w:vAlign w:val="bottom"/>
          </w:tcPr>
          <w:p w14:paraId="677764E1" w14:textId="2E6AD3AC" w:rsidR="00650DD3" w:rsidRPr="00537128" w:rsidRDefault="00650DD3" w:rsidP="00650DD3">
            <w:pPr>
              <w:tabs>
                <w:tab w:val="right" w:pos="1202"/>
              </w:tabs>
              <w:spacing w:after="0" w:line="301" w:lineRule="exact"/>
              <w:outlineLvl w:val="0"/>
              <w:rPr>
                <w:rFonts w:ascii="Calibri" w:eastAsia="Calibri" w:hAnsi="Calibri" w:cs="Arial"/>
                <w:b/>
                <w:bCs/>
                <w:sz w:val="20"/>
                <w:szCs w:val="20"/>
                <w:lang w:val="en-US"/>
              </w:rPr>
            </w:pPr>
            <w:r w:rsidRPr="00537128">
              <w:rPr>
                <w:rFonts w:ascii="Calibri" w:eastAsia="Calibri" w:hAnsi="Calibri" w:cs="Arial"/>
                <w:b/>
                <w:bCs/>
                <w:sz w:val="20"/>
                <w:szCs w:val="20"/>
                <w:lang w:val="en-US"/>
              </w:rPr>
              <w:t xml:space="preserve">Balance </w:t>
            </w:r>
            <w:proofErr w:type="gramStart"/>
            <w:r w:rsidRPr="00537128">
              <w:rPr>
                <w:rFonts w:ascii="Calibri" w:eastAsia="Calibri" w:hAnsi="Calibri" w:cs="Arial"/>
                <w:b/>
                <w:bCs/>
                <w:sz w:val="20"/>
                <w:szCs w:val="20"/>
                <w:lang w:val="en-US"/>
              </w:rPr>
              <w:t>at</w:t>
            </w:r>
            <w:proofErr w:type="gramEnd"/>
            <w:r w:rsidRPr="00537128">
              <w:rPr>
                <w:rFonts w:ascii="Calibri" w:eastAsia="Calibri" w:hAnsi="Calibri" w:cs="Arial"/>
                <w:b/>
                <w:bCs/>
                <w:sz w:val="20"/>
                <w:szCs w:val="20"/>
                <w:lang w:val="en-US"/>
              </w:rPr>
              <w:t xml:space="preserve"> 31 March 202</w:t>
            </w:r>
            <w:r>
              <w:rPr>
                <w:rFonts w:ascii="Calibri" w:eastAsia="Calibri" w:hAnsi="Calibri" w:cs="Arial"/>
                <w:b/>
                <w:bCs/>
                <w:sz w:val="20"/>
                <w:szCs w:val="20"/>
                <w:lang w:val="en-US"/>
              </w:rPr>
              <w:t>2</w:t>
            </w:r>
          </w:p>
        </w:tc>
        <w:tc>
          <w:tcPr>
            <w:tcW w:w="558" w:type="pct"/>
            <w:tcBorders>
              <w:top w:val="nil"/>
              <w:left w:val="nil"/>
              <w:bottom w:val="single" w:sz="12" w:space="0" w:color="auto"/>
              <w:right w:val="nil"/>
            </w:tcBorders>
            <w:shd w:val="clear" w:color="auto" w:fill="auto"/>
          </w:tcPr>
          <w:p w14:paraId="6A65FCA7" w14:textId="411D616E" w:rsidR="00650DD3" w:rsidRPr="00537128" w:rsidRDefault="00650DD3" w:rsidP="00650DD3">
            <w:pPr>
              <w:tabs>
                <w:tab w:val="right" w:pos="1202"/>
              </w:tabs>
              <w:spacing w:after="0" w:line="301" w:lineRule="exact"/>
              <w:jc w:val="right"/>
              <w:outlineLvl w:val="0"/>
              <w:rPr>
                <w:rFonts w:ascii="Calibri" w:eastAsia="Calibri" w:hAnsi="Calibri" w:cs="Arial"/>
                <w:b/>
                <w:bCs/>
                <w:sz w:val="20"/>
                <w:szCs w:val="20"/>
                <w:lang w:val="en-US"/>
              </w:rPr>
            </w:pPr>
            <w:r w:rsidRPr="007A49AD">
              <w:rPr>
                <w:b/>
                <w:bCs/>
                <w:sz w:val="20"/>
                <w:szCs w:val="20"/>
              </w:rPr>
              <w:t xml:space="preserve"> 28</w:t>
            </w:r>
            <w:r>
              <w:rPr>
                <w:b/>
                <w:bCs/>
                <w:sz w:val="20"/>
                <w:szCs w:val="20"/>
              </w:rPr>
              <w:t>,</w:t>
            </w:r>
            <w:r w:rsidRPr="007A49AD">
              <w:rPr>
                <w:b/>
                <w:bCs/>
                <w:sz w:val="20"/>
                <w:szCs w:val="20"/>
              </w:rPr>
              <w:t xml:space="preserve">627 </w:t>
            </w:r>
          </w:p>
        </w:tc>
        <w:tc>
          <w:tcPr>
            <w:tcW w:w="558" w:type="pct"/>
            <w:tcBorders>
              <w:top w:val="nil"/>
              <w:left w:val="nil"/>
              <w:bottom w:val="single" w:sz="12" w:space="0" w:color="auto"/>
              <w:right w:val="nil"/>
            </w:tcBorders>
            <w:shd w:val="clear" w:color="auto" w:fill="auto"/>
          </w:tcPr>
          <w:p w14:paraId="659A889A" w14:textId="7BE3B963" w:rsidR="00650DD3" w:rsidRPr="00537128" w:rsidRDefault="00650DD3" w:rsidP="00650DD3">
            <w:pPr>
              <w:tabs>
                <w:tab w:val="right" w:pos="1202"/>
              </w:tabs>
              <w:spacing w:after="0" w:line="301" w:lineRule="exact"/>
              <w:jc w:val="right"/>
              <w:outlineLvl w:val="0"/>
              <w:rPr>
                <w:rFonts w:ascii="Calibri" w:eastAsia="Calibri" w:hAnsi="Calibri" w:cs="Arial"/>
                <w:b/>
                <w:bCs/>
                <w:sz w:val="20"/>
                <w:szCs w:val="20"/>
                <w:lang w:val="en-US"/>
              </w:rPr>
            </w:pPr>
            <w:r w:rsidRPr="007A49AD">
              <w:rPr>
                <w:b/>
                <w:bCs/>
                <w:sz w:val="20"/>
                <w:szCs w:val="20"/>
              </w:rPr>
              <w:t xml:space="preserve"> 23</w:t>
            </w:r>
            <w:r>
              <w:rPr>
                <w:b/>
                <w:bCs/>
                <w:sz w:val="20"/>
                <w:szCs w:val="20"/>
              </w:rPr>
              <w:t>,</w:t>
            </w:r>
            <w:r w:rsidRPr="007A49AD">
              <w:rPr>
                <w:b/>
                <w:bCs/>
                <w:sz w:val="20"/>
                <w:szCs w:val="20"/>
              </w:rPr>
              <w:t xml:space="preserve">194 </w:t>
            </w:r>
          </w:p>
        </w:tc>
        <w:tc>
          <w:tcPr>
            <w:tcW w:w="559" w:type="pct"/>
            <w:tcBorders>
              <w:top w:val="nil"/>
              <w:left w:val="nil"/>
              <w:bottom w:val="single" w:sz="12" w:space="0" w:color="auto"/>
              <w:right w:val="nil"/>
            </w:tcBorders>
            <w:shd w:val="clear" w:color="auto" w:fill="auto"/>
          </w:tcPr>
          <w:p w14:paraId="74777866" w14:textId="01E80749" w:rsidR="00650DD3" w:rsidRPr="00537128" w:rsidRDefault="00650DD3" w:rsidP="00650DD3">
            <w:pPr>
              <w:tabs>
                <w:tab w:val="right" w:pos="1202"/>
              </w:tabs>
              <w:spacing w:after="0" w:line="301" w:lineRule="exact"/>
              <w:jc w:val="right"/>
              <w:outlineLvl w:val="0"/>
              <w:rPr>
                <w:rFonts w:ascii="Calibri" w:eastAsia="Calibri" w:hAnsi="Calibri" w:cs="Arial"/>
                <w:b/>
                <w:bCs/>
                <w:sz w:val="20"/>
                <w:szCs w:val="20"/>
                <w:lang w:val="en-US"/>
              </w:rPr>
            </w:pPr>
            <w:r w:rsidRPr="007A49AD">
              <w:rPr>
                <w:b/>
                <w:bCs/>
                <w:sz w:val="20"/>
                <w:szCs w:val="20"/>
              </w:rPr>
              <w:t xml:space="preserve"> 6</w:t>
            </w:r>
            <w:r>
              <w:rPr>
                <w:b/>
                <w:bCs/>
                <w:sz w:val="20"/>
                <w:szCs w:val="20"/>
              </w:rPr>
              <w:t>,</w:t>
            </w:r>
            <w:r w:rsidRPr="007A49AD">
              <w:rPr>
                <w:b/>
                <w:bCs/>
                <w:sz w:val="20"/>
                <w:szCs w:val="20"/>
              </w:rPr>
              <w:t xml:space="preserve">159 </w:t>
            </w:r>
          </w:p>
        </w:tc>
        <w:tc>
          <w:tcPr>
            <w:tcW w:w="558" w:type="pct"/>
            <w:tcBorders>
              <w:top w:val="nil"/>
              <w:left w:val="nil"/>
              <w:bottom w:val="single" w:sz="12" w:space="0" w:color="auto"/>
              <w:right w:val="nil"/>
            </w:tcBorders>
            <w:shd w:val="clear" w:color="auto" w:fill="auto"/>
          </w:tcPr>
          <w:p w14:paraId="2652D5F2" w14:textId="50F21EE5" w:rsidR="00650DD3" w:rsidRPr="00537128" w:rsidRDefault="00650DD3" w:rsidP="00650DD3">
            <w:pPr>
              <w:tabs>
                <w:tab w:val="right" w:pos="1202"/>
              </w:tabs>
              <w:spacing w:after="0" w:line="301" w:lineRule="exact"/>
              <w:jc w:val="right"/>
              <w:outlineLvl w:val="0"/>
              <w:rPr>
                <w:rFonts w:ascii="Calibri" w:eastAsia="Calibri" w:hAnsi="Calibri" w:cs="Arial"/>
                <w:b/>
                <w:bCs/>
                <w:sz w:val="20"/>
                <w:szCs w:val="20"/>
                <w:lang w:val="en-US"/>
              </w:rPr>
            </w:pPr>
            <w:r w:rsidRPr="007A49AD">
              <w:rPr>
                <w:b/>
                <w:bCs/>
                <w:sz w:val="20"/>
                <w:szCs w:val="20"/>
              </w:rPr>
              <w:t xml:space="preserve"> - </w:t>
            </w:r>
          </w:p>
        </w:tc>
        <w:tc>
          <w:tcPr>
            <w:tcW w:w="561" w:type="pct"/>
            <w:tcBorders>
              <w:top w:val="nil"/>
              <w:left w:val="nil"/>
              <w:bottom w:val="single" w:sz="12" w:space="0" w:color="auto"/>
              <w:right w:val="nil"/>
            </w:tcBorders>
            <w:shd w:val="clear" w:color="auto" w:fill="auto"/>
          </w:tcPr>
          <w:p w14:paraId="52E6662D" w14:textId="7BC68DA0" w:rsidR="00650DD3" w:rsidRPr="00537128" w:rsidRDefault="00650DD3" w:rsidP="00650DD3">
            <w:pPr>
              <w:tabs>
                <w:tab w:val="right" w:pos="1202"/>
              </w:tabs>
              <w:spacing w:after="0" w:line="301" w:lineRule="exact"/>
              <w:jc w:val="right"/>
              <w:outlineLvl w:val="0"/>
              <w:rPr>
                <w:rFonts w:ascii="Calibri" w:eastAsia="Calibri" w:hAnsi="Calibri" w:cs="Arial"/>
                <w:b/>
                <w:bCs/>
                <w:sz w:val="20"/>
                <w:szCs w:val="20"/>
                <w:lang w:val="en-US"/>
              </w:rPr>
            </w:pPr>
            <w:r w:rsidRPr="007A49AD">
              <w:rPr>
                <w:b/>
                <w:bCs/>
                <w:sz w:val="20"/>
                <w:szCs w:val="20"/>
              </w:rPr>
              <w:t xml:space="preserve"> 57</w:t>
            </w:r>
            <w:r>
              <w:rPr>
                <w:b/>
                <w:bCs/>
                <w:sz w:val="20"/>
                <w:szCs w:val="20"/>
              </w:rPr>
              <w:t>,</w:t>
            </w:r>
            <w:r w:rsidRPr="007A49AD">
              <w:rPr>
                <w:b/>
                <w:bCs/>
                <w:sz w:val="20"/>
                <w:szCs w:val="20"/>
              </w:rPr>
              <w:t xml:space="preserve">980 </w:t>
            </w:r>
          </w:p>
        </w:tc>
      </w:tr>
    </w:tbl>
    <w:p w14:paraId="6C4D784C"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pPr>
    </w:p>
    <w:p w14:paraId="6992361C" w14:textId="27BDD415" w:rsidR="00716C7A" w:rsidRDefault="00716C7A" w:rsidP="00712478">
      <w:pPr>
        <w:spacing w:after="0" w:line="240" w:lineRule="auto"/>
        <w:jc w:val="both"/>
        <w:rPr>
          <w:rFonts w:ascii="Calibri" w:eastAsia="Times New Roman" w:hAnsi="Calibri" w:cs="Arial"/>
          <w:bCs/>
          <w:color w:val="000000" w:themeColor="text1"/>
          <w:lang w:val="en-US"/>
        </w:rPr>
      </w:pPr>
    </w:p>
    <w:p w14:paraId="387DED71" w14:textId="77777777" w:rsidR="00F72CE7" w:rsidRPr="00537128" w:rsidRDefault="00F72CE7" w:rsidP="00712478">
      <w:pPr>
        <w:spacing w:after="0" w:line="240" w:lineRule="auto"/>
        <w:jc w:val="both"/>
        <w:rPr>
          <w:rFonts w:ascii="Calibri" w:eastAsia="Times New Roman" w:hAnsi="Calibri" w:cs="Arial"/>
          <w:bCs/>
          <w:color w:val="000000" w:themeColor="text1"/>
          <w:lang w:val="en-US"/>
        </w:rPr>
      </w:pPr>
    </w:p>
    <w:tbl>
      <w:tblPr>
        <w:tblpPr w:leftFromText="180" w:rightFromText="180" w:vertAnchor="text" w:horzAnchor="margin" w:tblpY="25"/>
        <w:tblW w:w="4990" w:type="pct"/>
        <w:tblLayout w:type="fixed"/>
        <w:tblLook w:val="0000" w:firstRow="0" w:lastRow="0" w:firstColumn="0" w:lastColumn="0" w:noHBand="0" w:noVBand="0"/>
      </w:tblPr>
      <w:tblGrid>
        <w:gridCol w:w="4118"/>
        <w:gridCol w:w="1042"/>
        <w:gridCol w:w="1042"/>
        <w:gridCol w:w="1044"/>
        <w:gridCol w:w="1042"/>
        <w:gridCol w:w="1047"/>
      </w:tblGrid>
      <w:tr w:rsidR="00F72CE7" w:rsidRPr="00F72CE7" w14:paraId="5BCC162F" w14:textId="77777777" w:rsidTr="00E44437">
        <w:trPr>
          <w:trHeight w:val="44"/>
        </w:trPr>
        <w:tc>
          <w:tcPr>
            <w:tcW w:w="2206" w:type="pct"/>
          </w:tcPr>
          <w:p w14:paraId="4AE07842" w14:textId="77777777" w:rsidR="00F72CE7" w:rsidRPr="00F72CE7" w:rsidRDefault="00F72CE7" w:rsidP="00F72CE7">
            <w:pPr>
              <w:spacing w:after="0" w:line="240" w:lineRule="auto"/>
              <w:rPr>
                <w:rFonts w:ascii="Calibri" w:eastAsia="Calibri" w:hAnsi="Calibri" w:cs="Arial"/>
                <w:b/>
                <w:bCs/>
                <w:sz w:val="20"/>
                <w:szCs w:val="20"/>
                <w:lang w:val="en-GB"/>
              </w:rPr>
            </w:pPr>
            <w:bookmarkStart w:id="815" w:name="_Hlk97805825"/>
            <w:r w:rsidRPr="00F72CE7">
              <w:rPr>
                <w:rFonts w:ascii="Calibri" w:eastAsia="Calibri" w:hAnsi="Calibri" w:cs="Arial"/>
                <w:b/>
                <w:bCs/>
                <w:sz w:val="20"/>
                <w:szCs w:val="20"/>
                <w:lang w:val="en-GB"/>
              </w:rPr>
              <w:t>Group and Bank</w:t>
            </w:r>
          </w:p>
        </w:tc>
        <w:tc>
          <w:tcPr>
            <w:tcW w:w="2794" w:type="pct"/>
            <w:gridSpan w:val="5"/>
            <w:vAlign w:val="bottom"/>
          </w:tcPr>
          <w:p w14:paraId="20724BA1" w14:textId="77777777" w:rsidR="00F72CE7" w:rsidRPr="00F72CE7" w:rsidRDefault="00F72CE7" w:rsidP="00F72CE7">
            <w:pPr>
              <w:spacing w:after="0" w:line="240" w:lineRule="auto"/>
              <w:jc w:val="center"/>
              <w:rPr>
                <w:rFonts w:ascii="Calibri" w:eastAsia="Calibri" w:hAnsi="Calibri" w:cs="Arial"/>
                <w:b/>
                <w:sz w:val="20"/>
                <w:szCs w:val="20"/>
                <w:lang w:val="en-GB"/>
              </w:rPr>
            </w:pPr>
          </w:p>
        </w:tc>
      </w:tr>
      <w:tr w:rsidR="00F72CE7" w:rsidRPr="00F72CE7" w14:paraId="01AA005D" w14:textId="77777777" w:rsidTr="00E44437">
        <w:trPr>
          <w:trHeight w:val="44"/>
        </w:trPr>
        <w:tc>
          <w:tcPr>
            <w:tcW w:w="2206" w:type="pct"/>
          </w:tcPr>
          <w:p w14:paraId="3F7BF9D7" w14:textId="77777777" w:rsidR="00F72CE7" w:rsidRPr="00F72CE7" w:rsidRDefault="00F72CE7" w:rsidP="00F72CE7">
            <w:pPr>
              <w:spacing w:after="0" w:line="240" w:lineRule="auto"/>
              <w:rPr>
                <w:rFonts w:ascii="Calibri" w:eastAsia="Calibri" w:hAnsi="Calibri" w:cs="Arial"/>
                <w:b/>
                <w:bCs/>
                <w:sz w:val="20"/>
                <w:szCs w:val="20"/>
                <w:lang w:val="en-GB"/>
              </w:rPr>
            </w:pPr>
            <w:r w:rsidRPr="00F72CE7">
              <w:rPr>
                <w:rFonts w:ascii="Calibri" w:eastAsia="Calibri" w:hAnsi="Calibri" w:cs="Arial"/>
                <w:b/>
                <w:bCs/>
                <w:sz w:val="20"/>
                <w:szCs w:val="20"/>
                <w:lang w:val="en-GB"/>
              </w:rPr>
              <w:t>31 December 2021</w:t>
            </w:r>
          </w:p>
        </w:tc>
        <w:tc>
          <w:tcPr>
            <w:tcW w:w="558" w:type="pct"/>
            <w:vAlign w:val="bottom"/>
          </w:tcPr>
          <w:p w14:paraId="122C951C" w14:textId="77777777" w:rsidR="00F72CE7" w:rsidRPr="00F72CE7" w:rsidRDefault="00F72CE7" w:rsidP="00F72CE7">
            <w:pPr>
              <w:spacing w:after="0" w:line="240" w:lineRule="auto"/>
              <w:jc w:val="right"/>
              <w:rPr>
                <w:rFonts w:ascii="Calibri" w:eastAsia="Calibri" w:hAnsi="Calibri" w:cs="Arial"/>
                <w:b/>
                <w:sz w:val="20"/>
                <w:szCs w:val="20"/>
                <w:lang w:val="en-GB"/>
              </w:rPr>
            </w:pPr>
            <w:r w:rsidRPr="00F72CE7">
              <w:rPr>
                <w:rFonts w:ascii="Calibri" w:eastAsia="Calibri" w:hAnsi="Calibri" w:cs="Arial"/>
                <w:b/>
                <w:sz w:val="20"/>
                <w:szCs w:val="20"/>
                <w:lang w:val="en-GB"/>
              </w:rPr>
              <w:t>Stage 1</w:t>
            </w:r>
          </w:p>
        </w:tc>
        <w:tc>
          <w:tcPr>
            <w:tcW w:w="558" w:type="pct"/>
            <w:vAlign w:val="bottom"/>
          </w:tcPr>
          <w:p w14:paraId="53610B24" w14:textId="77777777" w:rsidR="00F72CE7" w:rsidRPr="00F72CE7" w:rsidRDefault="00F72CE7" w:rsidP="00F72CE7">
            <w:pPr>
              <w:spacing w:after="0" w:line="240" w:lineRule="auto"/>
              <w:jc w:val="right"/>
              <w:rPr>
                <w:rFonts w:ascii="Calibri" w:eastAsia="Calibri" w:hAnsi="Calibri" w:cs="Arial"/>
                <w:b/>
                <w:sz w:val="20"/>
                <w:szCs w:val="20"/>
                <w:lang w:val="en-GB"/>
              </w:rPr>
            </w:pPr>
            <w:r w:rsidRPr="00F72CE7">
              <w:rPr>
                <w:rFonts w:ascii="Calibri" w:eastAsia="Calibri" w:hAnsi="Calibri" w:cs="Arial"/>
                <w:b/>
                <w:sz w:val="20"/>
                <w:szCs w:val="20"/>
                <w:lang w:val="en-GB"/>
              </w:rPr>
              <w:t>Stage 2</w:t>
            </w:r>
          </w:p>
        </w:tc>
        <w:tc>
          <w:tcPr>
            <w:tcW w:w="559" w:type="pct"/>
            <w:vAlign w:val="bottom"/>
          </w:tcPr>
          <w:p w14:paraId="4CF55837" w14:textId="77777777" w:rsidR="00F72CE7" w:rsidRPr="00F72CE7" w:rsidRDefault="00F72CE7" w:rsidP="00F72CE7">
            <w:pPr>
              <w:spacing w:after="0" w:line="240" w:lineRule="auto"/>
              <w:jc w:val="right"/>
              <w:rPr>
                <w:rFonts w:ascii="Calibri" w:eastAsia="Calibri" w:hAnsi="Calibri" w:cs="Arial"/>
                <w:b/>
                <w:sz w:val="20"/>
                <w:szCs w:val="20"/>
                <w:lang w:val="en-GB"/>
              </w:rPr>
            </w:pPr>
            <w:r w:rsidRPr="00F72CE7">
              <w:rPr>
                <w:rFonts w:ascii="Calibri" w:eastAsia="Calibri" w:hAnsi="Calibri" w:cs="Arial"/>
                <w:b/>
                <w:sz w:val="20"/>
                <w:szCs w:val="20"/>
                <w:lang w:val="en-GB"/>
              </w:rPr>
              <w:t>Stage 3</w:t>
            </w:r>
          </w:p>
        </w:tc>
        <w:tc>
          <w:tcPr>
            <w:tcW w:w="558" w:type="pct"/>
            <w:vAlign w:val="bottom"/>
          </w:tcPr>
          <w:p w14:paraId="7B4624A5" w14:textId="77777777" w:rsidR="00F72CE7" w:rsidRPr="00F72CE7" w:rsidRDefault="00F72CE7" w:rsidP="00F72CE7">
            <w:pPr>
              <w:spacing w:after="0" w:line="240" w:lineRule="auto"/>
              <w:jc w:val="right"/>
              <w:rPr>
                <w:rFonts w:ascii="Calibri" w:eastAsia="Calibri" w:hAnsi="Calibri" w:cs="Arial"/>
                <w:b/>
                <w:sz w:val="20"/>
                <w:szCs w:val="20"/>
                <w:lang w:val="en-GB"/>
              </w:rPr>
            </w:pPr>
            <w:r w:rsidRPr="00F72CE7">
              <w:rPr>
                <w:rFonts w:ascii="Calibri" w:eastAsia="Calibri" w:hAnsi="Calibri" w:cs="Arial"/>
                <w:b/>
                <w:sz w:val="20"/>
                <w:szCs w:val="20"/>
                <w:lang w:val="en-GB"/>
              </w:rPr>
              <w:t>POCI</w:t>
            </w:r>
          </w:p>
        </w:tc>
        <w:tc>
          <w:tcPr>
            <w:tcW w:w="561" w:type="pct"/>
            <w:vAlign w:val="bottom"/>
          </w:tcPr>
          <w:p w14:paraId="4CF8D902" w14:textId="77777777" w:rsidR="00F72CE7" w:rsidRPr="00F72CE7" w:rsidRDefault="00F72CE7" w:rsidP="00F72CE7">
            <w:pPr>
              <w:spacing w:after="0" w:line="240" w:lineRule="auto"/>
              <w:jc w:val="right"/>
              <w:rPr>
                <w:rFonts w:ascii="Calibri" w:eastAsia="Calibri" w:hAnsi="Calibri" w:cs="Arial"/>
                <w:b/>
                <w:sz w:val="20"/>
                <w:szCs w:val="20"/>
                <w:lang w:val="en-GB"/>
              </w:rPr>
            </w:pPr>
            <w:r w:rsidRPr="00F72CE7">
              <w:rPr>
                <w:rFonts w:ascii="Calibri" w:eastAsia="Calibri" w:hAnsi="Calibri" w:cs="Arial"/>
                <w:b/>
                <w:sz w:val="20"/>
                <w:szCs w:val="20"/>
                <w:lang w:val="en-GB"/>
              </w:rPr>
              <w:t>Total</w:t>
            </w:r>
          </w:p>
        </w:tc>
      </w:tr>
      <w:tr w:rsidR="00F72CE7" w:rsidRPr="00F72CE7" w14:paraId="3A513093" w14:textId="77777777" w:rsidTr="00E44437">
        <w:trPr>
          <w:trHeight w:val="44"/>
        </w:trPr>
        <w:tc>
          <w:tcPr>
            <w:tcW w:w="2206" w:type="pct"/>
          </w:tcPr>
          <w:p w14:paraId="71DCB311" w14:textId="77777777" w:rsidR="00F72CE7" w:rsidRPr="00F72CE7" w:rsidRDefault="00F72CE7" w:rsidP="00F72CE7">
            <w:pPr>
              <w:spacing w:after="0" w:line="240" w:lineRule="auto"/>
              <w:rPr>
                <w:rFonts w:ascii="Calibri" w:eastAsia="Calibri" w:hAnsi="Calibri" w:cs="Arial"/>
                <w:b/>
                <w:bCs/>
                <w:sz w:val="20"/>
                <w:szCs w:val="20"/>
                <w:lang w:val="en-GB"/>
              </w:rPr>
            </w:pPr>
          </w:p>
        </w:tc>
        <w:tc>
          <w:tcPr>
            <w:tcW w:w="558" w:type="pct"/>
          </w:tcPr>
          <w:p w14:paraId="3ACE97BA" w14:textId="77777777" w:rsidR="00F72CE7" w:rsidRPr="00F72CE7" w:rsidRDefault="00F72CE7" w:rsidP="00F72CE7">
            <w:pPr>
              <w:spacing w:after="0" w:line="240" w:lineRule="auto"/>
              <w:jc w:val="right"/>
              <w:rPr>
                <w:rFonts w:ascii="Calibri" w:eastAsia="Calibri" w:hAnsi="Calibri" w:cs="Arial"/>
                <w:b/>
                <w:sz w:val="20"/>
                <w:szCs w:val="20"/>
                <w:lang w:val="en-GB"/>
              </w:rPr>
            </w:pPr>
            <w:r w:rsidRPr="00F72CE7">
              <w:rPr>
                <w:rFonts w:ascii="Calibri" w:eastAsia="Calibri" w:hAnsi="Calibri" w:cs="Arial"/>
                <w:b/>
                <w:sz w:val="20"/>
                <w:szCs w:val="20"/>
                <w:lang w:val="en-GB"/>
              </w:rPr>
              <w:t>HRK ‘000</w:t>
            </w:r>
          </w:p>
        </w:tc>
        <w:tc>
          <w:tcPr>
            <w:tcW w:w="558" w:type="pct"/>
          </w:tcPr>
          <w:p w14:paraId="229F8606" w14:textId="77777777" w:rsidR="00F72CE7" w:rsidRPr="00F72CE7" w:rsidRDefault="00F72CE7" w:rsidP="00F72CE7">
            <w:pPr>
              <w:spacing w:after="0" w:line="240" w:lineRule="auto"/>
              <w:jc w:val="right"/>
              <w:rPr>
                <w:rFonts w:ascii="Calibri" w:eastAsia="Calibri" w:hAnsi="Calibri" w:cs="Arial"/>
                <w:b/>
                <w:sz w:val="20"/>
                <w:szCs w:val="20"/>
                <w:lang w:val="en-GB"/>
              </w:rPr>
            </w:pPr>
            <w:r w:rsidRPr="00F72CE7">
              <w:rPr>
                <w:rFonts w:ascii="Calibri" w:eastAsia="Calibri" w:hAnsi="Calibri" w:cs="Arial"/>
                <w:b/>
                <w:sz w:val="20"/>
                <w:szCs w:val="20"/>
                <w:lang w:val="en-GB"/>
              </w:rPr>
              <w:t>HRK ‘000</w:t>
            </w:r>
          </w:p>
        </w:tc>
        <w:tc>
          <w:tcPr>
            <w:tcW w:w="559" w:type="pct"/>
          </w:tcPr>
          <w:p w14:paraId="5CE56AA5" w14:textId="77777777" w:rsidR="00F72CE7" w:rsidRPr="00F72CE7" w:rsidRDefault="00F72CE7" w:rsidP="00F72CE7">
            <w:pPr>
              <w:spacing w:after="0" w:line="240" w:lineRule="auto"/>
              <w:jc w:val="right"/>
              <w:rPr>
                <w:rFonts w:ascii="Calibri" w:eastAsia="Calibri" w:hAnsi="Calibri" w:cs="Arial"/>
                <w:b/>
                <w:sz w:val="20"/>
                <w:szCs w:val="20"/>
                <w:lang w:val="en-GB"/>
              </w:rPr>
            </w:pPr>
            <w:r w:rsidRPr="00F72CE7">
              <w:rPr>
                <w:rFonts w:ascii="Calibri" w:eastAsia="Calibri" w:hAnsi="Calibri" w:cs="Arial"/>
                <w:b/>
                <w:sz w:val="20"/>
                <w:szCs w:val="20"/>
                <w:lang w:val="en-GB"/>
              </w:rPr>
              <w:t>HRK ‘000</w:t>
            </w:r>
          </w:p>
        </w:tc>
        <w:tc>
          <w:tcPr>
            <w:tcW w:w="558" w:type="pct"/>
          </w:tcPr>
          <w:p w14:paraId="68392D4E" w14:textId="77777777" w:rsidR="00F72CE7" w:rsidRPr="00F72CE7" w:rsidRDefault="00F72CE7" w:rsidP="00F72CE7">
            <w:pPr>
              <w:spacing w:after="0" w:line="240" w:lineRule="auto"/>
              <w:jc w:val="right"/>
              <w:rPr>
                <w:rFonts w:ascii="Calibri" w:eastAsia="Calibri" w:hAnsi="Calibri" w:cs="Arial"/>
                <w:b/>
                <w:sz w:val="20"/>
                <w:szCs w:val="20"/>
                <w:lang w:val="en-GB"/>
              </w:rPr>
            </w:pPr>
            <w:r w:rsidRPr="00F72CE7">
              <w:rPr>
                <w:rFonts w:ascii="Calibri" w:eastAsia="Calibri" w:hAnsi="Calibri" w:cs="Arial"/>
                <w:b/>
                <w:sz w:val="20"/>
                <w:szCs w:val="20"/>
                <w:lang w:val="en-GB"/>
              </w:rPr>
              <w:t>HRK ‘000</w:t>
            </w:r>
          </w:p>
        </w:tc>
        <w:tc>
          <w:tcPr>
            <w:tcW w:w="561" w:type="pct"/>
          </w:tcPr>
          <w:p w14:paraId="748C02B8" w14:textId="77777777" w:rsidR="00F72CE7" w:rsidRPr="00F72CE7" w:rsidRDefault="00F72CE7" w:rsidP="00F72CE7">
            <w:pPr>
              <w:spacing w:after="0" w:line="240" w:lineRule="auto"/>
              <w:jc w:val="right"/>
              <w:rPr>
                <w:rFonts w:ascii="Calibri" w:eastAsia="Calibri" w:hAnsi="Calibri" w:cs="Arial"/>
                <w:b/>
                <w:sz w:val="20"/>
                <w:szCs w:val="20"/>
                <w:lang w:val="en-GB"/>
              </w:rPr>
            </w:pPr>
            <w:r w:rsidRPr="00F72CE7">
              <w:rPr>
                <w:rFonts w:ascii="Calibri" w:eastAsia="Calibri" w:hAnsi="Calibri" w:cs="Arial"/>
                <w:b/>
                <w:sz w:val="20"/>
                <w:szCs w:val="20"/>
                <w:lang w:val="en-GB"/>
              </w:rPr>
              <w:t>HRK ‘000</w:t>
            </w:r>
          </w:p>
        </w:tc>
      </w:tr>
      <w:tr w:rsidR="00F72CE7" w:rsidRPr="00F72CE7" w14:paraId="3B3244C4" w14:textId="77777777" w:rsidTr="00E44437">
        <w:trPr>
          <w:trHeight w:hRule="exact" w:val="116"/>
        </w:trPr>
        <w:tc>
          <w:tcPr>
            <w:tcW w:w="2206" w:type="pct"/>
          </w:tcPr>
          <w:p w14:paraId="57C14840" w14:textId="77777777" w:rsidR="00F72CE7" w:rsidRPr="00F72CE7" w:rsidRDefault="00F72CE7" w:rsidP="00F72CE7">
            <w:pPr>
              <w:spacing w:after="0" w:line="240" w:lineRule="auto"/>
              <w:rPr>
                <w:rFonts w:ascii="Calibri" w:eastAsia="Calibri" w:hAnsi="Calibri" w:cs="Arial"/>
                <w:b/>
                <w:bCs/>
                <w:sz w:val="20"/>
                <w:szCs w:val="20"/>
                <w:lang w:val="en-GB"/>
              </w:rPr>
            </w:pPr>
          </w:p>
        </w:tc>
        <w:tc>
          <w:tcPr>
            <w:tcW w:w="558" w:type="pct"/>
          </w:tcPr>
          <w:p w14:paraId="2CFD98B7" w14:textId="77777777" w:rsidR="00F72CE7" w:rsidRPr="00F72CE7" w:rsidRDefault="00F72CE7" w:rsidP="00F72CE7">
            <w:pPr>
              <w:spacing w:after="0" w:line="240" w:lineRule="auto"/>
              <w:jc w:val="right"/>
              <w:rPr>
                <w:rFonts w:ascii="Calibri" w:eastAsia="Calibri" w:hAnsi="Calibri" w:cs="Arial"/>
                <w:b/>
                <w:sz w:val="20"/>
                <w:szCs w:val="20"/>
                <w:lang w:val="en-GB"/>
              </w:rPr>
            </w:pPr>
          </w:p>
        </w:tc>
        <w:tc>
          <w:tcPr>
            <w:tcW w:w="558" w:type="pct"/>
          </w:tcPr>
          <w:p w14:paraId="17D879AD" w14:textId="77777777" w:rsidR="00F72CE7" w:rsidRPr="00F72CE7" w:rsidRDefault="00F72CE7" w:rsidP="00F72CE7">
            <w:pPr>
              <w:spacing w:after="0" w:line="240" w:lineRule="auto"/>
              <w:jc w:val="right"/>
              <w:rPr>
                <w:rFonts w:ascii="Calibri" w:eastAsia="Calibri" w:hAnsi="Calibri" w:cs="Arial"/>
                <w:b/>
                <w:sz w:val="20"/>
                <w:szCs w:val="20"/>
                <w:lang w:val="en-GB"/>
              </w:rPr>
            </w:pPr>
          </w:p>
        </w:tc>
        <w:tc>
          <w:tcPr>
            <w:tcW w:w="559" w:type="pct"/>
          </w:tcPr>
          <w:p w14:paraId="66C0A97A" w14:textId="77777777" w:rsidR="00F72CE7" w:rsidRPr="00F72CE7" w:rsidRDefault="00F72CE7" w:rsidP="00F72CE7">
            <w:pPr>
              <w:spacing w:after="0" w:line="240" w:lineRule="auto"/>
              <w:jc w:val="right"/>
              <w:rPr>
                <w:rFonts w:ascii="Calibri" w:eastAsia="Calibri" w:hAnsi="Calibri" w:cs="Arial"/>
                <w:b/>
                <w:sz w:val="20"/>
                <w:szCs w:val="20"/>
                <w:lang w:val="en-GB"/>
              </w:rPr>
            </w:pPr>
          </w:p>
        </w:tc>
        <w:tc>
          <w:tcPr>
            <w:tcW w:w="558" w:type="pct"/>
          </w:tcPr>
          <w:p w14:paraId="0832A00A" w14:textId="77777777" w:rsidR="00F72CE7" w:rsidRPr="00F72CE7" w:rsidRDefault="00F72CE7" w:rsidP="00F72CE7">
            <w:pPr>
              <w:spacing w:after="0" w:line="240" w:lineRule="auto"/>
              <w:jc w:val="right"/>
              <w:rPr>
                <w:rFonts w:ascii="Calibri" w:eastAsia="Calibri" w:hAnsi="Calibri" w:cs="Arial"/>
                <w:b/>
                <w:sz w:val="20"/>
                <w:szCs w:val="20"/>
                <w:lang w:val="en-GB"/>
              </w:rPr>
            </w:pPr>
          </w:p>
        </w:tc>
        <w:tc>
          <w:tcPr>
            <w:tcW w:w="561" w:type="pct"/>
          </w:tcPr>
          <w:p w14:paraId="193256A2" w14:textId="77777777" w:rsidR="00F72CE7" w:rsidRPr="00F72CE7" w:rsidRDefault="00F72CE7" w:rsidP="00F72CE7">
            <w:pPr>
              <w:spacing w:after="0" w:line="240" w:lineRule="auto"/>
              <w:jc w:val="right"/>
              <w:rPr>
                <w:rFonts w:ascii="Calibri" w:eastAsia="Calibri" w:hAnsi="Calibri" w:cs="Arial"/>
                <w:b/>
                <w:sz w:val="20"/>
                <w:szCs w:val="20"/>
                <w:lang w:val="en-GB"/>
              </w:rPr>
            </w:pPr>
          </w:p>
        </w:tc>
      </w:tr>
      <w:tr w:rsidR="00F72CE7" w:rsidRPr="00F72CE7" w14:paraId="7E9AD987" w14:textId="77777777" w:rsidTr="00E44437">
        <w:trPr>
          <w:trHeight w:val="164"/>
        </w:trPr>
        <w:tc>
          <w:tcPr>
            <w:tcW w:w="2206" w:type="pct"/>
            <w:vAlign w:val="bottom"/>
          </w:tcPr>
          <w:p w14:paraId="1284EAB9" w14:textId="77777777" w:rsidR="00F72CE7" w:rsidRPr="00F72CE7" w:rsidRDefault="00F72CE7" w:rsidP="00F72CE7">
            <w:pPr>
              <w:tabs>
                <w:tab w:val="right" w:pos="1202"/>
              </w:tabs>
              <w:spacing w:after="0" w:line="240" w:lineRule="auto"/>
              <w:outlineLvl w:val="0"/>
              <w:rPr>
                <w:rFonts w:ascii="Calibri" w:eastAsia="Calibri" w:hAnsi="Calibri" w:cs="Times New Roman"/>
                <w:sz w:val="20"/>
                <w:szCs w:val="20"/>
                <w:lang w:val="en-GB"/>
              </w:rPr>
            </w:pPr>
            <w:r w:rsidRPr="00F72CE7">
              <w:rPr>
                <w:rFonts w:ascii="Calibri" w:eastAsia="Calibri" w:hAnsi="Calibri" w:cs="Times New Roman"/>
                <w:sz w:val="20"/>
                <w:szCs w:val="20"/>
                <w:lang w:val="en-GB"/>
              </w:rPr>
              <w:t xml:space="preserve">Balance </w:t>
            </w:r>
            <w:proofErr w:type="gramStart"/>
            <w:r w:rsidRPr="00F72CE7">
              <w:rPr>
                <w:rFonts w:ascii="Calibri" w:eastAsia="Calibri" w:hAnsi="Calibri" w:cs="Times New Roman"/>
                <w:sz w:val="20"/>
                <w:szCs w:val="20"/>
                <w:lang w:val="en-GB"/>
              </w:rPr>
              <w:t>at</w:t>
            </w:r>
            <w:proofErr w:type="gramEnd"/>
            <w:r w:rsidRPr="00F72CE7">
              <w:rPr>
                <w:rFonts w:ascii="Calibri" w:eastAsia="Calibri" w:hAnsi="Calibri" w:cs="Times New Roman"/>
                <w:sz w:val="20"/>
                <w:szCs w:val="20"/>
                <w:lang w:val="en-GB"/>
              </w:rPr>
              <w:t xml:space="preserve"> 1 January 2021</w:t>
            </w:r>
          </w:p>
        </w:tc>
        <w:tc>
          <w:tcPr>
            <w:tcW w:w="558" w:type="pct"/>
            <w:tcBorders>
              <w:top w:val="nil"/>
              <w:left w:val="nil"/>
              <w:bottom w:val="nil"/>
              <w:right w:val="nil"/>
            </w:tcBorders>
            <w:shd w:val="clear" w:color="auto" w:fill="auto"/>
          </w:tcPr>
          <w:p w14:paraId="102D74AE" w14:textId="77777777" w:rsidR="00F72CE7" w:rsidRPr="00F72CE7" w:rsidRDefault="00F72CE7" w:rsidP="00F72CE7">
            <w:pPr>
              <w:spacing w:after="0" w:line="240" w:lineRule="auto"/>
              <w:jc w:val="right"/>
              <w:rPr>
                <w:rFonts w:ascii="Calibri" w:eastAsia="Calibri" w:hAnsi="Calibri" w:cs="Arial"/>
                <w:sz w:val="20"/>
                <w:szCs w:val="20"/>
                <w:lang w:val="en-GB"/>
              </w:rPr>
            </w:pPr>
            <w:r w:rsidRPr="00F72CE7">
              <w:rPr>
                <w:rFonts w:ascii="Calibri" w:eastAsia="Times New Roman" w:hAnsi="Calibri" w:cs="Times New Roman"/>
                <w:sz w:val="20"/>
                <w:szCs w:val="20"/>
                <w:lang w:val="en-US"/>
              </w:rPr>
              <w:t xml:space="preserve"> 36,795 </w:t>
            </w:r>
          </w:p>
        </w:tc>
        <w:tc>
          <w:tcPr>
            <w:tcW w:w="558" w:type="pct"/>
            <w:tcBorders>
              <w:top w:val="nil"/>
              <w:left w:val="nil"/>
              <w:bottom w:val="nil"/>
              <w:right w:val="nil"/>
            </w:tcBorders>
            <w:shd w:val="clear" w:color="auto" w:fill="auto"/>
          </w:tcPr>
          <w:p w14:paraId="3AE1F6E7" w14:textId="77777777" w:rsidR="00F72CE7" w:rsidRPr="00F72CE7" w:rsidRDefault="00F72CE7" w:rsidP="00F72CE7">
            <w:pPr>
              <w:spacing w:after="0" w:line="240" w:lineRule="auto"/>
              <w:jc w:val="right"/>
              <w:rPr>
                <w:rFonts w:ascii="Calibri" w:eastAsia="Calibri" w:hAnsi="Calibri" w:cs="Arial"/>
                <w:sz w:val="20"/>
                <w:szCs w:val="20"/>
                <w:lang w:val="en-GB"/>
              </w:rPr>
            </w:pPr>
            <w:r w:rsidRPr="00F72CE7">
              <w:rPr>
                <w:rFonts w:ascii="Calibri" w:eastAsia="Times New Roman" w:hAnsi="Calibri" w:cs="Times New Roman"/>
                <w:sz w:val="20"/>
                <w:szCs w:val="20"/>
                <w:lang w:val="en-US"/>
              </w:rPr>
              <w:t xml:space="preserve"> 35,435 </w:t>
            </w:r>
          </w:p>
        </w:tc>
        <w:tc>
          <w:tcPr>
            <w:tcW w:w="559" w:type="pct"/>
            <w:tcBorders>
              <w:top w:val="nil"/>
              <w:left w:val="nil"/>
              <w:bottom w:val="nil"/>
              <w:right w:val="nil"/>
            </w:tcBorders>
            <w:shd w:val="clear" w:color="auto" w:fill="auto"/>
          </w:tcPr>
          <w:p w14:paraId="09C9BE88" w14:textId="77777777" w:rsidR="00F72CE7" w:rsidRPr="00F72CE7" w:rsidRDefault="00F72CE7" w:rsidP="00F72CE7">
            <w:pPr>
              <w:spacing w:after="0" w:line="240" w:lineRule="auto"/>
              <w:jc w:val="right"/>
              <w:rPr>
                <w:rFonts w:ascii="Calibri" w:eastAsia="Calibri" w:hAnsi="Calibri" w:cs="Arial"/>
                <w:sz w:val="20"/>
                <w:szCs w:val="20"/>
                <w:lang w:val="en-GB"/>
              </w:rPr>
            </w:pPr>
            <w:r w:rsidRPr="00F72CE7">
              <w:rPr>
                <w:rFonts w:ascii="Calibri" w:eastAsia="Times New Roman" w:hAnsi="Calibri" w:cs="Times New Roman"/>
                <w:sz w:val="20"/>
                <w:szCs w:val="20"/>
                <w:lang w:val="en-US"/>
              </w:rPr>
              <w:t xml:space="preserve"> 10,567 </w:t>
            </w:r>
          </w:p>
        </w:tc>
        <w:tc>
          <w:tcPr>
            <w:tcW w:w="558" w:type="pct"/>
            <w:tcBorders>
              <w:top w:val="nil"/>
              <w:left w:val="nil"/>
              <w:bottom w:val="nil"/>
              <w:right w:val="nil"/>
            </w:tcBorders>
            <w:shd w:val="clear" w:color="auto" w:fill="auto"/>
          </w:tcPr>
          <w:p w14:paraId="1B9F2D3E" w14:textId="77777777" w:rsidR="00F72CE7" w:rsidRPr="00F72CE7" w:rsidRDefault="00F72CE7" w:rsidP="00F72CE7">
            <w:pPr>
              <w:spacing w:after="0" w:line="240" w:lineRule="auto"/>
              <w:jc w:val="right"/>
              <w:rPr>
                <w:rFonts w:ascii="Calibri" w:eastAsia="Calibri" w:hAnsi="Calibri" w:cs="Arial"/>
                <w:sz w:val="20"/>
                <w:szCs w:val="20"/>
                <w:lang w:val="en-GB"/>
              </w:rPr>
            </w:pPr>
            <w:r w:rsidRPr="00F72CE7">
              <w:rPr>
                <w:rFonts w:ascii="Calibri" w:eastAsia="Times New Roman" w:hAnsi="Calibri" w:cs="Times New Roman"/>
                <w:sz w:val="20"/>
                <w:szCs w:val="20"/>
                <w:lang w:val="en-US"/>
              </w:rPr>
              <w:t xml:space="preserve"> - </w:t>
            </w:r>
          </w:p>
        </w:tc>
        <w:tc>
          <w:tcPr>
            <w:tcW w:w="561" w:type="pct"/>
            <w:tcBorders>
              <w:top w:val="nil"/>
              <w:left w:val="nil"/>
              <w:bottom w:val="nil"/>
              <w:right w:val="nil"/>
            </w:tcBorders>
            <w:shd w:val="clear" w:color="auto" w:fill="auto"/>
          </w:tcPr>
          <w:p w14:paraId="44976217" w14:textId="77777777" w:rsidR="00F72CE7" w:rsidRPr="00F72CE7" w:rsidRDefault="00F72CE7" w:rsidP="00F72CE7">
            <w:pPr>
              <w:spacing w:after="0" w:line="240" w:lineRule="auto"/>
              <w:jc w:val="right"/>
              <w:rPr>
                <w:rFonts w:ascii="Calibri" w:eastAsia="Calibri" w:hAnsi="Calibri" w:cs="Arial"/>
                <w:sz w:val="20"/>
                <w:szCs w:val="20"/>
                <w:lang w:val="en-GB"/>
              </w:rPr>
            </w:pPr>
            <w:r w:rsidRPr="00F72CE7">
              <w:rPr>
                <w:rFonts w:ascii="Calibri" w:eastAsia="Times New Roman" w:hAnsi="Calibri" w:cs="Times New Roman"/>
                <w:sz w:val="20"/>
                <w:szCs w:val="20"/>
                <w:lang w:val="en-US"/>
              </w:rPr>
              <w:t xml:space="preserve"> 82,797 </w:t>
            </w:r>
          </w:p>
        </w:tc>
      </w:tr>
      <w:tr w:rsidR="00F72CE7" w:rsidRPr="00F72CE7" w14:paraId="5FC15826" w14:textId="77777777" w:rsidTr="00E44437">
        <w:trPr>
          <w:trHeight w:val="164"/>
        </w:trPr>
        <w:tc>
          <w:tcPr>
            <w:tcW w:w="2206" w:type="pct"/>
          </w:tcPr>
          <w:p w14:paraId="159813B2" w14:textId="77777777" w:rsidR="00F72CE7" w:rsidRPr="00F72CE7" w:rsidRDefault="00F72CE7" w:rsidP="00F72CE7">
            <w:pPr>
              <w:tabs>
                <w:tab w:val="right" w:pos="1202"/>
              </w:tabs>
              <w:spacing w:after="0" w:line="240" w:lineRule="auto"/>
              <w:outlineLvl w:val="0"/>
              <w:rPr>
                <w:rFonts w:ascii="Calibri" w:eastAsia="Calibri" w:hAnsi="Calibri" w:cs="Times New Roman"/>
                <w:sz w:val="20"/>
                <w:szCs w:val="20"/>
                <w:lang w:val="en-GB"/>
              </w:rPr>
            </w:pPr>
            <w:r w:rsidRPr="00F72CE7">
              <w:rPr>
                <w:rFonts w:ascii="Calibri" w:eastAsia="Calibri" w:hAnsi="Calibri" w:cs="Times New Roman"/>
                <w:sz w:val="20"/>
                <w:szCs w:val="20"/>
                <w:lang w:val="en-GB"/>
              </w:rPr>
              <w:t>Transfer to Stage 1</w:t>
            </w:r>
          </w:p>
        </w:tc>
        <w:tc>
          <w:tcPr>
            <w:tcW w:w="558" w:type="pct"/>
            <w:tcBorders>
              <w:top w:val="nil"/>
              <w:left w:val="nil"/>
              <w:bottom w:val="nil"/>
              <w:right w:val="nil"/>
            </w:tcBorders>
            <w:shd w:val="clear" w:color="auto" w:fill="auto"/>
          </w:tcPr>
          <w:p w14:paraId="06384CB0" w14:textId="77777777" w:rsidR="00F72CE7" w:rsidRPr="00F72CE7" w:rsidRDefault="00F72CE7" w:rsidP="00F72CE7">
            <w:pPr>
              <w:spacing w:after="0" w:line="240" w:lineRule="auto"/>
              <w:jc w:val="right"/>
              <w:rPr>
                <w:rFonts w:ascii="Calibri" w:eastAsia="Calibri" w:hAnsi="Calibri" w:cs="Arial"/>
                <w:sz w:val="20"/>
                <w:szCs w:val="20"/>
                <w:lang w:val="en-GB"/>
              </w:rPr>
            </w:pPr>
            <w:r w:rsidRPr="00F72CE7">
              <w:rPr>
                <w:rFonts w:ascii="Calibri" w:eastAsia="Times New Roman" w:hAnsi="Calibri" w:cs="Times New Roman"/>
                <w:sz w:val="20"/>
                <w:szCs w:val="20"/>
                <w:lang w:val="en-US"/>
              </w:rPr>
              <w:t xml:space="preserve"> 1,730 </w:t>
            </w:r>
          </w:p>
        </w:tc>
        <w:tc>
          <w:tcPr>
            <w:tcW w:w="558" w:type="pct"/>
            <w:tcBorders>
              <w:top w:val="nil"/>
              <w:left w:val="nil"/>
              <w:bottom w:val="nil"/>
              <w:right w:val="nil"/>
            </w:tcBorders>
            <w:shd w:val="clear" w:color="auto" w:fill="auto"/>
          </w:tcPr>
          <w:p w14:paraId="38E2B82E" w14:textId="77777777" w:rsidR="00F72CE7" w:rsidRPr="00F72CE7" w:rsidRDefault="00F72CE7" w:rsidP="00F72CE7">
            <w:pPr>
              <w:spacing w:after="0" w:line="240" w:lineRule="auto"/>
              <w:jc w:val="right"/>
              <w:rPr>
                <w:rFonts w:ascii="Calibri" w:eastAsia="Calibri" w:hAnsi="Calibri" w:cs="Arial"/>
                <w:sz w:val="20"/>
                <w:szCs w:val="20"/>
                <w:lang w:val="en-GB"/>
              </w:rPr>
            </w:pPr>
            <w:r w:rsidRPr="00F72CE7">
              <w:rPr>
                <w:rFonts w:ascii="Calibri" w:eastAsia="Times New Roman" w:hAnsi="Calibri" w:cs="Times New Roman"/>
                <w:sz w:val="20"/>
                <w:szCs w:val="20"/>
                <w:lang w:val="en-US"/>
              </w:rPr>
              <w:t xml:space="preserve"> (17)</w:t>
            </w:r>
          </w:p>
        </w:tc>
        <w:tc>
          <w:tcPr>
            <w:tcW w:w="559" w:type="pct"/>
            <w:tcBorders>
              <w:top w:val="nil"/>
              <w:left w:val="nil"/>
              <w:bottom w:val="nil"/>
              <w:right w:val="nil"/>
            </w:tcBorders>
            <w:shd w:val="clear" w:color="auto" w:fill="auto"/>
          </w:tcPr>
          <w:p w14:paraId="6CC0980C" w14:textId="77777777" w:rsidR="00F72CE7" w:rsidRPr="00F72CE7" w:rsidRDefault="00F72CE7" w:rsidP="00F72CE7">
            <w:pPr>
              <w:spacing w:after="0" w:line="240" w:lineRule="auto"/>
              <w:jc w:val="right"/>
              <w:rPr>
                <w:rFonts w:ascii="Calibri" w:eastAsia="Calibri" w:hAnsi="Calibri" w:cs="Arial"/>
                <w:sz w:val="20"/>
                <w:szCs w:val="20"/>
                <w:lang w:val="en-GB"/>
              </w:rPr>
            </w:pPr>
            <w:r w:rsidRPr="00F72CE7">
              <w:rPr>
                <w:rFonts w:ascii="Calibri" w:eastAsia="Times New Roman" w:hAnsi="Calibri" w:cs="Times New Roman"/>
                <w:sz w:val="20"/>
                <w:szCs w:val="20"/>
                <w:lang w:val="en-US"/>
              </w:rPr>
              <w:t xml:space="preserve"> (1,713)</w:t>
            </w:r>
          </w:p>
        </w:tc>
        <w:tc>
          <w:tcPr>
            <w:tcW w:w="558" w:type="pct"/>
            <w:tcBorders>
              <w:top w:val="nil"/>
              <w:left w:val="nil"/>
              <w:bottom w:val="nil"/>
              <w:right w:val="nil"/>
            </w:tcBorders>
            <w:shd w:val="clear" w:color="auto" w:fill="auto"/>
          </w:tcPr>
          <w:p w14:paraId="3395EE4F" w14:textId="77777777" w:rsidR="00F72CE7" w:rsidRPr="00F72CE7" w:rsidRDefault="00F72CE7" w:rsidP="00F72CE7">
            <w:pPr>
              <w:spacing w:after="0" w:line="240" w:lineRule="auto"/>
              <w:jc w:val="right"/>
              <w:rPr>
                <w:rFonts w:ascii="Calibri" w:eastAsia="Calibri" w:hAnsi="Calibri" w:cs="Arial"/>
                <w:sz w:val="20"/>
                <w:szCs w:val="20"/>
                <w:lang w:val="en-GB"/>
              </w:rPr>
            </w:pPr>
            <w:r w:rsidRPr="00F72CE7">
              <w:rPr>
                <w:rFonts w:ascii="Calibri" w:eastAsia="Times New Roman" w:hAnsi="Calibri" w:cs="Times New Roman"/>
                <w:sz w:val="20"/>
                <w:szCs w:val="20"/>
                <w:lang w:val="en-US"/>
              </w:rPr>
              <w:t xml:space="preserve">  -     </w:t>
            </w:r>
          </w:p>
        </w:tc>
        <w:tc>
          <w:tcPr>
            <w:tcW w:w="561" w:type="pct"/>
            <w:tcBorders>
              <w:top w:val="nil"/>
              <w:left w:val="nil"/>
              <w:bottom w:val="nil"/>
              <w:right w:val="nil"/>
            </w:tcBorders>
            <w:shd w:val="clear" w:color="auto" w:fill="auto"/>
          </w:tcPr>
          <w:p w14:paraId="19E4208C" w14:textId="77777777" w:rsidR="00F72CE7" w:rsidRPr="00F72CE7" w:rsidRDefault="00F72CE7" w:rsidP="00F72CE7">
            <w:pPr>
              <w:spacing w:after="0" w:line="240" w:lineRule="auto"/>
              <w:jc w:val="right"/>
              <w:rPr>
                <w:rFonts w:ascii="Calibri" w:eastAsia="Calibri" w:hAnsi="Calibri" w:cs="Arial"/>
                <w:sz w:val="20"/>
                <w:szCs w:val="20"/>
                <w:lang w:val="en-GB"/>
              </w:rPr>
            </w:pPr>
            <w:r w:rsidRPr="00F72CE7">
              <w:rPr>
                <w:rFonts w:ascii="Calibri" w:eastAsia="Times New Roman" w:hAnsi="Calibri" w:cs="Times New Roman"/>
                <w:sz w:val="20"/>
                <w:szCs w:val="20"/>
                <w:lang w:val="en-US"/>
              </w:rPr>
              <w:t xml:space="preserve"> - </w:t>
            </w:r>
          </w:p>
        </w:tc>
      </w:tr>
      <w:tr w:rsidR="00F72CE7" w:rsidRPr="00F72CE7" w14:paraId="397019AF" w14:textId="77777777" w:rsidTr="00E44437">
        <w:trPr>
          <w:trHeight w:val="164"/>
        </w:trPr>
        <w:tc>
          <w:tcPr>
            <w:tcW w:w="2206" w:type="pct"/>
          </w:tcPr>
          <w:p w14:paraId="175F99FA" w14:textId="77777777" w:rsidR="00F72CE7" w:rsidRPr="00F72CE7" w:rsidRDefault="00F72CE7" w:rsidP="00F72CE7">
            <w:pPr>
              <w:tabs>
                <w:tab w:val="right" w:pos="1202"/>
              </w:tabs>
              <w:spacing w:after="0" w:line="240" w:lineRule="auto"/>
              <w:outlineLvl w:val="0"/>
              <w:rPr>
                <w:rFonts w:ascii="Calibri" w:eastAsia="Calibri" w:hAnsi="Calibri" w:cs="Times New Roman"/>
                <w:sz w:val="20"/>
                <w:szCs w:val="20"/>
                <w:lang w:val="en-GB"/>
              </w:rPr>
            </w:pPr>
            <w:r w:rsidRPr="00F72CE7">
              <w:rPr>
                <w:rFonts w:ascii="Calibri" w:eastAsia="Calibri" w:hAnsi="Calibri" w:cs="Times New Roman"/>
                <w:sz w:val="20"/>
                <w:szCs w:val="20"/>
                <w:lang w:val="en-GB"/>
              </w:rPr>
              <w:t>Transfer to Stage 2</w:t>
            </w:r>
          </w:p>
        </w:tc>
        <w:tc>
          <w:tcPr>
            <w:tcW w:w="558" w:type="pct"/>
            <w:tcBorders>
              <w:top w:val="nil"/>
              <w:left w:val="nil"/>
              <w:bottom w:val="nil"/>
              <w:right w:val="nil"/>
            </w:tcBorders>
            <w:shd w:val="clear" w:color="auto" w:fill="auto"/>
          </w:tcPr>
          <w:p w14:paraId="49A2BC13" w14:textId="77777777" w:rsidR="00F72CE7" w:rsidRPr="00F72CE7" w:rsidRDefault="00F72CE7" w:rsidP="00F72CE7">
            <w:pPr>
              <w:spacing w:after="0" w:line="240" w:lineRule="auto"/>
              <w:jc w:val="right"/>
              <w:rPr>
                <w:rFonts w:ascii="Calibri" w:eastAsia="Calibri" w:hAnsi="Calibri" w:cs="Arial"/>
                <w:sz w:val="20"/>
                <w:szCs w:val="20"/>
                <w:lang w:val="en-GB"/>
              </w:rPr>
            </w:pPr>
            <w:r w:rsidRPr="00F72CE7">
              <w:rPr>
                <w:rFonts w:ascii="Calibri" w:eastAsia="Times New Roman" w:hAnsi="Calibri" w:cs="Times New Roman"/>
                <w:sz w:val="20"/>
                <w:szCs w:val="20"/>
                <w:lang w:val="en-US"/>
              </w:rPr>
              <w:t xml:space="preserve"> (64)</w:t>
            </w:r>
          </w:p>
        </w:tc>
        <w:tc>
          <w:tcPr>
            <w:tcW w:w="558" w:type="pct"/>
            <w:tcBorders>
              <w:top w:val="nil"/>
              <w:left w:val="nil"/>
              <w:bottom w:val="nil"/>
              <w:right w:val="nil"/>
            </w:tcBorders>
            <w:shd w:val="clear" w:color="auto" w:fill="auto"/>
          </w:tcPr>
          <w:p w14:paraId="0315FDD9" w14:textId="77777777" w:rsidR="00F72CE7" w:rsidRPr="00F72CE7" w:rsidRDefault="00F72CE7" w:rsidP="00F72CE7">
            <w:pPr>
              <w:spacing w:after="0" w:line="240" w:lineRule="auto"/>
              <w:jc w:val="right"/>
              <w:rPr>
                <w:rFonts w:ascii="Calibri" w:eastAsia="Calibri" w:hAnsi="Calibri" w:cs="Arial"/>
                <w:sz w:val="20"/>
                <w:szCs w:val="20"/>
                <w:lang w:val="en-GB"/>
              </w:rPr>
            </w:pPr>
            <w:r w:rsidRPr="00F72CE7">
              <w:rPr>
                <w:rFonts w:ascii="Calibri" w:eastAsia="Times New Roman" w:hAnsi="Calibri" w:cs="Times New Roman"/>
                <w:sz w:val="20"/>
                <w:szCs w:val="20"/>
                <w:lang w:val="en-US"/>
              </w:rPr>
              <w:t xml:space="preserve"> 64 </w:t>
            </w:r>
          </w:p>
        </w:tc>
        <w:tc>
          <w:tcPr>
            <w:tcW w:w="559" w:type="pct"/>
            <w:tcBorders>
              <w:top w:val="nil"/>
              <w:left w:val="nil"/>
              <w:bottom w:val="nil"/>
              <w:right w:val="nil"/>
            </w:tcBorders>
            <w:shd w:val="clear" w:color="auto" w:fill="auto"/>
          </w:tcPr>
          <w:p w14:paraId="7DB8123E" w14:textId="77777777" w:rsidR="00F72CE7" w:rsidRPr="00F72CE7" w:rsidRDefault="00F72CE7" w:rsidP="00F72CE7">
            <w:pPr>
              <w:spacing w:after="0" w:line="240" w:lineRule="auto"/>
              <w:jc w:val="right"/>
              <w:rPr>
                <w:rFonts w:ascii="Calibri" w:eastAsia="Calibri" w:hAnsi="Calibri" w:cs="Arial"/>
                <w:sz w:val="20"/>
                <w:szCs w:val="20"/>
                <w:lang w:val="en-GB"/>
              </w:rPr>
            </w:pPr>
            <w:r w:rsidRPr="00F72CE7">
              <w:rPr>
                <w:rFonts w:ascii="Calibri" w:eastAsia="Times New Roman" w:hAnsi="Calibri" w:cs="Times New Roman"/>
                <w:sz w:val="20"/>
                <w:szCs w:val="20"/>
                <w:lang w:val="en-US"/>
              </w:rPr>
              <w:t xml:space="preserve"> - </w:t>
            </w:r>
          </w:p>
        </w:tc>
        <w:tc>
          <w:tcPr>
            <w:tcW w:w="558" w:type="pct"/>
            <w:tcBorders>
              <w:top w:val="nil"/>
              <w:left w:val="nil"/>
              <w:bottom w:val="nil"/>
              <w:right w:val="nil"/>
            </w:tcBorders>
            <w:shd w:val="clear" w:color="auto" w:fill="auto"/>
          </w:tcPr>
          <w:p w14:paraId="19A0DF5F" w14:textId="77777777" w:rsidR="00F72CE7" w:rsidRPr="00F72CE7" w:rsidRDefault="00F72CE7" w:rsidP="00F72CE7">
            <w:pPr>
              <w:spacing w:after="0" w:line="240" w:lineRule="auto"/>
              <w:jc w:val="right"/>
              <w:rPr>
                <w:rFonts w:ascii="Calibri" w:eastAsia="Calibri" w:hAnsi="Calibri" w:cs="Arial"/>
                <w:sz w:val="20"/>
                <w:szCs w:val="20"/>
                <w:lang w:val="en-GB"/>
              </w:rPr>
            </w:pPr>
            <w:r w:rsidRPr="00F72CE7">
              <w:rPr>
                <w:rFonts w:ascii="Calibri" w:eastAsia="Times New Roman" w:hAnsi="Calibri" w:cs="Times New Roman"/>
                <w:sz w:val="20"/>
                <w:szCs w:val="20"/>
                <w:lang w:val="en-US"/>
              </w:rPr>
              <w:t xml:space="preserve"> - </w:t>
            </w:r>
          </w:p>
        </w:tc>
        <w:tc>
          <w:tcPr>
            <w:tcW w:w="561" w:type="pct"/>
            <w:tcBorders>
              <w:top w:val="nil"/>
              <w:left w:val="nil"/>
              <w:bottom w:val="nil"/>
              <w:right w:val="nil"/>
            </w:tcBorders>
            <w:shd w:val="clear" w:color="auto" w:fill="auto"/>
          </w:tcPr>
          <w:p w14:paraId="4BA5F9E1" w14:textId="77777777" w:rsidR="00F72CE7" w:rsidRPr="00F72CE7" w:rsidRDefault="00F72CE7" w:rsidP="00F72CE7">
            <w:pPr>
              <w:spacing w:after="0" w:line="240" w:lineRule="auto"/>
              <w:jc w:val="right"/>
              <w:rPr>
                <w:rFonts w:ascii="Calibri" w:eastAsia="Calibri" w:hAnsi="Calibri" w:cs="Arial"/>
                <w:sz w:val="20"/>
                <w:szCs w:val="20"/>
                <w:lang w:val="en-GB"/>
              </w:rPr>
            </w:pPr>
            <w:r w:rsidRPr="00F72CE7">
              <w:rPr>
                <w:rFonts w:ascii="Calibri" w:eastAsia="Times New Roman" w:hAnsi="Calibri" w:cs="Times New Roman"/>
                <w:sz w:val="20"/>
                <w:szCs w:val="20"/>
                <w:lang w:val="en-US"/>
              </w:rPr>
              <w:t xml:space="preserve"> - </w:t>
            </w:r>
          </w:p>
        </w:tc>
      </w:tr>
      <w:tr w:rsidR="00F72CE7" w:rsidRPr="00F72CE7" w14:paraId="64C5A2F0" w14:textId="77777777" w:rsidTr="00E44437">
        <w:trPr>
          <w:trHeight w:val="164"/>
        </w:trPr>
        <w:tc>
          <w:tcPr>
            <w:tcW w:w="2206" w:type="pct"/>
          </w:tcPr>
          <w:p w14:paraId="1C962C76" w14:textId="77777777" w:rsidR="00F72CE7" w:rsidRPr="00F72CE7" w:rsidRDefault="00F72CE7" w:rsidP="00F72CE7">
            <w:pPr>
              <w:tabs>
                <w:tab w:val="right" w:pos="1202"/>
              </w:tabs>
              <w:spacing w:after="0" w:line="240" w:lineRule="auto"/>
              <w:outlineLvl w:val="0"/>
              <w:rPr>
                <w:rFonts w:ascii="Calibri" w:eastAsia="Calibri" w:hAnsi="Calibri" w:cs="Times New Roman"/>
                <w:sz w:val="20"/>
                <w:szCs w:val="20"/>
                <w:lang w:val="en-GB"/>
              </w:rPr>
            </w:pPr>
            <w:r w:rsidRPr="00F72CE7">
              <w:rPr>
                <w:rFonts w:ascii="Calibri" w:eastAsia="Calibri" w:hAnsi="Calibri" w:cs="Times New Roman"/>
                <w:sz w:val="20"/>
                <w:szCs w:val="20"/>
                <w:lang w:val="en-GB"/>
              </w:rPr>
              <w:t>Transfer to Stage 3</w:t>
            </w:r>
          </w:p>
        </w:tc>
        <w:tc>
          <w:tcPr>
            <w:tcW w:w="558" w:type="pct"/>
            <w:tcBorders>
              <w:top w:val="nil"/>
              <w:left w:val="nil"/>
              <w:bottom w:val="nil"/>
              <w:right w:val="nil"/>
            </w:tcBorders>
            <w:shd w:val="clear" w:color="auto" w:fill="auto"/>
          </w:tcPr>
          <w:p w14:paraId="48347532" w14:textId="77777777" w:rsidR="00F72CE7" w:rsidRPr="00F72CE7" w:rsidRDefault="00F72CE7" w:rsidP="00F72CE7">
            <w:pPr>
              <w:spacing w:after="0" w:line="240" w:lineRule="auto"/>
              <w:jc w:val="right"/>
              <w:rPr>
                <w:rFonts w:ascii="Calibri" w:eastAsia="Calibri" w:hAnsi="Calibri" w:cs="Arial"/>
                <w:sz w:val="20"/>
                <w:szCs w:val="20"/>
                <w:lang w:val="en-GB"/>
              </w:rPr>
            </w:pPr>
            <w:r w:rsidRPr="00F72CE7">
              <w:rPr>
                <w:rFonts w:ascii="Calibri" w:eastAsia="Times New Roman" w:hAnsi="Calibri" w:cs="Times New Roman"/>
                <w:sz w:val="20"/>
                <w:szCs w:val="20"/>
                <w:lang w:val="en-US"/>
              </w:rPr>
              <w:t xml:space="preserve"> - </w:t>
            </w:r>
          </w:p>
        </w:tc>
        <w:tc>
          <w:tcPr>
            <w:tcW w:w="558" w:type="pct"/>
            <w:tcBorders>
              <w:top w:val="nil"/>
              <w:left w:val="nil"/>
              <w:bottom w:val="nil"/>
              <w:right w:val="nil"/>
            </w:tcBorders>
            <w:shd w:val="clear" w:color="auto" w:fill="auto"/>
          </w:tcPr>
          <w:p w14:paraId="1F80E033" w14:textId="77777777" w:rsidR="00F72CE7" w:rsidRPr="00F72CE7" w:rsidRDefault="00F72CE7" w:rsidP="00F72CE7">
            <w:pPr>
              <w:spacing w:after="0" w:line="240" w:lineRule="auto"/>
              <w:jc w:val="right"/>
              <w:rPr>
                <w:rFonts w:ascii="Calibri" w:eastAsia="Calibri" w:hAnsi="Calibri" w:cs="Arial"/>
                <w:sz w:val="20"/>
                <w:szCs w:val="20"/>
                <w:lang w:val="en-GB"/>
              </w:rPr>
            </w:pPr>
            <w:r w:rsidRPr="00F72CE7">
              <w:rPr>
                <w:rFonts w:ascii="Calibri" w:eastAsia="Times New Roman" w:hAnsi="Calibri" w:cs="Times New Roman"/>
                <w:sz w:val="20"/>
                <w:szCs w:val="20"/>
                <w:lang w:val="en-US"/>
              </w:rPr>
              <w:t xml:space="preserve"> - </w:t>
            </w:r>
          </w:p>
        </w:tc>
        <w:tc>
          <w:tcPr>
            <w:tcW w:w="559" w:type="pct"/>
            <w:tcBorders>
              <w:top w:val="nil"/>
              <w:left w:val="nil"/>
              <w:bottom w:val="nil"/>
              <w:right w:val="nil"/>
            </w:tcBorders>
            <w:shd w:val="clear" w:color="auto" w:fill="auto"/>
          </w:tcPr>
          <w:p w14:paraId="2E25C09F" w14:textId="77777777" w:rsidR="00F72CE7" w:rsidRPr="00F72CE7" w:rsidRDefault="00F72CE7" w:rsidP="00F72CE7">
            <w:pPr>
              <w:spacing w:after="0" w:line="240" w:lineRule="auto"/>
              <w:jc w:val="right"/>
              <w:rPr>
                <w:rFonts w:ascii="Calibri" w:eastAsia="Calibri" w:hAnsi="Calibri" w:cs="Arial"/>
                <w:sz w:val="20"/>
                <w:szCs w:val="20"/>
                <w:lang w:val="en-GB"/>
              </w:rPr>
            </w:pPr>
            <w:r w:rsidRPr="00F72CE7">
              <w:rPr>
                <w:rFonts w:ascii="Calibri" w:eastAsia="Times New Roman" w:hAnsi="Calibri" w:cs="Times New Roman"/>
                <w:sz w:val="20"/>
                <w:szCs w:val="20"/>
                <w:lang w:val="en-US"/>
              </w:rPr>
              <w:t xml:space="preserve"> - </w:t>
            </w:r>
          </w:p>
        </w:tc>
        <w:tc>
          <w:tcPr>
            <w:tcW w:w="558" w:type="pct"/>
            <w:tcBorders>
              <w:top w:val="nil"/>
              <w:left w:val="nil"/>
              <w:bottom w:val="nil"/>
              <w:right w:val="nil"/>
            </w:tcBorders>
            <w:shd w:val="clear" w:color="auto" w:fill="auto"/>
          </w:tcPr>
          <w:p w14:paraId="795B6129" w14:textId="77777777" w:rsidR="00F72CE7" w:rsidRPr="00F72CE7" w:rsidRDefault="00F72CE7" w:rsidP="00F72CE7">
            <w:pPr>
              <w:spacing w:after="0" w:line="240" w:lineRule="auto"/>
              <w:jc w:val="right"/>
              <w:rPr>
                <w:rFonts w:ascii="Calibri" w:eastAsia="Calibri" w:hAnsi="Calibri" w:cs="Arial"/>
                <w:sz w:val="20"/>
                <w:szCs w:val="20"/>
                <w:lang w:val="en-GB"/>
              </w:rPr>
            </w:pPr>
            <w:r w:rsidRPr="00F72CE7">
              <w:rPr>
                <w:rFonts w:ascii="Calibri" w:eastAsia="Times New Roman" w:hAnsi="Calibri" w:cs="Times New Roman"/>
                <w:sz w:val="20"/>
                <w:szCs w:val="20"/>
                <w:lang w:val="en-US"/>
              </w:rPr>
              <w:t xml:space="preserve"> - </w:t>
            </w:r>
          </w:p>
        </w:tc>
        <w:tc>
          <w:tcPr>
            <w:tcW w:w="561" w:type="pct"/>
            <w:tcBorders>
              <w:top w:val="nil"/>
              <w:left w:val="nil"/>
              <w:bottom w:val="nil"/>
              <w:right w:val="nil"/>
            </w:tcBorders>
            <w:shd w:val="clear" w:color="auto" w:fill="auto"/>
          </w:tcPr>
          <w:p w14:paraId="41AB5416" w14:textId="77777777" w:rsidR="00F72CE7" w:rsidRPr="00F72CE7" w:rsidRDefault="00F72CE7" w:rsidP="00F72CE7">
            <w:pPr>
              <w:spacing w:after="0" w:line="240" w:lineRule="auto"/>
              <w:jc w:val="right"/>
              <w:rPr>
                <w:rFonts w:ascii="Calibri" w:eastAsia="Calibri" w:hAnsi="Calibri" w:cs="Arial"/>
                <w:sz w:val="20"/>
                <w:szCs w:val="20"/>
                <w:lang w:val="en-GB"/>
              </w:rPr>
            </w:pPr>
            <w:r w:rsidRPr="00F72CE7">
              <w:rPr>
                <w:rFonts w:ascii="Calibri" w:eastAsia="Times New Roman" w:hAnsi="Calibri" w:cs="Times New Roman"/>
                <w:sz w:val="20"/>
                <w:szCs w:val="20"/>
                <w:lang w:val="en-US"/>
              </w:rPr>
              <w:t xml:space="preserve"> - </w:t>
            </w:r>
          </w:p>
        </w:tc>
      </w:tr>
      <w:tr w:rsidR="00F72CE7" w:rsidRPr="00F72CE7" w14:paraId="2EE02A40" w14:textId="77777777" w:rsidTr="00E44437">
        <w:trPr>
          <w:trHeight w:val="164"/>
        </w:trPr>
        <w:tc>
          <w:tcPr>
            <w:tcW w:w="2206" w:type="pct"/>
            <w:vAlign w:val="bottom"/>
          </w:tcPr>
          <w:p w14:paraId="0D08ADF4" w14:textId="77777777" w:rsidR="00F72CE7" w:rsidRPr="00F72CE7" w:rsidRDefault="00F72CE7" w:rsidP="00F72CE7">
            <w:pPr>
              <w:tabs>
                <w:tab w:val="right" w:pos="1202"/>
              </w:tabs>
              <w:spacing w:after="0" w:line="240" w:lineRule="auto"/>
              <w:outlineLvl w:val="0"/>
              <w:rPr>
                <w:rFonts w:ascii="Calibri" w:eastAsia="Calibri" w:hAnsi="Calibri" w:cs="Times New Roman"/>
                <w:sz w:val="20"/>
                <w:szCs w:val="20"/>
                <w:lang w:val="en-GB"/>
              </w:rPr>
            </w:pPr>
            <w:r w:rsidRPr="00F72CE7">
              <w:rPr>
                <w:rFonts w:ascii="Calibri" w:eastAsia="Calibri" w:hAnsi="Calibri" w:cs="Times New Roman"/>
                <w:sz w:val="20"/>
                <w:szCs w:val="20"/>
                <w:lang w:val="en-GB"/>
              </w:rPr>
              <w:t>Net (release) of loss allowance</w:t>
            </w:r>
          </w:p>
        </w:tc>
        <w:tc>
          <w:tcPr>
            <w:tcW w:w="558" w:type="pct"/>
            <w:tcBorders>
              <w:top w:val="nil"/>
              <w:left w:val="nil"/>
              <w:bottom w:val="nil"/>
              <w:right w:val="nil"/>
            </w:tcBorders>
            <w:shd w:val="clear" w:color="auto" w:fill="auto"/>
            <w:vAlign w:val="bottom"/>
          </w:tcPr>
          <w:p w14:paraId="2106182C" w14:textId="77777777" w:rsidR="00F72CE7" w:rsidRPr="00F72CE7" w:rsidRDefault="00F72CE7" w:rsidP="00F72CE7">
            <w:pPr>
              <w:spacing w:after="0" w:line="240" w:lineRule="auto"/>
              <w:jc w:val="right"/>
              <w:rPr>
                <w:rFonts w:ascii="Calibri" w:eastAsia="Calibri" w:hAnsi="Calibri" w:cs="Calibri"/>
                <w:color w:val="000000"/>
                <w:sz w:val="20"/>
                <w:szCs w:val="20"/>
              </w:rPr>
            </w:pPr>
            <w:r w:rsidRPr="00F72CE7">
              <w:rPr>
                <w:rFonts w:ascii="Calibri" w:eastAsia="Times New Roman" w:hAnsi="Calibri" w:cs="Times New Roman"/>
                <w:sz w:val="20"/>
                <w:szCs w:val="20"/>
                <w:lang w:val="en-US"/>
              </w:rPr>
              <w:t xml:space="preserve"> (8,809)</w:t>
            </w:r>
          </w:p>
        </w:tc>
        <w:tc>
          <w:tcPr>
            <w:tcW w:w="558" w:type="pct"/>
            <w:tcBorders>
              <w:top w:val="nil"/>
              <w:left w:val="nil"/>
              <w:bottom w:val="nil"/>
              <w:right w:val="nil"/>
            </w:tcBorders>
            <w:shd w:val="clear" w:color="auto" w:fill="auto"/>
            <w:vAlign w:val="bottom"/>
          </w:tcPr>
          <w:p w14:paraId="01DA221C" w14:textId="77777777" w:rsidR="00F72CE7" w:rsidRPr="00F72CE7" w:rsidRDefault="00F72CE7" w:rsidP="00F72CE7">
            <w:pPr>
              <w:spacing w:after="0" w:line="240" w:lineRule="auto"/>
              <w:jc w:val="right"/>
              <w:rPr>
                <w:rFonts w:ascii="Calibri" w:eastAsia="Calibri" w:hAnsi="Calibri" w:cs="Calibri"/>
                <w:color w:val="000000"/>
                <w:sz w:val="20"/>
                <w:szCs w:val="20"/>
              </w:rPr>
            </w:pPr>
            <w:r w:rsidRPr="00F72CE7">
              <w:rPr>
                <w:rFonts w:ascii="Calibri" w:eastAsia="Times New Roman" w:hAnsi="Calibri" w:cs="Times New Roman"/>
                <w:sz w:val="20"/>
                <w:szCs w:val="20"/>
                <w:lang w:val="en-US"/>
              </w:rPr>
              <w:t xml:space="preserve"> (12,240)</w:t>
            </w:r>
          </w:p>
        </w:tc>
        <w:tc>
          <w:tcPr>
            <w:tcW w:w="559" w:type="pct"/>
            <w:tcBorders>
              <w:top w:val="nil"/>
              <w:left w:val="nil"/>
              <w:bottom w:val="nil"/>
              <w:right w:val="nil"/>
            </w:tcBorders>
            <w:shd w:val="clear" w:color="auto" w:fill="auto"/>
            <w:vAlign w:val="bottom"/>
          </w:tcPr>
          <w:p w14:paraId="285B42A6" w14:textId="77777777" w:rsidR="00F72CE7" w:rsidRPr="00F72CE7" w:rsidRDefault="00F72CE7" w:rsidP="00F72CE7">
            <w:pPr>
              <w:spacing w:after="0" w:line="240" w:lineRule="auto"/>
              <w:jc w:val="right"/>
              <w:rPr>
                <w:rFonts w:ascii="Calibri" w:eastAsia="Calibri" w:hAnsi="Calibri" w:cs="Calibri"/>
                <w:color w:val="000000"/>
                <w:sz w:val="20"/>
                <w:szCs w:val="20"/>
              </w:rPr>
            </w:pPr>
            <w:r w:rsidRPr="00F72CE7">
              <w:rPr>
                <w:rFonts w:ascii="Calibri" w:eastAsia="Times New Roman" w:hAnsi="Calibri" w:cs="Times New Roman"/>
                <w:sz w:val="20"/>
                <w:szCs w:val="20"/>
                <w:lang w:val="en-US"/>
              </w:rPr>
              <w:t xml:space="preserve"> (2,649)</w:t>
            </w:r>
          </w:p>
        </w:tc>
        <w:tc>
          <w:tcPr>
            <w:tcW w:w="558" w:type="pct"/>
            <w:tcBorders>
              <w:top w:val="nil"/>
              <w:left w:val="nil"/>
              <w:bottom w:val="nil"/>
              <w:right w:val="nil"/>
            </w:tcBorders>
            <w:shd w:val="clear" w:color="auto" w:fill="auto"/>
            <w:vAlign w:val="bottom"/>
          </w:tcPr>
          <w:p w14:paraId="50188FCE" w14:textId="77777777" w:rsidR="00F72CE7" w:rsidRPr="00F72CE7" w:rsidRDefault="00F72CE7" w:rsidP="00F72CE7">
            <w:pPr>
              <w:spacing w:after="0" w:line="240" w:lineRule="auto"/>
              <w:jc w:val="right"/>
              <w:rPr>
                <w:rFonts w:ascii="Calibri" w:eastAsia="Calibri" w:hAnsi="Calibri" w:cs="Calibri"/>
                <w:color w:val="000000"/>
                <w:sz w:val="20"/>
                <w:szCs w:val="20"/>
              </w:rPr>
            </w:pPr>
            <w:r w:rsidRPr="00F72CE7">
              <w:rPr>
                <w:rFonts w:ascii="Calibri" w:eastAsia="Times New Roman" w:hAnsi="Calibri" w:cs="Times New Roman"/>
                <w:sz w:val="20"/>
                <w:szCs w:val="20"/>
                <w:lang w:val="en-US"/>
              </w:rPr>
              <w:t xml:space="preserve"> - </w:t>
            </w:r>
          </w:p>
        </w:tc>
        <w:tc>
          <w:tcPr>
            <w:tcW w:w="561" w:type="pct"/>
            <w:tcBorders>
              <w:top w:val="nil"/>
              <w:left w:val="nil"/>
              <w:bottom w:val="nil"/>
              <w:right w:val="nil"/>
            </w:tcBorders>
            <w:shd w:val="clear" w:color="auto" w:fill="auto"/>
            <w:vAlign w:val="bottom"/>
          </w:tcPr>
          <w:p w14:paraId="5951B6D7" w14:textId="77777777" w:rsidR="00F72CE7" w:rsidRPr="00F72CE7" w:rsidRDefault="00F72CE7" w:rsidP="00F72CE7">
            <w:pPr>
              <w:spacing w:after="0" w:line="240" w:lineRule="auto"/>
              <w:jc w:val="right"/>
              <w:rPr>
                <w:rFonts w:ascii="Calibri" w:eastAsia="Calibri" w:hAnsi="Calibri" w:cs="Calibri"/>
                <w:color w:val="000000"/>
                <w:sz w:val="20"/>
                <w:szCs w:val="20"/>
              </w:rPr>
            </w:pPr>
            <w:r w:rsidRPr="00F72CE7">
              <w:rPr>
                <w:rFonts w:ascii="Calibri" w:eastAsia="Times New Roman" w:hAnsi="Calibri" w:cs="Times New Roman"/>
                <w:sz w:val="20"/>
                <w:szCs w:val="20"/>
                <w:lang w:val="en-US"/>
              </w:rPr>
              <w:t xml:space="preserve"> (23,698)</w:t>
            </w:r>
          </w:p>
        </w:tc>
      </w:tr>
      <w:tr w:rsidR="00F72CE7" w:rsidRPr="00F72CE7" w14:paraId="5378742D" w14:textId="77777777" w:rsidTr="00E44437">
        <w:trPr>
          <w:trHeight w:val="164"/>
        </w:trPr>
        <w:tc>
          <w:tcPr>
            <w:tcW w:w="2206" w:type="pct"/>
            <w:vAlign w:val="bottom"/>
          </w:tcPr>
          <w:p w14:paraId="68C1B26A" w14:textId="77777777" w:rsidR="00F72CE7" w:rsidRPr="00F72CE7" w:rsidRDefault="00F72CE7" w:rsidP="00F72CE7">
            <w:pPr>
              <w:tabs>
                <w:tab w:val="right" w:pos="1202"/>
              </w:tabs>
              <w:spacing w:after="0" w:line="240" w:lineRule="auto"/>
              <w:outlineLvl w:val="0"/>
              <w:rPr>
                <w:rFonts w:ascii="Calibri" w:eastAsia="Calibri" w:hAnsi="Calibri" w:cs="Times New Roman"/>
                <w:sz w:val="20"/>
                <w:szCs w:val="20"/>
                <w:lang w:val="en-GB"/>
              </w:rPr>
            </w:pPr>
            <w:r w:rsidRPr="00F72CE7">
              <w:rPr>
                <w:rFonts w:ascii="Calibri" w:eastAsia="Calibri" w:hAnsi="Calibri" w:cs="Times New Roman"/>
                <w:sz w:val="20"/>
                <w:szCs w:val="20"/>
                <w:lang w:val="en-GB"/>
              </w:rPr>
              <w:t>Unwind – changes due to the lapse of time</w:t>
            </w:r>
          </w:p>
        </w:tc>
        <w:tc>
          <w:tcPr>
            <w:tcW w:w="558" w:type="pct"/>
            <w:tcBorders>
              <w:top w:val="nil"/>
              <w:left w:val="nil"/>
              <w:bottom w:val="nil"/>
              <w:right w:val="nil"/>
            </w:tcBorders>
            <w:shd w:val="clear" w:color="auto" w:fill="auto"/>
            <w:vAlign w:val="bottom"/>
          </w:tcPr>
          <w:p w14:paraId="69E66C30" w14:textId="77777777" w:rsidR="00F72CE7" w:rsidRPr="00F72CE7" w:rsidRDefault="00F72CE7" w:rsidP="00F72CE7">
            <w:pPr>
              <w:spacing w:after="0" w:line="240" w:lineRule="auto"/>
              <w:jc w:val="right"/>
              <w:rPr>
                <w:rFonts w:ascii="Calibri" w:eastAsia="Calibri" w:hAnsi="Calibri" w:cs="Calibri"/>
                <w:color w:val="000000"/>
                <w:sz w:val="20"/>
                <w:szCs w:val="20"/>
              </w:rPr>
            </w:pPr>
            <w:r w:rsidRPr="00F72CE7">
              <w:rPr>
                <w:rFonts w:ascii="Calibri" w:eastAsia="Times New Roman" w:hAnsi="Calibri" w:cs="Times New Roman"/>
                <w:sz w:val="20"/>
                <w:szCs w:val="20"/>
                <w:lang w:val="en-US"/>
              </w:rPr>
              <w:t xml:space="preserve"> (45)</w:t>
            </w:r>
          </w:p>
        </w:tc>
        <w:tc>
          <w:tcPr>
            <w:tcW w:w="558" w:type="pct"/>
            <w:tcBorders>
              <w:top w:val="nil"/>
              <w:left w:val="nil"/>
              <w:bottom w:val="nil"/>
              <w:right w:val="nil"/>
            </w:tcBorders>
            <w:shd w:val="clear" w:color="auto" w:fill="auto"/>
            <w:vAlign w:val="bottom"/>
          </w:tcPr>
          <w:p w14:paraId="47D16BEB" w14:textId="77777777" w:rsidR="00F72CE7" w:rsidRPr="00F72CE7" w:rsidRDefault="00F72CE7" w:rsidP="00F72CE7">
            <w:pPr>
              <w:spacing w:after="0" w:line="240" w:lineRule="auto"/>
              <w:jc w:val="right"/>
              <w:rPr>
                <w:rFonts w:ascii="Calibri" w:eastAsia="Calibri" w:hAnsi="Calibri" w:cs="Calibri"/>
                <w:color w:val="000000"/>
                <w:sz w:val="20"/>
                <w:szCs w:val="20"/>
              </w:rPr>
            </w:pPr>
            <w:r w:rsidRPr="00F72CE7">
              <w:rPr>
                <w:rFonts w:ascii="Calibri" w:eastAsia="Times New Roman" w:hAnsi="Calibri" w:cs="Times New Roman"/>
                <w:sz w:val="20"/>
                <w:szCs w:val="20"/>
                <w:lang w:val="en-US"/>
              </w:rPr>
              <w:t xml:space="preserve"> - </w:t>
            </w:r>
          </w:p>
        </w:tc>
        <w:tc>
          <w:tcPr>
            <w:tcW w:w="559" w:type="pct"/>
            <w:tcBorders>
              <w:top w:val="nil"/>
              <w:left w:val="nil"/>
              <w:bottom w:val="nil"/>
              <w:right w:val="nil"/>
            </w:tcBorders>
            <w:shd w:val="clear" w:color="auto" w:fill="auto"/>
            <w:vAlign w:val="bottom"/>
          </w:tcPr>
          <w:p w14:paraId="4825E139" w14:textId="77777777" w:rsidR="00F72CE7" w:rsidRPr="00F72CE7" w:rsidRDefault="00F72CE7" w:rsidP="00F72CE7">
            <w:pPr>
              <w:spacing w:after="0" w:line="240" w:lineRule="auto"/>
              <w:jc w:val="right"/>
              <w:rPr>
                <w:rFonts w:ascii="Calibri" w:eastAsia="Calibri" w:hAnsi="Calibri" w:cs="Calibri"/>
                <w:color w:val="000000"/>
                <w:sz w:val="20"/>
                <w:szCs w:val="20"/>
              </w:rPr>
            </w:pPr>
            <w:r w:rsidRPr="00F72CE7">
              <w:rPr>
                <w:rFonts w:ascii="Calibri" w:eastAsia="Times New Roman" w:hAnsi="Calibri" w:cs="Times New Roman"/>
                <w:sz w:val="20"/>
                <w:szCs w:val="20"/>
                <w:lang w:val="en-US"/>
              </w:rPr>
              <w:t xml:space="preserve"> (41)</w:t>
            </w:r>
          </w:p>
        </w:tc>
        <w:tc>
          <w:tcPr>
            <w:tcW w:w="558" w:type="pct"/>
            <w:tcBorders>
              <w:top w:val="nil"/>
              <w:left w:val="nil"/>
              <w:bottom w:val="nil"/>
              <w:right w:val="nil"/>
            </w:tcBorders>
            <w:shd w:val="clear" w:color="auto" w:fill="auto"/>
            <w:vAlign w:val="bottom"/>
          </w:tcPr>
          <w:p w14:paraId="703E3327" w14:textId="77777777" w:rsidR="00F72CE7" w:rsidRPr="00F72CE7" w:rsidRDefault="00F72CE7" w:rsidP="00F72CE7">
            <w:pPr>
              <w:spacing w:after="0" w:line="240" w:lineRule="auto"/>
              <w:jc w:val="right"/>
              <w:rPr>
                <w:rFonts w:ascii="Calibri" w:eastAsia="Calibri" w:hAnsi="Calibri" w:cs="Calibri"/>
                <w:color w:val="000000"/>
                <w:sz w:val="20"/>
                <w:szCs w:val="20"/>
              </w:rPr>
            </w:pPr>
            <w:r w:rsidRPr="00F72CE7">
              <w:rPr>
                <w:rFonts w:ascii="Calibri" w:eastAsia="Times New Roman" w:hAnsi="Calibri" w:cs="Times New Roman"/>
                <w:sz w:val="20"/>
                <w:szCs w:val="20"/>
                <w:lang w:val="en-US"/>
              </w:rPr>
              <w:t xml:space="preserve"> - </w:t>
            </w:r>
          </w:p>
        </w:tc>
        <w:tc>
          <w:tcPr>
            <w:tcW w:w="561" w:type="pct"/>
            <w:tcBorders>
              <w:top w:val="nil"/>
              <w:left w:val="nil"/>
              <w:bottom w:val="nil"/>
              <w:right w:val="nil"/>
            </w:tcBorders>
            <w:shd w:val="clear" w:color="auto" w:fill="auto"/>
            <w:vAlign w:val="bottom"/>
          </w:tcPr>
          <w:p w14:paraId="1D3D4B24" w14:textId="77777777" w:rsidR="00F72CE7" w:rsidRPr="00F72CE7" w:rsidRDefault="00F72CE7" w:rsidP="00F72CE7">
            <w:pPr>
              <w:spacing w:after="0" w:line="240" w:lineRule="auto"/>
              <w:jc w:val="right"/>
              <w:rPr>
                <w:rFonts w:ascii="Calibri" w:eastAsia="Calibri" w:hAnsi="Calibri" w:cs="Calibri"/>
                <w:color w:val="000000"/>
                <w:sz w:val="20"/>
                <w:szCs w:val="20"/>
              </w:rPr>
            </w:pPr>
            <w:r w:rsidRPr="00F72CE7">
              <w:rPr>
                <w:rFonts w:ascii="Calibri" w:eastAsia="Times New Roman" w:hAnsi="Calibri" w:cs="Times New Roman"/>
                <w:sz w:val="20"/>
                <w:szCs w:val="20"/>
                <w:lang w:val="en-US"/>
              </w:rPr>
              <w:t xml:space="preserve"> (86)</w:t>
            </w:r>
          </w:p>
        </w:tc>
      </w:tr>
      <w:tr w:rsidR="00F72CE7" w:rsidRPr="00F72CE7" w14:paraId="5C3836AE" w14:textId="77777777" w:rsidTr="00E44437">
        <w:trPr>
          <w:trHeight w:val="283"/>
        </w:trPr>
        <w:tc>
          <w:tcPr>
            <w:tcW w:w="2206" w:type="pct"/>
            <w:vAlign w:val="center"/>
          </w:tcPr>
          <w:p w14:paraId="4F0DC2DB" w14:textId="77777777" w:rsidR="00F72CE7" w:rsidRPr="00F72CE7" w:rsidRDefault="00F72CE7" w:rsidP="00F72CE7">
            <w:pPr>
              <w:tabs>
                <w:tab w:val="right" w:pos="1202"/>
              </w:tabs>
              <w:spacing w:after="0" w:line="240" w:lineRule="auto"/>
              <w:outlineLvl w:val="0"/>
              <w:rPr>
                <w:rFonts w:ascii="Calibri" w:eastAsia="Calibri" w:hAnsi="Calibri" w:cs="Times New Roman"/>
                <w:sz w:val="20"/>
                <w:szCs w:val="20"/>
                <w:lang w:val="en-GB"/>
              </w:rPr>
            </w:pPr>
            <w:r w:rsidRPr="00F72CE7">
              <w:rPr>
                <w:rFonts w:ascii="Calibri" w:eastAsia="Calibri" w:hAnsi="Calibri" w:cs="Times New Roman"/>
                <w:sz w:val="20"/>
                <w:szCs w:val="20"/>
                <w:lang w:val="en-GB"/>
              </w:rPr>
              <w:t>Loss allowances transferred to loans to other customers</w:t>
            </w:r>
          </w:p>
        </w:tc>
        <w:tc>
          <w:tcPr>
            <w:tcW w:w="558" w:type="pct"/>
            <w:tcBorders>
              <w:top w:val="nil"/>
              <w:left w:val="nil"/>
              <w:bottom w:val="nil"/>
              <w:right w:val="nil"/>
            </w:tcBorders>
            <w:shd w:val="clear" w:color="auto" w:fill="auto"/>
            <w:vAlign w:val="bottom"/>
          </w:tcPr>
          <w:p w14:paraId="5DF92399" w14:textId="77777777" w:rsidR="00F72CE7" w:rsidRPr="00F72CE7" w:rsidRDefault="00F72CE7" w:rsidP="00F72CE7">
            <w:pPr>
              <w:tabs>
                <w:tab w:val="right" w:pos="1202"/>
              </w:tabs>
              <w:spacing w:after="0" w:line="301" w:lineRule="exact"/>
              <w:jc w:val="right"/>
              <w:outlineLvl w:val="0"/>
              <w:rPr>
                <w:rFonts w:ascii="Calibri" w:eastAsia="Calibri" w:hAnsi="Calibri" w:cs="Arial"/>
                <w:spacing w:val="-2"/>
                <w:sz w:val="20"/>
                <w:szCs w:val="20"/>
                <w:lang w:val="en-GB"/>
              </w:rPr>
            </w:pPr>
            <w:r w:rsidRPr="00F72CE7">
              <w:rPr>
                <w:rFonts w:ascii="Calibri" w:eastAsia="Times New Roman" w:hAnsi="Calibri" w:cs="Times New Roman"/>
                <w:sz w:val="20"/>
                <w:szCs w:val="20"/>
                <w:lang w:val="en-US"/>
              </w:rPr>
              <w:t xml:space="preserve"> - </w:t>
            </w:r>
          </w:p>
        </w:tc>
        <w:tc>
          <w:tcPr>
            <w:tcW w:w="558" w:type="pct"/>
            <w:tcBorders>
              <w:top w:val="nil"/>
              <w:left w:val="nil"/>
              <w:bottom w:val="nil"/>
              <w:right w:val="nil"/>
            </w:tcBorders>
            <w:shd w:val="clear" w:color="auto" w:fill="auto"/>
            <w:vAlign w:val="bottom"/>
          </w:tcPr>
          <w:p w14:paraId="39D78ED5" w14:textId="77777777" w:rsidR="00F72CE7" w:rsidRPr="00F72CE7" w:rsidRDefault="00F72CE7" w:rsidP="00F72CE7">
            <w:pPr>
              <w:tabs>
                <w:tab w:val="right" w:pos="1202"/>
              </w:tabs>
              <w:spacing w:after="0" w:line="301" w:lineRule="exact"/>
              <w:jc w:val="right"/>
              <w:outlineLvl w:val="0"/>
              <w:rPr>
                <w:rFonts w:ascii="Calibri" w:eastAsia="Calibri" w:hAnsi="Calibri" w:cs="Arial"/>
                <w:spacing w:val="-2"/>
                <w:sz w:val="20"/>
                <w:szCs w:val="20"/>
                <w:lang w:val="en-GB"/>
              </w:rPr>
            </w:pPr>
            <w:r w:rsidRPr="00F72CE7">
              <w:rPr>
                <w:rFonts w:ascii="Calibri" w:eastAsia="Times New Roman" w:hAnsi="Calibri" w:cs="Times New Roman"/>
                <w:sz w:val="20"/>
                <w:szCs w:val="20"/>
                <w:lang w:val="en-US"/>
              </w:rPr>
              <w:t xml:space="preserve"> (16)</w:t>
            </w:r>
          </w:p>
        </w:tc>
        <w:tc>
          <w:tcPr>
            <w:tcW w:w="559" w:type="pct"/>
            <w:tcBorders>
              <w:top w:val="nil"/>
              <w:left w:val="nil"/>
              <w:bottom w:val="nil"/>
              <w:right w:val="nil"/>
            </w:tcBorders>
            <w:shd w:val="clear" w:color="auto" w:fill="auto"/>
            <w:vAlign w:val="bottom"/>
          </w:tcPr>
          <w:p w14:paraId="1D8F4A96" w14:textId="77777777" w:rsidR="00F72CE7" w:rsidRPr="00F72CE7" w:rsidRDefault="00F72CE7" w:rsidP="00F72CE7">
            <w:pPr>
              <w:tabs>
                <w:tab w:val="right" w:pos="1202"/>
              </w:tabs>
              <w:spacing w:after="0" w:line="301" w:lineRule="exact"/>
              <w:jc w:val="right"/>
              <w:outlineLvl w:val="0"/>
              <w:rPr>
                <w:rFonts w:ascii="Calibri" w:eastAsia="Calibri" w:hAnsi="Calibri" w:cs="Arial"/>
                <w:spacing w:val="-2"/>
                <w:sz w:val="20"/>
                <w:szCs w:val="20"/>
                <w:lang w:val="en-GB"/>
              </w:rPr>
            </w:pPr>
            <w:r w:rsidRPr="00F72CE7">
              <w:rPr>
                <w:rFonts w:ascii="Calibri" w:eastAsia="Times New Roman" w:hAnsi="Calibri" w:cs="Times New Roman"/>
                <w:sz w:val="20"/>
                <w:szCs w:val="20"/>
                <w:lang w:val="en-US"/>
              </w:rPr>
              <w:t xml:space="preserve"> - </w:t>
            </w:r>
          </w:p>
        </w:tc>
        <w:tc>
          <w:tcPr>
            <w:tcW w:w="558" w:type="pct"/>
            <w:tcBorders>
              <w:top w:val="nil"/>
              <w:left w:val="nil"/>
              <w:bottom w:val="nil"/>
              <w:right w:val="nil"/>
            </w:tcBorders>
            <w:shd w:val="clear" w:color="auto" w:fill="auto"/>
            <w:vAlign w:val="bottom"/>
          </w:tcPr>
          <w:p w14:paraId="1D2D21BA" w14:textId="77777777" w:rsidR="00F72CE7" w:rsidRPr="00F72CE7" w:rsidRDefault="00F72CE7" w:rsidP="00F72CE7">
            <w:pPr>
              <w:tabs>
                <w:tab w:val="right" w:pos="1202"/>
              </w:tabs>
              <w:spacing w:after="0" w:line="301" w:lineRule="exact"/>
              <w:jc w:val="right"/>
              <w:outlineLvl w:val="0"/>
              <w:rPr>
                <w:rFonts w:ascii="Calibri" w:eastAsia="Calibri" w:hAnsi="Calibri" w:cs="Arial"/>
                <w:spacing w:val="-2"/>
                <w:sz w:val="20"/>
                <w:szCs w:val="20"/>
                <w:lang w:val="en-GB"/>
              </w:rPr>
            </w:pPr>
            <w:r w:rsidRPr="00F72CE7">
              <w:rPr>
                <w:rFonts w:ascii="Calibri" w:eastAsia="Times New Roman" w:hAnsi="Calibri" w:cs="Times New Roman"/>
                <w:sz w:val="20"/>
                <w:szCs w:val="20"/>
                <w:lang w:val="en-US"/>
              </w:rPr>
              <w:t xml:space="preserve"> - </w:t>
            </w:r>
          </w:p>
        </w:tc>
        <w:tc>
          <w:tcPr>
            <w:tcW w:w="561" w:type="pct"/>
            <w:tcBorders>
              <w:top w:val="nil"/>
              <w:left w:val="nil"/>
              <w:bottom w:val="nil"/>
              <w:right w:val="nil"/>
            </w:tcBorders>
            <w:shd w:val="clear" w:color="auto" w:fill="auto"/>
            <w:vAlign w:val="bottom"/>
          </w:tcPr>
          <w:p w14:paraId="6773B01D" w14:textId="77777777" w:rsidR="00F72CE7" w:rsidRPr="00F72CE7" w:rsidRDefault="00F72CE7" w:rsidP="00F72CE7">
            <w:pPr>
              <w:tabs>
                <w:tab w:val="right" w:pos="1202"/>
              </w:tabs>
              <w:spacing w:after="0" w:line="301" w:lineRule="exact"/>
              <w:jc w:val="right"/>
              <w:outlineLvl w:val="0"/>
              <w:rPr>
                <w:rFonts w:ascii="Calibri" w:eastAsia="Calibri" w:hAnsi="Calibri" w:cs="Arial"/>
                <w:spacing w:val="-2"/>
                <w:sz w:val="20"/>
                <w:szCs w:val="20"/>
                <w:highlight w:val="yellow"/>
                <w:lang w:val="en-GB"/>
              </w:rPr>
            </w:pPr>
            <w:r w:rsidRPr="00F72CE7">
              <w:rPr>
                <w:rFonts w:ascii="Calibri" w:eastAsia="Times New Roman" w:hAnsi="Calibri" w:cs="Times New Roman"/>
                <w:sz w:val="20"/>
                <w:szCs w:val="20"/>
                <w:lang w:val="en-US"/>
              </w:rPr>
              <w:t xml:space="preserve"> (16)</w:t>
            </w:r>
          </w:p>
        </w:tc>
      </w:tr>
      <w:tr w:rsidR="00F72CE7" w:rsidRPr="00F72CE7" w14:paraId="460B0C08" w14:textId="77777777" w:rsidTr="00E44437">
        <w:trPr>
          <w:trHeight w:val="164"/>
        </w:trPr>
        <w:tc>
          <w:tcPr>
            <w:tcW w:w="2206" w:type="pct"/>
            <w:vAlign w:val="bottom"/>
          </w:tcPr>
          <w:p w14:paraId="73968B7F" w14:textId="77777777" w:rsidR="00F72CE7" w:rsidRPr="00F72CE7" w:rsidRDefault="00F72CE7" w:rsidP="00F72CE7">
            <w:pPr>
              <w:tabs>
                <w:tab w:val="right" w:pos="1202"/>
              </w:tabs>
              <w:spacing w:after="0" w:line="240" w:lineRule="auto"/>
              <w:outlineLvl w:val="0"/>
              <w:rPr>
                <w:rFonts w:ascii="Calibri" w:eastAsia="Calibri" w:hAnsi="Calibri" w:cs="Times New Roman"/>
                <w:sz w:val="20"/>
                <w:szCs w:val="20"/>
                <w:lang w:val="en-GB"/>
              </w:rPr>
            </w:pPr>
            <w:r w:rsidRPr="00F72CE7">
              <w:rPr>
                <w:rFonts w:ascii="Calibri" w:eastAsia="Calibri" w:hAnsi="Calibri" w:cs="Times New Roman"/>
                <w:sz w:val="20"/>
                <w:szCs w:val="20"/>
                <w:lang w:val="en-GB"/>
              </w:rPr>
              <w:t>Net foreign exchange gain/loss on</w:t>
            </w:r>
            <w:r w:rsidRPr="00F72CE7">
              <w:rPr>
                <w:rFonts w:ascii="Times New Roman" w:eastAsia="Times New Roman" w:hAnsi="Times New Roman" w:cs="Times New Roman"/>
                <w:sz w:val="20"/>
                <w:szCs w:val="20"/>
                <w:lang w:val="en-GB"/>
              </w:rPr>
              <w:t xml:space="preserve"> </w:t>
            </w:r>
            <w:r w:rsidRPr="00F72CE7">
              <w:rPr>
                <w:rFonts w:ascii="Calibri" w:eastAsia="Calibri" w:hAnsi="Calibri" w:cs="Times New Roman"/>
                <w:sz w:val="20"/>
                <w:szCs w:val="20"/>
                <w:lang w:val="en-GB"/>
              </w:rPr>
              <w:t xml:space="preserve">loss allowances </w:t>
            </w:r>
          </w:p>
        </w:tc>
        <w:tc>
          <w:tcPr>
            <w:tcW w:w="558" w:type="pct"/>
            <w:tcBorders>
              <w:top w:val="nil"/>
              <w:left w:val="nil"/>
              <w:bottom w:val="single" w:sz="8" w:space="0" w:color="auto"/>
              <w:right w:val="nil"/>
            </w:tcBorders>
            <w:shd w:val="clear" w:color="auto" w:fill="auto"/>
            <w:vAlign w:val="bottom"/>
          </w:tcPr>
          <w:p w14:paraId="7172829E" w14:textId="77777777" w:rsidR="00F72CE7" w:rsidRPr="00F72CE7" w:rsidRDefault="00F72CE7" w:rsidP="00F72CE7">
            <w:pPr>
              <w:spacing w:after="0" w:line="240" w:lineRule="auto"/>
              <w:jc w:val="right"/>
              <w:rPr>
                <w:rFonts w:ascii="Calibri" w:eastAsia="Calibri" w:hAnsi="Calibri" w:cs="Calibri"/>
                <w:color w:val="000000"/>
                <w:sz w:val="20"/>
                <w:szCs w:val="20"/>
              </w:rPr>
            </w:pPr>
            <w:r w:rsidRPr="00F72CE7">
              <w:rPr>
                <w:rFonts w:ascii="Calibri" w:eastAsia="Times New Roman" w:hAnsi="Calibri" w:cs="Times New Roman"/>
                <w:sz w:val="20"/>
                <w:szCs w:val="20"/>
                <w:lang w:val="en-US"/>
              </w:rPr>
              <w:t xml:space="preserve"> (53)</w:t>
            </w:r>
          </w:p>
        </w:tc>
        <w:tc>
          <w:tcPr>
            <w:tcW w:w="558" w:type="pct"/>
            <w:tcBorders>
              <w:top w:val="nil"/>
              <w:left w:val="nil"/>
              <w:bottom w:val="single" w:sz="8" w:space="0" w:color="auto"/>
              <w:right w:val="nil"/>
            </w:tcBorders>
            <w:shd w:val="clear" w:color="auto" w:fill="auto"/>
            <w:vAlign w:val="bottom"/>
          </w:tcPr>
          <w:p w14:paraId="5109CE6D" w14:textId="77777777" w:rsidR="00F72CE7" w:rsidRPr="00F72CE7" w:rsidRDefault="00F72CE7" w:rsidP="00F72CE7">
            <w:pPr>
              <w:spacing w:after="0" w:line="240" w:lineRule="auto"/>
              <w:jc w:val="right"/>
              <w:rPr>
                <w:rFonts w:ascii="Calibri" w:eastAsia="Calibri" w:hAnsi="Calibri" w:cs="Calibri"/>
                <w:color w:val="000000"/>
                <w:sz w:val="20"/>
                <w:szCs w:val="20"/>
              </w:rPr>
            </w:pPr>
            <w:r w:rsidRPr="00F72CE7">
              <w:rPr>
                <w:rFonts w:ascii="Calibri" w:eastAsia="Times New Roman" w:hAnsi="Calibri" w:cs="Times New Roman"/>
                <w:sz w:val="20"/>
                <w:szCs w:val="20"/>
                <w:lang w:val="en-US"/>
              </w:rPr>
              <w:t xml:space="preserve"> (42)</w:t>
            </w:r>
          </w:p>
        </w:tc>
        <w:tc>
          <w:tcPr>
            <w:tcW w:w="559" w:type="pct"/>
            <w:tcBorders>
              <w:top w:val="nil"/>
              <w:left w:val="nil"/>
              <w:bottom w:val="single" w:sz="8" w:space="0" w:color="auto"/>
              <w:right w:val="nil"/>
            </w:tcBorders>
            <w:shd w:val="clear" w:color="auto" w:fill="auto"/>
            <w:vAlign w:val="bottom"/>
          </w:tcPr>
          <w:p w14:paraId="0040FC26" w14:textId="77777777" w:rsidR="00F72CE7" w:rsidRPr="00F72CE7" w:rsidRDefault="00F72CE7" w:rsidP="00F72CE7">
            <w:pPr>
              <w:spacing w:after="0" w:line="240" w:lineRule="auto"/>
              <w:jc w:val="right"/>
              <w:rPr>
                <w:rFonts w:ascii="Calibri" w:eastAsia="Calibri" w:hAnsi="Calibri" w:cs="Calibri"/>
                <w:color w:val="000000"/>
                <w:sz w:val="20"/>
                <w:szCs w:val="20"/>
              </w:rPr>
            </w:pPr>
            <w:r w:rsidRPr="00F72CE7">
              <w:rPr>
                <w:rFonts w:ascii="Calibri" w:eastAsia="Times New Roman" w:hAnsi="Calibri" w:cs="Times New Roman"/>
                <w:sz w:val="20"/>
                <w:szCs w:val="20"/>
                <w:lang w:val="en-US"/>
              </w:rPr>
              <w:t xml:space="preserve"> (2)</w:t>
            </w:r>
          </w:p>
        </w:tc>
        <w:tc>
          <w:tcPr>
            <w:tcW w:w="558" w:type="pct"/>
            <w:tcBorders>
              <w:top w:val="nil"/>
              <w:left w:val="nil"/>
              <w:bottom w:val="single" w:sz="8" w:space="0" w:color="auto"/>
              <w:right w:val="nil"/>
            </w:tcBorders>
            <w:shd w:val="clear" w:color="auto" w:fill="auto"/>
            <w:vAlign w:val="bottom"/>
          </w:tcPr>
          <w:p w14:paraId="5815FB65" w14:textId="77777777" w:rsidR="00F72CE7" w:rsidRPr="00F72CE7" w:rsidRDefault="00F72CE7" w:rsidP="00F72CE7">
            <w:pPr>
              <w:spacing w:after="0" w:line="240" w:lineRule="auto"/>
              <w:jc w:val="right"/>
              <w:rPr>
                <w:rFonts w:ascii="Calibri" w:eastAsia="Calibri" w:hAnsi="Calibri" w:cs="Calibri"/>
                <w:color w:val="000000"/>
                <w:sz w:val="20"/>
                <w:szCs w:val="20"/>
              </w:rPr>
            </w:pPr>
            <w:r w:rsidRPr="00F72CE7">
              <w:rPr>
                <w:rFonts w:ascii="Calibri" w:eastAsia="Times New Roman" w:hAnsi="Calibri" w:cs="Times New Roman"/>
                <w:sz w:val="20"/>
                <w:szCs w:val="20"/>
                <w:lang w:val="en-US"/>
              </w:rPr>
              <w:t xml:space="preserve"> - </w:t>
            </w:r>
          </w:p>
        </w:tc>
        <w:tc>
          <w:tcPr>
            <w:tcW w:w="561" w:type="pct"/>
            <w:tcBorders>
              <w:top w:val="nil"/>
              <w:left w:val="nil"/>
              <w:bottom w:val="single" w:sz="8" w:space="0" w:color="auto"/>
              <w:right w:val="nil"/>
            </w:tcBorders>
            <w:shd w:val="clear" w:color="auto" w:fill="auto"/>
            <w:vAlign w:val="bottom"/>
          </w:tcPr>
          <w:p w14:paraId="5E5A375E" w14:textId="77777777" w:rsidR="00F72CE7" w:rsidRPr="00F72CE7" w:rsidRDefault="00F72CE7" w:rsidP="00F72CE7">
            <w:pPr>
              <w:spacing w:after="0" w:line="240" w:lineRule="auto"/>
              <w:jc w:val="right"/>
              <w:rPr>
                <w:rFonts w:ascii="Calibri" w:eastAsia="Calibri" w:hAnsi="Calibri" w:cs="Calibri"/>
                <w:color w:val="000000"/>
                <w:sz w:val="20"/>
                <w:szCs w:val="20"/>
              </w:rPr>
            </w:pPr>
            <w:r w:rsidRPr="00F72CE7">
              <w:rPr>
                <w:rFonts w:ascii="Calibri" w:eastAsia="Times New Roman" w:hAnsi="Calibri" w:cs="Times New Roman"/>
                <w:sz w:val="20"/>
                <w:szCs w:val="20"/>
                <w:lang w:val="en-US"/>
              </w:rPr>
              <w:t xml:space="preserve"> (97)</w:t>
            </w:r>
          </w:p>
        </w:tc>
      </w:tr>
      <w:tr w:rsidR="00F72CE7" w:rsidRPr="00F72CE7" w14:paraId="48DA6A40" w14:textId="77777777" w:rsidTr="00E44437">
        <w:trPr>
          <w:trHeight w:val="33"/>
        </w:trPr>
        <w:tc>
          <w:tcPr>
            <w:tcW w:w="2206" w:type="pct"/>
            <w:vAlign w:val="bottom"/>
          </w:tcPr>
          <w:p w14:paraId="30D9648D" w14:textId="77777777" w:rsidR="00F72CE7" w:rsidRPr="00F72CE7" w:rsidRDefault="00F72CE7" w:rsidP="00F72CE7">
            <w:pPr>
              <w:tabs>
                <w:tab w:val="right" w:pos="1202"/>
              </w:tabs>
              <w:spacing w:after="0" w:line="301" w:lineRule="exact"/>
              <w:outlineLvl w:val="0"/>
              <w:rPr>
                <w:rFonts w:ascii="Calibri" w:eastAsia="Calibri" w:hAnsi="Calibri" w:cs="Arial"/>
                <w:b/>
                <w:bCs/>
                <w:sz w:val="20"/>
                <w:szCs w:val="20"/>
                <w:lang w:val="en-GB"/>
              </w:rPr>
            </w:pPr>
            <w:r w:rsidRPr="00F72CE7">
              <w:rPr>
                <w:rFonts w:ascii="Calibri" w:eastAsia="Calibri" w:hAnsi="Calibri" w:cs="Arial"/>
                <w:b/>
                <w:bCs/>
                <w:sz w:val="20"/>
                <w:szCs w:val="20"/>
                <w:lang w:val="en-GB"/>
              </w:rPr>
              <w:t xml:space="preserve">Balance </w:t>
            </w:r>
            <w:proofErr w:type="gramStart"/>
            <w:r w:rsidRPr="00F72CE7">
              <w:rPr>
                <w:rFonts w:ascii="Calibri" w:eastAsia="Calibri" w:hAnsi="Calibri" w:cs="Arial"/>
                <w:b/>
                <w:bCs/>
                <w:sz w:val="20"/>
                <w:szCs w:val="20"/>
                <w:lang w:val="en-GB"/>
              </w:rPr>
              <w:t>at</w:t>
            </w:r>
            <w:proofErr w:type="gramEnd"/>
            <w:r w:rsidRPr="00F72CE7">
              <w:rPr>
                <w:rFonts w:ascii="Calibri" w:eastAsia="Calibri" w:hAnsi="Calibri" w:cs="Arial"/>
                <w:b/>
                <w:bCs/>
                <w:sz w:val="20"/>
                <w:szCs w:val="20"/>
                <w:lang w:val="en-GB"/>
              </w:rPr>
              <w:t xml:space="preserve"> 31 December 2021</w:t>
            </w:r>
          </w:p>
        </w:tc>
        <w:tc>
          <w:tcPr>
            <w:tcW w:w="558" w:type="pct"/>
            <w:tcBorders>
              <w:top w:val="nil"/>
              <w:left w:val="nil"/>
              <w:bottom w:val="single" w:sz="12" w:space="0" w:color="auto"/>
              <w:right w:val="nil"/>
            </w:tcBorders>
            <w:shd w:val="clear" w:color="auto" w:fill="auto"/>
          </w:tcPr>
          <w:p w14:paraId="1EF3404E" w14:textId="77777777" w:rsidR="00F72CE7" w:rsidRPr="00F72CE7" w:rsidRDefault="00F72CE7" w:rsidP="00F72CE7">
            <w:pPr>
              <w:tabs>
                <w:tab w:val="right" w:pos="1202"/>
              </w:tabs>
              <w:spacing w:after="0" w:line="301" w:lineRule="exact"/>
              <w:jc w:val="right"/>
              <w:outlineLvl w:val="0"/>
              <w:rPr>
                <w:rFonts w:ascii="Calibri" w:eastAsia="Calibri" w:hAnsi="Calibri" w:cs="Arial"/>
                <w:b/>
                <w:bCs/>
                <w:sz w:val="20"/>
                <w:szCs w:val="20"/>
                <w:lang w:val="en-GB"/>
              </w:rPr>
            </w:pPr>
            <w:r w:rsidRPr="00F72CE7">
              <w:rPr>
                <w:rFonts w:ascii="Calibri" w:eastAsia="Times New Roman" w:hAnsi="Calibri" w:cs="Times New Roman"/>
                <w:b/>
                <w:bCs/>
                <w:sz w:val="20"/>
                <w:szCs w:val="20"/>
                <w:lang w:val="en-US"/>
              </w:rPr>
              <w:t xml:space="preserve"> 29,554 </w:t>
            </w:r>
          </w:p>
        </w:tc>
        <w:tc>
          <w:tcPr>
            <w:tcW w:w="558" w:type="pct"/>
            <w:tcBorders>
              <w:top w:val="nil"/>
              <w:left w:val="nil"/>
              <w:bottom w:val="single" w:sz="12" w:space="0" w:color="auto"/>
              <w:right w:val="nil"/>
            </w:tcBorders>
            <w:shd w:val="clear" w:color="auto" w:fill="auto"/>
          </w:tcPr>
          <w:p w14:paraId="74F6A3F5" w14:textId="77777777" w:rsidR="00F72CE7" w:rsidRPr="00F72CE7" w:rsidRDefault="00F72CE7" w:rsidP="00F72CE7">
            <w:pPr>
              <w:tabs>
                <w:tab w:val="right" w:pos="1202"/>
              </w:tabs>
              <w:spacing w:after="0" w:line="301" w:lineRule="exact"/>
              <w:jc w:val="right"/>
              <w:outlineLvl w:val="0"/>
              <w:rPr>
                <w:rFonts w:ascii="Calibri" w:eastAsia="Calibri" w:hAnsi="Calibri" w:cs="Arial"/>
                <w:b/>
                <w:bCs/>
                <w:sz w:val="20"/>
                <w:szCs w:val="20"/>
                <w:lang w:val="en-GB"/>
              </w:rPr>
            </w:pPr>
            <w:r w:rsidRPr="00F72CE7">
              <w:rPr>
                <w:rFonts w:ascii="Calibri" w:eastAsia="Times New Roman" w:hAnsi="Calibri" w:cs="Times New Roman"/>
                <w:b/>
                <w:bCs/>
                <w:sz w:val="20"/>
                <w:szCs w:val="20"/>
                <w:lang w:val="en-US"/>
              </w:rPr>
              <w:t xml:space="preserve"> 23,184 </w:t>
            </w:r>
          </w:p>
        </w:tc>
        <w:tc>
          <w:tcPr>
            <w:tcW w:w="559" w:type="pct"/>
            <w:tcBorders>
              <w:top w:val="nil"/>
              <w:left w:val="nil"/>
              <w:bottom w:val="single" w:sz="12" w:space="0" w:color="auto"/>
              <w:right w:val="nil"/>
            </w:tcBorders>
            <w:shd w:val="clear" w:color="auto" w:fill="auto"/>
          </w:tcPr>
          <w:p w14:paraId="34FCF3FA" w14:textId="77777777" w:rsidR="00F72CE7" w:rsidRPr="00F72CE7" w:rsidRDefault="00F72CE7" w:rsidP="00F72CE7">
            <w:pPr>
              <w:tabs>
                <w:tab w:val="right" w:pos="1202"/>
              </w:tabs>
              <w:spacing w:after="0" w:line="301" w:lineRule="exact"/>
              <w:jc w:val="right"/>
              <w:outlineLvl w:val="0"/>
              <w:rPr>
                <w:rFonts w:ascii="Calibri" w:eastAsia="Calibri" w:hAnsi="Calibri" w:cs="Arial"/>
                <w:b/>
                <w:bCs/>
                <w:sz w:val="20"/>
                <w:szCs w:val="20"/>
                <w:lang w:val="en-GB"/>
              </w:rPr>
            </w:pPr>
            <w:r w:rsidRPr="00F72CE7">
              <w:rPr>
                <w:rFonts w:ascii="Calibri" w:eastAsia="Times New Roman" w:hAnsi="Calibri" w:cs="Times New Roman"/>
                <w:b/>
                <w:bCs/>
                <w:sz w:val="20"/>
                <w:szCs w:val="20"/>
                <w:lang w:val="en-US"/>
              </w:rPr>
              <w:t xml:space="preserve"> 6,162 </w:t>
            </w:r>
          </w:p>
        </w:tc>
        <w:tc>
          <w:tcPr>
            <w:tcW w:w="558" w:type="pct"/>
            <w:tcBorders>
              <w:top w:val="nil"/>
              <w:left w:val="nil"/>
              <w:bottom w:val="single" w:sz="12" w:space="0" w:color="auto"/>
              <w:right w:val="nil"/>
            </w:tcBorders>
            <w:shd w:val="clear" w:color="auto" w:fill="auto"/>
          </w:tcPr>
          <w:p w14:paraId="67288EF7" w14:textId="77777777" w:rsidR="00F72CE7" w:rsidRPr="00F72CE7" w:rsidRDefault="00F72CE7" w:rsidP="00F72CE7">
            <w:pPr>
              <w:tabs>
                <w:tab w:val="right" w:pos="1202"/>
              </w:tabs>
              <w:spacing w:after="0" w:line="301" w:lineRule="exact"/>
              <w:jc w:val="right"/>
              <w:outlineLvl w:val="0"/>
              <w:rPr>
                <w:rFonts w:ascii="Calibri" w:eastAsia="Calibri" w:hAnsi="Calibri" w:cs="Arial"/>
                <w:b/>
                <w:bCs/>
                <w:sz w:val="20"/>
                <w:szCs w:val="20"/>
                <w:lang w:val="en-GB"/>
              </w:rPr>
            </w:pPr>
            <w:r w:rsidRPr="00F72CE7">
              <w:rPr>
                <w:rFonts w:ascii="Calibri" w:eastAsia="Times New Roman" w:hAnsi="Calibri" w:cs="Times New Roman"/>
                <w:b/>
                <w:bCs/>
                <w:sz w:val="20"/>
                <w:szCs w:val="20"/>
                <w:lang w:val="en-US"/>
              </w:rPr>
              <w:t xml:space="preserve"> - </w:t>
            </w:r>
          </w:p>
        </w:tc>
        <w:tc>
          <w:tcPr>
            <w:tcW w:w="561" w:type="pct"/>
            <w:tcBorders>
              <w:top w:val="nil"/>
              <w:left w:val="nil"/>
              <w:bottom w:val="single" w:sz="12" w:space="0" w:color="auto"/>
              <w:right w:val="nil"/>
            </w:tcBorders>
            <w:shd w:val="clear" w:color="auto" w:fill="auto"/>
          </w:tcPr>
          <w:p w14:paraId="1A018F12" w14:textId="77777777" w:rsidR="00F72CE7" w:rsidRPr="00F72CE7" w:rsidRDefault="00F72CE7" w:rsidP="00F72CE7">
            <w:pPr>
              <w:tabs>
                <w:tab w:val="right" w:pos="1202"/>
              </w:tabs>
              <w:spacing w:after="0" w:line="301" w:lineRule="exact"/>
              <w:jc w:val="right"/>
              <w:outlineLvl w:val="0"/>
              <w:rPr>
                <w:rFonts w:ascii="Calibri" w:eastAsia="Calibri" w:hAnsi="Calibri" w:cs="Arial"/>
                <w:b/>
                <w:bCs/>
                <w:sz w:val="20"/>
                <w:szCs w:val="20"/>
                <w:lang w:val="en-GB"/>
              </w:rPr>
            </w:pPr>
            <w:r w:rsidRPr="00F72CE7">
              <w:rPr>
                <w:rFonts w:ascii="Calibri" w:eastAsia="Times New Roman" w:hAnsi="Calibri" w:cs="Times New Roman"/>
                <w:b/>
                <w:bCs/>
                <w:sz w:val="20"/>
                <w:szCs w:val="20"/>
                <w:lang w:val="en-US"/>
              </w:rPr>
              <w:t xml:space="preserve"> 58,900 </w:t>
            </w:r>
          </w:p>
        </w:tc>
      </w:tr>
      <w:bookmarkEnd w:id="815"/>
    </w:tbl>
    <w:p w14:paraId="6F81AE25" w14:textId="77777777" w:rsidR="004A287E" w:rsidRPr="00537128" w:rsidRDefault="004A287E" w:rsidP="00712478">
      <w:pPr>
        <w:spacing w:after="0" w:line="240" w:lineRule="auto"/>
        <w:jc w:val="both"/>
        <w:rPr>
          <w:rFonts w:ascii="Calibri" w:eastAsia="Times New Roman" w:hAnsi="Calibri" w:cs="Arial"/>
          <w:bCs/>
          <w:color w:val="000000" w:themeColor="text1"/>
          <w:lang w:val="en-US"/>
        </w:rPr>
      </w:pPr>
    </w:p>
    <w:p w14:paraId="2932B268" w14:textId="77777777" w:rsidR="00024090" w:rsidRPr="00537128" w:rsidRDefault="00024090" w:rsidP="00712478">
      <w:pPr>
        <w:spacing w:after="0" w:line="240" w:lineRule="auto"/>
        <w:jc w:val="both"/>
        <w:rPr>
          <w:rFonts w:ascii="Calibri" w:eastAsia="Times New Roman" w:hAnsi="Calibri" w:cs="Arial"/>
          <w:bCs/>
          <w:color w:val="000000" w:themeColor="text1"/>
          <w:lang w:val="en-US"/>
        </w:rPr>
      </w:pPr>
    </w:p>
    <w:p w14:paraId="18F2F848"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sectPr w:rsidR="00716C7A" w:rsidRPr="00537128" w:rsidSect="00712478">
          <w:pgSz w:w="11906" w:h="16838"/>
          <w:pgMar w:top="1418" w:right="1134" w:bottom="1418" w:left="1418" w:header="709" w:footer="709" w:gutter="0"/>
          <w:cols w:space="708"/>
          <w:docGrid w:linePitch="360"/>
        </w:sectPr>
      </w:pPr>
    </w:p>
    <w:p w14:paraId="3C2B93FC" w14:textId="77777777" w:rsidR="00024090" w:rsidRPr="00537128" w:rsidRDefault="00024090" w:rsidP="00024090">
      <w:pPr>
        <w:spacing w:after="0" w:line="240" w:lineRule="auto"/>
        <w:jc w:val="both"/>
        <w:rPr>
          <w:rFonts w:ascii="Calibri" w:eastAsia="Calibri" w:hAnsi="Calibri" w:cs="Arial"/>
          <w:b/>
          <w:bCs/>
          <w:color w:val="000000" w:themeColor="text1"/>
          <w:sz w:val="16"/>
          <w:szCs w:val="16"/>
          <w:lang w:val="en-US"/>
        </w:rPr>
      </w:pPr>
    </w:p>
    <w:p w14:paraId="6ED8FC5E" w14:textId="15393359" w:rsidR="00024090" w:rsidRPr="00537128" w:rsidRDefault="00B357CE" w:rsidP="00024090">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024090" w:rsidRPr="00537128">
        <w:rPr>
          <w:rFonts w:ascii="Calibri" w:eastAsia="Calibri" w:hAnsi="Calibri" w:cs="Arial"/>
          <w:b/>
          <w:bCs/>
          <w:color w:val="000000" w:themeColor="text1"/>
          <w:lang w:val="en-US"/>
        </w:rPr>
        <w:t>.</w:t>
      </w:r>
      <w:r w:rsidR="00024090" w:rsidRPr="00537128">
        <w:rPr>
          <w:rFonts w:ascii="Calibri" w:eastAsia="Calibri" w:hAnsi="Calibri" w:cs="Arial"/>
          <w:b/>
          <w:bCs/>
          <w:color w:val="000000" w:themeColor="text1"/>
          <w:lang w:val="en-US"/>
        </w:rPr>
        <w:tab/>
        <w:t>Risk management (continued)</w:t>
      </w:r>
    </w:p>
    <w:p w14:paraId="1556897A" w14:textId="77777777" w:rsidR="00024090" w:rsidRPr="00537128" w:rsidRDefault="00024090" w:rsidP="00024090">
      <w:pPr>
        <w:spacing w:after="0" w:line="240" w:lineRule="auto"/>
        <w:jc w:val="both"/>
        <w:rPr>
          <w:rFonts w:ascii="Calibri" w:eastAsia="Times New Roman" w:hAnsi="Calibri" w:cs="Times New Roman"/>
          <w:b/>
          <w:color w:val="000000" w:themeColor="text1"/>
          <w:sz w:val="16"/>
          <w:szCs w:val="16"/>
          <w:lang w:val="en-US"/>
        </w:rPr>
      </w:pPr>
    </w:p>
    <w:p w14:paraId="33E4D361" w14:textId="4E739707" w:rsidR="00024090" w:rsidRPr="00537128" w:rsidRDefault="00B357CE" w:rsidP="00024090">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024090" w:rsidRPr="00537128">
        <w:rPr>
          <w:rFonts w:ascii="Calibri" w:eastAsia="Times New Roman" w:hAnsi="Calibri" w:cs="Times New Roman"/>
          <w:b/>
          <w:color w:val="000000" w:themeColor="text1"/>
          <w:lang w:val="en-US"/>
        </w:rPr>
        <w:t xml:space="preserve"> </w:t>
      </w:r>
      <w:r w:rsidR="00024090" w:rsidRPr="00537128">
        <w:rPr>
          <w:rFonts w:ascii="Calibri" w:eastAsia="Times New Roman" w:hAnsi="Calibri" w:cs="Times New Roman"/>
          <w:b/>
          <w:color w:val="000000" w:themeColor="text1"/>
          <w:lang w:val="en-US"/>
        </w:rPr>
        <w:tab/>
        <w:t>Credit risk (continued)</w:t>
      </w:r>
    </w:p>
    <w:p w14:paraId="6C8E03B5" w14:textId="77777777" w:rsidR="00024090" w:rsidRPr="00537128" w:rsidRDefault="00024090" w:rsidP="00024090">
      <w:pPr>
        <w:spacing w:after="0" w:line="240" w:lineRule="auto"/>
        <w:jc w:val="both"/>
        <w:rPr>
          <w:rFonts w:ascii="Calibri" w:eastAsia="Calibri" w:hAnsi="Calibri" w:cs="Arial"/>
          <w:b/>
          <w:bCs/>
          <w:i/>
          <w:color w:val="000000" w:themeColor="text1"/>
          <w:sz w:val="16"/>
          <w:szCs w:val="16"/>
          <w:lang w:val="en-US"/>
        </w:rPr>
      </w:pPr>
    </w:p>
    <w:p w14:paraId="1F311DEF" w14:textId="32630E0B" w:rsidR="00024090" w:rsidRPr="00537128" w:rsidRDefault="00024090" w:rsidP="00824E0F">
      <w:pPr>
        <w:numPr>
          <w:ilvl w:val="8"/>
          <w:numId w:val="47"/>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r w:rsidR="00685DB2">
        <w:rPr>
          <w:rFonts w:ascii="Calibri" w:eastAsia="Calibri" w:hAnsi="Calibri" w:cs="Arial"/>
          <w:bCs/>
          <w:i/>
          <w:color w:val="000000" w:themeColor="text1"/>
          <w:lang w:val="en-US"/>
        </w:rPr>
        <w:t xml:space="preserve"> (continued)</w:t>
      </w:r>
    </w:p>
    <w:p w14:paraId="3A5611F2" w14:textId="77777777" w:rsidR="00024090" w:rsidRPr="00537128" w:rsidRDefault="00024090" w:rsidP="00024090">
      <w:pPr>
        <w:spacing w:after="0" w:line="240" w:lineRule="auto"/>
        <w:jc w:val="both"/>
        <w:rPr>
          <w:rFonts w:ascii="Calibri" w:eastAsia="Times New Roman" w:hAnsi="Calibri" w:cs="Arial"/>
          <w:bCs/>
          <w:color w:val="000000" w:themeColor="text1"/>
          <w:sz w:val="16"/>
          <w:szCs w:val="16"/>
          <w:lang w:val="en-US"/>
        </w:rPr>
      </w:pPr>
    </w:p>
    <w:p w14:paraId="12FB4CA1" w14:textId="5C9C66F1" w:rsidR="00024090" w:rsidRPr="00537128" w:rsidRDefault="00024090" w:rsidP="00024090">
      <w:pPr>
        <w:spacing w:after="0" w:line="240" w:lineRule="auto"/>
        <w:jc w:val="both"/>
        <w:rPr>
          <w:rFonts w:ascii="Calibri" w:eastAsia="Times New Roman" w:hAnsi="Calibri" w:cs="Times New Roman"/>
          <w:b/>
          <w:bCs/>
          <w:color w:val="000000" w:themeColor="text1"/>
          <w:lang w:val="en-US"/>
        </w:rPr>
      </w:pPr>
      <w:r w:rsidRPr="00537128">
        <w:rPr>
          <w:rFonts w:ascii="Calibri" w:eastAsia="Times New Roman" w:hAnsi="Calibri" w:cs="Times New Roman"/>
          <w:b/>
          <w:bCs/>
          <w:color w:val="000000" w:themeColor="text1"/>
          <w:lang w:val="en-US"/>
        </w:rPr>
        <w:t>Loans to other customers</w:t>
      </w:r>
    </w:p>
    <w:p w14:paraId="77262502" w14:textId="0D66A86E" w:rsidR="004A287E" w:rsidRPr="00537128" w:rsidRDefault="004A287E" w:rsidP="00024090">
      <w:pPr>
        <w:spacing w:after="0" w:line="240" w:lineRule="auto"/>
        <w:jc w:val="both"/>
        <w:rPr>
          <w:rFonts w:ascii="Calibri" w:eastAsia="Times New Roman" w:hAnsi="Calibri" w:cs="Times New Roman"/>
          <w:b/>
          <w:bCs/>
          <w:color w:val="000000" w:themeColor="text1"/>
          <w:lang w:val="en-US"/>
        </w:rPr>
      </w:pPr>
    </w:p>
    <w:tbl>
      <w:tblPr>
        <w:tblpPr w:leftFromText="180" w:rightFromText="180" w:vertAnchor="text" w:horzAnchor="margin" w:tblpY="25"/>
        <w:tblW w:w="5007" w:type="pct"/>
        <w:tblLayout w:type="fixed"/>
        <w:tblLook w:val="0000" w:firstRow="0" w:lastRow="0" w:firstColumn="0" w:lastColumn="0" w:noHBand="0" w:noVBand="0"/>
      </w:tblPr>
      <w:tblGrid>
        <w:gridCol w:w="4105"/>
        <w:gridCol w:w="1040"/>
        <w:gridCol w:w="1040"/>
        <w:gridCol w:w="1042"/>
        <w:gridCol w:w="984"/>
        <w:gridCol w:w="1156"/>
      </w:tblGrid>
      <w:tr w:rsidR="004A287E" w:rsidRPr="00537128" w14:paraId="0E40DE13" w14:textId="77777777" w:rsidTr="000779A7">
        <w:trPr>
          <w:trHeight w:val="46"/>
        </w:trPr>
        <w:tc>
          <w:tcPr>
            <w:tcW w:w="2192" w:type="pct"/>
          </w:tcPr>
          <w:p w14:paraId="61D8B2A0" w14:textId="77777777" w:rsidR="004A287E" w:rsidRPr="00537128" w:rsidRDefault="004A287E" w:rsidP="004A287E">
            <w:pPr>
              <w:spacing w:after="0" w:line="240" w:lineRule="auto"/>
              <w:rPr>
                <w:rFonts w:ascii="Calibri" w:eastAsia="Calibri" w:hAnsi="Calibri" w:cs="Arial"/>
                <w:b/>
                <w:bCs/>
                <w:sz w:val="19"/>
                <w:szCs w:val="19"/>
                <w:lang w:val="en-US"/>
              </w:rPr>
            </w:pPr>
            <w:bookmarkStart w:id="816" w:name="_Hlk5872450"/>
            <w:r w:rsidRPr="00537128">
              <w:rPr>
                <w:rFonts w:ascii="Calibri" w:eastAsia="Calibri" w:hAnsi="Calibri" w:cs="Arial"/>
                <w:b/>
                <w:bCs/>
                <w:sz w:val="19"/>
                <w:szCs w:val="19"/>
                <w:lang w:val="en-US"/>
              </w:rPr>
              <w:t>Group and Bank</w:t>
            </w:r>
          </w:p>
        </w:tc>
        <w:tc>
          <w:tcPr>
            <w:tcW w:w="2808" w:type="pct"/>
            <w:gridSpan w:val="5"/>
            <w:vAlign w:val="bottom"/>
          </w:tcPr>
          <w:p w14:paraId="514990B2" w14:textId="77777777" w:rsidR="004A287E" w:rsidRPr="00537128" w:rsidRDefault="004A287E" w:rsidP="004A287E">
            <w:pPr>
              <w:spacing w:after="0" w:line="240" w:lineRule="auto"/>
              <w:jc w:val="center"/>
              <w:rPr>
                <w:rFonts w:ascii="Calibri" w:eastAsia="Calibri" w:hAnsi="Calibri" w:cs="Arial"/>
                <w:b/>
                <w:sz w:val="19"/>
                <w:szCs w:val="19"/>
                <w:lang w:val="en-US"/>
              </w:rPr>
            </w:pPr>
          </w:p>
        </w:tc>
      </w:tr>
      <w:tr w:rsidR="004A287E" w:rsidRPr="00537128" w14:paraId="116F1E6D" w14:textId="77777777" w:rsidTr="000779A7">
        <w:trPr>
          <w:trHeight w:val="46"/>
        </w:trPr>
        <w:tc>
          <w:tcPr>
            <w:tcW w:w="2192" w:type="pct"/>
          </w:tcPr>
          <w:p w14:paraId="69943779" w14:textId="6C9ADC73" w:rsidR="004A287E" w:rsidRPr="00537128" w:rsidRDefault="002412CA" w:rsidP="004A287E">
            <w:pPr>
              <w:spacing w:after="0" w:line="240" w:lineRule="auto"/>
              <w:rPr>
                <w:rFonts w:ascii="Calibri" w:eastAsia="Calibri" w:hAnsi="Calibri" w:cs="Arial"/>
                <w:b/>
                <w:bCs/>
                <w:sz w:val="19"/>
                <w:szCs w:val="19"/>
                <w:lang w:val="en-US"/>
              </w:rPr>
            </w:pPr>
            <w:r w:rsidRPr="00537128">
              <w:rPr>
                <w:rFonts w:ascii="Calibri" w:eastAsia="Calibri" w:hAnsi="Calibri" w:cs="Arial"/>
                <w:b/>
                <w:bCs/>
                <w:sz w:val="19"/>
                <w:szCs w:val="19"/>
                <w:lang w:val="en-US"/>
              </w:rPr>
              <w:t>31 March 202</w:t>
            </w:r>
            <w:r w:rsidR="001F718B">
              <w:rPr>
                <w:rFonts w:ascii="Calibri" w:eastAsia="Calibri" w:hAnsi="Calibri" w:cs="Arial"/>
                <w:b/>
                <w:bCs/>
                <w:sz w:val="19"/>
                <w:szCs w:val="19"/>
                <w:lang w:val="en-US"/>
              </w:rPr>
              <w:t>2</w:t>
            </w:r>
          </w:p>
        </w:tc>
        <w:tc>
          <w:tcPr>
            <w:tcW w:w="555" w:type="pct"/>
            <w:vAlign w:val="bottom"/>
          </w:tcPr>
          <w:p w14:paraId="7620FC1D"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1</w:t>
            </w:r>
          </w:p>
        </w:tc>
        <w:tc>
          <w:tcPr>
            <w:tcW w:w="555" w:type="pct"/>
            <w:vAlign w:val="bottom"/>
          </w:tcPr>
          <w:p w14:paraId="6A74D899"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2</w:t>
            </w:r>
          </w:p>
        </w:tc>
        <w:tc>
          <w:tcPr>
            <w:tcW w:w="556" w:type="pct"/>
            <w:vAlign w:val="bottom"/>
          </w:tcPr>
          <w:p w14:paraId="1FA64D5C"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3</w:t>
            </w:r>
          </w:p>
        </w:tc>
        <w:tc>
          <w:tcPr>
            <w:tcW w:w="525" w:type="pct"/>
            <w:vAlign w:val="bottom"/>
          </w:tcPr>
          <w:p w14:paraId="49F28BDA"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POCI</w:t>
            </w:r>
          </w:p>
        </w:tc>
        <w:tc>
          <w:tcPr>
            <w:tcW w:w="616" w:type="pct"/>
            <w:vAlign w:val="bottom"/>
          </w:tcPr>
          <w:p w14:paraId="78EC0455"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Total</w:t>
            </w:r>
          </w:p>
        </w:tc>
      </w:tr>
      <w:tr w:rsidR="004A287E" w:rsidRPr="00537128" w14:paraId="00E0AC54" w14:textId="77777777" w:rsidTr="000779A7">
        <w:trPr>
          <w:trHeight w:val="46"/>
        </w:trPr>
        <w:tc>
          <w:tcPr>
            <w:tcW w:w="2192" w:type="pct"/>
          </w:tcPr>
          <w:p w14:paraId="6EEF04A6"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555" w:type="pct"/>
          </w:tcPr>
          <w:p w14:paraId="62925854"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555" w:type="pct"/>
          </w:tcPr>
          <w:p w14:paraId="23536A74"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556" w:type="pct"/>
          </w:tcPr>
          <w:p w14:paraId="5227B91C"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525" w:type="pct"/>
          </w:tcPr>
          <w:p w14:paraId="58F54043"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16" w:type="pct"/>
          </w:tcPr>
          <w:p w14:paraId="53AF230E"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r>
      <w:tr w:rsidR="004A287E" w:rsidRPr="00537128" w14:paraId="046775B8" w14:textId="77777777" w:rsidTr="000779A7">
        <w:trPr>
          <w:trHeight w:hRule="exact" w:val="111"/>
        </w:trPr>
        <w:tc>
          <w:tcPr>
            <w:tcW w:w="2192" w:type="pct"/>
          </w:tcPr>
          <w:p w14:paraId="463FB6A2"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555" w:type="pct"/>
          </w:tcPr>
          <w:p w14:paraId="154E2D76" w14:textId="77777777" w:rsidR="004A287E" w:rsidRPr="00537128" w:rsidRDefault="004A287E" w:rsidP="004A287E">
            <w:pPr>
              <w:spacing w:after="0" w:line="240" w:lineRule="auto"/>
              <w:jc w:val="right"/>
              <w:rPr>
                <w:rFonts w:ascii="Calibri" w:eastAsia="Calibri" w:hAnsi="Calibri" w:cs="Arial"/>
                <w:b/>
                <w:sz w:val="19"/>
                <w:szCs w:val="19"/>
                <w:lang w:val="en-US"/>
              </w:rPr>
            </w:pPr>
          </w:p>
        </w:tc>
        <w:tc>
          <w:tcPr>
            <w:tcW w:w="555" w:type="pct"/>
          </w:tcPr>
          <w:p w14:paraId="7332C72E" w14:textId="77777777" w:rsidR="004A287E" w:rsidRPr="00537128" w:rsidRDefault="004A287E" w:rsidP="004A287E">
            <w:pPr>
              <w:spacing w:after="0" w:line="240" w:lineRule="auto"/>
              <w:jc w:val="right"/>
              <w:rPr>
                <w:rFonts w:ascii="Calibri" w:eastAsia="Calibri" w:hAnsi="Calibri" w:cs="Arial"/>
                <w:b/>
                <w:sz w:val="19"/>
                <w:szCs w:val="19"/>
                <w:lang w:val="en-US"/>
              </w:rPr>
            </w:pPr>
          </w:p>
        </w:tc>
        <w:tc>
          <w:tcPr>
            <w:tcW w:w="556" w:type="pct"/>
          </w:tcPr>
          <w:p w14:paraId="7E101C34" w14:textId="77777777" w:rsidR="004A287E" w:rsidRPr="00537128" w:rsidRDefault="004A287E" w:rsidP="004A287E">
            <w:pPr>
              <w:spacing w:after="0" w:line="240" w:lineRule="auto"/>
              <w:jc w:val="right"/>
              <w:rPr>
                <w:rFonts w:ascii="Calibri" w:eastAsia="Calibri" w:hAnsi="Calibri" w:cs="Arial"/>
                <w:b/>
                <w:sz w:val="19"/>
                <w:szCs w:val="19"/>
                <w:lang w:val="en-US"/>
              </w:rPr>
            </w:pPr>
          </w:p>
        </w:tc>
        <w:tc>
          <w:tcPr>
            <w:tcW w:w="525" w:type="pct"/>
          </w:tcPr>
          <w:p w14:paraId="4B16F7B1" w14:textId="77777777" w:rsidR="004A287E" w:rsidRPr="00537128" w:rsidRDefault="004A287E" w:rsidP="004A287E">
            <w:pPr>
              <w:spacing w:after="0" w:line="240" w:lineRule="auto"/>
              <w:jc w:val="right"/>
              <w:rPr>
                <w:rFonts w:ascii="Calibri" w:eastAsia="Calibri" w:hAnsi="Calibri" w:cs="Arial"/>
                <w:b/>
                <w:sz w:val="19"/>
                <w:szCs w:val="19"/>
                <w:lang w:val="en-US"/>
              </w:rPr>
            </w:pPr>
          </w:p>
        </w:tc>
        <w:tc>
          <w:tcPr>
            <w:tcW w:w="616" w:type="pct"/>
          </w:tcPr>
          <w:p w14:paraId="4B29246E" w14:textId="77777777" w:rsidR="004A287E" w:rsidRPr="00537128" w:rsidRDefault="004A287E" w:rsidP="004A287E">
            <w:pPr>
              <w:spacing w:after="0" w:line="240" w:lineRule="auto"/>
              <w:jc w:val="right"/>
              <w:rPr>
                <w:rFonts w:ascii="Calibri" w:eastAsia="Calibri" w:hAnsi="Calibri" w:cs="Arial"/>
                <w:b/>
                <w:sz w:val="19"/>
                <w:szCs w:val="19"/>
                <w:lang w:val="en-US"/>
              </w:rPr>
            </w:pPr>
          </w:p>
        </w:tc>
      </w:tr>
      <w:tr w:rsidR="000779A7" w:rsidRPr="00537128" w14:paraId="7A4E84FE" w14:textId="77777777" w:rsidTr="000779A7">
        <w:trPr>
          <w:trHeight w:hRule="exact" w:val="280"/>
        </w:trPr>
        <w:tc>
          <w:tcPr>
            <w:tcW w:w="2192" w:type="pct"/>
            <w:vAlign w:val="center"/>
          </w:tcPr>
          <w:p w14:paraId="101BBA96" w14:textId="2BB12ADF" w:rsidR="000779A7" w:rsidRPr="00537128" w:rsidRDefault="000779A7" w:rsidP="000779A7">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 xml:space="preserve">Balance </w:t>
            </w:r>
            <w:proofErr w:type="gramStart"/>
            <w:r w:rsidRPr="00537128">
              <w:rPr>
                <w:rFonts w:ascii="Calibri" w:eastAsia="Calibri" w:hAnsi="Calibri" w:cs="Times New Roman"/>
                <w:sz w:val="19"/>
                <w:szCs w:val="19"/>
                <w:lang w:val="en-US"/>
              </w:rPr>
              <w:t>at</w:t>
            </w:r>
            <w:proofErr w:type="gramEnd"/>
            <w:r w:rsidRPr="00537128">
              <w:rPr>
                <w:rFonts w:ascii="Calibri" w:eastAsia="Calibri" w:hAnsi="Calibri" w:cs="Times New Roman"/>
                <w:sz w:val="19"/>
                <w:szCs w:val="19"/>
                <w:lang w:val="en-US"/>
              </w:rPr>
              <w:t xml:space="preserve"> 1 January 202</w:t>
            </w:r>
            <w:r>
              <w:rPr>
                <w:rFonts w:ascii="Calibri" w:eastAsia="Calibri" w:hAnsi="Calibri" w:cs="Times New Roman"/>
                <w:sz w:val="19"/>
                <w:szCs w:val="19"/>
                <w:lang w:val="en-US"/>
              </w:rPr>
              <w:t>2</w:t>
            </w:r>
          </w:p>
        </w:tc>
        <w:tc>
          <w:tcPr>
            <w:tcW w:w="555" w:type="pct"/>
            <w:vAlign w:val="bottom"/>
          </w:tcPr>
          <w:p w14:paraId="12D1BC73" w14:textId="744E9B42" w:rsidR="000779A7" w:rsidRPr="00537128" w:rsidRDefault="000779A7" w:rsidP="000779A7">
            <w:pPr>
              <w:spacing w:after="0" w:line="240" w:lineRule="auto"/>
              <w:jc w:val="right"/>
              <w:rPr>
                <w:rFonts w:ascii="Calibri" w:eastAsia="Calibri" w:hAnsi="Calibri" w:cs="Calibri"/>
                <w:sz w:val="19"/>
                <w:szCs w:val="19"/>
                <w:lang w:val="en-US"/>
              </w:rPr>
            </w:pPr>
            <w:r w:rsidRPr="007A49AD">
              <w:rPr>
                <w:sz w:val="19"/>
                <w:szCs w:val="19"/>
              </w:rPr>
              <w:t xml:space="preserve"> 381</w:t>
            </w:r>
            <w:r>
              <w:rPr>
                <w:sz w:val="19"/>
                <w:szCs w:val="19"/>
              </w:rPr>
              <w:t>,</w:t>
            </w:r>
            <w:r w:rsidRPr="007A49AD">
              <w:rPr>
                <w:sz w:val="19"/>
                <w:szCs w:val="19"/>
              </w:rPr>
              <w:t xml:space="preserve">609 </w:t>
            </w:r>
          </w:p>
        </w:tc>
        <w:tc>
          <w:tcPr>
            <w:tcW w:w="555" w:type="pct"/>
            <w:vAlign w:val="bottom"/>
          </w:tcPr>
          <w:p w14:paraId="133744D9" w14:textId="53BFE75C" w:rsidR="000779A7" w:rsidRPr="00537128" w:rsidRDefault="000779A7" w:rsidP="000779A7">
            <w:pPr>
              <w:spacing w:after="0" w:line="240" w:lineRule="auto"/>
              <w:jc w:val="right"/>
              <w:rPr>
                <w:rFonts w:ascii="Calibri" w:eastAsia="Calibri" w:hAnsi="Calibri" w:cs="Calibri"/>
                <w:sz w:val="19"/>
                <w:szCs w:val="19"/>
                <w:lang w:val="en-US"/>
              </w:rPr>
            </w:pPr>
            <w:r w:rsidRPr="007A49AD">
              <w:rPr>
                <w:sz w:val="19"/>
                <w:szCs w:val="19"/>
              </w:rPr>
              <w:t xml:space="preserve"> 555</w:t>
            </w:r>
            <w:r>
              <w:rPr>
                <w:sz w:val="19"/>
                <w:szCs w:val="19"/>
              </w:rPr>
              <w:t>,</w:t>
            </w:r>
            <w:r w:rsidRPr="007A49AD">
              <w:rPr>
                <w:sz w:val="19"/>
                <w:szCs w:val="19"/>
              </w:rPr>
              <w:t xml:space="preserve">807 </w:t>
            </w:r>
          </w:p>
        </w:tc>
        <w:tc>
          <w:tcPr>
            <w:tcW w:w="556" w:type="pct"/>
            <w:vAlign w:val="bottom"/>
          </w:tcPr>
          <w:p w14:paraId="4A58EDBB" w14:textId="2C344846" w:rsidR="000779A7" w:rsidRPr="00537128" w:rsidRDefault="000779A7" w:rsidP="000779A7">
            <w:pPr>
              <w:spacing w:after="0" w:line="240" w:lineRule="auto"/>
              <w:jc w:val="right"/>
              <w:rPr>
                <w:rFonts w:ascii="Calibri" w:eastAsia="Calibri" w:hAnsi="Calibri" w:cs="Calibri"/>
                <w:sz w:val="19"/>
                <w:szCs w:val="19"/>
                <w:lang w:val="en-US"/>
              </w:rPr>
            </w:pPr>
            <w:r w:rsidRPr="007A49AD">
              <w:rPr>
                <w:sz w:val="19"/>
                <w:szCs w:val="19"/>
              </w:rPr>
              <w:t xml:space="preserve"> 2</w:t>
            </w:r>
            <w:r>
              <w:rPr>
                <w:sz w:val="19"/>
                <w:szCs w:val="19"/>
              </w:rPr>
              <w:t>,</w:t>
            </w:r>
            <w:r w:rsidRPr="007A49AD">
              <w:rPr>
                <w:sz w:val="19"/>
                <w:szCs w:val="19"/>
              </w:rPr>
              <w:t>099</w:t>
            </w:r>
            <w:r>
              <w:rPr>
                <w:sz w:val="19"/>
                <w:szCs w:val="19"/>
              </w:rPr>
              <w:t>,</w:t>
            </w:r>
            <w:r w:rsidRPr="007A49AD">
              <w:rPr>
                <w:sz w:val="19"/>
                <w:szCs w:val="19"/>
              </w:rPr>
              <w:t xml:space="preserve">064 </w:t>
            </w:r>
          </w:p>
        </w:tc>
        <w:tc>
          <w:tcPr>
            <w:tcW w:w="525" w:type="pct"/>
            <w:vAlign w:val="bottom"/>
          </w:tcPr>
          <w:p w14:paraId="50A501EA" w14:textId="6EB0773F" w:rsidR="000779A7" w:rsidRPr="00537128" w:rsidRDefault="000779A7" w:rsidP="000779A7">
            <w:pPr>
              <w:spacing w:after="0" w:line="240" w:lineRule="auto"/>
              <w:jc w:val="right"/>
              <w:rPr>
                <w:rFonts w:ascii="Calibri" w:eastAsia="Calibri" w:hAnsi="Calibri" w:cs="Calibri"/>
                <w:sz w:val="19"/>
                <w:szCs w:val="19"/>
                <w:lang w:val="en-US"/>
              </w:rPr>
            </w:pPr>
            <w:r w:rsidRPr="007A49AD">
              <w:rPr>
                <w:sz w:val="19"/>
                <w:szCs w:val="19"/>
              </w:rPr>
              <w:t xml:space="preserve"> 219</w:t>
            </w:r>
            <w:r>
              <w:rPr>
                <w:sz w:val="19"/>
                <w:szCs w:val="19"/>
              </w:rPr>
              <w:t>,</w:t>
            </w:r>
            <w:r w:rsidRPr="007A49AD">
              <w:rPr>
                <w:sz w:val="19"/>
                <w:szCs w:val="19"/>
              </w:rPr>
              <w:t xml:space="preserve">436 </w:t>
            </w:r>
          </w:p>
        </w:tc>
        <w:tc>
          <w:tcPr>
            <w:tcW w:w="616" w:type="pct"/>
            <w:vAlign w:val="bottom"/>
          </w:tcPr>
          <w:p w14:paraId="654745D2" w14:textId="6595024E" w:rsidR="000779A7" w:rsidRPr="00537128" w:rsidRDefault="000779A7" w:rsidP="000779A7">
            <w:pPr>
              <w:spacing w:after="0" w:line="240" w:lineRule="auto"/>
              <w:jc w:val="right"/>
              <w:rPr>
                <w:rFonts w:ascii="Calibri" w:eastAsia="Calibri" w:hAnsi="Calibri" w:cs="Calibri"/>
                <w:sz w:val="19"/>
                <w:szCs w:val="19"/>
                <w:lang w:val="en-US"/>
              </w:rPr>
            </w:pPr>
            <w:r w:rsidRPr="007A49AD">
              <w:rPr>
                <w:sz w:val="19"/>
                <w:szCs w:val="19"/>
              </w:rPr>
              <w:t xml:space="preserve"> 3</w:t>
            </w:r>
            <w:r>
              <w:rPr>
                <w:sz w:val="19"/>
                <w:szCs w:val="19"/>
              </w:rPr>
              <w:t>,</w:t>
            </w:r>
            <w:r w:rsidRPr="007A49AD">
              <w:rPr>
                <w:sz w:val="19"/>
                <w:szCs w:val="19"/>
              </w:rPr>
              <w:t>255</w:t>
            </w:r>
            <w:r>
              <w:rPr>
                <w:sz w:val="19"/>
                <w:szCs w:val="19"/>
              </w:rPr>
              <w:t>,</w:t>
            </w:r>
            <w:r w:rsidRPr="007A49AD">
              <w:rPr>
                <w:sz w:val="19"/>
                <w:szCs w:val="19"/>
              </w:rPr>
              <w:t xml:space="preserve">916 </w:t>
            </w:r>
          </w:p>
        </w:tc>
      </w:tr>
      <w:tr w:rsidR="000779A7" w:rsidRPr="00537128" w14:paraId="04EF552C" w14:textId="77777777" w:rsidTr="000779A7">
        <w:trPr>
          <w:trHeight w:hRule="exact" w:val="280"/>
        </w:trPr>
        <w:tc>
          <w:tcPr>
            <w:tcW w:w="2192" w:type="pct"/>
            <w:vAlign w:val="bottom"/>
          </w:tcPr>
          <w:p w14:paraId="31510035" w14:textId="77777777" w:rsidR="000779A7" w:rsidRPr="00537128" w:rsidRDefault="000779A7" w:rsidP="000779A7">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1</w:t>
            </w:r>
          </w:p>
        </w:tc>
        <w:tc>
          <w:tcPr>
            <w:tcW w:w="555" w:type="pct"/>
            <w:vAlign w:val="bottom"/>
          </w:tcPr>
          <w:p w14:paraId="0B81B584" w14:textId="5CEEE19E" w:rsidR="000779A7" w:rsidRPr="00537128" w:rsidRDefault="000779A7" w:rsidP="000779A7">
            <w:pPr>
              <w:spacing w:after="0" w:line="240" w:lineRule="auto"/>
              <w:jc w:val="right"/>
              <w:rPr>
                <w:rFonts w:ascii="Calibri" w:eastAsia="Calibri" w:hAnsi="Calibri" w:cs="Calibri"/>
                <w:sz w:val="19"/>
                <w:szCs w:val="19"/>
                <w:lang w:val="en-US"/>
              </w:rPr>
            </w:pPr>
            <w:r w:rsidRPr="007A49AD">
              <w:rPr>
                <w:sz w:val="19"/>
                <w:szCs w:val="19"/>
              </w:rPr>
              <w:t xml:space="preserve"> 153</w:t>
            </w:r>
            <w:r>
              <w:rPr>
                <w:sz w:val="19"/>
                <w:szCs w:val="19"/>
              </w:rPr>
              <w:t>,</w:t>
            </w:r>
            <w:r w:rsidRPr="007A49AD">
              <w:rPr>
                <w:sz w:val="19"/>
                <w:szCs w:val="19"/>
              </w:rPr>
              <w:t xml:space="preserve">233 </w:t>
            </w:r>
          </w:p>
        </w:tc>
        <w:tc>
          <w:tcPr>
            <w:tcW w:w="555" w:type="pct"/>
            <w:vAlign w:val="bottom"/>
          </w:tcPr>
          <w:p w14:paraId="0A1D4EA4" w14:textId="18720E6B" w:rsidR="000779A7" w:rsidRPr="00537128" w:rsidRDefault="000779A7" w:rsidP="000779A7">
            <w:pPr>
              <w:spacing w:after="0" w:line="240" w:lineRule="auto"/>
              <w:jc w:val="right"/>
              <w:rPr>
                <w:rFonts w:ascii="Calibri" w:eastAsia="Calibri" w:hAnsi="Calibri" w:cs="Calibri"/>
                <w:sz w:val="19"/>
                <w:szCs w:val="19"/>
                <w:lang w:val="en-US"/>
              </w:rPr>
            </w:pPr>
            <w:r w:rsidRPr="007A49AD">
              <w:rPr>
                <w:sz w:val="19"/>
                <w:szCs w:val="19"/>
              </w:rPr>
              <w:t xml:space="preserve"> (15</w:t>
            </w:r>
            <w:r>
              <w:rPr>
                <w:sz w:val="19"/>
                <w:szCs w:val="19"/>
              </w:rPr>
              <w:t>,</w:t>
            </w:r>
            <w:r w:rsidRPr="007A49AD">
              <w:rPr>
                <w:sz w:val="19"/>
                <w:szCs w:val="19"/>
              </w:rPr>
              <w:t>495)</w:t>
            </w:r>
          </w:p>
        </w:tc>
        <w:tc>
          <w:tcPr>
            <w:tcW w:w="556" w:type="pct"/>
            <w:vAlign w:val="bottom"/>
          </w:tcPr>
          <w:p w14:paraId="215E9A35" w14:textId="1191A3C8" w:rsidR="000779A7" w:rsidRPr="00537128" w:rsidRDefault="000779A7" w:rsidP="000779A7">
            <w:pPr>
              <w:spacing w:after="0" w:line="240" w:lineRule="auto"/>
              <w:jc w:val="right"/>
              <w:rPr>
                <w:rFonts w:ascii="Calibri" w:eastAsia="Calibri" w:hAnsi="Calibri" w:cs="Calibri"/>
                <w:sz w:val="19"/>
                <w:szCs w:val="19"/>
                <w:lang w:val="en-US"/>
              </w:rPr>
            </w:pPr>
            <w:r w:rsidRPr="007A49AD">
              <w:rPr>
                <w:sz w:val="19"/>
                <w:szCs w:val="19"/>
              </w:rPr>
              <w:t xml:space="preserve"> (137</w:t>
            </w:r>
            <w:r>
              <w:rPr>
                <w:sz w:val="19"/>
                <w:szCs w:val="19"/>
              </w:rPr>
              <w:t>,</w:t>
            </w:r>
            <w:r w:rsidRPr="007A49AD">
              <w:rPr>
                <w:sz w:val="19"/>
                <w:szCs w:val="19"/>
              </w:rPr>
              <w:t>738)</w:t>
            </w:r>
          </w:p>
        </w:tc>
        <w:tc>
          <w:tcPr>
            <w:tcW w:w="525" w:type="pct"/>
            <w:vAlign w:val="bottom"/>
          </w:tcPr>
          <w:p w14:paraId="454EB8AC" w14:textId="47C4DB91" w:rsidR="000779A7" w:rsidRPr="00537128" w:rsidRDefault="000779A7" w:rsidP="000779A7">
            <w:pPr>
              <w:spacing w:after="0" w:line="240" w:lineRule="auto"/>
              <w:jc w:val="right"/>
              <w:rPr>
                <w:rFonts w:ascii="Calibri" w:eastAsia="Calibri" w:hAnsi="Calibri" w:cs="Calibri"/>
                <w:sz w:val="19"/>
                <w:szCs w:val="19"/>
                <w:lang w:val="en-US"/>
              </w:rPr>
            </w:pPr>
            <w:r w:rsidRPr="007A49AD">
              <w:rPr>
                <w:sz w:val="19"/>
                <w:szCs w:val="19"/>
              </w:rPr>
              <w:t xml:space="preserve"> - </w:t>
            </w:r>
          </w:p>
        </w:tc>
        <w:tc>
          <w:tcPr>
            <w:tcW w:w="616" w:type="pct"/>
            <w:vAlign w:val="bottom"/>
          </w:tcPr>
          <w:p w14:paraId="780F7B05" w14:textId="662832F3" w:rsidR="000779A7" w:rsidRPr="00537128" w:rsidRDefault="000779A7" w:rsidP="000779A7">
            <w:pPr>
              <w:spacing w:after="0" w:line="240" w:lineRule="auto"/>
              <w:jc w:val="right"/>
              <w:rPr>
                <w:rFonts w:ascii="Calibri" w:eastAsia="Calibri" w:hAnsi="Calibri" w:cs="Calibri"/>
                <w:sz w:val="19"/>
                <w:szCs w:val="19"/>
                <w:lang w:val="en-US"/>
              </w:rPr>
            </w:pPr>
            <w:r w:rsidRPr="007A49AD">
              <w:rPr>
                <w:sz w:val="19"/>
                <w:szCs w:val="19"/>
              </w:rPr>
              <w:t xml:space="preserve"> - </w:t>
            </w:r>
          </w:p>
        </w:tc>
      </w:tr>
      <w:tr w:rsidR="000779A7" w:rsidRPr="00537128" w14:paraId="4FA4D843" w14:textId="77777777" w:rsidTr="000779A7">
        <w:trPr>
          <w:trHeight w:hRule="exact" w:val="280"/>
        </w:trPr>
        <w:tc>
          <w:tcPr>
            <w:tcW w:w="2192" w:type="pct"/>
            <w:vAlign w:val="bottom"/>
          </w:tcPr>
          <w:p w14:paraId="6CA33141" w14:textId="77777777" w:rsidR="000779A7" w:rsidRPr="00537128" w:rsidRDefault="000779A7" w:rsidP="000779A7">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2</w:t>
            </w:r>
          </w:p>
        </w:tc>
        <w:tc>
          <w:tcPr>
            <w:tcW w:w="555" w:type="pct"/>
            <w:vAlign w:val="bottom"/>
          </w:tcPr>
          <w:p w14:paraId="4BA57443" w14:textId="3DC755A5" w:rsidR="000779A7" w:rsidRPr="00537128" w:rsidRDefault="000779A7" w:rsidP="000779A7">
            <w:pPr>
              <w:spacing w:after="0" w:line="240" w:lineRule="auto"/>
              <w:jc w:val="right"/>
              <w:rPr>
                <w:rFonts w:ascii="Calibri" w:eastAsia="Calibri" w:hAnsi="Calibri" w:cs="Calibri"/>
                <w:sz w:val="19"/>
                <w:szCs w:val="19"/>
                <w:lang w:val="en-US"/>
              </w:rPr>
            </w:pPr>
            <w:r w:rsidRPr="007A49AD">
              <w:rPr>
                <w:sz w:val="19"/>
                <w:szCs w:val="19"/>
              </w:rPr>
              <w:t xml:space="preserve"> (2</w:t>
            </w:r>
            <w:r>
              <w:rPr>
                <w:sz w:val="19"/>
                <w:szCs w:val="19"/>
              </w:rPr>
              <w:t>,</w:t>
            </w:r>
            <w:r w:rsidRPr="007A49AD">
              <w:rPr>
                <w:sz w:val="19"/>
                <w:szCs w:val="19"/>
              </w:rPr>
              <w:t>963)</w:t>
            </w:r>
          </w:p>
        </w:tc>
        <w:tc>
          <w:tcPr>
            <w:tcW w:w="555" w:type="pct"/>
            <w:vAlign w:val="bottom"/>
          </w:tcPr>
          <w:p w14:paraId="256A0CAD" w14:textId="1F39CD1C" w:rsidR="000779A7" w:rsidRPr="00537128" w:rsidRDefault="000779A7" w:rsidP="000779A7">
            <w:pPr>
              <w:spacing w:after="0" w:line="240" w:lineRule="auto"/>
              <w:jc w:val="right"/>
              <w:rPr>
                <w:rFonts w:ascii="Calibri" w:eastAsia="Calibri" w:hAnsi="Calibri" w:cs="Calibri"/>
                <w:sz w:val="19"/>
                <w:szCs w:val="19"/>
                <w:lang w:val="en-US"/>
              </w:rPr>
            </w:pPr>
            <w:r w:rsidRPr="007A49AD">
              <w:rPr>
                <w:sz w:val="19"/>
                <w:szCs w:val="19"/>
              </w:rPr>
              <w:t xml:space="preserve"> 2</w:t>
            </w:r>
            <w:r>
              <w:rPr>
                <w:sz w:val="19"/>
                <w:szCs w:val="19"/>
              </w:rPr>
              <w:t>,</w:t>
            </w:r>
            <w:r w:rsidRPr="007A49AD">
              <w:rPr>
                <w:sz w:val="19"/>
                <w:szCs w:val="19"/>
              </w:rPr>
              <w:t xml:space="preserve">963 </w:t>
            </w:r>
          </w:p>
        </w:tc>
        <w:tc>
          <w:tcPr>
            <w:tcW w:w="556" w:type="pct"/>
            <w:vAlign w:val="bottom"/>
          </w:tcPr>
          <w:p w14:paraId="7075169F" w14:textId="4DE996F3" w:rsidR="000779A7" w:rsidRPr="00537128" w:rsidRDefault="000779A7" w:rsidP="000779A7">
            <w:pPr>
              <w:spacing w:after="0" w:line="240" w:lineRule="auto"/>
              <w:jc w:val="right"/>
              <w:rPr>
                <w:rFonts w:ascii="Calibri" w:eastAsia="Calibri" w:hAnsi="Calibri" w:cs="Calibri"/>
                <w:sz w:val="19"/>
                <w:szCs w:val="19"/>
                <w:lang w:val="en-US"/>
              </w:rPr>
            </w:pPr>
            <w:r w:rsidRPr="00917513">
              <w:rPr>
                <w:rFonts w:ascii="Calibri" w:eastAsia="Calibri" w:hAnsi="Calibri" w:cs="Calibri"/>
                <w:color w:val="000000" w:themeColor="text1"/>
                <w:sz w:val="19"/>
                <w:szCs w:val="19"/>
              </w:rPr>
              <w:t>-</w:t>
            </w:r>
          </w:p>
        </w:tc>
        <w:tc>
          <w:tcPr>
            <w:tcW w:w="525" w:type="pct"/>
            <w:vAlign w:val="bottom"/>
          </w:tcPr>
          <w:p w14:paraId="56F1C06E" w14:textId="1550B7A1" w:rsidR="000779A7" w:rsidRPr="00537128" w:rsidRDefault="000779A7" w:rsidP="000779A7">
            <w:pPr>
              <w:spacing w:after="0" w:line="240" w:lineRule="auto"/>
              <w:jc w:val="right"/>
              <w:rPr>
                <w:rFonts w:ascii="Calibri" w:eastAsia="Calibri" w:hAnsi="Calibri" w:cs="Calibri"/>
                <w:sz w:val="19"/>
                <w:szCs w:val="19"/>
                <w:lang w:val="en-US"/>
              </w:rPr>
            </w:pPr>
            <w:r w:rsidRPr="00917513">
              <w:rPr>
                <w:rFonts w:ascii="Calibri" w:eastAsia="Calibri" w:hAnsi="Calibri" w:cs="Calibri"/>
                <w:color w:val="000000" w:themeColor="text1"/>
                <w:sz w:val="19"/>
                <w:szCs w:val="19"/>
              </w:rPr>
              <w:t>-</w:t>
            </w:r>
          </w:p>
        </w:tc>
        <w:tc>
          <w:tcPr>
            <w:tcW w:w="616" w:type="pct"/>
            <w:vAlign w:val="bottom"/>
          </w:tcPr>
          <w:p w14:paraId="137020BE" w14:textId="54A15CAD" w:rsidR="000779A7" w:rsidRPr="00537128" w:rsidRDefault="000779A7" w:rsidP="000779A7">
            <w:pPr>
              <w:spacing w:after="0" w:line="240" w:lineRule="auto"/>
              <w:jc w:val="right"/>
              <w:rPr>
                <w:rFonts w:ascii="Calibri" w:eastAsia="Calibri" w:hAnsi="Calibri" w:cs="Calibri"/>
                <w:sz w:val="19"/>
                <w:szCs w:val="19"/>
                <w:lang w:val="en-US"/>
              </w:rPr>
            </w:pPr>
            <w:r w:rsidRPr="007A49AD">
              <w:rPr>
                <w:sz w:val="19"/>
                <w:szCs w:val="19"/>
              </w:rPr>
              <w:t xml:space="preserve"> - </w:t>
            </w:r>
          </w:p>
        </w:tc>
      </w:tr>
      <w:tr w:rsidR="000779A7" w:rsidRPr="00537128" w14:paraId="7AB1AF14" w14:textId="77777777" w:rsidTr="000779A7">
        <w:trPr>
          <w:trHeight w:hRule="exact" w:val="280"/>
        </w:trPr>
        <w:tc>
          <w:tcPr>
            <w:tcW w:w="2192" w:type="pct"/>
            <w:vAlign w:val="bottom"/>
          </w:tcPr>
          <w:p w14:paraId="020967DF" w14:textId="77777777" w:rsidR="000779A7" w:rsidRPr="00537128" w:rsidRDefault="000779A7" w:rsidP="000779A7">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3</w:t>
            </w:r>
          </w:p>
        </w:tc>
        <w:tc>
          <w:tcPr>
            <w:tcW w:w="555" w:type="pct"/>
            <w:vAlign w:val="bottom"/>
          </w:tcPr>
          <w:p w14:paraId="3DE28E35" w14:textId="4D6D33BC" w:rsidR="000779A7" w:rsidRPr="00537128" w:rsidRDefault="000779A7" w:rsidP="000779A7">
            <w:pPr>
              <w:spacing w:after="0" w:line="240" w:lineRule="auto"/>
              <w:jc w:val="right"/>
              <w:rPr>
                <w:rFonts w:ascii="Calibri" w:eastAsia="Calibri" w:hAnsi="Calibri" w:cs="Calibri"/>
                <w:sz w:val="19"/>
                <w:szCs w:val="19"/>
                <w:lang w:val="en-US"/>
              </w:rPr>
            </w:pPr>
            <w:r w:rsidRPr="007A49AD">
              <w:rPr>
                <w:sz w:val="19"/>
                <w:szCs w:val="19"/>
              </w:rPr>
              <w:t xml:space="preserve"> (13)</w:t>
            </w:r>
          </w:p>
        </w:tc>
        <w:tc>
          <w:tcPr>
            <w:tcW w:w="555" w:type="pct"/>
            <w:vAlign w:val="bottom"/>
          </w:tcPr>
          <w:p w14:paraId="377669F0" w14:textId="19323340" w:rsidR="000779A7" w:rsidRPr="00537128" w:rsidRDefault="000779A7" w:rsidP="000779A7">
            <w:pPr>
              <w:spacing w:after="0" w:line="240" w:lineRule="auto"/>
              <w:jc w:val="right"/>
              <w:rPr>
                <w:rFonts w:ascii="Calibri" w:eastAsia="Calibri" w:hAnsi="Calibri" w:cs="Calibri"/>
                <w:sz w:val="19"/>
                <w:szCs w:val="19"/>
                <w:lang w:val="en-US"/>
              </w:rPr>
            </w:pPr>
            <w:r w:rsidRPr="007A49AD">
              <w:rPr>
                <w:sz w:val="19"/>
                <w:szCs w:val="19"/>
              </w:rPr>
              <w:t xml:space="preserve"> (14</w:t>
            </w:r>
            <w:r>
              <w:rPr>
                <w:sz w:val="19"/>
                <w:szCs w:val="19"/>
              </w:rPr>
              <w:t>,</w:t>
            </w:r>
            <w:r w:rsidRPr="007A49AD">
              <w:rPr>
                <w:sz w:val="19"/>
                <w:szCs w:val="19"/>
              </w:rPr>
              <w:t>025)</w:t>
            </w:r>
          </w:p>
        </w:tc>
        <w:tc>
          <w:tcPr>
            <w:tcW w:w="556" w:type="pct"/>
            <w:vAlign w:val="bottom"/>
          </w:tcPr>
          <w:p w14:paraId="54CAEF22" w14:textId="2911BE6E" w:rsidR="000779A7" w:rsidRPr="00537128" w:rsidRDefault="000779A7" w:rsidP="000779A7">
            <w:pPr>
              <w:spacing w:after="0" w:line="240" w:lineRule="auto"/>
              <w:jc w:val="right"/>
              <w:rPr>
                <w:rFonts w:ascii="Calibri" w:eastAsia="Calibri" w:hAnsi="Calibri" w:cs="Calibri"/>
                <w:sz w:val="19"/>
                <w:szCs w:val="19"/>
                <w:lang w:val="en-US"/>
              </w:rPr>
            </w:pPr>
            <w:r w:rsidRPr="007A49AD">
              <w:rPr>
                <w:sz w:val="19"/>
                <w:szCs w:val="19"/>
              </w:rPr>
              <w:t xml:space="preserve"> 2</w:t>
            </w:r>
            <w:r>
              <w:rPr>
                <w:sz w:val="19"/>
                <w:szCs w:val="19"/>
              </w:rPr>
              <w:t>,</w:t>
            </w:r>
            <w:r w:rsidRPr="007A49AD">
              <w:rPr>
                <w:sz w:val="19"/>
                <w:szCs w:val="19"/>
              </w:rPr>
              <w:t xml:space="preserve">833 </w:t>
            </w:r>
          </w:p>
        </w:tc>
        <w:tc>
          <w:tcPr>
            <w:tcW w:w="525" w:type="pct"/>
            <w:vAlign w:val="bottom"/>
          </w:tcPr>
          <w:p w14:paraId="0844C81E" w14:textId="6721B61D" w:rsidR="000779A7" w:rsidRPr="00537128" w:rsidRDefault="000779A7" w:rsidP="000779A7">
            <w:pPr>
              <w:spacing w:after="0" w:line="240" w:lineRule="auto"/>
              <w:jc w:val="right"/>
              <w:rPr>
                <w:rFonts w:ascii="Calibri" w:eastAsia="Calibri" w:hAnsi="Calibri" w:cs="Calibri"/>
                <w:sz w:val="19"/>
                <w:szCs w:val="19"/>
                <w:lang w:val="en-US"/>
              </w:rPr>
            </w:pPr>
            <w:r w:rsidRPr="007A49AD">
              <w:rPr>
                <w:sz w:val="19"/>
                <w:szCs w:val="19"/>
              </w:rPr>
              <w:t xml:space="preserve"> 11</w:t>
            </w:r>
            <w:r>
              <w:rPr>
                <w:sz w:val="19"/>
                <w:szCs w:val="19"/>
              </w:rPr>
              <w:t>,</w:t>
            </w:r>
            <w:r w:rsidRPr="007A49AD">
              <w:rPr>
                <w:sz w:val="19"/>
                <w:szCs w:val="19"/>
              </w:rPr>
              <w:t xml:space="preserve">205 </w:t>
            </w:r>
          </w:p>
        </w:tc>
        <w:tc>
          <w:tcPr>
            <w:tcW w:w="616" w:type="pct"/>
            <w:vAlign w:val="bottom"/>
          </w:tcPr>
          <w:p w14:paraId="51BDD56E" w14:textId="50AE276C" w:rsidR="000779A7" w:rsidRPr="00537128" w:rsidRDefault="000779A7" w:rsidP="000779A7">
            <w:pPr>
              <w:spacing w:after="0" w:line="240" w:lineRule="auto"/>
              <w:jc w:val="right"/>
              <w:rPr>
                <w:rFonts w:ascii="Calibri" w:eastAsia="Calibri" w:hAnsi="Calibri" w:cs="Calibri"/>
                <w:sz w:val="19"/>
                <w:szCs w:val="19"/>
                <w:lang w:val="en-US"/>
              </w:rPr>
            </w:pPr>
            <w:r w:rsidRPr="007A49AD">
              <w:rPr>
                <w:sz w:val="19"/>
                <w:szCs w:val="19"/>
              </w:rPr>
              <w:t xml:space="preserve"> - </w:t>
            </w:r>
          </w:p>
        </w:tc>
      </w:tr>
      <w:tr w:rsidR="000779A7" w:rsidRPr="00537128" w14:paraId="12851F0D" w14:textId="77777777" w:rsidTr="000779A7">
        <w:trPr>
          <w:trHeight w:hRule="exact" w:val="280"/>
        </w:trPr>
        <w:tc>
          <w:tcPr>
            <w:tcW w:w="2192" w:type="pct"/>
            <w:vAlign w:val="bottom"/>
          </w:tcPr>
          <w:p w14:paraId="0D969578" w14:textId="0AC52486" w:rsidR="000779A7" w:rsidRPr="00537128" w:rsidRDefault="000779A7" w:rsidP="000779A7">
            <w:pPr>
              <w:tabs>
                <w:tab w:val="right" w:pos="1202"/>
              </w:tabs>
              <w:spacing w:after="0" w:line="240" w:lineRule="auto"/>
              <w:outlineLvl w:val="0"/>
              <w:rPr>
                <w:rFonts w:ascii="Calibri" w:eastAsia="Calibri" w:hAnsi="Calibri" w:cs="Times New Roman"/>
                <w:sz w:val="19"/>
                <w:szCs w:val="19"/>
                <w:highlight w:val="yellow"/>
                <w:lang w:val="en-US"/>
              </w:rPr>
            </w:pPr>
            <w:r w:rsidRPr="00537128">
              <w:rPr>
                <w:rFonts w:ascii="Calibri" w:eastAsia="Calibri" w:hAnsi="Calibri" w:cs="Times New Roman"/>
                <w:sz w:val="19"/>
                <w:szCs w:val="19"/>
                <w:lang w:val="en-US"/>
              </w:rPr>
              <w:t>Net (release)</w:t>
            </w:r>
            <w:r>
              <w:rPr>
                <w:rFonts w:ascii="Calibri" w:eastAsia="Calibri" w:hAnsi="Calibri" w:cs="Times New Roman"/>
                <w:sz w:val="19"/>
                <w:szCs w:val="19"/>
                <w:lang w:val="en-US"/>
              </w:rPr>
              <w:t>/increase</w:t>
            </w:r>
            <w:r w:rsidRPr="00537128">
              <w:rPr>
                <w:rFonts w:ascii="Calibri" w:eastAsia="Calibri" w:hAnsi="Calibri" w:cs="Times New Roman"/>
                <w:sz w:val="19"/>
                <w:szCs w:val="19"/>
                <w:lang w:val="en-US"/>
              </w:rPr>
              <w:t xml:space="preserve"> of loss allowance</w:t>
            </w:r>
          </w:p>
        </w:tc>
        <w:tc>
          <w:tcPr>
            <w:tcW w:w="555" w:type="pct"/>
            <w:vAlign w:val="bottom"/>
          </w:tcPr>
          <w:p w14:paraId="64F0D22A" w14:textId="24E70130" w:rsidR="000779A7" w:rsidRPr="00537128" w:rsidRDefault="000779A7" w:rsidP="000779A7">
            <w:pPr>
              <w:spacing w:after="0" w:line="240" w:lineRule="auto"/>
              <w:jc w:val="right"/>
              <w:rPr>
                <w:rFonts w:ascii="Calibri" w:eastAsia="Calibri" w:hAnsi="Calibri" w:cs="Calibri"/>
                <w:sz w:val="19"/>
                <w:szCs w:val="19"/>
                <w:highlight w:val="yellow"/>
                <w:lang w:val="en-US"/>
              </w:rPr>
            </w:pPr>
            <w:r w:rsidRPr="007A49AD">
              <w:rPr>
                <w:sz w:val="19"/>
                <w:szCs w:val="19"/>
              </w:rPr>
              <w:t xml:space="preserve"> (149</w:t>
            </w:r>
            <w:r>
              <w:rPr>
                <w:sz w:val="19"/>
                <w:szCs w:val="19"/>
              </w:rPr>
              <w:t>,</w:t>
            </w:r>
            <w:r w:rsidRPr="007A49AD">
              <w:rPr>
                <w:sz w:val="19"/>
                <w:szCs w:val="19"/>
              </w:rPr>
              <w:t>085)</w:t>
            </w:r>
          </w:p>
        </w:tc>
        <w:tc>
          <w:tcPr>
            <w:tcW w:w="555" w:type="pct"/>
            <w:vAlign w:val="bottom"/>
          </w:tcPr>
          <w:p w14:paraId="05BB9098" w14:textId="2A7DF2C0" w:rsidR="000779A7" w:rsidRPr="00537128" w:rsidRDefault="000779A7" w:rsidP="000779A7">
            <w:pPr>
              <w:spacing w:after="0" w:line="240" w:lineRule="auto"/>
              <w:jc w:val="right"/>
              <w:rPr>
                <w:rFonts w:ascii="Calibri" w:eastAsia="Calibri" w:hAnsi="Calibri" w:cs="Calibri"/>
                <w:sz w:val="19"/>
                <w:szCs w:val="19"/>
                <w:highlight w:val="yellow"/>
                <w:lang w:val="en-US"/>
              </w:rPr>
            </w:pPr>
            <w:r w:rsidRPr="007A49AD">
              <w:rPr>
                <w:sz w:val="19"/>
                <w:szCs w:val="19"/>
              </w:rPr>
              <w:t xml:space="preserve"> 19</w:t>
            </w:r>
            <w:r>
              <w:rPr>
                <w:sz w:val="19"/>
                <w:szCs w:val="19"/>
              </w:rPr>
              <w:t>,</w:t>
            </w:r>
            <w:r w:rsidRPr="007A49AD">
              <w:rPr>
                <w:sz w:val="19"/>
                <w:szCs w:val="19"/>
              </w:rPr>
              <w:t xml:space="preserve">140 </w:t>
            </w:r>
          </w:p>
        </w:tc>
        <w:tc>
          <w:tcPr>
            <w:tcW w:w="556" w:type="pct"/>
            <w:vAlign w:val="bottom"/>
          </w:tcPr>
          <w:p w14:paraId="07A6C9F3" w14:textId="0913A973" w:rsidR="000779A7" w:rsidRPr="00537128" w:rsidRDefault="000779A7" w:rsidP="000779A7">
            <w:pPr>
              <w:spacing w:after="0" w:line="240" w:lineRule="auto"/>
              <w:jc w:val="right"/>
              <w:rPr>
                <w:rFonts w:ascii="Calibri" w:eastAsia="Calibri" w:hAnsi="Calibri" w:cs="Calibri"/>
                <w:sz w:val="19"/>
                <w:szCs w:val="19"/>
                <w:highlight w:val="yellow"/>
                <w:lang w:val="en-US"/>
              </w:rPr>
            </w:pPr>
            <w:r w:rsidRPr="007A49AD">
              <w:rPr>
                <w:sz w:val="19"/>
                <w:szCs w:val="19"/>
              </w:rPr>
              <w:t xml:space="preserve"> 49</w:t>
            </w:r>
            <w:r>
              <w:rPr>
                <w:sz w:val="19"/>
                <w:szCs w:val="19"/>
              </w:rPr>
              <w:t>,</w:t>
            </w:r>
            <w:r w:rsidRPr="007A49AD">
              <w:rPr>
                <w:sz w:val="19"/>
                <w:szCs w:val="19"/>
              </w:rPr>
              <w:t xml:space="preserve">713 </w:t>
            </w:r>
          </w:p>
        </w:tc>
        <w:tc>
          <w:tcPr>
            <w:tcW w:w="525" w:type="pct"/>
            <w:vAlign w:val="bottom"/>
          </w:tcPr>
          <w:p w14:paraId="249E21A2" w14:textId="243FF549" w:rsidR="000779A7" w:rsidRPr="00537128" w:rsidRDefault="000779A7" w:rsidP="000779A7">
            <w:pPr>
              <w:spacing w:after="0" w:line="240" w:lineRule="auto"/>
              <w:jc w:val="right"/>
              <w:rPr>
                <w:rFonts w:ascii="Calibri" w:eastAsia="Calibri" w:hAnsi="Calibri" w:cs="Calibri"/>
                <w:sz w:val="19"/>
                <w:szCs w:val="19"/>
                <w:highlight w:val="yellow"/>
                <w:lang w:val="en-US"/>
              </w:rPr>
            </w:pPr>
            <w:r w:rsidRPr="007A49AD">
              <w:rPr>
                <w:sz w:val="19"/>
                <w:szCs w:val="19"/>
              </w:rPr>
              <w:t xml:space="preserve"> (40</w:t>
            </w:r>
            <w:r>
              <w:rPr>
                <w:sz w:val="19"/>
                <w:szCs w:val="19"/>
              </w:rPr>
              <w:t>,</w:t>
            </w:r>
            <w:r w:rsidRPr="007A49AD">
              <w:rPr>
                <w:sz w:val="19"/>
                <w:szCs w:val="19"/>
              </w:rPr>
              <w:t>768)</w:t>
            </w:r>
          </w:p>
        </w:tc>
        <w:tc>
          <w:tcPr>
            <w:tcW w:w="616" w:type="pct"/>
            <w:vAlign w:val="bottom"/>
          </w:tcPr>
          <w:p w14:paraId="617CF9B9" w14:textId="6E7557E9" w:rsidR="000779A7" w:rsidRPr="00537128" w:rsidRDefault="000779A7" w:rsidP="000779A7">
            <w:pPr>
              <w:spacing w:after="0" w:line="240" w:lineRule="auto"/>
              <w:jc w:val="right"/>
              <w:rPr>
                <w:rFonts w:ascii="Calibri" w:eastAsia="Calibri" w:hAnsi="Calibri" w:cs="Calibri"/>
                <w:sz w:val="19"/>
                <w:szCs w:val="19"/>
                <w:highlight w:val="yellow"/>
                <w:lang w:val="en-US"/>
              </w:rPr>
            </w:pPr>
            <w:r w:rsidRPr="007A49AD">
              <w:rPr>
                <w:sz w:val="19"/>
                <w:szCs w:val="19"/>
              </w:rPr>
              <w:t xml:space="preserve"> (121</w:t>
            </w:r>
            <w:r>
              <w:rPr>
                <w:sz w:val="19"/>
                <w:szCs w:val="19"/>
              </w:rPr>
              <w:t>,</w:t>
            </w:r>
            <w:r w:rsidRPr="007A49AD">
              <w:rPr>
                <w:sz w:val="19"/>
                <w:szCs w:val="19"/>
              </w:rPr>
              <w:t>000)</w:t>
            </w:r>
          </w:p>
        </w:tc>
      </w:tr>
      <w:tr w:rsidR="000779A7" w:rsidRPr="00537128" w14:paraId="6221E9C8" w14:textId="77777777" w:rsidTr="000779A7">
        <w:trPr>
          <w:trHeight w:hRule="exact" w:val="280"/>
        </w:trPr>
        <w:tc>
          <w:tcPr>
            <w:tcW w:w="2192" w:type="pct"/>
            <w:vAlign w:val="center"/>
          </w:tcPr>
          <w:p w14:paraId="1804FE55" w14:textId="77777777" w:rsidR="000779A7" w:rsidRPr="00537128" w:rsidRDefault="000779A7" w:rsidP="000779A7">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Write-offs</w:t>
            </w:r>
          </w:p>
        </w:tc>
        <w:tc>
          <w:tcPr>
            <w:tcW w:w="555" w:type="pct"/>
            <w:vAlign w:val="bottom"/>
          </w:tcPr>
          <w:p w14:paraId="129DB6BB" w14:textId="1DE8B009" w:rsidR="000779A7" w:rsidRPr="00537128" w:rsidRDefault="000779A7" w:rsidP="000779A7">
            <w:pPr>
              <w:spacing w:after="0" w:line="240" w:lineRule="auto"/>
              <w:jc w:val="right"/>
              <w:rPr>
                <w:rFonts w:ascii="Calibri" w:eastAsia="Calibri" w:hAnsi="Calibri" w:cs="Calibri"/>
                <w:sz w:val="19"/>
                <w:szCs w:val="19"/>
                <w:lang w:val="en-US"/>
              </w:rPr>
            </w:pPr>
            <w:r w:rsidRPr="00917513">
              <w:rPr>
                <w:rFonts w:ascii="Calibri" w:eastAsia="Calibri" w:hAnsi="Calibri" w:cs="Calibri"/>
                <w:color w:val="000000" w:themeColor="text1"/>
                <w:sz w:val="19"/>
                <w:szCs w:val="19"/>
              </w:rPr>
              <w:t>-</w:t>
            </w:r>
          </w:p>
        </w:tc>
        <w:tc>
          <w:tcPr>
            <w:tcW w:w="555" w:type="pct"/>
            <w:vAlign w:val="bottom"/>
          </w:tcPr>
          <w:p w14:paraId="4777F215" w14:textId="02B60F08" w:rsidR="000779A7" w:rsidRPr="00537128" w:rsidRDefault="000779A7" w:rsidP="000779A7">
            <w:pPr>
              <w:spacing w:after="0" w:line="240" w:lineRule="auto"/>
              <w:jc w:val="right"/>
              <w:rPr>
                <w:rFonts w:ascii="Calibri" w:eastAsia="Calibri" w:hAnsi="Calibri" w:cs="Calibri"/>
                <w:sz w:val="19"/>
                <w:szCs w:val="19"/>
                <w:lang w:val="en-US"/>
              </w:rPr>
            </w:pPr>
            <w:r w:rsidRPr="00917513">
              <w:rPr>
                <w:rFonts w:ascii="Calibri" w:eastAsia="Calibri" w:hAnsi="Calibri" w:cs="Calibri"/>
                <w:color w:val="000000" w:themeColor="text1"/>
                <w:sz w:val="19"/>
                <w:szCs w:val="19"/>
              </w:rPr>
              <w:t>-</w:t>
            </w:r>
          </w:p>
        </w:tc>
        <w:tc>
          <w:tcPr>
            <w:tcW w:w="556" w:type="pct"/>
            <w:vAlign w:val="bottom"/>
          </w:tcPr>
          <w:p w14:paraId="5F8EFAC6" w14:textId="58DC538C" w:rsidR="000779A7" w:rsidRPr="00537128" w:rsidRDefault="000779A7" w:rsidP="000779A7">
            <w:pPr>
              <w:spacing w:after="0" w:line="240" w:lineRule="auto"/>
              <w:jc w:val="right"/>
              <w:rPr>
                <w:rFonts w:ascii="Calibri" w:eastAsia="Calibri" w:hAnsi="Calibri" w:cs="Calibri"/>
                <w:sz w:val="19"/>
                <w:szCs w:val="19"/>
                <w:lang w:val="en-US"/>
              </w:rPr>
            </w:pPr>
            <w:r w:rsidRPr="007A49AD">
              <w:rPr>
                <w:sz w:val="19"/>
                <w:szCs w:val="19"/>
              </w:rPr>
              <w:t xml:space="preserve"> (18</w:t>
            </w:r>
            <w:r>
              <w:rPr>
                <w:sz w:val="19"/>
                <w:szCs w:val="19"/>
              </w:rPr>
              <w:t>,</w:t>
            </w:r>
            <w:r w:rsidRPr="007A49AD">
              <w:rPr>
                <w:sz w:val="19"/>
                <w:szCs w:val="19"/>
              </w:rPr>
              <w:t>174)</w:t>
            </w:r>
          </w:p>
        </w:tc>
        <w:tc>
          <w:tcPr>
            <w:tcW w:w="525" w:type="pct"/>
            <w:vAlign w:val="bottom"/>
          </w:tcPr>
          <w:p w14:paraId="0B377465" w14:textId="5F28A3C5" w:rsidR="000779A7" w:rsidRPr="00537128" w:rsidRDefault="000779A7" w:rsidP="000779A7">
            <w:pPr>
              <w:spacing w:after="0" w:line="240" w:lineRule="auto"/>
              <w:jc w:val="right"/>
              <w:rPr>
                <w:rFonts w:ascii="Calibri" w:eastAsia="Calibri" w:hAnsi="Calibri" w:cs="Calibri"/>
                <w:sz w:val="19"/>
                <w:szCs w:val="19"/>
                <w:lang w:val="en-US"/>
              </w:rPr>
            </w:pPr>
          </w:p>
        </w:tc>
        <w:tc>
          <w:tcPr>
            <w:tcW w:w="616" w:type="pct"/>
            <w:vAlign w:val="bottom"/>
          </w:tcPr>
          <w:p w14:paraId="697900D5" w14:textId="5B2A45CA" w:rsidR="000779A7" w:rsidRPr="00537128" w:rsidRDefault="000779A7" w:rsidP="000779A7">
            <w:pPr>
              <w:spacing w:after="0" w:line="240" w:lineRule="auto"/>
              <w:jc w:val="right"/>
              <w:rPr>
                <w:rFonts w:ascii="Calibri" w:eastAsia="Calibri" w:hAnsi="Calibri" w:cs="Calibri"/>
                <w:sz w:val="19"/>
                <w:szCs w:val="19"/>
                <w:lang w:val="en-US"/>
              </w:rPr>
            </w:pPr>
            <w:r w:rsidRPr="007A49AD">
              <w:rPr>
                <w:sz w:val="19"/>
                <w:szCs w:val="19"/>
              </w:rPr>
              <w:t xml:space="preserve"> (18</w:t>
            </w:r>
            <w:r>
              <w:rPr>
                <w:sz w:val="19"/>
                <w:szCs w:val="19"/>
              </w:rPr>
              <w:t>,</w:t>
            </w:r>
            <w:r w:rsidRPr="007A49AD">
              <w:rPr>
                <w:sz w:val="19"/>
                <w:szCs w:val="19"/>
              </w:rPr>
              <w:t>174)</w:t>
            </w:r>
          </w:p>
        </w:tc>
      </w:tr>
      <w:tr w:rsidR="000779A7" w:rsidRPr="00537128" w14:paraId="7C790536" w14:textId="77777777" w:rsidTr="000779A7">
        <w:trPr>
          <w:trHeight w:hRule="exact" w:val="280"/>
        </w:trPr>
        <w:tc>
          <w:tcPr>
            <w:tcW w:w="2192" w:type="pct"/>
            <w:vAlign w:val="center"/>
          </w:tcPr>
          <w:p w14:paraId="4A1287E7" w14:textId="77777777" w:rsidR="000779A7" w:rsidRPr="00537128" w:rsidRDefault="000779A7" w:rsidP="000779A7">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Unwind – changes due to the lapse of time</w:t>
            </w:r>
          </w:p>
        </w:tc>
        <w:tc>
          <w:tcPr>
            <w:tcW w:w="555" w:type="pct"/>
            <w:vAlign w:val="bottom"/>
          </w:tcPr>
          <w:p w14:paraId="43F4987C" w14:textId="23A33615" w:rsidR="000779A7" w:rsidRPr="00537128" w:rsidRDefault="000779A7" w:rsidP="000779A7">
            <w:pPr>
              <w:spacing w:after="0" w:line="240" w:lineRule="auto"/>
              <w:jc w:val="right"/>
              <w:rPr>
                <w:rFonts w:ascii="Calibri" w:eastAsia="Calibri" w:hAnsi="Calibri" w:cs="Calibri"/>
                <w:sz w:val="19"/>
                <w:szCs w:val="19"/>
                <w:lang w:val="en-US"/>
              </w:rPr>
            </w:pPr>
            <w:r w:rsidRPr="007A49AD">
              <w:rPr>
                <w:sz w:val="19"/>
                <w:szCs w:val="19"/>
              </w:rPr>
              <w:t xml:space="preserve"> (7</w:t>
            </w:r>
            <w:r>
              <w:rPr>
                <w:sz w:val="19"/>
                <w:szCs w:val="19"/>
              </w:rPr>
              <w:t>,</w:t>
            </w:r>
            <w:r w:rsidRPr="007A49AD">
              <w:rPr>
                <w:sz w:val="19"/>
                <w:szCs w:val="19"/>
              </w:rPr>
              <w:t>527)</w:t>
            </w:r>
          </w:p>
        </w:tc>
        <w:tc>
          <w:tcPr>
            <w:tcW w:w="555" w:type="pct"/>
            <w:vAlign w:val="bottom"/>
          </w:tcPr>
          <w:p w14:paraId="198AB8A6" w14:textId="43B83DF7" w:rsidR="000779A7" w:rsidRPr="00537128" w:rsidRDefault="000779A7" w:rsidP="000779A7">
            <w:pPr>
              <w:spacing w:after="0" w:line="240" w:lineRule="auto"/>
              <w:jc w:val="right"/>
              <w:rPr>
                <w:rFonts w:ascii="Calibri" w:eastAsia="Calibri" w:hAnsi="Calibri" w:cs="Calibri"/>
                <w:sz w:val="19"/>
                <w:szCs w:val="19"/>
                <w:lang w:val="en-US"/>
              </w:rPr>
            </w:pPr>
            <w:r w:rsidRPr="007A49AD">
              <w:rPr>
                <w:sz w:val="19"/>
                <w:szCs w:val="19"/>
              </w:rPr>
              <w:t xml:space="preserve"> (1)</w:t>
            </w:r>
          </w:p>
        </w:tc>
        <w:tc>
          <w:tcPr>
            <w:tcW w:w="556" w:type="pct"/>
            <w:vAlign w:val="bottom"/>
          </w:tcPr>
          <w:p w14:paraId="79DA657C" w14:textId="0E511561" w:rsidR="000779A7" w:rsidRPr="00537128" w:rsidRDefault="000779A7" w:rsidP="000779A7">
            <w:pPr>
              <w:spacing w:after="0" w:line="240" w:lineRule="auto"/>
              <w:jc w:val="right"/>
              <w:rPr>
                <w:rFonts w:ascii="Calibri" w:eastAsia="Calibri" w:hAnsi="Calibri" w:cs="Calibri"/>
                <w:sz w:val="19"/>
                <w:szCs w:val="19"/>
                <w:lang w:val="en-US"/>
              </w:rPr>
            </w:pPr>
            <w:r w:rsidRPr="007A49AD">
              <w:rPr>
                <w:sz w:val="19"/>
                <w:szCs w:val="19"/>
              </w:rPr>
              <w:t xml:space="preserve"> (1</w:t>
            </w:r>
            <w:r>
              <w:rPr>
                <w:sz w:val="19"/>
                <w:szCs w:val="19"/>
              </w:rPr>
              <w:t>,</w:t>
            </w:r>
            <w:r w:rsidRPr="007A49AD">
              <w:rPr>
                <w:sz w:val="19"/>
                <w:szCs w:val="19"/>
              </w:rPr>
              <w:t>008)</w:t>
            </w:r>
          </w:p>
        </w:tc>
        <w:tc>
          <w:tcPr>
            <w:tcW w:w="525" w:type="pct"/>
            <w:vAlign w:val="bottom"/>
          </w:tcPr>
          <w:p w14:paraId="4A743431" w14:textId="467B2BFE" w:rsidR="000779A7" w:rsidRPr="00537128" w:rsidRDefault="000779A7" w:rsidP="000779A7">
            <w:pPr>
              <w:spacing w:after="0" w:line="240" w:lineRule="auto"/>
              <w:jc w:val="right"/>
              <w:rPr>
                <w:rFonts w:ascii="Calibri" w:eastAsia="Calibri" w:hAnsi="Calibri" w:cs="Calibri"/>
                <w:sz w:val="19"/>
                <w:szCs w:val="19"/>
                <w:lang w:val="en-US"/>
              </w:rPr>
            </w:pPr>
            <w:r w:rsidRPr="007A49AD">
              <w:rPr>
                <w:sz w:val="19"/>
                <w:szCs w:val="19"/>
              </w:rPr>
              <w:t xml:space="preserve"> 4</w:t>
            </w:r>
            <w:r>
              <w:rPr>
                <w:sz w:val="19"/>
                <w:szCs w:val="19"/>
              </w:rPr>
              <w:t>,</w:t>
            </w:r>
            <w:r w:rsidRPr="007A49AD">
              <w:rPr>
                <w:sz w:val="19"/>
                <w:szCs w:val="19"/>
              </w:rPr>
              <w:t xml:space="preserve">220 </w:t>
            </w:r>
          </w:p>
        </w:tc>
        <w:tc>
          <w:tcPr>
            <w:tcW w:w="616" w:type="pct"/>
            <w:vAlign w:val="bottom"/>
          </w:tcPr>
          <w:p w14:paraId="6703163D" w14:textId="683852C1" w:rsidR="000779A7" w:rsidRPr="00537128" w:rsidRDefault="000779A7" w:rsidP="000779A7">
            <w:pPr>
              <w:spacing w:after="0" w:line="240" w:lineRule="auto"/>
              <w:jc w:val="right"/>
              <w:rPr>
                <w:rFonts w:ascii="Calibri" w:eastAsia="Calibri" w:hAnsi="Calibri" w:cs="Calibri"/>
                <w:sz w:val="19"/>
                <w:szCs w:val="19"/>
                <w:lang w:val="en-US"/>
              </w:rPr>
            </w:pPr>
            <w:r w:rsidRPr="007A49AD">
              <w:rPr>
                <w:sz w:val="19"/>
                <w:szCs w:val="19"/>
              </w:rPr>
              <w:t xml:space="preserve"> (4</w:t>
            </w:r>
            <w:r>
              <w:rPr>
                <w:sz w:val="19"/>
                <w:szCs w:val="19"/>
              </w:rPr>
              <w:t>,</w:t>
            </w:r>
            <w:r w:rsidRPr="007A49AD">
              <w:rPr>
                <w:sz w:val="19"/>
                <w:szCs w:val="19"/>
              </w:rPr>
              <w:t>316)</w:t>
            </w:r>
          </w:p>
        </w:tc>
      </w:tr>
      <w:tr w:rsidR="000779A7" w:rsidRPr="00537128" w14:paraId="3E8F31DB" w14:textId="77777777" w:rsidTr="000779A7">
        <w:trPr>
          <w:trHeight w:val="296"/>
        </w:trPr>
        <w:tc>
          <w:tcPr>
            <w:tcW w:w="2192" w:type="pct"/>
            <w:vAlign w:val="bottom"/>
          </w:tcPr>
          <w:p w14:paraId="49C9EDC4" w14:textId="77777777" w:rsidR="000779A7" w:rsidRPr="00537128" w:rsidRDefault="000779A7" w:rsidP="000779A7">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Loss allowances transferred to/from loans to financial institutions</w:t>
            </w:r>
          </w:p>
        </w:tc>
        <w:tc>
          <w:tcPr>
            <w:tcW w:w="555" w:type="pct"/>
            <w:vAlign w:val="bottom"/>
          </w:tcPr>
          <w:p w14:paraId="62B34980" w14:textId="40ECC3E6" w:rsidR="000779A7" w:rsidRPr="00537128" w:rsidRDefault="000779A7" w:rsidP="000779A7">
            <w:pPr>
              <w:spacing w:after="0" w:line="240" w:lineRule="auto"/>
              <w:jc w:val="right"/>
              <w:rPr>
                <w:rFonts w:ascii="Calibri" w:eastAsia="Calibri" w:hAnsi="Calibri" w:cs="Calibri"/>
                <w:sz w:val="19"/>
                <w:szCs w:val="19"/>
                <w:lang w:val="en-US"/>
              </w:rPr>
            </w:pPr>
            <w:r w:rsidRPr="00917513">
              <w:rPr>
                <w:rFonts w:ascii="Calibri" w:eastAsia="Calibri" w:hAnsi="Calibri" w:cs="Calibri"/>
                <w:color w:val="000000" w:themeColor="text1"/>
                <w:sz w:val="19"/>
                <w:szCs w:val="19"/>
              </w:rPr>
              <w:t>-</w:t>
            </w:r>
          </w:p>
        </w:tc>
        <w:tc>
          <w:tcPr>
            <w:tcW w:w="555" w:type="pct"/>
            <w:vAlign w:val="bottom"/>
          </w:tcPr>
          <w:p w14:paraId="1317906A" w14:textId="56242818" w:rsidR="000779A7" w:rsidRPr="00537128" w:rsidRDefault="000779A7" w:rsidP="000779A7">
            <w:pPr>
              <w:spacing w:after="0" w:line="240" w:lineRule="auto"/>
              <w:jc w:val="right"/>
              <w:rPr>
                <w:rFonts w:ascii="Calibri" w:eastAsia="Calibri" w:hAnsi="Calibri" w:cs="Calibri"/>
                <w:sz w:val="19"/>
                <w:szCs w:val="19"/>
                <w:lang w:val="en-US"/>
              </w:rPr>
            </w:pPr>
            <w:r w:rsidRPr="00917513">
              <w:rPr>
                <w:rFonts w:ascii="Calibri" w:eastAsia="Calibri" w:hAnsi="Calibri" w:cs="Calibri"/>
                <w:color w:val="000000" w:themeColor="text1"/>
                <w:sz w:val="19"/>
                <w:szCs w:val="19"/>
              </w:rPr>
              <w:t>-</w:t>
            </w:r>
          </w:p>
        </w:tc>
        <w:tc>
          <w:tcPr>
            <w:tcW w:w="556" w:type="pct"/>
            <w:vAlign w:val="bottom"/>
          </w:tcPr>
          <w:p w14:paraId="0A0BEEFB" w14:textId="4422FCE1" w:rsidR="000779A7" w:rsidRPr="00537128" w:rsidRDefault="000779A7" w:rsidP="000779A7">
            <w:pPr>
              <w:spacing w:after="0" w:line="240" w:lineRule="auto"/>
              <w:jc w:val="right"/>
              <w:rPr>
                <w:rFonts w:ascii="Calibri" w:eastAsia="Calibri" w:hAnsi="Calibri" w:cs="Calibri"/>
                <w:sz w:val="19"/>
                <w:szCs w:val="19"/>
                <w:lang w:val="en-US"/>
              </w:rPr>
            </w:pPr>
            <w:r w:rsidRPr="00917513">
              <w:rPr>
                <w:rFonts w:ascii="Calibri" w:eastAsia="Calibri" w:hAnsi="Calibri" w:cs="Calibri"/>
                <w:color w:val="000000" w:themeColor="text1"/>
                <w:sz w:val="19"/>
                <w:szCs w:val="19"/>
              </w:rPr>
              <w:t>-</w:t>
            </w:r>
          </w:p>
        </w:tc>
        <w:tc>
          <w:tcPr>
            <w:tcW w:w="525" w:type="pct"/>
            <w:vAlign w:val="bottom"/>
          </w:tcPr>
          <w:p w14:paraId="06DBB6B4" w14:textId="0D4C2D9E" w:rsidR="000779A7" w:rsidRPr="00537128" w:rsidRDefault="000779A7" w:rsidP="000779A7">
            <w:pPr>
              <w:spacing w:after="0" w:line="240" w:lineRule="auto"/>
              <w:jc w:val="right"/>
              <w:rPr>
                <w:rFonts w:ascii="Calibri" w:eastAsia="Calibri" w:hAnsi="Calibri" w:cs="Calibri"/>
                <w:sz w:val="19"/>
                <w:szCs w:val="19"/>
                <w:lang w:val="en-US"/>
              </w:rPr>
            </w:pPr>
            <w:r w:rsidRPr="00917513">
              <w:rPr>
                <w:rFonts w:ascii="Calibri" w:eastAsia="Calibri" w:hAnsi="Calibri" w:cs="Calibri"/>
                <w:color w:val="000000" w:themeColor="text1"/>
                <w:sz w:val="19"/>
                <w:szCs w:val="19"/>
              </w:rPr>
              <w:t>-</w:t>
            </w:r>
          </w:p>
        </w:tc>
        <w:tc>
          <w:tcPr>
            <w:tcW w:w="616" w:type="pct"/>
            <w:vAlign w:val="bottom"/>
          </w:tcPr>
          <w:p w14:paraId="35FCCE9D" w14:textId="3E7EACC3" w:rsidR="000779A7" w:rsidRPr="00537128" w:rsidRDefault="000779A7" w:rsidP="000779A7">
            <w:pPr>
              <w:spacing w:after="0" w:line="240" w:lineRule="auto"/>
              <w:jc w:val="right"/>
              <w:rPr>
                <w:rFonts w:ascii="Calibri" w:eastAsia="Calibri" w:hAnsi="Calibri" w:cs="Calibri"/>
                <w:sz w:val="19"/>
                <w:szCs w:val="19"/>
                <w:lang w:val="en-US"/>
              </w:rPr>
            </w:pPr>
            <w:r w:rsidRPr="00917513">
              <w:rPr>
                <w:rFonts w:ascii="Calibri" w:eastAsia="Calibri" w:hAnsi="Calibri" w:cs="Calibri"/>
                <w:color w:val="000000" w:themeColor="text1"/>
                <w:sz w:val="19"/>
                <w:szCs w:val="19"/>
              </w:rPr>
              <w:t>-</w:t>
            </w:r>
          </w:p>
        </w:tc>
      </w:tr>
      <w:tr w:rsidR="000779A7" w:rsidRPr="00537128" w14:paraId="58848BEF" w14:textId="77777777" w:rsidTr="000779A7">
        <w:trPr>
          <w:trHeight w:val="156"/>
        </w:trPr>
        <w:tc>
          <w:tcPr>
            <w:tcW w:w="2192" w:type="pct"/>
            <w:vAlign w:val="center"/>
          </w:tcPr>
          <w:p w14:paraId="167869B7" w14:textId="77777777" w:rsidR="000779A7" w:rsidRPr="00537128" w:rsidRDefault="000779A7" w:rsidP="000779A7">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Acquisition of immovable property</w:t>
            </w:r>
          </w:p>
        </w:tc>
        <w:tc>
          <w:tcPr>
            <w:tcW w:w="555" w:type="pct"/>
            <w:vAlign w:val="bottom"/>
          </w:tcPr>
          <w:p w14:paraId="247C4C14" w14:textId="1CB68EAE" w:rsidR="000779A7" w:rsidRPr="00537128" w:rsidRDefault="000779A7" w:rsidP="000779A7">
            <w:pPr>
              <w:spacing w:after="0" w:line="240" w:lineRule="auto"/>
              <w:jc w:val="right"/>
              <w:rPr>
                <w:rFonts w:ascii="Calibri" w:eastAsia="Calibri" w:hAnsi="Calibri" w:cs="Calibri"/>
                <w:sz w:val="19"/>
                <w:szCs w:val="19"/>
                <w:lang w:val="en-US"/>
              </w:rPr>
            </w:pPr>
            <w:r w:rsidRPr="00917513">
              <w:rPr>
                <w:rFonts w:ascii="Calibri" w:eastAsia="Calibri" w:hAnsi="Calibri" w:cs="Calibri"/>
                <w:color w:val="000000" w:themeColor="text1"/>
                <w:sz w:val="19"/>
                <w:szCs w:val="19"/>
              </w:rPr>
              <w:t>-</w:t>
            </w:r>
          </w:p>
        </w:tc>
        <w:tc>
          <w:tcPr>
            <w:tcW w:w="555" w:type="pct"/>
            <w:vAlign w:val="bottom"/>
          </w:tcPr>
          <w:p w14:paraId="4F7F5064" w14:textId="228C7AE3" w:rsidR="000779A7" w:rsidRPr="00537128" w:rsidRDefault="000779A7" w:rsidP="000779A7">
            <w:pPr>
              <w:spacing w:after="0" w:line="240" w:lineRule="auto"/>
              <w:jc w:val="right"/>
              <w:rPr>
                <w:rFonts w:ascii="Calibri" w:eastAsia="Calibri" w:hAnsi="Calibri" w:cs="Calibri"/>
                <w:sz w:val="19"/>
                <w:szCs w:val="19"/>
                <w:lang w:val="en-US"/>
              </w:rPr>
            </w:pPr>
            <w:r w:rsidRPr="00917513">
              <w:rPr>
                <w:rFonts w:ascii="Calibri" w:eastAsia="Calibri" w:hAnsi="Calibri" w:cs="Calibri"/>
                <w:color w:val="000000" w:themeColor="text1"/>
                <w:sz w:val="19"/>
                <w:szCs w:val="19"/>
              </w:rPr>
              <w:t>-</w:t>
            </w:r>
          </w:p>
        </w:tc>
        <w:tc>
          <w:tcPr>
            <w:tcW w:w="556" w:type="pct"/>
            <w:vAlign w:val="bottom"/>
          </w:tcPr>
          <w:p w14:paraId="623BDDD9" w14:textId="0253097F" w:rsidR="000779A7" w:rsidRPr="00537128" w:rsidRDefault="000779A7" w:rsidP="000779A7">
            <w:pPr>
              <w:spacing w:after="0" w:line="240" w:lineRule="auto"/>
              <w:jc w:val="right"/>
              <w:rPr>
                <w:rFonts w:ascii="Calibri" w:eastAsia="Calibri" w:hAnsi="Calibri" w:cs="Calibri"/>
                <w:sz w:val="19"/>
                <w:szCs w:val="19"/>
                <w:lang w:val="en-US"/>
              </w:rPr>
            </w:pPr>
            <w:r w:rsidRPr="00917513">
              <w:rPr>
                <w:rFonts w:ascii="Calibri" w:eastAsia="Calibri" w:hAnsi="Calibri" w:cs="Calibri"/>
                <w:color w:val="000000" w:themeColor="text1"/>
                <w:sz w:val="19"/>
                <w:szCs w:val="19"/>
              </w:rPr>
              <w:t>-</w:t>
            </w:r>
          </w:p>
        </w:tc>
        <w:tc>
          <w:tcPr>
            <w:tcW w:w="525" w:type="pct"/>
            <w:vAlign w:val="bottom"/>
          </w:tcPr>
          <w:p w14:paraId="2DBABFA6" w14:textId="469FF500" w:rsidR="000779A7" w:rsidRPr="00537128" w:rsidRDefault="000779A7" w:rsidP="000779A7">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w:t>
            </w:r>
          </w:p>
        </w:tc>
        <w:tc>
          <w:tcPr>
            <w:tcW w:w="616" w:type="pct"/>
            <w:vAlign w:val="bottom"/>
          </w:tcPr>
          <w:p w14:paraId="705719C5" w14:textId="0186CCC2" w:rsidR="000779A7" w:rsidRPr="00537128" w:rsidRDefault="000779A7" w:rsidP="000779A7">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w:t>
            </w:r>
          </w:p>
        </w:tc>
      </w:tr>
      <w:tr w:rsidR="000779A7" w:rsidRPr="00537128" w14:paraId="6508ABF2" w14:textId="77777777" w:rsidTr="000779A7">
        <w:trPr>
          <w:trHeight w:val="251"/>
        </w:trPr>
        <w:tc>
          <w:tcPr>
            <w:tcW w:w="2192" w:type="pct"/>
            <w:vAlign w:val="center"/>
          </w:tcPr>
          <w:p w14:paraId="6FF922EB" w14:textId="77777777" w:rsidR="000779A7" w:rsidRPr="00537128" w:rsidRDefault="000779A7" w:rsidP="000779A7">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Other</w:t>
            </w:r>
          </w:p>
        </w:tc>
        <w:tc>
          <w:tcPr>
            <w:tcW w:w="555" w:type="pct"/>
            <w:vAlign w:val="bottom"/>
          </w:tcPr>
          <w:p w14:paraId="43BD7C12" w14:textId="7A8E70FC" w:rsidR="000779A7" w:rsidRPr="00537128" w:rsidRDefault="000779A7" w:rsidP="000779A7">
            <w:pPr>
              <w:spacing w:after="0" w:line="240" w:lineRule="auto"/>
              <w:jc w:val="right"/>
              <w:rPr>
                <w:rFonts w:ascii="Calibri" w:eastAsia="Calibri" w:hAnsi="Calibri" w:cs="Calibri"/>
                <w:sz w:val="19"/>
                <w:szCs w:val="19"/>
                <w:lang w:val="en-US"/>
              </w:rPr>
            </w:pPr>
          </w:p>
        </w:tc>
        <w:tc>
          <w:tcPr>
            <w:tcW w:w="555" w:type="pct"/>
            <w:vAlign w:val="bottom"/>
          </w:tcPr>
          <w:p w14:paraId="574D8B31" w14:textId="494F1967" w:rsidR="000779A7" w:rsidRPr="00537128" w:rsidRDefault="000779A7" w:rsidP="000779A7">
            <w:pPr>
              <w:spacing w:after="0" w:line="240" w:lineRule="auto"/>
              <w:jc w:val="right"/>
              <w:rPr>
                <w:rFonts w:ascii="Calibri" w:eastAsia="Calibri" w:hAnsi="Calibri" w:cs="Calibri"/>
                <w:sz w:val="19"/>
                <w:szCs w:val="19"/>
                <w:lang w:val="en-US"/>
              </w:rPr>
            </w:pPr>
          </w:p>
        </w:tc>
        <w:tc>
          <w:tcPr>
            <w:tcW w:w="556" w:type="pct"/>
            <w:vAlign w:val="bottom"/>
          </w:tcPr>
          <w:p w14:paraId="54E1A9AC" w14:textId="53A703F1" w:rsidR="000779A7" w:rsidRPr="00537128" w:rsidRDefault="000779A7" w:rsidP="000779A7">
            <w:pPr>
              <w:spacing w:after="0" w:line="240" w:lineRule="auto"/>
              <w:jc w:val="right"/>
              <w:rPr>
                <w:rFonts w:ascii="Calibri" w:eastAsia="Calibri" w:hAnsi="Calibri" w:cs="Calibri"/>
                <w:sz w:val="19"/>
                <w:szCs w:val="19"/>
                <w:lang w:val="en-US"/>
              </w:rPr>
            </w:pPr>
          </w:p>
        </w:tc>
        <w:tc>
          <w:tcPr>
            <w:tcW w:w="525" w:type="pct"/>
            <w:vAlign w:val="bottom"/>
          </w:tcPr>
          <w:p w14:paraId="70370146" w14:textId="456F3D84" w:rsidR="000779A7" w:rsidRPr="00537128" w:rsidRDefault="000779A7" w:rsidP="000779A7">
            <w:pPr>
              <w:spacing w:after="0" w:line="240" w:lineRule="auto"/>
              <w:jc w:val="right"/>
              <w:rPr>
                <w:rFonts w:ascii="Calibri" w:eastAsia="Calibri" w:hAnsi="Calibri" w:cs="Calibri"/>
                <w:sz w:val="19"/>
                <w:szCs w:val="19"/>
                <w:lang w:val="en-US"/>
              </w:rPr>
            </w:pPr>
            <w:r w:rsidRPr="007A49AD">
              <w:rPr>
                <w:sz w:val="19"/>
                <w:szCs w:val="19"/>
              </w:rPr>
              <w:t xml:space="preserve"> 19</w:t>
            </w:r>
            <w:r>
              <w:rPr>
                <w:sz w:val="19"/>
                <w:szCs w:val="19"/>
              </w:rPr>
              <w:t>,</w:t>
            </w:r>
            <w:r w:rsidRPr="007A49AD">
              <w:rPr>
                <w:sz w:val="19"/>
                <w:szCs w:val="19"/>
              </w:rPr>
              <w:t xml:space="preserve">207 </w:t>
            </w:r>
          </w:p>
        </w:tc>
        <w:tc>
          <w:tcPr>
            <w:tcW w:w="616" w:type="pct"/>
            <w:vAlign w:val="bottom"/>
          </w:tcPr>
          <w:p w14:paraId="0938D9D0" w14:textId="769350AC" w:rsidR="000779A7" w:rsidRPr="00537128" w:rsidRDefault="000779A7" w:rsidP="000779A7">
            <w:pPr>
              <w:spacing w:after="0" w:line="240" w:lineRule="auto"/>
              <w:jc w:val="right"/>
              <w:rPr>
                <w:rFonts w:ascii="Calibri" w:eastAsia="Calibri" w:hAnsi="Calibri" w:cs="Calibri"/>
                <w:sz w:val="19"/>
                <w:szCs w:val="19"/>
                <w:lang w:val="en-US"/>
              </w:rPr>
            </w:pPr>
            <w:r w:rsidRPr="007A49AD">
              <w:rPr>
                <w:sz w:val="19"/>
                <w:szCs w:val="19"/>
              </w:rPr>
              <w:t xml:space="preserve"> 19</w:t>
            </w:r>
            <w:r>
              <w:rPr>
                <w:sz w:val="19"/>
                <w:szCs w:val="19"/>
              </w:rPr>
              <w:t>,</w:t>
            </w:r>
            <w:r w:rsidRPr="007A49AD">
              <w:rPr>
                <w:sz w:val="19"/>
                <w:szCs w:val="19"/>
              </w:rPr>
              <w:t xml:space="preserve">207 </w:t>
            </w:r>
          </w:p>
        </w:tc>
      </w:tr>
      <w:tr w:rsidR="000779A7" w:rsidRPr="00537128" w14:paraId="47991488" w14:textId="77777777" w:rsidTr="000779A7">
        <w:trPr>
          <w:trHeight w:val="148"/>
        </w:trPr>
        <w:tc>
          <w:tcPr>
            <w:tcW w:w="2192" w:type="pct"/>
            <w:vAlign w:val="center"/>
          </w:tcPr>
          <w:p w14:paraId="18B94346" w14:textId="29A19356" w:rsidR="000779A7" w:rsidRPr="00537128" w:rsidRDefault="000779A7" w:rsidP="000779A7">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 xml:space="preserve">Net foreign exchange </w:t>
            </w:r>
            <w:r>
              <w:rPr>
                <w:rFonts w:ascii="Calibri" w:eastAsia="Calibri" w:hAnsi="Calibri" w:cs="Times New Roman"/>
                <w:sz w:val="19"/>
                <w:szCs w:val="19"/>
                <w:lang w:val="en-US"/>
              </w:rPr>
              <w:t>gain/</w:t>
            </w:r>
            <w:r w:rsidRPr="00537128">
              <w:rPr>
                <w:rFonts w:ascii="Calibri" w:eastAsia="Calibri" w:hAnsi="Calibri" w:cs="Times New Roman"/>
                <w:sz w:val="19"/>
                <w:szCs w:val="19"/>
                <w:lang w:val="en-US"/>
              </w:rPr>
              <w:t>loss on loss allowances</w:t>
            </w:r>
          </w:p>
        </w:tc>
        <w:tc>
          <w:tcPr>
            <w:tcW w:w="555" w:type="pct"/>
            <w:tcBorders>
              <w:top w:val="nil"/>
              <w:left w:val="nil"/>
              <w:bottom w:val="single" w:sz="4" w:space="0" w:color="auto"/>
              <w:right w:val="nil"/>
            </w:tcBorders>
            <w:vAlign w:val="bottom"/>
          </w:tcPr>
          <w:p w14:paraId="16569E89" w14:textId="43DF80C1" w:rsidR="000779A7" w:rsidRPr="00537128" w:rsidRDefault="000779A7" w:rsidP="000779A7">
            <w:pPr>
              <w:spacing w:after="0" w:line="240" w:lineRule="auto"/>
              <w:jc w:val="right"/>
              <w:rPr>
                <w:rFonts w:ascii="Calibri" w:eastAsia="Calibri" w:hAnsi="Calibri" w:cs="Calibri"/>
                <w:sz w:val="19"/>
                <w:szCs w:val="19"/>
                <w:lang w:val="en-US"/>
              </w:rPr>
            </w:pPr>
            <w:r w:rsidRPr="007A49AD">
              <w:rPr>
                <w:sz w:val="19"/>
                <w:szCs w:val="19"/>
              </w:rPr>
              <w:t xml:space="preserve"> 4</w:t>
            </w:r>
            <w:r>
              <w:rPr>
                <w:sz w:val="19"/>
                <w:szCs w:val="19"/>
              </w:rPr>
              <w:t>,</w:t>
            </w:r>
            <w:r w:rsidRPr="007A49AD">
              <w:rPr>
                <w:sz w:val="19"/>
                <w:szCs w:val="19"/>
              </w:rPr>
              <w:t xml:space="preserve">443 </w:t>
            </w:r>
          </w:p>
        </w:tc>
        <w:tc>
          <w:tcPr>
            <w:tcW w:w="555" w:type="pct"/>
            <w:tcBorders>
              <w:top w:val="nil"/>
              <w:left w:val="nil"/>
              <w:bottom w:val="single" w:sz="4" w:space="0" w:color="auto"/>
              <w:right w:val="nil"/>
            </w:tcBorders>
            <w:vAlign w:val="bottom"/>
          </w:tcPr>
          <w:p w14:paraId="140CB9E6" w14:textId="7A99FC29" w:rsidR="000779A7" w:rsidRPr="00537128" w:rsidRDefault="000779A7" w:rsidP="000779A7">
            <w:pPr>
              <w:spacing w:after="0" w:line="240" w:lineRule="auto"/>
              <w:jc w:val="right"/>
              <w:rPr>
                <w:rFonts w:ascii="Calibri" w:eastAsia="Calibri" w:hAnsi="Calibri" w:cs="Calibri"/>
                <w:sz w:val="19"/>
                <w:szCs w:val="19"/>
                <w:lang w:val="en-US"/>
              </w:rPr>
            </w:pPr>
            <w:r w:rsidRPr="007A49AD">
              <w:rPr>
                <w:sz w:val="19"/>
                <w:szCs w:val="19"/>
              </w:rPr>
              <w:t xml:space="preserve"> 3</w:t>
            </w:r>
            <w:r>
              <w:rPr>
                <w:sz w:val="19"/>
                <w:szCs w:val="19"/>
              </w:rPr>
              <w:t>,</w:t>
            </w:r>
            <w:r w:rsidRPr="007A49AD">
              <w:rPr>
                <w:sz w:val="19"/>
                <w:szCs w:val="19"/>
              </w:rPr>
              <w:t xml:space="preserve">266 </w:t>
            </w:r>
          </w:p>
        </w:tc>
        <w:tc>
          <w:tcPr>
            <w:tcW w:w="556" w:type="pct"/>
            <w:tcBorders>
              <w:top w:val="nil"/>
              <w:left w:val="nil"/>
              <w:bottom w:val="single" w:sz="4" w:space="0" w:color="auto"/>
              <w:right w:val="nil"/>
            </w:tcBorders>
            <w:vAlign w:val="bottom"/>
          </w:tcPr>
          <w:p w14:paraId="47447503" w14:textId="3D172D9B" w:rsidR="000779A7" w:rsidRPr="00537128" w:rsidRDefault="000779A7" w:rsidP="000779A7">
            <w:pPr>
              <w:spacing w:after="0" w:line="240" w:lineRule="auto"/>
              <w:jc w:val="right"/>
              <w:rPr>
                <w:rFonts w:ascii="Calibri" w:eastAsia="Calibri" w:hAnsi="Calibri" w:cs="Calibri"/>
                <w:sz w:val="19"/>
                <w:szCs w:val="19"/>
                <w:lang w:val="en-US"/>
              </w:rPr>
            </w:pPr>
            <w:r w:rsidRPr="007A49AD">
              <w:rPr>
                <w:sz w:val="19"/>
                <w:szCs w:val="19"/>
              </w:rPr>
              <w:t xml:space="preserve"> 6</w:t>
            </w:r>
            <w:r>
              <w:rPr>
                <w:sz w:val="19"/>
                <w:szCs w:val="19"/>
              </w:rPr>
              <w:t>,</w:t>
            </w:r>
            <w:r w:rsidRPr="007A49AD">
              <w:rPr>
                <w:sz w:val="19"/>
                <w:szCs w:val="19"/>
              </w:rPr>
              <w:t xml:space="preserve">755 </w:t>
            </w:r>
          </w:p>
        </w:tc>
        <w:tc>
          <w:tcPr>
            <w:tcW w:w="525" w:type="pct"/>
            <w:tcBorders>
              <w:top w:val="nil"/>
              <w:left w:val="nil"/>
              <w:bottom w:val="single" w:sz="4" w:space="0" w:color="auto"/>
              <w:right w:val="nil"/>
            </w:tcBorders>
            <w:vAlign w:val="bottom"/>
          </w:tcPr>
          <w:p w14:paraId="2849C05E" w14:textId="1328BD8B" w:rsidR="000779A7" w:rsidRPr="00537128" w:rsidRDefault="000779A7" w:rsidP="000779A7">
            <w:pPr>
              <w:spacing w:after="0" w:line="240" w:lineRule="auto"/>
              <w:jc w:val="right"/>
              <w:rPr>
                <w:rFonts w:ascii="Calibri" w:eastAsia="Calibri" w:hAnsi="Calibri" w:cs="Calibri"/>
                <w:sz w:val="19"/>
                <w:szCs w:val="19"/>
                <w:lang w:val="en-US"/>
              </w:rPr>
            </w:pPr>
            <w:r w:rsidRPr="007A49AD">
              <w:rPr>
                <w:sz w:val="19"/>
                <w:szCs w:val="19"/>
              </w:rPr>
              <w:t xml:space="preserve"> (104)</w:t>
            </w:r>
          </w:p>
        </w:tc>
        <w:tc>
          <w:tcPr>
            <w:tcW w:w="616" w:type="pct"/>
            <w:tcBorders>
              <w:top w:val="nil"/>
              <w:left w:val="nil"/>
              <w:bottom w:val="single" w:sz="4" w:space="0" w:color="auto"/>
              <w:right w:val="nil"/>
            </w:tcBorders>
            <w:vAlign w:val="bottom"/>
          </w:tcPr>
          <w:p w14:paraId="3065AC8B" w14:textId="7A2675B4" w:rsidR="000779A7" w:rsidRPr="00537128" w:rsidRDefault="000779A7" w:rsidP="000779A7">
            <w:pPr>
              <w:spacing w:after="0" w:line="240" w:lineRule="auto"/>
              <w:jc w:val="right"/>
              <w:rPr>
                <w:rFonts w:ascii="Calibri" w:eastAsia="Calibri" w:hAnsi="Calibri" w:cs="Calibri"/>
                <w:sz w:val="19"/>
                <w:szCs w:val="19"/>
                <w:lang w:val="en-US"/>
              </w:rPr>
            </w:pPr>
            <w:r w:rsidRPr="007A49AD">
              <w:rPr>
                <w:sz w:val="19"/>
                <w:szCs w:val="19"/>
              </w:rPr>
              <w:t xml:space="preserve"> 14</w:t>
            </w:r>
            <w:r>
              <w:rPr>
                <w:sz w:val="19"/>
                <w:szCs w:val="19"/>
              </w:rPr>
              <w:t>,</w:t>
            </w:r>
            <w:r w:rsidRPr="007A49AD">
              <w:rPr>
                <w:sz w:val="19"/>
                <w:szCs w:val="19"/>
              </w:rPr>
              <w:t xml:space="preserve">360 </w:t>
            </w:r>
          </w:p>
        </w:tc>
      </w:tr>
      <w:tr w:rsidR="000779A7" w:rsidRPr="00537128" w14:paraId="1BBF9FFD" w14:textId="77777777" w:rsidTr="000779A7">
        <w:trPr>
          <w:trHeight w:val="33"/>
        </w:trPr>
        <w:tc>
          <w:tcPr>
            <w:tcW w:w="2192" w:type="pct"/>
            <w:vAlign w:val="center"/>
          </w:tcPr>
          <w:p w14:paraId="56B57C8C" w14:textId="47785EA7" w:rsidR="000779A7" w:rsidRPr="00537128" w:rsidRDefault="000779A7" w:rsidP="000779A7">
            <w:pPr>
              <w:tabs>
                <w:tab w:val="right" w:pos="1202"/>
              </w:tabs>
              <w:spacing w:after="0" w:line="301" w:lineRule="exact"/>
              <w:outlineLvl w:val="0"/>
              <w:rPr>
                <w:rFonts w:ascii="Calibri" w:eastAsia="Calibri" w:hAnsi="Calibri" w:cs="Arial"/>
                <w:b/>
                <w:bCs/>
                <w:sz w:val="19"/>
                <w:szCs w:val="19"/>
                <w:lang w:val="en-US"/>
              </w:rPr>
            </w:pPr>
            <w:r w:rsidRPr="00537128">
              <w:rPr>
                <w:rFonts w:ascii="Calibri" w:eastAsia="Calibri" w:hAnsi="Calibri" w:cs="Arial"/>
                <w:b/>
                <w:bCs/>
                <w:sz w:val="19"/>
                <w:szCs w:val="19"/>
                <w:lang w:val="en-US"/>
              </w:rPr>
              <w:t xml:space="preserve">Balance </w:t>
            </w:r>
            <w:proofErr w:type="gramStart"/>
            <w:r w:rsidRPr="00537128">
              <w:rPr>
                <w:rFonts w:ascii="Calibri" w:eastAsia="Calibri" w:hAnsi="Calibri" w:cs="Arial"/>
                <w:b/>
                <w:bCs/>
                <w:sz w:val="19"/>
                <w:szCs w:val="19"/>
                <w:lang w:val="en-US"/>
              </w:rPr>
              <w:t>at</w:t>
            </w:r>
            <w:proofErr w:type="gramEnd"/>
            <w:r w:rsidRPr="00537128">
              <w:rPr>
                <w:rFonts w:ascii="Calibri" w:eastAsia="Calibri" w:hAnsi="Calibri" w:cs="Arial"/>
                <w:b/>
                <w:bCs/>
                <w:sz w:val="19"/>
                <w:szCs w:val="19"/>
                <w:lang w:val="en-US"/>
              </w:rPr>
              <w:t xml:space="preserve"> 31 March 202</w:t>
            </w:r>
            <w:r>
              <w:rPr>
                <w:rFonts w:ascii="Calibri" w:eastAsia="Calibri" w:hAnsi="Calibri" w:cs="Arial"/>
                <w:b/>
                <w:bCs/>
                <w:sz w:val="19"/>
                <w:szCs w:val="19"/>
                <w:lang w:val="en-US"/>
              </w:rPr>
              <w:t>2</w:t>
            </w:r>
          </w:p>
        </w:tc>
        <w:tc>
          <w:tcPr>
            <w:tcW w:w="555" w:type="pct"/>
            <w:tcBorders>
              <w:top w:val="single" w:sz="4" w:space="0" w:color="auto"/>
              <w:left w:val="nil"/>
              <w:bottom w:val="single" w:sz="12" w:space="0" w:color="auto"/>
              <w:right w:val="nil"/>
            </w:tcBorders>
            <w:shd w:val="clear" w:color="auto" w:fill="auto"/>
            <w:vAlign w:val="bottom"/>
          </w:tcPr>
          <w:p w14:paraId="0B77EA38" w14:textId="7D158346" w:rsidR="000779A7" w:rsidRPr="00537128" w:rsidRDefault="000779A7" w:rsidP="000779A7">
            <w:pPr>
              <w:tabs>
                <w:tab w:val="right" w:pos="1202"/>
              </w:tabs>
              <w:spacing w:after="0" w:line="301" w:lineRule="exact"/>
              <w:jc w:val="right"/>
              <w:outlineLvl w:val="0"/>
              <w:rPr>
                <w:rFonts w:ascii="Calibri" w:eastAsia="Calibri" w:hAnsi="Calibri" w:cs="Calibri"/>
                <w:b/>
                <w:sz w:val="19"/>
                <w:szCs w:val="19"/>
                <w:lang w:val="en-US"/>
              </w:rPr>
            </w:pPr>
            <w:r w:rsidRPr="007A49AD">
              <w:rPr>
                <w:b/>
                <w:bCs/>
                <w:sz w:val="20"/>
                <w:szCs w:val="20"/>
              </w:rPr>
              <w:t xml:space="preserve"> 379</w:t>
            </w:r>
            <w:r>
              <w:rPr>
                <w:b/>
                <w:bCs/>
                <w:sz w:val="20"/>
                <w:szCs w:val="20"/>
              </w:rPr>
              <w:t>,</w:t>
            </w:r>
            <w:r w:rsidRPr="007A49AD">
              <w:rPr>
                <w:b/>
                <w:bCs/>
                <w:sz w:val="20"/>
                <w:szCs w:val="20"/>
              </w:rPr>
              <w:t xml:space="preserve">697 </w:t>
            </w:r>
          </w:p>
        </w:tc>
        <w:tc>
          <w:tcPr>
            <w:tcW w:w="555" w:type="pct"/>
            <w:tcBorders>
              <w:top w:val="single" w:sz="4" w:space="0" w:color="auto"/>
              <w:left w:val="nil"/>
              <w:bottom w:val="single" w:sz="12" w:space="0" w:color="auto"/>
              <w:right w:val="nil"/>
            </w:tcBorders>
            <w:shd w:val="clear" w:color="auto" w:fill="auto"/>
            <w:vAlign w:val="bottom"/>
          </w:tcPr>
          <w:p w14:paraId="12611447" w14:textId="45EFE47D" w:rsidR="000779A7" w:rsidRPr="00537128" w:rsidRDefault="000779A7" w:rsidP="000779A7">
            <w:pPr>
              <w:tabs>
                <w:tab w:val="right" w:pos="1202"/>
              </w:tabs>
              <w:spacing w:after="0" w:line="301" w:lineRule="exact"/>
              <w:jc w:val="right"/>
              <w:outlineLvl w:val="0"/>
              <w:rPr>
                <w:rFonts w:ascii="Calibri" w:eastAsia="Calibri" w:hAnsi="Calibri" w:cs="Calibri"/>
                <w:b/>
                <w:sz w:val="19"/>
                <w:szCs w:val="19"/>
                <w:lang w:val="en-US"/>
              </w:rPr>
            </w:pPr>
            <w:r w:rsidRPr="007A49AD">
              <w:rPr>
                <w:b/>
                <w:bCs/>
                <w:sz w:val="20"/>
                <w:szCs w:val="20"/>
              </w:rPr>
              <w:t xml:space="preserve"> 551</w:t>
            </w:r>
            <w:r>
              <w:rPr>
                <w:b/>
                <w:bCs/>
                <w:sz w:val="20"/>
                <w:szCs w:val="20"/>
              </w:rPr>
              <w:t>,</w:t>
            </w:r>
            <w:r w:rsidRPr="007A49AD">
              <w:rPr>
                <w:b/>
                <w:bCs/>
                <w:sz w:val="20"/>
                <w:szCs w:val="20"/>
              </w:rPr>
              <w:t xml:space="preserve">655 </w:t>
            </w:r>
          </w:p>
        </w:tc>
        <w:tc>
          <w:tcPr>
            <w:tcW w:w="556" w:type="pct"/>
            <w:tcBorders>
              <w:top w:val="single" w:sz="4" w:space="0" w:color="auto"/>
              <w:left w:val="nil"/>
              <w:bottom w:val="single" w:sz="12" w:space="0" w:color="auto"/>
              <w:right w:val="nil"/>
            </w:tcBorders>
            <w:shd w:val="clear" w:color="auto" w:fill="auto"/>
            <w:vAlign w:val="bottom"/>
          </w:tcPr>
          <w:p w14:paraId="3153A888" w14:textId="68F89539" w:rsidR="000779A7" w:rsidRPr="00537128" w:rsidRDefault="000779A7" w:rsidP="000779A7">
            <w:pPr>
              <w:tabs>
                <w:tab w:val="right" w:pos="1202"/>
              </w:tabs>
              <w:spacing w:after="0" w:line="301" w:lineRule="exact"/>
              <w:outlineLvl w:val="0"/>
              <w:rPr>
                <w:rFonts w:ascii="Calibri" w:eastAsia="Calibri" w:hAnsi="Calibri" w:cs="Calibri"/>
                <w:b/>
                <w:sz w:val="19"/>
                <w:szCs w:val="19"/>
                <w:lang w:val="en-US"/>
              </w:rPr>
            </w:pPr>
            <w:r w:rsidRPr="007A49AD">
              <w:rPr>
                <w:b/>
                <w:bCs/>
                <w:sz w:val="20"/>
                <w:szCs w:val="20"/>
              </w:rPr>
              <w:t>2</w:t>
            </w:r>
            <w:r>
              <w:rPr>
                <w:b/>
                <w:bCs/>
                <w:sz w:val="20"/>
                <w:szCs w:val="20"/>
              </w:rPr>
              <w:t>,</w:t>
            </w:r>
            <w:r w:rsidRPr="007A49AD">
              <w:rPr>
                <w:b/>
                <w:bCs/>
                <w:sz w:val="20"/>
                <w:szCs w:val="20"/>
              </w:rPr>
              <w:t>001</w:t>
            </w:r>
            <w:r>
              <w:rPr>
                <w:b/>
                <w:bCs/>
                <w:sz w:val="20"/>
                <w:szCs w:val="20"/>
              </w:rPr>
              <w:t>,</w:t>
            </w:r>
            <w:r w:rsidRPr="007A49AD">
              <w:rPr>
                <w:b/>
                <w:bCs/>
                <w:sz w:val="20"/>
                <w:szCs w:val="20"/>
              </w:rPr>
              <w:t xml:space="preserve">445 </w:t>
            </w:r>
          </w:p>
        </w:tc>
        <w:tc>
          <w:tcPr>
            <w:tcW w:w="525" w:type="pct"/>
            <w:tcBorders>
              <w:top w:val="single" w:sz="4" w:space="0" w:color="auto"/>
              <w:left w:val="nil"/>
              <w:bottom w:val="single" w:sz="12" w:space="0" w:color="auto"/>
              <w:right w:val="nil"/>
            </w:tcBorders>
            <w:shd w:val="clear" w:color="auto" w:fill="auto"/>
            <w:vAlign w:val="bottom"/>
          </w:tcPr>
          <w:p w14:paraId="717540D8" w14:textId="3C4EADA0" w:rsidR="000779A7" w:rsidRPr="00537128" w:rsidRDefault="000779A7" w:rsidP="000779A7">
            <w:pPr>
              <w:tabs>
                <w:tab w:val="right" w:pos="1202"/>
              </w:tabs>
              <w:spacing w:after="0" w:line="301" w:lineRule="exact"/>
              <w:jc w:val="right"/>
              <w:outlineLvl w:val="0"/>
              <w:rPr>
                <w:rFonts w:ascii="Calibri" w:eastAsia="Calibri" w:hAnsi="Calibri" w:cs="Calibri"/>
                <w:b/>
                <w:sz w:val="19"/>
                <w:szCs w:val="19"/>
                <w:lang w:val="en-US"/>
              </w:rPr>
            </w:pPr>
            <w:r w:rsidRPr="007A49AD">
              <w:rPr>
                <w:b/>
                <w:bCs/>
                <w:sz w:val="20"/>
                <w:szCs w:val="20"/>
              </w:rPr>
              <w:t xml:space="preserve"> 213</w:t>
            </w:r>
            <w:r>
              <w:rPr>
                <w:b/>
                <w:bCs/>
                <w:sz w:val="20"/>
                <w:szCs w:val="20"/>
              </w:rPr>
              <w:t>,</w:t>
            </w:r>
            <w:r w:rsidRPr="007A49AD">
              <w:rPr>
                <w:b/>
                <w:bCs/>
                <w:sz w:val="20"/>
                <w:szCs w:val="20"/>
              </w:rPr>
              <w:t xml:space="preserve">196 </w:t>
            </w:r>
          </w:p>
        </w:tc>
        <w:tc>
          <w:tcPr>
            <w:tcW w:w="616" w:type="pct"/>
            <w:tcBorders>
              <w:top w:val="single" w:sz="4" w:space="0" w:color="auto"/>
              <w:left w:val="nil"/>
              <w:bottom w:val="single" w:sz="12" w:space="0" w:color="auto"/>
              <w:right w:val="nil"/>
            </w:tcBorders>
            <w:shd w:val="clear" w:color="auto" w:fill="auto"/>
            <w:vAlign w:val="bottom"/>
          </w:tcPr>
          <w:p w14:paraId="3A459DB3" w14:textId="74A18D41" w:rsidR="000779A7" w:rsidRPr="00537128" w:rsidRDefault="000779A7" w:rsidP="000779A7">
            <w:pPr>
              <w:tabs>
                <w:tab w:val="right" w:pos="1202"/>
              </w:tabs>
              <w:spacing w:after="0" w:line="301" w:lineRule="exact"/>
              <w:jc w:val="right"/>
              <w:outlineLvl w:val="0"/>
              <w:rPr>
                <w:rFonts w:ascii="Calibri" w:eastAsia="Calibri" w:hAnsi="Calibri" w:cs="Calibri"/>
                <w:b/>
                <w:sz w:val="19"/>
                <w:szCs w:val="19"/>
                <w:lang w:val="en-US"/>
              </w:rPr>
            </w:pPr>
            <w:r w:rsidRPr="007A49AD">
              <w:rPr>
                <w:b/>
                <w:bCs/>
                <w:sz w:val="20"/>
                <w:szCs w:val="20"/>
              </w:rPr>
              <w:t xml:space="preserve"> 3</w:t>
            </w:r>
            <w:r>
              <w:rPr>
                <w:b/>
                <w:bCs/>
                <w:sz w:val="20"/>
                <w:szCs w:val="20"/>
              </w:rPr>
              <w:t>,</w:t>
            </w:r>
            <w:r w:rsidRPr="007A49AD">
              <w:rPr>
                <w:b/>
                <w:bCs/>
                <w:sz w:val="20"/>
                <w:szCs w:val="20"/>
              </w:rPr>
              <w:t>145</w:t>
            </w:r>
            <w:r>
              <w:rPr>
                <w:b/>
                <w:bCs/>
                <w:sz w:val="20"/>
                <w:szCs w:val="20"/>
              </w:rPr>
              <w:t>,</w:t>
            </w:r>
            <w:r w:rsidRPr="007A49AD">
              <w:rPr>
                <w:b/>
                <w:bCs/>
                <w:sz w:val="20"/>
                <w:szCs w:val="20"/>
              </w:rPr>
              <w:t xml:space="preserve">993 </w:t>
            </w:r>
          </w:p>
        </w:tc>
      </w:tr>
      <w:bookmarkEnd w:id="816"/>
    </w:tbl>
    <w:p w14:paraId="36582A40" w14:textId="7E0EAD2C" w:rsidR="004A287E" w:rsidRPr="00537128" w:rsidRDefault="004A287E" w:rsidP="00024090">
      <w:pPr>
        <w:spacing w:after="0" w:line="240" w:lineRule="auto"/>
        <w:jc w:val="both"/>
        <w:rPr>
          <w:rFonts w:ascii="Calibri" w:eastAsia="Times New Roman" w:hAnsi="Calibri" w:cs="Times New Roman"/>
          <w:b/>
          <w:bCs/>
          <w:color w:val="000000" w:themeColor="text1"/>
          <w:lang w:val="en-US"/>
        </w:rPr>
      </w:pPr>
    </w:p>
    <w:p w14:paraId="14167011" w14:textId="7C56E07F" w:rsidR="004A287E" w:rsidRDefault="004A287E" w:rsidP="00024090">
      <w:pPr>
        <w:spacing w:after="0" w:line="240" w:lineRule="auto"/>
        <w:jc w:val="both"/>
        <w:rPr>
          <w:rFonts w:ascii="Calibri" w:eastAsia="Times New Roman" w:hAnsi="Calibri" w:cs="Times New Roman"/>
          <w:b/>
          <w:bCs/>
          <w:color w:val="000000" w:themeColor="text1"/>
          <w:lang w:val="en-US"/>
        </w:rPr>
      </w:pPr>
    </w:p>
    <w:p w14:paraId="2BEF57DB" w14:textId="180A3FCF" w:rsidR="00210F7A" w:rsidRDefault="00210F7A" w:rsidP="00024090">
      <w:pPr>
        <w:spacing w:after="0" w:line="240" w:lineRule="auto"/>
        <w:jc w:val="both"/>
        <w:rPr>
          <w:rFonts w:ascii="Calibri" w:eastAsia="Times New Roman" w:hAnsi="Calibri" w:cs="Times New Roman"/>
          <w:b/>
          <w:bCs/>
          <w:color w:val="000000" w:themeColor="text1"/>
          <w:lang w:val="en-US"/>
        </w:rPr>
      </w:pPr>
    </w:p>
    <w:p w14:paraId="5C3E941B" w14:textId="77777777" w:rsidR="00210F7A" w:rsidRPr="00537128" w:rsidRDefault="00210F7A" w:rsidP="00024090">
      <w:pPr>
        <w:spacing w:after="0" w:line="240" w:lineRule="auto"/>
        <w:jc w:val="both"/>
        <w:rPr>
          <w:rFonts w:ascii="Calibri" w:eastAsia="Times New Roman" w:hAnsi="Calibri" w:cs="Times New Roman"/>
          <w:b/>
          <w:bCs/>
          <w:color w:val="000000" w:themeColor="text1"/>
          <w:lang w:val="en-US"/>
        </w:rPr>
      </w:pPr>
    </w:p>
    <w:tbl>
      <w:tblPr>
        <w:tblpPr w:leftFromText="180" w:rightFromText="180" w:vertAnchor="text" w:horzAnchor="margin" w:tblpY="25"/>
        <w:tblW w:w="5007" w:type="pct"/>
        <w:tblLayout w:type="fixed"/>
        <w:tblLook w:val="0000" w:firstRow="0" w:lastRow="0" w:firstColumn="0" w:lastColumn="0" w:noHBand="0" w:noVBand="0"/>
      </w:tblPr>
      <w:tblGrid>
        <w:gridCol w:w="4111"/>
        <w:gridCol w:w="1040"/>
        <w:gridCol w:w="1040"/>
        <w:gridCol w:w="1042"/>
        <w:gridCol w:w="984"/>
        <w:gridCol w:w="1150"/>
      </w:tblGrid>
      <w:tr w:rsidR="00210F7A" w:rsidRPr="00210F7A" w14:paraId="5999290C" w14:textId="77777777" w:rsidTr="00E44437">
        <w:trPr>
          <w:trHeight w:val="46"/>
        </w:trPr>
        <w:tc>
          <w:tcPr>
            <w:tcW w:w="2195" w:type="pct"/>
          </w:tcPr>
          <w:p w14:paraId="5F0473ED" w14:textId="77777777" w:rsidR="00210F7A" w:rsidRPr="00210F7A" w:rsidRDefault="00210F7A" w:rsidP="00210F7A">
            <w:pPr>
              <w:spacing w:after="0" w:line="240" w:lineRule="auto"/>
              <w:rPr>
                <w:rFonts w:ascii="Calibri" w:eastAsia="Calibri" w:hAnsi="Calibri" w:cs="Arial"/>
                <w:b/>
                <w:bCs/>
                <w:sz w:val="19"/>
                <w:szCs w:val="19"/>
                <w:lang w:val="en-GB"/>
              </w:rPr>
            </w:pPr>
            <w:r w:rsidRPr="00210F7A">
              <w:rPr>
                <w:rFonts w:ascii="Calibri" w:eastAsia="Calibri" w:hAnsi="Calibri" w:cs="Arial"/>
                <w:b/>
                <w:bCs/>
                <w:sz w:val="19"/>
                <w:szCs w:val="19"/>
                <w:lang w:val="en-GB"/>
              </w:rPr>
              <w:t>Group and Bank</w:t>
            </w:r>
          </w:p>
        </w:tc>
        <w:tc>
          <w:tcPr>
            <w:tcW w:w="2805" w:type="pct"/>
            <w:gridSpan w:val="5"/>
            <w:vAlign w:val="bottom"/>
          </w:tcPr>
          <w:p w14:paraId="48E02285" w14:textId="77777777" w:rsidR="00210F7A" w:rsidRPr="00210F7A" w:rsidRDefault="00210F7A" w:rsidP="00210F7A">
            <w:pPr>
              <w:spacing w:after="0" w:line="240" w:lineRule="auto"/>
              <w:jc w:val="center"/>
              <w:rPr>
                <w:rFonts w:ascii="Calibri" w:eastAsia="Calibri" w:hAnsi="Calibri" w:cs="Arial"/>
                <w:b/>
                <w:sz w:val="19"/>
                <w:szCs w:val="19"/>
                <w:lang w:val="en-GB"/>
              </w:rPr>
            </w:pPr>
          </w:p>
        </w:tc>
      </w:tr>
      <w:tr w:rsidR="00210F7A" w:rsidRPr="00210F7A" w14:paraId="58F2E181" w14:textId="77777777" w:rsidTr="00E44437">
        <w:trPr>
          <w:trHeight w:val="46"/>
        </w:trPr>
        <w:tc>
          <w:tcPr>
            <w:tcW w:w="2195" w:type="pct"/>
          </w:tcPr>
          <w:p w14:paraId="63C89E4E" w14:textId="77777777" w:rsidR="00210F7A" w:rsidRPr="00210F7A" w:rsidRDefault="00210F7A" w:rsidP="00210F7A">
            <w:pPr>
              <w:spacing w:after="0" w:line="240" w:lineRule="auto"/>
              <w:rPr>
                <w:rFonts w:ascii="Calibri" w:eastAsia="Calibri" w:hAnsi="Calibri" w:cs="Arial"/>
                <w:b/>
                <w:bCs/>
                <w:sz w:val="19"/>
                <w:szCs w:val="19"/>
                <w:lang w:val="en-GB"/>
              </w:rPr>
            </w:pPr>
            <w:r w:rsidRPr="00210F7A">
              <w:rPr>
                <w:rFonts w:ascii="Calibri" w:eastAsia="Calibri" w:hAnsi="Calibri" w:cs="Arial"/>
                <w:b/>
                <w:bCs/>
                <w:sz w:val="19"/>
                <w:szCs w:val="19"/>
                <w:lang w:val="en-GB"/>
              </w:rPr>
              <w:t>31 December 2021</w:t>
            </w:r>
          </w:p>
        </w:tc>
        <w:tc>
          <w:tcPr>
            <w:tcW w:w="555" w:type="pct"/>
            <w:vAlign w:val="bottom"/>
          </w:tcPr>
          <w:p w14:paraId="226DF439" w14:textId="77777777" w:rsidR="00210F7A" w:rsidRPr="00210F7A" w:rsidRDefault="00210F7A" w:rsidP="00210F7A">
            <w:pPr>
              <w:spacing w:after="0" w:line="240" w:lineRule="auto"/>
              <w:jc w:val="right"/>
              <w:rPr>
                <w:rFonts w:ascii="Calibri" w:eastAsia="Calibri" w:hAnsi="Calibri" w:cs="Arial"/>
                <w:b/>
                <w:sz w:val="19"/>
                <w:szCs w:val="19"/>
                <w:lang w:val="en-GB"/>
              </w:rPr>
            </w:pPr>
            <w:r w:rsidRPr="00210F7A">
              <w:rPr>
                <w:rFonts w:ascii="Calibri" w:eastAsia="Calibri" w:hAnsi="Calibri" w:cs="Arial"/>
                <w:b/>
                <w:sz w:val="19"/>
                <w:szCs w:val="19"/>
                <w:lang w:val="en-GB"/>
              </w:rPr>
              <w:t>Stage 1</w:t>
            </w:r>
          </w:p>
        </w:tc>
        <w:tc>
          <w:tcPr>
            <w:tcW w:w="555" w:type="pct"/>
            <w:vAlign w:val="bottom"/>
          </w:tcPr>
          <w:p w14:paraId="6F3EF909" w14:textId="77777777" w:rsidR="00210F7A" w:rsidRPr="00210F7A" w:rsidRDefault="00210F7A" w:rsidP="00210F7A">
            <w:pPr>
              <w:spacing w:after="0" w:line="240" w:lineRule="auto"/>
              <w:jc w:val="right"/>
              <w:rPr>
                <w:rFonts w:ascii="Calibri" w:eastAsia="Calibri" w:hAnsi="Calibri" w:cs="Arial"/>
                <w:b/>
                <w:sz w:val="19"/>
                <w:szCs w:val="19"/>
                <w:lang w:val="en-GB"/>
              </w:rPr>
            </w:pPr>
            <w:r w:rsidRPr="00210F7A">
              <w:rPr>
                <w:rFonts w:ascii="Calibri" w:eastAsia="Calibri" w:hAnsi="Calibri" w:cs="Arial"/>
                <w:b/>
                <w:sz w:val="19"/>
                <w:szCs w:val="19"/>
                <w:lang w:val="en-GB"/>
              </w:rPr>
              <w:t>Stage 2</w:t>
            </w:r>
          </w:p>
        </w:tc>
        <w:tc>
          <w:tcPr>
            <w:tcW w:w="556" w:type="pct"/>
            <w:vAlign w:val="bottom"/>
          </w:tcPr>
          <w:p w14:paraId="5DE4AF4D" w14:textId="77777777" w:rsidR="00210F7A" w:rsidRPr="00210F7A" w:rsidRDefault="00210F7A" w:rsidP="00210F7A">
            <w:pPr>
              <w:spacing w:after="0" w:line="240" w:lineRule="auto"/>
              <w:jc w:val="right"/>
              <w:rPr>
                <w:rFonts w:ascii="Calibri" w:eastAsia="Calibri" w:hAnsi="Calibri" w:cs="Arial"/>
                <w:b/>
                <w:sz w:val="19"/>
                <w:szCs w:val="19"/>
                <w:lang w:val="en-GB"/>
              </w:rPr>
            </w:pPr>
            <w:r w:rsidRPr="00210F7A">
              <w:rPr>
                <w:rFonts w:ascii="Calibri" w:eastAsia="Calibri" w:hAnsi="Calibri" w:cs="Arial"/>
                <w:b/>
                <w:sz w:val="19"/>
                <w:szCs w:val="19"/>
                <w:lang w:val="en-GB"/>
              </w:rPr>
              <w:t>Stage 3</w:t>
            </w:r>
          </w:p>
        </w:tc>
        <w:tc>
          <w:tcPr>
            <w:tcW w:w="525" w:type="pct"/>
            <w:vAlign w:val="bottom"/>
          </w:tcPr>
          <w:p w14:paraId="2925FF81" w14:textId="77777777" w:rsidR="00210F7A" w:rsidRPr="00210F7A" w:rsidRDefault="00210F7A" w:rsidP="00210F7A">
            <w:pPr>
              <w:spacing w:after="0" w:line="240" w:lineRule="auto"/>
              <w:jc w:val="right"/>
              <w:rPr>
                <w:rFonts w:ascii="Calibri" w:eastAsia="Calibri" w:hAnsi="Calibri" w:cs="Arial"/>
                <w:b/>
                <w:sz w:val="19"/>
                <w:szCs w:val="19"/>
                <w:lang w:val="en-GB"/>
              </w:rPr>
            </w:pPr>
            <w:r w:rsidRPr="00210F7A">
              <w:rPr>
                <w:rFonts w:ascii="Calibri" w:eastAsia="Calibri" w:hAnsi="Calibri" w:cs="Arial"/>
                <w:b/>
                <w:sz w:val="19"/>
                <w:szCs w:val="19"/>
                <w:lang w:val="en-GB"/>
              </w:rPr>
              <w:t>POCI</w:t>
            </w:r>
          </w:p>
        </w:tc>
        <w:tc>
          <w:tcPr>
            <w:tcW w:w="614" w:type="pct"/>
            <w:vAlign w:val="bottom"/>
          </w:tcPr>
          <w:p w14:paraId="31C7CC3C" w14:textId="77777777" w:rsidR="00210F7A" w:rsidRPr="00210F7A" w:rsidRDefault="00210F7A" w:rsidP="00210F7A">
            <w:pPr>
              <w:spacing w:after="0" w:line="240" w:lineRule="auto"/>
              <w:jc w:val="right"/>
              <w:rPr>
                <w:rFonts w:ascii="Calibri" w:eastAsia="Calibri" w:hAnsi="Calibri" w:cs="Arial"/>
                <w:b/>
                <w:sz w:val="19"/>
                <w:szCs w:val="19"/>
                <w:lang w:val="en-GB"/>
              </w:rPr>
            </w:pPr>
            <w:r w:rsidRPr="00210F7A">
              <w:rPr>
                <w:rFonts w:ascii="Calibri" w:eastAsia="Calibri" w:hAnsi="Calibri" w:cs="Arial"/>
                <w:b/>
                <w:sz w:val="19"/>
                <w:szCs w:val="19"/>
                <w:lang w:val="en-GB"/>
              </w:rPr>
              <w:t>Total</w:t>
            </w:r>
          </w:p>
        </w:tc>
      </w:tr>
      <w:tr w:rsidR="00210F7A" w:rsidRPr="00210F7A" w14:paraId="1D5CD6C2" w14:textId="77777777" w:rsidTr="00E44437">
        <w:trPr>
          <w:trHeight w:val="46"/>
        </w:trPr>
        <w:tc>
          <w:tcPr>
            <w:tcW w:w="2195" w:type="pct"/>
          </w:tcPr>
          <w:p w14:paraId="78C1E52E" w14:textId="77777777" w:rsidR="00210F7A" w:rsidRPr="00210F7A" w:rsidRDefault="00210F7A" w:rsidP="00210F7A">
            <w:pPr>
              <w:spacing w:after="0" w:line="240" w:lineRule="auto"/>
              <w:rPr>
                <w:rFonts w:ascii="Calibri" w:eastAsia="Calibri" w:hAnsi="Calibri" w:cs="Arial"/>
                <w:b/>
                <w:bCs/>
                <w:sz w:val="19"/>
                <w:szCs w:val="19"/>
                <w:lang w:val="en-GB"/>
              </w:rPr>
            </w:pPr>
          </w:p>
        </w:tc>
        <w:tc>
          <w:tcPr>
            <w:tcW w:w="555" w:type="pct"/>
          </w:tcPr>
          <w:p w14:paraId="41821550" w14:textId="77777777" w:rsidR="00210F7A" w:rsidRPr="00210F7A" w:rsidRDefault="00210F7A" w:rsidP="00210F7A">
            <w:pPr>
              <w:spacing w:after="0" w:line="240" w:lineRule="auto"/>
              <w:jc w:val="right"/>
              <w:rPr>
                <w:rFonts w:ascii="Calibri" w:eastAsia="Calibri" w:hAnsi="Calibri" w:cs="Arial"/>
                <w:b/>
                <w:sz w:val="19"/>
                <w:szCs w:val="19"/>
                <w:lang w:val="en-GB"/>
              </w:rPr>
            </w:pPr>
            <w:r w:rsidRPr="00210F7A">
              <w:rPr>
                <w:rFonts w:ascii="Calibri" w:eastAsia="Calibri" w:hAnsi="Calibri" w:cs="Arial"/>
                <w:b/>
                <w:sz w:val="19"/>
                <w:szCs w:val="19"/>
                <w:lang w:val="en-GB"/>
              </w:rPr>
              <w:t>HRK ‘000</w:t>
            </w:r>
          </w:p>
        </w:tc>
        <w:tc>
          <w:tcPr>
            <w:tcW w:w="555" w:type="pct"/>
          </w:tcPr>
          <w:p w14:paraId="367884CA" w14:textId="77777777" w:rsidR="00210F7A" w:rsidRPr="00210F7A" w:rsidRDefault="00210F7A" w:rsidP="00210F7A">
            <w:pPr>
              <w:spacing w:after="0" w:line="240" w:lineRule="auto"/>
              <w:jc w:val="right"/>
              <w:rPr>
                <w:rFonts w:ascii="Calibri" w:eastAsia="Calibri" w:hAnsi="Calibri" w:cs="Arial"/>
                <w:b/>
                <w:sz w:val="19"/>
                <w:szCs w:val="19"/>
                <w:lang w:val="en-GB"/>
              </w:rPr>
            </w:pPr>
            <w:r w:rsidRPr="00210F7A">
              <w:rPr>
                <w:rFonts w:ascii="Calibri" w:eastAsia="Calibri" w:hAnsi="Calibri" w:cs="Arial"/>
                <w:b/>
                <w:sz w:val="19"/>
                <w:szCs w:val="19"/>
                <w:lang w:val="en-GB"/>
              </w:rPr>
              <w:t>HRK ‘000</w:t>
            </w:r>
          </w:p>
        </w:tc>
        <w:tc>
          <w:tcPr>
            <w:tcW w:w="556" w:type="pct"/>
          </w:tcPr>
          <w:p w14:paraId="488B1458" w14:textId="77777777" w:rsidR="00210F7A" w:rsidRPr="00210F7A" w:rsidRDefault="00210F7A" w:rsidP="00210F7A">
            <w:pPr>
              <w:spacing w:after="0" w:line="240" w:lineRule="auto"/>
              <w:jc w:val="right"/>
              <w:rPr>
                <w:rFonts w:ascii="Calibri" w:eastAsia="Calibri" w:hAnsi="Calibri" w:cs="Arial"/>
                <w:b/>
                <w:sz w:val="19"/>
                <w:szCs w:val="19"/>
                <w:lang w:val="en-GB"/>
              </w:rPr>
            </w:pPr>
            <w:r w:rsidRPr="00210F7A">
              <w:rPr>
                <w:rFonts w:ascii="Calibri" w:eastAsia="Calibri" w:hAnsi="Calibri" w:cs="Arial"/>
                <w:b/>
                <w:sz w:val="19"/>
                <w:szCs w:val="19"/>
                <w:lang w:val="en-GB"/>
              </w:rPr>
              <w:t>HRK ‘000</w:t>
            </w:r>
          </w:p>
        </w:tc>
        <w:tc>
          <w:tcPr>
            <w:tcW w:w="525" w:type="pct"/>
          </w:tcPr>
          <w:p w14:paraId="1A986171" w14:textId="77777777" w:rsidR="00210F7A" w:rsidRPr="00210F7A" w:rsidRDefault="00210F7A" w:rsidP="00210F7A">
            <w:pPr>
              <w:spacing w:after="0" w:line="240" w:lineRule="auto"/>
              <w:jc w:val="right"/>
              <w:rPr>
                <w:rFonts w:ascii="Calibri" w:eastAsia="Calibri" w:hAnsi="Calibri" w:cs="Arial"/>
                <w:b/>
                <w:sz w:val="19"/>
                <w:szCs w:val="19"/>
                <w:lang w:val="en-GB"/>
              </w:rPr>
            </w:pPr>
            <w:r w:rsidRPr="00210F7A">
              <w:rPr>
                <w:rFonts w:ascii="Calibri" w:eastAsia="Calibri" w:hAnsi="Calibri" w:cs="Arial"/>
                <w:b/>
                <w:sz w:val="19"/>
                <w:szCs w:val="19"/>
                <w:lang w:val="en-GB"/>
              </w:rPr>
              <w:t>HRK ‘000</w:t>
            </w:r>
          </w:p>
        </w:tc>
        <w:tc>
          <w:tcPr>
            <w:tcW w:w="614" w:type="pct"/>
          </w:tcPr>
          <w:p w14:paraId="62DEEDFC" w14:textId="77777777" w:rsidR="00210F7A" w:rsidRPr="00210F7A" w:rsidRDefault="00210F7A" w:rsidP="00210F7A">
            <w:pPr>
              <w:spacing w:after="0" w:line="240" w:lineRule="auto"/>
              <w:jc w:val="right"/>
              <w:rPr>
                <w:rFonts w:ascii="Calibri" w:eastAsia="Calibri" w:hAnsi="Calibri" w:cs="Arial"/>
                <w:b/>
                <w:sz w:val="19"/>
                <w:szCs w:val="19"/>
                <w:lang w:val="en-GB"/>
              </w:rPr>
            </w:pPr>
            <w:r w:rsidRPr="00210F7A">
              <w:rPr>
                <w:rFonts w:ascii="Calibri" w:eastAsia="Calibri" w:hAnsi="Calibri" w:cs="Arial"/>
                <w:b/>
                <w:sz w:val="19"/>
                <w:szCs w:val="19"/>
                <w:lang w:val="en-GB"/>
              </w:rPr>
              <w:t>HRK ‘000</w:t>
            </w:r>
          </w:p>
        </w:tc>
      </w:tr>
      <w:tr w:rsidR="00210F7A" w:rsidRPr="00210F7A" w14:paraId="15C77F4F" w14:textId="77777777" w:rsidTr="00E44437">
        <w:trPr>
          <w:trHeight w:hRule="exact" w:val="111"/>
        </w:trPr>
        <w:tc>
          <w:tcPr>
            <w:tcW w:w="2195" w:type="pct"/>
          </w:tcPr>
          <w:p w14:paraId="0DA78DC5" w14:textId="77777777" w:rsidR="00210F7A" w:rsidRPr="00210F7A" w:rsidRDefault="00210F7A" w:rsidP="00210F7A">
            <w:pPr>
              <w:spacing w:after="0" w:line="240" w:lineRule="auto"/>
              <w:rPr>
                <w:rFonts w:ascii="Calibri" w:eastAsia="Calibri" w:hAnsi="Calibri" w:cs="Arial"/>
                <w:b/>
                <w:bCs/>
                <w:sz w:val="19"/>
                <w:szCs w:val="19"/>
                <w:lang w:val="en-GB"/>
              </w:rPr>
            </w:pPr>
          </w:p>
        </w:tc>
        <w:tc>
          <w:tcPr>
            <w:tcW w:w="555" w:type="pct"/>
          </w:tcPr>
          <w:p w14:paraId="6FF6885E" w14:textId="77777777" w:rsidR="00210F7A" w:rsidRPr="00210F7A" w:rsidRDefault="00210F7A" w:rsidP="00210F7A">
            <w:pPr>
              <w:spacing w:after="0" w:line="240" w:lineRule="auto"/>
              <w:jc w:val="right"/>
              <w:rPr>
                <w:rFonts w:ascii="Calibri" w:eastAsia="Calibri" w:hAnsi="Calibri" w:cs="Arial"/>
                <w:b/>
                <w:sz w:val="19"/>
                <w:szCs w:val="19"/>
                <w:lang w:val="en-GB"/>
              </w:rPr>
            </w:pPr>
          </w:p>
        </w:tc>
        <w:tc>
          <w:tcPr>
            <w:tcW w:w="555" w:type="pct"/>
          </w:tcPr>
          <w:p w14:paraId="5FDA7B21" w14:textId="77777777" w:rsidR="00210F7A" w:rsidRPr="00210F7A" w:rsidRDefault="00210F7A" w:rsidP="00210F7A">
            <w:pPr>
              <w:spacing w:after="0" w:line="240" w:lineRule="auto"/>
              <w:jc w:val="right"/>
              <w:rPr>
                <w:rFonts w:ascii="Calibri" w:eastAsia="Calibri" w:hAnsi="Calibri" w:cs="Arial"/>
                <w:b/>
                <w:sz w:val="19"/>
                <w:szCs w:val="19"/>
                <w:lang w:val="en-GB"/>
              </w:rPr>
            </w:pPr>
          </w:p>
        </w:tc>
        <w:tc>
          <w:tcPr>
            <w:tcW w:w="556" w:type="pct"/>
          </w:tcPr>
          <w:p w14:paraId="5BB279ED" w14:textId="77777777" w:rsidR="00210F7A" w:rsidRPr="00210F7A" w:rsidRDefault="00210F7A" w:rsidP="00210F7A">
            <w:pPr>
              <w:spacing w:after="0" w:line="240" w:lineRule="auto"/>
              <w:jc w:val="right"/>
              <w:rPr>
                <w:rFonts w:ascii="Calibri" w:eastAsia="Calibri" w:hAnsi="Calibri" w:cs="Arial"/>
                <w:b/>
                <w:sz w:val="19"/>
                <w:szCs w:val="19"/>
                <w:lang w:val="en-GB"/>
              </w:rPr>
            </w:pPr>
          </w:p>
        </w:tc>
        <w:tc>
          <w:tcPr>
            <w:tcW w:w="525" w:type="pct"/>
          </w:tcPr>
          <w:p w14:paraId="68FC6A3D" w14:textId="77777777" w:rsidR="00210F7A" w:rsidRPr="00210F7A" w:rsidRDefault="00210F7A" w:rsidP="00210F7A">
            <w:pPr>
              <w:spacing w:after="0" w:line="240" w:lineRule="auto"/>
              <w:jc w:val="right"/>
              <w:rPr>
                <w:rFonts w:ascii="Calibri" w:eastAsia="Calibri" w:hAnsi="Calibri" w:cs="Arial"/>
                <w:b/>
                <w:sz w:val="19"/>
                <w:szCs w:val="19"/>
                <w:lang w:val="en-GB"/>
              </w:rPr>
            </w:pPr>
          </w:p>
        </w:tc>
        <w:tc>
          <w:tcPr>
            <w:tcW w:w="614" w:type="pct"/>
          </w:tcPr>
          <w:p w14:paraId="36848AA4" w14:textId="77777777" w:rsidR="00210F7A" w:rsidRPr="00210F7A" w:rsidRDefault="00210F7A" w:rsidP="00210F7A">
            <w:pPr>
              <w:spacing w:after="0" w:line="240" w:lineRule="auto"/>
              <w:jc w:val="right"/>
              <w:rPr>
                <w:rFonts w:ascii="Calibri" w:eastAsia="Calibri" w:hAnsi="Calibri" w:cs="Arial"/>
                <w:b/>
                <w:sz w:val="19"/>
                <w:szCs w:val="19"/>
                <w:lang w:val="en-GB"/>
              </w:rPr>
            </w:pPr>
          </w:p>
        </w:tc>
      </w:tr>
      <w:tr w:rsidR="00210F7A" w:rsidRPr="00210F7A" w14:paraId="06E6BBDF" w14:textId="77777777" w:rsidTr="00E44437">
        <w:trPr>
          <w:trHeight w:hRule="exact" w:val="280"/>
        </w:trPr>
        <w:tc>
          <w:tcPr>
            <w:tcW w:w="2195" w:type="pct"/>
            <w:vAlign w:val="bottom"/>
          </w:tcPr>
          <w:p w14:paraId="216BC95A" w14:textId="77777777" w:rsidR="00210F7A" w:rsidRPr="00210F7A" w:rsidRDefault="00210F7A" w:rsidP="00210F7A">
            <w:pPr>
              <w:tabs>
                <w:tab w:val="right" w:pos="1202"/>
              </w:tabs>
              <w:spacing w:after="0" w:line="240" w:lineRule="auto"/>
              <w:outlineLvl w:val="0"/>
              <w:rPr>
                <w:rFonts w:ascii="Calibri" w:eastAsia="Calibri" w:hAnsi="Calibri" w:cs="Times New Roman"/>
                <w:sz w:val="19"/>
                <w:szCs w:val="19"/>
                <w:lang w:val="en-GB"/>
              </w:rPr>
            </w:pPr>
            <w:r w:rsidRPr="00210F7A">
              <w:rPr>
                <w:rFonts w:ascii="Calibri" w:eastAsia="Calibri" w:hAnsi="Calibri" w:cs="Times New Roman"/>
                <w:sz w:val="19"/>
                <w:szCs w:val="19"/>
                <w:lang w:val="en-GB"/>
              </w:rPr>
              <w:t xml:space="preserve">Balance </w:t>
            </w:r>
            <w:proofErr w:type="gramStart"/>
            <w:r w:rsidRPr="00210F7A">
              <w:rPr>
                <w:rFonts w:ascii="Calibri" w:eastAsia="Calibri" w:hAnsi="Calibri" w:cs="Times New Roman"/>
                <w:sz w:val="19"/>
                <w:szCs w:val="19"/>
                <w:lang w:val="en-GB"/>
              </w:rPr>
              <w:t>at</w:t>
            </w:r>
            <w:proofErr w:type="gramEnd"/>
            <w:r w:rsidRPr="00210F7A">
              <w:rPr>
                <w:rFonts w:ascii="Calibri" w:eastAsia="Calibri" w:hAnsi="Calibri" w:cs="Times New Roman"/>
                <w:sz w:val="19"/>
                <w:szCs w:val="19"/>
                <w:lang w:val="en-GB"/>
              </w:rPr>
              <w:t xml:space="preserve"> 1 January 2021</w:t>
            </w:r>
          </w:p>
        </w:tc>
        <w:tc>
          <w:tcPr>
            <w:tcW w:w="555" w:type="pct"/>
            <w:vAlign w:val="bottom"/>
          </w:tcPr>
          <w:p w14:paraId="3F183865" w14:textId="77777777" w:rsidR="00210F7A" w:rsidRPr="00210F7A" w:rsidRDefault="00210F7A" w:rsidP="00210F7A">
            <w:pPr>
              <w:spacing w:after="0" w:line="240" w:lineRule="auto"/>
              <w:jc w:val="right"/>
              <w:rPr>
                <w:rFonts w:ascii="Calibri" w:eastAsia="Calibri" w:hAnsi="Calibri" w:cs="Calibri"/>
                <w:sz w:val="19"/>
                <w:szCs w:val="19"/>
                <w:lang w:val="en-GB"/>
              </w:rPr>
            </w:pPr>
            <w:r w:rsidRPr="00210F7A">
              <w:rPr>
                <w:rFonts w:ascii="Calibri" w:eastAsia="Times New Roman" w:hAnsi="Calibri" w:cs="Times New Roman"/>
                <w:sz w:val="19"/>
                <w:szCs w:val="19"/>
                <w:lang w:val="en-US"/>
              </w:rPr>
              <w:t xml:space="preserve"> 353,077 </w:t>
            </w:r>
          </w:p>
        </w:tc>
        <w:tc>
          <w:tcPr>
            <w:tcW w:w="555" w:type="pct"/>
            <w:vAlign w:val="bottom"/>
          </w:tcPr>
          <w:p w14:paraId="1F384519" w14:textId="77777777" w:rsidR="00210F7A" w:rsidRPr="00210F7A" w:rsidRDefault="00210F7A" w:rsidP="00210F7A">
            <w:pPr>
              <w:spacing w:after="0" w:line="240" w:lineRule="auto"/>
              <w:jc w:val="right"/>
              <w:rPr>
                <w:rFonts w:ascii="Calibri" w:eastAsia="Calibri" w:hAnsi="Calibri" w:cs="Calibri"/>
                <w:sz w:val="19"/>
                <w:szCs w:val="19"/>
                <w:lang w:val="en-GB"/>
              </w:rPr>
            </w:pPr>
            <w:r w:rsidRPr="00210F7A">
              <w:rPr>
                <w:rFonts w:ascii="Calibri" w:eastAsia="Times New Roman" w:hAnsi="Calibri" w:cs="Times New Roman"/>
                <w:sz w:val="19"/>
                <w:szCs w:val="19"/>
                <w:lang w:val="en-US"/>
              </w:rPr>
              <w:t xml:space="preserve"> 517,219 </w:t>
            </w:r>
          </w:p>
        </w:tc>
        <w:tc>
          <w:tcPr>
            <w:tcW w:w="556" w:type="pct"/>
            <w:vAlign w:val="bottom"/>
          </w:tcPr>
          <w:p w14:paraId="4CBF91B8" w14:textId="77777777" w:rsidR="00210F7A" w:rsidRPr="00210F7A" w:rsidRDefault="00210F7A" w:rsidP="00210F7A">
            <w:pPr>
              <w:spacing w:after="0" w:line="240" w:lineRule="auto"/>
              <w:jc w:val="right"/>
              <w:rPr>
                <w:rFonts w:ascii="Calibri" w:eastAsia="Calibri" w:hAnsi="Calibri" w:cs="Calibri"/>
                <w:sz w:val="19"/>
                <w:szCs w:val="19"/>
                <w:lang w:val="en-GB"/>
              </w:rPr>
            </w:pPr>
            <w:r w:rsidRPr="00210F7A">
              <w:rPr>
                <w:rFonts w:ascii="Calibri" w:eastAsia="Times New Roman" w:hAnsi="Calibri" w:cs="Times New Roman"/>
                <w:sz w:val="19"/>
                <w:szCs w:val="19"/>
                <w:lang w:val="en-US"/>
              </w:rPr>
              <w:t xml:space="preserve"> 2,422,493 </w:t>
            </w:r>
          </w:p>
        </w:tc>
        <w:tc>
          <w:tcPr>
            <w:tcW w:w="525" w:type="pct"/>
            <w:vAlign w:val="bottom"/>
          </w:tcPr>
          <w:p w14:paraId="6C461E2D" w14:textId="77777777" w:rsidR="00210F7A" w:rsidRPr="00210F7A" w:rsidRDefault="00210F7A" w:rsidP="00210F7A">
            <w:pPr>
              <w:spacing w:after="0" w:line="240" w:lineRule="auto"/>
              <w:jc w:val="right"/>
              <w:rPr>
                <w:rFonts w:ascii="Calibri" w:eastAsia="Calibri" w:hAnsi="Calibri" w:cs="Calibri"/>
                <w:sz w:val="19"/>
                <w:szCs w:val="19"/>
                <w:lang w:val="en-GB"/>
              </w:rPr>
            </w:pPr>
            <w:r w:rsidRPr="00210F7A">
              <w:rPr>
                <w:rFonts w:ascii="Calibri" w:eastAsia="Times New Roman" w:hAnsi="Calibri" w:cs="Times New Roman"/>
                <w:sz w:val="19"/>
                <w:szCs w:val="19"/>
                <w:lang w:val="en-US"/>
              </w:rPr>
              <w:t xml:space="preserve"> 182,941 </w:t>
            </w:r>
          </w:p>
        </w:tc>
        <w:tc>
          <w:tcPr>
            <w:tcW w:w="614" w:type="pct"/>
            <w:vAlign w:val="bottom"/>
          </w:tcPr>
          <w:p w14:paraId="5900987C" w14:textId="77777777" w:rsidR="00210F7A" w:rsidRPr="00210F7A" w:rsidRDefault="00210F7A" w:rsidP="00210F7A">
            <w:pPr>
              <w:spacing w:after="0" w:line="240" w:lineRule="auto"/>
              <w:jc w:val="right"/>
              <w:rPr>
                <w:rFonts w:ascii="Calibri" w:eastAsia="Calibri" w:hAnsi="Calibri" w:cs="Calibri"/>
                <w:sz w:val="19"/>
                <w:szCs w:val="19"/>
                <w:lang w:val="en-GB"/>
              </w:rPr>
            </w:pPr>
            <w:r w:rsidRPr="00210F7A">
              <w:rPr>
                <w:rFonts w:ascii="Calibri" w:eastAsia="Times New Roman" w:hAnsi="Calibri" w:cs="Times New Roman"/>
                <w:sz w:val="19"/>
                <w:szCs w:val="19"/>
                <w:lang w:val="en-US"/>
              </w:rPr>
              <w:t xml:space="preserve"> 3,475,730 </w:t>
            </w:r>
          </w:p>
        </w:tc>
      </w:tr>
      <w:tr w:rsidR="00210F7A" w:rsidRPr="00210F7A" w14:paraId="6C477762" w14:textId="77777777" w:rsidTr="00E44437">
        <w:trPr>
          <w:trHeight w:hRule="exact" w:val="280"/>
        </w:trPr>
        <w:tc>
          <w:tcPr>
            <w:tcW w:w="2195" w:type="pct"/>
            <w:vAlign w:val="bottom"/>
          </w:tcPr>
          <w:p w14:paraId="5CC1FFED" w14:textId="77777777" w:rsidR="00210F7A" w:rsidRPr="00210F7A" w:rsidRDefault="00210F7A" w:rsidP="00210F7A">
            <w:pPr>
              <w:tabs>
                <w:tab w:val="right" w:pos="1202"/>
              </w:tabs>
              <w:spacing w:after="0" w:line="240" w:lineRule="auto"/>
              <w:outlineLvl w:val="0"/>
              <w:rPr>
                <w:rFonts w:ascii="Calibri" w:eastAsia="Calibri" w:hAnsi="Calibri" w:cs="Times New Roman"/>
                <w:sz w:val="19"/>
                <w:szCs w:val="19"/>
                <w:lang w:val="en-GB"/>
              </w:rPr>
            </w:pPr>
            <w:r w:rsidRPr="00210F7A">
              <w:rPr>
                <w:rFonts w:ascii="Calibri" w:eastAsia="Calibri" w:hAnsi="Calibri" w:cs="Times New Roman"/>
                <w:sz w:val="19"/>
                <w:szCs w:val="19"/>
                <w:lang w:val="en-GB"/>
              </w:rPr>
              <w:t>Transfer to Stage 1</w:t>
            </w:r>
          </w:p>
        </w:tc>
        <w:tc>
          <w:tcPr>
            <w:tcW w:w="555" w:type="pct"/>
            <w:vAlign w:val="bottom"/>
          </w:tcPr>
          <w:p w14:paraId="1983FD7E" w14:textId="77777777" w:rsidR="00210F7A" w:rsidRPr="00210F7A" w:rsidRDefault="00210F7A" w:rsidP="00210F7A">
            <w:pPr>
              <w:spacing w:after="0" w:line="240" w:lineRule="auto"/>
              <w:jc w:val="right"/>
              <w:rPr>
                <w:rFonts w:ascii="Calibri" w:eastAsia="Calibri" w:hAnsi="Calibri" w:cs="Calibri"/>
                <w:sz w:val="19"/>
                <w:szCs w:val="19"/>
              </w:rPr>
            </w:pPr>
            <w:r w:rsidRPr="00210F7A">
              <w:rPr>
                <w:rFonts w:ascii="Calibri" w:eastAsia="Times New Roman" w:hAnsi="Calibri" w:cs="Times New Roman"/>
                <w:sz w:val="19"/>
                <w:szCs w:val="19"/>
                <w:lang w:val="en-US"/>
              </w:rPr>
              <w:t xml:space="preserve"> 379,435 </w:t>
            </w:r>
          </w:p>
        </w:tc>
        <w:tc>
          <w:tcPr>
            <w:tcW w:w="555" w:type="pct"/>
            <w:vAlign w:val="bottom"/>
          </w:tcPr>
          <w:p w14:paraId="77A08ECE" w14:textId="77777777" w:rsidR="00210F7A" w:rsidRPr="00210F7A" w:rsidRDefault="00210F7A" w:rsidP="00210F7A">
            <w:pPr>
              <w:spacing w:after="0" w:line="240" w:lineRule="auto"/>
              <w:jc w:val="right"/>
              <w:rPr>
                <w:rFonts w:ascii="Calibri" w:eastAsia="Calibri" w:hAnsi="Calibri" w:cs="Calibri"/>
                <w:sz w:val="19"/>
                <w:szCs w:val="19"/>
              </w:rPr>
            </w:pPr>
            <w:r w:rsidRPr="00210F7A">
              <w:rPr>
                <w:rFonts w:ascii="Calibri" w:eastAsia="Times New Roman" w:hAnsi="Calibri" w:cs="Times New Roman"/>
                <w:sz w:val="19"/>
                <w:szCs w:val="19"/>
                <w:lang w:val="en-US"/>
              </w:rPr>
              <w:t xml:space="preserve"> (310,274)</w:t>
            </w:r>
          </w:p>
        </w:tc>
        <w:tc>
          <w:tcPr>
            <w:tcW w:w="556" w:type="pct"/>
            <w:vAlign w:val="bottom"/>
          </w:tcPr>
          <w:p w14:paraId="65937257" w14:textId="77777777" w:rsidR="00210F7A" w:rsidRPr="00210F7A" w:rsidRDefault="00210F7A" w:rsidP="00210F7A">
            <w:pPr>
              <w:spacing w:after="0" w:line="240" w:lineRule="auto"/>
              <w:jc w:val="right"/>
              <w:rPr>
                <w:rFonts w:ascii="Calibri" w:eastAsia="Calibri" w:hAnsi="Calibri" w:cs="Calibri"/>
                <w:sz w:val="19"/>
                <w:szCs w:val="19"/>
              </w:rPr>
            </w:pPr>
            <w:r w:rsidRPr="00210F7A">
              <w:rPr>
                <w:rFonts w:ascii="Calibri" w:eastAsia="Times New Roman" w:hAnsi="Calibri" w:cs="Times New Roman"/>
                <w:sz w:val="19"/>
                <w:szCs w:val="19"/>
                <w:lang w:val="en-US"/>
              </w:rPr>
              <w:t xml:space="preserve"> (69,161)</w:t>
            </w:r>
          </w:p>
        </w:tc>
        <w:tc>
          <w:tcPr>
            <w:tcW w:w="525" w:type="pct"/>
            <w:vAlign w:val="bottom"/>
          </w:tcPr>
          <w:p w14:paraId="64965709" w14:textId="77777777" w:rsidR="00210F7A" w:rsidRPr="00210F7A" w:rsidRDefault="00210F7A" w:rsidP="00210F7A">
            <w:pPr>
              <w:spacing w:after="0" w:line="240" w:lineRule="auto"/>
              <w:jc w:val="right"/>
              <w:rPr>
                <w:rFonts w:ascii="Calibri" w:eastAsia="Calibri" w:hAnsi="Calibri" w:cs="Calibri"/>
                <w:sz w:val="19"/>
                <w:szCs w:val="19"/>
              </w:rPr>
            </w:pPr>
            <w:r w:rsidRPr="00210F7A">
              <w:rPr>
                <w:rFonts w:ascii="Calibri" w:eastAsia="Times New Roman" w:hAnsi="Calibri" w:cs="Times New Roman"/>
                <w:sz w:val="19"/>
                <w:szCs w:val="19"/>
                <w:lang w:val="en-US"/>
              </w:rPr>
              <w:t xml:space="preserve"> - </w:t>
            </w:r>
          </w:p>
        </w:tc>
        <w:tc>
          <w:tcPr>
            <w:tcW w:w="614" w:type="pct"/>
            <w:vAlign w:val="bottom"/>
          </w:tcPr>
          <w:p w14:paraId="7695CF87" w14:textId="77777777" w:rsidR="00210F7A" w:rsidRPr="00210F7A" w:rsidRDefault="00210F7A" w:rsidP="00210F7A">
            <w:pPr>
              <w:spacing w:after="0" w:line="240" w:lineRule="auto"/>
              <w:jc w:val="right"/>
              <w:rPr>
                <w:rFonts w:ascii="Calibri" w:eastAsia="Calibri" w:hAnsi="Calibri" w:cs="Calibri"/>
                <w:sz w:val="19"/>
                <w:szCs w:val="19"/>
              </w:rPr>
            </w:pPr>
            <w:r w:rsidRPr="00210F7A">
              <w:rPr>
                <w:rFonts w:ascii="Calibri" w:eastAsia="Times New Roman" w:hAnsi="Calibri" w:cs="Times New Roman"/>
                <w:sz w:val="19"/>
                <w:szCs w:val="19"/>
                <w:lang w:val="en-US"/>
              </w:rPr>
              <w:t xml:space="preserve"> - </w:t>
            </w:r>
          </w:p>
        </w:tc>
      </w:tr>
      <w:tr w:rsidR="00210F7A" w:rsidRPr="00210F7A" w14:paraId="06451542" w14:textId="77777777" w:rsidTr="00E44437">
        <w:trPr>
          <w:trHeight w:hRule="exact" w:val="280"/>
        </w:trPr>
        <w:tc>
          <w:tcPr>
            <w:tcW w:w="2195" w:type="pct"/>
            <w:vAlign w:val="bottom"/>
          </w:tcPr>
          <w:p w14:paraId="0CBBE8DC" w14:textId="77777777" w:rsidR="00210F7A" w:rsidRPr="00210F7A" w:rsidRDefault="00210F7A" w:rsidP="00210F7A">
            <w:pPr>
              <w:tabs>
                <w:tab w:val="right" w:pos="1202"/>
              </w:tabs>
              <w:spacing w:after="0" w:line="240" w:lineRule="auto"/>
              <w:outlineLvl w:val="0"/>
              <w:rPr>
                <w:rFonts w:ascii="Calibri" w:eastAsia="Calibri" w:hAnsi="Calibri" w:cs="Times New Roman"/>
                <w:sz w:val="19"/>
                <w:szCs w:val="19"/>
                <w:lang w:val="en-GB"/>
              </w:rPr>
            </w:pPr>
            <w:r w:rsidRPr="00210F7A">
              <w:rPr>
                <w:rFonts w:ascii="Calibri" w:eastAsia="Calibri" w:hAnsi="Calibri" w:cs="Times New Roman"/>
                <w:sz w:val="19"/>
                <w:szCs w:val="19"/>
                <w:lang w:val="en-GB"/>
              </w:rPr>
              <w:t>Transfer to Stage 2</w:t>
            </w:r>
          </w:p>
        </w:tc>
        <w:tc>
          <w:tcPr>
            <w:tcW w:w="555" w:type="pct"/>
            <w:vAlign w:val="bottom"/>
          </w:tcPr>
          <w:p w14:paraId="1FE0F5F3" w14:textId="77777777" w:rsidR="00210F7A" w:rsidRPr="00210F7A" w:rsidRDefault="00210F7A" w:rsidP="00210F7A">
            <w:pPr>
              <w:spacing w:after="0" w:line="240" w:lineRule="auto"/>
              <w:jc w:val="right"/>
              <w:rPr>
                <w:rFonts w:ascii="Calibri" w:eastAsia="Calibri" w:hAnsi="Calibri" w:cs="Calibri"/>
                <w:sz w:val="19"/>
                <w:szCs w:val="19"/>
              </w:rPr>
            </w:pPr>
            <w:r w:rsidRPr="00210F7A">
              <w:rPr>
                <w:rFonts w:ascii="Calibri" w:eastAsia="Times New Roman" w:hAnsi="Calibri" w:cs="Times New Roman"/>
                <w:sz w:val="19"/>
                <w:szCs w:val="19"/>
                <w:lang w:val="en-US"/>
              </w:rPr>
              <w:t xml:space="preserve"> (38,794)</w:t>
            </w:r>
          </w:p>
        </w:tc>
        <w:tc>
          <w:tcPr>
            <w:tcW w:w="555" w:type="pct"/>
            <w:vAlign w:val="bottom"/>
          </w:tcPr>
          <w:p w14:paraId="14481D55" w14:textId="77777777" w:rsidR="00210F7A" w:rsidRPr="00210F7A" w:rsidRDefault="00210F7A" w:rsidP="00210F7A">
            <w:pPr>
              <w:spacing w:after="0" w:line="240" w:lineRule="auto"/>
              <w:jc w:val="right"/>
              <w:rPr>
                <w:rFonts w:ascii="Calibri" w:eastAsia="Calibri" w:hAnsi="Calibri" w:cs="Calibri"/>
                <w:sz w:val="19"/>
                <w:szCs w:val="19"/>
              </w:rPr>
            </w:pPr>
            <w:r w:rsidRPr="00210F7A">
              <w:rPr>
                <w:rFonts w:ascii="Calibri" w:eastAsia="Times New Roman" w:hAnsi="Calibri" w:cs="Times New Roman"/>
                <w:sz w:val="19"/>
                <w:szCs w:val="19"/>
                <w:lang w:val="en-US"/>
              </w:rPr>
              <w:t xml:space="preserve"> 46,782 </w:t>
            </w:r>
          </w:p>
        </w:tc>
        <w:tc>
          <w:tcPr>
            <w:tcW w:w="556" w:type="pct"/>
            <w:vAlign w:val="bottom"/>
          </w:tcPr>
          <w:p w14:paraId="2D9A063E" w14:textId="77777777" w:rsidR="00210F7A" w:rsidRPr="00210F7A" w:rsidRDefault="00210F7A" w:rsidP="00210F7A">
            <w:pPr>
              <w:spacing w:after="0" w:line="240" w:lineRule="auto"/>
              <w:jc w:val="right"/>
              <w:rPr>
                <w:rFonts w:ascii="Calibri" w:eastAsia="Calibri" w:hAnsi="Calibri" w:cs="Calibri"/>
                <w:sz w:val="19"/>
                <w:szCs w:val="19"/>
              </w:rPr>
            </w:pPr>
            <w:r w:rsidRPr="00210F7A">
              <w:rPr>
                <w:rFonts w:ascii="Calibri" w:eastAsia="Times New Roman" w:hAnsi="Calibri" w:cs="Times New Roman"/>
                <w:sz w:val="19"/>
                <w:szCs w:val="19"/>
                <w:lang w:val="en-US"/>
              </w:rPr>
              <w:t xml:space="preserve"> (7,988)</w:t>
            </w:r>
          </w:p>
        </w:tc>
        <w:tc>
          <w:tcPr>
            <w:tcW w:w="525" w:type="pct"/>
            <w:vAlign w:val="bottom"/>
          </w:tcPr>
          <w:p w14:paraId="08EE537D" w14:textId="77777777" w:rsidR="00210F7A" w:rsidRPr="00210F7A" w:rsidRDefault="00210F7A" w:rsidP="00210F7A">
            <w:pPr>
              <w:spacing w:after="0" w:line="240" w:lineRule="auto"/>
              <w:jc w:val="right"/>
              <w:rPr>
                <w:rFonts w:ascii="Calibri" w:eastAsia="Calibri" w:hAnsi="Calibri" w:cs="Calibri"/>
                <w:sz w:val="19"/>
                <w:szCs w:val="19"/>
              </w:rPr>
            </w:pPr>
            <w:r w:rsidRPr="00210F7A">
              <w:rPr>
                <w:rFonts w:ascii="Calibri" w:eastAsia="Times New Roman" w:hAnsi="Calibri" w:cs="Times New Roman"/>
                <w:sz w:val="19"/>
                <w:szCs w:val="19"/>
                <w:lang w:val="en-US"/>
              </w:rPr>
              <w:t xml:space="preserve"> - </w:t>
            </w:r>
          </w:p>
        </w:tc>
        <w:tc>
          <w:tcPr>
            <w:tcW w:w="614" w:type="pct"/>
            <w:vAlign w:val="bottom"/>
          </w:tcPr>
          <w:p w14:paraId="3A05A985" w14:textId="77777777" w:rsidR="00210F7A" w:rsidRPr="00210F7A" w:rsidRDefault="00210F7A" w:rsidP="00210F7A">
            <w:pPr>
              <w:spacing w:after="0" w:line="240" w:lineRule="auto"/>
              <w:jc w:val="right"/>
              <w:rPr>
                <w:rFonts w:ascii="Calibri" w:eastAsia="Calibri" w:hAnsi="Calibri" w:cs="Calibri"/>
                <w:sz w:val="19"/>
                <w:szCs w:val="19"/>
              </w:rPr>
            </w:pPr>
            <w:r w:rsidRPr="00210F7A">
              <w:rPr>
                <w:rFonts w:ascii="Calibri" w:eastAsia="Times New Roman" w:hAnsi="Calibri" w:cs="Times New Roman"/>
                <w:sz w:val="19"/>
                <w:szCs w:val="19"/>
                <w:lang w:val="en-US"/>
              </w:rPr>
              <w:t xml:space="preserve"> - </w:t>
            </w:r>
          </w:p>
        </w:tc>
      </w:tr>
      <w:tr w:rsidR="00210F7A" w:rsidRPr="00210F7A" w14:paraId="2A03BF38" w14:textId="77777777" w:rsidTr="00E44437">
        <w:trPr>
          <w:trHeight w:hRule="exact" w:val="280"/>
        </w:trPr>
        <w:tc>
          <w:tcPr>
            <w:tcW w:w="2195" w:type="pct"/>
            <w:vAlign w:val="bottom"/>
          </w:tcPr>
          <w:p w14:paraId="234D3276" w14:textId="77777777" w:rsidR="00210F7A" w:rsidRPr="00210F7A" w:rsidRDefault="00210F7A" w:rsidP="00210F7A">
            <w:pPr>
              <w:tabs>
                <w:tab w:val="right" w:pos="1202"/>
              </w:tabs>
              <w:spacing w:after="0" w:line="240" w:lineRule="auto"/>
              <w:outlineLvl w:val="0"/>
              <w:rPr>
                <w:rFonts w:ascii="Calibri" w:eastAsia="Calibri" w:hAnsi="Calibri" w:cs="Times New Roman"/>
                <w:sz w:val="19"/>
                <w:szCs w:val="19"/>
                <w:lang w:val="en-GB"/>
              </w:rPr>
            </w:pPr>
            <w:r w:rsidRPr="00210F7A">
              <w:rPr>
                <w:rFonts w:ascii="Calibri" w:eastAsia="Calibri" w:hAnsi="Calibri" w:cs="Times New Roman"/>
                <w:sz w:val="19"/>
                <w:szCs w:val="19"/>
                <w:lang w:val="en-GB"/>
              </w:rPr>
              <w:t>Transfer to Stage 3</w:t>
            </w:r>
          </w:p>
        </w:tc>
        <w:tc>
          <w:tcPr>
            <w:tcW w:w="555" w:type="pct"/>
            <w:vAlign w:val="bottom"/>
          </w:tcPr>
          <w:p w14:paraId="63959628" w14:textId="77777777" w:rsidR="00210F7A" w:rsidRPr="00210F7A" w:rsidRDefault="00210F7A" w:rsidP="00210F7A">
            <w:pPr>
              <w:spacing w:after="0" w:line="240" w:lineRule="auto"/>
              <w:jc w:val="right"/>
              <w:rPr>
                <w:rFonts w:ascii="Calibri" w:eastAsia="Calibri" w:hAnsi="Calibri" w:cs="Calibri"/>
                <w:sz w:val="19"/>
                <w:szCs w:val="19"/>
                <w:lang w:val="en-GB"/>
              </w:rPr>
            </w:pPr>
            <w:r w:rsidRPr="00210F7A">
              <w:rPr>
                <w:rFonts w:ascii="Calibri" w:eastAsia="Times New Roman" w:hAnsi="Calibri" w:cs="Times New Roman"/>
                <w:sz w:val="19"/>
                <w:szCs w:val="19"/>
                <w:lang w:val="en-US"/>
              </w:rPr>
              <w:t xml:space="preserve"> (268)</w:t>
            </w:r>
          </w:p>
        </w:tc>
        <w:tc>
          <w:tcPr>
            <w:tcW w:w="555" w:type="pct"/>
            <w:vAlign w:val="bottom"/>
          </w:tcPr>
          <w:p w14:paraId="7CAE6CB2" w14:textId="77777777" w:rsidR="00210F7A" w:rsidRPr="00210F7A" w:rsidRDefault="00210F7A" w:rsidP="00210F7A">
            <w:pPr>
              <w:spacing w:after="0" w:line="240" w:lineRule="auto"/>
              <w:jc w:val="right"/>
              <w:rPr>
                <w:rFonts w:ascii="Calibri" w:eastAsia="Calibri" w:hAnsi="Calibri" w:cs="Calibri"/>
                <w:sz w:val="19"/>
                <w:szCs w:val="19"/>
                <w:lang w:val="en-GB"/>
              </w:rPr>
            </w:pPr>
            <w:r w:rsidRPr="00210F7A">
              <w:rPr>
                <w:rFonts w:ascii="Calibri" w:eastAsia="Times New Roman" w:hAnsi="Calibri" w:cs="Times New Roman"/>
                <w:sz w:val="19"/>
                <w:szCs w:val="19"/>
                <w:lang w:val="en-US"/>
              </w:rPr>
              <w:t xml:space="preserve"> (50,314)</w:t>
            </w:r>
          </w:p>
        </w:tc>
        <w:tc>
          <w:tcPr>
            <w:tcW w:w="556" w:type="pct"/>
            <w:vAlign w:val="bottom"/>
          </w:tcPr>
          <w:p w14:paraId="4A8CE5A5" w14:textId="77777777" w:rsidR="00210F7A" w:rsidRPr="00210F7A" w:rsidRDefault="00210F7A" w:rsidP="00210F7A">
            <w:pPr>
              <w:spacing w:after="0" w:line="240" w:lineRule="auto"/>
              <w:jc w:val="right"/>
              <w:rPr>
                <w:rFonts w:ascii="Calibri" w:eastAsia="Calibri" w:hAnsi="Calibri" w:cs="Calibri"/>
                <w:sz w:val="19"/>
                <w:szCs w:val="19"/>
                <w:lang w:val="en-GB"/>
              </w:rPr>
            </w:pPr>
            <w:r w:rsidRPr="00210F7A">
              <w:rPr>
                <w:rFonts w:ascii="Calibri" w:eastAsia="Times New Roman" w:hAnsi="Calibri" w:cs="Times New Roman"/>
                <w:sz w:val="19"/>
                <w:szCs w:val="19"/>
                <w:lang w:val="en-US"/>
              </w:rPr>
              <w:t xml:space="preserve"> 40,135 </w:t>
            </w:r>
          </w:p>
        </w:tc>
        <w:tc>
          <w:tcPr>
            <w:tcW w:w="525" w:type="pct"/>
            <w:vAlign w:val="bottom"/>
          </w:tcPr>
          <w:p w14:paraId="1A52C3E2" w14:textId="77777777" w:rsidR="00210F7A" w:rsidRPr="00210F7A" w:rsidRDefault="00210F7A" w:rsidP="00210F7A">
            <w:pPr>
              <w:spacing w:after="0" w:line="240" w:lineRule="auto"/>
              <w:jc w:val="right"/>
              <w:rPr>
                <w:rFonts w:ascii="Calibri" w:eastAsia="Calibri" w:hAnsi="Calibri" w:cs="Calibri"/>
                <w:sz w:val="19"/>
                <w:szCs w:val="19"/>
                <w:lang w:val="en-GB"/>
              </w:rPr>
            </w:pPr>
            <w:r w:rsidRPr="00210F7A">
              <w:rPr>
                <w:rFonts w:ascii="Calibri" w:eastAsia="Times New Roman" w:hAnsi="Calibri" w:cs="Times New Roman"/>
                <w:sz w:val="19"/>
                <w:szCs w:val="19"/>
                <w:lang w:val="en-US"/>
              </w:rPr>
              <w:t xml:space="preserve"> 10,447 </w:t>
            </w:r>
          </w:p>
        </w:tc>
        <w:tc>
          <w:tcPr>
            <w:tcW w:w="614" w:type="pct"/>
            <w:vAlign w:val="bottom"/>
          </w:tcPr>
          <w:p w14:paraId="74317FE1" w14:textId="77777777" w:rsidR="00210F7A" w:rsidRPr="00210F7A" w:rsidRDefault="00210F7A" w:rsidP="00210F7A">
            <w:pPr>
              <w:spacing w:after="0" w:line="240" w:lineRule="auto"/>
              <w:jc w:val="right"/>
              <w:rPr>
                <w:rFonts w:ascii="Calibri" w:eastAsia="Calibri" w:hAnsi="Calibri" w:cs="Calibri"/>
                <w:sz w:val="19"/>
                <w:szCs w:val="19"/>
                <w:lang w:val="en-GB"/>
              </w:rPr>
            </w:pPr>
            <w:r w:rsidRPr="00210F7A">
              <w:rPr>
                <w:rFonts w:ascii="Calibri" w:eastAsia="Times New Roman" w:hAnsi="Calibri" w:cs="Times New Roman"/>
                <w:sz w:val="19"/>
                <w:szCs w:val="19"/>
                <w:lang w:val="en-US"/>
              </w:rPr>
              <w:t xml:space="preserve"> - </w:t>
            </w:r>
          </w:p>
        </w:tc>
      </w:tr>
      <w:tr w:rsidR="00210F7A" w:rsidRPr="00210F7A" w14:paraId="0CBE54C9" w14:textId="77777777" w:rsidTr="00E44437">
        <w:trPr>
          <w:trHeight w:hRule="exact" w:val="280"/>
        </w:trPr>
        <w:tc>
          <w:tcPr>
            <w:tcW w:w="2195" w:type="pct"/>
            <w:vAlign w:val="bottom"/>
          </w:tcPr>
          <w:p w14:paraId="6CCB9125" w14:textId="77777777" w:rsidR="00210F7A" w:rsidRPr="00210F7A" w:rsidRDefault="00210F7A" w:rsidP="00210F7A">
            <w:pPr>
              <w:tabs>
                <w:tab w:val="right" w:pos="1202"/>
              </w:tabs>
              <w:spacing w:after="0" w:line="240" w:lineRule="auto"/>
              <w:outlineLvl w:val="0"/>
              <w:rPr>
                <w:rFonts w:ascii="Calibri" w:eastAsia="Calibri" w:hAnsi="Calibri" w:cs="Times New Roman"/>
                <w:sz w:val="19"/>
                <w:szCs w:val="19"/>
                <w:highlight w:val="yellow"/>
                <w:lang w:val="en-GB"/>
              </w:rPr>
            </w:pPr>
            <w:r w:rsidRPr="00210F7A">
              <w:rPr>
                <w:rFonts w:ascii="Calibri" w:eastAsia="Calibri" w:hAnsi="Calibri" w:cs="Times New Roman"/>
                <w:sz w:val="19"/>
                <w:szCs w:val="19"/>
                <w:lang w:val="en-GB"/>
              </w:rPr>
              <w:t>Net increase/(release) of loss allowance</w:t>
            </w:r>
          </w:p>
        </w:tc>
        <w:tc>
          <w:tcPr>
            <w:tcW w:w="555" w:type="pct"/>
            <w:vAlign w:val="bottom"/>
          </w:tcPr>
          <w:p w14:paraId="588C356C" w14:textId="77777777" w:rsidR="00210F7A" w:rsidRPr="00210F7A" w:rsidRDefault="00210F7A" w:rsidP="00210F7A">
            <w:pPr>
              <w:spacing w:after="0" w:line="240" w:lineRule="auto"/>
              <w:jc w:val="right"/>
              <w:rPr>
                <w:rFonts w:ascii="Calibri" w:eastAsia="Calibri" w:hAnsi="Calibri" w:cs="Calibri"/>
                <w:sz w:val="19"/>
                <w:szCs w:val="19"/>
                <w:highlight w:val="yellow"/>
                <w:lang w:val="en-GB"/>
              </w:rPr>
            </w:pPr>
            <w:r w:rsidRPr="00210F7A">
              <w:rPr>
                <w:rFonts w:ascii="Calibri" w:eastAsia="Times New Roman" w:hAnsi="Calibri" w:cs="Times New Roman"/>
                <w:sz w:val="19"/>
                <w:szCs w:val="19"/>
                <w:lang w:val="en-US"/>
              </w:rPr>
              <w:t xml:space="preserve"> (276,372)</w:t>
            </w:r>
          </w:p>
        </w:tc>
        <w:tc>
          <w:tcPr>
            <w:tcW w:w="555" w:type="pct"/>
            <w:vAlign w:val="bottom"/>
          </w:tcPr>
          <w:p w14:paraId="15EA492D" w14:textId="77777777" w:rsidR="00210F7A" w:rsidRPr="00210F7A" w:rsidRDefault="00210F7A" w:rsidP="00210F7A">
            <w:pPr>
              <w:spacing w:after="0" w:line="240" w:lineRule="auto"/>
              <w:jc w:val="right"/>
              <w:rPr>
                <w:rFonts w:ascii="Calibri" w:eastAsia="Calibri" w:hAnsi="Calibri" w:cs="Calibri"/>
                <w:sz w:val="19"/>
                <w:szCs w:val="19"/>
                <w:highlight w:val="yellow"/>
                <w:lang w:val="en-GB"/>
              </w:rPr>
            </w:pPr>
            <w:r w:rsidRPr="00210F7A">
              <w:rPr>
                <w:rFonts w:ascii="Calibri" w:eastAsia="Times New Roman" w:hAnsi="Calibri" w:cs="Times New Roman"/>
                <w:sz w:val="19"/>
                <w:szCs w:val="19"/>
                <w:lang w:val="en-US"/>
              </w:rPr>
              <w:t xml:space="preserve"> 353,926 </w:t>
            </w:r>
          </w:p>
        </w:tc>
        <w:tc>
          <w:tcPr>
            <w:tcW w:w="556" w:type="pct"/>
            <w:vAlign w:val="bottom"/>
          </w:tcPr>
          <w:p w14:paraId="58060E20" w14:textId="77777777" w:rsidR="00210F7A" w:rsidRPr="00210F7A" w:rsidRDefault="00210F7A" w:rsidP="00210F7A">
            <w:pPr>
              <w:spacing w:after="0" w:line="240" w:lineRule="auto"/>
              <w:jc w:val="right"/>
              <w:rPr>
                <w:rFonts w:ascii="Calibri" w:eastAsia="Calibri" w:hAnsi="Calibri" w:cs="Calibri"/>
                <w:sz w:val="19"/>
                <w:szCs w:val="19"/>
                <w:highlight w:val="yellow"/>
                <w:lang w:val="en-GB"/>
              </w:rPr>
            </w:pPr>
            <w:r w:rsidRPr="00210F7A">
              <w:rPr>
                <w:rFonts w:ascii="Calibri" w:eastAsia="Times New Roman" w:hAnsi="Calibri" w:cs="Times New Roman"/>
                <w:sz w:val="19"/>
                <w:szCs w:val="19"/>
                <w:lang w:val="en-US"/>
              </w:rPr>
              <w:t xml:space="preserve"> 53,002 </w:t>
            </w:r>
          </w:p>
        </w:tc>
        <w:tc>
          <w:tcPr>
            <w:tcW w:w="525" w:type="pct"/>
            <w:vAlign w:val="bottom"/>
          </w:tcPr>
          <w:p w14:paraId="7B58C61A" w14:textId="77777777" w:rsidR="00210F7A" w:rsidRPr="00210F7A" w:rsidRDefault="00210F7A" w:rsidP="00210F7A">
            <w:pPr>
              <w:spacing w:after="0" w:line="240" w:lineRule="auto"/>
              <w:jc w:val="right"/>
              <w:rPr>
                <w:rFonts w:ascii="Calibri" w:eastAsia="Calibri" w:hAnsi="Calibri" w:cs="Calibri"/>
                <w:sz w:val="19"/>
                <w:szCs w:val="19"/>
                <w:highlight w:val="yellow"/>
                <w:lang w:val="en-GB"/>
              </w:rPr>
            </w:pPr>
            <w:r w:rsidRPr="00210F7A">
              <w:rPr>
                <w:rFonts w:ascii="Calibri" w:eastAsia="Times New Roman" w:hAnsi="Calibri" w:cs="Times New Roman"/>
                <w:sz w:val="19"/>
                <w:szCs w:val="19"/>
                <w:lang w:val="en-US"/>
              </w:rPr>
              <w:t xml:space="preserve"> (52,432)</w:t>
            </w:r>
          </w:p>
        </w:tc>
        <w:tc>
          <w:tcPr>
            <w:tcW w:w="614" w:type="pct"/>
            <w:vAlign w:val="bottom"/>
          </w:tcPr>
          <w:p w14:paraId="17B4C38A" w14:textId="77777777" w:rsidR="00210F7A" w:rsidRPr="00210F7A" w:rsidRDefault="00210F7A" w:rsidP="00210F7A">
            <w:pPr>
              <w:spacing w:after="0" w:line="240" w:lineRule="auto"/>
              <w:jc w:val="right"/>
              <w:rPr>
                <w:rFonts w:ascii="Calibri" w:eastAsia="Calibri" w:hAnsi="Calibri" w:cs="Calibri"/>
                <w:sz w:val="19"/>
                <w:szCs w:val="19"/>
                <w:highlight w:val="yellow"/>
                <w:lang w:val="en-GB"/>
              </w:rPr>
            </w:pPr>
            <w:r w:rsidRPr="00210F7A">
              <w:rPr>
                <w:rFonts w:ascii="Calibri" w:eastAsia="Times New Roman" w:hAnsi="Calibri" w:cs="Times New Roman"/>
                <w:sz w:val="19"/>
                <w:szCs w:val="19"/>
                <w:lang w:val="en-US"/>
              </w:rPr>
              <w:t xml:space="preserve"> 78,124 </w:t>
            </w:r>
          </w:p>
        </w:tc>
      </w:tr>
      <w:tr w:rsidR="00210F7A" w:rsidRPr="00210F7A" w14:paraId="2C1C40F5" w14:textId="77777777" w:rsidTr="00E44437">
        <w:trPr>
          <w:trHeight w:hRule="exact" w:val="280"/>
        </w:trPr>
        <w:tc>
          <w:tcPr>
            <w:tcW w:w="2195" w:type="pct"/>
            <w:vAlign w:val="bottom"/>
          </w:tcPr>
          <w:p w14:paraId="7CC759B7" w14:textId="77777777" w:rsidR="00210F7A" w:rsidRPr="00210F7A" w:rsidRDefault="00210F7A" w:rsidP="00210F7A">
            <w:pPr>
              <w:tabs>
                <w:tab w:val="right" w:pos="1202"/>
              </w:tabs>
              <w:spacing w:after="0" w:line="240" w:lineRule="auto"/>
              <w:outlineLvl w:val="0"/>
              <w:rPr>
                <w:rFonts w:ascii="Calibri" w:eastAsia="Calibri" w:hAnsi="Calibri" w:cs="Times New Roman"/>
                <w:sz w:val="19"/>
                <w:szCs w:val="19"/>
                <w:lang w:val="en-GB"/>
              </w:rPr>
            </w:pPr>
            <w:r w:rsidRPr="00210F7A">
              <w:rPr>
                <w:rFonts w:ascii="Calibri" w:eastAsia="Calibri" w:hAnsi="Calibri" w:cs="Times New Roman"/>
                <w:sz w:val="19"/>
                <w:szCs w:val="19"/>
                <w:lang w:val="en-GB"/>
              </w:rPr>
              <w:t>Write-offs</w:t>
            </w:r>
          </w:p>
        </w:tc>
        <w:tc>
          <w:tcPr>
            <w:tcW w:w="555" w:type="pct"/>
            <w:vAlign w:val="bottom"/>
          </w:tcPr>
          <w:p w14:paraId="06C9B240" w14:textId="77777777" w:rsidR="00210F7A" w:rsidRPr="00210F7A" w:rsidRDefault="00210F7A" w:rsidP="00210F7A">
            <w:pPr>
              <w:spacing w:after="0" w:line="240" w:lineRule="auto"/>
              <w:jc w:val="right"/>
              <w:rPr>
                <w:rFonts w:ascii="Calibri" w:eastAsia="Calibri" w:hAnsi="Calibri" w:cs="Calibri"/>
                <w:sz w:val="19"/>
                <w:szCs w:val="19"/>
                <w:lang w:val="en-GB"/>
              </w:rPr>
            </w:pPr>
            <w:r w:rsidRPr="00210F7A">
              <w:rPr>
                <w:rFonts w:ascii="Calibri" w:eastAsia="Times New Roman" w:hAnsi="Calibri" w:cs="Times New Roman"/>
                <w:sz w:val="19"/>
                <w:szCs w:val="19"/>
                <w:lang w:val="en-US"/>
              </w:rPr>
              <w:t xml:space="preserve"> (33,698)</w:t>
            </w:r>
          </w:p>
        </w:tc>
        <w:tc>
          <w:tcPr>
            <w:tcW w:w="555" w:type="pct"/>
            <w:vAlign w:val="bottom"/>
          </w:tcPr>
          <w:p w14:paraId="02C802F7" w14:textId="77777777" w:rsidR="00210F7A" w:rsidRPr="00210F7A" w:rsidRDefault="00210F7A" w:rsidP="00210F7A">
            <w:pPr>
              <w:spacing w:after="0" w:line="240" w:lineRule="auto"/>
              <w:jc w:val="right"/>
              <w:rPr>
                <w:rFonts w:ascii="Calibri" w:eastAsia="Calibri" w:hAnsi="Calibri" w:cs="Calibri"/>
                <w:sz w:val="19"/>
                <w:szCs w:val="19"/>
                <w:lang w:val="en-GB"/>
              </w:rPr>
            </w:pPr>
            <w:r w:rsidRPr="00210F7A">
              <w:rPr>
                <w:rFonts w:ascii="Calibri" w:eastAsia="Times New Roman" w:hAnsi="Calibri" w:cs="Times New Roman"/>
                <w:sz w:val="19"/>
                <w:szCs w:val="19"/>
                <w:lang w:val="en-US"/>
              </w:rPr>
              <w:t xml:space="preserve"> - </w:t>
            </w:r>
          </w:p>
        </w:tc>
        <w:tc>
          <w:tcPr>
            <w:tcW w:w="556" w:type="pct"/>
            <w:vAlign w:val="bottom"/>
          </w:tcPr>
          <w:p w14:paraId="4E267CAB" w14:textId="77777777" w:rsidR="00210F7A" w:rsidRPr="00210F7A" w:rsidRDefault="00210F7A" w:rsidP="00210F7A">
            <w:pPr>
              <w:spacing w:after="0" w:line="240" w:lineRule="auto"/>
              <w:jc w:val="right"/>
              <w:rPr>
                <w:rFonts w:ascii="Calibri" w:eastAsia="Calibri" w:hAnsi="Calibri" w:cs="Calibri"/>
                <w:sz w:val="19"/>
                <w:szCs w:val="19"/>
                <w:lang w:val="en-GB"/>
              </w:rPr>
            </w:pPr>
            <w:r w:rsidRPr="00210F7A">
              <w:rPr>
                <w:rFonts w:ascii="Calibri" w:eastAsia="Times New Roman" w:hAnsi="Calibri" w:cs="Times New Roman"/>
                <w:sz w:val="19"/>
                <w:szCs w:val="19"/>
                <w:lang w:val="en-US"/>
              </w:rPr>
              <w:t xml:space="preserve"> (272,492)</w:t>
            </w:r>
          </w:p>
        </w:tc>
        <w:tc>
          <w:tcPr>
            <w:tcW w:w="525" w:type="pct"/>
            <w:vAlign w:val="bottom"/>
          </w:tcPr>
          <w:p w14:paraId="35899C24" w14:textId="77777777" w:rsidR="00210F7A" w:rsidRPr="00210F7A" w:rsidRDefault="00210F7A" w:rsidP="00210F7A">
            <w:pPr>
              <w:spacing w:after="0" w:line="240" w:lineRule="auto"/>
              <w:jc w:val="right"/>
              <w:rPr>
                <w:rFonts w:ascii="Calibri" w:eastAsia="Calibri" w:hAnsi="Calibri" w:cs="Calibri"/>
                <w:sz w:val="19"/>
                <w:szCs w:val="19"/>
                <w:lang w:val="en-GB"/>
              </w:rPr>
            </w:pPr>
            <w:r w:rsidRPr="00210F7A">
              <w:rPr>
                <w:rFonts w:ascii="Calibri" w:eastAsia="Times New Roman" w:hAnsi="Calibri" w:cs="Times New Roman"/>
                <w:sz w:val="19"/>
                <w:szCs w:val="19"/>
                <w:lang w:val="en-US"/>
              </w:rPr>
              <w:t xml:space="preserve"> - </w:t>
            </w:r>
          </w:p>
        </w:tc>
        <w:tc>
          <w:tcPr>
            <w:tcW w:w="614" w:type="pct"/>
            <w:vAlign w:val="bottom"/>
          </w:tcPr>
          <w:p w14:paraId="7B37F0C2" w14:textId="77777777" w:rsidR="00210F7A" w:rsidRPr="00210F7A" w:rsidRDefault="00210F7A" w:rsidP="00210F7A">
            <w:pPr>
              <w:spacing w:after="0" w:line="240" w:lineRule="auto"/>
              <w:jc w:val="right"/>
              <w:rPr>
                <w:rFonts w:ascii="Calibri" w:eastAsia="Calibri" w:hAnsi="Calibri" w:cs="Calibri"/>
                <w:sz w:val="19"/>
                <w:szCs w:val="19"/>
                <w:lang w:val="en-GB"/>
              </w:rPr>
            </w:pPr>
            <w:r w:rsidRPr="00210F7A">
              <w:rPr>
                <w:rFonts w:ascii="Calibri" w:eastAsia="Times New Roman" w:hAnsi="Calibri" w:cs="Times New Roman"/>
                <w:sz w:val="19"/>
                <w:szCs w:val="19"/>
                <w:lang w:val="en-US"/>
              </w:rPr>
              <w:t xml:space="preserve"> (306,190)</w:t>
            </w:r>
          </w:p>
        </w:tc>
      </w:tr>
      <w:tr w:rsidR="00210F7A" w:rsidRPr="00210F7A" w14:paraId="276CCE99" w14:textId="77777777" w:rsidTr="00E44437">
        <w:trPr>
          <w:trHeight w:hRule="exact" w:val="280"/>
        </w:trPr>
        <w:tc>
          <w:tcPr>
            <w:tcW w:w="2195" w:type="pct"/>
            <w:vAlign w:val="center"/>
          </w:tcPr>
          <w:p w14:paraId="52F4C1DB" w14:textId="77777777" w:rsidR="00210F7A" w:rsidRPr="00210F7A" w:rsidRDefault="00210F7A" w:rsidP="00210F7A">
            <w:pPr>
              <w:tabs>
                <w:tab w:val="right" w:pos="1202"/>
              </w:tabs>
              <w:spacing w:after="0" w:line="240" w:lineRule="auto"/>
              <w:outlineLvl w:val="0"/>
              <w:rPr>
                <w:rFonts w:ascii="Calibri" w:eastAsia="Calibri" w:hAnsi="Calibri" w:cs="Times New Roman"/>
                <w:sz w:val="19"/>
                <w:szCs w:val="19"/>
                <w:lang w:val="en-GB"/>
              </w:rPr>
            </w:pPr>
            <w:r w:rsidRPr="00210F7A">
              <w:rPr>
                <w:rFonts w:ascii="Calibri" w:eastAsia="Calibri" w:hAnsi="Calibri" w:cs="Times New Roman"/>
                <w:sz w:val="19"/>
                <w:szCs w:val="19"/>
                <w:lang w:val="en-GB"/>
              </w:rPr>
              <w:t>Unwind – changes due to the lapse of time</w:t>
            </w:r>
          </w:p>
        </w:tc>
        <w:tc>
          <w:tcPr>
            <w:tcW w:w="555" w:type="pct"/>
            <w:vAlign w:val="bottom"/>
          </w:tcPr>
          <w:p w14:paraId="12BDDA02" w14:textId="77777777" w:rsidR="00210F7A" w:rsidRPr="00210F7A" w:rsidRDefault="00210F7A" w:rsidP="00210F7A">
            <w:pPr>
              <w:spacing w:after="0" w:line="240" w:lineRule="auto"/>
              <w:jc w:val="right"/>
              <w:rPr>
                <w:rFonts w:ascii="Calibri" w:eastAsia="Calibri" w:hAnsi="Calibri" w:cs="Calibri"/>
                <w:sz w:val="19"/>
                <w:szCs w:val="19"/>
                <w:lang w:val="en-GB"/>
              </w:rPr>
            </w:pPr>
            <w:r w:rsidRPr="00210F7A">
              <w:rPr>
                <w:rFonts w:ascii="Calibri" w:eastAsia="Times New Roman" w:hAnsi="Calibri" w:cs="Times New Roman"/>
                <w:sz w:val="19"/>
                <w:szCs w:val="19"/>
                <w:lang w:val="en-US"/>
              </w:rPr>
              <w:t xml:space="preserve"> (1,574)</w:t>
            </w:r>
          </w:p>
        </w:tc>
        <w:tc>
          <w:tcPr>
            <w:tcW w:w="555" w:type="pct"/>
            <w:vAlign w:val="bottom"/>
          </w:tcPr>
          <w:p w14:paraId="18614456" w14:textId="77777777" w:rsidR="00210F7A" w:rsidRPr="00210F7A" w:rsidRDefault="00210F7A" w:rsidP="00210F7A">
            <w:pPr>
              <w:spacing w:after="0" w:line="240" w:lineRule="auto"/>
              <w:jc w:val="right"/>
              <w:rPr>
                <w:rFonts w:ascii="Calibri" w:eastAsia="Calibri" w:hAnsi="Calibri" w:cs="Calibri"/>
                <w:sz w:val="19"/>
                <w:szCs w:val="19"/>
                <w:lang w:val="en-GB"/>
              </w:rPr>
            </w:pPr>
            <w:r w:rsidRPr="00210F7A">
              <w:rPr>
                <w:rFonts w:ascii="Calibri" w:eastAsia="Times New Roman" w:hAnsi="Calibri" w:cs="Times New Roman"/>
                <w:sz w:val="19"/>
                <w:szCs w:val="19"/>
                <w:lang w:val="en-US"/>
              </w:rPr>
              <w:t xml:space="preserve"> (1,131)</w:t>
            </w:r>
          </w:p>
        </w:tc>
        <w:tc>
          <w:tcPr>
            <w:tcW w:w="556" w:type="pct"/>
            <w:vAlign w:val="bottom"/>
          </w:tcPr>
          <w:p w14:paraId="66876743" w14:textId="77777777" w:rsidR="00210F7A" w:rsidRPr="00210F7A" w:rsidRDefault="00210F7A" w:rsidP="00210F7A">
            <w:pPr>
              <w:spacing w:after="0" w:line="240" w:lineRule="auto"/>
              <w:jc w:val="right"/>
              <w:rPr>
                <w:rFonts w:ascii="Calibri" w:eastAsia="Calibri" w:hAnsi="Calibri" w:cs="Calibri"/>
                <w:sz w:val="19"/>
                <w:szCs w:val="19"/>
                <w:lang w:val="en-GB"/>
              </w:rPr>
            </w:pPr>
            <w:r w:rsidRPr="00210F7A">
              <w:rPr>
                <w:rFonts w:ascii="Calibri" w:eastAsia="Times New Roman" w:hAnsi="Calibri" w:cs="Times New Roman"/>
                <w:sz w:val="19"/>
                <w:szCs w:val="19"/>
                <w:lang w:val="en-US"/>
              </w:rPr>
              <w:t xml:space="preserve"> 7,575 </w:t>
            </w:r>
          </w:p>
        </w:tc>
        <w:tc>
          <w:tcPr>
            <w:tcW w:w="525" w:type="pct"/>
            <w:vAlign w:val="bottom"/>
          </w:tcPr>
          <w:p w14:paraId="7391753D" w14:textId="77777777" w:rsidR="00210F7A" w:rsidRPr="00210F7A" w:rsidRDefault="00210F7A" w:rsidP="00210F7A">
            <w:pPr>
              <w:spacing w:after="0" w:line="240" w:lineRule="auto"/>
              <w:jc w:val="right"/>
              <w:rPr>
                <w:rFonts w:ascii="Calibri" w:eastAsia="Calibri" w:hAnsi="Calibri" w:cs="Calibri"/>
                <w:sz w:val="19"/>
                <w:szCs w:val="19"/>
                <w:lang w:val="en-GB"/>
              </w:rPr>
            </w:pPr>
            <w:r w:rsidRPr="00210F7A">
              <w:rPr>
                <w:rFonts w:ascii="Calibri" w:eastAsia="Times New Roman" w:hAnsi="Calibri" w:cs="Times New Roman"/>
                <w:sz w:val="19"/>
                <w:szCs w:val="19"/>
                <w:lang w:val="en-US"/>
              </w:rPr>
              <w:t xml:space="preserve"> 20,217 </w:t>
            </w:r>
          </w:p>
        </w:tc>
        <w:tc>
          <w:tcPr>
            <w:tcW w:w="614" w:type="pct"/>
            <w:vAlign w:val="bottom"/>
          </w:tcPr>
          <w:p w14:paraId="2E4BA7B0" w14:textId="77777777" w:rsidR="00210F7A" w:rsidRPr="00210F7A" w:rsidRDefault="00210F7A" w:rsidP="00210F7A">
            <w:pPr>
              <w:spacing w:after="0" w:line="240" w:lineRule="auto"/>
              <w:jc w:val="right"/>
              <w:rPr>
                <w:rFonts w:ascii="Calibri" w:eastAsia="Calibri" w:hAnsi="Calibri" w:cs="Calibri"/>
                <w:sz w:val="19"/>
                <w:szCs w:val="19"/>
                <w:lang w:val="en-GB"/>
              </w:rPr>
            </w:pPr>
            <w:r w:rsidRPr="00210F7A">
              <w:rPr>
                <w:rFonts w:ascii="Calibri" w:eastAsia="Times New Roman" w:hAnsi="Calibri" w:cs="Times New Roman"/>
                <w:sz w:val="19"/>
                <w:szCs w:val="19"/>
                <w:lang w:val="en-US"/>
              </w:rPr>
              <w:t xml:space="preserve"> 25,087 </w:t>
            </w:r>
          </w:p>
        </w:tc>
      </w:tr>
      <w:tr w:rsidR="00210F7A" w:rsidRPr="00210F7A" w14:paraId="28D8697E" w14:textId="77777777" w:rsidTr="00E44437">
        <w:trPr>
          <w:trHeight w:val="296"/>
        </w:trPr>
        <w:tc>
          <w:tcPr>
            <w:tcW w:w="2195" w:type="pct"/>
            <w:vAlign w:val="bottom"/>
          </w:tcPr>
          <w:p w14:paraId="143E9E40" w14:textId="77777777" w:rsidR="00210F7A" w:rsidRPr="00210F7A" w:rsidRDefault="00210F7A" w:rsidP="00210F7A">
            <w:pPr>
              <w:tabs>
                <w:tab w:val="right" w:pos="1202"/>
              </w:tabs>
              <w:spacing w:after="0" w:line="240" w:lineRule="auto"/>
              <w:outlineLvl w:val="0"/>
              <w:rPr>
                <w:rFonts w:ascii="Calibri" w:eastAsia="Calibri" w:hAnsi="Calibri" w:cs="Times New Roman"/>
                <w:sz w:val="19"/>
                <w:szCs w:val="19"/>
                <w:lang w:val="en-GB"/>
              </w:rPr>
            </w:pPr>
            <w:r w:rsidRPr="00210F7A">
              <w:rPr>
                <w:rFonts w:ascii="Calibri" w:eastAsia="Calibri" w:hAnsi="Calibri" w:cs="Times New Roman"/>
                <w:sz w:val="19"/>
                <w:szCs w:val="19"/>
                <w:lang w:val="en-GB"/>
              </w:rPr>
              <w:t>Loss allowances transferred from loans to financial institutions</w:t>
            </w:r>
          </w:p>
        </w:tc>
        <w:tc>
          <w:tcPr>
            <w:tcW w:w="555" w:type="pct"/>
            <w:vAlign w:val="bottom"/>
          </w:tcPr>
          <w:p w14:paraId="4149A87C" w14:textId="77777777" w:rsidR="00210F7A" w:rsidRPr="00210F7A" w:rsidRDefault="00210F7A" w:rsidP="00210F7A">
            <w:pPr>
              <w:spacing w:after="0" w:line="240" w:lineRule="auto"/>
              <w:jc w:val="right"/>
              <w:rPr>
                <w:rFonts w:ascii="Calibri" w:eastAsia="Calibri" w:hAnsi="Calibri" w:cs="Calibri"/>
                <w:sz w:val="19"/>
                <w:szCs w:val="19"/>
                <w:lang w:val="en-GB"/>
              </w:rPr>
            </w:pPr>
            <w:r w:rsidRPr="00210F7A">
              <w:rPr>
                <w:rFonts w:ascii="Calibri" w:eastAsia="Times New Roman" w:hAnsi="Calibri" w:cs="Times New Roman"/>
                <w:sz w:val="19"/>
                <w:szCs w:val="19"/>
                <w:lang w:val="en-US"/>
              </w:rPr>
              <w:t xml:space="preserve"> - </w:t>
            </w:r>
          </w:p>
        </w:tc>
        <w:tc>
          <w:tcPr>
            <w:tcW w:w="555" w:type="pct"/>
            <w:vAlign w:val="bottom"/>
          </w:tcPr>
          <w:p w14:paraId="41D16F78" w14:textId="77777777" w:rsidR="00210F7A" w:rsidRPr="00210F7A" w:rsidRDefault="00210F7A" w:rsidP="00210F7A">
            <w:pPr>
              <w:spacing w:after="0" w:line="240" w:lineRule="auto"/>
              <w:jc w:val="right"/>
              <w:rPr>
                <w:rFonts w:ascii="Calibri" w:eastAsia="Calibri" w:hAnsi="Calibri" w:cs="Calibri"/>
                <w:sz w:val="19"/>
                <w:szCs w:val="19"/>
                <w:lang w:val="en-GB"/>
              </w:rPr>
            </w:pPr>
            <w:r w:rsidRPr="00210F7A">
              <w:rPr>
                <w:rFonts w:ascii="Calibri" w:eastAsia="Times New Roman" w:hAnsi="Calibri" w:cs="Times New Roman"/>
                <w:sz w:val="19"/>
                <w:szCs w:val="19"/>
                <w:lang w:val="en-US"/>
              </w:rPr>
              <w:t xml:space="preserve"> 16 </w:t>
            </w:r>
          </w:p>
        </w:tc>
        <w:tc>
          <w:tcPr>
            <w:tcW w:w="556" w:type="pct"/>
            <w:vAlign w:val="bottom"/>
          </w:tcPr>
          <w:p w14:paraId="1AAE20F1" w14:textId="77777777" w:rsidR="00210F7A" w:rsidRPr="00210F7A" w:rsidRDefault="00210F7A" w:rsidP="00210F7A">
            <w:pPr>
              <w:spacing w:after="0" w:line="240" w:lineRule="auto"/>
              <w:jc w:val="right"/>
              <w:rPr>
                <w:rFonts w:ascii="Calibri" w:eastAsia="Calibri" w:hAnsi="Calibri" w:cs="Calibri"/>
                <w:sz w:val="19"/>
                <w:szCs w:val="19"/>
                <w:lang w:val="en-GB"/>
              </w:rPr>
            </w:pPr>
            <w:r w:rsidRPr="00210F7A">
              <w:rPr>
                <w:rFonts w:ascii="Calibri" w:eastAsia="Times New Roman" w:hAnsi="Calibri" w:cs="Times New Roman"/>
                <w:sz w:val="19"/>
                <w:szCs w:val="19"/>
                <w:lang w:val="en-US"/>
              </w:rPr>
              <w:t xml:space="preserve"> - </w:t>
            </w:r>
          </w:p>
        </w:tc>
        <w:tc>
          <w:tcPr>
            <w:tcW w:w="525" w:type="pct"/>
            <w:vAlign w:val="bottom"/>
          </w:tcPr>
          <w:p w14:paraId="253288EE" w14:textId="77777777" w:rsidR="00210F7A" w:rsidRPr="00210F7A" w:rsidRDefault="00210F7A" w:rsidP="00210F7A">
            <w:pPr>
              <w:spacing w:after="0" w:line="240" w:lineRule="auto"/>
              <w:jc w:val="right"/>
              <w:rPr>
                <w:rFonts w:ascii="Calibri" w:eastAsia="Calibri" w:hAnsi="Calibri" w:cs="Calibri"/>
                <w:sz w:val="19"/>
                <w:szCs w:val="19"/>
                <w:lang w:val="en-GB"/>
              </w:rPr>
            </w:pPr>
            <w:r w:rsidRPr="00210F7A">
              <w:rPr>
                <w:rFonts w:ascii="Calibri" w:eastAsia="Times New Roman" w:hAnsi="Calibri" w:cs="Times New Roman"/>
                <w:sz w:val="19"/>
                <w:szCs w:val="19"/>
                <w:lang w:val="en-US"/>
              </w:rPr>
              <w:t xml:space="preserve"> - </w:t>
            </w:r>
          </w:p>
        </w:tc>
        <w:tc>
          <w:tcPr>
            <w:tcW w:w="614" w:type="pct"/>
            <w:vAlign w:val="bottom"/>
          </w:tcPr>
          <w:p w14:paraId="1EBBE1F6" w14:textId="77777777" w:rsidR="00210F7A" w:rsidRPr="00210F7A" w:rsidRDefault="00210F7A" w:rsidP="00210F7A">
            <w:pPr>
              <w:spacing w:after="0" w:line="240" w:lineRule="auto"/>
              <w:jc w:val="right"/>
              <w:rPr>
                <w:rFonts w:ascii="Calibri" w:eastAsia="Calibri" w:hAnsi="Calibri" w:cs="Calibri"/>
                <w:sz w:val="19"/>
                <w:szCs w:val="19"/>
                <w:lang w:val="en-GB"/>
              </w:rPr>
            </w:pPr>
            <w:r w:rsidRPr="00210F7A">
              <w:rPr>
                <w:rFonts w:ascii="Calibri" w:eastAsia="Times New Roman" w:hAnsi="Calibri" w:cs="Times New Roman"/>
                <w:sz w:val="19"/>
                <w:szCs w:val="19"/>
                <w:lang w:val="en-US"/>
              </w:rPr>
              <w:t xml:space="preserve"> 16 </w:t>
            </w:r>
          </w:p>
        </w:tc>
      </w:tr>
      <w:tr w:rsidR="00210F7A" w:rsidRPr="00210F7A" w14:paraId="294F589F" w14:textId="77777777" w:rsidTr="00E44437">
        <w:trPr>
          <w:trHeight w:val="156"/>
        </w:trPr>
        <w:tc>
          <w:tcPr>
            <w:tcW w:w="2195" w:type="pct"/>
            <w:vAlign w:val="center"/>
          </w:tcPr>
          <w:p w14:paraId="1153D96C" w14:textId="77777777" w:rsidR="00210F7A" w:rsidRPr="00210F7A" w:rsidRDefault="00210F7A" w:rsidP="00210F7A">
            <w:pPr>
              <w:tabs>
                <w:tab w:val="right" w:pos="1202"/>
              </w:tabs>
              <w:spacing w:after="0" w:line="240" w:lineRule="auto"/>
              <w:outlineLvl w:val="0"/>
              <w:rPr>
                <w:rFonts w:ascii="Calibri" w:eastAsia="Calibri" w:hAnsi="Calibri" w:cs="Times New Roman"/>
                <w:sz w:val="19"/>
                <w:szCs w:val="19"/>
                <w:lang w:val="en-GB"/>
              </w:rPr>
            </w:pPr>
            <w:r w:rsidRPr="00210F7A">
              <w:rPr>
                <w:rFonts w:ascii="Calibri" w:eastAsia="Calibri" w:hAnsi="Calibri" w:cs="Times New Roman"/>
                <w:sz w:val="19"/>
                <w:szCs w:val="19"/>
                <w:lang w:val="en-GB"/>
              </w:rPr>
              <w:t>Acquisition of immovable property</w:t>
            </w:r>
          </w:p>
        </w:tc>
        <w:tc>
          <w:tcPr>
            <w:tcW w:w="555" w:type="pct"/>
            <w:vAlign w:val="bottom"/>
          </w:tcPr>
          <w:p w14:paraId="58C8C51F" w14:textId="77777777" w:rsidR="00210F7A" w:rsidRPr="00210F7A" w:rsidRDefault="00210F7A" w:rsidP="00210F7A">
            <w:pPr>
              <w:spacing w:after="0" w:line="240" w:lineRule="auto"/>
              <w:jc w:val="right"/>
              <w:rPr>
                <w:rFonts w:ascii="Calibri" w:eastAsia="Calibri" w:hAnsi="Calibri" w:cs="Calibri"/>
                <w:sz w:val="19"/>
                <w:szCs w:val="19"/>
                <w:lang w:val="en-GB"/>
              </w:rPr>
            </w:pPr>
            <w:r w:rsidRPr="00210F7A">
              <w:rPr>
                <w:rFonts w:ascii="Calibri" w:eastAsia="Times New Roman" w:hAnsi="Calibri" w:cs="Times New Roman"/>
                <w:sz w:val="19"/>
                <w:szCs w:val="19"/>
                <w:lang w:val="en-US"/>
              </w:rPr>
              <w:t xml:space="preserve"> - </w:t>
            </w:r>
          </w:p>
        </w:tc>
        <w:tc>
          <w:tcPr>
            <w:tcW w:w="555" w:type="pct"/>
            <w:vAlign w:val="bottom"/>
          </w:tcPr>
          <w:p w14:paraId="293F1BA4" w14:textId="77777777" w:rsidR="00210F7A" w:rsidRPr="00210F7A" w:rsidRDefault="00210F7A" w:rsidP="00210F7A">
            <w:pPr>
              <w:spacing w:after="0" w:line="240" w:lineRule="auto"/>
              <w:jc w:val="right"/>
              <w:rPr>
                <w:rFonts w:ascii="Calibri" w:eastAsia="Calibri" w:hAnsi="Calibri" w:cs="Calibri"/>
                <w:sz w:val="19"/>
                <w:szCs w:val="19"/>
                <w:lang w:val="en-GB"/>
              </w:rPr>
            </w:pPr>
            <w:r w:rsidRPr="00210F7A">
              <w:rPr>
                <w:rFonts w:ascii="Calibri" w:eastAsia="Times New Roman" w:hAnsi="Calibri" w:cs="Times New Roman"/>
                <w:sz w:val="19"/>
                <w:szCs w:val="19"/>
                <w:lang w:val="en-US"/>
              </w:rPr>
              <w:t xml:space="preserve"> - </w:t>
            </w:r>
          </w:p>
        </w:tc>
        <w:tc>
          <w:tcPr>
            <w:tcW w:w="556" w:type="pct"/>
            <w:vAlign w:val="bottom"/>
          </w:tcPr>
          <w:p w14:paraId="75143333" w14:textId="77777777" w:rsidR="00210F7A" w:rsidRPr="00210F7A" w:rsidRDefault="00210F7A" w:rsidP="00210F7A">
            <w:pPr>
              <w:spacing w:after="0" w:line="240" w:lineRule="auto"/>
              <w:jc w:val="right"/>
              <w:rPr>
                <w:rFonts w:ascii="Calibri" w:eastAsia="Calibri" w:hAnsi="Calibri" w:cs="Calibri"/>
                <w:sz w:val="19"/>
                <w:szCs w:val="19"/>
                <w:lang w:val="en-GB"/>
              </w:rPr>
            </w:pPr>
            <w:r w:rsidRPr="00210F7A">
              <w:rPr>
                <w:rFonts w:ascii="Calibri" w:eastAsia="Times New Roman" w:hAnsi="Calibri" w:cs="Times New Roman"/>
                <w:sz w:val="19"/>
                <w:szCs w:val="19"/>
                <w:lang w:val="en-US"/>
              </w:rPr>
              <w:t xml:space="preserve"> (737)</w:t>
            </w:r>
          </w:p>
        </w:tc>
        <w:tc>
          <w:tcPr>
            <w:tcW w:w="525" w:type="pct"/>
            <w:vAlign w:val="bottom"/>
          </w:tcPr>
          <w:p w14:paraId="22FD1674" w14:textId="77777777" w:rsidR="00210F7A" w:rsidRPr="00210F7A" w:rsidRDefault="00210F7A" w:rsidP="00210F7A">
            <w:pPr>
              <w:spacing w:after="0" w:line="240" w:lineRule="auto"/>
              <w:jc w:val="right"/>
              <w:rPr>
                <w:rFonts w:ascii="Calibri" w:eastAsia="Calibri" w:hAnsi="Calibri" w:cs="Calibri"/>
                <w:sz w:val="19"/>
                <w:szCs w:val="19"/>
                <w:lang w:val="en-GB"/>
              </w:rPr>
            </w:pPr>
            <w:r w:rsidRPr="00210F7A">
              <w:rPr>
                <w:rFonts w:ascii="Calibri" w:eastAsia="Times New Roman" w:hAnsi="Calibri" w:cs="Times New Roman"/>
                <w:sz w:val="19"/>
                <w:szCs w:val="19"/>
                <w:lang w:val="en-US"/>
              </w:rPr>
              <w:t xml:space="preserve"> - </w:t>
            </w:r>
          </w:p>
        </w:tc>
        <w:tc>
          <w:tcPr>
            <w:tcW w:w="614" w:type="pct"/>
            <w:vAlign w:val="bottom"/>
          </w:tcPr>
          <w:p w14:paraId="62531B68" w14:textId="77777777" w:rsidR="00210F7A" w:rsidRPr="00210F7A" w:rsidRDefault="00210F7A" w:rsidP="00210F7A">
            <w:pPr>
              <w:spacing w:after="0" w:line="240" w:lineRule="auto"/>
              <w:jc w:val="right"/>
              <w:rPr>
                <w:rFonts w:ascii="Calibri" w:eastAsia="Calibri" w:hAnsi="Calibri" w:cs="Calibri"/>
                <w:sz w:val="19"/>
                <w:szCs w:val="19"/>
                <w:lang w:val="en-GB"/>
              </w:rPr>
            </w:pPr>
            <w:r w:rsidRPr="00210F7A">
              <w:rPr>
                <w:rFonts w:ascii="Calibri" w:eastAsia="Times New Roman" w:hAnsi="Calibri" w:cs="Times New Roman"/>
                <w:sz w:val="19"/>
                <w:szCs w:val="19"/>
                <w:lang w:val="en-US"/>
              </w:rPr>
              <w:t xml:space="preserve"> (737)</w:t>
            </w:r>
          </w:p>
        </w:tc>
      </w:tr>
      <w:tr w:rsidR="00210F7A" w:rsidRPr="00210F7A" w14:paraId="3682C5C4" w14:textId="77777777" w:rsidTr="00E44437">
        <w:trPr>
          <w:trHeight w:val="251"/>
        </w:trPr>
        <w:tc>
          <w:tcPr>
            <w:tcW w:w="2195" w:type="pct"/>
            <w:vAlign w:val="center"/>
          </w:tcPr>
          <w:p w14:paraId="64079E8E" w14:textId="77777777" w:rsidR="00210F7A" w:rsidRPr="00210F7A" w:rsidRDefault="00210F7A" w:rsidP="00210F7A">
            <w:pPr>
              <w:tabs>
                <w:tab w:val="right" w:pos="1202"/>
              </w:tabs>
              <w:spacing w:after="0" w:line="240" w:lineRule="auto"/>
              <w:outlineLvl w:val="0"/>
              <w:rPr>
                <w:rFonts w:ascii="Calibri" w:eastAsia="Calibri" w:hAnsi="Calibri" w:cs="Times New Roman"/>
                <w:sz w:val="19"/>
                <w:szCs w:val="19"/>
                <w:lang w:val="en-GB"/>
              </w:rPr>
            </w:pPr>
            <w:r w:rsidRPr="00210F7A">
              <w:rPr>
                <w:rFonts w:ascii="Calibri" w:eastAsia="Calibri" w:hAnsi="Calibri" w:cs="Times New Roman"/>
                <w:sz w:val="19"/>
                <w:szCs w:val="19"/>
                <w:lang w:val="en-GB"/>
              </w:rPr>
              <w:t>Derecognition due to reduction to fair value</w:t>
            </w:r>
          </w:p>
        </w:tc>
        <w:tc>
          <w:tcPr>
            <w:tcW w:w="555" w:type="pct"/>
            <w:vAlign w:val="bottom"/>
          </w:tcPr>
          <w:p w14:paraId="135AA2C7" w14:textId="77777777" w:rsidR="00210F7A" w:rsidRPr="00210F7A" w:rsidRDefault="00210F7A" w:rsidP="00210F7A">
            <w:pPr>
              <w:spacing w:after="0" w:line="240" w:lineRule="auto"/>
              <w:jc w:val="right"/>
              <w:rPr>
                <w:rFonts w:ascii="Calibri" w:eastAsia="Calibri" w:hAnsi="Calibri" w:cs="Calibri"/>
                <w:color w:val="000000"/>
                <w:sz w:val="19"/>
                <w:szCs w:val="19"/>
              </w:rPr>
            </w:pPr>
            <w:r w:rsidRPr="00210F7A">
              <w:rPr>
                <w:rFonts w:ascii="Calibri" w:eastAsia="Times New Roman" w:hAnsi="Calibri" w:cs="Times New Roman"/>
                <w:sz w:val="19"/>
                <w:szCs w:val="19"/>
                <w:lang w:val="en-US"/>
              </w:rPr>
              <w:t xml:space="preserve"> - </w:t>
            </w:r>
          </w:p>
        </w:tc>
        <w:tc>
          <w:tcPr>
            <w:tcW w:w="555" w:type="pct"/>
            <w:vAlign w:val="bottom"/>
          </w:tcPr>
          <w:p w14:paraId="17236312" w14:textId="77777777" w:rsidR="00210F7A" w:rsidRPr="00210F7A" w:rsidRDefault="00210F7A" w:rsidP="00210F7A">
            <w:pPr>
              <w:spacing w:after="0" w:line="240" w:lineRule="auto"/>
              <w:jc w:val="right"/>
              <w:rPr>
                <w:rFonts w:ascii="Calibri" w:eastAsia="Calibri" w:hAnsi="Calibri" w:cs="Calibri"/>
                <w:color w:val="000000"/>
                <w:sz w:val="19"/>
                <w:szCs w:val="19"/>
              </w:rPr>
            </w:pPr>
            <w:r w:rsidRPr="00210F7A">
              <w:rPr>
                <w:rFonts w:ascii="Calibri" w:eastAsia="Times New Roman" w:hAnsi="Calibri" w:cs="Times New Roman"/>
                <w:sz w:val="19"/>
                <w:szCs w:val="19"/>
                <w:lang w:val="en-US"/>
              </w:rPr>
              <w:t xml:space="preserve"> - </w:t>
            </w:r>
          </w:p>
        </w:tc>
        <w:tc>
          <w:tcPr>
            <w:tcW w:w="556" w:type="pct"/>
            <w:vAlign w:val="bottom"/>
          </w:tcPr>
          <w:p w14:paraId="439C548C" w14:textId="77777777" w:rsidR="00210F7A" w:rsidRPr="00210F7A" w:rsidRDefault="00210F7A" w:rsidP="00210F7A">
            <w:pPr>
              <w:spacing w:after="0" w:line="240" w:lineRule="auto"/>
              <w:jc w:val="right"/>
              <w:rPr>
                <w:rFonts w:ascii="Calibri" w:eastAsia="Calibri" w:hAnsi="Calibri" w:cs="Calibri"/>
                <w:color w:val="000000"/>
                <w:sz w:val="19"/>
                <w:szCs w:val="19"/>
              </w:rPr>
            </w:pPr>
            <w:r w:rsidRPr="00210F7A">
              <w:rPr>
                <w:rFonts w:ascii="Calibri" w:eastAsia="Times New Roman" w:hAnsi="Calibri" w:cs="Times New Roman"/>
                <w:sz w:val="19"/>
                <w:szCs w:val="19"/>
                <w:lang w:val="en-US"/>
              </w:rPr>
              <w:t xml:space="preserve"> (84,977)</w:t>
            </w:r>
          </w:p>
        </w:tc>
        <w:tc>
          <w:tcPr>
            <w:tcW w:w="525" w:type="pct"/>
            <w:vAlign w:val="bottom"/>
          </w:tcPr>
          <w:p w14:paraId="5F6462BD" w14:textId="77777777" w:rsidR="00210F7A" w:rsidRPr="00210F7A" w:rsidRDefault="00210F7A" w:rsidP="00210F7A">
            <w:pPr>
              <w:spacing w:after="0" w:line="240" w:lineRule="auto"/>
              <w:jc w:val="right"/>
              <w:rPr>
                <w:rFonts w:ascii="Calibri" w:eastAsia="Calibri" w:hAnsi="Calibri" w:cs="Calibri"/>
                <w:color w:val="000000"/>
                <w:sz w:val="19"/>
                <w:szCs w:val="19"/>
              </w:rPr>
            </w:pPr>
            <w:r w:rsidRPr="00210F7A">
              <w:rPr>
                <w:rFonts w:ascii="Calibri" w:eastAsia="Times New Roman" w:hAnsi="Calibri" w:cs="Times New Roman"/>
                <w:sz w:val="19"/>
                <w:szCs w:val="19"/>
                <w:lang w:val="en-US"/>
              </w:rPr>
              <w:t xml:space="preserve"> 36,958 </w:t>
            </w:r>
          </w:p>
        </w:tc>
        <w:tc>
          <w:tcPr>
            <w:tcW w:w="614" w:type="pct"/>
            <w:vAlign w:val="bottom"/>
          </w:tcPr>
          <w:p w14:paraId="292CCB5F" w14:textId="77777777" w:rsidR="00210F7A" w:rsidRPr="00210F7A" w:rsidRDefault="00210F7A" w:rsidP="00210F7A">
            <w:pPr>
              <w:spacing w:after="0" w:line="240" w:lineRule="auto"/>
              <w:jc w:val="right"/>
              <w:rPr>
                <w:rFonts w:ascii="Calibri" w:eastAsia="Calibri" w:hAnsi="Calibri" w:cs="Calibri"/>
                <w:color w:val="000000"/>
                <w:sz w:val="19"/>
                <w:szCs w:val="19"/>
              </w:rPr>
            </w:pPr>
            <w:r w:rsidRPr="00210F7A">
              <w:rPr>
                <w:rFonts w:ascii="Calibri" w:eastAsia="Times New Roman" w:hAnsi="Calibri" w:cs="Times New Roman"/>
                <w:sz w:val="19"/>
                <w:szCs w:val="19"/>
                <w:lang w:val="en-US"/>
              </w:rPr>
              <w:t xml:space="preserve"> (48,019)</w:t>
            </w:r>
          </w:p>
        </w:tc>
      </w:tr>
      <w:tr w:rsidR="00210F7A" w:rsidRPr="00210F7A" w14:paraId="4E7F300B" w14:textId="77777777" w:rsidTr="00E44437">
        <w:trPr>
          <w:trHeight w:val="251"/>
        </w:trPr>
        <w:tc>
          <w:tcPr>
            <w:tcW w:w="2195" w:type="pct"/>
            <w:vAlign w:val="center"/>
          </w:tcPr>
          <w:p w14:paraId="51E9CA44" w14:textId="77777777" w:rsidR="00210F7A" w:rsidRPr="00210F7A" w:rsidRDefault="00210F7A" w:rsidP="00210F7A">
            <w:pPr>
              <w:tabs>
                <w:tab w:val="right" w:pos="1202"/>
              </w:tabs>
              <w:spacing w:after="0" w:line="240" w:lineRule="auto"/>
              <w:outlineLvl w:val="0"/>
              <w:rPr>
                <w:rFonts w:ascii="Calibri" w:eastAsia="Calibri" w:hAnsi="Calibri" w:cs="Times New Roman"/>
                <w:sz w:val="19"/>
                <w:szCs w:val="19"/>
                <w:lang w:val="en-GB"/>
              </w:rPr>
            </w:pPr>
            <w:r w:rsidRPr="00210F7A">
              <w:rPr>
                <w:rFonts w:ascii="Calibri" w:eastAsia="Calibri" w:hAnsi="Calibri" w:cs="Times New Roman"/>
                <w:sz w:val="19"/>
                <w:szCs w:val="19"/>
                <w:lang w:val="en-GB"/>
              </w:rPr>
              <w:t>Other</w:t>
            </w:r>
          </w:p>
        </w:tc>
        <w:tc>
          <w:tcPr>
            <w:tcW w:w="555" w:type="pct"/>
            <w:vAlign w:val="bottom"/>
          </w:tcPr>
          <w:p w14:paraId="11017948" w14:textId="77777777" w:rsidR="00210F7A" w:rsidRPr="00210F7A" w:rsidRDefault="00210F7A" w:rsidP="00210F7A">
            <w:pPr>
              <w:spacing w:after="0" w:line="240" w:lineRule="auto"/>
              <w:jc w:val="right"/>
              <w:rPr>
                <w:rFonts w:ascii="Calibri" w:eastAsia="Calibri" w:hAnsi="Calibri" w:cs="Calibri"/>
                <w:sz w:val="19"/>
                <w:szCs w:val="19"/>
                <w:lang w:val="en-GB"/>
              </w:rPr>
            </w:pPr>
            <w:r w:rsidRPr="00210F7A">
              <w:rPr>
                <w:rFonts w:ascii="Calibri" w:eastAsia="Times New Roman" w:hAnsi="Calibri" w:cs="Times New Roman"/>
                <w:sz w:val="19"/>
                <w:szCs w:val="19"/>
                <w:lang w:val="en-US"/>
              </w:rPr>
              <w:t xml:space="preserve"> - </w:t>
            </w:r>
          </w:p>
        </w:tc>
        <w:tc>
          <w:tcPr>
            <w:tcW w:w="555" w:type="pct"/>
            <w:vAlign w:val="bottom"/>
          </w:tcPr>
          <w:p w14:paraId="00968C30" w14:textId="77777777" w:rsidR="00210F7A" w:rsidRPr="00210F7A" w:rsidRDefault="00210F7A" w:rsidP="00210F7A">
            <w:pPr>
              <w:spacing w:after="0" w:line="240" w:lineRule="auto"/>
              <w:jc w:val="right"/>
              <w:rPr>
                <w:rFonts w:ascii="Calibri" w:eastAsia="Calibri" w:hAnsi="Calibri" w:cs="Calibri"/>
                <w:sz w:val="19"/>
                <w:szCs w:val="19"/>
                <w:lang w:val="en-GB"/>
              </w:rPr>
            </w:pPr>
            <w:r w:rsidRPr="00210F7A">
              <w:rPr>
                <w:rFonts w:ascii="Calibri" w:eastAsia="Times New Roman" w:hAnsi="Calibri" w:cs="Times New Roman"/>
                <w:sz w:val="19"/>
                <w:szCs w:val="19"/>
                <w:lang w:val="en-US"/>
              </w:rPr>
              <w:t xml:space="preserve"> - </w:t>
            </w:r>
          </w:p>
        </w:tc>
        <w:tc>
          <w:tcPr>
            <w:tcW w:w="556" w:type="pct"/>
            <w:vAlign w:val="bottom"/>
          </w:tcPr>
          <w:p w14:paraId="2A8CB66D" w14:textId="77777777" w:rsidR="00210F7A" w:rsidRPr="00210F7A" w:rsidRDefault="00210F7A" w:rsidP="00210F7A">
            <w:pPr>
              <w:spacing w:after="0" w:line="240" w:lineRule="auto"/>
              <w:jc w:val="right"/>
              <w:rPr>
                <w:rFonts w:ascii="Calibri" w:eastAsia="Calibri" w:hAnsi="Calibri" w:cs="Calibri"/>
                <w:sz w:val="19"/>
                <w:szCs w:val="19"/>
                <w:lang w:val="en-GB"/>
              </w:rPr>
            </w:pPr>
            <w:r w:rsidRPr="00210F7A">
              <w:rPr>
                <w:rFonts w:ascii="Calibri" w:eastAsia="Times New Roman" w:hAnsi="Calibri" w:cs="Times New Roman"/>
                <w:sz w:val="19"/>
                <w:szCs w:val="19"/>
                <w:lang w:val="en-US"/>
              </w:rPr>
              <w:t xml:space="preserve"> - </w:t>
            </w:r>
          </w:p>
        </w:tc>
        <w:tc>
          <w:tcPr>
            <w:tcW w:w="525" w:type="pct"/>
            <w:vAlign w:val="bottom"/>
          </w:tcPr>
          <w:p w14:paraId="733F34C9" w14:textId="77777777" w:rsidR="00210F7A" w:rsidRPr="00210F7A" w:rsidRDefault="00210F7A" w:rsidP="00210F7A">
            <w:pPr>
              <w:spacing w:after="0" w:line="240" w:lineRule="auto"/>
              <w:jc w:val="right"/>
              <w:rPr>
                <w:rFonts w:ascii="Calibri" w:eastAsia="Calibri" w:hAnsi="Calibri" w:cs="Calibri"/>
                <w:sz w:val="19"/>
                <w:szCs w:val="19"/>
                <w:lang w:val="en-GB"/>
              </w:rPr>
            </w:pPr>
            <w:r w:rsidRPr="00210F7A">
              <w:rPr>
                <w:rFonts w:ascii="Calibri" w:eastAsia="Times New Roman" w:hAnsi="Calibri" w:cs="Times New Roman"/>
                <w:sz w:val="19"/>
                <w:szCs w:val="19"/>
                <w:lang w:val="en-US"/>
              </w:rPr>
              <w:t xml:space="preserve"> 21,427 </w:t>
            </w:r>
          </w:p>
        </w:tc>
        <w:tc>
          <w:tcPr>
            <w:tcW w:w="614" w:type="pct"/>
            <w:vAlign w:val="bottom"/>
          </w:tcPr>
          <w:p w14:paraId="5AD8E968" w14:textId="77777777" w:rsidR="00210F7A" w:rsidRPr="00210F7A" w:rsidRDefault="00210F7A" w:rsidP="00210F7A">
            <w:pPr>
              <w:spacing w:after="0" w:line="240" w:lineRule="auto"/>
              <w:jc w:val="right"/>
              <w:rPr>
                <w:rFonts w:ascii="Calibri" w:eastAsia="Calibri" w:hAnsi="Calibri" w:cs="Calibri"/>
                <w:sz w:val="19"/>
                <w:szCs w:val="19"/>
                <w:lang w:val="en-GB"/>
              </w:rPr>
            </w:pPr>
            <w:r w:rsidRPr="00210F7A">
              <w:rPr>
                <w:rFonts w:ascii="Calibri" w:eastAsia="Times New Roman" w:hAnsi="Calibri" w:cs="Times New Roman"/>
                <w:sz w:val="19"/>
                <w:szCs w:val="19"/>
                <w:lang w:val="en-US"/>
              </w:rPr>
              <w:t xml:space="preserve"> 21,427 </w:t>
            </w:r>
          </w:p>
        </w:tc>
      </w:tr>
      <w:tr w:rsidR="00210F7A" w:rsidRPr="00210F7A" w14:paraId="11DF503D" w14:textId="77777777" w:rsidTr="00E44437">
        <w:trPr>
          <w:trHeight w:val="148"/>
        </w:trPr>
        <w:tc>
          <w:tcPr>
            <w:tcW w:w="2195" w:type="pct"/>
            <w:vAlign w:val="center"/>
          </w:tcPr>
          <w:p w14:paraId="0062FA1B" w14:textId="77777777" w:rsidR="00210F7A" w:rsidRPr="00210F7A" w:rsidRDefault="00210F7A" w:rsidP="00210F7A">
            <w:pPr>
              <w:tabs>
                <w:tab w:val="right" w:pos="1202"/>
              </w:tabs>
              <w:spacing w:after="0" w:line="240" w:lineRule="auto"/>
              <w:outlineLvl w:val="0"/>
              <w:rPr>
                <w:rFonts w:ascii="Calibri" w:eastAsia="Calibri" w:hAnsi="Calibri" w:cs="Times New Roman"/>
                <w:sz w:val="19"/>
                <w:szCs w:val="19"/>
                <w:lang w:val="en-GB"/>
              </w:rPr>
            </w:pPr>
            <w:r w:rsidRPr="00210F7A">
              <w:rPr>
                <w:rFonts w:ascii="Calibri" w:eastAsia="Calibri" w:hAnsi="Calibri" w:cs="Times New Roman"/>
                <w:sz w:val="19"/>
                <w:szCs w:val="19"/>
                <w:lang w:val="en-GB"/>
              </w:rPr>
              <w:t>Net foreign exchange gain/loss on loss allowances</w:t>
            </w:r>
          </w:p>
        </w:tc>
        <w:tc>
          <w:tcPr>
            <w:tcW w:w="555" w:type="pct"/>
            <w:tcBorders>
              <w:top w:val="nil"/>
              <w:left w:val="nil"/>
              <w:bottom w:val="single" w:sz="4" w:space="0" w:color="auto"/>
              <w:right w:val="nil"/>
            </w:tcBorders>
            <w:vAlign w:val="bottom"/>
          </w:tcPr>
          <w:p w14:paraId="702184B2" w14:textId="77777777" w:rsidR="00210F7A" w:rsidRPr="00210F7A" w:rsidRDefault="00210F7A" w:rsidP="00210F7A">
            <w:pPr>
              <w:spacing w:after="0" w:line="240" w:lineRule="auto"/>
              <w:jc w:val="right"/>
              <w:rPr>
                <w:rFonts w:ascii="Calibri" w:eastAsia="Calibri" w:hAnsi="Calibri" w:cs="Calibri"/>
                <w:sz w:val="19"/>
                <w:szCs w:val="19"/>
                <w:lang w:val="en-GB"/>
              </w:rPr>
            </w:pPr>
            <w:r w:rsidRPr="00210F7A">
              <w:rPr>
                <w:rFonts w:ascii="Calibri" w:eastAsia="Times New Roman" w:hAnsi="Calibri" w:cs="Times New Roman"/>
                <w:sz w:val="19"/>
                <w:szCs w:val="19"/>
                <w:lang w:val="en-US"/>
              </w:rPr>
              <w:t xml:space="preserve"> (197)</w:t>
            </w:r>
          </w:p>
        </w:tc>
        <w:tc>
          <w:tcPr>
            <w:tcW w:w="555" w:type="pct"/>
            <w:tcBorders>
              <w:top w:val="nil"/>
              <w:left w:val="nil"/>
              <w:bottom w:val="single" w:sz="4" w:space="0" w:color="auto"/>
              <w:right w:val="nil"/>
            </w:tcBorders>
            <w:vAlign w:val="bottom"/>
          </w:tcPr>
          <w:p w14:paraId="50EC84EB" w14:textId="77777777" w:rsidR="00210F7A" w:rsidRPr="00210F7A" w:rsidRDefault="00210F7A" w:rsidP="00210F7A">
            <w:pPr>
              <w:spacing w:after="0" w:line="240" w:lineRule="auto"/>
              <w:jc w:val="right"/>
              <w:rPr>
                <w:rFonts w:ascii="Calibri" w:eastAsia="Calibri" w:hAnsi="Calibri" w:cs="Calibri"/>
                <w:sz w:val="19"/>
                <w:szCs w:val="19"/>
                <w:lang w:val="en-GB"/>
              </w:rPr>
            </w:pPr>
            <w:r w:rsidRPr="00210F7A">
              <w:rPr>
                <w:rFonts w:ascii="Calibri" w:eastAsia="Times New Roman" w:hAnsi="Calibri" w:cs="Times New Roman"/>
                <w:sz w:val="19"/>
                <w:szCs w:val="19"/>
                <w:lang w:val="en-US"/>
              </w:rPr>
              <w:t xml:space="preserve"> (417)</w:t>
            </w:r>
          </w:p>
        </w:tc>
        <w:tc>
          <w:tcPr>
            <w:tcW w:w="556" w:type="pct"/>
            <w:tcBorders>
              <w:top w:val="nil"/>
              <w:left w:val="nil"/>
              <w:bottom w:val="single" w:sz="4" w:space="0" w:color="auto"/>
              <w:right w:val="nil"/>
            </w:tcBorders>
            <w:vAlign w:val="bottom"/>
          </w:tcPr>
          <w:p w14:paraId="1CB414F3" w14:textId="77777777" w:rsidR="00210F7A" w:rsidRPr="00210F7A" w:rsidRDefault="00210F7A" w:rsidP="00210F7A">
            <w:pPr>
              <w:spacing w:after="0" w:line="240" w:lineRule="auto"/>
              <w:jc w:val="right"/>
              <w:rPr>
                <w:rFonts w:ascii="Calibri" w:eastAsia="Calibri" w:hAnsi="Calibri" w:cs="Calibri"/>
                <w:sz w:val="19"/>
                <w:szCs w:val="19"/>
                <w:lang w:val="en-GB"/>
              </w:rPr>
            </w:pPr>
            <w:r w:rsidRPr="00210F7A">
              <w:rPr>
                <w:rFonts w:ascii="Calibri" w:eastAsia="Times New Roman" w:hAnsi="Calibri" w:cs="Times New Roman"/>
                <w:sz w:val="19"/>
                <w:szCs w:val="19"/>
                <w:lang w:val="en-US"/>
              </w:rPr>
              <w:t xml:space="preserve"> 11,214 </w:t>
            </w:r>
          </w:p>
        </w:tc>
        <w:tc>
          <w:tcPr>
            <w:tcW w:w="525" w:type="pct"/>
            <w:tcBorders>
              <w:top w:val="nil"/>
              <w:left w:val="nil"/>
              <w:bottom w:val="single" w:sz="4" w:space="0" w:color="auto"/>
              <w:right w:val="nil"/>
            </w:tcBorders>
            <w:vAlign w:val="bottom"/>
          </w:tcPr>
          <w:p w14:paraId="43945F21" w14:textId="77777777" w:rsidR="00210F7A" w:rsidRPr="00210F7A" w:rsidRDefault="00210F7A" w:rsidP="00210F7A">
            <w:pPr>
              <w:spacing w:after="0" w:line="240" w:lineRule="auto"/>
              <w:jc w:val="right"/>
              <w:rPr>
                <w:rFonts w:ascii="Calibri" w:eastAsia="Calibri" w:hAnsi="Calibri" w:cs="Calibri"/>
                <w:sz w:val="19"/>
                <w:szCs w:val="19"/>
                <w:lang w:val="en-GB"/>
              </w:rPr>
            </w:pPr>
            <w:r w:rsidRPr="00210F7A">
              <w:rPr>
                <w:rFonts w:ascii="Calibri" w:eastAsia="Times New Roman" w:hAnsi="Calibri" w:cs="Times New Roman"/>
                <w:sz w:val="19"/>
                <w:szCs w:val="19"/>
                <w:lang w:val="en-US"/>
              </w:rPr>
              <w:t xml:space="preserve"> (122)</w:t>
            </w:r>
          </w:p>
        </w:tc>
        <w:tc>
          <w:tcPr>
            <w:tcW w:w="614" w:type="pct"/>
            <w:tcBorders>
              <w:top w:val="nil"/>
              <w:left w:val="nil"/>
              <w:bottom w:val="single" w:sz="4" w:space="0" w:color="auto"/>
              <w:right w:val="nil"/>
            </w:tcBorders>
            <w:vAlign w:val="bottom"/>
          </w:tcPr>
          <w:p w14:paraId="2E125F50" w14:textId="77777777" w:rsidR="00210F7A" w:rsidRPr="00210F7A" w:rsidRDefault="00210F7A" w:rsidP="00210F7A">
            <w:pPr>
              <w:spacing w:after="0" w:line="240" w:lineRule="auto"/>
              <w:jc w:val="right"/>
              <w:rPr>
                <w:rFonts w:ascii="Calibri" w:eastAsia="Calibri" w:hAnsi="Calibri" w:cs="Calibri"/>
                <w:sz w:val="19"/>
                <w:szCs w:val="19"/>
                <w:lang w:val="en-GB"/>
              </w:rPr>
            </w:pPr>
            <w:r w:rsidRPr="00210F7A">
              <w:rPr>
                <w:rFonts w:ascii="Calibri" w:eastAsia="Times New Roman" w:hAnsi="Calibri" w:cs="Times New Roman"/>
                <w:sz w:val="19"/>
                <w:szCs w:val="19"/>
                <w:lang w:val="en-US"/>
              </w:rPr>
              <w:t xml:space="preserve"> 10,478 </w:t>
            </w:r>
          </w:p>
        </w:tc>
      </w:tr>
      <w:tr w:rsidR="00210F7A" w:rsidRPr="00210F7A" w14:paraId="3A27870F" w14:textId="77777777" w:rsidTr="00E44437">
        <w:trPr>
          <w:trHeight w:val="33"/>
        </w:trPr>
        <w:tc>
          <w:tcPr>
            <w:tcW w:w="2195" w:type="pct"/>
            <w:vAlign w:val="center"/>
          </w:tcPr>
          <w:p w14:paraId="3F15F546" w14:textId="77777777" w:rsidR="00210F7A" w:rsidRPr="00210F7A" w:rsidRDefault="00210F7A" w:rsidP="00210F7A">
            <w:pPr>
              <w:tabs>
                <w:tab w:val="right" w:pos="1202"/>
              </w:tabs>
              <w:spacing w:after="0" w:line="301" w:lineRule="exact"/>
              <w:outlineLvl w:val="0"/>
              <w:rPr>
                <w:rFonts w:ascii="Calibri" w:eastAsia="Calibri" w:hAnsi="Calibri" w:cs="Arial"/>
                <w:b/>
                <w:bCs/>
                <w:sz w:val="19"/>
                <w:szCs w:val="19"/>
                <w:lang w:val="en-GB"/>
              </w:rPr>
            </w:pPr>
            <w:r w:rsidRPr="00210F7A">
              <w:rPr>
                <w:rFonts w:ascii="Calibri" w:eastAsia="Calibri" w:hAnsi="Calibri" w:cs="Arial"/>
                <w:b/>
                <w:bCs/>
                <w:sz w:val="19"/>
                <w:szCs w:val="19"/>
                <w:lang w:val="en-GB"/>
              </w:rPr>
              <w:t xml:space="preserve">Balance </w:t>
            </w:r>
            <w:proofErr w:type="gramStart"/>
            <w:r w:rsidRPr="00210F7A">
              <w:rPr>
                <w:rFonts w:ascii="Calibri" w:eastAsia="Calibri" w:hAnsi="Calibri" w:cs="Arial"/>
                <w:b/>
                <w:bCs/>
                <w:sz w:val="19"/>
                <w:szCs w:val="19"/>
                <w:lang w:val="en-GB"/>
              </w:rPr>
              <w:t>at</w:t>
            </w:r>
            <w:proofErr w:type="gramEnd"/>
            <w:r w:rsidRPr="00210F7A">
              <w:rPr>
                <w:rFonts w:ascii="Calibri" w:eastAsia="Calibri" w:hAnsi="Calibri" w:cs="Arial"/>
                <w:b/>
                <w:bCs/>
                <w:sz w:val="19"/>
                <w:szCs w:val="19"/>
                <w:lang w:val="en-GB"/>
              </w:rPr>
              <w:t xml:space="preserve"> 31 December 2021</w:t>
            </w:r>
          </w:p>
        </w:tc>
        <w:tc>
          <w:tcPr>
            <w:tcW w:w="555" w:type="pct"/>
            <w:tcBorders>
              <w:top w:val="single" w:sz="4" w:space="0" w:color="auto"/>
              <w:left w:val="nil"/>
              <w:bottom w:val="single" w:sz="12" w:space="0" w:color="auto"/>
              <w:right w:val="nil"/>
            </w:tcBorders>
            <w:shd w:val="clear" w:color="auto" w:fill="auto"/>
            <w:vAlign w:val="bottom"/>
          </w:tcPr>
          <w:p w14:paraId="486F5259" w14:textId="77777777" w:rsidR="00210F7A" w:rsidRPr="00210F7A" w:rsidRDefault="00210F7A" w:rsidP="00210F7A">
            <w:pPr>
              <w:tabs>
                <w:tab w:val="right" w:pos="1202"/>
              </w:tabs>
              <w:spacing w:after="0" w:line="301" w:lineRule="exact"/>
              <w:jc w:val="right"/>
              <w:outlineLvl w:val="0"/>
              <w:rPr>
                <w:rFonts w:ascii="Calibri" w:eastAsia="Calibri" w:hAnsi="Calibri" w:cs="Calibri"/>
                <w:b/>
                <w:sz w:val="19"/>
                <w:szCs w:val="19"/>
                <w:lang w:val="en-GB"/>
              </w:rPr>
            </w:pPr>
            <w:r w:rsidRPr="00210F7A">
              <w:rPr>
                <w:rFonts w:ascii="Calibri" w:eastAsia="Times New Roman" w:hAnsi="Calibri" w:cs="Times New Roman"/>
                <w:b/>
                <w:bCs/>
                <w:sz w:val="19"/>
                <w:szCs w:val="19"/>
                <w:lang w:val="en-US"/>
              </w:rPr>
              <w:t xml:space="preserve"> 381,609 </w:t>
            </w:r>
          </w:p>
        </w:tc>
        <w:tc>
          <w:tcPr>
            <w:tcW w:w="555" w:type="pct"/>
            <w:tcBorders>
              <w:top w:val="single" w:sz="4" w:space="0" w:color="auto"/>
              <w:left w:val="nil"/>
              <w:bottom w:val="single" w:sz="12" w:space="0" w:color="auto"/>
              <w:right w:val="nil"/>
            </w:tcBorders>
            <w:shd w:val="clear" w:color="auto" w:fill="auto"/>
            <w:vAlign w:val="bottom"/>
          </w:tcPr>
          <w:p w14:paraId="71B70AF4" w14:textId="77777777" w:rsidR="00210F7A" w:rsidRPr="00210F7A" w:rsidRDefault="00210F7A" w:rsidP="00210F7A">
            <w:pPr>
              <w:tabs>
                <w:tab w:val="right" w:pos="1202"/>
              </w:tabs>
              <w:spacing w:after="0" w:line="301" w:lineRule="exact"/>
              <w:jc w:val="right"/>
              <w:outlineLvl w:val="0"/>
              <w:rPr>
                <w:rFonts w:ascii="Calibri" w:eastAsia="Calibri" w:hAnsi="Calibri" w:cs="Calibri"/>
                <w:b/>
                <w:sz w:val="19"/>
                <w:szCs w:val="19"/>
                <w:lang w:val="en-GB"/>
              </w:rPr>
            </w:pPr>
            <w:r w:rsidRPr="00210F7A">
              <w:rPr>
                <w:rFonts w:ascii="Calibri" w:eastAsia="Times New Roman" w:hAnsi="Calibri" w:cs="Times New Roman"/>
                <w:b/>
                <w:bCs/>
                <w:sz w:val="19"/>
                <w:szCs w:val="19"/>
                <w:lang w:val="en-US"/>
              </w:rPr>
              <w:t xml:space="preserve"> 555,807 </w:t>
            </w:r>
          </w:p>
        </w:tc>
        <w:tc>
          <w:tcPr>
            <w:tcW w:w="556" w:type="pct"/>
            <w:tcBorders>
              <w:top w:val="single" w:sz="4" w:space="0" w:color="auto"/>
              <w:left w:val="nil"/>
              <w:bottom w:val="single" w:sz="12" w:space="0" w:color="auto"/>
              <w:right w:val="nil"/>
            </w:tcBorders>
            <w:shd w:val="clear" w:color="auto" w:fill="auto"/>
            <w:vAlign w:val="bottom"/>
          </w:tcPr>
          <w:p w14:paraId="162C1EB1" w14:textId="77777777" w:rsidR="00210F7A" w:rsidRPr="00210F7A" w:rsidRDefault="00210F7A" w:rsidP="00210F7A">
            <w:pPr>
              <w:tabs>
                <w:tab w:val="right" w:pos="1202"/>
              </w:tabs>
              <w:spacing w:after="0" w:line="301" w:lineRule="exact"/>
              <w:jc w:val="right"/>
              <w:outlineLvl w:val="0"/>
              <w:rPr>
                <w:rFonts w:ascii="Calibri" w:eastAsia="Calibri" w:hAnsi="Calibri" w:cs="Calibri"/>
                <w:b/>
                <w:sz w:val="19"/>
                <w:szCs w:val="19"/>
                <w:lang w:val="en-GB"/>
              </w:rPr>
            </w:pPr>
            <w:r w:rsidRPr="00210F7A">
              <w:rPr>
                <w:rFonts w:ascii="Calibri" w:eastAsia="Times New Roman" w:hAnsi="Calibri" w:cs="Times New Roman"/>
                <w:b/>
                <w:bCs/>
                <w:sz w:val="19"/>
                <w:szCs w:val="19"/>
                <w:lang w:val="en-US"/>
              </w:rPr>
              <w:t xml:space="preserve"> 2,099,064 </w:t>
            </w:r>
          </w:p>
        </w:tc>
        <w:tc>
          <w:tcPr>
            <w:tcW w:w="525" w:type="pct"/>
            <w:tcBorders>
              <w:top w:val="single" w:sz="4" w:space="0" w:color="auto"/>
              <w:left w:val="nil"/>
              <w:bottom w:val="single" w:sz="12" w:space="0" w:color="auto"/>
              <w:right w:val="nil"/>
            </w:tcBorders>
            <w:shd w:val="clear" w:color="auto" w:fill="auto"/>
            <w:vAlign w:val="bottom"/>
          </w:tcPr>
          <w:p w14:paraId="35A21D14" w14:textId="77777777" w:rsidR="00210F7A" w:rsidRPr="00210F7A" w:rsidRDefault="00210F7A" w:rsidP="00210F7A">
            <w:pPr>
              <w:tabs>
                <w:tab w:val="right" w:pos="1202"/>
              </w:tabs>
              <w:spacing w:after="0" w:line="301" w:lineRule="exact"/>
              <w:jc w:val="right"/>
              <w:outlineLvl w:val="0"/>
              <w:rPr>
                <w:rFonts w:ascii="Calibri" w:eastAsia="Calibri" w:hAnsi="Calibri" w:cs="Calibri"/>
                <w:b/>
                <w:sz w:val="19"/>
                <w:szCs w:val="19"/>
                <w:lang w:val="en-GB"/>
              </w:rPr>
            </w:pPr>
            <w:r w:rsidRPr="00210F7A">
              <w:rPr>
                <w:rFonts w:ascii="Calibri" w:eastAsia="Times New Roman" w:hAnsi="Calibri" w:cs="Times New Roman"/>
                <w:b/>
                <w:bCs/>
                <w:sz w:val="19"/>
                <w:szCs w:val="19"/>
                <w:lang w:val="en-US"/>
              </w:rPr>
              <w:t xml:space="preserve"> 219,436 </w:t>
            </w:r>
          </w:p>
        </w:tc>
        <w:tc>
          <w:tcPr>
            <w:tcW w:w="614" w:type="pct"/>
            <w:tcBorders>
              <w:top w:val="single" w:sz="4" w:space="0" w:color="auto"/>
              <w:left w:val="nil"/>
              <w:bottom w:val="single" w:sz="12" w:space="0" w:color="auto"/>
              <w:right w:val="nil"/>
            </w:tcBorders>
            <w:shd w:val="clear" w:color="auto" w:fill="auto"/>
            <w:vAlign w:val="bottom"/>
          </w:tcPr>
          <w:p w14:paraId="27426B9F" w14:textId="77777777" w:rsidR="00210F7A" w:rsidRPr="00210F7A" w:rsidRDefault="00210F7A" w:rsidP="00210F7A">
            <w:pPr>
              <w:tabs>
                <w:tab w:val="right" w:pos="1202"/>
              </w:tabs>
              <w:spacing w:after="0" w:line="301" w:lineRule="exact"/>
              <w:jc w:val="right"/>
              <w:outlineLvl w:val="0"/>
              <w:rPr>
                <w:rFonts w:ascii="Calibri" w:eastAsia="Calibri" w:hAnsi="Calibri" w:cs="Calibri"/>
                <w:b/>
                <w:sz w:val="19"/>
                <w:szCs w:val="19"/>
                <w:lang w:val="en-GB"/>
              </w:rPr>
            </w:pPr>
            <w:r w:rsidRPr="00210F7A">
              <w:rPr>
                <w:rFonts w:ascii="Calibri" w:eastAsia="Times New Roman" w:hAnsi="Calibri" w:cs="Times New Roman"/>
                <w:b/>
                <w:bCs/>
                <w:sz w:val="19"/>
                <w:szCs w:val="19"/>
                <w:lang w:val="en-US"/>
              </w:rPr>
              <w:t xml:space="preserve"> 3,255,916 </w:t>
            </w:r>
          </w:p>
        </w:tc>
      </w:tr>
    </w:tbl>
    <w:p w14:paraId="68C46859" w14:textId="77777777" w:rsidR="004A287E" w:rsidRPr="00537128" w:rsidRDefault="004A287E" w:rsidP="00024090">
      <w:pPr>
        <w:spacing w:after="0" w:line="240" w:lineRule="auto"/>
        <w:jc w:val="both"/>
        <w:rPr>
          <w:rFonts w:ascii="Calibri" w:eastAsia="Times New Roman" w:hAnsi="Calibri" w:cs="Times New Roman"/>
          <w:b/>
          <w:bCs/>
          <w:color w:val="000000" w:themeColor="text1"/>
          <w:lang w:val="en-US"/>
        </w:rPr>
      </w:pPr>
    </w:p>
    <w:p w14:paraId="5E2CF70E" w14:textId="77777777" w:rsidR="004A287E" w:rsidRPr="00537128" w:rsidRDefault="004A287E" w:rsidP="00024090">
      <w:pPr>
        <w:spacing w:after="0" w:line="240" w:lineRule="auto"/>
        <w:jc w:val="both"/>
        <w:rPr>
          <w:rFonts w:ascii="Calibri" w:eastAsia="Times New Roman" w:hAnsi="Calibri" w:cs="Times New Roman"/>
          <w:b/>
          <w:bCs/>
          <w:color w:val="000000" w:themeColor="text1"/>
          <w:lang w:val="en-US"/>
        </w:rPr>
      </w:pPr>
    </w:p>
    <w:p w14:paraId="0F8CB07E" w14:textId="77777777" w:rsidR="00024090" w:rsidRPr="00537128" w:rsidRDefault="00024090" w:rsidP="00024090">
      <w:pPr>
        <w:spacing w:after="0" w:line="240" w:lineRule="auto"/>
        <w:rPr>
          <w:rFonts w:ascii="Calibri" w:eastAsia="Calibri" w:hAnsi="Calibri" w:cs="Times New Roman"/>
          <w:noProof/>
          <w:color w:val="000000" w:themeColor="text1"/>
          <w:sz w:val="16"/>
          <w:szCs w:val="16"/>
          <w:lang w:val="en-US"/>
        </w:rPr>
        <w:sectPr w:rsidR="00024090" w:rsidRPr="00537128" w:rsidSect="00712478">
          <w:pgSz w:w="11906" w:h="16838"/>
          <w:pgMar w:top="1418" w:right="1134" w:bottom="1418" w:left="1418" w:header="709" w:footer="709" w:gutter="0"/>
          <w:cols w:space="708"/>
          <w:docGrid w:linePitch="360"/>
        </w:sectPr>
      </w:pPr>
    </w:p>
    <w:p w14:paraId="235B9536" w14:textId="77777777" w:rsidR="00024090" w:rsidRPr="00537128" w:rsidRDefault="00024090" w:rsidP="00024090">
      <w:pPr>
        <w:spacing w:after="0" w:line="240" w:lineRule="auto"/>
        <w:jc w:val="both"/>
        <w:rPr>
          <w:rFonts w:ascii="Calibri" w:eastAsia="Calibri" w:hAnsi="Calibri" w:cs="Arial"/>
          <w:b/>
          <w:bCs/>
          <w:color w:val="000000" w:themeColor="text1"/>
          <w:sz w:val="16"/>
          <w:szCs w:val="16"/>
          <w:lang w:val="en-US"/>
        </w:rPr>
      </w:pPr>
    </w:p>
    <w:p w14:paraId="0B77FE61" w14:textId="518AB9E0" w:rsidR="00024090" w:rsidRPr="00537128" w:rsidRDefault="00B357CE" w:rsidP="00024090">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024090" w:rsidRPr="00537128">
        <w:rPr>
          <w:rFonts w:ascii="Calibri" w:eastAsia="Calibri" w:hAnsi="Calibri" w:cs="Arial"/>
          <w:b/>
          <w:bCs/>
          <w:color w:val="000000" w:themeColor="text1"/>
          <w:lang w:val="en-US"/>
        </w:rPr>
        <w:t>.</w:t>
      </w:r>
      <w:r w:rsidR="00024090" w:rsidRPr="00537128">
        <w:rPr>
          <w:rFonts w:ascii="Calibri" w:eastAsia="Calibri" w:hAnsi="Calibri" w:cs="Arial"/>
          <w:b/>
          <w:bCs/>
          <w:color w:val="000000" w:themeColor="text1"/>
          <w:lang w:val="en-US"/>
        </w:rPr>
        <w:tab/>
        <w:t>Risk management (continued)</w:t>
      </w:r>
    </w:p>
    <w:p w14:paraId="156686D7" w14:textId="77777777" w:rsidR="00024090" w:rsidRPr="00537128" w:rsidRDefault="00024090" w:rsidP="00024090">
      <w:pPr>
        <w:spacing w:after="0" w:line="240" w:lineRule="auto"/>
        <w:jc w:val="both"/>
        <w:rPr>
          <w:rFonts w:ascii="Calibri" w:eastAsia="Times New Roman" w:hAnsi="Calibri" w:cs="Times New Roman"/>
          <w:b/>
          <w:color w:val="000000" w:themeColor="text1"/>
          <w:sz w:val="16"/>
          <w:szCs w:val="16"/>
          <w:lang w:val="en-US"/>
        </w:rPr>
      </w:pPr>
    </w:p>
    <w:p w14:paraId="194F910B" w14:textId="5209A948" w:rsidR="00024090" w:rsidRPr="00537128" w:rsidRDefault="00B357CE" w:rsidP="00024090">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024090" w:rsidRPr="00537128">
        <w:rPr>
          <w:rFonts w:ascii="Calibri" w:eastAsia="Times New Roman" w:hAnsi="Calibri" w:cs="Times New Roman"/>
          <w:b/>
          <w:color w:val="000000" w:themeColor="text1"/>
          <w:lang w:val="en-US"/>
        </w:rPr>
        <w:t xml:space="preserve"> </w:t>
      </w:r>
      <w:r w:rsidR="00024090" w:rsidRPr="00537128">
        <w:rPr>
          <w:rFonts w:ascii="Calibri" w:eastAsia="Times New Roman" w:hAnsi="Calibri" w:cs="Times New Roman"/>
          <w:b/>
          <w:color w:val="000000" w:themeColor="text1"/>
          <w:lang w:val="en-US"/>
        </w:rPr>
        <w:tab/>
        <w:t>Credit risk (continued)</w:t>
      </w:r>
    </w:p>
    <w:p w14:paraId="1C7C098C" w14:textId="77777777" w:rsidR="00024090" w:rsidRPr="00537128" w:rsidRDefault="00024090" w:rsidP="00024090">
      <w:pPr>
        <w:spacing w:after="0" w:line="240" w:lineRule="auto"/>
        <w:jc w:val="both"/>
        <w:rPr>
          <w:rFonts w:ascii="Calibri" w:eastAsia="Calibri" w:hAnsi="Calibri" w:cs="Arial"/>
          <w:b/>
          <w:bCs/>
          <w:i/>
          <w:color w:val="000000" w:themeColor="text1"/>
          <w:sz w:val="16"/>
          <w:szCs w:val="16"/>
          <w:lang w:val="en-US"/>
        </w:rPr>
      </w:pPr>
    </w:p>
    <w:p w14:paraId="5D86FC53" w14:textId="44E74ACE" w:rsidR="00024090" w:rsidRPr="00537128" w:rsidRDefault="00024090" w:rsidP="00824E0F">
      <w:pPr>
        <w:numPr>
          <w:ilvl w:val="8"/>
          <w:numId w:val="48"/>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r w:rsidR="00685DB2">
        <w:rPr>
          <w:rFonts w:ascii="Calibri" w:eastAsia="Calibri" w:hAnsi="Calibri" w:cs="Arial"/>
          <w:bCs/>
          <w:i/>
          <w:color w:val="000000" w:themeColor="text1"/>
          <w:lang w:val="en-US"/>
        </w:rPr>
        <w:t xml:space="preserve"> (continued)</w:t>
      </w:r>
    </w:p>
    <w:p w14:paraId="1E8AEC66" w14:textId="77777777" w:rsidR="00024090" w:rsidRPr="00537128" w:rsidRDefault="00024090" w:rsidP="00024090">
      <w:pPr>
        <w:spacing w:after="0" w:line="240" w:lineRule="auto"/>
        <w:jc w:val="both"/>
        <w:rPr>
          <w:rFonts w:ascii="Calibri" w:eastAsia="Calibri" w:hAnsi="Calibri" w:cs="Arial"/>
          <w:b/>
          <w:bCs/>
          <w:i/>
          <w:color w:val="000000" w:themeColor="text1"/>
          <w:lang w:val="en-US"/>
        </w:rPr>
      </w:pPr>
    </w:p>
    <w:p w14:paraId="529BBC47" w14:textId="77777777" w:rsidR="00024090" w:rsidRPr="00537128" w:rsidRDefault="00024090" w:rsidP="00024090">
      <w:pPr>
        <w:spacing w:after="120" w:line="240" w:lineRule="auto"/>
        <w:jc w:val="both"/>
        <w:rPr>
          <w:rFonts w:ascii="Calibri" w:eastAsia="Times New Roman" w:hAnsi="Calibri" w:cs="Times New Roman"/>
          <w:b/>
          <w:bCs/>
          <w:color w:val="000000" w:themeColor="text1"/>
          <w:lang w:val="en-US"/>
        </w:rPr>
      </w:pPr>
      <w:r w:rsidRPr="00537128">
        <w:rPr>
          <w:rFonts w:ascii="Calibri" w:eastAsia="Times New Roman" w:hAnsi="Calibri" w:cs="Times New Roman"/>
          <w:b/>
          <w:bCs/>
          <w:color w:val="000000" w:themeColor="text1"/>
          <w:lang w:val="en-US"/>
        </w:rPr>
        <w:t>Financial assets at fair value through other comprehensive income</w:t>
      </w:r>
    </w:p>
    <w:p w14:paraId="0B58E0DD" w14:textId="77777777" w:rsidR="00024090" w:rsidRPr="00537128" w:rsidRDefault="00024090" w:rsidP="00024090">
      <w:pPr>
        <w:spacing w:after="0" w:line="240" w:lineRule="auto"/>
        <w:rPr>
          <w:rFonts w:ascii="Calibri" w:eastAsia="Calibri" w:hAnsi="Calibri" w:cs="Times New Roman"/>
          <w:noProof/>
          <w:color w:val="000000" w:themeColor="text1"/>
          <w:lang w:val="en-US"/>
        </w:rPr>
      </w:pPr>
    </w:p>
    <w:p w14:paraId="6BB72492" w14:textId="62A9CEBE" w:rsidR="00D20207" w:rsidRPr="00537128" w:rsidRDefault="00D20207"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A287E" w:rsidRPr="00537128" w14:paraId="3E6ADC82" w14:textId="77777777" w:rsidTr="004A287E">
        <w:trPr>
          <w:trHeight w:val="153"/>
        </w:trPr>
        <w:tc>
          <w:tcPr>
            <w:tcW w:w="1814" w:type="pct"/>
          </w:tcPr>
          <w:p w14:paraId="235AC5B9" w14:textId="77777777" w:rsidR="004A287E" w:rsidRPr="00537128" w:rsidRDefault="004A287E" w:rsidP="004A287E">
            <w:pPr>
              <w:spacing w:after="0" w:line="240" w:lineRule="auto"/>
              <w:rPr>
                <w:rFonts w:ascii="Calibri" w:eastAsia="Calibri" w:hAnsi="Calibri" w:cs="Arial"/>
                <w:b/>
                <w:bCs/>
                <w:sz w:val="19"/>
                <w:szCs w:val="19"/>
                <w:lang w:val="en-US"/>
              </w:rPr>
            </w:pPr>
            <w:r w:rsidRPr="00537128">
              <w:rPr>
                <w:rFonts w:ascii="Calibri" w:eastAsia="Calibri" w:hAnsi="Calibri" w:cs="Arial"/>
                <w:b/>
                <w:bCs/>
                <w:sz w:val="19"/>
                <w:szCs w:val="19"/>
                <w:lang w:val="en-US"/>
              </w:rPr>
              <w:br w:type="page"/>
              <w:t>Group</w:t>
            </w:r>
          </w:p>
        </w:tc>
        <w:tc>
          <w:tcPr>
            <w:tcW w:w="3186" w:type="pct"/>
            <w:gridSpan w:val="5"/>
            <w:vAlign w:val="bottom"/>
          </w:tcPr>
          <w:p w14:paraId="6C601DF9" w14:textId="77777777" w:rsidR="004A287E" w:rsidRPr="00537128" w:rsidRDefault="004A287E" w:rsidP="004A287E">
            <w:pPr>
              <w:spacing w:after="0" w:line="240" w:lineRule="auto"/>
              <w:jc w:val="center"/>
              <w:rPr>
                <w:rFonts w:ascii="Calibri" w:eastAsia="Calibri" w:hAnsi="Calibri" w:cs="Arial"/>
                <w:b/>
                <w:sz w:val="19"/>
                <w:szCs w:val="19"/>
                <w:lang w:val="en-US"/>
              </w:rPr>
            </w:pPr>
          </w:p>
        </w:tc>
      </w:tr>
      <w:tr w:rsidR="004A287E" w:rsidRPr="00537128" w14:paraId="76CA7A5F" w14:textId="77777777" w:rsidTr="004A287E">
        <w:trPr>
          <w:trHeight w:val="51"/>
        </w:trPr>
        <w:tc>
          <w:tcPr>
            <w:tcW w:w="1814" w:type="pct"/>
          </w:tcPr>
          <w:p w14:paraId="249A353B" w14:textId="6F494132" w:rsidR="004A287E" w:rsidRPr="00537128" w:rsidRDefault="002412CA" w:rsidP="004A287E">
            <w:pPr>
              <w:spacing w:after="0" w:line="240" w:lineRule="auto"/>
              <w:rPr>
                <w:rFonts w:ascii="Calibri" w:eastAsia="Calibri" w:hAnsi="Calibri" w:cs="Arial"/>
                <w:b/>
                <w:bCs/>
                <w:sz w:val="19"/>
                <w:szCs w:val="19"/>
                <w:lang w:val="en-US"/>
              </w:rPr>
            </w:pPr>
            <w:r w:rsidRPr="00537128">
              <w:rPr>
                <w:rFonts w:ascii="Calibri" w:eastAsia="Calibri" w:hAnsi="Calibri" w:cs="Arial"/>
                <w:b/>
                <w:bCs/>
                <w:sz w:val="19"/>
                <w:szCs w:val="19"/>
                <w:lang w:val="en-US"/>
              </w:rPr>
              <w:t>31 March 202</w:t>
            </w:r>
            <w:r w:rsidR="00D26228">
              <w:rPr>
                <w:rFonts w:ascii="Calibri" w:eastAsia="Calibri" w:hAnsi="Calibri" w:cs="Arial"/>
                <w:b/>
                <w:bCs/>
                <w:sz w:val="19"/>
                <w:szCs w:val="19"/>
                <w:lang w:val="en-US"/>
              </w:rPr>
              <w:t>2</w:t>
            </w:r>
          </w:p>
        </w:tc>
        <w:tc>
          <w:tcPr>
            <w:tcW w:w="650" w:type="pct"/>
            <w:vAlign w:val="bottom"/>
          </w:tcPr>
          <w:p w14:paraId="4AF8CF48"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1</w:t>
            </w:r>
          </w:p>
        </w:tc>
        <w:tc>
          <w:tcPr>
            <w:tcW w:w="650" w:type="pct"/>
            <w:vAlign w:val="bottom"/>
          </w:tcPr>
          <w:p w14:paraId="4634D57F"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2</w:t>
            </w:r>
          </w:p>
        </w:tc>
        <w:tc>
          <w:tcPr>
            <w:tcW w:w="643" w:type="pct"/>
            <w:vAlign w:val="bottom"/>
          </w:tcPr>
          <w:p w14:paraId="73EF48E4"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3</w:t>
            </w:r>
          </w:p>
        </w:tc>
        <w:tc>
          <w:tcPr>
            <w:tcW w:w="605" w:type="pct"/>
            <w:vAlign w:val="bottom"/>
          </w:tcPr>
          <w:p w14:paraId="3DCC5847"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POCI</w:t>
            </w:r>
          </w:p>
        </w:tc>
        <w:tc>
          <w:tcPr>
            <w:tcW w:w="638" w:type="pct"/>
            <w:vAlign w:val="bottom"/>
          </w:tcPr>
          <w:p w14:paraId="63636299"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Total</w:t>
            </w:r>
          </w:p>
        </w:tc>
      </w:tr>
      <w:tr w:rsidR="004A287E" w:rsidRPr="00537128" w14:paraId="7A64B190" w14:textId="77777777" w:rsidTr="004A287E">
        <w:trPr>
          <w:trHeight w:val="51"/>
        </w:trPr>
        <w:tc>
          <w:tcPr>
            <w:tcW w:w="1814" w:type="pct"/>
          </w:tcPr>
          <w:p w14:paraId="50C572D7"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650" w:type="pct"/>
          </w:tcPr>
          <w:p w14:paraId="41D38456"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50" w:type="pct"/>
          </w:tcPr>
          <w:p w14:paraId="6A88B619"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43" w:type="pct"/>
          </w:tcPr>
          <w:p w14:paraId="19BEDBA3"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05" w:type="pct"/>
          </w:tcPr>
          <w:p w14:paraId="49FCCE09"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38" w:type="pct"/>
          </w:tcPr>
          <w:p w14:paraId="0279169A"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r>
      <w:tr w:rsidR="004A287E" w:rsidRPr="00537128" w14:paraId="1E88EEEC" w14:textId="77777777" w:rsidTr="004A287E">
        <w:trPr>
          <w:trHeight w:val="74"/>
        </w:trPr>
        <w:tc>
          <w:tcPr>
            <w:tcW w:w="1814" w:type="pct"/>
          </w:tcPr>
          <w:p w14:paraId="03FCD42F" w14:textId="77777777" w:rsidR="004A287E" w:rsidRPr="00537128" w:rsidRDefault="004A287E" w:rsidP="004A287E">
            <w:pPr>
              <w:spacing w:after="0" w:line="240" w:lineRule="auto"/>
              <w:rPr>
                <w:rFonts w:ascii="Calibri" w:eastAsia="Calibri" w:hAnsi="Calibri" w:cs="Arial"/>
                <w:b/>
                <w:bCs/>
                <w:sz w:val="10"/>
                <w:szCs w:val="10"/>
                <w:lang w:val="en-US"/>
              </w:rPr>
            </w:pPr>
          </w:p>
        </w:tc>
        <w:tc>
          <w:tcPr>
            <w:tcW w:w="650" w:type="pct"/>
          </w:tcPr>
          <w:p w14:paraId="1564C4A7" w14:textId="77777777" w:rsidR="004A287E" w:rsidRPr="00537128" w:rsidRDefault="004A287E" w:rsidP="004A287E">
            <w:pPr>
              <w:spacing w:after="0" w:line="240" w:lineRule="auto"/>
              <w:jc w:val="right"/>
              <w:rPr>
                <w:rFonts w:ascii="Calibri" w:eastAsia="Calibri" w:hAnsi="Calibri" w:cs="Arial"/>
                <w:b/>
                <w:bCs/>
                <w:sz w:val="10"/>
                <w:szCs w:val="10"/>
                <w:lang w:val="en-US"/>
              </w:rPr>
            </w:pPr>
          </w:p>
        </w:tc>
        <w:tc>
          <w:tcPr>
            <w:tcW w:w="650" w:type="pct"/>
          </w:tcPr>
          <w:p w14:paraId="55D8E946" w14:textId="77777777" w:rsidR="004A287E" w:rsidRPr="00537128" w:rsidRDefault="004A287E" w:rsidP="004A287E">
            <w:pPr>
              <w:spacing w:after="0" w:line="240" w:lineRule="auto"/>
              <w:jc w:val="right"/>
              <w:rPr>
                <w:rFonts w:ascii="Calibri" w:eastAsia="Calibri" w:hAnsi="Calibri" w:cs="Arial"/>
                <w:b/>
                <w:bCs/>
                <w:sz w:val="10"/>
                <w:szCs w:val="10"/>
                <w:lang w:val="en-US"/>
              </w:rPr>
            </w:pPr>
          </w:p>
        </w:tc>
        <w:tc>
          <w:tcPr>
            <w:tcW w:w="643" w:type="pct"/>
          </w:tcPr>
          <w:p w14:paraId="7D79FB84" w14:textId="77777777" w:rsidR="004A287E" w:rsidRPr="00537128" w:rsidRDefault="004A287E" w:rsidP="004A287E">
            <w:pPr>
              <w:spacing w:after="0" w:line="240" w:lineRule="auto"/>
              <w:jc w:val="right"/>
              <w:rPr>
                <w:rFonts w:ascii="Calibri" w:eastAsia="Calibri" w:hAnsi="Calibri" w:cs="Arial"/>
                <w:b/>
                <w:bCs/>
                <w:sz w:val="10"/>
                <w:szCs w:val="10"/>
                <w:lang w:val="en-US"/>
              </w:rPr>
            </w:pPr>
          </w:p>
        </w:tc>
        <w:tc>
          <w:tcPr>
            <w:tcW w:w="605" w:type="pct"/>
          </w:tcPr>
          <w:p w14:paraId="4BB2F608" w14:textId="77777777" w:rsidR="004A287E" w:rsidRPr="00537128" w:rsidRDefault="004A287E" w:rsidP="004A287E">
            <w:pPr>
              <w:spacing w:after="0" w:line="240" w:lineRule="auto"/>
              <w:jc w:val="right"/>
              <w:rPr>
                <w:rFonts w:ascii="Calibri" w:eastAsia="Calibri" w:hAnsi="Calibri" w:cs="Arial"/>
                <w:b/>
                <w:bCs/>
                <w:sz w:val="10"/>
                <w:szCs w:val="10"/>
                <w:lang w:val="en-US"/>
              </w:rPr>
            </w:pPr>
          </w:p>
        </w:tc>
        <w:tc>
          <w:tcPr>
            <w:tcW w:w="638" w:type="pct"/>
          </w:tcPr>
          <w:p w14:paraId="2B956D25" w14:textId="77777777" w:rsidR="004A287E" w:rsidRPr="00537128" w:rsidRDefault="004A287E" w:rsidP="004A287E">
            <w:pPr>
              <w:spacing w:after="0" w:line="240" w:lineRule="auto"/>
              <w:jc w:val="right"/>
              <w:rPr>
                <w:rFonts w:ascii="Calibri" w:eastAsia="Calibri" w:hAnsi="Calibri" w:cs="Arial"/>
                <w:b/>
                <w:bCs/>
                <w:sz w:val="10"/>
                <w:szCs w:val="10"/>
                <w:lang w:val="en-US"/>
              </w:rPr>
            </w:pPr>
          </w:p>
        </w:tc>
      </w:tr>
      <w:tr w:rsidR="00F7480B" w:rsidRPr="00537128" w14:paraId="3217C814" w14:textId="77777777" w:rsidTr="00BF7873">
        <w:trPr>
          <w:trHeight w:hRule="exact" w:val="241"/>
        </w:trPr>
        <w:tc>
          <w:tcPr>
            <w:tcW w:w="1814" w:type="pct"/>
            <w:vAlign w:val="bottom"/>
          </w:tcPr>
          <w:p w14:paraId="06429C58" w14:textId="6FE460ED" w:rsidR="00F7480B" w:rsidRPr="00537128" w:rsidRDefault="00F7480B" w:rsidP="00F7480B">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 xml:space="preserve">Balance </w:t>
            </w:r>
            <w:proofErr w:type="gramStart"/>
            <w:r w:rsidRPr="00537128">
              <w:rPr>
                <w:rFonts w:ascii="Calibri" w:eastAsia="Calibri" w:hAnsi="Calibri" w:cs="Times New Roman"/>
                <w:sz w:val="19"/>
                <w:szCs w:val="19"/>
                <w:lang w:val="en-US"/>
              </w:rPr>
              <w:t>at</w:t>
            </w:r>
            <w:proofErr w:type="gramEnd"/>
            <w:r w:rsidRPr="00537128">
              <w:rPr>
                <w:rFonts w:ascii="Calibri" w:eastAsia="Calibri" w:hAnsi="Calibri" w:cs="Times New Roman"/>
                <w:sz w:val="19"/>
                <w:szCs w:val="19"/>
                <w:lang w:val="en-US"/>
              </w:rPr>
              <w:t xml:space="preserve"> 1 January 202</w:t>
            </w:r>
            <w:r>
              <w:rPr>
                <w:rFonts w:ascii="Calibri" w:eastAsia="Calibri" w:hAnsi="Calibri" w:cs="Times New Roman"/>
                <w:sz w:val="19"/>
                <w:szCs w:val="19"/>
                <w:lang w:val="en-US"/>
              </w:rPr>
              <w:t>2</w:t>
            </w:r>
          </w:p>
        </w:tc>
        <w:tc>
          <w:tcPr>
            <w:tcW w:w="650" w:type="pct"/>
            <w:shd w:val="clear" w:color="auto" w:fill="auto"/>
            <w:vAlign w:val="bottom"/>
          </w:tcPr>
          <w:p w14:paraId="44748FD2" w14:textId="603F1536" w:rsidR="00F7480B" w:rsidRPr="00537128" w:rsidRDefault="00F7480B" w:rsidP="00F7480B">
            <w:pPr>
              <w:spacing w:after="0" w:line="240" w:lineRule="auto"/>
              <w:jc w:val="right"/>
              <w:rPr>
                <w:rFonts w:ascii="Calibri" w:eastAsia="Calibri" w:hAnsi="Calibri" w:cs="Calibri"/>
                <w:color w:val="000000"/>
                <w:sz w:val="19"/>
                <w:szCs w:val="19"/>
                <w:lang w:val="en-US"/>
              </w:rPr>
            </w:pPr>
            <w:r w:rsidRPr="007A49AD">
              <w:rPr>
                <w:sz w:val="19"/>
                <w:szCs w:val="19"/>
              </w:rPr>
              <w:t xml:space="preserve"> 2</w:t>
            </w:r>
            <w:r w:rsidR="00BA6944">
              <w:rPr>
                <w:sz w:val="19"/>
                <w:szCs w:val="19"/>
              </w:rPr>
              <w:t>,</w:t>
            </w:r>
            <w:r w:rsidRPr="007A49AD">
              <w:rPr>
                <w:sz w:val="19"/>
                <w:szCs w:val="19"/>
              </w:rPr>
              <w:t xml:space="preserve">814 </w:t>
            </w:r>
          </w:p>
        </w:tc>
        <w:tc>
          <w:tcPr>
            <w:tcW w:w="650" w:type="pct"/>
            <w:shd w:val="clear" w:color="auto" w:fill="auto"/>
            <w:vAlign w:val="bottom"/>
          </w:tcPr>
          <w:p w14:paraId="46BE3970" w14:textId="62B40659" w:rsidR="00F7480B" w:rsidRPr="00537128" w:rsidRDefault="00F7480B" w:rsidP="00F7480B">
            <w:pPr>
              <w:spacing w:after="0" w:line="240" w:lineRule="auto"/>
              <w:jc w:val="right"/>
              <w:rPr>
                <w:rFonts w:ascii="Calibri" w:eastAsia="Calibri" w:hAnsi="Calibri" w:cs="Calibri"/>
                <w:color w:val="000000"/>
                <w:sz w:val="19"/>
                <w:szCs w:val="19"/>
                <w:lang w:val="en-US"/>
              </w:rPr>
            </w:pPr>
            <w:r w:rsidRPr="007A49AD">
              <w:rPr>
                <w:sz w:val="19"/>
                <w:szCs w:val="19"/>
              </w:rPr>
              <w:t xml:space="preserve"> - </w:t>
            </w:r>
          </w:p>
        </w:tc>
        <w:tc>
          <w:tcPr>
            <w:tcW w:w="643" w:type="pct"/>
            <w:shd w:val="clear" w:color="auto" w:fill="auto"/>
            <w:vAlign w:val="bottom"/>
          </w:tcPr>
          <w:p w14:paraId="0AAE68D7" w14:textId="5DECD423" w:rsidR="00F7480B" w:rsidRPr="00537128" w:rsidRDefault="00F7480B" w:rsidP="00F7480B">
            <w:pPr>
              <w:spacing w:after="0" w:line="240" w:lineRule="auto"/>
              <w:jc w:val="right"/>
              <w:rPr>
                <w:rFonts w:ascii="Calibri" w:eastAsia="Calibri" w:hAnsi="Calibri" w:cs="Calibri"/>
                <w:color w:val="000000"/>
                <w:sz w:val="19"/>
                <w:szCs w:val="19"/>
                <w:lang w:val="en-US"/>
              </w:rPr>
            </w:pPr>
            <w:r w:rsidRPr="007A49AD">
              <w:rPr>
                <w:sz w:val="19"/>
                <w:szCs w:val="19"/>
              </w:rPr>
              <w:t xml:space="preserve"> 1</w:t>
            </w:r>
            <w:r w:rsidR="00BA6944">
              <w:rPr>
                <w:sz w:val="19"/>
                <w:szCs w:val="19"/>
              </w:rPr>
              <w:t>,</w:t>
            </w:r>
            <w:r w:rsidRPr="007A49AD">
              <w:rPr>
                <w:sz w:val="19"/>
                <w:szCs w:val="19"/>
              </w:rPr>
              <w:t xml:space="preserve">731 </w:t>
            </w:r>
          </w:p>
        </w:tc>
        <w:tc>
          <w:tcPr>
            <w:tcW w:w="605" w:type="pct"/>
            <w:shd w:val="clear" w:color="auto" w:fill="auto"/>
            <w:vAlign w:val="bottom"/>
          </w:tcPr>
          <w:p w14:paraId="5FF8A9D7" w14:textId="3AE793DA" w:rsidR="00F7480B" w:rsidRPr="00537128" w:rsidRDefault="00F7480B" w:rsidP="00F7480B">
            <w:pPr>
              <w:spacing w:after="0" w:line="240" w:lineRule="auto"/>
              <w:jc w:val="right"/>
              <w:rPr>
                <w:rFonts w:ascii="Calibri" w:eastAsia="Calibri" w:hAnsi="Calibri" w:cs="Calibri"/>
                <w:color w:val="000000"/>
                <w:sz w:val="19"/>
                <w:szCs w:val="19"/>
                <w:lang w:val="en-US"/>
              </w:rPr>
            </w:pPr>
            <w:r w:rsidRPr="007A49AD">
              <w:rPr>
                <w:sz w:val="19"/>
                <w:szCs w:val="19"/>
              </w:rPr>
              <w:t xml:space="preserve">  -     </w:t>
            </w:r>
          </w:p>
        </w:tc>
        <w:tc>
          <w:tcPr>
            <w:tcW w:w="638" w:type="pct"/>
            <w:shd w:val="clear" w:color="auto" w:fill="auto"/>
            <w:vAlign w:val="bottom"/>
          </w:tcPr>
          <w:p w14:paraId="61987D9D" w14:textId="679818C5" w:rsidR="00F7480B" w:rsidRPr="00537128" w:rsidRDefault="00F7480B" w:rsidP="00F7480B">
            <w:pPr>
              <w:spacing w:after="0" w:line="240" w:lineRule="auto"/>
              <w:jc w:val="right"/>
              <w:rPr>
                <w:rFonts w:ascii="Calibri" w:eastAsia="Calibri" w:hAnsi="Calibri" w:cs="Calibri"/>
                <w:color w:val="000000"/>
                <w:sz w:val="19"/>
                <w:szCs w:val="19"/>
                <w:lang w:val="en-US"/>
              </w:rPr>
            </w:pPr>
            <w:r w:rsidRPr="007A49AD">
              <w:rPr>
                <w:sz w:val="19"/>
                <w:szCs w:val="19"/>
              </w:rPr>
              <w:t xml:space="preserve"> 4</w:t>
            </w:r>
            <w:r w:rsidR="00BA6944">
              <w:rPr>
                <w:sz w:val="19"/>
                <w:szCs w:val="19"/>
              </w:rPr>
              <w:t>,</w:t>
            </w:r>
            <w:r w:rsidRPr="007A49AD">
              <w:rPr>
                <w:sz w:val="19"/>
                <w:szCs w:val="19"/>
              </w:rPr>
              <w:t xml:space="preserve">545 </w:t>
            </w:r>
          </w:p>
        </w:tc>
      </w:tr>
      <w:tr w:rsidR="00F7480B" w:rsidRPr="00537128" w14:paraId="01FE1086" w14:textId="77777777" w:rsidTr="00BF7873">
        <w:trPr>
          <w:trHeight w:hRule="exact" w:val="241"/>
        </w:trPr>
        <w:tc>
          <w:tcPr>
            <w:tcW w:w="1814" w:type="pct"/>
            <w:vAlign w:val="bottom"/>
          </w:tcPr>
          <w:p w14:paraId="55636B26" w14:textId="77777777" w:rsidR="00F7480B" w:rsidRPr="00537128" w:rsidRDefault="00F7480B" w:rsidP="00F7480B">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1</w:t>
            </w:r>
          </w:p>
        </w:tc>
        <w:tc>
          <w:tcPr>
            <w:tcW w:w="650" w:type="pct"/>
            <w:shd w:val="clear" w:color="auto" w:fill="auto"/>
            <w:vAlign w:val="bottom"/>
          </w:tcPr>
          <w:p w14:paraId="6212805F" w14:textId="2010CE0E" w:rsidR="00F7480B" w:rsidRPr="00537128" w:rsidRDefault="00F7480B" w:rsidP="00F7480B">
            <w:pPr>
              <w:spacing w:after="0" w:line="240" w:lineRule="auto"/>
              <w:jc w:val="right"/>
              <w:rPr>
                <w:rFonts w:ascii="Calibri" w:eastAsia="Times New Roman" w:hAnsi="Calibri" w:cs="Calibri"/>
                <w:sz w:val="19"/>
                <w:szCs w:val="19"/>
                <w:lang w:val="en-US"/>
              </w:rPr>
            </w:pPr>
            <w:r w:rsidRPr="007A49AD">
              <w:rPr>
                <w:sz w:val="19"/>
                <w:szCs w:val="19"/>
              </w:rPr>
              <w:t xml:space="preserve"> - </w:t>
            </w:r>
          </w:p>
        </w:tc>
        <w:tc>
          <w:tcPr>
            <w:tcW w:w="650" w:type="pct"/>
            <w:shd w:val="clear" w:color="auto" w:fill="auto"/>
            <w:vAlign w:val="bottom"/>
          </w:tcPr>
          <w:p w14:paraId="7AD3A81B" w14:textId="3FBDC4F4" w:rsidR="00F7480B" w:rsidRPr="00537128" w:rsidRDefault="00F7480B" w:rsidP="00F7480B">
            <w:pPr>
              <w:spacing w:after="0" w:line="240" w:lineRule="auto"/>
              <w:jc w:val="right"/>
              <w:rPr>
                <w:rFonts w:ascii="Calibri" w:eastAsia="Calibri" w:hAnsi="Calibri" w:cs="Arial"/>
                <w:sz w:val="19"/>
                <w:szCs w:val="19"/>
                <w:lang w:val="en-US"/>
              </w:rPr>
            </w:pPr>
            <w:r w:rsidRPr="007A49AD">
              <w:rPr>
                <w:sz w:val="19"/>
                <w:szCs w:val="19"/>
              </w:rPr>
              <w:t xml:space="preserve"> - </w:t>
            </w:r>
          </w:p>
        </w:tc>
        <w:tc>
          <w:tcPr>
            <w:tcW w:w="643" w:type="pct"/>
            <w:shd w:val="clear" w:color="auto" w:fill="auto"/>
            <w:vAlign w:val="bottom"/>
          </w:tcPr>
          <w:p w14:paraId="24E50DB8" w14:textId="6E39A49F" w:rsidR="00F7480B" w:rsidRPr="00537128" w:rsidRDefault="00F7480B" w:rsidP="00F7480B">
            <w:pPr>
              <w:spacing w:after="0" w:line="240" w:lineRule="auto"/>
              <w:jc w:val="right"/>
              <w:rPr>
                <w:rFonts w:ascii="Calibri" w:eastAsia="Calibri" w:hAnsi="Calibri" w:cs="Arial"/>
                <w:sz w:val="19"/>
                <w:szCs w:val="19"/>
                <w:lang w:val="en-US"/>
              </w:rPr>
            </w:pPr>
            <w:r w:rsidRPr="007A49AD">
              <w:rPr>
                <w:sz w:val="19"/>
                <w:szCs w:val="19"/>
              </w:rPr>
              <w:t xml:space="preserve"> - </w:t>
            </w:r>
          </w:p>
        </w:tc>
        <w:tc>
          <w:tcPr>
            <w:tcW w:w="605" w:type="pct"/>
            <w:shd w:val="clear" w:color="auto" w:fill="auto"/>
            <w:vAlign w:val="bottom"/>
          </w:tcPr>
          <w:p w14:paraId="024C13B4" w14:textId="346D5BC0" w:rsidR="00F7480B" w:rsidRPr="00537128" w:rsidRDefault="00F7480B" w:rsidP="00F7480B">
            <w:pPr>
              <w:spacing w:after="0" w:line="240" w:lineRule="auto"/>
              <w:jc w:val="right"/>
              <w:rPr>
                <w:rFonts w:ascii="Calibri" w:eastAsia="Calibri" w:hAnsi="Calibri" w:cs="Arial"/>
                <w:sz w:val="19"/>
                <w:szCs w:val="19"/>
                <w:lang w:val="en-US"/>
              </w:rPr>
            </w:pPr>
            <w:r w:rsidRPr="007A49AD">
              <w:rPr>
                <w:sz w:val="19"/>
                <w:szCs w:val="19"/>
              </w:rPr>
              <w:t xml:space="preserve"> - </w:t>
            </w:r>
          </w:p>
        </w:tc>
        <w:tc>
          <w:tcPr>
            <w:tcW w:w="638" w:type="pct"/>
            <w:shd w:val="clear" w:color="auto" w:fill="auto"/>
            <w:vAlign w:val="bottom"/>
          </w:tcPr>
          <w:p w14:paraId="3B9C9B49" w14:textId="6265B57B" w:rsidR="00F7480B" w:rsidRPr="00537128" w:rsidRDefault="00F7480B" w:rsidP="00F7480B">
            <w:pPr>
              <w:spacing w:after="0" w:line="240" w:lineRule="auto"/>
              <w:jc w:val="right"/>
              <w:rPr>
                <w:rFonts w:ascii="Calibri" w:eastAsia="Calibri" w:hAnsi="Calibri" w:cs="Arial"/>
                <w:sz w:val="19"/>
                <w:szCs w:val="19"/>
                <w:lang w:val="en-US"/>
              </w:rPr>
            </w:pPr>
            <w:r w:rsidRPr="007A49AD">
              <w:rPr>
                <w:sz w:val="19"/>
                <w:szCs w:val="19"/>
              </w:rPr>
              <w:t xml:space="preserve"> - </w:t>
            </w:r>
          </w:p>
        </w:tc>
      </w:tr>
      <w:tr w:rsidR="00F7480B" w:rsidRPr="00537128" w14:paraId="7915EDBA" w14:textId="77777777" w:rsidTr="00BF7873">
        <w:trPr>
          <w:trHeight w:hRule="exact" w:val="241"/>
        </w:trPr>
        <w:tc>
          <w:tcPr>
            <w:tcW w:w="1814" w:type="pct"/>
            <w:vAlign w:val="bottom"/>
          </w:tcPr>
          <w:p w14:paraId="0ACC965C" w14:textId="77777777" w:rsidR="00F7480B" w:rsidRPr="00537128" w:rsidRDefault="00F7480B" w:rsidP="00F7480B">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2</w:t>
            </w:r>
          </w:p>
        </w:tc>
        <w:tc>
          <w:tcPr>
            <w:tcW w:w="650" w:type="pct"/>
            <w:shd w:val="clear" w:color="auto" w:fill="auto"/>
            <w:vAlign w:val="bottom"/>
          </w:tcPr>
          <w:p w14:paraId="65B10B4F" w14:textId="72F01CA0" w:rsidR="00F7480B" w:rsidRPr="00537128" w:rsidRDefault="00F7480B" w:rsidP="00F7480B">
            <w:pPr>
              <w:spacing w:after="0" w:line="240" w:lineRule="auto"/>
              <w:jc w:val="right"/>
              <w:rPr>
                <w:rFonts w:ascii="Calibri" w:eastAsia="Times New Roman" w:hAnsi="Calibri" w:cs="Calibri"/>
                <w:sz w:val="19"/>
                <w:szCs w:val="19"/>
                <w:lang w:val="en-US"/>
              </w:rPr>
            </w:pPr>
            <w:r w:rsidRPr="007A49AD">
              <w:rPr>
                <w:sz w:val="19"/>
                <w:szCs w:val="19"/>
              </w:rPr>
              <w:t xml:space="preserve"> - </w:t>
            </w:r>
          </w:p>
        </w:tc>
        <w:tc>
          <w:tcPr>
            <w:tcW w:w="650" w:type="pct"/>
            <w:shd w:val="clear" w:color="auto" w:fill="auto"/>
            <w:vAlign w:val="bottom"/>
          </w:tcPr>
          <w:p w14:paraId="540BB5E6" w14:textId="00872A61" w:rsidR="00F7480B" w:rsidRPr="00537128" w:rsidRDefault="00F7480B" w:rsidP="00F7480B">
            <w:pPr>
              <w:spacing w:after="0" w:line="240" w:lineRule="auto"/>
              <w:jc w:val="right"/>
              <w:rPr>
                <w:rFonts w:ascii="Calibri" w:eastAsia="Calibri" w:hAnsi="Calibri" w:cs="Arial"/>
                <w:sz w:val="19"/>
                <w:szCs w:val="19"/>
                <w:lang w:val="en-US"/>
              </w:rPr>
            </w:pPr>
            <w:r w:rsidRPr="007A49AD">
              <w:rPr>
                <w:sz w:val="19"/>
                <w:szCs w:val="19"/>
              </w:rPr>
              <w:t xml:space="preserve"> - </w:t>
            </w:r>
          </w:p>
        </w:tc>
        <w:tc>
          <w:tcPr>
            <w:tcW w:w="643" w:type="pct"/>
            <w:shd w:val="clear" w:color="auto" w:fill="auto"/>
            <w:vAlign w:val="bottom"/>
          </w:tcPr>
          <w:p w14:paraId="604E0BCC" w14:textId="5C716F47" w:rsidR="00F7480B" w:rsidRPr="00537128" w:rsidRDefault="00F7480B" w:rsidP="00F7480B">
            <w:pPr>
              <w:spacing w:after="0" w:line="240" w:lineRule="auto"/>
              <w:jc w:val="right"/>
              <w:rPr>
                <w:rFonts w:ascii="Calibri" w:eastAsia="Calibri" w:hAnsi="Calibri" w:cs="Arial"/>
                <w:sz w:val="19"/>
                <w:szCs w:val="19"/>
                <w:lang w:val="en-US"/>
              </w:rPr>
            </w:pPr>
            <w:r w:rsidRPr="007A49AD">
              <w:rPr>
                <w:sz w:val="19"/>
                <w:szCs w:val="19"/>
              </w:rPr>
              <w:t xml:space="preserve"> - </w:t>
            </w:r>
          </w:p>
        </w:tc>
        <w:tc>
          <w:tcPr>
            <w:tcW w:w="605" w:type="pct"/>
            <w:shd w:val="clear" w:color="auto" w:fill="auto"/>
            <w:vAlign w:val="bottom"/>
          </w:tcPr>
          <w:p w14:paraId="2D2789BF" w14:textId="06C6DECC" w:rsidR="00F7480B" w:rsidRPr="00537128" w:rsidRDefault="00F7480B" w:rsidP="00F7480B">
            <w:pPr>
              <w:spacing w:after="0" w:line="240" w:lineRule="auto"/>
              <w:jc w:val="right"/>
              <w:rPr>
                <w:rFonts w:ascii="Calibri" w:eastAsia="Calibri" w:hAnsi="Calibri" w:cs="Arial"/>
                <w:sz w:val="19"/>
                <w:szCs w:val="19"/>
                <w:lang w:val="en-US"/>
              </w:rPr>
            </w:pPr>
            <w:r w:rsidRPr="007A49AD">
              <w:rPr>
                <w:sz w:val="19"/>
                <w:szCs w:val="19"/>
              </w:rPr>
              <w:t xml:space="preserve"> - </w:t>
            </w:r>
          </w:p>
        </w:tc>
        <w:tc>
          <w:tcPr>
            <w:tcW w:w="638" w:type="pct"/>
            <w:shd w:val="clear" w:color="auto" w:fill="auto"/>
            <w:vAlign w:val="bottom"/>
          </w:tcPr>
          <w:p w14:paraId="60DC28CB" w14:textId="165DFB8C" w:rsidR="00F7480B" w:rsidRPr="00537128" w:rsidRDefault="00F7480B" w:rsidP="00F7480B">
            <w:pPr>
              <w:spacing w:after="0" w:line="240" w:lineRule="auto"/>
              <w:jc w:val="right"/>
              <w:rPr>
                <w:rFonts w:ascii="Calibri" w:eastAsia="Calibri" w:hAnsi="Calibri" w:cs="Arial"/>
                <w:sz w:val="19"/>
                <w:szCs w:val="19"/>
                <w:lang w:val="en-US"/>
              </w:rPr>
            </w:pPr>
            <w:r w:rsidRPr="007A49AD">
              <w:rPr>
                <w:sz w:val="19"/>
                <w:szCs w:val="19"/>
              </w:rPr>
              <w:t xml:space="preserve"> - </w:t>
            </w:r>
          </w:p>
        </w:tc>
      </w:tr>
      <w:tr w:rsidR="00F7480B" w:rsidRPr="00537128" w14:paraId="65D65FA0" w14:textId="77777777" w:rsidTr="00BF7873">
        <w:trPr>
          <w:trHeight w:hRule="exact" w:val="241"/>
        </w:trPr>
        <w:tc>
          <w:tcPr>
            <w:tcW w:w="1814" w:type="pct"/>
            <w:vAlign w:val="bottom"/>
          </w:tcPr>
          <w:p w14:paraId="594DEDAF" w14:textId="77777777" w:rsidR="00F7480B" w:rsidRPr="00537128" w:rsidRDefault="00F7480B" w:rsidP="00F7480B">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3</w:t>
            </w:r>
          </w:p>
        </w:tc>
        <w:tc>
          <w:tcPr>
            <w:tcW w:w="650" w:type="pct"/>
            <w:shd w:val="clear" w:color="auto" w:fill="auto"/>
            <w:vAlign w:val="bottom"/>
          </w:tcPr>
          <w:p w14:paraId="1DA428D2" w14:textId="2E87EF9E" w:rsidR="00F7480B" w:rsidRPr="00537128" w:rsidRDefault="00F7480B" w:rsidP="00F7480B">
            <w:pPr>
              <w:spacing w:after="0" w:line="240" w:lineRule="auto"/>
              <w:jc w:val="right"/>
              <w:rPr>
                <w:rFonts w:ascii="Calibri" w:eastAsia="Times New Roman" w:hAnsi="Calibri" w:cs="Calibri"/>
                <w:sz w:val="19"/>
                <w:szCs w:val="19"/>
                <w:lang w:val="en-US"/>
              </w:rPr>
            </w:pPr>
            <w:r w:rsidRPr="007A49AD">
              <w:rPr>
                <w:sz w:val="19"/>
                <w:szCs w:val="19"/>
              </w:rPr>
              <w:t xml:space="preserve"> - </w:t>
            </w:r>
          </w:p>
        </w:tc>
        <w:tc>
          <w:tcPr>
            <w:tcW w:w="650" w:type="pct"/>
            <w:shd w:val="clear" w:color="auto" w:fill="auto"/>
            <w:vAlign w:val="bottom"/>
          </w:tcPr>
          <w:p w14:paraId="3DBEB663" w14:textId="30005E5C" w:rsidR="00F7480B" w:rsidRPr="00537128" w:rsidRDefault="00F7480B" w:rsidP="00F7480B">
            <w:pPr>
              <w:spacing w:after="0" w:line="240" w:lineRule="auto"/>
              <w:jc w:val="right"/>
              <w:rPr>
                <w:rFonts w:ascii="Calibri" w:eastAsia="Calibri" w:hAnsi="Calibri" w:cs="Arial"/>
                <w:sz w:val="19"/>
                <w:szCs w:val="19"/>
                <w:lang w:val="en-US"/>
              </w:rPr>
            </w:pPr>
            <w:r w:rsidRPr="007A49AD">
              <w:rPr>
                <w:sz w:val="19"/>
                <w:szCs w:val="19"/>
              </w:rPr>
              <w:t xml:space="preserve"> - </w:t>
            </w:r>
          </w:p>
        </w:tc>
        <w:tc>
          <w:tcPr>
            <w:tcW w:w="643" w:type="pct"/>
            <w:shd w:val="clear" w:color="auto" w:fill="auto"/>
            <w:vAlign w:val="bottom"/>
          </w:tcPr>
          <w:p w14:paraId="5867D359" w14:textId="1930C0B9" w:rsidR="00F7480B" w:rsidRPr="00537128" w:rsidRDefault="00F7480B" w:rsidP="00F7480B">
            <w:pPr>
              <w:spacing w:after="0" w:line="240" w:lineRule="auto"/>
              <w:jc w:val="right"/>
              <w:rPr>
                <w:rFonts w:ascii="Calibri" w:eastAsia="Calibri" w:hAnsi="Calibri" w:cs="Arial"/>
                <w:sz w:val="19"/>
                <w:szCs w:val="19"/>
                <w:lang w:val="en-US"/>
              </w:rPr>
            </w:pPr>
            <w:r w:rsidRPr="007A49AD">
              <w:rPr>
                <w:sz w:val="19"/>
                <w:szCs w:val="19"/>
              </w:rPr>
              <w:t xml:space="preserve"> - </w:t>
            </w:r>
          </w:p>
        </w:tc>
        <w:tc>
          <w:tcPr>
            <w:tcW w:w="605" w:type="pct"/>
            <w:shd w:val="clear" w:color="auto" w:fill="auto"/>
            <w:vAlign w:val="bottom"/>
          </w:tcPr>
          <w:p w14:paraId="2223DFF1" w14:textId="7E5E2FC0" w:rsidR="00F7480B" w:rsidRPr="00537128" w:rsidRDefault="00F7480B" w:rsidP="00F7480B">
            <w:pPr>
              <w:spacing w:after="0" w:line="240" w:lineRule="auto"/>
              <w:jc w:val="right"/>
              <w:rPr>
                <w:rFonts w:ascii="Calibri" w:eastAsia="Calibri" w:hAnsi="Calibri" w:cs="Arial"/>
                <w:sz w:val="19"/>
                <w:szCs w:val="19"/>
                <w:lang w:val="en-US"/>
              </w:rPr>
            </w:pPr>
            <w:r w:rsidRPr="007A49AD">
              <w:rPr>
                <w:sz w:val="19"/>
                <w:szCs w:val="19"/>
              </w:rPr>
              <w:t xml:space="preserve"> - </w:t>
            </w:r>
          </w:p>
        </w:tc>
        <w:tc>
          <w:tcPr>
            <w:tcW w:w="638" w:type="pct"/>
            <w:shd w:val="clear" w:color="auto" w:fill="auto"/>
            <w:vAlign w:val="bottom"/>
          </w:tcPr>
          <w:p w14:paraId="5552D586" w14:textId="7E5AE1F1" w:rsidR="00F7480B" w:rsidRPr="00537128" w:rsidRDefault="00F7480B" w:rsidP="00F7480B">
            <w:pPr>
              <w:spacing w:after="0" w:line="240" w:lineRule="auto"/>
              <w:jc w:val="right"/>
              <w:rPr>
                <w:rFonts w:ascii="Calibri" w:eastAsia="Calibri" w:hAnsi="Calibri" w:cs="Arial"/>
                <w:sz w:val="19"/>
                <w:szCs w:val="19"/>
                <w:lang w:val="en-US"/>
              </w:rPr>
            </w:pPr>
            <w:r w:rsidRPr="007A49AD">
              <w:rPr>
                <w:sz w:val="19"/>
                <w:szCs w:val="19"/>
              </w:rPr>
              <w:t xml:space="preserve"> - </w:t>
            </w:r>
          </w:p>
        </w:tc>
      </w:tr>
      <w:tr w:rsidR="00F7480B" w:rsidRPr="00537128" w14:paraId="70B8F8C8" w14:textId="77777777" w:rsidTr="004A287E">
        <w:trPr>
          <w:trHeight w:hRule="exact" w:val="241"/>
        </w:trPr>
        <w:tc>
          <w:tcPr>
            <w:tcW w:w="1814" w:type="pct"/>
            <w:vAlign w:val="bottom"/>
          </w:tcPr>
          <w:p w14:paraId="6C1F772E" w14:textId="77777777" w:rsidR="00F7480B" w:rsidRPr="00537128" w:rsidRDefault="00F7480B" w:rsidP="00F7480B">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Net increase of loss allowance</w:t>
            </w:r>
          </w:p>
        </w:tc>
        <w:tc>
          <w:tcPr>
            <w:tcW w:w="650" w:type="pct"/>
            <w:shd w:val="clear" w:color="auto" w:fill="auto"/>
            <w:vAlign w:val="bottom"/>
          </w:tcPr>
          <w:p w14:paraId="0E2C1BCC" w14:textId="7F9ACADD" w:rsidR="00F7480B" w:rsidRPr="00537128" w:rsidRDefault="00F7480B" w:rsidP="00F7480B">
            <w:pPr>
              <w:spacing w:after="0" w:line="240" w:lineRule="auto"/>
              <w:jc w:val="right"/>
              <w:rPr>
                <w:rFonts w:ascii="Calibri" w:eastAsia="Calibri" w:hAnsi="Calibri" w:cs="Calibri"/>
                <w:color w:val="000000"/>
                <w:sz w:val="19"/>
                <w:szCs w:val="19"/>
                <w:lang w:val="en-US"/>
              </w:rPr>
            </w:pPr>
            <w:r w:rsidRPr="007A49AD">
              <w:rPr>
                <w:sz w:val="19"/>
                <w:szCs w:val="19"/>
              </w:rPr>
              <w:t xml:space="preserve"> 287 </w:t>
            </w:r>
          </w:p>
        </w:tc>
        <w:tc>
          <w:tcPr>
            <w:tcW w:w="650" w:type="pct"/>
            <w:shd w:val="clear" w:color="auto" w:fill="auto"/>
            <w:vAlign w:val="bottom"/>
          </w:tcPr>
          <w:p w14:paraId="4D330CCB" w14:textId="70658B46" w:rsidR="00F7480B" w:rsidRPr="00537128" w:rsidRDefault="00F7480B" w:rsidP="00F7480B">
            <w:pPr>
              <w:spacing w:after="0" w:line="240" w:lineRule="auto"/>
              <w:jc w:val="right"/>
              <w:rPr>
                <w:rFonts w:ascii="Calibri" w:eastAsia="Calibri" w:hAnsi="Calibri" w:cs="Calibri"/>
                <w:color w:val="000000"/>
                <w:sz w:val="19"/>
                <w:szCs w:val="19"/>
                <w:lang w:val="en-US"/>
              </w:rPr>
            </w:pPr>
            <w:r w:rsidRPr="007A49AD">
              <w:rPr>
                <w:sz w:val="19"/>
                <w:szCs w:val="19"/>
              </w:rPr>
              <w:t xml:space="preserve"> - </w:t>
            </w:r>
          </w:p>
        </w:tc>
        <w:tc>
          <w:tcPr>
            <w:tcW w:w="643" w:type="pct"/>
            <w:shd w:val="clear" w:color="auto" w:fill="auto"/>
            <w:vAlign w:val="bottom"/>
          </w:tcPr>
          <w:p w14:paraId="3A7E9D9D" w14:textId="029CFA8A" w:rsidR="00F7480B" w:rsidRPr="00537128" w:rsidRDefault="00F7480B" w:rsidP="00F7480B">
            <w:pPr>
              <w:spacing w:after="0" w:line="240" w:lineRule="auto"/>
              <w:jc w:val="right"/>
              <w:rPr>
                <w:rFonts w:ascii="Calibri" w:eastAsia="Calibri" w:hAnsi="Calibri" w:cs="Calibri"/>
                <w:color w:val="000000"/>
                <w:sz w:val="19"/>
                <w:szCs w:val="19"/>
                <w:lang w:val="en-US"/>
              </w:rPr>
            </w:pPr>
            <w:r w:rsidRPr="007A49AD">
              <w:rPr>
                <w:sz w:val="19"/>
                <w:szCs w:val="19"/>
              </w:rPr>
              <w:t xml:space="preserve"> 41 </w:t>
            </w:r>
          </w:p>
        </w:tc>
        <w:tc>
          <w:tcPr>
            <w:tcW w:w="605" w:type="pct"/>
            <w:shd w:val="clear" w:color="auto" w:fill="auto"/>
            <w:vAlign w:val="bottom"/>
          </w:tcPr>
          <w:p w14:paraId="26717005" w14:textId="5B442838" w:rsidR="00F7480B" w:rsidRPr="00537128" w:rsidRDefault="00F7480B" w:rsidP="00F7480B">
            <w:pPr>
              <w:spacing w:after="0" w:line="240" w:lineRule="auto"/>
              <w:jc w:val="right"/>
              <w:rPr>
                <w:rFonts w:ascii="Calibri" w:eastAsia="Calibri" w:hAnsi="Calibri" w:cs="Calibri"/>
                <w:color w:val="000000"/>
                <w:sz w:val="19"/>
                <w:szCs w:val="19"/>
                <w:lang w:val="en-US"/>
              </w:rPr>
            </w:pPr>
            <w:r w:rsidRPr="007A49AD">
              <w:rPr>
                <w:sz w:val="19"/>
                <w:szCs w:val="19"/>
              </w:rPr>
              <w:t xml:space="preserve"> - </w:t>
            </w:r>
          </w:p>
        </w:tc>
        <w:tc>
          <w:tcPr>
            <w:tcW w:w="638" w:type="pct"/>
            <w:shd w:val="clear" w:color="auto" w:fill="auto"/>
            <w:vAlign w:val="bottom"/>
          </w:tcPr>
          <w:p w14:paraId="68E33D71" w14:textId="60C7CD00" w:rsidR="00F7480B" w:rsidRPr="00537128" w:rsidRDefault="00F7480B" w:rsidP="00F7480B">
            <w:pPr>
              <w:spacing w:after="0" w:line="240" w:lineRule="auto"/>
              <w:jc w:val="right"/>
              <w:rPr>
                <w:rFonts w:ascii="Calibri" w:eastAsia="Calibri" w:hAnsi="Calibri" w:cs="Calibri"/>
                <w:color w:val="000000"/>
                <w:sz w:val="19"/>
                <w:szCs w:val="19"/>
                <w:lang w:val="en-US"/>
              </w:rPr>
            </w:pPr>
            <w:r w:rsidRPr="007A49AD">
              <w:rPr>
                <w:sz w:val="19"/>
                <w:szCs w:val="19"/>
              </w:rPr>
              <w:t xml:space="preserve"> 328 </w:t>
            </w:r>
          </w:p>
        </w:tc>
      </w:tr>
      <w:tr w:rsidR="00F7480B" w:rsidRPr="00537128" w14:paraId="24008A4D" w14:textId="77777777" w:rsidTr="004A287E">
        <w:trPr>
          <w:trHeight w:val="284"/>
        </w:trPr>
        <w:tc>
          <w:tcPr>
            <w:tcW w:w="1814" w:type="pct"/>
            <w:vAlign w:val="bottom"/>
          </w:tcPr>
          <w:p w14:paraId="032CFD9B" w14:textId="40664D03" w:rsidR="00F7480B" w:rsidRPr="00537128" w:rsidRDefault="00F7480B" w:rsidP="00F7480B">
            <w:pPr>
              <w:spacing w:after="0" w:line="240" w:lineRule="auto"/>
              <w:rPr>
                <w:rFonts w:ascii="Calibri" w:eastAsia="Calibri" w:hAnsi="Calibri" w:cs="Times New Roman"/>
                <w:sz w:val="19"/>
                <w:szCs w:val="19"/>
                <w:lang w:val="en-US"/>
              </w:rPr>
            </w:pPr>
            <w:r w:rsidRPr="00537128">
              <w:rPr>
                <w:rFonts w:ascii="Calibri" w:eastAsia="Calibri" w:hAnsi="Calibri" w:cs="Times New Roman"/>
                <w:sz w:val="19"/>
                <w:szCs w:val="19"/>
                <w:lang w:val="en-US"/>
              </w:rPr>
              <w:t>Net foreign exchange</w:t>
            </w:r>
            <w:r>
              <w:rPr>
                <w:rFonts w:ascii="Calibri" w:eastAsia="Calibri" w:hAnsi="Calibri" w:cs="Times New Roman"/>
                <w:sz w:val="19"/>
                <w:szCs w:val="19"/>
                <w:lang w:val="en-US"/>
              </w:rPr>
              <w:t xml:space="preserve"> gain/</w:t>
            </w:r>
            <w:r w:rsidRPr="00537128">
              <w:rPr>
                <w:rFonts w:ascii="Calibri" w:eastAsia="Calibri" w:hAnsi="Calibri" w:cs="Times New Roman"/>
                <w:sz w:val="19"/>
                <w:szCs w:val="19"/>
                <w:lang w:val="en-US"/>
              </w:rPr>
              <w:t>loss on loss allowances</w:t>
            </w:r>
          </w:p>
        </w:tc>
        <w:tc>
          <w:tcPr>
            <w:tcW w:w="650" w:type="pct"/>
            <w:tcBorders>
              <w:top w:val="nil"/>
              <w:left w:val="nil"/>
              <w:bottom w:val="single" w:sz="8" w:space="0" w:color="auto"/>
              <w:right w:val="nil"/>
            </w:tcBorders>
            <w:shd w:val="clear" w:color="auto" w:fill="auto"/>
            <w:vAlign w:val="bottom"/>
          </w:tcPr>
          <w:p w14:paraId="7009DAFA" w14:textId="6C1075FA" w:rsidR="00F7480B" w:rsidRPr="00537128" w:rsidRDefault="00F7480B" w:rsidP="00F7480B">
            <w:pPr>
              <w:spacing w:after="0" w:line="240" w:lineRule="auto"/>
              <w:jc w:val="right"/>
              <w:rPr>
                <w:rFonts w:ascii="Calibri" w:eastAsia="Times New Roman" w:hAnsi="Calibri" w:cs="Calibri"/>
                <w:sz w:val="19"/>
                <w:szCs w:val="19"/>
                <w:lang w:val="en-US"/>
              </w:rPr>
            </w:pPr>
            <w:r w:rsidRPr="007A49AD">
              <w:rPr>
                <w:sz w:val="19"/>
                <w:szCs w:val="19"/>
              </w:rPr>
              <w:t xml:space="preserve"> 6 </w:t>
            </w:r>
          </w:p>
        </w:tc>
        <w:tc>
          <w:tcPr>
            <w:tcW w:w="650" w:type="pct"/>
            <w:tcBorders>
              <w:top w:val="nil"/>
              <w:left w:val="nil"/>
              <w:bottom w:val="single" w:sz="8" w:space="0" w:color="auto"/>
              <w:right w:val="nil"/>
            </w:tcBorders>
            <w:shd w:val="clear" w:color="auto" w:fill="auto"/>
            <w:vAlign w:val="bottom"/>
          </w:tcPr>
          <w:p w14:paraId="4522A774" w14:textId="4E8AF71F" w:rsidR="00F7480B" w:rsidRPr="00537128" w:rsidRDefault="00F7480B" w:rsidP="00F7480B">
            <w:pPr>
              <w:spacing w:after="0" w:line="240" w:lineRule="auto"/>
              <w:jc w:val="right"/>
              <w:rPr>
                <w:rFonts w:ascii="Calibri" w:eastAsia="Times New Roman" w:hAnsi="Calibri" w:cs="Calibri"/>
                <w:sz w:val="19"/>
                <w:szCs w:val="19"/>
                <w:lang w:val="en-US"/>
              </w:rPr>
            </w:pPr>
            <w:r w:rsidRPr="007A49AD">
              <w:rPr>
                <w:sz w:val="19"/>
                <w:szCs w:val="19"/>
              </w:rPr>
              <w:t xml:space="preserve"> - </w:t>
            </w:r>
          </w:p>
        </w:tc>
        <w:tc>
          <w:tcPr>
            <w:tcW w:w="643" w:type="pct"/>
            <w:tcBorders>
              <w:top w:val="nil"/>
              <w:left w:val="nil"/>
              <w:bottom w:val="single" w:sz="8" w:space="0" w:color="auto"/>
              <w:right w:val="nil"/>
            </w:tcBorders>
            <w:shd w:val="clear" w:color="auto" w:fill="auto"/>
            <w:vAlign w:val="bottom"/>
          </w:tcPr>
          <w:p w14:paraId="5D7ED6A5" w14:textId="4437517A" w:rsidR="00F7480B" w:rsidRPr="00537128" w:rsidRDefault="00F7480B" w:rsidP="00F7480B">
            <w:pPr>
              <w:spacing w:after="0" w:line="240" w:lineRule="auto"/>
              <w:jc w:val="right"/>
              <w:rPr>
                <w:rFonts w:ascii="Calibri" w:eastAsia="Times New Roman" w:hAnsi="Calibri" w:cs="Calibri"/>
                <w:sz w:val="19"/>
                <w:szCs w:val="19"/>
                <w:lang w:val="en-US"/>
              </w:rPr>
            </w:pPr>
            <w:r w:rsidRPr="007A49AD">
              <w:rPr>
                <w:sz w:val="19"/>
                <w:szCs w:val="19"/>
              </w:rPr>
              <w:t xml:space="preserve"> 14 </w:t>
            </w:r>
          </w:p>
        </w:tc>
        <w:tc>
          <w:tcPr>
            <w:tcW w:w="605" w:type="pct"/>
            <w:tcBorders>
              <w:top w:val="nil"/>
              <w:left w:val="nil"/>
              <w:bottom w:val="single" w:sz="8" w:space="0" w:color="auto"/>
              <w:right w:val="nil"/>
            </w:tcBorders>
            <w:shd w:val="clear" w:color="auto" w:fill="auto"/>
            <w:vAlign w:val="bottom"/>
          </w:tcPr>
          <w:p w14:paraId="65FD590C" w14:textId="193DA0C5" w:rsidR="00F7480B" w:rsidRPr="00537128" w:rsidRDefault="00F7480B" w:rsidP="00F7480B">
            <w:pPr>
              <w:spacing w:after="0" w:line="240" w:lineRule="auto"/>
              <w:jc w:val="right"/>
              <w:rPr>
                <w:rFonts w:ascii="Calibri" w:eastAsia="Times New Roman" w:hAnsi="Calibri" w:cs="Calibri"/>
                <w:sz w:val="19"/>
                <w:szCs w:val="19"/>
                <w:lang w:val="en-US"/>
              </w:rPr>
            </w:pPr>
            <w:r w:rsidRPr="007A49AD">
              <w:rPr>
                <w:sz w:val="19"/>
                <w:szCs w:val="19"/>
              </w:rPr>
              <w:t xml:space="preserve"> - </w:t>
            </w:r>
          </w:p>
        </w:tc>
        <w:tc>
          <w:tcPr>
            <w:tcW w:w="638" w:type="pct"/>
            <w:tcBorders>
              <w:top w:val="nil"/>
              <w:left w:val="nil"/>
              <w:bottom w:val="single" w:sz="8" w:space="0" w:color="auto"/>
              <w:right w:val="nil"/>
            </w:tcBorders>
            <w:shd w:val="clear" w:color="auto" w:fill="auto"/>
            <w:vAlign w:val="bottom"/>
          </w:tcPr>
          <w:p w14:paraId="434E0AC9" w14:textId="6C4D6B2C" w:rsidR="00F7480B" w:rsidRPr="00537128" w:rsidRDefault="00F7480B" w:rsidP="00F7480B">
            <w:pPr>
              <w:spacing w:after="0" w:line="240" w:lineRule="auto"/>
              <w:jc w:val="right"/>
              <w:rPr>
                <w:rFonts w:ascii="Calibri" w:eastAsia="Times New Roman" w:hAnsi="Calibri" w:cs="Calibri"/>
                <w:sz w:val="19"/>
                <w:szCs w:val="19"/>
                <w:lang w:val="en-US"/>
              </w:rPr>
            </w:pPr>
            <w:r w:rsidRPr="007A49AD">
              <w:rPr>
                <w:sz w:val="19"/>
                <w:szCs w:val="19"/>
              </w:rPr>
              <w:t xml:space="preserve"> 20 </w:t>
            </w:r>
          </w:p>
        </w:tc>
      </w:tr>
      <w:tr w:rsidR="00F7480B" w:rsidRPr="00537128" w14:paraId="5B415D51" w14:textId="77777777" w:rsidTr="004A287E">
        <w:trPr>
          <w:trHeight w:val="230"/>
        </w:trPr>
        <w:tc>
          <w:tcPr>
            <w:tcW w:w="1814" w:type="pct"/>
            <w:vAlign w:val="bottom"/>
          </w:tcPr>
          <w:p w14:paraId="43C6782D" w14:textId="4254E8C1" w:rsidR="00F7480B" w:rsidRPr="00537128" w:rsidRDefault="00F7480B" w:rsidP="00F7480B">
            <w:pPr>
              <w:tabs>
                <w:tab w:val="right" w:pos="1202"/>
              </w:tabs>
              <w:spacing w:after="0" w:line="301" w:lineRule="exact"/>
              <w:outlineLvl w:val="0"/>
              <w:rPr>
                <w:rFonts w:ascii="Calibri" w:eastAsia="Calibri" w:hAnsi="Calibri" w:cs="Arial"/>
                <w:b/>
                <w:bCs/>
                <w:sz w:val="19"/>
                <w:szCs w:val="19"/>
                <w:lang w:val="en-US"/>
              </w:rPr>
            </w:pPr>
            <w:r w:rsidRPr="00537128">
              <w:rPr>
                <w:rFonts w:ascii="Calibri" w:eastAsia="Calibri" w:hAnsi="Calibri" w:cs="Arial"/>
                <w:b/>
                <w:bCs/>
                <w:sz w:val="19"/>
                <w:szCs w:val="19"/>
                <w:lang w:val="en-US"/>
              </w:rPr>
              <w:t xml:space="preserve">Balance </w:t>
            </w:r>
            <w:proofErr w:type="gramStart"/>
            <w:r w:rsidRPr="00537128">
              <w:rPr>
                <w:rFonts w:ascii="Calibri" w:eastAsia="Calibri" w:hAnsi="Calibri" w:cs="Arial"/>
                <w:b/>
                <w:bCs/>
                <w:sz w:val="19"/>
                <w:szCs w:val="19"/>
                <w:lang w:val="en-US"/>
              </w:rPr>
              <w:t>at</w:t>
            </w:r>
            <w:proofErr w:type="gramEnd"/>
            <w:r w:rsidRPr="00537128">
              <w:rPr>
                <w:rFonts w:ascii="Calibri" w:eastAsia="Calibri" w:hAnsi="Calibri" w:cs="Arial"/>
                <w:b/>
                <w:bCs/>
                <w:sz w:val="19"/>
                <w:szCs w:val="19"/>
                <w:lang w:val="en-US"/>
              </w:rPr>
              <w:t xml:space="preserve"> 31 March 202</w:t>
            </w:r>
            <w:r>
              <w:rPr>
                <w:rFonts w:ascii="Calibri" w:eastAsia="Calibri" w:hAnsi="Calibri" w:cs="Arial"/>
                <w:b/>
                <w:bCs/>
                <w:sz w:val="19"/>
                <w:szCs w:val="19"/>
                <w:lang w:val="en-US"/>
              </w:rPr>
              <w:t>2</w:t>
            </w:r>
          </w:p>
        </w:tc>
        <w:tc>
          <w:tcPr>
            <w:tcW w:w="650" w:type="pct"/>
            <w:tcBorders>
              <w:top w:val="nil"/>
              <w:left w:val="nil"/>
              <w:bottom w:val="single" w:sz="12" w:space="0" w:color="auto"/>
              <w:right w:val="nil"/>
            </w:tcBorders>
            <w:shd w:val="clear" w:color="auto" w:fill="auto"/>
            <w:vAlign w:val="bottom"/>
          </w:tcPr>
          <w:p w14:paraId="2FFD25C6" w14:textId="4BF18020" w:rsidR="00F7480B" w:rsidRPr="00537128" w:rsidRDefault="00F7480B" w:rsidP="00F7480B">
            <w:pPr>
              <w:tabs>
                <w:tab w:val="right" w:pos="1202"/>
              </w:tabs>
              <w:spacing w:after="0" w:line="301" w:lineRule="exact"/>
              <w:jc w:val="right"/>
              <w:outlineLvl w:val="0"/>
              <w:rPr>
                <w:rFonts w:ascii="Calibri" w:eastAsia="Calibri" w:hAnsi="Calibri" w:cs="Arial"/>
                <w:b/>
                <w:bCs/>
                <w:sz w:val="19"/>
                <w:szCs w:val="19"/>
                <w:lang w:val="en-US"/>
              </w:rPr>
            </w:pPr>
            <w:r w:rsidRPr="007A49AD">
              <w:rPr>
                <w:b/>
                <w:bCs/>
                <w:sz w:val="19"/>
                <w:szCs w:val="19"/>
              </w:rPr>
              <w:t xml:space="preserve"> </w:t>
            </w:r>
            <w:r>
              <w:rPr>
                <w:b/>
                <w:bCs/>
                <w:sz w:val="19"/>
                <w:szCs w:val="19"/>
              </w:rPr>
              <w:t>3</w:t>
            </w:r>
            <w:r w:rsidR="00BA6944">
              <w:rPr>
                <w:b/>
                <w:bCs/>
                <w:sz w:val="19"/>
                <w:szCs w:val="19"/>
              </w:rPr>
              <w:t>,</w:t>
            </w:r>
            <w:r>
              <w:rPr>
                <w:b/>
                <w:bCs/>
                <w:sz w:val="19"/>
                <w:szCs w:val="19"/>
              </w:rPr>
              <w:t>107</w:t>
            </w:r>
            <w:r w:rsidRPr="007A49AD">
              <w:rPr>
                <w:b/>
                <w:bCs/>
                <w:sz w:val="19"/>
                <w:szCs w:val="19"/>
              </w:rPr>
              <w:t xml:space="preserve"> </w:t>
            </w:r>
          </w:p>
        </w:tc>
        <w:tc>
          <w:tcPr>
            <w:tcW w:w="650" w:type="pct"/>
            <w:tcBorders>
              <w:top w:val="nil"/>
              <w:left w:val="nil"/>
              <w:bottom w:val="single" w:sz="12" w:space="0" w:color="auto"/>
              <w:right w:val="nil"/>
            </w:tcBorders>
            <w:shd w:val="clear" w:color="auto" w:fill="auto"/>
            <w:vAlign w:val="bottom"/>
          </w:tcPr>
          <w:p w14:paraId="1D9EE517" w14:textId="5E11AF0D" w:rsidR="00F7480B" w:rsidRPr="00537128" w:rsidRDefault="00F7480B" w:rsidP="00F7480B">
            <w:pPr>
              <w:tabs>
                <w:tab w:val="right" w:pos="1202"/>
              </w:tabs>
              <w:spacing w:after="0" w:line="301" w:lineRule="exact"/>
              <w:jc w:val="right"/>
              <w:outlineLvl w:val="0"/>
              <w:rPr>
                <w:rFonts w:ascii="Calibri" w:eastAsia="Calibri" w:hAnsi="Calibri" w:cs="Arial"/>
                <w:b/>
                <w:bCs/>
                <w:sz w:val="19"/>
                <w:szCs w:val="19"/>
                <w:lang w:val="en-US"/>
              </w:rPr>
            </w:pPr>
            <w:r w:rsidRPr="007A49AD">
              <w:rPr>
                <w:b/>
                <w:bCs/>
                <w:sz w:val="19"/>
                <w:szCs w:val="19"/>
              </w:rPr>
              <w:t xml:space="preserve"> - </w:t>
            </w:r>
          </w:p>
        </w:tc>
        <w:tc>
          <w:tcPr>
            <w:tcW w:w="643" w:type="pct"/>
            <w:tcBorders>
              <w:top w:val="nil"/>
              <w:left w:val="nil"/>
              <w:bottom w:val="single" w:sz="12" w:space="0" w:color="auto"/>
              <w:right w:val="nil"/>
            </w:tcBorders>
            <w:shd w:val="clear" w:color="auto" w:fill="auto"/>
            <w:vAlign w:val="bottom"/>
          </w:tcPr>
          <w:p w14:paraId="73C753C2" w14:textId="7B739447" w:rsidR="00F7480B" w:rsidRPr="00537128" w:rsidRDefault="00F7480B" w:rsidP="00F7480B">
            <w:pPr>
              <w:tabs>
                <w:tab w:val="right" w:pos="1202"/>
              </w:tabs>
              <w:spacing w:after="0" w:line="301" w:lineRule="exact"/>
              <w:jc w:val="right"/>
              <w:outlineLvl w:val="0"/>
              <w:rPr>
                <w:rFonts w:ascii="Calibri" w:eastAsia="Calibri" w:hAnsi="Calibri" w:cs="Arial"/>
                <w:b/>
                <w:bCs/>
                <w:sz w:val="19"/>
                <w:szCs w:val="19"/>
                <w:lang w:val="en-US"/>
              </w:rPr>
            </w:pPr>
            <w:r w:rsidRPr="007A49AD">
              <w:rPr>
                <w:b/>
                <w:bCs/>
                <w:sz w:val="19"/>
                <w:szCs w:val="19"/>
              </w:rPr>
              <w:t xml:space="preserve"> 1</w:t>
            </w:r>
            <w:r w:rsidR="00BA6944">
              <w:rPr>
                <w:b/>
                <w:bCs/>
                <w:sz w:val="19"/>
                <w:szCs w:val="19"/>
              </w:rPr>
              <w:t>,</w:t>
            </w:r>
            <w:r w:rsidRPr="007A49AD">
              <w:rPr>
                <w:b/>
                <w:bCs/>
                <w:sz w:val="19"/>
                <w:szCs w:val="19"/>
              </w:rPr>
              <w:t>7</w:t>
            </w:r>
            <w:r>
              <w:rPr>
                <w:b/>
                <w:bCs/>
                <w:sz w:val="19"/>
                <w:szCs w:val="19"/>
              </w:rPr>
              <w:t>86</w:t>
            </w:r>
            <w:r w:rsidRPr="007A49AD">
              <w:rPr>
                <w:b/>
                <w:bCs/>
                <w:sz w:val="19"/>
                <w:szCs w:val="19"/>
              </w:rPr>
              <w:t xml:space="preserve"> </w:t>
            </w:r>
          </w:p>
        </w:tc>
        <w:tc>
          <w:tcPr>
            <w:tcW w:w="605" w:type="pct"/>
            <w:tcBorders>
              <w:top w:val="nil"/>
              <w:left w:val="nil"/>
              <w:bottom w:val="single" w:sz="12" w:space="0" w:color="auto"/>
              <w:right w:val="nil"/>
            </w:tcBorders>
            <w:shd w:val="clear" w:color="auto" w:fill="auto"/>
            <w:vAlign w:val="bottom"/>
          </w:tcPr>
          <w:p w14:paraId="40E5205A" w14:textId="1D3BE4D9" w:rsidR="00F7480B" w:rsidRPr="00537128" w:rsidRDefault="00F7480B" w:rsidP="00F7480B">
            <w:pPr>
              <w:tabs>
                <w:tab w:val="right" w:pos="1202"/>
              </w:tabs>
              <w:spacing w:after="0" w:line="301" w:lineRule="exact"/>
              <w:jc w:val="right"/>
              <w:outlineLvl w:val="0"/>
              <w:rPr>
                <w:rFonts w:ascii="Calibri" w:eastAsia="Calibri" w:hAnsi="Calibri" w:cs="Arial"/>
                <w:b/>
                <w:bCs/>
                <w:sz w:val="19"/>
                <w:szCs w:val="19"/>
                <w:lang w:val="en-US"/>
              </w:rPr>
            </w:pPr>
            <w:r w:rsidRPr="007A49AD">
              <w:rPr>
                <w:b/>
                <w:bCs/>
                <w:sz w:val="19"/>
                <w:szCs w:val="19"/>
              </w:rPr>
              <w:t xml:space="preserve"> - </w:t>
            </w:r>
          </w:p>
        </w:tc>
        <w:tc>
          <w:tcPr>
            <w:tcW w:w="638" w:type="pct"/>
            <w:tcBorders>
              <w:top w:val="nil"/>
              <w:left w:val="nil"/>
              <w:bottom w:val="single" w:sz="12" w:space="0" w:color="auto"/>
              <w:right w:val="nil"/>
            </w:tcBorders>
            <w:shd w:val="clear" w:color="auto" w:fill="auto"/>
            <w:vAlign w:val="bottom"/>
          </w:tcPr>
          <w:p w14:paraId="311705AC" w14:textId="22E1B4AE" w:rsidR="00F7480B" w:rsidRPr="00537128" w:rsidRDefault="00F7480B" w:rsidP="00F7480B">
            <w:pPr>
              <w:tabs>
                <w:tab w:val="right" w:pos="1202"/>
              </w:tabs>
              <w:spacing w:after="0" w:line="301" w:lineRule="exact"/>
              <w:jc w:val="right"/>
              <w:outlineLvl w:val="0"/>
              <w:rPr>
                <w:rFonts w:ascii="Calibri" w:eastAsia="Calibri" w:hAnsi="Calibri" w:cs="Arial"/>
                <w:b/>
                <w:bCs/>
                <w:sz w:val="19"/>
                <w:szCs w:val="19"/>
                <w:lang w:val="en-US"/>
              </w:rPr>
            </w:pPr>
            <w:r w:rsidRPr="007A49AD">
              <w:rPr>
                <w:b/>
                <w:bCs/>
                <w:sz w:val="19"/>
                <w:szCs w:val="19"/>
              </w:rPr>
              <w:t xml:space="preserve"> 4</w:t>
            </w:r>
            <w:r w:rsidR="00BA6944">
              <w:rPr>
                <w:b/>
                <w:bCs/>
                <w:sz w:val="19"/>
                <w:szCs w:val="19"/>
              </w:rPr>
              <w:t>,</w:t>
            </w:r>
            <w:r w:rsidRPr="007A49AD">
              <w:rPr>
                <w:b/>
                <w:bCs/>
                <w:sz w:val="19"/>
                <w:szCs w:val="19"/>
              </w:rPr>
              <w:t xml:space="preserve">893 </w:t>
            </w:r>
          </w:p>
        </w:tc>
      </w:tr>
    </w:tbl>
    <w:p w14:paraId="276D336E" w14:textId="4658AA34" w:rsidR="004A287E" w:rsidRDefault="004A287E" w:rsidP="00024090">
      <w:pPr>
        <w:spacing w:after="0" w:line="240" w:lineRule="auto"/>
        <w:rPr>
          <w:rFonts w:ascii="Calibri" w:eastAsia="Calibri" w:hAnsi="Calibri" w:cs="Times New Roman"/>
          <w:noProof/>
          <w:color w:val="000000" w:themeColor="text1"/>
          <w:lang w:val="en-US"/>
        </w:rPr>
      </w:pPr>
    </w:p>
    <w:p w14:paraId="528663A9" w14:textId="08AA21EA" w:rsidR="00C46425" w:rsidRDefault="00C46425" w:rsidP="00024090">
      <w:pPr>
        <w:spacing w:after="0" w:line="240" w:lineRule="auto"/>
        <w:rPr>
          <w:rFonts w:ascii="Calibri" w:eastAsia="Calibri" w:hAnsi="Calibri" w:cs="Times New Roman"/>
          <w:noProof/>
          <w:color w:val="000000" w:themeColor="text1"/>
          <w:lang w:val="en-US"/>
        </w:rPr>
      </w:pPr>
    </w:p>
    <w:p w14:paraId="01E3C77B" w14:textId="77777777" w:rsidR="00C46425" w:rsidRPr="00537128" w:rsidRDefault="00C46425" w:rsidP="00024090">
      <w:pPr>
        <w:spacing w:after="0" w:line="240" w:lineRule="auto"/>
        <w:rPr>
          <w:rFonts w:ascii="Calibri" w:eastAsia="Calibri" w:hAnsi="Calibri" w:cs="Times New Roman"/>
          <w:noProof/>
          <w:color w:val="000000" w:themeColor="text1"/>
          <w:lang w:val="en-US"/>
        </w:rPr>
      </w:pPr>
    </w:p>
    <w:p w14:paraId="220BF79E" w14:textId="72AD1627" w:rsidR="0010024A" w:rsidRPr="00537128" w:rsidRDefault="0010024A"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C46425" w:rsidRPr="00C46425" w14:paraId="6047478D" w14:textId="77777777" w:rsidTr="00E44437">
        <w:trPr>
          <w:trHeight w:val="153"/>
        </w:trPr>
        <w:tc>
          <w:tcPr>
            <w:tcW w:w="1814" w:type="pct"/>
          </w:tcPr>
          <w:p w14:paraId="288D0326" w14:textId="77777777" w:rsidR="00C46425" w:rsidRPr="00C46425" w:rsidRDefault="00C46425" w:rsidP="00C46425">
            <w:pPr>
              <w:spacing w:after="0" w:line="240" w:lineRule="auto"/>
              <w:rPr>
                <w:rFonts w:ascii="Calibri" w:eastAsia="Calibri" w:hAnsi="Calibri" w:cs="Arial"/>
                <w:b/>
                <w:bCs/>
                <w:sz w:val="19"/>
                <w:szCs w:val="19"/>
                <w:lang w:val="en-GB"/>
              </w:rPr>
            </w:pPr>
            <w:r w:rsidRPr="00C46425">
              <w:rPr>
                <w:rFonts w:ascii="Calibri" w:eastAsia="Calibri" w:hAnsi="Calibri" w:cs="Arial"/>
                <w:b/>
                <w:bCs/>
                <w:sz w:val="19"/>
                <w:szCs w:val="19"/>
                <w:lang w:val="en-GB"/>
              </w:rPr>
              <w:br w:type="page"/>
              <w:t>Group</w:t>
            </w:r>
          </w:p>
        </w:tc>
        <w:tc>
          <w:tcPr>
            <w:tcW w:w="3186" w:type="pct"/>
            <w:gridSpan w:val="5"/>
            <w:vAlign w:val="bottom"/>
          </w:tcPr>
          <w:p w14:paraId="44BEA185" w14:textId="77777777" w:rsidR="00C46425" w:rsidRPr="00C46425" w:rsidRDefault="00C46425" w:rsidP="00C46425">
            <w:pPr>
              <w:spacing w:after="0" w:line="240" w:lineRule="auto"/>
              <w:jc w:val="center"/>
              <w:rPr>
                <w:rFonts w:ascii="Calibri" w:eastAsia="Calibri" w:hAnsi="Calibri" w:cs="Arial"/>
                <w:b/>
                <w:sz w:val="19"/>
                <w:szCs w:val="19"/>
                <w:lang w:val="en-GB"/>
              </w:rPr>
            </w:pPr>
          </w:p>
        </w:tc>
      </w:tr>
      <w:tr w:rsidR="00C46425" w:rsidRPr="00C46425" w14:paraId="1C15CF3B" w14:textId="77777777" w:rsidTr="00E44437">
        <w:trPr>
          <w:trHeight w:val="51"/>
        </w:trPr>
        <w:tc>
          <w:tcPr>
            <w:tcW w:w="1814" w:type="pct"/>
          </w:tcPr>
          <w:p w14:paraId="2990DD11" w14:textId="77777777" w:rsidR="00C46425" w:rsidRPr="00C46425" w:rsidRDefault="00C46425" w:rsidP="00C46425">
            <w:pPr>
              <w:spacing w:after="0" w:line="240" w:lineRule="auto"/>
              <w:rPr>
                <w:rFonts w:ascii="Calibri" w:eastAsia="Calibri" w:hAnsi="Calibri" w:cs="Arial"/>
                <w:b/>
                <w:bCs/>
                <w:sz w:val="19"/>
                <w:szCs w:val="19"/>
                <w:lang w:val="en-GB"/>
              </w:rPr>
            </w:pPr>
            <w:r w:rsidRPr="00C46425">
              <w:rPr>
                <w:rFonts w:ascii="Calibri" w:eastAsia="Calibri" w:hAnsi="Calibri" w:cs="Arial"/>
                <w:b/>
                <w:bCs/>
                <w:sz w:val="19"/>
                <w:szCs w:val="19"/>
                <w:lang w:val="en-GB"/>
              </w:rPr>
              <w:t>31 December 2021</w:t>
            </w:r>
          </w:p>
        </w:tc>
        <w:tc>
          <w:tcPr>
            <w:tcW w:w="650" w:type="pct"/>
            <w:vAlign w:val="bottom"/>
          </w:tcPr>
          <w:p w14:paraId="357D9DC8" w14:textId="77777777" w:rsidR="00C46425" w:rsidRPr="00C46425" w:rsidRDefault="00C46425" w:rsidP="00C46425">
            <w:pPr>
              <w:spacing w:after="0" w:line="240" w:lineRule="auto"/>
              <w:jc w:val="right"/>
              <w:rPr>
                <w:rFonts w:ascii="Calibri" w:eastAsia="Calibri" w:hAnsi="Calibri" w:cs="Arial"/>
                <w:b/>
                <w:sz w:val="19"/>
                <w:szCs w:val="19"/>
                <w:lang w:val="en-GB"/>
              </w:rPr>
            </w:pPr>
            <w:r w:rsidRPr="00C46425">
              <w:rPr>
                <w:rFonts w:ascii="Calibri" w:eastAsia="Calibri" w:hAnsi="Calibri" w:cs="Arial"/>
                <w:b/>
                <w:sz w:val="19"/>
                <w:szCs w:val="19"/>
                <w:lang w:val="en-GB"/>
              </w:rPr>
              <w:t>Stage 1</w:t>
            </w:r>
          </w:p>
        </w:tc>
        <w:tc>
          <w:tcPr>
            <w:tcW w:w="650" w:type="pct"/>
            <w:vAlign w:val="bottom"/>
          </w:tcPr>
          <w:p w14:paraId="2F1ADBDF" w14:textId="77777777" w:rsidR="00C46425" w:rsidRPr="00C46425" w:rsidRDefault="00C46425" w:rsidP="00C46425">
            <w:pPr>
              <w:spacing w:after="0" w:line="240" w:lineRule="auto"/>
              <w:jc w:val="right"/>
              <w:rPr>
                <w:rFonts w:ascii="Calibri" w:eastAsia="Calibri" w:hAnsi="Calibri" w:cs="Arial"/>
                <w:b/>
                <w:sz w:val="19"/>
                <w:szCs w:val="19"/>
                <w:lang w:val="en-GB"/>
              </w:rPr>
            </w:pPr>
            <w:r w:rsidRPr="00C46425">
              <w:rPr>
                <w:rFonts w:ascii="Calibri" w:eastAsia="Calibri" w:hAnsi="Calibri" w:cs="Arial"/>
                <w:b/>
                <w:sz w:val="19"/>
                <w:szCs w:val="19"/>
                <w:lang w:val="en-GB"/>
              </w:rPr>
              <w:t>Stage 2</w:t>
            </w:r>
          </w:p>
        </w:tc>
        <w:tc>
          <w:tcPr>
            <w:tcW w:w="643" w:type="pct"/>
            <w:vAlign w:val="bottom"/>
          </w:tcPr>
          <w:p w14:paraId="3471C82A" w14:textId="77777777" w:rsidR="00C46425" w:rsidRPr="00C46425" w:rsidRDefault="00C46425" w:rsidP="00C46425">
            <w:pPr>
              <w:spacing w:after="0" w:line="240" w:lineRule="auto"/>
              <w:jc w:val="right"/>
              <w:rPr>
                <w:rFonts w:ascii="Calibri" w:eastAsia="Calibri" w:hAnsi="Calibri" w:cs="Arial"/>
                <w:b/>
                <w:sz w:val="19"/>
                <w:szCs w:val="19"/>
                <w:lang w:val="en-GB"/>
              </w:rPr>
            </w:pPr>
            <w:r w:rsidRPr="00C46425">
              <w:rPr>
                <w:rFonts w:ascii="Calibri" w:eastAsia="Calibri" w:hAnsi="Calibri" w:cs="Arial"/>
                <w:b/>
                <w:sz w:val="19"/>
                <w:szCs w:val="19"/>
                <w:lang w:val="en-GB"/>
              </w:rPr>
              <w:t>Stage 3</w:t>
            </w:r>
          </w:p>
        </w:tc>
        <w:tc>
          <w:tcPr>
            <w:tcW w:w="605" w:type="pct"/>
            <w:vAlign w:val="bottom"/>
          </w:tcPr>
          <w:p w14:paraId="0C18B80C" w14:textId="77777777" w:rsidR="00C46425" w:rsidRPr="00C46425" w:rsidRDefault="00C46425" w:rsidP="00C46425">
            <w:pPr>
              <w:spacing w:after="0" w:line="240" w:lineRule="auto"/>
              <w:jc w:val="right"/>
              <w:rPr>
                <w:rFonts w:ascii="Calibri" w:eastAsia="Calibri" w:hAnsi="Calibri" w:cs="Arial"/>
                <w:b/>
                <w:sz w:val="19"/>
                <w:szCs w:val="19"/>
                <w:lang w:val="en-GB"/>
              </w:rPr>
            </w:pPr>
            <w:r w:rsidRPr="00C46425">
              <w:rPr>
                <w:rFonts w:ascii="Calibri" w:eastAsia="Calibri" w:hAnsi="Calibri" w:cs="Arial"/>
                <w:b/>
                <w:sz w:val="19"/>
                <w:szCs w:val="19"/>
                <w:lang w:val="en-GB"/>
              </w:rPr>
              <w:t>POCI</w:t>
            </w:r>
          </w:p>
        </w:tc>
        <w:tc>
          <w:tcPr>
            <w:tcW w:w="638" w:type="pct"/>
            <w:vAlign w:val="bottom"/>
          </w:tcPr>
          <w:p w14:paraId="2B594E19" w14:textId="77777777" w:rsidR="00C46425" w:rsidRPr="00C46425" w:rsidRDefault="00C46425" w:rsidP="00C46425">
            <w:pPr>
              <w:spacing w:after="0" w:line="240" w:lineRule="auto"/>
              <w:jc w:val="right"/>
              <w:rPr>
                <w:rFonts w:ascii="Calibri" w:eastAsia="Calibri" w:hAnsi="Calibri" w:cs="Arial"/>
                <w:b/>
                <w:sz w:val="19"/>
                <w:szCs w:val="19"/>
                <w:lang w:val="en-GB"/>
              </w:rPr>
            </w:pPr>
            <w:r w:rsidRPr="00C46425">
              <w:rPr>
                <w:rFonts w:ascii="Calibri" w:eastAsia="Calibri" w:hAnsi="Calibri" w:cs="Arial"/>
                <w:b/>
                <w:sz w:val="19"/>
                <w:szCs w:val="19"/>
                <w:lang w:val="en-GB"/>
              </w:rPr>
              <w:t>Total</w:t>
            </w:r>
          </w:p>
        </w:tc>
      </w:tr>
      <w:tr w:rsidR="00C46425" w:rsidRPr="00C46425" w14:paraId="2790E04B" w14:textId="77777777" w:rsidTr="00E44437">
        <w:trPr>
          <w:trHeight w:val="51"/>
        </w:trPr>
        <w:tc>
          <w:tcPr>
            <w:tcW w:w="1814" w:type="pct"/>
          </w:tcPr>
          <w:p w14:paraId="0BBBBC1D" w14:textId="77777777" w:rsidR="00C46425" w:rsidRPr="00C46425" w:rsidRDefault="00C46425" w:rsidP="00C46425">
            <w:pPr>
              <w:spacing w:after="0" w:line="240" w:lineRule="auto"/>
              <w:rPr>
                <w:rFonts w:ascii="Calibri" w:eastAsia="Calibri" w:hAnsi="Calibri" w:cs="Arial"/>
                <w:b/>
                <w:bCs/>
                <w:sz w:val="19"/>
                <w:szCs w:val="19"/>
                <w:lang w:val="en-GB"/>
              </w:rPr>
            </w:pPr>
          </w:p>
        </w:tc>
        <w:tc>
          <w:tcPr>
            <w:tcW w:w="650" w:type="pct"/>
          </w:tcPr>
          <w:p w14:paraId="3C2C686C" w14:textId="77777777" w:rsidR="00C46425" w:rsidRPr="00C46425" w:rsidRDefault="00C46425" w:rsidP="00C46425">
            <w:pPr>
              <w:spacing w:after="0" w:line="240" w:lineRule="auto"/>
              <w:jc w:val="right"/>
              <w:rPr>
                <w:rFonts w:ascii="Calibri" w:eastAsia="Calibri" w:hAnsi="Calibri" w:cs="Arial"/>
                <w:b/>
                <w:sz w:val="19"/>
                <w:szCs w:val="19"/>
                <w:lang w:val="en-GB"/>
              </w:rPr>
            </w:pPr>
            <w:r w:rsidRPr="00C46425">
              <w:rPr>
                <w:rFonts w:ascii="Calibri" w:eastAsia="Calibri" w:hAnsi="Calibri" w:cs="Arial"/>
                <w:b/>
                <w:sz w:val="19"/>
                <w:szCs w:val="19"/>
                <w:lang w:val="en-GB"/>
              </w:rPr>
              <w:t>HRK ‘000</w:t>
            </w:r>
          </w:p>
        </w:tc>
        <w:tc>
          <w:tcPr>
            <w:tcW w:w="650" w:type="pct"/>
          </w:tcPr>
          <w:p w14:paraId="0EAEC071" w14:textId="77777777" w:rsidR="00C46425" w:rsidRPr="00C46425" w:rsidRDefault="00C46425" w:rsidP="00C46425">
            <w:pPr>
              <w:spacing w:after="0" w:line="240" w:lineRule="auto"/>
              <w:jc w:val="right"/>
              <w:rPr>
                <w:rFonts w:ascii="Calibri" w:eastAsia="Calibri" w:hAnsi="Calibri" w:cs="Arial"/>
                <w:b/>
                <w:sz w:val="19"/>
                <w:szCs w:val="19"/>
                <w:lang w:val="en-GB"/>
              </w:rPr>
            </w:pPr>
            <w:r w:rsidRPr="00C46425">
              <w:rPr>
                <w:rFonts w:ascii="Calibri" w:eastAsia="Calibri" w:hAnsi="Calibri" w:cs="Arial"/>
                <w:b/>
                <w:sz w:val="19"/>
                <w:szCs w:val="19"/>
                <w:lang w:val="en-GB"/>
              </w:rPr>
              <w:t>HRK ‘000</w:t>
            </w:r>
          </w:p>
        </w:tc>
        <w:tc>
          <w:tcPr>
            <w:tcW w:w="643" w:type="pct"/>
          </w:tcPr>
          <w:p w14:paraId="61197448" w14:textId="77777777" w:rsidR="00C46425" w:rsidRPr="00C46425" w:rsidRDefault="00C46425" w:rsidP="00C46425">
            <w:pPr>
              <w:spacing w:after="0" w:line="240" w:lineRule="auto"/>
              <w:jc w:val="right"/>
              <w:rPr>
                <w:rFonts w:ascii="Calibri" w:eastAsia="Calibri" w:hAnsi="Calibri" w:cs="Arial"/>
                <w:b/>
                <w:sz w:val="19"/>
                <w:szCs w:val="19"/>
                <w:lang w:val="en-GB"/>
              </w:rPr>
            </w:pPr>
            <w:r w:rsidRPr="00C46425">
              <w:rPr>
                <w:rFonts w:ascii="Calibri" w:eastAsia="Calibri" w:hAnsi="Calibri" w:cs="Arial"/>
                <w:b/>
                <w:sz w:val="19"/>
                <w:szCs w:val="19"/>
                <w:lang w:val="en-GB"/>
              </w:rPr>
              <w:t>HRK ‘000</w:t>
            </w:r>
          </w:p>
        </w:tc>
        <w:tc>
          <w:tcPr>
            <w:tcW w:w="605" w:type="pct"/>
          </w:tcPr>
          <w:p w14:paraId="288EE811" w14:textId="77777777" w:rsidR="00C46425" w:rsidRPr="00C46425" w:rsidRDefault="00C46425" w:rsidP="00C46425">
            <w:pPr>
              <w:spacing w:after="0" w:line="240" w:lineRule="auto"/>
              <w:jc w:val="right"/>
              <w:rPr>
                <w:rFonts w:ascii="Calibri" w:eastAsia="Calibri" w:hAnsi="Calibri" w:cs="Arial"/>
                <w:b/>
                <w:sz w:val="19"/>
                <w:szCs w:val="19"/>
                <w:lang w:val="en-GB"/>
              </w:rPr>
            </w:pPr>
            <w:r w:rsidRPr="00C46425">
              <w:rPr>
                <w:rFonts w:ascii="Calibri" w:eastAsia="Calibri" w:hAnsi="Calibri" w:cs="Arial"/>
                <w:b/>
                <w:sz w:val="19"/>
                <w:szCs w:val="19"/>
                <w:lang w:val="en-GB"/>
              </w:rPr>
              <w:t>HRK ‘000</w:t>
            </w:r>
          </w:p>
        </w:tc>
        <w:tc>
          <w:tcPr>
            <w:tcW w:w="638" w:type="pct"/>
          </w:tcPr>
          <w:p w14:paraId="0D699BF6" w14:textId="77777777" w:rsidR="00C46425" w:rsidRPr="00C46425" w:rsidRDefault="00C46425" w:rsidP="00C46425">
            <w:pPr>
              <w:spacing w:after="0" w:line="240" w:lineRule="auto"/>
              <w:jc w:val="right"/>
              <w:rPr>
                <w:rFonts w:ascii="Calibri" w:eastAsia="Calibri" w:hAnsi="Calibri" w:cs="Arial"/>
                <w:b/>
                <w:sz w:val="19"/>
                <w:szCs w:val="19"/>
                <w:lang w:val="en-GB"/>
              </w:rPr>
            </w:pPr>
            <w:r w:rsidRPr="00C46425">
              <w:rPr>
                <w:rFonts w:ascii="Calibri" w:eastAsia="Calibri" w:hAnsi="Calibri" w:cs="Arial"/>
                <w:b/>
                <w:sz w:val="19"/>
                <w:szCs w:val="19"/>
                <w:lang w:val="en-GB"/>
              </w:rPr>
              <w:t>HRK ‘000</w:t>
            </w:r>
          </w:p>
        </w:tc>
      </w:tr>
      <w:tr w:rsidR="00C46425" w:rsidRPr="00C46425" w14:paraId="7771EAD0" w14:textId="77777777" w:rsidTr="00E44437">
        <w:trPr>
          <w:trHeight w:val="74"/>
        </w:trPr>
        <w:tc>
          <w:tcPr>
            <w:tcW w:w="1814" w:type="pct"/>
          </w:tcPr>
          <w:p w14:paraId="7BF9725C" w14:textId="77777777" w:rsidR="00C46425" w:rsidRPr="00C46425" w:rsidRDefault="00C46425" w:rsidP="00C46425">
            <w:pPr>
              <w:spacing w:after="0" w:line="240" w:lineRule="auto"/>
              <w:rPr>
                <w:rFonts w:ascii="Calibri" w:eastAsia="Calibri" w:hAnsi="Calibri" w:cs="Arial"/>
                <w:b/>
                <w:bCs/>
                <w:sz w:val="10"/>
                <w:szCs w:val="10"/>
                <w:lang w:val="en-GB"/>
              </w:rPr>
            </w:pPr>
          </w:p>
        </w:tc>
        <w:tc>
          <w:tcPr>
            <w:tcW w:w="650" w:type="pct"/>
          </w:tcPr>
          <w:p w14:paraId="2BA540D0" w14:textId="77777777" w:rsidR="00C46425" w:rsidRPr="00C46425" w:rsidRDefault="00C46425" w:rsidP="00C46425">
            <w:pPr>
              <w:spacing w:after="0" w:line="240" w:lineRule="auto"/>
              <w:jc w:val="right"/>
              <w:rPr>
                <w:rFonts w:ascii="Calibri" w:eastAsia="Calibri" w:hAnsi="Calibri" w:cs="Arial"/>
                <w:b/>
                <w:bCs/>
                <w:sz w:val="10"/>
                <w:szCs w:val="10"/>
                <w:lang w:val="en-GB"/>
              </w:rPr>
            </w:pPr>
          </w:p>
        </w:tc>
        <w:tc>
          <w:tcPr>
            <w:tcW w:w="650" w:type="pct"/>
          </w:tcPr>
          <w:p w14:paraId="7DB43C1B" w14:textId="77777777" w:rsidR="00C46425" w:rsidRPr="00C46425" w:rsidRDefault="00C46425" w:rsidP="00C46425">
            <w:pPr>
              <w:spacing w:after="0" w:line="240" w:lineRule="auto"/>
              <w:jc w:val="right"/>
              <w:rPr>
                <w:rFonts w:ascii="Calibri" w:eastAsia="Calibri" w:hAnsi="Calibri" w:cs="Arial"/>
                <w:b/>
                <w:bCs/>
                <w:sz w:val="10"/>
                <w:szCs w:val="10"/>
                <w:lang w:val="en-GB"/>
              </w:rPr>
            </w:pPr>
          </w:p>
        </w:tc>
        <w:tc>
          <w:tcPr>
            <w:tcW w:w="643" w:type="pct"/>
          </w:tcPr>
          <w:p w14:paraId="0672E221" w14:textId="77777777" w:rsidR="00C46425" w:rsidRPr="00C46425" w:rsidRDefault="00C46425" w:rsidP="00C46425">
            <w:pPr>
              <w:spacing w:after="0" w:line="240" w:lineRule="auto"/>
              <w:jc w:val="right"/>
              <w:rPr>
                <w:rFonts w:ascii="Calibri" w:eastAsia="Calibri" w:hAnsi="Calibri" w:cs="Arial"/>
                <w:b/>
                <w:bCs/>
                <w:sz w:val="10"/>
                <w:szCs w:val="10"/>
                <w:lang w:val="en-GB"/>
              </w:rPr>
            </w:pPr>
          </w:p>
        </w:tc>
        <w:tc>
          <w:tcPr>
            <w:tcW w:w="605" w:type="pct"/>
          </w:tcPr>
          <w:p w14:paraId="0059CB75" w14:textId="77777777" w:rsidR="00C46425" w:rsidRPr="00C46425" w:rsidRDefault="00C46425" w:rsidP="00C46425">
            <w:pPr>
              <w:spacing w:after="0" w:line="240" w:lineRule="auto"/>
              <w:jc w:val="right"/>
              <w:rPr>
                <w:rFonts w:ascii="Calibri" w:eastAsia="Calibri" w:hAnsi="Calibri" w:cs="Arial"/>
                <w:b/>
                <w:bCs/>
                <w:sz w:val="10"/>
                <w:szCs w:val="10"/>
                <w:lang w:val="en-GB"/>
              </w:rPr>
            </w:pPr>
          </w:p>
        </w:tc>
        <w:tc>
          <w:tcPr>
            <w:tcW w:w="638" w:type="pct"/>
          </w:tcPr>
          <w:p w14:paraId="0FDEF537" w14:textId="77777777" w:rsidR="00C46425" w:rsidRPr="00C46425" w:rsidRDefault="00C46425" w:rsidP="00C46425">
            <w:pPr>
              <w:spacing w:after="0" w:line="240" w:lineRule="auto"/>
              <w:jc w:val="right"/>
              <w:rPr>
                <w:rFonts w:ascii="Calibri" w:eastAsia="Calibri" w:hAnsi="Calibri" w:cs="Arial"/>
                <w:b/>
                <w:bCs/>
                <w:sz w:val="10"/>
                <w:szCs w:val="10"/>
                <w:lang w:val="en-GB"/>
              </w:rPr>
            </w:pPr>
          </w:p>
        </w:tc>
      </w:tr>
      <w:tr w:rsidR="00C46425" w:rsidRPr="00C46425" w14:paraId="2AA70719" w14:textId="77777777" w:rsidTr="00E44437">
        <w:trPr>
          <w:trHeight w:hRule="exact" w:val="241"/>
        </w:trPr>
        <w:tc>
          <w:tcPr>
            <w:tcW w:w="1814" w:type="pct"/>
            <w:vAlign w:val="bottom"/>
          </w:tcPr>
          <w:p w14:paraId="684A1FBB" w14:textId="77777777" w:rsidR="00C46425" w:rsidRPr="00C46425" w:rsidRDefault="00C46425" w:rsidP="00C46425">
            <w:pPr>
              <w:tabs>
                <w:tab w:val="right" w:pos="1202"/>
              </w:tabs>
              <w:spacing w:after="0" w:line="240" w:lineRule="auto"/>
              <w:outlineLvl w:val="0"/>
              <w:rPr>
                <w:rFonts w:ascii="Calibri" w:eastAsia="Calibri" w:hAnsi="Calibri" w:cs="Times New Roman"/>
                <w:sz w:val="19"/>
                <w:szCs w:val="19"/>
                <w:lang w:val="en-GB"/>
              </w:rPr>
            </w:pPr>
            <w:r w:rsidRPr="00C46425">
              <w:rPr>
                <w:rFonts w:ascii="Calibri" w:eastAsia="Calibri" w:hAnsi="Calibri" w:cs="Times New Roman"/>
                <w:sz w:val="19"/>
                <w:szCs w:val="19"/>
                <w:lang w:val="en-GB"/>
              </w:rPr>
              <w:t xml:space="preserve">Balance </w:t>
            </w:r>
            <w:proofErr w:type="gramStart"/>
            <w:r w:rsidRPr="00C46425">
              <w:rPr>
                <w:rFonts w:ascii="Calibri" w:eastAsia="Calibri" w:hAnsi="Calibri" w:cs="Times New Roman"/>
                <w:sz w:val="19"/>
                <w:szCs w:val="19"/>
                <w:lang w:val="en-GB"/>
              </w:rPr>
              <w:t>at</w:t>
            </w:r>
            <w:proofErr w:type="gramEnd"/>
            <w:r w:rsidRPr="00C46425">
              <w:rPr>
                <w:rFonts w:ascii="Calibri" w:eastAsia="Calibri" w:hAnsi="Calibri" w:cs="Times New Roman"/>
                <w:sz w:val="19"/>
                <w:szCs w:val="19"/>
                <w:lang w:val="en-GB"/>
              </w:rPr>
              <w:t xml:space="preserve"> 1 January 2021</w:t>
            </w:r>
          </w:p>
        </w:tc>
        <w:tc>
          <w:tcPr>
            <w:tcW w:w="650" w:type="pct"/>
            <w:shd w:val="clear" w:color="auto" w:fill="auto"/>
          </w:tcPr>
          <w:p w14:paraId="7EB04A2E" w14:textId="77777777" w:rsidR="00C46425" w:rsidRPr="00C46425" w:rsidRDefault="00C46425" w:rsidP="00C46425">
            <w:pPr>
              <w:spacing w:after="0" w:line="240" w:lineRule="auto"/>
              <w:jc w:val="right"/>
              <w:rPr>
                <w:rFonts w:ascii="Calibri" w:eastAsia="Calibri" w:hAnsi="Calibri" w:cs="Arial"/>
                <w:sz w:val="19"/>
                <w:szCs w:val="19"/>
                <w:lang w:val="en-GB"/>
              </w:rPr>
            </w:pPr>
            <w:r w:rsidRPr="00C46425">
              <w:rPr>
                <w:rFonts w:ascii="Calibri" w:eastAsia="Times New Roman" w:hAnsi="Calibri" w:cs="Times New Roman"/>
                <w:sz w:val="19"/>
                <w:szCs w:val="19"/>
                <w:lang w:val="en-US"/>
              </w:rPr>
              <w:t xml:space="preserve"> 2,935 </w:t>
            </w:r>
          </w:p>
        </w:tc>
        <w:tc>
          <w:tcPr>
            <w:tcW w:w="650" w:type="pct"/>
            <w:shd w:val="clear" w:color="auto" w:fill="auto"/>
          </w:tcPr>
          <w:p w14:paraId="4C1AD393" w14:textId="77777777" w:rsidR="00C46425" w:rsidRPr="00C46425" w:rsidRDefault="00C46425" w:rsidP="00C46425">
            <w:pPr>
              <w:spacing w:after="0" w:line="240" w:lineRule="auto"/>
              <w:jc w:val="right"/>
              <w:rPr>
                <w:rFonts w:ascii="Calibri" w:eastAsia="Calibri" w:hAnsi="Calibri" w:cs="Arial"/>
                <w:sz w:val="19"/>
                <w:szCs w:val="19"/>
                <w:lang w:val="en-GB"/>
              </w:rPr>
            </w:pPr>
            <w:r w:rsidRPr="00C46425">
              <w:rPr>
                <w:rFonts w:ascii="Calibri" w:eastAsia="Times New Roman" w:hAnsi="Calibri" w:cs="Times New Roman"/>
                <w:sz w:val="19"/>
                <w:szCs w:val="19"/>
                <w:lang w:val="en-US"/>
              </w:rPr>
              <w:t xml:space="preserve"> - </w:t>
            </w:r>
          </w:p>
        </w:tc>
        <w:tc>
          <w:tcPr>
            <w:tcW w:w="643" w:type="pct"/>
            <w:shd w:val="clear" w:color="auto" w:fill="auto"/>
          </w:tcPr>
          <w:p w14:paraId="3C339AD3" w14:textId="77777777" w:rsidR="00C46425" w:rsidRPr="00C46425" w:rsidRDefault="00C46425" w:rsidP="00C46425">
            <w:pPr>
              <w:spacing w:after="0" w:line="240" w:lineRule="auto"/>
              <w:jc w:val="right"/>
              <w:rPr>
                <w:rFonts w:ascii="Calibri" w:eastAsia="Calibri" w:hAnsi="Calibri" w:cs="Arial"/>
                <w:sz w:val="19"/>
                <w:szCs w:val="19"/>
                <w:lang w:val="en-GB"/>
              </w:rPr>
            </w:pPr>
            <w:r w:rsidRPr="00C46425">
              <w:rPr>
                <w:rFonts w:ascii="Calibri" w:eastAsia="Times New Roman" w:hAnsi="Calibri" w:cs="Times New Roman"/>
                <w:sz w:val="19"/>
                <w:szCs w:val="19"/>
                <w:lang w:val="en-US"/>
              </w:rPr>
              <w:t xml:space="preserve"> 1,647 </w:t>
            </w:r>
          </w:p>
        </w:tc>
        <w:tc>
          <w:tcPr>
            <w:tcW w:w="605" w:type="pct"/>
            <w:shd w:val="clear" w:color="auto" w:fill="auto"/>
          </w:tcPr>
          <w:p w14:paraId="22C76420" w14:textId="77777777" w:rsidR="00C46425" w:rsidRPr="00C46425" w:rsidRDefault="00C46425" w:rsidP="00C46425">
            <w:pPr>
              <w:spacing w:after="0" w:line="240" w:lineRule="auto"/>
              <w:jc w:val="right"/>
              <w:rPr>
                <w:rFonts w:ascii="Calibri" w:eastAsia="Calibri" w:hAnsi="Calibri" w:cs="Arial"/>
                <w:sz w:val="19"/>
                <w:szCs w:val="19"/>
                <w:lang w:val="en-GB"/>
              </w:rPr>
            </w:pPr>
            <w:r w:rsidRPr="00C46425">
              <w:rPr>
                <w:rFonts w:ascii="Calibri" w:eastAsia="Times New Roman" w:hAnsi="Calibri" w:cs="Times New Roman"/>
                <w:sz w:val="19"/>
                <w:szCs w:val="19"/>
                <w:lang w:val="en-US"/>
              </w:rPr>
              <w:t xml:space="preserve">  -     </w:t>
            </w:r>
          </w:p>
        </w:tc>
        <w:tc>
          <w:tcPr>
            <w:tcW w:w="638" w:type="pct"/>
            <w:shd w:val="clear" w:color="auto" w:fill="auto"/>
          </w:tcPr>
          <w:p w14:paraId="5658E070" w14:textId="77777777" w:rsidR="00C46425" w:rsidRPr="00C46425" w:rsidRDefault="00C46425" w:rsidP="00C46425">
            <w:pPr>
              <w:spacing w:after="0" w:line="240" w:lineRule="auto"/>
              <w:jc w:val="right"/>
              <w:rPr>
                <w:rFonts w:ascii="Calibri" w:eastAsia="Calibri" w:hAnsi="Calibri" w:cs="Arial"/>
                <w:sz w:val="19"/>
                <w:szCs w:val="19"/>
                <w:lang w:val="en-GB"/>
              </w:rPr>
            </w:pPr>
            <w:r w:rsidRPr="00C46425">
              <w:rPr>
                <w:rFonts w:ascii="Calibri" w:eastAsia="Times New Roman" w:hAnsi="Calibri" w:cs="Times New Roman"/>
                <w:sz w:val="19"/>
                <w:szCs w:val="19"/>
                <w:lang w:val="en-US"/>
              </w:rPr>
              <w:t xml:space="preserve"> 4,582 </w:t>
            </w:r>
          </w:p>
        </w:tc>
      </w:tr>
      <w:tr w:rsidR="00C46425" w:rsidRPr="00C46425" w14:paraId="2BF38FFE" w14:textId="77777777" w:rsidTr="00E44437">
        <w:trPr>
          <w:trHeight w:hRule="exact" w:val="241"/>
        </w:trPr>
        <w:tc>
          <w:tcPr>
            <w:tcW w:w="1814" w:type="pct"/>
            <w:vAlign w:val="bottom"/>
          </w:tcPr>
          <w:p w14:paraId="64C81ED3" w14:textId="77777777" w:rsidR="00C46425" w:rsidRPr="00C46425" w:rsidRDefault="00C46425" w:rsidP="00C46425">
            <w:pPr>
              <w:tabs>
                <w:tab w:val="right" w:pos="1202"/>
              </w:tabs>
              <w:spacing w:after="0" w:line="240" w:lineRule="auto"/>
              <w:outlineLvl w:val="0"/>
              <w:rPr>
                <w:rFonts w:ascii="Calibri" w:eastAsia="Calibri" w:hAnsi="Calibri" w:cs="Times New Roman"/>
                <w:sz w:val="19"/>
                <w:szCs w:val="19"/>
                <w:lang w:val="en-GB"/>
              </w:rPr>
            </w:pPr>
            <w:r w:rsidRPr="00C46425">
              <w:rPr>
                <w:rFonts w:ascii="Calibri" w:eastAsia="Calibri" w:hAnsi="Calibri" w:cs="Times New Roman"/>
                <w:sz w:val="19"/>
                <w:szCs w:val="19"/>
                <w:lang w:val="en-GB"/>
              </w:rPr>
              <w:t>Transfer to Stage 1</w:t>
            </w:r>
          </w:p>
        </w:tc>
        <w:tc>
          <w:tcPr>
            <w:tcW w:w="650" w:type="pct"/>
            <w:shd w:val="clear" w:color="auto" w:fill="auto"/>
            <w:vAlign w:val="bottom"/>
          </w:tcPr>
          <w:p w14:paraId="6C536F33" w14:textId="77777777" w:rsidR="00C46425" w:rsidRPr="00C46425" w:rsidRDefault="00C46425" w:rsidP="00C46425">
            <w:pPr>
              <w:spacing w:after="0" w:line="240" w:lineRule="auto"/>
              <w:jc w:val="right"/>
              <w:rPr>
                <w:rFonts w:ascii="Calibri" w:eastAsia="Times New Roman" w:hAnsi="Calibri" w:cs="Calibri"/>
                <w:sz w:val="19"/>
                <w:szCs w:val="19"/>
                <w:lang w:val="en-GB"/>
              </w:rPr>
            </w:pPr>
            <w:r w:rsidRPr="00C46425">
              <w:rPr>
                <w:rFonts w:ascii="Calibri" w:eastAsia="Calibri" w:hAnsi="Calibri" w:cs="Calibri"/>
                <w:color w:val="000000"/>
                <w:sz w:val="19"/>
                <w:szCs w:val="19"/>
              </w:rPr>
              <w:t>-</w:t>
            </w:r>
          </w:p>
        </w:tc>
        <w:tc>
          <w:tcPr>
            <w:tcW w:w="650" w:type="pct"/>
            <w:shd w:val="clear" w:color="auto" w:fill="auto"/>
            <w:vAlign w:val="bottom"/>
          </w:tcPr>
          <w:p w14:paraId="57DDDC9B" w14:textId="77777777" w:rsidR="00C46425" w:rsidRPr="00C46425" w:rsidRDefault="00C46425" w:rsidP="00C46425">
            <w:pPr>
              <w:spacing w:after="0" w:line="240" w:lineRule="auto"/>
              <w:jc w:val="right"/>
              <w:rPr>
                <w:rFonts w:ascii="Calibri" w:eastAsia="Calibri" w:hAnsi="Calibri" w:cs="Arial"/>
                <w:sz w:val="19"/>
                <w:szCs w:val="19"/>
                <w:lang w:val="en-GB"/>
              </w:rPr>
            </w:pPr>
            <w:r w:rsidRPr="00C46425">
              <w:rPr>
                <w:rFonts w:ascii="Calibri" w:eastAsia="Calibri" w:hAnsi="Calibri" w:cs="Calibri"/>
                <w:color w:val="000000"/>
                <w:sz w:val="19"/>
                <w:szCs w:val="19"/>
              </w:rPr>
              <w:t>-</w:t>
            </w:r>
          </w:p>
        </w:tc>
        <w:tc>
          <w:tcPr>
            <w:tcW w:w="643" w:type="pct"/>
            <w:shd w:val="clear" w:color="auto" w:fill="auto"/>
            <w:vAlign w:val="bottom"/>
          </w:tcPr>
          <w:p w14:paraId="7565017E" w14:textId="77777777" w:rsidR="00C46425" w:rsidRPr="00C46425" w:rsidRDefault="00C46425" w:rsidP="00C46425">
            <w:pPr>
              <w:spacing w:after="0" w:line="240" w:lineRule="auto"/>
              <w:jc w:val="right"/>
              <w:rPr>
                <w:rFonts w:ascii="Calibri" w:eastAsia="Calibri" w:hAnsi="Calibri" w:cs="Arial"/>
                <w:sz w:val="19"/>
                <w:szCs w:val="19"/>
                <w:lang w:val="en-GB"/>
              </w:rPr>
            </w:pPr>
            <w:r w:rsidRPr="00C46425">
              <w:rPr>
                <w:rFonts w:ascii="Calibri" w:eastAsia="Calibri" w:hAnsi="Calibri" w:cs="Calibri"/>
                <w:color w:val="000000"/>
                <w:sz w:val="19"/>
                <w:szCs w:val="19"/>
              </w:rPr>
              <w:t>-</w:t>
            </w:r>
          </w:p>
        </w:tc>
        <w:tc>
          <w:tcPr>
            <w:tcW w:w="605" w:type="pct"/>
            <w:shd w:val="clear" w:color="auto" w:fill="auto"/>
            <w:vAlign w:val="bottom"/>
          </w:tcPr>
          <w:p w14:paraId="3EF74126" w14:textId="77777777" w:rsidR="00C46425" w:rsidRPr="00C46425" w:rsidRDefault="00C46425" w:rsidP="00C46425">
            <w:pPr>
              <w:spacing w:after="0" w:line="240" w:lineRule="auto"/>
              <w:jc w:val="right"/>
              <w:rPr>
                <w:rFonts w:ascii="Calibri" w:eastAsia="Calibri" w:hAnsi="Calibri" w:cs="Arial"/>
                <w:sz w:val="19"/>
                <w:szCs w:val="19"/>
                <w:lang w:val="en-GB"/>
              </w:rPr>
            </w:pPr>
            <w:r w:rsidRPr="00C46425">
              <w:rPr>
                <w:rFonts w:ascii="Calibri" w:eastAsia="Calibri" w:hAnsi="Calibri" w:cs="Calibri"/>
                <w:color w:val="000000"/>
                <w:sz w:val="19"/>
                <w:szCs w:val="19"/>
              </w:rPr>
              <w:t>-</w:t>
            </w:r>
          </w:p>
        </w:tc>
        <w:tc>
          <w:tcPr>
            <w:tcW w:w="638" w:type="pct"/>
            <w:shd w:val="clear" w:color="auto" w:fill="auto"/>
            <w:vAlign w:val="bottom"/>
          </w:tcPr>
          <w:p w14:paraId="2E8B2ABE" w14:textId="77777777" w:rsidR="00C46425" w:rsidRPr="00C46425" w:rsidRDefault="00C46425" w:rsidP="00C46425">
            <w:pPr>
              <w:spacing w:after="0" w:line="240" w:lineRule="auto"/>
              <w:jc w:val="right"/>
              <w:rPr>
                <w:rFonts w:ascii="Calibri" w:eastAsia="Calibri" w:hAnsi="Calibri" w:cs="Arial"/>
                <w:sz w:val="19"/>
                <w:szCs w:val="19"/>
                <w:lang w:val="en-GB"/>
              </w:rPr>
            </w:pPr>
            <w:r w:rsidRPr="00C46425">
              <w:rPr>
                <w:rFonts w:ascii="Calibri" w:eastAsia="Calibri" w:hAnsi="Calibri" w:cs="Calibri"/>
                <w:color w:val="000000"/>
                <w:sz w:val="19"/>
                <w:szCs w:val="19"/>
              </w:rPr>
              <w:t>-</w:t>
            </w:r>
          </w:p>
        </w:tc>
      </w:tr>
      <w:tr w:rsidR="00C46425" w:rsidRPr="00C46425" w14:paraId="6460AE88" w14:textId="77777777" w:rsidTr="00E44437">
        <w:trPr>
          <w:trHeight w:hRule="exact" w:val="241"/>
        </w:trPr>
        <w:tc>
          <w:tcPr>
            <w:tcW w:w="1814" w:type="pct"/>
            <w:vAlign w:val="bottom"/>
          </w:tcPr>
          <w:p w14:paraId="39E7DC5D" w14:textId="77777777" w:rsidR="00C46425" w:rsidRPr="00C46425" w:rsidRDefault="00C46425" w:rsidP="00C46425">
            <w:pPr>
              <w:tabs>
                <w:tab w:val="right" w:pos="1202"/>
              </w:tabs>
              <w:spacing w:after="0" w:line="240" w:lineRule="auto"/>
              <w:outlineLvl w:val="0"/>
              <w:rPr>
                <w:rFonts w:ascii="Calibri" w:eastAsia="Calibri" w:hAnsi="Calibri" w:cs="Times New Roman"/>
                <w:sz w:val="19"/>
                <w:szCs w:val="19"/>
                <w:lang w:val="en-GB"/>
              </w:rPr>
            </w:pPr>
            <w:r w:rsidRPr="00C46425">
              <w:rPr>
                <w:rFonts w:ascii="Calibri" w:eastAsia="Calibri" w:hAnsi="Calibri" w:cs="Times New Roman"/>
                <w:sz w:val="19"/>
                <w:szCs w:val="19"/>
                <w:lang w:val="en-GB"/>
              </w:rPr>
              <w:t>Transfer to Stage 2</w:t>
            </w:r>
          </w:p>
        </w:tc>
        <w:tc>
          <w:tcPr>
            <w:tcW w:w="650" w:type="pct"/>
            <w:shd w:val="clear" w:color="auto" w:fill="auto"/>
            <w:vAlign w:val="bottom"/>
          </w:tcPr>
          <w:p w14:paraId="0EFDB481" w14:textId="77777777" w:rsidR="00C46425" w:rsidRPr="00C46425" w:rsidRDefault="00C46425" w:rsidP="00C46425">
            <w:pPr>
              <w:spacing w:after="0" w:line="240" w:lineRule="auto"/>
              <w:jc w:val="right"/>
              <w:rPr>
                <w:rFonts w:ascii="Calibri" w:eastAsia="Times New Roman" w:hAnsi="Calibri" w:cs="Calibri"/>
                <w:sz w:val="19"/>
                <w:szCs w:val="19"/>
                <w:lang w:val="en-GB"/>
              </w:rPr>
            </w:pPr>
            <w:r w:rsidRPr="00C46425">
              <w:rPr>
                <w:rFonts w:ascii="Calibri" w:eastAsia="Calibri" w:hAnsi="Calibri" w:cs="Calibri"/>
                <w:color w:val="000000"/>
                <w:sz w:val="19"/>
                <w:szCs w:val="19"/>
              </w:rPr>
              <w:t>-</w:t>
            </w:r>
          </w:p>
        </w:tc>
        <w:tc>
          <w:tcPr>
            <w:tcW w:w="650" w:type="pct"/>
            <w:shd w:val="clear" w:color="auto" w:fill="auto"/>
            <w:vAlign w:val="bottom"/>
          </w:tcPr>
          <w:p w14:paraId="36026EBD" w14:textId="77777777" w:rsidR="00C46425" w:rsidRPr="00C46425" w:rsidRDefault="00C46425" w:rsidP="00C46425">
            <w:pPr>
              <w:spacing w:after="0" w:line="240" w:lineRule="auto"/>
              <w:jc w:val="right"/>
              <w:rPr>
                <w:rFonts w:ascii="Calibri" w:eastAsia="Calibri" w:hAnsi="Calibri" w:cs="Arial"/>
                <w:sz w:val="19"/>
                <w:szCs w:val="19"/>
                <w:lang w:val="en-GB"/>
              </w:rPr>
            </w:pPr>
            <w:r w:rsidRPr="00C46425">
              <w:rPr>
                <w:rFonts w:ascii="Calibri" w:eastAsia="Calibri" w:hAnsi="Calibri" w:cs="Calibri"/>
                <w:color w:val="000000"/>
                <w:sz w:val="19"/>
                <w:szCs w:val="19"/>
              </w:rPr>
              <w:t>-</w:t>
            </w:r>
          </w:p>
        </w:tc>
        <w:tc>
          <w:tcPr>
            <w:tcW w:w="643" w:type="pct"/>
            <w:shd w:val="clear" w:color="auto" w:fill="auto"/>
            <w:vAlign w:val="bottom"/>
          </w:tcPr>
          <w:p w14:paraId="165F1324" w14:textId="77777777" w:rsidR="00C46425" w:rsidRPr="00C46425" w:rsidRDefault="00C46425" w:rsidP="00C46425">
            <w:pPr>
              <w:spacing w:after="0" w:line="240" w:lineRule="auto"/>
              <w:jc w:val="right"/>
              <w:rPr>
                <w:rFonts w:ascii="Calibri" w:eastAsia="Calibri" w:hAnsi="Calibri" w:cs="Arial"/>
                <w:sz w:val="19"/>
                <w:szCs w:val="19"/>
                <w:lang w:val="en-GB"/>
              </w:rPr>
            </w:pPr>
            <w:r w:rsidRPr="00C46425">
              <w:rPr>
                <w:rFonts w:ascii="Calibri" w:eastAsia="Calibri" w:hAnsi="Calibri" w:cs="Calibri"/>
                <w:color w:val="000000"/>
                <w:sz w:val="19"/>
                <w:szCs w:val="19"/>
              </w:rPr>
              <w:t>-</w:t>
            </w:r>
          </w:p>
        </w:tc>
        <w:tc>
          <w:tcPr>
            <w:tcW w:w="605" w:type="pct"/>
            <w:shd w:val="clear" w:color="auto" w:fill="auto"/>
            <w:vAlign w:val="bottom"/>
          </w:tcPr>
          <w:p w14:paraId="586E14AF" w14:textId="77777777" w:rsidR="00C46425" w:rsidRPr="00C46425" w:rsidRDefault="00C46425" w:rsidP="00C46425">
            <w:pPr>
              <w:spacing w:after="0" w:line="240" w:lineRule="auto"/>
              <w:jc w:val="right"/>
              <w:rPr>
                <w:rFonts w:ascii="Calibri" w:eastAsia="Calibri" w:hAnsi="Calibri" w:cs="Arial"/>
                <w:sz w:val="19"/>
                <w:szCs w:val="19"/>
                <w:lang w:val="en-GB"/>
              </w:rPr>
            </w:pPr>
            <w:r w:rsidRPr="00C46425">
              <w:rPr>
                <w:rFonts w:ascii="Calibri" w:eastAsia="Calibri" w:hAnsi="Calibri" w:cs="Calibri"/>
                <w:color w:val="000000"/>
                <w:sz w:val="19"/>
                <w:szCs w:val="19"/>
              </w:rPr>
              <w:t>-</w:t>
            </w:r>
          </w:p>
        </w:tc>
        <w:tc>
          <w:tcPr>
            <w:tcW w:w="638" w:type="pct"/>
            <w:shd w:val="clear" w:color="auto" w:fill="auto"/>
            <w:vAlign w:val="bottom"/>
          </w:tcPr>
          <w:p w14:paraId="121C57CA" w14:textId="77777777" w:rsidR="00C46425" w:rsidRPr="00C46425" w:rsidRDefault="00C46425" w:rsidP="00C46425">
            <w:pPr>
              <w:spacing w:after="0" w:line="240" w:lineRule="auto"/>
              <w:jc w:val="right"/>
              <w:rPr>
                <w:rFonts w:ascii="Calibri" w:eastAsia="Calibri" w:hAnsi="Calibri" w:cs="Arial"/>
                <w:sz w:val="19"/>
                <w:szCs w:val="19"/>
                <w:lang w:val="en-GB"/>
              </w:rPr>
            </w:pPr>
            <w:r w:rsidRPr="00C46425">
              <w:rPr>
                <w:rFonts w:ascii="Calibri" w:eastAsia="Calibri" w:hAnsi="Calibri" w:cs="Calibri"/>
                <w:color w:val="000000"/>
                <w:sz w:val="19"/>
                <w:szCs w:val="19"/>
              </w:rPr>
              <w:t>-</w:t>
            </w:r>
          </w:p>
        </w:tc>
      </w:tr>
      <w:tr w:rsidR="00C46425" w:rsidRPr="00C46425" w14:paraId="75EA8272" w14:textId="77777777" w:rsidTr="00E44437">
        <w:trPr>
          <w:trHeight w:hRule="exact" w:val="241"/>
        </w:trPr>
        <w:tc>
          <w:tcPr>
            <w:tcW w:w="1814" w:type="pct"/>
            <w:vAlign w:val="bottom"/>
          </w:tcPr>
          <w:p w14:paraId="6C14828D" w14:textId="77777777" w:rsidR="00C46425" w:rsidRPr="00C46425" w:rsidRDefault="00C46425" w:rsidP="00C46425">
            <w:pPr>
              <w:tabs>
                <w:tab w:val="right" w:pos="1202"/>
              </w:tabs>
              <w:spacing w:after="0" w:line="240" w:lineRule="auto"/>
              <w:outlineLvl w:val="0"/>
              <w:rPr>
                <w:rFonts w:ascii="Calibri" w:eastAsia="Calibri" w:hAnsi="Calibri" w:cs="Times New Roman"/>
                <w:sz w:val="19"/>
                <w:szCs w:val="19"/>
                <w:lang w:val="en-GB"/>
              </w:rPr>
            </w:pPr>
            <w:r w:rsidRPr="00C46425">
              <w:rPr>
                <w:rFonts w:ascii="Calibri" w:eastAsia="Calibri" w:hAnsi="Calibri" w:cs="Times New Roman"/>
                <w:sz w:val="19"/>
                <w:szCs w:val="19"/>
                <w:lang w:val="en-GB"/>
              </w:rPr>
              <w:t>Transfer to Stage 3</w:t>
            </w:r>
          </w:p>
        </w:tc>
        <w:tc>
          <w:tcPr>
            <w:tcW w:w="650" w:type="pct"/>
            <w:shd w:val="clear" w:color="auto" w:fill="auto"/>
            <w:vAlign w:val="bottom"/>
          </w:tcPr>
          <w:p w14:paraId="69E151AF" w14:textId="77777777" w:rsidR="00C46425" w:rsidRPr="00C46425" w:rsidRDefault="00C46425" w:rsidP="00C46425">
            <w:pPr>
              <w:spacing w:after="0" w:line="240" w:lineRule="auto"/>
              <w:jc w:val="right"/>
              <w:rPr>
                <w:rFonts w:ascii="Calibri" w:eastAsia="Times New Roman" w:hAnsi="Calibri" w:cs="Calibri"/>
                <w:sz w:val="19"/>
                <w:szCs w:val="19"/>
                <w:lang w:val="en-GB"/>
              </w:rPr>
            </w:pPr>
            <w:r w:rsidRPr="00C46425">
              <w:rPr>
                <w:rFonts w:ascii="Calibri" w:eastAsia="Calibri" w:hAnsi="Calibri" w:cs="Calibri"/>
                <w:color w:val="000000"/>
                <w:sz w:val="19"/>
                <w:szCs w:val="19"/>
              </w:rPr>
              <w:t>-</w:t>
            </w:r>
          </w:p>
        </w:tc>
        <w:tc>
          <w:tcPr>
            <w:tcW w:w="650" w:type="pct"/>
            <w:shd w:val="clear" w:color="auto" w:fill="auto"/>
            <w:vAlign w:val="bottom"/>
          </w:tcPr>
          <w:p w14:paraId="04078729" w14:textId="77777777" w:rsidR="00C46425" w:rsidRPr="00C46425" w:rsidRDefault="00C46425" w:rsidP="00C46425">
            <w:pPr>
              <w:spacing w:after="0" w:line="240" w:lineRule="auto"/>
              <w:jc w:val="right"/>
              <w:rPr>
                <w:rFonts w:ascii="Calibri" w:eastAsia="Calibri" w:hAnsi="Calibri" w:cs="Arial"/>
                <w:sz w:val="19"/>
                <w:szCs w:val="19"/>
                <w:lang w:val="en-GB"/>
              </w:rPr>
            </w:pPr>
            <w:r w:rsidRPr="00C46425">
              <w:rPr>
                <w:rFonts w:ascii="Calibri" w:eastAsia="Calibri" w:hAnsi="Calibri" w:cs="Calibri"/>
                <w:color w:val="000000"/>
                <w:sz w:val="19"/>
                <w:szCs w:val="19"/>
              </w:rPr>
              <w:t>-</w:t>
            </w:r>
          </w:p>
        </w:tc>
        <w:tc>
          <w:tcPr>
            <w:tcW w:w="643" w:type="pct"/>
            <w:shd w:val="clear" w:color="auto" w:fill="auto"/>
            <w:vAlign w:val="bottom"/>
          </w:tcPr>
          <w:p w14:paraId="2FD8E88B" w14:textId="77777777" w:rsidR="00C46425" w:rsidRPr="00C46425" w:rsidRDefault="00C46425" w:rsidP="00C46425">
            <w:pPr>
              <w:spacing w:after="0" w:line="240" w:lineRule="auto"/>
              <w:jc w:val="right"/>
              <w:rPr>
                <w:rFonts w:ascii="Calibri" w:eastAsia="Calibri" w:hAnsi="Calibri" w:cs="Arial"/>
                <w:sz w:val="19"/>
                <w:szCs w:val="19"/>
                <w:lang w:val="en-GB"/>
              </w:rPr>
            </w:pPr>
            <w:r w:rsidRPr="00C46425">
              <w:rPr>
                <w:rFonts w:ascii="Calibri" w:eastAsia="Calibri" w:hAnsi="Calibri" w:cs="Calibri"/>
                <w:color w:val="000000"/>
                <w:sz w:val="19"/>
                <w:szCs w:val="19"/>
              </w:rPr>
              <w:t>-</w:t>
            </w:r>
          </w:p>
        </w:tc>
        <w:tc>
          <w:tcPr>
            <w:tcW w:w="605" w:type="pct"/>
            <w:shd w:val="clear" w:color="auto" w:fill="auto"/>
            <w:vAlign w:val="bottom"/>
          </w:tcPr>
          <w:p w14:paraId="2F5DDC43" w14:textId="77777777" w:rsidR="00C46425" w:rsidRPr="00C46425" w:rsidRDefault="00C46425" w:rsidP="00C46425">
            <w:pPr>
              <w:spacing w:after="0" w:line="240" w:lineRule="auto"/>
              <w:jc w:val="right"/>
              <w:rPr>
                <w:rFonts w:ascii="Calibri" w:eastAsia="Calibri" w:hAnsi="Calibri" w:cs="Arial"/>
                <w:sz w:val="19"/>
                <w:szCs w:val="19"/>
                <w:lang w:val="en-GB"/>
              </w:rPr>
            </w:pPr>
            <w:r w:rsidRPr="00C46425">
              <w:rPr>
                <w:rFonts w:ascii="Calibri" w:eastAsia="Calibri" w:hAnsi="Calibri" w:cs="Calibri"/>
                <w:color w:val="000000"/>
                <w:sz w:val="19"/>
                <w:szCs w:val="19"/>
              </w:rPr>
              <w:t>-</w:t>
            </w:r>
          </w:p>
        </w:tc>
        <w:tc>
          <w:tcPr>
            <w:tcW w:w="638" w:type="pct"/>
            <w:shd w:val="clear" w:color="auto" w:fill="auto"/>
            <w:vAlign w:val="bottom"/>
          </w:tcPr>
          <w:p w14:paraId="3ED7BFEB" w14:textId="77777777" w:rsidR="00C46425" w:rsidRPr="00C46425" w:rsidRDefault="00C46425" w:rsidP="00C46425">
            <w:pPr>
              <w:spacing w:after="0" w:line="240" w:lineRule="auto"/>
              <w:jc w:val="right"/>
              <w:rPr>
                <w:rFonts w:ascii="Calibri" w:eastAsia="Calibri" w:hAnsi="Calibri" w:cs="Arial"/>
                <w:sz w:val="19"/>
                <w:szCs w:val="19"/>
                <w:lang w:val="en-GB"/>
              </w:rPr>
            </w:pPr>
            <w:r w:rsidRPr="00C46425">
              <w:rPr>
                <w:rFonts w:ascii="Calibri" w:eastAsia="Calibri" w:hAnsi="Calibri" w:cs="Calibri"/>
                <w:color w:val="000000"/>
                <w:sz w:val="19"/>
                <w:szCs w:val="19"/>
              </w:rPr>
              <w:t>-</w:t>
            </w:r>
          </w:p>
        </w:tc>
      </w:tr>
      <w:tr w:rsidR="00C46425" w:rsidRPr="00C46425" w14:paraId="56AAB739" w14:textId="77777777" w:rsidTr="00E44437">
        <w:trPr>
          <w:trHeight w:hRule="exact" w:val="241"/>
        </w:trPr>
        <w:tc>
          <w:tcPr>
            <w:tcW w:w="1814" w:type="pct"/>
            <w:vAlign w:val="bottom"/>
          </w:tcPr>
          <w:p w14:paraId="409B34B8" w14:textId="77777777" w:rsidR="00C46425" w:rsidRPr="00C46425" w:rsidRDefault="00C46425" w:rsidP="00C46425">
            <w:pPr>
              <w:tabs>
                <w:tab w:val="right" w:pos="1202"/>
              </w:tabs>
              <w:spacing w:after="0" w:line="240" w:lineRule="auto"/>
              <w:outlineLvl w:val="0"/>
              <w:rPr>
                <w:rFonts w:ascii="Calibri" w:eastAsia="Calibri" w:hAnsi="Calibri" w:cs="Times New Roman"/>
                <w:sz w:val="19"/>
                <w:szCs w:val="19"/>
                <w:lang w:val="en-GB"/>
              </w:rPr>
            </w:pPr>
            <w:r w:rsidRPr="00C46425">
              <w:rPr>
                <w:rFonts w:ascii="Calibri" w:eastAsia="Calibri" w:hAnsi="Calibri" w:cs="Times New Roman"/>
                <w:sz w:val="19"/>
                <w:szCs w:val="19"/>
                <w:lang w:val="en-GB"/>
              </w:rPr>
              <w:t>Net increase/(release) of loss allowance</w:t>
            </w:r>
          </w:p>
        </w:tc>
        <w:tc>
          <w:tcPr>
            <w:tcW w:w="650" w:type="pct"/>
            <w:tcBorders>
              <w:top w:val="nil"/>
              <w:left w:val="nil"/>
              <w:bottom w:val="nil"/>
              <w:right w:val="nil"/>
            </w:tcBorders>
            <w:shd w:val="clear" w:color="auto" w:fill="auto"/>
            <w:vAlign w:val="center"/>
          </w:tcPr>
          <w:p w14:paraId="1D424080" w14:textId="77777777" w:rsidR="00C46425" w:rsidRPr="00C46425" w:rsidRDefault="00C46425" w:rsidP="00C46425">
            <w:pPr>
              <w:spacing w:after="0" w:line="240" w:lineRule="auto"/>
              <w:jc w:val="right"/>
              <w:rPr>
                <w:rFonts w:ascii="Calibri" w:eastAsia="Calibri" w:hAnsi="Calibri" w:cs="Calibri"/>
                <w:color w:val="000000"/>
                <w:sz w:val="19"/>
                <w:szCs w:val="19"/>
              </w:rPr>
            </w:pPr>
            <w:r w:rsidRPr="00C46425">
              <w:rPr>
                <w:rFonts w:ascii="Calibri" w:eastAsia="Times New Roman" w:hAnsi="Calibri" w:cs="Times New Roman"/>
                <w:color w:val="000000"/>
                <w:sz w:val="19"/>
                <w:szCs w:val="19"/>
                <w:lang w:val="en-US"/>
              </w:rPr>
              <w:t xml:space="preserve">(118)             </w:t>
            </w:r>
            <w:proofErr w:type="gramStart"/>
            <w:r w:rsidRPr="00C46425">
              <w:rPr>
                <w:rFonts w:ascii="Calibri" w:eastAsia="Times New Roman" w:hAnsi="Calibri" w:cs="Times New Roman"/>
                <w:color w:val="000000"/>
                <w:sz w:val="19"/>
                <w:szCs w:val="19"/>
                <w:lang w:val="en-US"/>
              </w:rPr>
              <w:t xml:space="preserve">   (</w:t>
            </w:r>
            <w:proofErr w:type="gramEnd"/>
            <w:r w:rsidRPr="00C46425">
              <w:rPr>
                <w:rFonts w:ascii="Calibri" w:eastAsia="Times New Roman" w:hAnsi="Calibri" w:cs="Times New Roman"/>
                <w:color w:val="000000"/>
                <w:sz w:val="19"/>
                <w:szCs w:val="19"/>
                <w:lang w:val="en-US"/>
              </w:rPr>
              <w:t>118)</w:t>
            </w:r>
          </w:p>
        </w:tc>
        <w:tc>
          <w:tcPr>
            <w:tcW w:w="650" w:type="pct"/>
            <w:tcBorders>
              <w:top w:val="nil"/>
              <w:left w:val="nil"/>
              <w:bottom w:val="nil"/>
              <w:right w:val="nil"/>
            </w:tcBorders>
            <w:shd w:val="clear" w:color="auto" w:fill="auto"/>
            <w:vAlign w:val="center"/>
          </w:tcPr>
          <w:p w14:paraId="11B1372F" w14:textId="77777777" w:rsidR="00C46425" w:rsidRPr="00C46425" w:rsidRDefault="00C46425" w:rsidP="00C46425">
            <w:pPr>
              <w:spacing w:after="0" w:line="240" w:lineRule="auto"/>
              <w:jc w:val="right"/>
              <w:rPr>
                <w:rFonts w:ascii="Calibri" w:eastAsia="Calibri" w:hAnsi="Calibri" w:cs="Calibri"/>
                <w:color w:val="000000"/>
                <w:sz w:val="19"/>
                <w:szCs w:val="19"/>
              </w:rPr>
            </w:pPr>
            <w:r w:rsidRPr="00C46425">
              <w:rPr>
                <w:rFonts w:ascii="Calibri" w:eastAsia="Times New Roman" w:hAnsi="Calibri" w:cs="Times New Roman"/>
                <w:color w:val="000000"/>
                <w:sz w:val="19"/>
                <w:szCs w:val="19"/>
                <w:lang w:val="en-US"/>
              </w:rPr>
              <w:t xml:space="preserve">-                        - </w:t>
            </w:r>
          </w:p>
        </w:tc>
        <w:tc>
          <w:tcPr>
            <w:tcW w:w="643" w:type="pct"/>
            <w:tcBorders>
              <w:top w:val="nil"/>
              <w:left w:val="nil"/>
              <w:bottom w:val="nil"/>
              <w:right w:val="nil"/>
            </w:tcBorders>
            <w:shd w:val="clear" w:color="auto" w:fill="auto"/>
            <w:vAlign w:val="center"/>
          </w:tcPr>
          <w:p w14:paraId="569EC0E4" w14:textId="77777777" w:rsidR="00C46425" w:rsidRPr="00C46425" w:rsidRDefault="00C46425" w:rsidP="00C46425">
            <w:pPr>
              <w:spacing w:after="0" w:line="240" w:lineRule="auto"/>
              <w:jc w:val="right"/>
              <w:rPr>
                <w:rFonts w:ascii="Calibri" w:eastAsia="Calibri" w:hAnsi="Calibri" w:cs="Calibri"/>
                <w:color w:val="000000"/>
                <w:sz w:val="19"/>
                <w:szCs w:val="19"/>
              </w:rPr>
            </w:pPr>
            <w:r w:rsidRPr="00C46425">
              <w:rPr>
                <w:rFonts w:ascii="Calibri" w:eastAsia="Times New Roman" w:hAnsi="Calibri" w:cs="Times New Roman"/>
                <w:color w:val="000000"/>
                <w:sz w:val="19"/>
                <w:szCs w:val="19"/>
                <w:lang w:val="en-US"/>
              </w:rPr>
              <w:t xml:space="preserve">89                      89 </w:t>
            </w:r>
          </w:p>
        </w:tc>
        <w:tc>
          <w:tcPr>
            <w:tcW w:w="605" w:type="pct"/>
            <w:tcBorders>
              <w:top w:val="nil"/>
              <w:left w:val="nil"/>
              <w:bottom w:val="nil"/>
              <w:right w:val="nil"/>
            </w:tcBorders>
            <w:shd w:val="clear" w:color="auto" w:fill="auto"/>
            <w:vAlign w:val="center"/>
          </w:tcPr>
          <w:p w14:paraId="235ADB39" w14:textId="77777777" w:rsidR="00C46425" w:rsidRPr="00C46425" w:rsidRDefault="00C46425" w:rsidP="00C46425">
            <w:pPr>
              <w:spacing w:after="0" w:line="240" w:lineRule="auto"/>
              <w:jc w:val="right"/>
              <w:rPr>
                <w:rFonts w:ascii="Calibri" w:eastAsia="Calibri" w:hAnsi="Calibri" w:cs="Calibri"/>
                <w:color w:val="000000"/>
                <w:sz w:val="19"/>
                <w:szCs w:val="19"/>
              </w:rPr>
            </w:pPr>
            <w:r w:rsidRPr="00C46425">
              <w:rPr>
                <w:rFonts w:ascii="Calibri" w:eastAsia="Times New Roman" w:hAnsi="Calibri" w:cs="Times New Roman"/>
                <w:color w:val="000000"/>
                <w:sz w:val="19"/>
                <w:szCs w:val="19"/>
                <w:lang w:val="en-US"/>
              </w:rPr>
              <w:t xml:space="preserve">-                           - </w:t>
            </w:r>
          </w:p>
        </w:tc>
        <w:tc>
          <w:tcPr>
            <w:tcW w:w="638" w:type="pct"/>
            <w:tcBorders>
              <w:top w:val="nil"/>
              <w:left w:val="nil"/>
              <w:bottom w:val="nil"/>
              <w:right w:val="nil"/>
            </w:tcBorders>
            <w:shd w:val="clear" w:color="auto" w:fill="auto"/>
            <w:vAlign w:val="center"/>
          </w:tcPr>
          <w:p w14:paraId="6F98DEDD" w14:textId="77777777" w:rsidR="00C46425" w:rsidRPr="00C46425" w:rsidRDefault="00C46425" w:rsidP="00C46425">
            <w:pPr>
              <w:spacing w:after="0" w:line="240" w:lineRule="auto"/>
              <w:jc w:val="right"/>
              <w:rPr>
                <w:rFonts w:ascii="Calibri" w:eastAsia="Calibri" w:hAnsi="Calibri" w:cs="Calibri"/>
                <w:color w:val="000000"/>
                <w:sz w:val="19"/>
                <w:szCs w:val="19"/>
              </w:rPr>
            </w:pPr>
            <w:r w:rsidRPr="00C46425">
              <w:rPr>
                <w:rFonts w:ascii="Calibri" w:eastAsia="Times New Roman" w:hAnsi="Calibri" w:cs="Times New Roman"/>
                <w:color w:val="000000"/>
                <w:sz w:val="19"/>
                <w:szCs w:val="19"/>
                <w:lang w:val="en-US"/>
              </w:rPr>
              <w:t xml:space="preserve">(29)                     </w:t>
            </w:r>
            <w:proofErr w:type="gramStart"/>
            <w:r w:rsidRPr="00C46425">
              <w:rPr>
                <w:rFonts w:ascii="Calibri" w:eastAsia="Times New Roman" w:hAnsi="Calibri" w:cs="Times New Roman"/>
                <w:color w:val="000000"/>
                <w:sz w:val="19"/>
                <w:szCs w:val="19"/>
                <w:lang w:val="en-US"/>
              </w:rPr>
              <w:t xml:space="preserve">   (</w:t>
            </w:r>
            <w:proofErr w:type="gramEnd"/>
            <w:r w:rsidRPr="00C46425">
              <w:rPr>
                <w:rFonts w:ascii="Calibri" w:eastAsia="Times New Roman" w:hAnsi="Calibri" w:cs="Times New Roman"/>
                <w:color w:val="000000"/>
                <w:sz w:val="19"/>
                <w:szCs w:val="19"/>
                <w:lang w:val="en-US"/>
              </w:rPr>
              <w:t>29)</w:t>
            </w:r>
          </w:p>
        </w:tc>
      </w:tr>
      <w:tr w:rsidR="00C46425" w:rsidRPr="00C46425" w14:paraId="09A97E52" w14:textId="77777777" w:rsidTr="00620EB3">
        <w:trPr>
          <w:trHeight w:val="284"/>
        </w:trPr>
        <w:tc>
          <w:tcPr>
            <w:tcW w:w="1814" w:type="pct"/>
            <w:vAlign w:val="bottom"/>
          </w:tcPr>
          <w:p w14:paraId="6E43F81F" w14:textId="77777777" w:rsidR="00C46425" w:rsidRPr="00C46425" w:rsidRDefault="00C46425" w:rsidP="00C46425">
            <w:pPr>
              <w:spacing w:after="0" w:line="240" w:lineRule="auto"/>
              <w:rPr>
                <w:rFonts w:ascii="Calibri" w:eastAsia="Calibri" w:hAnsi="Calibri" w:cs="Times New Roman"/>
                <w:sz w:val="19"/>
                <w:szCs w:val="19"/>
                <w:lang w:val="en-GB"/>
              </w:rPr>
            </w:pPr>
            <w:r w:rsidRPr="00C46425">
              <w:rPr>
                <w:rFonts w:ascii="Calibri" w:eastAsia="Calibri" w:hAnsi="Calibri" w:cs="Times New Roman"/>
                <w:sz w:val="19"/>
                <w:szCs w:val="19"/>
                <w:lang w:val="en-GB"/>
              </w:rPr>
              <w:t>Net foreign exchange</w:t>
            </w:r>
            <w:r w:rsidRPr="00C46425">
              <w:rPr>
                <w:rFonts w:ascii="Times New Roman" w:eastAsia="Times New Roman" w:hAnsi="Times New Roman" w:cs="Times New Roman"/>
                <w:sz w:val="24"/>
                <w:szCs w:val="24"/>
                <w:lang w:val="en-US"/>
              </w:rPr>
              <w:t xml:space="preserve"> </w:t>
            </w:r>
            <w:r w:rsidRPr="00C46425">
              <w:rPr>
                <w:rFonts w:ascii="Calibri" w:eastAsia="Calibri" w:hAnsi="Calibri" w:cs="Times New Roman"/>
                <w:sz w:val="19"/>
                <w:szCs w:val="19"/>
                <w:lang w:val="en-GB"/>
              </w:rPr>
              <w:t>gain/loss on loss allowances</w:t>
            </w:r>
          </w:p>
        </w:tc>
        <w:tc>
          <w:tcPr>
            <w:tcW w:w="650" w:type="pct"/>
            <w:tcBorders>
              <w:top w:val="nil"/>
              <w:left w:val="nil"/>
              <w:bottom w:val="single" w:sz="4" w:space="0" w:color="auto"/>
              <w:right w:val="nil"/>
            </w:tcBorders>
            <w:shd w:val="clear" w:color="auto" w:fill="auto"/>
            <w:vAlign w:val="center"/>
          </w:tcPr>
          <w:p w14:paraId="4092A51D" w14:textId="77777777" w:rsidR="00C46425" w:rsidRPr="00C46425" w:rsidRDefault="00C46425" w:rsidP="00C46425">
            <w:pPr>
              <w:spacing w:after="0" w:line="240" w:lineRule="auto"/>
              <w:jc w:val="right"/>
              <w:rPr>
                <w:rFonts w:ascii="Calibri" w:eastAsia="Times New Roman" w:hAnsi="Calibri" w:cs="Calibri"/>
                <w:sz w:val="19"/>
                <w:szCs w:val="19"/>
                <w:lang w:val="en-GB"/>
              </w:rPr>
            </w:pPr>
            <w:r w:rsidRPr="00C46425">
              <w:rPr>
                <w:rFonts w:ascii="Calibri" w:eastAsia="Times New Roman" w:hAnsi="Calibri" w:cs="Times New Roman"/>
                <w:color w:val="000000"/>
                <w:sz w:val="19"/>
                <w:szCs w:val="19"/>
                <w:lang w:val="en-US"/>
              </w:rPr>
              <w:t xml:space="preserve">                     (3)</w:t>
            </w:r>
          </w:p>
        </w:tc>
        <w:tc>
          <w:tcPr>
            <w:tcW w:w="650" w:type="pct"/>
            <w:tcBorders>
              <w:top w:val="nil"/>
              <w:left w:val="nil"/>
              <w:bottom w:val="single" w:sz="4" w:space="0" w:color="auto"/>
              <w:right w:val="nil"/>
            </w:tcBorders>
            <w:shd w:val="clear" w:color="auto" w:fill="auto"/>
            <w:vAlign w:val="center"/>
          </w:tcPr>
          <w:p w14:paraId="54D51A15" w14:textId="77777777" w:rsidR="00C46425" w:rsidRPr="00C46425" w:rsidRDefault="00C46425" w:rsidP="00C46425">
            <w:pPr>
              <w:spacing w:after="0" w:line="240" w:lineRule="auto"/>
              <w:jc w:val="right"/>
              <w:rPr>
                <w:rFonts w:ascii="Calibri" w:eastAsia="Times New Roman" w:hAnsi="Calibri" w:cs="Calibri"/>
                <w:sz w:val="19"/>
                <w:szCs w:val="19"/>
                <w:lang w:val="en-GB"/>
              </w:rPr>
            </w:pPr>
            <w:r w:rsidRPr="00C46425">
              <w:rPr>
                <w:rFonts w:ascii="Calibri" w:eastAsia="Times New Roman" w:hAnsi="Calibri" w:cs="Times New Roman"/>
                <w:color w:val="000000"/>
                <w:sz w:val="19"/>
                <w:szCs w:val="19"/>
                <w:lang w:val="en-US"/>
              </w:rPr>
              <w:t xml:space="preserve">                        - </w:t>
            </w:r>
          </w:p>
        </w:tc>
        <w:tc>
          <w:tcPr>
            <w:tcW w:w="643" w:type="pct"/>
            <w:tcBorders>
              <w:top w:val="nil"/>
              <w:left w:val="nil"/>
              <w:bottom w:val="single" w:sz="4" w:space="0" w:color="auto"/>
              <w:right w:val="nil"/>
            </w:tcBorders>
            <w:shd w:val="clear" w:color="auto" w:fill="auto"/>
            <w:vAlign w:val="center"/>
          </w:tcPr>
          <w:p w14:paraId="0E567B96" w14:textId="77777777" w:rsidR="00C46425" w:rsidRPr="00C46425" w:rsidRDefault="00C46425" w:rsidP="00C46425">
            <w:pPr>
              <w:spacing w:after="0" w:line="240" w:lineRule="auto"/>
              <w:jc w:val="right"/>
              <w:rPr>
                <w:rFonts w:ascii="Calibri" w:eastAsia="Times New Roman" w:hAnsi="Calibri" w:cs="Calibri"/>
                <w:sz w:val="19"/>
                <w:szCs w:val="19"/>
                <w:lang w:val="en-GB"/>
              </w:rPr>
            </w:pPr>
            <w:r w:rsidRPr="00C46425">
              <w:rPr>
                <w:rFonts w:ascii="Calibri" w:eastAsia="Times New Roman" w:hAnsi="Calibri" w:cs="Times New Roman"/>
                <w:color w:val="000000"/>
                <w:sz w:val="19"/>
                <w:szCs w:val="19"/>
                <w:lang w:val="en-US"/>
              </w:rPr>
              <w:t xml:space="preserve">                       (5)</w:t>
            </w:r>
          </w:p>
        </w:tc>
        <w:tc>
          <w:tcPr>
            <w:tcW w:w="605" w:type="pct"/>
            <w:tcBorders>
              <w:top w:val="nil"/>
              <w:left w:val="nil"/>
              <w:bottom w:val="single" w:sz="4" w:space="0" w:color="auto"/>
              <w:right w:val="nil"/>
            </w:tcBorders>
            <w:shd w:val="clear" w:color="auto" w:fill="auto"/>
            <w:vAlign w:val="center"/>
          </w:tcPr>
          <w:p w14:paraId="26CFE8CF" w14:textId="77777777" w:rsidR="00C46425" w:rsidRPr="00C46425" w:rsidRDefault="00C46425" w:rsidP="00C46425">
            <w:pPr>
              <w:spacing w:after="0" w:line="240" w:lineRule="auto"/>
              <w:jc w:val="right"/>
              <w:rPr>
                <w:rFonts w:ascii="Calibri" w:eastAsia="Times New Roman" w:hAnsi="Calibri" w:cs="Calibri"/>
                <w:sz w:val="19"/>
                <w:szCs w:val="19"/>
                <w:lang w:val="en-GB"/>
              </w:rPr>
            </w:pPr>
            <w:r w:rsidRPr="00C46425">
              <w:rPr>
                <w:rFonts w:ascii="Calibri" w:eastAsia="Times New Roman" w:hAnsi="Calibri" w:cs="Times New Roman"/>
                <w:color w:val="000000"/>
                <w:sz w:val="19"/>
                <w:szCs w:val="19"/>
                <w:lang w:val="en-US"/>
              </w:rPr>
              <w:t xml:space="preserve">                            - </w:t>
            </w:r>
          </w:p>
        </w:tc>
        <w:tc>
          <w:tcPr>
            <w:tcW w:w="638" w:type="pct"/>
            <w:tcBorders>
              <w:top w:val="nil"/>
              <w:left w:val="nil"/>
              <w:bottom w:val="single" w:sz="4" w:space="0" w:color="auto"/>
              <w:right w:val="nil"/>
            </w:tcBorders>
            <w:shd w:val="clear" w:color="auto" w:fill="auto"/>
            <w:vAlign w:val="center"/>
          </w:tcPr>
          <w:p w14:paraId="11231356" w14:textId="77777777" w:rsidR="00C46425" w:rsidRPr="00C46425" w:rsidRDefault="00C46425" w:rsidP="00C46425">
            <w:pPr>
              <w:spacing w:after="0" w:line="240" w:lineRule="auto"/>
              <w:jc w:val="right"/>
              <w:rPr>
                <w:rFonts w:ascii="Calibri" w:eastAsia="Times New Roman" w:hAnsi="Calibri" w:cs="Calibri"/>
                <w:sz w:val="19"/>
                <w:szCs w:val="19"/>
                <w:lang w:val="en-GB"/>
              </w:rPr>
            </w:pPr>
            <w:r w:rsidRPr="00C46425">
              <w:rPr>
                <w:rFonts w:ascii="Calibri" w:eastAsia="Times New Roman" w:hAnsi="Calibri" w:cs="Times New Roman"/>
                <w:color w:val="000000"/>
                <w:sz w:val="19"/>
                <w:szCs w:val="19"/>
                <w:lang w:val="en-US"/>
              </w:rPr>
              <w:t xml:space="preserve">                           (8)</w:t>
            </w:r>
          </w:p>
        </w:tc>
      </w:tr>
      <w:tr w:rsidR="00C46425" w:rsidRPr="00C46425" w14:paraId="1F20ACE3" w14:textId="77777777" w:rsidTr="00620EB3">
        <w:trPr>
          <w:trHeight w:val="230"/>
        </w:trPr>
        <w:tc>
          <w:tcPr>
            <w:tcW w:w="1814" w:type="pct"/>
            <w:vAlign w:val="bottom"/>
          </w:tcPr>
          <w:p w14:paraId="465FCC7B" w14:textId="77777777" w:rsidR="00C46425" w:rsidRPr="00C46425" w:rsidRDefault="00C46425" w:rsidP="00C46425">
            <w:pPr>
              <w:tabs>
                <w:tab w:val="right" w:pos="1202"/>
              </w:tabs>
              <w:spacing w:after="0" w:line="301" w:lineRule="exact"/>
              <w:outlineLvl w:val="0"/>
              <w:rPr>
                <w:rFonts w:ascii="Calibri" w:eastAsia="Calibri" w:hAnsi="Calibri" w:cs="Arial"/>
                <w:b/>
                <w:bCs/>
                <w:sz w:val="19"/>
                <w:szCs w:val="19"/>
                <w:lang w:val="en-GB"/>
              </w:rPr>
            </w:pPr>
            <w:r w:rsidRPr="00C46425">
              <w:rPr>
                <w:rFonts w:ascii="Calibri" w:eastAsia="Calibri" w:hAnsi="Calibri" w:cs="Arial"/>
                <w:b/>
                <w:bCs/>
                <w:sz w:val="19"/>
                <w:szCs w:val="19"/>
                <w:lang w:val="en-GB"/>
              </w:rPr>
              <w:t xml:space="preserve">Balance </w:t>
            </w:r>
            <w:proofErr w:type="gramStart"/>
            <w:r w:rsidRPr="00C46425">
              <w:rPr>
                <w:rFonts w:ascii="Calibri" w:eastAsia="Calibri" w:hAnsi="Calibri" w:cs="Arial"/>
                <w:b/>
                <w:bCs/>
                <w:sz w:val="19"/>
                <w:szCs w:val="19"/>
                <w:lang w:val="en-GB"/>
              </w:rPr>
              <w:t>at</w:t>
            </w:r>
            <w:proofErr w:type="gramEnd"/>
            <w:r w:rsidRPr="00C46425">
              <w:rPr>
                <w:rFonts w:ascii="Calibri" w:eastAsia="Calibri" w:hAnsi="Calibri" w:cs="Arial"/>
                <w:b/>
                <w:bCs/>
                <w:sz w:val="19"/>
                <w:szCs w:val="19"/>
                <w:lang w:val="en-GB"/>
              </w:rPr>
              <w:t xml:space="preserve"> 31 December 2021</w:t>
            </w:r>
          </w:p>
        </w:tc>
        <w:tc>
          <w:tcPr>
            <w:tcW w:w="650" w:type="pct"/>
            <w:tcBorders>
              <w:top w:val="single" w:sz="4" w:space="0" w:color="auto"/>
              <w:left w:val="nil"/>
              <w:bottom w:val="single" w:sz="12" w:space="0" w:color="auto"/>
              <w:right w:val="nil"/>
            </w:tcBorders>
            <w:shd w:val="clear" w:color="auto" w:fill="auto"/>
            <w:vAlign w:val="bottom"/>
          </w:tcPr>
          <w:p w14:paraId="64346977" w14:textId="1BE72A49" w:rsidR="00C46425" w:rsidRPr="00C46425" w:rsidRDefault="00C46425" w:rsidP="00C46425">
            <w:pPr>
              <w:tabs>
                <w:tab w:val="right" w:pos="1202"/>
              </w:tabs>
              <w:spacing w:after="0" w:line="301" w:lineRule="exact"/>
              <w:jc w:val="right"/>
              <w:outlineLvl w:val="0"/>
              <w:rPr>
                <w:rFonts w:ascii="Calibri" w:eastAsia="Times New Roman" w:hAnsi="Calibri" w:cs="Times New Roman"/>
                <w:b/>
                <w:bCs/>
                <w:color w:val="000000"/>
                <w:sz w:val="19"/>
                <w:szCs w:val="19"/>
                <w:lang w:val="en-US"/>
              </w:rPr>
            </w:pPr>
            <w:r w:rsidRPr="00C46425">
              <w:rPr>
                <w:rFonts w:ascii="Calibri" w:eastAsia="Times New Roman" w:hAnsi="Calibri" w:cs="Times New Roman"/>
                <w:b/>
                <w:bCs/>
                <w:color w:val="000000"/>
                <w:sz w:val="19"/>
                <w:szCs w:val="19"/>
                <w:lang w:val="en-US"/>
              </w:rPr>
              <w:t xml:space="preserve"> 2,8</w:t>
            </w:r>
            <w:r w:rsidR="000779A7">
              <w:rPr>
                <w:rFonts w:ascii="Calibri" w:eastAsia="Times New Roman" w:hAnsi="Calibri" w:cs="Times New Roman"/>
                <w:b/>
                <w:bCs/>
                <w:color w:val="000000"/>
                <w:sz w:val="19"/>
                <w:szCs w:val="19"/>
                <w:lang w:val="en-US"/>
              </w:rPr>
              <w:t>14</w:t>
            </w:r>
            <w:r w:rsidRPr="00C46425">
              <w:rPr>
                <w:rFonts w:ascii="Calibri" w:eastAsia="Times New Roman" w:hAnsi="Calibri" w:cs="Times New Roman"/>
                <w:b/>
                <w:bCs/>
                <w:color w:val="000000"/>
                <w:sz w:val="19"/>
                <w:szCs w:val="19"/>
                <w:lang w:val="en-US"/>
              </w:rPr>
              <w:t xml:space="preserve"> </w:t>
            </w:r>
          </w:p>
        </w:tc>
        <w:tc>
          <w:tcPr>
            <w:tcW w:w="650" w:type="pct"/>
            <w:tcBorders>
              <w:top w:val="single" w:sz="4" w:space="0" w:color="auto"/>
              <w:left w:val="nil"/>
              <w:bottom w:val="single" w:sz="12" w:space="0" w:color="auto"/>
              <w:right w:val="nil"/>
            </w:tcBorders>
            <w:shd w:val="clear" w:color="auto" w:fill="auto"/>
            <w:vAlign w:val="bottom"/>
          </w:tcPr>
          <w:p w14:paraId="49BEF1D1" w14:textId="77777777" w:rsidR="00C46425" w:rsidRPr="00C46425" w:rsidRDefault="00C46425" w:rsidP="00C46425">
            <w:pPr>
              <w:tabs>
                <w:tab w:val="right" w:pos="1202"/>
              </w:tabs>
              <w:spacing w:after="0" w:line="301" w:lineRule="exact"/>
              <w:jc w:val="right"/>
              <w:outlineLvl w:val="0"/>
              <w:rPr>
                <w:rFonts w:ascii="Calibri" w:eastAsia="Times New Roman" w:hAnsi="Calibri" w:cs="Times New Roman"/>
                <w:b/>
                <w:bCs/>
                <w:color w:val="000000"/>
                <w:sz w:val="19"/>
                <w:szCs w:val="19"/>
                <w:lang w:val="en-US"/>
              </w:rPr>
            </w:pPr>
            <w:r w:rsidRPr="00C46425">
              <w:rPr>
                <w:rFonts w:ascii="Calibri" w:eastAsia="Times New Roman" w:hAnsi="Calibri" w:cs="Times New Roman"/>
                <w:b/>
                <w:bCs/>
                <w:color w:val="000000"/>
                <w:sz w:val="19"/>
                <w:szCs w:val="19"/>
                <w:lang w:val="en-US"/>
              </w:rPr>
              <w:t xml:space="preserve"> - </w:t>
            </w:r>
          </w:p>
        </w:tc>
        <w:tc>
          <w:tcPr>
            <w:tcW w:w="643" w:type="pct"/>
            <w:tcBorders>
              <w:top w:val="single" w:sz="4" w:space="0" w:color="auto"/>
              <w:left w:val="nil"/>
              <w:bottom w:val="single" w:sz="12" w:space="0" w:color="auto"/>
              <w:right w:val="nil"/>
            </w:tcBorders>
            <w:shd w:val="clear" w:color="auto" w:fill="auto"/>
            <w:vAlign w:val="bottom"/>
          </w:tcPr>
          <w:p w14:paraId="3D4FB4DE" w14:textId="77777777" w:rsidR="00C46425" w:rsidRPr="00C46425" w:rsidRDefault="00C46425" w:rsidP="00C46425">
            <w:pPr>
              <w:tabs>
                <w:tab w:val="right" w:pos="1202"/>
              </w:tabs>
              <w:spacing w:after="0" w:line="301" w:lineRule="exact"/>
              <w:jc w:val="right"/>
              <w:outlineLvl w:val="0"/>
              <w:rPr>
                <w:rFonts w:ascii="Calibri" w:eastAsia="Times New Roman" w:hAnsi="Calibri" w:cs="Times New Roman"/>
                <w:b/>
                <w:bCs/>
                <w:color w:val="000000"/>
                <w:sz w:val="19"/>
                <w:szCs w:val="19"/>
                <w:lang w:val="en-US"/>
              </w:rPr>
            </w:pPr>
            <w:r w:rsidRPr="00C46425">
              <w:rPr>
                <w:rFonts w:ascii="Calibri" w:eastAsia="Times New Roman" w:hAnsi="Calibri" w:cs="Times New Roman"/>
                <w:b/>
                <w:bCs/>
                <w:color w:val="000000"/>
                <w:sz w:val="19"/>
                <w:szCs w:val="19"/>
                <w:lang w:val="en-US"/>
              </w:rPr>
              <w:t xml:space="preserve"> 1,731 </w:t>
            </w:r>
          </w:p>
        </w:tc>
        <w:tc>
          <w:tcPr>
            <w:tcW w:w="605" w:type="pct"/>
            <w:tcBorders>
              <w:top w:val="single" w:sz="4" w:space="0" w:color="auto"/>
              <w:left w:val="nil"/>
              <w:bottom w:val="single" w:sz="12" w:space="0" w:color="auto"/>
              <w:right w:val="nil"/>
            </w:tcBorders>
            <w:shd w:val="clear" w:color="auto" w:fill="auto"/>
            <w:vAlign w:val="bottom"/>
          </w:tcPr>
          <w:p w14:paraId="35DA8F9A" w14:textId="77777777" w:rsidR="00C46425" w:rsidRPr="00C46425" w:rsidRDefault="00C46425" w:rsidP="00C46425">
            <w:pPr>
              <w:tabs>
                <w:tab w:val="right" w:pos="1202"/>
              </w:tabs>
              <w:spacing w:after="0" w:line="301" w:lineRule="exact"/>
              <w:jc w:val="right"/>
              <w:outlineLvl w:val="0"/>
              <w:rPr>
                <w:rFonts w:ascii="Calibri" w:eastAsia="Times New Roman" w:hAnsi="Calibri" w:cs="Times New Roman"/>
                <w:b/>
                <w:bCs/>
                <w:color w:val="000000"/>
                <w:sz w:val="19"/>
                <w:szCs w:val="19"/>
                <w:lang w:val="en-US"/>
              </w:rPr>
            </w:pPr>
            <w:r w:rsidRPr="00C46425">
              <w:rPr>
                <w:rFonts w:ascii="Calibri" w:eastAsia="Times New Roman" w:hAnsi="Calibri" w:cs="Times New Roman"/>
                <w:b/>
                <w:bCs/>
                <w:color w:val="000000"/>
                <w:sz w:val="19"/>
                <w:szCs w:val="19"/>
                <w:lang w:val="en-US"/>
              </w:rPr>
              <w:t xml:space="preserve"> - </w:t>
            </w:r>
          </w:p>
        </w:tc>
        <w:tc>
          <w:tcPr>
            <w:tcW w:w="638" w:type="pct"/>
            <w:tcBorders>
              <w:top w:val="single" w:sz="4" w:space="0" w:color="auto"/>
              <w:left w:val="nil"/>
              <w:bottom w:val="single" w:sz="12" w:space="0" w:color="auto"/>
              <w:right w:val="nil"/>
            </w:tcBorders>
            <w:shd w:val="clear" w:color="auto" w:fill="auto"/>
            <w:vAlign w:val="bottom"/>
          </w:tcPr>
          <w:p w14:paraId="1CC3D074" w14:textId="77777777" w:rsidR="00C46425" w:rsidRPr="00C46425" w:rsidRDefault="00C46425" w:rsidP="00C46425">
            <w:pPr>
              <w:tabs>
                <w:tab w:val="right" w:pos="1202"/>
              </w:tabs>
              <w:spacing w:after="0" w:line="301" w:lineRule="exact"/>
              <w:jc w:val="right"/>
              <w:outlineLvl w:val="0"/>
              <w:rPr>
                <w:rFonts w:ascii="Calibri" w:eastAsia="Times New Roman" w:hAnsi="Calibri" w:cs="Times New Roman"/>
                <w:b/>
                <w:bCs/>
                <w:color w:val="000000"/>
                <w:sz w:val="19"/>
                <w:szCs w:val="19"/>
                <w:lang w:val="en-US"/>
              </w:rPr>
            </w:pPr>
            <w:r w:rsidRPr="00C46425">
              <w:rPr>
                <w:rFonts w:ascii="Calibri" w:eastAsia="Times New Roman" w:hAnsi="Calibri" w:cs="Times New Roman"/>
                <w:b/>
                <w:bCs/>
                <w:color w:val="000000"/>
                <w:sz w:val="19"/>
                <w:szCs w:val="19"/>
                <w:lang w:val="en-US"/>
              </w:rPr>
              <w:t xml:space="preserve"> 4,545 </w:t>
            </w:r>
          </w:p>
        </w:tc>
      </w:tr>
    </w:tbl>
    <w:p w14:paraId="7537C8E1" w14:textId="77777777" w:rsidR="004A287E" w:rsidRPr="00537128" w:rsidRDefault="004A287E" w:rsidP="00024090">
      <w:pPr>
        <w:spacing w:after="0" w:line="240" w:lineRule="auto"/>
        <w:rPr>
          <w:rFonts w:ascii="Calibri" w:eastAsia="Calibri" w:hAnsi="Calibri" w:cs="Times New Roman"/>
          <w:noProof/>
          <w:color w:val="000000" w:themeColor="text1"/>
          <w:lang w:val="en-US"/>
        </w:rPr>
      </w:pPr>
    </w:p>
    <w:p w14:paraId="4027301B" w14:textId="77777777" w:rsidR="0010024A" w:rsidRPr="00537128" w:rsidRDefault="0010024A" w:rsidP="00024090">
      <w:pPr>
        <w:spacing w:after="0" w:line="240" w:lineRule="auto"/>
        <w:rPr>
          <w:rFonts w:ascii="Calibri" w:eastAsia="Calibri" w:hAnsi="Calibri" w:cs="Times New Roman"/>
          <w:noProof/>
          <w:color w:val="000000" w:themeColor="text1"/>
          <w:lang w:val="en-US"/>
        </w:rPr>
      </w:pPr>
    </w:p>
    <w:p w14:paraId="3A6D4F21" w14:textId="77777777" w:rsidR="00024090" w:rsidRPr="00537128" w:rsidRDefault="00024090" w:rsidP="00024090">
      <w:pPr>
        <w:spacing w:after="0" w:line="240" w:lineRule="auto"/>
        <w:rPr>
          <w:rFonts w:ascii="Calibri" w:eastAsia="Calibri" w:hAnsi="Calibri" w:cs="Times New Roman"/>
          <w:noProof/>
          <w:color w:val="000000" w:themeColor="text1"/>
          <w:lang w:val="en-US"/>
        </w:rPr>
        <w:sectPr w:rsidR="00024090" w:rsidRPr="00537128" w:rsidSect="00712478">
          <w:pgSz w:w="11906" w:h="16838"/>
          <w:pgMar w:top="1418" w:right="1134" w:bottom="1418" w:left="1418" w:header="709" w:footer="709" w:gutter="0"/>
          <w:cols w:space="708"/>
          <w:docGrid w:linePitch="360"/>
        </w:sectPr>
      </w:pPr>
    </w:p>
    <w:p w14:paraId="0E817E3B" w14:textId="77777777" w:rsidR="00024090" w:rsidRPr="00537128" w:rsidRDefault="00024090" w:rsidP="00024090">
      <w:pPr>
        <w:spacing w:after="0" w:line="240" w:lineRule="auto"/>
        <w:jc w:val="both"/>
        <w:rPr>
          <w:rFonts w:ascii="Calibri" w:eastAsia="Calibri" w:hAnsi="Calibri" w:cs="Arial"/>
          <w:b/>
          <w:bCs/>
          <w:color w:val="000000" w:themeColor="text1"/>
          <w:sz w:val="16"/>
          <w:szCs w:val="16"/>
          <w:lang w:val="en-US"/>
        </w:rPr>
      </w:pPr>
    </w:p>
    <w:p w14:paraId="18D45DBA" w14:textId="57B00001" w:rsidR="00024090" w:rsidRPr="00537128" w:rsidRDefault="00B357CE" w:rsidP="00024090">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024090" w:rsidRPr="00537128">
        <w:rPr>
          <w:rFonts w:ascii="Calibri" w:eastAsia="Calibri" w:hAnsi="Calibri" w:cs="Arial"/>
          <w:b/>
          <w:bCs/>
          <w:color w:val="000000" w:themeColor="text1"/>
          <w:lang w:val="en-US"/>
        </w:rPr>
        <w:t>.</w:t>
      </w:r>
      <w:r w:rsidR="00024090" w:rsidRPr="00537128">
        <w:rPr>
          <w:rFonts w:ascii="Calibri" w:eastAsia="Calibri" w:hAnsi="Calibri" w:cs="Arial"/>
          <w:b/>
          <w:bCs/>
          <w:color w:val="000000" w:themeColor="text1"/>
          <w:lang w:val="en-US"/>
        </w:rPr>
        <w:tab/>
        <w:t>Risk management (continued)</w:t>
      </w:r>
    </w:p>
    <w:p w14:paraId="261C5634" w14:textId="77777777" w:rsidR="00024090" w:rsidRPr="00537128" w:rsidRDefault="00024090" w:rsidP="00024090">
      <w:pPr>
        <w:spacing w:after="0" w:line="240" w:lineRule="auto"/>
        <w:jc w:val="both"/>
        <w:rPr>
          <w:rFonts w:ascii="Calibri" w:eastAsia="Times New Roman" w:hAnsi="Calibri" w:cs="Times New Roman"/>
          <w:b/>
          <w:color w:val="000000" w:themeColor="text1"/>
          <w:sz w:val="16"/>
          <w:szCs w:val="16"/>
          <w:lang w:val="en-US"/>
        </w:rPr>
      </w:pPr>
    </w:p>
    <w:p w14:paraId="2823D41F" w14:textId="15FCFFD5" w:rsidR="00024090" w:rsidRPr="00537128" w:rsidRDefault="00B357CE" w:rsidP="00024090">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024090" w:rsidRPr="00537128">
        <w:rPr>
          <w:rFonts w:ascii="Calibri" w:eastAsia="Times New Roman" w:hAnsi="Calibri" w:cs="Times New Roman"/>
          <w:b/>
          <w:color w:val="000000" w:themeColor="text1"/>
          <w:lang w:val="en-US"/>
        </w:rPr>
        <w:t xml:space="preserve"> </w:t>
      </w:r>
      <w:r w:rsidR="00024090" w:rsidRPr="00537128">
        <w:rPr>
          <w:rFonts w:ascii="Calibri" w:eastAsia="Times New Roman" w:hAnsi="Calibri" w:cs="Times New Roman"/>
          <w:b/>
          <w:color w:val="000000" w:themeColor="text1"/>
          <w:lang w:val="en-US"/>
        </w:rPr>
        <w:tab/>
        <w:t>Credit risk (continued)</w:t>
      </w:r>
    </w:p>
    <w:p w14:paraId="018D6AD4" w14:textId="77777777" w:rsidR="00024090" w:rsidRPr="00537128" w:rsidRDefault="00024090" w:rsidP="00024090">
      <w:pPr>
        <w:spacing w:after="0" w:line="240" w:lineRule="auto"/>
        <w:jc w:val="both"/>
        <w:rPr>
          <w:rFonts w:ascii="Calibri" w:eastAsia="Calibri" w:hAnsi="Calibri" w:cs="Arial"/>
          <w:b/>
          <w:bCs/>
          <w:i/>
          <w:color w:val="000000" w:themeColor="text1"/>
          <w:sz w:val="16"/>
          <w:szCs w:val="16"/>
          <w:lang w:val="en-US"/>
        </w:rPr>
      </w:pPr>
    </w:p>
    <w:p w14:paraId="2947F805" w14:textId="5D7FDCD9" w:rsidR="00024090" w:rsidRPr="00537128" w:rsidRDefault="00024090" w:rsidP="00824E0F">
      <w:pPr>
        <w:numPr>
          <w:ilvl w:val="8"/>
          <w:numId w:val="49"/>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r w:rsidR="00685DB2">
        <w:rPr>
          <w:rFonts w:ascii="Calibri" w:eastAsia="Calibri" w:hAnsi="Calibri" w:cs="Arial"/>
          <w:bCs/>
          <w:i/>
          <w:color w:val="000000" w:themeColor="text1"/>
          <w:lang w:val="en-US"/>
        </w:rPr>
        <w:t xml:space="preserve"> (continued)</w:t>
      </w:r>
    </w:p>
    <w:p w14:paraId="4902A9B7" w14:textId="77777777" w:rsidR="00024090" w:rsidRPr="00537128" w:rsidRDefault="00024090" w:rsidP="00024090">
      <w:pPr>
        <w:spacing w:after="0" w:line="240" w:lineRule="auto"/>
        <w:jc w:val="both"/>
        <w:rPr>
          <w:rFonts w:ascii="Calibri" w:eastAsia="Calibri" w:hAnsi="Calibri" w:cs="Arial"/>
          <w:b/>
          <w:bCs/>
          <w:i/>
          <w:color w:val="000000" w:themeColor="text1"/>
          <w:lang w:val="en-US"/>
        </w:rPr>
      </w:pPr>
    </w:p>
    <w:p w14:paraId="0635A4EB" w14:textId="77777777" w:rsidR="00024090" w:rsidRPr="00537128" w:rsidRDefault="00024090" w:rsidP="00024090">
      <w:pPr>
        <w:spacing w:after="120" w:line="240" w:lineRule="auto"/>
        <w:jc w:val="both"/>
        <w:rPr>
          <w:rFonts w:ascii="Calibri" w:eastAsia="Times New Roman" w:hAnsi="Calibri" w:cs="Times New Roman"/>
          <w:b/>
          <w:bCs/>
          <w:color w:val="000000" w:themeColor="text1"/>
          <w:lang w:val="en-US"/>
        </w:rPr>
      </w:pPr>
      <w:r w:rsidRPr="00537128">
        <w:rPr>
          <w:rFonts w:ascii="Calibri" w:eastAsia="Times New Roman" w:hAnsi="Calibri" w:cs="Times New Roman"/>
          <w:b/>
          <w:bCs/>
          <w:color w:val="000000" w:themeColor="text1"/>
          <w:lang w:val="en-US"/>
        </w:rPr>
        <w:t>Financial assets at fair value through other comprehensive income</w:t>
      </w:r>
    </w:p>
    <w:p w14:paraId="249F5EB1" w14:textId="77777777" w:rsidR="00024090" w:rsidRPr="00537128" w:rsidRDefault="00024090"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A287E" w:rsidRPr="00537128" w14:paraId="408A37C9" w14:textId="77777777" w:rsidTr="004A287E">
        <w:trPr>
          <w:trHeight w:val="153"/>
        </w:trPr>
        <w:tc>
          <w:tcPr>
            <w:tcW w:w="1814" w:type="pct"/>
          </w:tcPr>
          <w:p w14:paraId="0F24A7C3" w14:textId="77777777" w:rsidR="004A287E" w:rsidRPr="00537128" w:rsidRDefault="004A287E" w:rsidP="004A287E">
            <w:pPr>
              <w:spacing w:after="0" w:line="240" w:lineRule="auto"/>
              <w:rPr>
                <w:rFonts w:ascii="Calibri" w:eastAsia="Calibri" w:hAnsi="Calibri" w:cs="Arial"/>
                <w:b/>
                <w:bCs/>
                <w:sz w:val="19"/>
                <w:szCs w:val="19"/>
                <w:lang w:val="en-US"/>
              </w:rPr>
            </w:pPr>
            <w:r w:rsidRPr="00537128">
              <w:rPr>
                <w:rFonts w:ascii="Calibri" w:eastAsia="Calibri" w:hAnsi="Calibri" w:cs="Arial"/>
                <w:b/>
                <w:bCs/>
                <w:sz w:val="19"/>
                <w:szCs w:val="19"/>
                <w:lang w:val="en-US"/>
              </w:rPr>
              <w:br w:type="page"/>
              <w:t>Bank</w:t>
            </w:r>
          </w:p>
        </w:tc>
        <w:tc>
          <w:tcPr>
            <w:tcW w:w="3186" w:type="pct"/>
            <w:gridSpan w:val="5"/>
            <w:vAlign w:val="bottom"/>
          </w:tcPr>
          <w:p w14:paraId="0C44A568" w14:textId="77777777" w:rsidR="004A287E" w:rsidRPr="00537128" w:rsidRDefault="004A287E" w:rsidP="004A287E">
            <w:pPr>
              <w:spacing w:after="0" w:line="240" w:lineRule="auto"/>
              <w:jc w:val="center"/>
              <w:rPr>
                <w:rFonts w:ascii="Calibri" w:eastAsia="Calibri" w:hAnsi="Calibri" w:cs="Arial"/>
                <w:b/>
                <w:sz w:val="19"/>
                <w:szCs w:val="19"/>
                <w:lang w:val="en-US"/>
              </w:rPr>
            </w:pPr>
          </w:p>
        </w:tc>
      </w:tr>
      <w:tr w:rsidR="004A287E" w:rsidRPr="00537128" w14:paraId="533C085B" w14:textId="77777777" w:rsidTr="004A287E">
        <w:trPr>
          <w:trHeight w:val="51"/>
        </w:trPr>
        <w:tc>
          <w:tcPr>
            <w:tcW w:w="1814" w:type="pct"/>
          </w:tcPr>
          <w:p w14:paraId="118AEBEB" w14:textId="57CC189D" w:rsidR="004A287E" w:rsidRPr="00537128" w:rsidRDefault="002412CA" w:rsidP="004A287E">
            <w:pPr>
              <w:spacing w:after="0" w:line="240" w:lineRule="auto"/>
              <w:rPr>
                <w:rFonts w:ascii="Calibri" w:eastAsia="Calibri" w:hAnsi="Calibri" w:cs="Arial"/>
                <w:b/>
                <w:bCs/>
                <w:sz w:val="19"/>
                <w:szCs w:val="19"/>
                <w:lang w:val="en-US"/>
              </w:rPr>
            </w:pPr>
            <w:r w:rsidRPr="00537128">
              <w:rPr>
                <w:rFonts w:ascii="Calibri" w:eastAsia="Calibri" w:hAnsi="Calibri" w:cs="Arial"/>
                <w:b/>
                <w:bCs/>
                <w:sz w:val="19"/>
                <w:szCs w:val="19"/>
                <w:lang w:val="en-US"/>
              </w:rPr>
              <w:t>31 March 202</w:t>
            </w:r>
            <w:r w:rsidR="003C11BC">
              <w:rPr>
                <w:rFonts w:ascii="Calibri" w:eastAsia="Calibri" w:hAnsi="Calibri" w:cs="Arial"/>
                <w:b/>
                <w:bCs/>
                <w:sz w:val="19"/>
                <w:szCs w:val="19"/>
                <w:lang w:val="en-US"/>
              </w:rPr>
              <w:t>2</w:t>
            </w:r>
          </w:p>
        </w:tc>
        <w:tc>
          <w:tcPr>
            <w:tcW w:w="650" w:type="pct"/>
            <w:vAlign w:val="bottom"/>
          </w:tcPr>
          <w:p w14:paraId="19895E4E"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1</w:t>
            </w:r>
          </w:p>
        </w:tc>
        <w:tc>
          <w:tcPr>
            <w:tcW w:w="650" w:type="pct"/>
            <w:vAlign w:val="bottom"/>
          </w:tcPr>
          <w:p w14:paraId="45F39833"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2</w:t>
            </w:r>
          </w:p>
        </w:tc>
        <w:tc>
          <w:tcPr>
            <w:tcW w:w="643" w:type="pct"/>
            <w:vAlign w:val="bottom"/>
          </w:tcPr>
          <w:p w14:paraId="2D22A968"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3</w:t>
            </w:r>
          </w:p>
        </w:tc>
        <w:tc>
          <w:tcPr>
            <w:tcW w:w="605" w:type="pct"/>
            <w:vAlign w:val="bottom"/>
          </w:tcPr>
          <w:p w14:paraId="25C9BC32"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POCI</w:t>
            </w:r>
          </w:p>
        </w:tc>
        <w:tc>
          <w:tcPr>
            <w:tcW w:w="638" w:type="pct"/>
            <w:vAlign w:val="bottom"/>
          </w:tcPr>
          <w:p w14:paraId="47459398"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Total</w:t>
            </w:r>
          </w:p>
        </w:tc>
      </w:tr>
      <w:tr w:rsidR="004A287E" w:rsidRPr="00537128" w14:paraId="4F182B67" w14:textId="77777777" w:rsidTr="004A287E">
        <w:trPr>
          <w:trHeight w:val="51"/>
        </w:trPr>
        <w:tc>
          <w:tcPr>
            <w:tcW w:w="1814" w:type="pct"/>
          </w:tcPr>
          <w:p w14:paraId="4119789B"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650" w:type="pct"/>
          </w:tcPr>
          <w:p w14:paraId="09349B38"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50" w:type="pct"/>
          </w:tcPr>
          <w:p w14:paraId="42335CB4"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43" w:type="pct"/>
          </w:tcPr>
          <w:p w14:paraId="4778496B"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05" w:type="pct"/>
          </w:tcPr>
          <w:p w14:paraId="6CA57A84"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38" w:type="pct"/>
          </w:tcPr>
          <w:p w14:paraId="235A0255"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r>
      <w:tr w:rsidR="004A287E" w:rsidRPr="00537128" w14:paraId="2DFA082A" w14:textId="77777777" w:rsidTr="004A287E">
        <w:trPr>
          <w:trHeight w:val="51"/>
        </w:trPr>
        <w:tc>
          <w:tcPr>
            <w:tcW w:w="1814" w:type="pct"/>
          </w:tcPr>
          <w:p w14:paraId="6D45F4EB" w14:textId="77777777" w:rsidR="004A287E" w:rsidRPr="00537128" w:rsidRDefault="004A287E" w:rsidP="004A287E">
            <w:pPr>
              <w:spacing w:after="0" w:line="240" w:lineRule="auto"/>
              <w:rPr>
                <w:rFonts w:ascii="Calibri" w:eastAsia="Calibri" w:hAnsi="Calibri" w:cs="Arial"/>
                <w:b/>
                <w:bCs/>
                <w:sz w:val="12"/>
                <w:szCs w:val="12"/>
                <w:lang w:val="en-US"/>
              </w:rPr>
            </w:pPr>
          </w:p>
        </w:tc>
        <w:tc>
          <w:tcPr>
            <w:tcW w:w="650" w:type="pct"/>
          </w:tcPr>
          <w:p w14:paraId="2FD1C7CB" w14:textId="77777777" w:rsidR="004A287E" w:rsidRPr="00537128" w:rsidRDefault="004A287E" w:rsidP="004A287E">
            <w:pPr>
              <w:spacing w:after="0" w:line="240" w:lineRule="auto"/>
              <w:jc w:val="right"/>
              <w:rPr>
                <w:rFonts w:ascii="Calibri" w:eastAsia="Calibri" w:hAnsi="Calibri" w:cs="Arial"/>
                <w:b/>
                <w:sz w:val="12"/>
                <w:szCs w:val="12"/>
                <w:lang w:val="en-US"/>
              </w:rPr>
            </w:pPr>
          </w:p>
        </w:tc>
        <w:tc>
          <w:tcPr>
            <w:tcW w:w="650" w:type="pct"/>
          </w:tcPr>
          <w:p w14:paraId="1DEA8A4B" w14:textId="77777777" w:rsidR="004A287E" w:rsidRPr="00537128" w:rsidRDefault="004A287E" w:rsidP="004A287E">
            <w:pPr>
              <w:spacing w:after="0" w:line="240" w:lineRule="auto"/>
              <w:jc w:val="right"/>
              <w:rPr>
                <w:rFonts w:ascii="Calibri" w:eastAsia="Calibri" w:hAnsi="Calibri" w:cs="Arial"/>
                <w:b/>
                <w:sz w:val="12"/>
                <w:szCs w:val="12"/>
                <w:lang w:val="en-US"/>
              </w:rPr>
            </w:pPr>
          </w:p>
        </w:tc>
        <w:tc>
          <w:tcPr>
            <w:tcW w:w="643" w:type="pct"/>
          </w:tcPr>
          <w:p w14:paraId="49C82707" w14:textId="77777777" w:rsidR="004A287E" w:rsidRPr="00537128" w:rsidRDefault="004A287E" w:rsidP="004A287E">
            <w:pPr>
              <w:spacing w:after="0" w:line="240" w:lineRule="auto"/>
              <w:jc w:val="right"/>
              <w:rPr>
                <w:rFonts w:ascii="Calibri" w:eastAsia="Calibri" w:hAnsi="Calibri" w:cs="Arial"/>
                <w:b/>
                <w:sz w:val="12"/>
                <w:szCs w:val="12"/>
                <w:lang w:val="en-US"/>
              </w:rPr>
            </w:pPr>
          </w:p>
        </w:tc>
        <w:tc>
          <w:tcPr>
            <w:tcW w:w="605" w:type="pct"/>
          </w:tcPr>
          <w:p w14:paraId="1E8E11D5" w14:textId="77777777" w:rsidR="004A287E" w:rsidRPr="00537128" w:rsidRDefault="004A287E" w:rsidP="004A287E">
            <w:pPr>
              <w:spacing w:after="0" w:line="240" w:lineRule="auto"/>
              <w:jc w:val="right"/>
              <w:rPr>
                <w:rFonts w:ascii="Calibri" w:eastAsia="Calibri" w:hAnsi="Calibri" w:cs="Arial"/>
                <w:b/>
                <w:sz w:val="12"/>
                <w:szCs w:val="12"/>
                <w:lang w:val="en-US"/>
              </w:rPr>
            </w:pPr>
          </w:p>
        </w:tc>
        <w:tc>
          <w:tcPr>
            <w:tcW w:w="638" w:type="pct"/>
          </w:tcPr>
          <w:p w14:paraId="4B4EED7F" w14:textId="77777777" w:rsidR="004A287E" w:rsidRPr="00537128" w:rsidRDefault="004A287E" w:rsidP="004A287E">
            <w:pPr>
              <w:spacing w:after="0" w:line="240" w:lineRule="auto"/>
              <w:jc w:val="right"/>
              <w:rPr>
                <w:rFonts w:ascii="Calibri" w:eastAsia="Calibri" w:hAnsi="Calibri" w:cs="Arial"/>
                <w:b/>
                <w:sz w:val="12"/>
                <w:szCs w:val="12"/>
                <w:lang w:val="en-US"/>
              </w:rPr>
            </w:pPr>
          </w:p>
        </w:tc>
      </w:tr>
      <w:tr w:rsidR="007E4759" w:rsidRPr="00537128" w14:paraId="6F98F3F3" w14:textId="77777777" w:rsidTr="00F452CA">
        <w:trPr>
          <w:trHeight w:hRule="exact" w:val="241"/>
        </w:trPr>
        <w:tc>
          <w:tcPr>
            <w:tcW w:w="1814" w:type="pct"/>
            <w:vAlign w:val="bottom"/>
          </w:tcPr>
          <w:p w14:paraId="6C1803BA" w14:textId="65CC7651" w:rsidR="007E4759" w:rsidRPr="00537128" w:rsidRDefault="007E4759" w:rsidP="007E4759">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 xml:space="preserve">Balance </w:t>
            </w:r>
            <w:proofErr w:type="gramStart"/>
            <w:r w:rsidRPr="00537128">
              <w:rPr>
                <w:rFonts w:ascii="Calibri" w:eastAsia="Calibri" w:hAnsi="Calibri" w:cs="Times New Roman"/>
                <w:sz w:val="19"/>
                <w:szCs w:val="19"/>
                <w:lang w:val="en-US"/>
              </w:rPr>
              <w:t>at</w:t>
            </w:r>
            <w:proofErr w:type="gramEnd"/>
            <w:r w:rsidRPr="00537128">
              <w:rPr>
                <w:rFonts w:ascii="Calibri" w:eastAsia="Calibri" w:hAnsi="Calibri" w:cs="Times New Roman"/>
                <w:sz w:val="19"/>
                <w:szCs w:val="19"/>
                <w:lang w:val="en-US"/>
              </w:rPr>
              <w:t xml:space="preserve"> 1 January 202</w:t>
            </w:r>
            <w:r>
              <w:rPr>
                <w:rFonts w:ascii="Calibri" w:eastAsia="Calibri" w:hAnsi="Calibri" w:cs="Times New Roman"/>
                <w:sz w:val="19"/>
                <w:szCs w:val="19"/>
                <w:lang w:val="en-US"/>
              </w:rPr>
              <w:t>2</w:t>
            </w:r>
          </w:p>
        </w:tc>
        <w:tc>
          <w:tcPr>
            <w:tcW w:w="650" w:type="pct"/>
            <w:tcBorders>
              <w:top w:val="nil"/>
              <w:left w:val="nil"/>
              <w:bottom w:val="nil"/>
              <w:right w:val="nil"/>
            </w:tcBorders>
            <w:shd w:val="clear" w:color="auto" w:fill="auto"/>
          </w:tcPr>
          <w:p w14:paraId="7053F9EB" w14:textId="21E4FA41" w:rsidR="007E4759" w:rsidRPr="00537128" w:rsidRDefault="007E4759" w:rsidP="007E4759">
            <w:pPr>
              <w:spacing w:after="0" w:line="240" w:lineRule="auto"/>
              <w:jc w:val="right"/>
              <w:rPr>
                <w:rFonts w:ascii="Calibri" w:eastAsia="Times New Roman" w:hAnsi="Calibri" w:cs="Calibri"/>
                <w:sz w:val="19"/>
                <w:szCs w:val="19"/>
                <w:lang w:val="en-US"/>
              </w:rPr>
            </w:pPr>
            <w:r w:rsidRPr="007A49AD">
              <w:rPr>
                <w:sz w:val="19"/>
                <w:szCs w:val="19"/>
              </w:rPr>
              <w:t xml:space="preserve"> 2</w:t>
            </w:r>
            <w:r>
              <w:rPr>
                <w:sz w:val="19"/>
                <w:szCs w:val="19"/>
              </w:rPr>
              <w:t>,</w:t>
            </w:r>
            <w:r w:rsidRPr="007A49AD">
              <w:rPr>
                <w:sz w:val="19"/>
                <w:szCs w:val="19"/>
              </w:rPr>
              <w:t xml:space="preserve">724 </w:t>
            </w:r>
          </w:p>
        </w:tc>
        <w:tc>
          <w:tcPr>
            <w:tcW w:w="650" w:type="pct"/>
            <w:tcBorders>
              <w:top w:val="nil"/>
              <w:left w:val="nil"/>
              <w:bottom w:val="nil"/>
              <w:right w:val="nil"/>
            </w:tcBorders>
            <w:shd w:val="clear" w:color="auto" w:fill="auto"/>
          </w:tcPr>
          <w:p w14:paraId="60A7963E" w14:textId="58C6A15A" w:rsidR="007E4759" w:rsidRPr="00537128" w:rsidRDefault="007E4759" w:rsidP="007E4759">
            <w:pPr>
              <w:spacing w:after="0" w:line="240" w:lineRule="auto"/>
              <w:jc w:val="right"/>
              <w:rPr>
                <w:rFonts w:ascii="Calibri" w:eastAsia="Times New Roman" w:hAnsi="Calibri" w:cs="Calibri"/>
                <w:sz w:val="19"/>
                <w:szCs w:val="19"/>
                <w:lang w:val="en-US"/>
              </w:rPr>
            </w:pPr>
            <w:r w:rsidRPr="007A49AD">
              <w:rPr>
                <w:sz w:val="19"/>
                <w:szCs w:val="19"/>
              </w:rPr>
              <w:t xml:space="preserve"> - </w:t>
            </w:r>
          </w:p>
        </w:tc>
        <w:tc>
          <w:tcPr>
            <w:tcW w:w="643" w:type="pct"/>
            <w:tcBorders>
              <w:top w:val="nil"/>
              <w:left w:val="nil"/>
              <w:bottom w:val="nil"/>
              <w:right w:val="nil"/>
            </w:tcBorders>
            <w:shd w:val="clear" w:color="auto" w:fill="auto"/>
          </w:tcPr>
          <w:p w14:paraId="183BBBB1" w14:textId="7976B712" w:rsidR="007E4759" w:rsidRPr="00537128" w:rsidRDefault="007E4759" w:rsidP="007E4759">
            <w:pPr>
              <w:spacing w:after="0" w:line="240" w:lineRule="auto"/>
              <w:jc w:val="right"/>
              <w:rPr>
                <w:rFonts w:ascii="Calibri" w:eastAsia="Times New Roman" w:hAnsi="Calibri" w:cs="Calibri"/>
                <w:sz w:val="19"/>
                <w:szCs w:val="19"/>
                <w:lang w:val="en-US"/>
              </w:rPr>
            </w:pPr>
            <w:r w:rsidRPr="007A49AD">
              <w:rPr>
                <w:sz w:val="19"/>
                <w:szCs w:val="19"/>
              </w:rPr>
              <w:t xml:space="preserve"> 1</w:t>
            </w:r>
            <w:r>
              <w:rPr>
                <w:sz w:val="19"/>
                <w:szCs w:val="19"/>
              </w:rPr>
              <w:t>,</w:t>
            </w:r>
            <w:r w:rsidRPr="007A49AD">
              <w:rPr>
                <w:sz w:val="19"/>
                <w:szCs w:val="19"/>
              </w:rPr>
              <w:t xml:space="preserve">731 </w:t>
            </w:r>
          </w:p>
        </w:tc>
        <w:tc>
          <w:tcPr>
            <w:tcW w:w="605" w:type="pct"/>
            <w:tcBorders>
              <w:top w:val="nil"/>
              <w:left w:val="nil"/>
              <w:bottom w:val="nil"/>
              <w:right w:val="nil"/>
            </w:tcBorders>
            <w:shd w:val="clear" w:color="auto" w:fill="auto"/>
          </w:tcPr>
          <w:p w14:paraId="469C2FBF" w14:textId="57E2B6ED" w:rsidR="007E4759" w:rsidRPr="00537128" w:rsidRDefault="007E4759" w:rsidP="007E4759">
            <w:pPr>
              <w:spacing w:after="0" w:line="240" w:lineRule="auto"/>
              <w:jc w:val="right"/>
              <w:rPr>
                <w:rFonts w:ascii="Calibri" w:eastAsia="Times New Roman" w:hAnsi="Calibri" w:cs="Calibri"/>
                <w:sz w:val="19"/>
                <w:szCs w:val="19"/>
                <w:lang w:val="en-US"/>
              </w:rPr>
            </w:pPr>
            <w:r w:rsidRPr="007A49AD">
              <w:rPr>
                <w:sz w:val="19"/>
                <w:szCs w:val="19"/>
              </w:rPr>
              <w:t xml:space="preserve"> -    </w:t>
            </w:r>
          </w:p>
        </w:tc>
        <w:tc>
          <w:tcPr>
            <w:tcW w:w="638" w:type="pct"/>
            <w:tcBorders>
              <w:top w:val="nil"/>
              <w:left w:val="nil"/>
              <w:bottom w:val="nil"/>
              <w:right w:val="nil"/>
            </w:tcBorders>
            <w:shd w:val="clear" w:color="auto" w:fill="auto"/>
          </w:tcPr>
          <w:p w14:paraId="70E07FEF" w14:textId="51519B7E" w:rsidR="007E4759" w:rsidRPr="00537128" w:rsidRDefault="007E4759" w:rsidP="007E4759">
            <w:pPr>
              <w:spacing w:after="0" w:line="240" w:lineRule="auto"/>
              <w:jc w:val="right"/>
              <w:rPr>
                <w:rFonts w:ascii="Calibri" w:eastAsia="Times New Roman" w:hAnsi="Calibri" w:cs="Calibri"/>
                <w:sz w:val="19"/>
                <w:szCs w:val="19"/>
                <w:lang w:val="en-US"/>
              </w:rPr>
            </w:pPr>
            <w:r w:rsidRPr="007A49AD">
              <w:rPr>
                <w:sz w:val="19"/>
                <w:szCs w:val="19"/>
              </w:rPr>
              <w:t xml:space="preserve"> 4</w:t>
            </w:r>
            <w:r>
              <w:rPr>
                <w:sz w:val="19"/>
                <w:szCs w:val="19"/>
              </w:rPr>
              <w:t>,</w:t>
            </w:r>
            <w:r w:rsidRPr="007A49AD">
              <w:rPr>
                <w:sz w:val="19"/>
                <w:szCs w:val="19"/>
              </w:rPr>
              <w:t xml:space="preserve">455 </w:t>
            </w:r>
          </w:p>
        </w:tc>
      </w:tr>
      <w:tr w:rsidR="007E4759" w:rsidRPr="00537128" w14:paraId="4ACA7159" w14:textId="77777777" w:rsidTr="00F452CA">
        <w:trPr>
          <w:trHeight w:hRule="exact" w:val="241"/>
        </w:trPr>
        <w:tc>
          <w:tcPr>
            <w:tcW w:w="1814" w:type="pct"/>
            <w:vAlign w:val="bottom"/>
          </w:tcPr>
          <w:p w14:paraId="59D3A27E" w14:textId="77777777" w:rsidR="007E4759" w:rsidRPr="00537128" w:rsidRDefault="007E4759" w:rsidP="007E4759">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1</w:t>
            </w:r>
          </w:p>
        </w:tc>
        <w:tc>
          <w:tcPr>
            <w:tcW w:w="650" w:type="pct"/>
            <w:tcBorders>
              <w:top w:val="nil"/>
              <w:left w:val="nil"/>
              <w:bottom w:val="nil"/>
              <w:right w:val="nil"/>
            </w:tcBorders>
            <w:shd w:val="clear" w:color="auto" w:fill="auto"/>
          </w:tcPr>
          <w:p w14:paraId="270DA74C" w14:textId="57D7F65D" w:rsidR="007E4759" w:rsidRPr="00537128" w:rsidRDefault="007E4759" w:rsidP="007E4759">
            <w:pPr>
              <w:spacing w:after="0" w:line="240" w:lineRule="auto"/>
              <w:jc w:val="right"/>
              <w:rPr>
                <w:rFonts w:ascii="Calibri" w:eastAsia="Calibri" w:hAnsi="Calibri" w:cs="Calibri"/>
                <w:color w:val="000000"/>
                <w:sz w:val="19"/>
                <w:szCs w:val="19"/>
                <w:lang w:val="en-US"/>
              </w:rPr>
            </w:pPr>
            <w:r w:rsidRPr="007A49AD">
              <w:rPr>
                <w:sz w:val="19"/>
                <w:szCs w:val="19"/>
              </w:rPr>
              <w:t xml:space="preserve"> - </w:t>
            </w:r>
          </w:p>
        </w:tc>
        <w:tc>
          <w:tcPr>
            <w:tcW w:w="650" w:type="pct"/>
            <w:tcBorders>
              <w:top w:val="nil"/>
              <w:left w:val="nil"/>
              <w:bottom w:val="nil"/>
              <w:right w:val="nil"/>
            </w:tcBorders>
            <w:shd w:val="clear" w:color="auto" w:fill="auto"/>
          </w:tcPr>
          <w:p w14:paraId="51D7DB2F" w14:textId="13132DFF" w:rsidR="007E4759" w:rsidRPr="00537128" w:rsidRDefault="007E4759" w:rsidP="007E4759">
            <w:pPr>
              <w:spacing w:after="0" w:line="240" w:lineRule="auto"/>
              <w:jc w:val="right"/>
              <w:rPr>
                <w:rFonts w:ascii="Calibri" w:eastAsia="Calibri" w:hAnsi="Calibri" w:cs="Calibri"/>
                <w:color w:val="000000"/>
                <w:sz w:val="19"/>
                <w:szCs w:val="19"/>
                <w:lang w:val="en-US"/>
              </w:rPr>
            </w:pPr>
            <w:r w:rsidRPr="007A49AD">
              <w:rPr>
                <w:sz w:val="19"/>
                <w:szCs w:val="19"/>
              </w:rPr>
              <w:t xml:space="preserve"> - </w:t>
            </w:r>
          </w:p>
        </w:tc>
        <w:tc>
          <w:tcPr>
            <w:tcW w:w="643" w:type="pct"/>
            <w:tcBorders>
              <w:top w:val="nil"/>
              <w:left w:val="nil"/>
              <w:bottom w:val="nil"/>
              <w:right w:val="nil"/>
            </w:tcBorders>
            <w:shd w:val="clear" w:color="auto" w:fill="auto"/>
          </w:tcPr>
          <w:p w14:paraId="61008C57" w14:textId="61D84BCD" w:rsidR="007E4759" w:rsidRPr="00537128" w:rsidRDefault="007E4759" w:rsidP="007E4759">
            <w:pPr>
              <w:spacing w:after="0" w:line="240" w:lineRule="auto"/>
              <w:jc w:val="right"/>
              <w:rPr>
                <w:rFonts w:ascii="Calibri" w:eastAsia="Calibri" w:hAnsi="Calibri" w:cs="Calibri"/>
                <w:color w:val="000000"/>
                <w:sz w:val="19"/>
                <w:szCs w:val="19"/>
                <w:lang w:val="en-US"/>
              </w:rPr>
            </w:pPr>
            <w:r w:rsidRPr="007A49AD">
              <w:rPr>
                <w:sz w:val="19"/>
                <w:szCs w:val="19"/>
              </w:rPr>
              <w:t xml:space="preserve"> - </w:t>
            </w:r>
          </w:p>
        </w:tc>
        <w:tc>
          <w:tcPr>
            <w:tcW w:w="605" w:type="pct"/>
            <w:tcBorders>
              <w:top w:val="nil"/>
              <w:left w:val="nil"/>
              <w:bottom w:val="nil"/>
              <w:right w:val="nil"/>
            </w:tcBorders>
            <w:shd w:val="clear" w:color="auto" w:fill="auto"/>
          </w:tcPr>
          <w:p w14:paraId="6D14BF84" w14:textId="41E0F235" w:rsidR="007E4759" w:rsidRPr="00537128" w:rsidRDefault="007E4759" w:rsidP="007E4759">
            <w:pPr>
              <w:spacing w:after="0" w:line="240" w:lineRule="auto"/>
              <w:jc w:val="right"/>
              <w:rPr>
                <w:rFonts w:ascii="Calibri" w:eastAsia="Calibri" w:hAnsi="Calibri" w:cs="Calibri"/>
                <w:color w:val="000000"/>
                <w:sz w:val="19"/>
                <w:szCs w:val="19"/>
                <w:lang w:val="en-US"/>
              </w:rPr>
            </w:pPr>
            <w:r w:rsidRPr="007A49AD">
              <w:rPr>
                <w:sz w:val="19"/>
                <w:szCs w:val="19"/>
              </w:rPr>
              <w:t xml:space="preserve"> - </w:t>
            </w:r>
          </w:p>
        </w:tc>
        <w:tc>
          <w:tcPr>
            <w:tcW w:w="638" w:type="pct"/>
            <w:tcBorders>
              <w:top w:val="nil"/>
              <w:left w:val="nil"/>
              <w:bottom w:val="nil"/>
              <w:right w:val="nil"/>
            </w:tcBorders>
            <w:shd w:val="clear" w:color="auto" w:fill="auto"/>
          </w:tcPr>
          <w:p w14:paraId="500429F5" w14:textId="6DB8A2F5" w:rsidR="007E4759" w:rsidRPr="00537128" w:rsidRDefault="007E4759" w:rsidP="007E4759">
            <w:pPr>
              <w:spacing w:after="0" w:line="240" w:lineRule="auto"/>
              <w:jc w:val="right"/>
              <w:rPr>
                <w:rFonts w:ascii="Calibri" w:eastAsia="Calibri" w:hAnsi="Calibri" w:cs="Calibri"/>
                <w:color w:val="000000"/>
                <w:sz w:val="19"/>
                <w:szCs w:val="19"/>
                <w:lang w:val="en-US"/>
              </w:rPr>
            </w:pPr>
            <w:r w:rsidRPr="007A49AD">
              <w:rPr>
                <w:sz w:val="19"/>
                <w:szCs w:val="19"/>
              </w:rPr>
              <w:t xml:space="preserve"> - </w:t>
            </w:r>
          </w:p>
        </w:tc>
      </w:tr>
      <w:tr w:rsidR="007E4759" w:rsidRPr="00537128" w14:paraId="51864280" w14:textId="77777777" w:rsidTr="00A1123E">
        <w:trPr>
          <w:trHeight w:hRule="exact" w:val="241"/>
        </w:trPr>
        <w:tc>
          <w:tcPr>
            <w:tcW w:w="1814" w:type="pct"/>
            <w:vAlign w:val="bottom"/>
          </w:tcPr>
          <w:p w14:paraId="536B38E6" w14:textId="77777777" w:rsidR="007E4759" w:rsidRPr="00537128" w:rsidRDefault="007E4759" w:rsidP="007E4759">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2</w:t>
            </w:r>
          </w:p>
        </w:tc>
        <w:tc>
          <w:tcPr>
            <w:tcW w:w="650" w:type="pct"/>
            <w:tcBorders>
              <w:top w:val="nil"/>
              <w:left w:val="nil"/>
              <w:bottom w:val="nil"/>
              <w:right w:val="nil"/>
            </w:tcBorders>
            <w:shd w:val="clear" w:color="auto" w:fill="auto"/>
          </w:tcPr>
          <w:p w14:paraId="5372BA07" w14:textId="5F508AB0" w:rsidR="007E4759" w:rsidRPr="00537128" w:rsidRDefault="007E4759" w:rsidP="007E4759">
            <w:pPr>
              <w:spacing w:after="0" w:line="240" w:lineRule="auto"/>
              <w:jc w:val="right"/>
              <w:rPr>
                <w:rFonts w:ascii="Calibri" w:eastAsia="Calibri" w:hAnsi="Calibri" w:cs="Calibri"/>
                <w:color w:val="000000"/>
                <w:sz w:val="19"/>
                <w:szCs w:val="19"/>
                <w:lang w:val="en-US"/>
              </w:rPr>
            </w:pPr>
            <w:r w:rsidRPr="007A49AD">
              <w:rPr>
                <w:sz w:val="19"/>
                <w:szCs w:val="19"/>
              </w:rPr>
              <w:t xml:space="preserve"> - </w:t>
            </w:r>
          </w:p>
        </w:tc>
        <w:tc>
          <w:tcPr>
            <w:tcW w:w="650" w:type="pct"/>
            <w:tcBorders>
              <w:top w:val="nil"/>
              <w:left w:val="nil"/>
              <w:bottom w:val="nil"/>
              <w:right w:val="nil"/>
            </w:tcBorders>
            <w:shd w:val="clear" w:color="auto" w:fill="auto"/>
          </w:tcPr>
          <w:p w14:paraId="73577CA6" w14:textId="2FE55B2E" w:rsidR="007E4759" w:rsidRPr="00537128" w:rsidRDefault="007E4759" w:rsidP="007E4759">
            <w:pPr>
              <w:spacing w:after="0" w:line="240" w:lineRule="auto"/>
              <w:jc w:val="right"/>
              <w:rPr>
                <w:rFonts w:ascii="Calibri" w:eastAsia="Calibri" w:hAnsi="Calibri" w:cs="Calibri"/>
                <w:color w:val="000000"/>
                <w:sz w:val="19"/>
                <w:szCs w:val="19"/>
                <w:lang w:val="en-US"/>
              </w:rPr>
            </w:pPr>
            <w:r w:rsidRPr="007A49AD">
              <w:rPr>
                <w:sz w:val="19"/>
                <w:szCs w:val="19"/>
              </w:rPr>
              <w:t xml:space="preserve"> - </w:t>
            </w:r>
          </w:p>
        </w:tc>
        <w:tc>
          <w:tcPr>
            <w:tcW w:w="643" w:type="pct"/>
            <w:tcBorders>
              <w:top w:val="nil"/>
              <w:left w:val="nil"/>
              <w:bottom w:val="nil"/>
              <w:right w:val="nil"/>
            </w:tcBorders>
            <w:shd w:val="clear" w:color="auto" w:fill="auto"/>
          </w:tcPr>
          <w:p w14:paraId="7E55F1E6" w14:textId="0CE7B401" w:rsidR="007E4759" w:rsidRPr="00537128" w:rsidRDefault="007E4759" w:rsidP="007E4759">
            <w:pPr>
              <w:spacing w:after="0" w:line="240" w:lineRule="auto"/>
              <w:jc w:val="right"/>
              <w:rPr>
                <w:rFonts w:ascii="Calibri" w:eastAsia="Calibri" w:hAnsi="Calibri" w:cs="Calibri"/>
                <w:color w:val="000000"/>
                <w:sz w:val="19"/>
                <w:szCs w:val="19"/>
                <w:lang w:val="en-US"/>
              </w:rPr>
            </w:pPr>
            <w:r w:rsidRPr="007A49AD">
              <w:rPr>
                <w:sz w:val="19"/>
                <w:szCs w:val="19"/>
              </w:rPr>
              <w:t xml:space="preserve"> - </w:t>
            </w:r>
          </w:p>
        </w:tc>
        <w:tc>
          <w:tcPr>
            <w:tcW w:w="605" w:type="pct"/>
            <w:tcBorders>
              <w:top w:val="nil"/>
              <w:left w:val="nil"/>
              <w:bottom w:val="nil"/>
              <w:right w:val="nil"/>
            </w:tcBorders>
            <w:shd w:val="clear" w:color="auto" w:fill="auto"/>
          </w:tcPr>
          <w:p w14:paraId="422DFFA9" w14:textId="2FF137FF" w:rsidR="007E4759" w:rsidRPr="00537128" w:rsidRDefault="007E4759" w:rsidP="007E4759">
            <w:pPr>
              <w:spacing w:after="0" w:line="240" w:lineRule="auto"/>
              <w:jc w:val="right"/>
              <w:rPr>
                <w:rFonts w:ascii="Calibri" w:eastAsia="Calibri" w:hAnsi="Calibri" w:cs="Calibri"/>
                <w:color w:val="000000"/>
                <w:sz w:val="19"/>
                <w:szCs w:val="19"/>
                <w:lang w:val="en-US"/>
              </w:rPr>
            </w:pPr>
            <w:r w:rsidRPr="007A49AD">
              <w:rPr>
                <w:sz w:val="19"/>
                <w:szCs w:val="19"/>
              </w:rPr>
              <w:t xml:space="preserve"> - </w:t>
            </w:r>
          </w:p>
        </w:tc>
        <w:tc>
          <w:tcPr>
            <w:tcW w:w="638" w:type="pct"/>
            <w:tcBorders>
              <w:top w:val="nil"/>
              <w:left w:val="nil"/>
              <w:bottom w:val="nil"/>
              <w:right w:val="nil"/>
            </w:tcBorders>
            <w:shd w:val="clear" w:color="auto" w:fill="auto"/>
          </w:tcPr>
          <w:p w14:paraId="79B5E104" w14:textId="53FDFCDD" w:rsidR="007E4759" w:rsidRPr="00537128" w:rsidRDefault="007E4759" w:rsidP="007E4759">
            <w:pPr>
              <w:spacing w:after="0" w:line="240" w:lineRule="auto"/>
              <w:jc w:val="right"/>
              <w:rPr>
                <w:rFonts w:ascii="Calibri" w:eastAsia="Calibri" w:hAnsi="Calibri" w:cs="Calibri"/>
                <w:color w:val="000000"/>
                <w:sz w:val="19"/>
                <w:szCs w:val="19"/>
                <w:lang w:val="en-US"/>
              </w:rPr>
            </w:pPr>
            <w:r w:rsidRPr="007A49AD">
              <w:rPr>
                <w:sz w:val="19"/>
                <w:szCs w:val="19"/>
              </w:rPr>
              <w:t xml:space="preserve"> - </w:t>
            </w:r>
          </w:p>
        </w:tc>
      </w:tr>
      <w:tr w:rsidR="007E4759" w:rsidRPr="00537128" w14:paraId="5163ED2E" w14:textId="77777777" w:rsidTr="00A1123E">
        <w:trPr>
          <w:trHeight w:hRule="exact" w:val="241"/>
        </w:trPr>
        <w:tc>
          <w:tcPr>
            <w:tcW w:w="1814" w:type="pct"/>
            <w:vAlign w:val="bottom"/>
          </w:tcPr>
          <w:p w14:paraId="26B1FFA5" w14:textId="77777777" w:rsidR="007E4759" w:rsidRPr="00537128" w:rsidRDefault="007E4759" w:rsidP="007E4759">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3</w:t>
            </w:r>
          </w:p>
        </w:tc>
        <w:tc>
          <w:tcPr>
            <w:tcW w:w="650" w:type="pct"/>
            <w:tcBorders>
              <w:top w:val="nil"/>
              <w:left w:val="nil"/>
              <w:bottom w:val="nil"/>
              <w:right w:val="nil"/>
            </w:tcBorders>
            <w:shd w:val="clear" w:color="auto" w:fill="auto"/>
          </w:tcPr>
          <w:p w14:paraId="15A919F0" w14:textId="51DA9236" w:rsidR="007E4759" w:rsidRPr="00537128" w:rsidRDefault="007E4759" w:rsidP="007E4759">
            <w:pPr>
              <w:spacing w:after="0" w:line="240" w:lineRule="auto"/>
              <w:jc w:val="right"/>
              <w:rPr>
                <w:rFonts w:ascii="Calibri" w:eastAsia="Times New Roman" w:hAnsi="Calibri" w:cs="Calibri"/>
                <w:sz w:val="19"/>
                <w:szCs w:val="19"/>
                <w:lang w:val="en-US"/>
              </w:rPr>
            </w:pPr>
            <w:r w:rsidRPr="007A49AD">
              <w:rPr>
                <w:sz w:val="19"/>
                <w:szCs w:val="19"/>
              </w:rPr>
              <w:t xml:space="preserve"> - </w:t>
            </w:r>
          </w:p>
        </w:tc>
        <w:tc>
          <w:tcPr>
            <w:tcW w:w="650" w:type="pct"/>
            <w:tcBorders>
              <w:top w:val="nil"/>
              <w:left w:val="nil"/>
              <w:bottom w:val="nil"/>
              <w:right w:val="nil"/>
            </w:tcBorders>
            <w:shd w:val="clear" w:color="auto" w:fill="auto"/>
          </w:tcPr>
          <w:p w14:paraId="1354BA1F" w14:textId="4927F8FC" w:rsidR="007E4759" w:rsidRPr="00537128" w:rsidRDefault="007E4759" w:rsidP="007E4759">
            <w:pPr>
              <w:spacing w:after="0" w:line="240" w:lineRule="auto"/>
              <w:jc w:val="right"/>
              <w:rPr>
                <w:rFonts w:ascii="Calibri" w:eastAsia="Calibri" w:hAnsi="Calibri" w:cs="Arial"/>
                <w:sz w:val="19"/>
                <w:szCs w:val="19"/>
                <w:lang w:val="en-US"/>
              </w:rPr>
            </w:pPr>
            <w:r w:rsidRPr="007A49AD">
              <w:rPr>
                <w:sz w:val="19"/>
                <w:szCs w:val="19"/>
              </w:rPr>
              <w:t xml:space="preserve"> - </w:t>
            </w:r>
          </w:p>
        </w:tc>
        <w:tc>
          <w:tcPr>
            <w:tcW w:w="643" w:type="pct"/>
            <w:tcBorders>
              <w:top w:val="nil"/>
              <w:left w:val="nil"/>
              <w:bottom w:val="nil"/>
              <w:right w:val="nil"/>
            </w:tcBorders>
            <w:shd w:val="clear" w:color="auto" w:fill="auto"/>
          </w:tcPr>
          <w:p w14:paraId="3474F800" w14:textId="1D87AD72" w:rsidR="007E4759" w:rsidRPr="00537128" w:rsidRDefault="007E4759" w:rsidP="007E4759">
            <w:pPr>
              <w:spacing w:after="0" w:line="240" w:lineRule="auto"/>
              <w:jc w:val="right"/>
              <w:rPr>
                <w:rFonts w:ascii="Calibri" w:eastAsia="Calibri" w:hAnsi="Calibri" w:cs="Arial"/>
                <w:sz w:val="19"/>
                <w:szCs w:val="19"/>
                <w:lang w:val="en-US"/>
              </w:rPr>
            </w:pPr>
            <w:r w:rsidRPr="007A49AD">
              <w:rPr>
                <w:sz w:val="19"/>
                <w:szCs w:val="19"/>
              </w:rPr>
              <w:t xml:space="preserve"> - </w:t>
            </w:r>
          </w:p>
        </w:tc>
        <w:tc>
          <w:tcPr>
            <w:tcW w:w="605" w:type="pct"/>
            <w:tcBorders>
              <w:top w:val="nil"/>
              <w:left w:val="nil"/>
              <w:bottom w:val="nil"/>
              <w:right w:val="nil"/>
            </w:tcBorders>
            <w:shd w:val="clear" w:color="auto" w:fill="auto"/>
          </w:tcPr>
          <w:p w14:paraId="065AEF72" w14:textId="7915B658" w:rsidR="007E4759" w:rsidRPr="00537128" w:rsidRDefault="007E4759" w:rsidP="007E4759">
            <w:pPr>
              <w:spacing w:after="0" w:line="240" w:lineRule="auto"/>
              <w:jc w:val="right"/>
              <w:rPr>
                <w:rFonts w:ascii="Calibri" w:eastAsia="Calibri" w:hAnsi="Calibri" w:cs="Arial"/>
                <w:sz w:val="19"/>
                <w:szCs w:val="19"/>
                <w:lang w:val="en-US"/>
              </w:rPr>
            </w:pPr>
            <w:r w:rsidRPr="007A49AD">
              <w:rPr>
                <w:sz w:val="19"/>
                <w:szCs w:val="19"/>
              </w:rPr>
              <w:t xml:space="preserve"> - </w:t>
            </w:r>
          </w:p>
        </w:tc>
        <w:tc>
          <w:tcPr>
            <w:tcW w:w="638" w:type="pct"/>
            <w:tcBorders>
              <w:top w:val="nil"/>
              <w:left w:val="nil"/>
              <w:bottom w:val="nil"/>
              <w:right w:val="nil"/>
            </w:tcBorders>
            <w:shd w:val="clear" w:color="auto" w:fill="auto"/>
          </w:tcPr>
          <w:p w14:paraId="69A09AEA" w14:textId="51013631" w:rsidR="007E4759" w:rsidRPr="00537128" w:rsidRDefault="007E4759" w:rsidP="007E4759">
            <w:pPr>
              <w:spacing w:after="0" w:line="240" w:lineRule="auto"/>
              <w:jc w:val="right"/>
              <w:rPr>
                <w:rFonts w:ascii="Calibri" w:eastAsia="Calibri" w:hAnsi="Calibri" w:cs="Arial"/>
                <w:sz w:val="19"/>
                <w:szCs w:val="19"/>
                <w:lang w:val="en-US"/>
              </w:rPr>
            </w:pPr>
            <w:r w:rsidRPr="007A49AD">
              <w:rPr>
                <w:sz w:val="19"/>
                <w:szCs w:val="19"/>
              </w:rPr>
              <w:t xml:space="preserve"> - </w:t>
            </w:r>
          </w:p>
        </w:tc>
      </w:tr>
      <w:tr w:rsidR="007E4759" w:rsidRPr="00537128" w14:paraId="464A463F" w14:textId="77777777" w:rsidTr="00A1123E">
        <w:trPr>
          <w:trHeight w:hRule="exact" w:val="241"/>
        </w:trPr>
        <w:tc>
          <w:tcPr>
            <w:tcW w:w="1814" w:type="pct"/>
            <w:vAlign w:val="bottom"/>
          </w:tcPr>
          <w:p w14:paraId="018EE651" w14:textId="77777777" w:rsidR="007E4759" w:rsidRPr="00537128" w:rsidRDefault="007E4759" w:rsidP="007E4759">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Net increase</w:t>
            </w:r>
            <w:r w:rsidRPr="00537128" w:rsidDel="003F251B">
              <w:rPr>
                <w:rFonts w:ascii="Calibri" w:eastAsia="Calibri" w:hAnsi="Calibri" w:cs="Times New Roman"/>
                <w:sz w:val="19"/>
                <w:szCs w:val="19"/>
                <w:lang w:val="en-US"/>
              </w:rPr>
              <w:t xml:space="preserve"> </w:t>
            </w:r>
            <w:r w:rsidRPr="00537128">
              <w:rPr>
                <w:rFonts w:ascii="Calibri" w:eastAsia="Calibri" w:hAnsi="Calibri" w:cs="Times New Roman"/>
                <w:sz w:val="19"/>
                <w:szCs w:val="19"/>
                <w:lang w:val="en-US"/>
              </w:rPr>
              <w:t>of loss allowance</w:t>
            </w:r>
          </w:p>
        </w:tc>
        <w:tc>
          <w:tcPr>
            <w:tcW w:w="650" w:type="pct"/>
            <w:tcBorders>
              <w:top w:val="nil"/>
              <w:left w:val="nil"/>
              <w:bottom w:val="nil"/>
              <w:right w:val="nil"/>
            </w:tcBorders>
            <w:shd w:val="clear" w:color="auto" w:fill="auto"/>
            <w:vAlign w:val="bottom"/>
          </w:tcPr>
          <w:p w14:paraId="6226546A" w14:textId="3688E91E" w:rsidR="007E4759" w:rsidRPr="00537128" w:rsidRDefault="007E4759" w:rsidP="007E4759">
            <w:pPr>
              <w:spacing w:after="0" w:line="240" w:lineRule="auto"/>
              <w:jc w:val="right"/>
              <w:rPr>
                <w:rFonts w:ascii="Calibri" w:eastAsia="Calibri" w:hAnsi="Calibri" w:cs="Calibri"/>
                <w:color w:val="000000"/>
                <w:sz w:val="19"/>
                <w:szCs w:val="19"/>
                <w:lang w:val="en-US"/>
              </w:rPr>
            </w:pPr>
            <w:r w:rsidRPr="007A49AD">
              <w:rPr>
                <w:sz w:val="19"/>
                <w:szCs w:val="19"/>
              </w:rPr>
              <w:t xml:space="preserve"> 279 </w:t>
            </w:r>
          </w:p>
        </w:tc>
        <w:tc>
          <w:tcPr>
            <w:tcW w:w="650" w:type="pct"/>
            <w:tcBorders>
              <w:top w:val="nil"/>
              <w:left w:val="nil"/>
              <w:bottom w:val="nil"/>
              <w:right w:val="nil"/>
            </w:tcBorders>
            <w:shd w:val="clear" w:color="auto" w:fill="auto"/>
            <w:vAlign w:val="bottom"/>
          </w:tcPr>
          <w:p w14:paraId="7381600A" w14:textId="3D63EC48" w:rsidR="007E4759" w:rsidRPr="00537128" w:rsidRDefault="007E4759" w:rsidP="007E4759">
            <w:pPr>
              <w:spacing w:after="0" w:line="240" w:lineRule="auto"/>
              <w:jc w:val="right"/>
              <w:rPr>
                <w:rFonts w:ascii="Calibri" w:eastAsia="Calibri" w:hAnsi="Calibri" w:cs="Calibri"/>
                <w:color w:val="000000"/>
                <w:sz w:val="19"/>
                <w:szCs w:val="19"/>
                <w:lang w:val="en-US"/>
              </w:rPr>
            </w:pPr>
            <w:r w:rsidRPr="007A49AD">
              <w:rPr>
                <w:sz w:val="19"/>
                <w:szCs w:val="19"/>
              </w:rPr>
              <w:t xml:space="preserve"> - </w:t>
            </w:r>
          </w:p>
        </w:tc>
        <w:tc>
          <w:tcPr>
            <w:tcW w:w="643" w:type="pct"/>
            <w:tcBorders>
              <w:top w:val="nil"/>
              <w:left w:val="nil"/>
              <w:bottom w:val="nil"/>
              <w:right w:val="nil"/>
            </w:tcBorders>
            <w:shd w:val="clear" w:color="auto" w:fill="auto"/>
            <w:vAlign w:val="bottom"/>
          </w:tcPr>
          <w:p w14:paraId="454E5CC3" w14:textId="3D6C4B77" w:rsidR="007E4759" w:rsidRPr="00537128" w:rsidRDefault="007E4759" w:rsidP="007E4759">
            <w:pPr>
              <w:spacing w:after="0" w:line="240" w:lineRule="auto"/>
              <w:jc w:val="right"/>
              <w:rPr>
                <w:rFonts w:ascii="Calibri" w:eastAsia="Calibri" w:hAnsi="Calibri" w:cs="Calibri"/>
                <w:color w:val="000000"/>
                <w:sz w:val="19"/>
                <w:szCs w:val="19"/>
                <w:lang w:val="en-US"/>
              </w:rPr>
            </w:pPr>
            <w:r w:rsidRPr="007A49AD">
              <w:rPr>
                <w:sz w:val="19"/>
                <w:szCs w:val="19"/>
              </w:rPr>
              <w:t xml:space="preserve"> 41 </w:t>
            </w:r>
          </w:p>
        </w:tc>
        <w:tc>
          <w:tcPr>
            <w:tcW w:w="605" w:type="pct"/>
            <w:tcBorders>
              <w:top w:val="nil"/>
              <w:left w:val="nil"/>
              <w:bottom w:val="nil"/>
              <w:right w:val="nil"/>
            </w:tcBorders>
            <w:shd w:val="clear" w:color="auto" w:fill="auto"/>
            <w:vAlign w:val="bottom"/>
          </w:tcPr>
          <w:p w14:paraId="6A498BDD" w14:textId="7E97EEBE" w:rsidR="007E4759" w:rsidRPr="00537128" w:rsidRDefault="007E4759" w:rsidP="007E4759">
            <w:pPr>
              <w:spacing w:after="0" w:line="240" w:lineRule="auto"/>
              <w:jc w:val="right"/>
              <w:rPr>
                <w:rFonts w:ascii="Calibri" w:eastAsia="Calibri" w:hAnsi="Calibri" w:cs="Calibri"/>
                <w:color w:val="000000"/>
                <w:sz w:val="19"/>
                <w:szCs w:val="19"/>
                <w:lang w:val="en-US"/>
              </w:rPr>
            </w:pPr>
            <w:r w:rsidRPr="007A49AD">
              <w:rPr>
                <w:sz w:val="19"/>
                <w:szCs w:val="19"/>
              </w:rPr>
              <w:t xml:space="preserve"> - </w:t>
            </w:r>
          </w:p>
        </w:tc>
        <w:tc>
          <w:tcPr>
            <w:tcW w:w="638" w:type="pct"/>
            <w:tcBorders>
              <w:top w:val="nil"/>
              <w:left w:val="nil"/>
              <w:bottom w:val="nil"/>
              <w:right w:val="nil"/>
            </w:tcBorders>
            <w:shd w:val="clear" w:color="auto" w:fill="auto"/>
            <w:vAlign w:val="bottom"/>
          </w:tcPr>
          <w:p w14:paraId="22879420" w14:textId="25AED90D" w:rsidR="007E4759" w:rsidRPr="00537128" w:rsidRDefault="007E4759" w:rsidP="007E4759">
            <w:pPr>
              <w:spacing w:after="0" w:line="240" w:lineRule="auto"/>
              <w:jc w:val="right"/>
              <w:rPr>
                <w:rFonts w:ascii="Calibri" w:eastAsia="Calibri" w:hAnsi="Calibri" w:cs="Calibri"/>
                <w:color w:val="000000"/>
                <w:sz w:val="19"/>
                <w:szCs w:val="19"/>
                <w:lang w:val="en-US"/>
              </w:rPr>
            </w:pPr>
            <w:r w:rsidRPr="007A49AD">
              <w:rPr>
                <w:sz w:val="19"/>
                <w:szCs w:val="19"/>
              </w:rPr>
              <w:t xml:space="preserve"> 320 </w:t>
            </w:r>
          </w:p>
        </w:tc>
      </w:tr>
      <w:tr w:rsidR="007E4759" w:rsidRPr="00537128" w14:paraId="104F1350" w14:textId="77777777" w:rsidTr="004A287E">
        <w:trPr>
          <w:trHeight w:val="284"/>
        </w:trPr>
        <w:tc>
          <w:tcPr>
            <w:tcW w:w="1814" w:type="pct"/>
            <w:vAlign w:val="bottom"/>
          </w:tcPr>
          <w:p w14:paraId="2A75C8B0" w14:textId="041E336F" w:rsidR="007E4759" w:rsidRPr="00537128" w:rsidRDefault="007E4759" w:rsidP="007E4759">
            <w:pPr>
              <w:spacing w:after="0" w:line="240" w:lineRule="auto"/>
              <w:rPr>
                <w:rFonts w:ascii="Calibri" w:eastAsia="Calibri" w:hAnsi="Calibri" w:cs="Times New Roman"/>
                <w:sz w:val="19"/>
                <w:szCs w:val="19"/>
                <w:lang w:val="en-US"/>
              </w:rPr>
            </w:pPr>
            <w:r w:rsidRPr="00537128">
              <w:rPr>
                <w:rFonts w:ascii="Calibri" w:eastAsia="Calibri" w:hAnsi="Calibri" w:cs="Times New Roman"/>
                <w:sz w:val="19"/>
                <w:szCs w:val="19"/>
                <w:lang w:val="en-US"/>
              </w:rPr>
              <w:t>Net foreign exchange</w:t>
            </w:r>
            <w:r>
              <w:rPr>
                <w:rFonts w:ascii="Calibri" w:eastAsia="Calibri" w:hAnsi="Calibri" w:cs="Times New Roman"/>
                <w:sz w:val="19"/>
                <w:szCs w:val="19"/>
                <w:lang w:val="en-US"/>
              </w:rPr>
              <w:t xml:space="preserve"> gain/</w:t>
            </w:r>
            <w:r w:rsidRPr="00537128">
              <w:rPr>
                <w:rFonts w:ascii="Calibri" w:eastAsia="Calibri" w:hAnsi="Calibri" w:cs="Times New Roman"/>
                <w:sz w:val="19"/>
                <w:szCs w:val="19"/>
                <w:lang w:val="en-US"/>
              </w:rPr>
              <w:t>loss</w:t>
            </w:r>
            <w:r w:rsidRPr="00537128" w:rsidDel="003F251B">
              <w:rPr>
                <w:rFonts w:ascii="Calibri" w:eastAsia="Calibri" w:hAnsi="Calibri" w:cs="Times New Roman"/>
                <w:sz w:val="19"/>
                <w:szCs w:val="19"/>
                <w:lang w:val="en-US"/>
              </w:rPr>
              <w:t xml:space="preserve"> </w:t>
            </w:r>
            <w:r w:rsidRPr="00537128">
              <w:rPr>
                <w:rFonts w:ascii="Calibri" w:eastAsia="Calibri" w:hAnsi="Calibri" w:cs="Times New Roman"/>
                <w:sz w:val="19"/>
                <w:szCs w:val="19"/>
                <w:lang w:val="en-US"/>
              </w:rPr>
              <w:t>on loss allowances</w:t>
            </w:r>
          </w:p>
        </w:tc>
        <w:tc>
          <w:tcPr>
            <w:tcW w:w="650" w:type="pct"/>
            <w:tcBorders>
              <w:top w:val="nil"/>
              <w:left w:val="nil"/>
              <w:bottom w:val="single" w:sz="8" w:space="0" w:color="auto"/>
              <w:right w:val="nil"/>
            </w:tcBorders>
            <w:shd w:val="clear" w:color="auto" w:fill="auto"/>
            <w:vAlign w:val="bottom"/>
          </w:tcPr>
          <w:p w14:paraId="03A0CDB3" w14:textId="3FC97C19" w:rsidR="007E4759" w:rsidRPr="00537128" w:rsidRDefault="007E4759" w:rsidP="007E4759">
            <w:pPr>
              <w:spacing w:after="0" w:line="240" w:lineRule="auto"/>
              <w:jc w:val="right"/>
              <w:rPr>
                <w:rFonts w:ascii="Calibri" w:eastAsia="Times New Roman" w:hAnsi="Calibri" w:cs="Calibri"/>
                <w:sz w:val="19"/>
                <w:szCs w:val="19"/>
                <w:lang w:val="en-US"/>
              </w:rPr>
            </w:pPr>
            <w:r w:rsidRPr="007A49AD">
              <w:rPr>
                <w:sz w:val="19"/>
                <w:szCs w:val="19"/>
              </w:rPr>
              <w:t xml:space="preserve"> 6 </w:t>
            </w:r>
          </w:p>
        </w:tc>
        <w:tc>
          <w:tcPr>
            <w:tcW w:w="650" w:type="pct"/>
            <w:tcBorders>
              <w:top w:val="nil"/>
              <w:left w:val="nil"/>
              <w:bottom w:val="single" w:sz="8" w:space="0" w:color="auto"/>
              <w:right w:val="nil"/>
            </w:tcBorders>
            <w:shd w:val="clear" w:color="auto" w:fill="auto"/>
            <w:vAlign w:val="bottom"/>
          </w:tcPr>
          <w:p w14:paraId="4B0003A0" w14:textId="2FAAA3A6" w:rsidR="007E4759" w:rsidRPr="00537128" w:rsidRDefault="007E4759" w:rsidP="007E4759">
            <w:pPr>
              <w:spacing w:after="0" w:line="240" w:lineRule="auto"/>
              <w:jc w:val="right"/>
              <w:rPr>
                <w:rFonts w:ascii="Calibri" w:eastAsia="Times New Roman" w:hAnsi="Calibri" w:cs="Calibri"/>
                <w:sz w:val="19"/>
                <w:szCs w:val="19"/>
                <w:lang w:val="en-US"/>
              </w:rPr>
            </w:pPr>
            <w:r w:rsidRPr="007A49AD">
              <w:rPr>
                <w:sz w:val="19"/>
                <w:szCs w:val="19"/>
              </w:rPr>
              <w:t xml:space="preserve"> - </w:t>
            </w:r>
          </w:p>
        </w:tc>
        <w:tc>
          <w:tcPr>
            <w:tcW w:w="643" w:type="pct"/>
            <w:tcBorders>
              <w:top w:val="nil"/>
              <w:left w:val="nil"/>
              <w:bottom w:val="single" w:sz="8" w:space="0" w:color="auto"/>
              <w:right w:val="nil"/>
            </w:tcBorders>
            <w:shd w:val="clear" w:color="auto" w:fill="auto"/>
            <w:vAlign w:val="bottom"/>
          </w:tcPr>
          <w:p w14:paraId="5A97E26C" w14:textId="4054E59B" w:rsidR="007E4759" w:rsidRPr="00537128" w:rsidRDefault="007E4759" w:rsidP="007E4759">
            <w:pPr>
              <w:spacing w:after="0" w:line="240" w:lineRule="auto"/>
              <w:jc w:val="right"/>
              <w:rPr>
                <w:rFonts w:ascii="Calibri" w:eastAsia="Times New Roman" w:hAnsi="Calibri" w:cs="Calibri"/>
                <w:sz w:val="19"/>
                <w:szCs w:val="19"/>
                <w:lang w:val="en-US"/>
              </w:rPr>
            </w:pPr>
            <w:r w:rsidRPr="007A49AD">
              <w:rPr>
                <w:sz w:val="19"/>
                <w:szCs w:val="19"/>
              </w:rPr>
              <w:t xml:space="preserve"> 14 </w:t>
            </w:r>
          </w:p>
        </w:tc>
        <w:tc>
          <w:tcPr>
            <w:tcW w:w="605" w:type="pct"/>
            <w:tcBorders>
              <w:top w:val="nil"/>
              <w:left w:val="nil"/>
              <w:bottom w:val="single" w:sz="8" w:space="0" w:color="auto"/>
              <w:right w:val="nil"/>
            </w:tcBorders>
            <w:shd w:val="clear" w:color="auto" w:fill="auto"/>
            <w:vAlign w:val="bottom"/>
          </w:tcPr>
          <w:p w14:paraId="0FD62626" w14:textId="13F93E08" w:rsidR="007E4759" w:rsidRPr="00537128" w:rsidRDefault="007E4759" w:rsidP="007E4759">
            <w:pPr>
              <w:spacing w:after="0" w:line="240" w:lineRule="auto"/>
              <w:jc w:val="right"/>
              <w:rPr>
                <w:rFonts w:ascii="Calibri" w:eastAsia="Times New Roman" w:hAnsi="Calibri" w:cs="Calibri"/>
                <w:sz w:val="19"/>
                <w:szCs w:val="19"/>
                <w:lang w:val="en-US"/>
              </w:rPr>
            </w:pPr>
            <w:r w:rsidRPr="007A49AD">
              <w:rPr>
                <w:sz w:val="19"/>
                <w:szCs w:val="19"/>
              </w:rPr>
              <w:t xml:space="preserve"> - </w:t>
            </w:r>
          </w:p>
        </w:tc>
        <w:tc>
          <w:tcPr>
            <w:tcW w:w="638" w:type="pct"/>
            <w:tcBorders>
              <w:top w:val="nil"/>
              <w:left w:val="nil"/>
              <w:bottom w:val="single" w:sz="8" w:space="0" w:color="auto"/>
              <w:right w:val="nil"/>
            </w:tcBorders>
            <w:shd w:val="clear" w:color="auto" w:fill="auto"/>
            <w:vAlign w:val="bottom"/>
          </w:tcPr>
          <w:p w14:paraId="25823C46" w14:textId="5BCD80C3" w:rsidR="007E4759" w:rsidRPr="00537128" w:rsidRDefault="007E4759" w:rsidP="007E4759">
            <w:pPr>
              <w:spacing w:after="0" w:line="240" w:lineRule="auto"/>
              <w:jc w:val="right"/>
              <w:rPr>
                <w:rFonts w:ascii="Calibri" w:eastAsia="Times New Roman" w:hAnsi="Calibri" w:cs="Calibri"/>
                <w:sz w:val="19"/>
                <w:szCs w:val="19"/>
                <w:lang w:val="en-US"/>
              </w:rPr>
            </w:pPr>
            <w:r w:rsidRPr="007A49AD">
              <w:rPr>
                <w:sz w:val="19"/>
                <w:szCs w:val="19"/>
              </w:rPr>
              <w:t xml:space="preserve"> 20 </w:t>
            </w:r>
          </w:p>
        </w:tc>
      </w:tr>
      <w:tr w:rsidR="007E4759" w:rsidRPr="00537128" w14:paraId="5B11CCA5" w14:textId="77777777" w:rsidTr="00F452CA">
        <w:trPr>
          <w:trHeight w:val="230"/>
        </w:trPr>
        <w:tc>
          <w:tcPr>
            <w:tcW w:w="1814" w:type="pct"/>
            <w:vAlign w:val="bottom"/>
          </w:tcPr>
          <w:p w14:paraId="44A49B49" w14:textId="1622B190" w:rsidR="007E4759" w:rsidRPr="00537128" w:rsidRDefault="007E4759" w:rsidP="007E4759">
            <w:pPr>
              <w:tabs>
                <w:tab w:val="right" w:pos="1202"/>
              </w:tabs>
              <w:spacing w:after="0" w:line="301" w:lineRule="exact"/>
              <w:outlineLvl w:val="0"/>
              <w:rPr>
                <w:rFonts w:ascii="Calibri" w:eastAsia="Calibri" w:hAnsi="Calibri" w:cs="Arial"/>
                <w:b/>
                <w:bCs/>
                <w:sz w:val="19"/>
                <w:szCs w:val="19"/>
                <w:lang w:val="en-US"/>
              </w:rPr>
            </w:pPr>
            <w:r w:rsidRPr="00537128">
              <w:rPr>
                <w:rFonts w:ascii="Calibri" w:eastAsia="Calibri" w:hAnsi="Calibri" w:cs="Arial"/>
                <w:b/>
                <w:bCs/>
                <w:sz w:val="19"/>
                <w:szCs w:val="19"/>
                <w:lang w:val="en-US"/>
              </w:rPr>
              <w:t xml:space="preserve">Balance </w:t>
            </w:r>
            <w:proofErr w:type="gramStart"/>
            <w:r w:rsidRPr="00537128">
              <w:rPr>
                <w:rFonts w:ascii="Calibri" w:eastAsia="Calibri" w:hAnsi="Calibri" w:cs="Arial"/>
                <w:b/>
                <w:bCs/>
                <w:sz w:val="19"/>
                <w:szCs w:val="19"/>
                <w:lang w:val="en-US"/>
              </w:rPr>
              <w:t>at</w:t>
            </w:r>
            <w:proofErr w:type="gramEnd"/>
            <w:r w:rsidRPr="00537128">
              <w:rPr>
                <w:rFonts w:ascii="Calibri" w:eastAsia="Calibri" w:hAnsi="Calibri" w:cs="Arial"/>
                <w:b/>
                <w:bCs/>
                <w:sz w:val="19"/>
                <w:szCs w:val="19"/>
                <w:lang w:val="en-US"/>
              </w:rPr>
              <w:t xml:space="preserve"> 31 March 202</w:t>
            </w:r>
            <w:r>
              <w:rPr>
                <w:rFonts w:ascii="Calibri" w:eastAsia="Calibri" w:hAnsi="Calibri" w:cs="Arial"/>
                <w:b/>
                <w:bCs/>
                <w:sz w:val="19"/>
                <w:szCs w:val="19"/>
                <w:lang w:val="en-US"/>
              </w:rPr>
              <w:t>2</w:t>
            </w:r>
          </w:p>
        </w:tc>
        <w:tc>
          <w:tcPr>
            <w:tcW w:w="650" w:type="pct"/>
            <w:tcBorders>
              <w:top w:val="nil"/>
              <w:left w:val="nil"/>
              <w:bottom w:val="single" w:sz="12" w:space="0" w:color="auto"/>
              <w:right w:val="nil"/>
            </w:tcBorders>
            <w:shd w:val="clear" w:color="auto" w:fill="auto"/>
          </w:tcPr>
          <w:p w14:paraId="79E61456" w14:textId="6AA1072D" w:rsidR="007E4759" w:rsidRPr="00537128" w:rsidRDefault="007E4759" w:rsidP="007E4759">
            <w:pPr>
              <w:tabs>
                <w:tab w:val="right" w:pos="1202"/>
              </w:tabs>
              <w:spacing w:after="0" w:line="301" w:lineRule="exact"/>
              <w:jc w:val="right"/>
              <w:outlineLvl w:val="0"/>
              <w:rPr>
                <w:rFonts w:ascii="Calibri" w:eastAsia="Calibri" w:hAnsi="Calibri" w:cs="Arial"/>
                <w:b/>
                <w:bCs/>
                <w:sz w:val="19"/>
                <w:szCs w:val="19"/>
                <w:lang w:val="en-US"/>
              </w:rPr>
            </w:pPr>
            <w:r w:rsidRPr="007A49AD">
              <w:rPr>
                <w:b/>
                <w:bCs/>
                <w:sz w:val="19"/>
                <w:szCs w:val="19"/>
              </w:rPr>
              <w:t xml:space="preserve"> 3</w:t>
            </w:r>
            <w:r>
              <w:rPr>
                <w:b/>
                <w:bCs/>
                <w:sz w:val="19"/>
                <w:szCs w:val="19"/>
              </w:rPr>
              <w:t>,</w:t>
            </w:r>
            <w:r w:rsidRPr="007A49AD">
              <w:rPr>
                <w:b/>
                <w:bCs/>
                <w:sz w:val="19"/>
                <w:szCs w:val="19"/>
              </w:rPr>
              <w:t xml:space="preserve">009 </w:t>
            </w:r>
          </w:p>
        </w:tc>
        <w:tc>
          <w:tcPr>
            <w:tcW w:w="650" w:type="pct"/>
            <w:tcBorders>
              <w:top w:val="nil"/>
              <w:left w:val="nil"/>
              <w:bottom w:val="single" w:sz="12" w:space="0" w:color="auto"/>
              <w:right w:val="nil"/>
            </w:tcBorders>
            <w:shd w:val="clear" w:color="auto" w:fill="auto"/>
          </w:tcPr>
          <w:p w14:paraId="0AA718C3" w14:textId="05118215" w:rsidR="007E4759" w:rsidRPr="00537128" w:rsidRDefault="007E4759" w:rsidP="007E4759">
            <w:pPr>
              <w:tabs>
                <w:tab w:val="right" w:pos="1202"/>
              </w:tabs>
              <w:spacing w:after="0" w:line="301" w:lineRule="exact"/>
              <w:jc w:val="right"/>
              <w:outlineLvl w:val="0"/>
              <w:rPr>
                <w:rFonts w:ascii="Calibri" w:eastAsia="Calibri" w:hAnsi="Calibri" w:cs="Arial"/>
                <w:b/>
                <w:bCs/>
                <w:sz w:val="19"/>
                <w:szCs w:val="19"/>
                <w:lang w:val="en-US"/>
              </w:rPr>
            </w:pPr>
            <w:r w:rsidRPr="007A49AD">
              <w:rPr>
                <w:b/>
                <w:bCs/>
                <w:sz w:val="19"/>
                <w:szCs w:val="19"/>
              </w:rPr>
              <w:t xml:space="preserve"> - </w:t>
            </w:r>
          </w:p>
        </w:tc>
        <w:tc>
          <w:tcPr>
            <w:tcW w:w="643" w:type="pct"/>
            <w:tcBorders>
              <w:top w:val="nil"/>
              <w:left w:val="nil"/>
              <w:bottom w:val="single" w:sz="12" w:space="0" w:color="auto"/>
              <w:right w:val="nil"/>
            </w:tcBorders>
            <w:shd w:val="clear" w:color="auto" w:fill="auto"/>
          </w:tcPr>
          <w:p w14:paraId="476DAB82" w14:textId="31C56749" w:rsidR="007E4759" w:rsidRPr="00537128" w:rsidRDefault="007E4759" w:rsidP="007E4759">
            <w:pPr>
              <w:tabs>
                <w:tab w:val="right" w:pos="1202"/>
              </w:tabs>
              <w:spacing w:after="0" w:line="301" w:lineRule="exact"/>
              <w:jc w:val="right"/>
              <w:outlineLvl w:val="0"/>
              <w:rPr>
                <w:rFonts w:ascii="Calibri" w:eastAsia="Calibri" w:hAnsi="Calibri" w:cs="Arial"/>
                <w:b/>
                <w:bCs/>
                <w:sz w:val="19"/>
                <w:szCs w:val="19"/>
                <w:lang w:val="en-US"/>
              </w:rPr>
            </w:pPr>
            <w:r w:rsidRPr="007A49AD">
              <w:rPr>
                <w:b/>
                <w:bCs/>
                <w:sz w:val="19"/>
                <w:szCs w:val="19"/>
              </w:rPr>
              <w:t xml:space="preserve"> 1</w:t>
            </w:r>
            <w:r>
              <w:rPr>
                <w:b/>
                <w:bCs/>
                <w:sz w:val="19"/>
                <w:szCs w:val="19"/>
              </w:rPr>
              <w:t>,</w:t>
            </w:r>
            <w:r w:rsidRPr="007A49AD">
              <w:rPr>
                <w:b/>
                <w:bCs/>
                <w:sz w:val="19"/>
                <w:szCs w:val="19"/>
              </w:rPr>
              <w:t xml:space="preserve">786 </w:t>
            </w:r>
          </w:p>
        </w:tc>
        <w:tc>
          <w:tcPr>
            <w:tcW w:w="605" w:type="pct"/>
            <w:tcBorders>
              <w:top w:val="nil"/>
              <w:left w:val="nil"/>
              <w:bottom w:val="single" w:sz="12" w:space="0" w:color="auto"/>
              <w:right w:val="nil"/>
            </w:tcBorders>
            <w:shd w:val="clear" w:color="auto" w:fill="auto"/>
          </w:tcPr>
          <w:p w14:paraId="55597CAE" w14:textId="31CCECF2" w:rsidR="007E4759" w:rsidRPr="00537128" w:rsidRDefault="007E4759" w:rsidP="007E4759">
            <w:pPr>
              <w:tabs>
                <w:tab w:val="right" w:pos="1202"/>
              </w:tabs>
              <w:spacing w:after="0" w:line="301" w:lineRule="exact"/>
              <w:jc w:val="right"/>
              <w:outlineLvl w:val="0"/>
              <w:rPr>
                <w:rFonts w:ascii="Calibri" w:eastAsia="Calibri" w:hAnsi="Calibri" w:cs="Arial"/>
                <w:b/>
                <w:bCs/>
                <w:sz w:val="19"/>
                <w:szCs w:val="19"/>
                <w:lang w:val="en-US"/>
              </w:rPr>
            </w:pPr>
            <w:r w:rsidRPr="007A49AD">
              <w:rPr>
                <w:b/>
                <w:bCs/>
                <w:sz w:val="19"/>
                <w:szCs w:val="19"/>
              </w:rPr>
              <w:t xml:space="preserve"> - </w:t>
            </w:r>
          </w:p>
        </w:tc>
        <w:tc>
          <w:tcPr>
            <w:tcW w:w="638" w:type="pct"/>
            <w:tcBorders>
              <w:top w:val="nil"/>
              <w:left w:val="nil"/>
              <w:bottom w:val="single" w:sz="12" w:space="0" w:color="auto"/>
              <w:right w:val="nil"/>
            </w:tcBorders>
            <w:shd w:val="clear" w:color="auto" w:fill="auto"/>
          </w:tcPr>
          <w:p w14:paraId="651112F9" w14:textId="23738B3A" w:rsidR="007E4759" w:rsidRPr="00537128" w:rsidRDefault="007E4759" w:rsidP="007E4759">
            <w:pPr>
              <w:tabs>
                <w:tab w:val="right" w:pos="1202"/>
              </w:tabs>
              <w:spacing w:after="0" w:line="301" w:lineRule="exact"/>
              <w:jc w:val="right"/>
              <w:outlineLvl w:val="0"/>
              <w:rPr>
                <w:rFonts w:ascii="Calibri" w:eastAsia="Calibri" w:hAnsi="Calibri" w:cs="Arial"/>
                <w:b/>
                <w:bCs/>
                <w:sz w:val="19"/>
                <w:szCs w:val="19"/>
                <w:lang w:val="en-US"/>
              </w:rPr>
            </w:pPr>
            <w:r w:rsidRPr="007A49AD">
              <w:rPr>
                <w:b/>
                <w:bCs/>
                <w:sz w:val="19"/>
                <w:szCs w:val="19"/>
              </w:rPr>
              <w:t xml:space="preserve"> 4</w:t>
            </w:r>
            <w:r>
              <w:rPr>
                <w:b/>
                <w:bCs/>
                <w:sz w:val="19"/>
                <w:szCs w:val="19"/>
              </w:rPr>
              <w:t>,</w:t>
            </w:r>
            <w:r w:rsidRPr="007A49AD">
              <w:rPr>
                <w:b/>
                <w:bCs/>
                <w:sz w:val="19"/>
                <w:szCs w:val="19"/>
              </w:rPr>
              <w:t xml:space="preserve">795 </w:t>
            </w:r>
          </w:p>
        </w:tc>
      </w:tr>
    </w:tbl>
    <w:p w14:paraId="11006C25" w14:textId="77777777" w:rsidR="00D20207" w:rsidRPr="00537128" w:rsidRDefault="00D20207" w:rsidP="00024090">
      <w:pPr>
        <w:spacing w:after="0" w:line="240" w:lineRule="auto"/>
        <w:rPr>
          <w:rFonts w:ascii="Calibri" w:eastAsia="Calibri" w:hAnsi="Calibri" w:cs="Times New Roman"/>
          <w:noProof/>
          <w:color w:val="000000" w:themeColor="text1"/>
          <w:lang w:val="en-US"/>
        </w:rPr>
      </w:pPr>
    </w:p>
    <w:p w14:paraId="3509116D" w14:textId="508BF3F6" w:rsidR="00024090" w:rsidRDefault="00024090" w:rsidP="00024090">
      <w:pPr>
        <w:spacing w:after="0" w:line="240" w:lineRule="auto"/>
        <w:rPr>
          <w:rFonts w:ascii="Calibri" w:eastAsia="Calibri" w:hAnsi="Calibri" w:cs="Times New Roman"/>
          <w:noProof/>
          <w:color w:val="000000" w:themeColor="text1"/>
          <w:lang w:val="en-US"/>
        </w:rPr>
      </w:pPr>
    </w:p>
    <w:p w14:paraId="241AF704" w14:textId="77777777" w:rsidR="00233176" w:rsidRPr="00537128" w:rsidRDefault="00233176" w:rsidP="00024090">
      <w:pPr>
        <w:spacing w:after="0" w:line="240" w:lineRule="auto"/>
        <w:rPr>
          <w:rFonts w:ascii="Calibri" w:eastAsia="Calibri" w:hAnsi="Calibri" w:cs="Times New Roman"/>
          <w:noProof/>
          <w:color w:val="000000" w:themeColor="text1"/>
          <w:lang w:val="en-US"/>
        </w:rPr>
      </w:pPr>
    </w:p>
    <w:p w14:paraId="2B270D58" w14:textId="77777777" w:rsidR="004A287E" w:rsidRPr="00537128" w:rsidRDefault="004A287E" w:rsidP="00024090">
      <w:pPr>
        <w:spacing w:after="0" w:line="240" w:lineRule="auto"/>
        <w:rPr>
          <w:rFonts w:ascii="Calibri" w:eastAsia="Calibri" w:hAnsi="Calibri" w:cs="Times New Roman"/>
          <w:noProof/>
          <w:color w:val="000000" w:themeColor="text1"/>
          <w:lang w:val="en-US"/>
        </w:rPr>
      </w:pPr>
    </w:p>
    <w:p w14:paraId="37EE51CC" w14:textId="77777777" w:rsidR="00D20207" w:rsidRPr="00537128" w:rsidRDefault="00D20207"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233176" w:rsidRPr="00233176" w14:paraId="3C010417" w14:textId="77777777" w:rsidTr="00E44437">
        <w:trPr>
          <w:trHeight w:val="153"/>
        </w:trPr>
        <w:tc>
          <w:tcPr>
            <w:tcW w:w="1814" w:type="pct"/>
          </w:tcPr>
          <w:p w14:paraId="4063AAF2" w14:textId="77777777" w:rsidR="00233176" w:rsidRPr="00233176" w:rsidRDefault="00233176" w:rsidP="00233176">
            <w:pPr>
              <w:spacing w:after="0" w:line="240" w:lineRule="auto"/>
              <w:rPr>
                <w:rFonts w:ascii="Calibri" w:eastAsia="Calibri" w:hAnsi="Calibri" w:cs="Arial"/>
                <w:b/>
                <w:bCs/>
                <w:sz w:val="19"/>
                <w:szCs w:val="19"/>
                <w:lang w:val="en-GB"/>
              </w:rPr>
            </w:pPr>
            <w:r w:rsidRPr="00233176">
              <w:rPr>
                <w:rFonts w:ascii="Calibri" w:eastAsia="Calibri" w:hAnsi="Calibri" w:cs="Arial"/>
                <w:b/>
                <w:bCs/>
                <w:sz w:val="19"/>
                <w:szCs w:val="19"/>
                <w:lang w:val="en-GB"/>
              </w:rPr>
              <w:br w:type="page"/>
              <w:t>Bank</w:t>
            </w:r>
          </w:p>
        </w:tc>
        <w:tc>
          <w:tcPr>
            <w:tcW w:w="3186" w:type="pct"/>
            <w:gridSpan w:val="5"/>
            <w:vAlign w:val="bottom"/>
          </w:tcPr>
          <w:p w14:paraId="4AA1CB4C" w14:textId="77777777" w:rsidR="00233176" w:rsidRPr="00233176" w:rsidRDefault="00233176" w:rsidP="00233176">
            <w:pPr>
              <w:spacing w:after="0" w:line="240" w:lineRule="auto"/>
              <w:jc w:val="center"/>
              <w:rPr>
                <w:rFonts w:ascii="Calibri" w:eastAsia="Calibri" w:hAnsi="Calibri" w:cs="Arial"/>
                <w:b/>
                <w:sz w:val="19"/>
                <w:szCs w:val="19"/>
                <w:lang w:val="en-GB"/>
              </w:rPr>
            </w:pPr>
          </w:p>
        </w:tc>
      </w:tr>
      <w:tr w:rsidR="00233176" w:rsidRPr="00233176" w14:paraId="20AB4600" w14:textId="77777777" w:rsidTr="00E44437">
        <w:trPr>
          <w:trHeight w:val="51"/>
        </w:trPr>
        <w:tc>
          <w:tcPr>
            <w:tcW w:w="1814" w:type="pct"/>
          </w:tcPr>
          <w:p w14:paraId="0E06CC43" w14:textId="77777777" w:rsidR="00233176" w:rsidRPr="00233176" w:rsidRDefault="00233176" w:rsidP="00233176">
            <w:pPr>
              <w:spacing w:after="0" w:line="240" w:lineRule="auto"/>
              <w:rPr>
                <w:rFonts w:ascii="Calibri" w:eastAsia="Calibri" w:hAnsi="Calibri" w:cs="Arial"/>
                <w:b/>
                <w:bCs/>
                <w:sz w:val="19"/>
                <w:szCs w:val="19"/>
                <w:lang w:val="en-GB"/>
              </w:rPr>
            </w:pPr>
            <w:r w:rsidRPr="00233176">
              <w:rPr>
                <w:rFonts w:ascii="Calibri" w:eastAsia="Calibri" w:hAnsi="Calibri" w:cs="Arial"/>
                <w:b/>
                <w:bCs/>
                <w:sz w:val="19"/>
                <w:szCs w:val="19"/>
                <w:lang w:val="en-GB"/>
              </w:rPr>
              <w:t>31 December 2021</w:t>
            </w:r>
          </w:p>
        </w:tc>
        <w:tc>
          <w:tcPr>
            <w:tcW w:w="650" w:type="pct"/>
            <w:vAlign w:val="bottom"/>
          </w:tcPr>
          <w:p w14:paraId="35D6DB04" w14:textId="77777777" w:rsidR="00233176" w:rsidRPr="00233176" w:rsidRDefault="00233176" w:rsidP="00233176">
            <w:pPr>
              <w:spacing w:after="0" w:line="240" w:lineRule="auto"/>
              <w:jc w:val="right"/>
              <w:rPr>
                <w:rFonts w:ascii="Calibri" w:eastAsia="Calibri" w:hAnsi="Calibri" w:cs="Arial"/>
                <w:b/>
                <w:sz w:val="19"/>
                <w:szCs w:val="19"/>
                <w:lang w:val="en-GB"/>
              </w:rPr>
            </w:pPr>
            <w:r w:rsidRPr="00233176">
              <w:rPr>
                <w:rFonts w:ascii="Calibri" w:eastAsia="Calibri" w:hAnsi="Calibri" w:cs="Arial"/>
                <w:b/>
                <w:sz w:val="19"/>
                <w:szCs w:val="19"/>
                <w:lang w:val="en-GB"/>
              </w:rPr>
              <w:t>Stage 1</w:t>
            </w:r>
          </w:p>
        </w:tc>
        <w:tc>
          <w:tcPr>
            <w:tcW w:w="650" w:type="pct"/>
            <w:vAlign w:val="bottom"/>
          </w:tcPr>
          <w:p w14:paraId="0E9CF688" w14:textId="77777777" w:rsidR="00233176" w:rsidRPr="00233176" w:rsidRDefault="00233176" w:rsidP="00233176">
            <w:pPr>
              <w:spacing w:after="0" w:line="240" w:lineRule="auto"/>
              <w:jc w:val="right"/>
              <w:rPr>
                <w:rFonts w:ascii="Calibri" w:eastAsia="Calibri" w:hAnsi="Calibri" w:cs="Arial"/>
                <w:b/>
                <w:sz w:val="19"/>
                <w:szCs w:val="19"/>
                <w:lang w:val="en-GB"/>
              </w:rPr>
            </w:pPr>
            <w:r w:rsidRPr="00233176">
              <w:rPr>
                <w:rFonts w:ascii="Calibri" w:eastAsia="Calibri" w:hAnsi="Calibri" w:cs="Arial"/>
                <w:b/>
                <w:sz w:val="19"/>
                <w:szCs w:val="19"/>
                <w:lang w:val="en-GB"/>
              </w:rPr>
              <w:t>Stage 2</w:t>
            </w:r>
          </w:p>
        </w:tc>
        <w:tc>
          <w:tcPr>
            <w:tcW w:w="643" w:type="pct"/>
            <w:vAlign w:val="bottom"/>
          </w:tcPr>
          <w:p w14:paraId="36AA7D39" w14:textId="77777777" w:rsidR="00233176" w:rsidRPr="00233176" w:rsidRDefault="00233176" w:rsidP="00233176">
            <w:pPr>
              <w:spacing w:after="0" w:line="240" w:lineRule="auto"/>
              <w:jc w:val="right"/>
              <w:rPr>
                <w:rFonts w:ascii="Calibri" w:eastAsia="Calibri" w:hAnsi="Calibri" w:cs="Arial"/>
                <w:b/>
                <w:sz w:val="19"/>
                <w:szCs w:val="19"/>
                <w:lang w:val="en-GB"/>
              </w:rPr>
            </w:pPr>
            <w:r w:rsidRPr="00233176">
              <w:rPr>
                <w:rFonts w:ascii="Calibri" w:eastAsia="Calibri" w:hAnsi="Calibri" w:cs="Arial"/>
                <w:b/>
                <w:sz w:val="19"/>
                <w:szCs w:val="19"/>
                <w:lang w:val="en-GB"/>
              </w:rPr>
              <w:t>Stage 3</w:t>
            </w:r>
          </w:p>
        </w:tc>
        <w:tc>
          <w:tcPr>
            <w:tcW w:w="605" w:type="pct"/>
            <w:vAlign w:val="bottom"/>
          </w:tcPr>
          <w:p w14:paraId="4592C7ED" w14:textId="77777777" w:rsidR="00233176" w:rsidRPr="00233176" w:rsidRDefault="00233176" w:rsidP="00233176">
            <w:pPr>
              <w:spacing w:after="0" w:line="240" w:lineRule="auto"/>
              <w:jc w:val="right"/>
              <w:rPr>
                <w:rFonts w:ascii="Calibri" w:eastAsia="Calibri" w:hAnsi="Calibri" w:cs="Arial"/>
                <w:b/>
                <w:sz w:val="19"/>
                <w:szCs w:val="19"/>
                <w:lang w:val="en-GB"/>
              </w:rPr>
            </w:pPr>
            <w:r w:rsidRPr="00233176">
              <w:rPr>
                <w:rFonts w:ascii="Calibri" w:eastAsia="Calibri" w:hAnsi="Calibri" w:cs="Arial"/>
                <w:b/>
                <w:sz w:val="19"/>
                <w:szCs w:val="19"/>
                <w:lang w:val="en-GB"/>
              </w:rPr>
              <w:t>POCI</w:t>
            </w:r>
          </w:p>
        </w:tc>
        <w:tc>
          <w:tcPr>
            <w:tcW w:w="638" w:type="pct"/>
            <w:vAlign w:val="bottom"/>
          </w:tcPr>
          <w:p w14:paraId="2B0CAF3B" w14:textId="77777777" w:rsidR="00233176" w:rsidRPr="00233176" w:rsidRDefault="00233176" w:rsidP="00233176">
            <w:pPr>
              <w:spacing w:after="0" w:line="240" w:lineRule="auto"/>
              <w:jc w:val="right"/>
              <w:rPr>
                <w:rFonts w:ascii="Calibri" w:eastAsia="Calibri" w:hAnsi="Calibri" w:cs="Arial"/>
                <w:b/>
                <w:sz w:val="19"/>
                <w:szCs w:val="19"/>
                <w:lang w:val="en-GB"/>
              </w:rPr>
            </w:pPr>
            <w:r w:rsidRPr="00233176">
              <w:rPr>
                <w:rFonts w:ascii="Calibri" w:eastAsia="Calibri" w:hAnsi="Calibri" w:cs="Arial"/>
                <w:b/>
                <w:sz w:val="19"/>
                <w:szCs w:val="19"/>
                <w:lang w:val="en-GB"/>
              </w:rPr>
              <w:t>Total</w:t>
            </w:r>
          </w:p>
        </w:tc>
      </w:tr>
      <w:tr w:rsidR="00233176" w:rsidRPr="00233176" w14:paraId="7976EA60" w14:textId="77777777" w:rsidTr="00E44437">
        <w:trPr>
          <w:trHeight w:val="51"/>
        </w:trPr>
        <w:tc>
          <w:tcPr>
            <w:tcW w:w="1814" w:type="pct"/>
          </w:tcPr>
          <w:p w14:paraId="65A92020" w14:textId="77777777" w:rsidR="00233176" w:rsidRPr="00233176" w:rsidRDefault="00233176" w:rsidP="00233176">
            <w:pPr>
              <w:spacing w:after="0" w:line="240" w:lineRule="auto"/>
              <w:rPr>
                <w:rFonts w:ascii="Calibri" w:eastAsia="Calibri" w:hAnsi="Calibri" w:cs="Arial"/>
                <w:b/>
                <w:bCs/>
                <w:sz w:val="19"/>
                <w:szCs w:val="19"/>
                <w:lang w:val="en-GB"/>
              </w:rPr>
            </w:pPr>
          </w:p>
        </w:tc>
        <w:tc>
          <w:tcPr>
            <w:tcW w:w="650" w:type="pct"/>
          </w:tcPr>
          <w:p w14:paraId="24425952" w14:textId="77777777" w:rsidR="00233176" w:rsidRPr="00233176" w:rsidRDefault="00233176" w:rsidP="00233176">
            <w:pPr>
              <w:spacing w:after="0" w:line="240" w:lineRule="auto"/>
              <w:jc w:val="right"/>
              <w:rPr>
                <w:rFonts w:ascii="Calibri" w:eastAsia="Calibri" w:hAnsi="Calibri" w:cs="Arial"/>
                <w:b/>
                <w:sz w:val="19"/>
                <w:szCs w:val="19"/>
                <w:lang w:val="en-GB"/>
              </w:rPr>
            </w:pPr>
            <w:r w:rsidRPr="00233176">
              <w:rPr>
                <w:rFonts w:ascii="Calibri" w:eastAsia="Calibri" w:hAnsi="Calibri" w:cs="Arial"/>
                <w:b/>
                <w:sz w:val="19"/>
                <w:szCs w:val="19"/>
                <w:lang w:val="en-GB"/>
              </w:rPr>
              <w:t>HRK ‘000</w:t>
            </w:r>
          </w:p>
        </w:tc>
        <w:tc>
          <w:tcPr>
            <w:tcW w:w="650" w:type="pct"/>
          </w:tcPr>
          <w:p w14:paraId="206975A2" w14:textId="77777777" w:rsidR="00233176" w:rsidRPr="00233176" w:rsidRDefault="00233176" w:rsidP="00233176">
            <w:pPr>
              <w:spacing w:after="0" w:line="240" w:lineRule="auto"/>
              <w:jc w:val="right"/>
              <w:rPr>
                <w:rFonts w:ascii="Calibri" w:eastAsia="Calibri" w:hAnsi="Calibri" w:cs="Arial"/>
                <w:b/>
                <w:sz w:val="19"/>
                <w:szCs w:val="19"/>
                <w:lang w:val="en-GB"/>
              </w:rPr>
            </w:pPr>
            <w:r w:rsidRPr="00233176">
              <w:rPr>
                <w:rFonts w:ascii="Calibri" w:eastAsia="Calibri" w:hAnsi="Calibri" w:cs="Arial"/>
                <w:b/>
                <w:sz w:val="19"/>
                <w:szCs w:val="19"/>
                <w:lang w:val="en-GB"/>
              </w:rPr>
              <w:t>HRK ‘000</w:t>
            </w:r>
          </w:p>
        </w:tc>
        <w:tc>
          <w:tcPr>
            <w:tcW w:w="643" w:type="pct"/>
          </w:tcPr>
          <w:p w14:paraId="08D28F56" w14:textId="77777777" w:rsidR="00233176" w:rsidRPr="00233176" w:rsidRDefault="00233176" w:rsidP="00233176">
            <w:pPr>
              <w:spacing w:after="0" w:line="240" w:lineRule="auto"/>
              <w:jc w:val="right"/>
              <w:rPr>
                <w:rFonts w:ascii="Calibri" w:eastAsia="Calibri" w:hAnsi="Calibri" w:cs="Arial"/>
                <w:b/>
                <w:sz w:val="19"/>
                <w:szCs w:val="19"/>
                <w:lang w:val="en-GB"/>
              </w:rPr>
            </w:pPr>
            <w:r w:rsidRPr="00233176">
              <w:rPr>
                <w:rFonts w:ascii="Calibri" w:eastAsia="Calibri" w:hAnsi="Calibri" w:cs="Arial"/>
                <w:b/>
                <w:sz w:val="19"/>
                <w:szCs w:val="19"/>
                <w:lang w:val="en-GB"/>
              </w:rPr>
              <w:t>HRK ‘000</w:t>
            </w:r>
          </w:p>
        </w:tc>
        <w:tc>
          <w:tcPr>
            <w:tcW w:w="605" w:type="pct"/>
          </w:tcPr>
          <w:p w14:paraId="10D194A9" w14:textId="77777777" w:rsidR="00233176" w:rsidRPr="00233176" w:rsidRDefault="00233176" w:rsidP="00233176">
            <w:pPr>
              <w:spacing w:after="0" w:line="240" w:lineRule="auto"/>
              <w:jc w:val="right"/>
              <w:rPr>
                <w:rFonts w:ascii="Calibri" w:eastAsia="Calibri" w:hAnsi="Calibri" w:cs="Arial"/>
                <w:b/>
                <w:sz w:val="19"/>
                <w:szCs w:val="19"/>
                <w:lang w:val="en-GB"/>
              </w:rPr>
            </w:pPr>
            <w:r w:rsidRPr="00233176">
              <w:rPr>
                <w:rFonts w:ascii="Calibri" w:eastAsia="Calibri" w:hAnsi="Calibri" w:cs="Arial"/>
                <w:b/>
                <w:sz w:val="19"/>
                <w:szCs w:val="19"/>
                <w:lang w:val="en-GB"/>
              </w:rPr>
              <w:t>HRK ‘000</w:t>
            </w:r>
          </w:p>
        </w:tc>
        <w:tc>
          <w:tcPr>
            <w:tcW w:w="638" w:type="pct"/>
          </w:tcPr>
          <w:p w14:paraId="5340D6A2" w14:textId="77777777" w:rsidR="00233176" w:rsidRPr="00233176" w:rsidRDefault="00233176" w:rsidP="00233176">
            <w:pPr>
              <w:spacing w:after="0" w:line="240" w:lineRule="auto"/>
              <w:jc w:val="right"/>
              <w:rPr>
                <w:rFonts w:ascii="Calibri" w:eastAsia="Calibri" w:hAnsi="Calibri" w:cs="Arial"/>
                <w:b/>
                <w:sz w:val="19"/>
                <w:szCs w:val="19"/>
                <w:lang w:val="en-GB"/>
              </w:rPr>
            </w:pPr>
            <w:r w:rsidRPr="00233176">
              <w:rPr>
                <w:rFonts w:ascii="Calibri" w:eastAsia="Calibri" w:hAnsi="Calibri" w:cs="Arial"/>
                <w:b/>
                <w:sz w:val="19"/>
                <w:szCs w:val="19"/>
                <w:lang w:val="en-GB"/>
              </w:rPr>
              <w:t>HRK ‘000</w:t>
            </w:r>
          </w:p>
        </w:tc>
      </w:tr>
      <w:tr w:rsidR="00233176" w:rsidRPr="00233176" w14:paraId="6D8960A1" w14:textId="77777777" w:rsidTr="00E44437">
        <w:trPr>
          <w:trHeight w:val="51"/>
        </w:trPr>
        <w:tc>
          <w:tcPr>
            <w:tcW w:w="1814" w:type="pct"/>
          </w:tcPr>
          <w:p w14:paraId="620A69CC" w14:textId="77777777" w:rsidR="00233176" w:rsidRPr="00233176" w:rsidRDefault="00233176" w:rsidP="00233176">
            <w:pPr>
              <w:spacing w:after="0" w:line="240" w:lineRule="auto"/>
              <w:rPr>
                <w:rFonts w:ascii="Calibri" w:eastAsia="Calibri" w:hAnsi="Calibri" w:cs="Arial"/>
                <w:b/>
                <w:bCs/>
                <w:sz w:val="12"/>
                <w:szCs w:val="12"/>
                <w:lang w:val="en-GB"/>
              </w:rPr>
            </w:pPr>
          </w:p>
        </w:tc>
        <w:tc>
          <w:tcPr>
            <w:tcW w:w="650" w:type="pct"/>
          </w:tcPr>
          <w:p w14:paraId="448999F1" w14:textId="77777777" w:rsidR="00233176" w:rsidRPr="00233176" w:rsidRDefault="00233176" w:rsidP="00233176">
            <w:pPr>
              <w:spacing w:after="0" w:line="240" w:lineRule="auto"/>
              <w:jc w:val="right"/>
              <w:rPr>
                <w:rFonts w:ascii="Calibri" w:eastAsia="Calibri" w:hAnsi="Calibri" w:cs="Arial"/>
                <w:b/>
                <w:sz w:val="12"/>
                <w:szCs w:val="12"/>
                <w:lang w:val="en-GB"/>
              </w:rPr>
            </w:pPr>
          </w:p>
        </w:tc>
        <w:tc>
          <w:tcPr>
            <w:tcW w:w="650" w:type="pct"/>
          </w:tcPr>
          <w:p w14:paraId="6DE37C6D" w14:textId="77777777" w:rsidR="00233176" w:rsidRPr="00233176" w:rsidRDefault="00233176" w:rsidP="00233176">
            <w:pPr>
              <w:spacing w:after="0" w:line="240" w:lineRule="auto"/>
              <w:jc w:val="right"/>
              <w:rPr>
                <w:rFonts w:ascii="Calibri" w:eastAsia="Calibri" w:hAnsi="Calibri" w:cs="Arial"/>
                <w:b/>
                <w:sz w:val="12"/>
                <w:szCs w:val="12"/>
                <w:lang w:val="en-GB"/>
              </w:rPr>
            </w:pPr>
          </w:p>
        </w:tc>
        <w:tc>
          <w:tcPr>
            <w:tcW w:w="643" w:type="pct"/>
          </w:tcPr>
          <w:p w14:paraId="4B29658C" w14:textId="77777777" w:rsidR="00233176" w:rsidRPr="00233176" w:rsidRDefault="00233176" w:rsidP="00233176">
            <w:pPr>
              <w:spacing w:after="0" w:line="240" w:lineRule="auto"/>
              <w:jc w:val="right"/>
              <w:rPr>
                <w:rFonts w:ascii="Calibri" w:eastAsia="Calibri" w:hAnsi="Calibri" w:cs="Arial"/>
                <w:b/>
                <w:sz w:val="12"/>
                <w:szCs w:val="12"/>
                <w:lang w:val="en-GB"/>
              </w:rPr>
            </w:pPr>
          </w:p>
        </w:tc>
        <w:tc>
          <w:tcPr>
            <w:tcW w:w="605" w:type="pct"/>
          </w:tcPr>
          <w:p w14:paraId="0E2980C2" w14:textId="77777777" w:rsidR="00233176" w:rsidRPr="00233176" w:rsidRDefault="00233176" w:rsidP="00233176">
            <w:pPr>
              <w:spacing w:after="0" w:line="240" w:lineRule="auto"/>
              <w:jc w:val="right"/>
              <w:rPr>
                <w:rFonts w:ascii="Calibri" w:eastAsia="Calibri" w:hAnsi="Calibri" w:cs="Arial"/>
                <w:b/>
                <w:sz w:val="12"/>
                <w:szCs w:val="12"/>
                <w:lang w:val="en-GB"/>
              </w:rPr>
            </w:pPr>
          </w:p>
        </w:tc>
        <w:tc>
          <w:tcPr>
            <w:tcW w:w="638" w:type="pct"/>
          </w:tcPr>
          <w:p w14:paraId="693D3E3C" w14:textId="77777777" w:rsidR="00233176" w:rsidRPr="00233176" w:rsidRDefault="00233176" w:rsidP="00233176">
            <w:pPr>
              <w:spacing w:after="0" w:line="240" w:lineRule="auto"/>
              <w:jc w:val="right"/>
              <w:rPr>
                <w:rFonts w:ascii="Calibri" w:eastAsia="Calibri" w:hAnsi="Calibri" w:cs="Arial"/>
                <w:b/>
                <w:sz w:val="12"/>
                <w:szCs w:val="12"/>
                <w:lang w:val="en-GB"/>
              </w:rPr>
            </w:pPr>
          </w:p>
        </w:tc>
      </w:tr>
      <w:tr w:rsidR="00233176" w:rsidRPr="00233176" w14:paraId="71D9B383" w14:textId="77777777" w:rsidTr="00E44437">
        <w:trPr>
          <w:trHeight w:hRule="exact" w:val="241"/>
        </w:trPr>
        <w:tc>
          <w:tcPr>
            <w:tcW w:w="1814" w:type="pct"/>
            <w:vAlign w:val="bottom"/>
          </w:tcPr>
          <w:p w14:paraId="4A4D02B7" w14:textId="77777777" w:rsidR="00233176" w:rsidRPr="00233176" w:rsidRDefault="00233176" w:rsidP="00233176">
            <w:pPr>
              <w:tabs>
                <w:tab w:val="right" w:pos="1202"/>
              </w:tabs>
              <w:spacing w:after="0" w:line="240" w:lineRule="auto"/>
              <w:outlineLvl w:val="0"/>
              <w:rPr>
                <w:rFonts w:ascii="Calibri" w:eastAsia="Calibri" w:hAnsi="Calibri" w:cs="Times New Roman"/>
                <w:sz w:val="19"/>
                <w:szCs w:val="19"/>
                <w:lang w:val="en-GB"/>
              </w:rPr>
            </w:pPr>
            <w:r w:rsidRPr="00233176">
              <w:rPr>
                <w:rFonts w:ascii="Calibri" w:eastAsia="Calibri" w:hAnsi="Calibri" w:cs="Times New Roman"/>
                <w:sz w:val="19"/>
                <w:szCs w:val="19"/>
                <w:lang w:val="en-GB"/>
              </w:rPr>
              <w:t xml:space="preserve">Balance </w:t>
            </w:r>
            <w:proofErr w:type="gramStart"/>
            <w:r w:rsidRPr="00233176">
              <w:rPr>
                <w:rFonts w:ascii="Calibri" w:eastAsia="Calibri" w:hAnsi="Calibri" w:cs="Times New Roman"/>
                <w:sz w:val="19"/>
                <w:szCs w:val="19"/>
                <w:lang w:val="en-GB"/>
              </w:rPr>
              <w:t>at</w:t>
            </w:r>
            <w:proofErr w:type="gramEnd"/>
            <w:r w:rsidRPr="00233176">
              <w:rPr>
                <w:rFonts w:ascii="Calibri" w:eastAsia="Calibri" w:hAnsi="Calibri" w:cs="Times New Roman"/>
                <w:sz w:val="19"/>
                <w:szCs w:val="19"/>
                <w:lang w:val="en-GB"/>
              </w:rPr>
              <w:t xml:space="preserve"> 1 January 2021</w:t>
            </w:r>
          </w:p>
        </w:tc>
        <w:tc>
          <w:tcPr>
            <w:tcW w:w="650" w:type="pct"/>
            <w:tcBorders>
              <w:top w:val="nil"/>
              <w:left w:val="nil"/>
              <w:bottom w:val="nil"/>
              <w:right w:val="nil"/>
            </w:tcBorders>
            <w:shd w:val="clear" w:color="auto" w:fill="auto"/>
          </w:tcPr>
          <w:p w14:paraId="076DF4A2" w14:textId="77777777" w:rsidR="00233176" w:rsidRPr="00233176" w:rsidRDefault="00233176" w:rsidP="00233176">
            <w:pPr>
              <w:spacing w:after="0" w:line="240" w:lineRule="auto"/>
              <w:jc w:val="right"/>
              <w:rPr>
                <w:rFonts w:ascii="Calibri" w:eastAsia="Calibri" w:hAnsi="Calibri" w:cs="Arial"/>
                <w:sz w:val="19"/>
                <w:szCs w:val="19"/>
                <w:lang w:val="en-GB"/>
              </w:rPr>
            </w:pPr>
            <w:r w:rsidRPr="00233176">
              <w:rPr>
                <w:rFonts w:ascii="Calibri" w:eastAsia="Times New Roman" w:hAnsi="Calibri" w:cs="Times New Roman"/>
                <w:sz w:val="19"/>
                <w:szCs w:val="19"/>
                <w:lang w:val="en-US"/>
              </w:rPr>
              <w:t xml:space="preserve"> 2,852 </w:t>
            </w:r>
          </w:p>
        </w:tc>
        <w:tc>
          <w:tcPr>
            <w:tcW w:w="650" w:type="pct"/>
            <w:tcBorders>
              <w:top w:val="nil"/>
              <w:left w:val="nil"/>
              <w:bottom w:val="nil"/>
              <w:right w:val="nil"/>
            </w:tcBorders>
            <w:shd w:val="clear" w:color="auto" w:fill="auto"/>
          </w:tcPr>
          <w:p w14:paraId="204EAFA3" w14:textId="77777777" w:rsidR="00233176" w:rsidRPr="00233176" w:rsidRDefault="00233176" w:rsidP="00233176">
            <w:pPr>
              <w:spacing w:after="0" w:line="240" w:lineRule="auto"/>
              <w:jc w:val="right"/>
              <w:rPr>
                <w:rFonts w:ascii="Calibri" w:eastAsia="Calibri" w:hAnsi="Calibri" w:cs="Arial"/>
                <w:sz w:val="19"/>
                <w:szCs w:val="19"/>
                <w:lang w:val="en-GB"/>
              </w:rPr>
            </w:pPr>
            <w:r w:rsidRPr="00233176">
              <w:rPr>
                <w:rFonts w:ascii="Calibri" w:eastAsia="Times New Roman" w:hAnsi="Calibri" w:cs="Times New Roman"/>
                <w:sz w:val="19"/>
                <w:szCs w:val="19"/>
                <w:lang w:val="en-US"/>
              </w:rPr>
              <w:t xml:space="preserve"> - </w:t>
            </w:r>
          </w:p>
        </w:tc>
        <w:tc>
          <w:tcPr>
            <w:tcW w:w="643" w:type="pct"/>
            <w:tcBorders>
              <w:top w:val="nil"/>
              <w:left w:val="nil"/>
              <w:bottom w:val="nil"/>
              <w:right w:val="nil"/>
            </w:tcBorders>
            <w:shd w:val="clear" w:color="auto" w:fill="auto"/>
          </w:tcPr>
          <w:p w14:paraId="05B4D051" w14:textId="77777777" w:rsidR="00233176" w:rsidRPr="00233176" w:rsidRDefault="00233176" w:rsidP="00233176">
            <w:pPr>
              <w:spacing w:after="0" w:line="240" w:lineRule="auto"/>
              <w:jc w:val="right"/>
              <w:rPr>
                <w:rFonts w:ascii="Calibri" w:eastAsia="Calibri" w:hAnsi="Calibri" w:cs="Arial"/>
                <w:sz w:val="19"/>
                <w:szCs w:val="19"/>
                <w:lang w:val="en-GB"/>
              </w:rPr>
            </w:pPr>
            <w:r w:rsidRPr="00233176">
              <w:rPr>
                <w:rFonts w:ascii="Calibri" w:eastAsia="Times New Roman" w:hAnsi="Calibri" w:cs="Times New Roman"/>
                <w:sz w:val="19"/>
                <w:szCs w:val="19"/>
                <w:lang w:val="en-US"/>
              </w:rPr>
              <w:t xml:space="preserve"> 1,647 </w:t>
            </w:r>
          </w:p>
        </w:tc>
        <w:tc>
          <w:tcPr>
            <w:tcW w:w="605" w:type="pct"/>
            <w:tcBorders>
              <w:top w:val="nil"/>
              <w:left w:val="nil"/>
              <w:bottom w:val="nil"/>
              <w:right w:val="nil"/>
            </w:tcBorders>
            <w:shd w:val="clear" w:color="auto" w:fill="auto"/>
          </w:tcPr>
          <w:p w14:paraId="04A86D93" w14:textId="77777777" w:rsidR="00233176" w:rsidRPr="00233176" w:rsidRDefault="00233176" w:rsidP="00233176">
            <w:pPr>
              <w:spacing w:after="0" w:line="240" w:lineRule="auto"/>
              <w:jc w:val="right"/>
              <w:rPr>
                <w:rFonts w:ascii="Calibri" w:eastAsia="Calibri" w:hAnsi="Calibri" w:cs="Arial"/>
                <w:sz w:val="19"/>
                <w:szCs w:val="19"/>
                <w:lang w:val="en-GB"/>
              </w:rPr>
            </w:pPr>
            <w:r w:rsidRPr="00233176">
              <w:rPr>
                <w:rFonts w:ascii="Calibri" w:eastAsia="Times New Roman" w:hAnsi="Calibri" w:cs="Times New Roman"/>
                <w:sz w:val="19"/>
                <w:szCs w:val="19"/>
                <w:lang w:val="en-US"/>
              </w:rPr>
              <w:t xml:space="preserve"> -    </w:t>
            </w:r>
          </w:p>
        </w:tc>
        <w:tc>
          <w:tcPr>
            <w:tcW w:w="638" w:type="pct"/>
            <w:tcBorders>
              <w:top w:val="nil"/>
              <w:left w:val="nil"/>
              <w:bottom w:val="nil"/>
              <w:right w:val="nil"/>
            </w:tcBorders>
            <w:shd w:val="clear" w:color="auto" w:fill="auto"/>
          </w:tcPr>
          <w:p w14:paraId="4C805214" w14:textId="77777777" w:rsidR="00233176" w:rsidRPr="00233176" w:rsidRDefault="00233176" w:rsidP="00233176">
            <w:pPr>
              <w:spacing w:after="0" w:line="240" w:lineRule="auto"/>
              <w:jc w:val="right"/>
              <w:rPr>
                <w:rFonts w:ascii="Calibri" w:eastAsia="Calibri" w:hAnsi="Calibri" w:cs="Arial"/>
                <w:sz w:val="19"/>
                <w:szCs w:val="19"/>
                <w:lang w:val="en-GB"/>
              </w:rPr>
            </w:pPr>
            <w:r w:rsidRPr="00233176">
              <w:rPr>
                <w:rFonts w:ascii="Calibri" w:eastAsia="Times New Roman" w:hAnsi="Calibri" w:cs="Times New Roman"/>
                <w:sz w:val="19"/>
                <w:szCs w:val="19"/>
                <w:lang w:val="en-US"/>
              </w:rPr>
              <w:t xml:space="preserve"> 4,499 </w:t>
            </w:r>
          </w:p>
        </w:tc>
      </w:tr>
      <w:tr w:rsidR="00233176" w:rsidRPr="00233176" w14:paraId="396F14B0" w14:textId="77777777" w:rsidTr="00E44437">
        <w:trPr>
          <w:trHeight w:hRule="exact" w:val="241"/>
        </w:trPr>
        <w:tc>
          <w:tcPr>
            <w:tcW w:w="1814" w:type="pct"/>
            <w:vAlign w:val="bottom"/>
          </w:tcPr>
          <w:p w14:paraId="47C89828" w14:textId="77777777" w:rsidR="00233176" w:rsidRPr="00233176" w:rsidRDefault="00233176" w:rsidP="00233176">
            <w:pPr>
              <w:tabs>
                <w:tab w:val="right" w:pos="1202"/>
              </w:tabs>
              <w:spacing w:after="0" w:line="240" w:lineRule="auto"/>
              <w:outlineLvl w:val="0"/>
              <w:rPr>
                <w:rFonts w:ascii="Calibri" w:eastAsia="Calibri" w:hAnsi="Calibri" w:cs="Times New Roman"/>
                <w:sz w:val="19"/>
                <w:szCs w:val="19"/>
                <w:lang w:val="en-GB"/>
              </w:rPr>
            </w:pPr>
            <w:r w:rsidRPr="00233176">
              <w:rPr>
                <w:rFonts w:ascii="Calibri" w:eastAsia="Calibri" w:hAnsi="Calibri" w:cs="Times New Roman"/>
                <w:sz w:val="19"/>
                <w:szCs w:val="19"/>
                <w:lang w:val="en-GB"/>
              </w:rPr>
              <w:t>Transfer to Stage 1</w:t>
            </w:r>
          </w:p>
        </w:tc>
        <w:tc>
          <w:tcPr>
            <w:tcW w:w="650" w:type="pct"/>
            <w:tcBorders>
              <w:top w:val="nil"/>
              <w:left w:val="nil"/>
              <w:bottom w:val="nil"/>
              <w:right w:val="nil"/>
            </w:tcBorders>
            <w:shd w:val="clear" w:color="auto" w:fill="auto"/>
            <w:vAlign w:val="bottom"/>
          </w:tcPr>
          <w:p w14:paraId="75822233" w14:textId="77777777" w:rsidR="00233176" w:rsidRPr="00233176" w:rsidRDefault="00233176" w:rsidP="00233176">
            <w:pPr>
              <w:spacing w:after="0" w:line="240" w:lineRule="auto"/>
              <w:jc w:val="right"/>
              <w:rPr>
                <w:rFonts w:ascii="Calibri" w:eastAsia="Calibri" w:hAnsi="Calibri" w:cs="Calibri"/>
                <w:color w:val="000000"/>
                <w:sz w:val="19"/>
                <w:szCs w:val="19"/>
              </w:rPr>
            </w:pPr>
            <w:r w:rsidRPr="00233176">
              <w:rPr>
                <w:rFonts w:ascii="Calibri" w:eastAsia="Calibri" w:hAnsi="Calibri" w:cs="Calibri"/>
                <w:color w:val="000000"/>
                <w:sz w:val="19"/>
                <w:szCs w:val="19"/>
              </w:rPr>
              <w:t>-</w:t>
            </w:r>
          </w:p>
        </w:tc>
        <w:tc>
          <w:tcPr>
            <w:tcW w:w="650" w:type="pct"/>
            <w:tcBorders>
              <w:top w:val="nil"/>
              <w:left w:val="nil"/>
              <w:bottom w:val="nil"/>
              <w:right w:val="nil"/>
            </w:tcBorders>
            <w:shd w:val="clear" w:color="auto" w:fill="auto"/>
            <w:vAlign w:val="bottom"/>
          </w:tcPr>
          <w:p w14:paraId="1C66FF68" w14:textId="77777777" w:rsidR="00233176" w:rsidRPr="00233176" w:rsidRDefault="00233176" w:rsidP="00233176">
            <w:pPr>
              <w:spacing w:after="0" w:line="240" w:lineRule="auto"/>
              <w:jc w:val="right"/>
              <w:rPr>
                <w:rFonts w:ascii="Calibri" w:eastAsia="Calibri" w:hAnsi="Calibri" w:cs="Calibri"/>
                <w:color w:val="000000"/>
                <w:sz w:val="19"/>
                <w:szCs w:val="19"/>
              </w:rPr>
            </w:pPr>
            <w:r w:rsidRPr="00233176">
              <w:rPr>
                <w:rFonts w:ascii="Calibri" w:eastAsia="Calibri" w:hAnsi="Calibri" w:cs="Calibri"/>
                <w:color w:val="000000"/>
                <w:sz w:val="19"/>
                <w:szCs w:val="19"/>
              </w:rPr>
              <w:t>-</w:t>
            </w:r>
          </w:p>
        </w:tc>
        <w:tc>
          <w:tcPr>
            <w:tcW w:w="643" w:type="pct"/>
            <w:tcBorders>
              <w:top w:val="nil"/>
              <w:left w:val="nil"/>
              <w:bottom w:val="nil"/>
              <w:right w:val="nil"/>
            </w:tcBorders>
            <w:shd w:val="clear" w:color="auto" w:fill="auto"/>
            <w:vAlign w:val="bottom"/>
          </w:tcPr>
          <w:p w14:paraId="3660FC71" w14:textId="77777777" w:rsidR="00233176" w:rsidRPr="00233176" w:rsidRDefault="00233176" w:rsidP="00233176">
            <w:pPr>
              <w:spacing w:after="0" w:line="240" w:lineRule="auto"/>
              <w:jc w:val="right"/>
              <w:rPr>
                <w:rFonts w:ascii="Calibri" w:eastAsia="Calibri" w:hAnsi="Calibri" w:cs="Calibri"/>
                <w:color w:val="000000"/>
                <w:sz w:val="19"/>
                <w:szCs w:val="19"/>
              </w:rPr>
            </w:pPr>
            <w:r w:rsidRPr="00233176">
              <w:rPr>
                <w:rFonts w:ascii="Calibri" w:eastAsia="Calibri" w:hAnsi="Calibri" w:cs="Calibri"/>
                <w:color w:val="000000"/>
                <w:sz w:val="19"/>
                <w:szCs w:val="19"/>
              </w:rPr>
              <w:t>-</w:t>
            </w:r>
          </w:p>
        </w:tc>
        <w:tc>
          <w:tcPr>
            <w:tcW w:w="605" w:type="pct"/>
            <w:tcBorders>
              <w:top w:val="nil"/>
              <w:left w:val="nil"/>
              <w:bottom w:val="nil"/>
              <w:right w:val="nil"/>
            </w:tcBorders>
            <w:shd w:val="clear" w:color="auto" w:fill="auto"/>
            <w:vAlign w:val="bottom"/>
          </w:tcPr>
          <w:p w14:paraId="41C155B7" w14:textId="77777777" w:rsidR="00233176" w:rsidRPr="00233176" w:rsidRDefault="00233176" w:rsidP="00233176">
            <w:pPr>
              <w:spacing w:after="0" w:line="240" w:lineRule="auto"/>
              <w:jc w:val="right"/>
              <w:rPr>
                <w:rFonts w:ascii="Calibri" w:eastAsia="Calibri" w:hAnsi="Calibri" w:cs="Calibri"/>
                <w:color w:val="000000"/>
                <w:sz w:val="19"/>
                <w:szCs w:val="19"/>
              </w:rPr>
            </w:pPr>
            <w:r w:rsidRPr="00233176">
              <w:rPr>
                <w:rFonts w:ascii="Calibri" w:eastAsia="Calibri" w:hAnsi="Calibri" w:cs="Calibri"/>
                <w:color w:val="000000"/>
                <w:sz w:val="19"/>
                <w:szCs w:val="19"/>
              </w:rPr>
              <w:t>-</w:t>
            </w:r>
          </w:p>
        </w:tc>
        <w:tc>
          <w:tcPr>
            <w:tcW w:w="638" w:type="pct"/>
            <w:tcBorders>
              <w:top w:val="nil"/>
              <w:left w:val="nil"/>
              <w:bottom w:val="nil"/>
              <w:right w:val="nil"/>
            </w:tcBorders>
            <w:shd w:val="clear" w:color="auto" w:fill="auto"/>
            <w:vAlign w:val="bottom"/>
          </w:tcPr>
          <w:p w14:paraId="31021F14" w14:textId="77777777" w:rsidR="00233176" w:rsidRPr="00233176" w:rsidRDefault="00233176" w:rsidP="00233176">
            <w:pPr>
              <w:spacing w:after="0" w:line="240" w:lineRule="auto"/>
              <w:jc w:val="right"/>
              <w:rPr>
                <w:rFonts w:ascii="Calibri" w:eastAsia="Calibri" w:hAnsi="Calibri" w:cs="Calibri"/>
                <w:color w:val="000000"/>
                <w:sz w:val="19"/>
                <w:szCs w:val="19"/>
              </w:rPr>
            </w:pPr>
            <w:r w:rsidRPr="00233176">
              <w:rPr>
                <w:rFonts w:ascii="Calibri" w:eastAsia="Calibri" w:hAnsi="Calibri" w:cs="Calibri"/>
                <w:color w:val="000000"/>
                <w:sz w:val="19"/>
                <w:szCs w:val="19"/>
              </w:rPr>
              <w:t>-</w:t>
            </w:r>
          </w:p>
        </w:tc>
      </w:tr>
      <w:tr w:rsidR="00233176" w:rsidRPr="00233176" w14:paraId="1CF873E8" w14:textId="77777777" w:rsidTr="00E44437">
        <w:trPr>
          <w:trHeight w:hRule="exact" w:val="241"/>
        </w:trPr>
        <w:tc>
          <w:tcPr>
            <w:tcW w:w="1814" w:type="pct"/>
            <w:vAlign w:val="bottom"/>
          </w:tcPr>
          <w:p w14:paraId="75797648" w14:textId="77777777" w:rsidR="00233176" w:rsidRPr="00233176" w:rsidRDefault="00233176" w:rsidP="00233176">
            <w:pPr>
              <w:tabs>
                <w:tab w:val="right" w:pos="1202"/>
              </w:tabs>
              <w:spacing w:after="0" w:line="240" w:lineRule="auto"/>
              <w:outlineLvl w:val="0"/>
              <w:rPr>
                <w:rFonts w:ascii="Calibri" w:eastAsia="Calibri" w:hAnsi="Calibri" w:cs="Times New Roman"/>
                <w:sz w:val="19"/>
                <w:szCs w:val="19"/>
                <w:lang w:val="en-GB"/>
              </w:rPr>
            </w:pPr>
            <w:r w:rsidRPr="00233176">
              <w:rPr>
                <w:rFonts w:ascii="Calibri" w:eastAsia="Calibri" w:hAnsi="Calibri" w:cs="Times New Roman"/>
                <w:sz w:val="19"/>
                <w:szCs w:val="19"/>
                <w:lang w:val="en-GB"/>
              </w:rPr>
              <w:t>Transfer to Stage 2</w:t>
            </w:r>
          </w:p>
        </w:tc>
        <w:tc>
          <w:tcPr>
            <w:tcW w:w="650" w:type="pct"/>
            <w:tcBorders>
              <w:top w:val="nil"/>
              <w:left w:val="nil"/>
              <w:bottom w:val="nil"/>
              <w:right w:val="nil"/>
            </w:tcBorders>
            <w:shd w:val="clear" w:color="auto" w:fill="auto"/>
            <w:vAlign w:val="bottom"/>
          </w:tcPr>
          <w:p w14:paraId="4FBB99E6" w14:textId="77777777" w:rsidR="00233176" w:rsidRPr="00233176" w:rsidRDefault="00233176" w:rsidP="00233176">
            <w:pPr>
              <w:spacing w:after="0" w:line="240" w:lineRule="auto"/>
              <w:jc w:val="right"/>
              <w:rPr>
                <w:rFonts w:ascii="Calibri" w:eastAsia="Calibri" w:hAnsi="Calibri" w:cs="Calibri"/>
                <w:color w:val="000000"/>
                <w:sz w:val="19"/>
                <w:szCs w:val="19"/>
              </w:rPr>
            </w:pPr>
            <w:r w:rsidRPr="00233176">
              <w:rPr>
                <w:rFonts w:ascii="Calibri" w:eastAsia="Calibri" w:hAnsi="Calibri" w:cs="Calibri"/>
                <w:color w:val="000000"/>
                <w:sz w:val="19"/>
                <w:szCs w:val="19"/>
              </w:rPr>
              <w:t xml:space="preserve"> - </w:t>
            </w:r>
          </w:p>
        </w:tc>
        <w:tc>
          <w:tcPr>
            <w:tcW w:w="650" w:type="pct"/>
            <w:tcBorders>
              <w:top w:val="nil"/>
              <w:left w:val="nil"/>
              <w:bottom w:val="nil"/>
              <w:right w:val="nil"/>
            </w:tcBorders>
            <w:shd w:val="clear" w:color="auto" w:fill="auto"/>
            <w:vAlign w:val="bottom"/>
          </w:tcPr>
          <w:p w14:paraId="6B0BDC33" w14:textId="77777777" w:rsidR="00233176" w:rsidRPr="00233176" w:rsidRDefault="00233176" w:rsidP="00233176">
            <w:pPr>
              <w:spacing w:after="0" w:line="240" w:lineRule="auto"/>
              <w:jc w:val="right"/>
              <w:rPr>
                <w:rFonts w:ascii="Calibri" w:eastAsia="Calibri" w:hAnsi="Calibri" w:cs="Calibri"/>
                <w:color w:val="000000"/>
                <w:sz w:val="19"/>
                <w:szCs w:val="19"/>
              </w:rPr>
            </w:pPr>
            <w:r w:rsidRPr="00233176">
              <w:rPr>
                <w:rFonts w:ascii="Calibri" w:eastAsia="Calibri" w:hAnsi="Calibri" w:cs="Calibri"/>
                <w:color w:val="000000"/>
                <w:sz w:val="19"/>
                <w:szCs w:val="19"/>
              </w:rPr>
              <w:t xml:space="preserve"> - </w:t>
            </w:r>
          </w:p>
        </w:tc>
        <w:tc>
          <w:tcPr>
            <w:tcW w:w="643" w:type="pct"/>
            <w:tcBorders>
              <w:top w:val="nil"/>
              <w:left w:val="nil"/>
              <w:bottom w:val="nil"/>
              <w:right w:val="nil"/>
            </w:tcBorders>
            <w:shd w:val="clear" w:color="auto" w:fill="auto"/>
            <w:vAlign w:val="bottom"/>
          </w:tcPr>
          <w:p w14:paraId="410B93F4" w14:textId="77777777" w:rsidR="00233176" w:rsidRPr="00233176" w:rsidRDefault="00233176" w:rsidP="00233176">
            <w:pPr>
              <w:spacing w:after="0" w:line="240" w:lineRule="auto"/>
              <w:jc w:val="right"/>
              <w:rPr>
                <w:rFonts w:ascii="Calibri" w:eastAsia="Calibri" w:hAnsi="Calibri" w:cs="Calibri"/>
                <w:color w:val="000000"/>
                <w:sz w:val="19"/>
                <w:szCs w:val="19"/>
              </w:rPr>
            </w:pPr>
            <w:r w:rsidRPr="00233176">
              <w:rPr>
                <w:rFonts w:ascii="Calibri" w:eastAsia="Calibri" w:hAnsi="Calibri" w:cs="Calibri"/>
                <w:color w:val="000000"/>
                <w:sz w:val="19"/>
                <w:szCs w:val="19"/>
              </w:rPr>
              <w:t xml:space="preserve"> - </w:t>
            </w:r>
          </w:p>
        </w:tc>
        <w:tc>
          <w:tcPr>
            <w:tcW w:w="605" w:type="pct"/>
            <w:tcBorders>
              <w:top w:val="nil"/>
              <w:left w:val="nil"/>
              <w:bottom w:val="nil"/>
              <w:right w:val="nil"/>
            </w:tcBorders>
            <w:shd w:val="clear" w:color="auto" w:fill="auto"/>
            <w:vAlign w:val="bottom"/>
          </w:tcPr>
          <w:p w14:paraId="7437C231" w14:textId="77777777" w:rsidR="00233176" w:rsidRPr="00233176" w:rsidRDefault="00233176" w:rsidP="00233176">
            <w:pPr>
              <w:spacing w:after="0" w:line="240" w:lineRule="auto"/>
              <w:jc w:val="right"/>
              <w:rPr>
                <w:rFonts w:ascii="Calibri" w:eastAsia="Calibri" w:hAnsi="Calibri" w:cs="Calibri"/>
                <w:color w:val="000000"/>
                <w:sz w:val="19"/>
                <w:szCs w:val="19"/>
              </w:rPr>
            </w:pPr>
            <w:r w:rsidRPr="00233176">
              <w:rPr>
                <w:rFonts w:ascii="Calibri" w:eastAsia="Calibri" w:hAnsi="Calibri" w:cs="Calibri"/>
                <w:color w:val="000000"/>
                <w:sz w:val="19"/>
                <w:szCs w:val="19"/>
              </w:rPr>
              <w:t xml:space="preserve"> - </w:t>
            </w:r>
          </w:p>
        </w:tc>
        <w:tc>
          <w:tcPr>
            <w:tcW w:w="638" w:type="pct"/>
            <w:tcBorders>
              <w:top w:val="nil"/>
              <w:left w:val="nil"/>
              <w:bottom w:val="nil"/>
              <w:right w:val="nil"/>
            </w:tcBorders>
            <w:shd w:val="clear" w:color="auto" w:fill="auto"/>
            <w:vAlign w:val="bottom"/>
          </w:tcPr>
          <w:p w14:paraId="1A21C7BE" w14:textId="77777777" w:rsidR="00233176" w:rsidRPr="00233176" w:rsidRDefault="00233176" w:rsidP="00233176">
            <w:pPr>
              <w:spacing w:after="0" w:line="240" w:lineRule="auto"/>
              <w:jc w:val="right"/>
              <w:rPr>
                <w:rFonts w:ascii="Calibri" w:eastAsia="Calibri" w:hAnsi="Calibri" w:cs="Calibri"/>
                <w:color w:val="000000"/>
                <w:sz w:val="19"/>
                <w:szCs w:val="19"/>
              </w:rPr>
            </w:pPr>
            <w:r w:rsidRPr="00233176">
              <w:rPr>
                <w:rFonts w:ascii="Calibri" w:eastAsia="Calibri" w:hAnsi="Calibri" w:cs="Calibri"/>
                <w:color w:val="000000"/>
                <w:sz w:val="19"/>
                <w:szCs w:val="19"/>
              </w:rPr>
              <w:t xml:space="preserve"> - </w:t>
            </w:r>
          </w:p>
        </w:tc>
      </w:tr>
      <w:tr w:rsidR="00233176" w:rsidRPr="00233176" w14:paraId="23CEFAB6" w14:textId="77777777" w:rsidTr="00E44437">
        <w:trPr>
          <w:trHeight w:hRule="exact" w:val="241"/>
        </w:trPr>
        <w:tc>
          <w:tcPr>
            <w:tcW w:w="1814" w:type="pct"/>
            <w:vAlign w:val="bottom"/>
          </w:tcPr>
          <w:p w14:paraId="02834162" w14:textId="77777777" w:rsidR="00233176" w:rsidRPr="00233176" w:rsidRDefault="00233176" w:rsidP="00233176">
            <w:pPr>
              <w:tabs>
                <w:tab w:val="right" w:pos="1202"/>
              </w:tabs>
              <w:spacing w:after="0" w:line="240" w:lineRule="auto"/>
              <w:outlineLvl w:val="0"/>
              <w:rPr>
                <w:rFonts w:ascii="Calibri" w:eastAsia="Calibri" w:hAnsi="Calibri" w:cs="Times New Roman"/>
                <w:sz w:val="19"/>
                <w:szCs w:val="19"/>
                <w:lang w:val="en-GB"/>
              </w:rPr>
            </w:pPr>
            <w:r w:rsidRPr="00233176">
              <w:rPr>
                <w:rFonts w:ascii="Calibri" w:eastAsia="Calibri" w:hAnsi="Calibri" w:cs="Times New Roman"/>
                <w:sz w:val="19"/>
                <w:szCs w:val="19"/>
                <w:lang w:val="en-GB"/>
              </w:rPr>
              <w:t>Transfer to Stage 3</w:t>
            </w:r>
          </w:p>
        </w:tc>
        <w:tc>
          <w:tcPr>
            <w:tcW w:w="650" w:type="pct"/>
            <w:tcBorders>
              <w:top w:val="nil"/>
              <w:left w:val="nil"/>
              <w:bottom w:val="nil"/>
              <w:right w:val="nil"/>
            </w:tcBorders>
            <w:shd w:val="clear" w:color="auto" w:fill="auto"/>
            <w:vAlign w:val="bottom"/>
          </w:tcPr>
          <w:p w14:paraId="007005A0" w14:textId="77777777" w:rsidR="00233176" w:rsidRPr="00233176" w:rsidRDefault="00233176" w:rsidP="00233176">
            <w:pPr>
              <w:spacing w:after="0" w:line="240" w:lineRule="auto"/>
              <w:jc w:val="right"/>
              <w:rPr>
                <w:rFonts w:ascii="Calibri" w:eastAsia="Times New Roman" w:hAnsi="Calibri" w:cs="Calibri"/>
                <w:sz w:val="19"/>
                <w:szCs w:val="19"/>
                <w:lang w:val="en-GB"/>
              </w:rPr>
            </w:pPr>
            <w:r w:rsidRPr="00233176">
              <w:rPr>
                <w:rFonts w:ascii="Calibri" w:eastAsia="Calibri" w:hAnsi="Calibri" w:cs="Calibri"/>
                <w:color w:val="000000"/>
                <w:sz w:val="19"/>
                <w:szCs w:val="19"/>
              </w:rPr>
              <w:t xml:space="preserve"> - </w:t>
            </w:r>
          </w:p>
        </w:tc>
        <w:tc>
          <w:tcPr>
            <w:tcW w:w="650" w:type="pct"/>
            <w:tcBorders>
              <w:top w:val="nil"/>
              <w:left w:val="nil"/>
              <w:bottom w:val="nil"/>
              <w:right w:val="nil"/>
            </w:tcBorders>
            <w:shd w:val="clear" w:color="auto" w:fill="auto"/>
            <w:vAlign w:val="bottom"/>
          </w:tcPr>
          <w:p w14:paraId="6494875E" w14:textId="77777777" w:rsidR="00233176" w:rsidRPr="00233176" w:rsidRDefault="00233176" w:rsidP="00233176">
            <w:pPr>
              <w:spacing w:after="0" w:line="240" w:lineRule="auto"/>
              <w:jc w:val="right"/>
              <w:rPr>
                <w:rFonts w:ascii="Calibri" w:eastAsia="Calibri" w:hAnsi="Calibri" w:cs="Arial"/>
                <w:sz w:val="19"/>
                <w:szCs w:val="19"/>
                <w:lang w:val="en-GB"/>
              </w:rPr>
            </w:pPr>
            <w:r w:rsidRPr="00233176">
              <w:rPr>
                <w:rFonts w:ascii="Calibri" w:eastAsia="Calibri" w:hAnsi="Calibri" w:cs="Calibri"/>
                <w:color w:val="000000"/>
                <w:sz w:val="19"/>
                <w:szCs w:val="19"/>
              </w:rPr>
              <w:t xml:space="preserve"> - </w:t>
            </w:r>
          </w:p>
        </w:tc>
        <w:tc>
          <w:tcPr>
            <w:tcW w:w="643" w:type="pct"/>
            <w:tcBorders>
              <w:top w:val="nil"/>
              <w:left w:val="nil"/>
              <w:bottom w:val="nil"/>
              <w:right w:val="nil"/>
            </w:tcBorders>
            <w:shd w:val="clear" w:color="auto" w:fill="auto"/>
            <w:vAlign w:val="bottom"/>
          </w:tcPr>
          <w:p w14:paraId="311A137C" w14:textId="77777777" w:rsidR="00233176" w:rsidRPr="00233176" w:rsidRDefault="00233176" w:rsidP="00233176">
            <w:pPr>
              <w:spacing w:after="0" w:line="240" w:lineRule="auto"/>
              <w:jc w:val="right"/>
              <w:rPr>
                <w:rFonts w:ascii="Calibri" w:eastAsia="Calibri" w:hAnsi="Calibri" w:cs="Arial"/>
                <w:sz w:val="19"/>
                <w:szCs w:val="19"/>
                <w:lang w:val="en-GB"/>
              </w:rPr>
            </w:pPr>
            <w:r w:rsidRPr="00233176">
              <w:rPr>
                <w:rFonts w:ascii="Calibri" w:eastAsia="Calibri" w:hAnsi="Calibri" w:cs="Calibri"/>
                <w:color w:val="000000"/>
                <w:sz w:val="19"/>
                <w:szCs w:val="19"/>
              </w:rPr>
              <w:t xml:space="preserve"> - </w:t>
            </w:r>
          </w:p>
        </w:tc>
        <w:tc>
          <w:tcPr>
            <w:tcW w:w="605" w:type="pct"/>
            <w:tcBorders>
              <w:top w:val="nil"/>
              <w:left w:val="nil"/>
              <w:bottom w:val="nil"/>
              <w:right w:val="nil"/>
            </w:tcBorders>
            <w:shd w:val="clear" w:color="auto" w:fill="auto"/>
            <w:vAlign w:val="bottom"/>
          </w:tcPr>
          <w:p w14:paraId="506A49D2" w14:textId="77777777" w:rsidR="00233176" w:rsidRPr="00233176" w:rsidRDefault="00233176" w:rsidP="00233176">
            <w:pPr>
              <w:spacing w:after="0" w:line="240" w:lineRule="auto"/>
              <w:jc w:val="right"/>
              <w:rPr>
                <w:rFonts w:ascii="Calibri" w:eastAsia="Calibri" w:hAnsi="Calibri" w:cs="Arial"/>
                <w:sz w:val="19"/>
                <w:szCs w:val="19"/>
                <w:lang w:val="en-GB"/>
              </w:rPr>
            </w:pPr>
            <w:r w:rsidRPr="00233176">
              <w:rPr>
                <w:rFonts w:ascii="Calibri" w:eastAsia="Calibri" w:hAnsi="Calibri" w:cs="Calibri"/>
                <w:color w:val="000000"/>
                <w:sz w:val="19"/>
                <w:szCs w:val="19"/>
              </w:rPr>
              <w:t xml:space="preserve"> - </w:t>
            </w:r>
          </w:p>
        </w:tc>
        <w:tc>
          <w:tcPr>
            <w:tcW w:w="638" w:type="pct"/>
            <w:tcBorders>
              <w:top w:val="nil"/>
              <w:left w:val="nil"/>
              <w:bottom w:val="nil"/>
              <w:right w:val="nil"/>
            </w:tcBorders>
            <w:shd w:val="clear" w:color="auto" w:fill="auto"/>
            <w:vAlign w:val="bottom"/>
          </w:tcPr>
          <w:p w14:paraId="189EEBF6" w14:textId="77777777" w:rsidR="00233176" w:rsidRPr="00233176" w:rsidRDefault="00233176" w:rsidP="00233176">
            <w:pPr>
              <w:spacing w:after="0" w:line="240" w:lineRule="auto"/>
              <w:jc w:val="right"/>
              <w:rPr>
                <w:rFonts w:ascii="Calibri" w:eastAsia="Calibri" w:hAnsi="Calibri" w:cs="Arial"/>
                <w:sz w:val="19"/>
                <w:szCs w:val="19"/>
                <w:lang w:val="en-GB"/>
              </w:rPr>
            </w:pPr>
            <w:r w:rsidRPr="00233176">
              <w:rPr>
                <w:rFonts w:ascii="Calibri" w:eastAsia="Calibri" w:hAnsi="Calibri" w:cs="Calibri"/>
                <w:color w:val="000000"/>
                <w:sz w:val="19"/>
                <w:szCs w:val="19"/>
              </w:rPr>
              <w:t xml:space="preserve"> - </w:t>
            </w:r>
          </w:p>
        </w:tc>
      </w:tr>
      <w:tr w:rsidR="00233176" w:rsidRPr="00233176" w14:paraId="2DCE73FA" w14:textId="77777777" w:rsidTr="00E44437">
        <w:trPr>
          <w:trHeight w:hRule="exact" w:val="241"/>
        </w:trPr>
        <w:tc>
          <w:tcPr>
            <w:tcW w:w="1814" w:type="pct"/>
            <w:vAlign w:val="bottom"/>
          </w:tcPr>
          <w:p w14:paraId="5674D063" w14:textId="77777777" w:rsidR="00233176" w:rsidRPr="00233176" w:rsidRDefault="00233176" w:rsidP="00233176">
            <w:pPr>
              <w:tabs>
                <w:tab w:val="right" w:pos="1202"/>
              </w:tabs>
              <w:spacing w:after="0" w:line="240" w:lineRule="auto"/>
              <w:outlineLvl w:val="0"/>
              <w:rPr>
                <w:rFonts w:ascii="Calibri" w:eastAsia="Calibri" w:hAnsi="Calibri" w:cs="Times New Roman"/>
                <w:sz w:val="19"/>
                <w:szCs w:val="19"/>
                <w:lang w:val="en-GB"/>
              </w:rPr>
            </w:pPr>
            <w:r w:rsidRPr="00233176">
              <w:rPr>
                <w:rFonts w:ascii="Calibri" w:eastAsia="Calibri" w:hAnsi="Calibri" w:cs="Times New Roman"/>
                <w:sz w:val="19"/>
                <w:szCs w:val="19"/>
                <w:lang w:val="en-GB"/>
              </w:rPr>
              <w:t>Net (release)/increase</w:t>
            </w:r>
            <w:r w:rsidRPr="00233176" w:rsidDel="003F251B">
              <w:rPr>
                <w:rFonts w:ascii="Calibri" w:eastAsia="Calibri" w:hAnsi="Calibri" w:cs="Times New Roman"/>
                <w:sz w:val="19"/>
                <w:szCs w:val="19"/>
                <w:lang w:val="en-GB"/>
              </w:rPr>
              <w:t xml:space="preserve"> </w:t>
            </w:r>
            <w:r w:rsidRPr="00233176">
              <w:rPr>
                <w:rFonts w:ascii="Calibri" w:eastAsia="Calibri" w:hAnsi="Calibri" w:cs="Times New Roman"/>
                <w:sz w:val="19"/>
                <w:szCs w:val="19"/>
                <w:lang w:val="en-GB"/>
              </w:rPr>
              <w:t>of loss allowance</w:t>
            </w:r>
          </w:p>
        </w:tc>
        <w:tc>
          <w:tcPr>
            <w:tcW w:w="650" w:type="pct"/>
            <w:tcBorders>
              <w:top w:val="nil"/>
              <w:left w:val="nil"/>
              <w:bottom w:val="nil"/>
              <w:right w:val="nil"/>
            </w:tcBorders>
            <w:shd w:val="clear" w:color="auto" w:fill="auto"/>
            <w:vAlign w:val="bottom"/>
          </w:tcPr>
          <w:p w14:paraId="5A6B4F9D" w14:textId="77777777" w:rsidR="00233176" w:rsidRPr="00233176" w:rsidRDefault="00233176" w:rsidP="00233176">
            <w:pPr>
              <w:spacing w:after="0" w:line="240" w:lineRule="auto"/>
              <w:jc w:val="right"/>
              <w:rPr>
                <w:rFonts w:ascii="Calibri" w:eastAsia="Calibri" w:hAnsi="Calibri" w:cs="Calibri"/>
                <w:color w:val="000000"/>
                <w:sz w:val="19"/>
                <w:szCs w:val="19"/>
              </w:rPr>
            </w:pPr>
            <w:r w:rsidRPr="00233176">
              <w:rPr>
                <w:rFonts w:ascii="Calibri" w:eastAsia="Times New Roman" w:hAnsi="Calibri" w:cs="Times New Roman"/>
                <w:sz w:val="19"/>
                <w:szCs w:val="19"/>
                <w:lang w:val="en-US"/>
              </w:rPr>
              <w:t xml:space="preserve"> (125)</w:t>
            </w:r>
          </w:p>
        </w:tc>
        <w:tc>
          <w:tcPr>
            <w:tcW w:w="650" w:type="pct"/>
            <w:tcBorders>
              <w:top w:val="nil"/>
              <w:left w:val="nil"/>
              <w:bottom w:val="nil"/>
              <w:right w:val="nil"/>
            </w:tcBorders>
            <w:shd w:val="clear" w:color="auto" w:fill="auto"/>
            <w:vAlign w:val="bottom"/>
          </w:tcPr>
          <w:p w14:paraId="61DA1838" w14:textId="77777777" w:rsidR="00233176" w:rsidRPr="00233176" w:rsidRDefault="00233176" w:rsidP="00233176">
            <w:pPr>
              <w:spacing w:after="0" w:line="240" w:lineRule="auto"/>
              <w:jc w:val="right"/>
              <w:rPr>
                <w:rFonts w:ascii="Calibri" w:eastAsia="Calibri" w:hAnsi="Calibri" w:cs="Calibri"/>
                <w:color w:val="000000"/>
                <w:sz w:val="19"/>
                <w:szCs w:val="19"/>
              </w:rPr>
            </w:pPr>
            <w:r w:rsidRPr="00233176">
              <w:rPr>
                <w:rFonts w:ascii="Calibri" w:eastAsia="Times New Roman" w:hAnsi="Calibri" w:cs="Times New Roman"/>
                <w:sz w:val="19"/>
                <w:szCs w:val="19"/>
                <w:lang w:val="en-US"/>
              </w:rPr>
              <w:t xml:space="preserve"> - </w:t>
            </w:r>
          </w:p>
        </w:tc>
        <w:tc>
          <w:tcPr>
            <w:tcW w:w="643" w:type="pct"/>
            <w:tcBorders>
              <w:top w:val="nil"/>
              <w:left w:val="nil"/>
              <w:bottom w:val="nil"/>
              <w:right w:val="nil"/>
            </w:tcBorders>
            <w:shd w:val="clear" w:color="auto" w:fill="auto"/>
            <w:vAlign w:val="bottom"/>
          </w:tcPr>
          <w:p w14:paraId="06E0028D" w14:textId="77777777" w:rsidR="00233176" w:rsidRPr="00233176" w:rsidRDefault="00233176" w:rsidP="00233176">
            <w:pPr>
              <w:spacing w:after="0" w:line="240" w:lineRule="auto"/>
              <w:jc w:val="right"/>
              <w:rPr>
                <w:rFonts w:ascii="Calibri" w:eastAsia="Calibri" w:hAnsi="Calibri" w:cs="Calibri"/>
                <w:color w:val="000000"/>
                <w:sz w:val="19"/>
                <w:szCs w:val="19"/>
              </w:rPr>
            </w:pPr>
            <w:r w:rsidRPr="00233176">
              <w:rPr>
                <w:rFonts w:ascii="Calibri" w:eastAsia="Times New Roman" w:hAnsi="Calibri" w:cs="Times New Roman"/>
                <w:sz w:val="19"/>
                <w:szCs w:val="19"/>
                <w:lang w:val="en-US"/>
              </w:rPr>
              <w:t xml:space="preserve"> 89 </w:t>
            </w:r>
          </w:p>
        </w:tc>
        <w:tc>
          <w:tcPr>
            <w:tcW w:w="605" w:type="pct"/>
            <w:tcBorders>
              <w:top w:val="nil"/>
              <w:left w:val="nil"/>
              <w:bottom w:val="nil"/>
              <w:right w:val="nil"/>
            </w:tcBorders>
            <w:shd w:val="clear" w:color="auto" w:fill="auto"/>
            <w:vAlign w:val="bottom"/>
          </w:tcPr>
          <w:p w14:paraId="5ACE8568" w14:textId="77777777" w:rsidR="00233176" w:rsidRPr="00233176" w:rsidRDefault="00233176" w:rsidP="00233176">
            <w:pPr>
              <w:spacing w:after="0" w:line="240" w:lineRule="auto"/>
              <w:jc w:val="right"/>
              <w:rPr>
                <w:rFonts w:ascii="Calibri" w:eastAsia="Calibri" w:hAnsi="Calibri" w:cs="Calibri"/>
                <w:color w:val="000000"/>
                <w:sz w:val="19"/>
                <w:szCs w:val="19"/>
              </w:rPr>
            </w:pPr>
            <w:r w:rsidRPr="00233176">
              <w:rPr>
                <w:rFonts w:ascii="Calibri" w:eastAsia="Times New Roman" w:hAnsi="Calibri" w:cs="Times New Roman"/>
                <w:sz w:val="19"/>
                <w:szCs w:val="19"/>
                <w:lang w:val="en-US"/>
              </w:rPr>
              <w:t xml:space="preserve"> - </w:t>
            </w:r>
          </w:p>
        </w:tc>
        <w:tc>
          <w:tcPr>
            <w:tcW w:w="638" w:type="pct"/>
            <w:tcBorders>
              <w:top w:val="nil"/>
              <w:left w:val="nil"/>
              <w:bottom w:val="nil"/>
              <w:right w:val="nil"/>
            </w:tcBorders>
            <w:shd w:val="clear" w:color="auto" w:fill="auto"/>
            <w:vAlign w:val="bottom"/>
          </w:tcPr>
          <w:p w14:paraId="3FE0CABC" w14:textId="77777777" w:rsidR="00233176" w:rsidRPr="00233176" w:rsidRDefault="00233176" w:rsidP="00233176">
            <w:pPr>
              <w:spacing w:after="0" w:line="240" w:lineRule="auto"/>
              <w:jc w:val="right"/>
              <w:rPr>
                <w:rFonts w:ascii="Calibri" w:eastAsia="Calibri" w:hAnsi="Calibri" w:cs="Calibri"/>
                <w:color w:val="000000"/>
                <w:sz w:val="19"/>
                <w:szCs w:val="19"/>
              </w:rPr>
            </w:pPr>
            <w:r w:rsidRPr="00233176">
              <w:rPr>
                <w:rFonts w:ascii="Calibri" w:eastAsia="Times New Roman" w:hAnsi="Calibri" w:cs="Times New Roman"/>
                <w:sz w:val="19"/>
                <w:szCs w:val="19"/>
                <w:lang w:val="en-US"/>
              </w:rPr>
              <w:t xml:space="preserve"> (36)</w:t>
            </w:r>
          </w:p>
        </w:tc>
      </w:tr>
      <w:tr w:rsidR="00233176" w:rsidRPr="00233176" w14:paraId="3C74A905" w14:textId="77777777" w:rsidTr="00620EB3">
        <w:trPr>
          <w:trHeight w:val="284"/>
        </w:trPr>
        <w:tc>
          <w:tcPr>
            <w:tcW w:w="1814" w:type="pct"/>
            <w:vAlign w:val="bottom"/>
          </w:tcPr>
          <w:p w14:paraId="644403F4" w14:textId="77777777" w:rsidR="00233176" w:rsidRPr="00233176" w:rsidRDefault="00233176" w:rsidP="00233176">
            <w:pPr>
              <w:spacing w:after="0" w:line="240" w:lineRule="auto"/>
              <w:rPr>
                <w:rFonts w:ascii="Calibri" w:eastAsia="Calibri" w:hAnsi="Calibri" w:cs="Times New Roman"/>
                <w:sz w:val="19"/>
                <w:szCs w:val="19"/>
                <w:lang w:val="en-GB"/>
              </w:rPr>
            </w:pPr>
            <w:r w:rsidRPr="00233176">
              <w:rPr>
                <w:rFonts w:ascii="Calibri" w:eastAsia="Calibri" w:hAnsi="Calibri" w:cs="Times New Roman"/>
                <w:sz w:val="19"/>
                <w:szCs w:val="19"/>
                <w:lang w:val="en-GB"/>
              </w:rPr>
              <w:t>Net foreign exchange gain/loss</w:t>
            </w:r>
            <w:r w:rsidRPr="00233176" w:rsidDel="003F251B">
              <w:rPr>
                <w:rFonts w:ascii="Calibri" w:eastAsia="Calibri" w:hAnsi="Calibri" w:cs="Times New Roman"/>
                <w:sz w:val="19"/>
                <w:szCs w:val="19"/>
                <w:lang w:val="en-GB"/>
              </w:rPr>
              <w:t xml:space="preserve"> </w:t>
            </w:r>
            <w:r w:rsidRPr="00233176">
              <w:rPr>
                <w:rFonts w:ascii="Calibri" w:eastAsia="Calibri" w:hAnsi="Calibri" w:cs="Times New Roman"/>
                <w:sz w:val="19"/>
                <w:szCs w:val="19"/>
                <w:lang w:val="en-GB"/>
              </w:rPr>
              <w:t>on loss allowances</w:t>
            </w:r>
          </w:p>
        </w:tc>
        <w:tc>
          <w:tcPr>
            <w:tcW w:w="650" w:type="pct"/>
            <w:tcBorders>
              <w:top w:val="nil"/>
              <w:left w:val="nil"/>
              <w:bottom w:val="single" w:sz="8" w:space="0" w:color="auto"/>
              <w:right w:val="nil"/>
            </w:tcBorders>
            <w:shd w:val="clear" w:color="auto" w:fill="auto"/>
            <w:vAlign w:val="bottom"/>
          </w:tcPr>
          <w:p w14:paraId="20588215" w14:textId="77777777" w:rsidR="00233176" w:rsidRPr="00233176" w:rsidRDefault="00233176" w:rsidP="00233176">
            <w:pPr>
              <w:spacing w:after="0" w:line="240" w:lineRule="auto"/>
              <w:jc w:val="right"/>
              <w:rPr>
                <w:rFonts w:ascii="Calibri" w:eastAsia="Times New Roman" w:hAnsi="Calibri" w:cs="Calibri"/>
                <w:sz w:val="19"/>
                <w:szCs w:val="19"/>
                <w:lang w:val="en-GB"/>
              </w:rPr>
            </w:pPr>
            <w:r w:rsidRPr="00233176">
              <w:rPr>
                <w:rFonts w:ascii="Calibri" w:eastAsia="Times New Roman" w:hAnsi="Calibri" w:cs="Times New Roman"/>
                <w:sz w:val="19"/>
                <w:szCs w:val="19"/>
                <w:lang w:val="en-US"/>
              </w:rPr>
              <w:t xml:space="preserve"> (3)</w:t>
            </w:r>
          </w:p>
        </w:tc>
        <w:tc>
          <w:tcPr>
            <w:tcW w:w="650" w:type="pct"/>
            <w:tcBorders>
              <w:top w:val="nil"/>
              <w:left w:val="nil"/>
              <w:bottom w:val="single" w:sz="8" w:space="0" w:color="auto"/>
              <w:right w:val="nil"/>
            </w:tcBorders>
            <w:shd w:val="clear" w:color="auto" w:fill="auto"/>
            <w:vAlign w:val="bottom"/>
          </w:tcPr>
          <w:p w14:paraId="7E831C51" w14:textId="77777777" w:rsidR="00233176" w:rsidRPr="00233176" w:rsidRDefault="00233176" w:rsidP="00233176">
            <w:pPr>
              <w:spacing w:after="0" w:line="240" w:lineRule="auto"/>
              <w:jc w:val="right"/>
              <w:rPr>
                <w:rFonts w:ascii="Calibri" w:eastAsia="Times New Roman" w:hAnsi="Calibri" w:cs="Calibri"/>
                <w:sz w:val="19"/>
                <w:szCs w:val="19"/>
                <w:lang w:val="en-GB"/>
              </w:rPr>
            </w:pPr>
            <w:r w:rsidRPr="00233176">
              <w:rPr>
                <w:rFonts w:ascii="Calibri" w:eastAsia="Times New Roman" w:hAnsi="Calibri" w:cs="Times New Roman"/>
                <w:sz w:val="19"/>
                <w:szCs w:val="19"/>
                <w:lang w:val="en-US"/>
              </w:rPr>
              <w:t xml:space="preserve"> - </w:t>
            </w:r>
          </w:p>
        </w:tc>
        <w:tc>
          <w:tcPr>
            <w:tcW w:w="643" w:type="pct"/>
            <w:tcBorders>
              <w:top w:val="nil"/>
              <w:left w:val="nil"/>
              <w:bottom w:val="single" w:sz="8" w:space="0" w:color="auto"/>
              <w:right w:val="nil"/>
            </w:tcBorders>
            <w:shd w:val="clear" w:color="auto" w:fill="auto"/>
            <w:vAlign w:val="bottom"/>
          </w:tcPr>
          <w:p w14:paraId="06E25494" w14:textId="77777777" w:rsidR="00233176" w:rsidRPr="00233176" w:rsidRDefault="00233176" w:rsidP="00233176">
            <w:pPr>
              <w:spacing w:after="0" w:line="240" w:lineRule="auto"/>
              <w:jc w:val="right"/>
              <w:rPr>
                <w:rFonts w:ascii="Calibri" w:eastAsia="Times New Roman" w:hAnsi="Calibri" w:cs="Calibri"/>
                <w:sz w:val="19"/>
                <w:szCs w:val="19"/>
                <w:lang w:val="en-GB"/>
              </w:rPr>
            </w:pPr>
            <w:r w:rsidRPr="00233176">
              <w:rPr>
                <w:rFonts w:ascii="Calibri" w:eastAsia="Times New Roman" w:hAnsi="Calibri" w:cs="Times New Roman"/>
                <w:sz w:val="19"/>
                <w:szCs w:val="19"/>
                <w:lang w:val="en-US"/>
              </w:rPr>
              <w:t xml:space="preserve"> (5)</w:t>
            </w:r>
          </w:p>
        </w:tc>
        <w:tc>
          <w:tcPr>
            <w:tcW w:w="605" w:type="pct"/>
            <w:tcBorders>
              <w:top w:val="nil"/>
              <w:left w:val="nil"/>
              <w:bottom w:val="single" w:sz="8" w:space="0" w:color="auto"/>
              <w:right w:val="nil"/>
            </w:tcBorders>
            <w:shd w:val="clear" w:color="auto" w:fill="auto"/>
            <w:vAlign w:val="bottom"/>
          </w:tcPr>
          <w:p w14:paraId="33D35CB3" w14:textId="77777777" w:rsidR="00233176" w:rsidRPr="00233176" w:rsidRDefault="00233176" w:rsidP="00233176">
            <w:pPr>
              <w:spacing w:after="0" w:line="240" w:lineRule="auto"/>
              <w:jc w:val="right"/>
              <w:rPr>
                <w:rFonts w:ascii="Calibri" w:eastAsia="Times New Roman" w:hAnsi="Calibri" w:cs="Calibri"/>
                <w:sz w:val="19"/>
                <w:szCs w:val="19"/>
                <w:lang w:val="en-GB"/>
              </w:rPr>
            </w:pPr>
            <w:r w:rsidRPr="00233176">
              <w:rPr>
                <w:rFonts w:ascii="Calibri" w:eastAsia="Times New Roman" w:hAnsi="Calibri" w:cs="Times New Roman"/>
                <w:sz w:val="19"/>
                <w:szCs w:val="19"/>
                <w:lang w:val="en-US"/>
              </w:rPr>
              <w:t xml:space="preserve"> - </w:t>
            </w:r>
          </w:p>
        </w:tc>
        <w:tc>
          <w:tcPr>
            <w:tcW w:w="638" w:type="pct"/>
            <w:tcBorders>
              <w:top w:val="nil"/>
              <w:left w:val="nil"/>
              <w:bottom w:val="single" w:sz="8" w:space="0" w:color="auto"/>
              <w:right w:val="nil"/>
            </w:tcBorders>
            <w:shd w:val="clear" w:color="auto" w:fill="auto"/>
            <w:vAlign w:val="bottom"/>
          </w:tcPr>
          <w:p w14:paraId="4E981BF0" w14:textId="77777777" w:rsidR="00233176" w:rsidRPr="00233176" w:rsidRDefault="00233176" w:rsidP="00233176">
            <w:pPr>
              <w:spacing w:after="0" w:line="240" w:lineRule="auto"/>
              <w:jc w:val="right"/>
              <w:rPr>
                <w:rFonts w:ascii="Calibri" w:eastAsia="Times New Roman" w:hAnsi="Calibri" w:cs="Calibri"/>
                <w:sz w:val="19"/>
                <w:szCs w:val="19"/>
                <w:lang w:val="en-GB"/>
              </w:rPr>
            </w:pPr>
            <w:r w:rsidRPr="00233176">
              <w:rPr>
                <w:rFonts w:ascii="Calibri" w:eastAsia="Times New Roman" w:hAnsi="Calibri" w:cs="Times New Roman"/>
                <w:sz w:val="19"/>
                <w:szCs w:val="19"/>
                <w:lang w:val="en-US"/>
              </w:rPr>
              <w:t xml:space="preserve"> (8)</w:t>
            </w:r>
          </w:p>
        </w:tc>
      </w:tr>
      <w:tr w:rsidR="00233176" w:rsidRPr="00233176" w14:paraId="1EBC85D4" w14:textId="77777777" w:rsidTr="00620EB3">
        <w:trPr>
          <w:trHeight w:val="230"/>
        </w:trPr>
        <w:tc>
          <w:tcPr>
            <w:tcW w:w="1814" w:type="pct"/>
            <w:vAlign w:val="bottom"/>
          </w:tcPr>
          <w:p w14:paraId="6284EEB2" w14:textId="77777777" w:rsidR="00233176" w:rsidRPr="00233176" w:rsidRDefault="00233176" w:rsidP="00233176">
            <w:pPr>
              <w:tabs>
                <w:tab w:val="right" w:pos="1202"/>
              </w:tabs>
              <w:spacing w:after="0" w:line="301" w:lineRule="exact"/>
              <w:outlineLvl w:val="0"/>
              <w:rPr>
                <w:rFonts w:ascii="Calibri" w:eastAsia="Calibri" w:hAnsi="Calibri" w:cs="Arial"/>
                <w:b/>
                <w:bCs/>
                <w:sz w:val="19"/>
                <w:szCs w:val="19"/>
                <w:lang w:val="en-GB"/>
              </w:rPr>
            </w:pPr>
            <w:r w:rsidRPr="00233176">
              <w:rPr>
                <w:rFonts w:ascii="Calibri" w:eastAsia="Calibri" w:hAnsi="Calibri" w:cs="Arial"/>
                <w:b/>
                <w:bCs/>
                <w:sz w:val="19"/>
                <w:szCs w:val="19"/>
                <w:lang w:val="en-GB"/>
              </w:rPr>
              <w:t xml:space="preserve">Balance </w:t>
            </w:r>
            <w:proofErr w:type="gramStart"/>
            <w:r w:rsidRPr="00233176">
              <w:rPr>
                <w:rFonts w:ascii="Calibri" w:eastAsia="Calibri" w:hAnsi="Calibri" w:cs="Arial"/>
                <w:b/>
                <w:bCs/>
                <w:sz w:val="19"/>
                <w:szCs w:val="19"/>
                <w:lang w:val="en-GB"/>
              </w:rPr>
              <w:t>at</w:t>
            </w:r>
            <w:proofErr w:type="gramEnd"/>
            <w:r w:rsidRPr="00233176">
              <w:rPr>
                <w:rFonts w:ascii="Calibri" w:eastAsia="Calibri" w:hAnsi="Calibri" w:cs="Arial"/>
                <w:b/>
                <w:bCs/>
                <w:sz w:val="19"/>
                <w:szCs w:val="19"/>
                <w:lang w:val="en-GB"/>
              </w:rPr>
              <w:t xml:space="preserve"> 31 December 2021</w:t>
            </w:r>
          </w:p>
        </w:tc>
        <w:tc>
          <w:tcPr>
            <w:tcW w:w="650" w:type="pct"/>
            <w:tcBorders>
              <w:top w:val="single" w:sz="8" w:space="0" w:color="auto"/>
              <w:left w:val="nil"/>
              <w:bottom w:val="single" w:sz="12" w:space="0" w:color="auto"/>
              <w:right w:val="nil"/>
            </w:tcBorders>
            <w:shd w:val="clear" w:color="auto" w:fill="auto"/>
            <w:vAlign w:val="bottom"/>
          </w:tcPr>
          <w:p w14:paraId="20C60040" w14:textId="77777777" w:rsidR="00233176" w:rsidRPr="00233176" w:rsidRDefault="00233176" w:rsidP="00233176">
            <w:pPr>
              <w:tabs>
                <w:tab w:val="right" w:pos="1202"/>
              </w:tabs>
              <w:spacing w:after="0" w:line="301" w:lineRule="exact"/>
              <w:jc w:val="right"/>
              <w:outlineLvl w:val="0"/>
              <w:rPr>
                <w:rFonts w:ascii="Calibri" w:eastAsia="Calibri" w:hAnsi="Calibri" w:cs="Arial"/>
                <w:b/>
                <w:bCs/>
                <w:sz w:val="19"/>
                <w:szCs w:val="19"/>
                <w:lang w:val="en-GB"/>
              </w:rPr>
            </w:pPr>
            <w:r w:rsidRPr="00233176">
              <w:rPr>
                <w:rFonts w:ascii="Calibri" w:eastAsia="Times New Roman" w:hAnsi="Calibri" w:cs="Times New Roman"/>
                <w:b/>
                <w:bCs/>
                <w:sz w:val="19"/>
                <w:szCs w:val="19"/>
                <w:lang w:val="en-US"/>
              </w:rPr>
              <w:t xml:space="preserve"> 2,724 </w:t>
            </w:r>
          </w:p>
        </w:tc>
        <w:tc>
          <w:tcPr>
            <w:tcW w:w="650" w:type="pct"/>
            <w:tcBorders>
              <w:top w:val="single" w:sz="8" w:space="0" w:color="auto"/>
              <w:left w:val="nil"/>
              <w:bottom w:val="single" w:sz="12" w:space="0" w:color="auto"/>
              <w:right w:val="nil"/>
            </w:tcBorders>
            <w:shd w:val="clear" w:color="auto" w:fill="auto"/>
            <w:vAlign w:val="bottom"/>
          </w:tcPr>
          <w:p w14:paraId="67046C11" w14:textId="77777777" w:rsidR="00233176" w:rsidRPr="00233176" w:rsidRDefault="00233176" w:rsidP="00233176">
            <w:pPr>
              <w:tabs>
                <w:tab w:val="right" w:pos="1202"/>
              </w:tabs>
              <w:spacing w:after="0" w:line="301" w:lineRule="exact"/>
              <w:jc w:val="right"/>
              <w:outlineLvl w:val="0"/>
              <w:rPr>
                <w:rFonts w:ascii="Calibri" w:eastAsia="Calibri" w:hAnsi="Calibri" w:cs="Arial"/>
                <w:b/>
                <w:bCs/>
                <w:sz w:val="19"/>
                <w:szCs w:val="19"/>
                <w:lang w:val="en-GB"/>
              </w:rPr>
            </w:pPr>
            <w:r w:rsidRPr="00233176">
              <w:rPr>
                <w:rFonts w:ascii="Calibri" w:eastAsia="Times New Roman" w:hAnsi="Calibri" w:cs="Times New Roman"/>
                <w:b/>
                <w:bCs/>
                <w:sz w:val="19"/>
                <w:szCs w:val="19"/>
                <w:lang w:val="en-US"/>
              </w:rPr>
              <w:t xml:space="preserve"> - </w:t>
            </w:r>
          </w:p>
        </w:tc>
        <w:tc>
          <w:tcPr>
            <w:tcW w:w="643" w:type="pct"/>
            <w:tcBorders>
              <w:top w:val="single" w:sz="8" w:space="0" w:color="auto"/>
              <w:left w:val="nil"/>
              <w:bottom w:val="single" w:sz="12" w:space="0" w:color="auto"/>
              <w:right w:val="nil"/>
            </w:tcBorders>
            <w:shd w:val="clear" w:color="auto" w:fill="auto"/>
            <w:vAlign w:val="bottom"/>
          </w:tcPr>
          <w:p w14:paraId="2FB2B9B2" w14:textId="77777777" w:rsidR="00233176" w:rsidRPr="00233176" w:rsidRDefault="00233176" w:rsidP="00233176">
            <w:pPr>
              <w:tabs>
                <w:tab w:val="right" w:pos="1202"/>
              </w:tabs>
              <w:spacing w:after="0" w:line="301" w:lineRule="exact"/>
              <w:jc w:val="right"/>
              <w:outlineLvl w:val="0"/>
              <w:rPr>
                <w:rFonts w:ascii="Calibri" w:eastAsia="Calibri" w:hAnsi="Calibri" w:cs="Arial"/>
                <w:b/>
                <w:bCs/>
                <w:sz w:val="19"/>
                <w:szCs w:val="19"/>
                <w:lang w:val="en-GB"/>
              </w:rPr>
            </w:pPr>
            <w:r w:rsidRPr="00233176">
              <w:rPr>
                <w:rFonts w:ascii="Calibri" w:eastAsia="Times New Roman" w:hAnsi="Calibri" w:cs="Times New Roman"/>
                <w:b/>
                <w:bCs/>
                <w:sz w:val="19"/>
                <w:szCs w:val="19"/>
                <w:lang w:val="en-US"/>
              </w:rPr>
              <w:t xml:space="preserve"> 1,731 </w:t>
            </w:r>
          </w:p>
        </w:tc>
        <w:tc>
          <w:tcPr>
            <w:tcW w:w="605" w:type="pct"/>
            <w:tcBorders>
              <w:top w:val="single" w:sz="8" w:space="0" w:color="auto"/>
              <w:left w:val="nil"/>
              <w:bottom w:val="single" w:sz="12" w:space="0" w:color="auto"/>
              <w:right w:val="nil"/>
            </w:tcBorders>
            <w:shd w:val="clear" w:color="auto" w:fill="auto"/>
            <w:vAlign w:val="bottom"/>
          </w:tcPr>
          <w:p w14:paraId="768A9C41" w14:textId="77777777" w:rsidR="00233176" w:rsidRPr="00233176" w:rsidRDefault="00233176" w:rsidP="00233176">
            <w:pPr>
              <w:tabs>
                <w:tab w:val="right" w:pos="1202"/>
              </w:tabs>
              <w:spacing w:after="0" w:line="301" w:lineRule="exact"/>
              <w:jc w:val="right"/>
              <w:outlineLvl w:val="0"/>
              <w:rPr>
                <w:rFonts w:ascii="Calibri" w:eastAsia="Calibri" w:hAnsi="Calibri" w:cs="Arial"/>
                <w:b/>
                <w:bCs/>
                <w:sz w:val="19"/>
                <w:szCs w:val="19"/>
                <w:lang w:val="en-GB"/>
              </w:rPr>
            </w:pPr>
            <w:r w:rsidRPr="00233176">
              <w:rPr>
                <w:rFonts w:ascii="Calibri" w:eastAsia="Times New Roman" w:hAnsi="Calibri" w:cs="Times New Roman"/>
                <w:b/>
                <w:bCs/>
                <w:sz w:val="19"/>
                <w:szCs w:val="19"/>
                <w:lang w:val="en-US"/>
              </w:rPr>
              <w:t xml:space="preserve"> - </w:t>
            </w:r>
          </w:p>
        </w:tc>
        <w:tc>
          <w:tcPr>
            <w:tcW w:w="638" w:type="pct"/>
            <w:tcBorders>
              <w:top w:val="single" w:sz="8" w:space="0" w:color="auto"/>
              <w:left w:val="nil"/>
              <w:bottom w:val="single" w:sz="12" w:space="0" w:color="auto"/>
              <w:right w:val="nil"/>
            </w:tcBorders>
            <w:shd w:val="clear" w:color="auto" w:fill="auto"/>
            <w:vAlign w:val="bottom"/>
          </w:tcPr>
          <w:p w14:paraId="3E996B77" w14:textId="77777777" w:rsidR="00233176" w:rsidRPr="00233176" w:rsidRDefault="00233176" w:rsidP="00233176">
            <w:pPr>
              <w:tabs>
                <w:tab w:val="right" w:pos="1202"/>
              </w:tabs>
              <w:spacing w:after="0" w:line="301" w:lineRule="exact"/>
              <w:jc w:val="right"/>
              <w:outlineLvl w:val="0"/>
              <w:rPr>
                <w:rFonts w:ascii="Calibri" w:eastAsia="Calibri" w:hAnsi="Calibri" w:cs="Arial"/>
                <w:b/>
                <w:bCs/>
                <w:sz w:val="19"/>
                <w:szCs w:val="19"/>
                <w:lang w:val="en-GB"/>
              </w:rPr>
            </w:pPr>
            <w:r w:rsidRPr="00233176">
              <w:rPr>
                <w:rFonts w:ascii="Calibri" w:eastAsia="Times New Roman" w:hAnsi="Calibri" w:cs="Times New Roman"/>
                <w:b/>
                <w:bCs/>
                <w:sz w:val="19"/>
                <w:szCs w:val="19"/>
                <w:lang w:val="en-US"/>
              </w:rPr>
              <w:t xml:space="preserve"> 4,455 </w:t>
            </w:r>
          </w:p>
        </w:tc>
      </w:tr>
    </w:tbl>
    <w:p w14:paraId="4CC4D8B9" w14:textId="77777777" w:rsidR="00024090" w:rsidRPr="00537128" w:rsidRDefault="00024090" w:rsidP="00024090">
      <w:pPr>
        <w:spacing w:after="0" w:line="240" w:lineRule="auto"/>
        <w:rPr>
          <w:rFonts w:ascii="Calibri" w:eastAsia="Calibri" w:hAnsi="Calibri" w:cs="Times New Roman"/>
          <w:noProof/>
          <w:color w:val="000000" w:themeColor="text1"/>
          <w:lang w:val="en-US"/>
        </w:rPr>
        <w:sectPr w:rsidR="00024090" w:rsidRPr="00537128" w:rsidSect="00712478">
          <w:pgSz w:w="11906" w:h="16838"/>
          <w:pgMar w:top="1418" w:right="1134" w:bottom="1418" w:left="1418" w:header="709" w:footer="709" w:gutter="0"/>
          <w:cols w:space="708"/>
          <w:docGrid w:linePitch="360"/>
        </w:sectPr>
      </w:pPr>
    </w:p>
    <w:p w14:paraId="36BB1457" w14:textId="77777777" w:rsidR="00824E0F" w:rsidRPr="00537128" w:rsidRDefault="00824E0F" w:rsidP="00824E0F">
      <w:pPr>
        <w:spacing w:after="0" w:line="240" w:lineRule="auto"/>
        <w:jc w:val="both"/>
        <w:rPr>
          <w:rFonts w:ascii="Calibri" w:eastAsia="Calibri" w:hAnsi="Calibri" w:cs="Arial"/>
          <w:b/>
          <w:bCs/>
          <w:color w:val="000000" w:themeColor="text1"/>
          <w:sz w:val="16"/>
          <w:szCs w:val="16"/>
          <w:lang w:val="en-US"/>
        </w:rPr>
      </w:pPr>
    </w:p>
    <w:p w14:paraId="42080CFF" w14:textId="25EF3D36" w:rsidR="00824E0F" w:rsidRPr="00537128" w:rsidRDefault="00B357CE" w:rsidP="00824E0F">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824E0F" w:rsidRPr="00537128">
        <w:rPr>
          <w:rFonts w:ascii="Calibri" w:eastAsia="Calibri" w:hAnsi="Calibri" w:cs="Arial"/>
          <w:b/>
          <w:bCs/>
          <w:color w:val="000000" w:themeColor="text1"/>
          <w:lang w:val="en-US"/>
        </w:rPr>
        <w:t>.</w:t>
      </w:r>
      <w:r w:rsidR="00824E0F" w:rsidRPr="00537128">
        <w:rPr>
          <w:rFonts w:ascii="Calibri" w:eastAsia="Calibri" w:hAnsi="Calibri" w:cs="Arial"/>
          <w:b/>
          <w:bCs/>
          <w:color w:val="000000" w:themeColor="text1"/>
          <w:lang w:val="en-US"/>
        </w:rPr>
        <w:tab/>
        <w:t>Risk management (continued)</w:t>
      </w:r>
    </w:p>
    <w:p w14:paraId="49E75FBD" w14:textId="77777777" w:rsidR="00824E0F" w:rsidRPr="00537128" w:rsidRDefault="00824E0F" w:rsidP="00824E0F">
      <w:pPr>
        <w:spacing w:after="0" w:line="240" w:lineRule="auto"/>
        <w:jc w:val="both"/>
        <w:rPr>
          <w:rFonts w:ascii="Calibri" w:eastAsia="Times New Roman" w:hAnsi="Calibri" w:cs="Times New Roman"/>
          <w:b/>
          <w:color w:val="000000" w:themeColor="text1"/>
          <w:sz w:val="16"/>
          <w:szCs w:val="16"/>
          <w:lang w:val="en-US"/>
        </w:rPr>
      </w:pPr>
    </w:p>
    <w:p w14:paraId="4C50ABFA" w14:textId="660C083F" w:rsidR="00824E0F" w:rsidRPr="00537128" w:rsidRDefault="00B357CE" w:rsidP="00824E0F">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824E0F" w:rsidRPr="00537128">
        <w:rPr>
          <w:rFonts w:ascii="Calibri" w:eastAsia="Times New Roman" w:hAnsi="Calibri" w:cs="Times New Roman"/>
          <w:b/>
          <w:color w:val="000000" w:themeColor="text1"/>
          <w:lang w:val="en-US"/>
        </w:rPr>
        <w:t xml:space="preserve"> </w:t>
      </w:r>
      <w:r w:rsidR="00824E0F" w:rsidRPr="00537128">
        <w:rPr>
          <w:rFonts w:ascii="Calibri" w:eastAsia="Times New Roman" w:hAnsi="Calibri" w:cs="Times New Roman"/>
          <w:b/>
          <w:color w:val="000000" w:themeColor="text1"/>
          <w:lang w:val="en-US"/>
        </w:rPr>
        <w:tab/>
        <w:t>Credit risk (continued)</w:t>
      </w:r>
    </w:p>
    <w:p w14:paraId="4DE27940" w14:textId="77777777" w:rsidR="00824E0F" w:rsidRPr="00537128" w:rsidRDefault="00824E0F" w:rsidP="00824E0F">
      <w:pPr>
        <w:spacing w:after="0" w:line="240" w:lineRule="auto"/>
        <w:jc w:val="both"/>
        <w:rPr>
          <w:rFonts w:ascii="Calibri" w:eastAsia="Calibri" w:hAnsi="Calibri" w:cs="Arial"/>
          <w:b/>
          <w:bCs/>
          <w:i/>
          <w:color w:val="000000" w:themeColor="text1"/>
          <w:sz w:val="16"/>
          <w:szCs w:val="16"/>
          <w:lang w:val="en-US"/>
        </w:rPr>
      </w:pPr>
    </w:p>
    <w:p w14:paraId="04526784" w14:textId="2E6F37EC" w:rsidR="00824E0F" w:rsidRPr="00537128" w:rsidRDefault="00824E0F" w:rsidP="00824E0F">
      <w:pPr>
        <w:numPr>
          <w:ilvl w:val="8"/>
          <w:numId w:val="50"/>
        </w:numPr>
        <w:spacing w:after="0" w:line="240" w:lineRule="auto"/>
        <w:jc w:val="both"/>
        <w:rPr>
          <w:rFonts w:ascii="Calibri" w:eastAsia="Calibri" w:hAnsi="Calibri" w:cs="Arial"/>
          <w:bCs/>
          <w:i/>
          <w:color w:val="000000" w:themeColor="text1"/>
          <w:lang w:val="en-US"/>
        </w:rPr>
      </w:pPr>
      <w:proofErr w:type="gramStart"/>
      <w:r w:rsidRPr="00537128">
        <w:rPr>
          <w:rFonts w:ascii="Calibri" w:eastAsia="Calibri" w:hAnsi="Calibri" w:cs="Arial"/>
          <w:bCs/>
          <w:i/>
          <w:color w:val="000000" w:themeColor="text1"/>
          <w:lang w:val="en-US"/>
        </w:rPr>
        <w:t>Allowances</w:t>
      </w:r>
      <w:r w:rsidR="00685DB2">
        <w:rPr>
          <w:rFonts w:ascii="Calibri" w:eastAsia="Calibri" w:hAnsi="Calibri" w:cs="Arial"/>
          <w:bCs/>
          <w:i/>
          <w:color w:val="000000" w:themeColor="text1"/>
          <w:lang w:val="en-US"/>
        </w:rPr>
        <w:t xml:space="preserve">  (</w:t>
      </w:r>
      <w:proofErr w:type="gramEnd"/>
      <w:r w:rsidR="00685DB2">
        <w:rPr>
          <w:rFonts w:ascii="Calibri" w:eastAsia="Calibri" w:hAnsi="Calibri" w:cs="Arial"/>
          <w:bCs/>
          <w:i/>
          <w:color w:val="000000" w:themeColor="text1"/>
          <w:lang w:val="en-US"/>
        </w:rPr>
        <w:t>continued)</w:t>
      </w:r>
    </w:p>
    <w:p w14:paraId="6859EF91" w14:textId="77777777" w:rsidR="00824E0F" w:rsidRPr="00537128" w:rsidRDefault="00824E0F" w:rsidP="00824E0F">
      <w:pPr>
        <w:spacing w:after="0" w:line="240" w:lineRule="auto"/>
        <w:jc w:val="both"/>
        <w:rPr>
          <w:rFonts w:ascii="Calibri" w:eastAsia="Calibri" w:hAnsi="Calibri" w:cs="Arial"/>
          <w:b/>
          <w:bCs/>
          <w:i/>
          <w:color w:val="000000" w:themeColor="text1"/>
          <w:lang w:val="en-US"/>
        </w:rPr>
      </w:pPr>
    </w:p>
    <w:p w14:paraId="5D488BDB" w14:textId="77777777" w:rsidR="00824E0F" w:rsidRPr="00537128" w:rsidRDefault="00824E0F" w:rsidP="00824E0F">
      <w:pPr>
        <w:spacing w:after="120" w:line="240" w:lineRule="auto"/>
        <w:jc w:val="both"/>
        <w:rPr>
          <w:rFonts w:ascii="Calibri" w:eastAsia="Times New Roman" w:hAnsi="Calibri" w:cs="Times New Roman"/>
          <w:b/>
          <w:bCs/>
          <w:color w:val="000000" w:themeColor="text1"/>
          <w:lang w:val="en-US"/>
        </w:rPr>
      </w:pPr>
      <w:r w:rsidRPr="00537128">
        <w:rPr>
          <w:rFonts w:ascii="Calibri" w:eastAsia="Times New Roman" w:hAnsi="Calibri" w:cs="Times New Roman"/>
          <w:b/>
          <w:bCs/>
          <w:color w:val="000000" w:themeColor="text1"/>
          <w:lang w:val="en-US"/>
        </w:rPr>
        <w:t>Other assets</w:t>
      </w:r>
    </w:p>
    <w:p w14:paraId="0933F23E" w14:textId="093BC7E0" w:rsidR="00024090" w:rsidRPr="00537128" w:rsidRDefault="00024090" w:rsidP="00024090">
      <w:pPr>
        <w:spacing w:after="0" w:line="240" w:lineRule="auto"/>
        <w:rPr>
          <w:rFonts w:ascii="Calibri" w:eastAsia="Calibri" w:hAnsi="Calibri" w:cs="Times New Roman"/>
          <w:noProof/>
          <w:color w:val="000000" w:themeColor="text1"/>
          <w:lang w:val="en-US"/>
        </w:rPr>
      </w:pPr>
    </w:p>
    <w:p w14:paraId="556F9A31" w14:textId="77777777" w:rsidR="004A287E" w:rsidRPr="00537128" w:rsidRDefault="004A287E"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7" w:type="pct"/>
        <w:tblLayout w:type="fixed"/>
        <w:tblLook w:val="0000" w:firstRow="0" w:lastRow="0" w:firstColumn="0" w:lastColumn="0" w:noHBand="0" w:noVBand="0"/>
      </w:tblPr>
      <w:tblGrid>
        <w:gridCol w:w="3398"/>
        <w:gridCol w:w="1216"/>
        <w:gridCol w:w="1216"/>
        <w:gridCol w:w="1205"/>
        <w:gridCol w:w="1133"/>
        <w:gridCol w:w="1199"/>
      </w:tblGrid>
      <w:tr w:rsidR="004A287E" w:rsidRPr="00537128" w14:paraId="2F75958B" w14:textId="77777777" w:rsidTr="004A287E">
        <w:trPr>
          <w:trHeight w:val="164"/>
        </w:trPr>
        <w:tc>
          <w:tcPr>
            <w:tcW w:w="1814" w:type="pct"/>
          </w:tcPr>
          <w:p w14:paraId="43A38E45" w14:textId="77777777" w:rsidR="004A287E" w:rsidRPr="00537128" w:rsidRDefault="004A287E" w:rsidP="004A287E">
            <w:pPr>
              <w:spacing w:after="0" w:line="240" w:lineRule="auto"/>
              <w:rPr>
                <w:rFonts w:ascii="Calibri" w:eastAsia="Calibri" w:hAnsi="Calibri" w:cs="Arial"/>
                <w:b/>
                <w:bCs/>
                <w:sz w:val="19"/>
                <w:szCs w:val="19"/>
                <w:lang w:val="en-US"/>
              </w:rPr>
            </w:pPr>
            <w:r w:rsidRPr="00537128">
              <w:rPr>
                <w:rFonts w:ascii="Calibri" w:eastAsia="Calibri" w:hAnsi="Calibri" w:cs="Arial"/>
                <w:b/>
                <w:bCs/>
                <w:sz w:val="19"/>
                <w:szCs w:val="19"/>
                <w:lang w:val="en-US"/>
              </w:rPr>
              <w:br w:type="page"/>
              <w:t>Group</w:t>
            </w:r>
          </w:p>
        </w:tc>
        <w:tc>
          <w:tcPr>
            <w:tcW w:w="3186" w:type="pct"/>
            <w:gridSpan w:val="5"/>
            <w:vAlign w:val="bottom"/>
          </w:tcPr>
          <w:p w14:paraId="7495BCB6" w14:textId="77777777" w:rsidR="004A287E" w:rsidRPr="00537128" w:rsidRDefault="004A287E" w:rsidP="004A287E">
            <w:pPr>
              <w:spacing w:after="0" w:line="240" w:lineRule="auto"/>
              <w:jc w:val="center"/>
              <w:rPr>
                <w:rFonts w:ascii="Calibri" w:eastAsia="Calibri" w:hAnsi="Calibri" w:cs="Arial"/>
                <w:b/>
                <w:sz w:val="19"/>
                <w:szCs w:val="19"/>
                <w:lang w:val="en-US"/>
              </w:rPr>
            </w:pPr>
          </w:p>
        </w:tc>
      </w:tr>
      <w:tr w:rsidR="004A287E" w:rsidRPr="00537128" w14:paraId="638AE801" w14:textId="77777777" w:rsidTr="004A287E">
        <w:trPr>
          <w:trHeight w:val="53"/>
        </w:trPr>
        <w:tc>
          <w:tcPr>
            <w:tcW w:w="1814" w:type="pct"/>
          </w:tcPr>
          <w:p w14:paraId="4CF6C00D" w14:textId="28CFD3C0" w:rsidR="004A287E" w:rsidRPr="00537128" w:rsidRDefault="002412CA" w:rsidP="004A287E">
            <w:pPr>
              <w:spacing w:after="0" w:line="240" w:lineRule="auto"/>
              <w:rPr>
                <w:rFonts w:ascii="Calibri" w:eastAsia="Calibri" w:hAnsi="Calibri" w:cs="Arial"/>
                <w:b/>
                <w:bCs/>
                <w:sz w:val="19"/>
                <w:szCs w:val="19"/>
                <w:lang w:val="en-US"/>
              </w:rPr>
            </w:pPr>
            <w:r w:rsidRPr="00537128">
              <w:rPr>
                <w:rFonts w:ascii="Calibri" w:eastAsia="Calibri" w:hAnsi="Calibri" w:cs="Arial"/>
                <w:b/>
                <w:bCs/>
                <w:sz w:val="19"/>
                <w:szCs w:val="19"/>
                <w:lang w:val="en-US"/>
              </w:rPr>
              <w:t>31 March 202</w:t>
            </w:r>
            <w:r w:rsidR="003743AF">
              <w:rPr>
                <w:rFonts w:ascii="Calibri" w:eastAsia="Calibri" w:hAnsi="Calibri" w:cs="Arial"/>
                <w:b/>
                <w:bCs/>
                <w:sz w:val="19"/>
                <w:szCs w:val="19"/>
                <w:lang w:val="en-US"/>
              </w:rPr>
              <w:t>2</w:t>
            </w:r>
          </w:p>
        </w:tc>
        <w:tc>
          <w:tcPr>
            <w:tcW w:w="649" w:type="pct"/>
            <w:vAlign w:val="bottom"/>
          </w:tcPr>
          <w:p w14:paraId="3132824C"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1</w:t>
            </w:r>
          </w:p>
        </w:tc>
        <w:tc>
          <w:tcPr>
            <w:tcW w:w="649" w:type="pct"/>
            <w:vAlign w:val="bottom"/>
          </w:tcPr>
          <w:p w14:paraId="79BD73B3"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2</w:t>
            </w:r>
          </w:p>
        </w:tc>
        <w:tc>
          <w:tcPr>
            <w:tcW w:w="643" w:type="pct"/>
            <w:vAlign w:val="bottom"/>
          </w:tcPr>
          <w:p w14:paraId="740C8EEA"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3</w:t>
            </w:r>
          </w:p>
        </w:tc>
        <w:tc>
          <w:tcPr>
            <w:tcW w:w="605" w:type="pct"/>
            <w:vAlign w:val="bottom"/>
          </w:tcPr>
          <w:p w14:paraId="20D38EA3"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POCI</w:t>
            </w:r>
          </w:p>
        </w:tc>
        <w:tc>
          <w:tcPr>
            <w:tcW w:w="640" w:type="pct"/>
            <w:vAlign w:val="bottom"/>
          </w:tcPr>
          <w:p w14:paraId="6F13BEC8"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Total</w:t>
            </w:r>
          </w:p>
        </w:tc>
      </w:tr>
      <w:tr w:rsidR="004A287E" w:rsidRPr="00537128" w14:paraId="1B79745E" w14:textId="77777777" w:rsidTr="004A287E">
        <w:trPr>
          <w:trHeight w:val="53"/>
        </w:trPr>
        <w:tc>
          <w:tcPr>
            <w:tcW w:w="1814" w:type="pct"/>
          </w:tcPr>
          <w:p w14:paraId="62F35730"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649" w:type="pct"/>
          </w:tcPr>
          <w:p w14:paraId="2C64AAB3"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49" w:type="pct"/>
          </w:tcPr>
          <w:p w14:paraId="2CF55BD6"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43" w:type="pct"/>
          </w:tcPr>
          <w:p w14:paraId="5BD0ED2B"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05" w:type="pct"/>
          </w:tcPr>
          <w:p w14:paraId="79276EF2"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40" w:type="pct"/>
          </w:tcPr>
          <w:p w14:paraId="78D8426E"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r>
      <w:tr w:rsidR="004A287E" w:rsidRPr="00537128" w14:paraId="56FA5EDA" w14:textId="77777777" w:rsidTr="004A287E">
        <w:trPr>
          <w:trHeight w:val="53"/>
        </w:trPr>
        <w:tc>
          <w:tcPr>
            <w:tcW w:w="1814" w:type="pct"/>
          </w:tcPr>
          <w:p w14:paraId="1D71FE1C"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649" w:type="pct"/>
          </w:tcPr>
          <w:p w14:paraId="392E4859"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49" w:type="pct"/>
          </w:tcPr>
          <w:p w14:paraId="3F9A3F72"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43" w:type="pct"/>
          </w:tcPr>
          <w:p w14:paraId="1B80CC56"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05" w:type="pct"/>
          </w:tcPr>
          <w:p w14:paraId="372BC381"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40" w:type="pct"/>
          </w:tcPr>
          <w:p w14:paraId="24F7F18C"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r>
      <w:tr w:rsidR="008067D3" w:rsidRPr="00537128" w14:paraId="2765636B" w14:textId="77777777" w:rsidTr="002412CA">
        <w:trPr>
          <w:trHeight w:hRule="exact" w:val="250"/>
        </w:trPr>
        <w:tc>
          <w:tcPr>
            <w:tcW w:w="1814" w:type="pct"/>
            <w:vAlign w:val="bottom"/>
          </w:tcPr>
          <w:p w14:paraId="5E15A69D" w14:textId="0CD8ABA7" w:rsidR="008067D3" w:rsidRPr="00537128" w:rsidRDefault="008067D3" w:rsidP="008067D3">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 xml:space="preserve">Balance </w:t>
            </w:r>
            <w:proofErr w:type="gramStart"/>
            <w:r w:rsidRPr="00537128">
              <w:rPr>
                <w:rFonts w:ascii="Calibri" w:eastAsia="Calibri" w:hAnsi="Calibri" w:cs="Times New Roman"/>
                <w:sz w:val="19"/>
                <w:szCs w:val="19"/>
                <w:lang w:val="en-US"/>
              </w:rPr>
              <w:t>at</w:t>
            </w:r>
            <w:proofErr w:type="gramEnd"/>
            <w:r w:rsidRPr="00537128">
              <w:rPr>
                <w:rFonts w:ascii="Calibri" w:eastAsia="Calibri" w:hAnsi="Calibri" w:cs="Times New Roman"/>
                <w:sz w:val="19"/>
                <w:szCs w:val="19"/>
                <w:lang w:val="en-US"/>
              </w:rPr>
              <w:t xml:space="preserve"> 1 January 202</w:t>
            </w:r>
            <w:r>
              <w:rPr>
                <w:rFonts w:ascii="Calibri" w:eastAsia="Calibri" w:hAnsi="Calibri" w:cs="Times New Roman"/>
                <w:sz w:val="19"/>
                <w:szCs w:val="19"/>
                <w:lang w:val="en-US"/>
              </w:rPr>
              <w:t>2</w:t>
            </w:r>
          </w:p>
        </w:tc>
        <w:tc>
          <w:tcPr>
            <w:tcW w:w="649" w:type="pct"/>
            <w:shd w:val="clear" w:color="auto" w:fill="auto"/>
            <w:vAlign w:val="bottom"/>
          </w:tcPr>
          <w:p w14:paraId="7FA5B191" w14:textId="5E7B0314" w:rsidR="008067D3" w:rsidRPr="00537128" w:rsidRDefault="008067D3" w:rsidP="008067D3">
            <w:pPr>
              <w:spacing w:after="0" w:line="240" w:lineRule="auto"/>
              <w:jc w:val="right"/>
              <w:rPr>
                <w:rFonts w:ascii="Calibri" w:eastAsia="Calibri" w:hAnsi="Calibri" w:cs="Calibri"/>
                <w:color w:val="000000"/>
                <w:sz w:val="19"/>
                <w:szCs w:val="19"/>
                <w:lang w:val="en-US"/>
              </w:rPr>
            </w:pPr>
            <w:r w:rsidRPr="007A49AD">
              <w:rPr>
                <w:sz w:val="19"/>
                <w:szCs w:val="19"/>
              </w:rPr>
              <w:t xml:space="preserve"> 179 </w:t>
            </w:r>
          </w:p>
        </w:tc>
        <w:tc>
          <w:tcPr>
            <w:tcW w:w="649" w:type="pct"/>
            <w:shd w:val="clear" w:color="auto" w:fill="auto"/>
            <w:vAlign w:val="bottom"/>
          </w:tcPr>
          <w:p w14:paraId="129A1465" w14:textId="3032078F" w:rsidR="008067D3" w:rsidRPr="00537128" w:rsidRDefault="008067D3" w:rsidP="008067D3">
            <w:pPr>
              <w:spacing w:after="0" w:line="240" w:lineRule="auto"/>
              <w:jc w:val="right"/>
              <w:rPr>
                <w:rFonts w:ascii="Calibri" w:eastAsia="Calibri" w:hAnsi="Calibri" w:cs="Calibri"/>
                <w:color w:val="000000"/>
                <w:sz w:val="19"/>
                <w:szCs w:val="19"/>
                <w:lang w:val="en-US"/>
              </w:rPr>
            </w:pPr>
            <w:r w:rsidRPr="007A49AD">
              <w:rPr>
                <w:sz w:val="19"/>
                <w:szCs w:val="19"/>
              </w:rPr>
              <w:t xml:space="preserve"> 4 </w:t>
            </w:r>
          </w:p>
        </w:tc>
        <w:tc>
          <w:tcPr>
            <w:tcW w:w="643" w:type="pct"/>
            <w:shd w:val="clear" w:color="auto" w:fill="auto"/>
            <w:vAlign w:val="bottom"/>
          </w:tcPr>
          <w:p w14:paraId="3C0D1EF7" w14:textId="0415B514" w:rsidR="008067D3" w:rsidRPr="00537128" w:rsidRDefault="008067D3" w:rsidP="008067D3">
            <w:pPr>
              <w:spacing w:after="0" w:line="240" w:lineRule="auto"/>
              <w:jc w:val="right"/>
              <w:rPr>
                <w:rFonts w:ascii="Calibri" w:eastAsia="Calibri" w:hAnsi="Calibri" w:cs="Calibri"/>
                <w:color w:val="000000"/>
                <w:sz w:val="19"/>
                <w:szCs w:val="19"/>
                <w:lang w:val="en-US"/>
              </w:rPr>
            </w:pPr>
            <w:r w:rsidRPr="007A49AD">
              <w:rPr>
                <w:sz w:val="19"/>
                <w:szCs w:val="19"/>
              </w:rPr>
              <w:t xml:space="preserve"> 31</w:t>
            </w:r>
            <w:r>
              <w:rPr>
                <w:sz w:val="19"/>
                <w:szCs w:val="19"/>
              </w:rPr>
              <w:t>,</w:t>
            </w:r>
            <w:r w:rsidRPr="007A49AD">
              <w:rPr>
                <w:sz w:val="19"/>
                <w:szCs w:val="19"/>
              </w:rPr>
              <w:t xml:space="preserve">418 </w:t>
            </w:r>
          </w:p>
        </w:tc>
        <w:tc>
          <w:tcPr>
            <w:tcW w:w="605" w:type="pct"/>
            <w:shd w:val="clear" w:color="auto" w:fill="auto"/>
            <w:vAlign w:val="bottom"/>
          </w:tcPr>
          <w:p w14:paraId="5E69AD04" w14:textId="0A8A78DB" w:rsidR="008067D3" w:rsidRPr="00537128" w:rsidRDefault="008067D3" w:rsidP="008067D3">
            <w:pPr>
              <w:spacing w:after="0" w:line="240" w:lineRule="auto"/>
              <w:jc w:val="right"/>
              <w:rPr>
                <w:rFonts w:ascii="Calibri" w:eastAsia="Calibri" w:hAnsi="Calibri" w:cs="Calibri"/>
                <w:color w:val="000000"/>
                <w:sz w:val="19"/>
                <w:szCs w:val="19"/>
                <w:lang w:val="en-US"/>
              </w:rPr>
            </w:pPr>
            <w:r w:rsidRPr="007A49AD">
              <w:rPr>
                <w:sz w:val="19"/>
                <w:szCs w:val="19"/>
              </w:rPr>
              <w:t xml:space="preserve"> 250 </w:t>
            </w:r>
          </w:p>
        </w:tc>
        <w:tc>
          <w:tcPr>
            <w:tcW w:w="640" w:type="pct"/>
            <w:shd w:val="clear" w:color="auto" w:fill="auto"/>
            <w:vAlign w:val="bottom"/>
          </w:tcPr>
          <w:p w14:paraId="171F50A4" w14:textId="0A17BBA8" w:rsidR="008067D3" w:rsidRPr="00537128" w:rsidRDefault="008067D3" w:rsidP="008067D3">
            <w:pPr>
              <w:spacing w:after="0" w:line="240" w:lineRule="auto"/>
              <w:jc w:val="right"/>
              <w:rPr>
                <w:rFonts w:ascii="Calibri" w:eastAsia="Calibri" w:hAnsi="Calibri" w:cs="Calibri"/>
                <w:color w:val="000000"/>
                <w:sz w:val="19"/>
                <w:szCs w:val="19"/>
                <w:lang w:val="en-US"/>
              </w:rPr>
            </w:pPr>
            <w:r w:rsidRPr="007A49AD">
              <w:rPr>
                <w:sz w:val="19"/>
                <w:szCs w:val="19"/>
              </w:rPr>
              <w:t xml:space="preserve"> 31</w:t>
            </w:r>
            <w:r>
              <w:rPr>
                <w:sz w:val="19"/>
                <w:szCs w:val="19"/>
              </w:rPr>
              <w:t>,</w:t>
            </w:r>
            <w:r w:rsidRPr="007A49AD">
              <w:rPr>
                <w:sz w:val="19"/>
                <w:szCs w:val="19"/>
              </w:rPr>
              <w:t xml:space="preserve">851 </w:t>
            </w:r>
          </w:p>
        </w:tc>
      </w:tr>
      <w:tr w:rsidR="008067D3" w:rsidRPr="00537128" w14:paraId="0E79C69C" w14:textId="77777777" w:rsidTr="00A1123E">
        <w:trPr>
          <w:trHeight w:hRule="exact" w:val="250"/>
        </w:trPr>
        <w:tc>
          <w:tcPr>
            <w:tcW w:w="1814" w:type="pct"/>
            <w:vAlign w:val="bottom"/>
          </w:tcPr>
          <w:p w14:paraId="77A3D06A" w14:textId="77777777" w:rsidR="008067D3" w:rsidRPr="00537128" w:rsidRDefault="008067D3" w:rsidP="008067D3">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1</w:t>
            </w:r>
          </w:p>
        </w:tc>
        <w:tc>
          <w:tcPr>
            <w:tcW w:w="649" w:type="pct"/>
            <w:shd w:val="clear" w:color="auto" w:fill="auto"/>
            <w:vAlign w:val="bottom"/>
          </w:tcPr>
          <w:p w14:paraId="627F7CD3" w14:textId="443B843D" w:rsidR="008067D3" w:rsidRPr="00537128" w:rsidRDefault="008067D3" w:rsidP="008067D3">
            <w:pPr>
              <w:spacing w:after="0" w:line="240" w:lineRule="auto"/>
              <w:jc w:val="right"/>
              <w:rPr>
                <w:rFonts w:ascii="Calibri" w:eastAsia="Calibri" w:hAnsi="Calibri" w:cs="Calibri"/>
                <w:color w:val="000000"/>
                <w:sz w:val="19"/>
                <w:szCs w:val="19"/>
                <w:lang w:val="en-US"/>
              </w:rPr>
            </w:pPr>
            <w:r w:rsidRPr="007A49AD">
              <w:rPr>
                <w:sz w:val="19"/>
                <w:szCs w:val="19"/>
              </w:rPr>
              <w:t xml:space="preserve"> 10 </w:t>
            </w:r>
          </w:p>
        </w:tc>
        <w:tc>
          <w:tcPr>
            <w:tcW w:w="649" w:type="pct"/>
            <w:shd w:val="clear" w:color="auto" w:fill="auto"/>
            <w:vAlign w:val="bottom"/>
          </w:tcPr>
          <w:p w14:paraId="4FE4907B" w14:textId="3A4CDFB8" w:rsidR="008067D3" w:rsidRPr="00537128" w:rsidRDefault="008067D3" w:rsidP="008067D3">
            <w:pPr>
              <w:spacing w:after="0" w:line="240" w:lineRule="auto"/>
              <w:jc w:val="right"/>
              <w:rPr>
                <w:rFonts w:ascii="Calibri" w:eastAsia="Calibri" w:hAnsi="Calibri" w:cs="Calibri"/>
                <w:color w:val="000000"/>
                <w:sz w:val="19"/>
                <w:szCs w:val="19"/>
                <w:lang w:val="en-US"/>
              </w:rPr>
            </w:pPr>
            <w:r w:rsidRPr="007A49AD">
              <w:rPr>
                <w:sz w:val="19"/>
                <w:szCs w:val="19"/>
              </w:rPr>
              <w:t xml:space="preserve"> - </w:t>
            </w:r>
          </w:p>
        </w:tc>
        <w:tc>
          <w:tcPr>
            <w:tcW w:w="643" w:type="pct"/>
            <w:shd w:val="clear" w:color="auto" w:fill="auto"/>
            <w:vAlign w:val="bottom"/>
          </w:tcPr>
          <w:p w14:paraId="0E8792C2" w14:textId="322F5B3B" w:rsidR="008067D3" w:rsidRPr="00537128" w:rsidRDefault="008067D3" w:rsidP="008067D3">
            <w:pPr>
              <w:spacing w:after="0" w:line="240" w:lineRule="auto"/>
              <w:jc w:val="right"/>
              <w:rPr>
                <w:rFonts w:ascii="Calibri" w:eastAsia="Calibri" w:hAnsi="Calibri" w:cs="Calibri"/>
                <w:color w:val="000000"/>
                <w:sz w:val="19"/>
                <w:szCs w:val="19"/>
                <w:lang w:val="en-US"/>
              </w:rPr>
            </w:pPr>
            <w:r w:rsidRPr="007A49AD">
              <w:rPr>
                <w:sz w:val="19"/>
                <w:szCs w:val="19"/>
              </w:rPr>
              <w:t xml:space="preserve"> (10)</w:t>
            </w:r>
          </w:p>
        </w:tc>
        <w:tc>
          <w:tcPr>
            <w:tcW w:w="605" w:type="pct"/>
            <w:shd w:val="clear" w:color="auto" w:fill="auto"/>
            <w:vAlign w:val="bottom"/>
          </w:tcPr>
          <w:p w14:paraId="0215C850" w14:textId="5DCBA18D" w:rsidR="008067D3" w:rsidRPr="00537128" w:rsidRDefault="008067D3" w:rsidP="008067D3">
            <w:pPr>
              <w:spacing w:after="0" w:line="240" w:lineRule="auto"/>
              <w:jc w:val="right"/>
              <w:rPr>
                <w:rFonts w:ascii="Calibri" w:eastAsia="Calibri" w:hAnsi="Calibri" w:cs="Calibri"/>
                <w:color w:val="000000"/>
                <w:sz w:val="19"/>
                <w:szCs w:val="19"/>
                <w:lang w:val="en-US"/>
              </w:rPr>
            </w:pPr>
            <w:r w:rsidRPr="007A49AD">
              <w:rPr>
                <w:sz w:val="19"/>
                <w:szCs w:val="19"/>
              </w:rPr>
              <w:t xml:space="preserve"> - </w:t>
            </w:r>
          </w:p>
        </w:tc>
        <w:tc>
          <w:tcPr>
            <w:tcW w:w="640" w:type="pct"/>
            <w:shd w:val="clear" w:color="auto" w:fill="auto"/>
            <w:vAlign w:val="bottom"/>
          </w:tcPr>
          <w:p w14:paraId="18B26282" w14:textId="6801841F" w:rsidR="008067D3" w:rsidRPr="00537128" w:rsidRDefault="008067D3" w:rsidP="008067D3">
            <w:pPr>
              <w:spacing w:after="0" w:line="240" w:lineRule="auto"/>
              <w:jc w:val="right"/>
              <w:rPr>
                <w:rFonts w:ascii="Calibri" w:eastAsia="Calibri" w:hAnsi="Calibri" w:cs="Calibri"/>
                <w:color w:val="000000"/>
                <w:sz w:val="19"/>
                <w:szCs w:val="19"/>
                <w:lang w:val="en-US"/>
              </w:rPr>
            </w:pPr>
            <w:r w:rsidRPr="007A49AD">
              <w:rPr>
                <w:sz w:val="19"/>
                <w:szCs w:val="19"/>
              </w:rPr>
              <w:t xml:space="preserve"> - </w:t>
            </w:r>
          </w:p>
        </w:tc>
      </w:tr>
      <w:tr w:rsidR="008067D3" w:rsidRPr="00537128" w14:paraId="347B2E0A" w14:textId="77777777" w:rsidTr="00A1123E">
        <w:trPr>
          <w:trHeight w:hRule="exact" w:val="250"/>
        </w:trPr>
        <w:tc>
          <w:tcPr>
            <w:tcW w:w="1814" w:type="pct"/>
            <w:vAlign w:val="bottom"/>
          </w:tcPr>
          <w:p w14:paraId="70C50DAF" w14:textId="77777777" w:rsidR="008067D3" w:rsidRPr="00537128" w:rsidRDefault="008067D3" w:rsidP="008067D3">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2</w:t>
            </w:r>
          </w:p>
        </w:tc>
        <w:tc>
          <w:tcPr>
            <w:tcW w:w="649" w:type="pct"/>
            <w:shd w:val="clear" w:color="auto" w:fill="auto"/>
            <w:vAlign w:val="bottom"/>
          </w:tcPr>
          <w:p w14:paraId="52AAE98F" w14:textId="1D369AAA" w:rsidR="008067D3" w:rsidRPr="00537128" w:rsidRDefault="008067D3" w:rsidP="008067D3">
            <w:pPr>
              <w:spacing w:after="0" w:line="240" w:lineRule="auto"/>
              <w:jc w:val="right"/>
              <w:rPr>
                <w:rFonts w:ascii="Calibri" w:eastAsia="Calibri" w:hAnsi="Calibri" w:cs="Calibri"/>
                <w:color w:val="000000"/>
                <w:sz w:val="19"/>
                <w:szCs w:val="19"/>
                <w:lang w:val="en-US"/>
              </w:rPr>
            </w:pPr>
            <w:r w:rsidRPr="007A49AD">
              <w:rPr>
                <w:sz w:val="19"/>
                <w:szCs w:val="19"/>
              </w:rPr>
              <w:t xml:space="preserve"> - </w:t>
            </w:r>
          </w:p>
        </w:tc>
        <w:tc>
          <w:tcPr>
            <w:tcW w:w="649" w:type="pct"/>
            <w:shd w:val="clear" w:color="auto" w:fill="auto"/>
            <w:vAlign w:val="bottom"/>
          </w:tcPr>
          <w:p w14:paraId="01CEFDE0" w14:textId="52D839D5" w:rsidR="008067D3" w:rsidRPr="00537128" w:rsidRDefault="008067D3" w:rsidP="008067D3">
            <w:pPr>
              <w:spacing w:after="0" w:line="240" w:lineRule="auto"/>
              <w:jc w:val="right"/>
              <w:rPr>
                <w:rFonts w:ascii="Calibri" w:eastAsia="Calibri" w:hAnsi="Calibri" w:cs="Calibri"/>
                <w:color w:val="000000"/>
                <w:sz w:val="19"/>
                <w:szCs w:val="19"/>
                <w:lang w:val="en-US"/>
              </w:rPr>
            </w:pPr>
            <w:r w:rsidRPr="007A49AD">
              <w:rPr>
                <w:sz w:val="19"/>
                <w:szCs w:val="19"/>
              </w:rPr>
              <w:t xml:space="preserve"> - </w:t>
            </w:r>
          </w:p>
        </w:tc>
        <w:tc>
          <w:tcPr>
            <w:tcW w:w="643" w:type="pct"/>
            <w:shd w:val="clear" w:color="auto" w:fill="auto"/>
            <w:vAlign w:val="bottom"/>
          </w:tcPr>
          <w:p w14:paraId="7CEE3591" w14:textId="4C2F848F" w:rsidR="008067D3" w:rsidRPr="00537128" w:rsidRDefault="008067D3" w:rsidP="008067D3">
            <w:pPr>
              <w:spacing w:after="0" w:line="240" w:lineRule="auto"/>
              <w:jc w:val="right"/>
              <w:rPr>
                <w:rFonts w:ascii="Calibri" w:eastAsia="Calibri" w:hAnsi="Calibri" w:cs="Calibri"/>
                <w:color w:val="000000"/>
                <w:sz w:val="19"/>
                <w:szCs w:val="19"/>
                <w:lang w:val="en-US"/>
              </w:rPr>
            </w:pPr>
            <w:r w:rsidRPr="007A49AD">
              <w:rPr>
                <w:sz w:val="19"/>
                <w:szCs w:val="19"/>
              </w:rPr>
              <w:t xml:space="preserve"> - </w:t>
            </w:r>
          </w:p>
        </w:tc>
        <w:tc>
          <w:tcPr>
            <w:tcW w:w="605" w:type="pct"/>
            <w:shd w:val="clear" w:color="auto" w:fill="auto"/>
            <w:vAlign w:val="bottom"/>
          </w:tcPr>
          <w:p w14:paraId="5989E88C" w14:textId="55FD362B" w:rsidR="008067D3" w:rsidRPr="00537128" w:rsidRDefault="008067D3" w:rsidP="008067D3">
            <w:pPr>
              <w:spacing w:after="0" w:line="240" w:lineRule="auto"/>
              <w:jc w:val="right"/>
              <w:rPr>
                <w:rFonts w:ascii="Calibri" w:eastAsia="Calibri" w:hAnsi="Calibri" w:cs="Calibri"/>
                <w:color w:val="000000"/>
                <w:sz w:val="19"/>
                <w:szCs w:val="19"/>
                <w:lang w:val="en-US"/>
              </w:rPr>
            </w:pPr>
            <w:r w:rsidRPr="007A49AD">
              <w:rPr>
                <w:sz w:val="19"/>
                <w:szCs w:val="19"/>
              </w:rPr>
              <w:t xml:space="preserve"> - </w:t>
            </w:r>
          </w:p>
        </w:tc>
        <w:tc>
          <w:tcPr>
            <w:tcW w:w="640" w:type="pct"/>
            <w:shd w:val="clear" w:color="auto" w:fill="auto"/>
            <w:vAlign w:val="bottom"/>
          </w:tcPr>
          <w:p w14:paraId="1AAB30C8" w14:textId="6E13EFC0" w:rsidR="008067D3" w:rsidRPr="00537128" w:rsidRDefault="008067D3" w:rsidP="008067D3">
            <w:pPr>
              <w:spacing w:after="0" w:line="240" w:lineRule="auto"/>
              <w:jc w:val="right"/>
              <w:rPr>
                <w:rFonts w:ascii="Calibri" w:eastAsia="Calibri" w:hAnsi="Calibri" w:cs="Calibri"/>
                <w:color w:val="000000"/>
                <w:sz w:val="19"/>
                <w:szCs w:val="19"/>
                <w:lang w:val="en-US"/>
              </w:rPr>
            </w:pPr>
            <w:r w:rsidRPr="007A49AD">
              <w:rPr>
                <w:sz w:val="19"/>
                <w:szCs w:val="19"/>
              </w:rPr>
              <w:t xml:space="preserve"> - </w:t>
            </w:r>
          </w:p>
        </w:tc>
      </w:tr>
      <w:tr w:rsidR="008067D3" w:rsidRPr="00537128" w14:paraId="3C5D4AB0" w14:textId="77777777" w:rsidTr="00A1123E">
        <w:trPr>
          <w:trHeight w:hRule="exact" w:val="250"/>
        </w:trPr>
        <w:tc>
          <w:tcPr>
            <w:tcW w:w="1814" w:type="pct"/>
            <w:vAlign w:val="bottom"/>
          </w:tcPr>
          <w:p w14:paraId="74A2171D" w14:textId="77777777" w:rsidR="008067D3" w:rsidRPr="00537128" w:rsidRDefault="008067D3" w:rsidP="008067D3">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3</w:t>
            </w:r>
          </w:p>
        </w:tc>
        <w:tc>
          <w:tcPr>
            <w:tcW w:w="649" w:type="pct"/>
            <w:shd w:val="clear" w:color="auto" w:fill="auto"/>
            <w:vAlign w:val="bottom"/>
          </w:tcPr>
          <w:p w14:paraId="095D9971" w14:textId="0DE19AAE" w:rsidR="008067D3" w:rsidRPr="00537128" w:rsidRDefault="008067D3" w:rsidP="008067D3">
            <w:pPr>
              <w:spacing w:after="0" w:line="240" w:lineRule="auto"/>
              <w:jc w:val="right"/>
              <w:rPr>
                <w:rFonts w:ascii="Calibri" w:eastAsia="Calibri" w:hAnsi="Calibri" w:cs="Calibri"/>
                <w:color w:val="000000"/>
                <w:sz w:val="19"/>
                <w:szCs w:val="19"/>
                <w:lang w:val="en-US"/>
              </w:rPr>
            </w:pPr>
            <w:r w:rsidRPr="007A49AD">
              <w:rPr>
                <w:sz w:val="19"/>
                <w:szCs w:val="19"/>
              </w:rPr>
              <w:t xml:space="preserve"> - </w:t>
            </w:r>
          </w:p>
        </w:tc>
        <w:tc>
          <w:tcPr>
            <w:tcW w:w="649" w:type="pct"/>
            <w:shd w:val="clear" w:color="auto" w:fill="auto"/>
            <w:vAlign w:val="bottom"/>
          </w:tcPr>
          <w:p w14:paraId="66D438B9" w14:textId="22F7B77D" w:rsidR="008067D3" w:rsidRPr="00537128" w:rsidRDefault="008067D3" w:rsidP="008067D3">
            <w:pPr>
              <w:spacing w:after="0" w:line="240" w:lineRule="auto"/>
              <w:jc w:val="right"/>
              <w:rPr>
                <w:rFonts w:ascii="Calibri" w:eastAsia="Calibri" w:hAnsi="Calibri" w:cs="Calibri"/>
                <w:color w:val="000000"/>
                <w:sz w:val="19"/>
                <w:szCs w:val="19"/>
                <w:lang w:val="en-US"/>
              </w:rPr>
            </w:pPr>
            <w:r w:rsidRPr="007A49AD">
              <w:rPr>
                <w:sz w:val="19"/>
                <w:szCs w:val="19"/>
              </w:rPr>
              <w:t xml:space="preserve"> - </w:t>
            </w:r>
          </w:p>
        </w:tc>
        <w:tc>
          <w:tcPr>
            <w:tcW w:w="643" w:type="pct"/>
            <w:shd w:val="clear" w:color="auto" w:fill="auto"/>
            <w:vAlign w:val="bottom"/>
          </w:tcPr>
          <w:p w14:paraId="769105A5" w14:textId="14470BAE" w:rsidR="008067D3" w:rsidRPr="00537128" w:rsidRDefault="008067D3" w:rsidP="008067D3">
            <w:pPr>
              <w:spacing w:after="0" w:line="240" w:lineRule="auto"/>
              <w:jc w:val="right"/>
              <w:rPr>
                <w:rFonts w:ascii="Calibri" w:eastAsia="Calibri" w:hAnsi="Calibri" w:cs="Calibri"/>
                <w:color w:val="000000"/>
                <w:sz w:val="19"/>
                <w:szCs w:val="19"/>
                <w:lang w:val="en-US"/>
              </w:rPr>
            </w:pPr>
            <w:r w:rsidRPr="007A49AD">
              <w:rPr>
                <w:sz w:val="19"/>
                <w:szCs w:val="19"/>
              </w:rPr>
              <w:t xml:space="preserve"> - </w:t>
            </w:r>
          </w:p>
        </w:tc>
        <w:tc>
          <w:tcPr>
            <w:tcW w:w="605" w:type="pct"/>
            <w:shd w:val="clear" w:color="auto" w:fill="auto"/>
            <w:vAlign w:val="bottom"/>
          </w:tcPr>
          <w:p w14:paraId="34926F1F" w14:textId="0497E0D1" w:rsidR="008067D3" w:rsidRPr="00537128" w:rsidRDefault="008067D3" w:rsidP="008067D3">
            <w:pPr>
              <w:spacing w:after="0" w:line="240" w:lineRule="auto"/>
              <w:jc w:val="right"/>
              <w:rPr>
                <w:rFonts w:ascii="Calibri" w:eastAsia="Calibri" w:hAnsi="Calibri" w:cs="Calibri"/>
                <w:color w:val="000000"/>
                <w:sz w:val="19"/>
                <w:szCs w:val="19"/>
                <w:lang w:val="en-US"/>
              </w:rPr>
            </w:pPr>
            <w:r w:rsidRPr="007A49AD">
              <w:rPr>
                <w:sz w:val="19"/>
                <w:szCs w:val="19"/>
              </w:rPr>
              <w:t xml:space="preserve"> - </w:t>
            </w:r>
          </w:p>
        </w:tc>
        <w:tc>
          <w:tcPr>
            <w:tcW w:w="640" w:type="pct"/>
            <w:shd w:val="clear" w:color="auto" w:fill="auto"/>
            <w:vAlign w:val="bottom"/>
          </w:tcPr>
          <w:p w14:paraId="70BDCC8E" w14:textId="519853CB" w:rsidR="008067D3" w:rsidRPr="00537128" w:rsidRDefault="008067D3" w:rsidP="008067D3">
            <w:pPr>
              <w:spacing w:after="0" w:line="240" w:lineRule="auto"/>
              <w:jc w:val="right"/>
              <w:rPr>
                <w:rFonts w:ascii="Calibri" w:eastAsia="Calibri" w:hAnsi="Calibri" w:cs="Calibri"/>
                <w:color w:val="000000"/>
                <w:sz w:val="19"/>
                <w:szCs w:val="19"/>
                <w:lang w:val="en-US"/>
              </w:rPr>
            </w:pPr>
            <w:r w:rsidRPr="007A49AD">
              <w:rPr>
                <w:sz w:val="19"/>
                <w:szCs w:val="19"/>
              </w:rPr>
              <w:t xml:space="preserve"> - </w:t>
            </w:r>
          </w:p>
        </w:tc>
      </w:tr>
      <w:tr w:rsidR="008067D3" w:rsidRPr="00537128" w14:paraId="24E169BD" w14:textId="77777777" w:rsidTr="00A1123E">
        <w:trPr>
          <w:trHeight w:hRule="exact" w:val="250"/>
        </w:trPr>
        <w:tc>
          <w:tcPr>
            <w:tcW w:w="1814" w:type="pct"/>
            <w:vAlign w:val="bottom"/>
          </w:tcPr>
          <w:p w14:paraId="62071961" w14:textId="17E436DA" w:rsidR="008067D3" w:rsidRPr="00537128" w:rsidRDefault="008067D3" w:rsidP="008067D3">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 xml:space="preserve">Net </w:t>
            </w:r>
            <w:r>
              <w:rPr>
                <w:rFonts w:ascii="Calibri" w:eastAsia="Calibri" w:hAnsi="Calibri" w:cs="Times New Roman"/>
                <w:sz w:val="19"/>
                <w:szCs w:val="19"/>
                <w:lang w:val="en-US"/>
              </w:rPr>
              <w:t>increase/(</w:t>
            </w:r>
            <w:r w:rsidRPr="00537128">
              <w:rPr>
                <w:rFonts w:ascii="Calibri" w:eastAsia="Calibri" w:hAnsi="Calibri" w:cs="Times New Roman"/>
                <w:sz w:val="19"/>
                <w:szCs w:val="19"/>
                <w:lang w:val="en-US"/>
              </w:rPr>
              <w:t>release</w:t>
            </w:r>
            <w:r>
              <w:rPr>
                <w:rFonts w:ascii="Calibri" w:eastAsia="Calibri" w:hAnsi="Calibri" w:cs="Times New Roman"/>
                <w:sz w:val="19"/>
                <w:szCs w:val="19"/>
                <w:lang w:val="en-US"/>
              </w:rPr>
              <w:t>)</w:t>
            </w:r>
            <w:r w:rsidRPr="00537128">
              <w:rPr>
                <w:rFonts w:ascii="Calibri" w:eastAsia="Calibri" w:hAnsi="Calibri" w:cs="Times New Roman"/>
                <w:sz w:val="19"/>
                <w:szCs w:val="19"/>
                <w:lang w:val="en-US"/>
              </w:rPr>
              <w:t xml:space="preserve"> of loss allowance</w:t>
            </w:r>
          </w:p>
        </w:tc>
        <w:tc>
          <w:tcPr>
            <w:tcW w:w="649" w:type="pct"/>
            <w:shd w:val="clear" w:color="auto" w:fill="auto"/>
            <w:vAlign w:val="bottom"/>
          </w:tcPr>
          <w:p w14:paraId="4565771A" w14:textId="5BD3707B" w:rsidR="008067D3" w:rsidRPr="00537128" w:rsidRDefault="008067D3" w:rsidP="008067D3">
            <w:pPr>
              <w:spacing w:after="0" w:line="240" w:lineRule="auto"/>
              <w:jc w:val="right"/>
              <w:rPr>
                <w:rFonts w:ascii="Calibri" w:eastAsia="Calibri" w:hAnsi="Calibri" w:cs="Calibri"/>
                <w:color w:val="000000"/>
                <w:sz w:val="19"/>
                <w:szCs w:val="19"/>
                <w:lang w:val="en-US"/>
              </w:rPr>
            </w:pPr>
            <w:r w:rsidRPr="007A49AD">
              <w:rPr>
                <w:sz w:val="19"/>
                <w:szCs w:val="19"/>
              </w:rPr>
              <w:t xml:space="preserve"> 10 </w:t>
            </w:r>
          </w:p>
        </w:tc>
        <w:tc>
          <w:tcPr>
            <w:tcW w:w="649" w:type="pct"/>
            <w:shd w:val="clear" w:color="auto" w:fill="auto"/>
            <w:vAlign w:val="bottom"/>
          </w:tcPr>
          <w:p w14:paraId="60970A9E" w14:textId="598F0170" w:rsidR="008067D3" w:rsidRPr="00537128" w:rsidDel="00103E88" w:rsidRDefault="008067D3" w:rsidP="008067D3">
            <w:pPr>
              <w:spacing w:after="0" w:line="240" w:lineRule="auto"/>
              <w:jc w:val="right"/>
              <w:rPr>
                <w:rFonts w:ascii="Calibri" w:eastAsia="Calibri" w:hAnsi="Calibri" w:cs="Calibri"/>
                <w:color w:val="000000"/>
                <w:sz w:val="19"/>
                <w:szCs w:val="19"/>
                <w:lang w:val="en-US"/>
              </w:rPr>
            </w:pPr>
            <w:r w:rsidRPr="007A49AD">
              <w:rPr>
                <w:sz w:val="19"/>
                <w:szCs w:val="19"/>
              </w:rPr>
              <w:t xml:space="preserve"> (3)</w:t>
            </w:r>
          </w:p>
        </w:tc>
        <w:tc>
          <w:tcPr>
            <w:tcW w:w="643" w:type="pct"/>
            <w:shd w:val="clear" w:color="auto" w:fill="auto"/>
            <w:vAlign w:val="bottom"/>
          </w:tcPr>
          <w:p w14:paraId="1D7F3800" w14:textId="0F51CEB4" w:rsidR="008067D3" w:rsidRPr="00537128" w:rsidRDefault="008067D3" w:rsidP="008067D3">
            <w:pPr>
              <w:spacing w:after="0" w:line="240" w:lineRule="auto"/>
              <w:jc w:val="right"/>
              <w:rPr>
                <w:rFonts w:ascii="Calibri" w:eastAsia="Calibri" w:hAnsi="Calibri" w:cs="Calibri"/>
                <w:color w:val="000000"/>
                <w:sz w:val="19"/>
                <w:szCs w:val="19"/>
                <w:lang w:val="en-US"/>
              </w:rPr>
            </w:pPr>
            <w:r w:rsidRPr="007A49AD">
              <w:rPr>
                <w:sz w:val="19"/>
                <w:szCs w:val="19"/>
              </w:rPr>
              <w:t xml:space="preserve"> 2</w:t>
            </w:r>
            <w:r>
              <w:rPr>
                <w:sz w:val="19"/>
                <w:szCs w:val="19"/>
              </w:rPr>
              <w:t>,</w:t>
            </w:r>
            <w:r w:rsidRPr="007A49AD">
              <w:rPr>
                <w:sz w:val="19"/>
                <w:szCs w:val="19"/>
              </w:rPr>
              <w:t xml:space="preserve">113 </w:t>
            </w:r>
          </w:p>
        </w:tc>
        <w:tc>
          <w:tcPr>
            <w:tcW w:w="605" w:type="pct"/>
            <w:shd w:val="clear" w:color="auto" w:fill="auto"/>
            <w:vAlign w:val="bottom"/>
          </w:tcPr>
          <w:p w14:paraId="3494215B" w14:textId="0145D514" w:rsidR="008067D3" w:rsidRPr="00537128" w:rsidDel="00862226" w:rsidRDefault="008067D3" w:rsidP="008067D3">
            <w:pPr>
              <w:spacing w:after="0" w:line="240" w:lineRule="auto"/>
              <w:jc w:val="right"/>
              <w:rPr>
                <w:rFonts w:ascii="Calibri" w:eastAsia="Calibri" w:hAnsi="Calibri" w:cs="Calibri"/>
                <w:color w:val="000000"/>
                <w:sz w:val="19"/>
                <w:szCs w:val="19"/>
                <w:lang w:val="en-US"/>
              </w:rPr>
            </w:pPr>
            <w:r w:rsidRPr="007A49AD">
              <w:rPr>
                <w:sz w:val="19"/>
                <w:szCs w:val="19"/>
              </w:rPr>
              <w:t xml:space="preserve"> (8)</w:t>
            </w:r>
          </w:p>
        </w:tc>
        <w:tc>
          <w:tcPr>
            <w:tcW w:w="640" w:type="pct"/>
            <w:shd w:val="clear" w:color="auto" w:fill="auto"/>
            <w:vAlign w:val="bottom"/>
          </w:tcPr>
          <w:p w14:paraId="31D0733B" w14:textId="78B8841B" w:rsidR="008067D3" w:rsidRPr="00537128" w:rsidRDefault="008067D3" w:rsidP="008067D3">
            <w:pPr>
              <w:spacing w:after="0" w:line="240" w:lineRule="auto"/>
              <w:jc w:val="right"/>
              <w:rPr>
                <w:rFonts w:ascii="Calibri" w:eastAsia="Calibri" w:hAnsi="Calibri" w:cs="Calibri"/>
                <w:color w:val="000000"/>
                <w:sz w:val="19"/>
                <w:szCs w:val="19"/>
                <w:lang w:val="en-US"/>
              </w:rPr>
            </w:pPr>
            <w:r w:rsidRPr="007A49AD">
              <w:rPr>
                <w:sz w:val="19"/>
                <w:szCs w:val="19"/>
              </w:rPr>
              <w:t xml:space="preserve"> 2</w:t>
            </w:r>
            <w:r>
              <w:rPr>
                <w:sz w:val="19"/>
                <w:szCs w:val="19"/>
              </w:rPr>
              <w:t>,</w:t>
            </w:r>
            <w:r w:rsidRPr="007A49AD">
              <w:rPr>
                <w:sz w:val="19"/>
                <w:szCs w:val="19"/>
              </w:rPr>
              <w:t xml:space="preserve">112 </w:t>
            </w:r>
          </w:p>
        </w:tc>
      </w:tr>
      <w:tr w:rsidR="008067D3" w:rsidRPr="00537128" w14:paraId="3B3029A3" w14:textId="77777777" w:rsidTr="00A1123E">
        <w:trPr>
          <w:trHeight w:hRule="exact" w:val="250"/>
        </w:trPr>
        <w:tc>
          <w:tcPr>
            <w:tcW w:w="1814" w:type="pct"/>
            <w:vAlign w:val="bottom"/>
          </w:tcPr>
          <w:p w14:paraId="4943A187" w14:textId="1665AC8F" w:rsidR="008067D3" w:rsidRPr="00537128" w:rsidRDefault="008067D3" w:rsidP="008067D3">
            <w:pPr>
              <w:tabs>
                <w:tab w:val="right" w:pos="1202"/>
              </w:tabs>
              <w:spacing w:after="0" w:line="240" w:lineRule="auto"/>
              <w:outlineLvl w:val="0"/>
              <w:rPr>
                <w:rFonts w:ascii="Calibri" w:eastAsia="Calibri" w:hAnsi="Calibri" w:cs="Times New Roman"/>
                <w:sz w:val="19"/>
                <w:szCs w:val="19"/>
                <w:lang w:val="en-US"/>
              </w:rPr>
            </w:pPr>
            <w:r w:rsidRPr="00210F7A">
              <w:rPr>
                <w:rFonts w:ascii="Calibri" w:eastAsia="Calibri" w:hAnsi="Calibri" w:cs="Times New Roman"/>
                <w:sz w:val="19"/>
                <w:szCs w:val="19"/>
                <w:lang w:val="en-GB"/>
              </w:rPr>
              <w:t>Write-offs</w:t>
            </w:r>
          </w:p>
        </w:tc>
        <w:tc>
          <w:tcPr>
            <w:tcW w:w="649" w:type="pct"/>
            <w:tcBorders>
              <w:top w:val="nil"/>
              <w:left w:val="nil"/>
              <w:bottom w:val="nil"/>
              <w:right w:val="nil"/>
            </w:tcBorders>
            <w:shd w:val="clear" w:color="auto" w:fill="auto"/>
            <w:vAlign w:val="bottom"/>
          </w:tcPr>
          <w:p w14:paraId="4298855E" w14:textId="3C8F3B02" w:rsidR="008067D3" w:rsidRPr="00537128" w:rsidRDefault="008067D3" w:rsidP="008067D3">
            <w:pPr>
              <w:spacing w:after="0" w:line="240" w:lineRule="auto"/>
              <w:jc w:val="right"/>
              <w:rPr>
                <w:rFonts w:ascii="Calibri" w:eastAsia="Calibri" w:hAnsi="Calibri" w:cs="Calibri"/>
                <w:color w:val="000000"/>
                <w:sz w:val="19"/>
                <w:szCs w:val="19"/>
                <w:lang w:val="en-US"/>
              </w:rPr>
            </w:pPr>
            <w:r w:rsidRPr="007A49AD">
              <w:rPr>
                <w:sz w:val="19"/>
                <w:szCs w:val="19"/>
              </w:rPr>
              <w:t xml:space="preserve"> - </w:t>
            </w:r>
          </w:p>
        </w:tc>
        <w:tc>
          <w:tcPr>
            <w:tcW w:w="649" w:type="pct"/>
            <w:tcBorders>
              <w:top w:val="nil"/>
              <w:left w:val="nil"/>
              <w:bottom w:val="nil"/>
              <w:right w:val="nil"/>
            </w:tcBorders>
            <w:shd w:val="clear" w:color="auto" w:fill="auto"/>
            <w:vAlign w:val="bottom"/>
          </w:tcPr>
          <w:p w14:paraId="7041525E" w14:textId="5DD79677" w:rsidR="008067D3" w:rsidRPr="00537128" w:rsidRDefault="008067D3" w:rsidP="008067D3">
            <w:pPr>
              <w:spacing w:after="0" w:line="240" w:lineRule="auto"/>
              <w:jc w:val="right"/>
              <w:rPr>
                <w:rFonts w:ascii="Calibri" w:eastAsia="Calibri" w:hAnsi="Calibri" w:cs="Calibri"/>
                <w:color w:val="000000"/>
                <w:sz w:val="19"/>
                <w:szCs w:val="19"/>
                <w:lang w:val="en-US"/>
              </w:rPr>
            </w:pPr>
            <w:r w:rsidRPr="007A49AD">
              <w:rPr>
                <w:sz w:val="19"/>
                <w:szCs w:val="19"/>
              </w:rPr>
              <w:t xml:space="preserve"> - </w:t>
            </w:r>
          </w:p>
        </w:tc>
        <w:tc>
          <w:tcPr>
            <w:tcW w:w="643" w:type="pct"/>
            <w:tcBorders>
              <w:top w:val="nil"/>
              <w:left w:val="nil"/>
              <w:bottom w:val="nil"/>
              <w:right w:val="nil"/>
            </w:tcBorders>
            <w:shd w:val="clear" w:color="auto" w:fill="auto"/>
            <w:vAlign w:val="bottom"/>
          </w:tcPr>
          <w:p w14:paraId="1501DD95" w14:textId="32B42BCC" w:rsidR="008067D3" w:rsidRPr="00537128" w:rsidRDefault="008067D3" w:rsidP="008067D3">
            <w:pPr>
              <w:spacing w:after="0" w:line="240" w:lineRule="auto"/>
              <w:jc w:val="right"/>
              <w:rPr>
                <w:rFonts w:ascii="Calibri" w:eastAsia="Calibri" w:hAnsi="Calibri" w:cs="Calibri"/>
                <w:color w:val="000000"/>
                <w:sz w:val="19"/>
                <w:szCs w:val="19"/>
                <w:lang w:val="en-US"/>
              </w:rPr>
            </w:pPr>
            <w:r w:rsidRPr="007A49AD">
              <w:rPr>
                <w:sz w:val="19"/>
                <w:szCs w:val="19"/>
              </w:rPr>
              <w:t xml:space="preserve"> (27)</w:t>
            </w:r>
          </w:p>
        </w:tc>
        <w:tc>
          <w:tcPr>
            <w:tcW w:w="605" w:type="pct"/>
            <w:tcBorders>
              <w:top w:val="nil"/>
              <w:left w:val="nil"/>
              <w:bottom w:val="nil"/>
              <w:right w:val="nil"/>
            </w:tcBorders>
            <w:shd w:val="clear" w:color="auto" w:fill="auto"/>
            <w:vAlign w:val="bottom"/>
          </w:tcPr>
          <w:p w14:paraId="039E534E" w14:textId="4500FF69" w:rsidR="008067D3" w:rsidRPr="00537128" w:rsidRDefault="008067D3" w:rsidP="008067D3">
            <w:pPr>
              <w:spacing w:after="0" w:line="240" w:lineRule="auto"/>
              <w:jc w:val="right"/>
              <w:rPr>
                <w:rFonts w:ascii="Calibri" w:eastAsia="Calibri" w:hAnsi="Calibri" w:cs="Calibri"/>
                <w:color w:val="000000"/>
                <w:sz w:val="19"/>
                <w:szCs w:val="19"/>
                <w:lang w:val="en-US"/>
              </w:rPr>
            </w:pPr>
            <w:r w:rsidRPr="007A49AD">
              <w:rPr>
                <w:sz w:val="19"/>
                <w:szCs w:val="19"/>
              </w:rPr>
              <w:t xml:space="preserve"> - </w:t>
            </w:r>
          </w:p>
        </w:tc>
        <w:tc>
          <w:tcPr>
            <w:tcW w:w="640" w:type="pct"/>
            <w:tcBorders>
              <w:top w:val="nil"/>
              <w:left w:val="nil"/>
              <w:bottom w:val="nil"/>
              <w:right w:val="nil"/>
            </w:tcBorders>
            <w:shd w:val="clear" w:color="auto" w:fill="auto"/>
            <w:vAlign w:val="bottom"/>
          </w:tcPr>
          <w:p w14:paraId="6BEE9753" w14:textId="525331DD" w:rsidR="008067D3" w:rsidRPr="00537128" w:rsidRDefault="008067D3" w:rsidP="008067D3">
            <w:pPr>
              <w:spacing w:after="0" w:line="240" w:lineRule="auto"/>
              <w:jc w:val="right"/>
              <w:rPr>
                <w:rFonts w:ascii="Calibri" w:eastAsia="Calibri" w:hAnsi="Calibri" w:cs="Calibri"/>
                <w:color w:val="000000"/>
                <w:sz w:val="19"/>
                <w:szCs w:val="19"/>
                <w:lang w:val="en-US"/>
              </w:rPr>
            </w:pPr>
            <w:r w:rsidRPr="007A49AD">
              <w:rPr>
                <w:sz w:val="19"/>
                <w:szCs w:val="19"/>
              </w:rPr>
              <w:t xml:space="preserve"> (27)</w:t>
            </w:r>
          </w:p>
        </w:tc>
      </w:tr>
      <w:tr w:rsidR="008067D3" w:rsidRPr="00537128" w14:paraId="724C716F" w14:textId="77777777" w:rsidTr="00A1123E">
        <w:trPr>
          <w:trHeight w:hRule="exact" w:val="250"/>
        </w:trPr>
        <w:tc>
          <w:tcPr>
            <w:tcW w:w="1814" w:type="pct"/>
            <w:vAlign w:val="bottom"/>
          </w:tcPr>
          <w:p w14:paraId="76A24030" w14:textId="77777777" w:rsidR="008067D3" w:rsidRPr="00537128" w:rsidRDefault="008067D3" w:rsidP="008067D3">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Foreclosed assets</w:t>
            </w:r>
          </w:p>
        </w:tc>
        <w:tc>
          <w:tcPr>
            <w:tcW w:w="649" w:type="pct"/>
            <w:tcBorders>
              <w:top w:val="nil"/>
              <w:left w:val="nil"/>
              <w:bottom w:val="nil"/>
              <w:right w:val="nil"/>
            </w:tcBorders>
            <w:shd w:val="clear" w:color="auto" w:fill="auto"/>
            <w:vAlign w:val="bottom"/>
          </w:tcPr>
          <w:p w14:paraId="49856B0C" w14:textId="5CACD981" w:rsidR="008067D3" w:rsidRPr="00537128" w:rsidRDefault="008067D3" w:rsidP="008067D3">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9" w:type="pct"/>
            <w:tcBorders>
              <w:top w:val="nil"/>
              <w:left w:val="nil"/>
              <w:bottom w:val="nil"/>
              <w:right w:val="nil"/>
            </w:tcBorders>
            <w:shd w:val="clear" w:color="auto" w:fill="auto"/>
            <w:vAlign w:val="bottom"/>
          </w:tcPr>
          <w:p w14:paraId="1E687DB5" w14:textId="6E210B1E" w:rsidR="008067D3" w:rsidRPr="00537128" w:rsidRDefault="008067D3" w:rsidP="008067D3">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3" w:type="pct"/>
            <w:tcBorders>
              <w:top w:val="nil"/>
              <w:left w:val="nil"/>
              <w:bottom w:val="nil"/>
              <w:right w:val="nil"/>
            </w:tcBorders>
            <w:shd w:val="clear" w:color="auto" w:fill="auto"/>
            <w:vAlign w:val="bottom"/>
          </w:tcPr>
          <w:p w14:paraId="29AB5422" w14:textId="04B47543" w:rsidR="008067D3" w:rsidRPr="00537128" w:rsidRDefault="008067D3" w:rsidP="008067D3">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05" w:type="pct"/>
            <w:tcBorders>
              <w:top w:val="nil"/>
              <w:left w:val="nil"/>
              <w:bottom w:val="nil"/>
              <w:right w:val="nil"/>
            </w:tcBorders>
            <w:shd w:val="clear" w:color="auto" w:fill="auto"/>
            <w:vAlign w:val="bottom"/>
          </w:tcPr>
          <w:p w14:paraId="2CC76BDA" w14:textId="1A034C75" w:rsidR="008067D3" w:rsidRPr="00537128" w:rsidRDefault="008067D3" w:rsidP="008067D3">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0" w:type="pct"/>
            <w:tcBorders>
              <w:top w:val="nil"/>
              <w:left w:val="nil"/>
              <w:bottom w:val="nil"/>
              <w:right w:val="nil"/>
            </w:tcBorders>
            <w:shd w:val="clear" w:color="auto" w:fill="auto"/>
            <w:vAlign w:val="bottom"/>
          </w:tcPr>
          <w:p w14:paraId="79815951" w14:textId="0B98D210" w:rsidR="008067D3" w:rsidRPr="00537128" w:rsidRDefault="008067D3" w:rsidP="008067D3">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r>
      <w:tr w:rsidR="008067D3" w:rsidRPr="00537128" w14:paraId="6DB79734" w14:textId="77777777" w:rsidTr="00A1123E">
        <w:trPr>
          <w:trHeight w:val="294"/>
        </w:trPr>
        <w:tc>
          <w:tcPr>
            <w:tcW w:w="1814" w:type="pct"/>
            <w:vAlign w:val="bottom"/>
          </w:tcPr>
          <w:p w14:paraId="79A896A6" w14:textId="77777777" w:rsidR="008067D3" w:rsidRPr="00537128" w:rsidRDefault="008067D3" w:rsidP="008067D3">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Net foreign exchange gain on loss allowances</w:t>
            </w:r>
          </w:p>
        </w:tc>
        <w:tc>
          <w:tcPr>
            <w:tcW w:w="649" w:type="pct"/>
            <w:tcBorders>
              <w:top w:val="nil"/>
              <w:left w:val="nil"/>
              <w:right w:val="nil"/>
            </w:tcBorders>
            <w:shd w:val="clear" w:color="auto" w:fill="auto"/>
            <w:vAlign w:val="bottom"/>
          </w:tcPr>
          <w:p w14:paraId="53A84ABA" w14:textId="00BF7414" w:rsidR="008067D3" w:rsidRPr="00537128" w:rsidRDefault="008067D3" w:rsidP="008067D3">
            <w:pPr>
              <w:spacing w:after="0" w:line="240" w:lineRule="auto"/>
              <w:jc w:val="right"/>
              <w:rPr>
                <w:rFonts w:ascii="Calibri" w:eastAsia="Calibri" w:hAnsi="Calibri" w:cs="Calibri"/>
                <w:color w:val="000000"/>
                <w:sz w:val="19"/>
                <w:szCs w:val="19"/>
                <w:lang w:val="en-US"/>
              </w:rPr>
            </w:pPr>
            <w:r w:rsidRPr="007A49AD">
              <w:rPr>
                <w:sz w:val="19"/>
                <w:szCs w:val="19"/>
              </w:rPr>
              <w:t xml:space="preserve"> - </w:t>
            </w:r>
          </w:p>
        </w:tc>
        <w:tc>
          <w:tcPr>
            <w:tcW w:w="649" w:type="pct"/>
            <w:tcBorders>
              <w:top w:val="nil"/>
              <w:left w:val="nil"/>
              <w:right w:val="nil"/>
            </w:tcBorders>
            <w:shd w:val="clear" w:color="auto" w:fill="auto"/>
            <w:vAlign w:val="bottom"/>
          </w:tcPr>
          <w:p w14:paraId="7A47951D" w14:textId="4BD4C296" w:rsidR="008067D3" w:rsidRPr="00537128" w:rsidRDefault="008067D3" w:rsidP="008067D3">
            <w:pPr>
              <w:spacing w:after="0" w:line="240" w:lineRule="auto"/>
              <w:jc w:val="right"/>
              <w:rPr>
                <w:rFonts w:ascii="Calibri" w:eastAsia="Calibri" w:hAnsi="Calibri" w:cs="Calibri"/>
                <w:color w:val="000000"/>
                <w:sz w:val="19"/>
                <w:szCs w:val="19"/>
                <w:lang w:val="en-US"/>
              </w:rPr>
            </w:pPr>
            <w:r w:rsidRPr="007A49AD">
              <w:rPr>
                <w:sz w:val="19"/>
                <w:szCs w:val="19"/>
              </w:rPr>
              <w:t xml:space="preserve"> - </w:t>
            </w:r>
          </w:p>
        </w:tc>
        <w:tc>
          <w:tcPr>
            <w:tcW w:w="643" w:type="pct"/>
            <w:tcBorders>
              <w:top w:val="nil"/>
              <w:left w:val="nil"/>
              <w:right w:val="nil"/>
            </w:tcBorders>
            <w:shd w:val="clear" w:color="auto" w:fill="auto"/>
            <w:vAlign w:val="bottom"/>
          </w:tcPr>
          <w:p w14:paraId="273067AE" w14:textId="3C39CB7C" w:rsidR="008067D3" w:rsidRPr="00537128" w:rsidRDefault="008067D3" w:rsidP="008067D3">
            <w:pPr>
              <w:spacing w:after="0" w:line="240" w:lineRule="auto"/>
              <w:jc w:val="right"/>
              <w:rPr>
                <w:rFonts w:ascii="Calibri" w:eastAsia="Calibri" w:hAnsi="Calibri" w:cs="Calibri"/>
                <w:color w:val="000000"/>
                <w:sz w:val="19"/>
                <w:szCs w:val="19"/>
                <w:lang w:val="en-US"/>
              </w:rPr>
            </w:pPr>
            <w:r w:rsidRPr="007A49AD">
              <w:rPr>
                <w:sz w:val="19"/>
                <w:szCs w:val="19"/>
              </w:rPr>
              <w:t xml:space="preserve"> 5 </w:t>
            </w:r>
          </w:p>
        </w:tc>
        <w:tc>
          <w:tcPr>
            <w:tcW w:w="605" w:type="pct"/>
            <w:tcBorders>
              <w:top w:val="nil"/>
              <w:left w:val="nil"/>
              <w:right w:val="nil"/>
            </w:tcBorders>
            <w:shd w:val="clear" w:color="auto" w:fill="auto"/>
            <w:vAlign w:val="bottom"/>
          </w:tcPr>
          <w:p w14:paraId="070658A7" w14:textId="104034EF" w:rsidR="008067D3" w:rsidRPr="00537128" w:rsidRDefault="008067D3" w:rsidP="008067D3">
            <w:pPr>
              <w:spacing w:after="0" w:line="240" w:lineRule="auto"/>
              <w:jc w:val="right"/>
              <w:rPr>
                <w:rFonts w:ascii="Calibri" w:eastAsia="Calibri" w:hAnsi="Calibri" w:cs="Calibri"/>
                <w:color w:val="000000"/>
                <w:sz w:val="19"/>
                <w:szCs w:val="19"/>
                <w:lang w:val="en-US"/>
              </w:rPr>
            </w:pPr>
            <w:r w:rsidRPr="007A49AD">
              <w:rPr>
                <w:sz w:val="19"/>
                <w:szCs w:val="19"/>
              </w:rPr>
              <w:t xml:space="preserve"> - </w:t>
            </w:r>
          </w:p>
        </w:tc>
        <w:tc>
          <w:tcPr>
            <w:tcW w:w="640" w:type="pct"/>
            <w:tcBorders>
              <w:top w:val="nil"/>
              <w:left w:val="nil"/>
              <w:right w:val="nil"/>
            </w:tcBorders>
            <w:shd w:val="clear" w:color="auto" w:fill="auto"/>
            <w:vAlign w:val="bottom"/>
          </w:tcPr>
          <w:p w14:paraId="1983BB5D" w14:textId="0A3B62FC" w:rsidR="008067D3" w:rsidRPr="00537128" w:rsidRDefault="008067D3" w:rsidP="008067D3">
            <w:pPr>
              <w:spacing w:after="0" w:line="240" w:lineRule="auto"/>
              <w:jc w:val="right"/>
              <w:rPr>
                <w:rFonts w:ascii="Calibri" w:eastAsia="Calibri" w:hAnsi="Calibri" w:cs="Calibri"/>
                <w:color w:val="000000"/>
                <w:sz w:val="19"/>
                <w:szCs w:val="19"/>
                <w:lang w:val="en-US"/>
              </w:rPr>
            </w:pPr>
            <w:r w:rsidRPr="007A49AD">
              <w:rPr>
                <w:sz w:val="19"/>
                <w:szCs w:val="19"/>
              </w:rPr>
              <w:t xml:space="preserve"> 5 </w:t>
            </w:r>
          </w:p>
        </w:tc>
      </w:tr>
      <w:tr w:rsidR="008067D3" w:rsidRPr="00537128" w14:paraId="24F5B897" w14:textId="77777777" w:rsidTr="00A1123E">
        <w:trPr>
          <w:trHeight w:val="294"/>
        </w:trPr>
        <w:tc>
          <w:tcPr>
            <w:tcW w:w="1814" w:type="pct"/>
            <w:vAlign w:val="bottom"/>
          </w:tcPr>
          <w:p w14:paraId="37309D7A" w14:textId="77777777" w:rsidR="008067D3" w:rsidRPr="00537128" w:rsidRDefault="008067D3" w:rsidP="008067D3">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Other adjustments</w:t>
            </w:r>
          </w:p>
        </w:tc>
        <w:tc>
          <w:tcPr>
            <w:tcW w:w="649" w:type="pct"/>
            <w:tcBorders>
              <w:top w:val="nil"/>
              <w:left w:val="nil"/>
              <w:bottom w:val="single" w:sz="8" w:space="0" w:color="auto"/>
              <w:right w:val="nil"/>
            </w:tcBorders>
            <w:shd w:val="clear" w:color="auto" w:fill="auto"/>
            <w:vAlign w:val="bottom"/>
          </w:tcPr>
          <w:p w14:paraId="5F162743" w14:textId="23510CD4" w:rsidR="008067D3" w:rsidRPr="00537128" w:rsidRDefault="008067D3" w:rsidP="008067D3">
            <w:pPr>
              <w:spacing w:after="0" w:line="240" w:lineRule="auto"/>
              <w:jc w:val="right"/>
              <w:rPr>
                <w:rFonts w:ascii="Calibri" w:eastAsia="Calibri" w:hAnsi="Calibri" w:cs="Calibri"/>
                <w:color w:val="000000"/>
                <w:sz w:val="19"/>
                <w:szCs w:val="19"/>
                <w:lang w:val="en-US"/>
              </w:rPr>
            </w:pPr>
            <w:r w:rsidRPr="007A49AD">
              <w:rPr>
                <w:sz w:val="19"/>
                <w:szCs w:val="19"/>
              </w:rPr>
              <w:t xml:space="preserve"> 26 </w:t>
            </w:r>
          </w:p>
        </w:tc>
        <w:tc>
          <w:tcPr>
            <w:tcW w:w="649" w:type="pct"/>
            <w:tcBorders>
              <w:top w:val="nil"/>
              <w:left w:val="nil"/>
              <w:bottom w:val="single" w:sz="8" w:space="0" w:color="auto"/>
              <w:right w:val="nil"/>
            </w:tcBorders>
            <w:shd w:val="clear" w:color="auto" w:fill="auto"/>
            <w:vAlign w:val="bottom"/>
          </w:tcPr>
          <w:p w14:paraId="6FED1C4A" w14:textId="7765EC17" w:rsidR="008067D3" w:rsidRPr="00537128" w:rsidRDefault="008067D3" w:rsidP="008067D3">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3" w:type="pct"/>
            <w:tcBorders>
              <w:top w:val="nil"/>
              <w:left w:val="nil"/>
              <w:bottom w:val="single" w:sz="8" w:space="0" w:color="auto"/>
              <w:right w:val="nil"/>
            </w:tcBorders>
            <w:shd w:val="clear" w:color="auto" w:fill="auto"/>
            <w:vAlign w:val="bottom"/>
          </w:tcPr>
          <w:p w14:paraId="766332BF" w14:textId="1C1F2EB6" w:rsidR="008067D3" w:rsidRPr="00537128" w:rsidRDefault="008067D3" w:rsidP="008067D3">
            <w:pPr>
              <w:spacing w:after="0" w:line="240" w:lineRule="auto"/>
              <w:jc w:val="right"/>
              <w:rPr>
                <w:rFonts w:ascii="Calibri" w:eastAsia="Calibri" w:hAnsi="Calibri" w:cs="Calibri"/>
                <w:color w:val="000000"/>
                <w:sz w:val="19"/>
                <w:szCs w:val="19"/>
                <w:lang w:val="en-US"/>
              </w:rPr>
            </w:pPr>
            <w:r w:rsidRPr="007A49AD">
              <w:rPr>
                <w:sz w:val="19"/>
                <w:szCs w:val="19"/>
              </w:rPr>
              <w:t xml:space="preserve"> - </w:t>
            </w:r>
          </w:p>
        </w:tc>
        <w:tc>
          <w:tcPr>
            <w:tcW w:w="605" w:type="pct"/>
            <w:tcBorders>
              <w:top w:val="nil"/>
              <w:left w:val="nil"/>
              <w:bottom w:val="single" w:sz="8" w:space="0" w:color="auto"/>
              <w:right w:val="nil"/>
            </w:tcBorders>
            <w:shd w:val="clear" w:color="auto" w:fill="auto"/>
            <w:vAlign w:val="bottom"/>
          </w:tcPr>
          <w:p w14:paraId="569ED0EE" w14:textId="734FB56F" w:rsidR="008067D3" w:rsidRPr="00537128" w:rsidRDefault="008067D3" w:rsidP="008067D3">
            <w:pPr>
              <w:spacing w:after="0" w:line="240" w:lineRule="auto"/>
              <w:jc w:val="right"/>
              <w:rPr>
                <w:rFonts w:ascii="Calibri" w:eastAsia="Calibri" w:hAnsi="Calibri" w:cs="Calibri"/>
                <w:color w:val="000000"/>
                <w:sz w:val="19"/>
                <w:szCs w:val="19"/>
                <w:lang w:val="en-US"/>
              </w:rPr>
            </w:pPr>
            <w:r w:rsidRPr="007A49AD">
              <w:rPr>
                <w:sz w:val="19"/>
                <w:szCs w:val="19"/>
              </w:rPr>
              <w:t xml:space="preserve"> 8 </w:t>
            </w:r>
          </w:p>
        </w:tc>
        <w:tc>
          <w:tcPr>
            <w:tcW w:w="640" w:type="pct"/>
            <w:tcBorders>
              <w:top w:val="nil"/>
              <w:left w:val="nil"/>
              <w:bottom w:val="single" w:sz="8" w:space="0" w:color="auto"/>
              <w:right w:val="nil"/>
            </w:tcBorders>
            <w:shd w:val="clear" w:color="auto" w:fill="auto"/>
            <w:vAlign w:val="bottom"/>
          </w:tcPr>
          <w:p w14:paraId="25C22AEE" w14:textId="53F061CD" w:rsidR="008067D3" w:rsidRPr="00537128" w:rsidRDefault="008067D3" w:rsidP="008067D3">
            <w:pPr>
              <w:spacing w:after="0" w:line="240" w:lineRule="auto"/>
              <w:jc w:val="right"/>
              <w:rPr>
                <w:rFonts w:ascii="Calibri" w:eastAsia="Calibri" w:hAnsi="Calibri" w:cs="Calibri"/>
                <w:color w:val="000000"/>
                <w:sz w:val="19"/>
                <w:szCs w:val="19"/>
                <w:lang w:val="en-US"/>
              </w:rPr>
            </w:pPr>
            <w:r w:rsidRPr="007A49AD">
              <w:rPr>
                <w:sz w:val="19"/>
                <w:szCs w:val="19"/>
              </w:rPr>
              <w:t xml:space="preserve"> 34 </w:t>
            </w:r>
          </w:p>
        </w:tc>
      </w:tr>
      <w:tr w:rsidR="008067D3" w:rsidRPr="00537128" w14:paraId="021AC60C" w14:textId="77777777" w:rsidTr="00A1123E">
        <w:trPr>
          <w:trHeight w:val="117"/>
        </w:trPr>
        <w:tc>
          <w:tcPr>
            <w:tcW w:w="1814" w:type="pct"/>
            <w:vAlign w:val="bottom"/>
          </w:tcPr>
          <w:p w14:paraId="01B74151" w14:textId="340DA31D" w:rsidR="008067D3" w:rsidRPr="00537128" w:rsidRDefault="008067D3" w:rsidP="008067D3">
            <w:pPr>
              <w:tabs>
                <w:tab w:val="right" w:pos="1202"/>
              </w:tabs>
              <w:spacing w:after="0" w:line="301" w:lineRule="exact"/>
              <w:outlineLvl w:val="0"/>
              <w:rPr>
                <w:rFonts w:ascii="Calibri" w:eastAsia="Calibri" w:hAnsi="Calibri" w:cs="Arial"/>
                <w:b/>
                <w:bCs/>
                <w:sz w:val="19"/>
                <w:szCs w:val="19"/>
                <w:lang w:val="en-US"/>
              </w:rPr>
            </w:pPr>
            <w:r w:rsidRPr="00537128">
              <w:rPr>
                <w:rFonts w:ascii="Calibri" w:eastAsia="Calibri" w:hAnsi="Calibri" w:cs="Arial"/>
                <w:b/>
                <w:bCs/>
                <w:sz w:val="19"/>
                <w:szCs w:val="19"/>
                <w:lang w:val="en-US"/>
              </w:rPr>
              <w:t xml:space="preserve">Balance </w:t>
            </w:r>
            <w:proofErr w:type="gramStart"/>
            <w:r w:rsidRPr="00537128">
              <w:rPr>
                <w:rFonts w:ascii="Calibri" w:eastAsia="Calibri" w:hAnsi="Calibri" w:cs="Arial"/>
                <w:b/>
                <w:bCs/>
                <w:sz w:val="19"/>
                <w:szCs w:val="19"/>
                <w:lang w:val="en-US"/>
              </w:rPr>
              <w:t>at</w:t>
            </w:r>
            <w:proofErr w:type="gramEnd"/>
            <w:r w:rsidRPr="00537128">
              <w:rPr>
                <w:rFonts w:ascii="Calibri" w:eastAsia="Calibri" w:hAnsi="Calibri" w:cs="Arial"/>
                <w:b/>
                <w:bCs/>
                <w:sz w:val="19"/>
                <w:szCs w:val="19"/>
                <w:lang w:val="en-US"/>
              </w:rPr>
              <w:t xml:space="preserve"> 31 March 202</w:t>
            </w:r>
            <w:r>
              <w:rPr>
                <w:rFonts w:ascii="Calibri" w:eastAsia="Calibri" w:hAnsi="Calibri" w:cs="Arial"/>
                <w:b/>
                <w:bCs/>
                <w:sz w:val="19"/>
                <w:szCs w:val="19"/>
                <w:lang w:val="en-US"/>
              </w:rPr>
              <w:t>2</w:t>
            </w:r>
          </w:p>
        </w:tc>
        <w:tc>
          <w:tcPr>
            <w:tcW w:w="649" w:type="pct"/>
            <w:tcBorders>
              <w:top w:val="nil"/>
              <w:left w:val="nil"/>
              <w:bottom w:val="single" w:sz="12" w:space="0" w:color="auto"/>
              <w:right w:val="nil"/>
            </w:tcBorders>
            <w:shd w:val="clear" w:color="auto" w:fill="auto"/>
            <w:vAlign w:val="bottom"/>
          </w:tcPr>
          <w:p w14:paraId="6E516656" w14:textId="47E4E6B0" w:rsidR="008067D3" w:rsidRPr="00537128" w:rsidRDefault="008067D3" w:rsidP="008067D3">
            <w:pPr>
              <w:spacing w:after="0" w:line="240" w:lineRule="auto"/>
              <w:jc w:val="right"/>
              <w:rPr>
                <w:rFonts w:ascii="Calibri" w:eastAsia="Calibri" w:hAnsi="Calibri" w:cs="Calibri"/>
                <w:b/>
                <w:bCs/>
                <w:color w:val="000000"/>
                <w:sz w:val="19"/>
                <w:szCs w:val="19"/>
                <w:lang w:val="en-US"/>
              </w:rPr>
            </w:pPr>
            <w:r w:rsidRPr="007A49AD">
              <w:rPr>
                <w:b/>
                <w:bCs/>
                <w:sz w:val="19"/>
                <w:szCs w:val="19"/>
              </w:rPr>
              <w:t xml:space="preserve"> 225 </w:t>
            </w:r>
          </w:p>
        </w:tc>
        <w:tc>
          <w:tcPr>
            <w:tcW w:w="649" w:type="pct"/>
            <w:tcBorders>
              <w:top w:val="nil"/>
              <w:left w:val="nil"/>
              <w:bottom w:val="single" w:sz="12" w:space="0" w:color="auto"/>
              <w:right w:val="nil"/>
            </w:tcBorders>
            <w:shd w:val="clear" w:color="auto" w:fill="auto"/>
            <w:vAlign w:val="bottom"/>
          </w:tcPr>
          <w:p w14:paraId="43CFEE00" w14:textId="3372D963" w:rsidR="008067D3" w:rsidRPr="00537128" w:rsidRDefault="008067D3" w:rsidP="008067D3">
            <w:pPr>
              <w:spacing w:after="0" w:line="240" w:lineRule="auto"/>
              <w:jc w:val="right"/>
              <w:rPr>
                <w:rFonts w:ascii="Calibri" w:eastAsia="Calibri" w:hAnsi="Calibri" w:cs="Calibri"/>
                <w:b/>
                <w:bCs/>
                <w:color w:val="000000"/>
                <w:sz w:val="19"/>
                <w:szCs w:val="19"/>
                <w:lang w:val="en-US"/>
              </w:rPr>
            </w:pPr>
            <w:r w:rsidRPr="007A49AD">
              <w:rPr>
                <w:b/>
                <w:bCs/>
                <w:sz w:val="19"/>
                <w:szCs w:val="19"/>
              </w:rPr>
              <w:t xml:space="preserve"> 1 </w:t>
            </w:r>
          </w:p>
        </w:tc>
        <w:tc>
          <w:tcPr>
            <w:tcW w:w="643" w:type="pct"/>
            <w:tcBorders>
              <w:top w:val="nil"/>
              <w:left w:val="nil"/>
              <w:bottom w:val="single" w:sz="12" w:space="0" w:color="auto"/>
              <w:right w:val="nil"/>
            </w:tcBorders>
            <w:shd w:val="clear" w:color="auto" w:fill="auto"/>
            <w:vAlign w:val="bottom"/>
          </w:tcPr>
          <w:p w14:paraId="1AEA510A" w14:textId="730A4AE9" w:rsidR="008067D3" w:rsidRPr="00537128" w:rsidRDefault="008067D3" w:rsidP="008067D3">
            <w:pPr>
              <w:spacing w:after="0" w:line="240" w:lineRule="auto"/>
              <w:jc w:val="right"/>
              <w:rPr>
                <w:rFonts w:ascii="Calibri" w:eastAsia="Calibri" w:hAnsi="Calibri" w:cs="Calibri"/>
                <w:b/>
                <w:bCs/>
                <w:color w:val="000000"/>
                <w:sz w:val="19"/>
                <w:szCs w:val="19"/>
                <w:lang w:val="en-US"/>
              </w:rPr>
            </w:pPr>
            <w:r w:rsidRPr="007A49AD">
              <w:rPr>
                <w:b/>
                <w:bCs/>
                <w:sz w:val="19"/>
                <w:szCs w:val="19"/>
              </w:rPr>
              <w:t xml:space="preserve"> 33</w:t>
            </w:r>
            <w:r>
              <w:rPr>
                <w:b/>
                <w:bCs/>
                <w:sz w:val="19"/>
                <w:szCs w:val="19"/>
              </w:rPr>
              <w:t>,</w:t>
            </w:r>
            <w:r w:rsidRPr="007A49AD">
              <w:rPr>
                <w:b/>
                <w:bCs/>
                <w:sz w:val="19"/>
                <w:szCs w:val="19"/>
              </w:rPr>
              <w:t xml:space="preserve">499 </w:t>
            </w:r>
          </w:p>
        </w:tc>
        <w:tc>
          <w:tcPr>
            <w:tcW w:w="605" w:type="pct"/>
            <w:tcBorders>
              <w:top w:val="nil"/>
              <w:left w:val="nil"/>
              <w:bottom w:val="single" w:sz="12" w:space="0" w:color="auto"/>
              <w:right w:val="nil"/>
            </w:tcBorders>
            <w:shd w:val="clear" w:color="auto" w:fill="auto"/>
            <w:vAlign w:val="bottom"/>
          </w:tcPr>
          <w:p w14:paraId="2A33BAB6" w14:textId="238D876E" w:rsidR="008067D3" w:rsidRPr="00537128" w:rsidRDefault="008067D3" w:rsidP="008067D3">
            <w:pPr>
              <w:spacing w:after="0" w:line="240" w:lineRule="auto"/>
              <w:jc w:val="right"/>
              <w:rPr>
                <w:rFonts w:ascii="Calibri" w:eastAsia="Calibri" w:hAnsi="Calibri" w:cs="Calibri"/>
                <w:b/>
                <w:bCs/>
                <w:color w:val="000000"/>
                <w:sz w:val="19"/>
                <w:szCs w:val="19"/>
                <w:lang w:val="en-US"/>
              </w:rPr>
            </w:pPr>
            <w:r w:rsidRPr="007A49AD">
              <w:rPr>
                <w:b/>
                <w:bCs/>
                <w:sz w:val="19"/>
                <w:szCs w:val="19"/>
              </w:rPr>
              <w:t xml:space="preserve"> 250 </w:t>
            </w:r>
          </w:p>
        </w:tc>
        <w:tc>
          <w:tcPr>
            <w:tcW w:w="640" w:type="pct"/>
            <w:tcBorders>
              <w:top w:val="nil"/>
              <w:left w:val="nil"/>
              <w:bottom w:val="single" w:sz="12" w:space="0" w:color="auto"/>
              <w:right w:val="nil"/>
            </w:tcBorders>
            <w:shd w:val="clear" w:color="auto" w:fill="auto"/>
            <w:vAlign w:val="bottom"/>
          </w:tcPr>
          <w:p w14:paraId="1D8E95EF" w14:textId="382D27FE" w:rsidR="008067D3" w:rsidRPr="00537128" w:rsidRDefault="008067D3" w:rsidP="008067D3">
            <w:pPr>
              <w:spacing w:after="0" w:line="240" w:lineRule="auto"/>
              <w:jc w:val="right"/>
              <w:rPr>
                <w:rFonts w:ascii="Calibri" w:eastAsia="Calibri" w:hAnsi="Calibri" w:cs="Calibri"/>
                <w:b/>
                <w:bCs/>
                <w:color w:val="000000"/>
                <w:sz w:val="19"/>
                <w:szCs w:val="19"/>
                <w:lang w:val="en-US"/>
              </w:rPr>
            </w:pPr>
            <w:r w:rsidRPr="007A49AD">
              <w:rPr>
                <w:b/>
                <w:bCs/>
                <w:sz w:val="19"/>
                <w:szCs w:val="19"/>
              </w:rPr>
              <w:t xml:space="preserve"> 33</w:t>
            </w:r>
            <w:r>
              <w:rPr>
                <w:b/>
                <w:bCs/>
                <w:sz w:val="19"/>
                <w:szCs w:val="19"/>
              </w:rPr>
              <w:t>,</w:t>
            </w:r>
            <w:r w:rsidRPr="007A49AD">
              <w:rPr>
                <w:b/>
                <w:bCs/>
                <w:sz w:val="19"/>
                <w:szCs w:val="19"/>
              </w:rPr>
              <w:t xml:space="preserve">975 </w:t>
            </w:r>
          </w:p>
        </w:tc>
      </w:tr>
    </w:tbl>
    <w:p w14:paraId="28E0D771" w14:textId="77777777" w:rsidR="00D20207" w:rsidRPr="00537128" w:rsidRDefault="00D20207" w:rsidP="00024090">
      <w:pPr>
        <w:spacing w:after="0" w:line="240" w:lineRule="auto"/>
        <w:rPr>
          <w:rFonts w:ascii="Calibri" w:eastAsia="Calibri" w:hAnsi="Calibri" w:cs="Times New Roman"/>
          <w:noProof/>
          <w:color w:val="000000" w:themeColor="text1"/>
          <w:lang w:val="en-US"/>
        </w:rPr>
      </w:pPr>
    </w:p>
    <w:p w14:paraId="5604C926" w14:textId="357B1E05" w:rsidR="00824E0F" w:rsidRPr="00537128" w:rsidRDefault="00824E0F" w:rsidP="00024090">
      <w:pPr>
        <w:spacing w:after="0" w:line="240" w:lineRule="auto"/>
        <w:rPr>
          <w:rFonts w:ascii="Calibri" w:eastAsia="Calibri" w:hAnsi="Calibri" w:cs="Times New Roman"/>
          <w:noProof/>
          <w:color w:val="000000" w:themeColor="text1"/>
          <w:lang w:val="en-US"/>
        </w:rPr>
      </w:pPr>
    </w:p>
    <w:p w14:paraId="4F3B85F3" w14:textId="60C18357" w:rsidR="004A287E" w:rsidRDefault="004A287E" w:rsidP="00024090">
      <w:pPr>
        <w:spacing w:after="0" w:line="240" w:lineRule="auto"/>
        <w:rPr>
          <w:rFonts w:ascii="Calibri" w:eastAsia="Calibri" w:hAnsi="Calibri" w:cs="Times New Roman"/>
          <w:noProof/>
          <w:color w:val="000000" w:themeColor="text1"/>
          <w:lang w:val="en-US"/>
        </w:rPr>
      </w:pPr>
    </w:p>
    <w:p w14:paraId="7AD88707" w14:textId="77777777" w:rsidR="00692784" w:rsidRPr="00537128" w:rsidRDefault="00692784" w:rsidP="00024090">
      <w:pPr>
        <w:spacing w:after="0" w:line="240" w:lineRule="auto"/>
        <w:rPr>
          <w:rFonts w:ascii="Calibri" w:eastAsia="Calibri" w:hAnsi="Calibri" w:cs="Times New Roman"/>
          <w:noProof/>
          <w:color w:val="000000" w:themeColor="text1"/>
          <w:lang w:val="en-US"/>
        </w:rPr>
      </w:pPr>
    </w:p>
    <w:p w14:paraId="10A5A6FA" w14:textId="77777777" w:rsidR="00824E0F" w:rsidRPr="00537128" w:rsidRDefault="00824E0F"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7" w:type="pct"/>
        <w:tblLayout w:type="fixed"/>
        <w:tblLook w:val="0000" w:firstRow="0" w:lastRow="0" w:firstColumn="0" w:lastColumn="0" w:noHBand="0" w:noVBand="0"/>
      </w:tblPr>
      <w:tblGrid>
        <w:gridCol w:w="3398"/>
        <w:gridCol w:w="1216"/>
        <w:gridCol w:w="1216"/>
        <w:gridCol w:w="1205"/>
        <w:gridCol w:w="1133"/>
        <w:gridCol w:w="1199"/>
      </w:tblGrid>
      <w:tr w:rsidR="00692784" w:rsidRPr="00692784" w14:paraId="5A933AF3" w14:textId="77777777" w:rsidTr="00E44437">
        <w:trPr>
          <w:trHeight w:val="164"/>
        </w:trPr>
        <w:tc>
          <w:tcPr>
            <w:tcW w:w="1814" w:type="pct"/>
          </w:tcPr>
          <w:p w14:paraId="228622B3" w14:textId="77777777" w:rsidR="00692784" w:rsidRPr="00692784" w:rsidRDefault="00692784" w:rsidP="00692784">
            <w:pPr>
              <w:spacing w:after="0" w:line="240" w:lineRule="auto"/>
              <w:rPr>
                <w:rFonts w:ascii="Calibri" w:eastAsia="Calibri" w:hAnsi="Calibri" w:cs="Arial"/>
                <w:b/>
                <w:bCs/>
                <w:sz w:val="19"/>
                <w:szCs w:val="19"/>
                <w:lang w:val="en-GB"/>
              </w:rPr>
            </w:pPr>
            <w:r w:rsidRPr="00692784">
              <w:rPr>
                <w:rFonts w:ascii="Calibri" w:eastAsia="Calibri" w:hAnsi="Calibri" w:cs="Arial"/>
                <w:b/>
                <w:bCs/>
                <w:sz w:val="19"/>
                <w:szCs w:val="19"/>
                <w:lang w:val="en-GB"/>
              </w:rPr>
              <w:br w:type="page"/>
              <w:t>Group</w:t>
            </w:r>
          </w:p>
        </w:tc>
        <w:tc>
          <w:tcPr>
            <w:tcW w:w="3186" w:type="pct"/>
            <w:gridSpan w:val="5"/>
            <w:vAlign w:val="bottom"/>
          </w:tcPr>
          <w:p w14:paraId="0EEDF9C2" w14:textId="77777777" w:rsidR="00692784" w:rsidRPr="00692784" w:rsidRDefault="00692784" w:rsidP="00692784">
            <w:pPr>
              <w:spacing w:after="0" w:line="240" w:lineRule="auto"/>
              <w:jc w:val="center"/>
              <w:rPr>
                <w:rFonts w:ascii="Calibri" w:eastAsia="Calibri" w:hAnsi="Calibri" w:cs="Arial"/>
                <w:b/>
                <w:sz w:val="19"/>
                <w:szCs w:val="19"/>
                <w:lang w:val="en-GB"/>
              </w:rPr>
            </w:pPr>
          </w:p>
        </w:tc>
      </w:tr>
      <w:tr w:rsidR="00692784" w:rsidRPr="00692784" w14:paraId="45354F6C" w14:textId="77777777" w:rsidTr="00E44437">
        <w:trPr>
          <w:trHeight w:val="53"/>
        </w:trPr>
        <w:tc>
          <w:tcPr>
            <w:tcW w:w="1814" w:type="pct"/>
          </w:tcPr>
          <w:p w14:paraId="5D497450" w14:textId="77777777" w:rsidR="00692784" w:rsidRPr="00692784" w:rsidRDefault="00692784" w:rsidP="00692784">
            <w:pPr>
              <w:spacing w:after="0" w:line="240" w:lineRule="auto"/>
              <w:rPr>
                <w:rFonts w:ascii="Calibri" w:eastAsia="Calibri" w:hAnsi="Calibri" w:cs="Arial"/>
                <w:b/>
                <w:bCs/>
                <w:sz w:val="19"/>
                <w:szCs w:val="19"/>
                <w:lang w:val="en-GB"/>
              </w:rPr>
            </w:pPr>
            <w:r w:rsidRPr="00692784">
              <w:rPr>
                <w:rFonts w:ascii="Calibri" w:eastAsia="Calibri" w:hAnsi="Calibri" w:cs="Arial"/>
                <w:b/>
                <w:bCs/>
                <w:sz w:val="19"/>
                <w:szCs w:val="19"/>
                <w:lang w:val="en-GB"/>
              </w:rPr>
              <w:t>31 December 2021</w:t>
            </w:r>
          </w:p>
        </w:tc>
        <w:tc>
          <w:tcPr>
            <w:tcW w:w="649" w:type="pct"/>
            <w:vAlign w:val="bottom"/>
          </w:tcPr>
          <w:p w14:paraId="65FFFA73" w14:textId="77777777" w:rsidR="00692784" w:rsidRPr="00692784" w:rsidRDefault="00692784" w:rsidP="00692784">
            <w:pPr>
              <w:spacing w:after="0" w:line="240" w:lineRule="auto"/>
              <w:jc w:val="right"/>
              <w:rPr>
                <w:rFonts w:ascii="Calibri" w:eastAsia="Calibri" w:hAnsi="Calibri" w:cs="Arial"/>
                <w:b/>
                <w:sz w:val="19"/>
                <w:szCs w:val="19"/>
                <w:lang w:val="en-GB"/>
              </w:rPr>
            </w:pPr>
            <w:r w:rsidRPr="00692784">
              <w:rPr>
                <w:rFonts w:ascii="Calibri" w:eastAsia="Calibri" w:hAnsi="Calibri" w:cs="Arial"/>
                <w:b/>
                <w:sz w:val="19"/>
                <w:szCs w:val="19"/>
                <w:lang w:val="en-GB"/>
              </w:rPr>
              <w:t>Stage 1</w:t>
            </w:r>
          </w:p>
        </w:tc>
        <w:tc>
          <w:tcPr>
            <w:tcW w:w="649" w:type="pct"/>
            <w:vAlign w:val="bottom"/>
          </w:tcPr>
          <w:p w14:paraId="2838025E" w14:textId="77777777" w:rsidR="00692784" w:rsidRPr="00692784" w:rsidRDefault="00692784" w:rsidP="00692784">
            <w:pPr>
              <w:spacing w:after="0" w:line="240" w:lineRule="auto"/>
              <w:jc w:val="right"/>
              <w:rPr>
                <w:rFonts w:ascii="Calibri" w:eastAsia="Calibri" w:hAnsi="Calibri" w:cs="Arial"/>
                <w:b/>
                <w:sz w:val="19"/>
                <w:szCs w:val="19"/>
                <w:lang w:val="en-GB"/>
              </w:rPr>
            </w:pPr>
            <w:r w:rsidRPr="00692784">
              <w:rPr>
                <w:rFonts w:ascii="Calibri" w:eastAsia="Calibri" w:hAnsi="Calibri" w:cs="Arial"/>
                <w:b/>
                <w:sz w:val="19"/>
                <w:szCs w:val="19"/>
                <w:lang w:val="en-GB"/>
              </w:rPr>
              <w:t>Stage 2</w:t>
            </w:r>
          </w:p>
        </w:tc>
        <w:tc>
          <w:tcPr>
            <w:tcW w:w="643" w:type="pct"/>
            <w:vAlign w:val="bottom"/>
          </w:tcPr>
          <w:p w14:paraId="07BF9BE8" w14:textId="77777777" w:rsidR="00692784" w:rsidRPr="00692784" w:rsidRDefault="00692784" w:rsidP="00692784">
            <w:pPr>
              <w:spacing w:after="0" w:line="240" w:lineRule="auto"/>
              <w:jc w:val="right"/>
              <w:rPr>
                <w:rFonts w:ascii="Calibri" w:eastAsia="Calibri" w:hAnsi="Calibri" w:cs="Arial"/>
                <w:b/>
                <w:sz w:val="19"/>
                <w:szCs w:val="19"/>
                <w:lang w:val="en-GB"/>
              </w:rPr>
            </w:pPr>
            <w:r w:rsidRPr="00692784">
              <w:rPr>
                <w:rFonts w:ascii="Calibri" w:eastAsia="Calibri" w:hAnsi="Calibri" w:cs="Arial"/>
                <w:b/>
                <w:sz w:val="19"/>
                <w:szCs w:val="19"/>
                <w:lang w:val="en-GB"/>
              </w:rPr>
              <w:t>Stage 3</w:t>
            </w:r>
          </w:p>
        </w:tc>
        <w:tc>
          <w:tcPr>
            <w:tcW w:w="605" w:type="pct"/>
            <w:vAlign w:val="bottom"/>
          </w:tcPr>
          <w:p w14:paraId="5CCCB8E5" w14:textId="77777777" w:rsidR="00692784" w:rsidRPr="00692784" w:rsidRDefault="00692784" w:rsidP="00692784">
            <w:pPr>
              <w:spacing w:after="0" w:line="240" w:lineRule="auto"/>
              <w:jc w:val="right"/>
              <w:rPr>
                <w:rFonts w:ascii="Calibri" w:eastAsia="Calibri" w:hAnsi="Calibri" w:cs="Arial"/>
                <w:b/>
                <w:sz w:val="19"/>
                <w:szCs w:val="19"/>
                <w:lang w:val="en-GB"/>
              </w:rPr>
            </w:pPr>
            <w:r w:rsidRPr="00692784">
              <w:rPr>
                <w:rFonts w:ascii="Calibri" w:eastAsia="Calibri" w:hAnsi="Calibri" w:cs="Arial"/>
                <w:b/>
                <w:sz w:val="19"/>
                <w:szCs w:val="19"/>
                <w:lang w:val="en-GB"/>
              </w:rPr>
              <w:t>POCI</w:t>
            </w:r>
          </w:p>
        </w:tc>
        <w:tc>
          <w:tcPr>
            <w:tcW w:w="640" w:type="pct"/>
            <w:vAlign w:val="bottom"/>
          </w:tcPr>
          <w:p w14:paraId="34DE0A13" w14:textId="77777777" w:rsidR="00692784" w:rsidRPr="00692784" w:rsidRDefault="00692784" w:rsidP="00692784">
            <w:pPr>
              <w:spacing w:after="0" w:line="240" w:lineRule="auto"/>
              <w:jc w:val="right"/>
              <w:rPr>
                <w:rFonts w:ascii="Calibri" w:eastAsia="Calibri" w:hAnsi="Calibri" w:cs="Arial"/>
                <w:b/>
                <w:sz w:val="19"/>
                <w:szCs w:val="19"/>
                <w:lang w:val="en-GB"/>
              </w:rPr>
            </w:pPr>
            <w:r w:rsidRPr="00692784">
              <w:rPr>
                <w:rFonts w:ascii="Calibri" w:eastAsia="Calibri" w:hAnsi="Calibri" w:cs="Arial"/>
                <w:b/>
                <w:sz w:val="19"/>
                <w:szCs w:val="19"/>
                <w:lang w:val="en-GB"/>
              </w:rPr>
              <w:t>Total</w:t>
            </w:r>
          </w:p>
        </w:tc>
      </w:tr>
      <w:tr w:rsidR="00692784" w:rsidRPr="00692784" w14:paraId="781DCD73" w14:textId="77777777" w:rsidTr="00E44437">
        <w:trPr>
          <w:trHeight w:val="53"/>
        </w:trPr>
        <w:tc>
          <w:tcPr>
            <w:tcW w:w="1814" w:type="pct"/>
          </w:tcPr>
          <w:p w14:paraId="2934B7E1" w14:textId="77777777" w:rsidR="00692784" w:rsidRPr="00692784" w:rsidRDefault="00692784" w:rsidP="00692784">
            <w:pPr>
              <w:spacing w:after="0" w:line="240" w:lineRule="auto"/>
              <w:rPr>
                <w:rFonts w:ascii="Calibri" w:eastAsia="Calibri" w:hAnsi="Calibri" w:cs="Arial"/>
                <w:b/>
                <w:bCs/>
                <w:sz w:val="19"/>
                <w:szCs w:val="19"/>
                <w:lang w:val="en-GB"/>
              </w:rPr>
            </w:pPr>
          </w:p>
        </w:tc>
        <w:tc>
          <w:tcPr>
            <w:tcW w:w="649" w:type="pct"/>
          </w:tcPr>
          <w:p w14:paraId="667EFDD0" w14:textId="77777777" w:rsidR="00692784" w:rsidRPr="00692784" w:rsidRDefault="00692784" w:rsidP="00692784">
            <w:pPr>
              <w:spacing w:after="0" w:line="240" w:lineRule="auto"/>
              <w:jc w:val="right"/>
              <w:rPr>
                <w:rFonts w:ascii="Calibri" w:eastAsia="Calibri" w:hAnsi="Calibri" w:cs="Arial"/>
                <w:b/>
                <w:sz w:val="19"/>
                <w:szCs w:val="19"/>
                <w:lang w:val="en-GB"/>
              </w:rPr>
            </w:pPr>
            <w:r w:rsidRPr="00692784">
              <w:rPr>
                <w:rFonts w:ascii="Calibri" w:eastAsia="Calibri" w:hAnsi="Calibri" w:cs="Arial"/>
                <w:b/>
                <w:sz w:val="19"/>
                <w:szCs w:val="19"/>
                <w:lang w:val="en-GB"/>
              </w:rPr>
              <w:t>HRK ‘000</w:t>
            </w:r>
          </w:p>
        </w:tc>
        <w:tc>
          <w:tcPr>
            <w:tcW w:w="649" w:type="pct"/>
          </w:tcPr>
          <w:p w14:paraId="30DC14EA" w14:textId="77777777" w:rsidR="00692784" w:rsidRPr="00692784" w:rsidRDefault="00692784" w:rsidP="00692784">
            <w:pPr>
              <w:spacing w:after="0" w:line="240" w:lineRule="auto"/>
              <w:jc w:val="right"/>
              <w:rPr>
                <w:rFonts w:ascii="Calibri" w:eastAsia="Calibri" w:hAnsi="Calibri" w:cs="Arial"/>
                <w:b/>
                <w:sz w:val="19"/>
                <w:szCs w:val="19"/>
                <w:lang w:val="en-GB"/>
              </w:rPr>
            </w:pPr>
            <w:r w:rsidRPr="00692784">
              <w:rPr>
                <w:rFonts w:ascii="Calibri" w:eastAsia="Calibri" w:hAnsi="Calibri" w:cs="Arial"/>
                <w:b/>
                <w:sz w:val="19"/>
                <w:szCs w:val="19"/>
                <w:lang w:val="en-GB"/>
              </w:rPr>
              <w:t>HRK ‘000</w:t>
            </w:r>
          </w:p>
        </w:tc>
        <w:tc>
          <w:tcPr>
            <w:tcW w:w="643" w:type="pct"/>
          </w:tcPr>
          <w:p w14:paraId="061B349F" w14:textId="77777777" w:rsidR="00692784" w:rsidRPr="00692784" w:rsidRDefault="00692784" w:rsidP="00692784">
            <w:pPr>
              <w:spacing w:after="0" w:line="240" w:lineRule="auto"/>
              <w:jc w:val="right"/>
              <w:rPr>
                <w:rFonts w:ascii="Calibri" w:eastAsia="Calibri" w:hAnsi="Calibri" w:cs="Arial"/>
                <w:b/>
                <w:sz w:val="19"/>
                <w:szCs w:val="19"/>
                <w:lang w:val="en-GB"/>
              </w:rPr>
            </w:pPr>
            <w:r w:rsidRPr="00692784">
              <w:rPr>
                <w:rFonts w:ascii="Calibri" w:eastAsia="Calibri" w:hAnsi="Calibri" w:cs="Arial"/>
                <w:b/>
                <w:sz w:val="19"/>
                <w:szCs w:val="19"/>
                <w:lang w:val="en-GB"/>
              </w:rPr>
              <w:t>HRK ‘000</w:t>
            </w:r>
          </w:p>
        </w:tc>
        <w:tc>
          <w:tcPr>
            <w:tcW w:w="605" w:type="pct"/>
          </w:tcPr>
          <w:p w14:paraId="5CBE628B" w14:textId="77777777" w:rsidR="00692784" w:rsidRPr="00692784" w:rsidRDefault="00692784" w:rsidP="00692784">
            <w:pPr>
              <w:spacing w:after="0" w:line="240" w:lineRule="auto"/>
              <w:jc w:val="right"/>
              <w:rPr>
                <w:rFonts w:ascii="Calibri" w:eastAsia="Calibri" w:hAnsi="Calibri" w:cs="Arial"/>
                <w:b/>
                <w:sz w:val="19"/>
                <w:szCs w:val="19"/>
                <w:lang w:val="en-GB"/>
              </w:rPr>
            </w:pPr>
            <w:r w:rsidRPr="00692784">
              <w:rPr>
                <w:rFonts w:ascii="Calibri" w:eastAsia="Calibri" w:hAnsi="Calibri" w:cs="Arial"/>
                <w:b/>
                <w:sz w:val="19"/>
                <w:szCs w:val="19"/>
                <w:lang w:val="en-GB"/>
              </w:rPr>
              <w:t>HRK ‘000</w:t>
            </w:r>
          </w:p>
        </w:tc>
        <w:tc>
          <w:tcPr>
            <w:tcW w:w="640" w:type="pct"/>
          </w:tcPr>
          <w:p w14:paraId="0ED763D6" w14:textId="77777777" w:rsidR="00692784" w:rsidRPr="00692784" w:rsidRDefault="00692784" w:rsidP="00692784">
            <w:pPr>
              <w:spacing w:after="0" w:line="240" w:lineRule="auto"/>
              <w:jc w:val="right"/>
              <w:rPr>
                <w:rFonts w:ascii="Calibri" w:eastAsia="Calibri" w:hAnsi="Calibri" w:cs="Arial"/>
                <w:b/>
                <w:sz w:val="19"/>
                <w:szCs w:val="19"/>
                <w:lang w:val="en-GB"/>
              </w:rPr>
            </w:pPr>
            <w:r w:rsidRPr="00692784">
              <w:rPr>
                <w:rFonts w:ascii="Calibri" w:eastAsia="Calibri" w:hAnsi="Calibri" w:cs="Arial"/>
                <w:b/>
                <w:sz w:val="19"/>
                <w:szCs w:val="19"/>
                <w:lang w:val="en-GB"/>
              </w:rPr>
              <w:t>HRK ‘000</w:t>
            </w:r>
          </w:p>
        </w:tc>
      </w:tr>
      <w:tr w:rsidR="00692784" w:rsidRPr="00692784" w14:paraId="658B4250" w14:textId="77777777" w:rsidTr="00E44437">
        <w:trPr>
          <w:trHeight w:val="53"/>
        </w:trPr>
        <w:tc>
          <w:tcPr>
            <w:tcW w:w="1814" w:type="pct"/>
          </w:tcPr>
          <w:p w14:paraId="2A5FA446" w14:textId="77777777" w:rsidR="00692784" w:rsidRPr="00692784" w:rsidRDefault="00692784" w:rsidP="00692784">
            <w:pPr>
              <w:spacing w:after="0" w:line="240" w:lineRule="auto"/>
              <w:rPr>
                <w:rFonts w:ascii="Calibri" w:eastAsia="Calibri" w:hAnsi="Calibri" w:cs="Arial"/>
                <w:b/>
                <w:bCs/>
                <w:sz w:val="19"/>
                <w:szCs w:val="19"/>
                <w:lang w:val="en-GB"/>
              </w:rPr>
            </w:pPr>
          </w:p>
        </w:tc>
        <w:tc>
          <w:tcPr>
            <w:tcW w:w="649" w:type="pct"/>
          </w:tcPr>
          <w:p w14:paraId="322DCFB2" w14:textId="77777777" w:rsidR="00692784" w:rsidRPr="00692784" w:rsidRDefault="00692784" w:rsidP="00692784">
            <w:pPr>
              <w:spacing w:after="0" w:line="240" w:lineRule="auto"/>
              <w:jc w:val="right"/>
              <w:rPr>
                <w:rFonts w:ascii="Calibri" w:eastAsia="Calibri" w:hAnsi="Calibri" w:cs="Arial"/>
                <w:b/>
                <w:bCs/>
                <w:sz w:val="19"/>
                <w:szCs w:val="19"/>
                <w:lang w:val="en-GB"/>
              </w:rPr>
            </w:pPr>
          </w:p>
        </w:tc>
        <w:tc>
          <w:tcPr>
            <w:tcW w:w="649" w:type="pct"/>
          </w:tcPr>
          <w:p w14:paraId="2285B755" w14:textId="77777777" w:rsidR="00692784" w:rsidRPr="00692784" w:rsidRDefault="00692784" w:rsidP="00692784">
            <w:pPr>
              <w:spacing w:after="0" w:line="240" w:lineRule="auto"/>
              <w:jc w:val="right"/>
              <w:rPr>
                <w:rFonts w:ascii="Calibri" w:eastAsia="Calibri" w:hAnsi="Calibri" w:cs="Arial"/>
                <w:b/>
                <w:bCs/>
                <w:sz w:val="19"/>
                <w:szCs w:val="19"/>
                <w:lang w:val="en-GB"/>
              </w:rPr>
            </w:pPr>
          </w:p>
        </w:tc>
        <w:tc>
          <w:tcPr>
            <w:tcW w:w="643" w:type="pct"/>
          </w:tcPr>
          <w:p w14:paraId="7ED6FF48" w14:textId="77777777" w:rsidR="00692784" w:rsidRPr="00692784" w:rsidRDefault="00692784" w:rsidP="00692784">
            <w:pPr>
              <w:spacing w:after="0" w:line="240" w:lineRule="auto"/>
              <w:jc w:val="right"/>
              <w:rPr>
                <w:rFonts w:ascii="Calibri" w:eastAsia="Calibri" w:hAnsi="Calibri" w:cs="Arial"/>
                <w:b/>
                <w:bCs/>
                <w:sz w:val="19"/>
                <w:szCs w:val="19"/>
                <w:lang w:val="en-GB"/>
              </w:rPr>
            </w:pPr>
          </w:p>
        </w:tc>
        <w:tc>
          <w:tcPr>
            <w:tcW w:w="605" w:type="pct"/>
          </w:tcPr>
          <w:p w14:paraId="190C7155" w14:textId="77777777" w:rsidR="00692784" w:rsidRPr="00692784" w:rsidRDefault="00692784" w:rsidP="00692784">
            <w:pPr>
              <w:spacing w:after="0" w:line="240" w:lineRule="auto"/>
              <w:jc w:val="right"/>
              <w:rPr>
                <w:rFonts w:ascii="Calibri" w:eastAsia="Calibri" w:hAnsi="Calibri" w:cs="Arial"/>
                <w:b/>
                <w:bCs/>
                <w:sz w:val="19"/>
                <w:szCs w:val="19"/>
                <w:lang w:val="en-GB"/>
              </w:rPr>
            </w:pPr>
          </w:p>
        </w:tc>
        <w:tc>
          <w:tcPr>
            <w:tcW w:w="640" w:type="pct"/>
          </w:tcPr>
          <w:p w14:paraId="0D648D3E" w14:textId="77777777" w:rsidR="00692784" w:rsidRPr="00692784" w:rsidRDefault="00692784" w:rsidP="00692784">
            <w:pPr>
              <w:spacing w:after="0" w:line="240" w:lineRule="auto"/>
              <w:jc w:val="right"/>
              <w:rPr>
                <w:rFonts w:ascii="Calibri" w:eastAsia="Calibri" w:hAnsi="Calibri" w:cs="Arial"/>
                <w:b/>
                <w:bCs/>
                <w:sz w:val="19"/>
                <w:szCs w:val="19"/>
                <w:lang w:val="en-GB"/>
              </w:rPr>
            </w:pPr>
          </w:p>
        </w:tc>
      </w:tr>
      <w:tr w:rsidR="00692784" w:rsidRPr="00692784" w14:paraId="6DDFFFFF" w14:textId="77777777" w:rsidTr="00E44437">
        <w:trPr>
          <w:trHeight w:hRule="exact" w:val="250"/>
        </w:trPr>
        <w:tc>
          <w:tcPr>
            <w:tcW w:w="1814" w:type="pct"/>
            <w:vAlign w:val="bottom"/>
          </w:tcPr>
          <w:p w14:paraId="2A7BD925" w14:textId="77777777" w:rsidR="00692784" w:rsidRPr="00692784" w:rsidRDefault="00692784" w:rsidP="00692784">
            <w:pPr>
              <w:tabs>
                <w:tab w:val="right" w:pos="1202"/>
              </w:tabs>
              <w:spacing w:after="0" w:line="240" w:lineRule="auto"/>
              <w:outlineLvl w:val="0"/>
              <w:rPr>
                <w:rFonts w:ascii="Calibri" w:eastAsia="Calibri" w:hAnsi="Calibri" w:cs="Times New Roman"/>
                <w:sz w:val="19"/>
                <w:szCs w:val="19"/>
                <w:lang w:val="en-GB"/>
              </w:rPr>
            </w:pPr>
            <w:r w:rsidRPr="00692784">
              <w:rPr>
                <w:rFonts w:ascii="Calibri" w:eastAsia="Calibri" w:hAnsi="Calibri" w:cs="Times New Roman"/>
                <w:sz w:val="19"/>
                <w:szCs w:val="19"/>
                <w:lang w:val="en-GB"/>
              </w:rPr>
              <w:t xml:space="preserve">Balance </w:t>
            </w:r>
            <w:proofErr w:type="gramStart"/>
            <w:r w:rsidRPr="00692784">
              <w:rPr>
                <w:rFonts w:ascii="Calibri" w:eastAsia="Calibri" w:hAnsi="Calibri" w:cs="Times New Roman"/>
                <w:sz w:val="19"/>
                <w:szCs w:val="19"/>
                <w:lang w:val="en-GB"/>
              </w:rPr>
              <w:t>at</w:t>
            </w:r>
            <w:proofErr w:type="gramEnd"/>
            <w:r w:rsidRPr="00692784">
              <w:rPr>
                <w:rFonts w:ascii="Calibri" w:eastAsia="Calibri" w:hAnsi="Calibri" w:cs="Times New Roman"/>
                <w:sz w:val="19"/>
                <w:szCs w:val="19"/>
                <w:lang w:val="en-GB"/>
              </w:rPr>
              <w:t xml:space="preserve"> 1 January 2021</w:t>
            </w:r>
          </w:p>
        </w:tc>
        <w:tc>
          <w:tcPr>
            <w:tcW w:w="649" w:type="pct"/>
            <w:shd w:val="clear" w:color="auto" w:fill="auto"/>
          </w:tcPr>
          <w:p w14:paraId="6C46315D" w14:textId="77777777" w:rsidR="00692784" w:rsidRPr="00692784" w:rsidRDefault="00692784" w:rsidP="00692784">
            <w:pPr>
              <w:spacing w:after="0" w:line="240" w:lineRule="auto"/>
              <w:jc w:val="right"/>
              <w:rPr>
                <w:rFonts w:ascii="Calibri" w:eastAsia="Calibri" w:hAnsi="Calibri" w:cs="Calibri"/>
                <w:color w:val="000000"/>
                <w:sz w:val="19"/>
                <w:szCs w:val="19"/>
              </w:rPr>
            </w:pPr>
            <w:r w:rsidRPr="00692784">
              <w:rPr>
                <w:rFonts w:ascii="Calibri" w:eastAsia="Times New Roman" w:hAnsi="Calibri" w:cs="Times New Roman"/>
                <w:sz w:val="19"/>
                <w:szCs w:val="19"/>
                <w:lang w:val="en-US"/>
              </w:rPr>
              <w:t xml:space="preserve"> 171 </w:t>
            </w:r>
          </w:p>
        </w:tc>
        <w:tc>
          <w:tcPr>
            <w:tcW w:w="649" w:type="pct"/>
            <w:shd w:val="clear" w:color="auto" w:fill="auto"/>
          </w:tcPr>
          <w:p w14:paraId="5BE09D37" w14:textId="77777777" w:rsidR="00692784" w:rsidRPr="00692784" w:rsidRDefault="00692784" w:rsidP="00692784">
            <w:pPr>
              <w:spacing w:after="0" w:line="240" w:lineRule="auto"/>
              <w:jc w:val="right"/>
              <w:rPr>
                <w:rFonts w:ascii="Calibri" w:eastAsia="Calibri" w:hAnsi="Calibri" w:cs="Calibri"/>
                <w:color w:val="000000"/>
                <w:sz w:val="19"/>
                <w:szCs w:val="19"/>
              </w:rPr>
            </w:pPr>
            <w:r w:rsidRPr="00692784">
              <w:rPr>
                <w:rFonts w:ascii="Calibri" w:eastAsia="Times New Roman" w:hAnsi="Calibri" w:cs="Times New Roman"/>
                <w:sz w:val="19"/>
                <w:szCs w:val="19"/>
                <w:lang w:val="en-US"/>
              </w:rPr>
              <w:t xml:space="preserve"> 1 </w:t>
            </w:r>
          </w:p>
        </w:tc>
        <w:tc>
          <w:tcPr>
            <w:tcW w:w="643" w:type="pct"/>
            <w:shd w:val="clear" w:color="auto" w:fill="auto"/>
          </w:tcPr>
          <w:p w14:paraId="52FC3E7E" w14:textId="77777777" w:rsidR="00692784" w:rsidRPr="00692784" w:rsidRDefault="00692784" w:rsidP="00692784">
            <w:pPr>
              <w:spacing w:after="0" w:line="240" w:lineRule="auto"/>
              <w:jc w:val="right"/>
              <w:rPr>
                <w:rFonts w:ascii="Calibri" w:eastAsia="Calibri" w:hAnsi="Calibri" w:cs="Calibri"/>
                <w:color w:val="000000"/>
                <w:sz w:val="19"/>
                <w:szCs w:val="19"/>
              </w:rPr>
            </w:pPr>
            <w:r w:rsidRPr="00692784">
              <w:rPr>
                <w:rFonts w:ascii="Calibri" w:eastAsia="Times New Roman" w:hAnsi="Calibri" w:cs="Times New Roman"/>
                <w:sz w:val="19"/>
                <w:szCs w:val="19"/>
                <w:lang w:val="en-US"/>
              </w:rPr>
              <w:t xml:space="preserve"> 34,359 </w:t>
            </w:r>
          </w:p>
        </w:tc>
        <w:tc>
          <w:tcPr>
            <w:tcW w:w="605" w:type="pct"/>
            <w:shd w:val="clear" w:color="auto" w:fill="auto"/>
          </w:tcPr>
          <w:p w14:paraId="31F636C0" w14:textId="77777777" w:rsidR="00692784" w:rsidRPr="00692784" w:rsidRDefault="00692784" w:rsidP="00692784">
            <w:pPr>
              <w:spacing w:after="0" w:line="240" w:lineRule="auto"/>
              <w:jc w:val="right"/>
              <w:rPr>
                <w:rFonts w:ascii="Calibri" w:eastAsia="Calibri" w:hAnsi="Calibri" w:cs="Calibri"/>
                <w:color w:val="000000"/>
                <w:sz w:val="19"/>
                <w:szCs w:val="19"/>
              </w:rPr>
            </w:pPr>
            <w:r w:rsidRPr="00692784">
              <w:rPr>
                <w:rFonts w:ascii="Calibri" w:eastAsia="Times New Roman" w:hAnsi="Calibri" w:cs="Times New Roman"/>
                <w:sz w:val="19"/>
                <w:szCs w:val="19"/>
                <w:lang w:val="en-US"/>
              </w:rPr>
              <w:t xml:space="preserve"> 5 </w:t>
            </w:r>
          </w:p>
        </w:tc>
        <w:tc>
          <w:tcPr>
            <w:tcW w:w="640" w:type="pct"/>
            <w:shd w:val="clear" w:color="auto" w:fill="auto"/>
          </w:tcPr>
          <w:p w14:paraId="4D9F2875" w14:textId="77777777" w:rsidR="00692784" w:rsidRPr="00692784" w:rsidRDefault="00692784" w:rsidP="00692784">
            <w:pPr>
              <w:spacing w:after="0" w:line="240" w:lineRule="auto"/>
              <w:jc w:val="right"/>
              <w:rPr>
                <w:rFonts w:ascii="Calibri" w:eastAsia="Calibri" w:hAnsi="Calibri" w:cs="Calibri"/>
                <w:color w:val="000000"/>
                <w:sz w:val="19"/>
                <w:szCs w:val="19"/>
              </w:rPr>
            </w:pPr>
            <w:r w:rsidRPr="00692784">
              <w:rPr>
                <w:rFonts w:ascii="Calibri" w:eastAsia="Times New Roman" w:hAnsi="Calibri" w:cs="Times New Roman"/>
                <w:sz w:val="19"/>
                <w:szCs w:val="19"/>
                <w:lang w:val="en-US"/>
              </w:rPr>
              <w:t xml:space="preserve"> 34,536 </w:t>
            </w:r>
          </w:p>
        </w:tc>
      </w:tr>
      <w:tr w:rsidR="00692784" w:rsidRPr="00692784" w14:paraId="4650A8B7" w14:textId="77777777" w:rsidTr="00E44437">
        <w:trPr>
          <w:trHeight w:hRule="exact" w:val="250"/>
        </w:trPr>
        <w:tc>
          <w:tcPr>
            <w:tcW w:w="1814" w:type="pct"/>
            <w:vAlign w:val="bottom"/>
          </w:tcPr>
          <w:p w14:paraId="456CBE44" w14:textId="77777777" w:rsidR="00692784" w:rsidRPr="00692784" w:rsidRDefault="00692784" w:rsidP="00692784">
            <w:pPr>
              <w:tabs>
                <w:tab w:val="right" w:pos="1202"/>
              </w:tabs>
              <w:spacing w:after="0" w:line="240" w:lineRule="auto"/>
              <w:outlineLvl w:val="0"/>
              <w:rPr>
                <w:rFonts w:ascii="Calibri" w:eastAsia="Calibri" w:hAnsi="Calibri" w:cs="Times New Roman"/>
                <w:sz w:val="19"/>
                <w:szCs w:val="19"/>
                <w:lang w:val="en-GB"/>
              </w:rPr>
            </w:pPr>
            <w:r w:rsidRPr="00692784">
              <w:rPr>
                <w:rFonts w:ascii="Calibri" w:eastAsia="Calibri" w:hAnsi="Calibri" w:cs="Times New Roman"/>
                <w:sz w:val="19"/>
                <w:szCs w:val="19"/>
                <w:lang w:val="en-GB"/>
              </w:rPr>
              <w:t>Transfer to Stage 1</w:t>
            </w:r>
          </w:p>
        </w:tc>
        <w:tc>
          <w:tcPr>
            <w:tcW w:w="649" w:type="pct"/>
            <w:shd w:val="clear" w:color="auto" w:fill="auto"/>
          </w:tcPr>
          <w:p w14:paraId="77CC0E71" w14:textId="77777777" w:rsidR="00692784" w:rsidRPr="00692784" w:rsidRDefault="00692784" w:rsidP="00692784">
            <w:pPr>
              <w:spacing w:after="0" w:line="240" w:lineRule="auto"/>
              <w:jc w:val="right"/>
              <w:rPr>
                <w:rFonts w:ascii="Calibri" w:eastAsia="Calibri" w:hAnsi="Calibri" w:cs="Calibri"/>
                <w:color w:val="000000"/>
                <w:sz w:val="19"/>
                <w:szCs w:val="19"/>
              </w:rPr>
            </w:pPr>
            <w:r w:rsidRPr="00692784">
              <w:rPr>
                <w:rFonts w:ascii="Calibri" w:eastAsia="Times New Roman" w:hAnsi="Calibri" w:cs="Times New Roman"/>
                <w:sz w:val="19"/>
                <w:szCs w:val="19"/>
                <w:lang w:val="en-US"/>
              </w:rPr>
              <w:t xml:space="preserve"> 10 </w:t>
            </w:r>
          </w:p>
        </w:tc>
        <w:tc>
          <w:tcPr>
            <w:tcW w:w="649" w:type="pct"/>
            <w:shd w:val="clear" w:color="auto" w:fill="auto"/>
          </w:tcPr>
          <w:p w14:paraId="6A52F9C9" w14:textId="77777777" w:rsidR="00692784" w:rsidRPr="00692784" w:rsidRDefault="00692784" w:rsidP="00692784">
            <w:pPr>
              <w:spacing w:after="0" w:line="240" w:lineRule="auto"/>
              <w:jc w:val="right"/>
              <w:rPr>
                <w:rFonts w:ascii="Calibri" w:eastAsia="Calibri" w:hAnsi="Calibri" w:cs="Calibri"/>
                <w:color w:val="000000"/>
                <w:sz w:val="19"/>
                <w:szCs w:val="19"/>
              </w:rPr>
            </w:pPr>
            <w:r w:rsidRPr="00692784">
              <w:rPr>
                <w:rFonts w:ascii="Calibri" w:eastAsia="Times New Roman" w:hAnsi="Calibri" w:cs="Times New Roman"/>
                <w:sz w:val="19"/>
                <w:szCs w:val="19"/>
                <w:lang w:val="en-US"/>
              </w:rPr>
              <w:t xml:space="preserve"> (2)</w:t>
            </w:r>
          </w:p>
        </w:tc>
        <w:tc>
          <w:tcPr>
            <w:tcW w:w="643" w:type="pct"/>
            <w:shd w:val="clear" w:color="auto" w:fill="auto"/>
          </w:tcPr>
          <w:p w14:paraId="0C45943A" w14:textId="77777777" w:rsidR="00692784" w:rsidRPr="00692784" w:rsidRDefault="00692784" w:rsidP="00692784">
            <w:pPr>
              <w:spacing w:after="0" w:line="240" w:lineRule="auto"/>
              <w:jc w:val="right"/>
              <w:rPr>
                <w:rFonts w:ascii="Calibri" w:eastAsia="Calibri" w:hAnsi="Calibri" w:cs="Calibri"/>
                <w:color w:val="000000"/>
                <w:sz w:val="19"/>
                <w:szCs w:val="19"/>
              </w:rPr>
            </w:pPr>
            <w:r w:rsidRPr="00692784">
              <w:rPr>
                <w:rFonts w:ascii="Calibri" w:eastAsia="Times New Roman" w:hAnsi="Calibri" w:cs="Times New Roman"/>
                <w:sz w:val="19"/>
                <w:szCs w:val="19"/>
                <w:lang w:val="en-US"/>
              </w:rPr>
              <w:t xml:space="preserve"> (8)</w:t>
            </w:r>
          </w:p>
        </w:tc>
        <w:tc>
          <w:tcPr>
            <w:tcW w:w="605" w:type="pct"/>
            <w:shd w:val="clear" w:color="auto" w:fill="auto"/>
          </w:tcPr>
          <w:p w14:paraId="64542061" w14:textId="77777777" w:rsidR="00692784" w:rsidRPr="00692784" w:rsidRDefault="00692784" w:rsidP="00692784">
            <w:pPr>
              <w:spacing w:after="0" w:line="240" w:lineRule="auto"/>
              <w:jc w:val="right"/>
              <w:rPr>
                <w:rFonts w:ascii="Calibri" w:eastAsia="Calibri" w:hAnsi="Calibri" w:cs="Calibri"/>
                <w:color w:val="000000"/>
                <w:sz w:val="19"/>
                <w:szCs w:val="19"/>
              </w:rPr>
            </w:pPr>
            <w:r w:rsidRPr="00692784">
              <w:rPr>
                <w:rFonts w:ascii="Calibri" w:eastAsia="Times New Roman" w:hAnsi="Calibri" w:cs="Times New Roman"/>
                <w:sz w:val="19"/>
                <w:szCs w:val="19"/>
                <w:lang w:val="en-US"/>
              </w:rPr>
              <w:t xml:space="preserve"> - </w:t>
            </w:r>
          </w:p>
        </w:tc>
        <w:tc>
          <w:tcPr>
            <w:tcW w:w="640" w:type="pct"/>
            <w:shd w:val="clear" w:color="auto" w:fill="auto"/>
          </w:tcPr>
          <w:p w14:paraId="0A6B02A2" w14:textId="77777777" w:rsidR="00692784" w:rsidRPr="00692784" w:rsidRDefault="00692784" w:rsidP="00692784">
            <w:pPr>
              <w:spacing w:after="0" w:line="240" w:lineRule="auto"/>
              <w:jc w:val="right"/>
              <w:rPr>
                <w:rFonts w:ascii="Calibri" w:eastAsia="Calibri" w:hAnsi="Calibri" w:cs="Calibri"/>
                <w:color w:val="000000"/>
                <w:sz w:val="19"/>
                <w:szCs w:val="19"/>
              </w:rPr>
            </w:pPr>
            <w:r w:rsidRPr="00692784">
              <w:rPr>
                <w:rFonts w:ascii="Calibri" w:eastAsia="Times New Roman" w:hAnsi="Calibri" w:cs="Times New Roman"/>
                <w:sz w:val="19"/>
                <w:szCs w:val="19"/>
                <w:lang w:val="en-US"/>
              </w:rPr>
              <w:t xml:space="preserve"> - </w:t>
            </w:r>
          </w:p>
        </w:tc>
      </w:tr>
      <w:tr w:rsidR="00692784" w:rsidRPr="00692784" w14:paraId="31B73137" w14:textId="77777777" w:rsidTr="00E44437">
        <w:trPr>
          <w:trHeight w:hRule="exact" w:val="250"/>
        </w:trPr>
        <w:tc>
          <w:tcPr>
            <w:tcW w:w="1814" w:type="pct"/>
            <w:vAlign w:val="bottom"/>
          </w:tcPr>
          <w:p w14:paraId="1F65403C" w14:textId="77777777" w:rsidR="00692784" w:rsidRPr="00692784" w:rsidRDefault="00692784" w:rsidP="00692784">
            <w:pPr>
              <w:tabs>
                <w:tab w:val="right" w:pos="1202"/>
              </w:tabs>
              <w:spacing w:after="0" w:line="240" w:lineRule="auto"/>
              <w:outlineLvl w:val="0"/>
              <w:rPr>
                <w:rFonts w:ascii="Calibri" w:eastAsia="Calibri" w:hAnsi="Calibri" w:cs="Times New Roman"/>
                <w:sz w:val="19"/>
                <w:szCs w:val="19"/>
                <w:lang w:val="en-GB"/>
              </w:rPr>
            </w:pPr>
            <w:r w:rsidRPr="00692784">
              <w:rPr>
                <w:rFonts w:ascii="Calibri" w:eastAsia="Calibri" w:hAnsi="Calibri" w:cs="Times New Roman"/>
                <w:sz w:val="19"/>
                <w:szCs w:val="19"/>
                <w:lang w:val="en-GB"/>
              </w:rPr>
              <w:t>Transfer to Stage 2</w:t>
            </w:r>
          </w:p>
        </w:tc>
        <w:tc>
          <w:tcPr>
            <w:tcW w:w="649" w:type="pct"/>
            <w:shd w:val="clear" w:color="auto" w:fill="auto"/>
          </w:tcPr>
          <w:p w14:paraId="0A5E09C7" w14:textId="77777777" w:rsidR="00692784" w:rsidRPr="00692784" w:rsidRDefault="00692784" w:rsidP="00692784">
            <w:pPr>
              <w:spacing w:after="0" w:line="240" w:lineRule="auto"/>
              <w:jc w:val="right"/>
              <w:rPr>
                <w:rFonts w:ascii="Calibri" w:eastAsia="Calibri" w:hAnsi="Calibri" w:cs="Calibri"/>
                <w:color w:val="000000"/>
                <w:sz w:val="19"/>
                <w:szCs w:val="19"/>
              </w:rPr>
            </w:pPr>
            <w:r w:rsidRPr="00692784">
              <w:rPr>
                <w:rFonts w:ascii="Calibri" w:eastAsia="Times New Roman" w:hAnsi="Calibri" w:cs="Times New Roman"/>
                <w:sz w:val="19"/>
                <w:szCs w:val="19"/>
                <w:lang w:val="en-US"/>
              </w:rPr>
              <w:t xml:space="preserve"> (4)</w:t>
            </w:r>
          </w:p>
        </w:tc>
        <w:tc>
          <w:tcPr>
            <w:tcW w:w="649" w:type="pct"/>
            <w:shd w:val="clear" w:color="auto" w:fill="auto"/>
          </w:tcPr>
          <w:p w14:paraId="54A9D1D0" w14:textId="77777777" w:rsidR="00692784" w:rsidRPr="00692784" w:rsidRDefault="00692784" w:rsidP="00692784">
            <w:pPr>
              <w:spacing w:after="0" w:line="240" w:lineRule="auto"/>
              <w:jc w:val="right"/>
              <w:rPr>
                <w:rFonts w:ascii="Calibri" w:eastAsia="Calibri" w:hAnsi="Calibri" w:cs="Calibri"/>
                <w:color w:val="000000"/>
                <w:sz w:val="19"/>
                <w:szCs w:val="19"/>
              </w:rPr>
            </w:pPr>
            <w:r w:rsidRPr="00692784">
              <w:rPr>
                <w:rFonts w:ascii="Calibri" w:eastAsia="Times New Roman" w:hAnsi="Calibri" w:cs="Times New Roman"/>
                <w:sz w:val="19"/>
                <w:szCs w:val="19"/>
                <w:lang w:val="en-US"/>
              </w:rPr>
              <w:t xml:space="preserve"> 4 </w:t>
            </w:r>
          </w:p>
        </w:tc>
        <w:tc>
          <w:tcPr>
            <w:tcW w:w="643" w:type="pct"/>
            <w:shd w:val="clear" w:color="auto" w:fill="auto"/>
          </w:tcPr>
          <w:p w14:paraId="11E2ED16" w14:textId="77777777" w:rsidR="00692784" w:rsidRPr="00692784" w:rsidRDefault="00692784" w:rsidP="00692784">
            <w:pPr>
              <w:spacing w:after="0" w:line="240" w:lineRule="auto"/>
              <w:jc w:val="right"/>
              <w:rPr>
                <w:rFonts w:ascii="Calibri" w:eastAsia="Calibri" w:hAnsi="Calibri" w:cs="Calibri"/>
                <w:color w:val="000000"/>
                <w:sz w:val="19"/>
                <w:szCs w:val="19"/>
              </w:rPr>
            </w:pPr>
            <w:r w:rsidRPr="00692784">
              <w:rPr>
                <w:rFonts w:ascii="Calibri" w:eastAsia="Times New Roman" w:hAnsi="Calibri" w:cs="Times New Roman"/>
                <w:sz w:val="19"/>
                <w:szCs w:val="19"/>
                <w:lang w:val="en-US"/>
              </w:rPr>
              <w:t xml:space="preserve"> - </w:t>
            </w:r>
          </w:p>
        </w:tc>
        <w:tc>
          <w:tcPr>
            <w:tcW w:w="605" w:type="pct"/>
            <w:shd w:val="clear" w:color="auto" w:fill="auto"/>
          </w:tcPr>
          <w:p w14:paraId="49AE1446" w14:textId="77777777" w:rsidR="00692784" w:rsidRPr="00692784" w:rsidRDefault="00692784" w:rsidP="00692784">
            <w:pPr>
              <w:spacing w:after="0" w:line="240" w:lineRule="auto"/>
              <w:jc w:val="right"/>
              <w:rPr>
                <w:rFonts w:ascii="Calibri" w:eastAsia="Calibri" w:hAnsi="Calibri" w:cs="Calibri"/>
                <w:color w:val="000000"/>
                <w:sz w:val="19"/>
                <w:szCs w:val="19"/>
              </w:rPr>
            </w:pPr>
            <w:r w:rsidRPr="00692784">
              <w:rPr>
                <w:rFonts w:ascii="Calibri" w:eastAsia="Times New Roman" w:hAnsi="Calibri" w:cs="Times New Roman"/>
                <w:sz w:val="19"/>
                <w:szCs w:val="19"/>
                <w:lang w:val="en-US"/>
              </w:rPr>
              <w:t xml:space="preserve"> - </w:t>
            </w:r>
          </w:p>
        </w:tc>
        <w:tc>
          <w:tcPr>
            <w:tcW w:w="640" w:type="pct"/>
            <w:shd w:val="clear" w:color="auto" w:fill="auto"/>
          </w:tcPr>
          <w:p w14:paraId="364C8C82" w14:textId="77777777" w:rsidR="00692784" w:rsidRPr="00692784" w:rsidRDefault="00692784" w:rsidP="00692784">
            <w:pPr>
              <w:spacing w:after="0" w:line="240" w:lineRule="auto"/>
              <w:jc w:val="right"/>
              <w:rPr>
                <w:rFonts w:ascii="Calibri" w:eastAsia="Calibri" w:hAnsi="Calibri" w:cs="Calibri"/>
                <w:color w:val="000000"/>
                <w:sz w:val="19"/>
                <w:szCs w:val="19"/>
              </w:rPr>
            </w:pPr>
            <w:r w:rsidRPr="00692784">
              <w:rPr>
                <w:rFonts w:ascii="Calibri" w:eastAsia="Times New Roman" w:hAnsi="Calibri" w:cs="Times New Roman"/>
                <w:sz w:val="19"/>
                <w:szCs w:val="19"/>
                <w:lang w:val="en-US"/>
              </w:rPr>
              <w:t xml:space="preserve"> - </w:t>
            </w:r>
          </w:p>
        </w:tc>
      </w:tr>
      <w:tr w:rsidR="00692784" w:rsidRPr="00692784" w14:paraId="54536D0D" w14:textId="77777777" w:rsidTr="00E44437">
        <w:trPr>
          <w:trHeight w:hRule="exact" w:val="250"/>
        </w:trPr>
        <w:tc>
          <w:tcPr>
            <w:tcW w:w="1814" w:type="pct"/>
            <w:vAlign w:val="bottom"/>
          </w:tcPr>
          <w:p w14:paraId="5BE7EA96" w14:textId="77777777" w:rsidR="00692784" w:rsidRPr="00692784" w:rsidRDefault="00692784" w:rsidP="00692784">
            <w:pPr>
              <w:tabs>
                <w:tab w:val="right" w:pos="1202"/>
              </w:tabs>
              <w:spacing w:after="0" w:line="240" w:lineRule="auto"/>
              <w:outlineLvl w:val="0"/>
              <w:rPr>
                <w:rFonts w:ascii="Calibri" w:eastAsia="Calibri" w:hAnsi="Calibri" w:cs="Times New Roman"/>
                <w:sz w:val="19"/>
                <w:szCs w:val="19"/>
                <w:lang w:val="en-GB"/>
              </w:rPr>
            </w:pPr>
            <w:r w:rsidRPr="00692784">
              <w:rPr>
                <w:rFonts w:ascii="Calibri" w:eastAsia="Calibri" w:hAnsi="Calibri" w:cs="Times New Roman"/>
                <w:sz w:val="19"/>
                <w:szCs w:val="19"/>
                <w:lang w:val="en-GB"/>
              </w:rPr>
              <w:t>Transfer to Stage 3</w:t>
            </w:r>
          </w:p>
        </w:tc>
        <w:tc>
          <w:tcPr>
            <w:tcW w:w="649" w:type="pct"/>
            <w:shd w:val="clear" w:color="auto" w:fill="auto"/>
          </w:tcPr>
          <w:p w14:paraId="6B1F7400" w14:textId="77777777" w:rsidR="00692784" w:rsidRPr="00692784" w:rsidRDefault="00692784" w:rsidP="00692784">
            <w:pPr>
              <w:spacing w:after="0" w:line="240" w:lineRule="auto"/>
              <w:jc w:val="right"/>
              <w:rPr>
                <w:rFonts w:ascii="Calibri" w:eastAsia="Calibri" w:hAnsi="Calibri" w:cs="Calibri"/>
                <w:color w:val="000000"/>
                <w:sz w:val="19"/>
                <w:szCs w:val="19"/>
              </w:rPr>
            </w:pPr>
            <w:r w:rsidRPr="00692784">
              <w:rPr>
                <w:rFonts w:ascii="Calibri" w:eastAsia="Times New Roman" w:hAnsi="Calibri" w:cs="Times New Roman"/>
                <w:sz w:val="19"/>
                <w:szCs w:val="19"/>
                <w:lang w:val="en-US"/>
              </w:rPr>
              <w:t xml:space="preserve"> - </w:t>
            </w:r>
          </w:p>
        </w:tc>
        <w:tc>
          <w:tcPr>
            <w:tcW w:w="649" w:type="pct"/>
            <w:shd w:val="clear" w:color="auto" w:fill="auto"/>
          </w:tcPr>
          <w:p w14:paraId="30B21957" w14:textId="77777777" w:rsidR="00692784" w:rsidRPr="00692784" w:rsidRDefault="00692784" w:rsidP="00692784">
            <w:pPr>
              <w:spacing w:after="0" w:line="240" w:lineRule="auto"/>
              <w:jc w:val="right"/>
              <w:rPr>
                <w:rFonts w:ascii="Calibri" w:eastAsia="Calibri" w:hAnsi="Calibri" w:cs="Calibri"/>
                <w:color w:val="000000"/>
                <w:sz w:val="19"/>
                <w:szCs w:val="19"/>
              </w:rPr>
            </w:pPr>
            <w:r w:rsidRPr="00692784">
              <w:rPr>
                <w:rFonts w:ascii="Calibri" w:eastAsia="Times New Roman" w:hAnsi="Calibri" w:cs="Times New Roman"/>
                <w:sz w:val="19"/>
                <w:szCs w:val="19"/>
                <w:lang w:val="en-US"/>
              </w:rPr>
              <w:t xml:space="preserve"> (1)</w:t>
            </w:r>
          </w:p>
        </w:tc>
        <w:tc>
          <w:tcPr>
            <w:tcW w:w="643" w:type="pct"/>
            <w:shd w:val="clear" w:color="auto" w:fill="auto"/>
          </w:tcPr>
          <w:p w14:paraId="3B82E377" w14:textId="77777777" w:rsidR="00692784" w:rsidRPr="00692784" w:rsidRDefault="00692784" w:rsidP="00692784">
            <w:pPr>
              <w:spacing w:after="0" w:line="240" w:lineRule="auto"/>
              <w:jc w:val="right"/>
              <w:rPr>
                <w:rFonts w:ascii="Calibri" w:eastAsia="Calibri" w:hAnsi="Calibri" w:cs="Calibri"/>
                <w:color w:val="000000"/>
                <w:sz w:val="19"/>
                <w:szCs w:val="19"/>
              </w:rPr>
            </w:pPr>
            <w:r w:rsidRPr="00692784">
              <w:rPr>
                <w:rFonts w:ascii="Calibri" w:eastAsia="Times New Roman" w:hAnsi="Calibri" w:cs="Times New Roman"/>
                <w:sz w:val="19"/>
                <w:szCs w:val="19"/>
                <w:lang w:val="en-US"/>
              </w:rPr>
              <w:t xml:space="preserve"> 1 </w:t>
            </w:r>
          </w:p>
        </w:tc>
        <w:tc>
          <w:tcPr>
            <w:tcW w:w="605" w:type="pct"/>
            <w:shd w:val="clear" w:color="auto" w:fill="auto"/>
          </w:tcPr>
          <w:p w14:paraId="275D234D" w14:textId="77777777" w:rsidR="00692784" w:rsidRPr="00692784" w:rsidRDefault="00692784" w:rsidP="00692784">
            <w:pPr>
              <w:spacing w:after="0" w:line="240" w:lineRule="auto"/>
              <w:jc w:val="right"/>
              <w:rPr>
                <w:rFonts w:ascii="Calibri" w:eastAsia="Calibri" w:hAnsi="Calibri" w:cs="Calibri"/>
                <w:color w:val="000000"/>
                <w:sz w:val="19"/>
                <w:szCs w:val="19"/>
              </w:rPr>
            </w:pPr>
            <w:r w:rsidRPr="00692784">
              <w:rPr>
                <w:rFonts w:ascii="Calibri" w:eastAsia="Times New Roman" w:hAnsi="Calibri" w:cs="Times New Roman"/>
                <w:sz w:val="19"/>
                <w:szCs w:val="19"/>
                <w:lang w:val="en-US"/>
              </w:rPr>
              <w:t xml:space="preserve"> - </w:t>
            </w:r>
          </w:p>
        </w:tc>
        <w:tc>
          <w:tcPr>
            <w:tcW w:w="640" w:type="pct"/>
            <w:shd w:val="clear" w:color="auto" w:fill="auto"/>
          </w:tcPr>
          <w:p w14:paraId="3B1FF6FF" w14:textId="77777777" w:rsidR="00692784" w:rsidRPr="00692784" w:rsidRDefault="00692784" w:rsidP="00692784">
            <w:pPr>
              <w:spacing w:after="0" w:line="240" w:lineRule="auto"/>
              <w:jc w:val="right"/>
              <w:rPr>
                <w:rFonts w:ascii="Calibri" w:eastAsia="Calibri" w:hAnsi="Calibri" w:cs="Calibri"/>
                <w:color w:val="000000"/>
                <w:sz w:val="19"/>
                <w:szCs w:val="19"/>
              </w:rPr>
            </w:pPr>
            <w:r w:rsidRPr="00692784">
              <w:rPr>
                <w:rFonts w:ascii="Calibri" w:eastAsia="Times New Roman" w:hAnsi="Calibri" w:cs="Times New Roman"/>
                <w:sz w:val="19"/>
                <w:szCs w:val="19"/>
                <w:lang w:val="en-US"/>
              </w:rPr>
              <w:t xml:space="preserve"> - </w:t>
            </w:r>
          </w:p>
        </w:tc>
      </w:tr>
      <w:tr w:rsidR="00692784" w:rsidRPr="00692784" w14:paraId="38B60DE0" w14:textId="77777777" w:rsidTr="00E44437">
        <w:trPr>
          <w:trHeight w:hRule="exact" w:val="250"/>
        </w:trPr>
        <w:tc>
          <w:tcPr>
            <w:tcW w:w="1814" w:type="pct"/>
            <w:vAlign w:val="bottom"/>
          </w:tcPr>
          <w:p w14:paraId="1F8B7274" w14:textId="77777777" w:rsidR="00692784" w:rsidRPr="00692784" w:rsidRDefault="00692784" w:rsidP="00692784">
            <w:pPr>
              <w:tabs>
                <w:tab w:val="right" w:pos="1202"/>
              </w:tabs>
              <w:spacing w:after="0" w:line="240" w:lineRule="auto"/>
              <w:outlineLvl w:val="0"/>
              <w:rPr>
                <w:rFonts w:ascii="Calibri" w:eastAsia="Calibri" w:hAnsi="Calibri" w:cs="Times New Roman"/>
                <w:sz w:val="19"/>
                <w:szCs w:val="19"/>
                <w:lang w:val="en-GB"/>
              </w:rPr>
            </w:pPr>
            <w:r w:rsidRPr="00692784">
              <w:rPr>
                <w:rFonts w:ascii="Calibri" w:eastAsia="Calibri" w:hAnsi="Calibri" w:cs="Times New Roman"/>
                <w:sz w:val="19"/>
                <w:szCs w:val="19"/>
                <w:lang w:val="en-GB"/>
              </w:rPr>
              <w:t>Net (release)/increase of loss allowance</w:t>
            </w:r>
          </w:p>
        </w:tc>
        <w:tc>
          <w:tcPr>
            <w:tcW w:w="649" w:type="pct"/>
            <w:shd w:val="clear" w:color="auto" w:fill="auto"/>
          </w:tcPr>
          <w:p w14:paraId="43B280BE" w14:textId="77777777" w:rsidR="00692784" w:rsidRPr="00692784" w:rsidRDefault="00692784" w:rsidP="00692784">
            <w:pPr>
              <w:spacing w:after="0" w:line="240" w:lineRule="auto"/>
              <w:jc w:val="right"/>
              <w:rPr>
                <w:rFonts w:ascii="Calibri" w:eastAsia="Calibri" w:hAnsi="Calibri" w:cs="Calibri"/>
                <w:color w:val="000000"/>
                <w:sz w:val="19"/>
                <w:szCs w:val="19"/>
              </w:rPr>
            </w:pPr>
            <w:r w:rsidRPr="00692784">
              <w:rPr>
                <w:rFonts w:ascii="Calibri" w:eastAsia="Times New Roman" w:hAnsi="Calibri" w:cs="Calibri"/>
                <w:sz w:val="19"/>
                <w:szCs w:val="19"/>
                <w:lang w:val="en-US"/>
              </w:rPr>
              <w:t xml:space="preserve"> (3)</w:t>
            </w:r>
          </w:p>
        </w:tc>
        <w:tc>
          <w:tcPr>
            <w:tcW w:w="649" w:type="pct"/>
            <w:shd w:val="clear" w:color="auto" w:fill="auto"/>
          </w:tcPr>
          <w:p w14:paraId="3201C022" w14:textId="77777777" w:rsidR="00692784" w:rsidRPr="00692784" w:rsidDel="00103E88" w:rsidRDefault="00692784" w:rsidP="00692784">
            <w:pPr>
              <w:spacing w:after="0" w:line="240" w:lineRule="auto"/>
              <w:jc w:val="right"/>
              <w:rPr>
                <w:rFonts w:ascii="Calibri" w:eastAsia="Calibri" w:hAnsi="Calibri" w:cs="Calibri"/>
                <w:color w:val="000000"/>
                <w:sz w:val="19"/>
                <w:szCs w:val="19"/>
              </w:rPr>
            </w:pPr>
            <w:r w:rsidRPr="00692784">
              <w:rPr>
                <w:rFonts w:ascii="Calibri" w:eastAsia="Times New Roman" w:hAnsi="Calibri" w:cs="Calibri"/>
                <w:sz w:val="19"/>
                <w:szCs w:val="19"/>
                <w:lang w:val="en-US"/>
              </w:rPr>
              <w:t xml:space="preserve"> 2 </w:t>
            </w:r>
          </w:p>
        </w:tc>
        <w:tc>
          <w:tcPr>
            <w:tcW w:w="643" w:type="pct"/>
            <w:shd w:val="clear" w:color="auto" w:fill="auto"/>
          </w:tcPr>
          <w:p w14:paraId="08349A4B" w14:textId="77777777" w:rsidR="00692784" w:rsidRPr="00692784" w:rsidRDefault="00692784" w:rsidP="00692784">
            <w:pPr>
              <w:spacing w:after="0" w:line="240" w:lineRule="auto"/>
              <w:jc w:val="right"/>
              <w:rPr>
                <w:rFonts w:ascii="Calibri" w:eastAsia="Calibri" w:hAnsi="Calibri" w:cs="Calibri"/>
                <w:color w:val="000000"/>
                <w:sz w:val="19"/>
                <w:szCs w:val="19"/>
              </w:rPr>
            </w:pPr>
            <w:r w:rsidRPr="00692784">
              <w:rPr>
                <w:rFonts w:ascii="Calibri" w:eastAsia="Times New Roman" w:hAnsi="Calibri" w:cs="Calibri"/>
                <w:sz w:val="19"/>
                <w:szCs w:val="19"/>
                <w:lang w:val="en-US"/>
              </w:rPr>
              <w:t xml:space="preserve"> (2,786)</w:t>
            </w:r>
          </w:p>
        </w:tc>
        <w:tc>
          <w:tcPr>
            <w:tcW w:w="605" w:type="pct"/>
            <w:shd w:val="clear" w:color="auto" w:fill="auto"/>
          </w:tcPr>
          <w:p w14:paraId="650FDCBA" w14:textId="77777777" w:rsidR="00692784" w:rsidRPr="00692784" w:rsidDel="00862226" w:rsidRDefault="00692784" w:rsidP="00692784">
            <w:pPr>
              <w:spacing w:after="0" w:line="240" w:lineRule="auto"/>
              <w:jc w:val="right"/>
              <w:rPr>
                <w:rFonts w:ascii="Calibri" w:eastAsia="Calibri" w:hAnsi="Calibri" w:cs="Calibri"/>
                <w:color w:val="000000"/>
                <w:sz w:val="19"/>
                <w:szCs w:val="19"/>
              </w:rPr>
            </w:pPr>
            <w:r w:rsidRPr="00692784">
              <w:rPr>
                <w:rFonts w:ascii="Calibri" w:eastAsia="Times New Roman" w:hAnsi="Calibri" w:cs="Calibri"/>
                <w:sz w:val="19"/>
                <w:szCs w:val="19"/>
                <w:lang w:val="en-US"/>
              </w:rPr>
              <w:t xml:space="preserve"> 245 </w:t>
            </w:r>
          </w:p>
        </w:tc>
        <w:tc>
          <w:tcPr>
            <w:tcW w:w="640" w:type="pct"/>
            <w:shd w:val="clear" w:color="auto" w:fill="auto"/>
          </w:tcPr>
          <w:p w14:paraId="2C93AF3A" w14:textId="77777777" w:rsidR="00692784" w:rsidRPr="00692784" w:rsidRDefault="00692784" w:rsidP="00692784">
            <w:pPr>
              <w:spacing w:after="0" w:line="240" w:lineRule="auto"/>
              <w:jc w:val="right"/>
              <w:rPr>
                <w:rFonts w:ascii="Calibri" w:eastAsia="Calibri" w:hAnsi="Calibri" w:cs="Calibri"/>
                <w:color w:val="000000"/>
                <w:sz w:val="19"/>
                <w:szCs w:val="19"/>
              </w:rPr>
            </w:pPr>
            <w:r w:rsidRPr="00692784">
              <w:rPr>
                <w:rFonts w:ascii="Calibri" w:eastAsia="Times New Roman" w:hAnsi="Calibri" w:cs="Times New Roman"/>
                <w:sz w:val="19"/>
                <w:szCs w:val="19"/>
                <w:lang w:val="en-US"/>
              </w:rPr>
              <w:t xml:space="preserve"> (2,542)</w:t>
            </w:r>
          </w:p>
        </w:tc>
      </w:tr>
      <w:tr w:rsidR="00692784" w:rsidRPr="00692784" w14:paraId="41199B61" w14:textId="77777777" w:rsidTr="00E44437">
        <w:trPr>
          <w:trHeight w:hRule="exact" w:val="250"/>
        </w:trPr>
        <w:tc>
          <w:tcPr>
            <w:tcW w:w="1814" w:type="pct"/>
            <w:vAlign w:val="center"/>
          </w:tcPr>
          <w:p w14:paraId="3B3F20FE" w14:textId="77777777" w:rsidR="00692784" w:rsidRPr="00692784" w:rsidRDefault="00692784" w:rsidP="00692784">
            <w:pPr>
              <w:tabs>
                <w:tab w:val="right" w:pos="1202"/>
              </w:tabs>
              <w:spacing w:after="0" w:line="240" w:lineRule="auto"/>
              <w:outlineLvl w:val="0"/>
              <w:rPr>
                <w:rFonts w:ascii="Calibri" w:eastAsia="Calibri" w:hAnsi="Calibri" w:cs="Times New Roman"/>
                <w:sz w:val="19"/>
                <w:szCs w:val="19"/>
                <w:lang w:val="en-GB"/>
              </w:rPr>
            </w:pPr>
            <w:r w:rsidRPr="00692784">
              <w:rPr>
                <w:rFonts w:ascii="Calibri" w:eastAsia="Calibri" w:hAnsi="Calibri" w:cs="Times New Roman"/>
                <w:sz w:val="19"/>
                <w:szCs w:val="19"/>
                <w:lang w:val="en-GB"/>
              </w:rPr>
              <w:t>Write-offs</w:t>
            </w:r>
          </w:p>
        </w:tc>
        <w:tc>
          <w:tcPr>
            <w:tcW w:w="649" w:type="pct"/>
            <w:shd w:val="clear" w:color="auto" w:fill="auto"/>
          </w:tcPr>
          <w:p w14:paraId="7FE18936" w14:textId="77777777" w:rsidR="00692784" w:rsidRPr="00692784" w:rsidRDefault="00692784" w:rsidP="00692784">
            <w:pPr>
              <w:spacing w:after="0" w:line="240" w:lineRule="auto"/>
              <w:jc w:val="right"/>
              <w:rPr>
                <w:rFonts w:ascii="Calibri" w:eastAsia="Calibri" w:hAnsi="Calibri" w:cs="Calibri"/>
                <w:color w:val="000000"/>
                <w:sz w:val="19"/>
                <w:szCs w:val="19"/>
              </w:rPr>
            </w:pPr>
            <w:r w:rsidRPr="00692784">
              <w:rPr>
                <w:rFonts w:ascii="Calibri" w:eastAsia="Times New Roman" w:hAnsi="Calibri" w:cs="Calibri"/>
                <w:sz w:val="19"/>
                <w:szCs w:val="19"/>
                <w:lang w:val="en-US"/>
              </w:rPr>
              <w:t>(12)</w:t>
            </w:r>
          </w:p>
        </w:tc>
        <w:tc>
          <w:tcPr>
            <w:tcW w:w="649" w:type="pct"/>
            <w:shd w:val="clear" w:color="auto" w:fill="auto"/>
          </w:tcPr>
          <w:p w14:paraId="0A59CDC3" w14:textId="77777777" w:rsidR="00692784" w:rsidRPr="00692784" w:rsidRDefault="00692784" w:rsidP="00692784">
            <w:pPr>
              <w:spacing w:after="0" w:line="240" w:lineRule="auto"/>
              <w:jc w:val="right"/>
              <w:rPr>
                <w:rFonts w:ascii="Calibri" w:eastAsia="Calibri" w:hAnsi="Calibri" w:cs="Calibri"/>
                <w:color w:val="000000"/>
                <w:sz w:val="19"/>
                <w:szCs w:val="19"/>
              </w:rPr>
            </w:pPr>
            <w:r w:rsidRPr="00692784">
              <w:rPr>
                <w:rFonts w:ascii="Calibri" w:eastAsia="Times New Roman" w:hAnsi="Calibri" w:cs="Calibri"/>
                <w:sz w:val="19"/>
                <w:szCs w:val="19"/>
                <w:lang w:val="en-US"/>
              </w:rPr>
              <w:t xml:space="preserve"> - </w:t>
            </w:r>
          </w:p>
        </w:tc>
        <w:tc>
          <w:tcPr>
            <w:tcW w:w="643" w:type="pct"/>
            <w:shd w:val="clear" w:color="auto" w:fill="auto"/>
          </w:tcPr>
          <w:p w14:paraId="3237701B" w14:textId="77777777" w:rsidR="00692784" w:rsidRPr="00692784" w:rsidRDefault="00692784" w:rsidP="00692784">
            <w:pPr>
              <w:spacing w:after="0" w:line="240" w:lineRule="auto"/>
              <w:jc w:val="right"/>
              <w:rPr>
                <w:rFonts w:ascii="Calibri" w:eastAsia="Calibri" w:hAnsi="Calibri" w:cs="Calibri"/>
                <w:color w:val="000000"/>
                <w:sz w:val="19"/>
                <w:szCs w:val="19"/>
              </w:rPr>
            </w:pPr>
            <w:r w:rsidRPr="00692784">
              <w:rPr>
                <w:rFonts w:ascii="Calibri" w:eastAsia="Times New Roman" w:hAnsi="Calibri" w:cs="Calibri"/>
                <w:sz w:val="19"/>
                <w:szCs w:val="19"/>
                <w:lang w:val="en-US"/>
              </w:rPr>
              <w:t xml:space="preserve"> (151)</w:t>
            </w:r>
          </w:p>
        </w:tc>
        <w:tc>
          <w:tcPr>
            <w:tcW w:w="605" w:type="pct"/>
            <w:shd w:val="clear" w:color="auto" w:fill="auto"/>
          </w:tcPr>
          <w:p w14:paraId="13D4937A" w14:textId="77777777" w:rsidR="00692784" w:rsidRPr="00692784" w:rsidRDefault="00692784" w:rsidP="00692784">
            <w:pPr>
              <w:spacing w:after="0" w:line="240" w:lineRule="auto"/>
              <w:jc w:val="right"/>
              <w:rPr>
                <w:rFonts w:ascii="Calibri" w:eastAsia="Calibri" w:hAnsi="Calibri" w:cs="Calibri"/>
                <w:color w:val="000000"/>
                <w:sz w:val="19"/>
                <w:szCs w:val="19"/>
              </w:rPr>
            </w:pPr>
            <w:r w:rsidRPr="00692784">
              <w:rPr>
                <w:rFonts w:ascii="Calibri" w:eastAsia="Times New Roman" w:hAnsi="Calibri" w:cs="Calibri"/>
                <w:sz w:val="19"/>
                <w:szCs w:val="19"/>
                <w:lang w:val="en-US"/>
              </w:rPr>
              <w:t xml:space="preserve"> - </w:t>
            </w:r>
          </w:p>
        </w:tc>
        <w:tc>
          <w:tcPr>
            <w:tcW w:w="640" w:type="pct"/>
            <w:shd w:val="clear" w:color="auto" w:fill="auto"/>
          </w:tcPr>
          <w:p w14:paraId="5D2A76BA" w14:textId="77777777" w:rsidR="00692784" w:rsidRPr="00692784" w:rsidRDefault="00692784" w:rsidP="00692784">
            <w:pPr>
              <w:spacing w:after="0" w:line="240" w:lineRule="auto"/>
              <w:jc w:val="right"/>
              <w:rPr>
                <w:rFonts w:ascii="Calibri" w:eastAsia="Calibri" w:hAnsi="Calibri" w:cs="Calibri"/>
                <w:color w:val="000000"/>
                <w:sz w:val="19"/>
                <w:szCs w:val="19"/>
              </w:rPr>
            </w:pPr>
            <w:r w:rsidRPr="00692784">
              <w:rPr>
                <w:rFonts w:ascii="Calibri" w:eastAsia="Times New Roman" w:hAnsi="Calibri" w:cs="Times New Roman"/>
                <w:sz w:val="19"/>
                <w:szCs w:val="19"/>
                <w:lang w:val="en-US"/>
              </w:rPr>
              <w:t xml:space="preserve"> (163)</w:t>
            </w:r>
          </w:p>
        </w:tc>
      </w:tr>
      <w:tr w:rsidR="00692784" w:rsidRPr="00692784" w14:paraId="28AC940F" w14:textId="77777777" w:rsidTr="00E44437">
        <w:trPr>
          <w:trHeight w:val="294"/>
        </w:trPr>
        <w:tc>
          <w:tcPr>
            <w:tcW w:w="1814" w:type="pct"/>
            <w:vAlign w:val="bottom"/>
          </w:tcPr>
          <w:p w14:paraId="0E6AC1F7" w14:textId="77777777" w:rsidR="00692784" w:rsidRPr="00692784" w:rsidRDefault="00692784" w:rsidP="00692784">
            <w:pPr>
              <w:tabs>
                <w:tab w:val="right" w:pos="1202"/>
              </w:tabs>
              <w:spacing w:after="0" w:line="240" w:lineRule="auto"/>
              <w:outlineLvl w:val="0"/>
              <w:rPr>
                <w:rFonts w:ascii="Calibri" w:eastAsia="Calibri" w:hAnsi="Calibri" w:cs="Times New Roman"/>
                <w:sz w:val="19"/>
                <w:szCs w:val="19"/>
                <w:lang w:val="en-GB"/>
              </w:rPr>
            </w:pPr>
            <w:r w:rsidRPr="00692784">
              <w:rPr>
                <w:rFonts w:ascii="Calibri" w:eastAsia="Calibri" w:hAnsi="Calibri" w:cs="Times New Roman"/>
                <w:sz w:val="19"/>
                <w:szCs w:val="19"/>
                <w:lang w:val="en-GB"/>
              </w:rPr>
              <w:t>Net foreign exchange gain/loss on loss allowances</w:t>
            </w:r>
          </w:p>
        </w:tc>
        <w:tc>
          <w:tcPr>
            <w:tcW w:w="649" w:type="pct"/>
            <w:tcBorders>
              <w:top w:val="nil"/>
              <w:left w:val="nil"/>
              <w:right w:val="nil"/>
            </w:tcBorders>
            <w:shd w:val="clear" w:color="auto" w:fill="auto"/>
            <w:vAlign w:val="bottom"/>
          </w:tcPr>
          <w:p w14:paraId="309FDF86" w14:textId="77777777" w:rsidR="00692784" w:rsidRPr="00692784" w:rsidRDefault="00692784" w:rsidP="00692784">
            <w:pPr>
              <w:spacing w:after="0" w:line="240" w:lineRule="auto"/>
              <w:jc w:val="right"/>
              <w:rPr>
                <w:rFonts w:ascii="Calibri" w:eastAsia="Calibri" w:hAnsi="Calibri" w:cs="Calibri"/>
                <w:color w:val="000000"/>
                <w:sz w:val="19"/>
                <w:szCs w:val="19"/>
              </w:rPr>
            </w:pPr>
            <w:r w:rsidRPr="00692784">
              <w:rPr>
                <w:rFonts w:ascii="Calibri" w:eastAsia="Times New Roman" w:hAnsi="Calibri" w:cs="Times New Roman"/>
                <w:sz w:val="19"/>
                <w:szCs w:val="19"/>
                <w:lang w:val="en-US"/>
              </w:rPr>
              <w:t xml:space="preserve"> - </w:t>
            </w:r>
          </w:p>
        </w:tc>
        <w:tc>
          <w:tcPr>
            <w:tcW w:w="649" w:type="pct"/>
            <w:tcBorders>
              <w:top w:val="nil"/>
              <w:left w:val="nil"/>
              <w:right w:val="nil"/>
            </w:tcBorders>
            <w:shd w:val="clear" w:color="auto" w:fill="auto"/>
            <w:vAlign w:val="bottom"/>
          </w:tcPr>
          <w:p w14:paraId="004ED367" w14:textId="77777777" w:rsidR="00692784" w:rsidRPr="00692784" w:rsidRDefault="00692784" w:rsidP="00692784">
            <w:pPr>
              <w:spacing w:after="0" w:line="240" w:lineRule="auto"/>
              <w:jc w:val="right"/>
              <w:rPr>
                <w:rFonts w:ascii="Calibri" w:eastAsia="Calibri" w:hAnsi="Calibri" w:cs="Calibri"/>
                <w:color w:val="000000"/>
                <w:sz w:val="19"/>
                <w:szCs w:val="19"/>
              </w:rPr>
            </w:pPr>
            <w:r w:rsidRPr="00692784">
              <w:rPr>
                <w:rFonts w:ascii="Calibri" w:eastAsia="Times New Roman" w:hAnsi="Calibri" w:cs="Times New Roman"/>
                <w:sz w:val="19"/>
                <w:szCs w:val="19"/>
                <w:lang w:val="en-US"/>
              </w:rPr>
              <w:t xml:space="preserve"> - </w:t>
            </w:r>
          </w:p>
        </w:tc>
        <w:tc>
          <w:tcPr>
            <w:tcW w:w="643" w:type="pct"/>
            <w:tcBorders>
              <w:top w:val="nil"/>
              <w:left w:val="nil"/>
              <w:right w:val="nil"/>
            </w:tcBorders>
            <w:shd w:val="clear" w:color="auto" w:fill="auto"/>
            <w:vAlign w:val="bottom"/>
          </w:tcPr>
          <w:p w14:paraId="6B10C0FA" w14:textId="77777777" w:rsidR="00692784" w:rsidRPr="00692784" w:rsidRDefault="00692784" w:rsidP="00692784">
            <w:pPr>
              <w:spacing w:after="0" w:line="240" w:lineRule="auto"/>
              <w:jc w:val="right"/>
              <w:rPr>
                <w:rFonts w:ascii="Calibri" w:eastAsia="Calibri" w:hAnsi="Calibri" w:cs="Calibri"/>
                <w:color w:val="000000"/>
                <w:sz w:val="19"/>
                <w:szCs w:val="19"/>
              </w:rPr>
            </w:pPr>
            <w:r w:rsidRPr="00692784">
              <w:rPr>
                <w:rFonts w:ascii="Calibri" w:eastAsia="Times New Roman" w:hAnsi="Calibri" w:cs="Times New Roman"/>
                <w:sz w:val="19"/>
                <w:szCs w:val="19"/>
                <w:lang w:val="en-US"/>
              </w:rPr>
              <w:t xml:space="preserve"> 3 </w:t>
            </w:r>
          </w:p>
        </w:tc>
        <w:tc>
          <w:tcPr>
            <w:tcW w:w="605" w:type="pct"/>
            <w:tcBorders>
              <w:top w:val="nil"/>
              <w:left w:val="nil"/>
              <w:right w:val="nil"/>
            </w:tcBorders>
            <w:shd w:val="clear" w:color="auto" w:fill="auto"/>
            <w:vAlign w:val="bottom"/>
          </w:tcPr>
          <w:p w14:paraId="7CC81740" w14:textId="77777777" w:rsidR="00692784" w:rsidRPr="00692784" w:rsidRDefault="00692784" w:rsidP="00692784">
            <w:pPr>
              <w:spacing w:after="0" w:line="240" w:lineRule="auto"/>
              <w:jc w:val="right"/>
              <w:rPr>
                <w:rFonts w:ascii="Calibri" w:eastAsia="Calibri" w:hAnsi="Calibri" w:cs="Calibri"/>
                <w:color w:val="000000"/>
                <w:sz w:val="19"/>
                <w:szCs w:val="19"/>
              </w:rPr>
            </w:pPr>
            <w:r w:rsidRPr="00692784">
              <w:rPr>
                <w:rFonts w:ascii="Calibri" w:eastAsia="Times New Roman" w:hAnsi="Calibri" w:cs="Times New Roman"/>
                <w:sz w:val="19"/>
                <w:szCs w:val="19"/>
                <w:lang w:val="en-US"/>
              </w:rPr>
              <w:t xml:space="preserve"> - </w:t>
            </w:r>
          </w:p>
        </w:tc>
        <w:tc>
          <w:tcPr>
            <w:tcW w:w="640" w:type="pct"/>
            <w:tcBorders>
              <w:top w:val="nil"/>
              <w:left w:val="nil"/>
              <w:right w:val="nil"/>
            </w:tcBorders>
            <w:shd w:val="clear" w:color="auto" w:fill="auto"/>
            <w:vAlign w:val="bottom"/>
          </w:tcPr>
          <w:p w14:paraId="2330F826" w14:textId="77777777" w:rsidR="00692784" w:rsidRPr="00692784" w:rsidRDefault="00692784" w:rsidP="00692784">
            <w:pPr>
              <w:spacing w:after="0" w:line="240" w:lineRule="auto"/>
              <w:jc w:val="right"/>
              <w:rPr>
                <w:rFonts w:ascii="Calibri" w:eastAsia="Calibri" w:hAnsi="Calibri" w:cs="Calibri"/>
                <w:color w:val="000000"/>
                <w:sz w:val="19"/>
                <w:szCs w:val="19"/>
              </w:rPr>
            </w:pPr>
            <w:r w:rsidRPr="00692784">
              <w:rPr>
                <w:rFonts w:ascii="Calibri" w:eastAsia="Times New Roman" w:hAnsi="Calibri" w:cs="Times New Roman"/>
                <w:sz w:val="19"/>
                <w:szCs w:val="19"/>
                <w:lang w:val="en-US"/>
              </w:rPr>
              <w:t xml:space="preserve"> 3 </w:t>
            </w:r>
          </w:p>
        </w:tc>
      </w:tr>
      <w:tr w:rsidR="00692784" w:rsidRPr="00692784" w14:paraId="31909666" w14:textId="77777777" w:rsidTr="00620EB3">
        <w:trPr>
          <w:trHeight w:val="133"/>
        </w:trPr>
        <w:tc>
          <w:tcPr>
            <w:tcW w:w="1814" w:type="pct"/>
            <w:vAlign w:val="bottom"/>
          </w:tcPr>
          <w:p w14:paraId="7FB8DD82" w14:textId="77777777" w:rsidR="00692784" w:rsidRPr="00692784" w:rsidRDefault="00692784" w:rsidP="00692784">
            <w:pPr>
              <w:tabs>
                <w:tab w:val="right" w:pos="1202"/>
              </w:tabs>
              <w:spacing w:after="0" w:line="240" w:lineRule="auto"/>
              <w:outlineLvl w:val="0"/>
              <w:rPr>
                <w:rFonts w:ascii="Calibri" w:eastAsia="Calibri" w:hAnsi="Calibri" w:cs="Times New Roman"/>
                <w:sz w:val="19"/>
                <w:szCs w:val="19"/>
                <w:lang w:val="en-GB"/>
              </w:rPr>
            </w:pPr>
            <w:r w:rsidRPr="00692784">
              <w:rPr>
                <w:rFonts w:ascii="Calibri" w:eastAsia="Calibri" w:hAnsi="Calibri" w:cs="Times New Roman"/>
                <w:sz w:val="19"/>
                <w:szCs w:val="19"/>
                <w:lang w:val="en-GB"/>
              </w:rPr>
              <w:t>Other adjustments</w:t>
            </w:r>
          </w:p>
        </w:tc>
        <w:tc>
          <w:tcPr>
            <w:tcW w:w="649" w:type="pct"/>
            <w:tcBorders>
              <w:top w:val="nil"/>
              <w:left w:val="nil"/>
              <w:bottom w:val="single" w:sz="8" w:space="0" w:color="auto"/>
              <w:right w:val="nil"/>
            </w:tcBorders>
            <w:shd w:val="clear" w:color="auto" w:fill="auto"/>
          </w:tcPr>
          <w:p w14:paraId="7216D12A" w14:textId="77777777" w:rsidR="00692784" w:rsidRPr="00692784" w:rsidRDefault="00692784" w:rsidP="00692784">
            <w:pPr>
              <w:spacing w:after="0" w:line="240" w:lineRule="auto"/>
              <w:jc w:val="right"/>
              <w:rPr>
                <w:rFonts w:ascii="Calibri" w:eastAsia="Calibri" w:hAnsi="Calibri" w:cs="Calibri"/>
                <w:color w:val="000000"/>
                <w:sz w:val="19"/>
                <w:szCs w:val="19"/>
              </w:rPr>
            </w:pPr>
            <w:r w:rsidRPr="00692784">
              <w:rPr>
                <w:rFonts w:ascii="Calibri" w:eastAsia="Times New Roman" w:hAnsi="Calibri" w:cs="Times New Roman"/>
                <w:sz w:val="19"/>
                <w:szCs w:val="19"/>
                <w:lang w:val="en-US"/>
              </w:rPr>
              <w:t xml:space="preserve"> 17 </w:t>
            </w:r>
          </w:p>
        </w:tc>
        <w:tc>
          <w:tcPr>
            <w:tcW w:w="649" w:type="pct"/>
            <w:tcBorders>
              <w:top w:val="nil"/>
              <w:left w:val="nil"/>
              <w:bottom w:val="single" w:sz="8" w:space="0" w:color="auto"/>
              <w:right w:val="nil"/>
            </w:tcBorders>
            <w:shd w:val="clear" w:color="auto" w:fill="auto"/>
          </w:tcPr>
          <w:p w14:paraId="70632BB8" w14:textId="77777777" w:rsidR="00692784" w:rsidRPr="00692784" w:rsidRDefault="00692784" w:rsidP="00692784">
            <w:pPr>
              <w:spacing w:after="0" w:line="240" w:lineRule="auto"/>
              <w:jc w:val="right"/>
              <w:rPr>
                <w:rFonts w:ascii="Calibri" w:eastAsia="Calibri" w:hAnsi="Calibri" w:cs="Calibri"/>
                <w:color w:val="000000"/>
                <w:sz w:val="19"/>
                <w:szCs w:val="19"/>
              </w:rPr>
            </w:pPr>
            <w:r w:rsidRPr="00692784">
              <w:rPr>
                <w:rFonts w:ascii="Calibri" w:eastAsia="Times New Roman" w:hAnsi="Calibri" w:cs="Times New Roman"/>
                <w:sz w:val="19"/>
                <w:szCs w:val="19"/>
                <w:lang w:val="en-US"/>
              </w:rPr>
              <w:t xml:space="preserve"> - </w:t>
            </w:r>
          </w:p>
        </w:tc>
        <w:tc>
          <w:tcPr>
            <w:tcW w:w="643" w:type="pct"/>
            <w:tcBorders>
              <w:top w:val="nil"/>
              <w:left w:val="nil"/>
              <w:bottom w:val="single" w:sz="8" w:space="0" w:color="auto"/>
              <w:right w:val="nil"/>
            </w:tcBorders>
            <w:shd w:val="clear" w:color="auto" w:fill="auto"/>
          </w:tcPr>
          <w:p w14:paraId="27912E9A" w14:textId="77777777" w:rsidR="00692784" w:rsidRPr="00692784" w:rsidRDefault="00692784" w:rsidP="00692784">
            <w:pPr>
              <w:spacing w:after="0" w:line="240" w:lineRule="auto"/>
              <w:jc w:val="right"/>
              <w:rPr>
                <w:rFonts w:ascii="Calibri" w:eastAsia="Calibri" w:hAnsi="Calibri" w:cs="Calibri"/>
                <w:color w:val="000000"/>
                <w:sz w:val="19"/>
                <w:szCs w:val="19"/>
              </w:rPr>
            </w:pPr>
            <w:r w:rsidRPr="00692784">
              <w:rPr>
                <w:rFonts w:ascii="Calibri" w:eastAsia="Times New Roman" w:hAnsi="Calibri" w:cs="Times New Roman"/>
                <w:sz w:val="19"/>
                <w:szCs w:val="19"/>
                <w:lang w:val="en-US"/>
              </w:rPr>
              <w:t xml:space="preserve"> - </w:t>
            </w:r>
          </w:p>
        </w:tc>
        <w:tc>
          <w:tcPr>
            <w:tcW w:w="605" w:type="pct"/>
            <w:tcBorders>
              <w:top w:val="nil"/>
              <w:left w:val="nil"/>
              <w:bottom w:val="single" w:sz="8" w:space="0" w:color="auto"/>
              <w:right w:val="nil"/>
            </w:tcBorders>
            <w:shd w:val="clear" w:color="auto" w:fill="auto"/>
          </w:tcPr>
          <w:p w14:paraId="07B58E0F" w14:textId="77777777" w:rsidR="00692784" w:rsidRPr="00692784" w:rsidRDefault="00692784" w:rsidP="00692784">
            <w:pPr>
              <w:spacing w:after="0" w:line="240" w:lineRule="auto"/>
              <w:jc w:val="right"/>
              <w:rPr>
                <w:rFonts w:ascii="Calibri" w:eastAsia="Calibri" w:hAnsi="Calibri" w:cs="Calibri"/>
                <w:color w:val="000000"/>
                <w:sz w:val="19"/>
                <w:szCs w:val="19"/>
              </w:rPr>
            </w:pPr>
            <w:r w:rsidRPr="00692784">
              <w:rPr>
                <w:rFonts w:ascii="Calibri" w:eastAsia="Times New Roman" w:hAnsi="Calibri" w:cs="Times New Roman"/>
                <w:sz w:val="19"/>
                <w:szCs w:val="19"/>
                <w:lang w:val="en-US"/>
              </w:rPr>
              <w:t xml:space="preserve"> - </w:t>
            </w:r>
          </w:p>
        </w:tc>
        <w:tc>
          <w:tcPr>
            <w:tcW w:w="640" w:type="pct"/>
            <w:tcBorders>
              <w:top w:val="nil"/>
              <w:left w:val="nil"/>
              <w:bottom w:val="single" w:sz="8" w:space="0" w:color="auto"/>
              <w:right w:val="nil"/>
            </w:tcBorders>
            <w:shd w:val="clear" w:color="auto" w:fill="auto"/>
          </w:tcPr>
          <w:p w14:paraId="5B178D32" w14:textId="77777777" w:rsidR="00692784" w:rsidRPr="00692784" w:rsidRDefault="00692784" w:rsidP="00692784">
            <w:pPr>
              <w:spacing w:after="0" w:line="240" w:lineRule="auto"/>
              <w:jc w:val="right"/>
              <w:rPr>
                <w:rFonts w:ascii="Calibri" w:eastAsia="Calibri" w:hAnsi="Calibri" w:cs="Calibri"/>
                <w:color w:val="000000"/>
                <w:sz w:val="19"/>
                <w:szCs w:val="19"/>
              </w:rPr>
            </w:pPr>
            <w:r w:rsidRPr="00692784">
              <w:rPr>
                <w:rFonts w:ascii="Calibri" w:eastAsia="Times New Roman" w:hAnsi="Calibri" w:cs="Times New Roman"/>
                <w:sz w:val="19"/>
                <w:szCs w:val="19"/>
                <w:lang w:val="en-US"/>
              </w:rPr>
              <w:t xml:space="preserve"> 17 </w:t>
            </w:r>
          </w:p>
        </w:tc>
      </w:tr>
      <w:tr w:rsidR="00692784" w:rsidRPr="00692784" w14:paraId="4D7403F3" w14:textId="77777777" w:rsidTr="00620EB3">
        <w:trPr>
          <w:trHeight w:val="117"/>
        </w:trPr>
        <w:tc>
          <w:tcPr>
            <w:tcW w:w="1814" w:type="pct"/>
            <w:vAlign w:val="bottom"/>
          </w:tcPr>
          <w:p w14:paraId="12E69BBA" w14:textId="77777777" w:rsidR="00692784" w:rsidRPr="00692784" w:rsidRDefault="00692784" w:rsidP="00692784">
            <w:pPr>
              <w:tabs>
                <w:tab w:val="right" w:pos="1202"/>
              </w:tabs>
              <w:spacing w:after="0" w:line="301" w:lineRule="exact"/>
              <w:outlineLvl w:val="0"/>
              <w:rPr>
                <w:rFonts w:ascii="Calibri" w:eastAsia="Calibri" w:hAnsi="Calibri" w:cs="Arial"/>
                <w:b/>
                <w:bCs/>
                <w:sz w:val="19"/>
                <w:szCs w:val="19"/>
                <w:lang w:val="en-GB"/>
              </w:rPr>
            </w:pPr>
            <w:r w:rsidRPr="00692784">
              <w:rPr>
                <w:rFonts w:ascii="Calibri" w:eastAsia="Calibri" w:hAnsi="Calibri" w:cs="Arial"/>
                <w:b/>
                <w:bCs/>
                <w:sz w:val="19"/>
                <w:szCs w:val="19"/>
                <w:lang w:val="en-GB"/>
              </w:rPr>
              <w:t xml:space="preserve">Balance at 31 </w:t>
            </w:r>
            <w:proofErr w:type="gramStart"/>
            <w:r w:rsidRPr="00692784">
              <w:rPr>
                <w:rFonts w:ascii="Calibri" w:eastAsia="Calibri" w:hAnsi="Calibri" w:cs="Arial"/>
                <w:b/>
                <w:bCs/>
                <w:sz w:val="19"/>
                <w:szCs w:val="19"/>
                <w:lang w:val="en-GB"/>
              </w:rPr>
              <w:t>December  2021</w:t>
            </w:r>
            <w:proofErr w:type="gramEnd"/>
          </w:p>
        </w:tc>
        <w:tc>
          <w:tcPr>
            <w:tcW w:w="649" w:type="pct"/>
            <w:tcBorders>
              <w:top w:val="single" w:sz="8" w:space="0" w:color="auto"/>
              <w:left w:val="nil"/>
              <w:bottom w:val="single" w:sz="12" w:space="0" w:color="auto"/>
              <w:right w:val="nil"/>
            </w:tcBorders>
            <w:shd w:val="clear" w:color="auto" w:fill="auto"/>
            <w:vAlign w:val="bottom"/>
          </w:tcPr>
          <w:p w14:paraId="33F0EBCA" w14:textId="77777777" w:rsidR="00692784" w:rsidRPr="00692784" w:rsidRDefault="00692784" w:rsidP="00692784">
            <w:pPr>
              <w:spacing w:after="0" w:line="240" w:lineRule="auto"/>
              <w:jc w:val="right"/>
              <w:rPr>
                <w:rFonts w:ascii="Calibri" w:eastAsia="Calibri" w:hAnsi="Calibri" w:cs="Calibri"/>
                <w:b/>
                <w:bCs/>
                <w:color w:val="000000"/>
                <w:sz w:val="19"/>
                <w:szCs w:val="19"/>
              </w:rPr>
            </w:pPr>
            <w:r w:rsidRPr="00692784">
              <w:rPr>
                <w:rFonts w:ascii="Calibri" w:eastAsia="Times New Roman" w:hAnsi="Calibri" w:cs="Calibri"/>
                <w:b/>
                <w:bCs/>
                <w:sz w:val="19"/>
                <w:szCs w:val="19"/>
                <w:lang w:val="en-US"/>
              </w:rPr>
              <w:t>179</w:t>
            </w:r>
          </w:p>
        </w:tc>
        <w:tc>
          <w:tcPr>
            <w:tcW w:w="649" w:type="pct"/>
            <w:tcBorders>
              <w:top w:val="single" w:sz="8" w:space="0" w:color="auto"/>
              <w:left w:val="nil"/>
              <w:bottom w:val="single" w:sz="12" w:space="0" w:color="auto"/>
              <w:right w:val="nil"/>
            </w:tcBorders>
            <w:shd w:val="clear" w:color="auto" w:fill="auto"/>
            <w:vAlign w:val="bottom"/>
          </w:tcPr>
          <w:p w14:paraId="3C926738" w14:textId="77777777" w:rsidR="00692784" w:rsidRPr="00692784" w:rsidRDefault="00692784" w:rsidP="00692784">
            <w:pPr>
              <w:spacing w:after="0" w:line="240" w:lineRule="auto"/>
              <w:jc w:val="right"/>
              <w:rPr>
                <w:rFonts w:ascii="Calibri" w:eastAsia="Calibri" w:hAnsi="Calibri" w:cs="Calibri"/>
                <w:b/>
                <w:bCs/>
                <w:color w:val="000000"/>
                <w:sz w:val="19"/>
                <w:szCs w:val="19"/>
              </w:rPr>
            </w:pPr>
            <w:r w:rsidRPr="00692784">
              <w:rPr>
                <w:rFonts w:ascii="Calibri" w:eastAsia="Times New Roman" w:hAnsi="Calibri" w:cs="Calibri"/>
                <w:b/>
                <w:bCs/>
                <w:sz w:val="19"/>
                <w:szCs w:val="19"/>
                <w:lang w:val="en-US"/>
              </w:rPr>
              <w:t xml:space="preserve"> 4 </w:t>
            </w:r>
          </w:p>
        </w:tc>
        <w:tc>
          <w:tcPr>
            <w:tcW w:w="643" w:type="pct"/>
            <w:tcBorders>
              <w:top w:val="single" w:sz="8" w:space="0" w:color="auto"/>
              <w:left w:val="nil"/>
              <w:bottom w:val="single" w:sz="12" w:space="0" w:color="auto"/>
              <w:right w:val="nil"/>
            </w:tcBorders>
            <w:shd w:val="clear" w:color="auto" w:fill="auto"/>
            <w:vAlign w:val="bottom"/>
          </w:tcPr>
          <w:p w14:paraId="578EAA15" w14:textId="77777777" w:rsidR="00692784" w:rsidRPr="00692784" w:rsidRDefault="00692784" w:rsidP="00692784">
            <w:pPr>
              <w:spacing w:after="0" w:line="240" w:lineRule="auto"/>
              <w:jc w:val="right"/>
              <w:rPr>
                <w:rFonts w:ascii="Calibri" w:eastAsia="Calibri" w:hAnsi="Calibri" w:cs="Calibri"/>
                <w:b/>
                <w:bCs/>
                <w:color w:val="000000"/>
                <w:sz w:val="19"/>
                <w:szCs w:val="19"/>
              </w:rPr>
            </w:pPr>
            <w:r w:rsidRPr="00692784">
              <w:rPr>
                <w:rFonts w:ascii="Calibri" w:eastAsia="Times New Roman" w:hAnsi="Calibri" w:cs="Calibri"/>
                <w:b/>
                <w:bCs/>
                <w:sz w:val="19"/>
                <w:szCs w:val="19"/>
                <w:lang w:val="en-US"/>
              </w:rPr>
              <w:t xml:space="preserve"> 31,418 </w:t>
            </w:r>
          </w:p>
        </w:tc>
        <w:tc>
          <w:tcPr>
            <w:tcW w:w="605" w:type="pct"/>
            <w:tcBorders>
              <w:top w:val="single" w:sz="8" w:space="0" w:color="auto"/>
              <w:left w:val="nil"/>
              <w:bottom w:val="single" w:sz="12" w:space="0" w:color="auto"/>
              <w:right w:val="nil"/>
            </w:tcBorders>
            <w:shd w:val="clear" w:color="auto" w:fill="auto"/>
            <w:vAlign w:val="bottom"/>
          </w:tcPr>
          <w:p w14:paraId="171FC032" w14:textId="77777777" w:rsidR="00692784" w:rsidRPr="00692784" w:rsidRDefault="00692784" w:rsidP="00692784">
            <w:pPr>
              <w:spacing w:after="0" w:line="240" w:lineRule="auto"/>
              <w:jc w:val="right"/>
              <w:rPr>
                <w:rFonts w:ascii="Calibri" w:eastAsia="Calibri" w:hAnsi="Calibri" w:cs="Calibri"/>
                <w:b/>
                <w:bCs/>
                <w:color w:val="000000"/>
                <w:sz w:val="19"/>
                <w:szCs w:val="19"/>
              </w:rPr>
            </w:pPr>
            <w:r w:rsidRPr="00692784">
              <w:rPr>
                <w:rFonts w:ascii="Calibri" w:eastAsia="Times New Roman" w:hAnsi="Calibri" w:cs="Calibri"/>
                <w:b/>
                <w:bCs/>
                <w:sz w:val="19"/>
                <w:szCs w:val="19"/>
                <w:lang w:val="en-US"/>
              </w:rPr>
              <w:t xml:space="preserve"> 250 </w:t>
            </w:r>
          </w:p>
        </w:tc>
        <w:tc>
          <w:tcPr>
            <w:tcW w:w="640" w:type="pct"/>
            <w:tcBorders>
              <w:top w:val="single" w:sz="8" w:space="0" w:color="auto"/>
              <w:left w:val="nil"/>
              <w:bottom w:val="single" w:sz="12" w:space="0" w:color="auto"/>
              <w:right w:val="nil"/>
            </w:tcBorders>
            <w:shd w:val="clear" w:color="auto" w:fill="auto"/>
            <w:vAlign w:val="bottom"/>
          </w:tcPr>
          <w:p w14:paraId="381D0C77" w14:textId="77777777" w:rsidR="00692784" w:rsidRPr="00692784" w:rsidRDefault="00692784" w:rsidP="00692784">
            <w:pPr>
              <w:spacing w:after="0" w:line="240" w:lineRule="auto"/>
              <w:jc w:val="right"/>
              <w:rPr>
                <w:rFonts w:ascii="Calibri" w:eastAsia="Calibri" w:hAnsi="Calibri" w:cs="Calibri"/>
                <w:b/>
                <w:bCs/>
                <w:color w:val="000000"/>
                <w:sz w:val="19"/>
                <w:szCs w:val="19"/>
              </w:rPr>
            </w:pPr>
            <w:r w:rsidRPr="00692784">
              <w:rPr>
                <w:rFonts w:ascii="Calibri" w:eastAsia="Times New Roman" w:hAnsi="Calibri" w:cs="Calibri"/>
                <w:b/>
                <w:bCs/>
                <w:sz w:val="19"/>
                <w:szCs w:val="19"/>
                <w:lang w:val="en-US"/>
              </w:rPr>
              <w:t xml:space="preserve"> 31,851 </w:t>
            </w:r>
          </w:p>
        </w:tc>
      </w:tr>
    </w:tbl>
    <w:p w14:paraId="3E037513" w14:textId="77777777" w:rsidR="00824E0F" w:rsidRPr="00537128" w:rsidRDefault="00824E0F" w:rsidP="00024090">
      <w:pPr>
        <w:spacing w:after="0" w:line="240" w:lineRule="auto"/>
        <w:rPr>
          <w:rFonts w:ascii="Calibri" w:eastAsia="Calibri" w:hAnsi="Calibri" w:cs="Times New Roman"/>
          <w:noProof/>
          <w:color w:val="000000" w:themeColor="text1"/>
          <w:lang w:val="en-US"/>
        </w:rPr>
        <w:sectPr w:rsidR="00824E0F" w:rsidRPr="00537128" w:rsidSect="00712478">
          <w:pgSz w:w="11906" w:h="16838"/>
          <w:pgMar w:top="1418" w:right="1134" w:bottom="1418" w:left="1418" w:header="709" w:footer="709" w:gutter="0"/>
          <w:cols w:space="708"/>
          <w:docGrid w:linePitch="360"/>
        </w:sectPr>
      </w:pPr>
    </w:p>
    <w:p w14:paraId="25AF32D8" w14:textId="77777777" w:rsidR="00824E0F" w:rsidRPr="00537128" w:rsidRDefault="00824E0F" w:rsidP="00824E0F">
      <w:pPr>
        <w:spacing w:after="0" w:line="240" w:lineRule="auto"/>
        <w:jc w:val="both"/>
        <w:rPr>
          <w:rFonts w:ascii="Calibri" w:eastAsia="Calibri" w:hAnsi="Calibri" w:cs="Arial"/>
          <w:b/>
          <w:bCs/>
          <w:color w:val="000000" w:themeColor="text1"/>
          <w:sz w:val="16"/>
          <w:szCs w:val="16"/>
          <w:lang w:val="en-US"/>
        </w:rPr>
      </w:pPr>
    </w:p>
    <w:p w14:paraId="4D3E533F" w14:textId="76A54B99" w:rsidR="00824E0F" w:rsidRPr="00537128" w:rsidRDefault="00B357CE" w:rsidP="00824E0F">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824E0F" w:rsidRPr="00537128">
        <w:rPr>
          <w:rFonts w:ascii="Calibri" w:eastAsia="Calibri" w:hAnsi="Calibri" w:cs="Arial"/>
          <w:b/>
          <w:bCs/>
          <w:color w:val="000000" w:themeColor="text1"/>
          <w:lang w:val="en-US"/>
        </w:rPr>
        <w:t>.</w:t>
      </w:r>
      <w:r w:rsidR="00824E0F" w:rsidRPr="00537128">
        <w:rPr>
          <w:rFonts w:ascii="Calibri" w:eastAsia="Calibri" w:hAnsi="Calibri" w:cs="Arial"/>
          <w:b/>
          <w:bCs/>
          <w:color w:val="000000" w:themeColor="text1"/>
          <w:lang w:val="en-US"/>
        </w:rPr>
        <w:tab/>
        <w:t>Risk management (continued)</w:t>
      </w:r>
    </w:p>
    <w:p w14:paraId="6B0C7C5D" w14:textId="77777777" w:rsidR="00824E0F" w:rsidRPr="00537128" w:rsidRDefault="00824E0F" w:rsidP="00824E0F">
      <w:pPr>
        <w:spacing w:after="0" w:line="240" w:lineRule="auto"/>
        <w:jc w:val="both"/>
        <w:rPr>
          <w:rFonts w:ascii="Calibri" w:eastAsia="Times New Roman" w:hAnsi="Calibri" w:cs="Times New Roman"/>
          <w:b/>
          <w:color w:val="000000" w:themeColor="text1"/>
          <w:sz w:val="16"/>
          <w:szCs w:val="16"/>
          <w:lang w:val="en-US"/>
        </w:rPr>
      </w:pPr>
    </w:p>
    <w:p w14:paraId="590BEBE0" w14:textId="3E52304E" w:rsidR="00824E0F" w:rsidRPr="00537128" w:rsidRDefault="00B357CE" w:rsidP="00824E0F">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824E0F" w:rsidRPr="00537128">
        <w:rPr>
          <w:rFonts w:ascii="Calibri" w:eastAsia="Times New Roman" w:hAnsi="Calibri" w:cs="Times New Roman"/>
          <w:b/>
          <w:color w:val="000000" w:themeColor="text1"/>
          <w:lang w:val="en-US"/>
        </w:rPr>
        <w:t xml:space="preserve"> </w:t>
      </w:r>
      <w:r w:rsidR="00824E0F" w:rsidRPr="00537128">
        <w:rPr>
          <w:rFonts w:ascii="Calibri" w:eastAsia="Times New Roman" w:hAnsi="Calibri" w:cs="Times New Roman"/>
          <w:b/>
          <w:color w:val="000000" w:themeColor="text1"/>
          <w:lang w:val="en-US"/>
        </w:rPr>
        <w:tab/>
        <w:t>Credit risk (continued)</w:t>
      </w:r>
    </w:p>
    <w:p w14:paraId="3964E663" w14:textId="77777777" w:rsidR="00824E0F" w:rsidRPr="00537128" w:rsidRDefault="00824E0F" w:rsidP="00824E0F">
      <w:pPr>
        <w:spacing w:after="0" w:line="240" w:lineRule="auto"/>
        <w:jc w:val="both"/>
        <w:rPr>
          <w:rFonts w:ascii="Calibri" w:eastAsia="Calibri" w:hAnsi="Calibri" w:cs="Arial"/>
          <w:b/>
          <w:bCs/>
          <w:i/>
          <w:color w:val="000000" w:themeColor="text1"/>
          <w:sz w:val="16"/>
          <w:szCs w:val="16"/>
          <w:lang w:val="en-US"/>
        </w:rPr>
      </w:pPr>
    </w:p>
    <w:p w14:paraId="6EE74106" w14:textId="644E6E17" w:rsidR="00824E0F" w:rsidRPr="00537128" w:rsidRDefault="00824E0F" w:rsidP="00824E0F">
      <w:pPr>
        <w:numPr>
          <w:ilvl w:val="8"/>
          <w:numId w:val="51"/>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r w:rsidR="00685DB2">
        <w:rPr>
          <w:rFonts w:ascii="Calibri" w:eastAsia="Calibri" w:hAnsi="Calibri" w:cs="Arial"/>
          <w:bCs/>
          <w:i/>
          <w:color w:val="000000" w:themeColor="text1"/>
          <w:lang w:val="en-US"/>
        </w:rPr>
        <w:t xml:space="preserve"> (continued)</w:t>
      </w:r>
    </w:p>
    <w:p w14:paraId="38B673F3" w14:textId="77777777" w:rsidR="00824E0F" w:rsidRPr="00537128" w:rsidRDefault="00824E0F" w:rsidP="00824E0F">
      <w:pPr>
        <w:spacing w:after="0" w:line="240" w:lineRule="auto"/>
        <w:jc w:val="both"/>
        <w:rPr>
          <w:rFonts w:ascii="Calibri" w:eastAsia="Calibri" w:hAnsi="Calibri" w:cs="Arial"/>
          <w:b/>
          <w:bCs/>
          <w:i/>
          <w:color w:val="000000" w:themeColor="text1"/>
          <w:lang w:val="en-US"/>
        </w:rPr>
      </w:pPr>
    </w:p>
    <w:p w14:paraId="4A8AF2FD" w14:textId="77777777" w:rsidR="00824E0F" w:rsidRPr="00537128" w:rsidRDefault="00824E0F" w:rsidP="00824E0F">
      <w:pPr>
        <w:spacing w:after="120" w:line="240" w:lineRule="auto"/>
        <w:jc w:val="both"/>
        <w:rPr>
          <w:rFonts w:ascii="Calibri" w:eastAsia="Times New Roman" w:hAnsi="Calibri" w:cs="Times New Roman"/>
          <w:b/>
          <w:bCs/>
          <w:color w:val="000000" w:themeColor="text1"/>
          <w:lang w:val="en-US"/>
        </w:rPr>
      </w:pPr>
      <w:r w:rsidRPr="00537128">
        <w:rPr>
          <w:rFonts w:ascii="Calibri" w:eastAsia="Times New Roman" w:hAnsi="Calibri" w:cs="Times New Roman"/>
          <w:b/>
          <w:bCs/>
          <w:color w:val="000000" w:themeColor="text1"/>
          <w:lang w:val="en-US"/>
        </w:rPr>
        <w:t>Other assets</w:t>
      </w:r>
    </w:p>
    <w:p w14:paraId="7D34092C" w14:textId="77777777" w:rsidR="00824E0F" w:rsidRPr="00537128" w:rsidRDefault="00824E0F" w:rsidP="00024090">
      <w:pPr>
        <w:spacing w:after="0" w:line="240" w:lineRule="auto"/>
        <w:rPr>
          <w:rFonts w:ascii="Calibri" w:eastAsia="Calibri" w:hAnsi="Calibri" w:cs="Times New Roman"/>
          <w:noProof/>
          <w:color w:val="000000" w:themeColor="text1"/>
          <w:lang w:val="en-US"/>
        </w:rPr>
      </w:pPr>
    </w:p>
    <w:p w14:paraId="5050D2C5" w14:textId="77777777" w:rsidR="00824E0F" w:rsidRPr="00537128" w:rsidRDefault="00824E0F"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A287E" w:rsidRPr="00537128" w14:paraId="1B1A6B23" w14:textId="77777777" w:rsidTr="004A287E">
        <w:trPr>
          <w:trHeight w:val="160"/>
        </w:trPr>
        <w:tc>
          <w:tcPr>
            <w:tcW w:w="1814" w:type="pct"/>
          </w:tcPr>
          <w:p w14:paraId="73E5839F"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br w:type="page"/>
              <w:t>Bank</w:t>
            </w:r>
          </w:p>
        </w:tc>
        <w:tc>
          <w:tcPr>
            <w:tcW w:w="3186" w:type="pct"/>
            <w:gridSpan w:val="5"/>
            <w:vAlign w:val="bottom"/>
          </w:tcPr>
          <w:p w14:paraId="46F75F93" w14:textId="77777777" w:rsidR="004A287E" w:rsidRPr="00537128" w:rsidRDefault="004A287E" w:rsidP="004A287E">
            <w:pPr>
              <w:spacing w:after="0" w:line="240" w:lineRule="auto"/>
              <w:jc w:val="center"/>
              <w:rPr>
                <w:rFonts w:ascii="Calibri" w:eastAsia="Calibri" w:hAnsi="Calibri" w:cs="Arial"/>
                <w:b/>
                <w:sz w:val="20"/>
                <w:szCs w:val="20"/>
                <w:lang w:val="en-US"/>
              </w:rPr>
            </w:pPr>
          </w:p>
        </w:tc>
      </w:tr>
      <w:tr w:rsidR="004A287E" w:rsidRPr="00537128" w14:paraId="3EABAD6B" w14:textId="77777777" w:rsidTr="004A287E">
        <w:trPr>
          <w:trHeight w:val="51"/>
        </w:trPr>
        <w:tc>
          <w:tcPr>
            <w:tcW w:w="1814" w:type="pct"/>
          </w:tcPr>
          <w:p w14:paraId="5F8CE44C" w14:textId="42F9B85B" w:rsidR="004A287E" w:rsidRPr="00537128" w:rsidRDefault="002412CA"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31 March 202</w:t>
            </w:r>
            <w:r w:rsidR="009049EB">
              <w:rPr>
                <w:rFonts w:ascii="Calibri" w:eastAsia="Calibri" w:hAnsi="Calibri" w:cs="Arial"/>
                <w:b/>
                <w:bCs/>
                <w:sz w:val="20"/>
                <w:szCs w:val="20"/>
                <w:lang w:val="en-US"/>
              </w:rPr>
              <w:t>2</w:t>
            </w:r>
          </w:p>
        </w:tc>
        <w:tc>
          <w:tcPr>
            <w:tcW w:w="650" w:type="pct"/>
            <w:vAlign w:val="bottom"/>
          </w:tcPr>
          <w:p w14:paraId="3B1F157F"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1</w:t>
            </w:r>
          </w:p>
        </w:tc>
        <w:tc>
          <w:tcPr>
            <w:tcW w:w="650" w:type="pct"/>
            <w:vAlign w:val="bottom"/>
          </w:tcPr>
          <w:p w14:paraId="32887377"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2</w:t>
            </w:r>
          </w:p>
        </w:tc>
        <w:tc>
          <w:tcPr>
            <w:tcW w:w="643" w:type="pct"/>
            <w:vAlign w:val="bottom"/>
          </w:tcPr>
          <w:p w14:paraId="37C27D43"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3</w:t>
            </w:r>
          </w:p>
        </w:tc>
        <w:tc>
          <w:tcPr>
            <w:tcW w:w="605" w:type="pct"/>
            <w:vAlign w:val="bottom"/>
          </w:tcPr>
          <w:p w14:paraId="3B4C55CC"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POCI</w:t>
            </w:r>
          </w:p>
        </w:tc>
        <w:tc>
          <w:tcPr>
            <w:tcW w:w="638" w:type="pct"/>
            <w:vAlign w:val="bottom"/>
          </w:tcPr>
          <w:p w14:paraId="7A844082"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Total</w:t>
            </w:r>
          </w:p>
        </w:tc>
      </w:tr>
      <w:tr w:rsidR="004A287E" w:rsidRPr="00537128" w14:paraId="7D6A3D31" w14:textId="77777777" w:rsidTr="004A287E">
        <w:trPr>
          <w:trHeight w:val="51"/>
        </w:trPr>
        <w:tc>
          <w:tcPr>
            <w:tcW w:w="1814" w:type="pct"/>
          </w:tcPr>
          <w:p w14:paraId="5B28B4D1"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50" w:type="pct"/>
          </w:tcPr>
          <w:p w14:paraId="43AD92B0"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50" w:type="pct"/>
          </w:tcPr>
          <w:p w14:paraId="74E13ED4"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3" w:type="pct"/>
          </w:tcPr>
          <w:p w14:paraId="00344381"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05" w:type="pct"/>
          </w:tcPr>
          <w:p w14:paraId="700E6255"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38" w:type="pct"/>
          </w:tcPr>
          <w:p w14:paraId="72DF591A"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r>
      <w:tr w:rsidR="004A287E" w:rsidRPr="00537128" w14:paraId="16F108D7" w14:textId="77777777" w:rsidTr="004A287E">
        <w:trPr>
          <w:trHeight w:val="51"/>
        </w:trPr>
        <w:tc>
          <w:tcPr>
            <w:tcW w:w="1814" w:type="pct"/>
          </w:tcPr>
          <w:p w14:paraId="6FBA7FA7"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50" w:type="pct"/>
          </w:tcPr>
          <w:p w14:paraId="60C01770"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50" w:type="pct"/>
          </w:tcPr>
          <w:p w14:paraId="44500193"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3" w:type="pct"/>
          </w:tcPr>
          <w:p w14:paraId="4C592EBB"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05" w:type="pct"/>
          </w:tcPr>
          <w:p w14:paraId="14629CF8"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38" w:type="pct"/>
          </w:tcPr>
          <w:p w14:paraId="262C9230" w14:textId="77777777" w:rsidR="004A287E" w:rsidRPr="00537128" w:rsidRDefault="004A287E" w:rsidP="004A287E">
            <w:pPr>
              <w:spacing w:after="0" w:line="240" w:lineRule="auto"/>
              <w:jc w:val="right"/>
              <w:rPr>
                <w:rFonts w:ascii="Calibri" w:eastAsia="Calibri" w:hAnsi="Calibri" w:cs="Arial"/>
                <w:b/>
                <w:sz w:val="20"/>
                <w:szCs w:val="20"/>
                <w:lang w:val="en-US"/>
              </w:rPr>
            </w:pPr>
          </w:p>
        </w:tc>
      </w:tr>
      <w:tr w:rsidR="00F0708A" w:rsidRPr="00537128" w14:paraId="779DCAFF" w14:textId="77777777" w:rsidTr="00B45AC9">
        <w:trPr>
          <w:trHeight w:hRule="exact" w:val="244"/>
        </w:trPr>
        <w:tc>
          <w:tcPr>
            <w:tcW w:w="1814" w:type="pct"/>
            <w:vAlign w:val="bottom"/>
          </w:tcPr>
          <w:p w14:paraId="37ECEBEF" w14:textId="1B9E9E8F" w:rsidR="00F0708A" w:rsidRPr="00537128" w:rsidRDefault="00F0708A" w:rsidP="00F0708A">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 xml:space="preserve">Balance </w:t>
            </w:r>
            <w:proofErr w:type="gramStart"/>
            <w:r w:rsidRPr="00537128">
              <w:rPr>
                <w:rFonts w:ascii="Calibri" w:eastAsia="Calibri" w:hAnsi="Calibri" w:cs="Times New Roman"/>
                <w:sz w:val="20"/>
                <w:szCs w:val="20"/>
                <w:lang w:val="en-US"/>
              </w:rPr>
              <w:t>at</w:t>
            </w:r>
            <w:proofErr w:type="gramEnd"/>
            <w:r w:rsidRPr="00537128">
              <w:rPr>
                <w:rFonts w:ascii="Calibri" w:eastAsia="Calibri" w:hAnsi="Calibri" w:cs="Times New Roman"/>
                <w:sz w:val="20"/>
                <w:szCs w:val="20"/>
                <w:lang w:val="en-US"/>
              </w:rPr>
              <w:t xml:space="preserve"> 1 January 202</w:t>
            </w:r>
            <w:r>
              <w:rPr>
                <w:rFonts w:ascii="Calibri" w:eastAsia="Calibri" w:hAnsi="Calibri" w:cs="Times New Roman"/>
                <w:sz w:val="20"/>
                <w:szCs w:val="20"/>
                <w:lang w:val="en-US"/>
              </w:rPr>
              <w:t>2</w:t>
            </w:r>
          </w:p>
        </w:tc>
        <w:tc>
          <w:tcPr>
            <w:tcW w:w="650" w:type="pct"/>
            <w:tcBorders>
              <w:top w:val="nil"/>
              <w:left w:val="nil"/>
              <w:bottom w:val="nil"/>
              <w:right w:val="nil"/>
            </w:tcBorders>
            <w:shd w:val="clear" w:color="auto" w:fill="auto"/>
            <w:vAlign w:val="bottom"/>
          </w:tcPr>
          <w:p w14:paraId="172402C6" w14:textId="0BBFAE66" w:rsidR="00F0708A" w:rsidRPr="00537128" w:rsidRDefault="00F0708A" w:rsidP="00F0708A">
            <w:pPr>
              <w:spacing w:after="0" w:line="240" w:lineRule="auto"/>
              <w:jc w:val="right"/>
              <w:rPr>
                <w:rFonts w:ascii="Calibri" w:eastAsia="Calibri" w:hAnsi="Calibri" w:cs="Calibri"/>
                <w:sz w:val="20"/>
                <w:szCs w:val="20"/>
                <w:lang w:val="en-US"/>
              </w:rPr>
            </w:pPr>
            <w:r w:rsidRPr="007A49AD">
              <w:rPr>
                <w:sz w:val="19"/>
                <w:szCs w:val="19"/>
              </w:rPr>
              <w:t xml:space="preserve"> 25 </w:t>
            </w:r>
          </w:p>
        </w:tc>
        <w:tc>
          <w:tcPr>
            <w:tcW w:w="650" w:type="pct"/>
            <w:tcBorders>
              <w:top w:val="nil"/>
              <w:left w:val="nil"/>
              <w:bottom w:val="nil"/>
              <w:right w:val="nil"/>
            </w:tcBorders>
            <w:shd w:val="clear" w:color="auto" w:fill="auto"/>
            <w:vAlign w:val="bottom"/>
          </w:tcPr>
          <w:p w14:paraId="5B8B1C54" w14:textId="53923753" w:rsidR="00F0708A" w:rsidRPr="00537128" w:rsidRDefault="00F0708A" w:rsidP="00F0708A">
            <w:pPr>
              <w:spacing w:after="0" w:line="240" w:lineRule="auto"/>
              <w:jc w:val="right"/>
              <w:rPr>
                <w:rFonts w:ascii="Calibri" w:eastAsia="Calibri" w:hAnsi="Calibri" w:cs="Calibri"/>
                <w:sz w:val="20"/>
                <w:szCs w:val="20"/>
                <w:lang w:val="en-US"/>
              </w:rPr>
            </w:pPr>
            <w:r w:rsidRPr="007A49AD">
              <w:rPr>
                <w:sz w:val="19"/>
                <w:szCs w:val="19"/>
              </w:rPr>
              <w:t xml:space="preserve"> 4 </w:t>
            </w:r>
          </w:p>
        </w:tc>
        <w:tc>
          <w:tcPr>
            <w:tcW w:w="643" w:type="pct"/>
            <w:tcBorders>
              <w:top w:val="nil"/>
              <w:left w:val="nil"/>
              <w:bottom w:val="nil"/>
              <w:right w:val="nil"/>
            </w:tcBorders>
            <w:shd w:val="clear" w:color="auto" w:fill="auto"/>
            <w:vAlign w:val="bottom"/>
          </w:tcPr>
          <w:p w14:paraId="02CA976A" w14:textId="3DD2D69E" w:rsidR="00F0708A" w:rsidRPr="00537128" w:rsidRDefault="00F0708A" w:rsidP="00F0708A">
            <w:pPr>
              <w:spacing w:after="0" w:line="240" w:lineRule="auto"/>
              <w:jc w:val="right"/>
              <w:rPr>
                <w:rFonts w:ascii="Calibri" w:eastAsia="Calibri" w:hAnsi="Calibri" w:cs="Calibri"/>
                <w:sz w:val="20"/>
                <w:szCs w:val="20"/>
                <w:lang w:val="en-US"/>
              </w:rPr>
            </w:pPr>
            <w:r w:rsidRPr="007A49AD">
              <w:rPr>
                <w:sz w:val="19"/>
                <w:szCs w:val="19"/>
              </w:rPr>
              <w:t xml:space="preserve"> 31</w:t>
            </w:r>
            <w:r>
              <w:rPr>
                <w:sz w:val="19"/>
                <w:szCs w:val="19"/>
              </w:rPr>
              <w:t>,</w:t>
            </w:r>
            <w:r w:rsidRPr="007A49AD">
              <w:rPr>
                <w:sz w:val="19"/>
                <w:szCs w:val="19"/>
              </w:rPr>
              <w:t xml:space="preserve">418 </w:t>
            </w:r>
          </w:p>
        </w:tc>
        <w:tc>
          <w:tcPr>
            <w:tcW w:w="605" w:type="pct"/>
            <w:tcBorders>
              <w:top w:val="nil"/>
              <w:left w:val="nil"/>
              <w:bottom w:val="nil"/>
              <w:right w:val="nil"/>
            </w:tcBorders>
            <w:shd w:val="clear" w:color="auto" w:fill="auto"/>
            <w:vAlign w:val="bottom"/>
          </w:tcPr>
          <w:p w14:paraId="311F6944" w14:textId="4FFF1AA8" w:rsidR="00F0708A" w:rsidRPr="00537128" w:rsidRDefault="00F0708A" w:rsidP="00F0708A">
            <w:pPr>
              <w:spacing w:after="0" w:line="240" w:lineRule="auto"/>
              <w:jc w:val="right"/>
              <w:rPr>
                <w:rFonts w:ascii="Calibri" w:eastAsia="Calibri" w:hAnsi="Calibri" w:cs="Calibri"/>
                <w:sz w:val="20"/>
                <w:szCs w:val="20"/>
                <w:lang w:val="en-US"/>
              </w:rPr>
            </w:pPr>
            <w:r w:rsidRPr="007A49AD">
              <w:rPr>
                <w:sz w:val="19"/>
                <w:szCs w:val="19"/>
              </w:rPr>
              <w:t xml:space="preserve"> 250 </w:t>
            </w:r>
          </w:p>
        </w:tc>
        <w:tc>
          <w:tcPr>
            <w:tcW w:w="638" w:type="pct"/>
            <w:tcBorders>
              <w:top w:val="nil"/>
              <w:left w:val="nil"/>
              <w:bottom w:val="nil"/>
              <w:right w:val="nil"/>
            </w:tcBorders>
            <w:shd w:val="clear" w:color="auto" w:fill="auto"/>
            <w:vAlign w:val="bottom"/>
          </w:tcPr>
          <w:p w14:paraId="1D16328B" w14:textId="3E211B86" w:rsidR="00F0708A" w:rsidRPr="00537128" w:rsidRDefault="00F0708A" w:rsidP="00F0708A">
            <w:pPr>
              <w:spacing w:after="0" w:line="240" w:lineRule="auto"/>
              <w:jc w:val="right"/>
              <w:rPr>
                <w:rFonts w:ascii="Calibri" w:eastAsia="Calibri" w:hAnsi="Calibri" w:cs="Calibri"/>
                <w:sz w:val="20"/>
                <w:szCs w:val="20"/>
                <w:lang w:val="en-US"/>
              </w:rPr>
            </w:pPr>
            <w:r w:rsidRPr="007A49AD">
              <w:rPr>
                <w:sz w:val="19"/>
                <w:szCs w:val="19"/>
              </w:rPr>
              <w:t xml:space="preserve"> 31</w:t>
            </w:r>
            <w:r>
              <w:rPr>
                <w:sz w:val="19"/>
                <w:szCs w:val="19"/>
              </w:rPr>
              <w:t>,</w:t>
            </w:r>
            <w:r w:rsidRPr="007A49AD">
              <w:rPr>
                <w:sz w:val="19"/>
                <w:szCs w:val="19"/>
              </w:rPr>
              <w:t xml:space="preserve">697 </w:t>
            </w:r>
          </w:p>
        </w:tc>
      </w:tr>
      <w:tr w:rsidR="00F0708A" w:rsidRPr="00537128" w14:paraId="2662F177" w14:textId="77777777" w:rsidTr="00A1123E">
        <w:trPr>
          <w:trHeight w:hRule="exact" w:val="244"/>
        </w:trPr>
        <w:tc>
          <w:tcPr>
            <w:tcW w:w="1814" w:type="pct"/>
            <w:vAlign w:val="bottom"/>
          </w:tcPr>
          <w:p w14:paraId="7B8183EE" w14:textId="77777777" w:rsidR="00F0708A" w:rsidRPr="00537128" w:rsidRDefault="00F0708A" w:rsidP="00F0708A">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19"/>
                <w:szCs w:val="19"/>
                <w:lang w:val="en-US"/>
              </w:rPr>
              <w:t>Transfer to Stage 1</w:t>
            </w:r>
          </w:p>
        </w:tc>
        <w:tc>
          <w:tcPr>
            <w:tcW w:w="650" w:type="pct"/>
            <w:tcBorders>
              <w:top w:val="nil"/>
              <w:left w:val="nil"/>
              <w:bottom w:val="nil"/>
              <w:right w:val="nil"/>
            </w:tcBorders>
            <w:shd w:val="clear" w:color="auto" w:fill="auto"/>
            <w:vAlign w:val="bottom"/>
          </w:tcPr>
          <w:p w14:paraId="32AF45DC" w14:textId="2A3A1F59" w:rsidR="00F0708A" w:rsidRPr="00537128" w:rsidRDefault="00F0708A" w:rsidP="00F0708A">
            <w:pPr>
              <w:spacing w:after="0" w:line="240" w:lineRule="auto"/>
              <w:jc w:val="right"/>
              <w:rPr>
                <w:rFonts w:ascii="Calibri" w:eastAsia="Calibri" w:hAnsi="Calibri" w:cs="Calibri"/>
                <w:sz w:val="20"/>
                <w:szCs w:val="20"/>
                <w:lang w:val="en-US"/>
              </w:rPr>
            </w:pPr>
            <w:r w:rsidRPr="007A49AD">
              <w:rPr>
                <w:sz w:val="19"/>
                <w:szCs w:val="19"/>
              </w:rPr>
              <w:t xml:space="preserve"> 10 </w:t>
            </w:r>
          </w:p>
        </w:tc>
        <w:tc>
          <w:tcPr>
            <w:tcW w:w="650" w:type="pct"/>
            <w:tcBorders>
              <w:top w:val="nil"/>
              <w:left w:val="nil"/>
              <w:bottom w:val="nil"/>
              <w:right w:val="nil"/>
            </w:tcBorders>
            <w:shd w:val="clear" w:color="auto" w:fill="auto"/>
            <w:vAlign w:val="bottom"/>
          </w:tcPr>
          <w:p w14:paraId="0917E144" w14:textId="12D156ED" w:rsidR="00F0708A" w:rsidRPr="00537128" w:rsidRDefault="00F0708A" w:rsidP="00F0708A">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43" w:type="pct"/>
            <w:tcBorders>
              <w:top w:val="nil"/>
              <w:left w:val="nil"/>
              <w:bottom w:val="nil"/>
              <w:right w:val="nil"/>
            </w:tcBorders>
            <w:shd w:val="clear" w:color="auto" w:fill="auto"/>
            <w:vAlign w:val="bottom"/>
          </w:tcPr>
          <w:p w14:paraId="7429A718" w14:textId="0400816B" w:rsidR="00F0708A" w:rsidRPr="00537128" w:rsidRDefault="00F0708A" w:rsidP="00F0708A">
            <w:pPr>
              <w:spacing w:after="0" w:line="240" w:lineRule="auto"/>
              <w:jc w:val="right"/>
              <w:rPr>
                <w:rFonts w:ascii="Calibri" w:eastAsia="Calibri" w:hAnsi="Calibri" w:cs="Calibri"/>
                <w:sz w:val="20"/>
                <w:szCs w:val="20"/>
                <w:lang w:val="en-US"/>
              </w:rPr>
            </w:pPr>
            <w:r w:rsidRPr="007A49AD">
              <w:rPr>
                <w:sz w:val="19"/>
                <w:szCs w:val="19"/>
              </w:rPr>
              <w:t xml:space="preserve"> (10)</w:t>
            </w:r>
          </w:p>
        </w:tc>
        <w:tc>
          <w:tcPr>
            <w:tcW w:w="605" w:type="pct"/>
            <w:tcBorders>
              <w:top w:val="nil"/>
              <w:left w:val="nil"/>
              <w:bottom w:val="nil"/>
              <w:right w:val="nil"/>
            </w:tcBorders>
            <w:shd w:val="clear" w:color="auto" w:fill="auto"/>
            <w:vAlign w:val="bottom"/>
          </w:tcPr>
          <w:p w14:paraId="7CFC492A" w14:textId="227185A5" w:rsidR="00F0708A" w:rsidRPr="00537128" w:rsidRDefault="00F0708A" w:rsidP="00F0708A">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38" w:type="pct"/>
            <w:tcBorders>
              <w:top w:val="nil"/>
              <w:left w:val="nil"/>
              <w:bottom w:val="nil"/>
              <w:right w:val="nil"/>
            </w:tcBorders>
            <w:shd w:val="clear" w:color="auto" w:fill="auto"/>
            <w:vAlign w:val="bottom"/>
          </w:tcPr>
          <w:p w14:paraId="758FBD6D" w14:textId="7820BF03" w:rsidR="00F0708A" w:rsidRPr="00537128" w:rsidRDefault="00F0708A" w:rsidP="00F0708A">
            <w:pPr>
              <w:spacing w:after="0" w:line="240" w:lineRule="auto"/>
              <w:jc w:val="right"/>
              <w:rPr>
                <w:rFonts w:ascii="Calibri" w:eastAsia="Calibri" w:hAnsi="Calibri" w:cs="Calibri"/>
                <w:sz w:val="20"/>
                <w:szCs w:val="20"/>
                <w:lang w:val="en-US"/>
              </w:rPr>
            </w:pPr>
            <w:r w:rsidRPr="007A49AD">
              <w:rPr>
                <w:sz w:val="19"/>
                <w:szCs w:val="19"/>
              </w:rPr>
              <w:t xml:space="preserve"> - </w:t>
            </w:r>
          </w:p>
        </w:tc>
      </w:tr>
      <w:tr w:rsidR="00F0708A" w:rsidRPr="00537128" w14:paraId="15AB2B45" w14:textId="77777777" w:rsidTr="00A1123E">
        <w:trPr>
          <w:trHeight w:hRule="exact" w:val="244"/>
        </w:trPr>
        <w:tc>
          <w:tcPr>
            <w:tcW w:w="1814" w:type="pct"/>
            <w:vAlign w:val="bottom"/>
          </w:tcPr>
          <w:p w14:paraId="3CD6273D" w14:textId="77777777" w:rsidR="00F0708A" w:rsidRPr="00537128" w:rsidRDefault="00F0708A" w:rsidP="00F0708A">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19"/>
                <w:szCs w:val="19"/>
                <w:lang w:val="en-US"/>
              </w:rPr>
              <w:t>Transfer to Stage 2</w:t>
            </w:r>
          </w:p>
        </w:tc>
        <w:tc>
          <w:tcPr>
            <w:tcW w:w="650" w:type="pct"/>
            <w:tcBorders>
              <w:top w:val="nil"/>
              <w:left w:val="nil"/>
              <w:bottom w:val="nil"/>
              <w:right w:val="nil"/>
            </w:tcBorders>
            <w:shd w:val="clear" w:color="auto" w:fill="auto"/>
            <w:vAlign w:val="bottom"/>
          </w:tcPr>
          <w:p w14:paraId="7EAC3429" w14:textId="1B4CDF83" w:rsidR="00F0708A" w:rsidRPr="00537128" w:rsidRDefault="00F0708A" w:rsidP="00F0708A">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50" w:type="pct"/>
            <w:tcBorders>
              <w:top w:val="nil"/>
              <w:left w:val="nil"/>
              <w:bottom w:val="nil"/>
              <w:right w:val="nil"/>
            </w:tcBorders>
            <w:shd w:val="clear" w:color="auto" w:fill="auto"/>
            <w:vAlign w:val="bottom"/>
          </w:tcPr>
          <w:p w14:paraId="2F5A0367" w14:textId="6F275D28" w:rsidR="00F0708A" w:rsidRPr="00537128" w:rsidRDefault="00F0708A" w:rsidP="00F0708A">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43" w:type="pct"/>
            <w:tcBorders>
              <w:top w:val="nil"/>
              <w:left w:val="nil"/>
              <w:bottom w:val="nil"/>
              <w:right w:val="nil"/>
            </w:tcBorders>
            <w:shd w:val="clear" w:color="auto" w:fill="auto"/>
            <w:vAlign w:val="bottom"/>
          </w:tcPr>
          <w:p w14:paraId="2B415FA9" w14:textId="542DCD0D" w:rsidR="00F0708A" w:rsidRPr="00537128" w:rsidRDefault="00F0708A" w:rsidP="00F0708A">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05" w:type="pct"/>
            <w:tcBorders>
              <w:top w:val="nil"/>
              <w:left w:val="nil"/>
              <w:bottom w:val="nil"/>
              <w:right w:val="nil"/>
            </w:tcBorders>
            <w:shd w:val="clear" w:color="auto" w:fill="auto"/>
            <w:vAlign w:val="bottom"/>
          </w:tcPr>
          <w:p w14:paraId="05FF96B0" w14:textId="7C205FEF" w:rsidR="00F0708A" w:rsidRPr="00537128" w:rsidRDefault="00F0708A" w:rsidP="00F0708A">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38" w:type="pct"/>
            <w:tcBorders>
              <w:top w:val="nil"/>
              <w:left w:val="nil"/>
              <w:bottom w:val="nil"/>
              <w:right w:val="nil"/>
            </w:tcBorders>
            <w:shd w:val="clear" w:color="auto" w:fill="auto"/>
            <w:vAlign w:val="bottom"/>
          </w:tcPr>
          <w:p w14:paraId="39448B92" w14:textId="010D4977" w:rsidR="00F0708A" w:rsidRPr="00537128" w:rsidRDefault="00F0708A" w:rsidP="00F0708A">
            <w:pPr>
              <w:spacing w:after="0" w:line="240" w:lineRule="auto"/>
              <w:jc w:val="right"/>
              <w:rPr>
                <w:rFonts w:ascii="Calibri" w:eastAsia="Calibri" w:hAnsi="Calibri" w:cs="Calibri"/>
                <w:sz w:val="20"/>
                <w:szCs w:val="20"/>
                <w:lang w:val="en-US"/>
              </w:rPr>
            </w:pPr>
            <w:r w:rsidRPr="007A49AD">
              <w:rPr>
                <w:sz w:val="19"/>
                <w:szCs w:val="19"/>
              </w:rPr>
              <w:t xml:space="preserve"> - </w:t>
            </w:r>
          </w:p>
        </w:tc>
      </w:tr>
      <w:tr w:rsidR="00F0708A" w:rsidRPr="00537128" w14:paraId="446A83CE" w14:textId="77777777" w:rsidTr="00A1123E">
        <w:trPr>
          <w:trHeight w:hRule="exact" w:val="244"/>
        </w:trPr>
        <w:tc>
          <w:tcPr>
            <w:tcW w:w="1814" w:type="pct"/>
            <w:vAlign w:val="bottom"/>
          </w:tcPr>
          <w:p w14:paraId="62A7B7A0" w14:textId="77777777" w:rsidR="00F0708A" w:rsidRPr="00537128" w:rsidRDefault="00F0708A" w:rsidP="00F0708A">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19"/>
                <w:szCs w:val="19"/>
                <w:lang w:val="en-US"/>
              </w:rPr>
              <w:t>Transfer to Stage 3</w:t>
            </w:r>
          </w:p>
        </w:tc>
        <w:tc>
          <w:tcPr>
            <w:tcW w:w="650" w:type="pct"/>
            <w:tcBorders>
              <w:top w:val="nil"/>
              <w:left w:val="nil"/>
              <w:bottom w:val="nil"/>
              <w:right w:val="nil"/>
            </w:tcBorders>
            <w:shd w:val="clear" w:color="auto" w:fill="auto"/>
            <w:vAlign w:val="bottom"/>
          </w:tcPr>
          <w:p w14:paraId="573C72DB" w14:textId="75C81499" w:rsidR="00F0708A" w:rsidRPr="00537128" w:rsidRDefault="00F0708A" w:rsidP="00F0708A">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50" w:type="pct"/>
            <w:tcBorders>
              <w:top w:val="nil"/>
              <w:left w:val="nil"/>
              <w:bottom w:val="nil"/>
              <w:right w:val="nil"/>
            </w:tcBorders>
            <w:shd w:val="clear" w:color="auto" w:fill="auto"/>
            <w:vAlign w:val="bottom"/>
          </w:tcPr>
          <w:p w14:paraId="450F0D75" w14:textId="17CB1E88" w:rsidR="00F0708A" w:rsidRPr="00537128" w:rsidRDefault="00F0708A" w:rsidP="00F0708A">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43" w:type="pct"/>
            <w:tcBorders>
              <w:top w:val="nil"/>
              <w:left w:val="nil"/>
              <w:bottom w:val="nil"/>
              <w:right w:val="nil"/>
            </w:tcBorders>
            <w:shd w:val="clear" w:color="auto" w:fill="auto"/>
            <w:vAlign w:val="bottom"/>
          </w:tcPr>
          <w:p w14:paraId="6D84096F" w14:textId="665F0A77" w:rsidR="00F0708A" w:rsidRPr="00537128" w:rsidRDefault="00F0708A" w:rsidP="00F0708A">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05" w:type="pct"/>
            <w:tcBorders>
              <w:top w:val="nil"/>
              <w:left w:val="nil"/>
              <w:bottom w:val="nil"/>
              <w:right w:val="nil"/>
            </w:tcBorders>
            <w:shd w:val="clear" w:color="auto" w:fill="auto"/>
            <w:vAlign w:val="bottom"/>
          </w:tcPr>
          <w:p w14:paraId="7D6ACF8C" w14:textId="672166DF" w:rsidR="00F0708A" w:rsidRPr="00537128" w:rsidRDefault="00F0708A" w:rsidP="00F0708A">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38" w:type="pct"/>
            <w:tcBorders>
              <w:top w:val="nil"/>
              <w:left w:val="nil"/>
              <w:bottom w:val="nil"/>
              <w:right w:val="nil"/>
            </w:tcBorders>
            <w:shd w:val="clear" w:color="auto" w:fill="auto"/>
            <w:vAlign w:val="bottom"/>
          </w:tcPr>
          <w:p w14:paraId="05A9212E" w14:textId="07746B95" w:rsidR="00F0708A" w:rsidRPr="00537128" w:rsidRDefault="00F0708A" w:rsidP="00F0708A">
            <w:pPr>
              <w:spacing w:after="0" w:line="240" w:lineRule="auto"/>
              <w:jc w:val="right"/>
              <w:rPr>
                <w:rFonts w:ascii="Calibri" w:eastAsia="Calibri" w:hAnsi="Calibri" w:cs="Calibri"/>
                <w:sz w:val="20"/>
                <w:szCs w:val="20"/>
                <w:lang w:val="en-US"/>
              </w:rPr>
            </w:pPr>
            <w:r w:rsidRPr="007A49AD">
              <w:rPr>
                <w:sz w:val="19"/>
                <w:szCs w:val="19"/>
              </w:rPr>
              <w:t xml:space="preserve"> - </w:t>
            </w:r>
          </w:p>
        </w:tc>
      </w:tr>
      <w:tr w:rsidR="00F0708A" w:rsidRPr="00537128" w14:paraId="1C838443" w14:textId="77777777" w:rsidTr="00A1123E">
        <w:trPr>
          <w:trHeight w:hRule="exact" w:val="525"/>
        </w:trPr>
        <w:tc>
          <w:tcPr>
            <w:tcW w:w="1814" w:type="pct"/>
            <w:vAlign w:val="bottom"/>
          </w:tcPr>
          <w:p w14:paraId="454F421D" w14:textId="3C78BF00" w:rsidR="00F0708A" w:rsidRPr="00537128" w:rsidRDefault="00F0708A" w:rsidP="00F0708A">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Net /(release)</w:t>
            </w:r>
            <w:r>
              <w:rPr>
                <w:rFonts w:ascii="Calibri" w:eastAsia="Calibri" w:hAnsi="Calibri" w:cs="Times New Roman"/>
                <w:sz w:val="20"/>
                <w:szCs w:val="20"/>
                <w:lang w:val="en-US"/>
              </w:rPr>
              <w:t>/increase</w:t>
            </w:r>
            <w:r w:rsidRPr="00537128">
              <w:rPr>
                <w:rFonts w:ascii="Calibri" w:eastAsia="Calibri" w:hAnsi="Calibri" w:cs="Times New Roman"/>
                <w:sz w:val="20"/>
                <w:szCs w:val="20"/>
                <w:lang w:val="en-US"/>
              </w:rPr>
              <w:t xml:space="preserve"> of loss allowance</w:t>
            </w:r>
          </w:p>
        </w:tc>
        <w:tc>
          <w:tcPr>
            <w:tcW w:w="650" w:type="pct"/>
            <w:tcBorders>
              <w:top w:val="nil"/>
              <w:left w:val="nil"/>
              <w:bottom w:val="nil"/>
              <w:right w:val="nil"/>
            </w:tcBorders>
            <w:shd w:val="clear" w:color="auto" w:fill="auto"/>
            <w:vAlign w:val="bottom"/>
          </w:tcPr>
          <w:p w14:paraId="0CA828EE" w14:textId="184FDC31" w:rsidR="00F0708A" w:rsidRPr="00537128" w:rsidRDefault="00F0708A" w:rsidP="00F0708A">
            <w:pPr>
              <w:spacing w:after="0" w:line="240" w:lineRule="auto"/>
              <w:jc w:val="right"/>
              <w:rPr>
                <w:rFonts w:ascii="Calibri" w:eastAsia="Calibri" w:hAnsi="Calibri" w:cs="Calibri"/>
                <w:sz w:val="20"/>
                <w:szCs w:val="20"/>
                <w:lang w:val="en-US"/>
              </w:rPr>
            </w:pPr>
            <w:r w:rsidRPr="007A49AD">
              <w:rPr>
                <w:sz w:val="19"/>
                <w:szCs w:val="19"/>
              </w:rPr>
              <w:t xml:space="preserve"> (21)</w:t>
            </w:r>
          </w:p>
        </w:tc>
        <w:tc>
          <w:tcPr>
            <w:tcW w:w="650" w:type="pct"/>
            <w:tcBorders>
              <w:top w:val="nil"/>
              <w:left w:val="nil"/>
              <w:bottom w:val="nil"/>
              <w:right w:val="nil"/>
            </w:tcBorders>
            <w:shd w:val="clear" w:color="auto" w:fill="auto"/>
            <w:vAlign w:val="bottom"/>
          </w:tcPr>
          <w:p w14:paraId="2A36F67F" w14:textId="4ABF0BF5" w:rsidR="00F0708A" w:rsidRPr="00537128" w:rsidRDefault="00F0708A" w:rsidP="00F0708A">
            <w:pPr>
              <w:spacing w:after="0" w:line="240" w:lineRule="auto"/>
              <w:jc w:val="right"/>
              <w:rPr>
                <w:rFonts w:ascii="Calibri" w:eastAsia="Calibri" w:hAnsi="Calibri" w:cs="Calibri"/>
                <w:sz w:val="20"/>
                <w:szCs w:val="20"/>
                <w:lang w:val="en-US"/>
              </w:rPr>
            </w:pPr>
            <w:r w:rsidRPr="007A49AD">
              <w:rPr>
                <w:sz w:val="19"/>
                <w:szCs w:val="19"/>
              </w:rPr>
              <w:t xml:space="preserve"> (3)</w:t>
            </w:r>
          </w:p>
        </w:tc>
        <w:tc>
          <w:tcPr>
            <w:tcW w:w="643" w:type="pct"/>
            <w:tcBorders>
              <w:top w:val="nil"/>
              <w:left w:val="nil"/>
              <w:bottom w:val="nil"/>
              <w:right w:val="nil"/>
            </w:tcBorders>
            <w:shd w:val="clear" w:color="auto" w:fill="auto"/>
            <w:vAlign w:val="bottom"/>
          </w:tcPr>
          <w:p w14:paraId="199B3D48" w14:textId="385B1D5A" w:rsidR="00F0708A" w:rsidRPr="00537128" w:rsidRDefault="00F0708A" w:rsidP="00F0708A">
            <w:pPr>
              <w:spacing w:after="0" w:line="240" w:lineRule="auto"/>
              <w:jc w:val="right"/>
              <w:rPr>
                <w:rFonts w:ascii="Calibri" w:eastAsia="Calibri" w:hAnsi="Calibri" w:cs="Calibri"/>
                <w:sz w:val="20"/>
                <w:szCs w:val="20"/>
                <w:lang w:val="en-US"/>
              </w:rPr>
            </w:pPr>
            <w:r w:rsidRPr="007A49AD">
              <w:rPr>
                <w:sz w:val="19"/>
                <w:szCs w:val="19"/>
              </w:rPr>
              <w:t xml:space="preserve"> 2</w:t>
            </w:r>
            <w:r>
              <w:rPr>
                <w:sz w:val="19"/>
                <w:szCs w:val="19"/>
              </w:rPr>
              <w:t>,</w:t>
            </w:r>
            <w:r w:rsidRPr="007A49AD">
              <w:rPr>
                <w:sz w:val="19"/>
                <w:szCs w:val="19"/>
              </w:rPr>
              <w:t xml:space="preserve">113 </w:t>
            </w:r>
          </w:p>
        </w:tc>
        <w:tc>
          <w:tcPr>
            <w:tcW w:w="605" w:type="pct"/>
            <w:tcBorders>
              <w:top w:val="nil"/>
              <w:left w:val="nil"/>
              <w:bottom w:val="nil"/>
              <w:right w:val="nil"/>
            </w:tcBorders>
            <w:shd w:val="clear" w:color="auto" w:fill="auto"/>
            <w:vAlign w:val="bottom"/>
          </w:tcPr>
          <w:p w14:paraId="738AB025" w14:textId="47374871" w:rsidR="00F0708A" w:rsidRPr="00537128" w:rsidRDefault="00F0708A" w:rsidP="00F0708A">
            <w:pPr>
              <w:spacing w:after="0" w:line="240" w:lineRule="auto"/>
              <w:jc w:val="right"/>
              <w:rPr>
                <w:rFonts w:ascii="Calibri" w:eastAsia="Calibri" w:hAnsi="Calibri" w:cs="Calibri"/>
                <w:sz w:val="20"/>
                <w:szCs w:val="20"/>
                <w:lang w:val="en-US"/>
              </w:rPr>
            </w:pPr>
            <w:r w:rsidRPr="007A49AD">
              <w:rPr>
                <w:sz w:val="19"/>
                <w:szCs w:val="19"/>
              </w:rPr>
              <w:t xml:space="preserve"> (8)</w:t>
            </w:r>
          </w:p>
        </w:tc>
        <w:tc>
          <w:tcPr>
            <w:tcW w:w="638" w:type="pct"/>
            <w:tcBorders>
              <w:top w:val="nil"/>
              <w:left w:val="nil"/>
              <w:bottom w:val="nil"/>
              <w:right w:val="nil"/>
            </w:tcBorders>
            <w:shd w:val="clear" w:color="auto" w:fill="auto"/>
            <w:vAlign w:val="bottom"/>
          </w:tcPr>
          <w:p w14:paraId="2A94761A" w14:textId="7F810971" w:rsidR="00F0708A" w:rsidRPr="00537128" w:rsidRDefault="00F0708A" w:rsidP="00F0708A">
            <w:pPr>
              <w:spacing w:after="0" w:line="240" w:lineRule="auto"/>
              <w:jc w:val="right"/>
              <w:rPr>
                <w:rFonts w:ascii="Calibri" w:eastAsia="Calibri" w:hAnsi="Calibri" w:cs="Calibri"/>
                <w:sz w:val="20"/>
                <w:szCs w:val="20"/>
                <w:lang w:val="en-US"/>
              </w:rPr>
            </w:pPr>
            <w:r w:rsidRPr="007A49AD">
              <w:rPr>
                <w:sz w:val="19"/>
                <w:szCs w:val="19"/>
              </w:rPr>
              <w:t xml:space="preserve"> 2</w:t>
            </w:r>
            <w:r>
              <w:rPr>
                <w:sz w:val="19"/>
                <w:szCs w:val="19"/>
              </w:rPr>
              <w:t>,</w:t>
            </w:r>
            <w:r w:rsidRPr="007A49AD">
              <w:rPr>
                <w:sz w:val="19"/>
                <w:szCs w:val="19"/>
              </w:rPr>
              <w:t xml:space="preserve">081 </w:t>
            </w:r>
          </w:p>
        </w:tc>
      </w:tr>
      <w:tr w:rsidR="00F0708A" w:rsidRPr="00537128" w14:paraId="6D320B9B" w14:textId="77777777" w:rsidTr="00A1123E">
        <w:trPr>
          <w:trHeight w:hRule="exact" w:val="273"/>
        </w:trPr>
        <w:tc>
          <w:tcPr>
            <w:tcW w:w="1814" w:type="pct"/>
            <w:vAlign w:val="bottom"/>
          </w:tcPr>
          <w:p w14:paraId="21BA2B8F" w14:textId="39F637DB" w:rsidR="00F0708A" w:rsidRPr="00537128" w:rsidRDefault="00F0708A" w:rsidP="00F0708A">
            <w:pPr>
              <w:tabs>
                <w:tab w:val="right" w:pos="1202"/>
              </w:tabs>
              <w:spacing w:after="0" w:line="240" w:lineRule="auto"/>
              <w:outlineLvl w:val="0"/>
              <w:rPr>
                <w:rFonts w:ascii="Calibri" w:eastAsia="Calibri" w:hAnsi="Calibri" w:cs="Times New Roman"/>
                <w:sz w:val="20"/>
                <w:szCs w:val="20"/>
                <w:lang w:val="en-US"/>
              </w:rPr>
            </w:pPr>
            <w:r w:rsidRPr="00210F7A">
              <w:rPr>
                <w:rFonts w:ascii="Calibri" w:eastAsia="Calibri" w:hAnsi="Calibri" w:cs="Times New Roman"/>
                <w:sz w:val="19"/>
                <w:szCs w:val="19"/>
                <w:lang w:val="en-GB"/>
              </w:rPr>
              <w:t>Write-offs</w:t>
            </w:r>
          </w:p>
        </w:tc>
        <w:tc>
          <w:tcPr>
            <w:tcW w:w="650" w:type="pct"/>
            <w:tcBorders>
              <w:top w:val="nil"/>
              <w:left w:val="nil"/>
              <w:bottom w:val="nil"/>
              <w:right w:val="nil"/>
            </w:tcBorders>
            <w:shd w:val="clear" w:color="auto" w:fill="auto"/>
            <w:vAlign w:val="bottom"/>
          </w:tcPr>
          <w:p w14:paraId="7E25CF68" w14:textId="5581F281" w:rsidR="00F0708A" w:rsidRPr="00537128" w:rsidRDefault="00F0708A" w:rsidP="00F0708A">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50" w:type="pct"/>
            <w:tcBorders>
              <w:top w:val="nil"/>
              <w:left w:val="nil"/>
              <w:bottom w:val="nil"/>
              <w:right w:val="nil"/>
            </w:tcBorders>
            <w:shd w:val="clear" w:color="auto" w:fill="auto"/>
            <w:vAlign w:val="bottom"/>
          </w:tcPr>
          <w:p w14:paraId="0B92CD68" w14:textId="754127E9" w:rsidR="00F0708A" w:rsidRPr="00537128" w:rsidRDefault="00F0708A" w:rsidP="00F0708A">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43" w:type="pct"/>
            <w:tcBorders>
              <w:top w:val="nil"/>
              <w:left w:val="nil"/>
              <w:bottom w:val="nil"/>
              <w:right w:val="nil"/>
            </w:tcBorders>
            <w:shd w:val="clear" w:color="auto" w:fill="auto"/>
            <w:vAlign w:val="bottom"/>
          </w:tcPr>
          <w:p w14:paraId="19DED5BE" w14:textId="5FA508CF" w:rsidR="00F0708A" w:rsidRPr="00537128" w:rsidRDefault="00F0708A" w:rsidP="00F0708A">
            <w:pPr>
              <w:spacing w:after="0" w:line="240" w:lineRule="auto"/>
              <w:jc w:val="right"/>
              <w:rPr>
                <w:rFonts w:ascii="Calibri" w:eastAsia="Calibri" w:hAnsi="Calibri" w:cs="Calibri"/>
                <w:sz w:val="20"/>
                <w:szCs w:val="20"/>
                <w:lang w:val="en-US"/>
              </w:rPr>
            </w:pPr>
            <w:r w:rsidRPr="007A49AD">
              <w:rPr>
                <w:sz w:val="19"/>
                <w:szCs w:val="19"/>
              </w:rPr>
              <w:t xml:space="preserve"> (27)</w:t>
            </w:r>
          </w:p>
        </w:tc>
        <w:tc>
          <w:tcPr>
            <w:tcW w:w="605" w:type="pct"/>
            <w:tcBorders>
              <w:top w:val="nil"/>
              <w:left w:val="nil"/>
              <w:bottom w:val="nil"/>
              <w:right w:val="nil"/>
            </w:tcBorders>
            <w:shd w:val="clear" w:color="auto" w:fill="auto"/>
            <w:vAlign w:val="bottom"/>
          </w:tcPr>
          <w:p w14:paraId="14BA8E07" w14:textId="594FCE15" w:rsidR="00F0708A" w:rsidRPr="00537128" w:rsidRDefault="00F0708A" w:rsidP="00F0708A">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38" w:type="pct"/>
            <w:tcBorders>
              <w:top w:val="nil"/>
              <w:left w:val="nil"/>
              <w:bottom w:val="nil"/>
              <w:right w:val="nil"/>
            </w:tcBorders>
            <w:shd w:val="clear" w:color="auto" w:fill="auto"/>
            <w:vAlign w:val="bottom"/>
          </w:tcPr>
          <w:p w14:paraId="53E75844" w14:textId="65A1D025" w:rsidR="00F0708A" w:rsidRPr="00537128" w:rsidRDefault="00F0708A" w:rsidP="00F0708A">
            <w:pPr>
              <w:spacing w:after="0" w:line="240" w:lineRule="auto"/>
              <w:jc w:val="right"/>
              <w:rPr>
                <w:rFonts w:ascii="Calibri" w:eastAsia="Calibri" w:hAnsi="Calibri" w:cs="Calibri"/>
                <w:sz w:val="20"/>
                <w:szCs w:val="20"/>
                <w:lang w:val="en-US"/>
              </w:rPr>
            </w:pPr>
            <w:r w:rsidRPr="007A49AD">
              <w:rPr>
                <w:sz w:val="19"/>
                <w:szCs w:val="19"/>
              </w:rPr>
              <w:t xml:space="preserve"> (27)</w:t>
            </w:r>
          </w:p>
        </w:tc>
      </w:tr>
      <w:tr w:rsidR="00F0708A" w:rsidRPr="00537128" w14:paraId="187FAA3B" w14:textId="77777777" w:rsidTr="0081225E">
        <w:trPr>
          <w:trHeight w:hRule="exact" w:val="273"/>
        </w:trPr>
        <w:tc>
          <w:tcPr>
            <w:tcW w:w="1814" w:type="pct"/>
            <w:vAlign w:val="bottom"/>
          </w:tcPr>
          <w:p w14:paraId="7C75B662" w14:textId="77777777" w:rsidR="00F0708A" w:rsidRPr="00537128" w:rsidRDefault="00F0708A" w:rsidP="00F0708A">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Foreclosed assets</w:t>
            </w:r>
          </w:p>
        </w:tc>
        <w:tc>
          <w:tcPr>
            <w:tcW w:w="650" w:type="pct"/>
            <w:tcBorders>
              <w:top w:val="nil"/>
              <w:left w:val="nil"/>
              <w:right w:val="nil"/>
            </w:tcBorders>
            <w:shd w:val="clear" w:color="auto" w:fill="auto"/>
            <w:vAlign w:val="bottom"/>
          </w:tcPr>
          <w:p w14:paraId="4AE2C8B5" w14:textId="0BBB1774" w:rsidR="00F0708A" w:rsidRPr="00537128" w:rsidRDefault="00F0708A" w:rsidP="00F0708A">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50" w:type="pct"/>
            <w:tcBorders>
              <w:top w:val="nil"/>
              <w:left w:val="nil"/>
              <w:right w:val="nil"/>
            </w:tcBorders>
            <w:shd w:val="clear" w:color="auto" w:fill="auto"/>
            <w:vAlign w:val="bottom"/>
          </w:tcPr>
          <w:p w14:paraId="793AB260" w14:textId="237F61DC" w:rsidR="00F0708A" w:rsidRPr="00537128" w:rsidRDefault="00F0708A" w:rsidP="00F0708A">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43" w:type="pct"/>
            <w:tcBorders>
              <w:top w:val="nil"/>
              <w:left w:val="nil"/>
              <w:right w:val="nil"/>
            </w:tcBorders>
            <w:shd w:val="clear" w:color="auto" w:fill="auto"/>
            <w:vAlign w:val="bottom"/>
          </w:tcPr>
          <w:p w14:paraId="5BD9F8EC" w14:textId="68D9E88C" w:rsidR="00F0708A" w:rsidRPr="00537128" w:rsidRDefault="00F0708A" w:rsidP="00F0708A">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05" w:type="pct"/>
            <w:tcBorders>
              <w:top w:val="nil"/>
              <w:left w:val="nil"/>
              <w:right w:val="nil"/>
            </w:tcBorders>
            <w:shd w:val="clear" w:color="auto" w:fill="auto"/>
            <w:vAlign w:val="bottom"/>
          </w:tcPr>
          <w:p w14:paraId="542F4CE0" w14:textId="0ABB2279" w:rsidR="00F0708A" w:rsidRPr="00537128" w:rsidRDefault="00F0708A" w:rsidP="00F0708A">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38" w:type="pct"/>
            <w:tcBorders>
              <w:top w:val="nil"/>
              <w:left w:val="nil"/>
              <w:right w:val="nil"/>
            </w:tcBorders>
            <w:shd w:val="clear" w:color="auto" w:fill="auto"/>
            <w:vAlign w:val="bottom"/>
          </w:tcPr>
          <w:p w14:paraId="35A510BB" w14:textId="482626BE" w:rsidR="00F0708A" w:rsidRPr="00537128" w:rsidRDefault="00F0708A" w:rsidP="00F0708A">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r>
      <w:tr w:rsidR="00F0708A" w:rsidRPr="00537128" w14:paraId="340CE96A" w14:textId="77777777" w:rsidTr="0081225E">
        <w:trPr>
          <w:trHeight w:val="287"/>
        </w:trPr>
        <w:tc>
          <w:tcPr>
            <w:tcW w:w="1814" w:type="pct"/>
            <w:vAlign w:val="bottom"/>
          </w:tcPr>
          <w:p w14:paraId="74B25A2B" w14:textId="77777777" w:rsidR="00F0708A" w:rsidRPr="00537128" w:rsidRDefault="00F0708A" w:rsidP="00F0708A">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Net foreign exchange gain on loss allowances</w:t>
            </w:r>
          </w:p>
        </w:tc>
        <w:tc>
          <w:tcPr>
            <w:tcW w:w="650" w:type="pct"/>
            <w:tcBorders>
              <w:top w:val="nil"/>
              <w:left w:val="nil"/>
              <w:right w:val="nil"/>
            </w:tcBorders>
            <w:shd w:val="clear" w:color="auto" w:fill="auto"/>
            <w:vAlign w:val="bottom"/>
          </w:tcPr>
          <w:p w14:paraId="793A216C" w14:textId="7AA915FF" w:rsidR="00F0708A" w:rsidRPr="00537128" w:rsidRDefault="00F0708A" w:rsidP="00F0708A">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50" w:type="pct"/>
            <w:tcBorders>
              <w:top w:val="nil"/>
              <w:left w:val="nil"/>
              <w:right w:val="nil"/>
            </w:tcBorders>
            <w:shd w:val="clear" w:color="auto" w:fill="auto"/>
            <w:vAlign w:val="bottom"/>
          </w:tcPr>
          <w:p w14:paraId="46212B8A" w14:textId="43BDC2B6" w:rsidR="00F0708A" w:rsidRPr="00537128" w:rsidRDefault="00F0708A" w:rsidP="00F0708A">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43" w:type="pct"/>
            <w:tcBorders>
              <w:top w:val="nil"/>
              <w:left w:val="nil"/>
              <w:right w:val="nil"/>
            </w:tcBorders>
            <w:shd w:val="clear" w:color="auto" w:fill="auto"/>
            <w:vAlign w:val="bottom"/>
          </w:tcPr>
          <w:p w14:paraId="019017FE" w14:textId="61E38952" w:rsidR="00F0708A" w:rsidRPr="00537128" w:rsidRDefault="00F0708A" w:rsidP="00F0708A">
            <w:pPr>
              <w:spacing w:after="0" w:line="240" w:lineRule="auto"/>
              <w:jc w:val="right"/>
              <w:rPr>
                <w:rFonts w:ascii="Calibri" w:eastAsia="Calibri" w:hAnsi="Calibri" w:cs="Calibri"/>
                <w:sz w:val="20"/>
                <w:szCs w:val="20"/>
                <w:lang w:val="en-US"/>
              </w:rPr>
            </w:pPr>
            <w:r w:rsidRPr="007A49AD">
              <w:rPr>
                <w:sz w:val="19"/>
                <w:szCs w:val="19"/>
              </w:rPr>
              <w:t xml:space="preserve"> 5 </w:t>
            </w:r>
          </w:p>
        </w:tc>
        <w:tc>
          <w:tcPr>
            <w:tcW w:w="605" w:type="pct"/>
            <w:tcBorders>
              <w:top w:val="nil"/>
              <w:left w:val="nil"/>
              <w:right w:val="nil"/>
            </w:tcBorders>
            <w:shd w:val="clear" w:color="auto" w:fill="auto"/>
            <w:vAlign w:val="bottom"/>
          </w:tcPr>
          <w:p w14:paraId="0FF509FF" w14:textId="7117FA62" w:rsidR="00F0708A" w:rsidRPr="00537128" w:rsidRDefault="00F0708A" w:rsidP="00F0708A">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38" w:type="pct"/>
            <w:tcBorders>
              <w:top w:val="nil"/>
              <w:left w:val="nil"/>
              <w:right w:val="nil"/>
            </w:tcBorders>
            <w:shd w:val="clear" w:color="auto" w:fill="auto"/>
            <w:vAlign w:val="bottom"/>
          </w:tcPr>
          <w:p w14:paraId="468D413F" w14:textId="3FED7B83" w:rsidR="00F0708A" w:rsidRPr="00537128" w:rsidRDefault="00F0708A" w:rsidP="00F0708A">
            <w:pPr>
              <w:spacing w:after="0" w:line="240" w:lineRule="auto"/>
              <w:jc w:val="right"/>
              <w:rPr>
                <w:rFonts w:ascii="Calibri" w:eastAsia="Calibri" w:hAnsi="Calibri" w:cs="Calibri"/>
                <w:sz w:val="20"/>
                <w:szCs w:val="20"/>
                <w:lang w:val="en-US"/>
              </w:rPr>
            </w:pPr>
            <w:r w:rsidRPr="007A49AD">
              <w:rPr>
                <w:sz w:val="19"/>
                <w:szCs w:val="19"/>
              </w:rPr>
              <w:t xml:space="preserve"> 5 </w:t>
            </w:r>
          </w:p>
        </w:tc>
      </w:tr>
      <w:tr w:rsidR="00F0708A" w:rsidRPr="00537128" w14:paraId="0810639F" w14:textId="77777777" w:rsidTr="0081225E">
        <w:trPr>
          <w:trHeight w:val="287"/>
        </w:trPr>
        <w:tc>
          <w:tcPr>
            <w:tcW w:w="1814" w:type="pct"/>
            <w:vAlign w:val="bottom"/>
          </w:tcPr>
          <w:p w14:paraId="547ED6E2" w14:textId="5736BDE7" w:rsidR="00F0708A" w:rsidRPr="00537128" w:rsidRDefault="00F0708A" w:rsidP="00F0708A">
            <w:pPr>
              <w:tabs>
                <w:tab w:val="right" w:pos="1202"/>
              </w:tabs>
              <w:spacing w:after="0" w:line="240" w:lineRule="auto"/>
              <w:outlineLvl w:val="0"/>
              <w:rPr>
                <w:rFonts w:ascii="Calibri" w:eastAsia="Calibri" w:hAnsi="Calibri" w:cs="Times New Roman"/>
                <w:sz w:val="20"/>
                <w:szCs w:val="20"/>
                <w:lang w:val="en-US"/>
              </w:rPr>
            </w:pPr>
            <w:r w:rsidRPr="00692784">
              <w:rPr>
                <w:rFonts w:ascii="Calibri" w:eastAsia="Calibri" w:hAnsi="Calibri" w:cs="Times New Roman"/>
                <w:sz w:val="19"/>
                <w:szCs w:val="19"/>
                <w:lang w:val="en-GB"/>
              </w:rPr>
              <w:t>Other adjustments</w:t>
            </w:r>
          </w:p>
        </w:tc>
        <w:tc>
          <w:tcPr>
            <w:tcW w:w="650" w:type="pct"/>
            <w:tcBorders>
              <w:left w:val="nil"/>
              <w:bottom w:val="single" w:sz="8" w:space="0" w:color="auto"/>
              <w:right w:val="nil"/>
            </w:tcBorders>
            <w:shd w:val="clear" w:color="auto" w:fill="auto"/>
            <w:vAlign w:val="bottom"/>
          </w:tcPr>
          <w:p w14:paraId="21068E99" w14:textId="14A81873" w:rsidR="00F0708A" w:rsidRPr="00537128" w:rsidRDefault="00F0708A" w:rsidP="00F0708A">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50" w:type="pct"/>
            <w:tcBorders>
              <w:left w:val="nil"/>
              <w:bottom w:val="single" w:sz="8" w:space="0" w:color="auto"/>
              <w:right w:val="nil"/>
            </w:tcBorders>
            <w:shd w:val="clear" w:color="auto" w:fill="auto"/>
            <w:vAlign w:val="bottom"/>
          </w:tcPr>
          <w:p w14:paraId="13993CAE" w14:textId="0FBEAEAD" w:rsidR="00F0708A" w:rsidRPr="00537128" w:rsidRDefault="00F0708A" w:rsidP="00F0708A">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43" w:type="pct"/>
            <w:tcBorders>
              <w:left w:val="nil"/>
              <w:bottom w:val="single" w:sz="8" w:space="0" w:color="auto"/>
              <w:right w:val="nil"/>
            </w:tcBorders>
            <w:shd w:val="clear" w:color="auto" w:fill="auto"/>
            <w:vAlign w:val="bottom"/>
          </w:tcPr>
          <w:p w14:paraId="78B9A26B" w14:textId="213FCD7C" w:rsidR="00F0708A" w:rsidRPr="00537128" w:rsidRDefault="00F0708A" w:rsidP="00F0708A">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05" w:type="pct"/>
            <w:tcBorders>
              <w:left w:val="nil"/>
              <w:bottom w:val="single" w:sz="8" w:space="0" w:color="auto"/>
              <w:right w:val="nil"/>
            </w:tcBorders>
            <w:shd w:val="clear" w:color="auto" w:fill="auto"/>
            <w:vAlign w:val="bottom"/>
          </w:tcPr>
          <w:p w14:paraId="0498E074" w14:textId="27BACF16" w:rsidR="00F0708A" w:rsidRPr="00537128" w:rsidRDefault="00F0708A" w:rsidP="00F0708A">
            <w:pPr>
              <w:spacing w:after="0" w:line="240" w:lineRule="auto"/>
              <w:jc w:val="right"/>
              <w:rPr>
                <w:rFonts w:ascii="Calibri" w:eastAsia="Calibri" w:hAnsi="Calibri" w:cs="Calibri"/>
                <w:sz w:val="20"/>
                <w:szCs w:val="20"/>
                <w:lang w:val="en-US"/>
              </w:rPr>
            </w:pPr>
            <w:r w:rsidRPr="007A49AD">
              <w:rPr>
                <w:sz w:val="19"/>
                <w:szCs w:val="19"/>
              </w:rPr>
              <w:t xml:space="preserve"> 8 </w:t>
            </w:r>
          </w:p>
        </w:tc>
        <w:tc>
          <w:tcPr>
            <w:tcW w:w="638" w:type="pct"/>
            <w:tcBorders>
              <w:left w:val="nil"/>
              <w:bottom w:val="single" w:sz="8" w:space="0" w:color="auto"/>
              <w:right w:val="nil"/>
            </w:tcBorders>
            <w:shd w:val="clear" w:color="auto" w:fill="auto"/>
            <w:vAlign w:val="bottom"/>
          </w:tcPr>
          <w:p w14:paraId="77E78619" w14:textId="44A74BF2" w:rsidR="00F0708A" w:rsidRPr="00537128" w:rsidRDefault="00F0708A" w:rsidP="00F0708A">
            <w:pPr>
              <w:spacing w:after="0" w:line="240" w:lineRule="auto"/>
              <w:jc w:val="right"/>
              <w:rPr>
                <w:rFonts w:ascii="Calibri" w:eastAsia="Calibri" w:hAnsi="Calibri" w:cs="Calibri"/>
                <w:sz w:val="20"/>
                <w:szCs w:val="20"/>
                <w:lang w:val="en-US"/>
              </w:rPr>
            </w:pPr>
            <w:r w:rsidRPr="007A49AD">
              <w:rPr>
                <w:sz w:val="19"/>
                <w:szCs w:val="19"/>
              </w:rPr>
              <w:t xml:space="preserve"> 8 </w:t>
            </w:r>
          </w:p>
        </w:tc>
      </w:tr>
      <w:tr w:rsidR="00F0708A" w:rsidRPr="00537128" w14:paraId="550B79D1" w14:textId="77777777" w:rsidTr="00A1123E">
        <w:trPr>
          <w:trHeight w:val="114"/>
        </w:trPr>
        <w:tc>
          <w:tcPr>
            <w:tcW w:w="1814" w:type="pct"/>
            <w:vAlign w:val="bottom"/>
          </w:tcPr>
          <w:p w14:paraId="6E63494B" w14:textId="35CCA46D" w:rsidR="00F0708A" w:rsidRPr="00537128" w:rsidRDefault="00F0708A" w:rsidP="00F0708A">
            <w:pPr>
              <w:tabs>
                <w:tab w:val="right" w:pos="1202"/>
              </w:tabs>
              <w:spacing w:after="0" w:line="301" w:lineRule="exact"/>
              <w:outlineLvl w:val="0"/>
              <w:rPr>
                <w:rFonts w:ascii="Calibri" w:eastAsia="Calibri" w:hAnsi="Calibri" w:cs="Arial"/>
                <w:b/>
                <w:bCs/>
                <w:sz w:val="20"/>
                <w:szCs w:val="20"/>
                <w:lang w:val="en-US"/>
              </w:rPr>
            </w:pPr>
            <w:r w:rsidRPr="00537128">
              <w:rPr>
                <w:rFonts w:ascii="Calibri" w:eastAsia="Calibri" w:hAnsi="Calibri" w:cs="Arial"/>
                <w:b/>
                <w:bCs/>
                <w:sz w:val="20"/>
                <w:szCs w:val="20"/>
                <w:lang w:val="en-US"/>
              </w:rPr>
              <w:t xml:space="preserve">Balance </w:t>
            </w:r>
            <w:proofErr w:type="gramStart"/>
            <w:r w:rsidRPr="00537128">
              <w:rPr>
                <w:rFonts w:ascii="Calibri" w:eastAsia="Calibri" w:hAnsi="Calibri" w:cs="Arial"/>
                <w:b/>
                <w:bCs/>
                <w:sz w:val="20"/>
                <w:szCs w:val="20"/>
                <w:lang w:val="en-US"/>
              </w:rPr>
              <w:t>at</w:t>
            </w:r>
            <w:proofErr w:type="gramEnd"/>
            <w:r w:rsidRPr="00537128">
              <w:rPr>
                <w:rFonts w:ascii="Calibri" w:eastAsia="Calibri" w:hAnsi="Calibri" w:cs="Arial"/>
                <w:b/>
                <w:bCs/>
                <w:sz w:val="20"/>
                <w:szCs w:val="20"/>
                <w:lang w:val="en-US"/>
              </w:rPr>
              <w:t xml:space="preserve"> 31 March 202</w:t>
            </w:r>
            <w:r>
              <w:rPr>
                <w:rFonts w:ascii="Calibri" w:eastAsia="Calibri" w:hAnsi="Calibri" w:cs="Arial"/>
                <w:b/>
                <w:bCs/>
                <w:sz w:val="20"/>
                <w:szCs w:val="20"/>
                <w:lang w:val="en-US"/>
              </w:rPr>
              <w:t>2</w:t>
            </w:r>
          </w:p>
        </w:tc>
        <w:tc>
          <w:tcPr>
            <w:tcW w:w="650" w:type="pct"/>
            <w:tcBorders>
              <w:top w:val="nil"/>
              <w:left w:val="nil"/>
              <w:bottom w:val="single" w:sz="12" w:space="0" w:color="auto"/>
              <w:right w:val="nil"/>
            </w:tcBorders>
            <w:shd w:val="clear" w:color="auto" w:fill="auto"/>
            <w:vAlign w:val="bottom"/>
          </w:tcPr>
          <w:p w14:paraId="71FFAE84" w14:textId="61194B4B" w:rsidR="00F0708A" w:rsidRPr="00537128" w:rsidRDefault="00F0708A" w:rsidP="00F0708A">
            <w:pPr>
              <w:tabs>
                <w:tab w:val="right" w:pos="1202"/>
              </w:tabs>
              <w:spacing w:after="0" w:line="301" w:lineRule="exact"/>
              <w:jc w:val="right"/>
              <w:outlineLvl w:val="0"/>
              <w:rPr>
                <w:rFonts w:ascii="Calibri" w:eastAsia="Calibri" w:hAnsi="Calibri" w:cs="Arial"/>
                <w:b/>
                <w:bCs/>
                <w:sz w:val="20"/>
                <w:szCs w:val="20"/>
                <w:lang w:val="en-US"/>
              </w:rPr>
            </w:pPr>
            <w:r w:rsidRPr="007A49AD">
              <w:rPr>
                <w:b/>
                <w:bCs/>
                <w:sz w:val="19"/>
                <w:szCs w:val="19"/>
              </w:rPr>
              <w:t xml:space="preserve"> 14 </w:t>
            </w:r>
          </w:p>
        </w:tc>
        <w:tc>
          <w:tcPr>
            <w:tcW w:w="650" w:type="pct"/>
            <w:tcBorders>
              <w:top w:val="nil"/>
              <w:left w:val="nil"/>
              <w:bottom w:val="single" w:sz="12" w:space="0" w:color="auto"/>
              <w:right w:val="nil"/>
            </w:tcBorders>
            <w:shd w:val="clear" w:color="auto" w:fill="auto"/>
            <w:vAlign w:val="bottom"/>
          </w:tcPr>
          <w:p w14:paraId="78D6E9EC" w14:textId="226A67EC" w:rsidR="00F0708A" w:rsidRPr="00537128" w:rsidRDefault="00F0708A" w:rsidP="00F0708A">
            <w:pPr>
              <w:tabs>
                <w:tab w:val="right" w:pos="1202"/>
              </w:tabs>
              <w:spacing w:after="0" w:line="301" w:lineRule="exact"/>
              <w:jc w:val="right"/>
              <w:outlineLvl w:val="0"/>
              <w:rPr>
                <w:rFonts w:ascii="Calibri" w:eastAsia="Calibri" w:hAnsi="Calibri" w:cs="Arial"/>
                <w:b/>
                <w:bCs/>
                <w:sz w:val="20"/>
                <w:szCs w:val="20"/>
                <w:lang w:val="en-US"/>
              </w:rPr>
            </w:pPr>
            <w:r w:rsidRPr="007A49AD">
              <w:rPr>
                <w:b/>
                <w:bCs/>
                <w:sz w:val="19"/>
                <w:szCs w:val="19"/>
              </w:rPr>
              <w:t xml:space="preserve"> 1 </w:t>
            </w:r>
          </w:p>
        </w:tc>
        <w:tc>
          <w:tcPr>
            <w:tcW w:w="643" w:type="pct"/>
            <w:tcBorders>
              <w:top w:val="nil"/>
              <w:left w:val="nil"/>
              <w:bottom w:val="single" w:sz="12" w:space="0" w:color="auto"/>
              <w:right w:val="nil"/>
            </w:tcBorders>
            <w:shd w:val="clear" w:color="auto" w:fill="auto"/>
            <w:vAlign w:val="bottom"/>
          </w:tcPr>
          <w:p w14:paraId="67D8F932" w14:textId="7F879AC9" w:rsidR="00F0708A" w:rsidRPr="00537128" w:rsidRDefault="00F0708A" w:rsidP="00F0708A">
            <w:pPr>
              <w:tabs>
                <w:tab w:val="right" w:pos="1202"/>
              </w:tabs>
              <w:spacing w:after="0" w:line="301" w:lineRule="exact"/>
              <w:jc w:val="right"/>
              <w:outlineLvl w:val="0"/>
              <w:rPr>
                <w:rFonts w:ascii="Calibri" w:eastAsia="Calibri" w:hAnsi="Calibri" w:cs="Arial"/>
                <w:b/>
                <w:bCs/>
                <w:sz w:val="20"/>
                <w:szCs w:val="20"/>
                <w:lang w:val="en-US"/>
              </w:rPr>
            </w:pPr>
            <w:r w:rsidRPr="007A49AD">
              <w:rPr>
                <w:b/>
                <w:bCs/>
                <w:sz w:val="19"/>
                <w:szCs w:val="19"/>
              </w:rPr>
              <w:t xml:space="preserve"> 33</w:t>
            </w:r>
            <w:r>
              <w:rPr>
                <w:b/>
                <w:bCs/>
                <w:sz w:val="19"/>
                <w:szCs w:val="19"/>
              </w:rPr>
              <w:t>,</w:t>
            </w:r>
            <w:r w:rsidRPr="007A49AD">
              <w:rPr>
                <w:b/>
                <w:bCs/>
                <w:sz w:val="19"/>
                <w:szCs w:val="19"/>
              </w:rPr>
              <w:t xml:space="preserve">499 </w:t>
            </w:r>
          </w:p>
        </w:tc>
        <w:tc>
          <w:tcPr>
            <w:tcW w:w="605" w:type="pct"/>
            <w:tcBorders>
              <w:top w:val="nil"/>
              <w:left w:val="nil"/>
              <w:bottom w:val="single" w:sz="12" w:space="0" w:color="auto"/>
              <w:right w:val="nil"/>
            </w:tcBorders>
            <w:shd w:val="clear" w:color="auto" w:fill="auto"/>
            <w:vAlign w:val="bottom"/>
          </w:tcPr>
          <w:p w14:paraId="09DCD3C0" w14:textId="0AC0D421" w:rsidR="00F0708A" w:rsidRPr="00537128" w:rsidRDefault="00F0708A" w:rsidP="00F0708A">
            <w:pPr>
              <w:tabs>
                <w:tab w:val="right" w:pos="1202"/>
              </w:tabs>
              <w:spacing w:after="0" w:line="301" w:lineRule="exact"/>
              <w:jc w:val="right"/>
              <w:outlineLvl w:val="0"/>
              <w:rPr>
                <w:rFonts w:ascii="Calibri" w:eastAsia="Calibri" w:hAnsi="Calibri" w:cs="Arial"/>
                <w:b/>
                <w:bCs/>
                <w:sz w:val="20"/>
                <w:szCs w:val="20"/>
                <w:lang w:val="en-US"/>
              </w:rPr>
            </w:pPr>
            <w:r w:rsidRPr="007A49AD">
              <w:rPr>
                <w:b/>
                <w:bCs/>
                <w:sz w:val="19"/>
                <w:szCs w:val="19"/>
              </w:rPr>
              <w:t xml:space="preserve"> 250 </w:t>
            </w:r>
          </w:p>
        </w:tc>
        <w:tc>
          <w:tcPr>
            <w:tcW w:w="638" w:type="pct"/>
            <w:tcBorders>
              <w:top w:val="nil"/>
              <w:left w:val="nil"/>
              <w:bottom w:val="single" w:sz="12" w:space="0" w:color="auto"/>
              <w:right w:val="nil"/>
            </w:tcBorders>
            <w:shd w:val="clear" w:color="auto" w:fill="auto"/>
            <w:vAlign w:val="bottom"/>
          </w:tcPr>
          <w:p w14:paraId="77B42565" w14:textId="0321F94A" w:rsidR="00F0708A" w:rsidRPr="00537128" w:rsidRDefault="00F0708A" w:rsidP="00F0708A">
            <w:pPr>
              <w:tabs>
                <w:tab w:val="right" w:pos="1202"/>
              </w:tabs>
              <w:spacing w:after="0" w:line="301" w:lineRule="exact"/>
              <w:jc w:val="right"/>
              <w:outlineLvl w:val="0"/>
              <w:rPr>
                <w:rFonts w:ascii="Calibri" w:eastAsia="Calibri" w:hAnsi="Calibri" w:cs="Arial"/>
                <w:b/>
                <w:bCs/>
                <w:sz w:val="20"/>
                <w:szCs w:val="20"/>
                <w:lang w:val="en-US"/>
              </w:rPr>
            </w:pPr>
            <w:r w:rsidRPr="007A49AD">
              <w:rPr>
                <w:b/>
                <w:bCs/>
                <w:sz w:val="19"/>
                <w:szCs w:val="19"/>
              </w:rPr>
              <w:t xml:space="preserve"> 33</w:t>
            </w:r>
            <w:r>
              <w:rPr>
                <w:b/>
                <w:bCs/>
                <w:sz w:val="19"/>
                <w:szCs w:val="19"/>
              </w:rPr>
              <w:t>,</w:t>
            </w:r>
            <w:r w:rsidRPr="007A49AD">
              <w:rPr>
                <w:b/>
                <w:bCs/>
                <w:sz w:val="19"/>
                <w:szCs w:val="19"/>
              </w:rPr>
              <w:t xml:space="preserve">764 </w:t>
            </w:r>
          </w:p>
        </w:tc>
      </w:tr>
    </w:tbl>
    <w:p w14:paraId="73C83FC2" w14:textId="6A1EBC8B" w:rsidR="00824E0F" w:rsidRPr="00537128" w:rsidRDefault="00824E0F" w:rsidP="00024090">
      <w:pPr>
        <w:spacing w:after="0" w:line="240" w:lineRule="auto"/>
        <w:rPr>
          <w:rFonts w:ascii="Calibri" w:eastAsia="Calibri" w:hAnsi="Calibri" w:cs="Times New Roman"/>
          <w:noProof/>
          <w:color w:val="000000" w:themeColor="text1"/>
          <w:lang w:val="en-US"/>
        </w:rPr>
      </w:pPr>
    </w:p>
    <w:p w14:paraId="38341DBD" w14:textId="4265B9C5" w:rsidR="004A287E" w:rsidRPr="00537128" w:rsidRDefault="004A287E" w:rsidP="00024090">
      <w:pPr>
        <w:spacing w:after="0" w:line="240" w:lineRule="auto"/>
        <w:rPr>
          <w:rFonts w:ascii="Calibri" w:eastAsia="Calibri" w:hAnsi="Calibri" w:cs="Times New Roman"/>
          <w:noProof/>
          <w:color w:val="000000" w:themeColor="text1"/>
          <w:lang w:val="en-US"/>
        </w:rPr>
      </w:pPr>
    </w:p>
    <w:p w14:paraId="539499CD" w14:textId="77777777" w:rsidR="004A287E" w:rsidRPr="00537128" w:rsidRDefault="004A287E" w:rsidP="00024090">
      <w:pPr>
        <w:spacing w:after="0" w:line="240" w:lineRule="auto"/>
        <w:rPr>
          <w:rFonts w:ascii="Calibri" w:eastAsia="Calibri" w:hAnsi="Calibri" w:cs="Times New Roman"/>
          <w:noProof/>
          <w:color w:val="000000" w:themeColor="text1"/>
          <w:lang w:val="en-US"/>
        </w:rPr>
      </w:pPr>
    </w:p>
    <w:p w14:paraId="6442E245" w14:textId="77777777" w:rsidR="00824E0F" w:rsidRPr="00537128" w:rsidRDefault="00824E0F"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F56B08" w:rsidRPr="00F56B08" w14:paraId="38924E12" w14:textId="77777777" w:rsidTr="00E44437">
        <w:trPr>
          <w:trHeight w:val="160"/>
        </w:trPr>
        <w:tc>
          <w:tcPr>
            <w:tcW w:w="1814" w:type="pct"/>
          </w:tcPr>
          <w:p w14:paraId="6DD0D5B4" w14:textId="77777777" w:rsidR="00F56B08" w:rsidRPr="00F56B08" w:rsidRDefault="00F56B08" w:rsidP="00F56B08">
            <w:pPr>
              <w:spacing w:after="0" w:line="240" w:lineRule="auto"/>
              <w:rPr>
                <w:rFonts w:ascii="Calibri" w:eastAsia="Calibri" w:hAnsi="Calibri" w:cs="Arial"/>
                <w:b/>
                <w:bCs/>
                <w:sz w:val="20"/>
                <w:szCs w:val="20"/>
                <w:lang w:val="en-GB"/>
              </w:rPr>
            </w:pPr>
            <w:r w:rsidRPr="00F56B08">
              <w:rPr>
                <w:rFonts w:ascii="Calibri" w:eastAsia="Calibri" w:hAnsi="Calibri" w:cs="Arial"/>
                <w:b/>
                <w:bCs/>
                <w:sz w:val="20"/>
                <w:szCs w:val="20"/>
                <w:lang w:val="en-GB"/>
              </w:rPr>
              <w:br w:type="page"/>
              <w:t>Bank</w:t>
            </w:r>
          </w:p>
        </w:tc>
        <w:tc>
          <w:tcPr>
            <w:tcW w:w="3186" w:type="pct"/>
            <w:gridSpan w:val="5"/>
            <w:vAlign w:val="bottom"/>
          </w:tcPr>
          <w:p w14:paraId="7FA358CB" w14:textId="77777777" w:rsidR="00F56B08" w:rsidRPr="00F56B08" w:rsidRDefault="00F56B08" w:rsidP="00F56B08">
            <w:pPr>
              <w:spacing w:after="0" w:line="240" w:lineRule="auto"/>
              <w:jc w:val="center"/>
              <w:rPr>
                <w:rFonts w:ascii="Calibri" w:eastAsia="Calibri" w:hAnsi="Calibri" w:cs="Arial"/>
                <w:b/>
                <w:sz w:val="20"/>
                <w:szCs w:val="20"/>
                <w:lang w:val="en-GB"/>
              </w:rPr>
            </w:pPr>
          </w:p>
        </w:tc>
      </w:tr>
      <w:tr w:rsidR="00F56B08" w:rsidRPr="00F56B08" w14:paraId="6C7DDFF2" w14:textId="77777777" w:rsidTr="00E44437">
        <w:trPr>
          <w:trHeight w:val="51"/>
        </w:trPr>
        <w:tc>
          <w:tcPr>
            <w:tcW w:w="1814" w:type="pct"/>
          </w:tcPr>
          <w:p w14:paraId="5FC9D8C9" w14:textId="77777777" w:rsidR="00F56B08" w:rsidRPr="00F56B08" w:rsidRDefault="00F56B08" w:rsidP="00F56B08">
            <w:pPr>
              <w:spacing w:after="0" w:line="240" w:lineRule="auto"/>
              <w:rPr>
                <w:rFonts w:ascii="Calibri" w:eastAsia="Calibri" w:hAnsi="Calibri" w:cs="Arial"/>
                <w:b/>
                <w:bCs/>
                <w:sz w:val="20"/>
                <w:szCs w:val="20"/>
                <w:lang w:val="en-GB"/>
              </w:rPr>
            </w:pPr>
            <w:r w:rsidRPr="00F56B08">
              <w:rPr>
                <w:rFonts w:ascii="Calibri" w:eastAsia="Calibri" w:hAnsi="Calibri" w:cs="Arial"/>
                <w:b/>
                <w:bCs/>
                <w:sz w:val="20"/>
                <w:szCs w:val="20"/>
                <w:lang w:val="en-GB"/>
              </w:rPr>
              <w:t>31 December 2021</w:t>
            </w:r>
          </w:p>
        </w:tc>
        <w:tc>
          <w:tcPr>
            <w:tcW w:w="650" w:type="pct"/>
            <w:vAlign w:val="bottom"/>
          </w:tcPr>
          <w:p w14:paraId="5D8E8576" w14:textId="77777777" w:rsidR="00F56B08" w:rsidRPr="00F56B08" w:rsidRDefault="00F56B08" w:rsidP="00F56B08">
            <w:pPr>
              <w:spacing w:after="0" w:line="240" w:lineRule="auto"/>
              <w:jc w:val="right"/>
              <w:rPr>
                <w:rFonts w:ascii="Calibri" w:eastAsia="Calibri" w:hAnsi="Calibri" w:cs="Arial"/>
                <w:b/>
                <w:sz w:val="20"/>
                <w:szCs w:val="20"/>
                <w:lang w:val="en-GB"/>
              </w:rPr>
            </w:pPr>
            <w:r w:rsidRPr="00F56B08">
              <w:rPr>
                <w:rFonts w:ascii="Calibri" w:eastAsia="Calibri" w:hAnsi="Calibri" w:cs="Arial"/>
                <w:b/>
                <w:sz w:val="20"/>
                <w:szCs w:val="20"/>
                <w:lang w:val="en-GB"/>
              </w:rPr>
              <w:t>Stage 1</w:t>
            </w:r>
          </w:p>
        </w:tc>
        <w:tc>
          <w:tcPr>
            <w:tcW w:w="650" w:type="pct"/>
            <w:vAlign w:val="bottom"/>
          </w:tcPr>
          <w:p w14:paraId="3FA2F608" w14:textId="77777777" w:rsidR="00F56B08" w:rsidRPr="00F56B08" w:rsidRDefault="00F56B08" w:rsidP="00F56B08">
            <w:pPr>
              <w:spacing w:after="0" w:line="240" w:lineRule="auto"/>
              <w:jc w:val="right"/>
              <w:rPr>
                <w:rFonts w:ascii="Calibri" w:eastAsia="Calibri" w:hAnsi="Calibri" w:cs="Arial"/>
                <w:b/>
                <w:sz w:val="20"/>
                <w:szCs w:val="20"/>
                <w:lang w:val="en-GB"/>
              </w:rPr>
            </w:pPr>
            <w:r w:rsidRPr="00F56B08">
              <w:rPr>
                <w:rFonts w:ascii="Calibri" w:eastAsia="Calibri" w:hAnsi="Calibri" w:cs="Arial"/>
                <w:b/>
                <w:sz w:val="20"/>
                <w:szCs w:val="20"/>
                <w:lang w:val="en-GB"/>
              </w:rPr>
              <w:t>Stage 2</w:t>
            </w:r>
          </w:p>
        </w:tc>
        <w:tc>
          <w:tcPr>
            <w:tcW w:w="643" w:type="pct"/>
            <w:vAlign w:val="bottom"/>
          </w:tcPr>
          <w:p w14:paraId="69C5558A" w14:textId="77777777" w:rsidR="00F56B08" w:rsidRPr="00F56B08" w:rsidRDefault="00F56B08" w:rsidP="00F56B08">
            <w:pPr>
              <w:spacing w:after="0" w:line="240" w:lineRule="auto"/>
              <w:jc w:val="right"/>
              <w:rPr>
                <w:rFonts w:ascii="Calibri" w:eastAsia="Calibri" w:hAnsi="Calibri" w:cs="Arial"/>
                <w:b/>
                <w:sz w:val="20"/>
                <w:szCs w:val="20"/>
                <w:lang w:val="en-GB"/>
              </w:rPr>
            </w:pPr>
            <w:r w:rsidRPr="00F56B08">
              <w:rPr>
                <w:rFonts w:ascii="Calibri" w:eastAsia="Calibri" w:hAnsi="Calibri" w:cs="Arial"/>
                <w:b/>
                <w:sz w:val="20"/>
                <w:szCs w:val="20"/>
                <w:lang w:val="en-GB"/>
              </w:rPr>
              <w:t>Stage 3</w:t>
            </w:r>
          </w:p>
        </w:tc>
        <w:tc>
          <w:tcPr>
            <w:tcW w:w="605" w:type="pct"/>
            <w:vAlign w:val="bottom"/>
          </w:tcPr>
          <w:p w14:paraId="526F77A8" w14:textId="77777777" w:rsidR="00F56B08" w:rsidRPr="00F56B08" w:rsidRDefault="00F56B08" w:rsidP="00F56B08">
            <w:pPr>
              <w:spacing w:after="0" w:line="240" w:lineRule="auto"/>
              <w:jc w:val="right"/>
              <w:rPr>
                <w:rFonts w:ascii="Calibri" w:eastAsia="Calibri" w:hAnsi="Calibri" w:cs="Arial"/>
                <w:b/>
                <w:sz w:val="20"/>
                <w:szCs w:val="20"/>
                <w:lang w:val="en-GB"/>
              </w:rPr>
            </w:pPr>
            <w:r w:rsidRPr="00F56B08">
              <w:rPr>
                <w:rFonts w:ascii="Calibri" w:eastAsia="Calibri" w:hAnsi="Calibri" w:cs="Arial"/>
                <w:b/>
                <w:sz w:val="20"/>
                <w:szCs w:val="20"/>
                <w:lang w:val="en-GB"/>
              </w:rPr>
              <w:t>POCI</w:t>
            </w:r>
          </w:p>
        </w:tc>
        <w:tc>
          <w:tcPr>
            <w:tcW w:w="638" w:type="pct"/>
            <w:vAlign w:val="bottom"/>
          </w:tcPr>
          <w:p w14:paraId="194E50C9" w14:textId="77777777" w:rsidR="00F56B08" w:rsidRPr="00F56B08" w:rsidRDefault="00F56B08" w:rsidP="00F56B08">
            <w:pPr>
              <w:spacing w:after="0" w:line="240" w:lineRule="auto"/>
              <w:jc w:val="right"/>
              <w:rPr>
                <w:rFonts w:ascii="Calibri" w:eastAsia="Calibri" w:hAnsi="Calibri" w:cs="Arial"/>
                <w:b/>
                <w:sz w:val="20"/>
                <w:szCs w:val="20"/>
                <w:lang w:val="en-GB"/>
              </w:rPr>
            </w:pPr>
            <w:r w:rsidRPr="00F56B08">
              <w:rPr>
                <w:rFonts w:ascii="Calibri" w:eastAsia="Calibri" w:hAnsi="Calibri" w:cs="Arial"/>
                <w:b/>
                <w:sz w:val="20"/>
                <w:szCs w:val="20"/>
                <w:lang w:val="en-GB"/>
              </w:rPr>
              <w:t>Total</w:t>
            </w:r>
          </w:p>
        </w:tc>
      </w:tr>
      <w:tr w:rsidR="00F56B08" w:rsidRPr="00F56B08" w14:paraId="39BBE29C" w14:textId="77777777" w:rsidTr="00E44437">
        <w:trPr>
          <w:trHeight w:val="51"/>
        </w:trPr>
        <w:tc>
          <w:tcPr>
            <w:tcW w:w="1814" w:type="pct"/>
          </w:tcPr>
          <w:p w14:paraId="34053835" w14:textId="77777777" w:rsidR="00F56B08" w:rsidRPr="00F56B08" w:rsidRDefault="00F56B08" w:rsidP="00F56B08">
            <w:pPr>
              <w:spacing w:after="0" w:line="240" w:lineRule="auto"/>
              <w:rPr>
                <w:rFonts w:ascii="Calibri" w:eastAsia="Calibri" w:hAnsi="Calibri" w:cs="Arial"/>
                <w:b/>
                <w:bCs/>
                <w:sz w:val="20"/>
                <w:szCs w:val="20"/>
                <w:lang w:val="en-GB"/>
              </w:rPr>
            </w:pPr>
          </w:p>
        </w:tc>
        <w:tc>
          <w:tcPr>
            <w:tcW w:w="650" w:type="pct"/>
          </w:tcPr>
          <w:p w14:paraId="474A154E" w14:textId="77777777" w:rsidR="00F56B08" w:rsidRPr="00F56B08" w:rsidRDefault="00F56B08" w:rsidP="00F56B08">
            <w:pPr>
              <w:spacing w:after="0" w:line="240" w:lineRule="auto"/>
              <w:jc w:val="right"/>
              <w:rPr>
                <w:rFonts w:ascii="Calibri" w:eastAsia="Calibri" w:hAnsi="Calibri" w:cs="Arial"/>
                <w:b/>
                <w:sz w:val="20"/>
                <w:szCs w:val="20"/>
                <w:lang w:val="en-GB"/>
              </w:rPr>
            </w:pPr>
            <w:r w:rsidRPr="00F56B08">
              <w:rPr>
                <w:rFonts w:ascii="Calibri" w:eastAsia="Calibri" w:hAnsi="Calibri" w:cs="Arial"/>
                <w:b/>
                <w:sz w:val="20"/>
                <w:szCs w:val="20"/>
                <w:lang w:val="en-GB"/>
              </w:rPr>
              <w:t>HRK ‘000</w:t>
            </w:r>
          </w:p>
        </w:tc>
        <w:tc>
          <w:tcPr>
            <w:tcW w:w="650" w:type="pct"/>
          </w:tcPr>
          <w:p w14:paraId="00203931" w14:textId="77777777" w:rsidR="00F56B08" w:rsidRPr="00F56B08" w:rsidRDefault="00F56B08" w:rsidP="00F56B08">
            <w:pPr>
              <w:spacing w:after="0" w:line="240" w:lineRule="auto"/>
              <w:jc w:val="right"/>
              <w:rPr>
                <w:rFonts w:ascii="Calibri" w:eastAsia="Calibri" w:hAnsi="Calibri" w:cs="Arial"/>
                <w:b/>
                <w:sz w:val="20"/>
                <w:szCs w:val="20"/>
                <w:lang w:val="en-GB"/>
              </w:rPr>
            </w:pPr>
            <w:r w:rsidRPr="00F56B08">
              <w:rPr>
                <w:rFonts w:ascii="Calibri" w:eastAsia="Calibri" w:hAnsi="Calibri" w:cs="Arial"/>
                <w:b/>
                <w:sz w:val="20"/>
                <w:szCs w:val="20"/>
                <w:lang w:val="en-GB"/>
              </w:rPr>
              <w:t>HRK ‘000</w:t>
            </w:r>
          </w:p>
        </w:tc>
        <w:tc>
          <w:tcPr>
            <w:tcW w:w="643" w:type="pct"/>
          </w:tcPr>
          <w:p w14:paraId="6F3EB6D5" w14:textId="77777777" w:rsidR="00F56B08" w:rsidRPr="00F56B08" w:rsidRDefault="00F56B08" w:rsidP="00F56B08">
            <w:pPr>
              <w:spacing w:after="0" w:line="240" w:lineRule="auto"/>
              <w:jc w:val="right"/>
              <w:rPr>
                <w:rFonts w:ascii="Calibri" w:eastAsia="Calibri" w:hAnsi="Calibri" w:cs="Arial"/>
                <w:b/>
                <w:sz w:val="20"/>
                <w:szCs w:val="20"/>
                <w:lang w:val="en-GB"/>
              </w:rPr>
            </w:pPr>
            <w:r w:rsidRPr="00F56B08">
              <w:rPr>
                <w:rFonts w:ascii="Calibri" w:eastAsia="Calibri" w:hAnsi="Calibri" w:cs="Arial"/>
                <w:b/>
                <w:sz w:val="20"/>
                <w:szCs w:val="20"/>
                <w:lang w:val="en-GB"/>
              </w:rPr>
              <w:t>HRK ‘000</w:t>
            </w:r>
          </w:p>
        </w:tc>
        <w:tc>
          <w:tcPr>
            <w:tcW w:w="605" w:type="pct"/>
          </w:tcPr>
          <w:p w14:paraId="53F905C3" w14:textId="77777777" w:rsidR="00F56B08" w:rsidRPr="00F56B08" w:rsidRDefault="00F56B08" w:rsidP="00F56B08">
            <w:pPr>
              <w:spacing w:after="0" w:line="240" w:lineRule="auto"/>
              <w:jc w:val="right"/>
              <w:rPr>
                <w:rFonts w:ascii="Calibri" w:eastAsia="Calibri" w:hAnsi="Calibri" w:cs="Arial"/>
                <w:b/>
                <w:sz w:val="20"/>
                <w:szCs w:val="20"/>
                <w:lang w:val="en-GB"/>
              </w:rPr>
            </w:pPr>
            <w:r w:rsidRPr="00F56B08">
              <w:rPr>
                <w:rFonts w:ascii="Calibri" w:eastAsia="Calibri" w:hAnsi="Calibri" w:cs="Arial"/>
                <w:b/>
                <w:sz w:val="20"/>
                <w:szCs w:val="20"/>
                <w:lang w:val="en-GB"/>
              </w:rPr>
              <w:t>HRK ‘000</w:t>
            </w:r>
          </w:p>
        </w:tc>
        <w:tc>
          <w:tcPr>
            <w:tcW w:w="638" w:type="pct"/>
          </w:tcPr>
          <w:p w14:paraId="135EDFC9" w14:textId="77777777" w:rsidR="00F56B08" w:rsidRPr="00F56B08" w:rsidRDefault="00F56B08" w:rsidP="00F56B08">
            <w:pPr>
              <w:spacing w:after="0" w:line="240" w:lineRule="auto"/>
              <w:jc w:val="right"/>
              <w:rPr>
                <w:rFonts w:ascii="Calibri" w:eastAsia="Calibri" w:hAnsi="Calibri" w:cs="Arial"/>
                <w:b/>
                <w:sz w:val="20"/>
                <w:szCs w:val="20"/>
                <w:lang w:val="en-GB"/>
              </w:rPr>
            </w:pPr>
            <w:r w:rsidRPr="00F56B08">
              <w:rPr>
                <w:rFonts w:ascii="Calibri" w:eastAsia="Calibri" w:hAnsi="Calibri" w:cs="Arial"/>
                <w:b/>
                <w:sz w:val="20"/>
                <w:szCs w:val="20"/>
                <w:lang w:val="en-GB"/>
              </w:rPr>
              <w:t>HRK ‘000</w:t>
            </w:r>
          </w:p>
        </w:tc>
      </w:tr>
      <w:tr w:rsidR="00F56B08" w:rsidRPr="00F56B08" w14:paraId="76BE6791" w14:textId="77777777" w:rsidTr="00E44437">
        <w:trPr>
          <w:trHeight w:val="51"/>
        </w:trPr>
        <w:tc>
          <w:tcPr>
            <w:tcW w:w="1814" w:type="pct"/>
          </w:tcPr>
          <w:p w14:paraId="77F1442C" w14:textId="77777777" w:rsidR="00F56B08" w:rsidRPr="00F56B08" w:rsidRDefault="00F56B08" w:rsidP="00F56B08">
            <w:pPr>
              <w:spacing w:after="0" w:line="240" w:lineRule="auto"/>
              <w:rPr>
                <w:rFonts w:ascii="Calibri" w:eastAsia="Calibri" w:hAnsi="Calibri" w:cs="Arial"/>
                <w:b/>
                <w:bCs/>
                <w:sz w:val="20"/>
                <w:szCs w:val="20"/>
                <w:lang w:val="en-GB"/>
              </w:rPr>
            </w:pPr>
          </w:p>
        </w:tc>
        <w:tc>
          <w:tcPr>
            <w:tcW w:w="650" w:type="pct"/>
          </w:tcPr>
          <w:p w14:paraId="7DD15374" w14:textId="77777777" w:rsidR="00F56B08" w:rsidRPr="00F56B08" w:rsidRDefault="00F56B08" w:rsidP="00F56B08">
            <w:pPr>
              <w:spacing w:after="0" w:line="240" w:lineRule="auto"/>
              <w:jc w:val="right"/>
              <w:rPr>
                <w:rFonts w:ascii="Calibri" w:eastAsia="Calibri" w:hAnsi="Calibri" w:cs="Arial"/>
                <w:b/>
                <w:sz w:val="20"/>
                <w:szCs w:val="20"/>
                <w:lang w:val="en-GB"/>
              </w:rPr>
            </w:pPr>
          </w:p>
        </w:tc>
        <w:tc>
          <w:tcPr>
            <w:tcW w:w="650" w:type="pct"/>
          </w:tcPr>
          <w:p w14:paraId="627B7290" w14:textId="77777777" w:rsidR="00F56B08" w:rsidRPr="00F56B08" w:rsidRDefault="00F56B08" w:rsidP="00F56B08">
            <w:pPr>
              <w:spacing w:after="0" w:line="240" w:lineRule="auto"/>
              <w:jc w:val="right"/>
              <w:rPr>
                <w:rFonts w:ascii="Calibri" w:eastAsia="Calibri" w:hAnsi="Calibri" w:cs="Arial"/>
                <w:b/>
                <w:sz w:val="20"/>
                <w:szCs w:val="20"/>
                <w:lang w:val="en-GB"/>
              </w:rPr>
            </w:pPr>
          </w:p>
        </w:tc>
        <w:tc>
          <w:tcPr>
            <w:tcW w:w="643" w:type="pct"/>
          </w:tcPr>
          <w:p w14:paraId="34E6EE08" w14:textId="77777777" w:rsidR="00F56B08" w:rsidRPr="00F56B08" w:rsidRDefault="00F56B08" w:rsidP="00F56B08">
            <w:pPr>
              <w:spacing w:after="0" w:line="240" w:lineRule="auto"/>
              <w:jc w:val="right"/>
              <w:rPr>
                <w:rFonts w:ascii="Calibri" w:eastAsia="Calibri" w:hAnsi="Calibri" w:cs="Arial"/>
                <w:b/>
                <w:sz w:val="20"/>
                <w:szCs w:val="20"/>
                <w:lang w:val="en-GB"/>
              </w:rPr>
            </w:pPr>
          </w:p>
        </w:tc>
        <w:tc>
          <w:tcPr>
            <w:tcW w:w="605" w:type="pct"/>
          </w:tcPr>
          <w:p w14:paraId="1A467C14" w14:textId="77777777" w:rsidR="00F56B08" w:rsidRPr="00F56B08" w:rsidRDefault="00F56B08" w:rsidP="00F56B08">
            <w:pPr>
              <w:spacing w:after="0" w:line="240" w:lineRule="auto"/>
              <w:jc w:val="right"/>
              <w:rPr>
                <w:rFonts w:ascii="Calibri" w:eastAsia="Calibri" w:hAnsi="Calibri" w:cs="Arial"/>
                <w:b/>
                <w:sz w:val="20"/>
                <w:szCs w:val="20"/>
                <w:lang w:val="en-GB"/>
              </w:rPr>
            </w:pPr>
          </w:p>
        </w:tc>
        <w:tc>
          <w:tcPr>
            <w:tcW w:w="638" w:type="pct"/>
          </w:tcPr>
          <w:p w14:paraId="1D12D692" w14:textId="77777777" w:rsidR="00F56B08" w:rsidRPr="00F56B08" w:rsidRDefault="00F56B08" w:rsidP="00F56B08">
            <w:pPr>
              <w:spacing w:after="0" w:line="240" w:lineRule="auto"/>
              <w:jc w:val="right"/>
              <w:rPr>
                <w:rFonts w:ascii="Calibri" w:eastAsia="Calibri" w:hAnsi="Calibri" w:cs="Arial"/>
                <w:b/>
                <w:sz w:val="20"/>
                <w:szCs w:val="20"/>
                <w:lang w:val="en-GB"/>
              </w:rPr>
            </w:pPr>
          </w:p>
        </w:tc>
      </w:tr>
      <w:tr w:rsidR="00F56B08" w:rsidRPr="00F56B08" w14:paraId="5E3AAF8E" w14:textId="77777777" w:rsidTr="00E44437">
        <w:trPr>
          <w:trHeight w:hRule="exact" w:val="244"/>
        </w:trPr>
        <w:tc>
          <w:tcPr>
            <w:tcW w:w="1814" w:type="pct"/>
            <w:vAlign w:val="bottom"/>
          </w:tcPr>
          <w:p w14:paraId="01981F4A" w14:textId="77777777" w:rsidR="00F56B08" w:rsidRPr="00F56B08" w:rsidRDefault="00F56B08" w:rsidP="00F56B08">
            <w:pPr>
              <w:tabs>
                <w:tab w:val="right" w:pos="1202"/>
              </w:tabs>
              <w:spacing w:after="0" w:line="240" w:lineRule="auto"/>
              <w:outlineLvl w:val="0"/>
              <w:rPr>
                <w:rFonts w:ascii="Calibri" w:eastAsia="Calibri" w:hAnsi="Calibri" w:cs="Times New Roman"/>
                <w:sz w:val="20"/>
                <w:szCs w:val="20"/>
                <w:lang w:val="en-GB"/>
              </w:rPr>
            </w:pPr>
            <w:r w:rsidRPr="00F56B08">
              <w:rPr>
                <w:rFonts w:ascii="Calibri" w:eastAsia="Calibri" w:hAnsi="Calibri" w:cs="Times New Roman"/>
                <w:sz w:val="20"/>
                <w:szCs w:val="20"/>
                <w:lang w:val="en-GB"/>
              </w:rPr>
              <w:t xml:space="preserve">Balance </w:t>
            </w:r>
            <w:proofErr w:type="gramStart"/>
            <w:r w:rsidRPr="00F56B08">
              <w:rPr>
                <w:rFonts w:ascii="Calibri" w:eastAsia="Calibri" w:hAnsi="Calibri" w:cs="Times New Roman"/>
                <w:sz w:val="20"/>
                <w:szCs w:val="20"/>
                <w:lang w:val="en-GB"/>
              </w:rPr>
              <w:t>at</w:t>
            </w:r>
            <w:proofErr w:type="gramEnd"/>
            <w:r w:rsidRPr="00F56B08">
              <w:rPr>
                <w:rFonts w:ascii="Calibri" w:eastAsia="Calibri" w:hAnsi="Calibri" w:cs="Times New Roman"/>
                <w:sz w:val="20"/>
                <w:szCs w:val="20"/>
                <w:lang w:val="en-GB"/>
              </w:rPr>
              <w:t xml:space="preserve"> 1 January 2021</w:t>
            </w:r>
          </w:p>
        </w:tc>
        <w:tc>
          <w:tcPr>
            <w:tcW w:w="650" w:type="pct"/>
            <w:tcBorders>
              <w:top w:val="nil"/>
              <w:left w:val="nil"/>
              <w:bottom w:val="nil"/>
              <w:right w:val="nil"/>
            </w:tcBorders>
            <w:shd w:val="clear" w:color="auto" w:fill="auto"/>
          </w:tcPr>
          <w:p w14:paraId="43F505DE" w14:textId="77777777" w:rsidR="00F56B08" w:rsidRPr="00F56B08" w:rsidRDefault="00F56B08" w:rsidP="00F56B08">
            <w:pPr>
              <w:spacing w:after="0" w:line="240" w:lineRule="auto"/>
              <w:jc w:val="right"/>
              <w:rPr>
                <w:rFonts w:ascii="Calibri" w:eastAsia="Calibri" w:hAnsi="Calibri" w:cs="Calibri"/>
                <w:sz w:val="20"/>
                <w:szCs w:val="20"/>
                <w:lang w:val="en-GB"/>
              </w:rPr>
            </w:pPr>
            <w:r w:rsidRPr="00F56B08">
              <w:rPr>
                <w:rFonts w:ascii="Calibri" w:eastAsia="Times New Roman" w:hAnsi="Calibri" w:cs="Times New Roman"/>
                <w:sz w:val="19"/>
                <w:szCs w:val="19"/>
                <w:lang w:val="en-US"/>
              </w:rPr>
              <w:t xml:space="preserve"> 31 </w:t>
            </w:r>
          </w:p>
        </w:tc>
        <w:tc>
          <w:tcPr>
            <w:tcW w:w="650" w:type="pct"/>
            <w:tcBorders>
              <w:top w:val="nil"/>
              <w:left w:val="nil"/>
              <w:bottom w:val="nil"/>
              <w:right w:val="nil"/>
            </w:tcBorders>
            <w:shd w:val="clear" w:color="auto" w:fill="auto"/>
          </w:tcPr>
          <w:p w14:paraId="29EEE107" w14:textId="77777777" w:rsidR="00F56B08" w:rsidRPr="00F56B08" w:rsidRDefault="00F56B08" w:rsidP="00F56B08">
            <w:pPr>
              <w:spacing w:after="0" w:line="240" w:lineRule="auto"/>
              <w:jc w:val="right"/>
              <w:rPr>
                <w:rFonts w:ascii="Calibri" w:eastAsia="Calibri" w:hAnsi="Calibri" w:cs="Calibri"/>
                <w:sz w:val="20"/>
                <w:szCs w:val="20"/>
                <w:lang w:val="en-GB"/>
              </w:rPr>
            </w:pPr>
            <w:r w:rsidRPr="00F56B08">
              <w:rPr>
                <w:rFonts w:ascii="Calibri" w:eastAsia="Times New Roman" w:hAnsi="Calibri" w:cs="Times New Roman"/>
                <w:sz w:val="19"/>
                <w:szCs w:val="19"/>
                <w:lang w:val="en-US"/>
              </w:rPr>
              <w:t xml:space="preserve"> 1 </w:t>
            </w:r>
          </w:p>
        </w:tc>
        <w:tc>
          <w:tcPr>
            <w:tcW w:w="643" w:type="pct"/>
            <w:tcBorders>
              <w:top w:val="nil"/>
              <w:left w:val="nil"/>
              <w:bottom w:val="nil"/>
              <w:right w:val="nil"/>
            </w:tcBorders>
            <w:shd w:val="clear" w:color="auto" w:fill="auto"/>
          </w:tcPr>
          <w:p w14:paraId="4C3BA481" w14:textId="77777777" w:rsidR="00F56B08" w:rsidRPr="00F56B08" w:rsidRDefault="00F56B08" w:rsidP="00F56B08">
            <w:pPr>
              <w:spacing w:after="0" w:line="240" w:lineRule="auto"/>
              <w:jc w:val="right"/>
              <w:rPr>
                <w:rFonts w:ascii="Calibri" w:eastAsia="Calibri" w:hAnsi="Calibri" w:cs="Calibri"/>
                <w:sz w:val="20"/>
                <w:szCs w:val="20"/>
                <w:lang w:val="en-GB"/>
              </w:rPr>
            </w:pPr>
            <w:r w:rsidRPr="00F56B08">
              <w:rPr>
                <w:rFonts w:ascii="Calibri" w:eastAsia="Times New Roman" w:hAnsi="Calibri" w:cs="Times New Roman"/>
                <w:sz w:val="19"/>
                <w:szCs w:val="19"/>
                <w:lang w:val="en-US"/>
              </w:rPr>
              <w:t xml:space="preserve"> 34,359 </w:t>
            </w:r>
          </w:p>
        </w:tc>
        <w:tc>
          <w:tcPr>
            <w:tcW w:w="605" w:type="pct"/>
            <w:tcBorders>
              <w:top w:val="nil"/>
              <w:left w:val="nil"/>
              <w:bottom w:val="nil"/>
              <w:right w:val="nil"/>
            </w:tcBorders>
            <w:shd w:val="clear" w:color="auto" w:fill="auto"/>
          </w:tcPr>
          <w:p w14:paraId="2722D656" w14:textId="77777777" w:rsidR="00F56B08" w:rsidRPr="00F56B08" w:rsidRDefault="00F56B08" w:rsidP="00F56B08">
            <w:pPr>
              <w:spacing w:after="0" w:line="240" w:lineRule="auto"/>
              <w:jc w:val="right"/>
              <w:rPr>
                <w:rFonts w:ascii="Calibri" w:eastAsia="Calibri" w:hAnsi="Calibri" w:cs="Calibri"/>
                <w:sz w:val="20"/>
                <w:szCs w:val="20"/>
                <w:lang w:val="en-GB"/>
              </w:rPr>
            </w:pPr>
            <w:r w:rsidRPr="00F56B08">
              <w:rPr>
                <w:rFonts w:ascii="Calibri" w:eastAsia="Times New Roman" w:hAnsi="Calibri" w:cs="Times New Roman"/>
                <w:sz w:val="19"/>
                <w:szCs w:val="19"/>
                <w:lang w:val="en-US"/>
              </w:rPr>
              <w:t xml:space="preserve"> 5 </w:t>
            </w:r>
          </w:p>
        </w:tc>
        <w:tc>
          <w:tcPr>
            <w:tcW w:w="638" w:type="pct"/>
            <w:tcBorders>
              <w:top w:val="nil"/>
              <w:left w:val="nil"/>
              <w:bottom w:val="nil"/>
              <w:right w:val="nil"/>
            </w:tcBorders>
            <w:shd w:val="clear" w:color="auto" w:fill="auto"/>
          </w:tcPr>
          <w:p w14:paraId="7E85632D" w14:textId="77777777" w:rsidR="00F56B08" w:rsidRPr="00F56B08" w:rsidRDefault="00F56B08" w:rsidP="00F56B08">
            <w:pPr>
              <w:spacing w:after="0" w:line="240" w:lineRule="auto"/>
              <w:jc w:val="right"/>
              <w:rPr>
                <w:rFonts w:ascii="Calibri" w:eastAsia="Calibri" w:hAnsi="Calibri" w:cs="Calibri"/>
                <w:sz w:val="20"/>
                <w:szCs w:val="20"/>
                <w:lang w:val="en-GB"/>
              </w:rPr>
            </w:pPr>
            <w:r w:rsidRPr="00F56B08">
              <w:rPr>
                <w:rFonts w:ascii="Calibri" w:eastAsia="Times New Roman" w:hAnsi="Calibri" w:cs="Times New Roman"/>
                <w:sz w:val="19"/>
                <w:szCs w:val="19"/>
                <w:lang w:val="en-US"/>
              </w:rPr>
              <w:t xml:space="preserve"> 34,396 </w:t>
            </w:r>
          </w:p>
        </w:tc>
      </w:tr>
      <w:tr w:rsidR="00F56B08" w:rsidRPr="00F56B08" w14:paraId="14764B48" w14:textId="77777777" w:rsidTr="00E44437">
        <w:trPr>
          <w:trHeight w:hRule="exact" w:val="244"/>
        </w:trPr>
        <w:tc>
          <w:tcPr>
            <w:tcW w:w="1814" w:type="pct"/>
            <w:vAlign w:val="bottom"/>
          </w:tcPr>
          <w:p w14:paraId="0C6DBE52" w14:textId="77777777" w:rsidR="00F56B08" w:rsidRPr="00F56B08" w:rsidRDefault="00F56B08" w:rsidP="00F56B08">
            <w:pPr>
              <w:tabs>
                <w:tab w:val="right" w:pos="1202"/>
              </w:tabs>
              <w:spacing w:after="0" w:line="240" w:lineRule="auto"/>
              <w:outlineLvl w:val="0"/>
              <w:rPr>
                <w:rFonts w:ascii="Calibri" w:eastAsia="Calibri" w:hAnsi="Calibri" w:cs="Times New Roman"/>
                <w:sz w:val="20"/>
                <w:szCs w:val="20"/>
                <w:lang w:val="en-GB"/>
              </w:rPr>
            </w:pPr>
            <w:r w:rsidRPr="00F56B08">
              <w:rPr>
                <w:rFonts w:ascii="Calibri" w:eastAsia="Calibri" w:hAnsi="Calibri" w:cs="Times New Roman"/>
                <w:sz w:val="19"/>
                <w:szCs w:val="19"/>
                <w:lang w:val="en-GB"/>
              </w:rPr>
              <w:t>Transfer to Stage 1</w:t>
            </w:r>
          </w:p>
        </w:tc>
        <w:tc>
          <w:tcPr>
            <w:tcW w:w="650" w:type="pct"/>
            <w:tcBorders>
              <w:top w:val="nil"/>
              <w:left w:val="nil"/>
              <w:bottom w:val="nil"/>
              <w:right w:val="nil"/>
            </w:tcBorders>
            <w:shd w:val="clear" w:color="auto" w:fill="auto"/>
          </w:tcPr>
          <w:p w14:paraId="692AFA32" w14:textId="77777777" w:rsidR="00F56B08" w:rsidRPr="00F56B08" w:rsidRDefault="00F56B08" w:rsidP="00F56B08">
            <w:pPr>
              <w:spacing w:after="0" w:line="240" w:lineRule="auto"/>
              <w:jc w:val="right"/>
              <w:rPr>
                <w:rFonts w:ascii="Calibri" w:eastAsia="Calibri" w:hAnsi="Calibri" w:cs="Calibri"/>
                <w:sz w:val="20"/>
                <w:szCs w:val="20"/>
                <w:lang w:val="en-GB"/>
              </w:rPr>
            </w:pPr>
            <w:r w:rsidRPr="00F56B08">
              <w:rPr>
                <w:rFonts w:ascii="Calibri" w:eastAsia="Times New Roman" w:hAnsi="Calibri" w:cs="Times New Roman"/>
                <w:sz w:val="19"/>
                <w:szCs w:val="19"/>
                <w:lang w:val="en-US"/>
              </w:rPr>
              <w:t xml:space="preserve"> 10 </w:t>
            </w:r>
          </w:p>
        </w:tc>
        <w:tc>
          <w:tcPr>
            <w:tcW w:w="650" w:type="pct"/>
            <w:tcBorders>
              <w:top w:val="nil"/>
              <w:left w:val="nil"/>
              <w:bottom w:val="nil"/>
              <w:right w:val="nil"/>
            </w:tcBorders>
            <w:shd w:val="clear" w:color="auto" w:fill="auto"/>
          </w:tcPr>
          <w:p w14:paraId="30CD4906" w14:textId="77777777" w:rsidR="00F56B08" w:rsidRPr="00F56B08" w:rsidRDefault="00F56B08" w:rsidP="00F56B08">
            <w:pPr>
              <w:spacing w:after="0" w:line="240" w:lineRule="auto"/>
              <w:jc w:val="right"/>
              <w:rPr>
                <w:rFonts w:ascii="Calibri" w:eastAsia="Calibri" w:hAnsi="Calibri" w:cs="Calibri"/>
                <w:sz w:val="20"/>
                <w:szCs w:val="20"/>
                <w:lang w:val="en-GB"/>
              </w:rPr>
            </w:pPr>
            <w:r w:rsidRPr="00F56B08">
              <w:rPr>
                <w:rFonts w:ascii="Calibri" w:eastAsia="Times New Roman" w:hAnsi="Calibri" w:cs="Times New Roman"/>
                <w:sz w:val="19"/>
                <w:szCs w:val="19"/>
                <w:lang w:val="en-US"/>
              </w:rPr>
              <w:t xml:space="preserve"> (2)</w:t>
            </w:r>
          </w:p>
        </w:tc>
        <w:tc>
          <w:tcPr>
            <w:tcW w:w="643" w:type="pct"/>
            <w:tcBorders>
              <w:top w:val="nil"/>
              <w:left w:val="nil"/>
              <w:bottom w:val="nil"/>
              <w:right w:val="nil"/>
            </w:tcBorders>
            <w:shd w:val="clear" w:color="auto" w:fill="auto"/>
          </w:tcPr>
          <w:p w14:paraId="4E77447E" w14:textId="77777777" w:rsidR="00F56B08" w:rsidRPr="00F56B08" w:rsidRDefault="00F56B08" w:rsidP="00F56B08">
            <w:pPr>
              <w:spacing w:after="0" w:line="240" w:lineRule="auto"/>
              <w:jc w:val="right"/>
              <w:rPr>
                <w:rFonts w:ascii="Calibri" w:eastAsia="Calibri" w:hAnsi="Calibri" w:cs="Calibri"/>
                <w:sz w:val="20"/>
                <w:szCs w:val="20"/>
                <w:lang w:val="en-GB"/>
              </w:rPr>
            </w:pPr>
            <w:r w:rsidRPr="00F56B08">
              <w:rPr>
                <w:rFonts w:ascii="Calibri" w:eastAsia="Times New Roman" w:hAnsi="Calibri" w:cs="Times New Roman"/>
                <w:sz w:val="19"/>
                <w:szCs w:val="19"/>
                <w:lang w:val="en-US"/>
              </w:rPr>
              <w:t xml:space="preserve"> (8)</w:t>
            </w:r>
          </w:p>
        </w:tc>
        <w:tc>
          <w:tcPr>
            <w:tcW w:w="605" w:type="pct"/>
            <w:tcBorders>
              <w:top w:val="nil"/>
              <w:left w:val="nil"/>
              <w:bottom w:val="nil"/>
              <w:right w:val="nil"/>
            </w:tcBorders>
            <w:shd w:val="clear" w:color="auto" w:fill="auto"/>
          </w:tcPr>
          <w:p w14:paraId="508B8365" w14:textId="77777777" w:rsidR="00F56B08" w:rsidRPr="00F56B08" w:rsidRDefault="00F56B08" w:rsidP="00F56B08">
            <w:pPr>
              <w:spacing w:after="0" w:line="240" w:lineRule="auto"/>
              <w:jc w:val="right"/>
              <w:rPr>
                <w:rFonts w:ascii="Calibri" w:eastAsia="Calibri" w:hAnsi="Calibri" w:cs="Calibri"/>
                <w:sz w:val="20"/>
                <w:szCs w:val="20"/>
                <w:lang w:val="en-GB"/>
              </w:rPr>
            </w:pPr>
            <w:r w:rsidRPr="00F56B08">
              <w:rPr>
                <w:rFonts w:ascii="Calibri" w:eastAsia="Times New Roman" w:hAnsi="Calibri" w:cs="Times New Roman"/>
                <w:sz w:val="19"/>
                <w:szCs w:val="19"/>
                <w:lang w:val="en-US"/>
              </w:rPr>
              <w:t xml:space="preserve"> - </w:t>
            </w:r>
          </w:p>
        </w:tc>
        <w:tc>
          <w:tcPr>
            <w:tcW w:w="638" w:type="pct"/>
            <w:tcBorders>
              <w:top w:val="nil"/>
              <w:left w:val="nil"/>
              <w:bottom w:val="nil"/>
              <w:right w:val="nil"/>
            </w:tcBorders>
            <w:shd w:val="clear" w:color="auto" w:fill="auto"/>
          </w:tcPr>
          <w:p w14:paraId="133C8991" w14:textId="77777777" w:rsidR="00F56B08" w:rsidRPr="00F56B08" w:rsidRDefault="00F56B08" w:rsidP="00F56B08">
            <w:pPr>
              <w:spacing w:after="0" w:line="240" w:lineRule="auto"/>
              <w:jc w:val="right"/>
              <w:rPr>
                <w:rFonts w:ascii="Calibri" w:eastAsia="Calibri" w:hAnsi="Calibri" w:cs="Calibri"/>
                <w:sz w:val="20"/>
                <w:szCs w:val="20"/>
                <w:lang w:val="en-GB"/>
              </w:rPr>
            </w:pPr>
            <w:r w:rsidRPr="00F56B08">
              <w:rPr>
                <w:rFonts w:ascii="Calibri" w:eastAsia="Times New Roman" w:hAnsi="Calibri" w:cs="Times New Roman"/>
                <w:sz w:val="19"/>
                <w:szCs w:val="19"/>
                <w:lang w:val="en-US"/>
              </w:rPr>
              <w:t xml:space="preserve"> - </w:t>
            </w:r>
          </w:p>
        </w:tc>
      </w:tr>
      <w:tr w:rsidR="00F56B08" w:rsidRPr="00F56B08" w14:paraId="3DA2E9D8" w14:textId="77777777" w:rsidTr="00E44437">
        <w:trPr>
          <w:trHeight w:hRule="exact" w:val="244"/>
        </w:trPr>
        <w:tc>
          <w:tcPr>
            <w:tcW w:w="1814" w:type="pct"/>
            <w:vAlign w:val="bottom"/>
          </w:tcPr>
          <w:p w14:paraId="1932C733" w14:textId="77777777" w:rsidR="00F56B08" w:rsidRPr="00F56B08" w:rsidRDefault="00F56B08" w:rsidP="00F56B08">
            <w:pPr>
              <w:tabs>
                <w:tab w:val="right" w:pos="1202"/>
              </w:tabs>
              <w:spacing w:after="0" w:line="240" w:lineRule="auto"/>
              <w:outlineLvl w:val="0"/>
              <w:rPr>
                <w:rFonts w:ascii="Calibri" w:eastAsia="Calibri" w:hAnsi="Calibri" w:cs="Times New Roman"/>
                <w:sz w:val="20"/>
                <w:szCs w:val="20"/>
                <w:lang w:val="en-GB"/>
              </w:rPr>
            </w:pPr>
            <w:r w:rsidRPr="00F56B08">
              <w:rPr>
                <w:rFonts w:ascii="Calibri" w:eastAsia="Calibri" w:hAnsi="Calibri" w:cs="Times New Roman"/>
                <w:sz w:val="19"/>
                <w:szCs w:val="19"/>
                <w:lang w:val="en-GB"/>
              </w:rPr>
              <w:t>Transfer to Stage 2</w:t>
            </w:r>
          </w:p>
        </w:tc>
        <w:tc>
          <w:tcPr>
            <w:tcW w:w="650" w:type="pct"/>
            <w:tcBorders>
              <w:top w:val="nil"/>
              <w:left w:val="nil"/>
              <w:bottom w:val="nil"/>
              <w:right w:val="nil"/>
            </w:tcBorders>
            <w:shd w:val="clear" w:color="auto" w:fill="auto"/>
          </w:tcPr>
          <w:p w14:paraId="4C10B24A" w14:textId="77777777" w:rsidR="00F56B08" w:rsidRPr="00F56B08" w:rsidRDefault="00F56B08" w:rsidP="00F56B08">
            <w:pPr>
              <w:spacing w:after="0" w:line="240" w:lineRule="auto"/>
              <w:jc w:val="right"/>
              <w:rPr>
                <w:rFonts w:ascii="Calibri" w:eastAsia="Calibri" w:hAnsi="Calibri" w:cs="Calibri"/>
                <w:sz w:val="20"/>
                <w:szCs w:val="20"/>
                <w:lang w:val="en-GB"/>
              </w:rPr>
            </w:pPr>
            <w:r w:rsidRPr="00F56B08">
              <w:rPr>
                <w:rFonts w:ascii="Calibri" w:eastAsia="Times New Roman" w:hAnsi="Calibri" w:cs="Times New Roman"/>
                <w:sz w:val="19"/>
                <w:szCs w:val="19"/>
                <w:lang w:val="en-US"/>
              </w:rPr>
              <w:t xml:space="preserve"> (4)</w:t>
            </w:r>
          </w:p>
        </w:tc>
        <w:tc>
          <w:tcPr>
            <w:tcW w:w="650" w:type="pct"/>
            <w:tcBorders>
              <w:top w:val="nil"/>
              <w:left w:val="nil"/>
              <w:bottom w:val="nil"/>
              <w:right w:val="nil"/>
            </w:tcBorders>
            <w:shd w:val="clear" w:color="auto" w:fill="auto"/>
          </w:tcPr>
          <w:p w14:paraId="379494A7" w14:textId="77777777" w:rsidR="00F56B08" w:rsidRPr="00F56B08" w:rsidRDefault="00F56B08" w:rsidP="00F56B08">
            <w:pPr>
              <w:spacing w:after="0" w:line="240" w:lineRule="auto"/>
              <w:jc w:val="right"/>
              <w:rPr>
                <w:rFonts w:ascii="Calibri" w:eastAsia="Calibri" w:hAnsi="Calibri" w:cs="Calibri"/>
                <w:sz w:val="20"/>
                <w:szCs w:val="20"/>
                <w:lang w:val="en-GB"/>
              </w:rPr>
            </w:pPr>
            <w:r w:rsidRPr="00F56B08">
              <w:rPr>
                <w:rFonts w:ascii="Calibri" w:eastAsia="Times New Roman" w:hAnsi="Calibri" w:cs="Times New Roman"/>
                <w:sz w:val="19"/>
                <w:szCs w:val="19"/>
                <w:lang w:val="en-US"/>
              </w:rPr>
              <w:t xml:space="preserve"> 4 </w:t>
            </w:r>
          </w:p>
        </w:tc>
        <w:tc>
          <w:tcPr>
            <w:tcW w:w="643" w:type="pct"/>
            <w:tcBorders>
              <w:top w:val="nil"/>
              <w:left w:val="nil"/>
              <w:bottom w:val="nil"/>
              <w:right w:val="nil"/>
            </w:tcBorders>
            <w:shd w:val="clear" w:color="auto" w:fill="auto"/>
          </w:tcPr>
          <w:p w14:paraId="5A17A75A" w14:textId="77777777" w:rsidR="00F56B08" w:rsidRPr="00F56B08" w:rsidRDefault="00F56B08" w:rsidP="00F56B08">
            <w:pPr>
              <w:spacing w:after="0" w:line="240" w:lineRule="auto"/>
              <w:jc w:val="right"/>
              <w:rPr>
                <w:rFonts w:ascii="Calibri" w:eastAsia="Calibri" w:hAnsi="Calibri" w:cs="Calibri"/>
                <w:sz w:val="20"/>
                <w:szCs w:val="20"/>
                <w:lang w:val="en-GB"/>
              </w:rPr>
            </w:pPr>
            <w:r w:rsidRPr="00F56B08">
              <w:rPr>
                <w:rFonts w:ascii="Calibri" w:eastAsia="Times New Roman" w:hAnsi="Calibri" w:cs="Times New Roman"/>
                <w:sz w:val="19"/>
                <w:szCs w:val="19"/>
                <w:lang w:val="en-US"/>
              </w:rPr>
              <w:t xml:space="preserve"> - </w:t>
            </w:r>
          </w:p>
        </w:tc>
        <w:tc>
          <w:tcPr>
            <w:tcW w:w="605" w:type="pct"/>
            <w:tcBorders>
              <w:top w:val="nil"/>
              <w:left w:val="nil"/>
              <w:bottom w:val="nil"/>
              <w:right w:val="nil"/>
            </w:tcBorders>
            <w:shd w:val="clear" w:color="auto" w:fill="auto"/>
          </w:tcPr>
          <w:p w14:paraId="587C1BFC" w14:textId="77777777" w:rsidR="00F56B08" w:rsidRPr="00F56B08" w:rsidRDefault="00F56B08" w:rsidP="00F56B08">
            <w:pPr>
              <w:spacing w:after="0" w:line="240" w:lineRule="auto"/>
              <w:jc w:val="right"/>
              <w:rPr>
                <w:rFonts w:ascii="Calibri" w:eastAsia="Calibri" w:hAnsi="Calibri" w:cs="Calibri"/>
                <w:sz w:val="20"/>
                <w:szCs w:val="20"/>
                <w:lang w:val="en-GB"/>
              </w:rPr>
            </w:pPr>
            <w:r w:rsidRPr="00F56B08">
              <w:rPr>
                <w:rFonts w:ascii="Calibri" w:eastAsia="Times New Roman" w:hAnsi="Calibri" w:cs="Times New Roman"/>
                <w:sz w:val="19"/>
                <w:szCs w:val="19"/>
                <w:lang w:val="en-US"/>
              </w:rPr>
              <w:t xml:space="preserve"> - </w:t>
            </w:r>
          </w:p>
        </w:tc>
        <w:tc>
          <w:tcPr>
            <w:tcW w:w="638" w:type="pct"/>
            <w:tcBorders>
              <w:top w:val="nil"/>
              <w:left w:val="nil"/>
              <w:bottom w:val="nil"/>
              <w:right w:val="nil"/>
            </w:tcBorders>
            <w:shd w:val="clear" w:color="auto" w:fill="auto"/>
          </w:tcPr>
          <w:p w14:paraId="2C4A68CA" w14:textId="77777777" w:rsidR="00F56B08" w:rsidRPr="00F56B08" w:rsidRDefault="00F56B08" w:rsidP="00F56B08">
            <w:pPr>
              <w:spacing w:after="0" w:line="240" w:lineRule="auto"/>
              <w:jc w:val="right"/>
              <w:rPr>
                <w:rFonts w:ascii="Calibri" w:eastAsia="Calibri" w:hAnsi="Calibri" w:cs="Calibri"/>
                <w:sz w:val="20"/>
                <w:szCs w:val="20"/>
                <w:lang w:val="en-GB"/>
              </w:rPr>
            </w:pPr>
            <w:r w:rsidRPr="00F56B08">
              <w:rPr>
                <w:rFonts w:ascii="Calibri" w:eastAsia="Times New Roman" w:hAnsi="Calibri" w:cs="Times New Roman"/>
                <w:sz w:val="19"/>
                <w:szCs w:val="19"/>
                <w:lang w:val="en-US"/>
              </w:rPr>
              <w:t xml:space="preserve"> - </w:t>
            </w:r>
          </w:p>
        </w:tc>
      </w:tr>
      <w:tr w:rsidR="00F56B08" w:rsidRPr="00F56B08" w14:paraId="31BED8B0" w14:textId="77777777" w:rsidTr="00E44437">
        <w:trPr>
          <w:trHeight w:hRule="exact" w:val="244"/>
        </w:trPr>
        <w:tc>
          <w:tcPr>
            <w:tcW w:w="1814" w:type="pct"/>
            <w:vAlign w:val="bottom"/>
          </w:tcPr>
          <w:p w14:paraId="2DF1E2DB" w14:textId="77777777" w:rsidR="00F56B08" w:rsidRPr="00F56B08" w:rsidRDefault="00F56B08" w:rsidP="00F56B08">
            <w:pPr>
              <w:tabs>
                <w:tab w:val="right" w:pos="1202"/>
              </w:tabs>
              <w:spacing w:after="0" w:line="240" w:lineRule="auto"/>
              <w:outlineLvl w:val="0"/>
              <w:rPr>
                <w:rFonts w:ascii="Calibri" w:eastAsia="Calibri" w:hAnsi="Calibri" w:cs="Times New Roman"/>
                <w:sz w:val="20"/>
                <w:szCs w:val="20"/>
                <w:lang w:val="en-GB"/>
              </w:rPr>
            </w:pPr>
            <w:r w:rsidRPr="00F56B08">
              <w:rPr>
                <w:rFonts w:ascii="Calibri" w:eastAsia="Calibri" w:hAnsi="Calibri" w:cs="Times New Roman"/>
                <w:sz w:val="19"/>
                <w:szCs w:val="19"/>
                <w:lang w:val="en-GB"/>
              </w:rPr>
              <w:t>Transfer to Stage 3</w:t>
            </w:r>
          </w:p>
        </w:tc>
        <w:tc>
          <w:tcPr>
            <w:tcW w:w="650" w:type="pct"/>
            <w:tcBorders>
              <w:top w:val="nil"/>
              <w:left w:val="nil"/>
              <w:bottom w:val="nil"/>
              <w:right w:val="nil"/>
            </w:tcBorders>
            <w:shd w:val="clear" w:color="auto" w:fill="auto"/>
          </w:tcPr>
          <w:p w14:paraId="3398A7CD" w14:textId="77777777" w:rsidR="00F56B08" w:rsidRPr="00F56B08" w:rsidRDefault="00F56B08" w:rsidP="00F56B08">
            <w:pPr>
              <w:spacing w:after="0" w:line="240" w:lineRule="auto"/>
              <w:jc w:val="right"/>
              <w:rPr>
                <w:rFonts w:ascii="Calibri" w:eastAsia="Calibri" w:hAnsi="Calibri" w:cs="Calibri"/>
                <w:sz w:val="20"/>
                <w:szCs w:val="20"/>
                <w:lang w:val="en-GB"/>
              </w:rPr>
            </w:pPr>
            <w:r w:rsidRPr="00F56B08">
              <w:rPr>
                <w:rFonts w:ascii="Calibri" w:eastAsia="Times New Roman" w:hAnsi="Calibri" w:cs="Times New Roman"/>
                <w:sz w:val="19"/>
                <w:szCs w:val="19"/>
                <w:lang w:val="en-US"/>
              </w:rPr>
              <w:t xml:space="preserve"> - </w:t>
            </w:r>
          </w:p>
        </w:tc>
        <w:tc>
          <w:tcPr>
            <w:tcW w:w="650" w:type="pct"/>
            <w:tcBorders>
              <w:top w:val="nil"/>
              <w:left w:val="nil"/>
              <w:bottom w:val="nil"/>
              <w:right w:val="nil"/>
            </w:tcBorders>
            <w:shd w:val="clear" w:color="auto" w:fill="auto"/>
          </w:tcPr>
          <w:p w14:paraId="026A3ED0" w14:textId="77777777" w:rsidR="00F56B08" w:rsidRPr="00F56B08" w:rsidRDefault="00F56B08" w:rsidP="00F56B08">
            <w:pPr>
              <w:spacing w:after="0" w:line="240" w:lineRule="auto"/>
              <w:jc w:val="right"/>
              <w:rPr>
                <w:rFonts w:ascii="Calibri" w:eastAsia="Calibri" w:hAnsi="Calibri" w:cs="Calibri"/>
                <w:sz w:val="20"/>
                <w:szCs w:val="20"/>
                <w:lang w:val="en-GB"/>
              </w:rPr>
            </w:pPr>
            <w:r w:rsidRPr="00F56B08">
              <w:rPr>
                <w:rFonts w:ascii="Calibri" w:eastAsia="Times New Roman" w:hAnsi="Calibri" w:cs="Times New Roman"/>
                <w:sz w:val="19"/>
                <w:szCs w:val="19"/>
                <w:lang w:val="en-US"/>
              </w:rPr>
              <w:t xml:space="preserve"> (1)</w:t>
            </w:r>
          </w:p>
        </w:tc>
        <w:tc>
          <w:tcPr>
            <w:tcW w:w="643" w:type="pct"/>
            <w:tcBorders>
              <w:top w:val="nil"/>
              <w:left w:val="nil"/>
              <w:bottom w:val="nil"/>
              <w:right w:val="nil"/>
            </w:tcBorders>
            <w:shd w:val="clear" w:color="auto" w:fill="auto"/>
          </w:tcPr>
          <w:p w14:paraId="40F87526" w14:textId="77777777" w:rsidR="00F56B08" w:rsidRPr="00F56B08" w:rsidRDefault="00F56B08" w:rsidP="00F56B08">
            <w:pPr>
              <w:spacing w:after="0" w:line="240" w:lineRule="auto"/>
              <w:jc w:val="right"/>
              <w:rPr>
                <w:rFonts w:ascii="Calibri" w:eastAsia="Calibri" w:hAnsi="Calibri" w:cs="Calibri"/>
                <w:sz w:val="20"/>
                <w:szCs w:val="20"/>
                <w:lang w:val="en-GB"/>
              </w:rPr>
            </w:pPr>
            <w:r w:rsidRPr="00F56B08">
              <w:rPr>
                <w:rFonts w:ascii="Calibri" w:eastAsia="Times New Roman" w:hAnsi="Calibri" w:cs="Times New Roman"/>
                <w:sz w:val="19"/>
                <w:szCs w:val="19"/>
                <w:lang w:val="en-US"/>
              </w:rPr>
              <w:t xml:space="preserve"> 1 </w:t>
            </w:r>
          </w:p>
        </w:tc>
        <w:tc>
          <w:tcPr>
            <w:tcW w:w="605" w:type="pct"/>
            <w:tcBorders>
              <w:top w:val="nil"/>
              <w:left w:val="nil"/>
              <w:bottom w:val="nil"/>
              <w:right w:val="nil"/>
            </w:tcBorders>
            <w:shd w:val="clear" w:color="auto" w:fill="auto"/>
          </w:tcPr>
          <w:p w14:paraId="16B30681" w14:textId="77777777" w:rsidR="00F56B08" w:rsidRPr="00F56B08" w:rsidRDefault="00F56B08" w:rsidP="00F56B08">
            <w:pPr>
              <w:spacing w:after="0" w:line="240" w:lineRule="auto"/>
              <w:jc w:val="right"/>
              <w:rPr>
                <w:rFonts w:ascii="Calibri" w:eastAsia="Calibri" w:hAnsi="Calibri" w:cs="Calibri"/>
                <w:sz w:val="20"/>
                <w:szCs w:val="20"/>
                <w:lang w:val="en-GB"/>
              </w:rPr>
            </w:pPr>
            <w:r w:rsidRPr="00F56B08">
              <w:rPr>
                <w:rFonts w:ascii="Calibri" w:eastAsia="Times New Roman" w:hAnsi="Calibri" w:cs="Times New Roman"/>
                <w:sz w:val="19"/>
                <w:szCs w:val="19"/>
                <w:lang w:val="en-US"/>
              </w:rPr>
              <w:t xml:space="preserve"> - </w:t>
            </w:r>
          </w:p>
        </w:tc>
        <w:tc>
          <w:tcPr>
            <w:tcW w:w="638" w:type="pct"/>
            <w:tcBorders>
              <w:top w:val="nil"/>
              <w:left w:val="nil"/>
              <w:bottom w:val="nil"/>
              <w:right w:val="nil"/>
            </w:tcBorders>
            <w:shd w:val="clear" w:color="auto" w:fill="auto"/>
          </w:tcPr>
          <w:p w14:paraId="6D0D4938" w14:textId="77777777" w:rsidR="00F56B08" w:rsidRPr="00F56B08" w:rsidRDefault="00F56B08" w:rsidP="00F56B08">
            <w:pPr>
              <w:spacing w:after="0" w:line="240" w:lineRule="auto"/>
              <w:jc w:val="right"/>
              <w:rPr>
                <w:rFonts w:ascii="Calibri" w:eastAsia="Calibri" w:hAnsi="Calibri" w:cs="Calibri"/>
                <w:sz w:val="20"/>
                <w:szCs w:val="20"/>
                <w:lang w:val="en-GB"/>
              </w:rPr>
            </w:pPr>
            <w:r w:rsidRPr="00F56B08">
              <w:rPr>
                <w:rFonts w:ascii="Calibri" w:eastAsia="Times New Roman" w:hAnsi="Calibri" w:cs="Times New Roman"/>
                <w:sz w:val="19"/>
                <w:szCs w:val="19"/>
                <w:lang w:val="en-US"/>
              </w:rPr>
              <w:t xml:space="preserve"> - </w:t>
            </w:r>
          </w:p>
        </w:tc>
      </w:tr>
      <w:tr w:rsidR="00F56B08" w:rsidRPr="00F56B08" w14:paraId="6EF0676A" w14:textId="77777777" w:rsidTr="00E44437">
        <w:trPr>
          <w:trHeight w:hRule="exact" w:val="525"/>
        </w:trPr>
        <w:tc>
          <w:tcPr>
            <w:tcW w:w="1814" w:type="pct"/>
            <w:vAlign w:val="bottom"/>
          </w:tcPr>
          <w:p w14:paraId="018BAEC9" w14:textId="77777777" w:rsidR="00F56B08" w:rsidRPr="00F56B08" w:rsidRDefault="00F56B08" w:rsidP="00F56B08">
            <w:pPr>
              <w:tabs>
                <w:tab w:val="right" w:pos="1202"/>
              </w:tabs>
              <w:spacing w:after="0" w:line="240" w:lineRule="auto"/>
              <w:outlineLvl w:val="0"/>
              <w:rPr>
                <w:rFonts w:ascii="Calibri" w:eastAsia="Calibri" w:hAnsi="Calibri" w:cs="Times New Roman"/>
                <w:sz w:val="20"/>
                <w:szCs w:val="20"/>
                <w:lang w:val="en-GB"/>
              </w:rPr>
            </w:pPr>
            <w:r w:rsidRPr="00F56B08">
              <w:rPr>
                <w:rFonts w:ascii="Calibri" w:eastAsia="Calibri" w:hAnsi="Calibri" w:cs="Times New Roman"/>
                <w:sz w:val="20"/>
                <w:szCs w:val="20"/>
                <w:lang w:val="en-GB"/>
              </w:rPr>
              <w:t>Net (release)/increase of loss allowance</w:t>
            </w:r>
          </w:p>
        </w:tc>
        <w:tc>
          <w:tcPr>
            <w:tcW w:w="650" w:type="pct"/>
            <w:tcBorders>
              <w:top w:val="nil"/>
              <w:left w:val="nil"/>
              <w:bottom w:val="nil"/>
              <w:right w:val="nil"/>
            </w:tcBorders>
            <w:shd w:val="clear" w:color="auto" w:fill="auto"/>
            <w:vAlign w:val="bottom"/>
          </w:tcPr>
          <w:p w14:paraId="66BCF623" w14:textId="77777777" w:rsidR="00F56B08" w:rsidRPr="00F56B08" w:rsidRDefault="00F56B08" w:rsidP="00F56B08">
            <w:pPr>
              <w:spacing w:after="0" w:line="240" w:lineRule="auto"/>
              <w:jc w:val="right"/>
              <w:rPr>
                <w:rFonts w:ascii="Calibri" w:eastAsia="Calibri" w:hAnsi="Calibri" w:cs="Calibri"/>
                <w:sz w:val="20"/>
                <w:szCs w:val="20"/>
                <w:lang w:val="en-GB"/>
              </w:rPr>
            </w:pPr>
            <w:r w:rsidRPr="00F56B08">
              <w:rPr>
                <w:rFonts w:ascii="Calibri" w:eastAsia="Times New Roman" w:hAnsi="Calibri" w:cs="Times New Roman"/>
                <w:sz w:val="19"/>
                <w:szCs w:val="19"/>
                <w:lang w:val="en-US"/>
              </w:rPr>
              <w:t xml:space="preserve"> (12)</w:t>
            </w:r>
          </w:p>
        </w:tc>
        <w:tc>
          <w:tcPr>
            <w:tcW w:w="650" w:type="pct"/>
            <w:tcBorders>
              <w:top w:val="nil"/>
              <w:left w:val="nil"/>
              <w:bottom w:val="nil"/>
              <w:right w:val="nil"/>
            </w:tcBorders>
            <w:shd w:val="clear" w:color="auto" w:fill="auto"/>
            <w:vAlign w:val="bottom"/>
          </w:tcPr>
          <w:p w14:paraId="7A3B817E" w14:textId="77777777" w:rsidR="00F56B08" w:rsidRPr="00F56B08" w:rsidRDefault="00F56B08" w:rsidP="00F56B08">
            <w:pPr>
              <w:spacing w:after="0" w:line="240" w:lineRule="auto"/>
              <w:jc w:val="right"/>
              <w:rPr>
                <w:rFonts w:ascii="Calibri" w:eastAsia="Calibri" w:hAnsi="Calibri" w:cs="Calibri"/>
                <w:sz w:val="20"/>
                <w:szCs w:val="20"/>
                <w:lang w:val="en-GB"/>
              </w:rPr>
            </w:pPr>
            <w:r w:rsidRPr="00F56B08">
              <w:rPr>
                <w:rFonts w:ascii="Calibri" w:eastAsia="Times New Roman" w:hAnsi="Calibri" w:cs="Times New Roman"/>
                <w:sz w:val="19"/>
                <w:szCs w:val="19"/>
                <w:lang w:val="en-US"/>
              </w:rPr>
              <w:t xml:space="preserve"> 2 </w:t>
            </w:r>
          </w:p>
        </w:tc>
        <w:tc>
          <w:tcPr>
            <w:tcW w:w="643" w:type="pct"/>
            <w:tcBorders>
              <w:top w:val="nil"/>
              <w:left w:val="nil"/>
              <w:bottom w:val="nil"/>
              <w:right w:val="nil"/>
            </w:tcBorders>
            <w:shd w:val="clear" w:color="auto" w:fill="auto"/>
            <w:vAlign w:val="bottom"/>
          </w:tcPr>
          <w:p w14:paraId="57E3AFD7" w14:textId="77777777" w:rsidR="00F56B08" w:rsidRPr="00F56B08" w:rsidRDefault="00F56B08" w:rsidP="00F56B08">
            <w:pPr>
              <w:spacing w:after="0" w:line="240" w:lineRule="auto"/>
              <w:jc w:val="right"/>
              <w:rPr>
                <w:rFonts w:ascii="Calibri" w:eastAsia="Calibri" w:hAnsi="Calibri" w:cs="Calibri"/>
                <w:sz w:val="20"/>
                <w:szCs w:val="20"/>
                <w:lang w:val="en-GB"/>
              </w:rPr>
            </w:pPr>
            <w:r w:rsidRPr="00F56B08">
              <w:rPr>
                <w:rFonts w:ascii="Calibri" w:eastAsia="Times New Roman" w:hAnsi="Calibri" w:cs="Times New Roman"/>
                <w:sz w:val="19"/>
                <w:szCs w:val="19"/>
                <w:lang w:val="en-US"/>
              </w:rPr>
              <w:t xml:space="preserve"> (2,786)</w:t>
            </w:r>
          </w:p>
        </w:tc>
        <w:tc>
          <w:tcPr>
            <w:tcW w:w="605" w:type="pct"/>
            <w:tcBorders>
              <w:top w:val="nil"/>
              <w:left w:val="nil"/>
              <w:bottom w:val="nil"/>
              <w:right w:val="nil"/>
            </w:tcBorders>
            <w:shd w:val="clear" w:color="auto" w:fill="auto"/>
            <w:vAlign w:val="bottom"/>
          </w:tcPr>
          <w:p w14:paraId="54DDA8B1" w14:textId="77777777" w:rsidR="00F56B08" w:rsidRPr="00F56B08" w:rsidRDefault="00F56B08" w:rsidP="00F56B08">
            <w:pPr>
              <w:spacing w:after="0" w:line="240" w:lineRule="auto"/>
              <w:jc w:val="right"/>
              <w:rPr>
                <w:rFonts w:ascii="Calibri" w:eastAsia="Calibri" w:hAnsi="Calibri" w:cs="Calibri"/>
                <w:sz w:val="20"/>
                <w:szCs w:val="20"/>
                <w:lang w:val="en-GB"/>
              </w:rPr>
            </w:pPr>
            <w:r w:rsidRPr="00F56B08">
              <w:rPr>
                <w:rFonts w:ascii="Calibri" w:eastAsia="Times New Roman" w:hAnsi="Calibri" w:cs="Times New Roman"/>
                <w:sz w:val="19"/>
                <w:szCs w:val="19"/>
                <w:lang w:val="en-US"/>
              </w:rPr>
              <w:t xml:space="preserve"> 245 </w:t>
            </w:r>
          </w:p>
        </w:tc>
        <w:tc>
          <w:tcPr>
            <w:tcW w:w="638" w:type="pct"/>
            <w:tcBorders>
              <w:top w:val="nil"/>
              <w:left w:val="nil"/>
              <w:bottom w:val="nil"/>
              <w:right w:val="nil"/>
            </w:tcBorders>
            <w:shd w:val="clear" w:color="auto" w:fill="auto"/>
            <w:vAlign w:val="bottom"/>
          </w:tcPr>
          <w:p w14:paraId="569D631E" w14:textId="77777777" w:rsidR="00F56B08" w:rsidRPr="00F56B08" w:rsidRDefault="00F56B08" w:rsidP="00F56B08">
            <w:pPr>
              <w:spacing w:after="0" w:line="240" w:lineRule="auto"/>
              <w:jc w:val="right"/>
              <w:rPr>
                <w:rFonts w:ascii="Calibri" w:eastAsia="Calibri" w:hAnsi="Calibri" w:cs="Calibri"/>
                <w:sz w:val="20"/>
                <w:szCs w:val="20"/>
                <w:lang w:val="en-GB"/>
              </w:rPr>
            </w:pPr>
            <w:r w:rsidRPr="00F56B08">
              <w:rPr>
                <w:rFonts w:ascii="Calibri" w:eastAsia="Times New Roman" w:hAnsi="Calibri" w:cs="Times New Roman"/>
                <w:sz w:val="19"/>
                <w:szCs w:val="19"/>
                <w:lang w:val="en-US"/>
              </w:rPr>
              <w:t xml:space="preserve"> (2,551)</w:t>
            </w:r>
          </w:p>
        </w:tc>
      </w:tr>
      <w:tr w:rsidR="00F56B08" w:rsidRPr="00F56B08" w14:paraId="77E8046C" w14:textId="77777777" w:rsidTr="00E44437">
        <w:trPr>
          <w:trHeight w:hRule="exact" w:val="273"/>
        </w:trPr>
        <w:tc>
          <w:tcPr>
            <w:tcW w:w="1814" w:type="pct"/>
            <w:vAlign w:val="bottom"/>
          </w:tcPr>
          <w:p w14:paraId="17BC2E78" w14:textId="77777777" w:rsidR="00F56B08" w:rsidRPr="00F56B08" w:rsidRDefault="00F56B08" w:rsidP="00F56B08">
            <w:pPr>
              <w:tabs>
                <w:tab w:val="right" w:pos="1202"/>
              </w:tabs>
              <w:spacing w:after="0" w:line="240" w:lineRule="auto"/>
              <w:outlineLvl w:val="0"/>
              <w:rPr>
                <w:rFonts w:ascii="Calibri" w:eastAsia="Calibri" w:hAnsi="Calibri" w:cs="Times New Roman"/>
                <w:sz w:val="20"/>
                <w:szCs w:val="20"/>
                <w:lang w:val="en-GB"/>
              </w:rPr>
            </w:pPr>
            <w:r w:rsidRPr="00F56B08">
              <w:rPr>
                <w:rFonts w:ascii="Calibri" w:eastAsia="Calibri" w:hAnsi="Calibri" w:cs="Times New Roman"/>
                <w:sz w:val="20"/>
                <w:szCs w:val="20"/>
                <w:lang w:val="en-GB"/>
              </w:rPr>
              <w:t>Write-offs</w:t>
            </w:r>
          </w:p>
        </w:tc>
        <w:tc>
          <w:tcPr>
            <w:tcW w:w="650" w:type="pct"/>
            <w:tcBorders>
              <w:top w:val="nil"/>
              <w:left w:val="nil"/>
              <w:bottom w:val="nil"/>
              <w:right w:val="nil"/>
            </w:tcBorders>
            <w:shd w:val="clear" w:color="auto" w:fill="auto"/>
          </w:tcPr>
          <w:p w14:paraId="294F66DF" w14:textId="77777777" w:rsidR="00F56B08" w:rsidRPr="00F56B08" w:rsidRDefault="00F56B08" w:rsidP="00F56B08">
            <w:pPr>
              <w:spacing w:after="0" w:line="240" w:lineRule="auto"/>
              <w:jc w:val="right"/>
              <w:rPr>
                <w:rFonts w:ascii="Calibri" w:eastAsia="Calibri" w:hAnsi="Calibri" w:cs="Calibri"/>
                <w:color w:val="000000"/>
                <w:sz w:val="19"/>
                <w:szCs w:val="19"/>
              </w:rPr>
            </w:pPr>
            <w:r w:rsidRPr="00F56B08">
              <w:rPr>
                <w:rFonts w:ascii="Calibri" w:eastAsia="Times New Roman" w:hAnsi="Calibri" w:cs="Times New Roman"/>
                <w:sz w:val="19"/>
                <w:szCs w:val="19"/>
                <w:lang w:val="en-US"/>
              </w:rPr>
              <w:t xml:space="preserve"> - </w:t>
            </w:r>
          </w:p>
        </w:tc>
        <w:tc>
          <w:tcPr>
            <w:tcW w:w="650" w:type="pct"/>
            <w:tcBorders>
              <w:top w:val="nil"/>
              <w:left w:val="nil"/>
              <w:bottom w:val="nil"/>
              <w:right w:val="nil"/>
            </w:tcBorders>
            <w:shd w:val="clear" w:color="auto" w:fill="auto"/>
          </w:tcPr>
          <w:p w14:paraId="662A321B" w14:textId="77777777" w:rsidR="00F56B08" w:rsidRPr="00F56B08" w:rsidRDefault="00F56B08" w:rsidP="00F56B08">
            <w:pPr>
              <w:spacing w:after="0" w:line="240" w:lineRule="auto"/>
              <w:jc w:val="right"/>
              <w:rPr>
                <w:rFonts w:ascii="Calibri" w:eastAsia="Calibri" w:hAnsi="Calibri" w:cs="Calibri"/>
                <w:color w:val="000000"/>
                <w:sz w:val="19"/>
                <w:szCs w:val="19"/>
              </w:rPr>
            </w:pPr>
            <w:r w:rsidRPr="00F56B08">
              <w:rPr>
                <w:rFonts w:ascii="Calibri" w:eastAsia="Times New Roman" w:hAnsi="Calibri" w:cs="Times New Roman"/>
                <w:sz w:val="19"/>
                <w:szCs w:val="19"/>
                <w:lang w:val="en-US"/>
              </w:rPr>
              <w:t xml:space="preserve"> - </w:t>
            </w:r>
          </w:p>
        </w:tc>
        <w:tc>
          <w:tcPr>
            <w:tcW w:w="643" w:type="pct"/>
            <w:tcBorders>
              <w:top w:val="nil"/>
              <w:left w:val="nil"/>
              <w:bottom w:val="nil"/>
              <w:right w:val="nil"/>
            </w:tcBorders>
            <w:shd w:val="clear" w:color="auto" w:fill="auto"/>
          </w:tcPr>
          <w:p w14:paraId="7BD11F61" w14:textId="77777777" w:rsidR="00F56B08" w:rsidRPr="00F56B08" w:rsidRDefault="00F56B08" w:rsidP="00F56B08">
            <w:pPr>
              <w:spacing w:after="0" w:line="240" w:lineRule="auto"/>
              <w:jc w:val="right"/>
              <w:rPr>
                <w:rFonts w:ascii="Calibri" w:eastAsia="Calibri" w:hAnsi="Calibri" w:cs="Calibri"/>
                <w:color w:val="000000"/>
                <w:sz w:val="19"/>
                <w:szCs w:val="19"/>
              </w:rPr>
            </w:pPr>
            <w:r w:rsidRPr="00F56B08">
              <w:rPr>
                <w:rFonts w:ascii="Calibri" w:eastAsia="Times New Roman" w:hAnsi="Calibri" w:cs="Times New Roman"/>
                <w:sz w:val="19"/>
                <w:szCs w:val="19"/>
                <w:lang w:val="en-US"/>
              </w:rPr>
              <w:t xml:space="preserve"> (151)</w:t>
            </w:r>
          </w:p>
        </w:tc>
        <w:tc>
          <w:tcPr>
            <w:tcW w:w="605" w:type="pct"/>
            <w:tcBorders>
              <w:top w:val="nil"/>
              <w:left w:val="nil"/>
              <w:bottom w:val="nil"/>
              <w:right w:val="nil"/>
            </w:tcBorders>
            <w:shd w:val="clear" w:color="auto" w:fill="auto"/>
          </w:tcPr>
          <w:p w14:paraId="20ADC9D2" w14:textId="77777777" w:rsidR="00F56B08" w:rsidRPr="00F56B08" w:rsidRDefault="00F56B08" w:rsidP="00F56B08">
            <w:pPr>
              <w:spacing w:after="0" w:line="240" w:lineRule="auto"/>
              <w:jc w:val="right"/>
              <w:rPr>
                <w:rFonts w:ascii="Calibri" w:eastAsia="Calibri" w:hAnsi="Calibri" w:cs="Calibri"/>
                <w:color w:val="000000"/>
                <w:sz w:val="19"/>
                <w:szCs w:val="19"/>
              </w:rPr>
            </w:pPr>
            <w:r w:rsidRPr="00F56B08">
              <w:rPr>
                <w:rFonts w:ascii="Calibri" w:eastAsia="Times New Roman" w:hAnsi="Calibri" w:cs="Times New Roman"/>
                <w:sz w:val="19"/>
                <w:szCs w:val="19"/>
                <w:lang w:val="en-US"/>
              </w:rPr>
              <w:t xml:space="preserve"> - </w:t>
            </w:r>
          </w:p>
        </w:tc>
        <w:tc>
          <w:tcPr>
            <w:tcW w:w="638" w:type="pct"/>
            <w:tcBorders>
              <w:top w:val="nil"/>
              <w:left w:val="nil"/>
              <w:bottom w:val="nil"/>
              <w:right w:val="nil"/>
            </w:tcBorders>
            <w:shd w:val="clear" w:color="auto" w:fill="auto"/>
          </w:tcPr>
          <w:p w14:paraId="46244140" w14:textId="77777777" w:rsidR="00F56B08" w:rsidRPr="00F56B08" w:rsidRDefault="00F56B08" w:rsidP="00F56B08">
            <w:pPr>
              <w:spacing w:after="0" w:line="240" w:lineRule="auto"/>
              <w:jc w:val="right"/>
              <w:rPr>
                <w:rFonts w:ascii="Calibri" w:eastAsia="Calibri" w:hAnsi="Calibri" w:cs="Calibri"/>
                <w:color w:val="000000"/>
                <w:sz w:val="19"/>
                <w:szCs w:val="19"/>
              </w:rPr>
            </w:pPr>
            <w:r w:rsidRPr="00F56B08">
              <w:rPr>
                <w:rFonts w:ascii="Calibri" w:eastAsia="Times New Roman" w:hAnsi="Calibri" w:cs="Times New Roman"/>
                <w:sz w:val="19"/>
                <w:szCs w:val="19"/>
                <w:lang w:val="en-US"/>
              </w:rPr>
              <w:t xml:space="preserve"> (151)</w:t>
            </w:r>
          </w:p>
        </w:tc>
      </w:tr>
      <w:tr w:rsidR="00F56B08" w:rsidRPr="00F56B08" w14:paraId="7E7A7549" w14:textId="77777777" w:rsidTr="00E44437">
        <w:trPr>
          <w:trHeight w:val="287"/>
        </w:trPr>
        <w:tc>
          <w:tcPr>
            <w:tcW w:w="1814" w:type="pct"/>
            <w:vAlign w:val="bottom"/>
          </w:tcPr>
          <w:p w14:paraId="1AFE8AB7" w14:textId="77777777" w:rsidR="00F56B08" w:rsidRPr="00F56B08" w:rsidRDefault="00F56B08" w:rsidP="00F56B08">
            <w:pPr>
              <w:tabs>
                <w:tab w:val="right" w:pos="1202"/>
              </w:tabs>
              <w:spacing w:after="0" w:line="240" w:lineRule="auto"/>
              <w:outlineLvl w:val="0"/>
              <w:rPr>
                <w:rFonts w:ascii="Calibri" w:eastAsia="Calibri" w:hAnsi="Calibri" w:cs="Times New Roman"/>
                <w:sz w:val="20"/>
                <w:szCs w:val="20"/>
                <w:lang w:val="en-GB"/>
              </w:rPr>
            </w:pPr>
            <w:r w:rsidRPr="00F56B08">
              <w:rPr>
                <w:rFonts w:ascii="Calibri" w:eastAsia="Calibri" w:hAnsi="Calibri" w:cs="Times New Roman"/>
                <w:sz w:val="20"/>
                <w:szCs w:val="20"/>
                <w:lang w:val="en-GB"/>
              </w:rPr>
              <w:t>Net foreign exchange gain/loss on loss allowances</w:t>
            </w:r>
          </w:p>
        </w:tc>
        <w:tc>
          <w:tcPr>
            <w:tcW w:w="650" w:type="pct"/>
            <w:tcBorders>
              <w:top w:val="nil"/>
              <w:left w:val="nil"/>
              <w:bottom w:val="single" w:sz="8" w:space="0" w:color="auto"/>
              <w:right w:val="nil"/>
            </w:tcBorders>
            <w:shd w:val="clear" w:color="auto" w:fill="auto"/>
            <w:vAlign w:val="bottom"/>
          </w:tcPr>
          <w:p w14:paraId="321C3C1D" w14:textId="77777777" w:rsidR="00F56B08" w:rsidRPr="00F56B08" w:rsidRDefault="00F56B08" w:rsidP="00F56B08">
            <w:pPr>
              <w:spacing w:after="0" w:line="240" w:lineRule="auto"/>
              <w:jc w:val="right"/>
              <w:rPr>
                <w:rFonts w:ascii="Calibri" w:eastAsia="Calibri" w:hAnsi="Calibri" w:cs="Calibri"/>
                <w:sz w:val="20"/>
                <w:szCs w:val="20"/>
                <w:lang w:val="en-GB"/>
              </w:rPr>
            </w:pPr>
            <w:r w:rsidRPr="00F56B08">
              <w:rPr>
                <w:rFonts w:ascii="Calibri" w:eastAsia="Times New Roman" w:hAnsi="Calibri" w:cs="Times New Roman"/>
                <w:sz w:val="19"/>
                <w:szCs w:val="19"/>
                <w:lang w:val="en-US"/>
              </w:rPr>
              <w:t xml:space="preserve"> - </w:t>
            </w:r>
          </w:p>
        </w:tc>
        <w:tc>
          <w:tcPr>
            <w:tcW w:w="650" w:type="pct"/>
            <w:tcBorders>
              <w:top w:val="nil"/>
              <w:left w:val="nil"/>
              <w:bottom w:val="single" w:sz="8" w:space="0" w:color="auto"/>
              <w:right w:val="nil"/>
            </w:tcBorders>
            <w:shd w:val="clear" w:color="auto" w:fill="auto"/>
            <w:vAlign w:val="bottom"/>
          </w:tcPr>
          <w:p w14:paraId="003AEFC4" w14:textId="77777777" w:rsidR="00F56B08" w:rsidRPr="00F56B08" w:rsidRDefault="00F56B08" w:rsidP="00F56B08">
            <w:pPr>
              <w:spacing w:after="0" w:line="240" w:lineRule="auto"/>
              <w:jc w:val="right"/>
              <w:rPr>
                <w:rFonts w:ascii="Calibri" w:eastAsia="Calibri" w:hAnsi="Calibri" w:cs="Calibri"/>
                <w:sz w:val="20"/>
                <w:szCs w:val="20"/>
                <w:lang w:val="en-GB"/>
              </w:rPr>
            </w:pPr>
            <w:r w:rsidRPr="00F56B08">
              <w:rPr>
                <w:rFonts w:ascii="Calibri" w:eastAsia="Times New Roman" w:hAnsi="Calibri" w:cs="Times New Roman"/>
                <w:sz w:val="19"/>
                <w:szCs w:val="19"/>
                <w:lang w:val="en-US"/>
              </w:rPr>
              <w:t xml:space="preserve"> - </w:t>
            </w:r>
          </w:p>
        </w:tc>
        <w:tc>
          <w:tcPr>
            <w:tcW w:w="643" w:type="pct"/>
            <w:tcBorders>
              <w:top w:val="nil"/>
              <w:left w:val="nil"/>
              <w:bottom w:val="single" w:sz="8" w:space="0" w:color="auto"/>
              <w:right w:val="nil"/>
            </w:tcBorders>
            <w:shd w:val="clear" w:color="auto" w:fill="auto"/>
            <w:vAlign w:val="bottom"/>
          </w:tcPr>
          <w:p w14:paraId="700CF3C3" w14:textId="77777777" w:rsidR="00F56B08" w:rsidRPr="00F56B08" w:rsidRDefault="00F56B08" w:rsidP="00F56B08">
            <w:pPr>
              <w:spacing w:after="0" w:line="240" w:lineRule="auto"/>
              <w:jc w:val="right"/>
              <w:rPr>
                <w:rFonts w:ascii="Calibri" w:eastAsia="Calibri" w:hAnsi="Calibri" w:cs="Calibri"/>
                <w:sz w:val="20"/>
                <w:szCs w:val="20"/>
                <w:lang w:val="en-GB"/>
              </w:rPr>
            </w:pPr>
            <w:r w:rsidRPr="00F56B08">
              <w:rPr>
                <w:rFonts w:ascii="Calibri" w:eastAsia="Times New Roman" w:hAnsi="Calibri" w:cs="Times New Roman"/>
                <w:sz w:val="19"/>
                <w:szCs w:val="19"/>
                <w:lang w:val="en-US"/>
              </w:rPr>
              <w:t xml:space="preserve"> 3 </w:t>
            </w:r>
          </w:p>
        </w:tc>
        <w:tc>
          <w:tcPr>
            <w:tcW w:w="605" w:type="pct"/>
            <w:tcBorders>
              <w:top w:val="nil"/>
              <w:left w:val="nil"/>
              <w:bottom w:val="single" w:sz="8" w:space="0" w:color="auto"/>
              <w:right w:val="nil"/>
            </w:tcBorders>
            <w:shd w:val="clear" w:color="auto" w:fill="auto"/>
            <w:vAlign w:val="bottom"/>
          </w:tcPr>
          <w:p w14:paraId="3BF07D92" w14:textId="77777777" w:rsidR="00F56B08" w:rsidRPr="00F56B08" w:rsidRDefault="00F56B08" w:rsidP="00F56B08">
            <w:pPr>
              <w:spacing w:after="0" w:line="240" w:lineRule="auto"/>
              <w:jc w:val="right"/>
              <w:rPr>
                <w:rFonts w:ascii="Calibri" w:eastAsia="Calibri" w:hAnsi="Calibri" w:cs="Calibri"/>
                <w:sz w:val="20"/>
                <w:szCs w:val="20"/>
                <w:lang w:val="en-GB"/>
              </w:rPr>
            </w:pPr>
            <w:r w:rsidRPr="00F56B08">
              <w:rPr>
                <w:rFonts w:ascii="Calibri" w:eastAsia="Times New Roman" w:hAnsi="Calibri" w:cs="Times New Roman"/>
                <w:sz w:val="19"/>
                <w:szCs w:val="19"/>
                <w:lang w:val="en-US"/>
              </w:rPr>
              <w:t xml:space="preserve"> - </w:t>
            </w:r>
          </w:p>
        </w:tc>
        <w:tc>
          <w:tcPr>
            <w:tcW w:w="638" w:type="pct"/>
            <w:tcBorders>
              <w:top w:val="nil"/>
              <w:left w:val="nil"/>
              <w:bottom w:val="single" w:sz="8" w:space="0" w:color="auto"/>
              <w:right w:val="nil"/>
            </w:tcBorders>
            <w:shd w:val="clear" w:color="auto" w:fill="auto"/>
            <w:vAlign w:val="bottom"/>
          </w:tcPr>
          <w:p w14:paraId="140E2A53" w14:textId="77777777" w:rsidR="00F56B08" w:rsidRPr="00F56B08" w:rsidRDefault="00F56B08" w:rsidP="00F56B08">
            <w:pPr>
              <w:spacing w:after="0" w:line="240" w:lineRule="auto"/>
              <w:jc w:val="right"/>
              <w:rPr>
                <w:rFonts w:ascii="Calibri" w:eastAsia="Calibri" w:hAnsi="Calibri" w:cs="Calibri"/>
                <w:sz w:val="20"/>
                <w:szCs w:val="20"/>
                <w:lang w:val="en-GB"/>
              </w:rPr>
            </w:pPr>
            <w:r w:rsidRPr="00F56B08">
              <w:rPr>
                <w:rFonts w:ascii="Calibri" w:eastAsia="Times New Roman" w:hAnsi="Calibri" w:cs="Times New Roman"/>
                <w:sz w:val="19"/>
                <w:szCs w:val="19"/>
                <w:lang w:val="en-US"/>
              </w:rPr>
              <w:t xml:space="preserve"> 3 </w:t>
            </w:r>
          </w:p>
        </w:tc>
      </w:tr>
      <w:tr w:rsidR="00F56B08" w:rsidRPr="00F56B08" w14:paraId="6DABBF80" w14:textId="77777777" w:rsidTr="00E44437">
        <w:trPr>
          <w:trHeight w:val="114"/>
        </w:trPr>
        <w:tc>
          <w:tcPr>
            <w:tcW w:w="1814" w:type="pct"/>
            <w:vAlign w:val="bottom"/>
          </w:tcPr>
          <w:p w14:paraId="3AF26822" w14:textId="77777777" w:rsidR="00F56B08" w:rsidRPr="00F56B08" w:rsidRDefault="00F56B08" w:rsidP="00F56B08">
            <w:pPr>
              <w:tabs>
                <w:tab w:val="right" w:pos="1202"/>
              </w:tabs>
              <w:spacing w:after="0" w:line="301" w:lineRule="exact"/>
              <w:outlineLvl w:val="0"/>
              <w:rPr>
                <w:rFonts w:ascii="Calibri" w:eastAsia="Calibri" w:hAnsi="Calibri" w:cs="Arial"/>
                <w:b/>
                <w:bCs/>
                <w:sz w:val="20"/>
                <w:szCs w:val="20"/>
                <w:lang w:val="en-GB"/>
              </w:rPr>
            </w:pPr>
            <w:r w:rsidRPr="00F56B08">
              <w:rPr>
                <w:rFonts w:ascii="Calibri" w:eastAsia="Calibri" w:hAnsi="Calibri" w:cs="Arial"/>
                <w:b/>
                <w:bCs/>
                <w:sz w:val="20"/>
                <w:szCs w:val="20"/>
                <w:lang w:val="en-GB"/>
              </w:rPr>
              <w:t xml:space="preserve">Balance </w:t>
            </w:r>
            <w:proofErr w:type="gramStart"/>
            <w:r w:rsidRPr="00F56B08">
              <w:rPr>
                <w:rFonts w:ascii="Calibri" w:eastAsia="Calibri" w:hAnsi="Calibri" w:cs="Arial"/>
                <w:b/>
                <w:bCs/>
                <w:sz w:val="20"/>
                <w:szCs w:val="20"/>
                <w:lang w:val="en-GB"/>
              </w:rPr>
              <w:t>at</w:t>
            </w:r>
            <w:proofErr w:type="gramEnd"/>
            <w:r w:rsidRPr="00F56B08">
              <w:rPr>
                <w:rFonts w:ascii="Calibri" w:eastAsia="Calibri" w:hAnsi="Calibri" w:cs="Arial"/>
                <w:b/>
                <w:bCs/>
                <w:sz w:val="20"/>
                <w:szCs w:val="20"/>
                <w:lang w:val="en-GB"/>
              </w:rPr>
              <w:t xml:space="preserve"> 31 December 2021</w:t>
            </w:r>
          </w:p>
        </w:tc>
        <w:tc>
          <w:tcPr>
            <w:tcW w:w="650" w:type="pct"/>
            <w:tcBorders>
              <w:top w:val="nil"/>
              <w:left w:val="nil"/>
              <w:bottom w:val="single" w:sz="12" w:space="0" w:color="auto"/>
              <w:right w:val="nil"/>
            </w:tcBorders>
            <w:shd w:val="clear" w:color="auto" w:fill="auto"/>
            <w:vAlign w:val="bottom"/>
          </w:tcPr>
          <w:p w14:paraId="0091A883" w14:textId="77777777" w:rsidR="00F56B08" w:rsidRPr="00F56B08" w:rsidRDefault="00F56B08" w:rsidP="00F56B08">
            <w:pPr>
              <w:tabs>
                <w:tab w:val="right" w:pos="1202"/>
              </w:tabs>
              <w:spacing w:after="0" w:line="301" w:lineRule="exact"/>
              <w:jc w:val="right"/>
              <w:outlineLvl w:val="0"/>
              <w:rPr>
                <w:rFonts w:ascii="Calibri" w:eastAsia="Calibri" w:hAnsi="Calibri" w:cs="Arial"/>
                <w:b/>
                <w:bCs/>
                <w:sz w:val="20"/>
                <w:szCs w:val="20"/>
                <w:lang w:val="en-GB"/>
              </w:rPr>
            </w:pPr>
            <w:r w:rsidRPr="00F56B08">
              <w:rPr>
                <w:rFonts w:ascii="Calibri" w:eastAsia="Times New Roman" w:hAnsi="Calibri" w:cs="Times New Roman"/>
                <w:b/>
                <w:bCs/>
                <w:sz w:val="19"/>
                <w:szCs w:val="19"/>
                <w:lang w:val="en-US"/>
              </w:rPr>
              <w:t xml:space="preserve"> 25 </w:t>
            </w:r>
          </w:p>
        </w:tc>
        <w:tc>
          <w:tcPr>
            <w:tcW w:w="650" w:type="pct"/>
            <w:tcBorders>
              <w:top w:val="nil"/>
              <w:left w:val="nil"/>
              <w:bottom w:val="single" w:sz="12" w:space="0" w:color="auto"/>
              <w:right w:val="nil"/>
            </w:tcBorders>
            <w:shd w:val="clear" w:color="auto" w:fill="auto"/>
            <w:vAlign w:val="bottom"/>
          </w:tcPr>
          <w:p w14:paraId="6EFA59FE" w14:textId="77777777" w:rsidR="00F56B08" w:rsidRPr="00F56B08" w:rsidRDefault="00F56B08" w:rsidP="00F56B08">
            <w:pPr>
              <w:tabs>
                <w:tab w:val="right" w:pos="1202"/>
              </w:tabs>
              <w:spacing w:after="0" w:line="301" w:lineRule="exact"/>
              <w:jc w:val="right"/>
              <w:outlineLvl w:val="0"/>
              <w:rPr>
                <w:rFonts w:ascii="Calibri" w:eastAsia="Calibri" w:hAnsi="Calibri" w:cs="Arial"/>
                <w:b/>
                <w:bCs/>
                <w:sz w:val="20"/>
                <w:szCs w:val="20"/>
                <w:lang w:val="en-GB"/>
              </w:rPr>
            </w:pPr>
            <w:r w:rsidRPr="00F56B08">
              <w:rPr>
                <w:rFonts w:ascii="Calibri" w:eastAsia="Times New Roman" w:hAnsi="Calibri" w:cs="Times New Roman"/>
                <w:b/>
                <w:bCs/>
                <w:sz w:val="19"/>
                <w:szCs w:val="19"/>
                <w:lang w:val="en-US"/>
              </w:rPr>
              <w:t xml:space="preserve"> 4 </w:t>
            </w:r>
          </w:p>
        </w:tc>
        <w:tc>
          <w:tcPr>
            <w:tcW w:w="643" w:type="pct"/>
            <w:tcBorders>
              <w:top w:val="nil"/>
              <w:left w:val="nil"/>
              <w:bottom w:val="single" w:sz="12" w:space="0" w:color="auto"/>
              <w:right w:val="nil"/>
            </w:tcBorders>
            <w:shd w:val="clear" w:color="auto" w:fill="auto"/>
            <w:vAlign w:val="bottom"/>
          </w:tcPr>
          <w:p w14:paraId="155B4C27" w14:textId="77777777" w:rsidR="00F56B08" w:rsidRPr="00F56B08" w:rsidRDefault="00F56B08" w:rsidP="00F56B08">
            <w:pPr>
              <w:tabs>
                <w:tab w:val="right" w:pos="1202"/>
              </w:tabs>
              <w:spacing w:after="0" w:line="301" w:lineRule="exact"/>
              <w:jc w:val="right"/>
              <w:outlineLvl w:val="0"/>
              <w:rPr>
                <w:rFonts w:ascii="Calibri" w:eastAsia="Calibri" w:hAnsi="Calibri" w:cs="Arial"/>
                <w:b/>
                <w:bCs/>
                <w:sz w:val="20"/>
                <w:szCs w:val="20"/>
                <w:lang w:val="en-GB"/>
              </w:rPr>
            </w:pPr>
            <w:r w:rsidRPr="00F56B08">
              <w:rPr>
                <w:rFonts w:ascii="Calibri" w:eastAsia="Times New Roman" w:hAnsi="Calibri" w:cs="Times New Roman"/>
                <w:b/>
                <w:bCs/>
                <w:sz w:val="19"/>
                <w:szCs w:val="19"/>
                <w:lang w:val="en-US"/>
              </w:rPr>
              <w:t xml:space="preserve"> 31,418 </w:t>
            </w:r>
          </w:p>
        </w:tc>
        <w:tc>
          <w:tcPr>
            <w:tcW w:w="605" w:type="pct"/>
            <w:tcBorders>
              <w:top w:val="nil"/>
              <w:left w:val="nil"/>
              <w:bottom w:val="single" w:sz="12" w:space="0" w:color="auto"/>
              <w:right w:val="nil"/>
            </w:tcBorders>
            <w:shd w:val="clear" w:color="auto" w:fill="auto"/>
            <w:vAlign w:val="bottom"/>
          </w:tcPr>
          <w:p w14:paraId="6A854251" w14:textId="77777777" w:rsidR="00F56B08" w:rsidRPr="00F56B08" w:rsidRDefault="00F56B08" w:rsidP="00F56B08">
            <w:pPr>
              <w:tabs>
                <w:tab w:val="right" w:pos="1202"/>
              </w:tabs>
              <w:spacing w:after="0" w:line="301" w:lineRule="exact"/>
              <w:jc w:val="right"/>
              <w:outlineLvl w:val="0"/>
              <w:rPr>
                <w:rFonts w:ascii="Calibri" w:eastAsia="Calibri" w:hAnsi="Calibri" w:cs="Arial"/>
                <w:b/>
                <w:bCs/>
                <w:sz w:val="20"/>
                <w:szCs w:val="20"/>
                <w:lang w:val="en-GB"/>
              </w:rPr>
            </w:pPr>
            <w:r w:rsidRPr="00F56B08">
              <w:rPr>
                <w:rFonts w:ascii="Calibri" w:eastAsia="Times New Roman" w:hAnsi="Calibri" w:cs="Times New Roman"/>
                <w:b/>
                <w:bCs/>
                <w:sz w:val="19"/>
                <w:szCs w:val="19"/>
                <w:lang w:val="en-US"/>
              </w:rPr>
              <w:t xml:space="preserve"> 250 </w:t>
            </w:r>
          </w:p>
        </w:tc>
        <w:tc>
          <w:tcPr>
            <w:tcW w:w="638" w:type="pct"/>
            <w:tcBorders>
              <w:top w:val="nil"/>
              <w:left w:val="nil"/>
              <w:bottom w:val="single" w:sz="12" w:space="0" w:color="auto"/>
              <w:right w:val="nil"/>
            </w:tcBorders>
            <w:shd w:val="clear" w:color="auto" w:fill="auto"/>
            <w:vAlign w:val="bottom"/>
          </w:tcPr>
          <w:p w14:paraId="154E0893" w14:textId="77777777" w:rsidR="00F56B08" w:rsidRPr="00F56B08" w:rsidRDefault="00F56B08" w:rsidP="00F56B08">
            <w:pPr>
              <w:tabs>
                <w:tab w:val="right" w:pos="1202"/>
              </w:tabs>
              <w:spacing w:after="0" w:line="301" w:lineRule="exact"/>
              <w:jc w:val="right"/>
              <w:outlineLvl w:val="0"/>
              <w:rPr>
                <w:rFonts w:ascii="Calibri" w:eastAsia="Calibri" w:hAnsi="Calibri" w:cs="Arial"/>
                <w:b/>
                <w:bCs/>
                <w:sz w:val="20"/>
                <w:szCs w:val="20"/>
                <w:lang w:val="en-GB"/>
              </w:rPr>
            </w:pPr>
            <w:r w:rsidRPr="00F56B08">
              <w:rPr>
                <w:rFonts w:ascii="Calibri" w:eastAsia="Times New Roman" w:hAnsi="Calibri" w:cs="Times New Roman"/>
                <w:b/>
                <w:bCs/>
                <w:sz w:val="19"/>
                <w:szCs w:val="19"/>
                <w:lang w:val="en-US"/>
              </w:rPr>
              <w:t xml:space="preserve"> 31,697 </w:t>
            </w:r>
          </w:p>
        </w:tc>
      </w:tr>
    </w:tbl>
    <w:p w14:paraId="74EF6760" w14:textId="77777777" w:rsidR="00824E0F" w:rsidRPr="00537128" w:rsidRDefault="00824E0F" w:rsidP="00024090">
      <w:pPr>
        <w:spacing w:after="0" w:line="240" w:lineRule="auto"/>
        <w:rPr>
          <w:rFonts w:ascii="Calibri" w:eastAsia="Calibri" w:hAnsi="Calibri" w:cs="Times New Roman"/>
          <w:noProof/>
          <w:color w:val="000000" w:themeColor="text1"/>
          <w:lang w:val="en-US"/>
        </w:rPr>
        <w:sectPr w:rsidR="00824E0F" w:rsidRPr="00537128" w:rsidSect="00712478">
          <w:pgSz w:w="11906" w:h="16838"/>
          <w:pgMar w:top="1418" w:right="1134" w:bottom="1418" w:left="1418" w:header="709" w:footer="709" w:gutter="0"/>
          <w:cols w:space="708"/>
          <w:docGrid w:linePitch="360"/>
        </w:sectPr>
      </w:pPr>
    </w:p>
    <w:p w14:paraId="1F5DC6D0" w14:textId="77777777" w:rsidR="00824E0F" w:rsidRPr="00537128" w:rsidRDefault="00824E0F" w:rsidP="00824E0F">
      <w:pPr>
        <w:spacing w:after="0" w:line="240" w:lineRule="auto"/>
        <w:jc w:val="both"/>
        <w:rPr>
          <w:rFonts w:ascii="Calibri" w:eastAsia="Calibri" w:hAnsi="Calibri" w:cs="Arial"/>
          <w:b/>
          <w:bCs/>
          <w:color w:val="000000" w:themeColor="text1"/>
          <w:lang w:val="en-US"/>
        </w:rPr>
      </w:pPr>
    </w:p>
    <w:p w14:paraId="6BA0D3A1" w14:textId="721406C3" w:rsidR="00824E0F" w:rsidRPr="00537128" w:rsidRDefault="00B357CE" w:rsidP="00824E0F">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824E0F" w:rsidRPr="00537128">
        <w:rPr>
          <w:rFonts w:ascii="Calibri" w:eastAsia="Calibri" w:hAnsi="Calibri" w:cs="Arial"/>
          <w:b/>
          <w:bCs/>
          <w:color w:val="000000" w:themeColor="text1"/>
          <w:lang w:val="en-US"/>
        </w:rPr>
        <w:t>.</w:t>
      </w:r>
      <w:r w:rsidR="00824E0F" w:rsidRPr="00537128">
        <w:rPr>
          <w:rFonts w:ascii="Calibri" w:eastAsia="Calibri" w:hAnsi="Calibri" w:cs="Arial"/>
          <w:b/>
          <w:bCs/>
          <w:color w:val="000000" w:themeColor="text1"/>
          <w:lang w:val="en-US"/>
        </w:rPr>
        <w:tab/>
        <w:t>Risk management (continued)</w:t>
      </w:r>
    </w:p>
    <w:p w14:paraId="13E3BEED" w14:textId="77777777" w:rsidR="00824E0F" w:rsidRPr="00537128" w:rsidRDefault="00824E0F" w:rsidP="00824E0F">
      <w:pPr>
        <w:spacing w:after="0" w:line="240" w:lineRule="auto"/>
        <w:jc w:val="both"/>
        <w:rPr>
          <w:rFonts w:ascii="Calibri" w:eastAsia="Times New Roman" w:hAnsi="Calibri" w:cs="Times New Roman"/>
          <w:b/>
          <w:color w:val="000000" w:themeColor="text1"/>
          <w:sz w:val="16"/>
          <w:szCs w:val="16"/>
          <w:lang w:val="en-US"/>
        </w:rPr>
      </w:pPr>
    </w:p>
    <w:p w14:paraId="23205241" w14:textId="05544C4C" w:rsidR="00824E0F" w:rsidRPr="00537128" w:rsidRDefault="00B357CE" w:rsidP="00824E0F">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824E0F" w:rsidRPr="00537128">
        <w:rPr>
          <w:rFonts w:ascii="Calibri" w:eastAsia="Times New Roman" w:hAnsi="Calibri" w:cs="Times New Roman"/>
          <w:b/>
          <w:color w:val="000000" w:themeColor="text1"/>
          <w:lang w:val="en-US"/>
        </w:rPr>
        <w:t xml:space="preserve"> </w:t>
      </w:r>
      <w:r w:rsidR="00824E0F" w:rsidRPr="00537128">
        <w:rPr>
          <w:rFonts w:ascii="Calibri" w:eastAsia="Times New Roman" w:hAnsi="Calibri" w:cs="Times New Roman"/>
          <w:b/>
          <w:color w:val="000000" w:themeColor="text1"/>
          <w:lang w:val="en-US"/>
        </w:rPr>
        <w:tab/>
        <w:t>Credit risk (continued)</w:t>
      </w:r>
    </w:p>
    <w:p w14:paraId="2A005E62" w14:textId="77777777" w:rsidR="00824E0F" w:rsidRPr="00537128" w:rsidRDefault="00824E0F" w:rsidP="00824E0F">
      <w:pPr>
        <w:spacing w:after="0" w:line="240" w:lineRule="auto"/>
        <w:jc w:val="both"/>
        <w:rPr>
          <w:rFonts w:ascii="Calibri" w:eastAsia="Calibri" w:hAnsi="Calibri" w:cs="Arial"/>
          <w:b/>
          <w:bCs/>
          <w:i/>
          <w:color w:val="000000" w:themeColor="text1"/>
          <w:sz w:val="16"/>
          <w:szCs w:val="16"/>
          <w:lang w:val="en-US"/>
        </w:rPr>
      </w:pPr>
    </w:p>
    <w:p w14:paraId="6B31961D" w14:textId="0C6332C2" w:rsidR="00824E0F" w:rsidRPr="00537128" w:rsidRDefault="00824E0F" w:rsidP="00824E0F">
      <w:pPr>
        <w:numPr>
          <w:ilvl w:val="8"/>
          <w:numId w:val="52"/>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r w:rsidR="00685DB2">
        <w:rPr>
          <w:rFonts w:ascii="Calibri" w:eastAsia="Calibri" w:hAnsi="Calibri" w:cs="Arial"/>
          <w:bCs/>
          <w:i/>
          <w:color w:val="000000" w:themeColor="text1"/>
          <w:lang w:val="en-US"/>
        </w:rPr>
        <w:t xml:space="preserve"> (continued)</w:t>
      </w:r>
    </w:p>
    <w:p w14:paraId="6858BF6F" w14:textId="77777777" w:rsidR="00824E0F" w:rsidRPr="00537128" w:rsidRDefault="00824E0F" w:rsidP="00824E0F">
      <w:pPr>
        <w:spacing w:after="0" w:line="240" w:lineRule="auto"/>
        <w:jc w:val="both"/>
        <w:rPr>
          <w:rFonts w:ascii="Calibri" w:eastAsia="Calibri" w:hAnsi="Calibri" w:cs="Arial"/>
          <w:b/>
          <w:bCs/>
          <w:i/>
          <w:color w:val="000000" w:themeColor="text1"/>
          <w:lang w:val="en-US"/>
        </w:rPr>
      </w:pPr>
    </w:p>
    <w:p w14:paraId="2FB4EA8E" w14:textId="77777777" w:rsidR="00824E0F" w:rsidRPr="00537128" w:rsidRDefault="00824E0F" w:rsidP="00824E0F">
      <w:pPr>
        <w:spacing w:after="120" w:line="240" w:lineRule="auto"/>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Guarantees and commitments</w:t>
      </w:r>
    </w:p>
    <w:p w14:paraId="4A970C46" w14:textId="77777777" w:rsidR="00824E0F" w:rsidRPr="00537128" w:rsidRDefault="00824E0F" w:rsidP="00824E0F">
      <w:pPr>
        <w:spacing w:after="0" w:line="240" w:lineRule="auto"/>
        <w:rPr>
          <w:rFonts w:ascii="Calibri" w:eastAsia="Times New Roman" w:hAnsi="Calibri" w:cs="Arial"/>
          <w:b/>
          <w:color w:val="000000" w:themeColor="text1"/>
          <w:lang w:val="en-US"/>
        </w:rPr>
      </w:pPr>
    </w:p>
    <w:p w14:paraId="0D156338" w14:textId="77777777" w:rsidR="00824E0F" w:rsidRPr="00537128" w:rsidRDefault="00824E0F"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A287E" w:rsidRPr="00537128" w14:paraId="5E87DF2C" w14:textId="77777777" w:rsidTr="004A287E">
        <w:trPr>
          <w:trHeight w:val="146"/>
        </w:trPr>
        <w:tc>
          <w:tcPr>
            <w:tcW w:w="1814" w:type="pct"/>
          </w:tcPr>
          <w:p w14:paraId="1457886F" w14:textId="77777777" w:rsidR="004A287E" w:rsidRPr="00537128" w:rsidRDefault="004A287E" w:rsidP="004A287E">
            <w:pPr>
              <w:spacing w:after="0" w:line="240" w:lineRule="auto"/>
              <w:rPr>
                <w:rFonts w:ascii="Calibri" w:eastAsia="Calibri" w:hAnsi="Calibri" w:cs="Arial"/>
                <w:b/>
                <w:bCs/>
                <w:sz w:val="19"/>
                <w:szCs w:val="19"/>
                <w:lang w:val="en-US"/>
              </w:rPr>
            </w:pPr>
            <w:bookmarkStart w:id="817" w:name="_Hlk5873520"/>
            <w:r w:rsidRPr="00537128">
              <w:rPr>
                <w:rFonts w:ascii="Calibri" w:eastAsia="Calibri" w:hAnsi="Calibri" w:cs="Arial"/>
                <w:b/>
                <w:bCs/>
                <w:sz w:val="19"/>
                <w:szCs w:val="19"/>
                <w:lang w:val="en-US"/>
              </w:rPr>
              <w:br w:type="page"/>
              <w:t>Group and Bank</w:t>
            </w:r>
          </w:p>
        </w:tc>
        <w:tc>
          <w:tcPr>
            <w:tcW w:w="3186" w:type="pct"/>
            <w:gridSpan w:val="5"/>
            <w:vAlign w:val="bottom"/>
          </w:tcPr>
          <w:p w14:paraId="7D19B6D4" w14:textId="77777777" w:rsidR="004A287E" w:rsidRPr="00537128" w:rsidRDefault="004A287E" w:rsidP="004A287E">
            <w:pPr>
              <w:spacing w:after="0" w:line="240" w:lineRule="auto"/>
              <w:jc w:val="center"/>
              <w:rPr>
                <w:rFonts w:ascii="Calibri" w:eastAsia="Calibri" w:hAnsi="Calibri" w:cs="Arial"/>
                <w:b/>
                <w:sz w:val="19"/>
                <w:szCs w:val="19"/>
                <w:lang w:val="en-US"/>
              </w:rPr>
            </w:pPr>
          </w:p>
        </w:tc>
      </w:tr>
      <w:tr w:rsidR="004A287E" w:rsidRPr="00537128" w14:paraId="20873317" w14:textId="77777777" w:rsidTr="004A287E">
        <w:trPr>
          <w:trHeight w:val="51"/>
        </w:trPr>
        <w:tc>
          <w:tcPr>
            <w:tcW w:w="1814" w:type="pct"/>
          </w:tcPr>
          <w:p w14:paraId="1D897414" w14:textId="2677036D" w:rsidR="004A287E" w:rsidRPr="00537128" w:rsidRDefault="002412CA" w:rsidP="004A287E">
            <w:pPr>
              <w:spacing w:after="0" w:line="240" w:lineRule="auto"/>
              <w:rPr>
                <w:rFonts w:ascii="Calibri" w:eastAsia="Calibri" w:hAnsi="Calibri" w:cs="Arial"/>
                <w:b/>
                <w:bCs/>
                <w:sz w:val="19"/>
                <w:szCs w:val="19"/>
                <w:lang w:val="en-US"/>
              </w:rPr>
            </w:pPr>
            <w:r w:rsidRPr="00537128">
              <w:rPr>
                <w:rFonts w:ascii="Calibri" w:eastAsia="Calibri" w:hAnsi="Calibri" w:cs="Arial"/>
                <w:b/>
                <w:bCs/>
                <w:sz w:val="19"/>
                <w:szCs w:val="19"/>
                <w:lang w:val="en-US"/>
              </w:rPr>
              <w:t>31 March 202</w:t>
            </w:r>
            <w:r w:rsidR="00EC02E7">
              <w:rPr>
                <w:rFonts w:ascii="Calibri" w:eastAsia="Calibri" w:hAnsi="Calibri" w:cs="Arial"/>
                <w:b/>
                <w:bCs/>
                <w:sz w:val="19"/>
                <w:szCs w:val="19"/>
                <w:lang w:val="en-US"/>
              </w:rPr>
              <w:t>2</w:t>
            </w:r>
          </w:p>
        </w:tc>
        <w:tc>
          <w:tcPr>
            <w:tcW w:w="650" w:type="pct"/>
            <w:vAlign w:val="bottom"/>
          </w:tcPr>
          <w:p w14:paraId="3D36D59E"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1</w:t>
            </w:r>
          </w:p>
        </w:tc>
        <w:tc>
          <w:tcPr>
            <w:tcW w:w="650" w:type="pct"/>
            <w:vAlign w:val="bottom"/>
          </w:tcPr>
          <w:p w14:paraId="7BADEAA2"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2</w:t>
            </w:r>
          </w:p>
        </w:tc>
        <w:tc>
          <w:tcPr>
            <w:tcW w:w="643" w:type="pct"/>
            <w:vAlign w:val="bottom"/>
          </w:tcPr>
          <w:p w14:paraId="5A0F39B1"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3</w:t>
            </w:r>
          </w:p>
        </w:tc>
        <w:tc>
          <w:tcPr>
            <w:tcW w:w="605" w:type="pct"/>
            <w:vAlign w:val="bottom"/>
          </w:tcPr>
          <w:p w14:paraId="15252A6C"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POCI</w:t>
            </w:r>
          </w:p>
        </w:tc>
        <w:tc>
          <w:tcPr>
            <w:tcW w:w="638" w:type="pct"/>
            <w:vAlign w:val="bottom"/>
          </w:tcPr>
          <w:p w14:paraId="4DD93305"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Total</w:t>
            </w:r>
          </w:p>
        </w:tc>
      </w:tr>
      <w:tr w:rsidR="004A287E" w:rsidRPr="00537128" w14:paraId="1DF1E4D8" w14:textId="77777777" w:rsidTr="004A287E">
        <w:trPr>
          <w:trHeight w:val="51"/>
        </w:trPr>
        <w:tc>
          <w:tcPr>
            <w:tcW w:w="1814" w:type="pct"/>
          </w:tcPr>
          <w:p w14:paraId="7DBFBEE3"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650" w:type="pct"/>
          </w:tcPr>
          <w:p w14:paraId="400AF9E2"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50" w:type="pct"/>
          </w:tcPr>
          <w:p w14:paraId="002130D7"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43" w:type="pct"/>
          </w:tcPr>
          <w:p w14:paraId="145B6480"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05" w:type="pct"/>
          </w:tcPr>
          <w:p w14:paraId="112B456A"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38" w:type="pct"/>
          </w:tcPr>
          <w:p w14:paraId="4412BD38"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r>
      <w:tr w:rsidR="004A287E" w:rsidRPr="00537128" w14:paraId="28BAF988" w14:textId="77777777" w:rsidTr="004A287E">
        <w:trPr>
          <w:trHeight w:val="51"/>
        </w:trPr>
        <w:tc>
          <w:tcPr>
            <w:tcW w:w="1814" w:type="pct"/>
          </w:tcPr>
          <w:p w14:paraId="63E4F3CE"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650" w:type="pct"/>
          </w:tcPr>
          <w:p w14:paraId="616A0EA9"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50" w:type="pct"/>
          </w:tcPr>
          <w:p w14:paraId="3CC147A8"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43" w:type="pct"/>
          </w:tcPr>
          <w:p w14:paraId="5DE6BED6"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05" w:type="pct"/>
          </w:tcPr>
          <w:p w14:paraId="78340A87"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38" w:type="pct"/>
          </w:tcPr>
          <w:p w14:paraId="7F84E7BB"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r>
      <w:tr w:rsidR="005E25FB" w:rsidRPr="00537128" w14:paraId="602309B0" w14:textId="77777777" w:rsidTr="002412CA">
        <w:trPr>
          <w:trHeight w:hRule="exact" w:val="241"/>
        </w:trPr>
        <w:tc>
          <w:tcPr>
            <w:tcW w:w="1814" w:type="pct"/>
            <w:vAlign w:val="bottom"/>
          </w:tcPr>
          <w:p w14:paraId="28038EFB" w14:textId="12B11E08" w:rsidR="005E25FB" w:rsidRPr="00537128" w:rsidRDefault="005E25FB" w:rsidP="005E25FB">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 xml:space="preserve">Balance </w:t>
            </w:r>
            <w:proofErr w:type="gramStart"/>
            <w:r w:rsidRPr="00537128">
              <w:rPr>
                <w:rFonts w:ascii="Calibri" w:eastAsia="Calibri" w:hAnsi="Calibri" w:cs="Times New Roman"/>
                <w:sz w:val="19"/>
                <w:szCs w:val="19"/>
                <w:lang w:val="en-US"/>
              </w:rPr>
              <w:t>at</w:t>
            </w:r>
            <w:proofErr w:type="gramEnd"/>
            <w:r w:rsidRPr="00537128">
              <w:rPr>
                <w:rFonts w:ascii="Calibri" w:eastAsia="Calibri" w:hAnsi="Calibri" w:cs="Times New Roman"/>
                <w:sz w:val="19"/>
                <w:szCs w:val="19"/>
                <w:lang w:val="en-US"/>
              </w:rPr>
              <w:t xml:space="preserve"> 1 January 202</w:t>
            </w:r>
            <w:r>
              <w:rPr>
                <w:rFonts w:ascii="Calibri" w:eastAsia="Calibri" w:hAnsi="Calibri" w:cs="Times New Roman"/>
                <w:sz w:val="19"/>
                <w:szCs w:val="19"/>
                <w:lang w:val="en-US"/>
              </w:rPr>
              <w:t>2</w:t>
            </w:r>
          </w:p>
        </w:tc>
        <w:tc>
          <w:tcPr>
            <w:tcW w:w="650" w:type="pct"/>
            <w:shd w:val="clear" w:color="auto" w:fill="auto"/>
            <w:vAlign w:val="bottom"/>
          </w:tcPr>
          <w:p w14:paraId="2B90EBFB" w14:textId="694719BC" w:rsidR="005E25FB" w:rsidRPr="00537128" w:rsidRDefault="005E25FB" w:rsidP="005E25FB">
            <w:pPr>
              <w:spacing w:after="0" w:line="240" w:lineRule="auto"/>
              <w:jc w:val="right"/>
              <w:rPr>
                <w:rFonts w:ascii="Calibri" w:eastAsia="Calibri" w:hAnsi="Calibri" w:cs="Times New Roman"/>
                <w:color w:val="000000"/>
                <w:sz w:val="19"/>
                <w:szCs w:val="19"/>
                <w:lang w:val="en-US"/>
              </w:rPr>
            </w:pPr>
            <w:r w:rsidRPr="007A49AD">
              <w:rPr>
                <w:sz w:val="19"/>
                <w:szCs w:val="19"/>
              </w:rPr>
              <w:t xml:space="preserve"> 10</w:t>
            </w:r>
            <w:r>
              <w:rPr>
                <w:sz w:val="19"/>
                <w:szCs w:val="19"/>
              </w:rPr>
              <w:t>,</w:t>
            </w:r>
            <w:r w:rsidRPr="007A49AD">
              <w:rPr>
                <w:sz w:val="19"/>
                <w:szCs w:val="19"/>
              </w:rPr>
              <w:t xml:space="preserve">652 </w:t>
            </w:r>
          </w:p>
        </w:tc>
        <w:tc>
          <w:tcPr>
            <w:tcW w:w="650" w:type="pct"/>
            <w:shd w:val="clear" w:color="auto" w:fill="auto"/>
            <w:vAlign w:val="bottom"/>
          </w:tcPr>
          <w:p w14:paraId="71B9C9E2" w14:textId="620D06DF" w:rsidR="005E25FB" w:rsidRPr="00537128" w:rsidRDefault="005E25FB" w:rsidP="005E25FB">
            <w:pPr>
              <w:spacing w:after="0" w:line="240" w:lineRule="auto"/>
              <w:jc w:val="right"/>
              <w:rPr>
                <w:rFonts w:ascii="Calibri" w:eastAsia="Calibri" w:hAnsi="Calibri" w:cs="Times New Roman"/>
                <w:color w:val="000000"/>
                <w:sz w:val="19"/>
                <w:szCs w:val="19"/>
                <w:lang w:val="en-US"/>
              </w:rPr>
            </w:pPr>
            <w:r w:rsidRPr="007A49AD">
              <w:rPr>
                <w:sz w:val="19"/>
                <w:szCs w:val="19"/>
              </w:rPr>
              <w:t xml:space="preserve"> 26</w:t>
            </w:r>
            <w:r>
              <w:rPr>
                <w:sz w:val="19"/>
                <w:szCs w:val="19"/>
              </w:rPr>
              <w:t>,</w:t>
            </w:r>
            <w:r w:rsidRPr="007A49AD">
              <w:rPr>
                <w:sz w:val="19"/>
                <w:szCs w:val="19"/>
              </w:rPr>
              <w:t xml:space="preserve">256 </w:t>
            </w:r>
          </w:p>
        </w:tc>
        <w:tc>
          <w:tcPr>
            <w:tcW w:w="643" w:type="pct"/>
            <w:shd w:val="clear" w:color="auto" w:fill="auto"/>
            <w:vAlign w:val="bottom"/>
          </w:tcPr>
          <w:p w14:paraId="7F82CACC" w14:textId="6CFE03E4" w:rsidR="005E25FB" w:rsidRPr="00537128" w:rsidRDefault="005E25FB" w:rsidP="005E25FB">
            <w:pPr>
              <w:spacing w:after="0" w:line="240" w:lineRule="auto"/>
              <w:jc w:val="right"/>
              <w:rPr>
                <w:rFonts w:ascii="Calibri" w:eastAsia="Calibri" w:hAnsi="Calibri" w:cs="Times New Roman"/>
                <w:color w:val="000000"/>
                <w:sz w:val="19"/>
                <w:szCs w:val="19"/>
                <w:lang w:val="en-US"/>
              </w:rPr>
            </w:pPr>
            <w:r w:rsidRPr="007A49AD">
              <w:rPr>
                <w:sz w:val="19"/>
                <w:szCs w:val="19"/>
              </w:rPr>
              <w:t xml:space="preserve"> 82</w:t>
            </w:r>
            <w:r>
              <w:rPr>
                <w:sz w:val="19"/>
                <w:szCs w:val="19"/>
              </w:rPr>
              <w:t>,</w:t>
            </w:r>
            <w:r w:rsidRPr="007A49AD">
              <w:rPr>
                <w:sz w:val="19"/>
                <w:szCs w:val="19"/>
              </w:rPr>
              <w:t xml:space="preserve">779 </w:t>
            </w:r>
          </w:p>
        </w:tc>
        <w:tc>
          <w:tcPr>
            <w:tcW w:w="605" w:type="pct"/>
            <w:shd w:val="clear" w:color="auto" w:fill="auto"/>
            <w:vAlign w:val="bottom"/>
          </w:tcPr>
          <w:p w14:paraId="57AB034C" w14:textId="5173FE85" w:rsidR="005E25FB" w:rsidRPr="00537128" w:rsidRDefault="005E25FB" w:rsidP="005E25FB">
            <w:pPr>
              <w:spacing w:after="0" w:line="240" w:lineRule="auto"/>
              <w:jc w:val="right"/>
              <w:rPr>
                <w:rFonts w:ascii="Calibri" w:eastAsia="Calibri" w:hAnsi="Calibri" w:cs="Times New Roman"/>
                <w:color w:val="000000"/>
                <w:sz w:val="19"/>
                <w:szCs w:val="19"/>
                <w:lang w:val="en-US"/>
              </w:rPr>
            </w:pPr>
            <w:r w:rsidRPr="007A49AD">
              <w:rPr>
                <w:sz w:val="19"/>
                <w:szCs w:val="19"/>
              </w:rPr>
              <w:t xml:space="preserve"> 9</w:t>
            </w:r>
            <w:r>
              <w:rPr>
                <w:sz w:val="19"/>
                <w:szCs w:val="19"/>
              </w:rPr>
              <w:t>,</w:t>
            </w:r>
            <w:r w:rsidRPr="007A49AD">
              <w:rPr>
                <w:sz w:val="19"/>
                <w:szCs w:val="19"/>
              </w:rPr>
              <w:t xml:space="preserve">900 </w:t>
            </w:r>
          </w:p>
        </w:tc>
        <w:tc>
          <w:tcPr>
            <w:tcW w:w="638" w:type="pct"/>
            <w:shd w:val="clear" w:color="auto" w:fill="auto"/>
            <w:vAlign w:val="bottom"/>
          </w:tcPr>
          <w:p w14:paraId="56AA58F1" w14:textId="6F4363AC" w:rsidR="005E25FB" w:rsidRPr="00537128" w:rsidRDefault="005E25FB" w:rsidP="005E25FB">
            <w:pPr>
              <w:spacing w:after="0" w:line="240" w:lineRule="auto"/>
              <w:jc w:val="right"/>
              <w:rPr>
                <w:rFonts w:ascii="Calibri" w:eastAsia="Calibri" w:hAnsi="Calibri" w:cs="Times New Roman"/>
                <w:color w:val="000000"/>
                <w:sz w:val="19"/>
                <w:szCs w:val="19"/>
                <w:lang w:val="en-US"/>
              </w:rPr>
            </w:pPr>
            <w:r w:rsidRPr="007A49AD">
              <w:rPr>
                <w:sz w:val="19"/>
                <w:szCs w:val="19"/>
              </w:rPr>
              <w:t xml:space="preserve"> 129</w:t>
            </w:r>
            <w:r>
              <w:rPr>
                <w:sz w:val="19"/>
                <w:szCs w:val="19"/>
              </w:rPr>
              <w:t>,</w:t>
            </w:r>
            <w:r w:rsidRPr="007A49AD">
              <w:rPr>
                <w:sz w:val="19"/>
                <w:szCs w:val="19"/>
              </w:rPr>
              <w:t xml:space="preserve">587 </w:t>
            </w:r>
          </w:p>
        </w:tc>
      </w:tr>
      <w:tr w:rsidR="005E25FB" w:rsidRPr="00537128" w14:paraId="252BC49F" w14:textId="77777777" w:rsidTr="00A1123E">
        <w:trPr>
          <w:trHeight w:hRule="exact" w:val="241"/>
        </w:trPr>
        <w:tc>
          <w:tcPr>
            <w:tcW w:w="1814" w:type="pct"/>
            <w:vAlign w:val="bottom"/>
          </w:tcPr>
          <w:p w14:paraId="3B37939B" w14:textId="77777777" w:rsidR="005E25FB" w:rsidRPr="00537128" w:rsidRDefault="005E25FB" w:rsidP="005E25FB">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1</w:t>
            </w:r>
          </w:p>
        </w:tc>
        <w:tc>
          <w:tcPr>
            <w:tcW w:w="650" w:type="pct"/>
            <w:shd w:val="clear" w:color="auto" w:fill="auto"/>
            <w:vAlign w:val="bottom"/>
          </w:tcPr>
          <w:p w14:paraId="5E268603" w14:textId="3DE3BA00" w:rsidR="005E25FB" w:rsidRPr="00537128" w:rsidRDefault="005E25FB" w:rsidP="005E25FB">
            <w:pPr>
              <w:spacing w:after="0" w:line="240" w:lineRule="auto"/>
              <w:jc w:val="right"/>
              <w:rPr>
                <w:rFonts w:ascii="Calibri" w:eastAsia="Times New Roman" w:hAnsi="Calibri" w:cs="Calibri"/>
                <w:sz w:val="19"/>
                <w:szCs w:val="19"/>
                <w:lang w:val="en-US"/>
              </w:rPr>
            </w:pPr>
            <w:r w:rsidRPr="0002556D">
              <w:rPr>
                <w:rFonts w:ascii="Calibri" w:eastAsia="Calibri" w:hAnsi="Calibri"/>
                <w:color w:val="000000" w:themeColor="text1"/>
                <w:sz w:val="19"/>
                <w:szCs w:val="19"/>
              </w:rPr>
              <w:t>-</w:t>
            </w:r>
          </w:p>
        </w:tc>
        <w:tc>
          <w:tcPr>
            <w:tcW w:w="650" w:type="pct"/>
            <w:shd w:val="clear" w:color="auto" w:fill="auto"/>
            <w:vAlign w:val="bottom"/>
          </w:tcPr>
          <w:p w14:paraId="06EFFFBA" w14:textId="64635AAE" w:rsidR="005E25FB" w:rsidRPr="00537128" w:rsidRDefault="005E25FB" w:rsidP="005E25FB">
            <w:pPr>
              <w:spacing w:after="0" w:line="240" w:lineRule="auto"/>
              <w:jc w:val="right"/>
              <w:rPr>
                <w:rFonts w:ascii="Calibri" w:eastAsia="Times New Roman" w:hAnsi="Calibri" w:cs="Calibri"/>
                <w:sz w:val="19"/>
                <w:szCs w:val="19"/>
                <w:lang w:val="en-US"/>
              </w:rPr>
            </w:pPr>
            <w:r w:rsidRPr="0002556D">
              <w:rPr>
                <w:rFonts w:ascii="Calibri" w:eastAsia="Calibri" w:hAnsi="Calibri"/>
                <w:color w:val="000000" w:themeColor="text1"/>
                <w:sz w:val="19"/>
                <w:szCs w:val="19"/>
              </w:rPr>
              <w:t>-</w:t>
            </w:r>
          </w:p>
        </w:tc>
        <w:tc>
          <w:tcPr>
            <w:tcW w:w="643" w:type="pct"/>
            <w:shd w:val="clear" w:color="auto" w:fill="auto"/>
            <w:vAlign w:val="bottom"/>
          </w:tcPr>
          <w:p w14:paraId="403245DB" w14:textId="529AA664" w:rsidR="005E25FB" w:rsidRPr="00537128" w:rsidRDefault="005E25FB" w:rsidP="005E25FB">
            <w:pPr>
              <w:spacing w:after="0" w:line="240" w:lineRule="auto"/>
              <w:jc w:val="right"/>
              <w:rPr>
                <w:rFonts w:ascii="Calibri" w:eastAsia="Times New Roman" w:hAnsi="Calibri" w:cs="Calibri"/>
                <w:sz w:val="19"/>
                <w:szCs w:val="19"/>
                <w:lang w:val="en-US"/>
              </w:rPr>
            </w:pPr>
            <w:r w:rsidRPr="0002556D">
              <w:rPr>
                <w:rFonts w:ascii="Calibri" w:eastAsia="Calibri" w:hAnsi="Calibri"/>
                <w:color w:val="000000" w:themeColor="text1"/>
                <w:sz w:val="19"/>
                <w:szCs w:val="19"/>
              </w:rPr>
              <w:t>-</w:t>
            </w:r>
          </w:p>
        </w:tc>
        <w:tc>
          <w:tcPr>
            <w:tcW w:w="605" w:type="pct"/>
            <w:shd w:val="clear" w:color="auto" w:fill="auto"/>
            <w:vAlign w:val="bottom"/>
          </w:tcPr>
          <w:p w14:paraId="63AEC0BE" w14:textId="11EE3AB9" w:rsidR="005E25FB" w:rsidRPr="00537128" w:rsidRDefault="005E25FB" w:rsidP="005E25FB">
            <w:pPr>
              <w:spacing w:after="0" w:line="240" w:lineRule="auto"/>
              <w:jc w:val="right"/>
              <w:rPr>
                <w:rFonts w:ascii="Calibri" w:eastAsia="Times New Roman" w:hAnsi="Calibri" w:cs="Calibri"/>
                <w:sz w:val="19"/>
                <w:szCs w:val="19"/>
                <w:lang w:val="en-US"/>
              </w:rPr>
            </w:pPr>
            <w:r w:rsidRPr="0002556D">
              <w:rPr>
                <w:rFonts w:ascii="Calibri" w:eastAsia="Calibri" w:hAnsi="Calibri"/>
                <w:color w:val="000000" w:themeColor="text1"/>
                <w:sz w:val="19"/>
                <w:szCs w:val="19"/>
              </w:rPr>
              <w:t>-</w:t>
            </w:r>
          </w:p>
        </w:tc>
        <w:tc>
          <w:tcPr>
            <w:tcW w:w="638" w:type="pct"/>
            <w:shd w:val="clear" w:color="auto" w:fill="auto"/>
            <w:vAlign w:val="bottom"/>
          </w:tcPr>
          <w:p w14:paraId="42251F3A" w14:textId="7B4F905D" w:rsidR="005E25FB" w:rsidRPr="00537128" w:rsidRDefault="005E25FB" w:rsidP="005E25FB">
            <w:pPr>
              <w:spacing w:after="0" w:line="240" w:lineRule="auto"/>
              <w:jc w:val="right"/>
              <w:rPr>
                <w:rFonts w:ascii="Calibri" w:eastAsia="Times New Roman" w:hAnsi="Calibri" w:cs="Calibri"/>
                <w:sz w:val="19"/>
                <w:szCs w:val="19"/>
                <w:lang w:val="en-US"/>
              </w:rPr>
            </w:pPr>
            <w:r w:rsidRPr="007A49AD">
              <w:rPr>
                <w:sz w:val="19"/>
                <w:szCs w:val="19"/>
              </w:rPr>
              <w:t xml:space="preserve"> - </w:t>
            </w:r>
          </w:p>
        </w:tc>
      </w:tr>
      <w:tr w:rsidR="005E25FB" w:rsidRPr="00537128" w14:paraId="5500F5DF" w14:textId="77777777" w:rsidTr="00A1123E">
        <w:trPr>
          <w:trHeight w:hRule="exact" w:val="241"/>
        </w:trPr>
        <w:tc>
          <w:tcPr>
            <w:tcW w:w="1814" w:type="pct"/>
            <w:vAlign w:val="bottom"/>
          </w:tcPr>
          <w:p w14:paraId="1B22C55B" w14:textId="77777777" w:rsidR="005E25FB" w:rsidRPr="00537128" w:rsidRDefault="005E25FB" w:rsidP="005E25FB">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2</w:t>
            </w:r>
          </w:p>
        </w:tc>
        <w:tc>
          <w:tcPr>
            <w:tcW w:w="650" w:type="pct"/>
            <w:shd w:val="clear" w:color="auto" w:fill="auto"/>
            <w:vAlign w:val="bottom"/>
          </w:tcPr>
          <w:p w14:paraId="1FF9F360" w14:textId="366232BA" w:rsidR="005E25FB" w:rsidRPr="00537128" w:rsidRDefault="005E25FB" w:rsidP="005E25FB">
            <w:pPr>
              <w:spacing w:after="0" w:line="240" w:lineRule="auto"/>
              <w:jc w:val="right"/>
              <w:rPr>
                <w:rFonts w:ascii="Calibri" w:eastAsia="Times New Roman" w:hAnsi="Calibri" w:cs="Calibri"/>
                <w:sz w:val="19"/>
                <w:szCs w:val="19"/>
                <w:lang w:val="en-US"/>
              </w:rPr>
            </w:pPr>
            <w:r w:rsidRPr="0002556D">
              <w:rPr>
                <w:rFonts w:ascii="Calibri" w:eastAsia="Calibri" w:hAnsi="Calibri"/>
                <w:color w:val="000000" w:themeColor="text1"/>
                <w:sz w:val="19"/>
                <w:szCs w:val="19"/>
              </w:rPr>
              <w:t>-</w:t>
            </w:r>
          </w:p>
        </w:tc>
        <w:tc>
          <w:tcPr>
            <w:tcW w:w="650" w:type="pct"/>
            <w:shd w:val="clear" w:color="auto" w:fill="auto"/>
            <w:vAlign w:val="bottom"/>
          </w:tcPr>
          <w:p w14:paraId="52FA7002" w14:textId="7040D59F" w:rsidR="005E25FB" w:rsidRPr="00537128" w:rsidRDefault="005E25FB" w:rsidP="005E25FB">
            <w:pPr>
              <w:spacing w:after="0" w:line="240" w:lineRule="auto"/>
              <w:jc w:val="right"/>
              <w:rPr>
                <w:rFonts w:ascii="Calibri" w:eastAsia="Times New Roman" w:hAnsi="Calibri" w:cs="Calibri"/>
                <w:sz w:val="19"/>
                <w:szCs w:val="19"/>
                <w:lang w:val="en-US"/>
              </w:rPr>
            </w:pPr>
            <w:r w:rsidRPr="0002556D">
              <w:rPr>
                <w:rFonts w:ascii="Calibri" w:eastAsia="Calibri" w:hAnsi="Calibri"/>
                <w:color w:val="000000" w:themeColor="text1"/>
                <w:sz w:val="19"/>
                <w:szCs w:val="19"/>
              </w:rPr>
              <w:t>-</w:t>
            </w:r>
          </w:p>
        </w:tc>
        <w:tc>
          <w:tcPr>
            <w:tcW w:w="643" w:type="pct"/>
            <w:shd w:val="clear" w:color="auto" w:fill="auto"/>
            <w:vAlign w:val="bottom"/>
          </w:tcPr>
          <w:p w14:paraId="6CA7D72A" w14:textId="02501C9E" w:rsidR="005E25FB" w:rsidRPr="00537128" w:rsidRDefault="005E25FB" w:rsidP="005E25FB">
            <w:pPr>
              <w:spacing w:after="0" w:line="240" w:lineRule="auto"/>
              <w:jc w:val="right"/>
              <w:rPr>
                <w:rFonts w:ascii="Calibri" w:eastAsia="Times New Roman" w:hAnsi="Calibri" w:cs="Calibri"/>
                <w:sz w:val="19"/>
                <w:szCs w:val="19"/>
                <w:lang w:val="en-US"/>
              </w:rPr>
            </w:pPr>
            <w:r w:rsidRPr="0002556D">
              <w:rPr>
                <w:rFonts w:ascii="Calibri" w:eastAsia="Calibri" w:hAnsi="Calibri"/>
                <w:color w:val="000000" w:themeColor="text1"/>
                <w:sz w:val="19"/>
                <w:szCs w:val="19"/>
              </w:rPr>
              <w:t>-</w:t>
            </w:r>
          </w:p>
        </w:tc>
        <w:tc>
          <w:tcPr>
            <w:tcW w:w="605" w:type="pct"/>
            <w:shd w:val="clear" w:color="auto" w:fill="auto"/>
            <w:vAlign w:val="bottom"/>
          </w:tcPr>
          <w:p w14:paraId="7DF6494F" w14:textId="56668395" w:rsidR="005E25FB" w:rsidRPr="00537128" w:rsidRDefault="005E25FB" w:rsidP="005E25FB">
            <w:pPr>
              <w:spacing w:after="0" w:line="240" w:lineRule="auto"/>
              <w:jc w:val="right"/>
              <w:rPr>
                <w:rFonts w:ascii="Calibri" w:eastAsia="Times New Roman" w:hAnsi="Calibri" w:cs="Calibri"/>
                <w:sz w:val="19"/>
                <w:szCs w:val="19"/>
                <w:lang w:val="en-US"/>
              </w:rPr>
            </w:pPr>
            <w:r w:rsidRPr="0002556D">
              <w:rPr>
                <w:rFonts w:ascii="Calibri" w:eastAsia="Calibri" w:hAnsi="Calibri"/>
                <w:color w:val="000000" w:themeColor="text1"/>
                <w:sz w:val="19"/>
                <w:szCs w:val="19"/>
              </w:rPr>
              <w:t>-</w:t>
            </w:r>
          </w:p>
        </w:tc>
        <w:tc>
          <w:tcPr>
            <w:tcW w:w="638" w:type="pct"/>
            <w:shd w:val="clear" w:color="auto" w:fill="auto"/>
            <w:vAlign w:val="bottom"/>
          </w:tcPr>
          <w:p w14:paraId="6C6760FF" w14:textId="35D2CF16" w:rsidR="005E25FB" w:rsidRPr="00537128" w:rsidRDefault="005E25FB" w:rsidP="005E25FB">
            <w:pPr>
              <w:spacing w:after="0" w:line="240" w:lineRule="auto"/>
              <w:jc w:val="right"/>
              <w:rPr>
                <w:rFonts w:ascii="Calibri" w:eastAsia="Times New Roman" w:hAnsi="Calibri" w:cs="Calibri"/>
                <w:sz w:val="19"/>
                <w:szCs w:val="19"/>
                <w:lang w:val="en-US"/>
              </w:rPr>
            </w:pPr>
            <w:r w:rsidRPr="007A49AD">
              <w:rPr>
                <w:sz w:val="19"/>
                <w:szCs w:val="19"/>
              </w:rPr>
              <w:t xml:space="preserve"> - </w:t>
            </w:r>
          </w:p>
        </w:tc>
      </w:tr>
      <w:tr w:rsidR="005E25FB" w:rsidRPr="00537128" w14:paraId="7BB6F007" w14:textId="77777777" w:rsidTr="00A1123E">
        <w:trPr>
          <w:trHeight w:hRule="exact" w:val="241"/>
        </w:trPr>
        <w:tc>
          <w:tcPr>
            <w:tcW w:w="1814" w:type="pct"/>
            <w:vAlign w:val="bottom"/>
          </w:tcPr>
          <w:p w14:paraId="20E540C2" w14:textId="77777777" w:rsidR="005E25FB" w:rsidRPr="00537128" w:rsidRDefault="005E25FB" w:rsidP="005E25FB">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3</w:t>
            </w:r>
          </w:p>
        </w:tc>
        <w:tc>
          <w:tcPr>
            <w:tcW w:w="650" w:type="pct"/>
            <w:shd w:val="clear" w:color="auto" w:fill="auto"/>
            <w:vAlign w:val="bottom"/>
          </w:tcPr>
          <w:p w14:paraId="15F216AA" w14:textId="735F554F" w:rsidR="005E25FB" w:rsidRPr="00537128" w:rsidRDefault="005E25FB" w:rsidP="005E25FB">
            <w:pPr>
              <w:spacing w:after="0" w:line="240" w:lineRule="auto"/>
              <w:jc w:val="right"/>
              <w:rPr>
                <w:rFonts w:ascii="Calibri" w:eastAsia="Times New Roman" w:hAnsi="Calibri" w:cs="Calibri"/>
                <w:sz w:val="19"/>
                <w:szCs w:val="19"/>
                <w:lang w:val="en-US"/>
              </w:rPr>
            </w:pPr>
            <w:r w:rsidRPr="0002556D">
              <w:rPr>
                <w:rFonts w:ascii="Calibri" w:eastAsia="Calibri" w:hAnsi="Calibri"/>
                <w:color w:val="000000" w:themeColor="text1"/>
                <w:sz w:val="19"/>
                <w:szCs w:val="19"/>
              </w:rPr>
              <w:t>-</w:t>
            </w:r>
          </w:p>
        </w:tc>
        <w:tc>
          <w:tcPr>
            <w:tcW w:w="650" w:type="pct"/>
            <w:shd w:val="clear" w:color="auto" w:fill="auto"/>
            <w:vAlign w:val="bottom"/>
          </w:tcPr>
          <w:p w14:paraId="035C367A" w14:textId="2B589B21" w:rsidR="005E25FB" w:rsidRPr="00537128" w:rsidRDefault="005E25FB" w:rsidP="005E25FB">
            <w:pPr>
              <w:spacing w:after="0" w:line="240" w:lineRule="auto"/>
              <w:jc w:val="right"/>
              <w:rPr>
                <w:rFonts w:ascii="Calibri" w:eastAsia="Times New Roman" w:hAnsi="Calibri" w:cs="Calibri"/>
                <w:sz w:val="19"/>
                <w:szCs w:val="19"/>
                <w:lang w:val="en-US"/>
              </w:rPr>
            </w:pPr>
            <w:r w:rsidRPr="0002556D">
              <w:rPr>
                <w:rFonts w:ascii="Calibri" w:eastAsia="Calibri" w:hAnsi="Calibri"/>
                <w:color w:val="000000" w:themeColor="text1"/>
                <w:sz w:val="19"/>
                <w:szCs w:val="19"/>
              </w:rPr>
              <w:t>-</w:t>
            </w:r>
          </w:p>
        </w:tc>
        <w:tc>
          <w:tcPr>
            <w:tcW w:w="643" w:type="pct"/>
            <w:shd w:val="clear" w:color="auto" w:fill="auto"/>
            <w:vAlign w:val="bottom"/>
          </w:tcPr>
          <w:p w14:paraId="03A29B13" w14:textId="01441C54" w:rsidR="005E25FB" w:rsidRPr="00537128" w:rsidRDefault="005E25FB" w:rsidP="005E25FB">
            <w:pPr>
              <w:spacing w:after="0" w:line="240" w:lineRule="auto"/>
              <w:jc w:val="right"/>
              <w:rPr>
                <w:rFonts w:ascii="Calibri" w:eastAsia="Times New Roman" w:hAnsi="Calibri" w:cs="Calibri"/>
                <w:sz w:val="19"/>
                <w:szCs w:val="19"/>
                <w:lang w:val="en-US"/>
              </w:rPr>
            </w:pPr>
            <w:r w:rsidRPr="0002556D">
              <w:rPr>
                <w:rFonts w:ascii="Calibri" w:eastAsia="Calibri" w:hAnsi="Calibri"/>
                <w:color w:val="000000" w:themeColor="text1"/>
                <w:sz w:val="19"/>
                <w:szCs w:val="19"/>
              </w:rPr>
              <w:t>-</w:t>
            </w:r>
          </w:p>
        </w:tc>
        <w:tc>
          <w:tcPr>
            <w:tcW w:w="605" w:type="pct"/>
            <w:shd w:val="clear" w:color="auto" w:fill="auto"/>
            <w:vAlign w:val="bottom"/>
          </w:tcPr>
          <w:p w14:paraId="1023D696" w14:textId="2CFF861A" w:rsidR="005E25FB" w:rsidRPr="00537128" w:rsidRDefault="005E25FB" w:rsidP="005E25FB">
            <w:pPr>
              <w:spacing w:after="0" w:line="240" w:lineRule="auto"/>
              <w:jc w:val="right"/>
              <w:rPr>
                <w:rFonts w:ascii="Calibri" w:eastAsia="Times New Roman" w:hAnsi="Calibri" w:cs="Calibri"/>
                <w:sz w:val="19"/>
                <w:szCs w:val="19"/>
                <w:lang w:val="en-US"/>
              </w:rPr>
            </w:pPr>
            <w:r w:rsidRPr="0002556D">
              <w:rPr>
                <w:rFonts w:ascii="Calibri" w:eastAsia="Calibri" w:hAnsi="Calibri"/>
                <w:color w:val="000000" w:themeColor="text1"/>
                <w:sz w:val="19"/>
                <w:szCs w:val="19"/>
              </w:rPr>
              <w:t>-</w:t>
            </w:r>
          </w:p>
        </w:tc>
        <w:tc>
          <w:tcPr>
            <w:tcW w:w="638" w:type="pct"/>
            <w:shd w:val="clear" w:color="auto" w:fill="auto"/>
            <w:vAlign w:val="bottom"/>
          </w:tcPr>
          <w:p w14:paraId="49EBF230" w14:textId="61C86724" w:rsidR="005E25FB" w:rsidRPr="00537128" w:rsidRDefault="005E25FB" w:rsidP="005E25FB">
            <w:pPr>
              <w:spacing w:after="0" w:line="240" w:lineRule="auto"/>
              <w:jc w:val="right"/>
              <w:rPr>
                <w:rFonts w:ascii="Calibri" w:eastAsia="Times New Roman" w:hAnsi="Calibri" w:cs="Calibri"/>
                <w:sz w:val="19"/>
                <w:szCs w:val="19"/>
                <w:lang w:val="en-US"/>
              </w:rPr>
            </w:pPr>
            <w:r w:rsidRPr="007A49AD">
              <w:rPr>
                <w:sz w:val="19"/>
                <w:szCs w:val="19"/>
              </w:rPr>
              <w:t xml:space="preserve"> - </w:t>
            </w:r>
          </w:p>
        </w:tc>
      </w:tr>
      <w:tr w:rsidR="005E25FB" w:rsidRPr="00537128" w14:paraId="5057183A" w14:textId="77777777" w:rsidTr="00F03E56">
        <w:trPr>
          <w:trHeight w:hRule="exact" w:val="230"/>
        </w:trPr>
        <w:tc>
          <w:tcPr>
            <w:tcW w:w="1814" w:type="pct"/>
            <w:vAlign w:val="bottom"/>
          </w:tcPr>
          <w:p w14:paraId="47489846" w14:textId="240CAB53" w:rsidR="005E25FB" w:rsidRPr="00537128" w:rsidRDefault="005E25FB" w:rsidP="005E25FB">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Net (release)</w:t>
            </w:r>
            <w:r>
              <w:rPr>
                <w:rFonts w:ascii="Calibri" w:eastAsia="Calibri" w:hAnsi="Calibri" w:cs="Times New Roman"/>
                <w:sz w:val="19"/>
                <w:szCs w:val="19"/>
                <w:lang w:val="en-US"/>
              </w:rPr>
              <w:t xml:space="preserve"> </w:t>
            </w:r>
            <w:r w:rsidRPr="00537128">
              <w:rPr>
                <w:rFonts w:ascii="Calibri" w:eastAsia="Calibri" w:hAnsi="Calibri" w:cs="Times New Roman"/>
                <w:sz w:val="19"/>
                <w:szCs w:val="19"/>
                <w:lang w:val="en-US"/>
              </w:rPr>
              <w:t>of loss allowance</w:t>
            </w:r>
          </w:p>
        </w:tc>
        <w:tc>
          <w:tcPr>
            <w:tcW w:w="650" w:type="pct"/>
            <w:shd w:val="clear" w:color="auto" w:fill="auto"/>
            <w:vAlign w:val="bottom"/>
          </w:tcPr>
          <w:p w14:paraId="47068FCB" w14:textId="2EA46885" w:rsidR="005E25FB" w:rsidRPr="00537128" w:rsidRDefault="005E25FB" w:rsidP="005E25FB">
            <w:pPr>
              <w:spacing w:after="0" w:line="240" w:lineRule="auto"/>
              <w:jc w:val="right"/>
              <w:rPr>
                <w:rFonts w:ascii="Calibri" w:eastAsia="Times New Roman" w:hAnsi="Calibri" w:cs="Calibri"/>
                <w:sz w:val="19"/>
                <w:szCs w:val="19"/>
                <w:lang w:val="en-US"/>
              </w:rPr>
            </w:pPr>
            <w:r w:rsidRPr="007A49AD">
              <w:rPr>
                <w:sz w:val="19"/>
                <w:szCs w:val="19"/>
              </w:rPr>
              <w:t xml:space="preserve"> (1</w:t>
            </w:r>
            <w:r>
              <w:rPr>
                <w:sz w:val="19"/>
                <w:szCs w:val="19"/>
              </w:rPr>
              <w:t>,</w:t>
            </w:r>
            <w:r w:rsidRPr="007A49AD">
              <w:rPr>
                <w:sz w:val="19"/>
                <w:szCs w:val="19"/>
              </w:rPr>
              <w:t>202)</w:t>
            </w:r>
          </w:p>
        </w:tc>
        <w:tc>
          <w:tcPr>
            <w:tcW w:w="650" w:type="pct"/>
            <w:shd w:val="clear" w:color="auto" w:fill="auto"/>
            <w:vAlign w:val="bottom"/>
          </w:tcPr>
          <w:p w14:paraId="61C73AD5" w14:textId="1A8162E3" w:rsidR="005E25FB" w:rsidRPr="00537128" w:rsidRDefault="005E25FB" w:rsidP="005E25FB">
            <w:pPr>
              <w:spacing w:after="0" w:line="240" w:lineRule="auto"/>
              <w:jc w:val="right"/>
              <w:rPr>
                <w:rFonts w:ascii="Calibri" w:eastAsia="Times New Roman" w:hAnsi="Calibri" w:cs="Calibri"/>
                <w:sz w:val="19"/>
                <w:szCs w:val="19"/>
                <w:lang w:val="en-US"/>
              </w:rPr>
            </w:pPr>
            <w:r w:rsidRPr="007A49AD">
              <w:rPr>
                <w:sz w:val="19"/>
                <w:szCs w:val="19"/>
              </w:rPr>
              <w:t xml:space="preserve"> (18</w:t>
            </w:r>
            <w:r>
              <w:rPr>
                <w:sz w:val="19"/>
                <w:szCs w:val="19"/>
              </w:rPr>
              <w:t>,</w:t>
            </w:r>
            <w:r w:rsidRPr="007A49AD">
              <w:rPr>
                <w:sz w:val="19"/>
                <w:szCs w:val="19"/>
              </w:rPr>
              <w:t>76</w:t>
            </w:r>
            <w:r w:rsidR="004A14B9">
              <w:rPr>
                <w:sz w:val="19"/>
                <w:szCs w:val="19"/>
              </w:rPr>
              <w:t>7</w:t>
            </w:r>
            <w:r w:rsidRPr="007A49AD">
              <w:rPr>
                <w:sz w:val="19"/>
                <w:szCs w:val="19"/>
              </w:rPr>
              <w:t>)</w:t>
            </w:r>
          </w:p>
        </w:tc>
        <w:tc>
          <w:tcPr>
            <w:tcW w:w="643" w:type="pct"/>
            <w:shd w:val="clear" w:color="auto" w:fill="auto"/>
            <w:vAlign w:val="bottom"/>
          </w:tcPr>
          <w:p w14:paraId="3328E049" w14:textId="5D03E91A" w:rsidR="005E25FB" w:rsidRPr="00537128" w:rsidRDefault="005E25FB" w:rsidP="005E25FB">
            <w:pPr>
              <w:spacing w:after="0" w:line="240" w:lineRule="auto"/>
              <w:jc w:val="right"/>
              <w:rPr>
                <w:rFonts w:ascii="Calibri" w:eastAsia="Times New Roman" w:hAnsi="Calibri" w:cs="Calibri"/>
                <w:sz w:val="19"/>
                <w:szCs w:val="19"/>
                <w:lang w:val="en-US"/>
              </w:rPr>
            </w:pPr>
            <w:r w:rsidRPr="007A49AD">
              <w:rPr>
                <w:sz w:val="19"/>
                <w:szCs w:val="19"/>
              </w:rPr>
              <w:t xml:space="preserve"> (26</w:t>
            </w:r>
            <w:r>
              <w:rPr>
                <w:sz w:val="19"/>
                <w:szCs w:val="19"/>
              </w:rPr>
              <w:t>,</w:t>
            </w:r>
            <w:r w:rsidRPr="007A49AD">
              <w:rPr>
                <w:sz w:val="19"/>
                <w:szCs w:val="19"/>
              </w:rPr>
              <w:t>293)</w:t>
            </w:r>
          </w:p>
        </w:tc>
        <w:tc>
          <w:tcPr>
            <w:tcW w:w="605" w:type="pct"/>
            <w:shd w:val="clear" w:color="auto" w:fill="auto"/>
            <w:vAlign w:val="bottom"/>
          </w:tcPr>
          <w:p w14:paraId="4231215E" w14:textId="0E837224" w:rsidR="005E25FB" w:rsidRPr="00537128" w:rsidRDefault="005E25FB" w:rsidP="005E25FB">
            <w:pPr>
              <w:spacing w:after="0" w:line="240" w:lineRule="auto"/>
              <w:jc w:val="right"/>
              <w:rPr>
                <w:rFonts w:ascii="Calibri" w:eastAsia="Times New Roman" w:hAnsi="Calibri" w:cs="Calibri"/>
                <w:sz w:val="19"/>
                <w:szCs w:val="19"/>
                <w:lang w:val="en-US"/>
              </w:rPr>
            </w:pPr>
            <w:r w:rsidRPr="007A49AD">
              <w:rPr>
                <w:sz w:val="19"/>
                <w:szCs w:val="19"/>
              </w:rPr>
              <w:t xml:space="preserve"> (31</w:t>
            </w:r>
            <w:r w:rsidR="004A14B9">
              <w:rPr>
                <w:sz w:val="19"/>
                <w:szCs w:val="19"/>
              </w:rPr>
              <w:t>3</w:t>
            </w:r>
            <w:r w:rsidRPr="007A49AD">
              <w:rPr>
                <w:sz w:val="19"/>
                <w:szCs w:val="19"/>
              </w:rPr>
              <w:t>)</w:t>
            </w:r>
          </w:p>
        </w:tc>
        <w:tc>
          <w:tcPr>
            <w:tcW w:w="638" w:type="pct"/>
            <w:shd w:val="clear" w:color="auto" w:fill="auto"/>
            <w:vAlign w:val="bottom"/>
          </w:tcPr>
          <w:p w14:paraId="71D9EC9C" w14:textId="2E2DFB3D" w:rsidR="005E25FB" w:rsidRPr="00537128" w:rsidRDefault="005E25FB" w:rsidP="005E25FB">
            <w:pPr>
              <w:spacing w:after="0" w:line="240" w:lineRule="auto"/>
              <w:jc w:val="right"/>
              <w:rPr>
                <w:rFonts w:ascii="Calibri" w:eastAsia="Times New Roman" w:hAnsi="Calibri" w:cs="Calibri"/>
                <w:sz w:val="19"/>
                <w:szCs w:val="19"/>
                <w:lang w:val="en-US"/>
              </w:rPr>
            </w:pPr>
            <w:r w:rsidRPr="007A49AD">
              <w:rPr>
                <w:sz w:val="19"/>
                <w:szCs w:val="19"/>
              </w:rPr>
              <w:t xml:space="preserve"> (46</w:t>
            </w:r>
            <w:r>
              <w:rPr>
                <w:sz w:val="19"/>
                <w:szCs w:val="19"/>
              </w:rPr>
              <w:t>,</w:t>
            </w:r>
            <w:r w:rsidRPr="007A49AD">
              <w:rPr>
                <w:sz w:val="19"/>
                <w:szCs w:val="19"/>
              </w:rPr>
              <w:t>575)</w:t>
            </w:r>
          </w:p>
        </w:tc>
      </w:tr>
      <w:tr w:rsidR="005E25FB" w:rsidRPr="00537128" w14:paraId="7393DAE7" w14:textId="77777777" w:rsidTr="00A1123E">
        <w:trPr>
          <w:trHeight w:val="284"/>
        </w:trPr>
        <w:tc>
          <w:tcPr>
            <w:tcW w:w="1814" w:type="pct"/>
            <w:vAlign w:val="bottom"/>
          </w:tcPr>
          <w:p w14:paraId="38495724" w14:textId="77777777" w:rsidR="005E25FB" w:rsidRPr="00537128" w:rsidRDefault="005E25FB" w:rsidP="005E25FB">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Net foreign exchange (gain)/loss</w:t>
            </w:r>
            <w:r w:rsidRPr="00537128" w:rsidDel="006E762B">
              <w:rPr>
                <w:rFonts w:ascii="Calibri" w:eastAsia="Calibri" w:hAnsi="Calibri" w:cs="Times New Roman"/>
                <w:sz w:val="19"/>
                <w:szCs w:val="19"/>
                <w:lang w:val="en-US"/>
              </w:rPr>
              <w:t xml:space="preserve"> </w:t>
            </w:r>
            <w:r w:rsidRPr="00537128">
              <w:rPr>
                <w:rFonts w:ascii="Calibri" w:eastAsia="Calibri" w:hAnsi="Calibri" w:cs="Times New Roman"/>
                <w:sz w:val="19"/>
                <w:szCs w:val="19"/>
                <w:lang w:val="en-US"/>
              </w:rPr>
              <w:t>on loss allowances</w:t>
            </w:r>
          </w:p>
        </w:tc>
        <w:tc>
          <w:tcPr>
            <w:tcW w:w="650" w:type="pct"/>
            <w:tcBorders>
              <w:top w:val="nil"/>
              <w:left w:val="nil"/>
              <w:bottom w:val="single" w:sz="8" w:space="0" w:color="auto"/>
              <w:right w:val="nil"/>
            </w:tcBorders>
            <w:shd w:val="clear" w:color="auto" w:fill="auto"/>
            <w:vAlign w:val="bottom"/>
          </w:tcPr>
          <w:p w14:paraId="70A0D365" w14:textId="7D792A29" w:rsidR="005E25FB" w:rsidRPr="00537128" w:rsidRDefault="005E25FB" w:rsidP="005E25FB">
            <w:pPr>
              <w:spacing w:after="0" w:line="240" w:lineRule="auto"/>
              <w:jc w:val="right"/>
              <w:rPr>
                <w:rFonts w:ascii="Calibri" w:eastAsia="Times New Roman" w:hAnsi="Calibri" w:cs="Calibri"/>
                <w:sz w:val="19"/>
                <w:szCs w:val="19"/>
                <w:lang w:val="en-US"/>
              </w:rPr>
            </w:pPr>
            <w:r w:rsidRPr="007A49AD">
              <w:rPr>
                <w:sz w:val="19"/>
                <w:szCs w:val="19"/>
              </w:rPr>
              <w:t xml:space="preserve"> 40 </w:t>
            </w:r>
          </w:p>
        </w:tc>
        <w:tc>
          <w:tcPr>
            <w:tcW w:w="650" w:type="pct"/>
            <w:tcBorders>
              <w:top w:val="nil"/>
              <w:left w:val="nil"/>
              <w:bottom w:val="single" w:sz="8" w:space="0" w:color="auto"/>
              <w:right w:val="nil"/>
            </w:tcBorders>
            <w:shd w:val="clear" w:color="auto" w:fill="auto"/>
            <w:vAlign w:val="bottom"/>
          </w:tcPr>
          <w:p w14:paraId="64DAC94B" w14:textId="2C535E1B" w:rsidR="005E25FB" w:rsidRPr="00537128" w:rsidRDefault="005E25FB" w:rsidP="005E25FB">
            <w:pPr>
              <w:spacing w:after="0" w:line="240" w:lineRule="auto"/>
              <w:jc w:val="right"/>
              <w:rPr>
                <w:rFonts w:ascii="Calibri" w:eastAsia="Times New Roman" w:hAnsi="Calibri" w:cs="Calibri"/>
                <w:sz w:val="19"/>
                <w:szCs w:val="19"/>
                <w:lang w:val="en-US"/>
              </w:rPr>
            </w:pPr>
            <w:r w:rsidRPr="007A49AD">
              <w:rPr>
                <w:sz w:val="19"/>
                <w:szCs w:val="19"/>
              </w:rPr>
              <w:t xml:space="preserve"> 133 </w:t>
            </w:r>
          </w:p>
        </w:tc>
        <w:tc>
          <w:tcPr>
            <w:tcW w:w="643" w:type="pct"/>
            <w:tcBorders>
              <w:top w:val="nil"/>
              <w:left w:val="nil"/>
              <w:bottom w:val="single" w:sz="8" w:space="0" w:color="auto"/>
              <w:right w:val="nil"/>
            </w:tcBorders>
            <w:shd w:val="clear" w:color="auto" w:fill="auto"/>
            <w:vAlign w:val="bottom"/>
          </w:tcPr>
          <w:p w14:paraId="386928F9" w14:textId="2A6FE0FE" w:rsidR="005E25FB" w:rsidRPr="00537128" w:rsidRDefault="005E25FB" w:rsidP="005E25FB">
            <w:pPr>
              <w:spacing w:after="0" w:line="240" w:lineRule="auto"/>
              <w:jc w:val="right"/>
              <w:rPr>
                <w:rFonts w:ascii="Calibri" w:eastAsia="Times New Roman" w:hAnsi="Calibri" w:cs="Calibri"/>
                <w:sz w:val="19"/>
                <w:szCs w:val="19"/>
                <w:lang w:val="en-US"/>
              </w:rPr>
            </w:pPr>
            <w:r w:rsidRPr="007A49AD">
              <w:rPr>
                <w:sz w:val="19"/>
                <w:szCs w:val="19"/>
              </w:rPr>
              <w:t xml:space="preserve"> 1</w:t>
            </w:r>
            <w:r>
              <w:rPr>
                <w:sz w:val="19"/>
                <w:szCs w:val="19"/>
              </w:rPr>
              <w:t>,</w:t>
            </w:r>
            <w:r w:rsidRPr="007A49AD">
              <w:rPr>
                <w:sz w:val="19"/>
                <w:szCs w:val="19"/>
              </w:rPr>
              <w:t xml:space="preserve">088 </w:t>
            </w:r>
          </w:p>
        </w:tc>
        <w:tc>
          <w:tcPr>
            <w:tcW w:w="605" w:type="pct"/>
            <w:tcBorders>
              <w:top w:val="nil"/>
              <w:left w:val="nil"/>
              <w:bottom w:val="single" w:sz="8" w:space="0" w:color="auto"/>
              <w:right w:val="nil"/>
            </w:tcBorders>
            <w:shd w:val="clear" w:color="auto" w:fill="auto"/>
            <w:vAlign w:val="bottom"/>
          </w:tcPr>
          <w:p w14:paraId="3555B36C" w14:textId="6E16317E" w:rsidR="005E25FB" w:rsidRPr="00537128" w:rsidRDefault="005E25FB" w:rsidP="005E25FB">
            <w:pPr>
              <w:spacing w:after="0" w:line="240" w:lineRule="auto"/>
              <w:jc w:val="right"/>
              <w:rPr>
                <w:rFonts w:ascii="Calibri" w:eastAsia="Times New Roman" w:hAnsi="Calibri" w:cs="Calibri"/>
                <w:sz w:val="19"/>
                <w:szCs w:val="19"/>
                <w:lang w:val="en-US"/>
              </w:rPr>
            </w:pPr>
            <w:r w:rsidRPr="007A49AD">
              <w:rPr>
                <w:sz w:val="19"/>
                <w:szCs w:val="19"/>
              </w:rPr>
              <w:t xml:space="preserve"> 74 </w:t>
            </w:r>
          </w:p>
        </w:tc>
        <w:tc>
          <w:tcPr>
            <w:tcW w:w="638" w:type="pct"/>
            <w:tcBorders>
              <w:top w:val="nil"/>
              <w:left w:val="nil"/>
              <w:bottom w:val="single" w:sz="8" w:space="0" w:color="auto"/>
              <w:right w:val="nil"/>
            </w:tcBorders>
            <w:shd w:val="clear" w:color="auto" w:fill="auto"/>
            <w:vAlign w:val="bottom"/>
          </w:tcPr>
          <w:p w14:paraId="33D0FD58" w14:textId="105E8771" w:rsidR="005E25FB" w:rsidRPr="00537128" w:rsidRDefault="005E25FB" w:rsidP="005E25FB">
            <w:pPr>
              <w:spacing w:after="0" w:line="240" w:lineRule="auto"/>
              <w:jc w:val="right"/>
              <w:rPr>
                <w:rFonts w:ascii="Calibri" w:eastAsia="Times New Roman" w:hAnsi="Calibri" w:cs="Calibri"/>
                <w:sz w:val="19"/>
                <w:szCs w:val="19"/>
                <w:lang w:val="en-US"/>
              </w:rPr>
            </w:pPr>
            <w:r w:rsidRPr="007A49AD">
              <w:rPr>
                <w:sz w:val="19"/>
                <w:szCs w:val="19"/>
              </w:rPr>
              <w:t xml:space="preserve"> 1</w:t>
            </w:r>
            <w:r>
              <w:rPr>
                <w:sz w:val="19"/>
                <w:szCs w:val="19"/>
              </w:rPr>
              <w:t>,</w:t>
            </w:r>
            <w:r w:rsidRPr="007A49AD">
              <w:rPr>
                <w:sz w:val="19"/>
                <w:szCs w:val="19"/>
              </w:rPr>
              <w:t xml:space="preserve">335 </w:t>
            </w:r>
          </w:p>
        </w:tc>
      </w:tr>
      <w:tr w:rsidR="005E25FB" w:rsidRPr="00537128" w14:paraId="4B5EC1D3" w14:textId="77777777" w:rsidTr="00A1123E">
        <w:trPr>
          <w:trHeight w:val="37"/>
        </w:trPr>
        <w:tc>
          <w:tcPr>
            <w:tcW w:w="1814" w:type="pct"/>
            <w:vAlign w:val="bottom"/>
          </w:tcPr>
          <w:p w14:paraId="0A41CA21" w14:textId="54C717A3" w:rsidR="005E25FB" w:rsidRPr="00537128" w:rsidRDefault="005E25FB" w:rsidP="005E25FB">
            <w:pPr>
              <w:tabs>
                <w:tab w:val="right" w:pos="1202"/>
              </w:tabs>
              <w:spacing w:after="0" w:line="301" w:lineRule="exact"/>
              <w:outlineLvl w:val="0"/>
              <w:rPr>
                <w:rFonts w:ascii="Calibri" w:eastAsia="Calibri" w:hAnsi="Calibri" w:cs="Arial"/>
                <w:b/>
                <w:bCs/>
                <w:sz w:val="19"/>
                <w:szCs w:val="19"/>
                <w:lang w:val="en-US"/>
              </w:rPr>
            </w:pPr>
            <w:r w:rsidRPr="00537128">
              <w:rPr>
                <w:rFonts w:ascii="Calibri" w:eastAsia="Calibri" w:hAnsi="Calibri" w:cs="Arial"/>
                <w:b/>
                <w:bCs/>
                <w:sz w:val="19"/>
                <w:szCs w:val="19"/>
                <w:lang w:val="en-US"/>
              </w:rPr>
              <w:t xml:space="preserve">Balance </w:t>
            </w:r>
            <w:proofErr w:type="gramStart"/>
            <w:r w:rsidRPr="00537128">
              <w:rPr>
                <w:rFonts w:ascii="Calibri" w:eastAsia="Calibri" w:hAnsi="Calibri" w:cs="Arial"/>
                <w:b/>
                <w:bCs/>
                <w:sz w:val="19"/>
                <w:szCs w:val="19"/>
                <w:lang w:val="en-US"/>
              </w:rPr>
              <w:t>at</w:t>
            </w:r>
            <w:proofErr w:type="gramEnd"/>
            <w:r w:rsidRPr="00537128">
              <w:rPr>
                <w:rFonts w:ascii="Calibri" w:eastAsia="Calibri" w:hAnsi="Calibri" w:cs="Arial"/>
                <w:b/>
                <w:bCs/>
                <w:sz w:val="19"/>
                <w:szCs w:val="19"/>
                <w:lang w:val="en-US"/>
              </w:rPr>
              <w:t xml:space="preserve"> 31 March 202</w:t>
            </w:r>
            <w:r>
              <w:rPr>
                <w:rFonts w:ascii="Calibri" w:eastAsia="Calibri" w:hAnsi="Calibri" w:cs="Arial"/>
                <w:b/>
                <w:bCs/>
                <w:sz w:val="19"/>
                <w:szCs w:val="19"/>
                <w:lang w:val="en-US"/>
              </w:rPr>
              <w:t>2</w:t>
            </w:r>
          </w:p>
        </w:tc>
        <w:tc>
          <w:tcPr>
            <w:tcW w:w="650" w:type="pct"/>
            <w:tcBorders>
              <w:top w:val="nil"/>
              <w:left w:val="nil"/>
              <w:bottom w:val="single" w:sz="12" w:space="0" w:color="auto"/>
              <w:right w:val="nil"/>
            </w:tcBorders>
            <w:shd w:val="clear" w:color="auto" w:fill="auto"/>
            <w:vAlign w:val="bottom"/>
          </w:tcPr>
          <w:p w14:paraId="18F4115B" w14:textId="38E7D94D" w:rsidR="005E25FB" w:rsidRPr="00537128" w:rsidRDefault="005E25FB" w:rsidP="005E25FB">
            <w:pPr>
              <w:tabs>
                <w:tab w:val="right" w:pos="1202"/>
              </w:tabs>
              <w:spacing w:after="0" w:line="301" w:lineRule="exact"/>
              <w:jc w:val="right"/>
              <w:outlineLvl w:val="0"/>
              <w:rPr>
                <w:rFonts w:ascii="Calibri" w:eastAsia="Times New Roman" w:hAnsi="Calibri" w:cs="Calibri"/>
                <w:b/>
                <w:sz w:val="19"/>
                <w:szCs w:val="19"/>
                <w:lang w:val="en-US"/>
              </w:rPr>
            </w:pPr>
            <w:r w:rsidRPr="007A49AD">
              <w:rPr>
                <w:b/>
                <w:bCs/>
                <w:sz w:val="19"/>
                <w:szCs w:val="19"/>
              </w:rPr>
              <w:t xml:space="preserve"> 9</w:t>
            </w:r>
            <w:r>
              <w:rPr>
                <w:b/>
                <w:bCs/>
                <w:sz w:val="19"/>
                <w:szCs w:val="19"/>
              </w:rPr>
              <w:t>,</w:t>
            </w:r>
            <w:r w:rsidRPr="007A49AD">
              <w:rPr>
                <w:b/>
                <w:bCs/>
                <w:sz w:val="19"/>
                <w:szCs w:val="19"/>
              </w:rPr>
              <w:t xml:space="preserve">490 </w:t>
            </w:r>
          </w:p>
        </w:tc>
        <w:tc>
          <w:tcPr>
            <w:tcW w:w="650" w:type="pct"/>
            <w:tcBorders>
              <w:top w:val="nil"/>
              <w:left w:val="nil"/>
              <w:bottom w:val="single" w:sz="12" w:space="0" w:color="auto"/>
              <w:right w:val="nil"/>
            </w:tcBorders>
            <w:shd w:val="clear" w:color="auto" w:fill="auto"/>
            <w:vAlign w:val="bottom"/>
          </w:tcPr>
          <w:p w14:paraId="664AA0D4" w14:textId="5E6E4EC5" w:rsidR="005E25FB" w:rsidRPr="00537128" w:rsidRDefault="005E25FB" w:rsidP="005E25FB">
            <w:pPr>
              <w:tabs>
                <w:tab w:val="right" w:pos="1202"/>
              </w:tabs>
              <w:spacing w:after="0" w:line="301" w:lineRule="exact"/>
              <w:jc w:val="right"/>
              <w:outlineLvl w:val="0"/>
              <w:rPr>
                <w:rFonts w:ascii="Calibri" w:eastAsia="Times New Roman" w:hAnsi="Calibri" w:cs="Calibri"/>
                <w:b/>
                <w:sz w:val="19"/>
                <w:szCs w:val="19"/>
                <w:lang w:val="en-US"/>
              </w:rPr>
            </w:pPr>
            <w:r w:rsidRPr="007A49AD">
              <w:rPr>
                <w:b/>
                <w:bCs/>
                <w:sz w:val="19"/>
                <w:szCs w:val="19"/>
              </w:rPr>
              <w:t xml:space="preserve"> 7</w:t>
            </w:r>
            <w:r>
              <w:rPr>
                <w:b/>
                <w:bCs/>
                <w:sz w:val="19"/>
                <w:szCs w:val="19"/>
              </w:rPr>
              <w:t>,</w:t>
            </w:r>
            <w:r w:rsidRPr="007A49AD">
              <w:rPr>
                <w:b/>
                <w:bCs/>
                <w:sz w:val="19"/>
                <w:szCs w:val="19"/>
              </w:rPr>
              <w:t>62</w:t>
            </w:r>
            <w:r w:rsidR="004A14B9">
              <w:rPr>
                <w:b/>
                <w:bCs/>
                <w:sz w:val="19"/>
                <w:szCs w:val="19"/>
              </w:rPr>
              <w:t>2</w:t>
            </w:r>
            <w:r w:rsidRPr="007A49AD">
              <w:rPr>
                <w:b/>
                <w:bCs/>
                <w:sz w:val="19"/>
                <w:szCs w:val="19"/>
              </w:rPr>
              <w:t xml:space="preserve"> </w:t>
            </w:r>
          </w:p>
        </w:tc>
        <w:tc>
          <w:tcPr>
            <w:tcW w:w="643" w:type="pct"/>
            <w:tcBorders>
              <w:top w:val="nil"/>
              <w:left w:val="nil"/>
              <w:bottom w:val="single" w:sz="12" w:space="0" w:color="auto"/>
              <w:right w:val="nil"/>
            </w:tcBorders>
            <w:shd w:val="clear" w:color="auto" w:fill="auto"/>
            <w:vAlign w:val="bottom"/>
          </w:tcPr>
          <w:p w14:paraId="5808DDE0" w14:textId="2A2CD601" w:rsidR="005E25FB" w:rsidRPr="00537128" w:rsidRDefault="005E25FB" w:rsidP="005E25FB">
            <w:pPr>
              <w:tabs>
                <w:tab w:val="right" w:pos="1202"/>
              </w:tabs>
              <w:spacing w:after="0" w:line="301" w:lineRule="exact"/>
              <w:jc w:val="right"/>
              <w:outlineLvl w:val="0"/>
              <w:rPr>
                <w:rFonts w:ascii="Calibri" w:eastAsia="Times New Roman" w:hAnsi="Calibri" w:cs="Calibri"/>
                <w:b/>
                <w:sz w:val="19"/>
                <w:szCs w:val="19"/>
                <w:lang w:val="en-US"/>
              </w:rPr>
            </w:pPr>
            <w:r w:rsidRPr="007A49AD">
              <w:rPr>
                <w:b/>
                <w:bCs/>
                <w:sz w:val="19"/>
                <w:szCs w:val="19"/>
              </w:rPr>
              <w:t xml:space="preserve"> 57</w:t>
            </w:r>
            <w:r>
              <w:rPr>
                <w:b/>
                <w:bCs/>
                <w:sz w:val="19"/>
                <w:szCs w:val="19"/>
              </w:rPr>
              <w:t>,</w:t>
            </w:r>
            <w:r w:rsidRPr="007A49AD">
              <w:rPr>
                <w:b/>
                <w:bCs/>
                <w:sz w:val="19"/>
                <w:szCs w:val="19"/>
              </w:rPr>
              <w:t xml:space="preserve">574 </w:t>
            </w:r>
          </w:p>
        </w:tc>
        <w:tc>
          <w:tcPr>
            <w:tcW w:w="605" w:type="pct"/>
            <w:tcBorders>
              <w:top w:val="nil"/>
              <w:left w:val="nil"/>
              <w:bottom w:val="single" w:sz="12" w:space="0" w:color="auto"/>
              <w:right w:val="nil"/>
            </w:tcBorders>
            <w:shd w:val="clear" w:color="auto" w:fill="auto"/>
            <w:vAlign w:val="bottom"/>
          </w:tcPr>
          <w:p w14:paraId="6734B3B0" w14:textId="1DE59BCC" w:rsidR="005E25FB" w:rsidRPr="00537128" w:rsidRDefault="005E25FB" w:rsidP="005E25FB">
            <w:pPr>
              <w:tabs>
                <w:tab w:val="right" w:pos="1202"/>
              </w:tabs>
              <w:spacing w:after="0" w:line="301" w:lineRule="exact"/>
              <w:jc w:val="right"/>
              <w:outlineLvl w:val="0"/>
              <w:rPr>
                <w:rFonts w:ascii="Calibri" w:eastAsia="Times New Roman" w:hAnsi="Calibri" w:cs="Calibri"/>
                <w:b/>
                <w:sz w:val="19"/>
                <w:szCs w:val="19"/>
                <w:lang w:val="en-US"/>
              </w:rPr>
            </w:pPr>
            <w:r w:rsidRPr="007A49AD">
              <w:rPr>
                <w:b/>
                <w:bCs/>
                <w:sz w:val="19"/>
                <w:szCs w:val="19"/>
              </w:rPr>
              <w:t xml:space="preserve"> 9</w:t>
            </w:r>
            <w:r>
              <w:rPr>
                <w:b/>
                <w:bCs/>
                <w:sz w:val="19"/>
                <w:szCs w:val="19"/>
              </w:rPr>
              <w:t>,</w:t>
            </w:r>
            <w:r w:rsidRPr="007A49AD">
              <w:rPr>
                <w:b/>
                <w:bCs/>
                <w:sz w:val="19"/>
                <w:szCs w:val="19"/>
              </w:rPr>
              <w:t>66</w:t>
            </w:r>
            <w:r w:rsidR="004A14B9">
              <w:rPr>
                <w:b/>
                <w:bCs/>
                <w:sz w:val="19"/>
                <w:szCs w:val="19"/>
              </w:rPr>
              <w:t>1</w:t>
            </w:r>
            <w:r w:rsidRPr="007A49AD">
              <w:rPr>
                <w:b/>
                <w:bCs/>
                <w:sz w:val="19"/>
                <w:szCs w:val="19"/>
              </w:rPr>
              <w:t xml:space="preserve"> </w:t>
            </w:r>
          </w:p>
        </w:tc>
        <w:tc>
          <w:tcPr>
            <w:tcW w:w="638" w:type="pct"/>
            <w:tcBorders>
              <w:top w:val="nil"/>
              <w:left w:val="nil"/>
              <w:bottom w:val="single" w:sz="12" w:space="0" w:color="auto"/>
              <w:right w:val="nil"/>
            </w:tcBorders>
            <w:shd w:val="clear" w:color="auto" w:fill="auto"/>
            <w:vAlign w:val="bottom"/>
          </w:tcPr>
          <w:p w14:paraId="6BDE548E" w14:textId="7F7AE53B" w:rsidR="005E25FB" w:rsidRPr="00537128" w:rsidRDefault="005E25FB" w:rsidP="005E25FB">
            <w:pPr>
              <w:tabs>
                <w:tab w:val="right" w:pos="1202"/>
              </w:tabs>
              <w:spacing w:after="0" w:line="301" w:lineRule="exact"/>
              <w:jc w:val="right"/>
              <w:outlineLvl w:val="0"/>
              <w:rPr>
                <w:rFonts w:ascii="Calibri" w:eastAsia="Times New Roman" w:hAnsi="Calibri" w:cs="Calibri"/>
                <w:b/>
                <w:sz w:val="19"/>
                <w:szCs w:val="19"/>
                <w:lang w:val="en-US"/>
              </w:rPr>
            </w:pPr>
            <w:r w:rsidRPr="007A49AD">
              <w:rPr>
                <w:b/>
                <w:bCs/>
                <w:sz w:val="19"/>
                <w:szCs w:val="19"/>
              </w:rPr>
              <w:t xml:space="preserve"> 84</w:t>
            </w:r>
            <w:r>
              <w:rPr>
                <w:b/>
                <w:bCs/>
                <w:sz w:val="19"/>
                <w:szCs w:val="19"/>
              </w:rPr>
              <w:t>,</w:t>
            </w:r>
            <w:r w:rsidRPr="007A49AD">
              <w:rPr>
                <w:b/>
                <w:bCs/>
                <w:sz w:val="19"/>
                <w:szCs w:val="19"/>
              </w:rPr>
              <w:t xml:space="preserve">347 </w:t>
            </w:r>
          </w:p>
        </w:tc>
      </w:tr>
      <w:bookmarkEnd w:id="817"/>
    </w:tbl>
    <w:p w14:paraId="088C1FC2" w14:textId="77777777" w:rsidR="00D20207" w:rsidRPr="00537128" w:rsidRDefault="00D20207" w:rsidP="00024090">
      <w:pPr>
        <w:spacing w:after="0" w:line="240" w:lineRule="auto"/>
        <w:rPr>
          <w:rFonts w:ascii="Calibri" w:eastAsia="Calibri" w:hAnsi="Calibri" w:cs="Times New Roman"/>
          <w:noProof/>
          <w:color w:val="000000" w:themeColor="text1"/>
          <w:lang w:val="en-US"/>
        </w:rPr>
      </w:pPr>
    </w:p>
    <w:p w14:paraId="25F3C763" w14:textId="77777777" w:rsidR="00824E0F" w:rsidRPr="00537128" w:rsidRDefault="00824E0F" w:rsidP="00024090">
      <w:pPr>
        <w:spacing w:after="0" w:line="240" w:lineRule="auto"/>
        <w:rPr>
          <w:rFonts w:ascii="Calibri" w:eastAsia="Calibri" w:hAnsi="Calibri" w:cs="Times New Roman"/>
          <w:noProof/>
          <w:color w:val="000000" w:themeColor="text1"/>
          <w:lang w:val="en-US"/>
        </w:rPr>
      </w:pPr>
    </w:p>
    <w:p w14:paraId="1434D8CA" w14:textId="77777777" w:rsidR="0010024A" w:rsidRPr="00537128" w:rsidRDefault="0010024A" w:rsidP="00024090">
      <w:pPr>
        <w:spacing w:after="0" w:line="240" w:lineRule="auto"/>
        <w:rPr>
          <w:rFonts w:ascii="Calibri" w:eastAsia="Calibri" w:hAnsi="Calibri" w:cs="Times New Roman"/>
          <w:noProof/>
          <w:color w:val="000000" w:themeColor="text1"/>
          <w:lang w:val="en-US"/>
        </w:rPr>
      </w:pPr>
    </w:p>
    <w:p w14:paraId="2F915723" w14:textId="77777777" w:rsidR="00824E0F" w:rsidRPr="00537128" w:rsidRDefault="00824E0F"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7E5F09" w:rsidRPr="007E5F09" w14:paraId="40B28007" w14:textId="77777777" w:rsidTr="00E44437">
        <w:trPr>
          <w:trHeight w:val="146"/>
        </w:trPr>
        <w:tc>
          <w:tcPr>
            <w:tcW w:w="1814" w:type="pct"/>
          </w:tcPr>
          <w:p w14:paraId="2D77F005" w14:textId="77777777" w:rsidR="007E5F09" w:rsidRPr="007E5F09" w:rsidRDefault="007E5F09" w:rsidP="007E5F09">
            <w:pPr>
              <w:spacing w:after="0" w:line="240" w:lineRule="auto"/>
              <w:rPr>
                <w:rFonts w:ascii="Calibri" w:eastAsia="Calibri" w:hAnsi="Calibri" w:cs="Arial"/>
                <w:b/>
                <w:bCs/>
                <w:sz w:val="19"/>
                <w:szCs w:val="19"/>
                <w:lang w:val="en-GB"/>
              </w:rPr>
            </w:pPr>
            <w:r w:rsidRPr="007E5F09">
              <w:rPr>
                <w:rFonts w:ascii="Calibri" w:eastAsia="Calibri" w:hAnsi="Calibri" w:cs="Arial"/>
                <w:b/>
                <w:bCs/>
                <w:sz w:val="19"/>
                <w:szCs w:val="19"/>
                <w:lang w:val="en-GB"/>
              </w:rPr>
              <w:br w:type="page"/>
              <w:t>Group and Bank</w:t>
            </w:r>
          </w:p>
        </w:tc>
        <w:tc>
          <w:tcPr>
            <w:tcW w:w="3186" w:type="pct"/>
            <w:gridSpan w:val="5"/>
            <w:vAlign w:val="bottom"/>
          </w:tcPr>
          <w:p w14:paraId="6D3FB93E" w14:textId="77777777" w:rsidR="007E5F09" w:rsidRPr="007E5F09" w:rsidRDefault="007E5F09" w:rsidP="007E5F09">
            <w:pPr>
              <w:spacing w:after="0" w:line="240" w:lineRule="auto"/>
              <w:jc w:val="center"/>
              <w:rPr>
                <w:rFonts w:ascii="Calibri" w:eastAsia="Calibri" w:hAnsi="Calibri" w:cs="Arial"/>
                <w:b/>
                <w:sz w:val="19"/>
                <w:szCs w:val="19"/>
                <w:lang w:val="en-GB"/>
              </w:rPr>
            </w:pPr>
          </w:p>
        </w:tc>
      </w:tr>
      <w:tr w:rsidR="007E5F09" w:rsidRPr="007E5F09" w14:paraId="0C528184" w14:textId="77777777" w:rsidTr="00E44437">
        <w:trPr>
          <w:trHeight w:val="51"/>
        </w:trPr>
        <w:tc>
          <w:tcPr>
            <w:tcW w:w="1814" w:type="pct"/>
          </w:tcPr>
          <w:p w14:paraId="1AE653CD" w14:textId="77777777" w:rsidR="007E5F09" w:rsidRPr="007E5F09" w:rsidRDefault="007E5F09" w:rsidP="007E5F09">
            <w:pPr>
              <w:spacing w:after="0" w:line="240" w:lineRule="auto"/>
              <w:rPr>
                <w:rFonts w:ascii="Calibri" w:eastAsia="Calibri" w:hAnsi="Calibri" w:cs="Arial"/>
                <w:b/>
                <w:bCs/>
                <w:sz w:val="19"/>
                <w:szCs w:val="19"/>
                <w:lang w:val="en-GB"/>
              </w:rPr>
            </w:pPr>
            <w:r w:rsidRPr="007E5F09">
              <w:rPr>
                <w:rFonts w:ascii="Calibri" w:eastAsia="Calibri" w:hAnsi="Calibri" w:cs="Arial"/>
                <w:b/>
                <w:bCs/>
                <w:sz w:val="19"/>
                <w:szCs w:val="19"/>
                <w:lang w:val="en-GB"/>
              </w:rPr>
              <w:t>31 December 2021</w:t>
            </w:r>
          </w:p>
        </w:tc>
        <w:tc>
          <w:tcPr>
            <w:tcW w:w="650" w:type="pct"/>
            <w:vAlign w:val="bottom"/>
          </w:tcPr>
          <w:p w14:paraId="1129AF59" w14:textId="77777777" w:rsidR="007E5F09" w:rsidRPr="007E5F09" w:rsidRDefault="007E5F09" w:rsidP="007E5F09">
            <w:pPr>
              <w:spacing w:after="0" w:line="240" w:lineRule="auto"/>
              <w:jc w:val="right"/>
              <w:rPr>
                <w:rFonts w:ascii="Calibri" w:eastAsia="Calibri" w:hAnsi="Calibri" w:cs="Arial"/>
                <w:b/>
                <w:sz w:val="19"/>
                <w:szCs w:val="19"/>
                <w:lang w:val="en-GB"/>
              </w:rPr>
            </w:pPr>
            <w:r w:rsidRPr="007E5F09">
              <w:rPr>
                <w:rFonts w:ascii="Calibri" w:eastAsia="Calibri" w:hAnsi="Calibri" w:cs="Arial"/>
                <w:b/>
                <w:sz w:val="19"/>
                <w:szCs w:val="19"/>
                <w:lang w:val="en-GB"/>
              </w:rPr>
              <w:t>Stage 1</w:t>
            </w:r>
          </w:p>
        </w:tc>
        <w:tc>
          <w:tcPr>
            <w:tcW w:w="650" w:type="pct"/>
            <w:vAlign w:val="bottom"/>
          </w:tcPr>
          <w:p w14:paraId="0738B4F0" w14:textId="77777777" w:rsidR="007E5F09" w:rsidRPr="007E5F09" w:rsidRDefault="007E5F09" w:rsidP="007E5F09">
            <w:pPr>
              <w:spacing w:after="0" w:line="240" w:lineRule="auto"/>
              <w:jc w:val="right"/>
              <w:rPr>
                <w:rFonts w:ascii="Calibri" w:eastAsia="Calibri" w:hAnsi="Calibri" w:cs="Arial"/>
                <w:b/>
                <w:sz w:val="19"/>
                <w:szCs w:val="19"/>
                <w:lang w:val="en-GB"/>
              </w:rPr>
            </w:pPr>
            <w:r w:rsidRPr="007E5F09">
              <w:rPr>
                <w:rFonts w:ascii="Calibri" w:eastAsia="Calibri" w:hAnsi="Calibri" w:cs="Arial"/>
                <w:b/>
                <w:sz w:val="19"/>
                <w:szCs w:val="19"/>
                <w:lang w:val="en-GB"/>
              </w:rPr>
              <w:t>Stage 2</w:t>
            </w:r>
          </w:p>
        </w:tc>
        <w:tc>
          <w:tcPr>
            <w:tcW w:w="643" w:type="pct"/>
            <w:vAlign w:val="bottom"/>
          </w:tcPr>
          <w:p w14:paraId="2582193B" w14:textId="77777777" w:rsidR="007E5F09" w:rsidRPr="007E5F09" w:rsidRDefault="007E5F09" w:rsidP="007E5F09">
            <w:pPr>
              <w:spacing w:after="0" w:line="240" w:lineRule="auto"/>
              <w:jc w:val="right"/>
              <w:rPr>
                <w:rFonts w:ascii="Calibri" w:eastAsia="Calibri" w:hAnsi="Calibri" w:cs="Arial"/>
                <w:b/>
                <w:sz w:val="19"/>
                <w:szCs w:val="19"/>
                <w:lang w:val="en-GB"/>
              </w:rPr>
            </w:pPr>
            <w:r w:rsidRPr="007E5F09">
              <w:rPr>
                <w:rFonts w:ascii="Calibri" w:eastAsia="Calibri" w:hAnsi="Calibri" w:cs="Arial"/>
                <w:b/>
                <w:sz w:val="19"/>
                <w:szCs w:val="19"/>
                <w:lang w:val="en-GB"/>
              </w:rPr>
              <w:t>Stage 3</w:t>
            </w:r>
          </w:p>
        </w:tc>
        <w:tc>
          <w:tcPr>
            <w:tcW w:w="605" w:type="pct"/>
            <w:vAlign w:val="bottom"/>
          </w:tcPr>
          <w:p w14:paraId="0B0EAF33" w14:textId="77777777" w:rsidR="007E5F09" w:rsidRPr="007E5F09" w:rsidRDefault="007E5F09" w:rsidP="007E5F09">
            <w:pPr>
              <w:spacing w:after="0" w:line="240" w:lineRule="auto"/>
              <w:jc w:val="right"/>
              <w:rPr>
                <w:rFonts w:ascii="Calibri" w:eastAsia="Calibri" w:hAnsi="Calibri" w:cs="Arial"/>
                <w:b/>
                <w:sz w:val="19"/>
                <w:szCs w:val="19"/>
                <w:lang w:val="en-GB"/>
              </w:rPr>
            </w:pPr>
            <w:r w:rsidRPr="007E5F09">
              <w:rPr>
                <w:rFonts w:ascii="Calibri" w:eastAsia="Calibri" w:hAnsi="Calibri" w:cs="Arial"/>
                <w:b/>
                <w:sz w:val="19"/>
                <w:szCs w:val="19"/>
                <w:lang w:val="en-GB"/>
              </w:rPr>
              <w:t>POCI</w:t>
            </w:r>
          </w:p>
        </w:tc>
        <w:tc>
          <w:tcPr>
            <w:tcW w:w="638" w:type="pct"/>
            <w:vAlign w:val="bottom"/>
          </w:tcPr>
          <w:p w14:paraId="4D63E4EF" w14:textId="77777777" w:rsidR="007E5F09" w:rsidRPr="007E5F09" w:rsidRDefault="007E5F09" w:rsidP="007E5F09">
            <w:pPr>
              <w:spacing w:after="0" w:line="240" w:lineRule="auto"/>
              <w:jc w:val="right"/>
              <w:rPr>
                <w:rFonts w:ascii="Calibri" w:eastAsia="Calibri" w:hAnsi="Calibri" w:cs="Arial"/>
                <w:b/>
                <w:sz w:val="19"/>
                <w:szCs w:val="19"/>
                <w:lang w:val="en-GB"/>
              </w:rPr>
            </w:pPr>
            <w:r w:rsidRPr="007E5F09">
              <w:rPr>
                <w:rFonts w:ascii="Calibri" w:eastAsia="Calibri" w:hAnsi="Calibri" w:cs="Arial"/>
                <w:b/>
                <w:sz w:val="19"/>
                <w:szCs w:val="19"/>
                <w:lang w:val="en-GB"/>
              </w:rPr>
              <w:t>Total</w:t>
            </w:r>
          </w:p>
        </w:tc>
      </w:tr>
      <w:tr w:rsidR="007E5F09" w:rsidRPr="007E5F09" w14:paraId="051EB26F" w14:textId="77777777" w:rsidTr="00E44437">
        <w:trPr>
          <w:trHeight w:val="51"/>
        </w:trPr>
        <w:tc>
          <w:tcPr>
            <w:tcW w:w="1814" w:type="pct"/>
          </w:tcPr>
          <w:p w14:paraId="543F4C84" w14:textId="77777777" w:rsidR="007E5F09" w:rsidRPr="007E5F09" w:rsidRDefault="007E5F09" w:rsidP="007E5F09">
            <w:pPr>
              <w:spacing w:after="0" w:line="240" w:lineRule="auto"/>
              <w:rPr>
                <w:rFonts w:ascii="Calibri" w:eastAsia="Calibri" w:hAnsi="Calibri" w:cs="Arial"/>
                <w:b/>
                <w:bCs/>
                <w:sz w:val="19"/>
                <w:szCs w:val="19"/>
                <w:lang w:val="en-GB"/>
              </w:rPr>
            </w:pPr>
          </w:p>
        </w:tc>
        <w:tc>
          <w:tcPr>
            <w:tcW w:w="650" w:type="pct"/>
          </w:tcPr>
          <w:p w14:paraId="1B673A33" w14:textId="77777777" w:rsidR="007E5F09" w:rsidRPr="007E5F09" w:rsidRDefault="007E5F09" w:rsidP="007E5F09">
            <w:pPr>
              <w:spacing w:after="0" w:line="240" w:lineRule="auto"/>
              <w:jc w:val="right"/>
              <w:rPr>
                <w:rFonts w:ascii="Calibri" w:eastAsia="Calibri" w:hAnsi="Calibri" w:cs="Arial"/>
                <w:b/>
                <w:sz w:val="19"/>
                <w:szCs w:val="19"/>
                <w:lang w:val="en-GB"/>
              </w:rPr>
            </w:pPr>
            <w:r w:rsidRPr="007E5F09">
              <w:rPr>
                <w:rFonts w:ascii="Calibri" w:eastAsia="Calibri" w:hAnsi="Calibri" w:cs="Arial"/>
                <w:b/>
                <w:sz w:val="19"/>
                <w:szCs w:val="19"/>
                <w:lang w:val="en-GB"/>
              </w:rPr>
              <w:t>HRK ‘000</w:t>
            </w:r>
          </w:p>
        </w:tc>
        <w:tc>
          <w:tcPr>
            <w:tcW w:w="650" w:type="pct"/>
          </w:tcPr>
          <w:p w14:paraId="62306CA0" w14:textId="77777777" w:rsidR="007E5F09" w:rsidRPr="007E5F09" w:rsidRDefault="007E5F09" w:rsidP="007E5F09">
            <w:pPr>
              <w:spacing w:after="0" w:line="240" w:lineRule="auto"/>
              <w:jc w:val="right"/>
              <w:rPr>
                <w:rFonts w:ascii="Calibri" w:eastAsia="Calibri" w:hAnsi="Calibri" w:cs="Arial"/>
                <w:b/>
                <w:sz w:val="19"/>
                <w:szCs w:val="19"/>
                <w:lang w:val="en-GB"/>
              </w:rPr>
            </w:pPr>
            <w:r w:rsidRPr="007E5F09">
              <w:rPr>
                <w:rFonts w:ascii="Calibri" w:eastAsia="Calibri" w:hAnsi="Calibri" w:cs="Arial"/>
                <w:b/>
                <w:sz w:val="19"/>
                <w:szCs w:val="19"/>
                <w:lang w:val="en-GB"/>
              </w:rPr>
              <w:t>HRK ‘000</w:t>
            </w:r>
          </w:p>
        </w:tc>
        <w:tc>
          <w:tcPr>
            <w:tcW w:w="643" w:type="pct"/>
          </w:tcPr>
          <w:p w14:paraId="76C41581" w14:textId="77777777" w:rsidR="007E5F09" w:rsidRPr="007E5F09" w:rsidRDefault="007E5F09" w:rsidP="007E5F09">
            <w:pPr>
              <w:spacing w:after="0" w:line="240" w:lineRule="auto"/>
              <w:jc w:val="right"/>
              <w:rPr>
                <w:rFonts w:ascii="Calibri" w:eastAsia="Calibri" w:hAnsi="Calibri" w:cs="Arial"/>
                <w:b/>
                <w:sz w:val="19"/>
                <w:szCs w:val="19"/>
                <w:lang w:val="en-GB"/>
              </w:rPr>
            </w:pPr>
            <w:r w:rsidRPr="007E5F09">
              <w:rPr>
                <w:rFonts w:ascii="Calibri" w:eastAsia="Calibri" w:hAnsi="Calibri" w:cs="Arial"/>
                <w:b/>
                <w:sz w:val="19"/>
                <w:szCs w:val="19"/>
                <w:lang w:val="en-GB"/>
              </w:rPr>
              <w:t>HRK ‘000</w:t>
            </w:r>
          </w:p>
        </w:tc>
        <w:tc>
          <w:tcPr>
            <w:tcW w:w="605" w:type="pct"/>
          </w:tcPr>
          <w:p w14:paraId="5B79FED5" w14:textId="77777777" w:rsidR="007E5F09" w:rsidRPr="007E5F09" w:rsidRDefault="007E5F09" w:rsidP="007E5F09">
            <w:pPr>
              <w:spacing w:after="0" w:line="240" w:lineRule="auto"/>
              <w:jc w:val="right"/>
              <w:rPr>
                <w:rFonts w:ascii="Calibri" w:eastAsia="Calibri" w:hAnsi="Calibri" w:cs="Arial"/>
                <w:b/>
                <w:sz w:val="19"/>
                <w:szCs w:val="19"/>
                <w:lang w:val="en-GB"/>
              </w:rPr>
            </w:pPr>
            <w:r w:rsidRPr="007E5F09">
              <w:rPr>
                <w:rFonts w:ascii="Calibri" w:eastAsia="Calibri" w:hAnsi="Calibri" w:cs="Arial"/>
                <w:b/>
                <w:sz w:val="19"/>
                <w:szCs w:val="19"/>
                <w:lang w:val="en-GB"/>
              </w:rPr>
              <w:t>HRK ‘000</w:t>
            </w:r>
          </w:p>
        </w:tc>
        <w:tc>
          <w:tcPr>
            <w:tcW w:w="638" w:type="pct"/>
          </w:tcPr>
          <w:p w14:paraId="72320CB7" w14:textId="77777777" w:rsidR="007E5F09" w:rsidRPr="007E5F09" w:rsidRDefault="007E5F09" w:rsidP="007E5F09">
            <w:pPr>
              <w:spacing w:after="0" w:line="240" w:lineRule="auto"/>
              <w:jc w:val="right"/>
              <w:rPr>
                <w:rFonts w:ascii="Calibri" w:eastAsia="Calibri" w:hAnsi="Calibri" w:cs="Arial"/>
                <w:b/>
                <w:sz w:val="19"/>
                <w:szCs w:val="19"/>
                <w:lang w:val="en-GB"/>
              </w:rPr>
            </w:pPr>
            <w:r w:rsidRPr="007E5F09">
              <w:rPr>
                <w:rFonts w:ascii="Calibri" w:eastAsia="Calibri" w:hAnsi="Calibri" w:cs="Arial"/>
                <w:b/>
                <w:sz w:val="19"/>
                <w:szCs w:val="19"/>
                <w:lang w:val="en-GB"/>
              </w:rPr>
              <w:t>HRK ‘000</w:t>
            </w:r>
          </w:p>
        </w:tc>
      </w:tr>
      <w:tr w:rsidR="007E5F09" w:rsidRPr="007E5F09" w14:paraId="04DE86EA" w14:textId="77777777" w:rsidTr="00E44437">
        <w:trPr>
          <w:trHeight w:val="51"/>
        </w:trPr>
        <w:tc>
          <w:tcPr>
            <w:tcW w:w="1814" w:type="pct"/>
          </w:tcPr>
          <w:p w14:paraId="05AFF9CF" w14:textId="77777777" w:rsidR="007E5F09" w:rsidRPr="007E5F09" w:rsidRDefault="007E5F09" w:rsidP="007E5F09">
            <w:pPr>
              <w:spacing w:after="0" w:line="240" w:lineRule="auto"/>
              <w:rPr>
                <w:rFonts w:ascii="Calibri" w:eastAsia="Calibri" w:hAnsi="Calibri" w:cs="Arial"/>
                <w:b/>
                <w:bCs/>
                <w:sz w:val="19"/>
                <w:szCs w:val="19"/>
                <w:lang w:val="en-GB"/>
              </w:rPr>
            </w:pPr>
          </w:p>
        </w:tc>
        <w:tc>
          <w:tcPr>
            <w:tcW w:w="650" w:type="pct"/>
          </w:tcPr>
          <w:p w14:paraId="4B0F377D" w14:textId="77777777" w:rsidR="007E5F09" w:rsidRPr="007E5F09" w:rsidRDefault="007E5F09" w:rsidP="007E5F09">
            <w:pPr>
              <w:spacing w:after="0" w:line="240" w:lineRule="auto"/>
              <w:jc w:val="right"/>
              <w:rPr>
                <w:rFonts w:ascii="Calibri" w:eastAsia="Calibri" w:hAnsi="Calibri" w:cs="Arial"/>
                <w:b/>
                <w:bCs/>
                <w:sz w:val="19"/>
                <w:szCs w:val="19"/>
                <w:lang w:val="en-GB"/>
              </w:rPr>
            </w:pPr>
          </w:p>
        </w:tc>
        <w:tc>
          <w:tcPr>
            <w:tcW w:w="650" w:type="pct"/>
          </w:tcPr>
          <w:p w14:paraId="21D0A694" w14:textId="77777777" w:rsidR="007E5F09" w:rsidRPr="007E5F09" w:rsidRDefault="007E5F09" w:rsidP="007E5F09">
            <w:pPr>
              <w:spacing w:after="0" w:line="240" w:lineRule="auto"/>
              <w:jc w:val="right"/>
              <w:rPr>
                <w:rFonts w:ascii="Calibri" w:eastAsia="Calibri" w:hAnsi="Calibri" w:cs="Arial"/>
                <w:b/>
                <w:bCs/>
                <w:sz w:val="19"/>
                <w:szCs w:val="19"/>
                <w:lang w:val="en-GB"/>
              </w:rPr>
            </w:pPr>
          </w:p>
        </w:tc>
        <w:tc>
          <w:tcPr>
            <w:tcW w:w="643" w:type="pct"/>
          </w:tcPr>
          <w:p w14:paraId="5C935262" w14:textId="77777777" w:rsidR="007E5F09" w:rsidRPr="007E5F09" w:rsidRDefault="007E5F09" w:rsidP="007E5F09">
            <w:pPr>
              <w:spacing w:after="0" w:line="240" w:lineRule="auto"/>
              <w:jc w:val="right"/>
              <w:rPr>
                <w:rFonts w:ascii="Calibri" w:eastAsia="Calibri" w:hAnsi="Calibri" w:cs="Arial"/>
                <w:b/>
                <w:bCs/>
                <w:sz w:val="19"/>
                <w:szCs w:val="19"/>
                <w:lang w:val="en-GB"/>
              </w:rPr>
            </w:pPr>
          </w:p>
        </w:tc>
        <w:tc>
          <w:tcPr>
            <w:tcW w:w="605" w:type="pct"/>
          </w:tcPr>
          <w:p w14:paraId="1ACC528B" w14:textId="77777777" w:rsidR="007E5F09" w:rsidRPr="007E5F09" w:rsidRDefault="007E5F09" w:rsidP="007E5F09">
            <w:pPr>
              <w:spacing w:after="0" w:line="240" w:lineRule="auto"/>
              <w:jc w:val="right"/>
              <w:rPr>
                <w:rFonts w:ascii="Calibri" w:eastAsia="Calibri" w:hAnsi="Calibri" w:cs="Arial"/>
                <w:b/>
                <w:bCs/>
                <w:sz w:val="19"/>
                <w:szCs w:val="19"/>
                <w:lang w:val="en-GB"/>
              </w:rPr>
            </w:pPr>
          </w:p>
        </w:tc>
        <w:tc>
          <w:tcPr>
            <w:tcW w:w="638" w:type="pct"/>
          </w:tcPr>
          <w:p w14:paraId="2B876947" w14:textId="77777777" w:rsidR="007E5F09" w:rsidRPr="007E5F09" w:rsidRDefault="007E5F09" w:rsidP="007E5F09">
            <w:pPr>
              <w:spacing w:after="0" w:line="240" w:lineRule="auto"/>
              <w:jc w:val="right"/>
              <w:rPr>
                <w:rFonts w:ascii="Calibri" w:eastAsia="Calibri" w:hAnsi="Calibri" w:cs="Arial"/>
                <w:b/>
                <w:bCs/>
                <w:sz w:val="19"/>
                <w:szCs w:val="19"/>
                <w:lang w:val="en-GB"/>
              </w:rPr>
            </w:pPr>
          </w:p>
        </w:tc>
      </w:tr>
      <w:tr w:rsidR="007E5F09" w:rsidRPr="007E5F09" w14:paraId="3ABB9526" w14:textId="77777777" w:rsidTr="00E44437">
        <w:trPr>
          <w:trHeight w:hRule="exact" w:val="241"/>
        </w:trPr>
        <w:tc>
          <w:tcPr>
            <w:tcW w:w="1814" w:type="pct"/>
            <w:vAlign w:val="bottom"/>
          </w:tcPr>
          <w:p w14:paraId="67EA625F" w14:textId="77777777" w:rsidR="007E5F09" w:rsidRPr="007E5F09" w:rsidRDefault="007E5F09" w:rsidP="007E5F09">
            <w:pPr>
              <w:tabs>
                <w:tab w:val="right" w:pos="1202"/>
              </w:tabs>
              <w:spacing w:after="0" w:line="240" w:lineRule="auto"/>
              <w:outlineLvl w:val="0"/>
              <w:rPr>
                <w:rFonts w:ascii="Calibri" w:eastAsia="Calibri" w:hAnsi="Calibri" w:cs="Times New Roman"/>
                <w:sz w:val="19"/>
                <w:szCs w:val="19"/>
                <w:lang w:val="en-GB"/>
              </w:rPr>
            </w:pPr>
            <w:r w:rsidRPr="007E5F09">
              <w:rPr>
                <w:rFonts w:ascii="Calibri" w:eastAsia="Calibri" w:hAnsi="Calibri" w:cs="Times New Roman"/>
                <w:sz w:val="19"/>
                <w:szCs w:val="19"/>
                <w:lang w:val="en-GB"/>
              </w:rPr>
              <w:t xml:space="preserve">Balance </w:t>
            </w:r>
            <w:proofErr w:type="gramStart"/>
            <w:r w:rsidRPr="007E5F09">
              <w:rPr>
                <w:rFonts w:ascii="Calibri" w:eastAsia="Calibri" w:hAnsi="Calibri" w:cs="Times New Roman"/>
                <w:sz w:val="19"/>
                <w:szCs w:val="19"/>
                <w:lang w:val="en-GB"/>
              </w:rPr>
              <w:t>at</w:t>
            </w:r>
            <w:proofErr w:type="gramEnd"/>
            <w:r w:rsidRPr="007E5F09">
              <w:rPr>
                <w:rFonts w:ascii="Calibri" w:eastAsia="Calibri" w:hAnsi="Calibri" w:cs="Times New Roman"/>
                <w:sz w:val="19"/>
                <w:szCs w:val="19"/>
                <w:lang w:val="en-GB"/>
              </w:rPr>
              <w:t xml:space="preserve"> 1 January 2021</w:t>
            </w:r>
          </w:p>
        </w:tc>
        <w:tc>
          <w:tcPr>
            <w:tcW w:w="650" w:type="pct"/>
            <w:shd w:val="clear" w:color="auto" w:fill="auto"/>
            <w:vAlign w:val="bottom"/>
          </w:tcPr>
          <w:p w14:paraId="25CCCC87" w14:textId="77777777" w:rsidR="007E5F09" w:rsidRPr="007E5F09" w:rsidRDefault="007E5F09" w:rsidP="007E5F09">
            <w:pPr>
              <w:spacing w:after="0" w:line="240" w:lineRule="auto"/>
              <w:jc w:val="right"/>
              <w:rPr>
                <w:rFonts w:ascii="Calibri" w:eastAsia="Times New Roman" w:hAnsi="Calibri" w:cs="Calibri"/>
                <w:sz w:val="19"/>
                <w:szCs w:val="19"/>
                <w:lang w:val="en-GB"/>
              </w:rPr>
            </w:pPr>
            <w:r w:rsidRPr="007E5F09">
              <w:rPr>
                <w:rFonts w:ascii="Calibri" w:eastAsia="Times New Roman" w:hAnsi="Calibri" w:cs="Times New Roman"/>
                <w:sz w:val="19"/>
                <w:szCs w:val="19"/>
                <w:lang w:val="en-US"/>
              </w:rPr>
              <w:t xml:space="preserve"> 8,659 </w:t>
            </w:r>
          </w:p>
        </w:tc>
        <w:tc>
          <w:tcPr>
            <w:tcW w:w="650" w:type="pct"/>
            <w:shd w:val="clear" w:color="auto" w:fill="auto"/>
            <w:vAlign w:val="bottom"/>
          </w:tcPr>
          <w:p w14:paraId="3CCF0DBE" w14:textId="77777777" w:rsidR="007E5F09" w:rsidRPr="007E5F09" w:rsidRDefault="007E5F09" w:rsidP="007E5F09">
            <w:pPr>
              <w:spacing w:after="0" w:line="240" w:lineRule="auto"/>
              <w:jc w:val="right"/>
              <w:rPr>
                <w:rFonts w:ascii="Calibri" w:eastAsia="Times New Roman" w:hAnsi="Calibri" w:cs="Calibri"/>
                <w:sz w:val="19"/>
                <w:szCs w:val="19"/>
                <w:lang w:val="en-GB"/>
              </w:rPr>
            </w:pPr>
            <w:r w:rsidRPr="007E5F09">
              <w:rPr>
                <w:rFonts w:ascii="Calibri" w:eastAsia="Times New Roman" w:hAnsi="Calibri" w:cs="Times New Roman"/>
                <w:sz w:val="19"/>
                <w:szCs w:val="19"/>
                <w:lang w:val="en-US"/>
              </w:rPr>
              <w:t xml:space="preserve"> 11,523 </w:t>
            </w:r>
          </w:p>
        </w:tc>
        <w:tc>
          <w:tcPr>
            <w:tcW w:w="643" w:type="pct"/>
            <w:shd w:val="clear" w:color="auto" w:fill="auto"/>
            <w:vAlign w:val="bottom"/>
          </w:tcPr>
          <w:p w14:paraId="6E4EFC6D" w14:textId="77777777" w:rsidR="007E5F09" w:rsidRPr="007E5F09" w:rsidRDefault="007E5F09" w:rsidP="007E5F09">
            <w:pPr>
              <w:spacing w:after="0" w:line="240" w:lineRule="auto"/>
              <w:jc w:val="right"/>
              <w:rPr>
                <w:rFonts w:ascii="Calibri" w:eastAsia="Times New Roman" w:hAnsi="Calibri" w:cs="Calibri"/>
                <w:sz w:val="19"/>
                <w:szCs w:val="19"/>
                <w:lang w:val="en-GB"/>
              </w:rPr>
            </w:pPr>
            <w:r w:rsidRPr="007E5F09">
              <w:rPr>
                <w:rFonts w:ascii="Calibri" w:eastAsia="Times New Roman" w:hAnsi="Calibri" w:cs="Times New Roman"/>
                <w:sz w:val="19"/>
                <w:szCs w:val="19"/>
                <w:lang w:val="en-US"/>
              </w:rPr>
              <w:t xml:space="preserve"> 17,525 </w:t>
            </w:r>
          </w:p>
        </w:tc>
        <w:tc>
          <w:tcPr>
            <w:tcW w:w="605" w:type="pct"/>
            <w:shd w:val="clear" w:color="auto" w:fill="auto"/>
            <w:vAlign w:val="bottom"/>
          </w:tcPr>
          <w:p w14:paraId="6736C999" w14:textId="77777777" w:rsidR="007E5F09" w:rsidRPr="007E5F09" w:rsidRDefault="007E5F09" w:rsidP="007E5F09">
            <w:pPr>
              <w:spacing w:after="0" w:line="240" w:lineRule="auto"/>
              <w:jc w:val="right"/>
              <w:rPr>
                <w:rFonts w:ascii="Calibri" w:eastAsia="Times New Roman" w:hAnsi="Calibri" w:cs="Calibri"/>
                <w:sz w:val="19"/>
                <w:szCs w:val="19"/>
                <w:lang w:val="en-GB"/>
              </w:rPr>
            </w:pPr>
            <w:r w:rsidRPr="007E5F09">
              <w:rPr>
                <w:rFonts w:ascii="Calibri" w:eastAsia="Times New Roman" w:hAnsi="Calibri" w:cs="Times New Roman"/>
                <w:sz w:val="19"/>
                <w:szCs w:val="19"/>
                <w:lang w:val="en-US"/>
              </w:rPr>
              <w:t xml:space="preserve"> 7,849 </w:t>
            </w:r>
          </w:p>
        </w:tc>
        <w:tc>
          <w:tcPr>
            <w:tcW w:w="638" w:type="pct"/>
            <w:shd w:val="clear" w:color="auto" w:fill="auto"/>
            <w:vAlign w:val="bottom"/>
          </w:tcPr>
          <w:p w14:paraId="3BE0D0EB" w14:textId="77777777" w:rsidR="007E5F09" w:rsidRPr="007E5F09" w:rsidRDefault="007E5F09" w:rsidP="007E5F09">
            <w:pPr>
              <w:spacing w:after="0" w:line="240" w:lineRule="auto"/>
              <w:jc w:val="right"/>
              <w:rPr>
                <w:rFonts w:ascii="Calibri" w:eastAsia="Times New Roman" w:hAnsi="Calibri" w:cs="Calibri"/>
                <w:sz w:val="19"/>
                <w:szCs w:val="19"/>
                <w:lang w:val="en-GB"/>
              </w:rPr>
            </w:pPr>
            <w:r w:rsidRPr="007E5F09">
              <w:rPr>
                <w:rFonts w:ascii="Calibri" w:eastAsia="Times New Roman" w:hAnsi="Calibri" w:cs="Times New Roman"/>
                <w:sz w:val="19"/>
                <w:szCs w:val="19"/>
                <w:lang w:val="en-US"/>
              </w:rPr>
              <w:t xml:space="preserve"> 45,556 </w:t>
            </w:r>
          </w:p>
        </w:tc>
      </w:tr>
      <w:tr w:rsidR="007E5F09" w:rsidRPr="007E5F09" w14:paraId="2184A06C" w14:textId="77777777" w:rsidTr="00E44437">
        <w:trPr>
          <w:trHeight w:hRule="exact" w:val="241"/>
        </w:trPr>
        <w:tc>
          <w:tcPr>
            <w:tcW w:w="1814" w:type="pct"/>
            <w:vAlign w:val="bottom"/>
          </w:tcPr>
          <w:p w14:paraId="49559B1C" w14:textId="77777777" w:rsidR="007E5F09" w:rsidRPr="007E5F09" w:rsidRDefault="007E5F09" w:rsidP="007E5F09">
            <w:pPr>
              <w:tabs>
                <w:tab w:val="right" w:pos="1202"/>
              </w:tabs>
              <w:spacing w:after="0" w:line="240" w:lineRule="auto"/>
              <w:outlineLvl w:val="0"/>
              <w:rPr>
                <w:rFonts w:ascii="Calibri" w:eastAsia="Calibri" w:hAnsi="Calibri" w:cs="Times New Roman"/>
                <w:sz w:val="19"/>
                <w:szCs w:val="19"/>
                <w:lang w:val="en-GB"/>
              </w:rPr>
            </w:pPr>
            <w:r w:rsidRPr="007E5F09">
              <w:rPr>
                <w:rFonts w:ascii="Calibri" w:eastAsia="Calibri" w:hAnsi="Calibri" w:cs="Times New Roman"/>
                <w:sz w:val="19"/>
                <w:szCs w:val="19"/>
                <w:lang w:val="en-GB"/>
              </w:rPr>
              <w:t>Transfer to Stage 1</w:t>
            </w:r>
          </w:p>
        </w:tc>
        <w:tc>
          <w:tcPr>
            <w:tcW w:w="650" w:type="pct"/>
            <w:shd w:val="clear" w:color="auto" w:fill="auto"/>
            <w:vAlign w:val="bottom"/>
          </w:tcPr>
          <w:p w14:paraId="742C65DF" w14:textId="77777777" w:rsidR="007E5F09" w:rsidRPr="007E5F09" w:rsidRDefault="007E5F09" w:rsidP="007E5F09">
            <w:pPr>
              <w:spacing w:after="0" w:line="240" w:lineRule="auto"/>
              <w:jc w:val="right"/>
              <w:rPr>
                <w:rFonts w:ascii="Calibri" w:eastAsia="Times New Roman" w:hAnsi="Calibri" w:cs="Calibri"/>
                <w:sz w:val="19"/>
                <w:szCs w:val="19"/>
                <w:lang w:val="en-GB"/>
              </w:rPr>
            </w:pPr>
            <w:r w:rsidRPr="007E5F09">
              <w:rPr>
                <w:rFonts w:ascii="Calibri" w:eastAsia="Times New Roman" w:hAnsi="Calibri" w:cs="Times New Roman"/>
                <w:sz w:val="19"/>
                <w:szCs w:val="19"/>
                <w:lang w:val="en-US"/>
              </w:rPr>
              <w:t xml:space="preserve"> 5,309 </w:t>
            </w:r>
          </w:p>
        </w:tc>
        <w:tc>
          <w:tcPr>
            <w:tcW w:w="650" w:type="pct"/>
            <w:shd w:val="clear" w:color="auto" w:fill="auto"/>
            <w:vAlign w:val="bottom"/>
          </w:tcPr>
          <w:p w14:paraId="664D2102" w14:textId="77777777" w:rsidR="007E5F09" w:rsidRPr="007E5F09" w:rsidRDefault="007E5F09" w:rsidP="007E5F09">
            <w:pPr>
              <w:spacing w:after="0" w:line="240" w:lineRule="auto"/>
              <w:jc w:val="right"/>
              <w:rPr>
                <w:rFonts w:ascii="Calibri" w:eastAsia="Times New Roman" w:hAnsi="Calibri" w:cs="Calibri"/>
                <w:sz w:val="19"/>
                <w:szCs w:val="19"/>
                <w:lang w:val="en-GB"/>
              </w:rPr>
            </w:pPr>
            <w:r w:rsidRPr="007E5F09">
              <w:rPr>
                <w:rFonts w:ascii="Calibri" w:eastAsia="Times New Roman" w:hAnsi="Calibri" w:cs="Times New Roman"/>
                <w:sz w:val="19"/>
                <w:szCs w:val="19"/>
                <w:lang w:val="en-US"/>
              </w:rPr>
              <w:t xml:space="preserve"> (5,309)</w:t>
            </w:r>
          </w:p>
        </w:tc>
        <w:tc>
          <w:tcPr>
            <w:tcW w:w="643" w:type="pct"/>
            <w:shd w:val="clear" w:color="auto" w:fill="auto"/>
            <w:vAlign w:val="bottom"/>
          </w:tcPr>
          <w:p w14:paraId="37F83374" w14:textId="77777777" w:rsidR="007E5F09" w:rsidRPr="007E5F09" w:rsidRDefault="007E5F09" w:rsidP="007E5F09">
            <w:pPr>
              <w:spacing w:after="0" w:line="240" w:lineRule="auto"/>
              <w:jc w:val="right"/>
              <w:rPr>
                <w:rFonts w:ascii="Calibri" w:eastAsia="Times New Roman" w:hAnsi="Calibri" w:cs="Calibri"/>
                <w:sz w:val="19"/>
                <w:szCs w:val="19"/>
                <w:lang w:val="en-GB"/>
              </w:rPr>
            </w:pPr>
            <w:r w:rsidRPr="007E5F09">
              <w:rPr>
                <w:rFonts w:ascii="Calibri" w:eastAsia="Times New Roman" w:hAnsi="Calibri" w:cs="Times New Roman"/>
                <w:sz w:val="19"/>
                <w:szCs w:val="19"/>
                <w:lang w:val="en-US"/>
              </w:rPr>
              <w:t xml:space="preserve"> - </w:t>
            </w:r>
          </w:p>
        </w:tc>
        <w:tc>
          <w:tcPr>
            <w:tcW w:w="605" w:type="pct"/>
            <w:shd w:val="clear" w:color="auto" w:fill="auto"/>
            <w:vAlign w:val="bottom"/>
          </w:tcPr>
          <w:p w14:paraId="47DAA7EE" w14:textId="77777777" w:rsidR="007E5F09" w:rsidRPr="007E5F09" w:rsidRDefault="007E5F09" w:rsidP="007E5F09">
            <w:pPr>
              <w:spacing w:after="0" w:line="240" w:lineRule="auto"/>
              <w:jc w:val="right"/>
              <w:rPr>
                <w:rFonts w:ascii="Calibri" w:eastAsia="Times New Roman" w:hAnsi="Calibri" w:cs="Calibri"/>
                <w:sz w:val="19"/>
                <w:szCs w:val="19"/>
                <w:lang w:val="en-GB"/>
              </w:rPr>
            </w:pPr>
            <w:r w:rsidRPr="007E5F09">
              <w:rPr>
                <w:rFonts w:ascii="Calibri" w:eastAsia="Times New Roman" w:hAnsi="Calibri" w:cs="Times New Roman"/>
                <w:sz w:val="19"/>
                <w:szCs w:val="19"/>
                <w:lang w:val="en-US"/>
              </w:rPr>
              <w:t xml:space="preserve"> - </w:t>
            </w:r>
          </w:p>
        </w:tc>
        <w:tc>
          <w:tcPr>
            <w:tcW w:w="638" w:type="pct"/>
            <w:shd w:val="clear" w:color="auto" w:fill="auto"/>
            <w:vAlign w:val="bottom"/>
          </w:tcPr>
          <w:p w14:paraId="2A69378B" w14:textId="77777777" w:rsidR="007E5F09" w:rsidRPr="007E5F09" w:rsidRDefault="007E5F09" w:rsidP="007E5F09">
            <w:pPr>
              <w:spacing w:after="0" w:line="240" w:lineRule="auto"/>
              <w:jc w:val="right"/>
              <w:rPr>
                <w:rFonts w:ascii="Calibri" w:eastAsia="Times New Roman" w:hAnsi="Calibri" w:cs="Calibri"/>
                <w:sz w:val="19"/>
                <w:szCs w:val="19"/>
                <w:lang w:val="en-GB"/>
              </w:rPr>
            </w:pPr>
            <w:r w:rsidRPr="007E5F09">
              <w:rPr>
                <w:rFonts w:ascii="Calibri" w:eastAsia="Times New Roman" w:hAnsi="Calibri" w:cs="Times New Roman"/>
                <w:sz w:val="19"/>
                <w:szCs w:val="19"/>
                <w:lang w:val="en-US"/>
              </w:rPr>
              <w:t xml:space="preserve"> - </w:t>
            </w:r>
          </w:p>
        </w:tc>
      </w:tr>
      <w:tr w:rsidR="007E5F09" w:rsidRPr="007E5F09" w14:paraId="240BE85A" w14:textId="77777777" w:rsidTr="00E44437">
        <w:trPr>
          <w:trHeight w:hRule="exact" w:val="241"/>
        </w:trPr>
        <w:tc>
          <w:tcPr>
            <w:tcW w:w="1814" w:type="pct"/>
            <w:vAlign w:val="bottom"/>
          </w:tcPr>
          <w:p w14:paraId="780B094D" w14:textId="77777777" w:rsidR="007E5F09" w:rsidRPr="007E5F09" w:rsidRDefault="007E5F09" w:rsidP="007E5F09">
            <w:pPr>
              <w:tabs>
                <w:tab w:val="right" w:pos="1202"/>
              </w:tabs>
              <w:spacing w:after="0" w:line="240" w:lineRule="auto"/>
              <w:outlineLvl w:val="0"/>
              <w:rPr>
                <w:rFonts w:ascii="Calibri" w:eastAsia="Calibri" w:hAnsi="Calibri" w:cs="Times New Roman"/>
                <w:sz w:val="19"/>
                <w:szCs w:val="19"/>
                <w:lang w:val="en-GB"/>
              </w:rPr>
            </w:pPr>
            <w:r w:rsidRPr="007E5F09">
              <w:rPr>
                <w:rFonts w:ascii="Calibri" w:eastAsia="Calibri" w:hAnsi="Calibri" w:cs="Times New Roman"/>
                <w:sz w:val="19"/>
                <w:szCs w:val="19"/>
                <w:lang w:val="en-GB"/>
              </w:rPr>
              <w:t>Transfer to Stage 2</w:t>
            </w:r>
          </w:p>
        </w:tc>
        <w:tc>
          <w:tcPr>
            <w:tcW w:w="650" w:type="pct"/>
            <w:shd w:val="clear" w:color="auto" w:fill="auto"/>
            <w:vAlign w:val="bottom"/>
          </w:tcPr>
          <w:p w14:paraId="5A70C668" w14:textId="77777777" w:rsidR="007E5F09" w:rsidRPr="007E5F09" w:rsidRDefault="007E5F09" w:rsidP="007E5F09">
            <w:pPr>
              <w:spacing w:after="0" w:line="240" w:lineRule="auto"/>
              <w:jc w:val="right"/>
              <w:rPr>
                <w:rFonts w:ascii="Calibri" w:eastAsia="Times New Roman" w:hAnsi="Calibri" w:cs="Calibri"/>
                <w:sz w:val="19"/>
                <w:szCs w:val="19"/>
                <w:lang w:val="en-GB"/>
              </w:rPr>
            </w:pPr>
            <w:r w:rsidRPr="007E5F09">
              <w:rPr>
                <w:rFonts w:ascii="Calibri" w:eastAsia="Times New Roman" w:hAnsi="Calibri" w:cs="Times New Roman"/>
                <w:sz w:val="19"/>
                <w:szCs w:val="19"/>
                <w:lang w:val="en-US"/>
              </w:rPr>
              <w:t xml:space="preserve"> (261)</w:t>
            </w:r>
          </w:p>
        </w:tc>
        <w:tc>
          <w:tcPr>
            <w:tcW w:w="650" w:type="pct"/>
            <w:shd w:val="clear" w:color="auto" w:fill="auto"/>
            <w:vAlign w:val="bottom"/>
          </w:tcPr>
          <w:p w14:paraId="3378724D" w14:textId="77777777" w:rsidR="007E5F09" w:rsidRPr="007E5F09" w:rsidRDefault="007E5F09" w:rsidP="007E5F09">
            <w:pPr>
              <w:spacing w:after="0" w:line="240" w:lineRule="auto"/>
              <w:jc w:val="right"/>
              <w:rPr>
                <w:rFonts w:ascii="Calibri" w:eastAsia="Times New Roman" w:hAnsi="Calibri" w:cs="Calibri"/>
                <w:sz w:val="19"/>
                <w:szCs w:val="19"/>
                <w:lang w:val="en-GB"/>
              </w:rPr>
            </w:pPr>
            <w:r w:rsidRPr="007E5F09">
              <w:rPr>
                <w:rFonts w:ascii="Calibri" w:eastAsia="Times New Roman" w:hAnsi="Calibri" w:cs="Times New Roman"/>
                <w:sz w:val="19"/>
                <w:szCs w:val="19"/>
                <w:lang w:val="en-US"/>
              </w:rPr>
              <w:t xml:space="preserve"> 261 </w:t>
            </w:r>
          </w:p>
        </w:tc>
        <w:tc>
          <w:tcPr>
            <w:tcW w:w="643" w:type="pct"/>
            <w:shd w:val="clear" w:color="auto" w:fill="auto"/>
            <w:vAlign w:val="bottom"/>
          </w:tcPr>
          <w:p w14:paraId="2EC5CABE" w14:textId="77777777" w:rsidR="007E5F09" w:rsidRPr="007E5F09" w:rsidRDefault="007E5F09" w:rsidP="007E5F09">
            <w:pPr>
              <w:spacing w:after="0" w:line="240" w:lineRule="auto"/>
              <w:jc w:val="right"/>
              <w:rPr>
                <w:rFonts w:ascii="Calibri" w:eastAsia="Times New Roman" w:hAnsi="Calibri" w:cs="Calibri"/>
                <w:sz w:val="19"/>
                <w:szCs w:val="19"/>
                <w:lang w:val="en-GB"/>
              </w:rPr>
            </w:pPr>
            <w:r w:rsidRPr="007E5F09">
              <w:rPr>
                <w:rFonts w:ascii="Calibri" w:eastAsia="Times New Roman" w:hAnsi="Calibri" w:cs="Times New Roman"/>
                <w:sz w:val="19"/>
                <w:szCs w:val="19"/>
                <w:lang w:val="en-US"/>
              </w:rPr>
              <w:t xml:space="preserve"> - </w:t>
            </w:r>
          </w:p>
        </w:tc>
        <w:tc>
          <w:tcPr>
            <w:tcW w:w="605" w:type="pct"/>
            <w:shd w:val="clear" w:color="auto" w:fill="auto"/>
            <w:vAlign w:val="bottom"/>
          </w:tcPr>
          <w:p w14:paraId="74FF9B89" w14:textId="77777777" w:rsidR="007E5F09" w:rsidRPr="007E5F09" w:rsidRDefault="007E5F09" w:rsidP="007E5F09">
            <w:pPr>
              <w:spacing w:after="0" w:line="240" w:lineRule="auto"/>
              <w:jc w:val="right"/>
              <w:rPr>
                <w:rFonts w:ascii="Calibri" w:eastAsia="Times New Roman" w:hAnsi="Calibri" w:cs="Calibri"/>
                <w:sz w:val="19"/>
                <w:szCs w:val="19"/>
                <w:lang w:val="en-GB"/>
              </w:rPr>
            </w:pPr>
            <w:r w:rsidRPr="007E5F09">
              <w:rPr>
                <w:rFonts w:ascii="Calibri" w:eastAsia="Times New Roman" w:hAnsi="Calibri" w:cs="Times New Roman"/>
                <w:sz w:val="19"/>
                <w:szCs w:val="19"/>
                <w:lang w:val="en-US"/>
              </w:rPr>
              <w:t xml:space="preserve"> - </w:t>
            </w:r>
          </w:p>
        </w:tc>
        <w:tc>
          <w:tcPr>
            <w:tcW w:w="638" w:type="pct"/>
            <w:shd w:val="clear" w:color="auto" w:fill="auto"/>
            <w:vAlign w:val="bottom"/>
          </w:tcPr>
          <w:p w14:paraId="0CFEBFAC" w14:textId="77777777" w:rsidR="007E5F09" w:rsidRPr="007E5F09" w:rsidRDefault="007E5F09" w:rsidP="007E5F09">
            <w:pPr>
              <w:spacing w:after="0" w:line="240" w:lineRule="auto"/>
              <w:jc w:val="right"/>
              <w:rPr>
                <w:rFonts w:ascii="Calibri" w:eastAsia="Times New Roman" w:hAnsi="Calibri" w:cs="Calibri"/>
                <w:sz w:val="19"/>
                <w:szCs w:val="19"/>
                <w:lang w:val="en-GB"/>
              </w:rPr>
            </w:pPr>
            <w:r w:rsidRPr="007E5F09">
              <w:rPr>
                <w:rFonts w:ascii="Calibri" w:eastAsia="Times New Roman" w:hAnsi="Calibri" w:cs="Times New Roman"/>
                <w:sz w:val="19"/>
                <w:szCs w:val="19"/>
                <w:lang w:val="en-US"/>
              </w:rPr>
              <w:t xml:space="preserve"> - </w:t>
            </w:r>
          </w:p>
        </w:tc>
      </w:tr>
      <w:tr w:rsidR="007E5F09" w:rsidRPr="007E5F09" w14:paraId="710B9B23" w14:textId="77777777" w:rsidTr="00E44437">
        <w:trPr>
          <w:trHeight w:hRule="exact" w:val="241"/>
        </w:trPr>
        <w:tc>
          <w:tcPr>
            <w:tcW w:w="1814" w:type="pct"/>
            <w:vAlign w:val="bottom"/>
          </w:tcPr>
          <w:p w14:paraId="77DD8761" w14:textId="77777777" w:rsidR="007E5F09" w:rsidRPr="007E5F09" w:rsidRDefault="007E5F09" w:rsidP="007E5F09">
            <w:pPr>
              <w:tabs>
                <w:tab w:val="right" w:pos="1202"/>
              </w:tabs>
              <w:spacing w:after="0" w:line="240" w:lineRule="auto"/>
              <w:outlineLvl w:val="0"/>
              <w:rPr>
                <w:rFonts w:ascii="Calibri" w:eastAsia="Calibri" w:hAnsi="Calibri" w:cs="Times New Roman"/>
                <w:sz w:val="19"/>
                <w:szCs w:val="19"/>
                <w:lang w:val="en-GB"/>
              </w:rPr>
            </w:pPr>
            <w:r w:rsidRPr="007E5F09">
              <w:rPr>
                <w:rFonts w:ascii="Calibri" w:eastAsia="Calibri" w:hAnsi="Calibri" w:cs="Times New Roman"/>
                <w:sz w:val="19"/>
                <w:szCs w:val="19"/>
                <w:lang w:val="en-GB"/>
              </w:rPr>
              <w:t>Transfer to Stage 3</w:t>
            </w:r>
          </w:p>
        </w:tc>
        <w:tc>
          <w:tcPr>
            <w:tcW w:w="650" w:type="pct"/>
            <w:shd w:val="clear" w:color="auto" w:fill="auto"/>
            <w:vAlign w:val="bottom"/>
          </w:tcPr>
          <w:p w14:paraId="089F8768" w14:textId="77777777" w:rsidR="007E5F09" w:rsidRPr="007E5F09" w:rsidRDefault="007E5F09" w:rsidP="007E5F09">
            <w:pPr>
              <w:spacing w:after="0" w:line="240" w:lineRule="auto"/>
              <w:jc w:val="right"/>
              <w:rPr>
                <w:rFonts w:ascii="Calibri" w:eastAsia="Times New Roman" w:hAnsi="Calibri" w:cs="Calibri"/>
                <w:sz w:val="19"/>
                <w:szCs w:val="19"/>
                <w:lang w:val="en-GB"/>
              </w:rPr>
            </w:pPr>
            <w:r w:rsidRPr="007E5F09">
              <w:rPr>
                <w:rFonts w:ascii="Calibri" w:eastAsia="Times New Roman" w:hAnsi="Calibri" w:cs="Times New Roman"/>
                <w:sz w:val="19"/>
                <w:szCs w:val="19"/>
                <w:lang w:val="en-US"/>
              </w:rPr>
              <w:t xml:space="preserve"> - </w:t>
            </w:r>
          </w:p>
        </w:tc>
        <w:tc>
          <w:tcPr>
            <w:tcW w:w="650" w:type="pct"/>
            <w:shd w:val="clear" w:color="auto" w:fill="auto"/>
            <w:vAlign w:val="bottom"/>
          </w:tcPr>
          <w:p w14:paraId="6B1A5B4C" w14:textId="77777777" w:rsidR="007E5F09" w:rsidRPr="007E5F09" w:rsidRDefault="007E5F09" w:rsidP="007E5F09">
            <w:pPr>
              <w:spacing w:after="0" w:line="240" w:lineRule="auto"/>
              <w:jc w:val="right"/>
              <w:rPr>
                <w:rFonts w:ascii="Calibri" w:eastAsia="Times New Roman" w:hAnsi="Calibri" w:cs="Calibri"/>
                <w:sz w:val="19"/>
                <w:szCs w:val="19"/>
                <w:lang w:val="en-GB"/>
              </w:rPr>
            </w:pPr>
            <w:r w:rsidRPr="007E5F09">
              <w:rPr>
                <w:rFonts w:ascii="Calibri" w:eastAsia="Times New Roman" w:hAnsi="Calibri" w:cs="Times New Roman"/>
                <w:sz w:val="19"/>
                <w:szCs w:val="19"/>
                <w:lang w:val="en-US"/>
              </w:rPr>
              <w:t xml:space="preserve"> (1)</w:t>
            </w:r>
          </w:p>
        </w:tc>
        <w:tc>
          <w:tcPr>
            <w:tcW w:w="643" w:type="pct"/>
            <w:shd w:val="clear" w:color="auto" w:fill="auto"/>
            <w:vAlign w:val="bottom"/>
          </w:tcPr>
          <w:p w14:paraId="6D2D6D7D" w14:textId="77777777" w:rsidR="007E5F09" w:rsidRPr="007E5F09" w:rsidRDefault="007E5F09" w:rsidP="007E5F09">
            <w:pPr>
              <w:spacing w:after="0" w:line="240" w:lineRule="auto"/>
              <w:jc w:val="right"/>
              <w:rPr>
                <w:rFonts w:ascii="Calibri" w:eastAsia="Times New Roman" w:hAnsi="Calibri" w:cs="Calibri"/>
                <w:sz w:val="19"/>
                <w:szCs w:val="19"/>
                <w:lang w:val="en-GB"/>
              </w:rPr>
            </w:pPr>
            <w:r w:rsidRPr="007E5F09">
              <w:rPr>
                <w:rFonts w:ascii="Calibri" w:eastAsia="Times New Roman" w:hAnsi="Calibri" w:cs="Times New Roman"/>
                <w:sz w:val="19"/>
                <w:szCs w:val="19"/>
                <w:lang w:val="en-US"/>
              </w:rPr>
              <w:t xml:space="preserve"> 1 </w:t>
            </w:r>
          </w:p>
        </w:tc>
        <w:tc>
          <w:tcPr>
            <w:tcW w:w="605" w:type="pct"/>
            <w:shd w:val="clear" w:color="auto" w:fill="auto"/>
            <w:vAlign w:val="bottom"/>
          </w:tcPr>
          <w:p w14:paraId="02CE506C" w14:textId="77777777" w:rsidR="007E5F09" w:rsidRPr="007E5F09" w:rsidRDefault="007E5F09" w:rsidP="007E5F09">
            <w:pPr>
              <w:spacing w:after="0" w:line="240" w:lineRule="auto"/>
              <w:jc w:val="right"/>
              <w:rPr>
                <w:rFonts w:ascii="Calibri" w:eastAsia="Times New Roman" w:hAnsi="Calibri" w:cs="Calibri"/>
                <w:sz w:val="19"/>
                <w:szCs w:val="19"/>
                <w:lang w:val="en-GB"/>
              </w:rPr>
            </w:pPr>
            <w:r w:rsidRPr="007E5F09">
              <w:rPr>
                <w:rFonts w:ascii="Calibri" w:eastAsia="Times New Roman" w:hAnsi="Calibri" w:cs="Times New Roman"/>
                <w:sz w:val="19"/>
                <w:szCs w:val="19"/>
                <w:lang w:val="en-US"/>
              </w:rPr>
              <w:t xml:space="preserve"> - </w:t>
            </w:r>
          </w:p>
        </w:tc>
        <w:tc>
          <w:tcPr>
            <w:tcW w:w="638" w:type="pct"/>
            <w:shd w:val="clear" w:color="auto" w:fill="auto"/>
            <w:vAlign w:val="bottom"/>
          </w:tcPr>
          <w:p w14:paraId="3FEFE406" w14:textId="77777777" w:rsidR="007E5F09" w:rsidRPr="007E5F09" w:rsidRDefault="007E5F09" w:rsidP="007E5F09">
            <w:pPr>
              <w:spacing w:after="0" w:line="240" w:lineRule="auto"/>
              <w:jc w:val="right"/>
              <w:rPr>
                <w:rFonts w:ascii="Calibri" w:eastAsia="Times New Roman" w:hAnsi="Calibri" w:cs="Calibri"/>
                <w:sz w:val="19"/>
                <w:szCs w:val="19"/>
                <w:lang w:val="en-GB"/>
              </w:rPr>
            </w:pPr>
            <w:r w:rsidRPr="007E5F09">
              <w:rPr>
                <w:rFonts w:ascii="Calibri" w:eastAsia="Times New Roman" w:hAnsi="Calibri" w:cs="Times New Roman"/>
                <w:sz w:val="19"/>
                <w:szCs w:val="19"/>
                <w:lang w:val="en-US"/>
              </w:rPr>
              <w:t xml:space="preserve"> - </w:t>
            </w:r>
          </w:p>
        </w:tc>
      </w:tr>
      <w:tr w:rsidR="007E5F09" w:rsidRPr="007E5F09" w14:paraId="6A39B9C1" w14:textId="77777777" w:rsidTr="00E44437">
        <w:trPr>
          <w:trHeight w:hRule="exact" w:val="440"/>
        </w:trPr>
        <w:tc>
          <w:tcPr>
            <w:tcW w:w="1814" w:type="pct"/>
            <w:vAlign w:val="bottom"/>
          </w:tcPr>
          <w:p w14:paraId="654B8034" w14:textId="77777777" w:rsidR="007E5F09" w:rsidRPr="007E5F09" w:rsidRDefault="007E5F09" w:rsidP="007E5F09">
            <w:pPr>
              <w:tabs>
                <w:tab w:val="right" w:pos="1202"/>
              </w:tabs>
              <w:spacing w:after="0" w:line="240" w:lineRule="auto"/>
              <w:outlineLvl w:val="0"/>
              <w:rPr>
                <w:rFonts w:ascii="Calibri" w:eastAsia="Calibri" w:hAnsi="Calibri" w:cs="Times New Roman"/>
                <w:sz w:val="19"/>
                <w:szCs w:val="19"/>
                <w:lang w:val="en-GB"/>
              </w:rPr>
            </w:pPr>
            <w:r w:rsidRPr="007E5F09">
              <w:rPr>
                <w:rFonts w:ascii="Calibri" w:eastAsia="Calibri" w:hAnsi="Calibri" w:cs="Times New Roman"/>
                <w:sz w:val="19"/>
                <w:szCs w:val="19"/>
                <w:lang w:val="en-GB"/>
              </w:rPr>
              <w:t>Net (release)/increase</w:t>
            </w:r>
          </w:p>
          <w:p w14:paraId="1C8239B6" w14:textId="77777777" w:rsidR="007E5F09" w:rsidRPr="007E5F09" w:rsidRDefault="007E5F09" w:rsidP="007E5F09">
            <w:pPr>
              <w:tabs>
                <w:tab w:val="right" w:pos="1202"/>
              </w:tabs>
              <w:spacing w:after="0" w:line="240" w:lineRule="auto"/>
              <w:outlineLvl w:val="0"/>
              <w:rPr>
                <w:rFonts w:ascii="Calibri" w:eastAsia="Calibri" w:hAnsi="Calibri" w:cs="Times New Roman"/>
                <w:sz w:val="19"/>
                <w:szCs w:val="19"/>
                <w:lang w:val="en-GB"/>
              </w:rPr>
            </w:pPr>
            <w:r w:rsidRPr="007E5F09">
              <w:rPr>
                <w:rFonts w:ascii="Calibri" w:eastAsia="Calibri" w:hAnsi="Calibri" w:cs="Times New Roman"/>
                <w:sz w:val="19"/>
                <w:szCs w:val="19"/>
                <w:lang w:val="en-GB"/>
              </w:rPr>
              <w:t>of loss allowance</w:t>
            </w:r>
          </w:p>
        </w:tc>
        <w:tc>
          <w:tcPr>
            <w:tcW w:w="650" w:type="pct"/>
            <w:shd w:val="clear" w:color="auto" w:fill="auto"/>
            <w:vAlign w:val="bottom"/>
          </w:tcPr>
          <w:p w14:paraId="4AECC765" w14:textId="77777777" w:rsidR="007E5F09" w:rsidRPr="007E5F09" w:rsidRDefault="007E5F09" w:rsidP="007E5F09">
            <w:pPr>
              <w:spacing w:after="0" w:line="240" w:lineRule="auto"/>
              <w:jc w:val="right"/>
              <w:rPr>
                <w:rFonts w:ascii="Calibri" w:eastAsia="Times New Roman" w:hAnsi="Calibri" w:cs="Calibri"/>
                <w:sz w:val="19"/>
                <w:szCs w:val="19"/>
                <w:lang w:val="en-GB"/>
              </w:rPr>
            </w:pPr>
            <w:r w:rsidRPr="007E5F09">
              <w:rPr>
                <w:rFonts w:ascii="Calibri" w:eastAsia="Times New Roman" w:hAnsi="Calibri" w:cs="Times New Roman"/>
                <w:sz w:val="19"/>
                <w:szCs w:val="19"/>
                <w:lang w:val="en-US"/>
              </w:rPr>
              <w:t xml:space="preserve"> (2,968)</w:t>
            </w:r>
          </w:p>
        </w:tc>
        <w:tc>
          <w:tcPr>
            <w:tcW w:w="650" w:type="pct"/>
            <w:shd w:val="clear" w:color="auto" w:fill="auto"/>
            <w:vAlign w:val="bottom"/>
          </w:tcPr>
          <w:p w14:paraId="78AA4415" w14:textId="77777777" w:rsidR="007E5F09" w:rsidRPr="007E5F09" w:rsidRDefault="007E5F09" w:rsidP="007E5F09">
            <w:pPr>
              <w:spacing w:after="0" w:line="240" w:lineRule="auto"/>
              <w:jc w:val="right"/>
              <w:rPr>
                <w:rFonts w:ascii="Calibri" w:eastAsia="Times New Roman" w:hAnsi="Calibri" w:cs="Calibri"/>
                <w:sz w:val="19"/>
                <w:szCs w:val="19"/>
                <w:lang w:val="en-GB"/>
              </w:rPr>
            </w:pPr>
            <w:r w:rsidRPr="007E5F09">
              <w:rPr>
                <w:rFonts w:ascii="Calibri" w:eastAsia="Times New Roman" w:hAnsi="Calibri" w:cs="Times New Roman"/>
                <w:sz w:val="19"/>
                <w:szCs w:val="19"/>
                <w:lang w:val="en-US"/>
              </w:rPr>
              <w:t xml:space="preserve"> 19,778 </w:t>
            </w:r>
          </w:p>
        </w:tc>
        <w:tc>
          <w:tcPr>
            <w:tcW w:w="643" w:type="pct"/>
            <w:shd w:val="clear" w:color="auto" w:fill="auto"/>
            <w:vAlign w:val="bottom"/>
          </w:tcPr>
          <w:p w14:paraId="3702C407" w14:textId="77777777" w:rsidR="007E5F09" w:rsidRPr="007E5F09" w:rsidRDefault="007E5F09" w:rsidP="007E5F09">
            <w:pPr>
              <w:spacing w:after="0" w:line="240" w:lineRule="auto"/>
              <w:jc w:val="right"/>
              <w:rPr>
                <w:rFonts w:ascii="Calibri" w:eastAsia="Times New Roman" w:hAnsi="Calibri" w:cs="Calibri"/>
                <w:sz w:val="19"/>
                <w:szCs w:val="19"/>
                <w:lang w:val="en-GB"/>
              </w:rPr>
            </w:pPr>
            <w:r w:rsidRPr="007E5F09">
              <w:rPr>
                <w:rFonts w:ascii="Calibri" w:eastAsia="Times New Roman" w:hAnsi="Calibri" w:cs="Times New Roman"/>
                <w:sz w:val="19"/>
                <w:szCs w:val="19"/>
                <w:lang w:val="en-US"/>
              </w:rPr>
              <w:t xml:space="preserve"> 63,447 </w:t>
            </w:r>
          </w:p>
        </w:tc>
        <w:tc>
          <w:tcPr>
            <w:tcW w:w="605" w:type="pct"/>
            <w:shd w:val="clear" w:color="auto" w:fill="auto"/>
            <w:vAlign w:val="bottom"/>
          </w:tcPr>
          <w:p w14:paraId="002717B0" w14:textId="77777777" w:rsidR="007E5F09" w:rsidRPr="007E5F09" w:rsidRDefault="007E5F09" w:rsidP="007E5F09">
            <w:pPr>
              <w:spacing w:after="0" w:line="240" w:lineRule="auto"/>
              <w:jc w:val="right"/>
              <w:rPr>
                <w:rFonts w:ascii="Calibri" w:eastAsia="Times New Roman" w:hAnsi="Calibri" w:cs="Calibri"/>
                <w:sz w:val="19"/>
                <w:szCs w:val="19"/>
                <w:lang w:val="en-GB"/>
              </w:rPr>
            </w:pPr>
            <w:r w:rsidRPr="007E5F09">
              <w:rPr>
                <w:rFonts w:ascii="Calibri" w:eastAsia="Times New Roman" w:hAnsi="Calibri" w:cs="Times New Roman"/>
                <w:sz w:val="19"/>
                <w:szCs w:val="19"/>
                <w:lang w:val="en-US"/>
              </w:rPr>
              <w:t xml:space="preserve"> 2,045 </w:t>
            </w:r>
          </w:p>
        </w:tc>
        <w:tc>
          <w:tcPr>
            <w:tcW w:w="638" w:type="pct"/>
            <w:shd w:val="clear" w:color="auto" w:fill="auto"/>
            <w:vAlign w:val="bottom"/>
          </w:tcPr>
          <w:p w14:paraId="76C477ED" w14:textId="77777777" w:rsidR="007E5F09" w:rsidRPr="007E5F09" w:rsidRDefault="007E5F09" w:rsidP="007E5F09">
            <w:pPr>
              <w:spacing w:after="0" w:line="240" w:lineRule="auto"/>
              <w:jc w:val="right"/>
              <w:rPr>
                <w:rFonts w:ascii="Calibri" w:eastAsia="Times New Roman" w:hAnsi="Calibri" w:cs="Calibri"/>
                <w:sz w:val="19"/>
                <w:szCs w:val="19"/>
                <w:lang w:val="en-GB"/>
              </w:rPr>
            </w:pPr>
            <w:r w:rsidRPr="007E5F09">
              <w:rPr>
                <w:rFonts w:ascii="Calibri" w:eastAsia="Times New Roman" w:hAnsi="Calibri" w:cs="Times New Roman"/>
                <w:sz w:val="19"/>
                <w:szCs w:val="19"/>
                <w:lang w:val="en-US"/>
              </w:rPr>
              <w:t xml:space="preserve"> 82,302 </w:t>
            </w:r>
          </w:p>
        </w:tc>
      </w:tr>
      <w:tr w:rsidR="007E5F09" w:rsidRPr="007E5F09" w14:paraId="52E236E0" w14:textId="77777777" w:rsidTr="00E44437">
        <w:trPr>
          <w:trHeight w:val="284"/>
        </w:trPr>
        <w:tc>
          <w:tcPr>
            <w:tcW w:w="1814" w:type="pct"/>
            <w:vAlign w:val="bottom"/>
          </w:tcPr>
          <w:p w14:paraId="439816AD" w14:textId="77777777" w:rsidR="007E5F09" w:rsidRPr="007E5F09" w:rsidRDefault="007E5F09" w:rsidP="007E5F09">
            <w:pPr>
              <w:tabs>
                <w:tab w:val="right" w:pos="1202"/>
              </w:tabs>
              <w:spacing w:after="0" w:line="240" w:lineRule="auto"/>
              <w:outlineLvl w:val="0"/>
              <w:rPr>
                <w:rFonts w:ascii="Calibri" w:eastAsia="Calibri" w:hAnsi="Calibri" w:cs="Times New Roman"/>
                <w:sz w:val="19"/>
                <w:szCs w:val="19"/>
                <w:lang w:val="en-GB"/>
              </w:rPr>
            </w:pPr>
            <w:r w:rsidRPr="007E5F09">
              <w:rPr>
                <w:rFonts w:ascii="Calibri" w:eastAsia="Calibri" w:hAnsi="Calibri" w:cs="Times New Roman"/>
                <w:sz w:val="19"/>
                <w:szCs w:val="19"/>
                <w:lang w:val="en-GB"/>
              </w:rPr>
              <w:t>Net foreign exchange gain/loss</w:t>
            </w:r>
            <w:r w:rsidRPr="007E5F09" w:rsidDel="006E762B">
              <w:rPr>
                <w:rFonts w:ascii="Calibri" w:eastAsia="Calibri" w:hAnsi="Calibri" w:cs="Times New Roman"/>
                <w:sz w:val="19"/>
                <w:szCs w:val="19"/>
                <w:lang w:val="en-GB"/>
              </w:rPr>
              <w:t xml:space="preserve"> </w:t>
            </w:r>
            <w:r w:rsidRPr="007E5F09">
              <w:rPr>
                <w:rFonts w:ascii="Calibri" w:eastAsia="Calibri" w:hAnsi="Calibri" w:cs="Times New Roman"/>
                <w:sz w:val="19"/>
                <w:szCs w:val="19"/>
                <w:lang w:val="en-GB"/>
              </w:rPr>
              <w:t>on loss allowances</w:t>
            </w:r>
          </w:p>
        </w:tc>
        <w:tc>
          <w:tcPr>
            <w:tcW w:w="650" w:type="pct"/>
            <w:tcBorders>
              <w:top w:val="nil"/>
              <w:left w:val="nil"/>
              <w:bottom w:val="single" w:sz="8" w:space="0" w:color="auto"/>
              <w:right w:val="nil"/>
            </w:tcBorders>
            <w:shd w:val="clear" w:color="auto" w:fill="auto"/>
            <w:vAlign w:val="bottom"/>
          </w:tcPr>
          <w:p w14:paraId="3CAAC476" w14:textId="77777777" w:rsidR="007E5F09" w:rsidRPr="007E5F09" w:rsidRDefault="007E5F09" w:rsidP="007E5F09">
            <w:pPr>
              <w:spacing w:after="0" w:line="240" w:lineRule="auto"/>
              <w:jc w:val="right"/>
              <w:rPr>
                <w:rFonts w:ascii="Calibri" w:eastAsia="Times New Roman" w:hAnsi="Calibri" w:cs="Calibri"/>
                <w:sz w:val="19"/>
                <w:szCs w:val="19"/>
                <w:lang w:val="en-GB"/>
              </w:rPr>
            </w:pPr>
            <w:r w:rsidRPr="007E5F09">
              <w:rPr>
                <w:rFonts w:ascii="Calibri" w:eastAsia="Times New Roman" w:hAnsi="Calibri" w:cs="Times New Roman"/>
                <w:sz w:val="19"/>
                <w:szCs w:val="19"/>
                <w:lang w:val="en-US"/>
              </w:rPr>
              <w:t xml:space="preserve"> (87)</w:t>
            </w:r>
          </w:p>
        </w:tc>
        <w:tc>
          <w:tcPr>
            <w:tcW w:w="650" w:type="pct"/>
            <w:tcBorders>
              <w:top w:val="nil"/>
              <w:left w:val="nil"/>
              <w:bottom w:val="single" w:sz="8" w:space="0" w:color="auto"/>
              <w:right w:val="nil"/>
            </w:tcBorders>
            <w:shd w:val="clear" w:color="auto" w:fill="auto"/>
            <w:vAlign w:val="bottom"/>
          </w:tcPr>
          <w:p w14:paraId="7E3FC5FE" w14:textId="77777777" w:rsidR="007E5F09" w:rsidRPr="007E5F09" w:rsidRDefault="007E5F09" w:rsidP="007E5F09">
            <w:pPr>
              <w:spacing w:after="0" w:line="240" w:lineRule="auto"/>
              <w:jc w:val="right"/>
              <w:rPr>
                <w:rFonts w:ascii="Calibri" w:eastAsia="Times New Roman" w:hAnsi="Calibri" w:cs="Calibri"/>
                <w:sz w:val="19"/>
                <w:szCs w:val="19"/>
                <w:lang w:val="en-GB"/>
              </w:rPr>
            </w:pPr>
            <w:r w:rsidRPr="007E5F09">
              <w:rPr>
                <w:rFonts w:ascii="Calibri" w:eastAsia="Times New Roman" w:hAnsi="Calibri" w:cs="Times New Roman"/>
                <w:sz w:val="19"/>
                <w:szCs w:val="19"/>
                <w:lang w:val="en-US"/>
              </w:rPr>
              <w:t xml:space="preserve"> 4 </w:t>
            </w:r>
          </w:p>
        </w:tc>
        <w:tc>
          <w:tcPr>
            <w:tcW w:w="643" w:type="pct"/>
            <w:tcBorders>
              <w:top w:val="nil"/>
              <w:left w:val="nil"/>
              <w:bottom w:val="single" w:sz="8" w:space="0" w:color="auto"/>
              <w:right w:val="nil"/>
            </w:tcBorders>
            <w:shd w:val="clear" w:color="auto" w:fill="auto"/>
            <w:vAlign w:val="bottom"/>
          </w:tcPr>
          <w:p w14:paraId="6F9BAD63" w14:textId="77777777" w:rsidR="007E5F09" w:rsidRPr="007E5F09" w:rsidRDefault="007E5F09" w:rsidP="007E5F09">
            <w:pPr>
              <w:spacing w:after="0" w:line="240" w:lineRule="auto"/>
              <w:jc w:val="right"/>
              <w:rPr>
                <w:rFonts w:ascii="Calibri" w:eastAsia="Times New Roman" w:hAnsi="Calibri" w:cs="Calibri"/>
                <w:sz w:val="19"/>
                <w:szCs w:val="19"/>
                <w:lang w:val="en-GB"/>
              </w:rPr>
            </w:pPr>
            <w:r w:rsidRPr="007E5F09">
              <w:rPr>
                <w:rFonts w:ascii="Calibri" w:eastAsia="Times New Roman" w:hAnsi="Calibri" w:cs="Times New Roman"/>
                <w:sz w:val="19"/>
                <w:szCs w:val="19"/>
                <w:lang w:val="en-US"/>
              </w:rPr>
              <w:t xml:space="preserve"> 1,806 </w:t>
            </w:r>
          </w:p>
        </w:tc>
        <w:tc>
          <w:tcPr>
            <w:tcW w:w="605" w:type="pct"/>
            <w:tcBorders>
              <w:top w:val="nil"/>
              <w:left w:val="nil"/>
              <w:bottom w:val="single" w:sz="8" w:space="0" w:color="auto"/>
              <w:right w:val="nil"/>
            </w:tcBorders>
            <w:shd w:val="clear" w:color="auto" w:fill="auto"/>
            <w:vAlign w:val="bottom"/>
          </w:tcPr>
          <w:p w14:paraId="4257A294" w14:textId="77777777" w:rsidR="007E5F09" w:rsidRPr="007E5F09" w:rsidRDefault="007E5F09" w:rsidP="007E5F09">
            <w:pPr>
              <w:spacing w:after="0" w:line="240" w:lineRule="auto"/>
              <w:jc w:val="right"/>
              <w:rPr>
                <w:rFonts w:ascii="Calibri" w:eastAsia="Times New Roman" w:hAnsi="Calibri" w:cs="Calibri"/>
                <w:sz w:val="19"/>
                <w:szCs w:val="19"/>
                <w:lang w:val="en-GB"/>
              </w:rPr>
            </w:pPr>
            <w:r w:rsidRPr="007E5F09">
              <w:rPr>
                <w:rFonts w:ascii="Calibri" w:eastAsia="Times New Roman" w:hAnsi="Calibri" w:cs="Times New Roman"/>
                <w:sz w:val="19"/>
                <w:szCs w:val="19"/>
                <w:lang w:val="en-US"/>
              </w:rPr>
              <w:t xml:space="preserve"> 6 </w:t>
            </w:r>
          </w:p>
        </w:tc>
        <w:tc>
          <w:tcPr>
            <w:tcW w:w="638" w:type="pct"/>
            <w:tcBorders>
              <w:top w:val="nil"/>
              <w:left w:val="nil"/>
              <w:bottom w:val="single" w:sz="8" w:space="0" w:color="auto"/>
              <w:right w:val="nil"/>
            </w:tcBorders>
            <w:shd w:val="clear" w:color="auto" w:fill="auto"/>
            <w:vAlign w:val="bottom"/>
          </w:tcPr>
          <w:p w14:paraId="3704EC18" w14:textId="77777777" w:rsidR="007E5F09" w:rsidRPr="007E5F09" w:rsidRDefault="007E5F09" w:rsidP="007E5F09">
            <w:pPr>
              <w:spacing w:after="0" w:line="240" w:lineRule="auto"/>
              <w:jc w:val="right"/>
              <w:rPr>
                <w:rFonts w:ascii="Calibri" w:eastAsia="Times New Roman" w:hAnsi="Calibri" w:cs="Calibri"/>
                <w:sz w:val="19"/>
                <w:szCs w:val="19"/>
                <w:lang w:val="en-GB"/>
              </w:rPr>
            </w:pPr>
            <w:r w:rsidRPr="007E5F09">
              <w:rPr>
                <w:rFonts w:ascii="Calibri" w:eastAsia="Times New Roman" w:hAnsi="Calibri" w:cs="Times New Roman"/>
                <w:sz w:val="19"/>
                <w:szCs w:val="19"/>
                <w:lang w:val="en-US"/>
              </w:rPr>
              <w:t xml:space="preserve"> 1,729 </w:t>
            </w:r>
          </w:p>
        </w:tc>
      </w:tr>
      <w:tr w:rsidR="007E5F09" w:rsidRPr="007E5F09" w14:paraId="2D281A9A" w14:textId="77777777" w:rsidTr="00E44437">
        <w:trPr>
          <w:trHeight w:val="37"/>
        </w:trPr>
        <w:tc>
          <w:tcPr>
            <w:tcW w:w="1814" w:type="pct"/>
            <w:vAlign w:val="bottom"/>
          </w:tcPr>
          <w:p w14:paraId="4B600744" w14:textId="77777777" w:rsidR="007E5F09" w:rsidRPr="007E5F09" w:rsidRDefault="007E5F09" w:rsidP="007E5F09">
            <w:pPr>
              <w:tabs>
                <w:tab w:val="right" w:pos="1202"/>
              </w:tabs>
              <w:spacing w:after="0" w:line="301" w:lineRule="exact"/>
              <w:outlineLvl w:val="0"/>
              <w:rPr>
                <w:rFonts w:ascii="Calibri" w:eastAsia="Calibri" w:hAnsi="Calibri" w:cs="Arial"/>
                <w:b/>
                <w:bCs/>
                <w:sz w:val="19"/>
                <w:szCs w:val="19"/>
                <w:lang w:val="en-GB"/>
              </w:rPr>
            </w:pPr>
            <w:r w:rsidRPr="007E5F09">
              <w:rPr>
                <w:rFonts w:ascii="Calibri" w:eastAsia="Calibri" w:hAnsi="Calibri" w:cs="Arial"/>
                <w:b/>
                <w:bCs/>
                <w:sz w:val="19"/>
                <w:szCs w:val="19"/>
                <w:lang w:val="en-GB"/>
              </w:rPr>
              <w:t xml:space="preserve">Balance </w:t>
            </w:r>
            <w:proofErr w:type="gramStart"/>
            <w:r w:rsidRPr="007E5F09">
              <w:rPr>
                <w:rFonts w:ascii="Calibri" w:eastAsia="Calibri" w:hAnsi="Calibri" w:cs="Arial"/>
                <w:b/>
                <w:bCs/>
                <w:sz w:val="19"/>
                <w:szCs w:val="19"/>
                <w:lang w:val="en-GB"/>
              </w:rPr>
              <w:t>at</w:t>
            </w:r>
            <w:proofErr w:type="gramEnd"/>
            <w:r w:rsidRPr="007E5F09">
              <w:rPr>
                <w:rFonts w:ascii="Calibri" w:eastAsia="Calibri" w:hAnsi="Calibri" w:cs="Arial"/>
                <w:b/>
                <w:bCs/>
                <w:sz w:val="19"/>
                <w:szCs w:val="19"/>
                <w:lang w:val="en-GB"/>
              </w:rPr>
              <w:t xml:space="preserve"> 31 December 2021</w:t>
            </w:r>
          </w:p>
        </w:tc>
        <w:tc>
          <w:tcPr>
            <w:tcW w:w="650" w:type="pct"/>
            <w:tcBorders>
              <w:top w:val="nil"/>
              <w:left w:val="nil"/>
              <w:bottom w:val="single" w:sz="12" w:space="0" w:color="auto"/>
              <w:right w:val="nil"/>
            </w:tcBorders>
            <w:shd w:val="clear" w:color="auto" w:fill="auto"/>
            <w:vAlign w:val="bottom"/>
          </w:tcPr>
          <w:p w14:paraId="3E039804" w14:textId="77777777" w:rsidR="007E5F09" w:rsidRPr="007E5F09" w:rsidRDefault="007E5F09" w:rsidP="007E5F09">
            <w:pPr>
              <w:tabs>
                <w:tab w:val="right" w:pos="1202"/>
              </w:tabs>
              <w:spacing w:after="0" w:line="301" w:lineRule="exact"/>
              <w:jc w:val="right"/>
              <w:outlineLvl w:val="0"/>
              <w:rPr>
                <w:rFonts w:ascii="Calibri" w:eastAsia="Times New Roman" w:hAnsi="Calibri" w:cs="Calibri"/>
                <w:b/>
                <w:sz w:val="19"/>
                <w:szCs w:val="19"/>
                <w:lang w:val="en-GB"/>
              </w:rPr>
            </w:pPr>
            <w:r w:rsidRPr="007E5F09">
              <w:rPr>
                <w:rFonts w:ascii="Calibri" w:eastAsia="Times New Roman" w:hAnsi="Calibri" w:cs="Times New Roman"/>
                <w:b/>
                <w:bCs/>
                <w:sz w:val="19"/>
                <w:szCs w:val="19"/>
                <w:lang w:val="en-US"/>
              </w:rPr>
              <w:t xml:space="preserve"> 10,652 </w:t>
            </w:r>
          </w:p>
        </w:tc>
        <w:tc>
          <w:tcPr>
            <w:tcW w:w="650" w:type="pct"/>
            <w:tcBorders>
              <w:top w:val="nil"/>
              <w:left w:val="nil"/>
              <w:bottom w:val="single" w:sz="12" w:space="0" w:color="auto"/>
              <w:right w:val="nil"/>
            </w:tcBorders>
            <w:shd w:val="clear" w:color="auto" w:fill="auto"/>
            <w:vAlign w:val="bottom"/>
          </w:tcPr>
          <w:p w14:paraId="2AEBA2E7" w14:textId="77777777" w:rsidR="007E5F09" w:rsidRPr="007E5F09" w:rsidRDefault="007E5F09" w:rsidP="007E5F09">
            <w:pPr>
              <w:tabs>
                <w:tab w:val="right" w:pos="1202"/>
              </w:tabs>
              <w:spacing w:after="0" w:line="301" w:lineRule="exact"/>
              <w:jc w:val="right"/>
              <w:outlineLvl w:val="0"/>
              <w:rPr>
                <w:rFonts w:ascii="Calibri" w:eastAsia="Times New Roman" w:hAnsi="Calibri" w:cs="Calibri"/>
                <w:b/>
                <w:sz w:val="19"/>
                <w:szCs w:val="19"/>
                <w:lang w:val="en-GB"/>
              </w:rPr>
            </w:pPr>
            <w:r w:rsidRPr="007E5F09">
              <w:rPr>
                <w:rFonts w:ascii="Calibri" w:eastAsia="Times New Roman" w:hAnsi="Calibri" w:cs="Times New Roman"/>
                <w:b/>
                <w:bCs/>
                <w:sz w:val="19"/>
                <w:szCs w:val="19"/>
                <w:lang w:val="en-US"/>
              </w:rPr>
              <w:t xml:space="preserve"> 26,256 </w:t>
            </w:r>
          </w:p>
        </w:tc>
        <w:tc>
          <w:tcPr>
            <w:tcW w:w="643" w:type="pct"/>
            <w:tcBorders>
              <w:top w:val="nil"/>
              <w:left w:val="nil"/>
              <w:bottom w:val="single" w:sz="12" w:space="0" w:color="auto"/>
              <w:right w:val="nil"/>
            </w:tcBorders>
            <w:shd w:val="clear" w:color="auto" w:fill="auto"/>
            <w:vAlign w:val="bottom"/>
          </w:tcPr>
          <w:p w14:paraId="2CD53C67" w14:textId="77777777" w:rsidR="007E5F09" w:rsidRPr="007E5F09" w:rsidRDefault="007E5F09" w:rsidP="007E5F09">
            <w:pPr>
              <w:tabs>
                <w:tab w:val="right" w:pos="1202"/>
              </w:tabs>
              <w:spacing w:after="0" w:line="301" w:lineRule="exact"/>
              <w:jc w:val="right"/>
              <w:outlineLvl w:val="0"/>
              <w:rPr>
                <w:rFonts w:ascii="Calibri" w:eastAsia="Times New Roman" w:hAnsi="Calibri" w:cs="Calibri"/>
                <w:b/>
                <w:sz w:val="19"/>
                <w:szCs w:val="19"/>
                <w:lang w:val="en-GB"/>
              </w:rPr>
            </w:pPr>
            <w:r w:rsidRPr="007E5F09">
              <w:rPr>
                <w:rFonts w:ascii="Calibri" w:eastAsia="Times New Roman" w:hAnsi="Calibri" w:cs="Times New Roman"/>
                <w:b/>
                <w:bCs/>
                <w:sz w:val="19"/>
                <w:szCs w:val="19"/>
                <w:lang w:val="en-US"/>
              </w:rPr>
              <w:t xml:space="preserve"> 82,779 </w:t>
            </w:r>
          </w:p>
        </w:tc>
        <w:tc>
          <w:tcPr>
            <w:tcW w:w="605" w:type="pct"/>
            <w:tcBorders>
              <w:top w:val="nil"/>
              <w:left w:val="nil"/>
              <w:bottom w:val="single" w:sz="12" w:space="0" w:color="auto"/>
              <w:right w:val="nil"/>
            </w:tcBorders>
            <w:shd w:val="clear" w:color="auto" w:fill="auto"/>
            <w:vAlign w:val="bottom"/>
          </w:tcPr>
          <w:p w14:paraId="0B7B1603" w14:textId="77777777" w:rsidR="007E5F09" w:rsidRPr="007E5F09" w:rsidRDefault="007E5F09" w:rsidP="007E5F09">
            <w:pPr>
              <w:tabs>
                <w:tab w:val="right" w:pos="1202"/>
              </w:tabs>
              <w:spacing w:after="0" w:line="301" w:lineRule="exact"/>
              <w:jc w:val="right"/>
              <w:outlineLvl w:val="0"/>
              <w:rPr>
                <w:rFonts w:ascii="Calibri" w:eastAsia="Times New Roman" w:hAnsi="Calibri" w:cs="Calibri"/>
                <w:b/>
                <w:sz w:val="19"/>
                <w:szCs w:val="19"/>
                <w:lang w:val="en-GB"/>
              </w:rPr>
            </w:pPr>
            <w:r w:rsidRPr="007E5F09">
              <w:rPr>
                <w:rFonts w:ascii="Calibri" w:eastAsia="Times New Roman" w:hAnsi="Calibri" w:cs="Times New Roman"/>
                <w:b/>
                <w:bCs/>
                <w:sz w:val="19"/>
                <w:szCs w:val="19"/>
                <w:lang w:val="en-US"/>
              </w:rPr>
              <w:t xml:space="preserve"> 9,900 </w:t>
            </w:r>
          </w:p>
        </w:tc>
        <w:tc>
          <w:tcPr>
            <w:tcW w:w="638" w:type="pct"/>
            <w:tcBorders>
              <w:top w:val="nil"/>
              <w:left w:val="nil"/>
              <w:bottom w:val="single" w:sz="12" w:space="0" w:color="auto"/>
              <w:right w:val="nil"/>
            </w:tcBorders>
            <w:shd w:val="clear" w:color="auto" w:fill="auto"/>
            <w:vAlign w:val="bottom"/>
          </w:tcPr>
          <w:p w14:paraId="0C08155C" w14:textId="77777777" w:rsidR="007E5F09" w:rsidRPr="007E5F09" w:rsidRDefault="007E5F09" w:rsidP="007E5F09">
            <w:pPr>
              <w:tabs>
                <w:tab w:val="right" w:pos="1202"/>
              </w:tabs>
              <w:spacing w:after="0" w:line="301" w:lineRule="exact"/>
              <w:jc w:val="right"/>
              <w:outlineLvl w:val="0"/>
              <w:rPr>
                <w:rFonts w:ascii="Calibri" w:eastAsia="Times New Roman" w:hAnsi="Calibri" w:cs="Calibri"/>
                <w:b/>
                <w:sz w:val="19"/>
                <w:szCs w:val="19"/>
                <w:lang w:val="en-GB"/>
              </w:rPr>
            </w:pPr>
            <w:r w:rsidRPr="007E5F09">
              <w:rPr>
                <w:rFonts w:ascii="Calibri" w:eastAsia="Times New Roman" w:hAnsi="Calibri" w:cs="Times New Roman"/>
                <w:b/>
                <w:bCs/>
                <w:sz w:val="19"/>
                <w:szCs w:val="19"/>
                <w:lang w:val="en-US"/>
              </w:rPr>
              <w:t xml:space="preserve"> 129,587 </w:t>
            </w:r>
          </w:p>
        </w:tc>
      </w:tr>
    </w:tbl>
    <w:p w14:paraId="4A6D7D39" w14:textId="281E5AE2" w:rsidR="004A287E" w:rsidRPr="00537128" w:rsidRDefault="004A287E" w:rsidP="00024090">
      <w:pPr>
        <w:spacing w:after="0" w:line="240" w:lineRule="auto"/>
        <w:rPr>
          <w:rFonts w:ascii="Calibri" w:eastAsia="Calibri" w:hAnsi="Calibri" w:cs="Times New Roman"/>
          <w:noProof/>
          <w:color w:val="000000" w:themeColor="text1"/>
          <w:lang w:val="en-US"/>
        </w:rPr>
        <w:sectPr w:rsidR="004A287E" w:rsidRPr="00537128" w:rsidSect="00712478">
          <w:pgSz w:w="11906" w:h="16838"/>
          <w:pgMar w:top="1418" w:right="1134" w:bottom="1418" w:left="1418" w:header="709" w:footer="709" w:gutter="0"/>
          <w:cols w:space="708"/>
          <w:docGrid w:linePitch="360"/>
        </w:sectPr>
      </w:pPr>
    </w:p>
    <w:p w14:paraId="6569C441" w14:textId="77777777" w:rsidR="00AC576E" w:rsidRPr="00537128" w:rsidRDefault="00AC576E" w:rsidP="00AC576E">
      <w:pPr>
        <w:spacing w:after="0" w:line="240" w:lineRule="auto"/>
        <w:jc w:val="both"/>
        <w:rPr>
          <w:rFonts w:ascii="Calibri" w:eastAsia="Times New Roman" w:hAnsi="Calibri" w:cs="Arial"/>
          <w:color w:val="000000" w:themeColor="text1"/>
          <w:sz w:val="16"/>
          <w:szCs w:val="18"/>
          <w:lang w:val="en-US"/>
        </w:rPr>
      </w:pPr>
    </w:p>
    <w:p w14:paraId="259AD592" w14:textId="334BCF54" w:rsidR="00AC576E" w:rsidRPr="00537128" w:rsidRDefault="00B357CE" w:rsidP="00AC576E">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AC576E" w:rsidRPr="00537128">
        <w:rPr>
          <w:rFonts w:ascii="Calibri" w:eastAsia="Calibri" w:hAnsi="Calibri" w:cs="Arial"/>
          <w:b/>
          <w:bCs/>
          <w:color w:val="000000" w:themeColor="text1"/>
          <w:lang w:val="en-US"/>
        </w:rPr>
        <w:t>.</w:t>
      </w:r>
      <w:r w:rsidR="00AC576E" w:rsidRPr="00537128">
        <w:rPr>
          <w:rFonts w:ascii="Calibri" w:eastAsia="Calibri" w:hAnsi="Calibri" w:cs="Arial"/>
          <w:b/>
          <w:bCs/>
          <w:color w:val="000000" w:themeColor="text1"/>
          <w:lang w:val="en-US"/>
        </w:rPr>
        <w:tab/>
        <w:t>Risk management (continued)</w:t>
      </w:r>
    </w:p>
    <w:p w14:paraId="4000015B" w14:textId="77777777" w:rsidR="00AC576E" w:rsidRPr="00537128" w:rsidRDefault="00AC576E" w:rsidP="00AC576E">
      <w:pPr>
        <w:spacing w:after="0" w:line="240" w:lineRule="auto"/>
        <w:jc w:val="both"/>
        <w:rPr>
          <w:rFonts w:ascii="Calibri" w:eastAsia="Times New Roman" w:hAnsi="Calibri" w:cs="Times New Roman"/>
          <w:b/>
          <w:color w:val="000000" w:themeColor="text1"/>
          <w:sz w:val="16"/>
          <w:szCs w:val="18"/>
          <w:lang w:val="en-US"/>
        </w:rPr>
      </w:pPr>
    </w:p>
    <w:p w14:paraId="5B40C631" w14:textId="7E5D96FD" w:rsidR="00AC576E" w:rsidRPr="00537128" w:rsidRDefault="00B357CE" w:rsidP="00AC576E">
      <w:p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2</w:t>
      </w:r>
      <w:r>
        <w:rPr>
          <w:rFonts w:ascii="Calibri" w:eastAsia="Times New Roman" w:hAnsi="Calibri" w:cs="Times New Roman"/>
          <w:b/>
          <w:color w:val="000000" w:themeColor="text1"/>
          <w:lang w:val="en-US"/>
        </w:rPr>
        <w:t>3</w:t>
      </w:r>
      <w:r w:rsidR="00AC576E" w:rsidRPr="00537128">
        <w:rPr>
          <w:rFonts w:ascii="Calibri" w:eastAsia="Times New Roman" w:hAnsi="Calibri" w:cs="Times New Roman"/>
          <w:b/>
          <w:color w:val="000000" w:themeColor="text1"/>
          <w:lang w:val="en-US"/>
        </w:rPr>
        <w:t xml:space="preserve">.4. </w:t>
      </w:r>
      <w:r w:rsidR="00AC576E" w:rsidRPr="00537128">
        <w:rPr>
          <w:rFonts w:ascii="Calibri" w:eastAsia="Times New Roman" w:hAnsi="Calibri" w:cs="Times New Roman"/>
          <w:b/>
          <w:color w:val="000000" w:themeColor="text1"/>
          <w:lang w:val="en-US"/>
        </w:rPr>
        <w:tab/>
        <w:t xml:space="preserve">Liquidity risk </w:t>
      </w:r>
    </w:p>
    <w:p w14:paraId="5F00203D" w14:textId="77777777" w:rsidR="00006196" w:rsidRPr="00537128" w:rsidRDefault="00006196" w:rsidP="00AC576E">
      <w:pPr>
        <w:spacing w:after="0" w:line="240" w:lineRule="auto"/>
        <w:jc w:val="both"/>
        <w:rPr>
          <w:rFonts w:ascii="Calibri" w:eastAsia="Times New Roman" w:hAnsi="Calibri" w:cs="Times New Roman"/>
          <w:b/>
          <w:color w:val="000000" w:themeColor="text1"/>
          <w:lang w:val="en-US"/>
        </w:rPr>
      </w:pPr>
    </w:p>
    <w:p w14:paraId="22E1A738" w14:textId="717A75D7" w:rsidR="00AC576E" w:rsidRPr="00537128" w:rsidRDefault="00AC576E" w:rsidP="00AC576E">
      <w:pPr>
        <w:spacing w:after="12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 xml:space="preserve">The table below provides an analysis of total assets, total liabilities and total guarantees and commitments as of </w:t>
      </w:r>
      <w:r w:rsidR="001263A7" w:rsidRPr="00537128">
        <w:rPr>
          <w:rFonts w:ascii="Calibri" w:eastAsia="Times New Roman" w:hAnsi="Calibri" w:cs="Arial"/>
          <w:bCs/>
          <w:color w:val="000000" w:themeColor="text1"/>
          <w:lang w:val="en-US"/>
        </w:rPr>
        <w:t>3</w:t>
      </w:r>
      <w:r w:rsidR="003D584A" w:rsidRPr="00537128">
        <w:rPr>
          <w:rFonts w:ascii="Calibri" w:eastAsia="Times New Roman" w:hAnsi="Calibri" w:cs="Arial"/>
          <w:bCs/>
          <w:color w:val="000000" w:themeColor="text1"/>
          <w:lang w:val="en-US"/>
        </w:rPr>
        <w:t>1</w:t>
      </w:r>
      <w:r w:rsidR="001263A7" w:rsidRPr="00537128">
        <w:rPr>
          <w:rFonts w:ascii="Calibri" w:eastAsia="Times New Roman" w:hAnsi="Calibri" w:cs="Arial"/>
          <w:bCs/>
          <w:color w:val="000000" w:themeColor="text1"/>
          <w:lang w:val="en-US"/>
        </w:rPr>
        <w:t xml:space="preserve"> </w:t>
      </w:r>
      <w:r w:rsidR="003D584A" w:rsidRPr="00537128">
        <w:rPr>
          <w:rFonts w:ascii="Calibri" w:eastAsia="Times New Roman" w:hAnsi="Calibri" w:cs="Arial"/>
          <w:bCs/>
          <w:color w:val="000000" w:themeColor="text1"/>
          <w:lang w:val="en-US"/>
        </w:rPr>
        <w:t>March</w:t>
      </w:r>
      <w:r w:rsidR="001263A7" w:rsidRPr="00537128">
        <w:rPr>
          <w:rFonts w:ascii="Calibri" w:eastAsia="Times New Roman" w:hAnsi="Calibri" w:cs="Arial"/>
          <w:bCs/>
          <w:color w:val="000000" w:themeColor="text1"/>
          <w:lang w:val="en-US"/>
        </w:rPr>
        <w:t xml:space="preserve"> </w:t>
      </w:r>
      <w:r w:rsidRPr="00537128">
        <w:rPr>
          <w:rFonts w:ascii="Calibri" w:eastAsia="Times New Roman" w:hAnsi="Calibri" w:cs="Arial"/>
          <w:bCs/>
          <w:color w:val="000000" w:themeColor="text1"/>
          <w:lang w:val="en-US"/>
        </w:rPr>
        <w:t>202</w:t>
      </w:r>
      <w:r w:rsidR="00410848">
        <w:rPr>
          <w:rFonts w:ascii="Calibri" w:eastAsia="Times New Roman" w:hAnsi="Calibri" w:cs="Arial"/>
          <w:bCs/>
          <w:color w:val="000000" w:themeColor="text1"/>
          <w:lang w:val="en-US"/>
        </w:rPr>
        <w:t>2</w:t>
      </w:r>
      <w:r w:rsidRPr="00537128">
        <w:rPr>
          <w:rFonts w:ascii="Calibri" w:eastAsia="Times New Roman" w:hAnsi="Calibri" w:cs="Arial"/>
          <w:bCs/>
          <w:color w:val="000000" w:themeColor="text1"/>
          <w:lang w:val="en-US"/>
        </w:rPr>
        <w:t xml:space="preserve"> and 31 December 20</w:t>
      </w:r>
      <w:r w:rsidR="003D584A" w:rsidRPr="00537128">
        <w:rPr>
          <w:rFonts w:ascii="Calibri" w:eastAsia="Times New Roman" w:hAnsi="Calibri" w:cs="Arial"/>
          <w:bCs/>
          <w:color w:val="000000" w:themeColor="text1"/>
          <w:lang w:val="en-US"/>
        </w:rPr>
        <w:t>2</w:t>
      </w:r>
      <w:r w:rsidR="00410848">
        <w:rPr>
          <w:rFonts w:ascii="Calibri" w:eastAsia="Times New Roman" w:hAnsi="Calibri" w:cs="Arial"/>
          <w:bCs/>
          <w:color w:val="000000" w:themeColor="text1"/>
          <w:lang w:val="en-US"/>
        </w:rPr>
        <w:t>1</w:t>
      </w:r>
      <w:r w:rsidRPr="00537128">
        <w:rPr>
          <w:rFonts w:ascii="Calibri" w:eastAsia="Times New Roman" w:hAnsi="Calibri" w:cs="Arial"/>
          <w:bCs/>
          <w:color w:val="000000" w:themeColor="text1"/>
          <w:lang w:val="en-US"/>
        </w:rPr>
        <w:t xml:space="preserve"> placed into relevant maturity groupings based on the remaining period as at the Statement of Financial Position date related to the contractual maturity date, as follows:</w:t>
      </w:r>
    </w:p>
    <w:tbl>
      <w:tblPr>
        <w:tblW w:w="5549" w:type="pct"/>
        <w:tblInd w:w="-426" w:type="dxa"/>
        <w:tblLayout w:type="fixed"/>
        <w:tblCellMar>
          <w:left w:w="120" w:type="dxa"/>
          <w:right w:w="120" w:type="dxa"/>
        </w:tblCellMar>
        <w:tblLook w:val="0000" w:firstRow="0" w:lastRow="0" w:firstColumn="0" w:lastColumn="0" w:noHBand="0" w:noVBand="0"/>
      </w:tblPr>
      <w:tblGrid>
        <w:gridCol w:w="3680"/>
        <w:gridCol w:w="1117"/>
        <w:gridCol w:w="1123"/>
        <w:gridCol w:w="1125"/>
        <w:gridCol w:w="1123"/>
        <w:gridCol w:w="1125"/>
        <w:gridCol w:w="1088"/>
      </w:tblGrid>
      <w:tr w:rsidR="003D584A" w:rsidRPr="00537128" w14:paraId="718AA917" w14:textId="77777777" w:rsidTr="005818BB">
        <w:trPr>
          <w:trHeight w:hRule="exact" w:val="475"/>
        </w:trPr>
        <w:tc>
          <w:tcPr>
            <w:tcW w:w="1772" w:type="pct"/>
            <w:vAlign w:val="bottom"/>
          </w:tcPr>
          <w:p w14:paraId="16132DCF" w14:textId="77777777" w:rsidR="003D584A" w:rsidRPr="00537128" w:rsidRDefault="003D584A" w:rsidP="003D584A">
            <w:pPr>
              <w:tabs>
                <w:tab w:val="right" w:pos="1202"/>
              </w:tabs>
              <w:spacing w:after="0" w:line="220" w:lineRule="exact"/>
              <w:outlineLvl w:val="0"/>
              <w:rPr>
                <w:rFonts w:ascii="Calibri" w:eastAsia="Times New Roman" w:hAnsi="Calibri" w:cs="Arial"/>
                <w:b/>
                <w:sz w:val="18"/>
                <w:szCs w:val="18"/>
                <w:lang w:val="en-US"/>
              </w:rPr>
            </w:pPr>
            <w:bookmarkStart w:id="818" w:name="_Toc4061939"/>
            <w:r w:rsidRPr="00537128">
              <w:rPr>
                <w:rFonts w:ascii="Calibri" w:eastAsia="Times New Roman" w:hAnsi="Calibri" w:cs="Arial"/>
                <w:b/>
                <w:sz w:val="18"/>
                <w:szCs w:val="18"/>
                <w:lang w:val="en-US"/>
              </w:rPr>
              <w:t>Group</w:t>
            </w:r>
            <w:bookmarkEnd w:id="818"/>
          </w:p>
          <w:p w14:paraId="78D10981" w14:textId="7DCFD845" w:rsidR="003D584A" w:rsidRPr="00537128" w:rsidRDefault="003D584A" w:rsidP="003D584A">
            <w:pPr>
              <w:tabs>
                <w:tab w:val="right" w:pos="1202"/>
              </w:tabs>
              <w:spacing w:after="0" w:line="220" w:lineRule="exact"/>
              <w:outlineLvl w:val="0"/>
              <w:rPr>
                <w:rFonts w:ascii="Calibri" w:eastAsia="Times New Roman" w:hAnsi="Calibri" w:cs="Arial"/>
                <w:b/>
                <w:sz w:val="18"/>
                <w:szCs w:val="18"/>
                <w:lang w:val="en-US"/>
              </w:rPr>
            </w:pPr>
            <w:bookmarkStart w:id="819" w:name="_Toc4061940"/>
            <w:r w:rsidRPr="00537128">
              <w:rPr>
                <w:rFonts w:ascii="Calibri" w:eastAsia="Times New Roman" w:hAnsi="Calibri" w:cs="Arial"/>
                <w:b/>
                <w:sz w:val="18"/>
                <w:szCs w:val="18"/>
                <w:lang w:val="en-US"/>
              </w:rPr>
              <w:t>31 March 202</w:t>
            </w:r>
            <w:bookmarkEnd w:id="819"/>
            <w:r w:rsidR="00410848">
              <w:rPr>
                <w:rFonts w:ascii="Calibri" w:eastAsia="Times New Roman" w:hAnsi="Calibri" w:cs="Arial"/>
                <w:b/>
                <w:sz w:val="18"/>
                <w:szCs w:val="18"/>
                <w:lang w:val="en-US"/>
              </w:rPr>
              <w:t>2</w:t>
            </w:r>
          </w:p>
        </w:tc>
        <w:tc>
          <w:tcPr>
            <w:tcW w:w="538" w:type="pct"/>
          </w:tcPr>
          <w:p w14:paraId="0666999F"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20" w:name="_Toc4061941"/>
            <w:r w:rsidRPr="00537128">
              <w:rPr>
                <w:rFonts w:ascii="Calibri" w:eastAsia="Times New Roman" w:hAnsi="Calibri" w:cs="Arial"/>
                <w:b/>
                <w:sz w:val="18"/>
                <w:szCs w:val="18"/>
                <w:lang w:val="en-US"/>
              </w:rPr>
              <w:t>Up to 1</w:t>
            </w:r>
            <w:bookmarkEnd w:id="820"/>
            <w:r w:rsidRPr="00537128">
              <w:rPr>
                <w:rFonts w:ascii="Calibri" w:eastAsia="Times New Roman" w:hAnsi="Calibri" w:cs="Arial"/>
                <w:b/>
                <w:sz w:val="18"/>
                <w:szCs w:val="18"/>
                <w:lang w:val="en-US"/>
              </w:rPr>
              <w:t xml:space="preserve"> </w:t>
            </w:r>
          </w:p>
          <w:p w14:paraId="292010B3"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21" w:name="_Toc4061942"/>
            <w:r w:rsidRPr="00537128">
              <w:rPr>
                <w:rFonts w:ascii="Calibri" w:eastAsia="Times New Roman" w:hAnsi="Calibri" w:cs="Arial"/>
                <w:b/>
                <w:sz w:val="18"/>
                <w:szCs w:val="18"/>
                <w:lang w:val="en-US"/>
              </w:rPr>
              <w:t>month</w:t>
            </w:r>
            <w:bookmarkEnd w:id="821"/>
          </w:p>
        </w:tc>
        <w:tc>
          <w:tcPr>
            <w:tcW w:w="541" w:type="pct"/>
          </w:tcPr>
          <w:p w14:paraId="4E2D75BF"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22" w:name="_Toc4061943"/>
            <w:r w:rsidRPr="00537128">
              <w:rPr>
                <w:rFonts w:ascii="Calibri" w:eastAsia="Times New Roman" w:hAnsi="Calibri" w:cs="Arial"/>
                <w:b/>
                <w:sz w:val="18"/>
                <w:szCs w:val="18"/>
                <w:lang w:val="en-US"/>
              </w:rPr>
              <w:t>1 to 3 months</w:t>
            </w:r>
            <w:bookmarkEnd w:id="822"/>
            <w:r w:rsidRPr="00537128">
              <w:rPr>
                <w:rFonts w:ascii="Calibri" w:eastAsia="Times New Roman" w:hAnsi="Calibri" w:cs="Arial"/>
                <w:b/>
                <w:sz w:val="18"/>
                <w:szCs w:val="18"/>
                <w:lang w:val="en-US"/>
              </w:rPr>
              <w:t xml:space="preserve"> </w:t>
            </w:r>
          </w:p>
        </w:tc>
        <w:tc>
          <w:tcPr>
            <w:tcW w:w="542" w:type="pct"/>
          </w:tcPr>
          <w:p w14:paraId="410B0E9B"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23" w:name="_Toc4061944"/>
            <w:r w:rsidRPr="00537128">
              <w:rPr>
                <w:rFonts w:ascii="Calibri" w:eastAsia="Times New Roman" w:hAnsi="Calibri" w:cs="Arial"/>
                <w:b/>
                <w:sz w:val="18"/>
                <w:szCs w:val="18"/>
                <w:lang w:val="en-US"/>
              </w:rPr>
              <w:t>3 months to 1 year</w:t>
            </w:r>
            <w:bookmarkEnd w:id="823"/>
            <w:r w:rsidRPr="00537128">
              <w:rPr>
                <w:rFonts w:ascii="Calibri" w:eastAsia="Times New Roman" w:hAnsi="Calibri" w:cs="Arial"/>
                <w:b/>
                <w:sz w:val="18"/>
                <w:szCs w:val="18"/>
                <w:lang w:val="en-US"/>
              </w:rPr>
              <w:t xml:space="preserve"> </w:t>
            </w:r>
          </w:p>
        </w:tc>
        <w:tc>
          <w:tcPr>
            <w:tcW w:w="541" w:type="pct"/>
          </w:tcPr>
          <w:p w14:paraId="603C3190"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24" w:name="_Toc4061945"/>
            <w:r w:rsidRPr="00537128">
              <w:rPr>
                <w:rFonts w:ascii="Calibri" w:eastAsia="Times New Roman" w:hAnsi="Calibri" w:cs="Arial"/>
                <w:b/>
                <w:sz w:val="18"/>
                <w:szCs w:val="18"/>
                <w:lang w:val="en-US"/>
              </w:rPr>
              <w:t>1 to 3</w:t>
            </w:r>
            <w:bookmarkEnd w:id="824"/>
          </w:p>
          <w:p w14:paraId="004658AD"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25" w:name="_Toc4061946"/>
            <w:r w:rsidRPr="00537128">
              <w:rPr>
                <w:rFonts w:ascii="Calibri" w:eastAsia="Times New Roman" w:hAnsi="Calibri" w:cs="Arial"/>
                <w:b/>
                <w:sz w:val="18"/>
                <w:szCs w:val="18"/>
                <w:lang w:val="en-US"/>
              </w:rPr>
              <w:t>years</w:t>
            </w:r>
            <w:bookmarkEnd w:id="825"/>
          </w:p>
        </w:tc>
        <w:tc>
          <w:tcPr>
            <w:tcW w:w="542" w:type="pct"/>
          </w:tcPr>
          <w:p w14:paraId="25C4A5E3"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26" w:name="_Toc4061947"/>
            <w:r w:rsidRPr="00537128">
              <w:rPr>
                <w:rFonts w:ascii="Calibri" w:eastAsia="Times New Roman" w:hAnsi="Calibri" w:cs="Arial"/>
                <w:b/>
                <w:sz w:val="18"/>
                <w:szCs w:val="18"/>
                <w:lang w:val="en-US"/>
              </w:rPr>
              <w:t>Over 3</w:t>
            </w:r>
            <w:bookmarkEnd w:id="826"/>
            <w:r w:rsidRPr="00537128">
              <w:rPr>
                <w:rFonts w:ascii="Calibri" w:eastAsia="Times New Roman" w:hAnsi="Calibri" w:cs="Arial"/>
                <w:b/>
                <w:sz w:val="18"/>
                <w:szCs w:val="18"/>
                <w:lang w:val="en-US"/>
              </w:rPr>
              <w:t xml:space="preserve"> </w:t>
            </w:r>
          </w:p>
          <w:p w14:paraId="041CC26C"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27" w:name="_Toc4061948"/>
            <w:r w:rsidRPr="00537128">
              <w:rPr>
                <w:rFonts w:ascii="Calibri" w:eastAsia="Times New Roman" w:hAnsi="Calibri" w:cs="Arial"/>
                <w:b/>
                <w:sz w:val="18"/>
                <w:szCs w:val="18"/>
                <w:lang w:val="en-US"/>
              </w:rPr>
              <w:t>years</w:t>
            </w:r>
            <w:bookmarkEnd w:id="827"/>
          </w:p>
        </w:tc>
        <w:tc>
          <w:tcPr>
            <w:tcW w:w="524" w:type="pct"/>
          </w:tcPr>
          <w:p w14:paraId="5E5B59A3"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28" w:name="_Toc4061949"/>
            <w:r w:rsidRPr="00537128">
              <w:rPr>
                <w:rFonts w:ascii="Calibri" w:eastAsia="Times New Roman" w:hAnsi="Calibri" w:cs="Arial"/>
                <w:b/>
                <w:sz w:val="18"/>
                <w:szCs w:val="18"/>
                <w:lang w:val="en-US"/>
              </w:rPr>
              <w:t>Total</w:t>
            </w:r>
            <w:bookmarkEnd w:id="828"/>
            <w:r w:rsidRPr="00537128">
              <w:rPr>
                <w:rFonts w:ascii="Calibri" w:eastAsia="Times New Roman" w:hAnsi="Calibri" w:cs="Arial"/>
                <w:b/>
                <w:sz w:val="18"/>
                <w:szCs w:val="18"/>
                <w:lang w:val="en-US"/>
              </w:rPr>
              <w:t xml:space="preserve"> </w:t>
            </w:r>
          </w:p>
        </w:tc>
      </w:tr>
      <w:tr w:rsidR="003D584A" w:rsidRPr="00537128" w14:paraId="7778D81B" w14:textId="77777777" w:rsidTr="005818BB">
        <w:trPr>
          <w:trHeight w:hRule="exact" w:val="270"/>
        </w:trPr>
        <w:tc>
          <w:tcPr>
            <w:tcW w:w="1772" w:type="pct"/>
          </w:tcPr>
          <w:p w14:paraId="6F85C041" w14:textId="77777777" w:rsidR="003D584A" w:rsidRPr="00537128" w:rsidRDefault="003D584A" w:rsidP="003D584A">
            <w:pPr>
              <w:tabs>
                <w:tab w:val="right" w:pos="1202"/>
              </w:tabs>
              <w:spacing w:after="0" w:line="220" w:lineRule="exact"/>
              <w:outlineLvl w:val="0"/>
              <w:rPr>
                <w:rFonts w:ascii="Calibri" w:eastAsia="Times New Roman" w:hAnsi="Calibri" w:cs="Arial"/>
                <w:b/>
                <w:sz w:val="18"/>
                <w:szCs w:val="18"/>
                <w:lang w:val="en-US"/>
              </w:rPr>
            </w:pPr>
          </w:p>
        </w:tc>
        <w:tc>
          <w:tcPr>
            <w:tcW w:w="538" w:type="pct"/>
          </w:tcPr>
          <w:p w14:paraId="792D62D7"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29" w:name="_Toc4061950"/>
            <w:r w:rsidRPr="00537128">
              <w:rPr>
                <w:rFonts w:ascii="Calibri" w:eastAsia="Times New Roman" w:hAnsi="Calibri" w:cs="Arial"/>
                <w:b/>
                <w:sz w:val="18"/>
                <w:szCs w:val="18"/>
                <w:lang w:val="en-US"/>
              </w:rPr>
              <w:t>HRK ‘000</w:t>
            </w:r>
            <w:bookmarkEnd w:id="829"/>
          </w:p>
        </w:tc>
        <w:tc>
          <w:tcPr>
            <w:tcW w:w="541" w:type="pct"/>
          </w:tcPr>
          <w:p w14:paraId="5D35BB3A"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30" w:name="_Toc4061951"/>
            <w:r w:rsidRPr="00537128">
              <w:rPr>
                <w:rFonts w:ascii="Calibri" w:eastAsia="Times New Roman" w:hAnsi="Calibri" w:cs="Arial"/>
                <w:b/>
                <w:sz w:val="18"/>
                <w:szCs w:val="18"/>
                <w:lang w:val="en-US"/>
              </w:rPr>
              <w:t>HRK ‘000</w:t>
            </w:r>
            <w:bookmarkEnd w:id="830"/>
          </w:p>
        </w:tc>
        <w:tc>
          <w:tcPr>
            <w:tcW w:w="542" w:type="pct"/>
          </w:tcPr>
          <w:p w14:paraId="715C9A47"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31" w:name="_Toc4061952"/>
            <w:r w:rsidRPr="00537128">
              <w:rPr>
                <w:rFonts w:ascii="Calibri" w:eastAsia="Times New Roman" w:hAnsi="Calibri" w:cs="Arial"/>
                <w:b/>
                <w:sz w:val="18"/>
                <w:szCs w:val="18"/>
                <w:lang w:val="en-US"/>
              </w:rPr>
              <w:t>HRK ‘000</w:t>
            </w:r>
            <w:bookmarkEnd w:id="831"/>
          </w:p>
        </w:tc>
        <w:tc>
          <w:tcPr>
            <w:tcW w:w="541" w:type="pct"/>
          </w:tcPr>
          <w:p w14:paraId="08977974"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32" w:name="_Toc4061953"/>
            <w:r w:rsidRPr="00537128">
              <w:rPr>
                <w:rFonts w:ascii="Calibri" w:eastAsia="Times New Roman" w:hAnsi="Calibri" w:cs="Arial"/>
                <w:b/>
                <w:sz w:val="18"/>
                <w:szCs w:val="18"/>
                <w:lang w:val="en-US"/>
              </w:rPr>
              <w:t>HRK ‘000</w:t>
            </w:r>
            <w:bookmarkEnd w:id="832"/>
          </w:p>
        </w:tc>
        <w:tc>
          <w:tcPr>
            <w:tcW w:w="542" w:type="pct"/>
          </w:tcPr>
          <w:p w14:paraId="361AFABC"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33" w:name="_Toc4061954"/>
            <w:r w:rsidRPr="00537128">
              <w:rPr>
                <w:rFonts w:ascii="Calibri" w:eastAsia="Times New Roman" w:hAnsi="Calibri" w:cs="Arial"/>
                <w:b/>
                <w:sz w:val="18"/>
                <w:szCs w:val="18"/>
                <w:lang w:val="en-US"/>
              </w:rPr>
              <w:t>HRK ‘000</w:t>
            </w:r>
            <w:bookmarkEnd w:id="833"/>
          </w:p>
        </w:tc>
        <w:tc>
          <w:tcPr>
            <w:tcW w:w="524" w:type="pct"/>
          </w:tcPr>
          <w:p w14:paraId="4411BC7D"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34" w:name="_Toc4061955"/>
            <w:r w:rsidRPr="00537128">
              <w:rPr>
                <w:rFonts w:ascii="Calibri" w:eastAsia="Times New Roman" w:hAnsi="Calibri" w:cs="Arial"/>
                <w:b/>
                <w:sz w:val="18"/>
                <w:szCs w:val="18"/>
                <w:lang w:val="en-US"/>
              </w:rPr>
              <w:t>HRK ‘000</w:t>
            </w:r>
            <w:bookmarkEnd w:id="834"/>
          </w:p>
        </w:tc>
      </w:tr>
      <w:tr w:rsidR="003D584A" w:rsidRPr="00537128" w14:paraId="38C59723" w14:textId="77777777" w:rsidTr="005818BB">
        <w:trPr>
          <w:trHeight w:hRule="exact" w:val="270"/>
        </w:trPr>
        <w:tc>
          <w:tcPr>
            <w:tcW w:w="1772" w:type="pct"/>
            <w:vAlign w:val="center"/>
          </w:tcPr>
          <w:p w14:paraId="720775B2" w14:textId="77777777" w:rsidR="003D584A" w:rsidRPr="00537128" w:rsidRDefault="003D584A" w:rsidP="003D584A">
            <w:pPr>
              <w:tabs>
                <w:tab w:val="right" w:pos="1202"/>
              </w:tabs>
              <w:spacing w:after="0" w:line="220" w:lineRule="exact"/>
              <w:outlineLvl w:val="0"/>
              <w:rPr>
                <w:rFonts w:ascii="Calibri" w:eastAsia="Times New Roman" w:hAnsi="Calibri" w:cs="Arial"/>
                <w:b/>
                <w:bCs/>
                <w:sz w:val="18"/>
                <w:szCs w:val="18"/>
                <w:lang w:val="en-US"/>
              </w:rPr>
            </w:pPr>
            <w:bookmarkStart w:id="835" w:name="_Toc4061956"/>
            <w:r w:rsidRPr="00537128">
              <w:rPr>
                <w:rFonts w:ascii="Calibri" w:eastAsia="Times New Roman" w:hAnsi="Calibri" w:cs="Arial"/>
                <w:b/>
                <w:bCs/>
                <w:sz w:val="18"/>
                <w:szCs w:val="18"/>
                <w:lang w:val="en-US"/>
              </w:rPr>
              <w:t>Assets</w:t>
            </w:r>
            <w:bookmarkEnd w:id="835"/>
            <w:r w:rsidRPr="00537128">
              <w:rPr>
                <w:rFonts w:ascii="Calibri" w:eastAsia="Times New Roman" w:hAnsi="Calibri" w:cs="Arial"/>
                <w:b/>
                <w:bCs/>
                <w:sz w:val="18"/>
                <w:szCs w:val="18"/>
                <w:lang w:val="en-US"/>
              </w:rPr>
              <w:t xml:space="preserve"> </w:t>
            </w:r>
          </w:p>
        </w:tc>
        <w:tc>
          <w:tcPr>
            <w:tcW w:w="538" w:type="pct"/>
            <w:vAlign w:val="bottom"/>
          </w:tcPr>
          <w:p w14:paraId="233B3177"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41" w:type="pct"/>
            <w:vAlign w:val="bottom"/>
          </w:tcPr>
          <w:p w14:paraId="30E56930"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42" w:type="pct"/>
            <w:vAlign w:val="bottom"/>
          </w:tcPr>
          <w:p w14:paraId="6C0130CC"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41" w:type="pct"/>
            <w:vAlign w:val="bottom"/>
          </w:tcPr>
          <w:p w14:paraId="04BA0490"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42" w:type="pct"/>
            <w:vAlign w:val="bottom"/>
          </w:tcPr>
          <w:p w14:paraId="6F4DC4ED"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24" w:type="pct"/>
            <w:vAlign w:val="bottom"/>
          </w:tcPr>
          <w:p w14:paraId="1588B648"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r>
      <w:tr w:rsidR="006C3E63" w:rsidRPr="00537128" w14:paraId="64808961" w14:textId="77777777" w:rsidTr="005818BB">
        <w:trPr>
          <w:trHeight w:hRule="exact" w:val="270"/>
        </w:trPr>
        <w:tc>
          <w:tcPr>
            <w:tcW w:w="1772" w:type="pct"/>
            <w:vAlign w:val="bottom"/>
          </w:tcPr>
          <w:p w14:paraId="0F43EF49" w14:textId="77777777" w:rsidR="006C3E63" w:rsidRPr="00537128" w:rsidRDefault="006C3E63" w:rsidP="006C3E63">
            <w:pPr>
              <w:tabs>
                <w:tab w:val="right" w:pos="1202"/>
              </w:tabs>
              <w:spacing w:after="0" w:line="220" w:lineRule="exact"/>
              <w:outlineLvl w:val="0"/>
              <w:rPr>
                <w:rFonts w:ascii="Calibri" w:eastAsia="Times New Roman" w:hAnsi="Calibri" w:cs="Arial"/>
                <w:spacing w:val="-2"/>
                <w:sz w:val="18"/>
                <w:szCs w:val="18"/>
                <w:lang w:val="en-US"/>
              </w:rPr>
            </w:pPr>
            <w:bookmarkStart w:id="836" w:name="_Toc4061957"/>
            <w:r w:rsidRPr="00537128">
              <w:rPr>
                <w:rFonts w:ascii="Calibri" w:eastAsia="Times New Roman" w:hAnsi="Calibri" w:cs="Arial"/>
                <w:spacing w:val="-2"/>
                <w:sz w:val="18"/>
                <w:szCs w:val="18"/>
                <w:lang w:val="en-US"/>
              </w:rPr>
              <w:t>Cash on hand and current accounts with banks</w:t>
            </w:r>
            <w:bookmarkEnd w:id="836"/>
            <w:r w:rsidRPr="00537128">
              <w:rPr>
                <w:rFonts w:ascii="Calibri" w:eastAsia="Times New Roman" w:hAnsi="Calibri" w:cs="Arial"/>
                <w:spacing w:val="-2"/>
                <w:sz w:val="18"/>
                <w:szCs w:val="18"/>
                <w:lang w:val="en-US"/>
              </w:rPr>
              <w:t xml:space="preserve"> </w:t>
            </w:r>
          </w:p>
        </w:tc>
        <w:tc>
          <w:tcPr>
            <w:tcW w:w="538" w:type="pct"/>
            <w:tcBorders>
              <w:top w:val="nil"/>
              <w:left w:val="nil"/>
              <w:bottom w:val="nil"/>
              <w:right w:val="nil"/>
            </w:tcBorders>
            <w:shd w:val="clear" w:color="auto" w:fill="auto"/>
            <w:vAlign w:val="bottom"/>
          </w:tcPr>
          <w:p w14:paraId="3C3F87A1" w14:textId="23C29C86" w:rsidR="006C3E63" w:rsidRPr="00537128" w:rsidRDefault="006C3E63" w:rsidP="006C3E63">
            <w:pPr>
              <w:tabs>
                <w:tab w:val="right" w:pos="1202"/>
              </w:tabs>
              <w:spacing w:after="0" w:line="240" w:lineRule="exact"/>
              <w:jc w:val="right"/>
              <w:outlineLvl w:val="0"/>
              <w:rPr>
                <w:rFonts w:ascii="Calibri" w:eastAsia="Calibri" w:hAnsi="Calibri" w:cs="Arial"/>
                <w:spacing w:val="-2"/>
                <w:sz w:val="18"/>
                <w:szCs w:val="18"/>
                <w:lang w:val="en-US"/>
              </w:rPr>
            </w:pPr>
            <w:r w:rsidRPr="00D97852">
              <w:rPr>
                <w:rFonts w:ascii="Calibri" w:hAnsi="Calibri"/>
                <w:color w:val="000000"/>
                <w:sz w:val="18"/>
                <w:szCs w:val="18"/>
              </w:rPr>
              <w:t>1</w:t>
            </w:r>
            <w:r w:rsidR="00C533B3">
              <w:rPr>
                <w:rFonts w:ascii="Calibri" w:hAnsi="Calibri"/>
                <w:color w:val="000000"/>
                <w:sz w:val="18"/>
                <w:szCs w:val="18"/>
              </w:rPr>
              <w:t>,</w:t>
            </w:r>
            <w:r w:rsidRPr="00D97852">
              <w:rPr>
                <w:rFonts w:ascii="Calibri" w:hAnsi="Calibri"/>
                <w:color w:val="000000"/>
                <w:sz w:val="18"/>
                <w:szCs w:val="18"/>
              </w:rPr>
              <w:t>577</w:t>
            </w:r>
            <w:r w:rsidR="00C533B3">
              <w:rPr>
                <w:rFonts w:ascii="Calibri" w:hAnsi="Calibri"/>
                <w:color w:val="000000"/>
                <w:sz w:val="18"/>
                <w:szCs w:val="18"/>
              </w:rPr>
              <w:t>,</w:t>
            </w:r>
            <w:r w:rsidRPr="00D97852">
              <w:rPr>
                <w:rFonts w:ascii="Calibri" w:hAnsi="Calibri"/>
                <w:color w:val="000000"/>
                <w:sz w:val="18"/>
                <w:szCs w:val="18"/>
              </w:rPr>
              <w:t>568</w:t>
            </w:r>
          </w:p>
        </w:tc>
        <w:tc>
          <w:tcPr>
            <w:tcW w:w="541" w:type="pct"/>
            <w:tcBorders>
              <w:top w:val="nil"/>
              <w:left w:val="nil"/>
              <w:bottom w:val="nil"/>
              <w:right w:val="nil"/>
            </w:tcBorders>
            <w:shd w:val="clear" w:color="auto" w:fill="auto"/>
            <w:vAlign w:val="bottom"/>
          </w:tcPr>
          <w:p w14:paraId="6C430999" w14:textId="109EB5CA" w:rsidR="006C3E63" w:rsidRPr="00537128" w:rsidRDefault="006C3E63" w:rsidP="006C3E6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62D411D0" w14:textId="33B0C134" w:rsidR="006C3E63" w:rsidRPr="00537128" w:rsidRDefault="006C3E63" w:rsidP="006C3E6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41" w:type="pct"/>
            <w:tcBorders>
              <w:top w:val="nil"/>
              <w:left w:val="nil"/>
              <w:bottom w:val="nil"/>
              <w:right w:val="nil"/>
            </w:tcBorders>
            <w:shd w:val="clear" w:color="auto" w:fill="auto"/>
            <w:vAlign w:val="bottom"/>
          </w:tcPr>
          <w:p w14:paraId="7CBC53AB" w14:textId="1EF0B1EC" w:rsidR="006C3E63" w:rsidRPr="00537128" w:rsidRDefault="006C3E63" w:rsidP="006C3E6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5FE2B1AB" w14:textId="12E66FE5" w:rsidR="006C3E63" w:rsidRPr="00537128" w:rsidRDefault="006C3E63" w:rsidP="006C3E6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24" w:type="pct"/>
            <w:tcBorders>
              <w:top w:val="nil"/>
              <w:left w:val="nil"/>
              <w:bottom w:val="nil"/>
              <w:right w:val="nil"/>
            </w:tcBorders>
            <w:shd w:val="clear" w:color="auto" w:fill="auto"/>
            <w:vAlign w:val="bottom"/>
          </w:tcPr>
          <w:p w14:paraId="16C6D25A" w14:textId="4B0FA721" w:rsidR="006C3E63" w:rsidRPr="00537128" w:rsidRDefault="006C3E63" w:rsidP="006C3E63">
            <w:pPr>
              <w:tabs>
                <w:tab w:val="right" w:pos="1202"/>
              </w:tabs>
              <w:spacing w:after="0" w:line="240" w:lineRule="exact"/>
              <w:jc w:val="right"/>
              <w:outlineLvl w:val="0"/>
              <w:rPr>
                <w:rFonts w:ascii="Calibri" w:eastAsia="Calibri" w:hAnsi="Calibri" w:cs="Arial"/>
                <w:spacing w:val="-2"/>
                <w:sz w:val="18"/>
                <w:szCs w:val="18"/>
                <w:lang w:val="en-US"/>
              </w:rPr>
            </w:pPr>
            <w:r w:rsidRPr="00D97852">
              <w:rPr>
                <w:rFonts w:ascii="Calibri" w:hAnsi="Calibri"/>
                <w:color w:val="000000"/>
                <w:sz w:val="18"/>
                <w:szCs w:val="18"/>
              </w:rPr>
              <w:t>1</w:t>
            </w:r>
            <w:r w:rsidR="00C533B3">
              <w:rPr>
                <w:rFonts w:ascii="Calibri" w:hAnsi="Calibri"/>
                <w:color w:val="000000"/>
                <w:sz w:val="18"/>
                <w:szCs w:val="18"/>
              </w:rPr>
              <w:t>,</w:t>
            </w:r>
            <w:r w:rsidRPr="00D97852">
              <w:rPr>
                <w:rFonts w:ascii="Calibri" w:hAnsi="Calibri"/>
                <w:color w:val="000000"/>
                <w:sz w:val="18"/>
                <w:szCs w:val="18"/>
              </w:rPr>
              <w:t>577</w:t>
            </w:r>
            <w:r w:rsidR="00C533B3">
              <w:rPr>
                <w:rFonts w:ascii="Calibri" w:hAnsi="Calibri"/>
                <w:color w:val="000000"/>
                <w:sz w:val="18"/>
                <w:szCs w:val="18"/>
              </w:rPr>
              <w:t>,</w:t>
            </w:r>
            <w:r w:rsidRPr="00D97852">
              <w:rPr>
                <w:rFonts w:ascii="Calibri" w:hAnsi="Calibri"/>
                <w:color w:val="000000"/>
                <w:sz w:val="18"/>
                <w:szCs w:val="18"/>
              </w:rPr>
              <w:t>568</w:t>
            </w:r>
          </w:p>
        </w:tc>
      </w:tr>
      <w:tr w:rsidR="006C3E63" w:rsidRPr="00537128" w14:paraId="28E2F30F" w14:textId="77777777" w:rsidTr="005818BB">
        <w:trPr>
          <w:trHeight w:hRule="exact" w:val="270"/>
        </w:trPr>
        <w:tc>
          <w:tcPr>
            <w:tcW w:w="1772" w:type="pct"/>
            <w:vAlign w:val="bottom"/>
          </w:tcPr>
          <w:p w14:paraId="32234167" w14:textId="77777777" w:rsidR="006C3E63" w:rsidRPr="00537128" w:rsidRDefault="006C3E63" w:rsidP="006C3E63">
            <w:pPr>
              <w:tabs>
                <w:tab w:val="right" w:pos="1202"/>
              </w:tabs>
              <w:spacing w:after="0" w:line="220" w:lineRule="exact"/>
              <w:outlineLvl w:val="0"/>
              <w:rPr>
                <w:rFonts w:ascii="Calibri" w:eastAsia="Times New Roman" w:hAnsi="Calibri" w:cs="Arial"/>
                <w:spacing w:val="-2"/>
                <w:sz w:val="18"/>
                <w:szCs w:val="18"/>
                <w:lang w:val="en-US"/>
              </w:rPr>
            </w:pPr>
            <w:bookmarkStart w:id="837" w:name="_Toc4061964"/>
            <w:r w:rsidRPr="00537128">
              <w:rPr>
                <w:rFonts w:ascii="Calibri" w:eastAsia="Times New Roman" w:hAnsi="Calibri" w:cs="Arial"/>
                <w:spacing w:val="-2"/>
                <w:sz w:val="18"/>
                <w:szCs w:val="18"/>
                <w:lang w:val="en-US"/>
              </w:rPr>
              <w:t>Deposits with other banks</w:t>
            </w:r>
            <w:bookmarkEnd w:id="837"/>
          </w:p>
        </w:tc>
        <w:tc>
          <w:tcPr>
            <w:tcW w:w="538" w:type="pct"/>
            <w:tcBorders>
              <w:top w:val="nil"/>
              <w:left w:val="nil"/>
              <w:bottom w:val="nil"/>
              <w:right w:val="nil"/>
            </w:tcBorders>
            <w:shd w:val="clear" w:color="auto" w:fill="auto"/>
            <w:vAlign w:val="bottom"/>
          </w:tcPr>
          <w:p w14:paraId="0D90ED3B" w14:textId="41760178" w:rsidR="006C3E63" w:rsidRPr="00537128" w:rsidRDefault="006C3E63" w:rsidP="006C3E6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41" w:type="pct"/>
            <w:tcBorders>
              <w:top w:val="nil"/>
              <w:left w:val="nil"/>
              <w:bottom w:val="nil"/>
              <w:right w:val="nil"/>
            </w:tcBorders>
            <w:shd w:val="clear" w:color="auto" w:fill="auto"/>
            <w:vAlign w:val="bottom"/>
          </w:tcPr>
          <w:p w14:paraId="0BE997A0" w14:textId="67233281" w:rsidR="006C3E63" w:rsidRPr="00537128" w:rsidRDefault="006C3E63" w:rsidP="006C3E6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1B6A8887" w14:textId="4C557DDE" w:rsidR="006C3E63" w:rsidRPr="00537128" w:rsidRDefault="006C3E63" w:rsidP="006C3E6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41" w:type="pct"/>
            <w:tcBorders>
              <w:top w:val="nil"/>
              <w:left w:val="nil"/>
              <w:bottom w:val="nil"/>
              <w:right w:val="nil"/>
            </w:tcBorders>
            <w:shd w:val="clear" w:color="auto" w:fill="auto"/>
            <w:vAlign w:val="bottom"/>
          </w:tcPr>
          <w:p w14:paraId="61046DBF" w14:textId="06CA82EC" w:rsidR="006C3E63" w:rsidRPr="00537128" w:rsidRDefault="006C3E63" w:rsidP="006C3E6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01F315E7" w14:textId="2B37F63E" w:rsidR="006C3E63" w:rsidRPr="00537128" w:rsidRDefault="006C3E63" w:rsidP="006C3E63">
            <w:pPr>
              <w:tabs>
                <w:tab w:val="right" w:pos="1202"/>
              </w:tabs>
              <w:spacing w:after="0" w:line="240" w:lineRule="exact"/>
              <w:jc w:val="right"/>
              <w:outlineLvl w:val="0"/>
              <w:rPr>
                <w:rFonts w:ascii="Calibri" w:eastAsia="Calibri" w:hAnsi="Calibri" w:cs="Arial"/>
                <w:spacing w:val="-2"/>
                <w:sz w:val="18"/>
                <w:szCs w:val="18"/>
                <w:lang w:val="en-US"/>
              </w:rPr>
            </w:pPr>
            <w:r w:rsidRPr="00D97852">
              <w:rPr>
                <w:rFonts w:ascii="Calibri" w:hAnsi="Calibri"/>
                <w:color w:val="000000"/>
                <w:sz w:val="18"/>
                <w:szCs w:val="18"/>
              </w:rPr>
              <w:t>15</w:t>
            </w:r>
            <w:r w:rsidR="00C533B3">
              <w:rPr>
                <w:rFonts w:ascii="Calibri" w:hAnsi="Calibri"/>
                <w:color w:val="000000"/>
                <w:sz w:val="18"/>
                <w:szCs w:val="18"/>
              </w:rPr>
              <w:t>,</w:t>
            </w:r>
            <w:r w:rsidRPr="00D97852">
              <w:rPr>
                <w:rFonts w:ascii="Calibri" w:hAnsi="Calibri"/>
                <w:color w:val="000000"/>
                <w:sz w:val="18"/>
                <w:szCs w:val="18"/>
              </w:rPr>
              <w:t>215</w:t>
            </w:r>
          </w:p>
        </w:tc>
        <w:tc>
          <w:tcPr>
            <w:tcW w:w="524" w:type="pct"/>
            <w:tcBorders>
              <w:top w:val="nil"/>
              <w:left w:val="nil"/>
              <w:bottom w:val="nil"/>
              <w:right w:val="nil"/>
            </w:tcBorders>
            <w:shd w:val="clear" w:color="auto" w:fill="auto"/>
            <w:vAlign w:val="bottom"/>
          </w:tcPr>
          <w:p w14:paraId="659BE667" w14:textId="00E46B50" w:rsidR="006C3E63" w:rsidRPr="00537128" w:rsidRDefault="006C3E63" w:rsidP="006C3E63">
            <w:pPr>
              <w:tabs>
                <w:tab w:val="right" w:pos="1202"/>
              </w:tabs>
              <w:spacing w:after="0" w:line="240" w:lineRule="exact"/>
              <w:jc w:val="right"/>
              <w:outlineLvl w:val="0"/>
              <w:rPr>
                <w:rFonts w:ascii="Calibri" w:eastAsia="Calibri" w:hAnsi="Calibri" w:cs="Arial"/>
                <w:spacing w:val="-2"/>
                <w:sz w:val="18"/>
                <w:szCs w:val="18"/>
                <w:lang w:val="en-US"/>
              </w:rPr>
            </w:pPr>
            <w:r w:rsidRPr="00D97852">
              <w:rPr>
                <w:rFonts w:ascii="Calibri" w:hAnsi="Calibri"/>
                <w:color w:val="000000"/>
                <w:sz w:val="18"/>
                <w:szCs w:val="18"/>
              </w:rPr>
              <w:t>15</w:t>
            </w:r>
            <w:r w:rsidR="00C533B3">
              <w:rPr>
                <w:rFonts w:ascii="Calibri" w:hAnsi="Calibri"/>
                <w:color w:val="000000"/>
                <w:sz w:val="18"/>
                <w:szCs w:val="18"/>
              </w:rPr>
              <w:t>,</w:t>
            </w:r>
            <w:r w:rsidRPr="00D97852">
              <w:rPr>
                <w:rFonts w:ascii="Calibri" w:hAnsi="Calibri"/>
                <w:color w:val="000000"/>
                <w:sz w:val="18"/>
                <w:szCs w:val="18"/>
              </w:rPr>
              <w:t>215</w:t>
            </w:r>
          </w:p>
        </w:tc>
      </w:tr>
      <w:tr w:rsidR="006C3E63" w:rsidRPr="00537128" w14:paraId="30B33B52" w14:textId="77777777" w:rsidTr="005818BB">
        <w:trPr>
          <w:trHeight w:hRule="exact" w:val="270"/>
        </w:trPr>
        <w:tc>
          <w:tcPr>
            <w:tcW w:w="1772" w:type="pct"/>
            <w:vAlign w:val="bottom"/>
          </w:tcPr>
          <w:p w14:paraId="259357AC" w14:textId="77777777" w:rsidR="006C3E63" w:rsidRPr="00537128" w:rsidRDefault="006C3E63" w:rsidP="006C3E63">
            <w:pPr>
              <w:tabs>
                <w:tab w:val="right" w:pos="1202"/>
              </w:tabs>
              <w:spacing w:after="0" w:line="220" w:lineRule="exact"/>
              <w:outlineLvl w:val="0"/>
              <w:rPr>
                <w:rFonts w:ascii="Calibri" w:eastAsia="Times New Roman" w:hAnsi="Calibri" w:cs="Arial"/>
                <w:spacing w:val="-2"/>
                <w:sz w:val="18"/>
                <w:szCs w:val="18"/>
                <w:lang w:val="en-US"/>
              </w:rPr>
            </w:pPr>
            <w:bookmarkStart w:id="838" w:name="_Toc4061971"/>
            <w:r w:rsidRPr="00537128">
              <w:rPr>
                <w:rFonts w:ascii="Calibri" w:eastAsia="Times New Roman" w:hAnsi="Calibri" w:cs="Arial"/>
                <w:spacing w:val="-2"/>
                <w:sz w:val="18"/>
                <w:szCs w:val="18"/>
                <w:lang w:val="en-US"/>
              </w:rPr>
              <w:t>Loans to financial institutions*</w:t>
            </w:r>
            <w:bookmarkEnd w:id="838"/>
          </w:p>
        </w:tc>
        <w:tc>
          <w:tcPr>
            <w:tcW w:w="538" w:type="pct"/>
            <w:tcBorders>
              <w:top w:val="nil"/>
              <w:left w:val="nil"/>
              <w:bottom w:val="nil"/>
              <w:right w:val="nil"/>
            </w:tcBorders>
            <w:shd w:val="clear" w:color="auto" w:fill="auto"/>
            <w:vAlign w:val="bottom"/>
          </w:tcPr>
          <w:p w14:paraId="2097376E" w14:textId="47098465" w:rsidR="006C3E63" w:rsidRPr="00537128" w:rsidRDefault="006C3E63" w:rsidP="006C3E63">
            <w:pPr>
              <w:tabs>
                <w:tab w:val="right" w:pos="1202"/>
              </w:tabs>
              <w:spacing w:after="0" w:line="240" w:lineRule="exact"/>
              <w:jc w:val="right"/>
              <w:outlineLvl w:val="0"/>
              <w:rPr>
                <w:rFonts w:ascii="Calibri" w:eastAsia="Calibri" w:hAnsi="Calibri" w:cs="Arial"/>
                <w:spacing w:val="-2"/>
                <w:sz w:val="18"/>
                <w:szCs w:val="18"/>
                <w:lang w:val="en-US"/>
              </w:rPr>
            </w:pPr>
            <w:r w:rsidRPr="00D97852">
              <w:rPr>
                <w:rFonts w:ascii="Calibri" w:hAnsi="Calibri"/>
                <w:color w:val="000000"/>
                <w:sz w:val="18"/>
                <w:szCs w:val="18"/>
              </w:rPr>
              <w:t>65</w:t>
            </w:r>
            <w:r w:rsidR="00C533B3">
              <w:rPr>
                <w:rFonts w:ascii="Calibri" w:hAnsi="Calibri"/>
                <w:color w:val="000000"/>
                <w:sz w:val="18"/>
                <w:szCs w:val="18"/>
              </w:rPr>
              <w:t>,</w:t>
            </w:r>
            <w:r w:rsidRPr="00D97852">
              <w:rPr>
                <w:rFonts w:ascii="Calibri" w:hAnsi="Calibri"/>
                <w:color w:val="000000"/>
                <w:sz w:val="18"/>
                <w:szCs w:val="18"/>
              </w:rPr>
              <w:t>356</w:t>
            </w:r>
          </w:p>
        </w:tc>
        <w:tc>
          <w:tcPr>
            <w:tcW w:w="541" w:type="pct"/>
            <w:tcBorders>
              <w:top w:val="nil"/>
              <w:left w:val="nil"/>
              <w:bottom w:val="nil"/>
              <w:right w:val="nil"/>
            </w:tcBorders>
            <w:shd w:val="clear" w:color="auto" w:fill="auto"/>
            <w:vAlign w:val="bottom"/>
          </w:tcPr>
          <w:p w14:paraId="6436378C" w14:textId="640809EE" w:rsidR="006C3E63" w:rsidRPr="00537128" w:rsidRDefault="006C3E63" w:rsidP="006C3E63">
            <w:pPr>
              <w:tabs>
                <w:tab w:val="right" w:pos="1202"/>
              </w:tabs>
              <w:spacing w:after="0" w:line="240" w:lineRule="exact"/>
              <w:jc w:val="right"/>
              <w:outlineLvl w:val="0"/>
              <w:rPr>
                <w:rFonts w:ascii="Calibri" w:eastAsia="Calibri" w:hAnsi="Calibri" w:cs="Arial"/>
                <w:spacing w:val="-2"/>
                <w:sz w:val="18"/>
                <w:szCs w:val="18"/>
                <w:lang w:val="en-US"/>
              </w:rPr>
            </w:pPr>
            <w:r w:rsidRPr="00D97852">
              <w:rPr>
                <w:rFonts w:ascii="Calibri" w:hAnsi="Calibri"/>
                <w:color w:val="000000"/>
                <w:sz w:val="18"/>
                <w:szCs w:val="18"/>
              </w:rPr>
              <w:t>333</w:t>
            </w:r>
            <w:r w:rsidR="00C533B3">
              <w:rPr>
                <w:rFonts w:ascii="Calibri" w:hAnsi="Calibri"/>
                <w:color w:val="000000"/>
                <w:sz w:val="18"/>
                <w:szCs w:val="18"/>
              </w:rPr>
              <w:t>,</w:t>
            </w:r>
            <w:r w:rsidRPr="00D97852">
              <w:rPr>
                <w:rFonts w:ascii="Calibri" w:hAnsi="Calibri"/>
                <w:color w:val="000000"/>
                <w:sz w:val="18"/>
                <w:szCs w:val="18"/>
              </w:rPr>
              <w:t>310</w:t>
            </w:r>
          </w:p>
        </w:tc>
        <w:tc>
          <w:tcPr>
            <w:tcW w:w="542" w:type="pct"/>
            <w:tcBorders>
              <w:top w:val="nil"/>
              <w:left w:val="nil"/>
              <w:bottom w:val="nil"/>
              <w:right w:val="nil"/>
            </w:tcBorders>
            <w:shd w:val="clear" w:color="auto" w:fill="auto"/>
            <w:vAlign w:val="bottom"/>
          </w:tcPr>
          <w:p w14:paraId="0EFDE5BB" w14:textId="632F9382" w:rsidR="006C3E63" w:rsidRPr="00537128" w:rsidRDefault="006C3E63" w:rsidP="006C3E63">
            <w:pPr>
              <w:tabs>
                <w:tab w:val="right" w:pos="1202"/>
              </w:tabs>
              <w:spacing w:after="0" w:line="240" w:lineRule="exact"/>
              <w:jc w:val="right"/>
              <w:outlineLvl w:val="0"/>
              <w:rPr>
                <w:rFonts w:ascii="Calibri" w:eastAsia="Calibri" w:hAnsi="Calibri" w:cs="Arial"/>
                <w:spacing w:val="-2"/>
                <w:sz w:val="18"/>
                <w:szCs w:val="18"/>
                <w:lang w:val="en-US"/>
              </w:rPr>
            </w:pPr>
            <w:r w:rsidRPr="00D97852">
              <w:rPr>
                <w:rFonts w:ascii="Calibri" w:hAnsi="Calibri"/>
                <w:color w:val="000000"/>
                <w:sz w:val="18"/>
                <w:szCs w:val="18"/>
              </w:rPr>
              <w:t>771</w:t>
            </w:r>
            <w:r w:rsidR="00C533B3">
              <w:rPr>
                <w:rFonts w:ascii="Calibri" w:hAnsi="Calibri"/>
                <w:color w:val="000000"/>
                <w:sz w:val="18"/>
                <w:szCs w:val="18"/>
              </w:rPr>
              <w:t>,</w:t>
            </w:r>
            <w:r w:rsidRPr="00D97852">
              <w:rPr>
                <w:rFonts w:ascii="Calibri" w:hAnsi="Calibri"/>
                <w:color w:val="000000"/>
                <w:sz w:val="18"/>
                <w:szCs w:val="18"/>
              </w:rPr>
              <w:t>025</w:t>
            </w:r>
          </w:p>
        </w:tc>
        <w:tc>
          <w:tcPr>
            <w:tcW w:w="541" w:type="pct"/>
            <w:tcBorders>
              <w:top w:val="nil"/>
              <w:left w:val="nil"/>
              <w:bottom w:val="nil"/>
              <w:right w:val="nil"/>
            </w:tcBorders>
            <w:shd w:val="clear" w:color="auto" w:fill="auto"/>
            <w:vAlign w:val="bottom"/>
          </w:tcPr>
          <w:p w14:paraId="3D62F1AE" w14:textId="504713A3" w:rsidR="006C3E63" w:rsidRPr="00537128" w:rsidRDefault="006C3E63" w:rsidP="006C3E63">
            <w:pPr>
              <w:tabs>
                <w:tab w:val="right" w:pos="1202"/>
              </w:tabs>
              <w:spacing w:after="0" w:line="240" w:lineRule="exact"/>
              <w:jc w:val="right"/>
              <w:outlineLvl w:val="0"/>
              <w:rPr>
                <w:rFonts w:ascii="Calibri" w:eastAsia="Calibri" w:hAnsi="Calibri" w:cs="Arial"/>
                <w:spacing w:val="-2"/>
                <w:sz w:val="18"/>
                <w:szCs w:val="18"/>
                <w:lang w:val="en-US"/>
              </w:rPr>
            </w:pPr>
            <w:r w:rsidRPr="00D97852">
              <w:rPr>
                <w:rFonts w:ascii="Calibri" w:hAnsi="Calibri"/>
                <w:color w:val="000000"/>
                <w:sz w:val="18"/>
                <w:szCs w:val="18"/>
              </w:rPr>
              <w:t>1</w:t>
            </w:r>
            <w:r w:rsidR="00C533B3">
              <w:rPr>
                <w:rFonts w:ascii="Calibri" w:hAnsi="Calibri"/>
                <w:color w:val="000000"/>
                <w:sz w:val="18"/>
                <w:szCs w:val="18"/>
              </w:rPr>
              <w:t>,</w:t>
            </w:r>
            <w:r w:rsidRPr="00D97852">
              <w:rPr>
                <w:rFonts w:ascii="Calibri" w:hAnsi="Calibri"/>
                <w:color w:val="000000"/>
                <w:sz w:val="18"/>
                <w:szCs w:val="18"/>
              </w:rPr>
              <w:t>843</w:t>
            </w:r>
            <w:r w:rsidR="00C533B3">
              <w:rPr>
                <w:rFonts w:ascii="Calibri" w:hAnsi="Calibri"/>
                <w:color w:val="000000"/>
                <w:sz w:val="18"/>
                <w:szCs w:val="18"/>
              </w:rPr>
              <w:t>,</w:t>
            </w:r>
            <w:r w:rsidRPr="00D97852">
              <w:rPr>
                <w:rFonts w:ascii="Calibri" w:hAnsi="Calibri"/>
                <w:color w:val="000000"/>
                <w:sz w:val="18"/>
                <w:szCs w:val="18"/>
              </w:rPr>
              <w:t>679</w:t>
            </w:r>
          </w:p>
        </w:tc>
        <w:tc>
          <w:tcPr>
            <w:tcW w:w="542" w:type="pct"/>
            <w:tcBorders>
              <w:top w:val="nil"/>
              <w:left w:val="nil"/>
              <w:bottom w:val="nil"/>
              <w:right w:val="nil"/>
            </w:tcBorders>
            <w:shd w:val="clear" w:color="auto" w:fill="auto"/>
            <w:vAlign w:val="bottom"/>
          </w:tcPr>
          <w:p w14:paraId="17DE6346" w14:textId="33E81931" w:rsidR="006C3E63" w:rsidRPr="00537128" w:rsidRDefault="006C3E63" w:rsidP="006C3E63">
            <w:pPr>
              <w:tabs>
                <w:tab w:val="right" w:pos="1202"/>
              </w:tabs>
              <w:spacing w:after="0" w:line="240" w:lineRule="exact"/>
              <w:jc w:val="right"/>
              <w:outlineLvl w:val="0"/>
              <w:rPr>
                <w:rFonts w:ascii="Calibri" w:eastAsia="Calibri" w:hAnsi="Calibri" w:cs="Arial"/>
                <w:spacing w:val="-2"/>
                <w:sz w:val="18"/>
                <w:szCs w:val="18"/>
                <w:lang w:val="en-US"/>
              </w:rPr>
            </w:pPr>
            <w:r w:rsidRPr="00D97852">
              <w:rPr>
                <w:rFonts w:ascii="Calibri" w:hAnsi="Calibri"/>
                <w:color w:val="000000"/>
                <w:sz w:val="18"/>
                <w:szCs w:val="18"/>
              </w:rPr>
              <w:t>3</w:t>
            </w:r>
            <w:r w:rsidR="00C533B3">
              <w:rPr>
                <w:rFonts w:ascii="Calibri" w:hAnsi="Calibri"/>
                <w:color w:val="000000"/>
                <w:sz w:val="18"/>
                <w:szCs w:val="18"/>
              </w:rPr>
              <w:t>,</w:t>
            </w:r>
            <w:r w:rsidRPr="00D97852">
              <w:rPr>
                <w:rFonts w:ascii="Calibri" w:hAnsi="Calibri"/>
                <w:color w:val="000000"/>
                <w:sz w:val="18"/>
                <w:szCs w:val="18"/>
              </w:rPr>
              <w:t>928</w:t>
            </w:r>
            <w:r w:rsidR="00C533B3">
              <w:rPr>
                <w:rFonts w:ascii="Calibri" w:hAnsi="Calibri"/>
                <w:color w:val="000000"/>
                <w:sz w:val="18"/>
                <w:szCs w:val="18"/>
              </w:rPr>
              <w:t>,</w:t>
            </w:r>
            <w:r w:rsidRPr="00D97852">
              <w:rPr>
                <w:rFonts w:ascii="Calibri" w:hAnsi="Calibri"/>
                <w:color w:val="000000"/>
                <w:sz w:val="18"/>
                <w:szCs w:val="18"/>
              </w:rPr>
              <w:t>590</w:t>
            </w:r>
          </w:p>
        </w:tc>
        <w:tc>
          <w:tcPr>
            <w:tcW w:w="524" w:type="pct"/>
            <w:tcBorders>
              <w:top w:val="nil"/>
              <w:left w:val="nil"/>
              <w:bottom w:val="nil"/>
              <w:right w:val="nil"/>
            </w:tcBorders>
            <w:shd w:val="clear" w:color="auto" w:fill="auto"/>
            <w:vAlign w:val="bottom"/>
          </w:tcPr>
          <w:p w14:paraId="49933DB6" w14:textId="21B1F4B7" w:rsidR="006C3E63" w:rsidRPr="00537128" w:rsidRDefault="006C3E63" w:rsidP="006C3E63">
            <w:pPr>
              <w:tabs>
                <w:tab w:val="right" w:pos="1202"/>
              </w:tabs>
              <w:spacing w:after="0" w:line="240" w:lineRule="exact"/>
              <w:jc w:val="right"/>
              <w:outlineLvl w:val="0"/>
              <w:rPr>
                <w:rFonts w:ascii="Calibri" w:eastAsia="Calibri" w:hAnsi="Calibri" w:cs="Arial"/>
                <w:spacing w:val="-2"/>
                <w:sz w:val="18"/>
                <w:szCs w:val="18"/>
                <w:lang w:val="en-US"/>
              </w:rPr>
            </w:pPr>
            <w:r w:rsidRPr="00D97852">
              <w:rPr>
                <w:rFonts w:ascii="Calibri" w:hAnsi="Calibri"/>
                <w:color w:val="000000"/>
                <w:sz w:val="18"/>
                <w:szCs w:val="18"/>
              </w:rPr>
              <w:t>6</w:t>
            </w:r>
            <w:r w:rsidR="00C533B3">
              <w:rPr>
                <w:rFonts w:ascii="Calibri" w:hAnsi="Calibri"/>
                <w:color w:val="000000"/>
                <w:sz w:val="18"/>
                <w:szCs w:val="18"/>
              </w:rPr>
              <w:t>,</w:t>
            </w:r>
            <w:r w:rsidRPr="00D97852">
              <w:rPr>
                <w:rFonts w:ascii="Calibri" w:hAnsi="Calibri"/>
                <w:color w:val="000000"/>
                <w:sz w:val="18"/>
                <w:szCs w:val="18"/>
              </w:rPr>
              <w:t>941</w:t>
            </w:r>
            <w:r w:rsidR="00C533B3">
              <w:rPr>
                <w:rFonts w:ascii="Calibri" w:hAnsi="Calibri"/>
                <w:color w:val="000000"/>
                <w:sz w:val="18"/>
                <w:szCs w:val="18"/>
              </w:rPr>
              <w:t>,</w:t>
            </w:r>
            <w:r w:rsidRPr="00D97852">
              <w:rPr>
                <w:rFonts w:ascii="Calibri" w:hAnsi="Calibri"/>
                <w:color w:val="000000"/>
                <w:sz w:val="18"/>
                <w:szCs w:val="18"/>
              </w:rPr>
              <w:t>960</w:t>
            </w:r>
          </w:p>
        </w:tc>
      </w:tr>
      <w:tr w:rsidR="006C3E63" w:rsidRPr="00537128" w14:paraId="0A7EDF2D" w14:textId="77777777" w:rsidTr="005818BB">
        <w:trPr>
          <w:trHeight w:hRule="exact" w:val="270"/>
        </w:trPr>
        <w:tc>
          <w:tcPr>
            <w:tcW w:w="1772" w:type="pct"/>
            <w:vAlign w:val="bottom"/>
          </w:tcPr>
          <w:p w14:paraId="66F78836" w14:textId="77777777" w:rsidR="006C3E63" w:rsidRPr="00537128" w:rsidRDefault="006C3E63" w:rsidP="006C3E63">
            <w:pPr>
              <w:tabs>
                <w:tab w:val="right" w:pos="1202"/>
              </w:tabs>
              <w:spacing w:after="0" w:line="220" w:lineRule="exact"/>
              <w:outlineLvl w:val="0"/>
              <w:rPr>
                <w:rFonts w:ascii="Calibri" w:eastAsia="Times New Roman" w:hAnsi="Calibri" w:cs="Arial"/>
                <w:spacing w:val="-2"/>
                <w:sz w:val="18"/>
                <w:szCs w:val="18"/>
                <w:lang w:val="en-US"/>
              </w:rPr>
            </w:pPr>
            <w:bookmarkStart w:id="839" w:name="_Toc4061978"/>
            <w:r w:rsidRPr="00537128">
              <w:rPr>
                <w:rFonts w:ascii="Calibri" w:eastAsia="Times New Roman" w:hAnsi="Calibri" w:cs="Arial"/>
                <w:spacing w:val="-2"/>
                <w:sz w:val="18"/>
                <w:szCs w:val="18"/>
                <w:lang w:val="en-US"/>
              </w:rPr>
              <w:t>Loans to other customers</w:t>
            </w:r>
            <w:bookmarkEnd w:id="839"/>
          </w:p>
        </w:tc>
        <w:tc>
          <w:tcPr>
            <w:tcW w:w="538" w:type="pct"/>
            <w:tcBorders>
              <w:top w:val="nil"/>
              <w:left w:val="nil"/>
              <w:bottom w:val="nil"/>
              <w:right w:val="nil"/>
            </w:tcBorders>
            <w:shd w:val="clear" w:color="auto" w:fill="auto"/>
            <w:vAlign w:val="bottom"/>
          </w:tcPr>
          <w:p w14:paraId="41316E23" w14:textId="01A93D11" w:rsidR="006C3E63" w:rsidRPr="00537128" w:rsidRDefault="006C3E63" w:rsidP="006C3E63">
            <w:pPr>
              <w:tabs>
                <w:tab w:val="right" w:pos="1202"/>
              </w:tabs>
              <w:spacing w:after="0" w:line="240" w:lineRule="exact"/>
              <w:jc w:val="right"/>
              <w:outlineLvl w:val="0"/>
              <w:rPr>
                <w:rFonts w:ascii="Calibri" w:eastAsia="Calibri" w:hAnsi="Calibri" w:cs="Arial"/>
                <w:spacing w:val="-2"/>
                <w:sz w:val="18"/>
                <w:szCs w:val="18"/>
                <w:lang w:val="en-US"/>
              </w:rPr>
            </w:pPr>
            <w:r w:rsidRPr="00D97852">
              <w:rPr>
                <w:rFonts w:ascii="Calibri" w:hAnsi="Calibri"/>
                <w:color w:val="000000"/>
                <w:sz w:val="18"/>
                <w:szCs w:val="18"/>
              </w:rPr>
              <w:t>1</w:t>
            </w:r>
            <w:r w:rsidR="00C533B3">
              <w:rPr>
                <w:rFonts w:ascii="Calibri" w:hAnsi="Calibri"/>
                <w:color w:val="000000"/>
                <w:sz w:val="18"/>
                <w:szCs w:val="18"/>
              </w:rPr>
              <w:t>,</w:t>
            </w:r>
            <w:r w:rsidRPr="00D97852">
              <w:rPr>
                <w:rFonts w:ascii="Calibri" w:hAnsi="Calibri"/>
                <w:color w:val="000000"/>
                <w:sz w:val="18"/>
                <w:szCs w:val="18"/>
              </w:rPr>
              <w:t>491</w:t>
            </w:r>
            <w:r w:rsidR="00C533B3">
              <w:rPr>
                <w:rFonts w:ascii="Calibri" w:hAnsi="Calibri"/>
                <w:color w:val="000000"/>
                <w:sz w:val="18"/>
                <w:szCs w:val="18"/>
              </w:rPr>
              <w:t>,</w:t>
            </w:r>
            <w:r w:rsidRPr="00D97852">
              <w:rPr>
                <w:rFonts w:ascii="Calibri" w:hAnsi="Calibri"/>
                <w:color w:val="000000"/>
                <w:sz w:val="18"/>
                <w:szCs w:val="18"/>
              </w:rPr>
              <w:t>455</w:t>
            </w:r>
          </w:p>
        </w:tc>
        <w:tc>
          <w:tcPr>
            <w:tcW w:w="541" w:type="pct"/>
            <w:tcBorders>
              <w:top w:val="nil"/>
              <w:left w:val="nil"/>
              <w:bottom w:val="nil"/>
              <w:right w:val="nil"/>
            </w:tcBorders>
            <w:shd w:val="clear" w:color="auto" w:fill="auto"/>
            <w:vAlign w:val="bottom"/>
          </w:tcPr>
          <w:p w14:paraId="205B0B7C" w14:textId="764F9C33" w:rsidR="006C3E63" w:rsidRPr="00537128" w:rsidRDefault="006C3E63" w:rsidP="006C3E63">
            <w:pPr>
              <w:tabs>
                <w:tab w:val="right" w:pos="1202"/>
              </w:tabs>
              <w:spacing w:after="0" w:line="240" w:lineRule="exact"/>
              <w:jc w:val="right"/>
              <w:outlineLvl w:val="0"/>
              <w:rPr>
                <w:rFonts w:ascii="Calibri" w:eastAsia="Calibri" w:hAnsi="Calibri" w:cs="Arial"/>
                <w:spacing w:val="-2"/>
                <w:sz w:val="18"/>
                <w:szCs w:val="18"/>
                <w:lang w:val="en-US"/>
              </w:rPr>
            </w:pPr>
            <w:r w:rsidRPr="00D97852">
              <w:rPr>
                <w:rFonts w:ascii="Calibri" w:hAnsi="Calibri"/>
                <w:color w:val="000000"/>
                <w:sz w:val="18"/>
                <w:szCs w:val="18"/>
              </w:rPr>
              <w:t>414</w:t>
            </w:r>
            <w:r w:rsidR="00C533B3">
              <w:rPr>
                <w:rFonts w:ascii="Calibri" w:hAnsi="Calibri"/>
                <w:color w:val="000000"/>
                <w:sz w:val="18"/>
                <w:szCs w:val="18"/>
              </w:rPr>
              <w:t>,</w:t>
            </w:r>
            <w:r w:rsidRPr="00D97852">
              <w:rPr>
                <w:rFonts w:ascii="Calibri" w:hAnsi="Calibri"/>
                <w:color w:val="000000"/>
                <w:sz w:val="18"/>
                <w:szCs w:val="18"/>
              </w:rPr>
              <w:t>452</w:t>
            </w:r>
          </w:p>
        </w:tc>
        <w:tc>
          <w:tcPr>
            <w:tcW w:w="542" w:type="pct"/>
            <w:tcBorders>
              <w:top w:val="nil"/>
              <w:left w:val="nil"/>
              <w:bottom w:val="nil"/>
              <w:right w:val="nil"/>
            </w:tcBorders>
            <w:shd w:val="clear" w:color="auto" w:fill="auto"/>
            <w:vAlign w:val="bottom"/>
          </w:tcPr>
          <w:p w14:paraId="5FD4548F" w14:textId="05C29B6D" w:rsidR="006C3E63" w:rsidRPr="00537128" w:rsidRDefault="006C3E63" w:rsidP="006C3E63">
            <w:pPr>
              <w:tabs>
                <w:tab w:val="right" w:pos="1202"/>
              </w:tabs>
              <w:spacing w:after="0" w:line="240" w:lineRule="exact"/>
              <w:jc w:val="right"/>
              <w:outlineLvl w:val="0"/>
              <w:rPr>
                <w:rFonts w:ascii="Calibri" w:eastAsia="Calibri" w:hAnsi="Calibri" w:cs="Arial"/>
                <w:spacing w:val="-2"/>
                <w:sz w:val="18"/>
                <w:szCs w:val="18"/>
                <w:lang w:val="en-US"/>
              </w:rPr>
            </w:pPr>
            <w:r w:rsidRPr="00D97852">
              <w:rPr>
                <w:rFonts w:ascii="Calibri" w:hAnsi="Calibri"/>
                <w:color w:val="000000"/>
                <w:sz w:val="18"/>
                <w:szCs w:val="18"/>
              </w:rPr>
              <w:t>1</w:t>
            </w:r>
            <w:r w:rsidR="00C533B3">
              <w:rPr>
                <w:rFonts w:ascii="Calibri" w:hAnsi="Calibri"/>
                <w:color w:val="000000"/>
                <w:sz w:val="18"/>
                <w:szCs w:val="18"/>
              </w:rPr>
              <w:t>,</w:t>
            </w:r>
            <w:r w:rsidRPr="00D97852">
              <w:rPr>
                <w:rFonts w:ascii="Calibri" w:hAnsi="Calibri"/>
                <w:color w:val="000000"/>
                <w:sz w:val="18"/>
                <w:szCs w:val="18"/>
              </w:rPr>
              <w:t>193</w:t>
            </w:r>
            <w:r w:rsidR="00C533B3">
              <w:rPr>
                <w:rFonts w:ascii="Calibri" w:hAnsi="Calibri"/>
                <w:color w:val="000000"/>
                <w:sz w:val="18"/>
                <w:szCs w:val="18"/>
              </w:rPr>
              <w:t>,</w:t>
            </w:r>
            <w:r w:rsidRPr="00D97852">
              <w:rPr>
                <w:rFonts w:ascii="Calibri" w:hAnsi="Calibri"/>
                <w:color w:val="000000"/>
                <w:sz w:val="18"/>
                <w:szCs w:val="18"/>
              </w:rPr>
              <w:t>025</w:t>
            </w:r>
          </w:p>
        </w:tc>
        <w:tc>
          <w:tcPr>
            <w:tcW w:w="541" w:type="pct"/>
            <w:tcBorders>
              <w:top w:val="nil"/>
              <w:left w:val="nil"/>
              <w:bottom w:val="nil"/>
              <w:right w:val="nil"/>
            </w:tcBorders>
            <w:shd w:val="clear" w:color="auto" w:fill="auto"/>
            <w:vAlign w:val="bottom"/>
          </w:tcPr>
          <w:p w14:paraId="6FBCDAD9" w14:textId="741AFEF9" w:rsidR="006C3E63" w:rsidRPr="00537128" w:rsidRDefault="006C3E63" w:rsidP="006C3E63">
            <w:pPr>
              <w:tabs>
                <w:tab w:val="right" w:pos="1202"/>
              </w:tabs>
              <w:spacing w:after="0" w:line="240" w:lineRule="exact"/>
              <w:jc w:val="right"/>
              <w:outlineLvl w:val="0"/>
              <w:rPr>
                <w:rFonts w:ascii="Calibri" w:eastAsia="Calibri" w:hAnsi="Calibri" w:cs="Arial"/>
                <w:spacing w:val="-2"/>
                <w:sz w:val="18"/>
                <w:szCs w:val="18"/>
                <w:lang w:val="en-US"/>
              </w:rPr>
            </w:pPr>
            <w:r w:rsidRPr="00D97852">
              <w:rPr>
                <w:rFonts w:ascii="Calibri" w:hAnsi="Calibri"/>
                <w:color w:val="000000"/>
                <w:sz w:val="18"/>
                <w:szCs w:val="18"/>
              </w:rPr>
              <w:t>3</w:t>
            </w:r>
            <w:r w:rsidR="00C533B3">
              <w:rPr>
                <w:rFonts w:ascii="Calibri" w:hAnsi="Calibri"/>
                <w:color w:val="000000"/>
                <w:sz w:val="18"/>
                <w:szCs w:val="18"/>
              </w:rPr>
              <w:t>,</w:t>
            </w:r>
            <w:r w:rsidRPr="00D97852">
              <w:rPr>
                <w:rFonts w:ascii="Calibri" w:hAnsi="Calibri"/>
                <w:color w:val="000000"/>
                <w:sz w:val="18"/>
                <w:szCs w:val="18"/>
              </w:rPr>
              <w:t>319</w:t>
            </w:r>
            <w:r w:rsidR="00C533B3">
              <w:rPr>
                <w:rFonts w:ascii="Calibri" w:hAnsi="Calibri"/>
                <w:color w:val="000000"/>
                <w:sz w:val="18"/>
                <w:szCs w:val="18"/>
              </w:rPr>
              <w:t>,</w:t>
            </w:r>
            <w:r w:rsidRPr="00D97852">
              <w:rPr>
                <w:rFonts w:ascii="Calibri" w:hAnsi="Calibri"/>
                <w:color w:val="000000"/>
                <w:sz w:val="18"/>
                <w:szCs w:val="18"/>
              </w:rPr>
              <w:t>865</w:t>
            </w:r>
          </w:p>
        </w:tc>
        <w:tc>
          <w:tcPr>
            <w:tcW w:w="542" w:type="pct"/>
            <w:tcBorders>
              <w:top w:val="nil"/>
              <w:left w:val="nil"/>
              <w:bottom w:val="nil"/>
              <w:right w:val="nil"/>
            </w:tcBorders>
            <w:shd w:val="clear" w:color="auto" w:fill="auto"/>
            <w:vAlign w:val="bottom"/>
          </w:tcPr>
          <w:p w14:paraId="3B249C10" w14:textId="3B645F20" w:rsidR="006C3E63" w:rsidRPr="00537128" w:rsidRDefault="006C3E63" w:rsidP="006C3E63">
            <w:pPr>
              <w:tabs>
                <w:tab w:val="right" w:pos="1202"/>
              </w:tabs>
              <w:spacing w:after="0" w:line="240" w:lineRule="exact"/>
              <w:jc w:val="right"/>
              <w:outlineLvl w:val="0"/>
              <w:rPr>
                <w:rFonts w:ascii="Calibri" w:eastAsia="Calibri" w:hAnsi="Calibri" w:cs="Arial"/>
                <w:spacing w:val="-2"/>
                <w:sz w:val="18"/>
                <w:szCs w:val="18"/>
                <w:lang w:val="en-US"/>
              </w:rPr>
            </w:pPr>
            <w:r w:rsidRPr="00D97852">
              <w:rPr>
                <w:rFonts w:ascii="Calibri" w:hAnsi="Calibri"/>
                <w:color w:val="000000"/>
                <w:sz w:val="18"/>
                <w:szCs w:val="18"/>
              </w:rPr>
              <w:t>9</w:t>
            </w:r>
            <w:r w:rsidR="00C533B3">
              <w:rPr>
                <w:rFonts w:ascii="Calibri" w:hAnsi="Calibri"/>
                <w:color w:val="000000"/>
                <w:sz w:val="18"/>
                <w:szCs w:val="18"/>
              </w:rPr>
              <w:t>,</w:t>
            </w:r>
            <w:r w:rsidRPr="00D97852">
              <w:rPr>
                <w:rFonts w:ascii="Calibri" w:hAnsi="Calibri"/>
                <w:color w:val="000000"/>
                <w:sz w:val="18"/>
                <w:szCs w:val="18"/>
              </w:rPr>
              <w:t>307</w:t>
            </w:r>
            <w:r w:rsidR="00C533B3">
              <w:rPr>
                <w:rFonts w:ascii="Calibri" w:hAnsi="Calibri"/>
                <w:color w:val="000000"/>
                <w:sz w:val="18"/>
                <w:szCs w:val="18"/>
              </w:rPr>
              <w:t>,</w:t>
            </w:r>
            <w:r w:rsidRPr="00D97852">
              <w:rPr>
                <w:rFonts w:ascii="Calibri" w:hAnsi="Calibri"/>
                <w:color w:val="000000"/>
                <w:sz w:val="18"/>
                <w:szCs w:val="18"/>
              </w:rPr>
              <w:t>636</w:t>
            </w:r>
          </w:p>
        </w:tc>
        <w:tc>
          <w:tcPr>
            <w:tcW w:w="524" w:type="pct"/>
            <w:tcBorders>
              <w:top w:val="nil"/>
              <w:left w:val="nil"/>
              <w:bottom w:val="nil"/>
              <w:right w:val="nil"/>
            </w:tcBorders>
            <w:shd w:val="clear" w:color="auto" w:fill="auto"/>
            <w:vAlign w:val="bottom"/>
          </w:tcPr>
          <w:p w14:paraId="0683D494" w14:textId="14B23284" w:rsidR="006C3E63" w:rsidRPr="00537128" w:rsidRDefault="006C3E63" w:rsidP="006C3E63">
            <w:pPr>
              <w:tabs>
                <w:tab w:val="right" w:pos="1202"/>
              </w:tabs>
              <w:spacing w:after="0" w:line="240" w:lineRule="exact"/>
              <w:jc w:val="right"/>
              <w:outlineLvl w:val="0"/>
              <w:rPr>
                <w:rFonts w:ascii="Calibri" w:eastAsia="Calibri" w:hAnsi="Calibri" w:cs="Arial"/>
                <w:spacing w:val="-2"/>
                <w:sz w:val="18"/>
                <w:szCs w:val="18"/>
                <w:lang w:val="en-US"/>
              </w:rPr>
            </w:pPr>
            <w:r w:rsidRPr="00D97852">
              <w:rPr>
                <w:rFonts w:ascii="Calibri" w:hAnsi="Calibri"/>
                <w:color w:val="000000"/>
                <w:sz w:val="18"/>
                <w:szCs w:val="18"/>
              </w:rPr>
              <w:t>15</w:t>
            </w:r>
            <w:r w:rsidR="00C533B3">
              <w:rPr>
                <w:rFonts w:ascii="Calibri" w:hAnsi="Calibri"/>
                <w:color w:val="000000"/>
                <w:sz w:val="18"/>
                <w:szCs w:val="18"/>
              </w:rPr>
              <w:t>,</w:t>
            </w:r>
            <w:r w:rsidRPr="00D97852">
              <w:rPr>
                <w:rFonts w:ascii="Calibri" w:hAnsi="Calibri"/>
                <w:color w:val="000000"/>
                <w:sz w:val="18"/>
                <w:szCs w:val="18"/>
              </w:rPr>
              <w:t>726</w:t>
            </w:r>
            <w:r w:rsidR="00C533B3">
              <w:rPr>
                <w:rFonts w:ascii="Calibri" w:hAnsi="Calibri"/>
                <w:color w:val="000000"/>
                <w:sz w:val="18"/>
                <w:szCs w:val="18"/>
              </w:rPr>
              <w:t>,</w:t>
            </w:r>
            <w:r w:rsidRPr="00D97852">
              <w:rPr>
                <w:rFonts w:ascii="Calibri" w:hAnsi="Calibri"/>
                <w:color w:val="000000"/>
                <w:sz w:val="18"/>
                <w:szCs w:val="18"/>
              </w:rPr>
              <w:t>433</w:t>
            </w:r>
          </w:p>
        </w:tc>
      </w:tr>
      <w:tr w:rsidR="006C3E63" w:rsidRPr="00537128" w14:paraId="1F0CEAF1" w14:textId="77777777" w:rsidTr="005818BB">
        <w:trPr>
          <w:trHeight w:hRule="exact" w:val="411"/>
        </w:trPr>
        <w:tc>
          <w:tcPr>
            <w:tcW w:w="1772" w:type="pct"/>
            <w:vAlign w:val="bottom"/>
          </w:tcPr>
          <w:p w14:paraId="404477AC" w14:textId="77777777" w:rsidR="006C3E63" w:rsidRPr="00537128" w:rsidRDefault="006C3E63" w:rsidP="006C3E63">
            <w:pPr>
              <w:tabs>
                <w:tab w:val="right" w:pos="1202"/>
              </w:tabs>
              <w:spacing w:after="0" w:line="220" w:lineRule="exact"/>
              <w:outlineLvl w:val="0"/>
              <w:rPr>
                <w:rFonts w:ascii="Calibri" w:eastAsia="Times New Roman" w:hAnsi="Calibri" w:cs="Arial"/>
                <w:spacing w:val="-2"/>
                <w:sz w:val="18"/>
                <w:szCs w:val="18"/>
                <w:lang w:val="en-US"/>
              </w:rPr>
            </w:pPr>
            <w:bookmarkStart w:id="840" w:name="_Toc4061985"/>
            <w:r w:rsidRPr="00537128">
              <w:rPr>
                <w:rFonts w:ascii="Calibri" w:eastAsia="Times New Roman" w:hAnsi="Calibri" w:cs="Arial"/>
                <w:spacing w:val="-2"/>
                <w:sz w:val="18"/>
                <w:szCs w:val="18"/>
                <w:lang w:val="en-US"/>
              </w:rPr>
              <w:t>Financial assets at fair value through profit or loss</w:t>
            </w:r>
            <w:bookmarkEnd w:id="840"/>
          </w:p>
        </w:tc>
        <w:tc>
          <w:tcPr>
            <w:tcW w:w="538" w:type="pct"/>
            <w:tcBorders>
              <w:top w:val="nil"/>
              <w:left w:val="nil"/>
              <w:bottom w:val="nil"/>
              <w:right w:val="nil"/>
            </w:tcBorders>
            <w:shd w:val="clear" w:color="auto" w:fill="auto"/>
            <w:vAlign w:val="bottom"/>
          </w:tcPr>
          <w:p w14:paraId="1DAFCF6A" w14:textId="680A3B95" w:rsidR="006C3E63" w:rsidRPr="00537128" w:rsidRDefault="006C3E63" w:rsidP="006C3E63">
            <w:pPr>
              <w:tabs>
                <w:tab w:val="right" w:pos="1202"/>
              </w:tabs>
              <w:spacing w:after="0" w:line="240" w:lineRule="exact"/>
              <w:jc w:val="right"/>
              <w:outlineLvl w:val="0"/>
              <w:rPr>
                <w:rFonts w:ascii="Calibri" w:eastAsia="Calibri" w:hAnsi="Calibri" w:cs="Arial"/>
                <w:spacing w:val="-2"/>
                <w:sz w:val="18"/>
                <w:szCs w:val="18"/>
                <w:lang w:val="en-US"/>
              </w:rPr>
            </w:pPr>
            <w:r w:rsidRPr="00D97852">
              <w:rPr>
                <w:rFonts w:ascii="Calibri" w:hAnsi="Calibri"/>
                <w:color w:val="000000"/>
                <w:sz w:val="18"/>
                <w:szCs w:val="18"/>
              </w:rPr>
              <w:t>103</w:t>
            </w:r>
            <w:r w:rsidR="00C533B3">
              <w:rPr>
                <w:rFonts w:ascii="Calibri" w:hAnsi="Calibri"/>
                <w:color w:val="000000"/>
                <w:sz w:val="18"/>
                <w:szCs w:val="18"/>
              </w:rPr>
              <w:t>,</w:t>
            </w:r>
            <w:r w:rsidRPr="00D97852">
              <w:rPr>
                <w:rFonts w:ascii="Calibri" w:hAnsi="Calibri"/>
                <w:color w:val="000000"/>
                <w:sz w:val="18"/>
                <w:szCs w:val="18"/>
              </w:rPr>
              <w:t>892</w:t>
            </w:r>
          </w:p>
        </w:tc>
        <w:tc>
          <w:tcPr>
            <w:tcW w:w="541" w:type="pct"/>
            <w:tcBorders>
              <w:top w:val="nil"/>
              <w:left w:val="nil"/>
              <w:bottom w:val="nil"/>
              <w:right w:val="nil"/>
            </w:tcBorders>
            <w:shd w:val="clear" w:color="auto" w:fill="auto"/>
            <w:vAlign w:val="bottom"/>
          </w:tcPr>
          <w:p w14:paraId="7CB4C562" w14:textId="276DFBCE" w:rsidR="006C3E63" w:rsidRPr="00537128" w:rsidRDefault="006C3E63" w:rsidP="006C3E6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3E05436D" w14:textId="4161E431" w:rsidR="006C3E63" w:rsidRPr="00537128" w:rsidRDefault="006C3E63" w:rsidP="006C3E6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41" w:type="pct"/>
            <w:tcBorders>
              <w:top w:val="nil"/>
              <w:left w:val="nil"/>
              <w:bottom w:val="nil"/>
              <w:right w:val="nil"/>
            </w:tcBorders>
            <w:shd w:val="clear" w:color="auto" w:fill="auto"/>
            <w:vAlign w:val="bottom"/>
          </w:tcPr>
          <w:p w14:paraId="6AF88C21" w14:textId="637BFF88" w:rsidR="006C3E63" w:rsidRPr="00537128" w:rsidRDefault="006C3E63" w:rsidP="006C3E6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5C24BE87" w14:textId="77494DB2" w:rsidR="006C3E63" w:rsidRPr="00537128" w:rsidRDefault="006C3E63" w:rsidP="006C3E63">
            <w:pPr>
              <w:tabs>
                <w:tab w:val="right" w:pos="1202"/>
              </w:tabs>
              <w:spacing w:after="0" w:line="240" w:lineRule="exact"/>
              <w:jc w:val="right"/>
              <w:outlineLvl w:val="0"/>
              <w:rPr>
                <w:rFonts w:ascii="Calibri" w:eastAsia="Calibri" w:hAnsi="Calibri" w:cs="Arial"/>
                <w:spacing w:val="-2"/>
                <w:sz w:val="18"/>
                <w:szCs w:val="18"/>
                <w:lang w:val="en-US"/>
              </w:rPr>
            </w:pPr>
            <w:r w:rsidRPr="00D97852">
              <w:rPr>
                <w:rFonts w:ascii="Calibri" w:hAnsi="Calibri"/>
                <w:color w:val="000000"/>
                <w:sz w:val="18"/>
                <w:szCs w:val="18"/>
              </w:rPr>
              <w:t>25</w:t>
            </w:r>
            <w:r w:rsidR="00C533B3">
              <w:rPr>
                <w:rFonts w:ascii="Calibri" w:hAnsi="Calibri"/>
                <w:color w:val="000000"/>
                <w:sz w:val="18"/>
                <w:szCs w:val="18"/>
              </w:rPr>
              <w:t>,</w:t>
            </w:r>
            <w:r w:rsidRPr="00D97852">
              <w:rPr>
                <w:rFonts w:ascii="Calibri" w:hAnsi="Calibri"/>
                <w:color w:val="000000"/>
                <w:sz w:val="18"/>
                <w:szCs w:val="18"/>
              </w:rPr>
              <w:t>652</w:t>
            </w:r>
          </w:p>
        </w:tc>
        <w:tc>
          <w:tcPr>
            <w:tcW w:w="524" w:type="pct"/>
            <w:tcBorders>
              <w:top w:val="nil"/>
              <w:left w:val="nil"/>
              <w:bottom w:val="nil"/>
              <w:right w:val="nil"/>
            </w:tcBorders>
            <w:shd w:val="clear" w:color="auto" w:fill="auto"/>
            <w:vAlign w:val="bottom"/>
          </w:tcPr>
          <w:p w14:paraId="08AE3AA8" w14:textId="1421976F" w:rsidR="006C3E63" w:rsidRPr="00537128" w:rsidRDefault="006C3E63" w:rsidP="006C3E63">
            <w:pPr>
              <w:tabs>
                <w:tab w:val="right" w:pos="1202"/>
              </w:tabs>
              <w:spacing w:after="0" w:line="240" w:lineRule="exact"/>
              <w:jc w:val="right"/>
              <w:outlineLvl w:val="0"/>
              <w:rPr>
                <w:rFonts w:ascii="Calibri" w:eastAsia="Calibri" w:hAnsi="Calibri" w:cs="Arial"/>
                <w:spacing w:val="-2"/>
                <w:sz w:val="18"/>
                <w:szCs w:val="18"/>
                <w:lang w:val="en-US"/>
              </w:rPr>
            </w:pPr>
            <w:r w:rsidRPr="00D97852">
              <w:rPr>
                <w:rFonts w:ascii="Calibri" w:hAnsi="Calibri"/>
                <w:color w:val="000000"/>
                <w:sz w:val="18"/>
                <w:szCs w:val="18"/>
              </w:rPr>
              <w:t>129</w:t>
            </w:r>
            <w:r w:rsidR="00C533B3">
              <w:rPr>
                <w:rFonts w:ascii="Calibri" w:hAnsi="Calibri"/>
                <w:color w:val="000000"/>
                <w:sz w:val="18"/>
                <w:szCs w:val="18"/>
              </w:rPr>
              <w:t>,</w:t>
            </w:r>
            <w:r w:rsidRPr="00D97852">
              <w:rPr>
                <w:rFonts w:ascii="Calibri" w:hAnsi="Calibri"/>
                <w:color w:val="000000"/>
                <w:sz w:val="18"/>
                <w:szCs w:val="18"/>
              </w:rPr>
              <w:t>544</w:t>
            </w:r>
          </w:p>
        </w:tc>
      </w:tr>
      <w:tr w:rsidR="006C3E63" w:rsidRPr="00537128" w14:paraId="52584E9A" w14:textId="77777777" w:rsidTr="005818BB">
        <w:trPr>
          <w:trHeight w:hRule="exact" w:val="401"/>
        </w:trPr>
        <w:tc>
          <w:tcPr>
            <w:tcW w:w="1772" w:type="pct"/>
            <w:vAlign w:val="bottom"/>
          </w:tcPr>
          <w:p w14:paraId="4D9DE3F6" w14:textId="77777777" w:rsidR="006C3E63" w:rsidRPr="00537128" w:rsidRDefault="006C3E63" w:rsidP="006C3E63">
            <w:pPr>
              <w:tabs>
                <w:tab w:val="right" w:pos="1202"/>
              </w:tabs>
              <w:spacing w:after="0" w:line="220" w:lineRule="exact"/>
              <w:outlineLvl w:val="0"/>
              <w:rPr>
                <w:rFonts w:ascii="Calibri" w:eastAsia="Times New Roman" w:hAnsi="Calibri" w:cs="Arial"/>
                <w:spacing w:val="-2"/>
                <w:sz w:val="18"/>
                <w:szCs w:val="18"/>
                <w:lang w:val="en-US"/>
              </w:rPr>
            </w:pPr>
            <w:bookmarkStart w:id="841" w:name="_Toc4061992"/>
            <w:r w:rsidRPr="00537128">
              <w:rPr>
                <w:rFonts w:ascii="Calibri" w:eastAsia="Times New Roman" w:hAnsi="Calibri" w:cs="Arial"/>
                <w:spacing w:val="-2"/>
                <w:sz w:val="18"/>
                <w:szCs w:val="18"/>
                <w:lang w:val="en-US"/>
              </w:rPr>
              <w:t>Financial assets at fair value through other comprehensive income</w:t>
            </w:r>
            <w:bookmarkEnd w:id="841"/>
          </w:p>
        </w:tc>
        <w:tc>
          <w:tcPr>
            <w:tcW w:w="538" w:type="pct"/>
            <w:tcBorders>
              <w:top w:val="nil"/>
              <w:left w:val="nil"/>
              <w:bottom w:val="nil"/>
              <w:right w:val="nil"/>
            </w:tcBorders>
            <w:shd w:val="clear" w:color="auto" w:fill="auto"/>
            <w:vAlign w:val="bottom"/>
          </w:tcPr>
          <w:p w14:paraId="3D3F27FD" w14:textId="7B7D672D" w:rsidR="006C3E63" w:rsidRPr="00537128" w:rsidRDefault="006C3E63" w:rsidP="006C3E63">
            <w:pPr>
              <w:spacing w:after="0" w:line="240" w:lineRule="exact"/>
              <w:jc w:val="right"/>
              <w:outlineLvl w:val="0"/>
              <w:rPr>
                <w:rFonts w:ascii="Calibri" w:eastAsia="Calibri" w:hAnsi="Calibri" w:cs="Arial"/>
                <w:bCs/>
                <w:color w:val="000000"/>
                <w:sz w:val="18"/>
                <w:szCs w:val="18"/>
                <w:lang w:val="en-US" w:eastAsia="hr-HR"/>
              </w:rPr>
            </w:pPr>
            <w:r w:rsidRPr="00D97852">
              <w:rPr>
                <w:rFonts w:ascii="Calibri" w:hAnsi="Calibri"/>
                <w:color w:val="000000"/>
                <w:sz w:val="18"/>
                <w:szCs w:val="18"/>
              </w:rPr>
              <w:t>3</w:t>
            </w:r>
            <w:r w:rsidR="00C533B3">
              <w:rPr>
                <w:rFonts w:ascii="Calibri" w:hAnsi="Calibri"/>
                <w:color w:val="000000"/>
                <w:sz w:val="18"/>
                <w:szCs w:val="18"/>
              </w:rPr>
              <w:t>,</w:t>
            </w:r>
            <w:r w:rsidRPr="00D97852">
              <w:rPr>
                <w:rFonts w:ascii="Calibri" w:hAnsi="Calibri"/>
                <w:color w:val="000000"/>
                <w:sz w:val="18"/>
                <w:szCs w:val="18"/>
              </w:rPr>
              <w:t>2</w:t>
            </w:r>
            <w:r w:rsidR="00A30FA5">
              <w:rPr>
                <w:rFonts w:ascii="Calibri" w:hAnsi="Calibri"/>
                <w:color w:val="000000"/>
                <w:sz w:val="18"/>
                <w:szCs w:val="18"/>
              </w:rPr>
              <w:t>36</w:t>
            </w:r>
            <w:r w:rsidR="00C533B3">
              <w:rPr>
                <w:rFonts w:ascii="Calibri" w:hAnsi="Calibri"/>
                <w:color w:val="000000"/>
                <w:sz w:val="18"/>
                <w:szCs w:val="18"/>
              </w:rPr>
              <w:t>,</w:t>
            </w:r>
            <w:r w:rsidR="00A30FA5">
              <w:rPr>
                <w:rFonts w:ascii="Calibri" w:hAnsi="Calibri"/>
                <w:color w:val="000000"/>
                <w:sz w:val="18"/>
                <w:szCs w:val="18"/>
              </w:rPr>
              <w:t>712</w:t>
            </w:r>
          </w:p>
        </w:tc>
        <w:tc>
          <w:tcPr>
            <w:tcW w:w="541" w:type="pct"/>
            <w:tcBorders>
              <w:top w:val="nil"/>
              <w:left w:val="nil"/>
              <w:bottom w:val="nil"/>
              <w:right w:val="nil"/>
            </w:tcBorders>
            <w:shd w:val="clear" w:color="auto" w:fill="auto"/>
            <w:vAlign w:val="bottom"/>
          </w:tcPr>
          <w:p w14:paraId="3AEDE3A9" w14:textId="26D51A45" w:rsidR="006C3E63" w:rsidRPr="00537128" w:rsidRDefault="006C3E63" w:rsidP="006C3E63">
            <w:pPr>
              <w:spacing w:after="0" w:line="240" w:lineRule="exact"/>
              <w:jc w:val="right"/>
              <w:outlineLvl w:val="0"/>
              <w:rPr>
                <w:rFonts w:ascii="Calibri" w:eastAsia="Calibri" w:hAnsi="Calibri" w:cs="Arial"/>
                <w:bCs/>
                <w:color w:val="000000"/>
                <w:sz w:val="18"/>
                <w:szCs w:val="18"/>
                <w:lang w:val="en-US" w:eastAsia="hr-HR"/>
              </w:rPr>
            </w:pPr>
            <w:r w:rsidRPr="00D97852">
              <w:rPr>
                <w:rFonts w:ascii="Calibri" w:hAnsi="Calibri"/>
                <w:color w:val="000000"/>
                <w:sz w:val="18"/>
                <w:szCs w:val="18"/>
              </w:rPr>
              <w:t>1</w:t>
            </w:r>
            <w:r w:rsidR="00D64002">
              <w:rPr>
                <w:rFonts w:ascii="Calibri" w:hAnsi="Calibri"/>
                <w:color w:val="000000"/>
                <w:sz w:val="18"/>
                <w:szCs w:val="18"/>
              </w:rPr>
              <w:t>2</w:t>
            </w:r>
            <w:r w:rsidR="00C533B3">
              <w:rPr>
                <w:rFonts w:ascii="Calibri" w:hAnsi="Calibri"/>
                <w:color w:val="000000"/>
                <w:sz w:val="18"/>
                <w:szCs w:val="18"/>
              </w:rPr>
              <w:t>,</w:t>
            </w:r>
            <w:r w:rsidR="00D64002">
              <w:rPr>
                <w:rFonts w:ascii="Calibri" w:hAnsi="Calibri"/>
                <w:color w:val="000000"/>
                <w:sz w:val="18"/>
                <w:szCs w:val="18"/>
              </w:rPr>
              <w:t>11</w:t>
            </w:r>
            <w:r w:rsidRPr="00D97852">
              <w:rPr>
                <w:rFonts w:ascii="Calibri" w:hAnsi="Calibri"/>
                <w:color w:val="000000"/>
                <w:sz w:val="18"/>
                <w:szCs w:val="18"/>
              </w:rPr>
              <w:t>8</w:t>
            </w:r>
          </w:p>
        </w:tc>
        <w:tc>
          <w:tcPr>
            <w:tcW w:w="542" w:type="pct"/>
            <w:tcBorders>
              <w:top w:val="nil"/>
              <w:left w:val="nil"/>
              <w:bottom w:val="nil"/>
              <w:right w:val="nil"/>
            </w:tcBorders>
            <w:shd w:val="clear" w:color="auto" w:fill="auto"/>
            <w:vAlign w:val="bottom"/>
          </w:tcPr>
          <w:p w14:paraId="5343A090" w14:textId="74EAE558" w:rsidR="006C3E63" w:rsidRPr="00537128" w:rsidRDefault="006C3E63" w:rsidP="006C3E63">
            <w:pPr>
              <w:spacing w:after="0" w:line="240" w:lineRule="exact"/>
              <w:jc w:val="right"/>
              <w:outlineLvl w:val="0"/>
              <w:rPr>
                <w:rFonts w:ascii="Calibri" w:eastAsia="Calibri" w:hAnsi="Calibri" w:cs="Arial"/>
                <w:bCs/>
                <w:color w:val="000000"/>
                <w:sz w:val="18"/>
                <w:szCs w:val="18"/>
                <w:lang w:val="en-US" w:eastAsia="hr-HR"/>
              </w:rPr>
            </w:pPr>
            <w:r w:rsidRPr="00D97852">
              <w:rPr>
                <w:rFonts w:ascii="Calibri" w:hAnsi="Calibri"/>
                <w:color w:val="000000"/>
                <w:sz w:val="18"/>
                <w:szCs w:val="18"/>
              </w:rPr>
              <w:t>173</w:t>
            </w:r>
          </w:p>
        </w:tc>
        <w:tc>
          <w:tcPr>
            <w:tcW w:w="541" w:type="pct"/>
            <w:tcBorders>
              <w:top w:val="nil"/>
              <w:left w:val="nil"/>
              <w:bottom w:val="nil"/>
              <w:right w:val="nil"/>
            </w:tcBorders>
            <w:shd w:val="clear" w:color="auto" w:fill="auto"/>
            <w:vAlign w:val="bottom"/>
          </w:tcPr>
          <w:p w14:paraId="647389CE" w14:textId="726D6716" w:rsidR="006C3E63" w:rsidRPr="00537128" w:rsidRDefault="006C3E63" w:rsidP="006C3E63">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3F7A8757" w14:textId="6A18BC96" w:rsidR="006C3E63" w:rsidRPr="00537128" w:rsidRDefault="006C3E63" w:rsidP="006C3E63">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w:t>
            </w:r>
          </w:p>
        </w:tc>
        <w:tc>
          <w:tcPr>
            <w:tcW w:w="524" w:type="pct"/>
            <w:tcBorders>
              <w:top w:val="nil"/>
              <w:left w:val="nil"/>
              <w:bottom w:val="nil"/>
              <w:right w:val="nil"/>
            </w:tcBorders>
            <w:shd w:val="clear" w:color="auto" w:fill="auto"/>
            <w:vAlign w:val="bottom"/>
          </w:tcPr>
          <w:p w14:paraId="5AA6F6D6" w14:textId="798F5C40" w:rsidR="006C3E63" w:rsidRPr="00537128" w:rsidRDefault="006C3E63" w:rsidP="006C3E63">
            <w:pPr>
              <w:spacing w:after="0" w:line="240" w:lineRule="exact"/>
              <w:jc w:val="right"/>
              <w:outlineLvl w:val="0"/>
              <w:rPr>
                <w:rFonts w:ascii="Calibri" w:eastAsia="Calibri" w:hAnsi="Calibri" w:cs="Arial"/>
                <w:bCs/>
                <w:color w:val="000000"/>
                <w:sz w:val="18"/>
                <w:szCs w:val="18"/>
                <w:lang w:val="en-US" w:eastAsia="hr-HR"/>
              </w:rPr>
            </w:pPr>
            <w:r w:rsidRPr="00D97852">
              <w:rPr>
                <w:rFonts w:ascii="Calibri" w:hAnsi="Calibri"/>
                <w:color w:val="000000"/>
                <w:sz w:val="18"/>
                <w:szCs w:val="18"/>
              </w:rPr>
              <w:t>3</w:t>
            </w:r>
            <w:r w:rsidR="00C533B3">
              <w:rPr>
                <w:rFonts w:ascii="Calibri" w:hAnsi="Calibri"/>
                <w:color w:val="000000"/>
                <w:sz w:val="18"/>
                <w:szCs w:val="18"/>
              </w:rPr>
              <w:t>,</w:t>
            </w:r>
            <w:r w:rsidRPr="00D97852">
              <w:rPr>
                <w:rFonts w:ascii="Calibri" w:hAnsi="Calibri"/>
                <w:color w:val="000000"/>
                <w:sz w:val="18"/>
                <w:szCs w:val="18"/>
              </w:rPr>
              <w:t>249</w:t>
            </w:r>
            <w:r w:rsidR="00C533B3">
              <w:rPr>
                <w:rFonts w:ascii="Calibri" w:hAnsi="Calibri"/>
                <w:color w:val="000000"/>
                <w:sz w:val="18"/>
                <w:szCs w:val="18"/>
              </w:rPr>
              <w:t>,</w:t>
            </w:r>
            <w:r w:rsidRPr="00D97852">
              <w:rPr>
                <w:rFonts w:ascii="Calibri" w:hAnsi="Calibri"/>
                <w:color w:val="000000"/>
                <w:sz w:val="18"/>
                <w:szCs w:val="18"/>
              </w:rPr>
              <w:t>003</w:t>
            </w:r>
          </w:p>
        </w:tc>
      </w:tr>
      <w:tr w:rsidR="006C3E63" w:rsidRPr="00537128" w14:paraId="35C3E796" w14:textId="77777777" w:rsidTr="005818BB">
        <w:trPr>
          <w:trHeight w:hRule="exact" w:val="417"/>
        </w:trPr>
        <w:tc>
          <w:tcPr>
            <w:tcW w:w="1772" w:type="pct"/>
            <w:vAlign w:val="bottom"/>
          </w:tcPr>
          <w:p w14:paraId="20CC4223" w14:textId="77777777" w:rsidR="006C3E63" w:rsidRPr="00537128" w:rsidRDefault="006C3E63" w:rsidP="006C3E63">
            <w:pPr>
              <w:tabs>
                <w:tab w:val="right" w:pos="1202"/>
              </w:tabs>
              <w:spacing w:after="0" w:line="220" w:lineRule="exact"/>
              <w:outlineLvl w:val="0"/>
              <w:rPr>
                <w:rFonts w:ascii="Calibri" w:eastAsia="Times New Roman" w:hAnsi="Calibri" w:cs="Arial"/>
                <w:spacing w:val="-2"/>
                <w:sz w:val="18"/>
                <w:szCs w:val="18"/>
                <w:lang w:val="en-US"/>
              </w:rPr>
            </w:pPr>
            <w:bookmarkStart w:id="842" w:name="_Toc4062006"/>
            <w:r w:rsidRPr="00537128">
              <w:rPr>
                <w:rFonts w:ascii="Calibri" w:eastAsia="Times New Roman" w:hAnsi="Calibri" w:cs="Arial"/>
                <w:spacing w:val="-2"/>
                <w:sz w:val="18"/>
                <w:szCs w:val="18"/>
                <w:lang w:val="en-US"/>
              </w:rPr>
              <w:t>Property, plant and equipment and intangible assets</w:t>
            </w:r>
            <w:bookmarkEnd w:id="842"/>
          </w:p>
        </w:tc>
        <w:tc>
          <w:tcPr>
            <w:tcW w:w="538" w:type="pct"/>
            <w:tcBorders>
              <w:top w:val="nil"/>
              <w:left w:val="nil"/>
              <w:right w:val="nil"/>
            </w:tcBorders>
            <w:shd w:val="clear" w:color="auto" w:fill="auto"/>
            <w:vAlign w:val="bottom"/>
          </w:tcPr>
          <w:p w14:paraId="57120A89" w14:textId="0E9AF522" w:rsidR="006C3E63" w:rsidRPr="00537128" w:rsidRDefault="006C3E63" w:rsidP="006C3E63">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w:t>
            </w:r>
          </w:p>
        </w:tc>
        <w:tc>
          <w:tcPr>
            <w:tcW w:w="541" w:type="pct"/>
            <w:tcBorders>
              <w:top w:val="nil"/>
              <w:left w:val="nil"/>
              <w:right w:val="nil"/>
            </w:tcBorders>
            <w:shd w:val="clear" w:color="auto" w:fill="auto"/>
            <w:vAlign w:val="bottom"/>
          </w:tcPr>
          <w:p w14:paraId="6A2B1118" w14:textId="69BAD810" w:rsidR="006C3E63" w:rsidRPr="00537128" w:rsidRDefault="006C3E63" w:rsidP="006C3E63">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w:t>
            </w:r>
          </w:p>
        </w:tc>
        <w:tc>
          <w:tcPr>
            <w:tcW w:w="542" w:type="pct"/>
            <w:tcBorders>
              <w:top w:val="nil"/>
              <w:left w:val="nil"/>
              <w:right w:val="nil"/>
            </w:tcBorders>
            <w:shd w:val="clear" w:color="auto" w:fill="auto"/>
            <w:vAlign w:val="bottom"/>
          </w:tcPr>
          <w:p w14:paraId="113BB211" w14:textId="3FFFDF4A" w:rsidR="006C3E63" w:rsidRPr="00537128" w:rsidRDefault="006C3E63" w:rsidP="006C3E63">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w:t>
            </w:r>
          </w:p>
        </w:tc>
        <w:tc>
          <w:tcPr>
            <w:tcW w:w="541" w:type="pct"/>
            <w:tcBorders>
              <w:top w:val="nil"/>
              <w:left w:val="nil"/>
              <w:right w:val="nil"/>
            </w:tcBorders>
            <w:shd w:val="clear" w:color="auto" w:fill="auto"/>
            <w:vAlign w:val="bottom"/>
          </w:tcPr>
          <w:p w14:paraId="3A2B02AE" w14:textId="5625EEED" w:rsidR="006C3E63" w:rsidRPr="00537128" w:rsidRDefault="006C3E63" w:rsidP="006C3E63">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w:t>
            </w:r>
          </w:p>
        </w:tc>
        <w:tc>
          <w:tcPr>
            <w:tcW w:w="542" w:type="pct"/>
            <w:tcBorders>
              <w:top w:val="nil"/>
              <w:left w:val="nil"/>
              <w:right w:val="nil"/>
            </w:tcBorders>
            <w:shd w:val="clear" w:color="auto" w:fill="auto"/>
            <w:vAlign w:val="bottom"/>
          </w:tcPr>
          <w:p w14:paraId="1F129226" w14:textId="356F968C" w:rsidR="006C3E63" w:rsidRPr="00537128" w:rsidRDefault="006C3E63" w:rsidP="006C3E63">
            <w:pPr>
              <w:spacing w:after="0" w:line="240" w:lineRule="exact"/>
              <w:jc w:val="right"/>
              <w:outlineLvl w:val="0"/>
              <w:rPr>
                <w:rFonts w:ascii="Calibri" w:eastAsia="Calibri" w:hAnsi="Calibri" w:cs="Arial"/>
                <w:bCs/>
                <w:color w:val="000000"/>
                <w:sz w:val="18"/>
                <w:szCs w:val="18"/>
                <w:lang w:val="en-US" w:eastAsia="hr-HR"/>
              </w:rPr>
            </w:pPr>
            <w:r w:rsidRPr="00D97852">
              <w:rPr>
                <w:rFonts w:ascii="Calibri" w:hAnsi="Calibri"/>
                <w:color w:val="000000"/>
                <w:sz w:val="18"/>
                <w:szCs w:val="18"/>
              </w:rPr>
              <w:t>43</w:t>
            </w:r>
            <w:r w:rsidR="00C533B3">
              <w:rPr>
                <w:rFonts w:ascii="Calibri" w:hAnsi="Calibri"/>
                <w:color w:val="000000"/>
                <w:sz w:val="18"/>
                <w:szCs w:val="18"/>
              </w:rPr>
              <w:t>,</w:t>
            </w:r>
            <w:r w:rsidRPr="00D97852">
              <w:rPr>
                <w:rFonts w:ascii="Calibri" w:hAnsi="Calibri"/>
                <w:color w:val="000000"/>
                <w:sz w:val="18"/>
                <w:szCs w:val="18"/>
              </w:rPr>
              <w:t>623</w:t>
            </w:r>
          </w:p>
        </w:tc>
        <w:tc>
          <w:tcPr>
            <w:tcW w:w="524" w:type="pct"/>
            <w:tcBorders>
              <w:top w:val="nil"/>
              <w:left w:val="nil"/>
              <w:right w:val="nil"/>
            </w:tcBorders>
            <w:shd w:val="clear" w:color="auto" w:fill="auto"/>
            <w:vAlign w:val="bottom"/>
          </w:tcPr>
          <w:p w14:paraId="267D737A" w14:textId="39B22C51" w:rsidR="006C3E63" w:rsidRPr="00537128" w:rsidRDefault="006C3E63" w:rsidP="006C3E63">
            <w:pPr>
              <w:spacing w:after="0" w:line="240" w:lineRule="exact"/>
              <w:jc w:val="right"/>
              <w:outlineLvl w:val="0"/>
              <w:rPr>
                <w:rFonts w:ascii="Calibri" w:eastAsia="Calibri" w:hAnsi="Calibri" w:cs="Arial"/>
                <w:bCs/>
                <w:color w:val="000000"/>
                <w:sz w:val="18"/>
                <w:szCs w:val="18"/>
                <w:lang w:val="en-US" w:eastAsia="hr-HR"/>
              </w:rPr>
            </w:pPr>
            <w:r w:rsidRPr="00D97852">
              <w:rPr>
                <w:rFonts w:ascii="Calibri" w:hAnsi="Calibri"/>
                <w:color w:val="000000"/>
                <w:sz w:val="18"/>
                <w:szCs w:val="18"/>
              </w:rPr>
              <w:t>43</w:t>
            </w:r>
            <w:r w:rsidR="00C533B3">
              <w:rPr>
                <w:rFonts w:ascii="Calibri" w:hAnsi="Calibri"/>
                <w:color w:val="000000"/>
                <w:sz w:val="18"/>
                <w:szCs w:val="18"/>
              </w:rPr>
              <w:t>,</w:t>
            </w:r>
            <w:r w:rsidRPr="00D97852">
              <w:rPr>
                <w:rFonts w:ascii="Calibri" w:hAnsi="Calibri"/>
                <w:color w:val="000000"/>
                <w:sz w:val="18"/>
                <w:szCs w:val="18"/>
              </w:rPr>
              <w:t>623</w:t>
            </w:r>
          </w:p>
        </w:tc>
      </w:tr>
      <w:tr w:rsidR="006C3E63" w:rsidRPr="00537128" w14:paraId="119D2575" w14:textId="77777777" w:rsidTr="005818BB">
        <w:trPr>
          <w:trHeight w:hRule="exact" w:val="270"/>
        </w:trPr>
        <w:tc>
          <w:tcPr>
            <w:tcW w:w="1772" w:type="pct"/>
            <w:vAlign w:val="bottom"/>
          </w:tcPr>
          <w:p w14:paraId="37983E48" w14:textId="77777777" w:rsidR="006C3E63" w:rsidRPr="00537128" w:rsidRDefault="006C3E63" w:rsidP="006C3E63">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Foreclosed assets</w:t>
            </w:r>
          </w:p>
        </w:tc>
        <w:tc>
          <w:tcPr>
            <w:tcW w:w="538" w:type="pct"/>
            <w:tcBorders>
              <w:top w:val="nil"/>
              <w:left w:val="nil"/>
              <w:bottom w:val="nil"/>
              <w:right w:val="nil"/>
            </w:tcBorders>
            <w:shd w:val="clear" w:color="auto" w:fill="auto"/>
            <w:vAlign w:val="bottom"/>
          </w:tcPr>
          <w:p w14:paraId="669A335C" w14:textId="65BA793C" w:rsidR="006C3E63" w:rsidRPr="00537128" w:rsidRDefault="006C3E63" w:rsidP="006C3E63">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w:t>
            </w:r>
          </w:p>
        </w:tc>
        <w:tc>
          <w:tcPr>
            <w:tcW w:w="541" w:type="pct"/>
            <w:tcBorders>
              <w:top w:val="nil"/>
              <w:left w:val="nil"/>
              <w:bottom w:val="nil"/>
              <w:right w:val="nil"/>
            </w:tcBorders>
            <w:shd w:val="clear" w:color="auto" w:fill="auto"/>
            <w:vAlign w:val="bottom"/>
          </w:tcPr>
          <w:p w14:paraId="44B13D25" w14:textId="3DC9E01E" w:rsidR="006C3E63" w:rsidRPr="00537128" w:rsidRDefault="006C3E63" w:rsidP="006C3E63">
            <w:pPr>
              <w:spacing w:after="0" w:line="240" w:lineRule="exact"/>
              <w:jc w:val="right"/>
              <w:outlineLvl w:val="0"/>
              <w:rPr>
                <w:rFonts w:ascii="Calibri" w:eastAsia="Calibri" w:hAnsi="Calibri" w:cs="Arial"/>
                <w:bCs/>
                <w:color w:val="000000"/>
                <w:sz w:val="18"/>
                <w:szCs w:val="18"/>
                <w:lang w:val="en-US" w:eastAsia="hr-HR"/>
              </w:rPr>
            </w:pPr>
            <w:r w:rsidRPr="00D97852">
              <w:rPr>
                <w:rFonts w:ascii="Calibri" w:hAnsi="Calibri"/>
                <w:color w:val="000000"/>
                <w:sz w:val="18"/>
                <w:szCs w:val="18"/>
              </w:rPr>
              <w:t>156</w:t>
            </w:r>
          </w:p>
        </w:tc>
        <w:tc>
          <w:tcPr>
            <w:tcW w:w="542" w:type="pct"/>
            <w:tcBorders>
              <w:top w:val="nil"/>
              <w:left w:val="nil"/>
              <w:bottom w:val="nil"/>
              <w:right w:val="nil"/>
            </w:tcBorders>
            <w:shd w:val="clear" w:color="auto" w:fill="auto"/>
            <w:vAlign w:val="bottom"/>
          </w:tcPr>
          <w:p w14:paraId="5E837D6C" w14:textId="04A7B944" w:rsidR="006C3E63" w:rsidRPr="00537128" w:rsidRDefault="006C3E63" w:rsidP="006C3E63">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78</w:t>
            </w:r>
          </w:p>
        </w:tc>
        <w:tc>
          <w:tcPr>
            <w:tcW w:w="541" w:type="pct"/>
            <w:tcBorders>
              <w:top w:val="nil"/>
              <w:left w:val="nil"/>
              <w:bottom w:val="nil"/>
              <w:right w:val="nil"/>
            </w:tcBorders>
            <w:shd w:val="clear" w:color="auto" w:fill="auto"/>
            <w:vAlign w:val="bottom"/>
          </w:tcPr>
          <w:p w14:paraId="756F6EEC" w14:textId="51BAF2A9" w:rsidR="006C3E63" w:rsidRPr="00537128" w:rsidRDefault="006C3E63" w:rsidP="006C3E63">
            <w:pPr>
              <w:spacing w:after="0" w:line="240" w:lineRule="exact"/>
              <w:jc w:val="right"/>
              <w:outlineLvl w:val="0"/>
              <w:rPr>
                <w:rFonts w:ascii="Calibri" w:eastAsia="Calibri" w:hAnsi="Calibri" w:cs="Arial"/>
                <w:bCs/>
                <w:color w:val="000000"/>
                <w:sz w:val="18"/>
                <w:szCs w:val="18"/>
                <w:lang w:val="en-US" w:eastAsia="hr-HR"/>
              </w:rPr>
            </w:pPr>
            <w:r w:rsidRPr="00D97852">
              <w:rPr>
                <w:rFonts w:ascii="Calibri" w:hAnsi="Calibri"/>
                <w:color w:val="000000"/>
                <w:sz w:val="18"/>
                <w:szCs w:val="18"/>
              </w:rPr>
              <w:t>11</w:t>
            </w:r>
            <w:r w:rsidR="00C533B3">
              <w:rPr>
                <w:rFonts w:ascii="Calibri" w:hAnsi="Calibri"/>
                <w:color w:val="000000"/>
                <w:sz w:val="18"/>
                <w:szCs w:val="18"/>
              </w:rPr>
              <w:t>,</w:t>
            </w:r>
            <w:r w:rsidRPr="00D97852">
              <w:rPr>
                <w:rFonts w:ascii="Calibri" w:hAnsi="Calibri"/>
                <w:color w:val="000000"/>
                <w:sz w:val="18"/>
                <w:szCs w:val="18"/>
              </w:rPr>
              <w:t>558</w:t>
            </w:r>
          </w:p>
        </w:tc>
        <w:tc>
          <w:tcPr>
            <w:tcW w:w="542" w:type="pct"/>
            <w:tcBorders>
              <w:top w:val="nil"/>
              <w:left w:val="nil"/>
              <w:bottom w:val="nil"/>
              <w:right w:val="nil"/>
            </w:tcBorders>
            <w:shd w:val="clear" w:color="auto" w:fill="auto"/>
            <w:vAlign w:val="bottom"/>
          </w:tcPr>
          <w:p w14:paraId="4EFF5A01" w14:textId="64D71F25" w:rsidR="006C3E63" w:rsidRPr="00537128" w:rsidRDefault="006C3E63" w:rsidP="006C3E63">
            <w:pPr>
              <w:spacing w:after="0" w:line="240" w:lineRule="exact"/>
              <w:jc w:val="right"/>
              <w:outlineLvl w:val="0"/>
              <w:rPr>
                <w:rFonts w:ascii="Calibri" w:eastAsia="Calibri" w:hAnsi="Calibri" w:cs="Arial"/>
                <w:bCs/>
                <w:color w:val="000000"/>
                <w:sz w:val="18"/>
                <w:szCs w:val="18"/>
                <w:lang w:val="en-US" w:eastAsia="hr-HR"/>
              </w:rPr>
            </w:pPr>
            <w:r w:rsidRPr="00D97852">
              <w:rPr>
                <w:rFonts w:ascii="Calibri" w:hAnsi="Calibri"/>
                <w:color w:val="000000"/>
                <w:sz w:val="18"/>
                <w:szCs w:val="18"/>
              </w:rPr>
              <w:t>13</w:t>
            </w:r>
            <w:r w:rsidR="00C533B3">
              <w:rPr>
                <w:rFonts w:ascii="Calibri" w:hAnsi="Calibri"/>
                <w:color w:val="000000"/>
                <w:sz w:val="18"/>
                <w:szCs w:val="18"/>
              </w:rPr>
              <w:t>,</w:t>
            </w:r>
            <w:r w:rsidRPr="00D97852">
              <w:rPr>
                <w:rFonts w:ascii="Calibri" w:hAnsi="Calibri"/>
                <w:color w:val="000000"/>
                <w:sz w:val="18"/>
                <w:szCs w:val="18"/>
              </w:rPr>
              <w:t>204</w:t>
            </w:r>
          </w:p>
        </w:tc>
        <w:tc>
          <w:tcPr>
            <w:tcW w:w="524" w:type="pct"/>
            <w:tcBorders>
              <w:top w:val="nil"/>
              <w:left w:val="nil"/>
              <w:bottom w:val="nil"/>
              <w:right w:val="nil"/>
            </w:tcBorders>
            <w:shd w:val="clear" w:color="auto" w:fill="auto"/>
            <w:vAlign w:val="bottom"/>
          </w:tcPr>
          <w:p w14:paraId="352CC563" w14:textId="4B9183B3" w:rsidR="006C3E63" w:rsidRPr="00537128" w:rsidRDefault="006C3E63" w:rsidP="006C3E63">
            <w:pPr>
              <w:spacing w:after="0" w:line="240" w:lineRule="exact"/>
              <w:jc w:val="right"/>
              <w:outlineLvl w:val="0"/>
              <w:rPr>
                <w:rFonts w:ascii="Calibri" w:eastAsia="Calibri" w:hAnsi="Calibri" w:cs="Arial"/>
                <w:bCs/>
                <w:color w:val="000000"/>
                <w:sz w:val="18"/>
                <w:szCs w:val="18"/>
                <w:lang w:val="en-US" w:eastAsia="hr-HR"/>
              </w:rPr>
            </w:pPr>
            <w:r w:rsidRPr="00D97852">
              <w:rPr>
                <w:rFonts w:ascii="Calibri" w:hAnsi="Calibri"/>
                <w:color w:val="000000"/>
                <w:sz w:val="18"/>
                <w:szCs w:val="18"/>
              </w:rPr>
              <w:t>24</w:t>
            </w:r>
            <w:r w:rsidR="00C533B3">
              <w:rPr>
                <w:rFonts w:ascii="Calibri" w:hAnsi="Calibri"/>
                <w:color w:val="000000"/>
                <w:sz w:val="18"/>
                <w:szCs w:val="18"/>
              </w:rPr>
              <w:t>,</w:t>
            </w:r>
            <w:r w:rsidRPr="00D97852">
              <w:rPr>
                <w:rFonts w:ascii="Calibri" w:hAnsi="Calibri"/>
                <w:color w:val="000000"/>
                <w:sz w:val="18"/>
                <w:szCs w:val="18"/>
              </w:rPr>
              <w:t>996</w:t>
            </w:r>
          </w:p>
        </w:tc>
      </w:tr>
      <w:tr w:rsidR="006C3E63" w:rsidRPr="00537128" w14:paraId="6DC8B1D8" w14:textId="77777777" w:rsidTr="005818BB">
        <w:trPr>
          <w:trHeight w:hRule="exact" w:val="270"/>
        </w:trPr>
        <w:tc>
          <w:tcPr>
            <w:tcW w:w="1772" w:type="pct"/>
            <w:vAlign w:val="bottom"/>
          </w:tcPr>
          <w:p w14:paraId="54B2BFB6" w14:textId="77777777" w:rsidR="006C3E63" w:rsidRPr="00537128" w:rsidRDefault="006C3E63" w:rsidP="006C3E63">
            <w:pPr>
              <w:tabs>
                <w:tab w:val="right" w:pos="1202"/>
              </w:tabs>
              <w:spacing w:after="0" w:line="220" w:lineRule="exact"/>
              <w:outlineLvl w:val="0"/>
              <w:rPr>
                <w:rFonts w:ascii="Calibri" w:eastAsia="Times New Roman" w:hAnsi="Calibri" w:cs="Arial"/>
                <w:spacing w:val="-2"/>
                <w:sz w:val="18"/>
                <w:szCs w:val="18"/>
                <w:lang w:val="en-US"/>
              </w:rPr>
            </w:pPr>
            <w:bookmarkStart w:id="843" w:name="_Toc4062020"/>
            <w:r w:rsidRPr="00537128">
              <w:rPr>
                <w:rFonts w:ascii="Calibri" w:eastAsia="Times New Roman" w:hAnsi="Calibri" w:cs="Arial"/>
                <w:spacing w:val="-2"/>
                <w:sz w:val="18"/>
                <w:szCs w:val="18"/>
                <w:lang w:val="en-US"/>
              </w:rPr>
              <w:t>Other assets</w:t>
            </w:r>
            <w:bookmarkEnd w:id="843"/>
          </w:p>
        </w:tc>
        <w:tc>
          <w:tcPr>
            <w:tcW w:w="538" w:type="pct"/>
            <w:tcBorders>
              <w:left w:val="nil"/>
              <w:bottom w:val="single" w:sz="8" w:space="0" w:color="auto"/>
              <w:right w:val="nil"/>
            </w:tcBorders>
            <w:shd w:val="clear" w:color="auto" w:fill="auto"/>
            <w:vAlign w:val="bottom"/>
          </w:tcPr>
          <w:p w14:paraId="68718A86" w14:textId="5B671535" w:rsidR="006C3E63" w:rsidRPr="00537128" w:rsidRDefault="006C3E63" w:rsidP="006C3E63">
            <w:pPr>
              <w:spacing w:after="0" w:line="240" w:lineRule="exact"/>
              <w:jc w:val="right"/>
              <w:outlineLvl w:val="0"/>
              <w:rPr>
                <w:rFonts w:ascii="Calibri" w:eastAsia="Calibri" w:hAnsi="Calibri" w:cs="Arial"/>
                <w:bCs/>
                <w:color w:val="000000"/>
                <w:sz w:val="18"/>
                <w:szCs w:val="18"/>
                <w:lang w:val="en-US" w:eastAsia="hr-HR"/>
              </w:rPr>
            </w:pPr>
            <w:r w:rsidRPr="00D97852">
              <w:rPr>
                <w:rFonts w:ascii="Calibri" w:hAnsi="Calibri"/>
                <w:color w:val="000000"/>
                <w:sz w:val="18"/>
                <w:szCs w:val="18"/>
              </w:rPr>
              <w:t>5</w:t>
            </w:r>
            <w:r w:rsidR="00C533B3">
              <w:rPr>
                <w:rFonts w:ascii="Calibri" w:hAnsi="Calibri"/>
                <w:color w:val="000000"/>
                <w:sz w:val="18"/>
                <w:szCs w:val="18"/>
              </w:rPr>
              <w:t>,</w:t>
            </w:r>
            <w:r w:rsidRPr="00D97852">
              <w:rPr>
                <w:rFonts w:ascii="Calibri" w:hAnsi="Calibri"/>
                <w:color w:val="000000"/>
                <w:sz w:val="18"/>
                <w:szCs w:val="18"/>
              </w:rPr>
              <w:t>963</w:t>
            </w:r>
          </w:p>
        </w:tc>
        <w:tc>
          <w:tcPr>
            <w:tcW w:w="541" w:type="pct"/>
            <w:tcBorders>
              <w:left w:val="nil"/>
              <w:bottom w:val="single" w:sz="8" w:space="0" w:color="auto"/>
              <w:right w:val="nil"/>
            </w:tcBorders>
            <w:shd w:val="clear" w:color="auto" w:fill="auto"/>
            <w:vAlign w:val="bottom"/>
          </w:tcPr>
          <w:p w14:paraId="66DC159D" w14:textId="144CE292" w:rsidR="006C3E63" w:rsidRPr="00537128" w:rsidRDefault="006C3E63" w:rsidP="006C3E63">
            <w:pPr>
              <w:spacing w:after="0" w:line="240" w:lineRule="exact"/>
              <w:jc w:val="right"/>
              <w:outlineLvl w:val="0"/>
              <w:rPr>
                <w:rFonts w:ascii="Calibri" w:eastAsia="Calibri" w:hAnsi="Calibri" w:cs="Arial"/>
                <w:bCs/>
                <w:color w:val="000000"/>
                <w:sz w:val="18"/>
                <w:szCs w:val="18"/>
                <w:lang w:val="en-US" w:eastAsia="hr-HR"/>
              </w:rPr>
            </w:pPr>
            <w:r w:rsidRPr="00D97852">
              <w:rPr>
                <w:rFonts w:ascii="Calibri" w:hAnsi="Calibri"/>
                <w:color w:val="000000"/>
                <w:sz w:val="18"/>
                <w:szCs w:val="18"/>
              </w:rPr>
              <w:t>2</w:t>
            </w:r>
            <w:r w:rsidR="00C533B3">
              <w:rPr>
                <w:rFonts w:ascii="Calibri" w:hAnsi="Calibri"/>
                <w:color w:val="000000"/>
                <w:sz w:val="18"/>
                <w:szCs w:val="18"/>
              </w:rPr>
              <w:t>,</w:t>
            </w:r>
            <w:r w:rsidRPr="00D97852">
              <w:rPr>
                <w:rFonts w:ascii="Calibri" w:hAnsi="Calibri"/>
                <w:color w:val="000000"/>
                <w:sz w:val="18"/>
                <w:szCs w:val="18"/>
              </w:rPr>
              <w:t>459</w:t>
            </w:r>
          </w:p>
        </w:tc>
        <w:tc>
          <w:tcPr>
            <w:tcW w:w="542" w:type="pct"/>
            <w:tcBorders>
              <w:left w:val="nil"/>
              <w:bottom w:val="single" w:sz="8" w:space="0" w:color="auto"/>
              <w:right w:val="nil"/>
            </w:tcBorders>
            <w:shd w:val="clear" w:color="auto" w:fill="auto"/>
            <w:vAlign w:val="bottom"/>
          </w:tcPr>
          <w:p w14:paraId="24360732" w14:textId="6B35E03C" w:rsidR="006C3E63" w:rsidRPr="00537128" w:rsidRDefault="006C3E63" w:rsidP="006C3E63">
            <w:pPr>
              <w:spacing w:after="0" w:line="240" w:lineRule="exact"/>
              <w:jc w:val="right"/>
              <w:outlineLvl w:val="0"/>
              <w:rPr>
                <w:rFonts w:ascii="Calibri" w:eastAsia="Calibri" w:hAnsi="Calibri" w:cs="Arial"/>
                <w:bCs/>
                <w:color w:val="000000"/>
                <w:sz w:val="18"/>
                <w:szCs w:val="18"/>
                <w:lang w:val="en-US" w:eastAsia="hr-HR"/>
              </w:rPr>
            </w:pPr>
            <w:r w:rsidRPr="00D97852">
              <w:rPr>
                <w:rFonts w:ascii="Calibri" w:hAnsi="Calibri"/>
                <w:color w:val="000000"/>
                <w:sz w:val="18"/>
                <w:szCs w:val="18"/>
              </w:rPr>
              <w:t>23</w:t>
            </w:r>
            <w:r w:rsidR="00C533B3">
              <w:rPr>
                <w:rFonts w:ascii="Calibri" w:hAnsi="Calibri"/>
                <w:color w:val="000000"/>
                <w:sz w:val="18"/>
                <w:szCs w:val="18"/>
              </w:rPr>
              <w:t>,</w:t>
            </w:r>
            <w:r w:rsidRPr="00D97852">
              <w:rPr>
                <w:rFonts w:ascii="Calibri" w:hAnsi="Calibri"/>
                <w:color w:val="000000"/>
                <w:sz w:val="18"/>
                <w:szCs w:val="18"/>
              </w:rPr>
              <w:t>902</w:t>
            </w:r>
          </w:p>
        </w:tc>
        <w:tc>
          <w:tcPr>
            <w:tcW w:w="541" w:type="pct"/>
            <w:tcBorders>
              <w:left w:val="nil"/>
              <w:bottom w:val="single" w:sz="8" w:space="0" w:color="auto"/>
              <w:right w:val="nil"/>
            </w:tcBorders>
            <w:shd w:val="clear" w:color="auto" w:fill="auto"/>
            <w:vAlign w:val="bottom"/>
          </w:tcPr>
          <w:p w14:paraId="47BED6DD" w14:textId="44D90C4F" w:rsidR="006C3E63" w:rsidRPr="00537128" w:rsidRDefault="006C3E63" w:rsidP="006C3E63">
            <w:pPr>
              <w:spacing w:after="0" w:line="240" w:lineRule="exact"/>
              <w:jc w:val="right"/>
              <w:outlineLvl w:val="0"/>
              <w:rPr>
                <w:rFonts w:ascii="Calibri" w:eastAsia="Calibri" w:hAnsi="Calibri" w:cs="Arial"/>
                <w:bCs/>
                <w:color w:val="000000"/>
                <w:sz w:val="18"/>
                <w:szCs w:val="18"/>
                <w:lang w:val="en-US" w:eastAsia="hr-HR"/>
              </w:rPr>
            </w:pPr>
            <w:r w:rsidRPr="00D97852">
              <w:rPr>
                <w:rFonts w:ascii="Calibri" w:hAnsi="Calibri"/>
                <w:color w:val="000000"/>
                <w:sz w:val="18"/>
                <w:szCs w:val="18"/>
              </w:rPr>
              <w:t>4</w:t>
            </w:r>
            <w:r w:rsidR="00C533B3">
              <w:rPr>
                <w:rFonts w:ascii="Calibri" w:hAnsi="Calibri"/>
                <w:color w:val="000000"/>
                <w:sz w:val="18"/>
                <w:szCs w:val="18"/>
              </w:rPr>
              <w:t>,</w:t>
            </w:r>
            <w:r w:rsidRPr="00D97852">
              <w:rPr>
                <w:rFonts w:ascii="Calibri" w:hAnsi="Calibri"/>
                <w:color w:val="000000"/>
                <w:sz w:val="18"/>
                <w:szCs w:val="18"/>
              </w:rPr>
              <w:t>143</w:t>
            </w:r>
          </w:p>
        </w:tc>
        <w:tc>
          <w:tcPr>
            <w:tcW w:w="542" w:type="pct"/>
            <w:tcBorders>
              <w:left w:val="nil"/>
              <w:bottom w:val="single" w:sz="8" w:space="0" w:color="auto"/>
              <w:right w:val="nil"/>
            </w:tcBorders>
            <w:shd w:val="clear" w:color="auto" w:fill="auto"/>
            <w:vAlign w:val="bottom"/>
          </w:tcPr>
          <w:p w14:paraId="7F45C3FB" w14:textId="5BD38F13" w:rsidR="006C3E63" w:rsidRPr="00537128" w:rsidRDefault="006C3E63" w:rsidP="006C3E63">
            <w:pPr>
              <w:spacing w:after="0" w:line="240" w:lineRule="exact"/>
              <w:jc w:val="right"/>
              <w:outlineLvl w:val="0"/>
              <w:rPr>
                <w:rFonts w:ascii="Calibri" w:eastAsia="Calibri" w:hAnsi="Calibri" w:cs="Arial"/>
                <w:bCs/>
                <w:color w:val="000000"/>
                <w:sz w:val="18"/>
                <w:szCs w:val="18"/>
                <w:lang w:val="en-US" w:eastAsia="hr-HR"/>
              </w:rPr>
            </w:pPr>
            <w:r w:rsidRPr="00D97852">
              <w:rPr>
                <w:rFonts w:ascii="Calibri" w:hAnsi="Calibri"/>
                <w:color w:val="000000"/>
                <w:sz w:val="18"/>
                <w:szCs w:val="18"/>
              </w:rPr>
              <w:t>6</w:t>
            </w:r>
            <w:r w:rsidR="00C533B3">
              <w:rPr>
                <w:rFonts w:ascii="Calibri" w:hAnsi="Calibri"/>
                <w:color w:val="000000"/>
                <w:sz w:val="18"/>
                <w:szCs w:val="18"/>
              </w:rPr>
              <w:t>,</w:t>
            </w:r>
            <w:r w:rsidRPr="00D97852">
              <w:rPr>
                <w:rFonts w:ascii="Calibri" w:hAnsi="Calibri"/>
                <w:color w:val="000000"/>
                <w:sz w:val="18"/>
                <w:szCs w:val="18"/>
              </w:rPr>
              <w:t>532</w:t>
            </w:r>
          </w:p>
        </w:tc>
        <w:tc>
          <w:tcPr>
            <w:tcW w:w="524" w:type="pct"/>
            <w:tcBorders>
              <w:left w:val="nil"/>
              <w:bottom w:val="nil"/>
              <w:right w:val="nil"/>
            </w:tcBorders>
            <w:shd w:val="clear" w:color="auto" w:fill="auto"/>
            <w:vAlign w:val="bottom"/>
          </w:tcPr>
          <w:p w14:paraId="327C835F" w14:textId="3EEE9C15" w:rsidR="006C3E63" w:rsidRPr="00537128" w:rsidRDefault="006C3E63" w:rsidP="006C3E63">
            <w:pPr>
              <w:spacing w:after="0" w:line="240" w:lineRule="exact"/>
              <w:jc w:val="right"/>
              <w:outlineLvl w:val="0"/>
              <w:rPr>
                <w:rFonts w:ascii="Calibri" w:eastAsia="Calibri" w:hAnsi="Calibri" w:cs="Arial"/>
                <w:bCs/>
                <w:color w:val="000000"/>
                <w:sz w:val="18"/>
                <w:szCs w:val="18"/>
                <w:lang w:val="en-US" w:eastAsia="hr-HR"/>
              </w:rPr>
            </w:pPr>
            <w:r w:rsidRPr="00D97852">
              <w:rPr>
                <w:rFonts w:ascii="Calibri" w:hAnsi="Calibri"/>
                <w:color w:val="000000"/>
                <w:sz w:val="18"/>
                <w:szCs w:val="18"/>
              </w:rPr>
              <w:t>42</w:t>
            </w:r>
            <w:r w:rsidR="00C533B3">
              <w:rPr>
                <w:rFonts w:ascii="Calibri" w:hAnsi="Calibri"/>
                <w:color w:val="000000"/>
                <w:sz w:val="18"/>
                <w:szCs w:val="18"/>
              </w:rPr>
              <w:t>,</w:t>
            </w:r>
            <w:r w:rsidRPr="00D97852">
              <w:rPr>
                <w:rFonts w:ascii="Calibri" w:hAnsi="Calibri"/>
                <w:color w:val="000000"/>
                <w:sz w:val="18"/>
                <w:szCs w:val="18"/>
              </w:rPr>
              <w:t>999</w:t>
            </w:r>
          </w:p>
        </w:tc>
      </w:tr>
      <w:tr w:rsidR="006C3E63" w:rsidRPr="00537128" w14:paraId="21BD1635" w14:textId="77777777" w:rsidTr="005818BB">
        <w:trPr>
          <w:trHeight w:hRule="exact" w:val="270"/>
        </w:trPr>
        <w:tc>
          <w:tcPr>
            <w:tcW w:w="1772" w:type="pct"/>
            <w:vAlign w:val="bottom"/>
          </w:tcPr>
          <w:p w14:paraId="475B9F9C" w14:textId="77777777" w:rsidR="006C3E63" w:rsidRPr="00537128" w:rsidRDefault="006C3E63" w:rsidP="006C3E63">
            <w:pPr>
              <w:tabs>
                <w:tab w:val="right" w:pos="1202"/>
              </w:tabs>
              <w:spacing w:after="0" w:line="200" w:lineRule="exact"/>
              <w:outlineLvl w:val="0"/>
              <w:rPr>
                <w:rFonts w:ascii="Calibri" w:eastAsia="Times New Roman" w:hAnsi="Calibri" w:cs="Arial"/>
                <w:b/>
                <w:bCs/>
                <w:sz w:val="18"/>
                <w:szCs w:val="18"/>
                <w:lang w:val="en-US"/>
              </w:rPr>
            </w:pPr>
            <w:bookmarkStart w:id="844" w:name="_Toc4062027"/>
            <w:r w:rsidRPr="00537128">
              <w:rPr>
                <w:rFonts w:ascii="Calibri" w:eastAsia="Times New Roman" w:hAnsi="Calibri" w:cs="Arial"/>
                <w:b/>
                <w:bCs/>
                <w:sz w:val="18"/>
                <w:szCs w:val="18"/>
                <w:lang w:val="en-US"/>
              </w:rPr>
              <w:t>Total assets</w:t>
            </w:r>
            <w:bookmarkEnd w:id="844"/>
            <w:r w:rsidRPr="00537128">
              <w:rPr>
                <w:rFonts w:ascii="Calibri" w:eastAsia="Times New Roman" w:hAnsi="Calibri" w:cs="Arial"/>
                <w:b/>
                <w:bCs/>
                <w:sz w:val="18"/>
                <w:szCs w:val="18"/>
                <w:lang w:val="en-US"/>
              </w:rPr>
              <w:t xml:space="preserve"> </w:t>
            </w:r>
          </w:p>
        </w:tc>
        <w:tc>
          <w:tcPr>
            <w:tcW w:w="538" w:type="pct"/>
            <w:tcBorders>
              <w:top w:val="single" w:sz="8" w:space="0" w:color="auto"/>
              <w:left w:val="nil"/>
              <w:bottom w:val="single" w:sz="12" w:space="0" w:color="auto"/>
              <w:right w:val="nil"/>
            </w:tcBorders>
            <w:shd w:val="clear" w:color="auto" w:fill="auto"/>
            <w:vAlign w:val="bottom"/>
          </w:tcPr>
          <w:p w14:paraId="2106EC21" w14:textId="49264BE9" w:rsidR="006C3E63" w:rsidRPr="00537128" w:rsidRDefault="006C3E63" w:rsidP="006C3E63">
            <w:pPr>
              <w:spacing w:after="0" w:line="240" w:lineRule="exact"/>
              <w:jc w:val="right"/>
              <w:outlineLvl w:val="0"/>
              <w:rPr>
                <w:rFonts w:ascii="Calibri" w:eastAsia="Calibri" w:hAnsi="Calibri" w:cs="Arial"/>
                <w:b/>
                <w:bCs/>
                <w:color w:val="000000"/>
                <w:sz w:val="18"/>
                <w:szCs w:val="18"/>
                <w:lang w:val="en-US" w:eastAsia="hr-HR"/>
              </w:rPr>
            </w:pPr>
            <w:r w:rsidRPr="00D97852">
              <w:rPr>
                <w:rFonts w:ascii="Calibri" w:hAnsi="Calibri"/>
                <w:b/>
                <w:bCs/>
                <w:color w:val="000000"/>
                <w:sz w:val="18"/>
                <w:szCs w:val="18"/>
              </w:rPr>
              <w:t>6</w:t>
            </w:r>
            <w:r w:rsidR="00C533B3">
              <w:rPr>
                <w:rFonts w:ascii="Calibri" w:hAnsi="Calibri"/>
                <w:b/>
                <w:bCs/>
                <w:color w:val="000000"/>
                <w:sz w:val="18"/>
                <w:szCs w:val="18"/>
              </w:rPr>
              <w:t>,</w:t>
            </w:r>
            <w:r w:rsidRPr="00D97852">
              <w:rPr>
                <w:rFonts w:ascii="Calibri" w:hAnsi="Calibri"/>
                <w:b/>
                <w:bCs/>
                <w:color w:val="000000"/>
                <w:sz w:val="18"/>
                <w:szCs w:val="18"/>
              </w:rPr>
              <w:t>4</w:t>
            </w:r>
            <w:r w:rsidR="00D64002">
              <w:rPr>
                <w:rFonts w:ascii="Calibri" w:hAnsi="Calibri"/>
                <w:b/>
                <w:bCs/>
                <w:color w:val="000000"/>
                <w:sz w:val="18"/>
                <w:szCs w:val="18"/>
              </w:rPr>
              <w:t>80</w:t>
            </w:r>
            <w:r w:rsidR="00C533B3">
              <w:rPr>
                <w:rFonts w:ascii="Calibri" w:hAnsi="Calibri"/>
                <w:b/>
                <w:bCs/>
                <w:color w:val="000000"/>
                <w:sz w:val="18"/>
                <w:szCs w:val="18"/>
              </w:rPr>
              <w:t>,</w:t>
            </w:r>
            <w:r w:rsidR="00D64002">
              <w:rPr>
                <w:rFonts w:ascii="Calibri" w:hAnsi="Calibri"/>
                <w:b/>
                <w:bCs/>
                <w:color w:val="000000"/>
                <w:sz w:val="18"/>
                <w:szCs w:val="18"/>
              </w:rPr>
              <w:t>946</w:t>
            </w:r>
          </w:p>
        </w:tc>
        <w:tc>
          <w:tcPr>
            <w:tcW w:w="541" w:type="pct"/>
            <w:tcBorders>
              <w:top w:val="single" w:sz="8" w:space="0" w:color="auto"/>
              <w:left w:val="nil"/>
              <w:bottom w:val="single" w:sz="12" w:space="0" w:color="auto"/>
              <w:right w:val="nil"/>
            </w:tcBorders>
            <w:shd w:val="clear" w:color="auto" w:fill="auto"/>
            <w:vAlign w:val="bottom"/>
          </w:tcPr>
          <w:p w14:paraId="219D7A44" w14:textId="5D65D7B4" w:rsidR="006C3E63" w:rsidRPr="00537128" w:rsidRDefault="006C3E63" w:rsidP="006C3E63">
            <w:pPr>
              <w:spacing w:after="0" w:line="240" w:lineRule="exact"/>
              <w:jc w:val="right"/>
              <w:outlineLvl w:val="0"/>
              <w:rPr>
                <w:rFonts w:ascii="Calibri" w:eastAsia="Calibri" w:hAnsi="Calibri" w:cs="Arial"/>
                <w:b/>
                <w:bCs/>
                <w:color w:val="000000"/>
                <w:sz w:val="18"/>
                <w:szCs w:val="18"/>
                <w:lang w:val="en-US" w:eastAsia="hr-HR"/>
              </w:rPr>
            </w:pPr>
            <w:r w:rsidRPr="00D97852">
              <w:rPr>
                <w:rFonts w:ascii="Calibri" w:hAnsi="Calibri"/>
                <w:b/>
                <w:bCs/>
                <w:color w:val="000000"/>
                <w:sz w:val="18"/>
                <w:szCs w:val="18"/>
              </w:rPr>
              <w:t>7</w:t>
            </w:r>
            <w:r w:rsidR="00D64002">
              <w:rPr>
                <w:rFonts w:ascii="Calibri" w:hAnsi="Calibri"/>
                <w:b/>
                <w:bCs/>
                <w:color w:val="000000"/>
                <w:sz w:val="18"/>
                <w:szCs w:val="18"/>
              </w:rPr>
              <w:t>6</w:t>
            </w:r>
            <w:r w:rsidRPr="00D97852">
              <w:rPr>
                <w:rFonts w:ascii="Calibri" w:hAnsi="Calibri"/>
                <w:b/>
                <w:bCs/>
                <w:color w:val="000000"/>
                <w:sz w:val="18"/>
                <w:szCs w:val="18"/>
              </w:rPr>
              <w:t>2</w:t>
            </w:r>
            <w:r w:rsidR="00C533B3">
              <w:rPr>
                <w:rFonts w:ascii="Calibri" w:hAnsi="Calibri"/>
                <w:b/>
                <w:bCs/>
                <w:color w:val="000000"/>
                <w:sz w:val="18"/>
                <w:szCs w:val="18"/>
              </w:rPr>
              <w:t>,</w:t>
            </w:r>
            <w:r w:rsidR="00D64002">
              <w:rPr>
                <w:rFonts w:ascii="Calibri" w:hAnsi="Calibri"/>
                <w:b/>
                <w:bCs/>
                <w:color w:val="000000"/>
                <w:sz w:val="18"/>
                <w:szCs w:val="18"/>
              </w:rPr>
              <w:t>495</w:t>
            </w:r>
          </w:p>
        </w:tc>
        <w:tc>
          <w:tcPr>
            <w:tcW w:w="542" w:type="pct"/>
            <w:tcBorders>
              <w:top w:val="single" w:sz="8" w:space="0" w:color="auto"/>
              <w:left w:val="nil"/>
              <w:bottom w:val="single" w:sz="12" w:space="0" w:color="auto"/>
              <w:right w:val="nil"/>
            </w:tcBorders>
            <w:shd w:val="clear" w:color="auto" w:fill="auto"/>
            <w:vAlign w:val="bottom"/>
          </w:tcPr>
          <w:p w14:paraId="31685919" w14:textId="717CFC98" w:rsidR="006C3E63" w:rsidRPr="00537128" w:rsidRDefault="006C3E63" w:rsidP="006C3E63">
            <w:pPr>
              <w:spacing w:after="0" w:line="240" w:lineRule="exact"/>
              <w:jc w:val="right"/>
              <w:outlineLvl w:val="0"/>
              <w:rPr>
                <w:rFonts w:ascii="Calibri" w:eastAsia="Calibri" w:hAnsi="Calibri" w:cs="Arial"/>
                <w:b/>
                <w:bCs/>
                <w:color w:val="000000"/>
                <w:sz w:val="18"/>
                <w:szCs w:val="18"/>
                <w:lang w:val="en-US" w:eastAsia="hr-HR"/>
              </w:rPr>
            </w:pPr>
            <w:r w:rsidRPr="00D97852">
              <w:rPr>
                <w:rFonts w:ascii="Calibri" w:hAnsi="Calibri"/>
                <w:b/>
                <w:bCs/>
                <w:color w:val="000000"/>
                <w:sz w:val="18"/>
                <w:szCs w:val="18"/>
              </w:rPr>
              <w:t>1</w:t>
            </w:r>
            <w:r w:rsidR="00C533B3">
              <w:rPr>
                <w:rFonts w:ascii="Calibri" w:hAnsi="Calibri"/>
                <w:b/>
                <w:bCs/>
                <w:color w:val="000000"/>
                <w:sz w:val="18"/>
                <w:szCs w:val="18"/>
              </w:rPr>
              <w:t>,</w:t>
            </w:r>
            <w:r w:rsidRPr="00D97852">
              <w:rPr>
                <w:rFonts w:ascii="Calibri" w:hAnsi="Calibri"/>
                <w:b/>
                <w:bCs/>
                <w:color w:val="000000"/>
                <w:sz w:val="18"/>
                <w:szCs w:val="18"/>
              </w:rPr>
              <w:t>988</w:t>
            </w:r>
            <w:r w:rsidR="00C533B3">
              <w:rPr>
                <w:rFonts w:ascii="Calibri" w:hAnsi="Calibri"/>
                <w:b/>
                <w:bCs/>
                <w:color w:val="000000"/>
                <w:sz w:val="18"/>
                <w:szCs w:val="18"/>
              </w:rPr>
              <w:t>,</w:t>
            </w:r>
            <w:r w:rsidRPr="00D97852">
              <w:rPr>
                <w:rFonts w:ascii="Calibri" w:hAnsi="Calibri"/>
                <w:b/>
                <w:bCs/>
                <w:color w:val="000000"/>
                <w:sz w:val="18"/>
                <w:szCs w:val="18"/>
              </w:rPr>
              <w:t>203</w:t>
            </w:r>
          </w:p>
        </w:tc>
        <w:tc>
          <w:tcPr>
            <w:tcW w:w="541" w:type="pct"/>
            <w:tcBorders>
              <w:top w:val="single" w:sz="8" w:space="0" w:color="auto"/>
              <w:left w:val="nil"/>
              <w:bottom w:val="single" w:sz="12" w:space="0" w:color="auto"/>
              <w:right w:val="nil"/>
            </w:tcBorders>
            <w:shd w:val="clear" w:color="auto" w:fill="auto"/>
            <w:vAlign w:val="bottom"/>
          </w:tcPr>
          <w:p w14:paraId="0B2ED81F" w14:textId="4B550458" w:rsidR="006C3E63" w:rsidRPr="00537128" w:rsidRDefault="006C3E63" w:rsidP="006C3E63">
            <w:pPr>
              <w:spacing w:after="0" w:line="240" w:lineRule="exact"/>
              <w:jc w:val="right"/>
              <w:outlineLvl w:val="0"/>
              <w:rPr>
                <w:rFonts w:ascii="Calibri" w:eastAsia="Calibri" w:hAnsi="Calibri" w:cs="Arial"/>
                <w:b/>
                <w:bCs/>
                <w:color w:val="000000"/>
                <w:sz w:val="18"/>
                <w:szCs w:val="18"/>
                <w:lang w:val="en-US" w:eastAsia="hr-HR"/>
              </w:rPr>
            </w:pPr>
            <w:r w:rsidRPr="00D97852">
              <w:rPr>
                <w:rFonts w:ascii="Calibri" w:hAnsi="Calibri"/>
                <w:b/>
                <w:bCs/>
                <w:color w:val="000000"/>
                <w:sz w:val="18"/>
                <w:szCs w:val="18"/>
              </w:rPr>
              <w:t>5</w:t>
            </w:r>
            <w:r w:rsidR="00C533B3">
              <w:rPr>
                <w:rFonts w:ascii="Calibri" w:hAnsi="Calibri"/>
                <w:b/>
                <w:bCs/>
                <w:color w:val="000000"/>
                <w:sz w:val="18"/>
                <w:szCs w:val="18"/>
              </w:rPr>
              <w:t>,</w:t>
            </w:r>
            <w:r w:rsidRPr="00D97852">
              <w:rPr>
                <w:rFonts w:ascii="Calibri" w:hAnsi="Calibri"/>
                <w:b/>
                <w:bCs/>
                <w:color w:val="000000"/>
                <w:sz w:val="18"/>
                <w:szCs w:val="18"/>
              </w:rPr>
              <w:t>179</w:t>
            </w:r>
            <w:r w:rsidR="00C533B3">
              <w:rPr>
                <w:rFonts w:ascii="Calibri" w:hAnsi="Calibri"/>
                <w:b/>
                <w:bCs/>
                <w:color w:val="000000"/>
                <w:sz w:val="18"/>
                <w:szCs w:val="18"/>
              </w:rPr>
              <w:t>,</w:t>
            </w:r>
            <w:r w:rsidRPr="00D97852">
              <w:rPr>
                <w:rFonts w:ascii="Calibri" w:hAnsi="Calibri"/>
                <w:b/>
                <w:bCs/>
                <w:color w:val="000000"/>
                <w:sz w:val="18"/>
                <w:szCs w:val="18"/>
              </w:rPr>
              <w:t>245</w:t>
            </w:r>
          </w:p>
        </w:tc>
        <w:tc>
          <w:tcPr>
            <w:tcW w:w="542" w:type="pct"/>
            <w:tcBorders>
              <w:top w:val="single" w:sz="8" w:space="0" w:color="auto"/>
              <w:left w:val="nil"/>
              <w:bottom w:val="single" w:sz="12" w:space="0" w:color="auto"/>
              <w:right w:val="nil"/>
            </w:tcBorders>
            <w:shd w:val="clear" w:color="auto" w:fill="auto"/>
            <w:vAlign w:val="bottom"/>
          </w:tcPr>
          <w:p w14:paraId="1F25CE0B" w14:textId="18F7AF1E" w:rsidR="006C3E63" w:rsidRPr="00537128" w:rsidRDefault="006C3E63" w:rsidP="006C3E63">
            <w:pPr>
              <w:spacing w:after="0" w:line="240" w:lineRule="exact"/>
              <w:jc w:val="right"/>
              <w:outlineLvl w:val="0"/>
              <w:rPr>
                <w:rFonts w:ascii="Calibri" w:eastAsia="Calibri" w:hAnsi="Calibri" w:cs="Arial"/>
                <w:b/>
                <w:bCs/>
                <w:color w:val="000000"/>
                <w:sz w:val="18"/>
                <w:szCs w:val="18"/>
                <w:lang w:val="en-US" w:eastAsia="hr-HR"/>
              </w:rPr>
            </w:pPr>
            <w:r w:rsidRPr="00D97852">
              <w:rPr>
                <w:rFonts w:ascii="Calibri" w:hAnsi="Calibri"/>
                <w:b/>
                <w:bCs/>
                <w:color w:val="000000"/>
                <w:sz w:val="18"/>
                <w:szCs w:val="18"/>
              </w:rPr>
              <w:t>13</w:t>
            </w:r>
            <w:r w:rsidR="00C533B3">
              <w:rPr>
                <w:rFonts w:ascii="Calibri" w:hAnsi="Calibri"/>
                <w:b/>
                <w:bCs/>
                <w:color w:val="000000"/>
                <w:sz w:val="18"/>
                <w:szCs w:val="18"/>
              </w:rPr>
              <w:t>,</w:t>
            </w:r>
            <w:r w:rsidRPr="00D97852">
              <w:rPr>
                <w:rFonts w:ascii="Calibri" w:hAnsi="Calibri"/>
                <w:b/>
                <w:bCs/>
                <w:color w:val="000000"/>
                <w:sz w:val="18"/>
                <w:szCs w:val="18"/>
              </w:rPr>
              <w:t>340</w:t>
            </w:r>
            <w:r w:rsidR="00C533B3">
              <w:rPr>
                <w:rFonts w:ascii="Calibri" w:hAnsi="Calibri"/>
                <w:b/>
                <w:bCs/>
                <w:color w:val="000000"/>
                <w:sz w:val="18"/>
                <w:szCs w:val="18"/>
              </w:rPr>
              <w:t>,</w:t>
            </w:r>
            <w:r w:rsidRPr="00D97852">
              <w:rPr>
                <w:rFonts w:ascii="Calibri" w:hAnsi="Calibri"/>
                <w:b/>
                <w:bCs/>
                <w:color w:val="000000"/>
                <w:sz w:val="18"/>
                <w:szCs w:val="18"/>
              </w:rPr>
              <w:t>452</w:t>
            </w:r>
          </w:p>
        </w:tc>
        <w:tc>
          <w:tcPr>
            <w:tcW w:w="524" w:type="pct"/>
            <w:tcBorders>
              <w:top w:val="single" w:sz="8" w:space="0" w:color="auto"/>
              <w:left w:val="nil"/>
              <w:bottom w:val="single" w:sz="12" w:space="0" w:color="auto"/>
              <w:right w:val="nil"/>
            </w:tcBorders>
            <w:shd w:val="clear" w:color="auto" w:fill="auto"/>
            <w:vAlign w:val="bottom"/>
          </w:tcPr>
          <w:p w14:paraId="085E38FE" w14:textId="629380DF" w:rsidR="006C3E63" w:rsidRPr="00537128" w:rsidRDefault="006C3E63" w:rsidP="006C3E63">
            <w:pPr>
              <w:spacing w:after="0" w:line="240" w:lineRule="exact"/>
              <w:jc w:val="right"/>
              <w:outlineLvl w:val="0"/>
              <w:rPr>
                <w:rFonts w:ascii="Calibri" w:eastAsia="Calibri" w:hAnsi="Calibri" w:cs="Arial"/>
                <w:b/>
                <w:bCs/>
                <w:color w:val="000000"/>
                <w:sz w:val="18"/>
                <w:szCs w:val="18"/>
                <w:lang w:val="en-US" w:eastAsia="hr-HR"/>
              </w:rPr>
            </w:pPr>
            <w:r w:rsidRPr="00D97852">
              <w:rPr>
                <w:rFonts w:ascii="Calibri" w:hAnsi="Calibri"/>
                <w:b/>
                <w:bCs/>
                <w:color w:val="000000"/>
                <w:sz w:val="18"/>
                <w:szCs w:val="18"/>
              </w:rPr>
              <w:t>27</w:t>
            </w:r>
            <w:r w:rsidR="00C533B3">
              <w:rPr>
                <w:rFonts w:ascii="Calibri" w:hAnsi="Calibri"/>
                <w:b/>
                <w:bCs/>
                <w:color w:val="000000"/>
                <w:sz w:val="18"/>
                <w:szCs w:val="18"/>
              </w:rPr>
              <w:t>,</w:t>
            </w:r>
            <w:r w:rsidRPr="00D97852">
              <w:rPr>
                <w:rFonts w:ascii="Calibri" w:hAnsi="Calibri"/>
                <w:b/>
                <w:bCs/>
                <w:color w:val="000000"/>
                <w:sz w:val="18"/>
                <w:szCs w:val="18"/>
              </w:rPr>
              <w:t>751</w:t>
            </w:r>
            <w:r w:rsidR="00C533B3">
              <w:rPr>
                <w:rFonts w:ascii="Calibri" w:hAnsi="Calibri"/>
                <w:b/>
                <w:bCs/>
                <w:color w:val="000000"/>
                <w:sz w:val="18"/>
                <w:szCs w:val="18"/>
              </w:rPr>
              <w:t>,</w:t>
            </w:r>
            <w:r w:rsidRPr="00D97852">
              <w:rPr>
                <w:rFonts w:ascii="Calibri" w:hAnsi="Calibri"/>
                <w:b/>
                <w:bCs/>
                <w:color w:val="000000"/>
                <w:sz w:val="18"/>
                <w:szCs w:val="18"/>
              </w:rPr>
              <w:t>341</w:t>
            </w:r>
          </w:p>
        </w:tc>
      </w:tr>
      <w:tr w:rsidR="006C3E63" w:rsidRPr="00537128" w14:paraId="58AF0E1D" w14:textId="77777777" w:rsidTr="005818BB">
        <w:trPr>
          <w:trHeight w:hRule="exact" w:val="270"/>
        </w:trPr>
        <w:tc>
          <w:tcPr>
            <w:tcW w:w="1772" w:type="pct"/>
            <w:vAlign w:val="bottom"/>
          </w:tcPr>
          <w:p w14:paraId="6E09AFFD" w14:textId="77777777" w:rsidR="006C3E63" w:rsidRPr="00537128" w:rsidRDefault="006C3E63" w:rsidP="006C3E63">
            <w:pPr>
              <w:tabs>
                <w:tab w:val="right" w:pos="1202"/>
              </w:tabs>
              <w:spacing w:after="0" w:line="200" w:lineRule="exact"/>
              <w:outlineLvl w:val="0"/>
              <w:rPr>
                <w:rFonts w:ascii="Calibri" w:eastAsia="Times New Roman" w:hAnsi="Calibri" w:cs="Arial"/>
                <w:b/>
                <w:bCs/>
                <w:sz w:val="18"/>
                <w:szCs w:val="18"/>
                <w:lang w:val="en-US"/>
              </w:rPr>
            </w:pPr>
          </w:p>
        </w:tc>
        <w:tc>
          <w:tcPr>
            <w:tcW w:w="538" w:type="pct"/>
            <w:tcBorders>
              <w:top w:val="single" w:sz="12" w:space="0" w:color="auto"/>
            </w:tcBorders>
            <w:vAlign w:val="bottom"/>
          </w:tcPr>
          <w:p w14:paraId="04B17AB8" w14:textId="77777777" w:rsidR="006C3E63" w:rsidRPr="00537128" w:rsidRDefault="006C3E63" w:rsidP="006C3E63">
            <w:pPr>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single" w:sz="12" w:space="0" w:color="auto"/>
            </w:tcBorders>
            <w:vAlign w:val="bottom"/>
          </w:tcPr>
          <w:p w14:paraId="27BD976C" w14:textId="77777777" w:rsidR="006C3E63" w:rsidRPr="00537128" w:rsidRDefault="006C3E63" w:rsidP="006C3E63">
            <w:pPr>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single" w:sz="12" w:space="0" w:color="auto"/>
            </w:tcBorders>
            <w:vAlign w:val="bottom"/>
          </w:tcPr>
          <w:p w14:paraId="2F66D504" w14:textId="77777777" w:rsidR="006C3E63" w:rsidRPr="00537128" w:rsidRDefault="006C3E63" w:rsidP="006C3E63">
            <w:pPr>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single" w:sz="12" w:space="0" w:color="auto"/>
            </w:tcBorders>
            <w:vAlign w:val="bottom"/>
          </w:tcPr>
          <w:p w14:paraId="1706B892" w14:textId="77777777" w:rsidR="006C3E63" w:rsidRPr="00537128" w:rsidRDefault="006C3E63" w:rsidP="006C3E63">
            <w:pPr>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single" w:sz="12" w:space="0" w:color="auto"/>
            </w:tcBorders>
            <w:vAlign w:val="bottom"/>
          </w:tcPr>
          <w:p w14:paraId="77E382C4" w14:textId="77777777" w:rsidR="006C3E63" w:rsidRPr="00537128" w:rsidRDefault="006C3E63" w:rsidP="006C3E63">
            <w:pPr>
              <w:spacing w:after="0" w:line="240" w:lineRule="exact"/>
              <w:jc w:val="right"/>
              <w:outlineLvl w:val="0"/>
              <w:rPr>
                <w:rFonts w:ascii="Calibri" w:eastAsia="Times New Roman" w:hAnsi="Calibri" w:cs="Calibri"/>
                <w:b/>
                <w:bCs/>
                <w:color w:val="000000"/>
                <w:sz w:val="18"/>
                <w:szCs w:val="18"/>
                <w:lang w:val="en-US"/>
              </w:rPr>
            </w:pPr>
          </w:p>
        </w:tc>
        <w:tc>
          <w:tcPr>
            <w:tcW w:w="524" w:type="pct"/>
            <w:tcBorders>
              <w:top w:val="single" w:sz="12" w:space="0" w:color="auto"/>
            </w:tcBorders>
            <w:vAlign w:val="bottom"/>
          </w:tcPr>
          <w:p w14:paraId="6E1C8F36" w14:textId="77777777" w:rsidR="006C3E63" w:rsidRPr="00537128" w:rsidRDefault="006C3E63" w:rsidP="006C3E63">
            <w:pPr>
              <w:spacing w:after="0" w:line="240" w:lineRule="exact"/>
              <w:jc w:val="right"/>
              <w:outlineLvl w:val="0"/>
              <w:rPr>
                <w:rFonts w:ascii="Calibri" w:eastAsia="Times New Roman" w:hAnsi="Calibri" w:cs="Calibri"/>
                <w:b/>
                <w:bCs/>
                <w:color w:val="000000"/>
                <w:sz w:val="18"/>
                <w:szCs w:val="18"/>
                <w:lang w:val="en-US"/>
              </w:rPr>
            </w:pPr>
          </w:p>
        </w:tc>
      </w:tr>
      <w:tr w:rsidR="006C3E63" w:rsidRPr="00537128" w14:paraId="114AEE9A" w14:textId="77777777" w:rsidTr="005818BB">
        <w:trPr>
          <w:trHeight w:hRule="exact" w:val="270"/>
        </w:trPr>
        <w:tc>
          <w:tcPr>
            <w:tcW w:w="1772" w:type="pct"/>
            <w:vAlign w:val="bottom"/>
          </w:tcPr>
          <w:p w14:paraId="4EBD6658" w14:textId="77777777" w:rsidR="006C3E63" w:rsidRPr="00537128" w:rsidRDefault="006C3E63" w:rsidP="006C3E63">
            <w:pPr>
              <w:tabs>
                <w:tab w:val="right" w:pos="1202"/>
              </w:tabs>
              <w:spacing w:after="0" w:line="200" w:lineRule="exact"/>
              <w:outlineLvl w:val="0"/>
              <w:rPr>
                <w:rFonts w:ascii="Calibri" w:eastAsia="Times New Roman" w:hAnsi="Calibri" w:cs="Arial"/>
                <w:b/>
                <w:bCs/>
                <w:sz w:val="18"/>
                <w:szCs w:val="18"/>
                <w:lang w:val="en-US"/>
              </w:rPr>
            </w:pPr>
            <w:bookmarkStart w:id="845" w:name="_Toc4062034"/>
            <w:r w:rsidRPr="00537128">
              <w:rPr>
                <w:rFonts w:ascii="Calibri" w:eastAsia="Times New Roman" w:hAnsi="Calibri" w:cs="Arial"/>
                <w:b/>
                <w:bCs/>
                <w:sz w:val="18"/>
                <w:szCs w:val="18"/>
                <w:lang w:val="en-US"/>
              </w:rPr>
              <w:t>Liabilities</w:t>
            </w:r>
            <w:bookmarkEnd w:id="845"/>
          </w:p>
        </w:tc>
        <w:tc>
          <w:tcPr>
            <w:tcW w:w="538" w:type="pct"/>
            <w:vAlign w:val="bottom"/>
          </w:tcPr>
          <w:p w14:paraId="530C28D1" w14:textId="77777777" w:rsidR="006C3E63" w:rsidRPr="00537128" w:rsidRDefault="006C3E63" w:rsidP="006C3E63">
            <w:pPr>
              <w:spacing w:after="0" w:line="220" w:lineRule="exact"/>
              <w:jc w:val="right"/>
              <w:outlineLvl w:val="0"/>
              <w:rPr>
                <w:rFonts w:ascii="Calibri" w:eastAsia="Times New Roman" w:hAnsi="Calibri" w:cs="Arial"/>
                <w:b/>
                <w:bCs/>
                <w:spacing w:val="-2"/>
                <w:sz w:val="18"/>
                <w:szCs w:val="18"/>
                <w:lang w:val="en-US"/>
              </w:rPr>
            </w:pPr>
          </w:p>
        </w:tc>
        <w:tc>
          <w:tcPr>
            <w:tcW w:w="541" w:type="pct"/>
            <w:vAlign w:val="bottom"/>
          </w:tcPr>
          <w:p w14:paraId="1486B484" w14:textId="77777777" w:rsidR="006C3E63" w:rsidRPr="00537128" w:rsidRDefault="006C3E63" w:rsidP="006C3E63">
            <w:pPr>
              <w:spacing w:after="0" w:line="220" w:lineRule="exact"/>
              <w:jc w:val="right"/>
              <w:outlineLvl w:val="0"/>
              <w:rPr>
                <w:rFonts w:ascii="Calibri" w:eastAsia="Times New Roman" w:hAnsi="Calibri" w:cs="Arial"/>
                <w:b/>
                <w:bCs/>
                <w:spacing w:val="-2"/>
                <w:sz w:val="18"/>
                <w:szCs w:val="18"/>
                <w:lang w:val="en-US"/>
              </w:rPr>
            </w:pPr>
          </w:p>
        </w:tc>
        <w:tc>
          <w:tcPr>
            <w:tcW w:w="542" w:type="pct"/>
            <w:vAlign w:val="bottom"/>
          </w:tcPr>
          <w:p w14:paraId="0EC7F696" w14:textId="77777777" w:rsidR="006C3E63" w:rsidRPr="00537128" w:rsidRDefault="006C3E63" w:rsidP="006C3E63">
            <w:pPr>
              <w:spacing w:after="0" w:line="220" w:lineRule="exact"/>
              <w:jc w:val="right"/>
              <w:outlineLvl w:val="0"/>
              <w:rPr>
                <w:rFonts w:ascii="Calibri" w:eastAsia="Times New Roman" w:hAnsi="Calibri" w:cs="Arial"/>
                <w:b/>
                <w:bCs/>
                <w:spacing w:val="-2"/>
                <w:sz w:val="18"/>
                <w:szCs w:val="18"/>
                <w:lang w:val="en-US"/>
              </w:rPr>
            </w:pPr>
          </w:p>
        </w:tc>
        <w:tc>
          <w:tcPr>
            <w:tcW w:w="541" w:type="pct"/>
            <w:vAlign w:val="bottom"/>
          </w:tcPr>
          <w:p w14:paraId="284B88AC" w14:textId="77777777" w:rsidR="006C3E63" w:rsidRPr="00537128" w:rsidRDefault="006C3E63" w:rsidP="006C3E63">
            <w:pPr>
              <w:spacing w:after="0" w:line="220" w:lineRule="exact"/>
              <w:jc w:val="right"/>
              <w:outlineLvl w:val="0"/>
              <w:rPr>
                <w:rFonts w:ascii="Calibri" w:eastAsia="Times New Roman" w:hAnsi="Calibri" w:cs="Arial"/>
                <w:b/>
                <w:bCs/>
                <w:spacing w:val="-2"/>
                <w:sz w:val="18"/>
                <w:szCs w:val="18"/>
                <w:lang w:val="en-US"/>
              </w:rPr>
            </w:pPr>
          </w:p>
        </w:tc>
        <w:tc>
          <w:tcPr>
            <w:tcW w:w="542" w:type="pct"/>
            <w:vAlign w:val="bottom"/>
          </w:tcPr>
          <w:p w14:paraId="74C70074" w14:textId="77777777" w:rsidR="006C3E63" w:rsidRPr="00537128" w:rsidRDefault="006C3E63" w:rsidP="006C3E63">
            <w:pPr>
              <w:spacing w:after="0" w:line="220" w:lineRule="exact"/>
              <w:jc w:val="right"/>
              <w:outlineLvl w:val="0"/>
              <w:rPr>
                <w:rFonts w:ascii="Calibri" w:eastAsia="Times New Roman" w:hAnsi="Calibri" w:cs="Arial"/>
                <w:b/>
                <w:bCs/>
                <w:spacing w:val="-2"/>
                <w:sz w:val="18"/>
                <w:szCs w:val="18"/>
                <w:lang w:val="en-US"/>
              </w:rPr>
            </w:pPr>
          </w:p>
        </w:tc>
        <w:tc>
          <w:tcPr>
            <w:tcW w:w="524" w:type="pct"/>
            <w:vAlign w:val="bottom"/>
          </w:tcPr>
          <w:p w14:paraId="11695768" w14:textId="77777777" w:rsidR="006C3E63" w:rsidRPr="00537128" w:rsidRDefault="006C3E63" w:rsidP="006C3E63">
            <w:pPr>
              <w:spacing w:after="0" w:line="220" w:lineRule="exact"/>
              <w:jc w:val="right"/>
              <w:outlineLvl w:val="0"/>
              <w:rPr>
                <w:rFonts w:ascii="Calibri" w:eastAsia="Times New Roman" w:hAnsi="Calibri" w:cs="Arial"/>
                <w:b/>
                <w:bCs/>
                <w:sz w:val="18"/>
                <w:szCs w:val="18"/>
                <w:lang w:val="en-US"/>
              </w:rPr>
            </w:pPr>
          </w:p>
        </w:tc>
      </w:tr>
      <w:tr w:rsidR="00C53279" w:rsidRPr="00537128" w14:paraId="6CA42863" w14:textId="77777777" w:rsidTr="005818BB">
        <w:trPr>
          <w:trHeight w:hRule="exact" w:val="270"/>
        </w:trPr>
        <w:tc>
          <w:tcPr>
            <w:tcW w:w="1772" w:type="pct"/>
            <w:vAlign w:val="bottom"/>
          </w:tcPr>
          <w:p w14:paraId="02B037CE" w14:textId="77777777" w:rsidR="00C53279" w:rsidRPr="00537128" w:rsidRDefault="00C53279" w:rsidP="00C53279">
            <w:pPr>
              <w:tabs>
                <w:tab w:val="right" w:pos="1202"/>
              </w:tabs>
              <w:spacing w:after="0" w:line="200" w:lineRule="exact"/>
              <w:outlineLvl w:val="0"/>
              <w:rPr>
                <w:rFonts w:ascii="Calibri" w:eastAsia="Times New Roman" w:hAnsi="Calibri" w:cs="Arial"/>
                <w:sz w:val="18"/>
                <w:szCs w:val="18"/>
                <w:lang w:val="en-US"/>
              </w:rPr>
            </w:pPr>
            <w:bookmarkStart w:id="846" w:name="_Toc4062035"/>
            <w:r w:rsidRPr="00537128">
              <w:rPr>
                <w:rFonts w:ascii="Calibri" w:eastAsia="Times New Roman" w:hAnsi="Calibri" w:cs="Arial"/>
                <w:spacing w:val="-2"/>
                <w:sz w:val="18"/>
                <w:szCs w:val="18"/>
                <w:lang w:val="en-US"/>
              </w:rPr>
              <w:t>Deposits from customers</w:t>
            </w:r>
            <w:bookmarkEnd w:id="846"/>
            <w:r w:rsidRPr="00537128">
              <w:rPr>
                <w:rFonts w:ascii="Calibri" w:eastAsia="Times New Roman" w:hAnsi="Calibri" w:cs="Arial"/>
                <w:spacing w:val="-2"/>
                <w:sz w:val="18"/>
                <w:szCs w:val="18"/>
                <w:lang w:val="en-US"/>
              </w:rPr>
              <w:t xml:space="preserve"> </w:t>
            </w:r>
          </w:p>
        </w:tc>
        <w:tc>
          <w:tcPr>
            <w:tcW w:w="538" w:type="pct"/>
            <w:tcBorders>
              <w:top w:val="nil"/>
              <w:left w:val="nil"/>
              <w:bottom w:val="nil"/>
              <w:right w:val="nil"/>
            </w:tcBorders>
            <w:shd w:val="clear" w:color="auto" w:fill="auto"/>
            <w:vAlign w:val="bottom"/>
          </w:tcPr>
          <w:p w14:paraId="3D59939B" w14:textId="2469709C" w:rsidR="00C53279" w:rsidRPr="00537128" w:rsidRDefault="00C53279" w:rsidP="00C53279">
            <w:pPr>
              <w:tabs>
                <w:tab w:val="right" w:pos="1202"/>
              </w:tabs>
              <w:spacing w:after="0" w:line="240" w:lineRule="exact"/>
              <w:jc w:val="right"/>
              <w:outlineLvl w:val="0"/>
              <w:rPr>
                <w:rFonts w:ascii="Calibri" w:eastAsia="Calibri" w:hAnsi="Calibri" w:cs="Arial"/>
                <w:spacing w:val="-2"/>
                <w:sz w:val="18"/>
                <w:szCs w:val="18"/>
                <w:lang w:val="en-US"/>
              </w:rPr>
            </w:pPr>
            <w:r w:rsidRPr="000F05A3">
              <w:rPr>
                <w:rFonts w:ascii="Calibri" w:hAnsi="Calibri"/>
                <w:color w:val="000000"/>
                <w:sz w:val="18"/>
                <w:szCs w:val="18"/>
              </w:rPr>
              <w:t>280</w:t>
            </w:r>
            <w:r w:rsidR="00C533B3">
              <w:rPr>
                <w:rFonts w:ascii="Calibri" w:hAnsi="Calibri"/>
                <w:color w:val="000000"/>
                <w:sz w:val="18"/>
                <w:szCs w:val="18"/>
              </w:rPr>
              <w:t>,</w:t>
            </w:r>
            <w:r w:rsidRPr="000F05A3">
              <w:rPr>
                <w:rFonts w:ascii="Calibri" w:hAnsi="Calibri"/>
                <w:color w:val="000000"/>
                <w:sz w:val="18"/>
                <w:szCs w:val="18"/>
              </w:rPr>
              <w:t>893</w:t>
            </w:r>
          </w:p>
        </w:tc>
        <w:tc>
          <w:tcPr>
            <w:tcW w:w="541" w:type="pct"/>
            <w:tcBorders>
              <w:top w:val="nil"/>
              <w:left w:val="nil"/>
              <w:bottom w:val="nil"/>
              <w:right w:val="nil"/>
            </w:tcBorders>
            <w:shd w:val="clear" w:color="auto" w:fill="auto"/>
            <w:vAlign w:val="bottom"/>
          </w:tcPr>
          <w:p w14:paraId="30807CE0" w14:textId="55110443" w:rsidR="00C53279" w:rsidRPr="00537128" w:rsidRDefault="00C53279" w:rsidP="00C53279">
            <w:pPr>
              <w:tabs>
                <w:tab w:val="right" w:pos="1202"/>
              </w:tabs>
              <w:spacing w:after="0" w:line="240" w:lineRule="exact"/>
              <w:jc w:val="right"/>
              <w:outlineLvl w:val="0"/>
              <w:rPr>
                <w:rFonts w:ascii="Calibri" w:eastAsia="Calibri" w:hAnsi="Calibri" w:cs="Arial"/>
                <w:spacing w:val="-2"/>
                <w:sz w:val="18"/>
                <w:szCs w:val="18"/>
                <w:lang w:val="en-US"/>
              </w:rPr>
            </w:pPr>
            <w:r w:rsidRPr="000F05A3">
              <w:rPr>
                <w:rFonts w:ascii="Calibri" w:hAnsi="Calibri"/>
                <w:color w:val="000000"/>
                <w:sz w:val="18"/>
                <w:szCs w:val="18"/>
              </w:rPr>
              <w:t>40</w:t>
            </w:r>
            <w:r w:rsidR="00C533B3">
              <w:rPr>
                <w:rFonts w:ascii="Calibri" w:hAnsi="Calibri"/>
                <w:color w:val="000000"/>
                <w:sz w:val="18"/>
                <w:szCs w:val="18"/>
              </w:rPr>
              <w:t>,</w:t>
            </w:r>
            <w:r w:rsidRPr="000F05A3">
              <w:rPr>
                <w:rFonts w:ascii="Calibri" w:hAnsi="Calibri"/>
                <w:color w:val="000000"/>
                <w:sz w:val="18"/>
                <w:szCs w:val="18"/>
              </w:rPr>
              <w:t>169</w:t>
            </w:r>
          </w:p>
        </w:tc>
        <w:tc>
          <w:tcPr>
            <w:tcW w:w="542" w:type="pct"/>
            <w:tcBorders>
              <w:top w:val="nil"/>
              <w:left w:val="nil"/>
              <w:bottom w:val="nil"/>
              <w:right w:val="nil"/>
            </w:tcBorders>
            <w:shd w:val="clear" w:color="auto" w:fill="auto"/>
            <w:vAlign w:val="bottom"/>
          </w:tcPr>
          <w:p w14:paraId="4C436681" w14:textId="31279061" w:rsidR="00C53279" w:rsidRPr="00537128" w:rsidRDefault="00C53279" w:rsidP="00C53279">
            <w:pPr>
              <w:tabs>
                <w:tab w:val="right" w:pos="1202"/>
              </w:tabs>
              <w:spacing w:after="0" w:line="240" w:lineRule="exact"/>
              <w:jc w:val="right"/>
              <w:outlineLvl w:val="0"/>
              <w:rPr>
                <w:rFonts w:ascii="Calibri" w:eastAsia="Calibri" w:hAnsi="Calibri" w:cs="Arial"/>
                <w:spacing w:val="-2"/>
                <w:sz w:val="18"/>
                <w:szCs w:val="18"/>
                <w:lang w:val="en-US"/>
              </w:rPr>
            </w:pPr>
            <w:r w:rsidRPr="000F05A3">
              <w:rPr>
                <w:rFonts w:ascii="Calibri" w:hAnsi="Calibri"/>
                <w:color w:val="000000"/>
                <w:sz w:val="18"/>
                <w:szCs w:val="18"/>
              </w:rPr>
              <w:t>88</w:t>
            </w:r>
            <w:r w:rsidR="00C533B3">
              <w:rPr>
                <w:rFonts w:ascii="Calibri" w:hAnsi="Calibri"/>
                <w:color w:val="000000"/>
                <w:sz w:val="18"/>
                <w:szCs w:val="18"/>
              </w:rPr>
              <w:t>,</w:t>
            </w:r>
            <w:r w:rsidRPr="000F05A3">
              <w:rPr>
                <w:rFonts w:ascii="Calibri" w:hAnsi="Calibri"/>
                <w:color w:val="000000"/>
                <w:sz w:val="18"/>
                <w:szCs w:val="18"/>
              </w:rPr>
              <w:t>869</w:t>
            </w:r>
          </w:p>
        </w:tc>
        <w:tc>
          <w:tcPr>
            <w:tcW w:w="541" w:type="pct"/>
            <w:tcBorders>
              <w:top w:val="nil"/>
              <w:left w:val="nil"/>
              <w:bottom w:val="nil"/>
              <w:right w:val="nil"/>
            </w:tcBorders>
            <w:shd w:val="clear" w:color="auto" w:fill="auto"/>
            <w:vAlign w:val="bottom"/>
          </w:tcPr>
          <w:p w14:paraId="50C0477E" w14:textId="4276938A" w:rsidR="00C53279" w:rsidRPr="00537128" w:rsidRDefault="00C53279" w:rsidP="00C53279">
            <w:pPr>
              <w:tabs>
                <w:tab w:val="right" w:pos="1202"/>
              </w:tabs>
              <w:spacing w:after="0" w:line="240" w:lineRule="exact"/>
              <w:jc w:val="right"/>
              <w:outlineLvl w:val="0"/>
              <w:rPr>
                <w:rFonts w:ascii="Calibri" w:eastAsia="Calibri" w:hAnsi="Calibri" w:cs="Arial"/>
                <w:spacing w:val="-2"/>
                <w:sz w:val="18"/>
                <w:szCs w:val="18"/>
                <w:lang w:val="en-US"/>
              </w:rPr>
            </w:pPr>
            <w:r w:rsidRPr="000F05A3">
              <w:rPr>
                <w:rFonts w:ascii="Calibri" w:hAnsi="Calibri"/>
                <w:color w:val="000000"/>
                <w:sz w:val="18"/>
                <w:szCs w:val="18"/>
              </w:rPr>
              <w:t>112</w:t>
            </w:r>
            <w:r w:rsidR="00C533B3">
              <w:rPr>
                <w:rFonts w:ascii="Calibri" w:hAnsi="Calibri"/>
                <w:color w:val="000000"/>
                <w:sz w:val="18"/>
                <w:szCs w:val="18"/>
              </w:rPr>
              <w:t>,</w:t>
            </w:r>
            <w:r w:rsidRPr="000F05A3">
              <w:rPr>
                <w:rFonts w:ascii="Calibri" w:hAnsi="Calibri"/>
                <w:color w:val="000000"/>
                <w:sz w:val="18"/>
                <w:szCs w:val="18"/>
              </w:rPr>
              <w:t>341</w:t>
            </w:r>
          </w:p>
        </w:tc>
        <w:tc>
          <w:tcPr>
            <w:tcW w:w="542" w:type="pct"/>
            <w:tcBorders>
              <w:top w:val="nil"/>
              <w:left w:val="nil"/>
              <w:bottom w:val="nil"/>
              <w:right w:val="nil"/>
            </w:tcBorders>
            <w:shd w:val="clear" w:color="auto" w:fill="auto"/>
            <w:vAlign w:val="bottom"/>
          </w:tcPr>
          <w:p w14:paraId="7B838470" w14:textId="58F901E2" w:rsidR="00C53279" w:rsidRPr="00537128" w:rsidRDefault="00C53279" w:rsidP="00C53279">
            <w:pPr>
              <w:tabs>
                <w:tab w:val="right" w:pos="1202"/>
              </w:tabs>
              <w:spacing w:after="0" w:line="240" w:lineRule="exact"/>
              <w:jc w:val="right"/>
              <w:outlineLvl w:val="0"/>
              <w:rPr>
                <w:rFonts w:ascii="Calibri" w:eastAsia="Calibri" w:hAnsi="Calibri" w:cs="Arial"/>
                <w:spacing w:val="-2"/>
                <w:sz w:val="18"/>
                <w:szCs w:val="18"/>
                <w:lang w:val="en-US"/>
              </w:rPr>
            </w:pPr>
            <w:r w:rsidRPr="000F05A3">
              <w:rPr>
                <w:rFonts w:ascii="Calibri" w:hAnsi="Calibri"/>
                <w:color w:val="000000"/>
                <w:sz w:val="18"/>
                <w:szCs w:val="18"/>
              </w:rPr>
              <w:t>85</w:t>
            </w:r>
            <w:r w:rsidR="00C533B3">
              <w:rPr>
                <w:rFonts w:ascii="Calibri" w:hAnsi="Calibri"/>
                <w:color w:val="000000"/>
                <w:sz w:val="18"/>
                <w:szCs w:val="18"/>
              </w:rPr>
              <w:t>,</w:t>
            </w:r>
            <w:r w:rsidRPr="000F05A3">
              <w:rPr>
                <w:rFonts w:ascii="Calibri" w:hAnsi="Calibri"/>
                <w:color w:val="000000"/>
                <w:sz w:val="18"/>
                <w:szCs w:val="18"/>
              </w:rPr>
              <w:t>265</w:t>
            </w:r>
          </w:p>
        </w:tc>
        <w:tc>
          <w:tcPr>
            <w:tcW w:w="524" w:type="pct"/>
            <w:tcBorders>
              <w:top w:val="nil"/>
              <w:left w:val="nil"/>
              <w:bottom w:val="nil"/>
              <w:right w:val="nil"/>
            </w:tcBorders>
            <w:shd w:val="clear" w:color="auto" w:fill="auto"/>
            <w:vAlign w:val="bottom"/>
          </w:tcPr>
          <w:p w14:paraId="7F7CAA74" w14:textId="5D835156" w:rsidR="00C53279" w:rsidRPr="00537128" w:rsidRDefault="00C53279" w:rsidP="00C53279">
            <w:pPr>
              <w:tabs>
                <w:tab w:val="right" w:pos="1202"/>
              </w:tabs>
              <w:spacing w:after="0" w:line="240" w:lineRule="exact"/>
              <w:jc w:val="right"/>
              <w:outlineLvl w:val="0"/>
              <w:rPr>
                <w:rFonts w:ascii="Calibri" w:eastAsia="Calibri" w:hAnsi="Calibri" w:cs="Arial"/>
                <w:spacing w:val="-2"/>
                <w:sz w:val="18"/>
                <w:szCs w:val="18"/>
                <w:lang w:val="en-US"/>
              </w:rPr>
            </w:pPr>
            <w:r w:rsidRPr="000F05A3">
              <w:rPr>
                <w:rFonts w:ascii="Calibri" w:hAnsi="Calibri"/>
                <w:color w:val="000000"/>
                <w:sz w:val="18"/>
                <w:szCs w:val="18"/>
              </w:rPr>
              <w:t>607</w:t>
            </w:r>
            <w:r w:rsidR="00C533B3">
              <w:rPr>
                <w:rFonts w:ascii="Calibri" w:hAnsi="Calibri"/>
                <w:color w:val="000000"/>
                <w:sz w:val="18"/>
                <w:szCs w:val="18"/>
              </w:rPr>
              <w:t>,</w:t>
            </w:r>
            <w:r w:rsidRPr="000F05A3">
              <w:rPr>
                <w:rFonts w:ascii="Calibri" w:hAnsi="Calibri"/>
                <w:color w:val="000000"/>
                <w:sz w:val="18"/>
                <w:szCs w:val="18"/>
              </w:rPr>
              <w:t>537</w:t>
            </w:r>
          </w:p>
        </w:tc>
      </w:tr>
      <w:tr w:rsidR="00C53279" w:rsidRPr="00537128" w14:paraId="3CAB08E9" w14:textId="77777777" w:rsidTr="005818BB">
        <w:trPr>
          <w:trHeight w:hRule="exact" w:val="270"/>
        </w:trPr>
        <w:tc>
          <w:tcPr>
            <w:tcW w:w="1772" w:type="pct"/>
            <w:vAlign w:val="bottom"/>
          </w:tcPr>
          <w:p w14:paraId="70AE4EBB" w14:textId="77777777" w:rsidR="00C53279" w:rsidRPr="00537128" w:rsidRDefault="00C53279" w:rsidP="00C53279">
            <w:pPr>
              <w:tabs>
                <w:tab w:val="right" w:pos="1202"/>
              </w:tabs>
              <w:spacing w:after="0" w:line="200" w:lineRule="exact"/>
              <w:outlineLvl w:val="0"/>
              <w:rPr>
                <w:rFonts w:ascii="Calibri" w:eastAsia="Times New Roman" w:hAnsi="Calibri" w:cs="Arial"/>
                <w:sz w:val="18"/>
                <w:szCs w:val="18"/>
                <w:lang w:val="en-US"/>
              </w:rPr>
            </w:pPr>
            <w:bookmarkStart w:id="847" w:name="_Toc4062042"/>
            <w:r w:rsidRPr="00537128">
              <w:rPr>
                <w:rFonts w:ascii="Calibri" w:eastAsia="Times New Roman" w:hAnsi="Calibri" w:cs="Arial"/>
                <w:spacing w:val="-2"/>
                <w:sz w:val="18"/>
                <w:szCs w:val="18"/>
                <w:lang w:val="en-US"/>
              </w:rPr>
              <w:t>Borrowings</w:t>
            </w:r>
            <w:bookmarkEnd w:id="847"/>
            <w:r w:rsidRPr="00537128">
              <w:rPr>
                <w:rFonts w:ascii="Calibri" w:eastAsia="Times New Roman" w:hAnsi="Calibri" w:cs="Arial"/>
                <w:spacing w:val="-2"/>
                <w:sz w:val="18"/>
                <w:szCs w:val="18"/>
                <w:lang w:val="en-US"/>
              </w:rPr>
              <w:t xml:space="preserve"> </w:t>
            </w:r>
          </w:p>
        </w:tc>
        <w:tc>
          <w:tcPr>
            <w:tcW w:w="538" w:type="pct"/>
            <w:tcBorders>
              <w:top w:val="nil"/>
              <w:left w:val="nil"/>
              <w:bottom w:val="nil"/>
              <w:right w:val="nil"/>
            </w:tcBorders>
            <w:shd w:val="clear" w:color="auto" w:fill="auto"/>
            <w:vAlign w:val="bottom"/>
          </w:tcPr>
          <w:p w14:paraId="6A0F4402" w14:textId="1839016F" w:rsidR="00C53279" w:rsidRPr="00537128" w:rsidRDefault="00C53279" w:rsidP="00C53279">
            <w:pPr>
              <w:tabs>
                <w:tab w:val="right" w:pos="1202"/>
              </w:tabs>
              <w:spacing w:after="0" w:line="240" w:lineRule="exact"/>
              <w:jc w:val="right"/>
              <w:outlineLvl w:val="0"/>
              <w:rPr>
                <w:rFonts w:ascii="Calibri" w:eastAsia="Calibri" w:hAnsi="Calibri" w:cs="Arial"/>
                <w:spacing w:val="-2"/>
                <w:sz w:val="18"/>
                <w:szCs w:val="18"/>
                <w:lang w:val="en-US"/>
              </w:rPr>
            </w:pPr>
            <w:r w:rsidRPr="000F05A3">
              <w:rPr>
                <w:rFonts w:ascii="Calibri" w:hAnsi="Calibri"/>
                <w:color w:val="000000"/>
                <w:sz w:val="18"/>
                <w:szCs w:val="18"/>
              </w:rPr>
              <w:t>156</w:t>
            </w:r>
            <w:r w:rsidR="00C533B3">
              <w:rPr>
                <w:rFonts w:ascii="Calibri" w:hAnsi="Calibri"/>
                <w:color w:val="000000"/>
                <w:sz w:val="18"/>
                <w:szCs w:val="18"/>
              </w:rPr>
              <w:t>,</w:t>
            </w:r>
            <w:r w:rsidRPr="000F05A3">
              <w:rPr>
                <w:rFonts w:ascii="Calibri" w:hAnsi="Calibri"/>
                <w:color w:val="000000"/>
                <w:sz w:val="18"/>
                <w:szCs w:val="18"/>
              </w:rPr>
              <w:t>365</w:t>
            </w:r>
          </w:p>
        </w:tc>
        <w:tc>
          <w:tcPr>
            <w:tcW w:w="541" w:type="pct"/>
            <w:tcBorders>
              <w:top w:val="nil"/>
              <w:left w:val="nil"/>
              <w:bottom w:val="nil"/>
              <w:right w:val="nil"/>
            </w:tcBorders>
            <w:shd w:val="clear" w:color="auto" w:fill="auto"/>
            <w:vAlign w:val="bottom"/>
          </w:tcPr>
          <w:p w14:paraId="66B0E61A" w14:textId="2C48CD9B" w:rsidR="00C53279" w:rsidRPr="00537128" w:rsidRDefault="00C53279" w:rsidP="00C53279">
            <w:pPr>
              <w:tabs>
                <w:tab w:val="right" w:pos="1202"/>
              </w:tabs>
              <w:spacing w:after="0" w:line="240" w:lineRule="exact"/>
              <w:jc w:val="right"/>
              <w:outlineLvl w:val="0"/>
              <w:rPr>
                <w:rFonts w:ascii="Calibri" w:eastAsia="Calibri" w:hAnsi="Calibri" w:cs="Arial"/>
                <w:spacing w:val="-2"/>
                <w:sz w:val="18"/>
                <w:szCs w:val="18"/>
                <w:lang w:val="en-US"/>
              </w:rPr>
            </w:pPr>
            <w:r w:rsidRPr="000F05A3">
              <w:rPr>
                <w:rFonts w:ascii="Calibri" w:hAnsi="Calibri"/>
                <w:color w:val="000000"/>
                <w:sz w:val="18"/>
                <w:szCs w:val="18"/>
              </w:rPr>
              <w:t>574</w:t>
            </w:r>
            <w:r w:rsidR="00C533B3">
              <w:rPr>
                <w:rFonts w:ascii="Calibri" w:hAnsi="Calibri"/>
                <w:color w:val="000000"/>
                <w:sz w:val="18"/>
                <w:szCs w:val="18"/>
              </w:rPr>
              <w:t>,</w:t>
            </w:r>
            <w:r w:rsidRPr="000F05A3">
              <w:rPr>
                <w:rFonts w:ascii="Calibri" w:hAnsi="Calibri"/>
                <w:color w:val="000000"/>
                <w:sz w:val="18"/>
                <w:szCs w:val="18"/>
              </w:rPr>
              <w:t>811</w:t>
            </w:r>
          </w:p>
        </w:tc>
        <w:tc>
          <w:tcPr>
            <w:tcW w:w="542" w:type="pct"/>
            <w:tcBorders>
              <w:top w:val="nil"/>
              <w:left w:val="nil"/>
              <w:bottom w:val="nil"/>
              <w:right w:val="nil"/>
            </w:tcBorders>
            <w:shd w:val="clear" w:color="auto" w:fill="auto"/>
            <w:vAlign w:val="bottom"/>
          </w:tcPr>
          <w:p w14:paraId="2B786A6F" w14:textId="5B47F8C5" w:rsidR="00C53279" w:rsidRPr="00537128" w:rsidRDefault="00C53279" w:rsidP="00C53279">
            <w:pPr>
              <w:tabs>
                <w:tab w:val="right" w:pos="1202"/>
              </w:tabs>
              <w:spacing w:after="0" w:line="240" w:lineRule="exact"/>
              <w:jc w:val="right"/>
              <w:outlineLvl w:val="0"/>
              <w:rPr>
                <w:rFonts w:ascii="Calibri" w:eastAsia="Calibri" w:hAnsi="Calibri" w:cs="Arial"/>
                <w:spacing w:val="-2"/>
                <w:sz w:val="18"/>
                <w:szCs w:val="18"/>
                <w:lang w:val="en-US"/>
              </w:rPr>
            </w:pPr>
            <w:r w:rsidRPr="000F05A3">
              <w:rPr>
                <w:rFonts w:ascii="Calibri" w:hAnsi="Calibri"/>
                <w:color w:val="000000"/>
                <w:sz w:val="18"/>
                <w:szCs w:val="18"/>
              </w:rPr>
              <w:t>1</w:t>
            </w:r>
            <w:r w:rsidR="00C533B3">
              <w:rPr>
                <w:rFonts w:ascii="Calibri" w:hAnsi="Calibri"/>
                <w:color w:val="000000"/>
                <w:sz w:val="18"/>
                <w:szCs w:val="18"/>
              </w:rPr>
              <w:t>,</w:t>
            </w:r>
            <w:r w:rsidRPr="000F05A3">
              <w:rPr>
                <w:rFonts w:ascii="Calibri" w:hAnsi="Calibri"/>
                <w:color w:val="000000"/>
                <w:sz w:val="18"/>
                <w:szCs w:val="18"/>
              </w:rPr>
              <w:t>713</w:t>
            </w:r>
            <w:r w:rsidR="00C533B3">
              <w:rPr>
                <w:rFonts w:ascii="Calibri" w:hAnsi="Calibri"/>
                <w:color w:val="000000"/>
                <w:sz w:val="18"/>
                <w:szCs w:val="18"/>
              </w:rPr>
              <w:t>,</w:t>
            </w:r>
            <w:r w:rsidRPr="000F05A3">
              <w:rPr>
                <w:rFonts w:ascii="Calibri" w:hAnsi="Calibri"/>
                <w:color w:val="000000"/>
                <w:sz w:val="18"/>
                <w:szCs w:val="18"/>
              </w:rPr>
              <w:t>818</w:t>
            </w:r>
          </w:p>
        </w:tc>
        <w:tc>
          <w:tcPr>
            <w:tcW w:w="541" w:type="pct"/>
            <w:tcBorders>
              <w:top w:val="nil"/>
              <w:left w:val="nil"/>
              <w:bottom w:val="nil"/>
              <w:right w:val="nil"/>
            </w:tcBorders>
            <w:shd w:val="clear" w:color="auto" w:fill="auto"/>
            <w:vAlign w:val="bottom"/>
          </w:tcPr>
          <w:p w14:paraId="4597E8E2" w14:textId="3060E395" w:rsidR="00C53279" w:rsidRPr="00537128" w:rsidRDefault="00C53279" w:rsidP="00C53279">
            <w:pPr>
              <w:tabs>
                <w:tab w:val="right" w:pos="1202"/>
              </w:tabs>
              <w:spacing w:after="0" w:line="240" w:lineRule="exact"/>
              <w:jc w:val="right"/>
              <w:outlineLvl w:val="0"/>
              <w:rPr>
                <w:rFonts w:ascii="Calibri" w:eastAsia="Calibri" w:hAnsi="Calibri" w:cs="Arial"/>
                <w:spacing w:val="-2"/>
                <w:sz w:val="18"/>
                <w:szCs w:val="18"/>
                <w:lang w:val="en-US"/>
              </w:rPr>
            </w:pPr>
            <w:r w:rsidRPr="000F05A3">
              <w:rPr>
                <w:rFonts w:ascii="Calibri" w:hAnsi="Calibri"/>
                <w:color w:val="000000"/>
                <w:sz w:val="18"/>
                <w:szCs w:val="18"/>
              </w:rPr>
              <w:t>5</w:t>
            </w:r>
            <w:r w:rsidR="00C533B3">
              <w:rPr>
                <w:rFonts w:ascii="Calibri" w:hAnsi="Calibri"/>
                <w:color w:val="000000"/>
                <w:sz w:val="18"/>
                <w:szCs w:val="18"/>
              </w:rPr>
              <w:t>,</w:t>
            </w:r>
            <w:r w:rsidRPr="000F05A3">
              <w:rPr>
                <w:rFonts w:ascii="Calibri" w:hAnsi="Calibri"/>
                <w:color w:val="000000"/>
                <w:sz w:val="18"/>
                <w:szCs w:val="18"/>
              </w:rPr>
              <w:t>691</w:t>
            </w:r>
            <w:r w:rsidR="00C533B3">
              <w:rPr>
                <w:rFonts w:ascii="Calibri" w:hAnsi="Calibri"/>
                <w:color w:val="000000"/>
                <w:sz w:val="18"/>
                <w:szCs w:val="18"/>
              </w:rPr>
              <w:t>,</w:t>
            </w:r>
            <w:r w:rsidRPr="000F05A3">
              <w:rPr>
                <w:rFonts w:ascii="Calibri" w:hAnsi="Calibri"/>
                <w:color w:val="000000"/>
                <w:sz w:val="18"/>
                <w:szCs w:val="18"/>
              </w:rPr>
              <w:t>542</w:t>
            </w:r>
          </w:p>
        </w:tc>
        <w:tc>
          <w:tcPr>
            <w:tcW w:w="542" w:type="pct"/>
            <w:tcBorders>
              <w:top w:val="nil"/>
              <w:left w:val="nil"/>
              <w:bottom w:val="nil"/>
              <w:right w:val="nil"/>
            </w:tcBorders>
            <w:shd w:val="clear" w:color="auto" w:fill="auto"/>
            <w:vAlign w:val="bottom"/>
          </w:tcPr>
          <w:p w14:paraId="6FCE07A8" w14:textId="5F5C2F8A" w:rsidR="00C53279" w:rsidRPr="00537128" w:rsidRDefault="00C53279" w:rsidP="00C53279">
            <w:pPr>
              <w:tabs>
                <w:tab w:val="right" w:pos="1202"/>
              </w:tabs>
              <w:spacing w:after="0" w:line="240" w:lineRule="exact"/>
              <w:jc w:val="right"/>
              <w:outlineLvl w:val="0"/>
              <w:rPr>
                <w:rFonts w:ascii="Calibri" w:eastAsia="Calibri" w:hAnsi="Calibri" w:cs="Arial"/>
                <w:spacing w:val="-2"/>
                <w:sz w:val="18"/>
                <w:szCs w:val="18"/>
                <w:lang w:val="en-US"/>
              </w:rPr>
            </w:pPr>
            <w:r w:rsidRPr="000F05A3">
              <w:rPr>
                <w:rFonts w:ascii="Calibri" w:hAnsi="Calibri"/>
                <w:color w:val="000000"/>
                <w:sz w:val="18"/>
                <w:szCs w:val="18"/>
              </w:rPr>
              <w:t>7</w:t>
            </w:r>
            <w:r w:rsidR="00C533B3">
              <w:rPr>
                <w:rFonts w:ascii="Calibri" w:hAnsi="Calibri"/>
                <w:color w:val="000000"/>
                <w:sz w:val="18"/>
                <w:szCs w:val="18"/>
              </w:rPr>
              <w:t>,</w:t>
            </w:r>
            <w:r w:rsidRPr="000F05A3">
              <w:rPr>
                <w:rFonts w:ascii="Calibri" w:hAnsi="Calibri"/>
                <w:color w:val="000000"/>
                <w:sz w:val="18"/>
                <w:szCs w:val="18"/>
              </w:rPr>
              <w:t>692</w:t>
            </w:r>
            <w:r w:rsidR="00C533B3">
              <w:rPr>
                <w:rFonts w:ascii="Calibri" w:hAnsi="Calibri"/>
                <w:color w:val="000000"/>
                <w:sz w:val="18"/>
                <w:szCs w:val="18"/>
              </w:rPr>
              <w:t>,</w:t>
            </w:r>
            <w:r w:rsidRPr="000F05A3">
              <w:rPr>
                <w:rFonts w:ascii="Calibri" w:hAnsi="Calibri"/>
                <w:color w:val="000000"/>
                <w:sz w:val="18"/>
                <w:szCs w:val="18"/>
              </w:rPr>
              <w:t>087</w:t>
            </w:r>
          </w:p>
        </w:tc>
        <w:tc>
          <w:tcPr>
            <w:tcW w:w="524" w:type="pct"/>
            <w:tcBorders>
              <w:top w:val="nil"/>
              <w:left w:val="nil"/>
              <w:bottom w:val="nil"/>
              <w:right w:val="nil"/>
            </w:tcBorders>
            <w:shd w:val="clear" w:color="auto" w:fill="auto"/>
            <w:vAlign w:val="bottom"/>
          </w:tcPr>
          <w:p w14:paraId="4E08A4E7" w14:textId="5D544DD1" w:rsidR="00C53279" w:rsidRPr="00537128" w:rsidRDefault="00C53279" w:rsidP="00C53279">
            <w:pPr>
              <w:tabs>
                <w:tab w:val="right" w:pos="1202"/>
              </w:tabs>
              <w:spacing w:after="0" w:line="240" w:lineRule="exact"/>
              <w:jc w:val="right"/>
              <w:outlineLvl w:val="0"/>
              <w:rPr>
                <w:rFonts w:ascii="Calibri" w:eastAsia="Calibri" w:hAnsi="Calibri" w:cs="Arial"/>
                <w:spacing w:val="-2"/>
                <w:sz w:val="18"/>
                <w:szCs w:val="18"/>
                <w:lang w:val="en-US"/>
              </w:rPr>
            </w:pPr>
            <w:r w:rsidRPr="000F05A3">
              <w:rPr>
                <w:rFonts w:ascii="Calibri" w:hAnsi="Calibri"/>
                <w:color w:val="000000"/>
                <w:sz w:val="18"/>
                <w:szCs w:val="18"/>
              </w:rPr>
              <w:t>15</w:t>
            </w:r>
            <w:r w:rsidR="00C533B3">
              <w:rPr>
                <w:rFonts w:ascii="Calibri" w:hAnsi="Calibri"/>
                <w:color w:val="000000"/>
                <w:sz w:val="18"/>
                <w:szCs w:val="18"/>
              </w:rPr>
              <w:t>,</w:t>
            </w:r>
            <w:r w:rsidRPr="000F05A3">
              <w:rPr>
                <w:rFonts w:ascii="Calibri" w:hAnsi="Calibri"/>
                <w:color w:val="000000"/>
                <w:sz w:val="18"/>
                <w:szCs w:val="18"/>
              </w:rPr>
              <w:t>828</w:t>
            </w:r>
            <w:r w:rsidR="00C533B3">
              <w:rPr>
                <w:rFonts w:ascii="Calibri" w:hAnsi="Calibri"/>
                <w:color w:val="000000"/>
                <w:sz w:val="18"/>
                <w:szCs w:val="18"/>
              </w:rPr>
              <w:t>,</w:t>
            </w:r>
            <w:r w:rsidRPr="000F05A3">
              <w:rPr>
                <w:rFonts w:ascii="Calibri" w:hAnsi="Calibri"/>
                <w:color w:val="000000"/>
                <w:sz w:val="18"/>
                <w:szCs w:val="18"/>
              </w:rPr>
              <w:t>623</w:t>
            </w:r>
          </w:p>
        </w:tc>
      </w:tr>
      <w:tr w:rsidR="00C53279" w:rsidRPr="00537128" w14:paraId="6EBEBC0E" w14:textId="77777777" w:rsidTr="005818BB">
        <w:trPr>
          <w:trHeight w:hRule="exact" w:val="401"/>
        </w:trPr>
        <w:tc>
          <w:tcPr>
            <w:tcW w:w="1772" w:type="pct"/>
            <w:vAlign w:val="bottom"/>
          </w:tcPr>
          <w:p w14:paraId="0881A811" w14:textId="77777777" w:rsidR="00C53279" w:rsidRPr="00537128" w:rsidRDefault="00C53279" w:rsidP="00C53279">
            <w:pPr>
              <w:tabs>
                <w:tab w:val="right" w:pos="1202"/>
              </w:tabs>
              <w:spacing w:after="0" w:line="20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 xml:space="preserve">Provisions for guarantees, </w:t>
            </w:r>
            <w:proofErr w:type="gramStart"/>
            <w:r w:rsidRPr="00537128">
              <w:rPr>
                <w:rFonts w:ascii="Calibri" w:eastAsia="Times New Roman" w:hAnsi="Calibri" w:cs="Arial"/>
                <w:spacing w:val="-2"/>
                <w:sz w:val="18"/>
                <w:szCs w:val="18"/>
                <w:lang w:val="en-US"/>
              </w:rPr>
              <w:t>commitments</w:t>
            </w:r>
            <w:proofErr w:type="gramEnd"/>
            <w:r w:rsidRPr="00537128">
              <w:rPr>
                <w:rFonts w:ascii="Calibri" w:eastAsia="Times New Roman" w:hAnsi="Calibri" w:cs="Arial"/>
                <w:spacing w:val="-2"/>
                <w:sz w:val="18"/>
                <w:szCs w:val="18"/>
                <w:lang w:val="en-US"/>
              </w:rPr>
              <w:t xml:space="preserve"> and other liabilities</w:t>
            </w:r>
          </w:p>
        </w:tc>
        <w:tc>
          <w:tcPr>
            <w:tcW w:w="538" w:type="pct"/>
            <w:tcBorders>
              <w:top w:val="nil"/>
              <w:left w:val="nil"/>
              <w:bottom w:val="nil"/>
              <w:right w:val="nil"/>
            </w:tcBorders>
            <w:shd w:val="clear" w:color="auto" w:fill="auto"/>
            <w:vAlign w:val="bottom"/>
          </w:tcPr>
          <w:p w14:paraId="71194A59" w14:textId="04782D24" w:rsidR="00C53279" w:rsidRPr="00537128" w:rsidDel="00E052C8" w:rsidRDefault="00C53279" w:rsidP="00C53279">
            <w:pPr>
              <w:tabs>
                <w:tab w:val="right" w:pos="1202"/>
              </w:tabs>
              <w:spacing w:after="0" w:line="240" w:lineRule="exact"/>
              <w:jc w:val="right"/>
              <w:outlineLvl w:val="0"/>
              <w:rPr>
                <w:rFonts w:ascii="Calibri" w:eastAsia="Times New Roman" w:hAnsi="Calibri" w:cs="Times New Roman"/>
                <w:sz w:val="18"/>
                <w:szCs w:val="18"/>
                <w:lang w:val="en-US"/>
              </w:rPr>
            </w:pPr>
            <w:r w:rsidRPr="000F05A3">
              <w:rPr>
                <w:rFonts w:ascii="Calibri" w:hAnsi="Calibri"/>
                <w:color w:val="000000"/>
                <w:sz w:val="18"/>
                <w:szCs w:val="18"/>
              </w:rPr>
              <w:t>76</w:t>
            </w:r>
            <w:r w:rsidR="00C533B3">
              <w:rPr>
                <w:rFonts w:ascii="Calibri" w:hAnsi="Calibri"/>
                <w:color w:val="000000"/>
                <w:sz w:val="18"/>
                <w:szCs w:val="18"/>
              </w:rPr>
              <w:t>,</w:t>
            </w:r>
            <w:r w:rsidRPr="000F05A3">
              <w:rPr>
                <w:rFonts w:ascii="Calibri" w:hAnsi="Calibri"/>
                <w:color w:val="000000"/>
                <w:sz w:val="18"/>
                <w:szCs w:val="18"/>
              </w:rPr>
              <w:t>091</w:t>
            </w:r>
          </w:p>
        </w:tc>
        <w:tc>
          <w:tcPr>
            <w:tcW w:w="541" w:type="pct"/>
            <w:tcBorders>
              <w:top w:val="nil"/>
              <w:left w:val="nil"/>
              <w:bottom w:val="nil"/>
              <w:right w:val="nil"/>
            </w:tcBorders>
            <w:shd w:val="clear" w:color="auto" w:fill="auto"/>
            <w:vAlign w:val="bottom"/>
          </w:tcPr>
          <w:p w14:paraId="72461EAE" w14:textId="6D101AD1" w:rsidR="00C53279" w:rsidRPr="00537128" w:rsidDel="00E052C8" w:rsidRDefault="00C53279" w:rsidP="00C53279">
            <w:pPr>
              <w:tabs>
                <w:tab w:val="right" w:pos="1202"/>
              </w:tabs>
              <w:spacing w:after="0" w:line="240" w:lineRule="exact"/>
              <w:jc w:val="right"/>
              <w:outlineLvl w:val="0"/>
              <w:rPr>
                <w:rFonts w:ascii="Calibri" w:eastAsia="Times New Roman" w:hAnsi="Calibri" w:cs="Times New Roman"/>
                <w:sz w:val="18"/>
                <w:szCs w:val="18"/>
                <w:lang w:val="en-US"/>
              </w:rPr>
            </w:pPr>
            <w:r w:rsidRPr="000F05A3">
              <w:rPr>
                <w:rFonts w:ascii="Calibri" w:hAnsi="Calibri"/>
                <w:color w:val="000000"/>
                <w:sz w:val="18"/>
                <w:szCs w:val="18"/>
              </w:rPr>
              <w:t>5</w:t>
            </w:r>
            <w:r w:rsidR="00C533B3">
              <w:rPr>
                <w:rFonts w:ascii="Calibri" w:hAnsi="Calibri"/>
                <w:color w:val="000000"/>
                <w:sz w:val="18"/>
                <w:szCs w:val="18"/>
              </w:rPr>
              <w:t>,</w:t>
            </w:r>
            <w:r w:rsidRPr="000F05A3">
              <w:rPr>
                <w:rFonts w:ascii="Calibri" w:hAnsi="Calibri"/>
                <w:color w:val="000000"/>
                <w:sz w:val="18"/>
                <w:szCs w:val="18"/>
              </w:rPr>
              <w:t>261</w:t>
            </w:r>
          </w:p>
        </w:tc>
        <w:tc>
          <w:tcPr>
            <w:tcW w:w="542" w:type="pct"/>
            <w:tcBorders>
              <w:top w:val="nil"/>
              <w:left w:val="nil"/>
              <w:bottom w:val="nil"/>
              <w:right w:val="nil"/>
            </w:tcBorders>
            <w:shd w:val="clear" w:color="auto" w:fill="auto"/>
            <w:vAlign w:val="bottom"/>
          </w:tcPr>
          <w:p w14:paraId="0713FE36" w14:textId="79929348" w:rsidR="00C53279" w:rsidRPr="00537128" w:rsidDel="00E052C8" w:rsidRDefault="00C53279" w:rsidP="00C53279">
            <w:pPr>
              <w:tabs>
                <w:tab w:val="right" w:pos="1202"/>
              </w:tabs>
              <w:spacing w:after="0" w:line="240" w:lineRule="exact"/>
              <w:jc w:val="right"/>
              <w:outlineLvl w:val="0"/>
              <w:rPr>
                <w:rFonts w:ascii="Calibri" w:eastAsia="Times New Roman" w:hAnsi="Calibri" w:cs="Times New Roman"/>
                <w:sz w:val="18"/>
                <w:szCs w:val="18"/>
                <w:lang w:val="en-US"/>
              </w:rPr>
            </w:pPr>
            <w:r w:rsidRPr="000F05A3">
              <w:rPr>
                <w:rFonts w:ascii="Calibri" w:hAnsi="Calibri"/>
                <w:color w:val="000000"/>
                <w:sz w:val="18"/>
                <w:szCs w:val="18"/>
              </w:rPr>
              <w:t>15</w:t>
            </w:r>
            <w:r w:rsidR="00C533B3">
              <w:rPr>
                <w:rFonts w:ascii="Calibri" w:hAnsi="Calibri"/>
                <w:color w:val="000000"/>
                <w:sz w:val="18"/>
                <w:szCs w:val="18"/>
              </w:rPr>
              <w:t>,</w:t>
            </w:r>
            <w:r w:rsidRPr="000F05A3">
              <w:rPr>
                <w:rFonts w:ascii="Calibri" w:hAnsi="Calibri"/>
                <w:color w:val="000000"/>
                <w:sz w:val="18"/>
                <w:szCs w:val="18"/>
              </w:rPr>
              <w:t>528</w:t>
            </w:r>
          </w:p>
        </w:tc>
        <w:tc>
          <w:tcPr>
            <w:tcW w:w="541" w:type="pct"/>
            <w:tcBorders>
              <w:top w:val="nil"/>
              <w:left w:val="nil"/>
              <w:bottom w:val="nil"/>
              <w:right w:val="nil"/>
            </w:tcBorders>
            <w:shd w:val="clear" w:color="auto" w:fill="auto"/>
            <w:vAlign w:val="bottom"/>
          </w:tcPr>
          <w:p w14:paraId="250C20FB" w14:textId="4FFEA346" w:rsidR="00C53279" w:rsidRPr="00537128" w:rsidDel="00E052C8" w:rsidRDefault="00C53279" w:rsidP="00C53279">
            <w:pPr>
              <w:tabs>
                <w:tab w:val="right" w:pos="1202"/>
              </w:tabs>
              <w:spacing w:after="0" w:line="240" w:lineRule="exact"/>
              <w:jc w:val="right"/>
              <w:outlineLvl w:val="0"/>
              <w:rPr>
                <w:rFonts w:ascii="Calibri" w:eastAsia="Times New Roman" w:hAnsi="Calibri" w:cs="Times New Roman"/>
                <w:sz w:val="18"/>
                <w:szCs w:val="18"/>
                <w:lang w:val="en-US"/>
              </w:rPr>
            </w:pPr>
            <w:r w:rsidRPr="000F05A3">
              <w:rPr>
                <w:rFonts w:ascii="Calibri" w:hAnsi="Calibri"/>
                <w:color w:val="000000"/>
                <w:sz w:val="18"/>
                <w:szCs w:val="18"/>
              </w:rPr>
              <w:t>24</w:t>
            </w:r>
            <w:r w:rsidR="00C533B3">
              <w:rPr>
                <w:rFonts w:ascii="Calibri" w:hAnsi="Calibri"/>
                <w:color w:val="000000"/>
                <w:sz w:val="18"/>
                <w:szCs w:val="18"/>
              </w:rPr>
              <w:t>,</w:t>
            </w:r>
            <w:r w:rsidRPr="000F05A3">
              <w:rPr>
                <w:rFonts w:ascii="Calibri" w:hAnsi="Calibri"/>
                <w:color w:val="000000"/>
                <w:sz w:val="18"/>
                <w:szCs w:val="18"/>
              </w:rPr>
              <w:t>605</w:t>
            </w:r>
          </w:p>
        </w:tc>
        <w:tc>
          <w:tcPr>
            <w:tcW w:w="542" w:type="pct"/>
            <w:tcBorders>
              <w:top w:val="nil"/>
              <w:left w:val="nil"/>
              <w:bottom w:val="nil"/>
              <w:right w:val="nil"/>
            </w:tcBorders>
            <w:shd w:val="clear" w:color="auto" w:fill="auto"/>
            <w:vAlign w:val="bottom"/>
          </w:tcPr>
          <w:p w14:paraId="5D59FBF9" w14:textId="529E6BCD" w:rsidR="00C53279" w:rsidRPr="00537128" w:rsidDel="00E052C8" w:rsidRDefault="00C53279" w:rsidP="00C53279">
            <w:pPr>
              <w:tabs>
                <w:tab w:val="right" w:pos="1202"/>
              </w:tabs>
              <w:spacing w:after="0" w:line="240" w:lineRule="exact"/>
              <w:jc w:val="right"/>
              <w:outlineLvl w:val="0"/>
              <w:rPr>
                <w:rFonts w:ascii="Calibri" w:eastAsia="Times New Roman" w:hAnsi="Calibri" w:cs="Times New Roman"/>
                <w:sz w:val="18"/>
                <w:szCs w:val="18"/>
                <w:lang w:val="en-US"/>
              </w:rPr>
            </w:pPr>
            <w:r w:rsidRPr="000F05A3">
              <w:rPr>
                <w:rFonts w:ascii="Calibri" w:hAnsi="Calibri"/>
                <w:color w:val="000000"/>
                <w:sz w:val="18"/>
                <w:szCs w:val="18"/>
              </w:rPr>
              <w:t>23</w:t>
            </w:r>
            <w:r w:rsidR="00C533B3">
              <w:rPr>
                <w:rFonts w:ascii="Calibri" w:hAnsi="Calibri"/>
                <w:color w:val="000000"/>
                <w:sz w:val="18"/>
                <w:szCs w:val="18"/>
              </w:rPr>
              <w:t>,</w:t>
            </w:r>
            <w:r w:rsidRPr="000F05A3">
              <w:rPr>
                <w:rFonts w:ascii="Calibri" w:hAnsi="Calibri"/>
                <w:color w:val="000000"/>
                <w:sz w:val="18"/>
                <w:szCs w:val="18"/>
              </w:rPr>
              <w:t>420</w:t>
            </w:r>
          </w:p>
        </w:tc>
        <w:tc>
          <w:tcPr>
            <w:tcW w:w="524" w:type="pct"/>
            <w:tcBorders>
              <w:top w:val="nil"/>
              <w:left w:val="nil"/>
              <w:bottom w:val="nil"/>
              <w:right w:val="nil"/>
            </w:tcBorders>
            <w:shd w:val="clear" w:color="auto" w:fill="auto"/>
            <w:vAlign w:val="bottom"/>
          </w:tcPr>
          <w:p w14:paraId="60246189" w14:textId="190E2657" w:rsidR="00C53279" w:rsidRPr="00537128" w:rsidDel="00E052C8" w:rsidRDefault="00C53279" w:rsidP="00C53279">
            <w:pPr>
              <w:tabs>
                <w:tab w:val="right" w:pos="1202"/>
              </w:tabs>
              <w:spacing w:after="0" w:line="240" w:lineRule="exact"/>
              <w:jc w:val="right"/>
              <w:outlineLvl w:val="0"/>
              <w:rPr>
                <w:rFonts w:ascii="Calibri" w:eastAsia="Times New Roman" w:hAnsi="Calibri" w:cs="Times New Roman"/>
                <w:sz w:val="18"/>
                <w:szCs w:val="18"/>
                <w:lang w:val="en-US"/>
              </w:rPr>
            </w:pPr>
            <w:r w:rsidRPr="000F05A3">
              <w:rPr>
                <w:rFonts w:ascii="Calibri" w:hAnsi="Calibri"/>
                <w:color w:val="000000"/>
                <w:sz w:val="18"/>
                <w:szCs w:val="18"/>
              </w:rPr>
              <w:t>144</w:t>
            </w:r>
            <w:r w:rsidR="00C533B3">
              <w:rPr>
                <w:rFonts w:ascii="Calibri" w:hAnsi="Calibri"/>
                <w:color w:val="000000"/>
                <w:sz w:val="18"/>
                <w:szCs w:val="18"/>
              </w:rPr>
              <w:t>,</w:t>
            </w:r>
            <w:r w:rsidRPr="000F05A3">
              <w:rPr>
                <w:rFonts w:ascii="Calibri" w:hAnsi="Calibri"/>
                <w:color w:val="000000"/>
                <w:sz w:val="18"/>
                <w:szCs w:val="18"/>
              </w:rPr>
              <w:t>905</w:t>
            </w:r>
          </w:p>
        </w:tc>
      </w:tr>
      <w:tr w:rsidR="00C53279" w:rsidRPr="00537128" w14:paraId="53B08B1B" w14:textId="77777777" w:rsidTr="005818BB">
        <w:trPr>
          <w:trHeight w:hRule="exact" w:val="270"/>
        </w:trPr>
        <w:tc>
          <w:tcPr>
            <w:tcW w:w="1772" w:type="pct"/>
            <w:vAlign w:val="bottom"/>
          </w:tcPr>
          <w:p w14:paraId="26414585" w14:textId="77777777" w:rsidR="00C53279" w:rsidRPr="00537128" w:rsidRDefault="00C53279" w:rsidP="00C53279">
            <w:pPr>
              <w:tabs>
                <w:tab w:val="right" w:pos="1202"/>
              </w:tabs>
              <w:spacing w:after="0" w:line="200" w:lineRule="exact"/>
              <w:outlineLvl w:val="0"/>
              <w:rPr>
                <w:rFonts w:ascii="Calibri" w:eastAsia="Times New Roman" w:hAnsi="Calibri" w:cs="Arial"/>
                <w:sz w:val="18"/>
                <w:szCs w:val="18"/>
                <w:lang w:val="en-US"/>
              </w:rPr>
            </w:pPr>
            <w:bookmarkStart w:id="848" w:name="_Toc4062056"/>
            <w:r w:rsidRPr="00537128">
              <w:rPr>
                <w:rFonts w:ascii="Calibri" w:eastAsia="Times New Roman" w:hAnsi="Calibri" w:cs="Arial"/>
                <w:spacing w:val="-2"/>
                <w:sz w:val="18"/>
                <w:szCs w:val="18"/>
                <w:lang w:val="en-US"/>
              </w:rPr>
              <w:t>Other liabilities</w:t>
            </w:r>
            <w:bookmarkEnd w:id="848"/>
            <w:r w:rsidRPr="00537128">
              <w:rPr>
                <w:rFonts w:ascii="Calibri" w:eastAsia="Times New Roman" w:hAnsi="Calibri" w:cs="Arial"/>
                <w:spacing w:val="-2"/>
                <w:sz w:val="18"/>
                <w:szCs w:val="18"/>
                <w:lang w:val="en-US"/>
              </w:rPr>
              <w:t xml:space="preserve"> </w:t>
            </w:r>
          </w:p>
        </w:tc>
        <w:tc>
          <w:tcPr>
            <w:tcW w:w="538" w:type="pct"/>
            <w:tcBorders>
              <w:top w:val="nil"/>
              <w:left w:val="nil"/>
              <w:bottom w:val="nil"/>
              <w:right w:val="nil"/>
            </w:tcBorders>
            <w:shd w:val="clear" w:color="auto" w:fill="auto"/>
            <w:vAlign w:val="bottom"/>
          </w:tcPr>
          <w:p w14:paraId="3114D077" w14:textId="42364189" w:rsidR="00C53279" w:rsidRPr="00537128" w:rsidRDefault="00C53279" w:rsidP="00C53279">
            <w:pPr>
              <w:tabs>
                <w:tab w:val="right" w:pos="1202"/>
              </w:tabs>
              <w:spacing w:after="0" w:line="240" w:lineRule="exact"/>
              <w:jc w:val="right"/>
              <w:outlineLvl w:val="0"/>
              <w:rPr>
                <w:rFonts w:ascii="Calibri" w:eastAsia="Calibri" w:hAnsi="Calibri" w:cs="Arial"/>
                <w:spacing w:val="-2"/>
                <w:sz w:val="18"/>
                <w:szCs w:val="18"/>
                <w:lang w:val="en-US"/>
              </w:rPr>
            </w:pPr>
            <w:r w:rsidRPr="000F05A3">
              <w:rPr>
                <w:rFonts w:ascii="Calibri" w:hAnsi="Calibri"/>
                <w:color w:val="000000"/>
                <w:sz w:val="18"/>
                <w:szCs w:val="18"/>
              </w:rPr>
              <w:t>195</w:t>
            </w:r>
            <w:r w:rsidR="00C533B3">
              <w:rPr>
                <w:rFonts w:ascii="Calibri" w:hAnsi="Calibri"/>
                <w:color w:val="000000"/>
                <w:sz w:val="18"/>
                <w:szCs w:val="18"/>
              </w:rPr>
              <w:t>,</w:t>
            </w:r>
            <w:r w:rsidRPr="000F05A3">
              <w:rPr>
                <w:rFonts w:ascii="Calibri" w:hAnsi="Calibri"/>
                <w:color w:val="000000"/>
                <w:sz w:val="18"/>
                <w:szCs w:val="18"/>
              </w:rPr>
              <w:t>181</w:t>
            </w:r>
          </w:p>
        </w:tc>
        <w:tc>
          <w:tcPr>
            <w:tcW w:w="541" w:type="pct"/>
            <w:tcBorders>
              <w:top w:val="nil"/>
              <w:left w:val="nil"/>
              <w:bottom w:val="nil"/>
              <w:right w:val="nil"/>
            </w:tcBorders>
            <w:shd w:val="clear" w:color="auto" w:fill="auto"/>
            <w:vAlign w:val="bottom"/>
          </w:tcPr>
          <w:p w14:paraId="068E3435" w14:textId="752C2DBC" w:rsidR="00C53279" w:rsidRPr="00537128" w:rsidRDefault="00C53279" w:rsidP="00C53279">
            <w:pPr>
              <w:tabs>
                <w:tab w:val="right" w:pos="1202"/>
              </w:tabs>
              <w:spacing w:after="0" w:line="240" w:lineRule="exact"/>
              <w:jc w:val="right"/>
              <w:outlineLvl w:val="0"/>
              <w:rPr>
                <w:rFonts w:ascii="Calibri" w:eastAsia="Calibri" w:hAnsi="Calibri" w:cs="Arial"/>
                <w:spacing w:val="-2"/>
                <w:sz w:val="18"/>
                <w:szCs w:val="18"/>
                <w:lang w:val="en-US"/>
              </w:rPr>
            </w:pPr>
            <w:r w:rsidRPr="000F05A3">
              <w:rPr>
                <w:rFonts w:ascii="Calibri" w:hAnsi="Calibri"/>
                <w:color w:val="000000"/>
                <w:sz w:val="18"/>
                <w:szCs w:val="18"/>
              </w:rPr>
              <w:t>17</w:t>
            </w:r>
            <w:r w:rsidR="00C533B3">
              <w:rPr>
                <w:rFonts w:ascii="Calibri" w:hAnsi="Calibri"/>
                <w:color w:val="000000"/>
                <w:sz w:val="18"/>
                <w:szCs w:val="18"/>
              </w:rPr>
              <w:t>,</w:t>
            </w:r>
            <w:r w:rsidRPr="000F05A3">
              <w:rPr>
                <w:rFonts w:ascii="Calibri" w:hAnsi="Calibri"/>
                <w:color w:val="000000"/>
                <w:sz w:val="18"/>
                <w:szCs w:val="18"/>
              </w:rPr>
              <w:t>863</w:t>
            </w:r>
          </w:p>
        </w:tc>
        <w:tc>
          <w:tcPr>
            <w:tcW w:w="542" w:type="pct"/>
            <w:tcBorders>
              <w:top w:val="nil"/>
              <w:left w:val="nil"/>
              <w:bottom w:val="nil"/>
              <w:right w:val="nil"/>
            </w:tcBorders>
            <w:shd w:val="clear" w:color="auto" w:fill="auto"/>
            <w:vAlign w:val="bottom"/>
          </w:tcPr>
          <w:p w14:paraId="187599F7" w14:textId="468DC559" w:rsidR="00C53279" w:rsidRPr="00537128" w:rsidRDefault="00C53279" w:rsidP="00C53279">
            <w:pPr>
              <w:tabs>
                <w:tab w:val="right" w:pos="1202"/>
              </w:tabs>
              <w:spacing w:after="0" w:line="240" w:lineRule="exact"/>
              <w:jc w:val="right"/>
              <w:outlineLvl w:val="0"/>
              <w:rPr>
                <w:rFonts w:ascii="Calibri" w:eastAsia="Calibri" w:hAnsi="Calibri" w:cs="Arial"/>
                <w:spacing w:val="-2"/>
                <w:sz w:val="18"/>
                <w:szCs w:val="18"/>
                <w:lang w:val="en-US"/>
              </w:rPr>
            </w:pPr>
            <w:r w:rsidRPr="000F05A3">
              <w:rPr>
                <w:rFonts w:ascii="Calibri" w:hAnsi="Calibri"/>
                <w:color w:val="000000"/>
                <w:sz w:val="18"/>
                <w:szCs w:val="18"/>
              </w:rPr>
              <w:t>46</w:t>
            </w:r>
            <w:r w:rsidR="00C533B3">
              <w:rPr>
                <w:rFonts w:ascii="Calibri" w:hAnsi="Calibri"/>
                <w:color w:val="000000"/>
                <w:sz w:val="18"/>
                <w:szCs w:val="18"/>
              </w:rPr>
              <w:t>,</w:t>
            </w:r>
            <w:r w:rsidRPr="000F05A3">
              <w:rPr>
                <w:rFonts w:ascii="Calibri" w:hAnsi="Calibri"/>
                <w:color w:val="000000"/>
                <w:sz w:val="18"/>
                <w:szCs w:val="18"/>
              </w:rPr>
              <w:t>842</w:t>
            </w:r>
          </w:p>
        </w:tc>
        <w:tc>
          <w:tcPr>
            <w:tcW w:w="541" w:type="pct"/>
            <w:tcBorders>
              <w:top w:val="nil"/>
              <w:left w:val="nil"/>
              <w:bottom w:val="nil"/>
              <w:right w:val="nil"/>
            </w:tcBorders>
            <w:shd w:val="clear" w:color="auto" w:fill="auto"/>
            <w:vAlign w:val="bottom"/>
          </w:tcPr>
          <w:p w14:paraId="72A061DC" w14:textId="631E13A5" w:rsidR="00C53279" w:rsidRPr="00537128" w:rsidRDefault="00C53279" w:rsidP="00C53279">
            <w:pPr>
              <w:tabs>
                <w:tab w:val="right" w:pos="1202"/>
              </w:tabs>
              <w:spacing w:after="0" w:line="240" w:lineRule="exact"/>
              <w:jc w:val="right"/>
              <w:outlineLvl w:val="0"/>
              <w:rPr>
                <w:rFonts w:ascii="Calibri" w:eastAsia="Calibri" w:hAnsi="Calibri" w:cs="Arial"/>
                <w:spacing w:val="-2"/>
                <w:sz w:val="18"/>
                <w:szCs w:val="18"/>
                <w:lang w:val="en-US"/>
              </w:rPr>
            </w:pPr>
            <w:r w:rsidRPr="000F05A3">
              <w:rPr>
                <w:rFonts w:ascii="Calibri" w:hAnsi="Calibri"/>
                <w:color w:val="000000"/>
                <w:sz w:val="18"/>
                <w:szCs w:val="18"/>
              </w:rPr>
              <w:t>73</w:t>
            </w:r>
            <w:r w:rsidR="00C533B3">
              <w:rPr>
                <w:rFonts w:ascii="Calibri" w:hAnsi="Calibri"/>
                <w:color w:val="000000"/>
                <w:sz w:val="18"/>
                <w:szCs w:val="18"/>
              </w:rPr>
              <w:t>,</w:t>
            </w:r>
            <w:r w:rsidRPr="000F05A3">
              <w:rPr>
                <w:rFonts w:ascii="Calibri" w:hAnsi="Calibri"/>
                <w:color w:val="000000"/>
                <w:sz w:val="18"/>
                <w:szCs w:val="18"/>
              </w:rPr>
              <w:t>898</w:t>
            </w:r>
          </w:p>
        </w:tc>
        <w:tc>
          <w:tcPr>
            <w:tcW w:w="542" w:type="pct"/>
            <w:tcBorders>
              <w:top w:val="nil"/>
              <w:left w:val="nil"/>
              <w:bottom w:val="nil"/>
              <w:right w:val="nil"/>
            </w:tcBorders>
            <w:shd w:val="clear" w:color="auto" w:fill="auto"/>
            <w:vAlign w:val="bottom"/>
          </w:tcPr>
          <w:p w14:paraId="0DD7198E" w14:textId="40696F44" w:rsidR="00C53279" w:rsidRPr="00537128" w:rsidRDefault="00C53279" w:rsidP="00C53279">
            <w:pPr>
              <w:tabs>
                <w:tab w:val="right" w:pos="1202"/>
              </w:tabs>
              <w:spacing w:after="0" w:line="240" w:lineRule="exact"/>
              <w:jc w:val="right"/>
              <w:outlineLvl w:val="0"/>
              <w:rPr>
                <w:rFonts w:ascii="Calibri" w:eastAsia="Calibri" w:hAnsi="Calibri" w:cs="Arial"/>
                <w:spacing w:val="-2"/>
                <w:sz w:val="18"/>
                <w:szCs w:val="18"/>
                <w:lang w:val="en-US"/>
              </w:rPr>
            </w:pPr>
            <w:r w:rsidRPr="000F05A3">
              <w:rPr>
                <w:rFonts w:ascii="Calibri" w:hAnsi="Calibri"/>
                <w:color w:val="000000"/>
                <w:sz w:val="18"/>
                <w:szCs w:val="18"/>
              </w:rPr>
              <w:t>58</w:t>
            </w:r>
            <w:r w:rsidR="00C533B3">
              <w:rPr>
                <w:rFonts w:ascii="Calibri" w:hAnsi="Calibri"/>
                <w:color w:val="000000"/>
                <w:sz w:val="18"/>
                <w:szCs w:val="18"/>
              </w:rPr>
              <w:t>,</w:t>
            </w:r>
            <w:r w:rsidRPr="000F05A3">
              <w:rPr>
                <w:rFonts w:ascii="Calibri" w:hAnsi="Calibri"/>
                <w:color w:val="000000"/>
                <w:sz w:val="18"/>
                <w:szCs w:val="18"/>
              </w:rPr>
              <w:t>203</w:t>
            </w:r>
          </w:p>
        </w:tc>
        <w:tc>
          <w:tcPr>
            <w:tcW w:w="524" w:type="pct"/>
            <w:tcBorders>
              <w:top w:val="nil"/>
              <w:left w:val="nil"/>
              <w:bottom w:val="nil"/>
              <w:right w:val="nil"/>
            </w:tcBorders>
            <w:shd w:val="clear" w:color="auto" w:fill="auto"/>
            <w:vAlign w:val="bottom"/>
          </w:tcPr>
          <w:p w14:paraId="0FFC0DF8" w14:textId="198385FD" w:rsidR="00C53279" w:rsidRPr="00537128" w:rsidRDefault="00C53279" w:rsidP="00C53279">
            <w:pPr>
              <w:tabs>
                <w:tab w:val="right" w:pos="1202"/>
              </w:tabs>
              <w:spacing w:after="0" w:line="240" w:lineRule="exact"/>
              <w:jc w:val="right"/>
              <w:outlineLvl w:val="0"/>
              <w:rPr>
                <w:rFonts w:ascii="Calibri" w:eastAsia="Calibri" w:hAnsi="Calibri" w:cs="Arial"/>
                <w:spacing w:val="-2"/>
                <w:sz w:val="18"/>
                <w:szCs w:val="18"/>
                <w:lang w:val="en-US"/>
              </w:rPr>
            </w:pPr>
            <w:r w:rsidRPr="000F05A3">
              <w:rPr>
                <w:rFonts w:ascii="Calibri" w:hAnsi="Calibri"/>
                <w:color w:val="000000"/>
                <w:sz w:val="18"/>
                <w:szCs w:val="18"/>
              </w:rPr>
              <w:t>391</w:t>
            </w:r>
            <w:r w:rsidR="00C533B3">
              <w:rPr>
                <w:rFonts w:ascii="Calibri" w:hAnsi="Calibri"/>
                <w:color w:val="000000"/>
                <w:sz w:val="18"/>
                <w:szCs w:val="18"/>
              </w:rPr>
              <w:t>,</w:t>
            </w:r>
            <w:r w:rsidRPr="000F05A3">
              <w:rPr>
                <w:rFonts w:ascii="Calibri" w:hAnsi="Calibri"/>
                <w:color w:val="000000"/>
                <w:sz w:val="18"/>
                <w:szCs w:val="18"/>
              </w:rPr>
              <w:t>987</w:t>
            </w:r>
          </w:p>
        </w:tc>
      </w:tr>
      <w:tr w:rsidR="00C53279" w:rsidRPr="00537128" w14:paraId="06614F2E" w14:textId="77777777" w:rsidTr="005818BB">
        <w:trPr>
          <w:trHeight w:hRule="exact" w:val="270"/>
        </w:trPr>
        <w:tc>
          <w:tcPr>
            <w:tcW w:w="1772" w:type="pct"/>
            <w:vAlign w:val="bottom"/>
          </w:tcPr>
          <w:p w14:paraId="36D56480" w14:textId="77777777" w:rsidR="00C53279" w:rsidRPr="00537128" w:rsidRDefault="00C53279" w:rsidP="00C53279">
            <w:pPr>
              <w:tabs>
                <w:tab w:val="right" w:pos="1202"/>
              </w:tabs>
              <w:spacing w:after="0" w:line="200" w:lineRule="exact"/>
              <w:outlineLvl w:val="0"/>
              <w:rPr>
                <w:rFonts w:ascii="Calibri" w:eastAsia="Times New Roman" w:hAnsi="Calibri" w:cs="Arial"/>
                <w:b/>
                <w:bCs/>
                <w:sz w:val="18"/>
                <w:szCs w:val="18"/>
                <w:lang w:val="en-US"/>
              </w:rPr>
            </w:pPr>
            <w:bookmarkStart w:id="849" w:name="_Toc4062063"/>
            <w:r w:rsidRPr="00537128">
              <w:rPr>
                <w:rFonts w:ascii="Calibri" w:eastAsia="Times New Roman" w:hAnsi="Calibri" w:cs="Arial"/>
                <w:b/>
                <w:bCs/>
                <w:sz w:val="18"/>
                <w:szCs w:val="18"/>
                <w:lang w:val="en-US"/>
              </w:rPr>
              <w:t>Total liabilities</w:t>
            </w:r>
            <w:bookmarkEnd w:id="849"/>
            <w:r w:rsidRPr="00537128">
              <w:rPr>
                <w:rFonts w:ascii="Calibri" w:eastAsia="Times New Roman" w:hAnsi="Calibri" w:cs="Arial"/>
                <w:b/>
                <w:bCs/>
                <w:sz w:val="18"/>
                <w:szCs w:val="18"/>
                <w:lang w:val="en-US"/>
              </w:rPr>
              <w:t xml:space="preserve"> </w:t>
            </w:r>
          </w:p>
        </w:tc>
        <w:tc>
          <w:tcPr>
            <w:tcW w:w="538" w:type="pct"/>
            <w:tcBorders>
              <w:top w:val="single" w:sz="4" w:space="0" w:color="auto"/>
              <w:left w:val="nil"/>
              <w:bottom w:val="single" w:sz="8" w:space="0" w:color="auto"/>
              <w:right w:val="nil"/>
            </w:tcBorders>
            <w:shd w:val="clear" w:color="auto" w:fill="auto"/>
            <w:vAlign w:val="bottom"/>
          </w:tcPr>
          <w:p w14:paraId="337D463C" w14:textId="5E54E5B6" w:rsidR="00C53279" w:rsidRPr="00537128" w:rsidRDefault="00C53279" w:rsidP="00C53279">
            <w:pPr>
              <w:tabs>
                <w:tab w:val="right" w:pos="1202"/>
              </w:tabs>
              <w:spacing w:after="0" w:line="240" w:lineRule="exact"/>
              <w:jc w:val="right"/>
              <w:outlineLvl w:val="0"/>
              <w:rPr>
                <w:rFonts w:ascii="Calibri" w:eastAsia="Calibri" w:hAnsi="Calibri" w:cs="Arial"/>
                <w:b/>
                <w:spacing w:val="-2"/>
                <w:sz w:val="18"/>
                <w:szCs w:val="18"/>
                <w:lang w:val="en-US"/>
              </w:rPr>
            </w:pPr>
            <w:r w:rsidRPr="000F05A3">
              <w:rPr>
                <w:rFonts w:ascii="Calibri" w:hAnsi="Calibri"/>
                <w:b/>
                <w:bCs/>
                <w:color w:val="000000"/>
                <w:sz w:val="18"/>
                <w:szCs w:val="18"/>
              </w:rPr>
              <w:t>708</w:t>
            </w:r>
            <w:r w:rsidR="00C533B3">
              <w:rPr>
                <w:rFonts w:ascii="Calibri" w:hAnsi="Calibri"/>
                <w:b/>
                <w:bCs/>
                <w:color w:val="000000"/>
                <w:sz w:val="18"/>
                <w:szCs w:val="18"/>
              </w:rPr>
              <w:t>,</w:t>
            </w:r>
            <w:r w:rsidRPr="000F05A3">
              <w:rPr>
                <w:rFonts w:ascii="Calibri" w:hAnsi="Calibri"/>
                <w:b/>
                <w:bCs/>
                <w:color w:val="000000"/>
                <w:sz w:val="18"/>
                <w:szCs w:val="18"/>
              </w:rPr>
              <w:t>530</w:t>
            </w:r>
          </w:p>
        </w:tc>
        <w:tc>
          <w:tcPr>
            <w:tcW w:w="541" w:type="pct"/>
            <w:tcBorders>
              <w:top w:val="single" w:sz="4" w:space="0" w:color="auto"/>
              <w:left w:val="nil"/>
              <w:bottom w:val="single" w:sz="8" w:space="0" w:color="auto"/>
              <w:right w:val="nil"/>
            </w:tcBorders>
            <w:shd w:val="clear" w:color="auto" w:fill="auto"/>
            <w:vAlign w:val="bottom"/>
          </w:tcPr>
          <w:p w14:paraId="67FC4D6D" w14:textId="06C1310D" w:rsidR="00C53279" w:rsidRPr="00537128" w:rsidRDefault="00C53279" w:rsidP="00C53279">
            <w:pPr>
              <w:tabs>
                <w:tab w:val="right" w:pos="1202"/>
              </w:tabs>
              <w:spacing w:after="0" w:line="240" w:lineRule="exact"/>
              <w:jc w:val="right"/>
              <w:outlineLvl w:val="0"/>
              <w:rPr>
                <w:rFonts w:ascii="Calibri" w:eastAsia="Calibri" w:hAnsi="Calibri" w:cs="Arial"/>
                <w:b/>
                <w:spacing w:val="-2"/>
                <w:sz w:val="18"/>
                <w:szCs w:val="18"/>
                <w:lang w:val="en-US"/>
              </w:rPr>
            </w:pPr>
            <w:r w:rsidRPr="000F05A3">
              <w:rPr>
                <w:rFonts w:ascii="Calibri" w:hAnsi="Calibri"/>
                <w:b/>
                <w:bCs/>
                <w:color w:val="000000"/>
                <w:sz w:val="18"/>
                <w:szCs w:val="18"/>
              </w:rPr>
              <w:t>638</w:t>
            </w:r>
            <w:r w:rsidR="00C533B3">
              <w:rPr>
                <w:rFonts w:ascii="Calibri" w:hAnsi="Calibri"/>
                <w:b/>
                <w:bCs/>
                <w:color w:val="000000"/>
                <w:sz w:val="18"/>
                <w:szCs w:val="18"/>
              </w:rPr>
              <w:t>,</w:t>
            </w:r>
            <w:r w:rsidRPr="000F05A3">
              <w:rPr>
                <w:rFonts w:ascii="Calibri" w:hAnsi="Calibri"/>
                <w:b/>
                <w:bCs/>
                <w:color w:val="000000"/>
                <w:sz w:val="18"/>
                <w:szCs w:val="18"/>
              </w:rPr>
              <w:t>104</w:t>
            </w:r>
          </w:p>
        </w:tc>
        <w:tc>
          <w:tcPr>
            <w:tcW w:w="542" w:type="pct"/>
            <w:tcBorders>
              <w:top w:val="single" w:sz="4" w:space="0" w:color="auto"/>
              <w:left w:val="nil"/>
              <w:bottom w:val="single" w:sz="8" w:space="0" w:color="auto"/>
              <w:right w:val="nil"/>
            </w:tcBorders>
            <w:shd w:val="clear" w:color="auto" w:fill="auto"/>
            <w:vAlign w:val="bottom"/>
          </w:tcPr>
          <w:p w14:paraId="55334270" w14:textId="42B78F81" w:rsidR="00C53279" w:rsidRPr="00537128" w:rsidRDefault="00C53279" w:rsidP="00C53279">
            <w:pPr>
              <w:tabs>
                <w:tab w:val="right" w:pos="1202"/>
              </w:tabs>
              <w:spacing w:after="0" w:line="240" w:lineRule="exact"/>
              <w:jc w:val="right"/>
              <w:outlineLvl w:val="0"/>
              <w:rPr>
                <w:rFonts w:ascii="Calibri" w:eastAsia="Calibri" w:hAnsi="Calibri" w:cs="Arial"/>
                <w:b/>
                <w:spacing w:val="-2"/>
                <w:sz w:val="18"/>
                <w:szCs w:val="18"/>
                <w:lang w:val="en-US"/>
              </w:rPr>
            </w:pPr>
            <w:r w:rsidRPr="000F05A3">
              <w:rPr>
                <w:rFonts w:ascii="Calibri" w:hAnsi="Calibri"/>
                <w:b/>
                <w:bCs/>
                <w:color w:val="000000"/>
                <w:sz w:val="18"/>
                <w:szCs w:val="18"/>
              </w:rPr>
              <w:t>1</w:t>
            </w:r>
            <w:r w:rsidR="00C533B3">
              <w:rPr>
                <w:rFonts w:ascii="Calibri" w:hAnsi="Calibri"/>
                <w:b/>
                <w:bCs/>
                <w:color w:val="000000"/>
                <w:sz w:val="18"/>
                <w:szCs w:val="18"/>
              </w:rPr>
              <w:t>,</w:t>
            </w:r>
            <w:r w:rsidRPr="000F05A3">
              <w:rPr>
                <w:rFonts w:ascii="Calibri" w:hAnsi="Calibri"/>
                <w:b/>
                <w:bCs/>
                <w:color w:val="000000"/>
                <w:sz w:val="18"/>
                <w:szCs w:val="18"/>
              </w:rPr>
              <w:t>865</w:t>
            </w:r>
            <w:r w:rsidR="00C533B3">
              <w:rPr>
                <w:rFonts w:ascii="Calibri" w:hAnsi="Calibri"/>
                <w:b/>
                <w:bCs/>
                <w:color w:val="000000"/>
                <w:sz w:val="18"/>
                <w:szCs w:val="18"/>
              </w:rPr>
              <w:t>,</w:t>
            </w:r>
            <w:r w:rsidRPr="000F05A3">
              <w:rPr>
                <w:rFonts w:ascii="Calibri" w:hAnsi="Calibri"/>
                <w:b/>
                <w:bCs/>
                <w:color w:val="000000"/>
                <w:sz w:val="18"/>
                <w:szCs w:val="18"/>
              </w:rPr>
              <w:t>057</w:t>
            </w:r>
          </w:p>
        </w:tc>
        <w:tc>
          <w:tcPr>
            <w:tcW w:w="541" w:type="pct"/>
            <w:tcBorders>
              <w:top w:val="single" w:sz="4" w:space="0" w:color="auto"/>
              <w:left w:val="nil"/>
              <w:bottom w:val="single" w:sz="8" w:space="0" w:color="auto"/>
              <w:right w:val="nil"/>
            </w:tcBorders>
            <w:shd w:val="clear" w:color="auto" w:fill="auto"/>
            <w:vAlign w:val="bottom"/>
          </w:tcPr>
          <w:p w14:paraId="2A88957C" w14:textId="74DF2146" w:rsidR="00C53279" w:rsidRPr="00537128" w:rsidRDefault="00C53279" w:rsidP="00C53279">
            <w:pPr>
              <w:tabs>
                <w:tab w:val="right" w:pos="1202"/>
              </w:tabs>
              <w:spacing w:after="0" w:line="240" w:lineRule="exact"/>
              <w:jc w:val="right"/>
              <w:outlineLvl w:val="0"/>
              <w:rPr>
                <w:rFonts w:ascii="Calibri" w:eastAsia="Calibri" w:hAnsi="Calibri" w:cs="Arial"/>
                <w:b/>
                <w:spacing w:val="-2"/>
                <w:sz w:val="18"/>
                <w:szCs w:val="18"/>
                <w:lang w:val="en-US"/>
              </w:rPr>
            </w:pPr>
            <w:r w:rsidRPr="000F05A3">
              <w:rPr>
                <w:rFonts w:ascii="Calibri" w:hAnsi="Calibri"/>
                <w:b/>
                <w:bCs/>
                <w:color w:val="000000"/>
                <w:sz w:val="18"/>
                <w:szCs w:val="18"/>
              </w:rPr>
              <w:t>5</w:t>
            </w:r>
            <w:r w:rsidR="00C533B3">
              <w:rPr>
                <w:rFonts w:ascii="Calibri" w:hAnsi="Calibri"/>
                <w:b/>
                <w:bCs/>
                <w:color w:val="000000"/>
                <w:sz w:val="18"/>
                <w:szCs w:val="18"/>
              </w:rPr>
              <w:t>,</w:t>
            </w:r>
            <w:r w:rsidRPr="000F05A3">
              <w:rPr>
                <w:rFonts w:ascii="Calibri" w:hAnsi="Calibri"/>
                <w:b/>
                <w:bCs/>
                <w:color w:val="000000"/>
                <w:sz w:val="18"/>
                <w:szCs w:val="18"/>
              </w:rPr>
              <w:t>902</w:t>
            </w:r>
            <w:r w:rsidR="00C533B3">
              <w:rPr>
                <w:rFonts w:ascii="Calibri" w:hAnsi="Calibri"/>
                <w:b/>
                <w:bCs/>
                <w:color w:val="000000"/>
                <w:sz w:val="18"/>
                <w:szCs w:val="18"/>
              </w:rPr>
              <w:t>,</w:t>
            </w:r>
            <w:r w:rsidRPr="000F05A3">
              <w:rPr>
                <w:rFonts w:ascii="Calibri" w:hAnsi="Calibri"/>
                <w:b/>
                <w:bCs/>
                <w:color w:val="000000"/>
                <w:sz w:val="18"/>
                <w:szCs w:val="18"/>
              </w:rPr>
              <w:t>386</w:t>
            </w:r>
          </w:p>
        </w:tc>
        <w:tc>
          <w:tcPr>
            <w:tcW w:w="542" w:type="pct"/>
            <w:tcBorders>
              <w:top w:val="single" w:sz="4" w:space="0" w:color="auto"/>
              <w:left w:val="nil"/>
              <w:bottom w:val="single" w:sz="8" w:space="0" w:color="auto"/>
              <w:right w:val="nil"/>
            </w:tcBorders>
            <w:shd w:val="clear" w:color="auto" w:fill="auto"/>
            <w:vAlign w:val="bottom"/>
          </w:tcPr>
          <w:p w14:paraId="54DB84DF" w14:textId="10817224" w:rsidR="00C53279" w:rsidRPr="00537128" w:rsidRDefault="00C53279" w:rsidP="00C53279">
            <w:pPr>
              <w:tabs>
                <w:tab w:val="right" w:pos="1202"/>
              </w:tabs>
              <w:spacing w:after="0" w:line="240" w:lineRule="exact"/>
              <w:jc w:val="right"/>
              <w:outlineLvl w:val="0"/>
              <w:rPr>
                <w:rFonts w:ascii="Calibri" w:eastAsia="Calibri" w:hAnsi="Calibri" w:cs="Arial"/>
                <w:b/>
                <w:spacing w:val="-2"/>
                <w:sz w:val="18"/>
                <w:szCs w:val="18"/>
                <w:lang w:val="en-US"/>
              </w:rPr>
            </w:pPr>
            <w:r w:rsidRPr="000F05A3">
              <w:rPr>
                <w:rFonts w:ascii="Calibri" w:hAnsi="Calibri"/>
                <w:b/>
                <w:bCs/>
                <w:color w:val="000000"/>
                <w:sz w:val="18"/>
                <w:szCs w:val="18"/>
              </w:rPr>
              <w:t>7</w:t>
            </w:r>
            <w:r w:rsidR="00C533B3">
              <w:rPr>
                <w:rFonts w:ascii="Calibri" w:hAnsi="Calibri"/>
                <w:b/>
                <w:bCs/>
                <w:color w:val="000000"/>
                <w:sz w:val="18"/>
                <w:szCs w:val="18"/>
              </w:rPr>
              <w:t>,</w:t>
            </w:r>
            <w:r w:rsidRPr="000F05A3">
              <w:rPr>
                <w:rFonts w:ascii="Calibri" w:hAnsi="Calibri"/>
                <w:b/>
                <w:bCs/>
                <w:color w:val="000000"/>
                <w:sz w:val="18"/>
                <w:szCs w:val="18"/>
              </w:rPr>
              <w:t>858</w:t>
            </w:r>
            <w:r w:rsidR="00C533B3">
              <w:rPr>
                <w:rFonts w:ascii="Calibri" w:hAnsi="Calibri"/>
                <w:b/>
                <w:bCs/>
                <w:color w:val="000000"/>
                <w:sz w:val="18"/>
                <w:szCs w:val="18"/>
              </w:rPr>
              <w:t>,</w:t>
            </w:r>
            <w:r w:rsidRPr="000F05A3">
              <w:rPr>
                <w:rFonts w:ascii="Calibri" w:hAnsi="Calibri"/>
                <w:b/>
                <w:bCs/>
                <w:color w:val="000000"/>
                <w:sz w:val="18"/>
                <w:szCs w:val="18"/>
              </w:rPr>
              <w:t>975</w:t>
            </w:r>
          </w:p>
        </w:tc>
        <w:tc>
          <w:tcPr>
            <w:tcW w:w="524" w:type="pct"/>
            <w:tcBorders>
              <w:top w:val="single" w:sz="4" w:space="0" w:color="auto"/>
              <w:left w:val="nil"/>
              <w:bottom w:val="single" w:sz="8" w:space="0" w:color="auto"/>
              <w:right w:val="nil"/>
            </w:tcBorders>
            <w:shd w:val="clear" w:color="auto" w:fill="auto"/>
            <w:vAlign w:val="bottom"/>
          </w:tcPr>
          <w:p w14:paraId="04853C27" w14:textId="7D509C13" w:rsidR="00C53279" w:rsidRPr="00537128" w:rsidRDefault="00C53279" w:rsidP="00C53279">
            <w:pPr>
              <w:tabs>
                <w:tab w:val="right" w:pos="1202"/>
              </w:tabs>
              <w:spacing w:after="0" w:line="240" w:lineRule="exact"/>
              <w:jc w:val="right"/>
              <w:outlineLvl w:val="0"/>
              <w:rPr>
                <w:rFonts w:ascii="Calibri" w:eastAsia="Calibri" w:hAnsi="Calibri" w:cs="Arial"/>
                <w:b/>
                <w:spacing w:val="-2"/>
                <w:sz w:val="18"/>
                <w:szCs w:val="18"/>
                <w:lang w:val="en-US"/>
              </w:rPr>
            </w:pPr>
            <w:r w:rsidRPr="000F05A3">
              <w:rPr>
                <w:rFonts w:ascii="Calibri" w:hAnsi="Calibri"/>
                <w:b/>
                <w:bCs/>
                <w:color w:val="000000"/>
                <w:sz w:val="18"/>
                <w:szCs w:val="18"/>
              </w:rPr>
              <w:t>16</w:t>
            </w:r>
            <w:r w:rsidR="00C533B3">
              <w:rPr>
                <w:rFonts w:ascii="Calibri" w:hAnsi="Calibri"/>
                <w:b/>
                <w:bCs/>
                <w:color w:val="000000"/>
                <w:sz w:val="18"/>
                <w:szCs w:val="18"/>
              </w:rPr>
              <w:t>,</w:t>
            </w:r>
            <w:r w:rsidRPr="000F05A3">
              <w:rPr>
                <w:rFonts w:ascii="Calibri" w:hAnsi="Calibri"/>
                <w:b/>
                <w:bCs/>
                <w:color w:val="000000"/>
                <w:sz w:val="18"/>
                <w:szCs w:val="18"/>
              </w:rPr>
              <w:t>973</w:t>
            </w:r>
            <w:r w:rsidR="00C533B3">
              <w:rPr>
                <w:rFonts w:ascii="Calibri" w:hAnsi="Calibri"/>
                <w:b/>
                <w:bCs/>
                <w:color w:val="000000"/>
                <w:sz w:val="18"/>
                <w:szCs w:val="18"/>
              </w:rPr>
              <w:t>,</w:t>
            </w:r>
            <w:r w:rsidRPr="000F05A3">
              <w:rPr>
                <w:rFonts w:ascii="Calibri" w:hAnsi="Calibri"/>
                <w:b/>
                <w:bCs/>
                <w:color w:val="000000"/>
                <w:sz w:val="18"/>
                <w:szCs w:val="18"/>
              </w:rPr>
              <w:t>052</w:t>
            </w:r>
          </w:p>
        </w:tc>
      </w:tr>
      <w:tr w:rsidR="00C53279" w:rsidRPr="00537128" w14:paraId="4591AC0A" w14:textId="77777777" w:rsidTr="005818BB">
        <w:trPr>
          <w:trHeight w:hRule="exact" w:val="407"/>
        </w:trPr>
        <w:tc>
          <w:tcPr>
            <w:tcW w:w="1772" w:type="pct"/>
            <w:vAlign w:val="bottom"/>
          </w:tcPr>
          <w:p w14:paraId="5E27553A" w14:textId="77777777" w:rsidR="00C53279" w:rsidRPr="00537128" w:rsidRDefault="00C53279" w:rsidP="00C53279">
            <w:pPr>
              <w:tabs>
                <w:tab w:val="right" w:pos="1202"/>
              </w:tabs>
              <w:spacing w:after="0" w:line="200" w:lineRule="exact"/>
              <w:outlineLvl w:val="0"/>
              <w:rPr>
                <w:rFonts w:ascii="Calibri" w:eastAsia="Times New Roman" w:hAnsi="Calibri" w:cs="Arial"/>
                <w:b/>
                <w:bCs/>
                <w:spacing w:val="-2"/>
                <w:sz w:val="18"/>
                <w:szCs w:val="18"/>
                <w:lang w:val="en-US"/>
              </w:rPr>
            </w:pPr>
            <w:bookmarkStart w:id="850" w:name="_Toc4062070"/>
            <w:r w:rsidRPr="00537128">
              <w:rPr>
                <w:rFonts w:ascii="Calibri" w:eastAsia="Times New Roman" w:hAnsi="Calibri" w:cs="Arial"/>
                <w:b/>
                <w:bCs/>
                <w:spacing w:val="-2"/>
                <w:sz w:val="18"/>
                <w:szCs w:val="18"/>
                <w:lang w:val="en-US"/>
              </w:rPr>
              <w:t>Liquidity gap</w:t>
            </w:r>
            <w:bookmarkEnd w:id="850"/>
          </w:p>
        </w:tc>
        <w:tc>
          <w:tcPr>
            <w:tcW w:w="538" w:type="pct"/>
            <w:tcBorders>
              <w:top w:val="single" w:sz="4" w:space="0" w:color="auto"/>
              <w:left w:val="nil"/>
              <w:bottom w:val="single" w:sz="8" w:space="0" w:color="auto"/>
              <w:right w:val="nil"/>
            </w:tcBorders>
            <w:shd w:val="clear" w:color="auto" w:fill="auto"/>
            <w:vAlign w:val="bottom"/>
          </w:tcPr>
          <w:p w14:paraId="25FD70C8" w14:textId="2AF8A985" w:rsidR="00C53279" w:rsidRPr="00537128" w:rsidRDefault="00C53279" w:rsidP="00C53279">
            <w:pPr>
              <w:tabs>
                <w:tab w:val="right" w:pos="1202"/>
              </w:tabs>
              <w:spacing w:after="0" w:line="240" w:lineRule="exact"/>
              <w:jc w:val="right"/>
              <w:outlineLvl w:val="0"/>
              <w:rPr>
                <w:rFonts w:ascii="Calibri" w:eastAsia="Calibri" w:hAnsi="Calibri" w:cs="Arial"/>
                <w:b/>
                <w:spacing w:val="-2"/>
                <w:sz w:val="18"/>
                <w:szCs w:val="18"/>
                <w:lang w:val="en-US"/>
              </w:rPr>
            </w:pPr>
            <w:r w:rsidRPr="000F05A3">
              <w:rPr>
                <w:rFonts w:ascii="Calibri" w:hAnsi="Calibri"/>
                <w:b/>
                <w:bCs/>
                <w:color w:val="000000"/>
                <w:sz w:val="18"/>
                <w:szCs w:val="18"/>
              </w:rPr>
              <w:t>5</w:t>
            </w:r>
            <w:r w:rsidR="00C533B3">
              <w:rPr>
                <w:rFonts w:ascii="Calibri" w:hAnsi="Calibri"/>
                <w:b/>
                <w:bCs/>
                <w:color w:val="000000"/>
                <w:sz w:val="18"/>
                <w:szCs w:val="18"/>
              </w:rPr>
              <w:t>,</w:t>
            </w:r>
            <w:r w:rsidRPr="000F05A3">
              <w:rPr>
                <w:rFonts w:ascii="Calibri" w:hAnsi="Calibri"/>
                <w:b/>
                <w:bCs/>
                <w:color w:val="000000"/>
                <w:sz w:val="18"/>
                <w:szCs w:val="18"/>
              </w:rPr>
              <w:t>7</w:t>
            </w:r>
            <w:r w:rsidR="00D64002">
              <w:rPr>
                <w:rFonts w:ascii="Calibri" w:hAnsi="Calibri"/>
                <w:b/>
                <w:bCs/>
                <w:color w:val="000000"/>
                <w:sz w:val="18"/>
                <w:szCs w:val="18"/>
              </w:rPr>
              <w:t>7</w:t>
            </w:r>
            <w:r w:rsidRPr="000F05A3">
              <w:rPr>
                <w:rFonts w:ascii="Calibri" w:hAnsi="Calibri"/>
                <w:b/>
                <w:bCs/>
                <w:color w:val="000000"/>
                <w:sz w:val="18"/>
                <w:szCs w:val="18"/>
              </w:rPr>
              <w:t>2</w:t>
            </w:r>
            <w:r w:rsidR="00C533B3">
              <w:rPr>
                <w:rFonts w:ascii="Calibri" w:hAnsi="Calibri"/>
                <w:b/>
                <w:bCs/>
                <w:color w:val="000000"/>
                <w:sz w:val="18"/>
                <w:szCs w:val="18"/>
              </w:rPr>
              <w:t>,</w:t>
            </w:r>
            <w:r w:rsidR="00D64002">
              <w:rPr>
                <w:rFonts w:ascii="Calibri" w:hAnsi="Calibri"/>
                <w:b/>
                <w:bCs/>
                <w:color w:val="000000"/>
                <w:sz w:val="18"/>
                <w:szCs w:val="18"/>
              </w:rPr>
              <w:t>416</w:t>
            </w:r>
          </w:p>
        </w:tc>
        <w:tc>
          <w:tcPr>
            <w:tcW w:w="541" w:type="pct"/>
            <w:tcBorders>
              <w:top w:val="single" w:sz="4" w:space="0" w:color="auto"/>
              <w:left w:val="nil"/>
              <w:bottom w:val="single" w:sz="8" w:space="0" w:color="auto"/>
              <w:right w:val="nil"/>
            </w:tcBorders>
            <w:shd w:val="clear" w:color="auto" w:fill="auto"/>
            <w:vAlign w:val="bottom"/>
          </w:tcPr>
          <w:p w14:paraId="06DC72EA" w14:textId="1BE80BB5" w:rsidR="00C53279" w:rsidRPr="00537128" w:rsidRDefault="00C53279" w:rsidP="00C53279">
            <w:pPr>
              <w:tabs>
                <w:tab w:val="right" w:pos="1202"/>
              </w:tabs>
              <w:spacing w:after="0" w:line="240" w:lineRule="exact"/>
              <w:jc w:val="right"/>
              <w:outlineLvl w:val="0"/>
              <w:rPr>
                <w:rFonts w:ascii="Calibri" w:eastAsia="Calibri" w:hAnsi="Calibri" w:cs="Arial"/>
                <w:b/>
                <w:spacing w:val="-2"/>
                <w:sz w:val="18"/>
                <w:szCs w:val="18"/>
                <w:lang w:val="en-US"/>
              </w:rPr>
            </w:pPr>
            <w:r w:rsidRPr="000F05A3">
              <w:rPr>
                <w:rFonts w:ascii="Calibri" w:hAnsi="Calibri"/>
                <w:b/>
                <w:bCs/>
                <w:color w:val="000000"/>
                <w:sz w:val="18"/>
                <w:szCs w:val="18"/>
              </w:rPr>
              <w:t>1</w:t>
            </w:r>
            <w:r w:rsidR="00D64002">
              <w:rPr>
                <w:rFonts w:ascii="Calibri" w:hAnsi="Calibri"/>
                <w:b/>
                <w:bCs/>
                <w:color w:val="000000"/>
                <w:sz w:val="18"/>
                <w:szCs w:val="18"/>
              </w:rPr>
              <w:t>2</w:t>
            </w:r>
            <w:r w:rsidRPr="000F05A3">
              <w:rPr>
                <w:rFonts w:ascii="Calibri" w:hAnsi="Calibri"/>
                <w:b/>
                <w:bCs/>
                <w:color w:val="000000"/>
                <w:sz w:val="18"/>
                <w:szCs w:val="18"/>
              </w:rPr>
              <w:t>4</w:t>
            </w:r>
            <w:r w:rsidR="00C533B3">
              <w:rPr>
                <w:rFonts w:ascii="Calibri" w:hAnsi="Calibri"/>
                <w:b/>
                <w:bCs/>
                <w:color w:val="000000"/>
                <w:sz w:val="18"/>
                <w:szCs w:val="18"/>
              </w:rPr>
              <w:t>,</w:t>
            </w:r>
            <w:r w:rsidR="00470001">
              <w:rPr>
                <w:rFonts w:ascii="Calibri" w:hAnsi="Calibri"/>
                <w:b/>
                <w:bCs/>
                <w:color w:val="000000"/>
                <w:sz w:val="18"/>
                <w:szCs w:val="18"/>
              </w:rPr>
              <w:t>391</w:t>
            </w:r>
          </w:p>
        </w:tc>
        <w:tc>
          <w:tcPr>
            <w:tcW w:w="542" w:type="pct"/>
            <w:tcBorders>
              <w:top w:val="single" w:sz="4" w:space="0" w:color="auto"/>
              <w:left w:val="nil"/>
              <w:bottom w:val="single" w:sz="8" w:space="0" w:color="auto"/>
              <w:right w:val="nil"/>
            </w:tcBorders>
            <w:shd w:val="clear" w:color="auto" w:fill="auto"/>
            <w:vAlign w:val="bottom"/>
          </w:tcPr>
          <w:p w14:paraId="52312EB5" w14:textId="14429C17" w:rsidR="00C53279" w:rsidRPr="00537128" w:rsidRDefault="00C53279" w:rsidP="00C53279">
            <w:pPr>
              <w:tabs>
                <w:tab w:val="right" w:pos="1202"/>
              </w:tabs>
              <w:spacing w:after="0" w:line="240" w:lineRule="exact"/>
              <w:jc w:val="right"/>
              <w:outlineLvl w:val="0"/>
              <w:rPr>
                <w:rFonts w:ascii="Calibri" w:eastAsia="Calibri" w:hAnsi="Calibri" w:cs="Arial"/>
                <w:b/>
                <w:spacing w:val="-2"/>
                <w:sz w:val="18"/>
                <w:szCs w:val="18"/>
                <w:lang w:val="en-US"/>
              </w:rPr>
            </w:pPr>
            <w:r w:rsidRPr="000F05A3">
              <w:rPr>
                <w:rFonts w:ascii="Calibri" w:hAnsi="Calibri"/>
                <w:b/>
                <w:bCs/>
                <w:color w:val="000000"/>
                <w:sz w:val="18"/>
                <w:szCs w:val="18"/>
              </w:rPr>
              <w:t>123</w:t>
            </w:r>
            <w:r w:rsidR="00C533B3">
              <w:rPr>
                <w:rFonts w:ascii="Calibri" w:hAnsi="Calibri"/>
                <w:b/>
                <w:bCs/>
                <w:color w:val="000000"/>
                <w:sz w:val="18"/>
                <w:szCs w:val="18"/>
              </w:rPr>
              <w:t>,</w:t>
            </w:r>
            <w:r w:rsidRPr="000F05A3">
              <w:rPr>
                <w:rFonts w:ascii="Calibri" w:hAnsi="Calibri"/>
                <w:b/>
                <w:bCs/>
                <w:color w:val="000000"/>
                <w:sz w:val="18"/>
                <w:szCs w:val="18"/>
              </w:rPr>
              <w:t>146</w:t>
            </w:r>
          </w:p>
        </w:tc>
        <w:tc>
          <w:tcPr>
            <w:tcW w:w="541" w:type="pct"/>
            <w:tcBorders>
              <w:top w:val="single" w:sz="4" w:space="0" w:color="auto"/>
              <w:left w:val="nil"/>
              <w:bottom w:val="single" w:sz="8" w:space="0" w:color="auto"/>
              <w:right w:val="nil"/>
            </w:tcBorders>
            <w:shd w:val="clear" w:color="auto" w:fill="auto"/>
            <w:vAlign w:val="bottom"/>
          </w:tcPr>
          <w:p w14:paraId="43D9BC55" w14:textId="4FC71821" w:rsidR="00C53279" w:rsidRPr="00537128" w:rsidRDefault="00C53279" w:rsidP="00C53279">
            <w:pPr>
              <w:tabs>
                <w:tab w:val="right" w:pos="1202"/>
              </w:tabs>
              <w:spacing w:after="0" w:line="240" w:lineRule="exact"/>
              <w:jc w:val="right"/>
              <w:outlineLvl w:val="0"/>
              <w:rPr>
                <w:rFonts w:ascii="Calibri" w:eastAsia="Calibri" w:hAnsi="Calibri" w:cs="Arial"/>
                <w:b/>
                <w:spacing w:val="-2"/>
                <w:sz w:val="18"/>
                <w:szCs w:val="18"/>
                <w:lang w:val="en-US"/>
              </w:rPr>
            </w:pPr>
            <w:r w:rsidRPr="000F05A3">
              <w:rPr>
                <w:rFonts w:ascii="Calibri" w:hAnsi="Calibri"/>
                <w:b/>
                <w:bCs/>
                <w:color w:val="000000"/>
                <w:sz w:val="18"/>
                <w:szCs w:val="18"/>
              </w:rPr>
              <w:t>(723</w:t>
            </w:r>
            <w:r w:rsidR="00C533B3">
              <w:rPr>
                <w:rFonts w:ascii="Calibri" w:hAnsi="Calibri"/>
                <w:b/>
                <w:bCs/>
                <w:color w:val="000000"/>
                <w:sz w:val="18"/>
                <w:szCs w:val="18"/>
              </w:rPr>
              <w:t>,</w:t>
            </w:r>
            <w:r w:rsidRPr="000F05A3">
              <w:rPr>
                <w:rFonts w:ascii="Calibri" w:hAnsi="Calibri"/>
                <w:b/>
                <w:bCs/>
                <w:color w:val="000000"/>
                <w:sz w:val="18"/>
                <w:szCs w:val="18"/>
              </w:rPr>
              <w:t>141)</w:t>
            </w:r>
          </w:p>
        </w:tc>
        <w:tc>
          <w:tcPr>
            <w:tcW w:w="542" w:type="pct"/>
            <w:tcBorders>
              <w:top w:val="single" w:sz="4" w:space="0" w:color="auto"/>
              <w:left w:val="nil"/>
              <w:bottom w:val="single" w:sz="8" w:space="0" w:color="auto"/>
              <w:right w:val="nil"/>
            </w:tcBorders>
            <w:shd w:val="clear" w:color="auto" w:fill="auto"/>
            <w:vAlign w:val="bottom"/>
          </w:tcPr>
          <w:p w14:paraId="131AD5E9" w14:textId="2E90F206" w:rsidR="00C53279" w:rsidRPr="00537128" w:rsidRDefault="00C53279" w:rsidP="00C53279">
            <w:pPr>
              <w:tabs>
                <w:tab w:val="right" w:pos="1202"/>
              </w:tabs>
              <w:spacing w:after="0" w:line="240" w:lineRule="exact"/>
              <w:jc w:val="right"/>
              <w:outlineLvl w:val="0"/>
              <w:rPr>
                <w:rFonts w:ascii="Calibri" w:eastAsia="Calibri" w:hAnsi="Calibri" w:cs="Arial"/>
                <w:b/>
                <w:spacing w:val="-2"/>
                <w:sz w:val="18"/>
                <w:szCs w:val="18"/>
                <w:lang w:val="en-US"/>
              </w:rPr>
            </w:pPr>
            <w:r w:rsidRPr="000F05A3">
              <w:rPr>
                <w:rFonts w:ascii="Calibri" w:hAnsi="Calibri"/>
                <w:b/>
                <w:bCs/>
                <w:color w:val="000000"/>
                <w:sz w:val="18"/>
                <w:szCs w:val="18"/>
              </w:rPr>
              <w:t>5</w:t>
            </w:r>
            <w:r w:rsidR="00C533B3">
              <w:rPr>
                <w:rFonts w:ascii="Calibri" w:hAnsi="Calibri"/>
                <w:b/>
                <w:bCs/>
                <w:color w:val="000000"/>
                <w:sz w:val="18"/>
                <w:szCs w:val="18"/>
              </w:rPr>
              <w:t>,</w:t>
            </w:r>
            <w:r w:rsidRPr="000F05A3">
              <w:rPr>
                <w:rFonts w:ascii="Calibri" w:hAnsi="Calibri"/>
                <w:b/>
                <w:bCs/>
                <w:color w:val="000000"/>
                <w:sz w:val="18"/>
                <w:szCs w:val="18"/>
              </w:rPr>
              <w:t>481</w:t>
            </w:r>
            <w:r w:rsidR="00C533B3">
              <w:rPr>
                <w:rFonts w:ascii="Calibri" w:hAnsi="Calibri"/>
                <w:b/>
                <w:bCs/>
                <w:color w:val="000000"/>
                <w:sz w:val="18"/>
                <w:szCs w:val="18"/>
              </w:rPr>
              <w:t>,</w:t>
            </w:r>
            <w:r w:rsidRPr="000F05A3">
              <w:rPr>
                <w:rFonts w:ascii="Calibri" w:hAnsi="Calibri"/>
                <w:b/>
                <w:bCs/>
                <w:color w:val="000000"/>
                <w:sz w:val="18"/>
                <w:szCs w:val="18"/>
              </w:rPr>
              <w:t>477</w:t>
            </w:r>
          </w:p>
        </w:tc>
        <w:tc>
          <w:tcPr>
            <w:tcW w:w="524" w:type="pct"/>
            <w:tcBorders>
              <w:top w:val="single" w:sz="4" w:space="0" w:color="auto"/>
              <w:left w:val="nil"/>
              <w:bottom w:val="single" w:sz="8" w:space="0" w:color="auto"/>
              <w:right w:val="nil"/>
            </w:tcBorders>
            <w:shd w:val="clear" w:color="auto" w:fill="auto"/>
            <w:vAlign w:val="bottom"/>
          </w:tcPr>
          <w:p w14:paraId="078CF4A2" w14:textId="7369F26A" w:rsidR="00C53279" w:rsidRPr="00537128" w:rsidRDefault="00C53279" w:rsidP="00C53279">
            <w:pPr>
              <w:tabs>
                <w:tab w:val="right" w:pos="1202"/>
              </w:tabs>
              <w:spacing w:after="0" w:line="240" w:lineRule="exact"/>
              <w:jc w:val="right"/>
              <w:outlineLvl w:val="0"/>
              <w:rPr>
                <w:rFonts w:ascii="Calibri" w:eastAsia="Calibri" w:hAnsi="Calibri" w:cs="Arial"/>
                <w:b/>
                <w:spacing w:val="-2"/>
                <w:sz w:val="18"/>
                <w:szCs w:val="18"/>
                <w:lang w:val="en-US"/>
              </w:rPr>
            </w:pPr>
            <w:r w:rsidRPr="000F05A3">
              <w:rPr>
                <w:rFonts w:ascii="Calibri" w:hAnsi="Calibri"/>
                <w:b/>
                <w:bCs/>
                <w:color w:val="000000"/>
                <w:sz w:val="18"/>
                <w:szCs w:val="18"/>
              </w:rPr>
              <w:t>10</w:t>
            </w:r>
            <w:r w:rsidR="00C533B3">
              <w:rPr>
                <w:rFonts w:ascii="Calibri" w:hAnsi="Calibri"/>
                <w:b/>
                <w:bCs/>
                <w:color w:val="000000"/>
                <w:sz w:val="18"/>
                <w:szCs w:val="18"/>
              </w:rPr>
              <w:t>,</w:t>
            </w:r>
            <w:r w:rsidRPr="000F05A3">
              <w:rPr>
                <w:rFonts w:ascii="Calibri" w:hAnsi="Calibri"/>
                <w:b/>
                <w:bCs/>
                <w:color w:val="000000"/>
                <w:sz w:val="18"/>
                <w:szCs w:val="18"/>
              </w:rPr>
              <w:t>778</w:t>
            </w:r>
            <w:r w:rsidR="00C533B3">
              <w:rPr>
                <w:rFonts w:ascii="Calibri" w:hAnsi="Calibri"/>
                <w:b/>
                <w:bCs/>
                <w:color w:val="000000"/>
                <w:sz w:val="18"/>
                <w:szCs w:val="18"/>
              </w:rPr>
              <w:t>,</w:t>
            </w:r>
            <w:r w:rsidRPr="000F05A3">
              <w:rPr>
                <w:rFonts w:ascii="Calibri" w:hAnsi="Calibri"/>
                <w:b/>
                <w:bCs/>
                <w:color w:val="000000"/>
                <w:sz w:val="18"/>
                <w:szCs w:val="18"/>
              </w:rPr>
              <w:t>289</w:t>
            </w:r>
          </w:p>
        </w:tc>
      </w:tr>
      <w:tr w:rsidR="00C53279" w:rsidRPr="00537128" w14:paraId="659D774B" w14:textId="77777777" w:rsidTr="005818BB">
        <w:trPr>
          <w:trHeight w:hRule="exact" w:val="270"/>
        </w:trPr>
        <w:tc>
          <w:tcPr>
            <w:tcW w:w="1772" w:type="pct"/>
            <w:vAlign w:val="bottom"/>
          </w:tcPr>
          <w:p w14:paraId="0081D686" w14:textId="77777777" w:rsidR="00C53279" w:rsidRPr="00537128" w:rsidRDefault="00C53279" w:rsidP="00C53279">
            <w:pPr>
              <w:tabs>
                <w:tab w:val="right" w:pos="1202"/>
              </w:tabs>
              <w:spacing w:after="0" w:line="200" w:lineRule="exact"/>
              <w:outlineLvl w:val="0"/>
              <w:rPr>
                <w:rFonts w:ascii="Calibri" w:eastAsia="Times New Roman" w:hAnsi="Calibri" w:cs="Arial"/>
                <w:b/>
                <w:bCs/>
                <w:spacing w:val="-2"/>
                <w:sz w:val="18"/>
                <w:szCs w:val="18"/>
                <w:lang w:val="en-US"/>
              </w:rPr>
            </w:pPr>
          </w:p>
        </w:tc>
        <w:tc>
          <w:tcPr>
            <w:tcW w:w="538" w:type="pct"/>
            <w:tcBorders>
              <w:top w:val="single" w:sz="12" w:space="0" w:color="auto"/>
              <w:left w:val="nil"/>
              <w:right w:val="nil"/>
            </w:tcBorders>
            <w:shd w:val="clear" w:color="auto" w:fill="auto"/>
            <w:vAlign w:val="bottom"/>
          </w:tcPr>
          <w:p w14:paraId="100F92D2" w14:textId="77777777" w:rsidR="00C53279" w:rsidRPr="00537128" w:rsidRDefault="00C53279" w:rsidP="00C53279">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single" w:sz="12" w:space="0" w:color="auto"/>
              <w:left w:val="nil"/>
              <w:right w:val="nil"/>
            </w:tcBorders>
            <w:shd w:val="clear" w:color="auto" w:fill="auto"/>
            <w:vAlign w:val="bottom"/>
          </w:tcPr>
          <w:p w14:paraId="40804859" w14:textId="77777777" w:rsidR="00C53279" w:rsidRPr="00537128" w:rsidRDefault="00C53279" w:rsidP="00C53279">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single" w:sz="12" w:space="0" w:color="auto"/>
              <w:left w:val="nil"/>
              <w:right w:val="nil"/>
            </w:tcBorders>
            <w:shd w:val="clear" w:color="auto" w:fill="auto"/>
            <w:vAlign w:val="bottom"/>
          </w:tcPr>
          <w:p w14:paraId="14645D4E" w14:textId="77777777" w:rsidR="00C53279" w:rsidRPr="00537128" w:rsidRDefault="00C53279" w:rsidP="00C53279">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single" w:sz="12" w:space="0" w:color="auto"/>
              <w:left w:val="nil"/>
              <w:right w:val="nil"/>
            </w:tcBorders>
            <w:shd w:val="clear" w:color="auto" w:fill="auto"/>
            <w:vAlign w:val="bottom"/>
          </w:tcPr>
          <w:p w14:paraId="695C48C2" w14:textId="77777777" w:rsidR="00C53279" w:rsidRPr="00537128" w:rsidRDefault="00C53279" w:rsidP="00C53279">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single" w:sz="12" w:space="0" w:color="auto"/>
              <w:left w:val="nil"/>
              <w:right w:val="nil"/>
            </w:tcBorders>
            <w:shd w:val="clear" w:color="auto" w:fill="auto"/>
            <w:vAlign w:val="bottom"/>
          </w:tcPr>
          <w:p w14:paraId="14602900" w14:textId="77777777" w:rsidR="00C53279" w:rsidRPr="00537128" w:rsidRDefault="00C53279" w:rsidP="00C53279">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24" w:type="pct"/>
            <w:tcBorders>
              <w:top w:val="single" w:sz="12" w:space="0" w:color="auto"/>
              <w:left w:val="nil"/>
              <w:right w:val="nil"/>
            </w:tcBorders>
            <w:shd w:val="clear" w:color="auto" w:fill="auto"/>
            <w:vAlign w:val="bottom"/>
          </w:tcPr>
          <w:p w14:paraId="48119567" w14:textId="77777777" w:rsidR="00C53279" w:rsidRPr="00537128" w:rsidRDefault="00C53279" w:rsidP="00C53279">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C53279" w:rsidRPr="00537128" w14:paraId="25C878E8" w14:textId="77777777" w:rsidTr="005818BB">
        <w:trPr>
          <w:trHeight w:hRule="exact" w:val="270"/>
        </w:trPr>
        <w:tc>
          <w:tcPr>
            <w:tcW w:w="1772" w:type="pct"/>
            <w:vAlign w:val="bottom"/>
          </w:tcPr>
          <w:p w14:paraId="64F66125" w14:textId="77777777" w:rsidR="00C53279" w:rsidRPr="00537128" w:rsidRDefault="00C53279" w:rsidP="00C53279">
            <w:pPr>
              <w:tabs>
                <w:tab w:val="right" w:pos="1202"/>
              </w:tabs>
              <w:spacing w:after="0" w:line="200" w:lineRule="exact"/>
              <w:outlineLvl w:val="0"/>
              <w:rPr>
                <w:rFonts w:ascii="Calibri" w:eastAsia="Times New Roman" w:hAnsi="Calibri" w:cs="Arial"/>
                <w:b/>
                <w:bCs/>
                <w:spacing w:val="-2"/>
                <w:sz w:val="18"/>
                <w:szCs w:val="18"/>
                <w:lang w:val="en-US"/>
              </w:rPr>
            </w:pPr>
            <w:bookmarkStart w:id="851" w:name="_Toc4062077"/>
            <w:r w:rsidRPr="00537128">
              <w:rPr>
                <w:rFonts w:ascii="Calibri" w:eastAsia="Times New Roman" w:hAnsi="Calibri" w:cs="Arial"/>
                <w:b/>
                <w:bCs/>
                <w:spacing w:val="-2"/>
                <w:sz w:val="18"/>
                <w:szCs w:val="18"/>
                <w:lang w:val="en-US"/>
              </w:rPr>
              <w:t>Guarantees and commitments</w:t>
            </w:r>
            <w:bookmarkEnd w:id="851"/>
          </w:p>
        </w:tc>
        <w:tc>
          <w:tcPr>
            <w:tcW w:w="538" w:type="pct"/>
            <w:tcBorders>
              <w:top w:val="nil"/>
              <w:left w:val="nil"/>
              <w:bottom w:val="nil"/>
              <w:right w:val="nil"/>
            </w:tcBorders>
            <w:shd w:val="clear" w:color="auto" w:fill="auto"/>
            <w:vAlign w:val="bottom"/>
          </w:tcPr>
          <w:p w14:paraId="5AF9ADAB" w14:textId="77777777" w:rsidR="00C53279" w:rsidRPr="00537128" w:rsidRDefault="00C53279" w:rsidP="00C53279">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nil"/>
              <w:left w:val="nil"/>
              <w:bottom w:val="nil"/>
              <w:right w:val="nil"/>
            </w:tcBorders>
            <w:shd w:val="clear" w:color="auto" w:fill="auto"/>
            <w:vAlign w:val="bottom"/>
          </w:tcPr>
          <w:p w14:paraId="3788622C" w14:textId="77777777" w:rsidR="00C53279" w:rsidRPr="00537128" w:rsidRDefault="00C53279" w:rsidP="00C53279">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nil"/>
              <w:left w:val="nil"/>
              <w:bottom w:val="nil"/>
              <w:right w:val="nil"/>
            </w:tcBorders>
            <w:shd w:val="clear" w:color="auto" w:fill="auto"/>
            <w:vAlign w:val="bottom"/>
          </w:tcPr>
          <w:p w14:paraId="062AFECA" w14:textId="77777777" w:rsidR="00C53279" w:rsidRPr="00537128" w:rsidRDefault="00C53279" w:rsidP="00C53279">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nil"/>
              <w:left w:val="nil"/>
              <w:bottom w:val="nil"/>
              <w:right w:val="nil"/>
            </w:tcBorders>
            <w:shd w:val="clear" w:color="auto" w:fill="auto"/>
            <w:vAlign w:val="bottom"/>
          </w:tcPr>
          <w:p w14:paraId="3A7D45D4" w14:textId="77777777" w:rsidR="00C53279" w:rsidRPr="00537128" w:rsidRDefault="00C53279" w:rsidP="00C53279">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nil"/>
              <w:left w:val="nil"/>
              <w:bottom w:val="nil"/>
              <w:right w:val="nil"/>
            </w:tcBorders>
            <w:shd w:val="clear" w:color="auto" w:fill="auto"/>
            <w:vAlign w:val="bottom"/>
          </w:tcPr>
          <w:p w14:paraId="72ECA390" w14:textId="77777777" w:rsidR="00C53279" w:rsidRPr="00537128" w:rsidRDefault="00C53279" w:rsidP="00C53279">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24" w:type="pct"/>
            <w:tcBorders>
              <w:top w:val="nil"/>
              <w:left w:val="nil"/>
              <w:bottom w:val="nil"/>
              <w:right w:val="nil"/>
            </w:tcBorders>
            <w:shd w:val="clear" w:color="auto" w:fill="auto"/>
            <w:vAlign w:val="bottom"/>
          </w:tcPr>
          <w:p w14:paraId="7B4BCB70" w14:textId="77777777" w:rsidR="00C53279" w:rsidRPr="00537128" w:rsidRDefault="00C53279" w:rsidP="00C53279">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755316" w:rsidRPr="00537128" w14:paraId="0090C02D" w14:textId="77777777" w:rsidTr="005818BB">
        <w:trPr>
          <w:trHeight w:hRule="exact" w:val="270"/>
        </w:trPr>
        <w:tc>
          <w:tcPr>
            <w:tcW w:w="1772" w:type="pct"/>
            <w:vAlign w:val="bottom"/>
          </w:tcPr>
          <w:p w14:paraId="16D32171" w14:textId="77777777" w:rsidR="00755316" w:rsidRPr="00537128" w:rsidRDefault="00755316" w:rsidP="00755316">
            <w:pPr>
              <w:tabs>
                <w:tab w:val="right" w:pos="1202"/>
              </w:tabs>
              <w:spacing w:after="0" w:line="200" w:lineRule="exact"/>
              <w:outlineLvl w:val="0"/>
              <w:rPr>
                <w:rFonts w:ascii="Calibri" w:eastAsia="Times New Roman" w:hAnsi="Calibri" w:cs="Arial"/>
                <w:spacing w:val="-2"/>
                <w:sz w:val="18"/>
                <w:szCs w:val="18"/>
                <w:lang w:val="en-US"/>
              </w:rPr>
            </w:pPr>
            <w:bookmarkStart w:id="852" w:name="_Toc4062078"/>
            <w:r w:rsidRPr="00537128">
              <w:rPr>
                <w:rFonts w:ascii="Calibri" w:eastAsia="Times New Roman" w:hAnsi="Calibri" w:cs="Arial"/>
                <w:spacing w:val="-2"/>
                <w:sz w:val="18"/>
                <w:szCs w:val="18"/>
                <w:lang w:val="en-US"/>
              </w:rPr>
              <w:t>Guarantees issued in HRK</w:t>
            </w:r>
            <w:bookmarkEnd w:id="852"/>
          </w:p>
        </w:tc>
        <w:tc>
          <w:tcPr>
            <w:tcW w:w="538" w:type="pct"/>
            <w:tcBorders>
              <w:top w:val="nil"/>
              <w:left w:val="nil"/>
              <w:bottom w:val="nil"/>
              <w:right w:val="nil"/>
            </w:tcBorders>
            <w:shd w:val="clear" w:color="auto" w:fill="auto"/>
            <w:vAlign w:val="bottom"/>
          </w:tcPr>
          <w:p w14:paraId="3CB6B8A1" w14:textId="1FC68DFD" w:rsidR="00755316" w:rsidRPr="00537128" w:rsidRDefault="00755316" w:rsidP="00755316">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0F05A3">
              <w:rPr>
                <w:rFonts w:ascii="Calibri" w:hAnsi="Calibri"/>
                <w:color w:val="000000"/>
                <w:sz w:val="18"/>
                <w:szCs w:val="18"/>
              </w:rPr>
              <w:t>177</w:t>
            </w:r>
            <w:r w:rsidR="00C533B3">
              <w:rPr>
                <w:rFonts w:ascii="Calibri" w:hAnsi="Calibri"/>
                <w:color w:val="000000"/>
                <w:sz w:val="18"/>
                <w:szCs w:val="18"/>
              </w:rPr>
              <w:t>,</w:t>
            </w:r>
            <w:r w:rsidRPr="000F05A3">
              <w:rPr>
                <w:rFonts w:ascii="Calibri" w:hAnsi="Calibri"/>
                <w:color w:val="000000"/>
                <w:sz w:val="18"/>
                <w:szCs w:val="18"/>
              </w:rPr>
              <w:t>235</w:t>
            </w:r>
          </w:p>
        </w:tc>
        <w:tc>
          <w:tcPr>
            <w:tcW w:w="541" w:type="pct"/>
            <w:tcBorders>
              <w:top w:val="nil"/>
              <w:left w:val="nil"/>
              <w:bottom w:val="nil"/>
              <w:right w:val="nil"/>
            </w:tcBorders>
            <w:shd w:val="clear" w:color="auto" w:fill="auto"/>
            <w:vAlign w:val="bottom"/>
          </w:tcPr>
          <w:p w14:paraId="48D5C464" w14:textId="61348023" w:rsidR="00755316" w:rsidRPr="00537128" w:rsidRDefault="00755316" w:rsidP="00755316">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4BDC0A3E" w14:textId="3624B3C1" w:rsidR="00755316" w:rsidRPr="00537128" w:rsidRDefault="00755316" w:rsidP="00755316">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w:t>
            </w:r>
          </w:p>
        </w:tc>
        <w:tc>
          <w:tcPr>
            <w:tcW w:w="541" w:type="pct"/>
            <w:tcBorders>
              <w:top w:val="nil"/>
              <w:left w:val="nil"/>
              <w:bottom w:val="nil"/>
              <w:right w:val="nil"/>
            </w:tcBorders>
            <w:shd w:val="clear" w:color="auto" w:fill="auto"/>
            <w:vAlign w:val="bottom"/>
          </w:tcPr>
          <w:p w14:paraId="5381C52A" w14:textId="3910CDC7" w:rsidR="00755316" w:rsidRPr="00537128" w:rsidRDefault="00755316" w:rsidP="00755316">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3475B187" w14:textId="54B31CE4" w:rsidR="00755316" w:rsidRPr="00537128" w:rsidRDefault="00755316" w:rsidP="00755316">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w:t>
            </w:r>
          </w:p>
        </w:tc>
        <w:tc>
          <w:tcPr>
            <w:tcW w:w="524" w:type="pct"/>
            <w:tcBorders>
              <w:top w:val="nil"/>
              <w:left w:val="nil"/>
              <w:bottom w:val="nil"/>
              <w:right w:val="nil"/>
            </w:tcBorders>
            <w:shd w:val="clear" w:color="auto" w:fill="auto"/>
            <w:vAlign w:val="bottom"/>
          </w:tcPr>
          <w:p w14:paraId="222856A5" w14:textId="40C98C16" w:rsidR="00755316" w:rsidRPr="00537128" w:rsidRDefault="00755316" w:rsidP="00755316">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0F05A3">
              <w:rPr>
                <w:rFonts w:ascii="Calibri" w:hAnsi="Calibri"/>
                <w:color w:val="000000"/>
                <w:sz w:val="18"/>
                <w:szCs w:val="18"/>
              </w:rPr>
              <w:t>177</w:t>
            </w:r>
            <w:r w:rsidR="00C533B3">
              <w:rPr>
                <w:rFonts w:ascii="Calibri" w:hAnsi="Calibri"/>
                <w:color w:val="000000"/>
                <w:sz w:val="18"/>
                <w:szCs w:val="18"/>
              </w:rPr>
              <w:t>,</w:t>
            </w:r>
            <w:r w:rsidRPr="000F05A3">
              <w:rPr>
                <w:rFonts w:ascii="Calibri" w:hAnsi="Calibri"/>
                <w:color w:val="000000"/>
                <w:sz w:val="18"/>
                <w:szCs w:val="18"/>
              </w:rPr>
              <w:t>235</w:t>
            </w:r>
          </w:p>
        </w:tc>
      </w:tr>
      <w:tr w:rsidR="00755316" w:rsidRPr="00537128" w14:paraId="087E7D68" w14:textId="77777777" w:rsidTr="005818BB">
        <w:trPr>
          <w:trHeight w:hRule="exact" w:val="270"/>
        </w:trPr>
        <w:tc>
          <w:tcPr>
            <w:tcW w:w="1772" w:type="pct"/>
            <w:vAlign w:val="bottom"/>
          </w:tcPr>
          <w:p w14:paraId="4C2935B8" w14:textId="77777777" w:rsidR="00755316" w:rsidRPr="00537128" w:rsidRDefault="00755316" w:rsidP="00755316">
            <w:pPr>
              <w:tabs>
                <w:tab w:val="right" w:pos="1202"/>
              </w:tabs>
              <w:spacing w:after="0" w:line="200" w:lineRule="exact"/>
              <w:outlineLvl w:val="0"/>
              <w:rPr>
                <w:rFonts w:ascii="Calibri" w:eastAsia="Times New Roman" w:hAnsi="Calibri" w:cs="Arial"/>
                <w:spacing w:val="-2"/>
                <w:sz w:val="18"/>
                <w:szCs w:val="18"/>
                <w:lang w:val="en-US"/>
              </w:rPr>
            </w:pPr>
            <w:bookmarkStart w:id="853" w:name="_Toc4062085"/>
            <w:r w:rsidRPr="00537128">
              <w:rPr>
                <w:rFonts w:ascii="Calibri" w:eastAsia="Times New Roman" w:hAnsi="Calibri" w:cs="Arial"/>
                <w:spacing w:val="-2"/>
                <w:sz w:val="18"/>
                <w:szCs w:val="18"/>
                <w:lang w:val="en-US"/>
              </w:rPr>
              <w:t>Issued guarantees in foreign currency</w:t>
            </w:r>
            <w:bookmarkEnd w:id="853"/>
          </w:p>
        </w:tc>
        <w:tc>
          <w:tcPr>
            <w:tcW w:w="538" w:type="pct"/>
            <w:tcBorders>
              <w:top w:val="nil"/>
              <w:left w:val="nil"/>
              <w:bottom w:val="nil"/>
              <w:right w:val="nil"/>
            </w:tcBorders>
            <w:shd w:val="clear" w:color="auto" w:fill="auto"/>
            <w:vAlign w:val="bottom"/>
          </w:tcPr>
          <w:p w14:paraId="63FEB699" w14:textId="75342DC3" w:rsidR="00755316" w:rsidRPr="00537128" w:rsidRDefault="00755316" w:rsidP="00755316">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0F05A3">
              <w:rPr>
                <w:rFonts w:ascii="Calibri" w:hAnsi="Calibri"/>
                <w:color w:val="000000"/>
                <w:sz w:val="18"/>
                <w:szCs w:val="18"/>
              </w:rPr>
              <w:t>233</w:t>
            </w:r>
            <w:r w:rsidR="00C533B3">
              <w:rPr>
                <w:rFonts w:ascii="Calibri" w:hAnsi="Calibri"/>
                <w:color w:val="000000"/>
                <w:sz w:val="18"/>
                <w:szCs w:val="18"/>
              </w:rPr>
              <w:t>,</w:t>
            </w:r>
            <w:r w:rsidRPr="000F05A3">
              <w:rPr>
                <w:rFonts w:ascii="Calibri" w:hAnsi="Calibri"/>
                <w:color w:val="000000"/>
                <w:sz w:val="18"/>
                <w:szCs w:val="18"/>
              </w:rPr>
              <w:t>664</w:t>
            </w:r>
          </w:p>
        </w:tc>
        <w:tc>
          <w:tcPr>
            <w:tcW w:w="541" w:type="pct"/>
            <w:tcBorders>
              <w:top w:val="nil"/>
              <w:left w:val="nil"/>
              <w:bottom w:val="nil"/>
              <w:right w:val="nil"/>
            </w:tcBorders>
            <w:shd w:val="clear" w:color="auto" w:fill="auto"/>
            <w:vAlign w:val="bottom"/>
          </w:tcPr>
          <w:p w14:paraId="3DB00052" w14:textId="3AEB0F09" w:rsidR="00755316" w:rsidRPr="00537128" w:rsidRDefault="00755316" w:rsidP="00755316">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2409237B" w14:textId="66ACA2BC" w:rsidR="00755316" w:rsidRPr="00537128" w:rsidRDefault="00755316" w:rsidP="00755316">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w:t>
            </w:r>
          </w:p>
        </w:tc>
        <w:tc>
          <w:tcPr>
            <w:tcW w:w="541" w:type="pct"/>
            <w:tcBorders>
              <w:top w:val="nil"/>
              <w:left w:val="nil"/>
              <w:bottom w:val="nil"/>
              <w:right w:val="nil"/>
            </w:tcBorders>
            <w:shd w:val="clear" w:color="auto" w:fill="auto"/>
            <w:vAlign w:val="bottom"/>
          </w:tcPr>
          <w:p w14:paraId="0DA2E96C" w14:textId="07EBF7AB" w:rsidR="00755316" w:rsidRPr="00537128" w:rsidRDefault="00755316" w:rsidP="00755316">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3DE18F81" w14:textId="028907C8" w:rsidR="00755316" w:rsidRPr="00537128" w:rsidRDefault="00755316" w:rsidP="00755316">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w:t>
            </w:r>
          </w:p>
        </w:tc>
        <w:tc>
          <w:tcPr>
            <w:tcW w:w="524" w:type="pct"/>
            <w:tcBorders>
              <w:top w:val="nil"/>
              <w:left w:val="nil"/>
              <w:bottom w:val="nil"/>
              <w:right w:val="nil"/>
            </w:tcBorders>
            <w:shd w:val="clear" w:color="auto" w:fill="auto"/>
            <w:vAlign w:val="bottom"/>
          </w:tcPr>
          <w:p w14:paraId="114B1558" w14:textId="5ACC7006" w:rsidR="00755316" w:rsidRPr="00537128" w:rsidRDefault="00755316" w:rsidP="00755316">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0F05A3">
              <w:rPr>
                <w:rFonts w:ascii="Calibri" w:hAnsi="Calibri"/>
                <w:color w:val="000000"/>
                <w:sz w:val="18"/>
                <w:szCs w:val="18"/>
              </w:rPr>
              <w:t>233</w:t>
            </w:r>
            <w:r w:rsidR="00C533B3">
              <w:rPr>
                <w:rFonts w:ascii="Calibri" w:hAnsi="Calibri"/>
                <w:color w:val="000000"/>
                <w:sz w:val="18"/>
                <w:szCs w:val="18"/>
              </w:rPr>
              <w:t>,</w:t>
            </w:r>
            <w:r w:rsidRPr="000F05A3">
              <w:rPr>
                <w:rFonts w:ascii="Calibri" w:hAnsi="Calibri"/>
                <w:color w:val="000000"/>
                <w:sz w:val="18"/>
                <w:szCs w:val="18"/>
              </w:rPr>
              <w:t>664</w:t>
            </w:r>
          </w:p>
        </w:tc>
      </w:tr>
      <w:tr w:rsidR="005818BB" w:rsidRPr="00537128" w14:paraId="52F544AE" w14:textId="77777777" w:rsidTr="005818BB">
        <w:trPr>
          <w:trHeight w:hRule="exact" w:val="270"/>
        </w:trPr>
        <w:tc>
          <w:tcPr>
            <w:tcW w:w="1772" w:type="pct"/>
            <w:vAlign w:val="bottom"/>
          </w:tcPr>
          <w:p w14:paraId="6893A902" w14:textId="77777777" w:rsidR="005818BB" w:rsidRPr="00537128" w:rsidRDefault="005818BB" w:rsidP="005818BB">
            <w:pPr>
              <w:tabs>
                <w:tab w:val="right" w:pos="1202"/>
              </w:tabs>
              <w:spacing w:after="0" w:line="200" w:lineRule="exact"/>
              <w:outlineLvl w:val="0"/>
              <w:rPr>
                <w:rFonts w:ascii="Calibri" w:eastAsia="Times New Roman" w:hAnsi="Calibri" w:cs="Arial"/>
                <w:spacing w:val="-2"/>
                <w:sz w:val="18"/>
                <w:szCs w:val="18"/>
                <w:lang w:val="en-US"/>
              </w:rPr>
            </w:pPr>
            <w:bookmarkStart w:id="854" w:name="_Toc4062092"/>
            <w:r w:rsidRPr="00537128">
              <w:rPr>
                <w:rFonts w:ascii="Calibri" w:eastAsia="Times New Roman" w:hAnsi="Calibri" w:cs="Arial"/>
                <w:spacing w:val="-2"/>
                <w:sz w:val="18"/>
                <w:szCs w:val="18"/>
                <w:lang w:val="en-US"/>
              </w:rPr>
              <w:t>Undrawn loans</w:t>
            </w:r>
            <w:bookmarkEnd w:id="854"/>
          </w:p>
        </w:tc>
        <w:tc>
          <w:tcPr>
            <w:tcW w:w="538" w:type="pct"/>
            <w:tcBorders>
              <w:top w:val="nil"/>
              <w:left w:val="nil"/>
              <w:bottom w:val="nil"/>
              <w:right w:val="nil"/>
            </w:tcBorders>
            <w:shd w:val="clear" w:color="auto" w:fill="auto"/>
            <w:vAlign w:val="bottom"/>
          </w:tcPr>
          <w:p w14:paraId="03C7910A" w14:textId="6C744A84" w:rsidR="005818BB" w:rsidRPr="00537128" w:rsidRDefault="005818BB" w:rsidP="005818BB">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0F05A3">
              <w:rPr>
                <w:rFonts w:ascii="Calibri" w:hAnsi="Calibri"/>
                <w:color w:val="000000"/>
                <w:sz w:val="18"/>
                <w:szCs w:val="18"/>
              </w:rPr>
              <w:t>3</w:t>
            </w:r>
            <w:r w:rsidR="00C533B3">
              <w:rPr>
                <w:rFonts w:ascii="Calibri" w:hAnsi="Calibri"/>
                <w:color w:val="000000"/>
                <w:sz w:val="18"/>
                <w:szCs w:val="18"/>
              </w:rPr>
              <w:t>,</w:t>
            </w:r>
            <w:r w:rsidRPr="000F05A3">
              <w:rPr>
                <w:rFonts w:ascii="Calibri" w:hAnsi="Calibri"/>
                <w:color w:val="000000"/>
                <w:sz w:val="18"/>
                <w:szCs w:val="18"/>
              </w:rPr>
              <w:t>198</w:t>
            </w:r>
            <w:r w:rsidR="00C533B3">
              <w:rPr>
                <w:rFonts w:ascii="Calibri" w:hAnsi="Calibri"/>
                <w:color w:val="000000"/>
                <w:sz w:val="18"/>
                <w:szCs w:val="18"/>
              </w:rPr>
              <w:t>,</w:t>
            </w:r>
            <w:r w:rsidRPr="000F05A3">
              <w:rPr>
                <w:rFonts w:ascii="Calibri" w:hAnsi="Calibri"/>
                <w:color w:val="000000"/>
                <w:sz w:val="18"/>
                <w:szCs w:val="18"/>
              </w:rPr>
              <w:t>985</w:t>
            </w:r>
          </w:p>
        </w:tc>
        <w:tc>
          <w:tcPr>
            <w:tcW w:w="541" w:type="pct"/>
            <w:tcBorders>
              <w:top w:val="nil"/>
              <w:left w:val="nil"/>
              <w:bottom w:val="nil"/>
              <w:right w:val="nil"/>
            </w:tcBorders>
            <w:shd w:val="clear" w:color="auto" w:fill="auto"/>
            <w:vAlign w:val="bottom"/>
          </w:tcPr>
          <w:p w14:paraId="1A13E1E9" w14:textId="40DE62A2" w:rsidR="005818BB" w:rsidRPr="00537128" w:rsidRDefault="005818BB" w:rsidP="005818BB">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07CE60BE" w14:textId="353F0B23" w:rsidR="005818BB" w:rsidRPr="00537128" w:rsidRDefault="005818BB" w:rsidP="005818BB">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w:t>
            </w:r>
          </w:p>
        </w:tc>
        <w:tc>
          <w:tcPr>
            <w:tcW w:w="541" w:type="pct"/>
            <w:tcBorders>
              <w:top w:val="nil"/>
              <w:left w:val="nil"/>
              <w:bottom w:val="nil"/>
              <w:right w:val="nil"/>
            </w:tcBorders>
            <w:shd w:val="clear" w:color="auto" w:fill="auto"/>
            <w:vAlign w:val="bottom"/>
          </w:tcPr>
          <w:p w14:paraId="13621C3D" w14:textId="2EA1573C" w:rsidR="005818BB" w:rsidRPr="00537128" w:rsidRDefault="005818BB" w:rsidP="005818BB">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35E20104" w14:textId="4FCA6CB6" w:rsidR="005818BB" w:rsidRPr="00537128" w:rsidRDefault="005818BB" w:rsidP="005818BB">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w:t>
            </w:r>
          </w:p>
        </w:tc>
        <w:tc>
          <w:tcPr>
            <w:tcW w:w="524" w:type="pct"/>
            <w:tcBorders>
              <w:top w:val="nil"/>
              <w:left w:val="nil"/>
              <w:bottom w:val="nil"/>
              <w:right w:val="nil"/>
            </w:tcBorders>
            <w:shd w:val="clear" w:color="auto" w:fill="auto"/>
            <w:vAlign w:val="bottom"/>
          </w:tcPr>
          <w:p w14:paraId="3A4DBA6A" w14:textId="47DEC04F" w:rsidR="005818BB" w:rsidRPr="00537128" w:rsidRDefault="005818BB" w:rsidP="005818BB">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0F05A3">
              <w:rPr>
                <w:rFonts w:ascii="Calibri" w:hAnsi="Calibri"/>
                <w:color w:val="000000"/>
                <w:sz w:val="18"/>
                <w:szCs w:val="18"/>
              </w:rPr>
              <w:t>3</w:t>
            </w:r>
            <w:r w:rsidR="00C533B3">
              <w:rPr>
                <w:rFonts w:ascii="Calibri" w:hAnsi="Calibri"/>
                <w:color w:val="000000"/>
                <w:sz w:val="18"/>
                <w:szCs w:val="18"/>
              </w:rPr>
              <w:t>,</w:t>
            </w:r>
            <w:r w:rsidRPr="000F05A3">
              <w:rPr>
                <w:rFonts w:ascii="Calibri" w:hAnsi="Calibri"/>
                <w:color w:val="000000"/>
                <w:sz w:val="18"/>
                <w:szCs w:val="18"/>
              </w:rPr>
              <w:t>198</w:t>
            </w:r>
            <w:r w:rsidR="00C533B3">
              <w:rPr>
                <w:rFonts w:ascii="Calibri" w:hAnsi="Calibri"/>
                <w:color w:val="000000"/>
                <w:sz w:val="18"/>
                <w:szCs w:val="18"/>
              </w:rPr>
              <w:t>,</w:t>
            </w:r>
            <w:r w:rsidRPr="000F05A3">
              <w:rPr>
                <w:rFonts w:ascii="Calibri" w:hAnsi="Calibri"/>
                <w:color w:val="000000"/>
                <w:sz w:val="18"/>
                <w:szCs w:val="18"/>
              </w:rPr>
              <w:t>985</w:t>
            </w:r>
          </w:p>
        </w:tc>
      </w:tr>
      <w:tr w:rsidR="005818BB" w:rsidRPr="00537128" w14:paraId="518D567A" w14:textId="77777777" w:rsidTr="005818BB">
        <w:trPr>
          <w:trHeight w:hRule="exact" w:val="270"/>
        </w:trPr>
        <w:tc>
          <w:tcPr>
            <w:tcW w:w="1772" w:type="pct"/>
            <w:vAlign w:val="bottom"/>
          </w:tcPr>
          <w:p w14:paraId="2658AEB0" w14:textId="77777777" w:rsidR="005818BB" w:rsidRPr="00537128" w:rsidRDefault="005818BB" w:rsidP="005818BB">
            <w:pPr>
              <w:tabs>
                <w:tab w:val="right" w:pos="1202"/>
              </w:tabs>
              <w:spacing w:after="0" w:line="200" w:lineRule="exact"/>
              <w:outlineLvl w:val="0"/>
              <w:rPr>
                <w:rFonts w:ascii="Calibri" w:eastAsia="Times New Roman" w:hAnsi="Calibri" w:cs="Arial"/>
                <w:spacing w:val="-2"/>
                <w:sz w:val="18"/>
                <w:szCs w:val="18"/>
                <w:highlight w:val="yellow"/>
                <w:lang w:val="en-US"/>
              </w:rPr>
            </w:pPr>
            <w:bookmarkStart w:id="855" w:name="_Toc4062099"/>
            <w:r w:rsidRPr="00537128">
              <w:rPr>
                <w:rFonts w:ascii="Calibri" w:eastAsia="Times New Roman" w:hAnsi="Calibri" w:cs="Arial"/>
                <w:sz w:val="18"/>
                <w:szCs w:val="18"/>
                <w:lang w:val="en-US"/>
              </w:rPr>
              <w:t>EIF – subscribed, not called up capital</w:t>
            </w:r>
            <w:bookmarkEnd w:id="855"/>
          </w:p>
        </w:tc>
        <w:tc>
          <w:tcPr>
            <w:tcW w:w="538" w:type="pct"/>
            <w:tcBorders>
              <w:top w:val="nil"/>
              <w:left w:val="nil"/>
              <w:bottom w:val="nil"/>
              <w:right w:val="nil"/>
            </w:tcBorders>
            <w:shd w:val="clear" w:color="auto" w:fill="auto"/>
            <w:vAlign w:val="bottom"/>
          </w:tcPr>
          <w:p w14:paraId="333269DC" w14:textId="3EBE913A" w:rsidR="005818BB" w:rsidRPr="00537128" w:rsidRDefault="005818BB" w:rsidP="005818BB">
            <w:pPr>
              <w:tabs>
                <w:tab w:val="right" w:pos="1202"/>
              </w:tabs>
              <w:spacing w:after="0" w:line="240" w:lineRule="exact"/>
              <w:jc w:val="right"/>
              <w:outlineLvl w:val="0"/>
              <w:rPr>
                <w:rFonts w:ascii="Calibri" w:eastAsia="Times New Roman" w:hAnsi="Calibri" w:cs="Calibri"/>
                <w:color w:val="000000"/>
                <w:sz w:val="18"/>
                <w:szCs w:val="18"/>
                <w:lang w:val="en-US"/>
              </w:rPr>
            </w:pPr>
            <w:r w:rsidRPr="000F05A3">
              <w:rPr>
                <w:rFonts w:ascii="Calibri" w:hAnsi="Calibri"/>
                <w:color w:val="000000"/>
                <w:sz w:val="18"/>
                <w:szCs w:val="18"/>
              </w:rPr>
              <w:t>78</w:t>
            </w:r>
            <w:r w:rsidR="00C533B3">
              <w:rPr>
                <w:rFonts w:ascii="Calibri" w:hAnsi="Calibri"/>
                <w:color w:val="000000"/>
                <w:sz w:val="18"/>
                <w:szCs w:val="18"/>
              </w:rPr>
              <w:t>,</w:t>
            </w:r>
            <w:r w:rsidRPr="000F05A3">
              <w:rPr>
                <w:rFonts w:ascii="Calibri" w:hAnsi="Calibri"/>
                <w:color w:val="000000"/>
                <w:sz w:val="18"/>
                <w:szCs w:val="18"/>
              </w:rPr>
              <w:t>798</w:t>
            </w:r>
          </w:p>
        </w:tc>
        <w:tc>
          <w:tcPr>
            <w:tcW w:w="541" w:type="pct"/>
            <w:tcBorders>
              <w:top w:val="nil"/>
              <w:left w:val="nil"/>
              <w:bottom w:val="nil"/>
              <w:right w:val="nil"/>
            </w:tcBorders>
            <w:shd w:val="clear" w:color="auto" w:fill="auto"/>
            <w:vAlign w:val="bottom"/>
          </w:tcPr>
          <w:p w14:paraId="3013E12F" w14:textId="6C4B9408" w:rsidR="005818BB" w:rsidRPr="00537128" w:rsidRDefault="005818BB" w:rsidP="005818BB">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05B28DC3" w14:textId="2A7AE13B" w:rsidR="005818BB" w:rsidRPr="00537128" w:rsidRDefault="005818BB" w:rsidP="005818BB">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41" w:type="pct"/>
            <w:tcBorders>
              <w:top w:val="nil"/>
              <w:left w:val="nil"/>
              <w:bottom w:val="nil"/>
              <w:right w:val="nil"/>
            </w:tcBorders>
            <w:shd w:val="clear" w:color="auto" w:fill="auto"/>
            <w:vAlign w:val="bottom"/>
          </w:tcPr>
          <w:p w14:paraId="2DF52278" w14:textId="471F64AF" w:rsidR="005818BB" w:rsidRPr="00537128" w:rsidRDefault="005818BB" w:rsidP="005818BB">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30382B03" w14:textId="1A6655A8" w:rsidR="005818BB" w:rsidRPr="00537128" w:rsidRDefault="005818BB" w:rsidP="005818BB">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24" w:type="pct"/>
            <w:tcBorders>
              <w:top w:val="nil"/>
              <w:left w:val="nil"/>
              <w:bottom w:val="nil"/>
              <w:right w:val="nil"/>
            </w:tcBorders>
            <w:shd w:val="clear" w:color="auto" w:fill="auto"/>
            <w:vAlign w:val="bottom"/>
          </w:tcPr>
          <w:p w14:paraId="75D6EEA0" w14:textId="4925CC11" w:rsidR="005818BB" w:rsidRPr="00537128" w:rsidRDefault="005818BB" w:rsidP="005818BB">
            <w:pPr>
              <w:tabs>
                <w:tab w:val="right" w:pos="1202"/>
              </w:tabs>
              <w:spacing w:after="0" w:line="240" w:lineRule="exact"/>
              <w:jc w:val="right"/>
              <w:outlineLvl w:val="0"/>
              <w:rPr>
                <w:rFonts w:ascii="Calibri" w:eastAsia="Times New Roman" w:hAnsi="Calibri" w:cs="Calibri"/>
                <w:color w:val="000000"/>
                <w:sz w:val="18"/>
                <w:szCs w:val="18"/>
                <w:lang w:val="en-US"/>
              </w:rPr>
            </w:pPr>
            <w:r w:rsidRPr="000F05A3">
              <w:rPr>
                <w:rFonts w:ascii="Calibri" w:hAnsi="Calibri"/>
                <w:color w:val="000000"/>
                <w:sz w:val="18"/>
                <w:szCs w:val="18"/>
              </w:rPr>
              <w:t>78</w:t>
            </w:r>
            <w:r w:rsidR="00C533B3">
              <w:rPr>
                <w:rFonts w:ascii="Calibri" w:hAnsi="Calibri"/>
                <w:color w:val="000000"/>
                <w:sz w:val="18"/>
                <w:szCs w:val="18"/>
              </w:rPr>
              <w:t>,</w:t>
            </w:r>
            <w:r w:rsidRPr="000F05A3">
              <w:rPr>
                <w:rFonts w:ascii="Calibri" w:hAnsi="Calibri"/>
                <w:color w:val="000000"/>
                <w:sz w:val="18"/>
                <w:szCs w:val="18"/>
              </w:rPr>
              <w:t>798</w:t>
            </w:r>
          </w:p>
        </w:tc>
      </w:tr>
      <w:tr w:rsidR="005818BB" w:rsidRPr="00537128" w14:paraId="08E6F2DA" w14:textId="77777777" w:rsidTr="005818BB">
        <w:trPr>
          <w:trHeight w:hRule="exact" w:val="270"/>
        </w:trPr>
        <w:tc>
          <w:tcPr>
            <w:tcW w:w="1772" w:type="pct"/>
            <w:tcBorders>
              <w:top w:val="nil"/>
              <w:left w:val="nil"/>
              <w:bottom w:val="nil"/>
              <w:right w:val="nil"/>
            </w:tcBorders>
            <w:shd w:val="clear" w:color="auto" w:fill="auto"/>
            <w:vAlign w:val="bottom"/>
          </w:tcPr>
          <w:p w14:paraId="363B64F5" w14:textId="77777777" w:rsidR="005818BB" w:rsidRPr="00537128" w:rsidRDefault="005818BB" w:rsidP="005818BB">
            <w:pPr>
              <w:spacing w:after="0" w:line="240" w:lineRule="auto"/>
              <w:rPr>
                <w:rFonts w:ascii="Calibri" w:eastAsia="Times New Roman" w:hAnsi="Calibri" w:cs="Calibri"/>
                <w:sz w:val="18"/>
                <w:szCs w:val="18"/>
                <w:lang w:val="en-US"/>
              </w:rPr>
            </w:pPr>
            <w:r w:rsidRPr="00537128">
              <w:rPr>
                <w:rFonts w:ascii="Calibri" w:eastAsia="Times New Roman" w:hAnsi="Calibri" w:cs="Calibri"/>
                <w:color w:val="000000"/>
                <w:sz w:val="18"/>
                <w:szCs w:val="18"/>
                <w:lang w:val="en-US"/>
              </w:rPr>
              <w:t>EIF CROGIP Contracted Liability</w:t>
            </w:r>
          </w:p>
        </w:tc>
        <w:tc>
          <w:tcPr>
            <w:tcW w:w="538" w:type="pct"/>
            <w:tcBorders>
              <w:top w:val="nil"/>
              <w:left w:val="nil"/>
              <w:bottom w:val="nil"/>
              <w:right w:val="nil"/>
            </w:tcBorders>
            <w:shd w:val="clear" w:color="auto" w:fill="auto"/>
            <w:vAlign w:val="bottom"/>
          </w:tcPr>
          <w:p w14:paraId="1F9CCE4B" w14:textId="4D7AF903" w:rsidR="005818BB" w:rsidRPr="00537128" w:rsidRDefault="005818BB" w:rsidP="005818BB">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41" w:type="pct"/>
            <w:tcBorders>
              <w:top w:val="nil"/>
              <w:left w:val="nil"/>
              <w:bottom w:val="nil"/>
              <w:right w:val="nil"/>
            </w:tcBorders>
            <w:shd w:val="clear" w:color="auto" w:fill="auto"/>
            <w:vAlign w:val="bottom"/>
          </w:tcPr>
          <w:p w14:paraId="5DA2CB11" w14:textId="41049CCB" w:rsidR="005818BB" w:rsidRPr="00537128" w:rsidRDefault="005818BB" w:rsidP="005818BB">
            <w:pPr>
              <w:tabs>
                <w:tab w:val="right" w:pos="1202"/>
              </w:tabs>
              <w:spacing w:after="0" w:line="240" w:lineRule="exact"/>
              <w:jc w:val="right"/>
              <w:outlineLvl w:val="0"/>
              <w:rPr>
                <w:rFonts w:ascii="Calibri" w:eastAsia="Times New Roman" w:hAnsi="Calibri" w:cs="Calibri"/>
                <w:color w:val="000000"/>
                <w:sz w:val="18"/>
                <w:szCs w:val="18"/>
                <w:lang w:val="en-US"/>
              </w:rPr>
            </w:pPr>
            <w:r w:rsidRPr="000F05A3">
              <w:rPr>
                <w:rFonts w:ascii="Calibri" w:hAnsi="Calibri"/>
                <w:color w:val="000000"/>
                <w:sz w:val="18"/>
                <w:szCs w:val="18"/>
              </w:rPr>
              <w:t>12</w:t>
            </w:r>
            <w:r w:rsidR="00C533B3">
              <w:rPr>
                <w:rFonts w:ascii="Calibri" w:hAnsi="Calibri"/>
                <w:color w:val="000000"/>
                <w:sz w:val="18"/>
                <w:szCs w:val="18"/>
              </w:rPr>
              <w:t>,</w:t>
            </w:r>
            <w:r w:rsidRPr="000F05A3">
              <w:rPr>
                <w:rFonts w:ascii="Calibri" w:hAnsi="Calibri"/>
                <w:color w:val="000000"/>
                <w:sz w:val="18"/>
                <w:szCs w:val="18"/>
              </w:rPr>
              <w:t>000</w:t>
            </w:r>
          </w:p>
        </w:tc>
        <w:tc>
          <w:tcPr>
            <w:tcW w:w="542" w:type="pct"/>
            <w:tcBorders>
              <w:top w:val="nil"/>
              <w:left w:val="nil"/>
              <w:bottom w:val="nil"/>
              <w:right w:val="nil"/>
            </w:tcBorders>
            <w:shd w:val="clear" w:color="auto" w:fill="auto"/>
            <w:vAlign w:val="bottom"/>
          </w:tcPr>
          <w:p w14:paraId="49553161" w14:textId="3BDB9093" w:rsidR="005818BB" w:rsidRPr="00537128" w:rsidRDefault="005818BB" w:rsidP="005818BB">
            <w:pPr>
              <w:tabs>
                <w:tab w:val="right" w:pos="1202"/>
              </w:tabs>
              <w:spacing w:after="0" w:line="240" w:lineRule="exact"/>
              <w:jc w:val="right"/>
              <w:outlineLvl w:val="0"/>
              <w:rPr>
                <w:rFonts w:ascii="Calibri" w:eastAsia="Times New Roman" w:hAnsi="Calibri" w:cs="Calibri"/>
                <w:color w:val="000000"/>
                <w:sz w:val="18"/>
                <w:szCs w:val="18"/>
                <w:lang w:val="en-US"/>
              </w:rPr>
            </w:pPr>
            <w:r w:rsidRPr="000F05A3">
              <w:rPr>
                <w:rFonts w:ascii="Calibri" w:hAnsi="Calibri"/>
                <w:color w:val="000000"/>
                <w:sz w:val="18"/>
                <w:szCs w:val="18"/>
              </w:rPr>
              <w:t>75</w:t>
            </w:r>
            <w:r w:rsidR="00C533B3">
              <w:rPr>
                <w:rFonts w:ascii="Calibri" w:hAnsi="Calibri"/>
                <w:color w:val="000000"/>
                <w:sz w:val="18"/>
                <w:szCs w:val="18"/>
              </w:rPr>
              <w:t>,</w:t>
            </w:r>
            <w:r w:rsidRPr="000F05A3">
              <w:rPr>
                <w:rFonts w:ascii="Calibri" w:hAnsi="Calibri"/>
                <w:color w:val="000000"/>
                <w:sz w:val="18"/>
                <w:szCs w:val="18"/>
              </w:rPr>
              <w:t>590</w:t>
            </w:r>
          </w:p>
        </w:tc>
        <w:tc>
          <w:tcPr>
            <w:tcW w:w="541" w:type="pct"/>
            <w:tcBorders>
              <w:top w:val="nil"/>
              <w:left w:val="nil"/>
              <w:bottom w:val="nil"/>
              <w:right w:val="nil"/>
            </w:tcBorders>
            <w:shd w:val="clear" w:color="auto" w:fill="auto"/>
            <w:vAlign w:val="bottom"/>
          </w:tcPr>
          <w:p w14:paraId="645426C9" w14:textId="29976ED5" w:rsidR="005818BB" w:rsidRPr="00537128" w:rsidRDefault="005818BB" w:rsidP="005818BB">
            <w:pPr>
              <w:tabs>
                <w:tab w:val="right" w:pos="1202"/>
              </w:tabs>
              <w:spacing w:after="0" w:line="240" w:lineRule="exact"/>
              <w:jc w:val="right"/>
              <w:outlineLvl w:val="0"/>
              <w:rPr>
                <w:rFonts w:ascii="Calibri" w:eastAsia="Times New Roman" w:hAnsi="Calibri" w:cs="Calibri"/>
                <w:color w:val="000000"/>
                <w:sz w:val="18"/>
                <w:szCs w:val="18"/>
                <w:lang w:val="en-US"/>
              </w:rPr>
            </w:pPr>
            <w:r w:rsidRPr="000F05A3">
              <w:rPr>
                <w:rFonts w:ascii="Calibri" w:hAnsi="Calibri"/>
                <w:color w:val="000000"/>
                <w:sz w:val="18"/>
                <w:szCs w:val="18"/>
              </w:rPr>
              <w:t>107</w:t>
            </w:r>
            <w:r w:rsidR="00C533B3">
              <w:rPr>
                <w:rFonts w:ascii="Calibri" w:hAnsi="Calibri"/>
                <w:color w:val="000000"/>
                <w:sz w:val="18"/>
                <w:szCs w:val="18"/>
              </w:rPr>
              <w:t>,</w:t>
            </w:r>
            <w:r w:rsidRPr="000F05A3">
              <w:rPr>
                <w:rFonts w:ascii="Calibri" w:hAnsi="Calibri"/>
                <w:color w:val="000000"/>
                <w:sz w:val="18"/>
                <w:szCs w:val="18"/>
              </w:rPr>
              <w:t>175</w:t>
            </w:r>
          </w:p>
        </w:tc>
        <w:tc>
          <w:tcPr>
            <w:tcW w:w="542" w:type="pct"/>
            <w:tcBorders>
              <w:top w:val="nil"/>
              <w:left w:val="nil"/>
              <w:bottom w:val="nil"/>
              <w:right w:val="nil"/>
            </w:tcBorders>
            <w:shd w:val="clear" w:color="auto" w:fill="auto"/>
            <w:vAlign w:val="bottom"/>
          </w:tcPr>
          <w:p w14:paraId="0B60D0FA" w14:textId="216256AE" w:rsidR="005818BB" w:rsidRPr="00537128" w:rsidRDefault="005818BB" w:rsidP="005818BB">
            <w:pPr>
              <w:tabs>
                <w:tab w:val="right" w:pos="1202"/>
              </w:tabs>
              <w:spacing w:after="0" w:line="240" w:lineRule="exact"/>
              <w:jc w:val="right"/>
              <w:outlineLvl w:val="0"/>
              <w:rPr>
                <w:rFonts w:ascii="Calibri" w:eastAsia="Times New Roman" w:hAnsi="Calibri" w:cs="Calibri"/>
                <w:color w:val="000000"/>
                <w:sz w:val="18"/>
                <w:szCs w:val="18"/>
                <w:lang w:val="en-US"/>
              </w:rPr>
            </w:pPr>
            <w:r w:rsidRPr="000F05A3">
              <w:rPr>
                <w:rFonts w:ascii="Calibri" w:hAnsi="Calibri"/>
                <w:color w:val="000000"/>
                <w:sz w:val="18"/>
                <w:szCs w:val="18"/>
              </w:rPr>
              <w:t>120</w:t>
            </w:r>
            <w:r w:rsidR="00C533B3">
              <w:rPr>
                <w:rFonts w:ascii="Calibri" w:hAnsi="Calibri"/>
                <w:color w:val="000000"/>
                <w:sz w:val="18"/>
                <w:szCs w:val="18"/>
              </w:rPr>
              <w:t>,</w:t>
            </w:r>
            <w:r w:rsidRPr="000F05A3">
              <w:rPr>
                <w:rFonts w:ascii="Calibri" w:hAnsi="Calibri"/>
                <w:color w:val="000000"/>
                <w:sz w:val="18"/>
                <w:szCs w:val="18"/>
              </w:rPr>
              <w:t>198</w:t>
            </w:r>
          </w:p>
        </w:tc>
        <w:tc>
          <w:tcPr>
            <w:tcW w:w="524" w:type="pct"/>
            <w:tcBorders>
              <w:top w:val="nil"/>
              <w:left w:val="nil"/>
              <w:bottom w:val="nil"/>
              <w:right w:val="nil"/>
            </w:tcBorders>
            <w:shd w:val="clear" w:color="auto" w:fill="auto"/>
            <w:vAlign w:val="bottom"/>
          </w:tcPr>
          <w:p w14:paraId="1C3DC623" w14:textId="34B355D5" w:rsidR="005818BB" w:rsidRPr="00537128" w:rsidRDefault="005818BB" w:rsidP="005818BB">
            <w:pPr>
              <w:tabs>
                <w:tab w:val="right" w:pos="1202"/>
              </w:tabs>
              <w:spacing w:after="0" w:line="240" w:lineRule="exact"/>
              <w:jc w:val="right"/>
              <w:outlineLvl w:val="0"/>
              <w:rPr>
                <w:rFonts w:ascii="Calibri" w:eastAsia="Times New Roman" w:hAnsi="Calibri" w:cs="Calibri"/>
                <w:color w:val="000000"/>
                <w:sz w:val="18"/>
                <w:szCs w:val="18"/>
                <w:lang w:val="en-US"/>
              </w:rPr>
            </w:pPr>
            <w:r w:rsidRPr="000F05A3">
              <w:rPr>
                <w:rFonts w:ascii="Calibri" w:hAnsi="Calibri"/>
                <w:color w:val="000000"/>
                <w:sz w:val="18"/>
                <w:szCs w:val="18"/>
              </w:rPr>
              <w:t>314</w:t>
            </w:r>
            <w:r w:rsidR="00C533B3">
              <w:rPr>
                <w:rFonts w:ascii="Calibri" w:hAnsi="Calibri"/>
                <w:color w:val="000000"/>
                <w:sz w:val="18"/>
                <w:szCs w:val="18"/>
              </w:rPr>
              <w:t>,</w:t>
            </w:r>
            <w:r w:rsidRPr="000F05A3">
              <w:rPr>
                <w:rFonts w:ascii="Calibri" w:hAnsi="Calibri"/>
                <w:color w:val="000000"/>
                <w:sz w:val="18"/>
                <w:szCs w:val="18"/>
              </w:rPr>
              <w:t>963</w:t>
            </w:r>
          </w:p>
        </w:tc>
      </w:tr>
      <w:tr w:rsidR="005818BB" w:rsidRPr="00537128" w14:paraId="551208CA" w14:textId="77777777" w:rsidTr="00620EB3">
        <w:trPr>
          <w:trHeight w:hRule="exact" w:val="270"/>
        </w:trPr>
        <w:tc>
          <w:tcPr>
            <w:tcW w:w="1772" w:type="pct"/>
            <w:tcBorders>
              <w:top w:val="nil"/>
              <w:left w:val="nil"/>
              <w:bottom w:val="nil"/>
              <w:right w:val="nil"/>
            </w:tcBorders>
            <w:shd w:val="clear" w:color="auto" w:fill="auto"/>
            <w:vAlign w:val="bottom"/>
          </w:tcPr>
          <w:p w14:paraId="1EFF4946" w14:textId="77777777" w:rsidR="005818BB" w:rsidRPr="00537128" w:rsidRDefault="005818BB" w:rsidP="005818BB">
            <w:pPr>
              <w:spacing w:after="0" w:line="240" w:lineRule="auto"/>
              <w:rPr>
                <w:rFonts w:ascii="Calibri" w:eastAsia="Times New Roman" w:hAnsi="Calibri" w:cs="Calibri"/>
                <w:sz w:val="18"/>
                <w:szCs w:val="18"/>
                <w:lang w:val="en-US"/>
              </w:rPr>
            </w:pPr>
            <w:r w:rsidRPr="00537128">
              <w:rPr>
                <w:rFonts w:ascii="Calibri" w:eastAsia="Times New Roman" w:hAnsi="Calibri" w:cs="Calibri"/>
                <w:color w:val="000000"/>
                <w:sz w:val="18"/>
                <w:szCs w:val="18"/>
                <w:lang w:val="en-US"/>
              </w:rPr>
              <w:t>EIF FRC2 Contracted Liability</w:t>
            </w:r>
          </w:p>
        </w:tc>
        <w:tc>
          <w:tcPr>
            <w:tcW w:w="538" w:type="pct"/>
            <w:tcBorders>
              <w:top w:val="nil"/>
              <w:left w:val="nil"/>
              <w:bottom w:val="single" w:sz="8" w:space="0" w:color="auto"/>
              <w:right w:val="nil"/>
            </w:tcBorders>
            <w:shd w:val="clear" w:color="auto" w:fill="auto"/>
            <w:vAlign w:val="bottom"/>
          </w:tcPr>
          <w:p w14:paraId="42AABF1F" w14:textId="69FD7C6F" w:rsidR="005818BB" w:rsidRPr="00537128" w:rsidRDefault="005818BB" w:rsidP="005818BB">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463</w:t>
            </w:r>
          </w:p>
        </w:tc>
        <w:tc>
          <w:tcPr>
            <w:tcW w:w="541" w:type="pct"/>
            <w:tcBorders>
              <w:top w:val="nil"/>
              <w:left w:val="nil"/>
              <w:bottom w:val="single" w:sz="8" w:space="0" w:color="auto"/>
              <w:right w:val="nil"/>
            </w:tcBorders>
            <w:shd w:val="clear" w:color="auto" w:fill="auto"/>
            <w:vAlign w:val="bottom"/>
          </w:tcPr>
          <w:p w14:paraId="2B72E70C" w14:textId="3C9BA503" w:rsidR="005818BB" w:rsidRPr="00537128" w:rsidRDefault="005818BB" w:rsidP="005818BB">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750</w:t>
            </w:r>
          </w:p>
        </w:tc>
        <w:tc>
          <w:tcPr>
            <w:tcW w:w="542" w:type="pct"/>
            <w:tcBorders>
              <w:top w:val="nil"/>
              <w:left w:val="nil"/>
              <w:bottom w:val="single" w:sz="8" w:space="0" w:color="auto"/>
              <w:right w:val="nil"/>
            </w:tcBorders>
            <w:shd w:val="clear" w:color="auto" w:fill="auto"/>
            <w:vAlign w:val="bottom"/>
          </w:tcPr>
          <w:p w14:paraId="72168894" w14:textId="50790BC6" w:rsidR="005818BB" w:rsidRPr="00537128" w:rsidRDefault="005818BB" w:rsidP="005818BB">
            <w:pPr>
              <w:tabs>
                <w:tab w:val="right" w:pos="1202"/>
              </w:tabs>
              <w:spacing w:after="0" w:line="240" w:lineRule="exact"/>
              <w:jc w:val="right"/>
              <w:outlineLvl w:val="0"/>
              <w:rPr>
                <w:rFonts w:ascii="Calibri" w:eastAsia="Times New Roman" w:hAnsi="Calibri" w:cs="Calibri"/>
                <w:color w:val="000000"/>
                <w:sz w:val="18"/>
                <w:szCs w:val="18"/>
                <w:lang w:val="en-US"/>
              </w:rPr>
            </w:pPr>
            <w:r w:rsidRPr="000F05A3">
              <w:rPr>
                <w:rFonts w:ascii="Calibri" w:hAnsi="Calibri"/>
                <w:color w:val="000000"/>
                <w:sz w:val="18"/>
                <w:szCs w:val="18"/>
              </w:rPr>
              <w:t>1</w:t>
            </w:r>
            <w:r w:rsidR="00C533B3">
              <w:rPr>
                <w:rFonts w:ascii="Calibri" w:hAnsi="Calibri"/>
                <w:color w:val="000000"/>
                <w:sz w:val="18"/>
                <w:szCs w:val="18"/>
              </w:rPr>
              <w:t>,</w:t>
            </w:r>
            <w:r w:rsidRPr="000F05A3">
              <w:rPr>
                <w:rFonts w:ascii="Calibri" w:hAnsi="Calibri"/>
                <w:color w:val="000000"/>
                <w:sz w:val="18"/>
                <w:szCs w:val="18"/>
              </w:rPr>
              <w:t>640</w:t>
            </w:r>
          </w:p>
        </w:tc>
        <w:tc>
          <w:tcPr>
            <w:tcW w:w="541" w:type="pct"/>
            <w:tcBorders>
              <w:top w:val="nil"/>
              <w:left w:val="nil"/>
              <w:bottom w:val="single" w:sz="8" w:space="0" w:color="auto"/>
              <w:right w:val="nil"/>
            </w:tcBorders>
            <w:shd w:val="clear" w:color="auto" w:fill="auto"/>
            <w:vAlign w:val="bottom"/>
          </w:tcPr>
          <w:p w14:paraId="65829212" w14:textId="0D016E88" w:rsidR="005818BB" w:rsidRPr="00537128" w:rsidRDefault="005818BB" w:rsidP="005818BB">
            <w:pPr>
              <w:tabs>
                <w:tab w:val="right" w:pos="1202"/>
              </w:tabs>
              <w:spacing w:after="0" w:line="240" w:lineRule="exact"/>
              <w:jc w:val="right"/>
              <w:outlineLvl w:val="0"/>
              <w:rPr>
                <w:rFonts w:ascii="Calibri" w:eastAsia="Times New Roman" w:hAnsi="Calibri" w:cs="Calibri"/>
                <w:color w:val="000000"/>
                <w:sz w:val="18"/>
                <w:szCs w:val="18"/>
                <w:lang w:val="en-US"/>
              </w:rPr>
            </w:pPr>
            <w:r w:rsidRPr="000F05A3">
              <w:rPr>
                <w:rFonts w:ascii="Calibri" w:hAnsi="Calibri"/>
                <w:color w:val="000000"/>
                <w:sz w:val="18"/>
                <w:szCs w:val="18"/>
              </w:rPr>
              <w:t>1</w:t>
            </w:r>
            <w:r w:rsidR="00C533B3">
              <w:rPr>
                <w:rFonts w:ascii="Calibri" w:hAnsi="Calibri"/>
                <w:color w:val="000000"/>
                <w:sz w:val="18"/>
                <w:szCs w:val="18"/>
              </w:rPr>
              <w:t>,</w:t>
            </w:r>
            <w:r w:rsidRPr="000F05A3">
              <w:rPr>
                <w:rFonts w:ascii="Calibri" w:hAnsi="Calibri"/>
                <w:color w:val="000000"/>
                <w:sz w:val="18"/>
                <w:szCs w:val="18"/>
              </w:rPr>
              <w:t>239</w:t>
            </w:r>
          </w:p>
        </w:tc>
        <w:tc>
          <w:tcPr>
            <w:tcW w:w="542" w:type="pct"/>
            <w:tcBorders>
              <w:top w:val="nil"/>
              <w:left w:val="nil"/>
              <w:bottom w:val="single" w:sz="8" w:space="0" w:color="auto"/>
              <w:right w:val="nil"/>
            </w:tcBorders>
            <w:shd w:val="clear" w:color="auto" w:fill="auto"/>
            <w:vAlign w:val="bottom"/>
          </w:tcPr>
          <w:p w14:paraId="5D2AA390" w14:textId="364F4876" w:rsidR="005818BB" w:rsidRPr="00537128" w:rsidRDefault="005818BB" w:rsidP="005818BB">
            <w:pPr>
              <w:tabs>
                <w:tab w:val="right" w:pos="1202"/>
              </w:tabs>
              <w:spacing w:after="0" w:line="240" w:lineRule="exact"/>
              <w:jc w:val="right"/>
              <w:outlineLvl w:val="0"/>
              <w:rPr>
                <w:rFonts w:ascii="Calibri" w:eastAsia="Times New Roman" w:hAnsi="Calibri" w:cs="Calibri"/>
                <w:color w:val="000000"/>
                <w:sz w:val="18"/>
                <w:szCs w:val="18"/>
                <w:lang w:val="en-US"/>
              </w:rPr>
            </w:pPr>
            <w:r w:rsidRPr="000F05A3">
              <w:rPr>
                <w:rFonts w:ascii="Calibri" w:hAnsi="Calibri"/>
                <w:color w:val="000000"/>
                <w:sz w:val="18"/>
                <w:szCs w:val="18"/>
              </w:rPr>
              <w:t>1</w:t>
            </w:r>
            <w:r w:rsidR="00C533B3">
              <w:rPr>
                <w:rFonts w:ascii="Calibri" w:hAnsi="Calibri"/>
                <w:color w:val="000000"/>
                <w:sz w:val="18"/>
                <w:szCs w:val="18"/>
              </w:rPr>
              <w:t>,</w:t>
            </w:r>
            <w:r w:rsidRPr="000F05A3">
              <w:rPr>
                <w:rFonts w:ascii="Calibri" w:hAnsi="Calibri"/>
                <w:color w:val="000000"/>
                <w:sz w:val="18"/>
                <w:szCs w:val="18"/>
              </w:rPr>
              <w:t>091</w:t>
            </w:r>
          </w:p>
        </w:tc>
        <w:tc>
          <w:tcPr>
            <w:tcW w:w="524" w:type="pct"/>
            <w:tcBorders>
              <w:top w:val="nil"/>
              <w:left w:val="nil"/>
              <w:bottom w:val="single" w:sz="8" w:space="0" w:color="auto"/>
              <w:right w:val="nil"/>
            </w:tcBorders>
            <w:shd w:val="clear" w:color="auto" w:fill="auto"/>
            <w:vAlign w:val="bottom"/>
          </w:tcPr>
          <w:p w14:paraId="47D1C226" w14:textId="634C909D" w:rsidR="005818BB" w:rsidRPr="00537128" w:rsidRDefault="005818BB" w:rsidP="005818BB">
            <w:pPr>
              <w:tabs>
                <w:tab w:val="right" w:pos="1202"/>
              </w:tabs>
              <w:spacing w:after="0" w:line="240" w:lineRule="exact"/>
              <w:jc w:val="right"/>
              <w:outlineLvl w:val="0"/>
              <w:rPr>
                <w:rFonts w:ascii="Calibri" w:eastAsia="Times New Roman" w:hAnsi="Calibri" w:cs="Calibri"/>
                <w:color w:val="000000"/>
                <w:sz w:val="18"/>
                <w:szCs w:val="18"/>
                <w:lang w:val="en-US"/>
              </w:rPr>
            </w:pPr>
            <w:r w:rsidRPr="000F05A3">
              <w:rPr>
                <w:rFonts w:ascii="Calibri" w:hAnsi="Calibri"/>
                <w:color w:val="000000"/>
                <w:sz w:val="18"/>
                <w:szCs w:val="18"/>
              </w:rPr>
              <w:t>5</w:t>
            </w:r>
            <w:r w:rsidR="00C533B3">
              <w:rPr>
                <w:rFonts w:ascii="Calibri" w:hAnsi="Calibri"/>
                <w:color w:val="000000"/>
                <w:sz w:val="18"/>
                <w:szCs w:val="18"/>
              </w:rPr>
              <w:t>,</w:t>
            </w:r>
            <w:r w:rsidRPr="000F05A3">
              <w:rPr>
                <w:rFonts w:ascii="Calibri" w:hAnsi="Calibri"/>
                <w:color w:val="000000"/>
                <w:sz w:val="18"/>
                <w:szCs w:val="18"/>
              </w:rPr>
              <w:t>183</w:t>
            </w:r>
          </w:p>
        </w:tc>
      </w:tr>
      <w:tr w:rsidR="005818BB" w:rsidRPr="00537128" w14:paraId="091AF475" w14:textId="77777777" w:rsidTr="00620EB3">
        <w:trPr>
          <w:trHeight w:hRule="exact" w:val="270"/>
        </w:trPr>
        <w:tc>
          <w:tcPr>
            <w:tcW w:w="1772" w:type="pct"/>
            <w:vAlign w:val="bottom"/>
          </w:tcPr>
          <w:p w14:paraId="2FE8172F" w14:textId="77777777" w:rsidR="005818BB" w:rsidRPr="00537128" w:rsidRDefault="005818BB" w:rsidP="005818BB">
            <w:pPr>
              <w:tabs>
                <w:tab w:val="right" w:pos="1202"/>
              </w:tabs>
              <w:spacing w:after="0" w:line="200" w:lineRule="exact"/>
              <w:outlineLvl w:val="0"/>
              <w:rPr>
                <w:rFonts w:ascii="Calibri" w:eastAsia="Times New Roman" w:hAnsi="Calibri" w:cs="Arial"/>
                <w:b/>
                <w:bCs/>
                <w:spacing w:val="-2"/>
                <w:sz w:val="18"/>
                <w:szCs w:val="18"/>
                <w:highlight w:val="yellow"/>
                <w:lang w:val="en-US"/>
              </w:rPr>
            </w:pPr>
            <w:bookmarkStart w:id="856" w:name="_Toc4062113"/>
            <w:r w:rsidRPr="00537128">
              <w:rPr>
                <w:rFonts w:ascii="Calibri" w:eastAsia="Times New Roman" w:hAnsi="Calibri" w:cs="Arial"/>
                <w:b/>
                <w:bCs/>
                <w:spacing w:val="-2"/>
                <w:sz w:val="18"/>
                <w:szCs w:val="18"/>
                <w:lang w:val="en-US"/>
              </w:rPr>
              <w:t>Total guarantees and commitments</w:t>
            </w:r>
            <w:bookmarkEnd w:id="856"/>
          </w:p>
        </w:tc>
        <w:tc>
          <w:tcPr>
            <w:tcW w:w="538" w:type="pct"/>
            <w:tcBorders>
              <w:top w:val="single" w:sz="8" w:space="0" w:color="auto"/>
              <w:left w:val="nil"/>
              <w:bottom w:val="single" w:sz="12" w:space="0" w:color="auto"/>
              <w:right w:val="nil"/>
            </w:tcBorders>
            <w:shd w:val="clear" w:color="auto" w:fill="auto"/>
            <w:vAlign w:val="bottom"/>
          </w:tcPr>
          <w:p w14:paraId="75CE2BD4" w14:textId="29377269" w:rsidR="005818BB" w:rsidRPr="00537128" w:rsidRDefault="005818BB" w:rsidP="005818BB">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0F05A3">
              <w:rPr>
                <w:rFonts w:ascii="Calibri" w:hAnsi="Calibri"/>
                <w:b/>
                <w:bCs/>
                <w:color w:val="000000"/>
                <w:sz w:val="18"/>
                <w:szCs w:val="18"/>
              </w:rPr>
              <w:t>3</w:t>
            </w:r>
            <w:r w:rsidR="00C533B3">
              <w:rPr>
                <w:rFonts w:ascii="Calibri" w:hAnsi="Calibri"/>
                <w:b/>
                <w:bCs/>
                <w:color w:val="000000"/>
                <w:sz w:val="18"/>
                <w:szCs w:val="18"/>
              </w:rPr>
              <w:t>,</w:t>
            </w:r>
            <w:r w:rsidRPr="000F05A3">
              <w:rPr>
                <w:rFonts w:ascii="Calibri" w:hAnsi="Calibri"/>
                <w:b/>
                <w:bCs/>
                <w:color w:val="000000"/>
                <w:sz w:val="18"/>
                <w:szCs w:val="18"/>
              </w:rPr>
              <w:t>689</w:t>
            </w:r>
            <w:r w:rsidR="00C533B3">
              <w:rPr>
                <w:rFonts w:ascii="Calibri" w:hAnsi="Calibri"/>
                <w:b/>
                <w:bCs/>
                <w:color w:val="000000"/>
                <w:sz w:val="18"/>
                <w:szCs w:val="18"/>
              </w:rPr>
              <w:t>,</w:t>
            </w:r>
            <w:r w:rsidRPr="000F05A3">
              <w:rPr>
                <w:rFonts w:ascii="Calibri" w:hAnsi="Calibri"/>
                <w:b/>
                <w:bCs/>
                <w:color w:val="000000"/>
                <w:sz w:val="18"/>
                <w:szCs w:val="18"/>
              </w:rPr>
              <w:t>145</w:t>
            </w:r>
          </w:p>
        </w:tc>
        <w:tc>
          <w:tcPr>
            <w:tcW w:w="541" w:type="pct"/>
            <w:tcBorders>
              <w:top w:val="single" w:sz="8" w:space="0" w:color="auto"/>
              <w:left w:val="nil"/>
              <w:bottom w:val="single" w:sz="12" w:space="0" w:color="auto"/>
              <w:right w:val="nil"/>
            </w:tcBorders>
            <w:shd w:val="clear" w:color="auto" w:fill="auto"/>
            <w:vAlign w:val="bottom"/>
          </w:tcPr>
          <w:p w14:paraId="01746858" w14:textId="09B35743" w:rsidR="005818BB" w:rsidRPr="00537128" w:rsidRDefault="005818BB" w:rsidP="005818BB">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0F05A3">
              <w:rPr>
                <w:rFonts w:ascii="Calibri" w:hAnsi="Calibri"/>
                <w:b/>
                <w:bCs/>
                <w:color w:val="000000"/>
                <w:sz w:val="18"/>
                <w:szCs w:val="18"/>
              </w:rPr>
              <w:t>12</w:t>
            </w:r>
            <w:r w:rsidR="00C533B3">
              <w:rPr>
                <w:rFonts w:ascii="Calibri" w:hAnsi="Calibri"/>
                <w:b/>
                <w:bCs/>
                <w:color w:val="000000"/>
                <w:sz w:val="18"/>
                <w:szCs w:val="18"/>
              </w:rPr>
              <w:t>,</w:t>
            </w:r>
            <w:r w:rsidRPr="000F05A3">
              <w:rPr>
                <w:rFonts w:ascii="Calibri" w:hAnsi="Calibri"/>
                <w:b/>
                <w:bCs/>
                <w:color w:val="000000"/>
                <w:sz w:val="18"/>
                <w:szCs w:val="18"/>
              </w:rPr>
              <w:t>750</w:t>
            </w:r>
          </w:p>
        </w:tc>
        <w:tc>
          <w:tcPr>
            <w:tcW w:w="542" w:type="pct"/>
            <w:tcBorders>
              <w:top w:val="single" w:sz="8" w:space="0" w:color="auto"/>
              <w:left w:val="nil"/>
              <w:bottom w:val="single" w:sz="12" w:space="0" w:color="auto"/>
              <w:right w:val="nil"/>
            </w:tcBorders>
            <w:shd w:val="clear" w:color="auto" w:fill="auto"/>
            <w:vAlign w:val="bottom"/>
          </w:tcPr>
          <w:p w14:paraId="69D3A30D" w14:textId="3F33EADC" w:rsidR="005818BB" w:rsidRPr="00537128" w:rsidRDefault="005818BB" w:rsidP="005818BB">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0F05A3">
              <w:rPr>
                <w:rFonts w:ascii="Calibri" w:hAnsi="Calibri"/>
                <w:b/>
                <w:bCs/>
                <w:color w:val="000000"/>
                <w:sz w:val="18"/>
                <w:szCs w:val="18"/>
              </w:rPr>
              <w:t>77</w:t>
            </w:r>
            <w:r w:rsidR="00C533B3">
              <w:rPr>
                <w:rFonts w:ascii="Calibri" w:hAnsi="Calibri"/>
                <w:b/>
                <w:bCs/>
                <w:color w:val="000000"/>
                <w:sz w:val="18"/>
                <w:szCs w:val="18"/>
              </w:rPr>
              <w:t>,</w:t>
            </w:r>
            <w:r w:rsidRPr="000F05A3">
              <w:rPr>
                <w:rFonts w:ascii="Calibri" w:hAnsi="Calibri"/>
                <w:b/>
                <w:bCs/>
                <w:color w:val="000000"/>
                <w:sz w:val="18"/>
                <w:szCs w:val="18"/>
              </w:rPr>
              <w:t>230</w:t>
            </w:r>
          </w:p>
        </w:tc>
        <w:tc>
          <w:tcPr>
            <w:tcW w:w="541" w:type="pct"/>
            <w:tcBorders>
              <w:top w:val="single" w:sz="8" w:space="0" w:color="auto"/>
              <w:left w:val="nil"/>
              <w:bottom w:val="single" w:sz="12" w:space="0" w:color="auto"/>
              <w:right w:val="nil"/>
            </w:tcBorders>
            <w:shd w:val="clear" w:color="auto" w:fill="auto"/>
            <w:vAlign w:val="bottom"/>
          </w:tcPr>
          <w:p w14:paraId="77231492" w14:textId="4F6B47C1" w:rsidR="005818BB" w:rsidRPr="00537128" w:rsidRDefault="005818BB" w:rsidP="005818BB">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0F05A3">
              <w:rPr>
                <w:rFonts w:ascii="Calibri" w:hAnsi="Calibri"/>
                <w:b/>
                <w:bCs/>
                <w:color w:val="000000"/>
                <w:sz w:val="18"/>
                <w:szCs w:val="18"/>
              </w:rPr>
              <w:t>108</w:t>
            </w:r>
            <w:r w:rsidR="00C533B3">
              <w:rPr>
                <w:rFonts w:ascii="Calibri" w:hAnsi="Calibri"/>
                <w:b/>
                <w:bCs/>
                <w:color w:val="000000"/>
                <w:sz w:val="18"/>
                <w:szCs w:val="18"/>
              </w:rPr>
              <w:t>,</w:t>
            </w:r>
            <w:r w:rsidRPr="000F05A3">
              <w:rPr>
                <w:rFonts w:ascii="Calibri" w:hAnsi="Calibri"/>
                <w:b/>
                <w:bCs/>
                <w:color w:val="000000"/>
                <w:sz w:val="18"/>
                <w:szCs w:val="18"/>
              </w:rPr>
              <w:t>414</w:t>
            </w:r>
          </w:p>
        </w:tc>
        <w:tc>
          <w:tcPr>
            <w:tcW w:w="542" w:type="pct"/>
            <w:tcBorders>
              <w:top w:val="single" w:sz="8" w:space="0" w:color="auto"/>
              <w:left w:val="nil"/>
              <w:bottom w:val="single" w:sz="12" w:space="0" w:color="auto"/>
              <w:right w:val="nil"/>
            </w:tcBorders>
            <w:shd w:val="clear" w:color="auto" w:fill="auto"/>
            <w:vAlign w:val="bottom"/>
          </w:tcPr>
          <w:p w14:paraId="17D90B18" w14:textId="36EDD389" w:rsidR="005818BB" w:rsidRPr="00537128" w:rsidRDefault="005818BB" w:rsidP="005818BB">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0F05A3">
              <w:rPr>
                <w:rFonts w:ascii="Calibri" w:hAnsi="Calibri"/>
                <w:b/>
                <w:bCs/>
                <w:color w:val="000000"/>
                <w:sz w:val="18"/>
                <w:szCs w:val="18"/>
              </w:rPr>
              <w:t>121</w:t>
            </w:r>
            <w:r w:rsidR="00C533B3">
              <w:rPr>
                <w:rFonts w:ascii="Calibri" w:hAnsi="Calibri"/>
                <w:b/>
                <w:bCs/>
                <w:color w:val="000000"/>
                <w:sz w:val="18"/>
                <w:szCs w:val="18"/>
              </w:rPr>
              <w:t>,</w:t>
            </w:r>
            <w:r w:rsidRPr="000F05A3">
              <w:rPr>
                <w:rFonts w:ascii="Calibri" w:hAnsi="Calibri"/>
                <w:b/>
                <w:bCs/>
                <w:color w:val="000000"/>
                <w:sz w:val="18"/>
                <w:szCs w:val="18"/>
              </w:rPr>
              <w:t>289</w:t>
            </w:r>
          </w:p>
        </w:tc>
        <w:tc>
          <w:tcPr>
            <w:tcW w:w="524" w:type="pct"/>
            <w:tcBorders>
              <w:top w:val="single" w:sz="8" w:space="0" w:color="auto"/>
              <w:left w:val="nil"/>
              <w:bottom w:val="single" w:sz="12" w:space="0" w:color="auto"/>
              <w:right w:val="nil"/>
            </w:tcBorders>
            <w:shd w:val="clear" w:color="auto" w:fill="auto"/>
            <w:vAlign w:val="bottom"/>
          </w:tcPr>
          <w:p w14:paraId="7C8B5A7A" w14:textId="4D7B8AA1" w:rsidR="005818BB" w:rsidRPr="00537128" w:rsidRDefault="005818BB" w:rsidP="005818BB">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0F05A3">
              <w:rPr>
                <w:rFonts w:ascii="Calibri" w:hAnsi="Calibri"/>
                <w:b/>
                <w:bCs/>
                <w:color w:val="000000"/>
                <w:sz w:val="18"/>
                <w:szCs w:val="18"/>
              </w:rPr>
              <w:t>4</w:t>
            </w:r>
            <w:r w:rsidR="00C533B3">
              <w:rPr>
                <w:rFonts w:ascii="Calibri" w:hAnsi="Calibri"/>
                <w:b/>
                <w:bCs/>
                <w:color w:val="000000"/>
                <w:sz w:val="18"/>
                <w:szCs w:val="18"/>
              </w:rPr>
              <w:t>,</w:t>
            </w:r>
            <w:r w:rsidRPr="000F05A3">
              <w:rPr>
                <w:rFonts w:ascii="Calibri" w:hAnsi="Calibri"/>
                <w:b/>
                <w:bCs/>
                <w:color w:val="000000"/>
                <w:sz w:val="18"/>
                <w:szCs w:val="18"/>
              </w:rPr>
              <w:t>008</w:t>
            </w:r>
            <w:r w:rsidR="00C533B3">
              <w:rPr>
                <w:rFonts w:ascii="Calibri" w:hAnsi="Calibri"/>
                <w:b/>
                <w:bCs/>
                <w:color w:val="000000"/>
                <w:sz w:val="18"/>
                <w:szCs w:val="18"/>
              </w:rPr>
              <w:t>,</w:t>
            </w:r>
            <w:r w:rsidRPr="000F05A3">
              <w:rPr>
                <w:rFonts w:ascii="Calibri" w:hAnsi="Calibri"/>
                <w:b/>
                <w:bCs/>
                <w:color w:val="000000"/>
                <w:sz w:val="18"/>
                <w:szCs w:val="18"/>
              </w:rPr>
              <w:t>828</w:t>
            </w:r>
          </w:p>
        </w:tc>
      </w:tr>
    </w:tbl>
    <w:p w14:paraId="12D1EAB9" w14:textId="77777777" w:rsidR="00AC576E" w:rsidRPr="00537128" w:rsidRDefault="00AC576E" w:rsidP="00AC576E">
      <w:pPr>
        <w:tabs>
          <w:tab w:val="left" w:pos="8340"/>
        </w:tabs>
        <w:spacing w:after="0" w:line="240" w:lineRule="auto"/>
        <w:jc w:val="both"/>
        <w:rPr>
          <w:rFonts w:eastAsia="Times New Roman" w:cstheme="minorHAnsi"/>
          <w:bCs/>
          <w:color w:val="000000" w:themeColor="text1"/>
          <w:sz w:val="12"/>
          <w:szCs w:val="12"/>
          <w:lang w:val="en-US"/>
        </w:rPr>
      </w:pPr>
    </w:p>
    <w:p w14:paraId="1A266FE2" w14:textId="77777777" w:rsidR="00AC576E" w:rsidRPr="00537128" w:rsidRDefault="00AC576E" w:rsidP="00AC576E">
      <w:pPr>
        <w:tabs>
          <w:tab w:val="left" w:pos="8340"/>
        </w:tabs>
        <w:spacing w:after="0" w:line="240" w:lineRule="auto"/>
        <w:jc w:val="both"/>
        <w:rPr>
          <w:rFonts w:eastAsia="Times New Roman" w:cstheme="minorHAnsi"/>
          <w:bCs/>
          <w:color w:val="000000" w:themeColor="text1"/>
          <w:sz w:val="20"/>
          <w:szCs w:val="20"/>
          <w:lang w:val="en-US"/>
        </w:rPr>
      </w:pPr>
      <w:r w:rsidRPr="00537128">
        <w:rPr>
          <w:rFonts w:eastAsia="Times New Roman" w:cstheme="minorHAnsi"/>
          <w:bCs/>
          <w:color w:val="000000" w:themeColor="text1"/>
          <w:sz w:val="20"/>
          <w:szCs w:val="20"/>
          <w:lang w:val="en-US"/>
        </w:rPr>
        <w:t>The items with undefined maturity are included in terms over 3 years.</w:t>
      </w:r>
    </w:p>
    <w:p w14:paraId="4F9EFF2D" w14:textId="77777777" w:rsidR="00AC576E" w:rsidRPr="00537128" w:rsidRDefault="00AC576E" w:rsidP="00AC576E">
      <w:pPr>
        <w:tabs>
          <w:tab w:val="left" w:pos="8340"/>
        </w:tabs>
        <w:spacing w:after="0" w:line="240" w:lineRule="auto"/>
        <w:jc w:val="both"/>
        <w:rPr>
          <w:rFonts w:eastAsia="Times New Roman" w:cstheme="minorHAnsi"/>
          <w:bCs/>
          <w:color w:val="000000" w:themeColor="text1"/>
          <w:sz w:val="10"/>
          <w:szCs w:val="10"/>
          <w:lang w:val="en-US"/>
        </w:rPr>
      </w:pPr>
    </w:p>
    <w:p w14:paraId="21B04587" w14:textId="162CBDBD" w:rsidR="00AC576E" w:rsidRPr="00537128" w:rsidRDefault="00AC576E" w:rsidP="00AC576E">
      <w:pPr>
        <w:spacing w:after="0" w:line="240" w:lineRule="auto"/>
        <w:jc w:val="both"/>
        <w:rPr>
          <w:rFonts w:eastAsia="Times New Roman" w:cstheme="minorHAnsi"/>
          <w:b/>
          <w:i/>
          <w:color w:val="000000" w:themeColor="text1"/>
          <w:sz w:val="20"/>
          <w:szCs w:val="20"/>
          <w:lang w:val="en-US"/>
        </w:rPr>
      </w:pPr>
      <w:r w:rsidRPr="00537128">
        <w:rPr>
          <w:rFonts w:eastAsia="Times New Roman" w:cstheme="minorHAnsi"/>
          <w:bCs/>
          <w:color w:val="000000" w:themeColor="text1"/>
          <w:sz w:val="20"/>
          <w:szCs w:val="20"/>
          <w:lang w:val="en-US"/>
        </w:rPr>
        <w:t xml:space="preserve">* </w:t>
      </w:r>
      <w:r w:rsidRPr="00537128">
        <w:rPr>
          <w:rFonts w:eastAsia="Times New Roman" w:cstheme="minorHAnsi"/>
          <w:bCs/>
          <w:i/>
          <w:color w:val="000000" w:themeColor="text1"/>
          <w:sz w:val="20"/>
          <w:szCs w:val="20"/>
          <w:lang w:val="en-US"/>
        </w:rPr>
        <w:t xml:space="preserve">Receivables of HRK </w:t>
      </w:r>
      <w:r w:rsidR="005818BB" w:rsidRPr="00261B67">
        <w:rPr>
          <w:rFonts w:eastAsia="Times New Roman" w:cstheme="minorHAnsi"/>
          <w:bCs/>
          <w:i/>
          <w:color w:val="000000" w:themeColor="text1"/>
          <w:sz w:val="20"/>
          <w:szCs w:val="20"/>
          <w:lang w:val="en-US"/>
        </w:rPr>
        <w:t>23</w:t>
      </w:r>
      <w:r w:rsidR="00703DBC" w:rsidRPr="00261B67">
        <w:rPr>
          <w:rFonts w:eastAsia="Times New Roman" w:cstheme="minorHAnsi"/>
          <w:bCs/>
          <w:i/>
          <w:color w:val="000000" w:themeColor="text1"/>
          <w:sz w:val="20"/>
          <w:szCs w:val="20"/>
          <w:lang w:val="en-US"/>
        </w:rPr>
        <w:t>,</w:t>
      </w:r>
      <w:r w:rsidR="00261B67" w:rsidRPr="00261B67">
        <w:rPr>
          <w:rFonts w:eastAsia="Times New Roman" w:cstheme="minorHAnsi"/>
          <w:bCs/>
          <w:i/>
          <w:color w:val="000000" w:themeColor="text1"/>
          <w:sz w:val="20"/>
          <w:szCs w:val="20"/>
          <w:lang w:val="en-US"/>
        </w:rPr>
        <w:t>524</w:t>
      </w:r>
      <w:r w:rsidR="00703DBC" w:rsidRPr="00703DBC">
        <w:rPr>
          <w:rFonts w:eastAsia="Times New Roman" w:cstheme="minorHAnsi"/>
          <w:bCs/>
          <w:i/>
          <w:color w:val="000000" w:themeColor="text1"/>
          <w:sz w:val="20"/>
          <w:szCs w:val="20"/>
          <w:lang w:val="en-US"/>
        </w:rPr>
        <w:t xml:space="preserve"> </w:t>
      </w:r>
      <w:r w:rsidRPr="00537128">
        <w:rPr>
          <w:rFonts w:eastAsia="Times New Roman" w:cstheme="minorHAnsi"/>
          <w:bCs/>
          <w:i/>
          <w:color w:val="000000" w:themeColor="text1"/>
          <w:sz w:val="20"/>
          <w:szCs w:val="20"/>
          <w:lang w:val="en-US"/>
        </w:rPr>
        <w:t xml:space="preserve">thousand relate to reverse REPO agreements. </w:t>
      </w:r>
    </w:p>
    <w:p w14:paraId="02682044" w14:textId="77777777" w:rsidR="00AC576E" w:rsidRPr="00537128" w:rsidRDefault="00AC576E" w:rsidP="00AC576E">
      <w:pPr>
        <w:spacing w:after="0" w:line="240" w:lineRule="auto"/>
        <w:jc w:val="both"/>
        <w:rPr>
          <w:rFonts w:eastAsia="Calibri" w:cstheme="minorHAnsi"/>
          <w:i/>
          <w:iCs/>
          <w:color w:val="000000" w:themeColor="text1"/>
          <w:sz w:val="20"/>
          <w:szCs w:val="20"/>
          <w:lang w:val="en-US"/>
        </w:rPr>
        <w:sectPr w:rsidR="00AC576E" w:rsidRPr="00537128" w:rsidSect="00712478">
          <w:pgSz w:w="11906" w:h="16838"/>
          <w:pgMar w:top="1418" w:right="1134" w:bottom="1418" w:left="1418" w:header="709" w:footer="709" w:gutter="0"/>
          <w:cols w:space="708"/>
          <w:docGrid w:linePitch="360"/>
        </w:sectPr>
      </w:pPr>
      <w:r w:rsidRPr="00537128">
        <w:rPr>
          <w:rFonts w:eastAsia="Calibri" w:cstheme="minorHAnsi"/>
          <w:i/>
          <w:iCs/>
          <w:color w:val="000000" w:themeColor="text1"/>
          <w:sz w:val="20"/>
          <w:szCs w:val="20"/>
          <w:lang w:val="en-US"/>
        </w:rPr>
        <w:t xml:space="preserve">** Accrued interest on loans not yet due is allocated to the category from 1 to 3 months. </w:t>
      </w:r>
    </w:p>
    <w:p w14:paraId="6FAA8A78" w14:textId="77777777" w:rsidR="00AC576E" w:rsidRPr="00537128" w:rsidRDefault="00AC576E" w:rsidP="00AC576E">
      <w:pPr>
        <w:spacing w:after="0" w:line="240" w:lineRule="auto"/>
        <w:jc w:val="both"/>
        <w:rPr>
          <w:rFonts w:eastAsia="Times New Roman" w:cstheme="minorHAnsi"/>
          <w:b/>
          <w:iCs/>
          <w:color w:val="000000" w:themeColor="text1"/>
          <w:sz w:val="20"/>
          <w:szCs w:val="20"/>
          <w:lang w:val="en-US"/>
        </w:rPr>
      </w:pPr>
    </w:p>
    <w:p w14:paraId="7C8F1F85" w14:textId="58F52D9E" w:rsidR="00AC576E" w:rsidRPr="00537128" w:rsidRDefault="00B357CE" w:rsidP="00AC576E">
      <w:pPr>
        <w:spacing w:after="0" w:line="240" w:lineRule="auto"/>
        <w:jc w:val="both"/>
        <w:rPr>
          <w:rFonts w:eastAsia="Times New Roman" w:cstheme="minorHAnsi"/>
          <w:b/>
          <w:bCs/>
          <w:iCs/>
          <w:color w:val="000000" w:themeColor="text1"/>
          <w:sz w:val="20"/>
          <w:szCs w:val="20"/>
          <w:lang w:val="en-US"/>
        </w:rPr>
      </w:pPr>
      <w:r w:rsidRPr="00537128">
        <w:rPr>
          <w:rFonts w:eastAsia="Times New Roman" w:cstheme="minorHAnsi"/>
          <w:b/>
          <w:bCs/>
          <w:iCs/>
          <w:color w:val="000000" w:themeColor="text1"/>
          <w:sz w:val="20"/>
          <w:szCs w:val="20"/>
          <w:lang w:val="en-US"/>
        </w:rPr>
        <w:t>2</w:t>
      </w:r>
      <w:r>
        <w:rPr>
          <w:rFonts w:eastAsia="Times New Roman" w:cstheme="minorHAnsi"/>
          <w:b/>
          <w:bCs/>
          <w:iCs/>
          <w:color w:val="000000" w:themeColor="text1"/>
          <w:sz w:val="20"/>
          <w:szCs w:val="20"/>
          <w:lang w:val="en-US"/>
        </w:rPr>
        <w:t>3</w:t>
      </w:r>
      <w:r w:rsidR="00AC576E" w:rsidRPr="00537128">
        <w:rPr>
          <w:rFonts w:eastAsia="Times New Roman" w:cstheme="minorHAnsi"/>
          <w:b/>
          <w:bCs/>
          <w:iCs/>
          <w:color w:val="000000" w:themeColor="text1"/>
          <w:sz w:val="20"/>
          <w:szCs w:val="20"/>
          <w:lang w:val="en-US"/>
        </w:rPr>
        <w:t>.</w:t>
      </w:r>
      <w:r w:rsidR="00AC576E" w:rsidRPr="00537128">
        <w:rPr>
          <w:rFonts w:eastAsia="Times New Roman" w:cstheme="minorHAnsi"/>
          <w:b/>
          <w:bCs/>
          <w:iCs/>
          <w:color w:val="000000" w:themeColor="text1"/>
          <w:sz w:val="20"/>
          <w:szCs w:val="20"/>
          <w:lang w:val="en-US"/>
        </w:rPr>
        <w:tab/>
        <w:t>Risk management (continued)</w:t>
      </w:r>
    </w:p>
    <w:p w14:paraId="19B920E3" w14:textId="77777777" w:rsidR="00AC576E" w:rsidRPr="00537128" w:rsidRDefault="00AC576E" w:rsidP="00AC576E">
      <w:pPr>
        <w:spacing w:after="0" w:line="240" w:lineRule="auto"/>
        <w:jc w:val="both"/>
        <w:rPr>
          <w:rFonts w:eastAsia="Times New Roman" w:cstheme="minorHAnsi"/>
          <w:b/>
          <w:iCs/>
          <w:color w:val="000000" w:themeColor="text1"/>
          <w:sz w:val="20"/>
          <w:szCs w:val="20"/>
          <w:lang w:val="en-US"/>
        </w:rPr>
      </w:pPr>
    </w:p>
    <w:p w14:paraId="6E2F69C5" w14:textId="50E3ECD4" w:rsidR="00AC576E" w:rsidRPr="00537128" w:rsidRDefault="00B357CE" w:rsidP="00AC576E">
      <w:pPr>
        <w:spacing w:after="0" w:line="240" w:lineRule="auto"/>
        <w:jc w:val="both"/>
        <w:rPr>
          <w:rFonts w:eastAsia="Times New Roman" w:cstheme="minorHAnsi"/>
          <w:b/>
          <w:iCs/>
          <w:color w:val="000000" w:themeColor="text1"/>
          <w:sz w:val="20"/>
          <w:szCs w:val="20"/>
          <w:lang w:val="en-US"/>
        </w:rPr>
      </w:pPr>
      <w:r w:rsidRPr="00537128">
        <w:rPr>
          <w:rFonts w:eastAsia="Times New Roman" w:cstheme="minorHAnsi"/>
          <w:b/>
          <w:iCs/>
          <w:color w:val="000000" w:themeColor="text1"/>
          <w:sz w:val="20"/>
          <w:szCs w:val="20"/>
          <w:lang w:val="en-US"/>
        </w:rPr>
        <w:t>2</w:t>
      </w:r>
      <w:r>
        <w:rPr>
          <w:rFonts w:eastAsia="Times New Roman" w:cstheme="minorHAnsi"/>
          <w:b/>
          <w:iCs/>
          <w:color w:val="000000" w:themeColor="text1"/>
          <w:sz w:val="20"/>
          <w:szCs w:val="20"/>
          <w:lang w:val="en-US"/>
        </w:rPr>
        <w:t>3</w:t>
      </w:r>
      <w:r w:rsidR="00AC576E" w:rsidRPr="00537128">
        <w:rPr>
          <w:rFonts w:eastAsia="Times New Roman" w:cstheme="minorHAnsi"/>
          <w:b/>
          <w:iCs/>
          <w:color w:val="000000" w:themeColor="text1"/>
          <w:sz w:val="20"/>
          <w:szCs w:val="20"/>
          <w:lang w:val="en-US"/>
        </w:rPr>
        <w:t xml:space="preserve">.4. </w:t>
      </w:r>
      <w:r w:rsidR="00AC576E" w:rsidRPr="00537128">
        <w:rPr>
          <w:rFonts w:eastAsia="Times New Roman" w:cstheme="minorHAnsi"/>
          <w:b/>
          <w:iCs/>
          <w:color w:val="000000" w:themeColor="text1"/>
          <w:sz w:val="20"/>
          <w:szCs w:val="20"/>
          <w:lang w:val="en-US"/>
        </w:rPr>
        <w:tab/>
        <w:t>Liquidity risk (continued)</w:t>
      </w:r>
    </w:p>
    <w:p w14:paraId="657CC294" w14:textId="7E41978E" w:rsidR="003D584A" w:rsidRPr="00537128" w:rsidRDefault="003D584A" w:rsidP="00AC576E">
      <w:pPr>
        <w:spacing w:after="0" w:line="240" w:lineRule="auto"/>
        <w:jc w:val="both"/>
        <w:rPr>
          <w:rFonts w:eastAsia="Times New Roman" w:cstheme="minorHAnsi"/>
          <w:b/>
          <w:iCs/>
          <w:color w:val="000000" w:themeColor="text1"/>
          <w:sz w:val="20"/>
          <w:szCs w:val="20"/>
          <w:lang w:val="en-US"/>
        </w:rPr>
      </w:pPr>
    </w:p>
    <w:tbl>
      <w:tblPr>
        <w:tblW w:w="5549" w:type="pct"/>
        <w:tblInd w:w="-426" w:type="dxa"/>
        <w:tblLayout w:type="fixed"/>
        <w:tblCellMar>
          <w:left w:w="120" w:type="dxa"/>
          <w:right w:w="120" w:type="dxa"/>
        </w:tblCellMar>
        <w:tblLook w:val="0000" w:firstRow="0" w:lastRow="0" w:firstColumn="0" w:lastColumn="0" w:noHBand="0" w:noVBand="0"/>
      </w:tblPr>
      <w:tblGrid>
        <w:gridCol w:w="3670"/>
        <w:gridCol w:w="1118"/>
        <w:gridCol w:w="1123"/>
        <w:gridCol w:w="1125"/>
        <w:gridCol w:w="1123"/>
        <w:gridCol w:w="1125"/>
        <w:gridCol w:w="1098"/>
      </w:tblGrid>
      <w:tr w:rsidR="00F6722F" w:rsidRPr="00F6722F" w14:paraId="0221CFCA" w14:textId="77777777" w:rsidTr="00E44437">
        <w:trPr>
          <w:trHeight w:hRule="exact" w:val="475"/>
        </w:trPr>
        <w:tc>
          <w:tcPr>
            <w:tcW w:w="1767" w:type="pct"/>
            <w:vAlign w:val="bottom"/>
          </w:tcPr>
          <w:p w14:paraId="6DAB686D" w14:textId="77777777" w:rsidR="00F6722F" w:rsidRPr="00F6722F" w:rsidRDefault="00F6722F" w:rsidP="00F6722F">
            <w:pPr>
              <w:tabs>
                <w:tab w:val="right" w:pos="1202"/>
              </w:tabs>
              <w:spacing w:after="0" w:line="220" w:lineRule="exact"/>
              <w:outlineLvl w:val="0"/>
              <w:rPr>
                <w:rFonts w:ascii="Calibri" w:eastAsia="Times New Roman" w:hAnsi="Calibri" w:cs="Arial"/>
                <w:b/>
                <w:sz w:val="18"/>
                <w:szCs w:val="18"/>
                <w:lang w:val="en-US"/>
              </w:rPr>
            </w:pPr>
            <w:r w:rsidRPr="00F6722F">
              <w:rPr>
                <w:rFonts w:ascii="Calibri" w:eastAsia="Times New Roman" w:hAnsi="Calibri" w:cs="Arial"/>
                <w:b/>
                <w:sz w:val="18"/>
                <w:szCs w:val="18"/>
                <w:lang w:val="en-US"/>
              </w:rPr>
              <w:t>Group</w:t>
            </w:r>
          </w:p>
          <w:p w14:paraId="63D20A2B" w14:textId="77777777" w:rsidR="00F6722F" w:rsidRPr="00F6722F" w:rsidRDefault="00F6722F" w:rsidP="00F6722F">
            <w:pPr>
              <w:tabs>
                <w:tab w:val="right" w:pos="1202"/>
              </w:tabs>
              <w:spacing w:after="0" w:line="220" w:lineRule="exact"/>
              <w:outlineLvl w:val="0"/>
              <w:rPr>
                <w:rFonts w:ascii="Calibri" w:eastAsia="Times New Roman" w:hAnsi="Calibri" w:cs="Arial"/>
                <w:b/>
                <w:sz w:val="18"/>
                <w:szCs w:val="18"/>
                <w:lang w:val="en-US"/>
              </w:rPr>
            </w:pPr>
            <w:r w:rsidRPr="00F6722F">
              <w:rPr>
                <w:rFonts w:ascii="Calibri" w:eastAsia="Times New Roman" w:hAnsi="Calibri" w:cs="Arial"/>
                <w:b/>
                <w:sz w:val="18"/>
                <w:szCs w:val="18"/>
                <w:lang w:val="en-US"/>
              </w:rPr>
              <w:t>31 December 2021</w:t>
            </w:r>
          </w:p>
        </w:tc>
        <w:tc>
          <w:tcPr>
            <w:tcW w:w="538" w:type="pct"/>
          </w:tcPr>
          <w:p w14:paraId="0BDCF51B" w14:textId="77777777" w:rsidR="00F6722F" w:rsidRPr="00F6722F" w:rsidRDefault="00F6722F" w:rsidP="00F6722F">
            <w:pPr>
              <w:tabs>
                <w:tab w:val="right" w:pos="1202"/>
              </w:tabs>
              <w:spacing w:after="0" w:line="220" w:lineRule="exact"/>
              <w:jc w:val="right"/>
              <w:outlineLvl w:val="0"/>
              <w:rPr>
                <w:rFonts w:ascii="Calibri" w:eastAsia="Times New Roman" w:hAnsi="Calibri" w:cs="Arial"/>
                <w:b/>
                <w:sz w:val="18"/>
                <w:szCs w:val="18"/>
                <w:lang w:val="en-US"/>
              </w:rPr>
            </w:pPr>
            <w:r w:rsidRPr="00F6722F">
              <w:rPr>
                <w:rFonts w:ascii="Calibri" w:eastAsia="Times New Roman" w:hAnsi="Calibri" w:cs="Arial"/>
                <w:b/>
                <w:sz w:val="18"/>
                <w:szCs w:val="18"/>
                <w:lang w:val="en-US"/>
              </w:rPr>
              <w:t xml:space="preserve">Up to 1 </w:t>
            </w:r>
          </w:p>
          <w:p w14:paraId="36B3CC59" w14:textId="77777777" w:rsidR="00F6722F" w:rsidRPr="00F6722F" w:rsidRDefault="00F6722F" w:rsidP="00F6722F">
            <w:pPr>
              <w:tabs>
                <w:tab w:val="right" w:pos="1202"/>
              </w:tabs>
              <w:spacing w:after="0" w:line="220" w:lineRule="exact"/>
              <w:jc w:val="right"/>
              <w:outlineLvl w:val="0"/>
              <w:rPr>
                <w:rFonts w:ascii="Calibri" w:eastAsia="Times New Roman" w:hAnsi="Calibri" w:cs="Arial"/>
                <w:b/>
                <w:sz w:val="18"/>
                <w:szCs w:val="18"/>
                <w:lang w:val="en-US"/>
              </w:rPr>
            </w:pPr>
            <w:r w:rsidRPr="00F6722F">
              <w:rPr>
                <w:rFonts w:ascii="Calibri" w:eastAsia="Times New Roman" w:hAnsi="Calibri" w:cs="Arial"/>
                <w:b/>
                <w:sz w:val="18"/>
                <w:szCs w:val="18"/>
                <w:lang w:val="en-US"/>
              </w:rPr>
              <w:t>month</w:t>
            </w:r>
          </w:p>
        </w:tc>
        <w:tc>
          <w:tcPr>
            <w:tcW w:w="541" w:type="pct"/>
          </w:tcPr>
          <w:p w14:paraId="2AB34D5F" w14:textId="77777777" w:rsidR="00F6722F" w:rsidRPr="00F6722F" w:rsidRDefault="00F6722F" w:rsidP="00F6722F">
            <w:pPr>
              <w:tabs>
                <w:tab w:val="right" w:pos="1202"/>
              </w:tabs>
              <w:spacing w:after="0" w:line="220" w:lineRule="exact"/>
              <w:jc w:val="right"/>
              <w:outlineLvl w:val="0"/>
              <w:rPr>
                <w:rFonts w:ascii="Calibri" w:eastAsia="Times New Roman" w:hAnsi="Calibri" w:cs="Arial"/>
                <w:b/>
                <w:sz w:val="18"/>
                <w:szCs w:val="18"/>
                <w:lang w:val="en-US"/>
              </w:rPr>
            </w:pPr>
            <w:r w:rsidRPr="00F6722F">
              <w:rPr>
                <w:rFonts w:ascii="Calibri" w:eastAsia="Times New Roman" w:hAnsi="Calibri" w:cs="Arial"/>
                <w:b/>
                <w:sz w:val="18"/>
                <w:szCs w:val="18"/>
                <w:lang w:val="en-US"/>
              </w:rPr>
              <w:t xml:space="preserve">1 to 3 months </w:t>
            </w:r>
          </w:p>
        </w:tc>
        <w:tc>
          <w:tcPr>
            <w:tcW w:w="542" w:type="pct"/>
          </w:tcPr>
          <w:p w14:paraId="3BAC0396" w14:textId="77777777" w:rsidR="00F6722F" w:rsidRPr="00F6722F" w:rsidRDefault="00F6722F" w:rsidP="00F6722F">
            <w:pPr>
              <w:tabs>
                <w:tab w:val="right" w:pos="1202"/>
              </w:tabs>
              <w:spacing w:after="0" w:line="220" w:lineRule="exact"/>
              <w:jc w:val="right"/>
              <w:outlineLvl w:val="0"/>
              <w:rPr>
                <w:rFonts w:ascii="Calibri" w:eastAsia="Times New Roman" w:hAnsi="Calibri" w:cs="Arial"/>
                <w:b/>
                <w:sz w:val="18"/>
                <w:szCs w:val="18"/>
                <w:lang w:val="en-US"/>
              </w:rPr>
            </w:pPr>
            <w:r w:rsidRPr="00F6722F">
              <w:rPr>
                <w:rFonts w:ascii="Calibri" w:eastAsia="Times New Roman" w:hAnsi="Calibri" w:cs="Arial"/>
                <w:b/>
                <w:sz w:val="18"/>
                <w:szCs w:val="18"/>
                <w:lang w:val="en-US"/>
              </w:rPr>
              <w:t xml:space="preserve">3 months to 1 year </w:t>
            </w:r>
          </w:p>
        </w:tc>
        <w:tc>
          <w:tcPr>
            <w:tcW w:w="541" w:type="pct"/>
          </w:tcPr>
          <w:p w14:paraId="511275AC" w14:textId="77777777" w:rsidR="00F6722F" w:rsidRPr="00F6722F" w:rsidRDefault="00F6722F" w:rsidP="00F6722F">
            <w:pPr>
              <w:tabs>
                <w:tab w:val="right" w:pos="1202"/>
              </w:tabs>
              <w:spacing w:after="0" w:line="220" w:lineRule="exact"/>
              <w:jc w:val="right"/>
              <w:outlineLvl w:val="0"/>
              <w:rPr>
                <w:rFonts w:ascii="Calibri" w:eastAsia="Times New Roman" w:hAnsi="Calibri" w:cs="Arial"/>
                <w:b/>
                <w:sz w:val="18"/>
                <w:szCs w:val="18"/>
                <w:lang w:val="en-US"/>
              </w:rPr>
            </w:pPr>
            <w:r w:rsidRPr="00F6722F">
              <w:rPr>
                <w:rFonts w:ascii="Calibri" w:eastAsia="Times New Roman" w:hAnsi="Calibri" w:cs="Arial"/>
                <w:b/>
                <w:sz w:val="18"/>
                <w:szCs w:val="18"/>
                <w:lang w:val="en-US"/>
              </w:rPr>
              <w:t>1 to 3</w:t>
            </w:r>
          </w:p>
          <w:p w14:paraId="4C391BB4" w14:textId="77777777" w:rsidR="00F6722F" w:rsidRPr="00F6722F" w:rsidRDefault="00F6722F" w:rsidP="00F6722F">
            <w:pPr>
              <w:tabs>
                <w:tab w:val="right" w:pos="1202"/>
              </w:tabs>
              <w:spacing w:after="0" w:line="220" w:lineRule="exact"/>
              <w:jc w:val="right"/>
              <w:outlineLvl w:val="0"/>
              <w:rPr>
                <w:rFonts w:ascii="Calibri" w:eastAsia="Times New Roman" w:hAnsi="Calibri" w:cs="Arial"/>
                <w:b/>
                <w:sz w:val="18"/>
                <w:szCs w:val="18"/>
                <w:lang w:val="en-US"/>
              </w:rPr>
            </w:pPr>
            <w:r w:rsidRPr="00F6722F">
              <w:rPr>
                <w:rFonts w:ascii="Calibri" w:eastAsia="Times New Roman" w:hAnsi="Calibri" w:cs="Arial"/>
                <w:b/>
                <w:sz w:val="18"/>
                <w:szCs w:val="18"/>
                <w:lang w:val="en-US"/>
              </w:rPr>
              <w:t>years</w:t>
            </w:r>
          </w:p>
        </w:tc>
        <w:tc>
          <w:tcPr>
            <w:tcW w:w="542" w:type="pct"/>
          </w:tcPr>
          <w:p w14:paraId="45E8A886" w14:textId="77777777" w:rsidR="00F6722F" w:rsidRPr="00F6722F" w:rsidRDefault="00F6722F" w:rsidP="00F6722F">
            <w:pPr>
              <w:tabs>
                <w:tab w:val="right" w:pos="1202"/>
              </w:tabs>
              <w:spacing w:after="0" w:line="220" w:lineRule="exact"/>
              <w:jc w:val="right"/>
              <w:outlineLvl w:val="0"/>
              <w:rPr>
                <w:rFonts w:ascii="Calibri" w:eastAsia="Times New Roman" w:hAnsi="Calibri" w:cs="Arial"/>
                <w:b/>
                <w:sz w:val="18"/>
                <w:szCs w:val="18"/>
                <w:lang w:val="en-US"/>
              </w:rPr>
            </w:pPr>
            <w:r w:rsidRPr="00F6722F">
              <w:rPr>
                <w:rFonts w:ascii="Calibri" w:eastAsia="Times New Roman" w:hAnsi="Calibri" w:cs="Arial"/>
                <w:b/>
                <w:sz w:val="18"/>
                <w:szCs w:val="18"/>
                <w:lang w:val="en-US"/>
              </w:rPr>
              <w:t xml:space="preserve">Over 3 </w:t>
            </w:r>
          </w:p>
          <w:p w14:paraId="0995F83F" w14:textId="77777777" w:rsidR="00F6722F" w:rsidRPr="00F6722F" w:rsidRDefault="00F6722F" w:rsidP="00F6722F">
            <w:pPr>
              <w:tabs>
                <w:tab w:val="right" w:pos="1202"/>
              </w:tabs>
              <w:spacing w:after="0" w:line="220" w:lineRule="exact"/>
              <w:jc w:val="right"/>
              <w:outlineLvl w:val="0"/>
              <w:rPr>
                <w:rFonts w:ascii="Calibri" w:eastAsia="Times New Roman" w:hAnsi="Calibri" w:cs="Arial"/>
                <w:b/>
                <w:sz w:val="18"/>
                <w:szCs w:val="18"/>
                <w:lang w:val="en-US"/>
              </w:rPr>
            </w:pPr>
            <w:r w:rsidRPr="00F6722F">
              <w:rPr>
                <w:rFonts w:ascii="Calibri" w:eastAsia="Times New Roman" w:hAnsi="Calibri" w:cs="Arial"/>
                <w:b/>
                <w:sz w:val="18"/>
                <w:szCs w:val="18"/>
                <w:lang w:val="en-US"/>
              </w:rPr>
              <w:t>years</w:t>
            </w:r>
          </w:p>
        </w:tc>
        <w:tc>
          <w:tcPr>
            <w:tcW w:w="529" w:type="pct"/>
          </w:tcPr>
          <w:p w14:paraId="59613B03" w14:textId="77777777" w:rsidR="00F6722F" w:rsidRPr="00F6722F" w:rsidRDefault="00F6722F" w:rsidP="00F6722F">
            <w:pPr>
              <w:tabs>
                <w:tab w:val="right" w:pos="1202"/>
              </w:tabs>
              <w:spacing w:after="0" w:line="220" w:lineRule="exact"/>
              <w:jc w:val="right"/>
              <w:outlineLvl w:val="0"/>
              <w:rPr>
                <w:rFonts w:ascii="Calibri" w:eastAsia="Times New Roman" w:hAnsi="Calibri" w:cs="Arial"/>
                <w:b/>
                <w:sz w:val="18"/>
                <w:szCs w:val="18"/>
                <w:lang w:val="en-US"/>
              </w:rPr>
            </w:pPr>
            <w:r w:rsidRPr="00F6722F">
              <w:rPr>
                <w:rFonts w:ascii="Calibri" w:eastAsia="Times New Roman" w:hAnsi="Calibri" w:cs="Arial"/>
                <w:b/>
                <w:sz w:val="18"/>
                <w:szCs w:val="18"/>
                <w:lang w:val="en-US"/>
              </w:rPr>
              <w:t xml:space="preserve">Total </w:t>
            </w:r>
          </w:p>
        </w:tc>
      </w:tr>
      <w:tr w:rsidR="00F6722F" w:rsidRPr="00F6722F" w14:paraId="6E5FC1C0" w14:textId="77777777" w:rsidTr="00E44437">
        <w:trPr>
          <w:trHeight w:hRule="exact" w:val="270"/>
        </w:trPr>
        <w:tc>
          <w:tcPr>
            <w:tcW w:w="1767" w:type="pct"/>
          </w:tcPr>
          <w:p w14:paraId="662D28DC" w14:textId="77777777" w:rsidR="00F6722F" w:rsidRPr="00F6722F" w:rsidRDefault="00F6722F" w:rsidP="00F6722F">
            <w:pPr>
              <w:tabs>
                <w:tab w:val="right" w:pos="1202"/>
              </w:tabs>
              <w:spacing w:after="0" w:line="220" w:lineRule="exact"/>
              <w:outlineLvl w:val="0"/>
              <w:rPr>
                <w:rFonts w:ascii="Calibri" w:eastAsia="Times New Roman" w:hAnsi="Calibri" w:cs="Arial"/>
                <w:b/>
                <w:sz w:val="18"/>
                <w:szCs w:val="18"/>
                <w:lang w:val="en-US"/>
              </w:rPr>
            </w:pPr>
          </w:p>
        </w:tc>
        <w:tc>
          <w:tcPr>
            <w:tcW w:w="538" w:type="pct"/>
          </w:tcPr>
          <w:p w14:paraId="6D856DC4" w14:textId="77777777" w:rsidR="00F6722F" w:rsidRPr="00F6722F" w:rsidRDefault="00F6722F" w:rsidP="00F6722F">
            <w:pPr>
              <w:tabs>
                <w:tab w:val="right" w:pos="1202"/>
              </w:tabs>
              <w:spacing w:after="0" w:line="220" w:lineRule="exact"/>
              <w:jc w:val="right"/>
              <w:outlineLvl w:val="0"/>
              <w:rPr>
                <w:rFonts w:ascii="Calibri" w:eastAsia="Times New Roman" w:hAnsi="Calibri" w:cs="Arial"/>
                <w:b/>
                <w:sz w:val="18"/>
                <w:szCs w:val="18"/>
                <w:lang w:val="en-US"/>
              </w:rPr>
            </w:pPr>
            <w:r w:rsidRPr="00F6722F">
              <w:rPr>
                <w:rFonts w:ascii="Calibri" w:eastAsia="Times New Roman" w:hAnsi="Calibri" w:cs="Arial"/>
                <w:b/>
                <w:sz w:val="18"/>
                <w:szCs w:val="18"/>
                <w:lang w:val="en-US"/>
              </w:rPr>
              <w:t>HRK ‘000</w:t>
            </w:r>
          </w:p>
        </w:tc>
        <w:tc>
          <w:tcPr>
            <w:tcW w:w="541" w:type="pct"/>
          </w:tcPr>
          <w:p w14:paraId="32D0F3FC" w14:textId="77777777" w:rsidR="00F6722F" w:rsidRPr="00F6722F" w:rsidRDefault="00F6722F" w:rsidP="00F6722F">
            <w:pPr>
              <w:tabs>
                <w:tab w:val="right" w:pos="1202"/>
              </w:tabs>
              <w:spacing w:after="0" w:line="220" w:lineRule="exact"/>
              <w:jc w:val="right"/>
              <w:outlineLvl w:val="0"/>
              <w:rPr>
                <w:rFonts w:ascii="Calibri" w:eastAsia="Times New Roman" w:hAnsi="Calibri" w:cs="Arial"/>
                <w:b/>
                <w:sz w:val="18"/>
                <w:szCs w:val="18"/>
                <w:lang w:val="en-US"/>
              </w:rPr>
            </w:pPr>
            <w:r w:rsidRPr="00F6722F">
              <w:rPr>
                <w:rFonts w:ascii="Calibri" w:eastAsia="Times New Roman" w:hAnsi="Calibri" w:cs="Arial"/>
                <w:b/>
                <w:sz w:val="18"/>
                <w:szCs w:val="18"/>
                <w:lang w:val="en-US"/>
              </w:rPr>
              <w:t>HRK ‘000</w:t>
            </w:r>
          </w:p>
        </w:tc>
        <w:tc>
          <w:tcPr>
            <w:tcW w:w="542" w:type="pct"/>
          </w:tcPr>
          <w:p w14:paraId="152CE716" w14:textId="77777777" w:rsidR="00F6722F" w:rsidRPr="00F6722F" w:rsidRDefault="00F6722F" w:rsidP="00F6722F">
            <w:pPr>
              <w:tabs>
                <w:tab w:val="right" w:pos="1202"/>
              </w:tabs>
              <w:spacing w:after="0" w:line="220" w:lineRule="exact"/>
              <w:jc w:val="right"/>
              <w:outlineLvl w:val="0"/>
              <w:rPr>
                <w:rFonts w:ascii="Calibri" w:eastAsia="Times New Roman" w:hAnsi="Calibri" w:cs="Arial"/>
                <w:b/>
                <w:sz w:val="18"/>
                <w:szCs w:val="18"/>
                <w:lang w:val="en-US"/>
              </w:rPr>
            </w:pPr>
            <w:r w:rsidRPr="00F6722F">
              <w:rPr>
                <w:rFonts w:ascii="Calibri" w:eastAsia="Times New Roman" w:hAnsi="Calibri" w:cs="Arial"/>
                <w:b/>
                <w:sz w:val="18"/>
                <w:szCs w:val="18"/>
                <w:lang w:val="en-US"/>
              </w:rPr>
              <w:t>HRK ‘000</w:t>
            </w:r>
          </w:p>
        </w:tc>
        <w:tc>
          <w:tcPr>
            <w:tcW w:w="541" w:type="pct"/>
          </w:tcPr>
          <w:p w14:paraId="76A9F6FA" w14:textId="77777777" w:rsidR="00F6722F" w:rsidRPr="00F6722F" w:rsidRDefault="00F6722F" w:rsidP="00F6722F">
            <w:pPr>
              <w:tabs>
                <w:tab w:val="right" w:pos="1202"/>
              </w:tabs>
              <w:spacing w:after="0" w:line="220" w:lineRule="exact"/>
              <w:jc w:val="right"/>
              <w:outlineLvl w:val="0"/>
              <w:rPr>
                <w:rFonts w:ascii="Calibri" w:eastAsia="Times New Roman" w:hAnsi="Calibri" w:cs="Arial"/>
                <w:b/>
                <w:sz w:val="18"/>
                <w:szCs w:val="18"/>
                <w:lang w:val="en-US"/>
              </w:rPr>
            </w:pPr>
            <w:r w:rsidRPr="00F6722F">
              <w:rPr>
                <w:rFonts w:ascii="Calibri" w:eastAsia="Times New Roman" w:hAnsi="Calibri" w:cs="Arial"/>
                <w:b/>
                <w:sz w:val="18"/>
                <w:szCs w:val="18"/>
                <w:lang w:val="en-US"/>
              </w:rPr>
              <w:t>HRK ‘000</w:t>
            </w:r>
          </w:p>
        </w:tc>
        <w:tc>
          <w:tcPr>
            <w:tcW w:w="542" w:type="pct"/>
          </w:tcPr>
          <w:p w14:paraId="7174D9AA" w14:textId="77777777" w:rsidR="00F6722F" w:rsidRPr="00F6722F" w:rsidRDefault="00F6722F" w:rsidP="00F6722F">
            <w:pPr>
              <w:tabs>
                <w:tab w:val="right" w:pos="1202"/>
              </w:tabs>
              <w:spacing w:after="0" w:line="220" w:lineRule="exact"/>
              <w:jc w:val="right"/>
              <w:outlineLvl w:val="0"/>
              <w:rPr>
                <w:rFonts w:ascii="Calibri" w:eastAsia="Times New Roman" w:hAnsi="Calibri" w:cs="Arial"/>
                <w:b/>
                <w:sz w:val="18"/>
                <w:szCs w:val="18"/>
                <w:lang w:val="en-US"/>
              </w:rPr>
            </w:pPr>
            <w:r w:rsidRPr="00F6722F">
              <w:rPr>
                <w:rFonts w:ascii="Calibri" w:eastAsia="Times New Roman" w:hAnsi="Calibri" w:cs="Arial"/>
                <w:b/>
                <w:sz w:val="18"/>
                <w:szCs w:val="18"/>
                <w:lang w:val="en-US"/>
              </w:rPr>
              <w:t>HRK ‘000</w:t>
            </w:r>
          </w:p>
        </w:tc>
        <w:tc>
          <w:tcPr>
            <w:tcW w:w="529" w:type="pct"/>
          </w:tcPr>
          <w:p w14:paraId="2ACF50E9" w14:textId="77777777" w:rsidR="00F6722F" w:rsidRPr="00F6722F" w:rsidRDefault="00F6722F" w:rsidP="00F6722F">
            <w:pPr>
              <w:tabs>
                <w:tab w:val="right" w:pos="1202"/>
              </w:tabs>
              <w:spacing w:after="0" w:line="220" w:lineRule="exact"/>
              <w:jc w:val="right"/>
              <w:outlineLvl w:val="0"/>
              <w:rPr>
                <w:rFonts w:ascii="Calibri" w:eastAsia="Times New Roman" w:hAnsi="Calibri" w:cs="Arial"/>
                <w:b/>
                <w:sz w:val="18"/>
                <w:szCs w:val="18"/>
                <w:lang w:val="en-US"/>
              </w:rPr>
            </w:pPr>
            <w:r w:rsidRPr="00F6722F">
              <w:rPr>
                <w:rFonts w:ascii="Calibri" w:eastAsia="Times New Roman" w:hAnsi="Calibri" w:cs="Arial"/>
                <w:b/>
                <w:sz w:val="18"/>
                <w:szCs w:val="18"/>
                <w:lang w:val="en-US"/>
              </w:rPr>
              <w:t>HRK ‘000</w:t>
            </w:r>
          </w:p>
        </w:tc>
      </w:tr>
      <w:tr w:rsidR="00F6722F" w:rsidRPr="00F6722F" w14:paraId="407FCB33" w14:textId="77777777" w:rsidTr="00E44437">
        <w:trPr>
          <w:trHeight w:hRule="exact" w:val="270"/>
        </w:trPr>
        <w:tc>
          <w:tcPr>
            <w:tcW w:w="1767" w:type="pct"/>
            <w:vAlign w:val="center"/>
          </w:tcPr>
          <w:p w14:paraId="6A98CB0C" w14:textId="77777777" w:rsidR="00F6722F" w:rsidRPr="00F6722F" w:rsidRDefault="00F6722F" w:rsidP="00F6722F">
            <w:pPr>
              <w:tabs>
                <w:tab w:val="right" w:pos="1202"/>
              </w:tabs>
              <w:spacing w:after="0" w:line="220" w:lineRule="exact"/>
              <w:outlineLvl w:val="0"/>
              <w:rPr>
                <w:rFonts w:ascii="Calibri" w:eastAsia="Times New Roman" w:hAnsi="Calibri" w:cs="Arial"/>
                <w:b/>
                <w:bCs/>
                <w:sz w:val="18"/>
                <w:szCs w:val="18"/>
                <w:lang w:val="en-US"/>
              </w:rPr>
            </w:pPr>
            <w:r w:rsidRPr="00F6722F">
              <w:rPr>
                <w:rFonts w:ascii="Calibri" w:eastAsia="Times New Roman" w:hAnsi="Calibri" w:cs="Arial"/>
                <w:b/>
                <w:bCs/>
                <w:sz w:val="18"/>
                <w:szCs w:val="18"/>
                <w:lang w:val="en-US"/>
              </w:rPr>
              <w:t xml:space="preserve">Assets </w:t>
            </w:r>
          </w:p>
        </w:tc>
        <w:tc>
          <w:tcPr>
            <w:tcW w:w="538" w:type="pct"/>
            <w:vAlign w:val="bottom"/>
          </w:tcPr>
          <w:p w14:paraId="02B28592" w14:textId="77777777" w:rsidR="00F6722F" w:rsidRPr="00F6722F" w:rsidRDefault="00F6722F" w:rsidP="00F6722F">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41" w:type="pct"/>
            <w:vAlign w:val="bottom"/>
          </w:tcPr>
          <w:p w14:paraId="15BAEF55" w14:textId="77777777" w:rsidR="00F6722F" w:rsidRPr="00F6722F" w:rsidRDefault="00F6722F" w:rsidP="00F6722F">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42" w:type="pct"/>
            <w:vAlign w:val="bottom"/>
          </w:tcPr>
          <w:p w14:paraId="3F7C59B0" w14:textId="77777777" w:rsidR="00F6722F" w:rsidRPr="00F6722F" w:rsidRDefault="00F6722F" w:rsidP="00F6722F">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41" w:type="pct"/>
            <w:vAlign w:val="bottom"/>
          </w:tcPr>
          <w:p w14:paraId="20897C32" w14:textId="77777777" w:rsidR="00F6722F" w:rsidRPr="00F6722F" w:rsidRDefault="00F6722F" w:rsidP="00F6722F">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42" w:type="pct"/>
            <w:vAlign w:val="bottom"/>
          </w:tcPr>
          <w:p w14:paraId="556E5A09" w14:textId="77777777" w:rsidR="00F6722F" w:rsidRPr="00F6722F" w:rsidRDefault="00F6722F" w:rsidP="00F6722F">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29" w:type="pct"/>
            <w:vAlign w:val="bottom"/>
          </w:tcPr>
          <w:p w14:paraId="0580FD3D" w14:textId="77777777" w:rsidR="00F6722F" w:rsidRPr="00F6722F" w:rsidRDefault="00F6722F" w:rsidP="00F6722F">
            <w:pPr>
              <w:tabs>
                <w:tab w:val="right" w:pos="1202"/>
              </w:tabs>
              <w:spacing w:after="0" w:line="220" w:lineRule="exact"/>
              <w:jc w:val="right"/>
              <w:outlineLvl w:val="0"/>
              <w:rPr>
                <w:rFonts w:ascii="Calibri" w:eastAsia="Times New Roman" w:hAnsi="Calibri" w:cs="Arial"/>
                <w:b/>
                <w:bCs/>
                <w:spacing w:val="-2"/>
                <w:sz w:val="18"/>
                <w:szCs w:val="18"/>
                <w:lang w:val="en-US"/>
              </w:rPr>
            </w:pPr>
          </w:p>
        </w:tc>
      </w:tr>
      <w:tr w:rsidR="00F6722F" w:rsidRPr="00F6722F" w14:paraId="6D246A9F" w14:textId="77777777" w:rsidTr="00E44437">
        <w:trPr>
          <w:trHeight w:hRule="exact" w:val="270"/>
        </w:trPr>
        <w:tc>
          <w:tcPr>
            <w:tcW w:w="1767" w:type="pct"/>
            <w:vAlign w:val="bottom"/>
          </w:tcPr>
          <w:p w14:paraId="01A34CA8" w14:textId="77777777" w:rsidR="00F6722F" w:rsidRPr="00F6722F" w:rsidRDefault="00F6722F" w:rsidP="00F6722F">
            <w:pPr>
              <w:tabs>
                <w:tab w:val="right" w:pos="1202"/>
              </w:tabs>
              <w:spacing w:after="0" w:line="220" w:lineRule="exact"/>
              <w:outlineLvl w:val="0"/>
              <w:rPr>
                <w:rFonts w:ascii="Calibri" w:eastAsia="Times New Roman" w:hAnsi="Calibri" w:cs="Arial"/>
                <w:spacing w:val="-2"/>
                <w:sz w:val="18"/>
                <w:szCs w:val="18"/>
                <w:lang w:val="en-US"/>
              </w:rPr>
            </w:pPr>
            <w:r w:rsidRPr="00F6722F">
              <w:rPr>
                <w:rFonts w:ascii="Calibri" w:eastAsia="Times New Roman" w:hAnsi="Calibri" w:cs="Arial"/>
                <w:spacing w:val="-2"/>
                <w:sz w:val="18"/>
                <w:szCs w:val="18"/>
                <w:lang w:val="en-US"/>
              </w:rPr>
              <w:t xml:space="preserve">Cash on hand and current accounts with banks </w:t>
            </w:r>
          </w:p>
        </w:tc>
        <w:tc>
          <w:tcPr>
            <w:tcW w:w="538" w:type="pct"/>
            <w:tcBorders>
              <w:top w:val="nil"/>
              <w:left w:val="nil"/>
              <w:bottom w:val="nil"/>
              <w:right w:val="nil"/>
            </w:tcBorders>
            <w:shd w:val="clear" w:color="auto" w:fill="auto"/>
            <w:vAlign w:val="bottom"/>
          </w:tcPr>
          <w:p w14:paraId="70C0766F"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1,961,986</w:t>
            </w:r>
          </w:p>
        </w:tc>
        <w:tc>
          <w:tcPr>
            <w:tcW w:w="541" w:type="pct"/>
            <w:tcBorders>
              <w:top w:val="nil"/>
              <w:left w:val="nil"/>
              <w:bottom w:val="nil"/>
              <w:right w:val="nil"/>
            </w:tcBorders>
            <w:shd w:val="clear" w:color="auto" w:fill="auto"/>
            <w:vAlign w:val="bottom"/>
          </w:tcPr>
          <w:p w14:paraId="228C8361"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0398D36B"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 xml:space="preserve"> - </w:t>
            </w:r>
          </w:p>
        </w:tc>
        <w:tc>
          <w:tcPr>
            <w:tcW w:w="541" w:type="pct"/>
            <w:tcBorders>
              <w:top w:val="nil"/>
              <w:left w:val="nil"/>
              <w:bottom w:val="nil"/>
              <w:right w:val="nil"/>
            </w:tcBorders>
            <w:shd w:val="clear" w:color="auto" w:fill="auto"/>
            <w:vAlign w:val="bottom"/>
          </w:tcPr>
          <w:p w14:paraId="18F365AC"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4C903AFF"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 xml:space="preserve"> - </w:t>
            </w:r>
          </w:p>
        </w:tc>
        <w:tc>
          <w:tcPr>
            <w:tcW w:w="529" w:type="pct"/>
            <w:tcBorders>
              <w:top w:val="nil"/>
              <w:left w:val="nil"/>
              <w:bottom w:val="nil"/>
              <w:right w:val="nil"/>
            </w:tcBorders>
            <w:shd w:val="clear" w:color="auto" w:fill="auto"/>
            <w:vAlign w:val="bottom"/>
          </w:tcPr>
          <w:p w14:paraId="5434155D"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 xml:space="preserve">1,961,986 </w:t>
            </w:r>
          </w:p>
        </w:tc>
      </w:tr>
      <w:tr w:rsidR="00F6722F" w:rsidRPr="00F6722F" w14:paraId="33B2535C" w14:textId="77777777" w:rsidTr="00E44437">
        <w:trPr>
          <w:trHeight w:hRule="exact" w:val="270"/>
        </w:trPr>
        <w:tc>
          <w:tcPr>
            <w:tcW w:w="1767" w:type="pct"/>
            <w:vAlign w:val="bottom"/>
          </w:tcPr>
          <w:p w14:paraId="291B4DCC" w14:textId="77777777" w:rsidR="00F6722F" w:rsidRPr="00F6722F" w:rsidRDefault="00F6722F" w:rsidP="00F6722F">
            <w:pPr>
              <w:tabs>
                <w:tab w:val="right" w:pos="1202"/>
              </w:tabs>
              <w:spacing w:after="0" w:line="220" w:lineRule="exact"/>
              <w:outlineLvl w:val="0"/>
              <w:rPr>
                <w:rFonts w:ascii="Calibri" w:eastAsia="Times New Roman" w:hAnsi="Calibri" w:cs="Arial"/>
                <w:spacing w:val="-2"/>
                <w:sz w:val="18"/>
                <w:szCs w:val="18"/>
                <w:lang w:val="en-US"/>
              </w:rPr>
            </w:pPr>
            <w:r w:rsidRPr="00F6722F">
              <w:rPr>
                <w:rFonts w:ascii="Calibri" w:eastAsia="Times New Roman" w:hAnsi="Calibri" w:cs="Arial"/>
                <w:spacing w:val="-2"/>
                <w:sz w:val="18"/>
                <w:szCs w:val="18"/>
                <w:lang w:val="en-US"/>
              </w:rPr>
              <w:t>Deposits with other banks</w:t>
            </w:r>
          </w:p>
        </w:tc>
        <w:tc>
          <w:tcPr>
            <w:tcW w:w="538" w:type="pct"/>
            <w:tcBorders>
              <w:top w:val="nil"/>
              <w:left w:val="nil"/>
              <w:bottom w:val="nil"/>
              <w:right w:val="nil"/>
            </w:tcBorders>
            <w:shd w:val="clear" w:color="auto" w:fill="auto"/>
            <w:vAlign w:val="bottom"/>
          </w:tcPr>
          <w:p w14:paraId="178464A7"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w:t>
            </w:r>
          </w:p>
        </w:tc>
        <w:tc>
          <w:tcPr>
            <w:tcW w:w="541" w:type="pct"/>
            <w:tcBorders>
              <w:top w:val="nil"/>
              <w:left w:val="nil"/>
              <w:bottom w:val="nil"/>
              <w:right w:val="nil"/>
            </w:tcBorders>
            <w:shd w:val="clear" w:color="auto" w:fill="auto"/>
            <w:vAlign w:val="bottom"/>
          </w:tcPr>
          <w:p w14:paraId="4D161077"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62828F1A"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 xml:space="preserve"> - </w:t>
            </w:r>
          </w:p>
        </w:tc>
        <w:tc>
          <w:tcPr>
            <w:tcW w:w="541" w:type="pct"/>
            <w:tcBorders>
              <w:top w:val="nil"/>
              <w:left w:val="nil"/>
              <w:bottom w:val="nil"/>
              <w:right w:val="nil"/>
            </w:tcBorders>
            <w:shd w:val="clear" w:color="auto" w:fill="auto"/>
            <w:vAlign w:val="bottom"/>
          </w:tcPr>
          <w:p w14:paraId="45B8CB89"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5D65209B"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7,500</w:t>
            </w:r>
          </w:p>
        </w:tc>
        <w:tc>
          <w:tcPr>
            <w:tcW w:w="529" w:type="pct"/>
            <w:tcBorders>
              <w:top w:val="nil"/>
              <w:left w:val="nil"/>
              <w:bottom w:val="nil"/>
              <w:right w:val="nil"/>
            </w:tcBorders>
            <w:shd w:val="clear" w:color="auto" w:fill="auto"/>
            <w:vAlign w:val="bottom"/>
          </w:tcPr>
          <w:p w14:paraId="0BA0D259"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7,500</w:t>
            </w:r>
          </w:p>
        </w:tc>
      </w:tr>
      <w:tr w:rsidR="00F6722F" w:rsidRPr="00F6722F" w14:paraId="09B1D5D4" w14:textId="77777777" w:rsidTr="00E44437">
        <w:trPr>
          <w:trHeight w:hRule="exact" w:val="270"/>
        </w:trPr>
        <w:tc>
          <w:tcPr>
            <w:tcW w:w="1767" w:type="pct"/>
            <w:vAlign w:val="bottom"/>
          </w:tcPr>
          <w:p w14:paraId="5B34BEA5" w14:textId="77777777" w:rsidR="00F6722F" w:rsidRPr="00F6722F" w:rsidRDefault="00F6722F" w:rsidP="00F6722F">
            <w:pPr>
              <w:tabs>
                <w:tab w:val="right" w:pos="1202"/>
              </w:tabs>
              <w:spacing w:after="0" w:line="220" w:lineRule="exact"/>
              <w:outlineLvl w:val="0"/>
              <w:rPr>
                <w:rFonts w:ascii="Calibri" w:eastAsia="Times New Roman" w:hAnsi="Calibri" w:cs="Arial"/>
                <w:spacing w:val="-2"/>
                <w:sz w:val="18"/>
                <w:szCs w:val="18"/>
                <w:lang w:val="en-US"/>
              </w:rPr>
            </w:pPr>
            <w:r w:rsidRPr="00F6722F">
              <w:rPr>
                <w:rFonts w:ascii="Calibri" w:eastAsia="Times New Roman" w:hAnsi="Calibri" w:cs="Arial"/>
                <w:spacing w:val="-2"/>
                <w:sz w:val="18"/>
                <w:szCs w:val="18"/>
                <w:lang w:val="en-US"/>
              </w:rPr>
              <w:t>Loans to financial institutions*</w:t>
            </w:r>
          </w:p>
        </w:tc>
        <w:tc>
          <w:tcPr>
            <w:tcW w:w="538" w:type="pct"/>
            <w:tcBorders>
              <w:top w:val="nil"/>
              <w:left w:val="nil"/>
              <w:bottom w:val="nil"/>
              <w:right w:val="nil"/>
            </w:tcBorders>
            <w:shd w:val="clear" w:color="auto" w:fill="auto"/>
            <w:vAlign w:val="bottom"/>
          </w:tcPr>
          <w:p w14:paraId="1182B20F"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140,979</w:t>
            </w:r>
          </w:p>
        </w:tc>
        <w:tc>
          <w:tcPr>
            <w:tcW w:w="541" w:type="pct"/>
            <w:tcBorders>
              <w:top w:val="nil"/>
              <w:left w:val="nil"/>
              <w:bottom w:val="nil"/>
              <w:right w:val="nil"/>
            </w:tcBorders>
            <w:shd w:val="clear" w:color="auto" w:fill="auto"/>
            <w:vAlign w:val="bottom"/>
          </w:tcPr>
          <w:p w14:paraId="5DF5B56D"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188,898</w:t>
            </w:r>
          </w:p>
        </w:tc>
        <w:tc>
          <w:tcPr>
            <w:tcW w:w="542" w:type="pct"/>
            <w:tcBorders>
              <w:top w:val="nil"/>
              <w:left w:val="nil"/>
              <w:bottom w:val="nil"/>
              <w:right w:val="nil"/>
            </w:tcBorders>
            <w:shd w:val="clear" w:color="auto" w:fill="auto"/>
            <w:vAlign w:val="bottom"/>
          </w:tcPr>
          <w:p w14:paraId="363DF77B"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817,773</w:t>
            </w:r>
          </w:p>
        </w:tc>
        <w:tc>
          <w:tcPr>
            <w:tcW w:w="541" w:type="pct"/>
            <w:tcBorders>
              <w:top w:val="nil"/>
              <w:left w:val="nil"/>
              <w:bottom w:val="nil"/>
              <w:right w:val="nil"/>
            </w:tcBorders>
            <w:shd w:val="clear" w:color="auto" w:fill="auto"/>
            <w:vAlign w:val="bottom"/>
          </w:tcPr>
          <w:p w14:paraId="024BFE35"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1,870,557</w:t>
            </w:r>
          </w:p>
        </w:tc>
        <w:tc>
          <w:tcPr>
            <w:tcW w:w="542" w:type="pct"/>
            <w:tcBorders>
              <w:top w:val="nil"/>
              <w:left w:val="nil"/>
              <w:bottom w:val="nil"/>
              <w:right w:val="nil"/>
            </w:tcBorders>
            <w:shd w:val="clear" w:color="auto" w:fill="auto"/>
            <w:vAlign w:val="bottom"/>
          </w:tcPr>
          <w:p w14:paraId="3863E689"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4,031,936</w:t>
            </w:r>
          </w:p>
        </w:tc>
        <w:tc>
          <w:tcPr>
            <w:tcW w:w="529" w:type="pct"/>
            <w:tcBorders>
              <w:top w:val="nil"/>
              <w:left w:val="nil"/>
              <w:bottom w:val="nil"/>
              <w:right w:val="nil"/>
            </w:tcBorders>
            <w:shd w:val="clear" w:color="auto" w:fill="auto"/>
            <w:vAlign w:val="bottom"/>
          </w:tcPr>
          <w:p w14:paraId="6B8FE0D9"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7,050,143</w:t>
            </w:r>
          </w:p>
        </w:tc>
      </w:tr>
      <w:tr w:rsidR="00F6722F" w:rsidRPr="00F6722F" w14:paraId="05A22E21" w14:textId="77777777" w:rsidTr="00E44437">
        <w:trPr>
          <w:trHeight w:hRule="exact" w:val="270"/>
        </w:trPr>
        <w:tc>
          <w:tcPr>
            <w:tcW w:w="1767" w:type="pct"/>
            <w:vAlign w:val="bottom"/>
          </w:tcPr>
          <w:p w14:paraId="0664D633" w14:textId="77777777" w:rsidR="00F6722F" w:rsidRPr="00F6722F" w:rsidRDefault="00F6722F" w:rsidP="00F6722F">
            <w:pPr>
              <w:tabs>
                <w:tab w:val="right" w:pos="1202"/>
              </w:tabs>
              <w:spacing w:after="0" w:line="220" w:lineRule="exact"/>
              <w:outlineLvl w:val="0"/>
              <w:rPr>
                <w:rFonts w:ascii="Calibri" w:eastAsia="Times New Roman" w:hAnsi="Calibri" w:cs="Arial"/>
                <w:spacing w:val="-2"/>
                <w:sz w:val="18"/>
                <w:szCs w:val="18"/>
                <w:lang w:val="en-US"/>
              </w:rPr>
            </w:pPr>
            <w:r w:rsidRPr="00F6722F">
              <w:rPr>
                <w:rFonts w:ascii="Calibri" w:eastAsia="Times New Roman" w:hAnsi="Calibri" w:cs="Arial"/>
                <w:spacing w:val="-2"/>
                <w:sz w:val="18"/>
                <w:szCs w:val="18"/>
                <w:lang w:val="en-US"/>
              </w:rPr>
              <w:t>Loans to other customers</w:t>
            </w:r>
          </w:p>
        </w:tc>
        <w:tc>
          <w:tcPr>
            <w:tcW w:w="538" w:type="pct"/>
            <w:tcBorders>
              <w:top w:val="nil"/>
              <w:left w:val="nil"/>
              <w:bottom w:val="nil"/>
              <w:right w:val="nil"/>
            </w:tcBorders>
            <w:shd w:val="clear" w:color="auto" w:fill="auto"/>
            <w:vAlign w:val="bottom"/>
          </w:tcPr>
          <w:p w14:paraId="657A0E22"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1,903,430</w:t>
            </w:r>
          </w:p>
        </w:tc>
        <w:tc>
          <w:tcPr>
            <w:tcW w:w="541" w:type="pct"/>
            <w:tcBorders>
              <w:top w:val="nil"/>
              <w:left w:val="nil"/>
              <w:bottom w:val="nil"/>
              <w:right w:val="nil"/>
            </w:tcBorders>
            <w:shd w:val="clear" w:color="auto" w:fill="auto"/>
            <w:vAlign w:val="bottom"/>
          </w:tcPr>
          <w:p w14:paraId="167D239E"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341,173</w:t>
            </w:r>
          </w:p>
        </w:tc>
        <w:tc>
          <w:tcPr>
            <w:tcW w:w="542" w:type="pct"/>
            <w:tcBorders>
              <w:top w:val="nil"/>
              <w:left w:val="nil"/>
              <w:bottom w:val="nil"/>
              <w:right w:val="nil"/>
            </w:tcBorders>
            <w:shd w:val="clear" w:color="auto" w:fill="auto"/>
            <w:vAlign w:val="bottom"/>
          </w:tcPr>
          <w:p w14:paraId="59CC2223"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1,109,842</w:t>
            </w:r>
          </w:p>
        </w:tc>
        <w:tc>
          <w:tcPr>
            <w:tcW w:w="541" w:type="pct"/>
            <w:tcBorders>
              <w:top w:val="nil"/>
              <w:left w:val="nil"/>
              <w:bottom w:val="nil"/>
              <w:right w:val="nil"/>
            </w:tcBorders>
            <w:shd w:val="clear" w:color="auto" w:fill="auto"/>
            <w:vAlign w:val="bottom"/>
          </w:tcPr>
          <w:p w14:paraId="07468C55"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3,254,643</w:t>
            </w:r>
          </w:p>
        </w:tc>
        <w:tc>
          <w:tcPr>
            <w:tcW w:w="542" w:type="pct"/>
            <w:tcBorders>
              <w:top w:val="nil"/>
              <w:left w:val="nil"/>
              <w:bottom w:val="nil"/>
              <w:right w:val="nil"/>
            </w:tcBorders>
            <w:shd w:val="clear" w:color="auto" w:fill="auto"/>
            <w:vAlign w:val="bottom"/>
          </w:tcPr>
          <w:p w14:paraId="388256C5"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9,355,288</w:t>
            </w:r>
          </w:p>
        </w:tc>
        <w:tc>
          <w:tcPr>
            <w:tcW w:w="529" w:type="pct"/>
            <w:tcBorders>
              <w:top w:val="nil"/>
              <w:left w:val="nil"/>
              <w:bottom w:val="nil"/>
              <w:right w:val="nil"/>
            </w:tcBorders>
            <w:shd w:val="clear" w:color="auto" w:fill="auto"/>
            <w:vAlign w:val="bottom"/>
          </w:tcPr>
          <w:p w14:paraId="7B479EC0"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15,964,376</w:t>
            </w:r>
          </w:p>
        </w:tc>
      </w:tr>
      <w:tr w:rsidR="00F6722F" w:rsidRPr="00F6722F" w14:paraId="64785103" w14:textId="77777777" w:rsidTr="00E44437">
        <w:trPr>
          <w:trHeight w:hRule="exact" w:val="411"/>
        </w:trPr>
        <w:tc>
          <w:tcPr>
            <w:tcW w:w="1767" w:type="pct"/>
          </w:tcPr>
          <w:p w14:paraId="39D05D90" w14:textId="77777777" w:rsidR="00F6722F" w:rsidRPr="00F6722F" w:rsidRDefault="00F6722F" w:rsidP="00F6722F">
            <w:pPr>
              <w:tabs>
                <w:tab w:val="right" w:pos="1202"/>
              </w:tabs>
              <w:spacing w:after="0" w:line="220" w:lineRule="exact"/>
              <w:outlineLvl w:val="0"/>
              <w:rPr>
                <w:rFonts w:ascii="Calibri" w:eastAsia="Times New Roman" w:hAnsi="Calibri" w:cs="Arial"/>
                <w:spacing w:val="-2"/>
                <w:sz w:val="18"/>
                <w:szCs w:val="18"/>
                <w:lang w:val="en-US"/>
              </w:rPr>
            </w:pPr>
            <w:r w:rsidRPr="00F6722F">
              <w:rPr>
                <w:rFonts w:ascii="Calibri" w:eastAsia="Times New Roman" w:hAnsi="Calibri" w:cs="Arial"/>
                <w:spacing w:val="-2"/>
                <w:sz w:val="18"/>
                <w:szCs w:val="18"/>
                <w:lang w:val="en-US"/>
              </w:rPr>
              <w:t>Financial assets at fair value through profit or loss</w:t>
            </w:r>
          </w:p>
        </w:tc>
        <w:tc>
          <w:tcPr>
            <w:tcW w:w="538" w:type="pct"/>
            <w:tcBorders>
              <w:top w:val="nil"/>
              <w:left w:val="nil"/>
              <w:bottom w:val="nil"/>
              <w:right w:val="nil"/>
            </w:tcBorders>
            <w:shd w:val="clear" w:color="auto" w:fill="auto"/>
            <w:vAlign w:val="bottom"/>
          </w:tcPr>
          <w:p w14:paraId="09A23249"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202,609</w:t>
            </w:r>
          </w:p>
        </w:tc>
        <w:tc>
          <w:tcPr>
            <w:tcW w:w="541" w:type="pct"/>
            <w:tcBorders>
              <w:top w:val="nil"/>
              <w:left w:val="nil"/>
              <w:bottom w:val="nil"/>
              <w:right w:val="nil"/>
            </w:tcBorders>
            <w:shd w:val="clear" w:color="auto" w:fill="auto"/>
            <w:vAlign w:val="bottom"/>
          </w:tcPr>
          <w:p w14:paraId="2E6FCD3F"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1221C29B"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 xml:space="preserve"> - </w:t>
            </w:r>
          </w:p>
        </w:tc>
        <w:tc>
          <w:tcPr>
            <w:tcW w:w="541" w:type="pct"/>
            <w:tcBorders>
              <w:top w:val="nil"/>
              <w:left w:val="nil"/>
              <w:bottom w:val="nil"/>
              <w:right w:val="nil"/>
            </w:tcBorders>
            <w:shd w:val="clear" w:color="auto" w:fill="auto"/>
            <w:vAlign w:val="bottom"/>
          </w:tcPr>
          <w:p w14:paraId="34336A2F"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337D578E"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16,375</w:t>
            </w:r>
          </w:p>
        </w:tc>
        <w:tc>
          <w:tcPr>
            <w:tcW w:w="529" w:type="pct"/>
            <w:tcBorders>
              <w:top w:val="nil"/>
              <w:left w:val="nil"/>
              <w:bottom w:val="nil"/>
              <w:right w:val="nil"/>
            </w:tcBorders>
            <w:shd w:val="clear" w:color="auto" w:fill="auto"/>
            <w:vAlign w:val="bottom"/>
          </w:tcPr>
          <w:p w14:paraId="6A94AB30"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218,984</w:t>
            </w:r>
          </w:p>
        </w:tc>
      </w:tr>
      <w:tr w:rsidR="00F6722F" w:rsidRPr="00F6722F" w14:paraId="4FD4BAAC" w14:textId="77777777" w:rsidTr="00E44437">
        <w:trPr>
          <w:trHeight w:hRule="exact" w:val="401"/>
        </w:trPr>
        <w:tc>
          <w:tcPr>
            <w:tcW w:w="1767" w:type="pct"/>
          </w:tcPr>
          <w:p w14:paraId="76C8D49A" w14:textId="77777777" w:rsidR="00F6722F" w:rsidRPr="00F6722F" w:rsidRDefault="00F6722F" w:rsidP="00F6722F">
            <w:pPr>
              <w:tabs>
                <w:tab w:val="right" w:pos="1202"/>
              </w:tabs>
              <w:spacing w:after="0" w:line="220" w:lineRule="exact"/>
              <w:outlineLvl w:val="0"/>
              <w:rPr>
                <w:rFonts w:ascii="Calibri" w:eastAsia="Times New Roman" w:hAnsi="Calibri" w:cs="Arial"/>
                <w:spacing w:val="-2"/>
                <w:sz w:val="18"/>
                <w:szCs w:val="18"/>
                <w:lang w:val="en-US"/>
              </w:rPr>
            </w:pPr>
            <w:r w:rsidRPr="00F6722F">
              <w:rPr>
                <w:rFonts w:ascii="Calibri" w:eastAsia="Times New Roman" w:hAnsi="Calibri" w:cs="Arial"/>
                <w:spacing w:val="-2"/>
                <w:sz w:val="18"/>
                <w:szCs w:val="18"/>
                <w:lang w:val="en-US"/>
              </w:rPr>
              <w:t>Financial assets at fair value through other comprehensive income</w:t>
            </w:r>
          </w:p>
        </w:tc>
        <w:tc>
          <w:tcPr>
            <w:tcW w:w="538" w:type="pct"/>
            <w:tcBorders>
              <w:top w:val="nil"/>
              <w:left w:val="nil"/>
              <w:bottom w:val="nil"/>
              <w:right w:val="nil"/>
            </w:tcBorders>
            <w:shd w:val="clear" w:color="auto" w:fill="auto"/>
            <w:vAlign w:val="bottom"/>
          </w:tcPr>
          <w:p w14:paraId="11910319" w14:textId="77777777" w:rsidR="00F6722F" w:rsidRPr="00F6722F" w:rsidRDefault="00F6722F" w:rsidP="00F6722F">
            <w:pPr>
              <w:spacing w:after="0" w:line="240" w:lineRule="exact"/>
              <w:jc w:val="right"/>
              <w:outlineLvl w:val="0"/>
              <w:rPr>
                <w:rFonts w:ascii="Calibri" w:eastAsia="Calibri" w:hAnsi="Calibri" w:cs="Arial"/>
                <w:bCs/>
                <w:color w:val="000000"/>
                <w:sz w:val="18"/>
                <w:szCs w:val="18"/>
                <w:lang w:val="en-US" w:eastAsia="hr-HR"/>
              </w:rPr>
            </w:pPr>
            <w:r w:rsidRPr="00F6722F">
              <w:rPr>
                <w:rFonts w:ascii="Calibri" w:eastAsia="Times New Roman" w:hAnsi="Calibri" w:cs="Times New Roman"/>
                <w:color w:val="000000"/>
                <w:sz w:val="18"/>
                <w:szCs w:val="18"/>
                <w:lang w:val="en-US"/>
              </w:rPr>
              <w:t xml:space="preserve"> 2,956,994 </w:t>
            </w:r>
          </w:p>
        </w:tc>
        <w:tc>
          <w:tcPr>
            <w:tcW w:w="541" w:type="pct"/>
            <w:tcBorders>
              <w:top w:val="nil"/>
              <w:left w:val="nil"/>
              <w:bottom w:val="nil"/>
              <w:right w:val="nil"/>
            </w:tcBorders>
            <w:shd w:val="clear" w:color="auto" w:fill="auto"/>
            <w:vAlign w:val="bottom"/>
          </w:tcPr>
          <w:p w14:paraId="03307FF9" w14:textId="77777777" w:rsidR="00F6722F" w:rsidRPr="00F6722F" w:rsidRDefault="00F6722F" w:rsidP="00F6722F">
            <w:pPr>
              <w:spacing w:after="0" w:line="240" w:lineRule="exact"/>
              <w:jc w:val="right"/>
              <w:outlineLvl w:val="0"/>
              <w:rPr>
                <w:rFonts w:ascii="Calibri" w:eastAsia="Calibri" w:hAnsi="Calibri" w:cs="Arial"/>
                <w:bCs/>
                <w:color w:val="000000"/>
                <w:sz w:val="18"/>
                <w:szCs w:val="18"/>
                <w:lang w:val="en-US" w:eastAsia="hr-HR"/>
              </w:rPr>
            </w:pPr>
            <w:r w:rsidRPr="00F6722F">
              <w:rPr>
                <w:rFonts w:ascii="Calibri" w:eastAsia="Times New Roman" w:hAnsi="Calibri" w:cs="Times New Roman"/>
                <w:color w:val="000000"/>
                <w:sz w:val="18"/>
                <w:szCs w:val="18"/>
                <w:lang w:val="en-US"/>
              </w:rPr>
              <w:t xml:space="preserve"> 15,501 </w:t>
            </w:r>
          </w:p>
        </w:tc>
        <w:tc>
          <w:tcPr>
            <w:tcW w:w="542" w:type="pct"/>
            <w:tcBorders>
              <w:top w:val="nil"/>
              <w:left w:val="nil"/>
              <w:bottom w:val="nil"/>
              <w:right w:val="nil"/>
            </w:tcBorders>
            <w:shd w:val="clear" w:color="auto" w:fill="auto"/>
            <w:vAlign w:val="bottom"/>
          </w:tcPr>
          <w:p w14:paraId="76AA152C" w14:textId="77777777" w:rsidR="00F6722F" w:rsidRPr="00F6722F" w:rsidRDefault="00F6722F" w:rsidP="00F6722F">
            <w:pPr>
              <w:spacing w:after="0" w:line="240" w:lineRule="exact"/>
              <w:jc w:val="right"/>
              <w:outlineLvl w:val="0"/>
              <w:rPr>
                <w:rFonts w:ascii="Calibri" w:eastAsia="Calibri" w:hAnsi="Calibri" w:cs="Arial"/>
                <w:bCs/>
                <w:color w:val="000000"/>
                <w:sz w:val="18"/>
                <w:szCs w:val="18"/>
                <w:lang w:val="en-US" w:eastAsia="hr-HR"/>
              </w:rPr>
            </w:pPr>
            <w:r w:rsidRPr="00F6722F">
              <w:rPr>
                <w:rFonts w:ascii="Calibri" w:eastAsia="Times New Roman" w:hAnsi="Calibri" w:cs="Times New Roman"/>
                <w:color w:val="000000"/>
                <w:sz w:val="18"/>
                <w:szCs w:val="18"/>
                <w:lang w:val="en-US"/>
              </w:rPr>
              <w:t xml:space="preserve"> 35 </w:t>
            </w:r>
          </w:p>
        </w:tc>
        <w:tc>
          <w:tcPr>
            <w:tcW w:w="541" w:type="pct"/>
            <w:tcBorders>
              <w:top w:val="nil"/>
              <w:left w:val="nil"/>
              <w:bottom w:val="nil"/>
              <w:right w:val="nil"/>
            </w:tcBorders>
            <w:shd w:val="clear" w:color="auto" w:fill="auto"/>
            <w:vAlign w:val="bottom"/>
          </w:tcPr>
          <w:p w14:paraId="75FB2F25" w14:textId="77777777" w:rsidR="00F6722F" w:rsidRPr="00F6722F" w:rsidRDefault="00F6722F" w:rsidP="00F6722F">
            <w:pPr>
              <w:spacing w:after="0" w:line="240" w:lineRule="exact"/>
              <w:jc w:val="right"/>
              <w:outlineLvl w:val="0"/>
              <w:rPr>
                <w:rFonts w:ascii="Calibri" w:eastAsia="Calibri" w:hAnsi="Calibri" w:cs="Arial"/>
                <w:bCs/>
                <w:color w:val="000000"/>
                <w:sz w:val="18"/>
                <w:szCs w:val="18"/>
                <w:lang w:val="en-US" w:eastAsia="hr-HR"/>
              </w:rPr>
            </w:pPr>
            <w:r w:rsidRPr="00F6722F">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404CA071" w14:textId="77777777" w:rsidR="00F6722F" w:rsidRPr="00F6722F" w:rsidRDefault="00F6722F" w:rsidP="00F6722F">
            <w:pPr>
              <w:spacing w:after="0" w:line="240" w:lineRule="exact"/>
              <w:jc w:val="right"/>
              <w:outlineLvl w:val="0"/>
              <w:rPr>
                <w:rFonts w:ascii="Calibri" w:eastAsia="Calibri" w:hAnsi="Calibri" w:cs="Arial"/>
                <w:bCs/>
                <w:color w:val="000000"/>
                <w:sz w:val="18"/>
                <w:szCs w:val="18"/>
                <w:lang w:val="en-US" w:eastAsia="hr-HR"/>
              </w:rPr>
            </w:pPr>
            <w:r w:rsidRPr="00F6722F">
              <w:rPr>
                <w:rFonts w:ascii="Calibri" w:eastAsia="Times New Roman" w:hAnsi="Calibri" w:cs="Times New Roman"/>
                <w:color w:val="000000"/>
                <w:sz w:val="18"/>
                <w:szCs w:val="18"/>
                <w:lang w:val="en-US"/>
              </w:rPr>
              <w:t xml:space="preserve"> - </w:t>
            </w:r>
          </w:p>
        </w:tc>
        <w:tc>
          <w:tcPr>
            <w:tcW w:w="529" w:type="pct"/>
            <w:tcBorders>
              <w:top w:val="nil"/>
              <w:left w:val="nil"/>
              <w:bottom w:val="nil"/>
              <w:right w:val="nil"/>
            </w:tcBorders>
            <w:shd w:val="clear" w:color="auto" w:fill="auto"/>
            <w:vAlign w:val="bottom"/>
          </w:tcPr>
          <w:p w14:paraId="56B3EE95" w14:textId="77777777" w:rsidR="00F6722F" w:rsidRPr="00F6722F" w:rsidRDefault="00F6722F" w:rsidP="00F6722F">
            <w:pPr>
              <w:spacing w:after="0" w:line="240" w:lineRule="exact"/>
              <w:jc w:val="right"/>
              <w:outlineLvl w:val="0"/>
              <w:rPr>
                <w:rFonts w:ascii="Calibri" w:eastAsia="Calibri" w:hAnsi="Calibri" w:cs="Arial"/>
                <w:bCs/>
                <w:color w:val="000000"/>
                <w:sz w:val="18"/>
                <w:szCs w:val="18"/>
                <w:lang w:val="en-US" w:eastAsia="hr-HR"/>
              </w:rPr>
            </w:pPr>
            <w:r w:rsidRPr="00F6722F">
              <w:rPr>
                <w:rFonts w:ascii="Calibri" w:eastAsia="Times New Roman" w:hAnsi="Calibri" w:cs="Times New Roman"/>
                <w:color w:val="000000"/>
                <w:sz w:val="18"/>
                <w:szCs w:val="18"/>
                <w:lang w:val="en-US"/>
              </w:rPr>
              <w:t xml:space="preserve"> 2,972,530 </w:t>
            </w:r>
          </w:p>
        </w:tc>
      </w:tr>
      <w:tr w:rsidR="00F6722F" w:rsidRPr="00F6722F" w14:paraId="5A918A06" w14:textId="77777777" w:rsidTr="00E44437">
        <w:trPr>
          <w:trHeight w:hRule="exact" w:val="417"/>
        </w:trPr>
        <w:tc>
          <w:tcPr>
            <w:tcW w:w="1767" w:type="pct"/>
            <w:vAlign w:val="bottom"/>
          </w:tcPr>
          <w:p w14:paraId="2F0A2B95" w14:textId="77777777" w:rsidR="00F6722F" w:rsidRPr="00F6722F" w:rsidRDefault="00F6722F" w:rsidP="00F6722F">
            <w:pPr>
              <w:tabs>
                <w:tab w:val="right" w:pos="1202"/>
              </w:tabs>
              <w:spacing w:after="0" w:line="220" w:lineRule="exact"/>
              <w:outlineLvl w:val="0"/>
              <w:rPr>
                <w:rFonts w:ascii="Calibri" w:eastAsia="Times New Roman" w:hAnsi="Calibri" w:cs="Arial"/>
                <w:spacing w:val="-2"/>
                <w:sz w:val="18"/>
                <w:szCs w:val="18"/>
                <w:lang w:val="en-US"/>
              </w:rPr>
            </w:pPr>
            <w:r w:rsidRPr="00F6722F">
              <w:rPr>
                <w:rFonts w:ascii="Calibri" w:eastAsia="Times New Roman" w:hAnsi="Calibri" w:cs="Arial"/>
                <w:spacing w:val="-2"/>
                <w:sz w:val="18"/>
                <w:szCs w:val="18"/>
                <w:lang w:val="en-US"/>
              </w:rPr>
              <w:t>Property, plant and equipment and intangible assets</w:t>
            </w:r>
          </w:p>
        </w:tc>
        <w:tc>
          <w:tcPr>
            <w:tcW w:w="538" w:type="pct"/>
            <w:tcBorders>
              <w:top w:val="nil"/>
              <w:left w:val="nil"/>
              <w:right w:val="nil"/>
            </w:tcBorders>
            <w:shd w:val="clear" w:color="auto" w:fill="auto"/>
            <w:vAlign w:val="bottom"/>
          </w:tcPr>
          <w:p w14:paraId="3436B777" w14:textId="77777777" w:rsidR="00F6722F" w:rsidRPr="00F6722F" w:rsidRDefault="00F6722F" w:rsidP="00F6722F">
            <w:pPr>
              <w:spacing w:after="0" w:line="240" w:lineRule="exact"/>
              <w:jc w:val="right"/>
              <w:outlineLvl w:val="0"/>
              <w:rPr>
                <w:rFonts w:ascii="Calibri" w:eastAsia="Calibri" w:hAnsi="Calibri" w:cs="Arial"/>
                <w:bCs/>
                <w:color w:val="000000"/>
                <w:sz w:val="18"/>
                <w:szCs w:val="18"/>
                <w:lang w:val="en-US" w:eastAsia="hr-HR"/>
              </w:rPr>
            </w:pPr>
            <w:r w:rsidRPr="00F6722F">
              <w:rPr>
                <w:rFonts w:ascii="Calibri" w:eastAsia="Times New Roman" w:hAnsi="Calibri" w:cs="Times New Roman"/>
                <w:color w:val="000000"/>
                <w:sz w:val="18"/>
                <w:szCs w:val="18"/>
                <w:lang w:val="en-US"/>
              </w:rPr>
              <w:t xml:space="preserve"> - </w:t>
            </w:r>
          </w:p>
        </w:tc>
        <w:tc>
          <w:tcPr>
            <w:tcW w:w="541" w:type="pct"/>
            <w:tcBorders>
              <w:top w:val="nil"/>
              <w:left w:val="nil"/>
              <w:right w:val="nil"/>
            </w:tcBorders>
            <w:shd w:val="clear" w:color="auto" w:fill="auto"/>
            <w:vAlign w:val="bottom"/>
          </w:tcPr>
          <w:p w14:paraId="32291CE2" w14:textId="77777777" w:rsidR="00F6722F" w:rsidRPr="00F6722F" w:rsidRDefault="00F6722F" w:rsidP="00F6722F">
            <w:pPr>
              <w:spacing w:after="0" w:line="240" w:lineRule="exact"/>
              <w:jc w:val="right"/>
              <w:outlineLvl w:val="0"/>
              <w:rPr>
                <w:rFonts w:ascii="Calibri" w:eastAsia="Calibri" w:hAnsi="Calibri" w:cs="Arial"/>
                <w:bCs/>
                <w:color w:val="000000"/>
                <w:sz w:val="18"/>
                <w:szCs w:val="18"/>
                <w:lang w:val="en-US" w:eastAsia="hr-HR"/>
              </w:rPr>
            </w:pPr>
            <w:r w:rsidRPr="00F6722F">
              <w:rPr>
                <w:rFonts w:ascii="Calibri" w:eastAsia="Times New Roman" w:hAnsi="Calibri" w:cs="Times New Roman"/>
                <w:color w:val="000000"/>
                <w:sz w:val="18"/>
                <w:szCs w:val="18"/>
                <w:lang w:val="en-US"/>
              </w:rPr>
              <w:t xml:space="preserve"> - </w:t>
            </w:r>
          </w:p>
        </w:tc>
        <w:tc>
          <w:tcPr>
            <w:tcW w:w="542" w:type="pct"/>
            <w:tcBorders>
              <w:top w:val="nil"/>
              <w:left w:val="nil"/>
              <w:right w:val="nil"/>
            </w:tcBorders>
            <w:shd w:val="clear" w:color="auto" w:fill="auto"/>
            <w:vAlign w:val="bottom"/>
          </w:tcPr>
          <w:p w14:paraId="6E45DCF8" w14:textId="77777777" w:rsidR="00F6722F" w:rsidRPr="00F6722F" w:rsidRDefault="00F6722F" w:rsidP="00F6722F">
            <w:pPr>
              <w:spacing w:after="0" w:line="240" w:lineRule="exact"/>
              <w:jc w:val="right"/>
              <w:outlineLvl w:val="0"/>
              <w:rPr>
                <w:rFonts w:ascii="Calibri" w:eastAsia="Calibri" w:hAnsi="Calibri" w:cs="Arial"/>
                <w:bCs/>
                <w:color w:val="000000"/>
                <w:sz w:val="18"/>
                <w:szCs w:val="18"/>
                <w:lang w:val="en-US" w:eastAsia="hr-HR"/>
              </w:rPr>
            </w:pPr>
            <w:r w:rsidRPr="00F6722F">
              <w:rPr>
                <w:rFonts w:ascii="Calibri" w:eastAsia="Times New Roman" w:hAnsi="Calibri" w:cs="Times New Roman"/>
                <w:color w:val="000000"/>
                <w:sz w:val="18"/>
                <w:szCs w:val="18"/>
                <w:lang w:val="en-US"/>
              </w:rPr>
              <w:t xml:space="preserve"> - </w:t>
            </w:r>
          </w:p>
        </w:tc>
        <w:tc>
          <w:tcPr>
            <w:tcW w:w="541" w:type="pct"/>
            <w:tcBorders>
              <w:top w:val="nil"/>
              <w:left w:val="nil"/>
              <w:right w:val="nil"/>
            </w:tcBorders>
            <w:shd w:val="clear" w:color="auto" w:fill="auto"/>
            <w:vAlign w:val="bottom"/>
          </w:tcPr>
          <w:p w14:paraId="093B1241" w14:textId="77777777" w:rsidR="00F6722F" w:rsidRPr="00F6722F" w:rsidRDefault="00F6722F" w:rsidP="00F6722F">
            <w:pPr>
              <w:spacing w:after="0" w:line="240" w:lineRule="exact"/>
              <w:jc w:val="right"/>
              <w:outlineLvl w:val="0"/>
              <w:rPr>
                <w:rFonts w:ascii="Calibri" w:eastAsia="Calibri" w:hAnsi="Calibri" w:cs="Arial"/>
                <w:bCs/>
                <w:color w:val="000000"/>
                <w:sz w:val="18"/>
                <w:szCs w:val="18"/>
                <w:lang w:val="en-US" w:eastAsia="hr-HR"/>
              </w:rPr>
            </w:pPr>
            <w:r w:rsidRPr="00F6722F">
              <w:rPr>
                <w:rFonts w:ascii="Calibri" w:eastAsia="Times New Roman" w:hAnsi="Calibri" w:cs="Times New Roman"/>
                <w:color w:val="000000"/>
                <w:sz w:val="18"/>
                <w:szCs w:val="18"/>
                <w:lang w:val="en-US"/>
              </w:rPr>
              <w:t xml:space="preserve"> - </w:t>
            </w:r>
          </w:p>
        </w:tc>
        <w:tc>
          <w:tcPr>
            <w:tcW w:w="542" w:type="pct"/>
            <w:tcBorders>
              <w:top w:val="nil"/>
              <w:left w:val="nil"/>
              <w:right w:val="nil"/>
            </w:tcBorders>
            <w:shd w:val="clear" w:color="auto" w:fill="auto"/>
            <w:vAlign w:val="bottom"/>
          </w:tcPr>
          <w:p w14:paraId="3A37FA57" w14:textId="77777777" w:rsidR="00F6722F" w:rsidRPr="00F6722F" w:rsidRDefault="00F6722F" w:rsidP="00F6722F">
            <w:pPr>
              <w:spacing w:after="0" w:line="240" w:lineRule="exact"/>
              <w:jc w:val="right"/>
              <w:outlineLvl w:val="0"/>
              <w:rPr>
                <w:rFonts w:ascii="Calibri" w:eastAsia="Calibri" w:hAnsi="Calibri" w:cs="Arial"/>
                <w:bCs/>
                <w:color w:val="000000"/>
                <w:sz w:val="18"/>
                <w:szCs w:val="18"/>
                <w:lang w:val="en-US" w:eastAsia="hr-HR"/>
              </w:rPr>
            </w:pPr>
            <w:r w:rsidRPr="00F6722F">
              <w:rPr>
                <w:rFonts w:ascii="Calibri" w:eastAsia="Times New Roman" w:hAnsi="Calibri" w:cs="Times New Roman"/>
                <w:color w:val="000000"/>
                <w:sz w:val="18"/>
                <w:szCs w:val="18"/>
                <w:lang w:val="en-US"/>
              </w:rPr>
              <w:t xml:space="preserve">43,937 </w:t>
            </w:r>
          </w:p>
        </w:tc>
        <w:tc>
          <w:tcPr>
            <w:tcW w:w="529" w:type="pct"/>
            <w:tcBorders>
              <w:top w:val="nil"/>
              <w:left w:val="nil"/>
              <w:right w:val="nil"/>
            </w:tcBorders>
            <w:shd w:val="clear" w:color="auto" w:fill="auto"/>
            <w:vAlign w:val="bottom"/>
          </w:tcPr>
          <w:p w14:paraId="108BB453" w14:textId="77777777" w:rsidR="00F6722F" w:rsidRPr="00F6722F" w:rsidRDefault="00F6722F" w:rsidP="00F6722F">
            <w:pPr>
              <w:spacing w:after="0" w:line="240" w:lineRule="exact"/>
              <w:jc w:val="right"/>
              <w:outlineLvl w:val="0"/>
              <w:rPr>
                <w:rFonts w:ascii="Calibri" w:eastAsia="Calibri" w:hAnsi="Calibri" w:cs="Arial"/>
                <w:bCs/>
                <w:color w:val="000000"/>
                <w:sz w:val="18"/>
                <w:szCs w:val="18"/>
                <w:lang w:val="en-US" w:eastAsia="hr-HR"/>
              </w:rPr>
            </w:pPr>
            <w:r w:rsidRPr="00F6722F">
              <w:rPr>
                <w:rFonts w:ascii="Calibri" w:eastAsia="Times New Roman" w:hAnsi="Calibri" w:cs="Times New Roman"/>
                <w:color w:val="000000"/>
                <w:sz w:val="18"/>
                <w:szCs w:val="18"/>
                <w:lang w:val="en-US"/>
              </w:rPr>
              <w:t xml:space="preserve"> 43,937 </w:t>
            </w:r>
          </w:p>
        </w:tc>
      </w:tr>
      <w:tr w:rsidR="00F6722F" w:rsidRPr="00F6722F" w14:paraId="5A56DECC" w14:textId="77777777" w:rsidTr="00E44437">
        <w:trPr>
          <w:trHeight w:hRule="exact" w:val="270"/>
        </w:trPr>
        <w:tc>
          <w:tcPr>
            <w:tcW w:w="1767" w:type="pct"/>
            <w:vAlign w:val="bottom"/>
          </w:tcPr>
          <w:p w14:paraId="1C68F906" w14:textId="77777777" w:rsidR="00F6722F" w:rsidRPr="00F6722F" w:rsidRDefault="00F6722F" w:rsidP="00F6722F">
            <w:pPr>
              <w:tabs>
                <w:tab w:val="right" w:pos="1202"/>
              </w:tabs>
              <w:spacing w:after="0" w:line="220" w:lineRule="exact"/>
              <w:outlineLvl w:val="0"/>
              <w:rPr>
                <w:rFonts w:ascii="Calibri" w:eastAsia="Times New Roman" w:hAnsi="Calibri" w:cs="Arial"/>
                <w:spacing w:val="-2"/>
                <w:sz w:val="18"/>
                <w:szCs w:val="18"/>
                <w:lang w:val="en-US"/>
              </w:rPr>
            </w:pPr>
            <w:r w:rsidRPr="00F6722F">
              <w:rPr>
                <w:rFonts w:ascii="Calibri" w:eastAsia="Times New Roman" w:hAnsi="Calibri" w:cs="Arial"/>
                <w:spacing w:val="-2"/>
                <w:sz w:val="18"/>
                <w:szCs w:val="18"/>
                <w:lang w:val="en-US"/>
              </w:rPr>
              <w:t>Foreclosed assets</w:t>
            </w:r>
          </w:p>
        </w:tc>
        <w:tc>
          <w:tcPr>
            <w:tcW w:w="538" w:type="pct"/>
            <w:tcBorders>
              <w:top w:val="nil"/>
              <w:left w:val="nil"/>
              <w:bottom w:val="nil"/>
              <w:right w:val="nil"/>
            </w:tcBorders>
            <w:shd w:val="clear" w:color="auto" w:fill="auto"/>
            <w:vAlign w:val="bottom"/>
          </w:tcPr>
          <w:p w14:paraId="022623CA" w14:textId="77777777" w:rsidR="00F6722F" w:rsidRPr="00F6722F" w:rsidRDefault="00F6722F" w:rsidP="00F6722F">
            <w:pPr>
              <w:spacing w:after="0" w:line="240" w:lineRule="exact"/>
              <w:jc w:val="right"/>
              <w:outlineLvl w:val="0"/>
              <w:rPr>
                <w:rFonts w:ascii="Calibri" w:eastAsia="Calibri" w:hAnsi="Calibri" w:cs="Arial"/>
                <w:bCs/>
                <w:color w:val="000000"/>
                <w:sz w:val="18"/>
                <w:szCs w:val="18"/>
                <w:lang w:val="en-US" w:eastAsia="hr-HR"/>
              </w:rPr>
            </w:pPr>
            <w:r w:rsidRPr="00F6722F">
              <w:rPr>
                <w:rFonts w:ascii="Calibri" w:eastAsia="Times New Roman" w:hAnsi="Calibri" w:cs="Times New Roman"/>
                <w:color w:val="000000"/>
                <w:sz w:val="18"/>
                <w:szCs w:val="18"/>
                <w:lang w:val="en-US"/>
              </w:rPr>
              <w:t xml:space="preserve">9 </w:t>
            </w:r>
          </w:p>
        </w:tc>
        <w:tc>
          <w:tcPr>
            <w:tcW w:w="541" w:type="pct"/>
            <w:tcBorders>
              <w:top w:val="nil"/>
              <w:left w:val="nil"/>
              <w:bottom w:val="nil"/>
              <w:right w:val="nil"/>
            </w:tcBorders>
            <w:shd w:val="clear" w:color="auto" w:fill="auto"/>
            <w:vAlign w:val="bottom"/>
          </w:tcPr>
          <w:p w14:paraId="0C37B03D" w14:textId="77777777" w:rsidR="00F6722F" w:rsidRPr="00F6722F" w:rsidRDefault="00F6722F" w:rsidP="00F6722F">
            <w:pPr>
              <w:spacing w:after="0" w:line="240" w:lineRule="exact"/>
              <w:jc w:val="right"/>
              <w:outlineLvl w:val="0"/>
              <w:rPr>
                <w:rFonts w:ascii="Calibri" w:eastAsia="Calibri" w:hAnsi="Calibri" w:cs="Arial"/>
                <w:bCs/>
                <w:color w:val="000000"/>
                <w:sz w:val="18"/>
                <w:szCs w:val="18"/>
                <w:lang w:val="en-US" w:eastAsia="hr-HR"/>
              </w:rPr>
            </w:pPr>
            <w:r w:rsidRPr="00F6722F">
              <w:rPr>
                <w:rFonts w:ascii="Calibri" w:eastAsia="Times New Roman" w:hAnsi="Calibri" w:cs="Times New Roman"/>
                <w:color w:val="000000"/>
                <w:sz w:val="18"/>
                <w:szCs w:val="18"/>
                <w:lang w:val="en-US"/>
              </w:rPr>
              <w:t>-</w:t>
            </w:r>
          </w:p>
        </w:tc>
        <w:tc>
          <w:tcPr>
            <w:tcW w:w="542" w:type="pct"/>
            <w:tcBorders>
              <w:top w:val="nil"/>
              <w:left w:val="nil"/>
              <w:bottom w:val="nil"/>
              <w:right w:val="nil"/>
            </w:tcBorders>
            <w:shd w:val="clear" w:color="auto" w:fill="auto"/>
            <w:vAlign w:val="bottom"/>
          </w:tcPr>
          <w:p w14:paraId="4F70BBF3" w14:textId="77777777" w:rsidR="00F6722F" w:rsidRPr="00F6722F" w:rsidRDefault="00F6722F" w:rsidP="00F6722F">
            <w:pPr>
              <w:spacing w:after="0" w:line="240" w:lineRule="exact"/>
              <w:jc w:val="right"/>
              <w:outlineLvl w:val="0"/>
              <w:rPr>
                <w:rFonts w:ascii="Calibri" w:eastAsia="Calibri" w:hAnsi="Calibri" w:cs="Arial"/>
                <w:bCs/>
                <w:color w:val="000000"/>
                <w:sz w:val="18"/>
                <w:szCs w:val="18"/>
                <w:lang w:val="en-US" w:eastAsia="hr-HR"/>
              </w:rPr>
            </w:pPr>
            <w:r w:rsidRPr="00F6722F">
              <w:rPr>
                <w:rFonts w:ascii="Calibri" w:eastAsia="Times New Roman" w:hAnsi="Calibri" w:cs="Times New Roman"/>
                <w:color w:val="000000"/>
                <w:sz w:val="18"/>
                <w:szCs w:val="18"/>
                <w:lang w:val="en-US"/>
              </w:rPr>
              <w:t>156</w:t>
            </w:r>
          </w:p>
        </w:tc>
        <w:tc>
          <w:tcPr>
            <w:tcW w:w="541" w:type="pct"/>
            <w:tcBorders>
              <w:top w:val="nil"/>
              <w:left w:val="nil"/>
              <w:bottom w:val="nil"/>
              <w:right w:val="nil"/>
            </w:tcBorders>
            <w:shd w:val="clear" w:color="auto" w:fill="auto"/>
            <w:vAlign w:val="bottom"/>
          </w:tcPr>
          <w:p w14:paraId="32E7350E" w14:textId="77777777" w:rsidR="00F6722F" w:rsidRPr="00F6722F" w:rsidRDefault="00F6722F" w:rsidP="00F6722F">
            <w:pPr>
              <w:spacing w:after="0" w:line="240" w:lineRule="exact"/>
              <w:jc w:val="right"/>
              <w:outlineLvl w:val="0"/>
              <w:rPr>
                <w:rFonts w:ascii="Calibri" w:eastAsia="Calibri" w:hAnsi="Calibri" w:cs="Arial"/>
                <w:bCs/>
                <w:color w:val="000000"/>
                <w:sz w:val="18"/>
                <w:szCs w:val="18"/>
                <w:lang w:val="en-US" w:eastAsia="hr-HR"/>
              </w:rPr>
            </w:pPr>
            <w:r w:rsidRPr="00F6722F">
              <w:rPr>
                <w:rFonts w:ascii="Calibri" w:eastAsia="Times New Roman" w:hAnsi="Calibri" w:cs="Times New Roman"/>
                <w:color w:val="000000"/>
                <w:sz w:val="18"/>
                <w:szCs w:val="18"/>
                <w:lang w:val="en-US"/>
              </w:rPr>
              <w:t>11,272</w:t>
            </w:r>
          </w:p>
        </w:tc>
        <w:tc>
          <w:tcPr>
            <w:tcW w:w="542" w:type="pct"/>
            <w:tcBorders>
              <w:top w:val="nil"/>
              <w:left w:val="nil"/>
              <w:bottom w:val="nil"/>
              <w:right w:val="nil"/>
            </w:tcBorders>
            <w:shd w:val="clear" w:color="auto" w:fill="auto"/>
            <w:vAlign w:val="bottom"/>
          </w:tcPr>
          <w:p w14:paraId="6AEB3832" w14:textId="77777777" w:rsidR="00F6722F" w:rsidRPr="00F6722F" w:rsidRDefault="00F6722F" w:rsidP="00F6722F">
            <w:pPr>
              <w:spacing w:after="0" w:line="240" w:lineRule="exact"/>
              <w:jc w:val="right"/>
              <w:outlineLvl w:val="0"/>
              <w:rPr>
                <w:rFonts w:ascii="Calibri" w:eastAsia="Calibri" w:hAnsi="Calibri" w:cs="Arial"/>
                <w:bCs/>
                <w:color w:val="000000"/>
                <w:sz w:val="18"/>
                <w:szCs w:val="18"/>
                <w:lang w:val="en-US" w:eastAsia="hr-HR"/>
              </w:rPr>
            </w:pPr>
            <w:r w:rsidRPr="00F6722F">
              <w:rPr>
                <w:rFonts w:ascii="Calibri" w:eastAsia="Times New Roman" w:hAnsi="Calibri" w:cs="Times New Roman"/>
                <w:color w:val="000000"/>
                <w:sz w:val="18"/>
                <w:szCs w:val="18"/>
                <w:lang w:val="en-US"/>
              </w:rPr>
              <w:t>9,932</w:t>
            </w:r>
          </w:p>
        </w:tc>
        <w:tc>
          <w:tcPr>
            <w:tcW w:w="529" w:type="pct"/>
            <w:tcBorders>
              <w:top w:val="nil"/>
              <w:left w:val="nil"/>
              <w:bottom w:val="nil"/>
              <w:right w:val="nil"/>
            </w:tcBorders>
            <w:shd w:val="clear" w:color="auto" w:fill="auto"/>
            <w:vAlign w:val="bottom"/>
          </w:tcPr>
          <w:p w14:paraId="5CD7B566" w14:textId="77777777" w:rsidR="00F6722F" w:rsidRPr="00F6722F" w:rsidRDefault="00F6722F" w:rsidP="00F6722F">
            <w:pPr>
              <w:spacing w:after="0" w:line="240" w:lineRule="exact"/>
              <w:jc w:val="right"/>
              <w:outlineLvl w:val="0"/>
              <w:rPr>
                <w:rFonts w:ascii="Calibri" w:eastAsia="Calibri" w:hAnsi="Calibri" w:cs="Arial"/>
                <w:bCs/>
                <w:color w:val="000000"/>
                <w:sz w:val="18"/>
                <w:szCs w:val="18"/>
                <w:lang w:val="en-US" w:eastAsia="hr-HR"/>
              </w:rPr>
            </w:pPr>
            <w:r w:rsidRPr="00F6722F">
              <w:rPr>
                <w:rFonts w:ascii="Calibri" w:eastAsia="Times New Roman" w:hAnsi="Calibri" w:cs="Times New Roman"/>
                <w:color w:val="000000"/>
                <w:sz w:val="18"/>
                <w:szCs w:val="18"/>
                <w:lang w:val="en-US"/>
              </w:rPr>
              <w:t>21,369</w:t>
            </w:r>
          </w:p>
        </w:tc>
      </w:tr>
      <w:tr w:rsidR="00F6722F" w:rsidRPr="00F6722F" w14:paraId="687618F8" w14:textId="77777777" w:rsidTr="00E44437">
        <w:trPr>
          <w:trHeight w:hRule="exact" w:val="270"/>
        </w:trPr>
        <w:tc>
          <w:tcPr>
            <w:tcW w:w="1767" w:type="pct"/>
            <w:vAlign w:val="bottom"/>
          </w:tcPr>
          <w:p w14:paraId="51AE22A8" w14:textId="77777777" w:rsidR="00F6722F" w:rsidRPr="00F6722F" w:rsidRDefault="00F6722F" w:rsidP="00F6722F">
            <w:pPr>
              <w:tabs>
                <w:tab w:val="right" w:pos="1202"/>
              </w:tabs>
              <w:spacing w:after="0" w:line="220" w:lineRule="exact"/>
              <w:outlineLvl w:val="0"/>
              <w:rPr>
                <w:rFonts w:ascii="Calibri" w:eastAsia="Times New Roman" w:hAnsi="Calibri" w:cs="Arial"/>
                <w:spacing w:val="-2"/>
                <w:sz w:val="18"/>
                <w:szCs w:val="18"/>
                <w:lang w:val="en-US"/>
              </w:rPr>
            </w:pPr>
            <w:r w:rsidRPr="00F6722F">
              <w:rPr>
                <w:rFonts w:ascii="Calibri" w:eastAsia="Times New Roman" w:hAnsi="Calibri" w:cs="Arial"/>
                <w:spacing w:val="-2"/>
                <w:sz w:val="18"/>
                <w:szCs w:val="18"/>
                <w:lang w:val="en-US"/>
              </w:rPr>
              <w:t>Other assets</w:t>
            </w:r>
          </w:p>
        </w:tc>
        <w:tc>
          <w:tcPr>
            <w:tcW w:w="538" w:type="pct"/>
            <w:tcBorders>
              <w:left w:val="nil"/>
              <w:bottom w:val="single" w:sz="8" w:space="0" w:color="auto"/>
              <w:right w:val="nil"/>
            </w:tcBorders>
            <w:shd w:val="clear" w:color="auto" w:fill="auto"/>
            <w:vAlign w:val="bottom"/>
          </w:tcPr>
          <w:p w14:paraId="20746C1D" w14:textId="77777777" w:rsidR="00F6722F" w:rsidRPr="00F6722F" w:rsidRDefault="00F6722F" w:rsidP="00F6722F">
            <w:pPr>
              <w:spacing w:after="0" w:line="240" w:lineRule="exact"/>
              <w:jc w:val="right"/>
              <w:outlineLvl w:val="0"/>
              <w:rPr>
                <w:rFonts w:ascii="Calibri" w:eastAsia="Calibri" w:hAnsi="Calibri" w:cs="Arial"/>
                <w:bCs/>
                <w:color w:val="000000"/>
                <w:sz w:val="18"/>
                <w:szCs w:val="18"/>
                <w:lang w:val="en-US" w:eastAsia="hr-HR"/>
              </w:rPr>
            </w:pPr>
            <w:r w:rsidRPr="00F6722F">
              <w:rPr>
                <w:rFonts w:ascii="Calibri" w:eastAsia="Times New Roman" w:hAnsi="Calibri" w:cs="Times New Roman"/>
                <w:color w:val="000000"/>
                <w:sz w:val="18"/>
                <w:szCs w:val="18"/>
                <w:lang w:val="en-US"/>
              </w:rPr>
              <w:t>7,632</w:t>
            </w:r>
          </w:p>
        </w:tc>
        <w:tc>
          <w:tcPr>
            <w:tcW w:w="541" w:type="pct"/>
            <w:tcBorders>
              <w:left w:val="nil"/>
              <w:bottom w:val="single" w:sz="8" w:space="0" w:color="auto"/>
              <w:right w:val="nil"/>
            </w:tcBorders>
            <w:shd w:val="clear" w:color="auto" w:fill="auto"/>
            <w:vAlign w:val="bottom"/>
          </w:tcPr>
          <w:p w14:paraId="2D644949" w14:textId="77777777" w:rsidR="00F6722F" w:rsidRPr="00F6722F" w:rsidRDefault="00F6722F" w:rsidP="00F6722F">
            <w:pPr>
              <w:spacing w:after="0" w:line="240" w:lineRule="exact"/>
              <w:jc w:val="right"/>
              <w:outlineLvl w:val="0"/>
              <w:rPr>
                <w:rFonts w:ascii="Calibri" w:eastAsia="Calibri" w:hAnsi="Calibri" w:cs="Arial"/>
                <w:bCs/>
                <w:color w:val="000000"/>
                <w:sz w:val="18"/>
                <w:szCs w:val="18"/>
                <w:lang w:val="en-US" w:eastAsia="hr-HR"/>
              </w:rPr>
            </w:pPr>
            <w:r w:rsidRPr="00F6722F">
              <w:rPr>
                <w:rFonts w:ascii="Calibri" w:eastAsia="Times New Roman" w:hAnsi="Calibri" w:cs="Times New Roman"/>
                <w:color w:val="000000"/>
                <w:sz w:val="18"/>
                <w:szCs w:val="18"/>
                <w:lang w:val="en-US"/>
              </w:rPr>
              <w:t>1,838</w:t>
            </w:r>
          </w:p>
        </w:tc>
        <w:tc>
          <w:tcPr>
            <w:tcW w:w="542" w:type="pct"/>
            <w:tcBorders>
              <w:left w:val="nil"/>
              <w:bottom w:val="single" w:sz="8" w:space="0" w:color="auto"/>
              <w:right w:val="nil"/>
            </w:tcBorders>
            <w:shd w:val="clear" w:color="auto" w:fill="auto"/>
            <w:vAlign w:val="bottom"/>
          </w:tcPr>
          <w:p w14:paraId="7B5C4A8F" w14:textId="77777777" w:rsidR="00F6722F" w:rsidRPr="00F6722F" w:rsidRDefault="00F6722F" w:rsidP="00F6722F">
            <w:pPr>
              <w:spacing w:after="0" w:line="240" w:lineRule="exact"/>
              <w:jc w:val="right"/>
              <w:outlineLvl w:val="0"/>
              <w:rPr>
                <w:rFonts w:ascii="Calibri" w:eastAsia="Calibri" w:hAnsi="Calibri" w:cs="Arial"/>
                <w:bCs/>
                <w:color w:val="000000"/>
                <w:sz w:val="18"/>
                <w:szCs w:val="18"/>
                <w:lang w:val="en-US" w:eastAsia="hr-HR"/>
              </w:rPr>
            </w:pPr>
            <w:r w:rsidRPr="00F6722F">
              <w:rPr>
                <w:rFonts w:ascii="Calibri" w:eastAsia="Times New Roman" w:hAnsi="Calibri" w:cs="Times New Roman"/>
                <w:color w:val="000000"/>
                <w:sz w:val="18"/>
                <w:szCs w:val="18"/>
                <w:lang w:val="en-US"/>
              </w:rPr>
              <w:t xml:space="preserve">24,649 </w:t>
            </w:r>
          </w:p>
        </w:tc>
        <w:tc>
          <w:tcPr>
            <w:tcW w:w="541" w:type="pct"/>
            <w:tcBorders>
              <w:left w:val="nil"/>
              <w:bottom w:val="single" w:sz="8" w:space="0" w:color="auto"/>
              <w:right w:val="nil"/>
            </w:tcBorders>
            <w:shd w:val="clear" w:color="auto" w:fill="auto"/>
            <w:vAlign w:val="bottom"/>
          </w:tcPr>
          <w:p w14:paraId="1EA5565F" w14:textId="77777777" w:rsidR="00F6722F" w:rsidRPr="00F6722F" w:rsidRDefault="00F6722F" w:rsidP="00F6722F">
            <w:pPr>
              <w:spacing w:after="0" w:line="240" w:lineRule="exact"/>
              <w:jc w:val="right"/>
              <w:outlineLvl w:val="0"/>
              <w:rPr>
                <w:rFonts w:ascii="Calibri" w:eastAsia="Calibri" w:hAnsi="Calibri" w:cs="Arial"/>
                <w:bCs/>
                <w:color w:val="000000"/>
                <w:sz w:val="18"/>
                <w:szCs w:val="18"/>
                <w:lang w:val="en-US" w:eastAsia="hr-HR"/>
              </w:rPr>
            </w:pPr>
            <w:r w:rsidRPr="00F6722F">
              <w:rPr>
                <w:rFonts w:ascii="Calibri" w:eastAsia="Times New Roman" w:hAnsi="Calibri" w:cs="Times New Roman"/>
                <w:color w:val="000000"/>
                <w:sz w:val="18"/>
                <w:szCs w:val="18"/>
                <w:lang w:val="en-US"/>
              </w:rPr>
              <w:t xml:space="preserve"> 1,734 </w:t>
            </w:r>
          </w:p>
        </w:tc>
        <w:tc>
          <w:tcPr>
            <w:tcW w:w="542" w:type="pct"/>
            <w:tcBorders>
              <w:left w:val="nil"/>
              <w:bottom w:val="single" w:sz="8" w:space="0" w:color="auto"/>
              <w:right w:val="nil"/>
            </w:tcBorders>
            <w:shd w:val="clear" w:color="auto" w:fill="auto"/>
            <w:vAlign w:val="bottom"/>
          </w:tcPr>
          <w:p w14:paraId="47EF4F41" w14:textId="77777777" w:rsidR="00F6722F" w:rsidRPr="00F6722F" w:rsidRDefault="00F6722F" w:rsidP="00F6722F">
            <w:pPr>
              <w:spacing w:after="0" w:line="240" w:lineRule="exact"/>
              <w:jc w:val="right"/>
              <w:outlineLvl w:val="0"/>
              <w:rPr>
                <w:rFonts w:ascii="Calibri" w:eastAsia="Calibri" w:hAnsi="Calibri" w:cs="Arial"/>
                <w:bCs/>
                <w:color w:val="000000"/>
                <w:sz w:val="18"/>
                <w:szCs w:val="18"/>
                <w:lang w:val="en-US" w:eastAsia="hr-HR"/>
              </w:rPr>
            </w:pPr>
            <w:r w:rsidRPr="00F6722F">
              <w:rPr>
                <w:rFonts w:ascii="Calibri" w:eastAsia="Times New Roman" w:hAnsi="Calibri" w:cs="Times New Roman"/>
                <w:color w:val="000000"/>
                <w:sz w:val="18"/>
                <w:szCs w:val="18"/>
                <w:lang w:val="en-US"/>
              </w:rPr>
              <w:t xml:space="preserve"> 1,684 </w:t>
            </w:r>
          </w:p>
        </w:tc>
        <w:tc>
          <w:tcPr>
            <w:tcW w:w="529" w:type="pct"/>
            <w:tcBorders>
              <w:left w:val="nil"/>
              <w:bottom w:val="nil"/>
              <w:right w:val="nil"/>
            </w:tcBorders>
            <w:shd w:val="clear" w:color="auto" w:fill="auto"/>
            <w:vAlign w:val="bottom"/>
          </w:tcPr>
          <w:p w14:paraId="42C05B29" w14:textId="77777777" w:rsidR="00F6722F" w:rsidRPr="00F6722F" w:rsidRDefault="00F6722F" w:rsidP="00F6722F">
            <w:pPr>
              <w:spacing w:after="0" w:line="240" w:lineRule="exact"/>
              <w:jc w:val="right"/>
              <w:outlineLvl w:val="0"/>
              <w:rPr>
                <w:rFonts w:ascii="Calibri" w:eastAsia="Calibri" w:hAnsi="Calibri" w:cs="Arial"/>
                <w:bCs/>
                <w:color w:val="000000"/>
                <w:sz w:val="18"/>
                <w:szCs w:val="18"/>
                <w:lang w:val="en-US" w:eastAsia="hr-HR"/>
              </w:rPr>
            </w:pPr>
            <w:r w:rsidRPr="00F6722F">
              <w:rPr>
                <w:rFonts w:ascii="Calibri" w:eastAsia="Times New Roman" w:hAnsi="Calibri" w:cs="Times New Roman"/>
                <w:color w:val="000000"/>
                <w:sz w:val="18"/>
                <w:szCs w:val="18"/>
                <w:lang w:val="en-US"/>
              </w:rPr>
              <w:t xml:space="preserve"> 37,537 </w:t>
            </w:r>
          </w:p>
        </w:tc>
      </w:tr>
      <w:tr w:rsidR="00F6722F" w:rsidRPr="00F6722F" w14:paraId="0CAAAD56" w14:textId="77777777" w:rsidTr="00E44437">
        <w:trPr>
          <w:trHeight w:hRule="exact" w:val="270"/>
        </w:trPr>
        <w:tc>
          <w:tcPr>
            <w:tcW w:w="1767" w:type="pct"/>
            <w:vAlign w:val="bottom"/>
          </w:tcPr>
          <w:p w14:paraId="15A8E393" w14:textId="77777777" w:rsidR="00F6722F" w:rsidRPr="00F6722F" w:rsidRDefault="00F6722F" w:rsidP="00F6722F">
            <w:pPr>
              <w:tabs>
                <w:tab w:val="right" w:pos="1202"/>
              </w:tabs>
              <w:spacing w:after="0" w:line="200" w:lineRule="exact"/>
              <w:outlineLvl w:val="0"/>
              <w:rPr>
                <w:rFonts w:ascii="Calibri" w:eastAsia="Times New Roman" w:hAnsi="Calibri" w:cs="Arial"/>
                <w:b/>
                <w:bCs/>
                <w:sz w:val="18"/>
                <w:szCs w:val="18"/>
                <w:lang w:val="en-US"/>
              </w:rPr>
            </w:pPr>
            <w:r w:rsidRPr="00F6722F">
              <w:rPr>
                <w:rFonts w:ascii="Calibri" w:eastAsia="Times New Roman" w:hAnsi="Calibri" w:cs="Arial"/>
                <w:b/>
                <w:bCs/>
                <w:sz w:val="18"/>
                <w:szCs w:val="18"/>
                <w:lang w:val="en-US"/>
              </w:rPr>
              <w:t xml:space="preserve">Total assets </w:t>
            </w:r>
          </w:p>
        </w:tc>
        <w:tc>
          <w:tcPr>
            <w:tcW w:w="538" w:type="pct"/>
            <w:tcBorders>
              <w:top w:val="nil"/>
              <w:left w:val="nil"/>
              <w:bottom w:val="single" w:sz="8" w:space="0" w:color="auto"/>
              <w:right w:val="nil"/>
            </w:tcBorders>
            <w:shd w:val="clear" w:color="auto" w:fill="auto"/>
            <w:vAlign w:val="bottom"/>
          </w:tcPr>
          <w:p w14:paraId="0B2F2D16" w14:textId="77777777" w:rsidR="00F6722F" w:rsidRPr="00F6722F" w:rsidRDefault="00F6722F" w:rsidP="00F6722F">
            <w:pPr>
              <w:spacing w:after="0" w:line="240" w:lineRule="exact"/>
              <w:jc w:val="right"/>
              <w:outlineLvl w:val="0"/>
              <w:rPr>
                <w:rFonts w:ascii="Calibri" w:eastAsia="Calibri" w:hAnsi="Calibri" w:cs="Arial"/>
                <w:b/>
                <w:bCs/>
                <w:color w:val="000000"/>
                <w:sz w:val="18"/>
                <w:szCs w:val="18"/>
                <w:lang w:val="en-US" w:eastAsia="hr-HR"/>
              </w:rPr>
            </w:pPr>
            <w:r w:rsidRPr="00F6722F">
              <w:rPr>
                <w:rFonts w:ascii="Calibri" w:eastAsia="Times New Roman" w:hAnsi="Calibri" w:cs="Times New Roman"/>
                <w:b/>
                <w:bCs/>
                <w:color w:val="000000"/>
                <w:sz w:val="18"/>
                <w:szCs w:val="18"/>
                <w:lang w:val="en-US"/>
              </w:rPr>
              <w:t>7,173,639</w:t>
            </w:r>
          </w:p>
        </w:tc>
        <w:tc>
          <w:tcPr>
            <w:tcW w:w="541" w:type="pct"/>
            <w:tcBorders>
              <w:top w:val="nil"/>
              <w:left w:val="nil"/>
              <w:bottom w:val="single" w:sz="8" w:space="0" w:color="auto"/>
              <w:right w:val="nil"/>
            </w:tcBorders>
            <w:shd w:val="clear" w:color="auto" w:fill="auto"/>
            <w:vAlign w:val="bottom"/>
          </w:tcPr>
          <w:p w14:paraId="2BE15EB0" w14:textId="77777777" w:rsidR="00F6722F" w:rsidRPr="00F6722F" w:rsidRDefault="00F6722F" w:rsidP="00F6722F">
            <w:pPr>
              <w:spacing w:after="0" w:line="240" w:lineRule="exact"/>
              <w:jc w:val="right"/>
              <w:outlineLvl w:val="0"/>
              <w:rPr>
                <w:rFonts w:ascii="Calibri" w:eastAsia="Calibri" w:hAnsi="Calibri" w:cs="Arial"/>
                <w:b/>
                <w:bCs/>
                <w:color w:val="000000"/>
                <w:sz w:val="18"/>
                <w:szCs w:val="18"/>
                <w:lang w:val="en-US" w:eastAsia="hr-HR"/>
              </w:rPr>
            </w:pPr>
            <w:r w:rsidRPr="00F6722F">
              <w:rPr>
                <w:rFonts w:ascii="Calibri" w:eastAsia="Times New Roman" w:hAnsi="Calibri" w:cs="Times New Roman"/>
                <w:b/>
                <w:bCs/>
                <w:color w:val="000000"/>
                <w:sz w:val="18"/>
                <w:szCs w:val="18"/>
                <w:lang w:val="en-US"/>
              </w:rPr>
              <w:t>547,410</w:t>
            </w:r>
          </w:p>
        </w:tc>
        <w:tc>
          <w:tcPr>
            <w:tcW w:w="542" w:type="pct"/>
            <w:tcBorders>
              <w:top w:val="nil"/>
              <w:left w:val="nil"/>
              <w:bottom w:val="single" w:sz="8" w:space="0" w:color="auto"/>
              <w:right w:val="nil"/>
            </w:tcBorders>
            <w:shd w:val="clear" w:color="auto" w:fill="auto"/>
            <w:vAlign w:val="bottom"/>
          </w:tcPr>
          <w:p w14:paraId="7FFA5A87" w14:textId="77777777" w:rsidR="00F6722F" w:rsidRPr="00F6722F" w:rsidRDefault="00F6722F" w:rsidP="00F6722F">
            <w:pPr>
              <w:spacing w:after="0" w:line="240" w:lineRule="exact"/>
              <w:jc w:val="right"/>
              <w:outlineLvl w:val="0"/>
              <w:rPr>
                <w:rFonts w:ascii="Calibri" w:eastAsia="Calibri" w:hAnsi="Calibri" w:cs="Arial"/>
                <w:b/>
                <w:bCs/>
                <w:color w:val="000000"/>
                <w:sz w:val="18"/>
                <w:szCs w:val="18"/>
                <w:lang w:val="en-US" w:eastAsia="hr-HR"/>
              </w:rPr>
            </w:pPr>
            <w:r w:rsidRPr="00F6722F">
              <w:rPr>
                <w:rFonts w:ascii="Calibri" w:eastAsia="Times New Roman" w:hAnsi="Calibri" w:cs="Times New Roman"/>
                <w:b/>
                <w:bCs/>
                <w:color w:val="000000"/>
                <w:sz w:val="18"/>
                <w:szCs w:val="18"/>
                <w:lang w:val="en-US"/>
              </w:rPr>
              <w:t xml:space="preserve">1,952,455 </w:t>
            </w:r>
          </w:p>
        </w:tc>
        <w:tc>
          <w:tcPr>
            <w:tcW w:w="541" w:type="pct"/>
            <w:tcBorders>
              <w:top w:val="nil"/>
              <w:left w:val="nil"/>
              <w:bottom w:val="single" w:sz="8" w:space="0" w:color="auto"/>
              <w:right w:val="nil"/>
            </w:tcBorders>
            <w:shd w:val="clear" w:color="auto" w:fill="auto"/>
            <w:vAlign w:val="bottom"/>
          </w:tcPr>
          <w:p w14:paraId="426FF005" w14:textId="77777777" w:rsidR="00F6722F" w:rsidRPr="00F6722F" w:rsidRDefault="00F6722F" w:rsidP="00F6722F">
            <w:pPr>
              <w:spacing w:after="0" w:line="240" w:lineRule="exact"/>
              <w:jc w:val="right"/>
              <w:outlineLvl w:val="0"/>
              <w:rPr>
                <w:rFonts w:ascii="Calibri" w:eastAsia="Calibri" w:hAnsi="Calibri" w:cs="Arial"/>
                <w:b/>
                <w:bCs/>
                <w:color w:val="000000"/>
                <w:sz w:val="18"/>
                <w:szCs w:val="18"/>
                <w:lang w:val="en-US" w:eastAsia="hr-HR"/>
              </w:rPr>
            </w:pPr>
            <w:r w:rsidRPr="00F6722F">
              <w:rPr>
                <w:rFonts w:ascii="Calibri" w:eastAsia="Times New Roman" w:hAnsi="Calibri" w:cs="Times New Roman"/>
                <w:b/>
                <w:bCs/>
                <w:color w:val="000000"/>
                <w:sz w:val="18"/>
                <w:szCs w:val="18"/>
                <w:lang w:val="en-US"/>
              </w:rPr>
              <w:t>5,138,206</w:t>
            </w:r>
          </w:p>
        </w:tc>
        <w:tc>
          <w:tcPr>
            <w:tcW w:w="542" w:type="pct"/>
            <w:tcBorders>
              <w:top w:val="nil"/>
              <w:left w:val="nil"/>
              <w:bottom w:val="single" w:sz="8" w:space="0" w:color="auto"/>
              <w:right w:val="nil"/>
            </w:tcBorders>
            <w:shd w:val="clear" w:color="auto" w:fill="auto"/>
            <w:vAlign w:val="bottom"/>
          </w:tcPr>
          <w:p w14:paraId="5B57B6C6" w14:textId="77777777" w:rsidR="00F6722F" w:rsidRPr="00F6722F" w:rsidRDefault="00F6722F" w:rsidP="00F6722F">
            <w:pPr>
              <w:spacing w:after="0" w:line="240" w:lineRule="exact"/>
              <w:jc w:val="right"/>
              <w:outlineLvl w:val="0"/>
              <w:rPr>
                <w:rFonts w:ascii="Calibri" w:eastAsia="Calibri" w:hAnsi="Calibri" w:cs="Arial"/>
                <w:b/>
                <w:bCs/>
                <w:color w:val="000000"/>
                <w:sz w:val="18"/>
                <w:szCs w:val="18"/>
                <w:lang w:val="en-US" w:eastAsia="hr-HR"/>
              </w:rPr>
            </w:pPr>
            <w:r w:rsidRPr="00F6722F">
              <w:rPr>
                <w:rFonts w:ascii="Calibri" w:eastAsia="Times New Roman" w:hAnsi="Calibri" w:cs="Times New Roman"/>
                <w:b/>
                <w:bCs/>
                <w:color w:val="000000"/>
                <w:sz w:val="18"/>
                <w:szCs w:val="18"/>
                <w:lang w:val="en-US"/>
              </w:rPr>
              <w:t xml:space="preserve"> 13,466,652 </w:t>
            </w:r>
          </w:p>
        </w:tc>
        <w:tc>
          <w:tcPr>
            <w:tcW w:w="529" w:type="pct"/>
            <w:tcBorders>
              <w:top w:val="single" w:sz="8" w:space="0" w:color="auto"/>
              <w:left w:val="nil"/>
              <w:bottom w:val="single" w:sz="8" w:space="0" w:color="auto"/>
              <w:right w:val="nil"/>
            </w:tcBorders>
            <w:shd w:val="clear" w:color="auto" w:fill="auto"/>
            <w:vAlign w:val="bottom"/>
          </w:tcPr>
          <w:p w14:paraId="4F0BA44B" w14:textId="77777777" w:rsidR="00F6722F" w:rsidRPr="00F6722F" w:rsidRDefault="00F6722F" w:rsidP="00F6722F">
            <w:pPr>
              <w:spacing w:after="0" w:line="240" w:lineRule="exact"/>
              <w:jc w:val="right"/>
              <w:outlineLvl w:val="0"/>
              <w:rPr>
                <w:rFonts w:ascii="Calibri" w:eastAsia="Calibri" w:hAnsi="Calibri" w:cs="Arial"/>
                <w:b/>
                <w:bCs/>
                <w:color w:val="000000"/>
                <w:sz w:val="18"/>
                <w:szCs w:val="18"/>
                <w:lang w:val="en-US" w:eastAsia="hr-HR"/>
              </w:rPr>
            </w:pPr>
            <w:r w:rsidRPr="00F6722F">
              <w:rPr>
                <w:rFonts w:ascii="Calibri" w:eastAsia="Times New Roman" w:hAnsi="Calibri" w:cs="Times New Roman"/>
                <w:b/>
                <w:bCs/>
                <w:color w:val="000000"/>
                <w:sz w:val="18"/>
                <w:szCs w:val="18"/>
                <w:lang w:val="en-US"/>
              </w:rPr>
              <w:t xml:space="preserve">28,278,362 </w:t>
            </w:r>
          </w:p>
        </w:tc>
      </w:tr>
      <w:tr w:rsidR="00F6722F" w:rsidRPr="00F6722F" w14:paraId="6543DB31" w14:textId="77777777" w:rsidTr="00E44437">
        <w:trPr>
          <w:trHeight w:hRule="exact" w:val="270"/>
        </w:trPr>
        <w:tc>
          <w:tcPr>
            <w:tcW w:w="1767" w:type="pct"/>
            <w:vAlign w:val="bottom"/>
          </w:tcPr>
          <w:p w14:paraId="0AC878CA" w14:textId="77777777" w:rsidR="00F6722F" w:rsidRPr="00F6722F" w:rsidRDefault="00F6722F" w:rsidP="00F6722F">
            <w:pPr>
              <w:tabs>
                <w:tab w:val="right" w:pos="1202"/>
              </w:tabs>
              <w:spacing w:after="0" w:line="200" w:lineRule="exact"/>
              <w:outlineLvl w:val="0"/>
              <w:rPr>
                <w:rFonts w:ascii="Calibri" w:eastAsia="Times New Roman" w:hAnsi="Calibri" w:cs="Arial"/>
                <w:b/>
                <w:bCs/>
                <w:sz w:val="18"/>
                <w:szCs w:val="18"/>
                <w:lang w:val="en-US"/>
              </w:rPr>
            </w:pPr>
          </w:p>
        </w:tc>
        <w:tc>
          <w:tcPr>
            <w:tcW w:w="538" w:type="pct"/>
            <w:tcBorders>
              <w:top w:val="single" w:sz="12" w:space="0" w:color="auto"/>
            </w:tcBorders>
            <w:vAlign w:val="bottom"/>
          </w:tcPr>
          <w:p w14:paraId="47CE87DE" w14:textId="77777777" w:rsidR="00F6722F" w:rsidRPr="00F6722F" w:rsidRDefault="00F6722F" w:rsidP="00F6722F">
            <w:pPr>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single" w:sz="12" w:space="0" w:color="auto"/>
            </w:tcBorders>
            <w:vAlign w:val="bottom"/>
          </w:tcPr>
          <w:p w14:paraId="593F291D" w14:textId="77777777" w:rsidR="00F6722F" w:rsidRPr="00F6722F" w:rsidRDefault="00F6722F" w:rsidP="00F6722F">
            <w:pPr>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single" w:sz="12" w:space="0" w:color="auto"/>
            </w:tcBorders>
            <w:vAlign w:val="bottom"/>
          </w:tcPr>
          <w:p w14:paraId="671912BA" w14:textId="77777777" w:rsidR="00F6722F" w:rsidRPr="00F6722F" w:rsidRDefault="00F6722F" w:rsidP="00F6722F">
            <w:pPr>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single" w:sz="12" w:space="0" w:color="auto"/>
            </w:tcBorders>
            <w:vAlign w:val="bottom"/>
          </w:tcPr>
          <w:p w14:paraId="47F05791" w14:textId="77777777" w:rsidR="00F6722F" w:rsidRPr="00F6722F" w:rsidRDefault="00F6722F" w:rsidP="00F6722F">
            <w:pPr>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single" w:sz="12" w:space="0" w:color="auto"/>
            </w:tcBorders>
            <w:vAlign w:val="bottom"/>
          </w:tcPr>
          <w:p w14:paraId="6A5C2207" w14:textId="77777777" w:rsidR="00F6722F" w:rsidRPr="00F6722F" w:rsidRDefault="00F6722F" w:rsidP="00F6722F">
            <w:pPr>
              <w:spacing w:after="0" w:line="240" w:lineRule="exact"/>
              <w:jc w:val="right"/>
              <w:outlineLvl w:val="0"/>
              <w:rPr>
                <w:rFonts w:ascii="Calibri" w:eastAsia="Times New Roman" w:hAnsi="Calibri" w:cs="Calibri"/>
                <w:b/>
                <w:bCs/>
                <w:color w:val="000000"/>
                <w:sz w:val="18"/>
                <w:szCs w:val="18"/>
                <w:lang w:val="en-US"/>
              </w:rPr>
            </w:pPr>
          </w:p>
        </w:tc>
        <w:tc>
          <w:tcPr>
            <w:tcW w:w="529" w:type="pct"/>
            <w:tcBorders>
              <w:top w:val="single" w:sz="12" w:space="0" w:color="auto"/>
            </w:tcBorders>
            <w:vAlign w:val="bottom"/>
          </w:tcPr>
          <w:p w14:paraId="6B9243E7" w14:textId="77777777" w:rsidR="00F6722F" w:rsidRPr="00F6722F" w:rsidRDefault="00F6722F" w:rsidP="00F6722F">
            <w:pPr>
              <w:spacing w:after="0" w:line="240" w:lineRule="exact"/>
              <w:jc w:val="right"/>
              <w:outlineLvl w:val="0"/>
              <w:rPr>
                <w:rFonts w:ascii="Calibri" w:eastAsia="Times New Roman" w:hAnsi="Calibri" w:cs="Calibri"/>
                <w:b/>
                <w:bCs/>
                <w:color w:val="000000"/>
                <w:sz w:val="18"/>
                <w:szCs w:val="18"/>
                <w:lang w:val="en-US"/>
              </w:rPr>
            </w:pPr>
          </w:p>
        </w:tc>
      </w:tr>
      <w:tr w:rsidR="00F6722F" w:rsidRPr="00F6722F" w14:paraId="5183032A" w14:textId="77777777" w:rsidTr="00E44437">
        <w:trPr>
          <w:trHeight w:hRule="exact" w:val="270"/>
        </w:trPr>
        <w:tc>
          <w:tcPr>
            <w:tcW w:w="1767" w:type="pct"/>
            <w:vAlign w:val="bottom"/>
          </w:tcPr>
          <w:p w14:paraId="773CE4C1" w14:textId="77777777" w:rsidR="00F6722F" w:rsidRPr="00F6722F" w:rsidRDefault="00F6722F" w:rsidP="00F6722F">
            <w:pPr>
              <w:tabs>
                <w:tab w:val="right" w:pos="1202"/>
              </w:tabs>
              <w:spacing w:after="0" w:line="200" w:lineRule="exact"/>
              <w:outlineLvl w:val="0"/>
              <w:rPr>
                <w:rFonts w:ascii="Calibri" w:eastAsia="Times New Roman" w:hAnsi="Calibri" w:cs="Arial"/>
                <w:b/>
                <w:bCs/>
                <w:sz w:val="18"/>
                <w:szCs w:val="18"/>
                <w:lang w:val="en-US"/>
              </w:rPr>
            </w:pPr>
            <w:r w:rsidRPr="00F6722F">
              <w:rPr>
                <w:rFonts w:ascii="Calibri" w:eastAsia="Times New Roman" w:hAnsi="Calibri" w:cs="Arial"/>
                <w:b/>
                <w:bCs/>
                <w:sz w:val="18"/>
                <w:szCs w:val="18"/>
                <w:lang w:val="en-US"/>
              </w:rPr>
              <w:t>Liabilities</w:t>
            </w:r>
          </w:p>
        </w:tc>
        <w:tc>
          <w:tcPr>
            <w:tcW w:w="538" w:type="pct"/>
            <w:vAlign w:val="bottom"/>
          </w:tcPr>
          <w:p w14:paraId="7620A6E9" w14:textId="77777777" w:rsidR="00F6722F" w:rsidRPr="00F6722F" w:rsidRDefault="00F6722F" w:rsidP="00F6722F">
            <w:pPr>
              <w:spacing w:after="0" w:line="220" w:lineRule="exact"/>
              <w:jc w:val="right"/>
              <w:outlineLvl w:val="0"/>
              <w:rPr>
                <w:rFonts w:ascii="Calibri" w:eastAsia="Times New Roman" w:hAnsi="Calibri" w:cs="Arial"/>
                <w:b/>
                <w:bCs/>
                <w:spacing w:val="-2"/>
                <w:sz w:val="18"/>
                <w:szCs w:val="18"/>
                <w:lang w:val="en-US"/>
              </w:rPr>
            </w:pPr>
          </w:p>
        </w:tc>
        <w:tc>
          <w:tcPr>
            <w:tcW w:w="541" w:type="pct"/>
            <w:vAlign w:val="bottom"/>
          </w:tcPr>
          <w:p w14:paraId="5DB040F0" w14:textId="77777777" w:rsidR="00F6722F" w:rsidRPr="00F6722F" w:rsidRDefault="00F6722F" w:rsidP="00F6722F">
            <w:pPr>
              <w:spacing w:after="0" w:line="220" w:lineRule="exact"/>
              <w:jc w:val="right"/>
              <w:outlineLvl w:val="0"/>
              <w:rPr>
                <w:rFonts w:ascii="Calibri" w:eastAsia="Times New Roman" w:hAnsi="Calibri" w:cs="Arial"/>
                <w:b/>
                <w:bCs/>
                <w:spacing w:val="-2"/>
                <w:sz w:val="18"/>
                <w:szCs w:val="18"/>
                <w:lang w:val="en-US"/>
              </w:rPr>
            </w:pPr>
          </w:p>
        </w:tc>
        <w:tc>
          <w:tcPr>
            <w:tcW w:w="542" w:type="pct"/>
            <w:vAlign w:val="bottom"/>
          </w:tcPr>
          <w:p w14:paraId="4DB8209C" w14:textId="77777777" w:rsidR="00F6722F" w:rsidRPr="00F6722F" w:rsidRDefault="00F6722F" w:rsidP="00F6722F">
            <w:pPr>
              <w:spacing w:after="0" w:line="220" w:lineRule="exact"/>
              <w:jc w:val="right"/>
              <w:outlineLvl w:val="0"/>
              <w:rPr>
                <w:rFonts w:ascii="Calibri" w:eastAsia="Times New Roman" w:hAnsi="Calibri" w:cs="Arial"/>
                <w:b/>
                <w:bCs/>
                <w:spacing w:val="-2"/>
                <w:sz w:val="18"/>
                <w:szCs w:val="18"/>
                <w:lang w:val="en-US"/>
              </w:rPr>
            </w:pPr>
          </w:p>
        </w:tc>
        <w:tc>
          <w:tcPr>
            <w:tcW w:w="541" w:type="pct"/>
            <w:vAlign w:val="bottom"/>
          </w:tcPr>
          <w:p w14:paraId="2BC7F051" w14:textId="77777777" w:rsidR="00F6722F" w:rsidRPr="00F6722F" w:rsidRDefault="00F6722F" w:rsidP="00F6722F">
            <w:pPr>
              <w:spacing w:after="0" w:line="220" w:lineRule="exact"/>
              <w:jc w:val="right"/>
              <w:outlineLvl w:val="0"/>
              <w:rPr>
                <w:rFonts w:ascii="Calibri" w:eastAsia="Times New Roman" w:hAnsi="Calibri" w:cs="Arial"/>
                <w:b/>
                <w:bCs/>
                <w:spacing w:val="-2"/>
                <w:sz w:val="18"/>
                <w:szCs w:val="18"/>
                <w:lang w:val="en-US"/>
              </w:rPr>
            </w:pPr>
          </w:p>
        </w:tc>
        <w:tc>
          <w:tcPr>
            <w:tcW w:w="542" w:type="pct"/>
            <w:vAlign w:val="bottom"/>
          </w:tcPr>
          <w:p w14:paraId="305B1FA1" w14:textId="77777777" w:rsidR="00F6722F" w:rsidRPr="00F6722F" w:rsidRDefault="00F6722F" w:rsidP="00F6722F">
            <w:pPr>
              <w:spacing w:after="0" w:line="220" w:lineRule="exact"/>
              <w:jc w:val="right"/>
              <w:outlineLvl w:val="0"/>
              <w:rPr>
                <w:rFonts w:ascii="Calibri" w:eastAsia="Times New Roman" w:hAnsi="Calibri" w:cs="Arial"/>
                <w:b/>
                <w:bCs/>
                <w:spacing w:val="-2"/>
                <w:sz w:val="18"/>
                <w:szCs w:val="18"/>
                <w:lang w:val="en-US"/>
              </w:rPr>
            </w:pPr>
          </w:p>
        </w:tc>
        <w:tc>
          <w:tcPr>
            <w:tcW w:w="529" w:type="pct"/>
            <w:vAlign w:val="bottom"/>
          </w:tcPr>
          <w:p w14:paraId="32D932EA" w14:textId="77777777" w:rsidR="00F6722F" w:rsidRPr="00F6722F" w:rsidRDefault="00F6722F" w:rsidP="00F6722F">
            <w:pPr>
              <w:spacing w:after="0" w:line="220" w:lineRule="exact"/>
              <w:jc w:val="right"/>
              <w:outlineLvl w:val="0"/>
              <w:rPr>
                <w:rFonts w:ascii="Calibri" w:eastAsia="Times New Roman" w:hAnsi="Calibri" w:cs="Arial"/>
                <w:b/>
                <w:bCs/>
                <w:sz w:val="18"/>
                <w:szCs w:val="18"/>
                <w:lang w:val="en-US"/>
              </w:rPr>
            </w:pPr>
          </w:p>
        </w:tc>
      </w:tr>
      <w:tr w:rsidR="00F6722F" w:rsidRPr="00F6722F" w14:paraId="5BDF209C" w14:textId="77777777" w:rsidTr="00E44437">
        <w:trPr>
          <w:trHeight w:hRule="exact" w:val="270"/>
        </w:trPr>
        <w:tc>
          <w:tcPr>
            <w:tcW w:w="1767" w:type="pct"/>
            <w:vAlign w:val="bottom"/>
          </w:tcPr>
          <w:p w14:paraId="2A1D3907" w14:textId="77777777" w:rsidR="00F6722F" w:rsidRPr="00F6722F" w:rsidRDefault="00F6722F" w:rsidP="00F6722F">
            <w:pPr>
              <w:tabs>
                <w:tab w:val="right" w:pos="1202"/>
              </w:tabs>
              <w:spacing w:after="0" w:line="200" w:lineRule="exact"/>
              <w:outlineLvl w:val="0"/>
              <w:rPr>
                <w:rFonts w:ascii="Calibri" w:eastAsia="Times New Roman" w:hAnsi="Calibri" w:cs="Arial"/>
                <w:sz w:val="18"/>
                <w:szCs w:val="18"/>
                <w:lang w:val="en-US"/>
              </w:rPr>
            </w:pPr>
            <w:r w:rsidRPr="00F6722F">
              <w:rPr>
                <w:rFonts w:ascii="Calibri" w:eastAsia="Times New Roman" w:hAnsi="Calibri" w:cs="Arial"/>
                <w:spacing w:val="-2"/>
                <w:sz w:val="18"/>
                <w:szCs w:val="18"/>
                <w:lang w:val="en-US"/>
              </w:rPr>
              <w:t xml:space="preserve">Deposits from customers </w:t>
            </w:r>
          </w:p>
        </w:tc>
        <w:tc>
          <w:tcPr>
            <w:tcW w:w="538" w:type="pct"/>
            <w:tcBorders>
              <w:top w:val="nil"/>
              <w:left w:val="nil"/>
              <w:bottom w:val="nil"/>
              <w:right w:val="nil"/>
            </w:tcBorders>
            <w:shd w:val="clear" w:color="auto" w:fill="auto"/>
            <w:vAlign w:val="bottom"/>
          </w:tcPr>
          <w:p w14:paraId="3E21820F"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 xml:space="preserve"> 622,284 </w:t>
            </w:r>
          </w:p>
        </w:tc>
        <w:tc>
          <w:tcPr>
            <w:tcW w:w="541" w:type="pct"/>
            <w:tcBorders>
              <w:top w:val="nil"/>
              <w:left w:val="nil"/>
              <w:bottom w:val="nil"/>
              <w:right w:val="nil"/>
            </w:tcBorders>
            <w:shd w:val="clear" w:color="auto" w:fill="auto"/>
            <w:vAlign w:val="bottom"/>
          </w:tcPr>
          <w:p w14:paraId="26873BFD"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 xml:space="preserve"> 22,169 </w:t>
            </w:r>
          </w:p>
        </w:tc>
        <w:tc>
          <w:tcPr>
            <w:tcW w:w="542" w:type="pct"/>
            <w:tcBorders>
              <w:top w:val="nil"/>
              <w:left w:val="nil"/>
              <w:bottom w:val="nil"/>
              <w:right w:val="nil"/>
            </w:tcBorders>
            <w:shd w:val="clear" w:color="auto" w:fill="auto"/>
            <w:vAlign w:val="bottom"/>
          </w:tcPr>
          <w:p w14:paraId="2D1517C7"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 xml:space="preserve"> 105,183 </w:t>
            </w:r>
          </w:p>
        </w:tc>
        <w:tc>
          <w:tcPr>
            <w:tcW w:w="541" w:type="pct"/>
            <w:tcBorders>
              <w:top w:val="nil"/>
              <w:left w:val="nil"/>
              <w:bottom w:val="nil"/>
              <w:right w:val="nil"/>
            </w:tcBorders>
            <w:shd w:val="clear" w:color="auto" w:fill="auto"/>
            <w:vAlign w:val="bottom"/>
          </w:tcPr>
          <w:p w14:paraId="1D3DEFFB"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 xml:space="preserve"> 95,453 </w:t>
            </w:r>
          </w:p>
        </w:tc>
        <w:tc>
          <w:tcPr>
            <w:tcW w:w="542" w:type="pct"/>
            <w:tcBorders>
              <w:top w:val="nil"/>
              <w:left w:val="nil"/>
              <w:bottom w:val="nil"/>
              <w:right w:val="nil"/>
            </w:tcBorders>
            <w:shd w:val="clear" w:color="auto" w:fill="auto"/>
            <w:vAlign w:val="bottom"/>
          </w:tcPr>
          <w:p w14:paraId="6C2C3CFC"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 xml:space="preserve">115,452 </w:t>
            </w:r>
          </w:p>
        </w:tc>
        <w:tc>
          <w:tcPr>
            <w:tcW w:w="529" w:type="pct"/>
            <w:tcBorders>
              <w:top w:val="nil"/>
              <w:left w:val="nil"/>
              <w:bottom w:val="nil"/>
              <w:right w:val="nil"/>
            </w:tcBorders>
            <w:shd w:val="clear" w:color="auto" w:fill="auto"/>
            <w:vAlign w:val="bottom"/>
          </w:tcPr>
          <w:p w14:paraId="782C705A"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960,541</w:t>
            </w:r>
          </w:p>
        </w:tc>
      </w:tr>
      <w:tr w:rsidR="00F6722F" w:rsidRPr="00F6722F" w14:paraId="28CA8727" w14:textId="77777777" w:rsidTr="00E44437">
        <w:trPr>
          <w:trHeight w:hRule="exact" w:val="270"/>
        </w:trPr>
        <w:tc>
          <w:tcPr>
            <w:tcW w:w="1767" w:type="pct"/>
            <w:vAlign w:val="bottom"/>
          </w:tcPr>
          <w:p w14:paraId="19F2DA83" w14:textId="77777777" w:rsidR="00F6722F" w:rsidRPr="00F6722F" w:rsidRDefault="00F6722F" w:rsidP="00F6722F">
            <w:pPr>
              <w:tabs>
                <w:tab w:val="right" w:pos="1202"/>
              </w:tabs>
              <w:spacing w:after="0" w:line="200" w:lineRule="exact"/>
              <w:outlineLvl w:val="0"/>
              <w:rPr>
                <w:rFonts w:ascii="Calibri" w:eastAsia="Times New Roman" w:hAnsi="Calibri" w:cs="Arial"/>
                <w:sz w:val="18"/>
                <w:szCs w:val="18"/>
                <w:lang w:val="en-US"/>
              </w:rPr>
            </w:pPr>
            <w:r w:rsidRPr="00F6722F">
              <w:rPr>
                <w:rFonts w:ascii="Calibri" w:eastAsia="Times New Roman" w:hAnsi="Calibri" w:cs="Arial"/>
                <w:spacing w:val="-2"/>
                <w:sz w:val="18"/>
                <w:szCs w:val="18"/>
                <w:lang w:val="en-US"/>
              </w:rPr>
              <w:t xml:space="preserve">Borrowings </w:t>
            </w:r>
          </w:p>
        </w:tc>
        <w:tc>
          <w:tcPr>
            <w:tcW w:w="538" w:type="pct"/>
            <w:tcBorders>
              <w:top w:val="nil"/>
              <w:left w:val="nil"/>
              <w:bottom w:val="nil"/>
              <w:right w:val="nil"/>
            </w:tcBorders>
            <w:shd w:val="clear" w:color="auto" w:fill="auto"/>
            <w:vAlign w:val="bottom"/>
          </w:tcPr>
          <w:p w14:paraId="14B5A544"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 xml:space="preserve"> 244,301 </w:t>
            </w:r>
          </w:p>
        </w:tc>
        <w:tc>
          <w:tcPr>
            <w:tcW w:w="541" w:type="pct"/>
            <w:tcBorders>
              <w:top w:val="nil"/>
              <w:left w:val="nil"/>
              <w:bottom w:val="nil"/>
              <w:right w:val="nil"/>
            </w:tcBorders>
            <w:shd w:val="clear" w:color="auto" w:fill="auto"/>
            <w:vAlign w:val="bottom"/>
          </w:tcPr>
          <w:p w14:paraId="1791D4BB"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 xml:space="preserve"> 333,934** </w:t>
            </w:r>
          </w:p>
        </w:tc>
        <w:tc>
          <w:tcPr>
            <w:tcW w:w="542" w:type="pct"/>
            <w:tcBorders>
              <w:top w:val="nil"/>
              <w:left w:val="nil"/>
              <w:bottom w:val="nil"/>
              <w:right w:val="nil"/>
            </w:tcBorders>
            <w:shd w:val="clear" w:color="auto" w:fill="auto"/>
            <w:vAlign w:val="bottom"/>
          </w:tcPr>
          <w:p w14:paraId="509AD828"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 xml:space="preserve">1,807,992 </w:t>
            </w:r>
          </w:p>
        </w:tc>
        <w:tc>
          <w:tcPr>
            <w:tcW w:w="541" w:type="pct"/>
            <w:tcBorders>
              <w:top w:val="nil"/>
              <w:left w:val="nil"/>
              <w:bottom w:val="nil"/>
              <w:right w:val="nil"/>
            </w:tcBorders>
            <w:shd w:val="clear" w:color="auto" w:fill="auto"/>
            <w:vAlign w:val="bottom"/>
          </w:tcPr>
          <w:p w14:paraId="5F6368A5"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 xml:space="preserve"> 5,777,582 </w:t>
            </w:r>
          </w:p>
        </w:tc>
        <w:tc>
          <w:tcPr>
            <w:tcW w:w="542" w:type="pct"/>
            <w:tcBorders>
              <w:top w:val="nil"/>
              <w:left w:val="nil"/>
              <w:bottom w:val="nil"/>
              <w:right w:val="nil"/>
            </w:tcBorders>
            <w:shd w:val="clear" w:color="auto" w:fill="auto"/>
            <w:vAlign w:val="bottom"/>
          </w:tcPr>
          <w:p w14:paraId="03B27449"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 xml:space="preserve"> 7,951,428 </w:t>
            </w:r>
          </w:p>
        </w:tc>
        <w:tc>
          <w:tcPr>
            <w:tcW w:w="529" w:type="pct"/>
            <w:tcBorders>
              <w:top w:val="nil"/>
              <w:left w:val="nil"/>
              <w:bottom w:val="nil"/>
              <w:right w:val="nil"/>
            </w:tcBorders>
            <w:shd w:val="clear" w:color="auto" w:fill="auto"/>
            <w:vAlign w:val="bottom"/>
          </w:tcPr>
          <w:p w14:paraId="7023CF09"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16,115,237</w:t>
            </w:r>
          </w:p>
        </w:tc>
      </w:tr>
      <w:tr w:rsidR="00F6722F" w:rsidRPr="00F6722F" w14:paraId="4EADD60F" w14:textId="77777777" w:rsidTr="00E44437">
        <w:trPr>
          <w:trHeight w:hRule="exact" w:val="401"/>
        </w:trPr>
        <w:tc>
          <w:tcPr>
            <w:tcW w:w="1767" w:type="pct"/>
            <w:vAlign w:val="bottom"/>
          </w:tcPr>
          <w:p w14:paraId="7CAFB8CF" w14:textId="77777777" w:rsidR="00F6722F" w:rsidRPr="00F6722F" w:rsidRDefault="00F6722F" w:rsidP="00F6722F">
            <w:pPr>
              <w:tabs>
                <w:tab w:val="right" w:pos="1202"/>
              </w:tabs>
              <w:spacing w:after="0" w:line="200" w:lineRule="exact"/>
              <w:outlineLvl w:val="0"/>
              <w:rPr>
                <w:rFonts w:ascii="Calibri" w:eastAsia="Times New Roman" w:hAnsi="Calibri" w:cs="Arial"/>
                <w:spacing w:val="-2"/>
                <w:sz w:val="18"/>
                <w:szCs w:val="18"/>
                <w:lang w:val="en-US"/>
              </w:rPr>
            </w:pPr>
            <w:r w:rsidRPr="00F6722F">
              <w:rPr>
                <w:rFonts w:ascii="Calibri" w:eastAsia="Times New Roman" w:hAnsi="Calibri" w:cs="Arial"/>
                <w:spacing w:val="-2"/>
                <w:sz w:val="18"/>
                <w:szCs w:val="18"/>
                <w:lang w:val="en-US"/>
              </w:rPr>
              <w:t xml:space="preserve">Provisions for guarantees, </w:t>
            </w:r>
            <w:proofErr w:type="gramStart"/>
            <w:r w:rsidRPr="00F6722F">
              <w:rPr>
                <w:rFonts w:ascii="Calibri" w:eastAsia="Times New Roman" w:hAnsi="Calibri" w:cs="Arial"/>
                <w:spacing w:val="-2"/>
                <w:sz w:val="18"/>
                <w:szCs w:val="18"/>
                <w:lang w:val="en-US"/>
              </w:rPr>
              <w:t>commitments</w:t>
            </w:r>
            <w:proofErr w:type="gramEnd"/>
            <w:r w:rsidRPr="00F6722F">
              <w:rPr>
                <w:rFonts w:ascii="Calibri" w:eastAsia="Times New Roman" w:hAnsi="Calibri" w:cs="Arial"/>
                <w:spacing w:val="-2"/>
                <w:sz w:val="18"/>
                <w:szCs w:val="18"/>
                <w:lang w:val="en-US"/>
              </w:rPr>
              <w:t xml:space="preserve"> and other liabilities</w:t>
            </w:r>
          </w:p>
        </w:tc>
        <w:tc>
          <w:tcPr>
            <w:tcW w:w="538" w:type="pct"/>
            <w:tcBorders>
              <w:top w:val="nil"/>
              <w:left w:val="nil"/>
              <w:bottom w:val="nil"/>
              <w:right w:val="nil"/>
            </w:tcBorders>
            <w:shd w:val="clear" w:color="auto" w:fill="auto"/>
            <w:vAlign w:val="bottom"/>
          </w:tcPr>
          <w:p w14:paraId="7C51CEA3" w14:textId="77777777" w:rsidR="00F6722F" w:rsidRPr="00F6722F" w:rsidDel="00E052C8" w:rsidRDefault="00F6722F" w:rsidP="00F6722F">
            <w:pPr>
              <w:tabs>
                <w:tab w:val="right" w:pos="1202"/>
              </w:tabs>
              <w:spacing w:after="0" w:line="240" w:lineRule="exact"/>
              <w:jc w:val="right"/>
              <w:outlineLvl w:val="0"/>
              <w:rPr>
                <w:rFonts w:ascii="Calibri" w:eastAsia="Times New Roman" w:hAnsi="Calibri" w:cs="Times New Roman"/>
                <w:sz w:val="18"/>
                <w:szCs w:val="18"/>
                <w:lang w:val="en-US"/>
              </w:rPr>
            </w:pPr>
            <w:r w:rsidRPr="00F6722F">
              <w:rPr>
                <w:rFonts w:ascii="Calibri" w:eastAsia="Times New Roman" w:hAnsi="Calibri" w:cs="Times New Roman"/>
                <w:color w:val="000000"/>
                <w:sz w:val="18"/>
                <w:szCs w:val="18"/>
                <w:lang w:val="en-US"/>
              </w:rPr>
              <w:t xml:space="preserve"> 105,893 </w:t>
            </w:r>
          </w:p>
        </w:tc>
        <w:tc>
          <w:tcPr>
            <w:tcW w:w="541" w:type="pct"/>
            <w:tcBorders>
              <w:top w:val="nil"/>
              <w:left w:val="nil"/>
              <w:bottom w:val="nil"/>
              <w:right w:val="nil"/>
            </w:tcBorders>
            <w:shd w:val="clear" w:color="auto" w:fill="auto"/>
            <w:vAlign w:val="bottom"/>
          </w:tcPr>
          <w:p w14:paraId="697143B7" w14:textId="77777777" w:rsidR="00F6722F" w:rsidRPr="00F6722F" w:rsidDel="00E052C8" w:rsidRDefault="00F6722F" w:rsidP="00F6722F">
            <w:pPr>
              <w:tabs>
                <w:tab w:val="right" w:pos="1202"/>
              </w:tabs>
              <w:spacing w:after="0" w:line="240" w:lineRule="exact"/>
              <w:jc w:val="right"/>
              <w:outlineLvl w:val="0"/>
              <w:rPr>
                <w:rFonts w:ascii="Calibri" w:eastAsia="Times New Roman" w:hAnsi="Calibri" w:cs="Times New Roman"/>
                <w:sz w:val="18"/>
                <w:szCs w:val="18"/>
                <w:lang w:val="en-US"/>
              </w:rPr>
            </w:pPr>
            <w:r w:rsidRPr="00F6722F">
              <w:rPr>
                <w:rFonts w:ascii="Calibri" w:eastAsia="Times New Roman" w:hAnsi="Calibri" w:cs="Times New Roman"/>
                <w:color w:val="000000"/>
                <w:sz w:val="18"/>
                <w:szCs w:val="18"/>
                <w:lang w:val="en-US"/>
              </w:rPr>
              <w:t xml:space="preserve">5,962 </w:t>
            </w:r>
          </w:p>
        </w:tc>
        <w:tc>
          <w:tcPr>
            <w:tcW w:w="542" w:type="pct"/>
            <w:tcBorders>
              <w:top w:val="nil"/>
              <w:left w:val="nil"/>
              <w:bottom w:val="nil"/>
              <w:right w:val="nil"/>
            </w:tcBorders>
            <w:shd w:val="clear" w:color="auto" w:fill="auto"/>
            <w:vAlign w:val="bottom"/>
          </w:tcPr>
          <w:p w14:paraId="393FB11A" w14:textId="77777777" w:rsidR="00F6722F" w:rsidRPr="00F6722F" w:rsidDel="00E052C8" w:rsidRDefault="00F6722F" w:rsidP="00F6722F">
            <w:pPr>
              <w:tabs>
                <w:tab w:val="right" w:pos="1202"/>
              </w:tabs>
              <w:spacing w:after="0" w:line="240" w:lineRule="exact"/>
              <w:jc w:val="right"/>
              <w:outlineLvl w:val="0"/>
              <w:rPr>
                <w:rFonts w:ascii="Calibri" w:eastAsia="Times New Roman" w:hAnsi="Calibri" w:cs="Times New Roman"/>
                <w:sz w:val="18"/>
                <w:szCs w:val="18"/>
                <w:lang w:val="en-US"/>
              </w:rPr>
            </w:pPr>
            <w:r w:rsidRPr="00F6722F">
              <w:rPr>
                <w:rFonts w:ascii="Calibri" w:eastAsia="Times New Roman" w:hAnsi="Calibri" w:cs="Times New Roman"/>
                <w:color w:val="000000"/>
                <w:sz w:val="18"/>
                <w:szCs w:val="18"/>
                <w:lang w:val="en-US"/>
              </w:rPr>
              <w:t xml:space="preserve"> 20,072 </w:t>
            </w:r>
          </w:p>
        </w:tc>
        <w:tc>
          <w:tcPr>
            <w:tcW w:w="541" w:type="pct"/>
            <w:tcBorders>
              <w:top w:val="nil"/>
              <w:left w:val="nil"/>
              <w:bottom w:val="nil"/>
              <w:right w:val="nil"/>
            </w:tcBorders>
            <w:shd w:val="clear" w:color="auto" w:fill="auto"/>
            <w:vAlign w:val="bottom"/>
          </w:tcPr>
          <w:p w14:paraId="5B7A0251" w14:textId="77777777" w:rsidR="00F6722F" w:rsidRPr="00F6722F" w:rsidDel="00E052C8" w:rsidRDefault="00F6722F" w:rsidP="00F6722F">
            <w:pPr>
              <w:tabs>
                <w:tab w:val="right" w:pos="1202"/>
              </w:tabs>
              <w:spacing w:after="0" w:line="240" w:lineRule="exact"/>
              <w:jc w:val="right"/>
              <w:outlineLvl w:val="0"/>
              <w:rPr>
                <w:rFonts w:ascii="Calibri" w:eastAsia="Times New Roman" w:hAnsi="Calibri" w:cs="Times New Roman"/>
                <w:sz w:val="18"/>
                <w:szCs w:val="18"/>
                <w:lang w:val="en-US"/>
              </w:rPr>
            </w:pPr>
            <w:r w:rsidRPr="00F6722F">
              <w:rPr>
                <w:rFonts w:ascii="Calibri" w:eastAsia="Times New Roman" w:hAnsi="Calibri" w:cs="Times New Roman"/>
                <w:color w:val="000000"/>
                <w:sz w:val="18"/>
                <w:szCs w:val="18"/>
                <w:lang w:val="en-US"/>
              </w:rPr>
              <w:t xml:space="preserve"> 30,577 </w:t>
            </w:r>
          </w:p>
        </w:tc>
        <w:tc>
          <w:tcPr>
            <w:tcW w:w="542" w:type="pct"/>
            <w:tcBorders>
              <w:top w:val="nil"/>
              <w:left w:val="nil"/>
              <w:bottom w:val="nil"/>
              <w:right w:val="nil"/>
            </w:tcBorders>
            <w:shd w:val="clear" w:color="auto" w:fill="auto"/>
            <w:vAlign w:val="bottom"/>
          </w:tcPr>
          <w:p w14:paraId="72B7CF64" w14:textId="77777777" w:rsidR="00F6722F" w:rsidRPr="00F6722F" w:rsidDel="00E052C8" w:rsidRDefault="00F6722F" w:rsidP="00F6722F">
            <w:pPr>
              <w:tabs>
                <w:tab w:val="right" w:pos="1202"/>
              </w:tabs>
              <w:spacing w:after="0" w:line="240" w:lineRule="exact"/>
              <w:jc w:val="right"/>
              <w:outlineLvl w:val="0"/>
              <w:rPr>
                <w:rFonts w:ascii="Calibri" w:eastAsia="Times New Roman" w:hAnsi="Calibri" w:cs="Times New Roman"/>
                <w:sz w:val="18"/>
                <w:szCs w:val="18"/>
                <w:lang w:val="en-US"/>
              </w:rPr>
            </w:pPr>
            <w:r w:rsidRPr="00F6722F">
              <w:rPr>
                <w:rFonts w:ascii="Calibri" w:eastAsia="Times New Roman" w:hAnsi="Calibri" w:cs="Times New Roman"/>
                <w:color w:val="000000"/>
                <w:sz w:val="18"/>
                <w:szCs w:val="18"/>
                <w:lang w:val="en-US"/>
              </w:rPr>
              <w:t xml:space="preserve">28,056 </w:t>
            </w:r>
          </w:p>
        </w:tc>
        <w:tc>
          <w:tcPr>
            <w:tcW w:w="529" w:type="pct"/>
            <w:tcBorders>
              <w:top w:val="nil"/>
              <w:left w:val="nil"/>
              <w:bottom w:val="nil"/>
              <w:right w:val="nil"/>
            </w:tcBorders>
            <w:shd w:val="clear" w:color="auto" w:fill="auto"/>
            <w:vAlign w:val="bottom"/>
          </w:tcPr>
          <w:p w14:paraId="109C13BC" w14:textId="77777777" w:rsidR="00F6722F" w:rsidRPr="00F6722F" w:rsidDel="00E052C8" w:rsidRDefault="00F6722F" w:rsidP="00F6722F">
            <w:pPr>
              <w:tabs>
                <w:tab w:val="right" w:pos="1202"/>
              </w:tabs>
              <w:spacing w:after="0" w:line="240" w:lineRule="exact"/>
              <w:jc w:val="right"/>
              <w:outlineLvl w:val="0"/>
              <w:rPr>
                <w:rFonts w:ascii="Calibri" w:eastAsia="Times New Roman" w:hAnsi="Calibri" w:cs="Times New Roman"/>
                <w:sz w:val="18"/>
                <w:szCs w:val="18"/>
                <w:lang w:val="en-US"/>
              </w:rPr>
            </w:pPr>
            <w:r w:rsidRPr="00F6722F">
              <w:rPr>
                <w:rFonts w:ascii="Calibri" w:eastAsia="Times New Roman" w:hAnsi="Calibri" w:cs="Times New Roman"/>
                <w:color w:val="000000"/>
                <w:sz w:val="18"/>
                <w:szCs w:val="18"/>
                <w:lang w:val="en-US"/>
              </w:rPr>
              <w:t xml:space="preserve"> 190,560 </w:t>
            </w:r>
          </w:p>
        </w:tc>
      </w:tr>
      <w:tr w:rsidR="00F6722F" w:rsidRPr="00F6722F" w14:paraId="56F00FFB" w14:textId="77777777" w:rsidTr="00E44437">
        <w:trPr>
          <w:trHeight w:hRule="exact" w:val="270"/>
        </w:trPr>
        <w:tc>
          <w:tcPr>
            <w:tcW w:w="1767" w:type="pct"/>
            <w:vAlign w:val="bottom"/>
          </w:tcPr>
          <w:p w14:paraId="7DF9D137" w14:textId="77777777" w:rsidR="00F6722F" w:rsidRPr="00F6722F" w:rsidRDefault="00F6722F" w:rsidP="00F6722F">
            <w:pPr>
              <w:tabs>
                <w:tab w:val="right" w:pos="1202"/>
              </w:tabs>
              <w:spacing w:after="0" w:line="200" w:lineRule="exact"/>
              <w:outlineLvl w:val="0"/>
              <w:rPr>
                <w:rFonts w:ascii="Calibri" w:eastAsia="Times New Roman" w:hAnsi="Calibri" w:cs="Arial"/>
                <w:sz w:val="18"/>
                <w:szCs w:val="18"/>
                <w:lang w:val="en-US"/>
              </w:rPr>
            </w:pPr>
            <w:r w:rsidRPr="00F6722F">
              <w:rPr>
                <w:rFonts w:ascii="Calibri" w:eastAsia="Times New Roman" w:hAnsi="Calibri" w:cs="Arial"/>
                <w:spacing w:val="-2"/>
                <w:sz w:val="18"/>
                <w:szCs w:val="18"/>
                <w:lang w:val="en-US"/>
              </w:rPr>
              <w:t xml:space="preserve">Other liabilities </w:t>
            </w:r>
          </w:p>
        </w:tc>
        <w:tc>
          <w:tcPr>
            <w:tcW w:w="538" w:type="pct"/>
            <w:tcBorders>
              <w:top w:val="nil"/>
              <w:left w:val="nil"/>
              <w:bottom w:val="nil"/>
              <w:right w:val="nil"/>
            </w:tcBorders>
            <w:shd w:val="clear" w:color="auto" w:fill="auto"/>
            <w:vAlign w:val="bottom"/>
          </w:tcPr>
          <w:p w14:paraId="73DC2E07"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 xml:space="preserve"> 232,641 </w:t>
            </w:r>
          </w:p>
        </w:tc>
        <w:tc>
          <w:tcPr>
            <w:tcW w:w="541" w:type="pct"/>
            <w:tcBorders>
              <w:top w:val="nil"/>
              <w:left w:val="nil"/>
              <w:bottom w:val="nil"/>
              <w:right w:val="nil"/>
            </w:tcBorders>
            <w:shd w:val="clear" w:color="auto" w:fill="auto"/>
            <w:vAlign w:val="bottom"/>
          </w:tcPr>
          <w:p w14:paraId="60DEB6E8"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 xml:space="preserve"> 15,695 </w:t>
            </w:r>
          </w:p>
        </w:tc>
        <w:tc>
          <w:tcPr>
            <w:tcW w:w="542" w:type="pct"/>
            <w:tcBorders>
              <w:top w:val="nil"/>
              <w:left w:val="nil"/>
              <w:bottom w:val="nil"/>
              <w:right w:val="nil"/>
            </w:tcBorders>
            <w:shd w:val="clear" w:color="auto" w:fill="auto"/>
            <w:vAlign w:val="bottom"/>
          </w:tcPr>
          <w:p w14:paraId="5B1BBF91"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 xml:space="preserve"> 51,058 </w:t>
            </w:r>
          </w:p>
        </w:tc>
        <w:tc>
          <w:tcPr>
            <w:tcW w:w="541" w:type="pct"/>
            <w:tcBorders>
              <w:top w:val="nil"/>
              <w:left w:val="nil"/>
              <w:bottom w:val="nil"/>
              <w:right w:val="nil"/>
            </w:tcBorders>
            <w:shd w:val="clear" w:color="auto" w:fill="auto"/>
            <w:vAlign w:val="bottom"/>
          </w:tcPr>
          <w:p w14:paraId="5290FCFC"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 xml:space="preserve"> 75,994 </w:t>
            </w:r>
          </w:p>
        </w:tc>
        <w:tc>
          <w:tcPr>
            <w:tcW w:w="542" w:type="pct"/>
            <w:tcBorders>
              <w:top w:val="nil"/>
              <w:left w:val="nil"/>
              <w:bottom w:val="nil"/>
              <w:right w:val="nil"/>
            </w:tcBorders>
            <w:shd w:val="clear" w:color="auto" w:fill="auto"/>
            <w:vAlign w:val="bottom"/>
          </w:tcPr>
          <w:p w14:paraId="1F462B30"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 xml:space="preserve"> 59,851 </w:t>
            </w:r>
          </w:p>
        </w:tc>
        <w:tc>
          <w:tcPr>
            <w:tcW w:w="529" w:type="pct"/>
            <w:tcBorders>
              <w:top w:val="nil"/>
              <w:left w:val="nil"/>
              <w:bottom w:val="nil"/>
              <w:right w:val="nil"/>
            </w:tcBorders>
            <w:shd w:val="clear" w:color="auto" w:fill="auto"/>
            <w:vAlign w:val="bottom"/>
          </w:tcPr>
          <w:p w14:paraId="61F38988" w14:textId="77777777" w:rsidR="00F6722F" w:rsidRPr="00F6722F" w:rsidRDefault="00F6722F" w:rsidP="00F6722F">
            <w:pPr>
              <w:tabs>
                <w:tab w:val="right" w:pos="1202"/>
              </w:tabs>
              <w:spacing w:after="0" w:line="240" w:lineRule="exact"/>
              <w:jc w:val="right"/>
              <w:outlineLvl w:val="0"/>
              <w:rPr>
                <w:rFonts w:ascii="Calibri" w:eastAsia="Calibri" w:hAnsi="Calibri" w:cs="Arial"/>
                <w:spacing w:val="-2"/>
                <w:sz w:val="18"/>
                <w:szCs w:val="18"/>
                <w:lang w:val="en-US"/>
              </w:rPr>
            </w:pPr>
            <w:r w:rsidRPr="00F6722F">
              <w:rPr>
                <w:rFonts w:ascii="Calibri" w:eastAsia="Times New Roman" w:hAnsi="Calibri" w:cs="Times New Roman"/>
                <w:color w:val="000000"/>
                <w:sz w:val="18"/>
                <w:szCs w:val="18"/>
                <w:lang w:val="en-US"/>
              </w:rPr>
              <w:t xml:space="preserve"> 435,239 </w:t>
            </w:r>
          </w:p>
        </w:tc>
      </w:tr>
      <w:tr w:rsidR="00F6722F" w:rsidRPr="00F6722F" w14:paraId="4E4B95BD" w14:textId="77777777" w:rsidTr="00E44437">
        <w:trPr>
          <w:trHeight w:hRule="exact" w:val="270"/>
        </w:trPr>
        <w:tc>
          <w:tcPr>
            <w:tcW w:w="1767" w:type="pct"/>
            <w:vAlign w:val="bottom"/>
          </w:tcPr>
          <w:p w14:paraId="52A1E766" w14:textId="77777777" w:rsidR="00F6722F" w:rsidRPr="00F6722F" w:rsidRDefault="00F6722F" w:rsidP="00F6722F">
            <w:pPr>
              <w:tabs>
                <w:tab w:val="right" w:pos="1202"/>
              </w:tabs>
              <w:spacing w:after="0" w:line="200" w:lineRule="exact"/>
              <w:outlineLvl w:val="0"/>
              <w:rPr>
                <w:rFonts w:ascii="Calibri" w:eastAsia="Times New Roman" w:hAnsi="Calibri" w:cs="Arial"/>
                <w:b/>
                <w:bCs/>
                <w:sz w:val="18"/>
                <w:szCs w:val="18"/>
                <w:lang w:val="en-US"/>
              </w:rPr>
            </w:pPr>
            <w:r w:rsidRPr="00F6722F">
              <w:rPr>
                <w:rFonts w:ascii="Calibri" w:eastAsia="Times New Roman" w:hAnsi="Calibri" w:cs="Arial"/>
                <w:b/>
                <w:bCs/>
                <w:sz w:val="18"/>
                <w:szCs w:val="18"/>
                <w:lang w:val="en-US"/>
              </w:rPr>
              <w:t xml:space="preserve">Total liabilities </w:t>
            </w:r>
          </w:p>
        </w:tc>
        <w:tc>
          <w:tcPr>
            <w:tcW w:w="538" w:type="pct"/>
            <w:tcBorders>
              <w:top w:val="single" w:sz="8" w:space="0" w:color="auto"/>
              <w:left w:val="nil"/>
              <w:bottom w:val="single" w:sz="8" w:space="0" w:color="auto"/>
              <w:right w:val="nil"/>
            </w:tcBorders>
            <w:shd w:val="clear" w:color="auto" w:fill="auto"/>
            <w:vAlign w:val="bottom"/>
          </w:tcPr>
          <w:p w14:paraId="28371E61" w14:textId="77777777" w:rsidR="00F6722F" w:rsidRPr="00F6722F" w:rsidRDefault="00F6722F" w:rsidP="00F6722F">
            <w:pPr>
              <w:tabs>
                <w:tab w:val="right" w:pos="1202"/>
              </w:tabs>
              <w:spacing w:after="0" w:line="240" w:lineRule="exact"/>
              <w:jc w:val="right"/>
              <w:outlineLvl w:val="0"/>
              <w:rPr>
                <w:rFonts w:ascii="Calibri" w:eastAsia="Calibri" w:hAnsi="Calibri" w:cs="Arial"/>
                <w:b/>
                <w:spacing w:val="-2"/>
                <w:sz w:val="18"/>
                <w:szCs w:val="18"/>
                <w:lang w:val="en-US"/>
              </w:rPr>
            </w:pPr>
            <w:r w:rsidRPr="00F6722F">
              <w:rPr>
                <w:rFonts w:ascii="Calibri" w:eastAsia="Times New Roman" w:hAnsi="Calibri" w:cs="Times New Roman"/>
                <w:b/>
                <w:bCs/>
                <w:color w:val="000000"/>
                <w:sz w:val="18"/>
                <w:szCs w:val="18"/>
                <w:lang w:val="en-US"/>
              </w:rPr>
              <w:t xml:space="preserve"> 1,205,119 </w:t>
            </w:r>
          </w:p>
        </w:tc>
        <w:tc>
          <w:tcPr>
            <w:tcW w:w="541" w:type="pct"/>
            <w:tcBorders>
              <w:top w:val="single" w:sz="8" w:space="0" w:color="auto"/>
              <w:left w:val="nil"/>
              <w:bottom w:val="single" w:sz="8" w:space="0" w:color="auto"/>
              <w:right w:val="nil"/>
            </w:tcBorders>
            <w:shd w:val="clear" w:color="auto" w:fill="auto"/>
            <w:vAlign w:val="bottom"/>
          </w:tcPr>
          <w:p w14:paraId="65953F69" w14:textId="77777777" w:rsidR="00F6722F" w:rsidRPr="00F6722F" w:rsidRDefault="00F6722F" w:rsidP="00F6722F">
            <w:pPr>
              <w:tabs>
                <w:tab w:val="right" w:pos="1202"/>
              </w:tabs>
              <w:spacing w:after="0" w:line="240" w:lineRule="exact"/>
              <w:jc w:val="right"/>
              <w:outlineLvl w:val="0"/>
              <w:rPr>
                <w:rFonts w:ascii="Calibri" w:eastAsia="Calibri" w:hAnsi="Calibri" w:cs="Arial"/>
                <w:b/>
                <w:spacing w:val="-2"/>
                <w:sz w:val="18"/>
                <w:szCs w:val="18"/>
                <w:lang w:val="en-US"/>
              </w:rPr>
            </w:pPr>
            <w:r w:rsidRPr="00F6722F">
              <w:rPr>
                <w:rFonts w:ascii="Calibri" w:eastAsia="Times New Roman" w:hAnsi="Calibri" w:cs="Times New Roman"/>
                <w:b/>
                <w:bCs/>
                <w:color w:val="000000"/>
                <w:sz w:val="18"/>
                <w:szCs w:val="18"/>
                <w:lang w:val="en-US"/>
              </w:rPr>
              <w:t xml:space="preserve"> 377,760 </w:t>
            </w:r>
          </w:p>
        </w:tc>
        <w:tc>
          <w:tcPr>
            <w:tcW w:w="542" w:type="pct"/>
            <w:tcBorders>
              <w:top w:val="single" w:sz="8" w:space="0" w:color="auto"/>
              <w:left w:val="nil"/>
              <w:bottom w:val="single" w:sz="8" w:space="0" w:color="auto"/>
              <w:right w:val="nil"/>
            </w:tcBorders>
            <w:shd w:val="clear" w:color="auto" w:fill="auto"/>
            <w:vAlign w:val="bottom"/>
          </w:tcPr>
          <w:p w14:paraId="29AE869F" w14:textId="77777777" w:rsidR="00F6722F" w:rsidRPr="00F6722F" w:rsidRDefault="00F6722F" w:rsidP="00F6722F">
            <w:pPr>
              <w:tabs>
                <w:tab w:val="right" w:pos="1202"/>
              </w:tabs>
              <w:spacing w:after="0" w:line="240" w:lineRule="exact"/>
              <w:jc w:val="right"/>
              <w:outlineLvl w:val="0"/>
              <w:rPr>
                <w:rFonts w:ascii="Calibri" w:eastAsia="Calibri" w:hAnsi="Calibri" w:cs="Arial"/>
                <w:b/>
                <w:spacing w:val="-2"/>
                <w:sz w:val="18"/>
                <w:szCs w:val="18"/>
                <w:lang w:val="en-US"/>
              </w:rPr>
            </w:pPr>
            <w:r w:rsidRPr="00F6722F">
              <w:rPr>
                <w:rFonts w:ascii="Calibri" w:eastAsia="Times New Roman" w:hAnsi="Calibri" w:cs="Times New Roman"/>
                <w:b/>
                <w:bCs/>
                <w:color w:val="000000"/>
                <w:sz w:val="18"/>
                <w:szCs w:val="18"/>
                <w:lang w:val="en-US"/>
              </w:rPr>
              <w:t xml:space="preserve">1,984,305 </w:t>
            </w:r>
          </w:p>
        </w:tc>
        <w:tc>
          <w:tcPr>
            <w:tcW w:w="541" w:type="pct"/>
            <w:tcBorders>
              <w:top w:val="single" w:sz="8" w:space="0" w:color="auto"/>
              <w:left w:val="nil"/>
              <w:bottom w:val="single" w:sz="8" w:space="0" w:color="auto"/>
              <w:right w:val="nil"/>
            </w:tcBorders>
            <w:shd w:val="clear" w:color="auto" w:fill="auto"/>
            <w:vAlign w:val="bottom"/>
          </w:tcPr>
          <w:p w14:paraId="276F55AF" w14:textId="77777777" w:rsidR="00F6722F" w:rsidRPr="00F6722F" w:rsidRDefault="00F6722F" w:rsidP="00F6722F">
            <w:pPr>
              <w:tabs>
                <w:tab w:val="right" w:pos="1202"/>
              </w:tabs>
              <w:spacing w:after="0" w:line="240" w:lineRule="exact"/>
              <w:jc w:val="right"/>
              <w:outlineLvl w:val="0"/>
              <w:rPr>
                <w:rFonts w:ascii="Calibri" w:eastAsia="Calibri" w:hAnsi="Calibri" w:cs="Arial"/>
                <w:b/>
                <w:spacing w:val="-2"/>
                <w:sz w:val="18"/>
                <w:szCs w:val="18"/>
                <w:lang w:val="en-US"/>
              </w:rPr>
            </w:pPr>
            <w:r w:rsidRPr="00F6722F">
              <w:rPr>
                <w:rFonts w:ascii="Calibri" w:eastAsia="Times New Roman" w:hAnsi="Calibri" w:cs="Times New Roman"/>
                <w:b/>
                <w:bCs/>
                <w:color w:val="000000"/>
                <w:sz w:val="18"/>
                <w:szCs w:val="18"/>
                <w:lang w:val="en-US"/>
              </w:rPr>
              <w:t xml:space="preserve"> 5,979,606 </w:t>
            </w:r>
          </w:p>
        </w:tc>
        <w:tc>
          <w:tcPr>
            <w:tcW w:w="542" w:type="pct"/>
            <w:tcBorders>
              <w:top w:val="single" w:sz="8" w:space="0" w:color="auto"/>
              <w:left w:val="nil"/>
              <w:bottom w:val="single" w:sz="8" w:space="0" w:color="auto"/>
              <w:right w:val="nil"/>
            </w:tcBorders>
            <w:shd w:val="clear" w:color="auto" w:fill="auto"/>
            <w:vAlign w:val="bottom"/>
          </w:tcPr>
          <w:p w14:paraId="7536DED5" w14:textId="77777777" w:rsidR="00F6722F" w:rsidRPr="00F6722F" w:rsidRDefault="00F6722F" w:rsidP="00F6722F">
            <w:pPr>
              <w:tabs>
                <w:tab w:val="right" w:pos="1202"/>
              </w:tabs>
              <w:spacing w:after="0" w:line="240" w:lineRule="exact"/>
              <w:jc w:val="right"/>
              <w:outlineLvl w:val="0"/>
              <w:rPr>
                <w:rFonts w:ascii="Calibri" w:eastAsia="Calibri" w:hAnsi="Calibri" w:cs="Arial"/>
                <w:b/>
                <w:spacing w:val="-2"/>
                <w:sz w:val="18"/>
                <w:szCs w:val="18"/>
                <w:lang w:val="en-US"/>
              </w:rPr>
            </w:pPr>
            <w:r w:rsidRPr="00F6722F">
              <w:rPr>
                <w:rFonts w:ascii="Calibri" w:eastAsia="Times New Roman" w:hAnsi="Calibri" w:cs="Times New Roman"/>
                <w:b/>
                <w:bCs/>
                <w:color w:val="000000"/>
                <w:sz w:val="18"/>
                <w:szCs w:val="18"/>
                <w:lang w:val="en-US"/>
              </w:rPr>
              <w:t xml:space="preserve"> 8,154,787 </w:t>
            </w:r>
          </w:p>
        </w:tc>
        <w:tc>
          <w:tcPr>
            <w:tcW w:w="529" w:type="pct"/>
            <w:tcBorders>
              <w:top w:val="single" w:sz="8" w:space="0" w:color="auto"/>
              <w:left w:val="nil"/>
              <w:bottom w:val="single" w:sz="8" w:space="0" w:color="auto"/>
              <w:right w:val="nil"/>
            </w:tcBorders>
            <w:shd w:val="clear" w:color="auto" w:fill="auto"/>
            <w:vAlign w:val="bottom"/>
          </w:tcPr>
          <w:p w14:paraId="550F7D6D" w14:textId="77777777" w:rsidR="00F6722F" w:rsidRPr="00F6722F" w:rsidRDefault="00F6722F" w:rsidP="00F6722F">
            <w:pPr>
              <w:tabs>
                <w:tab w:val="right" w:pos="1202"/>
              </w:tabs>
              <w:spacing w:after="0" w:line="240" w:lineRule="exact"/>
              <w:jc w:val="right"/>
              <w:outlineLvl w:val="0"/>
              <w:rPr>
                <w:rFonts w:ascii="Calibri" w:eastAsia="Calibri" w:hAnsi="Calibri" w:cs="Arial"/>
                <w:b/>
                <w:spacing w:val="-2"/>
                <w:sz w:val="18"/>
                <w:szCs w:val="18"/>
                <w:lang w:val="en-US"/>
              </w:rPr>
            </w:pPr>
            <w:r w:rsidRPr="00F6722F">
              <w:rPr>
                <w:rFonts w:ascii="Calibri" w:eastAsia="Times New Roman" w:hAnsi="Calibri" w:cs="Times New Roman"/>
                <w:b/>
                <w:bCs/>
                <w:color w:val="000000"/>
                <w:sz w:val="18"/>
                <w:szCs w:val="18"/>
                <w:lang w:val="en-US"/>
              </w:rPr>
              <w:t xml:space="preserve">17,701,577 </w:t>
            </w:r>
          </w:p>
        </w:tc>
      </w:tr>
      <w:tr w:rsidR="00F6722F" w:rsidRPr="00F6722F" w14:paraId="1613D225" w14:textId="77777777" w:rsidTr="00E44437">
        <w:trPr>
          <w:trHeight w:hRule="exact" w:val="407"/>
        </w:trPr>
        <w:tc>
          <w:tcPr>
            <w:tcW w:w="1767" w:type="pct"/>
            <w:vAlign w:val="bottom"/>
          </w:tcPr>
          <w:p w14:paraId="44BC5704" w14:textId="77777777" w:rsidR="00F6722F" w:rsidRPr="00F6722F" w:rsidRDefault="00F6722F" w:rsidP="00F6722F">
            <w:pPr>
              <w:tabs>
                <w:tab w:val="right" w:pos="1202"/>
              </w:tabs>
              <w:spacing w:after="0" w:line="200" w:lineRule="exact"/>
              <w:outlineLvl w:val="0"/>
              <w:rPr>
                <w:rFonts w:ascii="Calibri" w:eastAsia="Times New Roman" w:hAnsi="Calibri" w:cs="Arial"/>
                <w:b/>
                <w:bCs/>
                <w:spacing w:val="-2"/>
                <w:sz w:val="18"/>
                <w:szCs w:val="18"/>
                <w:lang w:val="en-US"/>
              </w:rPr>
            </w:pPr>
            <w:r w:rsidRPr="00F6722F">
              <w:rPr>
                <w:rFonts w:ascii="Calibri" w:eastAsia="Times New Roman" w:hAnsi="Calibri" w:cs="Arial"/>
                <w:b/>
                <w:bCs/>
                <w:spacing w:val="-2"/>
                <w:sz w:val="18"/>
                <w:szCs w:val="18"/>
                <w:lang w:val="en-US"/>
              </w:rPr>
              <w:t>Liquidity gap</w:t>
            </w:r>
          </w:p>
        </w:tc>
        <w:tc>
          <w:tcPr>
            <w:tcW w:w="538" w:type="pct"/>
            <w:tcBorders>
              <w:top w:val="single" w:sz="4" w:space="0" w:color="auto"/>
              <w:left w:val="nil"/>
              <w:bottom w:val="single" w:sz="8" w:space="0" w:color="auto"/>
              <w:right w:val="nil"/>
            </w:tcBorders>
            <w:shd w:val="clear" w:color="auto" w:fill="auto"/>
            <w:vAlign w:val="bottom"/>
          </w:tcPr>
          <w:p w14:paraId="086308C0" w14:textId="77777777" w:rsidR="00F6722F" w:rsidRPr="00F6722F" w:rsidRDefault="00F6722F" w:rsidP="00F6722F">
            <w:pPr>
              <w:tabs>
                <w:tab w:val="right" w:pos="1202"/>
              </w:tabs>
              <w:spacing w:after="0" w:line="240" w:lineRule="exact"/>
              <w:jc w:val="right"/>
              <w:outlineLvl w:val="0"/>
              <w:rPr>
                <w:rFonts w:ascii="Calibri" w:eastAsia="Calibri" w:hAnsi="Calibri" w:cs="Arial"/>
                <w:b/>
                <w:spacing w:val="-2"/>
                <w:sz w:val="18"/>
                <w:szCs w:val="18"/>
                <w:lang w:val="en-US"/>
              </w:rPr>
            </w:pPr>
            <w:r w:rsidRPr="00F6722F">
              <w:rPr>
                <w:rFonts w:ascii="Calibri" w:eastAsia="Times New Roman" w:hAnsi="Calibri" w:cs="Times New Roman"/>
                <w:b/>
                <w:bCs/>
                <w:color w:val="000000"/>
                <w:sz w:val="18"/>
                <w:szCs w:val="18"/>
                <w:lang w:val="en-US"/>
              </w:rPr>
              <w:t xml:space="preserve"> 5,968,520 </w:t>
            </w:r>
          </w:p>
        </w:tc>
        <w:tc>
          <w:tcPr>
            <w:tcW w:w="541" w:type="pct"/>
            <w:tcBorders>
              <w:top w:val="single" w:sz="4" w:space="0" w:color="auto"/>
              <w:left w:val="nil"/>
              <w:bottom w:val="single" w:sz="8" w:space="0" w:color="auto"/>
              <w:right w:val="nil"/>
            </w:tcBorders>
            <w:shd w:val="clear" w:color="auto" w:fill="auto"/>
            <w:vAlign w:val="bottom"/>
          </w:tcPr>
          <w:p w14:paraId="5A536E7D" w14:textId="77777777" w:rsidR="00F6722F" w:rsidRPr="00F6722F" w:rsidRDefault="00F6722F" w:rsidP="00F6722F">
            <w:pPr>
              <w:tabs>
                <w:tab w:val="right" w:pos="1202"/>
              </w:tabs>
              <w:spacing w:after="0" w:line="240" w:lineRule="exact"/>
              <w:jc w:val="right"/>
              <w:outlineLvl w:val="0"/>
              <w:rPr>
                <w:rFonts w:ascii="Calibri" w:eastAsia="Calibri" w:hAnsi="Calibri" w:cs="Arial"/>
                <w:b/>
                <w:spacing w:val="-2"/>
                <w:sz w:val="18"/>
                <w:szCs w:val="18"/>
                <w:lang w:val="en-US"/>
              </w:rPr>
            </w:pPr>
            <w:r w:rsidRPr="00F6722F">
              <w:rPr>
                <w:rFonts w:ascii="Calibri" w:eastAsia="Times New Roman" w:hAnsi="Calibri" w:cs="Times New Roman"/>
                <w:b/>
                <w:bCs/>
                <w:color w:val="000000"/>
                <w:sz w:val="18"/>
                <w:szCs w:val="18"/>
                <w:lang w:val="en-US"/>
              </w:rPr>
              <w:t xml:space="preserve">169,650 </w:t>
            </w:r>
          </w:p>
        </w:tc>
        <w:tc>
          <w:tcPr>
            <w:tcW w:w="542" w:type="pct"/>
            <w:tcBorders>
              <w:top w:val="single" w:sz="4" w:space="0" w:color="auto"/>
              <w:left w:val="nil"/>
              <w:bottom w:val="single" w:sz="8" w:space="0" w:color="auto"/>
              <w:right w:val="nil"/>
            </w:tcBorders>
            <w:shd w:val="clear" w:color="auto" w:fill="auto"/>
            <w:vAlign w:val="bottom"/>
          </w:tcPr>
          <w:p w14:paraId="4DC288DA" w14:textId="77777777" w:rsidR="00F6722F" w:rsidRPr="00F6722F" w:rsidRDefault="00F6722F" w:rsidP="00F6722F">
            <w:pPr>
              <w:tabs>
                <w:tab w:val="right" w:pos="1202"/>
              </w:tabs>
              <w:spacing w:after="0" w:line="240" w:lineRule="exact"/>
              <w:jc w:val="right"/>
              <w:outlineLvl w:val="0"/>
              <w:rPr>
                <w:rFonts w:ascii="Calibri" w:eastAsia="Calibri" w:hAnsi="Calibri" w:cs="Arial"/>
                <w:b/>
                <w:spacing w:val="-2"/>
                <w:sz w:val="18"/>
                <w:szCs w:val="18"/>
                <w:lang w:val="en-US"/>
              </w:rPr>
            </w:pPr>
            <w:r w:rsidRPr="00F6722F">
              <w:rPr>
                <w:rFonts w:ascii="Calibri" w:eastAsia="Times New Roman" w:hAnsi="Calibri" w:cs="Times New Roman"/>
                <w:b/>
                <w:bCs/>
                <w:color w:val="000000"/>
                <w:sz w:val="18"/>
                <w:szCs w:val="18"/>
                <w:lang w:val="en-US"/>
              </w:rPr>
              <w:t xml:space="preserve"> (31,850) </w:t>
            </w:r>
          </w:p>
        </w:tc>
        <w:tc>
          <w:tcPr>
            <w:tcW w:w="541" w:type="pct"/>
            <w:tcBorders>
              <w:top w:val="single" w:sz="4" w:space="0" w:color="auto"/>
              <w:left w:val="nil"/>
              <w:bottom w:val="single" w:sz="8" w:space="0" w:color="auto"/>
              <w:right w:val="nil"/>
            </w:tcBorders>
            <w:shd w:val="clear" w:color="auto" w:fill="auto"/>
            <w:vAlign w:val="bottom"/>
          </w:tcPr>
          <w:p w14:paraId="3B08EC10" w14:textId="77777777" w:rsidR="00F6722F" w:rsidRPr="00F6722F" w:rsidRDefault="00F6722F" w:rsidP="00F6722F">
            <w:pPr>
              <w:tabs>
                <w:tab w:val="right" w:pos="1202"/>
              </w:tabs>
              <w:spacing w:after="0" w:line="240" w:lineRule="exact"/>
              <w:jc w:val="right"/>
              <w:outlineLvl w:val="0"/>
              <w:rPr>
                <w:rFonts w:ascii="Calibri" w:eastAsia="Calibri" w:hAnsi="Calibri" w:cs="Arial"/>
                <w:b/>
                <w:spacing w:val="-2"/>
                <w:sz w:val="18"/>
                <w:szCs w:val="18"/>
                <w:lang w:val="en-US"/>
              </w:rPr>
            </w:pPr>
            <w:r w:rsidRPr="00F6722F">
              <w:rPr>
                <w:rFonts w:ascii="Calibri" w:eastAsia="Times New Roman" w:hAnsi="Calibri" w:cs="Times New Roman"/>
                <w:b/>
                <w:bCs/>
                <w:color w:val="000000"/>
                <w:sz w:val="18"/>
                <w:szCs w:val="18"/>
                <w:lang w:val="en-US"/>
              </w:rPr>
              <w:t xml:space="preserve"> (841,400)</w:t>
            </w:r>
          </w:p>
        </w:tc>
        <w:tc>
          <w:tcPr>
            <w:tcW w:w="542" w:type="pct"/>
            <w:tcBorders>
              <w:top w:val="single" w:sz="4" w:space="0" w:color="auto"/>
              <w:left w:val="nil"/>
              <w:bottom w:val="single" w:sz="8" w:space="0" w:color="auto"/>
              <w:right w:val="nil"/>
            </w:tcBorders>
            <w:shd w:val="clear" w:color="auto" w:fill="auto"/>
            <w:vAlign w:val="bottom"/>
          </w:tcPr>
          <w:p w14:paraId="6054E59F" w14:textId="77777777" w:rsidR="00F6722F" w:rsidRPr="00F6722F" w:rsidRDefault="00F6722F" w:rsidP="00F6722F">
            <w:pPr>
              <w:tabs>
                <w:tab w:val="right" w:pos="1202"/>
              </w:tabs>
              <w:spacing w:after="0" w:line="240" w:lineRule="exact"/>
              <w:jc w:val="right"/>
              <w:outlineLvl w:val="0"/>
              <w:rPr>
                <w:rFonts w:ascii="Calibri" w:eastAsia="Calibri" w:hAnsi="Calibri" w:cs="Arial"/>
                <w:b/>
                <w:spacing w:val="-2"/>
                <w:sz w:val="18"/>
                <w:szCs w:val="18"/>
                <w:lang w:val="en-US"/>
              </w:rPr>
            </w:pPr>
            <w:r w:rsidRPr="00F6722F">
              <w:rPr>
                <w:rFonts w:ascii="Calibri" w:eastAsia="Times New Roman" w:hAnsi="Calibri" w:cs="Times New Roman"/>
                <w:b/>
                <w:bCs/>
                <w:color w:val="000000"/>
                <w:sz w:val="18"/>
                <w:szCs w:val="18"/>
                <w:lang w:val="en-US"/>
              </w:rPr>
              <w:t xml:space="preserve">5,311,865 </w:t>
            </w:r>
          </w:p>
        </w:tc>
        <w:tc>
          <w:tcPr>
            <w:tcW w:w="529" w:type="pct"/>
            <w:tcBorders>
              <w:top w:val="single" w:sz="4" w:space="0" w:color="auto"/>
              <w:left w:val="nil"/>
              <w:bottom w:val="single" w:sz="8" w:space="0" w:color="auto"/>
              <w:right w:val="nil"/>
            </w:tcBorders>
            <w:shd w:val="clear" w:color="auto" w:fill="auto"/>
            <w:vAlign w:val="bottom"/>
          </w:tcPr>
          <w:p w14:paraId="33F9ED5D" w14:textId="77777777" w:rsidR="00F6722F" w:rsidRPr="00F6722F" w:rsidRDefault="00F6722F" w:rsidP="00F6722F">
            <w:pPr>
              <w:tabs>
                <w:tab w:val="right" w:pos="1202"/>
              </w:tabs>
              <w:spacing w:after="0" w:line="240" w:lineRule="exact"/>
              <w:jc w:val="right"/>
              <w:outlineLvl w:val="0"/>
              <w:rPr>
                <w:rFonts w:ascii="Calibri" w:eastAsia="Calibri" w:hAnsi="Calibri" w:cs="Arial"/>
                <w:b/>
                <w:spacing w:val="-2"/>
                <w:sz w:val="18"/>
                <w:szCs w:val="18"/>
                <w:lang w:val="en-US"/>
              </w:rPr>
            </w:pPr>
            <w:r w:rsidRPr="00F6722F">
              <w:rPr>
                <w:rFonts w:ascii="Calibri" w:eastAsia="Times New Roman" w:hAnsi="Calibri" w:cs="Times New Roman"/>
                <w:b/>
                <w:bCs/>
                <w:color w:val="000000"/>
                <w:sz w:val="18"/>
                <w:szCs w:val="18"/>
                <w:lang w:val="en-US"/>
              </w:rPr>
              <w:t xml:space="preserve">10,576,785 </w:t>
            </w:r>
          </w:p>
        </w:tc>
      </w:tr>
      <w:tr w:rsidR="00F6722F" w:rsidRPr="00F6722F" w14:paraId="518DCF87" w14:textId="77777777" w:rsidTr="00E44437">
        <w:trPr>
          <w:trHeight w:hRule="exact" w:val="270"/>
        </w:trPr>
        <w:tc>
          <w:tcPr>
            <w:tcW w:w="1767" w:type="pct"/>
            <w:vAlign w:val="bottom"/>
          </w:tcPr>
          <w:p w14:paraId="11718240" w14:textId="77777777" w:rsidR="00F6722F" w:rsidRPr="00F6722F" w:rsidRDefault="00F6722F" w:rsidP="00F6722F">
            <w:pPr>
              <w:tabs>
                <w:tab w:val="right" w:pos="1202"/>
              </w:tabs>
              <w:spacing w:after="0" w:line="200" w:lineRule="exact"/>
              <w:outlineLvl w:val="0"/>
              <w:rPr>
                <w:rFonts w:ascii="Calibri" w:eastAsia="Times New Roman" w:hAnsi="Calibri" w:cs="Arial"/>
                <w:b/>
                <w:bCs/>
                <w:spacing w:val="-2"/>
                <w:sz w:val="18"/>
                <w:szCs w:val="18"/>
                <w:lang w:val="en-US"/>
              </w:rPr>
            </w:pPr>
          </w:p>
        </w:tc>
        <w:tc>
          <w:tcPr>
            <w:tcW w:w="538" w:type="pct"/>
            <w:tcBorders>
              <w:top w:val="single" w:sz="12" w:space="0" w:color="auto"/>
              <w:left w:val="nil"/>
              <w:right w:val="nil"/>
            </w:tcBorders>
            <w:shd w:val="clear" w:color="auto" w:fill="auto"/>
            <w:vAlign w:val="bottom"/>
          </w:tcPr>
          <w:p w14:paraId="4A9E9C8D"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single" w:sz="12" w:space="0" w:color="auto"/>
              <w:left w:val="nil"/>
              <w:right w:val="nil"/>
            </w:tcBorders>
            <w:shd w:val="clear" w:color="auto" w:fill="auto"/>
            <w:vAlign w:val="bottom"/>
          </w:tcPr>
          <w:p w14:paraId="41E8BC1E"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single" w:sz="12" w:space="0" w:color="auto"/>
              <w:left w:val="nil"/>
              <w:right w:val="nil"/>
            </w:tcBorders>
            <w:shd w:val="clear" w:color="auto" w:fill="auto"/>
            <w:vAlign w:val="bottom"/>
          </w:tcPr>
          <w:p w14:paraId="18859E26"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single" w:sz="12" w:space="0" w:color="auto"/>
              <w:left w:val="nil"/>
              <w:right w:val="nil"/>
            </w:tcBorders>
            <w:shd w:val="clear" w:color="auto" w:fill="auto"/>
            <w:vAlign w:val="bottom"/>
          </w:tcPr>
          <w:p w14:paraId="5910C3B6"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single" w:sz="12" w:space="0" w:color="auto"/>
              <w:left w:val="nil"/>
              <w:right w:val="nil"/>
            </w:tcBorders>
            <w:shd w:val="clear" w:color="auto" w:fill="auto"/>
            <w:vAlign w:val="bottom"/>
          </w:tcPr>
          <w:p w14:paraId="733107E3"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29" w:type="pct"/>
            <w:tcBorders>
              <w:top w:val="single" w:sz="12" w:space="0" w:color="auto"/>
              <w:left w:val="nil"/>
              <w:right w:val="nil"/>
            </w:tcBorders>
            <w:shd w:val="clear" w:color="auto" w:fill="auto"/>
            <w:vAlign w:val="bottom"/>
          </w:tcPr>
          <w:p w14:paraId="3B088973"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F6722F" w:rsidRPr="00F6722F" w14:paraId="793C07EA" w14:textId="77777777" w:rsidTr="00E44437">
        <w:trPr>
          <w:trHeight w:hRule="exact" w:val="270"/>
        </w:trPr>
        <w:tc>
          <w:tcPr>
            <w:tcW w:w="1767" w:type="pct"/>
            <w:vAlign w:val="bottom"/>
          </w:tcPr>
          <w:p w14:paraId="485F4436" w14:textId="77777777" w:rsidR="00F6722F" w:rsidRPr="00F6722F" w:rsidRDefault="00F6722F" w:rsidP="00F6722F">
            <w:pPr>
              <w:tabs>
                <w:tab w:val="right" w:pos="1202"/>
              </w:tabs>
              <w:spacing w:after="0" w:line="200" w:lineRule="exact"/>
              <w:outlineLvl w:val="0"/>
              <w:rPr>
                <w:rFonts w:ascii="Calibri" w:eastAsia="Times New Roman" w:hAnsi="Calibri" w:cs="Arial"/>
                <w:b/>
                <w:bCs/>
                <w:spacing w:val="-2"/>
                <w:sz w:val="18"/>
                <w:szCs w:val="18"/>
                <w:lang w:val="en-US"/>
              </w:rPr>
            </w:pPr>
            <w:r w:rsidRPr="00F6722F">
              <w:rPr>
                <w:rFonts w:ascii="Calibri" w:eastAsia="Times New Roman" w:hAnsi="Calibri" w:cs="Arial"/>
                <w:b/>
                <w:bCs/>
                <w:spacing w:val="-2"/>
                <w:sz w:val="18"/>
                <w:szCs w:val="18"/>
                <w:lang w:val="en-US"/>
              </w:rPr>
              <w:t>Guarantees and commitments</w:t>
            </w:r>
          </w:p>
        </w:tc>
        <w:tc>
          <w:tcPr>
            <w:tcW w:w="538" w:type="pct"/>
            <w:tcBorders>
              <w:top w:val="nil"/>
              <w:left w:val="nil"/>
              <w:bottom w:val="nil"/>
              <w:right w:val="nil"/>
            </w:tcBorders>
            <w:shd w:val="clear" w:color="auto" w:fill="auto"/>
            <w:vAlign w:val="bottom"/>
          </w:tcPr>
          <w:p w14:paraId="09C8A11D"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nil"/>
              <w:left w:val="nil"/>
              <w:bottom w:val="nil"/>
              <w:right w:val="nil"/>
            </w:tcBorders>
            <w:shd w:val="clear" w:color="auto" w:fill="auto"/>
            <w:vAlign w:val="bottom"/>
          </w:tcPr>
          <w:p w14:paraId="70D992AD"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nil"/>
              <w:left w:val="nil"/>
              <w:bottom w:val="nil"/>
              <w:right w:val="nil"/>
            </w:tcBorders>
            <w:shd w:val="clear" w:color="auto" w:fill="auto"/>
            <w:vAlign w:val="bottom"/>
          </w:tcPr>
          <w:p w14:paraId="65DCD914"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nil"/>
              <w:left w:val="nil"/>
              <w:bottom w:val="nil"/>
              <w:right w:val="nil"/>
            </w:tcBorders>
            <w:shd w:val="clear" w:color="auto" w:fill="auto"/>
            <w:vAlign w:val="bottom"/>
          </w:tcPr>
          <w:p w14:paraId="6480B333"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nil"/>
              <w:left w:val="nil"/>
              <w:bottom w:val="nil"/>
              <w:right w:val="nil"/>
            </w:tcBorders>
            <w:shd w:val="clear" w:color="auto" w:fill="auto"/>
            <w:vAlign w:val="bottom"/>
          </w:tcPr>
          <w:p w14:paraId="38678AB0"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29" w:type="pct"/>
            <w:tcBorders>
              <w:top w:val="nil"/>
              <w:left w:val="nil"/>
              <w:bottom w:val="nil"/>
              <w:right w:val="nil"/>
            </w:tcBorders>
            <w:shd w:val="clear" w:color="auto" w:fill="auto"/>
            <w:vAlign w:val="bottom"/>
          </w:tcPr>
          <w:p w14:paraId="77404FA3"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F6722F" w:rsidRPr="00F6722F" w14:paraId="7ED687D9" w14:textId="77777777" w:rsidTr="00E44437">
        <w:trPr>
          <w:trHeight w:hRule="exact" w:val="270"/>
        </w:trPr>
        <w:tc>
          <w:tcPr>
            <w:tcW w:w="1767" w:type="pct"/>
            <w:vAlign w:val="bottom"/>
          </w:tcPr>
          <w:p w14:paraId="0F0884D6" w14:textId="77777777" w:rsidR="00F6722F" w:rsidRPr="00F6722F" w:rsidRDefault="00F6722F" w:rsidP="00F6722F">
            <w:pPr>
              <w:tabs>
                <w:tab w:val="right" w:pos="1202"/>
              </w:tabs>
              <w:spacing w:after="0" w:line="200" w:lineRule="exact"/>
              <w:outlineLvl w:val="0"/>
              <w:rPr>
                <w:rFonts w:ascii="Calibri" w:eastAsia="Times New Roman" w:hAnsi="Calibri" w:cs="Arial"/>
                <w:spacing w:val="-2"/>
                <w:sz w:val="18"/>
                <w:szCs w:val="18"/>
                <w:lang w:val="en-US"/>
              </w:rPr>
            </w:pPr>
            <w:r w:rsidRPr="00F6722F">
              <w:rPr>
                <w:rFonts w:ascii="Calibri" w:eastAsia="Times New Roman" w:hAnsi="Calibri" w:cs="Arial"/>
                <w:spacing w:val="-2"/>
                <w:sz w:val="18"/>
                <w:szCs w:val="18"/>
                <w:lang w:val="en-US"/>
              </w:rPr>
              <w:t>Guarantees issued in HRK</w:t>
            </w:r>
          </w:p>
        </w:tc>
        <w:tc>
          <w:tcPr>
            <w:tcW w:w="538" w:type="pct"/>
            <w:tcBorders>
              <w:top w:val="nil"/>
              <w:left w:val="nil"/>
              <w:bottom w:val="nil"/>
              <w:right w:val="nil"/>
            </w:tcBorders>
            <w:shd w:val="clear" w:color="auto" w:fill="auto"/>
            <w:vAlign w:val="bottom"/>
          </w:tcPr>
          <w:p w14:paraId="54DCBDB6"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6722F">
              <w:rPr>
                <w:rFonts w:ascii="Calibri" w:eastAsia="Times New Roman" w:hAnsi="Calibri" w:cs="Times New Roman"/>
                <w:color w:val="000000"/>
                <w:sz w:val="18"/>
                <w:szCs w:val="18"/>
                <w:lang w:val="en-US"/>
              </w:rPr>
              <w:t xml:space="preserve"> 170,555 </w:t>
            </w:r>
          </w:p>
        </w:tc>
        <w:tc>
          <w:tcPr>
            <w:tcW w:w="541" w:type="pct"/>
            <w:tcBorders>
              <w:top w:val="nil"/>
              <w:left w:val="nil"/>
              <w:bottom w:val="nil"/>
              <w:right w:val="nil"/>
            </w:tcBorders>
            <w:shd w:val="clear" w:color="auto" w:fill="auto"/>
            <w:vAlign w:val="bottom"/>
          </w:tcPr>
          <w:p w14:paraId="3366E342"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6722F">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0D292349"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6722F">
              <w:rPr>
                <w:rFonts w:ascii="Calibri" w:eastAsia="Times New Roman" w:hAnsi="Calibri" w:cs="Times New Roman"/>
                <w:color w:val="000000"/>
                <w:sz w:val="18"/>
                <w:szCs w:val="18"/>
                <w:lang w:val="en-US"/>
              </w:rPr>
              <w:t xml:space="preserve"> - </w:t>
            </w:r>
          </w:p>
        </w:tc>
        <w:tc>
          <w:tcPr>
            <w:tcW w:w="541" w:type="pct"/>
            <w:tcBorders>
              <w:top w:val="nil"/>
              <w:left w:val="nil"/>
              <w:bottom w:val="nil"/>
              <w:right w:val="nil"/>
            </w:tcBorders>
            <w:shd w:val="clear" w:color="auto" w:fill="auto"/>
            <w:vAlign w:val="bottom"/>
          </w:tcPr>
          <w:p w14:paraId="7E3B65DB"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6722F">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47BF878E"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6722F">
              <w:rPr>
                <w:rFonts w:ascii="Calibri" w:eastAsia="Times New Roman" w:hAnsi="Calibri" w:cs="Times New Roman"/>
                <w:color w:val="000000"/>
                <w:sz w:val="18"/>
                <w:szCs w:val="18"/>
                <w:lang w:val="en-US"/>
              </w:rPr>
              <w:t xml:space="preserve"> - </w:t>
            </w:r>
          </w:p>
        </w:tc>
        <w:tc>
          <w:tcPr>
            <w:tcW w:w="529" w:type="pct"/>
            <w:tcBorders>
              <w:top w:val="nil"/>
              <w:left w:val="nil"/>
              <w:bottom w:val="nil"/>
              <w:right w:val="nil"/>
            </w:tcBorders>
            <w:shd w:val="clear" w:color="auto" w:fill="auto"/>
            <w:vAlign w:val="bottom"/>
          </w:tcPr>
          <w:p w14:paraId="19C03C50"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6722F">
              <w:rPr>
                <w:rFonts w:ascii="Calibri" w:eastAsia="Times New Roman" w:hAnsi="Calibri" w:cs="Times New Roman"/>
                <w:color w:val="000000"/>
                <w:sz w:val="18"/>
                <w:szCs w:val="18"/>
                <w:lang w:val="en-US"/>
              </w:rPr>
              <w:t>170,555</w:t>
            </w:r>
          </w:p>
        </w:tc>
      </w:tr>
      <w:tr w:rsidR="00F6722F" w:rsidRPr="00F6722F" w14:paraId="0B2A230C" w14:textId="77777777" w:rsidTr="00E44437">
        <w:trPr>
          <w:trHeight w:hRule="exact" w:val="270"/>
        </w:trPr>
        <w:tc>
          <w:tcPr>
            <w:tcW w:w="1767" w:type="pct"/>
            <w:vAlign w:val="bottom"/>
          </w:tcPr>
          <w:p w14:paraId="07269848" w14:textId="77777777" w:rsidR="00F6722F" w:rsidRPr="00F6722F" w:rsidRDefault="00F6722F" w:rsidP="00F6722F">
            <w:pPr>
              <w:tabs>
                <w:tab w:val="right" w:pos="1202"/>
              </w:tabs>
              <w:spacing w:after="0" w:line="200" w:lineRule="exact"/>
              <w:outlineLvl w:val="0"/>
              <w:rPr>
                <w:rFonts w:ascii="Calibri" w:eastAsia="Times New Roman" w:hAnsi="Calibri" w:cs="Arial"/>
                <w:spacing w:val="-2"/>
                <w:sz w:val="18"/>
                <w:szCs w:val="18"/>
                <w:lang w:val="en-US"/>
              </w:rPr>
            </w:pPr>
            <w:r w:rsidRPr="00F6722F">
              <w:rPr>
                <w:rFonts w:ascii="Calibri" w:eastAsia="Times New Roman" w:hAnsi="Calibri" w:cs="Arial"/>
                <w:spacing w:val="-2"/>
                <w:sz w:val="18"/>
                <w:szCs w:val="18"/>
                <w:lang w:val="en-US"/>
              </w:rPr>
              <w:t>Issued guarantees in foreign currency</w:t>
            </w:r>
          </w:p>
        </w:tc>
        <w:tc>
          <w:tcPr>
            <w:tcW w:w="538" w:type="pct"/>
            <w:tcBorders>
              <w:top w:val="nil"/>
              <w:left w:val="nil"/>
              <w:bottom w:val="nil"/>
              <w:right w:val="nil"/>
            </w:tcBorders>
            <w:shd w:val="clear" w:color="auto" w:fill="auto"/>
            <w:vAlign w:val="bottom"/>
          </w:tcPr>
          <w:p w14:paraId="6EACACCA"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6722F">
              <w:rPr>
                <w:rFonts w:ascii="Calibri" w:eastAsia="Times New Roman" w:hAnsi="Calibri" w:cs="Times New Roman"/>
                <w:color w:val="000000"/>
                <w:sz w:val="18"/>
                <w:szCs w:val="18"/>
                <w:lang w:val="en-US"/>
              </w:rPr>
              <w:t xml:space="preserve"> 325,103 </w:t>
            </w:r>
          </w:p>
        </w:tc>
        <w:tc>
          <w:tcPr>
            <w:tcW w:w="541" w:type="pct"/>
            <w:tcBorders>
              <w:top w:val="nil"/>
              <w:left w:val="nil"/>
              <w:bottom w:val="nil"/>
              <w:right w:val="nil"/>
            </w:tcBorders>
            <w:shd w:val="clear" w:color="auto" w:fill="auto"/>
            <w:vAlign w:val="bottom"/>
          </w:tcPr>
          <w:p w14:paraId="716DA8C8"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6722F">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16F0F3F9"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6722F">
              <w:rPr>
                <w:rFonts w:ascii="Calibri" w:eastAsia="Times New Roman" w:hAnsi="Calibri" w:cs="Times New Roman"/>
                <w:color w:val="000000"/>
                <w:sz w:val="18"/>
                <w:szCs w:val="18"/>
                <w:lang w:val="en-US"/>
              </w:rPr>
              <w:t xml:space="preserve"> - </w:t>
            </w:r>
          </w:p>
        </w:tc>
        <w:tc>
          <w:tcPr>
            <w:tcW w:w="541" w:type="pct"/>
            <w:tcBorders>
              <w:top w:val="nil"/>
              <w:left w:val="nil"/>
              <w:bottom w:val="nil"/>
              <w:right w:val="nil"/>
            </w:tcBorders>
            <w:shd w:val="clear" w:color="auto" w:fill="auto"/>
            <w:vAlign w:val="bottom"/>
          </w:tcPr>
          <w:p w14:paraId="34CC5FEA"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6722F">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1F88604A"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6722F">
              <w:rPr>
                <w:rFonts w:ascii="Calibri" w:eastAsia="Times New Roman" w:hAnsi="Calibri" w:cs="Times New Roman"/>
                <w:color w:val="000000"/>
                <w:sz w:val="18"/>
                <w:szCs w:val="18"/>
                <w:lang w:val="en-US"/>
              </w:rPr>
              <w:t xml:space="preserve"> - </w:t>
            </w:r>
          </w:p>
        </w:tc>
        <w:tc>
          <w:tcPr>
            <w:tcW w:w="529" w:type="pct"/>
            <w:tcBorders>
              <w:top w:val="nil"/>
              <w:left w:val="nil"/>
              <w:bottom w:val="nil"/>
              <w:right w:val="nil"/>
            </w:tcBorders>
            <w:shd w:val="clear" w:color="auto" w:fill="auto"/>
            <w:vAlign w:val="bottom"/>
          </w:tcPr>
          <w:p w14:paraId="4DE2A6E9"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6722F">
              <w:rPr>
                <w:rFonts w:ascii="Calibri" w:eastAsia="Times New Roman" w:hAnsi="Calibri" w:cs="Times New Roman"/>
                <w:color w:val="000000"/>
                <w:sz w:val="18"/>
                <w:szCs w:val="18"/>
                <w:lang w:val="en-US"/>
              </w:rPr>
              <w:t>325,103</w:t>
            </w:r>
          </w:p>
        </w:tc>
      </w:tr>
      <w:tr w:rsidR="00F6722F" w:rsidRPr="00F6722F" w14:paraId="6C6765BA" w14:textId="77777777" w:rsidTr="00E44437">
        <w:trPr>
          <w:trHeight w:hRule="exact" w:val="270"/>
        </w:trPr>
        <w:tc>
          <w:tcPr>
            <w:tcW w:w="1767" w:type="pct"/>
            <w:vAlign w:val="bottom"/>
          </w:tcPr>
          <w:p w14:paraId="6A8F3423" w14:textId="77777777" w:rsidR="00F6722F" w:rsidRPr="00F6722F" w:rsidRDefault="00F6722F" w:rsidP="00F6722F">
            <w:pPr>
              <w:tabs>
                <w:tab w:val="right" w:pos="1202"/>
              </w:tabs>
              <w:spacing w:after="0" w:line="200" w:lineRule="exact"/>
              <w:outlineLvl w:val="0"/>
              <w:rPr>
                <w:rFonts w:ascii="Calibri" w:eastAsia="Times New Roman" w:hAnsi="Calibri" w:cs="Arial"/>
                <w:spacing w:val="-2"/>
                <w:sz w:val="18"/>
                <w:szCs w:val="18"/>
                <w:lang w:val="en-US"/>
              </w:rPr>
            </w:pPr>
            <w:r w:rsidRPr="00F6722F">
              <w:rPr>
                <w:rFonts w:ascii="Calibri" w:eastAsia="Times New Roman" w:hAnsi="Calibri" w:cs="Arial"/>
                <w:spacing w:val="-2"/>
                <w:sz w:val="18"/>
                <w:szCs w:val="18"/>
                <w:lang w:val="en-US"/>
              </w:rPr>
              <w:t>Undrawn loans</w:t>
            </w:r>
          </w:p>
        </w:tc>
        <w:tc>
          <w:tcPr>
            <w:tcW w:w="538" w:type="pct"/>
            <w:tcBorders>
              <w:top w:val="nil"/>
              <w:left w:val="nil"/>
              <w:bottom w:val="nil"/>
              <w:right w:val="nil"/>
            </w:tcBorders>
            <w:shd w:val="clear" w:color="auto" w:fill="auto"/>
            <w:vAlign w:val="bottom"/>
          </w:tcPr>
          <w:p w14:paraId="12D00613"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6722F">
              <w:rPr>
                <w:rFonts w:ascii="Calibri" w:eastAsia="Times New Roman" w:hAnsi="Calibri" w:cs="Times New Roman"/>
                <w:color w:val="000000"/>
                <w:sz w:val="18"/>
                <w:szCs w:val="18"/>
                <w:lang w:val="en-US"/>
              </w:rPr>
              <w:t xml:space="preserve">3,492,038    </w:t>
            </w:r>
            <w:proofErr w:type="gramStart"/>
            <w:r w:rsidRPr="00F6722F">
              <w:rPr>
                <w:rFonts w:ascii="Calibri" w:eastAsia="Times New Roman" w:hAnsi="Calibri" w:cs="Times New Roman"/>
                <w:color w:val="000000"/>
                <w:sz w:val="18"/>
                <w:szCs w:val="18"/>
                <w:lang w:val="en-US"/>
              </w:rPr>
              <w:t>-  -</w:t>
            </w:r>
            <w:proofErr w:type="gramEnd"/>
            <w:r w:rsidRPr="00F6722F">
              <w:rPr>
                <w:rFonts w:ascii="Calibri" w:eastAsia="Times New Roman" w:hAnsi="Calibri" w:cs="Times New Roman"/>
                <w:color w:val="000000"/>
                <w:sz w:val="18"/>
                <w:szCs w:val="18"/>
                <w:lang w:val="en-US"/>
              </w:rPr>
              <w:t xml:space="preserve">  - 3,492,0383,492,038 </w:t>
            </w:r>
          </w:p>
        </w:tc>
        <w:tc>
          <w:tcPr>
            <w:tcW w:w="541" w:type="pct"/>
            <w:tcBorders>
              <w:top w:val="nil"/>
              <w:left w:val="nil"/>
              <w:bottom w:val="nil"/>
              <w:right w:val="nil"/>
            </w:tcBorders>
            <w:shd w:val="clear" w:color="auto" w:fill="auto"/>
            <w:vAlign w:val="bottom"/>
          </w:tcPr>
          <w:p w14:paraId="5185B4D5"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6722F">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1177367C"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6722F">
              <w:rPr>
                <w:rFonts w:ascii="Calibri" w:eastAsia="Times New Roman" w:hAnsi="Calibri" w:cs="Times New Roman"/>
                <w:color w:val="000000"/>
                <w:sz w:val="18"/>
                <w:szCs w:val="18"/>
                <w:lang w:val="en-US"/>
              </w:rPr>
              <w:t xml:space="preserve"> - </w:t>
            </w:r>
          </w:p>
        </w:tc>
        <w:tc>
          <w:tcPr>
            <w:tcW w:w="541" w:type="pct"/>
            <w:tcBorders>
              <w:top w:val="nil"/>
              <w:left w:val="nil"/>
              <w:bottom w:val="nil"/>
              <w:right w:val="nil"/>
            </w:tcBorders>
            <w:shd w:val="clear" w:color="auto" w:fill="auto"/>
            <w:vAlign w:val="bottom"/>
          </w:tcPr>
          <w:p w14:paraId="2571E420"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6722F">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1D49787E"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6722F">
              <w:rPr>
                <w:rFonts w:ascii="Calibri" w:eastAsia="Times New Roman" w:hAnsi="Calibri" w:cs="Times New Roman"/>
                <w:color w:val="000000"/>
                <w:sz w:val="18"/>
                <w:szCs w:val="18"/>
                <w:lang w:val="en-US"/>
              </w:rPr>
              <w:t xml:space="preserve"> - </w:t>
            </w:r>
          </w:p>
        </w:tc>
        <w:tc>
          <w:tcPr>
            <w:tcW w:w="529" w:type="pct"/>
            <w:tcBorders>
              <w:top w:val="nil"/>
              <w:left w:val="nil"/>
              <w:bottom w:val="nil"/>
              <w:right w:val="nil"/>
            </w:tcBorders>
            <w:shd w:val="clear" w:color="auto" w:fill="auto"/>
            <w:vAlign w:val="bottom"/>
          </w:tcPr>
          <w:p w14:paraId="26A03D96"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6722F">
              <w:rPr>
                <w:rFonts w:ascii="Calibri" w:eastAsia="Times New Roman" w:hAnsi="Calibri" w:cs="Times New Roman"/>
                <w:color w:val="000000"/>
                <w:sz w:val="18"/>
                <w:szCs w:val="18"/>
                <w:lang w:val="en-US"/>
              </w:rPr>
              <w:t>3,492,038</w:t>
            </w:r>
          </w:p>
        </w:tc>
      </w:tr>
      <w:tr w:rsidR="00F6722F" w:rsidRPr="00F6722F" w14:paraId="4B362C97" w14:textId="77777777" w:rsidTr="00E44437">
        <w:trPr>
          <w:trHeight w:hRule="exact" w:val="270"/>
        </w:trPr>
        <w:tc>
          <w:tcPr>
            <w:tcW w:w="1767" w:type="pct"/>
            <w:vAlign w:val="center"/>
          </w:tcPr>
          <w:p w14:paraId="55B6804A" w14:textId="77777777" w:rsidR="00F6722F" w:rsidRPr="00F6722F" w:rsidRDefault="00F6722F" w:rsidP="00F6722F">
            <w:pPr>
              <w:tabs>
                <w:tab w:val="right" w:pos="1202"/>
              </w:tabs>
              <w:spacing w:after="0" w:line="200" w:lineRule="exact"/>
              <w:outlineLvl w:val="0"/>
              <w:rPr>
                <w:rFonts w:ascii="Calibri" w:eastAsia="Times New Roman" w:hAnsi="Calibri" w:cs="Arial"/>
                <w:spacing w:val="-2"/>
                <w:sz w:val="18"/>
                <w:szCs w:val="18"/>
                <w:highlight w:val="yellow"/>
                <w:lang w:val="en-US"/>
              </w:rPr>
            </w:pPr>
            <w:r w:rsidRPr="00F6722F">
              <w:rPr>
                <w:rFonts w:ascii="Calibri" w:eastAsia="Times New Roman" w:hAnsi="Calibri" w:cs="Arial"/>
                <w:sz w:val="18"/>
                <w:szCs w:val="18"/>
                <w:lang w:val="en-US"/>
              </w:rPr>
              <w:t>EIF – subscribed, not called up capital</w:t>
            </w:r>
          </w:p>
        </w:tc>
        <w:tc>
          <w:tcPr>
            <w:tcW w:w="538" w:type="pct"/>
            <w:tcBorders>
              <w:top w:val="nil"/>
              <w:left w:val="nil"/>
              <w:bottom w:val="nil"/>
              <w:right w:val="nil"/>
            </w:tcBorders>
            <w:shd w:val="clear" w:color="auto" w:fill="auto"/>
            <w:vAlign w:val="bottom"/>
          </w:tcPr>
          <w:p w14:paraId="55646A21" w14:textId="443DA52E" w:rsidR="00F6722F" w:rsidRPr="00F6722F" w:rsidRDefault="001721CD" w:rsidP="00F6722F">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eastAsia="Times New Roman" w:hAnsi="Calibri" w:cs="Times New Roman"/>
                <w:color w:val="000000"/>
                <w:sz w:val="18"/>
                <w:szCs w:val="18"/>
                <w:lang w:val="en-US"/>
              </w:rPr>
              <w:t>78,798</w:t>
            </w:r>
            <w:r w:rsidR="00F6722F" w:rsidRPr="00F6722F">
              <w:rPr>
                <w:rFonts w:ascii="Calibri" w:eastAsia="Times New Roman" w:hAnsi="Calibri" w:cs="Times New Roman"/>
                <w:color w:val="000000"/>
                <w:sz w:val="18"/>
                <w:szCs w:val="18"/>
                <w:lang w:val="en-US"/>
              </w:rPr>
              <w:t xml:space="preserve"> </w:t>
            </w:r>
          </w:p>
        </w:tc>
        <w:tc>
          <w:tcPr>
            <w:tcW w:w="541" w:type="pct"/>
            <w:tcBorders>
              <w:top w:val="nil"/>
              <w:left w:val="nil"/>
              <w:bottom w:val="nil"/>
              <w:right w:val="nil"/>
            </w:tcBorders>
            <w:shd w:val="clear" w:color="auto" w:fill="auto"/>
            <w:vAlign w:val="bottom"/>
          </w:tcPr>
          <w:p w14:paraId="08484643"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color w:val="000000"/>
                <w:sz w:val="18"/>
                <w:szCs w:val="18"/>
                <w:lang w:val="en-US"/>
              </w:rPr>
            </w:pPr>
            <w:r w:rsidRPr="00F6722F">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57BC3CC0"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color w:val="000000"/>
                <w:sz w:val="18"/>
                <w:szCs w:val="18"/>
                <w:lang w:val="en-US"/>
              </w:rPr>
            </w:pPr>
            <w:r w:rsidRPr="00F6722F">
              <w:rPr>
                <w:rFonts w:ascii="Calibri" w:eastAsia="Times New Roman" w:hAnsi="Calibri" w:cs="Times New Roman"/>
                <w:color w:val="000000"/>
                <w:sz w:val="18"/>
                <w:szCs w:val="18"/>
                <w:lang w:val="en-US"/>
              </w:rPr>
              <w:t xml:space="preserve"> - </w:t>
            </w:r>
          </w:p>
        </w:tc>
        <w:tc>
          <w:tcPr>
            <w:tcW w:w="541" w:type="pct"/>
            <w:tcBorders>
              <w:top w:val="nil"/>
              <w:left w:val="nil"/>
              <w:bottom w:val="nil"/>
              <w:right w:val="nil"/>
            </w:tcBorders>
            <w:shd w:val="clear" w:color="auto" w:fill="auto"/>
            <w:vAlign w:val="bottom"/>
          </w:tcPr>
          <w:p w14:paraId="6B73655E"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color w:val="000000"/>
                <w:sz w:val="18"/>
                <w:szCs w:val="18"/>
                <w:lang w:val="en-US"/>
              </w:rPr>
            </w:pPr>
            <w:r w:rsidRPr="00F6722F">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4504BC43"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color w:val="000000"/>
                <w:sz w:val="18"/>
                <w:szCs w:val="18"/>
                <w:lang w:val="en-US"/>
              </w:rPr>
            </w:pPr>
            <w:r w:rsidRPr="00F6722F">
              <w:rPr>
                <w:rFonts w:ascii="Calibri" w:eastAsia="Times New Roman" w:hAnsi="Calibri" w:cs="Times New Roman"/>
                <w:color w:val="000000"/>
                <w:sz w:val="18"/>
                <w:szCs w:val="18"/>
                <w:lang w:val="en-US"/>
              </w:rPr>
              <w:t xml:space="preserve"> - </w:t>
            </w:r>
          </w:p>
        </w:tc>
        <w:tc>
          <w:tcPr>
            <w:tcW w:w="529" w:type="pct"/>
            <w:tcBorders>
              <w:top w:val="nil"/>
              <w:left w:val="nil"/>
              <w:bottom w:val="nil"/>
              <w:right w:val="nil"/>
            </w:tcBorders>
            <w:shd w:val="clear" w:color="auto" w:fill="auto"/>
            <w:vAlign w:val="bottom"/>
          </w:tcPr>
          <w:p w14:paraId="61B72C95"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color w:val="000000"/>
                <w:sz w:val="18"/>
                <w:szCs w:val="18"/>
                <w:lang w:val="en-US"/>
              </w:rPr>
            </w:pPr>
            <w:r w:rsidRPr="00F6722F">
              <w:rPr>
                <w:rFonts w:ascii="Calibri" w:eastAsia="Times New Roman" w:hAnsi="Calibri" w:cs="Times New Roman"/>
                <w:color w:val="000000"/>
                <w:sz w:val="18"/>
                <w:szCs w:val="18"/>
                <w:lang w:val="en-US"/>
              </w:rPr>
              <w:t>78,179</w:t>
            </w:r>
          </w:p>
        </w:tc>
      </w:tr>
      <w:tr w:rsidR="00F6722F" w:rsidRPr="00F6722F" w14:paraId="626FD451" w14:textId="77777777" w:rsidTr="00E44437">
        <w:trPr>
          <w:trHeight w:hRule="exact" w:val="270"/>
        </w:trPr>
        <w:tc>
          <w:tcPr>
            <w:tcW w:w="1767" w:type="pct"/>
            <w:tcBorders>
              <w:top w:val="nil"/>
              <w:left w:val="nil"/>
              <w:bottom w:val="nil"/>
              <w:right w:val="nil"/>
            </w:tcBorders>
            <w:shd w:val="clear" w:color="auto" w:fill="auto"/>
            <w:vAlign w:val="bottom"/>
          </w:tcPr>
          <w:p w14:paraId="78597C3C" w14:textId="77777777" w:rsidR="00F6722F" w:rsidRPr="00F6722F" w:rsidRDefault="00F6722F" w:rsidP="00F6722F">
            <w:pPr>
              <w:spacing w:after="0" w:line="240" w:lineRule="auto"/>
              <w:rPr>
                <w:rFonts w:ascii="Calibri" w:eastAsia="Times New Roman" w:hAnsi="Calibri" w:cs="Calibri"/>
                <w:sz w:val="18"/>
                <w:szCs w:val="18"/>
                <w:lang w:val="en-US"/>
              </w:rPr>
            </w:pPr>
            <w:r w:rsidRPr="00F6722F">
              <w:rPr>
                <w:rFonts w:ascii="Calibri" w:eastAsia="Times New Roman" w:hAnsi="Calibri" w:cs="Calibri"/>
                <w:color w:val="000000"/>
                <w:sz w:val="18"/>
                <w:szCs w:val="18"/>
                <w:lang w:val="en-GB"/>
              </w:rPr>
              <w:t>EIF CROGIP Contracted Liability</w:t>
            </w:r>
          </w:p>
        </w:tc>
        <w:tc>
          <w:tcPr>
            <w:tcW w:w="538" w:type="pct"/>
            <w:tcBorders>
              <w:top w:val="nil"/>
              <w:left w:val="nil"/>
              <w:bottom w:val="nil"/>
              <w:right w:val="nil"/>
            </w:tcBorders>
            <w:shd w:val="clear" w:color="auto" w:fill="auto"/>
            <w:vAlign w:val="bottom"/>
          </w:tcPr>
          <w:p w14:paraId="1C0012C5"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color w:val="000000"/>
                <w:sz w:val="18"/>
                <w:szCs w:val="18"/>
                <w:lang w:val="en-US"/>
              </w:rPr>
            </w:pPr>
            <w:r w:rsidRPr="00F6722F">
              <w:rPr>
                <w:rFonts w:ascii="Calibri" w:eastAsia="Times New Roman" w:hAnsi="Calibri" w:cs="Times New Roman"/>
                <w:color w:val="000000"/>
                <w:sz w:val="18"/>
                <w:szCs w:val="18"/>
                <w:lang w:val="en-US"/>
              </w:rPr>
              <w:t xml:space="preserve"> - </w:t>
            </w:r>
          </w:p>
        </w:tc>
        <w:tc>
          <w:tcPr>
            <w:tcW w:w="541" w:type="pct"/>
            <w:tcBorders>
              <w:top w:val="nil"/>
              <w:left w:val="nil"/>
              <w:bottom w:val="nil"/>
              <w:right w:val="nil"/>
            </w:tcBorders>
            <w:shd w:val="clear" w:color="auto" w:fill="auto"/>
            <w:vAlign w:val="bottom"/>
          </w:tcPr>
          <w:p w14:paraId="49DCC48A"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color w:val="000000"/>
                <w:sz w:val="18"/>
                <w:szCs w:val="18"/>
                <w:lang w:val="en-US"/>
              </w:rPr>
            </w:pPr>
            <w:r w:rsidRPr="00F6722F">
              <w:rPr>
                <w:rFonts w:ascii="Calibri" w:eastAsia="Times New Roman" w:hAnsi="Calibri" w:cs="Times New Roman"/>
                <w:color w:val="000000"/>
                <w:sz w:val="18"/>
                <w:szCs w:val="18"/>
                <w:lang w:val="en-US"/>
              </w:rPr>
              <w:t xml:space="preserve">12,616 </w:t>
            </w:r>
          </w:p>
        </w:tc>
        <w:tc>
          <w:tcPr>
            <w:tcW w:w="542" w:type="pct"/>
            <w:tcBorders>
              <w:top w:val="nil"/>
              <w:left w:val="nil"/>
              <w:bottom w:val="nil"/>
              <w:right w:val="nil"/>
            </w:tcBorders>
            <w:shd w:val="clear" w:color="auto" w:fill="auto"/>
            <w:vAlign w:val="bottom"/>
          </w:tcPr>
          <w:p w14:paraId="356CCC15"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color w:val="000000"/>
                <w:sz w:val="18"/>
                <w:szCs w:val="18"/>
                <w:lang w:val="en-US"/>
              </w:rPr>
            </w:pPr>
            <w:r w:rsidRPr="00F6722F">
              <w:rPr>
                <w:rFonts w:ascii="Calibri" w:eastAsia="Times New Roman" w:hAnsi="Calibri" w:cs="Times New Roman"/>
                <w:color w:val="000000"/>
                <w:sz w:val="18"/>
                <w:szCs w:val="18"/>
                <w:lang w:val="en-US"/>
              </w:rPr>
              <w:t xml:space="preserve"> 56,771 </w:t>
            </w:r>
          </w:p>
        </w:tc>
        <w:tc>
          <w:tcPr>
            <w:tcW w:w="541" w:type="pct"/>
            <w:tcBorders>
              <w:top w:val="nil"/>
              <w:left w:val="nil"/>
              <w:bottom w:val="nil"/>
              <w:right w:val="nil"/>
            </w:tcBorders>
            <w:shd w:val="clear" w:color="auto" w:fill="auto"/>
            <w:vAlign w:val="bottom"/>
          </w:tcPr>
          <w:p w14:paraId="29DE1553"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color w:val="000000"/>
                <w:sz w:val="18"/>
                <w:szCs w:val="18"/>
                <w:lang w:val="en-US"/>
              </w:rPr>
            </w:pPr>
            <w:r w:rsidRPr="00F6722F">
              <w:rPr>
                <w:rFonts w:ascii="Calibri" w:eastAsia="Times New Roman" w:hAnsi="Calibri" w:cs="Times New Roman"/>
                <w:color w:val="000000"/>
                <w:sz w:val="18"/>
                <w:szCs w:val="18"/>
                <w:lang w:val="en-US"/>
              </w:rPr>
              <w:t xml:space="preserve"> 112,664 </w:t>
            </w:r>
          </w:p>
        </w:tc>
        <w:tc>
          <w:tcPr>
            <w:tcW w:w="542" w:type="pct"/>
            <w:tcBorders>
              <w:top w:val="nil"/>
              <w:left w:val="nil"/>
              <w:bottom w:val="nil"/>
              <w:right w:val="nil"/>
            </w:tcBorders>
            <w:shd w:val="clear" w:color="auto" w:fill="auto"/>
            <w:vAlign w:val="bottom"/>
          </w:tcPr>
          <w:p w14:paraId="47E4E6DF"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color w:val="000000"/>
                <w:sz w:val="18"/>
                <w:szCs w:val="18"/>
                <w:lang w:val="en-US"/>
              </w:rPr>
            </w:pPr>
            <w:r w:rsidRPr="00F6722F">
              <w:rPr>
                <w:rFonts w:ascii="Calibri" w:eastAsia="Times New Roman" w:hAnsi="Calibri" w:cs="Times New Roman"/>
                <w:color w:val="000000"/>
                <w:sz w:val="18"/>
                <w:szCs w:val="18"/>
                <w:lang w:val="en-US"/>
              </w:rPr>
              <w:t xml:space="preserve"> 130,438 </w:t>
            </w:r>
          </w:p>
        </w:tc>
        <w:tc>
          <w:tcPr>
            <w:tcW w:w="529" w:type="pct"/>
            <w:tcBorders>
              <w:top w:val="nil"/>
              <w:left w:val="nil"/>
              <w:bottom w:val="nil"/>
              <w:right w:val="nil"/>
            </w:tcBorders>
            <w:shd w:val="clear" w:color="auto" w:fill="auto"/>
            <w:vAlign w:val="bottom"/>
          </w:tcPr>
          <w:p w14:paraId="3379CB0F"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color w:val="000000"/>
                <w:sz w:val="18"/>
                <w:szCs w:val="18"/>
                <w:lang w:val="en-US"/>
              </w:rPr>
            </w:pPr>
            <w:r w:rsidRPr="00F6722F">
              <w:rPr>
                <w:rFonts w:ascii="Calibri" w:eastAsia="Times New Roman" w:hAnsi="Calibri" w:cs="Times New Roman"/>
                <w:color w:val="000000"/>
                <w:sz w:val="18"/>
                <w:szCs w:val="18"/>
                <w:lang w:val="en-US"/>
              </w:rPr>
              <w:t>312,489</w:t>
            </w:r>
          </w:p>
        </w:tc>
      </w:tr>
      <w:tr w:rsidR="00F6722F" w:rsidRPr="00F6722F" w14:paraId="515EA7AD" w14:textId="77777777" w:rsidTr="00E44437">
        <w:trPr>
          <w:trHeight w:hRule="exact" w:val="270"/>
        </w:trPr>
        <w:tc>
          <w:tcPr>
            <w:tcW w:w="1767" w:type="pct"/>
            <w:tcBorders>
              <w:top w:val="nil"/>
              <w:left w:val="nil"/>
              <w:bottom w:val="nil"/>
              <w:right w:val="nil"/>
            </w:tcBorders>
            <w:shd w:val="clear" w:color="auto" w:fill="auto"/>
            <w:vAlign w:val="bottom"/>
          </w:tcPr>
          <w:p w14:paraId="77310768" w14:textId="77777777" w:rsidR="00F6722F" w:rsidRPr="00F6722F" w:rsidRDefault="00F6722F" w:rsidP="00F6722F">
            <w:pPr>
              <w:spacing w:after="0" w:line="240" w:lineRule="auto"/>
              <w:rPr>
                <w:rFonts w:ascii="Calibri" w:eastAsia="Times New Roman" w:hAnsi="Calibri" w:cs="Calibri"/>
                <w:sz w:val="18"/>
                <w:szCs w:val="18"/>
                <w:lang w:val="en-US"/>
              </w:rPr>
            </w:pPr>
            <w:r w:rsidRPr="00F6722F">
              <w:rPr>
                <w:rFonts w:ascii="Calibri" w:eastAsia="Times New Roman" w:hAnsi="Calibri" w:cs="Calibri"/>
                <w:color w:val="000000"/>
                <w:sz w:val="18"/>
                <w:szCs w:val="18"/>
                <w:lang w:val="en-GB"/>
              </w:rPr>
              <w:t>EIF FRC2 Contracted Liability</w:t>
            </w:r>
          </w:p>
        </w:tc>
        <w:tc>
          <w:tcPr>
            <w:tcW w:w="538" w:type="pct"/>
            <w:tcBorders>
              <w:top w:val="nil"/>
              <w:left w:val="nil"/>
              <w:bottom w:val="single" w:sz="8" w:space="0" w:color="auto"/>
              <w:right w:val="nil"/>
            </w:tcBorders>
            <w:shd w:val="clear" w:color="auto" w:fill="auto"/>
            <w:vAlign w:val="bottom"/>
          </w:tcPr>
          <w:p w14:paraId="2EF614C6"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color w:val="000000"/>
                <w:sz w:val="18"/>
                <w:szCs w:val="18"/>
                <w:lang w:val="en-US"/>
              </w:rPr>
            </w:pPr>
            <w:r w:rsidRPr="00F6722F">
              <w:rPr>
                <w:rFonts w:ascii="Calibri" w:eastAsia="Times New Roman" w:hAnsi="Calibri" w:cs="Times New Roman"/>
                <w:color w:val="000000"/>
                <w:sz w:val="18"/>
                <w:szCs w:val="18"/>
                <w:lang w:val="en-US"/>
              </w:rPr>
              <w:t xml:space="preserve"> 678 </w:t>
            </w:r>
          </w:p>
        </w:tc>
        <w:tc>
          <w:tcPr>
            <w:tcW w:w="541" w:type="pct"/>
            <w:tcBorders>
              <w:top w:val="nil"/>
              <w:left w:val="nil"/>
              <w:bottom w:val="single" w:sz="8" w:space="0" w:color="auto"/>
              <w:right w:val="nil"/>
            </w:tcBorders>
            <w:shd w:val="clear" w:color="auto" w:fill="auto"/>
            <w:vAlign w:val="bottom"/>
          </w:tcPr>
          <w:p w14:paraId="3187AA4D"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color w:val="000000"/>
                <w:sz w:val="18"/>
                <w:szCs w:val="18"/>
                <w:lang w:val="en-US"/>
              </w:rPr>
            </w:pPr>
            <w:r w:rsidRPr="00F6722F">
              <w:rPr>
                <w:rFonts w:ascii="Calibri" w:eastAsia="Times New Roman" w:hAnsi="Calibri" w:cs="Times New Roman"/>
                <w:color w:val="000000"/>
                <w:sz w:val="18"/>
                <w:szCs w:val="18"/>
                <w:lang w:val="en-US"/>
              </w:rPr>
              <w:t xml:space="preserve"> 532 </w:t>
            </w:r>
          </w:p>
        </w:tc>
        <w:tc>
          <w:tcPr>
            <w:tcW w:w="542" w:type="pct"/>
            <w:tcBorders>
              <w:top w:val="nil"/>
              <w:left w:val="nil"/>
              <w:bottom w:val="single" w:sz="8" w:space="0" w:color="auto"/>
              <w:right w:val="nil"/>
            </w:tcBorders>
            <w:shd w:val="clear" w:color="auto" w:fill="auto"/>
            <w:vAlign w:val="bottom"/>
          </w:tcPr>
          <w:p w14:paraId="3C9D128E"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color w:val="000000"/>
                <w:sz w:val="18"/>
                <w:szCs w:val="18"/>
                <w:lang w:val="en-US"/>
              </w:rPr>
            </w:pPr>
            <w:r w:rsidRPr="00F6722F">
              <w:rPr>
                <w:rFonts w:ascii="Calibri" w:eastAsia="Times New Roman" w:hAnsi="Calibri" w:cs="Times New Roman"/>
                <w:color w:val="000000"/>
                <w:sz w:val="18"/>
                <w:szCs w:val="18"/>
                <w:lang w:val="en-US"/>
              </w:rPr>
              <w:t xml:space="preserve">2,393 </w:t>
            </w:r>
          </w:p>
        </w:tc>
        <w:tc>
          <w:tcPr>
            <w:tcW w:w="541" w:type="pct"/>
            <w:tcBorders>
              <w:top w:val="nil"/>
              <w:left w:val="nil"/>
              <w:bottom w:val="single" w:sz="8" w:space="0" w:color="auto"/>
              <w:right w:val="nil"/>
            </w:tcBorders>
            <w:shd w:val="clear" w:color="auto" w:fill="auto"/>
            <w:vAlign w:val="bottom"/>
          </w:tcPr>
          <w:p w14:paraId="70DDAF78"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color w:val="000000"/>
                <w:sz w:val="18"/>
                <w:szCs w:val="18"/>
                <w:lang w:val="en-US"/>
              </w:rPr>
            </w:pPr>
            <w:r w:rsidRPr="00F6722F">
              <w:rPr>
                <w:rFonts w:ascii="Calibri" w:eastAsia="Times New Roman" w:hAnsi="Calibri" w:cs="Times New Roman"/>
                <w:color w:val="000000"/>
                <w:sz w:val="18"/>
                <w:szCs w:val="18"/>
                <w:lang w:val="en-US"/>
              </w:rPr>
              <w:t xml:space="preserve"> 2,171 </w:t>
            </w:r>
          </w:p>
        </w:tc>
        <w:tc>
          <w:tcPr>
            <w:tcW w:w="542" w:type="pct"/>
            <w:tcBorders>
              <w:top w:val="nil"/>
              <w:left w:val="nil"/>
              <w:bottom w:val="single" w:sz="8" w:space="0" w:color="auto"/>
              <w:right w:val="nil"/>
            </w:tcBorders>
            <w:shd w:val="clear" w:color="auto" w:fill="auto"/>
            <w:vAlign w:val="bottom"/>
          </w:tcPr>
          <w:p w14:paraId="03A17F4A"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color w:val="000000"/>
                <w:sz w:val="18"/>
                <w:szCs w:val="18"/>
                <w:lang w:val="en-US"/>
              </w:rPr>
            </w:pPr>
            <w:r w:rsidRPr="00F6722F">
              <w:rPr>
                <w:rFonts w:ascii="Calibri" w:eastAsia="Times New Roman" w:hAnsi="Calibri" w:cs="Times New Roman"/>
                <w:color w:val="000000"/>
                <w:sz w:val="18"/>
                <w:szCs w:val="18"/>
                <w:lang w:val="en-US"/>
              </w:rPr>
              <w:t xml:space="preserve"> 469 </w:t>
            </w:r>
          </w:p>
        </w:tc>
        <w:tc>
          <w:tcPr>
            <w:tcW w:w="529" w:type="pct"/>
            <w:tcBorders>
              <w:top w:val="nil"/>
              <w:left w:val="nil"/>
              <w:bottom w:val="single" w:sz="8" w:space="0" w:color="auto"/>
              <w:right w:val="nil"/>
            </w:tcBorders>
            <w:shd w:val="clear" w:color="auto" w:fill="auto"/>
            <w:vAlign w:val="bottom"/>
          </w:tcPr>
          <w:p w14:paraId="659CF48D"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color w:val="000000"/>
                <w:sz w:val="18"/>
                <w:szCs w:val="18"/>
                <w:lang w:val="en-US"/>
              </w:rPr>
            </w:pPr>
            <w:r w:rsidRPr="00F6722F">
              <w:rPr>
                <w:rFonts w:ascii="Calibri" w:eastAsia="Times New Roman" w:hAnsi="Calibri" w:cs="Times New Roman"/>
                <w:color w:val="000000"/>
                <w:sz w:val="18"/>
                <w:szCs w:val="18"/>
                <w:lang w:val="en-US"/>
              </w:rPr>
              <w:t>6,243</w:t>
            </w:r>
          </w:p>
        </w:tc>
      </w:tr>
      <w:tr w:rsidR="00F6722F" w:rsidRPr="00F6722F" w14:paraId="1F0D883D" w14:textId="77777777" w:rsidTr="00E44437">
        <w:trPr>
          <w:trHeight w:hRule="exact" w:val="270"/>
        </w:trPr>
        <w:tc>
          <w:tcPr>
            <w:tcW w:w="1767" w:type="pct"/>
            <w:vAlign w:val="center"/>
          </w:tcPr>
          <w:p w14:paraId="37538B9D" w14:textId="77777777" w:rsidR="00F6722F" w:rsidRPr="00F6722F" w:rsidRDefault="00F6722F" w:rsidP="00F6722F">
            <w:pPr>
              <w:tabs>
                <w:tab w:val="right" w:pos="1202"/>
              </w:tabs>
              <w:spacing w:after="0" w:line="200" w:lineRule="exact"/>
              <w:outlineLvl w:val="0"/>
              <w:rPr>
                <w:rFonts w:ascii="Calibri" w:eastAsia="Times New Roman" w:hAnsi="Calibri" w:cs="Arial"/>
                <w:b/>
                <w:bCs/>
                <w:spacing w:val="-2"/>
                <w:sz w:val="18"/>
                <w:szCs w:val="18"/>
                <w:highlight w:val="yellow"/>
                <w:lang w:val="en-US"/>
              </w:rPr>
            </w:pPr>
            <w:r w:rsidRPr="00F6722F">
              <w:rPr>
                <w:rFonts w:ascii="Calibri" w:eastAsia="Times New Roman" w:hAnsi="Calibri" w:cs="Arial"/>
                <w:b/>
                <w:bCs/>
                <w:spacing w:val="-2"/>
                <w:sz w:val="18"/>
                <w:szCs w:val="18"/>
                <w:lang w:val="en-US"/>
              </w:rPr>
              <w:t>Total guarantees and commitments</w:t>
            </w:r>
          </w:p>
        </w:tc>
        <w:tc>
          <w:tcPr>
            <w:tcW w:w="538" w:type="pct"/>
            <w:tcBorders>
              <w:top w:val="single" w:sz="8" w:space="0" w:color="auto"/>
              <w:left w:val="nil"/>
              <w:bottom w:val="single" w:sz="12" w:space="0" w:color="auto"/>
              <w:right w:val="nil"/>
            </w:tcBorders>
            <w:shd w:val="clear" w:color="auto" w:fill="auto"/>
            <w:vAlign w:val="bottom"/>
          </w:tcPr>
          <w:p w14:paraId="1B1FD1DD"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6722F">
              <w:rPr>
                <w:rFonts w:ascii="Calibri" w:eastAsia="Times New Roman" w:hAnsi="Calibri" w:cs="Times New Roman"/>
                <w:b/>
                <w:bCs/>
                <w:color w:val="000000"/>
                <w:sz w:val="18"/>
                <w:szCs w:val="18"/>
                <w:lang w:val="en-US"/>
              </w:rPr>
              <w:t>4,066,553</w:t>
            </w:r>
          </w:p>
        </w:tc>
        <w:tc>
          <w:tcPr>
            <w:tcW w:w="541" w:type="pct"/>
            <w:tcBorders>
              <w:top w:val="single" w:sz="8" w:space="0" w:color="auto"/>
              <w:left w:val="nil"/>
              <w:bottom w:val="single" w:sz="12" w:space="0" w:color="auto"/>
              <w:right w:val="nil"/>
            </w:tcBorders>
            <w:shd w:val="clear" w:color="auto" w:fill="auto"/>
            <w:vAlign w:val="bottom"/>
          </w:tcPr>
          <w:p w14:paraId="2EC2DE3B"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6722F">
              <w:rPr>
                <w:rFonts w:ascii="Calibri" w:eastAsia="Times New Roman" w:hAnsi="Calibri" w:cs="Times New Roman"/>
                <w:b/>
                <w:bCs/>
                <w:color w:val="000000"/>
                <w:sz w:val="18"/>
                <w:szCs w:val="18"/>
                <w:lang w:val="en-US"/>
              </w:rPr>
              <w:t>13,148</w:t>
            </w:r>
          </w:p>
        </w:tc>
        <w:tc>
          <w:tcPr>
            <w:tcW w:w="542" w:type="pct"/>
            <w:tcBorders>
              <w:top w:val="single" w:sz="8" w:space="0" w:color="auto"/>
              <w:left w:val="nil"/>
              <w:bottom w:val="single" w:sz="12" w:space="0" w:color="auto"/>
              <w:right w:val="nil"/>
            </w:tcBorders>
            <w:shd w:val="clear" w:color="auto" w:fill="auto"/>
            <w:vAlign w:val="bottom"/>
          </w:tcPr>
          <w:p w14:paraId="04D45A33"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6722F">
              <w:rPr>
                <w:rFonts w:ascii="Calibri" w:eastAsia="Times New Roman" w:hAnsi="Calibri" w:cs="Times New Roman"/>
                <w:b/>
                <w:bCs/>
                <w:color w:val="000000"/>
                <w:sz w:val="18"/>
                <w:szCs w:val="18"/>
                <w:lang w:val="en-US"/>
              </w:rPr>
              <w:t>59,164</w:t>
            </w:r>
          </w:p>
        </w:tc>
        <w:tc>
          <w:tcPr>
            <w:tcW w:w="541" w:type="pct"/>
            <w:tcBorders>
              <w:top w:val="single" w:sz="8" w:space="0" w:color="auto"/>
              <w:left w:val="nil"/>
              <w:bottom w:val="single" w:sz="12" w:space="0" w:color="auto"/>
              <w:right w:val="nil"/>
            </w:tcBorders>
            <w:shd w:val="clear" w:color="auto" w:fill="auto"/>
            <w:vAlign w:val="bottom"/>
          </w:tcPr>
          <w:p w14:paraId="6195050E"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6722F">
              <w:rPr>
                <w:rFonts w:ascii="Calibri" w:eastAsia="Times New Roman" w:hAnsi="Calibri" w:cs="Times New Roman"/>
                <w:b/>
                <w:bCs/>
                <w:color w:val="000000"/>
                <w:sz w:val="18"/>
                <w:szCs w:val="18"/>
                <w:lang w:val="en-US"/>
              </w:rPr>
              <w:t>114,835</w:t>
            </w:r>
          </w:p>
        </w:tc>
        <w:tc>
          <w:tcPr>
            <w:tcW w:w="542" w:type="pct"/>
            <w:tcBorders>
              <w:top w:val="single" w:sz="8" w:space="0" w:color="auto"/>
              <w:left w:val="nil"/>
              <w:bottom w:val="single" w:sz="12" w:space="0" w:color="auto"/>
              <w:right w:val="nil"/>
            </w:tcBorders>
            <w:shd w:val="clear" w:color="auto" w:fill="auto"/>
            <w:vAlign w:val="bottom"/>
          </w:tcPr>
          <w:p w14:paraId="2CEFE292"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6722F">
              <w:rPr>
                <w:rFonts w:ascii="Calibri" w:eastAsia="Times New Roman" w:hAnsi="Calibri" w:cs="Times New Roman"/>
                <w:b/>
                <w:bCs/>
                <w:color w:val="000000"/>
                <w:sz w:val="18"/>
                <w:szCs w:val="18"/>
                <w:lang w:val="en-US"/>
              </w:rPr>
              <w:t>130,907</w:t>
            </w:r>
          </w:p>
        </w:tc>
        <w:tc>
          <w:tcPr>
            <w:tcW w:w="529" w:type="pct"/>
            <w:tcBorders>
              <w:top w:val="single" w:sz="8" w:space="0" w:color="auto"/>
              <w:left w:val="nil"/>
              <w:bottom w:val="single" w:sz="12" w:space="0" w:color="auto"/>
              <w:right w:val="nil"/>
            </w:tcBorders>
            <w:shd w:val="clear" w:color="auto" w:fill="auto"/>
            <w:vAlign w:val="bottom"/>
          </w:tcPr>
          <w:p w14:paraId="09D3D7E1" w14:textId="77777777" w:rsidR="00F6722F" w:rsidRPr="00F6722F" w:rsidRDefault="00F6722F" w:rsidP="00F6722F">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6722F">
              <w:rPr>
                <w:rFonts w:ascii="Calibri" w:eastAsia="Times New Roman" w:hAnsi="Calibri" w:cs="Times New Roman"/>
                <w:b/>
                <w:bCs/>
                <w:color w:val="000000"/>
                <w:sz w:val="18"/>
                <w:szCs w:val="18"/>
                <w:lang w:val="en-US"/>
              </w:rPr>
              <w:t>4,384,607</w:t>
            </w:r>
          </w:p>
        </w:tc>
      </w:tr>
    </w:tbl>
    <w:p w14:paraId="35602317" w14:textId="77777777" w:rsidR="003D584A" w:rsidRPr="00537128" w:rsidRDefault="003D584A" w:rsidP="00AC576E">
      <w:pPr>
        <w:spacing w:after="0" w:line="240" w:lineRule="auto"/>
        <w:jc w:val="both"/>
        <w:rPr>
          <w:rFonts w:eastAsia="Times New Roman" w:cstheme="minorHAnsi"/>
          <w:b/>
          <w:iCs/>
          <w:color w:val="000000" w:themeColor="text1"/>
          <w:sz w:val="20"/>
          <w:szCs w:val="20"/>
          <w:lang w:val="en-US"/>
        </w:rPr>
      </w:pPr>
    </w:p>
    <w:p w14:paraId="35972436" w14:textId="77777777" w:rsidR="00AC576E" w:rsidRPr="00537128" w:rsidRDefault="00AC576E" w:rsidP="00AC576E">
      <w:pPr>
        <w:tabs>
          <w:tab w:val="left" w:pos="8340"/>
        </w:tabs>
        <w:spacing w:after="0" w:line="240" w:lineRule="auto"/>
        <w:jc w:val="both"/>
        <w:rPr>
          <w:rFonts w:ascii="Calibri" w:eastAsia="Times New Roman" w:hAnsi="Calibri" w:cs="Arial"/>
          <w:bCs/>
          <w:color w:val="000000" w:themeColor="text1"/>
          <w:sz w:val="20"/>
          <w:szCs w:val="20"/>
          <w:lang w:val="en-US"/>
        </w:rPr>
      </w:pPr>
      <w:r w:rsidRPr="00537128">
        <w:rPr>
          <w:rFonts w:ascii="Calibri" w:eastAsia="Times New Roman" w:hAnsi="Calibri" w:cs="Arial"/>
          <w:bCs/>
          <w:color w:val="000000" w:themeColor="text1"/>
          <w:sz w:val="20"/>
          <w:szCs w:val="20"/>
          <w:lang w:val="en-US"/>
        </w:rPr>
        <w:t>The items with undefined maturity are included in terms over 3 years.</w:t>
      </w:r>
    </w:p>
    <w:p w14:paraId="0254FFEA" w14:textId="77777777" w:rsidR="00AC576E" w:rsidRPr="00537128" w:rsidRDefault="00AC576E" w:rsidP="00AC576E">
      <w:pPr>
        <w:tabs>
          <w:tab w:val="left" w:pos="8340"/>
        </w:tabs>
        <w:spacing w:after="0" w:line="240" w:lineRule="auto"/>
        <w:jc w:val="both"/>
        <w:rPr>
          <w:rFonts w:ascii="Arial" w:eastAsia="Times New Roman" w:hAnsi="Arial" w:cs="Times New Roman"/>
          <w:b/>
          <w:color w:val="000000" w:themeColor="text1"/>
          <w:sz w:val="14"/>
          <w:szCs w:val="16"/>
          <w:lang w:val="en-US"/>
        </w:rPr>
      </w:pPr>
    </w:p>
    <w:p w14:paraId="674895A5" w14:textId="77777777" w:rsidR="003967E9" w:rsidRPr="003239B0" w:rsidRDefault="003967E9" w:rsidP="003967E9">
      <w:pPr>
        <w:spacing w:after="0" w:line="240" w:lineRule="auto"/>
        <w:jc w:val="both"/>
        <w:rPr>
          <w:b/>
          <w:i/>
          <w:color w:val="000000" w:themeColor="text1"/>
          <w:sz w:val="20"/>
          <w:szCs w:val="20"/>
          <w:lang w:val="en-GB"/>
        </w:rPr>
      </w:pPr>
      <w:r w:rsidRPr="00F26FF5">
        <w:rPr>
          <w:rFonts w:cs="Arial"/>
          <w:bCs/>
          <w:sz w:val="20"/>
          <w:szCs w:val="20"/>
          <w:lang w:val="en-GB"/>
        </w:rPr>
        <w:t xml:space="preserve">* </w:t>
      </w:r>
      <w:r w:rsidRPr="00EA22B8">
        <w:rPr>
          <w:rFonts w:cs="Arial"/>
          <w:bCs/>
          <w:i/>
          <w:sz w:val="20"/>
          <w:szCs w:val="20"/>
          <w:lang w:val="en-GB"/>
        </w:rPr>
        <w:t xml:space="preserve">Receivables of HRK </w:t>
      </w:r>
      <w:r>
        <w:rPr>
          <w:rFonts w:cs="Arial"/>
          <w:bCs/>
          <w:i/>
          <w:sz w:val="20"/>
          <w:szCs w:val="20"/>
          <w:lang w:val="en-GB"/>
        </w:rPr>
        <w:t>8,239</w:t>
      </w:r>
      <w:r w:rsidRPr="00EA22B8">
        <w:rPr>
          <w:rFonts w:cs="Arial"/>
          <w:bCs/>
          <w:i/>
          <w:sz w:val="20"/>
          <w:szCs w:val="20"/>
          <w:lang w:val="en-GB"/>
        </w:rPr>
        <w:t xml:space="preserve"> thousand relate to reverse REPO agreements. </w:t>
      </w:r>
    </w:p>
    <w:p w14:paraId="66A1B89A" w14:textId="77777777" w:rsidR="003967E9" w:rsidRPr="001F110B" w:rsidRDefault="003967E9" w:rsidP="003967E9">
      <w:pPr>
        <w:spacing w:after="0" w:line="240" w:lineRule="auto"/>
        <w:jc w:val="both"/>
        <w:rPr>
          <w:rFonts w:ascii="Calibri" w:eastAsia="Calibri" w:hAnsi="Calibri"/>
          <w:i/>
          <w:iCs/>
          <w:color w:val="000000" w:themeColor="text1"/>
          <w:sz w:val="20"/>
          <w:szCs w:val="20"/>
        </w:rPr>
        <w:sectPr w:rsidR="003967E9" w:rsidRPr="001F110B" w:rsidSect="00C06CDD">
          <w:footerReference w:type="default" r:id="rId33"/>
          <w:pgSz w:w="11907" w:h="16840" w:code="9"/>
          <w:pgMar w:top="1418" w:right="1134" w:bottom="1134" w:left="1418" w:header="851" w:footer="851" w:gutter="0"/>
          <w:cols w:space="720"/>
          <w:noEndnote/>
        </w:sectPr>
      </w:pPr>
      <w:r w:rsidRPr="001F110B">
        <w:rPr>
          <w:rFonts w:ascii="Calibri" w:eastAsia="Calibri" w:hAnsi="Calibri"/>
          <w:i/>
          <w:iCs/>
          <w:color w:val="000000" w:themeColor="text1"/>
          <w:sz w:val="20"/>
          <w:szCs w:val="20"/>
        </w:rPr>
        <w:t>** Accrued interest on loans not yet due is allocated to the category from 1 to 3 months</w:t>
      </w:r>
      <w:r>
        <w:rPr>
          <w:rFonts w:ascii="Calibri" w:eastAsia="Calibri" w:hAnsi="Calibri"/>
          <w:i/>
          <w:iCs/>
          <w:color w:val="000000" w:themeColor="text1"/>
          <w:sz w:val="20"/>
          <w:szCs w:val="20"/>
        </w:rPr>
        <w:t>.</w:t>
      </w:r>
    </w:p>
    <w:p w14:paraId="5579A6E2" w14:textId="77777777" w:rsidR="00D108EE" w:rsidRPr="00537128" w:rsidRDefault="00D108EE" w:rsidP="00AC576E">
      <w:pPr>
        <w:spacing w:after="0" w:line="240" w:lineRule="auto"/>
        <w:jc w:val="both"/>
        <w:rPr>
          <w:rFonts w:eastAsia="Times New Roman" w:cstheme="minorHAnsi"/>
          <w:b/>
          <w:iCs/>
          <w:color w:val="000000" w:themeColor="text1"/>
          <w:lang w:val="en-US"/>
        </w:rPr>
      </w:pPr>
    </w:p>
    <w:p w14:paraId="7F7304F9" w14:textId="757667E9" w:rsidR="00D108EE" w:rsidRPr="00537128" w:rsidRDefault="00B357CE" w:rsidP="00D108EE">
      <w:p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2</w:t>
      </w:r>
      <w:r>
        <w:rPr>
          <w:rFonts w:eastAsia="Times New Roman" w:cstheme="minorHAnsi"/>
          <w:b/>
          <w:bCs/>
          <w:iCs/>
          <w:color w:val="000000" w:themeColor="text1"/>
          <w:lang w:val="en-US"/>
        </w:rPr>
        <w:t>3</w:t>
      </w:r>
      <w:r w:rsidR="00D108EE" w:rsidRPr="00537128">
        <w:rPr>
          <w:rFonts w:eastAsia="Times New Roman" w:cstheme="minorHAnsi"/>
          <w:b/>
          <w:bCs/>
          <w:iCs/>
          <w:color w:val="000000" w:themeColor="text1"/>
          <w:lang w:val="en-US"/>
        </w:rPr>
        <w:t>.</w:t>
      </w:r>
      <w:r w:rsidR="00D108EE" w:rsidRPr="00537128">
        <w:rPr>
          <w:rFonts w:eastAsia="Times New Roman" w:cstheme="minorHAnsi"/>
          <w:b/>
          <w:bCs/>
          <w:iCs/>
          <w:color w:val="000000" w:themeColor="text1"/>
          <w:lang w:val="en-US"/>
        </w:rPr>
        <w:tab/>
        <w:t>Risk management (continued)</w:t>
      </w:r>
    </w:p>
    <w:p w14:paraId="7EB557E4" w14:textId="77777777" w:rsidR="003D584A" w:rsidRPr="00537128" w:rsidRDefault="003D584A" w:rsidP="00D108EE">
      <w:pPr>
        <w:spacing w:after="0" w:line="240" w:lineRule="auto"/>
        <w:jc w:val="both"/>
        <w:rPr>
          <w:rFonts w:eastAsia="Times New Roman" w:cstheme="minorHAnsi"/>
          <w:b/>
          <w:bCs/>
          <w:iCs/>
          <w:color w:val="000000" w:themeColor="text1"/>
          <w:sz w:val="16"/>
          <w:szCs w:val="16"/>
          <w:lang w:val="en-US"/>
        </w:rPr>
      </w:pPr>
    </w:p>
    <w:p w14:paraId="7A92BA51" w14:textId="77777777" w:rsidR="00D108EE" w:rsidRPr="00537128" w:rsidRDefault="00D108EE" w:rsidP="00D108EE">
      <w:pPr>
        <w:spacing w:after="0" w:line="240" w:lineRule="auto"/>
        <w:jc w:val="both"/>
        <w:rPr>
          <w:rFonts w:eastAsia="Times New Roman" w:cstheme="minorHAnsi"/>
          <w:b/>
          <w:iCs/>
          <w:color w:val="000000" w:themeColor="text1"/>
          <w:sz w:val="6"/>
          <w:szCs w:val="6"/>
          <w:lang w:val="en-US"/>
        </w:rPr>
      </w:pPr>
    </w:p>
    <w:p w14:paraId="6A02AAFC" w14:textId="5A7D3E51" w:rsidR="00D108EE" w:rsidRPr="00537128" w:rsidRDefault="00B357CE" w:rsidP="00D108EE">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D108EE" w:rsidRPr="00537128">
        <w:rPr>
          <w:rFonts w:eastAsia="Times New Roman" w:cstheme="minorHAnsi"/>
          <w:b/>
          <w:iCs/>
          <w:color w:val="000000" w:themeColor="text1"/>
          <w:lang w:val="en-US"/>
        </w:rPr>
        <w:t xml:space="preserve">.4. </w:t>
      </w:r>
      <w:r w:rsidR="00D108EE" w:rsidRPr="00537128">
        <w:rPr>
          <w:rFonts w:eastAsia="Times New Roman" w:cstheme="minorHAnsi"/>
          <w:b/>
          <w:iCs/>
          <w:color w:val="000000" w:themeColor="text1"/>
          <w:lang w:val="en-US"/>
        </w:rPr>
        <w:tab/>
        <w:t>Liquidity risk (continued)</w:t>
      </w:r>
    </w:p>
    <w:p w14:paraId="272EF4C5" w14:textId="77777777" w:rsidR="003D584A" w:rsidRPr="00537128" w:rsidRDefault="003D584A" w:rsidP="00D108EE">
      <w:pPr>
        <w:spacing w:after="0" w:line="240" w:lineRule="auto"/>
        <w:jc w:val="both"/>
        <w:rPr>
          <w:rFonts w:eastAsia="Times New Roman" w:cstheme="minorHAnsi"/>
          <w:b/>
          <w:iCs/>
          <w:color w:val="000000" w:themeColor="text1"/>
          <w:sz w:val="16"/>
          <w:szCs w:val="16"/>
          <w:lang w:val="en-US"/>
        </w:rPr>
      </w:pPr>
    </w:p>
    <w:p w14:paraId="0366859A" w14:textId="73FAB86F" w:rsidR="00D108EE" w:rsidRPr="00537128" w:rsidRDefault="00D108EE" w:rsidP="00D108EE">
      <w:pPr>
        <w:spacing w:after="0" w:line="240" w:lineRule="auto"/>
        <w:jc w:val="both"/>
        <w:rPr>
          <w:rFonts w:eastAsia="Times New Roman" w:cstheme="minorHAnsi"/>
          <w:iCs/>
          <w:color w:val="000000" w:themeColor="text1"/>
          <w:lang w:val="en-US"/>
        </w:rPr>
      </w:pPr>
      <w:r w:rsidRPr="00537128">
        <w:rPr>
          <w:rFonts w:eastAsia="Times New Roman" w:cstheme="minorHAnsi"/>
          <w:iCs/>
          <w:color w:val="000000" w:themeColor="text1"/>
          <w:lang w:val="en-US"/>
        </w:rPr>
        <w:t xml:space="preserve">The table below provides an analysis of total assets, total liabilities and total guarantees and commitments as of </w:t>
      </w:r>
      <w:r w:rsidR="001263A7" w:rsidRPr="00537128">
        <w:rPr>
          <w:rFonts w:eastAsia="Times New Roman" w:cstheme="minorHAnsi"/>
          <w:iCs/>
          <w:color w:val="000000" w:themeColor="text1"/>
          <w:lang w:val="en-US"/>
        </w:rPr>
        <w:t>3</w:t>
      </w:r>
      <w:r w:rsidR="003D584A" w:rsidRPr="00537128">
        <w:rPr>
          <w:rFonts w:eastAsia="Times New Roman" w:cstheme="minorHAnsi"/>
          <w:iCs/>
          <w:color w:val="000000" w:themeColor="text1"/>
          <w:lang w:val="en-US"/>
        </w:rPr>
        <w:t>1</w:t>
      </w:r>
      <w:r w:rsidR="001263A7" w:rsidRPr="00537128">
        <w:rPr>
          <w:rFonts w:eastAsia="Times New Roman" w:cstheme="minorHAnsi"/>
          <w:iCs/>
          <w:color w:val="000000" w:themeColor="text1"/>
          <w:lang w:val="en-US"/>
        </w:rPr>
        <w:t xml:space="preserve"> </w:t>
      </w:r>
      <w:r w:rsidR="003D584A" w:rsidRPr="00537128">
        <w:rPr>
          <w:rFonts w:eastAsia="Times New Roman" w:cstheme="minorHAnsi"/>
          <w:iCs/>
          <w:color w:val="000000" w:themeColor="text1"/>
          <w:lang w:val="en-US"/>
        </w:rPr>
        <w:t>March</w:t>
      </w:r>
      <w:r w:rsidR="001263A7" w:rsidRPr="00537128">
        <w:rPr>
          <w:rFonts w:eastAsia="Times New Roman" w:cstheme="minorHAnsi"/>
          <w:iCs/>
          <w:color w:val="000000" w:themeColor="text1"/>
          <w:lang w:val="en-US"/>
        </w:rPr>
        <w:t xml:space="preserve"> </w:t>
      </w:r>
      <w:r w:rsidRPr="00537128">
        <w:rPr>
          <w:rFonts w:eastAsia="Times New Roman" w:cstheme="minorHAnsi"/>
          <w:iCs/>
          <w:color w:val="000000" w:themeColor="text1"/>
          <w:lang w:val="en-US"/>
        </w:rPr>
        <w:t>202</w:t>
      </w:r>
      <w:r w:rsidR="00D36A34">
        <w:rPr>
          <w:rFonts w:eastAsia="Times New Roman" w:cstheme="minorHAnsi"/>
          <w:iCs/>
          <w:color w:val="000000" w:themeColor="text1"/>
          <w:lang w:val="en-US"/>
        </w:rPr>
        <w:t>2</w:t>
      </w:r>
      <w:r w:rsidRPr="00537128">
        <w:rPr>
          <w:rFonts w:eastAsia="Times New Roman" w:cstheme="minorHAnsi"/>
          <w:iCs/>
          <w:color w:val="000000" w:themeColor="text1"/>
          <w:lang w:val="en-US"/>
        </w:rPr>
        <w:t xml:space="preserve"> and 31 December 20</w:t>
      </w:r>
      <w:r w:rsidR="003D584A" w:rsidRPr="00537128">
        <w:rPr>
          <w:rFonts w:eastAsia="Times New Roman" w:cstheme="minorHAnsi"/>
          <w:iCs/>
          <w:color w:val="000000" w:themeColor="text1"/>
          <w:lang w:val="en-US"/>
        </w:rPr>
        <w:t>2</w:t>
      </w:r>
      <w:r w:rsidR="00D36A34">
        <w:rPr>
          <w:rFonts w:eastAsia="Times New Roman" w:cstheme="minorHAnsi"/>
          <w:iCs/>
          <w:color w:val="000000" w:themeColor="text1"/>
          <w:lang w:val="en-US"/>
        </w:rPr>
        <w:t>1</w:t>
      </w:r>
      <w:r w:rsidRPr="00537128">
        <w:rPr>
          <w:rFonts w:eastAsia="Times New Roman" w:cstheme="minorHAnsi"/>
          <w:iCs/>
          <w:color w:val="000000" w:themeColor="text1"/>
          <w:lang w:val="en-US"/>
        </w:rPr>
        <w:t xml:space="preserve"> placed into relevant maturity groupings based on the remaining period as at the Statement of Financial Position date related to the contractual maturity date, as follows:</w:t>
      </w:r>
    </w:p>
    <w:tbl>
      <w:tblPr>
        <w:tblW w:w="5377" w:type="pct"/>
        <w:tblInd w:w="-164" w:type="dxa"/>
        <w:tblLayout w:type="fixed"/>
        <w:tblCellMar>
          <w:left w:w="120" w:type="dxa"/>
          <w:right w:w="120" w:type="dxa"/>
        </w:tblCellMar>
        <w:tblLook w:val="0000" w:firstRow="0" w:lastRow="0" w:firstColumn="0" w:lastColumn="0" w:noHBand="0" w:noVBand="0"/>
      </w:tblPr>
      <w:tblGrid>
        <w:gridCol w:w="3302"/>
        <w:gridCol w:w="1020"/>
        <w:gridCol w:w="1111"/>
        <w:gridCol w:w="1187"/>
        <w:gridCol w:w="1151"/>
        <w:gridCol w:w="1153"/>
        <w:gridCol w:w="1135"/>
      </w:tblGrid>
      <w:tr w:rsidR="003D584A" w:rsidRPr="00537128" w14:paraId="348AF795" w14:textId="77777777" w:rsidTr="00703DBC">
        <w:trPr>
          <w:trHeight w:hRule="exact" w:val="514"/>
        </w:trPr>
        <w:tc>
          <w:tcPr>
            <w:tcW w:w="1641" w:type="pct"/>
          </w:tcPr>
          <w:p w14:paraId="08808D70" w14:textId="77777777" w:rsidR="003D584A" w:rsidRPr="00537128" w:rsidRDefault="003D584A" w:rsidP="003D584A">
            <w:pPr>
              <w:tabs>
                <w:tab w:val="right" w:pos="1202"/>
              </w:tabs>
              <w:spacing w:after="0" w:line="240" w:lineRule="exact"/>
              <w:outlineLvl w:val="0"/>
              <w:rPr>
                <w:rFonts w:ascii="Calibri" w:eastAsia="Calibri" w:hAnsi="Calibri" w:cs="Arial"/>
                <w:b/>
                <w:sz w:val="18"/>
                <w:szCs w:val="18"/>
                <w:lang w:val="en-US"/>
              </w:rPr>
            </w:pPr>
            <w:bookmarkStart w:id="857" w:name="_Toc4062155"/>
            <w:r w:rsidRPr="00537128">
              <w:rPr>
                <w:rFonts w:ascii="Calibri" w:eastAsia="Calibri" w:hAnsi="Calibri" w:cs="Arial"/>
                <w:b/>
                <w:sz w:val="18"/>
                <w:szCs w:val="18"/>
                <w:lang w:val="en-US"/>
              </w:rPr>
              <w:t>Bank</w:t>
            </w:r>
            <w:bookmarkEnd w:id="857"/>
          </w:p>
          <w:p w14:paraId="46BEC426" w14:textId="4B4A6E4F" w:rsidR="003D584A" w:rsidRPr="00537128" w:rsidRDefault="003D584A" w:rsidP="003D584A">
            <w:pPr>
              <w:tabs>
                <w:tab w:val="right" w:pos="1202"/>
              </w:tabs>
              <w:spacing w:after="0" w:line="240" w:lineRule="exact"/>
              <w:outlineLvl w:val="0"/>
              <w:rPr>
                <w:rFonts w:ascii="Calibri" w:eastAsia="Calibri" w:hAnsi="Calibri" w:cs="Arial"/>
                <w:b/>
                <w:sz w:val="18"/>
                <w:szCs w:val="18"/>
                <w:lang w:val="en-US"/>
              </w:rPr>
            </w:pPr>
            <w:r w:rsidRPr="00537128">
              <w:rPr>
                <w:rFonts w:ascii="Calibri" w:eastAsia="Times New Roman" w:hAnsi="Calibri" w:cs="Arial"/>
                <w:b/>
                <w:sz w:val="18"/>
                <w:szCs w:val="18"/>
                <w:lang w:val="en-US"/>
              </w:rPr>
              <w:t>31 March 202</w:t>
            </w:r>
            <w:r w:rsidR="00D36A34">
              <w:rPr>
                <w:rFonts w:ascii="Calibri" w:eastAsia="Times New Roman" w:hAnsi="Calibri" w:cs="Arial"/>
                <w:b/>
                <w:sz w:val="18"/>
                <w:szCs w:val="18"/>
                <w:lang w:val="en-US"/>
              </w:rPr>
              <w:t>2</w:t>
            </w:r>
          </w:p>
          <w:p w14:paraId="1F77C411" w14:textId="77777777" w:rsidR="003D584A" w:rsidRPr="00537128" w:rsidRDefault="003D584A" w:rsidP="003D584A">
            <w:pPr>
              <w:tabs>
                <w:tab w:val="right" w:pos="1202"/>
              </w:tabs>
              <w:spacing w:after="0" w:line="240" w:lineRule="exact"/>
              <w:outlineLvl w:val="0"/>
              <w:rPr>
                <w:rFonts w:ascii="Calibri" w:eastAsia="Calibri" w:hAnsi="Calibri" w:cs="Arial"/>
                <w:b/>
                <w:sz w:val="18"/>
                <w:szCs w:val="18"/>
                <w:lang w:val="en-US"/>
              </w:rPr>
            </w:pPr>
            <w:bookmarkStart w:id="858" w:name="_Toc4062156"/>
            <w:r w:rsidRPr="00537128">
              <w:rPr>
                <w:rFonts w:ascii="Calibri" w:eastAsia="Calibri" w:hAnsi="Calibri" w:cs="Arial"/>
                <w:b/>
                <w:sz w:val="18"/>
                <w:szCs w:val="18"/>
                <w:lang w:val="en-US"/>
              </w:rPr>
              <w:t>31 December 2018</w:t>
            </w:r>
            <w:bookmarkEnd w:id="858"/>
          </w:p>
        </w:tc>
        <w:tc>
          <w:tcPr>
            <w:tcW w:w="507" w:type="pct"/>
          </w:tcPr>
          <w:p w14:paraId="50A986FB"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59" w:name="_Toc4062157"/>
            <w:r w:rsidRPr="00537128">
              <w:rPr>
                <w:rFonts w:ascii="Calibri" w:eastAsia="Times New Roman" w:hAnsi="Calibri" w:cs="Arial"/>
                <w:b/>
                <w:sz w:val="18"/>
                <w:szCs w:val="18"/>
                <w:lang w:val="en-US"/>
              </w:rPr>
              <w:t>Up to 1</w:t>
            </w:r>
            <w:bookmarkEnd w:id="859"/>
            <w:r w:rsidRPr="00537128">
              <w:rPr>
                <w:rFonts w:ascii="Calibri" w:eastAsia="Times New Roman" w:hAnsi="Calibri" w:cs="Arial"/>
                <w:b/>
                <w:sz w:val="18"/>
                <w:szCs w:val="18"/>
                <w:lang w:val="en-US"/>
              </w:rPr>
              <w:t xml:space="preserve"> </w:t>
            </w:r>
          </w:p>
          <w:p w14:paraId="12AC3DFA"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60" w:name="_Toc4062158"/>
            <w:r w:rsidRPr="00537128">
              <w:rPr>
                <w:rFonts w:ascii="Calibri" w:eastAsia="Times New Roman" w:hAnsi="Calibri" w:cs="Arial"/>
                <w:b/>
                <w:sz w:val="18"/>
                <w:szCs w:val="18"/>
                <w:lang w:val="en-US"/>
              </w:rPr>
              <w:t>month</w:t>
            </w:r>
            <w:bookmarkEnd w:id="860"/>
          </w:p>
        </w:tc>
        <w:tc>
          <w:tcPr>
            <w:tcW w:w="552" w:type="pct"/>
          </w:tcPr>
          <w:p w14:paraId="74D25DC8"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61" w:name="_Toc4062159"/>
            <w:r w:rsidRPr="00537128">
              <w:rPr>
                <w:rFonts w:ascii="Calibri" w:eastAsia="Times New Roman" w:hAnsi="Calibri" w:cs="Arial"/>
                <w:b/>
                <w:sz w:val="18"/>
                <w:szCs w:val="18"/>
                <w:lang w:val="en-US"/>
              </w:rPr>
              <w:t>1 to 3 months</w:t>
            </w:r>
            <w:bookmarkEnd w:id="861"/>
            <w:r w:rsidRPr="00537128">
              <w:rPr>
                <w:rFonts w:ascii="Calibri" w:eastAsia="Times New Roman" w:hAnsi="Calibri" w:cs="Arial"/>
                <w:b/>
                <w:sz w:val="18"/>
                <w:szCs w:val="18"/>
                <w:lang w:val="en-US"/>
              </w:rPr>
              <w:t xml:space="preserve"> </w:t>
            </w:r>
          </w:p>
        </w:tc>
        <w:tc>
          <w:tcPr>
            <w:tcW w:w="590" w:type="pct"/>
          </w:tcPr>
          <w:p w14:paraId="4564CA2D"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62" w:name="_Toc4062160"/>
            <w:r w:rsidRPr="00537128">
              <w:rPr>
                <w:rFonts w:ascii="Calibri" w:eastAsia="Times New Roman" w:hAnsi="Calibri" w:cs="Arial"/>
                <w:b/>
                <w:sz w:val="18"/>
                <w:szCs w:val="18"/>
                <w:lang w:val="en-US"/>
              </w:rPr>
              <w:t>3 months to 1 year</w:t>
            </w:r>
            <w:bookmarkEnd w:id="862"/>
            <w:r w:rsidRPr="00537128">
              <w:rPr>
                <w:rFonts w:ascii="Calibri" w:eastAsia="Times New Roman" w:hAnsi="Calibri" w:cs="Arial"/>
                <w:b/>
                <w:sz w:val="18"/>
                <w:szCs w:val="18"/>
                <w:lang w:val="en-US"/>
              </w:rPr>
              <w:t xml:space="preserve"> </w:t>
            </w:r>
          </w:p>
        </w:tc>
        <w:tc>
          <w:tcPr>
            <w:tcW w:w="572" w:type="pct"/>
          </w:tcPr>
          <w:p w14:paraId="46ACF863"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63" w:name="_Toc4062161"/>
            <w:r w:rsidRPr="00537128">
              <w:rPr>
                <w:rFonts w:ascii="Calibri" w:eastAsia="Times New Roman" w:hAnsi="Calibri" w:cs="Arial"/>
                <w:b/>
                <w:sz w:val="18"/>
                <w:szCs w:val="18"/>
                <w:lang w:val="en-US"/>
              </w:rPr>
              <w:t>1 to 3</w:t>
            </w:r>
            <w:bookmarkEnd w:id="863"/>
          </w:p>
          <w:p w14:paraId="74C1D836"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64" w:name="_Toc4062162"/>
            <w:r w:rsidRPr="00537128">
              <w:rPr>
                <w:rFonts w:ascii="Calibri" w:eastAsia="Times New Roman" w:hAnsi="Calibri" w:cs="Arial"/>
                <w:b/>
                <w:sz w:val="18"/>
                <w:szCs w:val="18"/>
                <w:lang w:val="en-US"/>
              </w:rPr>
              <w:t>years</w:t>
            </w:r>
            <w:bookmarkEnd w:id="864"/>
          </w:p>
        </w:tc>
        <w:tc>
          <w:tcPr>
            <w:tcW w:w="573" w:type="pct"/>
          </w:tcPr>
          <w:p w14:paraId="4B907F2F"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65" w:name="_Toc4062163"/>
            <w:r w:rsidRPr="00537128">
              <w:rPr>
                <w:rFonts w:ascii="Calibri" w:eastAsia="Times New Roman" w:hAnsi="Calibri" w:cs="Arial"/>
                <w:b/>
                <w:sz w:val="18"/>
                <w:szCs w:val="18"/>
                <w:lang w:val="en-US"/>
              </w:rPr>
              <w:t>Over 3</w:t>
            </w:r>
            <w:bookmarkEnd w:id="865"/>
            <w:r w:rsidRPr="00537128">
              <w:rPr>
                <w:rFonts w:ascii="Calibri" w:eastAsia="Times New Roman" w:hAnsi="Calibri" w:cs="Arial"/>
                <w:b/>
                <w:sz w:val="18"/>
                <w:szCs w:val="18"/>
                <w:lang w:val="en-US"/>
              </w:rPr>
              <w:t xml:space="preserve"> </w:t>
            </w:r>
          </w:p>
          <w:p w14:paraId="016C19C0"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66" w:name="_Toc4062164"/>
            <w:r w:rsidRPr="00537128">
              <w:rPr>
                <w:rFonts w:ascii="Calibri" w:eastAsia="Times New Roman" w:hAnsi="Calibri" w:cs="Arial"/>
                <w:b/>
                <w:sz w:val="18"/>
                <w:szCs w:val="18"/>
                <w:lang w:val="en-US"/>
              </w:rPr>
              <w:t>years</w:t>
            </w:r>
            <w:bookmarkEnd w:id="866"/>
          </w:p>
        </w:tc>
        <w:tc>
          <w:tcPr>
            <w:tcW w:w="564" w:type="pct"/>
          </w:tcPr>
          <w:p w14:paraId="2B248EE7"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67" w:name="_Toc4062165"/>
            <w:r w:rsidRPr="00537128">
              <w:rPr>
                <w:rFonts w:ascii="Calibri" w:eastAsia="Times New Roman" w:hAnsi="Calibri" w:cs="Arial"/>
                <w:b/>
                <w:sz w:val="18"/>
                <w:szCs w:val="18"/>
                <w:lang w:val="en-US"/>
              </w:rPr>
              <w:t>Total</w:t>
            </w:r>
            <w:bookmarkEnd w:id="867"/>
            <w:r w:rsidRPr="00537128">
              <w:rPr>
                <w:rFonts w:ascii="Calibri" w:eastAsia="Times New Roman" w:hAnsi="Calibri" w:cs="Arial"/>
                <w:b/>
                <w:sz w:val="18"/>
                <w:szCs w:val="18"/>
                <w:lang w:val="en-US"/>
              </w:rPr>
              <w:t xml:space="preserve"> </w:t>
            </w:r>
          </w:p>
        </w:tc>
      </w:tr>
      <w:tr w:rsidR="003D584A" w:rsidRPr="00537128" w14:paraId="4E3BB86D" w14:textId="77777777" w:rsidTr="00703DBC">
        <w:trPr>
          <w:trHeight w:hRule="exact" w:val="275"/>
        </w:trPr>
        <w:tc>
          <w:tcPr>
            <w:tcW w:w="1641" w:type="pct"/>
          </w:tcPr>
          <w:p w14:paraId="5248CEEE" w14:textId="77777777" w:rsidR="003D584A" w:rsidRPr="00537128" w:rsidRDefault="003D584A" w:rsidP="003D584A">
            <w:pPr>
              <w:tabs>
                <w:tab w:val="right" w:pos="1202"/>
              </w:tabs>
              <w:spacing w:after="0" w:line="240" w:lineRule="exact"/>
              <w:outlineLvl w:val="0"/>
              <w:rPr>
                <w:rFonts w:ascii="Calibri" w:eastAsia="Calibri" w:hAnsi="Calibri" w:cs="Arial"/>
                <w:b/>
                <w:sz w:val="18"/>
                <w:szCs w:val="18"/>
                <w:lang w:val="en-US"/>
              </w:rPr>
            </w:pPr>
          </w:p>
        </w:tc>
        <w:tc>
          <w:tcPr>
            <w:tcW w:w="507" w:type="pct"/>
          </w:tcPr>
          <w:p w14:paraId="4E3760B5"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68" w:name="_Toc4062166"/>
            <w:r w:rsidRPr="00537128">
              <w:rPr>
                <w:rFonts w:ascii="Calibri" w:eastAsia="Calibri" w:hAnsi="Calibri" w:cs="Times New Roman"/>
                <w:b/>
                <w:sz w:val="18"/>
                <w:szCs w:val="18"/>
                <w:lang w:val="en-US"/>
              </w:rPr>
              <w:t>HRK ‘000</w:t>
            </w:r>
            <w:bookmarkEnd w:id="868"/>
          </w:p>
        </w:tc>
        <w:tc>
          <w:tcPr>
            <w:tcW w:w="552" w:type="pct"/>
          </w:tcPr>
          <w:p w14:paraId="3D85D2A0"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69" w:name="_Toc4062167"/>
            <w:r w:rsidRPr="00537128">
              <w:rPr>
                <w:rFonts w:ascii="Calibri" w:eastAsia="Calibri" w:hAnsi="Calibri" w:cs="Times New Roman"/>
                <w:b/>
                <w:sz w:val="18"/>
                <w:szCs w:val="18"/>
                <w:lang w:val="en-US"/>
              </w:rPr>
              <w:t>HRK ‘000</w:t>
            </w:r>
            <w:bookmarkEnd w:id="869"/>
          </w:p>
        </w:tc>
        <w:tc>
          <w:tcPr>
            <w:tcW w:w="590" w:type="pct"/>
          </w:tcPr>
          <w:p w14:paraId="51EE19EB"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70" w:name="_Toc4062168"/>
            <w:r w:rsidRPr="00537128">
              <w:rPr>
                <w:rFonts w:ascii="Calibri" w:eastAsia="Calibri" w:hAnsi="Calibri" w:cs="Times New Roman"/>
                <w:b/>
                <w:sz w:val="18"/>
                <w:szCs w:val="18"/>
                <w:lang w:val="en-US"/>
              </w:rPr>
              <w:t>HRK ‘000</w:t>
            </w:r>
            <w:bookmarkEnd w:id="870"/>
          </w:p>
        </w:tc>
        <w:tc>
          <w:tcPr>
            <w:tcW w:w="572" w:type="pct"/>
          </w:tcPr>
          <w:p w14:paraId="36652563"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71" w:name="_Toc4062169"/>
            <w:r w:rsidRPr="00537128">
              <w:rPr>
                <w:rFonts w:ascii="Calibri" w:eastAsia="Calibri" w:hAnsi="Calibri" w:cs="Times New Roman"/>
                <w:b/>
                <w:sz w:val="18"/>
                <w:szCs w:val="18"/>
                <w:lang w:val="en-US"/>
              </w:rPr>
              <w:t>HRK ‘000</w:t>
            </w:r>
            <w:bookmarkEnd w:id="871"/>
          </w:p>
        </w:tc>
        <w:tc>
          <w:tcPr>
            <w:tcW w:w="573" w:type="pct"/>
          </w:tcPr>
          <w:p w14:paraId="615818B6"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72" w:name="_Toc4062170"/>
            <w:r w:rsidRPr="00537128">
              <w:rPr>
                <w:rFonts w:ascii="Calibri" w:eastAsia="Calibri" w:hAnsi="Calibri" w:cs="Times New Roman"/>
                <w:b/>
                <w:sz w:val="18"/>
                <w:szCs w:val="18"/>
                <w:lang w:val="en-US"/>
              </w:rPr>
              <w:t>HRK ‘000</w:t>
            </w:r>
            <w:bookmarkEnd w:id="872"/>
          </w:p>
        </w:tc>
        <w:tc>
          <w:tcPr>
            <w:tcW w:w="564" w:type="pct"/>
          </w:tcPr>
          <w:p w14:paraId="0BB8DE7A"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73" w:name="_Toc4062171"/>
            <w:r w:rsidRPr="00537128">
              <w:rPr>
                <w:rFonts w:ascii="Calibri" w:eastAsia="Calibri" w:hAnsi="Calibri" w:cs="Times New Roman"/>
                <w:b/>
                <w:sz w:val="18"/>
                <w:szCs w:val="18"/>
                <w:lang w:val="en-US"/>
              </w:rPr>
              <w:t>HRK ‘000</w:t>
            </w:r>
            <w:bookmarkEnd w:id="873"/>
          </w:p>
        </w:tc>
      </w:tr>
      <w:tr w:rsidR="003D584A" w:rsidRPr="00537128" w14:paraId="2392BCAB" w14:textId="77777777" w:rsidTr="00703DBC">
        <w:trPr>
          <w:trHeight w:hRule="exact" w:val="275"/>
        </w:trPr>
        <w:tc>
          <w:tcPr>
            <w:tcW w:w="1641" w:type="pct"/>
            <w:vAlign w:val="bottom"/>
          </w:tcPr>
          <w:p w14:paraId="641EF9B9" w14:textId="77777777" w:rsidR="003D584A" w:rsidRPr="00537128" w:rsidRDefault="003D584A" w:rsidP="003D584A">
            <w:pPr>
              <w:tabs>
                <w:tab w:val="right" w:pos="1202"/>
              </w:tabs>
              <w:spacing w:after="0" w:line="240" w:lineRule="exact"/>
              <w:outlineLvl w:val="0"/>
              <w:rPr>
                <w:rFonts w:ascii="Calibri" w:eastAsia="Calibri" w:hAnsi="Calibri" w:cs="Arial"/>
                <w:b/>
                <w:bCs/>
                <w:sz w:val="18"/>
                <w:szCs w:val="18"/>
                <w:lang w:val="en-US"/>
              </w:rPr>
            </w:pPr>
            <w:bookmarkStart w:id="874" w:name="_Toc4062172"/>
            <w:r w:rsidRPr="00537128">
              <w:rPr>
                <w:rFonts w:ascii="Calibri" w:eastAsia="Calibri" w:hAnsi="Calibri" w:cs="Arial"/>
                <w:b/>
                <w:bCs/>
                <w:sz w:val="18"/>
                <w:szCs w:val="18"/>
                <w:lang w:val="en-US"/>
              </w:rPr>
              <w:t>Assets</w:t>
            </w:r>
            <w:bookmarkEnd w:id="874"/>
            <w:r w:rsidRPr="00537128">
              <w:rPr>
                <w:rFonts w:ascii="Calibri" w:eastAsia="Calibri" w:hAnsi="Calibri" w:cs="Arial"/>
                <w:b/>
                <w:bCs/>
                <w:sz w:val="18"/>
                <w:szCs w:val="18"/>
                <w:lang w:val="en-US"/>
              </w:rPr>
              <w:t xml:space="preserve"> </w:t>
            </w:r>
          </w:p>
        </w:tc>
        <w:tc>
          <w:tcPr>
            <w:tcW w:w="507" w:type="pct"/>
            <w:vAlign w:val="bottom"/>
          </w:tcPr>
          <w:p w14:paraId="135F1D07"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c>
          <w:tcPr>
            <w:tcW w:w="552" w:type="pct"/>
            <w:vAlign w:val="bottom"/>
          </w:tcPr>
          <w:p w14:paraId="42E961D2"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c>
          <w:tcPr>
            <w:tcW w:w="590" w:type="pct"/>
            <w:vAlign w:val="bottom"/>
          </w:tcPr>
          <w:p w14:paraId="0E5A8BAF"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c>
          <w:tcPr>
            <w:tcW w:w="572" w:type="pct"/>
            <w:vAlign w:val="bottom"/>
          </w:tcPr>
          <w:p w14:paraId="42AD7C9C"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c>
          <w:tcPr>
            <w:tcW w:w="573" w:type="pct"/>
            <w:vAlign w:val="bottom"/>
          </w:tcPr>
          <w:p w14:paraId="149243D1"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c>
          <w:tcPr>
            <w:tcW w:w="564" w:type="pct"/>
            <w:vAlign w:val="bottom"/>
          </w:tcPr>
          <w:p w14:paraId="4A4065EB"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r>
      <w:tr w:rsidR="00D319F7" w:rsidRPr="00537128" w14:paraId="25200B59" w14:textId="77777777" w:rsidTr="00E07025">
        <w:trPr>
          <w:trHeight w:hRule="exact" w:val="512"/>
        </w:trPr>
        <w:tc>
          <w:tcPr>
            <w:tcW w:w="1641" w:type="pct"/>
            <w:vAlign w:val="bottom"/>
          </w:tcPr>
          <w:p w14:paraId="4F5CACDC" w14:textId="77777777" w:rsidR="00D319F7" w:rsidRPr="00537128" w:rsidRDefault="00D319F7" w:rsidP="00D319F7">
            <w:pPr>
              <w:tabs>
                <w:tab w:val="right" w:pos="1202"/>
              </w:tabs>
              <w:spacing w:after="0" w:line="220" w:lineRule="exact"/>
              <w:outlineLvl w:val="0"/>
              <w:rPr>
                <w:rFonts w:ascii="Calibri" w:eastAsia="Times New Roman" w:hAnsi="Calibri" w:cs="Arial"/>
                <w:spacing w:val="-2"/>
                <w:sz w:val="18"/>
                <w:szCs w:val="18"/>
                <w:lang w:val="en-US"/>
              </w:rPr>
            </w:pPr>
            <w:bookmarkStart w:id="875" w:name="_Toc4062173"/>
            <w:r w:rsidRPr="00537128">
              <w:rPr>
                <w:rFonts w:ascii="Calibri" w:eastAsia="Times New Roman" w:hAnsi="Calibri" w:cs="Arial"/>
                <w:spacing w:val="-2"/>
                <w:sz w:val="18"/>
                <w:szCs w:val="18"/>
                <w:lang w:val="en-US"/>
              </w:rPr>
              <w:t>Cash on hand and current accounts with banks</w:t>
            </w:r>
            <w:bookmarkEnd w:id="875"/>
            <w:r w:rsidRPr="00537128">
              <w:rPr>
                <w:rFonts w:ascii="Calibri" w:eastAsia="Times New Roman" w:hAnsi="Calibri" w:cs="Arial"/>
                <w:spacing w:val="-2"/>
                <w:sz w:val="18"/>
                <w:szCs w:val="18"/>
                <w:lang w:val="en-US"/>
              </w:rPr>
              <w:t xml:space="preserve"> </w:t>
            </w:r>
          </w:p>
        </w:tc>
        <w:tc>
          <w:tcPr>
            <w:tcW w:w="507" w:type="pct"/>
            <w:tcBorders>
              <w:top w:val="nil"/>
              <w:left w:val="nil"/>
              <w:bottom w:val="nil"/>
              <w:right w:val="nil"/>
            </w:tcBorders>
            <w:shd w:val="clear" w:color="auto" w:fill="auto"/>
            <w:vAlign w:val="bottom"/>
          </w:tcPr>
          <w:p w14:paraId="31604B5D" w14:textId="4B625452" w:rsidR="00D319F7" w:rsidRPr="00537128" w:rsidRDefault="00D319F7"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s="Calibri"/>
                <w:color w:val="000000"/>
                <w:sz w:val="18"/>
                <w:szCs w:val="18"/>
              </w:rPr>
              <w:t>1</w:t>
            </w:r>
            <w:r w:rsidR="00114E6B">
              <w:rPr>
                <w:rFonts w:ascii="Calibri" w:hAnsi="Calibri" w:cs="Calibri"/>
                <w:color w:val="000000"/>
                <w:sz w:val="18"/>
                <w:szCs w:val="18"/>
              </w:rPr>
              <w:t>,</w:t>
            </w:r>
            <w:r>
              <w:rPr>
                <w:rFonts w:ascii="Calibri" w:hAnsi="Calibri" w:cs="Calibri"/>
                <w:color w:val="000000"/>
                <w:sz w:val="18"/>
                <w:szCs w:val="18"/>
              </w:rPr>
              <w:t>571</w:t>
            </w:r>
            <w:r w:rsidR="00114E6B">
              <w:rPr>
                <w:rFonts w:ascii="Calibri" w:hAnsi="Calibri" w:cs="Calibri"/>
                <w:color w:val="000000"/>
                <w:sz w:val="18"/>
                <w:szCs w:val="18"/>
              </w:rPr>
              <w:t>,</w:t>
            </w:r>
            <w:r>
              <w:rPr>
                <w:rFonts w:ascii="Calibri" w:hAnsi="Calibri" w:cs="Calibri"/>
                <w:color w:val="000000"/>
                <w:sz w:val="18"/>
                <w:szCs w:val="18"/>
              </w:rPr>
              <w:t>206</w:t>
            </w:r>
          </w:p>
        </w:tc>
        <w:tc>
          <w:tcPr>
            <w:tcW w:w="552" w:type="pct"/>
            <w:tcBorders>
              <w:top w:val="nil"/>
              <w:left w:val="nil"/>
              <w:bottom w:val="nil"/>
              <w:right w:val="nil"/>
            </w:tcBorders>
            <w:shd w:val="clear" w:color="auto" w:fill="auto"/>
            <w:vAlign w:val="bottom"/>
          </w:tcPr>
          <w:p w14:paraId="563807A6" w14:textId="2DE5B5E9" w:rsidR="00D319F7" w:rsidRPr="00537128" w:rsidRDefault="00D319F7"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90" w:type="pct"/>
            <w:tcBorders>
              <w:top w:val="nil"/>
              <w:left w:val="nil"/>
              <w:bottom w:val="nil"/>
              <w:right w:val="nil"/>
            </w:tcBorders>
            <w:shd w:val="clear" w:color="auto" w:fill="auto"/>
            <w:vAlign w:val="bottom"/>
          </w:tcPr>
          <w:p w14:paraId="3E8A557A" w14:textId="608081F6" w:rsidR="00D319F7" w:rsidRPr="00537128" w:rsidRDefault="00D319F7"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5BFE11EB" w14:textId="3D069DCC" w:rsidR="00D319F7" w:rsidRPr="00537128" w:rsidRDefault="00D319F7"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73" w:type="pct"/>
            <w:tcBorders>
              <w:top w:val="nil"/>
              <w:left w:val="nil"/>
              <w:bottom w:val="nil"/>
              <w:right w:val="nil"/>
            </w:tcBorders>
            <w:shd w:val="clear" w:color="auto" w:fill="auto"/>
            <w:vAlign w:val="bottom"/>
          </w:tcPr>
          <w:p w14:paraId="3D025417" w14:textId="41E0765F" w:rsidR="00D319F7" w:rsidRPr="00537128" w:rsidRDefault="00D319F7"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64" w:type="pct"/>
            <w:tcBorders>
              <w:top w:val="nil"/>
              <w:left w:val="nil"/>
              <w:bottom w:val="nil"/>
              <w:right w:val="nil"/>
            </w:tcBorders>
            <w:shd w:val="clear" w:color="auto" w:fill="auto"/>
            <w:vAlign w:val="bottom"/>
          </w:tcPr>
          <w:p w14:paraId="1D60C987" w14:textId="524CB712" w:rsidR="00D319F7" w:rsidRPr="00537128" w:rsidRDefault="00D319F7"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s="Calibri"/>
                <w:color w:val="000000"/>
                <w:sz w:val="18"/>
                <w:szCs w:val="18"/>
              </w:rPr>
              <w:t>1</w:t>
            </w:r>
            <w:r w:rsidR="00114E6B">
              <w:rPr>
                <w:rFonts w:ascii="Calibri" w:hAnsi="Calibri" w:cs="Calibri"/>
                <w:color w:val="000000"/>
                <w:sz w:val="18"/>
                <w:szCs w:val="18"/>
              </w:rPr>
              <w:t>,</w:t>
            </w:r>
            <w:r>
              <w:rPr>
                <w:rFonts w:ascii="Calibri" w:hAnsi="Calibri" w:cs="Calibri"/>
                <w:color w:val="000000"/>
                <w:sz w:val="18"/>
                <w:szCs w:val="18"/>
              </w:rPr>
              <w:t>571</w:t>
            </w:r>
            <w:r w:rsidR="00114E6B">
              <w:rPr>
                <w:rFonts w:ascii="Calibri" w:hAnsi="Calibri" w:cs="Calibri"/>
                <w:color w:val="000000"/>
                <w:sz w:val="18"/>
                <w:szCs w:val="18"/>
              </w:rPr>
              <w:t>,</w:t>
            </w:r>
            <w:r>
              <w:rPr>
                <w:rFonts w:ascii="Calibri" w:hAnsi="Calibri" w:cs="Calibri"/>
                <w:color w:val="000000"/>
                <w:sz w:val="18"/>
                <w:szCs w:val="18"/>
              </w:rPr>
              <w:t>206</w:t>
            </w:r>
          </w:p>
        </w:tc>
      </w:tr>
      <w:tr w:rsidR="00D319F7" w:rsidRPr="00537128" w14:paraId="444076A6" w14:textId="77777777" w:rsidTr="009465D9">
        <w:trPr>
          <w:trHeight w:hRule="exact" w:val="275"/>
        </w:trPr>
        <w:tc>
          <w:tcPr>
            <w:tcW w:w="1641" w:type="pct"/>
            <w:vAlign w:val="bottom"/>
          </w:tcPr>
          <w:p w14:paraId="59601DDD" w14:textId="77777777" w:rsidR="00D319F7" w:rsidRPr="00537128" w:rsidRDefault="00D319F7" w:rsidP="00D319F7">
            <w:pPr>
              <w:tabs>
                <w:tab w:val="right" w:pos="1202"/>
              </w:tabs>
              <w:spacing w:after="0" w:line="220" w:lineRule="exact"/>
              <w:outlineLvl w:val="0"/>
              <w:rPr>
                <w:rFonts w:ascii="Calibri" w:eastAsia="Times New Roman" w:hAnsi="Calibri" w:cs="Arial"/>
                <w:spacing w:val="-2"/>
                <w:sz w:val="18"/>
                <w:szCs w:val="18"/>
                <w:lang w:val="en-US"/>
              </w:rPr>
            </w:pPr>
            <w:bookmarkStart w:id="876" w:name="_Toc4062180"/>
            <w:r w:rsidRPr="00537128">
              <w:rPr>
                <w:rFonts w:ascii="Calibri" w:eastAsia="Times New Roman" w:hAnsi="Calibri" w:cs="Arial"/>
                <w:spacing w:val="-2"/>
                <w:sz w:val="18"/>
                <w:szCs w:val="18"/>
                <w:lang w:val="en-US"/>
              </w:rPr>
              <w:t>Deposits with other banks</w:t>
            </w:r>
            <w:bookmarkEnd w:id="876"/>
          </w:p>
        </w:tc>
        <w:tc>
          <w:tcPr>
            <w:tcW w:w="507" w:type="pct"/>
            <w:tcBorders>
              <w:top w:val="nil"/>
              <w:left w:val="nil"/>
              <w:bottom w:val="nil"/>
              <w:right w:val="nil"/>
            </w:tcBorders>
            <w:shd w:val="clear" w:color="auto" w:fill="auto"/>
            <w:vAlign w:val="center"/>
          </w:tcPr>
          <w:p w14:paraId="57667A88" w14:textId="74EEA296" w:rsidR="00D319F7" w:rsidRPr="00537128" w:rsidRDefault="00D319F7"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52" w:type="pct"/>
            <w:tcBorders>
              <w:top w:val="nil"/>
              <w:left w:val="nil"/>
              <w:bottom w:val="nil"/>
              <w:right w:val="nil"/>
            </w:tcBorders>
            <w:shd w:val="clear" w:color="auto" w:fill="auto"/>
            <w:vAlign w:val="center"/>
          </w:tcPr>
          <w:p w14:paraId="117785AE" w14:textId="01E05034" w:rsidR="00D319F7" w:rsidRPr="00537128" w:rsidRDefault="00D319F7"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90" w:type="pct"/>
            <w:tcBorders>
              <w:top w:val="nil"/>
              <w:left w:val="nil"/>
              <w:bottom w:val="nil"/>
              <w:right w:val="nil"/>
            </w:tcBorders>
            <w:shd w:val="clear" w:color="auto" w:fill="auto"/>
            <w:vAlign w:val="center"/>
          </w:tcPr>
          <w:p w14:paraId="3150289F" w14:textId="15718A2C" w:rsidR="00D319F7" w:rsidRPr="00537128" w:rsidRDefault="00D319F7"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72" w:type="pct"/>
            <w:tcBorders>
              <w:top w:val="nil"/>
              <w:left w:val="nil"/>
              <w:bottom w:val="nil"/>
              <w:right w:val="nil"/>
            </w:tcBorders>
            <w:shd w:val="clear" w:color="auto" w:fill="auto"/>
            <w:vAlign w:val="center"/>
          </w:tcPr>
          <w:p w14:paraId="6B332F61" w14:textId="3FCE8511" w:rsidR="00D319F7" w:rsidRPr="00537128" w:rsidRDefault="00D319F7"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73" w:type="pct"/>
            <w:tcBorders>
              <w:top w:val="nil"/>
              <w:left w:val="nil"/>
              <w:bottom w:val="nil"/>
              <w:right w:val="nil"/>
            </w:tcBorders>
            <w:shd w:val="clear" w:color="auto" w:fill="auto"/>
            <w:vAlign w:val="center"/>
          </w:tcPr>
          <w:p w14:paraId="25AD915A" w14:textId="0AC5B00F" w:rsidR="00D319F7" w:rsidRPr="00537128" w:rsidRDefault="00D319F7"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s="Calibri"/>
                <w:color w:val="000000"/>
                <w:sz w:val="18"/>
                <w:szCs w:val="18"/>
              </w:rPr>
              <w:t>15</w:t>
            </w:r>
            <w:r w:rsidR="00114E6B">
              <w:rPr>
                <w:rFonts w:ascii="Calibri" w:hAnsi="Calibri" w:cs="Calibri"/>
                <w:color w:val="000000"/>
                <w:sz w:val="18"/>
                <w:szCs w:val="18"/>
              </w:rPr>
              <w:t>,</w:t>
            </w:r>
            <w:r>
              <w:rPr>
                <w:rFonts w:ascii="Calibri" w:hAnsi="Calibri" w:cs="Calibri"/>
                <w:color w:val="000000"/>
                <w:sz w:val="18"/>
                <w:szCs w:val="18"/>
              </w:rPr>
              <w:t>215</w:t>
            </w:r>
          </w:p>
        </w:tc>
        <w:tc>
          <w:tcPr>
            <w:tcW w:w="564" w:type="pct"/>
            <w:tcBorders>
              <w:top w:val="nil"/>
              <w:left w:val="nil"/>
              <w:bottom w:val="nil"/>
              <w:right w:val="nil"/>
            </w:tcBorders>
            <w:shd w:val="clear" w:color="auto" w:fill="auto"/>
            <w:vAlign w:val="center"/>
          </w:tcPr>
          <w:p w14:paraId="0EADFFF1" w14:textId="5EBD1AC3" w:rsidR="00D319F7" w:rsidRPr="00537128" w:rsidRDefault="00D319F7"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s="Calibri"/>
                <w:color w:val="000000"/>
                <w:sz w:val="18"/>
                <w:szCs w:val="18"/>
              </w:rPr>
              <w:t>15</w:t>
            </w:r>
            <w:r w:rsidR="00114E6B">
              <w:rPr>
                <w:rFonts w:ascii="Calibri" w:hAnsi="Calibri" w:cs="Calibri"/>
                <w:color w:val="000000"/>
                <w:sz w:val="18"/>
                <w:szCs w:val="18"/>
              </w:rPr>
              <w:t>,</w:t>
            </w:r>
            <w:r>
              <w:rPr>
                <w:rFonts w:ascii="Calibri" w:hAnsi="Calibri" w:cs="Calibri"/>
                <w:color w:val="000000"/>
                <w:sz w:val="18"/>
                <w:szCs w:val="18"/>
              </w:rPr>
              <w:t>215</w:t>
            </w:r>
          </w:p>
        </w:tc>
      </w:tr>
      <w:tr w:rsidR="00D319F7" w:rsidRPr="00537128" w14:paraId="473A6FE6" w14:textId="77777777" w:rsidTr="009465D9">
        <w:trPr>
          <w:trHeight w:hRule="exact" w:val="275"/>
        </w:trPr>
        <w:tc>
          <w:tcPr>
            <w:tcW w:w="1641" w:type="pct"/>
            <w:vAlign w:val="bottom"/>
          </w:tcPr>
          <w:p w14:paraId="78149DAF" w14:textId="77777777" w:rsidR="00D319F7" w:rsidRPr="00537128" w:rsidRDefault="00D319F7" w:rsidP="00D319F7">
            <w:pPr>
              <w:tabs>
                <w:tab w:val="right" w:pos="1202"/>
              </w:tabs>
              <w:spacing w:after="0" w:line="220" w:lineRule="exact"/>
              <w:outlineLvl w:val="0"/>
              <w:rPr>
                <w:rFonts w:ascii="Calibri" w:eastAsia="Times New Roman" w:hAnsi="Calibri" w:cs="Arial"/>
                <w:spacing w:val="-2"/>
                <w:sz w:val="18"/>
                <w:szCs w:val="18"/>
                <w:lang w:val="en-US"/>
              </w:rPr>
            </w:pPr>
            <w:bookmarkStart w:id="877" w:name="_Toc4062187"/>
            <w:r w:rsidRPr="00537128">
              <w:rPr>
                <w:rFonts w:ascii="Calibri" w:eastAsia="Times New Roman" w:hAnsi="Calibri" w:cs="Arial"/>
                <w:spacing w:val="-2"/>
                <w:sz w:val="18"/>
                <w:szCs w:val="18"/>
                <w:lang w:val="en-US"/>
              </w:rPr>
              <w:t>Loans to financial institutions*</w:t>
            </w:r>
            <w:bookmarkEnd w:id="877"/>
          </w:p>
        </w:tc>
        <w:tc>
          <w:tcPr>
            <w:tcW w:w="507" w:type="pct"/>
            <w:tcBorders>
              <w:top w:val="nil"/>
              <w:left w:val="nil"/>
              <w:bottom w:val="nil"/>
              <w:right w:val="nil"/>
            </w:tcBorders>
            <w:shd w:val="clear" w:color="auto" w:fill="auto"/>
            <w:vAlign w:val="center"/>
          </w:tcPr>
          <w:p w14:paraId="49F24B8B" w14:textId="1D7630FF" w:rsidR="00D319F7" w:rsidRPr="00537128" w:rsidRDefault="00D319F7"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s="Calibri"/>
                <w:color w:val="000000"/>
                <w:sz w:val="18"/>
                <w:szCs w:val="18"/>
              </w:rPr>
              <w:t>65</w:t>
            </w:r>
            <w:r w:rsidR="00114E6B">
              <w:rPr>
                <w:rFonts w:ascii="Calibri" w:hAnsi="Calibri" w:cs="Calibri"/>
                <w:color w:val="000000"/>
                <w:sz w:val="18"/>
                <w:szCs w:val="18"/>
              </w:rPr>
              <w:t>,</w:t>
            </w:r>
            <w:r>
              <w:rPr>
                <w:rFonts w:ascii="Calibri" w:hAnsi="Calibri" w:cs="Calibri"/>
                <w:color w:val="000000"/>
                <w:sz w:val="18"/>
                <w:szCs w:val="18"/>
              </w:rPr>
              <w:t>356</w:t>
            </w:r>
          </w:p>
        </w:tc>
        <w:tc>
          <w:tcPr>
            <w:tcW w:w="552" w:type="pct"/>
            <w:tcBorders>
              <w:top w:val="nil"/>
              <w:left w:val="nil"/>
              <w:bottom w:val="nil"/>
              <w:right w:val="nil"/>
            </w:tcBorders>
            <w:shd w:val="clear" w:color="auto" w:fill="auto"/>
            <w:vAlign w:val="center"/>
          </w:tcPr>
          <w:p w14:paraId="6F48EED5" w14:textId="4108DF5E" w:rsidR="00D319F7" w:rsidRPr="00537128" w:rsidRDefault="00D319F7"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s="Calibri"/>
                <w:color w:val="000000"/>
                <w:sz w:val="18"/>
                <w:szCs w:val="18"/>
              </w:rPr>
              <w:t>333</w:t>
            </w:r>
            <w:r w:rsidR="00114E6B">
              <w:rPr>
                <w:rFonts w:ascii="Calibri" w:hAnsi="Calibri" w:cs="Calibri"/>
                <w:color w:val="000000"/>
                <w:sz w:val="18"/>
                <w:szCs w:val="18"/>
              </w:rPr>
              <w:t>,</w:t>
            </w:r>
            <w:r>
              <w:rPr>
                <w:rFonts w:ascii="Calibri" w:hAnsi="Calibri" w:cs="Calibri"/>
                <w:color w:val="000000"/>
                <w:sz w:val="18"/>
                <w:szCs w:val="18"/>
              </w:rPr>
              <w:t>310</w:t>
            </w:r>
          </w:p>
        </w:tc>
        <w:tc>
          <w:tcPr>
            <w:tcW w:w="590" w:type="pct"/>
            <w:tcBorders>
              <w:top w:val="nil"/>
              <w:left w:val="nil"/>
              <w:bottom w:val="nil"/>
              <w:right w:val="nil"/>
            </w:tcBorders>
            <w:shd w:val="clear" w:color="auto" w:fill="auto"/>
            <w:vAlign w:val="center"/>
          </w:tcPr>
          <w:p w14:paraId="5BFF4B53" w14:textId="71408361" w:rsidR="00D319F7" w:rsidRPr="00537128" w:rsidRDefault="00D319F7"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s="Calibri"/>
                <w:color w:val="000000"/>
                <w:sz w:val="18"/>
                <w:szCs w:val="18"/>
              </w:rPr>
              <w:t>771</w:t>
            </w:r>
            <w:r w:rsidR="00114E6B">
              <w:rPr>
                <w:rFonts w:ascii="Calibri" w:hAnsi="Calibri" w:cs="Calibri"/>
                <w:color w:val="000000"/>
                <w:sz w:val="18"/>
                <w:szCs w:val="18"/>
              </w:rPr>
              <w:t>,</w:t>
            </w:r>
            <w:r>
              <w:rPr>
                <w:rFonts w:ascii="Calibri" w:hAnsi="Calibri" w:cs="Calibri"/>
                <w:color w:val="000000"/>
                <w:sz w:val="18"/>
                <w:szCs w:val="18"/>
              </w:rPr>
              <w:t>025</w:t>
            </w:r>
          </w:p>
        </w:tc>
        <w:tc>
          <w:tcPr>
            <w:tcW w:w="572" w:type="pct"/>
            <w:tcBorders>
              <w:top w:val="nil"/>
              <w:left w:val="nil"/>
              <w:bottom w:val="nil"/>
              <w:right w:val="nil"/>
            </w:tcBorders>
            <w:shd w:val="clear" w:color="auto" w:fill="auto"/>
            <w:vAlign w:val="center"/>
          </w:tcPr>
          <w:p w14:paraId="6BF9A95C" w14:textId="1A308F10" w:rsidR="00D319F7" w:rsidRPr="00537128" w:rsidRDefault="00D319F7"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s="Calibri"/>
                <w:color w:val="000000"/>
                <w:sz w:val="18"/>
                <w:szCs w:val="18"/>
              </w:rPr>
              <w:t>1</w:t>
            </w:r>
            <w:r w:rsidR="00114E6B">
              <w:rPr>
                <w:rFonts w:ascii="Calibri" w:hAnsi="Calibri" w:cs="Calibri"/>
                <w:color w:val="000000"/>
                <w:sz w:val="18"/>
                <w:szCs w:val="18"/>
              </w:rPr>
              <w:t>,</w:t>
            </w:r>
            <w:r>
              <w:rPr>
                <w:rFonts w:ascii="Calibri" w:hAnsi="Calibri" w:cs="Calibri"/>
                <w:color w:val="000000"/>
                <w:sz w:val="18"/>
                <w:szCs w:val="18"/>
              </w:rPr>
              <w:t>843</w:t>
            </w:r>
            <w:r w:rsidR="00114E6B">
              <w:rPr>
                <w:rFonts w:ascii="Calibri" w:hAnsi="Calibri" w:cs="Calibri"/>
                <w:color w:val="000000"/>
                <w:sz w:val="18"/>
                <w:szCs w:val="18"/>
              </w:rPr>
              <w:t>,</w:t>
            </w:r>
            <w:r>
              <w:rPr>
                <w:rFonts w:ascii="Calibri" w:hAnsi="Calibri" w:cs="Calibri"/>
                <w:color w:val="000000"/>
                <w:sz w:val="18"/>
                <w:szCs w:val="18"/>
              </w:rPr>
              <w:t>6</w:t>
            </w:r>
            <w:r w:rsidR="009B5642">
              <w:rPr>
                <w:rFonts w:ascii="Calibri" w:hAnsi="Calibri" w:cs="Calibri"/>
                <w:color w:val="000000"/>
                <w:sz w:val="18"/>
                <w:szCs w:val="18"/>
              </w:rPr>
              <w:t>79</w:t>
            </w:r>
          </w:p>
        </w:tc>
        <w:tc>
          <w:tcPr>
            <w:tcW w:w="573" w:type="pct"/>
            <w:tcBorders>
              <w:top w:val="nil"/>
              <w:left w:val="nil"/>
              <w:bottom w:val="nil"/>
              <w:right w:val="nil"/>
            </w:tcBorders>
            <w:shd w:val="clear" w:color="auto" w:fill="auto"/>
            <w:vAlign w:val="center"/>
          </w:tcPr>
          <w:p w14:paraId="63E31213" w14:textId="6375469A" w:rsidR="00D319F7" w:rsidRPr="00537128" w:rsidRDefault="00D319F7"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s="Calibri"/>
                <w:color w:val="000000"/>
                <w:sz w:val="18"/>
                <w:szCs w:val="18"/>
              </w:rPr>
              <w:t>3</w:t>
            </w:r>
            <w:r w:rsidR="00114E6B">
              <w:rPr>
                <w:rFonts w:ascii="Calibri" w:hAnsi="Calibri" w:cs="Calibri"/>
                <w:color w:val="000000"/>
                <w:sz w:val="18"/>
                <w:szCs w:val="18"/>
              </w:rPr>
              <w:t>,</w:t>
            </w:r>
            <w:r>
              <w:rPr>
                <w:rFonts w:ascii="Calibri" w:hAnsi="Calibri" w:cs="Calibri"/>
                <w:color w:val="000000"/>
                <w:sz w:val="18"/>
                <w:szCs w:val="18"/>
              </w:rPr>
              <w:t>928</w:t>
            </w:r>
            <w:r w:rsidR="00114E6B">
              <w:rPr>
                <w:rFonts w:ascii="Calibri" w:hAnsi="Calibri" w:cs="Calibri"/>
                <w:color w:val="000000"/>
                <w:sz w:val="18"/>
                <w:szCs w:val="18"/>
              </w:rPr>
              <w:t>,</w:t>
            </w:r>
            <w:r>
              <w:rPr>
                <w:rFonts w:ascii="Calibri" w:hAnsi="Calibri" w:cs="Calibri"/>
                <w:color w:val="000000"/>
                <w:sz w:val="18"/>
                <w:szCs w:val="18"/>
              </w:rPr>
              <w:t>590</w:t>
            </w:r>
          </w:p>
        </w:tc>
        <w:tc>
          <w:tcPr>
            <w:tcW w:w="564" w:type="pct"/>
            <w:tcBorders>
              <w:top w:val="nil"/>
              <w:left w:val="nil"/>
              <w:bottom w:val="nil"/>
              <w:right w:val="nil"/>
            </w:tcBorders>
            <w:shd w:val="clear" w:color="auto" w:fill="auto"/>
            <w:vAlign w:val="center"/>
          </w:tcPr>
          <w:p w14:paraId="19395339" w14:textId="7440A607" w:rsidR="00D319F7" w:rsidRPr="00537128" w:rsidRDefault="00D319F7"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s="Calibri"/>
                <w:color w:val="000000"/>
                <w:sz w:val="18"/>
                <w:szCs w:val="18"/>
              </w:rPr>
              <w:t>6</w:t>
            </w:r>
            <w:r w:rsidR="00114E6B">
              <w:rPr>
                <w:rFonts w:ascii="Calibri" w:hAnsi="Calibri" w:cs="Calibri"/>
                <w:color w:val="000000"/>
                <w:sz w:val="18"/>
                <w:szCs w:val="18"/>
              </w:rPr>
              <w:t>,</w:t>
            </w:r>
            <w:r>
              <w:rPr>
                <w:rFonts w:ascii="Calibri" w:hAnsi="Calibri" w:cs="Calibri"/>
                <w:color w:val="000000"/>
                <w:sz w:val="18"/>
                <w:szCs w:val="18"/>
              </w:rPr>
              <w:t>941</w:t>
            </w:r>
            <w:r w:rsidR="00114E6B">
              <w:rPr>
                <w:rFonts w:ascii="Calibri" w:hAnsi="Calibri" w:cs="Calibri"/>
                <w:color w:val="000000"/>
                <w:sz w:val="18"/>
                <w:szCs w:val="18"/>
              </w:rPr>
              <w:t>,</w:t>
            </w:r>
            <w:r>
              <w:rPr>
                <w:rFonts w:ascii="Calibri" w:hAnsi="Calibri" w:cs="Calibri"/>
                <w:color w:val="000000"/>
                <w:sz w:val="18"/>
                <w:szCs w:val="18"/>
              </w:rPr>
              <w:t>960</w:t>
            </w:r>
          </w:p>
        </w:tc>
      </w:tr>
      <w:tr w:rsidR="00D319F7" w:rsidRPr="00537128" w14:paraId="795F6C12" w14:textId="77777777" w:rsidTr="009465D9">
        <w:trPr>
          <w:trHeight w:hRule="exact" w:val="275"/>
        </w:trPr>
        <w:tc>
          <w:tcPr>
            <w:tcW w:w="1641" w:type="pct"/>
            <w:vAlign w:val="bottom"/>
          </w:tcPr>
          <w:p w14:paraId="27E39B41" w14:textId="77777777" w:rsidR="00D319F7" w:rsidRPr="00537128" w:rsidRDefault="00D319F7" w:rsidP="00D319F7">
            <w:pPr>
              <w:tabs>
                <w:tab w:val="right" w:pos="1202"/>
              </w:tabs>
              <w:spacing w:after="0" w:line="220" w:lineRule="exact"/>
              <w:outlineLvl w:val="0"/>
              <w:rPr>
                <w:rFonts w:ascii="Calibri" w:eastAsia="Times New Roman" w:hAnsi="Calibri" w:cs="Arial"/>
                <w:spacing w:val="-2"/>
                <w:sz w:val="18"/>
                <w:szCs w:val="18"/>
                <w:lang w:val="en-US"/>
              </w:rPr>
            </w:pPr>
            <w:bookmarkStart w:id="878" w:name="_Toc4062194"/>
            <w:r w:rsidRPr="00537128">
              <w:rPr>
                <w:rFonts w:ascii="Calibri" w:eastAsia="Times New Roman" w:hAnsi="Calibri" w:cs="Arial"/>
                <w:spacing w:val="-2"/>
                <w:sz w:val="18"/>
                <w:szCs w:val="18"/>
                <w:lang w:val="en-US"/>
              </w:rPr>
              <w:t>Loans to other customers</w:t>
            </w:r>
            <w:bookmarkEnd w:id="878"/>
          </w:p>
        </w:tc>
        <w:tc>
          <w:tcPr>
            <w:tcW w:w="507" w:type="pct"/>
            <w:tcBorders>
              <w:top w:val="nil"/>
              <w:left w:val="nil"/>
              <w:bottom w:val="nil"/>
              <w:right w:val="nil"/>
            </w:tcBorders>
            <w:shd w:val="clear" w:color="auto" w:fill="auto"/>
            <w:vAlign w:val="center"/>
          </w:tcPr>
          <w:p w14:paraId="61C7D824" w14:textId="6EDB99EB" w:rsidR="00D319F7" w:rsidRPr="00537128" w:rsidRDefault="00D319F7"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s="Calibri"/>
                <w:color w:val="000000"/>
                <w:sz w:val="18"/>
                <w:szCs w:val="18"/>
              </w:rPr>
              <w:t>1</w:t>
            </w:r>
            <w:r w:rsidR="00114E6B">
              <w:rPr>
                <w:rFonts w:ascii="Calibri" w:hAnsi="Calibri" w:cs="Calibri"/>
                <w:color w:val="000000"/>
                <w:sz w:val="18"/>
                <w:szCs w:val="18"/>
              </w:rPr>
              <w:t>,</w:t>
            </w:r>
            <w:r>
              <w:rPr>
                <w:rFonts w:ascii="Calibri" w:hAnsi="Calibri" w:cs="Calibri"/>
                <w:color w:val="000000"/>
                <w:sz w:val="18"/>
                <w:szCs w:val="18"/>
              </w:rPr>
              <w:t>491</w:t>
            </w:r>
            <w:r w:rsidR="00114E6B">
              <w:rPr>
                <w:rFonts w:ascii="Calibri" w:hAnsi="Calibri" w:cs="Calibri"/>
                <w:color w:val="000000"/>
                <w:sz w:val="18"/>
                <w:szCs w:val="18"/>
              </w:rPr>
              <w:t>,</w:t>
            </w:r>
            <w:r>
              <w:rPr>
                <w:rFonts w:ascii="Calibri" w:hAnsi="Calibri" w:cs="Calibri"/>
                <w:color w:val="000000"/>
                <w:sz w:val="18"/>
                <w:szCs w:val="18"/>
              </w:rPr>
              <w:t>455</w:t>
            </w:r>
          </w:p>
        </w:tc>
        <w:tc>
          <w:tcPr>
            <w:tcW w:w="552" w:type="pct"/>
            <w:tcBorders>
              <w:top w:val="nil"/>
              <w:left w:val="nil"/>
              <w:bottom w:val="nil"/>
              <w:right w:val="nil"/>
            </w:tcBorders>
            <w:shd w:val="clear" w:color="auto" w:fill="auto"/>
            <w:vAlign w:val="center"/>
          </w:tcPr>
          <w:p w14:paraId="4ABBBA83" w14:textId="71D85BAF" w:rsidR="00D319F7" w:rsidRPr="00537128" w:rsidRDefault="00D319F7"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s="Calibri"/>
                <w:color w:val="000000"/>
                <w:sz w:val="18"/>
                <w:szCs w:val="18"/>
              </w:rPr>
              <w:t>414</w:t>
            </w:r>
            <w:r w:rsidR="00114E6B">
              <w:rPr>
                <w:rFonts w:ascii="Calibri" w:hAnsi="Calibri" w:cs="Calibri"/>
                <w:color w:val="000000"/>
                <w:sz w:val="18"/>
                <w:szCs w:val="18"/>
              </w:rPr>
              <w:t>,</w:t>
            </w:r>
            <w:r>
              <w:rPr>
                <w:rFonts w:ascii="Calibri" w:hAnsi="Calibri" w:cs="Calibri"/>
                <w:color w:val="000000"/>
                <w:sz w:val="18"/>
                <w:szCs w:val="18"/>
              </w:rPr>
              <w:t>452</w:t>
            </w:r>
          </w:p>
        </w:tc>
        <w:tc>
          <w:tcPr>
            <w:tcW w:w="590" w:type="pct"/>
            <w:tcBorders>
              <w:top w:val="nil"/>
              <w:left w:val="nil"/>
              <w:bottom w:val="nil"/>
              <w:right w:val="nil"/>
            </w:tcBorders>
            <w:shd w:val="clear" w:color="auto" w:fill="auto"/>
            <w:vAlign w:val="center"/>
          </w:tcPr>
          <w:p w14:paraId="1EEF20D6" w14:textId="78A4FC6F" w:rsidR="00D319F7" w:rsidRPr="00537128" w:rsidRDefault="00D319F7"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s="Calibri"/>
                <w:color w:val="000000"/>
                <w:sz w:val="18"/>
                <w:szCs w:val="18"/>
              </w:rPr>
              <w:t>1</w:t>
            </w:r>
            <w:r w:rsidR="00114E6B">
              <w:rPr>
                <w:rFonts w:ascii="Calibri" w:hAnsi="Calibri" w:cs="Calibri"/>
                <w:color w:val="000000"/>
                <w:sz w:val="18"/>
                <w:szCs w:val="18"/>
              </w:rPr>
              <w:t>,</w:t>
            </w:r>
            <w:r>
              <w:rPr>
                <w:rFonts w:ascii="Calibri" w:hAnsi="Calibri" w:cs="Calibri"/>
                <w:color w:val="000000"/>
                <w:sz w:val="18"/>
                <w:szCs w:val="18"/>
              </w:rPr>
              <w:t>193</w:t>
            </w:r>
            <w:r w:rsidR="00114E6B">
              <w:rPr>
                <w:rFonts w:ascii="Calibri" w:hAnsi="Calibri" w:cs="Calibri"/>
                <w:color w:val="000000"/>
                <w:sz w:val="18"/>
                <w:szCs w:val="18"/>
              </w:rPr>
              <w:t>,</w:t>
            </w:r>
            <w:r>
              <w:rPr>
                <w:rFonts w:ascii="Calibri" w:hAnsi="Calibri" w:cs="Calibri"/>
                <w:color w:val="000000"/>
                <w:sz w:val="18"/>
                <w:szCs w:val="18"/>
              </w:rPr>
              <w:t>025</w:t>
            </w:r>
          </w:p>
        </w:tc>
        <w:tc>
          <w:tcPr>
            <w:tcW w:w="572" w:type="pct"/>
            <w:tcBorders>
              <w:top w:val="nil"/>
              <w:left w:val="nil"/>
              <w:bottom w:val="nil"/>
              <w:right w:val="nil"/>
            </w:tcBorders>
            <w:shd w:val="clear" w:color="auto" w:fill="auto"/>
            <w:vAlign w:val="center"/>
          </w:tcPr>
          <w:p w14:paraId="56CB8523" w14:textId="476D8B05" w:rsidR="00D319F7" w:rsidRPr="00537128" w:rsidRDefault="00D319F7"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s="Calibri"/>
                <w:color w:val="000000"/>
                <w:sz w:val="18"/>
                <w:szCs w:val="18"/>
              </w:rPr>
              <w:t>3</w:t>
            </w:r>
            <w:r w:rsidR="00114E6B">
              <w:rPr>
                <w:rFonts w:ascii="Calibri" w:hAnsi="Calibri" w:cs="Calibri"/>
                <w:color w:val="000000"/>
                <w:sz w:val="18"/>
                <w:szCs w:val="18"/>
              </w:rPr>
              <w:t>,</w:t>
            </w:r>
            <w:r>
              <w:rPr>
                <w:rFonts w:ascii="Calibri" w:hAnsi="Calibri" w:cs="Calibri"/>
                <w:color w:val="000000"/>
                <w:sz w:val="18"/>
                <w:szCs w:val="18"/>
              </w:rPr>
              <w:t>319</w:t>
            </w:r>
            <w:r w:rsidR="00114E6B">
              <w:rPr>
                <w:rFonts w:ascii="Calibri" w:hAnsi="Calibri" w:cs="Calibri"/>
                <w:color w:val="000000"/>
                <w:sz w:val="18"/>
                <w:szCs w:val="18"/>
              </w:rPr>
              <w:t>,</w:t>
            </w:r>
            <w:r>
              <w:rPr>
                <w:rFonts w:ascii="Calibri" w:hAnsi="Calibri" w:cs="Calibri"/>
                <w:color w:val="000000"/>
                <w:sz w:val="18"/>
                <w:szCs w:val="18"/>
              </w:rPr>
              <w:t>86</w:t>
            </w:r>
            <w:r w:rsidR="009B5642">
              <w:rPr>
                <w:rFonts w:ascii="Calibri" w:hAnsi="Calibri" w:cs="Calibri"/>
                <w:color w:val="000000"/>
                <w:sz w:val="18"/>
                <w:szCs w:val="18"/>
              </w:rPr>
              <w:t>5</w:t>
            </w:r>
          </w:p>
        </w:tc>
        <w:tc>
          <w:tcPr>
            <w:tcW w:w="573" w:type="pct"/>
            <w:tcBorders>
              <w:top w:val="nil"/>
              <w:left w:val="nil"/>
              <w:bottom w:val="nil"/>
              <w:right w:val="nil"/>
            </w:tcBorders>
            <w:shd w:val="clear" w:color="auto" w:fill="auto"/>
            <w:vAlign w:val="center"/>
          </w:tcPr>
          <w:p w14:paraId="58BF6FEC" w14:textId="17662529" w:rsidR="00D319F7" w:rsidRPr="00537128" w:rsidRDefault="00D319F7"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s="Calibri"/>
                <w:color w:val="000000"/>
                <w:sz w:val="18"/>
                <w:szCs w:val="18"/>
              </w:rPr>
              <w:t>9</w:t>
            </w:r>
            <w:r w:rsidR="00114E6B">
              <w:rPr>
                <w:rFonts w:ascii="Calibri" w:hAnsi="Calibri" w:cs="Calibri"/>
                <w:color w:val="000000"/>
                <w:sz w:val="18"/>
                <w:szCs w:val="18"/>
              </w:rPr>
              <w:t>,</w:t>
            </w:r>
            <w:r>
              <w:rPr>
                <w:rFonts w:ascii="Calibri" w:hAnsi="Calibri" w:cs="Calibri"/>
                <w:color w:val="000000"/>
                <w:sz w:val="18"/>
                <w:szCs w:val="18"/>
              </w:rPr>
              <w:t>307</w:t>
            </w:r>
            <w:r w:rsidR="00114E6B">
              <w:rPr>
                <w:rFonts w:ascii="Calibri" w:hAnsi="Calibri" w:cs="Calibri"/>
                <w:color w:val="000000"/>
                <w:sz w:val="18"/>
                <w:szCs w:val="18"/>
              </w:rPr>
              <w:t>,</w:t>
            </w:r>
            <w:r>
              <w:rPr>
                <w:rFonts w:ascii="Calibri" w:hAnsi="Calibri" w:cs="Calibri"/>
                <w:color w:val="000000"/>
                <w:sz w:val="18"/>
                <w:szCs w:val="18"/>
              </w:rPr>
              <w:t>636</w:t>
            </w:r>
          </w:p>
        </w:tc>
        <w:tc>
          <w:tcPr>
            <w:tcW w:w="564" w:type="pct"/>
            <w:tcBorders>
              <w:top w:val="nil"/>
              <w:left w:val="nil"/>
              <w:bottom w:val="nil"/>
              <w:right w:val="nil"/>
            </w:tcBorders>
            <w:shd w:val="clear" w:color="auto" w:fill="auto"/>
            <w:vAlign w:val="center"/>
          </w:tcPr>
          <w:p w14:paraId="43359344" w14:textId="2C259993" w:rsidR="00D319F7" w:rsidRPr="00537128" w:rsidRDefault="00D319F7"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s="Calibri"/>
                <w:color w:val="000000"/>
                <w:sz w:val="18"/>
                <w:szCs w:val="18"/>
              </w:rPr>
              <w:t>15</w:t>
            </w:r>
            <w:r w:rsidR="00114E6B">
              <w:rPr>
                <w:rFonts w:ascii="Calibri" w:hAnsi="Calibri" w:cs="Calibri"/>
                <w:color w:val="000000"/>
                <w:sz w:val="18"/>
                <w:szCs w:val="18"/>
              </w:rPr>
              <w:t>,</w:t>
            </w:r>
            <w:r>
              <w:rPr>
                <w:rFonts w:ascii="Calibri" w:hAnsi="Calibri" w:cs="Calibri"/>
                <w:color w:val="000000"/>
                <w:sz w:val="18"/>
                <w:szCs w:val="18"/>
              </w:rPr>
              <w:t>726</w:t>
            </w:r>
            <w:r w:rsidR="00114E6B">
              <w:rPr>
                <w:rFonts w:ascii="Calibri" w:hAnsi="Calibri" w:cs="Calibri"/>
                <w:color w:val="000000"/>
                <w:sz w:val="18"/>
                <w:szCs w:val="18"/>
              </w:rPr>
              <w:t>,</w:t>
            </w:r>
            <w:r>
              <w:rPr>
                <w:rFonts w:ascii="Calibri" w:hAnsi="Calibri" w:cs="Calibri"/>
                <w:color w:val="000000"/>
                <w:sz w:val="18"/>
                <w:szCs w:val="18"/>
              </w:rPr>
              <w:t>433</w:t>
            </w:r>
          </w:p>
        </w:tc>
      </w:tr>
      <w:tr w:rsidR="00D319F7" w:rsidRPr="00537128" w14:paraId="2514FDF6" w14:textId="77777777" w:rsidTr="009465D9">
        <w:trPr>
          <w:trHeight w:hRule="exact" w:val="275"/>
        </w:trPr>
        <w:tc>
          <w:tcPr>
            <w:tcW w:w="1641" w:type="pct"/>
            <w:vAlign w:val="bottom"/>
          </w:tcPr>
          <w:p w14:paraId="5CC1DC9B" w14:textId="77777777" w:rsidR="00D319F7" w:rsidRPr="00537128" w:rsidRDefault="00D319F7" w:rsidP="00D319F7">
            <w:pPr>
              <w:tabs>
                <w:tab w:val="right" w:pos="1202"/>
              </w:tabs>
              <w:spacing w:after="0" w:line="220" w:lineRule="exact"/>
              <w:outlineLvl w:val="0"/>
              <w:rPr>
                <w:rFonts w:ascii="Calibri" w:eastAsia="Times New Roman" w:hAnsi="Calibri" w:cs="Arial"/>
                <w:spacing w:val="-2"/>
                <w:sz w:val="18"/>
                <w:szCs w:val="18"/>
                <w:lang w:val="en-US"/>
              </w:rPr>
            </w:pPr>
            <w:bookmarkStart w:id="879" w:name="_Toc4062201"/>
            <w:r w:rsidRPr="00537128">
              <w:rPr>
                <w:rFonts w:ascii="Calibri" w:eastAsia="Times New Roman" w:hAnsi="Calibri" w:cs="Arial"/>
                <w:spacing w:val="-2"/>
                <w:sz w:val="18"/>
                <w:szCs w:val="18"/>
                <w:lang w:val="en-US"/>
              </w:rPr>
              <w:t>Financial assets at fair value through profit or loss</w:t>
            </w:r>
            <w:bookmarkEnd w:id="879"/>
          </w:p>
        </w:tc>
        <w:tc>
          <w:tcPr>
            <w:tcW w:w="507" w:type="pct"/>
            <w:tcBorders>
              <w:top w:val="nil"/>
              <w:left w:val="nil"/>
              <w:bottom w:val="nil"/>
              <w:right w:val="nil"/>
            </w:tcBorders>
            <w:shd w:val="clear" w:color="auto" w:fill="auto"/>
            <w:vAlign w:val="center"/>
          </w:tcPr>
          <w:p w14:paraId="14392012" w14:textId="31D9714A" w:rsidR="00D319F7" w:rsidRPr="00537128" w:rsidDel="000A0F01" w:rsidRDefault="00D319F7" w:rsidP="00D319F7">
            <w:pPr>
              <w:tabs>
                <w:tab w:val="right" w:pos="1202"/>
              </w:tabs>
              <w:spacing w:after="0" w:line="240" w:lineRule="exact"/>
              <w:jc w:val="right"/>
              <w:outlineLvl w:val="0"/>
              <w:rPr>
                <w:rFonts w:ascii="Calibri" w:eastAsia="Calibri" w:hAnsi="Calibri" w:cs="Arial"/>
                <w:bCs/>
                <w:color w:val="000000"/>
                <w:sz w:val="18"/>
                <w:szCs w:val="18"/>
                <w:lang w:val="en-US" w:eastAsia="hr-HR"/>
              </w:rPr>
            </w:pPr>
            <w:r>
              <w:rPr>
                <w:rFonts w:ascii="Calibri" w:hAnsi="Calibri" w:cs="Calibri"/>
                <w:color w:val="000000"/>
                <w:sz w:val="18"/>
                <w:szCs w:val="18"/>
              </w:rPr>
              <w:t>103</w:t>
            </w:r>
            <w:r w:rsidR="00114E6B">
              <w:rPr>
                <w:rFonts w:ascii="Calibri" w:hAnsi="Calibri" w:cs="Calibri"/>
                <w:color w:val="000000"/>
                <w:sz w:val="18"/>
                <w:szCs w:val="18"/>
              </w:rPr>
              <w:t>,</w:t>
            </w:r>
            <w:r>
              <w:rPr>
                <w:rFonts w:ascii="Calibri" w:hAnsi="Calibri" w:cs="Calibri"/>
                <w:color w:val="000000"/>
                <w:sz w:val="18"/>
                <w:szCs w:val="18"/>
              </w:rPr>
              <w:t>892</w:t>
            </w:r>
          </w:p>
        </w:tc>
        <w:tc>
          <w:tcPr>
            <w:tcW w:w="552" w:type="pct"/>
            <w:tcBorders>
              <w:top w:val="nil"/>
              <w:left w:val="nil"/>
              <w:bottom w:val="nil"/>
              <w:right w:val="nil"/>
            </w:tcBorders>
            <w:shd w:val="clear" w:color="auto" w:fill="auto"/>
            <w:vAlign w:val="center"/>
          </w:tcPr>
          <w:p w14:paraId="6E900C62" w14:textId="68CBDBB0" w:rsidR="00D319F7" w:rsidRPr="00537128" w:rsidDel="000A0F01" w:rsidRDefault="00D319F7" w:rsidP="00D319F7">
            <w:pPr>
              <w:tabs>
                <w:tab w:val="right" w:pos="1202"/>
              </w:tabs>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w:t>
            </w:r>
          </w:p>
        </w:tc>
        <w:tc>
          <w:tcPr>
            <w:tcW w:w="590" w:type="pct"/>
            <w:tcBorders>
              <w:top w:val="nil"/>
              <w:left w:val="nil"/>
              <w:bottom w:val="nil"/>
              <w:right w:val="nil"/>
            </w:tcBorders>
            <w:shd w:val="clear" w:color="auto" w:fill="auto"/>
            <w:vAlign w:val="center"/>
          </w:tcPr>
          <w:p w14:paraId="2737EE22" w14:textId="6FB7EEC3" w:rsidR="00D319F7" w:rsidRPr="00537128" w:rsidDel="000A0F01" w:rsidRDefault="00D319F7" w:rsidP="00D319F7">
            <w:pPr>
              <w:tabs>
                <w:tab w:val="right" w:pos="1202"/>
              </w:tabs>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w:t>
            </w:r>
          </w:p>
        </w:tc>
        <w:tc>
          <w:tcPr>
            <w:tcW w:w="572" w:type="pct"/>
            <w:tcBorders>
              <w:top w:val="nil"/>
              <w:left w:val="nil"/>
              <w:bottom w:val="nil"/>
              <w:right w:val="nil"/>
            </w:tcBorders>
            <w:shd w:val="clear" w:color="auto" w:fill="auto"/>
            <w:vAlign w:val="center"/>
          </w:tcPr>
          <w:p w14:paraId="27B762CC" w14:textId="7E4FAA65" w:rsidR="00D319F7" w:rsidRPr="00537128" w:rsidDel="000A0F01" w:rsidRDefault="00D319F7" w:rsidP="00D319F7">
            <w:pPr>
              <w:tabs>
                <w:tab w:val="right" w:pos="1202"/>
              </w:tabs>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w:t>
            </w:r>
          </w:p>
        </w:tc>
        <w:tc>
          <w:tcPr>
            <w:tcW w:w="573" w:type="pct"/>
            <w:tcBorders>
              <w:top w:val="nil"/>
              <w:left w:val="nil"/>
              <w:bottom w:val="nil"/>
              <w:right w:val="nil"/>
            </w:tcBorders>
            <w:shd w:val="clear" w:color="auto" w:fill="auto"/>
            <w:vAlign w:val="center"/>
          </w:tcPr>
          <w:p w14:paraId="4155FAC9" w14:textId="7A31846E" w:rsidR="00D319F7" w:rsidRPr="00537128" w:rsidDel="000A0F01" w:rsidRDefault="00D319F7" w:rsidP="00D319F7">
            <w:pPr>
              <w:tabs>
                <w:tab w:val="right" w:pos="1202"/>
              </w:tabs>
              <w:spacing w:after="0" w:line="240" w:lineRule="exact"/>
              <w:jc w:val="right"/>
              <w:outlineLvl w:val="0"/>
              <w:rPr>
                <w:rFonts w:ascii="Calibri" w:eastAsia="Calibri" w:hAnsi="Calibri" w:cs="Arial"/>
                <w:bCs/>
                <w:color w:val="000000"/>
                <w:sz w:val="18"/>
                <w:szCs w:val="18"/>
                <w:lang w:val="en-US" w:eastAsia="hr-HR"/>
              </w:rPr>
            </w:pPr>
            <w:r>
              <w:rPr>
                <w:rFonts w:ascii="Calibri" w:hAnsi="Calibri" w:cs="Calibri"/>
                <w:color w:val="000000"/>
                <w:sz w:val="18"/>
                <w:szCs w:val="18"/>
              </w:rPr>
              <w:t>25</w:t>
            </w:r>
            <w:r w:rsidR="00114E6B">
              <w:rPr>
                <w:rFonts w:ascii="Calibri" w:hAnsi="Calibri" w:cs="Calibri"/>
                <w:color w:val="000000"/>
                <w:sz w:val="18"/>
                <w:szCs w:val="18"/>
              </w:rPr>
              <w:t>,</w:t>
            </w:r>
            <w:r>
              <w:rPr>
                <w:rFonts w:ascii="Calibri" w:hAnsi="Calibri" w:cs="Calibri"/>
                <w:color w:val="000000"/>
                <w:sz w:val="18"/>
                <w:szCs w:val="18"/>
              </w:rPr>
              <w:t>652</w:t>
            </w:r>
          </w:p>
        </w:tc>
        <w:tc>
          <w:tcPr>
            <w:tcW w:w="564" w:type="pct"/>
            <w:tcBorders>
              <w:top w:val="nil"/>
              <w:left w:val="nil"/>
              <w:bottom w:val="nil"/>
              <w:right w:val="nil"/>
            </w:tcBorders>
            <w:shd w:val="clear" w:color="auto" w:fill="auto"/>
            <w:vAlign w:val="center"/>
          </w:tcPr>
          <w:p w14:paraId="1A82C039" w14:textId="4F0A5E13" w:rsidR="00D319F7" w:rsidRPr="00537128" w:rsidDel="000A0F01" w:rsidRDefault="00D319F7" w:rsidP="00D319F7">
            <w:pPr>
              <w:tabs>
                <w:tab w:val="right" w:pos="1202"/>
              </w:tabs>
              <w:spacing w:after="0" w:line="240" w:lineRule="exact"/>
              <w:jc w:val="right"/>
              <w:outlineLvl w:val="0"/>
              <w:rPr>
                <w:rFonts w:ascii="Calibri" w:eastAsia="Calibri" w:hAnsi="Calibri" w:cs="Arial"/>
                <w:bCs/>
                <w:color w:val="000000"/>
                <w:sz w:val="18"/>
                <w:szCs w:val="18"/>
                <w:lang w:val="en-US" w:eastAsia="hr-HR"/>
              </w:rPr>
            </w:pPr>
            <w:r>
              <w:rPr>
                <w:rFonts w:ascii="Calibri" w:hAnsi="Calibri" w:cs="Calibri"/>
                <w:color w:val="000000"/>
                <w:sz w:val="18"/>
                <w:szCs w:val="18"/>
              </w:rPr>
              <w:t>129</w:t>
            </w:r>
            <w:r w:rsidR="00114E6B">
              <w:rPr>
                <w:rFonts w:ascii="Calibri" w:hAnsi="Calibri" w:cs="Calibri"/>
                <w:color w:val="000000"/>
                <w:sz w:val="18"/>
                <w:szCs w:val="18"/>
              </w:rPr>
              <w:t>,</w:t>
            </w:r>
            <w:r>
              <w:rPr>
                <w:rFonts w:ascii="Calibri" w:hAnsi="Calibri" w:cs="Calibri"/>
                <w:color w:val="000000"/>
                <w:sz w:val="18"/>
                <w:szCs w:val="18"/>
              </w:rPr>
              <w:t>544</w:t>
            </w:r>
          </w:p>
        </w:tc>
      </w:tr>
      <w:tr w:rsidR="00D319F7" w:rsidRPr="00537128" w14:paraId="3CFC5655" w14:textId="77777777" w:rsidTr="009465D9">
        <w:trPr>
          <w:trHeight w:hRule="exact" w:val="275"/>
        </w:trPr>
        <w:tc>
          <w:tcPr>
            <w:tcW w:w="1641" w:type="pct"/>
          </w:tcPr>
          <w:p w14:paraId="315F8323" w14:textId="77777777" w:rsidR="00D319F7" w:rsidRPr="00537128" w:rsidRDefault="00D319F7" w:rsidP="00D319F7">
            <w:pPr>
              <w:tabs>
                <w:tab w:val="right" w:pos="1202"/>
              </w:tabs>
              <w:spacing w:after="0" w:line="240" w:lineRule="exact"/>
              <w:outlineLvl w:val="0"/>
              <w:rPr>
                <w:rFonts w:ascii="Calibri" w:eastAsia="Calibri" w:hAnsi="Calibri" w:cs="Arial"/>
                <w:sz w:val="18"/>
                <w:szCs w:val="18"/>
                <w:lang w:val="en-US"/>
              </w:rPr>
            </w:pPr>
            <w:bookmarkStart w:id="880" w:name="_Toc4062208"/>
            <w:r w:rsidRPr="00537128">
              <w:rPr>
                <w:rFonts w:ascii="Calibri" w:eastAsia="Times New Roman" w:hAnsi="Calibri" w:cs="Arial"/>
                <w:spacing w:val="-2"/>
                <w:sz w:val="18"/>
                <w:szCs w:val="18"/>
                <w:lang w:val="en-US"/>
              </w:rPr>
              <w:t>Financial assets at fair value through other comprehensive income</w:t>
            </w:r>
            <w:bookmarkEnd w:id="880"/>
          </w:p>
        </w:tc>
        <w:tc>
          <w:tcPr>
            <w:tcW w:w="507" w:type="pct"/>
            <w:tcBorders>
              <w:top w:val="nil"/>
              <w:left w:val="nil"/>
              <w:bottom w:val="nil"/>
              <w:right w:val="nil"/>
            </w:tcBorders>
            <w:shd w:val="clear" w:color="auto" w:fill="auto"/>
            <w:vAlign w:val="center"/>
          </w:tcPr>
          <w:p w14:paraId="3836951B" w14:textId="7A38A588" w:rsidR="00D319F7" w:rsidRPr="00537128" w:rsidRDefault="00D319F7"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s="Calibri"/>
                <w:color w:val="000000"/>
                <w:sz w:val="18"/>
                <w:szCs w:val="18"/>
              </w:rPr>
              <w:t>3</w:t>
            </w:r>
            <w:r w:rsidR="00114E6B">
              <w:rPr>
                <w:rFonts w:ascii="Calibri" w:hAnsi="Calibri" w:cs="Calibri"/>
                <w:color w:val="000000"/>
                <w:sz w:val="18"/>
                <w:szCs w:val="18"/>
              </w:rPr>
              <w:t>,</w:t>
            </w:r>
            <w:r>
              <w:rPr>
                <w:rFonts w:ascii="Calibri" w:hAnsi="Calibri" w:cs="Calibri"/>
                <w:color w:val="000000"/>
                <w:sz w:val="18"/>
                <w:szCs w:val="18"/>
              </w:rPr>
              <w:t>1</w:t>
            </w:r>
            <w:r w:rsidR="00A01781">
              <w:rPr>
                <w:rFonts w:ascii="Calibri" w:hAnsi="Calibri" w:cs="Calibri"/>
                <w:color w:val="000000"/>
                <w:sz w:val="18"/>
                <w:szCs w:val="18"/>
              </w:rPr>
              <w:t>83</w:t>
            </w:r>
            <w:r w:rsidR="00114E6B">
              <w:rPr>
                <w:rFonts w:ascii="Calibri" w:hAnsi="Calibri" w:cs="Calibri"/>
                <w:color w:val="000000"/>
                <w:sz w:val="18"/>
                <w:szCs w:val="18"/>
              </w:rPr>
              <w:t>,</w:t>
            </w:r>
            <w:r w:rsidR="00A01781">
              <w:rPr>
                <w:rFonts w:ascii="Calibri" w:hAnsi="Calibri" w:cs="Calibri"/>
                <w:color w:val="000000"/>
                <w:sz w:val="18"/>
                <w:szCs w:val="18"/>
              </w:rPr>
              <w:t>907</w:t>
            </w:r>
          </w:p>
        </w:tc>
        <w:tc>
          <w:tcPr>
            <w:tcW w:w="552" w:type="pct"/>
            <w:tcBorders>
              <w:top w:val="nil"/>
              <w:left w:val="nil"/>
              <w:bottom w:val="nil"/>
              <w:right w:val="nil"/>
            </w:tcBorders>
            <w:shd w:val="clear" w:color="auto" w:fill="auto"/>
            <w:vAlign w:val="center"/>
          </w:tcPr>
          <w:p w14:paraId="2102F9E9" w14:textId="63CB2885" w:rsidR="00D319F7" w:rsidRPr="00537128" w:rsidRDefault="00A01781"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s="Calibri"/>
                <w:color w:val="000000"/>
                <w:sz w:val="18"/>
                <w:szCs w:val="18"/>
              </w:rPr>
              <w:t>1</w:t>
            </w:r>
            <w:r w:rsidR="00D319F7">
              <w:rPr>
                <w:rFonts w:ascii="Calibri" w:hAnsi="Calibri" w:cs="Calibri"/>
                <w:color w:val="000000"/>
                <w:sz w:val="18"/>
                <w:szCs w:val="18"/>
              </w:rPr>
              <w:t>1</w:t>
            </w:r>
            <w:r w:rsidR="00114E6B">
              <w:rPr>
                <w:rFonts w:ascii="Calibri" w:hAnsi="Calibri" w:cs="Calibri"/>
                <w:color w:val="000000"/>
                <w:sz w:val="18"/>
                <w:szCs w:val="18"/>
              </w:rPr>
              <w:t>,</w:t>
            </w:r>
            <w:r>
              <w:rPr>
                <w:rFonts w:ascii="Calibri" w:hAnsi="Calibri" w:cs="Calibri"/>
                <w:color w:val="000000"/>
                <w:sz w:val="18"/>
                <w:szCs w:val="18"/>
              </w:rPr>
              <w:t>953</w:t>
            </w:r>
          </w:p>
        </w:tc>
        <w:tc>
          <w:tcPr>
            <w:tcW w:w="590" w:type="pct"/>
            <w:tcBorders>
              <w:top w:val="nil"/>
              <w:left w:val="nil"/>
              <w:bottom w:val="nil"/>
              <w:right w:val="nil"/>
            </w:tcBorders>
            <w:shd w:val="clear" w:color="auto" w:fill="auto"/>
            <w:vAlign w:val="center"/>
          </w:tcPr>
          <w:p w14:paraId="0A3A35F7" w14:textId="175009A3" w:rsidR="00D319F7" w:rsidRPr="00537128" w:rsidRDefault="00D319F7"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72" w:type="pct"/>
            <w:tcBorders>
              <w:top w:val="nil"/>
              <w:left w:val="nil"/>
              <w:bottom w:val="nil"/>
              <w:right w:val="nil"/>
            </w:tcBorders>
            <w:shd w:val="clear" w:color="auto" w:fill="auto"/>
            <w:vAlign w:val="center"/>
          </w:tcPr>
          <w:p w14:paraId="763501CB" w14:textId="748E80E3" w:rsidR="00D319F7" w:rsidRPr="00537128" w:rsidRDefault="00D319F7"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73" w:type="pct"/>
            <w:tcBorders>
              <w:top w:val="nil"/>
              <w:left w:val="nil"/>
              <w:bottom w:val="nil"/>
              <w:right w:val="nil"/>
            </w:tcBorders>
            <w:shd w:val="clear" w:color="auto" w:fill="auto"/>
            <w:vAlign w:val="center"/>
          </w:tcPr>
          <w:p w14:paraId="6A92CA5F" w14:textId="19F37A08" w:rsidR="00D319F7" w:rsidRPr="00537128" w:rsidRDefault="00D319F7"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64" w:type="pct"/>
            <w:tcBorders>
              <w:top w:val="nil"/>
              <w:left w:val="nil"/>
              <w:bottom w:val="nil"/>
              <w:right w:val="nil"/>
            </w:tcBorders>
            <w:shd w:val="clear" w:color="auto" w:fill="auto"/>
            <w:vAlign w:val="center"/>
          </w:tcPr>
          <w:p w14:paraId="1C6A81A5" w14:textId="2F244C75" w:rsidR="00D319F7" w:rsidRPr="00537128" w:rsidRDefault="00D319F7"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s="Calibri"/>
                <w:color w:val="000000"/>
                <w:sz w:val="18"/>
                <w:szCs w:val="18"/>
              </w:rPr>
              <w:t>3</w:t>
            </w:r>
            <w:r w:rsidR="00114E6B">
              <w:rPr>
                <w:rFonts w:ascii="Calibri" w:hAnsi="Calibri" w:cs="Calibri"/>
                <w:color w:val="000000"/>
                <w:sz w:val="18"/>
                <w:szCs w:val="18"/>
              </w:rPr>
              <w:t>,</w:t>
            </w:r>
            <w:r>
              <w:rPr>
                <w:rFonts w:ascii="Calibri" w:hAnsi="Calibri" w:cs="Calibri"/>
                <w:color w:val="000000"/>
                <w:sz w:val="18"/>
                <w:szCs w:val="18"/>
              </w:rPr>
              <w:t>195</w:t>
            </w:r>
            <w:r w:rsidR="00114E6B">
              <w:rPr>
                <w:rFonts w:ascii="Calibri" w:hAnsi="Calibri" w:cs="Calibri"/>
                <w:color w:val="000000"/>
                <w:sz w:val="18"/>
                <w:szCs w:val="18"/>
              </w:rPr>
              <w:t>,</w:t>
            </w:r>
            <w:r>
              <w:rPr>
                <w:rFonts w:ascii="Calibri" w:hAnsi="Calibri" w:cs="Calibri"/>
                <w:color w:val="000000"/>
                <w:sz w:val="18"/>
                <w:szCs w:val="18"/>
              </w:rPr>
              <w:t>860</w:t>
            </w:r>
          </w:p>
        </w:tc>
      </w:tr>
      <w:tr w:rsidR="00D319F7" w:rsidRPr="00537128" w14:paraId="1D6593A6" w14:textId="77777777" w:rsidTr="009465D9">
        <w:trPr>
          <w:trHeight w:hRule="exact" w:val="275"/>
        </w:trPr>
        <w:tc>
          <w:tcPr>
            <w:tcW w:w="1641" w:type="pct"/>
            <w:vAlign w:val="bottom"/>
          </w:tcPr>
          <w:p w14:paraId="3788C7FB" w14:textId="77777777" w:rsidR="00D319F7" w:rsidRPr="00537128" w:rsidRDefault="00D319F7" w:rsidP="00D319F7">
            <w:pPr>
              <w:tabs>
                <w:tab w:val="right" w:pos="1202"/>
              </w:tabs>
              <w:spacing w:after="0" w:line="240" w:lineRule="exact"/>
              <w:outlineLvl w:val="0"/>
              <w:rPr>
                <w:rFonts w:ascii="Calibri" w:eastAsia="Calibri" w:hAnsi="Calibri" w:cs="Arial"/>
                <w:spacing w:val="-2"/>
                <w:sz w:val="18"/>
                <w:szCs w:val="18"/>
                <w:lang w:val="en-US"/>
              </w:rPr>
            </w:pPr>
            <w:bookmarkStart w:id="881" w:name="_Toc4062215"/>
            <w:r w:rsidRPr="00537128">
              <w:rPr>
                <w:rFonts w:ascii="Calibri" w:eastAsia="Calibri" w:hAnsi="Calibri" w:cs="Arial"/>
                <w:spacing w:val="-2"/>
                <w:sz w:val="18"/>
                <w:szCs w:val="18"/>
                <w:lang w:val="en-US"/>
              </w:rPr>
              <w:t>Investments in subsidiaries</w:t>
            </w:r>
            <w:bookmarkEnd w:id="881"/>
            <w:r w:rsidRPr="00537128">
              <w:rPr>
                <w:rFonts w:ascii="Calibri" w:eastAsia="Calibri" w:hAnsi="Calibri" w:cs="Arial"/>
                <w:spacing w:val="-2"/>
                <w:sz w:val="18"/>
                <w:szCs w:val="18"/>
                <w:lang w:val="en-US"/>
              </w:rPr>
              <w:t xml:space="preserve"> </w:t>
            </w:r>
          </w:p>
        </w:tc>
        <w:tc>
          <w:tcPr>
            <w:tcW w:w="507" w:type="pct"/>
            <w:tcBorders>
              <w:top w:val="nil"/>
              <w:left w:val="nil"/>
              <w:bottom w:val="nil"/>
              <w:right w:val="nil"/>
            </w:tcBorders>
            <w:shd w:val="clear" w:color="auto" w:fill="auto"/>
            <w:vAlign w:val="center"/>
          </w:tcPr>
          <w:p w14:paraId="156CBE81" w14:textId="26831989" w:rsidR="00D319F7" w:rsidRPr="00537128" w:rsidRDefault="00D319F7"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52" w:type="pct"/>
            <w:tcBorders>
              <w:top w:val="nil"/>
              <w:left w:val="nil"/>
              <w:bottom w:val="nil"/>
              <w:right w:val="nil"/>
            </w:tcBorders>
            <w:shd w:val="clear" w:color="auto" w:fill="auto"/>
            <w:vAlign w:val="center"/>
          </w:tcPr>
          <w:p w14:paraId="07D517EF" w14:textId="0E77580B" w:rsidR="00D319F7" w:rsidRPr="00537128" w:rsidRDefault="00D319F7"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90" w:type="pct"/>
            <w:tcBorders>
              <w:top w:val="nil"/>
              <w:left w:val="nil"/>
              <w:bottom w:val="nil"/>
              <w:right w:val="nil"/>
            </w:tcBorders>
            <w:shd w:val="clear" w:color="auto" w:fill="auto"/>
            <w:vAlign w:val="center"/>
          </w:tcPr>
          <w:p w14:paraId="1503E0BA" w14:textId="1379451D" w:rsidR="00D319F7" w:rsidRPr="00537128" w:rsidRDefault="00D319F7"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72" w:type="pct"/>
            <w:tcBorders>
              <w:top w:val="nil"/>
              <w:left w:val="nil"/>
              <w:bottom w:val="nil"/>
              <w:right w:val="nil"/>
            </w:tcBorders>
            <w:shd w:val="clear" w:color="auto" w:fill="auto"/>
            <w:vAlign w:val="center"/>
          </w:tcPr>
          <w:p w14:paraId="50D0FC30" w14:textId="2E5D15F8" w:rsidR="00D319F7" w:rsidRPr="00537128" w:rsidRDefault="00D319F7"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73" w:type="pct"/>
            <w:tcBorders>
              <w:top w:val="nil"/>
              <w:left w:val="nil"/>
              <w:bottom w:val="nil"/>
              <w:right w:val="nil"/>
            </w:tcBorders>
            <w:shd w:val="clear" w:color="auto" w:fill="auto"/>
            <w:vAlign w:val="center"/>
          </w:tcPr>
          <w:p w14:paraId="7C679540" w14:textId="7B70A5F5" w:rsidR="00D319F7" w:rsidRPr="00537128" w:rsidRDefault="00D319F7"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s="Calibri"/>
                <w:color w:val="000000"/>
                <w:sz w:val="18"/>
                <w:szCs w:val="18"/>
              </w:rPr>
              <w:t>36</w:t>
            </w:r>
            <w:r w:rsidR="00114E6B">
              <w:rPr>
                <w:rFonts w:ascii="Calibri" w:hAnsi="Calibri" w:cs="Calibri"/>
                <w:color w:val="000000"/>
                <w:sz w:val="18"/>
                <w:szCs w:val="18"/>
              </w:rPr>
              <w:t>,</w:t>
            </w:r>
            <w:r>
              <w:rPr>
                <w:rFonts w:ascii="Calibri" w:hAnsi="Calibri" w:cs="Calibri"/>
                <w:color w:val="000000"/>
                <w:sz w:val="18"/>
                <w:szCs w:val="18"/>
              </w:rPr>
              <w:t>124</w:t>
            </w:r>
          </w:p>
        </w:tc>
        <w:tc>
          <w:tcPr>
            <w:tcW w:w="564" w:type="pct"/>
            <w:tcBorders>
              <w:top w:val="nil"/>
              <w:left w:val="nil"/>
              <w:bottom w:val="nil"/>
              <w:right w:val="nil"/>
            </w:tcBorders>
            <w:shd w:val="clear" w:color="auto" w:fill="auto"/>
            <w:vAlign w:val="center"/>
          </w:tcPr>
          <w:p w14:paraId="2CD5B3F5" w14:textId="0B38061C" w:rsidR="00D319F7" w:rsidRPr="00537128" w:rsidRDefault="00D319F7"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s="Calibri"/>
                <w:color w:val="000000"/>
                <w:sz w:val="18"/>
                <w:szCs w:val="18"/>
              </w:rPr>
              <w:t>36</w:t>
            </w:r>
            <w:r w:rsidR="00114E6B">
              <w:rPr>
                <w:rFonts w:ascii="Calibri" w:hAnsi="Calibri" w:cs="Calibri"/>
                <w:color w:val="000000"/>
                <w:sz w:val="18"/>
                <w:szCs w:val="18"/>
              </w:rPr>
              <w:t>,</w:t>
            </w:r>
            <w:r>
              <w:rPr>
                <w:rFonts w:ascii="Calibri" w:hAnsi="Calibri" w:cs="Calibri"/>
                <w:color w:val="000000"/>
                <w:sz w:val="18"/>
                <w:szCs w:val="18"/>
              </w:rPr>
              <w:t>124</w:t>
            </w:r>
          </w:p>
        </w:tc>
      </w:tr>
      <w:tr w:rsidR="00D319F7" w:rsidRPr="00537128" w14:paraId="40D33E97" w14:textId="77777777" w:rsidTr="009465D9">
        <w:trPr>
          <w:trHeight w:hRule="exact" w:val="391"/>
        </w:trPr>
        <w:tc>
          <w:tcPr>
            <w:tcW w:w="1641" w:type="pct"/>
            <w:vAlign w:val="bottom"/>
          </w:tcPr>
          <w:p w14:paraId="5CDE1262" w14:textId="77777777" w:rsidR="00D319F7" w:rsidRPr="00537128" w:rsidRDefault="00D319F7" w:rsidP="00D319F7">
            <w:pPr>
              <w:tabs>
                <w:tab w:val="right" w:pos="1202"/>
              </w:tabs>
              <w:spacing w:after="0" w:line="220" w:lineRule="exact"/>
              <w:outlineLvl w:val="0"/>
              <w:rPr>
                <w:rFonts w:ascii="Calibri" w:eastAsia="Times New Roman" w:hAnsi="Calibri" w:cs="Arial"/>
                <w:spacing w:val="-2"/>
                <w:sz w:val="18"/>
                <w:szCs w:val="18"/>
                <w:lang w:val="en-US"/>
              </w:rPr>
            </w:pPr>
            <w:bookmarkStart w:id="882" w:name="_Toc4062222"/>
            <w:r w:rsidRPr="00537128">
              <w:rPr>
                <w:rFonts w:ascii="Calibri" w:eastAsia="Times New Roman" w:hAnsi="Calibri" w:cs="Arial"/>
                <w:spacing w:val="-2"/>
                <w:sz w:val="18"/>
                <w:szCs w:val="18"/>
                <w:lang w:val="en-US"/>
              </w:rPr>
              <w:t>Property, plant and equipment and intangible assets</w:t>
            </w:r>
            <w:bookmarkEnd w:id="882"/>
          </w:p>
        </w:tc>
        <w:tc>
          <w:tcPr>
            <w:tcW w:w="507" w:type="pct"/>
            <w:tcBorders>
              <w:top w:val="nil"/>
              <w:left w:val="nil"/>
              <w:bottom w:val="nil"/>
              <w:right w:val="nil"/>
            </w:tcBorders>
            <w:shd w:val="clear" w:color="auto" w:fill="auto"/>
            <w:vAlign w:val="center"/>
          </w:tcPr>
          <w:p w14:paraId="4E741397" w14:textId="541CB199" w:rsidR="00D319F7" w:rsidRPr="00537128" w:rsidRDefault="00D319F7"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52" w:type="pct"/>
            <w:tcBorders>
              <w:top w:val="nil"/>
              <w:left w:val="nil"/>
              <w:bottom w:val="nil"/>
              <w:right w:val="nil"/>
            </w:tcBorders>
            <w:shd w:val="clear" w:color="auto" w:fill="auto"/>
            <w:vAlign w:val="center"/>
          </w:tcPr>
          <w:p w14:paraId="56206777" w14:textId="6BD61E76" w:rsidR="00D319F7" w:rsidRPr="00537128" w:rsidRDefault="00D319F7"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90" w:type="pct"/>
            <w:tcBorders>
              <w:top w:val="nil"/>
              <w:left w:val="nil"/>
              <w:bottom w:val="nil"/>
              <w:right w:val="nil"/>
            </w:tcBorders>
            <w:shd w:val="clear" w:color="auto" w:fill="auto"/>
            <w:vAlign w:val="center"/>
          </w:tcPr>
          <w:p w14:paraId="342E1161" w14:textId="105B7394" w:rsidR="00D319F7" w:rsidRPr="00537128" w:rsidRDefault="00D319F7"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72" w:type="pct"/>
            <w:tcBorders>
              <w:top w:val="nil"/>
              <w:left w:val="nil"/>
              <w:bottom w:val="nil"/>
              <w:right w:val="nil"/>
            </w:tcBorders>
            <w:shd w:val="clear" w:color="auto" w:fill="auto"/>
            <w:vAlign w:val="center"/>
          </w:tcPr>
          <w:p w14:paraId="665D8536" w14:textId="1F6DBF06" w:rsidR="00D319F7" w:rsidRPr="00537128" w:rsidRDefault="00D319F7"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73" w:type="pct"/>
            <w:tcBorders>
              <w:top w:val="nil"/>
              <w:left w:val="nil"/>
              <w:bottom w:val="nil"/>
              <w:right w:val="nil"/>
            </w:tcBorders>
            <w:shd w:val="clear" w:color="auto" w:fill="auto"/>
            <w:vAlign w:val="center"/>
          </w:tcPr>
          <w:p w14:paraId="2CCC53B1" w14:textId="168F460B" w:rsidR="00D319F7" w:rsidRPr="00537128" w:rsidRDefault="00D319F7"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s="Calibri"/>
                <w:color w:val="000000"/>
                <w:sz w:val="18"/>
                <w:szCs w:val="18"/>
              </w:rPr>
              <w:t>42</w:t>
            </w:r>
            <w:r w:rsidR="00114E6B">
              <w:rPr>
                <w:rFonts w:ascii="Calibri" w:hAnsi="Calibri" w:cs="Calibri"/>
                <w:color w:val="000000"/>
                <w:sz w:val="18"/>
                <w:szCs w:val="18"/>
              </w:rPr>
              <w:t>,</w:t>
            </w:r>
            <w:r>
              <w:rPr>
                <w:rFonts w:ascii="Calibri" w:hAnsi="Calibri" w:cs="Calibri"/>
                <w:color w:val="000000"/>
                <w:sz w:val="18"/>
                <w:szCs w:val="18"/>
              </w:rPr>
              <w:t>408</w:t>
            </w:r>
          </w:p>
        </w:tc>
        <w:tc>
          <w:tcPr>
            <w:tcW w:w="564" w:type="pct"/>
            <w:tcBorders>
              <w:top w:val="nil"/>
              <w:left w:val="nil"/>
              <w:bottom w:val="nil"/>
              <w:right w:val="nil"/>
            </w:tcBorders>
            <w:shd w:val="clear" w:color="auto" w:fill="auto"/>
            <w:vAlign w:val="center"/>
          </w:tcPr>
          <w:p w14:paraId="35B3766F" w14:textId="46CB893C" w:rsidR="00D319F7" w:rsidRPr="00537128" w:rsidRDefault="00D319F7"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s="Calibri"/>
                <w:color w:val="000000"/>
                <w:sz w:val="18"/>
                <w:szCs w:val="18"/>
              </w:rPr>
              <w:t>42</w:t>
            </w:r>
            <w:r w:rsidR="00114E6B">
              <w:rPr>
                <w:rFonts w:ascii="Calibri" w:hAnsi="Calibri" w:cs="Calibri"/>
                <w:color w:val="000000"/>
                <w:sz w:val="18"/>
                <w:szCs w:val="18"/>
              </w:rPr>
              <w:t>,</w:t>
            </w:r>
            <w:r>
              <w:rPr>
                <w:rFonts w:ascii="Calibri" w:hAnsi="Calibri" w:cs="Calibri"/>
                <w:color w:val="000000"/>
                <w:sz w:val="18"/>
                <w:szCs w:val="18"/>
              </w:rPr>
              <w:t>408</w:t>
            </w:r>
          </w:p>
        </w:tc>
      </w:tr>
      <w:tr w:rsidR="00D319F7" w:rsidRPr="00537128" w14:paraId="62FBD984" w14:textId="77777777" w:rsidTr="009465D9">
        <w:trPr>
          <w:trHeight w:hRule="exact" w:val="275"/>
        </w:trPr>
        <w:tc>
          <w:tcPr>
            <w:tcW w:w="1641" w:type="pct"/>
            <w:vAlign w:val="bottom"/>
          </w:tcPr>
          <w:p w14:paraId="0314FE87" w14:textId="77777777" w:rsidR="00D319F7" w:rsidRPr="00537128" w:rsidRDefault="00D319F7" w:rsidP="00D319F7">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Foreclosed assets</w:t>
            </w:r>
          </w:p>
        </w:tc>
        <w:tc>
          <w:tcPr>
            <w:tcW w:w="507" w:type="pct"/>
            <w:tcBorders>
              <w:top w:val="nil"/>
              <w:left w:val="nil"/>
              <w:bottom w:val="nil"/>
              <w:right w:val="nil"/>
            </w:tcBorders>
            <w:shd w:val="clear" w:color="auto" w:fill="auto"/>
            <w:vAlign w:val="center"/>
          </w:tcPr>
          <w:p w14:paraId="57752216" w14:textId="2777340C" w:rsidR="00D319F7" w:rsidRPr="00537128" w:rsidRDefault="009B5642"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eastAsia="Calibri" w:hAnsi="Calibri" w:cs="Arial"/>
                <w:spacing w:val="-2"/>
                <w:sz w:val="18"/>
                <w:szCs w:val="18"/>
                <w:lang w:val="en-US"/>
              </w:rPr>
              <w:t>-</w:t>
            </w:r>
          </w:p>
        </w:tc>
        <w:tc>
          <w:tcPr>
            <w:tcW w:w="552" w:type="pct"/>
            <w:tcBorders>
              <w:top w:val="nil"/>
              <w:left w:val="nil"/>
              <w:bottom w:val="nil"/>
              <w:right w:val="nil"/>
            </w:tcBorders>
            <w:shd w:val="clear" w:color="auto" w:fill="auto"/>
            <w:vAlign w:val="center"/>
          </w:tcPr>
          <w:p w14:paraId="43A983CE" w14:textId="5C55A7FA" w:rsidR="00D319F7" w:rsidRPr="00537128" w:rsidRDefault="009B5642"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eastAsia="Calibri" w:hAnsi="Calibri" w:cs="Arial"/>
                <w:spacing w:val="-2"/>
                <w:sz w:val="18"/>
                <w:szCs w:val="18"/>
                <w:lang w:val="en-US"/>
              </w:rPr>
              <w:t>156</w:t>
            </w:r>
          </w:p>
        </w:tc>
        <w:tc>
          <w:tcPr>
            <w:tcW w:w="590" w:type="pct"/>
            <w:tcBorders>
              <w:top w:val="nil"/>
              <w:left w:val="nil"/>
              <w:bottom w:val="nil"/>
              <w:right w:val="nil"/>
            </w:tcBorders>
            <w:shd w:val="clear" w:color="auto" w:fill="auto"/>
            <w:vAlign w:val="center"/>
          </w:tcPr>
          <w:p w14:paraId="59325033" w14:textId="14253CCF" w:rsidR="00D319F7" w:rsidRPr="00537128" w:rsidRDefault="009B5642"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eastAsia="Calibri" w:hAnsi="Calibri" w:cs="Arial"/>
                <w:spacing w:val="-2"/>
                <w:sz w:val="18"/>
                <w:szCs w:val="18"/>
                <w:lang w:val="en-US"/>
              </w:rPr>
              <w:t>78</w:t>
            </w:r>
          </w:p>
        </w:tc>
        <w:tc>
          <w:tcPr>
            <w:tcW w:w="572" w:type="pct"/>
            <w:tcBorders>
              <w:top w:val="nil"/>
              <w:left w:val="nil"/>
              <w:bottom w:val="nil"/>
              <w:right w:val="nil"/>
            </w:tcBorders>
            <w:shd w:val="clear" w:color="auto" w:fill="auto"/>
            <w:vAlign w:val="center"/>
          </w:tcPr>
          <w:p w14:paraId="7A3B909C" w14:textId="391D3F52" w:rsidR="00D319F7" w:rsidRPr="00537128" w:rsidRDefault="009B5642"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eastAsia="Calibri" w:hAnsi="Calibri" w:cs="Arial"/>
                <w:spacing w:val="-2"/>
                <w:sz w:val="18"/>
                <w:szCs w:val="18"/>
                <w:lang w:val="en-US"/>
              </w:rPr>
              <w:t>11,558</w:t>
            </w:r>
          </w:p>
        </w:tc>
        <w:tc>
          <w:tcPr>
            <w:tcW w:w="573" w:type="pct"/>
            <w:tcBorders>
              <w:top w:val="nil"/>
              <w:left w:val="nil"/>
              <w:bottom w:val="nil"/>
              <w:right w:val="nil"/>
            </w:tcBorders>
            <w:shd w:val="clear" w:color="auto" w:fill="auto"/>
            <w:vAlign w:val="center"/>
          </w:tcPr>
          <w:p w14:paraId="5A27B9F0" w14:textId="022A1B78" w:rsidR="00D319F7" w:rsidRPr="00537128" w:rsidRDefault="009B5642"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eastAsia="Calibri" w:hAnsi="Calibri" w:cs="Arial"/>
                <w:spacing w:val="-2"/>
                <w:sz w:val="18"/>
                <w:szCs w:val="18"/>
                <w:lang w:val="en-US"/>
              </w:rPr>
              <w:t>13,204</w:t>
            </w:r>
          </w:p>
        </w:tc>
        <w:tc>
          <w:tcPr>
            <w:tcW w:w="564" w:type="pct"/>
            <w:tcBorders>
              <w:top w:val="nil"/>
              <w:left w:val="nil"/>
              <w:bottom w:val="nil"/>
              <w:right w:val="nil"/>
            </w:tcBorders>
            <w:shd w:val="clear" w:color="auto" w:fill="auto"/>
            <w:vAlign w:val="center"/>
          </w:tcPr>
          <w:p w14:paraId="41152366" w14:textId="39FE1088" w:rsidR="00D319F7" w:rsidRPr="009B5642" w:rsidRDefault="009B5642" w:rsidP="00D319F7">
            <w:pPr>
              <w:tabs>
                <w:tab w:val="right" w:pos="1202"/>
              </w:tabs>
              <w:spacing w:after="0" w:line="240" w:lineRule="exact"/>
              <w:jc w:val="right"/>
              <w:outlineLvl w:val="0"/>
              <w:rPr>
                <w:rFonts w:ascii="Calibri" w:eastAsia="Calibri" w:hAnsi="Calibri" w:cs="Arial"/>
                <w:spacing w:val="-2"/>
                <w:sz w:val="18"/>
                <w:szCs w:val="18"/>
                <w:lang w:val="en-US"/>
              </w:rPr>
            </w:pPr>
            <w:r w:rsidRPr="009B5642">
              <w:rPr>
                <w:rFonts w:ascii="Calibri" w:hAnsi="Calibri"/>
                <w:color w:val="000000"/>
                <w:sz w:val="18"/>
                <w:szCs w:val="18"/>
              </w:rPr>
              <w:t>24,996</w:t>
            </w:r>
          </w:p>
        </w:tc>
      </w:tr>
      <w:tr w:rsidR="00D319F7" w:rsidRPr="00537128" w14:paraId="30148875" w14:textId="77777777" w:rsidTr="009465D9">
        <w:trPr>
          <w:trHeight w:hRule="exact" w:val="275"/>
        </w:trPr>
        <w:tc>
          <w:tcPr>
            <w:tcW w:w="1641" w:type="pct"/>
            <w:vAlign w:val="bottom"/>
          </w:tcPr>
          <w:p w14:paraId="72D49882" w14:textId="77777777" w:rsidR="00D319F7" w:rsidRPr="00537128" w:rsidRDefault="00D319F7" w:rsidP="00D319F7">
            <w:pPr>
              <w:tabs>
                <w:tab w:val="right" w:pos="1202"/>
              </w:tabs>
              <w:spacing w:after="0" w:line="220" w:lineRule="exact"/>
              <w:outlineLvl w:val="0"/>
              <w:rPr>
                <w:rFonts w:ascii="Calibri" w:eastAsia="Times New Roman" w:hAnsi="Calibri" w:cs="Arial"/>
                <w:spacing w:val="-2"/>
                <w:sz w:val="18"/>
                <w:szCs w:val="18"/>
                <w:lang w:val="en-US"/>
              </w:rPr>
            </w:pPr>
            <w:bookmarkStart w:id="883" w:name="_Toc4062236"/>
            <w:r w:rsidRPr="00537128">
              <w:rPr>
                <w:rFonts w:ascii="Calibri" w:eastAsia="Times New Roman" w:hAnsi="Calibri" w:cs="Arial"/>
                <w:spacing w:val="-2"/>
                <w:sz w:val="18"/>
                <w:szCs w:val="18"/>
                <w:lang w:val="en-US"/>
              </w:rPr>
              <w:t>Other assets</w:t>
            </w:r>
            <w:bookmarkEnd w:id="883"/>
          </w:p>
        </w:tc>
        <w:tc>
          <w:tcPr>
            <w:tcW w:w="507" w:type="pct"/>
            <w:tcBorders>
              <w:top w:val="nil"/>
              <w:left w:val="nil"/>
              <w:bottom w:val="nil"/>
              <w:right w:val="nil"/>
            </w:tcBorders>
            <w:shd w:val="clear" w:color="auto" w:fill="auto"/>
            <w:vAlign w:val="center"/>
          </w:tcPr>
          <w:p w14:paraId="60EBA138" w14:textId="4856F9E3" w:rsidR="00D319F7" w:rsidRPr="00537128" w:rsidRDefault="009B5642"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eastAsia="Calibri" w:hAnsi="Calibri" w:cs="Arial"/>
                <w:spacing w:val="-2"/>
                <w:sz w:val="18"/>
                <w:szCs w:val="18"/>
                <w:lang w:val="en-US"/>
              </w:rPr>
              <w:t>4,299</w:t>
            </w:r>
          </w:p>
        </w:tc>
        <w:tc>
          <w:tcPr>
            <w:tcW w:w="552" w:type="pct"/>
            <w:tcBorders>
              <w:top w:val="nil"/>
              <w:left w:val="nil"/>
              <w:bottom w:val="nil"/>
              <w:right w:val="nil"/>
            </w:tcBorders>
            <w:shd w:val="clear" w:color="auto" w:fill="auto"/>
            <w:vAlign w:val="center"/>
          </w:tcPr>
          <w:p w14:paraId="4A94D40F" w14:textId="27FD24CD" w:rsidR="00D319F7" w:rsidRPr="00537128" w:rsidRDefault="009B5642"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eastAsia="Calibri" w:hAnsi="Calibri" w:cs="Arial"/>
                <w:spacing w:val="-2"/>
                <w:sz w:val="18"/>
                <w:szCs w:val="18"/>
                <w:lang w:val="en-US"/>
              </w:rPr>
              <w:t>1,085</w:t>
            </w:r>
          </w:p>
        </w:tc>
        <w:tc>
          <w:tcPr>
            <w:tcW w:w="590" w:type="pct"/>
            <w:tcBorders>
              <w:top w:val="nil"/>
              <w:left w:val="nil"/>
              <w:bottom w:val="nil"/>
              <w:right w:val="nil"/>
            </w:tcBorders>
            <w:shd w:val="clear" w:color="auto" w:fill="auto"/>
            <w:vAlign w:val="center"/>
          </w:tcPr>
          <w:p w14:paraId="4A9820CF" w14:textId="080DFD1E" w:rsidR="00D319F7" w:rsidRPr="00537128" w:rsidRDefault="009B5642"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eastAsia="Calibri" w:hAnsi="Calibri" w:cs="Arial"/>
                <w:spacing w:val="-2"/>
                <w:sz w:val="18"/>
                <w:szCs w:val="18"/>
                <w:lang w:val="en-US"/>
              </w:rPr>
              <w:t>23,582</w:t>
            </w:r>
          </w:p>
        </w:tc>
        <w:tc>
          <w:tcPr>
            <w:tcW w:w="572" w:type="pct"/>
            <w:tcBorders>
              <w:top w:val="nil"/>
              <w:left w:val="nil"/>
              <w:bottom w:val="nil"/>
              <w:right w:val="nil"/>
            </w:tcBorders>
            <w:shd w:val="clear" w:color="auto" w:fill="auto"/>
            <w:vAlign w:val="center"/>
          </w:tcPr>
          <w:p w14:paraId="492F8B7A" w14:textId="202FD8E0" w:rsidR="00D319F7" w:rsidRPr="00537128" w:rsidRDefault="009B5642"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eastAsia="Calibri" w:hAnsi="Calibri" w:cs="Arial"/>
                <w:spacing w:val="-2"/>
                <w:sz w:val="18"/>
                <w:szCs w:val="18"/>
                <w:lang w:val="en-US"/>
              </w:rPr>
              <w:t>4,143</w:t>
            </w:r>
          </w:p>
        </w:tc>
        <w:tc>
          <w:tcPr>
            <w:tcW w:w="573" w:type="pct"/>
            <w:tcBorders>
              <w:top w:val="nil"/>
              <w:left w:val="nil"/>
              <w:bottom w:val="nil"/>
              <w:right w:val="nil"/>
            </w:tcBorders>
            <w:shd w:val="clear" w:color="auto" w:fill="auto"/>
            <w:vAlign w:val="center"/>
          </w:tcPr>
          <w:p w14:paraId="40069ED6" w14:textId="289038CA" w:rsidR="00D319F7" w:rsidRPr="00537128" w:rsidRDefault="009B5642" w:rsidP="00D319F7">
            <w:pPr>
              <w:tabs>
                <w:tab w:val="right" w:pos="1202"/>
              </w:tabs>
              <w:spacing w:after="0" w:line="240" w:lineRule="exact"/>
              <w:jc w:val="right"/>
              <w:outlineLvl w:val="0"/>
              <w:rPr>
                <w:rFonts w:ascii="Calibri" w:eastAsia="Calibri" w:hAnsi="Calibri" w:cs="Arial"/>
                <w:spacing w:val="-2"/>
                <w:sz w:val="18"/>
                <w:szCs w:val="18"/>
                <w:lang w:val="en-US"/>
              </w:rPr>
            </w:pPr>
            <w:r>
              <w:rPr>
                <w:rFonts w:ascii="Calibri" w:eastAsia="Calibri" w:hAnsi="Calibri" w:cs="Arial"/>
                <w:spacing w:val="-2"/>
                <w:sz w:val="18"/>
                <w:szCs w:val="18"/>
                <w:lang w:val="en-US"/>
              </w:rPr>
              <w:t>5,848</w:t>
            </w:r>
          </w:p>
        </w:tc>
        <w:tc>
          <w:tcPr>
            <w:tcW w:w="564" w:type="pct"/>
            <w:tcBorders>
              <w:top w:val="nil"/>
              <w:left w:val="nil"/>
              <w:bottom w:val="nil"/>
              <w:right w:val="nil"/>
            </w:tcBorders>
            <w:shd w:val="clear" w:color="auto" w:fill="auto"/>
            <w:vAlign w:val="center"/>
          </w:tcPr>
          <w:p w14:paraId="59085793" w14:textId="7C9A0886" w:rsidR="00D319F7" w:rsidRPr="009B5642" w:rsidRDefault="009B5642" w:rsidP="00D319F7">
            <w:pPr>
              <w:tabs>
                <w:tab w:val="right" w:pos="1202"/>
              </w:tabs>
              <w:spacing w:after="0" w:line="240" w:lineRule="exact"/>
              <w:jc w:val="right"/>
              <w:outlineLvl w:val="0"/>
              <w:rPr>
                <w:rFonts w:ascii="Calibri" w:eastAsia="Calibri" w:hAnsi="Calibri" w:cs="Arial"/>
                <w:spacing w:val="-2"/>
                <w:sz w:val="18"/>
                <w:szCs w:val="18"/>
                <w:lang w:val="en-US"/>
              </w:rPr>
            </w:pPr>
            <w:r w:rsidRPr="009B5642">
              <w:rPr>
                <w:rFonts w:ascii="Calibri" w:hAnsi="Calibri"/>
                <w:color w:val="000000"/>
                <w:sz w:val="18"/>
                <w:szCs w:val="18"/>
              </w:rPr>
              <w:t>38,957</w:t>
            </w:r>
          </w:p>
        </w:tc>
      </w:tr>
      <w:tr w:rsidR="00D319F7" w:rsidRPr="00537128" w14:paraId="2A758877" w14:textId="77777777" w:rsidTr="009465D9">
        <w:trPr>
          <w:trHeight w:hRule="exact" w:val="275"/>
        </w:trPr>
        <w:tc>
          <w:tcPr>
            <w:tcW w:w="1641" w:type="pct"/>
            <w:vAlign w:val="bottom"/>
          </w:tcPr>
          <w:p w14:paraId="1EC3B31E" w14:textId="77777777" w:rsidR="00D319F7" w:rsidRPr="00537128" w:rsidRDefault="00D319F7" w:rsidP="00D319F7">
            <w:pPr>
              <w:tabs>
                <w:tab w:val="right" w:pos="1202"/>
              </w:tabs>
              <w:spacing w:after="0" w:line="240" w:lineRule="exact"/>
              <w:outlineLvl w:val="0"/>
              <w:rPr>
                <w:rFonts w:ascii="Calibri" w:eastAsia="Calibri" w:hAnsi="Calibri" w:cs="Arial"/>
                <w:b/>
                <w:bCs/>
                <w:sz w:val="18"/>
                <w:szCs w:val="18"/>
                <w:lang w:val="en-US"/>
              </w:rPr>
            </w:pPr>
            <w:bookmarkStart w:id="884" w:name="_Toc4062243"/>
            <w:r w:rsidRPr="00537128">
              <w:rPr>
                <w:rFonts w:ascii="Calibri" w:eastAsia="Calibri" w:hAnsi="Calibri" w:cs="Arial"/>
                <w:b/>
                <w:bCs/>
                <w:sz w:val="18"/>
                <w:szCs w:val="18"/>
                <w:lang w:val="en-US"/>
              </w:rPr>
              <w:t>Total assets</w:t>
            </w:r>
            <w:bookmarkEnd w:id="884"/>
            <w:r w:rsidRPr="00537128">
              <w:rPr>
                <w:rFonts w:ascii="Calibri" w:eastAsia="Calibri" w:hAnsi="Calibri" w:cs="Arial"/>
                <w:b/>
                <w:bCs/>
                <w:sz w:val="18"/>
                <w:szCs w:val="18"/>
                <w:lang w:val="en-US"/>
              </w:rPr>
              <w:t xml:space="preserve"> </w:t>
            </w:r>
          </w:p>
        </w:tc>
        <w:tc>
          <w:tcPr>
            <w:tcW w:w="507" w:type="pct"/>
            <w:tcBorders>
              <w:top w:val="single" w:sz="8" w:space="0" w:color="auto"/>
              <w:left w:val="nil"/>
              <w:bottom w:val="single" w:sz="8" w:space="0" w:color="auto"/>
              <w:right w:val="nil"/>
            </w:tcBorders>
            <w:shd w:val="clear" w:color="auto" w:fill="auto"/>
            <w:vAlign w:val="center"/>
          </w:tcPr>
          <w:p w14:paraId="54BB4BBB" w14:textId="4F2DAE3C" w:rsidR="00D319F7" w:rsidRPr="00537128" w:rsidRDefault="00D319F7" w:rsidP="00D319F7">
            <w:pPr>
              <w:tabs>
                <w:tab w:val="right" w:pos="1202"/>
              </w:tabs>
              <w:spacing w:after="0" w:line="240" w:lineRule="exact"/>
              <w:jc w:val="right"/>
              <w:outlineLvl w:val="0"/>
              <w:rPr>
                <w:rFonts w:ascii="Calibri" w:eastAsia="Calibri" w:hAnsi="Calibri" w:cs="Arial"/>
                <w:b/>
                <w:spacing w:val="-2"/>
                <w:sz w:val="18"/>
                <w:szCs w:val="18"/>
                <w:lang w:val="en-US"/>
              </w:rPr>
            </w:pPr>
            <w:r>
              <w:rPr>
                <w:rFonts w:ascii="Calibri" w:hAnsi="Calibri" w:cs="Calibri"/>
                <w:b/>
                <w:bCs/>
                <w:color w:val="000000"/>
                <w:sz w:val="18"/>
                <w:szCs w:val="18"/>
              </w:rPr>
              <w:t>6</w:t>
            </w:r>
            <w:r w:rsidR="00114E6B">
              <w:rPr>
                <w:rFonts w:ascii="Calibri" w:hAnsi="Calibri" w:cs="Calibri"/>
                <w:b/>
                <w:bCs/>
                <w:color w:val="000000"/>
                <w:sz w:val="18"/>
                <w:szCs w:val="18"/>
              </w:rPr>
              <w:t>,</w:t>
            </w:r>
            <w:r>
              <w:rPr>
                <w:rFonts w:ascii="Calibri" w:hAnsi="Calibri" w:cs="Calibri"/>
                <w:b/>
                <w:bCs/>
                <w:color w:val="000000"/>
                <w:sz w:val="18"/>
                <w:szCs w:val="18"/>
              </w:rPr>
              <w:t>4</w:t>
            </w:r>
            <w:r w:rsidR="00A01781">
              <w:rPr>
                <w:rFonts w:ascii="Calibri" w:hAnsi="Calibri" w:cs="Calibri"/>
                <w:b/>
                <w:bCs/>
                <w:color w:val="000000"/>
                <w:sz w:val="18"/>
                <w:szCs w:val="18"/>
              </w:rPr>
              <w:t>2</w:t>
            </w:r>
            <w:r w:rsidR="009B5642">
              <w:rPr>
                <w:rFonts w:ascii="Calibri" w:hAnsi="Calibri" w:cs="Calibri"/>
                <w:b/>
                <w:bCs/>
                <w:color w:val="000000"/>
                <w:sz w:val="18"/>
                <w:szCs w:val="18"/>
              </w:rPr>
              <w:t>0</w:t>
            </w:r>
            <w:r w:rsidR="00114E6B">
              <w:rPr>
                <w:rFonts w:ascii="Calibri" w:hAnsi="Calibri" w:cs="Calibri"/>
                <w:b/>
                <w:bCs/>
                <w:color w:val="000000"/>
                <w:sz w:val="18"/>
                <w:szCs w:val="18"/>
              </w:rPr>
              <w:t>,</w:t>
            </w:r>
            <w:r w:rsidR="00A01781">
              <w:rPr>
                <w:rFonts w:ascii="Calibri" w:hAnsi="Calibri" w:cs="Calibri"/>
                <w:b/>
                <w:bCs/>
                <w:color w:val="000000"/>
                <w:sz w:val="18"/>
                <w:szCs w:val="18"/>
              </w:rPr>
              <w:t>115</w:t>
            </w:r>
          </w:p>
        </w:tc>
        <w:tc>
          <w:tcPr>
            <w:tcW w:w="552" w:type="pct"/>
            <w:tcBorders>
              <w:top w:val="single" w:sz="8" w:space="0" w:color="auto"/>
              <w:left w:val="nil"/>
              <w:bottom w:val="single" w:sz="8" w:space="0" w:color="auto"/>
              <w:right w:val="nil"/>
            </w:tcBorders>
            <w:shd w:val="clear" w:color="auto" w:fill="auto"/>
            <w:vAlign w:val="center"/>
          </w:tcPr>
          <w:p w14:paraId="305529DD" w14:textId="4184D0C7" w:rsidR="00D319F7" w:rsidRPr="00537128" w:rsidRDefault="00D319F7" w:rsidP="00D319F7">
            <w:pPr>
              <w:tabs>
                <w:tab w:val="right" w:pos="1202"/>
              </w:tabs>
              <w:spacing w:after="0" w:line="240" w:lineRule="exact"/>
              <w:jc w:val="right"/>
              <w:outlineLvl w:val="0"/>
              <w:rPr>
                <w:rFonts w:ascii="Calibri" w:eastAsia="Calibri" w:hAnsi="Calibri" w:cs="Arial"/>
                <w:b/>
                <w:spacing w:val="-2"/>
                <w:sz w:val="18"/>
                <w:szCs w:val="18"/>
                <w:lang w:val="en-US"/>
              </w:rPr>
            </w:pPr>
            <w:r>
              <w:rPr>
                <w:rFonts w:ascii="Calibri" w:hAnsi="Calibri" w:cs="Calibri"/>
                <w:b/>
                <w:bCs/>
                <w:color w:val="000000"/>
                <w:sz w:val="18"/>
                <w:szCs w:val="18"/>
              </w:rPr>
              <w:t>7</w:t>
            </w:r>
            <w:r w:rsidR="00A01781">
              <w:rPr>
                <w:rFonts w:ascii="Calibri" w:hAnsi="Calibri" w:cs="Calibri"/>
                <w:b/>
                <w:bCs/>
                <w:color w:val="000000"/>
                <w:sz w:val="18"/>
                <w:szCs w:val="18"/>
              </w:rPr>
              <w:t>6</w:t>
            </w:r>
            <w:r w:rsidR="009164AF">
              <w:rPr>
                <w:rFonts w:ascii="Calibri" w:hAnsi="Calibri" w:cs="Calibri"/>
                <w:b/>
                <w:bCs/>
                <w:color w:val="000000"/>
                <w:sz w:val="18"/>
                <w:szCs w:val="18"/>
              </w:rPr>
              <w:t>0</w:t>
            </w:r>
            <w:r w:rsidR="00114E6B">
              <w:rPr>
                <w:rFonts w:ascii="Calibri" w:hAnsi="Calibri" w:cs="Calibri"/>
                <w:b/>
                <w:bCs/>
                <w:color w:val="000000"/>
                <w:sz w:val="18"/>
                <w:szCs w:val="18"/>
              </w:rPr>
              <w:t>,</w:t>
            </w:r>
            <w:r w:rsidR="00A01781">
              <w:rPr>
                <w:rFonts w:ascii="Calibri" w:hAnsi="Calibri" w:cs="Calibri"/>
                <w:b/>
                <w:bCs/>
                <w:color w:val="000000"/>
                <w:sz w:val="18"/>
                <w:szCs w:val="18"/>
              </w:rPr>
              <w:t>956</w:t>
            </w:r>
          </w:p>
        </w:tc>
        <w:tc>
          <w:tcPr>
            <w:tcW w:w="590" w:type="pct"/>
            <w:tcBorders>
              <w:top w:val="single" w:sz="8" w:space="0" w:color="auto"/>
              <w:left w:val="nil"/>
              <w:bottom w:val="single" w:sz="8" w:space="0" w:color="auto"/>
              <w:right w:val="nil"/>
            </w:tcBorders>
            <w:shd w:val="clear" w:color="auto" w:fill="auto"/>
            <w:vAlign w:val="center"/>
          </w:tcPr>
          <w:p w14:paraId="4E33D076" w14:textId="79A65E2F" w:rsidR="00D319F7" w:rsidRPr="00537128" w:rsidRDefault="00D319F7" w:rsidP="00D319F7">
            <w:pPr>
              <w:tabs>
                <w:tab w:val="right" w:pos="1202"/>
              </w:tabs>
              <w:spacing w:after="0" w:line="240" w:lineRule="exact"/>
              <w:jc w:val="right"/>
              <w:outlineLvl w:val="0"/>
              <w:rPr>
                <w:rFonts w:ascii="Calibri" w:eastAsia="Calibri" w:hAnsi="Calibri" w:cs="Arial"/>
                <w:b/>
                <w:spacing w:val="-2"/>
                <w:sz w:val="18"/>
                <w:szCs w:val="18"/>
                <w:lang w:val="en-US"/>
              </w:rPr>
            </w:pPr>
            <w:r>
              <w:rPr>
                <w:rFonts w:ascii="Calibri" w:hAnsi="Calibri" w:cs="Calibri"/>
                <w:b/>
                <w:bCs/>
                <w:color w:val="000000"/>
                <w:sz w:val="18"/>
                <w:szCs w:val="18"/>
              </w:rPr>
              <w:t>1</w:t>
            </w:r>
            <w:r w:rsidR="00114E6B">
              <w:rPr>
                <w:rFonts w:ascii="Calibri" w:hAnsi="Calibri" w:cs="Calibri"/>
                <w:b/>
                <w:bCs/>
                <w:color w:val="000000"/>
                <w:sz w:val="18"/>
                <w:szCs w:val="18"/>
              </w:rPr>
              <w:t>,</w:t>
            </w:r>
            <w:r>
              <w:rPr>
                <w:rFonts w:ascii="Calibri" w:hAnsi="Calibri" w:cs="Calibri"/>
                <w:b/>
                <w:bCs/>
                <w:color w:val="000000"/>
                <w:sz w:val="18"/>
                <w:szCs w:val="18"/>
              </w:rPr>
              <w:t>9</w:t>
            </w:r>
            <w:r w:rsidR="009B5642">
              <w:rPr>
                <w:rFonts w:ascii="Calibri" w:hAnsi="Calibri" w:cs="Calibri"/>
                <w:b/>
                <w:bCs/>
                <w:color w:val="000000"/>
                <w:sz w:val="18"/>
                <w:szCs w:val="18"/>
              </w:rPr>
              <w:t>87</w:t>
            </w:r>
            <w:r w:rsidR="00114E6B">
              <w:rPr>
                <w:rFonts w:ascii="Calibri" w:hAnsi="Calibri" w:cs="Calibri"/>
                <w:b/>
                <w:bCs/>
                <w:color w:val="000000"/>
                <w:sz w:val="18"/>
                <w:szCs w:val="18"/>
              </w:rPr>
              <w:t>,</w:t>
            </w:r>
            <w:r w:rsidR="009B5642">
              <w:rPr>
                <w:rFonts w:ascii="Calibri" w:hAnsi="Calibri" w:cs="Calibri"/>
                <w:b/>
                <w:bCs/>
                <w:color w:val="000000"/>
                <w:sz w:val="18"/>
                <w:szCs w:val="18"/>
              </w:rPr>
              <w:t>710</w:t>
            </w:r>
          </w:p>
        </w:tc>
        <w:tc>
          <w:tcPr>
            <w:tcW w:w="572" w:type="pct"/>
            <w:tcBorders>
              <w:top w:val="single" w:sz="8" w:space="0" w:color="auto"/>
              <w:left w:val="nil"/>
              <w:bottom w:val="single" w:sz="8" w:space="0" w:color="auto"/>
              <w:right w:val="nil"/>
            </w:tcBorders>
            <w:shd w:val="clear" w:color="auto" w:fill="auto"/>
            <w:vAlign w:val="center"/>
          </w:tcPr>
          <w:p w14:paraId="34D11C27" w14:textId="00BAE3FF" w:rsidR="00D319F7" w:rsidRPr="00537128" w:rsidRDefault="00D319F7" w:rsidP="00D319F7">
            <w:pPr>
              <w:tabs>
                <w:tab w:val="right" w:pos="1202"/>
              </w:tabs>
              <w:spacing w:after="0" w:line="240" w:lineRule="exact"/>
              <w:jc w:val="right"/>
              <w:outlineLvl w:val="0"/>
              <w:rPr>
                <w:rFonts w:ascii="Calibri" w:eastAsia="Calibri" w:hAnsi="Calibri" w:cs="Arial"/>
                <w:b/>
                <w:spacing w:val="-2"/>
                <w:sz w:val="18"/>
                <w:szCs w:val="18"/>
                <w:lang w:val="en-US"/>
              </w:rPr>
            </w:pPr>
            <w:r>
              <w:rPr>
                <w:rFonts w:ascii="Calibri" w:hAnsi="Calibri" w:cs="Calibri"/>
                <w:b/>
                <w:bCs/>
                <w:color w:val="000000"/>
                <w:sz w:val="18"/>
                <w:szCs w:val="18"/>
              </w:rPr>
              <w:t>5</w:t>
            </w:r>
            <w:r w:rsidR="00114E6B">
              <w:rPr>
                <w:rFonts w:ascii="Calibri" w:hAnsi="Calibri" w:cs="Calibri"/>
                <w:b/>
                <w:bCs/>
                <w:color w:val="000000"/>
                <w:sz w:val="18"/>
                <w:szCs w:val="18"/>
              </w:rPr>
              <w:t>,</w:t>
            </w:r>
            <w:r>
              <w:rPr>
                <w:rFonts w:ascii="Calibri" w:hAnsi="Calibri" w:cs="Calibri"/>
                <w:b/>
                <w:bCs/>
                <w:color w:val="000000"/>
                <w:sz w:val="18"/>
                <w:szCs w:val="18"/>
              </w:rPr>
              <w:t>1</w:t>
            </w:r>
            <w:r w:rsidR="009B5642">
              <w:rPr>
                <w:rFonts w:ascii="Calibri" w:hAnsi="Calibri" w:cs="Calibri"/>
                <w:b/>
                <w:bCs/>
                <w:color w:val="000000"/>
                <w:sz w:val="18"/>
                <w:szCs w:val="18"/>
              </w:rPr>
              <w:t>79</w:t>
            </w:r>
            <w:r w:rsidR="00114E6B">
              <w:rPr>
                <w:rFonts w:ascii="Calibri" w:hAnsi="Calibri" w:cs="Calibri"/>
                <w:b/>
                <w:bCs/>
                <w:color w:val="000000"/>
                <w:sz w:val="18"/>
                <w:szCs w:val="18"/>
              </w:rPr>
              <w:t>,</w:t>
            </w:r>
            <w:r w:rsidR="009B5642">
              <w:rPr>
                <w:rFonts w:ascii="Calibri" w:hAnsi="Calibri" w:cs="Calibri"/>
                <w:b/>
                <w:bCs/>
                <w:color w:val="000000"/>
                <w:sz w:val="18"/>
                <w:szCs w:val="18"/>
              </w:rPr>
              <w:t>245</w:t>
            </w:r>
          </w:p>
        </w:tc>
        <w:tc>
          <w:tcPr>
            <w:tcW w:w="573" w:type="pct"/>
            <w:tcBorders>
              <w:top w:val="single" w:sz="8" w:space="0" w:color="auto"/>
              <w:left w:val="nil"/>
              <w:bottom w:val="single" w:sz="8" w:space="0" w:color="auto"/>
              <w:right w:val="nil"/>
            </w:tcBorders>
            <w:shd w:val="clear" w:color="auto" w:fill="auto"/>
            <w:vAlign w:val="center"/>
          </w:tcPr>
          <w:p w14:paraId="5531E37A" w14:textId="7B764CA4" w:rsidR="00D319F7" w:rsidRPr="00537128" w:rsidRDefault="00D319F7" w:rsidP="00D319F7">
            <w:pPr>
              <w:tabs>
                <w:tab w:val="right" w:pos="1202"/>
              </w:tabs>
              <w:spacing w:after="0" w:line="240" w:lineRule="exact"/>
              <w:jc w:val="right"/>
              <w:outlineLvl w:val="0"/>
              <w:rPr>
                <w:rFonts w:ascii="Calibri" w:eastAsia="Calibri" w:hAnsi="Calibri" w:cs="Arial"/>
                <w:b/>
                <w:spacing w:val="-2"/>
                <w:sz w:val="18"/>
                <w:szCs w:val="18"/>
                <w:lang w:val="en-US"/>
              </w:rPr>
            </w:pPr>
            <w:r>
              <w:rPr>
                <w:rFonts w:ascii="Calibri" w:hAnsi="Calibri" w:cs="Calibri"/>
                <w:b/>
                <w:bCs/>
                <w:color w:val="000000"/>
                <w:sz w:val="18"/>
                <w:szCs w:val="18"/>
              </w:rPr>
              <w:t>13</w:t>
            </w:r>
            <w:r w:rsidR="00114E6B">
              <w:rPr>
                <w:rFonts w:ascii="Calibri" w:hAnsi="Calibri" w:cs="Calibri"/>
                <w:b/>
                <w:bCs/>
                <w:color w:val="000000"/>
                <w:sz w:val="18"/>
                <w:szCs w:val="18"/>
              </w:rPr>
              <w:t>,</w:t>
            </w:r>
            <w:r>
              <w:rPr>
                <w:rFonts w:ascii="Calibri" w:hAnsi="Calibri" w:cs="Calibri"/>
                <w:b/>
                <w:bCs/>
                <w:color w:val="000000"/>
                <w:sz w:val="18"/>
                <w:szCs w:val="18"/>
              </w:rPr>
              <w:t>3</w:t>
            </w:r>
            <w:r w:rsidR="009B5642">
              <w:rPr>
                <w:rFonts w:ascii="Calibri" w:hAnsi="Calibri" w:cs="Calibri"/>
                <w:b/>
                <w:bCs/>
                <w:color w:val="000000"/>
                <w:sz w:val="18"/>
                <w:szCs w:val="18"/>
              </w:rPr>
              <w:t>74</w:t>
            </w:r>
            <w:r w:rsidR="00114E6B">
              <w:rPr>
                <w:rFonts w:ascii="Calibri" w:hAnsi="Calibri" w:cs="Calibri"/>
                <w:b/>
                <w:bCs/>
                <w:color w:val="000000"/>
                <w:sz w:val="18"/>
                <w:szCs w:val="18"/>
              </w:rPr>
              <w:t>,</w:t>
            </w:r>
            <w:r w:rsidR="009B5642">
              <w:rPr>
                <w:rFonts w:ascii="Calibri" w:hAnsi="Calibri" w:cs="Calibri"/>
                <w:b/>
                <w:bCs/>
                <w:color w:val="000000"/>
                <w:sz w:val="18"/>
                <w:szCs w:val="18"/>
              </w:rPr>
              <w:t>677</w:t>
            </w:r>
          </w:p>
        </w:tc>
        <w:tc>
          <w:tcPr>
            <w:tcW w:w="564" w:type="pct"/>
            <w:tcBorders>
              <w:top w:val="single" w:sz="8" w:space="0" w:color="auto"/>
              <w:left w:val="nil"/>
              <w:bottom w:val="single" w:sz="8" w:space="0" w:color="auto"/>
              <w:right w:val="nil"/>
            </w:tcBorders>
            <w:shd w:val="clear" w:color="auto" w:fill="auto"/>
            <w:vAlign w:val="center"/>
          </w:tcPr>
          <w:p w14:paraId="75F09AF4" w14:textId="45CB09BE" w:rsidR="00D319F7" w:rsidRPr="00537128" w:rsidRDefault="00D319F7" w:rsidP="00D319F7">
            <w:pPr>
              <w:tabs>
                <w:tab w:val="right" w:pos="1202"/>
              </w:tabs>
              <w:spacing w:after="0" w:line="240" w:lineRule="exact"/>
              <w:jc w:val="right"/>
              <w:outlineLvl w:val="0"/>
              <w:rPr>
                <w:rFonts w:ascii="Calibri" w:eastAsia="Calibri" w:hAnsi="Calibri" w:cs="Arial"/>
                <w:b/>
                <w:spacing w:val="-2"/>
                <w:sz w:val="18"/>
                <w:szCs w:val="18"/>
                <w:lang w:val="en-US"/>
              </w:rPr>
            </w:pPr>
            <w:r>
              <w:rPr>
                <w:rFonts w:ascii="Calibri" w:hAnsi="Calibri" w:cs="Calibri"/>
                <w:b/>
                <w:bCs/>
                <w:color w:val="000000"/>
                <w:sz w:val="18"/>
                <w:szCs w:val="18"/>
              </w:rPr>
              <w:t>27</w:t>
            </w:r>
            <w:r w:rsidR="00114E6B">
              <w:rPr>
                <w:rFonts w:ascii="Calibri" w:hAnsi="Calibri" w:cs="Calibri"/>
                <w:b/>
                <w:bCs/>
                <w:color w:val="000000"/>
                <w:sz w:val="18"/>
                <w:szCs w:val="18"/>
              </w:rPr>
              <w:t>,</w:t>
            </w:r>
            <w:r w:rsidR="009B5642">
              <w:rPr>
                <w:rFonts w:ascii="Calibri" w:hAnsi="Calibri" w:cs="Calibri"/>
                <w:b/>
                <w:bCs/>
                <w:color w:val="000000"/>
                <w:sz w:val="18"/>
                <w:szCs w:val="18"/>
              </w:rPr>
              <w:t>722</w:t>
            </w:r>
            <w:r w:rsidR="00114E6B">
              <w:rPr>
                <w:rFonts w:ascii="Calibri" w:hAnsi="Calibri" w:cs="Calibri"/>
                <w:b/>
                <w:bCs/>
                <w:color w:val="000000"/>
                <w:sz w:val="18"/>
                <w:szCs w:val="18"/>
              </w:rPr>
              <w:t>,</w:t>
            </w:r>
            <w:r>
              <w:rPr>
                <w:rFonts w:ascii="Calibri" w:hAnsi="Calibri" w:cs="Calibri"/>
                <w:b/>
                <w:bCs/>
                <w:color w:val="000000"/>
                <w:sz w:val="18"/>
                <w:szCs w:val="18"/>
              </w:rPr>
              <w:t>7</w:t>
            </w:r>
            <w:r w:rsidR="009B5642">
              <w:rPr>
                <w:rFonts w:ascii="Calibri" w:hAnsi="Calibri" w:cs="Calibri"/>
                <w:b/>
                <w:bCs/>
                <w:color w:val="000000"/>
                <w:sz w:val="18"/>
                <w:szCs w:val="18"/>
              </w:rPr>
              <w:t>03</w:t>
            </w:r>
          </w:p>
        </w:tc>
      </w:tr>
      <w:tr w:rsidR="00D319F7" w:rsidRPr="00537128" w14:paraId="379380C4" w14:textId="77777777" w:rsidTr="00A1123E">
        <w:trPr>
          <w:trHeight w:hRule="exact" w:val="275"/>
        </w:trPr>
        <w:tc>
          <w:tcPr>
            <w:tcW w:w="1641" w:type="pct"/>
            <w:vAlign w:val="bottom"/>
          </w:tcPr>
          <w:p w14:paraId="7A010096" w14:textId="77777777" w:rsidR="00D319F7" w:rsidRPr="00537128" w:rsidRDefault="00D319F7" w:rsidP="00D319F7">
            <w:pPr>
              <w:tabs>
                <w:tab w:val="right" w:pos="1202"/>
              </w:tabs>
              <w:spacing w:after="0" w:line="240" w:lineRule="exact"/>
              <w:outlineLvl w:val="0"/>
              <w:rPr>
                <w:rFonts w:ascii="Calibri" w:eastAsia="Calibri" w:hAnsi="Calibri" w:cs="Arial"/>
                <w:b/>
                <w:bCs/>
                <w:sz w:val="18"/>
                <w:szCs w:val="18"/>
                <w:lang w:val="en-US"/>
              </w:rPr>
            </w:pPr>
          </w:p>
        </w:tc>
        <w:tc>
          <w:tcPr>
            <w:tcW w:w="507" w:type="pct"/>
            <w:tcBorders>
              <w:top w:val="single" w:sz="12" w:space="0" w:color="auto"/>
            </w:tcBorders>
            <w:shd w:val="clear" w:color="auto" w:fill="auto"/>
            <w:vAlign w:val="bottom"/>
          </w:tcPr>
          <w:p w14:paraId="13808603" w14:textId="77777777" w:rsidR="00D319F7" w:rsidRPr="00537128" w:rsidRDefault="00D319F7" w:rsidP="00D319F7">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52" w:type="pct"/>
            <w:tcBorders>
              <w:top w:val="single" w:sz="12" w:space="0" w:color="auto"/>
            </w:tcBorders>
            <w:shd w:val="clear" w:color="auto" w:fill="auto"/>
            <w:vAlign w:val="bottom"/>
          </w:tcPr>
          <w:p w14:paraId="44A1DCF5" w14:textId="77777777" w:rsidR="00D319F7" w:rsidRPr="00537128" w:rsidRDefault="00D319F7" w:rsidP="00D319F7">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90" w:type="pct"/>
            <w:tcBorders>
              <w:top w:val="single" w:sz="12" w:space="0" w:color="auto"/>
            </w:tcBorders>
            <w:shd w:val="clear" w:color="auto" w:fill="auto"/>
            <w:vAlign w:val="bottom"/>
          </w:tcPr>
          <w:p w14:paraId="10A681DE" w14:textId="77777777" w:rsidR="00D319F7" w:rsidRPr="00537128" w:rsidRDefault="00D319F7" w:rsidP="00D319F7">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2" w:type="pct"/>
            <w:tcBorders>
              <w:top w:val="single" w:sz="12" w:space="0" w:color="auto"/>
            </w:tcBorders>
            <w:shd w:val="clear" w:color="auto" w:fill="auto"/>
            <w:vAlign w:val="bottom"/>
          </w:tcPr>
          <w:p w14:paraId="5ED0D379" w14:textId="77777777" w:rsidR="00D319F7" w:rsidRPr="00537128" w:rsidRDefault="00D319F7" w:rsidP="00D319F7">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3" w:type="pct"/>
            <w:tcBorders>
              <w:top w:val="single" w:sz="12" w:space="0" w:color="auto"/>
            </w:tcBorders>
            <w:shd w:val="clear" w:color="auto" w:fill="auto"/>
            <w:vAlign w:val="bottom"/>
          </w:tcPr>
          <w:p w14:paraId="0C4DC125" w14:textId="77777777" w:rsidR="00D319F7" w:rsidRPr="00537128" w:rsidRDefault="00D319F7" w:rsidP="00D319F7">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64" w:type="pct"/>
            <w:tcBorders>
              <w:top w:val="single" w:sz="12" w:space="0" w:color="auto"/>
            </w:tcBorders>
            <w:shd w:val="clear" w:color="auto" w:fill="auto"/>
            <w:vAlign w:val="bottom"/>
          </w:tcPr>
          <w:p w14:paraId="1DF76968" w14:textId="77777777" w:rsidR="00D319F7" w:rsidRPr="00537128" w:rsidRDefault="00D319F7" w:rsidP="00D319F7">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D319F7" w:rsidRPr="00537128" w14:paraId="1B5E8400" w14:textId="77777777" w:rsidTr="00703DBC">
        <w:trPr>
          <w:trHeight w:hRule="exact" w:val="275"/>
        </w:trPr>
        <w:tc>
          <w:tcPr>
            <w:tcW w:w="1641" w:type="pct"/>
            <w:vAlign w:val="bottom"/>
          </w:tcPr>
          <w:p w14:paraId="30BFABB5" w14:textId="77777777" w:rsidR="00D319F7" w:rsidRPr="00537128" w:rsidRDefault="00D319F7" w:rsidP="00D319F7">
            <w:pPr>
              <w:tabs>
                <w:tab w:val="right" w:pos="1202"/>
              </w:tabs>
              <w:spacing w:after="0" w:line="240" w:lineRule="exact"/>
              <w:outlineLvl w:val="0"/>
              <w:rPr>
                <w:rFonts w:ascii="Calibri" w:eastAsia="Calibri" w:hAnsi="Calibri" w:cs="Arial"/>
                <w:b/>
                <w:bCs/>
                <w:sz w:val="18"/>
                <w:szCs w:val="18"/>
                <w:lang w:val="en-US"/>
              </w:rPr>
            </w:pPr>
            <w:bookmarkStart w:id="885" w:name="_Toc4062250"/>
            <w:r w:rsidRPr="00537128">
              <w:rPr>
                <w:rFonts w:ascii="Calibri" w:eastAsia="Calibri" w:hAnsi="Calibri" w:cs="Arial"/>
                <w:b/>
                <w:bCs/>
                <w:sz w:val="18"/>
                <w:szCs w:val="18"/>
                <w:lang w:val="en-US"/>
              </w:rPr>
              <w:t>Liabilities</w:t>
            </w:r>
            <w:bookmarkEnd w:id="885"/>
          </w:p>
        </w:tc>
        <w:tc>
          <w:tcPr>
            <w:tcW w:w="507" w:type="pct"/>
            <w:vAlign w:val="bottom"/>
          </w:tcPr>
          <w:p w14:paraId="442B03B0" w14:textId="77777777" w:rsidR="00D319F7" w:rsidRPr="00537128" w:rsidRDefault="00D319F7" w:rsidP="00D319F7">
            <w:pPr>
              <w:spacing w:after="0" w:line="240" w:lineRule="exact"/>
              <w:jc w:val="right"/>
              <w:outlineLvl w:val="0"/>
              <w:rPr>
                <w:rFonts w:ascii="Calibri" w:eastAsia="Calibri" w:hAnsi="Calibri" w:cs="Arial"/>
                <w:spacing w:val="-2"/>
                <w:sz w:val="18"/>
                <w:szCs w:val="18"/>
                <w:lang w:val="en-US"/>
              </w:rPr>
            </w:pPr>
          </w:p>
        </w:tc>
        <w:tc>
          <w:tcPr>
            <w:tcW w:w="552" w:type="pct"/>
            <w:vAlign w:val="bottom"/>
          </w:tcPr>
          <w:p w14:paraId="413954F9" w14:textId="77777777" w:rsidR="00D319F7" w:rsidRPr="00537128" w:rsidRDefault="00D319F7" w:rsidP="00D319F7">
            <w:pPr>
              <w:spacing w:after="0" w:line="240" w:lineRule="exact"/>
              <w:jc w:val="right"/>
              <w:outlineLvl w:val="0"/>
              <w:rPr>
                <w:rFonts w:ascii="Calibri" w:eastAsia="Calibri" w:hAnsi="Calibri" w:cs="Arial"/>
                <w:spacing w:val="-2"/>
                <w:sz w:val="18"/>
                <w:szCs w:val="18"/>
                <w:lang w:val="en-US"/>
              </w:rPr>
            </w:pPr>
          </w:p>
        </w:tc>
        <w:tc>
          <w:tcPr>
            <w:tcW w:w="590" w:type="pct"/>
            <w:vAlign w:val="bottom"/>
          </w:tcPr>
          <w:p w14:paraId="4F7DACB9" w14:textId="77777777" w:rsidR="00D319F7" w:rsidRPr="00537128" w:rsidRDefault="00D319F7" w:rsidP="00D319F7">
            <w:pPr>
              <w:spacing w:after="0" w:line="240" w:lineRule="exact"/>
              <w:jc w:val="right"/>
              <w:outlineLvl w:val="0"/>
              <w:rPr>
                <w:rFonts w:ascii="Calibri" w:eastAsia="Calibri" w:hAnsi="Calibri" w:cs="Arial"/>
                <w:spacing w:val="-2"/>
                <w:sz w:val="18"/>
                <w:szCs w:val="18"/>
                <w:lang w:val="en-US"/>
              </w:rPr>
            </w:pPr>
          </w:p>
        </w:tc>
        <w:tc>
          <w:tcPr>
            <w:tcW w:w="572" w:type="pct"/>
            <w:vAlign w:val="bottom"/>
          </w:tcPr>
          <w:p w14:paraId="23580E00" w14:textId="77777777" w:rsidR="00D319F7" w:rsidRPr="00537128" w:rsidRDefault="00D319F7" w:rsidP="00D319F7">
            <w:pPr>
              <w:spacing w:after="0" w:line="240" w:lineRule="exact"/>
              <w:jc w:val="right"/>
              <w:outlineLvl w:val="0"/>
              <w:rPr>
                <w:rFonts w:ascii="Calibri" w:eastAsia="Calibri" w:hAnsi="Calibri" w:cs="Arial"/>
                <w:spacing w:val="-2"/>
                <w:sz w:val="18"/>
                <w:szCs w:val="18"/>
                <w:lang w:val="en-US"/>
              </w:rPr>
            </w:pPr>
          </w:p>
        </w:tc>
        <w:tc>
          <w:tcPr>
            <w:tcW w:w="573" w:type="pct"/>
            <w:vAlign w:val="bottom"/>
          </w:tcPr>
          <w:p w14:paraId="041DD2D9" w14:textId="77777777" w:rsidR="00D319F7" w:rsidRPr="00537128" w:rsidRDefault="00D319F7" w:rsidP="00D319F7">
            <w:pPr>
              <w:spacing w:after="0" w:line="240" w:lineRule="exact"/>
              <w:jc w:val="right"/>
              <w:outlineLvl w:val="0"/>
              <w:rPr>
                <w:rFonts w:ascii="Calibri" w:eastAsia="Calibri" w:hAnsi="Calibri" w:cs="Arial"/>
                <w:spacing w:val="-2"/>
                <w:sz w:val="18"/>
                <w:szCs w:val="18"/>
                <w:lang w:val="en-US"/>
              </w:rPr>
            </w:pPr>
          </w:p>
        </w:tc>
        <w:tc>
          <w:tcPr>
            <w:tcW w:w="564" w:type="pct"/>
            <w:vAlign w:val="bottom"/>
          </w:tcPr>
          <w:p w14:paraId="072E6ED5" w14:textId="77777777" w:rsidR="00D319F7" w:rsidRPr="00537128" w:rsidRDefault="00D319F7" w:rsidP="00D319F7">
            <w:pPr>
              <w:spacing w:after="0" w:line="240" w:lineRule="exact"/>
              <w:jc w:val="right"/>
              <w:outlineLvl w:val="0"/>
              <w:rPr>
                <w:rFonts w:ascii="Calibri" w:eastAsia="Calibri" w:hAnsi="Calibri" w:cs="Arial"/>
                <w:spacing w:val="-2"/>
                <w:sz w:val="18"/>
                <w:szCs w:val="18"/>
                <w:lang w:val="en-US"/>
              </w:rPr>
            </w:pPr>
          </w:p>
        </w:tc>
      </w:tr>
      <w:tr w:rsidR="00DD132E" w:rsidRPr="00537128" w14:paraId="4D9C31A5" w14:textId="77777777" w:rsidTr="00703DBC">
        <w:trPr>
          <w:trHeight w:hRule="exact" w:val="275"/>
        </w:trPr>
        <w:tc>
          <w:tcPr>
            <w:tcW w:w="1641" w:type="pct"/>
            <w:vAlign w:val="bottom"/>
          </w:tcPr>
          <w:p w14:paraId="13FAA455" w14:textId="77777777" w:rsidR="00DD132E" w:rsidRPr="00537128" w:rsidRDefault="00DD132E" w:rsidP="00DD132E">
            <w:pPr>
              <w:tabs>
                <w:tab w:val="right" w:pos="1202"/>
              </w:tabs>
              <w:spacing w:after="0" w:line="200" w:lineRule="exact"/>
              <w:outlineLvl w:val="0"/>
              <w:rPr>
                <w:rFonts w:ascii="Calibri" w:eastAsia="Times New Roman" w:hAnsi="Calibri" w:cs="Arial"/>
                <w:sz w:val="18"/>
                <w:szCs w:val="18"/>
                <w:lang w:val="en-US"/>
              </w:rPr>
            </w:pPr>
            <w:bookmarkStart w:id="886" w:name="_Toc4062251"/>
            <w:r w:rsidRPr="00537128">
              <w:rPr>
                <w:rFonts w:ascii="Calibri" w:eastAsia="Times New Roman" w:hAnsi="Calibri" w:cs="Arial"/>
                <w:spacing w:val="-2"/>
                <w:sz w:val="18"/>
                <w:szCs w:val="18"/>
                <w:lang w:val="en-US"/>
              </w:rPr>
              <w:t>Deposits from customers</w:t>
            </w:r>
            <w:bookmarkEnd w:id="886"/>
            <w:r w:rsidRPr="00537128">
              <w:rPr>
                <w:rFonts w:ascii="Calibri" w:eastAsia="Times New Roman" w:hAnsi="Calibri" w:cs="Arial"/>
                <w:spacing w:val="-2"/>
                <w:sz w:val="18"/>
                <w:szCs w:val="18"/>
                <w:lang w:val="en-US"/>
              </w:rPr>
              <w:t xml:space="preserve"> </w:t>
            </w:r>
          </w:p>
        </w:tc>
        <w:tc>
          <w:tcPr>
            <w:tcW w:w="507" w:type="pct"/>
            <w:tcBorders>
              <w:top w:val="nil"/>
              <w:left w:val="nil"/>
              <w:bottom w:val="nil"/>
              <w:right w:val="nil"/>
            </w:tcBorders>
            <w:shd w:val="clear" w:color="auto" w:fill="auto"/>
            <w:vAlign w:val="bottom"/>
          </w:tcPr>
          <w:p w14:paraId="117F0A6D" w14:textId="47EE0E70" w:rsidR="00DD132E" w:rsidRPr="00537128" w:rsidRDefault="00DD132E" w:rsidP="00DD132E">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280</w:t>
            </w:r>
            <w:r w:rsidR="00365256">
              <w:rPr>
                <w:rFonts w:ascii="Calibri" w:hAnsi="Calibri"/>
                <w:color w:val="000000"/>
                <w:sz w:val="18"/>
                <w:szCs w:val="18"/>
              </w:rPr>
              <w:t>,</w:t>
            </w:r>
            <w:r>
              <w:rPr>
                <w:rFonts w:ascii="Calibri" w:hAnsi="Calibri"/>
                <w:color w:val="000000"/>
                <w:sz w:val="18"/>
                <w:szCs w:val="18"/>
              </w:rPr>
              <w:t>893</w:t>
            </w:r>
          </w:p>
        </w:tc>
        <w:tc>
          <w:tcPr>
            <w:tcW w:w="552" w:type="pct"/>
            <w:tcBorders>
              <w:top w:val="nil"/>
              <w:left w:val="nil"/>
              <w:bottom w:val="nil"/>
              <w:right w:val="nil"/>
            </w:tcBorders>
            <w:shd w:val="clear" w:color="auto" w:fill="auto"/>
            <w:vAlign w:val="bottom"/>
          </w:tcPr>
          <w:p w14:paraId="51BFBE41" w14:textId="080A5AE4" w:rsidR="00DD132E" w:rsidRPr="00537128" w:rsidRDefault="00DD132E" w:rsidP="00DD132E">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40</w:t>
            </w:r>
            <w:r w:rsidR="00365256">
              <w:rPr>
                <w:rFonts w:ascii="Calibri" w:hAnsi="Calibri"/>
                <w:color w:val="000000"/>
                <w:sz w:val="18"/>
                <w:szCs w:val="18"/>
              </w:rPr>
              <w:t>,</w:t>
            </w:r>
            <w:r>
              <w:rPr>
                <w:rFonts w:ascii="Calibri" w:hAnsi="Calibri"/>
                <w:color w:val="000000"/>
                <w:sz w:val="18"/>
                <w:szCs w:val="18"/>
              </w:rPr>
              <w:t>169</w:t>
            </w:r>
          </w:p>
        </w:tc>
        <w:tc>
          <w:tcPr>
            <w:tcW w:w="590" w:type="pct"/>
            <w:tcBorders>
              <w:top w:val="nil"/>
              <w:left w:val="nil"/>
              <w:bottom w:val="nil"/>
              <w:right w:val="nil"/>
            </w:tcBorders>
            <w:shd w:val="clear" w:color="auto" w:fill="auto"/>
            <w:vAlign w:val="bottom"/>
          </w:tcPr>
          <w:p w14:paraId="43F2A878" w14:textId="09A31DA7" w:rsidR="00DD132E" w:rsidRPr="00537128" w:rsidRDefault="00DD132E" w:rsidP="00DD132E">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88</w:t>
            </w:r>
            <w:r w:rsidR="00365256">
              <w:rPr>
                <w:rFonts w:ascii="Calibri" w:hAnsi="Calibri"/>
                <w:color w:val="000000"/>
                <w:sz w:val="18"/>
                <w:szCs w:val="18"/>
              </w:rPr>
              <w:t>,</w:t>
            </w:r>
            <w:r>
              <w:rPr>
                <w:rFonts w:ascii="Calibri" w:hAnsi="Calibri"/>
                <w:color w:val="000000"/>
                <w:sz w:val="18"/>
                <w:szCs w:val="18"/>
              </w:rPr>
              <w:t>869</w:t>
            </w:r>
          </w:p>
        </w:tc>
        <w:tc>
          <w:tcPr>
            <w:tcW w:w="572" w:type="pct"/>
            <w:tcBorders>
              <w:top w:val="nil"/>
              <w:left w:val="nil"/>
              <w:bottom w:val="nil"/>
              <w:right w:val="nil"/>
            </w:tcBorders>
            <w:shd w:val="clear" w:color="auto" w:fill="auto"/>
            <w:vAlign w:val="bottom"/>
          </w:tcPr>
          <w:p w14:paraId="4F35C9CD" w14:textId="2FE3CAE0" w:rsidR="00DD132E" w:rsidRPr="00537128" w:rsidRDefault="00DD132E" w:rsidP="00DD132E">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112</w:t>
            </w:r>
            <w:r w:rsidR="00365256">
              <w:rPr>
                <w:rFonts w:ascii="Calibri" w:hAnsi="Calibri"/>
                <w:color w:val="000000"/>
                <w:sz w:val="18"/>
                <w:szCs w:val="18"/>
              </w:rPr>
              <w:t>,</w:t>
            </w:r>
            <w:r>
              <w:rPr>
                <w:rFonts w:ascii="Calibri" w:hAnsi="Calibri"/>
                <w:color w:val="000000"/>
                <w:sz w:val="18"/>
                <w:szCs w:val="18"/>
              </w:rPr>
              <w:t>341</w:t>
            </w:r>
          </w:p>
        </w:tc>
        <w:tc>
          <w:tcPr>
            <w:tcW w:w="573" w:type="pct"/>
            <w:tcBorders>
              <w:top w:val="nil"/>
              <w:left w:val="nil"/>
              <w:bottom w:val="nil"/>
              <w:right w:val="nil"/>
            </w:tcBorders>
            <w:shd w:val="clear" w:color="auto" w:fill="auto"/>
            <w:vAlign w:val="bottom"/>
          </w:tcPr>
          <w:p w14:paraId="5D8B9EE1" w14:textId="5A344FA2" w:rsidR="00DD132E" w:rsidRPr="00537128" w:rsidRDefault="00DD132E" w:rsidP="00DD132E">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85</w:t>
            </w:r>
            <w:r w:rsidR="00365256">
              <w:rPr>
                <w:rFonts w:ascii="Calibri" w:hAnsi="Calibri"/>
                <w:color w:val="000000"/>
                <w:sz w:val="18"/>
                <w:szCs w:val="18"/>
              </w:rPr>
              <w:t>,</w:t>
            </w:r>
            <w:r>
              <w:rPr>
                <w:rFonts w:ascii="Calibri" w:hAnsi="Calibri"/>
                <w:color w:val="000000"/>
                <w:sz w:val="18"/>
                <w:szCs w:val="18"/>
              </w:rPr>
              <w:t>265</w:t>
            </w:r>
          </w:p>
        </w:tc>
        <w:tc>
          <w:tcPr>
            <w:tcW w:w="564" w:type="pct"/>
            <w:tcBorders>
              <w:top w:val="nil"/>
              <w:left w:val="nil"/>
              <w:bottom w:val="nil"/>
              <w:right w:val="nil"/>
            </w:tcBorders>
            <w:shd w:val="clear" w:color="auto" w:fill="auto"/>
            <w:vAlign w:val="bottom"/>
          </w:tcPr>
          <w:p w14:paraId="505AFCAC" w14:textId="61524AB9" w:rsidR="00DD132E" w:rsidRPr="00537128" w:rsidRDefault="00DD132E" w:rsidP="00DD132E">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607</w:t>
            </w:r>
            <w:r w:rsidR="00365256">
              <w:rPr>
                <w:rFonts w:ascii="Calibri" w:hAnsi="Calibri"/>
                <w:color w:val="000000"/>
                <w:sz w:val="18"/>
                <w:szCs w:val="18"/>
              </w:rPr>
              <w:t>,</w:t>
            </w:r>
            <w:r>
              <w:rPr>
                <w:rFonts w:ascii="Calibri" w:hAnsi="Calibri"/>
                <w:color w:val="000000"/>
                <w:sz w:val="18"/>
                <w:szCs w:val="18"/>
              </w:rPr>
              <w:t>537</w:t>
            </w:r>
          </w:p>
        </w:tc>
      </w:tr>
      <w:tr w:rsidR="00DD132E" w:rsidRPr="00537128" w14:paraId="3A476858" w14:textId="77777777" w:rsidTr="00703DBC">
        <w:trPr>
          <w:trHeight w:hRule="exact" w:val="275"/>
        </w:trPr>
        <w:tc>
          <w:tcPr>
            <w:tcW w:w="1641" w:type="pct"/>
            <w:vAlign w:val="bottom"/>
          </w:tcPr>
          <w:p w14:paraId="7C2954A4" w14:textId="77777777" w:rsidR="00DD132E" w:rsidRPr="00537128" w:rsidRDefault="00DD132E" w:rsidP="00DD132E">
            <w:pPr>
              <w:tabs>
                <w:tab w:val="right" w:pos="1202"/>
              </w:tabs>
              <w:spacing w:after="0" w:line="200" w:lineRule="exact"/>
              <w:outlineLvl w:val="0"/>
              <w:rPr>
                <w:rFonts w:ascii="Calibri" w:eastAsia="Times New Roman" w:hAnsi="Calibri" w:cs="Arial"/>
                <w:sz w:val="18"/>
                <w:szCs w:val="18"/>
                <w:lang w:val="en-US"/>
              </w:rPr>
            </w:pPr>
            <w:bookmarkStart w:id="887" w:name="_Toc4062258"/>
            <w:r w:rsidRPr="00537128">
              <w:rPr>
                <w:rFonts w:ascii="Calibri" w:eastAsia="Times New Roman" w:hAnsi="Calibri" w:cs="Arial"/>
                <w:spacing w:val="-2"/>
                <w:sz w:val="18"/>
                <w:szCs w:val="18"/>
                <w:lang w:val="en-US"/>
              </w:rPr>
              <w:t>Borrowings</w:t>
            </w:r>
            <w:bookmarkEnd w:id="887"/>
            <w:r w:rsidRPr="00537128">
              <w:rPr>
                <w:rFonts w:ascii="Calibri" w:eastAsia="Times New Roman" w:hAnsi="Calibri" w:cs="Arial"/>
                <w:spacing w:val="-2"/>
                <w:sz w:val="18"/>
                <w:szCs w:val="18"/>
                <w:lang w:val="en-US"/>
              </w:rPr>
              <w:t xml:space="preserve"> </w:t>
            </w:r>
          </w:p>
        </w:tc>
        <w:tc>
          <w:tcPr>
            <w:tcW w:w="507" w:type="pct"/>
            <w:tcBorders>
              <w:top w:val="nil"/>
              <w:left w:val="nil"/>
              <w:bottom w:val="nil"/>
              <w:right w:val="nil"/>
            </w:tcBorders>
            <w:shd w:val="clear" w:color="auto" w:fill="auto"/>
            <w:vAlign w:val="bottom"/>
          </w:tcPr>
          <w:p w14:paraId="58A0FF47" w14:textId="624037F9" w:rsidR="00DD132E" w:rsidRPr="00537128" w:rsidRDefault="00DD132E" w:rsidP="00DD132E">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156</w:t>
            </w:r>
            <w:r w:rsidR="00365256">
              <w:rPr>
                <w:rFonts w:ascii="Calibri" w:hAnsi="Calibri"/>
                <w:color w:val="000000"/>
                <w:sz w:val="18"/>
                <w:szCs w:val="18"/>
              </w:rPr>
              <w:t>,</w:t>
            </w:r>
            <w:r>
              <w:rPr>
                <w:rFonts w:ascii="Calibri" w:hAnsi="Calibri"/>
                <w:color w:val="000000"/>
                <w:sz w:val="18"/>
                <w:szCs w:val="18"/>
              </w:rPr>
              <w:t>365</w:t>
            </w:r>
          </w:p>
        </w:tc>
        <w:tc>
          <w:tcPr>
            <w:tcW w:w="552" w:type="pct"/>
            <w:tcBorders>
              <w:top w:val="nil"/>
              <w:left w:val="nil"/>
              <w:bottom w:val="nil"/>
              <w:right w:val="nil"/>
            </w:tcBorders>
            <w:shd w:val="clear" w:color="auto" w:fill="auto"/>
            <w:vAlign w:val="bottom"/>
          </w:tcPr>
          <w:p w14:paraId="336E2F9E" w14:textId="07B88213" w:rsidR="00DD132E" w:rsidRPr="00537128" w:rsidRDefault="00DD132E" w:rsidP="00DD132E">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574</w:t>
            </w:r>
            <w:r w:rsidR="00365256">
              <w:rPr>
                <w:rFonts w:ascii="Calibri" w:hAnsi="Calibri"/>
                <w:color w:val="000000"/>
                <w:sz w:val="18"/>
                <w:szCs w:val="18"/>
              </w:rPr>
              <w:t>,</w:t>
            </w:r>
            <w:r>
              <w:rPr>
                <w:rFonts w:ascii="Calibri" w:hAnsi="Calibri"/>
                <w:color w:val="000000"/>
                <w:sz w:val="18"/>
                <w:szCs w:val="18"/>
              </w:rPr>
              <w:t>811</w:t>
            </w:r>
          </w:p>
        </w:tc>
        <w:tc>
          <w:tcPr>
            <w:tcW w:w="590" w:type="pct"/>
            <w:tcBorders>
              <w:top w:val="nil"/>
              <w:left w:val="nil"/>
              <w:bottom w:val="nil"/>
              <w:right w:val="nil"/>
            </w:tcBorders>
            <w:shd w:val="clear" w:color="auto" w:fill="auto"/>
            <w:vAlign w:val="bottom"/>
          </w:tcPr>
          <w:p w14:paraId="25259EA9" w14:textId="75537A2A" w:rsidR="00DD132E" w:rsidRPr="00537128" w:rsidRDefault="00DD132E" w:rsidP="00DD132E">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1</w:t>
            </w:r>
            <w:r w:rsidR="00365256">
              <w:rPr>
                <w:rFonts w:ascii="Calibri" w:hAnsi="Calibri"/>
                <w:color w:val="000000"/>
                <w:sz w:val="18"/>
                <w:szCs w:val="18"/>
              </w:rPr>
              <w:t>,</w:t>
            </w:r>
            <w:r>
              <w:rPr>
                <w:rFonts w:ascii="Calibri" w:hAnsi="Calibri"/>
                <w:color w:val="000000"/>
                <w:sz w:val="18"/>
                <w:szCs w:val="18"/>
              </w:rPr>
              <w:t>713</w:t>
            </w:r>
            <w:r w:rsidR="00365256">
              <w:rPr>
                <w:rFonts w:ascii="Calibri" w:hAnsi="Calibri"/>
                <w:color w:val="000000"/>
                <w:sz w:val="18"/>
                <w:szCs w:val="18"/>
              </w:rPr>
              <w:t>,</w:t>
            </w:r>
            <w:r>
              <w:rPr>
                <w:rFonts w:ascii="Calibri" w:hAnsi="Calibri"/>
                <w:color w:val="000000"/>
                <w:sz w:val="18"/>
                <w:szCs w:val="18"/>
              </w:rPr>
              <w:t>818</w:t>
            </w:r>
          </w:p>
        </w:tc>
        <w:tc>
          <w:tcPr>
            <w:tcW w:w="572" w:type="pct"/>
            <w:tcBorders>
              <w:top w:val="nil"/>
              <w:left w:val="nil"/>
              <w:bottom w:val="nil"/>
              <w:right w:val="nil"/>
            </w:tcBorders>
            <w:shd w:val="clear" w:color="auto" w:fill="auto"/>
            <w:vAlign w:val="bottom"/>
          </w:tcPr>
          <w:p w14:paraId="2F448034" w14:textId="4437B9CA" w:rsidR="00DD132E" w:rsidRPr="00537128" w:rsidRDefault="00DD132E" w:rsidP="00DD132E">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5</w:t>
            </w:r>
            <w:r w:rsidR="00365256">
              <w:rPr>
                <w:rFonts w:ascii="Calibri" w:hAnsi="Calibri"/>
                <w:color w:val="000000"/>
                <w:sz w:val="18"/>
                <w:szCs w:val="18"/>
              </w:rPr>
              <w:t>,</w:t>
            </w:r>
            <w:r>
              <w:rPr>
                <w:rFonts w:ascii="Calibri" w:hAnsi="Calibri"/>
                <w:color w:val="000000"/>
                <w:sz w:val="18"/>
                <w:szCs w:val="18"/>
              </w:rPr>
              <w:t>691</w:t>
            </w:r>
            <w:r w:rsidR="00365256">
              <w:rPr>
                <w:rFonts w:ascii="Calibri" w:hAnsi="Calibri"/>
                <w:color w:val="000000"/>
                <w:sz w:val="18"/>
                <w:szCs w:val="18"/>
              </w:rPr>
              <w:t>,</w:t>
            </w:r>
            <w:r>
              <w:rPr>
                <w:rFonts w:ascii="Calibri" w:hAnsi="Calibri"/>
                <w:color w:val="000000"/>
                <w:sz w:val="18"/>
                <w:szCs w:val="18"/>
              </w:rPr>
              <w:t>542</w:t>
            </w:r>
          </w:p>
        </w:tc>
        <w:tc>
          <w:tcPr>
            <w:tcW w:w="573" w:type="pct"/>
            <w:tcBorders>
              <w:top w:val="nil"/>
              <w:left w:val="nil"/>
              <w:bottom w:val="nil"/>
              <w:right w:val="nil"/>
            </w:tcBorders>
            <w:shd w:val="clear" w:color="auto" w:fill="auto"/>
            <w:vAlign w:val="bottom"/>
          </w:tcPr>
          <w:p w14:paraId="71F71751" w14:textId="12CB45EF" w:rsidR="00DD132E" w:rsidRPr="00537128" w:rsidRDefault="00DD132E" w:rsidP="00DD132E">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7</w:t>
            </w:r>
            <w:r w:rsidR="00365256">
              <w:rPr>
                <w:rFonts w:ascii="Calibri" w:hAnsi="Calibri"/>
                <w:color w:val="000000"/>
                <w:sz w:val="18"/>
                <w:szCs w:val="18"/>
              </w:rPr>
              <w:t>,</w:t>
            </w:r>
            <w:r>
              <w:rPr>
                <w:rFonts w:ascii="Calibri" w:hAnsi="Calibri"/>
                <w:color w:val="000000"/>
                <w:sz w:val="18"/>
                <w:szCs w:val="18"/>
              </w:rPr>
              <w:t>692</w:t>
            </w:r>
            <w:r w:rsidR="00365256">
              <w:rPr>
                <w:rFonts w:ascii="Calibri" w:hAnsi="Calibri"/>
                <w:color w:val="000000"/>
                <w:sz w:val="18"/>
                <w:szCs w:val="18"/>
              </w:rPr>
              <w:t>,</w:t>
            </w:r>
            <w:r>
              <w:rPr>
                <w:rFonts w:ascii="Calibri" w:hAnsi="Calibri"/>
                <w:color w:val="000000"/>
                <w:sz w:val="18"/>
                <w:szCs w:val="18"/>
              </w:rPr>
              <w:t>087</w:t>
            </w:r>
          </w:p>
        </w:tc>
        <w:tc>
          <w:tcPr>
            <w:tcW w:w="564" w:type="pct"/>
            <w:tcBorders>
              <w:top w:val="nil"/>
              <w:left w:val="nil"/>
              <w:bottom w:val="nil"/>
              <w:right w:val="nil"/>
            </w:tcBorders>
            <w:shd w:val="clear" w:color="auto" w:fill="auto"/>
            <w:vAlign w:val="bottom"/>
          </w:tcPr>
          <w:p w14:paraId="2F4662C2" w14:textId="3F674EEF" w:rsidR="00DD132E" w:rsidRPr="00537128" w:rsidRDefault="00DD132E" w:rsidP="00DD132E">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15</w:t>
            </w:r>
            <w:r w:rsidR="00365256">
              <w:rPr>
                <w:rFonts w:ascii="Calibri" w:hAnsi="Calibri"/>
                <w:color w:val="000000"/>
                <w:sz w:val="18"/>
                <w:szCs w:val="18"/>
              </w:rPr>
              <w:t>,</w:t>
            </w:r>
            <w:r>
              <w:rPr>
                <w:rFonts w:ascii="Calibri" w:hAnsi="Calibri"/>
                <w:color w:val="000000"/>
                <w:sz w:val="18"/>
                <w:szCs w:val="18"/>
              </w:rPr>
              <w:t>828</w:t>
            </w:r>
            <w:r w:rsidR="00365256">
              <w:rPr>
                <w:rFonts w:ascii="Calibri" w:hAnsi="Calibri"/>
                <w:color w:val="000000"/>
                <w:sz w:val="18"/>
                <w:szCs w:val="18"/>
              </w:rPr>
              <w:t>,</w:t>
            </w:r>
            <w:r>
              <w:rPr>
                <w:rFonts w:ascii="Calibri" w:hAnsi="Calibri"/>
                <w:color w:val="000000"/>
                <w:sz w:val="18"/>
                <w:szCs w:val="18"/>
              </w:rPr>
              <w:t>623</w:t>
            </w:r>
          </w:p>
        </w:tc>
      </w:tr>
      <w:tr w:rsidR="00DD132E" w:rsidRPr="00537128" w14:paraId="5E5C863C" w14:textId="77777777" w:rsidTr="00703DBC">
        <w:trPr>
          <w:trHeight w:hRule="exact" w:val="479"/>
        </w:trPr>
        <w:tc>
          <w:tcPr>
            <w:tcW w:w="1641" w:type="pct"/>
            <w:vAlign w:val="bottom"/>
          </w:tcPr>
          <w:p w14:paraId="607AD6D4" w14:textId="77777777" w:rsidR="00DD132E" w:rsidRPr="00537128" w:rsidRDefault="00DD132E" w:rsidP="00DD132E">
            <w:pPr>
              <w:tabs>
                <w:tab w:val="right" w:pos="1202"/>
              </w:tabs>
              <w:spacing w:after="0" w:line="20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 xml:space="preserve">Provisions for guarantees, </w:t>
            </w:r>
            <w:proofErr w:type="gramStart"/>
            <w:r w:rsidRPr="00537128">
              <w:rPr>
                <w:rFonts w:ascii="Calibri" w:eastAsia="Times New Roman" w:hAnsi="Calibri" w:cs="Arial"/>
                <w:spacing w:val="-2"/>
                <w:sz w:val="18"/>
                <w:szCs w:val="18"/>
                <w:lang w:val="en-US"/>
              </w:rPr>
              <w:t>commitments</w:t>
            </w:r>
            <w:proofErr w:type="gramEnd"/>
            <w:r w:rsidRPr="00537128">
              <w:rPr>
                <w:rFonts w:ascii="Calibri" w:eastAsia="Times New Roman" w:hAnsi="Calibri" w:cs="Arial"/>
                <w:spacing w:val="-2"/>
                <w:sz w:val="18"/>
                <w:szCs w:val="18"/>
                <w:lang w:val="en-US"/>
              </w:rPr>
              <w:t xml:space="preserve"> and other liabilities</w:t>
            </w:r>
          </w:p>
        </w:tc>
        <w:tc>
          <w:tcPr>
            <w:tcW w:w="507" w:type="pct"/>
            <w:tcBorders>
              <w:top w:val="nil"/>
              <w:left w:val="nil"/>
              <w:bottom w:val="nil"/>
              <w:right w:val="nil"/>
            </w:tcBorders>
            <w:shd w:val="clear" w:color="auto" w:fill="auto"/>
            <w:vAlign w:val="bottom"/>
          </w:tcPr>
          <w:p w14:paraId="63905B34" w14:textId="73D68186" w:rsidR="00DD132E" w:rsidRPr="00537128" w:rsidRDefault="00DD132E" w:rsidP="00DD132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76</w:t>
            </w:r>
            <w:r w:rsidR="00365256">
              <w:rPr>
                <w:rFonts w:ascii="Calibri" w:hAnsi="Calibri"/>
                <w:color w:val="000000"/>
                <w:sz w:val="18"/>
                <w:szCs w:val="18"/>
              </w:rPr>
              <w:t>,</w:t>
            </w:r>
            <w:r>
              <w:rPr>
                <w:rFonts w:ascii="Calibri" w:hAnsi="Calibri"/>
                <w:color w:val="000000"/>
                <w:sz w:val="18"/>
                <w:szCs w:val="18"/>
              </w:rPr>
              <w:t>091</w:t>
            </w:r>
          </w:p>
        </w:tc>
        <w:tc>
          <w:tcPr>
            <w:tcW w:w="552" w:type="pct"/>
            <w:tcBorders>
              <w:top w:val="nil"/>
              <w:left w:val="nil"/>
              <w:bottom w:val="nil"/>
              <w:right w:val="nil"/>
            </w:tcBorders>
            <w:shd w:val="clear" w:color="auto" w:fill="auto"/>
            <w:vAlign w:val="bottom"/>
          </w:tcPr>
          <w:p w14:paraId="3407D214" w14:textId="6ED33CD9" w:rsidR="00DD132E" w:rsidRPr="00537128" w:rsidRDefault="00DD132E" w:rsidP="00DD132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5</w:t>
            </w:r>
            <w:r w:rsidR="00365256">
              <w:rPr>
                <w:rFonts w:ascii="Calibri" w:hAnsi="Calibri"/>
                <w:color w:val="000000"/>
                <w:sz w:val="18"/>
                <w:szCs w:val="18"/>
              </w:rPr>
              <w:t>,</w:t>
            </w:r>
            <w:r>
              <w:rPr>
                <w:rFonts w:ascii="Calibri" w:hAnsi="Calibri"/>
                <w:color w:val="000000"/>
                <w:sz w:val="18"/>
                <w:szCs w:val="18"/>
              </w:rPr>
              <w:t>261</w:t>
            </w:r>
          </w:p>
        </w:tc>
        <w:tc>
          <w:tcPr>
            <w:tcW w:w="590" w:type="pct"/>
            <w:tcBorders>
              <w:top w:val="nil"/>
              <w:left w:val="nil"/>
              <w:bottom w:val="nil"/>
              <w:right w:val="nil"/>
            </w:tcBorders>
            <w:shd w:val="clear" w:color="auto" w:fill="auto"/>
            <w:vAlign w:val="bottom"/>
          </w:tcPr>
          <w:p w14:paraId="2B130A3B" w14:textId="72B5EF0D" w:rsidR="00DD132E" w:rsidRPr="00537128" w:rsidRDefault="00DD132E" w:rsidP="00DD132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15</w:t>
            </w:r>
            <w:r w:rsidR="00365256">
              <w:rPr>
                <w:rFonts w:ascii="Calibri" w:hAnsi="Calibri"/>
                <w:color w:val="000000"/>
                <w:sz w:val="18"/>
                <w:szCs w:val="18"/>
              </w:rPr>
              <w:t>,</w:t>
            </w:r>
            <w:r>
              <w:rPr>
                <w:rFonts w:ascii="Calibri" w:hAnsi="Calibri"/>
                <w:color w:val="000000"/>
                <w:sz w:val="18"/>
                <w:szCs w:val="18"/>
              </w:rPr>
              <w:t>271</w:t>
            </w:r>
          </w:p>
        </w:tc>
        <w:tc>
          <w:tcPr>
            <w:tcW w:w="572" w:type="pct"/>
            <w:tcBorders>
              <w:top w:val="nil"/>
              <w:left w:val="nil"/>
              <w:bottom w:val="nil"/>
              <w:right w:val="nil"/>
            </w:tcBorders>
            <w:shd w:val="clear" w:color="auto" w:fill="auto"/>
            <w:vAlign w:val="bottom"/>
          </w:tcPr>
          <w:p w14:paraId="147C3F6B" w14:textId="5ADE8688" w:rsidR="00DD132E" w:rsidRPr="00537128" w:rsidRDefault="00DD132E" w:rsidP="00DD132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24</w:t>
            </w:r>
            <w:r w:rsidR="00365256">
              <w:rPr>
                <w:rFonts w:ascii="Calibri" w:hAnsi="Calibri"/>
                <w:color w:val="000000"/>
                <w:sz w:val="18"/>
                <w:szCs w:val="18"/>
              </w:rPr>
              <w:t>,</w:t>
            </w:r>
            <w:r>
              <w:rPr>
                <w:rFonts w:ascii="Calibri" w:hAnsi="Calibri"/>
                <w:color w:val="000000"/>
                <w:sz w:val="18"/>
                <w:szCs w:val="18"/>
              </w:rPr>
              <w:t>605</w:t>
            </w:r>
          </w:p>
        </w:tc>
        <w:tc>
          <w:tcPr>
            <w:tcW w:w="573" w:type="pct"/>
            <w:tcBorders>
              <w:top w:val="nil"/>
              <w:left w:val="nil"/>
              <w:bottom w:val="nil"/>
              <w:right w:val="nil"/>
            </w:tcBorders>
            <w:shd w:val="clear" w:color="auto" w:fill="auto"/>
            <w:vAlign w:val="bottom"/>
          </w:tcPr>
          <w:p w14:paraId="7D99B85F" w14:textId="00BB059F" w:rsidR="00DD132E" w:rsidRPr="00537128" w:rsidRDefault="00DD132E" w:rsidP="00DD132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23</w:t>
            </w:r>
            <w:r w:rsidR="00365256">
              <w:rPr>
                <w:rFonts w:ascii="Calibri" w:hAnsi="Calibri"/>
                <w:color w:val="000000"/>
                <w:sz w:val="18"/>
                <w:szCs w:val="18"/>
              </w:rPr>
              <w:t>,</w:t>
            </w:r>
            <w:r>
              <w:rPr>
                <w:rFonts w:ascii="Calibri" w:hAnsi="Calibri"/>
                <w:color w:val="000000"/>
                <w:sz w:val="18"/>
                <w:szCs w:val="18"/>
              </w:rPr>
              <w:t>420</w:t>
            </w:r>
          </w:p>
        </w:tc>
        <w:tc>
          <w:tcPr>
            <w:tcW w:w="564" w:type="pct"/>
            <w:tcBorders>
              <w:top w:val="nil"/>
              <w:left w:val="nil"/>
              <w:bottom w:val="nil"/>
              <w:right w:val="nil"/>
            </w:tcBorders>
            <w:shd w:val="clear" w:color="auto" w:fill="auto"/>
            <w:vAlign w:val="bottom"/>
          </w:tcPr>
          <w:p w14:paraId="0D42FFD0" w14:textId="4617B4E0" w:rsidR="00DD132E" w:rsidRPr="00537128" w:rsidRDefault="00DD132E" w:rsidP="00DD132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144</w:t>
            </w:r>
            <w:r w:rsidR="00365256">
              <w:rPr>
                <w:rFonts w:ascii="Calibri" w:hAnsi="Calibri"/>
                <w:color w:val="000000"/>
                <w:sz w:val="18"/>
                <w:szCs w:val="18"/>
              </w:rPr>
              <w:t>,</w:t>
            </w:r>
            <w:r>
              <w:rPr>
                <w:rFonts w:ascii="Calibri" w:hAnsi="Calibri"/>
                <w:color w:val="000000"/>
                <w:sz w:val="18"/>
                <w:szCs w:val="18"/>
              </w:rPr>
              <w:t>648</w:t>
            </w:r>
          </w:p>
        </w:tc>
      </w:tr>
      <w:tr w:rsidR="00DD132E" w:rsidRPr="00537128" w14:paraId="13C02144" w14:textId="77777777" w:rsidTr="00703DBC">
        <w:trPr>
          <w:trHeight w:hRule="exact" w:val="275"/>
        </w:trPr>
        <w:tc>
          <w:tcPr>
            <w:tcW w:w="1641" w:type="pct"/>
            <w:vAlign w:val="bottom"/>
          </w:tcPr>
          <w:p w14:paraId="1E968411" w14:textId="77777777" w:rsidR="00DD132E" w:rsidRPr="00537128" w:rsidRDefault="00DD132E" w:rsidP="00DD132E">
            <w:pPr>
              <w:tabs>
                <w:tab w:val="right" w:pos="1202"/>
              </w:tabs>
              <w:spacing w:after="0" w:line="200" w:lineRule="exact"/>
              <w:outlineLvl w:val="0"/>
              <w:rPr>
                <w:rFonts w:ascii="Calibri" w:eastAsia="Times New Roman" w:hAnsi="Calibri" w:cs="Arial"/>
                <w:sz w:val="18"/>
                <w:szCs w:val="18"/>
                <w:lang w:val="en-US"/>
              </w:rPr>
            </w:pPr>
            <w:bookmarkStart w:id="888" w:name="_Toc4062272"/>
            <w:r w:rsidRPr="00537128">
              <w:rPr>
                <w:rFonts w:ascii="Calibri" w:eastAsia="Times New Roman" w:hAnsi="Calibri" w:cs="Arial"/>
                <w:spacing w:val="-2"/>
                <w:sz w:val="18"/>
                <w:szCs w:val="18"/>
                <w:lang w:val="en-US"/>
              </w:rPr>
              <w:t>Other liabilities</w:t>
            </w:r>
            <w:bookmarkEnd w:id="888"/>
            <w:r w:rsidRPr="00537128">
              <w:rPr>
                <w:rFonts w:ascii="Calibri" w:eastAsia="Times New Roman" w:hAnsi="Calibri" w:cs="Arial"/>
                <w:spacing w:val="-2"/>
                <w:sz w:val="18"/>
                <w:szCs w:val="18"/>
                <w:lang w:val="en-US"/>
              </w:rPr>
              <w:t xml:space="preserve"> </w:t>
            </w:r>
          </w:p>
        </w:tc>
        <w:tc>
          <w:tcPr>
            <w:tcW w:w="507" w:type="pct"/>
            <w:tcBorders>
              <w:top w:val="nil"/>
              <w:left w:val="nil"/>
              <w:bottom w:val="nil"/>
              <w:right w:val="nil"/>
            </w:tcBorders>
            <w:shd w:val="clear" w:color="auto" w:fill="auto"/>
            <w:vAlign w:val="bottom"/>
          </w:tcPr>
          <w:p w14:paraId="0F55329B" w14:textId="30C6500A" w:rsidR="00DD132E" w:rsidRPr="00537128" w:rsidRDefault="00DD132E" w:rsidP="00DD132E">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194</w:t>
            </w:r>
            <w:r w:rsidR="00365256">
              <w:rPr>
                <w:rFonts w:ascii="Calibri" w:hAnsi="Calibri"/>
                <w:color w:val="000000"/>
                <w:sz w:val="18"/>
                <w:szCs w:val="18"/>
              </w:rPr>
              <w:t>,</w:t>
            </w:r>
            <w:r>
              <w:rPr>
                <w:rFonts w:ascii="Calibri" w:hAnsi="Calibri"/>
                <w:color w:val="000000"/>
                <w:sz w:val="18"/>
                <w:szCs w:val="18"/>
              </w:rPr>
              <w:t>273</w:t>
            </w:r>
          </w:p>
        </w:tc>
        <w:tc>
          <w:tcPr>
            <w:tcW w:w="552" w:type="pct"/>
            <w:tcBorders>
              <w:top w:val="nil"/>
              <w:left w:val="nil"/>
              <w:bottom w:val="nil"/>
              <w:right w:val="nil"/>
            </w:tcBorders>
            <w:shd w:val="clear" w:color="auto" w:fill="auto"/>
            <w:vAlign w:val="bottom"/>
          </w:tcPr>
          <w:p w14:paraId="52832126" w14:textId="717EC499" w:rsidR="00DD132E" w:rsidRPr="00537128" w:rsidRDefault="00DD132E" w:rsidP="00DD132E">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13</w:t>
            </w:r>
            <w:r w:rsidR="00365256">
              <w:rPr>
                <w:rFonts w:ascii="Calibri" w:hAnsi="Calibri"/>
                <w:color w:val="000000"/>
                <w:sz w:val="18"/>
                <w:szCs w:val="18"/>
              </w:rPr>
              <w:t>,</w:t>
            </w:r>
            <w:r>
              <w:rPr>
                <w:rFonts w:ascii="Calibri" w:hAnsi="Calibri"/>
                <w:color w:val="000000"/>
                <w:sz w:val="18"/>
                <w:szCs w:val="18"/>
              </w:rPr>
              <w:t>431</w:t>
            </w:r>
          </w:p>
        </w:tc>
        <w:tc>
          <w:tcPr>
            <w:tcW w:w="590" w:type="pct"/>
            <w:tcBorders>
              <w:top w:val="nil"/>
              <w:left w:val="nil"/>
              <w:bottom w:val="nil"/>
              <w:right w:val="nil"/>
            </w:tcBorders>
            <w:shd w:val="clear" w:color="auto" w:fill="auto"/>
            <w:vAlign w:val="bottom"/>
          </w:tcPr>
          <w:p w14:paraId="0B9B9B87" w14:textId="38D34E19" w:rsidR="00DD132E" w:rsidRPr="00537128" w:rsidRDefault="00DD132E" w:rsidP="00DD132E">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38</w:t>
            </w:r>
            <w:r w:rsidR="00365256">
              <w:rPr>
                <w:rFonts w:ascii="Calibri" w:hAnsi="Calibri"/>
                <w:color w:val="000000"/>
                <w:sz w:val="18"/>
                <w:szCs w:val="18"/>
              </w:rPr>
              <w:t>,</w:t>
            </w:r>
            <w:r>
              <w:rPr>
                <w:rFonts w:ascii="Calibri" w:hAnsi="Calibri"/>
                <w:color w:val="000000"/>
                <w:sz w:val="18"/>
                <w:szCs w:val="18"/>
              </w:rPr>
              <w:t>991</w:t>
            </w:r>
          </w:p>
        </w:tc>
        <w:tc>
          <w:tcPr>
            <w:tcW w:w="572" w:type="pct"/>
            <w:tcBorders>
              <w:top w:val="nil"/>
              <w:left w:val="nil"/>
              <w:bottom w:val="nil"/>
              <w:right w:val="nil"/>
            </w:tcBorders>
            <w:shd w:val="clear" w:color="auto" w:fill="auto"/>
            <w:vAlign w:val="bottom"/>
          </w:tcPr>
          <w:p w14:paraId="6BAA5305" w14:textId="376B03BA" w:rsidR="00DD132E" w:rsidRPr="00537128" w:rsidRDefault="00DD132E" w:rsidP="00DD132E">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62</w:t>
            </w:r>
            <w:r w:rsidR="00365256">
              <w:rPr>
                <w:rFonts w:ascii="Calibri" w:hAnsi="Calibri"/>
                <w:color w:val="000000"/>
                <w:sz w:val="18"/>
                <w:szCs w:val="18"/>
              </w:rPr>
              <w:t>,</w:t>
            </w:r>
            <w:r>
              <w:rPr>
                <w:rFonts w:ascii="Calibri" w:hAnsi="Calibri"/>
                <w:color w:val="000000"/>
                <w:sz w:val="18"/>
                <w:szCs w:val="18"/>
              </w:rPr>
              <w:t>821</w:t>
            </w:r>
          </w:p>
        </w:tc>
        <w:tc>
          <w:tcPr>
            <w:tcW w:w="573" w:type="pct"/>
            <w:tcBorders>
              <w:top w:val="nil"/>
              <w:left w:val="nil"/>
              <w:bottom w:val="nil"/>
              <w:right w:val="nil"/>
            </w:tcBorders>
            <w:shd w:val="clear" w:color="auto" w:fill="auto"/>
            <w:vAlign w:val="bottom"/>
          </w:tcPr>
          <w:p w14:paraId="003FE3E0" w14:textId="434158D8" w:rsidR="00DD132E" w:rsidRPr="00537128" w:rsidRDefault="00DD132E" w:rsidP="00DD132E">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59</w:t>
            </w:r>
            <w:r w:rsidR="00365256">
              <w:rPr>
                <w:rFonts w:ascii="Calibri" w:hAnsi="Calibri"/>
                <w:color w:val="000000"/>
                <w:sz w:val="18"/>
                <w:szCs w:val="18"/>
              </w:rPr>
              <w:t>,</w:t>
            </w:r>
            <w:r>
              <w:rPr>
                <w:rFonts w:ascii="Calibri" w:hAnsi="Calibri"/>
                <w:color w:val="000000"/>
                <w:sz w:val="18"/>
                <w:szCs w:val="18"/>
              </w:rPr>
              <w:t>794</w:t>
            </w:r>
          </w:p>
        </w:tc>
        <w:tc>
          <w:tcPr>
            <w:tcW w:w="564" w:type="pct"/>
            <w:tcBorders>
              <w:top w:val="nil"/>
              <w:left w:val="nil"/>
              <w:bottom w:val="nil"/>
              <w:right w:val="nil"/>
            </w:tcBorders>
            <w:shd w:val="clear" w:color="auto" w:fill="auto"/>
            <w:vAlign w:val="bottom"/>
          </w:tcPr>
          <w:p w14:paraId="2E15C1FF" w14:textId="67A2DB45" w:rsidR="00DD132E" w:rsidRPr="00537128" w:rsidRDefault="00DD132E" w:rsidP="00DD132E">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369</w:t>
            </w:r>
            <w:r w:rsidR="00365256">
              <w:rPr>
                <w:rFonts w:ascii="Calibri" w:hAnsi="Calibri"/>
                <w:color w:val="000000"/>
                <w:sz w:val="18"/>
                <w:szCs w:val="18"/>
              </w:rPr>
              <w:t>,</w:t>
            </w:r>
            <w:r>
              <w:rPr>
                <w:rFonts w:ascii="Calibri" w:hAnsi="Calibri"/>
                <w:color w:val="000000"/>
                <w:sz w:val="18"/>
                <w:szCs w:val="18"/>
              </w:rPr>
              <w:t>310</w:t>
            </w:r>
          </w:p>
        </w:tc>
      </w:tr>
      <w:tr w:rsidR="00DD132E" w:rsidRPr="00537128" w14:paraId="5E4BAE57" w14:textId="77777777" w:rsidTr="00703DBC">
        <w:trPr>
          <w:trHeight w:hRule="exact" w:val="275"/>
        </w:trPr>
        <w:tc>
          <w:tcPr>
            <w:tcW w:w="1641" w:type="pct"/>
            <w:vAlign w:val="bottom"/>
          </w:tcPr>
          <w:p w14:paraId="4CC8F675" w14:textId="77777777" w:rsidR="00DD132E" w:rsidRPr="00537128" w:rsidRDefault="00DD132E" w:rsidP="00DD132E">
            <w:pPr>
              <w:tabs>
                <w:tab w:val="right" w:pos="1202"/>
              </w:tabs>
              <w:spacing w:after="0" w:line="240" w:lineRule="exact"/>
              <w:outlineLvl w:val="0"/>
              <w:rPr>
                <w:rFonts w:ascii="Calibri" w:eastAsia="Calibri" w:hAnsi="Calibri" w:cs="Arial"/>
                <w:b/>
                <w:bCs/>
                <w:sz w:val="18"/>
                <w:szCs w:val="18"/>
                <w:lang w:val="en-US"/>
              </w:rPr>
            </w:pPr>
            <w:bookmarkStart w:id="889" w:name="_Toc4062279"/>
            <w:r w:rsidRPr="00537128">
              <w:rPr>
                <w:rFonts w:ascii="Calibri" w:eastAsia="Calibri" w:hAnsi="Calibri" w:cs="Arial"/>
                <w:b/>
                <w:bCs/>
                <w:sz w:val="18"/>
                <w:szCs w:val="18"/>
                <w:lang w:val="en-US"/>
              </w:rPr>
              <w:t>Total liabilities</w:t>
            </w:r>
            <w:bookmarkEnd w:id="889"/>
          </w:p>
        </w:tc>
        <w:tc>
          <w:tcPr>
            <w:tcW w:w="507" w:type="pct"/>
            <w:tcBorders>
              <w:top w:val="single" w:sz="8" w:space="0" w:color="auto"/>
              <w:left w:val="nil"/>
              <w:bottom w:val="single" w:sz="8" w:space="0" w:color="auto"/>
              <w:right w:val="nil"/>
            </w:tcBorders>
            <w:shd w:val="clear" w:color="auto" w:fill="auto"/>
            <w:vAlign w:val="bottom"/>
          </w:tcPr>
          <w:p w14:paraId="54A3CEA7" w14:textId="67FD62C3" w:rsidR="00DD132E" w:rsidRPr="00537128" w:rsidRDefault="00DD132E" w:rsidP="00DD132E">
            <w:pPr>
              <w:tabs>
                <w:tab w:val="right" w:pos="1202"/>
              </w:tabs>
              <w:spacing w:after="0" w:line="240" w:lineRule="exact"/>
              <w:jc w:val="right"/>
              <w:outlineLvl w:val="0"/>
              <w:rPr>
                <w:rFonts w:ascii="Calibri" w:eastAsia="Calibri" w:hAnsi="Calibri" w:cs="Arial"/>
                <w:b/>
                <w:spacing w:val="-2"/>
                <w:sz w:val="18"/>
                <w:szCs w:val="18"/>
                <w:lang w:val="en-US"/>
              </w:rPr>
            </w:pPr>
            <w:r>
              <w:rPr>
                <w:rFonts w:ascii="Calibri" w:hAnsi="Calibri"/>
                <w:b/>
                <w:bCs/>
                <w:color w:val="000000"/>
                <w:sz w:val="18"/>
                <w:szCs w:val="18"/>
              </w:rPr>
              <w:t>707</w:t>
            </w:r>
            <w:r w:rsidR="00365256">
              <w:rPr>
                <w:rFonts w:ascii="Calibri" w:hAnsi="Calibri"/>
                <w:b/>
                <w:bCs/>
                <w:color w:val="000000"/>
                <w:sz w:val="18"/>
                <w:szCs w:val="18"/>
              </w:rPr>
              <w:t>,</w:t>
            </w:r>
            <w:r>
              <w:rPr>
                <w:rFonts w:ascii="Calibri" w:hAnsi="Calibri"/>
                <w:b/>
                <w:bCs/>
                <w:color w:val="000000"/>
                <w:sz w:val="18"/>
                <w:szCs w:val="18"/>
              </w:rPr>
              <w:t>622</w:t>
            </w:r>
          </w:p>
        </w:tc>
        <w:tc>
          <w:tcPr>
            <w:tcW w:w="552" w:type="pct"/>
            <w:tcBorders>
              <w:top w:val="single" w:sz="8" w:space="0" w:color="auto"/>
              <w:left w:val="nil"/>
              <w:bottom w:val="single" w:sz="8" w:space="0" w:color="auto"/>
              <w:right w:val="nil"/>
            </w:tcBorders>
            <w:shd w:val="clear" w:color="auto" w:fill="auto"/>
            <w:vAlign w:val="bottom"/>
          </w:tcPr>
          <w:p w14:paraId="2B3BC8F1" w14:textId="130A5FF7" w:rsidR="00DD132E" w:rsidRPr="00537128" w:rsidRDefault="00DD132E" w:rsidP="00DD132E">
            <w:pPr>
              <w:tabs>
                <w:tab w:val="right" w:pos="1202"/>
              </w:tabs>
              <w:spacing w:after="0" w:line="240" w:lineRule="exact"/>
              <w:jc w:val="right"/>
              <w:outlineLvl w:val="0"/>
              <w:rPr>
                <w:rFonts w:ascii="Calibri" w:eastAsia="Calibri" w:hAnsi="Calibri" w:cs="Arial"/>
                <w:b/>
                <w:spacing w:val="-2"/>
                <w:sz w:val="18"/>
                <w:szCs w:val="18"/>
                <w:lang w:val="en-US"/>
              </w:rPr>
            </w:pPr>
            <w:r>
              <w:rPr>
                <w:rFonts w:ascii="Calibri" w:hAnsi="Calibri"/>
                <w:b/>
                <w:bCs/>
                <w:color w:val="000000"/>
                <w:sz w:val="18"/>
                <w:szCs w:val="18"/>
              </w:rPr>
              <w:t>633</w:t>
            </w:r>
            <w:r w:rsidR="00365256">
              <w:rPr>
                <w:rFonts w:ascii="Calibri" w:hAnsi="Calibri"/>
                <w:b/>
                <w:bCs/>
                <w:color w:val="000000"/>
                <w:sz w:val="18"/>
                <w:szCs w:val="18"/>
              </w:rPr>
              <w:t>,</w:t>
            </w:r>
            <w:r>
              <w:rPr>
                <w:rFonts w:ascii="Calibri" w:hAnsi="Calibri"/>
                <w:b/>
                <w:bCs/>
                <w:color w:val="000000"/>
                <w:sz w:val="18"/>
                <w:szCs w:val="18"/>
              </w:rPr>
              <w:t>672</w:t>
            </w:r>
          </w:p>
        </w:tc>
        <w:tc>
          <w:tcPr>
            <w:tcW w:w="590" w:type="pct"/>
            <w:tcBorders>
              <w:top w:val="single" w:sz="8" w:space="0" w:color="auto"/>
              <w:left w:val="nil"/>
              <w:bottom w:val="single" w:sz="8" w:space="0" w:color="auto"/>
              <w:right w:val="nil"/>
            </w:tcBorders>
            <w:shd w:val="clear" w:color="auto" w:fill="auto"/>
            <w:vAlign w:val="bottom"/>
          </w:tcPr>
          <w:p w14:paraId="2F988B16" w14:textId="3330CD20" w:rsidR="00DD132E" w:rsidRPr="00537128" w:rsidRDefault="00DD132E" w:rsidP="00DD132E">
            <w:pPr>
              <w:tabs>
                <w:tab w:val="right" w:pos="1202"/>
              </w:tabs>
              <w:spacing w:after="0" w:line="240" w:lineRule="exact"/>
              <w:jc w:val="right"/>
              <w:outlineLvl w:val="0"/>
              <w:rPr>
                <w:rFonts w:ascii="Calibri" w:eastAsia="Calibri" w:hAnsi="Calibri" w:cs="Arial"/>
                <w:b/>
                <w:spacing w:val="-2"/>
                <w:sz w:val="18"/>
                <w:szCs w:val="18"/>
                <w:lang w:val="en-US"/>
              </w:rPr>
            </w:pPr>
            <w:r>
              <w:rPr>
                <w:rFonts w:ascii="Calibri" w:hAnsi="Calibri"/>
                <w:b/>
                <w:bCs/>
                <w:color w:val="000000"/>
                <w:sz w:val="18"/>
                <w:szCs w:val="18"/>
              </w:rPr>
              <w:t>1</w:t>
            </w:r>
            <w:r w:rsidR="00365256">
              <w:rPr>
                <w:rFonts w:ascii="Calibri" w:hAnsi="Calibri"/>
                <w:b/>
                <w:bCs/>
                <w:color w:val="000000"/>
                <w:sz w:val="18"/>
                <w:szCs w:val="18"/>
              </w:rPr>
              <w:t>,</w:t>
            </w:r>
            <w:r>
              <w:rPr>
                <w:rFonts w:ascii="Calibri" w:hAnsi="Calibri"/>
                <w:b/>
                <w:bCs/>
                <w:color w:val="000000"/>
                <w:sz w:val="18"/>
                <w:szCs w:val="18"/>
              </w:rPr>
              <w:t>856</w:t>
            </w:r>
            <w:r w:rsidR="00365256">
              <w:rPr>
                <w:rFonts w:ascii="Calibri" w:hAnsi="Calibri"/>
                <w:b/>
                <w:bCs/>
                <w:color w:val="000000"/>
                <w:sz w:val="18"/>
                <w:szCs w:val="18"/>
              </w:rPr>
              <w:t>,</w:t>
            </w:r>
            <w:r>
              <w:rPr>
                <w:rFonts w:ascii="Calibri" w:hAnsi="Calibri"/>
                <w:b/>
                <w:bCs/>
                <w:color w:val="000000"/>
                <w:sz w:val="18"/>
                <w:szCs w:val="18"/>
              </w:rPr>
              <w:t>949</w:t>
            </w:r>
          </w:p>
        </w:tc>
        <w:tc>
          <w:tcPr>
            <w:tcW w:w="572" w:type="pct"/>
            <w:tcBorders>
              <w:top w:val="single" w:sz="8" w:space="0" w:color="auto"/>
              <w:left w:val="nil"/>
              <w:bottom w:val="single" w:sz="8" w:space="0" w:color="auto"/>
              <w:right w:val="nil"/>
            </w:tcBorders>
            <w:shd w:val="clear" w:color="auto" w:fill="auto"/>
            <w:vAlign w:val="bottom"/>
          </w:tcPr>
          <w:p w14:paraId="0A1C940D" w14:textId="26B6AC09" w:rsidR="00DD132E" w:rsidRPr="00537128" w:rsidRDefault="00DD132E" w:rsidP="00DD132E">
            <w:pPr>
              <w:tabs>
                <w:tab w:val="right" w:pos="1202"/>
              </w:tabs>
              <w:spacing w:after="0" w:line="240" w:lineRule="exact"/>
              <w:jc w:val="right"/>
              <w:outlineLvl w:val="0"/>
              <w:rPr>
                <w:rFonts w:ascii="Calibri" w:eastAsia="Calibri" w:hAnsi="Calibri" w:cs="Arial"/>
                <w:b/>
                <w:spacing w:val="-2"/>
                <w:sz w:val="18"/>
                <w:szCs w:val="18"/>
                <w:lang w:val="en-US"/>
              </w:rPr>
            </w:pPr>
            <w:r>
              <w:rPr>
                <w:rFonts w:ascii="Calibri" w:hAnsi="Calibri"/>
                <w:b/>
                <w:bCs/>
                <w:color w:val="000000"/>
                <w:sz w:val="18"/>
                <w:szCs w:val="18"/>
              </w:rPr>
              <w:t>5</w:t>
            </w:r>
            <w:r w:rsidR="00365256">
              <w:rPr>
                <w:rFonts w:ascii="Calibri" w:hAnsi="Calibri"/>
                <w:b/>
                <w:bCs/>
                <w:color w:val="000000"/>
                <w:sz w:val="18"/>
                <w:szCs w:val="18"/>
              </w:rPr>
              <w:t>,</w:t>
            </w:r>
            <w:r>
              <w:rPr>
                <w:rFonts w:ascii="Calibri" w:hAnsi="Calibri"/>
                <w:b/>
                <w:bCs/>
                <w:color w:val="000000"/>
                <w:sz w:val="18"/>
                <w:szCs w:val="18"/>
              </w:rPr>
              <w:t>891</w:t>
            </w:r>
            <w:r w:rsidR="00365256">
              <w:rPr>
                <w:rFonts w:ascii="Calibri" w:hAnsi="Calibri"/>
                <w:b/>
                <w:bCs/>
                <w:color w:val="000000"/>
                <w:sz w:val="18"/>
                <w:szCs w:val="18"/>
              </w:rPr>
              <w:t>,</w:t>
            </w:r>
            <w:r>
              <w:rPr>
                <w:rFonts w:ascii="Calibri" w:hAnsi="Calibri"/>
                <w:b/>
                <w:bCs/>
                <w:color w:val="000000"/>
                <w:sz w:val="18"/>
                <w:szCs w:val="18"/>
              </w:rPr>
              <w:t>309</w:t>
            </w:r>
          </w:p>
        </w:tc>
        <w:tc>
          <w:tcPr>
            <w:tcW w:w="573" w:type="pct"/>
            <w:tcBorders>
              <w:top w:val="single" w:sz="8" w:space="0" w:color="auto"/>
              <w:left w:val="nil"/>
              <w:bottom w:val="single" w:sz="8" w:space="0" w:color="auto"/>
              <w:right w:val="nil"/>
            </w:tcBorders>
            <w:shd w:val="clear" w:color="auto" w:fill="auto"/>
            <w:vAlign w:val="bottom"/>
          </w:tcPr>
          <w:p w14:paraId="05686E06" w14:textId="45DA8BFA" w:rsidR="00DD132E" w:rsidRPr="00537128" w:rsidRDefault="00DD132E" w:rsidP="00DD132E">
            <w:pPr>
              <w:tabs>
                <w:tab w:val="right" w:pos="1202"/>
              </w:tabs>
              <w:spacing w:after="0" w:line="240" w:lineRule="exact"/>
              <w:jc w:val="right"/>
              <w:outlineLvl w:val="0"/>
              <w:rPr>
                <w:rFonts w:ascii="Calibri" w:eastAsia="Calibri" w:hAnsi="Calibri" w:cs="Arial"/>
                <w:b/>
                <w:spacing w:val="-2"/>
                <w:sz w:val="18"/>
                <w:szCs w:val="18"/>
                <w:lang w:val="en-US"/>
              </w:rPr>
            </w:pPr>
            <w:r>
              <w:rPr>
                <w:rFonts w:ascii="Calibri" w:hAnsi="Calibri"/>
                <w:b/>
                <w:bCs/>
                <w:color w:val="000000"/>
                <w:sz w:val="18"/>
                <w:szCs w:val="18"/>
              </w:rPr>
              <w:t>7</w:t>
            </w:r>
            <w:r w:rsidR="00365256">
              <w:rPr>
                <w:rFonts w:ascii="Calibri" w:hAnsi="Calibri"/>
                <w:b/>
                <w:bCs/>
                <w:color w:val="000000"/>
                <w:sz w:val="18"/>
                <w:szCs w:val="18"/>
              </w:rPr>
              <w:t>,</w:t>
            </w:r>
            <w:r>
              <w:rPr>
                <w:rFonts w:ascii="Calibri" w:hAnsi="Calibri"/>
                <w:b/>
                <w:bCs/>
                <w:color w:val="000000"/>
                <w:sz w:val="18"/>
                <w:szCs w:val="18"/>
              </w:rPr>
              <w:t>860</w:t>
            </w:r>
            <w:r w:rsidR="00365256">
              <w:rPr>
                <w:rFonts w:ascii="Calibri" w:hAnsi="Calibri"/>
                <w:b/>
                <w:bCs/>
                <w:color w:val="000000"/>
                <w:sz w:val="18"/>
                <w:szCs w:val="18"/>
              </w:rPr>
              <w:t>,</w:t>
            </w:r>
            <w:r>
              <w:rPr>
                <w:rFonts w:ascii="Calibri" w:hAnsi="Calibri"/>
                <w:b/>
                <w:bCs/>
                <w:color w:val="000000"/>
                <w:sz w:val="18"/>
                <w:szCs w:val="18"/>
              </w:rPr>
              <w:t>566</w:t>
            </w:r>
          </w:p>
        </w:tc>
        <w:tc>
          <w:tcPr>
            <w:tcW w:w="564" w:type="pct"/>
            <w:tcBorders>
              <w:top w:val="single" w:sz="8" w:space="0" w:color="auto"/>
              <w:left w:val="nil"/>
              <w:bottom w:val="single" w:sz="8" w:space="0" w:color="auto"/>
              <w:right w:val="nil"/>
            </w:tcBorders>
            <w:shd w:val="clear" w:color="auto" w:fill="auto"/>
            <w:vAlign w:val="bottom"/>
          </w:tcPr>
          <w:p w14:paraId="1251919B" w14:textId="79ADAB01" w:rsidR="00DD132E" w:rsidRPr="00537128" w:rsidRDefault="00DD132E" w:rsidP="00DD132E">
            <w:pPr>
              <w:tabs>
                <w:tab w:val="right" w:pos="1202"/>
              </w:tabs>
              <w:spacing w:after="0" w:line="240" w:lineRule="exact"/>
              <w:jc w:val="right"/>
              <w:outlineLvl w:val="0"/>
              <w:rPr>
                <w:rFonts w:ascii="Calibri" w:eastAsia="Calibri" w:hAnsi="Calibri" w:cs="Arial"/>
                <w:b/>
                <w:spacing w:val="-2"/>
                <w:sz w:val="18"/>
                <w:szCs w:val="18"/>
                <w:lang w:val="en-US"/>
              </w:rPr>
            </w:pPr>
            <w:r>
              <w:rPr>
                <w:rFonts w:ascii="Calibri" w:hAnsi="Calibri"/>
                <w:b/>
                <w:bCs/>
                <w:color w:val="000000"/>
                <w:sz w:val="18"/>
                <w:szCs w:val="18"/>
              </w:rPr>
              <w:t>16</w:t>
            </w:r>
            <w:r w:rsidR="00365256">
              <w:rPr>
                <w:rFonts w:ascii="Calibri" w:hAnsi="Calibri"/>
                <w:b/>
                <w:bCs/>
                <w:color w:val="000000"/>
                <w:sz w:val="18"/>
                <w:szCs w:val="18"/>
              </w:rPr>
              <w:t>,</w:t>
            </w:r>
            <w:r>
              <w:rPr>
                <w:rFonts w:ascii="Calibri" w:hAnsi="Calibri"/>
                <w:b/>
                <w:bCs/>
                <w:color w:val="000000"/>
                <w:sz w:val="18"/>
                <w:szCs w:val="18"/>
              </w:rPr>
              <w:t>950</w:t>
            </w:r>
            <w:r w:rsidR="00365256">
              <w:rPr>
                <w:rFonts w:ascii="Calibri" w:hAnsi="Calibri"/>
                <w:b/>
                <w:bCs/>
                <w:color w:val="000000"/>
                <w:sz w:val="18"/>
                <w:szCs w:val="18"/>
              </w:rPr>
              <w:t>,</w:t>
            </w:r>
            <w:r>
              <w:rPr>
                <w:rFonts w:ascii="Calibri" w:hAnsi="Calibri"/>
                <w:b/>
                <w:bCs/>
                <w:color w:val="000000"/>
                <w:sz w:val="18"/>
                <w:szCs w:val="18"/>
              </w:rPr>
              <w:t>118</w:t>
            </w:r>
          </w:p>
        </w:tc>
      </w:tr>
      <w:tr w:rsidR="00DD132E" w:rsidRPr="00537128" w14:paraId="03C7FE12" w14:textId="77777777" w:rsidTr="00703DBC">
        <w:trPr>
          <w:trHeight w:hRule="exact" w:val="275"/>
        </w:trPr>
        <w:tc>
          <w:tcPr>
            <w:tcW w:w="1641" w:type="pct"/>
            <w:vAlign w:val="bottom"/>
          </w:tcPr>
          <w:p w14:paraId="186C20F1" w14:textId="77777777" w:rsidR="00DD132E" w:rsidRPr="00537128" w:rsidRDefault="00DD132E" w:rsidP="00DD132E">
            <w:pPr>
              <w:tabs>
                <w:tab w:val="right" w:pos="1202"/>
              </w:tabs>
              <w:spacing w:after="0" w:line="240" w:lineRule="exact"/>
              <w:outlineLvl w:val="0"/>
              <w:rPr>
                <w:rFonts w:ascii="Calibri" w:eastAsia="Calibri" w:hAnsi="Calibri" w:cs="Arial"/>
                <w:b/>
                <w:bCs/>
                <w:spacing w:val="-2"/>
                <w:sz w:val="18"/>
                <w:szCs w:val="18"/>
                <w:lang w:val="en-US"/>
              </w:rPr>
            </w:pPr>
            <w:bookmarkStart w:id="890" w:name="_Toc4062286"/>
            <w:r w:rsidRPr="00537128">
              <w:rPr>
                <w:rFonts w:ascii="Calibri" w:eastAsia="Calibri" w:hAnsi="Calibri" w:cs="Arial"/>
                <w:b/>
                <w:bCs/>
                <w:spacing w:val="-2"/>
                <w:sz w:val="18"/>
                <w:szCs w:val="18"/>
                <w:lang w:val="en-US"/>
              </w:rPr>
              <w:t>Liquidity gap</w:t>
            </w:r>
            <w:bookmarkEnd w:id="890"/>
          </w:p>
        </w:tc>
        <w:tc>
          <w:tcPr>
            <w:tcW w:w="507" w:type="pct"/>
            <w:tcBorders>
              <w:top w:val="single" w:sz="12" w:space="0" w:color="auto"/>
              <w:left w:val="nil"/>
              <w:bottom w:val="single" w:sz="12" w:space="0" w:color="auto"/>
              <w:right w:val="nil"/>
            </w:tcBorders>
            <w:shd w:val="clear" w:color="auto" w:fill="auto"/>
            <w:vAlign w:val="bottom"/>
          </w:tcPr>
          <w:p w14:paraId="07386F28" w14:textId="66134EB3" w:rsidR="00DD132E" w:rsidRPr="00537128" w:rsidRDefault="00DD132E" w:rsidP="00DD132E">
            <w:pPr>
              <w:tabs>
                <w:tab w:val="right" w:pos="1202"/>
              </w:tabs>
              <w:spacing w:after="0" w:line="240" w:lineRule="exact"/>
              <w:jc w:val="right"/>
              <w:outlineLvl w:val="0"/>
              <w:rPr>
                <w:rFonts w:ascii="Calibri" w:eastAsia="Calibri" w:hAnsi="Calibri" w:cs="Calibri"/>
                <w:b/>
                <w:bCs/>
                <w:color w:val="000000"/>
                <w:sz w:val="18"/>
                <w:szCs w:val="18"/>
                <w:lang w:val="en-US"/>
              </w:rPr>
            </w:pPr>
            <w:r>
              <w:rPr>
                <w:rFonts w:ascii="Calibri" w:hAnsi="Calibri"/>
                <w:b/>
                <w:bCs/>
                <w:color w:val="000000"/>
                <w:sz w:val="18"/>
                <w:szCs w:val="18"/>
              </w:rPr>
              <w:t>5</w:t>
            </w:r>
            <w:r w:rsidR="00365256">
              <w:rPr>
                <w:rFonts w:ascii="Calibri" w:hAnsi="Calibri"/>
                <w:b/>
                <w:bCs/>
                <w:color w:val="000000"/>
                <w:sz w:val="18"/>
                <w:szCs w:val="18"/>
              </w:rPr>
              <w:t>,</w:t>
            </w:r>
            <w:r>
              <w:rPr>
                <w:rFonts w:ascii="Calibri" w:hAnsi="Calibri"/>
                <w:b/>
                <w:bCs/>
                <w:color w:val="000000"/>
                <w:sz w:val="18"/>
                <w:szCs w:val="18"/>
              </w:rPr>
              <w:t>7</w:t>
            </w:r>
            <w:r w:rsidR="007B54C5">
              <w:rPr>
                <w:rFonts w:ascii="Calibri" w:hAnsi="Calibri"/>
                <w:b/>
                <w:bCs/>
                <w:color w:val="000000"/>
                <w:sz w:val="18"/>
                <w:szCs w:val="18"/>
              </w:rPr>
              <w:t>1</w:t>
            </w:r>
            <w:r>
              <w:rPr>
                <w:rFonts w:ascii="Calibri" w:hAnsi="Calibri"/>
                <w:b/>
                <w:bCs/>
                <w:color w:val="000000"/>
                <w:sz w:val="18"/>
                <w:szCs w:val="18"/>
              </w:rPr>
              <w:t>2</w:t>
            </w:r>
            <w:r w:rsidR="00365256">
              <w:rPr>
                <w:rFonts w:ascii="Calibri" w:hAnsi="Calibri"/>
                <w:b/>
                <w:bCs/>
                <w:color w:val="000000"/>
                <w:sz w:val="18"/>
                <w:szCs w:val="18"/>
              </w:rPr>
              <w:t>,</w:t>
            </w:r>
            <w:r w:rsidR="00DF192E">
              <w:rPr>
                <w:rFonts w:ascii="Calibri" w:hAnsi="Calibri"/>
                <w:b/>
                <w:bCs/>
                <w:color w:val="000000"/>
                <w:sz w:val="18"/>
                <w:szCs w:val="18"/>
              </w:rPr>
              <w:t>493</w:t>
            </w:r>
          </w:p>
        </w:tc>
        <w:tc>
          <w:tcPr>
            <w:tcW w:w="552" w:type="pct"/>
            <w:tcBorders>
              <w:top w:val="single" w:sz="12" w:space="0" w:color="auto"/>
              <w:left w:val="nil"/>
              <w:bottom w:val="single" w:sz="12" w:space="0" w:color="auto"/>
              <w:right w:val="nil"/>
            </w:tcBorders>
            <w:shd w:val="clear" w:color="auto" w:fill="auto"/>
            <w:vAlign w:val="bottom"/>
          </w:tcPr>
          <w:p w14:paraId="1B0D0E73" w14:textId="31475CE7" w:rsidR="00DD132E" w:rsidRPr="00537128" w:rsidRDefault="00DD132E" w:rsidP="00DD132E">
            <w:pPr>
              <w:tabs>
                <w:tab w:val="right" w:pos="1202"/>
              </w:tabs>
              <w:spacing w:after="0" w:line="240" w:lineRule="exact"/>
              <w:jc w:val="right"/>
              <w:outlineLvl w:val="0"/>
              <w:rPr>
                <w:rFonts w:ascii="Calibri" w:eastAsia="Calibri" w:hAnsi="Calibri" w:cs="Calibri"/>
                <w:b/>
                <w:bCs/>
                <w:color w:val="000000"/>
                <w:sz w:val="18"/>
                <w:szCs w:val="18"/>
                <w:lang w:val="en-US"/>
              </w:rPr>
            </w:pPr>
            <w:r>
              <w:rPr>
                <w:rFonts w:ascii="Calibri" w:hAnsi="Calibri"/>
                <w:b/>
                <w:bCs/>
                <w:color w:val="000000"/>
                <w:sz w:val="18"/>
                <w:szCs w:val="18"/>
              </w:rPr>
              <w:t>1</w:t>
            </w:r>
            <w:r w:rsidR="00DF192E">
              <w:rPr>
                <w:rFonts w:ascii="Calibri" w:hAnsi="Calibri"/>
                <w:b/>
                <w:bCs/>
                <w:color w:val="000000"/>
                <w:sz w:val="18"/>
                <w:szCs w:val="18"/>
              </w:rPr>
              <w:t>27</w:t>
            </w:r>
            <w:r w:rsidR="00365256">
              <w:rPr>
                <w:rFonts w:ascii="Calibri" w:hAnsi="Calibri"/>
                <w:b/>
                <w:bCs/>
                <w:color w:val="000000"/>
                <w:sz w:val="18"/>
                <w:szCs w:val="18"/>
              </w:rPr>
              <w:t>,</w:t>
            </w:r>
            <w:r w:rsidR="00DF192E">
              <w:rPr>
                <w:rFonts w:ascii="Calibri" w:hAnsi="Calibri"/>
                <w:b/>
                <w:bCs/>
                <w:color w:val="000000"/>
                <w:sz w:val="18"/>
                <w:szCs w:val="18"/>
              </w:rPr>
              <w:t>284</w:t>
            </w:r>
          </w:p>
        </w:tc>
        <w:tc>
          <w:tcPr>
            <w:tcW w:w="590" w:type="pct"/>
            <w:tcBorders>
              <w:top w:val="single" w:sz="12" w:space="0" w:color="auto"/>
              <w:left w:val="nil"/>
              <w:bottom w:val="single" w:sz="12" w:space="0" w:color="auto"/>
              <w:right w:val="nil"/>
            </w:tcBorders>
            <w:shd w:val="clear" w:color="auto" w:fill="auto"/>
            <w:vAlign w:val="bottom"/>
          </w:tcPr>
          <w:p w14:paraId="5EF01F1A" w14:textId="2D494525" w:rsidR="00DD132E" w:rsidRPr="00537128" w:rsidRDefault="00DD132E" w:rsidP="00DD132E">
            <w:pPr>
              <w:tabs>
                <w:tab w:val="right" w:pos="1202"/>
              </w:tabs>
              <w:spacing w:after="0" w:line="240" w:lineRule="exact"/>
              <w:jc w:val="right"/>
              <w:outlineLvl w:val="0"/>
              <w:rPr>
                <w:rFonts w:ascii="Calibri" w:eastAsia="Calibri" w:hAnsi="Calibri" w:cs="Calibri"/>
                <w:b/>
                <w:bCs/>
                <w:color w:val="000000"/>
                <w:sz w:val="18"/>
                <w:szCs w:val="18"/>
                <w:lang w:val="en-US"/>
              </w:rPr>
            </w:pPr>
            <w:r>
              <w:rPr>
                <w:rFonts w:ascii="Calibri" w:hAnsi="Calibri"/>
                <w:b/>
                <w:bCs/>
                <w:color w:val="000000"/>
                <w:sz w:val="18"/>
                <w:szCs w:val="18"/>
              </w:rPr>
              <w:t>130</w:t>
            </w:r>
            <w:r w:rsidR="00365256">
              <w:rPr>
                <w:rFonts w:ascii="Calibri" w:hAnsi="Calibri"/>
                <w:b/>
                <w:bCs/>
                <w:color w:val="000000"/>
                <w:sz w:val="18"/>
                <w:szCs w:val="18"/>
              </w:rPr>
              <w:t>,</w:t>
            </w:r>
            <w:r>
              <w:rPr>
                <w:rFonts w:ascii="Calibri" w:hAnsi="Calibri"/>
                <w:b/>
                <w:bCs/>
                <w:color w:val="000000"/>
                <w:sz w:val="18"/>
                <w:szCs w:val="18"/>
              </w:rPr>
              <w:t>761</w:t>
            </w:r>
          </w:p>
        </w:tc>
        <w:tc>
          <w:tcPr>
            <w:tcW w:w="572" w:type="pct"/>
            <w:tcBorders>
              <w:top w:val="single" w:sz="12" w:space="0" w:color="auto"/>
              <w:left w:val="nil"/>
              <w:bottom w:val="single" w:sz="12" w:space="0" w:color="auto"/>
              <w:right w:val="nil"/>
            </w:tcBorders>
            <w:shd w:val="clear" w:color="auto" w:fill="auto"/>
            <w:vAlign w:val="bottom"/>
          </w:tcPr>
          <w:p w14:paraId="3CE613AB" w14:textId="4C25A65F" w:rsidR="00DD132E" w:rsidRPr="00537128" w:rsidRDefault="00DD132E" w:rsidP="00DD132E">
            <w:pPr>
              <w:tabs>
                <w:tab w:val="right" w:pos="1202"/>
              </w:tabs>
              <w:spacing w:after="0" w:line="240" w:lineRule="exact"/>
              <w:jc w:val="right"/>
              <w:outlineLvl w:val="0"/>
              <w:rPr>
                <w:rFonts w:ascii="Calibri" w:eastAsia="Calibri" w:hAnsi="Calibri" w:cs="Calibri"/>
                <w:b/>
                <w:bCs/>
                <w:color w:val="000000"/>
                <w:sz w:val="18"/>
                <w:szCs w:val="18"/>
                <w:lang w:val="en-US"/>
              </w:rPr>
            </w:pPr>
            <w:r>
              <w:rPr>
                <w:rFonts w:ascii="Calibri" w:hAnsi="Calibri"/>
                <w:b/>
                <w:bCs/>
                <w:color w:val="000000"/>
                <w:sz w:val="18"/>
                <w:szCs w:val="18"/>
              </w:rPr>
              <w:t>(712</w:t>
            </w:r>
            <w:r w:rsidR="00365256">
              <w:rPr>
                <w:rFonts w:ascii="Calibri" w:hAnsi="Calibri"/>
                <w:b/>
                <w:bCs/>
                <w:color w:val="000000"/>
                <w:sz w:val="18"/>
                <w:szCs w:val="18"/>
              </w:rPr>
              <w:t>,</w:t>
            </w:r>
            <w:r>
              <w:rPr>
                <w:rFonts w:ascii="Calibri" w:hAnsi="Calibri"/>
                <w:b/>
                <w:bCs/>
                <w:color w:val="000000"/>
                <w:sz w:val="18"/>
                <w:szCs w:val="18"/>
              </w:rPr>
              <w:t>064)</w:t>
            </w:r>
          </w:p>
        </w:tc>
        <w:tc>
          <w:tcPr>
            <w:tcW w:w="573" w:type="pct"/>
            <w:tcBorders>
              <w:top w:val="single" w:sz="12" w:space="0" w:color="auto"/>
              <w:left w:val="nil"/>
              <w:bottom w:val="single" w:sz="12" w:space="0" w:color="auto"/>
              <w:right w:val="nil"/>
            </w:tcBorders>
            <w:shd w:val="clear" w:color="auto" w:fill="auto"/>
            <w:vAlign w:val="bottom"/>
          </w:tcPr>
          <w:p w14:paraId="618D5E30" w14:textId="70794BF0" w:rsidR="00DD132E" w:rsidRPr="00537128" w:rsidRDefault="00DD132E" w:rsidP="00DD132E">
            <w:pPr>
              <w:tabs>
                <w:tab w:val="right" w:pos="1202"/>
              </w:tabs>
              <w:spacing w:after="0" w:line="240" w:lineRule="exact"/>
              <w:jc w:val="right"/>
              <w:outlineLvl w:val="0"/>
              <w:rPr>
                <w:rFonts w:ascii="Calibri" w:eastAsia="Calibri" w:hAnsi="Calibri" w:cs="Calibri"/>
                <w:b/>
                <w:bCs/>
                <w:color w:val="000000"/>
                <w:sz w:val="18"/>
                <w:szCs w:val="18"/>
                <w:lang w:val="en-US"/>
              </w:rPr>
            </w:pPr>
            <w:r>
              <w:rPr>
                <w:rFonts w:ascii="Calibri" w:hAnsi="Calibri"/>
                <w:b/>
                <w:bCs/>
                <w:color w:val="000000"/>
                <w:sz w:val="18"/>
                <w:szCs w:val="18"/>
              </w:rPr>
              <w:t>5</w:t>
            </w:r>
            <w:r w:rsidR="00365256">
              <w:rPr>
                <w:rFonts w:ascii="Calibri" w:hAnsi="Calibri"/>
                <w:b/>
                <w:bCs/>
                <w:color w:val="000000"/>
                <w:sz w:val="18"/>
                <w:szCs w:val="18"/>
              </w:rPr>
              <w:t>,</w:t>
            </w:r>
            <w:r>
              <w:rPr>
                <w:rFonts w:ascii="Calibri" w:hAnsi="Calibri"/>
                <w:b/>
                <w:bCs/>
                <w:color w:val="000000"/>
                <w:sz w:val="18"/>
                <w:szCs w:val="18"/>
              </w:rPr>
              <w:t>514</w:t>
            </w:r>
            <w:r w:rsidR="00365256">
              <w:rPr>
                <w:rFonts w:ascii="Calibri" w:hAnsi="Calibri"/>
                <w:b/>
                <w:bCs/>
                <w:color w:val="000000"/>
                <w:sz w:val="18"/>
                <w:szCs w:val="18"/>
              </w:rPr>
              <w:t>,</w:t>
            </w:r>
            <w:r>
              <w:rPr>
                <w:rFonts w:ascii="Calibri" w:hAnsi="Calibri"/>
                <w:b/>
                <w:bCs/>
                <w:color w:val="000000"/>
                <w:sz w:val="18"/>
                <w:szCs w:val="18"/>
              </w:rPr>
              <w:t>111</w:t>
            </w:r>
          </w:p>
        </w:tc>
        <w:tc>
          <w:tcPr>
            <w:tcW w:w="564" w:type="pct"/>
            <w:tcBorders>
              <w:top w:val="single" w:sz="12" w:space="0" w:color="auto"/>
              <w:left w:val="nil"/>
              <w:bottom w:val="single" w:sz="12" w:space="0" w:color="auto"/>
              <w:right w:val="nil"/>
            </w:tcBorders>
            <w:shd w:val="clear" w:color="auto" w:fill="auto"/>
            <w:vAlign w:val="bottom"/>
          </w:tcPr>
          <w:p w14:paraId="076333D4" w14:textId="64F15266" w:rsidR="00DD132E" w:rsidRPr="00537128" w:rsidRDefault="00DD132E" w:rsidP="00DD132E">
            <w:pPr>
              <w:tabs>
                <w:tab w:val="right" w:pos="1202"/>
              </w:tabs>
              <w:spacing w:after="0" w:line="240" w:lineRule="exact"/>
              <w:jc w:val="right"/>
              <w:outlineLvl w:val="0"/>
              <w:rPr>
                <w:rFonts w:ascii="Calibri" w:eastAsia="Calibri" w:hAnsi="Calibri" w:cs="Calibri"/>
                <w:b/>
                <w:bCs/>
                <w:color w:val="000000"/>
                <w:sz w:val="18"/>
                <w:szCs w:val="18"/>
                <w:lang w:val="en-US"/>
              </w:rPr>
            </w:pPr>
            <w:r>
              <w:rPr>
                <w:rFonts w:ascii="Calibri" w:hAnsi="Calibri"/>
                <w:b/>
                <w:bCs/>
                <w:color w:val="000000"/>
                <w:sz w:val="18"/>
                <w:szCs w:val="18"/>
              </w:rPr>
              <w:t>10</w:t>
            </w:r>
            <w:r w:rsidR="00365256">
              <w:rPr>
                <w:rFonts w:ascii="Calibri" w:hAnsi="Calibri"/>
                <w:b/>
                <w:bCs/>
                <w:color w:val="000000"/>
                <w:sz w:val="18"/>
                <w:szCs w:val="18"/>
              </w:rPr>
              <w:t>,</w:t>
            </w:r>
            <w:r>
              <w:rPr>
                <w:rFonts w:ascii="Calibri" w:hAnsi="Calibri"/>
                <w:b/>
                <w:bCs/>
                <w:color w:val="000000"/>
                <w:sz w:val="18"/>
                <w:szCs w:val="18"/>
              </w:rPr>
              <w:t>772</w:t>
            </w:r>
            <w:r w:rsidR="00365256">
              <w:rPr>
                <w:rFonts w:ascii="Calibri" w:hAnsi="Calibri"/>
                <w:b/>
                <w:bCs/>
                <w:color w:val="000000"/>
                <w:sz w:val="18"/>
                <w:szCs w:val="18"/>
              </w:rPr>
              <w:t>,</w:t>
            </w:r>
            <w:r>
              <w:rPr>
                <w:rFonts w:ascii="Calibri" w:hAnsi="Calibri"/>
                <w:b/>
                <w:bCs/>
                <w:color w:val="000000"/>
                <w:sz w:val="18"/>
                <w:szCs w:val="18"/>
              </w:rPr>
              <w:t>585</w:t>
            </w:r>
          </w:p>
        </w:tc>
      </w:tr>
      <w:tr w:rsidR="00DD132E" w:rsidRPr="00537128" w14:paraId="544DCB80" w14:textId="77777777" w:rsidTr="00703DBC">
        <w:trPr>
          <w:trHeight w:hRule="exact" w:val="275"/>
        </w:trPr>
        <w:tc>
          <w:tcPr>
            <w:tcW w:w="1641" w:type="pct"/>
            <w:vAlign w:val="bottom"/>
          </w:tcPr>
          <w:p w14:paraId="2A6AB8E7" w14:textId="77777777" w:rsidR="00DD132E" w:rsidRPr="00537128" w:rsidRDefault="00DD132E" w:rsidP="00DD132E">
            <w:pPr>
              <w:tabs>
                <w:tab w:val="right" w:pos="1202"/>
              </w:tabs>
              <w:spacing w:after="0" w:line="240" w:lineRule="exact"/>
              <w:outlineLvl w:val="0"/>
              <w:rPr>
                <w:rFonts w:ascii="Calibri" w:eastAsia="Calibri" w:hAnsi="Calibri" w:cs="Arial"/>
                <w:b/>
                <w:bCs/>
                <w:spacing w:val="-2"/>
                <w:sz w:val="18"/>
                <w:szCs w:val="18"/>
                <w:lang w:val="en-US"/>
              </w:rPr>
            </w:pPr>
          </w:p>
        </w:tc>
        <w:tc>
          <w:tcPr>
            <w:tcW w:w="507" w:type="pct"/>
            <w:tcBorders>
              <w:top w:val="single" w:sz="12" w:space="0" w:color="auto"/>
              <w:left w:val="nil"/>
              <w:right w:val="nil"/>
            </w:tcBorders>
            <w:shd w:val="clear" w:color="auto" w:fill="auto"/>
            <w:vAlign w:val="bottom"/>
          </w:tcPr>
          <w:p w14:paraId="5B4450E1" w14:textId="77777777" w:rsidR="00DD132E" w:rsidRPr="00537128" w:rsidRDefault="00DD132E" w:rsidP="00DD132E">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52" w:type="pct"/>
            <w:tcBorders>
              <w:top w:val="single" w:sz="12" w:space="0" w:color="auto"/>
              <w:left w:val="nil"/>
              <w:right w:val="nil"/>
            </w:tcBorders>
            <w:shd w:val="clear" w:color="auto" w:fill="auto"/>
            <w:vAlign w:val="bottom"/>
          </w:tcPr>
          <w:p w14:paraId="66DFB535" w14:textId="77777777" w:rsidR="00DD132E" w:rsidRPr="00537128" w:rsidRDefault="00DD132E" w:rsidP="00DD132E">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90" w:type="pct"/>
            <w:tcBorders>
              <w:top w:val="single" w:sz="12" w:space="0" w:color="auto"/>
              <w:left w:val="nil"/>
              <w:right w:val="nil"/>
            </w:tcBorders>
            <w:shd w:val="clear" w:color="auto" w:fill="auto"/>
            <w:vAlign w:val="bottom"/>
          </w:tcPr>
          <w:p w14:paraId="2F379A8E" w14:textId="77777777" w:rsidR="00DD132E" w:rsidRPr="00537128" w:rsidRDefault="00DD132E" w:rsidP="00DD132E">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2" w:type="pct"/>
            <w:tcBorders>
              <w:top w:val="single" w:sz="12" w:space="0" w:color="auto"/>
              <w:left w:val="nil"/>
              <w:right w:val="nil"/>
            </w:tcBorders>
            <w:shd w:val="clear" w:color="auto" w:fill="auto"/>
            <w:vAlign w:val="bottom"/>
          </w:tcPr>
          <w:p w14:paraId="03310D6F" w14:textId="77777777" w:rsidR="00DD132E" w:rsidRPr="00537128" w:rsidRDefault="00DD132E" w:rsidP="00DD132E">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3" w:type="pct"/>
            <w:tcBorders>
              <w:top w:val="single" w:sz="12" w:space="0" w:color="auto"/>
              <w:left w:val="nil"/>
              <w:right w:val="nil"/>
            </w:tcBorders>
            <w:shd w:val="clear" w:color="auto" w:fill="auto"/>
            <w:vAlign w:val="bottom"/>
          </w:tcPr>
          <w:p w14:paraId="0BDD189E" w14:textId="77777777" w:rsidR="00DD132E" w:rsidRPr="00537128" w:rsidRDefault="00DD132E" w:rsidP="00DD132E">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64" w:type="pct"/>
            <w:tcBorders>
              <w:top w:val="single" w:sz="12" w:space="0" w:color="auto"/>
              <w:left w:val="nil"/>
              <w:right w:val="nil"/>
            </w:tcBorders>
            <w:shd w:val="clear" w:color="auto" w:fill="auto"/>
            <w:vAlign w:val="bottom"/>
          </w:tcPr>
          <w:p w14:paraId="3C062F35" w14:textId="77777777" w:rsidR="00DD132E" w:rsidRPr="00537128" w:rsidRDefault="00DD132E" w:rsidP="00DD132E">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DD132E" w:rsidRPr="00537128" w14:paraId="1B8F9617" w14:textId="77777777" w:rsidTr="00703DBC">
        <w:trPr>
          <w:trHeight w:hRule="exact" w:val="275"/>
        </w:trPr>
        <w:tc>
          <w:tcPr>
            <w:tcW w:w="1641" w:type="pct"/>
            <w:vAlign w:val="bottom"/>
          </w:tcPr>
          <w:p w14:paraId="4784D474" w14:textId="77777777" w:rsidR="00DD132E" w:rsidRPr="00537128" w:rsidRDefault="00DD132E" w:rsidP="00DD132E">
            <w:pPr>
              <w:tabs>
                <w:tab w:val="right" w:pos="1202"/>
              </w:tabs>
              <w:spacing w:after="0" w:line="240" w:lineRule="exact"/>
              <w:outlineLvl w:val="0"/>
              <w:rPr>
                <w:rFonts w:ascii="Calibri" w:eastAsia="Calibri" w:hAnsi="Calibri" w:cs="Arial"/>
                <w:b/>
                <w:bCs/>
                <w:spacing w:val="-2"/>
                <w:sz w:val="18"/>
                <w:szCs w:val="18"/>
                <w:lang w:val="en-US"/>
              </w:rPr>
            </w:pPr>
            <w:bookmarkStart w:id="891" w:name="_Toc4062293"/>
            <w:r w:rsidRPr="00537128">
              <w:rPr>
                <w:rFonts w:ascii="Calibri" w:eastAsia="Times New Roman" w:hAnsi="Calibri" w:cs="Arial"/>
                <w:b/>
                <w:bCs/>
                <w:spacing w:val="-2"/>
                <w:sz w:val="18"/>
                <w:szCs w:val="18"/>
                <w:lang w:val="en-US"/>
              </w:rPr>
              <w:t>Guarantees and commitments</w:t>
            </w:r>
            <w:bookmarkEnd w:id="891"/>
          </w:p>
        </w:tc>
        <w:tc>
          <w:tcPr>
            <w:tcW w:w="507" w:type="pct"/>
            <w:tcBorders>
              <w:top w:val="nil"/>
              <w:left w:val="nil"/>
              <w:bottom w:val="nil"/>
              <w:right w:val="nil"/>
            </w:tcBorders>
            <w:shd w:val="clear" w:color="auto" w:fill="auto"/>
            <w:vAlign w:val="bottom"/>
          </w:tcPr>
          <w:p w14:paraId="4DD72FA5" w14:textId="77777777" w:rsidR="00DD132E" w:rsidRPr="00537128" w:rsidRDefault="00DD132E" w:rsidP="00DD132E">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52" w:type="pct"/>
            <w:tcBorders>
              <w:top w:val="nil"/>
              <w:left w:val="nil"/>
              <w:bottom w:val="nil"/>
              <w:right w:val="nil"/>
            </w:tcBorders>
            <w:shd w:val="clear" w:color="auto" w:fill="auto"/>
            <w:vAlign w:val="bottom"/>
          </w:tcPr>
          <w:p w14:paraId="534BAE0C" w14:textId="77777777" w:rsidR="00DD132E" w:rsidRPr="00537128" w:rsidRDefault="00DD132E" w:rsidP="00DD132E">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90" w:type="pct"/>
            <w:tcBorders>
              <w:top w:val="nil"/>
              <w:left w:val="nil"/>
              <w:bottom w:val="nil"/>
              <w:right w:val="nil"/>
            </w:tcBorders>
            <w:shd w:val="clear" w:color="auto" w:fill="auto"/>
            <w:vAlign w:val="bottom"/>
          </w:tcPr>
          <w:p w14:paraId="1960EBC9" w14:textId="77777777" w:rsidR="00DD132E" w:rsidRPr="00537128" w:rsidRDefault="00DD132E" w:rsidP="00DD132E">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2" w:type="pct"/>
            <w:tcBorders>
              <w:top w:val="nil"/>
              <w:left w:val="nil"/>
              <w:bottom w:val="nil"/>
              <w:right w:val="nil"/>
            </w:tcBorders>
            <w:shd w:val="clear" w:color="auto" w:fill="auto"/>
            <w:vAlign w:val="bottom"/>
          </w:tcPr>
          <w:p w14:paraId="3642474D" w14:textId="77777777" w:rsidR="00DD132E" w:rsidRPr="00537128" w:rsidRDefault="00DD132E" w:rsidP="00DD132E">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3" w:type="pct"/>
            <w:tcBorders>
              <w:top w:val="nil"/>
              <w:left w:val="nil"/>
              <w:bottom w:val="nil"/>
              <w:right w:val="nil"/>
            </w:tcBorders>
            <w:shd w:val="clear" w:color="auto" w:fill="auto"/>
            <w:vAlign w:val="bottom"/>
          </w:tcPr>
          <w:p w14:paraId="27B6212D" w14:textId="77777777" w:rsidR="00DD132E" w:rsidRPr="00537128" w:rsidRDefault="00DD132E" w:rsidP="00DD132E">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64" w:type="pct"/>
            <w:tcBorders>
              <w:top w:val="nil"/>
              <w:left w:val="nil"/>
              <w:bottom w:val="nil"/>
              <w:right w:val="nil"/>
            </w:tcBorders>
            <w:shd w:val="clear" w:color="auto" w:fill="auto"/>
            <w:vAlign w:val="bottom"/>
          </w:tcPr>
          <w:p w14:paraId="11238AC6" w14:textId="77777777" w:rsidR="00DD132E" w:rsidRPr="00537128" w:rsidRDefault="00DD132E" w:rsidP="00DD132E">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365256" w:rsidRPr="00537128" w14:paraId="7A30E9EF" w14:textId="77777777" w:rsidTr="00703DBC">
        <w:trPr>
          <w:trHeight w:hRule="exact" w:val="275"/>
        </w:trPr>
        <w:tc>
          <w:tcPr>
            <w:tcW w:w="1641" w:type="pct"/>
            <w:vAlign w:val="bottom"/>
          </w:tcPr>
          <w:p w14:paraId="6E7DA0C2" w14:textId="77777777" w:rsidR="00365256" w:rsidRPr="00537128" w:rsidRDefault="00365256" w:rsidP="00365256">
            <w:pPr>
              <w:tabs>
                <w:tab w:val="right" w:pos="1202"/>
              </w:tabs>
              <w:spacing w:after="0" w:line="240" w:lineRule="exact"/>
              <w:outlineLvl w:val="0"/>
              <w:rPr>
                <w:rFonts w:ascii="Calibri" w:eastAsia="Calibri" w:hAnsi="Calibri" w:cs="Arial"/>
                <w:b/>
                <w:bCs/>
                <w:spacing w:val="-2"/>
                <w:sz w:val="18"/>
                <w:szCs w:val="18"/>
                <w:lang w:val="en-US"/>
              </w:rPr>
            </w:pPr>
            <w:bookmarkStart w:id="892" w:name="_Toc4062294"/>
            <w:r w:rsidRPr="00537128">
              <w:rPr>
                <w:rFonts w:ascii="Calibri" w:eastAsia="Times New Roman" w:hAnsi="Calibri" w:cs="Arial"/>
                <w:spacing w:val="-2"/>
                <w:sz w:val="18"/>
                <w:szCs w:val="18"/>
                <w:lang w:val="en-US"/>
              </w:rPr>
              <w:t>Guarantees issued in HRK</w:t>
            </w:r>
            <w:bookmarkEnd w:id="892"/>
          </w:p>
        </w:tc>
        <w:tc>
          <w:tcPr>
            <w:tcW w:w="507" w:type="pct"/>
            <w:tcBorders>
              <w:top w:val="nil"/>
              <w:left w:val="nil"/>
              <w:bottom w:val="nil"/>
              <w:right w:val="nil"/>
            </w:tcBorders>
            <w:shd w:val="clear" w:color="auto" w:fill="auto"/>
            <w:vAlign w:val="bottom"/>
          </w:tcPr>
          <w:p w14:paraId="648D195A" w14:textId="3F39A808" w:rsidR="00365256" w:rsidRPr="00537128" w:rsidRDefault="00365256" w:rsidP="00365256">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177,235</w:t>
            </w:r>
          </w:p>
        </w:tc>
        <w:tc>
          <w:tcPr>
            <w:tcW w:w="552" w:type="pct"/>
            <w:tcBorders>
              <w:top w:val="nil"/>
              <w:left w:val="nil"/>
              <w:bottom w:val="nil"/>
              <w:right w:val="nil"/>
            </w:tcBorders>
            <w:shd w:val="clear" w:color="auto" w:fill="auto"/>
            <w:vAlign w:val="bottom"/>
          </w:tcPr>
          <w:p w14:paraId="14127AAC" w14:textId="1D83517F" w:rsidR="00365256" w:rsidRPr="00537128" w:rsidRDefault="00365256" w:rsidP="00365256">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90" w:type="pct"/>
            <w:tcBorders>
              <w:top w:val="nil"/>
              <w:left w:val="nil"/>
              <w:bottom w:val="nil"/>
              <w:right w:val="nil"/>
            </w:tcBorders>
            <w:shd w:val="clear" w:color="auto" w:fill="auto"/>
            <w:vAlign w:val="bottom"/>
          </w:tcPr>
          <w:p w14:paraId="23F8DE52" w14:textId="51DA2B02" w:rsidR="00365256" w:rsidRPr="00537128" w:rsidRDefault="00365256" w:rsidP="00365256">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1D75AE5B" w14:textId="39B0DC92" w:rsidR="00365256" w:rsidRPr="00537128" w:rsidRDefault="00365256" w:rsidP="00365256">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73" w:type="pct"/>
            <w:tcBorders>
              <w:top w:val="nil"/>
              <w:left w:val="nil"/>
              <w:bottom w:val="nil"/>
              <w:right w:val="nil"/>
            </w:tcBorders>
            <w:shd w:val="clear" w:color="auto" w:fill="auto"/>
            <w:vAlign w:val="bottom"/>
          </w:tcPr>
          <w:p w14:paraId="46AEA63C" w14:textId="510A95A5" w:rsidR="00365256" w:rsidRPr="00537128" w:rsidRDefault="00365256" w:rsidP="00365256">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64" w:type="pct"/>
            <w:tcBorders>
              <w:top w:val="nil"/>
              <w:left w:val="nil"/>
              <w:bottom w:val="nil"/>
              <w:right w:val="nil"/>
            </w:tcBorders>
            <w:shd w:val="clear" w:color="auto" w:fill="auto"/>
            <w:vAlign w:val="bottom"/>
          </w:tcPr>
          <w:p w14:paraId="352C2915" w14:textId="0F229A0D" w:rsidR="00365256" w:rsidRPr="00537128" w:rsidRDefault="00365256" w:rsidP="00365256">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177,235</w:t>
            </w:r>
          </w:p>
        </w:tc>
      </w:tr>
      <w:tr w:rsidR="00365256" w:rsidRPr="00537128" w14:paraId="6AD9FB49" w14:textId="77777777" w:rsidTr="00703DBC">
        <w:trPr>
          <w:trHeight w:hRule="exact" w:val="275"/>
        </w:trPr>
        <w:tc>
          <w:tcPr>
            <w:tcW w:w="1641" w:type="pct"/>
            <w:vAlign w:val="bottom"/>
          </w:tcPr>
          <w:p w14:paraId="418B77D3" w14:textId="77777777" w:rsidR="00365256" w:rsidRPr="00537128" w:rsidRDefault="00365256" w:rsidP="00365256">
            <w:pPr>
              <w:tabs>
                <w:tab w:val="right" w:pos="1202"/>
              </w:tabs>
              <w:spacing w:after="0" w:line="240" w:lineRule="exact"/>
              <w:outlineLvl w:val="0"/>
              <w:rPr>
                <w:rFonts w:ascii="Calibri" w:eastAsia="Calibri" w:hAnsi="Calibri" w:cs="Arial"/>
                <w:b/>
                <w:bCs/>
                <w:spacing w:val="-2"/>
                <w:sz w:val="18"/>
                <w:szCs w:val="18"/>
                <w:lang w:val="en-US"/>
              </w:rPr>
            </w:pPr>
            <w:bookmarkStart w:id="893" w:name="_Toc4062301"/>
            <w:r w:rsidRPr="00537128">
              <w:rPr>
                <w:rFonts w:ascii="Calibri" w:eastAsia="Times New Roman" w:hAnsi="Calibri" w:cs="Arial"/>
                <w:spacing w:val="-2"/>
                <w:sz w:val="18"/>
                <w:szCs w:val="18"/>
                <w:lang w:val="en-US"/>
              </w:rPr>
              <w:t>Issued guarantees in foreign currency</w:t>
            </w:r>
            <w:bookmarkEnd w:id="893"/>
          </w:p>
        </w:tc>
        <w:tc>
          <w:tcPr>
            <w:tcW w:w="507" w:type="pct"/>
            <w:tcBorders>
              <w:top w:val="nil"/>
              <w:left w:val="nil"/>
              <w:bottom w:val="nil"/>
              <w:right w:val="nil"/>
            </w:tcBorders>
            <w:shd w:val="clear" w:color="auto" w:fill="auto"/>
            <w:vAlign w:val="bottom"/>
          </w:tcPr>
          <w:p w14:paraId="1E80B930" w14:textId="6E3E4156" w:rsidR="00365256" w:rsidRPr="00537128" w:rsidRDefault="00365256" w:rsidP="00365256">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233,664</w:t>
            </w:r>
          </w:p>
        </w:tc>
        <w:tc>
          <w:tcPr>
            <w:tcW w:w="552" w:type="pct"/>
            <w:tcBorders>
              <w:top w:val="nil"/>
              <w:left w:val="nil"/>
              <w:bottom w:val="nil"/>
              <w:right w:val="nil"/>
            </w:tcBorders>
            <w:shd w:val="clear" w:color="auto" w:fill="auto"/>
            <w:vAlign w:val="bottom"/>
          </w:tcPr>
          <w:p w14:paraId="4B4D309E" w14:textId="5EA5375B" w:rsidR="00365256" w:rsidRPr="00537128" w:rsidRDefault="00365256" w:rsidP="00365256">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90" w:type="pct"/>
            <w:tcBorders>
              <w:top w:val="nil"/>
              <w:left w:val="nil"/>
              <w:bottom w:val="nil"/>
              <w:right w:val="nil"/>
            </w:tcBorders>
            <w:shd w:val="clear" w:color="auto" w:fill="auto"/>
            <w:vAlign w:val="bottom"/>
          </w:tcPr>
          <w:p w14:paraId="6B4EF07E" w14:textId="03499486" w:rsidR="00365256" w:rsidRPr="00537128" w:rsidRDefault="00365256" w:rsidP="00365256">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4E6CFC79" w14:textId="38D392D3" w:rsidR="00365256" w:rsidRPr="00537128" w:rsidRDefault="00365256" w:rsidP="00365256">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73" w:type="pct"/>
            <w:tcBorders>
              <w:top w:val="nil"/>
              <w:left w:val="nil"/>
              <w:bottom w:val="nil"/>
              <w:right w:val="nil"/>
            </w:tcBorders>
            <w:shd w:val="clear" w:color="auto" w:fill="auto"/>
            <w:vAlign w:val="bottom"/>
          </w:tcPr>
          <w:p w14:paraId="461E7A9C" w14:textId="27B480B2" w:rsidR="00365256" w:rsidRPr="00537128" w:rsidRDefault="00365256" w:rsidP="00365256">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64" w:type="pct"/>
            <w:tcBorders>
              <w:top w:val="nil"/>
              <w:left w:val="nil"/>
              <w:bottom w:val="nil"/>
              <w:right w:val="nil"/>
            </w:tcBorders>
            <w:shd w:val="clear" w:color="auto" w:fill="auto"/>
            <w:vAlign w:val="bottom"/>
          </w:tcPr>
          <w:p w14:paraId="1A52858C" w14:textId="4E6EAEA9" w:rsidR="00365256" w:rsidRPr="00537128" w:rsidRDefault="00365256" w:rsidP="00365256">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233,664</w:t>
            </w:r>
          </w:p>
        </w:tc>
      </w:tr>
      <w:tr w:rsidR="00365256" w:rsidRPr="00537128" w14:paraId="18B1B8CC" w14:textId="77777777" w:rsidTr="00703DBC">
        <w:trPr>
          <w:trHeight w:hRule="exact" w:val="275"/>
        </w:trPr>
        <w:tc>
          <w:tcPr>
            <w:tcW w:w="1641" w:type="pct"/>
            <w:vAlign w:val="bottom"/>
          </w:tcPr>
          <w:p w14:paraId="474939D5" w14:textId="77777777" w:rsidR="00365256" w:rsidRPr="00537128" w:rsidRDefault="00365256" w:rsidP="00365256">
            <w:pPr>
              <w:tabs>
                <w:tab w:val="right" w:pos="1202"/>
              </w:tabs>
              <w:spacing w:after="0" w:line="240" w:lineRule="exact"/>
              <w:outlineLvl w:val="0"/>
              <w:rPr>
                <w:rFonts w:ascii="Calibri" w:eastAsia="Calibri" w:hAnsi="Calibri" w:cs="Arial"/>
                <w:b/>
                <w:bCs/>
                <w:spacing w:val="-2"/>
                <w:sz w:val="18"/>
                <w:szCs w:val="18"/>
                <w:lang w:val="en-US"/>
              </w:rPr>
            </w:pPr>
            <w:bookmarkStart w:id="894" w:name="_Toc4062308"/>
            <w:r w:rsidRPr="00537128">
              <w:rPr>
                <w:rFonts w:ascii="Calibri" w:eastAsia="Times New Roman" w:hAnsi="Calibri" w:cs="Arial"/>
                <w:spacing w:val="-2"/>
                <w:sz w:val="18"/>
                <w:szCs w:val="18"/>
                <w:lang w:val="en-US"/>
              </w:rPr>
              <w:t>Undrawn loans</w:t>
            </w:r>
            <w:bookmarkEnd w:id="894"/>
          </w:p>
        </w:tc>
        <w:tc>
          <w:tcPr>
            <w:tcW w:w="507" w:type="pct"/>
            <w:tcBorders>
              <w:top w:val="nil"/>
              <w:left w:val="nil"/>
              <w:bottom w:val="nil"/>
              <w:right w:val="nil"/>
            </w:tcBorders>
            <w:shd w:val="clear" w:color="auto" w:fill="auto"/>
            <w:vAlign w:val="bottom"/>
          </w:tcPr>
          <w:p w14:paraId="5F3C7ABE" w14:textId="3E314557" w:rsidR="00365256" w:rsidRPr="00537128" w:rsidRDefault="00365256" w:rsidP="00365256">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3,198,985</w:t>
            </w:r>
          </w:p>
        </w:tc>
        <w:tc>
          <w:tcPr>
            <w:tcW w:w="552" w:type="pct"/>
            <w:tcBorders>
              <w:top w:val="nil"/>
              <w:left w:val="nil"/>
              <w:bottom w:val="nil"/>
              <w:right w:val="nil"/>
            </w:tcBorders>
            <w:shd w:val="clear" w:color="auto" w:fill="auto"/>
            <w:vAlign w:val="bottom"/>
          </w:tcPr>
          <w:p w14:paraId="2E3DA71D" w14:textId="07C9AFA2" w:rsidR="00365256" w:rsidRPr="00537128" w:rsidRDefault="00365256" w:rsidP="00365256">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90" w:type="pct"/>
            <w:tcBorders>
              <w:top w:val="nil"/>
              <w:left w:val="nil"/>
              <w:bottom w:val="nil"/>
              <w:right w:val="nil"/>
            </w:tcBorders>
            <w:shd w:val="clear" w:color="auto" w:fill="auto"/>
            <w:vAlign w:val="bottom"/>
          </w:tcPr>
          <w:p w14:paraId="0E40C015" w14:textId="5F6386F5" w:rsidR="00365256" w:rsidRPr="00537128" w:rsidRDefault="00365256" w:rsidP="00365256">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6515901C" w14:textId="083D4C2F" w:rsidR="00365256" w:rsidRPr="00537128" w:rsidRDefault="00365256" w:rsidP="00365256">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73" w:type="pct"/>
            <w:tcBorders>
              <w:top w:val="nil"/>
              <w:left w:val="nil"/>
              <w:bottom w:val="nil"/>
              <w:right w:val="nil"/>
            </w:tcBorders>
            <w:shd w:val="clear" w:color="auto" w:fill="auto"/>
            <w:vAlign w:val="bottom"/>
          </w:tcPr>
          <w:p w14:paraId="07468201" w14:textId="32A05F1F" w:rsidR="00365256" w:rsidRPr="00537128" w:rsidRDefault="00365256" w:rsidP="00365256">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64" w:type="pct"/>
            <w:tcBorders>
              <w:top w:val="nil"/>
              <w:left w:val="nil"/>
              <w:bottom w:val="nil"/>
              <w:right w:val="nil"/>
            </w:tcBorders>
            <w:shd w:val="clear" w:color="auto" w:fill="auto"/>
            <w:vAlign w:val="bottom"/>
          </w:tcPr>
          <w:p w14:paraId="36F60F32" w14:textId="694CB5C4" w:rsidR="00365256" w:rsidRPr="00537128" w:rsidRDefault="00365256" w:rsidP="00365256">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3,198,985</w:t>
            </w:r>
          </w:p>
        </w:tc>
      </w:tr>
      <w:tr w:rsidR="00365256" w:rsidRPr="00537128" w14:paraId="24DC34A5" w14:textId="77777777" w:rsidTr="00703DBC">
        <w:trPr>
          <w:trHeight w:hRule="exact" w:val="275"/>
        </w:trPr>
        <w:tc>
          <w:tcPr>
            <w:tcW w:w="1641" w:type="pct"/>
            <w:vAlign w:val="center"/>
          </w:tcPr>
          <w:p w14:paraId="750B3675" w14:textId="77777777" w:rsidR="00365256" w:rsidRPr="00537128" w:rsidRDefault="00365256" w:rsidP="00365256">
            <w:pPr>
              <w:tabs>
                <w:tab w:val="right" w:pos="1202"/>
              </w:tabs>
              <w:spacing w:after="0" w:line="240" w:lineRule="exact"/>
              <w:outlineLvl w:val="0"/>
              <w:rPr>
                <w:rFonts w:ascii="Calibri" w:eastAsia="Times New Roman" w:hAnsi="Calibri" w:cs="Arial"/>
                <w:spacing w:val="-2"/>
                <w:sz w:val="18"/>
                <w:szCs w:val="18"/>
                <w:lang w:val="en-US"/>
              </w:rPr>
            </w:pPr>
            <w:bookmarkStart w:id="895" w:name="_Toc4062315"/>
            <w:r w:rsidRPr="00537128">
              <w:rPr>
                <w:rFonts w:ascii="Calibri" w:eastAsia="Times New Roman" w:hAnsi="Calibri" w:cs="Arial"/>
                <w:sz w:val="18"/>
                <w:szCs w:val="18"/>
                <w:lang w:val="en-US"/>
              </w:rPr>
              <w:t>EIF – subscribed, not called up capital</w:t>
            </w:r>
            <w:bookmarkEnd w:id="895"/>
          </w:p>
        </w:tc>
        <w:tc>
          <w:tcPr>
            <w:tcW w:w="507" w:type="pct"/>
            <w:tcBorders>
              <w:top w:val="nil"/>
              <w:left w:val="nil"/>
              <w:bottom w:val="nil"/>
              <w:right w:val="nil"/>
            </w:tcBorders>
            <w:shd w:val="clear" w:color="auto" w:fill="auto"/>
            <w:vAlign w:val="bottom"/>
          </w:tcPr>
          <w:p w14:paraId="4A352A3A" w14:textId="1D9B65C6" w:rsidR="00365256" w:rsidRPr="00537128" w:rsidRDefault="00365256" w:rsidP="00365256">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78,798</w:t>
            </w:r>
          </w:p>
        </w:tc>
        <w:tc>
          <w:tcPr>
            <w:tcW w:w="552" w:type="pct"/>
            <w:tcBorders>
              <w:top w:val="nil"/>
              <w:left w:val="nil"/>
              <w:bottom w:val="nil"/>
              <w:right w:val="nil"/>
            </w:tcBorders>
            <w:shd w:val="clear" w:color="auto" w:fill="auto"/>
            <w:vAlign w:val="bottom"/>
          </w:tcPr>
          <w:p w14:paraId="74A1D97F" w14:textId="217344BA" w:rsidR="00365256" w:rsidRPr="00537128" w:rsidRDefault="00365256" w:rsidP="00365256">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90" w:type="pct"/>
            <w:tcBorders>
              <w:top w:val="nil"/>
              <w:left w:val="nil"/>
              <w:bottom w:val="nil"/>
              <w:right w:val="nil"/>
            </w:tcBorders>
            <w:shd w:val="clear" w:color="auto" w:fill="auto"/>
            <w:vAlign w:val="bottom"/>
          </w:tcPr>
          <w:p w14:paraId="0021C298" w14:textId="5E204851" w:rsidR="00365256" w:rsidRPr="00537128" w:rsidRDefault="00365256" w:rsidP="00365256">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2A32F299" w14:textId="178346D6" w:rsidR="00365256" w:rsidRPr="00537128" w:rsidRDefault="00365256" w:rsidP="00365256">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73" w:type="pct"/>
            <w:tcBorders>
              <w:top w:val="nil"/>
              <w:left w:val="nil"/>
              <w:bottom w:val="nil"/>
              <w:right w:val="nil"/>
            </w:tcBorders>
            <w:shd w:val="clear" w:color="auto" w:fill="auto"/>
            <w:vAlign w:val="bottom"/>
          </w:tcPr>
          <w:p w14:paraId="7F91A5F4" w14:textId="22413970" w:rsidR="00365256" w:rsidRPr="00537128" w:rsidRDefault="00365256" w:rsidP="00365256">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64" w:type="pct"/>
            <w:tcBorders>
              <w:top w:val="nil"/>
              <w:left w:val="nil"/>
              <w:bottom w:val="nil"/>
              <w:right w:val="nil"/>
            </w:tcBorders>
            <w:shd w:val="clear" w:color="auto" w:fill="auto"/>
            <w:vAlign w:val="bottom"/>
          </w:tcPr>
          <w:p w14:paraId="11989015" w14:textId="1A953045" w:rsidR="00365256" w:rsidRPr="00537128" w:rsidRDefault="00365256" w:rsidP="00365256">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78,798</w:t>
            </w:r>
          </w:p>
        </w:tc>
      </w:tr>
      <w:tr w:rsidR="00365256" w:rsidRPr="00537128" w14:paraId="19E6BF98" w14:textId="77777777" w:rsidTr="00703DBC">
        <w:trPr>
          <w:trHeight w:hRule="exact" w:val="275"/>
        </w:trPr>
        <w:tc>
          <w:tcPr>
            <w:tcW w:w="1641" w:type="pct"/>
            <w:tcBorders>
              <w:top w:val="nil"/>
              <w:left w:val="nil"/>
              <w:bottom w:val="nil"/>
              <w:right w:val="nil"/>
            </w:tcBorders>
            <w:shd w:val="clear" w:color="auto" w:fill="auto"/>
            <w:vAlign w:val="bottom"/>
          </w:tcPr>
          <w:p w14:paraId="2EDC6E91" w14:textId="77777777" w:rsidR="00365256" w:rsidRPr="00537128" w:rsidRDefault="00365256" w:rsidP="00365256">
            <w:pPr>
              <w:tabs>
                <w:tab w:val="right" w:pos="1202"/>
              </w:tabs>
              <w:spacing w:after="0" w:line="240" w:lineRule="exact"/>
              <w:outlineLvl w:val="0"/>
              <w:rPr>
                <w:rFonts w:ascii="Calibri" w:eastAsia="Times New Roman" w:hAnsi="Calibri" w:cs="Arial"/>
                <w:sz w:val="18"/>
                <w:szCs w:val="18"/>
                <w:highlight w:val="yellow"/>
                <w:lang w:val="en-US"/>
              </w:rPr>
            </w:pPr>
            <w:r w:rsidRPr="00537128">
              <w:rPr>
                <w:rFonts w:ascii="Calibri" w:eastAsia="Times New Roman" w:hAnsi="Calibri" w:cs="Calibri"/>
                <w:color w:val="000000"/>
                <w:sz w:val="18"/>
                <w:szCs w:val="18"/>
                <w:lang w:val="en-US"/>
              </w:rPr>
              <w:t>EIF CROGIP Contracted Liability</w:t>
            </w:r>
          </w:p>
        </w:tc>
        <w:tc>
          <w:tcPr>
            <w:tcW w:w="507" w:type="pct"/>
            <w:tcBorders>
              <w:top w:val="nil"/>
              <w:left w:val="nil"/>
              <w:bottom w:val="nil"/>
              <w:right w:val="nil"/>
            </w:tcBorders>
            <w:shd w:val="clear" w:color="auto" w:fill="auto"/>
            <w:vAlign w:val="bottom"/>
          </w:tcPr>
          <w:p w14:paraId="598A753C" w14:textId="6D7270C4" w:rsidR="00365256" w:rsidRPr="00537128" w:rsidRDefault="00365256" w:rsidP="00365256">
            <w:pPr>
              <w:tabs>
                <w:tab w:val="right" w:pos="1202"/>
              </w:tabs>
              <w:spacing w:after="0" w:line="240" w:lineRule="exact"/>
              <w:jc w:val="right"/>
              <w:outlineLvl w:val="0"/>
              <w:rPr>
                <w:rFonts w:ascii="Calibri" w:eastAsia="Times New Roman" w:hAnsi="Calibri" w:cs="Times New Roman"/>
                <w:color w:val="000000"/>
                <w:sz w:val="18"/>
                <w:szCs w:val="18"/>
                <w:lang w:val="en-US"/>
              </w:rPr>
            </w:pPr>
            <w:r>
              <w:rPr>
                <w:rFonts w:ascii="Calibri" w:hAnsi="Calibri"/>
                <w:color w:val="000000"/>
                <w:sz w:val="18"/>
                <w:szCs w:val="18"/>
              </w:rPr>
              <w:t>-</w:t>
            </w:r>
          </w:p>
        </w:tc>
        <w:tc>
          <w:tcPr>
            <w:tcW w:w="552" w:type="pct"/>
            <w:tcBorders>
              <w:top w:val="nil"/>
              <w:left w:val="nil"/>
              <w:bottom w:val="nil"/>
              <w:right w:val="nil"/>
            </w:tcBorders>
            <w:shd w:val="clear" w:color="auto" w:fill="auto"/>
            <w:vAlign w:val="bottom"/>
          </w:tcPr>
          <w:p w14:paraId="2FC0605B" w14:textId="34189AF1" w:rsidR="00365256" w:rsidRPr="00537128" w:rsidRDefault="00365256" w:rsidP="00365256">
            <w:pPr>
              <w:tabs>
                <w:tab w:val="right" w:pos="1202"/>
              </w:tabs>
              <w:spacing w:after="0" w:line="240" w:lineRule="exact"/>
              <w:jc w:val="right"/>
              <w:outlineLvl w:val="0"/>
              <w:rPr>
                <w:rFonts w:ascii="Calibri" w:eastAsia="Times New Roman" w:hAnsi="Calibri" w:cs="Times New Roman"/>
                <w:color w:val="000000"/>
                <w:sz w:val="18"/>
                <w:szCs w:val="18"/>
                <w:lang w:val="en-US"/>
              </w:rPr>
            </w:pPr>
            <w:r>
              <w:rPr>
                <w:rFonts w:ascii="Calibri" w:hAnsi="Calibri"/>
                <w:color w:val="000000"/>
                <w:sz w:val="18"/>
                <w:szCs w:val="18"/>
              </w:rPr>
              <w:t>12,000</w:t>
            </w:r>
          </w:p>
        </w:tc>
        <w:tc>
          <w:tcPr>
            <w:tcW w:w="590" w:type="pct"/>
            <w:tcBorders>
              <w:top w:val="nil"/>
              <w:left w:val="nil"/>
              <w:bottom w:val="nil"/>
              <w:right w:val="nil"/>
            </w:tcBorders>
            <w:shd w:val="clear" w:color="auto" w:fill="auto"/>
            <w:vAlign w:val="bottom"/>
          </w:tcPr>
          <w:p w14:paraId="023D4992" w14:textId="35E90624" w:rsidR="00365256" w:rsidRPr="00537128" w:rsidRDefault="00365256" w:rsidP="00365256">
            <w:pPr>
              <w:tabs>
                <w:tab w:val="right" w:pos="1202"/>
              </w:tabs>
              <w:spacing w:after="0" w:line="240" w:lineRule="exact"/>
              <w:jc w:val="right"/>
              <w:outlineLvl w:val="0"/>
              <w:rPr>
                <w:rFonts w:ascii="Calibri" w:eastAsia="Times New Roman" w:hAnsi="Calibri" w:cs="Times New Roman"/>
                <w:color w:val="000000"/>
                <w:sz w:val="18"/>
                <w:szCs w:val="18"/>
                <w:lang w:val="en-US"/>
              </w:rPr>
            </w:pPr>
            <w:r>
              <w:rPr>
                <w:rFonts w:ascii="Calibri" w:hAnsi="Calibri"/>
                <w:color w:val="000000"/>
                <w:sz w:val="18"/>
                <w:szCs w:val="18"/>
              </w:rPr>
              <w:t>75,590</w:t>
            </w:r>
          </w:p>
        </w:tc>
        <w:tc>
          <w:tcPr>
            <w:tcW w:w="572" w:type="pct"/>
            <w:tcBorders>
              <w:top w:val="nil"/>
              <w:left w:val="nil"/>
              <w:bottom w:val="nil"/>
              <w:right w:val="nil"/>
            </w:tcBorders>
            <w:shd w:val="clear" w:color="auto" w:fill="auto"/>
            <w:vAlign w:val="bottom"/>
          </w:tcPr>
          <w:p w14:paraId="043C1699" w14:textId="7CC18C8A" w:rsidR="00365256" w:rsidRPr="00537128" w:rsidRDefault="00365256" w:rsidP="00365256">
            <w:pPr>
              <w:tabs>
                <w:tab w:val="right" w:pos="1202"/>
              </w:tabs>
              <w:spacing w:after="0" w:line="240" w:lineRule="exact"/>
              <w:jc w:val="right"/>
              <w:outlineLvl w:val="0"/>
              <w:rPr>
                <w:rFonts w:ascii="Calibri" w:eastAsia="Times New Roman" w:hAnsi="Calibri" w:cs="Times New Roman"/>
                <w:color w:val="000000"/>
                <w:sz w:val="18"/>
                <w:szCs w:val="18"/>
                <w:lang w:val="en-US"/>
              </w:rPr>
            </w:pPr>
            <w:r>
              <w:rPr>
                <w:rFonts w:ascii="Calibri" w:hAnsi="Calibri"/>
                <w:color w:val="000000"/>
                <w:sz w:val="18"/>
                <w:szCs w:val="18"/>
              </w:rPr>
              <w:t>107,175</w:t>
            </w:r>
          </w:p>
        </w:tc>
        <w:tc>
          <w:tcPr>
            <w:tcW w:w="573" w:type="pct"/>
            <w:tcBorders>
              <w:top w:val="nil"/>
              <w:left w:val="nil"/>
              <w:bottom w:val="nil"/>
              <w:right w:val="nil"/>
            </w:tcBorders>
            <w:shd w:val="clear" w:color="auto" w:fill="auto"/>
            <w:vAlign w:val="bottom"/>
          </w:tcPr>
          <w:p w14:paraId="103B93AD" w14:textId="43BEC881" w:rsidR="00365256" w:rsidRPr="00537128" w:rsidRDefault="00365256" w:rsidP="00365256">
            <w:pPr>
              <w:tabs>
                <w:tab w:val="right" w:pos="1202"/>
              </w:tabs>
              <w:spacing w:after="0" w:line="240" w:lineRule="exact"/>
              <w:jc w:val="right"/>
              <w:outlineLvl w:val="0"/>
              <w:rPr>
                <w:rFonts w:ascii="Calibri" w:eastAsia="Times New Roman" w:hAnsi="Calibri" w:cs="Times New Roman"/>
                <w:color w:val="000000"/>
                <w:sz w:val="18"/>
                <w:szCs w:val="18"/>
                <w:lang w:val="en-US"/>
              </w:rPr>
            </w:pPr>
            <w:r>
              <w:rPr>
                <w:rFonts w:ascii="Calibri" w:hAnsi="Calibri"/>
                <w:color w:val="000000"/>
                <w:sz w:val="18"/>
                <w:szCs w:val="18"/>
              </w:rPr>
              <w:t>120,198</w:t>
            </w:r>
          </w:p>
        </w:tc>
        <w:tc>
          <w:tcPr>
            <w:tcW w:w="564" w:type="pct"/>
            <w:tcBorders>
              <w:top w:val="nil"/>
              <w:left w:val="nil"/>
              <w:bottom w:val="nil"/>
              <w:right w:val="nil"/>
            </w:tcBorders>
            <w:shd w:val="clear" w:color="auto" w:fill="auto"/>
            <w:vAlign w:val="bottom"/>
          </w:tcPr>
          <w:p w14:paraId="589CFEC5" w14:textId="7FEB9FE0" w:rsidR="00365256" w:rsidRPr="00537128" w:rsidRDefault="00365256" w:rsidP="00365256">
            <w:pPr>
              <w:tabs>
                <w:tab w:val="right" w:pos="1202"/>
              </w:tabs>
              <w:spacing w:after="0" w:line="240" w:lineRule="exact"/>
              <w:jc w:val="right"/>
              <w:outlineLvl w:val="0"/>
              <w:rPr>
                <w:rFonts w:ascii="Calibri" w:eastAsia="Times New Roman" w:hAnsi="Calibri" w:cs="Times New Roman"/>
                <w:color w:val="000000"/>
                <w:sz w:val="18"/>
                <w:szCs w:val="18"/>
                <w:lang w:val="en-US"/>
              </w:rPr>
            </w:pPr>
            <w:r>
              <w:rPr>
                <w:rFonts w:ascii="Calibri" w:hAnsi="Calibri"/>
                <w:color w:val="000000"/>
                <w:sz w:val="18"/>
                <w:szCs w:val="18"/>
              </w:rPr>
              <w:t>314,963</w:t>
            </w:r>
          </w:p>
        </w:tc>
      </w:tr>
      <w:tr w:rsidR="00365256" w:rsidRPr="00537128" w14:paraId="16E3E7D9" w14:textId="77777777" w:rsidTr="003919A0">
        <w:trPr>
          <w:trHeight w:hRule="exact" w:val="275"/>
        </w:trPr>
        <w:tc>
          <w:tcPr>
            <w:tcW w:w="1641" w:type="pct"/>
            <w:tcBorders>
              <w:top w:val="nil"/>
              <w:left w:val="nil"/>
              <w:bottom w:val="nil"/>
              <w:right w:val="nil"/>
            </w:tcBorders>
            <w:shd w:val="clear" w:color="auto" w:fill="auto"/>
            <w:vAlign w:val="bottom"/>
          </w:tcPr>
          <w:p w14:paraId="4450FB4B" w14:textId="77777777" w:rsidR="00365256" w:rsidRPr="00537128" w:rsidRDefault="00365256" w:rsidP="00365256">
            <w:pPr>
              <w:tabs>
                <w:tab w:val="right" w:pos="1202"/>
              </w:tabs>
              <w:spacing w:after="0" w:line="240" w:lineRule="exact"/>
              <w:outlineLvl w:val="0"/>
              <w:rPr>
                <w:rFonts w:ascii="Calibri" w:eastAsia="Times New Roman" w:hAnsi="Calibri" w:cs="Arial"/>
                <w:sz w:val="18"/>
                <w:szCs w:val="18"/>
                <w:highlight w:val="yellow"/>
                <w:lang w:val="en-US"/>
              </w:rPr>
            </w:pPr>
            <w:r w:rsidRPr="00537128">
              <w:rPr>
                <w:rFonts w:ascii="Calibri" w:eastAsia="Times New Roman" w:hAnsi="Calibri" w:cs="Calibri"/>
                <w:color w:val="000000"/>
                <w:sz w:val="18"/>
                <w:szCs w:val="18"/>
                <w:lang w:val="en-US"/>
              </w:rPr>
              <w:t>EIF FRC2 Contracted Liability</w:t>
            </w:r>
          </w:p>
        </w:tc>
        <w:tc>
          <w:tcPr>
            <w:tcW w:w="507" w:type="pct"/>
            <w:tcBorders>
              <w:top w:val="nil"/>
              <w:left w:val="nil"/>
              <w:bottom w:val="nil"/>
              <w:right w:val="nil"/>
            </w:tcBorders>
            <w:shd w:val="clear" w:color="auto" w:fill="auto"/>
            <w:vAlign w:val="bottom"/>
          </w:tcPr>
          <w:p w14:paraId="71C53440" w14:textId="7F7D7319" w:rsidR="00365256" w:rsidRPr="00537128" w:rsidRDefault="00365256" w:rsidP="00365256">
            <w:pPr>
              <w:tabs>
                <w:tab w:val="right" w:pos="1202"/>
              </w:tabs>
              <w:spacing w:after="0" w:line="240" w:lineRule="exact"/>
              <w:jc w:val="right"/>
              <w:outlineLvl w:val="0"/>
              <w:rPr>
                <w:rFonts w:ascii="Calibri" w:eastAsia="Times New Roman" w:hAnsi="Calibri" w:cs="Times New Roman"/>
                <w:color w:val="000000"/>
                <w:sz w:val="18"/>
                <w:szCs w:val="18"/>
                <w:lang w:val="en-US"/>
              </w:rPr>
            </w:pPr>
            <w:r>
              <w:rPr>
                <w:rFonts w:ascii="Calibri" w:hAnsi="Calibri"/>
                <w:color w:val="000000"/>
                <w:sz w:val="18"/>
                <w:szCs w:val="18"/>
              </w:rPr>
              <w:t>463</w:t>
            </w:r>
          </w:p>
        </w:tc>
        <w:tc>
          <w:tcPr>
            <w:tcW w:w="552" w:type="pct"/>
            <w:tcBorders>
              <w:top w:val="nil"/>
              <w:left w:val="nil"/>
              <w:bottom w:val="nil"/>
              <w:right w:val="nil"/>
            </w:tcBorders>
            <w:shd w:val="clear" w:color="auto" w:fill="auto"/>
            <w:vAlign w:val="bottom"/>
          </w:tcPr>
          <w:p w14:paraId="35726A72" w14:textId="0AB58F48" w:rsidR="00365256" w:rsidRPr="00537128" w:rsidRDefault="00365256" w:rsidP="00365256">
            <w:pPr>
              <w:tabs>
                <w:tab w:val="right" w:pos="1202"/>
              </w:tabs>
              <w:spacing w:after="0" w:line="240" w:lineRule="exact"/>
              <w:jc w:val="right"/>
              <w:outlineLvl w:val="0"/>
              <w:rPr>
                <w:rFonts w:ascii="Calibri" w:eastAsia="Times New Roman" w:hAnsi="Calibri" w:cs="Times New Roman"/>
                <w:color w:val="000000"/>
                <w:sz w:val="18"/>
                <w:szCs w:val="18"/>
                <w:lang w:val="en-US"/>
              </w:rPr>
            </w:pPr>
            <w:r>
              <w:rPr>
                <w:rFonts w:ascii="Calibri" w:hAnsi="Calibri"/>
                <w:color w:val="000000"/>
                <w:sz w:val="18"/>
                <w:szCs w:val="18"/>
              </w:rPr>
              <w:t>750</w:t>
            </w:r>
          </w:p>
        </w:tc>
        <w:tc>
          <w:tcPr>
            <w:tcW w:w="590" w:type="pct"/>
            <w:tcBorders>
              <w:top w:val="nil"/>
              <w:left w:val="nil"/>
              <w:bottom w:val="nil"/>
              <w:right w:val="nil"/>
            </w:tcBorders>
            <w:shd w:val="clear" w:color="auto" w:fill="auto"/>
            <w:vAlign w:val="bottom"/>
          </w:tcPr>
          <w:p w14:paraId="016A602C" w14:textId="6C0A4B83" w:rsidR="00365256" w:rsidRPr="00537128" w:rsidRDefault="00365256" w:rsidP="00365256">
            <w:pPr>
              <w:tabs>
                <w:tab w:val="right" w:pos="1202"/>
              </w:tabs>
              <w:spacing w:after="0" w:line="240" w:lineRule="exact"/>
              <w:jc w:val="right"/>
              <w:outlineLvl w:val="0"/>
              <w:rPr>
                <w:rFonts w:ascii="Calibri" w:eastAsia="Times New Roman" w:hAnsi="Calibri" w:cs="Times New Roman"/>
                <w:color w:val="000000"/>
                <w:sz w:val="18"/>
                <w:szCs w:val="18"/>
                <w:lang w:val="en-US"/>
              </w:rPr>
            </w:pPr>
            <w:r>
              <w:rPr>
                <w:rFonts w:ascii="Calibri" w:hAnsi="Calibri"/>
                <w:color w:val="000000"/>
                <w:sz w:val="18"/>
                <w:szCs w:val="18"/>
              </w:rPr>
              <w:t>1,640</w:t>
            </w:r>
          </w:p>
        </w:tc>
        <w:tc>
          <w:tcPr>
            <w:tcW w:w="572" w:type="pct"/>
            <w:tcBorders>
              <w:top w:val="nil"/>
              <w:left w:val="nil"/>
              <w:bottom w:val="nil"/>
              <w:right w:val="nil"/>
            </w:tcBorders>
            <w:shd w:val="clear" w:color="auto" w:fill="auto"/>
            <w:vAlign w:val="bottom"/>
          </w:tcPr>
          <w:p w14:paraId="68F839C5" w14:textId="2B497827" w:rsidR="00365256" w:rsidRPr="00537128" w:rsidRDefault="00365256" w:rsidP="00365256">
            <w:pPr>
              <w:tabs>
                <w:tab w:val="right" w:pos="1202"/>
              </w:tabs>
              <w:spacing w:after="0" w:line="240" w:lineRule="exact"/>
              <w:jc w:val="right"/>
              <w:outlineLvl w:val="0"/>
              <w:rPr>
                <w:rFonts w:ascii="Calibri" w:eastAsia="Times New Roman" w:hAnsi="Calibri" w:cs="Times New Roman"/>
                <w:color w:val="000000"/>
                <w:sz w:val="18"/>
                <w:szCs w:val="18"/>
                <w:lang w:val="en-US"/>
              </w:rPr>
            </w:pPr>
            <w:r>
              <w:rPr>
                <w:rFonts w:ascii="Calibri" w:hAnsi="Calibri"/>
                <w:color w:val="000000"/>
                <w:sz w:val="18"/>
                <w:szCs w:val="18"/>
              </w:rPr>
              <w:t>1,239</w:t>
            </w:r>
          </w:p>
        </w:tc>
        <w:tc>
          <w:tcPr>
            <w:tcW w:w="573" w:type="pct"/>
            <w:tcBorders>
              <w:top w:val="nil"/>
              <w:left w:val="nil"/>
              <w:bottom w:val="nil"/>
              <w:right w:val="nil"/>
            </w:tcBorders>
            <w:shd w:val="clear" w:color="auto" w:fill="auto"/>
            <w:vAlign w:val="bottom"/>
          </w:tcPr>
          <w:p w14:paraId="15CD26D8" w14:textId="799F1F7D" w:rsidR="00365256" w:rsidRPr="00537128" w:rsidRDefault="00365256" w:rsidP="00365256">
            <w:pPr>
              <w:tabs>
                <w:tab w:val="right" w:pos="1202"/>
              </w:tabs>
              <w:spacing w:after="0" w:line="240" w:lineRule="exact"/>
              <w:jc w:val="right"/>
              <w:outlineLvl w:val="0"/>
              <w:rPr>
                <w:rFonts w:ascii="Calibri" w:eastAsia="Times New Roman" w:hAnsi="Calibri" w:cs="Times New Roman"/>
                <w:color w:val="000000"/>
                <w:sz w:val="18"/>
                <w:szCs w:val="18"/>
                <w:lang w:val="en-US"/>
              </w:rPr>
            </w:pPr>
            <w:r>
              <w:rPr>
                <w:rFonts w:ascii="Calibri" w:hAnsi="Calibri"/>
                <w:color w:val="000000"/>
                <w:sz w:val="18"/>
                <w:szCs w:val="18"/>
              </w:rPr>
              <w:t>1,091</w:t>
            </w:r>
          </w:p>
        </w:tc>
        <w:tc>
          <w:tcPr>
            <w:tcW w:w="564" w:type="pct"/>
            <w:tcBorders>
              <w:top w:val="nil"/>
              <w:left w:val="nil"/>
              <w:bottom w:val="nil"/>
              <w:right w:val="nil"/>
            </w:tcBorders>
            <w:shd w:val="clear" w:color="auto" w:fill="auto"/>
            <w:vAlign w:val="bottom"/>
          </w:tcPr>
          <w:p w14:paraId="7A57D71A" w14:textId="459B6F0F" w:rsidR="00365256" w:rsidRPr="00537128" w:rsidRDefault="00365256" w:rsidP="00365256">
            <w:pPr>
              <w:tabs>
                <w:tab w:val="right" w:pos="1202"/>
              </w:tabs>
              <w:spacing w:after="0" w:line="240" w:lineRule="exact"/>
              <w:jc w:val="right"/>
              <w:outlineLvl w:val="0"/>
              <w:rPr>
                <w:rFonts w:ascii="Calibri" w:eastAsia="Times New Roman" w:hAnsi="Calibri" w:cs="Times New Roman"/>
                <w:color w:val="000000"/>
                <w:sz w:val="18"/>
                <w:szCs w:val="18"/>
                <w:lang w:val="en-US"/>
              </w:rPr>
            </w:pPr>
            <w:r>
              <w:rPr>
                <w:rFonts w:ascii="Calibri" w:hAnsi="Calibri"/>
                <w:color w:val="000000"/>
                <w:sz w:val="18"/>
                <w:szCs w:val="18"/>
              </w:rPr>
              <w:t>5,183</w:t>
            </w:r>
          </w:p>
        </w:tc>
      </w:tr>
      <w:tr w:rsidR="00365256" w:rsidRPr="00537128" w14:paraId="75DD6780" w14:textId="77777777" w:rsidTr="003919A0">
        <w:trPr>
          <w:trHeight w:hRule="exact" w:val="275"/>
        </w:trPr>
        <w:tc>
          <w:tcPr>
            <w:tcW w:w="1641" w:type="pct"/>
            <w:vAlign w:val="center"/>
          </w:tcPr>
          <w:p w14:paraId="40423CC9" w14:textId="77777777" w:rsidR="00365256" w:rsidRPr="00537128" w:rsidRDefault="00365256" w:rsidP="00365256">
            <w:pPr>
              <w:tabs>
                <w:tab w:val="right" w:pos="1202"/>
              </w:tabs>
              <w:spacing w:after="0" w:line="240" w:lineRule="exact"/>
              <w:outlineLvl w:val="0"/>
              <w:rPr>
                <w:rFonts w:ascii="Calibri" w:eastAsia="Calibri" w:hAnsi="Calibri" w:cs="Arial"/>
                <w:b/>
                <w:bCs/>
                <w:spacing w:val="-2"/>
                <w:sz w:val="18"/>
                <w:szCs w:val="18"/>
                <w:lang w:val="en-US"/>
              </w:rPr>
            </w:pPr>
            <w:bookmarkStart w:id="896" w:name="_Toc4062329"/>
            <w:r w:rsidRPr="00537128">
              <w:rPr>
                <w:rFonts w:ascii="Calibri" w:eastAsia="Times New Roman" w:hAnsi="Calibri" w:cs="Arial"/>
                <w:b/>
                <w:bCs/>
                <w:spacing w:val="-2"/>
                <w:sz w:val="18"/>
                <w:szCs w:val="18"/>
                <w:lang w:val="en-US"/>
              </w:rPr>
              <w:t>Total guarantees and commitments</w:t>
            </w:r>
            <w:bookmarkEnd w:id="896"/>
          </w:p>
        </w:tc>
        <w:tc>
          <w:tcPr>
            <w:tcW w:w="507" w:type="pct"/>
            <w:tcBorders>
              <w:top w:val="single" w:sz="8" w:space="0" w:color="auto"/>
              <w:left w:val="nil"/>
              <w:bottom w:val="single" w:sz="8" w:space="0" w:color="auto"/>
              <w:right w:val="nil"/>
            </w:tcBorders>
            <w:shd w:val="clear" w:color="auto" w:fill="auto"/>
            <w:vAlign w:val="bottom"/>
          </w:tcPr>
          <w:p w14:paraId="4822B366" w14:textId="264C77E7" w:rsidR="00365256" w:rsidRPr="00537128" w:rsidRDefault="00365256" w:rsidP="00365256">
            <w:pPr>
              <w:tabs>
                <w:tab w:val="right" w:pos="1202"/>
              </w:tabs>
              <w:spacing w:after="0" w:line="240" w:lineRule="exact"/>
              <w:jc w:val="right"/>
              <w:outlineLvl w:val="0"/>
              <w:rPr>
                <w:rFonts w:ascii="Calibri" w:eastAsia="Times New Roman" w:hAnsi="Calibri" w:cs="Calibri"/>
                <w:b/>
                <w:color w:val="000000"/>
                <w:sz w:val="18"/>
                <w:szCs w:val="18"/>
                <w:lang w:val="en-US"/>
              </w:rPr>
            </w:pPr>
            <w:r>
              <w:rPr>
                <w:rFonts w:ascii="Calibri" w:hAnsi="Calibri"/>
                <w:b/>
                <w:bCs/>
                <w:color w:val="000000"/>
                <w:sz w:val="18"/>
                <w:szCs w:val="18"/>
              </w:rPr>
              <w:t>3,689,145</w:t>
            </w:r>
          </w:p>
        </w:tc>
        <w:tc>
          <w:tcPr>
            <w:tcW w:w="552" w:type="pct"/>
            <w:tcBorders>
              <w:top w:val="single" w:sz="8" w:space="0" w:color="auto"/>
              <w:left w:val="nil"/>
              <w:bottom w:val="single" w:sz="8" w:space="0" w:color="auto"/>
              <w:right w:val="nil"/>
            </w:tcBorders>
            <w:shd w:val="clear" w:color="auto" w:fill="auto"/>
            <w:vAlign w:val="bottom"/>
          </w:tcPr>
          <w:p w14:paraId="76493BB9" w14:textId="55DF8F2F" w:rsidR="00365256" w:rsidRPr="00537128" w:rsidRDefault="00365256" w:rsidP="00365256">
            <w:pPr>
              <w:tabs>
                <w:tab w:val="right" w:pos="1202"/>
              </w:tabs>
              <w:spacing w:after="0" w:line="240" w:lineRule="exact"/>
              <w:jc w:val="right"/>
              <w:outlineLvl w:val="0"/>
              <w:rPr>
                <w:rFonts w:ascii="Calibri" w:eastAsia="Times New Roman" w:hAnsi="Calibri" w:cs="Calibri"/>
                <w:b/>
                <w:color w:val="000000"/>
                <w:sz w:val="18"/>
                <w:szCs w:val="18"/>
                <w:lang w:val="en-US"/>
              </w:rPr>
            </w:pPr>
            <w:r>
              <w:rPr>
                <w:rFonts w:ascii="Calibri" w:hAnsi="Calibri"/>
                <w:b/>
                <w:bCs/>
                <w:color w:val="000000"/>
                <w:sz w:val="18"/>
                <w:szCs w:val="18"/>
              </w:rPr>
              <w:t>12,750</w:t>
            </w:r>
          </w:p>
        </w:tc>
        <w:tc>
          <w:tcPr>
            <w:tcW w:w="590" w:type="pct"/>
            <w:tcBorders>
              <w:top w:val="single" w:sz="8" w:space="0" w:color="auto"/>
              <w:left w:val="nil"/>
              <w:bottom w:val="single" w:sz="8" w:space="0" w:color="auto"/>
              <w:right w:val="nil"/>
            </w:tcBorders>
            <w:shd w:val="clear" w:color="auto" w:fill="auto"/>
            <w:vAlign w:val="bottom"/>
          </w:tcPr>
          <w:p w14:paraId="72852915" w14:textId="0E7BC7C5" w:rsidR="00365256" w:rsidRPr="00537128" w:rsidRDefault="00365256" w:rsidP="00365256">
            <w:pPr>
              <w:tabs>
                <w:tab w:val="right" w:pos="1202"/>
              </w:tabs>
              <w:spacing w:after="0" w:line="240" w:lineRule="exact"/>
              <w:jc w:val="right"/>
              <w:outlineLvl w:val="0"/>
              <w:rPr>
                <w:rFonts w:ascii="Calibri" w:eastAsia="Times New Roman" w:hAnsi="Calibri" w:cs="Calibri"/>
                <w:b/>
                <w:color w:val="000000"/>
                <w:sz w:val="18"/>
                <w:szCs w:val="18"/>
                <w:lang w:val="en-US"/>
              </w:rPr>
            </w:pPr>
            <w:r>
              <w:rPr>
                <w:rFonts w:ascii="Calibri" w:hAnsi="Calibri"/>
                <w:b/>
                <w:bCs/>
                <w:color w:val="000000"/>
                <w:sz w:val="18"/>
                <w:szCs w:val="18"/>
              </w:rPr>
              <w:t>77,230</w:t>
            </w:r>
          </w:p>
        </w:tc>
        <w:tc>
          <w:tcPr>
            <w:tcW w:w="572" w:type="pct"/>
            <w:tcBorders>
              <w:top w:val="single" w:sz="8" w:space="0" w:color="auto"/>
              <w:left w:val="nil"/>
              <w:bottom w:val="single" w:sz="8" w:space="0" w:color="auto"/>
              <w:right w:val="nil"/>
            </w:tcBorders>
            <w:shd w:val="clear" w:color="auto" w:fill="auto"/>
            <w:vAlign w:val="bottom"/>
          </w:tcPr>
          <w:p w14:paraId="7985F4A6" w14:textId="7A11D35A" w:rsidR="00365256" w:rsidRPr="00537128" w:rsidRDefault="00365256" w:rsidP="00365256">
            <w:pPr>
              <w:tabs>
                <w:tab w:val="right" w:pos="1202"/>
              </w:tabs>
              <w:spacing w:after="0" w:line="240" w:lineRule="exact"/>
              <w:jc w:val="right"/>
              <w:outlineLvl w:val="0"/>
              <w:rPr>
                <w:rFonts w:ascii="Calibri" w:eastAsia="Times New Roman" w:hAnsi="Calibri" w:cs="Calibri"/>
                <w:b/>
                <w:color w:val="000000"/>
                <w:sz w:val="18"/>
                <w:szCs w:val="18"/>
                <w:lang w:val="en-US"/>
              </w:rPr>
            </w:pPr>
            <w:r>
              <w:rPr>
                <w:rFonts w:ascii="Calibri" w:hAnsi="Calibri"/>
                <w:b/>
                <w:bCs/>
                <w:color w:val="000000"/>
                <w:sz w:val="18"/>
                <w:szCs w:val="18"/>
              </w:rPr>
              <w:t>108,414</w:t>
            </w:r>
          </w:p>
        </w:tc>
        <w:tc>
          <w:tcPr>
            <w:tcW w:w="573" w:type="pct"/>
            <w:tcBorders>
              <w:top w:val="single" w:sz="8" w:space="0" w:color="auto"/>
              <w:left w:val="nil"/>
              <w:bottom w:val="single" w:sz="8" w:space="0" w:color="auto"/>
              <w:right w:val="nil"/>
            </w:tcBorders>
            <w:shd w:val="clear" w:color="auto" w:fill="auto"/>
            <w:vAlign w:val="bottom"/>
          </w:tcPr>
          <w:p w14:paraId="23078569" w14:textId="4ECB4E02" w:rsidR="00365256" w:rsidRPr="00537128" w:rsidRDefault="00365256" w:rsidP="00365256">
            <w:pPr>
              <w:tabs>
                <w:tab w:val="right" w:pos="1202"/>
              </w:tabs>
              <w:spacing w:after="0" w:line="240" w:lineRule="exact"/>
              <w:jc w:val="right"/>
              <w:outlineLvl w:val="0"/>
              <w:rPr>
                <w:rFonts w:ascii="Calibri" w:eastAsia="Times New Roman" w:hAnsi="Calibri" w:cs="Calibri"/>
                <w:b/>
                <w:color w:val="000000"/>
                <w:sz w:val="18"/>
                <w:szCs w:val="18"/>
                <w:lang w:val="en-US"/>
              </w:rPr>
            </w:pPr>
            <w:r>
              <w:rPr>
                <w:rFonts w:ascii="Calibri" w:hAnsi="Calibri"/>
                <w:b/>
                <w:bCs/>
                <w:color w:val="000000"/>
                <w:sz w:val="18"/>
                <w:szCs w:val="18"/>
              </w:rPr>
              <w:t>121,289</w:t>
            </w:r>
          </w:p>
        </w:tc>
        <w:tc>
          <w:tcPr>
            <w:tcW w:w="564" w:type="pct"/>
            <w:tcBorders>
              <w:top w:val="single" w:sz="8" w:space="0" w:color="auto"/>
              <w:left w:val="nil"/>
              <w:bottom w:val="single" w:sz="8" w:space="0" w:color="auto"/>
              <w:right w:val="nil"/>
            </w:tcBorders>
            <w:shd w:val="clear" w:color="auto" w:fill="auto"/>
            <w:vAlign w:val="bottom"/>
          </w:tcPr>
          <w:p w14:paraId="7295BF6B" w14:textId="45653C38" w:rsidR="00365256" w:rsidRPr="00537128" w:rsidRDefault="00365256" w:rsidP="00365256">
            <w:pPr>
              <w:tabs>
                <w:tab w:val="right" w:pos="1202"/>
              </w:tabs>
              <w:spacing w:after="0" w:line="240" w:lineRule="exact"/>
              <w:jc w:val="right"/>
              <w:outlineLvl w:val="0"/>
              <w:rPr>
                <w:rFonts w:ascii="Calibri" w:eastAsia="Times New Roman" w:hAnsi="Calibri" w:cs="Calibri"/>
                <w:b/>
                <w:color w:val="000000"/>
                <w:sz w:val="18"/>
                <w:szCs w:val="18"/>
                <w:lang w:val="en-US"/>
              </w:rPr>
            </w:pPr>
            <w:r>
              <w:rPr>
                <w:rFonts w:ascii="Calibri" w:hAnsi="Calibri"/>
                <w:b/>
                <w:bCs/>
                <w:color w:val="000000"/>
                <w:sz w:val="18"/>
                <w:szCs w:val="18"/>
              </w:rPr>
              <w:t>4,008,828</w:t>
            </w:r>
          </w:p>
        </w:tc>
      </w:tr>
    </w:tbl>
    <w:p w14:paraId="6B7B131A" w14:textId="77777777" w:rsidR="00D108EE" w:rsidRPr="00537128" w:rsidRDefault="00D108EE" w:rsidP="00D108EE">
      <w:pPr>
        <w:spacing w:after="0" w:line="240" w:lineRule="auto"/>
        <w:jc w:val="both"/>
        <w:rPr>
          <w:rFonts w:ascii="Calibri" w:eastAsia="Times New Roman" w:hAnsi="Calibri" w:cs="Arial"/>
          <w:bCs/>
          <w:color w:val="000000" w:themeColor="text1"/>
          <w:sz w:val="8"/>
          <w:szCs w:val="12"/>
          <w:lang w:val="en-US"/>
        </w:rPr>
      </w:pPr>
      <w:bookmarkStart w:id="897" w:name="_Hlk37085472"/>
    </w:p>
    <w:p w14:paraId="6B98CE25" w14:textId="77777777" w:rsidR="00D108EE" w:rsidRPr="00537128" w:rsidRDefault="00D108EE" w:rsidP="00D108EE">
      <w:pPr>
        <w:spacing w:after="0" w:line="240" w:lineRule="auto"/>
        <w:jc w:val="both"/>
        <w:rPr>
          <w:rFonts w:ascii="Calibri" w:eastAsia="Times New Roman" w:hAnsi="Calibri" w:cs="Arial"/>
          <w:bCs/>
          <w:color w:val="000000" w:themeColor="text1"/>
          <w:sz w:val="20"/>
          <w:lang w:val="en-US"/>
        </w:rPr>
      </w:pPr>
      <w:r w:rsidRPr="00537128">
        <w:rPr>
          <w:rFonts w:ascii="Calibri" w:eastAsia="Times New Roman" w:hAnsi="Calibri" w:cs="Arial"/>
          <w:bCs/>
          <w:color w:val="000000" w:themeColor="text1"/>
          <w:sz w:val="20"/>
          <w:lang w:val="en-US"/>
        </w:rPr>
        <w:t>The items with undefined maturity are included in terms over 3 years.</w:t>
      </w:r>
    </w:p>
    <w:p w14:paraId="60294B77" w14:textId="77777777" w:rsidR="00D108EE" w:rsidRPr="00537128" w:rsidRDefault="00D108EE" w:rsidP="00D108EE">
      <w:pPr>
        <w:spacing w:after="0" w:line="240" w:lineRule="auto"/>
        <w:jc w:val="both"/>
        <w:rPr>
          <w:rFonts w:ascii="Calibri" w:eastAsia="Times New Roman" w:hAnsi="Calibri" w:cs="Times New Roman"/>
          <w:i/>
          <w:color w:val="000000" w:themeColor="text1"/>
          <w:sz w:val="6"/>
          <w:szCs w:val="14"/>
          <w:lang w:val="en-US"/>
        </w:rPr>
      </w:pPr>
    </w:p>
    <w:p w14:paraId="2B40EEF8" w14:textId="7B398C7F" w:rsidR="00D108EE" w:rsidRPr="00537128" w:rsidRDefault="00D108EE" w:rsidP="00D108EE">
      <w:pPr>
        <w:spacing w:after="0" w:line="240" w:lineRule="auto"/>
        <w:jc w:val="both"/>
        <w:rPr>
          <w:rFonts w:ascii="Calibri" w:eastAsia="Calibri" w:hAnsi="Calibri" w:cs="Times New Roman"/>
          <w:bCs/>
          <w:i/>
          <w:color w:val="000000" w:themeColor="text1"/>
          <w:sz w:val="20"/>
          <w:szCs w:val="20"/>
          <w:lang w:val="en-US"/>
        </w:rPr>
      </w:pPr>
      <w:r w:rsidRPr="00537128">
        <w:rPr>
          <w:rFonts w:ascii="Calibri" w:eastAsia="Calibri" w:hAnsi="Calibri" w:cs="Times New Roman"/>
          <w:bCs/>
          <w:i/>
          <w:color w:val="000000" w:themeColor="text1"/>
          <w:sz w:val="20"/>
          <w:szCs w:val="20"/>
          <w:lang w:val="en-US"/>
        </w:rPr>
        <w:t xml:space="preserve">* Receivables </w:t>
      </w:r>
      <w:r w:rsidRPr="00DD132E">
        <w:rPr>
          <w:rFonts w:ascii="Calibri" w:eastAsia="Calibri" w:hAnsi="Calibri" w:cs="Times New Roman"/>
          <w:bCs/>
          <w:i/>
          <w:color w:val="000000" w:themeColor="text1"/>
          <w:sz w:val="20"/>
          <w:szCs w:val="20"/>
          <w:lang w:val="en-US"/>
        </w:rPr>
        <w:t xml:space="preserve">of HRK </w:t>
      </w:r>
      <w:r w:rsidR="00DD132E" w:rsidRPr="00DD132E">
        <w:rPr>
          <w:rFonts w:ascii="Calibri" w:eastAsia="Calibri" w:hAnsi="Calibri" w:cs="Times New Roman"/>
          <w:bCs/>
          <w:i/>
          <w:color w:val="000000" w:themeColor="text1"/>
          <w:sz w:val="20"/>
          <w:szCs w:val="20"/>
          <w:lang w:val="en-US"/>
        </w:rPr>
        <w:t>23</w:t>
      </w:r>
      <w:r w:rsidR="00703DBC" w:rsidRPr="00DD132E">
        <w:rPr>
          <w:rFonts w:ascii="Calibri" w:eastAsia="Calibri" w:hAnsi="Calibri" w:cs="Times New Roman"/>
          <w:bCs/>
          <w:i/>
          <w:color w:val="000000" w:themeColor="text1"/>
          <w:sz w:val="20"/>
          <w:szCs w:val="20"/>
          <w:lang w:val="en-US"/>
        </w:rPr>
        <w:t>,</w:t>
      </w:r>
      <w:r w:rsidR="00DD132E" w:rsidRPr="00DD132E">
        <w:rPr>
          <w:rFonts w:ascii="Calibri" w:eastAsia="Calibri" w:hAnsi="Calibri" w:cs="Times New Roman"/>
          <w:bCs/>
          <w:i/>
          <w:color w:val="000000" w:themeColor="text1"/>
          <w:sz w:val="20"/>
          <w:szCs w:val="20"/>
          <w:lang w:val="en-US"/>
        </w:rPr>
        <w:t>524</w:t>
      </w:r>
      <w:r w:rsidR="00703DBC" w:rsidRPr="00DD132E">
        <w:rPr>
          <w:rFonts w:ascii="Calibri" w:eastAsia="Calibri" w:hAnsi="Calibri" w:cs="Times New Roman"/>
          <w:bCs/>
          <w:i/>
          <w:color w:val="000000" w:themeColor="text1"/>
          <w:sz w:val="20"/>
          <w:szCs w:val="20"/>
          <w:lang w:val="en-US"/>
        </w:rPr>
        <w:t xml:space="preserve"> </w:t>
      </w:r>
      <w:r w:rsidRPr="00DD132E">
        <w:rPr>
          <w:rFonts w:ascii="Calibri" w:eastAsia="Calibri" w:hAnsi="Calibri" w:cs="Times New Roman"/>
          <w:bCs/>
          <w:i/>
          <w:color w:val="000000" w:themeColor="text1"/>
          <w:sz w:val="20"/>
          <w:szCs w:val="20"/>
          <w:lang w:val="en-US"/>
        </w:rPr>
        <w:t>thousand</w:t>
      </w:r>
      <w:r w:rsidRPr="00537128">
        <w:rPr>
          <w:rFonts w:ascii="Calibri" w:eastAsia="Calibri" w:hAnsi="Calibri" w:cs="Times New Roman"/>
          <w:bCs/>
          <w:i/>
          <w:color w:val="000000" w:themeColor="text1"/>
          <w:sz w:val="20"/>
          <w:szCs w:val="20"/>
          <w:lang w:val="en-US"/>
        </w:rPr>
        <w:t xml:space="preserve"> relate to reverse REPO agreements. </w:t>
      </w:r>
    </w:p>
    <w:p w14:paraId="751C78A8" w14:textId="77777777" w:rsidR="00D108EE" w:rsidRPr="00537128" w:rsidRDefault="00D108EE" w:rsidP="00D108EE">
      <w:pPr>
        <w:spacing w:after="0" w:line="240" w:lineRule="auto"/>
        <w:jc w:val="both"/>
        <w:rPr>
          <w:rFonts w:ascii="Calibri" w:eastAsia="Calibri" w:hAnsi="Calibri" w:cs="Times New Roman"/>
          <w:i/>
          <w:iCs/>
          <w:color w:val="000000" w:themeColor="text1"/>
          <w:sz w:val="20"/>
          <w:szCs w:val="20"/>
          <w:lang w:val="en-US"/>
        </w:rPr>
        <w:sectPr w:rsidR="00D108EE" w:rsidRPr="00537128" w:rsidSect="00712478">
          <w:pgSz w:w="11906" w:h="16838"/>
          <w:pgMar w:top="1418" w:right="1134" w:bottom="1418" w:left="1418" w:header="709" w:footer="709" w:gutter="0"/>
          <w:cols w:space="708"/>
          <w:docGrid w:linePitch="360"/>
        </w:sectPr>
      </w:pPr>
      <w:r w:rsidRPr="00537128">
        <w:rPr>
          <w:rFonts w:ascii="Calibri" w:eastAsia="Calibri" w:hAnsi="Calibri" w:cs="Times New Roman"/>
          <w:i/>
          <w:iCs/>
          <w:color w:val="000000" w:themeColor="text1"/>
          <w:sz w:val="20"/>
          <w:szCs w:val="20"/>
          <w:lang w:val="en-US"/>
        </w:rPr>
        <w:t>** Accrued interest on loans not yet due is allocated to the category from 1 to 3 months</w:t>
      </w:r>
      <w:bookmarkEnd w:id="897"/>
      <w:r w:rsidRPr="00537128">
        <w:rPr>
          <w:rFonts w:ascii="Calibri" w:eastAsia="Calibri" w:hAnsi="Calibri" w:cs="Times New Roman"/>
          <w:i/>
          <w:iCs/>
          <w:color w:val="000000" w:themeColor="text1"/>
          <w:sz w:val="20"/>
          <w:szCs w:val="20"/>
          <w:lang w:val="en-US"/>
        </w:rPr>
        <w:t xml:space="preserve">. </w:t>
      </w:r>
    </w:p>
    <w:p w14:paraId="604DB9B1" w14:textId="77777777" w:rsidR="00D108EE" w:rsidRPr="00537128" w:rsidRDefault="00D108EE" w:rsidP="00D108EE">
      <w:pPr>
        <w:spacing w:after="0" w:line="240" w:lineRule="auto"/>
        <w:jc w:val="both"/>
        <w:rPr>
          <w:rFonts w:eastAsia="Times New Roman" w:cstheme="minorHAnsi"/>
          <w:b/>
          <w:iCs/>
          <w:color w:val="000000" w:themeColor="text1"/>
          <w:sz w:val="16"/>
          <w:szCs w:val="16"/>
          <w:lang w:val="en-US"/>
        </w:rPr>
      </w:pPr>
    </w:p>
    <w:p w14:paraId="20D9B476" w14:textId="26930C3F" w:rsidR="00D108EE" w:rsidRPr="00537128" w:rsidRDefault="00B357CE" w:rsidP="00D108EE">
      <w:p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2</w:t>
      </w:r>
      <w:r>
        <w:rPr>
          <w:rFonts w:eastAsia="Times New Roman" w:cstheme="minorHAnsi"/>
          <w:b/>
          <w:bCs/>
          <w:iCs/>
          <w:color w:val="000000" w:themeColor="text1"/>
          <w:lang w:val="en-US"/>
        </w:rPr>
        <w:t>3</w:t>
      </w:r>
      <w:r w:rsidR="00D108EE" w:rsidRPr="00537128">
        <w:rPr>
          <w:rFonts w:eastAsia="Times New Roman" w:cstheme="minorHAnsi"/>
          <w:b/>
          <w:bCs/>
          <w:iCs/>
          <w:color w:val="000000" w:themeColor="text1"/>
          <w:lang w:val="en-US"/>
        </w:rPr>
        <w:t>.</w:t>
      </w:r>
      <w:r w:rsidR="00D108EE" w:rsidRPr="00537128">
        <w:rPr>
          <w:rFonts w:eastAsia="Times New Roman" w:cstheme="minorHAnsi"/>
          <w:b/>
          <w:bCs/>
          <w:iCs/>
          <w:color w:val="000000" w:themeColor="text1"/>
          <w:lang w:val="en-US"/>
        </w:rPr>
        <w:tab/>
        <w:t>Risk management (continued)</w:t>
      </w:r>
    </w:p>
    <w:p w14:paraId="5AECE1B1" w14:textId="77777777" w:rsidR="00D108EE" w:rsidRPr="00537128" w:rsidRDefault="00D108EE" w:rsidP="00D108EE">
      <w:pPr>
        <w:spacing w:after="0" w:line="240" w:lineRule="auto"/>
        <w:jc w:val="both"/>
        <w:rPr>
          <w:rFonts w:eastAsia="Times New Roman" w:cstheme="minorHAnsi"/>
          <w:b/>
          <w:iCs/>
          <w:color w:val="000000" w:themeColor="text1"/>
          <w:sz w:val="16"/>
          <w:szCs w:val="16"/>
          <w:lang w:val="en-US"/>
        </w:rPr>
      </w:pPr>
    </w:p>
    <w:p w14:paraId="4C9B2070" w14:textId="72498D19" w:rsidR="00D108EE" w:rsidRPr="00537128" w:rsidRDefault="00B357CE" w:rsidP="00D108EE">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D108EE" w:rsidRPr="00537128">
        <w:rPr>
          <w:rFonts w:eastAsia="Times New Roman" w:cstheme="minorHAnsi"/>
          <w:b/>
          <w:iCs/>
          <w:color w:val="000000" w:themeColor="text1"/>
          <w:lang w:val="en-US"/>
        </w:rPr>
        <w:t xml:space="preserve">.4. </w:t>
      </w:r>
      <w:r w:rsidR="00D108EE" w:rsidRPr="00537128">
        <w:rPr>
          <w:rFonts w:eastAsia="Times New Roman" w:cstheme="minorHAnsi"/>
          <w:b/>
          <w:iCs/>
          <w:color w:val="000000" w:themeColor="text1"/>
          <w:lang w:val="en-US"/>
        </w:rPr>
        <w:tab/>
        <w:t>Liquidity risk (continued)</w:t>
      </w:r>
    </w:p>
    <w:p w14:paraId="76383A0F" w14:textId="0965BD69" w:rsidR="00D108EE" w:rsidRPr="00537128" w:rsidRDefault="00D108EE" w:rsidP="00D108EE">
      <w:pPr>
        <w:spacing w:after="0" w:line="240" w:lineRule="auto"/>
        <w:jc w:val="both"/>
        <w:rPr>
          <w:rFonts w:eastAsia="Times New Roman" w:cstheme="minorHAnsi"/>
          <w:b/>
          <w:iCs/>
          <w:color w:val="000000" w:themeColor="text1"/>
          <w:sz w:val="16"/>
          <w:szCs w:val="16"/>
          <w:lang w:val="en-US"/>
        </w:rPr>
      </w:pPr>
    </w:p>
    <w:tbl>
      <w:tblPr>
        <w:tblW w:w="5377" w:type="pct"/>
        <w:tblInd w:w="-164" w:type="dxa"/>
        <w:tblLayout w:type="fixed"/>
        <w:tblCellMar>
          <w:left w:w="120" w:type="dxa"/>
          <w:right w:w="120" w:type="dxa"/>
        </w:tblCellMar>
        <w:tblLook w:val="0000" w:firstRow="0" w:lastRow="0" w:firstColumn="0" w:lastColumn="0" w:noHBand="0" w:noVBand="0"/>
      </w:tblPr>
      <w:tblGrid>
        <w:gridCol w:w="3303"/>
        <w:gridCol w:w="1020"/>
        <w:gridCol w:w="1111"/>
        <w:gridCol w:w="1187"/>
        <w:gridCol w:w="1151"/>
        <w:gridCol w:w="1153"/>
        <w:gridCol w:w="1135"/>
      </w:tblGrid>
      <w:tr w:rsidR="0012606F" w:rsidRPr="0012606F" w14:paraId="4465929E" w14:textId="77777777" w:rsidTr="00E44437">
        <w:trPr>
          <w:trHeight w:hRule="exact" w:val="514"/>
        </w:trPr>
        <w:tc>
          <w:tcPr>
            <w:tcW w:w="1642" w:type="pct"/>
          </w:tcPr>
          <w:p w14:paraId="1879C60F" w14:textId="77777777" w:rsidR="0012606F" w:rsidRPr="0012606F" w:rsidRDefault="0012606F" w:rsidP="0012606F">
            <w:pPr>
              <w:tabs>
                <w:tab w:val="right" w:pos="1202"/>
              </w:tabs>
              <w:spacing w:after="0" w:line="240" w:lineRule="exact"/>
              <w:outlineLvl w:val="0"/>
              <w:rPr>
                <w:rFonts w:ascii="Calibri" w:eastAsia="Calibri" w:hAnsi="Calibri" w:cs="Arial"/>
                <w:b/>
                <w:sz w:val="18"/>
                <w:szCs w:val="18"/>
                <w:lang w:val="en-US"/>
              </w:rPr>
            </w:pPr>
            <w:r w:rsidRPr="0012606F">
              <w:rPr>
                <w:rFonts w:ascii="Calibri" w:eastAsia="Calibri" w:hAnsi="Calibri" w:cs="Arial"/>
                <w:b/>
                <w:sz w:val="18"/>
                <w:szCs w:val="18"/>
                <w:lang w:val="en-US"/>
              </w:rPr>
              <w:t>Bank</w:t>
            </w:r>
          </w:p>
          <w:p w14:paraId="12AFE234" w14:textId="77777777" w:rsidR="0012606F" w:rsidRPr="0012606F" w:rsidRDefault="0012606F" w:rsidP="0012606F">
            <w:pPr>
              <w:tabs>
                <w:tab w:val="right" w:pos="1202"/>
              </w:tabs>
              <w:spacing w:after="0" w:line="240" w:lineRule="exact"/>
              <w:outlineLvl w:val="0"/>
              <w:rPr>
                <w:rFonts w:ascii="Calibri" w:eastAsia="Calibri" w:hAnsi="Calibri" w:cs="Arial"/>
                <w:b/>
                <w:sz w:val="18"/>
                <w:szCs w:val="18"/>
                <w:lang w:val="en-US"/>
              </w:rPr>
            </w:pPr>
            <w:r w:rsidRPr="0012606F">
              <w:rPr>
                <w:rFonts w:ascii="Calibri" w:eastAsia="Times New Roman" w:hAnsi="Calibri" w:cs="Arial"/>
                <w:b/>
                <w:sz w:val="18"/>
                <w:szCs w:val="18"/>
                <w:lang w:val="en-US"/>
              </w:rPr>
              <w:t>31 December 2021</w:t>
            </w:r>
          </w:p>
          <w:p w14:paraId="00859393" w14:textId="77777777" w:rsidR="0012606F" w:rsidRPr="0012606F" w:rsidRDefault="0012606F" w:rsidP="0012606F">
            <w:pPr>
              <w:tabs>
                <w:tab w:val="right" w:pos="1202"/>
              </w:tabs>
              <w:spacing w:after="0" w:line="240" w:lineRule="exact"/>
              <w:outlineLvl w:val="0"/>
              <w:rPr>
                <w:rFonts w:ascii="Calibri" w:eastAsia="Calibri" w:hAnsi="Calibri" w:cs="Arial"/>
                <w:b/>
                <w:sz w:val="18"/>
                <w:szCs w:val="18"/>
                <w:lang w:val="en-US"/>
              </w:rPr>
            </w:pPr>
            <w:r w:rsidRPr="0012606F">
              <w:rPr>
                <w:rFonts w:ascii="Calibri" w:eastAsia="Calibri" w:hAnsi="Calibri" w:cs="Arial"/>
                <w:b/>
                <w:sz w:val="18"/>
                <w:szCs w:val="18"/>
                <w:lang w:val="en-US"/>
              </w:rPr>
              <w:t>31 December 2018</w:t>
            </w:r>
          </w:p>
        </w:tc>
        <w:tc>
          <w:tcPr>
            <w:tcW w:w="507" w:type="pct"/>
          </w:tcPr>
          <w:p w14:paraId="1F7B2819" w14:textId="77777777" w:rsidR="0012606F" w:rsidRPr="0012606F" w:rsidRDefault="0012606F" w:rsidP="0012606F">
            <w:pPr>
              <w:tabs>
                <w:tab w:val="right" w:pos="1202"/>
              </w:tabs>
              <w:spacing w:after="0" w:line="220" w:lineRule="exact"/>
              <w:jc w:val="right"/>
              <w:outlineLvl w:val="0"/>
              <w:rPr>
                <w:rFonts w:ascii="Calibri" w:eastAsia="Times New Roman" w:hAnsi="Calibri" w:cs="Arial"/>
                <w:b/>
                <w:sz w:val="18"/>
                <w:szCs w:val="18"/>
                <w:lang w:val="en-US"/>
              </w:rPr>
            </w:pPr>
            <w:r w:rsidRPr="0012606F">
              <w:rPr>
                <w:rFonts w:ascii="Calibri" w:eastAsia="Times New Roman" w:hAnsi="Calibri" w:cs="Arial"/>
                <w:b/>
                <w:sz w:val="18"/>
                <w:szCs w:val="18"/>
                <w:lang w:val="en-US"/>
              </w:rPr>
              <w:t xml:space="preserve">Up to 1 </w:t>
            </w:r>
          </w:p>
          <w:p w14:paraId="52BE1BAD" w14:textId="77777777" w:rsidR="0012606F" w:rsidRPr="0012606F" w:rsidRDefault="0012606F" w:rsidP="0012606F">
            <w:pPr>
              <w:tabs>
                <w:tab w:val="right" w:pos="1202"/>
              </w:tabs>
              <w:spacing w:after="0" w:line="220" w:lineRule="exact"/>
              <w:jc w:val="right"/>
              <w:outlineLvl w:val="0"/>
              <w:rPr>
                <w:rFonts w:ascii="Calibri" w:eastAsia="Times New Roman" w:hAnsi="Calibri" w:cs="Arial"/>
                <w:b/>
                <w:sz w:val="18"/>
                <w:szCs w:val="18"/>
                <w:lang w:val="en-US"/>
              </w:rPr>
            </w:pPr>
            <w:r w:rsidRPr="0012606F">
              <w:rPr>
                <w:rFonts w:ascii="Calibri" w:eastAsia="Times New Roman" w:hAnsi="Calibri" w:cs="Arial"/>
                <w:b/>
                <w:sz w:val="18"/>
                <w:szCs w:val="18"/>
                <w:lang w:val="en-US"/>
              </w:rPr>
              <w:t>month</w:t>
            </w:r>
          </w:p>
        </w:tc>
        <w:tc>
          <w:tcPr>
            <w:tcW w:w="552" w:type="pct"/>
          </w:tcPr>
          <w:p w14:paraId="6238A3F5" w14:textId="77777777" w:rsidR="0012606F" w:rsidRPr="0012606F" w:rsidRDefault="0012606F" w:rsidP="0012606F">
            <w:pPr>
              <w:tabs>
                <w:tab w:val="right" w:pos="1202"/>
              </w:tabs>
              <w:spacing w:after="0" w:line="220" w:lineRule="exact"/>
              <w:jc w:val="right"/>
              <w:outlineLvl w:val="0"/>
              <w:rPr>
                <w:rFonts w:ascii="Calibri" w:eastAsia="Times New Roman" w:hAnsi="Calibri" w:cs="Arial"/>
                <w:b/>
                <w:sz w:val="18"/>
                <w:szCs w:val="18"/>
                <w:lang w:val="en-US"/>
              </w:rPr>
            </w:pPr>
            <w:r w:rsidRPr="0012606F">
              <w:rPr>
                <w:rFonts w:ascii="Calibri" w:eastAsia="Times New Roman" w:hAnsi="Calibri" w:cs="Arial"/>
                <w:b/>
                <w:sz w:val="18"/>
                <w:szCs w:val="18"/>
                <w:lang w:val="en-US"/>
              </w:rPr>
              <w:t xml:space="preserve">1 to 3 months </w:t>
            </w:r>
          </w:p>
        </w:tc>
        <w:tc>
          <w:tcPr>
            <w:tcW w:w="590" w:type="pct"/>
          </w:tcPr>
          <w:p w14:paraId="31F6E9F0" w14:textId="77777777" w:rsidR="0012606F" w:rsidRPr="0012606F" w:rsidRDefault="0012606F" w:rsidP="0012606F">
            <w:pPr>
              <w:tabs>
                <w:tab w:val="right" w:pos="1202"/>
              </w:tabs>
              <w:spacing w:after="0" w:line="220" w:lineRule="exact"/>
              <w:jc w:val="right"/>
              <w:outlineLvl w:val="0"/>
              <w:rPr>
                <w:rFonts w:ascii="Calibri" w:eastAsia="Times New Roman" w:hAnsi="Calibri" w:cs="Arial"/>
                <w:b/>
                <w:sz w:val="18"/>
                <w:szCs w:val="18"/>
                <w:lang w:val="en-US"/>
              </w:rPr>
            </w:pPr>
            <w:r w:rsidRPr="0012606F">
              <w:rPr>
                <w:rFonts w:ascii="Calibri" w:eastAsia="Times New Roman" w:hAnsi="Calibri" w:cs="Arial"/>
                <w:b/>
                <w:sz w:val="18"/>
                <w:szCs w:val="18"/>
                <w:lang w:val="en-US"/>
              </w:rPr>
              <w:t xml:space="preserve">3 months to 1 year </w:t>
            </w:r>
          </w:p>
        </w:tc>
        <w:tc>
          <w:tcPr>
            <w:tcW w:w="572" w:type="pct"/>
          </w:tcPr>
          <w:p w14:paraId="6879604C" w14:textId="77777777" w:rsidR="0012606F" w:rsidRPr="0012606F" w:rsidRDefault="0012606F" w:rsidP="0012606F">
            <w:pPr>
              <w:tabs>
                <w:tab w:val="right" w:pos="1202"/>
              </w:tabs>
              <w:spacing w:after="0" w:line="220" w:lineRule="exact"/>
              <w:jc w:val="right"/>
              <w:outlineLvl w:val="0"/>
              <w:rPr>
                <w:rFonts w:ascii="Calibri" w:eastAsia="Times New Roman" w:hAnsi="Calibri" w:cs="Arial"/>
                <w:b/>
                <w:sz w:val="18"/>
                <w:szCs w:val="18"/>
                <w:lang w:val="en-US"/>
              </w:rPr>
            </w:pPr>
            <w:r w:rsidRPr="0012606F">
              <w:rPr>
                <w:rFonts w:ascii="Calibri" w:eastAsia="Times New Roman" w:hAnsi="Calibri" w:cs="Arial"/>
                <w:b/>
                <w:sz w:val="18"/>
                <w:szCs w:val="18"/>
                <w:lang w:val="en-US"/>
              </w:rPr>
              <w:t>1 to 3</w:t>
            </w:r>
          </w:p>
          <w:p w14:paraId="137021B9" w14:textId="77777777" w:rsidR="0012606F" w:rsidRPr="0012606F" w:rsidRDefault="0012606F" w:rsidP="0012606F">
            <w:pPr>
              <w:tabs>
                <w:tab w:val="right" w:pos="1202"/>
              </w:tabs>
              <w:spacing w:after="0" w:line="220" w:lineRule="exact"/>
              <w:jc w:val="right"/>
              <w:outlineLvl w:val="0"/>
              <w:rPr>
                <w:rFonts w:ascii="Calibri" w:eastAsia="Times New Roman" w:hAnsi="Calibri" w:cs="Arial"/>
                <w:b/>
                <w:sz w:val="18"/>
                <w:szCs w:val="18"/>
                <w:lang w:val="en-US"/>
              </w:rPr>
            </w:pPr>
            <w:r w:rsidRPr="0012606F">
              <w:rPr>
                <w:rFonts w:ascii="Calibri" w:eastAsia="Times New Roman" w:hAnsi="Calibri" w:cs="Arial"/>
                <w:b/>
                <w:sz w:val="18"/>
                <w:szCs w:val="18"/>
                <w:lang w:val="en-US"/>
              </w:rPr>
              <w:t>years</w:t>
            </w:r>
          </w:p>
        </w:tc>
        <w:tc>
          <w:tcPr>
            <w:tcW w:w="573" w:type="pct"/>
          </w:tcPr>
          <w:p w14:paraId="4FCA6F14" w14:textId="77777777" w:rsidR="0012606F" w:rsidRPr="0012606F" w:rsidRDefault="0012606F" w:rsidP="0012606F">
            <w:pPr>
              <w:tabs>
                <w:tab w:val="right" w:pos="1202"/>
              </w:tabs>
              <w:spacing w:after="0" w:line="220" w:lineRule="exact"/>
              <w:jc w:val="right"/>
              <w:outlineLvl w:val="0"/>
              <w:rPr>
                <w:rFonts w:ascii="Calibri" w:eastAsia="Times New Roman" w:hAnsi="Calibri" w:cs="Arial"/>
                <w:b/>
                <w:sz w:val="18"/>
                <w:szCs w:val="18"/>
                <w:lang w:val="en-US"/>
              </w:rPr>
            </w:pPr>
            <w:r w:rsidRPr="0012606F">
              <w:rPr>
                <w:rFonts w:ascii="Calibri" w:eastAsia="Times New Roman" w:hAnsi="Calibri" w:cs="Arial"/>
                <w:b/>
                <w:sz w:val="18"/>
                <w:szCs w:val="18"/>
                <w:lang w:val="en-US"/>
              </w:rPr>
              <w:t xml:space="preserve">Over 3 </w:t>
            </w:r>
          </w:p>
          <w:p w14:paraId="241426F0" w14:textId="77777777" w:rsidR="0012606F" w:rsidRPr="0012606F" w:rsidRDefault="0012606F" w:rsidP="0012606F">
            <w:pPr>
              <w:tabs>
                <w:tab w:val="right" w:pos="1202"/>
              </w:tabs>
              <w:spacing w:after="0" w:line="220" w:lineRule="exact"/>
              <w:jc w:val="right"/>
              <w:outlineLvl w:val="0"/>
              <w:rPr>
                <w:rFonts w:ascii="Calibri" w:eastAsia="Times New Roman" w:hAnsi="Calibri" w:cs="Arial"/>
                <w:b/>
                <w:sz w:val="18"/>
                <w:szCs w:val="18"/>
                <w:lang w:val="en-US"/>
              </w:rPr>
            </w:pPr>
            <w:r w:rsidRPr="0012606F">
              <w:rPr>
                <w:rFonts w:ascii="Calibri" w:eastAsia="Times New Roman" w:hAnsi="Calibri" w:cs="Arial"/>
                <w:b/>
                <w:sz w:val="18"/>
                <w:szCs w:val="18"/>
                <w:lang w:val="en-US"/>
              </w:rPr>
              <w:t>years</w:t>
            </w:r>
          </w:p>
        </w:tc>
        <w:tc>
          <w:tcPr>
            <w:tcW w:w="564" w:type="pct"/>
          </w:tcPr>
          <w:p w14:paraId="34268268" w14:textId="77777777" w:rsidR="0012606F" w:rsidRPr="0012606F" w:rsidRDefault="0012606F" w:rsidP="0012606F">
            <w:pPr>
              <w:tabs>
                <w:tab w:val="right" w:pos="1202"/>
              </w:tabs>
              <w:spacing w:after="0" w:line="220" w:lineRule="exact"/>
              <w:jc w:val="right"/>
              <w:outlineLvl w:val="0"/>
              <w:rPr>
                <w:rFonts w:ascii="Calibri" w:eastAsia="Times New Roman" w:hAnsi="Calibri" w:cs="Arial"/>
                <w:b/>
                <w:sz w:val="18"/>
                <w:szCs w:val="18"/>
                <w:lang w:val="en-US"/>
              </w:rPr>
            </w:pPr>
            <w:r w:rsidRPr="0012606F">
              <w:rPr>
                <w:rFonts w:ascii="Calibri" w:eastAsia="Times New Roman" w:hAnsi="Calibri" w:cs="Arial"/>
                <w:b/>
                <w:sz w:val="18"/>
                <w:szCs w:val="18"/>
                <w:lang w:val="en-US"/>
              </w:rPr>
              <w:t xml:space="preserve">Total </w:t>
            </w:r>
          </w:p>
        </w:tc>
      </w:tr>
      <w:tr w:rsidR="0012606F" w:rsidRPr="0012606F" w14:paraId="2F7C33BD" w14:textId="77777777" w:rsidTr="00E44437">
        <w:trPr>
          <w:trHeight w:hRule="exact" w:val="275"/>
        </w:trPr>
        <w:tc>
          <w:tcPr>
            <w:tcW w:w="1642" w:type="pct"/>
          </w:tcPr>
          <w:p w14:paraId="07B69224" w14:textId="77777777" w:rsidR="0012606F" w:rsidRPr="0012606F" w:rsidRDefault="0012606F" w:rsidP="0012606F">
            <w:pPr>
              <w:tabs>
                <w:tab w:val="right" w:pos="1202"/>
              </w:tabs>
              <w:spacing w:after="0" w:line="240" w:lineRule="exact"/>
              <w:outlineLvl w:val="0"/>
              <w:rPr>
                <w:rFonts w:ascii="Calibri" w:eastAsia="Calibri" w:hAnsi="Calibri" w:cs="Arial"/>
                <w:b/>
                <w:sz w:val="18"/>
                <w:szCs w:val="18"/>
                <w:lang w:val="en-US"/>
              </w:rPr>
            </w:pPr>
          </w:p>
        </w:tc>
        <w:tc>
          <w:tcPr>
            <w:tcW w:w="507" w:type="pct"/>
          </w:tcPr>
          <w:p w14:paraId="02112149" w14:textId="77777777" w:rsidR="0012606F" w:rsidRPr="0012606F" w:rsidRDefault="0012606F" w:rsidP="0012606F">
            <w:pPr>
              <w:tabs>
                <w:tab w:val="right" w:pos="1202"/>
              </w:tabs>
              <w:spacing w:after="0" w:line="220" w:lineRule="exact"/>
              <w:jc w:val="right"/>
              <w:outlineLvl w:val="0"/>
              <w:rPr>
                <w:rFonts w:ascii="Calibri" w:eastAsia="Times New Roman" w:hAnsi="Calibri" w:cs="Arial"/>
                <w:b/>
                <w:sz w:val="18"/>
                <w:szCs w:val="18"/>
                <w:lang w:val="en-US"/>
              </w:rPr>
            </w:pPr>
            <w:r w:rsidRPr="0012606F">
              <w:rPr>
                <w:rFonts w:ascii="Calibri" w:eastAsia="Calibri" w:hAnsi="Calibri" w:cs="Times New Roman"/>
                <w:b/>
                <w:sz w:val="18"/>
                <w:szCs w:val="18"/>
                <w:lang w:val="en-US"/>
              </w:rPr>
              <w:t>HRK ‘000</w:t>
            </w:r>
          </w:p>
        </w:tc>
        <w:tc>
          <w:tcPr>
            <w:tcW w:w="552" w:type="pct"/>
          </w:tcPr>
          <w:p w14:paraId="66369574" w14:textId="77777777" w:rsidR="0012606F" w:rsidRPr="0012606F" w:rsidRDefault="0012606F" w:rsidP="0012606F">
            <w:pPr>
              <w:tabs>
                <w:tab w:val="right" w:pos="1202"/>
              </w:tabs>
              <w:spacing w:after="0" w:line="220" w:lineRule="exact"/>
              <w:jc w:val="right"/>
              <w:outlineLvl w:val="0"/>
              <w:rPr>
                <w:rFonts w:ascii="Calibri" w:eastAsia="Times New Roman" w:hAnsi="Calibri" w:cs="Arial"/>
                <w:b/>
                <w:sz w:val="18"/>
                <w:szCs w:val="18"/>
                <w:lang w:val="en-US"/>
              </w:rPr>
            </w:pPr>
            <w:r w:rsidRPr="0012606F">
              <w:rPr>
                <w:rFonts w:ascii="Calibri" w:eastAsia="Calibri" w:hAnsi="Calibri" w:cs="Times New Roman"/>
                <w:b/>
                <w:sz w:val="18"/>
                <w:szCs w:val="18"/>
                <w:lang w:val="en-US"/>
              </w:rPr>
              <w:t>HRK ‘000</w:t>
            </w:r>
          </w:p>
        </w:tc>
        <w:tc>
          <w:tcPr>
            <w:tcW w:w="590" w:type="pct"/>
          </w:tcPr>
          <w:p w14:paraId="57107C3A" w14:textId="77777777" w:rsidR="0012606F" w:rsidRPr="0012606F" w:rsidRDefault="0012606F" w:rsidP="0012606F">
            <w:pPr>
              <w:tabs>
                <w:tab w:val="right" w:pos="1202"/>
              </w:tabs>
              <w:spacing w:after="0" w:line="220" w:lineRule="exact"/>
              <w:jc w:val="right"/>
              <w:outlineLvl w:val="0"/>
              <w:rPr>
                <w:rFonts w:ascii="Calibri" w:eastAsia="Times New Roman" w:hAnsi="Calibri" w:cs="Arial"/>
                <w:b/>
                <w:sz w:val="18"/>
                <w:szCs w:val="18"/>
                <w:lang w:val="en-US"/>
              </w:rPr>
            </w:pPr>
            <w:r w:rsidRPr="0012606F">
              <w:rPr>
                <w:rFonts w:ascii="Calibri" w:eastAsia="Calibri" w:hAnsi="Calibri" w:cs="Times New Roman"/>
                <w:b/>
                <w:sz w:val="18"/>
                <w:szCs w:val="18"/>
                <w:lang w:val="en-US"/>
              </w:rPr>
              <w:t>HRK ‘000</w:t>
            </w:r>
          </w:p>
        </w:tc>
        <w:tc>
          <w:tcPr>
            <w:tcW w:w="572" w:type="pct"/>
          </w:tcPr>
          <w:p w14:paraId="2E7A9BEE" w14:textId="77777777" w:rsidR="0012606F" w:rsidRPr="0012606F" w:rsidRDefault="0012606F" w:rsidP="0012606F">
            <w:pPr>
              <w:tabs>
                <w:tab w:val="right" w:pos="1202"/>
              </w:tabs>
              <w:spacing w:after="0" w:line="220" w:lineRule="exact"/>
              <w:jc w:val="right"/>
              <w:outlineLvl w:val="0"/>
              <w:rPr>
                <w:rFonts w:ascii="Calibri" w:eastAsia="Times New Roman" w:hAnsi="Calibri" w:cs="Arial"/>
                <w:b/>
                <w:sz w:val="18"/>
                <w:szCs w:val="18"/>
                <w:lang w:val="en-US"/>
              </w:rPr>
            </w:pPr>
            <w:r w:rsidRPr="0012606F">
              <w:rPr>
                <w:rFonts w:ascii="Calibri" w:eastAsia="Calibri" w:hAnsi="Calibri" w:cs="Times New Roman"/>
                <w:b/>
                <w:sz w:val="18"/>
                <w:szCs w:val="18"/>
                <w:lang w:val="en-US"/>
              </w:rPr>
              <w:t>HRK ‘000</w:t>
            </w:r>
          </w:p>
        </w:tc>
        <w:tc>
          <w:tcPr>
            <w:tcW w:w="573" w:type="pct"/>
          </w:tcPr>
          <w:p w14:paraId="30BCD1A7" w14:textId="77777777" w:rsidR="0012606F" w:rsidRPr="0012606F" w:rsidRDefault="0012606F" w:rsidP="0012606F">
            <w:pPr>
              <w:tabs>
                <w:tab w:val="right" w:pos="1202"/>
              </w:tabs>
              <w:spacing w:after="0" w:line="220" w:lineRule="exact"/>
              <w:jc w:val="right"/>
              <w:outlineLvl w:val="0"/>
              <w:rPr>
                <w:rFonts w:ascii="Calibri" w:eastAsia="Times New Roman" w:hAnsi="Calibri" w:cs="Arial"/>
                <w:b/>
                <w:sz w:val="18"/>
                <w:szCs w:val="18"/>
                <w:lang w:val="en-US"/>
              </w:rPr>
            </w:pPr>
            <w:r w:rsidRPr="0012606F">
              <w:rPr>
                <w:rFonts w:ascii="Calibri" w:eastAsia="Calibri" w:hAnsi="Calibri" w:cs="Times New Roman"/>
                <w:b/>
                <w:sz w:val="18"/>
                <w:szCs w:val="18"/>
                <w:lang w:val="en-US"/>
              </w:rPr>
              <w:t>HRK ‘000</w:t>
            </w:r>
          </w:p>
        </w:tc>
        <w:tc>
          <w:tcPr>
            <w:tcW w:w="564" w:type="pct"/>
          </w:tcPr>
          <w:p w14:paraId="56C3C57D" w14:textId="77777777" w:rsidR="0012606F" w:rsidRPr="0012606F" w:rsidRDefault="0012606F" w:rsidP="0012606F">
            <w:pPr>
              <w:tabs>
                <w:tab w:val="right" w:pos="1202"/>
              </w:tabs>
              <w:spacing w:after="0" w:line="220" w:lineRule="exact"/>
              <w:jc w:val="right"/>
              <w:outlineLvl w:val="0"/>
              <w:rPr>
                <w:rFonts w:ascii="Calibri" w:eastAsia="Times New Roman" w:hAnsi="Calibri" w:cs="Arial"/>
                <w:b/>
                <w:sz w:val="18"/>
                <w:szCs w:val="18"/>
                <w:lang w:val="en-US"/>
              </w:rPr>
            </w:pPr>
            <w:r w:rsidRPr="0012606F">
              <w:rPr>
                <w:rFonts w:ascii="Calibri" w:eastAsia="Calibri" w:hAnsi="Calibri" w:cs="Times New Roman"/>
                <w:b/>
                <w:sz w:val="18"/>
                <w:szCs w:val="18"/>
                <w:lang w:val="en-US"/>
              </w:rPr>
              <w:t>HRK ‘000</w:t>
            </w:r>
          </w:p>
        </w:tc>
      </w:tr>
      <w:tr w:rsidR="0012606F" w:rsidRPr="0012606F" w14:paraId="38F66649" w14:textId="77777777" w:rsidTr="00E44437">
        <w:trPr>
          <w:trHeight w:hRule="exact" w:val="275"/>
        </w:trPr>
        <w:tc>
          <w:tcPr>
            <w:tcW w:w="1642" w:type="pct"/>
            <w:vAlign w:val="bottom"/>
          </w:tcPr>
          <w:p w14:paraId="4AD99FA5" w14:textId="77777777" w:rsidR="0012606F" w:rsidRPr="0012606F" w:rsidRDefault="0012606F" w:rsidP="0012606F">
            <w:pPr>
              <w:tabs>
                <w:tab w:val="right" w:pos="1202"/>
              </w:tabs>
              <w:spacing w:after="0" w:line="240" w:lineRule="exact"/>
              <w:outlineLvl w:val="0"/>
              <w:rPr>
                <w:rFonts w:ascii="Calibri" w:eastAsia="Calibri" w:hAnsi="Calibri" w:cs="Arial"/>
                <w:b/>
                <w:bCs/>
                <w:sz w:val="18"/>
                <w:szCs w:val="18"/>
                <w:lang w:val="en-US"/>
              </w:rPr>
            </w:pPr>
            <w:r w:rsidRPr="0012606F">
              <w:rPr>
                <w:rFonts w:ascii="Calibri" w:eastAsia="Calibri" w:hAnsi="Calibri" w:cs="Arial"/>
                <w:b/>
                <w:bCs/>
                <w:sz w:val="18"/>
                <w:szCs w:val="18"/>
                <w:lang w:val="en-US"/>
              </w:rPr>
              <w:t xml:space="preserve">Assets </w:t>
            </w:r>
          </w:p>
        </w:tc>
        <w:tc>
          <w:tcPr>
            <w:tcW w:w="507" w:type="pct"/>
            <w:vAlign w:val="bottom"/>
          </w:tcPr>
          <w:p w14:paraId="19CE4972" w14:textId="77777777" w:rsidR="0012606F" w:rsidRPr="0012606F" w:rsidRDefault="0012606F" w:rsidP="0012606F">
            <w:pPr>
              <w:tabs>
                <w:tab w:val="right" w:pos="1202"/>
              </w:tabs>
              <w:spacing w:after="0" w:line="240" w:lineRule="exact"/>
              <w:jc w:val="right"/>
              <w:outlineLvl w:val="0"/>
              <w:rPr>
                <w:rFonts w:ascii="Calibri" w:eastAsia="Calibri" w:hAnsi="Calibri" w:cs="Arial"/>
                <w:b/>
                <w:bCs/>
                <w:spacing w:val="-2"/>
                <w:sz w:val="18"/>
                <w:szCs w:val="18"/>
                <w:lang w:val="en-US"/>
              </w:rPr>
            </w:pPr>
          </w:p>
        </w:tc>
        <w:tc>
          <w:tcPr>
            <w:tcW w:w="552" w:type="pct"/>
            <w:vAlign w:val="bottom"/>
          </w:tcPr>
          <w:p w14:paraId="19E45F5A" w14:textId="77777777" w:rsidR="0012606F" w:rsidRPr="0012606F" w:rsidRDefault="0012606F" w:rsidP="0012606F">
            <w:pPr>
              <w:tabs>
                <w:tab w:val="right" w:pos="1202"/>
              </w:tabs>
              <w:spacing w:after="0" w:line="240" w:lineRule="exact"/>
              <w:jc w:val="right"/>
              <w:outlineLvl w:val="0"/>
              <w:rPr>
                <w:rFonts w:ascii="Calibri" w:eastAsia="Calibri" w:hAnsi="Calibri" w:cs="Arial"/>
                <w:b/>
                <w:bCs/>
                <w:spacing w:val="-2"/>
                <w:sz w:val="18"/>
                <w:szCs w:val="18"/>
                <w:lang w:val="en-US"/>
              </w:rPr>
            </w:pPr>
          </w:p>
        </w:tc>
        <w:tc>
          <w:tcPr>
            <w:tcW w:w="590" w:type="pct"/>
            <w:vAlign w:val="bottom"/>
          </w:tcPr>
          <w:p w14:paraId="692AB75D" w14:textId="77777777" w:rsidR="0012606F" w:rsidRPr="0012606F" w:rsidRDefault="0012606F" w:rsidP="0012606F">
            <w:pPr>
              <w:tabs>
                <w:tab w:val="right" w:pos="1202"/>
              </w:tabs>
              <w:spacing w:after="0" w:line="240" w:lineRule="exact"/>
              <w:jc w:val="right"/>
              <w:outlineLvl w:val="0"/>
              <w:rPr>
                <w:rFonts w:ascii="Calibri" w:eastAsia="Calibri" w:hAnsi="Calibri" w:cs="Arial"/>
                <w:b/>
                <w:bCs/>
                <w:spacing w:val="-2"/>
                <w:sz w:val="18"/>
                <w:szCs w:val="18"/>
                <w:lang w:val="en-US"/>
              </w:rPr>
            </w:pPr>
          </w:p>
        </w:tc>
        <w:tc>
          <w:tcPr>
            <w:tcW w:w="572" w:type="pct"/>
            <w:vAlign w:val="bottom"/>
          </w:tcPr>
          <w:p w14:paraId="26C9696A" w14:textId="77777777" w:rsidR="0012606F" w:rsidRPr="0012606F" w:rsidRDefault="0012606F" w:rsidP="0012606F">
            <w:pPr>
              <w:tabs>
                <w:tab w:val="right" w:pos="1202"/>
              </w:tabs>
              <w:spacing w:after="0" w:line="240" w:lineRule="exact"/>
              <w:jc w:val="right"/>
              <w:outlineLvl w:val="0"/>
              <w:rPr>
                <w:rFonts w:ascii="Calibri" w:eastAsia="Calibri" w:hAnsi="Calibri" w:cs="Arial"/>
                <w:b/>
                <w:bCs/>
                <w:spacing w:val="-2"/>
                <w:sz w:val="18"/>
                <w:szCs w:val="18"/>
                <w:lang w:val="en-US"/>
              </w:rPr>
            </w:pPr>
          </w:p>
        </w:tc>
        <w:tc>
          <w:tcPr>
            <w:tcW w:w="573" w:type="pct"/>
            <w:vAlign w:val="bottom"/>
          </w:tcPr>
          <w:p w14:paraId="17DDE04D" w14:textId="77777777" w:rsidR="0012606F" w:rsidRPr="0012606F" w:rsidRDefault="0012606F" w:rsidP="0012606F">
            <w:pPr>
              <w:tabs>
                <w:tab w:val="right" w:pos="1202"/>
              </w:tabs>
              <w:spacing w:after="0" w:line="240" w:lineRule="exact"/>
              <w:jc w:val="right"/>
              <w:outlineLvl w:val="0"/>
              <w:rPr>
                <w:rFonts w:ascii="Calibri" w:eastAsia="Calibri" w:hAnsi="Calibri" w:cs="Arial"/>
                <w:b/>
                <w:bCs/>
                <w:spacing w:val="-2"/>
                <w:sz w:val="18"/>
                <w:szCs w:val="18"/>
                <w:lang w:val="en-US"/>
              </w:rPr>
            </w:pPr>
          </w:p>
        </w:tc>
        <w:tc>
          <w:tcPr>
            <w:tcW w:w="564" w:type="pct"/>
            <w:vAlign w:val="bottom"/>
          </w:tcPr>
          <w:p w14:paraId="35F2A6D1" w14:textId="77777777" w:rsidR="0012606F" w:rsidRPr="0012606F" w:rsidRDefault="0012606F" w:rsidP="0012606F">
            <w:pPr>
              <w:tabs>
                <w:tab w:val="right" w:pos="1202"/>
              </w:tabs>
              <w:spacing w:after="0" w:line="240" w:lineRule="exact"/>
              <w:jc w:val="right"/>
              <w:outlineLvl w:val="0"/>
              <w:rPr>
                <w:rFonts w:ascii="Calibri" w:eastAsia="Calibri" w:hAnsi="Calibri" w:cs="Arial"/>
                <w:b/>
                <w:bCs/>
                <w:spacing w:val="-2"/>
                <w:sz w:val="18"/>
                <w:szCs w:val="18"/>
                <w:lang w:val="en-US"/>
              </w:rPr>
            </w:pPr>
          </w:p>
        </w:tc>
      </w:tr>
      <w:tr w:rsidR="0012606F" w:rsidRPr="0012606F" w14:paraId="0A955542" w14:textId="77777777" w:rsidTr="00E44437">
        <w:trPr>
          <w:trHeight w:hRule="exact" w:val="512"/>
        </w:trPr>
        <w:tc>
          <w:tcPr>
            <w:tcW w:w="1642" w:type="pct"/>
            <w:vAlign w:val="bottom"/>
          </w:tcPr>
          <w:p w14:paraId="5FBEC780" w14:textId="77777777" w:rsidR="0012606F" w:rsidRPr="0012606F" w:rsidRDefault="0012606F" w:rsidP="0012606F">
            <w:pPr>
              <w:tabs>
                <w:tab w:val="right" w:pos="1202"/>
              </w:tabs>
              <w:spacing w:after="0" w:line="220" w:lineRule="exact"/>
              <w:outlineLvl w:val="0"/>
              <w:rPr>
                <w:rFonts w:ascii="Calibri" w:eastAsia="Times New Roman" w:hAnsi="Calibri" w:cs="Arial"/>
                <w:spacing w:val="-2"/>
                <w:sz w:val="18"/>
                <w:szCs w:val="18"/>
                <w:lang w:val="en-US"/>
              </w:rPr>
            </w:pPr>
            <w:r w:rsidRPr="0012606F">
              <w:rPr>
                <w:rFonts w:ascii="Calibri" w:eastAsia="Times New Roman" w:hAnsi="Calibri" w:cs="Arial"/>
                <w:spacing w:val="-2"/>
                <w:sz w:val="18"/>
                <w:szCs w:val="18"/>
                <w:lang w:val="en-US"/>
              </w:rPr>
              <w:t xml:space="preserve">Cash on hand and current accounts with banks </w:t>
            </w:r>
          </w:p>
        </w:tc>
        <w:tc>
          <w:tcPr>
            <w:tcW w:w="507" w:type="pct"/>
            <w:tcBorders>
              <w:top w:val="nil"/>
              <w:left w:val="nil"/>
              <w:bottom w:val="nil"/>
              <w:right w:val="nil"/>
            </w:tcBorders>
            <w:shd w:val="clear" w:color="auto" w:fill="auto"/>
            <w:vAlign w:val="bottom"/>
          </w:tcPr>
          <w:p w14:paraId="34F85031"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1,958,620</w:t>
            </w:r>
          </w:p>
        </w:tc>
        <w:tc>
          <w:tcPr>
            <w:tcW w:w="552" w:type="pct"/>
            <w:tcBorders>
              <w:top w:val="nil"/>
              <w:left w:val="nil"/>
              <w:bottom w:val="nil"/>
              <w:right w:val="nil"/>
            </w:tcBorders>
            <w:shd w:val="clear" w:color="auto" w:fill="auto"/>
            <w:vAlign w:val="bottom"/>
          </w:tcPr>
          <w:p w14:paraId="352947B6"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bottom"/>
          </w:tcPr>
          <w:p w14:paraId="0BB0D7C7"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1A52ABC9"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7095043A"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 xml:space="preserve"> - </w:t>
            </w:r>
          </w:p>
        </w:tc>
        <w:tc>
          <w:tcPr>
            <w:tcW w:w="564" w:type="pct"/>
            <w:tcBorders>
              <w:top w:val="nil"/>
              <w:left w:val="nil"/>
              <w:bottom w:val="nil"/>
              <w:right w:val="nil"/>
            </w:tcBorders>
            <w:shd w:val="clear" w:color="auto" w:fill="auto"/>
            <w:vAlign w:val="bottom"/>
          </w:tcPr>
          <w:p w14:paraId="1FD0067B"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1,958,620</w:t>
            </w:r>
          </w:p>
        </w:tc>
      </w:tr>
      <w:tr w:rsidR="0012606F" w:rsidRPr="0012606F" w14:paraId="5F85B055" w14:textId="77777777" w:rsidTr="00E44437">
        <w:trPr>
          <w:trHeight w:hRule="exact" w:val="275"/>
        </w:trPr>
        <w:tc>
          <w:tcPr>
            <w:tcW w:w="1642" w:type="pct"/>
            <w:vAlign w:val="bottom"/>
          </w:tcPr>
          <w:p w14:paraId="1DF47DC6" w14:textId="77777777" w:rsidR="0012606F" w:rsidRPr="0012606F" w:rsidRDefault="0012606F" w:rsidP="0012606F">
            <w:pPr>
              <w:tabs>
                <w:tab w:val="right" w:pos="1202"/>
              </w:tabs>
              <w:spacing w:after="0" w:line="220" w:lineRule="exact"/>
              <w:outlineLvl w:val="0"/>
              <w:rPr>
                <w:rFonts w:ascii="Calibri" w:eastAsia="Times New Roman" w:hAnsi="Calibri" w:cs="Arial"/>
                <w:spacing w:val="-2"/>
                <w:sz w:val="18"/>
                <w:szCs w:val="18"/>
                <w:lang w:val="en-US"/>
              </w:rPr>
            </w:pPr>
            <w:r w:rsidRPr="0012606F">
              <w:rPr>
                <w:rFonts w:ascii="Calibri" w:eastAsia="Times New Roman" w:hAnsi="Calibri" w:cs="Arial"/>
                <w:spacing w:val="-2"/>
                <w:sz w:val="18"/>
                <w:szCs w:val="18"/>
                <w:lang w:val="en-US"/>
              </w:rPr>
              <w:t>Deposits with other banks</w:t>
            </w:r>
          </w:p>
        </w:tc>
        <w:tc>
          <w:tcPr>
            <w:tcW w:w="507" w:type="pct"/>
            <w:tcBorders>
              <w:top w:val="nil"/>
              <w:left w:val="nil"/>
              <w:bottom w:val="nil"/>
              <w:right w:val="nil"/>
            </w:tcBorders>
            <w:shd w:val="clear" w:color="auto" w:fill="auto"/>
            <w:vAlign w:val="bottom"/>
          </w:tcPr>
          <w:p w14:paraId="4789E2A1"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w:t>
            </w:r>
          </w:p>
        </w:tc>
        <w:tc>
          <w:tcPr>
            <w:tcW w:w="552" w:type="pct"/>
            <w:tcBorders>
              <w:top w:val="nil"/>
              <w:left w:val="nil"/>
              <w:bottom w:val="nil"/>
              <w:right w:val="nil"/>
            </w:tcBorders>
            <w:shd w:val="clear" w:color="auto" w:fill="auto"/>
            <w:vAlign w:val="bottom"/>
          </w:tcPr>
          <w:p w14:paraId="0FC82231"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bottom"/>
          </w:tcPr>
          <w:p w14:paraId="0BD47444"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707D0C99"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085936C2"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7,500</w:t>
            </w:r>
          </w:p>
        </w:tc>
        <w:tc>
          <w:tcPr>
            <w:tcW w:w="564" w:type="pct"/>
            <w:tcBorders>
              <w:top w:val="nil"/>
              <w:left w:val="nil"/>
              <w:bottom w:val="nil"/>
              <w:right w:val="nil"/>
            </w:tcBorders>
            <w:shd w:val="clear" w:color="auto" w:fill="auto"/>
            <w:vAlign w:val="bottom"/>
          </w:tcPr>
          <w:p w14:paraId="6196569D"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7,500</w:t>
            </w:r>
          </w:p>
        </w:tc>
      </w:tr>
      <w:tr w:rsidR="0012606F" w:rsidRPr="0012606F" w14:paraId="478DD631" w14:textId="77777777" w:rsidTr="00E44437">
        <w:trPr>
          <w:trHeight w:hRule="exact" w:val="275"/>
        </w:trPr>
        <w:tc>
          <w:tcPr>
            <w:tcW w:w="1642" w:type="pct"/>
            <w:vAlign w:val="bottom"/>
          </w:tcPr>
          <w:p w14:paraId="26CA8AEA" w14:textId="77777777" w:rsidR="0012606F" w:rsidRPr="0012606F" w:rsidRDefault="0012606F" w:rsidP="0012606F">
            <w:pPr>
              <w:tabs>
                <w:tab w:val="right" w:pos="1202"/>
              </w:tabs>
              <w:spacing w:after="0" w:line="220" w:lineRule="exact"/>
              <w:outlineLvl w:val="0"/>
              <w:rPr>
                <w:rFonts w:ascii="Calibri" w:eastAsia="Times New Roman" w:hAnsi="Calibri" w:cs="Arial"/>
                <w:spacing w:val="-2"/>
                <w:sz w:val="18"/>
                <w:szCs w:val="18"/>
                <w:lang w:val="en-US"/>
              </w:rPr>
            </w:pPr>
            <w:r w:rsidRPr="0012606F">
              <w:rPr>
                <w:rFonts w:ascii="Calibri" w:eastAsia="Times New Roman" w:hAnsi="Calibri" w:cs="Arial"/>
                <w:spacing w:val="-2"/>
                <w:sz w:val="18"/>
                <w:szCs w:val="18"/>
                <w:lang w:val="en-US"/>
              </w:rPr>
              <w:t>Loans to financial institutions*</w:t>
            </w:r>
          </w:p>
        </w:tc>
        <w:tc>
          <w:tcPr>
            <w:tcW w:w="507" w:type="pct"/>
            <w:tcBorders>
              <w:top w:val="nil"/>
              <w:left w:val="nil"/>
              <w:bottom w:val="nil"/>
              <w:right w:val="nil"/>
            </w:tcBorders>
            <w:shd w:val="clear" w:color="auto" w:fill="auto"/>
            <w:vAlign w:val="bottom"/>
          </w:tcPr>
          <w:p w14:paraId="43400B46"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140,979</w:t>
            </w:r>
          </w:p>
        </w:tc>
        <w:tc>
          <w:tcPr>
            <w:tcW w:w="552" w:type="pct"/>
            <w:tcBorders>
              <w:top w:val="nil"/>
              <w:left w:val="nil"/>
              <w:bottom w:val="nil"/>
              <w:right w:val="nil"/>
            </w:tcBorders>
            <w:shd w:val="clear" w:color="auto" w:fill="auto"/>
            <w:vAlign w:val="bottom"/>
          </w:tcPr>
          <w:p w14:paraId="0AFD5539"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188,898</w:t>
            </w:r>
          </w:p>
        </w:tc>
        <w:tc>
          <w:tcPr>
            <w:tcW w:w="590" w:type="pct"/>
            <w:tcBorders>
              <w:top w:val="nil"/>
              <w:left w:val="nil"/>
              <w:bottom w:val="nil"/>
              <w:right w:val="nil"/>
            </w:tcBorders>
            <w:shd w:val="clear" w:color="auto" w:fill="auto"/>
            <w:vAlign w:val="bottom"/>
          </w:tcPr>
          <w:p w14:paraId="33BB288D"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817,773</w:t>
            </w:r>
          </w:p>
        </w:tc>
        <w:tc>
          <w:tcPr>
            <w:tcW w:w="572" w:type="pct"/>
            <w:tcBorders>
              <w:top w:val="nil"/>
              <w:left w:val="nil"/>
              <w:bottom w:val="nil"/>
              <w:right w:val="nil"/>
            </w:tcBorders>
            <w:shd w:val="clear" w:color="auto" w:fill="auto"/>
            <w:vAlign w:val="bottom"/>
          </w:tcPr>
          <w:p w14:paraId="2E0F6F95"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1,870,557</w:t>
            </w:r>
          </w:p>
        </w:tc>
        <w:tc>
          <w:tcPr>
            <w:tcW w:w="573" w:type="pct"/>
            <w:tcBorders>
              <w:top w:val="nil"/>
              <w:left w:val="nil"/>
              <w:bottom w:val="nil"/>
              <w:right w:val="nil"/>
            </w:tcBorders>
            <w:shd w:val="clear" w:color="auto" w:fill="auto"/>
            <w:vAlign w:val="bottom"/>
          </w:tcPr>
          <w:p w14:paraId="2138701C"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4,031,936</w:t>
            </w:r>
          </w:p>
        </w:tc>
        <w:tc>
          <w:tcPr>
            <w:tcW w:w="564" w:type="pct"/>
            <w:tcBorders>
              <w:top w:val="nil"/>
              <w:left w:val="nil"/>
              <w:bottom w:val="nil"/>
              <w:right w:val="nil"/>
            </w:tcBorders>
            <w:shd w:val="clear" w:color="auto" w:fill="auto"/>
            <w:vAlign w:val="bottom"/>
          </w:tcPr>
          <w:p w14:paraId="0D31B8DE"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7,050,143</w:t>
            </w:r>
          </w:p>
        </w:tc>
      </w:tr>
      <w:tr w:rsidR="0012606F" w:rsidRPr="0012606F" w14:paraId="7ADE8C6B" w14:textId="77777777" w:rsidTr="00E44437">
        <w:trPr>
          <w:trHeight w:hRule="exact" w:val="275"/>
        </w:trPr>
        <w:tc>
          <w:tcPr>
            <w:tcW w:w="1642" w:type="pct"/>
            <w:vAlign w:val="bottom"/>
          </w:tcPr>
          <w:p w14:paraId="275F02D3" w14:textId="77777777" w:rsidR="0012606F" w:rsidRPr="0012606F" w:rsidRDefault="0012606F" w:rsidP="0012606F">
            <w:pPr>
              <w:tabs>
                <w:tab w:val="right" w:pos="1202"/>
              </w:tabs>
              <w:spacing w:after="0" w:line="220" w:lineRule="exact"/>
              <w:outlineLvl w:val="0"/>
              <w:rPr>
                <w:rFonts w:ascii="Calibri" w:eastAsia="Times New Roman" w:hAnsi="Calibri" w:cs="Arial"/>
                <w:spacing w:val="-2"/>
                <w:sz w:val="18"/>
                <w:szCs w:val="18"/>
                <w:lang w:val="en-US"/>
              </w:rPr>
            </w:pPr>
            <w:r w:rsidRPr="0012606F">
              <w:rPr>
                <w:rFonts w:ascii="Calibri" w:eastAsia="Times New Roman" w:hAnsi="Calibri" w:cs="Arial"/>
                <w:spacing w:val="-2"/>
                <w:sz w:val="18"/>
                <w:szCs w:val="18"/>
                <w:lang w:val="en-US"/>
              </w:rPr>
              <w:t>Loans to other customers</w:t>
            </w:r>
          </w:p>
        </w:tc>
        <w:tc>
          <w:tcPr>
            <w:tcW w:w="507" w:type="pct"/>
            <w:tcBorders>
              <w:top w:val="nil"/>
              <w:left w:val="nil"/>
              <w:bottom w:val="nil"/>
              <w:right w:val="nil"/>
            </w:tcBorders>
            <w:shd w:val="clear" w:color="auto" w:fill="auto"/>
            <w:vAlign w:val="bottom"/>
          </w:tcPr>
          <w:p w14:paraId="02FC1726"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1,903,430</w:t>
            </w:r>
          </w:p>
        </w:tc>
        <w:tc>
          <w:tcPr>
            <w:tcW w:w="552" w:type="pct"/>
            <w:tcBorders>
              <w:top w:val="nil"/>
              <w:left w:val="nil"/>
              <w:bottom w:val="nil"/>
              <w:right w:val="nil"/>
            </w:tcBorders>
            <w:shd w:val="clear" w:color="auto" w:fill="auto"/>
            <w:vAlign w:val="bottom"/>
          </w:tcPr>
          <w:p w14:paraId="1C10ACA7"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341,173</w:t>
            </w:r>
          </w:p>
        </w:tc>
        <w:tc>
          <w:tcPr>
            <w:tcW w:w="590" w:type="pct"/>
            <w:tcBorders>
              <w:top w:val="nil"/>
              <w:left w:val="nil"/>
              <w:bottom w:val="nil"/>
              <w:right w:val="nil"/>
            </w:tcBorders>
            <w:shd w:val="clear" w:color="auto" w:fill="auto"/>
            <w:vAlign w:val="bottom"/>
          </w:tcPr>
          <w:p w14:paraId="46BC3DB7"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1,109,842</w:t>
            </w:r>
          </w:p>
        </w:tc>
        <w:tc>
          <w:tcPr>
            <w:tcW w:w="572" w:type="pct"/>
            <w:tcBorders>
              <w:top w:val="nil"/>
              <w:left w:val="nil"/>
              <w:bottom w:val="nil"/>
              <w:right w:val="nil"/>
            </w:tcBorders>
            <w:shd w:val="clear" w:color="auto" w:fill="auto"/>
            <w:vAlign w:val="bottom"/>
          </w:tcPr>
          <w:p w14:paraId="3E98650E"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3,254,643</w:t>
            </w:r>
          </w:p>
        </w:tc>
        <w:tc>
          <w:tcPr>
            <w:tcW w:w="573" w:type="pct"/>
            <w:tcBorders>
              <w:top w:val="nil"/>
              <w:left w:val="nil"/>
              <w:bottom w:val="nil"/>
              <w:right w:val="nil"/>
            </w:tcBorders>
            <w:shd w:val="clear" w:color="auto" w:fill="auto"/>
            <w:vAlign w:val="bottom"/>
          </w:tcPr>
          <w:p w14:paraId="7769A02D"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9,355,288</w:t>
            </w:r>
          </w:p>
        </w:tc>
        <w:tc>
          <w:tcPr>
            <w:tcW w:w="564" w:type="pct"/>
            <w:tcBorders>
              <w:top w:val="nil"/>
              <w:left w:val="nil"/>
              <w:bottom w:val="nil"/>
              <w:right w:val="nil"/>
            </w:tcBorders>
            <w:shd w:val="clear" w:color="auto" w:fill="auto"/>
            <w:vAlign w:val="bottom"/>
          </w:tcPr>
          <w:p w14:paraId="2A32D33D"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15,964,376</w:t>
            </w:r>
          </w:p>
        </w:tc>
      </w:tr>
      <w:tr w:rsidR="0012606F" w:rsidRPr="0012606F" w14:paraId="3F6BB74D" w14:textId="77777777" w:rsidTr="00E44437">
        <w:trPr>
          <w:trHeight w:hRule="exact" w:val="275"/>
        </w:trPr>
        <w:tc>
          <w:tcPr>
            <w:tcW w:w="1642" w:type="pct"/>
            <w:vAlign w:val="bottom"/>
          </w:tcPr>
          <w:p w14:paraId="46BDED17" w14:textId="77777777" w:rsidR="0012606F" w:rsidRPr="0012606F" w:rsidRDefault="0012606F" w:rsidP="0012606F">
            <w:pPr>
              <w:tabs>
                <w:tab w:val="right" w:pos="1202"/>
              </w:tabs>
              <w:spacing w:after="0" w:line="220" w:lineRule="exact"/>
              <w:outlineLvl w:val="0"/>
              <w:rPr>
                <w:rFonts w:ascii="Calibri" w:eastAsia="Times New Roman" w:hAnsi="Calibri" w:cs="Arial"/>
                <w:spacing w:val="-2"/>
                <w:sz w:val="18"/>
                <w:szCs w:val="18"/>
                <w:lang w:val="en-US"/>
              </w:rPr>
            </w:pPr>
            <w:r w:rsidRPr="0012606F">
              <w:rPr>
                <w:rFonts w:ascii="Calibri" w:eastAsia="Times New Roman" w:hAnsi="Calibri" w:cs="Arial"/>
                <w:spacing w:val="-2"/>
                <w:sz w:val="18"/>
                <w:szCs w:val="18"/>
                <w:lang w:val="en-US"/>
              </w:rPr>
              <w:t>Financial assets at fair value through profit or loss</w:t>
            </w:r>
          </w:p>
        </w:tc>
        <w:tc>
          <w:tcPr>
            <w:tcW w:w="507" w:type="pct"/>
            <w:tcBorders>
              <w:top w:val="nil"/>
              <w:left w:val="nil"/>
              <w:bottom w:val="nil"/>
              <w:right w:val="nil"/>
            </w:tcBorders>
            <w:shd w:val="clear" w:color="auto" w:fill="auto"/>
            <w:vAlign w:val="bottom"/>
          </w:tcPr>
          <w:p w14:paraId="7F3D6DE2" w14:textId="77777777" w:rsidR="0012606F" w:rsidRPr="0012606F" w:rsidDel="000A0F01" w:rsidRDefault="0012606F" w:rsidP="0012606F">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12606F">
              <w:rPr>
                <w:rFonts w:ascii="Calibri" w:eastAsia="Times New Roman" w:hAnsi="Calibri" w:cs="Times New Roman"/>
                <w:color w:val="000000"/>
                <w:sz w:val="18"/>
                <w:szCs w:val="18"/>
                <w:lang w:val="en-US"/>
              </w:rPr>
              <w:t>202,609</w:t>
            </w:r>
          </w:p>
        </w:tc>
        <w:tc>
          <w:tcPr>
            <w:tcW w:w="552" w:type="pct"/>
            <w:tcBorders>
              <w:top w:val="nil"/>
              <w:left w:val="nil"/>
              <w:bottom w:val="nil"/>
              <w:right w:val="nil"/>
            </w:tcBorders>
            <w:shd w:val="clear" w:color="auto" w:fill="auto"/>
            <w:vAlign w:val="bottom"/>
          </w:tcPr>
          <w:p w14:paraId="72AD71D5" w14:textId="77777777" w:rsidR="0012606F" w:rsidRPr="0012606F" w:rsidDel="000A0F01" w:rsidRDefault="0012606F" w:rsidP="0012606F">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12606F">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bottom"/>
          </w:tcPr>
          <w:p w14:paraId="02F4E69A" w14:textId="77777777" w:rsidR="0012606F" w:rsidRPr="0012606F" w:rsidDel="000A0F01" w:rsidRDefault="0012606F" w:rsidP="0012606F">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12606F">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083F5CEB" w14:textId="77777777" w:rsidR="0012606F" w:rsidRPr="0012606F" w:rsidDel="000A0F01" w:rsidRDefault="0012606F" w:rsidP="0012606F">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12606F">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01DC54FB" w14:textId="77777777" w:rsidR="0012606F" w:rsidRPr="0012606F" w:rsidDel="000A0F01" w:rsidRDefault="0012606F" w:rsidP="0012606F">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12606F">
              <w:rPr>
                <w:rFonts w:ascii="Calibri" w:eastAsia="Times New Roman" w:hAnsi="Calibri" w:cs="Times New Roman"/>
                <w:color w:val="000000"/>
                <w:sz w:val="18"/>
                <w:szCs w:val="18"/>
                <w:lang w:val="en-US"/>
              </w:rPr>
              <w:t>16,375</w:t>
            </w:r>
          </w:p>
        </w:tc>
        <w:tc>
          <w:tcPr>
            <w:tcW w:w="564" w:type="pct"/>
            <w:tcBorders>
              <w:top w:val="nil"/>
              <w:left w:val="nil"/>
              <w:bottom w:val="nil"/>
              <w:right w:val="nil"/>
            </w:tcBorders>
            <w:shd w:val="clear" w:color="auto" w:fill="auto"/>
            <w:vAlign w:val="bottom"/>
          </w:tcPr>
          <w:p w14:paraId="7CB4CEBA" w14:textId="77777777" w:rsidR="0012606F" w:rsidRPr="0012606F" w:rsidDel="000A0F01" w:rsidRDefault="0012606F" w:rsidP="0012606F">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12606F">
              <w:rPr>
                <w:rFonts w:ascii="Calibri" w:eastAsia="Times New Roman" w:hAnsi="Calibri" w:cs="Times New Roman"/>
                <w:color w:val="000000"/>
                <w:sz w:val="18"/>
                <w:szCs w:val="18"/>
                <w:lang w:val="en-US"/>
              </w:rPr>
              <w:t>218,984</w:t>
            </w:r>
          </w:p>
        </w:tc>
      </w:tr>
      <w:tr w:rsidR="0012606F" w:rsidRPr="0012606F" w14:paraId="7D43A93F" w14:textId="77777777" w:rsidTr="00E44437">
        <w:trPr>
          <w:trHeight w:hRule="exact" w:val="275"/>
        </w:trPr>
        <w:tc>
          <w:tcPr>
            <w:tcW w:w="1642" w:type="pct"/>
          </w:tcPr>
          <w:p w14:paraId="2263E70E" w14:textId="77777777" w:rsidR="0012606F" w:rsidRPr="0012606F" w:rsidRDefault="0012606F" w:rsidP="0012606F">
            <w:pPr>
              <w:tabs>
                <w:tab w:val="right" w:pos="1202"/>
              </w:tabs>
              <w:spacing w:after="0" w:line="240" w:lineRule="exact"/>
              <w:outlineLvl w:val="0"/>
              <w:rPr>
                <w:rFonts w:ascii="Calibri" w:eastAsia="Calibri" w:hAnsi="Calibri" w:cs="Arial"/>
                <w:sz w:val="18"/>
                <w:szCs w:val="18"/>
                <w:lang w:val="en-US"/>
              </w:rPr>
            </w:pPr>
            <w:r w:rsidRPr="0012606F">
              <w:rPr>
                <w:rFonts w:ascii="Calibri" w:eastAsia="Times New Roman" w:hAnsi="Calibri" w:cs="Arial"/>
                <w:spacing w:val="-2"/>
                <w:sz w:val="18"/>
                <w:szCs w:val="18"/>
                <w:lang w:val="en-US"/>
              </w:rPr>
              <w:t>Financial assets at fair value through other comprehensive income</w:t>
            </w:r>
          </w:p>
        </w:tc>
        <w:tc>
          <w:tcPr>
            <w:tcW w:w="507" w:type="pct"/>
            <w:tcBorders>
              <w:top w:val="nil"/>
              <w:left w:val="nil"/>
              <w:bottom w:val="nil"/>
              <w:right w:val="nil"/>
            </w:tcBorders>
            <w:shd w:val="clear" w:color="auto" w:fill="auto"/>
            <w:vAlign w:val="bottom"/>
          </w:tcPr>
          <w:p w14:paraId="6DA3D502"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2,900,262</w:t>
            </w:r>
          </w:p>
        </w:tc>
        <w:tc>
          <w:tcPr>
            <w:tcW w:w="552" w:type="pct"/>
            <w:tcBorders>
              <w:top w:val="nil"/>
              <w:left w:val="nil"/>
              <w:bottom w:val="nil"/>
              <w:right w:val="nil"/>
            </w:tcBorders>
            <w:shd w:val="clear" w:color="auto" w:fill="auto"/>
            <w:vAlign w:val="bottom"/>
          </w:tcPr>
          <w:p w14:paraId="412F8E29"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15,442</w:t>
            </w:r>
          </w:p>
        </w:tc>
        <w:tc>
          <w:tcPr>
            <w:tcW w:w="590" w:type="pct"/>
            <w:tcBorders>
              <w:top w:val="nil"/>
              <w:left w:val="nil"/>
              <w:bottom w:val="nil"/>
              <w:right w:val="nil"/>
            </w:tcBorders>
            <w:shd w:val="clear" w:color="auto" w:fill="auto"/>
            <w:vAlign w:val="bottom"/>
          </w:tcPr>
          <w:p w14:paraId="586D8C0A"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7DA250F8"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5709252A"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 xml:space="preserve"> - </w:t>
            </w:r>
          </w:p>
        </w:tc>
        <w:tc>
          <w:tcPr>
            <w:tcW w:w="564" w:type="pct"/>
            <w:tcBorders>
              <w:top w:val="nil"/>
              <w:left w:val="nil"/>
              <w:bottom w:val="nil"/>
              <w:right w:val="nil"/>
            </w:tcBorders>
            <w:shd w:val="clear" w:color="auto" w:fill="auto"/>
            <w:vAlign w:val="bottom"/>
          </w:tcPr>
          <w:p w14:paraId="14E3ABD4"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2,915,704</w:t>
            </w:r>
          </w:p>
        </w:tc>
      </w:tr>
      <w:tr w:rsidR="0012606F" w:rsidRPr="0012606F" w14:paraId="3345B8C7" w14:textId="77777777" w:rsidTr="00E44437">
        <w:trPr>
          <w:trHeight w:hRule="exact" w:val="275"/>
        </w:trPr>
        <w:tc>
          <w:tcPr>
            <w:tcW w:w="1642" w:type="pct"/>
            <w:vAlign w:val="bottom"/>
          </w:tcPr>
          <w:p w14:paraId="27C0CFCC" w14:textId="77777777" w:rsidR="0012606F" w:rsidRPr="0012606F" w:rsidRDefault="0012606F" w:rsidP="0012606F">
            <w:pPr>
              <w:tabs>
                <w:tab w:val="right" w:pos="1202"/>
              </w:tabs>
              <w:spacing w:after="0" w:line="240" w:lineRule="exact"/>
              <w:outlineLvl w:val="0"/>
              <w:rPr>
                <w:rFonts w:ascii="Calibri" w:eastAsia="Calibri" w:hAnsi="Calibri" w:cs="Arial"/>
                <w:spacing w:val="-2"/>
                <w:sz w:val="18"/>
                <w:szCs w:val="18"/>
                <w:lang w:val="en-US"/>
              </w:rPr>
            </w:pPr>
            <w:r w:rsidRPr="0012606F">
              <w:rPr>
                <w:rFonts w:ascii="Calibri" w:eastAsia="Calibri" w:hAnsi="Calibri" w:cs="Arial"/>
                <w:spacing w:val="-2"/>
                <w:sz w:val="18"/>
                <w:szCs w:val="18"/>
                <w:lang w:val="en-US"/>
              </w:rPr>
              <w:t xml:space="preserve">Investments in subsidiaries </w:t>
            </w:r>
          </w:p>
        </w:tc>
        <w:tc>
          <w:tcPr>
            <w:tcW w:w="507" w:type="pct"/>
            <w:tcBorders>
              <w:top w:val="nil"/>
              <w:left w:val="nil"/>
              <w:bottom w:val="nil"/>
              <w:right w:val="nil"/>
            </w:tcBorders>
            <w:shd w:val="clear" w:color="auto" w:fill="auto"/>
            <w:vAlign w:val="bottom"/>
          </w:tcPr>
          <w:p w14:paraId="2AF08CF8"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 xml:space="preserve"> - </w:t>
            </w:r>
          </w:p>
        </w:tc>
        <w:tc>
          <w:tcPr>
            <w:tcW w:w="552" w:type="pct"/>
            <w:tcBorders>
              <w:top w:val="nil"/>
              <w:left w:val="nil"/>
              <w:bottom w:val="nil"/>
              <w:right w:val="nil"/>
            </w:tcBorders>
            <w:shd w:val="clear" w:color="auto" w:fill="auto"/>
            <w:vAlign w:val="bottom"/>
          </w:tcPr>
          <w:p w14:paraId="695CC0FC"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bottom"/>
          </w:tcPr>
          <w:p w14:paraId="26647AE9"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77CBFDAE"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67CFEF86"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36,124</w:t>
            </w:r>
          </w:p>
        </w:tc>
        <w:tc>
          <w:tcPr>
            <w:tcW w:w="564" w:type="pct"/>
            <w:tcBorders>
              <w:top w:val="nil"/>
              <w:left w:val="nil"/>
              <w:bottom w:val="nil"/>
              <w:right w:val="nil"/>
            </w:tcBorders>
            <w:shd w:val="clear" w:color="auto" w:fill="auto"/>
            <w:vAlign w:val="bottom"/>
          </w:tcPr>
          <w:p w14:paraId="2F24D680"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36,124</w:t>
            </w:r>
          </w:p>
        </w:tc>
      </w:tr>
      <w:tr w:rsidR="0012606F" w:rsidRPr="0012606F" w14:paraId="3E1CD9A0" w14:textId="77777777" w:rsidTr="00E44437">
        <w:trPr>
          <w:trHeight w:hRule="exact" w:val="391"/>
        </w:trPr>
        <w:tc>
          <w:tcPr>
            <w:tcW w:w="1642" w:type="pct"/>
            <w:vAlign w:val="bottom"/>
          </w:tcPr>
          <w:p w14:paraId="14CE80B0" w14:textId="77777777" w:rsidR="0012606F" w:rsidRPr="0012606F" w:rsidRDefault="0012606F" w:rsidP="0012606F">
            <w:pPr>
              <w:tabs>
                <w:tab w:val="right" w:pos="1202"/>
              </w:tabs>
              <w:spacing w:after="0" w:line="220" w:lineRule="exact"/>
              <w:outlineLvl w:val="0"/>
              <w:rPr>
                <w:rFonts w:ascii="Calibri" w:eastAsia="Times New Roman" w:hAnsi="Calibri" w:cs="Arial"/>
                <w:spacing w:val="-2"/>
                <w:sz w:val="18"/>
                <w:szCs w:val="18"/>
                <w:lang w:val="en-US"/>
              </w:rPr>
            </w:pPr>
            <w:r w:rsidRPr="0012606F">
              <w:rPr>
                <w:rFonts w:ascii="Calibri" w:eastAsia="Times New Roman" w:hAnsi="Calibri" w:cs="Arial"/>
                <w:spacing w:val="-2"/>
                <w:sz w:val="18"/>
                <w:szCs w:val="18"/>
                <w:lang w:val="en-US"/>
              </w:rPr>
              <w:t>Property, plant and equipment and intangible assets</w:t>
            </w:r>
          </w:p>
        </w:tc>
        <w:tc>
          <w:tcPr>
            <w:tcW w:w="507" w:type="pct"/>
            <w:tcBorders>
              <w:top w:val="nil"/>
              <w:left w:val="nil"/>
              <w:bottom w:val="nil"/>
              <w:right w:val="nil"/>
            </w:tcBorders>
            <w:shd w:val="clear" w:color="auto" w:fill="auto"/>
            <w:vAlign w:val="bottom"/>
          </w:tcPr>
          <w:p w14:paraId="512BA3F9"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 xml:space="preserve"> - </w:t>
            </w:r>
          </w:p>
        </w:tc>
        <w:tc>
          <w:tcPr>
            <w:tcW w:w="552" w:type="pct"/>
            <w:tcBorders>
              <w:top w:val="nil"/>
              <w:left w:val="nil"/>
              <w:bottom w:val="nil"/>
              <w:right w:val="nil"/>
            </w:tcBorders>
            <w:shd w:val="clear" w:color="auto" w:fill="auto"/>
            <w:vAlign w:val="bottom"/>
          </w:tcPr>
          <w:p w14:paraId="123E5E9A"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bottom"/>
          </w:tcPr>
          <w:p w14:paraId="7DBFF6EF"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4871297B"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38513ADC"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42,674</w:t>
            </w:r>
          </w:p>
        </w:tc>
        <w:tc>
          <w:tcPr>
            <w:tcW w:w="564" w:type="pct"/>
            <w:tcBorders>
              <w:top w:val="nil"/>
              <w:left w:val="nil"/>
              <w:bottom w:val="nil"/>
              <w:right w:val="nil"/>
            </w:tcBorders>
            <w:shd w:val="clear" w:color="auto" w:fill="auto"/>
            <w:vAlign w:val="bottom"/>
          </w:tcPr>
          <w:p w14:paraId="1F4BE855"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42,674</w:t>
            </w:r>
          </w:p>
        </w:tc>
      </w:tr>
      <w:tr w:rsidR="0012606F" w:rsidRPr="0012606F" w14:paraId="5FCF4ECC" w14:textId="77777777" w:rsidTr="00E44437">
        <w:trPr>
          <w:trHeight w:hRule="exact" w:val="275"/>
        </w:trPr>
        <w:tc>
          <w:tcPr>
            <w:tcW w:w="1642" w:type="pct"/>
            <w:vAlign w:val="bottom"/>
          </w:tcPr>
          <w:p w14:paraId="73D5934F" w14:textId="77777777" w:rsidR="0012606F" w:rsidRPr="0012606F" w:rsidRDefault="0012606F" w:rsidP="0012606F">
            <w:pPr>
              <w:tabs>
                <w:tab w:val="right" w:pos="1202"/>
              </w:tabs>
              <w:spacing w:after="0" w:line="220" w:lineRule="exact"/>
              <w:outlineLvl w:val="0"/>
              <w:rPr>
                <w:rFonts w:ascii="Calibri" w:eastAsia="Times New Roman" w:hAnsi="Calibri" w:cs="Arial"/>
                <w:spacing w:val="-2"/>
                <w:sz w:val="18"/>
                <w:szCs w:val="18"/>
                <w:lang w:val="en-US"/>
              </w:rPr>
            </w:pPr>
            <w:r w:rsidRPr="0012606F">
              <w:rPr>
                <w:rFonts w:ascii="Calibri" w:eastAsia="Times New Roman" w:hAnsi="Calibri" w:cs="Arial"/>
                <w:spacing w:val="-2"/>
                <w:sz w:val="18"/>
                <w:szCs w:val="18"/>
                <w:lang w:val="en-US"/>
              </w:rPr>
              <w:t>Foreclosed assets</w:t>
            </w:r>
          </w:p>
        </w:tc>
        <w:tc>
          <w:tcPr>
            <w:tcW w:w="507" w:type="pct"/>
            <w:tcBorders>
              <w:top w:val="nil"/>
              <w:left w:val="nil"/>
              <w:bottom w:val="nil"/>
              <w:right w:val="nil"/>
            </w:tcBorders>
            <w:shd w:val="clear" w:color="auto" w:fill="auto"/>
            <w:vAlign w:val="bottom"/>
          </w:tcPr>
          <w:p w14:paraId="638122C7"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 xml:space="preserve">9 </w:t>
            </w:r>
          </w:p>
        </w:tc>
        <w:tc>
          <w:tcPr>
            <w:tcW w:w="552" w:type="pct"/>
            <w:tcBorders>
              <w:top w:val="nil"/>
              <w:left w:val="nil"/>
              <w:bottom w:val="nil"/>
              <w:right w:val="nil"/>
            </w:tcBorders>
            <w:shd w:val="clear" w:color="auto" w:fill="auto"/>
            <w:vAlign w:val="bottom"/>
          </w:tcPr>
          <w:p w14:paraId="6C20077A"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w:t>
            </w:r>
          </w:p>
        </w:tc>
        <w:tc>
          <w:tcPr>
            <w:tcW w:w="590" w:type="pct"/>
            <w:tcBorders>
              <w:top w:val="nil"/>
              <w:left w:val="nil"/>
              <w:bottom w:val="nil"/>
              <w:right w:val="nil"/>
            </w:tcBorders>
            <w:shd w:val="clear" w:color="auto" w:fill="auto"/>
            <w:vAlign w:val="bottom"/>
          </w:tcPr>
          <w:p w14:paraId="23CBD5B3"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156</w:t>
            </w:r>
          </w:p>
        </w:tc>
        <w:tc>
          <w:tcPr>
            <w:tcW w:w="572" w:type="pct"/>
            <w:tcBorders>
              <w:top w:val="nil"/>
              <w:left w:val="nil"/>
              <w:bottom w:val="nil"/>
              <w:right w:val="nil"/>
            </w:tcBorders>
            <w:shd w:val="clear" w:color="auto" w:fill="auto"/>
            <w:vAlign w:val="bottom"/>
          </w:tcPr>
          <w:p w14:paraId="5DD1E999"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11,272</w:t>
            </w:r>
          </w:p>
        </w:tc>
        <w:tc>
          <w:tcPr>
            <w:tcW w:w="573" w:type="pct"/>
            <w:tcBorders>
              <w:top w:val="nil"/>
              <w:left w:val="nil"/>
              <w:bottom w:val="nil"/>
              <w:right w:val="nil"/>
            </w:tcBorders>
            <w:shd w:val="clear" w:color="auto" w:fill="auto"/>
            <w:vAlign w:val="bottom"/>
          </w:tcPr>
          <w:p w14:paraId="58FB8DEA"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9,932</w:t>
            </w:r>
          </w:p>
        </w:tc>
        <w:tc>
          <w:tcPr>
            <w:tcW w:w="564" w:type="pct"/>
            <w:tcBorders>
              <w:top w:val="nil"/>
              <w:left w:val="nil"/>
              <w:bottom w:val="nil"/>
              <w:right w:val="nil"/>
            </w:tcBorders>
            <w:shd w:val="clear" w:color="auto" w:fill="auto"/>
            <w:vAlign w:val="bottom"/>
          </w:tcPr>
          <w:p w14:paraId="45802319"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21,369</w:t>
            </w:r>
          </w:p>
        </w:tc>
      </w:tr>
      <w:tr w:rsidR="0012606F" w:rsidRPr="0012606F" w14:paraId="78BC1AC4" w14:textId="77777777" w:rsidTr="00E44437">
        <w:trPr>
          <w:trHeight w:hRule="exact" w:val="275"/>
        </w:trPr>
        <w:tc>
          <w:tcPr>
            <w:tcW w:w="1642" w:type="pct"/>
            <w:vAlign w:val="bottom"/>
          </w:tcPr>
          <w:p w14:paraId="2F0EC459" w14:textId="77777777" w:rsidR="0012606F" w:rsidRPr="0012606F" w:rsidRDefault="0012606F" w:rsidP="0012606F">
            <w:pPr>
              <w:tabs>
                <w:tab w:val="right" w:pos="1202"/>
              </w:tabs>
              <w:spacing w:after="0" w:line="220" w:lineRule="exact"/>
              <w:outlineLvl w:val="0"/>
              <w:rPr>
                <w:rFonts w:ascii="Calibri" w:eastAsia="Times New Roman" w:hAnsi="Calibri" w:cs="Arial"/>
                <w:spacing w:val="-2"/>
                <w:sz w:val="18"/>
                <w:szCs w:val="18"/>
                <w:lang w:val="en-US"/>
              </w:rPr>
            </w:pPr>
            <w:r w:rsidRPr="0012606F">
              <w:rPr>
                <w:rFonts w:ascii="Calibri" w:eastAsia="Times New Roman" w:hAnsi="Calibri" w:cs="Arial"/>
                <w:spacing w:val="-2"/>
                <w:sz w:val="18"/>
                <w:szCs w:val="18"/>
                <w:lang w:val="en-US"/>
              </w:rPr>
              <w:t>Other assets</w:t>
            </w:r>
          </w:p>
        </w:tc>
        <w:tc>
          <w:tcPr>
            <w:tcW w:w="507" w:type="pct"/>
            <w:tcBorders>
              <w:top w:val="nil"/>
              <w:left w:val="nil"/>
              <w:bottom w:val="single" w:sz="8" w:space="0" w:color="auto"/>
              <w:right w:val="nil"/>
            </w:tcBorders>
            <w:shd w:val="clear" w:color="auto" w:fill="auto"/>
            <w:vAlign w:val="bottom"/>
          </w:tcPr>
          <w:p w14:paraId="648F54CF"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5,749</w:t>
            </w:r>
          </w:p>
        </w:tc>
        <w:tc>
          <w:tcPr>
            <w:tcW w:w="552" w:type="pct"/>
            <w:tcBorders>
              <w:top w:val="nil"/>
              <w:left w:val="nil"/>
              <w:bottom w:val="single" w:sz="8" w:space="0" w:color="auto"/>
              <w:right w:val="nil"/>
            </w:tcBorders>
            <w:shd w:val="clear" w:color="auto" w:fill="auto"/>
            <w:vAlign w:val="bottom"/>
          </w:tcPr>
          <w:p w14:paraId="69B5782A"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947</w:t>
            </w:r>
          </w:p>
        </w:tc>
        <w:tc>
          <w:tcPr>
            <w:tcW w:w="590" w:type="pct"/>
            <w:tcBorders>
              <w:top w:val="nil"/>
              <w:left w:val="nil"/>
              <w:bottom w:val="single" w:sz="8" w:space="0" w:color="auto"/>
              <w:right w:val="nil"/>
            </w:tcBorders>
            <w:shd w:val="clear" w:color="auto" w:fill="auto"/>
            <w:vAlign w:val="bottom"/>
          </w:tcPr>
          <w:p w14:paraId="71CFE3D5"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24,380</w:t>
            </w:r>
          </w:p>
        </w:tc>
        <w:tc>
          <w:tcPr>
            <w:tcW w:w="572" w:type="pct"/>
            <w:tcBorders>
              <w:top w:val="nil"/>
              <w:left w:val="nil"/>
              <w:bottom w:val="single" w:sz="8" w:space="0" w:color="auto"/>
              <w:right w:val="nil"/>
            </w:tcBorders>
            <w:shd w:val="clear" w:color="auto" w:fill="auto"/>
            <w:vAlign w:val="bottom"/>
          </w:tcPr>
          <w:p w14:paraId="4F6456E4"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1,734</w:t>
            </w:r>
          </w:p>
        </w:tc>
        <w:tc>
          <w:tcPr>
            <w:tcW w:w="573" w:type="pct"/>
            <w:tcBorders>
              <w:top w:val="nil"/>
              <w:left w:val="nil"/>
              <w:bottom w:val="single" w:sz="8" w:space="0" w:color="auto"/>
              <w:right w:val="nil"/>
            </w:tcBorders>
            <w:shd w:val="clear" w:color="auto" w:fill="auto"/>
            <w:vAlign w:val="bottom"/>
          </w:tcPr>
          <w:p w14:paraId="5766540D"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1,684</w:t>
            </w:r>
          </w:p>
        </w:tc>
        <w:tc>
          <w:tcPr>
            <w:tcW w:w="564" w:type="pct"/>
            <w:tcBorders>
              <w:top w:val="nil"/>
              <w:left w:val="nil"/>
              <w:bottom w:val="single" w:sz="8" w:space="0" w:color="auto"/>
              <w:right w:val="nil"/>
            </w:tcBorders>
            <w:shd w:val="clear" w:color="auto" w:fill="auto"/>
            <w:vAlign w:val="bottom"/>
          </w:tcPr>
          <w:p w14:paraId="0BB34DCB"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34,494</w:t>
            </w:r>
          </w:p>
        </w:tc>
      </w:tr>
      <w:tr w:rsidR="0012606F" w:rsidRPr="0012606F" w14:paraId="1FED9D67" w14:textId="77777777" w:rsidTr="00E44437">
        <w:trPr>
          <w:trHeight w:hRule="exact" w:val="275"/>
        </w:trPr>
        <w:tc>
          <w:tcPr>
            <w:tcW w:w="1642" w:type="pct"/>
            <w:vAlign w:val="bottom"/>
          </w:tcPr>
          <w:p w14:paraId="635BCFFB" w14:textId="77777777" w:rsidR="0012606F" w:rsidRPr="0012606F" w:rsidRDefault="0012606F" w:rsidP="0012606F">
            <w:pPr>
              <w:tabs>
                <w:tab w:val="right" w:pos="1202"/>
              </w:tabs>
              <w:spacing w:after="0" w:line="240" w:lineRule="exact"/>
              <w:outlineLvl w:val="0"/>
              <w:rPr>
                <w:rFonts w:ascii="Calibri" w:eastAsia="Calibri" w:hAnsi="Calibri" w:cs="Arial"/>
                <w:b/>
                <w:bCs/>
                <w:sz w:val="18"/>
                <w:szCs w:val="18"/>
                <w:lang w:val="en-US"/>
              </w:rPr>
            </w:pPr>
            <w:r w:rsidRPr="0012606F">
              <w:rPr>
                <w:rFonts w:ascii="Calibri" w:eastAsia="Calibri" w:hAnsi="Calibri" w:cs="Arial"/>
                <w:b/>
                <w:bCs/>
                <w:sz w:val="18"/>
                <w:szCs w:val="18"/>
                <w:lang w:val="en-US"/>
              </w:rPr>
              <w:t xml:space="preserve">Total assets </w:t>
            </w:r>
          </w:p>
        </w:tc>
        <w:tc>
          <w:tcPr>
            <w:tcW w:w="507" w:type="pct"/>
            <w:tcBorders>
              <w:top w:val="single" w:sz="8" w:space="0" w:color="auto"/>
              <w:left w:val="nil"/>
              <w:bottom w:val="single" w:sz="12" w:space="0" w:color="auto"/>
              <w:right w:val="nil"/>
            </w:tcBorders>
            <w:shd w:val="clear" w:color="auto" w:fill="auto"/>
            <w:vAlign w:val="bottom"/>
          </w:tcPr>
          <w:p w14:paraId="5446B6E9" w14:textId="77777777" w:rsidR="0012606F" w:rsidRPr="0012606F" w:rsidRDefault="0012606F" w:rsidP="0012606F">
            <w:pPr>
              <w:tabs>
                <w:tab w:val="right" w:pos="1202"/>
              </w:tabs>
              <w:spacing w:after="0" w:line="240" w:lineRule="exact"/>
              <w:jc w:val="right"/>
              <w:outlineLvl w:val="0"/>
              <w:rPr>
                <w:rFonts w:ascii="Calibri" w:eastAsia="Calibri" w:hAnsi="Calibri" w:cs="Arial"/>
                <w:b/>
                <w:spacing w:val="-2"/>
                <w:sz w:val="18"/>
                <w:szCs w:val="18"/>
                <w:lang w:val="en-US"/>
              </w:rPr>
            </w:pPr>
            <w:r w:rsidRPr="0012606F">
              <w:rPr>
                <w:rFonts w:ascii="Calibri" w:eastAsia="Times New Roman" w:hAnsi="Calibri" w:cs="Times New Roman"/>
                <w:b/>
                <w:bCs/>
                <w:color w:val="000000"/>
                <w:sz w:val="18"/>
                <w:szCs w:val="18"/>
                <w:lang w:val="en-US"/>
              </w:rPr>
              <w:t>7,111,658</w:t>
            </w:r>
          </w:p>
        </w:tc>
        <w:tc>
          <w:tcPr>
            <w:tcW w:w="552" w:type="pct"/>
            <w:tcBorders>
              <w:top w:val="single" w:sz="8" w:space="0" w:color="auto"/>
              <w:left w:val="nil"/>
              <w:bottom w:val="single" w:sz="12" w:space="0" w:color="auto"/>
              <w:right w:val="nil"/>
            </w:tcBorders>
            <w:shd w:val="clear" w:color="auto" w:fill="auto"/>
            <w:vAlign w:val="bottom"/>
          </w:tcPr>
          <w:p w14:paraId="37E3E39C" w14:textId="77777777" w:rsidR="0012606F" w:rsidRPr="0012606F" w:rsidRDefault="0012606F" w:rsidP="0012606F">
            <w:pPr>
              <w:tabs>
                <w:tab w:val="right" w:pos="1202"/>
              </w:tabs>
              <w:spacing w:after="0" w:line="240" w:lineRule="exact"/>
              <w:jc w:val="right"/>
              <w:outlineLvl w:val="0"/>
              <w:rPr>
                <w:rFonts w:ascii="Calibri" w:eastAsia="Calibri" w:hAnsi="Calibri" w:cs="Arial"/>
                <w:b/>
                <w:spacing w:val="-2"/>
                <w:sz w:val="18"/>
                <w:szCs w:val="18"/>
                <w:lang w:val="en-US"/>
              </w:rPr>
            </w:pPr>
            <w:r w:rsidRPr="0012606F">
              <w:rPr>
                <w:rFonts w:ascii="Calibri" w:eastAsia="Times New Roman" w:hAnsi="Calibri" w:cs="Times New Roman"/>
                <w:b/>
                <w:bCs/>
                <w:color w:val="000000"/>
                <w:sz w:val="18"/>
                <w:szCs w:val="18"/>
                <w:lang w:val="en-US"/>
              </w:rPr>
              <w:t>546,460</w:t>
            </w:r>
          </w:p>
        </w:tc>
        <w:tc>
          <w:tcPr>
            <w:tcW w:w="590" w:type="pct"/>
            <w:tcBorders>
              <w:top w:val="single" w:sz="8" w:space="0" w:color="auto"/>
              <w:left w:val="nil"/>
              <w:bottom w:val="single" w:sz="12" w:space="0" w:color="auto"/>
              <w:right w:val="nil"/>
            </w:tcBorders>
            <w:shd w:val="clear" w:color="auto" w:fill="auto"/>
            <w:vAlign w:val="bottom"/>
          </w:tcPr>
          <w:p w14:paraId="3C9F9EC8" w14:textId="77777777" w:rsidR="0012606F" w:rsidRPr="0012606F" w:rsidRDefault="0012606F" w:rsidP="0012606F">
            <w:pPr>
              <w:tabs>
                <w:tab w:val="right" w:pos="1202"/>
              </w:tabs>
              <w:spacing w:after="0" w:line="240" w:lineRule="exact"/>
              <w:jc w:val="right"/>
              <w:outlineLvl w:val="0"/>
              <w:rPr>
                <w:rFonts w:ascii="Calibri" w:eastAsia="Calibri" w:hAnsi="Calibri" w:cs="Arial"/>
                <w:b/>
                <w:spacing w:val="-2"/>
                <w:sz w:val="18"/>
                <w:szCs w:val="18"/>
                <w:lang w:val="en-US"/>
              </w:rPr>
            </w:pPr>
            <w:r w:rsidRPr="0012606F">
              <w:rPr>
                <w:rFonts w:ascii="Calibri" w:eastAsia="Times New Roman" w:hAnsi="Calibri" w:cs="Times New Roman"/>
                <w:b/>
                <w:bCs/>
                <w:color w:val="000000"/>
                <w:sz w:val="18"/>
                <w:szCs w:val="18"/>
                <w:lang w:val="en-US"/>
              </w:rPr>
              <w:t>1,952,151</w:t>
            </w:r>
          </w:p>
        </w:tc>
        <w:tc>
          <w:tcPr>
            <w:tcW w:w="572" w:type="pct"/>
            <w:tcBorders>
              <w:top w:val="single" w:sz="8" w:space="0" w:color="auto"/>
              <w:left w:val="nil"/>
              <w:bottom w:val="single" w:sz="12" w:space="0" w:color="auto"/>
              <w:right w:val="nil"/>
            </w:tcBorders>
            <w:shd w:val="clear" w:color="auto" w:fill="auto"/>
            <w:vAlign w:val="bottom"/>
          </w:tcPr>
          <w:p w14:paraId="529B2098" w14:textId="77777777" w:rsidR="0012606F" w:rsidRPr="0012606F" w:rsidRDefault="0012606F" w:rsidP="0012606F">
            <w:pPr>
              <w:tabs>
                <w:tab w:val="right" w:pos="1202"/>
              </w:tabs>
              <w:spacing w:after="0" w:line="240" w:lineRule="exact"/>
              <w:jc w:val="right"/>
              <w:outlineLvl w:val="0"/>
              <w:rPr>
                <w:rFonts w:ascii="Calibri" w:eastAsia="Calibri" w:hAnsi="Calibri" w:cs="Arial"/>
                <w:b/>
                <w:spacing w:val="-2"/>
                <w:sz w:val="18"/>
                <w:szCs w:val="18"/>
                <w:lang w:val="en-US"/>
              </w:rPr>
            </w:pPr>
            <w:r w:rsidRPr="0012606F">
              <w:rPr>
                <w:rFonts w:ascii="Calibri" w:eastAsia="Times New Roman" w:hAnsi="Calibri" w:cs="Times New Roman"/>
                <w:b/>
                <w:bCs/>
                <w:color w:val="000000"/>
                <w:sz w:val="18"/>
                <w:szCs w:val="18"/>
                <w:lang w:val="en-US"/>
              </w:rPr>
              <w:t>5,138,206</w:t>
            </w:r>
          </w:p>
        </w:tc>
        <w:tc>
          <w:tcPr>
            <w:tcW w:w="573" w:type="pct"/>
            <w:tcBorders>
              <w:top w:val="single" w:sz="8" w:space="0" w:color="auto"/>
              <w:left w:val="nil"/>
              <w:bottom w:val="single" w:sz="12" w:space="0" w:color="auto"/>
              <w:right w:val="nil"/>
            </w:tcBorders>
            <w:shd w:val="clear" w:color="auto" w:fill="auto"/>
            <w:vAlign w:val="bottom"/>
          </w:tcPr>
          <w:p w14:paraId="243E3B11" w14:textId="77777777" w:rsidR="0012606F" w:rsidRPr="0012606F" w:rsidRDefault="0012606F" w:rsidP="0012606F">
            <w:pPr>
              <w:tabs>
                <w:tab w:val="right" w:pos="1202"/>
              </w:tabs>
              <w:spacing w:after="0" w:line="240" w:lineRule="exact"/>
              <w:jc w:val="right"/>
              <w:outlineLvl w:val="0"/>
              <w:rPr>
                <w:rFonts w:ascii="Calibri" w:eastAsia="Calibri" w:hAnsi="Calibri" w:cs="Arial"/>
                <w:b/>
                <w:spacing w:val="-2"/>
                <w:sz w:val="18"/>
                <w:szCs w:val="18"/>
                <w:lang w:val="en-US"/>
              </w:rPr>
            </w:pPr>
            <w:r w:rsidRPr="0012606F">
              <w:rPr>
                <w:rFonts w:ascii="Calibri" w:eastAsia="Times New Roman" w:hAnsi="Calibri" w:cs="Times New Roman"/>
                <w:b/>
                <w:bCs/>
                <w:color w:val="000000"/>
                <w:sz w:val="18"/>
                <w:szCs w:val="18"/>
                <w:lang w:val="en-US"/>
              </w:rPr>
              <w:t>13,501,513</w:t>
            </w:r>
          </w:p>
        </w:tc>
        <w:tc>
          <w:tcPr>
            <w:tcW w:w="564" w:type="pct"/>
            <w:tcBorders>
              <w:top w:val="single" w:sz="8" w:space="0" w:color="auto"/>
              <w:left w:val="nil"/>
              <w:bottom w:val="single" w:sz="12" w:space="0" w:color="auto"/>
              <w:right w:val="nil"/>
            </w:tcBorders>
            <w:shd w:val="clear" w:color="auto" w:fill="auto"/>
            <w:vAlign w:val="bottom"/>
          </w:tcPr>
          <w:p w14:paraId="026CB879" w14:textId="77777777" w:rsidR="0012606F" w:rsidRPr="0012606F" w:rsidRDefault="0012606F" w:rsidP="0012606F">
            <w:pPr>
              <w:tabs>
                <w:tab w:val="right" w:pos="1202"/>
              </w:tabs>
              <w:spacing w:after="0" w:line="240" w:lineRule="exact"/>
              <w:jc w:val="right"/>
              <w:outlineLvl w:val="0"/>
              <w:rPr>
                <w:rFonts w:ascii="Calibri" w:eastAsia="Calibri" w:hAnsi="Calibri" w:cs="Arial"/>
                <w:b/>
                <w:spacing w:val="-2"/>
                <w:sz w:val="18"/>
                <w:szCs w:val="18"/>
                <w:lang w:val="en-US"/>
              </w:rPr>
            </w:pPr>
            <w:r w:rsidRPr="0012606F">
              <w:rPr>
                <w:rFonts w:ascii="Calibri" w:eastAsia="Times New Roman" w:hAnsi="Calibri" w:cs="Times New Roman"/>
                <w:b/>
                <w:bCs/>
                <w:color w:val="000000"/>
                <w:sz w:val="18"/>
                <w:szCs w:val="18"/>
                <w:lang w:val="en-US"/>
              </w:rPr>
              <w:t>28,249,988</w:t>
            </w:r>
          </w:p>
        </w:tc>
      </w:tr>
      <w:tr w:rsidR="0012606F" w:rsidRPr="0012606F" w14:paraId="16785BBB" w14:textId="77777777" w:rsidTr="00E44437">
        <w:trPr>
          <w:trHeight w:hRule="exact" w:val="275"/>
        </w:trPr>
        <w:tc>
          <w:tcPr>
            <w:tcW w:w="1642" w:type="pct"/>
            <w:vAlign w:val="bottom"/>
          </w:tcPr>
          <w:p w14:paraId="79BC28AC" w14:textId="77777777" w:rsidR="0012606F" w:rsidRPr="0012606F" w:rsidRDefault="0012606F" w:rsidP="0012606F">
            <w:pPr>
              <w:tabs>
                <w:tab w:val="right" w:pos="1202"/>
              </w:tabs>
              <w:spacing w:after="0" w:line="240" w:lineRule="exact"/>
              <w:outlineLvl w:val="0"/>
              <w:rPr>
                <w:rFonts w:ascii="Calibri" w:eastAsia="Calibri" w:hAnsi="Calibri" w:cs="Arial"/>
                <w:b/>
                <w:bCs/>
                <w:sz w:val="18"/>
                <w:szCs w:val="18"/>
                <w:lang w:val="en-US"/>
              </w:rPr>
            </w:pPr>
          </w:p>
        </w:tc>
        <w:tc>
          <w:tcPr>
            <w:tcW w:w="507" w:type="pct"/>
            <w:tcBorders>
              <w:top w:val="single" w:sz="12" w:space="0" w:color="auto"/>
            </w:tcBorders>
            <w:shd w:val="clear" w:color="auto" w:fill="auto"/>
            <w:vAlign w:val="bottom"/>
          </w:tcPr>
          <w:p w14:paraId="42713E6D"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52" w:type="pct"/>
            <w:tcBorders>
              <w:top w:val="single" w:sz="12" w:space="0" w:color="auto"/>
            </w:tcBorders>
            <w:shd w:val="clear" w:color="auto" w:fill="auto"/>
            <w:vAlign w:val="bottom"/>
          </w:tcPr>
          <w:p w14:paraId="0D74C3D4"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90" w:type="pct"/>
            <w:tcBorders>
              <w:top w:val="single" w:sz="12" w:space="0" w:color="auto"/>
            </w:tcBorders>
            <w:shd w:val="clear" w:color="auto" w:fill="auto"/>
            <w:vAlign w:val="bottom"/>
          </w:tcPr>
          <w:p w14:paraId="53894287"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2" w:type="pct"/>
            <w:tcBorders>
              <w:top w:val="single" w:sz="12" w:space="0" w:color="auto"/>
            </w:tcBorders>
            <w:shd w:val="clear" w:color="auto" w:fill="auto"/>
            <w:vAlign w:val="bottom"/>
          </w:tcPr>
          <w:p w14:paraId="53CA1CD1"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3" w:type="pct"/>
            <w:tcBorders>
              <w:top w:val="single" w:sz="12" w:space="0" w:color="auto"/>
            </w:tcBorders>
            <w:shd w:val="clear" w:color="auto" w:fill="auto"/>
            <w:vAlign w:val="bottom"/>
          </w:tcPr>
          <w:p w14:paraId="0BC06DB9"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64" w:type="pct"/>
            <w:tcBorders>
              <w:top w:val="single" w:sz="12" w:space="0" w:color="auto"/>
            </w:tcBorders>
            <w:shd w:val="clear" w:color="auto" w:fill="auto"/>
            <w:vAlign w:val="bottom"/>
          </w:tcPr>
          <w:p w14:paraId="703E05FB"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12606F" w:rsidRPr="0012606F" w14:paraId="74BB663D" w14:textId="77777777" w:rsidTr="00E44437">
        <w:trPr>
          <w:trHeight w:hRule="exact" w:val="275"/>
        </w:trPr>
        <w:tc>
          <w:tcPr>
            <w:tcW w:w="1642" w:type="pct"/>
            <w:vAlign w:val="bottom"/>
          </w:tcPr>
          <w:p w14:paraId="2263DDFE" w14:textId="77777777" w:rsidR="0012606F" w:rsidRPr="0012606F" w:rsidRDefault="0012606F" w:rsidP="0012606F">
            <w:pPr>
              <w:tabs>
                <w:tab w:val="right" w:pos="1202"/>
              </w:tabs>
              <w:spacing w:after="0" w:line="240" w:lineRule="exact"/>
              <w:outlineLvl w:val="0"/>
              <w:rPr>
                <w:rFonts w:ascii="Calibri" w:eastAsia="Calibri" w:hAnsi="Calibri" w:cs="Arial"/>
                <w:b/>
                <w:bCs/>
                <w:sz w:val="18"/>
                <w:szCs w:val="18"/>
                <w:lang w:val="en-US"/>
              </w:rPr>
            </w:pPr>
            <w:r w:rsidRPr="0012606F">
              <w:rPr>
                <w:rFonts w:ascii="Calibri" w:eastAsia="Calibri" w:hAnsi="Calibri" w:cs="Arial"/>
                <w:b/>
                <w:bCs/>
                <w:sz w:val="18"/>
                <w:szCs w:val="18"/>
                <w:lang w:val="en-US"/>
              </w:rPr>
              <w:t>Liabilities</w:t>
            </w:r>
          </w:p>
        </w:tc>
        <w:tc>
          <w:tcPr>
            <w:tcW w:w="507" w:type="pct"/>
            <w:vAlign w:val="bottom"/>
          </w:tcPr>
          <w:p w14:paraId="6C481091" w14:textId="77777777" w:rsidR="0012606F" w:rsidRPr="0012606F" w:rsidRDefault="0012606F" w:rsidP="0012606F">
            <w:pPr>
              <w:spacing w:after="0" w:line="240" w:lineRule="exact"/>
              <w:jc w:val="right"/>
              <w:outlineLvl w:val="0"/>
              <w:rPr>
                <w:rFonts w:ascii="Calibri" w:eastAsia="Calibri" w:hAnsi="Calibri" w:cs="Arial"/>
                <w:spacing w:val="-2"/>
                <w:sz w:val="18"/>
                <w:szCs w:val="18"/>
                <w:lang w:val="en-US"/>
              </w:rPr>
            </w:pPr>
          </w:p>
        </w:tc>
        <w:tc>
          <w:tcPr>
            <w:tcW w:w="552" w:type="pct"/>
            <w:vAlign w:val="bottom"/>
          </w:tcPr>
          <w:p w14:paraId="23B08CD4" w14:textId="77777777" w:rsidR="0012606F" w:rsidRPr="0012606F" w:rsidRDefault="0012606F" w:rsidP="0012606F">
            <w:pPr>
              <w:spacing w:after="0" w:line="240" w:lineRule="exact"/>
              <w:jc w:val="right"/>
              <w:outlineLvl w:val="0"/>
              <w:rPr>
                <w:rFonts w:ascii="Calibri" w:eastAsia="Calibri" w:hAnsi="Calibri" w:cs="Arial"/>
                <w:spacing w:val="-2"/>
                <w:sz w:val="18"/>
                <w:szCs w:val="18"/>
                <w:lang w:val="en-US"/>
              </w:rPr>
            </w:pPr>
          </w:p>
        </w:tc>
        <w:tc>
          <w:tcPr>
            <w:tcW w:w="590" w:type="pct"/>
            <w:vAlign w:val="bottom"/>
          </w:tcPr>
          <w:p w14:paraId="4717681F" w14:textId="77777777" w:rsidR="0012606F" w:rsidRPr="0012606F" w:rsidRDefault="0012606F" w:rsidP="0012606F">
            <w:pPr>
              <w:spacing w:after="0" w:line="240" w:lineRule="exact"/>
              <w:jc w:val="right"/>
              <w:outlineLvl w:val="0"/>
              <w:rPr>
                <w:rFonts w:ascii="Calibri" w:eastAsia="Calibri" w:hAnsi="Calibri" w:cs="Arial"/>
                <w:spacing w:val="-2"/>
                <w:sz w:val="18"/>
                <w:szCs w:val="18"/>
                <w:lang w:val="en-US"/>
              </w:rPr>
            </w:pPr>
          </w:p>
        </w:tc>
        <w:tc>
          <w:tcPr>
            <w:tcW w:w="572" w:type="pct"/>
            <w:vAlign w:val="bottom"/>
          </w:tcPr>
          <w:p w14:paraId="6802558F" w14:textId="77777777" w:rsidR="0012606F" w:rsidRPr="0012606F" w:rsidRDefault="0012606F" w:rsidP="0012606F">
            <w:pPr>
              <w:spacing w:after="0" w:line="240" w:lineRule="exact"/>
              <w:jc w:val="right"/>
              <w:outlineLvl w:val="0"/>
              <w:rPr>
                <w:rFonts w:ascii="Calibri" w:eastAsia="Calibri" w:hAnsi="Calibri" w:cs="Arial"/>
                <w:spacing w:val="-2"/>
                <w:sz w:val="18"/>
                <w:szCs w:val="18"/>
                <w:lang w:val="en-US"/>
              </w:rPr>
            </w:pPr>
          </w:p>
        </w:tc>
        <w:tc>
          <w:tcPr>
            <w:tcW w:w="573" w:type="pct"/>
            <w:vAlign w:val="bottom"/>
          </w:tcPr>
          <w:p w14:paraId="3C994928" w14:textId="77777777" w:rsidR="0012606F" w:rsidRPr="0012606F" w:rsidRDefault="0012606F" w:rsidP="0012606F">
            <w:pPr>
              <w:spacing w:after="0" w:line="240" w:lineRule="exact"/>
              <w:jc w:val="right"/>
              <w:outlineLvl w:val="0"/>
              <w:rPr>
                <w:rFonts w:ascii="Calibri" w:eastAsia="Calibri" w:hAnsi="Calibri" w:cs="Arial"/>
                <w:spacing w:val="-2"/>
                <w:sz w:val="18"/>
                <w:szCs w:val="18"/>
                <w:lang w:val="en-US"/>
              </w:rPr>
            </w:pPr>
          </w:p>
        </w:tc>
        <w:tc>
          <w:tcPr>
            <w:tcW w:w="564" w:type="pct"/>
            <w:vAlign w:val="bottom"/>
          </w:tcPr>
          <w:p w14:paraId="5F98672F" w14:textId="77777777" w:rsidR="0012606F" w:rsidRPr="0012606F" w:rsidRDefault="0012606F" w:rsidP="0012606F">
            <w:pPr>
              <w:spacing w:after="0" w:line="240" w:lineRule="exact"/>
              <w:jc w:val="right"/>
              <w:outlineLvl w:val="0"/>
              <w:rPr>
                <w:rFonts w:ascii="Calibri" w:eastAsia="Calibri" w:hAnsi="Calibri" w:cs="Arial"/>
                <w:spacing w:val="-2"/>
                <w:sz w:val="18"/>
                <w:szCs w:val="18"/>
                <w:lang w:val="en-US"/>
              </w:rPr>
            </w:pPr>
          </w:p>
        </w:tc>
      </w:tr>
      <w:tr w:rsidR="0012606F" w:rsidRPr="0012606F" w14:paraId="5DC5D636" w14:textId="77777777" w:rsidTr="00E44437">
        <w:trPr>
          <w:trHeight w:hRule="exact" w:val="275"/>
        </w:trPr>
        <w:tc>
          <w:tcPr>
            <w:tcW w:w="1642" w:type="pct"/>
            <w:vAlign w:val="bottom"/>
          </w:tcPr>
          <w:p w14:paraId="544E2F24" w14:textId="77777777" w:rsidR="0012606F" w:rsidRPr="0012606F" w:rsidRDefault="0012606F" w:rsidP="0012606F">
            <w:pPr>
              <w:tabs>
                <w:tab w:val="right" w:pos="1202"/>
              </w:tabs>
              <w:spacing w:after="0" w:line="200" w:lineRule="exact"/>
              <w:outlineLvl w:val="0"/>
              <w:rPr>
                <w:rFonts w:ascii="Calibri" w:eastAsia="Times New Roman" w:hAnsi="Calibri" w:cs="Arial"/>
                <w:sz w:val="18"/>
                <w:szCs w:val="18"/>
                <w:lang w:val="en-US"/>
              </w:rPr>
            </w:pPr>
            <w:r w:rsidRPr="0012606F">
              <w:rPr>
                <w:rFonts w:ascii="Calibri" w:eastAsia="Times New Roman" w:hAnsi="Calibri" w:cs="Arial"/>
                <w:spacing w:val="-2"/>
                <w:sz w:val="18"/>
                <w:szCs w:val="18"/>
                <w:lang w:val="en-US"/>
              </w:rPr>
              <w:t xml:space="preserve">Deposits from customers </w:t>
            </w:r>
          </w:p>
        </w:tc>
        <w:tc>
          <w:tcPr>
            <w:tcW w:w="507" w:type="pct"/>
            <w:tcBorders>
              <w:top w:val="nil"/>
              <w:left w:val="nil"/>
              <w:bottom w:val="nil"/>
              <w:right w:val="nil"/>
            </w:tcBorders>
            <w:shd w:val="clear" w:color="auto" w:fill="auto"/>
            <w:vAlign w:val="bottom"/>
          </w:tcPr>
          <w:p w14:paraId="56735104"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 xml:space="preserve"> 622,284 </w:t>
            </w:r>
          </w:p>
        </w:tc>
        <w:tc>
          <w:tcPr>
            <w:tcW w:w="552" w:type="pct"/>
            <w:tcBorders>
              <w:top w:val="nil"/>
              <w:left w:val="nil"/>
              <w:bottom w:val="nil"/>
              <w:right w:val="nil"/>
            </w:tcBorders>
            <w:shd w:val="clear" w:color="auto" w:fill="auto"/>
            <w:vAlign w:val="bottom"/>
          </w:tcPr>
          <w:p w14:paraId="20F7F799"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 xml:space="preserve"> 22,169 </w:t>
            </w:r>
          </w:p>
        </w:tc>
        <w:tc>
          <w:tcPr>
            <w:tcW w:w="590" w:type="pct"/>
            <w:tcBorders>
              <w:top w:val="nil"/>
              <w:left w:val="nil"/>
              <w:bottom w:val="nil"/>
              <w:right w:val="nil"/>
            </w:tcBorders>
            <w:shd w:val="clear" w:color="auto" w:fill="auto"/>
            <w:vAlign w:val="bottom"/>
          </w:tcPr>
          <w:p w14:paraId="63E266B2"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 xml:space="preserve"> 105,183 </w:t>
            </w:r>
          </w:p>
        </w:tc>
        <w:tc>
          <w:tcPr>
            <w:tcW w:w="572" w:type="pct"/>
            <w:tcBorders>
              <w:top w:val="nil"/>
              <w:left w:val="nil"/>
              <w:bottom w:val="nil"/>
              <w:right w:val="nil"/>
            </w:tcBorders>
            <w:shd w:val="clear" w:color="auto" w:fill="auto"/>
            <w:vAlign w:val="bottom"/>
          </w:tcPr>
          <w:p w14:paraId="7F8AAAC1"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 xml:space="preserve"> 95,453 </w:t>
            </w:r>
          </w:p>
        </w:tc>
        <w:tc>
          <w:tcPr>
            <w:tcW w:w="573" w:type="pct"/>
            <w:tcBorders>
              <w:top w:val="nil"/>
              <w:left w:val="nil"/>
              <w:bottom w:val="nil"/>
              <w:right w:val="nil"/>
            </w:tcBorders>
            <w:shd w:val="clear" w:color="auto" w:fill="auto"/>
            <w:vAlign w:val="bottom"/>
          </w:tcPr>
          <w:p w14:paraId="05C5A421"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 xml:space="preserve">115,452 </w:t>
            </w:r>
          </w:p>
        </w:tc>
        <w:tc>
          <w:tcPr>
            <w:tcW w:w="564" w:type="pct"/>
            <w:tcBorders>
              <w:top w:val="nil"/>
              <w:left w:val="nil"/>
              <w:bottom w:val="nil"/>
              <w:right w:val="nil"/>
            </w:tcBorders>
            <w:shd w:val="clear" w:color="auto" w:fill="auto"/>
            <w:vAlign w:val="bottom"/>
          </w:tcPr>
          <w:p w14:paraId="0A363CC4"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960,541</w:t>
            </w:r>
          </w:p>
        </w:tc>
      </w:tr>
      <w:tr w:rsidR="0012606F" w:rsidRPr="0012606F" w14:paraId="1D73D11B" w14:textId="77777777" w:rsidTr="00E44437">
        <w:trPr>
          <w:trHeight w:hRule="exact" w:val="275"/>
        </w:trPr>
        <w:tc>
          <w:tcPr>
            <w:tcW w:w="1642" w:type="pct"/>
            <w:vAlign w:val="bottom"/>
          </w:tcPr>
          <w:p w14:paraId="09B7B980" w14:textId="77777777" w:rsidR="0012606F" w:rsidRPr="0012606F" w:rsidRDefault="0012606F" w:rsidP="0012606F">
            <w:pPr>
              <w:tabs>
                <w:tab w:val="right" w:pos="1202"/>
              </w:tabs>
              <w:spacing w:after="0" w:line="200" w:lineRule="exact"/>
              <w:outlineLvl w:val="0"/>
              <w:rPr>
                <w:rFonts w:ascii="Calibri" w:eastAsia="Times New Roman" w:hAnsi="Calibri" w:cs="Arial"/>
                <w:sz w:val="18"/>
                <w:szCs w:val="18"/>
                <w:lang w:val="en-US"/>
              </w:rPr>
            </w:pPr>
            <w:r w:rsidRPr="0012606F">
              <w:rPr>
                <w:rFonts w:ascii="Calibri" w:eastAsia="Times New Roman" w:hAnsi="Calibri" w:cs="Arial"/>
                <w:spacing w:val="-2"/>
                <w:sz w:val="18"/>
                <w:szCs w:val="18"/>
                <w:lang w:val="en-US"/>
              </w:rPr>
              <w:t xml:space="preserve">Borrowings </w:t>
            </w:r>
          </w:p>
        </w:tc>
        <w:tc>
          <w:tcPr>
            <w:tcW w:w="507" w:type="pct"/>
            <w:tcBorders>
              <w:top w:val="nil"/>
              <w:left w:val="nil"/>
              <w:bottom w:val="nil"/>
              <w:right w:val="nil"/>
            </w:tcBorders>
            <w:shd w:val="clear" w:color="auto" w:fill="auto"/>
            <w:vAlign w:val="bottom"/>
          </w:tcPr>
          <w:p w14:paraId="68541BD8"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 xml:space="preserve"> 244,301 </w:t>
            </w:r>
          </w:p>
        </w:tc>
        <w:tc>
          <w:tcPr>
            <w:tcW w:w="552" w:type="pct"/>
            <w:tcBorders>
              <w:top w:val="nil"/>
              <w:left w:val="nil"/>
              <w:bottom w:val="nil"/>
              <w:right w:val="nil"/>
            </w:tcBorders>
            <w:shd w:val="clear" w:color="auto" w:fill="auto"/>
            <w:vAlign w:val="bottom"/>
          </w:tcPr>
          <w:p w14:paraId="7DBD1E15"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 xml:space="preserve"> 333,934** </w:t>
            </w:r>
          </w:p>
        </w:tc>
        <w:tc>
          <w:tcPr>
            <w:tcW w:w="590" w:type="pct"/>
            <w:tcBorders>
              <w:top w:val="nil"/>
              <w:left w:val="nil"/>
              <w:bottom w:val="nil"/>
              <w:right w:val="nil"/>
            </w:tcBorders>
            <w:shd w:val="clear" w:color="auto" w:fill="auto"/>
            <w:vAlign w:val="bottom"/>
          </w:tcPr>
          <w:p w14:paraId="5B380C0E"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 xml:space="preserve"> 1,807,992 </w:t>
            </w:r>
          </w:p>
        </w:tc>
        <w:tc>
          <w:tcPr>
            <w:tcW w:w="572" w:type="pct"/>
            <w:tcBorders>
              <w:top w:val="nil"/>
              <w:left w:val="nil"/>
              <w:bottom w:val="nil"/>
              <w:right w:val="nil"/>
            </w:tcBorders>
            <w:shd w:val="clear" w:color="auto" w:fill="auto"/>
            <w:vAlign w:val="bottom"/>
          </w:tcPr>
          <w:p w14:paraId="10335BD1"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 xml:space="preserve"> 5,777,582 </w:t>
            </w:r>
          </w:p>
        </w:tc>
        <w:tc>
          <w:tcPr>
            <w:tcW w:w="573" w:type="pct"/>
            <w:tcBorders>
              <w:top w:val="nil"/>
              <w:left w:val="nil"/>
              <w:bottom w:val="nil"/>
              <w:right w:val="nil"/>
            </w:tcBorders>
            <w:shd w:val="clear" w:color="auto" w:fill="auto"/>
            <w:vAlign w:val="bottom"/>
          </w:tcPr>
          <w:p w14:paraId="1D561587"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 xml:space="preserve"> 7,951,428 </w:t>
            </w:r>
          </w:p>
        </w:tc>
        <w:tc>
          <w:tcPr>
            <w:tcW w:w="564" w:type="pct"/>
            <w:tcBorders>
              <w:top w:val="nil"/>
              <w:left w:val="nil"/>
              <w:bottom w:val="nil"/>
              <w:right w:val="nil"/>
            </w:tcBorders>
            <w:shd w:val="clear" w:color="auto" w:fill="auto"/>
            <w:vAlign w:val="bottom"/>
          </w:tcPr>
          <w:p w14:paraId="0A84A327"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16,115,237</w:t>
            </w:r>
          </w:p>
        </w:tc>
      </w:tr>
      <w:tr w:rsidR="0012606F" w:rsidRPr="0012606F" w14:paraId="77EE0F8F" w14:textId="77777777" w:rsidTr="00E44437">
        <w:trPr>
          <w:trHeight w:hRule="exact" w:val="479"/>
        </w:trPr>
        <w:tc>
          <w:tcPr>
            <w:tcW w:w="1642" w:type="pct"/>
            <w:vAlign w:val="bottom"/>
          </w:tcPr>
          <w:p w14:paraId="7F29CCA6" w14:textId="77777777" w:rsidR="0012606F" w:rsidRPr="0012606F" w:rsidRDefault="0012606F" w:rsidP="0012606F">
            <w:pPr>
              <w:tabs>
                <w:tab w:val="right" w:pos="1202"/>
              </w:tabs>
              <w:spacing w:after="0" w:line="200" w:lineRule="exact"/>
              <w:outlineLvl w:val="0"/>
              <w:rPr>
                <w:rFonts w:ascii="Calibri" w:eastAsia="Times New Roman" w:hAnsi="Calibri" w:cs="Arial"/>
                <w:spacing w:val="-2"/>
                <w:sz w:val="18"/>
                <w:szCs w:val="18"/>
                <w:lang w:val="en-US"/>
              </w:rPr>
            </w:pPr>
            <w:r w:rsidRPr="0012606F">
              <w:rPr>
                <w:rFonts w:ascii="Calibri" w:eastAsia="Times New Roman" w:hAnsi="Calibri" w:cs="Arial"/>
                <w:spacing w:val="-2"/>
                <w:sz w:val="18"/>
                <w:szCs w:val="18"/>
                <w:lang w:val="en-US"/>
              </w:rPr>
              <w:t xml:space="preserve">Provisions for guarantees, </w:t>
            </w:r>
            <w:proofErr w:type="gramStart"/>
            <w:r w:rsidRPr="0012606F">
              <w:rPr>
                <w:rFonts w:ascii="Calibri" w:eastAsia="Times New Roman" w:hAnsi="Calibri" w:cs="Arial"/>
                <w:spacing w:val="-2"/>
                <w:sz w:val="18"/>
                <w:szCs w:val="18"/>
                <w:lang w:val="en-US"/>
              </w:rPr>
              <w:t>commitments</w:t>
            </w:r>
            <w:proofErr w:type="gramEnd"/>
            <w:r w:rsidRPr="0012606F">
              <w:rPr>
                <w:rFonts w:ascii="Calibri" w:eastAsia="Times New Roman" w:hAnsi="Calibri" w:cs="Arial"/>
                <w:spacing w:val="-2"/>
                <w:sz w:val="18"/>
                <w:szCs w:val="18"/>
                <w:lang w:val="en-US"/>
              </w:rPr>
              <w:t xml:space="preserve"> and other liabilities</w:t>
            </w:r>
          </w:p>
        </w:tc>
        <w:tc>
          <w:tcPr>
            <w:tcW w:w="507" w:type="pct"/>
            <w:tcBorders>
              <w:top w:val="nil"/>
              <w:left w:val="nil"/>
              <w:bottom w:val="nil"/>
              <w:right w:val="nil"/>
            </w:tcBorders>
            <w:shd w:val="clear" w:color="auto" w:fill="auto"/>
            <w:vAlign w:val="bottom"/>
          </w:tcPr>
          <w:p w14:paraId="019D0654"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color w:val="000000"/>
                <w:sz w:val="18"/>
                <w:szCs w:val="18"/>
                <w:lang w:val="en-US"/>
              </w:rPr>
            </w:pPr>
            <w:r w:rsidRPr="0012606F">
              <w:rPr>
                <w:rFonts w:ascii="Calibri" w:eastAsia="Times New Roman" w:hAnsi="Calibri" w:cs="Times New Roman"/>
                <w:color w:val="000000"/>
                <w:sz w:val="18"/>
                <w:szCs w:val="18"/>
                <w:lang w:val="en-US"/>
              </w:rPr>
              <w:t xml:space="preserve"> 105,893 </w:t>
            </w:r>
          </w:p>
        </w:tc>
        <w:tc>
          <w:tcPr>
            <w:tcW w:w="552" w:type="pct"/>
            <w:tcBorders>
              <w:top w:val="nil"/>
              <w:left w:val="nil"/>
              <w:bottom w:val="nil"/>
              <w:right w:val="nil"/>
            </w:tcBorders>
            <w:shd w:val="clear" w:color="auto" w:fill="auto"/>
            <w:vAlign w:val="bottom"/>
          </w:tcPr>
          <w:p w14:paraId="0008681C"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color w:val="000000"/>
                <w:sz w:val="18"/>
                <w:szCs w:val="18"/>
                <w:lang w:val="en-US"/>
              </w:rPr>
            </w:pPr>
            <w:r w:rsidRPr="0012606F">
              <w:rPr>
                <w:rFonts w:ascii="Calibri" w:eastAsia="Times New Roman" w:hAnsi="Calibri" w:cs="Times New Roman"/>
                <w:color w:val="000000"/>
                <w:sz w:val="18"/>
                <w:szCs w:val="18"/>
                <w:lang w:val="en-US"/>
              </w:rPr>
              <w:t xml:space="preserve"> 5,962 </w:t>
            </w:r>
          </w:p>
        </w:tc>
        <w:tc>
          <w:tcPr>
            <w:tcW w:w="590" w:type="pct"/>
            <w:tcBorders>
              <w:top w:val="nil"/>
              <w:left w:val="nil"/>
              <w:bottom w:val="nil"/>
              <w:right w:val="nil"/>
            </w:tcBorders>
            <w:shd w:val="clear" w:color="auto" w:fill="auto"/>
            <w:vAlign w:val="bottom"/>
          </w:tcPr>
          <w:p w14:paraId="5D8EB85D"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color w:val="000000"/>
                <w:sz w:val="18"/>
                <w:szCs w:val="18"/>
                <w:lang w:val="en-US"/>
              </w:rPr>
            </w:pPr>
            <w:r w:rsidRPr="0012606F">
              <w:rPr>
                <w:rFonts w:ascii="Calibri" w:eastAsia="Times New Roman" w:hAnsi="Calibri" w:cs="Times New Roman"/>
                <w:color w:val="000000"/>
                <w:sz w:val="18"/>
                <w:szCs w:val="18"/>
                <w:lang w:val="en-US"/>
              </w:rPr>
              <w:t xml:space="preserve"> 19,815 </w:t>
            </w:r>
          </w:p>
        </w:tc>
        <w:tc>
          <w:tcPr>
            <w:tcW w:w="572" w:type="pct"/>
            <w:tcBorders>
              <w:top w:val="nil"/>
              <w:left w:val="nil"/>
              <w:bottom w:val="nil"/>
              <w:right w:val="nil"/>
            </w:tcBorders>
            <w:shd w:val="clear" w:color="auto" w:fill="auto"/>
            <w:vAlign w:val="bottom"/>
          </w:tcPr>
          <w:p w14:paraId="4743A3FB"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color w:val="000000"/>
                <w:sz w:val="18"/>
                <w:szCs w:val="18"/>
                <w:lang w:val="en-US"/>
              </w:rPr>
            </w:pPr>
            <w:r w:rsidRPr="0012606F">
              <w:rPr>
                <w:rFonts w:ascii="Calibri" w:eastAsia="Times New Roman" w:hAnsi="Calibri" w:cs="Times New Roman"/>
                <w:color w:val="000000"/>
                <w:sz w:val="18"/>
                <w:szCs w:val="18"/>
                <w:lang w:val="en-US"/>
              </w:rPr>
              <w:t xml:space="preserve"> 30,577 </w:t>
            </w:r>
          </w:p>
        </w:tc>
        <w:tc>
          <w:tcPr>
            <w:tcW w:w="573" w:type="pct"/>
            <w:tcBorders>
              <w:top w:val="nil"/>
              <w:left w:val="nil"/>
              <w:bottom w:val="nil"/>
              <w:right w:val="nil"/>
            </w:tcBorders>
            <w:shd w:val="clear" w:color="auto" w:fill="auto"/>
            <w:vAlign w:val="bottom"/>
          </w:tcPr>
          <w:p w14:paraId="08F6BFDC"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color w:val="000000"/>
                <w:sz w:val="18"/>
                <w:szCs w:val="18"/>
                <w:lang w:val="en-US"/>
              </w:rPr>
            </w:pPr>
            <w:r w:rsidRPr="0012606F">
              <w:rPr>
                <w:rFonts w:ascii="Calibri" w:eastAsia="Times New Roman" w:hAnsi="Calibri" w:cs="Times New Roman"/>
                <w:color w:val="000000"/>
                <w:sz w:val="18"/>
                <w:szCs w:val="18"/>
                <w:lang w:val="en-US"/>
              </w:rPr>
              <w:t xml:space="preserve"> 28,056 </w:t>
            </w:r>
          </w:p>
        </w:tc>
        <w:tc>
          <w:tcPr>
            <w:tcW w:w="564" w:type="pct"/>
            <w:tcBorders>
              <w:top w:val="nil"/>
              <w:left w:val="nil"/>
              <w:bottom w:val="nil"/>
              <w:right w:val="nil"/>
            </w:tcBorders>
            <w:shd w:val="clear" w:color="auto" w:fill="auto"/>
            <w:vAlign w:val="bottom"/>
          </w:tcPr>
          <w:p w14:paraId="7D2B0F12"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color w:val="000000"/>
                <w:sz w:val="18"/>
                <w:szCs w:val="18"/>
                <w:lang w:val="en-US"/>
              </w:rPr>
            </w:pPr>
            <w:r w:rsidRPr="0012606F">
              <w:rPr>
                <w:rFonts w:ascii="Calibri" w:eastAsia="Times New Roman" w:hAnsi="Calibri" w:cs="Times New Roman"/>
                <w:color w:val="000000"/>
                <w:sz w:val="18"/>
                <w:szCs w:val="18"/>
                <w:lang w:val="en-US"/>
              </w:rPr>
              <w:t>190,303</w:t>
            </w:r>
          </w:p>
        </w:tc>
      </w:tr>
      <w:tr w:rsidR="0012606F" w:rsidRPr="0012606F" w14:paraId="7953D01E" w14:textId="77777777" w:rsidTr="00E44437">
        <w:trPr>
          <w:trHeight w:hRule="exact" w:val="275"/>
        </w:trPr>
        <w:tc>
          <w:tcPr>
            <w:tcW w:w="1642" w:type="pct"/>
            <w:vAlign w:val="bottom"/>
          </w:tcPr>
          <w:p w14:paraId="02D7E20E" w14:textId="77777777" w:rsidR="0012606F" w:rsidRPr="0012606F" w:rsidRDefault="0012606F" w:rsidP="0012606F">
            <w:pPr>
              <w:tabs>
                <w:tab w:val="right" w:pos="1202"/>
              </w:tabs>
              <w:spacing w:after="0" w:line="200" w:lineRule="exact"/>
              <w:outlineLvl w:val="0"/>
              <w:rPr>
                <w:rFonts w:ascii="Calibri" w:eastAsia="Times New Roman" w:hAnsi="Calibri" w:cs="Arial"/>
                <w:sz w:val="18"/>
                <w:szCs w:val="18"/>
                <w:lang w:val="en-US"/>
              </w:rPr>
            </w:pPr>
            <w:r w:rsidRPr="0012606F">
              <w:rPr>
                <w:rFonts w:ascii="Calibri" w:eastAsia="Times New Roman" w:hAnsi="Calibri" w:cs="Arial"/>
                <w:spacing w:val="-2"/>
                <w:sz w:val="18"/>
                <w:szCs w:val="18"/>
                <w:lang w:val="en-US"/>
              </w:rPr>
              <w:t xml:space="preserve">Other liabilities </w:t>
            </w:r>
          </w:p>
        </w:tc>
        <w:tc>
          <w:tcPr>
            <w:tcW w:w="507" w:type="pct"/>
            <w:tcBorders>
              <w:top w:val="nil"/>
              <w:left w:val="nil"/>
              <w:bottom w:val="nil"/>
              <w:right w:val="nil"/>
            </w:tcBorders>
            <w:shd w:val="clear" w:color="auto" w:fill="auto"/>
            <w:vAlign w:val="bottom"/>
          </w:tcPr>
          <w:p w14:paraId="2F07E55D"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 xml:space="preserve"> 231,580 </w:t>
            </w:r>
          </w:p>
        </w:tc>
        <w:tc>
          <w:tcPr>
            <w:tcW w:w="552" w:type="pct"/>
            <w:tcBorders>
              <w:top w:val="nil"/>
              <w:left w:val="nil"/>
              <w:bottom w:val="nil"/>
              <w:right w:val="nil"/>
            </w:tcBorders>
            <w:shd w:val="clear" w:color="auto" w:fill="auto"/>
            <w:vAlign w:val="bottom"/>
          </w:tcPr>
          <w:p w14:paraId="5CF6F60E"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 xml:space="preserve"> 13,038 </w:t>
            </w:r>
          </w:p>
        </w:tc>
        <w:tc>
          <w:tcPr>
            <w:tcW w:w="590" w:type="pct"/>
            <w:tcBorders>
              <w:top w:val="nil"/>
              <w:left w:val="nil"/>
              <w:bottom w:val="nil"/>
              <w:right w:val="nil"/>
            </w:tcBorders>
            <w:shd w:val="clear" w:color="auto" w:fill="auto"/>
            <w:vAlign w:val="bottom"/>
          </w:tcPr>
          <w:p w14:paraId="094A5CB1"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 xml:space="preserve"> 43,334 </w:t>
            </w:r>
          </w:p>
        </w:tc>
        <w:tc>
          <w:tcPr>
            <w:tcW w:w="572" w:type="pct"/>
            <w:tcBorders>
              <w:top w:val="nil"/>
              <w:left w:val="nil"/>
              <w:bottom w:val="nil"/>
              <w:right w:val="nil"/>
            </w:tcBorders>
            <w:shd w:val="clear" w:color="auto" w:fill="auto"/>
            <w:vAlign w:val="bottom"/>
          </w:tcPr>
          <w:p w14:paraId="04D2B178"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 xml:space="preserve"> 66,870 </w:t>
            </w:r>
          </w:p>
        </w:tc>
        <w:tc>
          <w:tcPr>
            <w:tcW w:w="573" w:type="pct"/>
            <w:tcBorders>
              <w:top w:val="nil"/>
              <w:left w:val="nil"/>
              <w:bottom w:val="nil"/>
              <w:right w:val="nil"/>
            </w:tcBorders>
            <w:shd w:val="clear" w:color="auto" w:fill="auto"/>
            <w:vAlign w:val="bottom"/>
          </w:tcPr>
          <w:p w14:paraId="21EF00CB"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 xml:space="preserve"> 61,356 </w:t>
            </w:r>
          </w:p>
        </w:tc>
        <w:tc>
          <w:tcPr>
            <w:tcW w:w="564" w:type="pct"/>
            <w:tcBorders>
              <w:top w:val="nil"/>
              <w:left w:val="nil"/>
              <w:bottom w:val="nil"/>
              <w:right w:val="nil"/>
            </w:tcBorders>
            <w:shd w:val="clear" w:color="auto" w:fill="auto"/>
            <w:vAlign w:val="bottom"/>
          </w:tcPr>
          <w:p w14:paraId="68FE2810" w14:textId="77777777" w:rsidR="0012606F" w:rsidRPr="0012606F" w:rsidRDefault="0012606F" w:rsidP="0012606F">
            <w:pPr>
              <w:tabs>
                <w:tab w:val="right" w:pos="1202"/>
              </w:tabs>
              <w:spacing w:after="0" w:line="240" w:lineRule="exact"/>
              <w:jc w:val="right"/>
              <w:outlineLvl w:val="0"/>
              <w:rPr>
                <w:rFonts w:ascii="Calibri" w:eastAsia="Calibri" w:hAnsi="Calibri" w:cs="Arial"/>
                <w:spacing w:val="-2"/>
                <w:sz w:val="18"/>
                <w:szCs w:val="18"/>
                <w:lang w:val="en-US"/>
              </w:rPr>
            </w:pPr>
            <w:r w:rsidRPr="0012606F">
              <w:rPr>
                <w:rFonts w:ascii="Calibri" w:eastAsia="Times New Roman" w:hAnsi="Calibri" w:cs="Times New Roman"/>
                <w:color w:val="000000"/>
                <w:sz w:val="18"/>
                <w:szCs w:val="18"/>
                <w:lang w:val="en-US"/>
              </w:rPr>
              <w:t>416,178</w:t>
            </w:r>
          </w:p>
        </w:tc>
      </w:tr>
      <w:tr w:rsidR="0012606F" w:rsidRPr="0012606F" w14:paraId="7F24D6C4" w14:textId="77777777" w:rsidTr="00E44437">
        <w:trPr>
          <w:trHeight w:hRule="exact" w:val="275"/>
        </w:trPr>
        <w:tc>
          <w:tcPr>
            <w:tcW w:w="1642" w:type="pct"/>
            <w:vAlign w:val="bottom"/>
          </w:tcPr>
          <w:p w14:paraId="1F63F4BA" w14:textId="77777777" w:rsidR="0012606F" w:rsidRPr="0012606F" w:rsidRDefault="0012606F" w:rsidP="0012606F">
            <w:pPr>
              <w:tabs>
                <w:tab w:val="right" w:pos="1202"/>
              </w:tabs>
              <w:spacing w:after="0" w:line="240" w:lineRule="exact"/>
              <w:outlineLvl w:val="0"/>
              <w:rPr>
                <w:rFonts w:ascii="Calibri" w:eastAsia="Calibri" w:hAnsi="Calibri" w:cs="Arial"/>
                <w:b/>
                <w:bCs/>
                <w:sz w:val="18"/>
                <w:szCs w:val="18"/>
                <w:lang w:val="en-US"/>
              </w:rPr>
            </w:pPr>
            <w:r w:rsidRPr="0012606F">
              <w:rPr>
                <w:rFonts w:ascii="Calibri" w:eastAsia="Calibri" w:hAnsi="Calibri" w:cs="Arial"/>
                <w:b/>
                <w:bCs/>
                <w:sz w:val="18"/>
                <w:szCs w:val="18"/>
                <w:lang w:val="en-US"/>
              </w:rPr>
              <w:t>Total liabilities</w:t>
            </w:r>
          </w:p>
        </w:tc>
        <w:tc>
          <w:tcPr>
            <w:tcW w:w="507" w:type="pct"/>
            <w:tcBorders>
              <w:top w:val="single" w:sz="8" w:space="0" w:color="auto"/>
              <w:left w:val="nil"/>
              <w:bottom w:val="single" w:sz="8" w:space="0" w:color="auto"/>
              <w:right w:val="nil"/>
            </w:tcBorders>
            <w:shd w:val="clear" w:color="auto" w:fill="auto"/>
            <w:vAlign w:val="bottom"/>
          </w:tcPr>
          <w:p w14:paraId="58B057B7" w14:textId="77777777" w:rsidR="0012606F" w:rsidRPr="0012606F" w:rsidRDefault="0012606F" w:rsidP="0012606F">
            <w:pPr>
              <w:tabs>
                <w:tab w:val="right" w:pos="1202"/>
              </w:tabs>
              <w:spacing w:after="0" w:line="240" w:lineRule="exact"/>
              <w:jc w:val="right"/>
              <w:outlineLvl w:val="0"/>
              <w:rPr>
                <w:rFonts w:ascii="Calibri" w:eastAsia="Calibri" w:hAnsi="Calibri" w:cs="Arial"/>
                <w:b/>
                <w:spacing w:val="-2"/>
                <w:sz w:val="18"/>
                <w:szCs w:val="18"/>
                <w:lang w:val="en-US"/>
              </w:rPr>
            </w:pPr>
            <w:r w:rsidRPr="0012606F">
              <w:rPr>
                <w:rFonts w:ascii="Calibri" w:eastAsia="Times New Roman" w:hAnsi="Calibri" w:cs="Times New Roman"/>
                <w:b/>
                <w:bCs/>
                <w:color w:val="000000"/>
                <w:sz w:val="18"/>
                <w:szCs w:val="18"/>
                <w:lang w:val="en-US"/>
              </w:rPr>
              <w:t>1,204,058</w:t>
            </w:r>
          </w:p>
        </w:tc>
        <w:tc>
          <w:tcPr>
            <w:tcW w:w="552" w:type="pct"/>
            <w:tcBorders>
              <w:top w:val="single" w:sz="8" w:space="0" w:color="auto"/>
              <w:left w:val="nil"/>
              <w:bottom w:val="single" w:sz="8" w:space="0" w:color="auto"/>
              <w:right w:val="nil"/>
            </w:tcBorders>
            <w:shd w:val="clear" w:color="auto" w:fill="auto"/>
            <w:vAlign w:val="bottom"/>
          </w:tcPr>
          <w:p w14:paraId="0021E0A6" w14:textId="77777777" w:rsidR="0012606F" w:rsidRPr="0012606F" w:rsidRDefault="0012606F" w:rsidP="0012606F">
            <w:pPr>
              <w:tabs>
                <w:tab w:val="right" w:pos="1202"/>
              </w:tabs>
              <w:spacing w:after="0" w:line="240" w:lineRule="exact"/>
              <w:jc w:val="right"/>
              <w:outlineLvl w:val="0"/>
              <w:rPr>
                <w:rFonts w:ascii="Calibri" w:eastAsia="Calibri" w:hAnsi="Calibri" w:cs="Arial"/>
                <w:b/>
                <w:spacing w:val="-2"/>
                <w:sz w:val="18"/>
                <w:szCs w:val="18"/>
                <w:lang w:val="en-US"/>
              </w:rPr>
            </w:pPr>
            <w:r w:rsidRPr="0012606F">
              <w:rPr>
                <w:rFonts w:ascii="Calibri" w:eastAsia="Times New Roman" w:hAnsi="Calibri" w:cs="Times New Roman"/>
                <w:b/>
                <w:bCs/>
                <w:color w:val="000000"/>
                <w:sz w:val="18"/>
                <w:szCs w:val="18"/>
                <w:lang w:val="en-US"/>
              </w:rPr>
              <w:t>375,103</w:t>
            </w:r>
          </w:p>
        </w:tc>
        <w:tc>
          <w:tcPr>
            <w:tcW w:w="590" w:type="pct"/>
            <w:tcBorders>
              <w:top w:val="single" w:sz="8" w:space="0" w:color="auto"/>
              <w:left w:val="nil"/>
              <w:bottom w:val="single" w:sz="8" w:space="0" w:color="auto"/>
              <w:right w:val="nil"/>
            </w:tcBorders>
            <w:shd w:val="clear" w:color="auto" w:fill="auto"/>
            <w:vAlign w:val="bottom"/>
          </w:tcPr>
          <w:p w14:paraId="2EB3F9A0" w14:textId="77777777" w:rsidR="0012606F" w:rsidRPr="0012606F" w:rsidRDefault="0012606F" w:rsidP="0012606F">
            <w:pPr>
              <w:tabs>
                <w:tab w:val="right" w:pos="1202"/>
              </w:tabs>
              <w:spacing w:after="0" w:line="240" w:lineRule="exact"/>
              <w:jc w:val="right"/>
              <w:outlineLvl w:val="0"/>
              <w:rPr>
                <w:rFonts w:ascii="Calibri" w:eastAsia="Calibri" w:hAnsi="Calibri" w:cs="Arial"/>
                <w:b/>
                <w:spacing w:val="-2"/>
                <w:sz w:val="18"/>
                <w:szCs w:val="18"/>
                <w:lang w:val="en-US"/>
              </w:rPr>
            </w:pPr>
            <w:r w:rsidRPr="0012606F">
              <w:rPr>
                <w:rFonts w:ascii="Calibri" w:eastAsia="Times New Roman" w:hAnsi="Calibri" w:cs="Times New Roman"/>
                <w:b/>
                <w:bCs/>
                <w:color w:val="000000"/>
                <w:sz w:val="18"/>
                <w:szCs w:val="18"/>
                <w:lang w:val="en-US"/>
              </w:rPr>
              <w:t>1,976,324</w:t>
            </w:r>
          </w:p>
        </w:tc>
        <w:tc>
          <w:tcPr>
            <w:tcW w:w="572" w:type="pct"/>
            <w:tcBorders>
              <w:top w:val="single" w:sz="8" w:space="0" w:color="auto"/>
              <w:left w:val="nil"/>
              <w:bottom w:val="single" w:sz="8" w:space="0" w:color="auto"/>
              <w:right w:val="nil"/>
            </w:tcBorders>
            <w:shd w:val="clear" w:color="auto" w:fill="auto"/>
            <w:vAlign w:val="bottom"/>
          </w:tcPr>
          <w:p w14:paraId="497C473E" w14:textId="77777777" w:rsidR="0012606F" w:rsidRPr="0012606F" w:rsidRDefault="0012606F" w:rsidP="0012606F">
            <w:pPr>
              <w:tabs>
                <w:tab w:val="right" w:pos="1202"/>
              </w:tabs>
              <w:spacing w:after="0" w:line="240" w:lineRule="exact"/>
              <w:jc w:val="right"/>
              <w:outlineLvl w:val="0"/>
              <w:rPr>
                <w:rFonts w:ascii="Calibri" w:eastAsia="Calibri" w:hAnsi="Calibri" w:cs="Arial"/>
                <w:b/>
                <w:spacing w:val="-2"/>
                <w:sz w:val="18"/>
                <w:szCs w:val="18"/>
                <w:lang w:val="en-US"/>
              </w:rPr>
            </w:pPr>
            <w:r w:rsidRPr="0012606F">
              <w:rPr>
                <w:rFonts w:ascii="Calibri" w:eastAsia="Times New Roman" w:hAnsi="Calibri" w:cs="Times New Roman"/>
                <w:b/>
                <w:bCs/>
                <w:color w:val="000000"/>
                <w:sz w:val="18"/>
                <w:szCs w:val="18"/>
                <w:lang w:val="en-US"/>
              </w:rPr>
              <w:t>5,970,482</w:t>
            </w:r>
          </w:p>
        </w:tc>
        <w:tc>
          <w:tcPr>
            <w:tcW w:w="573" w:type="pct"/>
            <w:tcBorders>
              <w:top w:val="single" w:sz="8" w:space="0" w:color="auto"/>
              <w:left w:val="nil"/>
              <w:bottom w:val="single" w:sz="8" w:space="0" w:color="auto"/>
              <w:right w:val="nil"/>
            </w:tcBorders>
            <w:shd w:val="clear" w:color="auto" w:fill="auto"/>
            <w:vAlign w:val="bottom"/>
          </w:tcPr>
          <w:p w14:paraId="3FC5EEC3" w14:textId="77777777" w:rsidR="0012606F" w:rsidRPr="0012606F" w:rsidRDefault="0012606F" w:rsidP="0012606F">
            <w:pPr>
              <w:tabs>
                <w:tab w:val="right" w:pos="1202"/>
              </w:tabs>
              <w:spacing w:after="0" w:line="240" w:lineRule="exact"/>
              <w:jc w:val="right"/>
              <w:outlineLvl w:val="0"/>
              <w:rPr>
                <w:rFonts w:ascii="Calibri" w:eastAsia="Calibri" w:hAnsi="Calibri" w:cs="Arial"/>
                <w:b/>
                <w:spacing w:val="-2"/>
                <w:sz w:val="18"/>
                <w:szCs w:val="18"/>
                <w:lang w:val="en-US"/>
              </w:rPr>
            </w:pPr>
            <w:r w:rsidRPr="0012606F">
              <w:rPr>
                <w:rFonts w:ascii="Calibri" w:eastAsia="Times New Roman" w:hAnsi="Calibri" w:cs="Times New Roman"/>
                <w:b/>
                <w:bCs/>
                <w:color w:val="000000"/>
                <w:sz w:val="18"/>
                <w:szCs w:val="18"/>
                <w:lang w:val="en-US"/>
              </w:rPr>
              <w:t>8,156,292</w:t>
            </w:r>
          </w:p>
        </w:tc>
        <w:tc>
          <w:tcPr>
            <w:tcW w:w="564" w:type="pct"/>
            <w:tcBorders>
              <w:top w:val="single" w:sz="8" w:space="0" w:color="auto"/>
              <w:left w:val="nil"/>
              <w:bottom w:val="single" w:sz="8" w:space="0" w:color="auto"/>
              <w:right w:val="nil"/>
            </w:tcBorders>
            <w:shd w:val="clear" w:color="auto" w:fill="auto"/>
            <w:vAlign w:val="bottom"/>
          </w:tcPr>
          <w:p w14:paraId="2765957E" w14:textId="77777777" w:rsidR="0012606F" w:rsidRPr="0012606F" w:rsidRDefault="0012606F" w:rsidP="0012606F">
            <w:pPr>
              <w:tabs>
                <w:tab w:val="right" w:pos="1202"/>
              </w:tabs>
              <w:spacing w:after="0" w:line="240" w:lineRule="exact"/>
              <w:jc w:val="right"/>
              <w:outlineLvl w:val="0"/>
              <w:rPr>
                <w:rFonts w:ascii="Calibri" w:eastAsia="Calibri" w:hAnsi="Calibri" w:cs="Arial"/>
                <w:b/>
                <w:spacing w:val="-2"/>
                <w:sz w:val="18"/>
                <w:szCs w:val="18"/>
                <w:lang w:val="en-US"/>
              </w:rPr>
            </w:pPr>
            <w:r w:rsidRPr="0012606F">
              <w:rPr>
                <w:rFonts w:ascii="Calibri" w:eastAsia="Times New Roman" w:hAnsi="Calibri" w:cs="Times New Roman"/>
                <w:b/>
                <w:bCs/>
                <w:color w:val="000000"/>
                <w:sz w:val="18"/>
                <w:szCs w:val="18"/>
                <w:lang w:val="en-US"/>
              </w:rPr>
              <w:t>17,682,259</w:t>
            </w:r>
          </w:p>
        </w:tc>
      </w:tr>
      <w:tr w:rsidR="0012606F" w:rsidRPr="0012606F" w14:paraId="54E6A5AB" w14:textId="77777777" w:rsidTr="00E44437">
        <w:trPr>
          <w:trHeight w:hRule="exact" w:val="275"/>
        </w:trPr>
        <w:tc>
          <w:tcPr>
            <w:tcW w:w="1642" w:type="pct"/>
            <w:vAlign w:val="bottom"/>
          </w:tcPr>
          <w:p w14:paraId="43500ECB" w14:textId="77777777" w:rsidR="0012606F" w:rsidRPr="0012606F" w:rsidRDefault="0012606F" w:rsidP="0012606F">
            <w:pPr>
              <w:tabs>
                <w:tab w:val="right" w:pos="1202"/>
              </w:tabs>
              <w:spacing w:after="0" w:line="240" w:lineRule="exact"/>
              <w:outlineLvl w:val="0"/>
              <w:rPr>
                <w:rFonts w:ascii="Calibri" w:eastAsia="Calibri" w:hAnsi="Calibri" w:cs="Arial"/>
                <w:b/>
                <w:bCs/>
                <w:spacing w:val="-2"/>
                <w:sz w:val="18"/>
                <w:szCs w:val="18"/>
                <w:lang w:val="en-US"/>
              </w:rPr>
            </w:pPr>
            <w:r w:rsidRPr="0012606F">
              <w:rPr>
                <w:rFonts w:ascii="Calibri" w:eastAsia="Calibri" w:hAnsi="Calibri" w:cs="Arial"/>
                <w:b/>
                <w:bCs/>
                <w:spacing w:val="-2"/>
                <w:sz w:val="18"/>
                <w:szCs w:val="18"/>
                <w:lang w:val="en-US"/>
              </w:rPr>
              <w:t>Liquidity gap</w:t>
            </w:r>
          </w:p>
        </w:tc>
        <w:tc>
          <w:tcPr>
            <w:tcW w:w="507" w:type="pct"/>
            <w:tcBorders>
              <w:top w:val="single" w:sz="12" w:space="0" w:color="auto"/>
              <w:left w:val="nil"/>
              <w:bottom w:val="single" w:sz="12" w:space="0" w:color="auto"/>
              <w:right w:val="nil"/>
            </w:tcBorders>
            <w:shd w:val="clear" w:color="auto" w:fill="auto"/>
            <w:vAlign w:val="bottom"/>
          </w:tcPr>
          <w:p w14:paraId="715469AB" w14:textId="77777777" w:rsidR="0012606F" w:rsidRPr="0012606F" w:rsidRDefault="0012606F" w:rsidP="0012606F">
            <w:pPr>
              <w:tabs>
                <w:tab w:val="right" w:pos="1202"/>
              </w:tabs>
              <w:spacing w:after="0" w:line="240" w:lineRule="exact"/>
              <w:jc w:val="right"/>
              <w:outlineLvl w:val="0"/>
              <w:rPr>
                <w:rFonts w:ascii="Calibri" w:eastAsia="Calibri" w:hAnsi="Calibri" w:cs="Calibri"/>
                <w:b/>
                <w:bCs/>
                <w:color w:val="000000"/>
                <w:sz w:val="18"/>
                <w:szCs w:val="18"/>
                <w:lang w:val="en-GB"/>
              </w:rPr>
            </w:pPr>
            <w:r w:rsidRPr="0012606F">
              <w:rPr>
                <w:rFonts w:ascii="Calibri" w:eastAsia="Times New Roman" w:hAnsi="Calibri" w:cs="Times New Roman"/>
                <w:b/>
                <w:bCs/>
                <w:color w:val="000000"/>
                <w:sz w:val="18"/>
                <w:szCs w:val="18"/>
                <w:lang w:val="en-US"/>
              </w:rPr>
              <w:t>5,907,600</w:t>
            </w:r>
          </w:p>
        </w:tc>
        <w:tc>
          <w:tcPr>
            <w:tcW w:w="552" w:type="pct"/>
            <w:tcBorders>
              <w:top w:val="single" w:sz="12" w:space="0" w:color="auto"/>
              <w:left w:val="nil"/>
              <w:bottom w:val="single" w:sz="12" w:space="0" w:color="auto"/>
              <w:right w:val="nil"/>
            </w:tcBorders>
            <w:shd w:val="clear" w:color="auto" w:fill="auto"/>
            <w:vAlign w:val="bottom"/>
          </w:tcPr>
          <w:p w14:paraId="4E66C2DA" w14:textId="77777777" w:rsidR="0012606F" w:rsidRPr="0012606F" w:rsidRDefault="0012606F" w:rsidP="0012606F">
            <w:pPr>
              <w:tabs>
                <w:tab w:val="right" w:pos="1202"/>
              </w:tabs>
              <w:spacing w:after="0" w:line="240" w:lineRule="exact"/>
              <w:jc w:val="right"/>
              <w:outlineLvl w:val="0"/>
              <w:rPr>
                <w:rFonts w:ascii="Calibri" w:eastAsia="Calibri" w:hAnsi="Calibri" w:cs="Calibri"/>
                <w:b/>
                <w:bCs/>
                <w:color w:val="000000"/>
                <w:sz w:val="18"/>
                <w:szCs w:val="18"/>
                <w:lang w:val="en-GB"/>
              </w:rPr>
            </w:pPr>
            <w:r w:rsidRPr="0012606F">
              <w:rPr>
                <w:rFonts w:ascii="Calibri" w:eastAsia="Times New Roman" w:hAnsi="Calibri" w:cs="Times New Roman"/>
                <w:b/>
                <w:bCs/>
                <w:color w:val="000000"/>
                <w:sz w:val="18"/>
                <w:szCs w:val="18"/>
                <w:lang w:val="en-US"/>
              </w:rPr>
              <w:t>171,357</w:t>
            </w:r>
          </w:p>
        </w:tc>
        <w:tc>
          <w:tcPr>
            <w:tcW w:w="590" w:type="pct"/>
            <w:tcBorders>
              <w:top w:val="single" w:sz="12" w:space="0" w:color="auto"/>
              <w:left w:val="nil"/>
              <w:bottom w:val="single" w:sz="12" w:space="0" w:color="auto"/>
              <w:right w:val="nil"/>
            </w:tcBorders>
            <w:shd w:val="clear" w:color="auto" w:fill="auto"/>
            <w:vAlign w:val="bottom"/>
          </w:tcPr>
          <w:p w14:paraId="574DF73E" w14:textId="77777777" w:rsidR="0012606F" w:rsidRPr="0012606F" w:rsidRDefault="0012606F" w:rsidP="0012606F">
            <w:pPr>
              <w:tabs>
                <w:tab w:val="right" w:pos="1202"/>
              </w:tabs>
              <w:spacing w:after="0" w:line="240" w:lineRule="exact"/>
              <w:jc w:val="right"/>
              <w:outlineLvl w:val="0"/>
              <w:rPr>
                <w:rFonts w:ascii="Calibri" w:eastAsia="Calibri" w:hAnsi="Calibri" w:cs="Calibri"/>
                <w:b/>
                <w:bCs/>
                <w:color w:val="000000"/>
                <w:sz w:val="18"/>
                <w:szCs w:val="18"/>
                <w:lang w:val="en-GB"/>
              </w:rPr>
            </w:pPr>
            <w:r w:rsidRPr="0012606F">
              <w:rPr>
                <w:rFonts w:ascii="Calibri" w:eastAsia="Times New Roman" w:hAnsi="Calibri" w:cs="Times New Roman"/>
                <w:b/>
                <w:bCs/>
                <w:color w:val="000000"/>
                <w:sz w:val="18"/>
                <w:szCs w:val="18"/>
                <w:lang w:val="en-US"/>
              </w:rPr>
              <w:t>(24,173)</w:t>
            </w:r>
          </w:p>
        </w:tc>
        <w:tc>
          <w:tcPr>
            <w:tcW w:w="572" w:type="pct"/>
            <w:tcBorders>
              <w:top w:val="single" w:sz="12" w:space="0" w:color="auto"/>
              <w:left w:val="nil"/>
              <w:bottom w:val="single" w:sz="12" w:space="0" w:color="auto"/>
              <w:right w:val="nil"/>
            </w:tcBorders>
            <w:shd w:val="clear" w:color="auto" w:fill="auto"/>
            <w:vAlign w:val="bottom"/>
          </w:tcPr>
          <w:p w14:paraId="6512DB64" w14:textId="77777777" w:rsidR="0012606F" w:rsidRPr="0012606F" w:rsidRDefault="0012606F" w:rsidP="0012606F">
            <w:pPr>
              <w:tabs>
                <w:tab w:val="right" w:pos="1202"/>
              </w:tabs>
              <w:spacing w:after="0" w:line="240" w:lineRule="exact"/>
              <w:jc w:val="right"/>
              <w:outlineLvl w:val="0"/>
              <w:rPr>
                <w:rFonts w:ascii="Calibri" w:eastAsia="Calibri" w:hAnsi="Calibri" w:cs="Calibri"/>
                <w:b/>
                <w:bCs/>
                <w:color w:val="000000"/>
                <w:sz w:val="18"/>
                <w:szCs w:val="18"/>
                <w:lang w:val="en-GB"/>
              </w:rPr>
            </w:pPr>
            <w:r w:rsidRPr="0012606F">
              <w:rPr>
                <w:rFonts w:ascii="Calibri" w:eastAsia="Times New Roman" w:hAnsi="Calibri" w:cs="Times New Roman"/>
                <w:b/>
                <w:bCs/>
                <w:color w:val="000000"/>
                <w:sz w:val="18"/>
                <w:szCs w:val="18"/>
                <w:lang w:val="en-US"/>
              </w:rPr>
              <w:t>(832,276)</w:t>
            </w:r>
          </w:p>
        </w:tc>
        <w:tc>
          <w:tcPr>
            <w:tcW w:w="573" w:type="pct"/>
            <w:tcBorders>
              <w:top w:val="single" w:sz="12" w:space="0" w:color="auto"/>
              <w:left w:val="nil"/>
              <w:bottom w:val="single" w:sz="12" w:space="0" w:color="auto"/>
              <w:right w:val="nil"/>
            </w:tcBorders>
            <w:shd w:val="clear" w:color="auto" w:fill="auto"/>
            <w:vAlign w:val="bottom"/>
          </w:tcPr>
          <w:p w14:paraId="1F776B50" w14:textId="77777777" w:rsidR="0012606F" w:rsidRPr="0012606F" w:rsidRDefault="0012606F" w:rsidP="0012606F">
            <w:pPr>
              <w:tabs>
                <w:tab w:val="right" w:pos="1202"/>
              </w:tabs>
              <w:spacing w:after="0" w:line="240" w:lineRule="exact"/>
              <w:jc w:val="right"/>
              <w:outlineLvl w:val="0"/>
              <w:rPr>
                <w:rFonts w:ascii="Calibri" w:eastAsia="Calibri" w:hAnsi="Calibri" w:cs="Calibri"/>
                <w:b/>
                <w:bCs/>
                <w:color w:val="000000"/>
                <w:sz w:val="18"/>
                <w:szCs w:val="18"/>
                <w:lang w:val="en-GB"/>
              </w:rPr>
            </w:pPr>
            <w:r w:rsidRPr="0012606F">
              <w:rPr>
                <w:rFonts w:ascii="Calibri" w:eastAsia="Times New Roman" w:hAnsi="Calibri" w:cs="Times New Roman"/>
                <w:b/>
                <w:bCs/>
                <w:color w:val="000000"/>
                <w:sz w:val="18"/>
                <w:szCs w:val="18"/>
                <w:lang w:val="en-US"/>
              </w:rPr>
              <w:t>5,345,221</w:t>
            </w:r>
          </w:p>
        </w:tc>
        <w:tc>
          <w:tcPr>
            <w:tcW w:w="564" w:type="pct"/>
            <w:tcBorders>
              <w:top w:val="single" w:sz="12" w:space="0" w:color="auto"/>
              <w:left w:val="nil"/>
              <w:bottom w:val="single" w:sz="12" w:space="0" w:color="auto"/>
              <w:right w:val="nil"/>
            </w:tcBorders>
            <w:shd w:val="clear" w:color="auto" w:fill="auto"/>
            <w:vAlign w:val="bottom"/>
          </w:tcPr>
          <w:p w14:paraId="435CA9B0" w14:textId="77777777" w:rsidR="0012606F" w:rsidRPr="0012606F" w:rsidRDefault="0012606F" w:rsidP="0012606F">
            <w:pPr>
              <w:tabs>
                <w:tab w:val="right" w:pos="1202"/>
              </w:tabs>
              <w:spacing w:after="0" w:line="240" w:lineRule="exact"/>
              <w:jc w:val="right"/>
              <w:outlineLvl w:val="0"/>
              <w:rPr>
                <w:rFonts w:ascii="Calibri" w:eastAsia="Calibri" w:hAnsi="Calibri" w:cs="Calibri"/>
                <w:b/>
                <w:bCs/>
                <w:color w:val="000000"/>
                <w:sz w:val="18"/>
                <w:szCs w:val="18"/>
                <w:lang w:val="en-GB"/>
              </w:rPr>
            </w:pPr>
            <w:r w:rsidRPr="0012606F">
              <w:rPr>
                <w:rFonts w:ascii="Calibri" w:eastAsia="Times New Roman" w:hAnsi="Calibri" w:cs="Times New Roman"/>
                <w:b/>
                <w:bCs/>
                <w:color w:val="000000"/>
                <w:sz w:val="18"/>
                <w:szCs w:val="18"/>
                <w:lang w:val="en-US"/>
              </w:rPr>
              <w:t>10,567,729</w:t>
            </w:r>
          </w:p>
        </w:tc>
      </w:tr>
      <w:tr w:rsidR="0012606F" w:rsidRPr="0012606F" w14:paraId="7855E930" w14:textId="77777777" w:rsidTr="00E44437">
        <w:trPr>
          <w:trHeight w:hRule="exact" w:val="275"/>
        </w:trPr>
        <w:tc>
          <w:tcPr>
            <w:tcW w:w="1642" w:type="pct"/>
            <w:vAlign w:val="bottom"/>
          </w:tcPr>
          <w:p w14:paraId="2F6E7E11" w14:textId="77777777" w:rsidR="0012606F" w:rsidRPr="0012606F" w:rsidRDefault="0012606F" w:rsidP="0012606F">
            <w:pPr>
              <w:tabs>
                <w:tab w:val="right" w:pos="1202"/>
              </w:tabs>
              <w:spacing w:after="0" w:line="240" w:lineRule="exact"/>
              <w:outlineLvl w:val="0"/>
              <w:rPr>
                <w:rFonts w:ascii="Calibri" w:eastAsia="Calibri" w:hAnsi="Calibri" w:cs="Arial"/>
                <w:b/>
                <w:bCs/>
                <w:spacing w:val="-2"/>
                <w:sz w:val="18"/>
                <w:szCs w:val="18"/>
                <w:lang w:val="en-US"/>
              </w:rPr>
            </w:pPr>
          </w:p>
        </w:tc>
        <w:tc>
          <w:tcPr>
            <w:tcW w:w="507" w:type="pct"/>
            <w:tcBorders>
              <w:top w:val="single" w:sz="12" w:space="0" w:color="auto"/>
              <w:left w:val="nil"/>
              <w:right w:val="nil"/>
            </w:tcBorders>
            <w:shd w:val="clear" w:color="auto" w:fill="auto"/>
            <w:vAlign w:val="bottom"/>
          </w:tcPr>
          <w:p w14:paraId="3CE73010"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52" w:type="pct"/>
            <w:tcBorders>
              <w:top w:val="single" w:sz="12" w:space="0" w:color="auto"/>
              <w:left w:val="nil"/>
              <w:right w:val="nil"/>
            </w:tcBorders>
            <w:shd w:val="clear" w:color="auto" w:fill="auto"/>
            <w:vAlign w:val="bottom"/>
          </w:tcPr>
          <w:p w14:paraId="0C2BA025"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90" w:type="pct"/>
            <w:tcBorders>
              <w:top w:val="single" w:sz="12" w:space="0" w:color="auto"/>
              <w:left w:val="nil"/>
              <w:right w:val="nil"/>
            </w:tcBorders>
            <w:shd w:val="clear" w:color="auto" w:fill="auto"/>
            <w:vAlign w:val="bottom"/>
          </w:tcPr>
          <w:p w14:paraId="00AB661D"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2" w:type="pct"/>
            <w:tcBorders>
              <w:top w:val="single" w:sz="12" w:space="0" w:color="auto"/>
              <w:left w:val="nil"/>
              <w:right w:val="nil"/>
            </w:tcBorders>
            <w:shd w:val="clear" w:color="auto" w:fill="auto"/>
            <w:vAlign w:val="bottom"/>
          </w:tcPr>
          <w:p w14:paraId="4A7922A1"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3" w:type="pct"/>
            <w:tcBorders>
              <w:top w:val="single" w:sz="12" w:space="0" w:color="auto"/>
              <w:left w:val="nil"/>
              <w:right w:val="nil"/>
            </w:tcBorders>
            <w:shd w:val="clear" w:color="auto" w:fill="auto"/>
            <w:vAlign w:val="bottom"/>
          </w:tcPr>
          <w:p w14:paraId="243247E4"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64" w:type="pct"/>
            <w:tcBorders>
              <w:top w:val="single" w:sz="12" w:space="0" w:color="auto"/>
              <w:left w:val="nil"/>
              <w:right w:val="nil"/>
            </w:tcBorders>
            <w:shd w:val="clear" w:color="auto" w:fill="auto"/>
            <w:vAlign w:val="bottom"/>
          </w:tcPr>
          <w:p w14:paraId="37FCCD1F"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12606F" w:rsidRPr="0012606F" w14:paraId="1AA62B5E" w14:textId="77777777" w:rsidTr="00E44437">
        <w:trPr>
          <w:trHeight w:hRule="exact" w:val="275"/>
        </w:trPr>
        <w:tc>
          <w:tcPr>
            <w:tcW w:w="1642" w:type="pct"/>
            <w:vAlign w:val="bottom"/>
          </w:tcPr>
          <w:p w14:paraId="12DFC8DB" w14:textId="77777777" w:rsidR="0012606F" w:rsidRPr="0012606F" w:rsidRDefault="0012606F" w:rsidP="0012606F">
            <w:pPr>
              <w:tabs>
                <w:tab w:val="right" w:pos="1202"/>
              </w:tabs>
              <w:spacing w:after="0" w:line="240" w:lineRule="exact"/>
              <w:outlineLvl w:val="0"/>
              <w:rPr>
                <w:rFonts w:ascii="Calibri" w:eastAsia="Calibri" w:hAnsi="Calibri" w:cs="Arial"/>
                <w:b/>
                <w:bCs/>
                <w:spacing w:val="-2"/>
                <w:sz w:val="18"/>
                <w:szCs w:val="18"/>
                <w:lang w:val="en-US"/>
              </w:rPr>
            </w:pPr>
            <w:r w:rsidRPr="0012606F">
              <w:rPr>
                <w:rFonts w:ascii="Calibri" w:eastAsia="Times New Roman" w:hAnsi="Calibri" w:cs="Arial"/>
                <w:b/>
                <w:bCs/>
                <w:spacing w:val="-2"/>
                <w:sz w:val="18"/>
                <w:szCs w:val="18"/>
                <w:lang w:val="en-US"/>
              </w:rPr>
              <w:t>Guarantees and commitments</w:t>
            </w:r>
          </w:p>
        </w:tc>
        <w:tc>
          <w:tcPr>
            <w:tcW w:w="507" w:type="pct"/>
            <w:tcBorders>
              <w:top w:val="nil"/>
              <w:left w:val="nil"/>
              <w:bottom w:val="nil"/>
              <w:right w:val="nil"/>
            </w:tcBorders>
            <w:shd w:val="clear" w:color="auto" w:fill="auto"/>
            <w:vAlign w:val="bottom"/>
          </w:tcPr>
          <w:p w14:paraId="2E293B1F"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52" w:type="pct"/>
            <w:tcBorders>
              <w:top w:val="nil"/>
              <w:left w:val="nil"/>
              <w:bottom w:val="nil"/>
              <w:right w:val="nil"/>
            </w:tcBorders>
            <w:shd w:val="clear" w:color="auto" w:fill="auto"/>
            <w:vAlign w:val="bottom"/>
          </w:tcPr>
          <w:p w14:paraId="7ECDEBA0"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90" w:type="pct"/>
            <w:tcBorders>
              <w:top w:val="nil"/>
              <w:left w:val="nil"/>
              <w:bottom w:val="nil"/>
              <w:right w:val="nil"/>
            </w:tcBorders>
            <w:shd w:val="clear" w:color="auto" w:fill="auto"/>
            <w:vAlign w:val="bottom"/>
          </w:tcPr>
          <w:p w14:paraId="3CD55163"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2" w:type="pct"/>
            <w:tcBorders>
              <w:top w:val="nil"/>
              <w:left w:val="nil"/>
              <w:bottom w:val="nil"/>
              <w:right w:val="nil"/>
            </w:tcBorders>
            <w:shd w:val="clear" w:color="auto" w:fill="auto"/>
            <w:vAlign w:val="bottom"/>
          </w:tcPr>
          <w:p w14:paraId="5EA00AF8"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3" w:type="pct"/>
            <w:tcBorders>
              <w:top w:val="nil"/>
              <w:left w:val="nil"/>
              <w:bottom w:val="nil"/>
              <w:right w:val="nil"/>
            </w:tcBorders>
            <w:shd w:val="clear" w:color="auto" w:fill="auto"/>
            <w:vAlign w:val="bottom"/>
          </w:tcPr>
          <w:p w14:paraId="3CD1BB4A"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64" w:type="pct"/>
            <w:tcBorders>
              <w:top w:val="nil"/>
              <w:left w:val="nil"/>
              <w:bottom w:val="nil"/>
              <w:right w:val="nil"/>
            </w:tcBorders>
            <w:shd w:val="clear" w:color="auto" w:fill="auto"/>
            <w:vAlign w:val="bottom"/>
          </w:tcPr>
          <w:p w14:paraId="550ACEA3"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12606F" w:rsidRPr="0012606F" w14:paraId="52344D9D" w14:textId="77777777" w:rsidTr="00E44437">
        <w:trPr>
          <w:trHeight w:hRule="exact" w:val="275"/>
        </w:trPr>
        <w:tc>
          <w:tcPr>
            <w:tcW w:w="1642" w:type="pct"/>
            <w:vAlign w:val="bottom"/>
          </w:tcPr>
          <w:p w14:paraId="73DA7B0E" w14:textId="77777777" w:rsidR="0012606F" w:rsidRPr="0012606F" w:rsidRDefault="0012606F" w:rsidP="0012606F">
            <w:pPr>
              <w:tabs>
                <w:tab w:val="right" w:pos="1202"/>
              </w:tabs>
              <w:spacing w:after="0" w:line="240" w:lineRule="exact"/>
              <w:outlineLvl w:val="0"/>
              <w:rPr>
                <w:rFonts w:ascii="Calibri" w:eastAsia="Calibri" w:hAnsi="Calibri" w:cs="Arial"/>
                <w:b/>
                <w:bCs/>
                <w:spacing w:val="-2"/>
                <w:sz w:val="18"/>
                <w:szCs w:val="18"/>
                <w:lang w:val="en-US"/>
              </w:rPr>
            </w:pPr>
            <w:r w:rsidRPr="0012606F">
              <w:rPr>
                <w:rFonts w:ascii="Calibri" w:eastAsia="Times New Roman" w:hAnsi="Calibri" w:cs="Arial"/>
                <w:spacing w:val="-2"/>
                <w:sz w:val="18"/>
                <w:szCs w:val="18"/>
                <w:lang w:val="en-US"/>
              </w:rPr>
              <w:t>Guarantees issued in HRK</w:t>
            </w:r>
          </w:p>
        </w:tc>
        <w:tc>
          <w:tcPr>
            <w:tcW w:w="507" w:type="pct"/>
            <w:tcBorders>
              <w:top w:val="nil"/>
              <w:left w:val="nil"/>
              <w:bottom w:val="nil"/>
              <w:right w:val="nil"/>
            </w:tcBorders>
            <w:shd w:val="clear" w:color="auto" w:fill="auto"/>
            <w:vAlign w:val="center"/>
          </w:tcPr>
          <w:p w14:paraId="1FAFB3FC"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color w:val="000000"/>
                <w:sz w:val="18"/>
                <w:szCs w:val="18"/>
                <w:lang w:val="en-US"/>
              </w:rPr>
            </w:pPr>
            <w:r w:rsidRPr="0012606F">
              <w:rPr>
                <w:rFonts w:ascii="Calibri" w:eastAsia="Times New Roman" w:hAnsi="Calibri" w:cs="Times New Roman"/>
                <w:color w:val="000000"/>
                <w:sz w:val="18"/>
                <w:szCs w:val="18"/>
                <w:lang w:val="en-US"/>
              </w:rPr>
              <w:t xml:space="preserve"> 170,555 </w:t>
            </w:r>
          </w:p>
        </w:tc>
        <w:tc>
          <w:tcPr>
            <w:tcW w:w="552" w:type="pct"/>
            <w:tcBorders>
              <w:top w:val="nil"/>
              <w:left w:val="nil"/>
              <w:bottom w:val="nil"/>
              <w:right w:val="nil"/>
            </w:tcBorders>
            <w:shd w:val="clear" w:color="auto" w:fill="auto"/>
            <w:vAlign w:val="center"/>
          </w:tcPr>
          <w:p w14:paraId="3298939A"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color w:val="000000"/>
                <w:sz w:val="18"/>
                <w:szCs w:val="18"/>
                <w:lang w:val="en-US"/>
              </w:rPr>
            </w:pPr>
            <w:r w:rsidRPr="0012606F">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center"/>
          </w:tcPr>
          <w:p w14:paraId="2263589C"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color w:val="000000"/>
                <w:sz w:val="18"/>
                <w:szCs w:val="18"/>
                <w:lang w:val="en-US"/>
              </w:rPr>
            </w:pPr>
            <w:r w:rsidRPr="0012606F">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center"/>
          </w:tcPr>
          <w:p w14:paraId="584B0E18"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color w:val="000000"/>
                <w:sz w:val="18"/>
                <w:szCs w:val="18"/>
                <w:lang w:val="en-US"/>
              </w:rPr>
            </w:pPr>
            <w:r w:rsidRPr="0012606F">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center"/>
          </w:tcPr>
          <w:p w14:paraId="52689C1D"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color w:val="000000"/>
                <w:sz w:val="18"/>
                <w:szCs w:val="18"/>
                <w:lang w:val="en-US"/>
              </w:rPr>
            </w:pPr>
            <w:r w:rsidRPr="0012606F">
              <w:rPr>
                <w:rFonts w:ascii="Calibri" w:eastAsia="Times New Roman" w:hAnsi="Calibri" w:cs="Times New Roman"/>
                <w:color w:val="000000"/>
                <w:sz w:val="18"/>
                <w:szCs w:val="18"/>
                <w:lang w:val="en-US"/>
              </w:rPr>
              <w:t xml:space="preserve"> - </w:t>
            </w:r>
          </w:p>
        </w:tc>
        <w:tc>
          <w:tcPr>
            <w:tcW w:w="564" w:type="pct"/>
            <w:tcBorders>
              <w:top w:val="nil"/>
              <w:left w:val="nil"/>
              <w:bottom w:val="nil"/>
              <w:right w:val="nil"/>
            </w:tcBorders>
            <w:shd w:val="clear" w:color="auto" w:fill="auto"/>
            <w:vAlign w:val="center"/>
          </w:tcPr>
          <w:p w14:paraId="1239E5DF"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color w:val="000000"/>
                <w:sz w:val="18"/>
                <w:szCs w:val="18"/>
                <w:lang w:val="en-US"/>
              </w:rPr>
            </w:pPr>
            <w:r w:rsidRPr="0012606F">
              <w:rPr>
                <w:rFonts w:ascii="Calibri" w:eastAsia="Times New Roman" w:hAnsi="Calibri" w:cs="Times New Roman"/>
                <w:color w:val="000000"/>
                <w:sz w:val="18"/>
                <w:szCs w:val="18"/>
                <w:lang w:val="en-US"/>
              </w:rPr>
              <w:t>170,555</w:t>
            </w:r>
          </w:p>
        </w:tc>
      </w:tr>
      <w:tr w:rsidR="0012606F" w:rsidRPr="0012606F" w14:paraId="2F05A076" w14:textId="77777777" w:rsidTr="00E44437">
        <w:trPr>
          <w:trHeight w:hRule="exact" w:val="275"/>
        </w:trPr>
        <w:tc>
          <w:tcPr>
            <w:tcW w:w="1642" w:type="pct"/>
            <w:vAlign w:val="bottom"/>
          </w:tcPr>
          <w:p w14:paraId="3B926351" w14:textId="77777777" w:rsidR="0012606F" w:rsidRPr="0012606F" w:rsidRDefault="0012606F" w:rsidP="0012606F">
            <w:pPr>
              <w:tabs>
                <w:tab w:val="right" w:pos="1202"/>
              </w:tabs>
              <w:spacing w:after="0" w:line="240" w:lineRule="exact"/>
              <w:outlineLvl w:val="0"/>
              <w:rPr>
                <w:rFonts w:ascii="Calibri" w:eastAsia="Calibri" w:hAnsi="Calibri" w:cs="Arial"/>
                <w:b/>
                <w:bCs/>
                <w:spacing w:val="-2"/>
                <w:sz w:val="18"/>
                <w:szCs w:val="18"/>
                <w:lang w:val="en-US"/>
              </w:rPr>
            </w:pPr>
            <w:r w:rsidRPr="0012606F">
              <w:rPr>
                <w:rFonts w:ascii="Calibri" w:eastAsia="Times New Roman" w:hAnsi="Calibri" w:cs="Arial"/>
                <w:spacing w:val="-2"/>
                <w:sz w:val="18"/>
                <w:szCs w:val="18"/>
                <w:lang w:val="en-US"/>
              </w:rPr>
              <w:t>Issued guarantees in foreign currency</w:t>
            </w:r>
          </w:p>
        </w:tc>
        <w:tc>
          <w:tcPr>
            <w:tcW w:w="507" w:type="pct"/>
            <w:tcBorders>
              <w:top w:val="nil"/>
              <w:left w:val="nil"/>
              <w:bottom w:val="nil"/>
              <w:right w:val="nil"/>
            </w:tcBorders>
            <w:shd w:val="clear" w:color="auto" w:fill="auto"/>
            <w:vAlign w:val="center"/>
          </w:tcPr>
          <w:p w14:paraId="79F8E7C0"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color w:val="000000"/>
                <w:sz w:val="18"/>
                <w:szCs w:val="18"/>
                <w:lang w:val="en-US"/>
              </w:rPr>
            </w:pPr>
            <w:r w:rsidRPr="0012606F">
              <w:rPr>
                <w:rFonts w:ascii="Calibri" w:eastAsia="Times New Roman" w:hAnsi="Calibri" w:cs="Times New Roman"/>
                <w:color w:val="000000"/>
                <w:sz w:val="18"/>
                <w:szCs w:val="18"/>
                <w:lang w:val="en-US"/>
              </w:rPr>
              <w:t xml:space="preserve"> 325,103 </w:t>
            </w:r>
          </w:p>
        </w:tc>
        <w:tc>
          <w:tcPr>
            <w:tcW w:w="552" w:type="pct"/>
            <w:tcBorders>
              <w:top w:val="nil"/>
              <w:left w:val="nil"/>
              <w:bottom w:val="nil"/>
              <w:right w:val="nil"/>
            </w:tcBorders>
            <w:shd w:val="clear" w:color="auto" w:fill="auto"/>
            <w:vAlign w:val="center"/>
          </w:tcPr>
          <w:p w14:paraId="5CDF9BF9"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color w:val="000000"/>
                <w:sz w:val="18"/>
                <w:szCs w:val="18"/>
                <w:lang w:val="en-US"/>
              </w:rPr>
            </w:pPr>
            <w:r w:rsidRPr="0012606F">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center"/>
          </w:tcPr>
          <w:p w14:paraId="096F769A"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color w:val="000000"/>
                <w:sz w:val="18"/>
                <w:szCs w:val="18"/>
                <w:lang w:val="en-US"/>
              </w:rPr>
            </w:pPr>
            <w:r w:rsidRPr="0012606F">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center"/>
          </w:tcPr>
          <w:p w14:paraId="1425AEF1"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color w:val="000000"/>
                <w:sz w:val="18"/>
                <w:szCs w:val="18"/>
                <w:lang w:val="en-US"/>
              </w:rPr>
            </w:pPr>
            <w:r w:rsidRPr="0012606F">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center"/>
          </w:tcPr>
          <w:p w14:paraId="04B5017C"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color w:val="000000"/>
                <w:sz w:val="18"/>
                <w:szCs w:val="18"/>
                <w:lang w:val="en-US"/>
              </w:rPr>
            </w:pPr>
            <w:r w:rsidRPr="0012606F">
              <w:rPr>
                <w:rFonts w:ascii="Calibri" w:eastAsia="Times New Roman" w:hAnsi="Calibri" w:cs="Times New Roman"/>
                <w:color w:val="000000"/>
                <w:sz w:val="18"/>
                <w:szCs w:val="18"/>
                <w:lang w:val="en-US"/>
              </w:rPr>
              <w:t xml:space="preserve"> - </w:t>
            </w:r>
          </w:p>
        </w:tc>
        <w:tc>
          <w:tcPr>
            <w:tcW w:w="564" w:type="pct"/>
            <w:tcBorders>
              <w:top w:val="nil"/>
              <w:left w:val="nil"/>
              <w:bottom w:val="nil"/>
              <w:right w:val="nil"/>
            </w:tcBorders>
            <w:shd w:val="clear" w:color="auto" w:fill="auto"/>
            <w:vAlign w:val="center"/>
          </w:tcPr>
          <w:p w14:paraId="2F06B2C9"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color w:val="000000"/>
                <w:sz w:val="18"/>
                <w:szCs w:val="18"/>
                <w:lang w:val="en-US"/>
              </w:rPr>
            </w:pPr>
            <w:r w:rsidRPr="0012606F">
              <w:rPr>
                <w:rFonts w:ascii="Calibri" w:eastAsia="Times New Roman" w:hAnsi="Calibri" w:cs="Times New Roman"/>
                <w:color w:val="000000"/>
                <w:sz w:val="18"/>
                <w:szCs w:val="18"/>
                <w:lang w:val="en-US"/>
              </w:rPr>
              <w:t>325,103</w:t>
            </w:r>
          </w:p>
        </w:tc>
      </w:tr>
      <w:tr w:rsidR="0012606F" w:rsidRPr="0012606F" w14:paraId="78DF1740" w14:textId="77777777" w:rsidTr="00E44437">
        <w:trPr>
          <w:trHeight w:hRule="exact" w:val="275"/>
        </w:trPr>
        <w:tc>
          <w:tcPr>
            <w:tcW w:w="1642" w:type="pct"/>
            <w:vAlign w:val="bottom"/>
          </w:tcPr>
          <w:p w14:paraId="05E9A7BC" w14:textId="77777777" w:rsidR="0012606F" w:rsidRPr="0012606F" w:rsidRDefault="0012606F" w:rsidP="0012606F">
            <w:pPr>
              <w:tabs>
                <w:tab w:val="right" w:pos="1202"/>
              </w:tabs>
              <w:spacing w:after="0" w:line="240" w:lineRule="exact"/>
              <w:outlineLvl w:val="0"/>
              <w:rPr>
                <w:rFonts w:ascii="Calibri" w:eastAsia="Calibri" w:hAnsi="Calibri" w:cs="Arial"/>
                <w:b/>
                <w:bCs/>
                <w:spacing w:val="-2"/>
                <w:sz w:val="18"/>
                <w:szCs w:val="18"/>
                <w:lang w:val="en-US"/>
              </w:rPr>
            </w:pPr>
            <w:r w:rsidRPr="0012606F">
              <w:rPr>
                <w:rFonts w:ascii="Calibri" w:eastAsia="Times New Roman" w:hAnsi="Calibri" w:cs="Arial"/>
                <w:spacing w:val="-2"/>
                <w:sz w:val="18"/>
                <w:szCs w:val="18"/>
                <w:lang w:val="en-US"/>
              </w:rPr>
              <w:t>Undrawn loans</w:t>
            </w:r>
          </w:p>
        </w:tc>
        <w:tc>
          <w:tcPr>
            <w:tcW w:w="507" w:type="pct"/>
            <w:tcBorders>
              <w:top w:val="nil"/>
              <w:left w:val="nil"/>
              <w:bottom w:val="nil"/>
              <w:right w:val="nil"/>
            </w:tcBorders>
            <w:shd w:val="clear" w:color="auto" w:fill="auto"/>
            <w:vAlign w:val="center"/>
          </w:tcPr>
          <w:p w14:paraId="6FD49B1B" w14:textId="65985D2D" w:rsidR="0012606F" w:rsidRPr="0012606F" w:rsidRDefault="005465AB" w:rsidP="0012606F">
            <w:pPr>
              <w:tabs>
                <w:tab w:val="right" w:pos="1202"/>
              </w:tabs>
              <w:spacing w:after="0" w:line="240" w:lineRule="exact"/>
              <w:jc w:val="right"/>
              <w:outlineLvl w:val="0"/>
              <w:rPr>
                <w:rFonts w:ascii="Calibri" w:eastAsia="Times New Roman" w:hAnsi="Calibri" w:cs="Calibri"/>
                <w:color w:val="000000"/>
                <w:sz w:val="18"/>
                <w:szCs w:val="18"/>
                <w:lang w:val="en-US"/>
              </w:rPr>
            </w:pPr>
            <w:proofErr w:type="gramStart"/>
            <w:r>
              <w:rPr>
                <w:rFonts w:ascii="Calibri" w:eastAsia="Times New Roman" w:hAnsi="Calibri" w:cs="Times New Roman"/>
                <w:color w:val="000000"/>
                <w:sz w:val="18"/>
                <w:szCs w:val="18"/>
                <w:lang w:val="en-US"/>
              </w:rPr>
              <w:t>3</w:t>
            </w:r>
            <w:r w:rsidR="0012606F" w:rsidRPr="0012606F">
              <w:rPr>
                <w:rFonts w:ascii="Calibri" w:eastAsia="Times New Roman" w:hAnsi="Calibri" w:cs="Times New Roman"/>
                <w:color w:val="000000"/>
                <w:sz w:val="18"/>
                <w:szCs w:val="18"/>
                <w:lang w:val="en-US"/>
              </w:rPr>
              <w:t>,492,038  -</w:t>
            </w:r>
            <w:proofErr w:type="gramEnd"/>
            <w:r w:rsidR="0012606F" w:rsidRPr="0012606F">
              <w:rPr>
                <w:rFonts w:ascii="Calibri" w:eastAsia="Times New Roman" w:hAnsi="Calibri" w:cs="Times New Roman"/>
                <w:color w:val="000000"/>
                <w:sz w:val="18"/>
                <w:szCs w:val="18"/>
                <w:lang w:val="en-US"/>
              </w:rPr>
              <w:t xml:space="preserve">  -  -  - 3,492,0383,492,038 </w:t>
            </w:r>
          </w:p>
        </w:tc>
        <w:tc>
          <w:tcPr>
            <w:tcW w:w="552" w:type="pct"/>
            <w:tcBorders>
              <w:top w:val="nil"/>
              <w:left w:val="nil"/>
              <w:bottom w:val="nil"/>
              <w:right w:val="nil"/>
            </w:tcBorders>
            <w:shd w:val="clear" w:color="auto" w:fill="auto"/>
            <w:vAlign w:val="center"/>
          </w:tcPr>
          <w:p w14:paraId="4A4F4368"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color w:val="000000"/>
                <w:sz w:val="18"/>
                <w:szCs w:val="18"/>
                <w:lang w:val="en-US"/>
              </w:rPr>
            </w:pPr>
            <w:r w:rsidRPr="0012606F">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center"/>
          </w:tcPr>
          <w:p w14:paraId="5DD9DC7F"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color w:val="000000"/>
                <w:sz w:val="18"/>
                <w:szCs w:val="18"/>
                <w:lang w:val="en-US"/>
              </w:rPr>
            </w:pPr>
            <w:r w:rsidRPr="0012606F">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center"/>
          </w:tcPr>
          <w:p w14:paraId="09ECEDAD"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color w:val="000000"/>
                <w:sz w:val="18"/>
                <w:szCs w:val="18"/>
                <w:lang w:val="en-US"/>
              </w:rPr>
            </w:pPr>
            <w:r w:rsidRPr="0012606F">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center"/>
          </w:tcPr>
          <w:p w14:paraId="6166AAC9"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color w:val="000000"/>
                <w:sz w:val="18"/>
                <w:szCs w:val="18"/>
                <w:lang w:val="en-US"/>
              </w:rPr>
            </w:pPr>
            <w:r w:rsidRPr="0012606F">
              <w:rPr>
                <w:rFonts w:ascii="Calibri" w:eastAsia="Times New Roman" w:hAnsi="Calibri" w:cs="Times New Roman"/>
                <w:color w:val="000000"/>
                <w:sz w:val="18"/>
                <w:szCs w:val="18"/>
                <w:lang w:val="en-US"/>
              </w:rPr>
              <w:t xml:space="preserve"> - </w:t>
            </w:r>
          </w:p>
        </w:tc>
        <w:tc>
          <w:tcPr>
            <w:tcW w:w="564" w:type="pct"/>
            <w:tcBorders>
              <w:top w:val="nil"/>
              <w:left w:val="nil"/>
              <w:bottom w:val="nil"/>
              <w:right w:val="nil"/>
            </w:tcBorders>
            <w:shd w:val="clear" w:color="auto" w:fill="auto"/>
            <w:vAlign w:val="center"/>
          </w:tcPr>
          <w:p w14:paraId="3AB2CFEA"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color w:val="000000"/>
                <w:sz w:val="18"/>
                <w:szCs w:val="18"/>
                <w:lang w:val="en-US"/>
              </w:rPr>
            </w:pPr>
            <w:r w:rsidRPr="0012606F">
              <w:rPr>
                <w:rFonts w:ascii="Calibri" w:eastAsia="Times New Roman" w:hAnsi="Calibri" w:cs="Times New Roman"/>
                <w:color w:val="000000"/>
                <w:sz w:val="18"/>
                <w:szCs w:val="18"/>
                <w:lang w:val="en-US"/>
              </w:rPr>
              <w:t>3,492,038</w:t>
            </w:r>
          </w:p>
        </w:tc>
      </w:tr>
      <w:tr w:rsidR="0012606F" w:rsidRPr="0012606F" w14:paraId="71372425" w14:textId="77777777" w:rsidTr="00E44437">
        <w:trPr>
          <w:trHeight w:hRule="exact" w:val="275"/>
        </w:trPr>
        <w:tc>
          <w:tcPr>
            <w:tcW w:w="1642" w:type="pct"/>
            <w:vAlign w:val="center"/>
          </w:tcPr>
          <w:p w14:paraId="218BEAE3" w14:textId="77777777" w:rsidR="0012606F" w:rsidRPr="0012606F" w:rsidRDefault="0012606F" w:rsidP="0012606F">
            <w:pPr>
              <w:tabs>
                <w:tab w:val="right" w:pos="1202"/>
              </w:tabs>
              <w:spacing w:after="0" w:line="240" w:lineRule="exact"/>
              <w:outlineLvl w:val="0"/>
              <w:rPr>
                <w:rFonts w:ascii="Calibri" w:eastAsia="Times New Roman" w:hAnsi="Calibri" w:cs="Arial"/>
                <w:spacing w:val="-2"/>
                <w:sz w:val="18"/>
                <w:szCs w:val="18"/>
                <w:lang w:val="en-US"/>
              </w:rPr>
            </w:pPr>
            <w:r w:rsidRPr="0012606F">
              <w:rPr>
                <w:rFonts w:ascii="Calibri" w:eastAsia="Times New Roman" w:hAnsi="Calibri" w:cs="Arial"/>
                <w:sz w:val="18"/>
                <w:szCs w:val="18"/>
                <w:lang w:val="en-US"/>
              </w:rPr>
              <w:t>EIF – subscribed, not called up capital</w:t>
            </w:r>
          </w:p>
        </w:tc>
        <w:tc>
          <w:tcPr>
            <w:tcW w:w="507" w:type="pct"/>
            <w:tcBorders>
              <w:top w:val="nil"/>
              <w:left w:val="nil"/>
              <w:bottom w:val="nil"/>
              <w:right w:val="nil"/>
            </w:tcBorders>
            <w:shd w:val="clear" w:color="auto" w:fill="auto"/>
            <w:vAlign w:val="center"/>
          </w:tcPr>
          <w:p w14:paraId="0FBECB07" w14:textId="02CE2002" w:rsidR="0012606F" w:rsidRPr="0012606F" w:rsidRDefault="0012606F" w:rsidP="0012606F">
            <w:pPr>
              <w:tabs>
                <w:tab w:val="right" w:pos="1202"/>
              </w:tabs>
              <w:spacing w:after="0" w:line="240" w:lineRule="exact"/>
              <w:jc w:val="right"/>
              <w:outlineLvl w:val="0"/>
              <w:rPr>
                <w:rFonts w:ascii="Calibri" w:eastAsia="Times New Roman" w:hAnsi="Calibri" w:cs="Calibri"/>
                <w:color w:val="000000"/>
                <w:sz w:val="18"/>
                <w:szCs w:val="18"/>
                <w:lang w:val="en-US"/>
              </w:rPr>
            </w:pPr>
            <w:r w:rsidRPr="0012606F">
              <w:rPr>
                <w:rFonts w:ascii="Calibri" w:eastAsia="Times New Roman" w:hAnsi="Calibri" w:cs="Times New Roman"/>
                <w:color w:val="000000"/>
                <w:sz w:val="18"/>
                <w:szCs w:val="18"/>
                <w:lang w:val="en-US"/>
              </w:rPr>
              <w:t xml:space="preserve"> </w:t>
            </w:r>
            <w:r w:rsidR="00B711FE">
              <w:rPr>
                <w:rFonts w:ascii="Calibri" w:eastAsia="Times New Roman" w:hAnsi="Calibri" w:cs="Times New Roman"/>
                <w:color w:val="000000"/>
                <w:sz w:val="18"/>
                <w:szCs w:val="18"/>
                <w:lang w:val="en-US"/>
              </w:rPr>
              <w:t>7</w:t>
            </w:r>
            <w:r w:rsidRPr="0012606F">
              <w:rPr>
                <w:rFonts w:ascii="Calibri" w:eastAsia="Times New Roman" w:hAnsi="Calibri" w:cs="Times New Roman"/>
                <w:color w:val="000000"/>
                <w:sz w:val="18"/>
                <w:szCs w:val="18"/>
                <w:lang w:val="en-US"/>
              </w:rPr>
              <w:t xml:space="preserve">8,179 </w:t>
            </w:r>
          </w:p>
        </w:tc>
        <w:tc>
          <w:tcPr>
            <w:tcW w:w="552" w:type="pct"/>
            <w:tcBorders>
              <w:top w:val="nil"/>
              <w:left w:val="nil"/>
              <w:bottom w:val="nil"/>
              <w:right w:val="nil"/>
            </w:tcBorders>
            <w:shd w:val="clear" w:color="auto" w:fill="auto"/>
            <w:vAlign w:val="center"/>
          </w:tcPr>
          <w:p w14:paraId="257F86BD"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color w:val="000000"/>
                <w:sz w:val="18"/>
                <w:szCs w:val="18"/>
                <w:lang w:val="en-US"/>
              </w:rPr>
            </w:pPr>
            <w:r w:rsidRPr="0012606F">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center"/>
          </w:tcPr>
          <w:p w14:paraId="2860C72B"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color w:val="000000"/>
                <w:sz w:val="18"/>
                <w:szCs w:val="18"/>
                <w:lang w:val="en-US"/>
              </w:rPr>
            </w:pPr>
            <w:r w:rsidRPr="0012606F">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center"/>
          </w:tcPr>
          <w:p w14:paraId="23C5938A"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color w:val="000000"/>
                <w:sz w:val="18"/>
                <w:szCs w:val="18"/>
                <w:lang w:val="en-US"/>
              </w:rPr>
            </w:pPr>
            <w:r w:rsidRPr="0012606F">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center"/>
          </w:tcPr>
          <w:p w14:paraId="6DB9E395"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color w:val="000000"/>
                <w:sz w:val="18"/>
                <w:szCs w:val="18"/>
                <w:lang w:val="en-US"/>
              </w:rPr>
            </w:pPr>
            <w:r w:rsidRPr="0012606F">
              <w:rPr>
                <w:rFonts w:ascii="Calibri" w:eastAsia="Times New Roman" w:hAnsi="Calibri" w:cs="Times New Roman"/>
                <w:color w:val="000000"/>
                <w:sz w:val="18"/>
                <w:szCs w:val="18"/>
                <w:lang w:val="en-US"/>
              </w:rPr>
              <w:t xml:space="preserve"> - </w:t>
            </w:r>
          </w:p>
        </w:tc>
        <w:tc>
          <w:tcPr>
            <w:tcW w:w="564" w:type="pct"/>
            <w:tcBorders>
              <w:top w:val="nil"/>
              <w:left w:val="nil"/>
              <w:bottom w:val="nil"/>
              <w:right w:val="nil"/>
            </w:tcBorders>
            <w:shd w:val="clear" w:color="auto" w:fill="auto"/>
            <w:vAlign w:val="center"/>
          </w:tcPr>
          <w:p w14:paraId="0F5CABCA"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color w:val="000000"/>
                <w:sz w:val="18"/>
                <w:szCs w:val="18"/>
                <w:lang w:val="en-US"/>
              </w:rPr>
            </w:pPr>
            <w:r w:rsidRPr="0012606F">
              <w:rPr>
                <w:rFonts w:ascii="Calibri" w:eastAsia="Times New Roman" w:hAnsi="Calibri" w:cs="Times New Roman"/>
                <w:color w:val="000000"/>
                <w:sz w:val="18"/>
                <w:szCs w:val="18"/>
                <w:lang w:val="en-US"/>
              </w:rPr>
              <w:t>78,179</w:t>
            </w:r>
          </w:p>
        </w:tc>
      </w:tr>
      <w:tr w:rsidR="0012606F" w:rsidRPr="0012606F" w14:paraId="67615FD7" w14:textId="77777777" w:rsidTr="00E44437">
        <w:trPr>
          <w:trHeight w:hRule="exact" w:val="218"/>
        </w:trPr>
        <w:tc>
          <w:tcPr>
            <w:tcW w:w="1642" w:type="pct"/>
            <w:tcBorders>
              <w:top w:val="nil"/>
              <w:left w:val="nil"/>
              <w:bottom w:val="nil"/>
              <w:right w:val="nil"/>
            </w:tcBorders>
            <w:shd w:val="clear" w:color="auto" w:fill="auto"/>
            <w:vAlign w:val="bottom"/>
          </w:tcPr>
          <w:p w14:paraId="6B728F62" w14:textId="77777777" w:rsidR="0012606F" w:rsidRPr="0012606F" w:rsidRDefault="0012606F" w:rsidP="0012606F">
            <w:pPr>
              <w:tabs>
                <w:tab w:val="right" w:pos="1202"/>
              </w:tabs>
              <w:spacing w:after="0" w:line="240" w:lineRule="exact"/>
              <w:outlineLvl w:val="0"/>
              <w:rPr>
                <w:rFonts w:ascii="Calibri" w:eastAsia="Times New Roman" w:hAnsi="Calibri" w:cs="Arial"/>
                <w:sz w:val="18"/>
                <w:szCs w:val="18"/>
                <w:highlight w:val="yellow"/>
                <w:lang w:val="en-US"/>
              </w:rPr>
            </w:pPr>
            <w:r w:rsidRPr="0012606F">
              <w:rPr>
                <w:rFonts w:ascii="Calibri" w:eastAsia="Times New Roman" w:hAnsi="Calibri" w:cs="Calibri"/>
                <w:color w:val="000000"/>
                <w:sz w:val="18"/>
                <w:szCs w:val="18"/>
                <w:lang w:val="en-GB"/>
              </w:rPr>
              <w:t>EIF CROGIP Contracted Liability</w:t>
            </w:r>
          </w:p>
        </w:tc>
        <w:tc>
          <w:tcPr>
            <w:tcW w:w="507" w:type="pct"/>
            <w:tcBorders>
              <w:top w:val="nil"/>
              <w:left w:val="nil"/>
              <w:bottom w:val="nil"/>
              <w:right w:val="nil"/>
            </w:tcBorders>
            <w:shd w:val="clear" w:color="auto" w:fill="auto"/>
            <w:vAlign w:val="center"/>
          </w:tcPr>
          <w:p w14:paraId="24F38AD4" w14:textId="77777777" w:rsidR="0012606F" w:rsidRPr="0012606F" w:rsidRDefault="0012606F" w:rsidP="0012606F">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12606F">
              <w:rPr>
                <w:rFonts w:ascii="Calibri" w:eastAsia="Times New Roman" w:hAnsi="Calibri" w:cs="Times New Roman"/>
                <w:color w:val="000000"/>
                <w:sz w:val="18"/>
                <w:szCs w:val="18"/>
                <w:lang w:val="en-US"/>
              </w:rPr>
              <w:t xml:space="preserve"> - </w:t>
            </w:r>
          </w:p>
        </w:tc>
        <w:tc>
          <w:tcPr>
            <w:tcW w:w="552" w:type="pct"/>
            <w:tcBorders>
              <w:top w:val="nil"/>
              <w:left w:val="nil"/>
              <w:bottom w:val="nil"/>
              <w:right w:val="nil"/>
            </w:tcBorders>
            <w:shd w:val="clear" w:color="auto" w:fill="auto"/>
            <w:vAlign w:val="center"/>
          </w:tcPr>
          <w:p w14:paraId="2E21B3F8" w14:textId="77777777" w:rsidR="0012606F" w:rsidRPr="0012606F" w:rsidRDefault="0012606F" w:rsidP="0012606F">
            <w:pPr>
              <w:tabs>
                <w:tab w:val="right" w:pos="1202"/>
              </w:tabs>
              <w:spacing w:after="0" w:line="240" w:lineRule="exact"/>
              <w:jc w:val="right"/>
              <w:outlineLvl w:val="0"/>
              <w:rPr>
                <w:rFonts w:ascii="Calibri" w:eastAsia="Times New Roman" w:hAnsi="Calibri" w:cs="Times New Roman"/>
                <w:color w:val="000000"/>
                <w:sz w:val="18"/>
                <w:szCs w:val="18"/>
              </w:rPr>
            </w:pPr>
            <w:r w:rsidRPr="0012606F">
              <w:rPr>
                <w:rFonts w:ascii="Calibri" w:eastAsia="Times New Roman" w:hAnsi="Calibri" w:cs="Times New Roman"/>
                <w:color w:val="000000"/>
                <w:sz w:val="18"/>
                <w:szCs w:val="18"/>
                <w:lang w:val="en-US"/>
              </w:rPr>
              <w:t xml:space="preserve">12,616 </w:t>
            </w:r>
          </w:p>
        </w:tc>
        <w:tc>
          <w:tcPr>
            <w:tcW w:w="590" w:type="pct"/>
            <w:tcBorders>
              <w:top w:val="nil"/>
              <w:left w:val="nil"/>
              <w:bottom w:val="nil"/>
              <w:right w:val="nil"/>
            </w:tcBorders>
            <w:shd w:val="clear" w:color="auto" w:fill="auto"/>
            <w:vAlign w:val="center"/>
          </w:tcPr>
          <w:p w14:paraId="5E01F979" w14:textId="77777777" w:rsidR="0012606F" w:rsidRPr="0012606F" w:rsidRDefault="0012606F" w:rsidP="0012606F">
            <w:pPr>
              <w:tabs>
                <w:tab w:val="right" w:pos="1202"/>
              </w:tabs>
              <w:spacing w:after="0" w:line="240" w:lineRule="exact"/>
              <w:jc w:val="right"/>
              <w:outlineLvl w:val="0"/>
              <w:rPr>
                <w:rFonts w:ascii="Calibri" w:eastAsia="Times New Roman" w:hAnsi="Calibri" w:cs="Times New Roman"/>
                <w:color w:val="000000"/>
                <w:sz w:val="18"/>
                <w:szCs w:val="18"/>
              </w:rPr>
            </w:pPr>
            <w:r w:rsidRPr="0012606F">
              <w:rPr>
                <w:rFonts w:ascii="Calibri" w:eastAsia="Times New Roman" w:hAnsi="Calibri" w:cs="Times New Roman"/>
                <w:color w:val="000000"/>
                <w:sz w:val="18"/>
                <w:szCs w:val="18"/>
                <w:lang w:val="en-US"/>
              </w:rPr>
              <w:t xml:space="preserve"> 56,771 </w:t>
            </w:r>
          </w:p>
        </w:tc>
        <w:tc>
          <w:tcPr>
            <w:tcW w:w="572" w:type="pct"/>
            <w:tcBorders>
              <w:top w:val="nil"/>
              <w:left w:val="nil"/>
              <w:bottom w:val="nil"/>
              <w:right w:val="nil"/>
            </w:tcBorders>
            <w:shd w:val="clear" w:color="auto" w:fill="auto"/>
            <w:vAlign w:val="center"/>
          </w:tcPr>
          <w:p w14:paraId="0CCC82A2" w14:textId="77777777" w:rsidR="0012606F" w:rsidRPr="0012606F" w:rsidRDefault="0012606F" w:rsidP="0012606F">
            <w:pPr>
              <w:tabs>
                <w:tab w:val="right" w:pos="1202"/>
              </w:tabs>
              <w:spacing w:after="0" w:line="240" w:lineRule="exact"/>
              <w:jc w:val="right"/>
              <w:outlineLvl w:val="0"/>
              <w:rPr>
                <w:rFonts w:ascii="Calibri" w:eastAsia="Times New Roman" w:hAnsi="Calibri" w:cs="Times New Roman"/>
                <w:color w:val="000000"/>
                <w:sz w:val="18"/>
                <w:szCs w:val="18"/>
              </w:rPr>
            </w:pPr>
            <w:r w:rsidRPr="0012606F">
              <w:rPr>
                <w:rFonts w:ascii="Calibri" w:eastAsia="Times New Roman" w:hAnsi="Calibri" w:cs="Times New Roman"/>
                <w:color w:val="000000"/>
                <w:sz w:val="18"/>
                <w:szCs w:val="18"/>
                <w:lang w:val="en-US"/>
              </w:rPr>
              <w:t xml:space="preserve"> 112,664 </w:t>
            </w:r>
          </w:p>
        </w:tc>
        <w:tc>
          <w:tcPr>
            <w:tcW w:w="573" w:type="pct"/>
            <w:tcBorders>
              <w:top w:val="nil"/>
              <w:left w:val="nil"/>
              <w:bottom w:val="nil"/>
              <w:right w:val="nil"/>
            </w:tcBorders>
            <w:shd w:val="clear" w:color="auto" w:fill="auto"/>
            <w:vAlign w:val="center"/>
          </w:tcPr>
          <w:p w14:paraId="1CBC3501" w14:textId="77777777" w:rsidR="0012606F" w:rsidRPr="0012606F" w:rsidRDefault="0012606F" w:rsidP="0012606F">
            <w:pPr>
              <w:tabs>
                <w:tab w:val="right" w:pos="1202"/>
              </w:tabs>
              <w:spacing w:after="0" w:line="240" w:lineRule="exact"/>
              <w:jc w:val="right"/>
              <w:outlineLvl w:val="0"/>
              <w:rPr>
                <w:rFonts w:ascii="Calibri" w:eastAsia="Times New Roman" w:hAnsi="Calibri" w:cs="Times New Roman"/>
                <w:color w:val="000000"/>
                <w:sz w:val="18"/>
                <w:szCs w:val="18"/>
              </w:rPr>
            </w:pPr>
            <w:r w:rsidRPr="0012606F">
              <w:rPr>
                <w:rFonts w:ascii="Calibri" w:eastAsia="Times New Roman" w:hAnsi="Calibri" w:cs="Times New Roman"/>
                <w:color w:val="000000"/>
                <w:sz w:val="18"/>
                <w:szCs w:val="18"/>
                <w:lang w:val="en-US"/>
              </w:rPr>
              <w:t xml:space="preserve"> 130,438 </w:t>
            </w:r>
          </w:p>
        </w:tc>
        <w:tc>
          <w:tcPr>
            <w:tcW w:w="564" w:type="pct"/>
            <w:tcBorders>
              <w:top w:val="nil"/>
              <w:left w:val="nil"/>
              <w:bottom w:val="nil"/>
              <w:right w:val="nil"/>
            </w:tcBorders>
            <w:shd w:val="clear" w:color="auto" w:fill="auto"/>
            <w:vAlign w:val="center"/>
          </w:tcPr>
          <w:p w14:paraId="7B4A2B05" w14:textId="77777777" w:rsidR="0012606F" w:rsidRPr="0012606F" w:rsidRDefault="0012606F" w:rsidP="0012606F">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12606F">
              <w:rPr>
                <w:rFonts w:ascii="Calibri" w:eastAsia="Times New Roman" w:hAnsi="Calibri" w:cs="Times New Roman"/>
                <w:color w:val="000000"/>
                <w:sz w:val="18"/>
                <w:szCs w:val="18"/>
                <w:lang w:val="en-US"/>
              </w:rPr>
              <w:t>312,489</w:t>
            </w:r>
          </w:p>
        </w:tc>
      </w:tr>
      <w:tr w:rsidR="0012606F" w:rsidRPr="0012606F" w14:paraId="604DF831" w14:textId="77777777" w:rsidTr="00E44437">
        <w:trPr>
          <w:trHeight w:hRule="exact" w:val="275"/>
        </w:trPr>
        <w:tc>
          <w:tcPr>
            <w:tcW w:w="1642" w:type="pct"/>
            <w:tcBorders>
              <w:top w:val="nil"/>
              <w:left w:val="nil"/>
              <w:bottom w:val="nil"/>
              <w:right w:val="nil"/>
            </w:tcBorders>
            <w:shd w:val="clear" w:color="auto" w:fill="auto"/>
            <w:vAlign w:val="bottom"/>
          </w:tcPr>
          <w:p w14:paraId="1DA6B338" w14:textId="77777777" w:rsidR="0012606F" w:rsidRPr="0012606F" w:rsidRDefault="0012606F" w:rsidP="0012606F">
            <w:pPr>
              <w:tabs>
                <w:tab w:val="right" w:pos="1202"/>
              </w:tabs>
              <w:spacing w:after="0" w:line="240" w:lineRule="exact"/>
              <w:outlineLvl w:val="0"/>
              <w:rPr>
                <w:rFonts w:ascii="Calibri" w:eastAsia="Times New Roman" w:hAnsi="Calibri" w:cs="Arial"/>
                <w:sz w:val="18"/>
                <w:szCs w:val="18"/>
                <w:highlight w:val="yellow"/>
                <w:lang w:val="en-US"/>
              </w:rPr>
            </w:pPr>
            <w:r w:rsidRPr="0012606F">
              <w:rPr>
                <w:rFonts w:ascii="Calibri" w:eastAsia="Times New Roman" w:hAnsi="Calibri" w:cs="Calibri"/>
                <w:color w:val="000000"/>
                <w:sz w:val="18"/>
                <w:szCs w:val="18"/>
                <w:lang w:val="en-GB"/>
              </w:rPr>
              <w:t>EIF FRC2 Contracted Liability</w:t>
            </w:r>
          </w:p>
        </w:tc>
        <w:tc>
          <w:tcPr>
            <w:tcW w:w="507" w:type="pct"/>
            <w:tcBorders>
              <w:top w:val="nil"/>
              <w:left w:val="nil"/>
              <w:bottom w:val="single" w:sz="8" w:space="0" w:color="auto"/>
              <w:right w:val="nil"/>
            </w:tcBorders>
            <w:shd w:val="clear" w:color="auto" w:fill="auto"/>
            <w:vAlign w:val="center"/>
          </w:tcPr>
          <w:p w14:paraId="1F362557" w14:textId="77777777" w:rsidR="0012606F" w:rsidRPr="0012606F" w:rsidRDefault="0012606F" w:rsidP="0012606F">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12606F">
              <w:rPr>
                <w:rFonts w:ascii="Calibri" w:eastAsia="Times New Roman" w:hAnsi="Calibri" w:cs="Times New Roman"/>
                <w:color w:val="000000"/>
                <w:sz w:val="18"/>
                <w:szCs w:val="18"/>
                <w:lang w:val="en-US"/>
              </w:rPr>
              <w:t xml:space="preserve"> 678 </w:t>
            </w:r>
          </w:p>
        </w:tc>
        <w:tc>
          <w:tcPr>
            <w:tcW w:w="552" w:type="pct"/>
            <w:tcBorders>
              <w:top w:val="nil"/>
              <w:left w:val="nil"/>
              <w:bottom w:val="single" w:sz="8" w:space="0" w:color="auto"/>
              <w:right w:val="nil"/>
            </w:tcBorders>
            <w:shd w:val="clear" w:color="auto" w:fill="auto"/>
            <w:vAlign w:val="center"/>
          </w:tcPr>
          <w:p w14:paraId="7B4344B5" w14:textId="77777777" w:rsidR="0012606F" w:rsidRPr="0012606F" w:rsidRDefault="0012606F" w:rsidP="0012606F">
            <w:pPr>
              <w:tabs>
                <w:tab w:val="right" w:pos="1202"/>
              </w:tabs>
              <w:spacing w:after="0" w:line="240" w:lineRule="exact"/>
              <w:jc w:val="right"/>
              <w:outlineLvl w:val="0"/>
              <w:rPr>
                <w:rFonts w:ascii="Calibri" w:eastAsia="Times New Roman" w:hAnsi="Calibri" w:cs="Times New Roman"/>
                <w:color w:val="000000"/>
                <w:sz w:val="18"/>
                <w:szCs w:val="18"/>
              </w:rPr>
            </w:pPr>
            <w:r w:rsidRPr="0012606F">
              <w:rPr>
                <w:rFonts w:ascii="Calibri" w:eastAsia="Times New Roman" w:hAnsi="Calibri" w:cs="Times New Roman"/>
                <w:color w:val="000000"/>
                <w:sz w:val="18"/>
                <w:szCs w:val="18"/>
                <w:lang w:val="en-US"/>
              </w:rPr>
              <w:t xml:space="preserve"> 532 </w:t>
            </w:r>
          </w:p>
        </w:tc>
        <w:tc>
          <w:tcPr>
            <w:tcW w:w="590" w:type="pct"/>
            <w:tcBorders>
              <w:top w:val="nil"/>
              <w:left w:val="nil"/>
              <w:bottom w:val="single" w:sz="8" w:space="0" w:color="auto"/>
              <w:right w:val="nil"/>
            </w:tcBorders>
            <w:shd w:val="clear" w:color="auto" w:fill="auto"/>
            <w:vAlign w:val="center"/>
          </w:tcPr>
          <w:p w14:paraId="5EAFC63E" w14:textId="77777777" w:rsidR="0012606F" w:rsidRPr="0012606F" w:rsidRDefault="0012606F" w:rsidP="0012606F">
            <w:pPr>
              <w:tabs>
                <w:tab w:val="right" w:pos="1202"/>
              </w:tabs>
              <w:spacing w:after="0" w:line="240" w:lineRule="exact"/>
              <w:jc w:val="right"/>
              <w:outlineLvl w:val="0"/>
              <w:rPr>
                <w:rFonts w:ascii="Calibri" w:eastAsia="Times New Roman" w:hAnsi="Calibri" w:cs="Times New Roman"/>
                <w:color w:val="000000"/>
                <w:sz w:val="18"/>
                <w:szCs w:val="18"/>
              </w:rPr>
            </w:pPr>
            <w:r w:rsidRPr="0012606F">
              <w:rPr>
                <w:rFonts w:ascii="Calibri" w:eastAsia="Times New Roman" w:hAnsi="Calibri" w:cs="Times New Roman"/>
                <w:color w:val="000000"/>
                <w:sz w:val="18"/>
                <w:szCs w:val="18"/>
                <w:lang w:val="en-US"/>
              </w:rPr>
              <w:t xml:space="preserve">2,393 </w:t>
            </w:r>
          </w:p>
        </w:tc>
        <w:tc>
          <w:tcPr>
            <w:tcW w:w="572" w:type="pct"/>
            <w:tcBorders>
              <w:top w:val="nil"/>
              <w:left w:val="nil"/>
              <w:bottom w:val="single" w:sz="8" w:space="0" w:color="auto"/>
              <w:right w:val="nil"/>
            </w:tcBorders>
            <w:shd w:val="clear" w:color="auto" w:fill="auto"/>
            <w:vAlign w:val="center"/>
          </w:tcPr>
          <w:p w14:paraId="18552758" w14:textId="77777777" w:rsidR="0012606F" w:rsidRPr="0012606F" w:rsidRDefault="0012606F" w:rsidP="0012606F">
            <w:pPr>
              <w:tabs>
                <w:tab w:val="right" w:pos="1202"/>
              </w:tabs>
              <w:spacing w:after="0" w:line="240" w:lineRule="exact"/>
              <w:jc w:val="right"/>
              <w:outlineLvl w:val="0"/>
              <w:rPr>
                <w:rFonts w:ascii="Calibri" w:eastAsia="Times New Roman" w:hAnsi="Calibri" w:cs="Times New Roman"/>
                <w:color w:val="000000"/>
                <w:sz w:val="18"/>
                <w:szCs w:val="18"/>
              </w:rPr>
            </w:pPr>
            <w:r w:rsidRPr="0012606F">
              <w:rPr>
                <w:rFonts w:ascii="Calibri" w:eastAsia="Times New Roman" w:hAnsi="Calibri" w:cs="Times New Roman"/>
                <w:color w:val="000000"/>
                <w:sz w:val="18"/>
                <w:szCs w:val="18"/>
                <w:lang w:val="en-US"/>
              </w:rPr>
              <w:t xml:space="preserve"> 2,171 </w:t>
            </w:r>
          </w:p>
        </w:tc>
        <w:tc>
          <w:tcPr>
            <w:tcW w:w="573" w:type="pct"/>
            <w:tcBorders>
              <w:top w:val="nil"/>
              <w:left w:val="nil"/>
              <w:bottom w:val="single" w:sz="8" w:space="0" w:color="auto"/>
              <w:right w:val="nil"/>
            </w:tcBorders>
            <w:shd w:val="clear" w:color="auto" w:fill="auto"/>
            <w:vAlign w:val="center"/>
          </w:tcPr>
          <w:p w14:paraId="15D32740" w14:textId="77777777" w:rsidR="0012606F" w:rsidRPr="0012606F" w:rsidRDefault="0012606F" w:rsidP="0012606F">
            <w:pPr>
              <w:tabs>
                <w:tab w:val="right" w:pos="1202"/>
              </w:tabs>
              <w:spacing w:after="0" w:line="240" w:lineRule="exact"/>
              <w:jc w:val="right"/>
              <w:outlineLvl w:val="0"/>
              <w:rPr>
                <w:rFonts w:ascii="Calibri" w:eastAsia="Times New Roman" w:hAnsi="Calibri" w:cs="Times New Roman"/>
                <w:color w:val="000000"/>
                <w:sz w:val="18"/>
                <w:szCs w:val="18"/>
              </w:rPr>
            </w:pPr>
            <w:r w:rsidRPr="0012606F">
              <w:rPr>
                <w:rFonts w:ascii="Calibri" w:eastAsia="Times New Roman" w:hAnsi="Calibri" w:cs="Times New Roman"/>
                <w:color w:val="000000"/>
                <w:sz w:val="18"/>
                <w:szCs w:val="18"/>
                <w:lang w:val="en-US"/>
              </w:rPr>
              <w:t xml:space="preserve"> 469 </w:t>
            </w:r>
          </w:p>
        </w:tc>
        <w:tc>
          <w:tcPr>
            <w:tcW w:w="564" w:type="pct"/>
            <w:tcBorders>
              <w:top w:val="nil"/>
              <w:left w:val="nil"/>
              <w:bottom w:val="single" w:sz="8" w:space="0" w:color="auto"/>
              <w:right w:val="nil"/>
            </w:tcBorders>
            <w:shd w:val="clear" w:color="auto" w:fill="auto"/>
            <w:vAlign w:val="center"/>
          </w:tcPr>
          <w:p w14:paraId="60957247" w14:textId="77777777" w:rsidR="0012606F" w:rsidRPr="0012606F" w:rsidRDefault="0012606F" w:rsidP="0012606F">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12606F">
              <w:rPr>
                <w:rFonts w:ascii="Calibri" w:eastAsia="Times New Roman" w:hAnsi="Calibri" w:cs="Times New Roman"/>
                <w:color w:val="000000"/>
                <w:sz w:val="18"/>
                <w:szCs w:val="18"/>
                <w:lang w:val="en-US"/>
              </w:rPr>
              <w:t>6,243</w:t>
            </w:r>
          </w:p>
        </w:tc>
      </w:tr>
      <w:tr w:rsidR="0012606F" w:rsidRPr="0012606F" w14:paraId="67FE82A0" w14:textId="77777777" w:rsidTr="00E44437">
        <w:trPr>
          <w:trHeight w:hRule="exact" w:val="275"/>
        </w:trPr>
        <w:tc>
          <w:tcPr>
            <w:tcW w:w="1642" w:type="pct"/>
            <w:vAlign w:val="center"/>
          </w:tcPr>
          <w:p w14:paraId="2A3746F2" w14:textId="77777777" w:rsidR="0012606F" w:rsidRPr="0012606F" w:rsidRDefault="0012606F" w:rsidP="0012606F">
            <w:pPr>
              <w:tabs>
                <w:tab w:val="right" w:pos="1202"/>
              </w:tabs>
              <w:spacing w:after="0" w:line="240" w:lineRule="exact"/>
              <w:outlineLvl w:val="0"/>
              <w:rPr>
                <w:rFonts w:ascii="Calibri" w:eastAsia="Calibri" w:hAnsi="Calibri" w:cs="Arial"/>
                <w:b/>
                <w:bCs/>
                <w:spacing w:val="-2"/>
                <w:sz w:val="18"/>
                <w:szCs w:val="18"/>
                <w:lang w:val="en-US"/>
              </w:rPr>
            </w:pPr>
            <w:r w:rsidRPr="0012606F">
              <w:rPr>
                <w:rFonts w:ascii="Calibri" w:eastAsia="Times New Roman" w:hAnsi="Calibri" w:cs="Arial"/>
                <w:b/>
                <w:bCs/>
                <w:spacing w:val="-2"/>
                <w:sz w:val="18"/>
                <w:szCs w:val="18"/>
                <w:lang w:val="en-US"/>
              </w:rPr>
              <w:t>Total guarantees and commitments</w:t>
            </w:r>
          </w:p>
        </w:tc>
        <w:tc>
          <w:tcPr>
            <w:tcW w:w="507" w:type="pct"/>
            <w:tcBorders>
              <w:top w:val="single" w:sz="8" w:space="0" w:color="auto"/>
              <w:left w:val="nil"/>
              <w:bottom w:val="single" w:sz="12" w:space="0" w:color="auto"/>
              <w:right w:val="nil"/>
            </w:tcBorders>
            <w:shd w:val="clear" w:color="auto" w:fill="auto"/>
            <w:vAlign w:val="bottom"/>
          </w:tcPr>
          <w:p w14:paraId="25A96EE8"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b/>
                <w:color w:val="000000"/>
                <w:sz w:val="18"/>
                <w:szCs w:val="18"/>
                <w:lang w:val="en-US"/>
              </w:rPr>
            </w:pPr>
            <w:r w:rsidRPr="0012606F">
              <w:rPr>
                <w:rFonts w:ascii="Calibri" w:eastAsia="Times New Roman" w:hAnsi="Calibri" w:cs="Times New Roman"/>
                <w:b/>
                <w:bCs/>
                <w:color w:val="000000"/>
                <w:sz w:val="18"/>
                <w:szCs w:val="18"/>
                <w:lang w:val="en-US"/>
              </w:rPr>
              <w:t>4,066,553</w:t>
            </w:r>
          </w:p>
        </w:tc>
        <w:tc>
          <w:tcPr>
            <w:tcW w:w="552" w:type="pct"/>
            <w:tcBorders>
              <w:top w:val="single" w:sz="8" w:space="0" w:color="auto"/>
              <w:left w:val="nil"/>
              <w:bottom w:val="single" w:sz="12" w:space="0" w:color="auto"/>
              <w:right w:val="nil"/>
            </w:tcBorders>
            <w:shd w:val="clear" w:color="auto" w:fill="auto"/>
            <w:vAlign w:val="bottom"/>
          </w:tcPr>
          <w:p w14:paraId="70108E93"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b/>
                <w:color w:val="000000"/>
                <w:sz w:val="18"/>
                <w:szCs w:val="18"/>
                <w:lang w:val="en-US"/>
              </w:rPr>
            </w:pPr>
            <w:r w:rsidRPr="0012606F">
              <w:rPr>
                <w:rFonts w:ascii="Calibri" w:eastAsia="Times New Roman" w:hAnsi="Calibri" w:cs="Times New Roman"/>
                <w:b/>
                <w:bCs/>
                <w:color w:val="000000"/>
                <w:sz w:val="18"/>
                <w:szCs w:val="18"/>
                <w:lang w:val="en-US"/>
              </w:rPr>
              <w:t>13,148</w:t>
            </w:r>
          </w:p>
        </w:tc>
        <w:tc>
          <w:tcPr>
            <w:tcW w:w="590" w:type="pct"/>
            <w:tcBorders>
              <w:top w:val="single" w:sz="8" w:space="0" w:color="auto"/>
              <w:left w:val="nil"/>
              <w:bottom w:val="single" w:sz="12" w:space="0" w:color="auto"/>
              <w:right w:val="nil"/>
            </w:tcBorders>
            <w:shd w:val="clear" w:color="auto" w:fill="auto"/>
            <w:vAlign w:val="bottom"/>
          </w:tcPr>
          <w:p w14:paraId="463A8481"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b/>
                <w:color w:val="000000"/>
                <w:sz w:val="18"/>
                <w:szCs w:val="18"/>
                <w:lang w:val="en-US"/>
              </w:rPr>
            </w:pPr>
            <w:r w:rsidRPr="0012606F">
              <w:rPr>
                <w:rFonts w:ascii="Calibri" w:eastAsia="Times New Roman" w:hAnsi="Calibri" w:cs="Times New Roman"/>
                <w:b/>
                <w:bCs/>
                <w:color w:val="000000"/>
                <w:sz w:val="18"/>
                <w:szCs w:val="18"/>
                <w:lang w:val="en-US"/>
              </w:rPr>
              <w:t>59,164</w:t>
            </w:r>
          </w:p>
        </w:tc>
        <w:tc>
          <w:tcPr>
            <w:tcW w:w="572" w:type="pct"/>
            <w:tcBorders>
              <w:top w:val="single" w:sz="8" w:space="0" w:color="auto"/>
              <w:left w:val="nil"/>
              <w:bottom w:val="single" w:sz="12" w:space="0" w:color="auto"/>
              <w:right w:val="nil"/>
            </w:tcBorders>
            <w:shd w:val="clear" w:color="auto" w:fill="auto"/>
            <w:vAlign w:val="bottom"/>
          </w:tcPr>
          <w:p w14:paraId="4DFA204E"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b/>
                <w:color w:val="000000"/>
                <w:sz w:val="18"/>
                <w:szCs w:val="18"/>
                <w:lang w:val="en-US"/>
              </w:rPr>
            </w:pPr>
            <w:r w:rsidRPr="0012606F">
              <w:rPr>
                <w:rFonts w:ascii="Calibri" w:eastAsia="Times New Roman" w:hAnsi="Calibri" w:cs="Times New Roman"/>
                <w:b/>
                <w:bCs/>
                <w:color w:val="000000"/>
                <w:sz w:val="18"/>
                <w:szCs w:val="18"/>
                <w:lang w:val="en-US"/>
              </w:rPr>
              <w:t>114,835</w:t>
            </w:r>
          </w:p>
        </w:tc>
        <w:tc>
          <w:tcPr>
            <w:tcW w:w="573" w:type="pct"/>
            <w:tcBorders>
              <w:top w:val="single" w:sz="8" w:space="0" w:color="auto"/>
              <w:left w:val="nil"/>
              <w:bottom w:val="single" w:sz="12" w:space="0" w:color="auto"/>
              <w:right w:val="nil"/>
            </w:tcBorders>
            <w:shd w:val="clear" w:color="auto" w:fill="auto"/>
            <w:vAlign w:val="bottom"/>
          </w:tcPr>
          <w:p w14:paraId="0FB62934"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b/>
                <w:color w:val="000000"/>
                <w:sz w:val="18"/>
                <w:szCs w:val="18"/>
                <w:lang w:val="en-US"/>
              </w:rPr>
            </w:pPr>
            <w:r w:rsidRPr="0012606F">
              <w:rPr>
                <w:rFonts w:ascii="Calibri" w:eastAsia="Times New Roman" w:hAnsi="Calibri" w:cs="Times New Roman"/>
                <w:b/>
                <w:bCs/>
                <w:color w:val="000000"/>
                <w:sz w:val="18"/>
                <w:szCs w:val="18"/>
                <w:lang w:val="en-US"/>
              </w:rPr>
              <w:t>130,907</w:t>
            </w:r>
          </w:p>
        </w:tc>
        <w:tc>
          <w:tcPr>
            <w:tcW w:w="564" w:type="pct"/>
            <w:tcBorders>
              <w:top w:val="single" w:sz="8" w:space="0" w:color="auto"/>
              <w:left w:val="nil"/>
              <w:bottom w:val="single" w:sz="12" w:space="0" w:color="auto"/>
              <w:right w:val="nil"/>
            </w:tcBorders>
            <w:shd w:val="clear" w:color="auto" w:fill="auto"/>
            <w:vAlign w:val="bottom"/>
          </w:tcPr>
          <w:p w14:paraId="5A5773B3" w14:textId="77777777" w:rsidR="0012606F" w:rsidRPr="0012606F" w:rsidRDefault="0012606F" w:rsidP="0012606F">
            <w:pPr>
              <w:tabs>
                <w:tab w:val="right" w:pos="1202"/>
              </w:tabs>
              <w:spacing w:after="0" w:line="240" w:lineRule="exact"/>
              <w:jc w:val="right"/>
              <w:outlineLvl w:val="0"/>
              <w:rPr>
                <w:rFonts w:ascii="Calibri" w:eastAsia="Times New Roman" w:hAnsi="Calibri" w:cs="Calibri"/>
                <w:b/>
                <w:color w:val="000000"/>
                <w:sz w:val="18"/>
                <w:szCs w:val="18"/>
                <w:lang w:val="en-US"/>
              </w:rPr>
            </w:pPr>
            <w:r w:rsidRPr="0012606F">
              <w:rPr>
                <w:rFonts w:ascii="Calibri" w:eastAsia="Times New Roman" w:hAnsi="Calibri" w:cs="Times New Roman"/>
                <w:b/>
                <w:bCs/>
                <w:color w:val="000000"/>
                <w:sz w:val="18"/>
                <w:szCs w:val="18"/>
                <w:lang w:val="en-US"/>
              </w:rPr>
              <w:t>4,384,607</w:t>
            </w:r>
          </w:p>
        </w:tc>
      </w:tr>
    </w:tbl>
    <w:p w14:paraId="1F20127A" w14:textId="77777777" w:rsidR="003D584A" w:rsidRPr="00537128" w:rsidRDefault="003D584A" w:rsidP="00D108EE">
      <w:pPr>
        <w:spacing w:after="0" w:line="240" w:lineRule="auto"/>
        <w:jc w:val="both"/>
        <w:rPr>
          <w:rFonts w:eastAsia="Times New Roman" w:cstheme="minorHAnsi"/>
          <w:b/>
          <w:iCs/>
          <w:color w:val="000000" w:themeColor="text1"/>
          <w:lang w:val="en-US"/>
        </w:rPr>
      </w:pPr>
    </w:p>
    <w:p w14:paraId="43FEDADF" w14:textId="77777777" w:rsidR="00D108EE" w:rsidRPr="00537128" w:rsidRDefault="00D108EE" w:rsidP="00D108EE">
      <w:pPr>
        <w:spacing w:after="0" w:line="240" w:lineRule="auto"/>
        <w:jc w:val="both"/>
        <w:rPr>
          <w:rFonts w:ascii="Calibri" w:eastAsia="Times New Roman" w:hAnsi="Calibri" w:cs="Arial"/>
          <w:bCs/>
          <w:color w:val="000000" w:themeColor="text1"/>
          <w:sz w:val="14"/>
          <w:szCs w:val="18"/>
          <w:lang w:val="en-US"/>
        </w:rPr>
      </w:pPr>
    </w:p>
    <w:p w14:paraId="231F6EB0" w14:textId="77777777" w:rsidR="00D108EE" w:rsidRPr="00537128" w:rsidRDefault="00D108EE" w:rsidP="00D108EE">
      <w:pPr>
        <w:spacing w:after="0" w:line="240" w:lineRule="auto"/>
        <w:jc w:val="both"/>
        <w:rPr>
          <w:rFonts w:ascii="Calibri" w:eastAsia="Times New Roman" w:hAnsi="Calibri" w:cs="Arial"/>
          <w:bCs/>
          <w:color w:val="000000" w:themeColor="text1"/>
          <w:sz w:val="20"/>
          <w:lang w:val="en-US"/>
        </w:rPr>
      </w:pPr>
      <w:r w:rsidRPr="00537128">
        <w:rPr>
          <w:rFonts w:ascii="Calibri" w:eastAsia="Times New Roman" w:hAnsi="Calibri" w:cs="Arial"/>
          <w:bCs/>
          <w:color w:val="000000" w:themeColor="text1"/>
          <w:sz w:val="20"/>
          <w:lang w:val="en-US"/>
        </w:rPr>
        <w:t>The items with undefined maturity are included in terms over 3 years.</w:t>
      </w:r>
    </w:p>
    <w:p w14:paraId="07E608F8" w14:textId="77777777" w:rsidR="00D108EE" w:rsidRPr="00537128" w:rsidRDefault="00D108EE" w:rsidP="00D108EE">
      <w:pPr>
        <w:spacing w:after="0" w:line="240" w:lineRule="auto"/>
        <w:jc w:val="both"/>
        <w:rPr>
          <w:rFonts w:ascii="Calibri" w:eastAsia="Times New Roman" w:hAnsi="Calibri" w:cs="Times New Roman"/>
          <w:i/>
          <w:color w:val="000000" w:themeColor="text1"/>
          <w:sz w:val="10"/>
          <w:szCs w:val="18"/>
          <w:lang w:val="en-US"/>
        </w:rPr>
      </w:pPr>
    </w:p>
    <w:p w14:paraId="40EC2F10" w14:textId="77777777" w:rsidR="00291831" w:rsidRPr="00291831" w:rsidRDefault="00291831" w:rsidP="00291831">
      <w:pPr>
        <w:spacing w:after="0" w:line="240" w:lineRule="auto"/>
        <w:jc w:val="both"/>
        <w:rPr>
          <w:rFonts w:ascii="Calibri" w:eastAsia="Calibri" w:hAnsi="Calibri" w:cs="Times New Roman"/>
          <w:bCs/>
          <w:i/>
          <w:sz w:val="20"/>
          <w:szCs w:val="20"/>
          <w:lang w:val="en-US"/>
        </w:rPr>
      </w:pPr>
      <w:r w:rsidRPr="00291831">
        <w:rPr>
          <w:rFonts w:ascii="Calibri" w:eastAsia="Calibri" w:hAnsi="Calibri" w:cs="Times New Roman"/>
          <w:bCs/>
          <w:i/>
          <w:sz w:val="20"/>
          <w:szCs w:val="20"/>
          <w:lang w:val="en-US"/>
        </w:rPr>
        <w:t xml:space="preserve">* Receivables of HRK 8,239 thousand relate to reverse REPO agreements. </w:t>
      </w:r>
    </w:p>
    <w:p w14:paraId="3FD65101" w14:textId="77777777" w:rsidR="00291831" w:rsidRPr="00291831" w:rsidRDefault="00291831" w:rsidP="00291831">
      <w:pPr>
        <w:spacing w:after="0" w:line="240" w:lineRule="auto"/>
        <w:jc w:val="both"/>
        <w:rPr>
          <w:rFonts w:ascii="Calibri" w:eastAsia="Times New Roman" w:hAnsi="Calibri" w:cs="Arial"/>
          <w:bCs/>
          <w:lang w:val="en-GB"/>
        </w:rPr>
        <w:sectPr w:rsidR="00291831" w:rsidRPr="00291831" w:rsidSect="00C06CDD">
          <w:footerReference w:type="default" r:id="rId34"/>
          <w:pgSz w:w="11907" w:h="16840" w:code="9"/>
          <w:pgMar w:top="1418" w:right="1134" w:bottom="1134" w:left="1418" w:header="851" w:footer="851" w:gutter="0"/>
          <w:cols w:space="720"/>
          <w:noEndnote/>
        </w:sectPr>
      </w:pPr>
      <w:r w:rsidRPr="00291831">
        <w:rPr>
          <w:rFonts w:ascii="Calibri" w:eastAsia="Calibri" w:hAnsi="Calibri" w:cs="Times New Roman"/>
          <w:i/>
          <w:iCs/>
          <w:sz w:val="20"/>
          <w:szCs w:val="20"/>
          <w:lang w:val="en-US"/>
        </w:rPr>
        <w:t>** Accrued interest on loans not yet due is allocated to the category from 1 to 3 months.</w:t>
      </w:r>
      <w:r w:rsidRPr="00291831">
        <w:rPr>
          <w:rFonts w:ascii="Calibri" w:eastAsia="Times New Roman" w:hAnsi="Calibri" w:cs="Times New Roman"/>
          <w:i/>
          <w:sz w:val="20"/>
          <w:szCs w:val="24"/>
          <w:lang w:val="en-GB"/>
        </w:rPr>
        <w:t xml:space="preserve"> </w:t>
      </w:r>
    </w:p>
    <w:p w14:paraId="1F0A5FBA" w14:textId="77777777" w:rsidR="003D584A" w:rsidRPr="00537128" w:rsidRDefault="003D584A" w:rsidP="00292E41">
      <w:pPr>
        <w:spacing w:after="0" w:line="240" w:lineRule="auto"/>
        <w:jc w:val="both"/>
        <w:rPr>
          <w:rFonts w:eastAsia="Times New Roman" w:cstheme="minorHAnsi"/>
          <w:b/>
          <w:bCs/>
          <w:iCs/>
          <w:color w:val="000000" w:themeColor="text1"/>
          <w:sz w:val="16"/>
          <w:szCs w:val="16"/>
          <w:lang w:val="en-US"/>
        </w:rPr>
      </w:pPr>
      <w:bookmarkStart w:id="898" w:name="_Hlk37086776"/>
    </w:p>
    <w:p w14:paraId="39E2F2B3" w14:textId="15CA8533" w:rsidR="00292E41" w:rsidRPr="00537128" w:rsidRDefault="00B357CE" w:rsidP="00292E41">
      <w:p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2</w:t>
      </w:r>
      <w:r>
        <w:rPr>
          <w:rFonts w:eastAsia="Times New Roman" w:cstheme="minorHAnsi"/>
          <w:b/>
          <w:bCs/>
          <w:iCs/>
          <w:color w:val="000000" w:themeColor="text1"/>
          <w:lang w:val="en-US"/>
        </w:rPr>
        <w:t>3</w:t>
      </w:r>
      <w:r w:rsidR="00292E41" w:rsidRPr="00537128">
        <w:rPr>
          <w:rFonts w:eastAsia="Times New Roman" w:cstheme="minorHAnsi"/>
          <w:b/>
          <w:bCs/>
          <w:iCs/>
          <w:color w:val="000000" w:themeColor="text1"/>
          <w:lang w:val="en-US"/>
        </w:rPr>
        <w:t>.</w:t>
      </w:r>
      <w:r w:rsidR="00292E41" w:rsidRPr="00537128">
        <w:rPr>
          <w:rFonts w:eastAsia="Times New Roman" w:cstheme="minorHAnsi"/>
          <w:b/>
          <w:bCs/>
          <w:iCs/>
          <w:color w:val="000000" w:themeColor="text1"/>
          <w:lang w:val="en-US"/>
        </w:rPr>
        <w:tab/>
        <w:t>Risk management (continued)</w:t>
      </w:r>
    </w:p>
    <w:bookmarkEnd w:id="898"/>
    <w:p w14:paraId="528592AB" w14:textId="77777777" w:rsidR="00292E41" w:rsidRPr="00537128" w:rsidRDefault="00292E41" w:rsidP="00292E41">
      <w:pPr>
        <w:spacing w:after="0" w:line="240" w:lineRule="auto"/>
        <w:jc w:val="both"/>
        <w:rPr>
          <w:rFonts w:eastAsia="Times New Roman" w:cstheme="minorHAnsi"/>
          <w:b/>
          <w:iCs/>
          <w:color w:val="000000" w:themeColor="text1"/>
          <w:sz w:val="16"/>
          <w:szCs w:val="16"/>
          <w:lang w:val="en-US"/>
        </w:rPr>
      </w:pPr>
    </w:p>
    <w:p w14:paraId="69589B8F" w14:textId="3BF25307" w:rsidR="00292E41" w:rsidRPr="00537128" w:rsidRDefault="00B357CE" w:rsidP="00292E41">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E41" w:rsidRPr="00537128">
        <w:rPr>
          <w:rFonts w:eastAsia="Times New Roman" w:cstheme="minorHAnsi"/>
          <w:b/>
          <w:iCs/>
          <w:color w:val="000000" w:themeColor="text1"/>
          <w:lang w:val="en-US"/>
        </w:rPr>
        <w:t xml:space="preserve">.4. </w:t>
      </w:r>
      <w:r w:rsidR="00292E41" w:rsidRPr="00537128">
        <w:rPr>
          <w:rFonts w:eastAsia="Times New Roman" w:cstheme="minorHAnsi"/>
          <w:b/>
          <w:iCs/>
          <w:color w:val="000000" w:themeColor="text1"/>
          <w:lang w:val="en-US"/>
        </w:rPr>
        <w:tab/>
        <w:t>Liquidity risk (continued)</w:t>
      </w:r>
    </w:p>
    <w:p w14:paraId="0754BD4E" w14:textId="4967D0AE" w:rsidR="00CB2C41" w:rsidRPr="00537128" w:rsidRDefault="00CB2C41" w:rsidP="008330AF">
      <w:pPr>
        <w:spacing w:after="0" w:line="240" w:lineRule="auto"/>
        <w:jc w:val="both"/>
        <w:rPr>
          <w:rFonts w:eastAsia="Times New Roman" w:cstheme="minorHAnsi"/>
          <w:iCs/>
          <w:color w:val="000000" w:themeColor="text1"/>
          <w:sz w:val="8"/>
          <w:szCs w:val="8"/>
          <w:lang w:val="en-US"/>
        </w:rPr>
      </w:pPr>
    </w:p>
    <w:p w14:paraId="2EBD7842" w14:textId="77777777" w:rsidR="003D584A" w:rsidRPr="00537128" w:rsidRDefault="003D584A" w:rsidP="008330AF">
      <w:pPr>
        <w:spacing w:after="0" w:line="240" w:lineRule="auto"/>
        <w:jc w:val="both"/>
        <w:rPr>
          <w:rFonts w:eastAsia="Times New Roman" w:cstheme="minorHAnsi"/>
          <w:iCs/>
          <w:color w:val="000000" w:themeColor="text1"/>
          <w:sz w:val="16"/>
          <w:szCs w:val="16"/>
          <w:lang w:val="en-US"/>
        </w:rPr>
      </w:pPr>
    </w:p>
    <w:p w14:paraId="58EF1294" w14:textId="504F5F8D" w:rsidR="008330AF" w:rsidRPr="00537128" w:rsidRDefault="008330AF" w:rsidP="008330AF">
      <w:pPr>
        <w:spacing w:after="0" w:line="240" w:lineRule="auto"/>
        <w:jc w:val="both"/>
        <w:rPr>
          <w:rFonts w:eastAsia="Times New Roman" w:cstheme="minorHAnsi"/>
          <w:iCs/>
          <w:color w:val="000000" w:themeColor="text1"/>
          <w:lang w:val="en-US"/>
        </w:rPr>
      </w:pPr>
      <w:r w:rsidRPr="00537128">
        <w:rPr>
          <w:rFonts w:eastAsia="Times New Roman" w:cstheme="minorHAnsi"/>
          <w:iCs/>
          <w:color w:val="000000" w:themeColor="text1"/>
          <w:lang w:val="en-US"/>
        </w:rPr>
        <w:t>The table below indicates the remaining contractual maturity of financial liabilities, whereas the guarantees and commitments of the Group are classified in the category “up to 1 month”, owing to the possibility of a premature call to meet a liability (undiscounted amounts):</w:t>
      </w:r>
    </w:p>
    <w:p w14:paraId="101172AD" w14:textId="08691125" w:rsidR="003D584A" w:rsidRPr="00537128" w:rsidRDefault="003D584A" w:rsidP="008330AF">
      <w:pPr>
        <w:spacing w:after="0" w:line="240" w:lineRule="auto"/>
        <w:jc w:val="both"/>
        <w:rPr>
          <w:rFonts w:eastAsia="Times New Roman" w:cstheme="minorHAnsi"/>
          <w:iCs/>
          <w:color w:val="000000" w:themeColor="text1"/>
          <w:lang w:val="en-US"/>
        </w:rPr>
      </w:pPr>
    </w:p>
    <w:tbl>
      <w:tblPr>
        <w:tblW w:w="5228" w:type="pct"/>
        <w:jc w:val="center"/>
        <w:tblLayout w:type="fixed"/>
        <w:tblCellMar>
          <w:left w:w="120" w:type="dxa"/>
          <w:right w:w="120" w:type="dxa"/>
        </w:tblCellMar>
        <w:tblLook w:val="0000" w:firstRow="0" w:lastRow="0" w:firstColumn="0" w:lastColumn="0" w:noHBand="0" w:noVBand="0"/>
      </w:tblPr>
      <w:tblGrid>
        <w:gridCol w:w="2978"/>
        <w:gridCol w:w="1133"/>
        <w:gridCol w:w="1134"/>
        <w:gridCol w:w="1134"/>
        <w:gridCol w:w="1134"/>
        <w:gridCol w:w="1134"/>
        <w:gridCol w:w="1134"/>
      </w:tblGrid>
      <w:tr w:rsidR="003D584A" w:rsidRPr="00537128" w14:paraId="0CACADA0" w14:textId="77777777" w:rsidTr="00703DBC">
        <w:trPr>
          <w:trHeight w:val="466"/>
          <w:jc w:val="center"/>
        </w:trPr>
        <w:tc>
          <w:tcPr>
            <w:tcW w:w="2978" w:type="dxa"/>
            <w:vAlign w:val="bottom"/>
          </w:tcPr>
          <w:p w14:paraId="35E2093D" w14:textId="77777777" w:rsidR="003D584A" w:rsidRPr="00537128" w:rsidRDefault="003D584A" w:rsidP="003D584A">
            <w:pPr>
              <w:tabs>
                <w:tab w:val="right" w:pos="1202"/>
              </w:tabs>
              <w:spacing w:after="0" w:line="240" w:lineRule="auto"/>
              <w:outlineLvl w:val="0"/>
              <w:rPr>
                <w:rFonts w:ascii="Calibri" w:eastAsia="Times New Roman" w:hAnsi="Calibri" w:cs="Arial"/>
                <w:b/>
                <w:sz w:val="18"/>
                <w:szCs w:val="18"/>
                <w:lang w:val="en-US"/>
              </w:rPr>
            </w:pPr>
            <w:bookmarkStart w:id="899" w:name="_Toc4062502"/>
            <w:bookmarkStart w:id="900" w:name="_Hlk68878863"/>
            <w:r w:rsidRPr="00537128">
              <w:rPr>
                <w:rFonts w:ascii="Calibri" w:eastAsia="Times New Roman" w:hAnsi="Calibri" w:cs="Arial"/>
                <w:b/>
                <w:sz w:val="18"/>
                <w:szCs w:val="18"/>
                <w:lang w:val="en-US"/>
              </w:rPr>
              <w:t>Group</w:t>
            </w:r>
            <w:bookmarkEnd w:id="899"/>
          </w:p>
          <w:p w14:paraId="3B8932BE" w14:textId="274889BD" w:rsidR="003D584A" w:rsidRPr="00537128" w:rsidRDefault="003D584A" w:rsidP="003D584A">
            <w:pPr>
              <w:tabs>
                <w:tab w:val="right" w:pos="1202"/>
              </w:tabs>
              <w:spacing w:after="0" w:line="240" w:lineRule="auto"/>
              <w:outlineLvl w:val="0"/>
              <w:rPr>
                <w:rFonts w:ascii="Calibri" w:eastAsia="Times New Roman" w:hAnsi="Calibri" w:cs="Arial"/>
                <w:b/>
                <w:sz w:val="18"/>
                <w:szCs w:val="18"/>
                <w:lang w:val="en-US"/>
              </w:rPr>
            </w:pPr>
            <w:bookmarkStart w:id="901" w:name="_Toc4062503"/>
            <w:r w:rsidRPr="00537128">
              <w:rPr>
                <w:rFonts w:ascii="Calibri" w:eastAsia="Times New Roman" w:hAnsi="Calibri" w:cs="Arial"/>
                <w:b/>
                <w:sz w:val="18"/>
                <w:szCs w:val="18"/>
                <w:lang w:val="en-US"/>
              </w:rPr>
              <w:t>31 March 202</w:t>
            </w:r>
            <w:bookmarkEnd w:id="901"/>
            <w:r w:rsidR="00EC0204">
              <w:rPr>
                <w:rFonts w:ascii="Calibri" w:eastAsia="Times New Roman" w:hAnsi="Calibri" w:cs="Arial"/>
                <w:b/>
                <w:sz w:val="18"/>
                <w:szCs w:val="18"/>
                <w:lang w:val="en-US"/>
              </w:rPr>
              <w:t>2</w:t>
            </w:r>
          </w:p>
        </w:tc>
        <w:tc>
          <w:tcPr>
            <w:tcW w:w="1133" w:type="dxa"/>
          </w:tcPr>
          <w:p w14:paraId="196C64BD"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902" w:name="_Toc4062504"/>
            <w:r w:rsidRPr="00537128">
              <w:rPr>
                <w:rFonts w:ascii="Calibri" w:eastAsia="Times New Roman" w:hAnsi="Calibri" w:cs="Arial"/>
                <w:b/>
                <w:sz w:val="18"/>
                <w:szCs w:val="18"/>
                <w:lang w:val="en-US"/>
              </w:rPr>
              <w:t>Up to 1 month</w:t>
            </w:r>
            <w:bookmarkEnd w:id="902"/>
          </w:p>
        </w:tc>
        <w:tc>
          <w:tcPr>
            <w:tcW w:w="1134" w:type="dxa"/>
          </w:tcPr>
          <w:p w14:paraId="6E616599"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903" w:name="_Toc4062505"/>
            <w:r w:rsidRPr="00537128">
              <w:rPr>
                <w:rFonts w:ascii="Calibri" w:eastAsia="Times New Roman" w:hAnsi="Calibri" w:cs="Arial"/>
                <w:b/>
                <w:sz w:val="18"/>
                <w:szCs w:val="18"/>
                <w:lang w:val="en-US"/>
              </w:rPr>
              <w:t>1 - 3 months</w:t>
            </w:r>
            <w:bookmarkEnd w:id="903"/>
          </w:p>
        </w:tc>
        <w:tc>
          <w:tcPr>
            <w:tcW w:w="1134" w:type="dxa"/>
          </w:tcPr>
          <w:p w14:paraId="29838E9A"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904" w:name="_Toc4062506"/>
            <w:r w:rsidRPr="00537128">
              <w:rPr>
                <w:rFonts w:ascii="Calibri" w:eastAsia="Times New Roman" w:hAnsi="Calibri" w:cs="Arial"/>
                <w:b/>
                <w:sz w:val="18"/>
                <w:szCs w:val="18"/>
                <w:lang w:val="en-US"/>
              </w:rPr>
              <w:t>3 - 12</w:t>
            </w:r>
            <w:bookmarkEnd w:id="904"/>
            <w:r w:rsidRPr="00537128">
              <w:rPr>
                <w:rFonts w:ascii="Calibri" w:eastAsia="Times New Roman" w:hAnsi="Calibri" w:cs="Arial"/>
                <w:b/>
                <w:sz w:val="18"/>
                <w:szCs w:val="18"/>
                <w:lang w:val="en-US"/>
              </w:rPr>
              <w:t xml:space="preserve"> </w:t>
            </w:r>
          </w:p>
          <w:p w14:paraId="370272B4"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905" w:name="_Toc4062507"/>
            <w:r w:rsidRPr="00537128">
              <w:rPr>
                <w:rFonts w:ascii="Calibri" w:eastAsia="Times New Roman" w:hAnsi="Calibri" w:cs="Arial"/>
                <w:b/>
                <w:sz w:val="18"/>
                <w:szCs w:val="18"/>
                <w:lang w:val="en-US"/>
              </w:rPr>
              <w:t>months</w:t>
            </w:r>
            <w:bookmarkEnd w:id="905"/>
          </w:p>
        </w:tc>
        <w:tc>
          <w:tcPr>
            <w:tcW w:w="1134" w:type="dxa"/>
          </w:tcPr>
          <w:p w14:paraId="73F7252D"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906" w:name="_Toc4062508"/>
            <w:r w:rsidRPr="00537128">
              <w:rPr>
                <w:rFonts w:ascii="Calibri" w:eastAsia="Times New Roman" w:hAnsi="Calibri" w:cs="Arial"/>
                <w:b/>
                <w:sz w:val="18"/>
                <w:szCs w:val="18"/>
                <w:lang w:val="en-US"/>
              </w:rPr>
              <w:t>1 - 3</w:t>
            </w:r>
            <w:bookmarkEnd w:id="906"/>
            <w:r w:rsidRPr="00537128">
              <w:rPr>
                <w:rFonts w:ascii="Calibri" w:eastAsia="Times New Roman" w:hAnsi="Calibri" w:cs="Arial"/>
                <w:b/>
                <w:sz w:val="18"/>
                <w:szCs w:val="18"/>
                <w:lang w:val="en-US"/>
              </w:rPr>
              <w:t xml:space="preserve"> </w:t>
            </w:r>
          </w:p>
          <w:p w14:paraId="6B5A1B9E"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907" w:name="_Toc4062509"/>
            <w:r w:rsidRPr="00537128">
              <w:rPr>
                <w:rFonts w:ascii="Calibri" w:eastAsia="Times New Roman" w:hAnsi="Calibri" w:cs="Arial"/>
                <w:b/>
                <w:sz w:val="18"/>
                <w:szCs w:val="18"/>
                <w:lang w:val="en-US"/>
              </w:rPr>
              <w:t>years</w:t>
            </w:r>
            <w:bookmarkEnd w:id="907"/>
          </w:p>
        </w:tc>
        <w:tc>
          <w:tcPr>
            <w:tcW w:w="1134" w:type="dxa"/>
          </w:tcPr>
          <w:p w14:paraId="7AE2685E"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bookmarkStart w:id="908" w:name="_Toc4062510"/>
            <w:r w:rsidRPr="00537128">
              <w:rPr>
                <w:rFonts w:ascii="Calibri" w:eastAsia="Times New Roman" w:hAnsi="Calibri" w:cs="Arial"/>
                <w:b/>
                <w:sz w:val="18"/>
                <w:szCs w:val="18"/>
                <w:lang w:val="en-US"/>
              </w:rPr>
              <w:t>Over 3</w:t>
            </w:r>
            <w:bookmarkEnd w:id="908"/>
            <w:r w:rsidRPr="00537128">
              <w:rPr>
                <w:rFonts w:ascii="Calibri" w:eastAsia="Times New Roman" w:hAnsi="Calibri" w:cs="Arial"/>
                <w:b/>
                <w:sz w:val="18"/>
                <w:szCs w:val="18"/>
                <w:lang w:val="en-US"/>
              </w:rPr>
              <w:t xml:space="preserve"> </w:t>
            </w:r>
          </w:p>
          <w:p w14:paraId="5ACAD49C"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bookmarkStart w:id="909" w:name="_Toc4062511"/>
            <w:r w:rsidRPr="00537128">
              <w:rPr>
                <w:rFonts w:ascii="Calibri" w:eastAsia="Times New Roman" w:hAnsi="Calibri" w:cs="Arial"/>
                <w:b/>
                <w:sz w:val="18"/>
                <w:szCs w:val="18"/>
                <w:lang w:val="en-US"/>
              </w:rPr>
              <w:t>years</w:t>
            </w:r>
            <w:bookmarkEnd w:id="909"/>
          </w:p>
        </w:tc>
        <w:tc>
          <w:tcPr>
            <w:tcW w:w="1134" w:type="dxa"/>
          </w:tcPr>
          <w:p w14:paraId="324B4541"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910" w:name="_Toc4062512"/>
            <w:r w:rsidRPr="00537128">
              <w:rPr>
                <w:rFonts w:ascii="Calibri" w:eastAsia="Times New Roman" w:hAnsi="Calibri" w:cs="Arial"/>
                <w:b/>
                <w:sz w:val="18"/>
                <w:szCs w:val="18"/>
                <w:lang w:val="en-US"/>
              </w:rPr>
              <w:t>Total</w:t>
            </w:r>
            <w:bookmarkEnd w:id="910"/>
          </w:p>
        </w:tc>
      </w:tr>
      <w:tr w:rsidR="003D584A" w:rsidRPr="00537128" w14:paraId="48C15CCC" w14:textId="77777777" w:rsidTr="00703DBC">
        <w:trPr>
          <w:trHeight w:val="294"/>
          <w:jc w:val="center"/>
        </w:trPr>
        <w:tc>
          <w:tcPr>
            <w:tcW w:w="2978" w:type="dxa"/>
          </w:tcPr>
          <w:p w14:paraId="578D92E3" w14:textId="77777777" w:rsidR="003D584A" w:rsidRPr="00537128" w:rsidRDefault="003D584A" w:rsidP="003D584A">
            <w:pPr>
              <w:tabs>
                <w:tab w:val="left" w:pos="-720"/>
              </w:tabs>
              <w:suppressAutoHyphens/>
              <w:spacing w:after="0" w:line="240" w:lineRule="auto"/>
              <w:jc w:val="center"/>
              <w:rPr>
                <w:rFonts w:ascii="Calibri" w:eastAsia="Times New Roman" w:hAnsi="Calibri" w:cs="Arial"/>
                <w:b/>
                <w:spacing w:val="-2"/>
                <w:sz w:val="18"/>
                <w:szCs w:val="18"/>
                <w:lang w:val="en-US"/>
              </w:rPr>
            </w:pPr>
          </w:p>
        </w:tc>
        <w:tc>
          <w:tcPr>
            <w:tcW w:w="1133" w:type="dxa"/>
            <w:vAlign w:val="bottom"/>
          </w:tcPr>
          <w:p w14:paraId="6D48FE68"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911" w:name="_Toc4062513"/>
            <w:r w:rsidRPr="00537128">
              <w:rPr>
                <w:rFonts w:ascii="Calibri" w:eastAsia="Times New Roman" w:hAnsi="Calibri" w:cs="Arial"/>
                <w:b/>
                <w:bCs/>
                <w:sz w:val="18"/>
                <w:szCs w:val="18"/>
                <w:lang w:val="en-US"/>
              </w:rPr>
              <w:t>HRK ‘000</w:t>
            </w:r>
            <w:bookmarkEnd w:id="911"/>
          </w:p>
        </w:tc>
        <w:tc>
          <w:tcPr>
            <w:tcW w:w="1134" w:type="dxa"/>
            <w:vAlign w:val="bottom"/>
          </w:tcPr>
          <w:p w14:paraId="2454C3DC" w14:textId="77777777" w:rsidR="003D584A" w:rsidRPr="00537128" w:rsidRDefault="003D584A" w:rsidP="003D584A">
            <w:pPr>
              <w:tabs>
                <w:tab w:val="center" w:pos="4153"/>
                <w:tab w:val="right" w:pos="8306"/>
              </w:tabs>
              <w:spacing w:after="0" w:line="240" w:lineRule="auto"/>
              <w:jc w:val="right"/>
              <w:rPr>
                <w:rFonts w:ascii="Calibri" w:eastAsia="Times New Roman" w:hAnsi="Calibri" w:cs="Arial"/>
                <w:b/>
                <w:spacing w:val="-2"/>
                <w:sz w:val="18"/>
                <w:szCs w:val="18"/>
                <w:lang w:val="en-US"/>
              </w:rPr>
            </w:pPr>
            <w:r w:rsidRPr="00537128">
              <w:rPr>
                <w:rFonts w:ascii="Calibri" w:eastAsia="Times New Roman" w:hAnsi="Calibri" w:cs="Arial"/>
                <w:b/>
                <w:spacing w:val="-2"/>
                <w:sz w:val="18"/>
                <w:szCs w:val="18"/>
                <w:lang w:val="en-US"/>
              </w:rPr>
              <w:t>HRK ‘000</w:t>
            </w:r>
          </w:p>
        </w:tc>
        <w:tc>
          <w:tcPr>
            <w:tcW w:w="1134" w:type="dxa"/>
            <w:vAlign w:val="bottom"/>
          </w:tcPr>
          <w:p w14:paraId="62EA8DEF"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912" w:name="_Toc4062514"/>
            <w:r w:rsidRPr="00537128">
              <w:rPr>
                <w:rFonts w:ascii="Calibri" w:eastAsia="Times New Roman" w:hAnsi="Calibri" w:cs="Arial"/>
                <w:b/>
                <w:bCs/>
                <w:sz w:val="18"/>
                <w:szCs w:val="18"/>
                <w:lang w:val="en-US"/>
              </w:rPr>
              <w:t>HRK ‘000</w:t>
            </w:r>
            <w:bookmarkEnd w:id="912"/>
          </w:p>
        </w:tc>
        <w:tc>
          <w:tcPr>
            <w:tcW w:w="1134" w:type="dxa"/>
            <w:vAlign w:val="bottom"/>
          </w:tcPr>
          <w:p w14:paraId="5B5400CF"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913" w:name="_Toc4062515"/>
            <w:r w:rsidRPr="00537128">
              <w:rPr>
                <w:rFonts w:ascii="Calibri" w:eastAsia="Times New Roman" w:hAnsi="Calibri" w:cs="Arial"/>
                <w:b/>
                <w:bCs/>
                <w:sz w:val="18"/>
                <w:szCs w:val="18"/>
                <w:lang w:val="en-US"/>
              </w:rPr>
              <w:t>HRK ‘000</w:t>
            </w:r>
            <w:bookmarkEnd w:id="913"/>
          </w:p>
        </w:tc>
        <w:tc>
          <w:tcPr>
            <w:tcW w:w="1134" w:type="dxa"/>
            <w:vAlign w:val="bottom"/>
          </w:tcPr>
          <w:p w14:paraId="40AFF01F"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bookmarkStart w:id="914" w:name="_Toc4062516"/>
            <w:r w:rsidRPr="00537128">
              <w:rPr>
                <w:rFonts w:ascii="Calibri" w:eastAsia="Times New Roman" w:hAnsi="Calibri" w:cs="Arial"/>
                <w:b/>
                <w:bCs/>
                <w:sz w:val="18"/>
                <w:szCs w:val="18"/>
                <w:lang w:val="en-US"/>
              </w:rPr>
              <w:t>HRK ‘000</w:t>
            </w:r>
            <w:bookmarkEnd w:id="914"/>
          </w:p>
        </w:tc>
        <w:tc>
          <w:tcPr>
            <w:tcW w:w="1134" w:type="dxa"/>
            <w:vAlign w:val="bottom"/>
          </w:tcPr>
          <w:p w14:paraId="389BB6D2"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915" w:name="_Toc4062517"/>
            <w:r w:rsidRPr="00537128">
              <w:rPr>
                <w:rFonts w:ascii="Calibri" w:eastAsia="Times New Roman" w:hAnsi="Calibri" w:cs="Arial"/>
                <w:b/>
                <w:bCs/>
                <w:sz w:val="18"/>
                <w:szCs w:val="18"/>
                <w:lang w:val="en-US"/>
              </w:rPr>
              <w:t>HRK ‘000</w:t>
            </w:r>
            <w:bookmarkEnd w:id="915"/>
          </w:p>
        </w:tc>
      </w:tr>
      <w:tr w:rsidR="003D584A" w:rsidRPr="00537128" w14:paraId="60693813" w14:textId="77777777" w:rsidTr="00703DBC">
        <w:trPr>
          <w:trHeight w:hRule="exact" w:val="284"/>
          <w:jc w:val="center"/>
        </w:trPr>
        <w:tc>
          <w:tcPr>
            <w:tcW w:w="2978" w:type="dxa"/>
          </w:tcPr>
          <w:p w14:paraId="3D11D507" w14:textId="77777777" w:rsidR="003D584A" w:rsidRPr="00537128" w:rsidRDefault="003D584A" w:rsidP="003D584A">
            <w:pPr>
              <w:tabs>
                <w:tab w:val="right" w:pos="1202"/>
              </w:tabs>
              <w:spacing w:after="0" w:line="240" w:lineRule="auto"/>
              <w:outlineLvl w:val="0"/>
              <w:rPr>
                <w:rFonts w:ascii="Calibri" w:eastAsia="Times New Roman" w:hAnsi="Calibri" w:cs="Arial"/>
                <w:b/>
                <w:bCs/>
                <w:sz w:val="18"/>
                <w:szCs w:val="18"/>
                <w:lang w:val="en-US"/>
              </w:rPr>
            </w:pPr>
            <w:bookmarkStart w:id="916" w:name="_Toc4062518"/>
            <w:r w:rsidRPr="00537128">
              <w:rPr>
                <w:rFonts w:ascii="Calibri" w:eastAsia="Times New Roman" w:hAnsi="Calibri" w:cs="Arial"/>
                <w:b/>
                <w:bCs/>
                <w:sz w:val="18"/>
                <w:szCs w:val="18"/>
                <w:lang w:val="en-US"/>
              </w:rPr>
              <w:t>Financial liabilities</w:t>
            </w:r>
            <w:bookmarkEnd w:id="916"/>
          </w:p>
        </w:tc>
        <w:tc>
          <w:tcPr>
            <w:tcW w:w="1133" w:type="dxa"/>
            <w:vAlign w:val="bottom"/>
          </w:tcPr>
          <w:p w14:paraId="70263BFE"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05D85FEF"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58E51396"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672D516F"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5099F766"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3DB4E95C" w14:textId="77777777" w:rsidR="003D584A" w:rsidRPr="00537128" w:rsidRDefault="003D584A" w:rsidP="003D584A">
            <w:pPr>
              <w:spacing w:after="0" w:line="240" w:lineRule="auto"/>
              <w:jc w:val="right"/>
              <w:outlineLvl w:val="0"/>
              <w:rPr>
                <w:rFonts w:ascii="Calibri" w:eastAsia="Times New Roman" w:hAnsi="Calibri" w:cs="Arial"/>
                <w:b/>
                <w:bCs/>
                <w:sz w:val="18"/>
                <w:szCs w:val="18"/>
                <w:lang w:val="en-US"/>
              </w:rPr>
            </w:pPr>
          </w:p>
        </w:tc>
      </w:tr>
      <w:tr w:rsidR="00127794" w:rsidRPr="00537128" w14:paraId="1325BA1B" w14:textId="77777777" w:rsidTr="00703DBC">
        <w:trPr>
          <w:trHeight w:hRule="exact" w:val="227"/>
          <w:jc w:val="center"/>
        </w:trPr>
        <w:tc>
          <w:tcPr>
            <w:tcW w:w="2978" w:type="dxa"/>
            <w:vAlign w:val="bottom"/>
          </w:tcPr>
          <w:p w14:paraId="3F991FF2" w14:textId="77777777" w:rsidR="00127794" w:rsidRPr="00537128" w:rsidRDefault="00127794" w:rsidP="00127794">
            <w:pPr>
              <w:tabs>
                <w:tab w:val="right" w:pos="1202"/>
                <w:tab w:val="center" w:pos="4153"/>
                <w:tab w:val="right" w:pos="8306"/>
              </w:tabs>
              <w:spacing w:after="0" w:line="240" w:lineRule="auto"/>
              <w:outlineLvl w:val="0"/>
              <w:rPr>
                <w:rFonts w:ascii="Calibri" w:eastAsia="Times New Roman" w:hAnsi="Calibri" w:cs="Arial"/>
                <w:sz w:val="18"/>
                <w:szCs w:val="18"/>
                <w:lang w:val="en-US"/>
              </w:rPr>
            </w:pPr>
            <w:bookmarkStart w:id="917" w:name="_Toc4062519"/>
            <w:r w:rsidRPr="00537128">
              <w:rPr>
                <w:rFonts w:ascii="Calibri" w:eastAsia="Times New Roman" w:hAnsi="Calibri" w:cs="Arial"/>
                <w:sz w:val="18"/>
                <w:szCs w:val="18"/>
                <w:lang w:val="en-US"/>
              </w:rPr>
              <w:t>Deposits from customers</w:t>
            </w:r>
            <w:bookmarkEnd w:id="917"/>
          </w:p>
        </w:tc>
        <w:tc>
          <w:tcPr>
            <w:tcW w:w="1133" w:type="dxa"/>
            <w:tcBorders>
              <w:top w:val="nil"/>
              <w:left w:val="nil"/>
              <w:bottom w:val="nil"/>
              <w:right w:val="nil"/>
            </w:tcBorders>
            <w:shd w:val="clear" w:color="auto" w:fill="auto"/>
            <w:vAlign w:val="bottom"/>
          </w:tcPr>
          <w:p w14:paraId="706B6818" w14:textId="5ED8A014" w:rsidR="00127794" w:rsidRPr="00537128" w:rsidRDefault="00127794" w:rsidP="00127794">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olor w:val="000000"/>
                <w:sz w:val="18"/>
                <w:szCs w:val="18"/>
              </w:rPr>
              <w:t>280,893</w:t>
            </w:r>
          </w:p>
        </w:tc>
        <w:tc>
          <w:tcPr>
            <w:tcW w:w="1134" w:type="dxa"/>
            <w:tcBorders>
              <w:top w:val="nil"/>
              <w:left w:val="nil"/>
              <w:bottom w:val="nil"/>
              <w:right w:val="nil"/>
            </w:tcBorders>
            <w:shd w:val="clear" w:color="auto" w:fill="auto"/>
            <w:vAlign w:val="bottom"/>
          </w:tcPr>
          <w:p w14:paraId="6385511C" w14:textId="1240DB56" w:rsidR="00127794" w:rsidRPr="00537128" w:rsidRDefault="00127794" w:rsidP="00127794">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olor w:val="000000"/>
                <w:sz w:val="18"/>
                <w:szCs w:val="18"/>
              </w:rPr>
              <w:t>40,169</w:t>
            </w:r>
          </w:p>
        </w:tc>
        <w:tc>
          <w:tcPr>
            <w:tcW w:w="1134" w:type="dxa"/>
            <w:tcBorders>
              <w:top w:val="nil"/>
              <w:left w:val="nil"/>
              <w:bottom w:val="nil"/>
              <w:right w:val="nil"/>
            </w:tcBorders>
            <w:shd w:val="clear" w:color="auto" w:fill="auto"/>
            <w:vAlign w:val="bottom"/>
          </w:tcPr>
          <w:p w14:paraId="0C858AB3" w14:textId="59F1456C" w:rsidR="00127794" w:rsidRPr="00537128" w:rsidRDefault="00127794" w:rsidP="00127794">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olor w:val="000000"/>
                <w:sz w:val="18"/>
                <w:szCs w:val="18"/>
              </w:rPr>
              <w:t>88,869</w:t>
            </w:r>
          </w:p>
        </w:tc>
        <w:tc>
          <w:tcPr>
            <w:tcW w:w="1134" w:type="dxa"/>
            <w:tcBorders>
              <w:top w:val="nil"/>
              <w:left w:val="nil"/>
              <w:bottom w:val="nil"/>
              <w:right w:val="nil"/>
            </w:tcBorders>
            <w:shd w:val="clear" w:color="auto" w:fill="auto"/>
            <w:vAlign w:val="bottom"/>
          </w:tcPr>
          <w:p w14:paraId="7A269B3D" w14:textId="7E7A2F40" w:rsidR="00127794" w:rsidRPr="00537128" w:rsidRDefault="00127794" w:rsidP="00127794">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olor w:val="000000"/>
                <w:sz w:val="18"/>
                <w:szCs w:val="18"/>
              </w:rPr>
              <w:t>112,341</w:t>
            </w:r>
          </w:p>
        </w:tc>
        <w:tc>
          <w:tcPr>
            <w:tcW w:w="1134" w:type="dxa"/>
            <w:tcBorders>
              <w:top w:val="nil"/>
              <w:left w:val="nil"/>
              <w:bottom w:val="nil"/>
              <w:right w:val="nil"/>
            </w:tcBorders>
            <w:shd w:val="clear" w:color="auto" w:fill="auto"/>
            <w:vAlign w:val="bottom"/>
          </w:tcPr>
          <w:p w14:paraId="361E656D" w14:textId="5FEEDADB" w:rsidR="00127794" w:rsidRPr="00537128" w:rsidRDefault="00127794" w:rsidP="00127794">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olor w:val="000000"/>
                <w:sz w:val="18"/>
                <w:szCs w:val="18"/>
              </w:rPr>
              <w:t>85,265</w:t>
            </w:r>
          </w:p>
        </w:tc>
        <w:tc>
          <w:tcPr>
            <w:tcW w:w="1134" w:type="dxa"/>
            <w:tcBorders>
              <w:top w:val="nil"/>
              <w:left w:val="nil"/>
              <w:bottom w:val="nil"/>
              <w:right w:val="nil"/>
            </w:tcBorders>
            <w:shd w:val="clear" w:color="auto" w:fill="auto"/>
            <w:vAlign w:val="bottom"/>
          </w:tcPr>
          <w:p w14:paraId="4725E096" w14:textId="1295F7F6" w:rsidR="00127794" w:rsidRPr="00537128" w:rsidRDefault="00127794" w:rsidP="00127794">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olor w:val="000000"/>
                <w:sz w:val="18"/>
                <w:szCs w:val="18"/>
              </w:rPr>
              <w:t>607,537</w:t>
            </w:r>
          </w:p>
        </w:tc>
      </w:tr>
      <w:tr w:rsidR="00127794" w:rsidRPr="00537128" w14:paraId="19670451" w14:textId="77777777" w:rsidTr="00703DBC">
        <w:trPr>
          <w:trHeight w:hRule="exact" w:val="227"/>
          <w:jc w:val="center"/>
        </w:trPr>
        <w:tc>
          <w:tcPr>
            <w:tcW w:w="2978" w:type="dxa"/>
            <w:vAlign w:val="bottom"/>
          </w:tcPr>
          <w:p w14:paraId="29614898" w14:textId="77777777" w:rsidR="00127794" w:rsidRPr="00537128" w:rsidRDefault="00127794" w:rsidP="00127794">
            <w:pPr>
              <w:tabs>
                <w:tab w:val="right" w:pos="1202"/>
                <w:tab w:val="center" w:pos="4153"/>
                <w:tab w:val="right" w:pos="8306"/>
              </w:tabs>
              <w:spacing w:after="0" w:line="240" w:lineRule="auto"/>
              <w:outlineLvl w:val="0"/>
              <w:rPr>
                <w:rFonts w:ascii="Calibri" w:eastAsia="Times New Roman" w:hAnsi="Calibri" w:cs="Arial"/>
                <w:sz w:val="18"/>
                <w:szCs w:val="18"/>
                <w:lang w:val="en-US"/>
              </w:rPr>
            </w:pPr>
            <w:bookmarkStart w:id="918" w:name="_Toc4062520"/>
            <w:r w:rsidRPr="00537128">
              <w:rPr>
                <w:rFonts w:ascii="Calibri" w:eastAsia="Times New Roman" w:hAnsi="Calibri" w:cs="Arial"/>
                <w:sz w:val="18"/>
                <w:szCs w:val="18"/>
                <w:lang w:val="en-US"/>
              </w:rPr>
              <w:t>Borrowings</w:t>
            </w:r>
            <w:bookmarkEnd w:id="918"/>
          </w:p>
        </w:tc>
        <w:tc>
          <w:tcPr>
            <w:tcW w:w="1133" w:type="dxa"/>
            <w:tcBorders>
              <w:top w:val="nil"/>
              <w:left w:val="nil"/>
              <w:bottom w:val="nil"/>
              <w:right w:val="nil"/>
            </w:tcBorders>
            <w:shd w:val="clear" w:color="auto" w:fill="auto"/>
            <w:vAlign w:val="bottom"/>
          </w:tcPr>
          <w:p w14:paraId="142ABE32" w14:textId="70E1C10B" w:rsidR="00127794" w:rsidRPr="00537128" w:rsidRDefault="00127794" w:rsidP="00127794">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olor w:val="000000"/>
                <w:sz w:val="18"/>
                <w:szCs w:val="18"/>
              </w:rPr>
              <w:t>173,742</w:t>
            </w:r>
          </w:p>
        </w:tc>
        <w:tc>
          <w:tcPr>
            <w:tcW w:w="1134" w:type="dxa"/>
            <w:tcBorders>
              <w:top w:val="nil"/>
              <w:left w:val="nil"/>
              <w:bottom w:val="nil"/>
              <w:right w:val="nil"/>
            </w:tcBorders>
            <w:shd w:val="clear" w:color="auto" w:fill="auto"/>
            <w:vAlign w:val="bottom"/>
          </w:tcPr>
          <w:p w14:paraId="46CF48E0" w14:textId="63A39D12" w:rsidR="00127794" w:rsidRPr="00537128" w:rsidRDefault="00127794" w:rsidP="00127794">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olor w:val="000000"/>
                <w:sz w:val="18"/>
                <w:szCs w:val="18"/>
              </w:rPr>
              <w:t>564,373</w:t>
            </w:r>
          </w:p>
        </w:tc>
        <w:tc>
          <w:tcPr>
            <w:tcW w:w="1134" w:type="dxa"/>
            <w:tcBorders>
              <w:top w:val="nil"/>
              <w:left w:val="nil"/>
              <w:bottom w:val="nil"/>
              <w:right w:val="nil"/>
            </w:tcBorders>
            <w:shd w:val="clear" w:color="auto" w:fill="auto"/>
            <w:vAlign w:val="bottom"/>
          </w:tcPr>
          <w:p w14:paraId="192B8282" w14:textId="7F5A5D7A" w:rsidR="00127794" w:rsidRPr="00537128" w:rsidRDefault="00127794" w:rsidP="00127794">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olor w:val="000000"/>
                <w:sz w:val="18"/>
                <w:szCs w:val="18"/>
              </w:rPr>
              <w:t>1,812,211</w:t>
            </w:r>
          </w:p>
        </w:tc>
        <w:tc>
          <w:tcPr>
            <w:tcW w:w="1134" w:type="dxa"/>
            <w:tcBorders>
              <w:top w:val="nil"/>
              <w:left w:val="nil"/>
              <w:bottom w:val="nil"/>
              <w:right w:val="nil"/>
            </w:tcBorders>
            <w:shd w:val="clear" w:color="auto" w:fill="auto"/>
            <w:vAlign w:val="bottom"/>
          </w:tcPr>
          <w:p w14:paraId="353A737E" w14:textId="48A4D087" w:rsidR="00127794" w:rsidRPr="00537128" w:rsidRDefault="00127794" w:rsidP="00127794">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olor w:val="000000"/>
                <w:sz w:val="18"/>
                <w:szCs w:val="18"/>
              </w:rPr>
              <w:t>5,905,674</w:t>
            </w:r>
          </w:p>
        </w:tc>
        <w:tc>
          <w:tcPr>
            <w:tcW w:w="1134" w:type="dxa"/>
            <w:tcBorders>
              <w:top w:val="nil"/>
              <w:left w:val="nil"/>
              <w:bottom w:val="nil"/>
              <w:right w:val="nil"/>
            </w:tcBorders>
            <w:shd w:val="clear" w:color="auto" w:fill="auto"/>
            <w:vAlign w:val="bottom"/>
          </w:tcPr>
          <w:p w14:paraId="1E6D8071" w14:textId="6085874B" w:rsidR="00127794" w:rsidRPr="00537128" w:rsidRDefault="00127794" w:rsidP="00127794">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olor w:val="000000"/>
                <w:sz w:val="18"/>
                <w:szCs w:val="18"/>
              </w:rPr>
              <w:t>8,377,998</w:t>
            </w:r>
          </w:p>
        </w:tc>
        <w:tc>
          <w:tcPr>
            <w:tcW w:w="1134" w:type="dxa"/>
            <w:tcBorders>
              <w:top w:val="nil"/>
              <w:left w:val="nil"/>
              <w:bottom w:val="nil"/>
              <w:right w:val="nil"/>
            </w:tcBorders>
            <w:shd w:val="clear" w:color="auto" w:fill="auto"/>
            <w:vAlign w:val="bottom"/>
          </w:tcPr>
          <w:p w14:paraId="69E53675" w14:textId="7FE6FA90" w:rsidR="00127794" w:rsidRPr="00537128" w:rsidRDefault="00127794" w:rsidP="00127794">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olor w:val="000000"/>
                <w:sz w:val="18"/>
                <w:szCs w:val="18"/>
              </w:rPr>
              <w:t>16,833,998</w:t>
            </w:r>
          </w:p>
        </w:tc>
      </w:tr>
      <w:tr w:rsidR="00127794" w:rsidRPr="00537128" w14:paraId="21EFCF0E" w14:textId="77777777" w:rsidTr="00A1123E">
        <w:trPr>
          <w:trHeight w:hRule="exact" w:val="430"/>
          <w:jc w:val="center"/>
        </w:trPr>
        <w:tc>
          <w:tcPr>
            <w:tcW w:w="2978" w:type="dxa"/>
            <w:vAlign w:val="bottom"/>
          </w:tcPr>
          <w:p w14:paraId="201D5ACA" w14:textId="77777777" w:rsidR="00127794" w:rsidRPr="00537128" w:rsidRDefault="00127794" w:rsidP="00127794">
            <w:pPr>
              <w:tabs>
                <w:tab w:val="right" w:pos="1202"/>
                <w:tab w:val="center" w:pos="4153"/>
                <w:tab w:val="right" w:pos="8306"/>
              </w:tabs>
              <w:spacing w:after="0" w:line="240" w:lineRule="auto"/>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Provisions for guarantees, </w:t>
            </w:r>
            <w:proofErr w:type="gramStart"/>
            <w:r w:rsidRPr="00537128">
              <w:rPr>
                <w:rFonts w:ascii="Calibri" w:eastAsia="Times New Roman" w:hAnsi="Calibri" w:cs="Arial"/>
                <w:sz w:val="18"/>
                <w:szCs w:val="18"/>
                <w:lang w:val="en-US"/>
              </w:rPr>
              <w:t>commitments</w:t>
            </w:r>
            <w:proofErr w:type="gramEnd"/>
            <w:r w:rsidRPr="00537128">
              <w:rPr>
                <w:rFonts w:ascii="Calibri" w:eastAsia="Times New Roman" w:hAnsi="Calibri" w:cs="Arial"/>
                <w:sz w:val="18"/>
                <w:szCs w:val="18"/>
                <w:lang w:val="en-US"/>
              </w:rPr>
              <w:t xml:space="preserve"> and other liabilities</w:t>
            </w:r>
          </w:p>
        </w:tc>
        <w:tc>
          <w:tcPr>
            <w:tcW w:w="1133" w:type="dxa"/>
            <w:tcBorders>
              <w:top w:val="nil"/>
              <w:left w:val="nil"/>
              <w:bottom w:val="nil"/>
              <w:right w:val="nil"/>
            </w:tcBorders>
            <w:shd w:val="clear" w:color="auto" w:fill="auto"/>
            <w:vAlign w:val="bottom"/>
          </w:tcPr>
          <w:p w14:paraId="2130B62D" w14:textId="0F5001D4" w:rsidR="00127794" w:rsidRPr="00537128" w:rsidRDefault="00127794" w:rsidP="00127794">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sidRPr="00F008AE">
              <w:rPr>
                <w:rFonts w:ascii="Calibri" w:hAnsi="Calibri"/>
                <w:color w:val="000000"/>
                <w:sz w:val="18"/>
                <w:szCs w:val="18"/>
              </w:rPr>
              <w:t>76</w:t>
            </w:r>
            <w:r>
              <w:rPr>
                <w:rFonts w:ascii="Calibri" w:hAnsi="Calibri"/>
                <w:color w:val="000000"/>
                <w:sz w:val="18"/>
                <w:szCs w:val="18"/>
              </w:rPr>
              <w:t>,</w:t>
            </w:r>
            <w:r w:rsidRPr="00F008AE">
              <w:rPr>
                <w:rFonts w:ascii="Calibri" w:hAnsi="Calibri"/>
                <w:color w:val="000000"/>
                <w:sz w:val="18"/>
                <w:szCs w:val="18"/>
              </w:rPr>
              <w:t>091</w:t>
            </w:r>
          </w:p>
        </w:tc>
        <w:tc>
          <w:tcPr>
            <w:tcW w:w="1134" w:type="dxa"/>
            <w:tcBorders>
              <w:top w:val="nil"/>
              <w:left w:val="nil"/>
              <w:bottom w:val="nil"/>
              <w:right w:val="nil"/>
            </w:tcBorders>
            <w:shd w:val="clear" w:color="auto" w:fill="auto"/>
            <w:vAlign w:val="bottom"/>
          </w:tcPr>
          <w:p w14:paraId="64C99810" w14:textId="68E47D1C" w:rsidR="00127794" w:rsidRPr="00537128" w:rsidRDefault="00127794" w:rsidP="00127794">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sidRPr="006757A7">
              <w:rPr>
                <w:rFonts w:ascii="Calibri" w:hAnsi="Calibri"/>
                <w:color w:val="000000"/>
                <w:sz w:val="18"/>
                <w:szCs w:val="18"/>
              </w:rPr>
              <w:t>5</w:t>
            </w:r>
            <w:r>
              <w:rPr>
                <w:rFonts w:ascii="Calibri" w:hAnsi="Calibri"/>
                <w:color w:val="000000"/>
                <w:sz w:val="18"/>
                <w:szCs w:val="18"/>
              </w:rPr>
              <w:t>,</w:t>
            </w:r>
            <w:r w:rsidRPr="006757A7">
              <w:rPr>
                <w:rFonts w:ascii="Calibri" w:hAnsi="Calibri"/>
                <w:color w:val="000000"/>
                <w:sz w:val="18"/>
                <w:szCs w:val="18"/>
              </w:rPr>
              <w:t>261</w:t>
            </w:r>
          </w:p>
        </w:tc>
        <w:tc>
          <w:tcPr>
            <w:tcW w:w="1134" w:type="dxa"/>
            <w:tcBorders>
              <w:top w:val="nil"/>
              <w:left w:val="nil"/>
              <w:bottom w:val="nil"/>
              <w:right w:val="nil"/>
            </w:tcBorders>
            <w:shd w:val="clear" w:color="auto" w:fill="auto"/>
            <w:vAlign w:val="bottom"/>
          </w:tcPr>
          <w:p w14:paraId="24DB951A" w14:textId="47C6D97A" w:rsidR="00127794" w:rsidRPr="00537128" w:rsidRDefault="00127794" w:rsidP="00127794">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sidRPr="006757A7">
              <w:rPr>
                <w:rFonts w:ascii="Calibri" w:hAnsi="Calibri"/>
                <w:color w:val="000000"/>
                <w:sz w:val="18"/>
                <w:szCs w:val="18"/>
              </w:rPr>
              <w:t>15</w:t>
            </w:r>
            <w:r>
              <w:rPr>
                <w:rFonts w:ascii="Calibri" w:hAnsi="Calibri"/>
                <w:color w:val="000000"/>
                <w:sz w:val="18"/>
                <w:szCs w:val="18"/>
              </w:rPr>
              <w:t>,</w:t>
            </w:r>
            <w:r w:rsidRPr="006757A7">
              <w:rPr>
                <w:rFonts w:ascii="Calibri" w:hAnsi="Calibri"/>
                <w:color w:val="000000"/>
                <w:sz w:val="18"/>
                <w:szCs w:val="18"/>
              </w:rPr>
              <w:t>528</w:t>
            </w:r>
          </w:p>
        </w:tc>
        <w:tc>
          <w:tcPr>
            <w:tcW w:w="1134" w:type="dxa"/>
            <w:tcBorders>
              <w:top w:val="nil"/>
              <w:left w:val="nil"/>
              <w:bottom w:val="nil"/>
              <w:right w:val="nil"/>
            </w:tcBorders>
            <w:shd w:val="clear" w:color="auto" w:fill="auto"/>
            <w:vAlign w:val="bottom"/>
          </w:tcPr>
          <w:p w14:paraId="16F3C084" w14:textId="23849FEC" w:rsidR="00127794" w:rsidRPr="00537128" w:rsidRDefault="00127794" w:rsidP="00127794">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Pr>
                <w:rFonts w:ascii="Calibri" w:hAnsi="Calibri"/>
                <w:color w:val="000000"/>
                <w:sz w:val="18"/>
                <w:szCs w:val="18"/>
              </w:rPr>
              <w:t>24,605</w:t>
            </w:r>
          </w:p>
        </w:tc>
        <w:tc>
          <w:tcPr>
            <w:tcW w:w="1134" w:type="dxa"/>
            <w:tcBorders>
              <w:top w:val="nil"/>
              <w:left w:val="nil"/>
              <w:bottom w:val="nil"/>
              <w:right w:val="nil"/>
            </w:tcBorders>
            <w:shd w:val="clear" w:color="auto" w:fill="auto"/>
            <w:vAlign w:val="bottom"/>
          </w:tcPr>
          <w:p w14:paraId="202D5907" w14:textId="10D350E6" w:rsidR="00127794" w:rsidRPr="00537128" w:rsidRDefault="00127794" w:rsidP="00127794">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Pr>
                <w:rFonts w:ascii="Calibri" w:hAnsi="Calibri"/>
                <w:color w:val="000000"/>
                <w:sz w:val="18"/>
                <w:szCs w:val="18"/>
              </w:rPr>
              <w:t>23,420</w:t>
            </w:r>
          </w:p>
        </w:tc>
        <w:tc>
          <w:tcPr>
            <w:tcW w:w="1134" w:type="dxa"/>
            <w:tcBorders>
              <w:top w:val="nil"/>
              <w:left w:val="nil"/>
              <w:bottom w:val="nil"/>
              <w:right w:val="nil"/>
            </w:tcBorders>
            <w:shd w:val="clear" w:color="auto" w:fill="auto"/>
            <w:vAlign w:val="bottom"/>
          </w:tcPr>
          <w:p w14:paraId="06BD298E" w14:textId="6286DF58" w:rsidR="00127794" w:rsidRPr="00537128" w:rsidRDefault="00127794" w:rsidP="00127794">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Pr>
                <w:rFonts w:ascii="Calibri" w:hAnsi="Calibri"/>
                <w:color w:val="000000"/>
                <w:sz w:val="18"/>
                <w:szCs w:val="18"/>
              </w:rPr>
              <w:t>144,905</w:t>
            </w:r>
          </w:p>
        </w:tc>
      </w:tr>
      <w:tr w:rsidR="00127794" w:rsidRPr="00537128" w14:paraId="6996E2AD" w14:textId="77777777" w:rsidTr="00703DBC">
        <w:trPr>
          <w:trHeight w:hRule="exact" w:val="227"/>
          <w:jc w:val="center"/>
        </w:trPr>
        <w:tc>
          <w:tcPr>
            <w:tcW w:w="2978" w:type="dxa"/>
            <w:vAlign w:val="bottom"/>
          </w:tcPr>
          <w:p w14:paraId="07E714D8" w14:textId="77777777" w:rsidR="00127794" w:rsidRPr="00537128" w:rsidRDefault="00127794" w:rsidP="00127794">
            <w:pPr>
              <w:tabs>
                <w:tab w:val="right" w:pos="1202"/>
                <w:tab w:val="center" w:pos="4153"/>
                <w:tab w:val="right" w:pos="8306"/>
              </w:tabs>
              <w:spacing w:after="0" w:line="240" w:lineRule="auto"/>
              <w:outlineLvl w:val="0"/>
              <w:rPr>
                <w:rFonts w:ascii="Calibri" w:eastAsia="Times New Roman" w:hAnsi="Calibri" w:cs="Arial"/>
                <w:sz w:val="18"/>
                <w:szCs w:val="18"/>
                <w:lang w:val="en-US"/>
              </w:rPr>
            </w:pPr>
            <w:bookmarkStart w:id="919" w:name="_Toc4062522"/>
            <w:r w:rsidRPr="00537128">
              <w:rPr>
                <w:rFonts w:ascii="Calibri" w:eastAsia="Times New Roman" w:hAnsi="Calibri" w:cs="Arial"/>
                <w:sz w:val="18"/>
                <w:szCs w:val="18"/>
                <w:lang w:val="en-US"/>
              </w:rPr>
              <w:t>Other liabilities</w:t>
            </w:r>
            <w:bookmarkEnd w:id="919"/>
          </w:p>
        </w:tc>
        <w:tc>
          <w:tcPr>
            <w:tcW w:w="1133" w:type="dxa"/>
            <w:tcBorders>
              <w:top w:val="nil"/>
              <w:left w:val="nil"/>
              <w:bottom w:val="single" w:sz="4" w:space="0" w:color="auto"/>
              <w:right w:val="nil"/>
            </w:tcBorders>
            <w:shd w:val="clear" w:color="auto" w:fill="auto"/>
            <w:vAlign w:val="bottom"/>
          </w:tcPr>
          <w:p w14:paraId="47176441" w14:textId="24E3204E" w:rsidR="00127794" w:rsidRPr="00537128" w:rsidRDefault="00127794" w:rsidP="00127794">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Pr>
                <w:rFonts w:ascii="Calibri" w:hAnsi="Calibri"/>
                <w:color w:val="000000"/>
                <w:sz w:val="18"/>
                <w:szCs w:val="18"/>
              </w:rPr>
              <w:t>195,181</w:t>
            </w:r>
          </w:p>
        </w:tc>
        <w:tc>
          <w:tcPr>
            <w:tcW w:w="1134" w:type="dxa"/>
            <w:tcBorders>
              <w:top w:val="nil"/>
              <w:left w:val="nil"/>
              <w:bottom w:val="single" w:sz="4" w:space="0" w:color="auto"/>
              <w:right w:val="nil"/>
            </w:tcBorders>
            <w:shd w:val="clear" w:color="auto" w:fill="auto"/>
            <w:vAlign w:val="bottom"/>
          </w:tcPr>
          <w:p w14:paraId="676DFDE2" w14:textId="1C5C92CC" w:rsidR="00127794" w:rsidRPr="00537128" w:rsidRDefault="00127794" w:rsidP="00127794">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Pr>
                <w:rFonts w:ascii="Calibri" w:hAnsi="Calibri"/>
                <w:color w:val="000000"/>
                <w:sz w:val="18"/>
                <w:szCs w:val="18"/>
              </w:rPr>
              <w:t>17,863</w:t>
            </w:r>
          </w:p>
        </w:tc>
        <w:tc>
          <w:tcPr>
            <w:tcW w:w="1134" w:type="dxa"/>
            <w:tcBorders>
              <w:top w:val="nil"/>
              <w:left w:val="nil"/>
              <w:bottom w:val="single" w:sz="4" w:space="0" w:color="auto"/>
              <w:right w:val="nil"/>
            </w:tcBorders>
            <w:shd w:val="clear" w:color="auto" w:fill="auto"/>
            <w:vAlign w:val="bottom"/>
          </w:tcPr>
          <w:p w14:paraId="01B1B301" w14:textId="74355542" w:rsidR="00127794" w:rsidRPr="00537128" w:rsidRDefault="00127794" w:rsidP="00127794">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Pr>
                <w:rFonts w:ascii="Calibri" w:hAnsi="Calibri"/>
                <w:color w:val="000000"/>
                <w:sz w:val="18"/>
                <w:szCs w:val="18"/>
              </w:rPr>
              <w:t>46,842</w:t>
            </w:r>
          </w:p>
        </w:tc>
        <w:tc>
          <w:tcPr>
            <w:tcW w:w="1134" w:type="dxa"/>
            <w:tcBorders>
              <w:top w:val="nil"/>
              <w:left w:val="nil"/>
              <w:bottom w:val="single" w:sz="4" w:space="0" w:color="auto"/>
              <w:right w:val="nil"/>
            </w:tcBorders>
            <w:shd w:val="clear" w:color="auto" w:fill="auto"/>
            <w:vAlign w:val="bottom"/>
          </w:tcPr>
          <w:p w14:paraId="192CD00F" w14:textId="61EB7B4D" w:rsidR="00127794" w:rsidRPr="00537128" w:rsidRDefault="00127794" w:rsidP="00127794">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Pr>
                <w:rFonts w:ascii="Calibri" w:hAnsi="Calibri"/>
                <w:color w:val="000000"/>
                <w:sz w:val="18"/>
                <w:szCs w:val="18"/>
              </w:rPr>
              <w:t>73,898</w:t>
            </w:r>
          </w:p>
        </w:tc>
        <w:tc>
          <w:tcPr>
            <w:tcW w:w="1134" w:type="dxa"/>
            <w:tcBorders>
              <w:top w:val="nil"/>
              <w:left w:val="nil"/>
              <w:bottom w:val="single" w:sz="4" w:space="0" w:color="auto"/>
              <w:right w:val="nil"/>
            </w:tcBorders>
            <w:shd w:val="clear" w:color="auto" w:fill="auto"/>
            <w:vAlign w:val="bottom"/>
          </w:tcPr>
          <w:p w14:paraId="673686BF" w14:textId="12D6E274" w:rsidR="00127794" w:rsidRPr="00537128" w:rsidRDefault="00127794" w:rsidP="00127794">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Pr>
                <w:rFonts w:ascii="Calibri" w:hAnsi="Calibri"/>
                <w:color w:val="000000"/>
                <w:sz w:val="18"/>
                <w:szCs w:val="18"/>
              </w:rPr>
              <w:t>58,203</w:t>
            </w:r>
          </w:p>
        </w:tc>
        <w:tc>
          <w:tcPr>
            <w:tcW w:w="1134" w:type="dxa"/>
            <w:tcBorders>
              <w:top w:val="nil"/>
              <w:left w:val="nil"/>
              <w:bottom w:val="single" w:sz="4" w:space="0" w:color="auto"/>
              <w:right w:val="nil"/>
            </w:tcBorders>
            <w:shd w:val="clear" w:color="auto" w:fill="auto"/>
            <w:vAlign w:val="bottom"/>
          </w:tcPr>
          <w:p w14:paraId="31DC402E" w14:textId="79D5B129" w:rsidR="00127794" w:rsidRPr="00537128" w:rsidRDefault="00127794" w:rsidP="00127794">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Pr>
                <w:rFonts w:ascii="Calibri" w:hAnsi="Calibri"/>
                <w:color w:val="000000"/>
                <w:sz w:val="18"/>
                <w:szCs w:val="18"/>
              </w:rPr>
              <w:t>391,987</w:t>
            </w:r>
          </w:p>
        </w:tc>
      </w:tr>
      <w:tr w:rsidR="00127794" w:rsidRPr="00537128" w14:paraId="6B1B3695" w14:textId="77777777" w:rsidTr="00A1123E">
        <w:trPr>
          <w:trHeight w:hRule="exact" w:val="294"/>
          <w:jc w:val="center"/>
        </w:trPr>
        <w:tc>
          <w:tcPr>
            <w:tcW w:w="2978" w:type="dxa"/>
            <w:vAlign w:val="bottom"/>
          </w:tcPr>
          <w:p w14:paraId="5C82E901" w14:textId="77777777" w:rsidR="00127794" w:rsidRPr="00537128" w:rsidRDefault="00127794" w:rsidP="00127794">
            <w:pPr>
              <w:spacing w:after="0" w:line="240" w:lineRule="auto"/>
              <w:rPr>
                <w:rFonts w:ascii="Calibri" w:eastAsia="Times New Roman" w:hAnsi="Calibri" w:cs="Arial"/>
                <w:i/>
                <w:sz w:val="18"/>
                <w:szCs w:val="18"/>
                <w:lang w:val="en-US"/>
              </w:rPr>
            </w:pPr>
            <w:r w:rsidRPr="00537128">
              <w:rPr>
                <w:rFonts w:ascii="Calibri" w:eastAsia="Times New Roman" w:hAnsi="Calibri" w:cs="Arial"/>
                <w:b/>
                <w:sz w:val="18"/>
                <w:szCs w:val="18"/>
                <w:lang w:val="en-US"/>
              </w:rPr>
              <w:t>Total</w:t>
            </w:r>
          </w:p>
        </w:tc>
        <w:tc>
          <w:tcPr>
            <w:tcW w:w="1133" w:type="dxa"/>
            <w:tcBorders>
              <w:top w:val="nil"/>
              <w:left w:val="nil"/>
              <w:bottom w:val="single" w:sz="12" w:space="0" w:color="auto"/>
              <w:right w:val="nil"/>
            </w:tcBorders>
            <w:shd w:val="clear" w:color="auto" w:fill="auto"/>
            <w:vAlign w:val="bottom"/>
          </w:tcPr>
          <w:p w14:paraId="2531A342" w14:textId="4553CB1B" w:rsidR="00127794" w:rsidRPr="00537128" w:rsidRDefault="00127794" w:rsidP="00127794">
            <w:pPr>
              <w:tabs>
                <w:tab w:val="right" w:pos="1202"/>
              </w:tabs>
              <w:spacing w:after="0" w:line="240" w:lineRule="auto"/>
              <w:jc w:val="right"/>
              <w:outlineLvl w:val="0"/>
              <w:rPr>
                <w:rFonts w:ascii="Calibri" w:eastAsia="Times New Roman" w:hAnsi="Calibri" w:cs="Times New Roman"/>
                <w:b/>
                <w:bCs/>
                <w:sz w:val="18"/>
                <w:szCs w:val="18"/>
                <w:lang w:val="en-US"/>
              </w:rPr>
            </w:pPr>
            <w:r>
              <w:rPr>
                <w:rFonts w:ascii="Calibri" w:hAnsi="Calibri"/>
                <w:b/>
                <w:bCs/>
                <w:color w:val="000000"/>
                <w:sz w:val="18"/>
                <w:szCs w:val="18"/>
              </w:rPr>
              <w:t>725,907</w:t>
            </w:r>
          </w:p>
        </w:tc>
        <w:tc>
          <w:tcPr>
            <w:tcW w:w="1134" w:type="dxa"/>
            <w:tcBorders>
              <w:top w:val="nil"/>
              <w:left w:val="nil"/>
              <w:bottom w:val="single" w:sz="12" w:space="0" w:color="auto"/>
              <w:right w:val="nil"/>
            </w:tcBorders>
            <w:shd w:val="clear" w:color="auto" w:fill="auto"/>
            <w:vAlign w:val="bottom"/>
          </w:tcPr>
          <w:p w14:paraId="7C50D0EC" w14:textId="32E1E6A0" w:rsidR="00127794" w:rsidRPr="00537128" w:rsidRDefault="00127794" w:rsidP="00127794">
            <w:pPr>
              <w:tabs>
                <w:tab w:val="right" w:pos="1202"/>
              </w:tabs>
              <w:spacing w:after="0" w:line="240" w:lineRule="auto"/>
              <w:jc w:val="right"/>
              <w:outlineLvl w:val="0"/>
              <w:rPr>
                <w:rFonts w:ascii="Calibri" w:eastAsia="Times New Roman" w:hAnsi="Calibri" w:cs="Times New Roman"/>
                <w:b/>
                <w:bCs/>
                <w:sz w:val="18"/>
                <w:szCs w:val="18"/>
                <w:lang w:val="en-US"/>
              </w:rPr>
            </w:pPr>
            <w:r>
              <w:rPr>
                <w:rFonts w:ascii="Calibri" w:hAnsi="Calibri"/>
                <w:b/>
                <w:bCs/>
                <w:color w:val="000000"/>
                <w:sz w:val="18"/>
                <w:szCs w:val="18"/>
              </w:rPr>
              <w:t>627,666</w:t>
            </w:r>
          </w:p>
        </w:tc>
        <w:tc>
          <w:tcPr>
            <w:tcW w:w="1134" w:type="dxa"/>
            <w:tcBorders>
              <w:top w:val="nil"/>
              <w:left w:val="nil"/>
              <w:bottom w:val="single" w:sz="12" w:space="0" w:color="auto"/>
              <w:right w:val="nil"/>
            </w:tcBorders>
            <w:shd w:val="clear" w:color="auto" w:fill="auto"/>
            <w:vAlign w:val="bottom"/>
          </w:tcPr>
          <w:p w14:paraId="436BE58B" w14:textId="7899FC26" w:rsidR="00127794" w:rsidRPr="00537128" w:rsidRDefault="00127794" w:rsidP="00127794">
            <w:pPr>
              <w:tabs>
                <w:tab w:val="right" w:pos="1202"/>
              </w:tabs>
              <w:spacing w:after="0" w:line="240" w:lineRule="auto"/>
              <w:jc w:val="right"/>
              <w:outlineLvl w:val="0"/>
              <w:rPr>
                <w:rFonts w:ascii="Calibri" w:eastAsia="Times New Roman" w:hAnsi="Calibri" w:cs="Times New Roman"/>
                <w:b/>
                <w:bCs/>
                <w:sz w:val="18"/>
                <w:szCs w:val="18"/>
                <w:lang w:val="en-US"/>
              </w:rPr>
            </w:pPr>
            <w:r>
              <w:rPr>
                <w:rFonts w:ascii="Calibri" w:hAnsi="Calibri"/>
                <w:b/>
                <w:bCs/>
                <w:color w:val="000000"/>
                <w:sz w:val="18"/>
                <w:szCs w:val="18"/>
              </w:rPr>
              <w:t>1,963,450</w:t>
            </w:r>
          </w:p>
        </w:tc>
        <w:tc>
          <w:tcPr>
            <w:tcW w:w="1134" w:type="dxa"/>
            <w:tcBorders>
              <w:top w:val="nil"/>
              <w:left w:val="nil"/>
              <w:bottom w:val="single" w:sz="12" w:space="0" w:color="auto"/>
              <w:right w:val="nil"/>
            </w:tcBorders>
            <w:shd w:val="clear" w:color="auto" w:fill="auto"/>
            <w:vAlign w:val="bottom"/>
          </w:tcPr>
          <w:p w14:paraId="1D51F06C" w14:textId="4C1F4B5A" w:rsidR="00127794" w:rsidRPr="00537128" w:rsidRDefault="00127794" w:rsidP="00127794">
            <w:pPr>
              <w:tabs>
                <w:tab w:val="right" w:pos="1202"/>
              </w:tabs>
              <w:spacing w:after="0" w:line="240" w:lineRule="auto"/>
              <w:jc w:val="right"/>
              <w:outlineLvl w:val="0"/>
              <w:rPr>
                <w:rFonts w:ascii="Calibri" w:eastAsia="Times New Roman" w:hAnsi="Calibri" w:cs="Times New Roman"/>
                <w:b/>
                <w:bCs/>
                <w:sz w:val="18"/>
                <w:szCs w:val="18"/>
                <w:lang w:val="en-US"/>
              </w:rPr>
            </w:pPr>
            <w:r>
              <w:rPr>
                <w:rFonts w:ascii="Calibri" w:hAnsi="Calibri"/>
                <w:b/>
                <w:bCs/>
                <w:color w:val="000000"/>
                <w:sz w:val="18"/>
                <w:szCs w:val="18"/>
              </w:rPr>
              <w:t>6,116,518</w:t>
            </w:r>
          </w:p>
        </w:tc>
        <w:tc>
          <w:tcPr>
            <w:tcW w:w="1134" w:type="dxa"/>
            <w:tcBorders>
              <w:top w:val="nil"/>
              <w:left w:val="nil"/>
              <w:bottom w:val="single" w:sz="12" w:space="0" w:color="auto"/>
              <w:right w:val="nil"/>
            </w:tcBorders>
            <w:shd w:val="clear" w:color="auto" w:fill="auto"/>
            <w:vAlign w:val="bottom"/>
          </w:tcPr>
          <w:p w14:paraId="6B811A6D" w14:textId="74F8F0F3" w:rsidR="00127794" w:rsidRPr="00537128" w:rsidRDefault="00127794" w:rsidP="00127794">
            <w:pPr>
              <w:tabs>
                <w:tab w:val="right" w:pos="1202"/>
              </w:tabs>
              <w:spacing w:after="0" w:line="240" w:lineRule="auto"/>
              <w:jc w:val="right"/>
              <w:outlineLvl w:val="0"/>
              <w:rPr>
                <w:rFonts w:ascii="Calibri" w:eastAsia="Times New Roman" w:hAnsi="Calibri" w:cs="Times New Roman"/>
                <w:b/>
                <w:bCs/>
                <w:sz w:val="18"/>
                <w:szCs w:val="18"/>
                <w:lang w:val="en-US"/>
              </w:rPr>
            </w:pPr>
            <w:r>
              <w:rPr>
                <w:rFonts w:ascii="Calibri" w:hAnsi="Calibri"/>
                <w:b/>
                <w:bCs/>
                <w:color w:val="000000"/>
                <w:sz w:val="18"/>
                <w:szCs w:val="18"/>
              </w:rPr>
              <w:t>8,544,886</w:t>
            </w:r>
          </w:p>
        </w:tc>
        <w:tc>
          <w:tcPr>
            <w:tcW w:w="1134" w:type="dxa"/>
            <w:tcBorders>
              <w:top w:val="nil"/>
              <w:left w:val="nil"/>
              <w:bottom w:val="single" w:sz="12" w:space="0" w:color="auto"/>
              <w:right w:val="nil"/>
            </w:tcBorders>
            <w:shd w:val="clear" w:color="auto" w:fill="auto"/>
            <w:vAlign w:val="bottom"/>
          </w:tcPr>
          <w:p w14:paraId="52DFB478" w14:textId="194436CF" w:rsidR="00127794" w:rsidRPr="00537128" w:rsidRDefault="00127794" w:rsidP="00127794">
            <w:pPr>
              <w:tabs>
                <w:tab w:val="right" w:pos="1202"/>
              </w:tabs>
              <w:spacing w:after="0" w:line="240" w:lineRule="auto"/>
              <w:jc w:val="right"/>
              <w:outlineLvl w:val="0"/>
              <w:rPr>
                <w:rFonts w:ascii="Calibri" w:eastAsia="Times New Roman" w:hAnsi="Calibri" w:cs="Times New Roman"/>
                <w:b/>
                <w:bCs/>
                <w:sz w:val="18"/>
                <w:szCs w:val="18"/>
                <w:lang w:val="en-US"/>
              </w:rPr>
            </w:pPr>
            <w:r>
              <w:rPr>
                <w:rFonts w:ascii="Calibri" w:hAnsi="Calibri"/>
                <w:b/>
                <w:bCs/>
                <w:color w:val="000000"/>
                <w:sz w:val="18"/>
                <w:szCs w:val="18"/>
              </w:rPr>
              <w:t>17,978,427</w:t>
            </w:r>
          </w:p>
        </w:tc>
      </w:tr>
      <w:tr w:rsidR="00127794" w:rsidRPr="00537128" w14:paraId="0D6F4ECA" w14:textId="77777777" w:rsidTr="00703DBC">
        <w:trPr>
          <w:trHeight w:hRule="exact" w:val="284"/>
          <w:jc w:val="center"/>
        </w:trPr>
        <w:tc>
          <w:tcPr>
            <w:tcW w:w="2978" w:type="dxa"/>
            <w:vAlign w:val="bottom"/>
          </w:tcPr>
          <w:p w14:paraId="0E09EDEA" w14:textId="77777777" w:rsidR="00127794" w:rsidRPr="00537128" w:rsidRDefault="00127794" w:rsidP="00127794">
            <w:pPr>
              <w:tabs>
                <w:tab w:val="right" w:pos="1202"/>
              </w:tabs>
              <w:spacing w:after="0" w:line="240" w:lineRule="auto"/>
              <w:outlineLvl w:val="0"/>
              <w:rPr>
                <w:rFonts w:ascii="Calibri" w:eastAsia="Times New Roman" w:hAnsi="Calibri" w:cs="Arial"/>
                <w:b/>
                <w:sz w:val="18"/>
                <w:szCs w:val="18"/>
                <w:lang w:val="en-US"/>
              </w:rPr>
            </w:pPr>
            <w:bookmarkStart w:id="920" w:name="_Toc4062535"/>
            <w:r w:rsidRPr="00537128">
              <w:rPr>
                <w:rFonts w:ascii="Calibri" w:eastAsia="Times New Roman" w:hAnsi="Calibri" w:cs="Arial"/>
                <w:b/>
                <w:bCs/>
                <w:spacing w:val="-2"/>
                <w:sz w:val="18"/>
                <w:szCs w:val="18"/>
                <w:lang w:val="en-US"/>
              </w:rPr>
              <w:t>Guarantees and commitments</w:t>
            </w:r>
            <w:bookmarkEnd w:id="920"/>
          </w:p>
        </w:tc>
        <w:tc>
          <w:tcPr>
            <w:tcW w:w="1133" w:type="dxa"/>
            <w:tcBorders>
              <w:left w:val="nil"/>
              <w:right w:val="nil"/>
            </w:tcBorders>
            <w:shd w:val="clear" w:color="auto" w:fill="auto"/>
            <w:vAlign w:val="bottom"/>
          </w:tcPr>
          <w:p w14:paraId="2DF8E02F" w14:textId="77777777" w:rsidR="00127794" w:rsidRPr="00537128" w:rsidRDefault="00127794" w:rsidP="00127794">
            <w:pPr>
              <w:tabs>
                <w:tab w:val="right" w:pos="1202"/>
              </w:tabs>
              <w:spacing w:after="0" w:line="240" w:lineRule="auto"/>
              <w:jc w:val="right"/>
              <w:outlineLvl w:val="0"/>
              <w:rPr>
                <w:rFonts w:ascii="Calibri" w:eastAsia="Times New Roman" w:hAnsi="Calibri" w:cs="Arial"/>
                <w:b/>
                <w:sz w:val="18"/>
                <w:szCs w:val="18"/>
                <w:lang w:val="en-US"/>
              </w:rPr>
            </w:pPr>
          </w:p>
        </w:tc>
        <w:tc>
          <w:tcPr>
            <w:tcW w:w="1134" w:type="dxa"/>
            <w:tcBorders>
              <w:left w:val="nil"/>
              <w:right w:val="nil"/>
            </w:tcBorders>
            <w:shd w:val="clear" w:color="auto" w:fill="auto"/>
            <w:vAlign w:val="bottom"/>
          </w:tcPr>
          <w:p w14:paraId="3FBD2B10" w14:textId="77777777" w:rsidR="00127794" w:rsidRPr="00537128" w:rsidRDefault="00127794" w:rsidP="00127794">
            <w:pPr>
              <w:tabs>
                <w:tab w:val="right" w:pos="1202"/>
              </w:tabs>
              <w:spacing w:after="0" w:line="240" w:lineRule="auto"/>
              <w:jc w:val="right"/>
              <w:outlineLvl w:val="0"/>
              <w:rPr>
                <w:rFonts w:ascii="Calibri" w:eastAsia="Times New Roman" w:hAnsi="Calibri" w:cs="Arial"/>
                <w:b/>
                <w:sz w:val="18"/>
                <w:szCs w:val="18"/>
                <w:lang w:val="en-US"/>
              </w:rPr>
            </w:pPr>
          </w:p>
        </w:tc>
        <w:tc>
          <w:tcPr>
            <w:tcW w:w="1134" w:type="dxa"/>
            <w:tcBorders>
              <w:left w:val="nil"/>
              <w:right w:val="nil"/>
            </w:tcBorders>
            <w:shd w:val="clear" w:color="auto" w:fill="auto"/>
            <w:vAlign w:val="bottom"/>
          </w:tcPr>
          <w:p w14:paraId="5729E34C" w14:textId="77777777" w:rsidR="00127794" w:rsidRPr="00537128" w:rsidRDefault="00127794" w:rsidP="00127794">
            <w:pPr>
              <w:tabs>
                <w:tab w:val="right" w:pos="1202"/>
              </w:tabs>
              <w:spacing w:after="0" w:line="240" w:lineRule="auto"/>
              <w:jc w:val="right"/>
              <w:outlineLvl w:val="0"/>
              <w:rPr>
                <w:rFonts w:ascii="Calibri" w:eastAsia="Times New Roman" w:hAnsi="Calibri" w:cs="Arial"/>
                <w:b/>
                <w:sz w:val="18"/>
                <w:szCs w:val="18"/>
                <w:lang w:val="en-US"/>
              </w:rPr>
            </w:pPr>
          </w:p>
        </w:tc>
        <w:tc>
          <w:tcPr>
            <w:tcW w:w="1134" w:type="dxa"/>
            <w:tcBorders>
              <w:left w:val="nil"/>
              <w:right w:val="nil"/>
            </w:tcBorders>
            <w:shd w:val="clear" w:color="auto" w:fill="auto"/>
            <w:vAlign w:val="bottom"/>
          </w:tcPr>
          <w:p w14:paraId="7D01B651" w14:textId="77777777" w:rsidR="00127794" w:rsidRPr="00537128" w:rsidRDefault="00127794" w:rsidP="00127794">
            <w:pPr>
              <w:tabs>
                <w:tab w:val="right" w:pos="1202"/>
              </w:tabs>
              <w:spacing w:after="0" w:line="240" w:lineRule="auto"/>
              <w:jc w:val="right"/>
              <w:outlineLvl w:val="0"/>
              <w:rPr>
                <w:rFonts w:ascii="Calibri" w:eastAsia="Times New Roman" w:hAnsi="Calibri" w:cs="Arial"/>
                <w:b/>
                <w:sz w:val="18"/>
                <w:szCs w:val="18"/>
                <w:lang w:val="en-US"/>
              </w:rPr>
            </w:pPr>
          </w:p>
        </w:tc>
        <w:tc>
          <w:tcPr>
            <w:tcW w:w="1134" w:type="dxa"/>
            <w:tcBorders>
              <w:left w:val="nil"/>
              <w:right w:val="nil"/>
            </w:tcBorders>
            <w:shd w:val="clear" w:color="auto" w:fill="auto"/>
            <w:vAlign w:val="bottom"/>
          </w:tcPr>
          <w:p w14:paraId="45BC4E37" w14:textId="77777777" w:rsidR="00127794" w:rsidRPr="00537128" w:rsidRDefault="00127794" w:rsidP="00127794">
            <w:pPr>
              <w:tabs>
                <w:tab w:val="right" w:pos="1263"/>
              </w:tabs>
              <w:spacing w:after="0" w:line="240" w:lineRule="auto"/>
              <w:jc w:val="right"/>
              <w:outlineLvl w:val="0"/>
              <w:rPr>
                <w:rFonts w:ascii="Calibri" w:eastAsia="Times New Roman" w:hAnsi="Calibri" w:cs="Arial"/>
                <w:b/>
                <w:sz w:val="18"/>
                <w:szCs w:val="18"/>
                <w:lang w:val="en-US"/>
              </w:rPr>
            </w:pPr>
          </w:p>
        </w:tc>
        <w:tc>
          <w:tcPr>
            <w:tcW w:w="1134" w:type="dxa"/>
            <w:tcBorders>
              <w:left w:val="nil"/>
              <w:right w:val="nil"/>
            </w:tcBorders>
            <w:shd w:val="clear" w:color="auto" w:fill="auto"/>
            <w:vAlign w:val="bottom"/>
          </w:tcPr>
          <w:p w14:paraId="64117982" w14:textId="77777777" w:rsidR="00127794" w:rsidRPr="00537128" w:rsidRDefault="00127794" w:rsidP="00127794">
            <w:pPr>
              <w:tabs>
                <w:tab w:val="right" w:pos="1202"/>
              </w:tabs>
              <w:spacing w:after="0" w:line="240" w:lineRule="auto"/>
              <w:jc w:val="right"/>
              <w:outlineLvl w:val="0"/>
              <w:rPr>
                <w:rFonts w:ascii="Calibri" w:eastAsia="Times New Roman" w:hAnsi="Calibri" w:cs="Arial"/>
                <w:b/>
                <w:sz w:val="18"/>
                <w:szCs w:val="18"/>
                <w:lang w:val="en-US"/>
              </w:rPr>
            </w:pPr>
          </w:p>
        </w:tc>
      </w:tr>
      <w:tr w:rsidR="00AB3CC1" w:rsidRPr="00537128" w14:paraId="082E84D0" w14:textId="77777777" w:rsidTr="00703DBC">
        <w:trPr>
          <w:trHeight w:hRule="exact" w:val="227"/>
          <w:jc w:val="center"/>
        </w:trPr>
        <w:tc>
          <w:tcPr>
            <w:tcW w:w="2978" w:type="dxa"/>
            <w:vAlign w:val="bottom"/>
          </w:tcPr>
          <w:p w14:paraId="022E57B4" w14:textId="77777777" w:rsidR="00AB3CC1" w:rsidRPr="00537128" w:rsidRDefault="00AB3CC1" w:rsidP="00AB3CC1">
            <w:pPr>
              <w:tabs>
                <w:tab w:val="left" w:pos="-720"/>
              </w:tabs>
              <w:suppressAutoHyphens/>
              <w:spacing w:after="0" w:line="240" w:lineRule="auto"/>
              <w:rPr>
                <w:rFonts w:ascii="Calibri" w:eastAsia="Times New Roman" w:hAnsi="Calibri" w:cs="Arial"/>
                <w:b/>
                <w:spacing w:val="-2"/>
                <w:sz w:val="18"/>
                <w:szCs w:val="18"/>
                <w:lang w:val="en-US"/>
              </w:rPr>
            </w:pPr>
            <w:r w:rsidRPr="00537128">
              <w:rPr>
                <w:rFonts w:ascii="Calibri" w:eastAsia="Times New Roman" w:hAnsi="Calibri" w:cs="Arial"/>
                <w:spacing w:val="-2"/>
                <w:sz w:val="18"/>
                <w:szCs w:val="18"/>
                <w:lang w:val="en-US"/>
              </w:rPr>
              <w:t>Guarantees issued in HRK</w:t>
            </w:r>
          </w:p>
        </w:tc>
        <w:tc>
          <w:tcPr>
            <w:tcW w:w="1133" w:type="dxa"/>
            <w:tcBorders>
              <w:top w:val="nil"/>
              <w:left w:val="nil"/>
              <w:bottom w:val="nil"/>
              <w:right w:val="nil"/>
            </w:tcBorders>
            <w:shd w:val="clear" w:color="auto" w:fill="auto"/>
            <w:vAlign w:val="bottom"/>
          </w:tcPr>
          <w:p w14:paraId="46E75055" w14:textId="4A91AC55" w:rsidR="00AB3CC1" w:rsidRPr="00537128" w:rsidRDefault="00AB3CC1" w:rsidP="00AB3CC1">
            <w:pPr>
              <w:tabs>
                <w:tab w:val="right" w:pos="1202"/>
              </w:tabs>
              <w:spacing w:after="0" w:line="240" w:lineRule="auto"/>
              <w:jc w:val="right"/>
              <w:outlineLvl w:val="0"/>
              <w:rPr>
                <w:rFonts w:ascii="Calibri" w:eastAsia="Times New Roman" w:hAnsi="Calibri" w:cs="Arial"/>
                <w:bCs/>
                <w:sz w:val="18"/>
                <w:szCs w:val="18"/>
                <w:lang w:val="en-US"/>
              </w:rPr>
            </w:pPr>
            <w:r w:rsidRPr="000F05A3">
              <w:rPr>
                <w:rFonts w:ascii="Calibri" w:hAnsi="Calibri"/>
                <w:color w:val="000000"/>
                <w:sz w:val="18"/>
                <w:szCs w:val="18"/>
              </w:rPr>
              <w:t>177</w:t>
            </w:r>
            <w:r>
              <w:rPr>
                <w:rFonts w:ascii="Calibri" w:hAnsi="Calibri"/>
                <w:color w:val="000000"/>
                <w:sz w:val="18"/>
                <w:szCs w:val="18"/>
              </w:rPr>
              <w:t>,</w:t>
            </w:r>
            <w:r w:rsidRPr="000F05A3">
              <w:rPr>
                <w:rFonts w:ascii="Calibri" w:hAnsi="Calibri"/>
                <w:color w:val="000000"/>
                <w:sz w:val="18"/>
                <w:szCs w:val="18"/>
              </w:rPr>
              <w:t>235</w:t>
            </w:r>
          </w:p>
        </w:tc>
        <w:tc>
          <w:tcPr>
            <w:tcW w:w="1134" w:type="dxa"/>
            <w:tcBorders>
              <w:top w:val="nil"/>
              <w:left w:val="nil"/>
              <w:bottom w:val="nil"/>
              <w:right w:val="nil"/>
            </w:tcBorders>
            <w:shd w:val="clear" w:color="auto" w:fill="auto"/>
            <w:vAlign w:val="bottom"/>
          </w:tcPr>
          <w:p w14:paraId="3301B2B6" w14:textId="5B2B757B" w:rsidR="00AB3CC1" w:rsidRPr="00537128" w:rsidRDefault="00AB3CC1" w:rsidP="00AB3CC1">
            <w:pPr>
              <w:tabs>
                <w:tab w:val="center" w:pos="4153"/>
                <w:tab w:val="right" w:pos="8306"/>
              </w:tabs>
              <w:spacing w:after="0" w:line="240" w:lineRule="auto"/>
              <w:jc w:val="right"/>
              <w:rPr>
                <w:rFonts w:ascii="Calibri" w:eastAsia="Times New Roman" w:hAnsi="Calibri" w:cs="Arial"/>
                <w:bCs/>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6331B4D3" w14:textId="2D46E89F" w:rsidR="00AB3CC1" w:rsidRPr="00537128" w:rsidRDefault="00AB3CC1" w:rsidP="00AB3CC1">
            <w:pPr>
              <w:tabs>
                <w:tab w:val="right" w:pos="1202"/>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04F2F226" w14:textId="1456D5AF" w:rsidR="00AB3CC1" w:rsidRPr="00537128" w:rsidRDefault="00AB3CC1" w:rsidP="00AB3CC1">
            <w:pPr>
              <w:tabs>
                <w:tab w:val="right" w:pos="1202"/>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77405A11" w14:textId="62505DB5" w:rsidR="00AB3CC1" w:rsidRPr="00537128" w:rsidRDefault="00AB3CC1" w:rsidP="00AB3CC1">
            <w:pPr>
              <w:tabs>
                <w:tab w:val="right" w:pos="1263"/>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7ACC3C34" w14:textId="2C4D6BEE" w:rsidR="00AB3CC1" w:rsidRPr="00537128" w:rsidRDefault="00AB3CC1" w:rsidP="00AB3CC1">
            <w:pPr>
              <w:tabs>
                <w:tab w:val="right" w:pos="1202"/>
              </w:tabs>
              <w:spacing w:after="0" w:line="240" w:lineRule="auto"/>
              <w:jc w:val="right"/>
              <w:outlineLvl w:val="0"/>
              <w:rPr>
                <w:rFonts w:ascii="Calibri" w:eastAsia="Times New Roman" w:hAnsi="Calibri" w:cs="Arial"/>
                <w:bCs/>
                <w:sz w:val="18"/>
                <w:szCs w:val="18"/>
                <w:lang w:val="en-US"/>
              </w:rPr>
            </w:pPr>
            <w:r w:rsidRPr="000F05A3">
              <w:rPr>
                <w:rFonts w:ascii="Calibri" w:hAnsi="Calibri"/>
                <w:color w:val="000000"/>
                <w:sz w:val="18"/>
                <w:szCs w:val="18"/>
              </w:rPr>
              <w:t>177</w:t>
            </w:r>
            <w:r>
              <w:rPr>
                <w:rFonts w:ascii="Calibri" w:hAnsi="Calibri"/>
                <w:color w:val="000000"/>
                <w:sz w:val="18"/>
                <w:szCs w:val="18"/>
              </w:rPr>
              <w:t>,</w:t>
            </w:r>
            <w:r w:rsidRPr="000F05A3">
              <w:rPr>
                <w:rFonts w:ascii="Calibri" w:hAnsi="Calibri"/>
                <w:color w:val="000000"/>
                <w:sz w:val="18"/>
                <w:szCs w:val="18"/>
              </w:rPr>
              <w:t>235</w:t>
            </w:r>
          </w:p>
        </w:tc>
      </w:tr>
      <w:tr w:rsidR="00AB3CC1" w:rsidRPr="00537128" w14:paraId="63C3A079" w14:textId="77777777" w:rsidTr="00703DBC">
        <w:trPr>
          <w:trHeight w:hRule="exact" w:val="227"/>
          <w:jc w:val="center"/>
        </w:trPr>
        <w:tc>
          <w:tcPr>
            <w:tcW w:w="2978" w:type="dxa"/>
            <w:vAlign w:val="bottom"/>
          </w:tcPr>
          <w:p w14:paraId="7BA9E505" w14:textId="77777777" w:rsidR="00AB3CC1" w:rsidRPr="00537128" w:rsidRDefault="00AB3CC1" w:rsidP="00AB3CC1">
            <w:pPr>
              <w:spacing w:after="0" w:line="240" w:lineRule="auto"/>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Issued guarantees in foreign currency</w:t>
            </w:r>
          </w:p>
        </w:tc>
        <w:tc>
          <w:tcPr>
            <w:tcW w:w="1133" w:type="dxa"/>
            <w:tcBorders>
              <w:top w:val="nil"/>
              <w:left w:val="nil"/>
              <w:bottom w:val="nil"/>
              <w:right w:val="nil"/>
            </w:tcBorders>
            <w:shd w:val="clear" w:color="auto" w:fill="auto"/>
            <w:vAlign w:val="bottom"/>
          </w:tcPr>
          <w:p w14:paraId="3FC3D944" w14:textId="742C9D3F" w:rsidR="00AB3CC1" w:rsidRPr="00537128" w:rsidRDefault="00AB3CC1" w:rsidP="00AB3CC1">
            <w:pPr>
              <w:spacing w:after="0" w:line="240" w:lineRule="auto"/>
              <w:jc w:val="right"/>
              <w:outlineLvl w:val="0"/>
              <w:rPr>
                <w:rFonts w:ascii="Calibri" w:eastAsia="Times New Roman" w:hAnsi="Calibri" w:cs="Arial"/>
                <w:bCs/>
                <w:spacing w:val="-2"/>
                <w:sz w:val="18"/>
                <w:szCs w:val="18"/>
                <w:lang w:val="en-US"/>
              </w:rPr>
            </w:pPr>
            <w:r w:rsidRPr="000F05A3">
              <w:rPr>
                <w:rFonts w:ascii="Calibri" w:hAnsi="Calibri"/>
                <w:color w:val="000000"/>
                <w:sz w:val="18"/>
                <w:szCs w:val="18"/>
              </w:rPr>
              <w:t>233</w:t>
            </w:r>
            <w:r>
              <w:rPr>
                <w:rFonts w:ascii="Calibri" w:hAnsi="Calibri"/>
                <w:color w:val="000000"/>
                <w:sz w:val="18"/>
                <w:szCs w:val="18"/>
              </w:rPr>
              <w:t>,</w:t>
            </w:r>
            <w:r w:rsidRPr="000F05A3">
              <w:rPr>
                <w:rFonts w:ascii="Calibri" w:hAnsi="Calibri"/>
                <w:color w:val="000000"/>
                <w:sz w:val="18"/>
                <w:szCs w:val="18"/>
              </w:rPr>
              <w:t>664</w:t>
            </w:r>
          </w:p>
        </w:tc>
        <w:tc>
          <w:tcPr>
            <w:tcW w:w="1134" w:type="dxa"/>
            <w:tcBorders>
              <w:top w:val="nil"/>
              <w:left w:val="nil"/>
              <w:bottom w:val="nil"/>
              <w:right w:val="nil"/>
            </w:tcBorders>
            <w:shd w:val="clear" w:color="auto" w:fill="auto"/>
            <w:vAlign w:val="bottom"/>
          </w:tcPr>
          <w:p w14:paraId="5772E7A2" w14:textId="20BD643C" w:rsidR="00AB3CC1" w:rsidRPr="00537128" w:rsidRDefault="00AB3CC1" w:rsidP="00AB3CC1">
            <w:pPr>
              <w:spacing w:after="0" w:line="240" w:lineRule="auto"/>
              <w:jc w:val="right"/>
              <w:outlineLvl w:val="0"/>
              <w:rPr>
                <w:rFonts w:ascii="Calibri" w:eastAsia="Times New Roman" w:hAnsi="Calibri" w:cs="Arial"/>
                <w:bCs/>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6E2D1B33" w14:textId="1CBB166F" w:rsidR="00AB3CC1" w:rsidRPr="00537128" w:rsidRDefault="00AB3CC1" w:rsidP="00AB3CC1">
            <w:pPr>
              <w:spacing w:after="0" w:line="240" w:lineRule="auto"/>
              <w:jc w:val="right"/>
              <w:outlineLvl w:val="0"/>
              <w:rPr>
                <w:rFonts w:ascii="Calibri" w:eastAsia="Times New Roman" w:hAnsi="Calibri" w:cs="Arial"/>
                <w:bCs/>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53795C34" w14:textId="5058627C" w:rsidR="00AB3CC1" w:rsidRPr="00537128" w:rsidRDefault="00AB3CC1" w:rsidP="00AB3CC1">
            <w:pPr>
              <w:spacing w:after="0" w:line="240" w:lineRule="auto"/>
              <w:jc w:val="right"/>
              <w:outlineLvl w:val="0"/>
              <w:rPr>
                <w:rFonts w:ascii="Calibri" w:eastAsia="Times New Roman" w:hAnsi="Calibri" w:cs="Arial"/>
                <w:bCs/>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71D30749" w14:textId="69C717CB" w:rsidR="00AB3CC1" w:rsidRPr="00537128" w:rsidRDefault="00AB3CC1" w:rsidP="00AB3CC1">
            <w:pPr>
              <w:tabs>
                <w:tab w:val="right" w:pos="1263"/>
              </w:tabs>
              <w:spacing w:after="0" w:line="240" w:lineRule="auto"/>
              <w:jc w:val="right"/>
              <w:outlineLvl w:val="0"/>
              <w:rPr>
                <w:rFonts w:ascii="Calibri" w:eastAsia="Times New Roman" w:hAnsi="Calibri" w:cs="Arial"/>
                <w:bCs/>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47CB77E6" w14:textId="0FC2A38E" w:rsidR="00AB3CC1" w:rsidRPr="00537128" w:rsidRDefault="00AB3CC1" w:rsidP="00AB3CC1">
            <w:pPr>
              <w:spacing w:after="0" w:line="240" w:lineRule="auto"/>
              <w:jc w:val="right"/>
              <w:outlineLvl w:val="0"/>
              <w:rPr>
                <w:rFonts w:ascii="Calibri" w:eastAsia="Times New Roman" w:hAnsi="Calibri" w:cs="Arial"/>
                <w:bCs/>
                <w:sz w:val="18"/>
                <w:szCs w:val="18"/>
                <w:lang w:val="en-US"/>
              </w:rPr>
            </w:pPr>
            <w:r w:rsidRPr="000F05A3">
              <w:rPr>
                <w:rFonts w:ascii="Calibri" w:hAnsi="Calibri"/>
                <w:color w:val="000000"/>
                <w:sz w:val="18"/>
                <w:szCs w:val="18"/>
              </w:rPr>
              <w:t>233</w:t>
            </w:r>
            <w:r>
              <w:rPr>
                <w:rFonts w:ascii="Calibri" w:hAnsi="Calibri"/>
                <w:color w:val="000000"/>
                <w:sz w:val="18"/>
                <w:szCs w:val="18"/>
              </w:rPr>
              <w:t>,</w:t>
            </w:r>
            <w:r w:rsidRPr="000F05A3">
              <w:rPr>
                <w:rFonts w:ascii="Calibri" w:hAnsi="Calibri"/>
                <w:color w:val="000000"/>
                <w:sz w:val="18"/>
                <w:szCs w:val="18"/>
              </w:rPr>
              <w:t>664</w:t>
            </w:r>
          </w:p>
        </w:tc>
      </w:tr>
      <w:tr w:rsidR="00AB3CC1" w:rsidRPr="00537128" w14:paraId="25EBBAF9" w14:textId="77777777" w:rsidTr="00703DBC">
        <w:trPr>
          <w:trHeight w:hRule="exact" w:val="284"/>
          <w:jc w:val="center"/>
        </w:trPr>
        <w:tc>
          <w:tcPr>
            <w:tcW w:w="2978" w:type="dxa"/>
            <w:vAlign w:val="bottom"/>
          </w:tcPr>
          <w:p w14:paraId="61C7C0C5" w14:textId="77777777" w:rsidR="00AB3CC1" w:rsidRPr="00537128" w:rsidRDefault="00AB3CC1" w:rsidP="00AB3CC1">
            <w:pPr>
              <w:spacing w:after="0" w:line="240" w:lineRule="auto"/>
              <w:rPr>
                <w:rFonts w:ascii="Calibri" w:eastAsia="Times New Roman" w:hAnsi="Calibri" w:cs="Arial"/>
                <w:sz w:val="18"/>
                <w:szCs w:val="18"/>
                <w:lang w:val="en-US"/>
              </w:rPr>
            </w:pPr>
            <w:bookmarkStart w:id="921" w:name="_Toc4062547"/>
            <w:r w:rsidRPr="00537128">
              <w:rPr>
                <w:rFonts w:ascii="Calibri" w:eastAsia="Times New Roman" w:hAnsi="Calibri" w:cs="Arial"/>
                <w:spacing w:val="-2"/>
                <w:sz w:val="18"/>
                <w:szCs w:val="18"/>
                <w:lang w:val="en-US"/>
              </w:rPr>
              <w:t>Undrawn loans</w:t>
            </w:r>
            <w:bookmarkEnd w:id="921"/>
          </w:p>
        </w:tc>
        <w:tc>
          <w:tcPr>
            <w:tcW w:w="1133" w:type="dxa"/>
            <w:tcBorders>
              <w:top w:val="nil"/>
              <w:left w:val="nil"/>
              <w:bottom w:val="nil"/>
              <w:right w:val="nil"/>
            </w:tcBorders>
            <w:shd w:val="clear" w:color="auto" w:fill="auto"/>
            <w:vAlign w:val="bottom"/>
          </w:tcPr>
          <w:p w14:paraId="473B2FD1" w14:textId="6A1ED999" w:rsidR="00AB3CC1" w:rsidRPr="00537128" w:rsidRDefault="00AB3CC1" w:rsidP="00AB3CC1">
            <w:pPr>
              <w:spacing w:after="0" w:line="240" w:lineRule="auto"/>
              <w:jc w:val="right"/>
              <w:outlineLvl w:val="0"/>
              <w:rPr>
                <w:rFonts w:ascii="Calibri" w:eastAsia="Calibri" w:hAnsi="Calibri" w:cs="Arial"/>
                <w:spacing w:val="-2"/>
                <w:sz w:val="18"/>
                <w:szCs w:val="18"/>
                <w:lang w:val="en-US"/>
              </w:rPr>
            </w:pPr>
            <w:r w:rsidRPr="000F05A3">
              <w:rPr>
                <w:rFonts w:ascii="Calibri" w:hAnsi="Calibri"/>
                <w:color w:val="000000"/>
                <w:sz w:val="18"/>
                <w:szCs w:val="18"/>
              </w:rPr>
              <w:t>3</w:t>
            </w:r>
            <w:r>
              <w:rPr>
                <w:rFonts w:ascii="Calibri" w:hAnsi="Calibri"/>
                <w:color w:val="000000"/>
                <w:sz w:val="18"/>
                <w:szCs w:val="18"/>
              </w:rPr>
              <w:t>,</w:t>
            </w:r>
            <w:r w:rsidRPr="000F05A3">
              <w:rPr>
                <w:rFonts w:ascii="Calibri" w:hAnsi="Calibri"/>
                <w:color w:val="000000"/>
                <w:sz w:val="18"/>
                <w:szCs w:val="18"/>
              </w:rPr>
              <w:t>198</w:t>
            </w:r>
            <w:r>
              <w:rPr>
                <w:rFonts w:ascii="Calibri" w:hAnsi="Calibri"/>
                <w:color w:val="000000"/>
                <w:sz w:val="18"/>
                <w:szCs w:val="18"/>
              </w:rPr>
              <w:t>,</w:t>
            </w:r>
            <w:r w:rsidRPr="000F05A3">
              <w:rPr>
                <w:rFonts w:ascii="Calibri" w:hAnsi="Calibri"/>
                <w:color w:val="000000"/>
                <w:sz w:val="18"/>
                <w:szCs w:val="18"/>
              </w:rPr>
              <w:t>985</w:t>
            </w:r>
          </w:p>
        </w:tc>
        <w:tc>
          <w:tcPr>
            <w:tcW w:w="1134" w:type="dxa"/>
            <w:tcBorders>
              <w:top w:val="nil"/>
              <w:left w:val="nil"/>
              <w:bottom w:val="nil"/>
              <w:right w:val="nil"/>
            </w:tcBorders>
            <w:shd w:val="clear" w:color="auto" w:fill="auto"/>
            <w:vAlign w:val="bottom"/>
          </w:tcPr>
          <w:p w14:paraId="44A62E21" w14:textId="6D6D1862" w:rsidR="00AB3CC1" w:rsidRPr="00537128" w:rsidRDefault="00AB3CC1" w:rsidP="00AB3CC1">
            <w:pPr>
              <w:spacing w:after="0" w:line="240" w:lineRule="auto"/>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36449396" w14:textId="0D4D4F75" w:rsidR="00AB3CC1" w:rsidRPr="00537128" w:rsidRDefault="00AB3CC1" w:rsidP="00AB3CC1">
            <w:pPr>
              <w:spacing w:after="0" w:line="240" w:lineRule="auto"/>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7FDEB509" w14:textId="69EDE5B0" w:rsidR="00AB3CC1" w:rsidRPr="00537128" w:rsidRDefault="00AB3CC1" w:rsidP="00AB3CC1">
            <w:pPr>
              <w:spacing w:after="0" w:line="240" w:lineRule="auto"/>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1DD4086B" w14:textId="669174E4" w:rsidR="00AB3CC1" w:rsidRPr="00537128" w:rsidRDefault="00AB3CC1" w:rsidP="00AB3CC1">
            <w:pPr>
              <w:spacing w:after="0" w:line="240" w:lineRule="auto"/>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6A53A4F2" w14:textId="10EB1B30" w:rsidR="00AB3CC1" w:rsidRPr="00537128" w:rsidRDefault="00AB3CC1" w:rsidP="00AB3CC1">
            <w:pPr>
              <w:spacing w:after="0" w:line="240" w:lineRule="auto"/>
              <w:jc w:val="right"/>
              <w:outlineLvl w:val="0"/>
              <w:rPr>
                <w:rFonts w:ascii="Calibri" w:eastAsia="Calibri" w:hAnsi="Calibri" w:cs="Arial"/>
                <w:spacing w:val="-2"/>
                <w:sz w:val="18"/>
                <w:szCs w:val="18"/>
                <w:lang w:val="en-US"/>
              </w:rPr>
            </w:pPr>
            <w:r w:rsidRPr="000F05A3">
              <w:rPr>
                <w:rFonts w:ascii="Calibri" w:hAnsi="Calibri"/>
                <w:color w:val="000000"/>
                <w:sz w:val="18"/>
                <w:szCs w:val="18"/>
              </w:rPr>
              <w:t>3</w:t>
            </w:r>
            <w:r>
              <w:rPr>
                <w:rFonts w:ascii="Calibri" w:hAnsi="Calibri"/>
                <w:color w:val="000000"/>
                <w:sz w:val="18"/>
                <w:szCs w:val="18"/>
              </w:rPr>
              <w:t>,</w:t>
            </w:r>
            <w:r w:rsidRPr="000F05A3">
              <w:rPr>
                <w:rFonts w:ascii="Calibri" w:hAnsi="Calibri"/>
                <w:color w:val="000000"/>
                <w:sz w:val="18"/>
                <w:szCs w:val="18"/>
              </w:rPr>
              <w:t>198</w:t>
            </w:r>
            <w:r>
              <w:rPr>
                <w:rFonts w:ascii="Calibri" w:hAnsi="Calibri"/>
                <w:color w:val="000000"/>
                <w:sz w:val="18"/>
                <w:szCs w:val="18"/>
              </w:rPr>
              <w:t>,</w:t>
            </w:r>
            <w:r w:rsidRPr="000F05A3">
              <w:rPr>
                <w:rFonts w:ascii="Calibri" w:hAnsi="Calibri"/>
                <w:color w:val="000000"/>
                <w:sz w:val="18"/>
                <w:szCs w:val="18"/>
              </w:rPr>
              <w:t>985</w:t>
            </w:r>
          </w:p>
        </w:tc>
      </w:tr>
      <w:tr w:rsidR="00AB3CC1" w:rsidRPr="00537128" w14:paraId="0B9CA74F" w14:textId="77777777" w:rsidTr="00703DBC">
        <w:trPr>
          <w:trHeight w:hRule="exact" w:val="227"/>
          <w:jc w:val="center"/>
        </w:trPr>
        <w:tc>
          <w:tcPr>
            <w:tcW w:w="2978" w:type="dxa"/>
            <w:vAlign w:val="bottom"/>
          </w:tcPr>
          <w:p w14:paraId="5F709AE0" w14:textId="77777777" w:rsidR="00AB3CC1" w:rsidRPr="00537128" w:rsidRDefault="00AB3CC1" w:rsidP="00AB3CC1">
            <w:pPr>
              <w:spacing w:after="0" w:line="240" w:lineRule="auto"/>
              <w:rPr>
                <w:rFonts w:ascii="Calibri" w:eastAsia="Times New Roman" w:hAnsi="Calibri" w:cs="Arial"/>
                <w:i/>
                <w:spacing w:val="-2"/>
                <w:sz w:val="18"/>
                <w:szCs w:val="18"/>
                <w:lang w:val="en-US"/>
              </w:rPr>
            </w:pPr>
            <w:r w:rsidRPr="00537128">
              <w:rPr>
                <w:rFonts w:ascii="Calibri" w:eastAsia="Times New Roman" w:hAnsi="Calibri" w:cs="Arial"/>
                <w:spacing w:val="-2"/>
                <w:sz w:val="18"/>
                <w:szCs w:val="18"/>
                <w:lang w:val="en-US"/>
              </w:rPr>
              <w:t>EIF – subscribed, not called up capital</w:t>
            </w:r>
          </w:p>
        </w:tc>
        <w:tc>
          <w:tcPr>
            <w:tcW w:w="1133" w:type="dxa"/>
            <w:tcBorders>
              <w:top w:val="nil"/>
              <w:left w:val="nil"/>
              <w:bottom w:val="nil"/>
              <w:right w:val="nil"/>
            </w:tcBorders>
            <w:shd w:val="clear" w:color="auto" w:fill="auto"/>
            <w:vAlign w:val="bottom"/>
          </w:tcPr>
          <w:p w14:paraId="7DF27AF5" w14:textId="6721DA29" w:rsidR="00AB3CC1" w:rsidRPr="00537128" w:rsidRDefault="00AB3CC1" w:rsidP="00AB3CC1">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0F05A3">
              <w:rPr>
                <w:rFonts w:ascii="Calibri" w:hAnsi="Calibri"/>
                <w:color w:val="000000"/>
                <w:sz w:val="18"/>
                <w:szCs w:val="18"/>
              </w:rPr>
              <w:t>78</w:t>
            </w:r>
            <w:r>
              <w:rPr>
                <w:rFonts w:ascii="Calibri" w:hAnsi="Calibri"/>
                <w:color w:val="000000"/>
                <w:sz w:val="18"/>
                <w:szCs w:val="18"/>
              </w:rPr>
              <w:t>,</w:t>
            </w:r>
            <w:r w:rsidRPr="000F05A3">
              <w:rPr>
                <w:rFonts w:ascii="Calibri" w:hAnsi="Calibri"/>
                <w:color w:val="000000"/>
                <w:sz w:val="18"/>
                <w:szCs w:val="18"/>
              </w:rPr>
              <w:t>798</w:t>
            </w:r>
          </w:p>
        </w:tc>
        <w:tc>
          <w:tcPr>
            <w:tcW w:w="1134" w:type="dxa"/>
            <w:tcBorders>
              <w:top w:val="nil"/>
              <w:left w:val="nil"/>
              <w:bottom w:val="nil"/>
              <w:right w:val="nil"/>
            </w:tcBorders>
            <w:shd w:val="clear" w:color="auto" w:fill="auto"/>
            <w:vAlign w:val="bottom"/>
          </w:tcPr>
          <w:p w14:paraId="5A64054F" w14:textId="05B314DD" w:rsidR="00AB3CC1" w:rsidRPr="00537128" w:rsidRDefault="00AB3CC1" w:rsidP="00AB3CC1">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4A2C8EBA" w14:textId="42341F0D" w:rsidR="00AB3CC1" w:rsidRPr="00537128" w:rsidRDefault="00AB3CC1" w:rsidP="00AB3CC1">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2A6C460C" w14:textId="64981B79" w:rsidR="00AB3CC1" w:rsidRPr="00537128" w:rsidRDefault="00AB3CC1" w:rsidP="00AB3CC1">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16C7F0FC" w14:textId="3A62E46C" w:rsidR="00AB3CC1" w:rsidRPr="00537128" w:rsidRDefault="00AB3CC1" w:rsidP="00AB3CC1">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0F74B6FC" w14:textId="60D92780" w:rsidR="00AB3CC1" w:rsidRPr="00537128" w:rsidRDefault="00AB3CC1" w:rsidP="00AB3CC1">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0F05A3">
              <w:rPr>
                <w:rFonts w:ascii="Calibri" w:hAnsi="Calibri"/>
                <w:color w:val="000000"/>
                <w:sz w:val="18"/>
                <w:szCs w:val="18"/>
              </w:rPr>
              <w:t>78</w:t>
            </w:r>
            <w:r>
              <w:rPr>
                <w:rFonts w:ascii="Calibri" w:hAnsi="Calibri"/>
                <w:color w:val="000000"/>
                <w:sz w:val="18"/>
                <w:szCs w:val="18"/>
              </w:rPr>
              <w:t>,</w:t>
            </w:r>
            <w:r w:rsidRPr="000F05A3">
              <w:rPr>
                <w:rFonts w:ascii="Calibri" w:hAnsi="Calibri"/>
                <w:color w:val="000000"/>
                <w:sz w:val="18"/>
                <w:szCs w:val="18"/>
              </w:rPr>
              <w:t>798</w:t>
            </w:r>
          </w:p>
        </w:tc>
      </w:tr>
      <w:tr w:rsidR="00AB3CC1" w:rsidRPr="00537128" w14:paraId="1AE573BE" w14:textId="77777777" w:rsidTr="00703DBC">
        <w:trPr>
          <w:trHeight w:hRule="exact" w:val="227"/>
          <w:jc w:val="center"/>
        </w:trPr>
        <w:tc>
          <w:tcPr>
            <w:tcW w:w="2978" w:type="dxa"/>
            <w:tcBorders>
              <w:top w:val="nil"/>
              <w:left w:val="nil"/>
              <w:bottom w:val="nil"/>
              <w:right w:val="nil"/>
            </w:tcBorders>
            <w:shd w:val="clear" w:color="auto" w:fill="auto"/>
            <w:vAlign w:val="bottom"/>
          </w:tcPr>
          <w:p w14:paraId="13CB394D" w14:textId="77777777" w:rsidR="00AB3CC1" w:rsidRPr="00537128" w:rsidRDefault="00AB3CC1" w:rsidP="00AB3CC1">
            <w:pPr>
              <w:spacing w:after="0" w:line="240" w:lineRule="auto"/>
              <w:rPr>
                <w:rFonts w:ascii="Calibri" w:eastAsia="Times New Roman" w:hAnsi="Calibri" w:cs="Arial"/>
                <w:spacing w:val="-2"/>
                <w:sz w:val="18"/>
                <w:szCs w:val="18"/>
                <w:lang w:val="en-US"/>
              </w:rPr>
            </w:pPr>
            <w:r w:rsidRPr="00537128">
              <w:rPr>
                <w:rFonts w:ascii="Calibri" w:eastAsia="Times New Roman" w:hAnsi="Calibri" w:cs="Calibri"/>
                <w:color w:val="000000"/>
                <w:sz w:val="18"/>
                <w:szCs w:val="18"/>
                <w:lang w:val="en-US"/>
              </w:rPr>
              <w:t>EIF CROGIP Contracted Liability</w:t>
            </w:r>
          </w:p>
        </w:tc>
        <w:tc>
          <w:tcPr>
            <w:tcW w:w="1133" w:type="dxa"/>
            <w:tcBorders>
              <w:top w:val="nil"/>
              <w:left w:val="nil"/>
              <w:bottom w:val="nil"/>
              <w:right w:val="nil"/>
            </w:tcBorders>
            <w:shd w:val="clear" w:color="auto" w:fill="auto"/>
            <w:vAlign w:val="bottom"/>
          </w:tcPr>
          <w:p w14:paraId="7661E9E7" w14:textId="3963D9A7" w:rsidR="00AB3CC1" w:rsidRPr="00537128" w:rsidRDefault="00AB3CC1" w:rsidP="00AB3CC1">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25574632" w14:textId="2FC3B969" w:rsidR="00AB3CC1" w:rsidRPr="00537128" w:rsidRDefault="00AB3CC1" w:rsidP="00AB3CC1">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0F05A3">
              <w:rPr>
                <w:rFonts w:ascii="Calibri" w:hAnsi="Calibri"/>
                <w:color w:val="000000"/>
                <w:sz w:val="18"/>
                <w:szCs w:val="18"/>
              </w:rPr>
              <w:t>12</w:t>
            </w:r>
            <w:r>
              <w:rPr>
                <w:rFonts w:ascii="Calibri" w:hAnsi="Calibri"/>
                <w:color w:val="000000"/>
                <w:sz w:val="18"/>
                <w:szCs w:val="18"/>
              </w:rPr>
              <w:t>,</w:t>
            </w:r>
            <w:r w:rsidRPr="000F05A3">
              <w:rPr>
                <w:rFonts w:ascii="Calibri" w:hAnsi="Calibri"/>
                <w:color w:val="000000"/>
                <w:sz w:val="18"/>
                <w:szCs w:val="18"/>
              </w:rPr>
              <w:t>000</w:t>
            </w:r>
          </w:p>
        </w:tc>
        <w:tc>
          <w:tcPr>
            <w:tcW w:w="1134" w:type="dxa"/>
            <w:tcBorders>
              <w:top w:val="nil"/>
              <w:left w:val="nil"/>
              <w:bottom w:val="nil"/>
              <w:right w:val="nil"/>
            </w:tcBorders>
            <w:shd w:val="clear" w:color="auto" w:fill="auto"/>
            <w:vAlign w:val="bottom"/>
          </w:tcPr>
          <w:p w14:paraId="202CA8A2" w14:textId="3A333460" w:rsidR="00AB3CC1" w:rsidRPr="00537128" w:rsidRDefault="00AB3CC1" w:rsidP="00AB3CC1">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0F05A3">
              <w:rPr>
                <w:rFonts w:ascii="Calibri" w:hAnsi="Calibri"/>
                <w:color w:val="000000"/>
                <w:sz w:val="18"/>
                <w:szCs w:val="18"/>
              </w:rPr>
              <w:t>75</w:t>
            </w:r>
            <w:r>
              <w:rPr>
                <w:rFonts w:ascii="Calibri" w:hAnsi="Calibri"/>
                <w:color w:val="000000"/>
                <w:sz w:val="18"/>
                <w:szCs w:val="18"/>
              </w:rPr>
              <w:t>,</w:t>
            </w:r>
            <w:r w:rsidRPr="000F05A3">
              <w:rPr>
                <w:rFonts w:ascii="Calibri" w:hAnsi="Calibri"/>
                <w:color w:val="000000"/>
                <w:sz w:val="18"/>
                <w:szCs w:val="18"/>
              </w:rPr>
              <w:t>590</w:t>
            </w:r>
          </w:p>
        </w:tc>
        <w:tc>
          <w:tcPr>
            <w:tcW w:w="1134" w:type="dxa"/>
            <w:tcBorders>
              <w:top w:val="nil"/>
              <w:left w:val="nil"/>
              <w:bottom w:val="nil"/>
              <w:right w:val="nil"/>
            </w:tcBorders>
            <w:shd w:val="clear" w:color="auto" w:fill="auto"/>
            <w:vAlign w:val="bottom"/>
          </w:tcPr>
          <w:p w14:paraId="6C4E18BA" w14:textId="48650DFC" w:rsidR="00AB3CC1" w:rsidRPr="00537128" w:rsidRDefault="00AB3CC1" w:rsidP="00AB3CC1">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0F05A3">
              <w:rPr>
                <w:rFonts w:ascii="Calibri" w:hAnsi="Calibri"/>
                <w:color w:val="000000"/>
                <w:sz w:val="18"/>
                <w:szCs w:val="18"/>
              </w:rPr>
              <w:t>107</w:t>
            </w:r>
            <w:r>
              <w:rPr>
                <w:rFonts w:ascii="Calibri" w:hAnsi="Calibri"/>
                <w:color w:val="000000"/>
                <w:sz w:val="18"/>
                <w:szCs w:val="18"/>
              </w:rPr>
              <w:t>,</w:t>
            </w:r>
            <w:r w:rsidRPr="000F05A3">
              <w:rPr>
                <w:rFonts w:ascii="Calibri" w:hAnsi="Calibri"/>
                <w:color w:val="000000"/>
                <w:sz w:val="18"/>
                <w:szCs w:val="18"/>
              </w:rPr>
              <w:t>175</w:t>
            </w:r>
          </w:p>
        </w:tc>
        <w:tc>
          <w:tcPr>
            <w:tcW w:w="1134" w:type="dxa"/>
            <w:tcBorders>
              <w:top w:val="nil"/>
              <w:left w:val="nil"/>
              <w:bottom w:val="nil"/>
              <w:right w:val="nil"/>
            </w:tcBorders>
            <w:shd w:val="clear" w:color="auto" w:fill="auto"/>
            <w:vAlign w:val="bottom"/>
          </w:tcPr>
          <w:p w14:paraId="0B179B86" w14:textId="26E7ACAE" w:rsidR="00AB3CC1" w:rsidRPr="00537128" w:rsidRDefault="00AB3CC1" w:rsidP="00AB3CC1">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0F05A3">
              <w:rPr>
                <w:rFonts w:ascii="Calibri" w:hAnsi="Calibri"/>
                <w:color w:val="000000"/>
                <w:sz w:val="18"/>
                <w:szCs w:val="18"/>
              </w:rPr>
              <w:t>120</w:t>
            </w:r>
            <w:r>
              <w:rPr>
                <w:rFonts w:ascii="Calibri" w:hAnsi="Calibri"/>
                <w:color w:val="000000"/>
                <w:sz w:val="18"/>
                <w:szCs w:val="18"/>
              </w:rPr>
              <w:t>,</w:t>
            </w:r>
            <w:r w:rsidRPr="000F05A3">
              <w:rPr>
                <w:rFonts w:ascii="Calibri" w:hAnsi="Calibri"/>
                <w:color w:val="000000"/>
                <w:sz w:val="18"/>
                <w:szCs w:val="18"/>
              </w:rPr>
              <w:t>198</w:t>
            </w:r>
          </w:p>
        </w:tc>
        <w:tc>
          <w:tcPr>
            <w:tcW w:w="1134" w:type="dxa"/>
            <w:tcBorders>
              <w:top w:val="nil"/>
              <w:left w:val="nil"/>
              <w:bottom w:val="nil"/>
              <w:right w:val="nil"/>
            </w:tcBorders>
            <w:shd w:val="clear" w:color="auto" w:fill="auto"/>
            <w:vAlign w:val="bottom"/>
          </w:tcPr>
          <w:p w14:paraId="23B61236" w14:textId="24FBBAAB" w:rsidR="00AB3CC1" w:rsidRPr="00537128" w:rsidRDefault="00AB3CC1" w:rsidP="00AB3CC1">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sidRPr="000F05A3">
              <w:rPr>
                <w:rFonts w:ascii="Calibri" w:hAnsi="Calibri"/>
                <w:color w:val="000000"/>
                <w:sz w:val="18"/>
                <w:szCs w:val="18"/>
              </w:rPr>
              <w:t>314</w:t>
            </w:r>
            <w:r>
              <w:rPr>
                <w:rFonts w:ascii="Calibri" w:hAnsi="Calibri"/>
                <w:color w:val="000000"/>
                <w:sz w:val="18"/>
                <w:szCs w:val="18"/>
              </w:rPr>
              <w:t>,</w:t>
            </w:r>
            <w:r w:rsidRPr="000F05A3">
              <w:rPr>
                <w:rFonts w:ascii="Calibri" w:hAnsi="Calibri"/>
                <w:color w:val="000000"/>
                <w:sz w:val="18"/>
                <w:szCs w:val="18"/>
              </w:rPr>
              <w:t>963</w:t>
            </w:r>
          </w:p>
        </w:tc>
      </w:tr>
      <w:tr w:rsidR="00AB3CC1" w:rsidRPr="00537128" w14:paraId="52A131A4" w14:textId="77777777" w:rsidTr="00703DBC">
        <w:trPr>
          <w:trHeight w:hRule="exact" w:val="227"/>
          <w:jc w:val="center"/>
        </w:trPr>
        <w:tc>
          <w:tcPr>
            <w:tcW w:w="2978" w:type="dxa"/>
            <w:tcBorders>
              <w:top w:val="nil"/>
              <w:left w:val="nil"/>
              <w:bottom w:val="nil"/>
              <w:right w:val="nil"/>
            </w:tcBorders>
            <w:shd w:val="clear" w:color="auto" w:fill="auto"/>
            <w:vAlign w:val="bottom"/>
          </w:tcPr>
          <w:p w14:paraId="6F95F67E" w14:textId="77777777" w:rsidR="00AB3CC1" w:rsidRPr="00537128" w:rsidRDefault="00AB3CC1" w:rsidP="00AB3CC1">
            <w:pPr>
              <w:spacing w:after="0" w:line="240" w:lineRule="auto"/>
              <w:rPr>
                <w:rFonts w:ascii="Calibri" w:eastAsia="Times New Roman" w:hAnsi="Calibri" w:cs="Arial"/>
                <w:spacing w:val="-2"/>
                <w:sz w:val="18"/>
                <w:szCs w:val="18"/>
                <w:lang w:val="en-US"/>
              </w:rPr>
            </w:pPr>
            <w:r w:rsidRPr="00537128">
              <w:rPr>
                <w:rFonts w:ascii="Calibri" w:eastAsia="Times New Roman" w:hAnsi="Calibri" w:cs="Calibri"/>
                <w:color w:val="000000"/>
                <w:sz w:val="18"/>
                <w:szCs w:val="18"/>
                <w:lang w:val="en-US"/>
              </w:rPr>
              <w:t>EIF FRC2 Contracted Liability</w:t>
            </w:r>
          </w:p>
        </w:tc>
        <w:tc>
          <w:tcPr>
            <w:tcW w:w="1133" w:type="dxa"/>
            <w:tcBorders>
              <w:top w:val="nil"/>
              <w:left w:val="nil"/>
              <w:bottom w:val="nil"/>
              <w:right w:val="nil"/>
            </w:tcBorders>
            <w:shd w:val="clear" w:color="auto" w:fill="auto"/>
            <w:vAlign w:val="bottom"/>
          </w:tcPr>
          <w:p w14:paraId="671E41FF" w14:textId="0AB5B07D" w:rsidR="00AB3CC1" w:rsidRPr="00537128" w:rsidRDefault="00AB3CC1" w:rsidP="00AB3CC1">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Pr>
                <w:rFonts w:ascii="Calibri" w:hAnsi="Calibri"/>
                <w:color w:val="000000"/>
                <w:sz w:val="18"/>
                <w:szCs w:val="18"/>
              </w:rPr>
              <w:t>463</w:t>
            </w:r>
          </w:p>
        </w:tc>
        <w:tc>
          <w:tcPr>
            <w:tcW w:w="1134" w:type="dxa"/>
            <w:tcBorders>
              <w:top w:val="nil"/>
              <w:left w:val="nil"/>
              <w:bottom w:val="nil"/>
              <w:right w:val="nil"/>
            </w:tcBorders>
            <w:shd w:val="clear" w:color="auto" w:fill="auto"/>
            <w:vAlign w:val="bottom"/>
          </w:tcPr>
          <w:p w14:paraId="0ED6C827" w14:textId="77407087" w:rsidR="00AB3CC1" w:rsidRPr="00537128" w:rsidRDefault="00AB3CC1" w:rsidP="00AB3CC1">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hAnsi="Calibri"/>
                <w:color w:val="000000"/>
                <w:sz w:val="18"/>
                <w:szCs w:val="18"/>
              </w:rPr>
              <w:t>750</w:t>
            </w:r>
          </w:p>
        </w:tc>
        <w:tc>
          <w:tcPr>
            <w:tcW w:w="1134" w:type="dxa"/>
            <w:tcBorders>
              <w:top w:val="nil"/>
              <w:left w:val="nil"/>
              <w:bottom w:val="nil"/>
              <w:right w:val="nil"/>
            </w:tcBorders>
            <w:shd w:val="clear" w:color="auto" w:fill="auto"/>
            <w:vAlign w:val="bottom"/>
          </w:tcPr>
          <w:p w14:paraId="60C944F3" w14:textId="559D1399" w:rsidR="00AB3CC1" w:rsidRPr="00537128" w:rsidRDefault="00AB3CC1" w:rsidP="00AB3CC1">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0F05A3">
              <w:rPr>
                <w:rFonts w:ascii="Calibri" w:hAnsi="Calibri"/>
                <w:color w:val="000000"/>
                <w:sz w:val="18"/>
                <w:szCs w:val="18"/>
              </w:rPr>
              <w:t>1</w:t>
            </w:r>
            <w:r>
              <w:rPr>
                <w:rFonts w:ascii="Calibri" w:hAnsi="Calibri"/>
                <w:color w:val="000000"/>
                <w:sz w:val="18"/>
                <w:szCs w:val="18"/>
              </w:rPr>
              <w:t>,</w:t>
            </w:r>
            <w:r w:rsidRPr="000F05A3">
              <w:rPr>
                <w:rFonts w:ascii="Calibri" w:hAnsi="Calibri"/>
                <w:color w:val="000000"/>
                <w:sz w:val="18"/>
                <w:szCs w:val="18"/>
              </w:rPr>
              <w:t>640</w:t>
            </w:r>
          </w:p>
        </w:tc>
        <w:tc>
          <w:tcPr>
            <w:tcW w:w="1134" w:type="dxa"/>
            <w:tcBorders>
              <w:top w:val="nil"/>
              <w:left w:val="nil"/>
              <w:bottom w:val="nil"/>
              <w:right w:val="nil"/>
            </w:tcBorders>
            <w:shd w:val="clear" w:color="auto" w:fill="auto"/>
            <w:vAlign w:val="bottom"/>
          </w:tcPr>
          <w:p w14:paraId="246714BE" w14:textId="267F2EB0" w:rsidR="00AB3CC1" w:rsidRPr="00537128" w:rsidRDefault="00AB3CC1" w:rsidP="00AB3CC1">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0F05A3">
              <w:rPr>
                <w:rFonts w:ascii="Calibri" w:hAnsi="Calibri"/>
                <w:color w:val="000000"/>
                <w:sz w:val="18"/>
                <w:szCs w:val="18"/>
              </w:rPr>
              <w:t>1</w:t>
            </w:r>
            <w:r>
              <w:rPr>
                <w:rFonts w:ascii="Calibri" w:hAnsi="Calibri"/>
                <w:color w:val="000000"/>
                <w:sz w:val="18"/>
                <w:szCs w:val="18"/>
              </w:rPr>
              <w:t>,</w:t>
            </w:r>
            <w:r w:rsidRPr="000F05A3">
              <w:rPr>
                <w:rFonts w:ascii="Calibri" w:hAnsi="Calibri"/>
                <w:color w:val="000000"/>
                <w:sz w:val="18"/>
                <w:szCs w:val="18"/>
              </w:rPr>
              <w:t>239</w:t>
            </w:r>
          </w:p>
        </w:tc>
        <w:tc>
          <w:tcPr>
            <w:tcW w:w="1134" w:type="dxa"/>
            <w:tcBorders>
              <w:top w:val="nil"/>
              <w:left w:val="nil"/>
              <w:bottom w:val="nil"/>
              <w:right w:val="nil"/>
            </w:tcBorders>
            <w:shd w:val="clear" w:color="auto" w:fill="auto"/>
            <w:vAlign w:val="bottom"/>
          </w:tcPr>
          <w:p w14:paraId="2193772C" w14:textId="394772C5" w:rsidR="00AB3CC1" w:rsidRPr="00537128" w:rsidRDefault="00AB3CC1" w:rsidP="00AB3CC1">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0F05A3">
              <w:rPr>
                <w:rFonts w:ascii="Calibri" w:hAnsi="Calibri"/>
                <w:color w:val="000000"/>
                <w:sz w:val="18"/>
                <w:szCs w:val="18"/>
              </w:rPr>
              <w:t>1</w:t>
            </w:r>
            <w:r>
              <w:rPr>
                <w:rFonts w:ascii="Calibri" w:hAnsi="Calibri"/>
                <w:color w:val="000000"/>
                <w:sz w:val="18"/>
                <w:szCs w:val="18"/>
              </w:rPr>
              <w:t>,</w:t>
            </w:r>
            <w:r w:rsidRPr="000F05A3">
              <w:rPr>
                <w:rFonts w:ascii="Calibri" w:hAnsi="Calibri"/>
                <w:color w:val="000000"/>
                <w:sz w:val="18"/>
                <w:szCs w:val="18"/>
              </w:rPr>
              <w:t>091</w:t>
            </w:r>
          </w:p>
        </w:tc>
        <w:tc>
          <w:tcPr>
            <w:tcW w:w="1134" w:type="dxa"/>
            <w:tcBorders>
              <w:top w:val="nil"/>
              <w:left w:val="nil"/>
              <w:bottom w:val="nil"/>
              <w:right w:val="nil"/>
            </w:tcBorders>
            <w:shd w:val="clear" w:color="auto" w:fill="auto"/>
            <w:vAlign w:val="bottom"/>
          </w:tcPr>
          <w:p w14:paraId="314F84AA" w14:textId="0A5BE6C4" w:rsidR="00AB3CC1" w:rsidRPr="00537128" w:rsidRDefault="00AB3CC1" w:rsidP="00AB3CC1">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sidRPr="000F05A3">
              <w:rPr>
                <w:rFonts w:ascii="Calibri" w:hAnsi="Calibri"/>
                <w:color w:val="000000"/>
                <w:sz w:val="18"/>
                <w:szCs w:val="18"/>
              </w:rPr>
              <w:t>5</w:t>
            </w:r>
            <w:r>
              <w:rPr>
                <w:rFonts w:ascii="Calibri" w:hAnsi="Calibri"/>
                <w:color w:val="000000"/>
                <w:sz w:val="18"/>
                <w:szCs w:val="18"/>
              </w:rPr>
              <w:t>,</w:t>
            </w:r>
            <w:r w:rsidRPr="000F05A3">
              <w:rPr>
                <w:rFonts w:ascii="Calibri" w:hAnsi="Calibri"/>
                <w:color w:val="000000"/>
                <w:sz w:val="18"/>
                <w:szCs w:val="18"/>
              </w:rPr>
              <w:t>183</w:t>
            </w:r>
          </w:p>
        </w:tc>
      </w:tr>
      <w:tr w:rsidR="00AB3CC1" w:rsidRPr="00537128" w14:paraId="65F06BFA" w14:textId="77777777" w:rsidTr="00703DBC">
        <w:trPr>
          <w:trHeight w:hRule="exact" w:val="284"/>
          <w:jc w:val="center"/>
        </w:trPr>
        <w:tc>
          <w:tcPr>
            <w:tcW w:w="2978" w:type="dxa"/>
            <w:vAlign w:val="bottom"/>
          </w:tcPr>
          <w:p w14:paraId="0CFA5026" w14:textId="77777777" w:rsidR="00AB3CC1" w:rsidRPr="00537128" w:rsidRDefault="00AB3CC1" w:rsidP="00AB3CC1">
            <w:pPr>
              <w:spacing w:after="0" w:line="240" w:lineRule="auto"/>
              <w:rPr>
                <w:rFonts w:ascii="Calibri" w:eastAsia="Times New Roman" w:hAnsi="Calibri" w:cs="Arial"/>
                <w:b/>
                <w:bCs/>
                <w:i/>
                <w:spacing w:val="-2"/>
                <w:sz w:val="18"/>
                <w:szCs w:val="18"/>
                <w:lang w:val="en-US"/>
              </w:rPr>
            </w:pPr>
            <w:r w:rsidRPr="00537128">
              <w:rPr>
                <w:rFonts w:ascii="Calibri" w:eastAsia="Times New Roman" w:hAnsi="Calibri" w:cs="Arial"/>
                <w:b/>
                <w:bCs/>
                <w:spacing w:val="-2"/>
                <w:sz w:val="18"/>
                <w:szCs w:val="18"/>
                <w:lang w:val="en-US"/>
              </w:rPr>
              <w:t>Total guarantees and commitments</w:t>
            </w:r>
          </w:p>
        </w:tc>
        <w:tc>
          <w:tcPr>
            <w:tcW w:w="1133" w:type="dxa"/>
            <w:tcBorders>
              <w:top w:val="single" w:sz="8" w:space="0" w:color="auto"/>
              <w:left w:val="nil"/>
              <w:bottom w:val="single" w:sz="8" w:space="0" w:color="auto"/>
              <w:right w:val="nil"/>
            </w:tcBorders>
            <w:shd w:val="clear" w:color="auto" w:fill="auto"/>
            <w:vAlign w:val="bottom"/>
          </w:tcPr>
          <w:p w14:paraId="79E18709" w14:textId="3284612C" w:rsidR="00AB3CC1" w:rsidRPr="00537128" w:rsidRDefault="00AB3CC1" w:rsidP="00AB3CC1">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0F05A3">
              <w:rPr>
                <w:rFonts w:ascii="Calibri" w:hAnsi="Calibri"/>
                <w:b/>
                <w:bCs/>
                <w:color w:val="000000"/>
                <w:sz w:val="18"/>
                <w:szCs w:val="18"/>
              </w:rPr>
              <w:t>3</w:t>
            </w:r>
            <w:r>
              <w:rPr>
                <w:rFonts w:ascii="Calibri" w:hAnsi="Calibri"/>
                <w:b/>
                <w:bCs/>
                <w:color w:val="000000"/>
                <w:sz w:val="18"/>
                <w:szCs w:val="18"/>
              </w:rPr>
              <w:t>,</w:t>
            </w:r>
            <w:r w:rsidRPr="000F05A3">
              <w:rPr>
                <w:rFonts w:ascii="Calibri" w:hAnsi="Calibri"/>
                <w:b/>
                <w:bCs/>
                <w:color w:val="000000"/>
                <w:sz w:val="18"/>
                <w:szCs w:val="18"/>
              </w:rPr>
              <w:t>689</w:t>
            </w:r>
            <w:r>
              <w:rPr>
                <w:rFonts w:ascii="Calibri" w:hAnsi="Calibri"/>
                <w:b/>
                <w:bCs/>
                <w:color w:val="000000"/>
                <w:sz w:val="18"/>
                <w:szCs w:val="18"/>
              </w:rPr>
              <w:t>,</w:t>
            </w:r>
            <w:r w:rsidRPr="000F05A3">
              <w:rPr>
                <w:rFonts w:ascii="Calibri" w:hAnsi="Calibri"/>
                <w:b/>
                <w:bCs/>
                <w:color w:val="000000"/>
                <w:sz w:val="18"/>
                <w:szCs w:val="18"/>
              </w:rPr>
              <w:t>145</w:t>
            </w:r>
          </w:p>
        </w:tc>
        <w:tc>
          <w:tcPr>
            <w:tcW w:w="1134" w:type="dxa"/>
            <w:tcBorders>
              <w:top w:val="single" w:sz="8" w:space="0" w:color="auto"/>
              <w:left w:val="nil"/>
              <w:bottom w:val="single" w:sz="8" w:space="0" w:color="auto"/>
              <w:right w:val="nil"/>
            </w:tcBorders>
            <w:shd w:val="clear" w:color="auto" w:fill="auto"/>
            <w:vAlign w:val="bottom"/>
          </w:tcPr>
          <w:p w14:paraId="5C065E2D" w14:textId="191C7FFD" w:rsidR="00AB3CC1" w:rsidRPr="00537128" w:rsidRDefault="00AB3CC1" w:rsidP="00AB3CC1">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0F05A3">
              <w:rPr>
                <w:rFonts w:ascii="Calibri" w:hAnsi="Calibri"/>
                <w:b/>
                <w:bCs/>
                <w:color w:val="000000"/>
                <w:sz w:val="18"/>
                <w:szCs w:val="18"/>
              </w:rPr>
              <w:t>12</w:t>
            </w:r>
            <w:r>
              <w:rPr>
                <w:rFonts w:ascii="Calibri" w:hAnsi="Calibri"/>
                <w:b/>
                <w:bCs/>
                <w:color w:val="000000"/>
                <w:sz w:val="18"/>
                <w:szCs w:val="18"/>
              </w:rPr>
              <w:t>,</w:t>
            </w:r>
            <w:r w:rsidRPr="000F05A3">
              <w:rPr>
                <w:rFonts w:ascii="Calibri" w:hAnsi="Calibri"/>
                <w:b/>
                <w:bCs/>
                <w:color w:val="000000"/>
                <w:sz w:val="18"/>
                <w:szCs w:val="18"/>
              </w:rPr>
              <w:t>750</w:t>
            </w:r>
          </w:p>
        </w:tc>
        <w:tc>
          <w:tcPr>
            <w:tcW w:w="1134" w:type="dxa"/>
            <w:tcBorders>
              <w:top w:val="single" w:sz="8" w:space="0" w:color="auto"/>
              <w:left w:val="nil"/>
              <w:bottom w:val="single" w:sz="8" w:space="0" w:color="auto"/>
              <w:right w:val="nil"/>
            </w:tcBorders>
            <w:shd w:val="clear" w:color="auto" w:fill="auto"/>
            <w:vAlign w:val="bottom"/>
          </w:tcPr>
          <w:p w14:paraId="7B57D290" w14:textId="0619D7A9" w:rsidR="00AB3CC1" w:rsidRPr="00537128" w:rsidRDefault="00AB3CC1" w:rsidP="00AB3CC1">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0F05A3">
              <w:rPr>
                <w:rFonts w:ascii="Calibri" w:hAnsi="Calibri"/>
                <w:b/>
                <w:bCs/>
                <w:color w:val="000000"/>
                <w:sz w:val="18"/>
                <w:szCs w:val="18"/>
              </w:rPr>
              <w:t>77</w:t>
            </w:r>
            <w:r>
              <w:rPr>
                <w:rFonts w:ascii="Calibri" w:hAnsi="Calibri"/>
                <w:b/>
                <w:bCs/>
                <w:color w:val="000000"/>
                <w:sz w:val="18"/>
                <w:szCs w:val="18"/>
              </w:rPr>
              <w:t>,</w:t>
            </w:r>
            <w:r w:rsidRPr="000F05A3">
              <w:rPr>
                <w:rFonts w:ascii="Calibri" w:hAnsi="Calibri"/>
                <w:b/>
                <w:bCs/>
                <w:color w:val="000000"/>
                <w:sz w:val="18"/>
                <w:szCs w:val="18"/>
              </w:rPr>
              <w:t>230</w:t>
            </w:r>
          </w:p>
        </w:tc>
        <w:tc>
          <w:tcPr>
            <w:tcW w:w="1134" w:type="dxa"/>
            <w:tcBorders>
              <w:top w:val="single" w:sz="8" w:space="0" w:color="auto"/>
              <w:left w:val="nil"/>
              <w:bottom w:val="single" w:sz="8" w:space="0" w:color="auto"/>
              <w:right w:val="nil"/>
            </w:tcBorders>
            <w:shd w:val="clear" w:color="auto" w:fill="auto"/>
            <w:vAlign w:val="bottom"/>
          </w:tcPr>
          <w:p w14:paraId="7335E5EE" w14:textId="64B070A1" w:rsidR="00AB3CC1" w:rsidRPr="00537128" w:rsidRDefault="00AB3CC1" w:rsidP="00AB3CC1">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0F05A3">
              <w:rPr>
                <w:rFonts w:ascii="Calibri" w:hAnsi="Calibri"/>
                <w:b/>
                <w:bCs/>
                <w:color w:val="000000"/>
                <w:sz w:val="18"/>
                <w:szCs w:val="18"/>
              </w:rPr>
              <w:t>108</w:t>
            </w:r>
            <w:r>
              <w:rPr>
                <w:rFonts w:ascii="Calibri" w:hAnsi="Calibri"/>
                <w:b/>
                <w:bCs/>
                <w:color w:val="000000"/>
                <w:sz w:val="18"/>
                <w:szCs w:val="18"/>
              </w:rPr>
              <w:t>,</w:t>
            </w:r>
            <w:r w:rsidRPr="000F05A3">
              <w:rPr>
                <w:rFonts w:ascii="Calibri" w:hAnsi="Calibri"/>
                <w:b/>
                <w:bCs/>
                <w:color w:val="000000"/>
                <w:sz w:val="18"/>
                <w:szCs w:val="18"/>
              </w:rPr>
              <w:t>414</w:t>
            </w:r>
          </w:p>
        </w:tc>
        <w:tc>
          <w:tcPr>
            <w:tcW w:w="1134" w:type="dxa"/>
            <w:tcBorders>
              <w:top w:val="single" w:sz="8" w:space="0" w:color="auto"/>
              <w:left w:val="nil"/>
              <w:bottom w:val="single" w:sz="8" w:space="0" w:color="auto"/>
              <w:right w:val="nil"/>
            </w:tcBorders>
            <w:shd w:val="clear" w:color="auto" w:fill="auto"/>
            <w:vAlign w:val="bottom"/>
          </w:tcPr>
          <w:p w14:paraId="75C2D2F8" w14:textId="588E0B26" w:rsidR="00AB3CC1" w:rsidRPr="00537128" w:rsidRDefault="00AB3CC1" w:rsidP="00AB3CC1">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0F05A3">
              <w:rPr>
                <w:rFonts w:ascii="Calibri" w:hAnsi="Calibri"/>
                <w:b/>
                <w:bCs/>
                <w:color w:val="000000"/>
                <w:sz w:val="18"/>
                <w:szCs w:val="18"/>
              </w:rPr>
              <w:t>121</w:t>
            </w:r>
            <w:r>
              <w:rPr>
                <w:rFonts w:ascii="Calibri" w:hAnsi="Calibri"/>
                <w:b/>
                <w:bCs/>
                <w:color w:val="000000"/>
                <w:sz w:val="18"/>
                <w:szCs w:val="18"/>
              </w:rPr>
              <w:t>,</w:t>
            </w:r>
            <w:r w:rsidRPr="000F05A3">
              <w:rPr>
                <w:rFonts w:ascii="Calibri" w:hAnsi="Calibri"/>
                <w:b/>
                <w:bCs/>
                <w:color w:val="000000"/>
                <w:sz w:val="18"/>
                <w:szCs w:val="18"/>
              </w:rPr>
              <w:t>289</w:t>
            </w:r>
          </w:p>
        </w:tc>
        <w:tc>
          <w:tcPr>
            <w:tcW w:w="1134" w:type="dxa"/>
            <w:tcBorders>
              <w:top w:val="single" w:sz="8" w:space="0" w:color="auto"/>
              <w:left w:val="nil"/>
              <w:bottom w:val="single" w:sz="8" w:space="0" w:color="auto"/>
              <w:right w:val="nil"/>
            </w:tcBorders>
            <w:shd w:val="clear" w:color="auto" w:fill="auto"/>
            <w:vAlign w:val="bottom"/>
          </w:tcPr>
          <w:p w14:paraId="4E246981" w14:textId="5F9F0E50" w:rsidR="00AB3CC1" w:rsidRPr="00537128" w:rsidRDefault="00AB3CC1" w:rsidP="00AB3CC1">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0F05A3">
              <w:rPr>
                <w:rFonts w:ascii="Calibri" w:hAnsi="Calibri"/>
                <w:b/>
                <w:bCs/>
                <w:color w:val="000000"/>
                <w:sz w:val="18"/>
                <w:szCs w:val="18"/>
              </w:rPr>
              <w:t>4</w:t>
            </w:r>
            <w:r>
              <w:rPr>
                <w:rFonts w:ascii="Calibri" w:hAnsi="Calibri"/>
                <w:b/>
                <w:bCs/>
                <w:color w:val="000000"/>
                <w:sz w:val="18"/>
                <w:szCs w:val="18"/>
              </w:rPr>
              <w:t>,</w:t>
            </w:r>
            <w:r w:rsidRPr="000F05A3">
              <w:rPr>
                <w:rFonts w:ascii="Calibri" w:hAnsi="Calibri"/>
                <w:b/>
                <w:bCs/>
                <w:color w:val="000000"/>
                <w:sz w:val="18"/>
                <w:szCs w:val="18"/>
              </w:rPr>
              <w:t>008</w:t>
            </w:r>
            <w:r>
              <w:rPr>
                <w:rFonts w:ascii="Calibri" w:hAnsi="Calibri"/>
                <w:b/>
                <w:bCs/>
                <w:color w:val="000000"/>
                <w:sz w:val="18"/>
                <w:szCs w:val="18"/>
              </w:rPr>
              <w:t>,</w:t>
            </w:r>
            <w:r w:rsidRPr="000F05A3">
              <w:rPr>
                <w:rFonts w:ascii="Calibri" w:hAnsi="Calibri"/>
                <w:b/>
                <w:bCs/>
                <w:color w:val="000000"/>
                <w:sz w:val="18"/>
                <w:szCs w:val="18"/>
              </w:rPr>
              <w:t>828</w:t>
            </w:r>
          </w:p>
        </w:tc>
      </w:tr>
      <w:bookmarkEnd w:id="900"/>
    </w:tbl>
    <w:p w14:paraId="41C3780E" w14:textId="68F76B0B" w:rsidR="003D584A" w:rsidRDefault="003D584A" w:rsidP="008330AF">
      <w:pPr>
        <w:spacing w:after="0" w:line="240" w:lineRule="auto"/>
        <w:jc w:val="both"/>
        <w:rPr>
          <w:rFonts w:eastAsia="Times New Roman" w:cstheme="minorHAnsi"/>
          <w:iCs/>
          <w:color w:val="000000" w:themeColor="text1"/>
          <w:lang w:val="en-US"/>
        </w:rPr>
      </w:pPr>
    </w:p>
    <w:p w14:paraId="76D27D5E" w14:textId="77777777" w:rsidR="00127794" w:rsidRPr="00537128" w:rsidRDefault="00127794" w:rsidP="008330AF">
      <w:pPr>
        <w:spacing w:after="0" w:line="240" w:lineRule="auto"/>
        <w:jc w:val="both"/>
        <w:rPr>
          <w:rFonts w:eastAsia="Times New Roman" w:cstheme="minorHAnsi"/>
          <w:iCs/>
          <w:color w:val="000000" w:themeColor="text1"/>
          <w:lang w:val="en-US"/>
        </w:rPr>
      </w:pPr>
    </w:p>
    <w:tbl>
      <w:tblPr>
        <w:tblW w:w="5228" w:type="pct"/>
        <w:jc w:val="center"/>
        <w:tblLayout w:type="fixed"/>
        <w:tblCellMar>
          <w:left w:w="120" w:type="dxa"/>
          <w:right w:w="120" w:type="dxa"/>
        </w:tblCellMar>
        <w:tblLook w:val="0000" w:firstRow="0" w:lastRow="0" w:firstColumn="0" w:lastColumn="0" w:noHBand="0" w:noVBand="0"/>
      </w:tblPr>
      <w:tblGrid>
        <w:gridCol w:w="2978"/>
        <w:gridCol w:w="1133"/>
        <w:gridCol w:w="1134"/>
        <w:gridCol w:w="1134"/>
        <w:gridCol w:w="1134"/>
        <w:gridCol w:w="1134"/>
        <w:gridCol w:w="1134"/>
      </w:tblGrid>
      <w:tr w:rsidR="008978D0" w:rsidRPr="008978D0" w14:paraId="2DF46C58" w14:textId="77777777" w:rsidTr="00E44437">
        <w:trPr>
          <w:trHeight w:val="466"/>
          <w:jc w:val="center"/>
        </w:trPr>
        <w:tc>
          <w:tcPr>
            <w:tcW w:w="2979" w:type="dxa"/>
            <w:vAlign w:val="bottom"/>
          </w:tcPr>
          <w:p w14:paraId="7E89EED7" w14:textId="77777777" w:rsidR="008978D0" w:rsidRPr="008978D0" w:rsidRDefault="008978D0" w:rsidP="008978D0">
            <w:pPr>
              <w:tabs>
                <w:tab w:val="right" w:pos="1202"/>
              </w:tabs>
              <w:spacing w:after="0" w:line="240" w:lineRule="auto"/>
              <w:outlineLvl w:val="0"/>
              <w:rPr>
                <w:rFonts w:ascii="Calibri" w:eastAsia="Times New Roman" w:hAnsi="Calibri" w:cs="Arial"/>
                <w:b/>
                <w:sz w:val="18"/>
                <w:szCs w:val="18"/>
                <w:lang w:val="en-GB"/>
              </w:rPr>
            </w:pPr>
            <w:r w:rsidRPr="008978D0">
              <w:rPr>
                <w:rFonts w:ascii="Calibri" w:eastAsia="Times New Roman" w:hAnsi="Calibri" w:cs="Arial"/>
                <w:b/>
                <w:sz w:val="18"/>
                <w:szCs w:val="18"/>
                <w:lang w:val="en-GB"/>
              </w:rPr>
              <w:t>Group</w:t>
            </w:r>
          </w:p>
          <w:p w14:paraId="0C9CA7DE" w14:textId="77777777" w:rsidR="008978D0" w:rsidRPr="008978D0" w:rsidRDefault="008978D0" w:rsidP="008978D0">
            <w:pPr>
              <w:tabs>
                <w:tab w:val="right" w:pos="1202"/>
              </w:tabs>
              <w:spacing w:after="0" w:line="240" w:lineRule="auto"/>
              <w:outlineLvl w:val="0"/>
              <w:rPr>
                <w:rFonts w:ascii="Calibri" w:eastAsia="Times New Roman" w:hAnsi="Calibri" w:cs="Arial"/>
                <w:b/>
                <w:sz w:val="18"/>
                <w:szCs w:val="18"/>
                <w:lang w:val="en-GB"/>
              </w:rPr>
            </w:pPr>
            <w:r w:rsidRPr="008978D0">
              <w:rPr>
                <w:rFonts w:ascii="Calibri" w:eastAsia="Times New Roman" w:hAnsi="Calibri" w:cs="Arial"/>
                <w:b/>
                <w:sz w:val="18"/>
                <w:szCs w:val="18"/>
                <w:lang w:val="en-GB"/>
              </w:rPr>
              <w:t>31 December 2021</w:t>
            </w:r>
          </w:p>
        </w:tc>
        <w:tc>
          <w:tcPr>
            <w:tcW w:w="1133" w:type="dxa"/>
          </w:tcPr>
          <w:p w14:paraId="70E0A991" w14:textId="77777777" w:rsidR="008978D0" w:rsidRPr="008978D0" w:rsidRDefault="008978D0" w:rsidP="008978D0">
            <w:pPr>
              <w:tabs>
                <w:tab w:val="right" w:pos="1202"/>
              </w:tabs>
              <w:spacing w:after="0" w:line="240" w:lineRule="auto"/>
              <w:jc w:val="right"/>
              <w:outlineLvl w:val="0"/>
              <w:rPr>
                <w:rFonts w:ascii="Calibri" w:eastAsia="Times New Roman" w:hAnsi="Calibri" w:cs="Arial"/>
                <w:b/>
                <w:sz w:val="18"/>
                <w:szCs w:val="18"/>
                <w:lang w:val="en-GB"/>
              </w:rPr>
            </w:pPr>
            <w:r w:rsidRPr="008978D0">
              <w:rPr>
                <w:rFonts w:ascii="Calibri" w:eastAsia="Times New Roman" w:hAnsi="Calibri" w:cs="Arial"/>
                <w:b/>
                <w:sz w:val="18"/>
                <w:szCs w:val="18"/>
                <w:lang w:val="en-GB"/>
              </w:rPr>
              <w:t>Up to 1 month</w:t>
            </w:r>
          </w:p>
        </w:tc>
        <w:tc>
          <w:tcPr>
            <w:tcW w:w="1134" w:type="dxa"/>
          </w:tcPr>
          <w:p w14:paraId="75D6092C" w14:textId="77777777" w:rsidR="008978D0" w:rsidRPr="008978D0" w:rsidRDefault="008978D0" w:rsidP="008978D0">
            <w:pPr>
              <w:tabs>
                <w:tab w:val="right" w:pos="1202"/>
              </w:tabs>
              <w:spacing w:after="0" w:line="240" w:lineRule="auto"/>
              <w:jc w:val="right"/>
              <w:outlineLvl w:val="0"/>
              <w:rPr>
                <w:rFonts w:ascii="Calibri" w:eastAsia="Times New Roman" w:hAnsi="Calibri" w:cs="Arial"/>
                <w:b/>
                <w:sz w:val="18"/>
                <w:szCs w:val="18"/>
                <w:lang w:val="en-GB"/>
              </w:rPr>
            </w:pPr>
            <w:r w:rsidRPr="008978D0">
              <w:rPr>
                <w:rFonts w:ascii="Calibri" w:eastAsia="Times New Roman" w:hAnsi="Calibri" w:cs="Arial"/>
                <w:b/>
                <w:sz w:val="18"/>
                <w:szCs w:val="18"/>
                <w:lang w:val="en-GB"/>
              </w:rPr>
              <w:t>1 - 3 months</w:t>
            </w:r>
          </w:p>
        </w:tc>
        <w:tc>
          <w:tcPr>
            <w:tcW w:w="1134" w:type="dxa"/>
          </w:tcPr>
          <w:p w14:paraId="2F2AD399" w14:textId="77777777" w:rsidR="008978D0" w:rsidRPr="008978D0" w:rsidRDefault="008978D0" w:rsidP="008978D0">
            <w:pPr>
              <w:tabs>
                <w:tab w:val="right" w:pos="1202"/>
              </w:tabs>
              <w:spacing w:after="0" w:line="240" w:lineRule="auto"/>
              <w:jc w:val="right"/>
              <w:outlineLvl w:val="0"/>
              <w:rPr>
                <w:rFonts w:ascii="Calibri" w:eastAsia="Times New Roman" w:hAnsi="Calibri" w:cs="Arial"/>
                <w:b/>
                <w:sz w:val="18"/>
                <w:szCs w:val="18"/>
                <w:lang w:val="en-GB"/>
              </w:rPr>
            </w:pPr>
            <w:r w:rsidRPr="008978D0">
              <w:rPr>
                <w:rFonts w:ascii="Calibri" w:eastAsia="Times New Roman" w:hAnsi="Calibri" w:cs="Arial"/>
                <w:b/>
                <w:sz w:val="18"/>
                <w:szCs w:val="18"/>
                <w:lang w:val="en-GB"/>
              </w:rPr>
              <w:t xml:space="preserve">3 - 12 </w:t>
            </w:r>
          </w:p>
          <w:p w14:paraId="19045CBE" w14:textId="77777777" w:rsidR="008978D0" w:rsidRPr="008978D0" w:rsidRDefault="008978D0" w:rsidP="008978D0">
            <w:pPr>
              <w:tabs>
                <w:tab w:val="right" w:pos="1202"/>
              </w:tabs>
              <w:spacing w:after="0" w:line="240" w:lineRule="auto"/>
              <w:jc w:val="right"/>
              <w:outlineLvl w:val="0"/>
              <w:rPr>
                <w:rFonts w:ascii="Calibri" w:eastAsia="Times New Roman" w:hAnsi="Calibri" w:cs="Arial"/>
                <w:b/>
                <w:sz w:val="18"/>
                <w:szCs w:val="18"/>
                <w:lang w:val="en-GB"/>
              </w:rPr>
            </w:pPr>
            <w:r w:rsidRPr="008978D0">
              <w:rPr>
                <w:rFonts w:ascii="Calibri" w:eastAsia="Times New Roman" w:hAnsi="Calibri" w:cs="Arial"/>
                <w:b/>
                <w:sz w:val="18"/>
                <w:szCs w:val="18"/>
                <w:lang w:val="en-GB"/>
              </w:rPr>
              <w:t>months</w:t>
            </w:r>
          </w:p>
        </w:tc>
        <w:tc>
          <w:tcPr>
            <w:tcW w:w="1134" w:type="dxa"/>
          </w:tcPr>
          <w:p w14:paraId="5766956D" w14:textId="77777777" w:rsidR="008978D0" w:rsidRPr="008978D0" w:rsidRDefault="008978D0" w:rsidP="008978D0">
            <w:pPr>
              <w:tabs>
                <w:tab w:val="right" w:pos="1202"/>
              </w:tabs>
              <w:spacing w:after="0" w:line="240" w:lineRule="auto"/>
              <w:jc w:val="right"/>
              <w:outlineLvl w:val="0"/>
              <w:rPr>
                <w:rFonts w:ascii="Calibri" w:eastAsia="Times New Roman" w:hAnsi="Calibri" w:cs="Arial"/>
                <w:b/>
                <w:sz w:val="18"/>
                <w:szCs w:val="18"/>
                <w:lang w:val="en-GB"/>
              </w:rPr>
            </w:pPr>
            <w:r w:rsidRPr="008978D0">
              <w:rPr>
                <w:rFonts w:ascii="Calibri" w:eastAsia="Times New Roman" w:hAnsi="Calibri" w:cs="Arial"/>
                <w:b/>
                <w:sz w:val="18"/>
                <w:szCs w:val="18"/>
                <w:lang w:val="en-GB"/>
              </w:rPr>
              <w:t xml:space="preserve">1 - 3 </w:t>
            </w:r>
          </w:p>
          <w:p w14:paraId="157F5D7A" w14:textId="77777777" w:rsidR="008978D0" w:rsidRPr="008978D0" w:rsidRDefault="008978D0" w:rsidP="008978D0">
            <w:pPr>
              <w:tabs>
                <w:tab w:val="right" w:pos="1202"/>
              </w:tabs>
              <w:spacing w:after="0" w:line="240" w:lineRule="auto"/>
              <w:jc w:val="right"/>
              <w:outlineLvl w:val="0"/>
              <w:rPr>
                <w:rFonts w:ascii="Calibri" w:eastAsia="Times New Roman" w:hAnsi="Calibri" w:cs="Arial"/>
                <w:b/>
                <w:sz w:val="18"/>
                <w:szCs w:val="18"/>
                <w:lang w:val="en-GB"/>
              </w:rPr>
            </w:pPr>
            <w:r w:rsidRPr="008978D0">
              <w:rPr>
                <w:rFonts w:ascii="Calibri" w:eastAsia="Times New Roman" w:hAnsi="Calibri" w:cs="Arial"/>
                <w:b/>
                <w:sz w:val="18"/>
                <w:szCs w:val="18"/>
                <w:lang w:val="en-GB"/>
              </w:rPr>
              <w:t>years</w:t>
            </w:r>
          </w:p>
        </w:tc>
        <w:tc>
          <w:tcPr>
            <w:tcW w:w="1134" w:type="dxa"/>
          </w:tcPr>
          <w:p w14:paraId="5231D3DB" w14:textId="77777777" w:rsidR="008978D0" w:rsidRPr="008978D0" w:rsidRDefault="008978D0" w:rsidP="008978D0">
            <w:pPr>
              <w:tabs>
                <w:tab w:val="right" w:pos="1263"/>
              </w:tabs>
              <w:spacing w:after="0" w:line="240" w:lineRule="auto"/>
              <w:jc w:val="right"/>
              <w:outlineLvl w:val="0"/>
              <w:rPr>
                <w:rFonts w:ascii="Calibri" w:eastAsia="Times New Roman" w:hAnsi="Calibri" w:cs="Arial"/>
                <w:b/>
                <w:sz w:val="18"/>
                <w:szCs w:val="18"/>
                <w:lang w:val="en-GB"/>
              </w:rPr>
            </w:pPr>
            <w:r w:rsidRPr="008978D0">
              <w:rPr>
                <w:rFonts w:ascii="Calibri" w:eastAsia="Times New Roman" w:hAnsi="Calibri" w:cs="Arial"/>
                <w:b/>
                <w:sz w:val="18"/>
                <w:szCs w:val="18"/>
                <w:lang w:val="en-GB"/>
              </w:rPr>
              <w:t xml:space="preserve">Over 3 </w:t>
            </w:r>
          </w:p>
          <w:p w14:paraId="5C995DC9" w14:textId="77777777" w:rsidR="008978D0" w:rsidRPr="008978D0" w:rsidRDefault="008978D0" w:rsidP="008978D0">
            <w:pPr>
              <w:tabs>
                <w:tab w:val="right" w:pos="1263"/>
              </w:tabs>
              <w:spacing w:after="0" w:line="240" w:lineRule="auto"/>
              <w:jc w:val="right"/>
              <w:outlineLvl w:val="0"/>
              <w:rPr>
                <w:rFonts w:ascii="Calibri" w:eastAsia="Times New Roman" w:hAnsi="Calibri" w:cs="Arial"/>
                <w:b/>
                <w:sz w:val="18"/>
                <w:szCs w:val="18"/>
                <w:lang w:val="en-GB"/>
              </w:rPr>
            </w:pPr>
            <w:r w:rsidRPr="008978D0">
              <w:rPr>
                <w:rFonts w:ascii="Calibri" w:eastAsia="Times New Roman" w:hAnsi="Calibri" w:cs="Arial"/>
                <w:b/>
                <w:sz w:val="18"/>
                <w:szCs w:val="18"/>
                <w:lang w:val="en-GB"/>
              </w:rPr>
              <w:t>years</w:t>
            </w:r>
          </w:p>
        </w:tc>
        <w:tc>
          <w:tcPr>
            <w:tcW w:w="1134" w:type="dxa"/>
          </w:tcPr>
          <w:p w14:paraId="02AFD113" w14:textId="77777777" w:rsidR="008978D0" w:rsidRPr="008978D0" w:rsidRDefault="008978D0" w:rsidP="008978D0">
            <w:pPr>
              <w:tabs>
                <w:tab w:val="right" w:pos="1202"/>
              </w:tabs>
              <w:spacing w:after="0" w:line="240" w:lineRule="auto"/>
              <w:jc w:val="right"/>
              <w:outlineLvl w:val="0"/>
              <w:rPr>
                <w:rFonts w:ascii="Calibri" w:eastAsia="Times New Roman" w:hAnsi="Calibri" w:cs="Arial"/>
                <w:b/>
                <w:sz w:val="18"/>
                <w:szCs w:val="18"/>
                <w:lang w:val="en-GB"/>
              </w:rPr>
            </w:pPr>
            <w:r w:rsidRPr="008978D0">
              <w:rPr>
                <w:rFonts w:ascii="Calibri" w:eastAsia="Times New Roman" w:hAnsi="Calibri" w:cs="Arial"/>
                <w:b/>
                <w:sz w:val="18"/>
                <w:szCs w:val="18"/>
                <w:lang w:val="en-GB"/>
              </w:rPr>
              <w:t>Total</w:t>
            </w:r>
          </w:p>
        </w:tc>
      </w:tr>
      <w:tr w:rsidR="008978D0" w:rsidRPr="008978D0" w14:paraId="17AC311A" w14:textId="77777777" w:rsidTr="00E44437">
        <w:trPr>
          <w:trHeight w:val="294"/>
          <w:jc w:val="center"/>
        </w:trPr>
        <w:tc>
          <w:tcPr>
            <w:tcW w:w="2979" w:type="dxa"/>
          </w:tcPr>
          <w:p w14:paraId="14ED266B" w14:textId="77777777" w:rsidR="008978D0" w:rsidRPr="008978D0" w:rsidRDefault="008978D0" w:rsidP="008978D0">
            <w:pPr>
              <w:tabs>
                <w:tab w:val="left" w:pos="-720"/>
              </w:tabs>
              <w:suppressAutoHyphens/>
              <w:spacing w:after="0" w:line="240" w:lineRule="auto"/>
              <w:jc w:val="center"/>
              <w:rPr>
                <w:rFonts w:ascii="Calibri" w:eastAsia="Times New Roman" w:hAnsi="Calibri" w:cs="Arial"/>
                <w:b/>
                <w:spacing w:val="-2"/>
                <w:sz w:val="18"/>
                <w:szCs w:val="18"/>
                <w:lang w:val="en-GB"/>
              </w:rPr>
            </w:pPr>
          </w:p>
        </w:tc>
        <w:tc>
          <w:tcPr>
            <w:tcW w:w="1133" w:type="dxa"/>
            <w:vAlign w:val="bottom"/>
          </w:tcPr>
          <w:p w14:paraId="68E7950F" w14:textId="77777777" w:rsidR="008978D0" w:rsidRPr="008978D0" w:rsidRDefault="008978D0" w:rsidP="008978D0">
            <w:pPr>
              <w:tabs>
                <w:tab w:val="right" w:pos="1202"/>
              </w:tabs>
              <w:spacing w:after="0" w:line="240" w:lineRule="auto"/>
              <w:jc w:val="right"/>
              <w:outlineLvl w:val="0"/>
              <w:rPr>
                <w:rFonts w:ascii="Calibri" w:eastAsia="Times New Roman" w:hAnsi="Calibri" w:cs="Arial"/>
                <w:b/>
                <w:sz w:val="18"/>
                <w:szCs w:val="18"/>
                <w:lang w:val="en-GB"/>
              </w:rPr>
            </w:pPr>
            <w:r w:rsidRPr="008978D0">
              <w:rPr>
                <w:rFonts w:ascii="Calibri" w:eastAsia="Times New Roman" w:hAnsi="Calibri" w:cs="Arial"/>
                <w:b/>
                <w:bCs/>
                <w:sz w:val="18"/>
                <w:szCs w:val="18"/>
                <w:lang w:val="en-GB"/>
              </w:rPr>
              <w:t>HRK ‘000</w:t>
            </w:r>
          </w:p>
        </w:tc>
        <w:tc>
          <w:tcPr>
            <w:tcW w:w="1134" w:type="dxa"/>
            <w:vAlign w:val="bottom"/>
          </w:tcPr>
          <w:p w14:paraId="174E5783" w14:textId="77777777" w:rsidR="008978D0" w:rsidRPr="008978D0" w:rsidRDefault="008978D0" w:rsidP="008978D0">
            <w:pPr>
              <w:tabs>
                <w:tab w:val="center" w:pos="4153"/>
                <w:tab w:val="right" w:pos="8306"/>
              </w:tabs>
              <w:spacing w:after="0" w:line="240" w:lineRule="auto"/>
              <w:jc w:val="right"/>
              <w:rPr>
                <w:rFonts w:ascii="Calibri" w:eastAsia="Times New Roman" w:hAnsi="Calibri" w:cs="Arial"/>
                <w:b/>
                <w:spacing w:val="-2"/>
                <w:sz w:val="18"/>
                <w:szCs w:val="18"/>
                <w:lang w:val="en-GB"/>
              </w:rPr>
            </w:pPr>
            <w:r w:rsidRPr="008978D0">
              <w:rPr>
                <w:rFonts w:ascii="Calibri" w:eastAsia="Times New Roman" w:hAnsi="Calibri" w:cs="Arial"/>
                <w:b/>
                <w:spacing w:val="-2"/>
                <w:sz w:val="18"/>
                <w:szCs w:val="18"/>
                <w:lang w:val="en-GB"/>
              </w:rPr>
              <w:t>HRK ‘000</w:t>
            </w:r>
          </w:p>
        </w:tc>
        <w:tc>
          <w:tcPr>
            <w:tcW w:w="1134" w:type="dxa"/>
            <w:vAlign w:val="bottom"/>
          </w:tcPr>
          <w:p w14:paraId="3380081E" w14:textId="77777777" w:rsidR="008978D0" w:rsidRPr="008978D0" w:rsidRDefault="008978D0" w:rsidP="008978D0">
            <w:pPr>
              <w:tabs>
                <w:tab w:val="right" w:pos="1202"/>
              </w:tabs>
              <w:spacing w:after="0" w:line="240" w:lineRule="auto"/>
              <w:jc w:val="right"/>
              <w:outlineLvl w:val="0"/>
              <w:rPr>
                <w:rFonts w:ascii="Calibri" w:eastAsia="Times New Roman" w:hAnsi="Calibri" w:cs="Arial"/>
                <w:b/>
                <w:sz w:val="18"/>
                <w:szCs w:val="18"/>
                <w:lang w:val="en-GB"/>
              </w:rPr>
            </w:pPr>
            <w:r w:rsidRPr="008978D0">
              <w:rPr>
                <w:rFonts w:ascii="Calibri" w:eastAsia="Times New Roman" w:hAnsi="Calibri" w:cs="Arial"/>
                <w:b/>
                <w:bCs/>
                <w:sz w:val="18"/>
                <w:szCs w:val="18"/>
                <w:lang w:val="en-GB"/>
              </w:rPr>
              <w:t>HRK ‘000</w:t>
            </w:r>
          </w:p>
        </w:tc>
        <w:tc>
          <w:tcPr>
            <w:tcW w:w="1134" w:type="dxa"/>
            <w:vAlign w:val="bottom"/>
          </w:tcPr>
          <w:p w14:paraId="51C44455" w14:textId="77777777" w:rsidR="008978D0" w:rsidRPr="008978D0" w:rsidRDefault="008978D0" w:rsidP="008978D0">
            <w:pPr>
              <w:tabs>
                <w:tab w:val="right" w:pos="1202"/>
              </w:tabs>
              <w:spacing w:after="0" w:line="240" w:lineRule="auto"/>
              <w:jc w:val="right"/>
              <w:outlineLvl w:val="0"/>
              <w:rPr>
                <w:rFonts w:ascii="Calibri" w:eastAsia="Times New Roman" w:hAnsi="Calibri" w:cs="Arial"/>
                <w:b/>
                <w:sz w:val="18"/>
                <w:szCs w:val="18"/>
                <w:lang w:val="en-GB"/>
              </w:rPr>
            </w:pPr>
            <w:r w:rsidRPr="008978D0">
              <w:rPr>
                <w:rFonts w:ascii="Calibri" w:eastAsia="Times New Roman" w:hAnsi="Calibri" w:cs="Arial"/>
                <w:b/>
                <w:bCs/>
                <w:sz w:val="18"/>
                <w:szCs w:val="18"/>
                <w:lang w:val="en-GB"/>
              </w:rPr>
              <w:t>HRK ‘000</w:t>
            </w:r>
          </w:p>
        </w:tc>
        <w:tc>
          <w:tcPr>
            <w:tcW w:w="1134" w:type="dxa"/>
            <w:vAlign w:val="bottom"/>
          </w:tcPr>
          <w:p w14:paraId="717E5E1F" w14:textId="77777777" w:rsidR="008978D0" w:rsidRPr="008978D0" w:rsidRDefault="008978D0" w:rsidP="008978D0">
            <w:pPr>
              <w:tabs>
                <w:tab w:val="right" w:pos="1263"/>
              </w:tabs>
              <w:spacing w:after="0" w:line="240" w:lineRule="auto"/>
              <w:jc w:val="right"/>
              <w:outlineLvl w:val="0"/>
              <w:rPr>
                <w:rFonts w:ascii="Calibri" w:eastAsia="Times New Roman" w:hAnsi="Calibri" w:cs="Arial"/>
                <w:b/>
                <w:sz w:val="18"/>
                <w:szCs w:val="18"/>
                <w:lang w:val="en-GB"/>
              </w:rPr>
            </w:pPr>
            <w:r w:rsidRPr="008978D0">
              <w:rPr>
                <w:rFonts w:ascii="Calibri" w:eastAsia="Times New Roman" w:hAnsi="Calibri" w:cs="Arial"/>
                <w:b/>
                <w:bCs/>
                <w:sz w:val="18"/>
                <w:szCs w:val="18"/>
                <w:lang w:val="en-GB"/>
              </w:rPr>
              <w:t>HRK ‘000</w:t>
            </w:r>
          </w:p>
        </w:tc>
        <w:tc>
          <w:tcPr>
            <w:tcW w:w="1134" w:type="dxa"/>
            <w:vAlign w:val="bottom"/>
          </w:tcPr>
          <w:p w14:paraId="17EDC506" w14:textId="77777777" w:rsidR="008978D0" w:rsidRPr="008978D0" w:rsidRDefault="008978D0" w:rsidP="008978D0">
            <w:pPr>
              <w:tabs>
                <w:tab w:val="right" w:pos="1202"/>
              </w:tabs>
              <w:spacing w:after="0" w:line="240" w:lineRule="auto"/>
              <w:jc w:val="right"/>
              <w:outlineLvl w:val="0"/>
              <w:rPr>
                <w:rFonts w:ascii="Calibri" w:eastAsia="Times New Roman" w:hAnsi="Calibri" w:cs="Arial"/>
                <w:b/>
                <w:sz w:val="18"/>
                <w:szCs w:val="18"/>
                <w:lang w:val="en-GB"/>
              </w:rPr>
            </w:pPr>
            <w:r w:rsidRPr="008978D0">
              <w:rPr>
                <w:rFonts w:ascii="Calibri" w:eastAsia="Times New Roman" w:hAnsi="Calibri" w:cs="Arial"/>
                <w:b/>
                <w:bCs/>
                <w:sz w:val="18"/>
                <w:szCs w:val="18"/>
                <w:lang w:val="en-GB"/>
              </w:rPr>
              <w:t>HRK ‘000</w:t>
            </w:r>
          </w:p>
        </w:tc>
      </w:tr>
      <w:tr w:rsidR="008978D0" w:rsidRPr="008978D0" w14:paraId="7438DAE5" w14:textId="77777777" w:rsidTr="00E44437">
        <w:trPr>
          <w:trHeight w:hRule="exact" w:val="284"/>
          <w:jc w:val="center"/>
        </w:trPr>
        <w:tc>
          <w:tcPr>
            <w:tcW w:w="2979" w:type="dxa"/>
          </w:tcPr>
          <w:p w14:paraId="43E47595" w14:textId="77777777" w:rsidR="008978D0" w:rsidRPr="008978D0" w:rsidRDefault="008978D0" w:rsidP="008978D0">
            <w:pPr>
              <w:tabs>
                <w:tab w:val="right" w:pos="1202"/>
              </w:tabs>
              <w:spacing w:after="0" w:line="240" w:lineRule="auto"/>
              <w:outlineLvl w:val="0"/>
              <w:rPr>
                <w:rFonts w:ascii="Calibri" w:eastAsia="Times New Roman" w:hAnsi="Calibri" w:cs="Arial"/>
                <w:b/>
                <w:bCs/>
                <w:sz w:val="18"/>
                <w:szCs w:val="18"/>
                <w:lang w:val="en-GB"/>
              </w:rPr>
            </w:pPr>
            <w:r w:rsidRPr="008978D0">
              <w:rPr>
                <w:rFonts w:ascii="Calibri" w:eastAsia="Times New Roman" w:hAnsi="Calibri" w:cs="Arial"/>
                <w:b/>
                <w:bCs/>
                <w:sz w:val="18"/>
                <w:szCs w:val="18"/>
                <w:lang w:val="en-GB"/>
              </w:rPr>
              <w:t>Financial liabilities</w:t>
            </w:r>
          </w:p>
        </w:tc>
        <w:tc>
          <w:tcPr>
            <w:tcW w:w="1133" w:type="dxa"/>
            <w:vAlign w:val="bottom"/>
          </w:tcPr>
          <w:p w14:paraId="2E7FA561" w14:textId="77777777" w:rsidR="008978D0" w:rsidRPr="008978D0" w:rsidRDefault="008978D0" w:rsidP="008978D0">
            <w:pPr>
              <w:spacing w:after="0" w:line="240" w:lineRule="auto"/>
              <w:jc w:val="right"/>
              <w:outlineLvl w:val="0"/>
              <w:rPr>
                <w:rFonts w:ascii="Calibri" w:eastAsia="Times New Roman" w:hAnsi="Calibri" w:cs="Arial"/>
                <w:b/>
                <w:bCs/>
                <w:spacing w:val="-2"/>
                <w:sz w:val="18"/>
                <w:szCs w:val="18"/>
                <w:lang w:val="en-GB"/>
              </w:rPr>
            </w:pPr>
          </w:p>
        </w:tc>
        <w:tc>
          <w:tcPr>
            <w:tcW w:w="1134" w:type="dxa"/>
            <w:vAlign w:val="bottom"/>
          </w:tcPr>
          <w:p w14:paraId="71F84251" w14:textId="77777777" w:rsidR="008978D0" w:rsidRPr="008978D0" w:rsidRDefault="008978D0" w:rsidP="008978D0">
            <w:pPr>
              <w:spacing w:after="0" w:line="240" w:lineRule="auto"/>
              <w:jc w:val="right"/>
              <w:outlineLvl w:val="0"/>
              <w:rPr>
                <w:rFonts w:ascii="Calibri" w:eastAsia="Times New Roman" w:hAnsi="Calibri" w:cs="Arial"/>
                <w:b/>
                <w:bCs/>
                <w:spacing w:val="-2"/>
                <w:sz w:val="18"/>
                <w:szCs w:val="18"/>
                <w:lang w:val="en-GB"/>
              </w:rPr>
            </w:pPr>
          </w:p>
        </w:tc>
        <w:tc>
          <w:tcPr>
            <w:tcW w:w="1134" w:type="dxa"/>
            <w:vAlign w:val="bottom"/>
          </w:tcPr>
          <w:p w14:paraId="5C151396" w14:textId="77777777" w:rsidR="008978D0" w:rsidRPr="008978D0" w:rsidRDefault="008978D0" w:rsidP="008978D0">
            <w:pPr>
              <w:spacing w:after="0" w:line="240" w:lineRule="auto"/>
              <w:jc w:val="right"/>
              <w:outlineLvl w:val="0"/>
              <w:rPr>
                <w:rFonts w:ascii="Calibri" w:eastAsia="Times New Roman" w:hAnsi="Calibri" w:cs="Arial"/>
                <w:b/>
                <w:bCs/>
                <w:spacing w:val="-2"/>
                <w:sz w:val="18"/>
                <w:szCs w:val="18"/>
                <w:lang w:val="en-GB"/>
              </w:rPr>
            </w:pPr>
          </w:p>
        </w:tc>
        <w:tc>
          <w:tcPr>
            <w:tcW w:w="1134" w:type="dxa"/>
            <w:vAlign w:val="bottom"/>
          </w:tcPr>
          <w:p w14:paraId="2F9D4C91" w14:textId="77777777" w:rsidR="008978D0" w:rsidRPr="008978D0" w:rsidRDefault="008978D0" w:rsidP="008978D0">
            <w:pPr>
              <w:spacing w:after="0" w:line="240" w:lineRule="auto"/>
              <w:jc w:val="right"/>
              <w:outlineLvl w:val="0"/>
              <w:rPr>
                <w:rFonts w:ascii="Calibri" w:eastAsia="Times New Roman" w:hAnsi="Calibri" w:cs="Arial"/>
                <w:b/>
                <w:bCs/>
                <w:spacing w:val="-2"/>
                <w:sz w:val="18"/>
                <w:szCs w:val="18"/>
                <w:lang w:val="en-GB"/>
              </w:rPr>
            </w:pPr>
          </w:p>
        </w:tc>
        <w:tc>
          <w:tcPr>
            <w:tcW w:w="1134" w:type="dxa"/>
            <w:vAlign w:val="bottom"/>
          </w:tcPr>
          <w:p w14:paraId="408F1FCE" w14:textId="77777777" w:rsidR="008978D0" w:rsidRPr="008978D0" w:rsidRDefault="008978D0" w:rsidP="008978D0">
            <w:pPr>
              <w:tabs>
                <w:tab w:val="right" w:pos="1263"/>
              </w:tabs>
              <w:spacing w:after="0" w:line="240" w:lineRule="auto"/>
              <w:jc w:val="right"/>
              <w:outlineLvl w:val="0"/>
              <w:rPr>
                <w:rFonts w:ascii="Calibri" w:eastAsia="Times New Roman" w:hAnsi="Calibri" w:cs="Arial"/>
                <w:b/>
                <w:bCs/>
                <w:spacing w:val="-2"/>
                <w:sz w:val="18"/>
                <w:szCs w:val="18"/>
                <w:lang w:val="en-GB"/>
              </w:rPr>
            </w:pPr>
          </w:p>
        </w:tc>
        <w:tc>
          <w:tcPr>
            <w:tcW w:w="1134" w:type="dxa"/>
            <w:vAlign w:val="bottom"/>
          </w:tcPr>
          <w:p w14:paraId="4DC40677" w14:textId="77777777" w:rsidR="008978D0" w:rsidRPr="008978D0" w:rsidRDefault="008978D0" w:rsidP="008978D0">
            <w:pPr>
              <w:spacing w:after="0" w:line="240" w:lineRule="auto"/>
              <w:jc w:val="right"/>
              <w:outlineLvl w:val="0"/>
              <w:rPr>
                <w:rFonts w:ascii="Calibri" w:eastAsia="Times New Roman" w:hAnsi="Calibri" w:cs="Arial"/>
                <w:b/>
                <w:bCs/>
                <w:sz w:val="18"/>
                <w:szCs w:val="18"/>
                <w:lang w:val="en-GB"/>
              </w:rPr>
            </w:pPr>
          </w:p>
        </w:tc>
      </w:tr>
      <w:tr w:rsidR="008978D0" w:rsidRPr="008978D0" w14:paraId="1EB2888C" w14:textId="77777777" w:rsidTr="00E44437">
        <w:trPr>
          <w:trHeight w:hRule="exact" w:val="227"/>
          <w:jc w:val="center"/>
        </w:trPr>
        <w:tc>
          <w:tcPr>
            <w:tcW w:w="2979" w:type="dxa"/>
            <w:vAlign w:val="bottom"/>
          </w:tcPr>
          <w:p w14:paraId="443270F6" w14:textId="77777777" w:rsidR="008978D0" w:rsidRPr="008978D0" w:rsidRDefault="008978D0" w:rsidP="008978D0">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8978D0">
              <w:rPr>
                <w:rFonts w:ascii="Calibri" w:eastAsia="Times New Roman" w:hAnsi="Calibri" w:cs="Arial"/>
                <w:sz w:val="18"/>
                <w:szCs w:val="18"/>
                <w:lang w:val="en-GB"/>
              </w:rPr>
              <w:t>Deposits from customers</w:t>
            </w:r>
          </w:p>
        </w:tc>
        <w:tc>
          <w:tcPr>
            <w:tcW w:w="1133" w:type="dxa"/>
            <w:tcBorders>
              <w:top w:val="nil"/>
              <w:left w:val="nil"/>
              <w:bottom w:val="nil"/>
              <w:right w:val="nil"/>
            </w:tcBorders>
            <w:shd w:val="clear" w:color="auto" w:fill="auto"/>
            <w:vAlign w:val="bottom"/>
          </w:tcPr>
          <w:p w14:paraId="5E246B40" w14:textId="77777777" w:rsidR="008978D0" w:rsidRPr="008978D0" w:rsidRDefault="008978D0" w:rsidP="008978D0">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22" w:name="_Toc67330278"/>
            <w:r w:rsidRPr="008978D0">
              <w:rPr>
                <w:rFonts w:ascii="Calibri" w:eastAsia="Times New Roman" w:hAnsi="Calibri" w:cs="Times New Roman"/>
                <w:color w:val="000000"/>
                <w:sz w:val="18"/>
                <w:szCs w:val="18"/>
                <w:lang w:val="en-US"/>
              </w:rPr>
              <w:t>622,284</w:t>
            </w:r>
            <w:bookmarkEnd w:id="922"/>
          </w:p>
        </w:tc>
        <w:tc>
          <w:tcPr>
            <w:tcW w:w="1134" w:type="dxa"/>
            <w:tcBorders>
              <w:top w:val="nil"/>
              <w:left w:val="nil"/>
              <w:bottom w:val="nil"/>
              <w:right w:val="nil"/>
            </w:tcBorders>
            <w:shd w:val="clear" w:color="auto" w:fill="auto"/>
            <w:vAlign w:val="bottom"/>
          </w:tcPr>
          <w:p w14:paraId="363366F1" w14:textId="77777777" w:rsidR="008978D0" w:rsidRPr="008978D0" w:rsidRDefault="008978D0" w:rsidP="008978D0">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23" w:name="_Toc67330279"/>
            <w:r w:rsidRPr="008978D0">
              <w:rPr>
                <w:rFonts w:ascii="Calibri" w:eastAsia="Times New Roman" w:hAnsi="Calibri" w:cs="Times New Roman"/>
                <w:color w:val="000000"/>
                <w:sz w:val="18"/>
                <w:szCs w:val="18"/>
                <w:lang w:val="en-US"/>
              </w:rPr>
              <w:t>22,169</w:t>
            </w:r>
            <w:bookmarkEnd w:id="923"/>
          </w:p>
        </w:tc>
        <w:tc>
          <w:tcPr>
            <w:tcW w:w="1134" w:type="dxa"/>
            <w:tcBorders>
              <w:top w:val="nil"/>
              <w:left w:val="nil"/>
              <w:bottom w:val="nil"/>
              <w:right w:val="nil"/>
            </w:tcBorders>
            <w:shd w:val="clear" w:color="auto" w:fill="auto"/>
            <w:vAlign w:val="bottom"/>
          </w:tcPr>
          <w:p w14:paraId="6D010C95" w14:textId="77777777" w:rsidR="008978D0" w:rsidRPr="008978D0" w:rsidRDefault="008978D0" w:rsidP="008978D0">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24" w:name="_Toc67330280"/>
            <w:r w:rsidRPr="008978D0">
              <w:rPr>
                <w:rFonts w:ascii="Calibri" w:eastAsia="Times New Roman" w:hAnsi="Calibri" w:cs="Times New Roman"/>
                <w:color w:val="000000"/>
                <w:sz w:val="18"/>
                <w:szCs w:val="18"/>
                <w:lang w:val="en-US"/>
              </w:rPr>
              <w:t>105,183</w:t>
            </w:r>
            <w:bookmarkEnd w:id="924"/>
          </w:p>
        </w:tc>
        <w:tc>
          <w:tcPr>
            <w:tcW w:w="1134" w:type="dxa"/>
            <w:tcBorders>
              <w:top w:val="nil"/>
              <w:left w:val="nil"/>
              <w:bottom w:val="nil"/>
              <w:right w:val="nil"/>
            </w:tcBorders>
            <w:shd w:val="clear" w:color="auto" w:fill="auto"/>
            <w:vAlign w:val="bottom"/>
          </w:tcPr>
          <w:p w14:paraId="5C4C9295" w14:textId="77777777" w:rsidR="008978D0" w:rsidRPr="008978D0" w:rsidRDefault="008978D0" w:rsidP="008978D0">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25" w:name="_Toc67330281"/>
            <w:r w:rsidRPr="008978D0">
              <w:rPr>
                <w:rFonts w:ascii="Calibri" w:eastAsia="Times New Roman" w:hAnsi="Calibri" w:cs="Times New Roman"/>
                <w:color w:val="000000"/>
                <w:sz w:val="18"/>
                <w:szCs w:val="18"/>
                <w:lang w:val="en-US"/>
              </w:rPr>
              <w:t>95,453</w:t>
            </w:r>
            <w:bookmarkEnd w:id="925"/>
          </w:p>
        </w:tc>
        <w:tc>
          <w:tcPr>
            <w:tcW w:w="1134" w:type="dxa"/>
            <w:tcBorders>
              <w:top w:val="nil"/>
              <w:left w:val="nil"/>
              <w:bottom w:val="nil"/>
              <w:right w:val="nil"/>
            </w:tcBorders>
            <w:shd w:val="clear" w:color="auto" w:fill="auto"/>
            <w:vAlign w:val="bottom"/>
          </w:tcPr>
          <w:p w14:paraId="00A0520C" w14:textId="77777777" w:rsidR="008978D0" w:rsidRPr="008978D0" w:rsidRDefault="008978D0" w:rsidP="008978D0">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26" w:name="_Toc67330282"/>
            <w:r w:rsidRPr="008978D0">
              <w:rPr>
                <w:rFonts w:ascii="Calibri" w:eastAsia="Times New Roman" w:hAnsi="Calibri" w:cs="Times New Roman"/>
                <w:color w:val="000000"/>
                <w:sz w:val="18"/>
                <w:szCs w:val="18"/>
                <w:lang w:val="en-US"/>
              </w:rPr>
              <w:t>115,452</w:t>
            </w:r>
            <w:bookmarkEnd w:id="926"/>
          </w:p>
        </w:tc>
        <w:tc>
          <w:tcPr>
            <w:tcW w:w="1134" w:type="dxa"/>
            <w:tcBorders>
              <w:top w:val="nil"/>
              <w:left w:val="nil"/>
              <w:bottom w:val="nil"/>
              <w:right w:val="nil"/>
            </w:tcBorders>
            <w:shd w:val="clear" w:color="auto" w:fill="auto"/>
            <w:vAlign w:val="bottom"/>
          </w:tcPr>
          <w:p w14:paraId="217849C3" w14:textId="77777777" w:rsidR="008978D0" w:rsidRPr="008978D0" w:rsidRDefault="008978D0" w:rsidP="008978D0">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27" w:name="_Toc67330283"/>
            <w:r w:rsidRPr="008978D0">
              <w:rPr>
                <w:rFonts w:ascii="Calibri" w:eastAsia="Times New Roman" w:hAnsi="Calibri" w:cs="Times New Roman"/>
                <w:color w:val="000000"/>
                <w:sz w:val="18"/>
                <w:szCs w:val="18"/>
                <w:lang w:val="en-US"/>
              </w:rPr>
              <w:t>960,541</w:t>
            </w:r>
            <w:bookmarkEnd w:id="927"/>
          </w:p>
        </w:tc>
      </w:tr>
      <w:tr w:rsidR="008978D0" w:rsidRPr="008978D0" w14:paraId="66A0F6D7" w14:textId="77777777" w:rsidTr="00E44437">
        <w:trPr>
          <w:trHeight w:hRule="exact" w:val="227"/>
          <w:jc w:val="center"/>
        </w:trPr>
        <w:tc>
          <w:tcPr>
            <w:tcW w:w="2979" w:type="dxa"/>
            <w:vAlign w:val="bottom"/>
          </w:tcPr>
          <w:p w14:paraId="422D2582" w14:textId="77777777" w:rsidR="008978D0" w:rsidRPr="008978D0" w:rsidRDefault="008978D0" w:rsidP="008978D0">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8978D0">
              <w:rPr>
                <w:rFonts w:ascii="Calibri" w:eastAsia="Times New Roman" w:hAnsi="Calibri" w:cs="Arial"/>
                <w:sz w:val="18"/>
                <w:szCs w:val="18"/>
                <w:lang w:val="en-GB"/>
              </w:rPr>
              <w:t>Borrowings</w:t>
            </w:r>
          </w:p>
        </w:tc>
        <w:tc>
          <w:tcPr>
            <w:tcW w:w="1133" w:type="dxa"/>
            <w:tcBorders>
              <w:top w:val="nil"/>
              <w:left w:val="nil"/>
              <w:bottom w:val="nil"/>
              <w:right w:val="nil"/>
            </w:tcBorders>
            <w:shd w:val="clear" w:color="auto" w:fill="auto"/>
            <w:vAlign w:val="bottom"/>
          </w:tcPr>
          <w:p w14:paraId="5904C8B9" w14:textId="77777777" w:rsidR="008978D0" w:rsidRPr="008978D0" w:rsidRDefault="008978D0" w:rsidP="008978D0">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28" w:name="_Toc67330285"/>
            <w:r w:rsidRPr="008978D0">
              <w:rPr>
                <w:rFonts w:ascii="Calibri" w:eastAsia="Times New Roman" w:hAnsi="Calibri" w:cs="Times New Roman"/>
                <w:color w:val="000000"/>
                <w:sz w:val="18"/>
                <w:szCs w:val="18"/>
                <w:lang w:val="en-US"/>
              </w:rPr>
              <w:t>258,366</w:t>
            </w:r>
            <w:bookmarkEnd w:id="928"/>
          </w:p>
        </w:tc>
        <w:tc>
          <w:tcPr>
            <w:tcW w:w="1134" w:type="dxa"/>
            <w:tcBorders>
              <w:top w:val="nil"/>
              <w:left w:val="nil"/>
              <w:bottom w:val="nil"/>
              <w:right w:val="nil"/>
            </w:tcBorders>
            <w:shd w:val="clear" w:color="auto" w:fill="auto"/>
            <w:vAlign w:val="bottom"/>
          </w:tcPr>
          <w:p w14:paraId="2795574C" w14:textId="77777777" w:rsidR="008978D0" w:rsidRPr="008978D0" w:rsidRDefault="008978D0" w:rsidP="008978D0">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29" w:name="_Toc67330286"/>
            <w:r w:rsidRPr="008978D0">
              <w:rPr>
                <w:rFonts w:ascii="Calibri" w:eastAsia="Times New Roman" w:hAnsi="Calibri" w:cs="Times New Roman"/>
                <w:color w:val="000000"/>
                <w:sz w:val="18"/>
                <w:szCs w:val="18"/>
                <w:lang w:val="en-US"/>
              </w:rPr>
              <w:t>315,326</w:t>
            </w:r>
            <w:bookmarkEnd w:id="929"/>
          </w:p>
        </w:tc>
        <w:tc>
          <w:tcPr>
            <w:tcW w:w="1134" w:type="dxa"/>
            <w:tcBorders>
              <w:top w:val="nil"/>
              <w:left w:val="nil"/>
              <w:bottom w:val="nil"/>
              <w:right w:val="nil"/>
            </w:tcBorders>
            <w:shd w:val="clear" w:color="auto" w:fill="auto"/>
            <w:vAlign w:val="bottom"/>
          </w:tcPr>
          <w:p w14:paraId="2742BC47" w14:textId="77777777" w:rsidR="008978D0" w:rsidRPr="008978D0" w:rsidRDefault="008978D0" w:rsidP="008978D0">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30" w:name="_Toc67330287"/>
            <w:r w:rsidRPr="008978D0">
              <w:rPr>
                <w:rFonts w:ascii="Calibri" w:eastAsia="Times New Roman" w:hAnsi="Calibri" w:cs="Times New Roman"/>
                <w:color w:val="000000"/>
                <w:sz w:val="18"/>
                <w:szCs w:val="18"/>
                <w:lang w:val="en-US"/>
              </w:rPr>
              <w:t>1,927,599</w:t>
            </w:r>
            <w:bookmarkEnd w:id="930"/>
          </w:p>
        </w:tc>
        <w:tc>
          <w:tcPr>
            <w:tcW w:w="1134" w:type="dxa"/>
            <w:tcBorders>
              <w:top w:val="nil"/>
              <w:left w:val="nil"/>
              <w:bottom w:val="nil"/>
              <w:right w:val="nil"/>
            </w:tcBorders>
            <w:shd w:val="clear" w:color="auto" w:fill="auto"/>
            <w:vAlign w:val="bottom"/>
          </w:tcPr>
          <w:p w14:paraId="463DB613" w14:textId="77777777" w:rsidR="008978D0" w:rsidRPr="008978D0" w:rsidRDefault="008978D0" w:rsidP="008978D0">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31" w:name="_Toc67330288"/>
            <w:r w:rsidRPr="008978D0">
              <w:rPr>
                <w:rFonts w:ascii="Calibri" w:eastAsia="Times New Roman" w:hAnsi="Calibri" w:cs="Times New Roman"/>
                <w:color w:val="000000"/>
                <w:sz w:val="18"/>
                <w:szCs w:val="18"/>
                <w:lang w:val="en-US"/>
              </w:rPr>
              <w:t>5,992,204</w:t>
            </w:r>
            <w:bookmarkEnd w:id="931"/>
          </w:p>
        </w:tc>
        <w:tc>
          <w:tcPr>
            <w:tcW w:w="1134" w:type="dxa"/>
            <w:tcBorders>
              <w:top w:val="nil"/>
              <w:left w:val="nil"/>
              <w:bottom w:val="nil"/>
              <w:right w:val="nil"/>
            </w:tcBorders>
            <w:shd w:val="clear" w:color="auto" w:fill="auto"/>
            <w:vAlign w:val="bottom"/>
          </w:tcPr>
          <w:p w14:paraId="487EDF47" w14:textId="77777777" w:rsidR="008978D0" w:rsidRPr="008978D0" w:rsidRDefault="008978D0" w:rsidP="008978D0">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32" w:name="_Toc67330289"/>
            <w:r w:rsidRPr="008978D0">
              <w:rPr>
                <w:rFonts w:ascii="Calibri" w:eastAsia="Times New Roman" w:hAnsi="Calibri" w:cs="Times New Roman"/>
                <w:color w:val="000000"/>
                <w:sz w:val="18"/>
                <w:szCs w:val="18"/>
                <w:lang w:val="en-US"/>
              </w:rPr>
              <w:t>8,623,885</w:t>
            </w:r>
            <w:bookmarkEnd w:id="932"/>
          </w:p>
        </w:tc>
        <w:tc>
          <w:tcPr>
            <w:tcW w:w="1134" w:type="dxa"/>
            <w:tcBorders>
              <w:top w:val="nil"/>
              <w:left w:val="nil"/>
              <w:bottom w:val="nil"/>
              <w:right w:val="nil"/>
            </w:tcBorders>
            <w:shd w:val="clear" w:color="auto" w:fill="auto"/>
            <w:vAlign w:val="bottom"/>
          </w:tcPr>
          <w:p w14:paraId="4648819B" w14:textId="77777777" w:rsidR="008978D0" w:rsidRPr="008978D0" w:rsidRDefault="008978D0" w:rsidP="008978D0">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33" w:name="_Toc67330290"/>
            <w:r w:rsidRPr="008978D0">
              <w:rPr>
                <w:rFonts w:ascii="Calibri" w:eastAsia="Times New Roman" w:hAnsi="Calibri" w:cs="Times New Roman"/>
                <w:color w:val="000000"/>
                <w:sz w:val="18"/>
                <w:szCs w:val="18"/>
                <w:lang w:val="en-US"/>
              </w:rPr>
              <w:t>17,117,380</w:t>
            </w:r>
            <w:bookmarkEnd w:id="933"/>
          </w:p>
        </w:tc>
      </w:tr>
      <w:tr w:rsidR="008978D0" w:rsidRPr="008978D0" w14:paraId="7084B5F4" w14:textId="77777777" w:rsidTr="00E44437">
        <w:trPr>
          <w:trHeight w:hRule="exact" w:val="430"/>
          <w:jc w:val="center"/>
        </w:trPr>
        <w:tc>
          <w:tcPr>
            <w:tcW w:w="2979" w:type="dxa"/>
            <w:vAlign w:val="bottom"/>
          </w:tcPr>
          <w:p w14:paraId="482A86A6" w14:textId="77777777" w:rsidR="008978D0" w:rsidRPr="008978D0" w:rsidRDefault="008978D0" w:rsidP="008978D0">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8978D0">
              <w:rPr>
                <w:rFonts w:ascii="Calibri" w:eastAsia="Times New Roman" w:hAnsi="Calibri" w:cs="Arial"/>
                <w:sz w:val="18"/>
                <w:szCs w:val="18"/>
                <w:lang w:val="en-GB"/>
              </w:rPr>
              <w:t xml:space="preserve">Provisions for guarantees, </w:t>
            </w:r>
            <w:proofErr w:type="gramStart"/>
            <w:r w:rsidRPr="008978D0">
              <w:rPr>
                <w:rFonts w:ascii="Calibri" w:eastAsia="Times New Roman" w:hAnsi="Calibri" w:cs="Arial"/>
                <w:sz w:val="18"/>
                <w:szCs w:val="18"/>
                <w:lang w:val="en-GB"/>
              </w:rPr>
              <w:t>commitments</w:t>
            </w:r>
            <w:proofErr w:type="gramEnd"/>
            <w:r w:rsidRPr="008978D0">
              <w:rPr>
                <w:rFonts w:ascii="Calibri" w:eastAsia="Times New Roman" w:hAnsi="Calibri" w:cs="Arial"/>
                <w:sz w:val="18"/>
                <w:szCs w:val="18"/>
                <w:lang w:val="en-GB"/>
              </w:rPr>
              <w:t xml:space="preserve"> and other liabilities</w:t>
            </w:r>
          </w:p>
        </w:tc>
        <w:tc>
          <w:tcPr>
            <w:tcW w:w="1133" w:type="dxa"/>
            <w:tcBorders>
              <w:top w:val="nil"/>
              <w:left w:val="nil"/>
              <w:right w:val="nil"/>
            </w:tcBorders>
            <w:shd w:val="clear" w:color="auto" w:fill="auto"/>
            <w:vAlign w:val="bottom"/>
          </w:tcPr>
          <w:p w14:paraId="227C6167" w14:textId="77777777" w:rsidR="008978D0" w:rsidRPr="008978D0" w:rsidRDefault="008978D0" w:rsidP="008978D0">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bookmarkStart w:id="934" w:name="_Toc67330299"/>
            <w:r w:rsidRPr="008978D0">
              <w:rPr>
                <w:rFonts w:ascii="Calibri" w:eastAsia="Times New Roman" w:hAnsi="Calibri" w:cs="Times New Roman"/>
                <w:color w:val="000000"/>
                <w:sz w:val="18"/>
                <w:szCs w:val="18"/>
                <w:lang w:val="en-US"/>
              </w:rPr>
              <w:t>105,893</w:t>
            </w:r>
            <w:bookmarkEnd w:id="934"/>
          </w:p>
        </w:tc>
        <w:tc>
          <w:tcPr>
            <w:tcW w:w="1134" w:type="dxa"/>
            <w:tcBorders>
              <w:top w:val="nil"/>
              <w:left w:val="nil"/>
              <w:right w:val="nil"/>
            </w:tcBorders>
            <w:shd w:val="clear" w:color="auto" w:fill="auto"/>
            <w:vAlign w:val="bottom"/>
          </w:tcPr>
          <w:p w14:paraId="18B170C1" w14:textId="77777777" w:rsidR="008978D0" w:rsidRPr="008978D0" w:rsidRDefault="008978D0" w:rsidP="008978D0">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bookmarkStart w:id="935" w:name="_Toc67330300"/>
            <w:r w:rsidRPr="008978D0">
              <w:rPr>
                <w:rFonts w:ascii="Calibri" w:eastAsia="Times New Roman" w:hAnsi="Calibri" w:cs="Times New Roman"/>
                <w:color w:val="000000"/>
                <w:sz w:val="18"/>
                <w:szCs w:val="18"/>
                <w:lang w:val="en-US"/>
              </w:rPr>
              <w:t>5,962</w:t>
            </w:r>
            <w:bookmarkEnd w:id="935"/>
          </w:p>
        </w:tc>
        <w:tc>
          <w:tcPr>
            <w:tcW w:w="1134" w:type="dxa"/>
            <w:tcBorders>
              <w:top w:val="nil"/>
              <w:left w:val="nil"/>
              <w:right w:val="nil"/>
            </w:tcBorders>
            <w:shd w:val="clear" w:color="auto" w:fill="auto"/>
            <w:vAlign w:val="bottom"/>
          </w:tcPr>
          <w:p w14:paraId="6A3F68C3" w14:textId="77777777" w:rsidR="008978D0" w:rsidRPr="008978D0" w:rsidRDefault="008978D0" w:rsidP="008978D0">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bookmarkStart w:id="936" w:name="_Toc67330301"/>
            <w:r w:rsidRPr="008978D0">
              <w:rPr>
                <w:rFonts w:ascii="Calibri" w:eastAsia="Times New Roman" w:hAnsi="Calibri" w:cs="Times New Roman"/>
                <w:color w:val="000000"/>
                <w:sz w:val="18"/>
                <w:szCs w:val="18"/>
                <w:lang w:val="en-US"/>
              </w:rPr>
              <w:t>20,072</w:t>
            </w:r>
            <w:bookmarkEnd w:id="936"/>
          </w:p>
        </w:tc>
        <w:tc>
          <w:tcPr>
            <w:tcW w:w="1134" w:type="dxa"/>
            <w:tcBorders>
              <w:top w:val="nil"/>
              <w:left w:val="nil"/>
              <w:right w:val="nil"/>
            </w:tcBorders>
            <w:shd w:val="clear" w:color="auto" w:fill="auto"/>
            <w:vAlign w:val="bottom"/>
          </w:tcPr>
          <w:p w14:paraId="1DA2FA14" w14:textId="77777777" w:rsidR="008978D0" w:rsidRPr="008978D0" w:rsidRDefault="008978D0" w:rsidP="008978D0">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bookmarkStart w:id="937" w:name="_Toc67330302"/>
            <w:r w:rsidRPr="008978D0">
              <w:rPr>
                <w:rFonts w:ascii="Calibri" w:eastAsia="Times New Roman" w:hAnsi="Calibri" w:cs="Times New Roman"/>
                <w:color w:val="000000"/>
                <w:sz w:val="18"/>
                <w:szCs w:val="18"/>
                <w:lang w:val="en-US"/>
              </w:rPr>
              <w:t>30,577</w:t>
            </w:r>
            <w:bookmarkEnd w:id="937"/>
          </w:p>
        </w:tc>
        <w:tc>
          <w:tcPr>
            <w:tcW w:w="1134" w:type="dxa"/>
            <w:tcBorders>
              <w:top w:val="nil"/>
              <w:left w:val="nil"/>
              <w:right w:val="nil"/>
            </w:tcBorders>
            <w:shd w:val="clear" w:color="auto" w:fill="auto"/>
            <w:vAlign w:val="bottom"/>
          </w:tcPr>
          <w:p w14:paraId="106080B3" w14:textId="77777777" w:rsidR="008978D0" w:rsidRPr="008978D0" w:rsidRDefault="008978D0" w:rsidP="008978D0">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bookmarkStart w:id="938" w:name="_Toc67330303"/>
            <w:r w:rsidRPr="008978D0">
              <w:rPr>
                <w:rFonts w:ascii="Calibri" w:eastAsia="Times New Roman" w:hAnsi="Calibri" w:cs="Times New Roman"/>
                <w:color w:val="000000"/>
                <w:sz w:val="18"/>
                <w:szCs w:val="18"/>
                <w:lang w:val="en-US"/>
              </w:rPr>
              <w:t>28,056</w:t>
            </w:r>
            <w:bookmarkEnd w:id="938"/>
          </w:p>
        </w:tc>
        <w:tc>
          <w:tcPr>
            <w:tcW w:w="1134" w:type="dxa"/>
            <w:tcBorders>
              <w:top w:val="nil"/>
              <w:left w:val="nil"/>
              <w:right w:val="nil"/>
            </w:tcBorders>
            <w:shd w:val="clear" w:color="auto" w:fill="auto"/>
            <w:vAlign w:val="bottom"/>
          </w:tcPr>
          <w:p w14:paraId="613605AD" w14:textId="77777777" w:rsidR="008978D0" w:rsidRPr="008978D0" w:rsidRDefault="008978D0" w:rsidP="008978D0">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bookmarkStart w:id="939" w:name="_Toc67330304"/>
            <w:r w:rsidRPr="008978D0">
              <w:rPr>
                <w:rFonts w:ascii="Calibri" w:eastAsia="Times New Roman" w:hAnsi="Calibri" w:cs="Times New Roman"/>
                <w:color w:val="000000"/>
                <w:sz w:val="18"/>
                <w:szCs w:val="18"/>
                <w:lang w:val="en-US"/>
              </w:rPr>
              <w:t>190,560</w:t>
            </w:r>
            <w:bookmarkEnd w:id="939"/>
          </w:p>
        </w:tc>
      </w:tr>
      <w:tr w:rsidR="008978D0" w:rsidRPr="008978D0" w14:paraId="0661B09E" w14:textId="77777777" w:rsidTr="00E44437">
        <w:trPr>
          <w:trHeight w:hRule="exact" w:val="227"/>
          <w:jc w:val="center"/>
        </w:trPr>
        <w:tc>
          <w:tcPr>
            <w:tcW w:w="2979" w:type="dxa"/>
            <w:vAlign w:val="bottom"/>
          </w:tcPr>
          <w:p w14:paraId="2E45585D" w14:textId="77777777" w:rsidR="008978D0" w:rsidRPr="008978D0" w:rsidRDefault="008978D0" w:rsidP="008978D0">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8978D0">
              <w:rPr>
                <w:rFonts w:ascii="Calibri" w:eastAsia="Times New Roman" w:hAnsi="Calibri" w:cs="Arial"/>
                <w:sz w:val="18"/>
                <w:szCs w:val="18"/>
                <w:lang w:val="en-GB"/>
              </w:rPr>
              <w:t>Other liabilities</w:t>
            </w:r>
          </w:p>
        </w:tc>
        <w:tc>
          <w:tcPr>
            <w:tcW w:w="1133" w:type="dxa"/>
            <w:tcBorders>
              <w:top w:val="nil"/>
              <w:left w:val="nil"/>
              <w:bottom w:val="single" w:sz="4" w:space="0" w:color="auto"/>
              <w:right w:val="nil"/>
            </w:tcBorders>
            <w:shd w:val="clear" w:color="auto" w:fill="auto"/>
          </w:tcPr>
          <w:p w14:paraId="355BB20A" w14:textId="77777777" w:rsidR="008978D0" w:rsidRPr="008978D0" w:rsidRDefault="008978D0" w:rsidP="008978D0">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bookmarkStart w:id="940" w:name="_Toc67330306"/>
            <w:r w:rsidRPr="008978D0">
              <w:rPr>
                <w:rFonts w:ascii="Calibri" w:eastAsia="Times New Roman" w:hAnsi="Calibri" w:cs="Times New Roman"/>
                <w:color w:val="000000"/>
                <w:sz w:val="18"/>
                <w:szCs w:val="18"/>
                <w:lang w:val="en-US"/>
              </w:rPr>
              <w:t>232,641</w:t>
            </w:r>
            <w:bookmarkEnd w:id="940"/>
          </w:p>
        </w:tc>
        <w:tc>
          <w:tcPr>
            <w:tcW w:w="1134" w:type="dxa"/>
            <w:tcBorders>
              <w:top w:val="nil"/>
              <w:left w:val="nil"/>
              <w:bottom w:val="single" w:sz="4" w:space="0" w:color="auto"/>
              <w:right w:val="nil"/>
            </w:tcBorders>
            <w:shd w:val="clear" w:color="auto" w:fill="auto"/>
          </w:tcPr>
          <w:p w14:paraId="19CA03B3" w14:textId="77777777" w:rsidR="008978D0" w:rsidRPr="008978D0" w:rsidRDefault="008978D0" w:rsidP="008978D0">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bookmarkStart w:id="941" w:name="_Toc67330307"/>
            <w:r w:rsidRPr="008978D0">
              <w:rPr>
                <w:rFonts w:ascii="Calibri" w:eastAsia="Times New Roman" w:hAnsi="Calibri" w:cs="Times New Roman"/>
                <w:color w:val="000000"/>
                <w:sz w:val="18"/>
                <w:szCs w:val="18"/>
                <w:lang w:val="en-US"/>
              </w:rPr>
              <w:t>15,695</w:t>
            </w:r>
            <w:bookmarkEnd w:id="941"/>
          </w:p>
        </w:tc>
        <w:tc>
          <w:tcPr>
            <w:tcW w:w="1134" w:type="dxa"/>
            <w:tcBorders>
              <w:top w:val="nil"/>
              <w:left w:val="nil"/>
              <w:bottom w:val="single" w:sz="4" w:space="0" w:color="auto"/>
              <w:right w:val="nil"/>
            </w:tcBorders>
            <w:shd w:val="clear" w:color="auto" w:fill="auto"/>
          </w:tcPr>
          <w:p w14:paraId="75FCAA3D" w14:textId="77777777" w:rsidR="008978D0" w:rsidRPr="008978D0" w:rsidRDefault="008978D0" w:rsidP="008978D0">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bookmarkStart w:id="942" w:name="_Toc67330308"/>
            <w:r w:rsidRPr="008978D0">
              <w:rPr>
                <w:rFonts w:ascii="Calibri" w:eastAsia="Times New Roman" w:hAnsi="Calibri" w:cs="Times New Roman"/>
                <w:color w:val="000000"/>
                <w:sz w:val="18"/>
                <w:szCs w:val="18"/>
                <w:lang w:val="en-US"/>
              </w:rPr>
              <w:t>51,058</w:t>
            </w:r>
            <w:bookmarkEnd w:id="942"/>
          </w:p>
        </w:tc>
        <w:tc>
          <w:tcPr>
            <w:tcW w:w="1134" w:type="dxa"/>
            <w:tcBorders>
              <w:top w:val="nil"/>
              <w:left w:val="nil"/>
              <w:bottom w:val="single" w:sz="4" w:space="0" w:color="auto"/>
              <w:right w:val="nil"/>
            </w:tcBorders>
            <w:shd w:val="clear" w:color="auto" w:fill="auto"/>
          </w:tcPr>
          <w:p w14:paraId="791BD98C" w14:textId="77777777" w:rsidR="008978D0" w:rsidRPr="008978D0" w:rsidRDefault="008978D0" w:rsidP="008978D0">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bookmarkStart w:id="943" w:name="_Toc67330309"/>
            <w:r w:rsidRPr="008978D0">
              <w:rPr>
                <w:rFonts w:ascii="Calibri" w:eastAsia="Times New Roman" w:hAnsi="Calibri" w:cs="Times New Roman"/>
                <w:color w:val="000000"/>
                <w:sz w:val="18"/>
                <w:szCs w:val="18"/>
                <w:lang w:val="en-US"/>
              </w:rPr>
              <w:t>75,994</w:t>
            </w:r>
            <w:bookmarkEnd w:id="943"/>
          </w:p>
        </w:tc>
        <w:tc>
          <w:tcPr>
            <w:tcW w:w="1134" w:type="dxa"/>
            <w:tcBorders>
              <w:top w:val="nil"/>
              <w:left w:val="nil"/>
              <w:bottom w:val="single" w:sz="4" w:space="0" w:color="auto"/>
              <w:right w:val="nil"/>
            </w:tcBorders>
            <w:shd w:val="clear" w:color="auto" w:fill="auto"/>
          </w:tcPr>
          <w:p w14:paraId="3C75C593" w14:textId="77777777" w:rsidR="008978D0" w:rsidRPr="008978D0" w:rsidRDefault="008978D0" w:rsidP="008978D0">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bookmarkStart w:id="944" w:name="_Toc67330310"/>
            <w:r w:rsidRPr="008978D0">
              <w:rPr>
                <w:rFonts w:ascii="Calibri" w:eastAsia="Times New Roman" w:hAnsi="Calibri" w:cs="Times New Roman"/>
                <w:color w:val="000000"/>
                <w:sz w:val="18"/>
                <w:szCs w:val="18"/>
                <w:lang w:val="en-US"/>
              </w:rPr>
              <w:t>59,851</w:t>
            </w:r>
            <w:bookmarkEnd w:id="944"/>
          </w:p>
        </w:tc>
        <w:tc>
          <w:tcPr>
            <w:tcW w:w="1134" w:type="dxa"/>
            <w:tcBorders>
              <w:top w:val="nil"/>
              <w:left w:val="nil"/>
              <w:bottom w:val="single" w:sz="4" w:space="0" w:color="auto"/>
              <w:right w:val="nil"/>
            </w:tcBorders>
            <w:shd w:val="clear" w:color="auto" w:fill="auto"/>
          </w:tcPr>
          <w:p w14:paraId="0D2959AB" w14:textId="77777777" w:rsidR="008978D0" w:rsidRPr="008978D0" w:rsidRDefault="008978D0" w:rsidP="008978D0">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bookmarkStart w:id="945" w:name="_Toc67330311"/>
            <w:r w:rsidRPr="008978D0">
              <w:rPr>
                <w:rFonts w:ascii="Calibri" w:eastAsia="Times New Roman" w:hAnsi="Calibri" w:cs="Times New Roman"/>
                <w:color w:val="000000"/>
                <w:sz w:val="18"/>
                <w:szCs w:val="18"/>
                <w:lang w:val="en-US"/>
              </w:rPr>
              <w:t>435,239</w:t>
            </w:r>
            <w:bookmarkEnd w:id="945"/>
          </w:p>
        </w:tc>
      </w:tr>
      <w:tr w:rsidR="008978D0" w:rsidRPr="008978D0" w14:paraId="2ABBF104" w14:textId="77777777" w:rsidTr="00E44437">
        <w:trPr>
          <w:trHeight w:hRule="exact" w:val="294"/>
          <w:jc w:val="center"/>
        </w:trPr>
        <w:tc>
          <w:tcPr>
            <w:tcW w:w="2979" w:type="dxa"/>
            <w:vAlign w:val="center"/>
          </w:tcPr>
          <w:p w14:paraId="6CC1596A" w14:textId="77777777" w:rsidR="008978D0" w:rsidRPr="008978D0" w:rsidRDefault="008978D0" w:rsidP="006A5115">
            <w:pPr>
              <w:spacing w:after="0" w:line="240" w:lineRule="auto"/>
              <w:rPr>
                <w:rFonts w:ascii="Calibri" w:eastAsia="Times New Roman" w:hAnsi="Calibri" w:cs="Arial"/>
                <w:i/>
                <w:sz w:val="18"/>
                <w:szCs w:val="18"/>
                <w:lang w:val="en-GB"/>
              </w:rPr>
            </w:pPr>
            <w:r w:rsidRPr="008978D0">
              <w:rPr>
                <w:rFonts w:ascii="Calibri" w:eastAsia="Times New Roman" w:hAnsi="Calibri" w:cs="Arial"/>
                <w:b/>
                <w:sz w:val="18"/>
                <w:szCs w:val="18"/>
              </w:rPr>
              <w:t>Total</w:t>
            </w:r>
          </w:p>
        </w:tc>
        <w:tc>
          <w:tcPr>
            <w:tcW w:w="1133" w:type="dxa"/>
            <w:tcBorders>
              <w:top w:val="single" w:sz="4" w:space="0" w:color="auto"/>
              <w:left w:val="nil"/>
              <w:bottom w:val="single" w:sz="12" w:space="0" w:color="auto"/>
              <w:right w:val="nil"/>
            </w:tcBorders>
            <w:shd w:val="clear" w:color="auto" w:fill="auto"/>
            <w:vAlign w:val="center"/>
          </w:tcPr>
          <w:p w14:paraId="5090244E" w14:textId="77777777" w:rsidR="008978D0" w:rsidRPr="008978D0" w:rsidRDefault="008978D0" w:rsidP="008978D0">
            <w:pPr>
              <w:tabs>
                <w:tab w:val="right" w:pos="1202"/>
              </w:tabs>
              <w:spacing w:after="0" w:line="240" w:lineRule="auto"/>
              <w:jc w:val="right"/>
              <w:outlineLvl w:val="0"/>
              <w:rPr>
                <w:rFonts w:ascii="Calibri" w:eastAsia="Times New Roman" w:hAnsi="Calibri" w:cs="Times New Roman"/>
                <w:b/>
                <w:bCs/>
                <w:sz w:val="18"/>
                <w:szCs w:val="18"/>
                <w:lang w:val="en-GB"/>
              </w:rPr>
            </w:pPr>
            <w:bookmarkStart w:id="946" w:name="_Toc67330313"/>
            <w:r w:rsidRPr="008978D0">
              <w:rPr>
                <w:rFonts w:ascii="Calibri" w:eastAsia="Times New Roman" w:hAnsi="Calibri" w:cs="Times New Roman"/>
                <w:b/>
                <w:bCs/>
                <w:color w:val="000000"/>
                <w:sz w:val="18"/>
                <w:szCs w:val="18"/>
                <w:lang w:val="en-US"/>
              </w:rPr>
              <w:t>1,219,184</w:t>
            </w:r>
            <w:bookmarkEnd w:id="946"/>
          </w:p>
        </w:tc>
        <w:tc>
          <w:tcPr>
            <w:tcW w:w="1134" w:type="dxa"/>
            <w:tcBorders>
              <w:top w:val="nil"/>
              <w:left w:val="nil"/>
              <w:bottom w:val="single" w:sz="12" w:space="0" w:color="auto"/>
              <w:right w:val="nil"/>
            </w:tcBorders>
            <w:shd w:val="clear" w:color="auto" w:fill="auto"/>
            <w:vAlign w:val="center"/>
          </w:tcPr>
          <w:p w14:paraId="44CD9449" w14:textId="77777777" w:rsidR="008978D0" w:rsidRPr="008978D0" w:rsidRDefault="008978D0" w:rsidP="008978D0">
            <w:pPr>
              <w:tabs>
                <w:tab w:val="right" w:pos="1202"/>
              </w:tabs>
              <w:spacing w:after="0" w:line="240" w:lineRule="auto"/>
              <w:jc w:val="right"/>
              <w:outlineLvl w:val="0"/>
              <w:rPr>
                <w:rFonts w:ascii="Calibri" w:eastAsia="Times New Roman" w:hAnsi="Calibri" w:cs="Times New Roman"/>
                <w:b/>
                <w:bCs/>
                <w:sz w:val="18"/>
                <w:szCs w:val="18"/>
                <w:lang w:val="en-GB"/>
              </w:rPr>
            </w:pPr>
            <w:bookmarkStart w:id="947" w:name="_Toc67330314"/>
            <w:r w:rsidRPr="008978D0">
              <w:rPr>
                <w:rFonts w:ascii="Calibri" w:eastAsia="Times New Roman" w:hAnsi="Calibri" w:cs="Times New Roman"/>
                <w:b/>
                <w:bCs/>
                <w:color w:val="000000"/>
                <w:sz w:val="18"/>
                <w:szCs w:val="18"/>
                <w:lang w:val="en-US"/>
              </w:rPr>
              <w:t>359,152</w:t>
            </w:r>
            <w:bookmarkEnd w:id="947"/>
          </w:p>
        </w:tc>
        <w:tc>
          <w:tcPr>
            <w:tcW w:w="1134" w:type="dxa"/>
            <w:tcBorders>
              <w:top w:val="nil"/>
              <w:left w:val="nil"/>
              <w:bottom w:val="single" w:sz="12" w:space="0" w:color="auto"/>
              <w:right w:val="nil"/>
            </w:tcBorders>
            <w:shd w:val="clear" w:color="auto" w:fill="auto"/>
            <w:vAlign w:val="center"/>
          </w:tcPr>
          <w:p w14:paraId="1DBE8718" w14:textId="77777777" w:rsidR="008978D0" w:rsidRPr="008978D0" w:rsidRDefault="008978D0" w:rsidP="008978D0">
            <w:pPr>
              <w:tabs>
                <w:tab w:val="right" w:pos="1202"/>
              </w:tabs>
              <w:spacing w:after="0" w:line="240" w:lineRule="auto"/>
              <w:jc w:val="right"/>
              <w:outlineLvl w:val="0"/>
              <w:rPr>
                <w:rFonts w:ascii="Calibri" w:eastAsia="Times New Roman" w:hAnsi="Calibri" w:cs="Times New Roman"/>
                <w:b/>
                <w:bCs/>
                <w:sz w:val="18"/>
                <w:szCs w:val="18"/>
                <w:lang w:val="en-GB"/>
              </w:rPr>
            </w:pPr>
            <w:bookmarkStart w:id="948" w:name="_Toc67330315"/>
            <w:r w:rsidRPr="008978D0">
              <w:rPr>
                <w:rFonts w:ascii="Calibri" w:eastAsia="Times New Roman" w:hAnsi="Calibri" w:cs="Times New Roman"/>
                <w:b/>
                <w:bCs/>
                <w:color w:val="000000"/>
                <w:sz w:val="18"/>
                <w:szCs w:val="18"/>
                <w:lang w:val="en-US"/>
              </w:rPr>
              <w:t>2,103,912</w:t>
            </w:r>
            <w:bookmarkEnd w:id="948"/>
          </w:p>
        </w:tc>
        <w:tc>
          <w:tcPr>
            <w:tcW w:w="1134" w:type="dxa"/>
            <w:tcBorders>
              <w:top w:val="nil"/>
              <w:left w:val="nil"/>
              <w:bottom w:val="single" w:sz="12" w:space="0" w:color="auto"/>
              <w:right w:val="nil"/>
            </w:tcBorders>
            <w:shd w:val="clear" w:color="auto" w:fill="auto"/>
            <w:vAlign w:val="center"/>
          </w:tcPr>
          <w:p w14:paraId="31515DA4" w14:textId="77777777" w:rsidR="008978D0" w:rsidRPr="008978D0" w:rsidRDefault="008978D0" w:rsidP="008978D0">
            <w:pPr>
              <w:tabs>
                <w:tab w:val="right" w:pos="1202"/>
              </w:tabs>
              <w:spacing w:after="0" w:line="240" w:lineRule="auto"/>
              <w:jc w:val="right"/>
              <w:outlineLvl w:val="0"/>
              <w:rPr>
                <w:rFonts w:ascii="Calibri" w:eastAsia="Times New Roman" w:hAnsi="Calibri" w:cs="Times New Roman"/>
                <w:b/>
                <w:bCs/>
                <w:sz w:val="18"/>
                <w:szCs w:val="18"/>
                <w:lang w:val="en-GB"/>
              </w:rPr>
            </w:pPr>
            <w:bookmarkStart w:id="949" w:name="_Toc67330316"/>
            <w:r w:rsidRPr="008978D0">
              <w:rPr>
                <w:rFonts w:ascii="Calibri" w:eastAsia="Times New Roman" w:hAnsi="Calibri" w:cs="Times New Roman"/>
                <w:b/>
                <w:bCs/>
                <w:color w:val="000000"/>
                <w:sz w:val="18"/>
                <w:szCs w:val="18"/>
                <w:lang w:val="en-US"/>
              </w:rPr>
              <w:t>6,194,228</w:t>
            </w:r>
            <w:bookmarkEnd w:id="949"/>
          </w:p>
        </w:tc>
        <w:tc>
          <w:tcPr>
            <w:tcW w:w="1134" w:type="dxa"/>
            <w:tcBorders>
              <w:top w:val="nil"/>
              <w:left w:val="nil"/>
              <w:bottom w:val="single" w:sz="12" w:space="0" w:color="auto"/>
              <w:right w:val="nil"/>
            </w:tcBorders>
            <w:shd w:val="clear" w:color="auto" w:fill="auto"/>
            <w:vAlign w:val="center"/>
          </w:tcPr>
          <w:p w14:paraId="19821FB7" w14:textId="77777777" w:rsidR="008978D0" w:rsidRPr="008978D0" w:rsidRDefault="008978D0" w:rsidP="008978D0">
            <w:pPr>
              <w:tabs>
                <w:tab w:val="right" w:pos="1202"/>
              </w:tabs>
              <w:spacing w:after="0" w:line="240" w:lineRule="auto"/>
              <w:jc w:val="right"/>
              <w:outlineLvl w:val="0"/>
              <w:rPr>
                <w:rFonts w:ascii="Calibri" w:eastAsia="Times New Roman" w:hAnsi="Calibri" w:cs="Times New Roman"/>
                <w:b/>
                <w:bCs/>
                <w:sz w:val="18"/>
                <w:szCs w:val="18"/>
                <w:lang w:val="en-GB"/>
              </w:rPr>
            </w:pPr>
            <w:bookmarkStart w:id="950" w:name="_Toc67330317"/>
            <w:r w:rsidRPr="008978D0">
              <w:rPr>
                <w:rFonts w:ascii="Calibri" w:eastAsia="Times New Roman" w:hAnsi="Calibri" w:cs="Times New Roman"/>
                <w:b/>
                <w:bCs/>
                <w:color w:val="000000"/>
                <w:sz w:val="18"/>
                <w:szCs w:val="18"/>
                <w:lang w:val="en-US"/>
              </w:rPr>
              <w:t>8,827,244</w:t>
            </w:r>
            <w:bookmarkEnd w:id="950"/>
          </w:p>
        </w:tc>
        <w:tc>
          <w:tcPr>
            <w:tcW w:w="1134" w:type="dxa"/>
            <w:tcBorders>
              <w:top w:val="nil"/>
              <w:left w:val="nil"/>
              <w:bottom w:val="single" w:sz="12" w:space="0" w:color="auto"/>
              <w:right w:val="nil"/>
            </w:tcBorders>
            <w:shd w:val="clear" w:color="auto" w:fill="auto"/>
            <w:vAlign w:val="center"/>
          </w:tcPr>
          <w:p w14:paraId="30077FBB" w14:textId="77777777" w:rsidR="008978D0" w:rsidRPr="008978D0" w:rsidRDefault="008978D0" w:rsidP="008978D0">
            <w:pPr>
              <w:tabs>
                <w:tab w:val="right" w:pos="1202"/>
              </w:tabs>
              <w:spacing w:after="0" w:line="240" w:lineRule="auto"/>
              <w:jc w:val="right"/>
              <w:outlineLvl w:val="0"/>
              <w:rPr>
                <w:rFonts w:ascii="Calibri" w:eastAsia="Times New Roman" w:hAnsi="Calibri" w:cs="Times New Roman"/>
                <w:b/>
                <w:bCs/>
                <w:sz w:val="18"/>
                <w:szCs w:val="18"/>
                <w:lang w:val="en-GB"/>
              </w:rPr>
            </w:pPr>
            <w:bookmarkStart w:id="951" w:name="_Toc67330318"/>
            <w:r w:rsidRPr="008978D0">
              <w:rPr>
                <w:rFonts w:ascii="Calibri" w:eastAsia="Times New Roman" w:hAnsi="Calibri" w:cs="Times New Roman"/>
                <w:b/>
                <w:bCs/>
                <w:color w:val="000000"/>
                <w:sz w:val="18"/>
                <w:szCs w:val="18"/>
                <w:lang w:val="en-US"/>
              </w:rPr>
              <w:t>18,703,720</w:t>
            </w:r>
            <w:bookmarkEnd w:id="951"/>
          </w:p>
        </w:tc>
      </w:tr>
      <w:tr w:rsidR="008978D0" w:rsidRPr="008978D0" w14:paraId="5374D4DD" w14:textId="77777777" w:rsidTr="00E44437">
        <w:trPr>
          <w:trHeight w:hRule="exact" w:val="284"/>
          <w:jc w:val="center"/>
        </w:trPr>
        <w:tc>
          <w:tcPr>
            <w:tcW w:w="2979" w:type="dxa"/>
            <w:vAlign w:val="bottom"/>
          </w:tcPr>
          <w:p w14:paraId="0719F641" w14:textId="77777777" w:rsidR="008978D0" w:rsidRPr="008978D0" w:rsidRDefault="008978D0" w:rsidP="008978D0">
            <w:pPr>
              <w:tabs>
                <w:tab w:val="right" w:pos="1202"/>
              </w:tabs>
              <w:spacing w:after="0" w:line="240" w:lineRule="auto"/>
              <w:outlineLvl w:val="0"/>
              <w:rPr>
                <w:rFonts w:ascii="Calibri" w:eastAsia="Times New Roman" w:hAnsi="Calibri" w:cs="Arial"/>
                <w:b/>
                <w:sz w:val="18"/>
                <w:szCs w:val="18"/>
                <w:lang w:val="en-GB"/>
              </w:rPr>
            </w:pPr>
            <w:r w:rsidRPr="008978D0">
              <w:rPr>
                <w:rFonts w:ascii="Calibri" w:eastAsia="Times New Roman" w:hAnsi="Calibri" w:cs="Arial"/>
                <w:b/>
                <w:bCs/>
                <w:spacing w:val="-2"/>
                <w:sz w:val="18"/>
                <w:szCs w:val="18"/>
                <w:lang w:val="en-GB"/>
              </w:rPr>
              <w:t>Guarantees and commitments</w:t>
            </w:r>
          </w:p>
        </w:tc>
        <w:tc>
          <w:tcPr>
            <w:tcW w:w="1133" w:type="dxa"/>
            <w:tcBorders>
              <w:left w:val="nil"/>
              <w:right w:val="nil"/>
            </w:tcBorders>
            <w:shd w:val="clear" w:color="auto" w:fill="auto"/>
            <w:vAlign w:val="bottom"/>
          </w:tcPr>
          <w:p w14:paraId="0A08E040" w14:textId="77777777" w:rsidR="008978D0" w:rsidRPr="008978D0" w:rsidRDefault="008978D0" w:rsidP="008978D0">
            <w:pPr>
              <w:tabs>
                <w:tab w:val="right" w:pos="1202"/>
              </w:tabs>
              <w:spacing w:after="0" w:line="240" w:lineRule="auto"/>
              <w:jc w:val="right"/>
              <w:outlineLvl w:val="0"/>
              <w:rPr>
                <w:rFonts w:ascii="Calibri" w:eastAsia="Times New Roman" w:hAnsi="Calibri" w:cs="Arial"/>
                <w:b/>
                <w:sz w:val="18"/>
                <w:szCs w:val="18"/>
                <w:lang w:val="en-GB"/>
              </w:rPr>
            </w:pPr>
          </w:p>
        </w:tc>
        <w:tc>
          <w:tcPr>
            <w:tcW w:w="1134" w:type="dxa"/>
            <w:tcBorders>
              <w:left w:val="nil"/>
              <w:right w:val="nil"/>
            </w:tcBorders>
            <w:shd w:val="clear" w:color="auto" w:fill="auto"/>
            <w:vAlign w:val="bottom"/>
          </w:tcPr>
          <w:p w14:paraId="118FB96A" w14:textId="77777777" w:rsidR="008978D0" w:rsidRPr="008978D0" w:rsidRDefault="008978D0" w:rsidP="008978D0">
            <w:pPr>
              <w:tabs>
                <w:tab w:val="right" w:pos="1202"/>
              </w:tabs>
              <w:spacing w:after="0" w:line="240" w:lineRule="auto"/>
              <w:jc w:val="right"/>
              <w:outlineLvl w:val="0"/>
              <w:rPr>
                <w:rFonts w:ascii="Calibri" w:eastAsia="Times New Roman" w:hAnsi="Calibri" w:cs="Arial"/>
                <w:b/>
                <w:sz w:val="18"/>
                <w:szCs w:val="18"/>
                <w:lang w:val="en-GB"/>
              </w:rPr>
            </w:pPr>
          </w:p>
        </w:tc>
        <w:tc>
          <w:tcPr>
            <w:tcW w:w="1134" w:type="dxa"/>
            <w:tcBorders>
              <w:left w:val="nil"/>
              <w:right w:val="nil"/>
            </w:tcBorders>
            <w:shd w:val="clear" w:color="auto" w:fill="auto"/>
            <w:vAlign w:val="bottom"/>
          </w:tcPr>
          <w:p w14:paraId="51C8D9E5" w14:textId="77777777" w:rsidR="008978D0" w:rsidRPr="008978D0" w:rsidRDefault="008978D0" w:rsidP="008978D0">
            <w:pPr>
              <w:tabs>
                <w:tab w:val="right" w:pos="1202"/>
              </w:tabs>
              <w:spacing w:after="0" w:line="240" w:lineRule="auto"/>
              <w:jc w:val="right"/>
              <w:outlineLvl w:val="0"/>
              <w:rPr>
                <w:rFonts w:ascii="Calibri" w:eastAsia="Times New Roman" w:hAnsi="Calibri" w:cs="Arial"/>
                <w:b/>
                <w:sz w:val="18"/>
                <w:szCs w:val="18"/>
                <w:lang w:val="en-GB"/>
              </w:rPr>
            </w:pPr>
          </w:p>
        </w:tc>
        <w:tc>
          <w:tcPr>
            <w:tcW w:w="1134" w:type="dxa"/>
            <w:tcBorders>
              <w:left w:val="nil"/>
              <w:right w:val="nil"/>
            </w:tcBorders>
            <w:shd w:val="clear" w:color="auto" w:fill="auto"/>
            <w:vAlign w:val="bottom"/>
          </w:tcPr>
          <w:p w14:paraId="215BFD7C" w14:textId="77777777" w:rsidR="008978D0" w:rsidRPr="008978D0" w:rsidRDefault="008978D0" w:rsidP="008978D0">
            <w:pPr>
              <w:tabs>
                <w:tab w:val="right" w:pos="1202"/>
              </w:tabs>
              <w:spacing w:after="0" w:line="240" w:lineRule="auto"/>
              <w:jc w:val="right"/>
              <w:outlineLvl w:val="0"/>
              <w:rPr>
                <w:rFonts w:ascii="Calibri" w:eastAsia="Times New Roman" w:hAnsi="Calibri" w:cs="Arial"/>
                <w:b/>
                <w:sz w:val="18"/>
                <w:szCs w:val="18"/>
                <w:lang w:val="en-GB"/>
              </w:rPr>
            </w:pPr>
          </w:p>
        </w:tc>
        <w:tc>
          <w:tcPr>
            <w:tcW w:w="1134" w:type="dxa"/>
            <w:tcBorders>
              <w:left w:val="nil"/>
              <w:right w:val="nil"/>
            </w:tcBorders>
            <w:shd w:val="clear" w:color="auto" w:fill="auto"/>
            <w:vAlign w:val="bottom"/>
          </w:tcPr>
          <w:p w14:paraId="611848F9" w14:textId="77777777" w:rsidR="008978D0" w:rsidRPr="008978D0" w:rsidRDefault="008978D0" w:rsidP="008978D0">
            <w:pPr>
              <w:tabs>
                <w:tab w:val="right" w:pos="1263"/>
              </w:tabs>
              <w:spacing w:after="0" w:line="240" w:lineRule="auto"/>
              <w:jc w:val="right"/>
              <w:outlineLvl w:val="0"/>
              <w:rPr>
                <w:rFonts w:ascii="Calibri" w:eastAsia="Times New Roman" w:hAnsi="Calibri" w:cs="Arial"/>
                <w:b/>
                <w:sz w:val="18"/>
                <w:szCs w:val="18"/>
                <w:lang w:val="en-GB"/>
              </w:rPr>
            </w:pPr>
          </w:p>
        </w:tc>
        <w:tc>
          <w:tcPr>
            <w:tcW w:w="1134" w:type="dxa"/>
            <w:tcBorders>
              <w:left w:val="nil"/>
              <w:right w:val="nil"/>
            </w:tcBorders>
            <w:shd w:val="clear" w:color="auto" w:fill="auto"/>
            <w:vAlign w:val="bottom"/>
          </w:tcPr>
          <w:p w14:paraId="7BB46ADF" w14:textId="77777777" w:rsidR="008978D0" w:rsidRPr="008978D0" w:rsidRDefault="008978D0" w:rsidP="008978D0">
            <w:pPr>
              <w:tabs>
                <w:tab w:val="right" w:pos="1202"/>
              </w:tabs>
              <w:spacing w:after="0" w:line="240" w:lineRule="auto"/>
              <w:jc w:val="right"/>
              <w:outlineLvl w:val="0"/>
              <w:rPr>
                <w:rFonts w:ascii="Calibri" w:eastAsia="Times New Roman" w:hAnsi="Calibri" w:cs="Arial"/>
                <w:b/>
                <w:sz w:val="18"/>
                <w:szCs w:val="18"/>
                <w:lang w:val="en-GB"/>
              </w:rPr>
            </w:pPr>
          </w:p>
        </w:tc>
      </w:tr>
      <w:tr w:rsidR="008978D0" w:rsidRPr="008978D0" w14:paraId="5C08F991" w14:textId="77777777" w:rsidTr="00E44437">
        <w:trPr>
          <w:trHeight w:hRule="exact" w:val="227"/>
          <w:jc w:val="center"/>
        </w:trPr>
        <w:tc>
          <w:tcPr>
            <w:tcW w:w="2979" w:type="dxa"/>
            <w:vAlign w:val="bottom"/>
          </w:tcPr>
          <w:p w14:paraId="4416F2D5" w14:textId="77777777" w:rsidR="008978D0" w:rsidRPr="008978D0" w:rsidRDefault="008978D0" w:rsidP="008978D0">
            <w:pPr>
              <w:tabs>
                <w:tab w:val="left" w:pos="-720"/>
              </w:tabs>
              <w:suppressAutoHyphens/>
              <w:spacing w:after="0" w:line="240" w:lineRule="auto"/>
              <w:rPr>
                <w:rFonts w:ascii="Calibri" w:eastAsia="Times New Roman" w:hAnsi="Calibri" w:cs="Arial"/>
                <w:b/>
                <w:spacing w:val="-2"/>
                <w:sz w:val="18"/>
                <w:szCs w:val="18"/>
                <w:lang w:val="en-GB"/>
              </w:rPr>
            </w:pPr>
            <w:r w:rsidRPr="008978D0">
              <w:rPr>
                <w:rFonts w:ascii="Calibri" w:eastAsia="Times New Roman" w:hAnsi="Calibri" w:cs="Arial"/>
                <w:spacing w:val="-2"/>
                <w:sz w:val="18"/>
                <w:szCs w:val="18"/>
                <w:lang w:val="en-US"/>
              </w:rPr>
              <w:t>Guarantees issued in HRK</w:t>
            </w:r>
          </w:p>
        </w:tc>
        <w:tc>
          <w:tcPr>
            <w:tcW w:w="1133" w:type="dxa"/>
            <w:tcBorders>
              <w:top w:val="nil"/>
              <w:left w:val="nil"/>
              <w:bottom w:val="nil"/>
              <w:right w:val="nil"/>
            </w:tcBorders>
            <w:shd w:val="clear" w:color="auto" w:fill="auto"/>
            <w:vAlign w:val="bottom"/>
          </w:tcPr>
          <w:p w14:paraId="3F6EB955" w14:textId="77777777" w:rsidR="008978D0" w:rsidRPr="008978D0" w:rsidRDefault="008978D0" w:rsidP="008978D0">
            <w:pPr>
              <w:tabs>
                <w:tab w:val="right" w:pos="1202"/>
              </w:tabs>
              <w:spacing w:after="0" w:line="240" w:lineRule="auto"/>
              <w:jc w:val="right"/>
              <w:outlineLvl w:val="0"/>
              <w:rPr>
                <w:rFonts w:ascii="Calibri" w:eastAsia="Times New Roman" w:hAnsi="Calibri" w:cs="Arial"/>
                <w:bCs/>
                <w:sz w:val="18"/>
                <w:szCs w:val="18"/>
                <w:lang w:val="en-GB"/>
              </w:rPr>
            </w:pPr>
            <w:r w:rsidRPr="008978D0">
              <w:rPr>
                <w:rFonts w:ascii="Calibri" w:eastAsia="Times New Roman" w:hAnsi="Calibri" w:cs="Times New Roman"/>
                <w:bCs/>
                <w:color w:val="000000"/>
                <w:sz w:val="18"/>
                <w:szCs w:val="18"/>
                <w:lang w:val="en-GB"/>
              </w:rPr>
              <w:t xml:space="preserve"> 170,555 </w:t>
            </w:r>
          </w:p>
        </w:tc>
        <w:tc>
          <w:tcPr>
            <w:tcW w:w="1134" w:type="dxa"/>
            <w:tcBorders>
              <w:top w:val="nil"/>
              <w:left w:val="nil"/>
              <w:bottom w:val="nil"/>
              <w:right w:val="nil"/>
            </w:tcBorders>
            <w:shd w:val="clear" w:color="auto" w:fill="auto"/>
            <w:vAlign w:val="bottom"/>
          </w:tcPr>
          <w:p w14:paraId="15C8D78F" w14:textId="77777777" w:rsidR="008978D0" w:rsidRPr="008978D0" w:rsidRDefault="008978D0" w:rsidP="008978D0">
            <w:pPr>
              <w:tabs>
                <w:tab w:val="center" w:pos="4153"/>
                <w:tab w:val="right" w:pos="8306"/>
              </w:tabs>
              <w:spacing w:after="0" w:line="240" w:lineRule="auto"/>
              <w:jc w:val="right"/>
              <w:rPr>
                <w:rFonts w:ascii="Calibri" w:eastAsia="Times New Roman" w:hAnsi="Calibri" w:cs="Arial"/>
                <w:bCs/>
                <w:spacing w:val="-2"/>
                <w:sz w:val="18"/>
                <w:szCs w:val="18"/>
                <w:lang w:val="en-GB"/>
              </w:rPr>
            </w:pPr>
            <w:r w:rsidRPr="008978D0">
              <w:rPr>
                <w:rFonts w:ascii="Calibri" w:eastAsia="Times New Roman" w:hAnsi="Calibri" w:cs="Times New Roman"/>
                <w:i/>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55024F15" w14:textId="77777777" w:rsidR="008978D0" w:rsidRPr="008978D0" w:rsidRDefault="008978D0" w:rsidP="008978D0">
            <w:pPr>
              <w:tabs>
                <w:tab w:val="right" w:pos="1202"/>
              </w:tabs>
              <w:spacing w:after="0" w:line="240" w:lineRule="auto"/>
              <w:jc w:val="right"/>
              <w:outlineLvl w:val="0"/>
              <w:rPr>
                <w:rFonts w:ascii="Calibri" w:eastAsia="Times New Roman" w:hAnsi="Calibri" w:cs="Arial"/>
                <w:bCs/>
                <w:sz w:val="18"/>
                <w:szCs w:val="18"/>
                <w:lang w:val="en-GB"/>
              </w:rPr>
            </w:pPr>
            <w:r w:rsidRPr="008978D0">
              <w:rPr>
                <w:rFonts w:ascii="Calibri" w:eastAsia="Times New Roman" w:hAnsi="Calibri" w:cs="Times New Roman"/>
                <w:b/>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54A0B311" w14:textId="77777777" w:rsidR="008978D0" w:rsidRPr="008978D0" w:rsidRDefault="008978D0" w:rsidP="008978D0">
            <w:pPr>
              <w:tabs>
                <w:tab w:val="right" w:pos="1202"/>
              </w:tabs>
              <w:spacing w:after="0" w:line="240" w:lineRule="auto"/>
              <w:jc w:val="right"/>
              <w:outlineLvl w:val="0"/>
              <w:rPr>
                <w:rFonts w:ascii="Calibri" w:eastAsia="Times New Roman" w:hAnsi="Calibri" w:cs="Arial"/>
                <w:bCs/>
                <w:sz w:val="18"/>
                <w:szCs w:val="18"/>
                <w:lang w:val="en-GB"/>
              </w:rPr>
            </w:pPr>
            <w:r w:rsidRPr="008978D0">
              <w:rPr>
                <w:rFonts w:ascii="Calibri" w:eastAsia="Times New Roman" w:hAnsi="Calibri" w:cs="Times New Roman"/>
                <w:b/>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3402763B" w14:textId="77777777" w:rsidR="008978D0" w:rsidRPr="008978D0" w:rsidRDefault="008978D0" w:rsidP="008978D0">
            <w:pPr>
              <w:tabs>
                <w:tab w:val="right" w:pos="1263"/>
              </w:tabs>
              <w:spacing w:after="0" w:line="240" w:lineRule="auto"/>
              <w:jc w:val="right"/>
              <w:outlineLvl w:val="0"/>
              <w:rPr>
                <w:rFonts w:ascii="Calibri" w:eastAsia="Times New Roman" w:hAnsi="Calibri" w:cs="Arial"/>
                <w:bCs/>
                <w:sz w:val="18"/>
                <w:szCs w:val="18"/>
                <w:lang w:val="en-GB"/>
              </w:rPr>
            </w:pPr>
            <w:r w:rsidRPr="008978D0">
              <w:rPr>
                <w:rFonts w:ascii="Calibri" w:eastAsia="Times New Roman" w:hAnsi="Calibri" w:cs="Times New Roman"/>
                <w:b/>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5D7E9437" w14:textId="77777777" w:rsidR="008978D0" w:rsidRPr="008978D0" w:rsidRDefault="008978D0" w:rsidP="008978D0">
            <w:pPr>
              <w:tabs>
                <w:tab w:val="right" w:pos="1202"/>
              </w:tabs>
              <w:spacing w:after="0" w:line="240" w:lineRule="auto"/>
              <w:jc w:val="right"/>
              <w:outlineLvl w:val="0"/>
              <w:rPr>
                <w:rFonts w:ascii="Calibri" w:eastAsia="Times New Roman" w:hAnsi="Calibri" w:cs="Arial"/>
                <w:bCs/>
                <w:sz w:val="18"/>
                <w:szCs w:val="18"/>
                <w:lang w:val="en-GB"/>
              </w:rPr>
            </w:pPr>
            <w:bookmarkStart w:id="952" w:name="_Toc67330322"/>
            <w:r w:rsidRPr="008978D0">
              <w:rPr>
                <w:rFonts w:ascii="Calibri" w:eastAsia="Times New Roman" w:hAnsi="Calibri" w:cs="Times New Roman"/>
                <w:bCs/>
                <w:color w:val="000000"/>
                <w:sz w:val="18"/>
                <w:szCs w:val="18"/>
                <w:lang w:val="en-GB"/>
              </w:rPr>
              <w:t>170,555</w:t>
            </w:r>
            <w:bookmarkEnd w:id="952"/>
          </w:p>
        </w:tc>
      </w:tr>
      <w:tr w:rsidR="008978D0" w:rsidRPr="008978D0" w14:paraId="6B28913B" w14:textId="77777777" w:rsidTr="00E44437">
        <w:trPr>
          <w:trHeight w:val="227"/>
          <w:jc w:val="center"/>
        </w:trPr>
        <w:tc>
          <w:tcPr>
            <w:tcW w:w="2979" w:type="dxa"/>
            <w:vAlign w:val="bottom"/>
          </w:tcPr>
          <w:p w14:paraId="5F5B059E" w14:textId="77777777" w:rsidR="008978D0" w:rsidRPr="008978D0" w:rsidRDefault="008978D0" w:rsidP="006A5115">
            <w:pPr>
              <w:spacing w:after="0" w:line="240" w:lineRule="auto"/>
              <w:rPr>
                <w:rFonts w:ascii="Calibri" w:eastAsia="Times New Roman" w:hAnsi="Calibri" w:cs="Arial"/>
                <w:spacing w:val="-2"/>
                <w:sz w:val="18"/>
                <w:szCs w:val="18"/>
                <w:lang w:val="en-US"/>
              </w:rPr>
            </w:pPr>
            <w:r w:rsidRPr="008978D0">
              <w:rPr>
                <w:rFonts w:ascii="Calibri" w:eastAsia="Times New Roman" w:hAnsi="Calibri" w:cs="Arial"/>
                <w:spacing w:val="-2"/>
                <w:sz w:val="18"/>
                <w:szCs w:val="18"/>
                <w:lang w:val="en-US"/>
              </w:rPr>
              <w:t>Issued guarantees in foreign currency</w:t>
            </w:r>
          </w:p>
        </w:tc>
        <w:tc>
          <w:tcPr>
            <w:tcW w:w="1133" w:type="dxa"/>
            <w:tcBorders>
              <w:top w:val="nil"/>
              <w:left w:val="nil"/>
              <w:bottom w:val="nil"/>
              <w:right w:val="nil"/>
            </w:tcBorders>
            <w:shd w:val="clear" w:color="auto" w:fill="auto"/>
            <w:vAlign w:val="bottom"/>
          </w:tcPr>
          <w:p w14:paraId="41F3655A" w14:textId="77777777" w:rsidR="008978D0" w:rsidRPr="008978D0" w:rsidRDefault="008978D0" w:rsidP="008978D0">
            <w:pPr>
              <w:spacing w:after="0" w:line="240" w:lineRule="auto"/>
              <w:jc w:val="right"/>
              <w:outlineLvl w:val="0"/>
              <w:rPr>
                <w:rFonts w:ascii="Calibri" w:eastAsia="Times New Roman" w:hAnsi="Calibri" w:cs="Arial"/>
                <w:bCs/>
                <w:spacing w:val="-2"/>
                <w:sz w:val="18"/>
                <w:szCs w:val="18"/>
                <w:lang w:val="en-GB"/>
              </w:rPr>
            </w:pPr>
            <w:r w:rsidRPr="008978D0">
              <w:rPr>
                <w:rFonts w:ascii="Calibri" w:eastAsia="Times New Roman" w:hAnsi="Calibri" w:cs="Times New Roman"/>
                <w:color w:val="000000"/>
                <w:sz w:val="18"/>
                <w:szCs w:val="18"/>
                <w:lang w:val="en-GB"/>
              </w:rPr>
              <w:t xml:space="preserve"> 325,103 </w:t>
            </w:r>
          </w:p>
        </w:tc>
        <w:tc>
          <w:tcPr>
            <w:tcW w:w="1134" w:type="dxa"/>
            <w:tcBorders>
              <w:top w:val="nil"/>
              <w:left w:val="nil"/>
              <w:bottom w:val="nil"/>
              <w:right w:val="nil"/>
            </w:tcBorders>
            <w:shd w:val="clear" w:color="auto" w:fill="auto"/>
            <w:vAlign w:val="bottom"/>
          </w:tcPr>
          <w:p w14:paraId="3183F734" w14:textId="77777777" w:rsidR="008978D0" w:rsidRPr="008978D0" w:rsidRDefault="008978D0" w:rsidP="008978D0">
            <w:pPr>
              <w:spacing w:after="0" w:line="240" w:lineRule="auto"/>
              <w:jc w:val="right"/>
              <w:outlineLvl w:val="0"/>
              <w:rPr>
                <w:rFonts w:ascii="Calibri" w:eastAsia="Times New Roman" w:hAnsi="Calibri" w:cs="Arial"/>
                <w:bCs/>
                <w:spacing w:val="-2"/>
                <w:sz w:val="18"/>
                <w:szCs w:val="18"/>
                <w:lang w:val="en-GB"/>
              </w:rPr>
            </w:pPr>
            <w:r w:rsidRPr="008978D0">
              <w:rPr>
                <w:rFonts w:ascii="Calibri" w:eastAsia="Times New Roman" w:hAnsi="Calibri" w:cs="Times New Roman"/>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2EAF40A3" w14:textId="77777777" w:rsidR="008978D0" w:rsidRPr="008978D0" w:rsidRDefault="008978D0" w:rsidP="008978D0">
            <w:pPr>
              <w:spacing w:after="0" w:line="240" w:lineRule="auto"/>
              <w:jc w:val="right"/>
              <w:outlineLvl w:val="0"/>
              <w:rPr>
                <w:rFonts w:ascii="Calibri" w:eastAsia="Times New Roman" w:hAnsi="Calibri" w:cs="Arial"/>
                <w:bCs/>
                <w:spacing w:val="-2"/>
                <w:sz w:val="18"/>
                <w:szCs w:val="18"/>
                <w:lang w:val="en-GB"/>
              </w:rPr>
            </w:pPr>
            <w:r w:rsidRPr="008978D0">
              <w:rPr>
                <w:rFonts w:ascii="Calibri" w:eastAsia="Times New Roman" w:hAnsi="Calibri" w:cs="Times New Roman"/>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144F7047" w14:textId="77777777" w:rsidR="008978D0" w:rsidRPr="008978D0" w:rsidRDefault="008978D0" w:rsidP="008978D0">
            <w:pPr>
              <w:spacing w:after="0" w:line="240" w:lineRule="auto"/>
              <w:jc w:val="right"/>
              <w:outlineLvl w:val="0"/>
              <w:rPr>
                <w:rFonts w:ascii="Calibri" w:eastAsia="Times New Roman" w:hAnsi="Calibri" w:cs="Arial"/>
                <w:bCs/>
                <w:spacing w:val="-2"/>
                <w:sz w:val="18"/>
                <w:szCs w:val="18"/>
                <w:lang w:val="en-GB"/>
              </w:rPr>
            </w:pPr>
            <w:r w:rsidRPr="008978D0">
              <w:rPr>
                <w:rFonts w:ascii="Calibri" w:eastAsia="Times New Roman" w:hAnsi="Calibri" w:cs="Times New Roman"/>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46931D13" w14:textId="77777777" w:rsidR="008978D0" w:rsidRPr="008978D0" w:rsidRDefault="008978D0" w:rsidP="008978D0">
            <w:pPr>
              <w:tabs>
                <w:tab w:val="right" w:pos="1263"/>
              </w:tabs>
              <w:spacing w:after="0" w:line="240" w:lineRule="auto"/>
              <w:jc w:val="right"/>
              <w:outlineLvl w:val="0"/>
              <w:rPr>
                <w:rFonts w:ascii="Calibri" w:eastAsia="Times New Roman" w:hAnsi="Calibri" w:cs="Arial"/>
                <w:bCs/>
                <w:spacing w:val="-2"/>
                <w:sz w:val="18"/>
                <w:szCs w:val="18"/>
                <w:lang w:val="en-GB"/>
              </w:rPr>
            </w:pPr>
            <w:r w:rsidRPr="008978D0">
              <w:rPr>
                <w:rFonts w:ascii="Calibri" w:eastAsia="Times New Roman" w:hAnsi="Calibri" w:cs="Times New Roman"/>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14CF2E1B" w14:textId="77777777" w:rsidR="008978D0" w:rsidRPr="008978D0" w:rsidRDefault="008978D0" w:rsidP="008978D0">
            <w:pPr>
              <w:spacing w:after="0" w:line="240" w:lineRule="auto"/>
              <w:jc w:val="right"/>
              <w:outlineLvl w:val="0"/>
              <w:rPr>
                <w:rFonts w:ascii="Calibri" w:eastAsia="Times New Roman" w:hAnsi="Calibri" w:cs="Arial"/>
                <w:bCs/>
                <w:sz w:val="18"/>
                <w:szCs w:val="18"/>
                <w:lang w:val="en-GB"/>
              </w:rPr>
            </w:pPr>
            <w:bookmarkStart w:id="953" w:name="_Toc67330325"/>
            <w:r w:rsidRPr="008978D0">
              <w:rPr>
                <w:rFonts w:ascii="Calibri" w:eastAsia="Times New Roman" w:hAnsi="Calibri" w:cs="Times New Roman"/>
                <w:color w:val="000000"/>
                <w:sz w:val="18"/>
                <w:szCs w:val="18"/>
                <w:lang w:val="en-GB"/>
              </w:rPr>
              <w:t>325,103</w:t>
            </w:r>
            <w:bookmarkEnd w:id="953"/>
          </w:p>
        </w:tc>
      </w:tr>
      <w:tr w:rsidR="008978D0" w:rsidRPr="008978D0" w14:paraId="1DD0B106" w14:textId="77777777" w:rsidTr="00E44437">
        <w:trPr>
          <w:trHeight w:val="227"/>
          <w:jc w:val="center"/>
        </w:trPr>
        <w:tc>
          <w:tcPr>
            <w:tcW w:w="2979" w:type="dxa"/>
            <w:vAlign w:val="bottom"/>
          </w:tcPr>
          <w:p w14:paraId="0E5872F5" w14:textId="77777777" w:rsidR="008978D0" w:rsidRPr="008978D0" w:rsidRDefault="008978D0" w:rsidP="006A5115">
            <w:pPr>
              <w:spacing w:after="0" w:line="240" w:lineRule="auto"/>
              <w:rPr>
                <w:rFonts w:ascii="Calibri" w:eastAsia="Times New Roman" w:hAnsi="Calibri" w:cs="Arial"/>
                <w:sz w:val="18"/>
                <w:szCs w:val="18"/>
                <w:lang w:val="en-GB"/>
              </w:rPr>
            </w:pPr>
            <w:r w:rsidRPr="008978D0">
              <w:rPr>
                <w:rFonts w:ascii="Calibri" w:eastAsia="Times New Roman" w:hAnsi="Calibri" w:cs="Arial"/>
                <w:spacing w:val="-2"/>
                <w:sz w:val="18"/>
                <w:szCs w:val="18"/>
                <w:lang w:val="en-US"/>
              </w:rPr>
              <w:t>Undrawn loans</w:t>
            </w:r>
          </w:p>
        </w:tc>
        <w:tc>
          <w:tcPr>
            <w:tcW w:w="1133" w:type="dxa"/>
            <w:tcBorders>
              <w:top w:val="nil"/>
              <w:left w:val="nil"/>
              <w:bottom w:val="nil"/>
              <w:right w:val="nil"/>
            </w:tcBorders>
            <w:shd w:val="clear" w:color="auto" w:fill="auto"/>
            <w:vAlign w:val="bottom"/>
          </w:tcPr>
          <w:p w14:paraId="723ED17B" w14:textId="77777777" w:rsidR="008978D0" w:rsidRPr="008978D0" w:rsidRDefault="008978D0" w:rsidP="008978D0">
            <w:pPr>
              <w:spacing w:after="0" w:line="240" w:lineRule="auto"/>
              <w:jc w:val="right"/>
              <w:outlineLvl w:val="0"/>
              <w:rPr>
                <w:rFonts w:ascii="Calibri" w:eastAsia="Calibri" w:hAnsi="Calibri" w:cs="Arial"/>
                <w:spacing w:val="-2"/>
                <w:sz w:val="18"/>
                <w:szCs w:val="18"/>
              </w:rPr>
            </w:pPr>
            <w:r w:rsidRPr="008978D0">
              <w:rPr>
                <w:rFonts w:ascii="Calibri" w:eastAsia="Times New Roman" w:hAnsi="Calibri" w:cs="Times New Roman"/>
                <w:color w:val="000000"/>
                <w:sz w:val="18"/>
                <w:szCs w:val="18"/>
                <w:lang w:val="en-GB"/>
              </w:rPr>
              <w:t xml:space="preserve">3,492,038 </w:t>
            </w:r>
          </w:p>
        </w:tc>
        <w:tc>
          <w:tcPr>
            <w:tcW w:w="1134" w:type="dxa"/>
            <w:tcBorders>
              <w:top w:val="nil"/>
              <w:left w:val="nil"/>
              <w:bottom w:val="nil"/>
              <w:right w:val="nil"/>
            </w:tcBorders>
            <w:shd w:val="clear" w:color="auto" w:fill="auto"/>
            <w:vAlign w:val="bottom"/>
          </w:tcPr>
          <w:p w14:paraId="6EF74987" w14:textId="77777777" w:rsidR="008978D0" w:rsidRPr="008978D0" w:rsidRDefault="008978D0" w:rsidP="008978D0">
            <w:pPr>
              <w:spacing w:after="0" w:line="240" w:lineRule="auto"/>
              <w:jc w:val="right"/>
              <w:outlineLvl w:val="0"/>
              <w:rPr>
                <w:rFonts w:ascii="Calibri" w:eastAsia="Calibri" w:hAnsi="Calibri" w:cs="Arial"/>
                <w:spacing w:val="-2"/>
                <w:sz w:val="18"/>
                <w:szCs w:val="18"/>
              </w:rPr>
            </w:pPr>
            <w:r w:rsidRPr="008978D0">
              <w:rPr>
                <w:rFonts w:ascii="Calibri" w:eastAsia="Times New Roman" w:hAnsi="Calibri" w:cs="Times New Roman"/>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1FCCA4F9" w14:textId="77777777" w:rsidR="008978D0" w:rsidRPr="008978D0" w:rsidRDefault="008978D0" w:rsidP="008978D0">
            <w:pPr>
              <w:spacing w:after="0" w:line="240" w:lineRule="auto"/>
              <w:jc w:val="right"/>
              <w:outlineLvl w:val="0"/>
              <w:rPr>
                <w:rFonts w:ascii="Calibri" w:eastAsia="Calibri" w:hAnsi="Calibri" w:cs="Arial"/>
                <w:spacing w:val="-2"/>
                <w:sz w:val="18"/>
                <w:szCs w:val="18"/>
              </w:rPr>
            </w:pPr>
            <w:r w:rsidRPr="008978D0">
              <w:rPr>
                <w:rFonts w:ascii="Calibri" w:eastAsia="Times New Roman" w:hAnsi="Calibri" w:cs="Times New Roman"/>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08E1B1B6" w14:textId="77777777" w:rsidR="008978D0" w:rsidRPr="008978D0" w:rsidRDefault="008978D0" w:rsidP="008978D0">
            <w:pPr>
              <w:spacing w:after="0" w:line="240" w:lineRule="auto"/>
              <w:jc w:val="right"/>
              <w:outlineLvl w:val="0"/>
              <w:rPr>
                <w:rFonts w:ascii="Calibri" w:eastAsia="Calibri" w:hAnsi="Calibri" w:cs="Arial"/>
                <w:spacing w:val="-2"/>
                <w:sz w:val="18"/>
                <w:szCs w:val="18"/>
              </w:rPr>
            </w:pPr>
            <w:r w:rsidRPr="008978D0">
              <w:rPr>
                <w:rFonts w:ascii="Calibri" w:eastAsia="Times New Roman" w:hAnsi="Calibri" w:cs="Times New Roman"/>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556B5102" w14:textId="77777777" w:rsidR="008978D0" w:rsidRPr="008978D0" w:rsidRDefault="008978D0" w:rsidP="008978D0">
            <w:pPr>
              <w:spacing w:after="0" w:line="240" w:lineRule="auto"/>
              <w:jc w:val="right"/>
              <w:outlineLvl w:val="0"/>
              <w:rPr>
                <w:rFonts w:ascii="Calibri" w:eastAsia="Calibri" w:hAnsi="Calibri" w:cs="Arial"/>
                <w:spacing w:val="-2"/>
                <w:sz w:val="18"/>
                <w:szCs w:val="18"/>
              </w:rPr>
            </w:pPr>
            <w:r w:rsidRPr="008978D0">
              <w:rPr>
                <w:rFonts w:ascii="Calibri" w:eastAsia="Times New Roman" w:hAnsi="Calibri" w:cs="Times New Roman"/>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110F94EB" w14:textId="77777777" w:rsidR="008978D0" w:rsidRPr="008978D0" w:rsidRDefault="008978D0" w:rsidP="008978D0">
            <w:pPr>
              <w:spacing w:after="0" w:line="240" w:lineRule="auto"/>
              <w:jc w:val="right"/>
              <w:outlineLvl w:val="0"/>
              <w:rPr>
                <w:rFonts w:ascii="Calibri" w:eastAsia="Calibri" w:hAnsi="Calibri" w:cs="Arial"/>
                <w:spacing w:val="-2"/>
                <w:sz w:val="18"/>
                <w:szCs w:val="18"/>
              </w:rPr>
            </w:pPr>
            <w:bookmarkStart w:id="954" w:name="_Toc67330331"/>
            <w:r w:rsidRPr="008978D0">
              <w:rPr>
                <w:rFonts w:ascii="Calibri" w:eastAsia="Times New Roman" w:hAnsi="Calibri" w:cs="Times New Roman"/>
                <w:color w:val="000000"/>
                <w:sz w:val="18"/>
                <w:szCs w:val="18"/>
                <w:lang w:val="en-GB"/>
              </w:rPr>
              <w:t>3,492,038</w:t>
            </w:r>
            <w:bookmarkEnd w:id="954"/>
          </w:p>
        </w:tc>
      </w:tr>
      <w:tr w:rsidR="008978D0" w:rsidRPr="008978D0" w14:paraId="1B67B268" w14:textId="77777777" w:rsidTr="00E44437">
        <w:trPr>
          <w:trHeight w:hRule="exact" w:val="227"/>
          <w:jc w:val="center"/>
        </w:trPr>
        <w:tc>
          <w:tcPr>
            <w:tcW w:w="2979" w:type="dxa"/>
            <w:vAlign w:val="bottom"/>
          </w:tcPr>
          <w:p w14:paraId="6A23E8C0" w14:textId="77777777" w:rsidR="008978D0" w:rsidRPr="008978D0" w:rsidRDefault="008978D0" w:rsidP="006A5115">
            <w:pPr>
              <w:spacing w:after="0" w:line="240" w:lineRule="auto"/>
              <w:rPr>
                <w:rFonts w:ascii="Calibri" w:eastAsia="Times New Roman" w:hAnsi="Calibri" w:cs="Arial"/>
                <w:i/>
                <w:spacing w:val="-2"/>
                <w:sz w:val="18"/>
                <w:szCs w:val="18"/>
                <w:lang w:val="en-US"/>
              </w:rPr>
            </w:pPr>
            <w:r w:rsidRPr="008978D0">
              <w:rPr>
                <w:rFonts w:ascii="Calibri" w:eastAsia="Times New Roman" w:hAnsi="Calibri" w:cs="Arial"/>
                <w:spacing w:val="-2"/>
                <w:sz w:val="18"/>
                <w:szCs w:val="18"/>
                <w:lang w:val="en-US"/>
              </w:rPr>
              <w:t>EIF – subscribed, not called up capital</w:t>
            </w:r>
          </w:p>
        </w:tc>
        <w:tc>
          <w:tcPr>
            <w:tcW w:w="1133" w:type="dxa"/>
            <w:tcBorders>
              <w:top w:val="nil"/>
              <w:left w:val="nil"/>
              <w:bottom w:val="nil"/>
              <w:right w:val="nil"/>
            </w:tcBorders>
            <w:shd w:val="clear" w:color="auto" w:fill="auto"/>
            <w:vAlign w:val="bottom"/>
          </w:tcPr>
          <w:p w14:paraId="7EA50914" w14:textId="77777777" w:rsidR="008978D0" w:rsidRPr="008978D0" w:rsidRDefault="008978D0" w:rsidP="008978D0">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978D0">
              <w:rPr>
                <w:rFonts w:ascii="Calibri" w:eastAsia="Times New Roman" w:hAnsi="Calibri" w:cs="Times New Roman"/>
                <w:color w:val="000000"/>
                <w:sz w:val="18"/>
                <w:szCs w:val="18"/>
                <w:lang w:val="en-US"/>
              </w:rPr>
              <w:t xml:space="preserve"> 78,179 </w:t>
            </w:r>
          </w:p>
        </w:tc>
        <w:tc>
          <w:tcPr>
            <w:tcW w:w="1134" w:type="dxa"/>
            <w:tcBorders>
              <w:top w:val="nil"/>
              <w:left w:val="nil"/>
              <w:bottom w:val="nil"/>
              <w:right w:val="nil"/>
            </w:tcBorders>
            <w:shd w:val="clear" w:color="auto" w:fill="auto"/>
            <w:vAlign w:val="bottom"/>
          </w:tcPr>
          <w:p w14:paraId="1C5A43B9" w14:textId="77777777" w:rsidR="008978D0" w:rsidRPr="008978D0" w:rsidRDefault="008978D0" w:rsidP="008978D0">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978D0">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4DE4C2A2" w14:textId="77777777" w:rsidR="008978D0" w:rsidRPr="008978D0" w:rsidRDefault="008978D0" w:rsidP="008978D0">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978D0">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5C0BA40E" w14:textId="77777777" w:rsidR="008978D0" w:rsidRPr="008978D0" w:rsidRDefault="008978D0" w:rsidP="008978D0">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978D0">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45A199CF" w14:textId="77777777" w:rsidR="008978D0" w:rsidRPr="008978D0" w:rsidRDefault="008978D0" w:rsidP="008978D0">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978D0">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6396632D" w14:textId="77777777" w:rsidR="008978D0" w:rsidRPr="008978D0" w:rsidRDefault="008978D0" w:rsidP="008978D0">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bookmarkStart w:id="955" w:name="_Toc67330334"/>
            <w:r w:rsidRPr="008978D0">
              <w:rPr>
                <w:rFonts w:ascii="Calibri" w:eastAsia="Times New Roman" w:hAnsi="Calibri" w:cs="Times New Roman"/>
                <w:color w:val="000000"/>
                <w:sz w:val="18"/>
                <w:szCs w:val="18"/>
                <w:lang w:val="en-US"/>
              </w:rPr>
              <w:t>78,179</w:t>
            </w:r>
            <w:bookmarkEnd w:id="955"/>
          </w:p>
        </w:tc>
      </w:tr>
      <w:tr w:rsidR="008978D0" w:rsidRPr="008978D0" w14:paraId="25A07980" w14:textId="77777777" w:rsidTr="00E44437">
        <w:trPr>
          <w:trHeight w:hRule="exact" w:val="227"/>
          <w:jc w:val="center"/>
        </w:trPr>
        <w:tc>
          <w:tcPr>
            <w:tcW w:w="2979" w:type="dxa"/>
            <w:tcBorders>
              <w:top w:val="nil"/>
              <w:left w:val="nil"/>
              <w:bottom w:val="nil"/>
              <w:right w:val="nil"/>
            </w:tcBorders>
            <w:shd w:val="clear" w:color="auto" w:fill="auto"/>
            <w:vAlign w:val="bottom"/>
          </w:tcPr>
          <w:p w14:paraId="7433F953" w14:textId="77777777" w:rsidR="008978D0" w:rsidRPr="008978D0" w:rsidRDefault="008978D0" w:rsidP="006A5115">
            <w:pPr>
              <w:spacing w:after="0" w:line="240" w:lineRule="auto"/>
              <w:rPr>
                <w:rFonts w:ascii="Calibri" w:eastAsia="Times New Roman" w:hAnsi="Calibri" w:cs="Arial"/>
                <w:spacing w:val="-2"/>
                <w:sz w:val="18"/>
                <w:szCs w:val="18"/>
                <w:lang w:val="en-US"/>
              </w:rPr>
            </w:pPr>
            <w:r w:rsidRPr="008978D0">
              <w:rPr>
                <w:rFonts w:ascii="Calibri" w:eastAsia="Times New Roman" w:hAnsi="Calibri" w:cs="Calibri"/>
                <w:color w:val="000000"/>
                <w:sz w:val="18"/>
                <w:szCs w:val="18"/>
                <w:lang w:val="en-GB"/>
              </w:rPr>
              <w:t>EIF CROGIP Contracted Liability</w:t>
            </w:r>
          </w:p>
        </w:tc>
        <w:tc>
          <w:tcPr>
            <w:tcW w:w="1133" w:type="dxa"/>
            <w:tcBorders>
              <w:top w:val="nil"/>
              <w:left w:val="nil"/>
              <w:bottom w:val="nil"/>
              <w:right w:val="nil"/>
            </w:tcBorders>
            <w:shd w:val="clear" w:color="auto" w:fill="auto"/>
            <w:vAlign w:val="bottom"/>
          </w:tcPr>
          <w:p w14:paraId="08F0D22D" w14:textId="77777777" w:rsidR="008978D0" w:rsidRPr="008978D0" w:rsidRDefault="008978D0" w:rsidP="008978D0">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sidRPr="008978D0">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19BBC6EA" w14:textId="77777777" w:rsidR="008978D0" w:rsidRPr="008978D0" w:rsidRDefault="008978D0" w:rsidP="008978D0">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978D0">
              <w:rPr>
                <w:rFonts w:ascii="Calibri" w:eastAsia="Times New Roman" w:hAnsi="Calibri" w:cs="Times New Roman"/>
                <w:color w:val="000000"/>
                <w:sz w:val="18"/>
                <w:szCs w:val="18"/>
                <w:lang w:val="en-US"/>
              </w:rPr>
              <w:t xml:space="preserve">12,616 </w:t>
            </w:r>
          </w:p>
        </w:tc>
        <w:tc>
          <w:tcPr>
            <w:tcW w:w="1134" w:type="dxa"/>
            <w:tcBorders>
              <w:top w:val="nil"/>
              <w:left w:val="nil"/>
              <w:bottom w:val="nil"/>
              <w:right w:val="nil"/>
            </w:tcBorders>
            <w:shd w:val="clear" w:color="auto" w:fill="auto"/>
            <w:vAlign w:val="bottom"/>
          </w:tcPr>
          <w:p w14:paraId="53CACC2F" w14:textId="77777777" w:rsidR="008978D0" w:rsidRPr="008978D0" w:rsidRDefault="008978D0" w:rsidP="008978D0">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978D0">
              <w:rPr>
                <w:rFonts w:ascii="Calibri" w:eastAsia="Times New Roman" w:hAnsi="Calibri" w:cs="Times New Roman"/>
                <w:color w:val="000000"/>
                <w:sz w:val="18"/>
                <w:szCs w:val="18"/>
                <w:lang w:val="en-US"/>
              </w:rPr>
              <w:t xml:space="preserve"> 56,771 </w:t>
            </w:r>
          </w:p>
        </w:tc>
        <w:tc>
          <w:tcPr>
            <w:tcW w:w="1134" w:type="dxa"/>
            <w:tcBorders>
              <w:top w:val="nil"/>
              <w:left w:val="nil"/>
              <w:bottom w:val="nil"/>
              <w:right w:val="nil"/>
            </w:tcBorders>
            <w:shd w:val="clear" w:color="auto" w:fill="auto"/>
            <w:vAlign w:val="bottom"/>
          </w:tcPr>
          <w:p w14:paraId="2608045D" w14:textId="77777777" w:rsidR="008978D0" w:rsidRPr="008978D0" w:rsidRDefault="008978D0" w:rsidP="008978D0">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978D0">
              <w:rPr>
                <w:rFonts w:ascii="Calibri" w:eastAsia="Times New Roman" w:hAnsi="Calibri" w:cs="Times New Roman"/>
                <w:color w:val="000000"/>
                <w:sz w:val="18"/>
                <w:szCs w:val="18"/>
                <w:lang w:val="en-US"/>
              </w:rPr>
              <w:t xml:space="preserve"> 112,664 </w:t>
            </w:r>
          </w:p>
        </w:tc>
        <w:tc>
          <w:tcPr>
            <w:tcW w:w="1134" w:type="dxa"/>
            <w:tcBorders>
              <w:top w:val="nil"/>
              <w:left w:val="nil"/>
              <w:bottom w:val="nil"/>
              <w:right w:val="nil"/>
            </w:tcBorders>
            <w:shd w:val="clear" w:color="auto" w:fill="auto"/>
            <w:vAlign w:val="bottom"/>
          </w:tcPr>
          <w:p w14:paraId="1C9C1CBC" w14:textId="77777777" w:rsidR="008978D0" w:rsidRPr="008978D0" w:rsidRDefault="008978D0" w:rsidP="008978D0">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978D0">
              <w:rPr>
                <w:rFonts w:ascii="Calibri" w:eastAsia="Times New Roman" w:hAnsi="Calibri" w:cs="Times New Roman"/>
                <w:color w:val="000000"/>
                <w:sz w:val="18"/>
                <w:szCs w:val="18"/>
                <w:lang w:val="en-US"/>
              </w:rPr>
              <w:t xml:space="preserve"> 130,438 </w:t>
            </w:r>
          </w:p>
        </w:tc>
        <w:tc>
          <w:tcPr>
            <w:tcW w:w="1134" w:type="dxa"/>
            <w:tcBorders>
              <w:top w:val="nil"/>
              <w:left w:val="nil"/>
              <w:bottom w:val="nil"/>
              <w:right w:val="nil"/>
            </w:tcBorders>
            <w:shd w:val="clear" w:color="auto" w:fill="auto"/>
            <w:vAlign w:val="bottom"/>
          </w:tcPr>
          <w:p w14:paraId="2C070D93" w14:textId="77777777" w:rsidR="008978D0" w:rsidRPr="008978D0" w:rsidRDefault="008978D0" w:rsidP="008978D0">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bookmarkStart w:id="956" w:name="_Toc67330337"/>
            <w:r w:rsidRPr="008978D0">
              <w:rPr>
                <w:rFonts w:ascii="Calibri" w:eastAsia="Times New Roman" w:hAnsi="Calibri" w:cs="Times New Roman"/>
                <w:color w:val="000000"/>
                <w:sz w:val="18"/>
                <w:szCs w:val="18"/>
                <w:lang w:val="en-US"/>
              </w:rPr>
              <w:t>312,489</w:t>
            </w:r>
            <w:bookmarkEnd w:id="956"/>
          </w:p>
        </w:tc>
      </w:tr>
      <w:tr w:rsidR="008978D0" w:rsidRPr="008978D0" w14:paraId="2F16F757" w14:textId="77777777" w:rsidTr="00E44437">
        <w:trPr>
          <w:trHeight w:hRule="exact" w:val="227"/>
          <w:jc w:val="center"/>
        </w:trPr>
        <w:tc>
          <w:tcPr>
            <w:tcW w:w="2979" w:type="dxa"/>
            <w:tcBorders>
              <w:top w:val="nil"/>
              <w:left w:val="nil"/>
              <w:bottom w:val="nil"/>
              <w:right w:val="nil"/>
            </w:tcBorders>
            <w:shd w:val="clear" w:color="auto" w:fill="auto"/>
            <w:vAlign w:val="bottom"/>
          </w:tcPr>
          <w:p w14:paraId="1861E6B7" w14:textId="77777777" w:rsidR="008978D0" w:rsidRPr="008978D0" w:rsidRDefault="008978D0" w:rsidP="006A5115">
            <w:pPr>
              <w:spacing w:after="0" w:line="240" w:lineRule="auto"/>
              <w:rPr>
                <w:rFonts w:ascii="Calibri" w:eastAsia="Times New Roman" w:hAnsi="Calibri" w:cs="Arial"/>
                <w:spacing w:val="-2"/>
                <w:sz w:val="18"/>
                <w:szCs w:val="18"/>
                <w:lang w:val="en-US"/>
              </w:rPr>
            </w:pPr>
            <w:r w:rsidRPr="008978D0">
              <w:rPr>
                <w:rFonts w:ascii="Calibri" w:eastAsia="Times New Roman" w:hAnsi="Calibri" w:cs="Calibri"/>
                <w:color w:val="000000"/>
                <w:sz w:val="18"/>
                <w:szCs w:val="18"/>
                <w:lang w:val="en-GB"/>
              </w:rPr>
              <w:t>EIF FRC2 Contracted Liability</w:t>
            </w:r>
          </w:p>
        </w:tc>
        <w:tc>
          <w:tcPr>
            <w:tcW w:w="1133" w:type="dxa"/>
            <w:tcBorders>
              <w:top w:val="nil"/>
              <w:left w:val="nil"/>
              <w:bottom w:val="single" w:sz="8" w:space="0" w:color="auto"/>
              <w:right w:val="nil"/>
            </w:tcBorders>
            <w:shd w:val="clear" w:color="auto" w:fill="auto"/>
            <w:vAlign w:val="bottom"/>
          </w:tcPr>
          <w:p w14:paraId="7EDCAB55" w14:textId="77777777" w:rsidR="008978D0" w:rsidRPr="008978D0" w:rsidRDefault="008978D0" w:rsidP="008978D0">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sidRPr="008978D0">
              <w:rPr>
                <w:rFonts w:ascii="Calibri" w:eastAsia="Times New Roman" w:hAnsi="Calibri" w:cs="Times New Roman"/>
                <w:color w:val="000000"/>
                <w:sz w:val="18"/>
                <w:szCs w:val="18"/>
                <w:lang w:val="en-US"/>
              </w:rPr>
              <w:t xml:space="preserve"> 678 </w:t>
            </w:r>
          </w:p>
        </w:tc>
        <w:tc>
          <w:tcPr>
            <w:tcW w:w="1134" w:type="dxa"/>
            <w:tcBorders>
              <w:top w:val="nil"/>
              <w:left w:val="nil"/>
              <w:bottom w:val="single" w:sz="8" w:space="0" w:color="auto"/>
              <w:right w:val="nil"/>
            </w:tcBorders>
            <w:shd w:val="clear" w:color="auto" w:fill="auto"/>
            <w:vAlign w:val="bottom"/>
          </w:tcPr>
          <w:p w14:paraId="72A5C633" w14:textId="77777777" w:rsidR="008978D0" w:rsidRPr="008978D0" w:rsidRDefault="008978D0" w:rsidP="008978D0">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978D0">
              <w:rPr>
                <w:rFonts w:ascii="Calibri" w:eastAsia="Times New Roman" w:hAnsi="Calibri" w:cs="Times New Roman"/>
                <w:color w:val="000000"/>
                <w:sz w:val="18"/>
                <w:szCs w:val="18"/>
                <w:lang w:val="en-US"/>
              </w:rPr>
              <w:t xml:space="preserve"> 532 </w:t>
            </w:r>
          </w:p>
        </w:tc>
        <w:tc>
          <w:tcPr>
            <w:tcW w:w="1134" w:type="dxa"/>
            <w:tcBorders>
              <w:top w:val="nil"/>
              <w:left w:val="nil"/>
              <w:bottom w:val="single" w:sz="8" w:space="0" w:color="auto"/>
              <w:right w:val="nil"/>
            </w:tcBorders>
            <w:shd w:val="clear" w:color="auto" w:fill="auto"/>
            <w:vAlign w:val="bottom"/>
          </w:tcPr>
          <w:p w14:paraId="5CB18923" w14:textId="77777777" w:rsidR="008978D0" w:rsidRPr="008978D0" w:rsidRDefault="008978D0" w:rsidP="008978D0">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978D0">
              <w:rPr>
                <w:rFonts w:ascii="Calibri" w:eastAsia="Times New Roman" w:hAnsi="Calibri" w:cs="Times New Roman"/>
                <w:color w:val="000000"/>
                <w:sz w:val="18"/>
                <w:szCs w:val="18"/>
                <w:lang w:val="en-US"/>
              </w:rPr>
              <w:t xml:space="preserve">2,393 </w:t>
            </w:r>
          </w:p>
        </w:tc>
        <w:tc>
          <w:tcPr>
            <w:tcW w:w="1134" w:type="dxa"/>
            <w:tcBorders>
              <w:top w:val="nil"/>
              <w:left w:val="nil"/>
              <w:bottom w:val="single" w:sz="8" w:space="0" w:color="auto"/>
              <w:right w:val="nil"/>
            </w:tcBorders>
            <w:shd w:val="clear" w:color="auto" w:fill="auto"/>
            <w:vAlign w:val="bottom"/>
          </w:tcPr>
          <w:p w14:paraId="21E6F23C" w14:textId="77777777" w:rsidR="008978D0" w:rsidRPr="008978D0" w:rsidRDefault="008978D0" w:rsidP="008978D0">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978D0">
              <w:rPr>
                <w:rFonts w:ascii="Calibri" w:eastAsia="Times New Roman" w:hAnsi="Calibri" w:cs="Times New Roman"/>
                <w:color w:val="000000"/>
                <w:sz w:val="18"/>
                <w:szCs w:val="18"/>
                <w:lang w:val="en-US"/>
              </w:rPr>
              <w:t xml:space="preserve"> 2,171 </w:t>
            </w:r>
          </w:p>
        </w:tc>
        <w:tc>
          <w:tcPr>
            <w:tcW w:w="1134" w:type="dxa"/>
            <w:tcBorders>
              <w:top w:val="nil"/>
              <w:left w:val="nil"/>
              <w:bottom w:val="single" w:sz="8" w:space="0" w:color="auto"/>
              <w:right w:val="nil"/>
            </w:tcBorders>
            <w:shd w:val="clear" w:color="auto" w:fill="auto"/>
            <w:vAlign w:val="bottom"/>
          </w:tcPr>
          <w:p w14:paraId="33E7BE91" w14:textId="77777777" w:rsidR="008978D0" w:rsidRPr="008978D0" w:rsidRDefault="008978D0" w:rsidP="008978D0">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978D0">
              <w:rPr>
                <w:rFonts w:ascii="Calibri" w:eastAsia="Times New Roman" w:hAnsi="Calibri" w:cs="Times New Roman"/>
                <w:color w:val="000000"/>
                <w:sz w:val="18"/>
                <w:szCs w:val="18"/>
                <w:lang w:val="en-US"/>
              </w:rPr>
              <w:t xml:space="preserve"> 469 </w:t>
            </w:r>
          </w:p>
        </w:tc>
        <w:tc>
          <w:tcPr>
            <w:tcW w:w="1134" w:type="dxa"/>
            <w:tcBorders>
              <w:top w:val="nil"/>
              <w:left w:val="nil"/>
              <w:bottom w:val="single" w:sz="8" w:space="0" w:color="auto"/>
              <w:right w:val="nil"/>
            </w:tcBorders>
            <w:shd w:val="clear" w:color="auto" w:fill="auto"/>
            <w:vAlign w:val="bottom"/>
          </w:tcPr>
          <w:p w14:paraId="5C868130" w14:textId="77777777" w:rsidR="008978D0" w:rsidRPr="008978D0" w:rsidRDefault="008978D0" w:rsidP="008978D0">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bookmarkStart w:id="957" w:name="_Toc67330340"/>
            <w:r w:rsidRPr="008978D0">
              <w:rPr>
                <w:rFonts w:ascii="Calibri" w:eastAsia="Times New Roman" w:hAnsi="Calibri" w:cs="Times New Roman"/>
                <w:color w:val="000000"/>
                <w:sz w:val="18"/>
                <w:szCs w:val="18"/>
                <w:lang w:val="en-US"/>
              </w:rPr>
              <w:t>6,243</w:t>
            </w:r>
            <w:bookmarkEnd w:id="957"/>
          </w:p>
        </w:tc>
      </w:tr>
      <w:tr w:rsidR="008978D0" w:rsidRPr="008978D0" w14:paraId="60AF05CF" w14:textId="77777777" w:rsidTr="00E44437">
        <w:trPr>
          <w:trHeight w:hRule="exact" w:val="284"/>
          <w:jc w:val="center"/>
        </w:trPr>
        <w:tc>
          <w:tcPr>
            <w:tcW w:w="2979" w:type="dxa"/>
            <w:vAlign w:val="bottom"/>
          </w:tcPr>
          <w:p w14:paraId="1F1B8379" w14:textId="77777777" w:rsidR="008978D0" w:rsidRPr="008978D0" w:rsidRDefault="008978D0" w:rsidP="006A5115">
            <w:pPr>
              <w:spacing w:after="0" w:line="240" w:lineRule="auto"/>
              <w:rPr>
                <w:rFonts w:ascii="Calibri" w:eastAsia="Times New Roman" w:hAnsi="Calibri" w:cs="Arial"/>
                <w:b/>
                <w:bCs/>
                <w:i/>
                <w:spacing w:val="-2"/>
                <w:sz w:val="18"/>
                <w:szCs w:val="18"/>
                <w:lang w:val="en-US"/>
              </w:rPr>
            </w:pPr>
            <w:r w:rsidRPr="008978D0">
              <w:rPr>
                <w:rFonts w:ascii="Calibri" w:eastAsia="Times New Roman" w:hAnsi="Calibri" w:cs="Arial"/>
                <w:b/>
                <w:bCs/>
                <w:spacing w:val="-2"/>
                <w:sz w:val="18"/>
                <w:szCs w:val="18"/>
                <w:lang w:val="en-US"/>
              </w:rPr>
              <w:t>Total guarantees and commitments</w:t>
            </w:r>
          </w:p>
        </w:tc>
        <w:tc>
          <w:tcPr>
            <w:tcW w:w="1133" w:type="dxa"/>
            <w:tcBorders>
              <w:top w:val="single" w:sz="8" w:space="0" w:color="auto"/>
              <w:left w:val="nil"/>
              <w:bottom w:val="single" w:sz="12" w:space="0" w:color="auto"/>
              <w:right w:val="nil"/>
            </w:tcBorders>
            <w:shd w:val="clear" w:color="auto" w:fill="auto"/>
            <w:vAlign w:val="bottom"/>
          </w:tcPr>
          <w:p w14:paraId="7D8F7BA4" w14:textId="77777777" w:rsidR="008978D0" w:rsidRPr="008978D0" w:rsidRDefault="008978D0" w:rsidP="008978D0">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bookmarkStart w:id="958" w:name="_Toc67330342"/>
            <w:r w:rsidRPr="008978D0">
              <w:rPr>
                <w:rFonts w:ascii="Calibri" w:eastAsia="Times New Roman" w:hAnsi="Calibri" w:cs="Times New Roman"/>
                <w:b/>
                <w:bCs/>
                <w:color w:val="000000"/>
                <w:sz w:val="18"/>
                <w:szCs w:val="18"/>
                <w:lang w:val="en-US"/>
              </w:rPr>
              <w:t>4,066,553</w:t>
            </w:r>
            <w:bookmarkEnd w:id="958"/>
          </w:p>
        </w:tc>
        <w:tc>
          <w:tcPr>
            <w:tcW w:w="1134" w:type="dxa"/>
            <w:tcBorders>
              <w:top w:val="single" w:sz="8" w:space="0" w:color="auto"/>
              <w:left w:val="nil"/>
              <w:bottom w:val="single" w:sz="12" w:space="0" w:color="auto"/>
              <w:right w:val="nil"/>
            </w:tcBorders>
            <w:shd w:val="clear" w:color="auto" w:fill="auto"/>
            <w:vAlign w:val="bottom"/>
          </w:tcPr>
          <w:p w14:paraId="048735BF" w14:textId="77777777" w:rsidR="008978D0" w:rsidRPr="008978D0" w:rsidRDefault="008978D0" w:rsidP="008978D0">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8978D0">
              <w:rPr>
                <w:rFonts w:ascii="Calibri" w:eastAsia="Times New Roman" w:hAnsi="Calibri" w:cs="Times New Roman"/>
                <w:b/>
                <w:bCs/>
                <w:color w:val="000000"/>
                <w:sz w:val="18"/>
                <w:szCs w:val="18"/>
                <w:lang w:val="en-US"/>
              </w:rPr>
              <w:t>13,148</w:t>
            </w:r>
          </w:p>
        </w:tc>
        <w:tc>
          <w:tcPr>
            <w:tcW w:w="1134" w:type="dxa"/>
            <w:tcBorders>
              <w:top w:val="single" w:sz="8" w:space="0" w:color="auto"/>
              <w:left w:val="nil"/>
              <w:bottom w:val="single" w:sz="12" w:space="0" w:color="auto"/>
              <w:right w:val="nil"/>
            </w:tcBorders>
            <w:shd w:val="clear" w:color="auto" w:fill="auto"/>
            <w:vAlign w:val="bottom"/>
          </w:tcPr>
          <w:p w14:paraId="52259AE8" w14:textId="77777777" w:rsidR="008978D0" w:rsidRPr="008978D0" w:rsidRDefault="008978D0" w:rsidP="008978D0">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8978D0">
              <w:rPr>
                <w:rFonts w:ascii="Calibri" w:eastAsia="Times New Roman" w:hAnsi="Calibri" w:cs="Times New Roman"/>
                <w:b/>
                <w:bCs/>
                <w:color w:val="000000"/>
                <w:sz w:val="18"/>
                <w:szCs w:val="18"/>
                <w:lang w:val="en-US"/>
              </w:rPr>
              <w:t>59,164</w:t>
            </w:r>
          </w:p>
        </w:tc>
        <w:tc>
          <w:tcPr>
            <w:tcW w:w="1134" w:type="dxa"/>
            <w:tcBorders>
              <w:top w:val="single" w:sz="8" w:space="0" w:color="auto"/>
              <w:left w:val="nil"/>
              <w:bottom w:val="single" w:sz="12" w:space="0" w:color="auto"/>
              <w:right w:val="nil"/>
            </w:tcBorders>
            <w:shd w:val="clear" w:color="auto" w:fill="auto"/>
            <w:vAlign w:val="bottom"/>
          </w:tcPr>
          <w:p w14:paraId="07B48ACE" w14:textId="77777777" w:rsidR="008978D0" w:rsidRPr="008978D0" w:rsidRDefault="008978D0" w:rsidP="008978D0">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8978D0">
              <w:rPr>
                <w:rFonts w:ascii="Calibri" w:eastAsia="Times New Roman" w:hAnsi="Calibri" w:cs="Times New Roman"/>
                <w:b/>
                <w:bCs/>
                <w:color w:val="000000"/>
                <w:sz w:val="18"/>
                <w:szCs w:val="18"/>
                <w:lang w:val="en-US"/>
              </w:rPr>
              <w:t>114,835</w:t>
            </w:r>
          </w:p>
        </w:tc>
        <w:tc>
          <w:tcPr>
            <w:tcW w:w="1134" w:type="dxa"/>
            <w:tcBorders>
              <w:top w:val="single" w:sz="8" w:space="0" w:color="auto"/>
              <w:left w:val="nil"/>
              <w:bottom w:val="single" w:sz="12" w:space="0" w:color="auto"/>
              <w:right w:val="nil"/>
            </w:tcBorders>
            <w:shd w:val="clear" w:color="auto" w:fill="auto"/>
            <w:vAlign w:val="bottom"/>
          </w:tcPr>
          <w:p w14:paraId="343DB01E" w14:textId="77777777" w:rsidR="008978D0" w:rsidRPr="008978D0" w:rsidRDefault="008978D0" w:rsidP="008978D0">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8978D0">
              <w:rPr>
                <w:rFonts w:ascii="Calibri" w:eastAsia="Times New Roman" w:hAnsi="Calibri" w:cs="Times New Roman"/>
                <w:b/>
                <w:bCs/>
                <w:color w:val="000000"/>
                <w:sz w:val="18"/>
                <w:szCs w:val="18"/>
                <w:lang w:val="en-US"/>
              </w:rPr>
              <w:t>130,907</w:t>
            </w:r>
          </w:p>
        </w:tc>
        <w:tc>
          <w:tcPr>
            <w:tcW w:w="1134" w:type="dxa"/>
            <w:tcBorders>
              <w:top w:val="single" w:sz="8" w:space="0" w:color="auto"/>
              <w:left w:val="nil"/>
              <w:bottom w:val="single" w:sz="12" w:space="0" w:color="auto"/>
              <w:right w:val="nil"/>
            </w:tcBorders>
            <w:shd w:val="clear" w:color="auto" w:fill="auto"/>
            <w:vAlign w:val="bottom"/>
          </w:tcPr>
          <w:p w14:paraId="3D9A39FA" w14:textId="77777777" w:rsidR="008978D0" w:rsidRPr="008978D0" w:rsidRDefault="008978D0" w:rsidP="008978D0">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bookmarkStart w:id="959" w:name="_Toc67330343"/>
            <w:r w:rsidRPr="008978D0">
              <w:rPr>
                <w:rFonts w:ascii="Calibri" w:eastAsia="Times New Roman" w:hAnsi="Calibri" w:cs="Times New Roman"/>
                <w:b/>
                <w:bCs/>
                <w:color w:val="000000"/>
                <w:sz w:val="18"/>
                <w:szCs w:val="18"/>
                <w:lang w:val="en-US"/>
              </w:rPr>
              <w:t>4,384,607</w:t>
            </w:r>
            <w:bookmarkEnd w:id="959"/>
          </w:p>
        </w:tc>
      </w:tr>
    </w:tbl>
    <w:p w14:paraId="61319767" w14:textId="297314CC" w:rsidR="008330AF" w:rsidRPr="00537128" w:rsidRDefault="008330AF" w:rsidP="00D108EE">
      <w:pPr>
        <w:spacing w:after="0" w:line="240" w:lineRule="auto"/>
        <w:jc w:val="both"/>
        <w:rPr>
          <w:rFonts w:eastAsia="Times New Roman" w:cstheme="minorHAnsi"/>
          <w:b/>
          <w:iCs/>
          <w:color w:val="000000" w:themeColor="text1"/>
          <w:lang w:val="en-US"/>
        </w:rPr>
      </w:pPr>
    </w:p>
    <w:p w14:paraId="3EF19F51" w14:textId="77777777" w:rsidR="003D584A" w:rsidRPr="00537128" w:rsidRDefault="003D584A" w:rsidP="00D108EE">
      <w:pPr>
        <w:spacing w:after="0" w:line="240" w:lineRule="auto"/>
        <w:jc w:val="both"/>
        <w:rPr>
          <w:rFonts w:eastAsia="Times New Roman" w:cstheme="minorHAnsi"/>
          <w:b/>
          <w:iCs/>
          <w:color w:val="000000" w:themeColor="text1"/>
          <w:lang w:val="en-US"/>
        </w:rPr>
      </w:pPr>
    </w:p>
    <w:p w14:paraId="65BCFD62" w14:textId="6EC39B81" w:rsidR="003D584A" w:rsidRPr="00537128" w:rsidRDefault="003D584A" w:rsidP="00D108EE">
      <w:pPr>
        <w:spacing w:after="0" w:line="240" w:lineRule="auto"/>
        <w:jc w:val="both"/>
        <w:rPr>
          <w:rFonts w:eastAsia="Times New Roman" w:cstheme="minorHAnsi"/>
          <w:b/>
          <w:iCs/>
          <w:color w:val="000000" w:themeColor="text1"/>
          <w:lang w:val="en-US"/>
        </w:rPr>
        <w:sectPr w:rsidR="003D584A" w:rsidRPr="00537128" w:rsidSect="00712478">
          <w:pgSz w:w="11906" w:h="16838"/>
          <w:pgMar w:top="1418" w:right="1134" w:bottom="1418" w:left="1418" w:header="709" w:footer="709" w:gutter="0"/>
          <w:cols w:space="708"/>
          <w:docGrid w:linePitch="360"/>
        </w:sectPr>
      </w:pPr>
    </w:p>
    <w:p w14:paraId="1E519702" w14:textId="77777777" w:rsidR="008330AF" w:rsidRPr="00537128" w:rsidRDefault="008330AF" w:rsidP="008330AF">
      <w:pPr>
        <w:spacing w:after="0" w:line="240" w:lineRule="auto"/>
        <w:jc w:val="both"/>
        <w:rPr>
          <w:rFonts w:eastAsia="Times New Roman" w:cstheme="minorHAnsi"/>
          <w:b/>
          <w:iCs/>
          <w:color w:val="000000" w:themeColor="text1"/>
          <w:sz w:val="10"/>
          <w:szCs w:val="10"/>
          <w:lang w:val="en-US"/>
        </w:rPr>
      </w:pPr>
    </w:p>
    <w:p w14:paraId="535A24DB" w14:textId="77777777" w:rsidR="003D584A" w:rsidRPr="00537128" w:rsidRDefault="003D584A" w:rsidP="008330AF">
      <w:pPr>
        <w:spacing w:after="0" w:line="240" w:lineRule="auto"/>
        <w:jc w:val="both"/>
        <w:rPr>
          <w:rFonts w:eastAsia="Times New Roman" w:cstheme="minorHAnsi"/>
          <w:b/>
          <w:bCs/>
          <w:iCs/>
          <w:color w:val="000000" w:themeColor="text1"/>
          <w:sz w:val="16"/>
          <w:szCs w:val="16"/>
          <w:lang w:val="en-US"/>
        </w:rPr>
      </w:pPr>
    </w:p>
    <w:p w14:paraId="3B1AEB9D" w14:textId="64F75F6F" w:rsidR="008330AF" w:rsidRPr="00537128" w:rsidRDefault="00B357CE" w:rsidP="008330AF">
      <w:p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2</w:t>
      </w:r>
      <w:r>
        <w:rPr>
          <w:rFonts w:eastAsia="Times New Roman" w:cstheme="minorHAnsi"/>
          <w:b/>
          <w:bCs/>
          <w:iCs/>
          <w:color w:val="000000" w:themeColor="text1"/>
          <w:lang w:val="en-US"/>
        </w:rPr>
        <w:t>3</w:t>
      </w:r>
      <w:r w:rsidR="008330AF" w:rsidRPr="00537128">
        <w:rPr>
          <w:rFonts w:eastAsia="Times New Roman" w:cstheme="minorHAnsi"/>
          <w:b/>
          <w:bCs/>
          <w:iCs/>
          <w:color w:val="000000" w:themeColor="text1"/>
          <w:lang w:val="en-US"/>
        </w:rPr>
        <w:t>.</w:t>
      </w:r>
      <w:r w:rsidR="008330AF" w:rsidRPr="00537128">
        <w:rPr>
          <w:rFonts w:eastAsia="Times New Roman" w:cstheme="minorHAnsi"/>
          <w:b/>
          <w:bCs/>
          <w:iCs/>
          <w:color w:val="000000" w:themeColor="text1"/>
          <w:lang w:val="en-US"/>
        </w:rPr>
        <w:tab/>
        <w:t>Risk management (continued)</w:t>
      </w:r>
    </w:p>
    <w:p w14:paraId="12CDAF3E" w14:textId="4FBB807D" w:rsidR="008330AF" w:rsidRPr="00537128" w:rsidRDefault="008330AF" w:rsidP="008330AF">
      <w:pPr>
        <w:spacing w:after="0" w:line="240" w:lineRule="auto"/>
        <w:jc w:val="both"/>
        <w:rPr>
          <w:rFonts w:eastAsia="Times New Roman" w:cstheme="minorHAnsi"/>
          <w:b/>
          <w:iCs/>
          <w:color w:val="000000" w:themeColor="text1"/>
          <w:sz w:val="8"/>
          <w:szCs w:val="8"/>
          <w:lang w:val="en-US"/>
        </w:rPr>
      </w:pPr>
    </w:p>
    <w:p w14:paraId="673D1360" w14:textId="77777777" w:rsidR="003D584A" w:rsidRPr="00537128" w:rsidRDefault="003D584A" w:rsidP="008330AF">
      <w:pPr>
        <w:spacing w:after="0" w:line="240" w:lineRule="auto"/>
        <w:jc w:val="both"/>
        <w:rPr>
          <w:rFonts w:eastAsia="Times New Roman" w:cstheme="minorHAnsi"/>
          <w:b/>
          <w:iCs/>
          <w:color w:val="000000" w:themeColor="text1"/>
          <w:sz w:val="16"/>
          <w:szCs w:val="16"/>
          <w:lang w:val="en-US"/>
        </w:rPr>
      </w:pPr>
    </w:p>
    <w:p w14:paraId="77C8A2C1" w14:textId="01150BAE" w:rsidR="008330AF" w:rsidRPr="00537128" w:rsidRDefault="00B357CE" w:rsidP="008330AF">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8330AF" w:rsidRPr="00537128">
        <w:rPr>
          <w:rFonts w:eastAsia="Times New Roman" w:cstheme="minorHAnsi"/>
          <w:b/>
          <w:iCs/>
          <w:color w:val="000000" w:themeColor="text1"/>
          <w:lang w:val="en-US"/>
        </w:rPr>
        <w:t xml:space="preserve">.4. </w:t>
      </w:r>
      <w:r w:rsidR="008330AF" w:rsidRPr="00537128">
        <w:rPr>
          <w:rFonts w:eastAsia="Times New Roman" w:cstheme="minorHAnsi"/>
          <w:b/>
          <w:iCs/>
          <w:color w:val="000000" w:themeColor="text1"/>
          <w:lang w:val="en-US"/>
        </w:rPr>
        <w:tab/>
        <w:t>Liquidity risk (continued)</w:t>
      </w:r>
    </w:p>
    <w:p w14:paraId="6718C005" w14:textId="77777777" w:rsidR="00355BAB" w:rsidRPr="00537128" w:rsidRDefault="00355BAB" w:rsidP="008330AF">
      <w:pPr>
        <w:spacing w:after="0" w:line="240" w:lineRule="auto"/>
        <w:jc w:val="both"/>
        <w:rPr>
          <w:rFonts w:eastAsia="Times New Roman" w:cstheme="minorHAnsi"/>
          <w:iCs/>
          <w:color w:val="000000" w:themeColor="text1"/>
          <w:sz w:val="16"/>
          <w:szCs w:val="16"/>
          <w:lang w:val="en-US"/>
        </w:rPr>
      </w:pPr>
    </w:p>
    <w:p w14:paraId="3B8B6E09" w14:textId="3437F50B" w:rsidR="008330AF" w:rsidRPr="00537128" w:rsidRDefault="008330AF" w:rsidP="008330AF">
      <w:pPr>
        <w:spacing w:after="0" w:line="240" w:lineRule="auto"/>
        <w:jc w:val="both"/>
        <w:rPr>
          <w:rFonts w:eastAsia="Times New Roman" w:cstheme="minorHAnsi"/>
          <w:iCs/>
          <w:color w:val="000000" w:themeColor="text1"/>
          <w:lang w:val="en-US"/>
        </w:rPr>
      </w:pPr>
      <w:r w:rsidRPr="00537128">
        <w:rPr>
          <w:rFonts w:eastAsia="Times New Roman" w:cstheme="minorHAnsi"/>
          <w:iCs/>
          <w:color w:val="000000" w:themeColor="text1"/>
          <w:lang w:val="en-US"/>
        </w:rPr>
        <w:t>The table below indicates the remaining contractual maturity of financial liabilities, whereas the guarantees and commitments of the Group are classified in the category “up to 1 month”, owing to the possibility of a premature call to meet a liability (undiscounted amounts):</w:t>
      </w:r>
    </w:p>
    <w:p w14:paraId="61C07286" w14:textId="2EF65C1E" w:rsidR="003D584A" w:rsidRPr="00537128" w:rsidRDefault="003D584A" w:rsidP="008330AF">
      <w:pPr>
        <w:spacing w:after="0" w:line="240" w:lineRule="auto"/>
        <w:jc w:val="both"/>
        <w:rPr>
          <w:rFonts w:eastAsia="Times New Roman" w:cstheme="minorHAnsi"/>
          <w:iCs/>
          <w:color w:val="000000" w:themeColor="text1"/>
          <w:lang w:val="en-US"/>
        </w:rPr>
      </w:pPr>
    </w:p>
    <w:tbl>
      <w:tblPr>
        <w:tblW w:w="5154" w:type="pct"/>
        <w:jc w:val="center"/>
        <w:tblLayout w:type="fixed"/>
        <w:tblCellMar>
          <w:left w:w="120" w:type="dxa"/>
          <w:right w:w="120" w:type="dxa"/>
        </w:tblCellMar>
        <w:tblLook w:val="0000" w:firstRow="0" w:lastRow="0" w:firstColumn="0" w:lastColumn="0" w:noHBand="0" w:noVBand="0"/>
      </w:tblPr>
      <w:tblGrid>
        <w:gridCol w:w="2981"/>
        <w:gridCol w:w="991"/>
        <w:gridCol w:w="1134"/>
        <w:gridCol w:w="1134"/>
        <w:gridCol w:w="1134"/>
        <w:gridCol w:w="1134"/>
        <w:gridCol w:w="1134"/>
      </w:tblGrid>
      <w:tr w:rsidR="003D584A" w:rsidRPr="00537128" w14:paraId="56FF8000" w14:textId="77777777" w:rsidTr="00703DBC">
        <w:trPr>
          <w:trHeight w:hRule="exact" w:val="428"/>
          <w:jc w:val="center"/>
        </w:trPr>
        <w:tc>
          <w:tcPr>
            <w:tcW w:w="2981" w:type="dxa"/>
          </w:tcPr>
          <w:p w14:paraId="1B589D5B" w14:textId="77777777" w:rsidR="003D584A" w:rsidRPr="00537128" w:rsidRDefault="003D584A" w:rsidP="003D584A">
            <w:pPr>
              <w:tabs>
                <w:tab w:val="right" w:pos="1202"/>
              </w:tabs>
              <w:spacing w:after="0" w:line="240" w:lineRule="auto"/>
              <w:outlineLvl w:val="0"/>
              <w:rPr>
                <w:rFonts w:ascii="Calibri" w:eastAsia="Times New Roman" w:hAnsi="Calibri" w:cs="Arial"/>
                <w:b/>
                <w:sz w:val="18"/>
                <w:szCs w:val="18"/>
                <w:lang w:val="en-US"/>
              </w:rPr>
            </w:pPr>
            <w:bookmarkStart w:id="960" w:name="_Toc4062599"/>
            <w:r w:rsidRPr="00537128">
              <w:rPr>
                <w:rFonts w:ascii="Calibri" w:eastAsia="Times New Roman" w:hAnsi="Calibri" w:cs="Arial"/>
                <w:b/>
                <w:sz w:val="18"/>
                <w:szCs w:val="18"/>
                <w:lang w:val="en-US"/>
              </w:rPr>
              <w:t>Bank</w:t>
            </w:r>
            <w:bookmarkEnd w:id="960"/>
          </w:p>
          <w:p w14:paraId="31997950" w14:textId="3F9A63BB" w:rsidR="003D584A" w:rsidRPr="00537128" w:rsidRDefault="003D584A" w:rsidP="003D584A">
            <w:pPr>
              <w:tabs>
                <w:tab w:val="right" w:pos="1202"/>
              </w:tabs>
              <w:spacing w:after="0" w:line="240" w:lineRule="auto"/>
              <w:outlineLvl w:val="0"/>
              <w:rPr>
                <w:rFonts w:ascii="Calibri" w:eastAsia="Times New Roman" w:hAnsi="Calibri" w:cs="Arial"/>
                <w:b/>
                <w:sz w:val="18"/>
                <w:szCs w:val="18"/>
                <w:lang w:val="en-US"/>
              </w:rPr>
            </w:pPr>
            <w:bookmarkStart w:id="961" w:name="_Toc4062600"/>
            <w:r w:rsidRPr="00537128">
              <w:rPr>
                <w:rFonts w:ascii="Calibri" w:eastAsia="Times New Roman" w:hAnsi="Calibri" w:cs="Arial"/>
                <w:b/>
                <w:sz w:val="18"/>
                <w:szCs w:val="18"/>
                <w:lang w:val="en-US"/>
              </w:rPr>
              <w:t xml:space="preserve">31 March </w:t>
            </w:r>
            <w:bookmarkEnd w:id="961"/>
            <w:r w:rsidRPr="00537128">
              <w:rPr>
                <w:rFonts w:ascii="Calibri" w:eastAsia="Times New Roman" w:hAnsi="Calibri" w:cs="Arial"/>
                <w:b/>
                <w:sz w:val="18"/>
                <w:szCs w:val="18"/>
                <w:lang w:val="en-US"/>
              </w:rPr>
              <w:t>202</w:t>
            </w:r>
            <w:r w:rsidR="00F9638A">
              <w:rPr>
                <w:rFonts w:ascii="Calibri" w:eastAsia="Times New Roman" w:hAnsi="Calibri" w:cs="Arial"/>
                <w:b/>
                <w:sz w:val="18"/>
                <w:szCs w:val="18"/>
                <w:lang w:val="en-US"/>
              </w:rPr>
              <w:t>2</w:t>
            </w:r>
          </w:p>
        </w:tc>
        <w:tc>
          <w:tcPr>
            <w:tcW w:w="991" w:type="dxa"/>
          </w:tcPr>
          <w:p w14:paraId="67CFAFF3"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962" w:name="_Toc4062601"/>
            <w:r w:rsidRPr="00537128">
              <w:rPr>
                <w:rFonts w:ascii="Calibri" w:eastAsia="Times New Roman" w:hAnsi="Calibri" w:cs="Arial"/>
                <w:b/>
                <w:sz w:val="18"/>
                <w:szCs w:val="18"/>
                <w:lang w:val="en-US"/>
              </w:rPr>
              <w:t>Up to 1 month</w:t>
            </w:r>
            <w:bookmarkEnd w:id="962"/>
          </w:p>
        </w:tc>
        <w:tc>
          <w:tcPr>
            <w:tcW w:w="1134" w:type="dxa"/>
          </w:tcPr>
          <w:p w14:paraId="259DFED5"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963" w:name="_Toc4062602"/>
            <w:r w:rsidRPr="00537128">
              <w:rPr>
                <w:rFonts w:ascii="Calibri" w:eastAsia="Times New Roman" w:hAnsi="Calibri" w:cs="Arial"/>
                <w:b/>
                <w:sz w:val="18"/>
                <w:szCs w:val="18"/>
                <w:lang w:val="en-US"/>
              </w:rPr>
              <w:t>1 - 3 months</w:t>
            </w:r>
            <w:bookmarkEnd w:id="963"/>
          </w:p>
        </w:tc>
        <w:tc>
          <w:tcPr>
            <w:tcW w:w="1134" w:type="dxa"/>
          </w:tcPr>
          <w:p w14:paraId="3945E707"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964" w:name="_Toc4062603"/>
            <w:r w:rsidRPr="00537128">
              <w:rPr>
                <w:rFonts w:ascii="Calibri" w:eastAsia="Times New Roman" w:hAnsi="Calibri" w:cs="Arial"/>
                <w:b/>
                <w:sz w:val="18"/>
                <w:szCs w:val="18"/>
                <w:lang w:val="en-US"/>
              </w:rPr>
              <w:t>3 - 12</w:t>
            </w:r>
            <w:bookmarkEnd w:id="964"/>
            <w:r w:rsidRPr="00537128">
              <w:rPr>
                <w:rFonts w:ascii="Calibri" w:eastAsia="Times New Roman" w:hAnsi="Calibri" w:cs="Arial"/>
                <w:b/>
                <w:sz w:val="18"/>
                <w:szCs w:val="18"/>
                <w:lang w:val="en-US"/>
              </w:rPr>
              <w:t xml:space="preserve"> </w:t>
            </w:r>
          </w:p>
          <w:p w14:paraId="49BCD37B"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965" w:name="_Toc4062604"/>
            <w:r w:rsidRPr="00537128">
              <w:rPr>
                <w:rFonts w:ascii="Calibri" w:eastAsia="Times New Roman" w:hAnsi="Calibri" w:cs="Arial"/>
                <w:b/>
                <w:sz w:val="18"/>
                <w:szCs w:val="18"/>
                <w:lang w:val="en-US"/>
              </w:rPr>
              <w:t>months</w:t>
            </w:r>
            <w:bookmarkEnd w:id="965"/>
          </w:p>
        </w:tc>
        <w:tc>
          <w:tcPr>
            <w:tcW w:w="1134" w:type="dxa"/>
          </w:tcPr>
          <w:p w14:paraId="6C09EAA6"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966" w:name="_Toc4062605"/>
            <w:r w:rsidRPr="00537128">
              <w:rPr>
                <w:rFonts w:ascii="Calibri" w:eastAsia="Times New Roman" w:hAnsi="Calibri" w:cs="Arial"/>
                <w:b/>
                <w:sz w:val="18"/>
                <w:szCs w:val="18"/>
                <w:lang w:val="en-US"/>
              </w:rPr>
              <w:t>1 - 3</w:t>
            </w:r>
            <w:bookmarkEnd w:id="966"/>
            <w:r w:rsidRPr="00537128">
              <w:rPr>
                <w:rFonts w:ascii="Calibri" w:eastAsia="Times New Roman" w:hAnsi="Calibri" w:cs="Arial"/>
                <w:b/>
                <w:sz w:val="18"/>
                <w:szCs w:val="18"/>
                <w:lang w:val="en-US"/>
              </w:rPr>
              <w:t xml:space="preserve"> </w:t>
            </w:r>
          </w:p>
          <w:p w14:paraId="537BE1C2"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967" w:name="_Toc4062606"/>
            <w:r w:rsidRPr="00537128">
              <w:rPr>
                <w:rFonts w:ascii="Calibri" w:eastAsia="Times New Roman" w:hAnsi="Calibri" w:cs="Arial"/>
                <w:b/>
                <w:sz w:val="18"/>
                <w:szCs w:val="18"/>
                <w:lang w:val="en-US"/>
              </w:rPr>
              <w:t>years</w:t>
            </w:r>
            <w:bookmarkEnd w:id="967"/>
          </w:p>
        </w:tc>
        <w:tc>
          <w:tcPr>
            <w:tcW w:w="1134" w:type="dxa"/>
          </w:tcPr>
          <w:p w14:paraId="5290A844"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bookmarkStart w:id="968" w:name="_Toc4062607"/>
            <w:r w:rsidRPr="00537128">
              <w:rPr>
                <w:rFonts w:ascii="Calibri" w:eastAsia="Times New Roman" w:hAnsi="Calibri" w:cs="Arial"/>
                <w:b/>
                <w:sz w:val="18"/>
                <w:szCs w:val="18"/>
                <w:lang w:val="en-US"/>
              </w:rPr>
              <w:t>Over 3 years</w:t>
            </w:r>
            <w:bookmarkEnd w:id="968"/>
          </w:p>
        </w:tc>
        <w:tc>
          <w:tcPr>
            <w:tcW w:w="1134" w:type="dxa"/>
          </w:tcPr>
          <w:p w14:paraId="12941BE9"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969" w:name="_Toc4062608"/>
            <w:r w:rsidRPr="00537128">
              <w:rPr>
                <w:rFonts w:ascii="Calibri" w:eastAsia="Times New Roman" w:hAnsi="Calibri" w:cs="Arial"/>
                <w:b/>
                <w:sz w:val="18"/>
                <w:szCs w:val="18"/>
                <w:lang w:val="en-US"/>
              </w:rPr>
              <w:t>Total</w:t>
            </w:r>
            <w:bookmarkEnd w:id="969"/>
          </w:p>
        </w:tc>
      </w:tr>
      <w:tr w:rsidR="003D584A" w:rsidRPr="00537128" w14:paraId="54F9C1F9" w14:textId="77777777" w:rsidTr="00703DBC">
        <w:trPr>
          <w:trHeight w:hRule="exact" w:val="264"/>
          <w:jc w:val="center"/>
        </w:trPr>
        <w:tc>
          <w:tcPr>
            <w:tcW w:w="2981" w:type="dxa"/>
          </w:tcPr>
          <w:p w14:paraId="22DE6F58" w14:textId="77777777" w:rsidR="003D584A" w:rsidRPr="00537128" w:rsidRDefault="003D584A" w:rsidP="003D584A">
            <w:pPr>
              <w:tabs>
                <w:tab w:val="left" w:pos="-720"/>
              </w:tabs>
              <w:suppressAutoHyphens/>
              <w:spacing w:after="0" w:line="240" w:lineRule="auto"/>
              <w:jc w:val="center"/>
              <w:rPr>
                <w:rFonts w:ascii="Calibri" w:eastAsia="Times New Roman" w:hAnsi="Calibri" w:cs="Arial"/>
                <w:b/>
                <w:spacing w:val="-2"/>
                <w:sz w:val="18"/>
                <w:szCs w:val="18"/>
                <w:lang w:val="en-US"/>
              </w:rPr>
            </w:pPr>
          </w:p>
        </w:tc>
        <w:tc>
          <w:tcPr>
            <w:tcW w:w="991" w:type="dxa"/>
            <w:vAlign w:val="bottom"/>
          </w:tcPr>
          <w:p w14:paraId="4A6259A9"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970" w:name="_Toc4062609"/>
            <w:r w:rsidRPr="00537128">
              <w:rPr>
                <w:rFonts w:ascii="Calibri" w:eastAsia="Times New Roman" w:hAnsi="Calibri" w:cs="Arial"/>
                <w:b/>
                <w:bCs/>
                <w:sz w:val="18"/>
                <w:szCs w:val="18"/>
                <w:lang w:val="en-US"/>
              </w:rPr>
              <w:t>HRK ‘000</w:t>
            </w:r>
            <w:bookmarkEnd w:id="970"/>
          </w:p>
        </w:tc>
        <w:tc>
          <w:tcPr>
            <w:tcW w:w="1134" w:type="dxa"/>
            <w:vAlign w:val="bottom"/>
          </w:tcPr>
          <w:p w14:paraId="3A16884E" w14:textId="77777777" w:rsidR="003D584A" w:rsidRPr="00537128" w:rsidRDefault="003D584A" w:rsidP="003D584A">
            <w:pPr>
              <w:tabs>
                <w:tab w:val="center" w:pos="4153"/>
                <w:tab w:val="right" w:pos="8306"/>
              </w:tabs>
              <w:spacing w:after="0" w:line="240" w:lineRule="auto"/>
              <w:jc w:val="right"/>
              <w:rPr>
                <w:rFonts w:ascii="Calibri" w:eastAsia="Times New Roman" w:hAnsi="Calibri" w:cs="Arial"/>
                <w:b/>
                <w:spacing w:val="-2"/>
                <w:sz w:val="18"/>
                <w:szCs w:val="18"/>
                <w:lang w:val="en-US"/>
              </w:rPr>
            </w:pPr>
            <w:r w:rsidRPr="00537128">
              <w:rPr>
                <w:rFonts w:ascii="Calibri" w:eastAsia="Times New Roman" w:hAnsi="Calibri" w:cs="Arial"/>
                <w:b/>
                <w:spacing w:val="-2"/>
                <w:sz w:val="18"/>
                <w:szCs w:val="18"/>
                <w:lang w:val="en-US"/>
              </w:rPr>
              <w:t>HRK ‘000</w:t>
            </w:r>
          </w:p>
        </w:tc>
        <w:tc>
          <w:tcPr>
            <w:tcW w:w="1134" w:type="dxa"/>
            <w:vAlign w:val="bottom"/>
          </w:tcPr>
          <w:p w14:paraId="0D77DEFF"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971" w:name="_Toc4062610"/>
            <w:r w:rsidRPr="00537128">
              <w:rPr>
                <w:rFonts w:ascii="Calibri" w:eastAsia="Times New Roman" w:hAnsi="Calibri" w:cs="Arial"/>
                <w:b/>
                <w:bCs/>
                <w:sz w:val="18"/>
                <w:szCs w:val="18"/>
                <w:lang w:val="en-US"/>
              </w:rPr>
              <w:t>HRK ‘000</w:t>
            </w:r>
            <w:bookmarkEnd w:id="971"/>
          </w:p>
        </w:tc>
        <w:tc>
          <w:tcPr>
            <w:tcW w:w="1134" w:type="dxa"/>
            <w:vAlign w:val="bottom"/>
          </w:tcPr>
          <w:p w14:paraId="4AB29B20"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972" w:name="_Toc4062611"/>
            <w:r w:rsidRPr="00537128">
              <w:rPr>
                <w:rFonts w:ascii="Calibri" w:eastAsia="Times New Roman" w:hAnsi="Calibri" w:cs="Arial"/>
                <w:b/>
                <w:bCs/>
                <w:sz w:val="18"/>
                <w:szCs w:val="18"/>
                <w:lang w:val="en-US"/>
              </w:rPr>
              <w:t>HRK ‘000</w:t>
            </w:r>
            <w:bookmarkEnd w:id="972"/>
          </w:p>
        </w:tc>
        <w:tc>
          <w:tcPr>
            <w:tcW w:w="1134" w:type="dxa"/>
            <w:vAlign w:val="bottom"/>
          </w:tcPr>
          <w:p w14:paraId="40F60732"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bookmarkStart w:id="973" w:name="_Toc4062612"/>
            <w:r w:rsidRPr="00537128">
              <w:rPr>
                <w:rFonts w:ascii="Calibri" w:eastAsia="Times New Roman" w:hAnsi="Calibri" w:cs="Arial"/>
                <w:b/>
                <w:bCs/>
                <w:sz w:val="18"/>
                <w:szCs w:val="18"/>
                <w:lang w:val="en-US"/>
              </w:rPr>
              <w:t>HRK ‘000</w:t>
            </w:r>
            <w:bookmarkEnd w:id="973"/>
          </w:p>
        </w:tc>
        <w:tc>
          <w:tcPr>
            <w:tcW w:w="1134" w:type="dxa"/>
            <w:vAlign w:val="bottom"/>
          </w:tcPr>
          <w:p w14:paraId="397EEA92"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974" w:name="_Toc4062613"/>
            <w:r w:rsidRPr="00537128">
              <w:rPr>
                <w:rFonts w:ascii="Calibri" w:eastAsia="Times New Roman" w:hAnsi="Calibri" w:cs="Arial"/>
                <w:b/>
                <w:bCs/>
                <w:sz w:val="18"/>
                <w:szCs w:val="18"/>
                <w:lang w:val="en-US"/>
              </w:rPr>
              <w:t>HRK ‘000</w:t>
            </w:r>
            <w:bookmarkEnd w:id="974"/>
          </w:p>
        </w:tc>
      </w:tr>
      <w:tr w:rsidR="003D584A" w:rsidRPr="00537128" w14:paraId="785E702E" w14:textId="77777777" w:rsidTr="00703DBC">
        <w:trPr>
          <w:trHeight w:hRule="exact" w:val="264"/>
          <w:jc w:val="center"/>
        </w:trPr>
        <w:tc>
          <w:tcPr>
            <w:tcW w:w="2981" w:type="dxa"/>
            <w:vAlign w:val="bottom"/>
          </w:tcPr>
          <w:p w14:paraId="0C934C9F" w14:textId="77777777" w:rsidR="003D584A" w:rsidRPr="00537128" w:rsidRDefault="003D584A" w:rsidP="003D584A">
            <w:pPr>
              <w:tabs>
                <w:tab w:val="right" w:pos="1202"/>
              </w:tabs>
              <w:spacing w:after="0" w:line="240" w:lineRule="auto"/>
              <w:outlineLvl w:val="0"/>
              <w:rPr>
                <w:rFonts w:ascii="Calibri" w:eastAsia="Times New Roman" w:hAnsi="Calibri" w:cs="Arial"/>
                <w:b/>
                <w:bCs/>
                <w:sz w:val="18"/>
                <w:szCs w:val="18"/>
                <w:lang w:val="en-US"/>
              </w:rPr>
            </w:pPr>
            <w:bookmarkStart w:id="975" w:name="_Toc4062614"/>
            <w:r w:rsidRPr="00537128">
              <w:rPr>
                <w:rFonts w:ascii="Calibri" w:eastAsia="Times New Roman" w:hAnsi="Calibri" w:cs="Arial"/>
                <w:b/>
                <w:bCs/>
                <w:sz w:val="18"/>
                <w:szCs w:val="18"/>
                <w:lang w:val="en-US"/>
              </w:rPr>
              <w:t>Financial liabilities</w:t>
            </w:r>
            <w:bookmarkEnd w:id="975"/>
          </w:p>
        </w:tc>
        <w:tc>
          <w:tcPr>
            <w:tcW w:w="991" w:type="dxa"/>
            <w:vAlign w:val="bottom"/>
          </w:tcPr>
          <w:p w14:paraId="09EF171A"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345601C9"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628F3E7B"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2C5CD2F2"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001554BA"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4D6009A2" w14:textId="77777777" w:rsidR="003D584A" w:rsidRPr="00537128" w:rsidRDefault="003D584A" w:rsidP="003D584A">
            <w:pPr>
              <w:spacing w:after="0" w:line="240" w:lineRule="auto"/>
              <w:jc w:val="right"/>
              <w:outlineLvl w:val="0"/>
              <w:rPr>
                <w:rFonts w:ascii="Calibri" w:eastAsia="Times New Roman" w:hAnsi="Calibri" w:cs="Arial"/>
                <w:b/>
                <w:bCs/>
                <w:sz w:val="18"/>
                <w:szCs w:val="18"/>
                <w:lang w:val="en-US"/>
              </w:rPr>
            </w:pPr>
          </w:p>
        </w:tc>
      </w:tr>
      <w:tr w:rsidR="00510919" w:rsidRPr="00537128" w14:paraId="40B48C50" w14:textId="77777777" w:rsidTr="00187612">
        <w:trPr>
          <w:trHeight w:hRule="exact" w:val="227"/>
          <w:jc w:val="center"/>
        </w:trPr>
        <w:tc>
          <w:tcPr>
            <w:tcW w:w="2981" w:type="dxa"/>
            <w:vAlign w:val="bottom"/>
          </w:tcPr>
          <w:p w14:paraId="5A028481" w14:textId="77777777" w:rsidR="00510919" w:rsidRPr="00537128" w:rsidRDefault="00510919" w:rsidP="00510919">
            <w:pPr>
              <w:tabs>
                <w:tab w:val="right" w:pos="1202"/>
                <w:tab w:val="center" w:pos="4153"/>
                <w:tab w:val="right" w:pos="8306"/>
              </w:tabs>
              <w:spacing w:after="0" w:line="240" w:lineRule="auto"/>
              <w:outlineLvl w:val="0"/>
              <w:rPr>
                <w:rFonts w:ascii="Calibri" w:eastAsia="Times New Roman" w:hAnsi="Calibri" w:cs="Arial"/>
                <w:sz w:val="18"/>
                <w:szCs w:val="18"/>
                <w:lang w:val="en-US"/>
              </w:rPr>
            </w:pPr>
            <w:bookmarkStart w:id="976" w:name="_Toc4062615"/>
            <w:r w:rsidRPr="00537128">
              <w:rPr>
                <w:rFonts w:ascii="Calibri" w:eastAsia="Times New Roman" w:hAnsi="Calibri" w:cs="Arial"/>
                <w:sz w:val="18"/>
                <w:szCs w:val="18"/>
                <w:lang w:val="en-US"/>
              </w:rPr>
              <w:t>Deposits from customers</w:t>
            </w:r>
            <w:bookmarkEnd w:id="976"/>
          </w:p>
        </w:tc>
        <w:tc>
          <w:tcPr>
            <w:tcW w:w="991" w:type="dxa"/>
            <w:tcBorders>
              <w:top w:val="nil"/>
              <w:left w:val="nil"/>
              <w:bottom w:val="nil"/>
              <w:right w:val="nil"/>
            </w:tcBorders>
            <w:shd w:val="clear" w:color="auto" w:fill="auto"/>
            <w:vAlign w:val="center"/>
          </w:tcPr>
          <w:p w14:paraId="2DA22301" w14:textId="6849078C" w:rsidR="00510919" w:rsidRPr="00537128" w:rsidRDefault="00510919" w:rsidP="00510919">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6757A7">
              <w:rPr>
                <w:rFonts w:cstheme="minorHAnsi"/>
                <w:sz w:val="18"/>
                <w:szCs w:val="18"/>
              </w:rPr>
              <w:t>280</w:t>
            </w:r>
            <w:r w:rsidR="00EE757B">
              <w:rPr>
                <w:rFonts w:cstheme="minorHAnsi"/>
                <w:sz w:val="18"/>
                <w:szCs w:val="18"/>
              </w:rPr>
              <w:t>,</w:t>
            </w:r>
            <w:r w:rsidRPr="006757A7">
              <w:rPr>
                <w:rFonts w:cstheme="minorHAnsi"/>
                <w:sz w:val="18"/>
                <w:szCs w:val="18"/>
              </w:rPr>
              <w:t>893</w:t>
            </w:r>
          </w:p>
        </w:tc>
        <w:tc>
          <w:tcPr>
            <w:tcW w:w="1134" w:type="dxa"/>
            <w:tcBorders>
              <w:top w:val="nil"/>
              <w:left w:val="nil"/>
              <w:bottom w:val="nil"/>
              <w:right w:val="nil"/>
            </w:tcBorders>
            <w:shd w:val="clear" w:color="auto" w:fill="auto"/>
            <w:vAlign w:val="center"/>
          </w:tcPr>
          <w:p w14:paraId="4025A48C" w14:textId="062245E0" w:rsidR="00510919" w:rsidRPr="00537128" w:rsidRDefault="00510919" w:rsidP="00510919">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6757A7">
              <w:rPr>
                <w:rFonts w:cstheme="minorHAnsi"/>
                <w:sz w:val="18"/>
                <w:szCs w:val="18"/>
              </w:rPr>
              <w:t>40</w:t>
            </w:r>
            <w:r w:rsidR="00EE757B">
              <w:rPr>
                <w:rFonts w:cstheme="minorHAnsi"/>
                <w:sz w:val="18"/>
                <w:szCs w:val="18"/>
              </w:rPr>
              <w:t>,</w:t>
            </w:r>
            <w:r w:rsidRPr="006757A7">
              <w:rPr>
                <w:rFonts w:cstheme="minorHAnsi"/>
                <w:sz w:val="18"/>
                <w:szCs w:val="18"/>
              </w:rPr>
              <w:t>169</w:t>
            </w:r>
          </w:p>
        </w:tc>
        <w:tc>
          <w:tcPr>
            <w:tcW w:w="1134" w:type="dxa"/>
            <w:tcBorders>
              <w:top w:val="nil"/>
              <w:left w:val="nil"/>
              <w:bottom w:val="nil"/>
              <w:right w:val="nil"/>
            </w:tcBorders>
            <w:shd w:val="clear" w:color="auto" w:fill="auto"/>
            <w:vAlign w:val="center"/>
          </w:tcPr>
          <w:p w14:paraId="7F2657C3" w14:textId="73B6694D" w:rsidR="00510919" w:rsidRPr="00537128" w:rsidRDefault="00510919" w:rsidP="00510919">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6757A7">
              <w:rPr>
                <w:rFonts w:cstheme="minorHAnsi"/>
                <w:sz w:val="18"/>
                <w:szCs w:val="18"/>
              </w:rPr>
              <w:t>88</w:t>
            </w:r>
            <w:r w:rsidR="00EE757B">
              <w:rPr>
                <w:rFonts w:cstheme="minorHAnsi"/>
                <w:sz w:val="18"/>
                <w:szCs w:val="18"/>
              </w:rPr>
              <w:t>,</w:t>
            </w:r>
            <w:r w:rsidRPr="006757A7">
              <w:rPr>
                <w:rFonts w:cstheme="minorHAnsi"/>
                <w:sz w:val="18"/>
                <w:szCs w:val="18"/>
              </w:rPr>
              <w:t>869</w:t>
            </w:r>
          </w:p>
        </w:tc>
        <w:tc>
          <w:tcPr>
            <w:tcW w:w="1134" w:type="dxa"/>
            <w:tcBorders>
              <w:top w:val="nil"/>
              <w:left w:val="nil"/>
              <w:bottom w:val="nil"/>
              <w:right w:val="nil"/>
            </w:tcBorders>
            <w:shd w:val="clear" w:color="auto" w:fill="auto"/>
            <w:vAlign w:val="center"/>
          </w:tcPr>
          <w:p w14:paraId="7D01C9EC" w14:textId="73B2E90A" w:rsidR="00510919" w:rsidRPr="00537128" w:rsidRDefault="00510919" w:rsidP="00510919">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6757A7">
              <w:rPr>
                <w:rFonts w:cstheme="minorHAnsi"/>
                <w:sz w:val="18"/>
                <w:szCs w:val="18"/>
              </w:rPr>
              <w:t>112</w:t>
            </w:r>
            <w:r w:rsidR="00EE757B">
              <w:rPr>
                <w:rFonts w:cstheme="minorHAnsi"/>
                <w:sz w:val="18"/>
                <w:szCs w:val="18"/>
              </w:rPr>
              <w:t>,</w:t>
            </w:r>
            <w:r w:rsidRPr="006757A7">
              <w:rPr>
                <w:rFonts w:cstheme="minorHAnsi"/>
                <w:sz w:val="18"/>
                <w:szCs w:val="18"/>
              </w:rPr>
              <w:t>341</w:t>
            </w:r>
          </w:p>
        </w:tc>
        <w:tc>
          <w:tcPr>
            <w:tcW w:w="1134" w:type="dxa"/>
            <w:tcBorders>
              <w:top w:val="nil"/>
              <w:left w:val="nil"/>
              <w:bottom w:val="nil"/>
              <w:right w:val="nil"/>
            </w:tcBorders>
            <w:shd w:val="clear" w:color="auto" w:fill="auto"/>
            <w:vAlign w:val="center"/>
          </w:tcPr>
          <w:p w14:paraId="48AC6D20" w14:textId="5B6CD00B" w:rsidR="00510919" w:rsidRPr="00537128" w:rsidRDefault="00510919" w:rsidP="00510919">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6757A7">
              <w:rPr>
                <w:rFonts w:cstheme="minorHAnsi"/>
                <w:sz w:val="18"/>
                <w:szCs w:val="18"/>
              </w:rPr>
              <w:t>85</w:t>
            </w:r>
            <w:r w:rsidR="00EE757B">
              <w:rPr>
                <w:rFonts w:cstheme="minorHAnsi"/>
                <w:sz w:val="18"/>
                <w:szCs w:val="18"/>
              </w:rPr>
              <w:t>,</w:t>
            </w:r>
            <w:r w:rsidRPr="006757A7">
              <w:rPr>
                <w:rFonts w:cstheme="minorHAnsi"/>
                <w:sz w:val="18"/>
                <w:szCs w:val="18"/>
              </w:rPr>
              <w:t>265</w:t>
            </w:r>
          </w:p>
        </w:tc>
        <w:tc>
          <w:tcPr>
            <w:tcW w:w="1134" w:type="dxa"/>
            <w:tcBorders>
              <w:top w:val="nil"/>
              <w:left w:val="nil"/>
              <w:bottom w:val="nil"/>
              <w:right w:val="nil"/>
            </w:tcBorders>
            <w:shd w:val="clear" w:color="auto" w:fill="auto"/>
            <w:vAlign w:val="center"/>
          </w:tcPr>
          <w:p w14:paraId="19E35159" w14:textId="6383FF56" w:rsidR="00510919" w:rsidRPr="00537128" w:rsidRDefault="00510919" w:rsidP="00510919">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6757A7">
              <w:rPr>
                <w:rFonts w:cstheme="minorHAnsi"/>
                <w:sz w:val="18"/>
                <w:szCs w:val="18"/>
              </w:rPr>
              <w:t>607</w:t>
            </w:r>
            <w:r w:rsidR="00EE757B">
              <w:rPr>
                <w:rFonts w:cstheme="minorHAnsi"/>
                <w:sz w:val="18"/>
                <w:szCs w:val="18"/>
              </w:rPr>
              <w:t>,</w:t>
            </w:r>
            <w:r w:rsidRPr="006757A7">
              <w:rPr>
                <w:rFonts w:cstheme="minorHAnsi"/>
                <w:sz w:val="18"/>
                <w:szCs w:val="18"/>
              </w:rPr>
              <w:t>537</w:t>
            </w:r>
          </w:p>
        </w:tc>
      </w:tr>
      <w:tr w:rsidR="00510919" w:rsidRPr="00537128" w14:paraId="12E4C496" w14:textId="77777777" w:rsidTr="00187612">
        <w:trPr>
          <w:trHeight w:hRule="exact" w:val="227"/>
          <w:jc w:val="center"/>
        </w:trPr>
        <w:tc>
          <w:tcPr>
            <w:tcW w:w="2981" w:type="dxa"/>
            <w:vAlign w:val="bottom"/>
          </w:tcPr>
          <w:p w14:paraId="6977AFC1" w14:textId="77777777" w:rsidR="00510919" w:rsidRPr="00537128" w:rsidRDefault="00510919" w:rsidP="00510919">
            <w:pPr>
              <w:tabs>
                <w:tab w:val="right" w:pos="1202"/>
                <w:tab w:val="center" w:pos="4153"/>
                <w:tab w:val="right" w:pos="8306"/>
              </w:tabs>
              <w:spacing w:after="0" w:line="240" w:lineRule="auto"/>
              <w:outlineLvl w:val="0"/>
              <w:rPr>
                <w:rFonts w:ascii="Calibri" w:eastAsia="Times New Roman" w:hAnsi="Calibri" w:cs="Arial"/>
                <w:sz w:val="18"/>
                <w:szCs w:val="18"/>
                <w:lang w:val="en-US"/>
              </w:rPr>
            </w:pPr>
            <w:bookmarkStart w:id="977" w:name="_Toc4062616"/>
            <w:r w:rsidRPr="00537128">
              <w:rPr>
                <w:rFonts w:ascii="Calibri" w:eastAsia="Times New Roman" w:hAnsi="Calibri" w:cs="Arial"/>
                <w:sz w:val="18"/>
                <w:szCs w:val="18"/>
                <w:lang w:val="en-US"/>
              </w:rPr>
              <w:t>Borrowings</w:t>
            </w:r>
            <w:bookmarkEnd w:id="977"/>
          </w:p>
        </w:tc>
        <w:tc>
          <w:tcPr>
            <w:tcW w:w="991" w:type="dxa"/>
            <w:tcBorders>
              <w:top w:val="nil"/>
              <w:left w:val="nil"/>
              <w:bottom w:val="nil"/>
              <w:right w:val="nil"/>
            </w:tcBorders>
            <w:shd w:val="clear" w:color="auto" w:fill="auto"/>
            <w:vAlign w:val="center"/>
          </w:tcPr>
          <w:p w14:paraId="2F9E5F06" w14:textId="1EADFCA9" w:rsidR="00510919" w:rsidRPr="00537128" w:rsidRDefault="00510919" w:rsidP="00510919">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6757A7">
              <w:rPr>
                <w:rFonts w:cstheme="minorHAnsi"/>
                <w:sz w:val="18"/>
                <w:szCs w:val="18"/>
              </w:rPr>
              <w:t>173</w:t>
            </w:r>
            <w:r w:rsidR="00EE757B">
              <w:rPr>
                <w:rFonts w:cstheme="minorHAnsi"/>
                <w:sz w:val="18"/>
                <w:szCs w:val="18"/>
              </w:rPr>
              <w:t>,</w:t>
            </w:r>
            <w:r w:rsidRPr="006757A7">
              <w:rPr>
                <w:rFonts w:cstheme="minorHAnsi"/>
                <w:sz w:val="18"/>
                <w:szCs w:val="18"/>
              </w:rPr>
              <w:t>742</w:t>
            </w:r>
          </w:p>
        </w:tc>
        <w:tc>
          <w:tcPr>
            <w:tcW w:w="1134" w:type="dxa"/>
            <w:tcBorders>
              <w:top w:val="nil"/>
              <w:left w:val="nil"/>
              <w:bottom w:val="nil"/>
              <w:right w:val="nil"/>
            </w:tcBorders>
            <w:shd w:val="clear" w:color="auto" w:fill="auto"/>
            <w:vAlign w:val="center"/>
          </w:tcPr>
          <w:p w14:paraId="69B02FD6" w14:textId="2F7A0DC8" w:rsidR="00510919" w:rsidRPr="00537128" w:rsidRDefault="00510919" w:rsidP="00510919">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6757A7">
              <w:rPr>
                <w:rFonts w:cstheme="minorHAnsi"/>
                <w:sz w:val="18"/>
                <w:szCs w:val="18"/>
              </w:rPr>
              <w:t>564</w:t>
            </w:r>
            <w:r w:rsidR="00EE757B">
              <w:rPr>
                <w:rFonts w:cstheme="minorHAnsi"/>
                <w:sz w:val="18"/>
                <w:szCs w:val="18"/>
              </w:rPr>
              <w:t>,</w:t>
            </w:r>
            <w:r w:rsidRPr="006757A7">
              <w:rPr>
                <w:rFonts w:cstheme="minorHAnsi"/>
                <w:sz w:val="18"/>
                <w:szCs w:val="18"/>
              </w:rPr>
              <w:t>373</w:t>
            </w:r>
          </w:p>
        </w:tc>
        <w:tc>
          <w:tcPr>
            <w:tcW w:w="1134" w:type="dxa"/>
            <w:tcBorders>
              <w:top w:val="nil"/>
              <w:left w:val="nil"/>
              <w:bottom w:val="nil"/>
              <w:right w:val="nil"/>
            </w:tcBorders>
            <w:shd w:val="clear" w:color="auto" w:fill="auto"/>
            <w:vAlign w:val="center"/>
          </w:tcPr>
          <w:p w14:paraId="27280999" w14:textId="6EAEB049" w:rsidR="00510919" w:rsidRPr="00537128" w:rsidRDefault="00510919" w:rsidP="00510919">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6757A7">
              <w:rPr>
                <w:rFonts w:cstheme="minorHAnsi"/>
                <w:sz w:val="18"/>
                <w:szCs w:val="18"/>
              </w:rPr>
              <w:t>1</w:t>
            </w:r>
            <w:r w:rsidR="00EE757B">
              <w:rPr>
                <w:rFonts w:cstheme="minorHAnsi"/>
                <w:sz w:val="18"/>
                <w:szCs w:val="18"/>
              </w:rPr>
              <w:t>,</w:t>
            </w:r>
            <w:r w:rsidRPr="006757A7">
              <w:rPr>
                <w:rFonts w:cstheme="minorHAnsi"/>
                <w:sz w:val="18"/>
                <w:szCs w:val="18"/>
              </w:rPr>
              <w:t>812</w:t>
            </w:r>
            <w:r w:rsidR="00EE757B">
              <w:rPr>
                <w:rFonts w:cstheme="minorHAnsi"/>
                <w:sz w:val="18"/>
                <w:szCs w:val="18"/>
              </w:rPr>
              <w:t>,</w:t>
            </w:r>
            <w:r w:rsidRPr="006757A7">
              <w:rPr>
                <w:rFonts w:cstheme="minorHAnsi"/>
                <w:sz w:val="18"/>
                <w:szCs w:val="18"/>
              </w:rPr>
              <w:t>211</w:t>
            </w:r>
          </w:p>
        </w:tc>
        <w:tc>
          <w:tcPr>
            <w:tcW w:w="1134" w:type="dxa"/>
            <w:tcBorders>
              <w:top w:val="nil"/>
              <w:left w:val="nil"/>
              <w:bottom w:val="nil"/>
              <w:right w:val="nil"/>
            </w:tcBorders>
            <w:shd w:val="clear" w:color="auto" w:fill="auto"/>
            <w:vAlign w:val="center"/>
          </w:tcPr>
          <w:p w14:paraId="4604F8CA" w14:textId="09374EA3" w:rsidR="00510919" w:rsidRPr="00537128" w:rsidRDefault="00510919" w:rsidP="00510919">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6757A7">
              <w:rPr>
                <w:rFonts w:cstheme="minorHAnsi"/>
                <w:sz w:val="18"/>
                <w:szCs w:val="18"/>
              </w:rPr>
              <w:t>5</w:t>
            </w:r>
            <w:r w:rsidR="00EE757B">
              <w:rPr>
                <w:rFonts w:cstheme="minorHAnsi"/>
                <w:sz w:val="18"/>
                <w:szCs w:val="18"/>
              </w:rPr>
              <w:t>,</w:t>
            </w:r>
            <w:r w:rsidRPr="006757A7">
              <w:rPr>
                <w:rFonts w:cstheme="minorHAnsi"/>
                <w:sz w:val="18"/>
                <w:szCs w:val="18"/>
              </w:rPr>
              <w:t>905</w:t>
            </w:r>
            <w:r w:rsidR="00EE757B">
              <w:rPr>
                <w:rFonts w:cstheme="minorHAnsi"/>
                <w:sz w:val="18"/>
                <w:szCs w:val="18"/>
              </w:rPr>
              <w:t>,</w:t>
            </w:r>
            <w:r w:rsidRPr="006757A7">
              <w:rPr>
                <w:rFonts w:cstheme="minorHAnsi"/>
                <w:sz w:val="18"/>
                <w:szCs w:val="18"/>
              </w:rPr>
              <w:t>674</w:t>
            </w:r>
          </w:p>
        </w:tc>
        <w:tc>
          <w:tcPr>
            <w:tcW w:w="1134" w:type="dxa"/>
            <w:tcBorders>
              <w:top w:val="nil"/>
              <w:left w:val="nil"/>
              <w:bottom w:val="nil"/>
              <w:right w:val="nil"/>
            </w:tcBorders>
            <w:shd w:val="clear" w:color="auto" w:fill="auto"/>
            <w:vAlign w:val="center"/>
          </w:tcPr>
          <w:p w14:paraId="47C93ECA" w14:textId="4A04EF03" w:rsidR="00510919" w:rsidRPr="00537128" w:rsidRDefault="00510919" w:rsidP="00510919">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6757A7">
              <w:rPr>
                <w:rFonts w:cstheme="minorHAnsi"/>
                <w:sz w:val="18"/>
                <w:szCs w:val="18"/>
              </w:rPr>
              <w:t>8</w:t>
            </w:r>
            <w:r w:rsidR="00EE757B">
              <w:rPr>
                <w:rFonts w:cstheme="minorHAnsi"/>
                <w:sz w:val="18"/>
                <w:szCs w:val="18"/>
              </w:rPr>
              <w:t>,</w:t>
            </w:r>
            <w:r w:rsidRPr="006757A7">
              <w:rPr>
                <w:rFonts w:cstheme="minorHAnsi"/>
                <w:sz w:val="18"/>
                <w:szCs w:val="18"/>
              </w:rPr>
              <w:t>377</w:t>
            </w:r>
            <w:r w:rsidR="00EE757B">
              <w:rPr>
                <w:rFonts w:cstheme="minorHAnsi"/>
                <w:sz w:val="18"/>
                <w:szCs w:val="18"/>
              </w:rPr>
              <w:t>,</w:t>
            </w:r>
            <w:r w:rsidRPr="006757A7">
              <w:rPr>
                <w:rFonts w:cstheme="minorHAnsi"/>
                <w:sz w:val="18"/>
                <w:szCs w:val="18"/>
              </w:rPr>
              <w:t>998</w:t>
            </w:r>
          </w:p>
        </w:tc>
        <w:tc>
          <w:tcPr>
            <w:tcW w:w="1134" w:type="dxa"/>
            <w:tcBorders>
              <w:top w:val="nil"/>
              <w:left w:val="nil"/>
              <w:bottom w:val="nil"/>
              <w:right w:val="nil"/>
            </w:tcBorders>
            <w:shd w:val="clear" w:color="auto" w:fill="auto"/>
            <w:vAlign w:val="center"/>
          </w:tcPr>
          <w:p w14:paraId="0E7AAA52" w14:textId="5600FF28" w:rsidR="00510919" w:rsidRPr="00EE757B" w:rsidRDefault="00510919" w:rsidP="00510919">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EE757B">
              <w:rPr>
                <w:rFonts w:cstheme="minorHAnsi"/>
                <w:sz w:val="18"/>
                <w:szCs w:val="18"/>
              </w:rPr>
              <w:t>16</w:t>
            </w:r>
            <w:r w:rsidR="00EE757B">
              <w:rPr>
                <w:rFonts w:cstheme="minorHAnsi"/>
                <w:sz w:val="18"/>
                <w:szCs w:val="18"/>
              </w:rPr>
              <w:t>,</w:t>
            </w:r>
            <w:r w:rsidRPr="00EE757B">
              <w:rPr>
                <w:rFonts w:cstheme="minorHAnsi"/>
                <w:sz w:val="18"/>
                <w:szCs w:val="18"/>
              </w:rPr>
              <w:t>833</w:t>
            </w:r>
            <w:r w:rsidR="00EE757B">
              <w:rPr>
                <w:rFonts w:cstheme="minorHAnsi"/>
                <w:sz w:val="18"/>
                <w:szCs w:val="18"/>
              </w:rPr>
              <w:t>,</w:t>
            </w:r>
            <w:r w:rsidRPr="00EE757B">
              <w:rPr>
                <w:rFonts w:cstheme="minorHAnsi"/>
                <w:sz w:val="18"/>
                <w:szCs w:val="18"/>
              </w:rPr>
              <w:t>998</w:t>
            </w:r>
          </w:p>
        </w:tc>
      </w:tr>
      <w:tr w:rsidR="00510919" w:rsidRPr="00537128" w14:paraId="4DB029D6" w14:textId="77777777" w:rsidTr="00187612">
        <w:trPr>
          <w:trHeight w:hRule="exact" w:val="442"/>
          <w:jc w:val="center"/>
        </w:trPr>
        <w:tc>
          <w:tcPr>
            <w:tcW w:w="2981" w:type="dxa"/>
            <w:vAlign w:val="bottom"/>
          </w:tcPr>
          <w:p w14:paraId="6D567C31" w14:textId="77777777" w:rsidR="00510919" w:rsidRPr="00537128" w:rsidRDefault="00510919" w:rsidP="00510919">
            <w:pPr>
              <w:tabs>
                <w:tab w:val="right" w:pos="1202"/>
                <w:tab w:val="center" w:pos="4153"/>
                <w:tab w:val="right" w:pos="8306"/>
              </w:tabs>
              <w:spacing w:after="0" w:line="240" w:lineRule="auto"/>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Provisions for guarantees, </w:t>
            </w:r>
            <w:proofErr w:type="gramStart"/>
            <w:r w:rsidRPr="00537128">
              <w:rPr>
                <w:rFonts w:ascii="Calibri" w:eastAsia="Times New Roman" w:hAnsi="Calibri" w:cs="Arial"/>
                <w:sz w:val="18"/>
                <w:szCs w:val="18"/>
                <w:lang w:val="en-US"/>
              </w:rPr>
              <w:t>commitments</w:t>
            </w:r>
            <w:proofErr w:type="gramEnd"/>
            <w:r w:rsidRPr="00537128">
              <w:rPr>
                <w:rFonts w:ascii="Calibri" w:eastAsia="Times New Roman" w:hAnsi="Calibri" w:cs="Arial"/>
                <w:sz w:val="18"/>
                <w:szCs w:val="18"/>
                <w:lang w:val="en-US"/>
              </w:rPr>
              <w:t xml:space="preserve"> and other liabilities</w:t>
            </w:r>
          </w:p>
        </w:tc>
        <w:tc>
          <w:tcPr>
            <w:tcW w:w="991" w:type="dxa"/>
            <w:tcBorders>
              <w:top w:val="nil"/>
              <w:left w:val="nil"/>
              <w:right w:val="nil"/>
            </w:tcBorders>
            <w:shd w:val="clear" w:color="auto" w:fill="auto"/>
            <w:vAlign w:val="center"/>
          </w:tcPr>
          <w:p w14:paraId="29E74B81" w14:textId="42E907D8" w:rsidR="00510919" w:rsidRPr="00537128" w:rsidDel="00441EDF" w:rsidRDefault="00510919" w:rsidP="00510919">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sidRPr="006757A7">
              <w:rPr>
                <w:rFonts w:cstheme="minorHAnsi"/>
                <w:sz w:val="18"/>
                <w:szCs w:val="18"/>
              </w:rPr>
              <w:t>76</w:t>
            </w:r>
            <w:r w:rsidR="00EE757B">
              <w:rPr>
                <w:rFonts w:cstheme="minorHAnsi"/>
                <w:sz w:val="18"/>
                <w:szCs w:val="18"/>
              </w:rPr>
              <w:t>,</w:t>
            </w:r>
            <w:r w:rsidRPr="006757A7">
              <w:rPr>
                <w:rFonts w:cstheme="minorHAnsi"/>
                <w:sz w:val="18"/>
                <w:szCs w:val="18"/>
              </w:rPr>
              <w:t>091</w:t>
            </w:r>
          </w:p>
        </w:tc>
        <w:tc>
          <w:tcPr>
            <w:tcW w:w="1134" w:type="dxa"/>
            <w:tcBorders>
              <w:top w:val="nil"/>
              <w:left w:val="nil"/>
              <w:right w:val="nil"/>
            </w:tcBorders>
            <w:shd w:val="clear" w:color="auto" w:fill="auto"/>
            <w:vAlign w:val="center"/>
          </w:tcPr>
          <w:p w14:paraId="29485654" w14:textId="7E7E6DC7" w:rsidR="00510919" w:rsidRPr="00537128" w:rsidDel="00441EDF" w:rsidRDefault="00510919" w:rsidP="00510919">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sidRPr="006757A7">
              <w:rPr>
                <w:rFonts w:cstheme="minorHAnsi"/>
                <w:sz w:val="18"/>
                <w:szCs w:val="18"/>
              </w:rPr>
              <w:t>5</w:t>
            </w:r>
            <w:r w:rsidR="00EE757B">
              <w:rPr>
                <w:rFonts w:cstheme="minorHAnsi"/>
                <w:sz w:val="18"/>
                <w:szCs w:val="18"/>
              </w:rPr>
              <w:t>,</w:t>
            </w:r>
            <w:r w:rsidRPr="006757A7">
              <w:rPr>
                <w:rFonts w:cstheme="minorHAnsi"/>
                <w:sz w:val="18"/>
                <w:szCs w:val="18"/>
              </w:rPr>
              <w:t>261</w:t>
            </w:r>
          </w:p>
        </w:tc>
        <w:tc>
          <w:tcPr>
            <w:tcW w:w="1134" w:type="dxa"/>
            <w:tcBorders>
              <w:top w:val="nil"/>
              <w:left w:val="nil"/>
              <w:right w:val="nil"/>
            </w:tcBorders>
            <w:shd w:val="clear" w:color="auto" w:fill="auto"/>
            <w:vAlign w:val="center"/>
          </w:tcPr>
          <w:p w14:paraId="57248C69" w14:textId="51C46B55" w:rsidR="00510919" w:rsidRPr="00537128" w:rsidDel="00441EDF" w:rsidRDefault="00510919" w:rsidP="00510919">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sidRPr="006757A7">
              <w:rPr>
                <w:rFonts w:cstheme="minorHAnsi"/>
                <w:sz w:val="18"/>
                <w:szCs w:val="18"/>
              </w:rPr>
              <w:t>15</w:t>
            </w:r>
            <w:r w:rsidR="00EE757B">
              <w:rPr>
                <w:rFonts w:cstheme="minorHAnsi"/>
                <w:sz w:val="18"/>
                <w:szCs w:val="18"/>
              </w:rPr>
              <w:t>,</w:t>
            </w:r>
            <w:r w:rsidRPr="006757A7">
              <w:rPr>
                <w:rFonts w:cstheme="minorHAnsi"/>
                <w:sz w:val="18"/>
                <w:szCs w:val="18"/>
              </w:rPr>
              <w:t>271</w:t>
            </w:r>
          </w:p>
        </w:tc>
        <w:tc>
          <w:tcPr>
            <w:tcW w:w="1134" w:type="dxa"/>
            <w:tcBorders>
              <w:top w:val="nil"/>
              <w:left w:val="nil"/>
              <w:right w:val="nil"/>
            </w:tcBorders>
            <w:shd w:val="clear" w:color="auto" w:fill="auto"/>
            <w:vAlign w:val="center"/>
          </w:tcPr>
          <w:p w14:paraId="302B8551" w14:textId="4CAC7178" w:rsidR="00510919" w:rsidRPr="00537128" w:rsidDel="00441EDF" w:rsidRDefault="00510919" w:rsidP="00510919">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sidRPr="006757A7">
              <w:rPr>
                <w:rFonts w:cstheme="minorHAnsi"/>
                <w:sz w:val="18"/>
                <w:szCs w:val="18"/>
              </w:rPr>
              <w:t>24</w:t>
            </w:r>
            <w:r w:rsidR="00EE757B">
              <w:rPr>
                <w:rFonts w:cstheme="minorHAnsi"/>
                <w:sz w:val="18"/>
                <w:szCs w:val="18"/>
              </w:rPr>
              <w:t>,</w:t>
            </w:r>
            <w:r w:rsidRPr="006757A7">
              <w:rPr>
                <w:rFonts w:cstheme="minorHAnsi"/>
                <w:sz w:val="18"/>
                <w:szCs w:val="18"/>
              </w:rPr>
              <w:t>605</w:t>
            </w:r>
          </w:p>
        </w:tc>
        <w:tc>
          <w:tcPr>
            <w:tcW w:w="1134" w:type="dxa"/>
            <w:tcBorders>
              <w:top w:val="nil"/>
              <w:left w:val="nil"/>
              <w:right w:val="nil"/>
            </w:tcBorders>
            <w:shd w:val="clear" w:color="auto" w:fill="auto"/>
            <w:vAlign w:val="center"/>
          </w:tcPr>
          <w:p w14:paraId="10A640DB" w14:textId="5CB4B77E" w:rsidR="00510919" w:rsidRPr="00537128" w:rsidDel="00441EDF" w:rsidRDefault="00510919" w:rsidP="00510919">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sidRPr="006757A7">
              <w:rPr>
                <w:rFonts w:cstheme="minorHAnsi"/>
                <w:sz w:val="18"/>
                <w:szCs w:val="18"/>
              </w:rPr>
              <w:t>23</w:t>
            </w:r>
            <w:r w:rsidR="00EE757B">
              <w:rPr>
                <w:rFonts w:cstheme="minorHAnsi"/>
                <w:sz w:val="18"/>
                <w:szCs w:val="18"/>
              </w:rPr>
              <w:t>,</w:t>
            </w:r>
            <w:r w:rsidRPr="006757A7">
              <w:rPr>
                <w:rFonts w:cstheme="minorHAnsi"/>
                <w:sz w:val="18"/>
                <w:szCs w:val="18"/>
              </w:rPr>
              <w:t>420</w:t>
            </w:r>
          </w:p>
        </w:tc>
        <w:tc>
          <w:tcPr>
            <w:tcW w:w="1134" w:type="dxa"/>
            <w:tcBorders>
              <w:top w:val="nil"/>
              <w:left w:val="nil"/>
              <w:right w:val="nil"/>
            </w:tcBorders>
            <w:shd w:val="clear" w:color="auto" w:fill="auto"/>
            <w:vAlign w:val="center"/>
          </w:tcPr>
          <w:p w14:paraId="5512CF86" w14:textId="6B20E30C" w:rsidR="00510919" w:rsidRPr="00537128" w:rsidDel="00441EDF" w:rsidRDefault="00510919" w:rsidP="00510919">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sidRPr="006757A7">
              <w:rPr>
                <w:rFonts w:cstheme="minorHAnsi"/>
                <w:sz w:val="18"/>
                <w:szCs w:val="18"/>
              </w:rPr>
              <w:t>144</w:t>
            </w:r>
            <w:r w:rsidR="00EE757B">
              <w:rPr>
                <w:rFonts w:cstheme="minorHAnsi"/>
                <w:sz w:val="18"/>
                <w:szCs w:val="18"/>
              </w:rPr>
              <w:t>,</w:t>
            </w:r>
            <w:r w:rsidRPr="006757A7">
              <w:rPr>
                <w:rFonts w:cstheme="minorHAnsi"/>
                <w:sz w:val="18"/>
                <w:szCs w:val="18"/>
              </w:rPr>
              <w:t>648</w:t>
            </w:r>
          </w:p>
        </w:tc>
      </w:tr>
      <w:tr w:rsidR="00510919" w:rsidRPr="00537128" w14:paraId="389CB4A1" w14:textId="77777777" w:rsidTr="00187612">
        <w:trPr>
          <w:trHeight w:hRule="exact" w:val="227"/>
          <w:jc w:val="center"/>
        </w:trPr>
        <w:tc>
          <w:tcPr>
            <w:tcW w:w="2981" w:type="dxa"/>
            <w:vAlign w:val="bottom"/>
          </w:tcPr>
          <w:p w14:paraId="7A41CEA1" w14:textId="77777777" w:rsidR="00510919" w:rsidRPr="00537128" w:rsidRDefault="00510919" w:rsidP="00510919">
            <w:pPr>
              <w:tabs>
                <w:tab w:val="right" w:pos="1202"/>
                <w:tab w:val="center" w:pos="4153"/>
                <w:tab w:val="right" w:pos="8306"/>
              </w:tabs>
              <w:spacing w:after="0" w:line="240" w:lineRule="auto"/>
              <w:outlineLvl w:val="0"/>
              <w:rPr>
                <w:rFonts w:ascii="Calibri" w:eastAsia="Times New Roman" w:hAnsi="Calibri" w:cs="Arial"/>
                <w:sz w:val="18"/>
                <w:szCs w:val="18"/>
                <w:lang w:val="en-US"/>
              </w:rPr>
            </w:pPr>
            <w:bookmarkStart w:id="978" w:name="_Toc4062618"/>
            <w:r w:rsidRPr="00537128">
              <w:rPr>
                <w:rFonts w:ascii="Calibri" w:eastAsia="Times New Roman" w:hAnsi="Calibri" w:cs="Arial"/>
                <w:sz w:val="18"/>
                <w:szCs w:val="18"/>
                <w:lang w:val="en-US"/>
              </w:rPr>
              <w:t>Other liabilities</w:t>
            </w:r>
            <w:bookmarkEnd w:id="978"/>
          </w:p>
        </w:tc>
        <w:tc>
          <w:tcPr>
            <w:tcW w:w="991" w:type="dxa"/>
            <w:tcBorders>
              <w:top w:val="nil"/>
              <w:left w:val="nil"/>
              <w:bottom w:val="single" w:sz="4" w:space="0" w:color="auto"/>
              <w:right w:val="nil"/>
            </w:tcBorders>
            <w:shd w:val="clear" w:color="auto" w:fill="auto"/>
            <w:vAlign w:val="center"/>
          </w:tcPr>
          <w:p w14:paraId="49A0F92A" w14:textId="613F938F" w:rsidR="00510919" w:rsidRPr="00537128" w:rsidRDefault="00510919" w:rsidP="00510919">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6757A7">
              <w:rPr>
                <w:rFonts w:cstheme="minorHAnsi"/>
                <w:sz w:val="18"/>
                <w:szCs w:val="18"/>
              </w:rPr>
              <w:t>194</w:t>
            </w:r>
            <w:r w:rsidR="00EE757B">
              <w:rPr>
                <w:rFonts w:cstheme="minorHAnsi"/>
                <w:sz w:val="18"/>
                <w:szCs w:val="18"/>
              </w:rPr>
              <w:t>,</w:t>
            </w:r>
            <w:r w:rsidRPr="006757A7">
              <w:rPr>
                <w:rFonts w:cstheme="minorHAnsi"/>
                <w:sz w:val="18"/>
                <w:szCs w:val="18"/>
              </w:rPr>
              <w:t>273</w:t>
            </w:r>
          </w:p>
        </w:tc>
        <w:tc>
          <w:tcPr>
            <w:tcW w:w="1134" w:type="dxa"/>
            <w:tcBorders>
              <w:top w:val="nil"/>
              <w:left w:val="nil"/>
              <w:bottom w:val="single" w:sz="4" w:space="0" w:color="auto"/>
              <w:right w:val="nil"/>
            </w:tcBorders>
            <w:shd w:val="clear" w:color="auto" w:fill="auto"/>
            <w:vAlign w:val="center"/>
          </w:tcPr>
          <w:p w14:paraId="3F8391B5" w14:textId="098DF407" w:rsidR="00510919" w:rsidRPr="00537128" w:rsidRDefault="00510919" w:rsidP="00510919">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6757A7">
              <w:rPr>
                <w:rFonts w:cstheme="minorHAnsi"/>
                <w:sz w:val="18"/>
                <w:szCs w:val="18"/>
              </w:rPr>
              <w:t>13</w:t>
            </w:r>
            <w:r w:rsidR="00EE757B">
              <w:rPr>
                <w:rFonts w:cstheme="minorHAnsi"/>
                <w:sz w:val="18"/>
                <w:szCs w:val="18"/>
              </w:rPr>
              <w:t>,</w:t>
            </w:r>
            <w:r w:rsidRPr="006757A7">
              <w:rPr>
                <w:rFonts w:cstheme="minorHAnsi"/>
                <w:sz w:val="18"/>
                <w:szCs w:val="18"/>
              </w:rPr>
              <w:t>431</w:t>
            </w:r>
          </w:p>
        </w:tc>
        <w:tc>
          <w:tcPr>
            <w:tcW w:w="1134" w:type="dxa"/>
            <w:tcBorders>
              <w:top w:val="nil"/>
              <w:left w:val="nil"/>
              <w:bottom w:val="single" w:sz="4" w:space="0" w:color="auto"/>
              <w:right w:val="nil"/>
            </w:tcBorders>
            <w:shd w:val="clear" w:color="auto" w:fill="auto"/>
            <w:vAlign w:val="center"/>
          </w:tcPr>
          <w:p w14:paraId="3579913D" w14:textId="50EE9EF7" w:rsidR="00510919" w:rsidRPr="00537128" w:rsidRDefault="00510919" w:rsidP="00510919">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6757A7">
              <w:rPr>
                <w:rFonts w:cstheme="minorHAnsi"/>
                <w:sz w:val="18"/>
                <w:szCs w:val="18"/>
              </w:rPr>
              <w:t>38</w:t>
            </w:r>
            <w:r w:rsidR="00EE757B">
              <w:rPr>
                <w:rFonts w:cstheme="minorHAnsi"/>
                <w:sz w:val="18"/>
                <w:szCs w:val="18"/>
              </w:rPr>
              <w:t>,</w:t>
            </w:r>
            <w:r w:rsidRPr="006757A7">
              <w:rPr>
                <w:rFonts w:cstheme="minorHAnsi"/>
                <w:sz w:val="18"/>
                <w:szCs w:val="18"/>
              </w:rPr>
              <w:t>991</w:t>
            </w:r>
          </w:p>
        </w:tc>
        <w:tc>
          <w:tcPr>
            <w:tcW w:w="1134" w:type="dxa"/>
            <w:tcBorders>
              <w:top w:val="nil"/>
              <w:left w:val="nil"/>
              <w:bottom w:val="single" w:sz="4" w:space="0" w:color="auto"/>
              <w:right w:val="nil"/>
            </w:tcBorders>
            <w:shd w:val="clear" w:color="auto" w:fill="auto"/>
            <w:vAlign w:val="center"/>
          </w:tcPr>
          <w:p w14:paraId="13C5ABC0" w14:textId="7BEB5FC0" w:rsidR="00510919" w:rsidRPr="00537128" w:rsidRDefault="00510919" w:rsidP="00510919">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6757A7">
              <w:rPr>
                <w:rFonts w:cstheme="minorHAnsi"/>
                <w:sz w:val="18"/>
                <w:szCs w:val="18"/>
              </w:rPr>
              <w:t>62</w:t>
            </w:r>
            <w:r w:rsidR="00EE757B">
              <w:rPr>
                <w:rFonts w:cstheme="minorHAnsi"/>
                <w:sz w:val="18"/>
                <w:szCs w:val="18"/>
              </w:rPr>
              <w:t>,</w:t>
            </w:r>
            <w:r w:rsidRPr="006757A7">
              <w:rPr>
                <w:rFonts w:cstheme="minorHAnsi"/>
                <w:sz w:val="18"/>
                <w:szCs w:val="18"/>
              </w:rPr>
              <w:t>821</w:t>
            </w:r>
          </w:p>
        </w:tc>
        <w:tc>
          <w:tcPr>
            <w:tcW w:w="1134" w:type="dxa"/>
            <w:tcBorders>
              <w:top w:val="nil"/>
              <w:left w:val="nil"/>
              <w:bottom w:val="single" w:sz="4" w:space="0" w:color="auto"/>
              <w:right w:val="nil"/>
            </w:tcBorders>
            <w:shd w:val="clear" w:color="auto" w:fill="auto"/>
            <w:vAlign w:val="center"/>
          </w:tcPr>
          <w:p w14:paraId="215AAF61" w14:textId="1CEE9D03" w:rsidR="00510919" w:rsidRPr="00537128" w:rsidRDefault="00510919" w:rsidP="00510919">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6757A7">
              <w:rPr>
                <w:rFonts w:cstheme="minorHAnsi"/>
                <w:sz w:val="18"/>
                <w:szCs w:val="18"/>
              </w:rPr>
              <w:t>59</w:t>
            </w:r>
            <w:r w:rsidR="00EE757B">
              <w:rPr>
                <w:rFonts w:cstheme="minorHAnsi"/>
                <w:sz w:val="18"/>
                <w:szCs w:val="18"/>
              </w:rPr>
              <w:t>,</w:t>
            </w:r>
            <w:r w:rsidRPr="006757A7">
              <w:rPr>
                <w:rFonts w:cstheme="minorHAnsi"/>
                <w:sz w:val="18"/>
                <w:szCs w:val="18"/>
              </w:rPr>
              <w:t>794</w:t>
            </w:r>
          </w:p>
        </w:tc>
        <w:tc>
          <w:tcPr>
            <w:tcW w:w="1134" w:type="dxa"/>
            <w:tcBorders>
              <w:top w:val="nil"/>
              <w:left w:val="nil"/>
              <w:bottom w:val="single" w:sz="4" w:space="0" w:color="auto"/>
              <w:right w:val="nil"/>
            </w:tcBorders>
            <w:shd w:val="clear" w:color="auto" w:fill="auto"/>
            <w:vAlign w:val="center"/>
          </w:tcPr>
          <w:p w14:paraId="2F06F2C8" w14:textId="6A7B950E" w:rsidR="00510919" w:rsidRPr="00537128" w:rsidRDefault="00510919" w:rsidP="00510919">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6757A7">
              <w:rPr>
                <w:rFonts w:cstheme="minorHAnsi"/>
                <w:sz w:val="18"/>
                <w:szCs w:val="18"/>
              </w:rPr>
              <w:t>369</w:t>
            </w:r>
            <w:r w:rsidR="00EE757B">
              <w:rPr>
                <w:rFonts w:cstheme="minorHAnsi"/>
                <w:sz w:val="18"/>
                <w:szCs w:val="18"/>
              </w:rPr>
              <w:t>,</w:t>
            </w:r>
            <w:r w:rsidRPr="006757A7">
              <w:rPr>
                <w:rFonts w:cstheme="minorHAnsi"/>
                <w:sz w:val="18"/>
                <w:szCs w:val="18"/>
              </w:rPr>
              <w:t>310</w:t>
            </w:r>
          </w:p>
        </w:tc>
      </w:tr>
      <w:tr w:rsidR="00510919" w:rsidRPr="00537128" w14:paraId="32B53786" w14:textId="77777777" w:rsidTr="00703DBC">
        <w:trPr>
          <w:trHeight w:hRule="exact" w:val="264"/>
          <w:jc w:val="center"/>
        </w:trPr>
        <w:tc>
          <w:tcPr>
            <w:tcW w:w="2981" w:type="dxa"/>
            <w:vAlign w:val="bottom"/>
          </w:tcPr>
          <w:p w14:paraId="6ECA5363" w14:textId="77777777" w:rsidR="00510919" w:rsidRPr="00537128" w:rsidRDefault="00510919" w:rsidP="00510919">
            <w:pPr>
              <w:spacing w:after="0" w:line="240" w:lineRule="auto"/>
              <w:rPr>
                <w:rFonts w:ascii="Calibri" w:eastAsia="Times New Roman" w:hAnsi="Calibri" w:cs="Arial"/>
                <w:i/>
                <w:sz w:val="18"/>
                <w:szCs w:val="18"/>
                <w:lang w:val="en-US"/>
              </w:rPr>
            </w:pPr>
            <w:r w:rsidRPr="00537128">
              <w:rPr>
                <w:rFonts w:ascii="Calibri" w:eastAsia="Times New Roman" w:hAnsi="Calibri" w:cs="Arial"/>
                <w:b/>
                <w:sz w:val="18"/>
                <w:szCs w:val="18"/>
                <w:lang w:val="en-US"/>
              </w:rPr>
              <w:t>Total</w:t>
            </w:r>
          </w:p>
        </w:tc>
        <w:tc>
          <w:tcPr>
            <w:tcW w:w="991" w:type="dxa"/>
            <w:tcBorders>
              <w:top w:val="single" w:sz="4" w:space="0" w:color="auto"/>
              <w:left w:val="nil"/>
              <w:bottom w:val="single" w:sz="12" w:space="0" w:color="auto"/>
              <w:right w:val="nil"/>
            </w:tcBorders>
            <w:shd w:val="clear" w:color="auto" w:fill="auto"/>
            <w:vAlign w:val="bottom"/>
          </w:tcPr>
          <w:p w14:paraId="62EDE111" w14:textId="2F86E3BD" w:rsidR="00510919" w:rsidRPr="00537128" w:rsidRDefault="00510919" w:rsidP="00510919">
            <w:pPr>
              <w:tabs>
                <w:tab w:val="right" w:pos="1202"/>
              </w:tabs>
              <w:spacing w:after="0" w:line="240" w:lineRule="auto"/>
              <w:jc w:val="right"/>
              <w:outlineLvl w:val="0"/>
              <w:rPr>
                <w:rFonts w:ascii="Calibri" w:eastAsia="Times New Roman" w:hAnsi="Calibri" w:cs="Times New Roman"/>
                <w:b/>
                <w:bCs/>
                <w:sz w:val="18"/>
                <w:szCs w:val="18"/>
                <w:lang w:val="en-US"/>
              </w:rPr>
            </w:pPr>
            <w:r w:rsidRPr="006757A7">
              <w:rPr>
                <w:rFonts w:cstheme="minorHAnsi"/>
                <w:b/>
                <w:bCs/>
                <w:color w:val="000000"/>
                <w:sz w:val="18"/>
                <w:szCs w:val="18"/>
              </w:rPr>
              <w:t>724</w:t>
            </w:r>
            <w:r w:rsidR="00EE757B">
              <w:rPr>
                <w:rFonts w:cstheme="minorHAnsi"/>
                <w:b/>
                <w:bCs/>
                <w:color w:val="000000"/>
                <w:sz w:val="18"/>
                <w:szCs w:val="18"/>
              </w:rPr>
              <w:t>,</w:t>
            </w:r>
            <w:r w:rsidRPr="006757A7">
              <w:rPr>
                <w:rFonts w:cstheme="minorHAnsi"/>
                <w:b/>
                <w:bCs/>
                <w:color w:val="000000"/>
                <w:sz w:val="18"/>
                <w:szCs w:val="18"/>
              </w:rPr>
              <w:t>999</w:t>
            </w:r>
          </w:p>
        </w:tc>
        <w:tc>
          <w:tcPr>
            <w:tcW w:w="1134" w:type="dxa"/>
            <w:tcBorders>
              <w:top w:val="single" w:sz="4" w:space="0" w:color="auto"/>
              <w:left w:val="nil"/>
              <w:bottom w:val="single" w:sz="12" w:space="0" w:color="auto"/>
              <w:right w:val="nil"/>
            </w:tcBorders>
            <w:shd w:val="clear" w:color="auto" w:fill="auto"/>
            <w:vAlign w:val="bottom"/>
          </w:tcPr>
          <w:p w14:paraId="5AE03CCA" w14:textId="56E5F0A6" w:rsidR="00510919" w:rsidRPr="00537128" w:rsidRDefault="00510919" w:rsidP="00510919">
            <w:pPr>
              <w:tabs>
                <w:tab w:val="right" w:pos="1202"/>
              </w:tabs>
              <w:spacing w:after="0" w:line="240" w:lineRule="auto"/>
              <w:jc w:val="right"/>
              <w:outlineLvl w:val="0"/>
              <w:rPr>
                <w:rFonts w:ascii="Calibri" w:eastAsia="Times New Roman" w:hAnsi="Calibri" w:cs="Times New Roman"/>
                <w:b/>
                <w:bCs/>
                <w:sz w:val="18"/>
                <w:szCs w:val="18"/>
                <w:lang w:val="en-US"/>
              </w:rPr>
            </w:pPr>
            <w:r w:rsidRPr="006757A7">
              <w:rPr>
                <w:rFonts w:cstheme="minorHAnsi"/>
                <w:b/>
                <w:bCs/>
                <w:color w:val="000000"/>
                <w:sz w:val="18"/>
                <w:szCs w:val="18"/>
              </w:rPr>
              <w:t>623</w:t>
            </w:r>
            <w:r w:rsidR="00EE757B">
              <w:rPr>
                <w:rFonts w:cstheme="minorHAnsi"/>
                <w:b/>
                <w:bCs/>
                <w:color w:val="000000"/>
                <w:sz w:val="18"/>
                <w:szCs w:val="18"/>
              </w:rPr>
              <w:t>,</w:t>
            </w:r>
            <w:r w:rsidRPr="006757A7">
              <w:rPr>
                <w:rFonts w:cstheme="minorHAnsi"/>
                <w:b/>
                <w:bCs/>
                <w:color w:val="000000"/>
                <w:sz w:val="18"/>
                <w:szCs w:val="18"/>
              </w:rPr>
              <w:t>234</w:t>
            </w:r>
          </w:p>
        </w:tc>
        <w:tc>
          <w:tcPr>
            <w:tcW w:w="1134" w:type="dxa"/>
            <w:tcBorders>
              <w:top w:val="single" w:sz="4" w:space="0" w:color="auto"/>
              <w:left w:val="nil"/>
              <w:bottom w:val="single" w:sz="12" w:space="0" w:color="auto"/>
              <w:right w:val="nil"/>
            </w:tcBorders>
            <w:shd w:val="clear" w:color="auto" w:fill="auto"/>
            <w:vAlign w:val="bottom"/>
          </w:tcPr>
          <w:p w14:paraId="6788F5A3" w14:textId="7312D5EF" w:rsidR="00510919" w:rsidRPr="00537128" w:rsidRDefault="00510919" w:rsidP="00510919">
            <w:pPr>
              <w:tabs>
                <w:tab w:val="right" w:pos="1202"/>
              </w:tabs>
              <w:spacing w:after="0" w:line="240" w:lineRule="auto"/>
              <w:jc w:val="right"/>
              <w:outlineLvl w:val="0"/>
              <w:rPr>
                <w:rFonts w:ascii="Calibri" w:eastAsia="Times New Roman" w:hAnsi="Calibri" w:cs="Times New Roman"/>
                <w:b/>
                <w:bCs/>
                <w:sz w:val="18"/>
                <w:szCs w:val="18"/>
                <w:lang w:val="en-US"/>
              </w:rPr>
            </w:pPr>
            <w:r w:rsidRPr="006757A7">
              <w:rPr>
                <w:rFonts w:cstheme="minorHAnsi"/>
                <w:b/>
                <w:bCs/>
                <w:color w:val="000000"/>
                <w:sz w:val="18"/>
                <w:szCs w:val="18"/>
              </w:rPr>
              <w:t>1</w:t>
            </w:r>
            <w:r w:rsidR="00EE757B">
              <w:rPr>
                <w:rFonts w:cstheme="minorHAnsi"/>
                <w:b/>
                <w:bCs/>
                <w:color w:val="000000"/>
                <w:sz w:val="18"/>
                <w:szCs w:val="18"/>
              </w:rPr>
              <w:t>,</w:t>
            </w:r>
            <w:r w:rsidRPr="006757A7">
              <w:rPr>
                <w:rFonts w:cstheme="minorHAnsi"/>
                <w:b/>
                <w:bCs/>
                <w:color w:val="000000"/>
                <w:sz w:val="18"/>
                <w:szCs w:val="18"/>
              </w:rPr>
              <w:t>955</w:t>
            </w:r>
            <w:r w:rsidR="00EE757B">
              <w:rPr>
                <w:rFonts w:cstheme="minorHAnsi"/>
                <w:b/>
                <w:bCs/>
                <w:color w:val="000000"/>
                <w:sz w:val="18"/>
                <w:szCs w:val="18"/>
              </w:rPr>
              <w:t>,</w:t>
            </w:r>
            <w:r w:rsidRPr="006757A7">
              <w:rPr>
                <w:rFonts w:cstheme="minorHAnsi"/>
                <w:b/>
                <w:bCs/>
                <w:color w:val="000000"/>
                <w:sz w:val="18"/>
                <w:szCs w:val="18"/>
              </w:rPr>
              <w:t>342</w:t>
            </w:r>
          </w:p>
        </w:tc>
        <w:tc>
          <w:tcPr>
            <w:tcW w:w="1134" w:type="dxa"/>
            <w:tcBorders>
              <w:top w:val="single" w:sz="4" w:space="0" w:color="auto"/>
              <w:left w:val="nil"/>
              <w:bottom w:val="single" w:sz="12" w:space="0" w:color="auto"/>
              <w:right w:val="nil"/>
            </w:tcBorders>
            <w:shd w:val="clear" w:color="auto" w:fill="auto"/>
            <w:vAlign w:val="bottom"/>
          </w:tcPr>
          <w:p w14:paraId="0C444968" w14:textId="565F8A9D" w:rsidR="00510919" w:rsidRPr="00537128" w:rsidRDefault="00510919" w:rsidP="00510919">
            <w:pPr>
              <w:tabs>
                <w:tab w:val="right" w:pos="1202"/>
              </w:tabs>
              <w:spacing w:after="0" w:line="240" w:lineRule="auto"/>
              <w:jc w:val="right"/>
              <w:outlineLvl w:val="0"/>
              <w:rPr>
                <w:rFonts w:ascii="Calibri" w:eastAsia="Times New Roman" w:hAnsi="Calibri" w:cs="Times New Roman"/>
                <w:b/>
                <w:bCs/>
                <w:sz w:val="18"/>
                <w:szCs w:val="18"/>
                <w:lang w:val="en-US"/>
              </w:rPr>
            </w:pPr>
            <w:r w:rsidRPr="006757A7">
              <w:rPr>
                <w:rFonts w:cstheme="minorHAnsi"/>
                <w:b/>
                <w:bCs/>
                <w:color w:val="000000"/>
                <w:sz w:val="18"/>
                <w:szCs w:val="18"/>
              </w:rPr>
              <w:t>6</w:t>
            </w:r>
            <w:r w:rsidR="00EE757B">
              <w:rPr>
                <w:rFonts w:cstheme="minorHAnsi"/>
                <w:b/>
                <w:bCs/>
                <w:color w:val="000000"/>
                <w:sz w:val="18"/>
                <w:szCs w:val="18"/>
              </w:rPr>
              <w:t>,</w:t>
            </w:r>
            <w:r w:rsidRPr="006757A7">
              <w:rPr>
                <w:rFonts w:cstheme="minorHAnsi"/>
                <w:b/>
                <w:bCs/>
                <w:color w:val="000000"/>
                <w:sz w:val="18"/>
                <w:szCs w:val="18"/>
              </w:rPr>
              <w:t>105</w:t>
            </w:r>
            <w:r w:rsidR="00EE757B">
              <w:rPr>
                <w:rFonts w:cstheme="minorHAnsi"/>
                <w:b/>
                <w:bCs/>
                <w:color w:val="000000"/>
                <w:sz w:val="18"/>
                <w:szCs w:val="18"/>
              </w:rPr>
              <w:t>,</w:t>
            </w:r>
            <w:r w:rsidRPr="006757A7">
              <w:rPr>
                <w:rFonts w:cstheme="minorHAnsi"/>
                <w:b/>
                <w:bCs/>
                <w:color w:val="000000"/>
                <w:sz w:val="18"/>
                <w:szCs w:val="18"/>
              </w:rPr>
              <w:t>441</w:t>
            </w:r>
          </w:p>
        </w:tc>
        <w:tc>
          <w:tcPr>
            <w:tcW w:w="1134" w:type="dxa"/>
            <w:tcBorders>
              <w:top w:val="single" w:sz="4" w:space="0" w:color="auto"/>
              <w:left w:val="nil"/>
              <w:bottom w:val="single" w:sz="12" w:space="0" w:color="auto"/>
              <w:right w:val="nil"/>
            </w:tcBorders>
            <w:shd w:val="clear" w:color="auto" w:fill="auto"/>
            <w:vAlign w:val="bottom"/>
          </w:tcPr>
          <w:p w14:paraId="32C0D06E" w14:textId="7AFF3C34" w:rsidR="00510919" w:rsidRPr="00537128" w:rsidRDefault="00510919" w:rsidP="00510919">
            <w:pPr>
              <w:tabs>
                <w:tab w:val="right" w:pos="1202"/>
              </w:tabs>
              <w:spacing w:after="0" w:line="240" w:lineRule="auto"/>
              <w:jc w:val="right"/>
              <w:outlineLvl w:val="0"/>
              <w:rPr>
                <w:rFonts w:ascii="Calibri" w:eastAsia="Times New Roman" w:hAnsi="Calibri" w:cs="Times New Roman"/>
                <w:b/>
                <w:bCs/>
                <w:sz w:val="18"/>
                <w:szCs w:val="18"/>
                <w:lang w:val="en-US"/>
              </w:rPr>
            </w:pPr>
            <w:r w:rsidRPr="006757A7">
              <w:rPr>
                <w:rFonts w:cstheme="minorHAnsi"/>
                <w:b/>
                <w:bCs/>
                <w:color w:val="000000"/>
                <w:sz w:val="18"/>
                <w:szCs w:val="18"/>
              </w:rPr>
              <w:t>8</w:t>
            </w:r>
            <w:r w:rsidR="00EE757B">
              <w:rPr>
                <w:rFonts w:cstheme="minorHAnsi"/>
                <w:b/>
                <w:bCs/>
                <w:color w:val="000000"/>
                <w:sz w:val="18"/>
                <w:szCs w:val="18"/>
              </w:rPr>
              <w:t>,</w:t>
            </w:r>
            <w:r w:rsidRPr="006757A7">
              <w:rPr>
                <w:rFonts w:cstheme="minorHAnsi"/>
                <w:b/>
                <w:bCs/>
                <w:color w:val="000000"/>
                <w:sz w:val="18"/>
                <w:szCs w:val="18"/>
              </w:rPr>
              <w:t>546</w:t>
            </w:r>
            <w:r w:rsidR="00EE757B">
              <w:rPr>
                <w:rFonts w:cstheme="minorHAnsi"/>
                <w:b/>
                <w:bCs/>
                <w:color w:val="000000"/>
                <w:sz w:val="18"/>
                <w:szCs w:val="18"/>
              </w:rPr>
              <w:t>,</w:t>
            </w:r>
            <w:r w:rsidRPr="006757A7">
              <w:rPr>
                <w:rFonts w:cstheme="minorHAnsi"/>
                <w:b/>
                <w:bCs/>
                <w:color w:val="000000"/>
                <w:sz w:val="18"/>
                <w:szCs w:val="18"/>
              </w:rPr>
              <w:t>477</w:t>
            </w:r>
          </w:p>
        </w:tc>
        <w:tc>
          <w:tcPr>
            <w:tcW w:w="1134" w:type="dxa"/>
            <w:tcBorders>
              <w:top w:val="single" w:sz="4" w:space="0" w:color="auto"/>
              <w:left w:val="nil"/>
              <w:bottom w:val="single" w:sz="12" w:space="0" w:color="auto"/>
              <w:right w:val="nil"/>
            </w:tcBorders>
            <w:shd w:val="clear" w:color="auto" w:fill="auto"/>
            <w:vAlign w:val="bottom"/>
          </w:tcPr>
          <w:p w14:paraId="2A08E7E6" w14:textId="31963208" w:rsidR="00510919" w:rsidRPr="00537128" w:rsidRDefault="00510919" w:rsidP="00510919">
            <w:pPr>
              <w:tabs>
                <w:tab w:val="right" w:pos="1202"/>
              </w:tabs>
              <w:spacing w:after="0" w:line="240" w:lineRule="auto"/>
              <w:jc w:val="right"/>
              <w:outlineLvl w:val="0"/>
              <w:rPr>
                <w:rFonts w:ascii="Calibri" w:eastAsia="Times New Roman" w:hAnsi="Calibri" w:cs="Times New Roman"/>
                <w:b/>
                <w:bCs/>
                <w:sz w:val="18"/>
                <w:szCs w:val="18"/>
                <w:lang w:val="en-US"/>
              </w:rPr>
            </w:pPr>
            <w:r w:rsidRPr="006757A7">
              <w:rPr>
                <w:rFonts w:cstheme="minorHAnsi"/>
                <w:b/>
                <w:bCs/>
                <w:color w:val="000000"/>
                <w:sz w:val="18"/>
                <w:szCs w:val="18"/>
              </w:rPr>
              <w:t>17</w:t>
            </w:r>
            <w:r w:rsidR="00EE757B">
              <w:rPr>
                <w:rFonts w:cstheme="minorHAnsi"/>
                <w:b/>
                <w:bCs/>
                <w:color w:val="000000"/>
                <w:sz w:val="18"/>
                <w:szCs w:val="18"/>
              </w:rPr>
              <w:t>,</w:t>
            </w:r>
            <w:r w:rsidRPr="006757A7">
              <w:rPr>
                <w:rFonts w:cstheme="minorHAnsi"/>
                <w:b/>
                <w:bCs/>
                <w:color w:val="000000"/>
                <w:sz w:val="18"/>
                <w:szCs w:val="18"/>
              </w:rPr>
              <w:t>955</w:t>
            </w:r>
            <w:r w:rsidR="00EE757B">
              <w:rPr>
                <w:rFonts w:cstheme="minorHAnsi"/>
                <w:b/>
                <w:bCs/>
                <w:color w:val="000000"/>
                <w:sz w:val="18"/>
                <w:szCs w:val="18"/>
              </w:rPr>
              <w:t>,</w:t>
            </w:r>
            <w:r w:rsidRPr="006757A7">
              <w:rPr>
                <w:rFonts w:cstheme="minorHAnsi"/>
                <w:b/>
                <w:bCs/>
                <w:color w:val="000000"/>
                <w:sz w:val="18"/>
                <w:szCs w:val="18"/>
              </w:rPr>
              <w:t>493</w:t>
            </w:r>
          </w:p>
        </w:tc>
      </w:tr>
      <w:tr w:rsidR="00510919" w:rsidRPr="00537128" w14:paraId="2AAF4A63" w14:textId="77777777" w:rsidTr="00703DBC">
        <w:trPr>
          <w:trHeight w:hRule="exact" w:val="160"/>
          <w:jc w:val="center"/>
        </w:trPr>
        <w:tc>
          <w:tcPr>
            <w:tcW w:w="2981" w:type="dxa"/>
            <w:vAlign w:val="bottom"/>
          </w:tcPr>
          <w:p w14:paraId="6D1FE8C4" w14:textId="77777777" w:rsidR="00510919" w:rsidRPr="00537128" w:rsidRDefault="00510919" w:rsidP="00510919">
            <w:pPr>
              <w:keepNext/>
              <w:keepLines/>
              <w:tabs>
                <w:tab w:val="decimal" w:pos="1202"/>
              </w:tabs>
              <w:spacing w:after="0" w:line="240" w:lineRule="auto"/>
              <w:rPr>
                <w:rFonts w:ascii="Calibri" w:eastAsia="Times New Roman" w:hAnsi="Calibri" w:cs="Arial"/>
                <w:b/>
                <w:position w:val="4"/>
                <w:sz w:val="18"/>
                <w:szCs w:val="18"/>
                <w:lang w:val="en-US"/>
              </w:rPr>
            </w:pPr>
          </w:p>
        </w:tc>
        <w:tc>
          <w:tcPr>
            <w:tcW w:w="991" w:type="dxa"/>
            <w:tcBorders>
              <w:top w:val="single" w:sz="12" w:space="0" w:color="auto"/>
            </w:tcBorders>
            <w:vAlign w:val="bottom"/>
          </w:tcPr>
          <w:p w14:paraId="7C31A647" w14:textId="77777777" w:rsidR="00510919" w:rsidRPr="00537128" w:rsidRDefault="00510919" w:rsidP="00510919">
            <w:pPr>
              <w:keepNext/>
              <w:keepLines/>
              <w:tabs>
                <w:tab w:val="decimal" w:pos="1202"/>
              </w:tabs>
              <w:spacing w:after="0" w:line="240" w:lineRule="auto"/>
              <w:jc w:val="right"/>
              <w:rPr>
                <w:rFonts w:ascii="Calibri" w:eastAsia="Times New Roman" w:hAnsi="Calibri" w:cs="Arial"/>
                <w:b/>
                <w:position w:val="4"/>
                <w:sz w:val="18"/>
                <w:szCs w:val="18"/>
                <w:lang w:val="en-US"/>
              </w:rPr>
            </w:pPr>
          </w:p>
        </w:tc>
        <w:tc>
          <w:tcPr>
            <w:tcW w:w="1134" w:type="dxa"/>
            <w:tcBorders>
              <w:top w:val="single" w:sz="12" w:space="0" w:color="auto"/>
            </w:tcBorders>
            <w:vAlign w:val="bottom"/>
          </w:tcPr>
          <w:p w14:paraId="17C4F465" w14:textId="77777777" w:rsidR="00510919" w:rsidRPr="00537128" w:rsidRDefault="00510919" w:rsidP="00510919">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p>
        </w:tc>
        <w:tc>
          <w:tcPr>
            <w:tcW w:w="1134" w:type="dxa"/>
            <w:tcBorders>
              <w:top w:val="single" w:sz="12" w:space="0" w:color="auto"/>
            </w:tcBorders>
            <w:vAlign w:val="bottom"/>
          </w:tcPr>
          <w:p w14:paraId="79E0913E" w14:textId="77777777" w:rsidR="00510919" w:rsidRPr="00537128" w:rsidRDefault="00510919" w:rsidP="00510919">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p>
        </w:tc>
        <w:tc>
          <w:tcPr>
            <w:tcW w:w="1134" w:type="dxa"/>
            <w:tcBorders>
              <w:top w:val="single" w:sz="12" w:space="0" w:color="auto"/>
            </w:tcBorders>
            <w:vAlign w:val="bottom"/>
          </w:tcPr>
          <w:p w14:paraId="3730ED76" w14:textId="77777777" w:rsidR="00510919" w:rsidRPr="00537128" w:rsidRDefault="00510919" w:rsidP="00510919">
            <w:pPr>
              <w:keepNext/>
              <w:keepLines/>
              <w:tabs>
                <w:tab w:val="decimal" w:pos="1202"/>
              </w:tabs>
              <w:spacing w:after="0" w:line="240" w:lineRule="auto"/>
              <w:jc w:val="right"/>
              <w:rPr>
                <w:rFonts w:ascii="Calibri" w:eastAsia="Times New Roman" w:hAnsi="Calibri" w:cs="Arial"/>
                <w:b/>
                <w:position w:val="4"/>
                <w:sz w:val="18"/>
                <w:szCs w:val="18"/>
                <w:lang w:val="en-US"/>
              </w:rPr>
            </w:pPr>
          </w:p>
        </w:tc>
        <w:tc>
          <w:tcPr>
            <w:tcW w:w="1134" w:type="dxa"/>
            <w:tcBorders>
              <w:top w:val="single" w:sz="12" w:space="0" w:color="auto"/>
            </w:tcBorders>
            <w:vAlign w:val="bottom"/>
          </w:tcPr>
          <w:p w14:paraId="6B129E1B" w14:textId="77777777" w:rsidR="00510919" w:rsidRPr="00537128" w:rsidRDefault="00510919" w:rsidP="00510919">
            <w:pPr>
              <w:keepNext/>
              <w:keepLines/>
              <w:tabs>
                <w:tab w:val="right" w:pos="1263"/>
              </w:tabs>
              <w:spacing w:after="0" w:line="240" w:lineRule="auto"/>
              <w:jc w:val="right"/>
              <w:rPr>
                <w:rFonts w:ascii="Calibri" w:eastAsia="Times New Roman" w:hAnsi="Calibri" w:cs="Arial"/>
                <w:b/>
                <w:position w:val="4"/>
                <w:sz w:val="18"/>
                <w:szCs w:val="18"/>
                <w:lang w:val="en-US"/>
              </w:rPr>
            </w:pPr>
          </w:p>
        </w:tc>
        <w:tc>
          <w:tcPr>
            <w:tcW w:w="1134" w:type="dxa"/>
            <w:tcBorders>
              <w:top w:val="single" w:sz="12" w:space="0" w:color="auto"/>
            </w:tcBorders>
            <w:vAlign w:val="bottom"/>
          </w:tcPr>
          <w:p w14:paraId="444874A2" w14:textId="77777777" w:rsidR="00510919" w:rsidRPr="00537128" w:rsidRDefault="00510919" w:rsidP="00510919">
            <w:pPr>
              <w:keepNext/>
              <w:keepLines/>
              <w:tabs>
                <w:tab w:val="decimal" w:pos="1202"/>
              </w:tabs>
              <w:spacing w:after="0" w:line="240" w:lineRule="auto"/>
              <w:jc w:val="right"/>
              <w:rPr>
                <w:rFonts w:ascii="Calibri" w:eastAsia="Times New Roman" w:hAnsi="Calibri" w:cs="Arial"/>
                <w:b/>
                <w:position w:val="4"/>
                <w:sz w:val="18"/>
                <w:szCs w:val="18"/>
                <w:lang w:val="en-US"/>
              </w:rPr>
            </w:pPr>
          </w:p>
        </w:tc>
      </w:tr>
      <w:tr w:rsidR="00510919" w:rsidRPr="00537128" w14:paraId="25EA4279" w14:textId="77777777" w:rsidTr="00703DBC">
        <w:trPr>
          <w:trHeight w:hRule="exact" w:val="264"/>
          <w:jc w:val="center"/>
        </w:trPr>
        <w:tc>
          <w:tcPr>
            <w:tcW w:w="2981" w:type="dxa"/>
            <w:vAlign w:val="bottom"/>
          </w:tcPr>
          <w:p w14:paraId="21C58225" w14:textId="77777777" w:rsidR="00510919" w:rsidRPr="00537128" w:rsidRDefault="00510919" w:rsidP="00510919">
            <w:pPr>
              <w:tabs>
                <w:tab w:val="right" w:pos="1202"/>
                <w:tab w:val="center" w:pos="4153"/>
                <w:tab w:val="right" w:pos="8306"/>
              </w:tabs>
              <w:spacing w:after="0" w:line="240" w:lineRule="auto"/>
              <w:outlineLvl w:val="0"/>
              <w:rPr>
                <w:rFonts w:ascii="Calibri" w:eastAsia="Times New Roman" w:hAnsi="Calibri" w:cs="Arial"/>
                <w:b/>
                <w:sz w:val="18"/>
                <w:szCs w:val="18"/>
                <w:lang w:val="en-US"/>
              </w:rPr>
            </w:pPr>
            <w:bookmarkStart w:id="979" w:name="_Toc4062631"/>
            <w:r w:rsidRPr="00537128">
              <w:rPr>
                <w:rFonts w:ascii="Calibri" w:eastAsia="Times New Roman" w:hAnsi="Calibri" w:cs="Arial"/>
                <w:b/>
                <w:bCs/>
                <w:i/>
                <w:spacing w:val="-2"/>
                <w:sz w:val="18"/>
                <w:szCs w:val="18"/>
                <w:lang w:val="en-US"/>
              </w:rPr>
              <w:t>Guarantees and commitments</w:t>
            </w:r>
            <w:bookmarkEnd w:id="979"/>
          </w:p>
        </w:tc>
        <w:tc>
          <w:tcPr>
            <w:tcW w:w="991" w:type="dxa"/>
            <w:tcBorders>
              <w:left w:val="nil"/>
              <w:right w:val="nil"/>
            </w:tcBorders>
            <w:shd w:val="clear" w:color="auto" w:fill="auto"/>
            <w:vAlign w:val="bottom"/>
          </w:tcPr>
          <w:p w14:paraId="311E988A" w14:textId="77777777" w:rsidR="00510919" w:rsidRPr="00537128" w:rsidRDefault="00510919" w:rsidP="00510919">
            <w:pPr>
              <w:tabs>
                <w:tab w:val="center" w:pos="4153"/>
                <w:tab w:val="right" w:pos="8306"/>
              </w:tabs>
              <w:spacing w:after="0" w:line="240" w:lineRule="auto"/>
              <w:jc w:val="right"/>
              <w:outlineLvl w:val="0"/>
              <w:rPr>
                <w:rFonts w:ascii="Calibri" w:eastAsia="Times New Roman" w:hAnsi="Calibri" w:cs="Arial"/>
                <w:b/>
                <w:spacing w:val="-2"/>
                <w:sz w:val="18"/>
                <w:szCs w:val="18"/>
                <w:lang w:val="en-US"/>
              </w:rPr>
            </w:pPr>
          </w:p>
        </w:tc>
        <w:tc>
          <w:tcPr>
            <w:tcW w:w="1134" w:type="dxa"/>
            <w:tcBorders>
              <w:left w:val="nil"/>
              <w:right w:val="nil"/>
            </w:tcBorders>
            <w:shd w:val="clear" w:color="auto" w:fill="auto"/>
            <w:vAlign w:val="bottom"/>
          </w:tcPr>
          <w:p w14:paraId="7DCEAA77" w14:textId="77777777" w:rsidR="00510919" w:rsidRPr="00537128" w:rsidRDefault="00510919" w:rsidP="00510919">
            <w:pPr>
              <w:tabs>
                <w:tab w:val="center" w:pos="4153"/>
                <w:tab w:val="right" w:pos="8306"/>
              </w:tabs>
              <w:spacing w:after="0" w:line="240" w:lineRule="auto"/>
              <w:jc w:val="right"/>
              <w:outlineLvl w:val="0"/>
              <w:rPr>
                <w:rFonts w:ascii="Calibri" w:eastAsia="Times New Roman" w:hAnsi="Calibri" w:cs="Arial"/>
                <w:b/>
                <w:spacing w:val="-2"/>
                <w:sz w:val="18"/>
                <w:szCs w:val="18"/>
                <w:lang w:val="en-US"/>
              </w:rPr>
            </w:pPr>
          </w:p>
        </w:tc>
        <w:tc>
          <w:tcPr>
            <w:tcW w:w="1134" w:type="dxa"/>
            <w:tcBorders>
              <w:left w:val="nil"/>
              <w:right w:val="nil"/>
            </w:tcBorders>
            <w:shd w:val="clear" w:color="auto" w:fill="auto"/>
            <w:vAlign w:val="bottom"/>
          </w:tcPr>
          <w:p w14:paraId="7C6E8A3E" w14:textId="77777777" w:rsidR="00510919" w:rsidRPr="00537128" w:rsidRDefault="00510919" w:rsidP="00510919">
            <w:pPr>
              <w:tabs>
                <w:tab w:val="center" w:pos="4153"/>
                <w:tab w:val="right" w:pos="8306"/>
              </w:tabs>
              <w:spacing w:after="0" w:line="240" w:lineRule="auto"/>
              <w:jc w:val="right"/>
              <w:outlineLvl w:val="0"/>
              <w:rPr>
                <w:rFonts w:ascii="Calibri" w:eastAsia="Times New Roman" w:hAnsi="Calibri" w:cs="Arial"/>
                <w:b/>
                <w:spacing w:val="-2"/>
                <w:sz w:val="18"/>
                <w:szCs w:val="18"/>
                <w:lang w:val="en-US"/>
              </w:rPr>
            </w:pPr>
          </w:p>
        </w:tc>
        <w:tc>
          <w:tcPr>
            <w:tcW w:w="1134" w:type="dxa"/>
            <w:tcBorders>
              <w:left w:val="nil"/>
              <w:right w:val="nil"/>
            </w:tcBorders>
            <w:shd w:val="clear" w:color="auto" w:fill="auto"/>
            <w:vAlign w:val="bottom"/>
          </w:tcPr>
          <w:p w14:paraId="37BA65D5" w14:textId="77777777" w:rsidR="00510919" w:rsidRPr="00537128" w:rsidRDefault="00510919" w:rsidP="00510919">
            <w:pPr>
              <w:tabs>
                <w:tab w:val="center" w:pos="4153"/>
                <w:tab w:val="right" w:pos="8306"/>
              </w:tabs>
              <w:spacing w:after="0" w:line="240" w:lineRule="auto"/>
              <w:jc w:val="right"/>
              <w:outlineLvl w:val="0"/>
              <w:rPr>
                <w:rFonts w:ascii="Calibri" w:eastAsia="Times New Roman" w:hAnsi="Calibri" w:cs="Arial"/>
                <w:b/>
                <w:spacing w:val="-2"/>
                <w:sz w:val="18"/>
                <w:szCs w:val="18"/>
                <w:lang w:val="en-US"/>
              </w:rPr>
            </w:pPr>
          </w:p>
        </w:tc>
        <w:tc>
          <w:tcPr>
            <w:tcW w:w="1134" w:type="dxa"/>
            <w:tcBorders>
              <w:left w:val="nil"/>
              <w:right w:val="nil"/>
            </w:tcBorders>
            <w:shd w:val="clear" w:color="auto" w:fill="auto"/>
            <w:vAlign w:val="bottom"/>
          </w:tcPr>
          <w:p w14:paraId="04E17938" w14:textId="77777777" w:rsidR="00510919" w:rsidRPr="00537128" w:rsidRDefault="00510919" w:rsidP="00510919">
            <w:pPr>
              <w:tabs>
                <w:tab w:val="right" w:pos="1263"/>
                <w:tab w:val="center" w:pos="4153"/>
                <w:tab w:val="right" w:pos="8306"/>
              </w:tabs>
              <w:spacing w:after="0" w:line="240" w:lineRule="auto"/>
              <w:jc w:val="right"/>
              <w:outlineLvl w:val="0"/>
              <w:rPr>
                <w:rFonts w:ascii="Calibri" w:eastAsia="Times New Roman" w:hAnsi="Calibri" w:cs="Arial"/>
                <w:b/>
                <w:spacing w:val="-2"/>
                <w:sz w:val="18"/>
                <w:szCs w:val="18"/>
                <w:lang w:val="en-US"/>
              </w:rPr>
            </w:pPr>
          </w:p>
        </w:tc>
        <w:tc>
          <w:tcPr>
            <w:tcW w:w="1134" w:type="dxa"/>
            <w:tcBorders>
              <w:left w:val="nil"/>
              <w:right w:val="nil"/>
            </w:tcBorders>
            <w:shd w:val="clear" w:color="auto" w:fill="auto"/>
            <w:vAlign w:val="bottom"/>
          </w:tcPr>
          <w:p w14:paraId="58F40ED7" w14:textId="77777777" w:rsidR="00510919" w:rsidRPr="00537128" w:rsidRDefault="00510919" w:rsidP="00510919">
            <w:pPr>
              <w:tabs>
                <w:tab w:val="center" w:pos="4153"/>
                <w:tab w:val="right" w:pos="8306"/>
              </w:tabs>
              <w:spacing w:after="0" w:line="240" w:lineRule="auto"/>
              <w:jc w:val="right"/>
              <w:outlineLvl w:val="0"/>
              <w:rPr>
                <w:rFonts w:ascii="Calibri" w:eastAsia="Times New Roman" w:hAnsi="Calibri" w:cs="Arial"/>
                <w:b/>
                <w:sz w:val="18"/>
                <w:szCs w:val="18"/>
                <w:lang w:val="en-US"/>
              </w:rPr>
            </w:pPr>
          </w:p>
        </w:tc>
      </w:tr>
      <w:tr w:rsidR="001640AE" w:rsidRPr="00537128" w14:paraId="46DB86CA" w14:textId="77777777" w:rsidTr="00703DBC">
        <w:trPr>
          <w:trHeight w:hRule="exact" w:val="227"/>
          <w:jc w:val="center"/>
        </w:trPr>
        <w:tc>
          <w:tcPr>
            <w:tcW w:w="2981" w:type="dxa"/>
            <w:vAlign w:val="bottom"/>
          </w:tcPr>
          <w:p w14:paraId="2704D2CE" w14:textId="77777777" w:rsidR="001640AE" w:rsidRPr="00537128" w:rsidRDefault="001640AE" w:rsidP="001640AE">
            <w:pPr>
              <w:tabs>
                <w:tab w:val="right" w:pos="1202"/>
              </w:tabs>
              <w:spacing w:after="0" w:line="240" w:lineRule="auto"/>
              <w:outlineLvl w:val="0"/>
              <w:rPr>
                <w:rFonts w:ascii="Calibri" w:eastAsia="Times New Roman" w:hAnsi="Calibri" w:cs="Arial"/>
                <w:sz w:val="18"/>
                <w:szCs w:val="18"/>
                <w:lang w:val="en-US"/>
              </w:rPr>
            </w:pPr>
            <w:bookmarkStart w:id="980" w:name="_Toc4062632"/>
            <w:r w:rsidRPr="00537128">
              <w:rPr>
                <w:rFonts w:ascii="Calibri" w:eastAsia="Times New Roman" w:hAnsi="Calibri" w:cs="Arial"/>
                <w:spacing w:val="-2"/>
                <w:sz w:val="18"/>
                <w:szCs w:val="18"/>
                <w:lang w:val="en-US"/>
              </w:rPr>
              <w:t>Guarantees issued in HRK</w:t>
            </w:r>
            <w:bookmarkEnd w:id="980"/>
          </w:p>
        </w:tc>
        <w:tc>
          <w:tcPr>
            <w:tcW w:w="991" w:type="dxa"/>
            <w:tcBorders>
              <w:top w:val="nil"/>
              <w:left w:val="nil"/>
              <w:bottom w:val="nil"/>
              <w:right w:val="nil"/>
            </w:tcBorders>
            <w:shd w:val="clear" w:color="auto" w:fill="auto"/>
            <w:vAlign w:val="bottom"/>
          </w:tcPr>
          <w:p w14:paraId="7F18012C" w14:textId="77DB976F" w:rsidR="001640AE" w:rsidRPr="00537128" w:rsidRDefault="001640AE" w:rsidP="001640AE">
            <w:pPr>
              <w:tabs>
                <w:tab w:val="right" w:pos="1202"/>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177,235</w:t>
            </w:r>
          </w:p>
        </w:tc>
        <w:tc>
          <w:tcPr>
            <w:tcW w:w="1134" w:type="dxa"/>
            <w:tcBorders>
              <w:top w:val="nil"/>
              <w:left w:val="nil"/>
              <w:bottom w:val="nil"/>
              <w:right w:val="nil"/>
            </w:tcBorders>
            <w:shd w:val="clear" w:color="auto" w:fill="auto"/>
            <w:vAlign w:val="bottom"/>
          </w:tcPr>
          <w:p w14:paraId="56F1FB1B" w14:textId="27D7DCEF" w:rsidR="001640AE" w:rsidRPr="00537128" w:rsidRDefault="001640AE" w:rsidP="001640AE">
            <w:pPr>
              <w:tabs>
                <w:tab w:val="right" w:pos="1202"/>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1C3B1A0C" w14:textId="1F437506" w:rsidR="001640AE" w:rsidRPr="00537128" w:rsidRDefault="001640AE" w:rsidP="001640AE">
            <w:pPr>
              <w:tabs>
                <w:tab w:val="right" w:pos="1202"/>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2262ECAB" w14:textId="79ED237E" w:rsidR="001640AE" w:rsidRPr="00537128" w:rsidRDefault="001640AE" w:rsidP="001640AE">
            <w:pPr>
              <w:tabs>
                <w:tab w:val="right" w:pos="1202"/>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481E1956" w14:textId="1977A172" w:rsidR="001640AE" w:rsidRPr="00537128" w:rsidRDefault="001640AE" w:rsidP="001640AE">
            <w:pPr>
              <w:tabs>
                <w:tab w:val="right" w:pos="1263"/>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45BEE171" w14:textId="3DC43691" w:rsidR="001640AE" w:rsidRPr="00537128" w:rsidRDefault="001640AE" w:rsidP="001640AE">
            <w:pPr>
              <w:tabs>
                <w:tab w:val="right" w:pos="1202"/>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177,235</w:t>
            </w:r>
          </w:p>
        </w:tc>
      </w:tr>
      <w:tr w:rsidR="001640AE" w:rsidRPr="00537128" w14:paraId="4C17615F" w14:textId="77777777" w:rsidTr="00703DBC">
        <w:trPr>
          <w:trHeight w:hRule="exact" w:val="227"/>
          <w:jc w:val="center"/>
        </w:trPr>
        <w:tc>
          <w:tcPr>
            <w:tcW w:w="2981" w:type="dxa"/>
            <w:vAlign w:val="bottom"/>
          </w:tcPr>
          <w:p w14:paraId="6ECECBF2" w14:textId="77777777" w:rsidR="001640AE" w:rsidRPr="00537128" w:rsidRDefault="001640AE" w:rsidP="001640AE">
            <w:pPr>
              <w:tabs>
                <w:tab w:val="left" w:pos="-720"/>
              </w:tabs>
              <w:suppressAutoHyphens/>
              <w:spacing w:after="0" w:line="240" w:lineRule="auto"/>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Issued guarantees in foreign currency</w:t>
            </w:r>
            <w:r w:rsidRPr="00537128" w:rsidDel="009E6B9F">
              <w:rPr>
                <w:rFonts w:ascii="Calibri" w:eastAsia="Times New Roman" w:hAnsi="Calibri" w:cs="Arial"/>
                <w:spacing w:val="-2"/>
                <w:sz w:val="18"/>
                <w:szCs w:val="18"/>
                <w:lang w:val="en-US"/>
              </w:rPr>
              <w:t xml:space="preserve"> </w:t>
            </w:r>
          </w:p>
        </w:tc>
        <w:tc>
          <w:tcPr>
            <w:tcW w:w="991" w:type="dxa"/>
            <w:tcBorders>
              <w:top w:val="nil"/>
              <w:left w:val="nil"/>
              <w:bottom w:val="nil"/>
              <w:right w:val="nil"/>
            </w:tcBorders>
            <w:shd w:val="clear" w:color="auto" w:fill="auto"/>
            <w:vAlign w:val="bottom"/>
          </w:tcPr>
          <w:p w14:paraId="0E72F795" w14:textId="3C83AFE9" w:rsidR="001640AE" w:rsidRPr="00537128" w:rsidRDefault="001640AE" w:rsidP="001640AE">
            <w:pPr>
              <w:tabs>
                <w:tab w:val="right" w:pos="1202"/>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233,664</w:t>
            </w:r>
          </w:p>
        </w:tc>
        <w:tc>
          <w:tcPr>
            <w:tcW w:w="1134" w:type="dxa"/>
            <w:tcBorders>
              <w:top w:val="nil"/>
              <w:left w:val="nil"/>
              <w:bottom w:val="nil"/>
              <w:right w:val="nil"/>
            </w:tcBorders>
            <w:shd w:val="clear" w:color="auto" w:fill="auto"/>
            <w:vAlign w:val="bottom"/>
          </w:tcPr>
          <w:p w14:paraId="6B90BB8F" w14:textId="07C3EF66" w:rsidR="001640AE" w:rsidRPr="00537128" w:rsidRDefault="001640AE" w:rsidP="001640AE">
            <w:pPr>
              <w:tabs>
                <w:tab w:val="center" w:pos="4153"/>
                <w:tab w:val="right" w:pos="8306"/>
              </w:tabs>
              <w:spacing w:after="0" w:line="240" w:lineRule="auto"/>
              <w:jc w:val="right"/>
              <w:rPr>
                <w:rFonts w:ascii="Calibri" w:eastAsia="Times New Roman" w:hAnsi="Calibri" w:cs="Arial"/>
                <w:bCs/>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2A785224" w14:textId="02C3D980" w:rsidR="001640AE" w:rsidRPr="00537128" w:rsidRDefault="001640AE" w:rsidP="001640AE">
            <w:pPr>
              <w:tabs>
                <w:tab w:val="right" w:pos="1202"/>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64F3E5D9" w14:textId="2E7BB4E1" w:rsidR="001640AE" w:rsidRPr="00537128" w:rsidRDefault="001640AE" w:rsidP="001640AE">
            <w:pPr>
              <w:tabs>
                <w:tab w:val="right" w:pos="1202"/>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7BC5AD90" w14:textId="5AD6EA1D" w:rsidR="001640AE" w:rsidRPr="00537128" w:rsidRDefault="001640AE" w:rsidP="001640AE">
            <w:pPr>
              <w:tabs>
                <w:tab w:val="right" w:pos="1263"/>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69A0778E" w14:textId="604594EA" w:rsidR="001640AE" w:rsidRPr="00537128" w:rsidRDefault="001640AE" w:rsidP="001640AE">
            <w:pPr>
              <w:tabs>
                <w:tab w:val="right" w:pos="1202"/>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233,664</w:t>
            </w:r>
          </w:p>
        </w:tc>
      </w:tr>
      <w:tr w:rsidR="001640AE" w:rsidRPr="00537128" w14:paraId="3B5AD7E5" w14:textId="77777777" w:rsidTr="00703DBC">
        <w:trPr>
          <w:trHeight w:hRule="exact" w:val="227"/>
          <w:jc w:val="center"/>
        </w:trPr>
        <w:tc>
          <w:tcPr>
            <w:tcW w:w="2981" w:type="dxa"/>
            <w:vAlign w:val="bottom"/>
          </w:tcPr>
          <w:p w14:paraId="0280E548" w14:textId="77777777" w:rsidR="001640AE" w:rsidRPr="00537128" w:rsidRDefault="001640AE" w:rsidP="001640AE">
            <w:pPr>
              <w:tabs>
                <w:tab w:val="right" w:pos="1202"/>
              </w:tabs>
              <w:spacing w:after="0" w:line="240" w:lineRule="auto"/>
              <w:outlineLvl w:val="0"/>
              <w:rPr>
                <w:rFonts w:ascii="Calibri" w:eastAsia="Times New Roman" w:hAnsi="Calibri" w:cs="Arial"/>
                <w:bCs/>
                <w:sz w:val="18"/>
                <w:szCs w:val="18"/>
                <w:lang w:val="en-US"/>
              </w:rPr>
            </w:pPr>
            <w:bookmarkStart w:id="981" w:name="_Toc4062644"/>
            <w:r w:rsidRPr="00537128">
              <w:rPr>
                <w:rFonts w:ascii="Calibri" w:eastAsia="Times New Roman" w:hAnsi="Calibri" w:cs="Arial"/>
                <w:spacing w:val="-2"/>
                <w:sz w:val="18"/>
                <w:szCs w:val="18"/>
                <w:lang w:val="en-US"/>
              </w:rPr>
              <w:t>Undrawn loans</w:t>
            </w:r>
            <w:bookmarkEnd w:id="981"/>
          </w:p>
        </w:tc>
        <w:tc>
          <w:tcPr>
            <w:tcW w:w="991" w:type="dxa"/>
            <w:tcBorders>
              <w:top w:val="nil"/>
              <w:left w:val="nil"/>
              <w:bottom w:val="nil"/>
              <w:right w:val="nil"/>
            </w:tcBorders>
            <w:shd w:val="clear" w:color="auto" w:fill="auto"/>
            <w:vAlign w:val="bottom"/>
          </w:tcPr>
          <w:p w14:paraId="25E89CF3" w14:textId="76BFE2B0" w:rsidR="001640AE" w:rsidRPr="00537128" w:rsidRDefault="001640AE" w:rsidP="001640AE">
            <w:pPr>
              <w:spacing w:after="0" w:line="240" w:lineRule="auto"/>
              <w:jc w:val="right"/>
              <w:outlineLvl w:val="0"/>
              <w:rPr>
                <w:rFonts w:ascii="Calibri" w:eastAsia="Times New Roman" w:hAnsi="Calibri" w:cs="Arial"/>
                <w:bCs/>
                <w:spacing w:val="-2"/>
                <w:sz w:val="18"/>
                <w:szCs w:val="18"/>
                <w:lang w:val="en-US"/>
              </w:rPr>
            </w:pPr>
            <w:r>
              <w:rPr>
                <w:rFonts w:ascii="Calibri" w:hAnsi="Calibri"/>
                <w:color w:val="000000"/>
                <w:sz w:val="18"/>
                <w:szCs w:val="18"/>
              </w:rPr>
              <w:t>3,198,985</w:t>
            </w:r>
          </w:p>
        </w:tc>
        <w:tc>
          <w:tcPr>
            <w:tcW w:w="1134" w:type="dxa"/>
            <w:tcBorders>
              <w:top w:val="nil"/>
              <w:left w:val="nil"/>
              <w:bottom w:val="nil"/>
              <w:right w:val="nil"/>
            </w:tcBorders>
            <w:shd w:val="clear" w:color="auto" w:fill="auto"/>
            <w:vAlign w:val="bottom"/>
          </w:tcPr>
          <w:p w14:paraId="67D9ED0B" w14:textId="2B0CB4E8" w:rsidR="001640AE" w:rsidRPr="00537128" w:rsidRDefault="001640AE" w:rsidP="001640AE">
            <w:pPr>
              <w:spacing w:after="0" w:line="240" w:lineRule="auto"/>
              <w:jc w:val="right"/>
              <w:outlineLvl w:val="0"/>
              <w:rPr>
                <w:rFonts w:ascii="Calibri" w:eastAsia="Times New Roman" w:hAnsi="Calibri" w:cs="Arial"/>
                <w:bCs/>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2E67BCE1" w14:textId="2184E653" w:rsidR="001640AE" w:rsidRPr="00537128" w:rsidRDefault="001640AE" w:rsidP="001640AE">
            <w:pPr>
              <w:spacing w:after="0" w:line="240" w:lineRule="auto"/>
              <w:jc w:val="right"/>
              <w:outlineLvl w:val="0"/>
              <w:rPr>
                <w:rFonts w:ascii="Calibri" w:eastAsia="Times New Roman" w:hAnsi="Calibri" w:cs="Arial"/>
                <w:bCs/>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5CC5BD35" w14:textId="0284C0EB" w:rsidR="001640AE" w:rsidRPr="00537128" w:rsidRDefault="001640AE" w:rsidP="001640AE">
            <w:pPr>
              <w:spacing w:after="0" w:line="240" w:lineRule="auto"/>
              <w:jc w:val="right"/>
              <w:outlineLvl w:val="0"/>
              <w:rPr>
                <w:rFonts w:ascii="Calibri" w:eastAsia="Times New Roman" w:hAnsi="Calibri" w:cs="Arial"/>
                <w:bCs/>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28F8804F" w14:textId="39E9A4C7" w:rsidR="001640AE" w:rsidRPr="00537128" w:rsidRDefault="001640AE" w:rsidP="001640AE">
            <w:pPr>
              <w:tabs>
                <w:tab w:val="right" w:pos="1263"/>
              </w:tabs>
              <w:spacing w:after="0" w:line="240" w:lineRule="auto"/>
              <w:jc w:val="right"/>
              <w:outlineLvl w:val="0"/>
              <w:rPr>
                <w:rFonts w:ascii="Calibri" w:eastAsia="Times New Roman" w:hAnsi="Calibri" w:cs="Arial"/>
                <w:bCs/>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605F194F" w14:textId="3C5D41CF" w:rsidR="001640AE" w:rsidRPr="00537128" w:rsidRDefault="001640AE" w:rsidP="001640AE">
            <w:pPr>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3,198,985</w:t>
            </w:r>
          </w:p>
        </w:tc>
      </w:tr>
      <w:tr w:rsidR="001640AE" w:rsidRPr="00537128" w14:paraId="0CAF5CAF" w14:textId="77777777" w:rsidTr="00703DBC">
        <w:trPr>
          <w:trHeight w:hRule="exact" w:val="227"/>
          <w:jc w:val="center"/>
        </w:trPr>
        <w:tc>
          <w:tcPr>
            <w:tcW w:w="2981" w:type="dxa"/>
            <w:vAlign w:val="bottom"/>
          </w:tcPr>
          <w:p w14:paraId="2719511F" w14:textId="77777777" w:rsidR="001640AE" w:rsidRPr="00537128" w:rsidRDefault="001640AE" w:rsidP="001640AE">
            <w:pPr>
              <w:tabs>
                <w:tab w:val="left" w:pos="-720"/>
              </w:tabs>
              <w:suppressAutoHyphens/>
              <w:spacing w:after="0" w:line="240" w:lineRule="auto"/>
              <w:rPr>
                <w:rFonts w:ascii="Calibri" w:eastAsia="Times New Roman" w:hAnsi="Calibri" w:cs="Arial"/>
                <w:spacing w:val="-2"/>
                <w:sz w:val="18"/>
                <w:szCs w:val="18"/>
                <w:lang w:val="en-US"/>
              </w:rPr>
            </w:pPr>
            <w:bookmarkStart w:id="982" w:name="_Toc4062651"/>
            <w:r w:rsidRPr="00537128">
              <w:rPr>
                <w:rFonts w:ascii="Calibri" w:eastAsia="Times New Roman" w:hAnsi="Calibri" w:cs="Arial"/>
                <w:spacing w:val="-2"/>
                <w:sz w:val="18"/>
                <w:szCs w:val="18"/>
                <w:lang w:val="en-US"/>
              </w:rPr>
              <w:t>EIF – subscribed, not called up capital</w:t>
            </w:r>
            <w:bookmarkEnd w:id="982"/>
          </w:p>
        </w:tc>
        <w:tc>
          <w:tcPr>
            <w:tcW w:w="991" w:type="dxa"/>
            <w:tcBorders>
              <w:top w:val="nil"/>
              <w:left w:val="nil"/>
              <w:bottom w:val="nil"/>
              <w:right w:val="nil"/>
            </w:tcBorders>
            <w:shd w:val="clear" w:color="auto" w:fill="auto"/>
            <w:vAlign w:val="bottom"/>
          </w:tcPr>
          <w:p w14:paraId="1149DF71" w14:textId="38E04DBB" w:rsidR="001640AE" w:rsidRPr="00537128" w:rsidRDefault="001640AE" w:rsidP="001640AE">
            <w:pPr>
              <w:spacing w:after="0" w:line="240" w:lineRule="auto"/>
              <w:jc w:val="right"/>
              <w:outlineLvl w:val="0"/>
              <w:rPr>
                <w:rFonts w:ascii="Calibri" w:eastAsia="Times New Roman" w:hAnsi="Calibri" w:cs="Calibri"/>
                <w:bCs/>
                <w:color w:val="000000"/>
                <w:sz w:val="18"/>
                <w:szCs w:val="18"/>
                <w:lang w:val="en-US"/>
              </w:rPr>
            </w:pPr>
            <w:r>
              <w:rPr>
                <w:rFonts w:ascii="Calibri" w:hAnsi="Calibri"/>
                <w:color w:val="000000"/>
                <w:sz w:val="18"/>
                <w:szCs w:val="18"/>
              </w:rPr>
              <w:t>78,798</w:t>
            </w:r>
          </w:p>
        </w:tc>
        <w:tc>
          <w:tcPr>
            <w:tcW w:w="1134" w:type="dxa"/>
            <w:tcBorders>
              <w:top w:val="nil"/>
              <w:left w:val="nil"/>
              <w:bottom w:val="nil"/>
              <w:right w:val="nil"/>
            </w:tcBorders>
            <w:shd w:val="clear" w:color="auto" w:fill="auto"/>
            <w:vAlign w:val="bottom"/>
          </w:tcPr>
          <w:p w14:paraId="5A0DA8F9" w14:textId="7A5F31B5" w:rsidR="001640AE" w:rsidRPr="00537128" w:rsidRDefault="001640AE" w:rsidP="001640AE">
            <w:pPr>
              <w:spacing w:after="0" w:line="240" w:lineRule="auto"/>
              <w:jc w:val="right"/>
              <w:outlineLvl w:val="0"/>
              <w:rPr>
                <w:rFonts w:ascii="Calibri" w:eastAsia="Times New Roman" w:hAnsi="Calibri" w:cs="Calibri"/>
                <w:bCs/>
                <w:color w:val="000000"/>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591837C4" w14:textId="3102F067" w:rsidR="001640AE" w:rsidRPr="00537128" w:rsidRDefault="001640AE" w:rsidP="001640AE">
            <w:pPr>
              <w:spacing w:after="0" w:line="240" w:lineRule="auto"/>
              <w:jc w:val="right"/>
              <w:outlineLvl w:val="0"/>
              <w:rPr>
                <w:rFonts w:ascii="Calibri" w:eastAsia="Times New Roman" w:hAnsi="Calibri" w:cs="Calibri"/>
                <w:bCs/>
                <w:color w:val="000000"/>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112035D8" w14:textId="58CD7ECD" w:rsidR="001640AE" w:rsidRPr="00537128" w:rsidRDefault="001640AE" w:rsidP="001640AE">
            <w:pPr>
              <w:spacing w:after="0" w:line="240" w:lineRule="auto"/>
              <w:jc w:val="right"/>
              <w:outlineLvl w:val="0"/>
              <w:rPr>
                <w:rFonts w:ascii="Calibri" w:eastAsia="Times New Roman" w:hAnsi="Calibri" w:cs="Calibri"/>
                <w:bCs/>
                <w:color w:val="000000"/>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1BBE5891" w14:textId="5E866114" w:rsidR="001640AE" w:rsidRPr="00537128" w:rsidRDefault="001640AE" w:rsidP="001640AE">
            <w:pPr>
              <w:tabs>
                <w:tab w:val="right" w:pos="1263"/>
              </w:tabs>
              <w:spacing w:after="0" w:line="240" w:lineRule="auto"/>
              <w:jc w:val="right"/>
              <w:outlineLvl w:val="0"/>
              <w:rPr>
                <w:rFonts w:ascii="Calibri" w:eastAsia="Times New Roman" w:hAnsi="Calibri" w:cs="Calibri"/>
                <w:bCs/>
                <w:color w:val="000000"/>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705875E2" w14:textId="3BF3AE0B" w:rsidR="001640AE" w:rsidRPr="00537128" w:rsidRDefault="001640AE" w:rsidP="001640AE">
            <w:pPr>
              <w:spacing w:after="0" w:line="240" w:lineRule="auto"/>
              <w:jc w:val="right"/>
              <w:outlineLvl w:val="0"/>
              <w:rPr>
                <w:rFonts w:ascii="Calibri" w:eastAsia="Times New Roman" w:hAnsi="Calibri" w:cs="Calibri"/>
                <w:color w:val="000000"/>
                <w:sz w:val="18"/>
                <w:szCs w:val="18"/>
                <w:lang w:val="en-US"/>
              </w:rPr>
            </w:pPr>
            <w:r>
              <w:rPr>
                <w:rFonts w:ascii="Calibri" w:hAnsi="Calibri"/>
                <w:color w:val="000000"/>
                <w:sz w:val="18"/>
                <w:szCs w:val="18"/>
              </w:rPr>
              <w:t>78,798</w:t>
            </w:r>
          </w:p>
        </w:tc>
      </w:tr>
      <w:tr w:rsidR="001640AE" w:rsidRPr="00537128" w14:paraId="202A198F" w14:textId="77777777" w:rsidTr="00703DBC">
        <w:trPr>
          <w:trHeight w:hRule="exact" w:val="227"/>
          <w:jc w:val="center"/>
        </w:trPr>
        <w:tc>
          <w:tcPr>
            <w:tcW w:w="2981" w:type="dxa"/>
            <w:tcBorders>
              <w:top w:val="nil"/>
              <w:left w:val="nil"/>
              <w:bottom w:val="nil"/>
              <w:right w:val="nil"/>
            </w:tcBorders>
            <w:shd w:val="clear" w:color="auto" w:fill="auto"/>
            <w:vAlign w:val="bottom"/>
          </w:tcPr>
          <w:p w14:paraId="3E836989" w14:textId="77777777" w:rsidR="001640AE" w:rsidRPr="00537128" w:rsidRDefault="001640AE" w:rsidP="001640AE">
            <w:pPr>
              <w:tabs>
                <w:tab w:val="left" w:pos="-720"/>
              </w:tabs>
              <w:suppressAutoHyphens/>
              <w:spacing w:after="0" w:line="240" w:lineRule="auto"/>
              <w:rPr>
                <w:rFonts w:ascii="Calibri" w:eastAsia="Times New Roman" w:hAnsi="Calibri" w:cs="Arial"/>
                <w:spacing w:val="-2"/>
                <w:sz w:val="18"/>
                <w:szCs w:val="18"/>
                <w:lang w:val="en-US"/>
              </w:rPr>
            </w:pPr>
            <w:r w:rsidRPr="00537128">
              <w:rPr>
                <w:rFonts w:ascii="Calibri" w:eastAsia="Times New Roman" w:hAnsi="Calibri" w:cs="Calibri"/>
                <w:color w:val="000000"/>
                <w:sz w:val="18"/>
                <w:szCs w:val="18"/>
                <w:lang w:val="en-US"/>
              </w:rPr>
              <w:t>EIF CROGIP Contracted Liability</w:t>
            </w:r>
          </w:p>
        </w:tc>
        <w:tc>
          <w:tcPr>
            <w:tcW w:w="991" w:type="dxa"/>
            <w:tcBorders>
              <w:top w:val="nil"/>
              <w:left w:val="nil"/>
              <w:bottom w:val="nil"/>
              <w:right w:val="nil"/>
            </w:tcBorders>
            <w:shd w:val="clear" w:color="auto" w:fill="auto"/>
            <w:vAlign w:val="bottom"/>
          </w:tcPr>
          <w:p w14:paraId="52747CF1" w14:textId="166158E6" w:rsidR="001640AE" w:rsidRPr="00537128" w:rsidRDefault="001640AE" w:rsidP="001640AE">
            <w:pPr>
              <w:spacing w:after="0" w:line="240" w:lineRule="auto"/>
              <w:jc w:val="right"/>
              <w:outlineLvl w:val="0"/>
              <w:rPr>
                <w:rFonts w:ascii="Calibri" w:eastAsia="Times New Roman" w:hAnsi="Calibri" w:cs="Times New Roman"/>
                <w:bCs/>
                <w:color w:val="000000"/>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59EA1107" w14:textId="63C0F125" w:rsidR="001640AE" w:rsidRPr="00537128" w:rsidRDefault="001640AE" w:rsidP="001640AE">
            <w:pPr>
              <w:spacing w:after="0" w:line="240" w:lineRule="auto"/>
              <w:jc w:val="right"/>
              <w:outlineLvl w:val="0"/>
              <w:rPr>
                <w:rFonts w:ascii="Calibri" w:eastAsia="Times New Roman" w:hAnsi="Calibri" w:cs="Calibri"/>
                <w:bCs/>
                <w:color w:val="000000"/>
                <w:sz w:val="18"/>
                <w:szCs w:val="18"/>
                <w:lang w:val="en-US"/>
              </w:rPr>
            </w:pPr>
            <w:r>
              <w:rPr>
                <w:rFonts w:ascii="Calibri" w:hAnsi="Calibri"/>
                <w:color w:val="000000"/>
                <w:sz w:val="18"/>
                <w:szCs w:val="18"/>
              </w:rPr>
              <w:t>12,000</w:t>
            </w:r>
          </w:p>
        </w:tc>
        <w:tc>
          <w:tcPr>
            <w:tcW w:w="1134" w:type="dxa"/>
            <w:tcBorders>
              <w:top w:val="nil"/>
              <w:left w:val="nil"/>
              <w:bottom w:val="nil"/>
              <w:right w:val="nil"/>
            </w:tcBorders>
            <w:shd w:val="clear" w:color="auto" w:fill="auto"/>
            <w:vAlign w:val="bottom"/>
          </w:tcPr>
          <w:p w14:paraId="039C0D77" w14:textId="3F14A6FE" w:rsidR="001640AE" w:rsidRPr="00537128" w:rsidRDefault="001640AE" w:rsidP="001640AE">
            <w:pPr>
              <w:spacing w:after="0" w:line="240" w:lineRule="auto"/>
              <w:jc w:val="right"/>
              <w:outlineLvl w:val="0"/>
              <w:rPr>
                <w:rFonts w:ascii="Calibri" w:eastAsia="Times New Roman" w:hAnsi="Calibri" w:cs="Calibri"/>
                <w:bCs/>
                <w:color w:val="000000"/>
                <w:sz w:val="18"/>
                <w:szCs w:val="18"/>
                <w:lang w:val="en-US"/>
              </w:rPr>
            </w:pPr>
            <w:r>
              <w:rPr>
                <w:rFonts w:ascii="Calibri" w:hAnsi="Calibri"/>
                <w:color w:val="000000"/>
                <w:sz w:val="18"/>
                <w:szCs w:val="18"/>
              </w:rPr>
              <w:t>75,590</w:t>
            </w:r>
          </w:p>
        </w:tc>
        <w:tc>
          <w:tcPr>
            <w:tcW w:w="1134" w:type="dxa"/>
            <w:tcBorders>
              <w:top w:val="nil"/>
              <w:left w:val="nil"/>
              <w:bottom w:val="nil"/>
              <w:right w:val="nil"/>
            </w:tcBorders>
            <w:shd w:val="clear" w:color="auto" w:fill="auto"/>
            <w:vAlign w:val="bottom"/>
          </w:tcPr>
          <w:p w14:paraId="14BD527E" w14:textId="2AD1450E" w:rsidR="001640AE" w:rsidRPr="00537128" w:rsidRDefault="001640AE" w:rsidP="001640AE">
            <w:pPr>
              <w:spacing w:after="0" w:line="240" w:lineRule="auto"/>
              <w:jc w:val="right"/>
              <w:outlineLvl w:val="0"/>
              <w:rPr>
                <w:rFonts w:ascii="Calibri" w:eastAsia="Times New Roman" w:hAnsi="Calibri" w:cs="Calibri"/>
                <w:bCs/>
                <w:color w:val="000000"/>
                <w:sz w:val="18"/>
                <w:szCs w:val="18"/>
                <w:lang w:val="en-US"/>
              </w:rPr>
            </w:pPr>
            <w:r>
              <w:rPr>
                <w:rFonts w:ascii="Calibri" w:hAnsi="Calibri"/>
                <w:color w:val="000000"/>
                <w:sz w:val="18"/>
                <w:szCs w:val="18"/>
              </w:rPr>
              <w:t>107,175</w:t>
            </w:r>
          </w:p>
        </w:tc>
        <w:tc>
          <w:tcPr>
            <w:tcW w:w="1134" w:type="dxa"/>
            <w:tcBorders>
              <w:top w:val="nil"/>
              <w:left w:val="nil"/>
              <w:bottom w:val="nil"/>
              <w:right w:val="nil"/>
            </w:tcBorders>
            <w:shd w:val="clear" w:color="auto" w:fill="auto"/>
            <w:vAlign w:val="bottom"/>
          </w:tcPr>
          <w:p w14:paraId="3E127175" w14:textId="3D1017B5" w:rsidR="001640AE" w:rsidRPr="00537128" w:rsidRDefault="001640AE" w:rsidP="001640AE">
            <w:pPr>
              <w:tabs>
                <w:tab w:val="right" w:pos="1263"/>
              </w:tabs>
              <w:spacing w:after="0" w:line="240" w:lineRule="auto"/>
              <w:jc w:val="right"/>
              <w:outlineLvl w:val="0"/>
              <w:rPr>
                <w:rFonts w:ascii="Calibri" w:eastAsia="Times New Roman" w:hAnsi="Calibri" w:cs="Calibri"/>
                <w:bCs/>
                <w:color w:val="000000"/>
                <w:sz w:val="18"/>
                <w:szCs w:val="18"/>
                <w:lang w:val="en-US"/>
              </w:rPr>
            </w:pPr>
            <w:r>
              <w:rPr>
                <w:rFonts w:ascii="Calibri" w:hAnsi="Calibri"/>
                <w:color w:val="000000"/>
                <w:sz w:val="18"/>
                <w:szCs w:val="18"/>
              </w:rPr>
              <w:t>120,198</w:t>
            </w:r>
          </w:p>
        </w:tc>
        <w:tc>
          <w:tcPr>
            <w:tcW w:w="1134" w:type="dxa"/>
            <w:tcBorders>
              <w:top w:val="nil"/>
              <w:left w:val="nil"/>
              <w:bottom w:val="nil"/>
              <w:right w:val="nil"/>
            </w:tcBorders>
            <w:shd w:val="clear" w:color="auto" w:fill="auto"/>
            <w:vAlign w:val="bottom"/>
          </w:tcPr>
          <w:p w14:paraId="64976C7E" w14:textId="613C73E9" w:rsidR="001640AE" w:rsidRPr="00537128" w:rsidRDefault="001640AE" w:rsidP="001640AE">
            <w:pPr>
              <w:spacing w:after="0" w:line="240" w:lineRule="auto"/>
              <w:jc w:val="right"/>
              <w:outlineLvl w:val="0"/>
              <w:rPr>
                <w:rFonts w:ascii="Calibri" w:eastAsia="Times New Roman" w:hAnsi="Calibri" w:cs="Times New Roman"/>
                <w:color w:val="000000"/>
                <w:sz w:val="18"/>
                <w:szCs w:val="18"/>
                <w:lang w:val="en-US"/>
              </w:rPr>
            </w:pPr>
            <w:r>
              <w:rPr>
                <w:rFonts w:ascii="Calibri" w:hAnsi="Calibri"/>
                <w:color w:val="000000"/>
                <w:sz w:val="18"/>
                <w:szCs w:val="18"/>
              </w:rPr>
              <w:t>314,963</w:t>
            </w:r>
          </w:p>
        </w:tc>
      </w:tr>
      <w:tr w:rsidR="001640AE" w:rsidRPr="00537128" w14:paraId="349A029F" w14:textId="77777777" w:rsidTr="00703DBC">
        <w:trPr>
          <w:trHeight w:hRule="exact" w:val="227"/>
          <w:jc w:val="center"/>
        </w:trPr>
        <w:tc>
          <w:tcPr>
            <w:tcW w:w="2981" w:type="dxa"/>
            <w:tcBorders>
              <w:top w:val="nil"/>
              <w:left w:val="nil"/>
              <w:bottom w:val="nil"/>
              <w:right w:val="nil"/>
            </w:tcBorders>
            <w:shd w:val="clear" w:color="auto" w:fill="auto"/>
            <w:vAlign w:val="bottom"/>
          </w:tcPr>
          <w:p w14:paraId="0A233920" w14:textId="77777777" w:rsidR="001640AE" w:rsidRPr="00537128" w:rsidRDefault="001640AE" w:rsidP="001640AE">
            <w:pPr>
              <w:tabs>
                <w:tab w:val="left" w:pos="-720"/>
              </w:tabs>
              <w:suppressAutoHyphens/>
              <w:spacing w:after="0" w:line="240" w:lineRule="auto"/>
              <w:rPr>
                <w:rFonts w:ascii="Calibri" w:eastAsia="Times New Roman" w:hAnsi="Calibri" w:cs="Arial"/>
                <w:spacing w:val="-2"/>
                <w:sz w:val="18"/>
                <w:szCs w:val="18"/>
                <w:lang w:val="en-US"/>
              </w:rPr>
            </w:pPr>
            <w:r w:rsidRPr="00537128">
              <w:rPr>
                <w:rFonts w:ascii="Calibri" w:eastAsia="Times New Roman" w:hAnsi="Calibri" w:cs="Calibri"/>
                <w:color w:val="000000"/>
                <w:sz w:val="18"/>
                <w:szCs w:val="18"/>
                <w:lang w:val="en-US"/>
              </w:rPr>
              <w:t>EIF FRC2 Contracted Liability</w:t>
            </w:r>
          </w:p>
        </w:tc>
        <w:tc>
          <w:tcPr>
            <w:tcW w:w="991" w:type="dxa"/>
            <w:tcBorders>
              <w:top w:val="nil"/>
              <w:left w:val="nil"/>
              <w:bottom w:val="nil"/>
              <w:right w:val="nil"/>
            </w:tcBorders>
            <w:shd w:val="clear" w:color="auto" w:fill="auto"/>
            <w:vAlign w:val="bottom"/>
          </w:tcPr>
          <w:p w14:paraId="0453409E" w14:textId="415694E6" w:rsidR="001640AE" w:rsidRPr="00537128" w:rsidRDefault="001640AE" w:rsidP="001640AE">
            <w:pPr>
              <w:spacing w:after="0" w:line="240" w:lineRule="auto"/>
              <w:jc w:val="right"/>
              <w:outlineLvl w:val="0"/>
              <w:rPr>
                <w:rFonts w:ascii="Calibri" w:eastAsia="Times New Roman" w:hAnsi="Calibri" w:cs="Times New Roman"/>
                <w:bCs/>
                <w:color w:val="000000"/>
                <w:sz w:val="18"/>
                <w:szCs w:val="18"/>
                <w:lang w:val="en-US"/>
              </w:rPr>
            </w:pPr>
            <w:r>
              <w:rPr>
                <w:rFonts w:ascii="Calibri" w:hAnsi="Calibri"/>
                <w:color w:val="000000"/>
                <w:sz w:val="18"/>
                <w:szCs w:val="18"/>
              </w:rPr>
              <w:t>463</w:t>
            </w:r>
          </w:p>
        </w:tc>
        <w:tc>
          <w:tcPr>
            <w:tcW w:w="1134" w:type="dxa"/>
            <w:tcBorders>
              <w:top w:val="nil"/>
              <w:left w:val="nil"/>
              <w:bottom w:val="nil"/>
              <w:right w:val="nil"/>
            </w:tcBorders>
            <w:shd w:val="clear" w:color="auto" w:fill="auto"/>
            <w:vAlign w:val="bottom"/>
          </w:tcPr>
          <w:p w14:paraId="08E2A586" w14:textId="319B1B04" w:rsidR="001640AE" w:rsidRPr="00537128" w:rsidRDefault="001640AE" w:rsidP="001640AE">
            <w:pPr>
              <w:spacing w:after="0" w:line="240" w:lineRule="auto"/>
              <w:jc w:val="right"/>
              <w:outlineLvl w:val="0"/>
              <w:rPr>
                <w:rFonts w:ascii="Calibri" w:eastAsia="Times New Roman" w:hAnsi="Calibri" w:cs="Calibri"/>
                <w:bCs/>
                <w:color w:val="000000"/>
                <w:sz w:val="18"/>
                <w:szCs w:val="18"/>
                <w:lang w:val="en-US"/>
              </w:rPr>
            </w:pPr>
            <w:r>
              <w:rPr>
                <w:rFonts w:ascii="Calibri" w:hAnsi="Calibri"/>
                <w:color w:val="000000"/>
                <w:sz w:val="18"/>
                <w:szCs w:val="18"/>
              </w:rPr>
              <w:t>750</w:t>
            </w:r>
          </w:p>
        </w:tc>
        <w:tc>
          <w:tcPr>
            <w:tcW w:w="1134" w:type="dxa"/>
            <w:tcBorders>
              <w:top w:val="nil"/>
              <w:left w:val="nil"/>
              <w:bottom w:val="nil"/>
              <w:right w:val="nil"/>
            </w:tcBorders>
            <w:shd w:val="clear" w:color="auto" w:fill="auto"/>
            <w:vAlign w:val="bottom"/>
          </w:tcPr>
          <w:p w14:paraId="79F4BB07" w14:textId="598FDE7A" w:rsidR="001640AE" w:rsidRPr="00537128" w:rsidRDefault="001640AE" w:rsidP="001640AE">
            <w:pPr>
              <w:spacing w:after="0" w:line="240" w:lineRule="auto"/>
              <w:jc w:val="right"/>
              <w:outlineLvl w:val="0"/>
              <w:rPr>
                <w:rFonts w:ascii="Calibri" w:eastAsia="Times New Roman" w:hAnsi="Calibri" w:cs="Calibri"/>
                <w:bCs/>
                <w:color w:val="000000"/>
                <w:sz w:val="18"/>
                <w:szCs w:val="18"/>
                <w:lang w:val="en-US"/>
              </w:rPr>
            </w:pPr>
            <w:r>
              <w:rPr>
                <w:rFonts w:ascii="Calibri" w:hAnsi="Calibri"/>
                <w:color w:val="000000"/>
                <w:sz w:val="18"/>
                <w:szCs w:val="18"/>
              </w:rPr>
              <w:t>1,640</w:t>
            </w:r>
          </w:p>
        </w:tc>
        <w:tc>
          <w:tcPr>
            <w:tcW w:w="1134" w:type="dxa"/>
            <w:tcBorders>
              <w:top w:val="nil"/>
              <w:left w:val="nil"/>
              <w:bottom w:val="nil"/>
              <w:right w:val="nil"/>
            </w:tcBorders>
            <w:shd w:val="clear" w:color="auto" w:fill="auto"/>
            <w:vAlign w:val="bottom"/>
          </w:tcPr>
          <w:p w14:paraId="3CB7E1F8" w14:textId="3F216061" w:rsidR="001640AE" w:rsidRPr="00537128" w:rsidRDefault="001640AE" w:rsidP="001640AE">
            <w:pPr>
              <w:spacing w:after="0" w:line="240" w:lineRule="auto"/>
              <w:jc w:val="right"/>
              <w:outlineLvl w:val="0"/>
              <w:rPr>
                <w:rFonts w:ascii="Calibri" w:eastAsia="Times New Roman" w:hAnsi="Calibri" w:cs="Calibri"/>
                <w:bCs/>
                <w:color w:val="000000"/>
                <w:sz w:val="18"/>
                <w:szCs w:val="18"/>
                <w:lang w:val="en-US"/>
              </w:rPr>
            </w:pPr>
            <w:r>
              <w:rPr>
                <w:rFonts w:ascii="Calibri" w:hAnsi="Calibri"/>
                <w:color w:val="000000"/>
                <w:sz w:val="18"/>
                <w:szCs w:val="18"/>
              </w:rPr>
              <w:t>1,239</w:t>
            </w:r>
          </w:p>
        </w:tc>
        <w:tc>
          <w:tcPr>
            <w:tcW w:w="1134" w:type="dxa"/>
            <w:tcBorders>
              <w:top w:val="nil"/>
              <w:left w:val="nil"/>
              <w:bottom w:val="nil"/>
              <w:right w:val="nil"/>
            </w:tcBorders>
            <w:shd w:val="clear" w:color="auto" w:fill="auto"/>
            <w:vAlign w:val="bottom"/>
          </w:tcPr>
          <w:p w14:paraId="7564CC9E" w14:textId="56DDC990" w:rsidR="001640AE" w:rsidRPr="00537128" w:rsidRDefault="001640AE" w:rsidP="001640AE">
            <w:pPr>
              <w:tabs>
                <w:tab w:val="right" w:pos="1263"/>
              </w:tabs>
              <w:spacing w:after="0" w:line="240" w:lineRule="auto"/>
              <w:jc w:val="right"/>
              <w:outlineLvl w:val="0"/>
              <w:rPr>
                <w:rFonts w:ascii="Calibri" w:eastAsia="Times New Roman" w:hAnsi="Calibri" w:cs="Calibri"/>
                <w:bCs/>
                <w:color w:val="000000"/>
                <w:sz w:val="18"/>
                <w:szCs w:val="18"/>
                <w:lang w:val="en-US"/>
              </w:rPr>
            </w:pPr>
            <w:r>
              <w:rPr>
                <w:rFonts w:ascii="Calibri" w:hAnsi="Calibri"/>
                <w:color w:val="000000"/>
                <w:sz w:val="18"/>
                <w:szCs w:val="18"/>
              </w:rPr>
              <w:t>1,091</w:t>
            </w:r>
          </w:p>
        </w:tc>
        <w:tc>
          <w:tcPr>
            <w:tcW w:w="1134" w:type="dxa"/>
            <w:tcBorders>
              <w:top w:val="nil"/>
              <w:left w:val="nil"/>
              <w:bottom w:val="nil"/>
              <w:right w:val="nil"/>
            </w:tcBorders>
            <w:shd w:val="clear" w:color="auto" w:fill="auto"/>
            <w:vAlign w:val="bottom"/>
          </w:tcPr>
          <w:p w14:paraId="370ACE52" w14:textId="7AFD7602" w:rsidR="001640AE" w:rsidRPr="00537128" w:rsidRDefault="001640AE" w:rsidP="001640AE">
            <w:pPr>
              <w:spacing w:after="0" w:line="240" w:lineRule="auto"/>
              <w:jc w:val="right"/>
              <w:outlineLvl w:val="0"/>
              <w:rPr>
                <w:rFonts w:ascii="Calibri" w:eastAsia="Times New Roman" w:hAnsi="Calibri" w:cs="Times New Roman"/>
                <w:color w:val="000000"/>
                <w:sz w:val="18"/>
                <w:szCs w:val="18"/>
                <w:lang w:val="en-US"/>
              </w:rPr>
            </w:pPr>
            <w:r>
              <w:rPr>
                <w:rFonts w:ascii="Calibri" w:hAnsi="Calibri"/>
                <w:color w:val="000000"/>
                <w:sz w:val="18"/>
                <w:szCs w:val="18"/>
              </w:rPr>
              <w:t>5,183</w:t>
            </w:r>
          </w:p>
        </w:tc>
      </w:tr>
      <w:tr w:rsidR="001640AE" w:rsidRPr="00537128" w14:paraId="2451A29F" w14:textId="77777777" w:rsidTr="00703DBC">
        <w:trPr>
          <w:trHeight w:hRule="exact" w:val="274"/>
          <w:jc w:val="center"/>
        </w:trPr>
        <w:tc>
          <w:tcPr>
            <w:tcW w:w="2981" w:type="dxa"/>
            <w:vAlign w:val="bottom"/>
          </w:tcPr>
          <w:p w14:paraId="136357A5" w14:textId="77777777" w:rsidR="001640AE" w:rsidRPr="00537128" w:rsidRDefault="001640AE" w:rsidP="001640AE">
            <w:pPr>
              <w:spacing w:after="0" w:line="240" w:lineRule="auto"/>
              <w:rPr>
                <w:rFonts w:ascii="Calibri" w:eastAsia="Times New Roman" w:hAnsi="Calibri" w:cs="Arial"/>
                <w:b/>
                <w:i/>
                <w:sz w:val="18"/>
                <w:szCs w:val="18"/>
                <w:lang w:val="en-US"/>
              </w:rPr>
            </w:pPr>
            <w:r w:rsidRPr="00537128">
              <w:rPr>
                <w:rFonts w:ascii="Calibri" w:eastAsia="Times New Roman" w:hAnsi="Calibri" w:cs="Arial"/>
                <w:b/>
                <w:bCs/>
                <w:spacing w:val="-2"/>
                <w:sz w:val="18"/>
                <w:szCs w:val="18"/>
                <w:lang w:val="en-US"/>
              </w:rPr>
              <w:t>Total guarantees and commitments</w:t>
            </w:r>
          </w:p>
        </w:tc>
        <w:tc>
          <w:tcPr>
            <w:tcW w:w="991" w:type="dxa"/>
            <w:tcBorders>
              <w:top w:val="single" w:sz="8" w:space="0" w:color="auto"/>
              <w:left w:val="nil"/>
              <w:bottom w:val="single" w:sz="8" w:space="0" w:color="auto"/>
              <w:right w:val="nil"/>
            </w:tcBorders>
            <w:shd w:val="clear" w:color="auto" w:fill="auto"/>
            <w:vAlign w:val="bottom"/>
          </w:tcPr>
          <w:p w14:paraId="65260C29" w14:textId="44E729BE" w:rsidR="001640AE" w:rsidRPr="00537128" w:rsidRDefault="001640AE" w:rsidP="001640A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b/>
                <w:bCs/>
                <w:color w:val="000000"/>
                <w:sz w:val="18"/>
                <w:szCs w:val="18"/>
              </w:rPr>
              <w:t>3,689,145</w:t>
            </w:r>
          </w:p>
        </w:tc>
        <w:tc>
          <w:tcPr>
            <w:tcW w:w="1134" w:type="dxa"/>
            <w:tcBorders>
              <w:top w:val="single" w:sz="8" w:space="0" w:color="auto"/>
              <w:left w:val="nil"/>
              <w:bottom w:val="single" w:sz="8" w:space="0" w:color="auto"/>
              <w:right w:val="nil"/>
            </w:tcBorders>
            <w:shd w:val="clear" w:color="auto" w:fill="auto"/>
            <w:vAlign w:val="bottom"/>
          </w:tcPr>
          <w:p w14:paraId="7FAD7C13" w14:textId="7682920D" w:rsidR="001640AE" w:rsidRPr="00537128" w:rsidRDefault="001640AE" w:rsidP="001640A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b/>
                <w:bCs/>
                <w:color w:val="000000"/>
                <w:sz w:val="18"/>
                <w:szCs w:val="18"/>
              </w:rPr>
              <w:t>12,750</w:t>
            </w:r>
          </w:p>
        </w:tc>
        <w:tc>
          <w:tcPr>
            <w:tcW w:w="1134" w:type="dxa"/>
            <w:tcBorders>
              <w:top w:val="single" w:sz="8" w:space="0" w:color="auto"/>
              <w:left w:val="nil"/>
              <w:bottom w:val="single" w:sz="8" w:space="0" w:color="auto"/>
              <w:right w:val="nil"/>
            </w:tcBorders>
            <w:shd w:val="clear" w:color="auto" w:fill="auto"/>
            <w:vAlign w:val="bottom"/>
          </w:tcPr>
          <w:p w14:paraId="3D7DD66B" w14:textId="0532805F" w:rsidR="001640AE" w:rsidRPr="00537128" w:rsidRDefault="001640AE" w:rsidP="001640A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b/>
                <w:bCs/>
                <w:color w:val="000000"/>
                <w:sz w:val="18"/>
                <w:szCs w:val="18"/>
              </w:rPr>
              <w:t>77,230</w:t>
            </w:r>
          </w:p>
        </w:tc>
        <w:tc>
          <w:tcPr>
            <w:tcW w:w="1134" w:type="dxa"/>
            <w:tcBorders>
              <w:top w:val="single" w:sz="8" w:space="0" w:color="auto"/>
              <w:left w:val="nil"/>
              <w:bottom w:val="single" w:sz="8" w:space="0" w:color="auto"/>
              <w:right w:val="nil"/>
            </w:tcBorders>
            <w:shd w:val="clear" w:color="auto" w:fill="auto"/>
            <w:vAlign w:val="bottom"/>
          </w:tcPr>
          <w:p w14:paraId="1F97A7E8" w14:textId="4DDBCE44" w:rsidR="001640AE" w:rsidRPr="00537128" w:rsidRDefault="001640AE" w:rsidP="001640A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b/>
                <w:bCs/>
                <w:color w:val="000000"/>
                <w:sz w:val="18"/>
                <w:szCs w:val="18"/>
              </w:rPr>
              <w:t>108,414</w:t>
            </w:r>
          </w:p>
        </w:tc>
        <w:tc>
          <w:tcPr>
            <w:tcW w:w="1134" w:type="dxa"/>
            <w:tcBorders>
              <w:top w:val="single" w:sz="8" w:space="0" w:color="auto"/>
              <w:left w:val="nil"/>
              <w:bottom w:val="single" w:sz="8" w:space="0" w:color="auto"/>
              <w:right w:val="nil"/>
            </w:tcBorders>
            <w:shd w:val="clear" w:color="auto" w:fill="auto"/>
            <w:vAlign w:val="bottom"/>
          </w:tcPr>
          <w:p w14:paraId="18112B60" w14:textId="7A6D31BB" w:rsidR="001640AE" w:rsidRPr="00537128" w:rsidRDefault="001640AE" w:rsidP="001640A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b/>
                <w:bCs/>
                <w:color w:val="000000"/>
                <w:sz w:val="18"/>
                <w:szCs w:val="18"/>
              </w:rPr>
              <w:t>121,289</w:t>
            </w:r>
          </w:p>
        </w:tc>
        <w:tc>
          <w:tcPr>
            <w:tcW w:w="1134" w:type="dxa"/>
            <w:tcBorders>
              <w:top w:val="single" w:sz="8" w:space="0" w:color="auto"/>
              <w:left w:val="nil"/>
              <w:bottom w:val="single" w:sz="8" w:space="0" w:color="auto"/>
              <w:right w:val="nil"/>
            </w:tcBorders>
            <w:shd w:val="clear" w:color="auto" w:fill="auto"/>
            <w:vAlign w:val="bottom"/>
          </w:tcPr>
          <w:p w14:paraId="65B9CF46" w14:textId="28239ECC" w:rsidR="001640AE" w:rsidRPr="00537128" w:rsidRDefault="001640AE" w:rsidP="001640A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b/>
                <w:bCs/>
                <w:color w:val="000000"/>
                <w:sz w:val="18"/>
                <w:szCs w:val="18"/>
              </w:rPr>
              <w:t>4,008,828</w:t>
            </w:r>
          </w:p>
        </w:tc>
      </w:tr>
    </w:tbl>
    <w:p w14:paraId="3C38B1C8" w14:textId="7A8000DE" w:rsidR="003D584A" w:rsidRDefault="003D584A" w:rsidP="008330AF">
      <w:pPr>
        <w:spacing w:after="0" w:line="240" w:lineRule="auto"/>
        <w:jc w:val="both"/>
        <w:rPr>
          <w:rFonts w:eastAsia="Times New Roman" w:cstheme="minorHAnsi"/>
          <w:iCs/>
          <w:color w:val="000000" w:themeColor="text1"/>
          <w:lang w:val="en-US"/>
        </w:rPr>
      </w:pPr>
    </w:p>
    <w:p w14:paraId="1BAE31AC" w14:textId="77777777" w:rsidR="00025D7F" w:rsidRPr="00537128" w:rsidRDefault="00025D7F" w:rsidP="008330AF">
      <w:pPr>
        <w:spacing w:after="0" w:line="240" w:lineRule="auto"/>
        <w:jc w:val="both"/>
        <w:rPr>
          <w:rFonts w:eastAsia="Times New Roman" w:cstheme="minorHAnsi"/>
          <w:iCs/>
          <w:color w:val="000000" w:themeColor="text1"/>
          <w:lang w:val="en-US"/>
        </w:rPr>
      </w:pPr>
    </w:p>
    <w:tbl>
      <w:tblPr>
        <w:tblW w:w="5154" w:type="pct"/>
        <w:jc w:val="center"/>
        <w:tblLayout w:type="fixed"/>
        <w:tblCellMar>
          <w:left w:w="120" w:type="dxa"/>
          <w:right w:w="120" w:type="dxa"/>
        </w:tblCellMar>
        <w:tblLook w:val="0000" w:firstRow="0" w:lastRow="0" w:firstColumn="0" w:lastColumn="0" w:noHBand="0" w:noVBand="0"/>
      </w:tblPr>
      <w:tblGrid>
        <w:gridCol w:w="2981"/>
        <w:gridCol w:w="991"/>
        <w:gridCol w:w="1134"/>
        <w:gridCol w:w="1134"/>
        <w:gridCol w:w="1134"/>
        <w:gridCol w:w="1134"/>
        <w:gridCol w:w="1134"/>
      </w:tblGrid>
      <w:tr w:rsidR="00025D7F" w:rsidRPr="00025D7F" w14:paraId="61287C8D" w14:textId="77777777" w:rsidTr="00E44437">
        <w:trPr>
          <w:trHeight w:hRule="exact" w:val="428"/>
          <w:jc w:val="center"/>
        </w:trPr>
        <w:tc>
          <w:tcPr>
            <w:tcW w:w="2982" w:type="dxa"/>
          </w:tcPr>
          <w:p w14:paraId="2939CD1A" w14:textId="77777777" w:rsidR="00025D7F" w:rsidRPr="00025D7F" w:rsidRDefault="00025D7F" w:rsidP="00025D7F">
            <w:pPr>
              <w:tabs>
                <w:tab w:val="right" w:pos="1202"/>
              </w:tabs>
              <w:spacing w:after="0" w:line="240" w:lineRule="auto"/>
              <w:outlineLvl w:val="0"/>
              <w:rPr>
                <w:rFonts w:ascii="Calibri" w:eastAsia="Times New Roman" w:hAnsi="Calibri" w:cs="Arial"/>
                <w:b/>
                <w:sz w:val="18"/>
                <w:szCs w:val="18"/>
                <w:lang w:val="en-GB"/>
              </w:rPr>
            </w:pPr>
            <w:r w:rsidRPr="00025D7F">
              <w:rPr>
                <w:rFonts w:ascii="Calibri" w:eastAsia="Times New Roman" w:hAnsi="Calibri" w:cs="Arial"/>
                <w:b/>
                <w:sz w:val="18"/>
                <w:szCs w:val="18"/>
                <w:lang w:val="en-GB"/>
              </w:rPr>
              <w:t>Bank</w:t>
            </w:r>
          </w:p>
          <w:p w14:paraId="297E2DA5" w14:textId="77777777" w:rsidR="00025D7F" w:rsidRPr="00025D7F" w:rsidRDefault="00025D7F" w:rsidP="00025D7F">
            <w:pPr>
              <w:tabs>
                <w:tab w:val="right" w:pos="1202"/>
              </w:tabs>
              <w:spacing w:after="0" w:line="240" w:lineRule="auto"/>
              <w:outlineLvl w:val="0"/>
              <w:rPr>
                <w:rFonts w:ascii="Calibri" w:eastAsia="Times New Roman" w:hAnsi="Calibri" w:cs="Arial"/>
                <w:b/>
                <w:sz w:val="18"/>
                <w:szCs w:val="18"/>
                <w:lang w:val="en-GB"/>
              </w:rPr>
            </w:pPr>
            <w:r w:rsidRPr="00025D7F">
              <w:rPr>
                <w:rFonts w:ascii="Calibri" w:eastAsia="Times New Roman" w:hAnsi="Calibri" w:cs="Arial"/>
                <w:b/>
                <w:sz w:val="18"/>
                <w:szCs w:val="18"/>
                <w:lang w:val="en-GB"/>
              </w:rPr>
              <w:t>31 December 2021</w:t>
            </w:r>
          </w:p>
        </w:tc>
        <w:tc>
          <w:tcPr>
            <w:tcW w:w="991" w:type="dxa"/>
          </w:tcPr>
          <w:p w14:paraId="68A9EC8E" w14:textId="77777777" w:rsidR="00025D7F" w:rsidRPr="00025D7F" w:rsidRDefault="00025D7F" w:rsidP="00025D7F">
            <w:pPr>
              <w:tabs>
                <w:tab w:val="right" w:pos="1202"/>
              </w:tabs>
              <w:spacing w:after="0" w:line="240" w:lineRule="auto"/>
              <w:jc w:val="right"/>
              <w:outlineLvl w:val="0"/>
              <w:rPr>
                <w:rFonts w:ascii="Calibri" w:eastAsia="Times New Roman" w:hAnsi="Calibri" w:cs="Arial"/>
                <w:b/>
                <w:sz w:val="18"/>
                <w:szCs w:val="18"/>
                <w:lang w:val="en-GB"/>
              </w:rPr>
            </w:pPr>
            <w:r w:rsidRPr="00025D7F">
              <w:rPr>
                <w:rFonts w:ascii="Calibri" w:eastAsia="Times New Roman" w:hAnsi="Calibri" w:cs="Arial"/>
                <w:b/>
                <w:sz w:val="18"/>
                <w:szCs w:val="18"/>
                <w:lang w:val="en-GB"/>
              </w:rPr>
              <w:t>Up to 1 month</w:t>
            </w:r>
          </w:p>
        </w:tc>
        <w:tc>
          <w:tcPr>
            <w:tcW w:w="1134" w:type="dxa"/>
          </w:tcPr>
          <w:p w14:paraId="59E4E6B7" w14:textId="77777777" w:rsidR="00025D7F" w:rsidRPr="00025D7F" w:rsidRDefault="00025D7F" w:rsidP="00025D7F">
            <w:pPr>
              <w:tabs>
                <w:tab w:val="right" w:pos="1202"/>
              </w:tabs>
              <w:spacing w:after="0" w:line="240" w:lineRule="auto"/>
              <w:jc w:val="right"/>
              <w:outlineLvl w:val="0"/>
              <w:rPr>
                <w:rFonts w:ascii="Calibri" w:eastAsia="Times New Roman" w:hAnsi="Calibri" w:cs="Arial"/>
                <w:b/>
                <w:sz w:val="18"/>
                <w:szCs w:val="18"/>
                <w:lang w:val="en-GB"/>
              </w:rPr>
            </w:pPr>
            <w:r w:rsidRPr="00025D7F">
              <w:rPr>
                <w:rFonts w:ascii="Calibri" w:eastAsia="Times New Roman" w:hAnsi="Calibri" w:cs="Arial"/>
                <w:b/>
                <w:sz w:val="18"/>
                <w:szCs w:val="18"/>
                <w:lang w:val="en-GB"/>
              </w:rPr>
              <w:t>1 - 3 months</w:t>
            </w:r>
          </w:p>
        </w:tc>
        <w:tc>
          <w:tcPr>
            <w:tcW w:w="1134" w:type="dxa"/>
          </w:tcPr>
          <w:p w14:paraId="3D73E03C" w14:textId="77777777" w:rsidR="00025D7F" w:rsidRPr="00025D7F" w:rsidRDefault="00025D7F" w:rsidP="00025D7F">
            <w:pPr>
              <w:tabs>
                <w:tab w:val="right" w:pos="1202"/>
              </w:tabs>
              <w:spacing w:after="0" w:line="240" w:lineRule="auto"/>
              <w:jc w:val="right"/>
              <w:outlineLvl w:val="0"/>
              <w:rPr>
                <w:rFonts w:ascii="Calibri" w:eastAsia="Times New Roman" w:hAnsi="Calibri" w:cs="Arial"/>
                <w:b/>
                <w:sz w:val="18"/>
                <w:szCs w:val="18"/>
                <w:lang w:val="en-GB"/>
              </w:rPr>
            </w:pPr>
            <w:r w:rsidRPr="00025D7F">
              <w:rPr>
                <w:rFonts w:ascii="Calibri" w:eastAsia="Times New Roman" w:hAnsi="Calibri" w:cs="Arial"/>
                <w:b/>
                <w:sz w:val="18"/>
                <w:szCs w:val="18"/>
                <w:lang w:val="en-GB"/>
              </w:rPr>
              <w:t xml:space="preserve">3 - 12 </w:t>
            </w:r>
          </w:p>
          <w:p w14:paraId="216E2AE6" w14:textId="77777777" w:rsidR="00025D7F" w:rsidRPr="00025D7F" w:rsidRDefault="00025D7F" w:rsidP="00025D7F">
            <w:pPr>
              <w:tabs>
                <w:tab w:val="right" w:pos="1202"/>
              </w:tabs>
              <w:spacing w:after="0" w:line="240" w:lineRule="auto"/>
              <w:jc w:val="right"/>
              <w:outlineLvl w:val="0"/>
              <w:rPr>
                <w:rFonts w:ascii="Calibri" w:eastAsia="Times New Roman" w:hAnsi="Calibri" w:cs="Arial"/>
                <w:b/>
                <w:sz w:val="18"/>
                <w:szCs w:val="18"/>
                <w:lang w:val="en-GB"/>
              </w:rPr>
            </w:pPr>
            <w:r w:rsidRPr="00025D7F">
              <w:rPr>
                <w:rFonts w:ascii="Calibri" w:eastAsia="Times New Roman" w:hAnsi="Calibri" w:cs="Arial"/>
                <w:b/>
                <w:sz w:val="18"/>
                <w:szCs w:val="18"/>
                <w:lang w:val="en-GB"/>
              </w:rPr>
              <w:t>months</w:t>
            </w:r>
          </w:p>
        </w:tc>
        <w:tc>
          <w:tcPr>
            <w:tcW w:w="1134" w:type="dxa"/>
          </w:tcPr>
          <w:p w14:paraId="1A708FE0" w14:textId="77777777" w:rsidR="00025D7F" w:rsidRPr="00025D7F" w:rsidRDefault="00025D7F" w:rsidP="00025D7F">
            <w:pPr>
              <w:tabs>
                <w:tab w:val="right" w:pos="1202"/>
              </w:tabs>
              <w:spacing w:after="0" w:line="240" w:lineRule="auto"/>
              <w:jc w:val="right"/>
              <w:outlineLvl w:val="0"/>
              <w:rPr>
                <w:rFonts w:ascii="Calibri" w:eastAsia="Times New Roman" w:hAnsi="Calibri" w:cs="Arial"/>
                <w:b/>
                <w:sz w:val="18"/>
                <w:szCs w:val="18"/>
                <w:lang w:val="en-GB"/>
              </w:rPr>
            </w:pPr>
            <w:r w:rsidRPr="00025D7F">
              <w:rPr>
                <w:rFonts w:ascii="Calibri" w:eastAsia="Times New Roman" w:hAnsi="Calibri" w:cs="Arial"/>
                <w:b/>
                <w:sz w:val="18"/>
                <w:szCs w:val="18"/>
                <w:lang w:val="en-GB"/>
              </w:rPr>
              <w:t xml:space="preserve">1 - 3 </w:t>
            </w:r>
          </w:p>
          <w:p w14:paraId="6B4C4170" w14:textId="77777777" w:rsidR="00025D7F" w:rsidRPr="00025D7F" w:rsidRDefault="00025D7F" w:rsidP="00025D7F">
            <w:pPr>
              <w:tabs>
                <w:tab w:val="right" w:pos="1202"/>
              </w:tabs>
              <w:spacing w:after="0" w:line="240" w:lineRule="auto"/>
              <w:jc w:val="right"/>
              <w:outlineLvl w:val="0"/>
              <w:rPr>
                <w:rFonts w:ascii="Calibri" w:eastAsia="Times New Roman" w:hAnsi="Calibri" w:cs="Arial"/>
                <w:b/>
                <w:sz w:val="18"/>
                <w:szCs w:val="18"/>
                <w:lang w:val="en-GB"/>
              </w:rPr>
            </w:pPr>
            <w:r w:rsidRPr="00025D7F">
              <w:rPr>
                <w:rFonts w:ascii="Calibri" w:eastAsia="Times New Roman" w:hAnsi="Calibri" w:cs="Arial"/>
                <w:b/>
                <w:sz w:val="18"/>
                <w:szCs w:val="18"/>
                <w:lang w:val="en-GB"/>
              </w:rPr>
              <w:t>years</w:t>
            </w:r>
          </w:p>
        </w:tc>
        <w:tc>
          <w:tcPr>
            <w:tcW w:w="1134" w:type="dxa"/>
          </w:tcPr>
          <w:p w14:paraId="67776750" w14:textId="77777777" w:rsidR="00025D7F" w:rsidRPr="00025D7F" w:rsidRDefault="00025D7F" w:rsidP="00025D7F">
            <w:pPr>
              <w:tabs>
                <w:tab w:val="right" w:pos="1263"/>
              </w:tabs>
              <w:spacing w:after="0" w:line="240" w:lineRule="auto"/>
              <w:jc w:val="right"/>
              <w:outlineLvl w:val="0"/>
              <w:rPr>
                <w:rFonts w:ascii="Calibri" w:eastAsia="Times New Roman" w:hAnsi="Calibri" w:cs="Arial"/>
                <w:b/>
                <w:sz w:val="18"/>
                <w:szCs w:val="18"/>
                <w:lang w:val="en-GB"/>
              </w:rPr>
            </w:pPr>
            <w:r w:rsidRPr="00025D7F">
              <w:rPr>
                <w:rFonts w:ascii="Calibri" w:eastAsia="Times New Roman" w:hAnsi="Calibri" w:cs="Arial"/>
                <w:b/>
                <w:sz w:val="18"/>
                <w:szCs w:val="18"/>
                <w:lang w:val="en-GB"/>
              </w:rPr>
              <w:t>Over 3 years</w:t>
            </w:r>
          </w:p>
        </w:tc>
        <w:tc>
          <w:tcPr>
            <w:tcW w:w="1134" w:type="dxa"/>
          </w:tcPr>
          <w:p w14:paraId="6AC34B31" w14:textId="77777777" w:rsidR="00025D7F" w:rsidRPr="00025D7F" w:rsidRDefault="00025D7F" w:rsidP="00025D7F">
            <w:pPr>
              <w:tabs>
                <w:tab w:val="right" w:pos="1202"/>
              </w:tabs>
              <w:spacing w:after="0" w:line="240" w:lineRule="auto"/>
              <w:jc w:val="right"/>
              <w:outlineLvl w:val="0"/>
              <w:rPr>
                <w:rFonts w:ascii="Calibri" w:eastAsia="Times New Roman" w:hAnsi="Calibri" w:cs="Arial"/>
                <w:b/>
                <w:sz w:val="18"/>
                <w:szCs w:val="18"/>
                <w:lang w:val="en-GB"/>
              </w:rPr>
            </w:pPr>
            <w:r w:rsidRPr="00025D7F">
              <w:rPr>
                <w:rFonts w:ascii="Calibri" w:eastAsia="Times New Roman" w:hAnsi="Calibri" w:cs="Arial"/>
                <w:b/>
                <w:sz w:val="18"/>
                <w:szCs w:val="18"/>
                <w:lang w:val="en-GB"/>
              </w:rPr>
              <w:t>Total</w:t>
            </w:r>
          </w:p>
        </w:tc>
      </w:tr>
      <w:tr w:rsidR="00025D7F" w:rsidRPr="00025D7F" w14:paraId="4E3AB56B" w14:textId="77777777" w:rsidTr="00E44437">
        <w:trPr>
          <w:trHeight w:hRule="exact" w:val="264"/>
          <w:jc w:val="center"/>
        </w:trPr>
        <w:tc>
          <w:tcPr>
            <w:tcW w:w="2982" w:type="dxa"/>
          </w:tcPr>
          <w:p w14:paraId="693F20AF" w14:textId="77777777" w:rsidR="00025D7F" w:rsidRPr="00025D7F" w:rsidRDefault="00025D7F" w:rsidP="00025D7F">
            <w:pPr>
              <w:tabs>
                <w:tab w:val="left" w:pos="-720"/>
              </w:tabs>
              <w:suppressAutoHyphens/>
              <w:spacing w:after="0" w:line="240" w:lineRule="auto"/>
              <w:jc w:val="center"/>
              <w:rPr>
                <w:rFonts w:ascii="Calibri" w:eastAsia="Times New Roman" w:hAnsi="Calibri" w:cs="Arial"/>
                <w:b/>
                <w:spacing w:val="-2"/>
                <w:sz w:val="18"/>
                <w:szCs w:val="18"/>
                <w:lang w:val="en-GB"/>
              </w:rPr>
            </w:pPr>
          </w:p>
        </w:tc>
        <w:tc>
          <w:tcPr>
            <w:tcW w:w="991" w:type="dxa"/>
            <w:vAlign w:val="bottom"/>
          </w:tcPr>
          <w:p w14:paraId="35D5D641" w14:textId="77777777" w:rsidR="00025D7F" w:rsidRPr="00025D7F" w:rsidRDefault="00025D7F" w:rsidP="00025D7F">
            <w:pPr>
              <w:tabs>
                <w:tab w:val="right" w:pos="1202"/>
              </w:tabs>
              <w:spacing w:after="0" w:line="240" w:lineRule="auto"/>
              <w:jc w:val="right"/>
              <w:outlineLvl w:val="0"/>
              <w:rPr>
                <w:rFonts w:ascii="Calibri" w:eastAsia="Times New Roman" w:hAnsi="Calibri" w:cs="Arial"/>
                <w:b/>
                <w:sz w:val="18"/>
                <w:szCs w:val="18"/>
                <w:lang w:val="en-GB"/>
              </w:rPr>
            </w:pPr>
            <w:r w:rsidRPr="00025D7F">
              <w:rPr>
                <w:rFonts w:ascii="Calibri" w:eastAsia="Times New Roman" w:hAnsi="Calibri" w:cs="Arial"/>
                <w:b/>
                <w:bCs/>
                <w:sz w:val="18"/>
                <w:szCs w:val="18"/>
                <w:lang w:val="en-GB"/>
              </w:rPr>
              <w:t>HRK ‘000</w:t>
            </w:r>
          </w:p>
        </w:tc>
        <w:tc>
          <w:tcPr>
            <w:tcW w:w="1134" w:type="dxa"/>
            <w:vAlign w:val="bottom"/>
          </w:tcPr>
          <w:p w14:paraId="67895F0B" w14:textId="77777777" w:rsidR="00025D7F" w:rsidRPr="00025D7F" w:rsidRDefault="00025D7F" w:rsidP="00025D7F">
            <w:pPr>
              <w:tabs>
                <w:tab w:val="center" w:pos="4153"/>
                <w:tab w:val="right" w:pos="8306"/>
              </w:tabs>
              <w:spacing w:after="0" w:line="240" w:lineRule="auto"/>
              <w:jc w:val="right"/>
              <w:rPr>
                <w:rFonts w:ascii="Calibri" w:eastAsia="Times New Roman" w:hAnsi="Calibri" w:cs="Arial"/>
                <w:b/>
                <w:spacing w:val="-2"/>
                <w:sz w:val="18"/>
                <w:szCs w:val="18"/>
                <w:lang w:val="en-GB"/>
              </w:rPr>
            </w:pPr>
            <w:r w:rsidRPr="00025D7F">
              <w:rPr>
                <w:rFonts w:ascii="Calibri" w:eastAsia="Times New Roman" w:hAnsi="Calibri" w:cs="Arial"/>
                <w:b/>
                <w:spacing w:val="-2"/>
                <w:sz w:val="18"/>
                <w:szCs w:val="18"/>
                <w:lang w:val="en-GB"/>
              </w:rPr>
              <w:t>HRK ‘000</w:t>
            </w:r>
          </w:p>
        </w:tc>
        <w:tc>
          <w:tcPr>
            <w:tcW w:w="1134" w:type="dxa"/>
            <w:vAlign w:val="bottom"/>
          </w:tcPr>
          <w:p w14:paraId="1C100443" w14:textId="77777777" w:rsidR="00025D7F" w:rsidRPr="00025D7F" w:rsidRDefault="00025D7F" w:rsidP="00025D7F">
            <w:pPr>
              <w:tabs>
                <w:tab w:val="right" w:pos="1202"/>
              </w:tabs>
              <w:spacing w:after="0" w:line="240" w:lineRule="auto"/>
              <w:jc w:val="right"/>
              <w:outlineLvl w:val="0"/>
              <w:rPr>
                <w:rFonts w:ascii="Calibri" w:eastAsia="Times New Roman" w:hAnsi="Calibri" w:cs="Arial"/>
                <w:b/>
                <w:sz w:val="18"/>
                <w:szCs w:val="18"/>
                <w:lang w:val="en-GB"/>
              </w:rPr>
            </w:pPr>
            <w:r w:rsidRPr="00025D7F">
              <w:rPr>
                <w:rFonts w:ascii="Calibri" w:eastAsia="Times New Roman" w:hAnsi="Calibri" w:cs="Arial"/>
                <w:b/>
                <w:bCs/>
                <w:sz w:val="18"/>
                <w:szCs w:val="18"/>
                <w:lang w:val="en-GB"/>
              </w:rPr>
              <w:t>HRK ‘000</w:t>
            </w:r>
          </w:p>
        </w:tc>
        <w:tc>
          <w:tcPr>
            <w:tcW w:w="1134" w:type="dxa"/>
            <w:vAlign w:val="bottom"/>
          </w:tcPr>
          <w:p w14:paraId="2D803AF5" w14:textId="77777777" w:rsidR="00025D7F" w:rsidRPr="00025D7F" w:rsidRDefault="00025D7F" w:rsidP="00025D7F">
            <w:pPr>
              <w:tabs>
                <w:tab w:val="right" w:pos="1202"/>
              </w:tabs>
              <w:spacing w:after="0" w:line="240" w:lineRule="auto"/>
              <w:jc w:val="right"/>
              <w:outlineLvl w:val="0"/>
              <w:rPr>
                <w:rFonts w:ascii="Calibri" w:eastAsia="Times New Roman" w:hAnsi="Calibri" w:cs="Arial"/>
                <w:b/>
                <w:sz w:val="18"/>
                <w:szCs w:val="18"/>
                <w:lang w:val="en-GB"/>
              </w:rPr>
            </w:pPr>
            <w:r w:rsidRPr="00025D7F">
              <w:rPr>
                <w:rFonts w:ascii="Calibri" w:eastAsia="Times New Roman" w:hAnsi="Calibri" w:cs="Arial"/>
                <w:b/>
                <w:bCs/>
                <w:sz w:val="18"/>
                <w:szCs w:val="18"/>
                <w:lang w:val="en-GB"/>
              </w:rPr>
              <w:t>HRK ‘000</w:t>
            </w:r>
          </w:p>
        </w:tc>
        <w:tc>
          <w:tcPr>
            <w:tcW w:w="1134" w:type="dxa"/>
            <w:vAlign w:val="bottom"/>
          </w:tcPr>
          <w:p w14:paraId="2B62A0D2" w14:textId="77777777" w:rsidR="00025D7F" w:rsidRPr="00025D7F" w:rsidRDefault="00025D7F" w:rsidP="00025D7F">
            <w:pPr>
              <w:tabs>
                <w:tab w:val="right" w:pos="1263"/>
              </w:tabs>
              <w:spacing w:after="0" w:line="240" w:lineRule="auto"/>
              <w:jc w:val="right"/>
              <w:outlineLvl w:val="0"/>
              <w:rPr>
                <w:rFonts w:ascii="Calibri" w:eastAsia="Times New Roman" w:hAnsi="Calibri" w:cs="Arial"/>
                <w:b/>
                <w:sz w:val="18"/>
                <w:szCs w:val="18"/>
                <w:lang w:val="en-GB"/>
              </w:rPr>
            </w:pPr>
            <w:r w:rsidRPr="00025D7F">
              <w:rPr>
                <w:rFonts w:ascii="Calibri" w:eastAsia="Times New Roman" w:hAnsi="Calibri" w:cs="Arial"/>
                <w:b/>
                <w:bCs/>
                <w:sz w:val="18"/>
                <w:szCs w:val="18"/>
                <w:lang w:val="en-GB"/>
              </w:rPr>
              <w:t>HRK ‘000</w:t>
            </w:r>
          </w:p>
        </w:tc>
        <w:tc>
          <w:tcPr>
            <w:tcW w:w="1134" w:type="dxa"/>
            <w:vAlign w:val="bottom"/>
          </w:tcPr>
          <w:p w14:paraId="01C06DA3" w14:textId="77777777" w:rsidR="00025D7F" w:rsidRPr="00025D7F" w:rsidRDefault="00025D7F" w:rsidP="00025D7F">
            <w:pPr>
              <w:tabs>
                <w:tab w:val="right" w:pos="1202"/>
              </w:tabs>
              <w:spacing w:after="0" w:line="240" w:lineRule="auto"/>
              <w:jc w:val="right"/>
              <w:outlineLvl w:val="0"/>
              <w:rPr>
                <w:rFonts w:ascii="Calibri" w:eastAsia="Times New Roman" w:hAnsi="Calibri" w:cs="Arial"/>
                <w:b/>
                <w:sz w:val="18"/>
                <w:szCs w:val="18"/>
                <w:lang w:val="en-GB"/>
              </w:rPr>
            </w:pPr>
            <w:r w:rsidRPr="00025D7F">
              <w:rPr>
                <w:rFonts w:ascii="Calibri" w:eastAsia="Times New Roman" w:hAnsi="Calibri" w:cs="Arial"/>
                <w:b/>
                <w:bCs/>
                <w:sz w:val="18"/>
                <w:szCs w:val="18"/>
                <w:lang w:val="en-GB"/>
              </w:rPr>
              <w:t>HRK ‘000</w:t>
            </w:r>
          </w:p>
        </w:tc>
      </w:tr>
      <w:tr w:rsidR="00025D7F" w:rsidRPr="00025D7F" w14:paraId="586329AE" w14:textId="77777777" w:rsidTr="00E44437">
        <w:trPr>
          <w:trHeight w:hRule="exact" w:val="264"/>
          <w:jc w:val="center"/>
        </w:trPr>
        <w:tc>
          <w:tcPr>
            <w:tcW w:w="2982" w:type="dxa"/>
            <w:vAlign w:val="bottom"/>
          </w:tcPr>
          <w:p w14:paraId="3D4EB459" w14:textId="77777777" w:rsidR="00025D7F" w:rsidRPr="00025D7F" w:rsidRDefault="00025D7F" w:rsidP="00025D7F">
            <w:pPr>
              <w:tabs>
                <w:tab w:val="right" w:pos="1202"/>
              </w:tabs>
              <w:spacing w:after="0" w:line="240" w:lineRule="auto"/>
              <w:outlineLvl w:val="0"/>
              <w:rPr>
                <w:rFonts w:ascii="Calibri" w:eastAsia="Times New Roman" w:hAnsi="Calibri" w:cs="Arial"/>
                <w:b/>
                <w:bCs/>
                <w:sz w:val="18"/>
                <w:szCs w:val="18"/>
                <w:lang w:val="en-GB"/>
              </w:rPr>
            </w:pPr>
            <w:r w:rsidRPr="00025D7F">
              <w:rPr>
                <w:rFonts w:ascii="Calibri" w:eastAsia="Times New Roman" w:hAnsi="Calibri" w:cs="Arial"/>
                <w:b/>
                <w:bCs/>
                <w:sz w:val="18"/>
                <w:szCs w:val="18"/>
                <w:lang w:val="en-GB"/>
              </w:rPr>
              <w:t>Financial liabilities</w:t>
            </w:r>
          </w:p>
        </w:tc>
        <w:tc>
          <w:tcPr>
            <w:tcW w:w="991" w:type="dxa"/>
            <w:vAlign w:val="bottom"/>
          </w:tcPr>
          <w:p w14:paraId="0F698916" w14:textId="77777777" w:rsidR="00025D7F" w:rsidRPr="00025D7F" w:rsidRDefault="00025D7F" w:rsidP="00025D7F">
            <w:pPr>
              <w:spacing w:after="0" w:line="240" w:lineRule="auto"/>
              <w:jc w:val="right"/>
              <w:outlineLvl w:val="0"/>
              <w:rPr>
                <w:rFonts w:ascii="Calibri" w:eastAsia="Times New Roman" w:hAnsi="Calibri" w:cs="Arial"/>
                <w:b/>
                <w:bCs/>
                <w:spacing w:val="-2"/>
                <w:sz w:val="18"/>
                <w:szCs w:val="18"/>
                <w:lang w:val="en-GB"/>
              </w:rPr>
            </w:pPr>
          </w:p>
        </w:tc>
        <w:tc>
          <w:tcPr>
            <w:tcW w:w="1134" w:type="dxa"/>
            <w:vAlign w:val="bottom"/>
          </w:tcPr>
          <w:p w14:paraId="5EBCC0CB" w14:textId="77777777" w:rsidR="00025D7F" w:rsidRPr="00025D7F" w:rsidRDefault="00025D7F" w:rsidP="00025D7F">
            <w:pPr>
              <w:spacing w:after="0" w:line="240" w:lineRule="auto"/>
              <w:jc w:val="right"/>
              <w:outlineLvl w:val="0"/>
              <w:rPr>
                <w:rFonts w:ascii="Calibri" w:eastAsia="Times New Roman" w:hAnsi="Calibri" w:cs="Arial"/>
                <w:b/>
                <w:bCs/>
                <w:spacing w:val="-2"/>
                <w:sz w:val="18"/>
                <w:szCs w:val="18"/>
                <w:lang w:val="en-GB"/>
              </w:rPr>
            </w:pPr>
          </w:p>
        </w:tc>
        <w:tc>
          <w:tcPr>
            <w:tcW w:w="1134" w:type="dxa"/>
            <w:vAlign w:val="bottom"/>
          </w:tcPr>
          <w:p w14:paraId="0A3D279B" w14:textId="77777777" w:rsidR="00025D7F" w:rsidRPr="00025D7F" w:rsidRDefault="00025D7F" w:rsidP="00025D7F">
            <w:pPr>
              <w:spacing w:after="0" w:line="240" w:lineRule="auto"/>
              <w:jc w:val="right"/>
              <w:outlineLvl w:val="0"/>
              <w:rPr>
                <w:rFonts w:ascii="Calibri" w:eastAsia="Times New Roman" w:hAnsi="Calibri" w:cs="Arial"/>
                <w:b/>
                <w:bCs/>
                <w:spacing w:val="-2"/>
                <w:sz w:val="18"/>
                <w:szCs w:val="18"/>
                <w:lang w:val="en-GB"/>
              </w:rPr>
            </w:pPr>
          </w:p>
        </w:tc>
        <w:tc>
          <w:tcPr>
            <w:tcW w:w="1134" w:type="dxa"/>
            <w:vAlign w:val="bottom"/>
          </w:tcPr>
          <w:p w14:paraId="67252273" w14:textId="77777777" w:rsidR="00025D7F" w:rsidRPr="00025D7F" w:rsidRDefault="00025D7F" w:rsidP="00025D7F">
            <w:pPr>
              <w:spacing w:after="0" w:line="240" w:lineRule="auto"/>
              <w:jc w:val="right"/>
              <w:outlineLvl w:val="0"/>
              <w:rPr>
                <w:rFonts w:ascii="Calibri" w:eastAsia="Times New Roman" w:hAnsi="Calibri" w:cs="Arial"/>
                <w:b/>
                <w:bCs/>
                <w:spacing w:val="-2"/>
                <w:sz w:val="18"/>
                <w:szCs w:val="18"/>
                <w:lang w:val="en-GB"/>
              </w:rPr>
            </w:pPr>
          </w:p>
        </w:tc>
        <w:tc>
          <w:tcPr>
            <w:tcW w:w="1134" w:type="dxa"/>
            <w:vAlign w:val="bottom"/>
          </w:tcPr>
          <w:p w14:paraId="16A77803" w14:textId="77777777" w:rsidR="00025D7F" w:rsidRPr="00025D7F" w:rsidRDefault="00025D7F" w:rsidP="00025D7F">
            <w:pPr>
              <w:tabs>
                <w:tab w:val="right" w:pos="1263"/>
              </w:tabs>
              <w:spacing w:after="0" w:line="240" w:lineRule="auto"/>
              <w:jc w:val="right"/>
              <w:outlineLvl w:val="0"/>
              <w:rPr>
                <w:rFonts w:ascii="Calibri" w:eastAsia="Times New Roman" w:hAnsi="Calibri" w:cs="Arial"/>
                <w:b/>
                <w:bCs/>
                <w:spacing w:val="-2"/>
                <w:sz w:val="18"/>
                <w:szCs w:val="18"/>
                <w:lang w:val="en-GB"/>
              </w:rPr>
            </w:pPr>
          </w:p>
        </w:tc>
        <w:tc>
          <w:tcPr>
            <w:tcW w:w="1134" w:type="dxa"/>
            <w:vAlign w:val="bottom"/>
          </w:tcPr>
          <w:p w14:paraId="31B3C396" w14:textId="77777777" w:rsidR="00025D7F" w:rsidRPr="00025D7F" w:rsidRDefault="00025D7F" w:rsidP="00025D7F">
            <w:pPr>
              <w:spacing w:after="0" w:line="240" w:lineRule="auto"/>
              <w:jc w:val="right"/>
              <w:outlineLvl w:val="0"/>
              <w:rPr>
                <w:rFonts w:ascii="Calibri" w:eastAsia="Times New Roman" w:hAnsi="Calibri" w:cs="Arial"/>
                <w:b/>
                <w:bCs/>
                <w:sz w:val="18"/>
                <w:szCs w:val="18"/>
                <w:lang w:val="en-GB"/>
              </w:rPr>
            </w:pPr>
          </w:p>
        </w:tc>
      </w:tr>
      <w:tr w:rsidR="00025D7F" w:rsidRPr="00025D7F" w14:paraId="46DD67E2" w14:textId="77777777" w:rsidTr="00E44437">
        <w:trPr>
          <w:trHeight w:hRule="exact" w:val="227"/>
          <w:jc w:val="center"/>
        </w:trPr>
        <w:tc>
          <w:tcPr>
            <w:tcW w:w="2982" w:type="dxa"/>
            <w:vAlign w:val="bottom"/>
          </w:tcPr>
          <w:p w14:paraId="6F42F065" w14:textId="77777777" w:rsidR="00025D7F" w:rsidRPr="00025D7F" w:rsidRDefault="00025D7F" w:rsidP="00025D7F">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025D7F">
              <w:rPr>
                <w:rFonts w:ascii="Calibri" w:eastAsia="Times New Roman" w:hAnsi="Calibri" w:cs="Arial"/>
                <w:sz w:val="18"/>
                <w:szCs w:val="18"/>
                <w:lang w:val="en-GB"/>
              </w:rPr>
              <w:t>Deposits from customers</w:t>
            </w:r>
          </w:p>
        </w:tc>
        <w:tc>
          <w:tcPr>
            <w:tcW w:w="991" w:type="dxa"/>
            <w:tcBorders>
              <w:top w:val="nil"/>
              <w:left w:val="nil"/>
              <w:bottom w:val="nil"/>
              <w:right w:val="nil"/>
            </w:tcBorders>
            <w:shd w:val="clear" w:color="auto" w:fill="auto"/>
            <w:vAlign w:val="bottom"/>
          </w:tcPr>
          <w:p w14:paraId="760D3A04" w14:textId="77777777" w:rsidR="00025D7F" w:rsidRPr="00025D7F" w:rsidRDefault="00025D7F" w:rsidP="00025D7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83" w:name="_Toc67330445"/>
            <w:r w:rsidRPr="00025D7F">
              <w:rPr>
                <w:rFonts w:ascii="Calibri" w:eastAsia="Times New Roman" w:hAnsi="Calibri" w:cs="Times New Roman"/>
                <w:color w:val="000000"/>
                <w:sz w:val="18"/>
                <w:szCs w:val="18"/>
                <w:lang w:val="en-US"/>
              </w:rPr>
              <w:t>622,284</w:t>
            </w:r>
            <w:bookmarkEnd w:id="983"/>
          </w:p>
        </w:tc>
        <w:tc>
          <w:tcPr>
            <w:tcW w:w="1134" w:type="dxa"/>
            <w:tcBorders>
              <w:top w:val="nil"/>
              <w:left w:val="nil"/>
              <w:bottom w:val="nil"/>
              <w:right w:val="nil"/>
            </w:tcBorders>
            <w:shd w:val="clear" w:color="auto" w:fill="auto"/>
            <w:vAlign w:val="bottom"/>
          </w:tcPr>
          <w:p w14:paraId="747797DF" w14:textId="77777777" w:rsidR="00025D7F" w:rsidRPr="00025D7F" w:rsidRDefault="00025D7F" w:rsidP="00025D7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84" w:name="_Toc67330446"/>
            <w:r w:rsidRPr="00025D7F">
              <w:rPr>
                <w:rFonts w:ascii="Calibri" w:eastAsia="Times New Roman" w:hAnsi="Calibri" w:cs="Times New Roman"/>
                <w:color w:val="000000"/>
                <w:sz w:val="18"/>
                <w:szCs w:val="18"/>
                <w:lang w:val="en-US"/>
              </w:rPr>
              <w:t>22,169</w:t>
            </w:r>
            <w:bookmarkEnd w:id="984"/>
          </w:p>
        </w:tc>
        <w:tc>
          <w:tcPr>
            <w:tcW w:w="1134" w:type="dxa"/>
            <w:tcBorders>
              <w:top w:val="nil"/>
              <w:left w:val="nil"/>
              <w:bottom w:val="nil"/>
              <w:right w:val="nil"/>
            </w:tcBorders>
            <w:shd w:val="clear" w:color="auto" w:fill="auto"/>
            <w:vAlign w:val="bottom"/>
          </w:tcPr>
          <w:p w14:paraId="2B0A3FEC" w14:textId="77777777" w:rsidR="00025D7F" w:rsidRPr="00025D7F" w:rsidRDefault="00025D7F" w:rsidP="00025D7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85" w:name="_Toc67330447"/>
            <w:r w:rsidRPr="00025D7F">
              <w:rPr>
                <w:rFonts w:ascii="Calibri" w:eastAsia="Times New Roman" w:hAnsi="Calibri" w:cs="Times New Roman"/>
                <w:color w:val="000000"/>
                <w:sz w:val="18"/>
                <w:szCs w:val="18"/>
                <w:lang w:val="en-US"/>
              </w:rPr>
              <w:t>105,183</w:t>
            </w:r>
            <w:bookmarkEnd w:id="985"/>
          </w:p>
        </w:tc>
        <w:tc>
          <w:tcPr>
            <w:tcW w:w="1134" w:type="dxa"/>
            <w:tcBorders>
              <w:top w:val="nil"/>
              <w:left w:val="nil"/>
              <w:bottom w:val="nil"/>
              <w:right w:val="nil"/>
            </w:tcBorders>
            <w:shd w:val="clear" w:color="auto" w:fill="auto"/>
            <w:vAlign w:val="bottom"/>
          </w:tcPr>
          <w:p w14:paraId="43430897" w14:textId="77777777" w:rsidR="00025D7F" w:rsidRPr="00025D7F" w:rsidRDefault="00025D7F" w:rsidP="00025D7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86" w:name="_Toc67330448"/>
            <w:r w:rsidRPr="00025D7F">
              <w:rPr>
                <w:rFonts w:ascii="Calibri" w:eastAsia="Times New Roman" w:hAnsi="Calibri" w:cs="Times New Roman"/>
                <w:color w:val="000000"/>
                <w:sz w:val="18"/>
                <w:szCs w:val="18"/>
                <w:lang w:val="en-US"/>
              </w:rPr>
              <w:t>95,453</w:t>
            </w:r>
            <w:bookmarkEnd w:id="986"/>
          </w:p>
        </w:tc>
        <w:tc>
          <w:tcPr>
            <w:tcW w:w="1134" w:type="dxa"/>
            <w:tcBorders>
              <w:top w:val="nil"/>
              <w:left w:val="nil"/>
              <w:bottom w:val="nil"/>
              <w:right w:val="nil"/>
            </w:tcBorders>
            <w:shd w:val="clear" w:color="auto" w:fill="auto"/>
            <w:vAlign w:val="bottom"/>
          </w:tcPr>
          <w:p w14:paraId="7DAD6A1C" w14:textId="77777777" w:rsidR="00025D7F" w:rsidRPr="00025D7F" w:rsidRDefault="00025D7F" w:rsidP="00025D7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87" w:name="_Toc67330449"/>
            <w:r w:rsidRPr="00025D7F">
              <w:rPr>
                <w:rFonts w:ascii="Calibri" w:eastAsia="Times New Roman" w:hAnsi="Calibri" w:cs="Times New Roman"/>
                <w:color w:val="000000"/>
                <w:sz w:val="18"/>
                <w:szCs w:val="18"/>
                <w:lang w:val="en-US"/>
              </w:rPr>
              <w:t>115,452</w:t>
            </w:r>
            <w:bookmarkEnd w:id="987"/>
          </w:p>
        </w:tc>
        <w:tc>
          <w:tcPr>
            <w:tcW w:w="1134" w:type="dxa"/>
            <w:tcBorders>
              <w:top w:val="nil"/>
              <w:left w:val="nil"/>
              <w:bottom w:val="nil"/>
              <w:right w:val="nil"/>
            </w:tcBorders>
            <w:shd w:val="clear" w:color="auto" w:fill="auto"/>
            <w:vAlign w:val="bottom"/>
          </w:tcPr>
          <w:p w14:paraId="00CCAB89" w14:textId="77777777" w:rsidR="00025D7F" w:rsidRPr="00025D7F" w:rsidRDefault="00025D7F" w:rsidP="00025D7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88" w:name="_Toc67330450"/>
            <w:r w:rsidRPr="00025D7F">
              <w:rPr>
                <w:rFonts w:ascii="Calibri" w:eastAsia="Times New Roman" w:hAnsi="Calibri" w:cs="Times New Roman"/>
                <w:color w:val="000000"/>
                <w:sz w:val="18"/>
                <w:szCs w:val="18"/>
                <w:lang w:val="en-US"/>
              </w:rPr>
              <w:t>960,541</w:t>
            </w:r>
            <w:bookmarkEnd w:id="988"/>
          </w:p>
        </w:tc>
      </w:tr>
      <w:tr w:rsidR="00025D7F" w:rsidRPr="00025D7F" w14:paraId="14054EC7" w14:textId="77777777" w:rsidTr="00E44437">
        <w:trPr>
          <w:trHeight w:hRule="exact" w:val="227"/>
          <w:jc w:val="center"/>
        </w:trPr>
        <w:tc>
          <w:tcPr>
            <w:tcW w:w="2982" w:type="dxa"/>
            <w:vAlign w:val="bottom"/>
          </w:tcPr>
          <w:p w14:paraId="36E71D06" w14:textId="77777777" w:rsidR="00025D7F" w:rsidRPr="00025D7F" w:rsidRDefault="00025D7F" w:rsidP="00025D7F">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025D7F">
              <w:rPr>
                <w:rFonts w:ascii="Calibri" w:eastAsia="Times New Roman" w:hAnsi="Calibri" w:cs="Arial"/>
                <w:sz w:val="18"/>
                <w:szCs w:val="18"/>
                <w:lang w:val="en-GB"/>
              </w:rPr>
              <w:t>Borrowings</w:t>
            </w:r>
          </w:p>
        </w:tc>
        <w:tc>
          <w:tcPr>
            <w:tcW w:w="991" w:type="dxa"/>
            <w:tcBorders>
              <w:top w:val="nil"/>
              <w:left w:val="nil"/>
              <w:bottom w:val="nil"/>
              <w:right w:val="nil"/>
            </w:tcBorders>
            <w:shd w:val="clear" w:color="auto" w:fill="auto"/>
            <w:vAlign w:val="bottom"/>
          </w:tcPr>
          <w:p w14:paraId="5B513EE7" w14:textId="77777777" w:rsidR="00025D7F" w:rsidRPr="00025D7F" w:rsidRDefault="00025D7F" w:rsidP="00025D7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89" w:name="_Toc67330452"/>
            <w:r w:rsidRPr="00025D7F">
              <w:rPr>
                <w:rFonts w:ascii="Calibri" w:eastAsia="Times New Roman" w:hAnsi="Calibri" w:cs="Times New Roman"/>
                <w:color w:val="000000"/>
                <w:sz w:val="18"/>
                <w:szCs w:val="18"/>
                <w:lang w:val="en-US"/>
              </w:rPr>
              <w:t>258,366</w:t>
            </w:r>
            <w:bookmarkEnd w:id="989"/>
          </w:p>
        </w:tc>
        <w:tc>
          <w:tcPr>
            <w:tcW w:w="1134" w:type="dxa"/>
            <w:tcBorders>
              <w:top w:val="nil"/>
              <w:left w:val="nil"/>
              <w:bottom w:val="nil"/>
              <w:right w:val="nil"/>
            </w:tcBorders>
            <w:shd w:val="clear" w:color="auto" w:fill="auto"/>
            <w:vAlign w:val="bottom"/>
          </w:tcPr>
          <w:p w14:paraId="56E707F2" w14:textId="77777777" w:rsidR="00025D7F" w:rsidRPr="00025D7F" w:rsidRDefault="00025D7F" w:rsidP="00025D7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90" w:name="_Toc67330453"/>
            <w:r w:rsidRPr="00025D7F">
              <w:rPr>
                <w:rFonts w:ascii="Calibri" w:eastAsia="Times New Roman" w:hAnsi="Calibri" w:cs="Times New Roman"/>
                <w:color w:val="000000"/>
                <w:sz w:val="18"/>
                <w:szCs w:val="18"/>
                <w:lang w:val="en-US"/>
              </w:rPr>
              <w:t>315,326</w:t>
            </w:r>
            <w:bookmarkEnd w:id="990"/>
          </w:p>
        </w:tc>
        <w:tc>
          <w:tcPr>
            <w:tcW w:w="1134" w:type="dxa"/>
            <w:tcBorders>
              <w:top w:val="nil"/>
              <w:left w:val="nil"/>
              <w:bottom w:val="nil"/>
              <w:right w:val="nil"/>
            </w:tcBorders>
            <w:shd w:val="clear" w:color="auto" w:fill="auto"/>
            <w:vAlign w:val="bottom"/>
          </w:tcPr>
          <w:p w14:paraId="7828BB8F" w14:textId="77777777" w:rsidR="00025D7F" w:rsidRPr="00025D7F" w:rsidRDefault="00025D7F" w:rsidP="00025D7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91" w:name="_Toc67330454"/>
            <w:r w:rsidRPr="00025D7F">
              <w:rPr>
                <w:rFonts w:ascii="Calibri" w:eastAsia="Times New Roman" w:hAnsi="Calibri" w:cs="Times New Roman"/>
                <w:color w:val="000000"/>
                <w:sz w:val="18"/>
                <w:szCs w:val="18"/>
                <w:lang w:val="en-US"/>
              </w:rPr>
              <w:t>1,927,599</w:t>
            </w:r>
            <w:bookmarkEnd w:id="991"/>
          </w:p>
        </w:tc>
        <w:tc>
          <w:tcPr>
            <w:tcW w:w="1134" w:type="dxa"/>
            <w:tcBorders>
              <w:top w:val="nil"/>
              <w:left w:val="nil"/>
              <w:bottom w:val="nil"/>
              <w:right w:val="nil"/>
            </w:tcBorders>
            <w:shd w:val="clear" w:color="auto" w:fill="auto"/>
            <w:vAlign w:val="bottom"/>
          </w:tcPr>
          <w:p w14:paraId="4DB04553" w14:textId="77777777" w:rsidR="00025D7F" w:rsidRPr="00025D7F" w:rsidRDefault="00025D7F" w:rsidP="00025D7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92" w:name="_Toc67330455"/>
            <w:r w:rsidRPr="00025D7F">
              <w:rPr>
                <w:rFonts w:ascii="Calibri" w:eastAsia="Times New Roman" w:hAnsi="Calibri" w:cs="Times New Roman"/>
                <w:color w:val="000000"/>
                <w:sz w:val="18"/>
                <w:szCs w:val="18"/>
                <w:lang w:val="en-US"/>
              </w:rPr>
              <w:t>5,992,204</w:t>
            </w:r>
            <w:bookmarkEnd w:id="992"/>
          </w:p>
        </w:tc>
        <w:tc>
          <w:tcPr>
            <w:tcW w:w="1134" w:type="dxa"/>
            <w:tcBorders>
              <w:top w:val="nil"/>
              <w:left w:val="nil"/>
              <w:bottom w:val="nil"/>
              <w:right w:val="nil"/>
            </w:tcBorders>
            <w:shd w:val="clear" w:color="auto" w:fill="auto"/>
            <w:vAlign w:val="bottom"/>
          </w:tcPr>
          <w:p w14:paraId="7E605C09" w14:textId="77777777" w:rsidR="00025D7F" w:rsidRPr="00025D7F" w:rsidRDefault="00025D7F" w:rsidP="00025D7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93" w:name="_Toc67330456"/>
            <w:r w:rsidRPr="00025D7F">
              <w:rPr>
                <w:rFonts w:ascii="Calibri" w:eastAsia="Times New Roman" w:hAnsi="Calibri" w:cs="Times New Roman"/>
                <w:color w:val="000000"/>
                <w:sz w:val="18"/>
                <w:szCs w:val="18"/>
                <w:lang w:val="en-US"/>
              </w:rPr>
              <w:t>8,623,885</w:t>
            </w:r>
            <w:bookmarkEnd w:id="993"/>
          </w:p>
        </w:tc>
        <w:tc>
          <w:tcPr>
            <w:tcW w:w="1134" w:type="dxa"/>
            <w:tcBorders>
              <w:top w:val="nil"/>
              <w:left w:val="nil"/>
              <w:bottom w:val="nil"/>
              <w:right w:val="nil"/>
            </w:tcBorders>
            <w:shd w:val="clear" w:color="auto" w:fill="auto"/>
            <w:vAlign w:val="bottom"/>
          </w:tcPr>
          <w:p w14:paraId="51B7D222" w14:textId="77777777" w:rsidR="00025D7F" w:rsidRPr="00025D7F" w:rsidRDefault="00025D7F" w:rsidP="00025D7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94" w:name="_Toc67330457"/>
            <w:r w:rsidRPr="00025D7F">
              <w:rPr>
                <w:rFonts w:ascii="Calibri" w:eastAsia="Times New Roman" w:hAnsi="Calibri" w:cs="Times New Roman"/>
                <w:color w:val="000000"/>
                <w:sz w:val="18"/>
                <w:szCs w:val="18"/>
                <w:lang w:val="en-US"/>
              </w:rPr>
              <w:t>17,117,380</w:t>
            </w:r>
            <w:bookmarkEnd w:id="994"/>
          </w:p>
        </w:tc>
      </w:tr>
      <w:tr w:rsidR="00025D7F" w:rsidRPr="00025D7F" w14:paraId="6972E561" w14:textId="77777777" w:rsidTr="00E44437">
        <w:trPr>
          <w:trHeight w:hRule="exact" w:val="442"/>
          <w:jc w:val="center"/>
        </w:trPr>
        <w:tc>
          <w:tcPr>
            <w:tcW w:w="2982" w:type="dxa"/>
            <w:vAlign w:val="bottom"/>
          </w:tcPr>
          <w:p w14:paraId="2AABD567" w14:textId="77777777" w:rsidR="00025D7F" w:rsidRPr="00025D7F" w:rsidRDefault="00025D7F" w:rsidP="00025D7F">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025D7F">
              <w:rPr>
                <w:rFonts w:ascii="Calibri" w:eastAsia="Times New Roman" w:hAnsi="Calibri" w:cs="Arial"/>
                <w:sz w:val="18"/>
                <w:szCs w:val="18"/>
                <w:lang w:val="en-GB"/>
              </w:rPr>
              <w:t xml:space="preserve">Provisions for guarantees, </w:t>
            </w:r>
            <w:proofErr w:type="gramStart"/>
            <w:r w:rsidRPr="00025D7F">
              <w:rPr>
                <w:rFonts w:ascii="Calibri" w:eastAsia="Times New Roman" w:hAnsi="Calibri" w:cs="Arial"/>
                <w:sz w:val="18"/>
                <w:szCs w:val="18"/>
                <w:lang w:val="en-GB"/>
              </w:rPr>
              <w:t>commitments</w:t>
            </w:r>
            <w:proofErr w:type="gramEnd"/>
            <w:r w:rsidRPr="00025D7F">
              <w:rPr>
                <w:rFonts w:ascii="Calibri" w:eastAsia="Times New Roman" w:hAnsi="Calibri" w:cs="Arial"/>
                <w:sz w:val="18"/>
                <w:szCs w:val="18"/>
                <w:lang w:val="en-GB"/>
              </w:rPr>
              <w:t xml:space="preserve"> and other liabilities</w:t>
            </w:r>
          </w:p>
        </w:tc>
        <w:tc>
          <w:tcPr>
            <w:tcW w:w="991" w:type="dxa"/>
            <w:tcBorders>
              <w:top w:val="nil"/>
              <w:left w:val="nil"/>
              <w:right w:val="nil"/>
            </w:tcBorders>
            <w:shd w:val="clear" w:color="auto" w:fill="auto"/>
            <w:vAlign w:val="bottom"/>
          </w:tcPr>
          <w:p w14:paraId="1D26913C" w14:textId="77777777" w:rsidR="00025D7F" w:rsidRPr="00025D7F" w:rsidDel="00441EDF" w:rsidRDefault="00025D7F" w:rsidP="00025D7F">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bookmarkStart w:id="995" w:name="_Toc67330466"/>
            <w:r w:rsidRPr="00025D7F">
              <w:rPr>
                <w:rFonts w:ascii="Calibri" w:eastAsia="Times New Roman" w:hAnsi="Calibri" w:cs="Times New Roman"/>
                <w:color w:val="000000"/>
                <w:sz w:val="18"/>
                <w:szCs w:val="18"/>
                <w:lang w:val="en-US"/>
              </w:rPr>
              <w:t>105,893</w:t>
            </w:r>
            <w:bookmarkEnd w:id="995"/>
          </w:p>
        </w:tc>
        <w:tc>
          <w:tcPr>
            <w:tcW w:w="1134" w:type="dxa"/>
            <w:tcBorders>
              <w:top w:val="nil"/>
              <w:left w:val="nil"/>
              <w:right w:val="nil"/>
            </w:tcBorders>
            <w:shd w:val="clear" w:color="auto" w:fill="auto"/>
            <w:vAlign w:val="bottom"/>
          </w:tcPr>
          <w:p w14:paraId="6B9E62D7" w14:textId="77777777" w:rsidR="00025D7F" w:rsidRPr="00025D7F" w:rsidDel="00441EDF" w:rsidRDefault="00025D7F" w:rsidP="00025D7F">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bookmarkStart w:id="996" w:name="_Toc67330467"/>
            <w:r w:rsidRPr="00025D7F">
              <w:rPr>
                <w:rFonts w:ascii="Calibri" w:eastAsia="Times New Roman" w:hAnsi="Calibri" w:cs="Times New Roman"/>
                <w:color w:val="000000"/>
                <w:sz w:val="18"/>
                <w:szCs w:val="18"/>
                <w:lang w:val="en-US"/>
              </w:rPr>
              <w:t>5,962</w:t>
            </w:r>
            <w:bookmarkEnd w:id="996"/>
          </w:p>
        </w:tc>
        <w:tc>
          <w:tcPr>
            <w:tcW w:w="1134" w:type="dxa"/>
            <w:tcBorders>
              <w:top w:val="nil"/>
              <w:left w:val="nil"/>
              <w:right w:val="nil"/>
            </w:tcBorders>
            <w:shd w:val="clear" w:color="auto" w:fill="auto"/>
            <w:vAlign w:val="bottom"/>
          </w:tcPr>
          <w:p w14:paraId="3642CD37" w14:textId="77777777" w:rsidR="00025D7F" w:rsidRPr="00025D7F" w:rsidDel="00441EDF" w:rsidRDefault="00025D7F" w:rsidP="00025D7F">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bookmarkStart w:id="997" w:name="_Toc67330468"/>
            <w:r w:rsidRPr="00025D7F">
              <w:rPr>
                <w:rFonts w:ascii="Calibri" w:eastAsia="Times New Roman" w:hAnsi="Calibri" w:cs="Times New Roman"/>
                <w:color w:val="000000"/>
                <w:sz w:val="18"/>
                <w:szCs w:val="18"/>
                <w:lang w:val="en-US"/>
              </w:rPr>
              <w:t>19,815</w:t>
            </w:r>
            <w:bookmarkEnd w:id="997"/>
          </w:p>
        </w:tc>
        <w:tc>
          <w:tcPr>
            <w:tcW w:w="1134" w:type="dxa"/>
            <w:tcBorders>
              <w:top w:val="nil"/>
              <w:left w:val="nil"/>
              <w:right w:val="nil"/>
            </w:tcBorders>
            <w:shd w:val="clear" w:color="auto" w:fill="auto"/>
            <w:vAlign w:val="bottom"/>
          </w:tcPr>
          <w:p w14:paraId="3BC77B3E" w14:textId="77777777" w:rsidR="00025D7F" w:rsidRPr="00025D7F" w:rsidDel="00441EDF" w:rsidRDefault="00025D7F" w:rsidP="00025D7F">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bookmarkStart w:id="998" w:name="_Toc67330469"/>
            <w:r w:rsidRPr="00025D7F">
              <w:rPr>
                <w:rFonts w:ascii="Calibri" w:eastAsia="Times New Roman" w:hAnsi="Calibri" w:cs="Times New Roman"/>
                <w:color w:val="000000"/>
                <w:sz w:val="18"/>
                <w:szCs w:val="18"/>
                <w:lang w:val="en-US"/>
              </w:rPr>
              <w:t>30,577</w:t>
            </w:r>
            <w:bookmarkEnd w:id="998"/>
          </w:p>
        </w:tc>
        <w:tc>
          <w:tcPr>
            <w:tcW w:w="1134" w:type="dxa"/>
            <w:tcBorders>
              <w:top w:val="nil"/>
              <w:left w:val="nil"/>
              <w:right w:val="nil"/>
            </w:tcBorders>
            <w:shd w:val="clear" w:color="auto" w:fill="auto"/>
            <w:vAlign w:val="bottom"/>
          </w:tcPr>
          <w:p w14:paraId="6ECFBF34" w14:textId="77777777" w:rsidR="00025D7F" w:rsidRPr="00025D7F" w:rsidDel="00441EDF" w:rsidRDefault="00025D7F" w:rsidP="00025D7F">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bookmarkStart w:id="999" w:name="_Toc67330470"/>
            <w:r w:rsidRPr="00025D7F">
              <w:rPr>
                <w:rFonts w:ascii="Calibri" w:eastAsia="Times New Roman" w:hAnsi="Calibri" w:cs="Times New Roman"/>
                <w:color w:val="000000"/>
                <w:sz w:val="18"/>
                <w:szCs w:val="18"/>
                <w:lang w:val="en-US"/>
              </w:rPr>
              <w:t>28,056</w:t>
            </w:r>
            <w:bookmarkEnd w:id="999"/>
          </w:p>
        </w:tc>
        <w:tc>
          <w:tcPr>
            <w:tcW w:w="1134" w:type="dxa"/>
            <w:tcBorders>
              <w:top w:val="nil"/>
              <w:left w:val="nil"/>
              <w:right w:val="nil"/>
            </w:tcBorders>
            <w:shd w:val="clear" w:color="auto" w:fill="auto"/>
            <w:vAlign w:val="bottom"/>
          </w:tcPr>
          <w:p w14:paraId="32E72B3F" w14:textId="77777777" w:rsidR="00025D7F" w:rsidRPr="00025D7F" w:rsidDel="00441EDF" w:rsidRDefault="00025D7F" w:rsidP="00025D7F">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bookmarkStart w:id="1000" w:name="_Toc67330471"/>
            <w:r w:rsidRPr="00025D7F">
              <w:rPr>
                <w:rFonts w:ascii="Calibri" w:eastAsia="Times New Roman" w:hAnsi="Calibri" w:cs="Times New Roman"/>
                <w:color w:val="000000"/>
                <w:sz w:val="18"/>
                <w:szCs w:val="18"/>
                <w:lang w:val="en-US"/>
              </w:rPr>
              <w:t>190,303</w:t>
            </w:r>
            <w:bookmarkEnd w:id="1000"/>
          </w:p>
        </w:tc>
      </w:tr>
      <w:tr w:rsidR="00025D7F" w:rsidRPr="00025D7F" w14:paraId="22B9700E" w14:textId="77777777" w:rsidTr="00E44437">
        <w:trPr>
          <w:trHeight w:hRule="exact" w:val="227"/>
          <w:jc w:val="center"/>
        </w:trPr>
        <w:tc>
          <w:tcPr>
            <w:tcW w:w="2982" w:type="dxa"/>
            <w:vAlign w:val="bottom"/>
          </w:tcPr>
          <w:p w14:paraId="77D69DBD" w14:textId="77777777" w:rsidR="00025D7F" w:rsidRPr="00025D7F" w:rsidRDefault="00025D7F" w:rsidP="00025D7F">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025D7F">
              <w:rPr>
                <w:rFonts w:ascii="Calibri" w:eastAsia="Times New Roman" w:hAnsi="Calibri" w:cs="Arial"/>
                <w:sz w:val="18"/>
                <w:szCs w:val="18"/>
                <w:lang w:val="en-GB"/>
              </w:rPr>
              <w:t>Other liabilities</w:t>
            </w:r>
          </w:p>
        </w:tc>
        <w:tc>
          <w:tcPr>
            <w:tcW w:w="991" w:type="dxa"/>
            <w:tcBorders>
              <w:top w:val="nil"/>
              <w:left w:val="nil"/>
              <w:bottom w:val="single" w:sz="4" w:space="0" w:color="auto"/>
              <w:right w:val="nil"/>
            </w:tcBorders>
            <w:shd w:val="clear" w:color="auto" w:fill="auto"/>
            <w:vAlign w:val="bottom"/>
          </w:tcPr>
          <w:p w14:paraId="7F6E6440" w14:textId="77777777" w:rsidR="00025D7F" w:rsidRPr="00025D7F" w:rsidRDefault="00025D7F" w:rsidP="00025D7F">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bookmarkStart w:id="1001" w:name="_Toc67330473"/>
            <w:r w:rsidRPr="00025D7F">
              <w:rPr>
                <w:rFonts w:ascii="Calibri" w:eastAsia="Times New Roman" w:hAnsi="Calibri" w:cs="Times New Roman"/>
                <w:color w:val="000000"/>
                <w:sz w:val="18"/>
                <w:szCs w:val="18"/>
                <w:lang w:val="en-US"/>
              </w:rPr>
              <w:t>231,580</w:t>
            </w:r>
            <w:bookmarkEnd w:id="1001"/>
          </w:p>
        </w:tc>
        <w:tc>
          <w:tcPr>
            <w:tcW w:w="1134" w:type="dxa"/>
            <w:tcBorders>
              <w:top w:val="nil"/>
              <w:left w:val="nil"/>
              <w:bottom w:val="single" w:sz="4" w:space="0" w:color="auto"/>
              <w:right w:val="nil"/>
            </w:tcBorders>
            <w:shd w:val="clear" w:color="auto" w:fill="auto"/>
            <w:vAlign w:val="bottom"/>
          </w:tcPr>
          <w:p w14:paraId="4908F08C" w14:textId="77777777" w:rsidR="00025D7F" w:rsidRPr="00025D7F" w:rsidRDefault="00025D7F" w:rsidP="00025D7F">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bookmarkStart w:id="1002" w:name="_Toc67330474"/>
            <w:r w:rsidRPr="00025D7F">
              <w:rPr>
                <w:rFonts w:ascii="Calibri" w:eastAsia="Times New Roman" w:hAnsi="Calibri" w:cs="Times New Roman"/>
                <w:color w:val="000000"/>
                <w:sz w:val="18"/>
                <w:szCs w:val="18"/>
                <w:lang w:val="en-US"/>
              </w:rPr>
              <w:t>13,038</w:t>
            </w:r>
            <w:bookmarkEnd w:id="1002"/>
          </w:p>
        </w:tc>
        <w:tc>
          <w:tcPr>
            <w:tcW w:w="1134" w:type="dxa"/>
            <w:tcBorders>
              <w:top w:val="nil"/>
              <w:left w:val="nil"/>
              <w:bottom w:val="single" w:sz="4" w:space="0" w:color="auto"/>
              <w:right w:val="nil"/>
            </w:tcBorders>
            <w:shd w:val="clear" w:color="auto" w:fill="auto"/>
            <w:vAlign w:val="bottom"/>
          </w:tcPr>
          <w:p w14:paraId="77010A17" w14:textId="77777777" w:rsidR="00025D7F" w:rsidRPr="00025D7F" w:rsidRDefault="00025D7F" w:rsidP="00025D7F">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bookmarkStart w:id="1003" w:name="_Toc67330475"/>
            <w:r w:rsidRPr="00025D7F">
              <w:rPr>
                <w:rFonts w:ascii="Calibri" w:eastAsia="Times New Roman" w:hAnsi="Calibri" w:cs="Times New Roman"/>
                <w:color w:val="000000"/>
                <w:sz w:val="18"/>
                <w:szCs w:val="18"/>
                <w:lang w:val="en-US"/>
              </w:rPr>
              <w:t>43,334</w:t>
            </w:r>
            <w:bookmarkEnd w:id="1003"/>
          </w:p>
        </w:tc>
        <w:tc>
          <w:tcPr>
            <w:tcW w:w="1134" w:type="dxa"/>
            <w:tcBorders>
              <w:top w:val="nil"/>
              <w:left w:val="nil"/>
              <w:bottom w:val="single" w:sz="4" w:space="0" w:color="auto"/>
              <w:right w:val="nil"/>
            </w:tcBorders>
            <w:shd w:val="clear" w:color="auto" w:fill="auto"/>
            <w:vAlign w:val="bottom"/>
          </w:tcPr>
          <w:p w14:paraId="7DED0F62" w14:textId="77777777" w:rsidR="00025D7F" w:rsidRPr="00025D7F" w:rsidRDefault="00025D7F" w:rsidP="00025D7F">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bookmarkStart w:id="1004" w:name="_Toc67330476"/>
            <w:r w:rsidRPr="00025D7F">
              <w:rPr>
                <w:rFonts w:ascii="Calibri" w:eastAsia="Times New Roman" w:hAnsi="Calibri" w:cs="Times New Roman"/>
                <w:color w:val="000000"/>
                <w:sz w:val="18"/>
                <w:szCs w:val="18"/>
                <w:lang w:val="en-US"/>
              </w:rPr>
              <w:t>66,870</w:t>
            </w:r>
            <w:bookmarkEnd w:id="1004"/>
          </w:p>
        </w:tc>
        <w:tc>
          <w:tcPr>
            <w:tcW w:w="1134" w:type="dxa"/>
            <w:tcBorders>
              <w:top w:val="nil"/>
              <w:left w:val="nil"/>
              <w:bottom w:val="single" w:sz="4" w:space="0" w:color="auto"/>
              <w:right w:val="nil"/>
            </w:tcBorders>
            <w:shd w:val="clear" w:color="auto" w:fill="auto"/>
            <w:vAlign w:val="bottom"/>
          </w:tcPr>
          <w:p w14:paraId="0A742CB3" w14:textId="77777777" w:rsidR="00025D7F" w:rsidRPr="00025D7F" w:rsidRDefault="00025D7F" w:rsidP="00025D7F">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bookmarkStart w:id="1005" w:name="_Toc67330477"/>
            <w:r w:rsidRPr="00025D7F">
              <w:rPr>
                <w:rFonts w:ascii="Calibri" w:eastAsia="Times New Roman" w:hAnsi="Calibri" w:cs="Times New Roman"/>
                <w:color w:val="000000"/>
                <w:sz w:val="18"/>
                <w:szCs w:val="18"/>
                <w:lang w:val="en-US"/>
              </w:rPr>
              <w:t>61,356</w:t>
            </w:r>
            <w:bookmarkEnd w:id="1005"/>
          </w:p>
        </w:tc>
        <w:tc>
          <w:tcPr>
            <w:tcW w:w="1134" w:type="dxa"/>
            <w:tcBorders>
              <w:top w:val="nil"/>
              <w:left w:val="nil"/>
              <w:bottom w:val="single" w:sz="4" w:space="0" w:color="auto"/>
              <w:right w:val="nil"/>
            </w:tcBorders>
            <w:shd w:val="clear" w:color="auto" w:fill="auto"/>
            <w:vAlign w:val="bottom"/>
          </w:tcPr>
          <w:p w14:paraId="25E37983" w14:textId="77777777" w:rsidR="00025D7F" w:rsidRPr="00025D7F" w:rsidRDefault="00025D7F" w:rsidP="00025D7F">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bookmarkStart w:id="1006" w:name="_Toc67330478"/>
            <w:r w:rsidRPr="00025D7F">
              <w:rPr>
                <w:rFonts w:ascii="Calibri" w:eastAsia="Times New Roman" w:hAnsi="Calibri" w:cs="Times New Roman"/>
                <w:color w:val="000000"/>
                <w:sz w:val="18"/>
                <w:szCs w:val="18"/>
                <w:lang w:val="en-US"/>
              </w:rPr>
              <w:t>416,178</w:t>
            </w:r>
            <w:bookmarkEnd w:id="1006"/>
          </w:p>
        </w:tc>
      </w:tr>
      <w:tr w:rsidR="00025D7F" w:rsidRPr="00025D7F" w14:paraId="29F4CC9E" w14:textId="77777777" w:rsidTr="00E44437">
        <w:trPr>
          <w:trHeight w:hRule="exact" w:val="264"/>
          <w:jc w:val="center"/>
        </w:trPr>
        <w:tc>
          <w:tcPr>
            <w:tcW w:w="2982" w:type="dxa"/>
            <w:vAlign w:val="bottom"/>
          </w:tcPr>
          <w:p w14:paraId="3F0C9E48" w14:textId="77777777" w:rsidR="00025D7F" w:rsidRPr="00025D7F" w:rsidRDefault="00025D7F" w:rsidP="00025D7F">
            <w:pPr>
              <w:spacing w:after="0" w:line="240" w:lineRule="auto"/>
              <w:rPr>
                <w:rFonts w:ascii="Calibri" w:eastAsia="Times New Roman" w:hAnsi="Calibri" w:cs="Arial"/>
                <w:i/>
                <w:sz w:val="18"/>
                <w:szCs w:val="18"/>
                <w:lang w:val="en-GB"/>
              </w:rPr>
            </w:pPr>
            <w:r w:rsidRPr="00025D7F">
              <w:rPr>
                <w:rFonts w:ascii="Calibri" w:eastAsia="Times New Roman" w:hAnsi="Calibri" w:cs="Arial"/>
                <w:b/>
                <w:sz w:val="18"/>
                <w:szCs w:val="18"/>
              </w:rPr>
              <w:t>Total</w:t>
            </w:r>
          </w:p>
        </w:tc>
        <w:tc>
          <w:tcPr>
            <w:tcW w:w="991" w:type="dxa"/>
            <w:tcBorders>
              <w:top w:val="single" w:sz="4" w:space="0" w:color="auto"/>
              <w:left w:val="nil"/>
              <w:bottom w:val="single" w:sz="12" w:space="0" w:color="auto"/>
              <w:right w:val="nil"/>
            </w:tcBorders>
            <w:vAlign w:val="bottom"/>
          </w:tcPr>
          <w:p w14:paraId="6220F7C9" w14:textId="77777777" w:rsidR="00025D7F" w:rsidRPr="00025D7F" w:rsidRDefault="00025D7F" w:rsidP="00025D7F">
            <w:pPr>
              <w:tabs>
                <w:tab w:val="right" w:pos="1202"/>
              </w:tabs>
              <w:spacing w:after="0" w:line="240" w:lineRule="auto"/>
              <w:jc w:val="right"/>
              <w:outlineLvl w:val="0"/>
              <w:rPr>
                <w:rFonts w:ascii="Calibri" w:eastAsia="Times New Roman" w:hAnsi="Calibri" w:cs="Times New Roman"/>
                <w:b/>
                <w:bCs/>
                <w:sz w:val="18"/>
                <w:szCs w:val="18"/>
                <w:lang w:val="en-GB"/>
              </w:rPr>
            </w:pPr>
            <w:bookmarkStart w:id="1007" w:name="_Toc67330480"/>
            <w:r w:rsidRPr="00025D7F">
              <w:rPr>
                <w:rFonts w:ascii="Calibri" w:eastAsia="Times New Roman" w:hAnsi="Calibri" w:cs="Times New Roman"/>
                <w:b/>
                <w:bCs/>
                <w:color w:val="000000"/>
                <w:sz w:val="18"/>
                <w:szCs w:val="18"/>
                <w:lang w:val="en-US"/>
              </w:rPr>
              <w:t>1,218,123</w:t>
            </w:r>
            <w:bookmarkEnd w:id="1007"/>
          </w:p>
        </w:tc>
        <w:tc>
          <w:tcPr>
            <w:tcW w:w="1134" w:type="dxa"/>
            <w:tcBorders>
              <w:top w:val="single" w:sz="4" w:space="0" w:color="auto"/>
              <w:left w:val="nil"/>
              <w:bottom w:val="single" w:sz="12" w:space="0" w:color="auto"/>
              <w:right w:val="nil"/>
            </w:tcBorders>
            <w:vAlign w:val="bottom"/>
          </w:tcPr>
          <w:p w14:paraId="25CECCBD" w14:textId="77777777" w:rsidR="00025D7F" w:rsidRPr="00025D7F" w:rsidRDefault="00025D7F" w:rsidP="00025D7F">
            <w:pPr>
              <w:tabs>
                <w:tab w:val="right" w:pos="1202"/>
              </w:tabs>
              <w:spacing w:after="0" w:line="240" w:lineRule="auto"/>
              <w:jc w:val="right"/>
              <w:outlineLvl w:val="0"/>
              <w:rPr>
                <w:rFonts w:ascii="Calibri" w:eastAsia="Times New Roman" w:hAnsi="Calibri" w:cs="Times New Roman"/>
                <w:b/>
                <w:bCs/>
                <w:sz w:val="18"/>
                <w:szCs w:val="18"/>
                <w:lang w:val="en-GB"/>
              </w:rPr>
            </w:pPr>
            <w:bookmarkStart w:id="1008" w:name="_Toc67330481"/>
            <w:r w:rsidRPr="00025D7F">
              <w:rPr>
                <w:rFonts w:ascii="Calibri" w:eastAsia="Times New Roman" w:hAnsi="Calibri" w:cs="Times New Roman"/>
                <w:b/>
                <w:bCs/>
                <w:color w:val="000000"/>
                <w:sz w:val="18"/>
                <w:szCs w:val="18"/>
                <w:lang w:val="en-US"/>
              </w:rPr>
              <w:t>356,495</w:t>
            </w:r>
            <w:bookmarkEnd w:id="1008"/>
          </w:p>
        </w:tc>
        <w:tc>
          <w:tcPr>
            <w:tcW w:w="1134" w:type="dxa"/>
            <w:tcBorders>
              <w:top w:val="single" w:sz="4" w:space="0" w:color="auto"/>
              <w:left w:val="nil"/>
              <w:bottom w:val="single" w:sz="12" w:space="0" w:color="auto"/>
              <w:right w:val="nil"/>
            </w:tcBorders>
            <w:vAlign w:val="bottom"/>
          </w:tcPr>
          <w:p w14:paraId="099125A9" w14:textId="77777777" w:rsidR="00025D7F" w:rsidRPr="00025D7F" w:rsidRDefault="00025D7F" w:rsidP="00025D7F">
            <w:pPr>
              <w:tabs>
                <w:tab w:val="right" w:pos="1202"/>
              </w:tabs>
              <w:spacing w:after="0" w:line="240" w:lineRule="auto"/>
              <w:jc w:val="right"/>
              <w:outlineLvl w:val="0"/>
              <w:rPr>
                <w:rFonts w:ascii="Calibri" w:eastAsia="Times New Roman" w:hAnsi="Calibri" w:cs="Times New Roman"/>
                <w:b/>
                <w:bCs/>
                <w:sz w:val="18"/>
                <w:szCs w:val="18"/>
                <w:lang w:val="en-GB"/>
              </w:rPr>
            </w:pPr>
            <w:bookmarkStart w:id="1009" w:name="_Toc67330482"/>
            <w:r w:rsidRPr="00025D7F">
              <w:rPr>
                <w:rFonts w:ascii="Calibri" w:eastAsia="Times New Roman" w:hAnsi="Calibri" w:cs="Times New Roman"/>
                <w:b/>
                <w:bCs/>
                <w:color w:val="000000"/>
                <w:sz w:val="18"/>
                <w:szCs w:val="18"/>
                <w:lang w:val="en-US"/>
              </w:rPr>
              <w:t>2,095,931</w:t>
            </w:r>
            <w:bookmarkEnd w:id="1009"/>
          </w:p>
        </w:tc>
        <w:tc>
          <w:tcPr>
            <w:tcW w:w="1134" w:type="dxa"/>
            <w:tcBorders>
              <w:top w:val="single" w:sz="4" w:space="0" w:color="auto"/>
              <w:left w:val="nil"/>
              <w:bottom w:val="single" w:sz="12" w:space="0" w:color="auto"/>
              <w:right w:val="nil"/>
            </w:tcBorders>
            <w:vAlign w:val="bottom"/>
          </w:tcPr>
          <w:p w14:paraId="205E8450" w14:textId="77777777" w:rsidR="00025D7F" w:rsidRPr="00025D7F" w:rsidRDefault="00025D7F" w:rsidP="00025D7F">
            <w:pPr>
              <w:tabs>
                <w:tab w:val="right" w:pos="1202"/>
              </w:tabs>
              <w:spacing w:after="0" w:line="240" w:lineRule="auto"/>
              <w:jc w:val="right"/>
              <w:outlineLvl w:val="0"/>
              <w:rPr>
                <w:rFonts w:ascii="Calibri" w:eastAsia="Times New Roman" w:hAnsi="Calibri" w:cs="Times New Roman"/>
                <w:b/>
                <w:bCs/>
                <w:sz w:val="18"/>
                <w:szCs w:val="18"/>
                <w:lang w:val="en-GB"/>
              </w:rPr>
            </w:pPr>
            <w:bookmarkStart w:id="1010" w:name="_Toc67330483"/>
            <w:r w:rsidRPr="00025D7F">
              <w:rPr>
                <w:rFonts w:ascii="Calibri" w:eastAsia="Times New Roman" w:hAnsi="Calibri" w:cs="Times New Roman"/>
                <w:b/>
                <w:bCs/>
                <w:color w:val="000000"/>
                <w:sz w:val="18"/>
                <w:szCs w:val="18"/>
                <w:lang w:val="en-US"/>
              </w:rPr>
              <w:t>6,185,104</w:t>
            </w:r>
            <w:bookmarkEnd w:id="1010"/>
          </w:p>
        </w:tc>
        <w:tc>
          <w:tcPr>
            <w:tcW w:w="1134" w:type="dxa"/>
            <w:tcBorders>
              <w:top w:val="single" w:sz="4" w:space="0" w:color="auto"/>
              <w:left w:val="nil"/>
              <w:bottom w:val="single" w:sz="12" w:space="0" w:color="auto"/>
              <w:right w:val="nil"/>
            </w:tcBorders>
            <w:vAlign w:val="bottom"/>
          </w:tcPr>
          <w:p w14:paraId="6506A237" w14:textId="77777777" w:rsidR="00025D7F" w:rsidRPr="00025D7F" w:rsidRDefault="00025D7F" w:rsidP="00025D7F">
            <w:pPr>
              <w:tabs>
                <w:tab w:val="right" w:pos="1202"/>
              </w:tabs>
              <w:spacing w:after="0" w:line="240" w:lineRule="auto"/>
              <w:jc w:val="right"/>
              <w:outlineLvl w:val="0"/>
              <w:rPr>
                <w:rFonts w:ascii="Calibri" w:eastAsia="Times New Roman" w:hAnsi="Calibri" w:cs="Times New Roman"/>
                <w:b/>
                <w:bCs/>
                <w:sz w:val="18"/>
                <w:szCs w:val="18"/>
                <w:lang w:val="en-GB"/>
              </w:rPr>
            </w:pPr>
            <w:bookmarkStart w:id="1011" w:name="_Toc67330484"/>
            <w:r w:rsidRPr="00025D7F">
              <w:rPr>
                <w:rFonts w:ascii="Calibri" w:eastAsia="Times New Roman" w:hAnsi="Calibri" w:cs="Times New Roman"/>
                <w:b/>
                <w:bCs/>
                <w:color w:val="000000"/>
                <w:sz w:val="18"/>
                <w:szCs w:val="18"/>
                <w:lang w:val="en-US"/>
              </w:rPr>
              <w:t>8,828,749</w:t>
            </w:r>
            <w:bookmarkEnd w:id="1011"/>
          </w:p>
        </w:tc>
        <w:tc>
          <w:tcPr>
            <w:tcW w:w="1134" w:type="dxa"/>
            <w:tcBorders>
              <w:top w:val="single" w:sz="4" w:space="0" w:color="auto"/>
              <w:left w:val="nil"/>
              <w:bottom w:val="single" w:sz="12" w:space="0" w:color="auto"/>
              <w:right w:val="nil"/>
            </w:tcBorders>
            <w:vAlign w:val="bottom"/>
          </w:tcPr>
          <w:p w14:paraId="4A89F7D0" w14:textId="77777777" w:rsidR="00025D7F" w:rsidRPr="00025D7F" w:rsidRDefault="00025D7F" w:rsidP="00025D7F">
            <w:pPr>
              <w:tabs>
                <w:tab w:val="right" w:pos="1202"/>
              </w:tabs>
              <w:spacing w:after="0" w:line="240" w:lineRule="auto"/>
              <w:jc w:val="right"/>
              <w:outlineLvl w:val="0"/>
              <w:rPr>
                <w:rFonts w:ascii="Calibri" w:eastAsia="Times New Roman" w:hAnsi="Calibri" w:cs="Times New Roman"/>
                <w:b/>
                <w:bCs/>
                <w:sz w:val="18"/>
                <w:szCs w:val="18"/>
                <w:lang w:val="en-GB"/>
              </w:rPr>
            </w:pPr>
            <w:bookmarkStart w:id="1012" w:name="_Toc67330485"/>
            <w:r w:rsidRPr="00025D7F">
              <w:rPr>
                <w:rFonts w:ascii="Calibri" w:eastAsia="Times New Roman" w:hAnsi="Calibri" w:cs="Times New Roman"/>
                <w:b/>
                <w:bCs/>
                <w:color w:val="000000"/>
                <w:sz w:val="18"/>
                <w:szCs w:val="18"/>
                <w:lang w:val="en-US"/>
              </w:rPr>
              <w:t>18,684,402</w:t>
            </w:r>
            <w:bookmarkEnd w:id="1012"/>
          </w:p>
        </w:tc>
      </w:tr>
      <w:tr w:rsidR="00025D7F" w:rsidRPr="00025D7F" w14:paraId="218D4803" w14:textId="77777777" w:rsidTr="00E44437">
        <w:trPr>
          <w:trHeight w:hRule="exact" w:val="160"/>
          <w:jc w:val="center"/>
        </w:trPr>
        <w:tc>
          <w:tcPr>
            <w:tcW w:w="2982" w:type="dxa"/>
            <w:vAlign w:val="bottom"/>
          </w:tcPr>
          <w:p w14:paraId="2F5A8C03" w14:textId="77777777" w:rsidR="00025D7F" w:rsidRPr="00025D7F" w:rsidRDefault="00025D7F" w:rsidP="00025D7F">
            <w:pPr>
              <w:keepNext/>
              <w:keepLines/>
              <w:tabs>
                <w:tab w:val="decimal" w:pos="1202"/>
              </w:tabs>
              <w:spacing w:after="0" w:line="240" w:lineRule="auto"/>
              <w:rPr>
                <w:rFonts w:ascii="Calibri" w:eastAsia="Times New Roman" w:hAnsi="Calibri" w:cs="Arial"/>
                <w:b/>
                <w:position w:val="4"/>
                <w:sz w:val="18"/>
                <w:szCs w:val="18"/>
                <w:lang w:val="en-GB"/>
              </w:rPr>
            </w:pPr>
          </w:p>
        </w:tc>
        <w:tc>
          <w:tcPr>
            <w:tcW w:w="991" w:type="dxa"/>
            <w:tcBorders>
              <w:top w:val="single" w:sz="12" w:space="0" w:color="auto"/>
            </w:tcBorders>
            <w:vAlign w:val="bottom"/>
          </w:tcPr>
          <w:p w14:paraId="3FBA14EC" w14:textId="77777777" w:rsidR="00025D7F" w:rsidRPr="00025D7F" w:rsidRDefault="00025D7F" w:rsidP="00025D7F">
            <w:pPr>
              <w:keepNext/>
              <w:keepLines/>
              <w:tabs>
                <w:tab w:val="decimal" w:pos="1202"/>
              </w:tabs>
              <w:spacing w:after="0" w:line="240" w:lineRule="auto"/>
              <w:jc w:val="right"/>
              <w:rPr>
                <w:rFonts w:ascii="Calibri" w:eastAsia="Times New Roman" w:hAnsi="Calibri" w:cs="Arial"/>
                <w:b/>
                <w:position w:val="4"/>
                <w:sz w:val="18"/>
                <w:szCs w:val="18"/>
              </w:rPr>
            </w:pPr>
          </w:p>
        </w:tc>
        <w:tc>
          <w:tcPr>
            <w:tcW w:w="1134" w:type="dxa"/>
            <w:tcBorders>
              <w:top w:val="single" w:sz="12" w:space="0" w:color="auto"/>
            </w:tcBorders>
            <w:vAlign w:val="bottom"/>
          </w:tcPr>
          <w:p w14:paraId="60C186A9" w14:textId="77777777" w:rsidR="00025D7F" w:rsidRPr="00025D7F" w:rsidRDefault="00025D7F" w:rsidP="00025D7F">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rPr>
            </w:pPr>
          </w:p>
        </w:tc>
        <w:tc>
          <w:tcPr>
            <w:tcW w:w="1134" w:type="dxa"/>
            <w:tcBorders>
              <w:top w:val="single" w:sz="12" w:space="0" w:color="auto"/>
            </w:tcBorders>
            <w:vAlign w:val="bottom"/>
          </w:tcPr>
          <w:p w14:paraId="7B57F4EE" w14:textId="77777777" w:rsidR="00025D7F" w:rsidRPr="00025D7F" w:rsidRDefault="00025D7F" w:rsidP="00025D7F">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rPr>
            </w:pPr>
          </w:p>
        </w:tc>
        <w:tc>
          <w:tcPr>
            <w:tcW w:w="1134" w:type="dxa"/>
            <w:tcBorders>
              <w:top w:val="single" w:sz="12" w:space="0" w:color="auto"/>
            </w:tcBorders>
            <w:vAlign w:val="bottom"/>
          </w:tcPr>
          <w:p w14:paraId="785C521B" w14:textId="77777777" w:rsidR="00025D7F" w:rsidRPr="00025D7F" w:rsidRDefault="00025D7F" w:rsidP="00025D7F">
            <w:pPr>
              <w:keepNext/>
              <w:keepLines/>
              <w:tabs>
                <w:tab w:val="decimal" w:pos="1202"/>
              </w:tabs>
              <w:spacing w:after="0" w:line="240" w:lineRule="auto"/>
              <w:jc w:val="right"/>
              <w:rPr>
                <w:rFonts w:ascii="Calibri" w:eastAsia="Times New Roman" w:hAnsi="Calibri" w:cs="Arial"/>
                <w:b/>
                <w:position w:val="4"/>
                <w:sz w:val="18"/>
                <w:szCs w:val="18"/>
              </w:rPr>
            </w:pPr>
          </w:p>
        </w:tc>
        <w:tc>
          <w:tcPr>
            <w:tcW w:w="1134" w:type="dxa"/>
            <w:tcBorders>
              <w:top w:val="single" w:sz="12" w:space="0" w:color="auto"/>
            </w:tcBorders>
            <w:vAlign w:val="bottom"/>
          </w:tcPr>
          <w:p w14:paraId="08C6DB8F" w14:textId="77777777" w:rsidR="00025D7F" w:rsidRPr="00025D7F" w:rsidRDefault="00025D7F" w:rsidP="00025D7F">
            <w:pPr>
              <w:keepNext/>
              <w:keepLines/>
              <w:tabs>
                <w:tab w:val="right" w:pos="1263"/>
              </w:tabs>
              <w:spacing w:after="0" w:line="240" w:lineRule="auto"/>
              <w:jc w:val="right"/>
              <w:rPr>
                <w:rFonts w:ascii="Calibri" w:eastAsia="Times New Roman" w:hAnsi="Calibri" w:cs="Arial"/>
                <w:b/>
                <w:position w:val="4"/>
                <w:sz w:val="18"/>
                <w:szCs w:val="18"/>
              </w:rPr>
            </w:pPr>
          </w:p>
        </w:tc>
        <w:tc>
          <w:tcPr>
            <w:tcW w:w="1134" w:type="dxa"/>
            <w:tcBorders>
              <w:top w:val="single" w:sz="12" w:space="0" w:color="auto"/>
            </w:tcBorders>
            <w:vAlign w:val="bottom"/>
          </w:tcPr>
          <w:p w14:paraId="4FE1B944" w14:textId="77777777" w:rsidR="00025D7F" w:rsidRPr="00025D7F" w:rsidRDefault="00025D7F" w:rsidP="00025D7F">
            <w:pPr>
              <w:keepNext/>
              <w:keepLines/>
              <w:tabs>
                <w:tab w:val="decimal" w:pos="1202"/>
              </w:tabs>
              <w:spacing w:after="0" w:line="240" w:lineRule="auto"/>
              <w:jc w:val="right"/>
              <w:rPr>
                <w:rFonts w:ascii="Calibri" w:eastAsia="Times New Roman" w:hAnsi="Calibri" w:cs="Arial"/>
                <w:b/>
                <w:position w:val="4"/>
                <w:sz w:val="18"/>
                <w:szCs w:val="18"/>
              </w:rPr>
            </w:pPr>
          </w:p>
        </w:tc>
      </w:tr>
      <w:tr w:rsidR="00025D7F" w:rsidRPr="00025D7F" w14:paraId="62D171FF" w14:textId="77777777" w:rsidTr="00E44437">
        <w:trPr>
          <w:trHeight w:hRule="exact" w:val="264"/>
          <w:jc w:val="center"/>
        </w:trPr>
        <w:tc>
          <w:tcPr>
            <w:tcW w:w="2982" w:type="dxa"/>
            <w:vAlign w:val="bottom"/>
          </w:tcPr>
          <w:p w14:paraId="44105A8E" w14:textId="77777777" w:rsidR="00025D7F" w:rsidRPr="00025D7F" w:rsidRDefault="00025D7F" w:rsidP="00025D7F">
            <w:pPr>
              <w:tabs>
                <w:tab w:val="right" w:pos="1202"/>
                <w:tab w:val="center" w:pos="4153"/>
                <w:tab w:val="right" w:pos="8306"/>
              </w:tabs>
              <w:spacing w:after="0" w:line="240" w:lineRule="auto"/>
              <w:outlineLvl w:val="0"/>
              <w:rPr>
                <w:rFonts w:ascii="Calibri" w:eastAsia="Times New Roman" w:hAnsi="Calibri" w:cs="Arial"/>
                <w:b/>
                <w:bCs/>
                <w:iCs/>
                <w:sz w:val="18"/>
                <w:szCs w:val="18"/>
                <w:lang w:val="en-GB"/>
              </w:rPr>
            </w:pPr>
            <w:r w:rsidRPr="00025D7F">
              <w:rPr>
                <w:rFonts w:ascii="Calibri" w:eastAsia="Times New Roman" w:hAnsi="Calibri" w:cs="Arial"/>
                <w:b/>
                <w:bCs/>
                <w:iCs/>
                <w:spacing w:val="-2"/>
                <w:sz w:val="18"/>
                <w:szCs w:val="18"/>
                <w:lang w:val="en-US"/>
              </w:rPr>
              <w:t>Guarantees and commitments</w:t>
            </w:r>
          </w:p>
        </w:tc>
        <w:tc>
          <w:tcPr>
            <w:tcW w:w="991" w:type="dxa"/>
            <w:tcBorders>
              <w:left w:val="nil"/>
              <w:right w:val="nil"/>
            </w:tcBorders>
            <w:shd w:val="clear" w:color="auto" w:fill="auto"/>
            <w:vAlign w:val="bottom"/>
          </w:tcPr>
          <w:p w14:paraId="426ECDA8" w14:textId="77777777" w:rsidR="00025D7F" w:rsidRPr="00025D7F" w:rsidRDefault="00025D7F" w:rsidP="00025D7F">
            <w:pPr>
              <w:tabs>
                <w:tab w:val="center" w:pos="4153"/>
                <w:tab w:val="right" w:pos="8306"/>
              </w:tabs>
              <w:spacing w:after="0" w:line="240" w:lineRule="auto"/>
              <w:jc w:val="right"/>
              <w:outlineLvl w:val="0"/>
              <w:rPr>
                <w:rFonts w:ascii="Calibri" w:eastAsia="Times New Roman" w:hAnsi="Calibri" w:cs="Arial"/>
                <w:b/>
                <w:iCs/>
                <w:spacing w:val="-2"/>
                <w:sz w:val="18"/>
                <w:szCs w:val="18"/>
                <w:lang w:val="en-GB"/>
              </w:rPr>
            </w:pPr>
          </w:p>
        </w:tc>
        <w:tc>
          <w:tcPr>
            <w:tcW w:w="1134" w:type="dxa"/>
            <w:tcBorders>
              <w:left w:val="nil"/>
              <w:right w:val="nil"/>
            </w:tcBorders>
            <w:shd w:val="clear" w:color="auto" w:fill="auto"/>
            <w:vAlign w:val="bottom"/>
          </w:tcPr>
          <w:p w14:paraId="2FD4783B" w14:textId="77777777" w:rsidR="00025D7F" w:rsidRPr="00025D7F" w:rsidRDefault="00025D7F" w:rsidP="00025D7F">
            <w:pPr>
              <w:tabs>
                <w:tab w:val="center" w:pos="4153"/>
                <w:tab w:val="right" w:pos="8306"/>
              </w:tabs>
              <w:spacing w:after="0" w:line="240" w:lineRule="auto"/>
              <w:jc w:val="right"/>
              <w:outlineLvl w:val="0"/>
              <w:rPr>
                <w:rFonts w:ascii="Calibri" w:eastAsia="Times New Roman" w:hAnsi="Calibri" w:cs="Arial"/>
                <w:b/>
                <w:iCs/>
                <w:spacing w:val="-2"/>
                <w:sz w:val="18"/>
                <w:szCs w:val="18"/>
                <w:lang w:val="en-GB"/>
              </w:rPr>
            </w:pPr>
          </w:p>
        </w:tc>
        <w:tc>
          <w:tcPr>
            <w:tcW w:w="1134" w:type="dxa"/>
            <w:tcBorders>
              <w:left w:val="nil"/>
              <w:right w:val="nil"/>
            </w:tcBorders>
            <w:shd w:val="clear" w:color="auto" w:fill="auto"/>
            <w:vAlign w:val="bottom"/>
          </w:tcPr>
          <w:p w14:paraId="05152CE1" w14:textId="77777777" w:rsidR="00025D7F" w:rsidRPr="00025D7F" w:rsidRDefault="00025D7F" w:rsidP="00025D7F">
            <w:pPr>
              <w:tabs>
                <w:tab w:val="center" w:pos="4153"/>
                <w:tab w:val="right" w:pos="8306"/>
              </w:tabs>
              <w:spacing w:after="0" w:line="240" w:lineRule="auto"/>
              <w:jc w:val="right"/>
              <w:outlineLvl w:val="0"/>
              <w:rPr>
                <w:rFonts w:ascii="Calibri" w:eastAsia="Times New Roman" w:hAnsi="Calibri" w:cs="Arial"/>
                <w:b/>
                <w:iCs/>
                <w:spacing w:val="-2"/>
                <w:sz w:val="18"/>
                <w:szCs w:val="18"/>
                <w:lang w:val="en-GB"/>
              </w:rPr>
            </w:pPr>
          </w:p>
        </w:tc>
        <w:tc>
          <w:tcPr>
            <w:tcW w:w="1134" w:type="dxa"/>
            <w:tcBorders>
              <w:left w:val="nil"/>
              <w:right w:val="nil"/>
            </w:tcBorders>
            <w:shd w:val="clear" w:color="auto" w:fill="auto"/>
            <w:vAlign w:val="bottom"/>
          </w:tcPr>
          <w:p w14:paraId="1867651E" w14:textId="77777777" w:rsidR="00025D7F" w:rsidRPr="00025D7F" w:rsidRDefault="00025D7F" w:rsidP="00025D7F">
            <w:pPr>
              <w:tabs>
                <w:tab w:val="center" w:pos="4153"/>
                <w:tab w:val="right" w:pos="8306"/>
              </w:tabs>
              <w:spacing w:after="0" w:line="240" w:lineRule="auto"/>
              <w:jc w:val="right"/>
              <w:outlineLvl w:val="0"/>
              <w:rPr>
                <w:rFonts w:ascii="Calibri" w:eastAsia="Times New Roman" w:hAnsi="Calibri" w:cs="Arial"/>
                <w:b/>
                <w:iCs/>
                <w:spacing w:val="-2"/>
                <w:sz w:val="18"/>
                <w:szCs w:val="18"/>
                <w:lang w:val="en-GB"/>
              </w:rPr>
            </w:pPr>
          </w:p>
        </w:tc>
        <w:tc>
          <w:tcPr>
            <w:tcW w:w="1134" w:type="dxa"/>
            <w:tcBorders>
              <w:left w:val="nil"/>
              <w:right w:val="nil"/>
            </w:tcBorders>
            <w:shd w:val="clear" w:color="auto" w:fill="auto"/>
            <w:vAlign w:val="bottom"/>
          </w:tcPr>
          <w:p w14:paraId="519EFE46" w14:textId="77777777" w:rsidR="00025D7F" w:rsidRPr="00025D7F" w:rsidRDefault="00025D7F" w:rsidP="00025D7F">
            <w:pPr>
              <w:tabs>
                <w:tab w:val="right" w:pos="1263"/>
                <w:tab w:val="center" w:pos="4153"/>
                <w:tab w:val="right" w:pos="8306"/>
              </w:tabs>
              <w:spacing w:after="0" w:line="240" w:lineRule="auto"/>
              <w:jc w:val="right"/>
              <w:outlineLvl w:val="0"/>
              <w:rPr>
                <w:rFonts w:ascii="Calibri" w:eastAsia="Times New Roman" w:hAnsi="Calibri" w:cs="Arial"/>
                <w:b/>
                <w:iCs/>
                <w:spacing w:val="-2"/>
                <w:sz w:val="18"/>
                <w:szCs w:val="18"/>
                <w:lang w:val="en-GB"/>
              </w:rPr>
            </w:pPr>
          </w:p>
        </w:tc>
        <w:tc>
          <w:tcPr>
            <w:tcW w:w="1134" w:type="dxa"/>
            <w:tcBorders>
              <w:left w:val="nil"/>
              <w:right w:val="nil"/>
            </w:tcBorders>
            <w:shd w:val="clear" w:color="auto" w:fill="auto"/>
            <w:vAlign w:val="bottom"/>
          </w:tcPr>
          <w:p w14:paraId="5B8D9D1E" w14:textId="77777777" w:rsidR="00025D7F" w:rsidRPr="00025D7F" w:rsidRDefault="00025D7F" w:rsidP="00025D7F">
            <w:pPr>
              <w:tabs>
                <w:tab w:val="center" w:pos="4153"/>
                <w:tab w:val="right" w:pos="8306"/>
              </w:tabs>
              <w:spacing w:after="0" w:line="240" w:lineRule="auto"/>
              <w:jc w:val="right"/>
              <w:outlineLvl w:val="0"/>
              <w:rPr>
                <w:rFonts w:ascii="Calibri" w:eastAsia="Times New Roman" w:hAnsi="Calibri" w:cs="Arial"/>
                <w:b/>
                <w:iCs/>
                <w:sz w:val="18"/>
                <w:szCs w:val="18"/>
                <w:lang w:val="en-GB"/>
              </w:rPr>
            </w:pPr>
          </w:p>
        </w:tc>
      </w:tr>
      <w:tr w:rsidR="00025D7F" w:rsidRPr="00025D7F" w14:paraId="30EAE84F" w14:textId="77777777" w:rsidTr="00E44437">
        <w:trPr>
          <w:trHeight w:hRule="exact" w:val="227"/>
          <w:jc w:val="center"/>
        </w:trPr>
        <w:tc>
          <w:tcPr>
            <w:tcW w:w="2982" w:type="dxa"/>
            <w:vAlign w:val="bottom"/>
          </w:tcPr>
          <w:p w14:paraId="180F2545" w14:textId="77777777" w:rsidR="00025D7F" w:rsidRPr="00025D7F" w:rsidRDefault="00025D7F" w:rsidP="00025D7F">
            <w:pPr>
              <w:tabs>
                <w:tab w:val="right" w:pos="1202"/>
              </w:tabs>
              <w:spacing w:after="0" w:line="240" w:lineRule="auto"/>
              <w:outlineLvl w:val="0"/>
              <w:rPr>
                <w:rFonts w:ascii="Calibri" w:eastAsia="Times New Roman" w:hAnsi="Calibri" w:cs="Arial"/>
                <w:sz w:val="18"/>
                <w:szCs w:val="18"/>
                <w:lang w:val="en-GB"/>
              </w:rPr>
            </w:pPr>
            <w:r w:rsidRPr="00025D7F">
              <w:rPr>
                <w:rFonts w:ascii="Calibri" w:eastAsia="Times New Roman" w:hAnsi="Calibri" w:cs="Arial"/>
                <w:spacing w:val="-2"/>
                <w:sz w:val="18"/>
                <w:szCs w:val="18"/>
                <w:lang w:val="en-GB"/>
              </w:rPr>
              <w:t>Guarantees issued in HRK</w:t>
            </w:r>
          </w:p>
        </w:tc>
        <w:tc>
          <w:tcPr>
            <w:tcW w:w="991" w:type="dxa"/>
            <w:tcBorders>
              <w:top w:val="nil"/>
              <w:left w:val="nil"/>
              <w:bottom w:val="nil"/>
              <w:right w:val="nil"/>
            </w:tcBorders>
            <w:shd w:val="clear" w:color="auto" w:fill="auto"/>
            <w:vAlign w:val="bottom"/>
          </w:tcPr>
          <w:p w14:paraId="1815958C" w14:textId="77777777" w:rsidR="00025D7F" w:rsidRPr="00025D7F" w:rsidRDefault="00025D7F" w:rsidP="00025D7F">
            <w:pPr>
              <w:tabs>
                <w:tab w:val="right" w:pos="1202"/>
              </w:tabs>
              <w:spacing w:after="0" w:line="240" w:lineRule="auto"/>
              <w:jc w:val="right"/>
              <w:outlineLvl w:val="0"/>
              <w:rPr>
                <w:rFonts w:ascii="Calibri" w:eastAsia="Times New Roman" w:hAnsi="Calibri" w:cs="Arial"/>
                <w:bCs/>
                <w:sz w:val="18"/>
                <w:szCs w:val="18"/>
                <w:lang w:val="en-GB"/>
              </w:rPr>
            </w:pPr>
            <w:r w:rsidRPr="00025D7F">
              <w:rPr>
                <w:rFonts w:ascii="Calibri" w:eastAsia="Times New Roman" w:hAnsi="Calibri" w:cs="Times New Roman"/>
                <w:bCs/>
                <w:color w:val="000000"/>
                <w:sz w:val="18"/>
                <w:szCs w:val="18"/>
                <w:lang w:val="en-GB"/>
              </w:rPr>
              <w:t xml:space="preserve"> 170,555 </w:t>
            </w:r>
          </w:p>
        </w:tc>
        <w:tc>
          <w:tcPr>
            <w:tcW w:w="1134" w:type="dxa"/>
            <w:tcBorders>
              <w:top w:val="nil"/>
              <w:left w:val="nil"/>
              <w:bottom w:val="nil"/>
              <w:right w:val="nil"/>
            </w:tcBorders>
            <w:shd w:val="clear" w:color="auto" w:fill="auto"/>
            <w:vAlign w:val="bottom"/>
          </w:tcPr>
          <w:p w14:paraId="0F16C84C" w14:textId="77777777" w:rsidR="00025D7F" w:rsidRPr="00025D7F" w:rsidRDefault="00025D7F" w:rsidP="00025D7F">
            <w:pPr>
              <w:tabs>
                <w:tab w:val="right" w:pos="1202"/>
              </w:tabs>
              <w:spacing w:after="0" w:line="240" w:lineRule="auto"/>
              <w:jc w:val="right"/>
              <w:outlineLvl w:val="0"/>
              <w:rPr>
                <w:rFonts w:ascii="Calibri" w:eastAsia="Times New Roman" w:hAnsi="Calibri" w:cs="Arial"/>
                <w:bCs/>
                <w:sz w:val="18"/>
                <w:szCs w:val="18"/>
                <w:lang w:val="en-GB"/>
              </w:rPr>
            </w:pPr>
            <w:r w:rsidRPr="00025D7F">
              <w:rPr>
                <w:rFonts w:ascii="Calibri" w:eastAsia="Times New Roman" w:hAnsi="Calibri" w:cs="Times New Roman"/>
                <w:b/>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780EB411" w14:textId="77777777" w:rsidR="00025D7F" w:rsidRPr="00025D7F" w:rsidRDefault="00025D7F" w:rsidP="00025D7F">
            <w:pPr>
              <w:tabs>
                <w:tab w:val="right" w:pos="1202"/>
              </w:tabs>
              <w:spacing w:after="0" w:line="240" w:lineRule="auto"/>
              <w:jc w:val="right"/>
              <w:outlineLvl w:val="0"/>
              <w:rPr>
                <w:rFonts w:ascii="Calibri" w:eastAsia="Times New Roman" w:hAnsi="Calibri" w:cs="Arial"/>
                <w:bCs/>
                <w:sz w:val="18"/>
                <w:szCs w:val="18"/>
                <w:lang w:val="en-GB"/>
              </w:rPr>
            </w:pPr>
            <w:r w:rsidRPr="00025D7F">
              <w:rPr>
                <w:rFonts w:ascii="Calibri" w:eastAsia="Times New Roman" w:hAnsi="Calibri" w:cs="Times New Roman"/>
                <w:b/>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671EF3AC" w14:textId="77777777" w:rsidR="00025D7F" w:rsidRPr="00025D7F" w:rsidRDefault="00025D7F" w:rsidP="00025D7F">
            <w:pPr>
              <w:tabs>
                <w:tab w:val="right" w:pos="1202"/>
              </w:tabs>
              <w:spacing w:after="0" w:line="240" w:lineRule="auto"/>
              <w:jc w:val="right"/>
              <w:outlineLvl w:val="0"/>
              <w:rPr>
                <w:rFonts w:ascii="Calibri" w:eastAsia="Times New Roman" w:hAnsi="Calibri" w:cs="Arial"/>
                <w:bCs/>
                <w:sz w:val="18"/>
                <w:szCs w:val="18"/>
                <w:lang w:val="en-GB"/>
              </w:rPr>
            </w:pPr>
            <w:r w:rsidRPr="00025D7F">
              <w:rPr>
                <w:rFonts w:ascii="Calibri" w:eastAsia="Times New Roman" w:hAnsi="Calibri" w:cs="Times New Roman"/>
                <w:b/>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2977054C" w14:textId="77777777" w:rsidR="00025D7F" w:rsidRPr="00025D7F" w:rsidRDefault="00025D7F" w:rsidP="00025D7F">
            <w:pPr>
              <w:tabs>
                <w:tab w:val="right" w:pos="1263"/>
              </w:tabs>
              <w:spacing w:after="0" w:line="240" w:lineRule="auto"/>
              <w:jc w:val="right"/>
              <w:outlineLvl w:val="0"/>
              <w:rPr>
                <w:rFonts w:ascii="Calibri" w:eastAsia="Times New Roman" w:hAnsi="Calibri" w:cs="Arial"/>
                <w:bCs/>
                <w:sz w:val="18"/>
                <w:szCs w:val="18"/>
                <w:lang w:val="en-GB"/>
              </w:rPr>
            </w:pPr>
            <w:r w:rsidRPr="00025D7F">
              <w:rPr>
                <w:rFonts w:ascii="Calibri" w:eastAsia="Times New Roman" w:hAnsi="Calibri" w:cs="Times New Roman"/>
                <w:b/>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5612F918" w14:textId="77777777" w:rsidR="00025D7F" w:rsidRPr="00025D7F" w:rsidRDefault="00025D7F" w:rsidP="00025D7F">
            <w:pPr>
              <w:tabs>
                <w:tab w:val="right" w:pos="1202"/>
              </w:tabs>
              <w:spacing w:after="0" w:line="240" w:lineRule="auto"/>
              <w:jc w:val="right"/>
              <w:outlineLvl w:val="0"/>
              <w:rPr>
                <w:rFonts w:ascii="Calibri" w:eastAsia="Times New Roman" w:hAnsi="Calibri" w:cs="Arial"/>
                <w:bCs/>
                <w:sz w:val="18"/>
                <w:szCs w:val="18"/>
                <w:lang w:val="en-GB"/>
              </w:rPr>
            </w:pPr>
            <w:bookmarkStart w:id="1013" w:name="_Toc67330489"/>
            <w:r w:rsidRPr="00025D7F">
              <w:rPr>
                <w:rFonts w:ascii="Calibri" w:eastAsia="Times New Roman" w:hAnsi="Calibri" w:cs="Times New Roman"/>
                <w:bCs/>
                <w:color w:val="000000"/>
                <w:sz w:val="18"/>
                <w:szCs w:val="18"/>
                <w:lang w:val="en-GB"/>
              </w:rPr>
              <w:t>170,555</w:t>
            </w:r>
            <w:bookmarkEnd w:id="1013"/>
          </w:p>
        </w:tc>
      </w:tr>
      <w:tr w:rsidR="00025D7F" w:rsidRPr="00025D7F" w14:paraId="1C11C16F" w14:textId="77777777" w:rsidTr="00E44437">
        <w:trPr>
          <w:trHeight w:hRule="exact" w:val="227"/>
          <w:jc w:val="center"/>
        </w:trPr>
        <w:tc>
          <w:tcPr>
            <w:tcW w:w="2982" w:type="dxa"/>
            <w:vAlign w:val="bottom"/>
          </w:tcPr>
          <w:p w14:paraId="3EDEE954" w14:textId="77777777" w:rsidR="00025D7F" w:rsidRPr="00025D7F" w:rsidRDefault="00025D7F" w:rsidP="00025D7F">
            <w:pPr>
              <w:tabs>
                <w:tab w:val="left" w:pos="-720"/>
              </w:tabs>
              <w:suppressAutoHyphens/>
              <w:spacing w:after="0" w:line="240" w:lineRule="auto"/>
              <w:rPr>
                <w:rFonts w:ascii="Calibri" w:eastAsia="Times New Roman" w:hAnsi="Calibri" w:cs="Arial"/>
                <w:spacing w:val="-2"/>
                <w:sz w:val="18"/>
                <w:szCs w:val="18"/>
                <w:lang w:val="en-GB"/>
              </w:rPr>
            </w:pPr>
            <w:r w:rsidRPr="00025D7F">
              <w:rPr>
                <w:rFonts w:ascii="Calibri" w:eastAsia="Times New Roman" w:hAnsi="Calibri" w:cs="Arial"/>
                <w:spacing w:val="-2"/>
                <w:sz w:val="18"/>
                <w:szCs w:val="18"/>
                <w:lang w:val="en-US"/>
              </w:rPr>
              <w:t>Issued guarantees in foreign currency</w:t>
            </w:r>
            <w:r w:rsidRPr="00025D7F" w:rsidDel="009E6B9F">
              <w:rPr>
                <w:rFonts w:ascii="Calibri" w:eastAsia="Times New Roman" w:hAnsi="Calibri" w:cs="Arial"/>
                <w:spacing w:val="-2"/>
                <w:sz w:val="18"/>
                <w:szCs w:val="18"/>
                <w:lang w:val="en-US"/>
              </w:rPr>
              <w:t xml:space="preserve"> </w:t>
            </w:r>
          </w:p>
        </w:tc>
        <w:tc>
          <w:tcPr>
            <w:tcW w:w="991" w:type="dxa"/>
            <w:tcBorders>
              <w:top w:val="nil"/>
              <w:left w:val="nil"/>
              <w:bottom w:val="nil"/>
              <w:right w:val="nil"/>
            </w:tcBorders>
            <w:shd w:val="clear" w:color="auto" w:fill="auto"/>
            <w:vAlign w:val="bottom"/>
          </w:tcPr>
          <w:p w14:paraId="08AA1210" w14:textId="77777777" w:rsidR="00025D7F" w:rsidRPr="00025D7F" w:rsidRDefault="00025D7F" w:rsidP="00025D7F">
            <w:pPr>
              <w:tabs>
                <w:tab w:val="right" w:pos="1202"/>
              </w:tabs>
              <w:spacing w:after="0" w:line="240" w:lineRule="auto"/>
              <w:jc w:val="right"/>
              <w:outlineLvl w:val="0"/>
              <w:rPr>
                <w:rFonts w:ascii="Calibri" w:eastAsia="Times New Roman" w:hAnsi="Calibri" w:cs="Arial"/>
                <w:bCs/>
                <w:sz w:val="18"/>
                <w:szCs w:val="18"/>
                <w:lang w:val="en-GB"/>
              </w:rPr>
            </w:pPr>
            <w:r w:rsidRPr="00025D7F">
              <w:rPr>
                <w:rFonts w:ascii="Calibri" w:eastAsia="Times New Roman" w:hAnsi="Calibri" w:cs="Times New Roman"/>
                <w:bCs/>
                <w:color w:val="000000"/>
                <w:sz w:val="18"/>
                <w:szCs w:val="18"/>
                <w:lang w:val="en-GB"/>
              </w:rPr>
              <w:t xml:space="preserve"> 325,103 </w:t>
            </w:r>
          </w:p>
        </w:tc>
        <w:tc>
          <w:tcPr>
            <w:tcW w:w="1134" w:type="dxa"/>
            <w:tcBorders>
              <w:top w:val="nil"/>
              <w:left w:val="nil"/>
              <w:bottom w:val="nil"/>
              <w:right w:val="nil"/>
            </w:tcBorders>
            <w:shd w:val="clear" w:color="auto" w:fill="auto"/>
            <w:vAlign w:val="bottom"/>
          </w:tcPr>
          <w:p w14:paraId="7F839B6B" w14:textId="77777777" w:rsidR="00025D7F" w:rsidRPr="00025D7F" w:rsidRDefault="00025D7F" w:rsidP="00025D7F">
            <w:pPr>
              <w:tabs>
                <w:tab w:val="center" w:pos="4153"/>
                <w:tab w:val="right" w:pos="8306"/>
              </w:tabs>
              <w:spacing w:after="0" w:line="240" w:lineRule="auto"/>
              <w:jc w:val="right"/>
              <w:rPr>
                <w:rFonts w:ascii="Calibri" w:eastAsia="Times New Roman" w:hAnsi="Calibri" w:cs="Arial"/>
                <w:bCs/>
                <w:spacing w:val="-2"/>
                <w:sz w:val="18"/>
                <w:szCs w:val="18"/>
                <w:lang w:val="en-GB"/>
              </w:rPr>
            </w:pPr>
            <w:r w:rsidRPr="00025D7F">
              <w:rPr>
                <w:rFonts w:ascii="Calibri" w:eastAsia="Times New Roman" w:hAnsi="Calibri" w:cs="Times New Roman"/>
                <w:i/>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76EE4D21" w14:textId="77777777" w:rsidR="00025D7F" w:rsidRPr="00025D7F" w:rsidRDefault="00025D7F" w:rsidP="00025D7F">
            <w:pPr>
              <w:tabs>
                <w:tab w:val="right" w:pos="1202"/>
              </w:tabs>
              <w:spacing w:after="0" w:line="240" w:lineRule="auto"/>
              <w:jc w:val="right"/>
              <w:outlineLvl w:val="0"/>
              <w:rPr>
                <w:rFonts w:ascii="Calibri" w:eastAsia="Times New Roman" w:hAnsi="Calibri" w:cs="Arial"/>
                <w:bCs/>
                <w:sz w:val="18"/>
                <w:szCs w:val="18"/>
                <w:lang w:val="en-GB"/>
              </w:rPr>
            </w:pPr>
            <w:r w:rsidRPr="00025D7F">
              <w:rPr>
                <w:rFonts w:ascii="Calibri" w:eastAsia="Times New Roman" w:hAnsi="Calibri" w:cs="Times New Roman"/>
                <w:b/>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2F11F588" w14:textId="77777777" w:rsidR="00025D7F" w:rsidRPr="00025D7F" w:rsidRDefault="00025D7F" w:rsidP="00025D7F">
            <w:pPr>
              <w:tabs>
                <w:tab w:val="right" w:pos="1202"/>
              </w:tabs>
              <w:spacing w:after="0" w:line="240" w:lineRule="auto"/>
              <w:jc w:val="right"/>
              <w:outlineLvl w:val="0"/>
              <w:rPr>
                <w:rFonts w:ascii="Calibri" w:eastAsia="Times New Roman" w:hAnsi="Calibri" w:cs="Arial"/>
                <w:bCs/>
                <w:sz w:val="18"/>
                <w:szCs w:val="18"/>
                <w:lang w:val="en-GB"/>
              </w:rPr>
            </w:pPr>
            <w:r w:rsidRPr="00025D7F">
              <w:rPr>
                <w:rFonts w:ascii="Calibri" w:eastAsia="Times New Roman" w:hAnsi="Calibri" w:cs="Times New Roman"/>
                <w:b/>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5F0536B3" w14:textId="77777777" w:rsidR="00025D7F" w:rsidRPr="00025D7F" w:rsidRDefault="00025D7F" w:rsidP="00025D7F">
            <w:pPr>
              <w:tabs>
                <w:tab w:val="right" w:pos="1263"/>
              </w:tabs>
              <w:spacing w:after="0" w:line="240" w:lineRule="auto"/>
              <w:jc w:val="right"/>
              <w:outlineLvl w:val="0"/>
              <w:rPr>
                <w:rFonts w:ascii="Calibri" w:eastAsia="Times New Roman" w:hAnsi="Calibri" w:cs="Arial"/>
                <w:bCs/>
                <w:sz w:val="18"/>
                <w:szCs w:val="18"/>
                <w:lang w:val="en-GB"/>
              </w:rPr>
            </w:pPr>
            <w:r w:rsidRPr="00025D7F">
              <w:rPr>
                <w:rFonts w:ascii="Calibri" w:eastAsia="Times New Roman" w:hAnsi="Calibri" w:cs="Times New Roman"/>
                <w:b/>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66105820" w14:textId="77777777" w:rsidR="00025D7F" w:rsidRPr="00025D7F" w:rsidRDefault="00025D7F" w:rsidP="00025D7F">
            <w:pPr>
              <w:tabs>
                <w:tab w:val="right" w:pos="1202"/>
              </w:tabs>
              <w:spacing w:after="0" w:line="240" w:lineRule="auto"/>
              <w:jc w:val="right"/>
              <w:outlineLvl w:val="0"/>
              <w:rPr>
                <w:rFonts w:ascii="Calibri" w:eastAsia="Times New Roman" w:hAnsi="Calibri" w:cs="Arial"/>
                <w:bCs/>
                <w:sz w:val="18"/>
                <w:szCs w:val="18"/>
                <w:lang w:val="en-GB"/>
              </w:rPr>
            </w:pPr>
            <w:bookmarkStart w:id="1014" w:name="_Toc67330492"/>
            <w:r w:rsidRPr="00025D7F">
              <w:rPr>
                <w:rFonts w:ascii="Calibri" w:eastAsia="Times New Roman" w:hAnsi="Calibri" w:cs="Times New Roman"/>
                <w:bCs/>
                <w:color w:val="000000"/>
                <w:sz w:val="18"/>
                <w:szCs w:val="18"/>
                <w:lang w:val="en-GB"/>
              </w:rPr>
              <w:t>325,103</w:t>
            </w:r>
            <w:bookmarkEnd w:id="1014"/>
          </w:p>
        </w:tc>
      </w:tr>
      <w:tr w:rsidR="00025D7F" w:rsidRPr="00025D7F" w14:paraId="16902D80" w14:textId="77777777" w:rsidTr="00E44437">
        <w:trPr>
          <w:trHeight w:hRule="exact" w:val="227"/>
          <w:jc w:val="center"/>
        </w:trPr>
        <w:tc>
          <w:tcPr>
            <w:tcW w:w="2982" w:type="dxa"/>
            <w:vAlign w:val="bottom"/>
          </w:tcPr>
          <w:p w14:paraId="703671D3" w14:textId="77777777" w:rsidR="00025D7F" w:rsidRPr="00025D7F" w:rsidRDefault="00025D7F" w:rsidP="00025D7F">
            <w:pPr>
              <w:tabs>
                <w:tab w:val="right" w:pos="1202"/>
              </w:tabs>
              <w:spacing w:after="0" w:line="240" w:lineRule="auto"/>
              <w:outlineLvl w:val="0"/>
              <w:rPr>
                <w:rFonts w:ascii="Calibri" w:eastAsia="Times New Roman" w:hAnsi="Calibri" w:cs="Arial"/>
                <w:bCs/>
                <w:sz w:val="18"/>
                <w:szCs w:val="18"/>
                <w:lang w:val="en-GB"/>
              </w:rPr>
            </w:pPr>
            <w:r w:rsidRPr="00025D7F">
              <w:rPr>
                <w:rFonts w:ascii="Calibri" w:eastAsia="Times New Roman" w:hAnsi="Calibri" w:cs="Arial"/>
                <w:spacing w:val="-2"/>
                <w:sz w:val="18"/>
                <w:szCs w:val="18"/>
                <w:lang w:val="en-GB"/>
              </w:rPr>
              <w:t>Undrawn loans</w:t>
            </w:r>
          </w:p>
        </w:tc>
        <w:tc>
          <w:tcPr>
            <w:tcW w:w="991" w:type="dxa"/>
            <w:tcBorders>
              <w:top w:val="nil"/>
              <w:left w:val="nil"/>
              <w:bottom w:val="nil"/>
              <w:right w:val="nil"/>
            </w:tcBorders>
            <w:shd w:val="clear" w:color="auto" w:fill="auto"/>
            <w:vAlign w:val="bottom"/>
          </w:tcPr>
          <w:p w14:paraId="73B995D3" w14:textId="77777777" w:rsidR="00025D7F" w:rsidRPr="00025D7F" w:rsidRDefault="00025D7F" w:rsidP="00025D7F">
            <w:pPr>
              <w:spacing w:after="0" w:line="240" w:lineRule="auto"/>
              <w:jc w:val="right"/>
              <w:outlineLvl w:val="0"/>
              <w:rPr>
                <w:rFonts w:ascii="Calibri" w:eastAsia="Times New Roman" w:hAnsi="Calibri" w:cs="Arial"/>
                <w:bCs/>
                <w:spacing w:val="-2"/>
                <w:sz w:val="18"/>
                <w:szCs w:val="18"/>
                <w:lang w:val="en-GB"/>
              </w:rPr>
            </w:pPr>
            <w:r w:rsidRPr="00025D7F">
              <w:rPr>
                <w:rFonts w:ascii="Calibri" w:eastAsia="Times New Roman" w:hAnsi="Calibri" w:cs="Times New Roman"/>
                <w:color w:val="000000"/>
                <w:sz w:val="18"/>
                <w:szCs w:val="18"/>
                <w:lang w:val="en-GB"/>
              </w:rPr>
              <w:t xml:space="preserve">3,492,038 </w:t>
            </w:r>
          </w:p>
        </w:tc>
        <w:tc>
          <w:tcPr>
            <w:tcW w:w="1134" w:type="dxa"/>
            <w:tcBorders>
              <w:top w:val="nil"/>
              <w:left w:val="nil"/>
              <w:bottom w:val="nil"/>
              <w:right w:val="nil"/>
            </w:tcBorders>
            <w:shd w:val="clear" w:color="auto" w:fill="auto"/>
            <w:vAlign w:val="bottom"/>
          </w:tcPr>
          <w:p w14:paraId="31B5A854" w14:textId="77777777" w:rsidR="00025D7F" w:rsidRPr="00025D7F" w:rsidRDefault="00025D7F" w:rsidP="00025D7F">
            <w:pPr>
              <w:spacing w:after="0" w:line="240" w:lineRule="auto"/>
              <w:jc w:val="right"/>
              <w:outlineLvl w:val="0"/>
              <w:rPr>
                <w:rFonts w:ascii="Calibri" w:eastAsia="Times New Roman" w:hAnsi="Calibri" w:cs="Arial"/>
                <w:bCs/>
                <w:spacing w:val="-2"/>
                <w:sz w:val="18"/>
                <w:szCs w:val="18"/>
                <w:lang w:val="en-GB"/>
              </w:rPr>
            </w:pPr>
            <w:r w:rsidRPr="00025D7F">
              <w:rPr>
                <w:rFonts w:ascii="Calibri" w:eastAsia="Times New Roman" w:hAnsi="Calibri" w:cs="Times New Roman"/>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21076EEA" w14:textId="77777777" w:rsidR="00025D7F" w:rsidRPr="00025D7F" w:rsidRDefault="00025D7F" w:rsidP="00025D7F">
            <w:pPr>
              <w:spacing w:after="0" w:line="240" w:lineRule="auto"/>
              <w:jc w:val="right"/>
              <w:outlineLvl w:val="0"/>
              <w:rPr>
                <w:rFonts w:ascii="Calibri" w:eastAsia="Times New Roman" w:hAnsi="Calibri" w:cs="Arial"/>
                <w:bCs/>
                <w:spacing w:val="-2"/>
                <w:sz w:val="18"/>
                <w:szCs w:val="18"/>
                <w:lang w:val="en-GB"/>
              </w:rPr>
            </w:pPr>
            <w:r w:rsidRPr="00025D7F">
              <w:rPr>
                <w:rFonts w:ascii="Calibri" w:eastAsia="Times New Roman" w:hAnsi="Calibri" w:cs="Times New Roman"/>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3536DD07" w14:textId="77777777" w:rsidR="00025D7F" w:rsidRPr="00025D7F" w:rsidRDefault="00025D7F" w:rsidP="00025D7F">
            <w:pPr>
              <w:spacing w:after="0" w:line="240" w:lineRule="auto"/>
              <w:jc w:val="right"/>
              <w:outlineLvl w:val="0"/>
              <w:rPr>
                <w:rFonts w:ascii="Calibri" w:eastAsia="Times New Roman" w:hAnsi="Calibri" w:cs="Arial"/>
                <w:bCs/>
                <w:spacing w:val="-2"/>
                <w:sz w:val="18"/>
                <w:szCs w:val="18"/>
                <w:lang w:val="en-GB"/>
              </w:rPr>
            </w:pPr>
            <w:r w:rsidRPr="00025D7F">
              <w:rPr>
                <w:rFonts w:ascii="Calibri" w:eastAsia="Times New Roman" w:hAnsi="Calibri" w:cs="Times New Roman"/>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14CA1D1A" w14:textId="77777777" w:rsidR="00025D7F" w:rsidRPr="00025D7F" w:rsidRDefault="00025D7F" w:rsidP="00025D7F">
            <w:pPr>
              <w:tabs>
                <w:tab w:val="right" w:pos="1263"/>
              </w:tabs>
              <w:spacing w:after="0" w:line="240" w:lineRule="auto"/>
              <w:jc w:val="right"/>
              <w:outlineLvl w:val="0"/>
              <w:rPr>
                <w:rFonts w:ascii="Calibri" w:eastAsia="Times New Roman" w:hAnsi="Calibri" w:cs="Arial"/>
                <w:bCs/>
                <w:spacing w:val="-2"/>
                <w:sz w:val="18"/>
                <w:szCs w:val="18"/>
                <w:lang w:val="en-GB"/>
              </w:rPr>
            </w:pPr>
            <w:r w:rsidRPr="00025D7F">
              <w:rPr>
                <w:rFonts w:ascii="Calibri" w:eastAsia="Times New Roman" w:hAnsi="Calibri" w:cs="Times New Roman"/>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28CB33D5" w14:textId="77777777" w:rsidR="00025D7F" w:rsidRPr="00025D7F" w:rsidRDefault="00025D7F" w:rsidP="00025D7F">
            <w:pPr>
              <w:spacing w:after="0" w:line="240" w:lineRule="auto"/>
              <w:jc w:val="right"/>
              <w:outlineLvl w:val="0"/>
              <w:rPr>
                <w:rFonts w:ascii="Calibri" w:eastAsia="Times New Roman" w:hAnsi="Calibri" w:cs="Arial"/>
                <w:bCs/>
                <w:sz w:val="18"/>
                <w:szCs w:val="18"/>
                <w:lang w:val="en-GB"/>
              </w:rPr>
            </w:pPr>
            <w:bookmarkStart w:id="1015" w:name="_Toc67330498"/>
            <w:r w:rsidRPr="00025D7F">
              <w:rPr>
                <w:rFonts w:ascii="Calibri" w:eastAsia="Times New Roman" w:hAnsi="Calibri" w:cs="Times New Roman"/>
                <w:color w:val="000000"/>
                <w:sz w:val="18"/>
                <w:szCs w:val="18"/>
                <w:lang w:val="en-GB"/>
              </w:rPr>
              <w:t>3,492,038</w:t>
            </w:r>
            <w:bookmarkEnd w:id="1015"/>
          </w:p>
        </w:tc>
      </w:tr>
      <w:tr w:rsidR="00025D7F" w:rsidRPr="00025D7F" w14:paraId="2F0B9946" w14:textId="77777777" w:rsidTr="00E44437">
        <w:trPr>
          <w:trHeight w:hRule="exact" w:val="227"/>
          <w:jc w:val="center"/>
        </w:trPr>
        <w:tc>
          <w:tcPr>
            <w:tcW w:w="2982" w:type="dxa"/>
            <w:vAlign w:val="bottom"/>
          </w:tcPr>
          <w:p w14:paraId="342E470A" w14:textId="77777777" w:rsidR="00025D7F" w:rsidRPr="00025D7F" w:rsidRDefault="00025D7F" w:rsidP="00025D7F">
            <w:pPr>
              <w:tabs>
                <w:tab w:val="left" w:pos="-720"/>
              </w:tabs>
              <w:suppressAutoHyphens/>
              <w:spacing w:after="0" w:line="240" w:lineRule="auto"/>
              <w:rPr>
                <w:rFonts w:ascii="Calibri" w:eastAsia="Times New Roman" w:hAnsi="Calibri" w:cs="Arial"/>
                <w:spacing w:val="-2"/>
                <w:sz w:val="18"/>
                <w:szCs w:val="18"/>
                <w:lang w:val="en-US"/>
              </w:rPr>
            </w:pPr>
            <w:r w:rsidRPr="00025D7F">
              <w:rPr>
                <w:rFonts w:ascii="Calibri" w:eastAsia="Times New Roman" w:hAnsi="Calibri" w:cs="Arial"/>
                <w:spacing w:val="-2"/>
                <w:sz w:val="18"/>
                <w:szCs w:val="18"/>
                <w:lang w:val="en-US"/>
              </w:rPr>
              <w:t>EIF – subscribed, not called up capital</w:t>
            </w:r>
          </w:p>
        </w:tc>
        <w:tc>
          <w:tcPr>
            <w:tcW w:w="991" w:type="dxa"/>
            <w:tcBorders>
              <w:top w:val="nil"/>
              <w:left w:val="nil"/>
              <w:bottom w:val="nil"/>
              <w:right w:val="nil"/>
            </w:tcBorders>
            <w:shd w:val="clear" w:color="auto" w:fill="auto"/>
            <w:vAlign w:val="bottom"/>
          </w:tcPr>
          <w:p w14:paraId="6E6825AB" w14:textId="77777777" w:rsidR="00025D7F" w:rsidRPr="00025D7F" w:rsidRDefault="00025D7F" w:rsidP="00025D7F">
            <w:pPr>
              <w:spacing w:after="0" w:line="240" w:lineRule="auto"/>
              <w:jc w:val="right"/>
              <w:outlineLvl w:val="0"/>
              <w:rPr>
                <w:rFonts w:ascii="Calibri" w:eastAsia="Times New Roman" w:hAnsi="Calibri" w:cs="Calibri"/>
                <w:bCs/>
                <w:color w:val="000000"/>
                <w:sz w:val="18"/>
                <w:szCs w:val="18"/>
                <w:lang w:val="en-GB"/>
              </w:rPr>
            </w:pPr>
            <w:r w:rsidRPr="00025D7F">
              <w:rPr>
                <w:rFonts w:ascii="Calibri" w:eastAsia="Times New Roman" w:hAnsi="Calibri" w:cs="Times New Roman"/>
                <w:color w:val="000000"/>
                <w:sz w:val="18"/>
                <w:szCs w:val="18"/>
                <w:lang w:val="en-GB"/>
              </w:rPr>
              <w:t xml:space="preserve"> 78,179 </w:t>
            </w:r>
          </w:p>
        </w:tc>
        <w:tc>
          <w:tcPr>
            <w:tcW w:w="1134" w:type="dxa"/>
            <w:tcBorders>
              <w:top w:val="nil"/>
              <w:left w:val="nil"/>
              <w:bottom w:val="nil"/>
              <w:right w:val="nil"/>
            </w:tcBorders>
            <w:shd w:val="clear" w:color="auto" w:fill="auto"/>
            <w:vAlign w:val="bottom"/>
          </w:tcPr>
          <w:p w14:paraId="2C7A0590" w14:textId="77777777" w:rsidR="00025D7F" w:rsidRPr="00025D7F" w:rsidRDefault="00025D7F" w:rsidP="00025D7F">
            <w:pPr>
              <w:spacing w:after="0" w:line="240" w:lineRule="auto"/>
              <w:jc w:val="right"/>
              <w:outlineLvl w:val="0"/>
              <w:rPr>
                <w:rFonts w:ascii="Calibri" w:eastAsia="Times New Roman" w:hAnsi="Calibri" w:cs="Calibri"/>
                <w:bCs/>
                <w:color w:val="000000"/>
                <w:sz w:val="18"/>
                <w:szCs w:val="18"/>
                <w:lang w:val="en-GB"/>
              </w:rPr>
            </w:pPr>
            <w:r w:rsidRPr="00025D7F">
              <w:rPr>
                <w:rFonts w:ascii="Calibri" w:eastAsia="Times New Roman" w:hAnsi="Calibri" w:cs="Times New Roman"/>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60342347" w14:textId="77777777" w:rsidR="00025D7F" w:rsidRPr="00025D7F" w:rsidRDefault="00025D7F" w:rsidP="00025D7F">
            <w:pPr>
              <w:spacing w:after="0" w:line="240" w:lineRule="auto"/>
              <w:jc w:val="right"/>
              <w:outlineLvl w:val="0"/>
              <w:rPr>
                <w:rFonts w:ascii="Calibri" w:eastAsia="Times New Roman" w:hAnsi="Calibri" w:cs="Calibri"/>
                <w:bCs/>
                <w:color w:val="000000"/>
                <w:sz w:val="18"/>
                <w:szCs w:val="18"/>
                <w:lang w:val="en-GB"/>
              </w:rPr>
            </w:pPr>
            <w:r w:rsidRPr="00025D7F">
              <w:rPr>
                <w:rFonts w:ascii="Calibri" w:eastAsia="Times New Roman" w:hAnsi="Calibri" w:cs="Times New Roman"/>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4B3A3CF3" w14:textId="77777777" w:rsidR="00025D7F" w:rsidRPr="00025D7F" w:rsidRDefault="00025D7F" w:rsidP="00025D7F">
            <w:pPr>
              <w:spacing w:after="0" w:line="240" w:lineRule="auto"/>
              <w:jc w:val="right"/>
              <w:outlineLvl w:val="0"/>
              <w:rPr>
                <w:rFonts w:ascii="Calibri" w:eastAsia="Times New Roman" w:hAnsi="Calibri" w:cs="Calibri"/>
                <w:bCs/>
                <w:color w:val="000000"/>
                <w:sz w:val="18"/>
                <w:szCs w:val="18"/>
                <w:lang w:val="en-GB"/>
              </w:rPr>
            </w:pPr>
            <w:r w:rsidRPr="00025D7F">
              <w:rPr>
                <w:rFonts w:ascii="Calibri" w:eastAsia="Times New Roman" w:hAnsi="Calibri" w:cs="Times New Roman"/>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14410E2C" w14:textId="77777777" w:rsidR="00025D7F" w:rsidRPr="00025D7F" w:rsidRDefault="00025D7F" w:rsidP="00025D7F">
            <w:pPr>
              <w:tabs>
                <w:tab w:val="right" w:pos="1263"/>
              </w:tabs>
              <w:spacing w:after="0" w:line="240" w:lineRule="auto"/>
              <w:jc w:val="right"/>
              <w:outlineLvl w:val="0"/>
              <w:rPr>
                <w:rFonts w:ascii="Calibri" w:eastAsia="Times New Roman" w:hAnsi="Calibri" w:cs="Calibri"/>
                <w:bCs/>
                <w:color w:val="000000"/>
                <w:sz w:val="18"/>
                <w:szCs w:val="18"/>
                <w:lang w:val="en-GB"/>
              </w:rPr>
            </w:pPr>
            <w:r w:rsidRPr="00025D7F">
              <w:rPr>
                <w:rFonts w:ascii="Calibri" w:eastAsia="Times New Roman" w:hAnsi="Calibri" w:cs="Times New Roman"/>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1EC963EF" w14:textId="77777777" w:rsidR="00025D7F" w:rsidRPr="00025D7F" w:rsidRDefault="00025D7F" w:rsidP="00025D7F">
            <w:pPr>
              <w:spacing w:after="0" w:line="240" w:lineRule="auto"/>
              <w:jc w:val="right"/>
              <w:outlineLvl w:val="0"/>
              <w:rPr>
                <w:rFonts w:ascii="Calibri" w:eastAsia="Times New Roman" w:hAnsi="Calibri" w:cs="Calibri"/>
                <w:color w:val="000000"/>
                <w:sz w:val="18"/>
                <w:szCs w:val="18"/>
                <w:lang w:val="en-GB"/>
              </w:rPr>
            </w:pPr>
            <w:bookmarkStart w:id="1016" w:name="_Toc67330501"/>
            <w:r w:rsidRPr="00025D7F">
              <w:rPr>
                <w:rFonts w:ascii="Calibri" w:eastAsia="Times New Roman" w:hAnsi="Calibri" w:cs="Times New Roman"/>
                <w:color w:val="000000"/>
                <w:sz w:val="18"/>
                <w:szCs w:val="18"/>
                <w:lang w:val="en-GB"/>
              </w:rPr>
              <w:t>78,179</w:t>
            </w:r>
            <w:bookmarkEnd w:id="1016"/>
          </w:p>
        </w:tc>
      </w:tr>
      <w:tr w:rsidR="00025D7F" w:rsidRPr="00025D7F" w14:paraId="3E9E99E3" w14:textId="77777777" w:rsidTr="00E44437">
        <w:trPr>
          <w:trHeight w:hRule="exact" w:val="227"/>
          <w:jc w:val="center"/>
        </w:trPr>
        <w:tc>
          <w:tcPr>
            <w:tcW w:w="2982" w:type="dxa"/>
            <w:tcBorders>
              <w:top w:val="nil"/>
              <w:left w:val="nil"/>
              <w:bottom w:val="nil"/>
              <w:right w:val="nil"/>
            </w:tcBorders>
            <w:shd w:val="clear" w:color="auto" w:fill="auto"/>
            <w:vAlign w:val="bottom"/>
          </w:tcPr>
          <w:p w14:paraId="6B03D6E9" w14:textId="77777777" w:rsidR="00025D7F" w:rsidRPr="00025D7F" w:rsidRDefault="00025D7F" w:rsidP="00025D7F">
            <w:pPr>
              <w:tabs>
                <w:tab w:val="left" w:pos="-720"/>
              </w:tabs>
              <w:suppressAutoHyphens/>
              <w:spacing w:after="0" w:line="240" w:lineRule="auto"/>
              <w:rPr>
                <w:rFonts w:ascii="Calibri" w:eastAsia="Times New Roman" w:hAnsi="Calibri" w:cs="Arial"/>
                <w:spacing w:val="-2"/>
                <w:sz w:val="18"/>
                <w:szCs w:val="18"/>
                <w:lang w:val="en-US"/>
              </w:rPr>
            </w:pPr>
            <w:r w:rsidRPr="00025D7F">
              <w:rPr>
                <w:rFonts w:ascii="Calibri" w:eastAsia="Times New Roman" w:hAnsi="Calibri" w:cs="Calibri"/>
                <w:color w:val="000000"/>
                <w:sz w:val="18"/>
                <w:szCs w:val="18"/>
                <w:lang w:val="en-GB"/>
              </w:rPr>
              <w:t>EIF CROGIP Contracted Liability</w:t>
            </w:r>
          </w:p>
        </w:tc>
        <w:tc>
          <w:tcPr>
            <w:tcW w:w="991" w:type="dxa"/>
            <w:tcBorders>
              <w:top w:val="nil"/>
              <w:left w:val="nil"/>
              <w:bottom w:val="nil"/>
              <w:right w:val="nil"/>
            </w:tcBorders>
            <w:shd w:val="clear" w:color="auto" w:fill="auto"/>
            <w:vAlign w:val="bottom"/>
          </w:tcPr>
          <w:p w14:paraId="0D58A999" w14:textId="77777777" w:rsidR="00025D7F" w:rsidRPr="00025D7F" w:rsidRDefault="00025D7F" w:rsidP="00025D7F">
            <w:pPr>
              <w:spacing w:after="0" w:line="240" w:lineRule="auto"/>
              <w:jc w:val="right"/>
              <w:outlineLvl w:val="0"/>
              <w:rPr>
                <w:rFonts w:ascii="Calibri" w:eastAsia="Times New Roman" w:hAnsi="Calibri" w:cs="Times New Roman"/>
                <w:bCs/>
                <w:color w:val="000000"/>
                <w:sz w:val="18"/>
                <w:szCs w:val="18"/>
                <w:lang w:val="en-GB"/>
              </w:rPr>
            </w:pPr>
            <w:r w:rsidRPr="00025D7F">
              <w:rPr>
                <w:rFonts w:ascii="Calibri" w:eastAsia="Times New Roman" w:hAnsi="Calibri" w:cs="Times New Roman"/>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1D6F1D4A" w14:textId="77777777" w:rsidR="00025D7F" w:rsidRPr="00025D7F" w:rsidRDefault="00025D7F" w:rsidP="00025D7F">
            <w:pPr>
              <w:spacing w:after="0" w:line="240" w:lineRule="auto"/>
              <w:jc w:val="right"/>
              <w:outlineLvl w:val="0"/>
              <w:rPr>
                <w:rFonts w:ascii="Calibri" w:eastAsia="Times New Roman" w:hAnsi="Calibri" w:cs="Calibri"/>
                <w:bCs/>
                <w:color w:val="000000"/>
                <w:sz w:val="18"/>
                <w:szCs w:val="18"/>
                <w:lang w:val="en-GB"/>
              </w:rPr>
            </w:pPr>
            <w:r w:rsidRPr="00025D7F">
              <w:rPr>
                <w:rFonts w:ascii="Calibri" w:eastAsia="Times New Roman" w:hAnsi="Calibri" w:cs="Times New Roman"/>
                <w:color w:val="000000"/>
                <w:sz w:val="18"/>
                <w:szCs w:val="18"/>
                <w:lang w:val="en-GB"/>
              </w:rPr>
              <w:t xml:space="preserve">12,616 </w:t>
            </w:r>
          </w:p>
        </w:tc>
        <w:tc>
          <w:tcPr>
            <w:tcW w:w="1134" w:type="dxa"/>
            <w:tcBorders>
              <w:top w:val="nil"/>
              <w:left w:val="nil"/>
              <w:bottom w:val="nil"/>
              <w:right w:val="nil"/>
            </w:tcBorders>
            <w:shd w:val="clear" w:color="auto" w:fill="auto"/>
            <w:vAlign w:val="bottom"/>
          </w:tcPr>
          <w:p w14:paraId="4AC35708" w14:textId="77777777" w:rsidR="00025D7F" w:rsidRPr="00025D7F" w:rsidRDefault="00025D7F" w:rsidP="00025D7F">
            <w:pPr>
              <w:spacing w:after="0" w:line="240" w:lineRule="auto"/>
              <w:jc w:val="right"/>
              <w:outlineLvl w:val="0"/>
              <w:rPr>
                <w:rFonts w:ascii="Calibri" w:eastAsia="Times New Roman" w:hAnsi="Calibri" w:cs="Calibri"/>
                <w:bCs/>
                <w:color w:val="000000"/>
                <w:sz w:val="18"/>
                <w:szCs w:val="18"/>
                <w:lang w:val="en-GB"/>
              </w:rPr>
            </w:pPr>
            <w:r w:rsidRPr="00025D7F">
              <w:rPr>
                <w:rFonts w:ascii="Calibri" w:eastAsia="Times New Roman" w:hAnsi="Calibri" w:cs="Times New Roman"/>
                <w:color w:val="000000"/>
                <w:sz w:val="18"/>
                <w:szCs w:val="18"/>
                <w:lang w:val="en-GB"/>
              </w:rPr>
              <w:t xml:space="preserve"> 56,771 </w:t>
            </w:r>
          </w:p>
        </w:tc>
        <w:tc>
          <w:tcPr>
            <w:tcW w:w="1134" w:type="dxa"/>
            <w:tcBorders>
              <w:top w:val="nil"/>
              <w:left w:val="nil"/>
              <w:bottom w:val="nil"/>
              <w:right w:val="nil"/>
            </w:tcBorders>
            <w:shd w:val="clear" w:color="auto" w:fill="auto"/>
            <w:vAlign w:val="bottom"/>
          </w:tcPr>
          <w:p w14:paraId="42EE9BC2" w14:textId="77777777" w:rsidR="00025D7F" w:rsidRPr="00025D7F" w:rsidRDefault="00025D7F" w:rsidP="00025D7F">
            <w:pPr>
              <w:spacing w:after="0" w:line="240" w:lineRule="auto"/>
              <w:jc w:val="right"/>
              <w:outlineLvl w:val="0"/>
              <w:rPr>
                <w:rFonts w:ascii="Calibri" w:eastAsia="Times New Roman" w:hAnsi="Calibri" w:cs="Calibri"/>
                <w:bCs/>
                <w:color w:val="000000"/>
                <w:sz w:val="18"/>
                <w:szCs w:val="18"/>
                <w:lang w:val="en-GB"/>
              </w:rPr>
            </w:pPr>
            <w:r w:rsidRPr="00025D7F">
              <w:rPr>
                <w:rFonts w:ascii="Calibri" w:eastAsia="Times New Roman" w:hAnsi="Calibri" w:cs="Times New Roman"/>
                <w:color w:val="000000"/>
                <w:sz w:val="18"/>
                <w:szCs w:val="18"/>
                <w:lang w:val="en-GB"/>
              </w:rPr>
              <w:t xml:space="preserve"> 112,664 </w:t>
            </w:r>
          </w:p>
        </w:tc>
        <w:tc>
          <w:tcPr>
            <w:tcW w:w="1134" w:type="dxa"/>
            <w:tcBorders>
              <w:top w:val="nil"/>
              <w:left w:val="nil"/>
              <w:bottom w:val="nil"/>
              <w:right w:val="nil"/>
            </w:tcBorders>
            <w:shd w:val="clear" w:color="auto" w:fill="auto"/>
            <w:vAlign w:val="bottom"/>
          </w:tcPr>
          <w:p w14:paraId="56DA30C0" w14:textId="77777777" w:rsidR="00025D7F" w:rsidRPr="00025D7F" w:rsidRDefault="00025D7F" w:rsidP="00025D7F">
            <w:pPr>
              <w:tabs>
                <w:tab w:val="right" w:pos="1263"/>
              </w:tabs>
              <w:spacing w:after="0" w:line="240" w:lineRule="auto"/>
              <w:jc w:val="right"/>
              <w:outlineLvl w:val="0"/>
              <w:rPr>
                <w:rFonts w:ascii="Calibri" w:eastAsia="Times New Roman" w:hAnsi="Calibri" w:cs="Calibri"/>
                <w:bCs/>
                <w:color w:val="000000"/>
                <w:sz w:val="18"/>
                <w:szCs w:val="18"/>
                <w:lang w:val="en-GB"/>
              </w:rPr>
            </w:pPr>
            <w:r w:rsidRPr="00025D7F">
              <w:rPr>
                <w:rFonts w:ascii="Calibri" w:eastAsia="Times New Roman" w:hAnsi="Calibri" w:cs="Times New Roman"/>
                <w:color w:val="000000"/>
                <w:sz w:val="18"/>
                <w:szCs w:val="18"/>
                <w:lang w:val="en-GB"/>
              </w:rPr>
              <w:t xml:space="preserve"> 130,438 </w:t>
            </w:r>
          </w:p>
        </w:tc>
        <w:tc>
          <w:tcPr>
            <w:tcW w:w="1134" w:type="dxa"/>
            <w:tcBorders>
              <w:top w:val="nil"/>
              <w:left w:val="nil"/>
              <w:bottom w:val="nil"/>
              <w:right w:val="nil"/>
            </w:tcBorders>
            <w:shd w:val="clear" w:color="auto" w:fill="auto"/>
            <w:vAlign w:val="bottom"/>
          </w:tcPr>
          <w:p w14:paraId="0B8D1656" w14:textId="77777777" w:rsidR="00025D7F" w:rsidRPr="00025D7F" w:rsidRDefault="00025D7F" w:rsidP="00025D7F">
            <w:pPr>
              <w:spacing w:after="0" w:line="240" w:lineRule="auto"/>
              <w:jc w:val="right"/>
              <w:outlineLvl w:val="0"/>
              <w:rPr>
                <w:rFonts w:ascii="Calibri" w:eastAsia="Times New Roman" w:hAnsi="Calibri" w:cs="Times New Roman"/>
                <w:color w:val="000000"/>
                <w:sz w:val="18"/>
                <w:szCs w:val="18"/>
                <w:lang w:val="en-GB"/>
              </w:rPr>
            </w:pPr>
            <w:bookmarkStart w:id="1017" w:name="_Toc67330504"/>
            <w:r w:rsidRPr="00025D7F">
              <w:rPr>
                <w:rFonts w:ascii="Calibri" w:eastAsia="Times New Roman" w:hAnsi="Calibri" w:cs="Times New Roman"/>
                <w:color w:val="000000"/>
                <w:sz w:val="18"/>
                <w:szCs w:val="18"/>
                <w:lang w:val="en-GB"/>
              </w:rPr>
              <w:t>312,489</w:t>
            </w:r>
            <w:bookmarkEnd w:id="1017"/>
          </w:p>
        </w:tc>
      </w:tr>
      <w:tr w:rsidR="00025D7F" w:rsidRPr="00025D7F" w14:paraId="2A437C32" w14:textId="77777777" w:rsidTr="00E44437">
        <w:trPr>
          <w:trHeight w:hRule="exact" w:val="227"/>
          <w:jc w:val="center"/>
        </w:trPr>
        <w:tc>
          <w:tcPr>
            <w:tcW w:w="2982" w:type="dxa"/>
            <w:tcBorders>
              <w:top w:val="nil"/>
              <w:left w:val="nil"/>
              <w:bottom w:val="nil"/>
              <w:right w:val="nil"/>
            </w:tcBorders>
            <w:shd w:val="clear" w:color="auto" w:fill="auto"/>
            <w:vAlign w:val="bottom"/>
          </w:tcPr>
          <w:p w14:paraId="65827F97" w14:textId="77777777" w:rsidR="00025D7F" w:rsidRPr="00025D7F" w:rsidRDefault="00025D7F" w:rsidP="00025D7F">
            <w:pPr>
              <w:tabs>
                <w:tab w:val="left" w:pos="-720"/>
              </w:tabs>
              <w:suppressAutoHyphens/>
              <w:spacing w:after="0" w:line="240" w:lineRule="auto"/>
              <w:rPr>
                <w:rFonts w:ascii="Calibri" w:eastAsia="Times New Roman" w:hAnsi="Calibri" w:cs="Arial"/>
                <w:spacing w:val="-2"/>
                <w:sz w:val="18"/>
                <w:szCs w:val="18"/>
                <w:lang w:val="en-US"/>
              </w:rPr>
            </w:pPr>
            <w:r w:rsidRPr="00025D7F">
              <w:rPr>
                <w:rFonts w:ascii="Calibri" w:eastAsia="Times New Roman" w:hAnsi="Calibri" w:cs="Calibri"/>
                <w:color w:val="000000"/>
                <w:sz w:val="18"/>
                <w:szCs w:val="18"/>
                <w:lang w:val="en-GB"/>
              </w:rPr>
              <w:t>EIF FRC2 Contracted Liability</w:t>
            </w:r>
          </w:p>
        </w:tc>
        <w:tc>
          <w:tcPr>
            <w:tcW w:w="991" w:type="dxa"/>
            <w:tcBorders>
              <w:top w:val="nil"/>
              <w:left w:val="nil"/>
              <w:bottom w:val="single" w:sz="8" w:space="0" w:color="auto"/>
              <w:right w:val="nil"/>
            </w:tcBorders>
            <w:shd w:val="clear" w:color="auto" w:fill="auto"/>
            <w:vAlign w:val="bottom"/>
          </w:tcPr>
          <w:p w14:paraId="5A65B3CC" w14:textId="77777777" w:rsidR="00025D7F" w:rsidRPr="00025D7F" w:rsidRDefault="00025D7F" w:rsidP="00025D7F">
            <w:pPr>
              <w:spacing w:after="0" w:line="240" w:lineRule="auto"/>
              <w:jc w:val="right"/>
              <w:outlineLvl w:val="0"/>
              <w:rPr>
                <w:rFonts w:ascii="Calibri" w:eastAsia="Times New Roman" w:hAnsi="Calibri" w:cs="Times New Roman"/>
                <w:bCs/>
                <w:color w:val="000000"/>
                <w:sz w:val="18"/>
                <w:szCs w:val="18"/>
                <w:lang w:val="en-GB"/>
              </w:rPr>
            </w:pPr>
            <w:r w:rsidRPr="00025D7F">
              <w:rPr>
                <w:rFonts w:ascii="Calibri" w:eastAsia="Times New Roman" w:hAnsi="Calibri" w:cs="Times New Roman"/>
                <w:color w:val="000000"/>
                <w:sz w:val="18"/>
                <w:szCs w:val="18"/>
                <w:lang w:val="en-GB"/>
              </w:rPr>
              <w:t xml:space="preserve"> 678 </w:t>
            </w:r>
          </w:p>
        </w:tc>
        <w:tc>
          <w:tcPr>
            <w:tcW w:w="1134" w:type="dxa"/>
            <w:tcBorders>
              <w:top w:val="nil"/>
              <w:left w:val="nil"/>
              <w:bottom w:val="single" w:sz="8" w:space="0" w:color="auto"/>
              <w:right w:val="nil"/>
            </w:tcBorders>
            <w:shd w:val="clear" w:color="auto" w:fill="auto"/>
            <w:vAlign w:val="bottom"/>
          </w:tcPr>
          <w:p w14:paraId="0AAF8130" w14:textId="77777777" w:rsidR="00025D7F" w:rsidRPr="00025D7F" w:rsidRDefault="00025D7F" w:rsidP="00025D7F">
            <w:pPr>
              <w:spacing w:after="0" w:line="240" w:lineRule="auto"/>
              <w:jc w:val="right"/>
              <w:outlineLvl w:val="0"/>
              <w:rPr>
                <w:rFonts w:ascii="Calibri" w:eastAsia="Times New Roman" w:hAnsi="Calibri" w:cs="Calibri"/>
                <w:bCs/>
                <w:color w:val="000000"/>
                <w:sz w:val="18"/>
                <w:szCs w:val="18"/>
                <w:lang w:val="en-GB"/>
              </w:rPr>
            </w:pPr>
            <w:r w:rsidRPr="00025D7F">
              <w:rPr>
                <w:rFonts w:ascii="Calibri" w:eastAsia="Times New Roman" w:hAnsi="Calibri" w:cs="Times New Roman"/>
                <w:color w:val="000000"/>
                <w:sz w:val="18"/>
                <w:szCs w:val="18"/>
                <w:lang w:val="en-GB"/>
              </w:rPr>
              <w:t xml:space="preserve"> 532 </w:t>
            </w:r>
          </w:p>
        </w:tc>
        <w:tc>
          <w:tcPr>
            <w:tcW w:w="1134" w:type="dxa"/>
            <w:tcBorders>
              <w:top w:val="nil"/>
              <w:left w:val="nil"/>
              <w:bottom w:val="single" w:sz="8" w:space="0" w:color="auto"/>
              <w:right w:val="nil"/>
            </w:tcBorders>
            <w:shd w:val="clear" w:color="auto" w:fill="auto"/>
            <w:vAlign w:val="bottom"/>
          </w:tcPr>
          <w:p w14:paraId="09FBCD62" w14:textId="77777777" w:rsidR="00025D7F" w:rsidRPr="00025D7F" w:rsidRDefault="00025D7F" w:rsidP="00025D7F">
            <w:pPr>
              <w:spacing w:after="0" w:line="240" w:lineRule="auto"/>
              <w:jc w:val="right"/>
              <w:outlineLvl w:val="0"/>
              <w:rPr>
                <w:rFonts w:ascii="Calibri" w:eastAsia="Times New Roman" w:hAnsi="Calibri" w:cs="Calibri"/>
                <w:bCs/>
                <w:color w:val="000000"/>
                <w:sz w:val="18"/>
                <w:szCs w:val="18"/>
                <w:lang w:val="en-GB"/>
              </w:rPr>
            </w:pPr>
            <w:r w:rsidRPr="00025D7F">
              <w:rPr>
                <w:rFonts w:ascii="Calibri" w:eastAsia="Times New Roman" w:hAnsi="Calibri" w:cs="Times New Roman"/>
                <w:color w:val="000000"/>
                <w:sz w:val="18"/>
                <w:szCs w:val="18"/>
                <w:lang w:val="en-GB"/>
              </w:rPr>
              <w:t xml:space="preserve">2,393 </w:t>
            </w:r>
          </w:p>
        </w:tc>
        <w:tc>
          <w:tcPr>
            <w:tcW w:w="1134" w:type="dxa"/>
            <w:tcBorders>
              <w:top w:val="nil"/>
              <w:left w:val="nil"/>
              <w:bottom w:val="single" w:sz="8" w:space="0" w:color="auto"/>
              <w:right w:val="nil"/>
            </w:tcBorders>
            <w:shd w:val="clear" w:color="auto" w:fill="auto"/>
            <w:vAlign w:val="bottom"/>
          </w:tcPr>
          <w:p w14:paraId="1C02CBE5" w14:textId="77777777" w:rsidR="00025D7F" w:rsidRPr="00025D7F" w:rsidRDefault="00025D7F" w:rsidP="00025D7F">
            <w:pPr>
              <w:spacing w:after="0" w:line="240" w:lineRule="auto"/>
              <w:jc w:val="right"/>
              <w:outlineLvl w:val="0"/>
              <w:rPr>
                <w:rFonts w:ascii="Calibri" w:eastAsia="Times New Roman" w:hAnsi="Calibri" w:cs="Calibri"/>
                <w:bCs/>
                <w:color w:val="000000"/>
                <w:sz w:val="18"/>
                <w:szCs w:val="18"/>
                <w:lang w:val="en-GB"/>
              </w:rPr>
            </w:pPr>
            <w:r w:rsidRPr="00025D7F">
              <w:rPr>
                <w:rFonts w:ascii="Calibri" w:eastAsia="Times New Roman" w:hAnsi="Calibri" w:cs="Times New Roman"/>
                <w:color w:val="000000"/>
                <w:sz w:val="18"/>
                <w:szCs w:val="18"/>
                <w:lang w:val="en-GB"/>
              </w:rPr>
              <w:t xml:space="preserve"> 2,171 </w:t>
            </w:r>
          </w:p>
        </w:tc>
        <w:tc>
          <w:tcPr>
            <w:tcW w:w="1134" w:type="dxa"/>
            <w:tcBorders>
              <w:top w:val="nil"/>
              <w:left w:val="nil"/>
              <w:bottom w:val="single" w:sz="8" w:space="0" w:color="auto"/>
              <w:right w:val="nil"/>
            </w:tcBorders>
            <w:shd w:val="clear" w:color="auto" w:fill="auto"/>
            <w:vAlign w:val="bottom"/>
          </w:tcPr>
          <w:p w14:paraId="3254D8DF" w14:textId="77777777" w:rsidR="00025D7F" w:rsidRPr="00025D7F" w:rsidRDefault="00025D7F" w:rsidP="00025D7F">
            <w:pPr>
              <w:tabs>
                <w:tab w:val="right" w:pos="1263"/>
              </w:tabs>
              <w:spacing w:after="0" w:line="240" w:lineRule="auto"/>
              <w:jc w:val="right"/>
              <w:outlineLvl w:val="0"/>
              <w:rPr>
                <w:rFonts w:ascii="Calibri" w:eastAsia="Times New Roman" w:hAnsi="Calibri" w:cs="Calibri"/>
                <w:bCs/>
                <w:color w:val="000000"/>
                <w:sz w:val="18"/>
                <w:szCs w:val="18"/>
                <w:lang w:val="en-GB"/>
              </w:rPr>
            </w:pPr>
            <w:r w:rsidRPr="00025D7F">
              <w:rPr>
                <w:rFonts w:ascii="Calibri" w:eastAsia="Times New Roman" w:hAnsi="Calibri" w:cs="Times New Roman"/>
                <w:color w:val="000000"/>
                <w:sz w:val="18"/>
                <w:szCs w:val="18"/>
                <w:lang w:val="en-GB"/>
              </w:rPr>
              <w:t xml:space="preserve"> 469 </w:t>
            </w:r>
          </w:p>
        </w:tc>
        <w:tc>
          <w:tcPr>
            <w:tcW w:w="1134" w:type="dxa"/>
            <w:tcBorders>
              <w:top w:val="nil"/>
              <w:left w:val="nil"/>
              <w:bottom w:val="single" w:sz="8" w:space="0" w:color="auto"/>
              <w:right w:val="nil"/>
            </w:tcBorders>
            <w:shd w:val="clear" w:color="auto" w:fill="auto"/>
            <w:vAlign w:val="bottom"/>
          </w:tcPr>
          <w:p w14:paraId="7C10C431" w14:textId="77777777" w:rsidR="00025D7F" w:rsidRPr="00025D7F" w:rsidRDefault="00025D7F" w:rsidP="00025D7F">
            <w:pPr>
              <w:spacing w:after="0" w:line="240" w:lineRule="auto"/>
              <w:jc w:val="right"/>
              <w:outlineLvl w:val="0"/>
              <w:rPr>
                <w:rFonts w:ascii="Calibri" w:eastAsia="Times New Roman" w:hAnsi="Calibri" w:cs="Times New Roman"/>
                <w:color w:val="000000"/>
                <w:sz w:val="18"/>
                <w:szCs w:val="18"/>
                <w:lang w:val="en-GB"/>
              </w:rPr>
            </w:pPr>
            <w:bookmarkStart w:id="1018" w:name="_Toc67330507"/>
            <w:r w:rsidRPr="00025D7F">
              <w:rPr>
                <w:rFonts w:ascii="Calibri" w:eastAsia="Times New Roman" w:hAnsi="Calibri" w:cs="Times New Roman"/>
                <w:color w:val="000000"/>
                <w:sz w:val="18"/>
                <w:szCs w:val="18"/>
                <w:lang w:val="en-GB"/>
              </w:rPr>
              <w:t>6,243</w:t>
            </w:r>
            <w:bookmarkEnd w:id="1018"/>
          </w:p>
        </w:tc>
      </w:tr>
      <w:tr w:rsidR="00025D7F" w:rsidRPr="00025D7F" w14:paraId="2B6872AD" w14:textId="77777777" w:rsidTr="00E44437">
        <w:trPr>
          <w:trHeight w:hRule="exact" w:val="274"/>
          <w:jc w:val="center"/>
        </w:trPr>
        <w:tc>
          <w:tcPr>
            <w:tcW w:w="2982" w:type="dxa"/>
            <w:vAlign w:val="bottom"/>
          </w:tcPr>
          <w:p w14:paraId="7A004F52" w14:textId="77777777" w:rsidR="00025D7F" w:rsidRPr="00025D7F" w:rsidRDefault="00025D7F" w:rsidP="00025D7F">
            <w:pPr>
              <w:spacing w:after="0" w:line="240" w:lineRule="auto"/>
              <w:rPr>
                <w:rFonts w:ascii="Calibri" w:eastAsia="Times New Roman" w:hAnsi="Calibri" w:cs="Arial"/>
                <w:b/>
                <w:i/>
                <w:sz w:val="18"/>
                <w:szCs w:val="18"/>
                <w:lang w:val="en-GB"/>
              </w:rPr>
            </w:pPr>
            <w:r w:rsidRPr="00025D7F">
              <w:rPr>
                <w:rFonts w:ascii="Calibri" w:eastAsia="Times New Roman" w:hAnsi="Calibri" w:cs="Arial"/>
                <w:b/>
                <w:bCs/>
                <w:spacing w:val="-2"/>
                <w:sz w:val="18"/>
                <w:szCs w:val="18"/>
                <w:lang w:val="en-US"/>
              </w:rPr>
              <w:t>Total guarantees and commitments</w:t>
            </w:r>
          </w:p>
        </w:tc>
        <w:tc>
          <w:tcPr>
            <w:tcW w:w="991" w:type="dxa"/>
            <w:tcBorders>
              <w:top w:val="single" w:sz="8" w:space="0" w:color="auto"/>
              <w:left w:val="nil"/>
              <w:bottom w:val="single" w:sz="12" w:space="0" w:color="auto"/>
              <w:right w:val="nil"/>
            </w:tcBorders>
            <w:shd w:val="clear" w:color="auto" w:fill="auto"/>
            <w:vAlign w:val="bottom"/>
          </w:tcPr>
          <w:p w14:paraId="78EFEFBA" w14:textId="77777777" w:rsidR="00025D7F" w:rsidRPr="00025D7F" w:rsidRDefault="00025D7F" w:rsidP="00025D7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1019" w:name="_Toc67330509"/>
            <w:r w:rsidRPr="00025D7F">
              <w:rPr>
                <w:rFonts w:ascii="Calibri" w:eastAsia="Times New Roman" w:hAnsi="Calibri" w:cs="Times New Roman"/>
                <w:b/>
                <w:bCs/>
                <w:color w:val="000000"/>
                <w:sz w:val="18"/>
                <w:szCs w:val="18"/>
                <w:lang w:val="en-US"/>
              </w:rPr>
              <w:t>4,066,553</w:t>
            </w:r>
            <w:bookmarkEnd w:id="1019"/>
          </w:p>
        </w:tc>
        <w:tc>
          <w:tcPr>
            <w:tcW w:w="1134" w:type="dxa"/>
            <w:tcBorders>
              <w:top w:val="single" w:sz="8" w:space="0" w:color="auto"/>
              <w:left w:val="nil"/>
              <w:bottom w:val="single" w:sz="12" w:space="0" w:color="auto"/>
              <w:right w:val="nil"/>
            </w:tcBorders>
            <w:shd w:val="clear" w:color="auto" w:fill="auto"/>
            <w:vAlign w:val="bottom"/>
          </w:tcPr>
          <w:p w14:paraId="27CCA4FD" w14:textId="77777777" w:rsidR="00025D7F" w:rsidRPr="00025D7F" w:rsidRDefault="00025D7F" w:rsidP="00025D7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025D7F">
              <w:rPr>
                <w:rFonts w:ascii="Calibri" w:eastAsia="Times New Roman" w:hAnsi="Calibri" w:cs="Times New Roman"/>
                <w:b/>
                <w:bCs/>
                <w:color w:val="000000"/>
                <w:sz w:val="18"/>
                <w:szCs w:val="18"/>
                <w:lang w:val="en-US"/>
              </w:rPr>
              <w:t>13,148</w:t>
            </w:r>
          </w:p>
        </w:tc>
        <w:tc>
          <w:tcPr>
            <w:tcW w:w="1134" w:type="dxa"/>
            <w:tcBorders>
              <w:top w:val="single" w:sz="8" w:space="0" w:color="auto"/>
              <w:left w:val="nil"/>
              <w:bottom w:val="single" w:sz="12" w:space="0" w:color="auto"/>
              <w:right w:val="nil"/>
            </w:tcBorders>
            <w:shd w:val="clear" w:color="auto" w:fill="auto"/>
            <w:vAlign w:val="bottom"/>
          </w:tcPr>
          <w:p w14:paraId="70E23F78" w14:textId="77777777" w:rsidR="00025D7F" w:rsidRPr="00025D7F" w:rsidRDefault="00025D7F" w:rsidP="00025D7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025D7F">
              <w:rPr>
                <w:rFonts w:ascii="Calibri" w:eastAsia="Times New Roman" w:hAnsi="Calibri" w:cs="Times New Roman"/>
                <w:b/>
                <w:bCs/>
                <w:color w:val="000000"/>
                <w:sz w:val="18"/>
                <w:szCs w:val="18"/>
                <w:lang w:val="en-US"/>
              </w:rPr>
              <w:t>59,164</w:t>
            </w:r>
          </w:p>
        </w:tc>
        <w:tc>
          <w:tcPr>
            <w:tcW w:w="1134" w:type="dxa"/>
            <w:tcBorders>
              <w:top w:val="single" w:sz="8" w:space="0" w:color="auto"/>
              <w:left w:val="nil"/>
              <w:bottom w:val="single" w:sz="12" w:space="0" w:color="auto"/>
              <w:right w:val="nil"/>
            </w:tcBorders>
            <w:shd w:val="clear" w:color="auto" w:fill="auto"/>
            <w:vAlign w:val="bottom"/>
          </w:tcPr>
          <w:p w14:paraId="32A9DC53" w14:textId="77777777" w:rsidR="00025D7F" w:rsidRPr="00025D7F" w:rsidRDefault="00025D7F" w:rsidP="00025D7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025D7F">
              <w:rPr>
                <w:rFonts w:ascii="Calibri" w:eastAsia="Times New Roman" w:hAnsi="Calibri" w:cs="Times New Roman"/>
                <w:b/>
                <w:bCs/>
                <w:color w:val="000000"/>
                <w:sz w:val="18"/>
                <w:szCs w:val="18"/>
                <w:lang w:val="en-US"/>
              </w:rPr>
              <w:t>114,835</w:t>
            </w:r>
          </w:p>
        </w:tc>
        <w:tc>
          <w:tcPr>
            <w:tcW w:w="1134" w:type="dxa"/>
            <w:tcBorders>
              <w:top w:val="single" w:sz="8" w:space="0" w:color="auto"/>
              <w:left w:val="nil"/>
              <w:bottom w:val="single" w:sz="12" w:space="0" w:color="auto"/>
              <w:right w:val="nil"/>
            </w:tcBorders>
            <w:shd w:val="clear" w:color="auto" w:fill="auto"/>
            <w:vAlign w:val="bottom"/>
          </w:tcPr>
          <w:p w14:paraId="39762E33" w14:textId="77777777" w:rsidR="00025D7F" w:rsidRPr="00025D7F" w:rsidRDefault="00025D7F" w:rsidP="00025D7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025D7F">
              <w:rPr>
                <w:rFonts w:ascii="Calibri" w:eastAsia="Times New Roman" w:hAnsi="Calibri" w:cs="Times New Roman"/>
                <w:b/>
                <w:bCs/>
                <w:color w:val="000000"/>
                <w:sz w:val="18"/>
                <w:szCs w:val="18"/>
                <w:lang w:val="en-US"/>
              </w:rPr>
              <w:t>130,907</w:t>
            </w:r>
          </w:p>
        </w:tc>
        <w:tc>
          <w:tcPr>
            <w:tcW w:w="1134" w:type="dxa"/>
            <w:tcBorders>
              <w:top w:val="single" w:sz="8" w:space="0" w:color="auto"/>
              <w:left w:val="nil"/>
              <w:bottom w:val="single" w:sz="12" w:space="0" w:color="auto"/>
              <w:right w:val="nil"/>
            </w:tcBorders>
            <w:shd w:val="clear" w:color="auto" w:fill="auto"/>
            <w:vAlign w:val="bottom"/>
          </w:tcPr>
          <w:p w14:paraId="05D73066" w14:textId="77777777" w:rsidR="00025D7F" w:rsidRPr="00025D7F" w:rsidRDefault="00025D7F" w:rsidP="00025D7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1020" w:name="_Toc67330510"/>
            <w:r w:rsidRPr="00025D7F">
              <w:rPr>
                <w:rFonts w:ascii="Calibri" w:eastAsia="Times New Roman" w:hAnsi="Calibri" w:cs="Times New Roman"/>
                <w:b/>
                <w:bCs/>
                <w:color w:val="000000"/>
                <w:sz w:val="18"/>
                <w:szCs w:val="18"/>
                <w:lang w:val="en-US"/>
              </w:rPr>
              <w:t>4,384,607</w:t>
            </w:r>
            <w:bookmarkEnd w:id="1020"/>
          </w:p>
        </w:tc>
      </w:tr>
    </w:tbl>
    <w:p w14:paraId="62DF1EB1" w14:textId="77777777" w:rsidR="003D584A" w:rsidRPr="00537128" w:rsidRDefault="003D584A" w:rsidP="008330AF">
      <w:pPr>
        <w:spacing w:after="0" w:line="240" w:lineRule="auto"/>
        <w:jc w:val="both"/>
        <w:rPr>
          <w:rFonts w:eastAsia="Times New Roman" w:cstheme="minorHAnsi"/>
          <w:iCs/>
          <w:color w:val="000000" w:themeColor="text1"/>
          <w:lang w:val="en-US"/>
        </w:rPr>
      </w:pPr>
    </w:p>
    <w:p w14:paraId="6F093086" w14:textId="77777777" w:rsidR="008330AF" w:rsidRPr="00537128" w:rsidRDefault="008330AF" w:rsidP="008330AF">
      <w:pPr>
        <w:spacing w:after="0" w:line="240" w:lineRule="auto"/>
        <w:jc w:val="both"/>
        <w:rPr>
          <w:rFonts w:eastAsia="Times New Roman" w:cstheme="minorHAnsi"/>
          <w:iCs/>
          <w:color w:val="000000" w:themeColor="text1"/>
          <w:sz w:val="16"/>
          <w:szCs w:val="16"/>
          <w:lang w:val="en-US"/>
        </w:rPr>
      </w:pPr>
    </w:p>
    <w:p w14:paraId="4E01C038" w14:textId="77777777" w:rsidR="003D584A" w:rsidRPr="00537128" w:rsidRDefault="003D584A" w:rsidP="008330AF">
      <w:pPr>
        <w:spacing w:after="0" w:line="240" w:lineRule="auto"/>
        <w:jc w:val="both"/>
        <w:rPr>
          <w:rFonts w:eastAsia="Times New Roman" w:cstheme="minorHAnsi"/>
          <w:iCs/>
          <w:color w:val="000000" w:themeColor="text1"/>
          <w:sz w:val="14"/>
          <w:szCs w:val="14"/>
          <w:lang w:val="en-US"/>
        </w:rPr>
        <w:sectPr w:rsidR="003D584A" w:rsidRPr="00537128" w:rsidSect="00712478">
          <w:pgSz w:w="11906" w:h="16838"/>
          <w:pgMar w:top="1418" w:right="1134" w:bottom="1418" w:left="1418" w:header="709" w:footer="709" w:gutter="0"/>
          <w:cols w:space="708"/>
          <w:docGrid w:linePitch="360"/>
        </w:sectPr>
      </w:pPr>
    </w:p>
    <w:p w14:paraId="030E6C7A" w14:textId="77777777" w:rsidR="008330AF" w:rsidRPr="00537128" w:rsidRDefault="008330AF" w:rsidP="008330AF">
      <w:pPr>
        <w:spacing w:after="0" w:line="240" w:lineRule="auto"/>
        <w:jc w:val="both"/>
        <w:rPr>
          <w:rFonts w:eastAsia="Times New Roman" w:cstheme="minorHAnsi"/>
          <w:b/>
          <w:iCs/>
          <w:color w:val="000000" w:themeColor="text1"/>
          <w:lang w:val="en-US"/>
        </w:rPr>
      </w:pPr>
    </w:p>
    <w:p w14:paraId="5B642523" w14:textId="77777777" w:rsidR="008330AF" w:rsidRPr="00537128" w:rsidRDefault="008330AF">
      <w:pPr>
        <w:pStyle w:val="ListParagraph"/>
        <w:numPr>
          <w:ilvl w:val="0"/>
          <w:numId w:val="53"/>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2BF19EFD" w14:textId="77777777" w:rsidR="008330AF" w:rsidRPr="00537128" w:rsidRDefault="008330AF" w:rsidP="008330AF">
      <w:pPr>
        <w:spacing w:after="0" w:line="240" w:lineRule="auto"/>
        <w:jc w:val="both"/>
        <w:rPr>
          <w:rFonts w:eastAsia="Times New Roman" w:cstheme="minorHAnsi"/>
          <w:b/>
          <w:iCs/>
          <w:color w:val="000000" w:themeColor="text1"/>
          <w:lang w:val="en-US"/>
        </w:rPr>
      </w:pPr>
    </w:p>
    <w:p w14:paraId="6F6D1045" w14:textId="1AF2B937" w:rsidR="008330AF" w:rsidRPr="00537128" w:rsidRDefault="00B357CE" w:rsidP="008330AF">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8330AF" w:rsidRPr="00537128">
        <w:rPr>
          <w:rFonts w:eastAsia="Times New Roman" w:cstheme="minorHAnsi"/>
          <w:b/>
          <w:iCs/>
          <w:color w:val="000000" w:themeColor="text1"/>
          <w:lang w:val="en-US"/>
        </w:rPr>
        <w:t xml:space="preserve">.5. </w:t>
      </w:r>
      <w:r w:rsidR="008330AF" w:rsidRPr="00537128">
        <w:rPr>
          <w:rFonts w:eastAsia="Times New Roman" w:cstheme="minorHAnsi"/>
          <w:b/>
          <w:iCs/>
          <w:color w:val="000000" w:themeColor="text1"/>
          <w:lang w:val="en-US"/>
        </w:rPr>
        <w:tab/>
        <w:t>Market risk</w:t>
      </w:r>
    </w:p>
    <w:p w14:paraId="46162865" w14:textId="77777777" w:rsidR="00355BAB" w:rsidRPr="00537128" w:rsidRDefault="00355BAB" w:rsidP="008330AF">
      <w:pPr>
        <w:spacing w:after="0" w:line="240" w:lineRule="auto"/>
        <w:jc w:val="both"/>
        <w:rPr>
          <w:rFonts w:eastAsia="Times New Roman" w:cstheme="minorHAnsi"/>
          <w:b/>
          <w:iCs/>
          <w:color w:val="000000" w:themeColor="text1"/>
          <w:lang w:val="en-US"/>
        </w:rPr>
      </w:pPr>
    </w:p>
    <w:p w14:paraId="5B1871F2" w14:textId="77777777" w:rsidR="008330AF" w:rsidRPr="00537128" w:rsidRDefault="00355BAB" w:rsidP="008330AF">
      <w:pPr>
        <w:spacing w:after="0" w:line="240" w:lineRule="auto"/>
        <w:jc w:val="both"/>
        <w:rPr>
          <w:rFonts w:ascii="Calibri" w:eastAsia="Times New Roman" w:hAnsi="Calibri" w:cs="Arial"/>
          <w:iCs/>
          <w:lang w:val="en-US"/>
        </w:rPr>
      </w:pPr>
      <w:r w:rsidRPr="00537128">
        <w:rPr>
          <w:rFonts w:ascii="Calibri" w:eastAsia="Times New Roman" w:hAnsi="Calibri" w:cs="Arial"/>
          <w:iCs/>
          <w:lang w:val="en-US"/>
        </w:rPr>
        <w:t>Market risk management in the Bank implies minimizing interest rate risk and currency risk.</w:t>
      </w:r>
    </w:p>
    <w:p w14:paraId="53D84726" w14:textId="77777777" w:rsidR="00355BAB" w:rsidRPr="00537128" w:rsidRDefault="00355BAB" w:rsidP="00292301">
      <w:pPr>
        <w:spacing w:after="0" w:line="240" w:lineRule="auto"/>
        <w:jc w:val="both"/>
        <w:rPr>
          <w:rFonts w:eastAsia="Times New Roman" w:cstheme="minorHAnsi"/>
          <w:b/>
          <w:iCs/>
          <w:color w:val="000000" w:themeColor="text1"/>
          <w:lang w:val="en-US"/>
        </w:rPr>
      </w:pPr>
    </w:p>
    <w:p w14:paraId="2B2E6EC6" w14:textId="6CB82B40" w:rsidR="008330AF" w:rsidRPr="00537128" w:rsidRDefault="00B357CE" w:rsidP="00292301">
      <w:pPr>
        <w:spacing w:after="0" w:line="240" w:lineRule="auto"/>
        <w:jc w:val="both"/>
        <w:rPr>
          <w:rFonts w:ascii="Calibri" w:eastAsia="Calibri" w:hAnsi="Calibri" w:cs="Arial"/>
          <w:b/>
          <w:bCs/>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8330AF" w:rsidRPr="00537128">
        <w:rPr>
          <w:rFonts w:eastAsia="Times New Roman" w:cstheme="minorHAnsi"/>
          <w:b/>
          <w:iCs/>
          <w:color w:val="000000" w:themeColor="text1"/>
          <w:lang w:val="en-US"/>
        </w:rPr>
        <w:t>.5.1.   Interest</w:t>
      </w:r>
      <w:r w:rsidR="008330AF" w:rsidRPr="00537128">
        <w:rPr>
          <w:rFonts w:ascii="Calibri" w:eastAsia="Calibri" w:hAnsi="Calibri" w:cs="Arial"/>
          <w:b/>
          <w:bCs/>
          <w:lang w:val="en-US"/>
        </w:rPr>
        <w:t xml:space="preserve"> rate risk </w:t>
      </w:r>
    </w:p>
    <w:p w14:paraId="2F5C5FF9" w14:textId="77777777" w:rsidR="008330AF" w:rsidRPr="00537128" w:rsidRDefault="008330AF" w:rsidP="008330AF">
      <w:pPr>
        <w:spacing w:after="0" w:line="240" w:lineRule="auto"/>
        <w:ind w:right="-6"/>
        <w:jc w:val="both"/>
        <w:rPr>
          <w:rFonts w:ascii="Calibri" w:eastAsia="Times New Roman" w:hAnsi="Calibri" w:cs="Arial"/>
          <w:iCs/>
          <w:lang w:val="en-US"/>
        </w:rPr>
      </w:pPr>
    </w:p>
    <w:p w14:paraId="05DA9639" w14:textId="5581F9DC" w:rsidR="008330AF" w:rsidRPr="00537128" w:rsidRDefault="008330AF" w:rsidP="008330AF">
      <w:pPr>
        <w:spacing w:after="0" w:line="240" w:lineRule="auto"/>
        <w:ind w:right="-6"/>
        <w:jc w:val="both"/>
        <w:rPr>
          <w:rFonts w:ascii="Calibri" w:eastAsia="Times New Roman" w:hAnsi="Calibri" w:cs="Arial"/>
          <w:iCs/>
          <w:lang w:val="en-US"/>
        </w:rPr>
      </w:pPr>
      <w:r w:rsidRPr="00537128">
        <w:rPr>
          <w:rFonts w:ascii="Calibri" w:eastAsia="Times New Roman" w:hAnsi="Calibri" w:cs="Arial"/>
          <w:iCs/>
          <w:lang w:val="en-US"/>
        </w:rPr>
        <w:t xml:space="preserve">The following tables demonstrate the sensitivity of the Group to the interest rate risk as of </w:t>
      </w:r>
      <w:r w:rsidR="006A5067" w:rsidRPr="00537128">
        <w:rPr>
          <w:rFonts w:ascii="Calibri" w:eastAsia="Times New Roman" w:hAnsi="Calibri" w:cs="Arial"/>
          <w:iCs/>
          <w:lang w:val="en-US"/>
        </w:rPr>
        <w:t>31 March 202</w:t>
      </w:r>
      <w:r w:rsidR="00E224AF">
        <w:rPr>
          <w:rFonts w:ascii="Calibri" w:eastAsia="Times New Roman" w:hAnsi="Calibri" w:cs="Arial"/>
          <w:iCs/>
          <w:lang w:val="en-US"/>
        </w:rPr>
        <w:t>2</w:t>
      </w:r>
      <w:r w:rsidR="006A5067" w:rsidRPr="00537128">
        <w:rPr>
          <w:rFonts w:ascii="Calibri" w:eastAsia="Times New Roman" w:hAnsi="Calibri" w:cs="Arial"/>
          <w:iCs/>
          <w:lang w:val="en-US"/>
        </w:rPr>
        <w:t xml:space="preserve"> </w:t>
      </w:r>
      <w:r w:rsidRPr="00537128">
        <w:rPr>
          <w:rFonts w:ascii="Calibri" w:eastAsia="Times New Roman" w:hAnsi="Calibri" w:cs="Arial"/>
          <w:iCs/>
          <w:lang w:val="en-US"/>
        </w:rPr>
        <w:t>and 31 December 20</w:t>
      </w:r>
      <w:r w:rsidR="006A5067" w:rsidRPr="00537128">
        <w:rPr>
          <w:rFonts w:ascii="Calibri" w:eastAsia="Times New Roman" w:hAnsi="Calibri" w:cs="Arial"/>
          <w:iCs/>
          <w:lang w:val="en-US"/>
        </w:rPr>
        <w:t>2</w:t>
      </w:r>
      <w:r w:rsidR="00E224AF">
        <w:rPr>
          <w:rFonts w:ascii="Calibri" w:eastAsia="Times New Roman" w:hAnsi="Calibri" w:cs="Arial"/>
          <w:iCs/>
          <w:lang w:val="en-US"/>
        </w:rPr>
        <w:t>1</w:t>
      </w:r>
      <w:r w:rsidRPr="00537128">
        <w:rPr>
          <w:rFonts w:ascii="Calibri" w:eastAsia="Times New Roman" w:hAnsi="Calibri" w:cs="Arial"/>
          <w:iCs/>
          <w:lang w:val="en-US"/>
        </w:rPr>
        <w:t xml:space="preserve"> </w:t>
      </w:r>
      <w:proofErr w:type="gramStart"/>
      <w:r w:rsidRPr="00537128">
        <w:rPr>
          <w:rFonts w:ascii="Calibri" w:eastAsia="Times New Roman" w:hAnsi="Calibri" w:cs="Arial"/>
          <w:iCs/>
          <w:lang w:val="en-US"/>
        </w:rPr>
        <w:t>on the basis of</w:t>
      </w:r>
      <w:proofErr w:type="gramEnd"/>
      <w:r w:rsidRPr="00537128">
        <w:rPr>
          <w:rFonts w:ascii="Calibri" w:eastAsia="Times New Roman" w:hAnsi="Calibri" w:cs="Arial"/>
          <w:iCs/>
          <w:lang w:val="en-US"/>
        </w:rPr>
        <w:t xml:space="preserve"> known dates of changes in prices of assets and liabilities to which floating and fixed interest rates are applied. Periods of interest rates changes are determined </w:t>
      </w:r>
      <w:proofErr w:type="gramStart"/>
      <w:r w:rsidRPr="00537128">
        <w:rPr>
          <w:rFonts w:ascii="Calibri" w:eastAsia="Times New Roman" w:hAnsi="Calibri" w:cs="Arial"/>
          <w:iCs/>
          <w:lang w:val="en-US"/>
        </w:rPr>
        <w:t>on the basis of</w:t>
      </w:r>
      <w:proofErr w:type="gramEnd"/>
      <w:r w:rsidRPr="00537128">
        <w:rPr>
          <w:rFonts w:ascii="Calibri" w:eastAsia="Times New Roman" w:hAnsi="Calibri" w:cs="Arial"/>
          <w:iCs/>
          <w:lang w:val="en-US"/>
        </w:rPr>
        <w:t xml:space="preserve"> residual maturity and contracted period when interest rates change, depending on which is shorter. </w:t>
      </w:r>
    </w:p>
    <w:p w14:paraId="2DC1B61D" w14:textId="77777777" w:rsidR="008330AF" w:rsidRPr="00537128" w:rsidRDefault="008330AF" w:rsidP="008330AF">
      <w:pPr>
        <w:spacing w:after="0" w:line="240" w:lineRule="auto"/>
        <w:ind w:right="-6"/>
        <w:jc w:val="both"/>
        <w:rPr>
          <w:rFonts w:ascii="Calibri" w:eastAsia="Times New Roman" w:hAnsi="Calibri" w:cs="Arial"/>
          <w:iCs/>
          <w:lang w:val="en-US"/>
        </w:rPr>
      </w:pPr>
    </w:p>
    <w:p w14:paraId="7B745338" w14:textId="77777777" w:rsidR="008330AF" w:rsidRPr="00537128" w:rsidRDefault="008330AF" w:rsidP="008330AF">
      <w:pPr>
        <w:spacing w:after="0" w:line="240" w:lineRule="auto"/>
        <w:ind w:right="-6"/>
        <w:jc w:val="both"/>
        <w:rPr>
          <w:rFonts w:ascii="Calibri" w:eastAsia="Times New Roman" w:hAnsi="Calibri" w:cs="Arial"/>
          <w:iCs/>
          <w:lang w:val="en-US"/>
        </w:rPr>
      </w:pPr>
      <w:r w:rsidRPr="00537128">
        <w:rPr>
          <w:rFonts w:ascii="Calibri" w:eastAsia="Times New Roman" w:hAnsi="Calibri" w:cs="Arial"/>
          <w:iCs/>
          <w:lang w:val="en-US"/>
        </w:rPr>
        <w:t>Assets and liabilities on which interest is not charged are placed into the non-</w:t>
      </w:r>
      <w:proofErr w:type="gramStart"/>
      <w:r w:rsidRPr="00537128">
        <w:rPr>
          <w:rFonts w:ascii="Calibri" w:eastAsia="Times New Roman" w:hAnsi="Calibri" w:cs="Arial"/>
          <w:iCs/>
          <w:lang w:val="en-US"/>
        </w:rPr>
        <w:t>interest bearing</w:t>
      </w:r>
      <w:proofErr w:type="gramEnd"/>
      <w:r w:rsidRPr="00537128">
        <w:rPr>
          <w:rFonts w:ascii="Calibri" w:eastAsia="Times New Roman" w:hAnsi="Calibri" w:cs="Arial"/>
          <w:iCs/>
          <w:lang w:val="en-US"/>
        </w:rPr>
        <w:t xml:space="preserve"> category.</w:t>
      </w:r>
    </w:p>
    <w:p w14:paraId="38A97FA2" w14:textId="79BA177D" w:rsidR="008330AF" w:rsidRPr="00537128" w:rsidRDefault="008330AF" w:rsidP="008330AF">
      <w:pPr>
        <w:tabs>
          <w:tab w:val="left" w:pos="-720"/>
        </w:tabs>
        <w:suppressAutoHyphens/>
        <w:spacing w:after="0" w:line="240" w:lineRule="auto"/>
        <w:ind w:right="-5"/>
        <w:jc w:val="both"/>
        <w:rPr>
          <w:rFonts w:ascii="Calibri" w:eastAsia="Times New Roman" w:hAnsi="Calibri" w:cs="Arial"/>
          <w:lang w:val="en-US"/>
        </w:rPr>
      </w:pPr>
      <w:r w:rsidRPr="00537128">
        <w:rPr>
          <w:rFonts w:ascii="Calibri" w:eastAsia="Times New Roman" w:hAnsi="Calibri" w:cs="Arial"/>
          <w:lang w:val="en-US"/>
        </w:rPr>
        <w:t xml:space="preserve">The tables below demonstrate the estimation of Group’s interest rate risk exposure as of </w:t>
      </w:r>
      <w:bookmarkStart w:id="1021" w:name="_Hlk68879213"/>
      <w:r w:rsidR="001263A7" w:rsidRPr="00537128">
        <w:rPr>
          <w:rFonts w:ascii="Calibri" w:eastAsia="Times New Roman" w:hAnsi="Calibri" w:cs="Arial"/>
          <w:lang w:val="en-US"/>
        </w:rPr>
        <w:t>3</w:t>
      </w:r>
      <w:r w:rsidR="006A5067" w:rsidRPr="00537128">
        <w:rPr>
          <w:rFonts w:ascii="Calibri" w:eastAsia="Times New Roman" w:hAnsi="Calibri" w:cs="Arial"/>
          <w:lang w:val="en-US"/>
        </w:rPr>
        <w:t>1</w:t>
      </w:r>
      <w:r w:rsidR="001263A7" w:rsidRPr="00537128">
        <w:rPr>
          <w:rFonts w:ascii="Calibri" w:eastAsia="Times New Roman" w:hAnsi="Calibri" w:cs="Arial"/>
          <w:lang w:val="en-US"/>
        </w:rPr>
        <w:t xml:space="preserve"> </w:t>
      </w:r>
      <w:r w:rsidR="006A5067" w:rsidRPr="00537128">
        <w:rPr>
          <w:rFonts w:ascii="Calibri" w:eastAsia="Times New Roman" w:hAnsi="Calibri" w:cs="Arial"/>
          <w:lang w:val="en-US"/>
        </w:rPr>
        <w:t>March</w:t>
      </w:r>
      <w:r w:rsidR="001263A7" w:rsidRPr="00537128">
        <w:rPr>
          <w:rFonts w:ascii="Calibri" w:eastAsia="Times New Roman" w:hAnsi="Calibri" w:cs="Arial"/>
          <w:lang w:val="en-US"/>
        </w:rPr>
        <w:t xml:space="preserve"> </w:t>
      </w:r>
      <w:r w:rsidR="008513EE" w:rsidRPr="00537128">
        <w:rPr>
          <w:rFonts w:ascii="Calibri" w:eastAsia="Times New Roman" w:hAnsi="Calibri" w:cs="Arial"/>
          <w:lang w:val="en-US"/>
        </w:rPr>
        <w:t>202</w:t>
      </w:r>
      <w:r w:rsidR="0076752B">
        <w:rPr>
          <w:rFonts w:ascii="Calibri" w:eastAsia="Times New Roman" w:hAnsi="Calibri" w:cs="Arial"/>
          <w:lang w:val="en-US"/>
        </w:rPr>
        <w:t>2</w:t>
      </w:r>
      <w:r w:rsidRPr="00537128">
        <w:rPr>
          <w:rFonts w:ascii="Calibri" w:eastAsia="Times New Roman" w:hAnsi="Calibri" w:cs="Arial"/>
          <w:lang w:val="en-US"/>
        </w:rPr>
        <w:t xml:space="preserve"> </w:t>
      </w:r>
      <w:bookmarkEnd w:id="1021"/>
      <w:r w:rsidRPr="00537128">
        <w:rPr>
          <w:rFonts w:ascii="Calibri" w:eastAsia="Times New Roman" w:hAnsi="Calibri" w:cs="Arial"/>
          <w:lang w:val="en-US"/>
        </w:rPr>
        <w:t>and 31 December 20</w:t>
      </w:r>
      <w:r w:rsidR="006A5067" w:rsidRPr="00537128">
        <w:rPr>
          <w:rFonts w:ascii="Calibri" w:eastAsia="Times New Roman" w:hAnsi="Calibri" w:cs="Arial"/>
          <w:lang w:val="en-US"/>
        </w:rPr>
        <w:t>2</w:t>
      </w:r>
      <w:r w:rsidR="0076752B">
        <w:rPr>
          <w:rFonts w:ascii="Calibri" w:eastAsia="Times New Roman" w:hAnsi="Calibri" w:cs="Arial"/>
          <w:lang w:val="en-US"/>
        </w:rPr>
        <w:t>1</w:t>
      </w:r>
      <w:r w:rsidRPr="00537128">
        <w:rPr>
          <w:rFonts w:ascii="Calibri" w:eastAsia="Times New Roman" w:hAnsi="Calibri" w:cs="Arial"/>
          <w:lang w:val="en-US"/>
        </w:rPr>
        <w:t xml:space="preserve"> which may not be indicative for the positions in other periods. </w:t>
      </w:r>
    </w:p>
    <w:p w14:paraId="59924018" w14:textId="77777777" w:rsidR="008330AF" w:rsidRPr="00537128" w:rsidRDefault="008330AF" w:rsidP="008330AF">
      <w:pPr>
        <w:spacing w:after="0" w:line="240" w:lineRule="auto"/>
        <w:jc w:val="both"/>
        <w:rPr>
          <w:rFonts w:eastAsia="Times New Roman" w:cstheme="minorHAnsi"/>
          <w:b/>
          <w:bCs/>
          <w:iCs/>
          <w:color w:val="000000" w:themeColor="text1"/>
          <w:lang w:val="en-US"/>
        </w:rPr>
      </w:pPr>
    </w:p>
    <w:tbl>
      <w:tblPr>
        <w:tblW w:w="5607" w:type="pct"/>
        <w:tblInd w:w="-709" w:type="dxa"/>
        <w:tblLayout w:type="fixed"/>
        <w:tblCellMar>
          <w:left w:w="120" w:type="dxa"/>
          <w:right w:w="120" w:type="dxa"/>
        </w:tblCellMar>
        <w:tblLook w:val="0000" w:firstRow="0" w:lastRow="0" w:firstColumn="0" w:lastColumn="0" w:noHBand="0" w:noVBand="0"/>
      </w:tblPr>
      <w:tblGrid>
        <w:gridCol w:w="2569"/>
        <w:gridCol w:w="927"/>
        <w:gridCol w:w="1057"/>
        <w:gridCol w:w="923"/>
        <w:gridCol w:w="1057"/>
        <w:gridCol w:w="1005"/>
        <w:gridCol w:w="980"/>
        <w:gridCol w:w="994"/>
        <w:gridCol w:w="978"/>
      </w:tblGrid>
      <w:tr w:rsidR="006A5067" w:rsidRPr="00537128" w14:paraId="4D7E4EC7" w14:textId="77777777" w:rsidTr="00043C42">
        <w:trPr>
          <w:trHeight w:val="698"/>
        </w:trPr>
        <w:tc>
          <w:tcPr>
            <w:tcW w:w="1224" w:type="pct"/>
            <w:shd w:val="clear" w:color="auto" w:fill="auto"/>
            <w:vAlign w:val="center"/>
          </w:tcPr>
          <w:p w14:paraId="5F9C5EA9"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r w:rsidRPr="00537128">
              <w:rPr>
                <w:rFonts w:ascii="Calibri" w:eastAsia="Calibri" w:hAnsi="Calibri" w:cs="Arial"/>
                <w:b/>
                <w:sz w:val="16"/>
                <w:szCs w:val="16"/>
                <w:lang w:val="en-US"/>
              </w:rPr>
              <w:t>Group</w:t>
            </w:r>
          </w:p>
          <w:p w14:paraId="0CE8649F"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p>
          <w:p w14:paraId="4A68D877" w14:textId="4820126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r w:rsidRPr="00537128">
              <w:rPr>
                <w:rFonts w:ascii="Calibri" w:eastAsia="Calibri" w:hAnsi="Calibri" w:cs="Arial"/>
                <w:b/>
                <w:sz w:val="16"/>
                <w:szCs w:val="16"/>
                <w:lang w:val="en-US"/>
              </w:rPr>
              <w:t>31 March 202</w:t>
            </w:r>
            <w:r w:rsidR="0076752B">
              <w:rPr>
                <w:rFonts w:ascii="Calibri" w:eastAsia="Calibri" w:hAnsi="Calibri" w:cs="Arial"/>
                <w:b/>
                <w:sz w:val="16"/>
                <w:szCs w:val="16"/>
                <w:lang w:val="en-US"/>
              </w:rPr>
              <w:t>2</w:t>
            </w:r>
          </w:p>
        </w:tc>
        <w:tc>
          <w:tcPr>
            <w:tcW w:w="442" w:type="pct"/>
            <w:shd w:val="clear" w:color="auto" w:fill="auto"/>
          </w:tcPr>
          <w:p w14:paraId="3345299E"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Up to 1 month</w:t>
            </w:r>
          </w:p>
        </w:tc>
        <w:tc>
          <w:tcPr>
            <w:tcW w:w="504" w:type="pct"/>
            <w:shd w:val="clear" w:color="auto" w:fill="auto"/>
          </w:tcPr>
          <w:p w14:paraId="7F5A6ACF"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1 to 3 months</w:t>
            </w:r>
          </w:p>
        </w:tc>
        <w:tc>
          <w:tcPr>
            <w:tcW w:w="440" w:type="pct"/>
            <w:shd w:val="clear" w:color="auto" w:fill="auto"/>
          </w:tcPr>
          <w:p w14:paraId="4AC0944A"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 xml:space="preserve">3 months to 1 year </w:t>
            </w:r>
          </w:p>
        </w:tc>
        <w:tc>
          <w:tcPr>
            <w:tcW w:w="504" w:type="pct"/>
            <w:shd w:val="clear" w:color="auto" w:fill="auto"/>
          </w:tcPr>
          <w:p w14:paraId="5905B5EB"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1 to 3 years</w:t>
            </w:r>
          </w:p>
        </w:tc>
        <w:tc>
          <w:tcPr>
            <w:tcW w:w="479" w:type="pct"/>
            <w:shd w:val="clear" w:color="auto" w:fill="auto"/>
          </w:tcPr>
          <w:p w14:paraId="4B20ECCF"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Over 3 years</w:t>
            </w:r>
          </w:p>
        </w:tc>
        <w:tc>
          <w:tcPr>
            <w:tcW w:w="467" w:type="pct"/>
            <w:shd w:val="clear" w:color="auto" w:fill="auto"/>
          </w:tcPr>
          <w:p w14:paraId="4929A561"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Non-interest bearing</w:t>
            </w:r>
          </w:p>
        </w:tc>
        <w:tc>
          <w:tcPr>
            <w:tcW w:w="474" w:type="pct"/>
            <w:shd w:val="clear" w:color="auto" w:fill="auto"/>
          </w:tcPr>
          <w:p w14:paraId="5DBA4E75"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 xml:space="preserve">Total </w:t>
            </w:r>
          </w:p>
        </w:tc>
        <w:tc>
          <w:tcPr>
            <w:tcW w:w="466" w:type="pct"/>
          </w:tcPr>
          <w:p w14:paraId="4F60BEA3"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Fixed interest rate</w:t>
            </w:r>
          </w:p>
        </w:tc>
      </w:tr>
      <w:tr w:rsidR="006A5067" w:rsidRPr="00537128" w14:paraId="41A687E2" w14:textId="77777777" w:rsidTr="00043C42">
        <w:trPr>
          <w:trHeight w:hRule="exact" w:val="227"/>
        </w:trPr>
        <w:tc>
          <w:tcPr>
            <w:tcW w:w="1224" w:type="pct"/>
            <w:shd w:val="clear" w:color="auto" w:fill="auto"/>
            <w:vAlign w:val="center"/>
          </w:tcPr>
          <w:p w14:paraId="01A100CA"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p>
        </w:tc>
        <w:tc>
          <w:tcPr>
            <w:tcW w:w="442" w:type="pct"/>
            <w:shd w:val="clear" w:color="auto" w:fill="auto"/>
          </w:tcPr>
          <w:p w14:paraId="18A7E65B"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504" w:type="pct"/>
            <w:shd w:val="clear" w:color="auto" w:fill="auto"/>
          </w:tcPr>
          <w:p w14:paraId="7C3CE189"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40" w:type="pct"/>
            <w:shd w:val="clear" w:color="auto" w:fill="auto"/>
          </w:tcPr>
          <w:p w14:paraId="46A53E1E"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504" w:type="pct"/>
            <w:shd w:val="clear" w:color="auto" w:fill="auto"/>
          </w:tcPr>
          <w:p w14:paraId="4C4CD200"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79" w:type="pct"/>
            <w:shd w:val="clear" w:color="auto" w:fill="auto"/>
          </w:tcPr>
          <w:p w14:paraId="3A212051"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67" w:type="pct"/>
            <w:shd w:val="clear" w:color="auto" w:fill="auto"/>
          </w:tcPr>
          <w:p w14:paraId="23E1A6DC"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74" w:type="pct"/>
            <w:shd w:val="clear" w:color="auto" w:fill="auto"/>
          </w:tcPr>
          <w:p w14:paraId="22CAFAD3"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66" w:type="pct"/>
            <w:shd w:val="clear" w:color="auto" w:fill="auto"/>
          </w:tcPr>
          <w:p w14:paraId="60052D45" w14:textId="77777777" w:rsidR="006A5067" w:rsidRPr="00537128" w:rsidRDefault="006A5067" w:rsidP="006A5067">
            <w:pPr>
              <w:tabs>
                <w:tab w:val="left" w:pos="-720"/>
              </w:tabs>
              <w:suppressAutoHyphens/>
              <w:spacing w:after="0" w:line="240" w:lineRule="auto"/>
              <w:ind w:right="-6"/>
              <w:jc w:val="right"/>
              <w:rPr>
                <w:rFonts w:ascii="Calibri" w:eastAsia="Calibri" w:hAnsi="Calibri" w:cs="Times New Roman"/>
                <w:b/>
                <w:sz w:val="16"/>
                <w:szCs w:val="16"/>
                <w:lang w:val="en-US"/>
              </w:rPr>
            </w:pPr>
            <w:r w:rsidRPr="00537128">
              <w:rPr>
                <w:rFonts w:ascii="Calibri" w:eastAsia="Calibri" w:hAnsi="Calibri" w:cs="Times New Roman"/>
                <w:b/>
                <w:sz w:val="16"/>
                <w:szCs w:val="16"/>
                <w:lang w:val="en-US"/>
              </w:rPr>
              <w:t>HRK ‘000</w:t>
            </w:r>
          </w:p>
        </w:tc>
      </w:tr>
      <w:tr w:rsidR="006A5067" w:rsidRPr="00537128" w14:paraId="6E624149" w14:textId="77777777" w:rsidTr="00043C42">
        <w:trPr>
          <w:trHeight w:val="261"/>
        </w:trPr>
        <w:tc>
          <w:tcPr>
            <w:tcW w:w="1224" w:type="pct"/>
            <w:shd w:val="clear" w:color="auto" w:fill="auto"/>
            <w:vAlign w:val="bottom"/>
          </w:tcPr>
          <w:p w14:paraId="2CB7BE72" w14:textId="77777777" w:rsidR="006A5067" w:rsidRPr="00537128" w:rsidRDefault="006A5067" w:rsidP="006A5067">
            <w:pPr>
              <w:tabs>
                <w:tab w:val="left" w:pos="-720"/>
              </w:tabs>
              <w:suppressAutoHyphens/>
              <w:spacing w:after="0" w:line="280" w:lineRule="exact"/>
              <w:ind w:right="-5"/>
              <w:rPr>
                <w:rFonts w:ascii="Calibri" w:eastAsia="Calibri" w:hAnsi="Calibri" w:cs="Arial"/>
                <w:b/>
                <w:sz w:val="16"/>
                <w:szCs w:val="16"/>
                <w:lang w:val="en-US"/>
              </w:rPr>
            </w:pPr>
            <w:r w:rsidRPr="00537128">
              <w:rPr>
                <w:rFonts w:ascii="Calibri" w:eastAsia="Calibri" w:hAnsi="Calibri" w:cs="Arial"/>
                <w:b/>
                <w:sz w:val="16"/>
                <w:szCs w:val="16"/>
                <w:lang w:val="en-US"/>
              </w:rPr>
              <w:t xml:space="preserve">Assets </w:t>
            </w:r>
          </w:p>
        </w:tc>
        <w:tc>
          <w:tcPr>
            <w:tcW w:w="442" w:type="pct"/>
            <w:shd w:val="clear" w:color="auto" w:fill="auto"/>
          </w:tcPr>
          <w:p w14:paraId="2011F0FC"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504" w:type="pct"/>
            <w:shd w:val="clear" w:color="auto" w:fill="auto"/>
          </w:tcPr>
          <w:p w14:paraId="6B56B7A8"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40" w:type="pct"/>
            <w:shd w:val="clear" w:color="auto" w:fill="auto"/>
          </w:tcPr>
          <w:p w14:paraId="78D08623"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504" w:type="pct"/>
            <w:shd w:val="clear" w:color="auto" w:fill="auto"/>
          </w:tcPr>
          <w:p w14:paraId="72B6F24F"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79" w:type="pct"/>
            <w:shd w:val="clear" w:color="auto" w:fill="auto"/>
          </w:tcPr>
          <w:p w14:paraId="6F7ABBCE"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67" w:type="pct"/>
            <w:shd w:val="clear" w:color="auto" w:fill="auto"/>
          </w:tcPr>
          <w:p w14:paraId="5283B875"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74" w:type="pct"/>
            <w:shd w:val="clear" w:color="auto" w:fill="auto"/>
          </w:tcPr>
          <w:p w14:paraId="22484CA1"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66" w:type="pct"/>
          </w:tcPr>
          <w:p w14:paraId="4AB07416"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r>
      <w:tr w:rsidR="00043C42" w:rsidRPr="00537128" w14:paraId="13A31F81" w14:textId="77777777" w:rsidTr="00043C42">
        <w:trPr>
          <w:trHeight w:val="549"/>
        </w:trPr>
        <w:tc>
          <w:tcPr>
            <w:tcW w:w="1224" w:type="pct"/>
            <w:shd w:val="clear" w:color="auto" w:fill="auto"/>
            <w:vAlign w:val="bottom"/>
          </w:tcPr>
          <w:p w14:paraId="4A6F90CB" w14:textId="77777777" w:rsidR="00043C42" w:rsidRPr="00537128" w:rsidRDefault="00043C42" w:rsidP="00043C42">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Cash on hand and current accounts with banks</w:t>
            </w:r>
          </w:p>
        </w:tc>
        <w:tc>
          <w:tcPr>
            <w:tcW w:w="442" w:type="pct"/>
            <w:vAlign w:val="bottom"/>
          </w:tcPr>
          <w:p w14:paraId="35129E94" w14:textId="4592218A" w:rsidR="00043C42" w:rsidRPr="00537128" w:rsidRDefault="00043C42" w:rsidP="00043C42">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386</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95</w:t>
            </w:r>
            <w:r>
              <w:rPr>
                <w:rFonts w:ascii="Calibri" w:eastAsia="Calibri" w:hAnsi="Calibri" w:cs="Arial"/>
                <w:bCs/>
                <w:color w:val="000000"/>
                <w:sz w:val="16"/>
                <w:szCs w:val="16"/>
              </w:rPr>
              <w:t>5</w:t>
            </w:r>
          </w:p>
        </w:tc>
        <w:tc>
          <w:tcPr>
            <w:tcW w:w="504" w:type="pct"/>
            <w:vAlign w:val="bottom"/>
          </w:tcPr>
          <w:p w14:paraId="265A5DA6" w14:textId="234F7040" w:rsidR="00043C42" w:rsidRPr="00537128" w:rsidRDefault="00043C42" w:rsidP="00043C42">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40" w:type="pct"/>
            <w:vAlign w:val="bottom"/>
          </w:tcPr>
          <w:p w14:paraId="73C76086" w14:textId="39920478" w:rsidR="00043C42" w:rsidRPr="00537128" w:rsidRDefault="00043C42" w:rsidP="00043C42">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504" w:type="pct"/>
            <w:vAlign w:val="bottom"/>
          </w:tcPr>
          <w:p w14:paraId="42CEEFDD" w14:textId="31C2326E" w:rsidR="00043C42" w:rsidRPr="00537128" w:rsidRDefault="00043C42" w:rsidP="00043C42">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79" w:type="pct"/>
            <w:vAlign w:val="bottom"/>
          </w:tcPr>
          <w:p w14:paraId="17D4BC71" w14:textId="021580B4" w:rsidR="00043C42" w:rsidRPr="00537128" w:rsidRDefault="00043C42" w:rsidP="00043C42">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67" w:type="pct"/>
            <w:vAlign w:val="bottom"/>
          </w:tcPr>
          <w:p w14:paraId="574DF5A5" w14:textId="2C06766B" w:rsidR="00043C42" w:rsidRPr="00537128" w:rsidRDefault="00043C42" w:rsidP="00043C42">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1</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190</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61</w:t>
            </w:r>
            <w:r>
              <w:rPr>
                <w:rFonts w:ascii="Calibri" w:eastAsia="Calibri" w:hAnsi="Calibri" w:cs="Arial"/>
                <w:bCs/>
                <w:color w:val="000000"/>
                <w:sz w:val="16"/>
                <w:szCs w:val="16"/>
              </w:rPr>
              <w:t>3</w:t>
            </w:r>
          </w:p>
        </w:tc>
        <w:tc>
          <w:tcPr>
            <w:tcW w:w="474" w:type="pct"/>
            <w:vAlign w:val="bottom"/>
          </w:tcPr>
          <w:p w14:paraId="64D5966D" w14:textId="57BB62FD" w:rsidR="00043C42" w:rsidRPr="00537128" w:rsidRDefault="00043C42" w:rsidP="00043C42">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1</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577</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568</w:t>
            </w:r>
          </w:p>
        </w:tc>
        <w:tc>
          <w:tcPr>
            <w:tcW w:w="466" w:type="pct"/>
            <w:vAlign w:val="bottom"/>
          </w:tcPr>
          <w:p w14:paraId="70F8CB7B" w14:textId="5DD5571C" w:rsidR="00043C42" w:rsidRPr="00537128" w:rsidDel="00D96E20" w:rsidRDefault="00043C42" w:rsidP="00043C42">
            <w:pPr>
              <w:spacing w:after="0" w:line="280" w:lineRule="exact"/>
              <w:jc w:val="right"/>
              <w:rPr>
                <w:rFonts w:ascii="Calibri" w:eastAsia="Calibri" w:hAnsi="Calibri" w:cs="Calibri"/>
                <w:sz w:val="16"/>
                <w:szCs w:val="16"/>
                <w:lang w:val="en-US"/>
              </w:rPr>
            </w:pPr>
            <w:r w:rsidRPr="00F95646">
              <w:rPr>
                <w:rFonts w:ascii="Calibri" w:eastAsia="Calibri" w:hAnsi="Calibri" w:cs="Arial"/>
                <w:bCs/>
                <w:color w:val="000000"/>
                <w:sz w:val="16"/>
                <w:szCs w:val="16"/>
              </w:rPr>
              <w:t>386</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95</w:t>
            </w:r>
            <w:r>
              <w:rPr>
                <w:rFonts w:ascii="Calibri" w:eastAsia="Calibri" w:hAnsi="Calibri" w:cs="Arial"/>
                <w:bCs/>
                <w:color w:val="000000"/>
                <w:sz w:val="16"/>
                <w:szCs w:val="16"/>
              </w:rPr>
              <w:t>5</w:t>
            </w:r>
          </w:p>
        </w:tc>
      </w:tr>
      <w:tr w:rsidR="00043C42" w:rsidRPr="00537128" w14:paraId="265FFB29" w14:textId="77777777" w:rsidTr="00043C42">
        <w:trPr>
          <w:trHeight w:val="261"/>
        </w:trPr>
        <w:tc>
          <w:tcPr>
            <w:tcW w:w="1224" w:type="pct"/>
            <w:shd w:val="clear" w:color="auto" w:fill="auto"/>
            <w:vAlign w:val="bottom"/>
          </w:tcPr>
          <w:p w14:paraId="73FC480A" w14:textId="77777777" w:rsidR="00043C42" w:rsidRPr="00537128" w:rsidRDefault="00043C42" w:rsidP="00043C42">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Deposits with other banks </w:t>
            </w:r>
          </w:p>
        </w:tc>
        <w:tc>
          <w:tcPr>
            <w:tcW w:w="442" w:type="pct"/>
            <w:vAlign w:val="bottom"/>
          </w:tcPr>
          <w:p w14:paraId="30649FF8" w14:textId="6569B0C9" w:rsidR="00043C42" w:rsidRPr="00537128" w:rsidRDefault="00043C42" w:rsidP="00043C42">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504" w:type="pct"/>
            <w:vAlign w:val="bottom"/>
          </w:tcPr>
          <w:p w14:paraId="1F59BC25" w14:textId="22AFF11A" w:rsidR="00043C42" w:rsidRPr="00537128" w:rsidRDefault="00043C42" w:rsidP="00043C42">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40" w:type="pct"/>
            <w:vAlign w:val="bottom"/>
          </w:tcPr>
          <w:p w14:paraId="5093A31E" w14:textId="52C1435E" w:rsidR="00043C42" w:rsidRPr="00537128" w:rsidRDefault="00043C42" w:rsidP="00043C42">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504" w:type="pct"/>
            <w:vAlign w:val="bottom"/>
          </w:tcPr>
          <w:p w14:paraId="4AE5A145" w14:textId="5B424D94" w:rsidR="00043C42" w:rsidRPr="00537128" w:rsidRDefault="00043C42" w:rsidP="00043C42">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79" w:type="pct"/>
            <w:vAlign w:val="bottom"/>
          </w:tcPr>
          <w:p w14:paraId="6668B911" w14:textId="19A71E34" w:rsidR="00043C42" w:rsidRPr="00537128" w:rsidRDefault="00043C42" w:rsidP="00043C42">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67" w:type="pct"/>
            <w:vAlign w:val="bottom"/>
          </w:tcPr>
          <w:p w14:paraId="5A90BBAF" w14:textId="10389EF4" w:rsidR="00043C42" w:rsidRPr="00537128" w:rsidRDefault="00043C42" w:rsidP="00043C42">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15</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215</w:t>
            </w:r>
          </w:p>
        </w:tc>
        <w:tc>
          <w:tcPr>
            <w:tcW w:w="474" w:type="pct"/>
            <w:vAlign w:val="bottom"/>
          </w:tcPr>
          <w:p w14:paraId="7D7D01BC" w14:textId="374B9105" w:rsidR="00043C42" w:rsidRPr="00537128" w:rsidRDefault="00043C42" w:rsidP="00043C42">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15</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215</w:t>
            </w:r>
          </w:p>
        </w:tc>
        <w:tc>
          <w:tcPr>
            <w:tcW w:w="466" w:type="pct"/>
            <w:vAlign w:val="bottom"/>
          </w:tcPr>
          <w:p w14:paraId="3FB88F58" w14:textId="296A16B9" w:rsidR="00043C42" w:rsidRPr="00537128" w:rsidDel="00D96E20" w:rsidRDefault="00043C42" w:rsidP="00043C42">
            <w:pPr>
              <w:spacing w:after="0" w:line="280" w:lineRule="exact"/>
              <w:jc w:val="right"/>
              <w:rPr>
                <w:rFonts w:ascii="Calibri" w:eastAsia="Calibri" w:hAnsi="Calibri" w:cs="Arial"/>
                <w:bCs/>
                <w:sz w:val="16"/>
                <w:szCs w:val="16"/>
                <w:lang w:val="en-US"/>
              </w:rPr>
            </w:pPr>
            <w:r>
              <w:rPr>
                <w:rFonts w:ascii="Calibri" w:eastAsia="Calibri" w:hAnsi="Calibri" w:cs="Arial"/>
                <w:bCs/>
                <w:color w:val="000000"/>
                <w:sz w:val="16"/>
                <w:szCs w:val="16"/>
              </w:rPr>
              <w:t>-</w:t>
            </w:r>
          </w:p>
        </w:tc>
      </w:tr>
      <w:tr w:rsidR="00043C42" w:rsidRPr="00537128" w14:paraId="6C78D29A" w14:textId="77777777" w:rsidTr="00043C42">
        <w:trPr>
          <w:trHeight w:val="209"/>
        </w:trPr>
        <w:tc>
          <w:tcPr>
            <w:tcW w:w="1224" w:type="pct"/>
            <w:shd w:val="clear" w:color="auto" w:fill="auto"/>
            <w:vAlign w:val="bottom"/>
          </w:tcPr>
          <w:p w14:paraId="4B3325B7" w14:textId="77777777" w:rsidR="00043C42" w:rsidRPr="00537128" w:rsidRDefault="00043C42" w:rsidP="00043C42">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Loans to financial institutions</w:t>
            </w:r>
          </w:p>
        </w:tc>
        <w:tc>
          <w:tcPr>
            <w:tcW w:w="442" w:type="pct"/>
            <w:tcBorders>
              <w:top w:val="nil"/>
              <w:left w:val="nil"/>
              <w:bottom w:val="nil"/>
              <w:right w:val="nil"/>
            </w:tcBorders>
            <w:vAlign w:val="bottom"/>
          </w:tcPr>
          <w:p w14:paraId="043AC4D0" w14:textId="5573C09E" w:rsidR="00043C42" w:rsidRPr="00537128" w:rsidRDefault="00043C42" w:rsidP="00043C42">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61</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610</w:t>
            </w:r>
          </w:p>
        </w:tc>
        <w:tc>
          <w:tcPr>
            <w:tcW w:w="504" w:type="pct"/>
            <w:tcBorders>
              <w:top w:val="nil"/>
              <w:left w:val="nil"/>
              <w:bottom w:val="nil"/>
              <w:right w:val="nil"/>
            </w:tcBorders>
            <w:vAlign w:val="bottom"/>
          </w:tcPr>
          <w:p w14:paraId="5D9CFF2E" w14:textId="33149DA8" w:rsidR="00043C42" w:rsidRPr="00537128" w:rsidRDefault="00043C42" w:rsidP="00043C42">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436</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585</w:t>
            </w:r>
          </w:p>
        </w:tc>
        <w:tc>
          <w:tcPr>
            <w:tcW w:w="440" w:type="pct"/>
            <w:tcBorders>
              <w:top w:val="nil"/>
              <w:left w:val="nil"/>
              <w:bottom w:val="nil"/>
              <w:right w:val="nil"/>
            </w:tcBorders>
            <w:vAlign w:val="bottom"/>
          </w:tcPr>
          <w:p w14:paraId="6AF67A93" w14:textId="11A77EF2" w:rsidR="00043C42" w:rsidRPr="00537128" w:rsidRDefault="00043C42" w:rsidP="00043C42">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749</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942</w:t>
            </w:r>
          </w:p>
        </w:tc>
        <w:tc>
          <w:tcPr>
            <w:tcW w:w="504" w:type="pct"/>
            <w:tcBorders>
              <w:top w:val="nil"/>
              <w:left w:val="nil"/>
              <w:bottom w:val="nil"/>
              <w:right w:val="nil"/>
            </w:tcBorders>
            <w:vAlign w:val="bottom"/>
          </w:tcPr>
          <w:p w14:paraId="0CC944B4" w14:textId="259E937F" w:rsidR="00043C42" w:rsidRPr="00537128" w:rsidRDefault="00043C42" w:rsidP="00043C42">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1</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799</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995</w:t>
            </w:r>
          </w:p>
        </w:tc>
        <w:tc>
          <w:tcPr>
            <w:tcW w:w="479" w:type="pct"/>
            <w:tcBorders>
              <w:top w:val="nil"/>
              <w:left w:val="nil"/>
              <w:bottom w:val="nil"/>
              <w:right w:val="nil"/>
            </w:tcBorders>
            <w:vAlign w:val="bottom"/>
          </w:tcPr>
          <w:p w14:paraId="205D6511" w14:textId="52C43C8A" w:rsidR="00043C42" w:rsidRPr="00537128" w:rsidRDefault="00043C42" w:rsidP="00043C42">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3</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890</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950</w:t>
            </w:r>
          </w:p>
        </w:tc>
        <w:tc>
          <w:tcPr>
            <w:tcW w:w="467" w:type="pct"/>
            <w:tcBorders>
              <w:top w:val="nil"/>
              <w:left w:val="nil"/>
              <w:bottom w:val="nil"/>
              <w:right w:val="nil"/>
            </w:tcBorders>
            <w:vAlign w:val="bottom"/>
          </w:tcPr>
          <w:p w14:paraId="39FAEF14" w14:textId="10B809E8" w:rsidR="00043C42" w:rsidRPr="00537128" w:rsidRDefault="00043C42" w:rsidP="00043C42">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2</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878</w:t>
            </w:r>
          </w:p>
        </w:tc>
        <w:tc>
          <w:tcPr>
            <w:tcW w:w="474" w:type="pct"/>
            <w:tcBorders>
              <w:top w:val="nil"/>
              <w:left w:val="nil"/>
              <w:bottom w:val="nil"/>
              <w:right w:val="nil"/>
            </w:tcBorders>
            <w:vAlign w:val="bottom"/>
          </w:tcPr>
          <w:p w14:paraId="6AB2AB0E" w14:textId="3F09BCD4" w:rsidR="00043C42" w:rsidRPr="00537128" w:rsidRDefault="00043C42" w:rsidP="00043C42">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6</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941</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960</w:t>
            </w:r>
          </w:p>
        </w:tc>
        <w:tc>
          <w:tcPr>
            <w:tcW w:w="466" w:type="pct"/>
            <w:tcBorders>
              <w:top w:val="nil"/>
              <w:left w:val="nil"/>
              <w:bottom w:val="nil"/>
              <w:right w:val="nil"/>
            </w:tcBorders>
            <w:vAlign w:val="bottom"/>
          </w:tcPr>
          <w:p w14:paraId="63591B4A" w14:textId="3161485E" w:rsidR="00043C42" w:rsidRPr="00537128" w:rsidDel="00D96E20" w:rsidRDefault="00043C42" w:rsidP="00043C42">
            <w:pPr>
              <w:spacing w:after="0" w:line="280" w:lineRule="exact"/>
              <w:jc w:val="right"/>
              <w:rPr>
                <w:rFonts w:ascii="Calibri" w:eastAsia="Calibri" w:hAnsi="Calibri" w:cs="Arial"/>
                <w:bCs/>
                <w:sz w:val="16"/>
                <w:szCs w:val="16"/>
                <w:lang w:val="en-US"/>
              </w:rPr>
            </w:pPr>
            <w:r w:rsidRPr="00F95646">
              <w:rPr>
                <w:rFonts w:ascii="Calibri" w:eastAsia="Calibri" w:hAnsi="Calibri" w:cs="Arial"/>
                <w:bCs/>
                <w:color w:val="000000"/>
                <w:sz w:val="16"/>
                <w:szCs w:val="16"/>
              </w:rPr>
              <w:t>6</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826</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170</w:t>
            </w:r>
          </w:p>
        </w:tc>
      </w:tr>
      <w:tr w:rsidR="00043C42" w:rsidRPr="00537128" w14:paraId="1F595E87" w14:textId="77777777" w:rsidTr="00043C42">
        <w:trPr>
          <w:trHeight w:val="273"/>
        </w:trPr>
        <w:tc>
          <w:tcPr>
            <w:tcW w:w="1224" w:type="pct"/>
            <w:shd w:val="clear" w:color="auto" w:fill="auto"/>
            <w:vAlign w:val="bottom"/>
          </w:tcPr>
          <w:p w14:paraId="72344D49" w14:textId="77777777" w:rsidR="00043C42" w:rsidRPr="00537128" w:rsidRDefault="00043C42" w:rsidP="00043C42">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Loans to other customers </w:t>
            </w:r>
          </w:p>
        </w:tc>
        <w:tc>
          <w:tcPr>
            <w:tcW w:w="442" w:type="pct"/>
            <w:tcBorders>
              <w:top w:val="nil"/>
              <w:left w:val="nil"/>
              <w:bottom w:val="nil"/>
              <w:right w:val="nil"/>
            </w:tcBorders>
            <w:vAlign w:val="bottom"/>
          </w:tcPr>
          <w:p w14:paraId="5B85E6B9" w14:textId="0C9FC4CC" w:rsidR="00043C42" w:rsidRPr="00537128" w:rsidRDefault="00043C42" w:rsidP="00043C42">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1</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344</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607</w:t>
            </w:r>
          </w:p>
        </w:tc>
        <w:tc>
          <w:tcPr>
            <w:tcW w:w="504" w:type="pct"/>
            <w:tcBorders>
              <w:top w:val="nil"/>
              <w:left w:val="nil"/>
              <w:bottom w:val="nil"/>
              <w:right w:val="nil"/>
            </w:tcBorders>
            <w:vAlign w:val="bottom"/>
          </w:tcPr>
          <w:p w14:paraId="3AF13521" w14:textId="01A570FE" w:rsidR="00043C42" w:rsidRPr="00537128" w:rsidRDefault="00043C42" w:rsidP="00043C42">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734</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541</w:t>
            </w:r>
          </w:p>
        </w:tc>
        <w:tc>
          <w:tcPr>
            <w:tcW w:w="440" w:type="pct"/>
            <w:tcBorders>
              <w:top w:val="nil"/>
              <w:left w:val="nil"/>
              <w:bottom w:val="nil"/>
              <w:right w:val="nil"/>
            </w:tcBorders>
            <w:vAlign w:val="bottom"/>
          </w:tcPr>
          <w:p w14:paraId="528FF85F" w14:textId="4B52621A" w:rsidR="00043C42" w:rsidRPr="00537128" w:rsidRDefault="00043C42" w:rsidP="00043C42">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1</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373</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881</w:t>
            </w:r>
          </w:p>
        </w:tc>
        <w:tc>
          <w:tcPr>
            <w:tcW w:w="504" w:type="pct"/>
            <w:tcBorders>
              <w:top w:val="nil"/>
              <w:left w:val="nil"/>
              <w:bottom w:val="nil"/>
              <w:right w:val="nil"/>
            </w:tcBorders>
            <w:vAlign w:val="bottom"/>
          </w:tcPr>
          <w:p w14:paraId="783835FE" w14:textId="611CA0D9" w:rsidR="00043C42" w:rsidRPr="00537128" w:rsidRDefault="00043C42" w:rsidP="00043C42">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3</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175</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141</w:t>
            </w:r>
          </w:p>
        </w:tc>
        <w:tc>
          <w:tcPr>
            <w:tcW w:w="479" w:type="pct"/>
            <w:tcBorders>
              <w:top w:val="nil"/>
              <w:left w:val="nil"/>
              <w:bottom w:val="nil"/>
              <w:right w:val="nil"/>
            </w:tcBorders>
            <w:vAlign w:val="bottom"/>
          </w:tcPr>
          <w:p w14:paraId="1F7C372E" w14:textId="0C29E1F5" w:rsidR="00043C42" w:rsidRPr="00537128" w:rsidRDefault="00043C42" w:rsidP="00043C42">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8</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921</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726</w:t>
            </w:r>
          </w:p>
        </w:tc>
        <w:tc>
          <w:tcPr>
            <w:tcW w:w="467" w:type="pct"/>
            <w:tcBorders>
              <w:top w:val="nil"/>
              <w:left w:val="nil"/>
              <w:bottom w:val="nil"/>
              <w:right w:val="nil"/>
            </w:tcBorders>
            <w:vAlign w:val="bottom"/>
          </w:tcPr>
          <w:p w14:paraId="7B5D9462" w14:textId="2BB5E9DD" w:rsidR="00043C42" w:rsidRPr="00537128" w:rsidRDefault="00043C42" w:rsidP="00043C42">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176</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537</w:t>
            </w:r>
          </w:p>
        </w:tc>
        <w:tc>
          <w:tcPr>
            <w:tcW w:w="474" w:type="pct"/>
            <w:tcBorders>
              <w:top w:val="nil"/>
              <w:left w:val="nil"/>
              <w:bottom w:val="nil"/>
              <w:right w:val="nil"/>
            </w:tcBorders>
            <w:vAlign w:val="bottom"/>
          </w:tcPr>
          <w:p w14:paraId="5012680A" w14:textId="4A476684" w:rsidR="00043C42" w:rsidRPr="00537128" w:rsidRDefault="00043C42" w:rsidP="00043C42">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15</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726</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433</w:t>
            </w:r>
          </w:p>
        </w:tc>
        <w:tc>
          <w:tcPr>
            <w:tcW w:w="466" w:type="pct"/>
            <w:tcBorders>
              <w:top w:val="nil"/>
              <w:left w:val="nil"/>
              <w:bottom w:val="nil"/>
              <w:right w:val="nil"/>
            </w:tcBorders>
            <w:vAlign w:val="bottom"/>
          </w:tcPr>
          <w:p w14:paraId="6D2E2BF6" w14:textId="0B206642" w:rsidR="00043C42" w:rsidRPr="00537128" w:rsidDel="00D96E20" w:rsidRDefault="00043C42" w:rsidP="00043C42">
            <w:pPr>
              <w:spacing w:after="0" w:line="280" w:lineRule="exact"/>
              <w:jc w:val="right"/>
              <w:rPr>
                <w:rFonts w:ascii="Calibri" w:eastAsia="Calibri" w:hAnsi="Calibri" w:cs="Arial"/>
                <w:bCs/>
                <w:sz w:val="16"/>
                <w:szCs w:val="16"/>
                <w:lang w:val="en-US"/>
              </w:rPr>
            </w:pPr>
            <w:r w:rsidRPr="00F95646">
              <w:rPr>
                <w:rFonts w:ascii="Calibri" w:eastAsia="Calibri" w:hAnsi="Calibri" w:cs="Arial"/>
                <w:bCs/>
                <w:color w:val="000000"/>
                <w:sz w:val="16"/>
                <w:szCs w:val="16"/>
              </w:rPr>
              <w:t>14</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852</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450</w:t>
            </w:r>
          </w:p>
        </w:tc>
      </w:tr>
      <w:tr w:rsidR="00043C42" w:rsidRPr="00537128" w14:paraId="6527C69C" w14:textId="77777777" w:rsidTr="00043C42">
        <w:trPr>
          <w:trHeight w:val="299"/>
        </w:trPr>
        <w:tc>
          <w:tcPr>
            <w:tcW w:w="1224" w:type="pct"/>
            <w:shd w:val="clear" w:color="auto" w:fill="auto"/>
          </w:tcPr>
          <w:p w14:paraId="428C12B8" w14:textId="77777777" w:rsidR="00043C42" w:rsidRPr="00537128" w:rsidRDefault="00043C42" w:rsidP="00043C42">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Times New Roman" w:hAnsi="Calibri" w:cs="Arial"/>
                <w:spacing w:val="-2"/>
                <w:sz w:val="16"/>
                <w:szCs w:val="16"/>
                <w:lang w:val="en-US"/>
              </w:rPr>
              <w:t>Financial assets at fair value through profit or loss</w:t>
            </w:r>
          </w:p>
        </w:tc>
        <w:tc>
          <w:tcPr>
            <w:tcW w:w="442" w:type="pct"/>
            <w:vAlign w:val="bottom"/>
          </w:tcPr>
          <w:p w14:paraId="12B70718" w14:textId="0B7896C3" w:rsidR="00043C42" w:rsidRPr="00537128" w:rsidRDefault="00043C42" w:rsidP="00043C42">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504" w:type="pct"/>
            <w:vAlign w:val="bottom"/>
          </w:tcPr>
          <w:p w14:paraId="1297ECED" w14:textId="2C3C7D46" w:rsidR="00043C42" w:rsidRPr="00537128" w:rsidRDefault="00043C42" w:rsidP="00043C42">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40" w:type="pct"/>
            <w:vAlign w:val="bottom"/>
          </w:tcPr>
          <w:p w14:paraId="69690554" w14:textId="279EB661" w:rsidR="00043C42" w:rsidRPr="00537128" w:rsidRDefault="00043C42" w:rsidP="00043C42">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504" w:type="pct"/>
            <w:vAlign w:val="bottom"/>
          </w:tcPr>
          <w:p w14:paraId="7CFE616C" w14:textId="0EC779D0" w:rsidR="00043C42" w:rsidRPr="00537128" w:rsidRDefault="00043C42" w:rsidP="00043C42">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79" w:type="pct"/>
            <w:vAlign w:val="bottom"/>
          </w:tcPr>
          <w:p w14:paraId="45EC5A61" w14:textId="0C8F9AEE" w:rsidR="00043C42" w:rsidRPr="00537128" w:rsidRDefault="00043C42" w:rsidP="00043C42">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25</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652</w:t>
            </w:r>
          </w:p>
        </w:tc>
        <w:tc>
          <w:tcPr>
            <w:tcW w:w="467" w:type="pct"/>
            <w:vAlign w:val="bottom"/>
          </w:tcPr>
          <w:p w14:paraId="175415AE" w14:textId="73136410" w:rsidR="00043C42" w:rsidRPr="00537128" w:rsidRDefault="00043C42" w:rsidP="00043C42">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103</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892</w:t>
            </w:r>
          </w:p>
        </w:tc>
        <w:tc>
          <w:tcPr>
            <w:tcW w:w="474" w:type="pct"/>
            <w:vAlign w:val="bottom"/>
          </w:tcPr>
          <w:p w14:paraId="0FD070E8" w14:textId="7B64B069" w:rsidR="00043C42" w:rsidRPr="00537128" w:rsidRDefault="00043C42" w:rsidP="00043C42">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129</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544</w:t>
            </w:r>
          </w:p>
        </w:tc>
        <w:tc>
          <w:tcPr>
            <w:tcW w:w="466" w:type="pct"/>
            <w:vAlign w:val="bottom"/>
          </w:tcPr>
          <w:p w14:paraId="4A882CB4" w14:textId="3EC4576C" w:rsidR="00043C42" w:rsidRPr="00537128" w:rsidDel="00D96E20" w:rsidRDefault="00043C42" w:rsidP="00043C42">
            <w:pPr>
              <w:spacing w:after="0" w:line="280" w:lineRule="exact"/>
              <w:jc w:val="right"/>
              <w:rPr>
                <w:rFonts w:ascii="Calibri" w:eastAsia="Calibri" w:hAnsi="Calibri" w:cs="Arial"/>
                <w:bCs/>
                <w:sz w:val="16"/>
                <w:szCs w:val="16"/>
                <w:lang w:val="en-US"/>
              </w:rPr>
            </w:pPr>
            <w:r w:rsidRPr="00F95646">
              <w:rPr>
                <w:rFonts w:ascii="Calibri" w:eastAsia="Calibri" w:hAnsi="Calibri" w:cs="Arial"/>
                <w:bCs/>
                <w:color w:val="000000"/>
                <w:sz w:val="16"/>
                <w:szCs w:val="16"/>
              </w:rPr>
              <w:t>25</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652</w:t>
            </w:r>
          </w:p>
        </w:tc>
      </w:tr>
      <w:tr w:rsidR="00043C42" w:rsidRPr="00537128" w14:paraId="3844D62D" w14:textId="77777777" w:rsidTr="00043C42">
        <w:trPr>
          <w:trHeight w:val="274"/>
        </w:trPr>
        <w:tc>
          <w:tcPr>
            <w:tcW w:w="1224" w:type="pct"/>
            <w:shd w:val="clear" w:color="auto" w:fill="auto"/>
          </w:tcPr>
          <w:p w14:paraId="41FB4AFA" w14:textId="77777777" w:rsidR="00043C42" w:rsidRPr="00537128" w:rsidRDefault="00043C42" w:rsidP="00043C42">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Times New Roman" w:hAnsi="Calibri" w:cs="Arial"/>
                <w:spacing w:val="-2"/>
                <w:sz w:val="16"/>
                <w:szCs w:val="16"/>
                <w:lang w:val="en-US"/>
              </w:rPr>
              <w:t>Financial assets at fair value through other comprehensive income</w:t>
            </w:r>
          </w:p>
        </w:tc>
        <w:tc>
          <w:tcPr>
            <w:tcW w:w="442" w:type="pct"/>
            <w:vAlign w:val="bottom"/>
          </w:tcPr>
          <w:p w14:paraId="60783FC5" w14:textId="64579D13" w:rsidR="00043C42" w:rsidRPr="00537128" w:rsidRDefault="00043C42" w:rsidP="00043C42">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3</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193</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355</w:t>
            </w:r>
          </w:p>
        </w:tc>
        <w:tc>
          <w:tcPr>
            <w:tcW w:w="504" w:type="pct"/>
            <w:vAlign w:val="bottom"/>
          </w:tcPr>
          <w:p w14:paraId="00335870" w14:textId="12B6144B" w:rsidR="00043C42" w:rsidRPr="00537128" w:rsidRDefault="00043C42" w:rsidP="00043C42">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40" w:type="pct"/>
            <w:vAlign w:val="bottom"/>
          </w:tcPr>
          <w:p w14:paraId="4CD47B6E" w14:textId="6E354A73" w:rsidR="00043C42" w:rsidRPr="00537128" w:rsidRDefault="00043C42" w:rsidP="00043C42">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504" w:type="pct"/>
            <w:vAlign w:val="bottom"/>
          </w:tcPr>
          <w:p w14:paraId="0E901464" w14:textId="0D760961" w:rsidR="00043C42" w:rsidRPr="00537128" w:rsidRDefault="00043C42" w:rsidP="00043C42">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79" w:type="pct"/>
            <w:vAlign w:val="bottom"/>
          </w:tcPr>
          <w:p w14:paraId="486AF1A1" w14:textId="04527B6D" w:rsidR="00043C42" w:rsidRPr="00537128" w:rsidRDefault="00043C42" w:rsidP="00043C42">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67" w:type="pct"/>
            <w:vAlign w:val="bottom"/>
          </w:tcPr>
          <w:p w14:paraId="49C49B42" w14:textId="63C7A279" w:rsidR="00043C42" w:rsidRPr="00537128" w:rsidRDefault="00043C42" w:rsidP="00043C42">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55</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648</w:t>
            </w:r>
          </w:p>
        </w:tc>
        <w:tc>
          <w:tcPr>
            <w:tcW w:w="474" w:type="pct"/>
            <w:vAlign w:val="bottom"/>
          </w:tcPr>
          <w:p w14:paraId="168510CA" w14:textId="7CFEC4D2" w:rsidR="00043C42" w:rsidRPr="00537128" w:rsidRDefault="00043C42" w:rsidP="00043C42">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3</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249</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003</w:t>
            </w:r>
          </w:p>
        </w:tc>
        <w:tc>
          <w:tcPr>
            <w:tcW w:w="466" w:type="pct"/>
            <w:vAlign w:val="bottom"/>
          </w:tcPr>
          <w:p w14:paraId="09E1D8BF" w14:textId="51D48C3F" w:rsidR="00043C42" w:rsidRPr="00537128" w:rsidDel="00D96E20" w:rsidRDefault="00043C42" w:rsidP="00043C42">
            <w:pPr>
              <w:spacing w:after="0" w:line="280" w:lineRule="exact"/>
              <w:jc w:val="right"/>
              <w:rPr>
                <w:rFonts w:ascii="Calibri" w:eastAsia="Calibri" w:hAnsi="Calibri" w:cs="Arial"/>
                <w:bCs/>
                <w:sz w:val="16"/>
                <w:szCs w:val="16"/>
                <w:lang w:val="en-US"/>
              </w:rPr>
            </w:pPr>
            <w:r w:rsidRPr="00F95646">
              <w:rPr>
                <w:rFonts w:ascii="Calibri" w:eastAsia="Calibri" w:hAnsi="Calibri" w:cs="Arial"/>
                <w:bCs/>
                <w:color w:val="000000"/>
                <w:sz w:val="16"/>
                <w:szCs w:val="16"/>
              </w:rPr>
              <w:t>3</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193</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355</w:t>
            </w:r>
          </w:p>
        </w:tc>
      </w:tr>
      <w:tr w:rsidR="00043C42" w:rsidRPr="00537128" w14:paraId="4AEBC668" w14:textId="77777777" w:rsidTr="00043C42">
        <w:trPr>
          <w:trHeight w:val="274"/>
        </w:trPr>
        <w:tc>
          <w:tcPr>
            <w:tcW w:w="1224" w:type="pct"/>
            <w:shd w:val="clear" w:color="auto" w:fill="auto"/>
            <w:vAlign w:val="bottom"/>
          </w:tcPr>
          <w:p w14:paraId="43D95E6E" w14:textId="77777777" w:rsidR="00043C42" w:rsidRPr="00537128" w:rsidRDefault="00043C42" w:rsidP="00043C42">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Other assets </w:t>
            </w:r>
          </w:p>
        </w:tc>
        <w:tc>
          <w:tcPr>
            <w:tcW w:w="442" w:type="pct"/>
            <w:tcBorders>
              <w:bottom w:val="single" w:sz="4" w:space="0" w:color="auto"/>
            </w:tcBorders>
            <w:vAlign w:val="bottom"/>
          </w:tcPr>
          <w:p w14:paraId="050872E3" w14:textId="677D0AF9" w:rsidR="00043C42" w:rsidRPr="00537128" w:rsidRDefault="00043C42" w:rsidP="00043C42">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504" w:type="pct"/>
            <w:tcBorders>
              <w:bottom w:val="single" w:sz="4" w:space="0" w:color="auto"/>
            </w:tcBorders>
            <w:vAlign w:val="bottom"/>
          </w:tcPr>
          <w:p w14:paraId="302C2889" w14:textId="431AE52C" w:rsidR="00043C42" w:rsidRPr="00537128" w:rsidRDefault="00043C42" w:rsidP="00043C42">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40" w:type="pct"/>
            <w:tcBorders>
              <w:bottom w:val="single" w:sz="4" w:space="0" w:color="auto"/>
            </w:tcBorders>
            <w:vAlign w:val="bottom"/>
          </w:tcPr>
          <w:p w14:paraId="291BE0D8" w14:textId="79D6A658" w:rsidR="00043C42" w:rsidRPr="00537128" w:rsidRDefault="00043C42" w:rsidP="00043C42">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504" w:type="pct"/>
            <w:tcBorders>
              <w:bottom w:val="single" w:sz="4" w:space="0" w:color="auto"/>
            </w:tcBorders>
            <w:vAlign w:val="bottom"/>
          </w:tcPr>
          <w:p w14:paraId="2D8D867A" w14:textId="3AB8643F" w:rsidR="00043C42" w:rsidRPr="00537128" w:rsidRDefault="00043C42" w:rsidP="00043C42">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79" w:type="pct"/>
            <w:tcBorders>
              <w:bottom w:val="single" w:sz="4" w:space="0" w:color="auto"/>
            </w:tcBorders>
            <w:vAlign w:val="bottom"/>
          </w:tcPr>
          <w:p w14:paraId="296CBF27" w14:textId="4EEA9C7A" w:rsidR="00043C42" w:rsidRPr="00537128" w:rsidRDefault="00043C42" w:rsidP="00043C42">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67" w:type="pct"/>
            <w:tcBorders>
              <w:bottom w:val="single" w:sz="4" w:space="0" w:color="auto"/>
            </w:tcBorders>
            <w:vAlign w:val="bottom"/>
          </w:tcPr>
          <w:p w14:paraId="4BEE03EC" w14:textId="613C1693" w:rsidR="00043C42" w:rsidRPr="00537128" w:rsidRDefault="00043C42" w:rsidP="00043C42">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42</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999</w:t>
            </w:r>
          </w:p>
        </w:tc>
        <w:tc>
          <w:tcPr>
            <w:tcW w:w="474" w:type="pct"/>
            <w:tcBorders>
              <w:bottom w:val="single" w:sz="4" w:space="0" w:color="auto"/>
            </w:tcBorders>
            <w:vAlign w:val="bottom"/>
          </w:tcPr>
          <w:p w14:paraId="05195CE3" w14:textId="471F4AD1" w:rsidR="00043C42" w:rsidRPr="00537128" w:rsidRDefault="00043C42" w:rsidP="00043C42">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42</w:t>
            </w:r>
            <w:r w:rsidR="003E797E">
              <w:rPr>
                <w:rFonts w:ascii="Calibri" w:eastAsia="Calibri" w:hAnsi="Calibri" w:cs="Arial"/>
                <w:bCs/>
                <w:color w:val="000000"/>
                <w:sz w:val="16"/>
                <w:szCs w:val="16"/>
              </w:rPr>
              <w:t>,</w:t>
            </w:r>
            <w:r w:rsidRPr="00F95646">
              <w:rPr>
                <w:rFonts w:ascii="Calibri" w:eastAsia="Calibri" w:hAnsi="Calibri" w:cs="Arial"/>
                <w:bCs/>
                <w:color w:val="000000"/>
                <w:sz w:val="16"/>
                <w:szCs w:val="16"/>
              </w:rPr>
              <w:t>999</w:t>
            </w:r>
          </w:p>
        </w:tc>
        <w:tc>
          <w:tcPr>
            <w:tcW w:w="466" w:type="pct"/>
            <w:tcBorders>
              <w:bottom w:val="single" w:sz="4" w:space="0" w:color="auto"/>
            </w:tcBorders>
            <w:vAlign w:val="bottom"/>
          </w:tcPr>
          <w:p w14:paraId="390D3660" w14:textId="55203F26" w:rsidR="00043C42" w:rsidRPr="00537128" w:rsidDel="00D96E20" w:rsidRDefault="00043C42" w:rsidP="00043C42">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r>
      <w:tr w:rsidR="00043C42" w:rsidRPr="00537128" w14:paraId="26487C4F" w14:textId="77777777" w:rsidTr="00043C42">
        <w:trPr>
          <w:trHeight w:hRule="exact" w:val="389"/>
        </w:trPr>
        <w:tc>
          <w:tcPr>
            <w:tcW w:w="1224" w:type="pct"/>
            <w:shd w:val="clear" w:color="auto" w:fill="auto"/>
            <w:vAlign w:val="bottom"/>
          </w:tcPr>
          <w:p w14:paraId="52277333" w14:textId="77777777" w:rsidR="00043C42" w:rsidRPr="00537128" w:rsidRDefault="00043C42" w:rsidP="00043C42">
            <w:pPr>
              <w:tabs>
                <w:tab w:val="right" w:pos="1202"/>
              </w:tabs>
              <w:spacing w:after="0" w:line="320" w:lineRule="exact"/>
              <w:outlineLvl w:val="0"/>
              <w:rPr>
                <w:rFonts w:ascii="Calibri" w:eastAsia="Times New Roman" w:hAnsi="Calibri" w:cs="Arial"/>
                <w:b/>
                <w:bCs/>
                <w:sz w:val="16"/>
                <w:szCs w:val="16"/>
                <w:lang w:val="en-US"/>
              </w:rPr>
            </w:pPr>
            <w:bookmarkStart w:id="1022" w:name="_Toc4062733"/>
            <w:r w:rsidRPr="00537128">
              <w:rPr>
                <w:rFonts w:ascii="Calibri" w:eastAsia="Times New Roman" w:hAnsi="Calibri" w:cs="Arial"/>
                <w:b/>
                <w:bCs/>
                <w:sz w:val="16"/>
                <w:szCs w:val="16"/>
                <w:lang w:val="en-US"/>
              </w:rPr>
              <w:t>Total assets</w:t>
            </w:r>
            <w:bookmarkEnd w:id="1022"/>
            <w:r w:rsidRPr="00537128">
              <w:rPr>
                <w:rFonts w:ascii="Calibri" w:eastAsia="Times New Roman" w:hAnsi="Calibri" w:cs="Arial"/>
                <w:b/>
                <w:bCs/>
                <w:sz w:val="16"/>
                <w:szCs w:val="16"/>
                <w:lang w:val="en-US"/>
              </w:rPr>
              <w:t xml:space="preserve"> </w:t>
            </w:r>
          </w:p>
        </w:tc>
        <w:tc>
          <w:tcPr>
            <w:tcW w:w="442" w:type="pct"/>
            <w:tcBorders>
              <w:top w:val="nil"/>
              <w:left w:val="nil"/>
              <w:bottom w:val="single" w:sz="8" w:space="0" w:color="auto"/>
              <w:right w:val="nil"/>
            </w:tcBorders>
            <w:vAlign w:val="bottom"/>
          </w:tcPr>
          <w:p w14:paraId="4E7B4930" w14:textId="38BA0283" w:rsidR="00043C42" w:rsidRPr="00537128" w:rsidRDefault="00043C42" w:rsidP="00043C42">
            <w:pPr>
              <w:spacing w:after="0" w:line="320" w:lineRule="exact"/>
              <w:jc w:val="right"/>
              <w:rPr>
                <w:rFonts w:ascii="Calibri" w:eastAsia="Calibri" w:hAnsi="Calibri" w:cs="Arial"/>
                <w:b/>
                <w:bCs/>
                <w:sz w:val="16"/>
                <w:szCs w:val="16"/>
                <w:lang w:val="en-US"/>
              </w:rPr>
            </w:pPr>
            <w:r w:rsidRPr="00F95646">
              <w:rPr>
                <w:rFonts w:ascii="Calibri" w:eastAsia="Calibri" w:hAnsi="Calibri" w:cs="Arial"/>
                <w:b/>
                <w:color w:val="000000"/>
                <w:sz w:val="16"/>
                <w:szCs w:val="16"/>
              </w:rPr>
              <w:t>4</w:t>
            </w:r>
            <w:r w:rsidR="003E797E">
              <w:rPr>
                <w:rFonts w:ascii="Calibri" w:eastAsia="Calibri" w:hAnsi="Calibri" w:cs="Arial"/>
                <w:b/>
                <w:color w:val="000000"/>
                <w:sz w:val="16"/>
                <w:szCs w:val="16"/>
              </w:rPr>
              <w:t>,</w:t>
            </w:r>
            <w:r w:rsidRPr="00F95646">
              <w:rPr>
                <w:rFonts w:ascii="Calibri" w:eastAsia="Calibri" w:hAnsi="Calibri" w:cs="Arial"/>
                <w:b/>
                <w:color w:val="000000"/>
                <w:sz w:val="16"/>
                <w:szCs w:val="16"/>
              </w:rPr>
              <w:t>986</w:t>
            </w:r>
            <w:r w:rsidR="003E797E">
              <w:rPr>
                <w:rFonts w:ascii="Calibri" w:eastAsia="Calibri" w:hAnsi="Calibri" w:cs="Arial"/>
                <w:b/>
                <w:color w:val="000000"/>
                <w:sz w:val="16"/>
                <w:szCs w:val="16"/>
              </w:rPr>
              <w:t>,</w:t>
            </w:r>
            <w:r w:rsidRPr="00F95646">
              <w:rPr>
                <w:rFonts w:ascii="Calibri" w:eastAsia="Calibri" w:hAnsi="Calibri" w:cs="Arial"/>
                <w:b/>
                <w:color w:val="000000"/>
                <w:sz w:val="16"/>
                <w:szCs w:val="16"/>
              </w:rPr>
              <w:t>52</w:t>
            </w:r>
            <w:r>
              <w:rPr>
                <w:rFonts w:ascii="Calibri" w:eastAsia="Calibri" w:hAnsi="Calibri" w:cs="Arial"/>
                <w:b/>
                <w:color w:val="000000"/>
                <w:sz w:val="16"/>
                <w:szCs w:val="16"/>
              </w:rPr>
              <w:t>7</w:t>
            </w:r>
          </w:p>
        </w:tc>
        <w:tc>
          <w:tcPr>
            <w:tcW w:w="504" w:type="pct"/>
            <w:tcBorders>
              <w:top w:val="nil"/>
              <w:left w:val="nil"/>
              <w:bottom w:val="single" w:sz="8" w:space="0" w:color="auto"/>
              <w:right w:val="nil"/>
            </w:tcBorders>
            <w:vAlign w:val="bottom"/>
          </w:tcPr>
          <w:p w14:paraId="6AB39239" w14:textId="469AF2B1" w:rsidR="00043C42" w:rsidRPr="00537128" w:rsidRDefault="00043C42" w:rsidP="00043C42">
            <w:pPr>
              <w:spacing w:after="0" w:line="320" w:lineRule="exact"/>
              <w:jc w:val="right"/>
              <w:rPr>
                <w:rFonts w:ascii="Calibri" w:eastAsia="Calibri" w:hAnsi="Calibri" w:cs="Arial"/>
                <w:b/>
                <w:bCs/>
                <w:sz w:val="16"/>
                <w:szCs w:val="16"/>
                <w:lang w:val="en-US"/>
              </w:rPr>
            </w:pPr>
            <w:r w:rsidRPr="00F95646">
              <w:rPr>
                <w:rFonts w:ascii="Calibri" w:eastAsia="Calibri" w:hAnsi="Calibri" w:cs="Arial"/>
                <w:b/>
                <w:color w:val="000000"/>
                <w:sz w:val="16"/>
                <w:szCs w:val="16"/>
              </w:rPr>
              <w:t>1</w:t>
            </w:r>
            <w:r w:rsidR="003E797E">
              <w:rPr>
                <w:rFonts w:ascii="Calibri" w:eastAsia="Calibri" w:hAnsi="Calibri" w:cs="Arial"/>
                <w:b/>
                <w:color w:val="000000"/>
                <w:sz w:val="16"/>
                <w:szCs w:val="16"/>
              </w:rPr>
              <w:t>,</w:t>
            </w:r>
            <w:r w:rsidRPr="00F95646">
              <w:rPr>
                <w:rFonts w:ascii="Calibri" w:eastAsia="Calibri" w:hAnsi="Calibri" w:cs="Arial"/>
                <w:b/>
                <w:color w:val="000000"/>
                <w:sz w:val="16"/>
                <w:szCs w:val="16"/>
              </w:rPr>
              <w:t>171</w:t>
            </w:r>
            <w:r w:rsidR="003E797E">
              <w:rPr>
                <w:rFonts w:ascii="Calibri" w:eastAsia="Calibri" w:hAnsi="Calibri" w:cs="Arial"/>
                <w:b/>
                <w:color w:val="000000"/>
                <w:sz w:val="16"/>
                <w:szCs w:val="16"/>
              </w:rPr>
              <w:t>,</w:t>
            </w:r>
            <w:r w:rsidRPr="00F95646">
              <w:rPr>
                <w:rFonts w:ascii="Calibri" w:eastAsia="Calibri" w:hAnsi="Calibri" w:cs="Arial"/>
                <w:b/>
                <w:color w:val="000000"/>
                <w:sz w:val="16"/>
                <w:szCs w:val="16"/>
              </w:rPr>
              <w:t>126</w:t>
            </w:r>
          </w:p>
        </w:tc>
        <w:tc>
          <w:tcPr>
            <w:tcW w:w="440" w:type="pct"/>
            <w:tcBorders>
              <w:top w:val="nil"/>
              <w:left w:val="nil"/>
              <w:bottom w:val="single" w:sz="8" w:space="0" w:color="auto"/>
              <w:right w:val="nil"/>
            </w:tcBorders>
            <w:vAlign w:val="bottom"/>
          </w:tcPr>
          <w:p w14:paraId="05FD821B" w14:textId="6222FEF7" w:rsidR="00043C42" w:rsidRPr="00537128" w:rsidRDefault="00043C42" w:rsidP="00043C42">
            <w:pPr>
              <w:spacing w:after="0" w:line="320" w:lineRule="exact"/>
              <w:jc w:val="right"/>
              <w:rPr>
                <w:rFonts w:ascii="Calibri" w:eastAsia="Calibri" w:hAnsi="Calibri" w:cs="Arial"/>
                <w:b/>
                <w:bCs/>
                <w:sz w:val="16"/>
                <w:szCs w:val="16"/>
                <w:lang w:val="en-US"/>
              </w:rPr>
            </w:pPr>
            <w:r w:rsidRPr="00F95646">
              <w:rPr>
                <w:rFonts w:ascii="Calibri" w:eastAsia="Calibri" w:hAnsi="Calibri" w:cs="Arial"/>
                <w:b/>
                <w:color w:val="000000"/>
                <w:sz w:val="16"/>
                <w:szCs w:val="16"/>
              </w:rPr>
              <w:t>2</w:t>
            </w:r>
            <w:r w:rsidR="003E797E">
              <w:rPr>
                <w:rFonts w:ascii="Calibri" w:eastAsia="Calibri" w:hAnsi="Calibri" w:cs="Arial"/>
                <w:b/>
                <w:color w:val="000000"/>
                <w:sz w:val="16"/>
                <w:szCs w:val="16"/>
              </w:rPr>
              <w:t>,</w:t>
            </w:r>
            <w:r w:rsidRPr="00F95646">
              <w:rPr>
                <w:rFonts w:ascii="Calibri" w:eastAsia="Calibri" w:hAnsi="Calibri" w:cs="Arial"/>
                <w:b/>
                <w:color w:val="000000"/>
                <w:sz w:val="16"/>
                <w:szCs w:val="16"/>
              </w:rPr>
              <w:t>123</w:t>
            </w:r>
            <w:r w:rsidR="003E797E">
              <w:rPr>
                <w:rFonts w:ascii="Calibri" w:eastAsia="Calibri" w:hAnsi="Calibri" w:cs="Arial"/>
                <w:b/>
                <w:color w:val="000000"/>
                <w:sz w:val="16"/>
                <w:szCs w:val="16"/>
              </w:rPr>
              <w:t>,</w:t>
            </w:r>
            <w:r w:rsidRPr="00F95646">
              <w:rPr>
                <w:rFonts w:ascii="Calibri" w:eastAsia="Calibri" w:hAnsi="Calibri" w:cs="Arial"/>
                <w:b/>
                <w:color w:val="000000"/>
                <w:sz w:val="16"/>
                <w:szCs w:val="16"/>
              </w:rPr>
              <w:t>823</w:t>
            </w:r>
          </w:p>
        </w:tc>
        <w:tc>
          <w:tcPr>
            <w:tcW w:w="504" w:type="pct"/>
            <w:tcBorders>
              <w:top w:val="nil"/>
              <w:left w:val="nil"/>
              <w:bottom w:val="single" w:sz="8" w:space="0" w:color="auto"/>
              <w:right w:val="nil"/>
            </w:tcBorders>
            <w:vAlign w:val="bottom"/>
          </w:tcPr>
          <w:p w14:paraId="697500C6" w14:textId="35303BA5" w:rsidR="00043C42" w:rsidRPr="00537128" w:rsidRDefault="00043C42" w:rsidP="00043C42">
            <w:pPr>
              <w:spacing w:after="0" w:line="320" w:lineRule="exact"/>
              <w:jc w:val="right"/>
              <w:rPr>
                <w:rFonts w:ascii="Calibri" w:eastAsia="Calibri" w:hAnsi="Calibri" w:cs="Arial"/>
                <w:b/>
                <w:bCs/>
                <w:sz w:val="16"/>
                <w:szCs w:val="16"/>
                <w:lang w:val="en-US"/>
              </w:rPr>
            </w:pPr>
            <w:r w:rsidRPr="00F95646">
              <w:rPr>
                <w:rFonts w:ascii="Calibri" w:eastAsia="Calibri" w:hAnsi="Calibri" w:cs="Arial"/>
                <w:b/>
                <w:color w:val="000000"/>
                <w:sz w:val="16"/>
                <w:szCs w:val="16"/>
              </w:rPr>
              <w:t>4</w:t>
            </w:r>
            <w:r w:rsidR="003E797E">
              <w:rPr>
                <w:rFonts w:ascii="Calibri" w:eastAsia="Calibri" w:hAnsi="Calibri" w:cs="Arial"/>
                <w:b/>
                <w:color w:val="000000"/>
                <w:sz w:val="16"/>
                <w:szCs w:val="16"/>
              </w:rPr>
              <w:t>,</w:t>
            </w:r>
            <w:r w:rsidRPr="00F95646">
              <w:rPr>
                <w:rFonts w:ascii="Calibri" w:eastAsia="Calibri" w:hAnsi="Calibri" w:cs="Arial"/>
                <w:b/>
                <w:color w:val="000000"/>
                <w:sz w:val="16"/>
                <w:szCs w:val="16"/>
              </w:rPr>
              <w:t>975</w:t>
            </w:r>
            <w:r w:rsidR="003E797E">
              <w:rPr>
                <w:rFonts w:ascii="Calibri" w:eastAsia="Calibri" w:hAnsi="Calibri" w:cs="Arial"/>
                <w:b/>
                <w:color w:val="000000"/>
                <w:sz w:val="16"/>
                <w:szCs w:val="16"/>
              </w:rPr>
              <w:t>,</w:t>
            </w:r>
            <w:r w:rsidRPr="00F95646">
              <w:rPr>
                <w:rFonts w:ascii="Calibri" w:eastAsia="Calibri" w:hAnsi="Calibri" w:cs="Arial"/>
                <w:b/>
                <w:color w:val="000000"/>
                <w:sz w:val="16"/>
                <w:szCs w:val="16"/>
              </w:rPr>
              <w:t>136</w:t>
            </w:r>
          </w:p>
        </w:tc>
        <w:tc>
          <w:tcPr>
            <w:tcW w:w="479" w:type="pct"/>
            <w:tcBorders>
              <w:top w:val="nil"/>
              <w:left w:val="nil"/>
              <w:bottom w:val="single" w:sz="8" w:space="0" w:color="auto"/>
              <w:right w:val="nil"/>
            </w:tcBorders>
            <w:vAlign w:val="bottom"/>
          </w:tcPr>
          <w:p w14:paraId="48ABAA42" w14:textId="15FA58FF" w:rsidR="00043C42" w:rsidRPr="00537128" w:rsidRDefault="00043C42" w:rsidP="00043C42">
            <w:pPr>
              <w:spacing w:after="0" w:line="320" w:lineRule="exact"/>
              <w:jc w:val="right"/>
              <w:rPr>
                <w:rFonts w:ascii="Calibri" w:eastAsia="Calibri" w:hAnsi="Calibri" w:cs="Arial"/>
                <w:b/>
                <w:bCs/>
                <w:sz w:val="16"/>
                <w:szCs w:val="16"/>
                <w:lang w:val="en-US"/>
              </w:rPr>
            </w:pPr>
            <w:r w:rsidRPr="00F95646">
              <w:rPr>
                <w:rFonts w:ascii="Calibri" w:eastAsia="Calibri" w:hAnsi="Calibri" w:cs="Arial"/>
                <w:b/>
                <w:color w:val="000000"/>
                <w:sz w:val="16"/>
                <w:szCs w:val="16"/>
              </w:rPr>
              <w:t>12</w:t>
            </w:r>
            <w:r w:rsidR="003E797E">
              <w:rPr>
                <w:rFonts w:ascii="Calibri" w:eastAsia="Calibri" w:hAnsi="Calibri" w:cs="Arial"/>
                <w:b/>
                <w:color w:val="000000"/>
                <w:sz w:val="16"/>
                <w:szCs w:val="16"/>
              </w:rPr>
              <w:t>,</w:t>
            </w:r>
            <w:r w:rsidRPr="00F95646">
              <w:rPr>
                <w:rFonts w:ascii="Calibri" w:eastAsia="Calibri" w:hAnsi="Calibri" w:cs="Arial"/>
                <w:b/>
                <w:color w:val="000000"/>
                <w:sz w:val="16"/>
                <w:szCs w:val="16"/>
              </w:rPr>
              <w:t>838</w:t>
            </w:r>
            <w:r w:rsidR="003E797E">
              <w:rPr>
                <w:rFonts w:ascii="Calibri" w:eastAsia="Calibri" w:hAnsi="Calibri" w:cs="Arial"/>
                <w:b/>
                <w:color w:val="000000"/>
                <w:sz w:val="16"/>
                <w:szCs w:val="16"/>
              </w:rPr>
              <w:t>,</w:t>
            </w:r>
            <w:r w:rsidRPr="00F95646">
              <w:rPr>
                <w:rFonts w:ascii="Calibri" w:eastAsia="Calibri" w:hAnsi="Calibri" w:cs="Arial"/>
                <w:b/>
                <w:color w:val="000000"/>
                <w:sz w:val="16"/>
                <w:szCs w:val="16"/>
              </w:rPr>
              <w:t>328</w:t>
            </w:r>
          </w:p>
        </w:tc>
        <w:tc>
          <w:tcPr>
            <w:tcW w:w="467" w:type="pct"/>
            <w:tcBorders>
              <w:top w:val="nil"/>
              <w:left w:val="nil"/>
              <w:bottom w:val="single" w:sz="8" w:space="0" w:color="auto"/>
              <w:right w:val="nil"/>
            </w:tcBorders>
            <w:vAlign w:val="bottom"/>
          </w:tcPr>
          <w:p w14:paraId="7CAF8941" w14:textId="10054D57" w:rsidR="00043C42" w:rsidRPr="00537128" w:rsidRDefault="00043C42" w:rsidP="00043C42">
            <w:pPr>
              <w:spacing w:after="0" w:line="320" w:lineRule="exact"/>
              <w:jc w:val="right"/>
              <w:rPr>
                <w:rFonts w:ascii="Calibri" w:eastAsia="Calibri" w:hAnsi="Calibri" w:cs="Arial"/>
                <w:b/>
                <w:bCs/>
                <w:sz w:val="16"/>
                <w:szCs w:val="16"/>
                <w:lang w:val="en-US"/>
              </w:rPr>
            </w:pPr>
            <w:r w:rsidRPr="00F95646">
              <w:rPr>
                <w:rFonts w:ascii="Calibri" w:eastAsia="Calibri" w:hAnsi="Calibri" w:cs="Arial"/>
                <w:b/>
                <w:color w:val="000000"/>
                <w:sz w:val="16"/>
                <w:szCs w:val="16"/>
              </w:rPr>
              <w:t>1</w:t>
            </w:r>
            <w:r w:rsidR="003E797E">
              <w:rPr>
                <w:rFonts w:ascii="Calibri" w:eastAsia="Calibri" w:hAnsi="Calibri" w:cs="Arial"/>
                <w:b/>
                <w:color w:val="000000"/>
                <w:sz w:val="16"/>
                <w:szCs w:val="16"/>
              </w:rPr>
              <w:t>,</w:t>
            </w:r>
            <w:r w:rsidRPr="00F95646">
              <w:rPr>
                <w:rFonts w:ascii="Calibri" w:eastAsia="Calibri" w:hAnsi="Calibri" w:cs="Arial"/>
                <w:b/>
                <w:color w:val="000000"/>
                <w:sz w:val="16"/>
                <w:szCs w:val="16"/>
              </w:rPr>
              <w:t>587</w:t>
            </w:r>
            <w:r w:rsidR="003E797E">
              <w:rPr>
                <w:rFonts w:ascii="Calibri" w:eastAsia="Calibri" w:hAnsi="Calibri" w:cs="Arial"/>
                <w:b/>
                <w:color w:val="000000"/>
                <w:sz w:val="16"/>
                <w:szCs w:val="16"/>
              </w:rPr>
              <w:t>,</w:t>
            </w:r>
            <w:r w:rsidRPr="00F95646">
              <w:rPr>
                <w:rFonts w:ascii="Calibri" w:eastAsia="Calibri" w:hAnsi="Calibri" w:cs="Arial"/>
                <w:b/>
                <w:color w:val="000000"/>
                <w:sz w:val="16"/>
                <w:szCs w:val="16"/>
              </w:rPr>
              <w:t>78</w:t>
            </w:r>
            <w:r>
              <w:rPr>
                <w:rFonts w:ascii="Calibri" w:eastAsia="Calibri" w:hAnsi="Calibri" w:cs="Arial"/>
                <w:b/>
                <w:color w:val="000000"/>
                <w:sz w:val="16"/>
                <w:szCs w:val="16"/>
              </w:rPr>
              <w:t>2</w:t>
            </w:r>
          </w:p>
        </w:tc>
        <w:tc>
          <w:tcPr>
            <w:tcW w:w="474" w:type="pct"/>
            <w:tcBorders>
              <w:top w:val="nil"/>
              <w:left w:val="nil"/>
              <w:bottom w:val="single" w:sz="8" w:space="0" w:color="auto"/>
              <w:right w:val="nil"/>
            </w:tcBorders>
            <w:vAlign w:val="bottom"/>
          </w:tcPr>
          <w:p w14:paraId="7531764D" w14:textId="4D789C2B" w:rsidR="00043C42" w:rsidRPr="00537128" w:rsidRDefault="00043C42" w:rsidP="00043C42">
            <w:pPr>
              <w:spacing w:after="0" w:line="320" w:lineRule="exact"/>
              <w:jc w:val="right"/>
              <w:rPr>
                <w:rFonts w:ascii="Calibri" w:eastAsia="Calibri" w:hAnsi="Calibri" w:cs="Arial"/>
                <w:b/>
                <w:bCs/>
                <w:sz w:val="16"/>
                <w:szCs w:val="16"/>
                <w:lang w:val="en-US"/>
              </w:rPr>
            </w:pPr>
            <w:r w:rsidRPr="00F95646">
              <w:rPr>
                <w:rFonts w:ascii="Calibri" w:eastAsia="Calibri" w:hAnsi="Calibri" w:cs="Arial"/>
                <w:b/>
                <w:color w:val="000000"/>
                <w:sz w:val="16"/>
                <w:szCs w:val="16"/>
              </w:rPr>
              <w:t>27</w:t>
            </w:r>
            <w:r w:rsidR="003E797E">
              <w:rPr>
                <w:rFonts w:ascii="Calibri" w:eastAsia="Calibri" w:hAnsi="Calibri" w:cs="Arial"/>
                <w:b/>
                <w:color w:val="000000"/>
                <w:sz w:val="16"/>
                <w:szCs w:val="16"/>
              </w:rPr>
              <w:t>,</w:t>
            </w:r>
            <w:r w:rsidRPr="00F95646">
              <w:rPr>
                <w:rFonts w:ascii="Calibri" w:eastAsia="Calibri" w:hAnsi="Calibri" w:cs="Arial"/>
                <w:b/>
                <w:color w:val="000000"/>
                <w:sz w:val="16"/>
                <w:szCs w:val="16"/>
              </w:rPr>
              <w:t>682</w:t>
            </w:r>
            <w:r w:rsidR="003E797E">
              <w:rPr>
                <w:rFonts w:ascii="Calibri" w:eastAsia="Calibri" w:hAnsi="Calibri" w:cs="Arial"/>
                <w:b/>
                <w:color w:val="000000"/>
                <w:sz w:val="16"/>
                <w:szCs w:val="16"/>
              </w:rPr>
              <w:t>,</w:t>
            </w:r>
            <w:r w:rsidRPr="00F95646">
              <w:rPr>
                <w:rFonts w:ascii="Calibri" w:eastAsia="Calibri" w:hAnsi="Calibri" w:cs="Arial"/>
                <w:b/>
                <w:color w:val="000000"/>
                <w:sz w:val="16"/>
                <w:szCs w:val="16"/>
              </w:rPr>
              <w:t>722</w:t>
            </w:r>
          </w:p>
        </w:tc>
        <w:tc>
          <w:tcPr>
            <w:tcW w:w="466" w:type="pct"/>
            <w:tcBorders>
              <w:top w:val="nil"/>
              <w:left w:val="nil"/>
              <w:bottom w:val="single" w:sz="8" w:space="0" w:color="auto"/>
              <w:right w:val="nil"/>
            </w:tcBorders>
            <w:vAlign w:val="bottom"/>
          </w:tcPr>
          <w:p w14:paraId="05945333" w14:textId="1019BB36" w:rsidR="00043C42" w:rsidRPr="00537128" w:rsidDel="00D96E20" w:rsidRDefault="00043C42" w:rsidP="00043C42">
            <w:pPr>
              <w:spacing w:after="0" w:line="320" w:lineRule="exact"/>
              <w:jc w:val="right"/>
              <w:rPr>
                <w:rFonts w:ascii="Calibri" w:eastAsia="Calibri" w:hAnsi="Calibri" w:cs="Calibri"/>
                <w:b/>
                <w:bCs/>
                <w:sz w:val="16"/>
                <w:szCs w:val="16"/>
                <w:lang w:val="en-US"/>
              </w:rPr>
            </w:pPr>
            <w:r w:rsidRPr="00F95646">
              <w:rPr>
                <w:rFonts w:ascii="Calibri" w:eastAsia="Calibri" w:hAnsi="Calibri" w:cs="Arial"/>
                <w:b/>
                <w:color w:val="000000"/>
                <w:sz w:val="16"/>
                <w:szCs w:val="16"/>
              </w:rPr>
              <w:t>25</w:t>
            </w:r>
            <w:r w:rsidR="003E797E">
              <w:rPr>
                <w:rFonts w:ascii="Calibri" w:eastAsia="Calibri" w:hAnsi="Calibri" w:cs="Arial"/>
                <w:b/>
                <w:color w:val="000000"/>
                <w:sz w:val="16"/>
                <w:szCs w:val="16"/>
              </w:rPr>
              <w:t>,</w:t>
            </w:r>
            <w:r w:rsidRPr="00F95646">
              <w:rPr>
                <w:rFonts w:ascii="Calibri" w:eastAsia="Calibri" w:hAnsi="Calibri" w:cs="Arial"/>
                <w:b/>
                <w:color w:val="000000"/>
                <w:sz w:val="16"/>
                <w:szCs w:val="16"/>
              </w:rPr>
              <w:t>284</w:t>
            </w:r>
            <w:r w:rsidR="003E797E">
              <w:rPr>
                <w:rFonts w:ascii="Calibri" w:eastAsia="Calibri" w:hAnsi="Calibri" w:cs="Arial"/>
                <w:b/>
                <w:color w:val="000000"/>
                <w:sz w:val="16"/>
                <w:szCs w:val="16"/>
              </w:rPr>
              <w:t>,</w:t>
            </w:r>
            <w:r w:rsidRPr="00F95646">
              <w:rPr>
                <w:rFonts w:ascii="Calibri" w:eastAsia="Calibri" w:hAnsi="Calibri" w:cs="Arial"/>
                <w:b/>
                <w:color w:val="000000"/>
                <w:sz w:val="16"/>
                <w:szCs w:val="16"/>
              </w:rPr>
              <w:t>58</w:t>
            </w:r>
            <w:r>
              <w:rPr>
                <w:rFonts w:ascii="Calibri" w:eastAsia="Calibri" w:hAnsi="Calibri" w:cs="Arial"/>
                <w:b/>
                <w:color w:val="000000"/>
                <w:sz w:val="16"/>
                <w:szCs w:val="16"/>
              </w:rPr>
              <w:t>2</w:t>
            </w:r>
          </w:p>
        </w:tc>
      </w:tr>
      <w:tr w:rsidR="00043C42" w:rsidRPr="00537128" w14:paraId="4C4BB456" w14:textId="77777777" w:rsidTr="00043C42">
        <w:trPr>
          <w:trHeight w:val="320"/>
        </w:trPr>
        <w:tc>
          <w:tcPr>
            <w:tcW w:w="1224" w:type="pct"/>
          </w:tcPr>
          <w:p w14:paraId="45D59FB1" w14:textId="77777777" w:rsidR="00043C42" w:rsidRPr="00537128" w:rsidRDefault="00043C42" w:rsidP="00043C42">
            <w:pPr>
              <w:tabs>
                <w:tab w:val="right" w:pos="1202"/>
              </w:tabs>
              <w:spacing w:after="0" w:line="320" w:lineRule="exact"/>
              <w:outlineLvl w:val="0"/>
              <w:rPr>
                <w:rFonts w:ascii="Calibri" w:eastAsia="Times New Roman" w:hAnsi="Calibri" w:cs="Arial"/>
                <w:b/>
                <w:spacing w:val="-2"/>
                <w:sz w:val="16"/>
                <w:szCs w:val="16"/>
                <w:lang w:val="en-US"/>
              </w:rPr>
            </w:pPr>
            <w:bookmarkStart w:id="1023" w:name="_Toc4062734"/>
            <w:r w:rsidRPr="00537128">
              <w:rPr>
                <w:rFonts w:ascii="Calibri" w:eastAsia="Times New Roman" w:hAnsi="Calibri" w:cs="Arial"/>
                <w:b/>
                <w:spacing w:val="-2"/>
                <w:sz w:val="16"/>
                <w:szCs w:val="16"/>
                <w:lang w:val="en-US"/>
              </w:rPr>
              <w:t>Liabilities</w:t>
            </w:r>
            <w:bookmarkEnd w:id="1023"/>
          </w:p>
        </w:tc>
        <w:tc>
          <w:tcPr>
            <w:tcW w:w="442" w:type="pct"/>
            <w:tcBorders>
              <w:top w:val="single" w:sz="12" w:space="0" w:color="auto"/>
            </w:tcBorders>
            <w:vAlign w:val="bottom"/>
          </w:tcPr>
          <w:p w14:paraId="2F5C1D99" w14:textId="77777777" w:rsidR="00043C42" w:rsidRPr="00537128" w:rsidRDefault="00043C42" w:rsidP="00043C42">
            <w:pPr>
              <w:spacing w:after="0" w:line="320" w:lineRule="exact"/>
              <w:jc w:val="right"/>
              <w:rPr>
                <w:rFonts w:ascii="Calibri" w:eastAsia="Calibri" w:hAnsi="Calibri" w:cs="Arial"/>
                <w:b/>
                <w:bCs/>
                <w:sz w:val="16"/>
                <w:szCs w:val="16"/>
                <w:lang w:val="en-US"/>
              </w:rPr>
            </w:pPr>
          </w:p>
        </w:tc>
        <w:tc>
          <w:tcPr>
            <w:tcW w:w="504" w:type="pct"/>
            <w:tcBorders>
              <w:top w:val="single" w:sz="12" w:space="0" w:color="auto"/>
            </w:tcBorders>
            <w:vAlign w:val="bottom"/>
          </w:tcPr>
          <w:p w14:paraId="7BE83751" w14:textId="77777777" w:rsidR="00043C42" w:rsidRPr="00537128" w:rsidRDefault="00043C42" w:rsidP="00043C42">
            <w:pPr>
              <w:spacing w:after="0" w:line="320" w:lineRule="exact"/>
              <w:jc w:val="right"/>
              <w:rPr>
                <w:rFonts w:ascii="Calibri" w:eastAsia="Calibri" w:hAnsi="Calibri" w:cs="Arial"/>
                <w:b/>
                <w:bCs/>
                <w:sz w:val="16"/>
                <w:szCs w:val="16"/>
                <w:lang w:val="en-US"/>
              </w:rPr>
            </w:pPr>
          </w:p>
        </w:tc>
        <w:tc>
          <w:tcPr>
            <w:tcW w:w="440" w:type="pct"/>
            <w:tcBorders>
              <w:top w:val="single" w:sz="12" w:space="0" w:color="auto"/>
            </w:tcBorders>
            <w:vAlign w:val="bottom"/>
          </w:tcPr>
          <w:p w14:paraId="169F1C3C" w14:textId="77777777" w:rsidR="00043C42" w:rsidRPr="00537128" w:rsidRDefault="00043C42" w:rsidP="00043C42">
            <w:pPr>
              <w:spacing w:after="0" w:line="320" w:lineRule="exact"/>
              <w:jc w:val="right"/>
              <w:rPr>
                <w:rFonts w:ascii="Calibri" w:eastAsia="Calibri" w:hAnsi="Calibri" w:cs="Arial"/>
                <w:b/>
                <w:bCs/>
                <w:sz w:val="16"/>
                <w:szCs w:val="16"/>
                <w:lang w:val="en-US"/>
              </w:rPr>
            </w:pPr>
          </w:p>
        </w:tc>
        <w:tc>
          <w:tcPr>
            <w:tcW w:w="504" w:type="pct"/>
            <w:tcBorders>
              <w:top w:val="single" w:sz="12" w:space="0" w:color="auto"/>
            </w:tcBorders>
            <w:vAlign w:val="bottom"/>
          </w:tcPr>
          <w:p w14:paraId="710ADC5F" w14:textId="77777777" w:rsidR="00043C42" w:rsidRPr="00537128" w:rsidRDefault="00043C42" w:rsidP="00043C42">
            <w:pPr>
              <w:spacing w:after="0" w:line="320" w:lineRule="exact"/>
              <w:jc w:val="right"/>
              <w:rPr>
                <w:rFonts w:ascii="Calibri" w:eastAsia="Calibri" w:hAnsi="Calibri" w:cs="Arial"/>
                <w:b/>
                <w:bCs/>
                <w:sz w:val="16"/>
                <w:szCs w:val="16"/>
                <w:lang w:val="en-US"/>
              </w:rPr>
            </w:pPr>
          </w:p>
        </w:tc>
        <w:tc>
          <w:tcPr>
            <w:tcW w:w="479" w:type="pct"/>
            <w:tcBorders>
              <w:top w:val="single" w:sz="12" w:space="0" w:color="auto"/>
            </w:tcBorders>
            <w:vAlign w:val="bottom"/>
          </w:tcPr>
          <w:p w14:paraId="48B519A7" w14:textId="77777777" w:rsidR="00043C42" w:rsidRPr="00537128" w:rsidRDefault="00043C42" w:rsidP="00043C42">
            <w:pPr>
              <w:spacing w:after="0" w:line="320" w:lineRule="exact"/>
              <w:jc w:val="right"/>
              <w:rPr>
                <w:rFonts w:ascii="Calibri" w:eastAsia="Calibri" w:hAnsi="Calibri" w:cs="Arial"/>
                <w:b/>
                <w:bCs/>
                <w:sz w:val="16"/>
                <w:szCs w:val="16"/>
                <w:lang w:val="en-US"/>
              </w:rPr>
            </w:pPr>
          </w:p>
        </w:tc>
        <w:tc>
          <w:tcPr>
            <w:tcW w:w="467" w:type="pct"/>
            <w:tcBorders>
              <w:top w:val="single" w:sz="12" w:space="0" w:color="auto"/>
            </w:tcBorders>
            <w:vAlign w:val="bottom"/>
          </w:tcPr>
          <w:p w14:paraId="66A6004B" w14:textId="77777777" w:rsidR="00043C42" w:rsidRPr="00537128" w:rsidRDefault="00043C42" w:rsidP="00043C42">
            <w:pPr>
              <w:spacing w:after="0" w:line="320" w:lineRule="exact"/>
              <w:jc w:val="right"/>
              <w:rPr>
                <w:rFonts w:ascii="Calibri" w:eastAsia="Calibri" w:hAnsi="Calibri" w:cs="Arial"/>
                <w:b/>
                <w:bCs/>
                <w:sz w:val="16"/>
                <w:szCs w:val="16"/>
                <w:lang w:val="en-US"/>
              </w:rPr>
            </w:pPr>
          </w:p>
        </w:tc>
        <w:tc>
          <w:tcPr>
            <w:tcW w:w="474" w:type="pct"/>
            <w:tcBorders>
              <w:top w:val="single" w:sz="12" w:space="0" w:color="auto"/>
            </w:tcBorders>
            <w:vAlign w:val="bottom"/>
          </w:tcPr>
          <w:p w14:paraId="09663B47" w14:textId="77777777" w:rsidR="00043C42" w:rsidRPr="00537128" w:rsidRDefault="00043C42" w:rsidP="00043C42">
            <w:pPr>
              <w:spacing w:after="0" w:line="320" w:lineRule="exact"/>
              <w:jc w:val="right"/>
              <w:rPr>
                <w:rFonts w:ascii="Calibri" w:eastAsia="Calibri" w:hAnsi="Calibri" w:cs="Arial"/>
                <w:b/>
                <w:bCs/>
                <w:sz w:val="16"/>
                <w:szCs w:val="16"/>
                <w:lang w:val="en-US"/>
              </w:rPr>
            </w:pPr>
          </w:p>
        </w:tc>
        <w:tc>
          <w:tcPr>
            <w:tcW w:w="466" w:type="pct"/>
            <w:tcBorders>
              <w:top w:val="single" w:sz="12" w:space="0" w:color="auto"/>
            </w:tcBorders>
          </w:tcPr>
          <w:p w14:paraId="31FCDA33" w14:textId="77777777" w:rsidR="00043C42" w:rsidRPr="00537128" w:rsidDel="00D96E20" w:rsidRDefault="00043C42" w:rsidP="00043C42">
            <w:pPr>
              <w:spacing w:after="0" w:line="320" w:lineRule="exact"/>
              <w:jc w:val="right"/>
              <w:rPr>
                <w:rFonts w:ascii="Calibri" w:eastAsia="Calibri" w:hAnsi="Calibri" w:cs="Calibri"/>
                <w:b/>
                <w:bCs/>
                <w:sz w:val="16"/>
                <w:szCs w:val="16"/>
                <w:lang w:val="en-US"/>
              </w:rPr>
            </w:pPr>
          </w:p>
        </w:tc>
      </w:tr>
      <w:tr w:rsidR="003E797E" w:rsidRPr="00537128" w14:paraId="078948B8" w14:textId="77777777" w:rsidTr="00233CA2">
        <w:trPr>
          <w:trHeight w:val="320"/>
        </w:trPr>
        <w:tc>
          <w:tcPr>
            <w:tcW w:w="1224" w:type="pct"/>
          </w:tcPr>
          <w:p w14:paraId="0F5230F8" w14:textId="77777777" w:rsidR="003E797E" w:rsidRPr="00537128" w:rsidRDefault="003E797E" w:rsidP="003E797E">
            <w:pPr>
              <w:tabs>
                <w:tab w:val="right" w:pos="1202"/>
              </w:tabs>
              <w:spacing w:after="0" w:line="320" w:lineRule="exact"/>
              <w:outlineLvl w:val="0"/>
              <w:rPr>
                <w:rFonts w:ascii="Calibri" w:eastAsia="Times New Roman" w:hAnsi="Calibri" w:cs="Arial"/>
                <w:b/>
                <w:bCs/>
                <w:sz w:val="16"/>
                <w:szCs w:val="16"/>
                <w:lang w:val="en-US"/>
              </w:rPr>
            </w:pPr>
            <w:bookmarkStart w:id="1024" w:name="_Toc4062735"/>
            <w:r w:rsidRPr="00537128">
              <w:rPr>
                <w:rFonts w:ascii="Calibri" w:eastAsia="Times New Roman" w:hAnsi="Calibri" w:cs="Arial"/>
                <w:spacing w:val="-2"/>
                <w:sz w:val="16"/>
                <w:szCs w:val="16"/>
                <w:lang w:val="en-US"/>
              </w:rPr>
              <w:t>Deposits from customers</w:t>
            </w:r>
            <w:bookmarkEnd w:id="1024"/>
            <w:r w:rsidRPr="00537128">
              <w:rPr>
                <w:rFonts w:ascii="Calibri" w:eastAsia="Times New Roman" w:hAnsi="Calibri" w:cs="Arial"/>
                <w:spacing w:val="-2"/>
                <w:sz w:val="16"/>
                <w:szCs w:val="16"/>
                <w:lang w:val="en-US"/>
              </w:rPr>
              <w:t xml:space="preserve"> </w:t>
            </w:r>
          </w:p>
        </w:tc>
        <w:tc>
          <w:tcPr>
            <w:tcW w:w="442" w:type="pct"/>
            <w:tcBorders>
              <w:top w:val="nil"/>
              <w:left w:val="nil"/>
              <w:bottom w:val="nil"/>
              <w:right w:val="nil"/>
            </w:tcBorders>
            <w:vAlign w:val="bottom"/>
          </w:tcPr>
          <w:p w14:paraId="5F2D58E2" w14:textId="32A0BE42" w:rsidR="003E797E" w:rsidRPr="00537128" w:rsidRDefault="003E797E" w:rsidP="003E797E">
            <w:pPr>
              <w:spacing w:after="0" w:line="320" w:lineRule="exact"/>
              <w:jc w:val="right"/>
              <w:rPr>
                <w:rFonts w:ascii="Calibri" w:eastAsia="Calibri" w:hAnsi="Calibri" w:cs="Arial"/>
                <w:b/>
                <w:bCs/>
                <w:sz w:val="16"/>
                <w:szCs w:val="16"/>
                <w:lang w:val="en-US"/>
              </w:rPr>
            </w:pPr>
            <w:r w:rsidRPr="00F95646">
              <w:rPr>
                <w:rFonts w:ascii="Calibri" w:eastAsia="Calibri" w:hAnsi="Calibri" w:cs="Arial"/>
                <w:bCs/>
                <w:color w:val="000000"/>
                <w:sz w:val="16"/>
                <w:szCs w:val="16"/>
              </w:rPr>
              <w:t>117</w:t>
            </w:r>
            <w:r>
              <w:rPr>
                <w:rFonts w:ascii="Calibri" w:eastAsia="Calibri" w:hAnsi="Calibri" w:cs="Arial"/>
                <w:bCs/>
                <w:color w:val="000000"/>
                <w:sz w:val="16"/>
                <w:szCs w:val="16"/>
              </w:rPr>
              <w:t>,</w:t>
            </w:r>
            <w:r w:rsidRPr="00F95646">
              <w:rPr>
                <w:rFonts w:ascii="Calibri" w:eastAsia="Calibri" w:hAnsi="Calibri" w:cs="Arial"/>
                <w:bCs/>
                <w:color w:val="000000"/>
                <w:sz w:val="16"/>
                <w:szCs w:val="16"/>
              </w:rPr>
              <w:t>423</w:t>
            </w:r>
          </w:p>
        </w:tc>
        <w:tc>
          <w:tcPr>
            <w:tcW w:w="504" w:type="pct"/>
            <w:tcBorders>
              <w:top w:val="nil"/>
              <w:left w:val="nil"/>
              <w:bottom w:val="nil"/>
              <w:right w:val="nil"/>
            </w:tcBorders>
            <w:vAlign w:val="bottom"/>
          </w:tcPr>
          <w:p w14:paraId="69B7B82E" w14:textId="6AAA10F6" w:rsidR="003E797E" w:rsidRPr="00537128" w:rsidRDefault="003E797E" w:rsidP="003E797E">
            <w:pPr>
              <w:spacing w:after="0" w:line="320" w:lineRule="exact"/>
              <w:jc w:val="right"/>
              <w:rPr>
                <w:rFonts w:ascii="Calibri" w:eastAsia="Calibri" w:hAnsi="Calibri" w:cs="Arial"/>
                <w:b/>
                <w:bCs/>
                <w:sz w:val="16"/>
                <w:szCs w:val="16"/>
                <w:lang w:val="en-US"/>
              </w:rPr>
            </w:pPr>
            <w:r w:rsidRPr="00F95646">
              <w:rPr>
                <w:rFonts w:ascii="Calibri" w:eastAsia="Calibri" w:hAnsi="Calibri" w:cs="Arial"/>
                <w:bCs/>
                <w:color w:val="000000"/>
                <w:sz w:val="16"/>
                <w:szCs w:val="16"/>
              </w:rPr>
              <w:t>-</w:t>
            </w:r>
          </w:p>
        </w:tc>
        <w:tc>
          <w:tcPr>
            <w:tcW w:w="440" w:type="pct"/>
            <w:tcBorders>
              <w:top w:val="nil"/>
              <w:left w:val="nil"/>
              <w:bottom w:val="nil"/>
              <w:right w:val="nil"/>
            </w:tcBorders>
            <w:vAlign w:val="bottom"/>
          </w:tcPr>
          <w:p w14:paraId="4821B3FF" w14:textId="19599DD6" w:rsidR="003E797E" w:rsidRPr="00537128" w:rsidRDefault="003E797E" w:rsidP="003E797E">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504" w:type="pct"/>
            <w:tcBorders>
              <w:top w:val="nil"/>
              <w:left w:val="nil"/>
              <w:bottom w:val="nil"/>
              <w:right w:val="nil"/>
            </w:tcBorders>
            <w:vAlign w:val="bottom"/>
          </w:tcPr>
          <w:p w14:paraId="50031E12" w14:textId="1E08E6DF" w:rsidR="003E797E" w:rsidRPr="00537128" w:rsidRDefault="003E797E" w:rsidP="003E797E">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79" w:type="pct"/>
            <w:tcBorders>
              <w:top w:val="nil"/>
              <w:left w:val="nil"/>
              <w:bottom w:val="nil"/>
              <w:right w:val="nil"/>
            </w:tcBorders>
            <w:vAlign w:val="bottom"/>
          </w:tcPr>
          <w:p w14:paraId="22A5699D" w14:textId="568DC177" w:rsidR="003E797E" w:rsidRPr="00537128" w:rsidRDefault="003E797E" w:rsidP="003E797E">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67" w:type="pct"/>
            <w:tcBorders>
              <w:top w:val="nil"/>
              <w:left w:val="nil"/>
              <w:bottom w:val="nil"/>
              <w:right w:val="nil"/>
            </w:tcBorders>
            <w:vAlign w:val="bottom"/>
          </w:tcPr>
          <w:p w14:paraId="3ED1740B" w14:textId="00BB9D51" w:rsidR="003E797E" w:rsidRPr="00537128" w:rsidRDefault="003E797E" w:rsidP="003E797E">
            <w:pPr>
              <w:spacing w:after="0" w:line="320" w:lineRule="exact"/>
              <w:jc w:val="right"/>
              <w:rPr>
                <w:rFonts w:ascii="Calibri" w:eastAsia="Calibri" w:hAnsi="Calibri" w:cs="Arial"/>
                <w:b/>
                <w:bCs/>
                <w:sz w:val="16"/>
                <w:szCs w:val="16"/>
                <w:lang w:val="en-US"/>
              </w:rPr>
            </w:pPr>
            <w:r w:rsidRPr="00F95646">
              <w:rPr>
                <w:rFonts w:ascii="Calibri" w:eastAsia="Calibri" w:hAnsi="Calibri" w:cs="Arial"/>
                <w:bCs/>
                <w:color w:val="000000"/>
                <w:sz w:val="16"/>
                <w:szCs w:val="16"/>
              </w:rPr>
              <w:t>490</w:t>
            </w:r>
            <w:r>
              <w:rPr>
                <w:rFonts w:ascii="Calibri" w:eastAsia="Calibri" w:hAnsi="Calibri" w:cs="Arial"/>
                <w:bCs/>
                <w:color w:val="000000"/>
                <w:sz w:val="16"/>
                <w:szCs w:val="16"/>
              </w:rPr>
              <w:t>,</w:t>
            </w:r>
            <w:r w:rsidRPr="00F95646">
              <w:rPr>
                <w:rFonts w:ascii="Calibri" w:eastAsia="Calibri" w:hAnsi="Calibri" w:cs="Arial"/>
                <w:bCs/>
                <w:color w:val="000000"/>
                <w:sz w:val="16"/>
                <w:szCs w:val="16"/>
              </w:rPr>
              <w:t>114</w:t>
            </w:r>
          </w:p>
        </w:tc>
        <w:tc>
          <w:tcPr>
            <w:tcW w:w="474" w:type="pct"/>
            <w:tcBorders>
              <w:top w:val="nil"/>
              <w:left w:val="nil"/>
              <w:bottom w:val="nil"/>
              <w:right w:val="nil"/>
            </w:tcBorders>
            <w:vAlign w:val="bottom"/>
          </w:tcPr>
          <w:p w14:paraId="045D92D5" w14:textId="5D97C26C" w:rsidR="003E797E" w:rsidRPr="00537128" w:rsidRDefault="003E797E" w:rsidP="003E797E">
            <w:pPr>
              <w:spacing w:after="0" w:line="320" w:lineRule="exact"/>
              <w:jc w:val="right"/>
              <w:rPr>
                <w:rFonts w:ascii="Calibri" w:eastAsia="Calibri" w:hAnsi="Calibri" w:cs="Arial"/>
                <w:b/>
                <w:bCs/>
                <w:sz w:val="16"/>
                <w:szCs w:val="16"/>
                <w:lang w:val="en-US"/>
              </w:rPr>
            </w:pPr>
            <w:r w:rsidRPr="00F95646">
              <w:rPr>
                <w:rFonts w:ascii="Calibri" w:eastAsia="Calibri" w:hAnsi="Calibri" w:cs="Arial"/>
                <w:bCs/>
                <w:color w:val="000000"/>
                <w:sz w:val="16"/>
                <w:szCs w:val="16"/>
              </w:rPr>
              <w:t>607</w:t>
            </w:r>
            <w:r>
              <w:rPr>
                <w:rFonts w:ascii="Calibri" w:eastAsia="Calibri" w:hAnsi="Calibri" w:cs="Arial"/>
                <w:bCs/>
                <w:color w:val="000000"/>
                <w:sz w:val="16"/>
                <w:szCs w:val="16"/>
              </w:rPr>
              <w:t>,</w:t>
            </w:r>
            <w:r w:rsidRPr="00F95646">
              <w:rPr>
                <w:rFonts w:ascii="Calibri" w:eastAsia="Calibri" w:hAnsi="Calibri" w:cs="Arial"/>
                <w:bCs/>
                <w:color w:val="000000"/>
                <w:sz w:val="16"/>
                <w:szCs w:val="16"/>
              </w:rPr>
              <w:t>537</w:t>
            </w:r>
          </w:p>
        </w:tc>
        <w:tc>
          <w:tcPr>
            <w:tcW w:w="466" w:type="pct"/>
            <w:tcBorders>
              <w:top w:val="nil"/>
              <w:left w:val="nil"/>
              <w:bottom w:val="nil"/>
              <w:right w:val="nil"/>
            </w:tcBorders>
            <w:vAlign w:val="bottom"/>
          </w:tcPr>
          <w:p w14:paraId="14D697C6" w14:textId="0D4408AD" w:rsidR="003E797E" w:rsidRPr="00537128" w:rsidDel="00D96E20" w:rsidRDefault="003E797E" w:rsidP="003E797E">
            <w:pPr>
              <w:spacing w:after="0" w:line="320" w:lineRule="exact"/>
              <w:jc w:val="right"/>
              <w:rPr>
                <w:rFonts w:ascii="Calibri" w:eastAsia="Calibri" w:hAnsi="Calibri" w:cs="Calibri"/>
                <w:b/>
                <w:bCs/>
                <w:sz w:val="16"/>
                <w:szCs w:val="16"/>
                <w:lang w:val="en-US"/>
              </w:rPr>
            </w:pPr>
            <w:r w:rsidRPr="00F95646">
              <w:rPr>
                <w:rFonts w:ascii="Calibri" w:eastAsia="Calibri" w:hAnsi="Calibri" w:cs="Arial"/>
                <w:bCs/>
                <w:color w:val="000000"/>
                <w:sz w:val="16"/>
                <w:szCs w:val="16"/>
              </w:rPr>
              <w:t>117</w:t>
            </w:r>
            <w:r>
              <w:rPr>
                <w:rFonts w:ascii="Calibri" w:eastAsia="Calibri" w:hAnsi="Calibri" w:cs="Arial"/>
                <w:bCs/>
                <w:color w:val="000000"/>
                <w:sz w:val="16"/>
                <w:szCs w:val="16"/>
              </w:rPr>
              <w:t>,</w:t>
            </w:r>
            <w:r w:rsidRPr="00F95646">
              <w:rPr>
                <w:rFonts w:ascii="Calibri" w:eastAsia="Calibri" w:hAnsi="Calibri" w:cs="Arial"/>
                <w:bCs/>
                <w:color w:val="000000"/>
                <w:sz w:val="16"/>
                <w:szCs w:val="16"/>
              </w:rPr>
              <w:t>423</w:t>
            </w:r>
          </w:p>
        </w:tc>
      </w:tr>
      <w:tr w:rsidR="003E797E" w:rsidRPr="00537128" w14:paraId="76811FD1" w14:textId="77777777" w:rsidTr="00233CA2">
        <w:trPr>
          <w:trHeight w:val="299"/>
        </w:trPr>
        <w:tc>
          <w:tcPr>
            <w:tcW w:w="1224" w:type="pct"/>
          </w:tcPr>
          <w:p w14:paraId="38B780C1" w14:textId="77777777" w:rsidR="003E797E" w:rsidRPr="00537128" w:rsidRDefault="003E797E" w:rsidP="003E797E">
            <w:pPr>
              <w:tabs>
                <w:tab w:val="right" w:pos="1202"/>
              </w:tabs>
              <w:spacing w:after="0" w:line="320" w:lineRule="exact"/>
              <w:outlineLvl w:val="0"/>
              <w:rPr>
                <w:rFonts w:ascii="Calibri" w:eastAsia="Times New Roman" w:hAnsi="Calibri" w:cs="Arial"/>
                <w:b/>
                <w:bCs/>
                <w:sz w:val="16"/>
                <w:szCs w:val="16"/>
                <w:lang w:val="en-US"/>
              </w:rPr>
            </w:pPr>
            <w:bookmarkStart w:id="1025" w:name="_Toc4062736"/>
            <w:r w:rsidRPr="00537128">
              <w:rPr>
                <w:rFonts w:ascii="Calibri" w:eastAsia="Times New Roman" w:hAnsi="Calibri" w:cs="Arial"/>
                <w:spacing w:val="-2"/>
                <w:sz w:val="16"/>
                <w:szCs w:val="16"/>
                <w:lang w:val="en-US"/>
              </w:rPr>
              <w:t>Borrowings</w:t>
            </w:r>
            <w:bookmarkEnd w:id="1025"/>
            <w:r w:rsidRPr="00537128">
              <w:rPr>
                <w:rFonts w:ascii="Calibri" w:eastAsia="Times New Roman" w:hAnsi="Calibri" w:cs="Arial"/>
                <w:spacing w:val="-2"/>
                <w:sz w:val="16"/>
                <w:szCs w:val="16"/>
                <w:lang w:val="en-US"/>
              </w:rPr>
              <w:t xml:space="preserve"> </w:t>
            </w:r>
          </w:p>
        </w:tc>
        <w:tc>
          <w:tcPr>
            <w:tcW w:w="442" w:type="pct"/>
            <w:tcBorders>
              <w:top w:val="nil"/>
              <w:left w:val="nil"/>
              <w:bottom w:val="nil"/>
              <w:right w:val="nil"/>
            </w:tcBorders>
            <w:vAlign w:val="bottom"/>
          </w:tcPr>
          <w:p w14:paraId="72D331A5" w14:textId="4E9B7C30" w:rsidR="003E797E" w:rsidRPr="00537128" w:rsidRDefault="003E797E" w:rsidP="003E797E">
            <w:pPr>
              <w:spacing w:after="0" w:line="320" w:lineRule="exact"/>
              <w:jc w:val="right"/>
              <w:rPr>
                <w:rFonts w:ascii="Calibri" w:eastAsia="Calibri" w:hAnsi="Calibri" w:cs="Arial"/>
                <w:b/>
                <w:bCs/>
                <w:sz w:val="16"/>
                <w:szCs w:val="16"/>
                <w:lang w:val="en-US"/>
              </w:rPr>
            </w:pPr>
            <w:r w:rsidRPr="00F95646">
              <w:rPr>
                <w:rFonts w:ascii="Calibri" w:eastAsia="Calibri" w:hAnsi="Calibri" w:cs="Arial"/>
                <w:bCs/>
                <w:color w:val="000000"/>
                <w:sz w:val="16"/>
                <w:szCs w:val="16"/>
              </w:rPr>
              <w:t>156</w:t>
            </w:r>
            <w:r>
              <w:rPr>
                <w:rFonts w:ascii="Calibri" w:eastAsia="Calibri" w:hAnsi="Calibri" w:cs="Arial"/>
                <w:bCs/>
                <w:color w:val="000000"/>
                <w:sz w:val="16"/>
                <w:szCs w:val="16"/>
              </w:rPr>
              <w:t>,</w:t>
            </w:r>
            <w:r w:rsidRPr="00F95646">
              <w:rPr>
                <w:rFonts w:ascii="Calibri" w:eastAsia="Calibri" w:hAnsi="Calibri" w:cs="Arial"/>
                <w:bCs/>
                <w:color w:val="000000"/>
                <w:sz w:val="16"/>
                <w:szCs w:val="16"/>
              </w:rPr>
              <w:t>365</w:t>
            </w:r>
          </w:p>
        </w:tc>
        <w:tc>
          <w:tcPr>
            <w:tcW w:w="504" w:type="pct"/>
            <w:tcBorders>
              <w:top w:val="nil"/>
              <w:left w:val="nil"/>
              <w:bottom w:val="nil"/>
              <w:right w:val="nil"/>
            </w:tcBorders>
            <w:vAlign w:val="bottom"/>
          </w:tcPr>
          <w:p w14:paraId="2B24765D" w14:textId="7306406D" w:rsidR="003E797E" w:rsidRPr="00537128" w:rsidRDefault="003E797E" w:rsidP="003E797E">
            <w:pPr>
              <w:spacing w:after="0" w:line="320" w:lineRule="exact"/>
              <w:jc w:val="right"/>
              <w:rPr>
                <w:rFonts w:ascii="Calibri" w:eastAsia="Calibri" w:hAnsi="Calibri" w:cs="Arial"/>
                <w:b/>
                <w:bCs/>
                <w:sz w:val="16"/>
                <w:szCs w:val="16"/>
                <w:lang w:val="en-US"/>
              </w:rPr>
            </w:pPr>
            <w:r w:rsidRPr="00F95646">
              <w:rPr>
                <w:rFonts w:ascii="Calibri" w:eastAsia="Calibri" w:hAnsi="Calibri" w:cs="Arial"/>
                <w:bCs/>
                <w:color w:val="000000"/>
                <w:sz w:val="16"/>
                <w:szCs w:val="16"/>
              </w:rPr>
              <w:t>544</w:t>
            </w:r>
            <w:r>
              <w:rPr>
                <w:rFonts w:ascii="Calibri" w:eastAsia="Calibri" w:hAnsi="Calibri" w:cs="Arial"/>
                <w:bCs/>
                <w:color w:val="000000"/>
                <w:sz w:val="16"/>
                <w:szCs w:val="16"/>
              </w:rPr>
              <w:t>,</w:t>
            </w:r>
            <w:r w:rsidRPr="00F95646">
              <w:rPr>
                <w:rFonts w:ascii="Calibri" w:eastAsia="Calibri" w:hAnsi="Calibri" w:cs="Arial"/>
                <w:bCs/>
                <w:color w:val="000000"/>
                <w:sz w:val="16"/>
                <w:szCs w:val="16"/>
              </w:rPr>
              <w:t>389</w:t>
            </w:r>
          </w:p>
        </w:tc>
        <w:tc>
          <w:tcPr>
            <w:tcW w:w="440" w:type="pct"/>
            <w:tcBorders>
              <w:top w:val="nil"/>
              <w:left w:val="nil"/>
              <w:bottom w:val="nil"/>
              <w:right w:val="nil"/>
            </w:tcBorders>
            <w:vAlign w:val="bottom"/>
          </w:tcPr>
          <w:p w14:paraId="30DD8529" w14:textId="46327806" w:rsidR="003E797E" w:rsidRPr="00537128" w:rsidRDefault="003E797E" w:rsidP="003E797E">
            <w:pPr>
              <w:spacing w:after="0" w:line="320" w:lineRule="exact"/>
              <w:jc w:val="right"/>
              <w:rPr>
                <w:rFonts w:ascii="Calibri" w:eastAsia="Calibri" w:hAnsi="Calibri" w:cs="Arial"/>
                <w:b/>
                <w:bCs/>
                <w:sz w:val="16"/>
                <w:szCs w:val="16"/>
                <w:lang w:val="en-US"/>
              </w:rPr>
            </w:pPr>
            <w:r w:rsidRPr="00F95646">
              <w:rPr>
                <w:rFonts w:ascii="Calibri" w:eastAsia="Calibri" w:hAnsi="Calibri" w:cs="Arial"/>
                <w:bCs/>
                <w:color w:val="000000"/>
                <w:sz w:val="16"/>
                <w:szCs w:val="16"/>
              </w:rPr>
              <w:t>1</w:t>
            </w:r>
            <w:r>
              <w:rPr>
                <w:rFonts w:ascii="Calibri" w:eastAsia="Calibri" w:hAnsi="Calibri" w:cs="Arial"/>
                <w:bCs/>
                <w:color w:val="000000"/>
                <w:sz w:val="16"/>
                <w:szCs w:val="16"/>
              </w:rPr>
              <w:t>,</w:t>
            </w:r>
            <w:r w:rsidRPr="00F95646">
              <w:rPr>
                <w:rFonts w:ascii="Calibri" w:eastAsia="Calibri" w:hAnsi="Calibri" w:cs="Arial"/>
                <w:bCs/>
                <w:color w:val="000000"/>
                <w:sz w:val="16"/>
                <w:szCs w:val="16"/>
              </w:rPr>
              <w:t>713</w:t>
            </w:r>
            <w:r>
              <w:rPr>
                <w:rFonts w:ascii="Calibri" w:eastAsia="Calibri" w:hAnsi="Calibri" w:cs="Arial"/>
                <w:bCs/>
                <w:color w:val="000000"/>
                <w:sz w:val="16"/>
                <w:szCs w:val="16"/>
              </w:rPr>
              <w:t>,</w:t>
            </w:r>
            <w:r w:rsidRPr="00F95646">
              <w:rPr>
                <w:rFonts w:ascii="Calibri" w:eastAsia="Calibri" w:hAnsi="Calibri" w:cs="Arial"/>
                <w:bCs/>
                <w:color w:val="000000"/>
                <w:sz w:val="16"/>
                <w:szCs w:val="16"/>
              </w:rPr>
              <w:t>818</w:t>
            </w:r>
          </w:p>
        </w:tc>
        <w:tc>
          <w:tcPr>
            <w:tcW w:w="504" w:type="pct"/>
            <w:tcBorders>
              <w:top w:val="nil"/>
              <w:left w:val="nil"/>
              <w:bottom w:val="nil"/>
              <w:right w:val="nil"/>
            </w:tcBorders>
            <w:vAlign w:val="bottom"/>
          </w:tcPr>
          <w:p w14:paraId="3D4A324A" w14:textId="5F38F5A6" w:rsidR="003E797E" w:rsidRPr="00537128" w:rsidRDefault="003E797E" w:rsidP="003E797E">
            <w:pPr>
              <w:spacing w:after="0" w:line="320" w:lineRule="exact"/>
              <w:jc w:val="right"/>
              <w:rPr>
                <w:rFonts w:ascii="Calibri" w:eastAsia="Calibri" w:hAnsi="Calibri" w:cs="Arial"/>
                <w:b/>
                <w:bCs/>
                <w:sz w:val="16"/>
                <w:szCs w:val="16"/>
                <w:lang w:val="en-US"/>
              </w:rPr>
            </w:pPr>
            <w:r w:rsidRPr="00F95646">
              <w:rPr>
                <w:rFonts w:ascii="Calibri" w:eastAsia="Calibri" w:hAnsi="Calibri" w:cs="Arial"/>
                <w:bCs/>
                <w:color w:val="000000"/>
                <w:sz w:val="16"/>
                <w:szCs w:val="16"/>
              </w:rPr>
              <w:t>5</w:t>
            </w:r>
            <w:r>
              <w:rPr>
                <w:rFonts w:ascii="Calibri" w:eastAsia="Calibri" w:hAnsi="Calibri" w:cs="Arial"/>
                <w:bCs/>
                <w:color w:val="000000"/>
                <w:sz w:val="16"/>
                <w:szCs w:val="16"/>
              </w:rPr>
              <w:t>,</w:t>
            </w:r>
            <w:r w:rsidRPr="00F95646">
              <w:rPr>
                <w:rFonts w:ascii="Calibri" w:eastAsia="Calibri" w:hAnsi="Calibri" w:cs="Arial"/>
                <w:bCs/>
                <w:color w:val="000000"/>
                <w:sz w:val="16"/>
                <w:szCs w:val="16"/>
              </w:rPr>
              <w:t>689</w:t>
            </w:r>
            <w:r>
              <w:rPr>
                <w:rFonts w:ascii="Calibri" w:eastAsia="Calibri" w:hAnsi="Calibri" w:cs="Arial"/>
                <w:bCs/>
                <w:color w:val="000000"/>
                <w:sz w:val="16"/>
                <w:szCs w:val="16"/>
              </w:rPr>
              <w:t>,</w:t>
            </w:r>
            <w:r w:rsidRPr="00F95646">
              <w:rPr>
                <w:rFonts w:ascii="Calibri" w:eastAsia="Calibri" w:hAnsi="Calibri" w:cs="Arial"/>
                <w:bCs/>
                <w:color w:val="000000"/>
                <w:sz w:val="16"/>
                <w:szCs w:val="16"/>
              </w:rPr>
              <w:t>476</w:t>
            </w:r>
          </w:p>
        </w:tc>
        <w:tc>
          <w:tcPr>
            <w:tcW w:w="479" w:type="pct"/>
            <w:tcBorders>
              <w:top w:val="nil"/>
              <w:left w:val="nil"/>
              <w:bottom w:val="nil"/>
              <w:right w:val="nil"/>
            </w:tcBorders>
            <w:vAlign w:val="bottom"/>
          </w:tcPr>
          <w:p w14:paraId="627803CB" w14:textId="1AA666FA" w:rsidR="003E797E" w:rsidRPr="00537128" w:rsidRDefault="003E797E" w:rsidP="003E797E">
            <w:pPr>
              <w:spacing w:after="0" w:line="320" w:lineRule="exact"/>
              <w:jc w:val="right"/>
              <w:rPr>
                <w:rFonts w:ascii="Calibri" w:eastAsia="Calibri" w:hAnsi="Calibri" w:cs="Arial"/>
                <w:b/>
                <w:bCs/>
                <w:sz w:val="16"/>
                <w:szCs w:val="16"/>
                <w:lang w:val="en-US"/>
              </w:rPr>
            </w:pPr>
            <w:r w:rsidRPr="00F95646">
              <w:rPr>
                <w:rFonts w:ascii="Calibri" w:eastAsia="Calibri" w:hAnsi="Calibri" w:cs="Arial"/>
                <w:bCs/>
                <w:color w:val="000000"/>
                <w:sz w:val="16"/>
                <w:szCs w:val="16"/>
              </w:rPr>
              <w:t>7</w:t>
            </w:r>
            <w:r>
              <w:rPr>
                <w:rFonts w:ascii="Calibri" w:eastAsia="Calibri" w:hAnsi="Calibri" w:cs="Arial"/>
                <w:bCs/>
                <w:color w:val="000000"/>
                <w:sz w:val="16"/>
                <w:szCs w:val="16"/>
              </w:rPr>
              <w:t>,</w:t>
            </w:r>
            <w:r w:rsidRPr="00F95646">
              <w:rPr>
                <w:rFonts w:ascii="Calibri" w:eastAsia="Calibri" w:hAnsi="Calibri" w:cs="Arial"/>
                <w:bCs/>
                <w:color w:val="000000"/>
                <w:sz w:val="16"/>
                <w:szCs w:val="16"/>
              </w:rPr>
              <w:t>682</w:t>
            </w:r>
            <w:r>
              <w:rPr>
                <w:rFonts w:ascii="Calibri" w:eastAsia="Calibri" w:hAnsi="Calibri" w:cs="Arial"/>
                <w:bCs/>
                <w:color w:val="000000"/>
                <w:sz w:val="16"/>
                <w:szCs w:val="16"/>
              </w:rPr>
              <w:t>,</w:t>
            </w:r>
            <w:r w:rsidRPr="00F95646">
              <w:rPr>
                <w:rFonts w:ascii="Calibri" w:eastAsia="Calibri" w:hAnsi="Calibri" w:cs="Arial"/>
                <w:bCs/>
                <w:color w:val="000000"/>
                <w:sz w:val="16"/>
                <w:szCs w:val="16"/>
              </w:rPr>
              <w:t>788</w:t>
            </w:r>
          </w:p>
        </w:tc>
        <w:tc>
          <w:tcPr>
            <w:tcW w:w="467" w:type="pct"/>
            <w:tcBorders>
              <w:top w:val="nil"/>
              <w:left w:val="nil"/>
              <w:bottom w:val="nil"/>
              <w:right w:val="nil"/>
            </w:tcBorders>
            <w:vAlign w:val="bottom"/>
          </w:tcPr>
          <w:p w14:paraId="31366474" w14:textId="4F5083F8" w:rsidR="003E797E" w:rsidRPr="00537128" w:rsidRDefault="003E797E" w:rsidP="003E797E">
            <w:pPr>
              <w:spacing w:after="0" w:line="320" w:lineRule="exact"/>
              <w:jc w:val="right"/>
              <w:rPr>
                <w:rFonts w:ascii="Calibri" w:eastAsia="Calibri" w:hAnsi="Calibri" w:cs="Arial"/>
                <w:b/>
                <w:bCs/>
                <w:sz w:val="16"/>
                <w:szCs w:val="16"/>
                <w:lang w:val="en-US"/>
              </w:rPr>
            </w:pPr>
            <w:r w:rsidRPr="00F95646">
              <w:rPr>
                <w:rFonts w:ascii="Calibri" w:eastAsia="Calibri" w:hAnsi="Calibri" w:cs="Arial"/>
                <w:bCs/>
                <w:color w:val="000000"/>
                <w:sz w:val="16"/>
                <w:szCs w:val="16"/>
              </w:rPr>
              <w:t>41</w:t>
            </w:r>
            <w:r>
              <w:rPr>
                <w:rFonts w:ascii="Calibri" w:eastAsia="Calibri" w:hAnsi="Calibri" w:cs="Arial"/>
                <w:bCs/>
                <w:color w:val="000000"/>
                <w:sz w:val="16"/>
                <w:szCs w:val="16"/>
              </w:rPr>
              <w:t>,</w:t>
            </w:r>
            <w:r w:rsidRPr="00F95646">
              <w:rPr>
                <w:rFonts w:ascii="Calibri" w:eastAsia="Calibri" w:hAnsi="Calibri" w:cs="Arial"/>
                <w:bCs/>
                <w:color w:val="000000"/>
                <w:sz w:val="16"/>
                <w:szCs w:val="16"/>
              </w:rPr>
              <w:t>787</w:t>
            </w:r>
          </w:p>
        </w:tc>
        <w:tc>
          <w:tcPr>
            <w:tcW w:w="474" w:type="pct"/>
            <w:tcBorders>
              <w:top w:val="nil"/>
              <w:left w:val="nil"/>
              <w:bottom w:val="nil"/>
              <w:right w:val="nil"/>
            </w:tcBorders>
            <w:vAlign w:val="bottom"/>
          </w:tcPr>
          <w:p w14:paraId="0EB88A97" w14:textId="1C005509" w:rsidR="003E797E" w:rsidRPr="00537128" w:rsidRDefault="003E797E" w:rsidP="003E797E">
            <w:pPr>
              <w:spacing w:after="0" w:line="320" w:lineRule="exact"/>
              <w:jc w:val="right"/>
              <w:rPr>
                <w:rFonts w:ascii="Calibri" w:eastAsia="Calibri" w:hAnsi="Calibri" w:cs="Arial"/>
                <w:b/>
                <w:bCs/>
                <w:sz w:val="16"/>
                <w:szCs w:val="16"/>
                <w:lang w:val="en-US"/>
              </w:rPr>
            </w:pPr>
            <w:r w:rsidRPr="00F95646">
              <w:rPr>
                <w:rFonts w:ascii="Calibri" w:eastAsia="Calibri" w:hAnsi="Calibri" w:cs="Arial"/>
                <w:bCs/>
                <w:color w:val="000000"/>
                <w:sz w:val="16"/>
                <w:szCs w:val="16"/>
              </w:rPr>
              <w:t>15</w:t>
            </w:r>
            <w:r>
              <w:rPr>
                <w:rFonts w:ascii="Calibri" w:eastAsia="Calibri" w:hAnsi="Calibri" w:cs="Arial"/>
                <w:bCs/>
                <w:color w:val="000000"/>
                <w:sz w:val="16"/>
                <w:szCs w:val="16"/>
              </w:rPr>
              <w:t>,</w:t>
            </w:r>
            <w:r w:rsidRPr="00F95646">
              <w:rPr>
                <w:rFonts w:ascii="Calibri" w:eastAsia="Calibri" w:hAnsi="Calibri" w:cs="Arial"/>
                <w:bCs/>
                <w:color w:val="000000"/>
                <w:sz w:val="16"/>
                <w:szCs w:val="16"/>
              </w:rPr>
              <w:t>828</w:t>
            </w:r>
            <w:r>
              <w:rPr>
                <w:rFonts w:ascii="Calibri" w:eastAsia="Calibri" w:hAnsi="Calibri" w:cs="Arial"/>
                <w:bCs/>
                <w:color w:val="000000"/>
                <w:sz w:val="16"/>
                <w:szCs w:val="16"/>
              </w:rPr>
              <w:t>,</w:t>
            </w:r>
            <w:r w:rsidRPr="00F95646">
              <w:rPr>
                <w:rFonts w:ascii="Calibri" w:eastAsia="Calibri" w:hAnsi="Calibri" w:cs="Arial"/>
                <w:bCs/>
                <w:color w:val="000000"/>
                <w:sz w:val="16"/>
                <w:szCs w:val="16"/>
              </w:rPr>
              <w:t>623</w:t>
            </w:r>
          </w:p>
        </w:tc>
        <w:tc>
          <w:tcPr>
            <w:tcW w:w="466" w:type="pct"/>
            <w:tcBorders>
              <w:top w:val="nil"/>
              <w:left w:val="nil"/>
              <w:bottom w:val="nil"/>
              <w:right w:val="nil"/>
            </w:tcBorders>
            <w:vAlign w:val="bottom"/>
          </w:tcPr>
          <w:p w14:paraId="58A96B2A" w14:textId="5200CDDC" w:rsidR="003E797E" w:rsidRPr="00537128" w:rsidDel="00D96E20" w:rsidRDefault="003E797E" w:rsidP="003E797E">
            <w:pPr>
              <w:spacing w:after="0" w:line="320" w:lineRule="exact"/>
              <w:jc w:val="right"/>
              <w:rPr>
                <w:rFonts w:ascii="Calibri" w:eastAsia="Calibri" w:hAnsi="Calibri" w:cs="Calibri"/>
                <w:b/>
                <w:bCs/>
                <w:sz w:val="16"/>
                <w:szCs w:val="16"/>
                <w:lang w:val="en-US"/>
              </w:rPr>
            </w:pPr>
            <w:r w:rsidRPr="00F95646">
              <w:rPr>
                <w:rFonts w:ascii="Calibri" w:eastAsia="Calibri" w:hAnsi="Calibri" w:cs="Arial"/>
                <w:bCs/>
                <w:color w:val="000000"/>
                <w:sz w:val="16"/>
                <w:szCs w:val="16"/>
              </w:rPr>
              <w:t>15</w:t>
            </w:r>
            <w:r>
              <w:rPr>
                <w:rFonts w:ascii="Calibri" w:eastAsia="Calibri" w:hAnsi="Calibri" w:cs="Arial"/>
                <w:bCs/>
                <w:color w:val="000000"/>
                <w:sz w:val="16"/>
                <w:szCs w:val="16"/>
              </w:rPr>
              <w:t>,</w:t>
            </w:r>
            <w:r w:rsidRPr="00F95646">
              <w:rPr>
                <w:rFonts w:ascii="Calibri" w:eastAsia="Calibri" w:hAnsi="Calibri" w:cs="Arial"/>
                <w:bCs/>
                <w:color w:val="000000"/>
                <w:sz w:val="16"/>
                <w:szCs w:val="16"/>
              </w:rPr>
              <w:t>775</w:t>
            </w:r>
            <w:r>
              <w:rPr>
                <w:rFonts w:ascii="Calibri" w:eastAsia="Calibri" w:hAnsi="Calibri" w:cs="Arial"/>
                <w:bCs/>
                <w:color w:val="000000"/>
                <w:sz w:val="16"/>
                <w:szCs w:val="16"/>
              </w:rPr>
              <w:t>,</w:t>
            </w:r>
            <w:r w:rsidRPr="00F95646">
              <w:rPr>
                <w:rFonts w:ascii="Calibri" w:eastAsia="Calibri" w:hAnsi="Calibri" w:cs="Arial"/>
                <w:bCs/>
                <w:color w:val="000000"/>
                <w:sz w:val="16"/>
                <w:szCs w:val="16"/>
              </w:rPr>
              <w:t>471</w:t>
            </w:r>
          </w:p>
        </w:tc>
      </w:tr>
      <w:tr w:rsidR="003E797E" w:rsidRPr="00537128" w14:paraId="67F2D0BC" w14:textId="77777777" w:rsidTr="00233CA2">
        <w:trPr>
          <w:trHeight w:val="320"/>
        </w:trPr>
        <w:tc>
          <w:tcPr>
            <w:tcW w:w="1224" w:type="pct"/>
          </w:tcPr>
          <w:p w14:paraId="52AE94E7" w14:textId="77777777" w:rsidR="003E797E" w:rsidRPr="00537128" w:rsidRDefault="003E797E" w:rsidP="003E797E">
            <w:pPr>
              <w:tabs>
                <w:tab w:val="left" w:pos="-720"/>
              </w:tabs>
              <w:suppressAutoHyphens/>
              <w:spacing w:after="0" w:line="280" w:lineRule="exact"/>
              <w:ind w:right="-5"/>
              <w:rPr>
                <w:rFonts w:ascii="Calibri" w:eastAsia="Times New Roman" w:hAnsi="Calibri" w:cs="Arial"/>
                <w:spacing w:val="-2"/>
                <w:sz w:val="16"/>
                <w:szCs w:val="16"/>
                <w:lang w:val="en-US"/>
              </w:rPr>
            </w:pPr>
            <w:r w:rsidRPr="00537128">
              <w:rPr>
                <w:rFonts w:ascii="Calibri" w:eastAsia="Times New Roman" w:hAnsi="Calibri" w:cs="Arial"/>
                <w:spacing w:val="-2"/>
                <w:sz w:val="16"/>
                <w:szCs w:val="16"/>
                <w:lang w:val="en-US"/>
              </w:rPr>
              <w:t xml:space="preserve">Provisions for guarantees, </w:t>
            </w:r>
            <w:proofErr w:type="gramStart"/>
            <w:r w:rsidRPr="00537128">
              <w:rPr>
                <w:rFonts w:ascii="Calibri" w:eastAsia="Times New Roman" w:hAnsi="Calibri" w:cs="Arial"/>
                <w:spacing w:val="-2"/>
                <w:sz w:val="16"/>
                <w:szCs w:val="16"/>
                <w:lang w:val="en-US"/>
              </w:rPr>
              <w:t>commitments</w:t>
            </w:r>
            <w:proofErr w:type="gramEnd"/>
            <w:r w:rsidRPr="00537128">
              <w:rPr>
                <w:rFonts w:ascii="Calibri" w:eastAsia="Times New Roman" w:hAnsi="Calibri" w:cs="Arial"/>
                <w:spacing w:val="-2"/>
                <w:sz w:val="16"/>
                <w:szCs w:val="16"/>
                <w:lang w:val="en-US"/>
              </w:rPr>
              <w:t xml:space="preserve"> and other liabilities</w:t>
            </w:r>
          </w:p>
        </w:tc>
        <w:tc>
          <w:tcPr>
            <w:tcW w:w="442" w:type="pct"/>
            <w:tcBorders>
              <w:top w:val="nil"/>
              <w:left w:val="nil"/>
              <w:bottom w:val="nil"/>
              <w:right w:val="nil"/>
            </w:tcBorders>
            <w:vAlign w:val="bottom"/>
          </w:tcPr>
          <w:p w14:paraId="0E93450D" w14:textId="4AAA6BF8" w:rsidR="003E797E" w:rsidRPr="00537128" w:rsidRDefault="003E797E" w:rsidP="003E797E">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c>
          <w:tcPr>
            <w:tcW w:w="504" w:type="pct"/>
            <w:tcBorders>
              <w:top w:val="nil"/>
              <w:left w:val="nil"/>
              <w:bottom w:val="nil"/>
              <w:right w:val="nil"/>
            </w:tcBorders>
            <w:vAlign w:val="bottom"/>
          </w:tcPr>
          <w:p w14:paraId="42CCC31D" w14:textId="06FCDC58" w:rsidR="003E797E" w:rsidRPr="00537128" w:rsidRDefault="003E797E" w:rsidP="003E797E">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c>
          <w:tcPr>
            <w:tcW w:w="440" w:type="pct"/>
            <w:tcBorders>
              <w:top w:val="nil"/>
              <w:left w:val="nil"/>
              <w:bottom w:val="nil"/>
              <w:right w:val="nil"/>
            </w:tcBorders>
            <w:vAlign w:val="bottom"/>
          </w:tcPr>
          <w:p w14:paraId="4465FCA3" w14:textId="2D9DC7E1" w:rsidR="003E797E" w:rsidRPr="00537128" w:rsidRDefault="003E797E" w:rsidP="003E797E">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c>
          <w:tcPr>
            <w:tcW w:w="504" w:type="pct"/>
            <w:tcBorders>
              <w:top w:val="nil"/>
              <w:left w:val="nil"/>
              <w:bottom w:val="nil"/>
              <w:right w:val="nil"/>
            </w:tcBorders>
            <w:vAlign w:val="bottom"/>
          </w:tcPr>
          <w:p w14:paraId="1799CF89" w14:textId="1909C727" w:rsidR="003E797E" w:rsidRPr="00537128" w:rsidRDefault="003E797E" w:rsidP="003E797E">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c>
          <w:tcPr>
            <w:tcW w:w="479" w:type="pct"/>
            <w:tcBorders>
              <w:top w:val="nil"/>
              <w:left w:val="nil"/>
              <w:bottom w:val="nil"/>
              <w:right w:val="nil"/>
            </w:tcBorders>
            <w:vAlign w:val="bottom"/>
          </w:tcPr>
          <w:p w14:paraId="02BB77D7" w14:textId="2729D06D" w:rsidR="003E797E" w:rsidRPr="00537128" w:rsidRDefault="003E797E" w:rsidP="003E797E">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c>
          <w:tcPr>
            <w:tcW w:w="467" w:type="pct"/>
            <w:tcBorders>
              <w:top w:val="nil"/>
              <w:left w:val="nil"/>
              <w:bottom w:val="nil"/>
              <w:right w:val="nil"/>
            </w:tcBorders>
            <w:vAlign w:val="bottom"/>
          </w:tcPr>
          <w:p w14:paraId="6CF12801" w14:textId="37195221" w:rsidR="003E797E" w:rsidRPr="00537128" w:rsidRDefault="003E797E" w:rsidP="003E797E">
            <w:pPr>
              <w:spacing w:after="0" w:line="320" w:lineRule="exact"/>
              <w:jc w:val="right"/>
              <w:rPr>
                <w:rFonts w:ascii="Calibri" w:eastAsia="Times New Roman" w:hAnsi="Calibri" w:cs="Calibri"/>
                <w:sz w:val="16"/>
                <w:szCs w:val="16"/>
                <w:lang w:val="en-US"/>
              </w:rPr>
            </w:pPr>
            <w:r w:rsidRPr="00F95646">
              <w:rPr>
                <w:rFonts w:ascii="Calibri" w:eastAsia="Calibri" w:hAnsi="Calibri" w:cs="Arial"/>
                <w:bCs/>
                <w:color w:val="000000"/>
                <w:sz w:val="16"/>
                <w:szCs w:val="16"/>
              </w:rPr>
              <w:t>144</w:t>
            </w:r>
            <w:r>
              <w:rPr>
                <w:rFonts w:ascii="Calibri" w:eastAsia="Calibri" w:hAnsi="Calibri" w:cs="Arial"/>
                <w:bCs/>
                <w:color w:val="000000"/>
                <w:sz w:val="16"/>
                <w:szCs w:val="16"/>
              </w:rPr>
              <w:t>,</w:t>
            </w:r>
            <w:r w:rsidRPr="00F95646">
              <w:rPr>
                <w:rFonts w:ascii="Calibri" w:eastAsia="Calibri" w:hAnsi="Calibri" w:cs="Arial"/>
                <w:bCs/>
                <w:color w:val="000000"/>
                <w:sz w:val="16"/>
                <w:szCs w:val="16"/>
              </w:rPr>
              <w:t>905</w:t>
            </w:r>
          </w:p>
        </w:tc>
        <w:tc>
          <w:tcPr>
            <w:tcW w:w="474" w:type="pct"/>
            <w:tcBorders>
              <w:top w:val="nil"/>
              <w:left w:val="nil"/>
              <w:bottom w:val="nil"/>
              <w:right w:val="nil"/>
            </w:tcBorders>
            <w:vAlign w:val="bottom"/>
          </w:tcPr>
          <w:p w14:paraId="7A989158" w14:textId="379DF2C6" w:rsidR="003E797E" w:rsidRPr="00537128" w:rsidRDefault="003E797E" w:rsidP="003E797E">
            <w:pPr>
              <w:spacing w:after="0" w:line="320" w:lineRule="exact"/>
              <w:jc w:val="right"/>
              <w:rPr>
                <w:rFonts w:ascii="Calibri" w:eastAsia="Times New Roman" w:hAnsi="Calibri" w:cs="Calibri"/>
                <w:sz w:val="16"/>
                <w:szCs w:val="16"/>
                <w:lang w:val="en-US"/>
              </w:rPr>
            </w:pPr>
            <w:r w:rsidRPr="00F95646">
              <w:rPr>
                <w:rFonts w:ascii="Calibri" w:eastAsia="Calibri" w:hAnsi="Calibri" w:cs="Arial"/>
                <w:bCs/>
                <w:color w:val="000000"/>
                <w:sz w:val="16"/>
                <w:szCs w:val="16"/>
              </w:rPr>
              <w:t>144</w:t>
            </w:r>
            <w:r>
              <w:rPr>
                <w:rFonts w:ascii="Calibri" w:eastAsia="Calibri" w:hAnsi="Calibri" w:cs="Arial"/>
                <w:bCs/>
                <w:color w:val="000000"/>
                <w:sz w:val="16"/>
                <w:szCs w:val="16"/>
              </w:rPr>
              <w:t>,</w:t>
            </w:r>
            <w:r w:rsidRPr="00F95646">
              <w:rPr>
                <w:rFonts w:ascii="Calibri" w:eastAsia="Calibri" w:hAnsi="Calibri" w:cs="Arial"/>
                <w:bCs/>
                <w:color w:val="000000"/>
                <w:sz w:val="16"/>
                <w:szCs w:val="16"/>
              </w:rPr>
              <w:t>905</w:t>
            </w:r>
          </w:p>
        </w:tc>
        <w:tc>
          <w:tcPr>
            <w:tcW w:w="466" w:type="pct"/>
            <w:tcBorders>
              <w:top w:val="nil"/>
              <w:left w:val="nil"/>
              <w:bottom w:val="nil"/>
              <w:right w:val="nil"/>
            </w:tcBorders>
            <w:vAlign w:val="bottom"/>
          </w:tcPr>
          <w:p w14:paraId="4A0CCBCA" w14:textId="5DF053FE" w:rsidR="003E797E" w:rsidRPr="00537128" w:rsidRDefault="003E797E" w:rsidP="003E797E">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r>
      <w:tr w:rsidR="003E797E" w:rsidRPr="00537128" w14:paraId="28EDF61D" w14:textId="77777777" w:rsidTr="00233CA2">
        <w:trPr>
          <w:trHeight w:val="320"/>
        </w:trPr>
        <w:tc>
          <w:tcPr>
            <w:tcW w:w="1224" w:type="pct"/>
          </w:tcPr>
          <w:p w14:paraId="693E99A8" w14:textId="77777777" w:rsidR="003E797E" w:rsidRPr="00537128" w:rsidRDefault="003E797E" w:rsidP="003E797E">
            <w:pPr>
              <w:tabs>
                <w:tab w:val="right" w:pos="1202"/>
              </w:tabs>
              <w:spacing w:after="0" w:line="320" w:lineRule="exact"/>
              <w:outlineLvl w:val="0"/>
              <w:rPr>
                <w:rFonts w:ascii="Calibri" w:eastAsia="Times New Roman" w:hAnsi="Calibri" w:cs="Arial"/>
                <w:b/>
                <w:bCs/>
                <w:sz w:val="16"/>
                <w:szCs w:val="16"/>
                <w:lang w:val="en-US"/>
              </w:rPr>
            </w:pPr>
            <w:bookmarkStart w:id="1026" w:name="_Toc4062738"/>
            <w:r w:rsidRPr="00537128">
              <w:rPr>
                <w:rFonts w:ascii="Calibri" w:eastAsia="Times New Roman" w:hAnsi="Calibri" w:cs="Arial"/>
                <w:spacing w:val="-2"/>
                <w:sz w:val="16"/>
                <w:szCs w:val="16"/>
                <w:lang w:val="en-US"/>
              </w:rPr>
              <w:t>Other liabilities</w:t>
            </w:r>
            <w:bookmarkEnd w:id="1026"/>
            <w:r w:rsidRPr="00537128">
              <w:rPr>
                <w:rFonts w:ascii="Calibri" w:eastAsia="Times New Roman" w:hAnsi="Calibri" w:cs="Arial"/>
                <w:spacing w:val="-2"/>
                <w:sz w:val="16"/>
                <w:szCs w:val="16"/>
                <w:lang w:val="en-US"/>
              </w:rPr>
              <w:t xml:space="preserve"> </w:t>
            </w:r>
          </w:p>
        </w:tc>
        <w:tc>
          <w:tcPr>
            <w:tcW w:w="442" w:type="pct"/>
            <w:tcBorders>
              <w:top w:val="nil"/>
              <w:left w:val="nil"/>
              <w:bottom w:val="nil"/>
              <w:right w:val="nil"/>
            </w:tcBorders>
            <w:vAlign w:val="bottom"/>
          </w:tcPr>
          <w:p w14:paraId="2199A850" w14:textId="67D31AC7" w:rsidR="003E797E" w:rsidRPr="00537128" w:rsidRDefault="003E797E" w:rsidP="003E797E">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504" w:type="pct"/>
            <w:tcBorders>
              <w:top w:val="nil"/>
              <w:left w:val="nil"/>
              <w:bottom w:val="nil"/>
              <w:right w:val="nil"/>
            </w:tcBorders>
            <w:vAlign w:val="bottom"/>
          </w:tcPr>
          <w:p w14:paraId="1EDAB638" w14:textId="28B72687" w:rsidR="003E797E" w:rsidRPr="00537128" w:rsidRDefault="003E797E" w:rsidP="003E797E">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40" w:type="pct"/>
            <w:tcBorders>
              <w:top w:val="nil"/>
              <w:left w:val="nil"/>
              <w:bottom w:val="nil"/>
              <w:right w:val="nil"/>
            </w:tcBorders>
            <w:vAlign w:val="bottom"/>
          </w:tcPr>
          <w:p w14:paraId="478D3BD0" w14:textId="154DC18B" w:rsidR="003E797E" w:rsidRPr="00537128" w:rsidRDefault="003E797E" w:rsidP="003E797E">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504" w:type="pct"/>
            <w:tcBorders>
              <w:top w:val="nil"/>
              <w:left w:val="nil"/>
              <w:bottom w:val="nil"/>
              <w:right w:val="nil"/>
            </w:tcBorders>
            <w:vAlign w:val="bottom"/>
          </w:tcPr>
          <w:p w14:paraId="103C809E" w14:textId="6306A352" w:rsidR="003E797E" w:rsidRPr="00537128" w:rsidRDefault="003E797E" w:rsidP="003E797E">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79" w:type="pct"/>
            <w:tcBorders>
              <w:top w:val="nil"/>
              <w:left w:val="nil"/>
              <w:bottom w:val="nil"/>
              <w:right w:val="nil"/>
            </w:tcBorders>
            <w:vAlign w:val="bottom"/>
          </w:tcPr>
          <w:p w14:paraId="7C1EF002" w14:textId="10B478FA" w:rsidR="003E797E" w:rsidRPr="00537128" w:rsidRDefault="003E797E" w:rsidP="003E797E">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67" w:type="pct"/>
            <w:tcBorders>
              <w:top w:val="nil"/>
              <w:left w:val="nil"/>
              <w:right w:val="nil"/>
            </w:tcBorders>
            <w:vAlign w:val="bottom"/>
          </w:tcPr>
          <w:p w14:paraId="49EA68EC" w14:textId="1D7DB073" w:rsidR="003E797E" w:rsidRPr="00537128" w:rsidRDefault="003E797E" w:rsidP="003E797E">
            <w:pPr>
              <w:spacing w:after="0" w:line="320" w:lineRule="exact"/>
              <w:jc w:val="right"/>
              <w:rPr>
                <w:rFonts w:ascii="Calibri" w:eastAsia="Calibri" w:hAnsi="Calibri" w:cs="Arial"/>
                <w:b/>
                <w:bCs/>
                <w:sz w:val="16"/>
                <w:szCs w:val="16"/>
                <w:lang w:val="en-US"/>
              </w:rPr>
            </w:pPr>
            <w:r w:rsidRPr="00F95646">
              <w:rPr>
                <w:rFonts w:ascii="Calibri" w:eastAsia="Calibri" w:hAnsi="Calibri" w:cs="Arial"/>
                <w:bCs/>
                <w:color w:val="000000"/>
                <w:sz w:val="16"/>
                <w:szCs w:val="16"/>
              </w:rPr>
              <w:t>391</w:t>
            </w:r>
            <w:r>
              <w:rPr>
                <w:rFonts w:ascii="Calibri" w:eastAsia="Calibri" w:hAnsi="Calibri" w:cs="Arial"/>
                <w:bCs/>
                <w:color w:val="000000"/>
                <w:sz w:val="16"/>
                <w:szCs w:val="16"/>
              </w:rPr>
              <w:t>,</w:t>
            </w:r>
            <w:r w:rsidRPr="00F95646">
              <w:rPr>
                <w:rFonts w:ascii="Calibri" w:eastAsia="Calibri" w:hAnsi="Calibri" w:cs="Arial"/>
                <w:bCs/>
                <w:color w:val="000000"/>
                <w:sz w:val="16"/>
                <w:szCs w:val="16"/>
              </w:rPr>
              <w:t>987</w:t>
            </w:r>
          </w:p>
        </w:tc>
        <w:tc>
          <w:tcPr>
            <w:tcW w:w="474" w:type="pct"/>
            <w:tcBorders>
              <w:top w:val="nil"/>
              <w:left w:val="nil"/>
              <w:right w:val="nil"/>
            </w:tcBorders>
            <w:vAlign w:val="bottom"/>
          </w:tcPr>
          <w:p w14:paraId="40C80AAA" w14:textId="29E448B7" w:rsidR="003E797E" w:rsidRPr="00537128" w:rsidRDefault="003E797E" w:rsidP="003E797E">
            <w:pPr>
              <w:spacing w:after="0" w:line="320" w:lineRule="exact"/>
              <w:jc w:val="right"/>
              <w:rPr>
                <w:rFonts w:ascii="Calibri" w:eastAsia="Calibri" w:hAnsi="Calibri" w:cs="Arial"/>
                <w:b/>
                <w:bCs/>
                <w:sz w:val="16"/>
                <w:szCs w:val="16"/>
                <w:lang w:val="en-US"/>
              </w:rPr>
            </w:pPr>
            <w:r w:rsidRPr="00F95646">
              <w:rPr>
                <w:rFonts w:ascii="Calibri" w:eastAsia="Calibri" w:hAnsi="Calibri" w:cs="Arial"/>
                <w:bCs/>
                <w:color w:val="000000"/>
                <w:sz w:val="16"/>
                <w:szCs w:val="16"/>
              </w:rPr>
              <w:t>391</w:t>
            </w:r>
            <w:r>
              <w:rPr>
                <w:rFonts w:ascii="Calibri" w:eastAsia="Calibri" w:hAnsi="Calibri" w:cs="Arial"/>
                <w:bCs/>
                <w:color w:val="000000"/>
                <w:sz w:val="16"/>
                <w:szCs w:val="16"/>
              </w:rPr>
              <w:t>,</w:t>
            </w:r>
            <w:r w:rsidRPr="00F95646">
              <w:rPr>
                <w:rFonts w:ascii="Calibri" w:eastAsia="Calibri" w:hAnsi="Calibri" w:cs="Arial"/>
                <w:bCs/>
                <w:color w:val="000000"/>
                <w:sz w:val="16"/>
                <w:szCs w:val="16"/>
              </w:rPr>
              <w:t>987</w:t>
            </w:r>
          </w:p>
        </w:tc>
        <w:tc>
          <w:tcPr>
            <w:tcW w:w="466" w:type="pct"/>
            <w:tcBorders>
              <w:top w:val="nil"/>
              <w:left w:val="nil"/>
              <w:right w:val="nil"/>
            </w:tcBorders>
            <w:vAlign w:val="bottom"/>
          </w:tcPr>
          <w:p w14:paraId="554DE8EF" w14:textId="06EEAB05" w:rsidR="003E797E" w:rsidRPr="00537128" w:rsidDel="00D96E20" w:rsidRDefault="003E797E" w:rsidP="003E797E">
            <w:pPr>
              <w:spacing w:after="0" w:line="320" w:lineRule="exact"/>
              <w:jc w:val="right"/>
              <w:rPr>
                <w:rFonts w:ascii="Calibri" w:eastAsia="Calibri" w:hAnsi="Calibri" w:cs="Calibri"/>
                <w:b/>
                <w:bCs/>
                <w:sz w:val="16"/>
                <w:szCs w:val="16"/>
                <w:lang w:val="en-US"/>
              </w:rPr>
            </w:pPr>
            <w:r>
              <w:rPr>
                <w:rFonts w:ascii="Calibri" w:eastAsia="Calibri" w:hAnsi="Calibri" w:cs="Arial"/>
                <w:bCs/>
                <w:color w:val="000000"/>
                <w:sz w:val="16"/>
                <w:szCs w:val="16"/>
              </w:rPr>
              <w:t>-</w:t>
            </w:r>
          </w:p>
        </w:tc>
      </w:tr>
      <w:tr w:rsidR="003E797E" w:rsidRPr="00537128" w14:paraId="29BD2ED9" w14:textId="77777777" w:rsidTr="00233CA2">
        <w:trPr>
          <w:trHeight w:val="320"/>
        </w:trPr>
        <w:tc>
          <w:tcPr>
            <w:tcW w:w="1224" w:type="pct"/>
            <w:vAlign w:val="bottom"/>
          </w:tcPr>
          <w:p w14:paraId="4C076F7B" w14:textId="77777777" w:rsidR="003E797E" w:rsidRPr="00537128" w:rsidRDefault="003E797E" w:rsidP="003E797E">
            <w:pPr>
              <w:tabs>
                <w:tab w:val="right" w:pos="1202"/>
              </w:tabs>
              <w:spacing w:after="0" w:line="320" w:lineRule="exact"/>
              <w:outlineLvl w:val="0"/>
              <w:rPr>
                <w:rFonts w:ascii="Calibri" w:eastAsia="Times New Roman" w:hAnsi="Calibri" w:cs="Arial"/>
                <w:spacing w:val="-2"/>
                <w:sz w:val="16"/>
                <w:szCs w:val="16"/>
                <w:lang w:val="en-US"/>
              </w:rPr>
            </w:pPr>
            <w:bookmarkStart w:id="1027" w:name="_Toc4062739"/>
            <w:r w:rsidRPr="00537128">
              <w:rPr>
                <w:rFonts w:ascii="Calibri" w:eastAsia="Times New Roman" w:hAnsi="Calibri" w:cs="Arial"/>
                <w:b/>
                <w:bCs/>
                <w:sz w:val="16"/>
                <w:szCs w:val="16"/>
                <w:lang w:val="en-US"/>
              </w:rPr>
              <w:t>Total liabilities</w:t>
            </w:r>
            <w:bookmarkEnd w:id="1027"/>
            <w:r w:rsidRPr="00537128">
              <w:rPr>
                <w:rFonts w:ascii="Calibri" w:eastAsia="Times New Roman" w:hAnsi="Calibri" w:cs="Arial"/>
                <w:b/>
                <w:bCs/>
                <w:sz w:val="16"/>
                <w:szCs w:val="16"/>
                <w:lang w:val="en-US"/>
              </w:rPr>
              <w:t xml:space="preserve"> </w:t>
            </w:r>
          </w:p>
        </w:tc>
        <w:tc>
          <w:tcPr>
            <w:tcW w:w="442" w:type="pct"/>
            <w:tcBorders>
              <w:top w:val="single" w:sz="8" w:space="0" w:color="auto"/>
              <w:left w:val="nil"/>
              <w:bottom w:val="single" w:sz="12" w:space="0" w:color="auto"/>
              <w:right w:val="nil"/>
            </w:tcBorders>
            <w:vAlign w:val="bottom"/>
          </w:tcPr>
          <w:p w14:paraId="544C9D52" w14:textId="18BC8EE1" w:rsidR="003E797E" w:rsidRPr="00537128" w:rsidRDefault="003E797E" w:rsidP="003E797E">
            <w:pPr>
              <w:spacing w:after="0" w:line="320" w:lineRule="exact"/>
              <w:jc w:val="right"/>
              <w:rPr>
                <w:rFonts w:ascii="Calibri" w:eastAsia="Calibri" w:hAnsi="Calibri" w:cs="Arial"/>
                <w:b/>
                <w:bCs/>
                <w:sz w:val="16"/>
                <w:szCs w:val="16"/>
                <w:lang w:val="en-US"/>
              </w:rPr>
            </w:pPr>
            <w:r w:rsidRPr="00F95646">
              <w:rPr>
                <w:rFonts w:ascii="Calibri" w:eastAsia="Calibri" w:hAnsi="Calibri" w:cs="Arial"/>
                <w:b/>
                <w:color w:val="000000"/>
                <w:sz w:val="16"/>
                <w:szCs w:val="16"/>
              </w:rPr>
              <w:t>273</w:t>
            </w:r>
            <w:r>
              <w:rPr>
                <w:rFonts w:ascii="Calibri" w:eastAsia="Calibri" w:hAnsi="Calibri" w:cs="Arial"/>
                <w:b/>
                <w:color w:val="000000"/>
                <w:sz w:val="16"/>
                <w:szCs w:val="16"/>
              </w:rPr>
              <w:t>,</w:t>
            </w:r>
            <w:r w:rsidRPr="00F95646">
              <w:rPr>
                <w:rFonts w:ascii="Calibri" w:eastAsia="Calibri" w:hAnsi="Calibri" w:cs="Arial"/>
                <w:b/>
                <w:color w:val="000000"/>
                <w:sz w:val="16"/>
                <w:szCs w:val="16"/>
              </w:rPr>
              <w:t>788</w:t>
            </w:r>
          </w:p>
        </w:tc>
        <w:tc>
          <w:tcPr>
            <w:tcW w:w="504" w:type="pct"/>
            <w:tcBorders>
              <w:top w:val="single" w:sz="8" w:space="0" w:color="auto"/>
              <w:left w:val="nil"/>
              <w:bottom w:val="single" w:sz="12" w:space="0" w:color="auto"/>
              <w:right w:val="nil"/>
            </w:tcBorders>
            <w:vAlign w:val="bottom"/>
          </w:tcPr>
          <w:p w14:paraId="1A3C3240" w14:textId="70C9B741" w:rsidR="003E797E" w:rsidRPr="00537128" w:rsidRDefault="003E797E" w:rsidP="003E797E">
            <w:pPr>
              <w:spacing w:after="0" w:line="320" w:lineRule="exact"/>
              <w:jc w:val="right"/>
              <w:rPr>
                <w:rFonts w:ascii="Calibri" w:eastAsia="Calibri" w:hAnsi="Calibri" w:cs="Arial"/>
                <w:b/>
                <w:bCs/>
                <w:sz w:val="16"/>
                <w:szCs w:val="16"/>
                <w:lang w:val="en-US"/>
              </w:rPr>
            </w:pPr>
            <w:r w:rsidRPr="00F95646">
              <w:rPr>
                <w:rFonts w:ascii="Calibri" w:eastAsia="Calibri" w:hAnsi="Calibri" w:cs="Arial"/>
                <w:b/>
                <w:color w:val="000000"/>
                <w:sz w:val="16"/>
                <w:szCs w:val="16"/>
              </w:rPr>
              <w:t>544</w:t>
            </w:r>
            <w:r>
              <w:rPr>
                <w:rFonts w:ascii="Calibri" w:eastAsia="Calibri" w:hAnsi="Calibri" w:cs="Arial"/>
                <w:b/>
                <w:color w:val="000000"/>
                <w:sz w:val="16"/>
                <w:szCs w:val="16"/>
              </w:rPr>
              <w:t>,</w:t>
            </w:r>
            <w:r w:rsidRPr="00F95646">
              <w:rPr>
                <w:rFonts w:ascii="Calibri" w:eastAsia="Calibri" w:hAnsi="Calibri" w:cs="Arial"/>
                <w:b/>
                <w:color w:val="000000"/>
                <w:sz w:val="16"/>
                <w:szCs w:val="16"/>
              </w:rPr>
              <w:t>389</w:t>
            </w:r>
          </w:p>
        </w:tc>
        <w:tc>
          <w:tcPr>
            <w:tcW w:w="440" w:type="pct"/>
            <w:tcBorders>
              <w:top w:val="single" w:sz="8" w:space="0" w:color="auto"/>
              <w:left w:val="nil"/>
              <w:bottom w:val="single" w:sz="12" w:space="0" w:color="auto"/>
              <w:right w:val="nil"/>
            </w:tcBorders>
            <w:vAlign w:val="bottom"/>
          </w:tcPr>
          <w:p w14:paraId="12608477" w14:textId="15C2747D" w:rsidR="003E797E" w:rsidRPr="00537128" w:rsidRDefault="003E797E" w:rsidP="003E797E">
            <w:pPr>
              <w:spacing w:after="0" w:line="320" w:lineRule="exact"/>
              <w:jc w:val="right"/>
              <w:rPr>
                <w:rFonts w:ascii="Calibri" w:eastAsia="Calibri" w:hAnsi="Calibri" w:cs="Arial"/>
                <w:b/>
                <w:bCs/>
                <w:sz w:val="16"/>
                <w:szCs w:val="16"/>
                <w:lang w:val="en-US"/>
              </w:rPr>
            </w:pPr>
            <w:r w:rsidRPr="00F95646">
              <w:rPr>
                <w:rFonts w:ascii="Calibri" w:eastAsia="Calibri" w:hAnsi="Calibri" w:cs="Arial"/>
                <w:b/>
                <w:color w:val="000000"/>
                <w:sz w:val="16"/>
                <w:szCs w:val="16"/>
              </w:rPr>
              <w:t>1</w:t>
            </w:r>
            <w:r>
              <w:rPr>
                <w:rFonts w:ascii="Calibri" w:eastAsia="Calibri" w:hAnsi="Calibri" w:cs="Arial"/>
                <w:b/>
                <w:color w:val="000000"/>
                <w:sz w:val="16"/>
                <w:szCs w:val="16"/>
              </w:rPr>
              <w:t>,</w:t>
            </w:r>
            <w:r w:rsidRPr="00F95646">
              <w:rPr>
                <w:rFonts w:ascii="Calibri" w:eastAsia="Calibri" w:hAnsi="Calibri" w:cs="Arial"/>
                <w:b/>
                <w:color w:val="000000"/>
                <w:sz w:val="16"/>
                <w:szCs w:val="16"/>
              </w:rPr>
              <w:t>713</w:t>
            </w:r>
            <w:r>
              <w:rPr>
                <w:rFonts w:ascii="Calibri" w:eastAsia="Calibri" w:hAnsi="Calibri" w:cs="Arial"/>
                <w:b/>
                <w:color w:val="000000"/>
                <w:sz w:val="16"/>
                <w:szCs w:val="16"/>
              </w:rPr>
              <w:t>,</w:t>
            </w:r>
            <w:r w:rsidRPr="00F95646">
              <w:rPr>
                <w:rFonts w:ascii="Calibri" w:eastAsia="Calibri" w:hAnsi="Calibri" w:cs="Arial"/>
                <w:b/>
                <w:color w:val="000000"/>
                <w:sz w:val="16"/>
                <w:szCs w:val="16"/>
              </w:rPr>
              <w:t>818</w:t>
            </w:r>
          </w:p>
        </w:tc>
        <w:tc>
          <w:tcPr>
            <w:tcW w:w="504" w:type="pct"/>
            <w:tcBorders>
              <w:top w:val="single" w:sz="8" w:space="0" w:color="auto"/>
              <w:left w:val="nil"/>
              <w:bottom w:val="single" w:sz="12" w:space="0" w:color="auto"/>
              <w:right w:val="nil"/>
            </w:tcBorders>
            <w:vAlign w:val="bottom"/>
          </w:tcPr>
          <w:p w14:paraId="1BC67A16" w14:textId="392825E8" w:rsidR="003E797E" w:rsidRPr="00537128" w:rsidRDefault="003E797E" w:rsidP="003E797E">
            <w:pPr>
              <w:spacing w:after="0" w:line="320" w:lineRule="exact"/>
              <w:jc w:val="right"/>
              <w:rPr>
                <w:rFonts w:ascii="Calibri" w:eastAsia="Calibri" w:hAnsi="Calibri" w:cs="Arial"/>
                <w:b/>
                <w:bCs/>
                <w:sz w:val="16"/>
                <w:szCs w:val="16"/>
                <w:lang w:val="en-US"/>
              </w:rPr>
            </w:pPr>
            <w:r w:rsidRPr="00F95646">
              <w:rPr>
                <w:rFonts w:ascii="Calibri" w:eastAsia="Calibri" w:hAnsi="Calibri" w:cs="Arial"/>
                <w:b/>
                <w:color w:val="000000"/>
                <w:sz w:val="16"/>
                <w:szCs w:val="16"/>
              </w:rPr>
              <w:t>5</w:t>
            </w:r>
            <w:r>
              <w:rPr>
                <w:rFonts w:ascii="Calibri" w:eastAsia="Calibri" w:hAnsi="Calibri" w:cs="Arial"/>
                <w:b/>
                <w:color w:val="000000"/>
                <w:sz w:val="16"/>
                <w:szCs w:val="16"/>
              </w:rPr>
              <w:t>,</w:t>
            </w:r>
            <w:r w:rsidRPr="00F95646">
              <w:rPr>
                <w:rFonts w:ascii="Calibri" w:eastAsia="Calibri" w:hAnsi="Calibri" w:cs="Arial"/>
                <w:b/>
                <w:color w:val="000000"/>
                <w:sz w:val="16"/>
                <w:szCs w:val="16"/>
              </w:rPr>
              <w:t>689</w:t>
            </w:r>
            <w:r>
              <w:rPr>
                <w:rFonts w:ascii="Calibri" w:eastAsia="Calibri" w:hAnsi="Calibri" w:cs="Arial"/>
                <w:b/>
                <w:color w:val="000000"/>
                <w:sz w:val="16"/>
                <w:szCs w:val="16"/>
              </w:rPr>
              <w:t>,</w:t>
            </w:r>
            <w:r w:rsidRPr="00F95646">
              <w:rPr>
                <w:rFonts w:ascii="Calibri" w:eastAsia="Calibri" w:hAnsi="Calibri" w:cs="Arial"/>
                <w:b/>
                <w:color w:val="000000"/>
                <w:sz w:val="16"/>
                <w:szCs w:val="16"/>
              </w:rPr>
              <w:t>476</w:t>
            </w:r>
          </w:p>
        </w:tc>
        <w:tc>
          <w:tcPr>
            <w:tcW w:w="479" w:type="pct"/>
            <w:tcBorders>
              <w:top w:val="single" w:sz="8" w:space="0" w:color="auto"/>
              <w:left w:val="nil"/>
              <w:bottom w:val="single" w:sz="12" w:space="0" w:color="auto"/>
              <w:right w:val="nil"/>
            </w:tcBorders>
            <w:vAlign w:val="bottom"/>
          </w:tcPr>
          <w:p w14:paraId="284661F4" w14:textId="6467797D" w:rsidR="003E797E" w:rsidRPr="00537128" w:rsidRDefault="003E797E" w:rsidP="003E797E">
            <w:pPr>
              <w:spacing w:after="0" w:line="320" w:lineRule="exact"/>
              <w:jc w:val="right"/>
              <w:rPr>
                <w:rFonts w:ascii="Calibri" w:eastAsia="Calibri" w:hAnsi="Calibri" w:cs="Arial"/>
                <w:b/>
                <w:bCs/>
                <w:sz w:val="16"/>
                <w:szCs w:val="16"/>
                <w:lang w:val="en-US"/>
              </w:rPr>
            </w:pPr>
            <w:r w:rsidRPr="00F95646">
              <w:rPr>
                <w:rFonts w:ascii="Calibri" w:eastAsia="Calibri" w:hAnsi="Calibri" w:cs="Arial"/>
                <w:b/>
                <w:color w:val="000000"/>
                <w:sz w:val="16"/>
                <w:szCs w:val="16"/>
              </w:rPr>
              <w:t>7</w:t>
            </w:r>
            <w:r>
              <w:rPr>
                <w:rFonts w:ascii="Calibri" w:eastAsia="Calibri" w:hAnsi="Calibri" w:cs="Arial"/>
                <w:b/>
                <w:color w:val="000000"/>
                <w:sz w:val="16"/>
                <w:szCs w:val="16"/>
              </w:rPr>
              <w:t>,</w:t>
            </w:r>
            <w:r w:rsidRPr="00F95646">
              <w:rPr>
                <w:rFonts w:ascii="Calibri" w:eastAsia="Calibri" w:hAnsi="Calibri" w:cs="Arial"/>
                <w:b/>
                <w:color w:val="000000"/>
                <w:sz w:val="16"/>
                <w:szCs w:val="16"/>
              </w:rPr>
              <w:t>682</w:t>
            </w:r>
            <w:r>
              <w:rPr>
                <w:rFonts w:ascii="Calibri" w:eastAsia="Calibri" w:hAnsi="Calibri" w:cs="Arial"/>
                <w:b/>
                <w:color w:val="000000"/>
                <w:sz w:val="16"/>
                <w:szCs w:val="16"/>
              </w:rPr>
              <w:t>,</w:t>
            </w:r>
            <w:r w:rsidRPr="00F95646">
              <w:rPr>
                <w:rFonts w:ascii="Calibri" w:eastAsia="Calibri" w:hAnsi="Calibri" w:cs="Arial"/>
                <w:b/>
                <w:color w:val="000000"/>
                <w:sz w:val="16"/>
                <w:szCs w:val="16"/>
              </w:rPr>
              <w:t>788</w:t>
            </w:r>
          </w:p>
        </w:tc>
        <w:tc>
          <w:tcPr>
            <w:tcW w:w="467" w:type="pct"/>
            <w:tcBorders>
              <w:top w:val="single" w:sz="8" w:space="0" w:color="auto"/>
              <w:left w:val="nil"/>
              <w:bottom w:val="single" w:sz="12" w:space="0" w:color="auto"/>
              <w:right w:val="nil"/>
            </w:tcBorders>
            <w:vAlign w:val="bottom"/>
          </w:tcPr>
          <w:p w14:paraId="2F289DD1" w14:textId="72375840" w:rsidR="003E797E" w:rsidRPr="00537128" w:rsidRDefault="003E797E" w:rsidP="003E797E">
            <w:pPr>
              <w:spacing w:after="0" w:line="320" w:lineRule="exact"/>
              <w:jc w:val="right"/>
              <w:rPr>
                <w:rFonts w:ascii="Calibri" w:eastAsia="Calibri" w:hAnsi="Calibri" w:cs="Arial"/>
                <w:b/>
                <w:bCs/>
                <w:sz w:val="16"/>
                <w:szCs w:val="16"/>
                <w:lang w:val="en-US"/>
              </w:rPr>
            </w:pPr>
            <w:r w:rsidRPr="00F95646">
              <w:rPr>
                <w:rFonts w:ascii="Calibri" w:eastAsia="Calibri" w:hAnsi="Calibri" w:cs="Arial"/>
                <w:b/>
                <w:color w:val="000000"/>
                <w:sz w:val="16"/>
                <w:szCs w:val="16"/>
              </w:rPr>
              <w:t>1</w:t>
            </w:r>
            <w:r>
              <w:rPr>
                <w:rFonts w:ascii="Calibri" w:eastAsia="Calibri" w:hAnsi="Calibri" w:cs="Arial"/>
                <w:b/>
                <w:color w:val="000000"/>
                <w:sz w:val="16"/>
                <w:szCs w:val="16"/>
              </w:rPr>
              <w:t>,</w:t>
            </w:r>
            <w:r w:rsidRPr="00F95646">
              <w:rPr>
                <w:rFonts w:ascii="Calibri" w:eastAsia="Calibri" w:hAnsi="Calibri" w:cs="Arial"/>
                <w:b/>
                <w:color w:val="000000"/>
                <w:sz w:val="16"/>
                <w:szCs w:val="16"/>
              </w:rPr>
              <w:t>068</w:t>
            </w:r>
            <w:r>
              <w:rPr>
                <w:rFonts w:ascii="Calibri" w:eastAsia="Calibri" w:hAnsi="Calibri" w:cs="Arial"/>
                <w:b/>
                <w:color w:val="000000"/>
                <w:sz w:val="16"/>
                <w:szCs w:val="16"/>
              </w:rPr>
              <w:t>,</w:t>
            </w:r>
            <w:r w:rsidRPr="00F95646">
              <w:rPr>
                <w:rFonts w:ascii="Calibri" w:eastAsia="Calibri" w:hAnsi="Calibri" w:cs="Arial"/>
                <w:b/>
                <w:color w:val="000000"/>
                <w:sz w:val="16"/>
                <w:szCs w:val="16"/>
              </w:rPr>
              <w:t>793</w:t>
            </w:r>
          </w:p>
        </w:tc>
        <w:tc>
          <w:tcPr>
            <w:tcW w:w="474" w:type="pct"/>
            <w:tcBorders>
              <w:top w:val="single" w:sz="8" w:space="0" w:color="auto"/>
              <w:left w:val="nil"/>
              <w:bottom w:val="single" w:sz="12" w:space="0" w:color="auto"/>
              <w:right w:val="nil"/>
            </w:tcBorders>
            <w:vAlign w:val="bottom"/>
          </w:tcPr>
          <w:p w14:paraId="443B1C0A" w14:textId="493234B6" w:rsidR="003E797E" w:rsidRPr="00537128" w:rsidRDefault="003E797E" w:rsidP="003E797E">
            <w:pPr>
              <w:spacing w:after="0" w:line="320" w:lineRule="exact"/>
              <w:jc w:val="right"/>
              <w:rPr>
                <w:rFonts w:ascii="Calibri" w:eastAsia="Calibri" w:hAnsi="Calibri" w:cs="Arial"/>
                <w:b/>
                <w:bCs/>
                <w:sz w:val="16"/>
                <w:szCs w:val="16"/>
                <w:lang w:val="en-US"/>
              </w:rPr>
            </w:pPr>
            <w:r w:rsidRPr="00F95646">
              <w:rPr>
                <w:rFonts w:ascii="Calibri" w:eastAsia="Calibri" w:hAnsi="Calibri" w:cs="Arial"/>
                <w:b/>
                <w:color w:val="000000"/>
                <w:sz w:val="16"/>
                <w:szCs w:val="16"/>
              </w:rPr>
              <w:t>16</w:t>
            </w:r>
            <w:r>
              <w:rPr>
                <w:rFonts w:ascii="Calibri" w:eastAsia="Calibri" w:hAnsi="Calibri" w:cs="Arial"/>
                <w:b/>
                <w:color w:val="000000"/>
                <w:sz w:val="16"/>
                <w:szCs w:val="16"/>
              </w:rPr>
              <w:t>,</w:t>
            </w:r>
            <w:r w:rsidRPr="00F95646">
              <w:rPr>
                <w:rFonts w:ascii="Calibri" w:eastAsia="Calibri" w:hAnsi="Calibri" w:cs="Arial"/>
                <w:b/>
                <w:color w:val="000000"/>
                <w:sz w:val="16"/>
                <w:szCs w:val="16"/>
              </w:rPr>
              <w:t>973</w:t>
            </w:r>
            <w:r>
              <w:rPr>
                <w:rFonts w:ascii="Calibri" w:eastAsia="Calibri" w:hAnsi="Calibri" w:cs="Arial"/>
                <w:b/>
                <w:color w:val="000000"/>
                <w:sz w:val="16"/>
                <w:szCs w:val="16"/>
              </w:rPr>
              <w:t>,</w:t>
            </w:r>
            <w:r w:rsidRPr="00F95646">
              <w:rPr>
                <w:rFonts w:ascii="Calibri" w:eastAsia="Calibri" w:hAnsi="Calibri" w:cs="Arial"/>
                <w:b/>
                <w:color w:val="000000"/>
                <w:sz w:val="16"/>
                <w:szCs w:val="16"/>
              </w:rPr>
              <w:t>052</w:t>
            </w:r>
          </w:p>
        </w:tc>
        <w:tc>
          <w:tcPr>
            <w:tcW w:w="466" w:type="pct"/>
            <w:tcBorders>
              <w:top w:val="single" w:sz="8" w:space="0" w:color="auto"/>
              <w:left w:val="nil"/>
              <w:bottom w:val="single" w:sz="12" w:space="0" w:color="auto"/>
              <w:right w:val="nil"/>
            </w:tcBorders>
            <w:vAlign w:val="bottom"/>
          </w:tcPr>
          <w:p w14:paraId="2AAF7F8E" w14:textId="3AEDCB9B" w:rsidR="003E797E" w:rsidRPr="00537128" w:rsidDel="00D96E20" w:rsidRDefault="003E797E" w:rsidP="003E797E">
            <w:pPr>
              <w:spacing w:after="0" w:line="320" w:lineRule="exact"/>
              <w:jc w:val="right"/>
              <w:rPr>
                <w:rFonts w:ascii="Calibri" w:eastAsia="Calibri" w:hAnsi="Calibri" w:cs="Calibri"/>
                <w:b/>
                <w:bCs/>
                <w:sz w:val="16"/>
                <w:szCs w:val="16"/>
                <w:lang w:val="en-US"/>
              </w:rPr>
            </w:pPr>
            <w:r w:rsidRPr="00F95646">
              <w:rPr>
                <w:rFonts w:ascii="Calibri" w:eastAsia="Calibri" w:hAnsi="Calibri" w:cs="Arial"/>
                <w:b/>
                <w:color w:val="000000"/>
                <w:sz w:val="16"/>
                <w:szCs w:val="16"/>
              </w:rPr>
              <w:t>15</w:t>
            </w:r>
            <w:r>
              <w:rPr>
                <w:rFonts w:ascii="Calibri" w:eastAsia="Calibri" w:hAnsi="Calibri" w:cs="Arial"/>
                <w:b/>
                <w:color w:val="000000"/>
                <w:sz w:val="16"/>
                <w:szCs w:val="16"/>
              </w:rPr>
              <w:t>,</w:t>
            </w:r>
            <w:r w:rsidRPr="00F95646">
              <w:rPr>
                <w:rFonts w:ascii="Calibri" w:eastAsia="Calibri" w:hAnsi="Calibri" w:cs="Arial"/>
                <w:b/>
                <w:color w:val="000000"/>
                <w:sz w:val="16"/>
                <w:szCs w:val="16"/>
              </w:rPr>
              <w:t>892</w:t>
            </w:r>
            <w:r>
              <w:rPr>
                <w:rFonts w:ascii="Calibri" w:eastAsia="Calibri" w:hAnsi="Calibri" w:cs="Arial"/>
                <w:b/>
                <w:color w:val="000000"/>
                <w:sz w:val="16"/>
                <w:szCs w:val="16"/>
              </w:rPr>
              <w:t>,</w:t>
            </w:r>
            <w:r w:rsidRPr="00F95646">
              <w:rPr>
                <w:rFonts w:ascii="Calibri" w:eastAsia="Calibri" w:hAnsi="Calibri" w:cs="Arial"/>
                <w:b/>
                <w:color w:val="000000"/>
                <w:sz w:val="16"/>
                <w:szCs w:val="16"/>
              </w:rPr>
              <w:t>894</w:t>
            </w:r>
          </w:p>
        </w:tc>
      </w:tr>
      <w:tr w:rsidR="003E797E" w:rsidRPr="00537128" w14:paraId="152BB0ED" w14:textId="77777777" w:rsidTr="00043C42">
        <w:trPr>
          <w:trHeight w:val="320"/>
        </w:trPr>
        <w:tc>
          <w:tcPr>
            <w:tcW w:w="1224" w:type="pct"/>
            <w:vAlign w:val="bottom"/>
          </w:tcPr>
          <w:p w14:paraId="59BB0084" w14:textId="77777777" w:rsidR="003E797E" w:rsidRPr="00537128" w:rsidRDefault="003E797E" w:rsidP="003E797E">
            <w:pPr>
              <w:tabs>
                <w:tab w:val="right" w:pos="1202"/>
              </w:tabs>
              <w:spacing w:after="0" w:line="320" w:lineRule="exact"/>
              <w:outlineLvl w:val="0"/>
              <w:rPr>
                <w:rFonts w:ascii="Calibri" w:eastAsia="Times New Roman" w:hAnsi="Calibri" w:cs="Arial"/>
                <w:spacing w:val="-2"/>
                <w:sz w:val="16"/>
                <w:szCs w:val="16"/>
                <w:lang w:val="en-US"/>
              </w:rPr>
            </w:pPr>
            <w:bookmarkStart w:id="1028" w:name="_Toc4062740"/>
            <w:r w:rsidRPr="00537128">
              <w:rPr>
                <w:rFonts w:ascii="Calibri" w:eastAsia="Times New Roman" w:hAnsi="Calibri" w:cs="Arial"/>
                <w:b/>
                <w:bCs/>
                <w:spacing w:val="-2"/>
                <w:sz w:val="16"/>
                <w:szCs w:val="16"/>
                <w:lang w:val="en-US"/>
              </w:rPr>
              <w:t>Interest rate gap</w:t>
            </w:r>
            <w:bookmarkEnd w:id="1028"/>
          </w:p>
        </w:tc>
        <w:tc>
          <w:tcPr>
            <w:tcW w:w="442" w:type="pct"/>
            <w:tcBorders>
              <w:top w:val="nil"/>
              <w:left w:val="nil"/>
              <w:bottom w:val="single" w:sz="12" w:space="0" w:color="auto"/>
              <w:right w:val="nil"/>
            </w:tcBorders>
            <w:shd w:val="clear" w:color="auto" w:fill="auto"/>
            <w:vAlign w:val="bottom"/>
          </w:tcPr>
          <w:p w14:paraId="760F9EF1" w14:textId="7AA69109" w:rsidR="003E797E" w:rsidRPr="00537128" w:rsidRDefault="003E797E" w:rsidP="003E797E">
            <w:pPr>
              <w:spacing w:after="0" w:line="320" w:lineRule="exact"/>
              <w:jc w:val="right"/>
              <w:rPr>
                <w:rFonts w:ascii="Calibri" w:eastAsia="Calibri" w:hAnsi="Calibri" w:cs="Arial"/>
                <w:b/>
                <w:bCs/>
                <w:sz w:val="16"/>
                <w:szCs w:val="16"/>
                <w:lang w:val="en-US"/>
              </w:rPr>
            </w:pPr>
            <w:r w:rsidRPr="00F95646">
              <w:rPr>
                <w:rFonts w:ascii="Calibri" w:eastAsia="Calibri" w:hAnsi="Calibri" w:cs="Arial"/>
                <w:b/>
                <w:color w:val="000000"/>
                <w:sz w:val="16"/>
                <w:szCs w:val="16"/>
              </w:rPr>
              <w:t>4</w:t>
            </w:r>
            <w:r>
              <w:rPr>
                <w:rFonts w:ascii="Calibri" w:eastAsia="Calibri" w:hAnsi="Calibri" w:cs="Arial"/>
                <w:b/>
                <w:color w:val="000000"/>
                <w:sz w:val="16"/>
                <w:szCs w:val="16"/>
              </w:rPr>
              <w:t>,</w:t>
            </w:r>
            <w:r w:rsidRPr="00F95646">
              <w:rPr>
                <w:rFonts w:ascii="Calibri" w:eastAsia="Calibri" w:hAnsi="Calibri" w:cs="Arial"/>
                <w:b/>
                <w:color w:val="000000"/>
                <w:sz w:val="16"/>
                <w:szCs w:val="16"/>
              </w:rPr>
              <w:t>712</w:t>
            </w:r>
            <w:r>
              <w:rPr>
                <w:rFonts w:ascii="Calibri" w:eastAsia="Calibri" w:hAnsi="Calibri" w:cs="Arial"/>
                <w:b/>
                <w:color w:val="000000"/>
                <w:sz w:val="16"/>
                <w:szCs w:val="16"/>
              </w:rPr>
              <w:t>,</w:t>
            </w:r>
            <w:r w:rsidRPr="00F95646">
              <w:rPr>
                <w:rFonts w:ascii="Calibri" w:eastAsia="Calibri" w:hAnsi="Calibri" w:cs="Arial"/>
                <w:b/>
                <w:color w:val="000000"/>
                <w:sz w:val="16"/>
                <w:szCs w:val="16"/>
              </w:rPr>
              <w:t>7</w:t>
            </w:r>
            <w:r>
              <w:rPr>
                <w:rFonts w:ascii="Calibri" w:eastAsia="Calibri" w:hAnsi="Calibri" w:cs="Arial"/>
                <w:b/>
                <w:color w:val="000000"/>
                <w:sz w:val="16"/>
                <w:szCs w:val="16"/>
              </w:rPr>
              <w:t>39</w:t>
            </w:r>
          </w:p>
        </w:tc>
        <w:tc>
          <w:tcPr>
            <w:tcW w:w="504" w:type="pct"/>
            <w:tcBorders>
              <w:top w:val="nil"/>
              <w:left w:val="nil"/>
              <w:bottom w:val="single" w:sz="12" w:space="0" w:color="auto"/>
              <w:right w:val="nil"/>
            </w:tcBorders>
            <w:shd w:val="clear" w:color="auto" w:fill="auto"/>
            <w:vAlign w:val="bottom"/>
          </w:tcPr>
          <w:p w14:paraId="50517F55" w14:textId="04494E54" w:rsidR="003E797E" w:rsidRPr="00537128" w:rsidRDefault="003E797E" w:rsidP="003E797E">
            <w:pPr>
              <w:spacing w:after="0" w:line="320" w:lineRule="exact"/>
              <w:jc w:val="right"/>
              <w:rPr>
                <w:rFonts w:ascii="Calibri" w:eastAsia="Calibri" w:hAnsi="Calibri" w:cs="Arial"/>
                <w:b/>
                <w:bCs/>
                <w:sz w:val="16"/>
                <w:szCs w:val="16"/>
                <w:lang w:val="en-US"/>
              </w:rPr>
            </w:pPr>
            <w:r w:rsidRPr="00F95646">
              <w:rPr>
                <w:rFonts w:ascii="Calibri" w:eastAsia="Calibri" w:hAnsi="Calibri" w:cs="Arial"/>
                <w:b/>
                <w:color w:val="000000"/>
                <w:sz w:val="16"/>
                <w:szCs w:val="16"/>
              </w:rPr>
              <w:t>626</w:t>
            </w:r>
            <w:r>
              <w:rPr>
                <w:rFonts w:ascii="Calibri" w:eastAsia="Calibri" w:hAnsi="Calibri" w:cs="Arial"/>
                <w:b/>
                <w:color w:val="000000"/>
                <w:sz w:val="16"/>
                <w:szCs w:val="16"/>
              </w:rPr>
              <w:t>,</w:t>
            </w:r>
            <w:r w:rsidRPr="00F95646">
              <w:rPr>
                <w:rFonts w:ascii="Calibri" w:eastAsia="Calibri" w:hAnsi="Calibri" w:cs="Arial"/>
                <w:b/>
                <w:color w:val="000000"/>
                <w:sz w:val="16"/>
                <w:szCs w:val="16"/>
              </w:rPr>
              <w:t>737</w:t>
            </w:r>
          </w:p>
        </w:tc>
        <w:tc>
          <w:tcPr>
            <w:tcW w:w="440" w:type="pct"/>
            <w:tcBorders>
              <w:top w:val="nil"/>
              <w:left w:val="nil"/>
              <w:bottom w:val="single" w:sz="12" w:space="0" w:color="auto"/>
              <w:right w:val="nil"/>
            </w:tcBorders>
            <w:shd w:val="clear" w:color="auto" w:fill="auto"/>
            <w:vAlign w:val="bottom"/>
          </w:tcPr>
          <w:p w14:paraId="618EBC6A" w14:textId="610C5413" w:rsidR="003E797E" w:rsidRPr="00537128" w:rsidRDefault="003E797E" w:rsidP="003E797E">
            <w:pPr>
              <w:spacing w:after="0" w:line="320" w:lineRule="exact"/>
              <w:jc w:val="right"/>
              <w:rPr>
                <w:rFonts w:ascii="Calibri" w:eastAsia="Calibri" w:hAnsi="Calibri" w:cs="Arial"/>
                <w:b/>
                <w:bCs/>
                <w:sz w:val="16"/>
                <w:szCs w:val="16"/>
                <w:lang w:val="en-US"/>
              </w:rPr>
            </w:pPr>
            <w:r w:rsidRPr="00F95646">
              <w:rPr>
                <w:rFonts w:ascii="Calibri" w:eastAsia="Calibri" w:hAnsi="Calibri" w:cs="Arial"/>
                <w:b/>
                <w:color w:val="000000"/>
                <w:sz w:val="16"/>
                <w:szCs w:val="16"/>
              </w:rPr>
              <w:t>410</w:t>
            </w:r>
            <w:r>
              <w:rPr>
                <w:rFonts w:ascii="Calibri" w:eastAsia="Calibri" w:hAnsi="Calibri" w:cs="Arial"/>
                <w:b/>
                <w:color w:val="000000"/>
                <w:sz w:val="16"/>
                <w:szCs w:val="16"/>
              </w:rPr>
              <w:t>,</w:t>
            </w:r>
            <w:r w:rsidRPr="00F95646">
              <w:rPr>
                <w:rFonts w:ascii="Calibri" w:eastAsia="Calibri" w:hAnsi="Calibri" w:cs="Arial"/>
                <w:b/>
                <w:color w:val="000000"/>
                <w:sz w:val="16"/>
                <w:szCs w:val="16"/>
              </w:rPr>
              <w:t>005</w:t>
            </w:r>
          </w:p>
        </w:tc>
        <w:tc>
          <w:tcPr>
            <w:tcW w:w="504" w:type="pct"/>
            <w:tcBorders>
              <w:top w:val="nil"/>
              <w:left w:val="nil"/>
              <w:bottom w:val="single" w:sz="12" w:space="0" w:color="auto"/>
              <w:right w:val="nil"/>
            </w:tcBorders>
            <w:shd w:val="clear" w:color="auto" w:fill="auto"/>
            <w:vAlign w:val="bottom"/>
          </w:tcPr>
          <w:p w14:paraId="3BDF14DC" w14:textId="402E23D6" w:rsidR="003E797E" w:rsidRPr="00537128" w:rsidRDefault="003E797E" w:rsidP="003E797E">
            <w:pPr>
              <w:spacing w:after="0" w:line="320" w:lineRule="exact"/>
              <w:jc w:val="right"/>
              <w:rPr>
                <w:rFonts w:ascii="Calibri" w:eastAsia="Calibri" w:hAnsi="Calibri" w:cs="Arial"/>
                <w:b/>
                <w:bCs/>
                <w:sz w:val="16"/>
                <w:szCs w:val="16"/>
                <w:lang w:val="en-US"/>
              </w:rPr>
            </w:pPr>
            <w:r w:rsidRPr="00F95646">
              <w:rPr>
                <w:rFonts w:ascii="Calibri" w:eastAsia="Calibri" w:hAnsi="Calibri" w:cs="Arial"/>
                <w:b/>
                <w:color w:val="000000"/>
                <w:sz w:val="16"/>
                <w:szCs w:val="16"/>
              </w:rPr>
              <w:t>(714</w:t>
            </w:r>
            <w:r>
              <w:rPr>
                <w:rFonts w:ascii="Calibri" w:eastAsia="Calibri" w:hAnsi="Calibri" w:cs="Arial"/>
                <w:b/>
                <w:color w:val="000000"/>
                <w:sz w:val="16"/>
                <w:szCs w:val="16"/>
              </w:rPr>
              <w:t>,</w:t>
            </w:r>
            <w:r w:rsidRPr="00F95646">
              <w:rPr>
                <w:rFonts w:ascii="Calibri" w:eastAsia="Calibri" w:hAnsi="Calibri" w:cs="Arial"/>
                <w:b/>
                <w:color w:val="000000"/>
                <w:sz w:val="16"/>
                <w:szCs w:val="16"/>
              </w:rPr>
              <w:t>340)</w:t>
            </w:r>
          </w:p>
        </w:tc>
        <w:tc>
          <w:tcPr>
            <w:tcW w:w="479" w:type="pct"/>
            <w:tcBorders>
              <w:top w:val="nil"/>
              <w:left w:val="nil"/>
              <w:bottom w:val="single" w:sz="12" w:space="0" w:color="auto"/>
              <w:right w:val="nil"/>
            </w:tcBorders>
            <w:shd w:val="clear" w:color="auto" w:fill="auto"/>
            <w:vAlign w:val="bottom"/>
          </w:tcPr>
          <w:p w14:paraId="78301A67" w14:textId="6998A73D" w:rsidR="003E797E" w:rsidRPr="00537128" w:rsidRDefault="003E797E" w:rsidP="003E797E">
            <w:pPr>
              <w:spacing w:after="0" w:line="320" w:lineRule="exact"/>
              <w:jc w:val="right"/>
              <w:rPr>
                <w:rFonts w:ascii="Calibri" w:eastAsia="Calibri" w:hAnsi="Calibri" w:cs="Arial"/>
                <w:b/>
                <w:bCs/>
                <w:sz w:val="16"/>
                <w:szCs w:val="16"/>
                <w:lang w:val="en-US"/>
              </w:rPr>
            </w:pPr>
            <w:r w:rsidRPr="00F95646">
              <w:rPr>
                <w:rFonts w:ascii="Calibri" w:eastAsia="Calibri" w:hAnsi="Calibri" w:cs="Arial"/>
                <w:b/>
                <w:color w:val="000000"/>
                <w:sz w:val="16"/>
                <w:szCs w:val="16"/>
              </w:rPr>
              <w:t>5</w:t>
            </w:r>
            <w:r>
              <w:rPr>
                <w:rFonts w:ascii="Calibri" w:eastAsia="Calibri" w:hAnsi="Calibri" w:cs="Arial"/>
                <w:b/>
                <w:color w:val="000000"/>
                <w:sz w:val="16"/>
                <w:szCs w:val="16"/>
              </w:rPr>
              <w:t>,</w:t>
            </w:r>
            <w:r w:rsidRPr="00F95646">
              <w:rPr>
                <w:rFonts w:ascii="Calibri" w:eastAsia="Calibri" w:hAnsi="Calibri" w:cs="Arial"/>
                <w:b/>
                <w:color w:val="000000"/>
                <w:sz w:val="16"/>
                <w:szCs w:val="16"/>
              </w:rPr>
              <w:t>155</w:t>
            </w:r>
            <w:r>
              <w:rPr>
                <w:rFonts w:ascii="Calibri" w:eastAsia="Calibri" w:hAnsi="Calibri" w:cs="Arial"/>
                <w:b/>
                <w:color w:val="000000"/>
                <w:sz w:val="16"/>
                <w:szCs w:val="16"/>
              </w:rPr>
              <w:t>,</w:t>
            </w:r>
            <w:r w:rsidRPr="00F95646">
              <w:rPr>
                <w:rFonts w:ascii="Calibri" w:eastAsia="Calibri" w:hAnsi="Calibri" w:cs="Arial"/>
                <w:b/>
                <w:color w:val="000000"/>
                <w:sz w:val="16"/>
                <w:szCs w:val="16"/>
              </w:rPr>
              <w:t>540</w:t>
            </w:r>
          </w:p>
        </w:tc>
        <w:tc>
          <w:tcPr>
            <w:tcW w:w="467" w:type="pct"/>
            <w:tcBorders>
              <w:top w:val="nil"/>
              <w:left w:val="nil"/>
              <w:bottom w:val="single" w:sz="12" w:space="0" w:color="auto"/>
              <w:right w:val="nil"/>
            </w:tcBorders>
            <w:shd w:val="clear" w:color="auto" w:fill="auto"/>
            <w:vAlign w:val="bottom"/>
          </w:tcPr>
          <w:p w14:paraId="6871E37E" w14:textId="6B79AFF2" w:rsidR="003E797E" w:rsidRPr="00537128" w:rsidRDefault="003E797E" w:rsidP="003E797E">
            <w:pPr>
              <w:spacing w:after="0" w:line="320" w:lineRule="exact"/>
              <w:jc w:val="right"/>
              <w:rPr>
                <w:rFonts w:ascii="Calibri" w:eastAsia="Calibri" w:hAnsi="Calibri" w:cs="Arial"/>
                <w:b/>
                <w:bCs/>
                <w:sz w:val="16"/>
                <w:szCs w:val="16"/>
                <w:lang w:val="en-US"/>
              </w:rPr>
            </w:pPr>
            <w:r w:rsidRPr="00F95646">
              <w:rPr>
                <w:rFonts w:ascii="Calibri" w:eastAsia="Calibri" w:hAnsi="Calibri" w:cs="Arial"/>
                <w:b/>
                <w:color w:val="000000"/>
                <w:sz w:val="16"/>
                <w:szCs w:val="16"/>
              </w:rPr>
              <w:t>518</w:t>
            </w:r>
            <w:r>
              <w:rPr>
                <w:rFonts w:ascii="Calibri" w:eastAsia="Calibri" w:hAnsi="Calibri" w:cs="Arial"/>
                <w:b/>
                <w:color w:val="000000"/>
                <w:sz w:val="16"/>
                <w:szCs w:val="16"/>
              </w:rPr>
              <w:t>,</w:t>
            </w:r>
            <w:r w:rsidRPr="00F95646">
              <w:rPr>
                <w:rFonts w:ascii="Calibri" w:eastAsia="Calibri" w:hAnsi="Calibri" w:cs="Arial"/>
                <w:b/>
                <w:color w:val="000000"/>
                <w:sz w:val="16"/>
                <w:szCs w:val="16"/>
              </w:rPr>
              <w:t>98</w:t>
            </w:r>
            <w:r>
              <w:rPr>
                <w:rFonts w:ascii="Calibri" w:eastAsia="Calibri" w:hAnsi="Calibri" w:cs="Arial"/>
                <w:b/>
                <w:color w:val="000000"/>
                <w:sz w:val="16"/>
                <w:szCs w:val="16"/>
              </w:rPr>
              <w:t>9</w:t>
            </w:r>
          </w:p>
        </w:tc>
        <w:tc>
          <w:tcPr>
            <w:tcW w:w="474" w:type="pct"/>
            <w:tcBorders>
              <w:top w:val="nil"/>
              <w:left w:val="nil"/>
              <w:bottom w:val="single" w:sz="12" w:space="0" w:color="auto"/>
              <w:right w:val="nil"/>
            </w:tcBorders>
            <w:shd w:val="clear" w:color="auto" w:fill="auto"/>
            <w:vAlign w:val="bottom"/>
          </w:tcPr>
          <w:p w14:paraId="74313F33" w14:textId="78E46B07" w:rsidR="003E797E" w:rsidRPr="00537128" w:rsidRDefault="003E797E" w:rsidP="003E797E">
            <w:pPr>
              <w:spacing w:after="0" w:line="320" w:lineRule="exact"/>
              <w:jc w:val="right"/>
              <w:rPr>
                <w:rFonts w:ascii="Calibri" w:eastAsia="Calibri" w:hAnsi="Calibri" w:cs="Arial"/>
                <w:b/>
                <w:bCs/>
                <w:sz w:val="16"/>
                <w:szCs w:val="16"/>
                <w:lang w:val="en-US"/>
              </w:rPr>
            </w:pPr>
            <w:r w:rsidRPr="00F95646">
              <w:rPr>
                <w:rFonts w:ascii="Calibri" w:eastAsia="Calibri" w:hAnsi="Calibri" w:cs="Arial"/>
                <w:b/>
                <w:color w:val="000000"/>
                <w:sz w:val="16"/>
                <w:szCs w:val="16"/>
              </w:rPr>
              <w:t>10</w:t>
            </w:r>
            <w:r>
              <w:rPr>
                <w:rFonts w:ascii="Calibri" w:eastAsia="Calibri" w:hAnsi="Calibri" w:cs="Arial"/>
                <w:b/>
                <w:color w:val="000000"/>
                <w:sz w:val="16"/>
                <w:szCs w:val="16"/>
              </w:rPr>
              <w:t>,</w:t>
            </w:r>
            <w:r w:rsidRPr="00F95646">
              <w:rPr>
                <w:rFonts w:ascii="Calibri" w:eastAsia="Calibri" w:hAnsi="Calibri" w:cs="Arial"/>
                <w:b/>
                <w:color w:val="000000"/>
                <w:sz w:val="16"/>
                <w:szCs w:val="16"/>
              </w:rPr>
              <w:t>709</w:t>
            </w:r>
            <w:r>
              <w:rPr>
                <w:rFonts w:ascii="Calibri" w:eastAsia="Calibri" w:hAnsi="Calibri" w:cs="Arial"/>
                <w:b/>
                <w:color w:val="000000"/>
                <w:sz w:val="16"/>
                <w:szCs w:val="16"/>
              </w:rPr>
              <w:t>,</w:t>
            </w:r>
            <w:r w:rsidRPr="00F95646">
              <w:rPr>
                <w:rFonts w:ascii="Calibri" w:eastAsia="Calibri" w:hAnsi="Calibri" w:cs="Arial"/>
                <w:b/>
                <w:color w:val="000000"/>
                <w:sz w:val="16"/>
                <w:szCs w:val="16"/>
              </w:rPr>
              <w:t>670</w:t>
            </w:r>
          </w:p>
        </w:tc>
        <w:tc>
          <w:tcPr>
            <w:tcW w:w="466" w:type="pct"/>
            <w:tcBorders>
              <w:top w:val="nil"/>
              <w:left w:val="nil"/>
              <w:bottom w:val="single" w:sz="12" w:space="0" w:color="auto"/>
              <w:right w:val="nil"/>
            </w:tcBorders>
            <w:shd w:val="clear" w:color="auto" w:fill="auto"/>
            <w:vAlign w:val="bottom"/>
          </w:tcPr>
          <w:p w14:paraId="20526CFC" w14:textId="5F16D634" w:rsidR="003E797E" w:rsidRPr="00537128" w:rsidDel="00D96E20" w:rsidRDefault="003E797E" w:rsidP="003E797E">
            <w:pPr>
              <w:spacing w:after="0" w:line="320" w:lineRule="exact"/>
              <w:jc w:val="right"/>
              <w:rPr>
                <w:rFonts w:ascii="Calibri" w:eastAsia="Calibri" w:hAnsi="Calibri" w:cs="Calibri"/>
                <w:b/>
                <w:bCs/>
                <w:sz w:val="16"/>
                <w:szCs w:val="16"/>
                <w:lang w:val="en-US"/>
              </w:rPr>
            </w:pPr>
            <w:r w:rsidRPr="00F95646">
              <w:rPr>
                <w:rFonts w:ascii="Calibri" w:eastAsia="Calibri" w:hAnsi="Calibri" w:cs="Arial"/>
                <w:b/>
                <w:color w:val="000000"/>
                <w:sz w:val="16"/>
                <w:szCs w:val="16"/>
              </w:rPr>
              <w:t>9</w:t>
            </w:r>
            <w:r>
              <w:rPr>
                <w:rFonts w:ascii="Calibri" w:eastAsia="Calibri" w:hAnsi="Calibri" w:cs="Arial"/>
                <w:b/>
                <w:color w:val="000000"/>
                <w:sz w:val="16"/>
                <w:szCs w:val="16"/>
              </w:rPr>
              <w:t>,</w:t>
            </w:r>
            <w:r w:rsidRPr="00F95646">
              <w:rPr>
                <w:rFonts w:ascii="Calibri" w:eastAsia="Calibri" w:hAnsi="Calibri" w:cs="Arial"/>
                <w:b/>
                <w:color w:val="000000"/>
                <w:sz w:val="16"/>
                <w:szCs w:val="16"/>
              </w:rPr>
              <w:t>391</w:t>
            </w:r>
            <w:r>
              <w:rPr>
                <w:rFonts w:ascii="Calibri" w:eastAsia="Calibri" w:hAnsi="Calibri" w:cs="Arial"/>
                <w:b/>
                <w:color w:val="000000"/>
                <w:sz w:val="16"/>
                <w:szCs w:val="16"/>
              </w:rPr>
              <w:t>,</w:t>
            </w:r>
            <w:r w:rsidRPr="00F95646">
              <w:rPr>
                <w:rFonts w:ascii="Calibri" w:eastAsia="Calibri" w:hAnsi="Calibri" w:cs="Arial"/>
                <w:b/>
                <w:color w:val="000000"/>
                <w:sz w:val="16"/>
                <w:szCs w:val="16"/>
              </w:rPr>
              <w:t>68</w:t>
            </w:r>
            <w:r>
              <w:rPr>
                <w:rFonts w:ascii="Calibri" w:eastAsia="Calibri" w:hAnsi="Calibri" w:cs="Arial"/>
                <w:b/>
                <w:color w:val="000000"/>
                <w:sz w:val="16"/>
                <w:szCs w:val="16"/>
              </w:rPr>
              <w:t>8</w:t>
            </w:r>
          </w:p>
        </w:tc>
      </w:tr>
    </w:tbl>
    <w:p w14:paraId="7C643140" w14:textId="77777777" w:rsidR="008330AF" w:rsidRPr="00537128" w:rsidRDefault="008330AF" w:rsidP="008330AF">
      <w:pPr>
        <w:spacing w:after="0" w:line="240" w:lineRule="auto"/>
        <w:jc w:val="both"/>
        <w:rPr>
          <w:rFonts w:eastAsia="Times New Roman" w:cstheme="minorHAnsi"/>
          <w:b/>
          <w:bCs/>
          <w:iCs/>
          <w:color w:val="000000" w:themeColor="text1"/>
          <w:lang w:val="en-US"/>
        </w:rPr>
      </w:pPr>
    </w:p>
    <w:p w14:paraId="2AC24FC6"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p w14:paraId="7B7B2B94" w14:textId="77777777" w:rsidR="00292301" w:rsidRPr="00537128" w:rsidRDefault="00292301" w:rsidP="008330AF">
      <w:pPr>
        <w:spacing w:after="0" w:line="240" w:lineRule="auto"/>
        <w:jc w:val="both"/>
        <w:rPr>
          <w:rFonts w:eastAsia="Times New Roman" w:cstheme="minorHAnsi"/>
          <w:b/>
          <w:bCs/>
          <w:iCs/>
          <w:color w:val="000000" w:themeColor="text1"/>
          <w:lang w:val="en-US"/>
        </w:rPr>
        <w:sectPr w:rsidR="00292301" w:rsidRPr="00537128" w:rsidSect="00712478">
          <w:pgSz w:w="11906" w:h="16838"/>
          <w:pgMar w:top="1418" w:right="1134" w:bottom="1418" w:left="1418" w:header="709" w:footer="709" w:gutter="0"/>
          <w:cols w:space="708"/>
          <w:docGrid w:linePitch="360"/>
        </w:sectPr>
      </w:pPr>
    </w:p>
    <w:p w14:paraId="3F43C600"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260FC3F2" w14:textId="77777777" w:rsidR="00292301" w:rsidRPr="00537128" w:rsidRDefault="00292301">
      <w:pPr>
        <w:pStyle w:val="ListParagraph"/>
        <w:numPr>
          <w:ilvl w:val="0"/>
          <w:numId w:val="54"/>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45DCDB81"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44DDAD5E" w14:textId="6B2D16CA" w:rsidR="00292301" w:rsidRPr="00537128" w:rsidRDefault="00B357CE" w:rsidP="00292301">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 xml:space="preserve">.5. </w:t>
      </w:r>
      <w:r w:rsidR="00292301" w:rsidRPr="00537128">
        <w:rPr>
          <w:rFonts w:eastAsia="Times New Roman" w:cstheme="minorHAnsi"/>
          <w:b/>
          <w:iCs/>
          <w:color w:val="000000" w:themeColor="text1"/>
          <w:lang w:val="en-US"/>
        </w:rPr>
        <w:tab/>
        <w:t>Market risk (continued)</w:t>
      </w:r>
    </w:p>
    <w:p w14:paraId="0750D042"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4252370A" w14:textId="1DECBAD0" w:rsidR="00292301" w:rsidRDefault="00B357CE" w:rsidP="00292301">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.5.1.   Interest</w:t>
      </w:r>
      <w:r w:rsidR="00292301" w:rsidRPr="00537128">
        <w:rPr>
          <w:rFonts w:ascii="Calibri" w:eastAsia="Calibri" w:hAnsi="Calibri" w:cs="Arial"/>
          <w:b/>
          <w:bCs/>
          <w:lang w:val="en-US"/>
        </w:rPr>
        <w:t xml:space="preserve"> rate risk </w:t>
      </w:r>
      <w:r w:rsidR="00292301" w:rsidRPr="00537128">
        <w:rPr>
          <w:rFonts w:eastAsia="Times New Roman" w:cstheme="minorHAnsi"/>
          <w:b/>
          <w:iCs/>
          <w:color w:val="000000" w:themeColor="text1"/>
          <w:lang w:val="en-US"/>
        </w:rPr>
        <w:t>(continued)</w:t>
      </w:r>
    </w:p>
    <w:p w14:paraId="1DC781F9" w14:textId="77777777" w:rsidR="000C32D5" w:rsidRPr="00537128" w:rsidRDefault="000C32D5" w:rsidP="00292301">
      <w:pPr>
        <w:spacing w:after="0" w:line="240" w:lineRule="auto"/>
        <w:jc w:val="both"/>
        <w:rPr>
          <w:rFonts w:ascii="Calibri" w:eastAsia="Calibri" w:hAnsi="Calibri" w:cs="Arial"/>
          <w:b/>
          <w:bCs/>
          <w:lang w:val="en-US"/>
        </w:rPr>
      </w:pPr>
    </w:p>
    <w:p w14:paraId="671643E9"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tbl>
      <w:tblPr>
        <w:tblW w:w="5607" w:type="pct"/>
        <w:tblInd w:w="-709" w:type="dxa"/>
        <w:tblLayout w:type="fixed"/>
        <w:tblCellMar>
          <w:left w:w="120" w:type="dxa"/>
          <w:right w:w="120" w:type="dxa"/>
        </w:tblCellMar>
        <w:tblLook w:val="0000" w:firstRow="0" w:lastRow="0" w:firstColumn="0" w:lastColumn="0" w:noHBand="0" w:noVBand="0"/>
      </w:tblPr>
      <w:tblGrid>
        <w:gridCol w:w="2565"/>
        <w:gridCol w:w="927"/>
        <w:gridCol w:w="1057"/>
        <w:gridCol w:w="923"/>
        <w:gridCol w:w="1057"/>
        <w:gridCol w:w="1005"/>
        <w:gridCol w:w="980"/>
        <w:gridCol w:w="994"/>
        <w:gridCol w:w="982"/>
      </w:tblGrid>
      <w:tr w:rsidR="000C32D5" w:rsidRPr="000C32D5" w14:paraId="49EFA96E" w14:textId="77777777" w:rsidTr="00E44437">
        <w:trPr>
          <w:trHeight w:val="698"/>
        </w:trPr>
        <w:tc>
          <w:tcPr>
            <w:tcW w:w="1222" w:type="pct"/>
            <w:shd w:val="clear" w:color="auto" w:fill="auto"/>
            <w:vAlign w:val="center"/>
          </w:tcPr>
          <w:p w14:paraId="5D122B59" w14:textId="77777777" w:rsidR="000C32D5" w:rsidRPr="000C32D5" w:rsidRDefault="000C32D5" w:rsidP="000C32D5">
            <w:pPr>
              <w:tabs>
                <w:tab w:val="left" w:pos="-720"/>
              </w:tabs>
              <w:suppressAutoHyphens/>
              <w:spacing w:after="0" w:line="280" w:lineRule="exact"/>
              <w:ind w:right="-6"/>
              <w:rPr>
                <w:rFonts w:ascii="Calibri" w:eastAsia="Calibri" w:hAnsi="Calibri" w:cs="Arial"/>
                <w:b/>
                <w:sz w:val="16"/>
                <w:szCs w:val="16"/>
                <w:lang w:val="en-US"/>
              </w:rPr>
            </w:pPr>
            <w:r w:rsidRPr="000C32D5">
              <w:rPr>
                <w:rFonts w:ascii="Calibri" w:eastAsia="Calibri" w:hAnsi="Calibri" w:cs="Arial"/>
                <w:b/>
                <w:sz w:val="16"/>
                <w:szCs w:val="16"/>
                <w:lang w:val="en-US"/>
              </w:rPr>
              <w:t>Group</w:t>
            </w:r>
          </w:p>
          <w:p w14:paraId="1D15EAD2" w14:textId="77777777" w:rsidR="000C32D5" w:rsidRPr="000C32D5" w:rsidRDefault="000C32D5" w:rsidP="000C32D5">
            <w:pPr>
              <w:tabs>
                <w:tab w:val="left" w:pos="-720"/>
              </w:tabs>
              <w:suppressAutoHyphens/>
              <w:spacing w:after="0" w:line="280" w:lineRule="exact"/>
              <w:ind w:right="-6"/>
              <w:rPr>
                <w:rFonts w:ascii="Calibri" w:eastAsia="Calibri" w:hAnsi="Calibri" w:cs="Arial"/>
                <w:b/>
                <w:sz w:val="16"/>
                <w:szCs w:val="16"/>
                <w:lang w:val="en-US"/>
              </w:rPr>
            </w:pPr>
          </w:p>
          <w:p w14:paraId="6CDE4CEF" w14:textId="77777777" w:rsidR="000C32D5" w:rsidRPr="000C32D5" w:rsidRDefault="000C32D5" w:rsidP="000C32D5">
            <w:pPr>
              <w:tabs>
                <w:tab w:val="left" w:pos="-720"/>
              </w:tabs>
              <w:suppressAutoHyphens/>
              <w:spacing w:after="0" w:line="280" w:lineRule="exact"/>
              <w:ind w:right="-6"/>
              <w:rPr>
                <w:rFonts w:ascii="Calibri" w:eastAsia="Calibri" w:hAnsi="Calibri" w:cs="Arial"/>
                <w:b/>
                <w:sz w:val="16"/>
                <w:szCs w:val="16"/>
                <w:lang w:val="en-US"/>
              </w:rPr>
            </w:pPr>
            <w:r w:rsidRPr="000C32D5">
              <w:rPr>
                <w:rFonts w:ascii="Calibri" w:eastAsia="Calibri" w:hAnsi="Calibri" w:cs="Arial"/>
                <w:b/>
                <w:sz w:val="16"/>
                <w:szCs w:val="16"/>
                <w:lang w:val="en-US"/>
              </w:rPr>
              <w:t>31 December 2021</w:t>
            </w:r>
          </w:p>
        </w:tc>
        <w:tc>
          <w:tcPr>
            <w:tcW w:w="442" w:type="pct"/>
            <w:shd w:val="clear" w:color="auto" w:fill="auto"/>
          </w:tcPr>
          <w:p w14:paraId="273A5414" w14:textId="77777777" w:rsidR="000C32D5" w:rsidRPr="000C32D5" w:rsidRDefault="000C32D5" w:rsidP="000C32D5">
            <w:pPr>
              <w:tabs>
                <w:tab w:val="left" w:pos="-720"/>
              </w:tabs>
              <w:suppressAutoHyphens/>
              <w:spacing w:after="0" w:line="280" w:lineRule="exact"/>
              <w:ind w:right="-6"/>
              <w:jc w:val="right"/>
              <w:rPr>
                <w:rFonts w:ascii="Calibri" w:eastAsia="Calibri" w:hAnsi="Calibri" w:cs="Arial"/>
                <w:b/>
                <w:sz w:val="16"/>
                <w:szCs w:val="16"/>
                <w:lang w:val="en-US"/>
              </w:rPr>
            </w:pPr>
            <w:r w:rsidRPr="000C32D5">
              <w:rPr>
                <w:rFonts w:ascii="Calibri" w:eastAsia="Calibri" w:hAnsi="Calibri" w:cs="Arial"/>
                <w:b/>
                <w:sz w:val="16"/>
                <w:szCs w:val="16"/>
                <w:lang w:val="en-US"/>
              </w:rPr>
              <w:t>Up to 1 month</w:t>
            </w:r>
          </w:p>
        </w:tc>
        <w:tc>
          <w:tcPr>
            <w:tcW w:w="504" w:type="pct"/>
            <w:shd w:val="clear" w:color="auto" w:fill="auto"/>
          </w:tcPr>
          <w:p w14:paraId="03B8426F" w14:textId="77777777" w:rsidR="000C32D5" w:rsidRPr="000C32D5" w:rsidRDefault="000C32D5" w:rsidP="000C32D5">
            <w:pPr>
              <w:tabs>
                <w:tab w:val="left" w:pos="-720"/>
              </w:tabs>
              <w:suppressAutoHyphens/>
              <w:spacing w:after="0" w:line="280" w:lineRule="exact"/>
              <w:ind w:right="-6"/>
              <w:jc w:val="right"/>
              <w:rPr>
                <w:rFonts w:ascii="Calibri" w:eastAsia="Calibri" w:hAnsi="Calibri" w:cs="Arial"/>
                <w:b/>
                <w:sz w:val="16"/>
                <w:szCs w:val="16"/>
                <w:lang w:val="en-US"/>
              </w:rPr>
            </w:pPr>
            <w:r w:rsidRPr="000C32D5">
              <w:rPr>
                <w:rFonts w:ascii="Calibri" w:eastAsia="Calibri" w:hAnsi="Calibri" w:cs="Arial"/>
                <w:b/>
                <w:sz w:val="16"/>
                <w:szCs w:val="16"/>
                <w:lang w:val="en-US"/>
              </w:rPr>
              <w:t>1 to 3 months</w:t>
            </w:r>
          </w:p>
        </w:tc>
        <w:tc>
          <w:tcPr>
            <w:tcW w:w="440" w:type="pct"/>
            <w:shd w:val="clear" w:color="auto" w:fill="auto"/>
          </w:tcPr>
          <w:p w14:paraId="4ED95485" w14:textId="77777777" w:rsidR="000C32D5" w:rsidRPr="000C32D5" w:rsidRDefault="000C32D5" w:rsidP="000C32D5">
            <w:pPr>
              <w:tabs>
                <w:tab w:val="left" w:pos="-720"/>
              </w:tabs>
              <w:suppressAutoHyphens/>
              <w:spacing w:after="0" w:line="280" w:lineRule="exact"/>
              <w:ind w:right="-6"/>
              <w:jc w:val="right"/>
              <w:rPr>
                <w:rFonts w:ascii="Calibri" w:eastAsia="Calibri" w:hAnsi="Calibri" w:cs="Arial"/>
                <w:b/>
                <w:sz w:val="16"/>
                <w:szCs w:val="16"/>
                <w:lang w:val="en-US"/>
              </w:rPr>
            </w:pPr>
            <w:r w:rsidRPr="000C32D5">
              <w:rPr>
                <w:rFonts w:ascii="Calibri" w:eastAsia="Calibri" w:hAnsi="Calibri" w:cs="Arial"/>
                <w:b/>
                <w:sz w:val="16"/>
                <w:szCs w:val="16"/>
                <w:lang w:val="en-US"/>
              </w:rPr>
              <w:t xml:space="preserve">3 months to 1 year </w:t>
            </w:r>
          </w:p>
        </w:tc>
        <w:tc>
          <w:tcPr>
            <w:tcW w:w="504" w:type="pct"/>
            <w:shd w:val="clear" w:color="auto" w:fill="auto"/>
          </w:tcPr>
          <w:p w14:paraId="028C5500" w14:textId="77777777" w:rsidR="000C32D5" w:rsidRPr="000C32D5" w:rsidRDefault="000C32D5" w:rsidP="000C32D5">
            <w:pPr>
              <w:tabs>
                <w:tab w:val="left" w:pos="-720"/>
              </w:tabs>
              <w:suppressAutoHyphens/>
              <w:spacing w:after="0" w:line="280" w:lineRule="exact"/>
              <w:ind w:right="-6"/>
              <w:jc w:val="right"/>
              <w:rPr>
                <w:rFonts w:ascii="Calibri" w:eastAsia="Calibri" w:hAnsi="Calibri" w:cs="Arial"/>
                <w:b/>
                <w:sz w:val="16"/>
                <w:szCs w:val="16"/>
                <w:lang w:val="en-US"/>
              </w:rPr>
            </w:pPr>
            <w:r w:rsidRPr="000C32D5">
              <w:rPr>
                <w:rFonts w:ascii="Calibri" w:eastAsia="Calibri" w:hAnsi="Calibri" w:cs="Arial"/>
                <w:b/>
                <w:sz w:val="16"/>
                <w:szCs w:val="16"/>
                <w:lang w:val="en-US"/>
              </w:rPr>
              <w:t>1 to 3 years</w:t>
            </w:r>
          </w:p>
        </w:tc>
        <w:tc>
          <w:tcPr>
            <w:tcW w:w="479" w:type="pct"/>
            <w:shd w:val="clear" w:color="auto" w:fill="auto"/>
          </w:tcPr>
          <w:p w14:paraId="5CA59CF1" w14:textId="77777777" w:rsidR="000C32D5" w:rsidRPr="000C32D5" w:rsidRDefault="000C32D5" w:rsidP="000C32D5">
            <w:pPr>
              <w:tabs>
                <w:tab w:val="left" w:pos="-720"/>
              </w:tabs>
              <w:suppressAutoHyphens/>
              <w:spacing w:after="0" w:line="280" w:lineRule="exact"/>
              <w:ind w:right="-6"/>
              <w:jc w:val="right"/>
              <w:rPr>
                <w:rFonts w:ascii="Calibri" w:eastAsia="Calibri" w:hAnsi="Calibri" w:cs="Arial"/>
                <w:b/>
                <w:sz w:val="16"/>
                <w:szCs w:val="16"/>
                <w:lang w:val="en-US"/>
              </w:rPr>
            </w:pPr>
            <w:r w:rsidRPr="000C32D5">
              <w:rPr>
                <w:rFonts w:ascii="Calibri" w:eastAsia="Calibri" w:hAnsi="Calibri" w:cs="Arial"/>
                <w:b/>
                <w:sz w:val="16"/>
                <w:szCs w:val="16"/>
                <w:lang w:val="en-US"/>
              </w:rPr>
              <w:t>Over 3 years</w:t>
            </w:r>
          </w:p>
        </w:tc>
        <w:tc>
          <w:tcPr>
            <w:tcW w:w="467" w:type="pct"/>
            <w:shd w:val="clear" w:color="auto" w:fill="auto"/>
          </w:tcPr>
          <w:p w14:paraId="5882AF61" w14:textId="77777777" w:rsidR="000C32D5" w:rsidRPr="000C32D5" w:rsidRDefault="000C32D5" w:rsidP="000C32D5">
            <w:pPr>
              <w:tabs>
                <w:tab w:val="left" w:pos="-720"/>
              </w:tabs>
              <w:suppressAutoHyphens/>
              <w:spacing w:after="0" w:line="280" w:lineRule="exact"/>
              <w:ind w:right="-6"/>
              <w:jc w:val="right"/>
              <w:rPr>
                <w:rFonts w:ascii="Calibri" w:eastAsia="Calibri" w:hAnsi="Calibri" w:cs="Arial"/>
                <w:b/>
                <w:sz w:val="16"/>
                <w:szCs w:val="16"/>
                <w:lang w:val="en-US"/>
              </w:rPr>
            </w:pPr>
            <w:r w:rsidRPr="000C32D5">
              <w:rPr>
                <w:rFonts w:ascii="Calibri" w:eastAsia="Calibri" w:hAnsi="Calibri" w:cs="Arial"/>
                <w:b/>
                <w:sz w:val="16"/>
                <w:szCs w:val="16"/>
                <w:lang w:val="en-US"/>
              </w:rPr>
              <w:t>Non-interest bearing</w:t>
            </w:r>
          </w:p>
        </w:tc>
        <w:tc>
          <w:tcPr>
            <w:tcW w:w="474" w:type="pct"/>
            <w:shd w:val="clear" w:color="auto" w:fill="auto"/>
          </w:tcPr>
          <w:p w14:paraId="288F0750" w14:textId="77777777" w:rsidR="000C32D5" w:rsidRPr="000C32D5" w:rsidRDefault="000C32D5" w:rsidP="000C32D5">
            <w:pPr>
              <w:tabs>
                <w:tab w:val="left" w:pos="-720"/>
              </w:tabs>
              <w:suppressAutoHyphens/>
              <w:spacing w:after="0" w:line="280" w:lineRule="exact"/>
              <w:ind w:right="-6"/>
              <w:jc w:val="right"/>
              <w:rPr>
                <w:rFonts w:ascii="Calibri" w:eastAsia="Calibri" w:hAnsi="Calibri" w:cs="Arial"/>
                <w:b/>
                <w:sz w:val="16"/>
                <w:szCs w:val="16"/>
                <w:lang w:val="en-US"/>
              </w:rPr>
            </w:pPr>
            <w:r w:rsidRPr="000C32D5">
              <w:rPr>
                <w:rFonts w:ascii="Calibri" w:eastAsia="Calibri" w:hAnsi="Calibri" w:cs="Arial"/>
                <w:b/>
                <w:sz w:val="16"/>
                <w:szCs w:val="16"/>
                <w:lang w:val="en-US"/>
              </w:rPr>
              <w:t xml:space="preserve">Total </w:t>
            </w:r>
          </w:p>
        </w:tc>
        <w:tc>
          <w:tcPr>
            <w:tcW w:w="468" w:type="pct"/>
          </w:tcPr>
          <w:p w14:paraId="12185132" w14:textId="77777777" w:rsidR="000C32D5" w:rsidRPr="000C32D5" w:rsidRDefault="000C32D5" w:rsidP="000C32D5">
            <w:pPr>
              <w:tabs>
                <w:tab w:val="left" w:pos="-720"/>
              </w:tabs>
              <w:suppressAutoHyphens/>
              <w:spacing w:after="0" w:line="280" w:lineRule="exact"/>
              <w:ind w:right="-6"/>
              <w:jc w:val="right"/>
              <w:rPr>
                <w:rFonts w:ascii="Calibri" w:eastAsia="Calibri" w:hAnsi="Calibri" w:cs="Arial"/>
                <w:b/>
                <w:sz w:val="16"/>
                <w:szCs w:val="16"/>
                <w:lang w:val="en-US"/>
              </w:rPr>
            </w:pPr>
            <w:r w:rsidRPr="000C32D5">
              <w:rPr>
                <w:rFonts w:ascii="Calibri" w:eastAsia="Calibri" w:hAnsi="Calibri" w:cs="Arial"/>
                <w:b/>
                <w:sz w:val="16"/>
                <w:szCs w:val="16"/>
                <w:lang w:val="en-US"/>
              </w:rPr>
              <w:t>Fixed interest rate</w:t>
            </w:r>
          </w:p>
        </w:tc>
      </w:tr>
      <w:tr w:rsidR="000C32D5" w:rsidRPr="000C32D5" w14:paraId="0F55D315" w14:textId="77777777" w:rsidTr="00E44437">
        <w:trPr>
          <w:trHeight w:hRule="exact" w:val="227"/>
        </w:trPr>
        <w:tc>
          <w:tcPr>
            <w:tcW w:w="1222" w:type="pct"/>
            <w:shd w:val="clear" w:color="auto" w:fill="auto"/>
            <w:vAlign w:val="center"/>
          </w:tcPr>
          <w:p w14:paraId="0A43B8A1" w14:textId="77777777" w:rsidR="000C32D5" w:rsidRPr="000C32D5" w:rsidRDefault="000C32D5" w:rsidP="000C32D5">
            <w:pPr>
              <w:tabs>
                <w:tab w:val="left" w:pos="-720"/>
              </w:tabs>
              <w:suppressAutoHyphens/>
              <w:spacing w:after="0" w:line="280" w:lineRule="exact"/>
              <w:ind w:right="-6"/>
              <w:rPr>
                <w:rFonts w:ascii="Calibri" w:eastAsia="Calibri" w:hAnsi="Calibri" w:cs="Arial"/>
                <w:b/>
                <w:sz w:val="16"/>
                <w:szCs w:val="16"/>
                <w:lang w:val="en-US"/>
              </w:rPr>
            </w:pPr>
          </w:p>
        </w:tc>
        <w:tc>
          <w:tcPr>
            <w:tcW w:w="442" w:type="pct"/>
            <w:shd w:val="clear" w:color="auto" w:fill="auto"/>
          </w:tcPr>
          <w:p w14:paraId="630EBFE5" w14:textId="77777777" w:rsidR="000C32D5" w:rsidRPr="000C32D5" w:rsidRDefault="000C32D5" w:rsidP="000C32D5">
            <w:pPr>
              <w:tabs>
                <w:tab w:val="left" w:pos="-720"/>
              </w:tabs>
              <w:suppressAutoHyphens/>
              <w:spacing w:after="0" w:line="240" w:lineRule="auto"/>
              <w:ind w:right="-6"/>
              <w:jc w:val="right"/>
              <w:rPr>
                <w:rFonts w:ascii="Calibri" w:eastAsia="Calibri" w:hAnsi="Calibri" w:cs="Arial"/>
                <w:b/>
                <w:sz w:val="16"/>
                <w:szCs w:val="16"/>
                <w:lang w:val="en-US"/>
              </w:rPr>
            </w:pPr>
            <w:r w:rsidRPr="000C32D5">
              <w:rPr>
                <w:rFonts w:ascii="Calibri" w:eastAsia="Calibri" w:hAnsi="Calibri" w:cs="Times New Roman"/>
                <w:b/>
                <w:sz w:val="16"/>
                <w:szCs w:val="16"/>
                <w:lang w:val="en-US"/>
              </w:rPr>
              <w:t>HRK ‘000</w:t>
            </w:r>
          </w:p>
        </w:tc>
        <w:tc>
          <w:tcPr>
            <w:tcW w:w="504" w:type="pct"/>
            <w:shd w:val="clear" w:color="auto" w:fill="auto"/>
          </w:tcPr>
          <w:p w14:paraId="47E49200" w14:textId="77777777" w:rsidR="000C32D5" w:rsidRPr="000C32D5" w:rsidRDefault="000C32D5" w:rsidP="000C32D5">
            <w:pPr>
              <w:tabs>
                <w:tab w:val="left" w:pos="-720"/>
              </w:tabs>
              <w:suppressAutoHyphens/>
              <w:spacing w:after="0" w:line="240" w:lineRule="auto"/>
              <w:ind w:right="-6"/>
              <w:jc w:val="right"/>
              <w:rPr>
                <w:rFonts w:ascii="Calibri" w:eastAsia="Calibri" w:hAnsi="Calibri" w:cs="Arial"/>
                <w:b/>
                <w:sz w:val="16"/>
                <w:szCs w:val="16"/>
                <w:lang w:val="en-US"/>
              </w:rPr>
            </w:pPr>
            <w:r w:rsidRPr="000C32D5">
              <w:rPr>
                <w:rFonts w:ascii="Calibri" w:eastAsia="Calibri" w:hAnsi="Calibri" w:cs="Times New Roman"/>
                <w:b/>
                <w:sz w:val="16"/>
                <w:szCs w:val="16"/>
                <w:lang w:val="en-US"/>
              </w:rPr>
              <w:t>HRK ‘000</w:t>
            </w:r>
          </w:p>
        </w:tc>
        <w:tc>
          <w:tcPr>
            <w:tcW w:w="440" w:type="pct"/>
            <w:shd w:val="clear" w:color="auto" w:fill="auto"/>
          </w:tcPr>
          <w:p w14:paraId="26C1F3BA" w14:textId="77777777" w:rsidR="000C32D5" w:rsidRPr="000C32D5" w:rsidRDefault="000C32D5" w:rsidP="000C32D5">
            <w:pPr>
              <w:tabs>
                <w:tab w:val="left" w:pos="-720"/>
              </w:tabs>
              <w:suppressAutoHyphens/>
              <w:spacing w:after="0" w:line="240" w:lineRule="auto"/>
              <w:ind w:right="-6"/>
              <w:jc w:val="right"/>
              <w:rPr>
                <w:rFonts w:ascii="Calibri" w:eastAsia="Calibri" w:hAnsi="Calibri" w:cs="Arial"/>
                <w:b/>
                <w:sz w:val="16"/>
                <w:szCs w:val="16"/>
                <w:lang w:val="en-US"/>
              </w:rPr>
            </w:pPr>
            <w:r w:rsidRPr="000C32D5">
              <w:rPr>
                <w:rFonts w:ascii="Calibri" w:eastAsia="Calibri" w:hAnsi="Calibri" w:cs="Times New Roman"/>
                <w:b/>
                <w:sz w:val="16"/>
                <w:szCs w:val="16"/>
                <w:lang w:val="en-US"/>
              </w:rPr>
              <w:t>HRK ‘000</w:t>
            </w:r>
          </w:p>
        </w:tc>
        <w:tc>
          <w:tcPr>
            <w:tcW w:w="504" w:type="pct"/>
            <w:shd w:val="clear" w:color="auto" w:fill="auto"/>
          </w:tcPr>
          <w:p w14:paraId="79AFE55B" w14:textId="77777777" w:rsidR="000C32D5" w:rsidRPr="000C32D5" w:rsidRDefault="000C32D5" w:rsidP="000C32D5">
            <w:pPr>
              <w:tabs>
                <w:tab w:val="left" w:pos="-720"/>
              </w:tabs>
              <w:suppressAutoHyphens/>
              <w:spacing w:after="0" w:line="240" w:lineRule="auto"/>
              <w:ind w:right="-6"/>
              <w:jc w:val="right"/>
              <w:rPr>
                <w:rFonts w:ascii="Calibri" w:eastAsia="Calibri" w:hAnsi="Calibri" w:cs="Arial"/>
                <w:b/>
                <w:sz w:val="16"/>
                <w:szCs w:val="16"/>
                <w:lang w:val="en-US"/>
              </w:rPr>
            </w:pPr>
            <w:r w:rsidRPr="000C32D5">
              <w:rPr>
                <w:rFonts w:ascii="Calibri" w:eastAsia="Calibri" w:hAnsi="Calibri" w:cs="Times New Roman"/>
                <w:b/>
                <w:sz w:val="16"/>
                <w:szCs w:val="16"/>
                <w:lang w:val="en-US"/>
              </w:rPr>
              <w:t>HRK ‘000</w:t>
            </w:r>
          </w:p>
        </w:tc>
        <w:tc>
          <w:tcPr>
            <w:tcW w:w="479" w:type="pct"/>
            <w:shd w:val="clear" w:color="auto" w:fill="auto"/>
          </w:tcPr>
          <w:p w14:paraId="6BFEDC80" w14:textId="77777777" w:rsidR="000C32D5" w:rsidRPr="000C32D5" w:rsidRDefault="000C32D5" w:rsidP="000C32D5">
            <w:pPr>
              <w:tabs>
                <w:tab w:val="left" w:pos="-720"/>
              </w:tabs>
              <w:suppressAutoHyphens/>
              <w:spacing w:after="0" w:line="240" w:lineRule="auto"/>
              <w:ind w:right="-6"/>
              <w:jc w:val="right"/>
              <w:rPr>
                <w:rFonts w:ascii="Calibri" w:eastAsia="Calibri" w:hAnsi="Calibri" w:cs="Arial"/>
                <w:b/>
                <w:sz w:val="16"/>
                <w:szCs w:val="16"/>
                <w:lang w:val="en-US"/>
              </w:rPr>
            </w:pPr>
            <w:r w:rsidRPr="000C32D5">
              <w:rPr>
                <w:rFonts w:ascii="Calibri" w:eastAsia="Calibri" w:hAnsi="Calibri" w:cs="Times New Roman"/>
                <w:b/>
                <w:sz w:val="16"/>
                <w:szCs w:val="16"/>
                <w:lang w:val="en-US"/>
              </w:rPr>
              <w:t>HRK ‘000</w:t>
            </w:r>
          </w:p>
        </w:tc>
        <w:tc>
          <w:tcPr>
            <w:tcW w:w="467" w:type="pct"/>
            <w:shd w:val="clear" w:color="auto" w:fill="auto"/>
          </w:tcPr>
          <w:p w14:paraId="2B5E11DD" w14:textId="77777777" w:rsidR="000C32D5" w:rsidRPr="000C32D5" w:rsidRDefault="000C32D5" w:rsidP="000C32D5">
            <w:pPr>
              <w:tabs>
                <w:tab w:val="left" w:pos="-720"/>
              </w:tabs>
              <w:suppressAutoHyphens/>
              <w:spacing w:after="0" w:line="240" w:lineRule="auto"/>
              <w:ind w:right="-6"/>
              <w:jc w:val="right"/>
              <w:rPr>
                <w:rFonts w:ascii="Calibri" w:eastAsia="Calibri" w:hAnsi="Calibri" w:cs="Arial"/>
                <w:b/>
                <w:sz w:val="16"/>
                <w:szCs w:val="16"/>
                <w:lang w:val="en-US"/>
              </w:rPr>
            </w:pPr>
            <w:r w:rsidRPr="000C32D5">
              <w:rPr>
                <w:rFonts w:ascii="Calibri" w:eastAsia="Calibri" w:hAnsi="Calibri" w:cs="Times New Roman"/>
                <w:b/>
                <w:sz w:val="16"/>
                <w:szCs w:val="16"/>
                <w:lang w:val="en-US"/>
              </w:rPr>
              <w:t>HRK ‘000</w:t>
            </w:r>
          </w:p>
        </w:tc>
        <w:tc>
          <w:tcPr>
            <w:tcW w:w="474" w:type="pct"/>
            <w:shd w:val="clear" w:color="auto" w:fill="auto"/>
          </w:tcPr>
          <w:p w14:paraId="52E00C66" w14:textId="77777777" w:rsidR="000C32D5" w:rsidRPr="000C32D5" w:rsidRDefault="000C32D5" w:rsidP="000C32D5">
            <w:pPr>
              <w:tabs>
                <w:tab w:val="left" w:pos="-720"/>
              </w:tabs>
              <w:suppressAutoHyphens/>
              <w:spacing w:after="0" w:line="240" w:lineRule="auto"/>
              <w:ind w:right="-6"/>
              <w:jc w:val="right"/>
              <w:rPr>
                <w:rFonts w:ascii="Calibri" w:eastAsia="Calibri" w:hAnsi="Calibri" w:cs="Arial"/>
                <w:b/>
                <w:sz w:val="16"/>
                <w:szCs w:val="16"/>
                <w:lang w:val="en-US"/>
              </w:rPr>
            </w:pPr>
            <w:r w:rsidRPr="000C32D5">
              <w:rPr>
                <w:rFonts w:ascii="Calibri" w:eastAsia="Calibri" w:hAnsi="Calibri" w:cs="Times New Roman"/>
                <w:b/>
                <w:sz w:val="16"/>
                <w:szCs w:val="16"/>
                <w:lang w:val="en-US"/>
              </w:rPr>
              <w:t>HRK ‘000</w:t>
            </w:r>
          </w:p>
        </w:tc>
        <w:tc>
          <w:tcPr>
            <w:tcW w:w="468" w:type="pct"/>
            <w:shd w:val="clear" w:color="auto" w:fill="auto"/>
          </w:tcPr>
          <w:p w14:paraId="784878F9" w14:textId="77777777" w:rsidR="000C32D5" w:rsidRPr="000C32D5" w:rsidRDefault="000C32D5" w:rsidP="000C32D5">
            <w:pPr>
              <w:tabs>
                <w:tab w:val="left" w:pos="-720"/>
              </w:tabs>
              <w:suppressAutoHyphens/>
              <w:spacing w:after="0" w:line="240" w:lineRule="auto"/>
              <w:ind w:right="-6"/>
              <w:jc w:val="right"/>
              <w:rPr>
                <w:rFonts w:ascii="Calibri" w:eastAsia="Calibri" w:hAnsi="Calibri" w:cs="Times New Roman"/>
                <w:b/>
                <w:sz w:val="16"/>
                <w:szCs w:val="16"/>
                <w:lang w:val="en-US"/>
              </w:rPr>
            </w:pPr>
            <w:r w:rsidRPr="000C32D5">
              <w:rPr>
                <w:rFonts w:ascii="Calibri" w:eastAsia="Calibri" w:hAnsi="Calibri" w:cs="Times New Roman"/>
                <w:b/>
                <w:sz w:val="16"/>
                <w:szCs w:val="16"/>
                <w:lang w:val="en-US"/>
              </w:rPr>
              <w:t>HRK ‘000</w:t>
            </w:r>
          </w:p>
        </w:tc>
      </w:tr>
      <w:tr w:rsidR="000C32D5" w:rsidRPr="000C32D5" w14:paraId="3027CDDC" w14:textId="77777777" w:rsidTr="00E44437">
        <w:trPr>
          <w:trHeight w:val="261"/>
        </w:trPr>
        <w:tc>
          <w:tcPr>
            <w:tcW w:w="1222" w:type="pct"/>
            <w:shd w:val="clear" w:color="auto" w:fill="auto"/>
            <w:vAlign w:val="bottom"/>
          </w:tcPr>
          <w:p w14:paraId="6A8F9263" w14:textId="77777777" w:rsidR="000C32D5" w:rsidRPr="000C32D5" w:rsidRDefault="000C32D5" w:rsidP="000C32D5">
            <w:pPr>
              <w:tabs>
                <w:tab w:val="left" w:pos="-720"/>
              </w:tabs>
              <w:suppressAutoHyphens/>
              <w:spacing w:after="0" w:line="280" w:lineRule="exact"/>
              <w:ind w:right="-5"/>
              <w:rPr>
                <w:rFonts w:ascii="Calibri" w:eastAsia="Calibri" w:hAnsi="Calibri" w:cs="Arial"/>
                <w:b/>
                <w:sz w:val="16"/>
                <w:szCs w:val="16"/>
                <w:lang w:val="en-US"/>
              </w:rPr>
            </w:pPr>
            <w:r w:rsidRPr="000C32D5">
              <w:rPr>
                <w:rFonts w:ascii="Calibri" w:eastAsia="Calibri" w:hAnsi="Calibri" w:cs="Arial"/>
                <w:b/>
                <w:sz w:val="16"/>
                <w:szCs w:val="16"/>
                <w:lang w:val="en-US"/>
              </w:rPr>
              <w:t xml:space="preserve">Assets </w:t>
            </w:r>
          </w:p>
        </w:tc>
        <w:tc>
          <w:tcPr>
            <w:tcW w:w="442" w:type="pct"/>
            <w:shd w:val="clear" w:color="auto" w:fill="auto"/>
          </w:tcPr>
          <w:p w14:paraId="20EFBDED" w14:textId="77777777" w:rsidR="000C32D5" w:rsidRPr="000C32D5" w:rsidRDefault="000C32D5" w:rsidP="000C32D5">
            <w:pPr>
              <w:tabs>
                <w:tab w:val="left" w:pos="-720"/>
              </w:tabs>
              <w:suppressAutoHyphens/>
              <w:spacing w:after="0" w:line="280" w:lineRule="exact"/>
              <w:ind w:right="-5"/>
              <w:jc w:val="right"/>
              <w:rPr>
                <w:rFonts w:ascii="Calibri" w:eastAsia="Calibri" w:hAnsi="Calibri" w:cs="Arial"/>
                <w:sz w:val="16"/>
                <w:szCs w:val="16"/>
                <w:lang w:val="en-US"/>
              </w:rPr>
            </w:pPr>
          </w:p>
        </w:tc>
        <w:tc>
          <w:tcPr>
            <w:tcW w:w="504" w:type="pct"/>
            <w:shd w:val="clear" w:color="auto" w:fill="auto"/>
          </w:tcPr>
          <w:p w14:paraId="2855FE66" w14:textId="77777777" w:rsidR="000C32D5" w:rsidRPr="000C32D5" w:rsidRDefault="000C32D5" w:rsidP="000C32D5">
            <w:pPr>
              <w:tabs>
                <w:tab w:val="left" w:pos="-720"/>
              </w:tabs>
              <w:suppressAutoHyphens/>
              <w:spacing w:after="0" w:line="280" w:lineRule="exact"/>
              <w:ind w:right="-5"/>
              <w:jc w:val="right"/>
              <w:rPr>
                <w:rFonts w:ascii="Calibri" w:eastAsia="Calibri" w:hAnsi="Calibri" w:cs="Arial"/>
                <w:sz w:val="16"/>
                <w:szCs w:val="16"/>
                <w:lang w:val="en-US"/>
              </w:rPr>
            </w:pPr>
          </w:p>
        </w:tc>
        <w:tc>
          <w:tcPr>
            <w:tcW w:w="440" w:type="pct"/>
            <w:shd w:val="clear" w:color="auto" w:fill="auto"/>
          </w:tcPr>
          <w:p w14:paraId="060D459B" w14:textId="77777777" w:rsidR="000C32D5" w:rsidRPr="000C32D5" w:rsidRDefault="000C32D5" w:rsidP="000C32D5">
            <w:pPr>
              <w:tabs>
                <w:tab w:val="left" w:pos="-720"/>
              </w:tabs>
              <w:suppressAutoHyphens/>
              <w:spacing w:after="0" w:line="280" w:lineRule="exact"/>
              <w:ind w:right="-5"/>
              <w:jc w:val="right"/>
              <w:rPr>
                <w:rFonts w:ascii="Calibri" w:eastAsia="Calibri" w:hAnsi="Calibri" w:cs="Arial"/>
                <w:sz w:val="16"/>
                <w:szCs w:val="16"/>
                <w:lang w:val="en-US"/>
              </w:rPr>
            </w:pPr>
          </w:p>
        </w:tc>
        <w:tc>
          <w:tcPr>
            <w:tcW w:w="504" w:type="pct"/>
            <w:shd w:val="clear" w:color="auto" w:fill="auto"/>
          </w:tcPr>
          <w:p w14:paraId="463407C7" w14:textId="77777777" w:rsidR="000C32D5" w:rsidRPr="000C32D5" w:rsidRDefault="000C32D5" w:rsidP="000C32D5">
            <w:pPr>
              <w:tabs>
                <w:tab w:val="left" w:pos="-720"/>
              </w:tabs>
              <w:suppressAutoHyphens/>
              <w:spacing w:after="0" w:line="280" w:lineRule="exact"/>
              <w:ind w:right="-5"/>
              <w:jc w:val="right"/>
              <w:rPr>
                <w:rFonts w:ascii="Calibri" w:eastAsia="Calibri" w:hAnsi="Calibri" w:cs="Arial"/>
                <w:sz w:val="16"/>
                <w:szCs w:val="16"/>
                <w:lang w:val="en-US"/>
              </w:rPr>
            </w:pPr>
          </w:p>
        </w:tc>
        <w:tc>
          <w:tcPr>
            <w:tcW w:w="479" w:type="pct"/>
            <w:shd w:val="clear" w:color="auto" w:fill="auto"/>
          </w:tcPr>
          <w:p w14:paraId="551B272C" w14:textId="77777777" w:rsidR="000C32D5" w:rsidRPr="000C32D5" w:rsidRDefault="000C32D5" w:rsidP="000C32D5">
            <w:pPr>
              <w:tabs>
                <w:tab w:val="left" w:pos="-720"/>
              </w:tabs>
              <w:suppressAutoHyphens/>
              <w:spacing w:after="0" w:line="280" w:lineRule="exact"/>
              <w:ind w:right="-5"/>
              <w:jc w:val="right"/>
              <w:rPr>
                <w:rFonts w:ascii="Calibri" w:eastAsia="Calibri" w:hAnsi="Calibri" w:cs="Arial"/>
                <w:sz w:val="16"/>
                <w:szCs w:val="16"/>
                <w:lang w:val="en-US"/>
              </w:rPr>
            </w:pPr>
          </w:p>
        </w:tc>
        <w:tc>
          <w:tcPr>
            <w:tcW w:w="467" w:type="pct"/>
            <w:shd w:val="clear" w:color="auto" w:fill="auto"/>
          </w:tcPr>
          <w:p w14:paraId="0DBAA093" w14:textId="77777777" w:rsidR="000C32D5" w:rsidRPr="000C32D5" w:rsidRDefault="000C32D5" w:rsidP="000C32D5">
            <w:pPr>
              <w:tabs>
                <w:tab w:val="left" w:pos="-720"/>
              </w:tabs>
              <w:suppressAutoHyphens/>
              <w:spacing w:after="0" w:line="280" w:lineRule="exact"/>
              <w:ind w:right="-5"/>
              <w:jc w:val="right"/>
              <w:rPr>
                <w:rFonts w:ascii="Calibri" w:eastAsia="Calibri" w:hAnsi="Calibri" w:cs="Arial"/>
                <w:sz w:val="16"/>
                <w:szCs w:val="16"/>
                <w:lang w:val="en-US"/>
              </w:rPr>
            </w:pPr>
          </w:p>
        </w:tc>
        <w:tc>
          <w:tcPr>
            <w:tcW w:w="474" w:type="pct"/>
            <w:shd w:val="clear" w:color="auto" w:fill="auto"/>
          </w:tcPr>
          <w:p w14:paraId="4BAED5DC" w14:textId="77777777" w:rsidR="000C32D5" w:rsidRPr="000C32D5" w:rsidRDefault="000C32D5" w:rsidP="000C32D5">
            <w:pPr>
              <w:tabs>
                <w:tab w:val="left" w:pos="-720"/>
              </w:tabs>
              <w:suppressAutoHyphens/>
              <w:spacing w:after="0" w:line="280" w:lineRule="exact"/>
              <w:ind w:right="-5"/>
              <w:jc w:val="right"/>
              <w:rPr>
                <w:rFonts w:ascii="Calibri" w:eastAsia="Calibri" w:hAnsi="Calibri" w:cs="Arial"/>
                <w:sz w:val="16"/>
                <w:szCs w:val="16"/>
                <w:lang w:val="en-US"/>
              </w:rPr>
            </w:pPr>
          </w:p>
        </w:tc>
        <w:tc>
          <w:tcPr>
            <w:tcW w:w="468" w:type="pct"/>
          </w:tcPr>
          <w:p w14:paraId="0D4F2414" w14:textId="77777777" w:rsidR="000C32D5" w:rsidRPr="000C32D5" w:rsidRDefault="000C32D5" w:rsidP="000C32D5">
            <w:pPr>
              <w:tabs>
                <w:tab w:val="left" w:pos="-720"/>
              </w:tabs>
              <w:suppressAutoHyphens/>
              <w:spacing w:after="0" w:line="280" w:lineRule="exact"/>
              <w:ind w:right="-5"/>
              <w:jc w:val="right"/>
              <w:rPr>
                <w:rFonts w:ascii="Calibri" w:eastAsia="Calibri" w:hAnsi="Calibri" w:cs="Arial"/>
                <w:sz w:val="16"/>
                <w:szCs w:val="16"/>
                <w:lang w:val="en-US"/>
              </w:rPr>
            </w:pPr>
          </w:p>
        </w:tc>
      </w:tr>
      <w:tr w:rsidR="000C32D5" w:rsidRPr="000C32D5" w14:paraId="575A9FC4" w14:textId="77777777" w:rsidTr="00E44437">
        <w:trPr>
          <w:trHeight w:val="549"/>
        </w:trPr>
        <w:tc>
          <w:tcPr>
            <w:tcW w:w="1222" w:type="pct"/>
            <w:shd w:val="clear" w:color="auto" w:fill="auto"/>
            <w:vAlign w:val="bottom"/>
          </w:tcPr>
          <w:p w14:paraId="02114C6A" w14:textId="77777777" w:rsidR="000C32D5" w:rsidRPr="000C32D5" w:rsidRDefault="000C32D5" w:rsidP="000C32D5">
            <w:pPr>
              <w:tabs>
                <w:tab w:val="left" w:pos="-720"/>
              </w:tabs>
              <w:suppressAutoHyphens/>
              <w:spacing w:after="0" w:line="280" w:lineRule="exact"/>
              <w:ind w:right="-5"/>
              <w:rPr>
                <w:rFonts w:ascii="Calibri" w:eastAsia="Calibri" w:hAnsi="Calibri" w:cs="Arial"/>
                <w:sz w:val="16"/>
                <w:szCs w:val="16"/>
                <w:lang w:val="en-US"/>
              </w:rPr>
            </w:pPr>
            <w:r w:rsidRPr="000C32D5">
              <w:rPr>
                <w:rFonts w:ascii="Calibri" w:eastAsia="Calibri" w:hAnsi="Calibri" w:cs="Arial"/>
                <w:sz w:val="16"/>
                <w:szCs w:val="16"/>
                <w:lang w:val="en-US"/>
              </w:rPr>
              <w:t>Cash on hand and current accounts with banks</w:t>
            </w:r>
          </w:p>
        </w:tc>
        <w:tc>
          <w:tcPr>
            <w:tcW w:w="442" w:type="pct"/>
            <w:vAlign w:val="bottom"/>
          </w:tcPr>
          <w:p w14:paraId="6CAD29AA"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84,268</w:t>
            </w:r>
          </w:p>
        </w:tc>
        <w:tc>
          <w:tcPr>
            <w:tcW w:w="504" w:type="pct"/>
            <w:vAlign w:val="bottom"/>
          </w:tcPr>
          <w:p w14:paraId="4A245093"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w:t>
            </w:r>
          </w:p>
        </w:tc>
        <w:tc>
          <w:tcPr>
            <w:tcW w:w="440" w:type="pct"/>
            <w:vAlign w:val="bottom"/>
          </w:tcPr>
          <w:p w14:paraId="6E3404DF"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w:t>
            </w:r>
          </w:p>
        </w:tc>
        <w:tc>
          <w:tcPr>
            <w:tcW w:w="504" w:type="pct"/>
            <w:vAlign w:val="bottom"/>
          </w:tcPr>
          <w:p w14:paraId="5CABC74F"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w:t>
            </w:r>
          </w:p>
        </w:tc>
        <w:tc>
          <w:tcPr>
            <w:tcW w:w="479" w:type="pct"/>
            <w:vAlign w:val="bottom"/>
          </w:tcPr>
          <w:p w14:paraId="450A1BE8"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w:t>
            </w:r>
          </w:p>
        </w:tc>
        <w:tc>
          <w:tcPr>
            <w:tcW w:w="467" w:type="pct"/>
            <w:vAlign w:val="bottom"/>
          </w:tcPr>
          <w:p w14:paraId="2FDD76F0"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1,877,718</w:t>
            </w:r>
          </w:p>
        </w:tc>
        <w:tc>
          <w:tcPr>
            <w:tcW w:w="474" w:type="pct"/>
            <w:vAlign w:val="bottom"/>
          </w:tcPr>
          <w:p w14:paraId="5E289EFE"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1,961,986</w:t>
            </w:r>
          </w:p>
        </w:tc>
        <w:tc>
          <w:tcPr>
            <w:tcW w:w="468" w:type="pct"/>
            <w:vAlign w:val="bottom"/>
          </w:tcPr>
          <w:p w14:paraId="57684CE4" w14:textId="77777777" w:rsidR="000C32D5" w:rsidRPr="000C32D5" w:rsidDel="00D96E20" w:rsidRDefault="000C32D5" w:rsidP="000C32D5">
            <w:pPr>
              <w:spacing w:after="0" w:line="280" w:lineRule="exact"/>
              <w:jc w:val="right"/>
              <w:rPr>
                <w:rFonts w:ascii="Calibri" w:eastAsia="Calibri" w:hAnsi="Calibri" w:cs="Calibri"/>
                <w:sz w:val="16"/>
                <w:szCs w:val="16"/>
                <w:lang w:val="en-US"/>
              </w:rPr>
            </w:pPr>
            <w:r w:rsidRPr="000C32D5">
              <w:rPr>
                <w:rFonts w:ascii="Calibri" w:eastAsia="Calibri" w:hAnsi="Calibri" w:cs="Arial"/>
                <w:bCs/>
                <w:color w:val="000000"/>
                <w:sz w:val="16"/>
                <w:szCs w:val="16"/>
              </w:rPr>
              <w:t>84,268</w:t>
            </w:r>
          </w:p>
        </w:tc>
      </w:tr>
      <w:tr w:rsidR="000C32D5" w:rsidRPr="000C32D5" w14:paraId="037155E7" w14:textId="77777777" w:rsidTr="00E44437">
        <w:trPr>
          <w:trHeight w:val="261"/>
        </w:trPr>
        <w:tc>
          <w:tcPr>
            <w:tcW w:w="1222" w:type="pct"/>
            <w:shd w:val="clear" w:color="auto" w:fill="auto"/>
            <w:vAlign w:val="bottom"/>
          </w:tcPr>
          <w:p w14:paraId="4AB01358" w14:textId="77777777" w:rsidR="000C32D5" w:rsidRPr="000C32D5" w:rsidRDefault="000C32D5" w:rsidP="000C32D5">
            <w:pPr>
              <w:tabs>
                <w:tab w:val="left" w:pos="-720"/>
              </w:tabs>
              <w:suppressAutoHyphens/>
              <w:spacing w:after="0" w:line="280" w:lineRule="exact"/>
              <w:ind w:right="-5"/>
              <w:rPr>
                <w:rFonts w:ascii="Calibri" w:eastAsia="Calibri" w:hAnsi="Calibri" w:cs="Arial"/>
                <w:sz w:val="16"/>
                <w:szCs w:val="16"/>
                <w:lang w:val="en-US"/>
              </w:rPr>
            </w:pPr>
            <w:r w:rsidRPr="000C32D5">
              <w:rPr>
                <w:rFonts w:ascii="Calibri" w:eastAsia="Calibri" w:hAnsi="Calibri" w:cs="Arial"/>
                <w:sz w:val="16"/>
                <w:szCs w:val="16"/>
                <w:lang w:val="en-US"/>
              </w:rPr>
              <w:t xml:space="preserve">Deposits with other banks </w:t>
            </w:r>
          </w:p>
        </w:tc>
        <w:tc>
          <w:tcPr>
            <w:tcW w:w="442" w:type="pct"/>
            <w:vAlign w:val="bottom"/>
          </w:tcPr>
          <w:p w14:paraId="5FE2FB72"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w:t>
            </w:r>
          </w:p>
        </w:tc>
        <w:tc>
          <w:tcPr>
            <w:tcW w:w="504" w:type="pct"/>
            <w:vAlign w:val="bottom"/>
          </w:tcPr>
          <w:p w14:paraId="21D53482"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w:t>
            </w:r>
          </w:p>
        </w:tc>
        <w:tc>
          <w:tcPr>
            <w:tcW w:w="440" w:type="pct"/>
            <w:vAlign w:val="bottom"/>
          </w:tcPr>
          <w:p w14:paraId="0B4C2EE1"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w:t>
            </w:r>
          </w:p>
        </w:tc>
        <w:tc>
          <w:tcPr>
            <w:tcW w:w="504" w:type="pct"/>
            <w:vAlign w:val="bottom"/>
          </w:tcPr>
          <w:p w14:paraId="04AF2471"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w:t>
            </w:r>
          </w:p>
        </w:tc>
        <w:tc>
          <w:tcPr>
            <w:tcW w:w="479" w:type="pct"/>
            <w:vAlign w:val="bottom"/>
          </w:tcPr>
          <w:p w14:paraId="4E15A717"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w:t>
            </w:r>
          </w:p>
        </w:tc>
        <w:tc>
          <w:tcPr>
            <w:tcW w:w="467" w:type="pct"/>
            <w:vAlign w:val="bottom"/>
          </w:tcPr>
          <w:p w14:paraId="2FB8055B"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7,500</w:t>
            </w:r>
          </w:p>
        </w:tc>
        <w:tc>
          <w:tcPr>
            <w:tcW w:w="474" w:type="pct"/>
            <w:vAlign w:val="bottom"/>
          </w:tcPr>
          <w:p w14:paraId="41B25265"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7,500</w:t>
            </w:r>
          </w:p>
        </w:tc>
        <w:tc>
          <w:tcPr>
            <w:tcW w:w="468" w:type="pct"/>
            <w:vAlign w:val="bottom"/>
          </w:tcPr>
          <w:p w14:paraId="710FBA77" w14:textId="77777777" w:rsidR="000C32D5" w:rsidRPr="000C32D5" w:rsidDel="00D96E20" w:rsidRDefault="000C32D5" w:rsidP="000C32D5">
            <w:pPr>
              <w:spacing w:after="0" w:line="280" w:lineRule="exact"/>
              <w:jc w:val="right"/>
              <w:rPr>
                <w:rFonts w:ascii="Calibri" w:eastAsia="Calibri" w:hAnsi="Calibri" w:cs="Arial"/>
                <w:bCs/>
                <w:sz w:val="16"/>
                <w:szCs w:val="16"/>
                <w:lang w:val="en-US"/>
              </w:rPr>
            </w:pPr>
            <w:r w:rsidRPr="000C32D5">
              <w:rPr>
                <w:rFonts w:ascii="Calibri" w:eastAsia="Calibri" w:hAnsi="Calibri" w:cs="Arial"/>
                <w:bCs/>
                <w:color w:val="000000"/>
                <w:sz w:val="16"/>
                <w:szCs w:val="16"/>
              </w:rPr>
              <w:t>-</w:t>
            </w:r>
          </w:p>
        </w:tc>
      </w:tr>
      <w:tr w:rsidR="000C32D5" w:rsidRPr="000C32D5" w14:paraId="7D2F4524" w14:textId="77777777" w:rsidTr="00E44437">
        <w:trPr>
          <w:trHeight w:val="209"/>
        </w:trPr>
        <w:tc>
          <w:tcPr>
            <w:tcW w:w="1222" w:type="pct"/>
            <w:shd w:val="clear" w:color="auto" w:fill="auto"/>
            <w:vAlign w:val="bottom"/>
          </w:tcPr>
          <w:p w14:paraId="2DF93D56" w14:textId="77777777" w:rsidR="000C32D5" w:rsidRPr="000C32D5" w:rsidRDefault="000C32D5" w:rsidP="000C32D5">
            <w:pPr>
              <w:tabs>
                <w:tab w:val="left" w:pos="-720"/>
              </w:tabs>
              <w:suppressAutoHyphens/>
              <w:spacing w:after="0" w:line="280" w:lineRule="exact"/>
              <w:ind w:right="-5"/>
              <w:rPr>
                <w:rFonts w:ascii="Calibri" w:eastAsia="Calibri" w:hAnsi="Calibri" w:cs="Arial"/>
                <w:sz w:val="16"/>
                <w:szCs w:val="16"/>
                <w:lang w:val="en-US"/>
              </w:rPr>
            </w:pPr>
            <w:r w:rsidRPr="000C32D5">
              <w:rPr>
                <w:rFonts w:ascii="Calibri" w:eastAsia="Calibri" w:hAnsi="Calibri" w:cs="Arial"/>
                <w:sz w:val="16"/>
                <w:szCs w:val="16"/>
                <w:lang w:val="en-US"/>
              </w:rPr>
              <w:t>Loans to financial institutions</w:t>
            </w:r>
          </w:p>
        </w:tc>
        <w:tc>
          <w:tcPr>
            <w:tcW w:w="442" w:type="pct"/>
            <w:tcBorders>
              <w:top w:val="nil"/>
              <w:left w:val="nil"/>
              <w:bottom w:val="nil"/>
              <w:right w:val="nil"/>
            </w:tcBorders>
            <w:vAlign w:val="bottom"/>
          </w:tcPr>
          <w:p w14:paraId="4DB2CB7B"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136,649</w:t>
            </w:r>
          </w:p>
        </w:tc>
        <w:tc>
          <w:tcPr>
            <w:tcW w:w="504" w:type="pct"/>
            <w:tcBorders>
              <w:top w:val="nil"/>
              <w:left w:val="nil"/>
              <w:bottom w:val="nil"/>
              <w:right w:val="nil"/>
            </w:tcBorders>
            <w:vAlign w:val="bottom"/>
          </w:tcPr>
          <w:p w14:paraId="5F351336"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300,681</w:t>
            </w:r>
          </w:p>
        </w:tc>
        <w:tc>
          <w:tcPr>
            <w:tcW w:w="440" w:type="pct"/>
            <w:tcBorders>
              <w:top w:val="nil"/>
              <w:left w:val="nil"/>
              <w:bottom w:val="nil"/>
              <w:right w:val="nil"/>
            </w:tcBorders>
            <w:vAlign w:val="bottom"/>
          </w:tcPr>
          <w:p w14:paraId="122EDD2E"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794,823</w:t>
            </w:r>
          </w:p>
        </w:tc>
        <w:tc>
          <w:tcPr>
            <w:tcW w:w="504" w:type="pct"/>
            <w:tcBorders>
              <w:top w:val="nil"/>
              <w:left w:val="nil"/>
              <w:bottom w:val="nil"/>
              <w:right w:val="nil"/>
            </w:tcBorders>
            <w:vAlign w:val="bottom"/>
          </w:tcPr>
          <w:p w14:paraId="2AE7EA08"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1,825,594</w:t>
            </w:r>
          </w:p>
        </w:tc>
        <w:tc>
          <w:tcPr>
            <w:tcW w:w="479" w:type="pct"/>
            <w:tcBorders>
              <w:top w:val="nil"/>
              <w:left w:val="nil"/>
              <w:bottom w:val="nil"/>
              <w:right w:val="nil"/>
            </w:tcBorders>
            <w:vAlign w:val="bottom"/>
          </w:tcPr>
          <w:p w14:paraId="1E09F0DA"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3,989,089</w:t>
            </w:r>
          </w:p>
        </w:tc>
        <w:tc>
          <w:tcPr>
            <w:tcW w:w="467" w:type="pct"/>
            <w:tcBorders>
              <w:top w:val="nil"/>
              <w:left w:val="nil"/>
              <w:bottom w:val="nil"/>
              <w:right w:val="nil"/>
            </w:tcBorders>
            <w:vAlign w:val="bottom"/>
          </w:tcPr>
          <w:p w14:paraId="7E699AA8"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3,307</w:t>
            </w:r>
          </w:p>
        </w:tc>
        <w:tc>
          <w:tcPr>
            <w:tcW w:w="474" w:type="pct"/>
            <w:tcBorders>
              <w:top w:val="nil"/>
              <w:left w:val="nil"/>
              <w:bottom w:val="nil"/>
              <w:right w:val="nil"/>
            </w:tcBorders>
            <w:vAlign w:val="bottom"/>
          </w:tcPr>
          <w:p w14:paraId="345F1977"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7,050,143</w:t>
            </w:r>
          </w:p>
        </w:tc>
        <w:tc>
          <w:tcPr>
            <w:tcW w:w="468" w:type="pct"/>
            <w:tcBorders>
              <w:top w:val="nil"/>
              <w:left w:val="nil"/>
              <w:bottom w:val="nil"/>
              <w:right w:val="nil"/>
            </w:tcBorders>
            <w:vAlign w:val="bottom"/>
          </w:tcPr>
          <w:p w14:paraId="3F60BC94" w14:textId="77777777" w:rsidR="000C32D5" w:rsidRPr="000C32D5" w:rsidDel="00D96E20" w:rsidRDefault="000C32D5" w:rsidP="000C32D5">
            <w:pPr>
              <w:spacing w:after="0" w:line="280" w:lineRule="exact"/>
              <w:jc w:val="right"/>
              <w:rPr>
                <w:rFonts w:ascii="Calibri" w:eastAsia="Calibri" w:hAnsi="Calibri" w:cs="Arial"/>
                <w:bCs/>
                <w:sz w:val="16"/>
                <w:szCs w:val="16"/>
                <w:lang w:val="en-US"/>
              </w:rPr>
            </w:pPr>
            <w:r w:rsidRPr="000C32D5">
              <w:rPr>
                <w:rFonts w:ascii="Calibri" w:eastAsia="Calibri" w:hAnsi="Calibri" w:cs="Arial"/>
                <w:bCs/>
                <w:color w:val="000000"/>
                <w:sz w:val="16"/>
                <w:szCs w:val="16"/>
              </w:rPr>
              <w:t>6,925,020</w:t>
            </w:r>
          </w:p>
        </w:tc>
      </w:tr>
      <w:tr w:rsidR="000C32D5" w:rsidRPr="000C32D5" w14:paraId="657DC4EE" w14:textId="77777777" w:rsidTr="00E44437">
        <w:trPr>
          <w:trHeight w:val="273"/>
        </w:trPr>
        <w:tc>
          <w:tcPr>
            <w:tcW w:w="1222" w:type="pct"/>
            <w:shd w:val="clear" w:color="auto" w:fill="auto"/>
            <w:vAlign w:val="bottom"/>
          </w:tcPr>
          <w:p w14:paraId="197C6BF1" w14:textId="77777777" w:rsidR="000C32D5" w:rsidRPr="000C32D5" w:rsidRDefault="000C32D5" w:rsidP="000C32D5">
            <w:pPr>
              <w:tabs>
                <w:tab w:val="left" w:pos="-720"/>
              </w:tabs>
              <w:suppressAutoHyphens/>
              <w:spacing w:after="0" w:line="280" w:lineRule="exact"/>
              <w:ind w:right="-5"/>
              <w:rPr>
                <w:rFonts w:ascii="Calibri" w:eastAsia="Calibri" w:hAnsi="Calibri" w:cs="Arial"/>
                <w:sz w:val="16"/>
                <w:szCs w:val="16"/>
                <w:lang w:val="en-US"/>
              </w:rPr>
            </w:pPr>
            <w:r w:rsidRPr="000C32D5">
              <w:rPr>
                <w:rFonts w:ascii="Calibri" w:eastAsia="Calibri" w:hAnsi="Calibri" w:cs="Arial"/>
                <w:sz w:val="16"/>
                <w:szCs w:val="16"/>
                <w:lang w:val="en-US"/>
              </w:rPr>
              <w:t xml:space="preserve">Loans to other customers </w:t>
            </w:r>
          </w:p>
        </w:tc>
        <w:tc>
          <w:tcPr>
            <w:tcW w:w="442" w:type="pct"/>
            <w:tcBorders>
              <w:top w:val="nil"/>
              <w:left w:val="nil"/>
              <w:bottom w:val="nil"/>
              <w:right w:val="nil"/>
            </w:tcBorders>
            <w:vAlign w:val="bottom"/>
          </w:tcPr>
          <w:p w14:paraId="5545CBC0"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1,721,753</w:t>
            </w:r>
          </w:p>
        </w:tc>
        <w:tc>
          <w:tcPr>
            <w:tcW w:w="504" w:type="pct"/>
            <w:tcBorders>
              <w:top w:val="nil"/>
              <w:left w:val="nil"/>
              <w:bottom w:val="nil"/>
              <w:right w:val="nil"/>
            </w:tcBorders>
            <w:vAlign w:val="bottom"/>
          </w:tcPr>
          <w:p w14:paraId="71A65E5D"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643,354</w:t>
            </w:r>
          </w:p>
        </w:tc>
        <w:tc>
          <w:tcPr>
            <w:tcW w:w="440" w:type="pct"/>
            <w:tcBorders>
              <w:top w:val="nil"/>
              <w:left w:val="nil"/>
              <w:bottom w:val="nil"/>
              <w:right w:val="nil"/>
            </w:tcBorders>
            <w:vAlign w:val="bottom"/>
          </w:tcPr>
          <w:p w14:paraId="167EF8EB"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1,294,971</w:t>
            </w:r>
          </w:p>
        </w:tc>
        <w:tc>
          <w:tcPr>
            <w:tcW w:w="504" w:type="pct"/>
            <w:tcBorders>
              <w:top w:val="nil"/>
              <w:left w:val="nil"/>
              <w:bottom w:val="nil"/>
              <w:right w:val="nil"/>
            </w:tcBorders>
            <w:vAlign w:val="bottom"/>
          </w:tcPr>
          <w:p w14:paraId="20200ED6"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3,130,097</w:t>
            </w:r>
          </w:p>
        </w:tc>
        <w:tc>
          <w:tcPr>
            <w:tcW w:w="479" w:type="pct"/>
            <w:tcBorders>
              <w:top w:val="nil"/>
              <w:left w:val="nil"/>
              <w:bottom w:val="nil"/>
              <w:right w:val="nil"/>
            </w:tcBorders>
            <w:vAlign w:val="bottom"/>
          </w:tcPr>
          <w:p w14:paraId="08E5FBD1"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8,977,083</w:t>
            </w:r>
          </w:p>
        </w:tc>
        <w:tc>
          <w:tcPr>
            <w:tcW w:w="467" w:type="pct"/>
            <w:tcBorders>
              <w:top w:val="nil"/>
              <w:left w:val="nil"/>
              <w:bottom w:val="nil"/>
              <w:right w:val="nil"/>
            </w:tcBorders>
            <w:vAlign w:val="bottom"/>
          </w:tcPr>
          <w:p w14:paraId="79FA2CC1"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197,118</w:t>
            </w:r>
          </w:p>
        </w:tc>
        <w:tc>
          <w:tcPr>
            <w:tcW w:w="474" w:type="pct"/>
            <w:tcBorders>
              <w:top w:val="nil"/>
              <w:left w:val="nil"/>
              <w:bottom w:val="nil"/>
              <w:right w:val="nil"/>
            </w:tcBorders>
            <w:vAlign w:val="bottom"/>
          </w:tcPr>
          <w:p w14:paraId="0D93F249"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15,964,376</w:t>
            </w:r>
          </w:p>
        </w:tc>
        <w:tc>
          <w:tcPr>
            <w:tcW w:w="468" w:type="pct"/>
            <w:tcBorders>
              <w:top w:val="nil"/>
              <w:left w:val="nil"/>
              <w:bottom w:val="nil"/>
              <w:right w:val="nil"/>
            </w:tcBorders>
            <w:vAlign w:val="bottom"/>
          </w:tcPr>
          <w:p w14:paraId="7FC28BE5" w14:textId="77777777" w:rsidR="000C32D5" w:rsidRPr="000C32D5" w:rsidDel="00D96E20" w:rsidRDefault="000C32D5" w:rsidP="000C32D5">
            <w:pPr>
              <w:spacing w:after="0" w:line="280" w:lineRule="exact"/>
              <w:jc w:val="right"/>
              <w:rPr>
                <w:rFonts w:ascii="Calibri" w:eastAsia="Calibri" w:hAnsi="Calibri" w:cs="Arial"/>
                <w:bCs/>
                <w:sz w:val="16"/>
                <w:szCs w:val="16"/>
                <w:lang w:val="en-US"/>
              </w:rPr>
            </w:pPr>
            <w:r w:rsidRPr="000C32D5">
              <w:rPr>
                <w:rFonts w:ascii="Calibri" w:eastAsia="Calibri" w:hAnsi="Calibri" w:cs="Arial"/>
                <w:bCs/>
                <w:color w:val="000000"/>
                <w:sz w:val="16"/>
                <w:szCs w:val="16"/>
              </w:rPr>
              <w:t>14,941,579</w:t>
            </w:r>
          </w:p>
        </w:tc>
      </w:tr>
      <w:tr w:rsidR="000C32D5" w:rsidRPr="000C32D5" w14:paraId="64D15718" w14:textId="77777777" w:rsidTr="00E44437">
        <w:trPr>
          <w:trHeight w:val="299"/>
        </w:trPr>
        <w:tc>
          <w:tcPr>
            <w:tcW w:w="1222" w:type="pct"/>
            <w:shd w:val="clear" w:color="auto" w:fill="auto"/>
          </w:tcPr>
          <w:p w14:paraId="24F8B84D" w14:textId="77777777" w:rsidR="000C32D5" w:rsidRPr="000C32D5" w:rsidRDefault="000C32D5" w:rsidP="000C32D5">
            <w:pPr>
              <w:tabs>
                <w:tab w:val="left" w:pos="-720"/>
              </w:tabs>
              <w:suppressAutoHyphens/>
              <w:spacing w:after="0" w:line="280" w:lineRule="exact"/>
              <w:ind w:right="-5"/>
              <w:rPr>
                <w:rFonts w:ascii="Calibri" w:eastAsia="Calibri" w:hAnsi="Calibri" w:cs="Arial"/>
                <w:sz w:val="16"/>
                <w:szCs w:val="16"/>
                <w:lang w:val="en-US"/>
              </w:rPr>
            </w:pPr>
            <w:r w:rsidRPr="000C32D5">
              <w:rPr>
                <w:rFonts w:ascii="Calibri" w:eastAsia="Times New Roman" w:hAnsi="Calibri" w:cs="Arial"/>
                <w:spacing w:val="-2"/>
                <w:sz w:val="16"/>
                <w:szCs w:val="16"/>
                <w:lang w:val="en-US"/>
              </w:rPr>
              <w:t>Financial assets at fair value through profit or loss</w:t>
            </w:r>
          </w:p>
        </w:tc>
        <w:tc>
          <w:tcPr>
            <w:tcW w:w="442" w:type="pct"/>
            <w:vAlign w:val="bottom"/>
          </w:tcPr>
          <w:p w14:paraId="74C333A4"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w:t>
            </w:r>
          </w:p>
        </w:tc>
        <w:tc>
          <w:tcPr>
            <w:tcW w:w="504" w:type="pct"/>
            <w:vAlign w:val="bottom"/>
          </w:tcPr>
          <w:p w14:paraId="7FA11A54"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w:t>
            </w:r>
          </w:p>
        </w:tc>
        <w:tc>
          <w:tcPr>
            <w:tcW w:w="440" w:type="pct"/>
            <w:vAlign w:val="bottom"/>
          </w:tcPr>
          <w:p w14:paraId="627BFD2D"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w:t>
            </w:r>
          </w:p>
        </w:tc>
        <w:tc>
          <w:tcPr>
            <w:tcW w:w="504" w:type="pct"/>
            <w:vAlign w:val="bottom"/>
          </w:tcPr>
          <w:p w14:paraId="49ACA082"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w:t>
            </w:r>
          </w:p>
        </w:tc>
        <w:tc>
          <w:tcPr>
            <w:tcW w:w="479" w:type="pct"/>
            <w:vAlign w:val="bottom"/>
          </w:tcPr>
          <w:p w14:paraId="7E966A0C"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16,375</w:t>
            </w:r>
          </w:p>
        </w:tc>
        <w:tc>
          <w:tcPr>
            <w:tcW w:w="467" w:type="pct"/>
            <w:vAlign w:val="bottom"/>
          </w:tcPr>
          <w:p w14:paraId="6B6F51DB"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202,609</w:t>
            </w:r>
          </w:p>
        </w:tc>
        <w:tc>
          <w:tcPr>
            <w:tcW w:w="474" w:type="pct"/>
            <w:vAlign w:val="bottom"/>
          </w:tcPr>
          <w:p w14:paraId="28A4365F"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218,984</w:t>
            </w:r>
          </w:p>
        </w:tc>
        <w:tc>
          <w:tcPr>
            <w:tcW w:w="468" w:type="pct"/>
            <w:vAlign w:val="bottom"/>
          </w:tcPr>
          <w:p w14:paraId="3EC69F12" w14:textId="77777777" w:rsidR="000C32D5" w:rsidRPr="000C32D5" w:rsidDel="00D96E20" w:rsidRDefault="000C32D5" w:rsidP="000C32D5">
            <w:pPr>
              <w:spacing w:after="0" w:line="280" w:lineRule="exact"/>
              <w:jc w:val="right"/>
              <w:rPr>
                <w:rFonts w:ascii="Calibri" w:eastAsia="Calibri" w:hAnsi="Calibri" w:cs="Arial"/>
                <w:bCs/>
                <w:sz w:val="16"/>
                <w:szCs w:val="16"/>
                <w:lang w:val="en-US"/>
              </w:rPr>
            </w:pPr>
            <w:r w:rsidRPr="000C32D5">
              <w:rPr>
                <w:rFonts w:ascii="Calibri" w:eastAsia="Calibri" w:hAnsi="Calibri" w:cs="Arial"/>
                <w:bCs/>
                <w:color w:val="000000"/>
                <w:sz w:val="16"/>
                <w:szCs w:val="16"/>
              </w:rPr>
              <w:t>16,375</w:t>
            </w:r>
          </w:p>
        </w:tc>
      </w:tr>
      <w:tr w:rsidR="000C32D5" w:rsidRPr="000C32D5" w14:paraId="75B8F887" w14:textId="77777777" w:rsidTr="00E44437">
        <w:trPr>
          <w:trHeight w:val="274"/>
        </w:trPr>
        <w:tc>
          <w:tcPr>
            <w:tcW w:w="1222" w:type="pct"/>
            <w:shd w:val="clear" w:color="auto" w:fill="auto"/>
          </w:tcPr>
          <w:p w14:paraId="4E072097" w14:textId="77777777" w:rsidR="000C32D5" w:rsidRPr="000C32D5" w:rsidRDefault="000C32D5" w:rsidP="000C32D5">
            <w:pPr>
              <w:tabs>
                <w:tab w:val="left" w:pos="-720"/>
              </w:tabs>
              <w:suppressAutoHyphens/>
              <w:spacing w:after="0" w:line="280" w:lineRule="exact"/>
              <w:ind w:right="-5"/>
              <w:rPr>
                <w:rFonts w:ascii="Calibri" w:eastAsia="Calibri" w:hAnsi="Calibri" w:cs="Arial"/>
                <w:sz w:val="16"/>
                <w:szCs w:val="16"/>
                <w:lang w:val="en-US"/>
              </w:rPr>
            </w:pPr>
            <w:r w:rsidRPr="000C32D5">
              <w:rPr>
                <w:rFonts w:ascii="Calibri" w:eastAsia="Times New Roman" w:hAnsi="Calibri" w:cs="Arial"/>
                <w:spacing w:val="-2"/>
                <w:sz w:val="16"/>
                <w:szCs w:val="16"/>
                <w:lang w:val="en-US"/>
              </w:rPr>
              <w:t>Financial assets at fair value through other comprehensive income</w:t>
            </w:r>
          </w:p>
        </w:tc>
        <w:tc>
          <w:tcPr>
            <w:tcW w:w="442" w:type="pct"/>
            <w:vAlign w:val="bottom"/>
          </w:tcPr>
          <w:p w14:paraId="027A17C7"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2,913,647</w:t>
            </w:r>
          </w:p>
        </w:tc>
        <w:tc>
          <w:tcPr>
            <w:tcW w:w="504" w:type="pct"/>
            <w:vAlign w:val="bottom"/>
          </w:tcPr>
          <w:p w14:paraId="20EED562"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w:t>
            </w:r>
          </w:p>
        </w:tc>
        <w:tc>
          <w:tcPr>
            <w:tcW w:w="440" w:type="pct"/>
            <w:vAlign w:val="bottom"/>
          </w:tcPr>
          <w:p w14:paraId="057CCAE7"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w:t>
            </w:r>
          </w:p>
        </w:tc>
        <w:tc>
          <w:tcPr>
            <w:tcW w:w="504" w:type="pct"/>
            <w:vAlign w:val="bottom"/>
          </w:tcPr>
          <w:p w14:paraId="1F80B02D"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w:t>
            </w:r>
          </w:p>
        </w:tc>
        <w:tc>
          <w:tcPr>
            <w:tcW w:w="479" w:type="pct"/>
            <w:vAlign w:val="bottom"/>
          </w:tcPr>
          <w:p w14:paraId="26F360ED"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w:t>
            </w:r>
          </w:p>
        </w:tc>
        <w:tc>
          <w:tcPr>
            <w:tcW w:w="467" w:type="pct"/>
            <w:vAlign w:val="bottom"/>
          </w:tcPr>
          <w:p w14:paraId="61DA2EE0"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58,883</w:t>
            </w:r>
          </w:p>
        </w:tc>
        <w:tc>
          <w:tcPr>
            <w:tcW w:w="474" w:type="pct"/>
            <w:vAlign w:val="bottom"/>
          </w:tcPr>
          <w:p w14:paraId="0A452BDC"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2,972,530</w:t>
            </w:r>
          </w:p>
        </w:tc>
        <w:tc>
          <w:tcPr>
            <w:tcW w:w="468" w:type="pct"/>
            <w:vAlign w:val="bottom"/>
          </w:tcPr>
          <w:p w14:paraId="1AB03A4A" w14:textId="77777777" w:rsidR="000C32D5" w:rsidRPr="000C32D5" w:rsidDel="00D96E20" w:rsidRDefault="000C32D5" w:rsidP="000C32D5">
            <w:pPr>
              <w:spacing w:after="0" w:line="280" w:lineRule="exact"/>
              <w:jc w:val="right"/>
              <w:rPr>
                <w:rFonts w:ascii="Calibri" w:eastAsia="Calibri" w:hAnsi="Calibri" w:cs="Arial"/>
                <w:bCs/>
                <w:sz w:val="16"/>
                <w:szCs w:val="16"/>
                <w:lang w:val="en-US"/>
              </w:rPr>
            </w:pPr>
            <w:r w:rsidRPr="000C32D5">
              <w:rPr>
                <w:rFonts w:ascii="Calibri" w:eastAsia="Calibri" w:hAnsi="Calibri" w:cs="Arial"/>
                <w:bCs/>
                <w:color w:val="000000"/>
                <w:sz w:val="16"/>
                <w:szCs w:val="16"/>
              </w:rPr>
              <w:t>2,913,647</w:t>
            </w:r>
          </w:p>
        </w:tc>
      </w:tr>
      <w:tr w:rsidR="000C32D5" w:rsidRPr="000C32D5" w14:paraId="59F25A68" w14:textId="77777777" w:rsidTr="00E44437">
        <w:trPr>
          <w:trHeight w:val="274"/>
        </w:trPr>
        <w:tc>
          <w:tcPr>
            <w:tcW w:w="1222" w:type="pct"/>
            <w:shd w:val="clear" w:color="auto" w:fill="auto"/>
            <w:vAlign w:val="bottom"/>
          </w:tcPr>
          <w:p w14:paraId="54235677" w14:textId="77777777" w:rsidR="000C32D5" w:rsidRPr="000C32D5" w:rsidRDefault="000C32D5" w:rsidP="000C32D5">
            <w:pPr>
              <w:tabs>
                <w:tab w:val="left" w:pos="-720"/>
              </w:tabs>
              <w:suppressAutoHyphens/>
              <w:spacing w:after="0" w:line="280" w:lineRule="exact"/>
              <w:ind w:right="-5"/>
              <w:rPr>
                <w:rFonts w:ascii="Calibri" w:eastAsia="Calibri" w:hAnsi="Calibri" w:cs="Arial"/>
                <w:sz w:val="16"/>
                <w:szCs w:val="16"/>
                <w:lang w:val="en-US"/>
              </w:rPr>
            </w:pPr>
            <w:r w:rsidRPr="000C32D5">
              <w:rPr>
                <w:rFonts w:ascii="Calibri" w:eastAsia="Calibri" w:hAnsi="Calibri" w:cs="Arial"/>
                <w:sz w:val="16"/>
                <w:szCs w:val="16"/>
                <w:lang w:val="en-US"/>
              </w:rPr>
              <w:t xml:space="preserve">Other assets </w:t>
            </w:r>
          </w:p>
        </w:tc>
        <w:tc>
          <w:tcPr>
            <w:tcW w:w="442" w:type="pct"/>
            <w:tcBorders>
              <w:bottom w:val="single" w:sz="4" w:space="0" w:color="auto"/>
            </w:tcBorders>
            <w:vAlign w:val="bottom"/>
          </w:tcPr>
          <w:p w14:paraId="6AB90425"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w:t>
            </w:r>
          </w:p>
        </w:tc>
        <w:tc>
          <w:tcPr>
            <w:tcW w:w="504" w:type="pct"/>
            <w:tcBorders>
              <w:bottom w:val="single" w:sz="4" w:space="0" w:color="auto"/>
            </w:tcBorders>
            <w:vAlign w:val="bottom"/>
          </w:tcPr>
          <w:p w14:paraId="56E0F561"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w:t>
            </w:r>
          </w:p>
        </w:tc>
        <w:tc>
          <w:tcPr>
            <w:tcW w:w="440" w:type="pct"/>
            <w:tcBorders>
              <w:bottom w:val="single" w:sz="4" w:space="0" w:color="auto"/>
            </w:tcBorders>
            <w:vAlign w:val="bottom"/>
          </w:tcPr>
          <w:p w14:paraId="0F326056"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w:t>
            </w:r>
          </w:p>
        </w:tc>
        <w:tc>
          <w:tcPr>
            <w:tcW w:w="504" w:type="pct"/>
            <w:tcBorders>
              <w:bottom w:val="single" w:sz="4" w:space="0" w:color="auto"/>
            </w:tcBorders>
            <w:vAlign w:val="bottom"/>
          </w:tcPr>
          <w:p w14:paraId="1AA66B68"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w:t>
            </w:r>
          </w:p>
        </w:tc>
        <w:tc>
          <w:tcPr>
            <w:tcW w:w="479" w:type="pct"/>
            <w:tcBorders>
              <w:bottom w:val="single" w:sz="4" w:space="0" w:color="auto"/>
            </w:tcBorders>
            <w:vAlign w:val="bottom"/>
          </w:tcPr>
          <w:p w14:paraId="7D73360A"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w:t>
            </w:r>
          </w:p>
        </w:tc>
        <w:tc>
          <w:tcPr>
            <w:tcW w:w="467" w:type="pct"/>
            <w:tcBorders>
              <w:bottom w:val="single" w:sz="4" w:space="0" w:color="auto"/>
            </w:tcBorders>
            <w:vAlign w:val="bottom"/>
          </w:tcPr>
          <w:p w14:paraId="47ED25DA"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37,537</w:t>
            </w:r>
          </w:p>
        </w:tc>
        <w:tc>
          <w:tcPr>
            <w:tcW w:w="474" w:type="pct"/>
            <w:tcBorders>
              <w:bottom w:val="single" w:sz="4" w:space="0" w:color="auto"/>
            </w:tcBorders>
            <w:vAlign w:val="bottom"/>
          </w:tcPr>
          <w:p w14:paraId="6FD1FEB9" w14:textId="77777777" w:rsidR="000C32D5" w:rsidRPr="000C32D5" w:rsidRDefault="000C32D5" w:rsidP="000C32D5">
            <w:pPr>
              <w:spacing w:after="0" w:line="280" w:lineRule="exact"/>
              <w:jc w:val="right"/>
              <w:rPr>
                <w:rFonts w:ascii="Calibri" w:eastAsia="Calibri" w:hAnsi="Calibri" w:cs="Arial"/>
                <w:sz w:val="16"/>
                <w:szCs w:val="16"/>
                <w:lang w:val="en-US"/>
              </w:rPr>
            </w:pPr>
            <w:r w:rsidRPr="000C32D5">
              <w:rPr>
                <w:rFonts w:ascii="Calibri" w:eastAsia="Calibri" w:hAnsi="Calibri" w:cs="Arial"/>
                <w:bCs/>
                <w:color w:val="000000"/>
                <w:sz w:val="16"/>
                <w:szCs w:val="16"/>
              </w:rPr>
              <w:t>37,537</w:t>
            </w:r>
          </w:p>
        </w:tc>
        <w:tc>
          <w:tcPr>
            <w:tcW w:w="468" w:type="pct"/>
            <w:tcBorders>
              <w:bottom w:val="single" w:sz="4" w:space="0" w:color="auto"/>
            </w:tcBorders>
            <w:vAlign w:val="bottom"/>
          </w:tcPr>
          <w:p w14:paraId="6625F9F0" w14:textId="77777777" w:rsidR="000C32D5" w:rsidRPr="000C32D5" w:rsidDel="00D96E20" w:rsidRDefault="000C32D5" w:rsidP="000C32D5">
            <w:pPr>
              <w:spacing w:after="0" w:line="280" w:lineRule="exact"/>
              <w:jc w:val="right"/>
              <w:rPr>
                <w:rFonts w:ascii="Calibri" w:eastAsia="Calibri" w:hAnsi="Calibri" w:cs="Arial"/>
                <w:sz w:val="16"/>
                <w:szCs w:val="16"/>
                <w:lang w:val="en-US"/>
              </w:rPr>
            </w:pPr>
          </w:p>
        </w:tc>
      </w:tr>
      <w:tr w:rsidR="000C32D5" w:rsidRPr="000C32D5" w14:paraId="36336C4F" w14:textId="77777777" w:rsidTr="00E44437">
        <w:trPr>
          <w:trHeight w:hRule="exact" w:val="389"/>
        </w:trPr>
        <w:tc>
          <w:tcPr>
            <w:tcW w:w="1222" w:type="pct"/>
            <w:shd w:val="clear" w:color="auto" w:fill="auto"/>
            <w:vAlign w:val="bottom"/>
          </w:tcPr>
          <w:p w14:paraId="4183290A" w14:textId="77777777" w:rsidR="000C32D5" w:rsidRPr="000C32D5" w:rsidRDefault="000C32D5" w:rsidP="000C32D5">
            <w:pPr>
              <w:tabs>
                <w:tab w:val="right" w:pos="1202"/>
              </w:tabs>
              <w:spacing w:after="0" w:line="320" w:lineRule="exact"/>
              <w:outlineLvl w:val="0"/>
              <w:rPr>
                <w:rFonts w:ascii="Calibri" w:eastAsia="Times New Roman" w:hAnsi="Calibri" w:cs="Arial"/>
                <w:b/>
                <w:bCs/>
                <w:sz w:val="16"/>
                <w:szCs w:val="16"/>
                <w:lang w:val="en-US"/>
              </w:rPr>
            </w:pPr>
            <w:r w:rsidRPr="000C32D5">
              <w:rPr>
                <w:rFonts w:ascii="Calibri" w:eastAsia="Times New Roman" w:hAnsi="Calibri" w:cs="Arial"/>
                <w:b/>
                <w:bCs/>
                <w:sz w:val="16"/>
                <w:szCs w:val="16"/>
                <w:lang w:val="en-US"/>
              </w:rPr>
              <w:t xml:space="preserve">Total assets </w:t>
            </w:r>
          </w:p>
        </w:tc>
        <w:tc>
          <w:tcPr>
            <w:tcW w:w="442" w:type="pct"/>
            <w:tcBorders>
              <w:top w:val="nil"/>
              <w:left w:val="nil"/>
              <w:bottom w:val="single" w:sz="8" w:space="0" w:color="auto"/>
              <w:right w:val="nil"/>
            </w:tcBorders>
            <w:vAlign w:val="bottom"/>
          </w:tcPr>
          <w:p w14:paraId="5FCA35A1" w14:textId="77777777" w:rsidR="000C32D5" w:rsidRPr="000C32D5" w:rsidRDefault="000C32D5" w:rsidP="000C32D5">
            <w:pPr>
              <w:spacing w:after="0" w:line="320" w:lineRule="exact"/>
              <w:jc w:val="right"/>
              <w:rPr>
                <w:rFonts w:ascii="Calibri" w:eastAsia="Calibri" w:hAnsi="Calibri" w:cs="Arial"/>
                <w:b/>
                <w:bCs/>
                <w:sz w:val="16"/>
                <w:szCs w:val="16"/>
                <w:lang w:val="en-US"/>
              </w:rPr>
            </w:pPr>
            <w:r w:rsidRPr="000C32D5">
              <w:rPr>
                <w:rFonts w:ascii="Calibri" w:eastAsia="Calibri" w:hAnsi="Calibri" w:cs="Arial"/>
                <w:b/>
                <w:color w:val="000000"/>
                <w:sz w:val="16"/>
                <w:szCs w:val="16"/>
              </w:rPr>
              <w:t>4,856,317</w:t>
            </w:r>
          </w:p>
        </w:tc>
        <w:tc>
          <w:tcPr>
            <w:tcW w:w="504" w:type="pct"/>
            <w:tcBorders>
              <w:top w:val="nil"/>
              <w:left w:val="nil"/>
              <w:bottom w:val="single" w:sz="8" w:space="0" w:color="auto"/>
              <w:right w:val="nil"/>
            </w:tcBorders>
            <w:vAlign w:val="bottom"/>
          </w:tcPr>
          <w:p w14:paraId="6B7848E3" w14:textId="77777777" w:rsidR="000C32D5" w:rsidRPr="000C32D5" w:rsidRDefault="000C32D5" w:rsidP="000C32D5">
            <w:pPr>
              <w:spacing w:after="0" w:line="320" w:lineRule="exact"/>
              <w:jc w:val="right"/>
              <w:rPr>
                <w:rFonts w:ascii="Calibri" w:eastAsia="Calibri" w:hAnsi="Calibri" w:cs="Arial"/>
                <w:b/>
                <w:bCs/>
                <w:sz w:val="16"/>
                <w:szCs w:val="16"/>
                <w:lang w:val="en-US"/>
              </w:rPr>
            </w:pPr>
            <w:r w:rsidRPr="000C32D5">
              <w:rPr>
                <w:rFonts w:ascii="Calibri" w:eastAsia="Calibri" w:hAnsi="Calibri" w:cs="Arial"/>
                <w:b/>
                <w:color w:val="000000"/>
                <w:sz w:val="16"/>
                <w:szCs w:val="16"/>
              </w:rPr>
              <w:t>944,035</w:t>
            </w:r>
          </w:p>
        </w:tc>
        <w:tc>
          <w:tcPr>
            <w:tcW w:w="440" w:type="pct"/>
            <w:tcBorders>
              <w:top w:val="nil"/>
              <w:left w:val="nil"/>
              <w:bottom w:val="single" w:sz="8" w:space="0" w:color="auto"/>
              <w:right w:val="nil"/>
            </w:tcBorders>
            <w:vAlign w:val="bottom"/>
          </w:tcPr>
          <w:p w14:paraId="00911FC9" w14:textId="77777777" w:rsidR="000C32D5" w:rsidRPr="000C32D5" w:rsidRDefault="000C32D5" w:rsidP="000C32D5">
            <w:pPr>
              <w:spacing w:after="0" w:line="320" w:lineRule="exact"/>
              <w:jc w:val="right"/>
              <w:rPr>
                <w:rFonts w:ascii="Calibri" w:eastAsia="Calibri" w:hAnsi="Calibri" w:cs="Arial"/>
                <w:b/>
                <w:bCs/>
                <w:sz w:val="16"/>
                <w:szCs w:val="16"/>
                <w:lang w:val="en-US"/>
              </w:rPr>
            </w:pPr>
            <w:r w:rsidRPr="000C32D5">
              <w:rPr>
                <w:rFonts w:ascii="Calibri" w:eastAsia="Calibri" w:hAnsi="Calibri" w:cs="Arial"/>
                <w:b/>
                <w:color w:val="000000"/>
                <w:sz w:val="16"/>
                <w:szCs w:val="16"/>
              </w:rPr>
              <w:t>2,089,794</w:t>
            </w:r>
          </w:p>
        </w:tc>
        <w:tc>
          <w:tcPr>
            <w:tcW w:w="504" w:type="pct"/>
            <w:tcBorders>
              <w:top w:val="nil"/>
              <w:left w:val="nil"/>
              <w:bottom w:val="single" w:sz="8" w:space="0" w:color="auto"/>
              <w:right w:val="nil"/>
            </w:tcBorders>
            <w:vAlign w:val="bottom"/>
          </w:tcPr>
          <w:p w14:paraId="5A7D041C" w14:textId="77777777" w:rsidR="000C32D5" w:rsidRPr="000C32D5" w:rsidRDefault="000C32D5" w:rsidP="000C32D5">
            <w:pPr>
              <w:spacing w:after="0" w:line="320" w:lineRule="exact"/>
              <w:jc w:val="right"/>
              <w:rPr>
                <w:rFonts w:ascii="Calibri" w:eastAsia="Calibri" w:hAnsi="Calibri" w:cs="Arial"/>
                <w:b/>
                <w:bCs/>
                <w:sz w:val="16"/>
                <w:szCs w:val="16"/>
                <w:lang w:val="en-US"/>
              </w:rPr>
            </w:pPr>
            <w:r w:rsidRPr="000C32D5">
              <w:rPr>
                <w:rFonts w:ascii="Calibri" w:eastAsia="Calibri" w:hAnsi="Calibri" w:cs="Arial"/>
                <w:b/>
                <w:color w:val="000000"/>
                <w:sz w:val="16"/>
                <w:szCs w:val="16"/>
              </w:rPr>
              <w:t>4,955,691</w:t>
            </w:r>
          </w:p>
        </w:tc>
        <w:tc>
          <w:tcPr>
            <w:tcW w:w="479" w:type="pct"/>
            <w:tcBorders>
              <w:top w:val="nil"/>
              <w:left w:val="nil"/>
              <w:bottom w:val="single" w:sz="8" w:space="0" w:color="auto"/>
              <w:right w:val="nil"/>
            </w:tcBorders>
            <w:vAlign w:val="bottom"/>
          </w:tcPr>
          <w:p w14:paraId="091398D1" w14:textId="77777777" w:rsidR="000C32D5" w:rsidRPr="000C32D5" w:rsidRDefault="000C32D5" w:rsidP="000C32D5">
            <w:pPr>
              <w:spacing w:after="0" w:line="320" w:lineRule="exact"/>
              <w:jc w:val="right"/>
              <w:rPr>
                <w:rFonts w:ascii="Calibri" w:eastAsia="Calibri" w:hAnsi="Calibri" w:cs="Arial"/>
                <w:b/>
                <w:bCs/>
                <w:sz w:val="16"/>
                <w:szCs w:val="16"/>
                <w:lang w:val="en-US"/>
              </w:rPr>
            </w:pPr>
            <w:r w:rsidRPr="000C32D5">
              <w:rPr>
                <w:rFonts w:ascii="Calibri" w:eastAsia="Calibri" w:hAnsi="Calibri" w:cs="Arial"/>
                <w:b/>
                <w:color w:val="000000"/>
                <w:sz w:val="16"/>
                <w:szCs w:val="16"/>
              </w:rPr>
              <w:t>12,982,547</w:t>
            </w:r>
          </w:p>
        </w:tc>
        <w:tc>
          <w:tcPr>
            <w:tcW w:w="467" w:type="pct"/>
            <w:tcBorders>
              <w:top w:val="nil"/>
              <w:left w:val="nil"/>
              <w:bottom w:val="single" w:sz="8" w:space="0" w:color="auto"/>
              <w:right w:val="nil"/>
            </w:tcBorders>
            <w:vAlign w:val="bottom"/>
          </w:tcPr>
          <w:p w14:paraId="4FDA456B" w14:textId="77777777" w:rsidR="000C32D5" w:rsidRPr="000C32D5" w:rsidRDefault="000C32D5" w:rsidP="000C32D5">
            <w:pPr>
              <w:spacing w:after="0" w:line="320" w:lineRule="exact"/>
              <w:jc w:val="right"/>
              <w:rPr>
                <w:rFonts w:ascii="Calibri" w:eastAsia="Calibri" w:hAnsi="Calibri" w:cs="Arial"/>
                <w:b/>
                <w:bCs/>
                <w:sz w:val="16"/>
                <w:szCs w:val="16"/>
                <w:lang w:val="en-US"/>
              </w:rPr>
            </w:pPr>
            <w:r w:rsidRPr="000C32D5">
              <w:rPr>
                <w:rFonts w:ascii="Calibri" w:eastAsia="Calibri" w:hAnsi="Calibri" w:cs="Arial"/>
                <w:b/>
                <w:color w:val="000000"/>
                <w:sz w:val="16"/>
                <w:szCs w:val="16"/>
              </w:rPr>
              <w:t>2,384,672</w:t>
            </w:r>
          </w:p>
        </w:tc>
        <w:tc>
          <w:tcPr>
            <w:tcW w:w="474" w:type="pct"/>
            <w:tcBorders>
              <w:top w:val="nil"/>
              <w:left w:val="nil"/>
              <w:bottom w:val="single" w:sz="8" w:space="0" w:color="auto"/>
              <w:right w:val="nil"/>
            </w:tcBorders>
            <w:vAlign w:val="bottom"/>
          </w:tcPr>
          <w:p w14:paraId="03A5FC42" w14:textId="77777777" w:rsidR="000C32D5" w:rsidRPr="000C32D5" w:rsidRDefault="000C32D5" w:rsidP="000C32D5">
            <w:pPr>
              <w:spacing w:after="0" w:line="320" w:lineRule="exact"/>
              <w:jc w:val="right"/>
              <w:rPr>
                <w:rFonts w:ascii="Calibri" w:eastAsia="Calibri" w:hAnsi="Calibri" w:cs="Arial"/>
                <w:b/>
                <w:bCs/>
                <w:sz w:val="16"/>
                <w:szCs w:val="16"/>
                <w:lang w:val="en-US"/>
              </w:rPr>
            </w:pPr>
            <w:r w:rsidRPr="000C32D5">
              <w:rPr>
                <w:rFonts w:ascii="Calibri" w:eastAsia="Calibri" w:hAnsi="Calibri" w:cs="Arial"/>
                <w:b/>
                <w:color w:val="000000"/>
                <w:sz w:val="16"/>
                <w:szCs w:val="16"/>
              </w:rPr>
              <w:t>28,213,056</w:t>
            </w:r>
          </w:p>
        </w:tc>
        <w:tc>
          <w:tcPr>
            <w:tcW w:w="468" w:type="pct"/>
            <w:tcBorders>
              <w:top w:val="nil"/>
              <w:left w:val="nil"/>
              <w:bottom w:val="single" w:sz="8" w:space="0" w:color="auto"/>
              <w:right w:val="nil"/>
            </w:tcBorders>
            <w:vAlign w:val="bottom"/>
          </w:tcPr>
          <w:p w14:paraId="11CB100D" w14:textId="77777777" w:rsidR="000C32D5" w:rsidRPr="000C32D5" w:rsidDel="00D96E20" w:rsidRDefault="000C32D5" w:rsidP="000C32D5">
            <w:pPr>
              <w:spacing w:after="0" w:line="320" w:lineRule="exact"/>
              <w:jc w:val="right"/>
              <w:rPr>
                <w:rFonts w:ascii="Calibri" w:eastAsia="Calibri" w:hAnsi="Calibri" w:cs="Calibri"/>
                <w:b/>
                <w:bCs/>
                <w:sz w:val="16"/>
                <w:szCs w:val="16"/>
                <w:lang w:val="en-US"/>
              </w:rPr>
            </w:pPr>
            <w:r w:rsidRPr="000C32D5">
              <w:rPr>
                <w:rFonts w:ascii="Calibri" w:eastAsia="Calibri" w:hAnsi="Calibri" w:cs="Arial"/>
                <w:b/>
                <w:color w:val="000000"/>
                <w:sz w:val="16"/>
                <w:szCs w:val="16"/>
              </w:rPr>
              <w:t>24,880,889</w:t>
            </w:r>
          </w:p>
        </w:tc>
      </w:tr>
      <w:tr w:rsidR="000C32D5" w:rsidRPr="000C32D5" w14:paraId="28CEF6F2" w14:textId="77777777" w:rsidTr="00E44437">
        <w:trPr>
          <w:trHeight w:val="320"/>
        </w:trPr>
        <w:tc>
          <w:tcPr>
            <w:tcW w:w="1222" w:type="pct"/>
          </w:tcPr>
          <w:p w14:paraId="6DCEE545" w14:textId="77777777" w:rsidR="000C32D5" w:rsidRPr="000C32D5" w:rsidRDefault="000C32D5" w:rsidP="000C32D5">
            <w:pPr>
              <w:tabs>
                <w:tab w:val="right" w:pos="1202"/>
              </w:tabs>
              <w:spacing w:after="0" w:line="320" w:lineRule="exact"/>
              <w:outlineLvl w:val="0"/>
              <w:rPr>
                <w:rFonts w:ascii="Calibri" w:eastAsia="Times New Roman" w:hAnsi="Calibri" w:cs="Arial"/>
                <w:b/>
                <w:spacing w:val="-2"/>
                <w:sz w:val="16"/>
                <w:szCs w:val="16"/>
                <w:lang w:val="en-US"/>
              </w:rPr>
            </w:pPr>
            <w:r w:rsidRPr="000C32D5">
              <w:rPr>
                <w:rFonts w:ascii="Calibri" w:eastAsia="Times New Roman" w:hAnsi="Calibri" w:cs="Arial"/>
                <w:b/>
                <w:spacing w:val="-2"/>
                <w:sz w:val="16"/>
                <w:szCs w:val="16"/>
                <w:lang w:val="en-US"/>
              </w:rPr>
              <w:t>Liabilities</w:t>
            </w:r>
          </w:p>
        </w:tc>
        <w:tc>
          <w:tcPr>
            <w:tcW w:w="442" w:type="pct"/>
            <w:tcBorders>
              <w:top w:val="single" w:sz="12" w:space="0" w:color="auto"/>
            </w:tcBorders>
            <w:vAlign w:val="bottom"/>
          </w:tcPr>
          <w:p w14:paraId="353E685A" w14:textId="77777777" w:rsidR="000C32D5" w:rsidRPr="000C32D5" w:rsidRDefault="000C32D5" w:rsidP="000C32D5">
            <w:pPr>
              <w:spacing w:after="0" w:line="320" w:lineRule="exact"/>
              <w:jc w:val="right"/>
              <w:rPr>
                <w:rFonts w:ascii="Calibri" w:eastAsia="Calibri" w:hAnsi="Calibri" w:cs="Arial"/>
                <w:b/>
                <w:bCs/>
                <w:sz w:val="16"/>
                <w:szCs w:val="16"/>
                <w:lang w:val="en-US"/>
              </w:rPr>
            </w:pPr>
          </w:p>
        </w:tc>
        <w:tc>
          <w:tcPr>
            <w:tcW w:w="504" w:type="pct"/>
            <w:tcBorders>
              <w:top w:val="single" w:sz="12" w:space="0" w:color="auto"/>
            </w:tcBorders>
            <w:vAlign w:val="bottom"/>
          </w:tcPr>
          <w:p w14:paraId="363607E8" w14:textId="77777777" w:rsidR="000C32D5" w:rsidRPr="000C32D5" w:rsidRDefault="000C32D5" w:rsidP="000C32D5">
            <w:pPr>
              <w:spacing w:after="0" w:line="320" w:lineRule="exact"/>
              <w:jc w:val="right"/>
              <w:rPr>
                <w:rFonts w:ascii="Calibri" w:eastAsia="Calibri" w:hAnsi="Calibri" w:cs="Arial"/>
                <w:b/>
                <w:bCs/>
                <w:sz w:val="16"/>
                <w:szCs w:val="16"/>
                <w:lang w:val="en-US"/>
              </w:rPr>
            </w:pPr>
          </w:p>
        </w:tc>
        <w:tc>
          <w:tcPr>
            <w:tcW w:w="440" w:type="pct"/>
            <w:tcBorders>
              <w:top w:val="single" w:sz="12" w:space="0" w:color="auto"/>
            </w:tcBorders>
            <w:vAlign w:val="bottom"/>
          </w:tcPr>
          <w:p w14:paraId="51DA267F" w14:textId="77777777" w:rsidR="000C32D5" w:rsidRPr="000C32D5" w:rsidRDefault="000C32D5" w:rsidP="000C32D5">
            <w:pPr>
              <w:spacing w:after="0" w:line="320" w:lineRule="exact"/>
              <w:jc w:val="right"/>
              <w:rPr>
                <w:rFonts w:ascii="Calibri" w:eastAsia="Calibri" w:hAnsi="Calibri" w:cs="Arial"/>
                <w:b/>
                <w:bCs/>
                <w:sz w:val="16"/>
                <w:szCs w:val="16"/>
                <w:lang w:val="en-US"/>
              </w:rPr>
            </w:pPr>
          </w:p>
        </w:tc>
        <w:tc>
          <w:tcPr>
            <w:tcW w:w="504" w:type="pct"/>
            <w:tcBorders>
              <w:top w:val="single" w:sz="12" w:space="0" w:color="auto"/>
            </w:tcBorders>
            <w:vAlign w:val="bottom"/>
          </w:tcPr>
          <w:p w14:paraId="3903C076" w14:textId="77777777" w:rsidR="000C32D5" w:rsidRPr="000C32D5" w:rsidRDefault="000C32D5" w:rsidP="000C32D5">
            <w:pPr>
              <w:spacing w:after="0" w:line="320" w:lineRule="exact"/>
              <w:jc w:val="right"/>
              <w:rPr>
                <w:rFonts w:ascii="Calibri" w:eastAsia="Calibri" w:hAnsi="Calibri" w:cs="Arial"/>
                <w:b/>
                <w:bCs/>
                <w:sz w:val="16"/>
                <w:szCs w:val="16"/>
                <w:lang w:val="en-US"/>
              </w:rPr>
            </w:pPr>
          </w:p>
        </w:tc>
        <w:tc>
          <w:tcPr>
            <w:tcW w:w="479" w:type="pct"/>
            <w:tcBorders>
              <w:top w:val="single" w:sz="12" w:space="0" w:color="auto"/>
            </w:tcBorders>
            <w:vAlign w:val="bottom"/>
          </w:tcPr>
          <w:p w14:paraId="5FFB3F0A" w14:textId="77777777" w:rsidR="000C32D5" w:rsidRPr="000C32D5" w:rsidRDefault="000C32D5" w:rsidP="000C32D5">
            <w:pPr>
              <w:spacing w:after="0" w:line="320" w:lineRule="exact"/>
              <w:jc w:val="right"/>
              <w:rPr>
                <w:rFonts w:ascii="Calibri" w:eastAsia="Calibri" w:hAnsi="Calibri" w:cs="Arial"/>
                <w:b/>
                <w:bCs/>
                <w:sz w:val="16"/>
                <w:szCs w:val="16"/>
                <w:lang w:val="en-US"/>
              </w:rPr>
            </w:pPr>
          </w:p>
        </w:tc>
        <w:tc>
          <w:tcPr>
            <w:tcW w:w="467" w:type="pct"/>
            <w:tcBorders>
              <w:top w:val="single" w:sz="12" w:space="0" w:color="auto"/>
            </w:tcBorders>
            <w:vAlign w:val="bottom"/>
          </w:tcPr>
          <w:p w14:paraId="44AE4A1C" w14:textId="77777777" w:rsidR="000C32D5" w:rsidRPr="000C32D5" w:rsidRDefault="000C32D5" w:rsidP="000C32D5">
            <w:pPr>
              <w:spacing w:after="0" w:line="320" w:lineRule="exact"/>
              <w:jc w:val="right"/>
              <w:rPr>
                <w:rFonts w:ascii="Calibri" w:eastAsia="Calibri" w:hAnsi="Calibri" w:cs="Arial"/>
                <w:b/>
                <w:bCs/>
                <w:sz w:val="16"/>
                <w:szCs w:val="16"/>
                <w:lang w:val="en-US"/>
              </w:rPr>
            </w:pPr>
          </w:p>
        </w:tc>
        <w:tc>
          <w:tcPr>
            <w:tcW w:w="474" w:type="pct"/>
            <w:tcBorders>
              <w:top w:val="single" w:sz="12" w:space="0" w:color="auto"/>
            </w:tcBorders>
            <w:vAlign w:val="bottom"/>
          </w:tcPr>
          <w:p w14:paraId="6D5DE817" w14:textId="77777777" w:rsidR="000C32D5" w:rsidRPr="000C32D5" w:rsidRDefault="000C32D5" w:rsidP="000C32D5">
            <w:pPr>
              <w:spacing w:after="0" w:line="320" w:lineRule="exact"/>
              <w:jc w:val="right"/>
              <w:rPr>
                <w:rFonts w:ascii="Calibri" w:eastAsia="Calibri" w:hAnsi="Calibri" w:cs="Arial"/>
                <w:b/>
                <w:bCs/>
                <w:sz w:val="16"/>
                <w:szCs w:val="16"/>
                <w:lang w:val="en-US"/>
              </w:rPr>
            </w:pPr>
          </w:p>
        </w:tc>
        <w:tc>
          <w:tcPr>
            <w:tcW w:w="468" w:type="pct"/>
            <w:tcBorders>
              <w:top w:val="single" w:sz="12" w:space="0" w:color="auto"/>
            </w:tcBorders>
          </w:tcPr>
          <w:p w14:paraId="469DA4FA" w14:textId="77777777" w:rsidR="000C32D5" w:rsidRPr="000C32D5" w:rsidDel="00D96E20" w:rsidRDefault="000C32D5" w:rsidP="000C32D5">
            <w:pPr>
              <w:spacing w:after="0" w:line="320" w:lineRule="exact"/>
              <w:jc w:val="right"/>
              <w:rPr>
                <w:rFonts w:ascii="Calibri" w:eastAsia="Calibri" w:hAnsi="Calibri" w:cs="Calibri"/>
                <w:b/>
                <w:bCs/>
                <w:sz w:val="16"/>
                <w:szCs w:val="16"/>
                <w:lang w:val="en-US"/>
              </w:rPr>
            </w:pPr>
          </w:p>
        </w:tc>
      </w:tr>
      <w:tr w:rsidR="000C32D5" w:rsidRPr="000C32D5" w14:paraId="6CD73485" w14:textId="77777777" w:rsidTr="00E44437">
        <w:trPr>
          <w:trHeight w:val="320"/>
        </w:trPr>
        <w:tc>
          <w:tcPr>
            <w:tcW w:w="1222" w:type="pct"/>
          </w:tcPr>
          <w:p w14:paraId="26E45983" w14:textId="77777777" w:rsidR="000C32D5" w:rsidRPr="000C32D5" w:rsidRDefault="000C32D5" w:rsidP="000C32D5">
            <w:pPr>
              <w:tabs>
                <w:tab w:val="right" w:pos="1202"/>
              </w:tabs>
              <w:spacing w:after="0" w:line="320" w:lineRule="exact"/>
              <w:outlineLvl w:val="0"/>
              <w:rPr>
                <w:rFonts w:ascii="Calibri" w:eastAsia="Times New Roman" w:hAnsi="Calibri" w:cs="Arial"/>
                <w:b/>
                <w:bCs/>
                <w:sz w:val="16"/>
                <w:szCs w:val="16"/>
                <w:lang w:val="en-US"/>
              </w:rPr>
            </w:pPr>
            <w:r w:rsidRPr="000C32D5">
              <w:rPr>
                <w:rFonts w:ascii="Calibri" w:eastAsia="Times New Roman" w:hAnsi="Calibri" w:cs="Arial"/>
                <w:spacing w:val="-2"/>
                <w:sz w:val="16"/>
                <w:szCs w:val="16"/>
                <w:lang w:val="en-US"/>
              </w:rPr>
              <w:t xml:space="preserve">Deposits from customers </w:t>
            </w:r>
          </w:p>
        </w:tc>
        <w:tc>
          <w:tcPr>
            <w:tcW w:w="442" w:type="pct"/>
            <w:tcBorders>
              <w:top w:val="nil"/>
              <w:left w:val="nil"/>
              <w:bottom w:val="nil"/>
              <w:right w:val="nil"/>
            </w:tcBorders>
            <w:vAlign w:val="bottom"/>
          </w:tcPr>
          <w:p w14:paraId="214AC7E4" w14:textId="77777777" w:rsidR="000C32D5" w:rsidRPr="000C32D5" w:rsidRDefault="000C32D5" w:rsidP="000C32D5">
            <w:pPr>
              <w:spacing w:after="0" w:line="320" w:lineRule="exact"/>
              <w:jc w:val="right"/>
              <w:rPr>
                <w:rFonts w:ascii="Calibri" w:eastAsia="Calibri" w:hAnsi="Calibri" w:cs="Arial"/>
                <w:b/>
                <w:bCs/>
                <w:sz w:val="16"/>
                <w:szCs w:val="16"/>
                <w:lang w:val="en-US"/>
              </w:rPr>
            </w:pPr>
            <w:r w:rsidRPr="000C32D5">
              <w:rPr>
                <w:rFonts w:ascii="Calibri" w:eastAsia="Calibri" w:hAnsi="Calibri" w:cs="Arial"/>
                <w:bCs/>
                <w:color w:val="000000"/>
                <w:sz w:val="16"/>
                <w:szCs w:val="16"/>
              </w:rPr>
              <w:t>417,163</w:t>
            </w:r>
          </w:p>
        </w:tc>
        <w:tc>
          <w:tcPr>
            <w:tcW w:w="504" w:type="pct"/>
            <w:tcBorders>
              <w:top w:val="nil"/>
              <w:left w:val="nil"/>
              <w:bottom w:val="nil"/>
              <w:right w:val="nil"/>
            </w:tcBorders>
            <w:vAlign w:val="bottom"/>
          </w:tcPr>
          <w:p w14:paraId="4CE32C60" w14:textId="77777777" w:rsidR="000C32D5" w:rsidRPr="000C32D5" w:rsidRDefault="000C32D5" w:rsidP="000C32D5">
            <w:pPr>
              <w:spacing w:after="0" w:line="320" w:lineRule="exact"/>
              <w:jc w:val="right"/>
              <w:rPr>
                <w:rFonts w:ascii="Calibri" w:eastAsia="Calibri" w:hAnsi="Calibri" w:cs="Arial"/>
                <w:b/>
                <w:bCs/>
                <w:sz w:val="16"/>
                <w:szCs w:val="16"/>
                <w:lang w:val="en-US"/>
              </w:rPr>
            </w:pPr>
            <w:r w:rsidRPr="000C32D5">
              <w:rPr>
                <w:rFonts w:ascii="Calibri" w:eastAsia="Calibri" w:hAnsi="Calibri" w:cs="Arial"/>
                <w:bCs/>
                <w:color w:val="000000"/>
                <w:sz w:val="16"/>
                <w:szCs w:val="16"/>
              </w:rPr>
              <w:t>-</w:t>
            </w:r>
          </w:p>
        </w:tc>
        <w:tc>
          <w:tcPr>
            <w:tcW w:w="440" w:type="pct"/>
            <w:tcBorders>
              <w:top w:val="nil"/>
              <w:left w:val="nil"/>
              <w:bottom w:val="nil"/>
              <w:right w:val="nil"/>
            </w:tcBorders>
            <w:vAlign w:val="bottom"/>
          </w:tcPr>
          <w:p w14:paraId="422A41B5" w14:textId="77777777" w:rsidR="000C32D5" w:rsidRPr="000C32D5" w:rsidRDefault="000C32D5" w:rsidP="000C32D5">
            <w:pPr>
              <w:spacing w:after="0" w:line="320" w:lineRule="exact"/>
              <w:jc w:val="right"/>
              <w:rPr>
                <w:rFonts w:ascii="Calibri" w:eastAsia="Calibri" w:hAnsi="Calibri" w:cs="Arial"/>
                <w:b/>
                <w:bCs/>
                <w:sz w:val="16"/>
                <w:szCs w:val="16"/>
                <w:lang w:val="en-US"/>
              </w:rPr>
            </w:pPr>
            <w:r w:rsidRPr="000C32D5">
              <w:rPr>
                <w:rFonts w:ascii="Calibri" w:eastAsia="Calibri" w:hAnsi="Calibri" w:cs="Arial"/>
                <w:bCs/>
                <w:color w:val="000000"/>
                <w:sz w:val="16"/>
                <w:szCs w:val="16"/>
              </w:rPr>
              <w:t>-</w:t>
            </w:r>
          </w:p>
        </w:tc>
        <w:tc>
          <w:tcPr>
            <w:tcW w:w="504" w:type="pct"/>
            <w:tcBorders>
              <w:top w:val="nil"/>
              <w:left w:val="nil"/>
              <w:bottom w:val="nil"/>
              <w:right w:val="nil"/>
            </w:tcBorders>
            <w:vAlign w:val="bottom"/>
          </w:tcPr>
          <w:p w14:paraId="6A2786A2" w14:textId="77777777" w:rsidR="000C32D5" w:rsidRPr="000C32D5" w:rsidRDefault="000C32D5" w:rsidP="000C32D5">
            <w:pPr>
              <w:spacing w:after="0" w:line="320" w:lineRule="exact"/>
              <w:jc w:val="right"/>
              <w:rPr>
                <w:rFonts w:ascii="Calibri" w:eastAsia="Calibri" w:hAnsi="Calibri" w:cs="Arial"/>
                <w:b/>
                <w:bCs/>
                <w:sz w:val="16"/>
                <w:szCs w:val="16"/>
                <w:lang w:val="en-US"/>
              </w:rPr>
            </w:pPr>
            <w:r w:rsidRPr="000C32D5">
              <w:rPr>
                <w:rFonts w:ascii="Calibri" w:eastAsia="Calibri" w:hAnsi="Calibri" w:cs="Arial"/>
                <w:bCs/>
                <w:color w:val="000000"/>
                <w:sz w:val="16"/>
                <w:szCs w:val="16"/>
              </w:rPr>
              <w:t>-</w:t>
            </w:r>
          </w:p>
        </w:tc>
        <w:tc>
          <w:tcPr>
            <w:tcW w:w="479" w:type="pct"/>
            <w:tcBorders>
              <w:top w:val="nil"/>
              <w:left w:val="nil"/>
              <w:bottom w:val="nil"/>
              <w:right w:val="nil"/>
            </w:tcBorders>
            <w:vAlign w:val="bottom"/>
          </w:tcPr>
          <w:p w14:paraId="0964D271" w14:textId="77777777" w:rsidR="000C32D5" w:rsidRPr="000C32D5" w:rsidRDefault="000C32D5" w:rsidP="000C32D5">
            <w:pPr>
              <w:spacing w:after="0" w:line="320" w:lineRule="exact"/>
              <w:jc w:val="right"/>
              <w:rPr>
                <w:rFonts w:ascii="Calibri" w:eastAsia="Calibri" w:hAnsi="Calibri" w:cs="Arial"/>
                <w:b/>
                <w:bCs/>
                <w:sz w:val="16"/>
                <w:szCs w:val="16"/>
                <w:lang w:val="en-US"/>
              </w:rPr>
            </w:pPr>
            <w:r w:rsidRPr="000C32D5">
              <w:rPr>
                <w:rFonts w:ascii="Calibri" w:eastAsia="Calibri" w:hAnsi="Calibri" w:cs="Arial"/>
                <w:bCs/>
                <w:color w:val="000000"/>
                <w:sz w:val="16"/>
                <w:szCs w:val="16"/>
              </w:rPr>
              <w:t>-</w:t>
            </w:r>
          </w:p>
        </w:tc>
        <w:tc>
          <w:tcPr>
            <w:tcW w:w="467" w:type="pct"/>
            <w:tcBorders>
              <w:top w:val="nil"/>
              <w:left w:val="nil"/>
              <w:bottom w:val="nil"/>
              <w:right w:val="nil"/>
            </w:tcBorders>
            <w:vAlign w:val="bottom"/>
          </w:tcPr>
          <w:p w14:paraId="7BE9E781" w14:textId="77777777" w:rsidR="000C32D5" w:rsidRPr="000C32D5" w:rsidRDefault="000C32D5" w:rsidP="000C32D5">
            <w:pPr>
              <w:spacing w:after="0" w:line="320" w:lineRule="exact"/>
              <w:jc w:val="right"/>
              <w:rPr>
                <w:rFonts w:ascii="Calibri" w:eastAsia="Calibri" w:hAnsi="Calibri" w:cs="Arial"/>
                <w:b/>
                <w:bCs/>
                <w:sz w:val="16"/>
                <w:szCs w:val="16"/>
                <w:lang w:val="en-US"/>
              </w:rPr>
            </w:pPr>
            <w:r w:rsidRPr="000C32D5">
              <w:rPr>
                <w:rFonts w:ascii="Calibri" w:eastAsia="Calibri" w:hAnsi="Calibri" w:cs="Arial"/>
                <w:bCs/>
                <w:color w:val="000000"/>
                <w:sz w:val="16"/>
                <w:szCs w:val="16"/>
              </w:rPr>
              <w:t>543,378</w:t>
            </w:r>
          </w:p>
        </w:tc>
        <w:tc>
          <w:tcPr>
            <w:tcW w:w="474" w:type="pct"/>
            <w:tcBorders>
              <w:top w:val="nil"/>
              <w:left w:val="nil"/>
              <w:bottom w:val="nil"/>
              <w:right w:val="nil"/>
            </w:tcBorders>
            <w:vAlign w:val="bottom"/>
          </w:tcPr>
          <w:p w14:paraId="57633161" w14:textId="77777777" w:rsidR="000C32D5" w:rsidRPr="000C32D5" w:rsidRDefault="000C32D5" w:rsidP="000C32D5">
            <w:pPr>
              <w:spacing w:after="0" w:line="320" w:lineRule="exact"/>
              <w:jc w:val="right"/>
              <w:rPr>
                <w:rFonts w:ascii="Calibri" w:eastAsia="Calibri" w:hAnsi="Calibri" w:cs="Arial"/>
                <w:b/>
                <w:bCs/>
                <w:sz w:val="16"/>
                <w:szCs w:val="16"/>
                <w:lang w:val="en-US"/>
              </w:rPr>
            </w:pPr>
            <w:r w:rsidRPr="000C32D5">
              <w:rPr>
                <w:rFonts w:ascii="Calibri" w:eastAsia="Calibri" w:hAnsi="Calibri" w:cs="Arial"/>
                <w:bCs/>
                <w:color w:val="000000"/>
                <w:sz w:val="16"/>
                <w:szCs w:val="16"/>
              </w:rPr>
              <w:t>960,541</w:t>
            </w:r>
          </w:p>
        </w:tc>
        <w:tc>
          <w:tcPr>
            <w:tcW w:w="468" w:type="pct"/>
            <w:tcBorders>
              <w:top w:val="nil"/>
              <w:left w:val="nil"/>
              <w:bottom w:val="nil"/>
              <w:right w:val="nil"/>
            </w:tcBorders>
            <w:vAlign w:val="bottom"/>
          </w:tcPr>
          <w:p w14:paraId="136A3746" w14:textId="77777777" w:rsidR="000C32D5" w:rsidRPr="000C32D5" w:rsidDel="00D96E20" w:rsidRDefault="000C32D5" w:rsidP="000C32D5">
            <w:pPr>
              <w:spacing w:after="0" w:line="320" w:lineRule="exact"/>
              <w:jc w:val="right"/>
              <w:rPr>
                <w:rFonts w:ascii="Calibri" w:eastAsia="Calibri" w:hAnsi="Calibri" w:cs="Calibri"/>
                <w:b/>
                <w:bCs/>
                <w:sz w:val="16"/>
                <w:szCs w:val="16"/>
                <w:lang w:val="en-US"/>
              </w:rPr>
            </w:pPr>
            <w:r w:rsidRPr="000C32D5">
              <w:rPr>
                <w:rFonts w:ascii="Calibri" w:eastAsia="Calibri" w:hAnsi="Calibri" w:cs="Arial"/>
                <w:bCs/>
                <w:color w:val="000000"/>
                <w:sz w:val="16"/>
                <w:szCs w:val="16"/>
              </w:rPr>
              <w:t>417,163</w:t>
            </w:r>
          </w:p>
        </w:tc>
      </w:tr>
      <w:tr w:rsidR="000C32D5" w:rsidRPr="000C32D5" w14:paraId="610BB6B3" w14:textId="77777777" w:rsidTr="00E44437">
        <w:trPr>
          <w:trHeight w:val="299"/>
        </w:trPr>
        <w:tc>
          <w:tcPr>
            <w:tcW w:w="1222" w:type="pct"/>
          </w:tcPr>
          <w:p w14:paraId="1706C615" w14:textId="77777777" w:rsidR="000C32D5" w:rsidRPr="000C32D5" w:rsidRDefault="000C32D5" w:rsidP="000C32D5">
            <w:pPr>
              <w:tabs>
                <w:tab w:val="right" w:pos="1202"/>
              </w:tabs>
              <w:spacing w:after="0" w:line="320" w:lineRule="exact"/>
              <w:outlineLvl w:val="0"/>
              <w:rPr>
                <w:rFonts w:ascii="Calibri" w:eastAsia="Times New Roman" w:hAnsi="Calibri" w:cs="Arial"/>
                <w:b/>
                <w:bCs/>
                <w:sz w:val="16"/>
                <w:szCs w:val="16"/>
                <w:lang w:val="en-US"/>
              </w:rPr>
            </w:pPr>
            <w:r w:rsidRPr="000C32D5">
              <w:rPr>
                <w:rFonts w:ascii="Calibri" w:eastAsia="Times New Roman" w:hAnsi="Calibri" w:cs="Arial"/>
                <w:spacing w:val="-2"/>
                <w:sz w:val="16"/>
                <w:szCs w:val="16"/>
                <w:lang w:val="en-US"/>
              </w:rPr>
              <w:t xml:space="preserve">Borrowings </w:t>
            </w:r>
          </w:p>
        </w:tc>
        <w:tc>
          <w:tcPr>
            <w:tcW w:w="442" w:type="pct"/>
            <w:tcBorders>
              <w:top w:val="nil"/>
              <w:left w:val="nil"/>
              <w:bottom w:val="nil"/>
              <w:right w:val="nil"/>
            </w:tcBorders>
            <w:vAlign w:val="bottom"/>
          </w:tcPr>
          <w:p w14:paraId="79E9DF87" w14:textId="77777777" w:rsidR="000C32D5" w:rsidRPr="000C32D5" w:rsidRDefault="000C32D5" w:rsidP="000C32D5">
            <w:pPr>
              <w:spacing w:after="0" w:line="320" w:lineRule="exact"/>
              <w:jc w:val="right"/>
              <w:rPr>
                <w:rFonts w:ascii="Calibri" w:eastAsia="Calibri" w:hAnsi="Calibri" w:cs="Arial"/>
                <w:b/>
                <w:bCs/>
                <w:sz w:val="16"/>
                <w:szCs w:val="16"/>
                <w:lang w:val="en-US"/>
              </w:rPr>
            </w:pPr>
            <w:r w:rsidRPr="000C32D5">
              <w:rPr>
                <w:rFonts w:ascii="Calibri" w:eastAsia="Calibri" w:hAnsi="Calibri" w:cs="Arial"/>
                <w:bCs/>
                <w:color w:val="000000"/>
                <w:sz w:val="16"/>
                <w:szCs w:val="16"/>
              </w:rPr>
              <w:t>244,301</w:t>
            </w:r>
          </w:p>
        </w:tc>
        <w:tc>
          <w:tcPr>
            <w:tcW w:w="504" w:type="pct"/>
            <w:tcBorders>
              <w:top w:val="nil"/>
              <w:left w:val="nil"/>
              <w:bottom w:val="nil"/>
              <w:right w:val="nil"/>
            </w:tcBorders>
            <w:vAlign w:val="bottom"/>
          </w:tcPr>
          <w:p w14:paraId="1C313E53" w14:textId="77777777" w:rsidR="000C32D5" w:rsidRPr="000C32D5" w:rsidRDefault="000C32D5" w:rsidP="000C32D5">
            <w:pPr>
              <w:spacing w:after="0" w:line="320" w:lineRule="exact"/>
              <w:jc w:val="right"/>
              <w:rPr>
                <w:rFonts w:ascii="Calibri" w:eastAsia="Calibri" w:hAnsi="Calibri" w:cs="Arial"/>
                <w:b/>
                <w:bCs/>
                <w:sz w:val="16"/>
                <w:szCs w:val="16"/>
                <w:lang w:val="en-US"/>
              </w:rPr>
            </w:pPr>
            <w:r w:rsidRPr="000C32D5">
              <w:rPr>
                <w:rFonts w:ascii="Calibri" w:eastAsia="Calibri" w:hAnsi="Calibri" w:cs="Arial"/>
                <w:bCs/>
                <w:color w:val="000000"/>
                <w:sz w:val="16"/>
                <w:szCs w:val="16"/>
              </w:rPr>
              <w:t>310,552</w:t>
            </w:r>
          </w:p>
        </w:tc>
        <w:tc>
          <w:tcPr>
            <w:tcW w:w="440" w:type="pct"/>
            <w:tcBorders>
              <w:top w:val="nil"/>
              <w:left w:val="nil"/>
              <w:bottom w:val="nil"/>
              <w:right w:val="nil"/>
            </w:tcBorders>
            <w:vAlign w:val="bottom"/>
          </w:tcPr>
          <w:p w14:paraId="2830A86E" w14:textId="77777777" w:rsidR="000C32D5" w:rsidRPr="000C32D5" w:rsidRDefault="000C32D5" w:rsidP="000C32D5">
            <w:pPr>
              <w:spacing w:after="0" w:line="320" w:lineRule="exact"/>
              <w:jc w:val="right"/>
              <w:rPr>
                <w:rFonts w:ascii="Calibri" w:eastAsia="Calibri" w:hAnsi="Calibri" w:cs="Arial"/>
                <w:b/>
                <w:bCs/>
                <w:sz w:val="16"/>
                <w:szCs w:val="16"/>
                <w:lang w:val="en-US"/>
              </w:rPr>
            </w:pPr>
            <w:r w:rsidRPr="000C32D5">
              <w:rPr>
                <w:rFonts w:ascii="Calibri" w:eastAsia="Calibri" w:hAnsi="Calibri" w:cs="Arial"/>
                <w:bCs/>
                <w:color w:val="000000"/>
                <w:sz w:val="16"/>
                <w:szCs w:val="16"/>
              </w:rPr>
              <w:t>1,807,992</w:t>
            </w:r>
          </w:p>
        </w:tc>
        <w:tc>
          <w:tcPr>
            <w:tcW w:w="504" w:type="pct"/>
            <w:tcBorders>
              <w:top w:val="nil"/>
              <w:left w:val="nil"/>
              <w:bottom w:val="nil"/>
              <w:right w:val="nil"/>
            </w:tcBorders>
            <w:vAlign w:val="bottom"/>
          </w:tcPr>
          <w:p w14:paraId="6DBA593A" w14:textId="77777777" w:rsidR="000C32D5" w:rsidRPr="000C32D5" w:rsidRDefault="000C32D5" w:rsidP="000C32D5">
            <w:pPr>
              <w:spacing w:after="0" w:line="320" w:lineRule="exact"/>
              <w:jc w:val="right"/>
              <w:rPr>
                <w:rFonts w:ascii="Calibri" w:eastAsia="Calibri" w:hAnsi="Calibri" w:cs="Arial"/>
                <w:b/>
                <w:bCs/>
                <w:sz w:val="16"/>
                <w:szCs w:val="16"/>
                <w:lang w:val="en-US"/>
              </w:rPr>
            </w:pPr>
            <w:r w:rsidRPr="000C32D5">
              <w:rPr>
                <w:rFonts w:ascii="Calibri" w:eastAsia="Calibri" w:hAnsi="Calibri" w:cs="Arial"/>
                <w:bCs/>
                <w:color w:val="000000"/>
                <w:sz w:val="16"/>
                <w:szCs w:val="16"/>
              </w:rPr>
              <w:t>5,775,874</w:t>
            </w:r>
          </w:p>
        </w:tc>
        <w:tc>
          <w:tcPr>
            <w:tcW w:w="479" w:type="pct"/>
            <w:tcBorders>
              <w:top w:val="nil"/>
              <w:left w:val="nil"/>
              <w:bottom w:val="nil"/>
              <w:right w:val="nil"/>
            </w:tcBorders>
            <w:vAlign w:val="bottom"/>
          </w:tcPr>
          <w:p w14:paraId="20FDFB09" w14:textId="77777777" w:rsidR="000C32D5" w:rsidRPr="000C32D5" w:rsidRDefault="000C32D5" w:rsidP="000C32D5">
            <w:pPr>
              <w:spacing w:after="0" w:line="320" w:lineRule="exact"/>
              <w:jc w:val="right"/>
              <w:rPr>
                <w:rFonts w:ascii="Calibri" w:eastAsia="Calibri" w:hAnsi="Calibri" w:cs="Arial"/>
                <w:b/>
                <w:bCs/>
                <w:sz w:val="16"/>
                <w:szCs w:val="16"/>
                <w:lang w:val="en-US"/>
              </w:rPr>
            </w:pPr>
            <w:r w:rsidRPr="000C32D5">
              <w:rPr>
                <w:rFonts w:ascii="Calibri" w:eastAsia="Calibri" w:hAnsi="Calibri" w:cs="Arial"/>
                <w:bCs/>
                <w:color w:val="000000"/>
                <w:sz w:val="16"/>
                <w:szCs w:val="16"/>
              </w:rPr>
              <w:t>7,941,861</w:t>
            </w:r>
          </w:p>
        </w:tc>
        <w:tc>
          <w:tcPr>
            <w:tcW w:w="467" w:type="pct"/>
            <w:tcBorders>
              <w:top w:val="nil"/>
              <w:left w:val="nil"/>
              <w:bottom w:val="nil"/>
              <w:right w:val="nil"/>
            </w:tcBorders>
            <w:vAlign w:val="bottom"/>
          </w:tcPr>
          <w:p w14:paraId="4A945093" w14:textId="77777777" w:rsidR="000C32D5" w:rsidRPr="000C32D5" w:rsidRDefault="000C32D5" w:rsidP="000C32D5">
            <w:pPr>
              <w:spacing w:after="0" w:line="320" w:lineRule="exact"/>
              <w:jc w:val="right"/>
              <w:rPr>
                <w:rFonts w:ascii="Calibri" w:eastAsia="Calibri" w:hAnsi="Calibri" w:cs="Arial"/>
                <w:b/>
                <w:bCs/>
                <w:sz w:val="16"/>
                <w:szCs w:val="16"/>
                <w:lang w:val="en-US"/>
              </w:rPr>
            </w:pPr>
            <w:r w:rsidRPr="000C32D5">
              <w:rPr>
                <w:rFonts w:ascii="Calibri" w:eastAsia="Calibri" w:hAnsi="Calibri" w:cs="Arial"/>
                <w:bCs/>
                <w:color w:val="000000"/>
                <w:sz w:val="16"/>
                <w:szCs w:val="16"/>
              </w:rPr>
              <w:t>34,657</w:t>
            </w:r>
          </w:p>
        </w:tc>
        <w:tc>
          <w:tcPr>
            <w:tcW w:w="474" w:type="pct"/>
            <w:tcBorders>
              <w:top w:val="nil"/>
              <w:left w:val="nil"/>
              <w:bottom w:val="nil"/>
              <w:right w:val="nil"/>
            </w:tcBorders>
            <w:vAlign w:val="bottom"/>
          </w:tcPr>
          <w:p w14:paraId="36E3FC1B" w14:textId="77777777" w:rsidR="000C32D5" w:rsidRPr="000C32D5" w:rsidRDefault="000C32D5" w:rsidP="000C32D5">
            <w:pPr>
              <w:spacing w:after="0" w:line="320" w:lineRule="exact"/>
              <w:jc w:val="right"/>
              <w:rPr>
                <w:rFonts w:ascii="Calibri" w:eastAsia="Calibri" w:hAnsi="Calibri" w:cs="Arial"/>
                <w:b/>
                <w:bCs/>
                <w:sz w:val="16"/>
                <w:szCs w:val="16"/>
                <w:lang w:val="en-US"/>
              </w:rPr>
            </w:pPr>
            <w:r w:rsidRPr="000C32D5">
              <w:rPr>
                <w:rFonts w:ascii="Calibri" w:eastAsia="Calibri" w:hAnsi="Calibri" w:cs="Arial"/>
                <w:bCs/>
                <w:color w:val="000000"/>
                <w:sz w:val="16"/>
                <w:szCs w:val="16"/>
              </w:rPr>
              <w:t>16,115237</w:t>
            </w:r>
          </w:p>
        </w:tc>
        <w:tc>
          <w:tcPr>
            <w:tcW w:w="468" w:type="pct"/>
            <w:tcBorders>
              <w:top w:val="nil"/>
              <w:left w:val="nil"/>
              <w:bottom w:val="nil"/>
              <w:right w:val="nil"/>
            </w:tcBorders>
            <w:vAlign w:val="bottom"/>
          </w:tcPr>
          <w:p w14:paraId="634B7671" w14:textId="77777777" w:rsidR="000C32D5" w:rsidRPr="000C32D5" w:rsidDel="00D96E20" w:rsidRDefault="000C32D5" w:rsidP="000C32D5">
            <w:pPr>
              <w:spacing w:after="0" w:line="320" w:lineRule="exact"/>
              <w:jc w:val="right"/>
              <w:rPr>
                <w:rFonts w:ascii="Calibri" w:eastAsia="Calibri" w:hAnsi="Calibri" w:cs="Calibri"/>
                <w:b/>
                <w:bCs/>
                <w:sz w:val="16"/>
                <w:szCs w:val="16"/>
                <w:lang w:val="en-US"/>
              </w:rPr>
            </w:pPr>
            <w:r w:rsidRPr="000C32D5">
              <w:rPr>
                <w:rFonts w:ascii="Calibri" w:eastAsia="Calibri" w:hAnsi="Calibri" w:cs="Arial"/>
                <w:bCs/>
                <w:color w:val="000000"/>
                <w:sz w:val="16"/>
                <w:szCs w:val="16"/>
              </w:rPr>
              <w:t>16,069,304</w:t>
            </w:r>
          </w:p>
        </w:tc>
      </w:tr>
      <w:tr w:rsidR="000C32D5" w:rsidRPr="000C32D5" w14:paraId="179C46CE" w14:textId="77777777" w:rsidTr="00E44437">
        <w:trPr>
          <w:trHeight w:val="320"/>
        </w:trPr>
        <w:tc>
          <w:tcPr>
            <w:tcW w:w="1222" w:type="pct"/>
          </w:tcPr>
          <w:p w14:paraId="196CCF37" w14:textId="77777777" w:rsidR="000C32D5" w:rsidRPr="000C32D5" w:rsidRDefault="000C32D5" w:rsidP="000C32D5">
            <w:pPr>
              <w:tabs>
                <w:tab w:val="left" w:pos="-720"/>
              </w:tabs>
              <w:suppressAutoHyphens/>
              <w:spacing w:after="0" w:line="280" w:lineRule="exact"/>
              <w:ind w:right="-5"/>
              <w:rPr>
                <w:rFonts w:ascii="Calibri" w:eastAsia="Times New Roman" w:hAnsi="Calibri" w:cs="Arial"/>
                <w:spacing w:val="-2"/>
                <w:sz w:val="16"/>
                <w:szCs w:val="16"/>
                <w:lang w:val="en-US"/>
              </w:rPr>
            </w:pPr>
            <w:r w:rsidRPr="000C32D5">
              <w:rPr>
                <w:rFonts w:ascii="Calibri" w:eastAsia="Times New Roman" w:hAnsi="Calibri" w:cs="Arial"/>
                <w:spacing w:val="-2"/>
                <w:sz w:val="16"/>
                <w:szCs w:val="16"/>
                <w:lang w:val="en-US"/>
              </w:rPr>
              <w:t xml:space="preserve">Provisions for guarantees, </w:t>
            </w:r>
            <w:proofErr w:type="gramStart"/>
            <w:r w:rsidRPr="000C32D5">
              <w:rPr>
                <w:rFonts w:ascii="Calibri" w:eastAsia="Times New Roman" w:hAnsi="Calibri" w:cs="Arial"/>
                <w:spacing w:val="-2"/>
                <w:sz w:val="16"/>
                <w:szCs w:val="16"/>
                <w:lang w:val="en-US"/>
              </w:rPr>
              <w:t>commitments</w:t>
            </w:r>
            <w:proofErr w:type="gramEnd"/>
            <w:r w:rsidRPr="000C32D5">
              <w:rPr>
                <w:rFonts w:ascii="Calibri" w:eastAsia="Times New Roman" w:hAnsi="Calibri" w:cs="Arial"/>
                <w:spacing w:val="-2"/>
                <w:sz w:val="16"/>
                <w:szCs w:val="16"/>
                <w:lang w:val="en-US"/>
              </w:rPr>
              <w:t xml:space="preserve"> and other liabilities</w:t>
            </w:r>
          </w:p>
        </w:tc>
        <w:tc>
          <w:tcPr>
            <w:tcW w:w="442" w:type="pct"/>
            <w:tcBorders>
              <w:top w:val="nil"/>
              <w:left w:val="nil"/>
              <w:bottom w:val="nil"/>
              <w:right w:val="nil"/>
            </w:tcBorders>
            <w:vAlign w:val="bottom"/>
          </w:tcPr>
          <w:p w14:paraId="7E5630D1" w14:textId="77777777" w:rsidR="000C32D5" w:rsidRPr="000C32D5" w:rsidRDefault="000C32D5" w:rsidP="000C32D5">
            <w:pPr>
              <w:spacing w:after="0" w:line="320" w:lineRule="exact"/>
              <w:jc w:val="right"/>
              <w:rPr>
                <w:rFonts w:ascii="Calibri" w:eastAsia="Times New Roman" w:hAnsi="Calibri" w:cs="Calibri"/>
                <w:sz w:val="16"/>
                <w:szCs w:val="16"/>
                <w:lang w:val="en-US"/>
              </w:rPr>
            </w:pPr>
            <w:r w:rsidRPr="000C32D5">
              <w:rPr>
                <w:rFonts w:ascii="Calibri" w:eastAsia="Calibri" w:hAnsi="Calibri" w:cs="Arial"/>
                <w:bCs/>
                <w:color w:val="000000"/>
                <w:sz w:val="16"/>
                <w:szCs w:val="16"/>
              </w:rPr>
              <w:t>-</w:t>
            </w:r>
          </w:p>
        </w:tc>
        <w:tc>
          <w:tcPr>
            <w:tcW w:w="504" w:type="pct"/>
            <w:tcBorders>
              <w:top w:val="nil"/>
              <w:left w:val="nil"/>
              <w:bottom w:val="nil"/>
              <w:right w:val="nil"/>
            </w:tcBorders>
            <w:vAlign w:val="bottom"/>
          </w:tcPr>
          <w:p w14:paraId="4B9BB8D6" w14:textId="77777777" w:rsidR="000C32D5" w:rsidRPr="000C32D5" w:rsidRDefault="000C32D5" w:rsidP="000C32D5">
            <w:pPr>
              <w:spacing w:after="0" w:line="320" w:lineRule="exact"/>
              <w:jc w:val="right"/>
              <w:rPr>
                <w:rFonts w:ascii="Calibri" w:eastAsia="Times New Roman" w:hAnsi="Calibri" w:cs="Calibri"/>
                <w:sz w:val="16"/>
                <w:szCs w:val="16"/>
                <w:lang w:val="en-US"/>
              </w:rPr>
            </w:pPr>
            <w:r w:rsidRPr="000C32D5">
              <w:rPr>
                <w:rFonts w:ascii="Calibri" w:eastAsia="Calibri" w:hAnsi="Calibri" w:cs="Arial"/>
                <w:bCs/>
                <w:color w:val="000000"/>
                <w:sz w:val="16"/>
                <w:szCs w:val="16"/>
              </w:rPr>
              <w:t>-</w:t>
            </w:r>
          </w:p>
        </w:tc>
        <w:tc>
          <w:tcPr>
            <w:tcW w:w="440" w:type="pct"/>
            <w:tcBorders>
              <w:top w:val="nil"/>
              <w:left w:val="nil"/>
              <w:bottom w:val="nil"/>
              <w:right w:val="nil"/>
            </w:tcBorders>
            <w:vAlign w:val="bottom"/>
          </w:tcPr>
          <w:p w14:paraId="300ECDC6" w14:textId="77777777" w:rsidR="000C32D5" w:rsidRPr="000C32D5" w:rsidRDefault="000C32D5" w:rsidP="000C32D5">
            <w:pPr>
              <w:spacing w:after="0" w:line="320" w:lineRule="exact"/>
              <w:jc w:val="right"/>
              <w:rPr>
                <w:rFonts w:ascii="Calibri" w:eastAsia="Times New Roman" w:hAnsi="Calibri" w:cs="Calibri"/>
                <w:sz w:val="16"/>
                <w:szCs w:val="16"/>
                <w:lang w:val="en-US"/>
              </w:rPr>
            </w:pPr>
            <w:r w:rsidRPr="000C32D5">
              <w:rPr>
                <w:rFonts w:ascii="Calibri" w:eastAsia="Calibri" w:hAnsi="Calibri" w:cs="Arial"/>
                <w:bCs/>
                <w:color w:val="000000"/>
                <w:sz w:val="16"/>
                <w:szCs w:val="16"/>
              </w:rPr>
              <w:t>-</w:t>
            </w:r>
          </w:p>
        </w:tc>
        <w:tc>
          <w:tcPr>
            <w:tcW w:w="504" w:type="pct"/>
            <w:tcBorders>
              <w:top w:val="nil"/>
              <w:left w:val="nil"/>
              <w:bottom w:val="nil"/>
              <w:right w:val="nil"/>
            </w:tcBorders>
            <w:vAlign w:val="bottom"/>
          </w:tcPr>
          <w:p w14:paraId="42F8EB36" w14:textId="77777777" w:rsidR="000C32D5" w:rsidRPr="000C32D5" w:rsidRDefault="000C32D5" w:rsidP="000C32D5">
            <w:pPr>
              <w:spacing w:after="0" w:line="320" w:lineRule="exact"/>
              <w:jc w:val="right"/>
              <w:rPr>
                <w:rFonts w:ascii="Calibri" w:eastAsia="Times New Roman" w:hAnsi="Calibri" w:cs="Calibri"/>
                <w:sz w:val="16"/>
                <w:szCs w:val="16"/>
                <w:lang w:val="en-US"/>
              </w:rPr>
            </w:pPr>
            <w:r w:rsidRPr="000C32D5">
              <w:rPr>
                <w:rFonts w:ascii="Calibri" w:eastAsia="Calibri" w:hAnsi="Calibri" w:cs="Arial"/>
                <w:bCs/>
                <w:color w:val="000000"/>
                <w:sz w:val="16"/>
                <w:szCs w:val="16"/>
              </w:rPr>
              <w:t>-</w:t>
            </w:r>
          </w:p>
        </w:tc>
        <w:tc>
          <w:tcPr>
            <w:tcW w:w="479" w:type="pct"/>
            <w:tcBorders>
              <w:top w:val="nil"/>
              <w:left w:val="nil"/>
              <w:bottom w:val="nil"/>
              <w:right w:val="nil"/>
            </w:tcBorders>
            <w:vAlign w:val="bottom"/>
          </w:tcPr>
          <w:p w14:paraId="62645EFE" w14:textId="77777777" w:rsidR="000C32D5" w:rsidRPr="000C32D5" w:rsidRDefault="000C32D5" w:rsidP="000C32D5">
            <w:pPr>
              <w:spacing w:after="0" w:line="320" w:lineRule="exact"/>
              <w:jc w:val="right"/>
              <w:rPr>
                <w:rFonts w:ascii="Calibri" w:eastAsia="Times New Roman" w:hAnsi="Calibri" w:cs="Calibri"/>
                <w:sz w:val="16"/>
                <w:szCs w:val="16"/>
                <w:lang w:val="en-US"/>
              </w:rPr>
            </w:pPr>
            <w:r w:rsidRPr="000C32D5">
              <w:rPr>
                <w:rFonts w:ascii="Calibri" w:eastAsia="Calibri" w:hAnsi="Calibri" w:cs="Arial"/>
                <w:bCs/>
                <w:color w:val="000000"/>
                <w:sz w:val="16"/>
                <w:szCs w:val="16"/>
              </w:rPr>
              <w:t>-</w:t>
            </w:r>
          </w:p>
        </w:tc>
        <w:tc>
          <w:tcPr>
            <w:tcW w:w="467" w:type="pct"/>
            <w:tcBorders>
              <w:top w:val="nil"/>
              <w:left w:val="nil"/>
              <w:bottom w:val="nil"/>
              <w:right w:val="nil"/>
            </w:tcBorders>
            <w:vAlign w:val="bottom"/>
          </w:tcPr>
          <w:p w14:paraId="3F9D1116" w14:textId="77777777" w:rsidR="000C32D5" w:rsidRPr="000C32D5" w:rsidRDefault="000C32D5" w:rsidP="000C32D5">
            <w:pPr>
              <w:spacing w:after="0" w:line="320" w:lineRule="exact"/>
              <w:jc w:val="right"/>
              <w:rPr>
                <w:rFonts w:ascii="Calibri" w:eastAsia="Times New Roman" w:hAnsi="Calibri" w:cs="Calibri"/>
                <w:sz w:val="16"/>
                <w:szCs w:val="16"/>
                <w:lang w:val="en-US"/>
              </w:rPr>
            </w:pPr>
            <w:r w:rsidRPr="000C32D5">
              <w:rPr>
                <w:rFonts w:ascii="Calibri" w:eastAsia="Calibri" w:hAnsi="Calibri" w:cs="Arial"/>
                <w:bCs/>
                <w:color w:val="000000"/>
                <w:sz w:val="16"/>
                <w:szCs w:val="16"/>
              </w:rPr>
              <w:t>190,560</w:t>
            </w:r>
          </w:p>
        </w:tc>
        <w:tc>
          <w:tcPr>
            <w:tcW w:w="474" w:type="pct"/>
            <w:tcBorders>
              <w:top w:val="nil"/>
              <w:left w:val="nil"/>
              <w:bottom w:val="nil"/>
              <w:right w:val="nil"/>
            </w:tcBorders>
            <w:vAlign w:val="bottom"/>
          </w:tcPr>
          <w:p w14:paraId="07A55888" w14:textId="77777777" w:rsidR="000C32D5" w:rsidRPr="000C32D5" w:rsidRDefault="000C32D5" w:rsidP="000C32D5">
            <w:pPr>
              <w:spacing w:after="0" w:line="320" w:lineRule="exact"/>
              <w:jc w:val="right"/>
              <w:rPr>
                <w:rFonts w:ascii="Calibri" w:eastAsia="Times New Roman" w:hAnsi="Calibri" w:cs="Calibri"/>
                <w:sz w:val="16"/>
                <w:szCs w:val="16"/>
                <w:lang w:val="en-US"/>
              </w:rPr>
            </w:pPr>
            <w:r w:rsidRPr="000C32D5">
              <w:rPr>
                <w:rFonts w:ascii="Calibri" w:eastAsia="Calibri" w:hAnsi="Calibri" w:cs="Arial"/>
                <w:bCs/>
                <w:color w:val="000000"/>
                <w:sz w:val="16"/>
                <w:szCs w:val="16"/>
              </w:rPr>
              <w:t>190,560</w:t>
            </w:r>
          </w:p>
        </w:tc>
        <w:tc>
          <w:tcPr>
            <w:tcW w:w="468" w:type="pct"/>
            <w:tcBorders>
              <w:top w:val="nil"/>
              <w:left w:val="nil"/>
              <w:bottom w:val="nil"/>
              <w:right w:val="nil"/>
            </w:tcBorders>
            <w:vAlign w:val="bottom"/>
          </w:tcPr>
          <w:p w14:paraId="6D41FD38" w14:textId="77777777" w:rsidR="000C32D5" w:rsidRPr="000C32D5" w:rsidRDefault="000C32D5" w:rsidP="000C32D5">
            <w:pPr>
              <w:spacing w:after="0" w:line="320" w:lineRule="exact"/>
              <w:jc w:val="right"/>
              <w:rPr>
                <w:rFonts w:ascii="Calibri" w:eastAsia="Times New Roman" w:hAnsi="Calibri" w:cs="Calibri"/>
                <w:sz w:val="16"/>
                <w:szCs w:val="16"/>
                <w:lang w:val="en-US"/>
              </w:rPr>
            </w:pPr>
            <w:r w:rsidRPr="000C32D5">
              <w:rPr>
                <w:rFonts w:ascii="Calibri" w:eastAsia="Calibri" w:hAnsi="Calibri" w:cs="Arial"/>
                <w:bCs/>
                <w:color w:val="000000"/>
                <w:sz w:val="16"/>
                <w:szCs w:val="16"/>
              </w:rPr>
              <w:t>-</w:t>
            </w:r>
          </w:p>
        </w:tc>
      </w:tr>
      <w:tr w:rsidR="000C32D5" w:rsidRPr="000C32D5" w14:paraId="64497F2E" w14:textId="77777777" w:rsidTr="00E44437">
        <w:trPr>
          <w:trHeight w:val="320"/>
        </w:trPr>
        <w:tc>
          <w:tcPr>
            <w:tcW w:w="1222" w:type="pct"/>
          </w:tcPr>
          <w:p w14:paraId="6155113E" w14:textId="77777777" w:rsidR="000C32D5" w:rsidRPr="000C32D5" w:rsidRDefault="000C32D5" w:rsidP="000C32D5">
            <w:pPr>
              <w:tabs>
                <w:tab w:val="right" w:pos="1202"/>
              </w:tabs>
              <w:spacing w:after="0" w:line="320" w:lineRule="exact"/>
              <w:outlineLvl w:val="0"/>
              <w:rPr>
                <w:rFonts w:ascii="Calibri" w:eastAsia="Times New Roman" w:hAnsi="Calibri" w:cs="Arial"/>
                <w:b/>
                <w:bCs/>
                <w:sz w:val="16"/>
                <w:szCs w:val="16"/>
                <w:lang w:val="en-US"/>
              </w:rPr>
            </w:pPr>
            <w:r w:rsidRPr="000C32D5">
              <w:rPr>
                <w:rFonts w:ascii="Calibri" w:eastAsia="Times New Roman" w:hAnsi="Calibri" w:cs="Arial"/>
                <w:spacing w:val="-2"/>
                <w:sz w:val="16"/>
                <w:szCs w:val="16"/>
                <w:lang w:val="en-US"/>
              </w:rPr>
              <w:t xml:space="preserve">Other liabilities </w:t>
            </w:r>
          </w:p>
        </w:tc>
        <w:tc>
          <w:tcPr>
            <w:tcW w:w="442" w:type="pct"/>
            <w:tcBorders>
              <w:top w:val="nil"/>
              <w:left w:val="nil"/>
              <w:bottom w:val="nil"/>
              <w:right w:val="nil"/>
            </w:tcBorders>
            <w:vAlign w:val="bottom"/>
          </w:tcPr>
          <w:p w14:paraId="17837182" w14:textId="77777777" w:rsidR="000C32D5" w:rsidRPr="000C32D5" w:rsidRDefault="000C32D5" w:rsidP="000C32D5">
            <w:pPr>
              <w:spacing w:after="0" w:line="320" w:lineRule="exact"/>
              <w:jc w:val="right"/>
              <w:rPr>
                <w:rFonts w:ascii="Calibri" w:eastAsia="Calibri" w:hAnsi="Calibri" w:cs="Arial"/>
                <w:b/>
                <w:bCs/>
                <w:sz w:val="16"/>
                <w:szCs w:val="16"/>
                <w:lang w:val="en-US"/>
              </w:rPr>
            </w:pPr>
            <w:r w:rsidRPr="000C32D5">
              <w:rPr>
                <w:rFonts w:ascii="Calibri" w:eastAsia="Calibri" w:hAnsi="Calibri" w:cs="Arial"/>
                <w:bCs/>
                <w:color w:val="000000"/>
                <w:sz w:val="16"/>
                <w:szCs w:val="16"/>
              </w:rPr>
              <w:t>-</w:t>
            </w:r>
          </w:p>
        </w:tc>
        <w:tc>
          <w:tcPr>
            <w:tcW w:w="504" w:type="pct"/>
            <w:tcBorders>
              <w:top w:val="nil"/>
              <w:left w:val="nil"/>
              <w:bottom w:val="nil"/>
              <w:right w:val="nil"/>
            </w:tcBorders>
            <w:vAlign w:val="bottom"/>
          </w:tcPr>
          <w:p w14:paraId="28A656FA" w14:textId="77777777" w:rsidR="000C32D5" w:rsidRPr="000C32D5" w:rsidRDefault="000C32D5" w:rsidP="000C32D5">
            <w:pPr>
              <w:spacing w:after="0" w:line="320" w:lineRule="exact"/>
              <w:jc w:val="right"/>
              <w:rPr>
                <w:rFonts w:ascii="Calibri" w:eastAsia="Calibri" w:hAnsi="Calibri" w:cs="Arial"/>
                <w:b/>
                <w:bCs/>
                <w:sz w:val="16"/>
                <w:szCs w:val="16"/>
                <w:lang w:val="en-US"/>
              </w:rPr>
            </w:pPr>
            <w:r w:rsidRPr="000C32D5">
              <w:rPr>
                <w:rFonts w:ascii="Calibri" w:eastAsia="Calibri" w:hAnsi="Calibri" w:cs="Arial"/>
                <w:bCs/>
                <w:color w:val="000000"/>
                <w:sz w:val="16"/>
                <w:szCs w:val="16"/>
              </w:rPr>
              <w:t>-</w:t>
            </w:r>
          </w:p>
        </w:tc>
        <w:tc>
          <w:tcPr>
            <w:tcW w:w="440" w:type="pct"/>
            <w:tcBorders>
              <w:top w:val="nil"/>
              <w:left w:val="nil"/>
              <w:bottom w:val="nil"/>
              <w:right w:val="nil"/>
            </w:tcBorders>
            <w:vAlign w:val="bottom"/>
          </w:tcPr>
          <w:p w14:paraId="10638AFE" w14:textId="77777777" w:rsidR="000C32D5" w:rsidRPr="000C32D5" w:rsidRDefault="000C32D5" w:rsidP="000C32D5">
            <w:pPr>
              <w:spacing w:after="0" w:line="320" w:lineRule="exact"/>
              <w:jc w:val="right"/>
              <w:rPr>
                <w:rFonts w:ascii="Calibri" w:eastAsia="Calibri" w:hAnsi="Calibri" w:cs="Arial"/>
                <w:b/>
                <w:bCs/>
                <w:sz w:val="16"/>
                <w:szCs w:val="16"/>
                <w:lang w:val="en-US"/>
              </w:rPr>
            </w:pPr>
            <w:r w:rsidRPr="000C32D5">
              <w:rPr>
                <w:rFonts w:ascii="Calibri" w:eastAsia="Calibri" w:hAnsi="Calibri" w:cs="Arial"/>
                <w:bCs/>
                <w:color w:val="000000"/>
                <w:sz w:val="16"/>
                <w:szCs w:val="16"/>
              </w:rPr>
              <w:t>-</w:t>
            </w:r>
          </w:p>
        </w:tc>
        <w:tc>
          <w:tcPr>
            <w:tcW w:w="504" w:type="pct"/>
            <w:tcBorders>
              <w:top w:val="nil"/>
              <w:left w:val="nil"/>
              <w:bottom w:val="nil"/>
              <w:right w:val="nil"/>
            </w:tcBorders>
            <w:vAlign w:val="bottom"/>
          </w:tcPr>
          <w:p w14:paraId="55D7E167" w14:textId="77777777" w:rsidR="000C32D5" w:rsidRPr="000C32D5" w:rsidRDefault="000C32D5" w:rsidP="000C32D5">
            <w:pPr>
              <w:spacing w:after="0" w:line="320" w:lineRule="exact"/>
              <w:jc w:val="right"/>
              <w:rPr>
                <w:rFonts w:ascii="Calibri" w:eastAsia="Calibri" w:hAnsi="Calibri" w:cs="Arial"/>
                <w:b/>
                <w:bCs/>
                <w:sz w:val="16"/>
                <w:szCs w:val="16"/>
                <w:lang w:val="en-US"/>
              </w:rPr>
            </w:pPr>
            <w:r w:rsidRPr="000C32D5">
              <w:rPr>
                <w:rFonts w:ascii="Calibri" w:eastAsia="Calibri" w:hAnsi="Calibri" w:cs="Arial"/>
                <w:bCs/>
                <w:color w:val="000000"/>
                <w:sz w:val="16"/>
                <w:szCs w:val="16"/>
              </w:rPr>
              <w:t>-</w:t>
            </w:r>
          </w:p>
        </w:tc>
        <w:tc>
          <w:tcPr>
            <w:tcW w:w="479" w:type="pct"/>
            <w:tcBorders>
              <w:top w:val="nil"/>
              <w:left w:val="nil"/>
              <w:bottom w:val="nil"/>
              <w:right w:val="nil"/>
            </w:tcBorders>
            <w:vAlign w:val="bottom"/>
          </w:tcPr>
          <w:p w14:paraId="55EF0FEC" w14:textId="77777777" w:rsidR="000C32D5" w:rsidRPr="000C32D5" w:rsidRDefault="000C32D5" w:rsidP="000C32D5">
            <w:pPr>
              <w:spacing w:after="0" w:line="320" w:lineRule="exact"/>
              <w:jc w:val="right"/>
              <w:rPr>
                <w:rFonts w:ascii="Calibri" w:eastAsia="Calibri" w:hAnsi="Calibri" w:cs="Arial"/>
                <w:b/>
                <w:bCs/>
                <w:sz w:val="16"/>
                <w:szCs w:val="16"/>
                <w:lang w:val="en-US"/>
              </w:rPr>
            </w:pPr>
            <w:r w:rsidRPr="000C32D5">
              <w:rPr>
                <w:rFonts w:ascii="Calibri" w:eastAsia="Calibri" w:hAnsi="Calibri" w:cs="Arial"/>
                <w:bCs/>
                <w:color w:val="000000"/>
                <w:sz w:val="16"/>
                <w:szCs w:val="16"/>
              </w:rPr>
              <w:t>-</w:t>
            </w:r>
          </w:p>
        </w:tc>
        <w:tc>
          <w:tcPr>
            <w:tcW w:w="467" w:type="pct"/>
            <w:tcBorders>
              <w:top w:val="nil"/>
              <w:left w:val="nil"/>
              <w:right w:val="nil"/>
            </w:tcBorders>
            <w:vAlign w:val="bottom"/>
          </w:tcPr>
          <w:p w14:paraId="4F42B2F7" w14:textId="77777777" w:rsidR="000C32D5" w:rsidRPr="000C32D5" w:rsidRDefault="000C32D5" w:rsidP="000C32D5">
            <w:pPr>
              <w:spacing w:after="0" w:line="320" w:lineRule="exact"/>
              <w:jc w:val="right"/>
              <w:rPr>
                <w:rFonts w:ascii="Calibri" w:eastAsia="Calibri" w:hAnsi="Calibri" w:cs="Arial"/>
                <w:b/>
                <w:bCs/>
                <w:sz w:val="16"/>
                <w:szCs w:val="16"/>
                <w:lang w:val="en-US"/>
              </w:rPr>
            </w:pPr>
            <w:r w:rsidRPr="000C32D5">
              <w:rPr>
                <w:rFonts w:ascii="Calibri" w:eastAsia="Calibri" w:hAnsi="Calibri" w:cs="Arial"/>
                <w:bCs/>
                <w:color w:val="000000"/>
                <w:sz w:val="16"/>
                <w:szCs w:val="16"/>
              </w:rPr>
              <w:t>435,239</w:t>
            </w:r>
          </w:p>
        </w:tc>
        <w:tc>
          <w:tcPr>
            <w:tcW w:w="474" w:type="pct"/>
            <w:tcBorders>
              <w:top w:val="nil"/>
              <w:left w:val="nil"/>
              <w:right w:val="nil"/>
            </w:tcBorders>
            <w:vAlign w:val="bottom"/>
          </w:tcPr>
          <w:p w14:paraId="4CD88C97" w14:textId="77777777" w:rsidR="000C32D5" w:rsidRPr="000C32D5" w:rsidRDefault="000C32D5" w:rsidP="000C32D5">
            <w:pPr>
              <w:spacing w:after="0" w:line="320" w:lineRule="exact"/>
              <w:jc w:val="right"/>
              <w:rPr>
                <w:rFonts w:ascii="Calibri" w:eastAsia="Calibri" w:hAnsi="Calibri" w:cs="Arial"/>
                <w:b/>
                <w:bCs/>
                <w:sz w:val="16"/>
                <w:szCs w:val="16"/>
                <w:lang w:val="en-US"/>
              </w:rPr>
            </w:pPr>
            <w:r w:rsidRPr="000C32D5">
              <w:rPr>
                <w:rFonts w:ascii="Calibri" w:eastAsia="Calibri" w:hAnsi="Calibri" w:cs="Arial"/>
                <w:bCs/>
                <w:color w:val="000000"/>
                <w:sz w:val="16"/>
                <w:szCs w:val="16"/>
              </w:rPr>
              <w:t>435,239</w:t>
            </w:r>
          </w:p>
        </w:tc>
        <w:tc>
          <w:tcPr>
            <w:tcW w:w="468" w:type="pct"/>
            <w:tcBorders>
              <w:top w:val="nil"/>
              <w:left w:val="nil"/>
              <w:right w:val="nil"/>
            </w:tcBorders>
            <w:vAlign w:val="bottom"/>
          </w:tcPr>
          <w:p w14:paraId="2A96550C" w14:textId="77777777" w:rsidR="000C32D5" w:rsidRPr="000C32D5" w:rsidDel="00D96E20" w:rsidRDefault="000C32D5" w:rsidP="000C32D5">
            <w:pPr>
              <w:spacing w:after="0" w:line="320" w:lineRule="exact"/>
              <w:jc w:val="right"/>
              <w:rPr>
                <w:rFonts w:ascii="Calibri" w:eastAsia="Calibri" w:hAnsi="Calibri" w:cs="Calibri"/>
                <w:b/>
                <w:bCs/>
                <w:sz w:val="16"/>
                <w:szCs w:val="16"/>
                <w:lang w:val="en-US"/>
              </w:rPr>
            </w:pPr>
            <w:r w:rsidRPr="000C32D5">
              <w:rPr>
                <w:rFonts w:ascii="Calibri" w:eastAsia="Calibri" w:hAnsi="Calibri" w:cs="Arial"/>
                <w:bCs/>
                <w:color w:val="000000"/>
                <w:sz w:val="16"/>
                <w:szCs w:val="16"/>
              </w:rPr>
              <w:t>-</w:t>
            </w:r>
          </w:p>
        </w:tc>
      </w:tr>
      <w:tr w:rsidR="000C32D5" w:rsidRPr="000C32D5" w14:paraId="39124DF2" w14:textId="77777777" w:rsidTr="00E44437">
        <w:trPr>
          <w:trHeight w:val="320"/>
        </w:trPr>
        <w:tc>
          <w:tcPr>
            <w:tcW w:w="1222" w:type="pct"/>
            <w:vAlign w:val="bottom"/>
          </w:tcPr>
          <w:p w14:paraId="72A0EF09" w14:textId="77777777" w:rsidR="000C32D5" w:rsidRPr="000C32D5" w:rsidRDefault="000C32D5" w:rsidP="000C32D5">
            <w:pPr>
              <w:tabs>
                <w:tab w:val="right" w:pos="1202"/>
              </w:tabs>
              <w:spacing w:after="0" w:line="320" w:lineRule="exact"/>
              <w:outlineLvl w:val="0"/>
              <w:rPr>
                <w:rFonts w:ascii="Calibri" w:eastAsia="Times New Roman" w:hAnsi="Calibri" w:cs="Arial"/>
                <w:spacing w:val="-2"/>
                <w:sz w:val="16"/>
                <w:szCs w:val="16"/>
                <w:lang w:val="en-US"/>
              </w:rPr>
            </w:pPr>
            <w:r w:rsidRPr="000C32D5">
              <w:rPr>
                <w:rFonts w:ascii="Calibri" w:eastAsia="Times New Roman" w:hAnsi="Calibri" w:cs="Arial"/>
                <w:b/>
                <w:bCs/>
                <w:sz w:val="16"/>
                <w:szCs w:val="16"/>
                <w:lang w:val="en-US"/>
              </w:rPr>
              <w:t xml:space="preserve">Total liabilities </w:t>
            </w:r>
          </w:p>
        </w:tc>
        <w:tc>
          <w:tcPr>
            <w:tcW w:w="442" w:type="pct"/>
            <w:tcBorders>
              <w:top w:val="single" w:sz="8" w:space="0" w:color="auto"/>
              <w:left w:val="nil"/>
              <w:bottom w:val="single" w:sz="12" w:space="0" w:color="auto"/>
              <w:right w:val="nil"/>
            </w:tcBorders>
            <w:vAlign w:val="bottom"/>
          </w:tcPr>
          <w:p w14:paraId="22FF189E" w14:textId="77777777" w:rsidR="000C32D5" w:rsidRPr="000C32D5" w:rsidRDefault="000C32D5" w:rsidP="000C32D5">
            <w:pPr>
              <w:spacing w:after="0" w:line="320" w:lineRule="exact"/>
              <w:jc w:val="right"/>
              <w:rPr>
                <w:rFonts w:ascii="Calibri" w:eastAsia="Calibri" w:hAnsi="Calibri" w:cs="Arial"/>
                <w:b/>
                <w:bCs/>
                <w:sz w:val="16"/>
                <w:szCs w:val="16"/>
                <w:lang w:val="en-US"/>
              </w:rPr>
            </w:pPr>
            <w:r w:rsidRPr="000C32D5">
              <w:rPr>
                <w:rFonts w:ascii="Calibri" w:eastAsia="Calibri" w:hAnsi="Calibri" w:cs="Arial"/>
                <w:b/>
                <w:color w:val="000000"/>
                <w:sz w:val="16"/>
                <w:szCs w:val="16"/>
              </w:rPr>
              <w:t>661,464,</w:t>
            </w:r>
          </w:p>
        </w:tc>
        <w:tc>
          <w:tcPr>
            <w:tcW w:w="504" w:type="pct"/>
            <w:tcBorders>
              <w:top w:val="single" w:sz="8" w:space="0" w:color="auto"/>
              <w:left w:val="nil"/>
              <w:bottom w:val="single" w:sz="12" w:space="0" w:color="auto"/>
              <w:right w:val="nil"/>
            </w:tcBorders>
            <w:vAlign w:val="bottom"/>
          </w:tcPr>
          <w:p w14:paraId="2F60320D" w14:textId="77777777" w:rsidR="000C32D5" w:rsidRPr="000C32D5" w:rsidRDefault="000C32D5" w:rsidP="000C32D5">
            <w:pPr>
              <w:spacing w:after="0" w:line="320" w:lineRule="exact"/>
              <w:jc w:val="right"/>
              <w:rPr>
                <w:rFonts w:ascii="Calibri" w:eastAsia="Calibri" w:hAnsi="Calibri" w:cs="Arial"/>
                <w:b/>
                <w:bCs/>
                <w:sz w:val="16"/>
                <w:szCs w:val="16"/>
                <w:lang w:val="en-US"/>
              </w:rPr>
            </w:pPr>
            <w:r w:rsidRPr="000C32D5">
              <w:rPr>
                <w:rFonts w:ascii="Calibri" w:eastAsia="Calibri" w:hAnsi="Calibri" w:cs="Arial"/>
                <w:b/>
                <w:color w:val="000000"/>
                <w:sz w:val="16"/>
                <w:szCs w:val="16"/>
              </w:rPr>
              <w:t>310,552</w:t>
            </w:r>
          </w:p>
        </w:tc>
        <w:tc>
          <w:tcPr>
            <w:tcW w:w="440" w:type="pct"/>
            <w:tcBorders>
              <w:top w:val="single" w:sz="8" w:space="0" w:color="auto"/>
              <w:left w:val="nil"/>
              <w:bottom w:val="single" w:sz="12" w:space="0" w:color="auto"/>
              <w:right w:val="nil"/>
            </w:tcBorders>
            <w:vAlign w:val="bottom"/>
          </w:tcPr>
          <w:p w14:paraId="186CEF99" w14:textId="77777777" w:rsidR="000C32D5" w:rsidRPr="000C32D5" w:rsidRDefault="000C32D5" w:rsidP="000C32D5">
            <w:pPr>
              <w:spacing w:after="0" w:line="320" w:lineRule="exact"/>
              <w:jc w:val="right"/>
              <w:rPr>
                <w:rFonts w:ascii="Calibri" w:eastAsia="Calibri" w:hAnsi="Calibri" w:cs="Arial"/>
                <w:b/>
                <w:bCs/>
                <w:sz w:val="16"/>
                <w:szCs w:val="16"/>
                <w:lang w:val="en-US"/>
              </w:rPr>
            </w:pPr>
            <w:r w:rsidRPr="000C32D5">
              <w:rPr>
                <w:rFonts w:ascii="Calibri" w:eastAsia="Calibri" w:hAnsi="Calibri" w:cs="Arial"/>
                <w:b/>
                <w:color w:val="000000"/>
                <w:sz w:val="16"/>
                <w:szCs w:val="16"/>
              </w:rPr>
              <w:t>1,807,992</w:t>
            </w:r>
          </w:p>
        </w:tc>
        <w:tc>
          <w:tcPr>
            <w:tcW w:w="504" w:type="pct"/>
            <w:tcBorders>
              <w:top w:val="single" w:sz="8" w:space="0" w:color="auto"/>
              <w:left w:val="nil"/>
              <w:bottom w:val="single" w:sz="12" w:space="0" w:color="auto"/>
              <w:right w:val="nil"/>
            </w:tcBorders>
            <w:vAlign w:val="bottom"/>
          </w:tcPr>
          <w:p w14:paraId="26307003" w14:textId="77777777" w:rsidR="000C32D5" w:rsidRPr="000C32D5" w:rsidRDefault="000C32D5" w:rsidP="000C32D5">
            <w:pPr>
              <w:spacing w:after="0" w:line="320" w:lineRule="exact"/>
              <w:jc w:val="right"/>
              <w:rPr>
                <w:rFonts w:ascii="Calibri" w:eastAsia="Calibri" w:hAnsi="Calibri" w:cs="Arial"/>
                <w:b/>
                <w:bCs/>
                <w:sz w:val="16"/>
                <w:szCs w:val="16"/>
                <w:lang w:val="en-US"/>
              </w:rPr>
            </w:pPr>
            <w:r w:rsidRPr="000C32D5">
              <w:rPr>
                <w:rFonts w:ascii="Calibri" w:eastAsia="Calibri" w:hAnsi="Calibri" w:cs="Arial"/>
                <w:b/>
                <w:color w:val="000000"/>
                <w:sz w:val="16"/>
                <w:szCs w:val="16"/>
              </w:rPr>
              <w:t>5,775,874</w:t>
            </w:r>
          </w:p>
        </w:tc>
        <w:tc>
          <w:tcPr>
            <w:tcW w:w="479" w:type="pct"/>
            <w:tcBorders>
              <w:top w:val="single" w:sz="8" w:space="0" w:color="auto"/>
              <w:left w:val="nil"/>
              <w:bottom w:val="single" w:sz="12" w:space="0" w:color="auto"/>
              <w:right w:val="nil"/>
            </w:tcBorders>
            <w:vAlign w:val="bottom"/>
          </w:tcPr>
          <w:p w14:paraId="2B45FC1B" w14:textId="77777777" w:rsidR="000C32D5" w:rsidRPr="000C32D5" w:rsidRDefault="000C32D5" w:rsidP="000C32D5">
            <w:pPr>
              <w:spacing w:after="0" w:line="320" w:lineRule="exact"/>
              <w:jc w:val="right"/>
              <w:rPr>
                <w:rFonts w:ascii="Calibri" w:eastAsia="Calibri" w:hAnsi="Calibri" w:cs="Arial"/>
                <w:b/>
                <w:bCs/>
                <w:sz w:val="16"/>
                <w:szCs w:val="16"/>
                <w:lang w:val="en-US"/>
              </w:rPr>
            </w:pPr>
            <w:r w:rsidRPr="000C32D5">
              <w:rPr>
                <w:rFonts w:ascii="Calibri" w:eastAsia="Calibri" w:hAnsi="Calibri" w:cs="Arial"/>
                <w:b/>
                <w:color w:val="000000"/>
                <w:sz w:val="16"/>
                <w:szCs w:val="16"/>
              </w:rPr>
              <w:t>7,941,861</w:t>
            </w:r>
          </w:p>
        </w:tc>
        <w:tc>
          <w:tcPr>
            <w:tcW w:w="467" w:type="pct"/>
            <w:tcBorders>
              <w:top w:val="single" w:sz="8" w:space="0" w:color="auto"/>
              <w:left w:val="nil"/>
              <w:bottom w:val="single" w:sz="12" w:space="0" w:color="auto"/>
              <w:right w:val="nil"/>
            </w:tcBorders>
            <w:vAlign w:val="bottom"/>
          </w:tcPr>
          <w:p w14:paraId="36E5698E" w14:textId="77777777" w:rsidR="000C32D5" w:rsidRPr="000C32D5" w:rsidRDefault="000C32D5" w:rsidP="000C32D5">
            <w:pPr>
              <w:spacing w:after="0" w:line="320" w:lineRule="exact"/>
              <w:jc w:val="right"/>
              <w:rPr>
                <w:rFonts w:ascii="Calibri" w:eastAsia="Calibri" w:hAnsi="Calibri" w:cs="Arial"/>
                <w:b/>
                <w:bCs/>
                <w:sz w:val="16"/>
                <w:szCs w:val="16"/>
                <w:lang w:val="en-US"/>
              </w:rPr>
            </w:pPr>
            <w:r w:rsidRPr="000C32D5">
              <w:rPr>
                <w:rFonts w:ascii="Calibri" w:eastAsia="Calibri" w:hAnsi="Calibri" w:cs="Arial"/>
                <w:b/>
                <w:color w:val="000000"/>
                <w:sz w:val="16"/>
                <w:szCs w:val="16"/>
              </w:rPr>
              <w:t>1,203,834</w:t>
            </w:r>
          </w:p>
        </w:tc>
        <w:tc>
          <w:tcPr>
            <w:tcW w:w="474" w:type="pct"/>
            <w:tcBorders>
              <w:top w:val="single" w:sz="8" w:space="0" w:color="auto"/>
              <w:left w:val="nil"/>
              <w:bottom w:val="single" w:sz="12" w:space="0" w:color="auto"/>
              <w:right w:val="nil"/>
            </w:tcBorders>
            <w:vAlign w:val="bottom"/>
          </w:tcPr>
          <w:p w14:paraId="1A0F4CF2" w14:textId="77777777" w:rsidR="000C32D5" w:rsidRPr="000C32D5" w:rsidRDefault="000C32D5" w:rsidP="000C32D5">
            <w:pPr>
              <w:spacing w:after="0" w:line="320" w:lineRule="exact"/>
              <w:jc w:val="right"/>
              <w:rPr>
                <w:rFonts w:ascii="Calibri" w:eastAsia="Calibri" w:hAnsi="Calibri" w:cs="Arial"/>
                <w:b/>
                <w:bCs/>
                <w:sz w:val="16"/>
                <w:szCs w:val="16"/>
                <w:lang w:val="en-US"/>
              </w:rPr>
            </w:pPr>
            <w:r w:rsidRPr="000C32D5">
              <w:rPr>
                <w:rFonts w:ascii="Calibri" w:eastAsia="Calibri" w:hAnsi="Calibri" w:cs="Arial"/>
                <w:b/>
                <w:color w:val="000000"/>
                <w:sz w:val="16"/>
                <w:szCs w:val="16"/>
              </w:rPr>
              <w:t>17,701,577</w:t>
            </w:r>
          </w:p>
        </w:tc>
        <w:tc>
          <w:tcPr>
            <w:tcW w:w="468" w:type="pct"/>
            <w:tcBorders>
              <w:top w:val="single" w:sz="8" w:space="0" w:color="auto"/>
              <w:left w:val="nil"/>
              <w:bottom w:val="single" w:sz="12" w:space="0" w:color="auto"/>
              <w:right w:val="nil"/>
            </w:tcBorders>
            <w:vAlign w:val="bottom"/>
          </w:tcPr>
          <w:p w14:paraId="5807AA04" w14:textId="77777777" w:rsidR="000C32D5" w:rsidRPr="000C32D5" w:rsidDel="00D96E20" w:rsidRDefault="000C32D5" w:rsidP="000C32D5">
            <w:pPr>
              <w:spacing w:after="0" w:line="320" w:lineRule="exact"/>
              <w:jc w:val="right"/>
              <w:rPr>
                <w:rFonts w:ascii="Calibri" w:eastAsia="Calibri" w:hAnsi="Calibri" w:cs="Calibri"/>
                <w:b/>
                <w:bCs/>
                <w:sz w:val="16"/>
                <w:szCs w:val="16"/>
                <w:lang w:val="en-US"/>
              </w:rPr>
            </w:pPr>
            <w:r w:rsidRPr="000C32D5">
              <w:rPr>
                <w:rFonts w:ascii="Calibri" w:eastAsia="Calibri" w:hAnsi="Calibri" w:cs="Arial"/>
                <w:b/>
                <w:color w:val="000000"/>
                <w:sz w:val="16"/>
                <w:szCs w:val="16"/>
              </w:rPr>
              <w:t>16,486,467</w:t>
            </w:r>
          </w:p>
        </w:tc>
      </w:tr>
      <w:tr w:rsidR="000C32D5" w:rsidRPr="000C32D5" w14:paraId="3036BA9F" w14:textId="77777777" w:rsidTr="00E44437">
        <w:trPr>
          <w:trHeight w:val="320"/>
        </w:trPr>
        <w:tc>
          <w:tcPr>
            <w:tcW w:w="1222" w:type="pct"/>
            <w:vAlign w:val="bottom"/>
          </w:tcPr>
          <w:p w14:paraId="0E450560" w14:textId="77777777" w:rsidR="000C32D5" w:rsidRPr="000C32D5" w:rsidRDefault="000C32D5" w:rsidP="000C32D5">
            <w:pPr>
              <w:tabs>
                <w:tab w:val="right" w:pos="1202"/>
              </w:tabs>
              <w:spacing w:after="0" w:line="320" w:lineRule="exact"/>
              <w:outlineLvl w:val="0"/>
              <w:rPr>
                <w:rFonts w:ascii="Calibri" w:eastAsia="Times New Roman" w:hAnsi="Calibri" w:cs="Arial"/>
                <w:spacing w:val="-2"/>
                <w:sz w:val="16"/>
                <w:szCs w:val="16"/>
                <w:lang w:val="en-US"/>
              </w:rPr>
            </w:pPr>
            <w:r w:rsidRPr="000C32D5">
              <w:rPr>
                <w:rFonts w:ascii="Calibri" w:eastAsia="Times New Roman" w:hAnsi="Calibri" w:cs="Arial"/>
                <w:b/>
                <w:bCs/>
                <w:spacing w:val="-2"/>
                <w:sz w:val="16"/>
                <w:szCs w:val="16"/>
                <w:lang w:val="en-US"/>
              </w:rPr>
              <w:t>Interest rate gap</w:t>
            </w:r>
          </w:p>
        </w:tc>
        <w:tc>
          <w:tcPr>
            <w:tcW w:w="442" w:type="pct"/>
            <w:tcBorders>
              <w:top w:val="nil"/>
              <w:left w:val="nil"/>
              <w:bottom w:val="single" w:sz="12" w:space="0" w:color="auto"/>
              <w:right w:val="nil"/>
            </w:tcBorders>
            <w:shd w:val="clear" w:color="auto" w:fill="auto"/>
            <w:vAlign w:val="bottom"/>
          </w:tcPr>
          <w:p w14:paraId="08EBD9CB" w14:textId="77777777" w:rsidR="000C32D5" w:rsidRPr="000C32D5" w:rsidRDefault="000C32D5" w:rsidP="000C32D5">
            <w:pPr>
              <w:spacing w:after="0" w:line="320" w:lineRule="exact"/>
              <w:jc w:val="right"/>
              <w:rPr>
                <w:rFonts w:ascii="Calibri" w:eastAsia="Calibri" w:hAnsi="Calibri" w:cs="Arial"/>
                <w:b/>
                <w:bCs/>
                <w:sz w:val="16"/>
                <w:szCs w:val="16"/>
                <w:lang w:val="en-US"/>
              </w:rPr>
            </w:pPr>
            <w:r w:rsidRPr="000C32D5">
              <w:rPr>
                <w:rFonts w:ascii="Calibri" w:eastAsia="Calibri" w:hAnsi="Calibri" w:cs="Arial"/>
                <w:b/>
                <w:color w:val="000000"/>
                <w:sz w:val="16"/>
                <w:szCs w:val="16"/>
              </w:rPr>
              <w:t>4,194,853</w:t>
            </w:r>
          </w:p>
        </w:tc>
        <w:tc>
          <w:tcPr>
            <w:tcW w:w="504" w:type="pct"/>
            <w:tcBorders>
              <w:top w:val="nil"/>
              <w:left w:val="nil"/>
              <w:bottom w:val="single" w:sz="12" w:space="0" w:color="auto"/>
              <w:right w:val="nil"/>
            </w:tcBorders>
            <w:shd w:val="clear" w:color="auto" w:fill="auto"/>
            <w:vAlign w:val="bottom"/>
          </w:tcPr>
          <w:p w14:paraId="5B0EF0C6" w14:textId="77777777" w:rsidR="000C32D5" w:rsidRPr="000C32D5" w:rsidRDefault="000C32D5" w:rsidP="000C32D5">
            <w:pPr>
              <w:spacing w:after="0" w:line="320" w:lineRule="exact"/>
              <w:jc w:val="right"/>
              <w:rPr>
                <w:rFonts w:ascii="Calibri" w:eastAsia="Calibri" w:hAnsi="Calibri" w:cs="Arial"/>
                <w:b/>
                <w:bCs/>
                <w:sz w:val="16"/>
                <w:szCs w:val="16"/>
                <w:lang w:val="en-US"/>
              </w:rPr>
            </w:pPr>
            <w:r w:rsidRPr="000C32D5">
              <w:rPr>
                <w:rFonts w:ascii="Calibri" w:eastAsia="Calibri" w:hAnsi="Calibri" w:cs="Arial"/>
                <w:b/>
                <w:color w:val="000000"/>
                <w:sz w:val="16"/>
                <w:szCs w:val="16"/>
              </w:rPr>
              <w:t>633,483</w:t>
            </w:r>
          </w:p>
        </w:tc>
        <w:tc>
          <w:tcPr>
            <w:tcW w:w="440" w:type="pct"/>
            <w:tcBorders>
              <w:top w:val="nil"/>
              <w:left w:val="nil"/>
              <w:bottom w:val="single" w:sz="12" w:space="0" w:color="auto"/>
              <w:right w:val="nil"/>
            </w:tcBorders>
            <w:shd w:val="clear" w:color="auto" w:fill="auto"/>
            <w:vAlign w:val="bottom"/>
          </w:tcPr>
          <w:p w14:paraId="6737C653" w14:textId="77777777" w:rsidR="000C32D5" w:rsidRPr="000C32D5" w:rsidRDefault="000C32D5" w:rsidP="000C32D5">
            <w:pPr>
              <w:spacing w:after="0" w:line="320" w:lineRule="exact"/>
              <w:jc w:val="right"/>
              <w:rPr>
                <w:rFonts w:ascii="Calibri" w:eastAsia="Calibri" w:hAnsi="Calibri" w:cs="Arial"/>
                <w:b/>
                <w:bCs/>
                <w:sz w:val="16"/>
                <w:szCs w:val="16"/>
                <w:lang w:val="en-US"/>
              </w:rPr>
            </w:pPr>
            <w:r w:rsidRPr="000C32D5">
              <w:rPr>
                <w:rFonts w:ascii="Calibri" w:eastAsia="Calibri" w:hAnsi="Calibri" w:cs="Arial"/>
                <w:b/>
                <w:color w:val="000000"/>
                <w:sz w:val="16"/>
                <w:szCs w:val="16"/>
              </w:rPr>
              <w:t>281,802</w:t>
            </w:r>
          </w:p>
        </w:tc>
        <w:tc>
          <w:tcPr>
            <w:tcW w:w="504" w:type="pct"/>
            <w:tcBorders>
              <w:top w:val="nil"/>
              <w:left w:val="nil"/>
              <w:bottom w:val="single" w:sz="12" w:space="0" w:color="auto"/>
              <w:right w:val="nil"/>
            </w:tcBorders>
            <w:shd w:val="clear" w:color="auto" w:fill="auto"/>
            <w:vAlign w:val="bottom"/>
          </w:tcPr>
          <w:p w14:paraId="61C05BA8" w14:textId="77777777" w:rsidR="000C32D5" w:rsidRPr="000C32D5" w:rsidRDefault="000C32D5" w:rsidP="000C32D5">
            <w:pPr>
              <w:spacing w:after="0" w:line="320" w:lineRule="exact"/>
              <w:jc w:val="right"/>
              <w:rPr>
                <w:rFonts w:ascii="Calibri" w:eastAsia="Calibri" w:hAnsi="Calibri" w:cs="Arial"/>
                <w:b/>
                <w:bCs/>
                <w:sz w:val="16"/>
                <w:szCs w:val="16"/>
                <w:lang w:val="en-US"/>
              </w:rPr>
            </w:pPr>
            <w:r w:rsidRPr="000C32D5">
              <w:rPr>
                <w:rFonts w:ascii="Calibri" w:eastAsia="Calibri" w:hAnsi="Calibri" w:cs="Arial"/>
                <w:b/>
                <w:color w:val="000000"/>
                <w:sz w:val="16"/>
                <w:szCs w:val="16"/>
              </w:rPr>
              <w:t>(820,183)</w:t>
            </w:r>
          </w:p>
        </w:tc>
        <w:tc>
          <w:tcPr>
            <w:tcW w:w="479" w:type="pct"/>
            <w:tcBorders>
              <w:top w:val="nil"/>
              <w:left w:val="nil"/>
              <w:bottom w:val="single" w:sz="12" w:space="0" w:color="auto"/>
              <w:right w:val="nil"/>
            </w:tcBorders>
            <w:shd w:val="clear" w:color="auto" w:fill="auto"/>
            <w:vAlign w:val="bottom"/>
          </w:tcPr>
          <w:p w14:paraId="2B891F63" w14:textId="77777777" w:rsidR="000C32D5" w:rsidRPr="000C32D5" w:rsidRDefault="000C32D5" w:rsidP="000C32D5">
            <w:pPr>
              <w:spacing w:after="0" w:line="320" w:lineRule="exact"/>
              <w:jc w:val="right"/>
              <w:rPr>
                <w:rFonts w:ascii="Calibri" w:eastAsia="Calibri" w:hAnsi="Calibri" w:cs="Arial"/>
                <w:b/>
                <w:bCs/>
                <w:sz w:val="16"/>
                <w:szCs w:val="16"/>
                <w:lang w:val="en-US"/>
              </w:rPr>
            </w:pPr>
            <w:r w:rsidRPr="000C32D5">
              <w:rPr>
                <w:rFonts w:ascii="Calibri" w:eastAsia="Calibri" w:hAnsi="Calibri" w:cs="Arial"/>
                <w:b/>
                <w:color w:val="000000"/>
                <w:sz w:val="16"/>
                <w:szCs w:val="16"/>
              </w:rPr>
              <w:t>5,040,686</w:t>
            </w:r>
          </w:p>
        </w:tc>
        <w:tc>
          <w:tcPr>
            <w:tcW w:w="467" w:type="pct"/>
            <w:tcBorders>
              <w:top w:val="nil"/>
              <w:left w:val="nil"/>
              <w:bottom w:val="single" w:sz="12" w:space="0" w:color="auto"/>
              <w:right w:val="nil"/>
            </w:tcBorders>
            <w:shd w:val="clear" w:color="auto" w:fill="auto"/>
            <w:vAlign w:val="bottom"/>
          </w:tcPr>
          <w:p w14:paraId="4685ED42" w14:textId="77777777" w:rsidR="000C32D5" w:rsidRPr="000C32D5" w:rsidRDefault="000C32D5" w:rsidP="000C32D5">
            <w:pPr>
              <w:spacing w:after="0" w:line="320" w:lineRule="exact"/>
              <w:jc w:val="right"/>
              <w:rPr>
                <w:rFonts w:ascii="Calibri" w:eastAsia="Calibri" w:hAnsi="Calibri" w:cs="Arial"/>
                <w:b/>
                <w:bCs/>
                <w:sz w:val="16"/>
                <w:szCs w:val="16"/>
                <w:lang w:val="en-US"/>
              </w:rPr>
            </w:pPr>
            <w:r w:rsidRPr="000C32D5">
              <w:rPr>
                <w:rFonts w:ascii="Calibri" w:eastAsia="Calibri" w:hAnsi="Calibri" w:cs="Arial"/>
                <w:b/>
                <w:color w:val="000000"/>
                <w:sz w:val="16"/>
                <w:szCs w:val="16"/>
              </w:rPr>
              <w:t>1,180,838</w:t>
            </w:r>
          </w:p>
        </w:tc>
        <w:tc>
          <w:tcPr>
            <w:tcW w:w="474" w:type="pct"/>
            <w:tcBorders>
              <w:top w:val="nil"/>
              <w:left w:val="nil"/>
              <w:bottom w:val="single" w:sz="12" w:space="0" w:color="auto"/>
              <w:right w:val="nil"/>
            </w:tcBorders>
            <w:shd w:val="clear" w:color="auto" w:fill="auto"/>
            <w:vAlign w:val="bottom"/>
          </w:tcPr>
          <w:p w14:paraId="1AEBE415" w14:textId="77777777" w:rsidR="000C32D5" w:rsidRPr="000C32D5" w:rsidRDefault="000C32D5" w:rsidP="000C32D5">
            <w:pPr>
              <w:spacing w:after="0" w:line="320" w:lineRule="exact"/>
              <w:jc w:val="right"/>
              <w:rPr>
                <w:rFonts w:ascii="Calibri" w:eastAsia="Calibri" w:hAnsi="Calibri" w:cs="Arial"/>
                <w:b/>
                <w:bCs/>
                <w:sz w:val="16"/>
                <w:szCs w:val="16"/>
                <w:lang w:val="en-US"/>
              </w:rPr>
            </w:pPr>
            <w:r w:rsidRPr="000C32D5">
              <w:rPr>
                <w:rFonts w:ascii="Calibri" w:eastAsia="Calibri" w:hAnsi="Calibri" w:cs="Arial"/>
                <w:b/>
                <w:color w:val="000000"/>
                <w:sz w:val="16"/>
                <w:szCs w:val="16"/>
              </w:rPr>
              <w:t>10,511,479</w:t>
            </w:r>
          </w:p>
        </w:tc>
        <w:tc>
          <w:tcPr>
            <w:tcW w:w="468" w:type="pct"/>
            <w:tcBorders>
              <w:top w:val="nil"/>
              <w:left w:val="nil"/>
              <w:bottom w:val="single" w:sz="12" w:space="0" w:color="auto"/>
              <w:right w:val="nil"/>
            </w:tcBorders>
            <w:shd w:val="clear" w:color="auto" w:fill="auto"/>
            <w:vAlign w:val="bottom"/>
          </w:tcPr>
          <w:p w14:paraId="6699AAB4" w14:textId="77777777" w:rsidR="000C32D5" w:rsidRPr="000C32D5" w:rsidDel="00D96E20" w:rsidRDefault="000C32D5" w:rsidP="000C32D5">
            <w:pPr>
              <w:spacing w:after="0" w:line="320" w:lineRule="exact"/>
              <w:jc w:val="right"/>
              <w:rPr>
                <w:rFonts w:ascii="Calibri" w:eastAsia="Calibri" w:hAnsi="Calibri" w:cs="Calibri"/>
                <w:b/>
                <w:bCs/>
                <w:sz w:val="16"/>
                <w:szCs w:val="16"/>
                <w:lang w:val="en-US"/>
              </w:rPr>
            </w:pPr>
            <w:r w:rsidRPr="000C32D5">
              <w:rPr>
                <w:rFonts w:ascii="Calibri" w:eastAsia="Calibri" w:hAnsi="Calibri" w:cs="Arial"/>
                <w:b/>
                <w:color w:val="000000"/>
                <w:sz w:val="16"/>
                <w:szCs w:val="16"/>
              </w:rPr>
              <w:t>8,394,422</w:t>
            </w:r>
          </w:p>
        </w:tc>
      </w:tr>
    </w:tbl>
    <w:p w14:paraId="651E6ABE"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p w14:paraId="5AF1DB61"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p w14:paraId="0B7A08B6" w14:textId="77777777" w:rsidR="00292301" w:rsidRPr="00537128" w:rsidRDefault="00292301" w:rsidP="008330AF">
      <w:pPr>
        <w:spacing w:after="0" w:line="240" w:lineRule="auto"/>
        <w:jc w:val="both"/>
        <w:rPr>
          <w:rFonts w:eastAsia="Times New Roman" w:cstheme="minorHAnsi"/>
          <w:b/>
          <w:bCs/>
          <w:iCs/>
          <w:color w:val="000000" w:themeColor="text1"/>
          <w:lang w:val="en-US"/>
        </w:rPr>
        <w:sectPr w:rsidR="00292301" w:rsidRPr="00537128" w:rsidSect="00712478">
          <w:pgSz w:w="11906" w:h="16838"/>
          <w:pgMar w:top="1418" w:right="1134" w:bottom="1418" w:left="1418" w:header="709" w:footer="709" w:gutter="0"/>
          <w:cols w:space="708"/>
          <w:docGrid w:linePitch="360"/>
        </w:sectPr>
      </w:pPr>
    </w:p>
    <w:p w14:paraId="63ACD3E1"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78494D8E" w14:textId="77777777" w:rsidR="00292301" w:rsidRPr="00537128" w:rsidRDefault="00292301">
      <w:pPr>
        <w:pStyle w:val="ListParagraph"/>
        <w:numPr>
          <w:ilvl w:val="0"/>
          <w:numId w:val="55"/>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2F31333A"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0D870E9E" w14:textId="3B767496" w:rsidR="00292301" w:rsidRPr="00537128" w:rsidRDefault="00B357CE" w:rsidP="00292301">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 xml:space="preserve">.5. </w:t>
      </w:r>
      <w:r w:rsidR="00292301" w:rsidRPr="00537128">
        <w:rPr>
          <w:rFonts w:eastAsia="Times New Roman" w:cstheme="minorHAnsi"/>
          <w:b/>
          <w:iCs/>
          <w:color w:val="000000" w:themeColor="text1"/>
          <w:lang w:val="en-US"/>
        </w:rPr>
        <w:tab/>
        <w:t>Market risk (continued)</w:t>
      </w:r>
    </w:p>
    <w:p w14:paraId="11486F03"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22D76EA1" w14:textId="4A63830C" w:rsidR="00292301" w:rsidRPr="00537128" w:rsidRDefault="00B357CE" w:rsidP="00292301">
      <w:pPr>
        <w:spacing w:after="0" w:line="240" w:lineRule="auto"/>
        <w:jc w:val="both"/>
        <w:rPr>
          <w:rFonts w:ascii="Calibri" w:eastAsia="Calibri" w:hAnsi="Calibri" w:cs="Arial"/>
          <w:b/>
          <w:bCs/>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.5.1.   Interest</w:t>
      </w:r>
      <w:r w:rsidR="00292301" w:rsidRPr="00537128">
        <w:rPr>
          <w:rFonts w:ascii="Calibri" w:eastAsia="Calibri" w:hAnsi="Calibri" w:cs="Arial"/>
          <w:b/>
          <w:bCs/>
          <w:lang w:val="en-US"/>
        </w:rPr>
        <w:t xml:space="preserve"> rate risk </w:t>
      </w:r>
      <w:r w:rsidR="00292301" w:rsidRPr="00537128">
        <w:rPr>
          <w:rFonts w:eastAsia="Times New Roman" w:cstheme="minorHAnsi"/>
          <w:b/>
          <w:iCs/>
          <w:color w:val="000000" w:themeColor="text1"/>
          <w:lang w:val="en-US"/>
        </w:rPr>
        <w:t>(continued)</w:t>
      </w:r>
    </w:p>
    <w:p w14:paraId="3DBBD43B" w14:textId="77777777" w:rsidR="00292301" w:rsidRPr="00537128" w:rsidRDefault="00292301" w:rsidP="00292301">
      <w:pPr>
        <w:spacing w:after="0" w:line="240" w:lineRule="auto"/>
        <w:ind w:right="-6"/>
        <w:jc w:val="both"/>
        <w:rPr>
          <w:rFonts w:ascii="Calibri" w:eastAsia="Times New Roman" w:hAnsi="Calibri" w:cs="Arial"/>
          <w:iCs/>
          <w:lang w:val="en-US"/>
        </w:rPr>
      </w:pPr>
    </w:p>
    <w:p w14:paraId="69C9A8AF" w14:textId="3E7265D1" w:rsidR="00292301" w:rsidRPr="00537128" w:rsidRDefault="00292301" w:rsidP="00292301">
      <w:pPr>
        <w:spacing w:after="0" w:line="240" w:lineRule="auto"/>
        <w:ind w:right="-6"/>
        <w:jc w:val="both"/>
        <w:rPr>
          <w:rFonts w:ascii="Calibri" w:eastAsia="Times New Roman" w:hAnsi="Calibri" w:cs="Arial"/>
          <w:iCs/>
          <w:lang w:val="en-US"/>
        </w:rPr>
      </w:pPr>
      <w:r w:rsidRPr="00537128">
        <w:rPr>
          <w:rFonts w:ascii="Calibri" w:eastAsia="Times New Roman" w:hAnsi="Calibri" w:cs="Arial"/>
          <w:iCs/>
          <w:lang w:val="en-US"/>
        </w:rPr>
        <w:t xml:space="preserve">The following tables demonstrate the sensitivity of the HBOR to the interest rate risk as of </w:t>
      </w:r>
      <w:r w:rsidR="006A5067" w:rsidRPr="00537128">
        <w:rPr>
          <w:rFonts w:ascii="Calibri" w:eastAsia="Times New Roman" w:hAnsi="Calibri" w:cs="Arial"/>
          <w:iCs/>
          <w:lang w:val="en-US"/>
        </w:rPr>
        <w:t>31 March 202</w:t>
      </w:r>
      <w:r w:rsidR="00B7120E">
        <w:rPr>
          <w:rFonts w:ascii="Calibri" w:eastAsia="Times New Roman" w:hAnsi="Calibri" w:cs="Arial"/>
          <w:iCs/>
          <w:lang w:val="en-US"/>
        </w:rPr>
        <w:t>2</w:t>
      </w:r>
      <w:r w:rsidR="006A5067" w:rsidRPr="00537128">
        <w:rPr>
          <w:rFonts w:ascii="Calibri" w:eastAsia="Times New Roman" w:hAnsi="Calibri" w:cs="Arial"/>
          <w:iCs/>
          <w:lang w:val="en-US"/>
        </w:rPr>
        <w:t xml:space="preserve"> </w:t>
      </w:r>
      <w:r w:rsidRPr="00537128">
        <w:rPr>
          <w:rFonts w:ascii="Calibri" w:eastAsia="Times New Roman" w:hAnsi="Calibri" w:cs="Arial"/>
          <w:iCs/>
          <w:lang w:val="en-US"/>
        </w:rPr>
        <w:t>and 31 December 20</w:t>
      </w:r>
      <w:r w:rsidR="006A5067" w:rsidRPr="00537128">
        <w:rPr>
          <w:rFonts w:ascii="Calibri" w:eastAsia="Times New Roman" w:hAnsi="Calibri" w:cs="Arial"/>
          <w:iCs/>
          <w:lang w:val="en-US"/>
        </w:rPr>
        <w:t>2</w:t>
      </w:r>
      <w:r w:rsidR="00B7120E">
        <w:rPr>
          <w:rFonts w:ascii="Calibri" w:eastAsia="Times New Roman" w:hAnsi="Calibri" w:cs="Arial"/>
          <w:iCs/>
          <w:lang w:val="en-US"/>
        </w:rPr>
        <w:t>1</w:t>
      </w:r>
      <w:r w:rsidRPr="00537128">
        <w:rPr>
          <w:rFonts w:ascii="Calibri" w:eastAsia="Times New Roman" w:hAnsi="Calibri" w:cs="Arial"/>
          <w:iCs/>
          <w:lang w:val="en-US"/>
        </w:rPr>
        <w:t xml:space="preserve"> </w:t>
      </w:r>
      <w:proofErr w:type="gramStart"/>
      <w:r w:rsidRPr="00537128">
        <w:rPr>
          <w:rFonts w:ascii="Calibri" w:eastAsia="Times New Roman" w:hAnsi="Calibri" w:cs="Arial"/>
          <w:iCs/>
          <w:lang w:val="en-US"/>
        </w:rPr>
        <w:t>on the basis of</w:t>
      </w:r>
      <w:proofErr w:type="gramEnd"/>
      <w:r w:rsidRPr="00537128">
        <w:rPr>
          <w:rFonts w:ascii="Calibri" w:eastAsia="Times New Roman" w:hAnsi="Calibri" w:cs="Arial"/>
          <w:iCs/>
          <w:lang w:val="en-US"/>
        </w:rPr>
        <w:t xml:space="preserve"> known dates of changes in prices of assets and liabilities to which floating and fixed interest rates are applied. Periods of interest rates changes are determined </w:t>
      </w:r>
      <w:proofErr w:type="gramStart"/>
      <w:r w:rsidRPr="00537128">
        <w:rPr>
          <w:rFonts w:ascii="Calibri" w:eastAsia="Times New Roman" w:hAnsi="Calibri" w:cs="Arial"/>
          <w:iCs/>
          <w:lang w:val="en-US"/>
        </w:rPr>
        <w:t>on the basis of</w:t>
      </w:r>
      <w:proofErr w:type="gramEnd"/>
      <w:r w:rsidRPr="00537128">
        <w:rPr>
          <w:rFonts w:ascii="Calibri" w:eastAsia="Times New Roman" w:hAnsi="Calibri" w:cs="Arial"/>
          <w:iCs/>
          <w:lang w:val="en-US"/>
        </w:rPr>
        <w:t xml:space="preserve"> residual maturity and contracted period when interest rates change, depending on which is shorter. </w:t>
      </w:r>
    </w:p>
    <w:p w14:paraId="785925D3" w14:textId="77777777" w:rsidR="00292301" w:rsidRPr="00537128" w:rsidRDefault="00292301" w:rsidP="00292301">
      <w:pPr>
        <w:spacing w:after="0" w:line="240" w:lineRule="auto"/>
        <w:ind w:right="-6"/>
        <w:jc w:val="both"/>
        <w:rPr>
          <w:rFonts w:ascii="Calibri" w:eastAsia="Times New Roman" w:hAnsi="Calibri" w:cs="Arial"/>
          <w:iCs/>
          <w:lang w:val="en-US"/>
        </w:rPr>
      </w:pPr>
    </w:p>
    <w:p w14:paraId="0F0D1135" w14:textId="77777777" w:rsidR="00292301" w:rsidRPr="00537128" w:rsidRDefault="00292301" w:rsidP="00292301">
      <w:pPr>
        <w:spacing w:after="0" w:line="240" w:lineRule="auto"/>
        <w:ind w:right="-6"/>
        <w:jc w:val="both"/>
        <w:rPr>
          <w:rFonts w:ascii="Calibri" w:eastAsia="Times New Roman" w:hAnsi="Calibri" w:cs="Arial"/>
          <w:iCs/>
          <w:lang w:val="en-US"/>
        </w:rPr>
      </w:pPr>
      <w:r w:rsidRPr="00537128">
        <w:rPr>
          <w:rFonts w:ascii="Calibri" w:eastAsia="Times New Roman" w:hAnsi="Calibri" w:cs="Arial"/>
          <w:iCs/>
          <w:lang w:val="en-US"/>
        </w:rPr>
        <w:t>Assets and liabilities on which interest is not charged are placed into the non-</w:t>
      </w:r>
      <w:proofErr w:type="gramStart"/>
      <w:r w:rsidRPr="00537128">
        <w:rPr>
          <w:rFonts w:ascii="Calibri" w:eastAsia="Times New Roman" w:hAnsi="Calibri" w:cs="Arial"/>
          <w:iCs/>
          <w:lang w:val="en-US"/>
        </w:rPr>
        <w:t>interest bearing</w:t>
      </w:r>
      <w:proofErr w:type="gramEnd"/>
      <w:r w:rsidRPr="00537128">
        <w:rPr>
          <w:rFonts w:ascii="Calibri" w:eastAsia="Times New Roman" w:hAnsi="Calibri" w:cs="Arial"/>
          <w:iCs/>
          <w:lang w:val="en-US"/>
        </w:rPr>
        <w:t xml:space="preserve"> category.</w:t>
      </w:r>
    </w:p>
    <w:p w14:paraId="0359D3FB" w14:textId="3FA1B381" w:rsidR="00292301" w:rsidRPr="00537128" w:rsidRDefault="00292301" w:rsidP="00292301">
      <w:pPr>
        <w:tabs>
          <w:tab w:val="left" w:pos="-720"/>
        </w:tabs>
        <w:suppressAutoHyphens/>
        <w:spacing w:after="0" w:line="240" w:lineRule="auto"/>
        <w:ind w:right="-5"/>
        <w:jc w:val="both"/>
        <w:rPr>
          <w:rFonts w:ascii="Calibri" w:eastAsia="Times New Roman" w:hAnsi="Calibri" w:cs="Arial"/>
          <w:lang w:val="en-US"/>
        </w:rPr>
      </w:pPr>
      <w:r w:rsidRPr="00537128">
        <w:rPr>
          <w:rFonts w:ascii="Calibri" w:eastAsia="Times New Roman" w:hAnsi="Calibri" w:cs="Arial"/>
          <w:lang w:val="en-US"/>
        </w:rPr>
        <w:t xml:space="preserve">The tables below demonstrate the estimation of HBORS’s interest rate risk exposure as of </w:t>
      </w:r>
      <w:r w:rsidR="006A5067" w:rsidRPr="00537128">
        <w:rPr>
          <w:rFonts w:ascii="Calibri" w:eastAsia="Times New Roman" w:hAnsi="Calibri" w:cs="Arial"/>
          <w:lang w:val="en-US"/>
        </w:rPr>
        <w:t>31 March 202</w:t>
      </w:r>
      <w:r w:rsidR="00B7120E">
        <w:rPr>
          <w:rFonts w:ascii="Calibri" w:eastAsia="Times New Roman" w:hAnsi="Calibri" w:cs="Arial"/>
          <w:lang w:val="en-US"/>
        </w:rPr>
        <w:t>2</w:t>
      </w:r>
      <w:r w:rsidR="006A5067" w:rsidRPr="00537128">
        <w:rPr>
          <w:rFonts w:ascii="Calibri" w:eastAsia="Times New Roman" w:hAnsi="Calibri" w:cs="Arial"/>
          <w:lang w:val="en-US"/>
        </w:rPr>
        <w:t xml:space="preserve"> </w:t>
      </w:r>
      <w:r w:rsidRPr="00537128">
        <w:rPr>
          <w:rFonts w:ascii="Calibri" w:eastAsia="Times New Roman" w:hAnsi="Calibri" w:cs="Arial"/>
          <w:lang w:val="en-US"/>
        </w:rPr>
        <w:t>and 31 December 20</w:t>
      </w:r>
      <w:r w:rsidR="006A5067" w:rsidRPr="00537128">
        <w:rPr>
          <w:rFonts w:ascii="Calibri" w:eastAsia="Times New Roman" w:hAnsi="Calibri" w:cs="Arial"/>
          <w:lang w:val="en-US"/>
        </w:rPr>
        <w:t>2</w:t>
      </w:r>
      <w:r w:rsidR="00B7120E">
        <w:rPr>
          <w:rFonts w:ascii="Calibri" w:eastAsia="Times New Roman" w:hAnsi="Calibri" w:cs="Arial"/>
          <w:lang w:val="en-US"/>
        </w:rPr>
        <w:t>1</w:t>
      </w:r>
      <w:r w:rsidRPr="00537128">
        <w:rPr>
          <w:rFonts w:ascii="Calibri" w:eastAsia="Times New Roman" w:hAnsi="Calibri" w:cs="Arial"/>
          <w:lang w:val="en-US"/>
        </w:rPr>
        <w:t xml:space="preserve"> which may not be indicative for the positions in other periods. </w:t>
      </w:r>
    </w:p>
    <w:p w14:paraId="282600BA"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tbl>
      <w:tblPr>
        <w:tblW w:w="5456" w:type="pct"/>
        <w:tblInd w:w="-142" w:type="dxa"/>
        <w:tblLayout w:type="fixed"/>
        <w:tblCellMar>
          <w:left w:w="120" w:type="dxa"/>
          <w:right w:w="120" w:type="dxa"/>
        </w:tblCellMar>
        <w:tblLook w:val="0000" w:firstRow="0" w:lastRow="0" w:firstColumn="0" w:lastColumn="0" w:noHBand="0" w:noVBand="0"/>
      </w:tblPr>
      <w:tblGrid>
        <w:gridCol w:w="2291"/>
        <w:gridCol w:w="982"/>
        <w:gridCol w:w="990"/>
        <w:gridCol w:w="990"/>
        <w:gridCol w:w="1006"/>
        <w:gridCol w:w="984"/>
        <w:gridCol w:w="992"/>
        <w:gridCol w:w="984"/>
        <w:gridCol w:w="988"/>
      </w:tblGrid>
      <w:tr w:rsidR="006A5067" w:rsidRPr="00537128" w14:paraId="2515858B" w14:textId="77777777" w:rsidTr="006A5067">
        <w:tc>
          <w:tcPr>
            <w:tcW w:w="1122" w:type="pct"/>
            <w:vAlign w:val="center"/>
          </w:tcPr>
          <w:p w14:paraId="59AE0339"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r w:rsidRPr="00537128">
              <w:rPr>
                <w:rFonts w:ascii="Calibri" w:eastAsia="Calibri" w:hAnsi="Calibri" w:cs="Arial"/>
                <w:b/>
                <w:sz w:val="16"/>
                <w:szCs w:val="16"/>
                <w:lang w:val="en-US"/>
              </w:rPr>
              <w:t>Bank</w:t>
            </w:r>
          </w:p>
          <w:p w14:paraId="03BE8B36"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p>
          <w:p w14:paraId="3FEF4081" w14:textId="1DB56F80"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r w:rsidRPr="00537128">
              <w:rPr>
                <w:rFonts w:ascii="Calibri" w:eastAsia="Calibri" w:hAnsi="Calibri" w:cs="Arial"/>
                <w:b/>
                <w:sz w:val="16"/>
                <w:szCs w:val="16"/>
                <w:lang w:val="en-US"/>
              </w:rPr>
              <w:t>31 March 202</w:t>
            </w:r>
            <w:r w:rsidR="00B7120E">
              <w:rPr>
                <w:rFonts w:ascii="Calibri" w:eastAsia="Calibri" w:hAnsi="Calibri" w:cs="Arial"/>
                <w:b/>
                <w:sz w:val="16"/>
                <w:szCs w:val="16"/>
                <w:lang w:val="en-US"/>
              </w:rPr>
              <w:t>2</w:t>
            </w:r>
          </w:p>
        </w:tc>
        <w:tc>
          <w:tcPr>
            <w:tcW w:w="481" w:type="pct"/>
          </w:tcPr>
          <w:p w14:paraId="588A5CF1"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Up to 1 month</w:t>
            </w:r>
          </w:p>
        </w:tc>
        <w:tc>
          <w:tcPr>
            <w:tcW w:w="485" w:type="pct"/>
          </w:tcPr>
          <w:p w14:paraId="4F1C7FB6"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1 to 3 months</w:t>
            </w:r>
          </w:p>
        </w:tc>
        <w:tc>
          <w:tcPr>
            <w:tcW w:w="485" w:type="pct"/>
          </w:tcPr>
          <w:p w14:paraId="135C541E"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 xml:space="preserve">3 months to 1 year </w:t>
            </w:r>
          </w:p>
        </w:tc>
        <w:tc>
          <w:tcPr>
            <w:tcW w:w="493" w:type="pct"/>
          </w:tcPr>
          <w:p w14:paraId="5813C50F"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1 to 3 years</w:t>
            </w:r>
          </w:p>
        </w:tc>
        <w:tc>
          <w:tcPr>
            <w:tcW w:w="482" w:type="pct"/>
          </w:tcPr>
          <w:p w14:paraId="097BB934"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Over 3 years</w:t>
            </w:r>
          </w:p>
        </w:tc>
        <w:tc>
          <w:tcPr>
            <w:tcW w:w="486" w:type="pct"/>
          </w:tcPr>
          <w:p w14:paraId="6A7CB0D1"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Non-interest bearing</w:t>
            </w:r>
          </w:p>
        </w:tc>
        <w:tc>
          <w:tcPr>
            <w:tcW w:w="482" w:type="pct"/>
          </w:tcPr>
          <w:p w14:paraId="4C983338"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 xml:space="preserve">Total </w:t>
            </w:r>
          </w:p>
        </w:tc>
        <w:tc>
          <w:tcPr>
            <w:tcW w:w="484" w:type="pct"/>
          </w:tcPr>
          <w:p w14:paraId="05F1B766"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Fixed interest rate</w:t>
            </w:r>
          </w:p>
        </w:tc>
      </w:tr>
      <w:tr w:rsidR="006A5067" w:rsidRPr="00537128" w14:paraId="46296DC4" w14:textId="77777777" w:rsidTr="006A5067">
        <w:tc>
          <w:tcPr>
            <w:tcW w:w="1122" w:type="pct"/>
            <w:vAlign w:val="center"/>
          </w:tcPr>
          <w:p w14:paraId="45B0F5E5"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p>
        </w:tc>
        <w:tc>
          <w:tcPr>
            <w:tcW w:w="481" w:type="pct"/>
            <w:shd w:val="clear" w:color="auto" w:fill="auto"/>
          </w:tcPr>
          <w:p w14:paraId="30D62836"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5" w:type="pct"/>
            <w:shd w:val="clear" w:color="auto" w:fill="auto"/>
          </w:tcPr>
          <w:p w14:paraId="22D1672D"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5" w:type="pct"/>
            <w:shd w:val="clear" w:color="auto" w:fill="auto"/>
          </w:tcPr>
          <w:p w14:paraId="566FEEBB"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93" w:type="pct"/>
            <w:shd w:val="clear" w:color="auto" w:fill="auto"/>
          </w:tcPr>
          <w:p w14:paraId="1F265D6B"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2" w:type="pct"/>
            <w:shd w:val="clear" w:color="auto" w:fill="auto"/>
          </w:tcPr>
          <w:p w14:paraId="1DDA916A"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6" w:type="pct"/>
            <w:shd w:val="clear" w:color="auto" w:fill="auto"/>
          </w:tcPr>
          <w:p w14:paraId="6509442E"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2" w:type="pct"/>
            <w:shd w:val="clear" w:color="auto" w:fill="auto"/>
          </w:tcPr>
          <w:p w14:paraId="2F898D27"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4" w:type="pct"/>
            <w:shd w:val="clear" w:color="auto" w:fill="auto"/>
          </w:tcPr>
          <w:p w14:paraId="4AF8CEFC" w14:textId="77777777" w:rsidR="006A5067" w:rsidRPr="00537128" w:rsidRDefault="006A5067" w:rsidP="006A5067">
            <w:pPr>
              <w:tabs>
                <w:tab w:val="left" w:pos="-720"/>
              </w:tabs>
              <w:suppressAutoHyphens/>
              <w:spacing w:after="0" w:line="280" w:lineRule="exact"/>
              <w:ind w:right="-6"/>
              <w:jc w:val="right"/>
              <w:rPr>
                <w:rFonts w:ascii="Calibri" w:eastAsia="Calibri" w:hAnsi="Calibri" w:cs="Times New Roman"/>
                <w:b/>
                <w:sz w:val="16"/>
                <w:szCs w:val="16"/>
                <w:lang w:val="en-US"/>
              </w:rPr>
            </w:pPr>
            <w:r w:rsidRPr="00537128">
              <w:rPr>
                <w:rFonts w:ascii="Calibri" w:eastAsia="Calibri" w:hAnsi="Calibri" w:cs="Times New Roman"/>
                <w:b/>
                <w:sz w:val="16"/>
                <w:szCs w:val="16"/>
                <w:lang w:val="en-US"/>
              </w:rPr>
              <w:t>HRK ‘000</w:t>
            </w:r>
          </w:p>
        </w:tc>
      </w:tr>
      <w:tr w:rsidR="006A5067" w:rsidRPr="00537128" w14:paraId="3630CDD2" w14:textId="77777777" w:rsidTr="006A5067">
        <w:tc>
          <w:tcPr>
            <w:tcW w:w="1122" w:type="pct"/>
            <w:vAlign w:val="bottom"/>
          </w:tcPr>
          <w:p w14:paraId="3E64D856" w14:textId="77777777" w:rsidR="006A5067" w:rsidRPr="00537128" w:rsidRDefault="006A5067" w:rsidP="006A5067">
            <w:pPr>
              <w:tabs>
                <w:tab w:val="left" w:pos="-720"/>
              </w:tabs>
              <w:suppressAutoHyphens/>
              <w:spacing w:after="0" w:line="280" w:lineRule="exact"/>
              <w:ind w:right="-5"/>
              <w:rPr>
                <w:rFonts w:ascii="Calibri" w:eastAsia="Calibri" w:hAnsi="Calibri" w:cs="Arial"/>
                <w:b/>
                <w:sz w:val="16"/>
                <w:szCs w:val="16"/>
                <w:lang w:val="en-US"/>
              </w:rPr>
            </w:pPr>
            <w:r w:rsidRPr="00537128">
              <w:rPr>
                <w:rFonts w:ascii="Calibri" w:eastAsia="Calibri" w:hAnsi="Calibri" w:cs="Arial"/>
                <w:b/>
                <w:sz w:val="16"/>
                <w:szCs w:val="16"/>
                <w:lang w:val="en-US"/>
              </w:rPr>
              <w:t xml:space="preserve">Assets </w:t>
            </w:r>
          </w:p>
        </w:tc>
        <w:tc>
          <w:tcPr>
            <w:tcW w:w="481" w:type="pct"/>
          </w:tcPr>
          <w:p w14:paraId="3DCC36CE"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5" w:type="pct"/>
          </w:tcPr>
          <w:p w14:paraId="5E5F5553"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5" w:type="pct"/>
          </w:tcPr>
          <w:p w14:paraId="0A593EDA"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93" w:type="pct"/>
          </w:tcPr>
          <w:p w14:paraId="1CCCE1AD"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2" w:type="pct"/>
          </w:tcPr>
          <w:p w14:paraId="7AFA7153"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6" w:type="pct"/>
          </w:tcPr>
          <w:p w14:paraId="74DA884B"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2" w:type="pct"/>
          </w:tcPr>
          <w:p w14:paraId="7EAB8AEC"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4" w:type="pct"/>
          </w:tcPr>
          <w:p w14:paraId="15FD6C4F"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r>
      <w:tr w:rsidR="00E3096A" w:rsidRPr="00537128" w14:paraId="337B94B4" w14:textId="77777777" w:rsidTr="006A5067">
        <w:tc>
          <w:tcPr>
            <w:tcW w:w="1122" w:type="pct"/>
            <w:vAlign w:val="bottom"/>
          </w:tcPr>
          <w:p w14:paraId="0954B0D5" w14:textId="77777777" w:rsidR="00E3096A" w:rsidRPr="00537128" w:rsidRDefault="00E3096A" w:rsidP="00E3096A">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Cash on hand and current accounts with banks</w:t>
            </w:r>
          </w:p>
        </w:tc>
        <w:tc>
          <w:tcPr>
            <w:tcW w:w="481" w:type="pct"/>
            <w:vAlign w:val="bottom"/>
          </w:tcPr>
          <w:p w14:paraId="1110900F" w14:textId="0932F8E9" w:rsidR="00E3096A" w:rsidRPr="00537128" w:rsidRDefault="00E3096A" w:rsidP="00E3096A">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38</w:t>
            </w:r>
            <w:r>
              <w:rPr>
                <w:rFonts w:ascii="Calibri" w:eastAsia="Calibri" w:hAnsi="Calibri" w:cs="Arial"/>
                <w:bCs/>
                <w:color w:val="000000"/>
                <w:sz w:val="16"/>
                <w:szCs w:val="16"/>
              </w:rPr>
              <w:t>0</w:t>
            </w:r>
            <w:r w:rsidR="00091EE0">
              <w:rPr>
                <w:rFonts w:ascii="Calibri" w:eastAsia="Calibri" w:hAnsi="Calibri" w:cs="Arial"/>
                <w:bCs/>
                <w:color w:val="000000"/>
                <w:sz w:val="16"/>
                <w:szCs w:val="16"/>
              </w:rPr>
              <w:t>,</w:t>
            </w:r>
            <w:r>
              <w:rPr>
                <w:rFonts w:ascii="Calibri" w:eastAsia="Calibri" w:hAnsi="Calibri" w:cs="Arial"/>
                <w:bCs/>
                <w:color w:val="000000"/>
                <w:sz w:val="16"/>
                <w:szCs w:val="16"/>
              </w:rPr>
              <w:t>593</w:t>
            </w:r>
          </w:p>
        </w:tc>
        <w:tc>
          <w:tcPr>
            <w:tcW w:w="485" w:type="pct"/>
            <w:vAlign w:val="bottom"/>
          </w:tcPr>
          <w:p w14:paraId="43733729" w14:textId="3C4FAFE1" w:rsidR="00E3096A" w:rsidRPr="00537128" w:rsidRDefault="00E3096A" w:rsidP="00E3096A">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5" w:type="pct"/>
            <w:vAlign w:val="bottom"/>
          </w:tcPr>
          <w:p w14:paraId="36180413" w14:textId="581B2720" w:rsidR="00E3096A" w:rsidRPr="00537128" w:rsidRDefault="00E3096A" w:rsidP="00E3096A">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93" w:type="pct"/>
            <w:vAlign w:val="bottom"/>
          </w:tcPr>
          <w:p w14:paraId="5261211F" w14:textId="24B8CF0B" w:rsidR="00E3096A" w:rsidRPr="00537128" w:rsidRDefault="00E3096A" w:rsidP="00E3096A">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2" w:type="pct"/>
            <w:vAlign w:val="bottom"/>
          </w:tcPr>
          <w:p w14:paraId="73408264" w14:textId="60EB995C" w:rsidR="00E3096A" w:rsidRPr="00537128" w:rsidRDefault="00E3096A" w:rsidP="00E3096A">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6" w:type="pct"/>
            <w:vAlign w:val="bottom"/>
          </w:tcPr>
          <w:p w14:paraId="0CD73842" w14:textId="09154CD4" w:rsidR="00E3096A" w:rsidRPr="00537128" w:rsidRDefault="00E3096A" w:rsidP="00E3096A">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1</w:t>
            </w:r>
            <w:r w:rsidR="00091EE0">
              <w:rPr>
                <w:rFonts w:ascii="Calibri" w:eastAsia="Calibri" w:hAnsi="Calibri" w:cs="Arial"/>
                <w:bCs/>
                <w:color w:val="000000"/>
                <w:sz w:val="16"/>
                <w:szCs w:val="16"/>
              </w:rPr>
              <w:t>,</w:t>
            </w:r>
            <w:r w:rsidRPr="00F95646">
              <w:rPr>
                <w:rFonts w:ascii="Calibri" w:eastAsia="Calibri" w:hAnsi="Calibri" w:cs="Arial"/>
                <w:bCs/>
                <w:color w:val="000000"/>
                <w:sz w:val="16"/>
                <w:szCs w:val="16"/>
              </w:rPr>
              <w:t>190</w:t>
            </w:r>
            <w:r w:rsidR="00091EE0">
              <w:rPr>
                <w:rFonts w:ascii="Calibri" w:eastAsia="Calibri" w:hAnsi="Calibri" w:cs="Arial"/>
                <w:bCs/>
                <w:color w:val="000000"/>
                <w:sz w:val="16"/>
                <w:szCs w:val="16"/>
              </w:rPr>
              <w:t>,</w:t>
            </w:r>
            <w:r w:rsidRPr="00F95646">
              <w:rPr>
                <w:rFonts w:ascii="Calibri" w:eastAsia="Calibri" w:hAnsi="Calibri" w:cs="Arial"/>
                <w:bCs/>
                <w:color w:val="000000"/>
                <w:sz w:val="16"/>
                <w:szCs w:val="16"/>
              </w:rPr>
              <w:t>61</w:t>
            </w:r>
            <w:r>
              <w:rPr>
                <w:rFonts w:ascii="Calibri" w:eastAsia="Calibri" w:hAnsi="Calibri" w:cs="Arial"/>
                <w:bCs/>
                <w:color w:val="000000"/>
                <w:sz w:val="16"/>
                <w:szCs w:val="16"/>
              </w:rPr>
              <w:t>3</w:t>
            </w:r>
          </w:p>
        </w:tc>
        <w:tc>
          <w:tcPr>
            <w:tcW w:w="482" w:type="pct"/>
            <w:vAlign w:val="bottom"/>
          </w:tcPr>
          <w:p w14:paraId="3795EE41" w14:textId="1541A652" w:rsidR="00E3096A" w:rsidRPr="00537128" w:rsidRDefault="00E3096A" w:rsidP="00E3096A">
            <w:pPr>
              <w:spacing w:after="0" w:line="280" w:lineRule="exact"/>
              <w:jc w:val="right"/>
              <w:rPr>
                <w:rFonts w:ascii="Calibri" w:eastAsia="Calibri" w:hAnsi="Calibri" w:cs="Arial"/>
                <w:bCs/>
                <w:sz w:val="16"/>
                <w:szCs w:val="16"/>
                <w:lang w:val="en-US"/>
              </w:rPr>
            </w:pPr>
            <w:r w:rsidRPr="00D60FDE">
              <w:rPr>
                <w:rFonts w:ascii="Calibri" w:eastAsia="Calibri" w:hAnsi="Calibri" w:cs="Arial"/>
                <w:bCs/>
                <w:color w:val="000000"/>
                <w:sz w:val="16"/>
                <w:szCs w:val="16"/>
              </w:rPr>
              <w:t>1</w:t>
            </w:r>
            <w:r w:rsidR="00091EE0">
              <w:rPr>
                <w:rFonts w:ascii="Calibri" w:eastAsia="Calibri" w:hAnsi="Calibri" w:cs="Arial"/>
                <w:bCs/>
                <w:color w:val="000000"/>
                <w:sz w:val="16"/>
                <w:szCs w:val="16"/>
              </w:rPr>
              <w:t>,</w:t>
            </w:r>
            <w:r w:rsidRPr="00D60FDE">
              <w:rPr>
                <w:rFonts w:ascii="Calibri" w:eastAsia="Calibri" w:hAnsi="Calibri" w:cs="Arial"/>
                <w:bCs/>
                <w:color w:val="000000"/>
                <w:sz w:val="16"/>
                <w:szCs w:val="16"/>
              </w:rPr>
              <w:t>571</w:t>
            </w:r>
            <w:r w:rsidR="00091EE0">
              <w:rPr>
                <w:rFonts w:ascii="Calibri" w:eastAsia="Calibri" w:hAnsi="Calibri" w:cs="Arial"/>
                <w:bCs/>
                <w:color w:val="000000"/>
                <w:sz w:val="16"/>
                <w:szCs w:val="16"/>
              </w:rPr>
              <w:t>,</w:t>
            </w:r>
            <w:r w:rsidRPr="00D60FDE">
              <w:rPr>
                <w:rFonts w:ascii="Calibri" w:eastAsia="Calibri" w:hAnsi="Calibri" w:cs="Arial"/>
                <w:bCs/>
                <w:color w:val="000000"/>
                <w:sz w:val="16"/>
                <w:szCs w:val="16"/>
              </w:rPr>
              <w:t>206</w:t>
            </w:r>
          </w:p>
        </w:tc>
        <w:tc>
          <w:tcPr>
            <w:tcW w:w="484" w:type="pct"/>
            <w:vAlign w:val="bottom"/>
          </w:tcPr>
          <w:p w14:paraId="0DE208E3" w14:textId="2EDFF2B1" w:rsidR="00E3096A" w:rsidRPr="00537128" w:rsidDel="00D96E20" w:rsidRDefault="00E3096A" w:rsidP="00E3096A">
            <w:pPr>
              <w:spacing w:after="0" w:line="280" w:lineRule="exact"/>
              <w:jc w:val="right"/>
              <w:rPr>
                <w:rFonts w:ascii="Calibri" w:eastAsia="Calibri" w:hAnsi="Calibri" w:cs="Times New Roman"/>
                <w:sz w:val="16"/>
                <w:szCs w:val="16"/>
                <w:lang w:val="en-US"/>
              </w:rPr>
            </w:pPr>
            <w:r w:rsidRPr="00D60FDE">
              <w:rPr>
                <w:rFonts w:ascii="Calibri" w:eastAsia="Calibri" w:hAnsi="Calibri" w:cs="Arial"/>
                <w:bCs/>
                <w:color w:val="000000"/>
                <w:sz w:val="16"/>
                <w:szCs w:val="16"/>
              </w:rPr>
              <w:t>380</w:t>
            </w:r>
            <w:r w:rsidR="00091EE0">
              <w:rPr>
                <w:rFonts w:ascii="Calibri" w:eastAsia="Calibri" w:hAnsi="Calibri" w:cs="Arial"/>
                <w:bCs/>
                <w:color w:val="000000"/>
                <w:sz w:val="16"/>
                <w:szCs w:val="16"/>
              </w:rPr>
              <w:t>,</w:t>
            </w:r>
            <w:r w:rsidRPr="00D60FDE">
              <w:rPr>
                <w:rFonts w:ascii="Calibri" w:eastAsia="Calibri" w:hAnsi="Calibri" w:cs="Arial"/>
                <w:bCs/>
                <w:color w:val="000000"/>
                <w:sz w:val="16"/>
                <w:szCs w:val="16"/>
              </w:rPr>
              <w:t>593</w:t>
            </w:r>
          </w:p>
        </w:tc>
      </w:tr>
      <w:tr w:rsidR="00E3096A" w:rsidRPr="00537128" w14:paraId="0F550113" w14:textId="77777777" w:rsidTr="006A5067">
        <w:tc>
          <w:tcPr>
            <w:tcW w:w="1122" w:type="pct"/>
            <w:vAlign w:val="bottom"/>
          </w:tcPr>
          <w:p w14:paraId="270485A0" w14:textId="77777777" w:rsidR="00E3096A" w:rsidRPr="00537128" w:rsidRDefault="00E3096A" w:rsidP="00E3096A">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Deposits with other banks </w:t>
            </w:r>
          </w:p>
        </w:tc>
        <w:tc>
          <w:tcPr>
            <w:tcW w:w="481" w:type="pct"/>
            <w:vAlign w:val="bottom"/>
          </w:tcPr>
          <w:p w14:paraId="7387027F" w14:textId="1DD75FF4" w:rsidR="00E3096A" w:rsidRPr="00537128" w:rsidRDefault="00E3096A" w:rsidP="00E3096A">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5" w:type="pct"/>
            <w:vAlign w:val="bottom"/>
          </w:tcPr>
          <w:p w14:paraId="1D77A4E5" w14:textId="6A88D101" w:rsidR="00E3096A" w:rsidRPr="00537128" w:rsidRDefault="00E3096A" w:rsidP="00E3096A">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5" w:type="pct"/>
            <w:vAlign w:val="bottom"/>
          </w:tcPr>
          <w:p w14:paraId="11FDA841" w14:textId="1DC70A80" w:rsidR="00E3096A" w:rsidRPr="00537128" w:rsidRDefault="00E3096A" w:rsidP="00E3096A">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93" w:type="pct"/>
            <w:vAlign w:val="bottom"/>
          </w:tcPr>
          <w:p w14:paraId="4B2C8EE5" w14:textId="77EAA2FE" w:rsidR="00E3096A" w:rsidRPr="00537128" w:rsidRDefault="00E3096A" w:rsidP="00E3096A">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2" w:type="pct"/>
            <w:vAlign w:val="bottom"/>
          </w:tcPr>
          <w:p w14:paraId="0772B366" w14:textId="7F7BE9F3" w:rsidR="00E3096A" w:rsidRPr="00537128" w:rsidRDefault="00E3096A" w:rsidP="00E3096A">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6" w:type="pct"/>
            <w:vAlign w:val="bottom"/>
          </w:tcPr>
          <w:p w14:paraId="5658F91D" w14:textId="7D92ED20" w:rsidR="00E3096A" w:rsidRPr="00537128" w:rsidRDefault="00E3096A" w:rsidP="00E3096A">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15</w:t>
            </w:r>
            <w:r w:rsidR="00091EE0">
              <w:rPr>
                <w:rFonts w:ascii="Calibri" w:eastAsia="Calibri" w:hAnsi="Calibri" w:cs="Arial"/>
                <w:bCs/>
                <w:color w:val="000000"/>
                <w:sz w:val="16"/>
                <w:szCs w:val="16"/>
              </w:rPr>
              <w:t>,</w:t>
            </w:r>
            <w:r w:rsidRPr="00F95646">
              <w:rPr>
                <w:rFonts w:ascii="Calibri" w:eastAsia="Calibri" w:hAnsi="Calibri" w:cs="Arial"/>
                <w:bCs/>
                <w:color w:val="000000"/>
                <w:sz w:val="16"/>
                <w:szCs w:val="16"/>
              </w:rPr>
              <w:t>215</w:t>
            </w:r>
          </w:p>
        </w:tc>
        <w:tc>
          <w:tcPr>
            <w:tcW w:w="482" w:type="pct"/>
            <w:vAlign w:val="bottom"/>
          </w:tcPr>
          <w:p w14:paraId="2E59BC0E" w14:textId="7631EC2E" w:rsidR="00E3096A" w:rsidRPr="00537128" w:rsidRDefault="00E3096A" w:rsidP="00E3096A">
            <w:pPr>
              <w:spacing w:after="0" w:line="280" w:lineRule="exact"/>
              <w:jc w:val="right"/>
              <w:rPr>
                <w:rFonts w:ascii="Calibri" w:eastAsia="Calibri" w:hAnsi="Calibri" w:cs="Arial"/>
                <w:bCs/>
                <w:sz w:val="16"/>
                <w:szCs w:val="16"/>
                <w:lang w:val="en-US"/>
              </w:rPr>
            </w:pPr>
            <w:r w:rsidRPr="00F95646">
              <w:rPr>
                <w:rFonts w:ascii="Calibri" w:eastAsia="Calibri" w:hAnsi="Calibri" w:cs="Arial"/>
                <w:bCs/>
                <w:color w:val="000000"/>
                <w:sz w:val="16"/>
                <w:szCs w:val="16"/>
              </w:rPr>
              <w:t>15</w:t>
            </w:r>
            <w:r w:rsidR="00091EE0">
              <w:rPr>
                <w:rFonts w:ascii="Calibri" w:eastAsia="Calibri" w:hAnsi="Calibri" w:cs="Arial"/>
                <w:bCs/>
                <w:color w:val="000000"/>
                <w:sz w:val="16"/>
                <w:szCs w:val="16"/>
              </w:rPr>
              <w:t>,</w:t>
            </w:r>
            <w:r w:rsidRPr="00F95646">
              <w:rPr>
                <w:rFonts w:ascii="Calibri" w:eastAsia="Calibri" w:hAnsi="Calibri" w:cs="Arial"/>
                <w:bCs/>
                <w:color w:val="000000"/>
                <w:sz w:val="16"/>
                <w:szCs w:val="16"/>
              </w:rPr>
              <w:t>215</w:t>
            </w:r>
          </w:p>
        </w:tc>
        <w:tc>
          <w:tcPr>
            <w:tcW w:w="484" w:type="pct"/>
            <w:vAlign w:val="bottom"/>
          </w:tcPr>
          <w:p w14:paraId="43903BDA" w14:textId="0642CE70" w:rsidR="00E3096A" w:rsidRPr="00537128" w:rsidDel="00D96E20" w:rsidRDefault="00E3096A" w:rsidP="00E3096A">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r>
      <w:tr w:rsidR="00E3096A" w:rsidRPr="00537128" w14:paraId="435E6C99" w14:textId="77777777" w:rsidTr="006A5067">
        <w:tc>
          <w:tcPr>
            <w:tcW w:w="1122" w:type="pct"/>
            <w:vAlign w:val="bottom"/>
          </w:tcPr>
          <w:p w14:paraId="4B16F870" w14:textId="77777777" w:rsidR="00E3096A" w:rsidRPr="00537128" w:rsidRDefault="00E3096A" w:rsidP="00E3096A">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Loans to financial institutions </w:t>
            </w:r>
          </w:p>
        </w:tc>
        <w:tc>
          <w:tcPr>
            <w:tcW w:w="481" w:type="pct"/>
            <w:tcBorders>
              <w:top w:val="nil"/>
              <w:left w:val="nil"/>
              <w:bottom w:val="nil"/>
              <w:right w:val="nil"/>
            </w:tcBorders>
            <w:vAlign w:val="bottom"/>
          </w:tcPr>
          <w:p w14:paraId="4B45C5EA" w14:textId="20992F60" w:rsidR="00E3096A" w:rsidRPr="00537128" w:rsidRDefault="00E3096A" w:rsidP="00E3096A">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61</w:t>
            </w:r>
            <w:r w:rsidR="00091EE0">
              <w:rPr>
                <w:rFonts w:ascii="Calibri" w:eastAsia="Calibri" w:hAnsi="Calibri" w:cs="Arial"/>
                <w:bCs/>
                <w:color w:val="000000"/>
                <w:sz w:val="16"/>
                <w:szCs w:val="16"/>
              </w:rPr>
              <w:t>,</w:t>
            </w:r>
            <w:r w:rsidRPr="00F95646">
              <w:rPr>
                <w:rFonts w:ascii="Calibri" w:eastAsia="Calibri" w:hAnsi="Calibri" w:cs="Arial"/>
                <w:bCs/>
                <w:color w:val="000000"/>
                <w:sz w:val="16"/>
                <w:szCs w:val="16"/>
              </w:rPr>
              <w:t>610</w:t>
            </w:r>
          </w:p>
        </w:tc>
        <w:tc>
          <w:tcPr>
            <w:tcW w:w="485" w:type="pct"/>
            <w:tcBorders>
              <w:top w:val="nil"/>
              <w:left w:val="nil"/>
              <w:bottom w:val="nil"/>
              <w:right w:val="nil"/>
            </w:tcBorders>
            <w:vAlign w:val="bottom"/>
          </w:tcPr>
          <w:p w14:paraId="4EC68B0F" w14:textId="3EA08028" w:rsidR="00E3096A" w:rsidRPr="00537128" w:rsidRDefault="00E3096A" w:rsidP="00E3096A">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436</w:t>
            </w:r>
            <w:r w:rsidR="00091EE0">
              <w:rPr>
                <w:rFonts w:ascii="Calibri" w:eastAsia="Calibri" w:hAnsi="Calibri" w:cs="Arial"/>
                <w:bCs/>
                <w:color w:val="000000"/>
                <w:sz w:val="16"/>
                <w:szCs w:val="16"/>
              </w:rPr>
              <w:t>,</w:t>
            </w:r>
            <w:r w:rsidRPr="00F95646">
              <w:rPr>
                <w:rFonts w:ascii="Calibri" w:eastAsia="Calibri" w:hAnsi="Calibri" w:cs="Arial"/>
                <w:bCs/>
                <w:color w:val="000000"/>
                <w:sz w:val="16"/>
                <w:szCs w:val="16"/>
              </w:rPr>
              <w:t>585</w:t>
            </w:r>
          </w:p>
        </w:tc>
        <w:tc>
          <w:tcPr>
            <w:tcW w:w="485" w:type="pct"/>
            <w:tcBorders>
              <w:top w:val="nil"/>
              <w:left w:val="nil"/>
              <w:bottom w:val="nil"/>
              <w:right w:val="nil"/>
            </w:tcBorders>
            <w:vAlign w:val="bottom"/>
          </w:tcPr>
          <w:p w14:paraId="31D18B40" w14:textId="645D6AA7" w:rsidR="00E3096A" w:rsidRPr="00537128" w:rsidRDefault="00E3096A" w:rsidP="00E3096A">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749</w:t>
            </w:r>
            <w:r w:rsidR="00091EE0">
              <w:rPr>
                <w:rFonts w:ascii="Calibri" w:eastAsia="Calibri" w:hAnsi="Calibri" w:cs="Arial"/>
                <w:bCs/>
                <w:color w:val="000000"/>
                <w:sz w:val="16"/>
                <w:szCs w:val="16"/>
              </w:rPr>
              <w:t>,</w:t>
            </w:r>
            <w:r w:rsidRPr="00F95646">
              <w:rPr>
                <w:rFonts w:ascii="Calibri" w:eastAsia="Calibri" w:hAnsi="Calibri" w:cs="Arial"/>
                <w:bCs/>
                <w:color w:val="000000"/>
                <w:sz w:val="16"/>
                <w:szCs w:val="16"/>
              </w:rPr>
              <w:t>942</w:t>
            </w:r>
          </w:p>
        </w:tc>
        <w:tc>
          <w:tcPr>
            <w:tcW w:w="493" w:type="pct"/>
            <w:tcBorders>
              <w:top w:val="nil"/>
              <w:left w:val="nil"/>
              <w:bottom w:val="nil"/>
              <w:right w:val="nil"/>
            </w:tcBorders>
            <w:vAlign w:val="bottom"/>
          </w:tcPr>
          <w:p w14:paraId="4ED7F70F" w14:textId="39529528" w:rsidR="00E3096A" w:rsidRPr="00537128" w:rsidRDefault="00E3096A" w:rsidP="00E3096A">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1</w:t>
            </w:r>
            <w:r w:rsidR="00091EE0">
              <w:rPr>
                <w:rFonts w:ascii="Calibri" w:eastAsia="Calibri" w:hAnsi="Calibri" w:cs="Arial"/>
                <w:bCs/>
                <w:color w:val="000000"/>
                <w:sz w:val="16"/>
                <w:szCs w:val="16"/>
              </w:rPr>
              <w:t>,</w:t>
            </w:r>
            <w:r w:rsidRPr="00F95646">
              <w:rPr>
                <w:rFonts w:ascii="Calibri" w:eastAsia="Calibri" w:hAnsi="Calibri" w:cs="Arial"/>
                <w:bCs/>
                <w:color w:val="000000"/>
                <w:sz w:val="16"/>
                <w:szCs w:val="16"/>
              </w:rPr>
              <w:t>799</w:t>
            </w:r>
            <w:r w:rsidR="00091EE0">
              <w:rPr>
                <w:rFonts w:ascii="Calibri" w:eastAsia="Calibri" w:hAnsi="Calibri" w:cs="Arial"/>
                <w:bCs/>
                <w:color w:val="000000"/>
                <w:sz w:val="16"/>
                <w:szCs w:val="16"/>
              </w:rPr>
              <w:t>,</w:t>
            </w:r>
            <w:r w:rsidRPr="00F95646">
              <w:rPr>
                <w:rFonts w:ascii="Calibri" w:eastAsia="Calibri" w:hAnsi="Calibri" w:cs="Arial"/>
                <w:bCs/>
                <w:color w:val="000000"/>
                <w:sz w:val="16"/>
                <w:szCs w:val="16"/>
              </w:rPr>
              <w:t>995</w:t>
            </w:r>
          </w:p>
        </w:tc>
        <w:tc>
          <w:tcPr>
            <w:tcW w:w="482" w:type="pct"/>
            <w:tcBorders>
              <w:top w:val="nil"/>
              <w:left w:val="nil"/>
              <w:bottom w:val="nil"/>
              <w:right w:val="nil"/>
            </w:tcBorders>
            <w:vAlign w:val="bottom"/>
          </w:tcPr>
          <w:p w14:paraId="4E2DC800" w14:textId="750E5261" w:rsidR="00E3096A" w:rsidRPr="00537128" w:rsidRDefault="00E3096A" w:rsidP="00E3096A">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3</w:t>
            </w:r>
            <w:r w:rsidR="00091EE0">
              <w:rPr>
                <w:rFonts w:ascii="Calibri" w:eastAsia="Calibri" w:hAnsi="Calibri" w:cs="Arial"/>
                <w:bCs/>
                <w:color w:val="000000"/>
                <w:sz w:val="16"/>
                <w:szCs w:val="16"/>
              </w:rPr>
              <w:t>,</w:t>
            </w:r>
            <w:r w:rsidRPr="00F95646">
              <w:rPr>
                <w:rFonts w:ascii="Calibri" w:eastAsia="Calibri" w:hAnsi="Calibri" w:cs="Arial"/>
                <w:bCs/>
                <w:color w:val="000000"/>
                <w:sz w:val="16"/>
                <w:szCs w:val="16"/>
              </w:rPr>
              <w:t>890</w:t>
            </w:r>
            <w:r w:rsidR="00091EE0">
              <w:rPr>
                <w:rFonts w:ascii="Calibri" w:eastAsia="Calibri" w:hAnsi="Calibri" w:cs="Arial"/>
                <w:bCs/>
                <w:color w:val="000000"/>
                <w:sz w:val="16"/>
                <w:szCs w:val="16"/>
              </w:rPr>
              <w:t>,</w:t>
            </w:r>
            <w:r w:rsidRPr="00F95646">
              <w:rPr>
                <w:rFonts w:ascii="Calibri" w:eastAsia="Calibri" w:hAnsi="Calibri" w:cs="Arial"/>
                <w:bCs/>
                <w:color w:val="000000"/>
                <w:sz w:val="16"/>
                <w:szCs w:val="16"/>
              </w:rPr>
              <w:t>950</w:t>
            </w:r>
          </w:p>
        </w:tc>
        <w:tc>
          <w:tcPr>
            <w:tcW w:w="486" w:type="pct"/>
            <w:tcBorders>
              <w:top w:val="nil"/>
              <w:left w:val="nil"/>
              <w:bottom w:val="nil"/>
              <w:right w:val="nil"/>
            </w:tcBorders>
            <w:vAlign w:val="bottom"/>
          </w:tcPr>
          <w:p w14:paraId="4D5E81C3" w14:textId="312BFF98" w:rsidR="00E3096A" w:rsidRPr="00537128" w:rsidRDefault="00E3096A" w:rsidP="00E3096A">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2</w:t>
            </w:r>
            <w:r w:rsidR="00091EE0">
              <w:rPr>
                <w:rFonts w:ascii="Calibri" w:eastAsia="Calibri" w:hAnsi="Calibri" w:cs="Arial"/>
                <w:bCs/>
                <w:color w:val="000000"/>
                <w:sz w:val="16"/>
                <w:szCs w:val="16"/>
              </w:rPr>
              <w:t>,</w:t>
            </w:r>
            <w:r w:rsidRPr="00F95646">
              <w:rPr>
                <w:rFonts w:ascii="Calibri" w:eastAsia="Calibri" w:hAnsi="Calibri" w:cs="Arial"/>
                <w:bCs/>
                <w:color w:val="000000"/>
                <w:sz w:val="16"/>
                <w:szCs w:val="16"/>
              </w:rPr>
              <w:t>878</w:t>
            </w:r>
          </w:p>
        </w:tc>
        <w:tc>
          <w:tcPr>
            <w:tcW w:w="482" w:type="pct"/>
            <w:tcBorders>
              <w:top w:val="nil"/>
              <w:left w:val="nil"/>
              <w:bottom w:val="nil"/>
              <w:right w:val="nil"/>
            </w:tcBorders>
            <w:vAlign w:val="bottom"/>
          </w:tcPr>
          <w:p w14:paraId="3DA506E8" w14:textId="72C0D112" w:rsidR="00E3096A" w:rsidRPr="00537128" w:rsidRDefault="00E3096A" w:rsidP="00E3096A">
            <w:pPr>
              <w:spacing w:after="0" w:line="280" w:lineRule="exact"/>
              <w:jc w:val="right"/>
              <w:rPr>
                <w:rFonts w:ascii="Calibri" w:eastAsia="Calibri" w:hAnsi="Calibri" w:cs="Arial"/>
                <w:bCs/>
                <w:sz w:val="16"/>
                <w:szCs w:val="16"/>
                <w:lang w:val="en-US"/>
              </w:rPr>
            </w:pPr>
            <w:r w:rsidRPr="00F95646">
              <w:rPr>
                <w:rFonts w:ascii="Calibri" w:eastAsia="Calibri" w:hAnsi="Calibri" w:cs="Arial"/>
                <w:bCs/>
                <w:color w:val="000000"/>
                <w:sz w:val="16"/>
                <w:szCs w:val="16"/>
              </w:rPr>
              <w:t>6</w:t>
            </w:r>
            <w:r w:rsidR="00091EE0">
              <w:rPr>
                <w:rFonts w:ascii="Calibri" w:eastAsia="Calibri" w:hAnsi="Calibri" w:cs="Arial"/>
                <w:bCs/>
                <w:color w:val="000000"/>
                <w:sz w:val="16"/>
                <w:szCs w:val="16"/>
              </w:rPr>
              <w:t>,</w:t>
            </w:r>
            <w:r w:rsidRPr="00F95646">
              <w:rPr>
                <w:rFonts w:ascii="Calibri" w:eastAsia="Calibri" w:hAnsi="Calibri" w:cs="Arial"/>
                <w:bCs/>
                <w:color w:val="000000"/>
                <w:sz w:val="16"/>
                <w:szCs w:val="16"/>
              </w:rPr>
              <w:t>941</w:t>
            </w:r>
            <w:r w:rsidR="00091EE0">
              <w:rPr>
                <w:rFonts w:ascii="Calibri" w:eastAsia="Calibri" w:hAnsi="Calibri" w:cs="Arial"/>
                <w:bCs/>
                <w:color w:val="000000"/>
                <w:sz w:val="16"/>
                <w:szCs w:val="16"/>
              </w:rPr>
              <w:t>,</w:t>
            </w:r>
            <w:r w:rsidRPr="00F95646">
              <w:rPr>
                <w:rFonts w:ascii="Calibri" w:eastAsia="Calibri" w:hAnsi="Calibri" w:cs="Arial"/>
                <w:bCs/>
                <w:color w:val="000000"/>
                <w:sz w:val="16"/>
                <w:szCs w:val="16"/>
              </w:rPr>
              <w:t>960</w:t>
            </w:r>
          </w:p>
        </w:tc>
        <w:tc>
          <w:tcPr>
            <w:tcW w:w="484" w:type="pct"/>
            <w:tcBorders>
              <w:top w:val="nil"/>
              <w:left w:val="nil"/>
              <w:bottom w:val="nil"/>
              <w:right w:val="nil"/>
            </w:tcBorders>
            <w:vAlign w:val="bottom"/>
          </w:tcPr>
          <w:p w14:paraId="7F06CFCA" w14:textId="3D8AC5F9" w:rsidR="00E3096A" w:rsidRPr="00537128" w:rsidDel="00D96E20" w:rsidRDefault="00E3096A" w:rsidP="00E3096A">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6</w:t>
            </w:r>
            <w:r w:rsidR="00091EE0">
              <w:rPr>
                <w:rFonts w:ascii="Calibri" w:eastAsia="Calibri" w:hAnsi="Calibri" w:cs="Arial"/>
                <w:bCs/>
                <w:color w:val="000000"/>
                <w:sz w:val="16"/>
                <w:szCs w:val="16"/>
              </w:rPr>
              <w:t>,</w:t>
            </w:r>
            <w:r w:rsidRPr="00F95646">
              <w:rPr>
                <w:rFonts w:ascii="Calibri" w:eastAsia="Calibri" w:hAnsi="Calibri" w:cs="Arial"/>
                <w:bCs/>
                <w:color w:val="000000"/>
                <w:sz w:val="16"/>
                <w:szCs w:val="16"/>
              </w:rPr>
              <w:t>826</w:t>
            </w:r>
            <w:r w:rsidR="00091EE0">
              <w:rPr>
                <w:rFonts w:ascii="Calibri" w:eastAsia="Calibri" w:hAnsi="Calibri" w:cs="Arial"/>
                <w:bCs/>
                <w:color w:val="000000"/>
                <w:sz w:val="16"/>
                <w:szCs w:val="16"/>
              </w:rPr>
              <w:t>,</w:t>
            </w:r>
            <w:r w:rsidRPr="00F95646">
              <w:rPr>
                <w:rFonts w:ascii="Calibri" w:eastAsia="Calibri" w:hAnsi="Calibri" w:cs="Arial"/>
                <w:bCs/>
                <w:color w:val="000000"/>
                <w:sz w:val="16"/>
                <w:szCs w:val="16"/>
              </w:rPr>
              <w:t>170</w:t>
            </w:r>
          </w:p>
        </w:tc>
      </w:tr>
      <w:tr w:rsidR="00E3096A" w:rsidRPr="00537128" w14:paraId="0E57A7FA" w14:textId="77777777" w:rsidTr="006A5067">
        <w:trPr>
          <w:trHeight w:val="309"/>
        </w:trPr>
        <w:tc>
          <w:tcPr>
            <w:tcW w:w="1122" w:type="pct"/>
            <w:vAlign w:val="bottom"/>
          </w:tcPr>
          <w:p w14:paraId="1878F8EF" w14:textId="77777777" w:rsidR="00E3096A" w:rsidRPr="00537128" w:rsidRDefault="00E3096A" w:rsidP="00E3096A">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Loans to other customers </w:t>
            </w:r>
          </w:p>
        </w:tc>
        <w:tc>
          <w:tcPr>
            <w:tcW w:w="481" w:type="pct"/>
            <w:tcBorders>
              <w:top w:val="nil"/>
              <w:left w:val="nil"/>
              <w:bottom w:val="nil"/>
              <w:right w:val="nil"/>
            </w:tcBorders>
            <w:vAlign w:val="bottom"/>
          </w:tcPr>
          <w:p w14:paraId="73F2AA02" w14:textId="5D1CA7AD" w:rsidR="00E3096A" w:rsidRPr="00537128" w:rsidRDefault="00E3096A" w:rsidP="00E3096A">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1</w:t>
            </w:r>
            <w:r w:rsidR="00091EE0">
              <w:rPr>
                <w:rFonts w:ascii="Calibri" w:eastAsia="Calibri" w:hAnsi="Calibri" w:cs="Arial"/>
                <w:bCs/>
                <w:color w:val="000000"/>
                <w:sz w:val="16"/>
                <w:szCs w:val="16"/>
              </w:rPr>
              <w:t>,</w:t>
            </w:r>
            <w:r w:rsidRPr="00F95646">
              <w:rPr>
                <w:rFonts w:ascii="Calibri" w:eastAsia="Calibri" w:hAnsi="Calibri" w:cs="Arial"/>
                <w:bCs/>
                <w:color w:val="000000"/>
                <w:sz w:val="16"/>
                <w:szCs w:val="16"/>
              </w:rPr>
              <w:t>344</w:t>
            </w:r>
            <w:r w:rsidR="00091EE0">
              <w:rPr>
                <w:rFonts w:ascii="Calibri" w:eastAsia="Calibri" w:hAnsi="Calibri" w:cs="Arial"/>
                <w:bCs/>
                <w:color w:val="000000"/>
                <w:sz w:val="16"/>
                <w:szCs w:val="16"/>
              </w:rPr>
              <w:t>,</w:t>
            </w:r>
            <w:r w:rsidRPr="00F95646">
              <w:rPr>
                <w:rFonts w:ascii="Calibri" w:eastAsia="Calibri" w:hAnsi="Calibri" w:cs="Arial"/>
                <w:bCs/>
                <w:color w:val="000000"/>
                <w:sz w:val="16"/>
                <w:szCs w:val="16"/>
              </w:rPr>
              <w:t>607</w:t>
            </w:r>
          </w:p>
        </w:tc>
        <w:tc>
          <w:tcPr>
            <w:tcW w:w="485" w:type="pct"/>
            <w:tcBorders>
              <w:top w:val="nil"/>
              <w:left w:val="nil"/>
              <w:bottom w:val="nil"/>
              <w:right w:val="nil"/>
            </w:tcBorders>
            <w:vAlign w:val="bottom"/>
          </w:tcPr>
          <w:p w14:paraId="3F710FFA" w14:textId="19A6EDDB" w:rsidR="00E3096A" w:rsidRPr="00537128" w:rsidRDefault="00E3096A" w:rsidP="00E3096A">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734</w:t>
            </w:r>
            <w:r w:rsidR="00091EE0">
              <w:rPr>
                <w:rFonts w:ascii="Calibri" w:eastAsia="Calibri" w:hAnsi="Calibri" w:cs="Arial"/>
                <w:bCs/>
                <w:color w:val="000000"/>
                <w:sz w:val="16"/>
                <w:szCs w:val="16"/>
              </w:rPr>
              <w:t>,</w:t>
            </w:r>
            <w:r w:rsidRPr="00F95646">
              <w:rPr>
                <w:rFonts w:ascii="Calibri" w:eastAsia="Calibri" w:hAnsi="Calibri" w:cs="Arial"/>
                <w:bCs/>
                <w:color w:val="000000"/>
                <w:sz w:val="16"/>
                <w:szCs w:val="16"/>
              </w:rPr>
              <w:t>541</w:t>
            </w:r>
          </w:p>
        </w:tc>
        <w:tc>
          <w:tcPr>
            <w:tcW w:w="485" w:type="pct"/>
            <w:tcBorders>
              <w:top w:val="nil"/>
              <w:left w:val="nil"/>
              <w:bottom w:val="nil"/>
              <w:right w:val="nil"/>
            </w:tcBorders>
            <w:vAlign w:val="bottom"/>
          </w:tcPr>
          <w:p w14:paraId="6F7ED065" w14:textId="76DFFCAB" w:rsidR="00E3096A" w:rsidRPr="00537128" w:rsidRDefault="00E3096A" w:rsidP="00E3096A">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1</w:t>
            </w:r>
            <w:r w:rsidR="00091EE0">
              <w:rPr>
                <w:rFonts w:ascii="Calibri" w:eastAsia="Calibri" w:hAnsi="Calibri" w:cs="Arial"/>
                <w:bCs/>
                <w:color w:val="000000"/>
                <w:sz w:val="16"/>
                <w:szCs w:val="16"/>
              </w:rPr>
              <w:t>,</w:t>
            </w:r>
            <w:r w:rsidRPr="00F95646">
              <w:rPr>
                <w:rFonts w:ascii="Calibri" w:eastAsia="Calibri" w:hAnsi="Calibri" w:cs="Arial"/>
                <w:bCs/>
                <w:color w:val="000000"/>
                <w:sz w:val="16"/>
                <w:szCs w:val="16"/>
              </w:rPr>
              <w:t>373</w:t>
            </w:r>
            <w:r w:rsidR="00091EE0">
              <w:rPr>
                <w:rFonts w:ascii="Calibri" w:eastAsia="Calibri" w:hAnsi="Calibri" w:cs="Arial"/>
                <w:bCs/>
                <w:color w:val="000000"/>
                <w:sz w:val="16"/>
                <w:szCs w:val="16"/>
              </w:rPr>
              <w:t>,</w:t>
            </w:r>
            <w:r w:rsidRPr="00F95646">
              <w:rPr>
                <w:rFonts w:ascii="Calibri" w:eastAsia="Calibri" w:hAnsi="Calibri" w:cs="Arial"/>
                <w:bCs/>
                <w:color w:val="000000"/>
                <w:sz w:val="16"/>
                <w:szCs w:val="16"/>
              </w:rPr>
              <w:t>881</w:t>
            </w:r>
          </w:p>
        </w:tc>
        <w:tc>
          <w:tcPr>
            <w:tcW w:w="493" w:type="pct"/>
            <w:tcBorders>
              <w:top w:val="nil"/>
              <w:left w:val="nil"/>
              <w:bottom w:val="nil"/>
              <w:right w:val="nil"/>
            </w:tcBorders>
            <w:vAlign w:val="bottom"/>
          </w:tcPr>
          <w:p w14:paraId="6F0DA614" w14:textId="6A184A9F" w:rsidR="00E3096A" w:rsidRPr="00537128" w:rsidRDefault="00E3096A" w:rsidP="00E3096A">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3</w:t>
            </w:r>
            <w:r w:rsidR="00091EE0">
              <w:rPr>
                <w:rFonts w:ascii="Calibri" w:eastAsia="Calibri" w:hAnsi="Calibri" w:cs="Arial"/>
                <w:bCs/>
                <w:color w:val="000000"/>
                <w:sz w:val="16"/>
                <w:szCs w:val="16"/>
              </w:rPr>
              <w:t>,</w:t>
            </w:r>
            <w:r w:rsidRPr="00F95646">
              <w:rPr>
                <w:rFonts w:ascii="Calibri" w:eastAsia="Calibri" w:hAnsi="Calibri" w:cs="Arial"/>
                <w:bCs/>
                <w:color w:val="000000"/>
                <w:sz w:val="16"/>
                <w:szCs w:val="16"/>
              </w:rPr>
              <w:t>175</w:t>
            </w:r>
            <w:r w:rsidR="00091EE0">
              <w:rPr>
                <w:rFonts w:ascii="Calibri" w:eastAsia="Calibri" w:hAnsi="Calibri" w:cs="Arial"/>
                <w:bCs/>
                <w:color w:val="000000"/>
                <w:sz w:val="16"/>
                <w:szCs w:val="16"/>
              </w:rPr>
              <w:t>,</w:t>
            </w:r>
            <w:r w:rsidRPr="00F95646">
              <w:rPr>
                <w:rFonts w:ascii="Calibri" w:eastAsia="Calibri" w:hAnsi="Calibri" w:cs="Arial"/>
                <w:bCs/>
                <w:color w:val="000000"/>
                <w:sz w:val="16"/>
                <w:szCs w:val="16"/>
              </w:rPr>
              <w:t>141</w:t>
            </w:r>
          </w:p>
        </w:tc>
        <w:tc>
          <w:tcPr>
            <w:tcW w:w="482" w:type="pct"/>
            <w:tcBorders>
              <w:top w:val="nil"/>
              <w:left w:val="nil"/>
              <w:bottom w:val="nil"/>
              <w:right w:val="nil"/>
            </w:tcBorders>
            <w:vAlign w:val="bottom"/>
          </w:tcPr>
          <w:p w14:paraId="79A942FA" w14:textId="7DEFC097" w:rsidR="00E3096A" w:rsidRPr="00537128" w:rsidRDefault="00E3096A" w:rsidP="00E3096A">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8</w:t>
            </w:r>
            <w:r w:rsidR="00091EE0">
              <w:rPr>
                <w:rFonts w:ascii="Calibri" w:eastAsia="Calibri" w:hAnsi="Calibri" w:cs="Arial"/>
                <w:bCs/>
                <w:color w:val="000000"/>
                <w:sz w:val="16"/>
                <w:szCs w:val="16"/>
              </w:rPr>
              <w:t>,</w:t>
            </w:r>
            <w:r w:rsidRPr="00F95646">
              <w:rPr>
                <w:rFonts w:ascii="Calibri" w:eastAsia="Calibri" w:hAnsi="Calibri" w:cs="Arial"/>
                <w:bCs/>
                <w:color w:val="000000"/>
                <w:sz w:val="16"/>
                <w:szCs w:val="16"/>
              </w:rPr>
              <w:t>921</w:t>
            </w:r>
            <w:r w:rsidR="00091EE0">
              <w:rPr>
                <w:rFonts w:ascii="Calibri" w:eastAsia="Calibri" w:hAnsi="Calibri" w:cs="Arial"/>
                <w:bCs/>
                <w:color w:val="000000"/>
                <w:sz w:val="16"/>
                <w:szCs w:val="16"/>
              </w:rPr>
              <w:t>,</w:t>
            </w:r>
            <w:r w:rsidRPr="00F95646">
              <w:rPr>
                <w:rFonts w:ascii="Calibri" w:eastAsia="Calibri" w:hAnsi="Calibri" w:cs="Arial"/>
                <w:bCs/>
                <w:color w:val="000000"/>
                <w:sz w:val="16"/>
                <w:szCs w:val="16"/>
              </w:rPr>
              <w:t>726</w:t>
            </w:r>
          </w:p>
        </w:tc>
        <w:tc>
          <w:tcPr>
            <w:tcW w:w="486" w:type="pct"/>
            <w:tcBorders>
              <w:top w:val="nil"/>
              <w:left w:val="nil"/>
              <w:bottom w:val="nil"/>
              <w:right w:val="nil"/>
            </w:tcBorders>
            <w:vAlign w:val="bottom"/>
          </w:tcPr>
          <w:p w14:paraId="6D7B5872" w14:textId="64571D70" w:rsidR="00E3096A" w:rsidRPr="00537128" w:rsidRDefault="00E3096A" w:rsidP="00E3096A">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176</w:t>
            </w:r>
            <w:r w:rsidR="00091EE0">
              <w:rPr>
                <w:rFonts w:ascii="Calibri" w:eastAsia="Calibri" w:hAnsi="Calibri" w:cs="Arial"/>
                <w:bCs/>
                <w:color w:val="000000"/>
                <w:sz w:val="16"/>
                <w:szCs w:val="16"/>
              </w:rPr>
              <w:t>,</w:t>
            </w:r>
            <w:r w:rsidRPr="00F95646">
              <w:rPr>
                <w:rFonts w:ascii="Calibri" w:eastAsia="Calibri" w:hAnsi="Calibri" w:cs="Arial"/>
                <w:bCs/>
                <w:color w:val="000000"/>
                <w:sz w:val="16"/>
                <w:szCs w:val="16"/>
              </w:rPr>
              <w:t>537</w:t>
            </w:r>
          </w:p>
        </w:tc>
        <w:tc>
          <w:tcPr>
            <w:tcW w:w="482" w:type="pct"/>
            <w:tcBorders>
              <w:top w:val="nil"/>
              <w:left w:val="nil"/>
              <w:bottom w:val="nil"/>
              <w:right w:val="nil"/>
            </w:tcBorders>
            <w:vAlign w:val="bottom"/>
          </w:tcPr>
          <w:p w14:paraId="2FFCEF59" w14:textId="46149AC4" w:rsidR="00E3096A" w:rsidRPr="00537128" w:rsidRDefault="00E3096A" w:rsidP="00E3096A">
            <w:pPr>
              <w:spacing w:after="0" w:line="280" w:lineRule="exact"/>
              <w:jc w:val="right"/>
              <w:rPr>
                <w:rFonts w:ascii="Calibri" w:eastAsia="Calibri" w:hAnsi="Calibri" w:cs="Arial"/>
                <w:bCs/>
                <w:sz w:val="16"/>
                <w:szCs w:val="16"/>
                <w:lang w:val="en-US"/>
              </w:rPr>
            </w:pPr>
            <w:r w:rsidRPr="00F95646">
              <w:rPr>
                <w:rFonts w:ascii="Calibri" w:eastAsia="Calibri" w:hAnsi="Calibri" w:cs="Arial"/>
                <w:bCs/>
                <w:color w:val="000000"/>
                <w:sz w:val="16"/>
                <w:szCs w:val="16"/>
              </w:rPr>
              <w:t>15</w:t>
            </w:r>
            <w:r w:rsidR="00091EE0">
              <w:rPr>
                <w:rFonts w:ascii="Calibri" w:eastAsia="Calibri" w:hAnsi="Calibri" w:cs="Arial"/>
                <w:bCs/>
                <w:color w:val="000000"/>
                <w:sz w:val="16"/>
                <w:szCs w:val="16"/>
              </w:rPr>
              <w:t>,</w:t>
            </w:r>
            <w:r w:rsidRPr="00F95646">
              <w:rPr>
                <w:rFonts w:ascii="Calibri" w:eastAsia="Calibri" w:hAnsi="Calibri" w:cs="Arial"/>
                <w:bCs/>
                <w:color w:val="000000"/>
                <w:sz w:val="16"/>
                <w:szCs w:val="16"/>
              </w:rPr>
              <w:t>726</w:t>
            </w:r>
            <w:r w:rsidR="00091EE0">
              <w:rPr>
                <w:rFonts w:ascii="Calibri" w:eastAsia="Calibri" w:hAnsi="Calibri" w:cs="Arial"/>
                <w:bCs/>
                <w:color w:val="000000"/>
                <w:sz w:val="16"/>
                <w:szCs w:val="16"/>
              </w:rPr>
              <w:t>,</w:t>
            </w:r>
            <w:r w:rsidRPr="00F95646">
              <w:rPr>
                <w:rFonts w:ascii="Calibri" w:eastAsia="Calibri" w:hAnsi="Calibri" w:cs="Arial"/>
                <w:bCs/>
                <w:color w:val="000000"/>
                <w:sz w:val="16"/>
                <w:szCs w:val="16"/>
              </w:rPr>
              <w:t>433</w:t>
            </w:r>
          </w:p>
        </w:tc>
        <w:tc>
          <w:tcPr>
            <w:tcW w:w="484" w:type="pct"/>
            <w:tcBorders>
              <w:top w:val="nil"/>
              <w:left w:val="nil"/>
              <w:bottom w:val="nil"/>
              <w:right w:val="nil"/>
            </w:tcBorders>
            <w:vAlign w:val="bottom"/>
          </w:tcPr>
          <w:p w14:paraId="1576EC65" w14:textId="4C3DDD10" w:rsidR="00E3096A" w:rsidRPr="00537128" w:rsidDel="00D96E20" w:rsidRDefault="00E3096A" w:rsidP="00E3096A">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14</w:t>
            </w:r>
            <w:r w:rsidR="00091EE0">
              <w:rPr>
                <w:rFonts w:ascii="Calibri" w:eastAsia="Calibri" w:hAnsi="Calibri" w:cs="Arial"/>
                <w:bCs/>
                <w:color w:val="000000"/>
                <w:sz w:val="16"/>
                <w:szCs w:val="16"/>
              </w:rPr>
              <w:t>,</w:t>
            </w:r>
            <w:r w:rsidRPr="00F95646">
              <w:rPr>
                <w:rFonts w:ascii="Calibri" w:eastAsia="Calibri" w:hAnsi="Calibri" w:cs="Arial"/>
                <w:bCs/>
                <w:color w:val="000000"/>
                <w:sz w:val="16"/>
                <w:szCs w:val="16"/>
              </w:rPr>
              <w:t>852</w:t>
            </w:r>
            <w:r w:rsidR="00091EE0">
              <w:rPr>
                <w:rFonts w:ascii="Calibri" w:eastAsia="Calibri" w:hAnsi="Calibri" w:cs="Arial"/>
                <w:bCs/>
                <w:color w:val="000000"/>
                <w:sz w:val="16"/>
                <w:szCs w:val="16"/>
              </w:rPr>
              <w:t>,</w:t>
            </w:r>
            <w:r w:rsidRPr="00F95646">
              <w:rPr>
                <w:rFonts w:ascii="Calibri" w:eastAsia="Calibri" w:hAnsi="Calibri" w:cs="Arial"/>
                <w:bCs/>
                <w:color w:val="000000"/>
                <w:sz w:val="16"/>
                <w:szCs w:val="16"/>
              </w:rPr>
              <w:t>450</w:t>
            </w:r>
          </w:p>
        </w:tc>
      </w:tr>
      <w:tr w:rsidR="00E3096A" w:rsidRPr="00537128" w14:paraId="7C89AB26" w14:textId="77777777" w:rsidTr="006A5067">
        <w:tc>
          <w:tcPr>
            <w:tcW w:w="1122" w:type="pct"/>
          </w:tcPr>
          <w:p w14:paraId="53D3C7A9" w14:textId="77777777" w:rsidR="00E3096A" w:rsidRPr="00537128" w:rsidRDefault="00E3096A" w:rsidP="00E3096A">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Times New Roman" w:hAnsi="Calibri" w:cs="Arial"/>
                <w:spacing w:val="-2"/>
                <w:sz w:val="16"/>
                <w:szCs w:val="16"/>
                <w:lang w:val="en-US"/>
              </w:rPr>
              <w:t>Financial assets at fair value through profit or loss</w:t>
            </w:r>
          </w:p>
        </w:tc>
        <w:tc>
          <w:tcPr>
            <w:tcW w:w="481" w:type="pct"/>
            <w:vAlign w:val="bottom"/>
          </w:tcPr>
          <w:p w14:paraId="7E9F6DD1" w14:textId="02CC8D97" w:rsidR="00E3096A" w:rsidRPr="00537128" w:rsidRDefault="00E3096A" w:rsidP="00E3096A">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5" w:type="pct"/>
            <w:vAlign w:val="bottom"/>
          </w:tcPr>
          <w:p w14:paraId="4544D972" w14:textId="7C609AAA" w:rsidR="00E3096A" w:rsidRPr="00537128" w:rsidRDefault="00E3096A" w:rsidP="00E3096A">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5" w:type="pct"/>
            <w:vAlign w:val="bottom"/>
          </w:tcPr>
          <w:p w14:paraId="7D56C141" w14:textId="211A7089" w:rsidR="00E3096A" w:rsidRPr="00537128" w:rsidRDefault="00E3096A" w:rsidP="00E3096A">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93" w:type="pct"/>
            <w:vAlign w:val="bottom"/>
          </w:tcPr>
          <w:p w14:paraId="0440C876" w14:textId="0E5BFD3B" w:rsidR="00E3096A" w:rsidRPr="00537128" w:rsidRDefault="00E3096A" w:rsidP="00E3096A">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2" w:type="pct"/>
            <w:vAlign w:val="bottom"/>
          </w:tcPr>
          <w:p w14:paraId="4457156F" w14:textId="20E767C5" w:rsidR="00E3096A" w:rsidRPr="00537128" w:rsidRDefault="00E3096A" w:rsidP="00E3096A">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25</w:t>
            </w:r>
            <w:r w:rsidR="00091EE0">
              <w:rPr>
                <w:rFonts w:ascii="Calibri" w:eastAsia="Calibri" w:hAnsi="Calibri" w:cs="Arial"/>
                <w:bCs/>
                <w:color w:val="000000"/>
                <w:sz w:val="16"/>
                <w:szCs w:val="16"/>
              </w:rPr>
              <w:t>,</w:t>
            </w:r>
            <w:r w:rsidRPr="00F95646">
              <w:rPr>
                <w:rFonts w:ascii="Calibri" w:eastAsia="Calibri" w:hAnsi="Calibri" w:cs="Arial"/>
                <w:bCs/>
                <w:color w:val="000000"/>
                <w:sz w:val="16"/>
                <w:szCs w:val="16"/>
              </w:rPr>
              <w:t>652</w:t>
            </w:r>
          </w:p>
        </w:tc>
        <w:tc>
          <w:tcPr>
            <w:tcW w:w="486" w:type="pct"/>
            <w:vAlign w:val="bottom"/>
          </w:tcPr>
          <w:p w14:paraId="5BDE1080" w14:textId="46E8E563" w:rsidR="00E3096A" w:rsidRPr="00537128" w:rsidRDefault="00E3096A" w:rsidP="00E3096A">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103</w:t>
            </w:r>
            <w:r w:rsidR="00091EE0">
              <w:rPr>
                <w:rFonts w:ascii="Calibri" w:eastAsia="Calibri" w:hAnsi="Calibri" w:cs="Arial"/>
                <w:bCs/>
                <w:color w:val="000000"/>
                <w:sz w:val="16"/>
                <w:szCs w:val="16"/>
              </w:rPr>
              <w:t>,</w:t>
            </w:r>
            <w:r w:rsidRPr="00F95646">
              <w:rPr>
                <w:rFonts w:ascii="Calibri" w:eastAsia="Calibri" w:hAnsi="Calibri" w:cs="Arial"/>
                <w:bCs/>
                <w:color w:val="000000"/>
                <w:sz w:val="16"/>
                <w:szCs w:val="16"/>
              </w:rPr>
              <w:t>892</w:t>
            </w:r>
          </w:p>
        </w:tc>
        <w:tc>
          <w:tcPr>
            <w:tcW w:w="482" w:type="pct"/>
            <w:vAlign w:val="bottom"/>
          </w:tcPr>
          <w:p w14:paraId="712BDBC8" w14:textId="0A3AC3D6" w:rsidR="00E3096A" w:rsidRPr="00537128" w:rsidRDefault="00E3096A" w:rsidP="00E3096A">
            <w:pPr>
              <w:spacing w:after="0" w:line="280" w:lineRule="exact"/>
              <w:jc w:val="right"/>
              <w:rPr>
                <w:rFonts w:ascii="Calibri" w:eastAsia="Calibri" w:hAnsi="Calibri" w:cs="Arial"/>
                <w:bCs/>
                <w:sz w:val="16"/>
                <w:szCs w:val="16"/>
                <w:lang w:val="en-US"/>
              </w:rPr>
            </w:pPr>
            <w:r w:rsidRPr="00F95646">
              <w:rPr>
                <w:rFonts w:ascii="Calibri" w:eastAsia="Calibri" w:hAnsi="Calibri" w:cs="Arial"/>
                <w:bCs/>
                <w:color w:val="000000"/>
                <w:sz w:val="16"/>
                <w:szCs w:val="16"/>
              </w:rPr>
              <w:t>129</w:t>
            </w:r>
            <w:r w:rsidR="00091EE0">
              <w:rPr>
                <w:rFonts w:ascii="Calibri" w:eastAsia="Calibri" w:hAnsi="Calibri" w:cs="Arial"/>
                <w:bCs/>
                <w:color w:val="000000"/>
                <w:sz w:val="16"/>
                <w:szCs w:val="16"/>
              </w:rPr>
              <w:t>,</w:t>
            </w:r>
            <w:r w:rsidRPr="00F95646">
              <w:rPr>
                <w:rFonts w:ascii="Calibri" w:eastAsia="Calibri" w:hAnsi="Calibri" w:cs="Arial"/>
                <w:bCs/>
                <w:color w:val="000000"/>
                <w:sz w:val="16"/>
                <w:szCs w:val="16"/>
              </w:rPr>
              <w:t>544</w:t>
            </w:r>
          </w:p>
        </w:tc>
        <w:tc>
          <w:tcPr>
            <w:tcW w:w="484" w:type="pct"/>
            <w:vAlign w:val="bottom"/>
          </w:tcPr>
          <w:p w14:paraId="3A9B8D54" w14:textId="09574380" w:rsidR="00E3096A" w:rsidRPr="00537128" w:rsidDel="00D96E20" w:rsidRDefault="00E3096A" w:rsidP="00E3096A">
            <w:pPr>
              <w:spacing w:after="0" w:line="280" w:lineRule="exact"/>
              <w:jc w:val="right"/>
              <w:rPr>
                <w:rFonts w:ascii="Calibri" w:eastAsia="Calibri" w:hAnsi="Calibri" w:cs="Arial"/>
                <w:sz w:val="16"/>
                <w:szCs w:val="16"/>
                <w:lang w:val="en-US"/>
              </w:rPr>
            </w:pPr>
            <w:r w:rsidRPr="00F95646">
              <w:rPr>
                <w:rFonts w:ascii="Calibri" w:eastAsia="Calibri" w:hAnsi="Calibri" w:cs="Arial"/>
                <w:bCs/>
                <w:color w:val="000000"/>
                <w:sz w:val="16"/>
                <w:szCs w:val="16"/>
              </w:rPr>
              <w:t>25</w:t>
            </w:r>
            <w:r w:rsidR="00091EE0">
              <w:rPr>
                <w:rFonts w:ascii="Calibri" w:eastAsia="Calibri" w:hAnsi="Calibri" w:cs="Arial"/>
                <w:bCs/>
                <w:color w:val="000000"/>
                <w:sz w:val="16"/>
                <w:szCs w:val="16"/>
              </w:rPr>
              <w:t>,</w:t>
            </w:r>
            <w:r w:rsidRPr="00F95646">
              <w:rPr>
                <w:rFonts w:ascii="Calibri" w:eastAsia="Calibri" w:hAnsi="Calibri" w:cs="Arial"/>
                <w:bCs/>
                <w:color w:val="000000"/>
                <w:sz w:val="16"/>
                <w:szCs w:val="16"/>
              </w:rPr>
              <w:t>652</w:t>
            </w:r>
          </w:p>
        </w:tc>
      </w:tr>
      <w:tr w:rsidR="00E3096A" w:rsidRPr="00537128" w14:paraId="5DD388CF" w14:textId="77777777" w:rsidTr="006A5067">
        <w:trPr>
          <w:trHeight w:val="519"/>
        </w:trPr>
        <w:tc>
          <w:tcPr>
            <w:tcW w:w="1122" w:type="pct"/>
          </w:tcPr>
          <w:p w14:paraId="4877D6A0" w14:textId="77777777" w:rsidR="00E3096A" w:rsidRPr="00537128" w:rsidDel="0082071C" w:rsidRDefault="00E3096A" w:rsidP="00E3096A">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Times New Roman" w:hAnsi="Calibri" w:cs="Arial"/>
                <w:spacing w:val="-2"/>
                <w:sz w:val="16"/>
                <w:szCs w:val="16"/>
                <w:lang w:val="en-US"/>
              </w:rPr>
              <w:t>Financial assets at fair value through other comprehensive income</w:t>
            </w:r>
          </w:p>
        </w:tc>
        <w:tc>
          <w:tcPr>
            <w:tcW w:w="481" w:type="pct"/>
            <w:vAlign w:val="bottom"/>
          </w:tcPr>
          <w:p w14:paraId="3871A1D9" w14:textId="762662D7" w:rsidR="00E3096A" w:rsidRPr="00537128" w:rsidDel="008D408B" w:rsidRDefault="00E3096A" w:rsidP="00E3096A">
            <w:pPr>
              <w:spacing w:after="0" w:line="280" w:lineRule="exact"/>
              <w:jc w:val="right"/>
              <w:rPr>
                <w:rFonts w:ascii="Calibri" w:eastAsia="Calibri" w:hAnsi="Calibri" w:cs="Arial"/>
                <w:sz w:val="16"/>
                <w:szCs w:val="16"/>
                <w:lang w:val="en-US"/>
              </w:rPr>
            </w:pPr>
            <w:r w:rsidRPr="00D60FDE">
              <w:rPr>
                <w:rFonts w:ascii="Calibri" w:eastAsia="Calibri" w:hAnsi="Calibri" w:cs="Arial"/>
                <w:bCs/>
                <w:color w:val="000000"/>
                <w:sz w:val="16"/>
                <w:szCs w:val="16"/>
              </w:rPr>
              <w:t>3</w:t>
            </w:r>
            <w:r w:rsidR="00091EE0">
              <w:rPr>
                <w:rFonts w:ascii="Calibri" w:eastAsia="Calibri" w:hAnsi="Calibri" w:cs="Arial"/>
                <w:bCs/>
                <w:color w:val="000000"/>
                <w:sz w:val="16"/>
                <w:szCs w:val="16"/>
              </w:rPr>
              <w:t>,</w:t>
            </w:r>
            <w:r w:rsidRPr="00D60FDE">
              <w:rPr>
                <w:rFonts w:ascii="Calibri" w:eastAsia="Calibri" w:hAnsi="Calibri" w:cs="Arial"/>
                <w:bCs/>
                <w:color w:val="000000"/>
                <w:sz w:val="16"/>
                <w:szCs w:val="16"/>
              </w:rPr>
              <w:t>140</w:t>
            </w:r>
            <w:r w:rsidR="00091EE0">
              <w:rPr>
                <w:rFonts w:ascii="Calibri" w:eastAsia="Calibri" w:hAnsi="Calibri" w:cs="Arial"/>
                <w:bCs/>
                <w:color w:val="000000"/>
                <w:sz w:val="16"/>
                <w:szCs w:val="16"/>
              </w:rPr>
              <w:t>,</w:t>
            </w:r>
            <w:r w:rsidRPr="00D60FDE">
              <w:rPr>
                <w:rFonts w:ascii="Calibri" w:eastAsia="Calibri" w:hAnsi="Calibri" w:cs="Arial"/>
                <w:bCs/>
                <w:color w:val="000000"/>
                <w:sz w:val="16"/>
                <w:szCs w:val="16"/>
              </w:rPr>
              <w:t>550</w:t>
            </w:r>
          </w:p>
        </w:tc>
        <w:tc>
          <w:tcPr>
            <w:tcW w:w="485" w:type="pct"/>
            <w:vAlign w:val="bottom"/>
          </w:tcPr>
          <w:p w14:paraId="7A5AE6FB" w14:textId="146BA6C0" w:rsidR="00E3096A" w:rsidRPr="00537128" w:rsidDel="008D408B" w:rsidRDefault="00E3096A" w:rsidP="00E3096A">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5" w:type="pct"/>
            <w:vAlign w:val="bottom"/>
          </w:tcPr>
          <w:p w14:paraId="0C5C33A2" w14:textId="00E8BF5D" w:rsidR="00E3096A" w:rsidRPr="00537128" w:rsidDel="008D408B" w:rsidRDefault="00E3096A" w:rsidP="00E3096A">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93" w:type="pct"/>
            <w:vAlign w:val="bottom"/>
          </w:tcPr>
          <w:p w14:paraId="4835787C" w14:textId="7C01FB51" w:rsidR="00E3096A" w:rsidRPr="00537128" w:rsidDel="008D408B" w:rsidRDefault="00E3096A" w:rsidP="00E3096A">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2" w:type="pct"/>
            <w:vAlign w:val="bottom"/>
          </w:tcPr>
          <w:p w14:paraId="465C1473" w14:textId="73135CE4" w:rsidR="00E3096A" w:rsidRPr="00537128" w:rsidDel="008D408B" w:rsidRDefault="00E3096A" w:rsidP="00E3096A">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6" w:type="pct"/>
            <w:vAlign w:val="bottom"/>
          </w:tcPr>
          <w:p w14:paraId="55894CBA" w14:textId="68AF19E4" w:rsidR="00E3096A" w:rsidRPr="00537128" w:rsidDel="008D408B" w:rsidRDefault="00E3096A" w:rsidP="00E3096A">
            <w:pPr>
              <w:spacing w:after="0" w:line="280" w:lineRule="exact"/>
              <w:jc w:val="right"/>
              <w:rPr>
                <w:rFonts w:ascii="Calibri" w:eastAsia="Calibri" w:hAnsi="Calibri" w:cs="Arial"/>
                <w:sz w:val="16"/>
                <w:szCs w:val="16"/>
                <w:lang w:val="en-US"/>
              </w:rPr>
            </w:pPr>
            <w:r w:rsidRPr="00D60FDE">
              <w:rPr>
                <w:rFonts w:ascii="Calibri" w:eastAsia="Calibri" w:hAnsi="Calibri" w:cs="Arial"/>
                <w:bCs/>
                <w:color w:val="000000"/>
                <w:sz w:val="16"/>
                <w:szCs w:val="16"/>
              </w:rPr>
              <w:t>55</w:t>
            </w:r>
            <w:r w:rsidR="00091EE0">
              <w:rPr>
                <w:rFonts w:ascii="Calibri" w:eastAsia="Calibri" w:hAnsi="Calibri" w:cs="Arial"/>
                <w:bCs/>
                <w:color w:val="000000"/>
                <w:sz w:val="16"/>
                <w:szCs w:val="16"/>
              </w:rPr>
              <w:t>,</w:t>
            </w:r>
            <w:r w:rsidRPr="00D60FDE">
              <w:rPr>
                <w:rFonts w:ascii="Calibri" w:eastAsia="Calibri" w:hAnsi="Calibri" w:cs="Arial"/>
                <w:bCs/>
                <w:color w:val="000000"/>
                <w:sz w:val="16"/>
                <w:szCs w:val="16"/>
              </w:rPr>
              <w:t>310</w:t>
            </w:r>
          </w:p>
        </w:tc>
        <w:tc>
          <w:tcPr>
            <w:tcW w:w="482" w:type="pct"/>
            <w:vAlign w:val="bottom"/>
          </w:tcPr>
          <w:p w14:paraId="0F516A51" w14:textId="22217537" w:rsidR="00E3096A" w:rsidRPr="00537128" w:rsidDel="008D408B" w:rsidRDefault="00E3096A" w:rsidP="00E3096A">
            <w:pPr>
              <w:spacing w:after="0" w:line="280" w:lineRule="exact"/>
              <w:jc w:val="right"/>
              <w:rPr>
                <w:rFonts w:ascii="Calibri" w:eastAsia="Calibri" w:hAnsi="Calibri" w:cs="Arial"/>
                <w:sz w:val="16"/>
                <w:szCs w:val="16"/>
                <w:lang w:val="en-US"/>
              </w:rPr>
            </w:pPr>
            <w:r w:rsidRPr="00D60FDE">
              <w:rPr>
                <w:rFonts w:ascii="Calibri" w:eastAsia="Calibri" w:hAnsi="Calibri" w:cs="Arial"/>
                <w:bCs/>
                <w:color w:val="000000"/>
                <w:sz w:val="16"/>
                <w:szCs w:val="16"/>
              </w:rPr>
              <w:t>3</w:t>
            </w:r>
            <w:r w:rsidR="00091EE0">
              <w:rPr>
                <w:rFonts w:ascii="Calibri" w:eastAsia="Calibri" w:hAnsi="Calibri" w:cs="Arial"/>
                <w:bCs/>
                <w:color w:val="000000"/>
                <w:sz w:val="16"/>
                <w:szCs w:val="16"/>
              </w:rPr>
              <w:t>,</w:t>
            </w:r>
            <w:r w:rsidRPr="00D60FDE">
              <w:rPr>
                <w:rFonts w:ascii="Calibri" w:eastAsia="Calibri" w:hAnsi="Calibri" w:cs="Arial"/>
                <w:bCs/>
                <w:color w:val="000000"/>
                <w:sz w:val="16"/>
                <w:szCs w:val="16"/>
              </w:rPr>
              <w:t>195</w:t>
            </w:r>
            <w:r w:rsidR="00091EE0">
              <w:rPr>
                <w:rFonts w:ascii="Calibri" w:eastAsia="Calibri" w:hAnsi="Calibri" w:cs="Arial"/>
                <w:bCs/>
                <w:color w:val="000000"/>
                <w:sz w:val="16"/>
                <w:szCs w:val="16"/>
              </w:rPr>
              <w:t>,</w:t>
            </w:r>
            <w:r w:rsidRPr="00D60FDE">
              <w:rPr>
                <w:rFonts w:ascii="Calibri" w:eastAsia="Calibri" w:hAnsi="Calibri" w:cs="Arial"/>
                <w:bCs/>
                <w:color w:val="000000"/>
                <w:sz w:val="16"/>
                <w:szCs w:val="16"/>
              </w:rPr>
              <w:t>860</w:t>
            </w:r>
          </w:p>
        </w:tc>
        <w:tc>
          <w:tcPr>
            <w:tcW w:w="484" w:type="pct"/>
            <w:vAlign w:val="bottom"/>
          </w:tcPr>
          <w:p w14:paraId="41686ABC" w14:textId="53D7119E" w:rsidR="00E3096A" w:rsidRPr="00537128" w:rsidDel="00D96E20" w:rsidRDefault="00E3096A" w:rsidP="00E3096A">
            <w:pPr>
              <w:spacing w:after="0" w:line="280" w:lineRule="exact"/>
              <w:jc w:val="right"/>
              <w:rPr>
                <w:rFonts w:ascii="Calibri" w:eastAsia="Calibri" w:hAnsi="Calibri" w:cs="Arial"/>
                <w:sz w:val="16"/>
                <w:szCs w:val="16"/>
                <w:lang w:val="en-US"/>
              </w:rPr>
            </w:pPr>
            <w:r w:rsidRPr="00D60FDE">
              <w:rPr>
                <w:rFonts w:ascii="Calibri" w:eastAsia="Calibri" w:hAnsi="Calibri" w:cs="Arial"/>
                <w:bCs/>
                <w:color w:val="000000"/>
                <w:sz w:val="16"/>
                <w:szCs w:val="16"/>
              </w:rPr>
              <w:t>3</w:t>
            </w:r>
            <w:r w:rsidR="00091EE0">
              <w:rPr>
                <w:rFonts w:ascii="Calibri" w:eastAsia="Calibri" w:hAnsi="Calibri" w:cs="Arial"/>
                <w:bCs/>
                <w:color w:val="000000"/>
                <w:sz w:val="16"/>
                <w:szCs w:val="16"/>
              </w:rPr>
              <w:t>,</w:t>
            </w:r>
            <w:r w:rsidRPr="00D60FDE">
              <w:rPr>
                <w:rFonts w:ascii="Calibri" w:eastAsia="Calibri" w:hAnsi="Calibri" w:cs="Arial"/>
                <w:bCs/>
                <w:color w:val="000000"/>
                <w:sz w:val="16"/>
                <w:szCs w:val="16"/>
              </w:rPr>
              <w:t>140</w:t>
            </w:r>
            <w:r w:rsidR="00091EE0">
              <w:rPr>
                <w:rFonts w:ascii="Calibri" w:eastAsia="Calibri" w:hAnsi="Calibri" w:cs="Arial"/>
                <w:bCs/>
                <w:color w:val="000000"/>
                <w:sz w:val="16"/>
                <w:szCs w:val="16"/>
              </w:rPr>
              <w:t>,</w:t>
            </w:r>
            <w:r w:rsidRPr="00D60FDE">
              <w:rPr>
                <w:rFonts w:ascii="Calibri" w:eastAsia="Calibri" w:hAnsi="Calibri" w:cs="Arial"/>
                <w:bCs/>
                <w:color w:val="000000"/>
                <w:sz w:val="16"/>
                <w:szCs w:val="16"/>
              </w:rPr>
              <w:t>550</w:t>
            </w:r>
          </w:p>
        </w:tc>
      </w:tr>
      <w:tr w:rsidR="00E3096A" w:rsidRPr="00537128" w14:paraId="63D6529D" w14:textId="77777777" w:rsidTr="006A5067">
        <w:tc>
          <w:tcPr>
            <w:tcW w:w="1122" w:type="pct"/>
            <w:vAlign w:val="bottom"/>
          </w:tcPr>
          <w:p w14:paraId="1734573A" w14:textId="77777777" w:rsidR="00E3096A" w:rsidRPr="00537128" w:rsidRDefault="00E3096A" w:rsidP="00E3096A">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Other assets </w:t>
            </w:r>
          </w:p>
        </w:tc>
        <w:tc>
          <w:tcPr>
            <w:tcW w:w="481" w:type="pct"/>
            <w:tcBorders>
              <w:bottom w:val="single" w:sz="4" w:space="0" w:color="auto"/>
            </w:tcBorders>
            <w:vAlign w:val="bottom"/>
          </w:tcPr>
          <w:p w14:paraId="4E03005F" w14:textId="0C3B75D0" w:rsidR="00E3096A" w:rsidRPr="00537128" w:rsidRDefault="00E3096A" w:rsidP="00E3096A">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5" w:type="pct"/>
            <w:tcBorders>
              <w:bottom w:val="single" w:sz="4" w:space="0" w:color="auto"/>
            </w:tcBorders>
            <w:vAlign w:val="bottom"/>
          </w:tcPr>
          <w:p w14:paraId="64320E1B" w14:textId="60235D57" w:rsidR="00E3096A" w:rsidRPr="00537128" w:rsidRDefault="00E3096A" w:rsidP="00E3096A">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5" w:type="pct"/>
            <w:tcBorders>
              <w:bottom w:val="single" w:sz="4" w:space="0" w:color="auto"/>
            </w:tcBorders>
            <w:vAlign w:val="bottom"/>
          </w:tcPr>
          <w:p w14:paraId="6F541A97" w14:textId="47C0B5F6" w:rsidR="00E3096A" w:rsidRPr="00537128" w:rsidRDefault="00E3096A" w:rsidP="00E3096A">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93" w:type="pct"/>
            <w:tcBorders>
              <w:bottom w:val="single" w:sz="4" w:space="0" w:color="auto"/>
            </w:tcBorders>
            <w:vAlign w:val="bottom"/>
          </w:tcPr>
          <w:p w14:paraId="088D0B92" w14:textId="471172A9" w:rsidR="00E3096A" w:rsidRPr="00537128" w:rsidRDefault="00E3096A" w:rsidP="00E3096A">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2" w:type="pct"/>
            <w:tcBorders>
              <w:bottom w:val="single" w:sz="4" w:space="0" w:color="auto"/>
            </w:tcBorders>
            <w:vAlign w:val="bottom"/>
          </w:tcPr>
          <w:p w14:paraId="26018521" w14:textId="0368A480" w:rsidR="00E3096A" w:rsidRPr="00537128" w:rsidRDefault="00E3096A" w:rsidP="00E3096A">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6" w:type="pct"/>
            <w:tcBorders>
              <w:bottom w:val="single" w:sz="4" w:space="0" w:color="auto"/>
            </w:tcBorders>
            <w:vAlign w:val="bottom"/>
          </w:tcPr>
          <w:p w14:paraId="235D1975" w14:textId="2EEDCCE7" w:rsidR="00E3096A" w:rsidRPr="00537128" w:rsidRDefault="00E3096A" w:rsidP="00E3096A">
            <w:pPr>
              <w:spacing w:after="0" w:line="280" w:lineRule="exact"/>
              <w:jc w:val="right"/>
              <w:rPr>
                <w:rFonts w:ascii="Calibri" w:eastAsia="Calibri" w:hAnsi="Calibri" w:cs="Arial"/>
                <w:sz w:val="16"/>
                <w:szCs w:val="16"/>
                <w:lang w:val="en-US"/>
              </w:rPr>
            </w:pPr>
            <w:r w:rsidRPr="00D60FDE">
              <w:rPr>
                <w:rFonts w:ascii="Calibri" w:eastAsia="Calibri" w:hAnsi="Calibri" w:cs="Arial"/>
                <w:bCs/>
                <w:color w:val="000000"/>
                <w:sz w:val="16"/>
                <w:szCs w:val="16"/>
              </w:rPr>
              <w:t>38</w:t>
            </w:r>
            <w:r w:rsidR="00091EE0">
              <w:rPr>
                <w:rFonts w:ascii="Calibri" w:eastAsia="Calibri" w:hAnsi="Calibri" w:cs="Arial"/>
                <w:bCs/>
                <w:color w:val="000000"/>
                <w:sz w:val="16"/>
                <w:szCs w:val="16"/>
              </w:rPr>
              <w:t>,</w:t>
            </w:r>
            <w:r w:rsidRPr="00D60FDE">
              <w:rPr>
                <w:rFonts w:ascii="Calibri" w:eastAsia="Calibri" w:hAnsi="Calibri" w:cs="Arial"/>
                <w:bCs/>
                <w:color w:val="000000"/>
                <w:sz w:val="16"/>
                <w:szCs w:val="16"/>
              </w:rPr>
              <w:t>957</w:t>
            </w:r>
          </w:p>
        </w:tc>
        <w:tc>
          <w:tcPr>
            <w:tcW w:w="482" w:type="pct"/>
            <w:tcBorders>
              <w:bottom w:val="single" w:sz="4" w:space="0" w:color="auto"/>
            </w:tcBorders>
            <w:vAlign w:val="bottom"/>
          </w:tcPr>
          <w:p w14:paraId="45A66882" w14:textId="1F137CD0" w:rsidR="00E3096A" w:rsidRPr="00537128" w:rsidRDefault="00E3096A" w:rsidP="00E3096A">
            <w:pPr>
              <w:spacing w:after="0" w:line="280" w:lineRule="exact"/>
              <w:jc w:val="right"/>
              <w:rPr>
                <w:rFonts w:ascii="Calibri" w:eastAsia="Calibri" w:hAnsi="Calibri" w:cs="Arial"/>
                <w:bCs/>
                <w:sz w:val="16"/>
                <w:szCs w:val="16"/>
                <w:lang w:val="en-US"/>
              </w:rPr>
            </w:pPr>
            <w:r w:rsidRPr="00D60FDE">
              <w:rPr>
                <w:rFonts w:ascii="Calibri" w:eastAsia="Calibri" w:hAnsi="Calibri" w:cs="Arial"/>
                <w:bCs/>
                <w:color w:val="000000"/>
                <w:sz w:val="16"/>
                <w:szCs w:val="16"/>
              </w:rPr>
              <w:t>38</w:t>
            </w:r>
            <w:r w:rsidR="00091EE0">
              <w:rPr>
                <w:rFonts w:ascii="Calibri" w:eastAsia="Calibri" w:hAnsi="Calibri" w:cs="Arial"/>
                <w:bCs/>
                <w:color w:val="000000"/>
                <w:sz w:val="16"/>
                <w:szCs w:val="16"/>
              </w:rPr>
              <w:t>,</w:t>
            </w:r>
            <w:r w:rsidRPr="00D60FDE">
              <w:rPr>
                <w:rFonts w:ascii="Calibri" w:eastAsia="Calibri" w:hAnsi="Calibri" w:cs="Arial"/>
                <w:bCs/>
                <w:color w:val="000000"/>
                <w:sz w:val="16"/>
                <w:szCs w:val="16"/>
              </w:rPr>
              <w:t>957</w:t>
            </w:r>
          </w:p>
        </w:tc>
        <w:tc>
          <w:tcPr>
            <w:tcW w:w="484" w:type="pct"/>
            <w:tcBorders>
              <w:bottom w:val="single" w:sz="4" w:space="0" w:color="auto"/>
            </w:tcBorders>
            <w:vAlign w:val="bottom"/>
          </w:tcPr>
          <w:p w14:paraId="1C041640" w14:textId="5B9683A9" w:rsidR="00E3096A" w:rsidRPr="00537128" w:rsidDel="00D96E20" w:rsidRDefault="00E3096A" w:rsidP="00E3096A">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r>
      <w:tr w:rsidR="00E3096A" w:rsidRPr="00537128" w14:paraId="117991F1" w14:textId="77777777" w:rsidTr="006A5067">
        <w:trPr>
          <w:trHeight w:hRule="exact" w:val="407"/>
        </w:trPr>
        <w:tc>
          <w:tcPr>
            <w:tcW w:w="1122" w:type="pct"/>
            <w:vAlign w:val="bottom"/>
          </w:tcPr>
          <w:p w14:paraId="302C482C" w14:textId="77777777" w:rsidR="00E3096A" w:rsidRPr="00537128" w:rsidRDefault="00E3096A" w:rsidP="00E3096A">
            <w:pPr>
              <w:tabs>
                <w:tab w:val="right" w:pos="1202"/>
              </w:tabs>
              <w:spacing w:after="0" w:line="320" w:lineRule="exact"/>
              <w:outlineLvl w:val="0"/>
              <w:rPr>
                <w:rFonts w:ascii="Calibri" w:eastAsia="Times New Roman" w:hAnsi="Calibri" w:cs="Arial"/>
                <w:b/>
                <w:bCs/>
                <w:sz w:val="16"/>
                <w:szCs w:val="16"/>
                <w:lang w:val="en-US"/>
              </w:rPr>
            </w:pPr>
            <w:bookmarkStart w:id="1029" w:name="_Toc4062749"/>
            <w:r w:rsidRPr="00537128">
              <w:rPr>
                <w:rFonts w:ascii="Calibri" w:eastAsia="Times New Roman" w:hAnsi="Calibri" w:cs="Arial"/>
                <w:b/>
                <w:bCs/>
                <w:sz w:val="16"/>
                <w:szCs w:val="16"/>
                <w:lang w:val="en-US"/>
              </w:rPr>
              <w:t>Total assets</w:t>
            </w:r>
            <w:bookmarkEnd w:id="1029"/>
          </w:p>
        </w:tc>
        <w:tc>
          <w:tcPr>
            <w:tcW w:w="481" w:type="pct"/>
            <w:tcBorders>
              <w:top w:val="single" w:sz="4" w:space="0" w:color="auto"/>
              <w:left w:val="nil"/>
              <w:bottom w:val="single" w:sz="8" w:space="0" w:color="auto"/>
              <w:right w:val="nil"/>
            </w:tcBorders>
            <w:vAlign w:val="bottom"/>
          </w:tcPr>
          <w:p w14:paraId="2DD9927B" w14:textId="40497BF0" w:rsidR="00E3096A" w:rsidRPr="00537128" w:rsidRDefault="00E3096A" w:rsidP="00E3096A">
            <w:pPr>
              <w:spacing w:after="0" w:line="320" w:lineRule="exact"/>
              <w:jc w:val="right"/>
              <w:rPr>
                <w:rFonts w:ascii="Calibri" w:eastAsia="Times New Roman" w:hAnsi="Calibri" w:cs="Calibri"/>
                <w:b/>
                <w:bCs/>
                <w:color w:val="000000"/>
                <w:sz w:val="16"/>
                <w:szCs w:val="16"/>
                <w:lang w:val="en-US"/>
              </w:rPr>
            </w:pPr>
            <w:r w:rsidRPr="00D60FDE">
              <w:rPr>
                <w:rFonts w:ascii="Calibri" w:eastAsia="Calibri" w:hAnsi="Calibri" w:cs="Arial"/>
                <w:b/>
                <w:color w:val="000000"/>
                <w:sz w:val="16"/>
                <w:szCs w:val="16"/>
              </w:rPr>
              <w:t>4</w:t>
            </w:r>
            <w:r w:rsidR="00091EE0">
              <w:rPr>
                <w:rFonts w:ascii="Calibri" w:eastAsia="Calibri" w:hAnsi="Calibri" w:cs="Arial"/>
                <w:b/>
                <w:color w:val="000000"/>
                <w:sz w:val="16"/>
                <w:szCs w:val="16"/>
              </w:rPr>
              <w:t>,</w:t>
            </w:r>
            <w:r w:rsidRPr="00D60FDE">
              <w:rPr>
                <w:rFonts w:ascii="Calibri" w:eastAsia="Calibri" w:hAnsi="Calibri" w:cs="Arial"/>
                <w:b/>
                <w:color w:val="000000"/>
                <w:sz w:val="16"/>
                <w:szCs w:val="16"/>
              </w:rPr>
              <w:t>927</w:t>
            </w:r>
            <w:r w:rsidR="00091EE0">
              <w:rPr>
                <w:rFonts w:ascii="Calibri" w:eastAsia="Calibri" w:hAnsi="Calibri" w:cs="Arial"/>
                <w:b/>
                <w:color w:val="000000"/>
                <w:sz w:val="16"/>
                <w:szCs w:val="16"/>
              </w:rPr>
              <w:t>,</w:t>
            </w:r>
            <w:r w:rsidRPr="00D60FDE">
              <w:rPr>
                <w:rFonts w:ascii="Calibri" w:eastAsia="Calibri" w:hAnsi="Calibri" w:cs="Arial"/>
                <w:b/>
                <w:color w:val="000000"/>
                <w:sz w:val="16"/>
                <w:szCs w:val="16"/>
              </w:rPr>
              <w:t>360</w:t>
            </w:r>
          </w:p>
        </w:tc>
        <w:tc>
          <w:tcPr>
            <w:tcW w:w="485" w:type="pct"/>
            <w:tcBorders>
              <w:top w:val="single" w:sz="4" w:space="0" w:color="auto"/>
              <w:left w:val="nil"/>
              <w:bottom w:val="single" w:sz="8" w:space="0" w:color="auto"/>
              <w:right w:val="nil"/>
            </w:tcBorders>
            <w:vAlign w:val="bottom"/>
          </w:tcPr>
          <w:p w14:paraId="0ED55200" w14:textId="30D64DB1" w:rsidR="00E3096A" w:rsidRPr="00537128" w:rsidRDefault="00E3096A" w:rsidP="00E3096A">
            <w:pPr>
              <w:spacing w:after="0" w:line="320" w:lineRule="exact"/>
              <w:jc w:val="right"/>
              <w:rPr>
                <w:rFonts w:ascii="Calibri" w:eastAsia="Times New Roman" w:hAnsi="Calibri" w:cs="Calibri"/>
                <w:b/>
                <w:bCs/>
                <w:color w:val="000000"/>
                <w:sz w:val="16"/>
                <w:szCs w:val="16"/>
                <w:lang w:val="en-US"/>
              </w:rPr>
            </w:pPr>
            <w:r w:rsidRPr="00D60FDE">
              <w:rPr>
                <w:rFonts w:ascii="Calibri" w:eastAsia="Calibri" w:hAnsi="Calibri" w:cs="Arial"/>
                <w:b/>
                <w:color w:val="000000"/>
                <w:sz w:val="16"/>
                <w:szCs w:val="16"/>
              </w:rPr>
              <w:t>1</w:t>
            </w:r>
            <w:r w:rsidR="00091EE0">
              <w:rPr>
                <w:rFonts w:ascii="Calibri" w:eastAsia="Calibri" w:hAnsi="Calibri" w:cs="Arial"/>
                <w:b/>
                <w:color w:val="000000"/>
                <w:sz w:val="16"/>
                <w:szCs w:val="16"/>
              </w:rPr>
              <w:t>,</w:t>
            </w:r>
            <w:r w:rsidRPr="00D60FDE">
              <w:rPr>
                <w:rFonts w:ascii="Calibri" w:eastAsia="Calibri" w:hAnsi="Calibri" w:cs="Arial"/>
                <w:b/>
                <w:color w:val="000000"/>
                <w:sz w:val="16"/>
                <w:szCs w:val="16"/>
              </w:rPr>
              <w:t>171</w:t>
            </w:r>
            <w:r w:rsidR="00091EE0">
              <w:rPr>
                <w:rFonts w:ascii="Calibri" w:eastAsia="Calibri" w:hAnsi="Calibri" w:cs="Arial"/>
                <w:b/>
                <w:color w:val="000000"/>
                <w:sz w:val="16"/>
                <w:szCs w:val="16"/>
              </w:rPr>
              <w:t>,</w:t>
            </w:r>
            <w:r w:rsidRPr="00D60FDE">
              <w:rPr>
                <w:rFonts w:ascii="Calibri" w:eastAsia="Calibri" w:hAnsi="Calibri" w:cs="Arial"/>
                <w:b/>
                <w:color w:val="000000"/>
                <w:sz w:val="16"/>
                <w:szCs w:val="16"/>
              </w:rPr>
              <w:t>126</w:t>
            </w:r>
          </w:p>
        </w:tc>
        <w:tc>
          <w:tcPr>
            <w:tcW w:w="485" w:type="pct"/>
            <w:tcBorders>
              <w:top w:val="single" w:sz="4" w:space="0" w:color="auto"/>
              <w:left w:val="nil"/>
              <w:bottom w:val="single" w:sz="8" w:space="0" w:color="auto"/>
              <w:right w:val="nil"/>
            </w:tcBorders>
            <w:vAlign w:val="bottom"/>
          </w:tcPr>
          <w:p w14:paraId="28B79142" w14:textId="00C74D24" w:rsidR="00E3096A" w:rsidRPr="00537128" w:rsidRDefault="00E3096A" w:rsidP="00E3096A">
            <w:pPr>
              <w:spacing w:after="0" w:line="320" w:lineRule="exact"/>
              <w:jc w:val="right"/>
              <w:rPr>
                <w:rFonts w:ascii="Calibri" w:eastAsia="Times New Roman" w:hAnsi="Calibri" w:cs="Calibri"/>
                <w:b/>
                <w:bCs/>
                <w:color w:val="000000"/>
                <w:sz w:val="16"/>
                <w:szCs w:val="16"/>
                <w:lang w:val="en-US"/>
              </w:rPr>
            </w:pPr>
            <w:r w:rsidRPr="00D60FDE">
              <w:rPr>
                <w:rFonts w:ascii="Calibri" w:eastAsia="Calibri" w:hAnsi="Calibri" w:cs="Arial"/>
                <w:b/>
                <w:color w:val="000000"/>
                <w:sz w:val="16"/>
                <w:szCs w:val="16"/>
              </w:rPr>
              <w:t>2</w:t>
            </w:r>
            <w:r w:rsidR="00091EE0">
              <w:rPr>
                <w:rFonts w:ascii="Calibri" w:eastAsia="Calibri" w:hAnsi="Calibri" w:cs="Arial"/>
                <w:b/>
                <w:color w:val="000000"/>
                <w:sz w:val="16"/>
                <w:szCs w:val="16"/>
              </w:rPr>
              <w:t>,</w:t>
            </w:r>
            <w:r w:rsidRPr="00D60FDE">
              <w:rPr>
                <w:rFonts w:ascii="Calibri" w:eastAsia="Calibri" w:hAnsi="Calibri" w:cs="Arial"/>
                <w:b/>
                <w:color w:val="000000"/>
                <w:sz w:val="16"/>
                <w:szCs w:val="16"/>
              </w:rPr>
              <w:t>123</w:t>
            </w:r>
            <w:r w:rsidR="00091EE0">
              <w:rPr>
                <w:rFonts w:ascii="Calibri" w:eastAsia="Calibri" w:hAnsi="Calibri" w:cs="Arial"/>
                <w:b/>
                <w:color w:val="000000"/>
                <w:sz w:val="16"/>
                <w:szCs w:val="16"/>
              </w:rPr>
              <w:t>,</w:t>
            </w:r>
            <w:r w:rsidRPr="00D60FDE">
              <w:rPr>
                <w:rFonts w:ascii="Calibri" w:eastAsia="Calibri" w:hAnsi="Calibri" w:cs="Arial"/>
                <w:b/>
                <w:color w:val="000000"/>
                <w:sz w:val="16"/>
                <w:szCs w:val="16"/>
              </w:rPr>
              <w:t>823</w:t>
            </w:r>
          </w:p>
        </w:tc>
        <w:tc>
          <w:tcPr>
            <w:tcW w:w="493" w:type="pct"/>
            <w:tcBorders>
              <w:top w:val="single" w:sz="4" w:space="0" w:color="auto"/>
              <w:left w:val="nil"/>
              <w:bottom w:val="single" w:sz="8" w:space="0" w:color="auto"/>
              <w:right w:val="nil"/>
            </w:tcBorders>
            <w:vAlign w:val="bottom"/>
          </w:tcPr>
          <w:p w14:paraId="254C60DA" w14:textId="47A2BE0E" w:rsidR="00E3096A" w:rsidRPr="00537128" w:rsidRDefault="00E3096A" w:rsidP="00E3096A">
            <w:pPr>
              <w:spacing w:after="0" w:line="320" w:lineRule="exact"/>
              <w:jc w:val="right"/>
              <w:rPr>
                <w:rFonts w:ascii="Calibri" w:eastAsia="Times New Roman" w:hAnsi="Calibri" w:cs="Calibri"/>
                <w:b/>
                <w:bCs/>
                <w:color w:val="000000"/>
                <w:sz w:val="16"/>
                <w:szCs w:val="16"/>
                <w:lang w:val="en-US"/>
              </w:rPr>
            </w:pPr>
            <w:r w:rsidRPr="00D60FDE">
              <w:rPr>
                <w:rFonts w:ascii="Calibri" w:eastAsia="Calibri" w:hAnsi="Calibri" w:cs="Arial"/>
                <w:b/>
                <w:color w:val="000000"/>
                <w:sz w:val="16"/>
                <w:szCs w:val="16"/>
              </w:rPr>
              <w:t>4</w:t>
            </w:r>
            <w:r w:rsidR="00091EE0">
              <w:rPr>
                <w:rFonts w:ascii="Calibri" w:eastAsia="Calibri" w:hAnsi="Calibri" w:cs="Arial"/>
                <w:b/>
                <w:color w:val="000000"/>
                <w:sz w:val="16"/>
                <w:szCs w:val="16"/>
              </w:rPr>
              <w:t>,</w:t>
            </w:r>
            <w:r w:rsidRPr="00D60FDE">
              <w:rPr>
                <w:rFonts w:ascii="Calibri" w:eastAsia="Calibri" w:hAnsi="Calibri" w:cs="Arial"/>
                <w:b/>
                <w:color w:val="000000"/>
                <w:sz w:val="16"/>
                <w:szCs w:val="16"/>
              </w:rPr>
              <w:t>975</w:t>
            </w:r>
            <w:r w:rsidR="00091EE0">
              <w:rPr>
                <w:rFonts w:ascii="Calibri" w:eastAsia="Calibri" w:hAnsi="Calibri" w:cs="Arial"/>
                <w:b/>
                <w:color w:val="000000"/>
                <w:sz w:val="16"/>
                <w:szCs w:val="16"/>
              </w:rPr>
              <w:t>,</w:t>
            </w:r>
            <w:r w:rsidRPr="00D60FDE">
              <w:rPr>
                <w:rFonts w:ascii="Calibri" w:eastAsia="Calibri" w:hAnsi="Calibri" w:cs="Arial"/>
                <w:b/>
                <w:color w:val="000000"/>
                <w:sz w:val="16"/>
                <w:szCs w:val="16"/>
              </w:rPr>
              <w:t>136</w:t>
            </w:r>
          </w:p>
        </w:tc>
        <w:tc>
          <w:tcPr>
            <w:tcW w:w="482" w:type="pct"/>
            <w:tcBorders>
              <w:top w:val="single" w:sz="4" w:space="0" w:color="auto"/>
              <w:left w:val="nil"/>
              <w:bottom w:val="single" w:sz="8" w:space="0" w:color="auto"/>
              <w:right w:val="nil"/>
            </w:tcBorders>
            <w:vAlign w:val="bottom"/>
          </w:tcPr>
          <w:p w14:paraId="7E2C56CB" w14:textId="423C521C" w:rsidR="00E3096A" w:rsidRPr="00537128" w:rsidRDefault="00E3096A" w:rsidP="00E3096A">
            <w:pPr>
              <w:spacing w:after="0" w:line="320" w:lineRule="exact"/>
              <w:jc w:val="right"/>
              <w:rPr>
                <w:rFonts w:ascii="Calibri" w:eastAsia="Times New Roman" w:hAnsi="Calibri" w:cs="Calibri"/>
                <w:b/>
                <w:bCs/>
                <w:color w:val="000000"/>
                <w:sz w:val="16"/>
                <w:szCs w:val="16"/>
                <w:lang w:val="en-US"/>
              </w:rPr>
            </w:pPr>
            <w:r w:rsidRPr="00D60FDE">
              <w:rPr>
                <w:rFonts w:ascii="Calibri" w:eastAsia="Calibri" w:hAnsi="Calibri" w:cs="Arial"/>
                <w:b/>
                <w:color w:val="000000"/>
                <w:sz w:val="16"/>
                <w:szCs w:val="16"/>
              </w:rPr>
              <w:t>12</w:t>
            </w:r>
            <w:r w:rsidR="00091EE0">
              <w:rPr>
                <w:rFonts w:ascii="Calibri" w:eastAsia="Calibri" w:hAnsi="Calibri" w:cs="Arial"/>
                <w:b/>
                <w:color w:val="000000"/>
                <w:sz w:val="16"/>
                <w:szCs w:val="16"/>
              </w:rPr>
              <w:t>,</w:t>
            </w:r>
            <w:r w:rsidRPr="00D60FDE">
              <w:rPr>
                <w:rFonts w:ascii="Calibri" w:eastAsia="Calibri" w:hAnsi="Calibri" w:cs="Arial"/>
                <w:b/>
                <w:color w:val="000000"/>
                <w:sz w:val="16"/>
                <w:szCs w:val="16"/>
              </w:rPr>
              <w:t>838</w:t>
            </w:r>
            <w:r w:rsidR="00091EE0">
              <w:rPr>
                <w:rFonts w:ascii="Calibri" w:eastAsia="Calibri" w:hAnsi="Calibri" w:cs="Arial"/>
                <w:b/>
                <w:color w:val="000000"/>
                <w:sz w:val="16"/>
                <w:szCs w:val="16"/>
              </w:rPr>
              <w:t>,</w:t>
            </w:r>
            <w:r w:rsidRPr="00D60FDE">
              <w:rPr>
                <w:rFonts w:ascii="Calibri" w:eastAsia="Calibri" w:hAnsi="Calibri" w:cs="Arial"/>
                <w:b/>
                <w:color w:val="000000"/>
                <w:sz w:val="16"/>
                <w:szCs w:val="16"/>
              </w:rPr>
              <w:t>328</w:t>
            </w:r>
          </w:p>
        </w:tc>
        <w:tc>
          <w:tcPr>
            <w:tcW w:w="486" w:type="pct"/>
            <w:tcBorders>
              <w:top w:val="single" w:sz="4" w:space="0" w:color="auto"/>
              <w:left w:val="nil"/>
              <w:bottom w:val="single" w:sz="8" w:space="0" w:color="auto"/>
              <w:right w:val="nil"/>
            </w:tcBorders>
            <w:vAlign w:val="bottom"/>
          </w:tcPr>
          <w:p w14:paraId="060AB484" w14:textId="275AE6EF" w:rsidR="00E3096A" w:rsidRPr="00537128" w:rsidRDefault="00E3096A" w:rsidP="00E3096A">
            <w:pPr>
              <w:spacing w:after="0" w:line="320" w:lineRule="exact"/>
              <w:jc w:val="right"/>
              <w:rPr>
                <w:rFonts w:ascii="Calibri" w:eastAsia="Times New Roman" w:hAnsi="Calibri" w:cs="Calibri"/>
                <w:b/>
                <w:bCs/>
                <w:color w:val="000000"/>
                <w:sz w:val="16"/>
                <w:szCs w:val="16"/>
                <w:lang w:val="en-US"/>
              </w:rPr>
            </w:pPr>
            <w:r w:rsidRPr="00D60FDE">
              <w:rPr>
                <w:rFonts w:ascii="Calibri" w:eastAsia="Calibri" w:hAnsi="Calibri" w:cs="Arial"/>
                <w:b/>
                <w:color w:val="000000"/>
                <w:sz w:val="16"/>
                <w:szCs w:val="16"/>
              </w:rPr>
              <w:t>1</w:t>
            </w:r>
            <w:r w:rsidR="00091EE0">
              <w:rPr>
                <w:rFonts w:ascii="Calibri" w:eastAsia="Calibri" w:hAnsi="Calibri" w:cs="Arial"/>
                <w:b/>
                <w:color w:val="000000"/>
                <w:sz w:val="16"/>
                <w:szCs w:val="16"/>
              </w:rPr>
              <w:t>,</w:t>
            </w:r>
            <w:r w:rsidRPr="00D60FDE">
              <w:rPr>
                <w:rFonts w:ascii="Calibri" w:eastAsia="Calibri" w:hAnsi="Calibri" w:cs="Arial"/>
                <w:b/>
                <w:color w:val="000000"/>
                <w:sz w:val="16"/>
                <w:szCs w:val="16"/>
              </w:rPr>
              <w:t>583</w:t>
            </w:r>
            <w:r w:rsidR="00091EE0">
              <w:rPr>
                <w:rFonts w:ascii="Calibri" w:eastAsia="Calibri" w:hAnsi="Calibri" w:cs="Arial"/>
                <w:b/>
                <w:color w:val="000000"/>
                <w:sz w:val="16"/>
                <w:szCs w:val="16"/>
              </w:rPr>
              <w:t>,</w:t>
            </w:r>
            <w:r w:rsidRPr="00D60FDE">
              <w:rPr>
                <w:rFonts w:ascii="Calibri" w:eastAsia="Calibri" w:hAnsi="Calibri" w:cs="Arial"/>
                <w:b/>
                <w:color w:val="000000"/>
                <w:sz w:val="16"/>
                <w:szCs w:val="16"/>
              </w:rPr>
              <w:t>402</w:t>
            </w:r>
          </w:p>
        </w:tc>
        <w:tc>
          <w:tcPr>
            <w:tcW w:w="482" w:type="pct"/>
            <w:tcBorders>
              <w:top w:val="single" w:sz="4" w:space="0" w:color="auto"/>
              <w:left w:val="nil"/>
              <w:bottom w:val="single" w:sz="8" w:space="0" w:color="auto"/>
              <w:right w:val="nil"/>
            </w:tcBorders>
            <w:vAlign w:val="bottom"/>
          </w:tcPr>
          <w:p w14:paraId="63BBEEB6" w14:textId="004238A8" w:rsidR="00E3096A" w:rsidRPr="00537128" w:rsidRDefault="00E3096A" w:rsidP="00E3096A">
            <w:pPr>
              <w:spacing w:after="0" w:line="320" w:lineRule="exact"/>
              <w:jc w:val="right"/>
              <w:rPr>
                <w:rFonts w:ascii="Calibri" w:eastAsia="Times New Roman" w:hAnsi="Calibri" w:cs="Calibri"/>
                <w:b/>
                <w:bCs/>
                <w:color w:val="000000"/>
                <w:sz w:val="16"/>
                <w:szCs w:val="16"/>
                <w:lang w:val="en-US"/>
              </w:rPr>
            </w:pPr>
            <w:r w:rsidRPr="00D60FDE">
              <w:rPr>
                <w:rFonts w:ascii="Calibri" w:eastAsia="Calibri" w:hAnsi="Calibri" w:cs="Arial"/>
                <w:b/>
                <w:color w:val="000000"/>
                <w:sz w:val="16"/>
                <w:szCs w:val="16"/>
              </w:rPr>
              <w:t>27</w:t>
            </w:r>
            <w:r w:rsidR="00091EE0">
              <w:rPr>
                <w:rFonts w:ascii="Calibri" w:eastAsia="Calibri" w:hAnsi="Calibri" w:cs="Arial"/>
                <w:b/>
                <w:color w:val="000000"/>
                <w:sz w:val="16"/>
                <w:szCs w:val="16"/>
              </w:rPr>
              <w:t>,</w:t>
            </w:r>
            <w:r w:rsidRPr="00D60FDE">
              <w:rPr>
                <w:rFonts w:ascii="Calibri" w:eastAsia="Calibri" w:hAnsi="Calibri" w:cs="Arial"/>
                <w:b/>
                <w:color w:val="000000"/>
                <w:sz w:val="16"/>
                <w:szCs w:val="16"/>
              </w:rPr>
              <w:t>619</w:t>
            </w:r>
            <w:r w:rsidR="00091EE0">
              <w:rPr>
                <w:rFonts w:ascii="Calibri" w:eastAsia="Calibri" w:hAnsi="Calibri" w:cs="Arial"/>
                <w:b/>
                <w:color w:val="000000"/>
                <w:sz w:val="16"/>
                <w:szCs w:val="16"/>
              </w:rPr>
              <w:t>,</w:t>
            </w:r>
            <w:r w:rsidRPr="00D60FDE">
              <w:rPr>
                <w:rFonts w:ascii="Calibri" w:eastAsia="Calibri" w:hAnsi="Calibri" w:cs="Arial"/>
                <w:b/>
                <w:color w:val="000000"/>
                <w:sz w:val="16"/>
                <w:szCs w:val="16"/>
              </w:rPr>
              <w:t>175</w:t>
            </w:r>
          </w:p>
        </w:tc>
        <w:tc>
          <w:tcPr>
            <w:tcW w:w="484" w:type="pct"/>
            <w:tcBorders>
              <w:top w:val="single" w:sz="4" w:space="0" w:color="auto"/>
              <w:left w:val="nil"/>
              <w:bottom w:val="single" w:sz="8" w:space="0" w:color="auto"/>
              <w:right w:val="nil"/>
            </w:tcBorders>
            <w:vAlign w:val="bottom"/>
          </w:tcPr>
          <w:p w14:paraId="3BC1B640" w14:textId="65581844" w:rsidR="00E3096A" w:rsidRPr="00537128" w:rsidDel="00D96E20" w:rsidRDefault="00E3096A" w:rsidP="00E3096A">
            <w:pPr>
              <w:spacing w:after="0" w:line="320" w:lineRule="exact"/>
              <w:rPr>
                <w:rFonts w:ascii="Calibri" w:eastAsia="Times New Roman" w:hAnsi="Calibri" w:cs="Calibri"/>
                <w:b/>
                <w:bCs/>
                <w:color w:val="000000"/>
                <w:sz w:val="16"/>
                <w:szCs w:val="16"/>
                <w:lang w:val="en-US"/>
              </w:rPr>
            </w:pPr>
            <w:r w:rsidRPr="00D60FDE">
              <w:rPr>
                <w:rFonts w:ascii="Calibri" w:eastAsia="Calibri" w:hAnsi="Calibri" w:cs="Arial"/>
                <w:b/>
                <w:color w:val="000000"/>
                <w:sz w:val="16"/>
                <w:szCs w:val="16"/>
              </w:rPr>
              <w:t>25</w:t>
            </w:r>
            <w:r w:rsidR="00091EE0">
              <w:rPr>
                <w:rFonts w:ascii="Calibri" w:eastAsia="Calibri" w:hAnsi="Calibri" w:cs="Arial"/>
                <w:b/>
                <w:color w:val="000000"/>
                <w:sz w:val="16"/>
                <w:szCs w:val="16"/>
              </w:rPr>
              <w:t>,</w:t>
            </w:r>
            <w:r w:rsidRPr="00D60FDE">
              <w:rPr>
                <w:rFonts w:ascii="Calibri" w:eastAsia="Calibri" w:hAnsi="Calibri" w:cs="Arial"/>
                <w:b/>
                <w:color w:val="000000"/>
                <w:sz w:val="16"/>
                <w:szCs w:val="16"/>
              </w:rPr>
              <w:t>225</w:t>
            </w:r>
            <w:r w:rsidR="00091EE0">
              <w:rPr>
                <w:rFonts w:ascii="Calibri" w:eastAsia="Calibri" w:hAnsi="Calibri" w:cs="Arial"/>
                <w:b/>
                <w:color w:val="000000"/>
                <w:sz w:val="16"/>
                <w:szCs w:val="16"/>
              </w:rPr>
              <w:t>,</w:t>
            </w:r>
            <w:r w:rsidRPr="00D60FDE">
              <w:rPr>
                <w:rFonts w:ascii="Calibri" w:eastAsia="Calibri" w:hAnsi="Calibri" w:cs="Arial"/>
                <w:b/>
                <w:color w:val="000000"/>
                <w:sz w:val="16"/>
                <w:szCs w:val="16"/>
              </w:rPr>
              <w:t>415</w:t>
            </w:r>
          </w:p>
        </w:tc>
      </w:tr>
      <w:tr w:rsidR="00E3096A" w:rsidRPr="00537128" w14:paraId="6DA8B36D" w14:textId="77777777" w:rsidTr="006A5067">
        <w:trPr>
          <w:trHeight w:hRule="exact" w:val="295"/>
        </w:trPr>
        <w:tc>
          <w:tcPr>
            <w:tcW w:w="1122" w:type="pct"/>
            <w:vAlign w:val="bottom"/>
          </w:tcPr>
          <w:p w14:paraId="7FE0721C" w14:textId="77777777" w:rsidR="00E3096A" w:rsidRPr="00537128" w:rsidRDefault="00E3096A" w:rsidP="00E3096A">
            <w:pPr>
              <w:tabs>
                <w:tab w:val="right" w:pos="1202"/>
              </w:tabs>
              <w:spacing w:after="0" w:line="320" w:lineRule="exact"/>
              <w:outlineLvl w:val="0"/>
              <w:rPr>
                <w:rFonts w:ascii="Calibri" w:eastAsia="Times New Roman" w:hAnsi="Calibri" w:cs="Arial"/>
                <w:b/>
                <w:bCs/>
                <w:sz w:val="16"/>
                <w:szCs w:val="16"/>
                <w:lang w:val="en-US"/>
              </w:rPr>
            </w:pPr>
          </w:p>
        </w:tc>
        <w:tc>
          <w:tcPr>
            <w:tcW w:w="481" w:type="pct"/>
            <w:tcBorders>
              <w:top w:val="single" w:sz="12" w:space="0" w:color="auto"/>
              <w:left w:val="nil"/>
              <w:right w:val="nil"/>
            </w:tcBorders>
            <w:vAlign w:val="bottom"/>
          </w:tcPr>
          <w:p w14:paraId="608698C7" w14:textId="77777777" w:rsidR="00E3096A" w:rsidRPr="00537128" w:rsidRDefault="00E3096A" w:rsidP="00E3096A">
            <w:pPr>
              <w:spacing w:after="0" w:line="320" w:lineRule="exact"/>
              <w:jc w:val="right"/>
              <w:rPr>
                <w:rFonts w:ascii="Calibri" w:eastAsia="Calibri" w:hAnsi="Calibri" w:cs="Arial"/>
                <w:b/>
                <w:bCs/>
                <w:sz w:val="16"/>
                <w:szCs w:val="16"/>
                <w:lang w:val="en-US"/>
              </w:rPr>
            </w:pPr>
          </w:p>
        </w:tc>
        <w:tc>
          <w:tcPr>
            <w:tcW w:w="485" w:type="pct"/>
            <w:tcBorders>
              <w:top w:val="single" w:sz="12" w:space="0" w:color="auto"/>
              <w:left w:val="nil"/>
              <w:right w:val="nil"/>
            </w:tcBorders>
            <w:vAlign w:val="bottom"/>
          </w:tcPr>
          <w:p w14:paraId="269FE6D5" w14:textId="77777777" w:rsidR="00E3096A" w:rsidRPr="00537128" w:rsidRDefault="00E3096A" w:rsidP="00E3096A">
            <w:pPr>
              <w:spacing w:after="0" w:line="320" w:lineRule="exact"/>
              <w:jc w:val="right"/>
              <w:rPr>
                <w:rFonts w:ascii="Calibri" w:eastAsia="Calibri" w:hAnsi="Calibri" w:cs="Arial"/>
                <w:b/>
                <w:bCs/>
                <w:sz w:val="16"/>
                <w:szCs w:val="16"/>
                <w:lang w:val="en-US"/>
              </w:rPr>
            </w:pPr>
          </w:p>
        </w:tc>
        <w:tc>
          <w:tcPr>
            <w:tcW w:w="485" w:type="pct"/>
            <w:tcBorders>
              <w:top w:val="single" w:sz="12" w:space="0" w:color="auto"/>
              <w:left w:val="nil"/>
              <w:right w:val="nil"/>
            </w:tcBorders>
            <w:vAlign w:val="bottom"/>
          </w:tcPr>
          <w:p w14:paraId="5F67395E" w14:textId="77777777" w:rsidR="00E3096A" w:rsidRPr="00537128" w:rsidRDefault="00E3096A" w:rsidP="00E3096A">
            <w:pPr>
              <w:spacing w:after="0" w:line="320" w:lineRule="exact"/>
              <w:jc w:val="right"/>
              <w:rPr>
                <w:rFonts w:ascii="Calibri" w:eastAsia="Calibri" w:hAnsi="Calibri" w:cs="Arial"/>
                <w:b/>
                <w:bCs/>
                <w:sz w:val="16"/>
                <w:szCs w:val="16"/>
                <w:lang w:val="en-US"/>
              </w:rPr>
            </w:pPr>
          </w:p>
        </w:tc>
        <w:tc>
          <w:tcPr>
            <w:tcW w:w="493" w:type="pct"/>
            <w:tcBorders>
              <w:top w:val="single" w:sz="12" w:space="0" w:color="auto"/>
              <w:left w:val="nil"/>
              <w:right w:val="nil"/>
            </w:tcBorders>
            <w:vAlign w:val="bottom"/>
          </w:tcPr>
          <w:p w14:paraId="1610A9A3" w14:textId="77777777" w:rsidR="00E3096A" w:rsidRPr="00537128" w:rsidRDefault="00E3096A" w:rsidP="00E3096A">
            <w:pPr>
              <w:spacing w:after="0" w:line="320" w:lineRule="exact"/>
              <w:jc w:val="right"/>
              <w:rPr>
                <w:rFonts w:ascii="Calibri" w:eastAsia="Calibri" w:hAnsi="Calibri" w:cs="Arial"/>
                <w:b/>
                <w:bCs/>
                <w:sz w:val="16"/>
                <w:szCs w:val="16"/>
                <w:lang w:val="en-US"/>
              </w:rPr>
            </w:pPr>
          </w:p>
        </w:tc>
        <w:tc>
          <w:tcPr>
            <w:tcW w:w="482" w:type="pct"/>
            <w:tcBorders>
              <w:top w:val="single" w:sz="12" w:space="0" w:color="auto"/>
              <w:left w:val="nil"/>
              <w:right w:val="nil"/>
            </w:tcBorders>
            <w:vAlign w:val="bottom"/>
          </w:tcPr>
          <w:p w14:paraId="18488791" w14:textId="77777777" w:rsidR="00E3096A" w:rsidRPr="00537128" w:rsidRDefault="00E3096A" w:rsidP="00E3096A">
            <w:pPr>
              <w:spacing w:after="0" w:line="320" w:lineRule="exact"/>
              <w:jc w:val="right"/>
              <w:rPr>
                <w:rFonts w:ascii="Calibri" w:eastAsia="Calibri" w:hAnsi="Calibri" w:cs="Arial"/>
                <w:b/>
                <w:bCs/>
                <w:sz w:val="16"/>
                <w:szCs w:val="16"/>
                <w:lang w:val="en-US"/>
              </w:rPr>
            </w:pPr>
          </w:p>
        </w:tc>
        <w:tc>
          <w:tcPr>
            <w:tcW w:w="486" w:type="pct"/>
            <w:tcBorders>
              <w:top w:val="single" w:sz="12" w:space="0" w:color="auto"/>
              <w:left w:val="nil"/>
              <w:right w:val="nil"/>
            </w:tcBorders>
            <w:vAlign w:val="bottom"/>
          </w:tcPr>
          <w:p w14:paraId="318585BE" w14:textId="77777777" w:rsidR="00E3096A" w:rsidRPr="00537128" w:rsidRDefault="00E3096A" w:rsidP="00E3096A">
            <w:pPr>
              <w:spacing w:after="0" w:line="320" w:lineRule="exact"/>
              <w:jc w:val="right"/>
              <w:rPr>
                <w:rFonts w:ascii="Calibri" w:eastAsia="Calibri" w:hAnsi="Calibri" w:cs="Arial"/>
                <w:b/>
                <w:bCs/>
                <w:sz w:val="16"/>
                <w:szCs w:val="16"/>
                <w:lang w:val="en-US"/>
              </w:rPr>
            </w:pPr>
          </w:p>
        </w:tc>
        <w:tc>
          <w:tcPr>
            <w:tcW w:w="482" w:type="pct"/>
            <w:tcBorders>
              <w:top w:val="single" w:sz="12" w:space="0" w:color="auto"/>
              <w:left w:val="nil"/>
              <w:right w:val="nil"/>
            </w:tcBorders>
            <w:vAlign w:val="bottom"/>
          </w:tcPr>
          <w:p w14:paraId="6A68891C" w14:textId="77777777" w:rsidR="00E3096A" w:rsidRPr="00537128" w:rsidRDefault="00E3096A" w:rsidP="00E3096A">
            <w:pPr>
              <w:spacing w:after="0" w:line="320" w:lineRule="exact"/>
              <w:jc w:val="right"/>
              <w:rPr>
                <w:rFonts w:ascii="Calibri" w:eastAsia="Calibri" w:hAnsi="Calibri" w:cs="Arial"/>
                <w:b/>
                <w:bCs/>
                <w:sz w:val="16"/>
                <w:szCs w:val="16"/>
                <w:lang w:val="en-US"/>
              </w:rPr>
            </w:pPr>
          </w:p>
        </w:tc>
        <w:tc>
          <w:tcPr>
            <w:tcW w:w="484" w:type="pct"/>
            <w:tcBorders>
              <w:top w:val="single" w:sz="12" w:space="0" w:color="auto"/>
              <w:left w:val="nil"/>
              <w:right w:val="nil"/>
            </w:tcBorders>
            <w:vAlign w:val="bottom"/>
          </w:tcPr>
          <w:p w14:paraId="4760F520" w14:textId="77777777" w:rsidR="00E3096A" w:rsidRPr="00537128" w:rsidDel="00D96E20" w:rsidRDefault="00E3096A" w:rsidP="00E3096A">
            <w:pPr>
              <w:spacing w:after="0" w:line="320" w:lineRule="exact"/>
              <w:jc w:val="right"/>
              <w:rPr>
                <w:rFonts w:ascii="Calibri" w:eastAsia="Calibri" w:hAnsi="Calibri" w:cs="Times New Roman"/>
                <w:b/>
                <w:bCs/>
                <w:sz w:val="16"/>
                <w:szCs w:val="16"/>
                <w:lang w:val="en-US"/>
              </w:rPr>
            </w:pPr>
          </w:p>
        </w:tc>
      </w:tr>
      <w:tr w:rsidR="00E3096A" w:rsidRPr="00537128" w14:paraId="33FB4FC9" w14:textId="77777777" w:rsidTr="006A5067">
        <w:trPr>
          <w:trHeight w:hRule="exact" w:val="279"/>
        </w:trPr>
        <w:tc>
          <w:tcPr>
            <w:tcW w:w="1122" w:type="pct"/>
          </w:tcPr>
          <w:p w14:paraId="7BF83E87" w14:textId="77777777" w:rsidR="00E3096A" w:rsidRPr="00537128" w:rsidRDefault="00E3096A" w:rsidP="00E3096A">
            <w:pPr>
              <w:tabs>
                <w:tab w:val="right" w:pos="1202"/>
              </w:tabs>
              <w:spacing w:after="0" w:line="320" w:lineRule="exact"/>
              <w:outlineLvl w:val="0"/>
              <w:rPr>
                <w:rFonts w:ascii="Calibri" w:eastAsia="Times New Roman" w:hAnsi="Calibri" w:cs="Arial"/>
                <w:b/>
                <w:bCs/>
                <w:sz w:val="16"/>
                <w:szCs w:val="16"/>
                <w:lang w:val="en-US"/>
              </w:rPr>
            </w:pPr>
            <w:bookmarkStart w:id="1030" w:name="_Toc4062750"/>
            <w:r w:rsidRPr="00537128">
              <w:rPr>
                <w:rFonts w:ascii="Calibri" w:eastAsia="Times New Roman" w:hAnsi="Calibri" w:cs="Arial"/>
                <w:b/>
                <w:bCs/>
                <w:sz w:val="16"/>
                <w:szCs w:val="16"/>
                <w:lang w:val="en-US"/>
              </w:rPr>
              <w:t>Liabilities</w:t>
            </w:r>
            <w:bookmarkEnd w:id="1030"/>
            <w:r w:rsidRPr="00537128">
              <w:rPr>
                <w:rFonts w:ascii="Calibri" w:eastAsia="Times New Roman" w:hAnsi="Calibri" w:cs="Arial"/>
                <w:b/>
                <w:bCs/>
                <w:sz w:val="16"/>
                <w:szCs w:val="16"/>
                <w:lang w:val="en-US"/>
              </w:rPr>
              <w:t xml:space="preserve"> </w:t>
            </w:r>
          </w:p>
        </w:tc>
        <w:tc>
          <w:tcPr>
            <w:tcW w:w="481" w:type="pct"/>
            <w:tcBorders>
              <w:left w:val="nil"/>
              <w:right w:val="nil"/>
            </w:tcBorders>
            <w:vAlign w:val="bottom"/>
          </w:tcPr>
          <w:p w14:paraId="7D83AA77" w14:textId="77777777" w:rsidR="00E3096A" w:rsidRPr="00537128" w:rsidRDefault="00E3096A" w:rsidP="00E3096A">
            <w:pPr>
              <w:spacing w:after="0" w:line="320" w:lineRule="exact"/>
              <w:jc w:val="right"/>
              <w:rPr>
                <w:rFonts w:ascii="Calibri" w:eastAsia="Calibri" w:hAnsi="Calibri" w:cs="Arial"/>
                <w:b/>
                <w:bCs/>
                <w:sz w:val="16"/>
                <w:szCs w:val="16"/>
                <w:lang w:val="en-US"/>
              </w:rPr>
            </w:pPr>
          </w:p>
        </w:tc>
        <w:tc>
          <w:tcPr>
            <w:tcW w:w="485" w:type="pct"/>
            <w:tcBorders>
              <w:left w:val="nil"/>
              <w:right w:val="nil"/>
            </w:tcBorders>
            <w:vAlign w:val="bottom"/>
          </w:tcPr>
          <w:p w14:paraId="3F2F86F3" w14:textId="77777777" w:rsidR="00E3096A" w:rsidRPr="00537128" w:rsidRDefault="00E3096A" w:rsidP="00E3096A">
            <w:pPr>
              <w:spacing w:after="0" w:line="320" w:lineRule="exact"/>
              <w:jc w:val="right"/>
              <w:rPr>
                <w:rFonts w:ascii="Calibri" w:eastAsia="Calibri" w:hAnsi="Calibri" w:cs="Arial"/>
                <w:b/>
                <w:bCs/>
                <w:sz w:val="16"/>
                <w:szCs w:val="16"/>
                <w:lang w:val="en-US"/>
              </w:rPr>
            </w:pPr>
          </w:p>
        </w:tc>
        <w:tc>
          <w:tcPr>
            <w:tcW w:w="485" w:type="pct"/>
            <w:tcBorders>
              <w:left w:val="nil"/>
              <w:right w:val="nil"/>
            </w:tcBorders>
            <w:vAlign w:val="bottom"/>
          </w:tcPr>
          <w:p w14:paraId="1D58EB86" w14:textId="77777777" w:rsidR="00E3096A" w:rsidRPr="00537128" w:rsidRDefault="00E3096A" w:rsidP="00E3096A">
            <w:pPr>
              <w:spacing w:after="0" w:line="320" w:lineRule="exact"/>
              <w:jc w:val="right"/>
              <w:rPr>
                <w:rFonts w:ascii="Calibri" w:eastAsia="Calibri" w:hAnsi="Calibri" w:cs="Arial"/>
                <w:b/>
                <w:bCs/>
                <w:sz w:val="16"/>
                <w:szCs w:val="16"/>
                <w:lang w:val="en-US"/>
              </w:rPr>
            </w:pPr>
          </w:p>
        </w:tc>
        <w:tc>
          <w:tcPr>
            <w:tcW w:w="493" w:type="pct"/>
            <w:tcBorders>
              <w:left w:val="nil"/>
              <w:right w:val="nil"/>
            </w:tcBorders>
            <w:vAlign w:val="bottom"/>
          </w:tcPr>
          <w:p w14:paraId="775045F3" w14:textId="77777777" w:rsidR="00E3096A" w:rsidRPr="00537128" w:rsidRDefault="00E3096A" w:rsidP="00E3096A">
            <w:pPr>
              <w:spacing w:after="0" w:line="320" w:lineRule="exact"/>
              <w:jc w:val="right"/>
              <w:rPr>
                <w:rFonts w:ascii="Calibri" w:eastAsia="Calibri" w:hAnsi="Calibri" w:cs="Arial"/>
                <w:b/>
                <w:bCs/>
                <w:sz w:val="16"/>
                <w:szCs w:val="16"/>
                <w:lang w:val="en-US"/>
              </w:rPr>
            </w:pPr>
          </w:p>
        </w:tc>
        <w:tc>
          <w:tcPr>
            <w:tcW w:w="482" w:type="pct"/>
            <w:tcBorders>
              <w:left w:val="nil"/>
              <w:right w:val="nil"/>
            </w:tcBorders>
            <w:vAlign w:val="bottom"/>
          </w:tcPr>
          <w:p w14:paraId="5D98660C" w14:textId="77777777" w:rsidR="00E3096A" w:rsidRPr="00537128" w:rsidRDefault="00E3096A" w:rsidP="00E3096A">
            <w:pPr>
              <w:spacing w:after="0" w:line="320" w:lineRule="exact"/>
              <w:jc w:val="right"/>
              <w:rPr>
                <w:rFonts w:ascii="Calibri" w:eastAsia="Calibri" w:hAnsi="Calibri" w:cs="Arial"/>
                <w:b/>
                <w:bCs/>
                <w:sz w:val="16"/>
                <w:szCs w:val="16"/>
                <w:lang w:val="en-US"/>
              </w:rPr>
            </w:pPr>
          </w:p>
        </w:tc>
        <w:tc>
          <w:tcPr>
            <w:tcW w:w="486" w:type="pct"/>
            <w:tcBorders>
              <w:left w:val="nil"/>
              <w:right w:val="nil"/>
            </w:tcBorders>
            <w:vAlign w:val="bottom"/>
          </w:tcPr>
          <w:p w14:paraId="3A8FD46B" w14:textId="77777777" w:rsidR="00E3096A" w:rsidRPr="00537128" w:rsidRDefault="00E3096A" w:rsidP="00E3096A">
            <w:pPr>
              <w:spacing w:after="0" w:line="320" w:lineRule="exact"/>
              <w:jc w:val="right"/>
              <w:rPr>
                <w:rFonts w:ascii="Calibri" w:eastAsia="Calibri" w:hAnsi="Calibri" w:cs="Arial"/>
                <w:b/>
                <w:bCs/>
                <w:sz w:val="16"/>
                <w:szCs w:val="16"/>
                <w:lang w:val="en-US"/>
              </w:rPr>
            </w:pPr>
          </w:p>
        </w:tc>
        <w:tc>
          <w:tcPr>
            <w:tcW w:w="482" w:type="pct"/>
            <w:tcBorders>
              <w:left w:val="nil"/>
              <w:right w:val="nil"/>
            </w:tcBorders>
            <w:vAlign w:val="bottom"/>
          </w:tcPr>
          <w:p w14:paraId="3AD4E297" w14:textId="77777777" w:rsidR="00E3096A" w:rsidRPr="00537128" w:rsidRDefault="00E3096A" w:rsidP="00E3096A">
            <w:pPr>
              <w:spacing w:after="0" w:line="320" w:lineRule="exact"/>
              <w:jc w:val="right"/>
              <w:rPr>
                <w:rFonts w:ascii="Calibri" w:eastAsia="Calibri" w:hAnsi="Calibri" w:cs="Arial"/>
                <w:b/>
                <w:bCs/>
                <w:sz w:val="16"/>
                <w:szCs w:val="16"/>
                <w:lang w:val="en-US"/>
              </w:rPr>
            </w:pPr>
          </w:p>
        </w:tc>
        <w:tc>
          <w:tcPr>
            <w:tcW w:w="484" w:type="pct"/>
            <w:tcBorders>
              <w:left w:val="nil"/>
              <w:right w:val="nil"/>
            </w:tcBorders>
            <w:vAlign w:val="bottom"/>
          </w:tcPr>
          <w:p w14:paraId="14058CE8" w14:textId="77777777" w:rsidR="00E3096A" w:rsidRPr="00537128" w:rsidDel="00D96E20" w:rsidRDefault="00E3096A" w:rsidP="00E3096A">
            <w:pPr>
              <w:spacing w:after="0" w:line="320" w:lineRule="exact"/>
              <w:jc w:val="right"/>
              <w:rPr>
                <w:rFonts w:ascii="Calibri" w:eastAsia="Calibri" w:hAnsi="Calibri" w:cs="Times New Roman"/>
                <w:b/>
                <w:bCs/>
                <w:sz w:val="16"/>
                <w:szCs w:val="16"/>
                <w:lang w:val="en-US"/>
              </w:rPr>
            </w:pPr>
          </w:p>
        </w:tc>
      </w:tr>
      <w:tr w:rsidR="00091EE0" w:rsidRPr="00537128" w14:paraId="0AC85E16" w14:textId="77777777" w:rsidTr="006A5067">
        <w:trPr>
          <w:trHeight w:hRule="exact" w:val="285"/>
        </w:trPr>
        <w:tc>
          <w:tcPr>
            <w:tcW w:w="1122" w:type="pct"/>
            <w:vAlign w:val="center"/>
          </w:tcPr>
          <w:p w14:paraId="4B30B201" w14:textId="77777777" w:rsidR="00091EE0" w:rsidRPr="00537128" w:rsidRDefault="00091EE0" w:rsidP="00091EE0">
            <w:pPr>
              <w:tabs>
                <w:tab w:val="right" w:pos="1202"/>
              </w:tabs>
              <w:spacing w:after="0" w:line="320" w:lineRule="exact"/>
              <w:outlineLvl w:val="0"/>
              <w:rPr>
                <w:rFonts w:ascii="Calibri" w:eastAsia="Times New Roman" w:hAnsi="Calibri" w:cs="Arial"/>
                <w:b/>
                <w:bCs/>
                <w:sz w:val="16"/>
                <w:szCs w:val="16"/>
                <w:lang w:val="en-US"/>
              </w:rPr>
            </w:pPr>
            <w:bookmarkStart w:id="1031" w:name="_Toc4062751"/>
            <w:r w:rsidRPr="00537128">
              <w:rPr>
                <w:rFonts w:ascii="Calibri" w:eastAsia="Times New Roman" w:hAnsi="Calibri" w:cs="Arial"/>
                <w:spacing w:val="-2"/>
                <w:sz w:val="16"/>
                <w:szCs w:val="16"/>
                <w:lang w:val="en-US"/>
              </w:rPr>
              <w:t>Deposits from customers</w:t>
            </w:r>
            <w:bookmarkEnd w:id="1031"/>
            <w:r w:rsidRPr="00537128">
              <w:rPr>
                <w:rFonts w:ascii="Calibri" w:eastAsia="Times New Roman" w:hAnsi="Calibri" w:cs="Arial"/>
                <w:spacing w:val="-2"/>
                <w:sz w:val="16"/>
                <w:szCs w:val="16"/>
                <w:lang w:val="en-US"/>
              </w:rPr>
              <w:t xml:space="preserve"> </w:t>
            </w:r>
          </w:p>
        </w:tc>
        <w:tc>
          <w:tcPr>
            <w:tcW w:w="481" w:type="pct"/>
            <w:tcBorders>
              <w:top w:val="nil"/>
              <w:left w:val="nil"/>
              <w:bottom w:val="nil"/>
              <w:right w:val="nil"/>
            </w:tcBorders>
            <w:vAlign w:val="bottom"/>
          </w:tcPr>
          <w:p w14:paraId="26299DFE" w14:textId="61F33F43" w:rsidR="00091EE0" w:rsidRPr="00537128" w:rsidRDefault="00091EE0" w:rsidP="00091EE0">
            <w:pPr>
              <w:spacing w:after="0" w:line="320" w:lineRule="exact"/>
              <w:jc w:val="right"/>
              <w:rPr>
                <w:rFonts w:ascii="Calibri" w:eastAsia="Calibri" w:hAnsi="Calibri" w:cs="Arial"/>
                <w:b/>
                <w:bCs/>
                <w:sz w:val="16"/>
                <w:szCs w:val="16"/>
                <w:lang w:val="en-US"/>
              </w:rPr>
            </w:pPr>
            <w:r w:rsidRPr="00F95646">
              <w:rPr>
                <w:rFonts w:ascii="Calibri" w:eastAsia="Calibri" w:hAnsi="Calibri" w:cs="Arial"/>
                <w:bCs/>
                <w:color w:val="000000"/>
                <w:sz w:val="16"/>
                <w:szCs w:val="16"/>
              </w:rPr>
              <w:t>117</w:t>
            </w:r>
            <w:r>
              <w:rPr>
                <w:rFonts w:ascii="Calibri" w:eastAsia="Calibri" w:hAnsi="Calibri" w:cs="Arial"/>
                <w:bCs/>
                <w:color w:val="000000"/>
                <w:sz w:val="16"/>
                <w:szCs w:val="16"/>
              </w:rPr>
              <w:t>,</w:t>
            </w:r>
            <w:r w:rsidRPr="00F95646">
              <w:rPr>
                <w:rFonts w:ascii="Calibri" w:eastAsia="Calibri" w:hAnsi="Calibri" w:cs="Arial"/>
                <w:bCs/>
                <w:color w:val="000000"/>
                <w:sz w:val="16"/>
                <w:szCs w:val="16"/>
              </w:rPr>
              <w:t>423</w:t>
            </w:r>
          </w:p>
        </w:tc>
        <w:tc>
          <w:tcPr>
            <w:tcW w:w="485" w:type="pct"/>
            <w:tcBorders>
              <w:top w:val="nil"/>
              <w:left w:val="nil"/>
              <w:bottom w:val="nil"/>
              <w:right w:val="nil"/>
            </w:tcBorders>
            <w:vAlign w:val="bottom"/>
          </w:tcPr>
          <w:p w14:paraId="259ED3A5" w14:textId="1EEDC265" w:rsidR="00091EE0" w:rsidRPr="00537128" w:rsidRDefault="00091EE0" w:rsidP="00091EE0">
            <w:pPr>
              <w:spacing w:after="0" w:line="320" w:lineRule="exact"/>
              <w:jc w:val="right"/>
              <w:rPr>
                <w:rFonts w:ascii="Calibri" w:eastAsia="Calibri" w:hAnsi="Calibri" w:cs="Arial"/>
                <w:b/>
                <w:bCs/>
                <w:sz w:val="16"/>
                <w:szCs w:val="16"/>
                <w:lang w:val="en-US"/>
              </w:rPr>
            </w:pPr>
            <w:r w:rsidRPr="00F95646">
              <w:rPr>
                <w:rFonts w:ascii="Calibri" w:eastAsia="Calibri" w:hAnsi="Calibri" w:cs="Arial"/>
                <w:bCs/>
                <w:color w:val="000000"/>
                <w:sz w:val="16"/>
                <w:szCs w:val="16"/>
              </w:rPr>
              <w:t>-</w:t>
            </w:r>
          </w:p>
        </w:tc>
        <w:tc>
          <w:tcPr>
            <w:tcW w:w="485" w:type="pct"/>
            <w:tcBorders>
              <w:top w:val="nil"/>
              <w:left w:val="nil"/>
              <w:bottom w:val="nil"/>
              <w:right w:val="nil"/>
            </w:tcBorders>
            <w:vAlign w:val="bottom"/>
          </w:tcPr>
          <w:p w14:paraId="592A2786" w14:textId="224763E0" w:rsidR="00091EE0" w:rsidRPr="00537128" w:rsidRDefault="00091EE0" w:rsidP="00091EE0">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93" w:type="pct"/>
            <w:tcBorders>
              <w:top w:val="nil"/>
              <w:left w:val="nil"/>
              <w:bottom w:val="nil"/>
              <w:right w:val="nil"/>
            </w:tcBorders>
            <w:vAlign w:val="bottom"/>
          </w:tcPr>
          <w:p w14:paraId="413B1D91" w14:textId="27CF5148" w:rsidR="00091EE0" w:rsidRPr="00537128" w:rsidRDefault="00091EE0" w:rsidP="00091EE0">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82" w:type="pct"/>
            <w:tcBorders>
              <w:top w:val="nil"/>
              <w:left w:val="nil"/>
              <w:bottom w:val="nil"/>
              <w:right w:val="nil"/>
            </w:tcBorders>
            <w:vAlign w:val="bottom"/>
          </w:tcPr>
          <w:p w14:paraId="13EA0E02" w14:textId="576E06E1" w:rsidR="00091EE0" w:rsidRPr="00537128" w:rsidRDefault="00091EE0" w:rsidP="00091EE0">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86" w:type="pct"/>
            <w:tcBorders>
              <w:top w:val="nil"/>
              <w:left w:val="nil"/>
              <w:bottom w:val="nil"/>
              <w:right w:val="nil"/>
            </w:tcBorders>
            <w:vAlign w:val="bottom"/>
          </w:tcPr>
          <w:p w14:paraId="15281D66" w14:textId="581AB19B" w:rsidR="00091EE0" w:rsidRPr="00537128" w:rsidRDefault="00091EE0" w:rsidP="00091EE0">
            <w:pPr>
              <w:spacing w:after="0" w:line="320" w:lineRule="exact"/>
              <w:jc w:val="right"/>
              <w:rPr>
                <w:rFonts w:ascii="Calibri" w:eastAsia="Calibri" w:hAnsi="Calibri" w:cs="Arial"/>
                <w:b/>
                <w:bCs/>
                <w:sz w:val="16"/>
                <w:szCs w:val="16"/>
                <w:lang w:val="en-US"/>
              </w:rPr>
            </w:pPr>
            <w:r w:rsidRPr="00F95646">
              <w:rPr>
                <w:rFonts w:ascii="Calibri" w:eastAsia="Calibri" w:hAnsi="Calibri" w:cs="Arial"/>
                <w:bCs/>
                <w:color w:val="000000"/>
                <w:sz w:val="16"/>
                <w:szCs w:val="16"/>
              </w:rPr>
              <w:t>490</w:t>
            </w:r>
            <w:r>
              <w:rPr>
                <w:rFonts w:ascii="Calibri" w:eastAsia="Calibri" w:hAnsi="Calibri" w:cs="Arial"/>
                <w:bCs/>
                <w:color w:val="000000"/>
                <w:sz w:val="16"/>
                <w:szCs w:val="16"/>
              </w:rPr>
              <w:t>,</w:t>
            </w:r>
            <w:r w:rsidRPr="00F95646">
              <w:rPr>
                <w:rFonts w:ascii="Calibri" w:eastAsia="Calibri" w:hAnsi="Calibri" w:cs="Arial"/>
                <w:bCs/>
                <w:color w:val="000000"/>
                <w:sz w:val="16"/>
                <w:szCs w:val="16"/>
              </w:rPr>
              <w:t>114</w:t>
            </w:r>
          </w:p>
        </w:tc>
        <w:tc>
          <w:tcPr>
            <w:tcW w:w="482" w:type="pct"/>
            <w:tcBorders>
              <w:top w:val="nil"/>
              <w:left w:val="nil"/>
              <w:bottom w:val="nil"/>
              <w:right w:val="nil"/>
            </w:tcBorders>
            <w:vAlign w:val="bottom"/>
          </w:tcPr>
          <w:p w14:paraId="3EFC8E26" w14:textId="421B483C" w:rsidR="00091EE0" w:rsidRPr="00537128" w:rsidRDefault="00091EE0" w:rsidP="00091EE0">
            <w:pPr>
              <w:spacing w:after="0" w:line="320" w:lineRule="exact"/>
              <w:jc w:val="right"/>
              <w:rPr>
                <w:rFonts w:ascii="Calibri" w:eastAsia="Calibri" w:hAnsi="Calibri" w:cs="Arial"/>
                <w:b/>
                <w:bCs/>
                <w:sz w:val="16"/>
                <w:szCs w:val="16"/>
                <w:lang w:val="en-US"/>
              </w:rPr>
            </w:pPr>
            <w:r w:rsidRPr="00F95646">
              <w:rPr>
                <w:rFonts w:ascii="Calibri" w:eastAsia="Calibri" w:hAnsi="Calibri" w:cs="Arial"/>
                <w:bCs/>
                <w:color w:val="000000"/>
                <w:sz w:val="16"/>
                <w:szCs w:val="16"/>
              </w:rPr>
              <w:t>607</w:t>
            </w:r>
            <w:r>
              <w:rPr>
                <w:rFonts w:ascii="Calibri" w:eastAsia="Calibri" w:hAnsi="Calibri" w:cs="Arial"/>
                <w:bCs/>
                <w:color w:val="000000"/>
                <w:sz w:val="16"/>
                <w:szCs w:val="16"/>
              </w:rPr>
              <w:t>,</w:t>
            </w:r>
            <w:r w:rsidRPr="00F95646">
              <w:rPr>
                <w:rFonts w:ascii="Calibri" w:eastAsia="Calibri" w:hAnsi="Calibri" w:cs="Arial"/>
                <w:bCs/>
                <w:color w:val="000000"/>
                <w:sz w:val="16"/>
                <w:szCs w:val="16"/>
              </w:rPr>
              <w:t>537</w:t>
            </w:r>
          </w:p>
        </w:tc>
        <w:tc>
          <w:tcPr>
            <w:tcW w:w="484" w:type="pct"/>
            <w:tcBorders>
              <w:top w:val="nil"/>
              <w:left w:val="nil"/>
              <w:bottom w:val="nil"/>
              <w:right w:val="nil"/>
            </w:tcBorders>
            <w:vAlign w:val="bottom"/>
          </w:tcPr>
          <w:p w14:paraId="79E61534" w14:textId="7610052C" w:rsidR="00091EE0" w:rsidRPr="00537128" w:rsidDel="00D96E20" w:rsidRDefault="00091EE0" w:rsidP="00091EE0">
            <w:pPr>
              <w:spacing w:after="0" w:line="320" w:lineRule="exact"/>
              <w:jc w:val="right"/>
              <w:rPr>
                <w:rFonts w:ascii="Calibri" w:eastAsia="Calibri" w:hAnsi="Calibri" w:cs="Times New Roman"/>
                <w:b/>
                <w:bCs/>
                <w:sz w:val="16"/>
                <w:szCs w:val="16"/>
                <w:lang w:val="en-US"/>
              </w:rPr>
            </w:pPr>
            <w:r w:rsidRPr="00F95646">
              <w:rPr>
                <w:rFonts w:ascii="Calibri" w:eastAsia="Calibri" w:hAnsi="Calibri" w:cs="Arial"/>
                <w:bCs/>
                <w:color w:val="000000"/>
                <w:sz w:val="16"/>
                <w:szCs w:val="16"/>
              </w:rPr>
              <w:t>117</w:t>
            </w:r>
            <w:r>
              <w:rPr>
                <w:rFonts w:ascii="Calibri" w:eastAsia="Calibri" w:hAnsi="Calibri" w:cs="Arial"/>
                <w:bCs/>
                <w:color w:val="000000"/>
                <w:sz w:val="16"/>
                <w:szCs w:val="16"/>
              </w:rPr>
              <w:t>,</w:t>
            </w:r>
            <w:r w:rsidRPr="00F95646">
              <w:rPr>
                <w:rFonts w:ascii="Calibri" w:eastAsia="Calibri" w:hAnsi="Calibri" w:cs="Arial"/>
                <w:bCs/>
                <w:color w:val="000000"/>
                <w:sz w:val="16"/>
                <w:szCs w:val="16"/>
              </w:rPr>
              <w:t>423</w:t>
            </w:r>
          </w:p>
        </w:tc>
      </w:tr>
      <w:tr w:rsidR="00091EE0" w:rsidRPr="00537128" w14:paraId="2976CE6D" w14:textId="77777777" w:rsidTr="006A5067">
        <w:trPr>
          <w:trHeight w:hRule="exact" w:val="277"/>
        </w:trPr>
        <w:tc>
          <w:tcPr>
            <w:tcW w:w="1122" w:type="pct"/>
          </w:tcPr>
          <w:p w14:paraId="43CE1E93" w14:textId="77777777" w:rsidR="00091EE0" w:rsidRPr="00537128" w:rsidRDefault="00091EE0" w:rsidP="00091EE0">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Borrowings </w:t>
            </w:r>
          </w:p>
        </w:tc>
        <w:tc>
          <w:tcPr>
            <w:tcW w:w="481" w:type="pct"/>
            <w:tcBorders>
              <w:top w:val="nil"/>
              <w:left w:val="nil"/>
              <w:bottom w:val="nil"/>
              <w:right w:val="nil"/>
            </w:tcBorders>
            <w:vAlign w:val="bottom"/>
          </w:tcPr>
          <w:p w14:paraId="5577CA2A" w14:textId="1BD61EE0" w:rsidR="00091EE0" w:rsidRPr="00537128" w:rsidRDefault="00091EE0" w:rsidP="00091EE0">
            <w:pPr>
              <w:spacing w:after="0" w:line="280" w:lineRule="exact"/>
              <w:jc w:val="right"/>
              <w:rPr>
                <w:rFonts w:ascii="Calibri" w:eastAsia="Times New Roman" w:hAnsi="Calibri" w:cs="Arial"/>
                <w:sz w:val="16"/>
                <w:szCs w:val="16"/>
                <w:lang w:val="en-US"/>
              </w:rPr>
            </w:pPr>
            <w:r w:rsidRPr="00F95646">
              <w:rPr>
                <w:rFonts w:ascii="Calibri" w:eastAsia="Calibri" w:hAnsi="Calibri" w:cs="Arial"/>
                <w:bCs/>
                <w:color w:val="000000"/>
                <w:sz w:val="16"/>
                <w:szCs w:val="16"/>
              </w:rPr>
              <w:t>156</w:t>
            </w:r>
            <w:r>
              <w:rPr>
                <w:rFonts w:ascii="Calibri" w:eastAsia="Calibri" w:hAnsi="Calibri" w:cs="Arial"/>
                <w:bCs/>
                <w:color w:val="000000"/>
                <w:sz w:val="16"/>
                <w:szCs w:val="16"/>
              </w:rPr>
              <w:t>,</w:t>
            </w:r>
            <w:r w:rsidRPr="00F95646">
              <w:rPr>
                <w:rFonts w:ascii="Calibri" w:eastAsia="Calibri" w:hAnsi="Calibri" w:cs="Arial"/>
                <w:bCs/>
                <w:color w:val="000000"/>
                <w:sz w:val="16"/>
                <w:szCs w:val="16"/>
              </w:rPr>
              <w:t>365</w:t>
            </w:r>
          </w:p>
        </w:tc>
        <w:tc>
          <w:tcPr>
            <w:tcW w:w="485" w:type="pct"/>
            <w:tcBorders>
              <w:top w:val="nil"/>
              <w:left w:val="nil"/>
              <w:bottom w:val="nil"/>
              <w:right w:val="nil"/>
            </w:tcBorders>
            <w:vAlign w:val="bottom"/>
          </w:tcPr>
          <w:p w14:paraId="6F938226" w14:textId="2CD8C207" w:rsidR="00091EE0" w:rsidRPr="00537128" w:rsidRDefault="00091EE0" w:rsidP="00091EE0">
            <w:pPr>
              <w:spacing w:after="0" w:line="280" w:lineRule="exact"/>
              <w:jc w:val="right"/>
              <w:rPr>
                <w:rFonts w:ascii="Calibri" w:eastAsia="Times New Roman" w:hAnsi="Calibri" w:cs="Arial"/>
                <w:sz w:val="16"/>
                <w:szCs w:val="16"/>
                <w:lang w:val="en-US"/>
              </w:rPr>
            </w:pPr>
            <w:r w:rsidRPr="00F95646">
              <w:rPr>
                <w:rFonts w:ascii="Calibri" w:eastAsia="Calibri" w:hAnsi="Calibri" w:cs="Arial"/>
                <w:bCs/>
                <w:color w:val="000000"/>
                <w:sz w:val="16"/>
                <w:szCs w:val="16"/>
              </w:rPr>
              <w:t>544</w:t>
            </w:r>
            <w:r>
              <w:rPr>
                <w:rFonts w:ascii="Calibri" w:eastAsia="Calibri" w:hAnsi="Calibri" w:cs="Arial"/>
                <w:bCs/>
                <w:color w:val="000000"/>
                <w:sz w:val="16"/>
                <w:szCs w:val="16"/>
              </w:rPr>
              <w:t>,</w:t>
            </w:r>
            <w:r w:rsidRPr="00F95646">
              <w:rPr>
                <w:rFonts w:ascii="Calibri" w:eastAsia="Calibri" w:hAnsi="Calibri" w:cs="Arial"/>
                <w:bCs/>
                <w:color w:val="000000"/>
                <w:sz w:val="16"/>
                <w:szCs w:val="16"/>
              </w:rPr>
              <w:t>389</w:t>
            </w:r>
          </w:p>
        </w:tc>
        <w:tc>
          <w:tcPr>
            <w:tcW w:w="485" w:type="pct"/>
            <w:tcBorders>
              <w:top w:val="nil"/>
              <w:left w:val="nil"/>
              <w:bottom w:val="nil"/>
              <w:right w:val="nil"/>
            </w:tcBorders>
            <w:vAlign w:val="bottom"/>
          </w:tcPr>
          <w:p w14:paraId="08F4E44B" w14:textId="1E837F38" w:rsidR="00091EE0" w:rsidRPr="00537128" w:rsidRDefault="00091EE0" w:rsidP="00091EE0">
            <w:pPr>
              <w:spacing w:after="0" w:line="280" w:lineRule="exact"/>
              <w:jc w:val="right"/>
              <w:rPr>
                <w:rFonts w:ascii="Calibri" w:eastAsia="Times New Roman" w:hAnsi="Calibri" w:cs="Arial"/>
                <w:sz w:val="16"/>
                <w:szCs w:val="16"/>
                <w:lang w:val="en-US"/>
              </w:rPr>
            </w:pPr>
            <w:r w:rsidRPr="00F95646">
              <w:rPr>
                <w:rFonts w:ascii="Calibri" w:eastAsia="Calibri" w:hAnsi="Calibri" w:cs="Arial"/>
                <w:bCs/>
                <w:color w:val="000000"/>
                <w:sz w:val="16"/>
                <w:szCs w:val="16"/>
              </w:rPr>
              <w:t>1</w:t>
            </w:r>
            <w:r>
              <w:rPr>
                <w:rFonts w:ascii="Calibri" w:eastAsia="Calibri" w:hAnsi="Calibri" w:cs="Arial"/>
                <w:bCs/>
                <w:color w:val="000000"/>
                <w:sz w:val="16"/>
                <w:szCs w:val="16"/>
              </w:rPr>
              <w:t>,</w:t>
            </w:r>
            <w:r w:rsidRPr="00F95646">
              <w:rPr>
                <w:rFonts w:ascii="Calibri" w:eastAsia="Calibri" w:hAnsi="Calibri" w:cs="Arial"/>
                <w:bCs/>
                <w:color w:val="000000"/>
                <w:sz w:val="16"/>
                <w:szCs w:val="16"/>
              </w:rPr>
              <w:t>713</w:t>
            </w:r>
            <w:r>
              <w:rPr>
                <w:rFonts w:ascii="Calibri" w:eastAsia="Calibri" w:hAnsi="Calibri" w:cs="Arial"/>
                <w:bCs/>
                <w:color w:val="000000"/>
                <w:sz w:val="16"/>
                <w:szCs w:val="16"/>
              </w:rPr>
              <w:t>,</w:t>
            </w:r>
            <w:r w:rsidRPr="00F95646">
              <w:rPr>
                <w:rFonts w:ascii="Calibri" w:eastAsia="Calibri" w:hAnsi="Calibri" w:cs="Arial"/>
                <w:bCs/>
                <w:color w:val="000000"/>
                <w:sz w:val="16"/>
                <w:szCs w:val="16"/>
              </w:rPr>
              <w:t>818</w:t>
            </w:r>
          </w:p>
        </w:tc>
        <w:tc>
          <w:tcPr>
            <w:tcW w:w="493" w:type="pct"/>
            <w:tcBorders>
              <w:top w:val="nil"/>
              <w:left w:val="nil"/>
              <w:bottom w:val="nil"/>
              <w:right w:val="nil"/>
            </w:tcBorders>
            <w:vAlign w:val="bottom"/>
          </w:tcPr>
          <w:p w14:paraId="35E6C7B8" w14:textId="157A7289" w:rsidR="00091EE0" w:rsidRPr="00537128" w:rsidRDefault="00091EE0" w:rsidP="00091EE0">
            <w:pPr>
              <w:spacing w:after="0" w:line="280" w:lineRule="exact"/>
              <w:jc w:val="right"/>
              <w:rPr>
                <w:rFonts w:ascii="Calibri" w:eastAsia="Times New Roman" w:hAnsi="Calibri" w:cs="Arial"/>
                <w:sz w:val="16"/>
                <w:szCs w:val="16"/>
                <w:lang w:val="en-US"/>
              </w:rPr>
            </w:pPr>
            <w:r w:rsidRPr="00F95646">
              <w:rPr>
                <w:rFonts w:ascii="Calibri" w:eastAsia="Calibri" w:hAnsi="Calibri" w:cs="Arial"/>
                <w:bCs/>
                <w:color w:val="000000"/>
                <w:sz w:val="16"/>
                <w:szCs w:val="16"/>
              </w:rPr>
              <w:t>5</w:t>
            </w:r>
            <w:r>
              <w:rPr>
                <w:rFonts w:ascii="Calibri" w:eastAsia="Calibri" w:hAnsi="Calibri" w:cs="Arial"/>
                <w:bCs/>
                <w:color w:val="000000"/>
                <w:sz w:val="16"/>
                <w:szCs w:val="16"/>
              </w:rPr>
              <w:t>,</w:t>
            </w:r>
            <w:r w:rsidRPr="00F95646">
              <w:rPr>
                <w:rFonts w:ascii="Calibri" w:eastAsia="Calibri" w:hAnsi="Calibri" w:cs="Arial"/>
                <w:bCs/>
                <w:color w:val="000000"/>
                <w:sz w:val="16"/>
                <w:szCs w:val="16"/>
              </w:rPr>
              <w:t>689</w:t>
            </w:r>
            <w:r>
              <w:rPr>
                <w:rFonts w:ascii="Calibri" w:eastAsia="Calibri" w:hAnsi="Calibri" w:cs="Arial"/>
                <w:bCs/>
                <w:color w:val="000000"/>
                <w:sz w:val="16"/>
                <w:szCs w:val="16"/>
              </w:rPr>
              <w:t>,</w:t>
            </w:r>
            <w:r w:rsidRPr="00F95646">
              <w:rPr>
                <w:rFonts w:ascii="Calibri" w:eastAsia="Calibri" w:hAnsi="Calibri" w:cs="Arial"/>
                <w:bCs/>
                <w:color w:val="000000"/>
                <w:sz w:val="16"/>
                <w:szCs w:val="16"/>
              </w:rPr>
              <w:t>476</w:t>
            </w:r>
          </w:p>
        </w:tc>
        <w:tc>
          <w:tcPr>
            <w:tcW w:w="482" w:type="pct"/>
            <w:tcBorders>
              <w:top w:val="nil"/>
              <w:left w:val="nil"/>
              <w:bottom w:val="nil"/>
              <w:right w:val="nil"/>
            </w:tcBorders>
            <w:vAlign w:val="bottom"/>
          </w:tcPr>
          <w:p w14:paraId="7188B9B4" w14:textId="40F4DF40" w:rsidR="00091EE0" w:rsidRPr="00537128" w:rsidRDefault="00091EE0" w:rsidP="00091EE0">
            <w:pPr>
              <w:spacing w:after="0" w:line="280" w:lineRule="exact"/>
              <w:jc w:val="right"/>
              <w:rPr>
                <w:rFonts w:ascii="Calibri" w:eastAsia="Times New Roman" w:hAnsi="Calibri" w:cs="Arial"/>
                <w:sz w:val="16"/>
                <w:szCs w:val="16"/>
                <w:lang w:val="en-US"/>
              </w:rPr>
            </w:pPr>
            <w:r w:rsidRPr="00F95646">
              <w:rPr>
                <w:rFonts w:ascii="Calibri" w:eastAsia="Calibri" w:hAnsi="Calibri" w:cs="Arial"/>
                <w:bCs/>
                <w:color w:val="000000"/>
                <w:sz w:val="16"/>
                <w:szCs w:val="16"/>
              </w:rPr>
              <w:t>7</w:t>
            </w:r>
            <w:r>
              <w:rPr>
                <w:rFonts w:ascii="Calibri" w:eastAsia="Calibri" w:hAnsi="Calibri" w:cs="Arial"/>
                <w:bCs/>
                <w:color w:val="000000"/>
                <w:sz w:val="16"/>
                <w:szCs w:val="16"/>
              </w:rPr>
              <w:t>,</w:t>
            </w:r>
            <w:r w:rsidRPr="00F95646">
              <w:rPr>
                <w:rFonts w:ascii="Calibri" w:eastAsia="Calibri" w:hAnsi="Calibri" w:cs="Arial"/>
                <w:bCs/>
                <w:color w:val="000000"/>
                <w:sz w:val="16"/>
                <w:szCs w:val="16"/>
              </w:rPr>
              <w:t>682</w:t>
            </w:r>
            <w:r>
              <w:rPr>
                <w:rFonts w:ascii="Calibri" w:eastAsia="Calibri" w:hAnsi="Calibri" w:cs="Arial"/>
                <w:bCs/>
                <w:color w:val="000000"/>
                <w:sz w:val="16"/>
                <w:szCs w:val="16"/>
              </w:rPr>
              <w:t>,</w:t>
            </w:r>
            <w:r w:rsidRPr="00F95646">
              <w:rPr>
                <w:rFonts w:ascii="Calibri" w:eastAsia="Calibri" w:hAnsi="Calibri" w:cs="Arial"/>
                <w:bCs/>
                <w:color w:val="000000"/>
                <w:sz w:val="16"/>
                <w:szCs w:val="16"/>
              </w:rPr>
              <w:t>788</w:t>
            </w:r>
          </w:p>
        </w:tc>
        <w:tc>
          <w:tcPr>
            <w:tcW w:w="486" w:type="pct"/>
            <w:tcBorders>
              <w:top w:val="nil"/>
              <w:left w:val="nil"/>
              <w:bottom w:val="nil"/>
              <w:right w:val="nil"/>
            </w:tcBorders>
            <w:vAlign w:val="bottom"/>
          </w:tcPr>
          <w:p w14:paraId="254922C2" w14:textId="70D508AC" w:rsidR="00091EE0" w:rsidRPr="00537128" w:rsidRDefault="00091EE0" w:rsidP="00091EE0">
            <w:pPr>
              <w:spacing w:after="0" w:line="280" w:lineRule="exact"/>
              <w:jc w:val="right"/>
              <w:rPr>
                <w:rFonts w:ascii="Calibri" w:eastAsia="Times New Roman" w:hAnsi="Calibri" w:cs="Arial"/>
                <w:sz w:val="16"/>
                <w:szCs w:val="16"/>
                <w:lang w:val="en-US"/>
              </w:rPr>
            </w:pPr>
            <w:r w:rsidRPr="00F95646">
              <w:rPr>
                <w:rFonts w:ascii="Calibri" w:eastAsia="Calibri" w:hAnsi="Calibri" w:cs="Arial"/>
                <w:bCs/>
                <w:color w:val="000000"/>
                <w:sz w:val="16"/>
                <w:szCs w:val="16"/>
              </w:rPr>
              <w:t>41</w:t>
            </w:r>
            <w:r>
              <w:rPr>
                <w:rFonts w:ascii="Calibri" w:eastAsia="Calibri" w:hAnsi="Calibri" w:cs="Arial"/>
                <w:bCs/>
                <w:color w:val="000000"/>
                <w:sz w:val="16"/>
                <w:szCs w:val="16"/>
              </w:rPr>
              <w:t>,</w:t>
            </w:r>
            <w:r w:rsidRPr="00F95646">
              <w:rPr>
                <w:rFonts w:ascii="Calibri" w:eastAsia="Calibri" w:hAnsi="Calibri" w:cs="Arial"/>
                <w:bCs/>
                <w:color w:val="000000"/>
                <w:sz w:val="16"/>
                <w:szCs w:val="16"/>
              </w:rPr>
              <w:t>787</w:t>
            </w:r>
          </w:p>
        </w:tc>
        <w:tc>
          <w:tcPr>
            <w:tcW w:w="482" w:type="pct"/>
            <w:tcBorders>
              <w:top w:val="nil"/>
              <w:left w:val="nil"/>
              <w:bottom w:val="nil"/>
              <w:right w:val="nil"/>
            </w:tcBorders>
            <w:vAlign w:val="bottom"/>
          </w:tcPr>
          <w:p w14:paraId="01C72367" w14:textId="5EEC03C4" w:rsidR="00091EE0" w:rsidRPr="00537128" w:rsidRDefault="00091EE0" w:rsidP="00091EE0">
            <w:pPr>
              <w:spacing w:after="0" w:line="280" w:lineRule="exact"/>
              <w:jc w:val="right"/>
              <w:rPr>
                <w:rFonts w:ascii="Calibri" w:eastAsia="Times New Roman" w:hAnsi="Calibri" w:cs="Arial"/>
                <w:sz w:val="16"/>
                <w:szCs w:val="16"/>
                <w:lang w:val="en-US"/>
              </w:rPr>
            </w:pPr>
            <w:r w:rsidRPr="00F95646">
              <w:rPr>
                <w:rFonts w:ascii="Calibri" w:eastAsia="Calibri" w:hAnsi="Calibri" w:cs="Arial"/>
                <w:bCs/>
                <w:color w:val="000000"/>
                <w:sz w:val="16"/>
                <w:szCs w:val="16"/>
              </w:rPr>
              <w:t>15</w:t>
            </w:r>
            <w:r>
              <w:rPr>
                <w:rFonts w:ascii="Calibri" w:eastAsia="Calibri" w:hAnsi="Calibri" w:cs="Arial"/>
                <w:bCs/>
                <w:color w:val="000000"/>
                <w:sz w:val="16"/>
                <w:szCs w:val="16"/>
              </w:rPr>
              <w:t>,</w:t>
            </w:r>
            <w:r w:rsidRPr="00F95646">
              <w:rPr>
                <w:rFonts w:ascii="Calibri" w:eastAsia="Calibri" w:hAnsi="Calibri" w:cs="Arial"/>
                <w:bCs/>
                <w:color w:val="000000"/>
                <w:sz w:val="16"/>
                <w:szCs w:val="16"/>
              </w:rPr>
              <w:t>828</w:t>
            </w:r>
            <w:r>
              <w:rPr>
                <w:rFonts w:ascii="Calibri" w:eastAsia="Calibri" w:hAnsi="Calibri" w:cs="Arial"/>
                <w:bCs/>
                <w:color w:val="000000"/>
                <w:sz w:val="16"/>
                <w:szCs w:val="16"/>
              </w:rPr>
              <w:t>,</w:t>
            </w:r>
            <w:r w:rsidRPr="00F95646">
              <w:rPr>
                <w:rFonts w:ascii="Calibri" w:eastAsia="Calibri" w:hAnsi="Calibri" w:cs="Arial"/>
                <w:bCs/>
                <w:color w:val="000000"/>
                <w:sz w:val="16"/>
                <w:szCs w:val="16"/>
              </w:rPr>
              <w:t>623</w:t>
            </w:r>
          </w:p>
        </w:tc>
        <w:tc>
          <w:tcPr>
            <w:tcW w:w="484" w:type="pct"/>
            <w:tcBorders>
              <w:top w:val="nil"/>
              <w:left w:val="nil"/>
              <w:bottom w:val="nil"/>
              <w:right w:val="nil"/>
            </w:tcBorders>
            <w:vAlign w:val="bottom"/>
          </w:tcPr>
          <w:p w14:paraId="4FA5DF5D" w14:textId="0EB8A9F7" w:rsidR="00091EE0" w:rsidRPr="00537128" w:rsidDel="00D96E20" w:rsidRDefault="00091EE0" w:rsidP="00091EE0">
            <w:pPr>
              <w:spacing w:after="0" w:line="280" w:lineRule="exact"/>
              <w:jc w:val="right"/>
              <w:rPr>
                <w:rFonts w:ascii="Calibri" w:eastAsia="Times New Roman" w:hAnsi="Calibri" w:cs="Arial"/>
                <w:sz w:val="16"/>
                <w:szCs w:val="16"/>
                <w:lang w:val="en-US"/>
              </w:rPr>
            </w:pPr>
            <w:r w:rsidRPr="00F95646">
              <w:rPr>
                <w:rFonts w:ascii="Calibri" w:eastAsia="Calibri" w:hAnsi="Calibri" w:cs="Arial"/>
                <w:bCs/>
                <w:color w:val="000000"/>
                <w:sz w:val="16"/>
                <w:szCs w:val="16"/>
              </w:rPr>
              <w:t>15</w:t>
            </w:r>
            <w:r>
              <w:rPr>
                <w:rFonts w:ascii="Calibri" w:eastAsia="Calibri" w:hAnsi="Calibri" w:cs="Arial"/>
                <w:bCs/>
                <w:color w:val="000000"/>
                <w:sz w:val="16"/>
                <w:szCs w:val="16"/>
              </w:rPr>
              <w:t>,</w:t>
            </w:r>
            <w:r w:rsidRPr="00F95646">
              <w:rPr>
                <w:rFonts w:ascii="Calibri" w:eastAsia="Calibri" w:hAnsi="Calibri" w:cs="Arial"/>
                <w:bCs/>
                <w:color w:val="000000"/>
                <w:sz w:val="16"/>
                <w:szCs w:val="16"/>
              </w:rPr>
              <w:t>775</w:t>
            </w:r>
            <w:r>
              <w:rPr>
                <w:rFonts w:ascii="Calibri" w:eastAsia="Calibri" w:hAnsi="Calibri" w:cs="Arial"/>
                <w:bCs/>
                <w:color w:val="000000"/>
                <w:sz w:val="16"/>
                <w:szCs w:val="16"/>
              </w:rPr>
              <w:t>,</w:t>
            </w:r>
            <w:r w:rsidRPr="00F95646">
              <w:rPr>
                <w:rFonts w:ascii="Calibri" w:eastAsia="Calibri" w:hAnsi="Calibri" w:cs="Arial"/>
                <w:bCs/>
                <w:color w:val="000000"/>
                <w:sz w:val="16"/>
                <w:szCs w:val="16"/>
              </w:rPr>
              <w:t>471</w:t>
            </w:r>
          </w:p>
        </w:tc>
      </w:tr>
      <w:tr w:rsidR="00091EE0" w:rsidRPr="00537128" w14:paraId="2F05664D" w14:textId="77777777" w:rsidTr="00A1123E">
        <w:trPr>
          <w:trHeight w:hRule="exact" w:val="852"/>
        </w:trPr>
        <w:tc>
          <w:tcPr>
            <w:tcW w:w="1122" w:type="pct"/>
            <w:vAlign w:val="center"/>
          </w:tcPr>
          <w:p w14:paraId="4DD9FBB2" w14:textId="77777777" w:rsidR="00091EE0" w:rsidRPr="00537128" w:rsidRDefault="00091EE0" w:rsidP="00091EE0">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Provisions for guarantees, </w:t>
            </w:r>
            <w:proofErr w:type="gramStart"/>
            <w:r w:rsidRPr="00537128">
              <w:rPr>
                <w:rFonts w:ascii="Calibri" w:eastAsia="Calibri" w:hAnsi="Calibri" w:cs="Arial"/>
                <w:sz w:val="16"/>
                <w:szCs w:val="16"/>
                <w:lang w:val="en-US"/>
              </w:rPr>
              <w:t>commitments</w:t>
            </w:r>
            <w:proofErr w:type="gramEnd"/>
            <w:r w:rsidRPr="00537128">
              <w:rPr>
                <w:rFonts w:ascii="Calibri" w:eastAsia="Calibri" w:hAnsi="Calibri" w:cs="Arial"/>
                <w:sz w:val="16"/>
                <w:szCs w:val="16"/>
                <w:lang w:val="en-US"/>
              </w:rPr>
              <w:t xml:space="preserve"> and other liabilities</w:t>
            </w:r>
          </w:p>
        </w:tc>
        <w:tc>
          <w:tcPr>
            <w:tcW w:w="481" w:type="pct"/>
            <w:tcBorders>
              <w:top w:val="nil"/>
              <w:left w:val="nil"/>
              <w:bottom w:val="nil"/>
              <w:right w:val="nil"/>
            </w:tcBorders>
            <w:vAlign w:val="bottom"/>
          </w:tcPr>
          <w:p w14:paraId="3E99BC2C" w14:textId="02E472E5" w:rsidR="00091EE0" w:rsidRPr="00537128" w:rsidRDefault="00091EE0" w:rsidP="00091EE0">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c>
          <w:tcPr>
            <w:tcW w:w="485" w:type="pct"/>
            <w:tcBorders>
              <w:top w:val="nil"/>
              <w:left w:val="nil"/>
              <w:bottom w:val="nil"/>
              <w:right w:val="nil"/>
            </w:tcBorders>
            <w:vAlign w:val="bottom"/>
          </w:tcPr>
          <w:p w14:paraId="2AD4BC07" w14:textId="11186694" w:rsidR="00091EE0" w:rsidRPr="00537128" w:rsidRDefault="00091EE0" w:rsidP="00091EE0">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c>
          <w:tcPr>
            <w:tcW w:w="485" w:type="pct"/>
            <w:tcBorders>
              <w:top w:val="nil"/>
              <w:left w:val="nil"/>
              <w:bottom w:val="nil"/>
              <w:right w:val="nil"/>
            </w:tcBorders>
            <w:vAlign w:val="bottom"/>
          </w:tcPr>
          <w:p w14:paraId="3E3E1C6E" w14:textId="7023F5C3" w:rsidR="00091EE0" w:rsidRPr="00537128" w:rsidRDefault="00091EE0" w:rsidP="00091EE0">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c>
          <w:tcPr>
            <w:tcW w:w="493" w:type="pct"/>
            <w:tcBorders>
              <w:top w:val="nil"/>
              <w:left w:val="nil"/>
              <w:bottom w:val="nil"/>
              <w:right w:val="nil"/>
            </w:tcBorders>
            <w:vAlign w:val="bottom"/>
          </w:tcPr>
          <w:p w14:paraId="6FD5712A" w14:textId="2E981AF3" w:rsidR="00091EE0" w:rsidRPr="00537128" w:rsidRDefault="00091EE0" w:rsidP="00091EE0">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c>
          <w:tcPr>
            <w:tcW w:w="482" w:type="pct"/>
            <w:tcBorders>
              <w:top w:val="nil"/>
              <w:left w:val="nil"/>
              <w:bottom w:val="nil"/>
              <w:right w:val="nil"/>
            </w:tcBorders>
            <w:vAlign w:val="bottom"/>
          </w:tcPr>
          <w:p w14:paraId="6A6343DA" w14:textId="1C4E9F57" w:rsidR="00091EE0" w:rsidRPr="00537128" w:rsidRDefault="00091EE0" w:rsidP="00091EE0">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c>
          <w:tcPr>
            <w:tcW w:w="486" w:type="pct"/>
            <w:tcBorders>
              <w:top w:val="nil"/>
              <w:left w:val="nil"/>
              <w:right w:val="nil"/>
            </w:tcBorders>
            <w:vAlign w:val="bottom"/>
          </w:tcPr>
          <w:p w14:paraId="7D2EFC1A" w14:textId="5ACD4F5E" w:rsidR="00091EE0" w:rsidRPr="00537128" w:rsidRDefault="00091EE0" w:rsidP="00091EE0">
            <w:pPr>
              <w:spacing w:after="0" w:line="320" w:lineRule="exact"/>
              <w:jc w:val="right"/>
              <w:rPr>
                <w:rFonts w:ascii="Calibri" w:eastAsia="Times New Roman" w:hAnsi="Calibri" w:cs="Calibri"/>
                <w:sz w:val="16"/>
                <w:szCs w:val="16"/>
                <w:lang w:val="en-US"/>
              </w:rPr>
            </w:pPr>
            <w:r w:rsidRPr="00F95646">
              <w:rPr>
                <w:rFonts w:ascii="Calibri" w:eastAsia="Calibri" w:hAnsi="Calibri" w:cs="Arial"/>
                <w:bCs/>
                <w:color w:val="000000"/>
                <w:sz w:val="16"/>
                <w:szCs w:val="16"/>
              </w:rPr>
              <w:t>144</w:t>
            </w:r>
            <w:r>
              <w:rPr>
                <w:rFonts w:ascii="Calibri" w:eastAsia="Calibri" w:hAnsi="Calibri" w:cs="Arial"/>
                <w:bCs/>
                <w:color w:val="000000"/>
                <w:sz w:val="16"/>
                <w:szCs w:val="16"/>
              </w:rPr>
              <w:t>,648</w:t>
            </w:r>
          </w:p>
        </w:tc>
        <w:tc>
          <w:tcPr>
            <w:tcW w:w="482" w:type="pct"/>
            <w:tcBorders>
              <w:top w:val="nil"/>
              <w:left w:val="nil"/>
              <w:right w:val="nil"/>
            </w:tcBorders>
            <w:vAlign w:val="bottom"/>
          </w:tcPr>
          <w:p w14:paraId="0E8A5F98" w14:textId="4773A21C" w:rsidR="00091EE0" w:rsidRPr="00537128" w:rsidRDefault="00091EE0" w:rsidP="00091EE0">
            <w:pPr>
              <w:spacing w:after="0" w:line="320" w:lineRule="exact"/>
              <w:jc w:val="right"/>
              <w:rPr>
                <w:rFonts w:ascii="Calibri" w:eastAsia="Times New Roman" w:hAnsi="Calibri" w:cs="Calibri"/>
                <w:sz w:val="16"/>
                <w:szCs w:val="16"/>
                <w:lang w:val="en-US"/>
              </w:rPr>
            </w:pPr>
            <w:r w:rsidRPr="00F95646">
              <w:rPr>
                <w:rFonts w:ascii="Calibri" w:eastAsia="Calibri" w:hAnsi="Calibri" w:cs="Arial"/>
                <w:bCs/>
                <w:color w:val="000000"/>
                <w:sz w:val="16"/>
                <w:szCs w:val="16"/>
              </w:rPr>
              <w:t>144</w:t>
            </w:r>
            <w:r>
              <w:rPr>
                <w:rFonts w:ascii="Calibri" w:eastAsia="Calibri" w:hAnsi="Calibri" w:cs="Arial"/>
                <w:bCs/>
                <w:color w:val="000000"/>
                <w:sz w:val="16"/>
                <w:szCs w:val="16"/>
              </w:rPr>
              <w:t>,648</w:t>
            </w:r>
          </w:p>
        </w:tc>
        <w:tc>
          <w:tcPr>
            <w:tcW w:w="484" w:type="pct"/>
            <w:tcBorders>
              <w:top w:val="nil"/>
              <w:left w:val="nil"/>
              <w:bottom w:val="nil"/>
              <w:right w:val="nil"/>
            </w:tcBorders>
            <w:vAlign w:val="bottom"/>
          </w:tcPr>
          <w:p w14:paraId="6D81FE4B" w14:textId="7A18FC8B" w:rsidR="00091EE0" w:rsidRPr="00537128" w:rsidRDefault="00091EE0" w:rsidP="00091EE0">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r>
      <w:tr w:rsidR="00091EE0" w:rsidRPr="00537128" w14:paraId="6FC5286A" w14:textId="77777777" w:rsidTr="00A1123E">
        <w:trPr>
          <w:trHeight w:hRule="exact" w:val="285"/>
        </w:trPr>
        <w:tc>
          <w:tcPr>
            <w:tcW w:w="1122" w:type="pct"/>
            <w:vAlign w:val="center"/>
          </w:tcPr>
          <w:p w14:paraId="7D3276E7" w14:textId="77777777" w:rsidR="00091EE0" w:rsidRPr="00537128" w:rsidRDefault="00091EE0" w:rsidP="00091EE0">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Other liabilities </w:t>
            </w:r>
          </w:p>
        </w:tc>
        <w:tc>
          <w:tcPr>
            <w:tcW w:w="481" w:type="pct"/>
            <w:tcBorders>
              <w:top w:val="nil"/>
              <w:left w:val="nil"/>
              <w:bottom w:val="single" w:sz="4" w:space="0" w:color="auto"/>
              <w:right w:val="nil"/>
            </w:tcBorders>
            <w:vAlign w:val="bottom"/>
          </w:tcPr>
          <w:p w14:paraId="14088171" w14:textId="2B9D4F04" w:rsidR="00091EE0" w:rsidRPr="00537128" w:rsidRDefault="00091EE0" w:rsidP="00091EE0">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85" w:type="pct"/>
            <w:tcBorders>
              <w:top w:val="nil"/>
              <w:left w:val="nil"/>
              <w:bottom w:val="single" w:sz="4" w:space="0" w:color="auto"/>
              <w:right w:val="nil"/>
            </w:tcBorders>
            <w:vAlign w:val="bottom"/>
          </w:tcPr>
          <w:p w14:paraId="255A99E7" w14:textId="4CED234B" w:rsidR="00091EE0" w:rsidRPr="00537128" w:rsidRDefault="00091EE0" w:rsidP="00091EE0">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85" w:type="pct"/>
            <w:tcBorders>
              <w:top w:val="nil"/>
              <w:left w:val="nil"/>
              <w:bottom w:val="single" w:sz="4" w:space="0" w:color="auto"/>
              <w:right w:val="nil"/>
            </w:tcBorders>
            <w:vAlign w:val="bottom"/>
          </w:tcPr>
          <w:p w14:paraId="1FCF0232" w14:textId="406FE217" w:rsidR="00091EE0" w:rsidRPr="00537128" w:rsidRDefault="00091EE0" w:rsidP="00091EE0">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93" w:type="pct"/>
            <w:tcBorders>
              <w:top w:val="nil"/>
              <w:left w:val="nil"/>
              <w:bottom w:val="single" w:sz="4" w:space="0" w:color="auto"/>
              <w:right w:val="nil"/>
            </w:tcBorders>
            <w:vAlign w:val="bottom"/>
          </w:tcPr>
          <w:p w14:paraId="6393F262" w14:textId="1F417123" w:rsidR="00091EE0" w:rsidRPr="00537128" w:rsidRDefault="00091EE0" w:rsidP="00091EE0">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82" w:type="pct"/>
            <w:tcBorders>
              <w:top w:val="nil"/>
              <w:left w:val="nil"/>
              <w:bottom w:val="single" w:sz="4" w:space="0" w:color="auto"/>
              <w:right w:val="nil"/>
            </w:tcBorders>
            <w:vAlign w:val="bottom"/>
          </w:tcPr>
          <w:p w14:paraId="3DC6789C" w14:textId="2C9E0AF5" w:rsidR="00091EE0" w:rsidRPr="00537128" w:rsidRDefault="00091EE0" w:rsidP="00091EE0">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86" w:type="pct"/>
            <w:tcBorders>
              <w:left w:val="nil"/>
              <w:bottom w:val="single" w:sz="4" w:space="0" w:color="auto"/>
              <w:right w:val="nil"/>
            </w:tcBorders>
            <w:vAlign w:val="bottom"/>
          </w:tcPr>
          <w:p w14:paraId="020DDECE" w14:textId="4FC3C33E" w:rsidR="00091EE0" w:rsidRPr="00537128" w:rsidRDefault="00091EE0" w:rsidP="00091EE0">
            <w:pPr>
              <w:spacing w:after="0" w:line="320" w:lineRule="exact"/>
              <w:jc w:val="right"/>
              <w:rPr>
                <w:rFonts w:ascii="Calibri" w:eastAsia="Calibri" w:hAnsi="Calibri" w:cs="Arial"/>
                <w:b/>
                <w:bCs/>
                <w:sz w:val="16"/>
                <w:szCs w:val="16"/>
                <w:lang w:val="en-US"/>
              </w:rPr>
            </w:pPr>
            <w:r w:rsidRPr="00D60FDE">
              <w:rPr>
                <w:rFonts w:ascii="Calibri" w:eastAsia="Calibri" w:hAnsi="Calibri" w:cs="Arial"/>
                <w:bCs/>
                <w:color w:val="000000"/>
                <w:sz w:val="16"/>
                <w:szCs w:val="16"/>
              </w:rPr>
              <w:t>369</w:t>
            </w:r>
            <w:r>
              <w:rPr>
                <w:rFonts w:ascii="Calibri" w:eastAsia="Calibri" w:hAnsi="Calibri" w:cs="Arial"/>
                <w:bCs/>
                <w:color w:val="000000"/>
                <w:sz w:val="16"/>
                <w:szCs w:val="16"/>
              </w:rPr>
              <w:t>,</w:t>
            </w:r>
            <w:r w:rsidRPr="00D60FDE">
              <w:rPr>
                <w:rFonts w:ascii="Calibri" w:eastAsia="Calibri" w:hAnsi="Calibri" w:cs="Arial"/>
                <w:bCs/>
                <w:color w:val="000000"/>
                <w:sz w:val="16"/>
                <w:szCs w:val="16"/>
              </w:rPr>
              <w:t>310</w:t>
            </w:r>
          </w:p>
        </w:tc>
        <w:tc>
          <w:tcPr>
            <w:tcW w:w="482" w:type="pct"/>
            <w:tcBorders>
              <w:left w:val="nil"/>
              <w:bottom w:val="single" w:sz="4" w:space="0" w:color="auto"/>
              <w:right w:val="nil"/>
            </w:tcBorders>
            <w:vAlign w:val="bottom"/>
          </w:tcPr>
          <w:p w14:paraId="6929280D" w14:textId="60B8A9FD" w:rsidR="00091EE0" w:rsidRPr="00537128" w:rsidRDefault="00091EE0" w:rsidP="00091EE0">
            <w:pPr>
              <w:spacing w:after="0" w:line="320" w:lineRule="exact"/>
              <w:jc w:val="right"/>
              <w:rPr>
                <w:rFonts w:ascii="Calibri" w:eastAsia="Calibri" w:hAnsi="Calibri" w:cs="Arial"/>
                <w:b/>
                <w:bCs/>
                <w:sz w:val="16"/>
                <w:szCs w:val="16"/>
                <w:lang w:val="en-US"/>
              </w:rPr>
            </w:pPr>
            <w:r w:rsidRPr="00D60FDE">
              <w:rPr>
                <w:rFonts w:ascii="Calibri" w:eastAsia="Calibri" w:hAnsi="Calibri" w:cs="Arial"/>
                <w:bCs/>
                <w:color w:val="000000"/>
                <w:sz w:val="16"/>
                <w:szCs w:val="16"/>
              </w:rPr>
              <w:t>369</w:t>
            </w:r>
            <w:r>
              <w:rPr>
                <w:rFonts w:ascii="Calibri" w:eastAsia="Calibri" w:hAnsi="Calibri" w:cs="Arial"/>
                <w:bCs/>
                <w:color w:val="000000"/>
                <w:sz w:val="16"/>
                <w:szCs w:val="16"/>
              </w:rPr>
              <w:t>,</w:t>
            </w:r>
            <w:r w:rsidRPr="00D60FDE">
              <w:rPr>
                <w:rFonts w:ascii="Calibri" w:eastAsia="Calibri" w:hAnsi="Calibri" w:cs="Arial"/>
                <w:bCs/>
                <w:color w:val="000000"/>
                <w:sz w:val="16"/>
                <w:szCs w:val="16"/>
              </w:rPr>
              <w:t>310</w:t>
            </w:r>
          </w:p>
        </w:tc>
        <w:tc>
          <w:tcPr>
            <w:tcW w:w="484" w:type="pct"/>
            <w:tcBorders>
              <w:top w:val="nil"/>
              <w:left w:val="nil"/>
              <w:bottom w:val="single" w:sz="4" w:space="0" w:color="auto"/>
              <w:right w:val="nil"/>
            </w:tcBorders>
            <w:vAlign w:val="bottom"/>
          </w:tcPr>
          <w:p w14:paraId="6AF262CC" w14:textId="4BD1AF64" w:rsidR="00091EE0" w:rsidRPr="00537128" w:rsidDel="00D96E20" w:rsidRDefault="00091EE0" w:rsidP="00091EE0">
            <w:pPr>
              <w:spacing w:after="0" w:line="320" w:lineRule="exact"/>
              <w:jc w:val="right"/>
              <w:rPr>
                <w:rFonts w:ascii="Calibri" w:eastAsia="Calibri" w:hAnsi="Calibri" w:cs="Times New Roman"/>
                <w:b/>
                <w:bCs/>
                <w:sz w:val="16"/>
                <w:szCs w:val="16"/>
                <w:lang w:val="en-US"/>
              </w:rPr>
            </w:pPr>
            <w:r>
              <w:rPr>
                <w:rFonts w:ascii="Calibri" w:eastAsia="Calibri" w:hAnsi="Calibri" w:cs="Arial"/>
                <w:bCs/>
                <w:color w:val="000000"/>
                <w:sz w:val="16"/>
                <w:szCs w:val="16"/>
              </w:rPr>
              <w:t>-</w:t>
            </w:r>
          </w:p>
        </w:tc>
      </w:tr>
      <w:tr w:rsidR="00091EE0" w:rsidRPr="00537128" w14:paraId="462DB76E" w14:textId="77777777" w:rsidTr="00A1123E">
        <w:trPr>
          <w:trHeight w:hRule="exact" w:val="298"/>
        </w:trPr>
        <w:tc>
          <w:tcPr>
            <w:tcW w:w="1122" w:type="pct"/>
            <w:vAlign w:val="center"/>
          </w:tcPr>
          <w:p w14:paraId="79AC5188" w14:textId="77777777" w:rsidR="00091EE0" w:rsidRPr="00537128" w:rsidRDefault="00091EE0" w:rsidP="00091EE0">
            <w:pPr>
              <w:tabs>
                <w:tab w:val="right" w:pos="1202"/>
              </w:tabs>
              <w:spacing w:after="0" w:line="320" w:lineRule="exact"/>
              <w:outlineLvl w:val="0"/>
              <w:rPr>
                <w:rFonts w:ascii="Calibri" w:eastAsia="Times New Roman" w:hAnsi="Calibri" w:cs="Arial"/>
                <w:b/>
                <w:bCs/>
                <w:sz w:val="16"/>
                <w:szCs w:val="16"/>
                <w:lang w:val="en-US"/>
              </w:rPr>
            </w:pPr>
            <w:bookmarkStart w:id="1032" w:name="_Toc4062752"/>
            <w:r w:rsidRPr="00537128">
              <w:rPr>
                <w:rFonts w:ascii="Calibri" w:eastAsia="Times New Roman" w:hAnsi="Calibri" w:cs="Arial"/>
                <w:b/>
                <w:bCs/>
                <w:sz w:val="16"/>
                <w:szCs w:val="16"/>
                <w:lang w:val="en-US"/>
              </w:rPr>
              <w:t>Total liabilities</w:t>
            </w:r>
            <w:bookmarkEnd w:id="1032"/>
            <w:r w:rsidRPr="00537128">
              <w:rPr>
                <w:rFonts w:ascii="Calibri" w:eastAsia="Times New Roman" w:hAnsi="Calibri" w:cs="Arial"/>
                <w:b/>
                <w:bCs/>
                <w:sz w:val="16"/>
                <w:szCs w:val="16"/>
                <w:lang w:val="en-US"/>
              </w:rPr>
              <w:t xml:space="preserve"> </w:t>
            </w:r>
          </w:p>
        </w:tc>
        <w:tc>
          <w:tcPr>
            <w:tcW w:w="481" w:type="pct"/>
            <w:tcBorders>
              <w:top w:val="single" w:sz="4" w:space="0" w:color="auto"/>
              <w:left w:val="nil"/>
              <w:bottom w:val="single" w:sz="12" w:space="0" w:color="auto"/>
              <w:right w:val="nil"/>
            </w:tcBorders>
            <w:vAlign w:val="bottom"/>
          </w:tcPr>
          <w:p w14:paraId="62C0C551" w14:textId="65DA768E" w:rsidR="00091EE0" w:rsidRPr="00537128" w:rsidRDefault="00091EE0" w:rsidP="00091EE0">
            <w:pPr>
              <w:spacing w:after="0" w:line="320" w:lineRule="exact"/>
              <w:jc w:val="right"/>
              <w:rPr>
                <w:rFonts w:ascii="Calibri" w:eastAsia="Calibri" w:hAnsi="Calibri" w:cs="Arial"/>
                <w:b/>
                <w:bCs/>
                <w:sz w:val="16"/>
                <w:szCs w:val="16"/>
                <w:lang w:val="en-US"/>
              </w:rPr>
            </w:pPr>
            <w:r w:rsidRPr="00D60FDE">
              <w:rPr>
                <w:rFonts w:ascii="Calibri" w:eastAsia="Calibri" w:hAnsi="Calibri" w:cs="Arial"/>
                <w:b/>
                <w:color w:val="000000"/>
                <w:sz w:val="16"/>
                <w:szCs w:val="16"/>
              </w:rPr>
              <w:t>273</w:t>
            </w:r>
            <w:r>
              <w:rPr>
                <w:rFonts w:ascii="Calibri" w:eastAsia="Calibri" w:hAnsi="Calibri" w:cs="Arial"/>
                <w:b/>
                <w:color w:val="000000"/>
                <w:sz w:val="16"/>
                <w:szCs w:val="16"/>
              </w:rPr>
              <w:t>,</w:t>
            </w:r>
            <w:r w:rsidRPr="00D60FDE">
              <w:rPr>
                <w:rFonts w:ascii="Calibri" w:eastAsia="Calibri" w:hAnsi="Calibri" w:cs="Arial"/>
                <w:b/>
                <w:color w:val="000000"/>
                <w:sz w:val="16"/>
                <w:szCs w:val="16"/>
              </w:rPr>
              <w:t>788</w:t>
            </w:r>
          </w:p>
        </w:tc>
        <w:tc>
          <w:tcPr>
            <w:tcW w:w="485" w:type="pct"/>
            <w:tcBorders>
              <w:top w:val="single" w:sz="4" w:space="0" w:color="auto"/>
              <w:left w:val="nil"/>
              <w:bottom w:val="single" w:sz="12" w:space="0" w:color="auto"/>
              <w:right w:val="nil"/>
            </w:tcBorders>
            <w:vAlign w:val="bottom"/>
          </w:tcPr>
          <w:p w14:paraId="185E9875" w14:textId="534D076C" w:rsidR="00091EE0" w:rsidRPr="00537128" w:rsidRDefault="00091EE0" w:rsidP="00091EE0">
            <w:pPr>
              <w:spacing w:after="0" w:line="320" w:lineRule="exact"/>
              <w:jc w:val="right"/>
              <w:rPr>
                <w:rFonts w:ascii="Calibri" w:eastAsia="Calibri" w:hAnsi="Calibri" w:cs="Arial"/>
                <w:b/>
                <w:bCs/>
                <w:sz w:val="16"/>
                <w:szCs w:val="16"/>
                <w:lang w:val="en-US"/>
              </w:rPr>
            </w:pPr>
            <w:r w:rsidRPr="00D60FDE">
              <w:rPr>
                <w:rFonts w:ascii="Calibri" w:eastAsia="Calibri" w:hAnsi="Calibri" w:cs="Arial"/>
                <w:b/>
                <w:color w:val="000000"/>
                <w:sz w:val="16"/>
                <w:szCs w:val="16"/>
              </w:rPr>
              <w:t>544</w:t>
            </w:r>
            <w:r>
              <w:rPr>
                <w:rFonts w:ascii="Calibri" w:eastAsia="Calibri" w:hAnsi="Calibri" w:cs="Arial"/>
                <w:b/>
                <w:color w:val="000000"/>
                <w:sz w:val="16"/>
                <w:szCs w:val="16"/>
              </w:rPr>
              <w:t>,</w:t>
            </w:r>
            <w:r w:rsidRPr="00D60FDE">
              <w:rPr>
                <w:rFonts w:ascii="Calibri" w:eastAsia="Calibri" w:hAnsi="Calibri" w:cs="Arial"/>
                <w:b/>
                <w:color w:val="000000"/>
                <w:sz w:val="16"/>
                <w:szCs w:val="16"/>
              </w:rPr>
              <w:t>389</w:t>
            </w:r>
          </w:p>
        </w:tc>
        <w:tc>
          <w:tcPr>
            <w:tcW w:w="485" w:type="pct"/>
            <w:tcBorders>
              <w:top w:val="single" w:sz="4" w:space="0" w:color="auto"/>
              <w:left w:val="nil"/>
              <w:bottom w:val="single" w:sz="12" w:space="0" w:color="auto"/>
              <w:right w:val="nil"/>
            </w:tcBorders>
            <w:vAlign w:val="bottom"/>
          </w:tcPr>
          <w:p w14:paraId="000B86CA" w14:textId="6A9638DB" w:rsidR="00091EE0" w:rsidRPr="00537128" w:rsidRDefault="00091EE0" w:rsidP="00091EE0">
            <w:pPr>
              <w:spacing w:after="0" w:line="320" w:lineRule="exact"/>
              <w:jc w:val="right"/>
              <w:rPr>
                <w:rFonts w:ascii="Calibri" w:eastAsia="Calibri" w:hAnsi="Calibri" w:cs="Arial"/>
                <w:b/>
                <w:bCs/>
                <w:sz w:val="16"/>
                <w:szCs w:val="16"/>
                <w:lang w:val="en-US"/>
              </w:rPr>
            </w:pPr>
            <w:r w:rsidRPr="00D60FDE">
              <w:rPr>
                <w:rFonts w:ascii="Calibri" w:eastAsia="Calibri" w:hAnsi="Calibri" w:cs="Arial"/>
                <w:b/>
                <w:color w:val="000000"/>
                <w:sz w:val="16"/>
                <w:szCs w:val="16"/>
              </w:rPr>
              <w:t>1</w:t>
            </w:r>
            <w:r>
              <w:rPr>
                <w:rFonts w:ascii="Calibri" w:eastAsia="Calibri" w:hAnsi="Calibri" w:cs="Arial"/>
                <w:b/>
                <w:color w:val="000000"/>
                <w:sz w:val="16"/>
                <w:szCs w:val="16"/>
              </w:rPr>
              <w:t>,</w:t>
            </w:r>
            <w:r w:rsidRPr="00D60FDE">
              <w:rPr>
                <w:rFonts w:ascii="Calibri" w:eastAsia="Calibri" w:hAnsi="Calibri" w:cs="Arial"/>
                <w:b/>
                <w:color w:val="000000"/>
                <w:sz w:val="16"/>
                <w:szCs w:val="16"/>
              </w:rPr>
              <w:t>713</w:t>
            </w:r>
            <w:r>
              <w:rPr>
                <w:rFonts w:ascii="Calibri" w:eastAsia="Calibri" w:hAnsi="Calibri" w:cs="Arial"/>
                <w:b/>
                <w:color w:val="000000"/>
                <w:sz w:val="16"/>
                <w:szCs w:val="16"/>
              </w:rPr>
              <w:t>,</w:t>
            </w:r>
            <w:r w:rsidRPr="00D60FDE">
              <w:rPr>
                <w:rFonts w:ascii="Calibri" w:eastAsia="Calibri" w:hAnsi="Calibri" w:cs="Arial"/>
                <w:b/>
                <w:color w:val="000000"/>
                <w:sz w:val="16"/>
                <w:szCs w:val="16"/>
              </w:rPr>
              <w:t>818</w:t>
            </w:r>
          </w:p>
        </w:tc>
        <w:tc>
          <w:tcPr>
            <w:tcW w:w="493" w:type="pct"/>
            <w:tcBorders>
              <w:top w:val="single" w:sz="4" w:space="0" w:color="auto"/>
              <w:left w:val="nil"/>
              <w:bottom w:val="single" w:sz="12" w:space="0" w:color="auto"/>
              <w:right w:val="nil"/>
            </w:tcBorders>
            <w:vAlign w:val="bottom"/>
          </w:tcPr>
          <w:p w14:paraId="553EB565" w14:textId="4190575C" w:rsidR="00091EE0" w:rsidRPr="00537128" w:rsidRDefault="00091EE0" w:rsidP="00091EE0">
            <w:pPr>
              <w:spacing w:after="0" w:line="320" w:lineRule="exact"/>
              <w:jc w:val="right"/>
              <w:rPr>
                <w:rFonts w:ascii="Calibri" w:eastAsia="Calibri" w:hAnsi="Calibri" w:cs="Arial"/>
                <w:b/>
                <w:bCs/>
                <w:sz w:val="16"/>
                <w:szCs w:val="16"/>
                <w:lang w:val="en-US"/>
              </w:rPr>
            </w:pPr>
            <w:r w:rsidRPr="00D60FDE">
              <w:rPr>
                <w:rFonts w:ascii="Calibri" w:eastAsia="Calibri" w:hAnsi="Calibri" w:cs="Arial"/>
                <w:b/>
                <w:color w:val="000000"/>
                <w:sz w:val="16"/>
                <w:szCs w:val="16"/>
              </w:rPr>
              <w:t>5</w:t>
            </w:r>
            <w:r>
              <w:rPr>
                <w:rFonts w:ascii="Calibri" w:eastAsia="Calibri" w:hAnsi="Calibri" w:cs="Arial"/>
                <w:b/>
                <w:color w:val="000000"/>
                <w:sz w:val="16"/>
                <w:szCs w:val="16"/>
              </w:rPr>
              <w:t>,</w:t>
            </w:r>
            <w:r w:rsidRPr="00D60FDE">
              <w:rPr>
                <w:rFonts w:ascii="Calibri" w:eastAsia="Calibri" w:hAnsi="Calibri" w:cs="Arial"/>
                <w:b/>
                <w:color w:val="000000"/>
                <w:sz w:val="16"/>
                <w:szCs w:val="16"/>
              </w:rPr>
              <w:t>689</w:t>
            </w:r>
            <w:r>
              <w:rPr>
                <w:rFonts w:ascii="Calibri" w:eastAsia="Calibri" w:hAnsi="Calibri" w:cs="Arial"/>
                <w:b/>
                <w:color w:val="000000"/>
                <w:sz w:val="16"/>
                <w:szCs w:val="16"/>
              </w:rPr>
              <w:t>,</w:t>
            </w:r>
            <w:r w:rsidRPr="00D60FDE">
              <w:rPr>
                <w:rFonts w:ascii="Calibri" w:eastAsia="Calibri" w:hAnsi="Calibri" w:cs="Arial"/>
                <w:b/>
                <w:color w:val="000000"/>
                <w:sz w:val="16"/>
                <w:szCs w:val="16"/>
              </w:rPr>
              <w:t>476</w:t>
            </w:r>
          </w:p>
        </w:tc>
        <w:tc>
          <w:tcPr>
            <w:tcW w:w="482" w:type="pct"/>
            <w:tcBorders>
              <w:top w:val="single" w:sz="4" w:space="0" w:color="auto"/>
              <w:left w:val="nil"/>
              <w:bottom w:val="single" w:sz="12" w:space="0" w:color="auto"/>
              <w:right w:val="nil"/>
            </w:tcBorders>
            <w:vAlign w:val="bottom"/>
          </w:tcPr>
          <w:p w14:paraId="61C1BE81" w14:textId="296218A0" w:rsidR="00091EE0" w:rsidRPr="00537128" w:rsidRDefault="00091EE0" w:rsidP="00091EE0">
            <w:pPr>
              <w:spacing w:after="0" w:line="320" w:lineRule="exact"/>
              <w:jc w:val="right"/>
              <w:rPr>
                <w:rFonts w:ascii="Calibri" w:eastAsia="Calibri" w:hAnsi="Calibri" w:cs="Arial"/>
                <w:b/>
                <w:bCs/>
                <w:sz w:val="16"/>
                <w:szCs w:val="16"/>
                <w:lang w:val="en-US"/>
              </w:rPr>
            </w:pPr>
            <w:r w:rsidRPr="00D60FDE">
              <w:rPr>
                <w:rFonts w:ascii="Calibri" w:eastAsia="Calibri" w:hAnsi="Calibri" w:cs="Arial"/>
                <w:b/>
                <w:color w:val="000000"/>
                <w:sz w:val="16"/>
                <w:szCs w:val="16"/>
              </w:rPr>
              <w:t>7</w:t>
            </w:r>
            <w:r>
              <w:rPr>
                <w:rFonts w:ascii="Calibri" w:eastAsia="Calibri" w:hAnsi="Calibri" w:cs="Arial"/>
                <w:b/>
                <w:color w:val="000000"/>
                <w:sz w:val="16"/>
                <w:szCs w:val="16"/>
              </w:rPr>
              <w:t>,</w:t>
            </w:r>
            <w:r w:rsidRPr="00D60FDE">
              <w:rPr>
                <w:rFonts w:ascii="Calibri" w:eastAsia="Calibri" w:hAnsi="Calibri" w:cs="Arial"/>
                <w:b/>
                <w:color w:val="000000"/>
                <w:sz w:val="16"/>
                <w:szCs w:val="16"/>
              </w:rPr>
              <w:t>682</w:t>
            </w:r>
            <w:r>
              <w:rPr>
                <w:rFonts w:ascii="Calibri" w:eastAsia="Calibri" w:hAnsi="Calibri" w:cs="Arial"/>
                <w:b/>
                <w:color w:val="000000"/>
                <w:sz w:val="16"/>
                <w:szCs w:val="16"/>
              </w:rPr>
              <w:t>,</w:t>
            </w:r>
            <w:r w:rsidRPr="00D60FDE">
              <w:rPr>
                <w:rFonts w:ascii="Calibri" w:eastAsia="Calibri" w:hAnsi="Calibri" w:cs="Arial"/>
                <w:b/>
                <w:color w:val="000000"/>
                <w:sz w:val="16"/>
                <w:szCs w:val="16"/>
              </w:rPr>
              <w:t>788</w:t>
            </w:r>
          </w:p>
        </w:tc>
        <w:tc>
          <w:tcPr>
            <w:tcW w:w="486" w:type="pct"/>
            <w:tcBorders>
              <w:top w:val="single" w:sz="4" w:space="0" w:color="auto"/>
              <w:left w:val="nil"/>
              <w:bottom w:val="single" w:sz="12" w:space="0" w:color="auto"/>
              <w:right w:val="nil"/>
            </w:tcBorders>
            <w:vAlign w:val="bottom"/>
          </w:tcPr>
          <w:p w14:paraId="60B64808" w14:textId="350070F9" w:rsidR="00091EE0" w:rsidRPr="00537128" w:rsidRDefault="00091EE0" w:rsidP="00091EE0">
            <w:pPr>
              <w:spacing w:after="0" w:line="320" w:lineRule="exact"/>
              <w:jc w:val="right"/>
              <w:rPr>
                <w:rFonts w:ascii="Calibri" w:eastAsia="Calibri" w:hAnsi="Calibri" w:cs="Arial"/>
                <w:b/>
                <w:bCs/>
                <w:sz w:val="16"/>
                <w:szCs w:val="16"/>
                <w:lang w:val="en-US"/>
              </w:rPr>
            </w:pPr>
            <w:r w:rsidRPr="00D60FDE">
              <w:rPr>
                <w:rFonts w:ascii="Calibri" w:eastAsia="Calibri" w:hAnsi="Calibri" w:cs="Arial"/>
                <w:b/>
                <w:color w:val="000000"/>
                <w:sz w:val="16"/>
                <w:szCs w:val="16"/>
              </w:rPr>
              <w:t>1</w:t>
            </w:r>
            <w:r>
              <w:rPr>
                <w:rFonts w:ascii="Calibri" w:eastAsia="Calibri" w:hAnsi="Calibri" w:cs="Arial"/>
                <w:b/>
                <w:color w:val="000000"/>
                <w:sz w:val="16"/>
                <w:szCs w:val="16"/>
              </w:rPr>
              <w:t>,</w:t>
            </w:r>
            <w:r w:rsidRPr="00D60FDE">
              <w:rPr>
                <w:rFonts w:ascii="Calibri" w:eastAsia="Calibri" w:hAnsi="Calibri" w:cs="Arial"/>
                <w:b/>
                <w:color w:val="000000"/>
                <w:sz w:val="16"/>
                <w:szCs w:val="16"/>
              </w:rPr>
              <w:t>045</w:t>
            </w:r>
            <w:r>
              <w:rPr>
                <w:rFonts w:ascii="Calibri" w:eastAsia="Calibri" w:hAnsi="Calibri" w:cs="Arial"/>
                <w:b/>
                <w:color w:val="000000"/>
                <w:sz w:val="16"/>
                <w:szCs w:val="16"/>
              </w:rPr>
              <w:t>,</w:t>
            </w:r>
            <w:r w:rsidRPr="00D60FDE">
              <w:rPr>
                <w:rFonts w:ascii="Calibri" w:eastAsia="Calibri" w:hAnsi="Calibri" w:cs="Arial"/>
                <w:b/>
                <w:color w:val="000000"/>
                <w:sz w:val="16"/>
                <w:szCs w:val="16"/>
              </w:rPr>
              <w:t>859</w:t>
            </w:r>
          </w:p>
        </w:tc>
        <w:tc>
          <w:tcPr>
            <w:tcW w:w="482" w:type="pct"/>
            <w:tcBorders>
              <w:top w:val="single" w:sz="4" w:space="0" w:color="auto"/>
              <w:left w:val="nil"/>
              <w:bottom w:val="single" w:sz="12" w:space="0" w:color="auto"/>
              <w:right w:val="nil"/>
            </w:tcBorders>
            <w:vAlign w:val="bottom"/>
          </w:tcPr>
          <w:p w14:paraId="4BF64DB2" w14:textId="4FF9952B" w:rsidR="00091EE0" w:rsidRPr="00537128" w:rsidRDefault="00091EE0" w:rsidP="00091EE0">
            <w:pPr>
              <w:spacing w:after="0" w:line="320" w:lineRule="exact"/>
              <w:jc w:val="right"/>
              <w:rPr>
                <w:rFonts w:ascii="Calibri" w:eastAsia="Calibri" w:hAnsi="Calibri" w:cs="Arial"/>
                <w:b/>
                <w:bCs/>
                <w:sz w:val="16"/>
                <w:szCs w:val="16"/>
                <w:lang w:val="en-US"/>
              </w:rPr>
            </w:pPr>
            <w:r w:rsidRPr="00D60FDE">
              <w:rPr>
                <w:rFonts w:ascii="Calibri" w:eastAsia="Calibri" w:hAnsi="Calibri" w:cs="Arial"/>
                <w:b/>
                <w:color w:val="000000"/>
                <w:sz w:val="16"/>
                <w:szCs w:val="16"/>
              </w:rPr>
              <w:t>16</w:t>
            </w:r>
            <w:r>
              <w:rPr>
                <w:rFonts w:ascii="Calibri" w:eastAsia="Calibri" w:hAnsi="Calibri" w:cs="Arial"/>
                <w:b/>
                <w:color w:val="000000"/>
                <w:sz w:val="16"/>
                <w:szCs w:val="16"/>
              </w:rPr>
              <w:t>,</w:t>
            </w:r>
            <w:r w:rsidRPr="00D60FDE">
              <w:rPr>
                <w:rFonts w:ascii="Calibri" w:eastAsia="Calibri" w:hAnsi="Calibri" w:cs="Arial"/>
                <w:b/>
                <w:color w:val="000000"/>
                <w:sz w:val="16"/>
                <w:szCs w:val="16"/>
              </w:rPr>
              <w:t>950</w:t>
            </w:r>
            <w:r>
              <w:rPr>
                <w:rFonts w:ascii="Calibri" w:eastAsia="Calibri" w:hAnsi="Calibri" w:cs="Arial"/>
                <w:b/>
                <w:color w:val="000000"/>
                <w:sz w:val="16"/>
                <w:szCs w:val="16"/>
              </w:rPr>
              <w:t>,</w:t>
            </w:r>
            <w:r w:rsidRPr="00D60FDE">
              <w:rPr>
                <w:rFonts w:ascii="Calibri" w:eastAsia="Calibri" w:hAnsi="Calibri" w:cs="Arial"/>
                <w:b/>
                <w:color w:val="000000"/>
                <w:sz w:val="16"/>
                <w:szCs w:val="16"/>
              </w:rPr>
              <w:t>118</w:t>
            </w:r>
          </w:p>
        </w:tc>
        <w:tc>
          <w:tcPr>
            <w:tcW w:w="484" w:type="pct"/>
            <w:tcBorders>
              <w:top w:val="single" w:sz="4" w:space="0" w:color="auto"/>
              <w:left w:val="nil"/>
              <w:bottom w:val="single" w:sz="12" w:space="0" w:color="auto"/>
              <w:right w:val="nil"/>
            </w:tcBorders>
            <w:vAlign w:val="bottom"/>
          </w:tcPr>
          <w:p w14:paraId="430F89FE" w14:textId="0A5E7A84" w:rsidR="00091EE0" w:rsidRPr="00537128" w:rsidDel="00D96E20" w:rsidRDefault="00091EE0" w:rsidP="00091EE0">
            <w:pPr>
              <w:spacing w:after="0" w:line="320" w:lineRule="exact"/>
              <w:jc w:val="right"/>
              <w:rPr>
                <w:rFonts w:ascii="Calibri" w:eastAsia="Calibri" w:hAnsi="Calibri" w:cs="Times New Roman"/>
                <w:b/>
                <w:bCs/>
                <w:sz w:val="16"/>
                <w:szCs w:val="16"/>
                <w:lang w:val="en-US"/>
              </w:rPr>
            </w:pPr>
            <w:r w:rsidRPr="00D60FDE">
              <w:rPr>
                <w:rFonts w:ascii="Calibri" w:eastAsia="Calibri" w:hAnsi="Calibri" w:cs="Arial"/>
                <w:b/>
                <w:color w:val="000000"/>
                <w:sz w:val="16"/>
                <w:szCs w:val="16"/>
              </w:rPr>
              <w:t>15</w:t>
            </w:r>
            <w:r>
              <w:rPr>
                <w:rFonts w:ascii="Calibri" w:eastAsia="Calibri" w:hAnsi="Calibri" w:cs="Arial"/>
                <w:b/>
                <w:color w:val="000000"/>
                <w:sz w:val="16"/>
                <w:szCs w:val="16"/>
              </w:rPr>
              <w:t>,</w:t>
            </w:r>
            <w:r w:rsidRPr="00D60FDE">
              <w:rPr>
                <w:rFonts w:ascii="Calibri" w:eastAsia="Calibri" w:hAnsi="Calibri" w:cs="Arial"/>
                <w:b/>
                <w:color w:val="000000"/>
                <w:sz w:val="16"/>
                <w:szCs w:val="16"/>
              </w:rPr>
              <w:t>892</w:t>
            </w:r>
            <w:r>
              <w:rPr>
                <w:rFonts w:ascii="Calibri" w:eastAsia="Calibri" w:hAnsi="Calibri" w:cs="Arial"/>
                <w:b/>
                <w:color w:val="000000"/>
                <w:sz w:val="16"/>
                <w:szCs w:val="16"/>
              </w:rPr>
              <w:t>,</w:t>
            </w:r>
            <w:r w:rsidRPr="00D60FDE">
              <w:rPr>
                <w:rFonts w:ascii="Calibri" w:eastAsia="Calibri" w:hAnsi="Calibri" w:cs="Arial"/>
                <w:b/>
                <w:color w:val="000000"/>
                <w:sz w:val="16"/>
                <w:szCs w:val="16"/>
              </w:rPr>
              <w:t>894</w:t>
            </w:r>
          </w:p>
        </w:tc>
      </w:tr>
      <w:tr w:rsidR="00091EE0" w:rsidRPr="00537128" w14:paraId="3619FC28" w14:textId="77777777" w:rsidTr="006A5067">
        <w:trPr>
          <w:trHeight w:hRule="exact" w:val="397"/>
        </w:trPr>
        <w:tc>
          <w:tcPr>
            <w:tcW w:w="1122" w:type="pct"/>
            <w:vAlign w:val="center"/>
          </w:tcPr>
          <w:p w14:paraId="62E2CEDA" w14:textId="77777777" w:rsidR="00091EE0" w:rsidRPr="00537128" w:rsidRDefault="00091EE0" w:rsidP="00091EE0">
            <w:pPr>
              <w:tabs>
                <w:tab w:val="right" w:pos="1202"/>
              </w:tabs>
              <w:spacing w:after="0" w:line="320" w:lineRule="exact"/>
              <w:outlineLvl w:val="0"/>
              <w:rPr>
                <w:rFonts w:ascii="Calibri" w:eastAsia="Times New Roman" w:hAnsi="Calibri" w:cs="Arial"/>
                <w:b/>
                <w:bCs/>
                <w:sz w:val="16"/>
                <w:szCs w:val="16"/>
                <w:lang w:val="en-US"/>
              </w:rPr>
            </w:pPr>
            <w:bookmarkStart w:id="1033" w:name="_Toc4062753"/>
            <w:r w:rsidRPr="00537128">
              <w:rPr>
                <w:rFonts w:ascii="Calibri" w:eastAsia="Times New Roman" w:hAnsi="Calibri" w:cs="Arial"/>
                <w:b/>
                <w:bCs/>
                <w:spacing w:val="-2"/>
                <w:sz w:val="16"/>
                <w:szCs w:val="16"/>
                <w:lang w:val="en-US"/>
              </w:rPr>
              <w:t>Interest rate gap</w:t>
            </w:r>
            <w:bookmarkEnd w:id="1033"/>
          </w:p>
        </w:tc>
        <w:tc>
          <w:tcPr>
            <w:tcW w:w="481" w:type="pct"/>
            <w:tcBorders>
              <w:top w:val="nil"/>
              <w:left w:val="nil"/>
              <w:bottom w:val="single" w:sz="12" w:space="0" w:color="auto"/>
              <w:right w:val="nil"/>
            </w:tcBorders>
            <w:vAlign w:val="bottom"/>
          </w:tcPr>
          <w:p w14:paraId="32265D82" w14:textId="37AC83DB" w:rsidR="00091EE0" w:rsidRPr="00537128" w:rsidRDefault="00091EE0" w:rsidP="00091EE0">
            <w:pPr>
              <w:spacing w:after="0" w:line="320" w:lineRule="exact"/>
              <w:jc w:val="right"/>
              <w:rPr>
                <w:rFonts w:ascii="Calibri" w:eastAsia="Calibri" w:hAnsi="Calibri" w:cs="Arial"/>
                <w:b/>
                <w:bCs/>
                <w:sz w:val="16"/>
                <w:szCs w:val="16"/>
                <w:lang w:val="en-US"/>
              </w:rPr>
            </w:pPr>
            <w:r w:rsidRPr="00D60FDE">
              <w:rPr>
                <w:rFonts w:ascii="Calibri" w:eastAsia="Calibri" w:hAnsi="Calibri" w:cs="Arial"/>
                <w:b/>
                <w:color w:val="000000"/>
                <w:sz w:val="16"/>
                <w:szCs w:val="16"/>
              </w:rPr>
              <w:t>4</w:t>
            </w:r>
            <w:r>
              <w:rPr>
                <w:rFonts w:ascii="Calibri" w:eastAsia="Calibri" w:hAnsi="Calibri" w:cs="Arial"/>
                <w:b/>
                <w:color w:val="000000"/>
                <w:sz w:val="16"/>
                <w:szCs w:val="16"/>
              </w:rPr>
              <w:t>,</w:t>
            </w:r>
            <w:r w:rsidRPr="00D60FDE">
              <w:rPr>
                <w:rFonts w:ascii="Calibri" w:eastAsia="Calibri" w:hAnsi="Calibri" w:cs="Arial"/>
                <w:b/>
                <w:color w:val="000000"/>
                <w:sz w:val="16"/>
                <w:szCs w:val="16"/>
              </w:rPr>
              <w:t>653</w:t>
            </w:r>
            <w:r>
              <w:rPr>
                <w:rFonts w:ascii="Calibri" w:eastAsia="Calibri" w:hAnsi="Calibri" w:cs="Arial"/>
                <w:b/>
                <w:color w:val="000000"/>
                <w:sz w:val="16"/>
                <w:szCs w:val="16"/>
              </w:rPr>
              <w:t>,</w:t>
            </w:r>
            <w:r w:rsidRPr="00D60FDE">
              <w:rPr>
                <w:rFonts w:ascii="Calibri" w:eastAsia="Calibri" w:hAnsi="Calibri" w:cs="Arial"/>
                <w:b/>
                <w:color w:val="000000"/>
                <w:sz w:val="16"/>
                <w:szCs w:val="16"/>
              </w:rPr>
              <w:t>572</w:t>
            </w:r>
          </w:p>
        </w:tc>
        <w:tc>
          <w:tcPr>
            <w:tcW w:w="485" w:type="pct"/>
            <w:tcBorders>
              <w:top w:val="nil"/>
              <w:left w:val="nil"/>
              <w:bottom w:val="single" w:sz="12" w:space="0" w:color="auto"/>
              <w:right w:val="nil"/>
            </w:tcBorders>
            <w:vAlign w:val="bottom"/>
          </w:tcPr>
          <w:p w14:paraId="04DE15AD" w14:textId="114ABFB9" w:rsidR="00091EE0" w:rsidRPr="00537128" w:rsidRDefault="00091EE0" w:rsidP="00091EE0">
            <w:pPr>
              <w:spacing w:after="0" w:line="320" w:lineRule="exact"/>
              <w:jc w:val="right"/>
              <w:rPr>
                <w:rFonts w:ascii="Calibri" w:eastAsia="Calibri" w:hAnsi="Calibri" w:cs="Arial"/>
                <w:b/>
                <w:bCs/>
                <w:sz w:val="16"/>
                <w:szCs w:val="16"/>
                <w:lang w:val="en-US"/>
              </w:rPr>
            </w:pPr>
            <w:r w:rsidRPr="00D60FDE">
              <w:rPr>
                <w:rFonts w:ascii="Calibri" w:eastAsia="Calibri" w:hAnsi="Calibri" w:cs="Arial"/>
                <w:b/>
                <w:color w:val="000000"/>
                <w:sz w:val="16"/>
                <w:szCs w:val="16"/>
              </w:rPr>
              <w:t>626</w:t>
            </w:r>
            <w:r>
              <w:rPr>
                <w:rFonts w:ascii="Calibri" w:eastAsia="Calibri" w:hAnsi="Calibri" w:cs="Arial"/>
                <w:b/>
                <w:color w:val="000000"/>
                <w:sz w:val="16"/>
                <w:szCs w:val="16"/>
              </w:rPr>
              <w:t>,</w:t>
            </w:r>
            <w:r w:rsidRPr="00D60FDE">
              <w:rPr>
                <w:rFonts w:ascii="Calibri" w:eastAsia="Calibri" w:hAnsi="Calibri" w:cs="Arial"/>
                <w:b/>
                <w:color w:val="000000"/>
                <w:sz w:val="16"/>
                <w:szCs w:val="16"/>
              </w:rPr>
              <w:t>737</w:t>
            </w:r>
          </w:p>
        </w:tc>
        <w:tc>
          <w:tcPr>
            <w:tcW w:w="485" w:type="pct"/>
            <w:tcBorders>
              <w:top w:val="nil"/>
              <w:left w:val="nil"/>
              <w:bottom w:val="single" w:sz="12" w:space="0" w:color="auto"/>
              <w:right w:val="nil"/>
            </w:tcBorders>
            <w:vAlign w:val="bottom"/>
          </w:tcPr>
          <w:p w14:paraId="56F25255" w14:textId="3D43763A" w:rsidR="00091EE0" w:rsidRPr="00537128" w:rsidRDefault="00091EE0" w:rsidP="00091EE0">
            <w:pPr>
              <w:spacing w:after="0" w:line="320" w:lineRule="exact"/>
              <w:jc w:val="right"/>
              <w:rPr>
                <w:rFonts w:ascii="Calibri" w:eastAsia="Calibri" w:hAnsi="Calibri" w:cs="Arial"/>
                <w:b/>
                <w:bCs/>
                <w:sz w:val="16"/>
                <w:szCs w:val="16"/>
                <w:lang w:val="en-US"/>
              </w:rPr>
            </w:pPr>
            <w:r w:rsidRPr="00D60FDE">
              <w:rPr>
                <w:rFonts w:ascii="Calibri" w:eastAsia="Calibri" w:hAnsi="Calibri" w:cs="Arial"/>
                <w:b/>
                <w:color w:val="000000"/>
                <w:sz w:val="16"/>
                <w:szCs w:val="16"/>
              </w:rPr>
              <w:t>410</w:t>
            </w:r>
            <w:r>
              <w:rPr>
                <w:rFonts w:ascii="Calibri" w:eastAsia="Calibri" w:hAnsi="Calibri" w:cs="Arial"/>
                <w:b/>
                <w:color w:val="000000"/>
                <w:sz w:val="16"/>
                <w:szCs w:val="16"/>
              </w:rPr>
              <w:t>,</w:t>
            </w:r>
            <w:r w:rsidRPr="00D60FDE">
              <w:rPr>
                <w:rFonts w:ascii="Calibri" w:eastAsia="Calibri" w:hAnsi="Calibri" w:cs="Arial"/>
                <w:b/>
                <w:color w:val="000000"/>
                <w:sz w:val="16"/>
                <w:szCs w:val="16"/>
              </w:rPr>
              <w:t>005</w:t>
            </w:r>
          </w:p>
        </w:tc>
        <w:tc>
          <w:tcPr>
            <w:tcW w:w="493" w:type="pct"/>
            <w:tcBorders>
              <w:top w:val="nil"/>
              <w:left w:val="nil"/>
              <w:bottom w:val="single" w:sz="12" w:space="0" w:color="auto"/>
              <w:right w:val="nil"/>
            </w:tcBorders>
            <w:vAlign w:val="bottom"/>
          </w:tcPr>
          <w:p w14:paraId="294D6178" w14:textId="18776E98" w:rsidR="00091EE0" w:rsidRPr="00537128" w:rsidRDefault="00091EE0" w:rsidP="00091EE0">
            <w:pPr>
              <w:spacing w:after="0" w:line="320" w:lineRule="exact"/>
              <w:jc w:val="right"/>
              <w:rPr>
                <w:rFonts w:ascii="Calibri" w:eastAsia="Calibri" w:hAnsi="Calibri" w:cs="Arial"/>
                <w:b/>
                <w:bCs/>
                <w:sz w:val="16"/>
                <w:szCs w:val="16"/>
                <w:lang w:val="en-US"/>
              </w:rPr>
            </w:pPr>
            <w:r w:rsidRPr="00D60FDE">
              <w:rPr>
                <w:rFonts w:ascii="Calibri" w:eastAsia="Calibri" w:hAnsi="Calibri" w:cs="Arial"/>
                <w:b/>
                <w:color w:val="000000"/>
                <w:sz w:val="16"/>
                <w:szCs w:val="16"/>
              </w:rPr>
              <w:t>(714</w:t>
            </w:r>
            <w:r>
              <w:rPr>
                <w:rFonts w:ascii="Calibri" w:eastAsia="Calibri" w:hAnsi="Calibri" w:cs="Arial"/>
                <w:b/>
                <w:color w:val="000000"/>
                <w:sz w:val="16"/>
                <w:szCs w:val="16"/>
              </w:rPr>
              <w:t>,</w:t>
            </w:r>
            <w:r w:rsidRPr="00D60FDE">
              <w:rPr>
                <w:rFonts w:ascii="Calibri" w:eastAsia="Calibri" w:hAnsi="Calibri" w:cs="Arial"/>
                <w:b/>
                <w:color w:val="000000"/>
                <w:sz w:val="16"/>
                <w:szCs w:val="16"/>
              </w:rPr>
              <w:t>340)</w:t>
            </w:r>
          </w:p>
        </w:tc>
        <w:tc>
          <w:tcPr>
            <w:tcW w:w="482" w:type="pct"/>
            <w:tcBorders>
              <w:top w:val="nil"/>
              <w:left w:val="nil"/>
              <w:bottom w:val="single" w:sz="12" w:space="0" w:color="auto"/>
              <w:right w:val="nil"/>
            </w:tcBorders>
            <w:vAlign w:val="bottom"/>
          </w:tcPr>
          <w:p w14:paraId="18A1033A" w14:textId="724118FE" w:rsidR="00091EE0" w:rsidRPr="00537128" w:rsidRDefault="00091EE0" w:rsidP="00091EE0">
            <w:pPr>
              <w:spacing w:after="0" w:line="320" w:lineRule="exact"/>
              <w:jc w:val="right"/>
              <w:rPr>
                <w:rFonts w:ascii="Calibri" w:eastAsia="Calibri" w:hAnsi="Calibri" w:cs="Arial"/>
                <w:b/>
                <w:bCs/>
                <w:sz w:val="16"/>
                <w:szCs w:val="16"/>
                <w:lang w:val="en-US"/>
              </w:rPr>
            </w:pPr>
            <w:r w:rsidRPr="00D60FDE">
              <w:rPr>
                <w:rFonts w:ascii="Calibri" w:eastAsia="Calibri" w:hAnsi="Calibri" w:cs="Arial"/>
                <w:b/>
                <w:color w:val="000000"/>
                <w:sz w:val="16"/>
                <w:szCs w:val="16"/>
              </w:rPr>
              <w:t>5</w:t>
            </w:r>
            <w:r>
              <w:rPr>
                <w:rFonts w:ascii="Calibri" w:eastAsia="Calibri" w:hAnsi="Calibri" w:cs="Arial"/>
                <w:b/>
                <w:color w:val="000000"/>
                <w:sz w:val="16"/>
                <w:szCs w:val="16"/>
              </w:rPr>
              <w:t>,</w:t>
            </w:r>
            <w:r w:rsidRPr="00D60FDE">
              <w:rPr>
                <w:rFonts w:ascii="Calibri" w:eastAsia="Calibri" w:hAnsi="Calibri" w:cs="Arial"/>
                <w:b/>
                <w:color w:val="000000"/>
                <w:sz w:val="16"/>
                <w:szCs w:val="16"/>
              </w:rPr>
              <w:t>155</w:t>
            </w:r>
            <w:r>
              <w:rPr>
                <w:rFonts w:ascii="Calibri" w:eastAsia="Calibri" w:hAnsi="Calibri" w:cs="Arial"/>
                <w:b/>
                <w:color w:val="000000"/>
                <w:sz w:val="16"/>
                <w:szCs w:val="16"/>
              </w:rPr>
              <w:t>,</w:t>
            </w:r>
            <w:r w:rsidRPr="00D60FDE">
              <w:rPr>
                <w:rFonts w:ascii="Calibri" w:eastAsia="Calibri" w:hAnsi="Calibri" w:cs="Arial"/>
                <w:b/>
                <w:color w:val="000000"/>
                <w:sz w:val="16"/>
                <w:szCs w:val="16"/>
              </w:rPr>
              <w:t>540</w:t>
            </w:r>
          </w:p>
        </w:tc>
        <w:tc>
          <w:tcPr>
            <w:tcW w:w="486" w:type="pct"/>
            <w:tcBorders>
              <w:top w:val="nil"/>
              <w:left w:val="nil"/>
              <w:bottom w:val="single" w:sz="12" w:space="0" w:color="auto"/>
              <w:right w:val="nil"/>
            </w:tcBorders>
            <w:vAlign w:val="bottom"/>
          </w:tcPr>
          <w:p w14:paraId="7405783F" w14:textId="39592AAD" w:rsidR="00091EE0" w:rsidRPr="00537128" w:rsidRDefault="00091EE0" w:rsidP="00091EE0">
            <w:pPr>
              <w:spacing w:after="0" w:line="320" w:lineRule="exact"/>
              <w:jc w:val="right"/>
              <w:rPr>
                <w:rFonts w:ascii="Calibri" w:eastAsia="Calibri" w:hAnsi="Calibri" w:cs="Arial"/>
                <w:b/>
                <w:bCs/>
                <w:sz w:val="16"/>
                <w:szCs w:val="16"/>
                <w:lang w:val="en-US"/>
              </w:rPr>
            </w:pPr>
            <w:r w:rsidRPr="00D60FDE">
              <w:rPr>
                <w:rFonts w:ascii="Calibri" w:eastAsia="Calibri" w:hAnsi="Calibri" w:cs="Arial"/>
                <w:b/>
                <w:color w:val="000000"/>
                <w:sz w:val="16"/>
                <w:szCs w:val="16"/>
              </w:rPr>
              <w:t>537</w:t>
            </w:r>
            <w:r>
              <w:rPr>
                <w:rFonts w:ascii="Calibri" w:eastAsia="Calibri" w:hAnsi="Calibri" w:cs="Arial"/>
                <w:b/>
                <w:color w:val="000000"/>
                <w:sz w:val="16"/>
                <w:szCs w:val="16"/>
              </w:rPr>
              <w:t>,</w:t>
            </w:r>
            <w:r w:rsidRPr="00D60FDE">
              <w:rPr>
                <w:rFonts w:ascii="Calibri" w:eastAsia="Calibri" w:hAnsi="Calibri" w:cs="Arial"/>
                <w:b/>
                <w:color w:val="000000"/>
                <w:sz w:val="16"/>
                <w:szCs w:val="16"/>
              </w:rPr>
              <w:t>543</w:t>
            </w:r>
          </w:p>
        </w:tc>
        <w:tc>
          <w:tcPr>
            <w:tcW w:w="482" w:type="pct"/>
            <w:tcBorders>
              <w:top w:val="nil"/>
              <w:left w:val="nil"/>
              <w:bottom w:val="single" w:sz="12" w:space="0" w:color="auto"/>
              <w:right w:val="nil"/>
            </w:tcBorders>
            <w:vAlign w:val="bottom"/>
          </w:tcPr>
          <w:p w14:paraId="10E3013A" w14:textId="75B5ECB2" w:rsidR="00091EE0" w:rsidRPr="00537128" w:rsidRDefault="00091EE0" w:rsidP="00091EE0">
            <w:pPr>
              <w:spacing w:after="0" w:line="320" w:lineRule="exact"/>
              <w:jc w:val="right"/>
              <w:rPr>
                <w:rFonts w:ascii="Calibri" w:eastAsia="Calibri" w:hAnsi="Calibri" w:cs="Arial"/>
                <w:b/>
                <w:bCs/>
                <w:sz w:val="16"/>
                <w:szCs w:val="16"/>
                <w:lang w:val="en-US"/>
              </w:rPr>
            </w:pPr>
            <w:r w:rsidRPr="00D60FDE">
              <w:rPr>
                <w:rFonts w:ascii="Calibri" w:eastAsia="Calibri" w:hAnsi="Calibri" w:cs="Arial"/>
                <w:b/>
                <w:color w:val="000000"/>
                <w:sz w:val="16"/>
                <w:szCs w:val="16"/>
              </w:rPr>
              <w:t>10</w:t>
            </w:r>
            <w:r>
              <w:rPr>
                <w:rFonts w:ascii="Calibri" w:eastAsia="Calibri" w:hAnsi="Calibri" w:cs="Arial"/>
                <w:b/>
                <w:color w:val="000000"/>
                <w:sz w:val="16"/>
                <w:szCs w:val="16"/>
              </w:rPr>
              <w:t>,</w:t>
            </w:r>
            <w:r w:rsidRPr="00D60FDE">
              <w:rPr>
                <w:rFonts w:ascii="Calibri" w:eastAsia="Calibri" w:hAnsi="Calibri" w:cs="Arial"/>
                <w:b/>
                <w:color w:val="000000"/>
                <w:sz w:val="16"/>
                <w:szCs w:val="16"/>
              </w:rPr>
              <w:t>669</w:t>
            </w:r>
            <w:r>
              <w:rPr>
                <w:rFonts w:ascii="Calibri" w:eastAsia="Calibri" w:hAnsi="Calibri" w:cs="Arial"/>
                <w:b/>
                <w:color w:val="000000"/>
                <w:sz w:val="16"/>
                <w:szCs w:val="16"/>
              </w:rPr>
              <w:t>,</w:t>
            </w:r>
            <w:r w:rsidRPr="00D60FDE">
              <w:rPr>
                <w:rFonts w:ascii="Calibri" w:eastAsia="Calibri" w:hAnsi="Calibri" w:cs="Arial"/>
                <w:b/>
                <w:color w:val="000000"/>
                <w:sz w:val="16"/>
                <w:szCs w:val="16"/>
              </w:rPr>
              <w:t>057</w:t>
            </w:r>
          </w:p>
        </w:tc>
        <w:tc>
          <w:tcPr>
            <w:tcW w:w="484" w:type="pct"/>
            <w:tcBorders>
              <w:top w:val="nil"/>
              <w:left w:val="nil"/>
              <w:bottom w:val="single" w:sz="12" w:space="0" w:color="auto"/>
              <w:right w:val="nil"/>
            </w:tcBorders>
            <w:vAlign w:val="bottom"/>
          </w:tcPr>
          <w:p w14:paraId="6FB2B6C1" w14:textId="05D2C0C5" w:rsidR="00091EE0" w:rsidRPr="00537128" w:rsidDel="00D96E20" w:rsidRDefault="00091EE0" w:rsidP="00091EE0">
            <w:pPr>
              <w:spacing w:after="0" w:line="320" w:lineRule="exact"/>
              <w:jc w:val="right"/>
              <w:rPr>
                <w:rFonts w:ascii="Calibri" w:eastAsia="Calibri" w:hAnsi="Calibri" w:cs="Times New Roman"/>
                <w:b/>
                <w:bCs/>
                <w:sz w:val="16"/>
                <w:szCs w:val="16"/>
                <w:lang w:val="en-US"/>
              </w:rPr>
            </w:pPr>
            <w:r w:rsidRPr="00D60FDE">
              <w:rPr>
                <w:rFonts w:ascii="Calibri" w:eastAsia="Calibri" w:hAnsi="Calibri" w:cs="Arial"/>
                <w:b/>
                <w:color w:val="000000"/>
                <w:sz w:val="16"/>
                <w:szCs w:val="16"/>
              </w:rPr>
              <w:t>9</w:t>
            </w:r>
            <w:r>
              <w:rPr>
                <w:rFonts w:ascii="Calibri" w:eastAsia="Calibri" w:hAnsi="Calibri" w:cs="Arial"/>
                <w:b/>
                <w:color w:val="000000"/>
                <w:sz w:val="16"/>
                <w:szCs w:val="16"/>
              </w:rPr>
              <w:t>,</w:t>
            </w:r>
            <w:r w:rsidRPr="00D60FDE">
              <w:rPr>
                <w:rFonts w:ascii="Calibri" w:eastAsia="Calibri" w:hAnsi="Calibri" w:cs="Arial"/>
                <w:b/>
                <w:color w:val="000000"/>
                <w:sz w:val="16"/>
                <w:szCs w:val="16"/>
              </w:rPr>
              <w:t>332</w:t>
            </w:r>
            <w:r>
              <w:rPr>
                <w:rFonts w:ascii="Calibri" w:eastAsia="Calibri" w:hAnsi="Calibri" w:cs="Arial"/>
                <w:b/>
                <w:color w:val="000000"/>
                <w:sz w:val="16"/>
                <w:szCs w:val="16"/>
              </w:rPr>
              <w:t>,</w:t>
            </w:r>
            <w:r w:rsidRPr="00D60FDE">
              <w:rPr>
                <w:rFonts w:ascii="Calibri" w:eastAsia="Calibri" w:hAnsi="Calibri" w:cs="Arial"/>
                <w:b/>
                <w:color w:val="000000"/>
                <w:sz w:val="16"/>
                <w:szCs w:val="16"/>
              </w:rPr>
              <w:t>521</w:t>
            </w:r>
          </w:p>
        </w:tc>
      </w:tr>
    </w:tbl>
    <w:p w14:paraId="74DC29AA"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p w14:paraId="3D374DA7" w14:textId="77777777" w:rsidR="008513EE" w:rsidRPr="00537128" w:rsidRDefault="008513EE" w:rsidP="008330AF">
      <w:pPr>
        <w:spacing w:after="0" w:line="240" w:lineRule="auto"/>
        <w:jc w:val="both"/>
        <w:rPr>
          <w:rFonts w:eastAsia="Times New Roman" w:cstheme="minorHAnsi"/>
          <w:b/>
          <w:bCs/>
          <w:iCs/>
          <w:color w:val="000000" w:themeColor="text1"/>
          <w:lang w:val="en-US"/>
        </w:rPr>
      </w:pPr>
    </w:p>
    <w:p w14:paraId="0DAAD2EB" w14:textId="77777777" w:rsidR="00292301" w:rsidRPr="00537128" w:rsidRDefault="00292301" w:rsidP="008330AF">
      <w:pPr>
        <w:spacing w:after="0" w:line="240" w:lineRule="auto"/>
        <w:jc w:val="both"/>
        <w:rPr>
          <w:rFonts w:eastAsia="Times New Roman" w:cstheme="minorHAnsi"/>
          <w:b/>
          <w:bCs/>
          <w:iCs/>
          <w:color w:val="000000" w:themeColor="text1"/>
          <w:lang w:val="en-US"/>
        </w:rPr>
        <w:sectPr w:rsidR="00292301" w:rsidRPr="00537128" w:rsidSect="00712478">
          <w:pgSz w:w="11906" w:h="16838"/>
          <w:pgMar w:top="1418" w:right="1134" w:bottom="1418" w:left="1418" w:header="709" w:footer="709" w:gutter="0"/>
          <w:cols w:space="708"/>
          <w:docGrid w:linePitch="360"/>
        </w:sectPr>
      </w:pPr>
    </w:p>
    <w:p w14:paraId="6D6A2D47"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1D57E791" w14:textId="77777777" w:rsidR="00292301" w:rsidRPr="00537128" w:rsidRDefault="00292301">
      <w:pPr>
        <w:pStyle w:val="ListParagraph"/>
        <w:numPr>
          <w:ilvl w:val="0"/>
          <w:numId w:val="56"/>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505B795F"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604C073A" w14:textId="25C49F49" w:rsidR="00292301" w:rsidRPr="00537128" w:rsidRDefault="00B357CE" w:rsidP="00292301">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 xml:space="preserve">.5. </w:t>
      </w:r>
      <w:r w:rsidR="00292301" w:rsidRPr="00537128">
        <w:rPr>
          <w:rFonts w:eastAsia="Times New Roman" w:cstheme="minorHAnsi"/>
          <w:b/>
          <w:iCs/>
          <w:color w:val="000000" w:themeColor="text1"/>
          <w:lang w:val="en-US"/>
        </w:rPr>
        <w:tab/>
        <w:t>Market risk (continued)</w:t>
      </w:r>
    </w:p>
    <w:p w14:paraId="5FBE347A"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1EF0288E" w14:textId="031F7370" w:rsidR="00292301" w:rsidRDefault="00B357CE" w:rsidP="00292301">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.5.1.   Interest</w:t>
      </w:r>
      <w:r w:rsidR="00292301" w:rsidRPr="00537128">
        <w:rPr>
          <w:rFonts w:ascii="Calibri" w:eastAsia="Calibri" w:hAnsi="Calibri" w:cs="Arial"/>
          <w:b/>
          <w:bCs/>
          <w:lang w:val="en-US"/>
        </w:rPr>
        <w:t xml:space="preserve"> rate risk </w:t>
      </w:r>
      <w:r w:rsidR="00292301" w:rsidRPr="00537128">
        <w:rPr>
          <w:rFonts w:eastAsia="Times New Roman" w:cstheme="minorHAnsi"/>
          <w:b/>
          <w:iCs/>
          <w:color w:val="000000" w:themeColor="text1"/>
          <w:lang w:val="en-US"/>
        </w:rPr>
        <w:t>(continued)</w:t>
      </w:r>
    </w:p>
    <w:p w14:paraId="58FF2B3B" w14:textId="77777777" w:rsidR="00021461" w:rsidRPr="00537128" w:rsidRDefault="00021461" w:rsidP="00292301">
      <w:pPr>
        <w:spacing w:after="0" w:line="240" w:lineRule="auto"/>
        <w:jc w:val="both"/>
        <w:rPr>
          <w:rFonts w:ascii="Calibri" w:eastAsia="Calibri" w:hAnsi="Calibri" w:cs="Arial"/>
          <w:b/>
          <w:bCs/>
          <w:lang w:val="en-US"/>
        </w:rPr>
      </w:pPr>
    </w:p>
    <w:tbl>
      <w:tblPr>
        <w:tblW w:w="5456" w:type="pct"/>
        <w:tblInd w:w="-142" w:type="dxa"/>
        <w:tblLayout w:type="fixed"/>
        <w:tblCellMar>
          <w:left w:w="120" w:type="dxa"/>
          <w:right w:w="120" w:type="dxa"/>
        </w:tblCellMar>
        <w:tblLook w:val="0000" w:firstRow="0" w:lastRow="0" w:firstColumn="0" w:lastColumn="0" w:noHBand="0" w:noVBand="0"/>
      </w:tblPr>
      <w:tblGrid>
        <w:gridCol w:w="2291"/>
        <w:gridCol w:w="982"/>
        <w:gridCol w:w="990"/>
        <w:gridCol w:w="990"/>
        <w:gridCol w:w="1006"/>
        <w:gridCol w:w="984"/>
        <w:gridCol w:w="992"/>
        <w:gridCol w:w="984"/>
        <w:gridCol w:w="988"/>
      </w:tblGrid>
      <w:tr w:rsidR="00021461" w:rsidRPr="00021461" w14:paraId="492991F0" w14:textId="77777777" w:rsidTr="00E44437">
        <w:tc>
          <w:tcPr>
            <w:tcW w:w="1122" w:type="pct"/>
            <w:vAlign w:val="center"/>
          </w:tcPr>
          <w:p w14:paraId="76BCD8A9" w14:textId="77777777" w:rsidR="00021461" w:rsidRPr="00021461" w:rsidRDefault="00021461" w:rsidP="00021461">
            <w:pPr>
              <w:tabs>
                <w:tab w:val="left" w:pos="-720"/>
              </w:tabs>
              <w:suppressAutoHyphens/>
              <w:spacing w:after="0" w:line="280" w:lineRule="exact"/>
              <w:ind w:right="-6"/>
              <w:rPr>
                <w:rFonts w:ascii="Calibri" w:eastAsia="Calibri" w:hAnsi="Calibri" w:cs="Arial"/>
                <w:b/>
                <w:sz w:val="16"/>
                <w:szCs w:val="16"/>
                <w:lang w:val="en-US"/>
              </w:rPr>
            </w:pPr>
            <w:r w:rsidRPr="00021461">
              <w:rPr>
                <w:rFonts w:ascii="Calibri" w:eastAsia="Calibri" w:hAnsi="Calibri" w:cs="Arial"/>
                <w:b/>
                <w:sz w:val="16"/>
                <w:szCs w:val="16"/>
                <w:lang w:val="en-US"/>
              </w:rPr>
              <w:t>Bank</w:t>
            </w:r>
          </w:p>
          <w:p w14:paraId="45D0CBE6" w14:textId="77777777" w:rsidR="00021461" w:rsidRPr="00021461" w:rsidRDefault="00021461" w:rsidP="00021461">
            <w:pPr>
              <w:tabs>
                <w:tab w:val="left" w:pos="-720"/>
              </w:tabs>
              <w:suppressAutoHyphens/>
              <w:spacing w:after="0" w:line="280" w:lineRule="exact"/>
              <w:ind w:right="-6"/>
              <w:rPr>
                <w:rFonts w:ascii="Calibri" w:eastAsia="Calibri" w:hAnsi="Calibri" w:cs="Arial"/>
                <w:b/>
                <w:sz w:val="16"/>
                <w:szCs w:val="16"/>
                <w:lang w:val="en-US"/>
              </w:rPr>
            </w:pPr>
          </w:p>
          <w:p w14:paraId="762AFDCF" w14:textId="77777777" w:rsidR="00021461" w:rsidRPr="00021461" w:rsidRDefault="00021461" w:rsidP="00021461">
            <w:pPr>
              <w:tabs>
                <w:tab w:val="left" w:pos="-720"/>
              </w:tabs>
              <w:suppressAutoHyphens/>
              <w:spacing w:after="0" w:line="280" w:lineRule="exact"/>
              <w:ind w:right="-6"/>
              <w:rPr>
                <w:rFonts w:ascii="Calibri" w:eastAsia="Calibri" w:hAnsi="Calibri" w:cs="Arial"/>
                <w:b/>
                <w:sz w:val="16"/>
                <w:szCs w:val="16"/>
                <w:lang w:val="en-US"/>
              </w:rPr>
            </w:pPr>
            <w:r w:rsidRPr="00021461">
              <w:rPr>
                <w:rFonts w:ascii="Calibri" w:eastAsia="Calibri" w:hAnsi="Calibri" w:cs="Arial"/>
                <w:b/>
                <w:sz w:val="16"/>
                <w:szCs w:val="16"/>
                <w:lang w:val="en-US"/>
              </w:rPr>
              <w:t>31 December 2021</w:t>
            </w:r>
          </w:p>
        </w:tc>
        <w:tc>
          <w:tcPr>
            <w:tcW w:w="481" w:type="pct"/>
          </w:tcPr>
          <w:p w14:paraId="6A57E46F" w14:textId="77777777" w:rsidR="00021461" w:rsidRPr="00021461" w:rsidRDefault="00021461" w:rsidP="00021461">
            <w:pPr>
              <w:tabs>
                <w:tab w:val="left" w:pos="-720"/>
              </w:tabs>
              <w:suppressAutoHyphens/>
              <w:spacing w:after="0" w:line="280" w:lineRule="exact"/>
              <w:ind w:right="-6"/>
              <w:jc w:val="right"/>
              <w:rPr>
                <w:rFonts w:ascii="Calibri" w:eastAsia="Calibri" w:hAnsi="Calibri" w:cs="Arial"/>
                <w:b/>
                <w:sz w:val="16"/>
                <w:szCs w:val="16"/>
                <w:lang w:val="en-US"/>
              </w:rPr>
            </w:pPr>
            <w:r w:rsidRPr="00021461">
              <w:rPr>
                <w:rFonts w:ascii="Calibri" w:eastAsia="Calibri" w:hAnsi="Calibri" w:cs="Arial"/>
                <w:b/>
                <w:sz w:val="16"/>
                <w:szCs w:val="16"/>
                <w:lang w:val="en-US"/>
              </w:rPr>
              <w:t>Up to 1 month</w:t>
            </w:r>
          </w:p>
        </w:tc>
        <w:tc>
          <w:tcPr>
            <w:tcW w:w="485" w:type="pct"/>
          </w:tcPr>
          <w:p w14:paraId="48E36871" w14:textId="77777777" w:rsidR="00021461" w:rsidRPr="00021461" w:rsidRDefault="00021461" w:rsidP="00021461">
            <w:pPr>
              <w:tabs>
                <w:tab w:val="left" w:pos="-720"/>
              </w:tabs>
              <w:suppressAutoHyphens/>
              <w:spacing w:after="0" w:line="280" w:lineRule="exact"/>
              <w:ind w:right="-6"/>
              <w:jc w:val="right"/>
              <w:rPr>
                <w:rFonts w:ascii="Calibri" w:eastAsia="Calibri" w:hAnsi="Calibri" w:cs="Arial"/>
                <w:b/>
                <w:sz w:val="16"/>
                <w:szCs w:val="16"/>
                <w:lang w:val="en-US"/>
              </w:rPr>
            </w:pPr>
            <w:r w:rsidRPr="00021461">
              <w:rPr>
                <w:rFonts w:ascii="Calibri" w:eastAsia="Calibri" w:hAnsi="Calibri" w:cs="Arial"/>
                <w:b/>
                <w:sz w:val="16"/>
                <w:szCs w:val="16"/>
                <w:lang w:val="en-US"/>
              </w:rPr>
              <w:t>1 to 3 months</w:t>
            </w:r>
          </w:p>
        </w:tc>
        <w:tc>
          <w:tcPr>
            <w:tcW w:w="485" w:type="pct"/>
          </w:tcPr>
          <w:p w14:paraId="572A8307" w14:textId="77777777" w:rsidR="00021461" w:rsidRPr="00021461" w:rsidRDefault="00021461" w:rsidP="00021461">
            <w:pPr>
              <w:tabs>
                <w:tab w:val="left" w:pos="-720"/>
              </w:tabs>
              <w:suppressAutoHyphens/>
              <w:spacing w:after="0" w:line="280" w:lineRule="exact"/>
              <w:ind w:right="-6"/>
              <w:jc w:val="right"/>
              <w:rPr>
                <w:rFonts w:ascii="Calibri" w:eastAsia="Calibri" w:hAnsi="Calibri" w:cs="Arial"/>
                <w:b/>
                <w:sz w:val="16"/>
                <w:szCs w:val="16"/>
                <w:lang w:val="en-US"/>
              </w:rPr>
            </w:pPr>
            <w:r w:rsidRPr="00021461">
              <w:rPr>
                <w:rFonts w:ascii="Calibri" w:eastAsia="Calibri" w:hAnsi="Calibri" w:cs="Arial"/>
                <w:b/>
                <w:sz w:val="16"/>
                <w:szCs w:val="16"/>
                <w:lang w:val="en-US"/>
              </w:rPr>
              <w:t xml:space="preserve">3 months to 1 year </w:t>
            </w:r>
          </w:p>
        </w:tc>
        <w:tc>
          <w:tcPr>
            <w:tcW w:w="493" w:type="pct"/>
          </w:tcPr>
          <w:p w14:paraId="14F1846E" w14:textId="77777777" w:rsidR="00021461" w:rsidRPr="00021461" w:rsidRDefault="00021461" w:rsidP="00021461">
            <w:pPr>
              <w:tabs>
                <w:tab w:val="left" w:pos="-720"/>
              </w:tabs>
              <w:suppressAutoHyphens/>
              <w:spacing w:after="0" w:line="280" w:lineRule="exact"/>
              <w:ind w:right="-6"/>
              <w:jc w:val="right"/>
              <w:rPr>
                <w:rFonts w:ascii="Calibri" w:eastAsia="Calibri" w:hAnsi="Calibri" w:cs="Arial"/>
                <w:b/>
                <w:sz w:val="16"/>
                <w:szCs w:val="16"/>
                <w:lang w:val="en-US"/>
              </w:rPr>
            </w:pPr>
            <w:r w:rsidRPr="00021461">
              <w:rPr>
                <w:rFonts w:ascii="Calibri" w:eastAsia="Calibri" w:hAnsi="Calibri" w:cs="Arial"/>
                <w:b/>
                <w:sz w:val="16"/>
                <w:szCs w:val="16"/>
                <w:lang w:val="en-US"/>
              </w:rPr>
              <w:t>1 to 3 years</w:t>
            </w:r>
          </w:p>
        </w:tc>
        <w:tc>
          <w:tcPr>
            <w:tcW w:w="482" w:type="pct"/>
          </w:tcPr>
          <w:p w14:paraId="10721E1F" w14:textId="77777777" w:rsidR="00021461" w:rsidRPr="00021461" w:rsidRDefault="00021461" w:rsidP="00021461">
            <w:pPr>
              <w:tabs>
                <w:tab w:val="left" w:pos="-720"/>
              </w:tabs>
              <w:suppressAutoHyphens/>
              <w:spacing w:after="0" w:line="280" w:lineRule="exact"/>
              <w:ind w:right="-6"/>
              <w:jc w:val="right"/>
              <w:rPr>
                <w:rFonts w:ascii="Calibri" w:eastAsia="Calibri" w:hAnsi="Calibri" w:cs="Arial"/>
                <w:b/>
                <w:sz w:val="16"/>
                <w:szCs w:val="16"/>
                <w:lang w:val="en-US"/>
              </w:rPr>
            </w:pPr>
            <w:r w:rsidRPr="00021461">
              <w:rPr>
                <w:rFonts w:ascii="Calibri" w:eastAsia="Calibri" w:hAnsi="Calibri" w:cs="Arial"/>
                <w:b/>
                <w:sz w:val="16"/>
                <w:szCs w:val="16"/>
                <w:lang w:val="en-US"/>
              </w:rPr>
              <w:t>Over 3 years</w:t>
            </w:r>
          </w:p>
        </w:tc>
        <w:tc>
          <w:tcPr>
            <w:tcW w:w="486" w:type="pct"/>
          </w:tcPr>
          <w:p w14:paraId="04FA3A8C" w14:textId="77777777" w:rsidR="00021461" w:rsidRPr="00021461" w:rsidRDefault="00021461" w:rsidP="00021461">
            <w:pPr>
              <w:tabs>
                <w:tab w:val="left" w:pos="-720"/>
              </w:tabs>
              <w:suppressAutoHyphens/>
              <w:spacing w:after="0" w:line="280" w:lineRule="exact"/>
              <w:ind w:right="-6"/>
              <w:jc w:val="right"/>
              <w:rPr>
                <w:rFonts w:ascii="Calibri" w:eastAsia="Calibri" w:hAnsi="Calibri" w:cs="Arial"/>
                <w:b/>
                <w:sz w:val="16"/>
                <w:szCs w:val="16"/>
                <w:lang w:val="en-US"/>
              </w:rPr>
            </w:pPr>
            <w:r w:rsidRPr="00021461">
              <w:rPr>
                <w:rFonts w:ascii="Calibri" w:eastAsia="Calibri" w:hAnsi="Calibri" w:cs="Arial"/>
                <w:b/>
                <w:sz w:val="16"/>
                <w:szCs w:val="16"/>
                <w:lang w:val="en-US"/>
              </w:rPr>
              <w:t>Non-interest bearing</w:t>
            </w:r>
          </w:p>
        </w:tc>
        <w:tc>
          <w:tcPr>
            <w:tcW w:w="482" w:type="pct"/>
          </w:tcPr>
          <w:p w14:paraId="0EA4B194" w14:textId="77777777" w:rsidR="00021461" w:rsidRPr="00021461" w:rsidRDefault="00021461" w:rsidP="00021461">
            <w:pPr>
              <w:tabs>
                <w:tab w:val="left" w:pos="-720"/>
              </w:tabs>
              <w:suppressAutoHyphens/>
              <w:spacing w:after="0" w:line="280" w:lineRule="exact"/>
              <w:ind w:right="-6"/>
              <w:jc w:val="right"/>
              <w:rPr>
                <w:rFonts w:ascii="Calibri" w:eastAsia="Calibri" w:hAnsi="Calibri" w:cs="Arial"/>
                <w:b/>
                <w:sz w:val="16"/>
                <w:szCs w:val="16"/>
                <w:lang w:val="en-US"/>
              </w:rPr>
            </w:pPr>
            <w:r w:rsidRPr="00021461">
              <w:rPr>
                <w:rFonts w:ascii="Calibri" w:eastAsia="Calibri" w:hAnsi="Calibri" w:cs="Arial"/>
                <w:b/>
                <w:sz w:val="16"/>
                <w:szCs w:val="16"/>
                <w:lang w:val="en-US"/>
              </w:rPr>
              <w:t xml:space="preserve">Total </w:t>
            </w:r>
          </w:p>
        </w:tc>
        <w:tc>
          <w:tcPr>
            <w:tcW w:w="484" w:type="pct"/>
          </w:tcPr>
          <w:p w14:paraId="5F3D2E64" w14:textId="77777777" w:rsidR="00021461" w:rsidRPr="00021461" w:rsidRDefault="00021461" w:rsidP="00021461">
            <w:pPr>
              <w:tabs>
                <w:tab w:val="left" w:pos="-720"/>
              </w:tabs>
              <w:suppressAutoHyphens/>
              <w:spacing w:after="0" w:line="280" w:lineRule="exact"/>
              <w:ind w:right="-6"/>
              <w:jc w:val="right"/>
              <w:rPr>
                <w:rFonts w:ascii="Calibri" w:eastAsia="Calibri" w:hAnsi="Calibri" w:cs="Arial"/>
                <w:b/>
                <w:sz w:val="16"/>
                <w:szCs w:val="16"/>
                <w:lang w:val="en-US"/>
              </w:rPr>
            </w:pPr>
            <w:r w:rsidRPr="00021461">
              <w:rPr>
                <w:rFonts w:ascii="Calibri" w:eastAsia="Calibri" w:hAnsi="Calibri" w:cs="Arial"/>
                <w:b/>
                <w:sz w:val="16"/>
                <w:szCs w:val="16"/>
                <w:lang w:val="en-US"/>
              </w:rPr>
              <w:t>Fixed interest rate</w:t>
            </w:r>
          </w:p>
        </w:tc>
      </w:tr>
      <w:tr w:rsidR="00021461" w:rsidRPr="00021461" w14:paraId="0FB45EF3" w14:textId="77777777" w:rsidTr="00E44437">
        <w:tc>
          <w:tcPr>
            <w:tcW w:w="1122" w:type="pct"/>
            <w:vAlign w:val="center"/>
          </w:tcPr>
          <w:p w14:paraId="5AD07555" w14:textId="77777777" w:rsidR="00021461" w:rsidRPr="00021461" w:rsidRDefault="00021461" w:rsidP="00021461">
            <w:pPr>
              <w:tabs>
                <w:tab w:val="left" w:pos="-720"/>
              </w:tabs>
              <w:suppressAutoHyphens/>
              <w:spacing w:after="0" w:line="280" w:lineRule="exact"/>
              <w:ind w:right="-6"/>
              <w:rPr>
                <w:rFonts w:ascii="Calibri" w:eastAsia="Calibri" w:hAnsi="Calibri" w:cs="Arial"/>
                <w:b/>
                <w:sz w:val="16"/>
                <w:szCs w:val="16"/>
                <w:lang w:val="en-US"/>
              </w:rPr>
            </w:pPr>
          </w:p>
        </w:tc>
        <w:tc>
          <w:tcPr>
            <w:tcW w:w="481" w:type="pct"/>
            <w:shd w:val="clear" w:color="auto" w:fill="auto"/>
          </w:tcPr>
          <w:p w14:paraId="0A323338" w14:textId="77777777" w:rsidR="00021461" w:rsidRPr="00021461" w:rsidRDefault="00021461" w:rsidP="00021461">
            <w:pPr>
              <w:tabs>
                <w:tab w:val="left" w:pos="-720"/>
              </w:tabs>
              <w:suppressAutoHyphens/>
              <w:spacing w:after="0" w:line="280" w:lineRule="exact"/>
              <w:ind w:right="-6"/>
              <w:jc w:val="right"/>
              <w:rPr>
                <w:rFonts w:ascii="Calibri" w:eastAsia="Calibri" w:hAnsi="Calibri" w:cs="Arial"/>
                <w:b/>
                <w:sz w:val="16"/>
                <w:szCs w:val="16"/>
                <w:lang w:val="en-US"/>
              </w:rPr>
            </w:pPr>
            <w:r w:rsidRPr="00021461">
              <w:rPr>
                <w:rFonts w:ascii="Calibri" w:eastAsia="Calibri" w:hAnsi="Calibri" w:cs="Times New Roman"/>
                <w:b/>
                <w:sz w:val="16"/>
                <w:szCs w:val="16"/>
                <w:lang w:val="en-US"/>
              </w:rPr>
              <w:t>HRK ‘000</w:t>
            </w:r>
          </w:p>
        </w:tc>
        <w:tc>
          <w:tcPr>
            <w:tcW w:w="485" w:type="pct"/>
            <w:shd w:val="clear" w:color="auto" w:fill="auto"/>
          </w:tcPr>
          <w:p w14:paraId="42E3B00E" w14:textId="77777777" w:rsidR="00021461" w:rsidRPr="00021461" w:rsidRDefault="00021461" w:rsidP="00021461">
            <w:pPr>
              <w:tabs>
                <w:tab w:val="left" w:pos="-720"/>
              </w:tabs>
              <w:suppressAutoHyphens/>
              <w:spacing w:after="0" w:line="280" w:lineRule="exact"/>
              <w:ind w:right="-6"/>
              <w:jc w:val="right"/>
              <w:rPr>
                <w:rFonts w:ascii="Calibri" w:eastAsia="Calibri" w:hAnsi="Calibri" w:cs="Arial"/>
                <w:b/>
                <w:sz w:val="16"/>
                <w:szCs w:val="16"/>
                <w:lang w:val="en-US"/>
              </w:rPr>
            </w:pPr>
            <w:r w:rsidRPr="00021461">
              <w:rPr>
                <w:rFonts w:ascii="Calibri" w:eastAsia="Calibri" w:hAnsi="Calibri" w:cs="Times New Roman"/>
                <w:b/>
                <w:sz w:val="16"/>
                <w:szCs w:val="16"/>
                <w:lang w:val="en-US"/>
              </w:rPr>
              <w:t>HRK ‘000</w:t>
            </w:r>
          </w:p>
        </w:tc>
        <w:tc>
          <w:tcPr>
            <w:tcW w:w="485" w:type="pct"/>
            <w:shd w:val="clear" w:color="auto" w:fill="auto"/>
          </w:tcPr>
          <w:p w14:paraId="33E5D238" w14:textId="77777777" w:rsidR="00021461" w:rsidRPr="00021461" w:rsidRDefault="00021461" w:rsidP="00021461">
            <w:pPr>
              <w:tabs>
                <w:tab w:val="left" w:pos="-720"/>
              </w:tabs>
              <w:suppressAutoHyphens/>
              <w:spacing w:after="0" w:line="280" w:lineRule="exact"/>
              <w:ind w:right="-6"/>
              <w:jc w:val="right"/>
              <w:rPr>
                <w:rFonts w:ascii="Calibri" w:eastAsia="Calibri" w:hAnsi="Calibri" w:cs="Arial"/>
                <w:b/>
                <w:sz w:val="16"/>
                <w:szCs w:val="16"/>
                <w:lang w:val="en-US"/>
              </w:rPr>
            </w:pPr>
            <w:r w:rsidRPr="00021461">
              <w:rPr>
                <w:rFonts w:ascii="Calibri" w:eastAsia="Calibri" w:hAnsi="Calibri" w:cs="Times New Roman"/>
                <w:b/>
                <w:sz w:val="16"/>
                <w:szCs w:val="16"/>
                <w:lang w:val="en-US"/>
              </w:rPr>
              <w:t>HRK ‘000</w:t>
            </w:r>
          </w:p>
        </w:tc>
        <w:tc>
          <w:tcPr>
            <w:tcW w:w="493" w:type="pct"/>
            <w:shd w:val="clear" w:color="auto" w:fill="auto"/>
          </w:tcPr>
          <w:p w14:paraId="12BE6C9D" w14:textId="77777777" w:rsidR="00021461" w:rsidRPr="00021461" w:rsidRDefault="00021461" w:rsidP="00021461">
            <w:pPr>
              <w:tabs>
                <w:tab w:val="left" w:pos="-720"/>
              </w:tabs>
              <w:suppressAutoHyphens/>
              <w:spacing w:after="0" w:line="280" w:lineRule="exact"/>
              <w:ind w:right="-6"/>
              <w:jc w:val="right"/>
              <w:rPr>
                <w:rFonts w:ascii="Calibri" w:eastAsia="Calibri" w:hAnsi="Calibri" w:cs="Arial"/>
                <w:b/>
                <w:sz w:val="16"/>
                <w:szCs w:val="16"/>
                <w:lang w:val="en-US"/>
              </w:rPr>
            </w:pPr>
            <w:r w:rsidRPr="00021461">
              <w:rPr>
                <w:rFonts w:ascii="Calibri" w:eastAsia="Calibri" w:hAnsi="Calibri" w:cs="Times New Roman"/>
                <w:b/>
                <w:sz w:val="16"/>
                <w:szCs w:val="16"/>
                <w:lang w:val="en-US"/>
              </w:rPr>
              <w:t>HRK ‘000</w:t>
            </w:r>
          </w:p>
        </w:tc>
        <w:tc>
          <w:tcPr>
            <w:tcW w:w="482" w:type="pct"/>
            <w:shd w:val="clear" w:color="auto" w:fill="auto"/>
          </w:tcPr>
          <w:p w14:paraId="2E597457" w14:textId="77777777" w:rsidR="00021461" w:rsidRPr="00021461" w:rsidRDefault="00021461" w:rsidP="00021461">
            <w:pPr>
              <w:tabs>
                <w:tab w:val="left" w:pos="-720"/>
              </w:tabs>
              <w:suppressAutoHyphens/>
              <w:spacing w:after="0" w:line="280" w:lineRule="exact"/>
              <w:ind w:right="-6"/>
              <w:jc w:val="right"/>
              <w:rPr>
                <w:rFonts w:ascii="Calibri" w:eastAsia="Calibri" w:hAnsi="Calibri" w:cs="Arial"/>
                <w:b/>
                <w:sz w:val="16"/>
                <w:szCs w:val="16"/>
                <w:lang w:val="en-US"/>
              </w:rPr>
            </w:pPr>
            <w:r w:rsidRPr="00021461">
              <w:rPr>
                <w:rFonts w:ascii="Calibri" w:eastAsia="Calibri" w:hAnsi="Calibri" w:cs="Times New Roman"/>
                <w:b/>
                <w:sz w:val="16"/>
                <w:szCs w:val="16"/>
                <w:lang w:val="en-US"/>
              </w:rPr>
              <w:t>HRK ‘000</w:t>
            </w:r>
          </w:p>
        </w:tc>
        <w:tc>
          <w:tcPr>
            <w:tcW w:w="486" w:type="pct"/>
            <w:shd w:val="clear" w:color="auto" w:fill="auto"/>
          </w:tcPr>
          <w:p w14:paraId="38D0F503" w14:textId="77777777" w:rsidR="00021461" w:rsidRPr="00021461" w:rsidRDefault="00021461" w:rsidP="00021461">
            <w:pPr>
              <w:tabs>
                <w:tab w:val="left" w:pos="-720"/>
              </w:tabs>
              <w:suppressAutoHyphens/>
              <w:spacing w:after="0" w:line="280" w:lineRule="exact"/>
              <w:ind w:right="-6"/>
              <w:jc w:val="right"/>
              <w:rPr>
                <w:rFonts w:ascii="Calibri" w:eastAsia="Calibri" w:hAnsi="Calibri" w:cs="Arial"/>
                <w:b/>
                <w:sz w:val="16"/>
                <w:szCs w:val="16"/>
                <w:lang w:val="en-US"/>
              </w:rPr>
            </w:pPr>
            <w:r w:rsidRPr="00021461">
              <w:rPr>
                <w:rFonts w:ascii="Calibri" w:eastAsia="Calibri" w:hAnsi="Calibri" w:cs="Times New Roman"/>
                <w:b/>
                <w:sz w:val="16"/>
                <w:szCs w:val="16"/>
                <w:lang w:val="en-US"/>
              </w:rPr>
              <w:t>HRK ‘000</w:t>
            </w:r>
          </w:p>
        </w:tc>
        <w:tc>
          <w:tcPr>
            <w:tcW w:w="482" w:type="pct"/>
            <w:shd w:val="clear" w:color="auto" w:fill="auto"/>
          </w:tcPr>
          <w:p w14:paraId="435451E6" w14:textId="77777777" w:rsidR="00021461" w:rsidRPr="00021461" w:rsidRDefault="00021461" w:rsidP="00021461">
            <w:pPr>
              <w:tabs>
                <w:tab w:val="left" w:pos="-720"/>
              </w:tabs>
              <w:suppressAutoHyphens/>
              <w:spacing w:after="0" w:line="280" w:lineRule="exact"/>
              <w:ind w:right="-6"/>
              <w:jc w:val="right"/>
              <w:rPr>
                <w:rFonts w:ascii="Calibri" w:eastAsia="Calibri" w:hAnsi="Calibri" w:cs="Arial"/>
                <w:b/>
                <w:sz w:val="16"/>
                <w:szCs w:val="16"/>
                <w:lang w:val="en-US"/>
              </w:rPr>
            </w:pPr>
            <w:r w:rsidRPr="00021461">
              <w:rPr>
                <w:rFonts w:ascii="Calibri" w:eastAsia="Calibri" w:hAnsi="Calibri" w:cs="Times New Roman"/>
                <w:b/>
                <w:sz w:val="16"/>
                <w:szCs w:val="16"/>
                <w:lang w:val="en-US"/>
              </w:rPr>
              <w:t>HRK ‘000</w:t>
            </w:r>
          </w:p>
        </w:tc>
        <w:tc>
          <w:tcPr>
            <w:tcW w:w="484" w:type="pct"/>
            <w:shd w:val="clear" w:color="auto" w:fill="auto"/>
          </w:tcPr>
          <w:p w14:paraId="14D6CE48" w14:textId="77777777" w:rsidR="00021461" w:rsidRPr="00021461" w:rsidRDefault="00021461" w:rsidP="00021461">
            <w:pPr>
              <w:tabs>
                <w:tab w:val="left" w:pos="-720"/>
              </w:tabs>
              <w:suppressAutoHyphens/>
              <w:spacing w:after="0" w:line="280" w:lineRule="exact"/>
              <w:ind w:right="-6"/>
              <w:jc w:val="right"/>
              <w:rPr>
                <w:rFonts w:ascii="Calibri" w:eastAsia="Calibri" w:hAnsi="Calibri" w:cs="Times New Roman"/>
                <w:b/>
                <w:sz w:val="16"/>
                <w:szCs w:val="16"/>
                <w:lang w:val="en-US"/>
              </w:rPr>
            </w:pPr>
            <w:r w:rsidRPr="00021461">
              <w:rPr>
                <w:rFonts w:ascii="Calibri" w:eastAsia="Calibri" w:hAnsi="Calibri" w:cs="Times New Roman"/>
                <w:b/>
                <w:sz w:val="16"/>
                <w:szCs w:val="16"/>
                <w:lang w:val="en-US"/>
              </w:rPr>
              <w:t>HRK ‘000</w:t>
            </w:r>
          </w:p>
        </w:tc>
      </w:tr>
      <w:tr w:rsidR="00021461" w:rsidRPr="00021461" w14:paraId="5DB36074" w14:textId="77777777" w:rsidTr="00E44437">
        <w:tc>
          <w:tcPr>
            <w:tcW w:w="1122" w:type="pct"/>
            <w:vAlign w:val="bottom"/>
          </w:tcPr>
          <w:p w14:paraId="15AB4C00" w14:textId="77777777" w:rsidR="00021461" w:rsidRPr="00021461" w:rsidRDefault="00021461" w:rsidP="00021461">
            <w:pPr>
              <w:tabs>
                <w:tab w:val="left" w:pos="-720"/>
              </w:tabs>
              <w:suppressAutoHyphens/>
              <w:spacing w:after="0" w:line="280" w:lineRule="exact"/>
              <w:ind w:right="-5"/>
              <w:rPr>
                <w:rFonts w:ascii="Calibri" w:eastAsia="Calibri" w:hAnsi="Calibri" w:cs="Arial"/>
                <w:b/>
                <w:sz w:val="16"/>
                <w:szCs w:val="16"/>
                <w:lang w:val="en-US"/>
              </w:rPr>
            </w:pPr>
            <w:r w:rsidRPr="00021461">
              <w:rPr>
                <w:rFonts w:ascii="Calibri" w:eastAsia="Calibri" w:hAnsi="Calibri" w:cs="Arial"/>
                <w:b/>
                <w:sz w:val="16"/>
                <w:szCs w:val="16"/>
                <w:lang w:val="en-US"/>
              </w:rPr>
              <w:t xml:space="preserve">Assets </w:t>
            </w:r>
          </w:p>
        </w:tc>
        <w:tc>
          <w:tcPr>
            <w:tcW w:w="481" w:type="pct"/>
          </w:tcPr>
          <w:p w14:paraId="678F468F" w14:textId="77777777" w:rsidR="00021461" w:rsidRPr="00021461" w:rsidRDefault="00021461" w:rsidP="00021461">
            <w:pPr>
              <w:tabs>
                <w:tab w:val="left" w:pos="-720"/>
              </w:tabs>
              <w:suppressAutoHyphens/>
              <w:spacing w:after="0" w:line="280" w:lineRule="exact"/>
              <w:ind w:right="-5"/>
              <w:jc w:val="right"/>
              <w:rPr>
                <w:rFonts w:ascii="Calibri" w:eastAsia="Calibri" w:hAnsi="Calibri" w:cs="Arial"/>
                <w:sz w:val="16"/>
                <w:szCs w:val="16"/>
                <w:lang w:val="en-US"/>
              </w:rPr>
            </w:pPr>
          </w:p>
        </w:tc>
        <w:tc>
          <w:tcPr>
            <w:tcW w:w="485" w:type="pct"/>
          </w:tcPr>
          <w:p w14:paraId="7E92BC61" w14:textId="77777777" w:rsidR="00021461" w:rsidRPr="00021461" w:rsidRDefault="00021461" w:rsidP="00021461">
            <w:pPr>
              <w:tabs>
                <w:tab w:val="left" w:pos="-720"/>
              </w:tabs>
              <w:suppressAutoHyphens/>
              <w:spacing w:after="0" w:line="280" w:lineRule="exact"/>
              <w:ind w:right="-5"/>
              <w:jc w:val="right"/>
              <w:rPr>
                <w:rFonts w:ascii="Calibri" w:eastAsia="Calibri" w:hAnsi="Calibri" w:cs="Arial"/>
                <w:sz w:val="16"/>
                <w:szCs w:val="16"/>
                <w:lang w:val="en-US"/>
              </w:rPr>
            </w:pPr>
          </w:p>
        </w:tc>
        <w:tc>
          <w:tcPr>
            <w:tcW w:w="485" w:type="pct"/>
          </w:tcPr>
          <w:p w14:paraId="5E51CCAC" w14:textId="77777777" w:rsidR="00021461" w:rsidRPr="00021461" w:rsidRDefault="00021461" w:rsidP="00021461">
            <w:pPr>
              <w:tabs>
                <w:tab w:val="left" w:pos="-720"/>
              </w:tabs>
              <w:suppressAutoHyphens/>
              <w:spacing w:after="0" w:line="280" w:lineRule="exact"/>
              <w:ind w:right="-5"/>
              <w:jc w:val="right"/>
              <w:rPr>
                <w:rFonts w:ascii="Calibri" w:eastAsia="Calibri" w:hAnsi="Calibri" w:cs="Arial"/>
                <w:sz w:val="16"/>
                <w:szCs w:val="16"/>
                <w:lang w:val="en-US"/>
              </w:rPr>
            </w:pPr>
          </w:p>
        </w:tc>
        <w:tc>
          <w:tcPr>
            <w:tcW w:w="493" w:type="pct"/>
          </w:tcPr>
          <w:p w14:paraId="0325D102" w14:textId="77777777" w:rsidR="00021461" w:rsidRPr="00021461" w:rsidRDefault="00021461" w:rsidP="00021461">
            <w:pPr>
              <w:tabs>
                <w:tab w:val="left" w:pos="-720"/>
              </w:tabs>
              <w:suppressAutoHyphens/>
              <w:spacing w:after="0" w:line="280" w:lineRule="exact"/>
              <w:ind w:right="-5"/>
              <w:jc w:val="right"/>
              <w:rPr>
                <w:rFonts w:ascii="Calibri" w:eastAsia="Calibri" w:hAnsi="Calibri" w:cs="Arial"/>
                <w:sz w:val="16"/>
                <w:szCs w:val="16"/>
                <w:lang w:val="en-US"/>
              </w:rPr>
            </w:pPr>
          </w:p>
        </w:tc>
        <w:tc>
          <w:tcPr>
            <w:tcW w:w="482" w:type="pct"/>
          </w:tcPr>
          <w:p w14:paraId="5CCFEA21" w14:textId="77777777" w:rsidR="00021461" w:rsidRPr="00021461" w:rsidRDefault="00021461" w:rsidP="00021461">
            <w:pPr>
              <w:tabs>
                <w:tab w:val="left" w:pos="-720"/>
              </w:tabs>
              <w:suppressAutoHyphens/>
              <w:spacing w:after="0" w:line="280" w:lineRule="exact"/>
              <w:ind w:right="-5"/>
              <w:jc w:val="right"/>
              <w:rPr>
                <w:rFonts w:ascii="Calibri" w:eastAsia="Calibri" w:hAnsi="Calibri" w:cs="Arial"/>
                <w:sz w:val="16"/>
                <w:szCs w:val="16"/>
                <w:lang w:val="en-US"/>
              </w:rPr>
            </w:pPr>
          </w:p>
        </w:tc>
        <w:tc>
          <w:tcPr>
            <w:tcW w:w="486" w:type="pct"/>
          </w:tcPr>
          <w:p w14:paraId="2F55DADE" w14:textId="77777777" w:rsidR="00021461" w:rsidRPr="00021461" w:rsidRDefault="00021461" w:rsidP="00021461">
            <w:pPr>
              <w:tabs>
                <w:tab w:val="left" w:pos="-720"/>
              </w:tabs>
              <w:suppressAutoHyphens/>
              <w:spacing w:after="0" w:line="280" w:lineRule="exact"/>
              <w:ind w:right="-5"/>
              <w:jc w:val="right"/>
              <w:rPr>
                <w:rFonts w:ascii="Calibri" w:eastAsia="Calibri" w:hAnsi="Calibri" w:cs="Arial"/>
                <w:sz w:val="16"/>
                <w:szCs w:val="16"/>
                <w:lang w:val="en-US"/>
              </w:rPr>
            </w:pPr>
          </w:p>
        </w:tc>
        <w:tc>
          <w:tcPr>
            <w:tcW w:w="482" w:type="pct"/>
          </w:tcPr>
          <w:p w14:paraId="0BBA5031" w14:textId="77777777" w:rsidR="00021461" w:rsidRPr="00021461" w:rsidRDefault="00021461" w:rsidP="00021461">
            <w:pPr>
              <w:tabs>
                <w:tab w:val="left" w:pos="-720"/>
              </w:tabs>
              <w:suppressAutoHyphens/>
              <w:spacing w:after="0" w:line="280" w:lineRule="exact"/>
              <w:ind w:right="-5"/>
              <w:jc w:val="right"/>
              <w:rPr>
                <w:rFonts w:ascii="Calibri" w:eastAsia="Calibri" w:hAnsi="Calibri" w:cs="Arial"/>
                <w:sz w:val="16"/>
                <w:szCs w:val="16"/>
                <w:lang w:val="en-US"/>
              </w:rPr>
            </w:pPr>
          </w:p>
        </w:tc>
        <w:tc>
          <w:tcPr>
            <w:tcW w:w="484" w:type="pct"/>
          </w:tcPr>
          <w:p w14:paraId="05A31D9A" w14:textId="77777777" w:rsidR="00021461" w:rsidRPr="00021461" w:rsidRDefault="00021461" w:rsidP="00021461">
            <w:pPr>
              <w:tabs>
                <w:tab w:val="left" w:pos="-720"/>
              </w:tabs>
              <w:suppressAutoHyphens/>
              <w:spacing w:after="0" w:line="280" w:lineRule="exact"/>
              <w:ind w:right="-5"/>
              <w:jc w:val="right"/>
              <w:rPr>
                <w:rFonts w:ascii="Calibri" w:eastAsia="Calibri" w:hAnsi="Calibri" w:cs="Arial"/>
                <w:sz w:val="16"/>
                <w:szCs w:val="16"/>
                <w:lang w:val="en-US"/>
              </w:rPr>
            </w:pPr>
          </w:p>
        </w:tc>
      </w:tr>
      <w:tr w:rsidR="00021461" w:rsidRPr="00021461" w14:paraId="39923273" w14:textId="77777777" w:rsidTr="00E44437">
        <w:tc>
          <w:tcPr>
            <w:tcW w:w="1122" w:type="pct"/>
            <w:vAlign w:val="bottom"/>
          </w:tcPr>
          <w:p w14:paraId="4588353B" w14:textId="77777777" w:rsidR="00021461" w:rsidRPr="00021461" w:rsidRDefault="00021461" w:rsidP="00021461">
            <w:pPr>
              <w:tabs>
                <w:tab w:val="left" w:pos="-720"/>
              </w:tabs>
              <w:suppressAutoHyphens/>
              <w:spacing w:after="0" w:line="280" w:lineRule="exact"/>
              <w:ind w:right="-5"/>
              <w:rPr>
                <w:rFonts w:ascii="Calibri" w:eastAsia="Calibri" w:hAnsi="Calibri" w:cs="Arial"/>
                <w:sz w:val="16"/>
                <w:szCs w:val="16"/>
                <w:lang w:val="en-US"/>
              </w:rPr>
            </w:pPr>
            <w:r w:rsidRPr="00021461">
              <w:rPr>
                <w:rFonts w:ascii="Calibri" w:eastAsia="Calibri" w:hAnsi="Calibri" w:cs="Arial"/>
                <w:sz w:val="16"/>
                <w:szCs w:val="16"/>
                <w:lang w:val="en-US"/>
              </w:rPr>
              <w:t>Cash on hand and current accounts with banks</w:t>
            </w:r>
          </w:p>
        </w:tc>
        <w:tc>
          <w:tcPr>
            <w:tcW w:w="481" w:type="pct"/>
            <w:vAlign w:val="bottom"/>
          </w:tcPr>
          <w:p w14:paraId="156EF247" w14:textId="77777777" w:rsidR="00021461" w:rsidRPr="00021461"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80,902</w:t>
            </w:r>
          </w:p>
        </w:tc>
        <w:tc>
          <w:tcPr>
            <w:tcW w:w="485" w:type="pct"/>
            <w:vAlign w:val="bottom"/>
          </w:tcPr>
          <w:p w14:paraId="5C51391A" w14:textId="77777777" w:rsidR="00021461" w:rsidRPr="00021461"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w:t>
            </w:r>
          </w:p>
        </w:tc>
        <w:tc>
          <w:tcPr>
            <w:tcW w:w="485" w:type="pct"/>
            <w:vAlign w:val="bottom"/>
          </w:tcPr>
          <w:p w14:paraId="330873D6" w14:textId="77777777" w:rsidR="00021461" w:rsidRPr="00021461"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w:t>
            </w:r>
          </w:p>
        </w:tc>
        <w:tc>
          <w:tcPr>
            <w:tcW w:w="493" w:type="pct"/>
            <w:vAlign w:val="bottom"/>
          </w:tcPr>
          <w:p w14:paraId="6650A6F7" w14:textId="77777777" w:rsidR="00021461" w:rsidRPr="00021461"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w:t>
            </w:r>
          </w:p>
        </w:tc>
        <w:tc>
          <w:tcPr>
            <w:tcW w:w="482" w:type="pct"/>
            <w:vAlign w:val="bottom"/>
          </w:tcPr>
          <w:p w14:paraId="3F2243D9" w14:textId="77777777" w:rsidR="00021461" w:rsidRPr="00021461"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w:t>
            </w:r>
          </w:p>
        </w:tc>
        <w:tc>
          <w:tcPr>
            <w:tcW w:w="486" w:type="pct"/>
            <w:vAlign w:val="bottom"/>
          </w:tcPr>
          <w:p w14:paraId="2091A7D0" w14:textId="77777777" w:rsidR="00021461" w:rsidRPr="00021461"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1,877,718</w:t>
            </w:r>
          </w:p>
        </w:tc>
        <w:tc>
          <w:tcPr>
            <w:tcW w:w="482" w:type="pct"/>
            <w:vAlign w:val="bottom"/>
          </w:tcPr>
          <w:p w14:paraId="0EDF9116" w14:textId="77777777" w:rsidR="00021461" w:rsidRPr="00021461" w:rsidRDefault="00021461" w:rsidP="00021461">
            <w:pPr>
              <w:spacing w:after="0" w:line="280" w:lineRule="exact"/>
              <w:jc w:val="right"/>
              <w:rPr>
                <w:rFonts w:ascii="Calibri" w:eastAsia="Calibri" w:hAnsi="Calibri" w:cs="Arial"/>
                <w:bCs/>
                <w:sz w:val="16"/>
                <w:szCs w:val="16"/>
                <w:lang w:val="en-US"/>
              </w:rPr>
            </w:pPr>
            <w:r w:rsidRPr="00021461">
              <w:rPr>
                <w:rFonts w:ascii="Calibri" w:eastAsia="Calibri" w:hAnsi="Calibri" w:cs="Arial"/>
                <w:bCs/>
                <w:color w:val="000000"/>
                <w:sz w:val="16"/>
                <w:szCs w:val="16"/>
              </w:rPr>
              <w:t>1,958,620</w:t>
            </w:r>
          </w:p>
        </w:tc>
        <w:tc>
          <w:tcPr>
            <w:tcW w:w="484" w:type="pct"/>
            <w:vAlign w:val="bottom"/>
          </w:tcPr>
          <w:p w14:paraId="31CDA726" w14:textId="77777777" w:rsidR="00021461" w:rsidRPr="00021461" w:rsidDel="00D96E20" w:rsidRDefault="00021461" w:rsidP="00021461">
            <w:pPr>
              <w:spacing w:after="0" w:line="280" w:lineRule="exact"/>
              <w:jc w:val="right"/>
              <w:rPr>
                <w:rFonts w:ascii="Calibri" w:eastAsia="Calibri" w:hAnsi="Calibri" w:cs="Times New Roman"/>
                <w:sz w:val="16"/>
                <w:szCs w:val="16"/>
                <w:lang w:val="en-US"/>
              </w:rPr>
            </w:pPr>
            <w:r w:rsidRPr="00021461">
              <w:rPr>
                <w:rFonts w:ascii="Calibri" w:eastAsia="Calibri" w:hAnsi="Calibri" w:cs="Arial"/>
                <w:bCs/>
                <w:color w:val="000000"/>
                <w:sz w:val="16"/>
                <w:szCs w:val="16"/>
              </w:rPr>
              <w:t>80,902</w:t>
            </w:r>
          </w:p>
        </w:tc>
      </w:tr>
      <w:tr w:rsidR="00021461" w:rsidRPr="00021461" w14:paraId="1536DB2C" w14:textId="77777777" w:rsidTr="00E44437">
        <w:tc>
          <w:tcPr>
            <w:tcW w:w="1122" w:type="pct"/>
            <w:vAlign w:val="bottom"/>
          </w:tcPr>
          <w:p w14:paraId="38A630DB" w14:textId="77777777" w:rsidR="00021461" w:rsidRPr="00021461" w:rsidRDefault="00021461" w:rsidP="00021461">
            <w:pPr>
              <w:tabs>
                <w:tab w:val="left" w:pos="-720"/>
              </w:tabs>
              <w:suppressAutoHyphens/>
              <w:spacing w:after="0" w:line="280" w:lineRule="exact"/>
              <w:ind w:right="-5"/>
              <w:rPr>
                <w:rFonts w:ascii="Calibri" w:eastAsia="Calibri" w:hAnsi="Calibri" w:cs="Arial"/>
                <w:sz w:val="16"/>
                <w:szCs w:val="16"/>
                <w:lang w:val="en-US"/>
              </w:rPr>
            </w:pPr>
            <w:r w:rsidRPr="00021461">
              <w:rPr>
                <w:rFonts w:ascii="Calibri" w:eastAsia="Calibri" w:hAnsi="Calibri" w:cs="Arial"/>
                <w:sz w:val="16"/>
                <w:szCs w:val="16"/>
                <w:lang w:val="en-US"/>
              </w:rPr>
              <w:t xml:space="preserve">Deposits with other banks </w:t>
            </w:r>
          </w:p>
        </w:tc>
        <w:tc>
          <w:tcPr>
            <w:tcW w:w="481" w:type="pct"/>
            <w:vAlign w:val="bottom"/>
          </w:tcPr>
          <w:p w14:paraId="5AAD1B8C" w14:textId="77777777" w:rsidR="00021461" w:rsidRPr="00021461"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w:t>
            </w:r>
          </w:p>
        </w:tc>
        <w:tc>
          <w:tcPr>
            <w:tcW w:w="485" w:type="pct"/>
            <w:vAlign w:val="bottom"/>
          </w:tcPr>
          <w:p w14:paraId="3E06A978" w14:textId="77777777" w:rsidR="00021461" w:rsidRPr="00021461"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w:t>
            </w:r>
          </w:p>
        </w:tc>
        <w:tc>
          <w:tcPr>
            <w:tcW w:w="485" w:type="pct"/>
            <w:vAlign w:val="bottom"/>
          </w:tcPr>
          <w:p w14:paraId="20A031BE" w14:textId="77777777" w:rsidR="00021461" w:rsidRPr="00021461"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w:t>
            </w:r>
          </w:p>
        </w:tc>
        <w:tc>
          <w:tcPr>
            <w:tcW w:w="493" w:type="pct"/>
            <w:vAlign w:val="bottom"/>
          </w:tcPr>
          <w:p w14:paraId="3CA11500" w14:textId="77777777" w:rsidR="00021461" w:rsidRPr="00021461"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w:t>
            </w:r>
          </w:p>
        </w:tc>
        <w:tc>
          <w:tcPr>
            <w:tcW w:w="482" w:type="pct"/>
            <w:vAlign w:val="bottom"/>
          </w:tcPr>
          <w:p w14:paraId="0AAF65B6" w14:textId="77777777" w:rsidR="00021461" w:rsidRPr="00021461"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w:t>
            </w:r>
          </w:p>
        </w:tc>
        <w:tc>
          <w:tcPr>
            <w:tcW w:w="486" w:type="pct"/>
            <w:vAlign w:val="bottom"/>
          </w:tcPr>
          <w:p w14:paraId="05DDC040" w14:textId="77777777" w:rsidR="00021461" w:rsidRPr="00021461"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7,500</w:t>
            </w:r>
          </w:p>
        </w:tc>
        <w:tc>
          <w:tcPr>
            <w:tcW w:w="482" w:type="pct"/>
            <w:vAlign w:val="bottom"/>
          </w:tcPr>
          <w:p w14:paraId="27251584" w14:textId="77777777" w:rsidR="00021461" w:rsidRPr="00021461" w:rsidRDefault="00021461" w:rsidP="00021461">
            <w:pPr>
              <w:spacing w:after="0" w:line="280" w:lineRule="exact"/>
              <w:jc w:val="right"/>
              <w:rPr>
                <w:rFonts w:ascii="Calibri" w:eastAsia="Calibri" w:hAnsi="Calibri" w:cs="Arial"/>
                <w:bCs/>
                <w:sz w:val="16"/>
                <w:szCs w:val="16"/>
                <w:lang w:val="en-US"/>
              </w:rPr>
            </w:pPr>
            <w:r w:rsidRPr="00021461">
              <w:rPr>
                <w:rFonts w:ascii="Calibri" w:eastAsia="Calibri" w:hAnsi="Calibri" w:cs="Arial"/>
                <w:bCs/>
                <w:color w:val="000000"/>
                <w:sz w:val="16"/>
                <w:szCs w:val="16"/>
              </w:rPr>
              <w:t>7,500</w:t>
            </w:r>
          </w:p>
        </w:tc>
        <w:tc>
          <w:tcPr>
            <w:tcW w:w="484" w:type="pct"/>
            <w:vAlign w:val="bottom"/>
          </w:tcPr>
          <w:p w14:paraId="54B7409E" w14:textId="77777777" w:rsidR="00021461" w:rsidRPr="00021461" w:rsidDel="00D96E20"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w:t>
            </w:r>
          </w:p>
        </w:tc>
      </w:tr>
      <w:tr w:rsidR="00021461" w:rsidRPr="00021461" w14:paraId="7CDC1269" w14:textId="77777777" w:rsidTr="00E44437">
        <w:tc>
          <w:tcPr>
            <w:tcW w:w="1122" w:type="pct"/>
            <w:vAlign w:val="bottom"/>
          </w:tcPr>
          <w:p w14:paraId="7482DE6E" w14:textId="77777777" w:rsidR="00021461" w:rsidRPr="00021461" w:rsidRDefault="00021461" w:rsidP="00021461">
            <w:pPr>
              <w:tabs>
                <w:tab w:val="left" w:pos="-720"/>
              </w:tabs>
              <w:suppressAutoHyphens/>
              <w:spacing w:after="0" w:line="280" w:lineRule="exact"/>
              <w:ind w:right="-5"/>
              <w:rPr>
                <w:rFonts w:ascii="Calibri" w:eastAsia="Calibri" w:hAnsi="Calibri" w:cs="Arial"/>
                <w:sz w:val="16"/>
                <w:szCs w:val="16"/>
                <w:lang w:val="en-US"/>
              </w:rPr>
            </w:pPr>
            <w:r w:rsidRPr="00021461">
              <w:rPr>
                <w:rFonts w:ascii="Calibri" w:eastAsia="Calibri" w:hAnsi="Calibri" w:cs="Arial"/>
                <w:sz w:val="16"/>
                <w:szCs w:val="16"/>
                <w:lang w:val="en-US"/>
              </w:rPr>
              <w:t xml:space="preserve">Loans to financial institutions </w:t>
            </w:r>
          </w:p>
        </w:tc>
        <w:tc>
          <w:tcPr>
            <w:tcW w:w="481" w:type="pct"/>
            <w:tcBorders>
              <w:top w:val="nil"/>
              <w:left w:val="nil"/>
              <w:bottom w:val="nil"/>
              <w:right w:val="nil"/>
            </w:tcBorders>
            <w:vAlign w:val="bottom"/>
          </w:tcPr>
          <w:p w14:paraId="5B9C0BAF" w14:textId="77777777" w:rsidR="00021461" w:rsidRPr="00021461"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136,649</w:t>
            </w:r>
          </w:p>
        </w:tc>
        <w:tc>
          <w:tcPr>
            <w:tcW w:w="485" w:type="pct"/>
            <w:tcBorders>
              <w:top w:val="nil"/>
              <w:left w:val="nil"/>
              <w:bottom w:val="nil"/>
              <w:right w:val="nil"/>
            </w:tcBorders>
            <w:vAlign w:val="bottom"/>
          </w:tcPr>
          <w:p w14:paraId="0C791DCE" w14:textId="77777777" w:rsidR="00021461" w:rsidRPr="00021461"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300,681</w:t>
            </w:r>
          </w:p>
        </w:tc>
        <w:tc>
          <w:tcPr>
            <w:tcW w:w="485" w:type="pct"/>
            <w:tcBorders>
              <w:top w:val="nil"/>
              <w:left w:val="nil"/>
              <w:bottom w:val="nil"/>
              <w:right w:val="nil"/>
            </w:tcBorders>
            <w:vAlign w:val="bottom"/>
          </w:tcPr>
          <w:p w14:paraId="1D792A86" w14:textId="77777777" w:rsidR="00021461" w:rsidRPr="00021461"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794,823</w:t>
            </w:r>
          </w:p>
        </w:tc>
        <w:tc>
          <w:tcPr>
            <w:tcW w:w="493" w:type="pct"/>
            <w:tcBorders>
              <w:top w:val="nil"/>
              <w:left w:val="nil"/>
              <w:bottom w:val="nil"/>
              <w:right w:val="nil"/>
            </w:tcBorders>
            <w:vAlign w:val="bottom"/>
          </w:tcPr>
          <w:p w14:paraId="4C61237B" w14:textId="77777777" w:rsidR="00021461" w:rsidRPr="00021461"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1,825,594</w:t>
            </w:r>
          </w:p>
        </w:tc>
        <w:tc>
          <w:tcPr>
            <w:tcW w:w="482" w:type="pct"/>
            <w:tcBorders>
              <w:top w:val="nil"/>
              <w:left w:val="nil"/>
              <w:bottom w:val="nil"/>
              <w:right w:val="nil"/>
            </w:tcBorders>
            <w:vAlign w:val="bottom"/>
          </w:tcPr>
          <w:p w14:paraId="459B067E" w14:textId="77777777" w:rsidR="00021461" w:rsidRPr="00021461"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3,989,089</w:t>
            </w:r>
          </w:p>
        </w:tc>
        <w:tc>
          <w:tcPr>
            <w:tcW w:w="486" w:type="pct"/>
            <w:tcBorders>
              <w:top w:val="nil"/>
              <w:left w:val="nil"/>
              <w:bottom w:val="nil"/>
              <w:right w:val="nil"/>
            </w:tcBorders>
            <w:vAlign w:val="bottom"/>
          </w:tcPr>
          <w:p w14:paraId="6754DD52" w14:textId="77777777" w:rsidR="00021461" w:rsidRPr="00021461"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3,307</w:t>
            </w:r>
          </w:p>
        </w:tc>
        <w:tc>
          <w:tcPr>
            <w:tcW w:w="482" w:type="pct"/>
            <w:tcBorders>
              <w:top w:val="nil"/>
              <w:left w:val="nil"/>
              <w:bottom w:val="nil"/>
              <w:right w:val="nil"/>
            </w:tcBorders>
            <w:vAlign w:val="bottom"/>
          </w:tcPr>
          <w:p w14:paraId="3DBB92EB" w14:textId="77777777" w:rsidR="00021461" w:rsidRPr="00021461" w:rsidRDefault="00021461" w:rsidP="00021461">
            <w:pPr>
              <w:spacing w:after="0" w:line="280" w:lineRule="exact"/>
              <w:jc w:val="right"/>
              <w:rPr>
                <w:rFonts w:ascii="Calibri" w:eastAsia="Calibri" w:hAnsi="Calibri" w:cs="Arial"/>
                <w:bCs/>
                <w:sz w:val="16"/>
                <w:szCs w:val="16"/>
                <w:lang w:val="en-US"/>
              </w:rPr>
            </w:pPr>
            <w:r w:rsidRPr="00021461">
              <w:rPr>
                <w:rFonts w:ascii="Calibri" w:eastAsia="Calibri" w:hAnsi="Calibri" w:cs="Arial"/>
                <w:bCs/>
                <w:color w:val="000000"/>
                <w:sz w:val="16"/>
                <w:szCs w:val="16"/>
              </w:rPr>
              <w:t>7,050,143</w:t>
            </w:r>
          </w:p>
        </w:tc>
        <w:tc>
          <w:tcPr>
            <w:tcW w:w="484" w:type="pct"/>
            <w:tcBorders>
              <w:top w:val="nil"/>
              <w:left w:val="nil"/>
              <w:bottom w:val="nil"/>
              <w:right w:val="nil"/>
            </w:tcBorders>
            <w:vAlign w:val="bottom"/>
          </w:tcPr>
          <w:p w14:paraId="60000C13" w14:textId="77777777" w:rsidR="00021461" w:rsidRPr="00021461" w:rsidDel="00D96E20"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6,925,020</w:t>
            </w:r>
          </w:p>
        </w:tc>
      </w:tr>
      <w:tr w:rsidR="00021461" w:rsidRPr="00021461" w14:paraId="20E77FBD" w14:textId="77777777" w:rsidTr="00E44437">
        <w:trPr>
          <w:trHeight w:val="309"/>
        </w:trPr>
        <w:tc>
          <w:tcPr>
            <w:tcW w:w="1122" w:type="pct"/>
            <w:vAlign w:val="bottom"/>
          </w:tcPr>
          <w:p w14:paraId="21BB3A5C" w14:textId="77777777" w:rsidR="00021461" w:rsidRPr="00021461" w:rsidRDefault="00021461" w:rsidP="00021461">
            <w:pPr>
              <w:tabs>
                <w:tab w:val="left" w:pos="-720"/>
              </w:tabs>
              <w:suppressAutoHyphens/>
              <w:spacing w:after="0" w:line="280" w:lineRule="exact"/>
              <w:ind w:right="-5"/>
              <w:rPr>
                <w:rFonts w:ascii="Calibri" w:eastAsia="Calibri" w:hAnsi="Calibri" w:cs="Arial"/>
                <w:sz w:val="16"/>
                <w:szCs w:val="16"/>
                <w:lang w:val="en-US"/>
              </w:rPr>
            </w:pPr>
            <w:r w:rsidRPr="00021461">
              <w:rPr>
                <w:rFonts w:ascii="Calibri" w:eastAsia="Calibri" w:hAnsi="Calibri" w:cs="Arial"/>
                <w:sz w:val="16"/>
                <w:szCs w:val="16"/>
                <w:lang w:val="en-US"/>
              </w:rPr>
              <w:t xml:space="preserve">Loans to other customers </w:t>
            </w:r>
          </w:p>
        </w:tc>
        <w:tc>
          <w:tcPr>
            <w:tcW w:w="481" w:type="pct"/>
            <w:tcBorders>
              <w:top w:val="nil"/>
              <w:left w:val="nil"/>
              <w:bottom w:val="nil"/>
              <w:right w:val="nil"/>
            </w:tcBorders>
            <w:vAlign w:val="bottom"/>
          </w:tcPr>
          <w:p w14:paraId="26BAAAC6" w14:textId="77777777" w:rsidR="00021461" w:rsidRPr="00021461"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1,721,753</w:t>
            </w:r>
          </w:p>
        </w:tc>
        <w:tc>
          <w:tcPr>
            <w:tcW w:w="485" w:type="pct"/>
            <w:tcBorders>
              <w:top w:val="nil"/>
              <w:left w:val="nil"/>
              <w:bottom w:val="nil"/>
              <w:right w:val="nil"/>
            </w:tcBorders>
            <w:vAlign w:val="bottom"/>
          </w:tcPr>
          <w:p w14:paraId="62362F1E" w14:textId="77777777" w:rsidR="00021461" w:rsidRPr="00021461"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643,354</w:t>
            </w:r>
          </w:p>
        </w:tc>
        <w:tc>
          <w:tcPr>
            <w:tcW w:w="485" w:type="pct"/>
            <w:tcBorders>
              <w:top w:val="nil"/>
              <w:left w:val="nil"/>
              <w:bottom w:val="nil"/>
              <w:right w:val="nil"/>
            </w:tcBorders>
            <w:vAlign w:val="bottom"/>
          </w:tcPr>
          <w:p w14:paraId="53BA6CC9" w14:textId="77777777" w:rsidR="00021461" w:rsidRPr="00021461"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1,294,971</w:t>
            </w:r>
          </w:p>
        </w:tc>
        <w:tc>
          <w:tcPr>
            <w:tcW w:w="493" w:type="pct"/>
            <w:tcBorders>
              <w:top w:val="nil"/>
              <w:left w:val="nil"/>
              <w:bottom w:val="nil"/>
              <w:right w:val="nil"/>
            </w:tcBorders>
            <w:vAlign w:val="bottom"/>
          </w:tcPr>
          <w:p w14:paraId="31EC4186" w14:textId="77777777" w:rsidR="00021461" w:rsidRPr="00021461"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3,130,097</w:t>
            </w:r>
          </w:p>
        </w:tc>
        <w:tc>
          <w:tcPr>
            <w:tcW w:w="482" w:type="pct"/>
            <w:tcBorders>
              <w:top w:val="nil"/>
              <w:left w:val="nil"/>
              <w:bottom w:val="nil"/>
              <w:right w:val="nil"/>
            </w:tcBorders>
            <w:vAlign w:val="bottom"/>
          </w:tcPr>
          <w:p w14:paraId="4F9A77BD" w14:textId="77777777" w:rsidR="00021461" w:rsidRPr="00021461"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8,977,083</w:t>
            </w:r>
          </w:p>
        </w:tc>
        <w:tc>
          <w:tcPr>
            <w:tcW w:w="486" w:type="pct"/>
            <w:tcBorders>
              <w:top w:val="nil"/>
              <w:left w:val="nil"/>
              <w:bottom w:val="nil"/>
              <w:right w:val="nil"/>
            </w:tcBorders>
            <w:vAlign w:val="bottom"/>
          </w:tcPr>
          <w:p w14:paraId="73F06121" w14:textId="77777777" w:rsidR="00021461" w:rsidRPr="00021461"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197,118</w:t>
            </w:r>
          </w:p>
        </w:tc>
        <w:tc>
          <w:tcPr>
            <w:tcW w:w="482" w:type="pct"/>
            <w:tcBorders>
              <w:top w:val="nil"/>
              <w:left w:val="nil"/>
              <w:bottom w:val="nil"/>
              <w:right w:val="nil"/>
            </w:tcBorders>
            <w:vAlign w:val="bottom"/>
          </w:tcPr>
          <w:p w14:paraId="67CB162A" w14:textId="77777777" w:rsidR="00021461" w:rsidRPr="00021461" w:rsidRDefault="00021461" w:rsidP="00021461">
            <w:pPr>
              <w:spacing w:after="0" w:line="280" w:lineRule="exact"/>
              <w:jc w:val="right"/>
              <w:rPr>
                <w:rFonts w:ascii="Calibri" w:eastAsia="Calibri" w:hAnsi="Calibri" w:cs="Arial"/>
                <w:bCs/>
                <w:sz w:val="16"/>
                <w:szCs w:val="16"/>
                <w:lang w:val="en-US"/>
              </w:rPr>
            </w:pPr>
            <w:r w:rsidRPr="00021461">
              <w:rPr>
                <w:rFonts w:ascii="Calibri" w:eastAsia="Calibri" w:hAnsi="Calibri" w:cs="Arial"/>
                <w:bCs/>
                <w:color w:val="000000"/>
                <w:sz w:val="16"/>
                <w:szCs w:val="16"/>
              </w:rPr>
              <w:t>15,964,376</w:t>
            </w:r>
          </w:p>
        </w:tc>
        <w:tc>
          <w:tcPr>
            <w:tcW w:w="484" w:type="pct"/>
            <w:tcBorders>
              <w:top w:val="nil"/>
              <w:left w:val="nil"/>
              <w:bottom w:val="nil"/>
              <w:right w:val="nil"/>
            </w:tcBorders>
            <w:vAlign w:val="bottom"/>
          </w:tcPr>
          <w:p w14:paraId="751E27BD" w14:textId="77777777" w:rsidR="00021461" w:rsidRPr="00021461" w:rsidDel="00D96E20"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14,941,579</w:t>
            </w:r>
          </w:p>
        </w:tc>
      </w:tr>
      <w:tr w:rsidR="00021461" w:rsidRPr="00021461" w14:paraId="3869BC7B" w14:textId="77777777" w:rsidTr="00E44437">
        <w:tc>
          <w:tcPr>
            <w:tcW w:w="1122" w:type="pct"/>
          </w:tcPr>
          <w:p w14:paraId="6C1C35B9" w14:textId="77777777" w:rsidR="00021461" w:rsidRPr="00021461" w:rsidRDefault="00021461" w:rsidP="00021461">
            <w:pPr>
              <w:tabs>
                <w:tab w:val="left" w:pos="-720"/>
              </w:tabs>
              <w:suppressAutoHyphens/>
              <w:spacing w:after="0" w:line="280" w:lineRule="exact"/>
              <w:ind w:right="-5"/>
              <w:rPr>
                <w:rFonts w:ascii="Calibri" w:eastAsia="Calibri" w:hAnsi="Calibri" w:cs="Arial"/>
                <w:sz w:val="16"/>
                <w:szCs w:val="16"/>
                <w:lang w:val="en-US"/>
              </w:rPr>
            </w:pPr>
            <w:r w:rsidRPr="00021461">
              <w:rPr>
                <w:rFonts w:ascii="Calibri" w:eastAsia="Times New Roman" w:hAnsi="Calibri" w:cs="Arial"/>
                <w:spacing w:val="-2"/>
                <w:sz w:val="16"/>
                <w:szCs w:val="16"/>
                <w:lang w:val="en-US"/>
              </w:rPr>
              <w:t>Financial assets at fair value through profit or loss</w:t>
            </w:r>
          </w:p>
        </w:tc>
        <w:tc>
          <w:tcPr>
            <w:tcW w:w="481" w:type="pct"/>
            <w:vAlign w:val="bottom"/>
          </w:tcPr>
          <w:p w14:paraId="1145DFAA" w14:textId="77777777" w:rsidR="00021461" w:rsidRPr="00021461"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w:t>
            </w:r>
          </w:p>
        </w:tc>
        <w:tc>
          <w:tcPr>
            <w:tcW w:w="485" w:type="pct"/>
            <w:vAlign w:val="bottom"/>
          </w:tcPr>
          <w:p w14:paraId="40A22E23" w14:textId="77777777" w:rsidR="00021461" w:rsidRPr="00021461"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w:t>
            </w:r>
          </w:p>
        </w:tc>
        <w:tc>
          <w:tcPr>
            <w:tcW w:w="485" w:type="pct"/>
            <w:vAlign w:val="bottom"/>
          </w:tcPr>
          <w:p w14:paraId="28D0C317" w14:textId="77777777" w:rsidR="00021461" w:rsidRPr="00021461"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w:t>
            </w:r>
          </w:p>
        </w:tc>
        <w:tc>
          <w:tcPr>
            <w:tcW w:w="493" w:type="pct"/>
            <w:vAlign w:val="bottom"/>
          </w:tcPr>
          <w:p w14:paraId="6BD9230B" w14:textId="77777777" w:rsidR="00021461" w:rsidRPr="00021461"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w:t>
            </w:r>
          </w:p>
        </w:tc>
        <w:tc>
          <w:tcPr>
            <w:tcW w:w="482" w:type="pct"/>
            <w:vAlign w:val="bottom"/>
          </w:tcPr>
          <w:p w14:paraId="04224719" w14:textId="77777777" w:rsidR="00021461" w:rsidRPr="00021461"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16,375</w:t>
            </w:r>
          </w:p>
        </w:tc>
        <w:tc>
          <w:tcPr>
            <w:tcW w:w="486" w:type="pct"/>
            <w:vAlign w:val="bottom"/>
          </w:tcPr>
          <w:p w14:paraId="320E455A" w14:textId="77777777" w:rsidR="00021461" w:rsidRPr="00021461"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202,609</w:t>
            </w:r>
          </w:p>
        </w:tc>
        <w:tc>
          <w:tcPr>
            <w:tcW w:w="482" w:type="pct"/>
            <w:vAlign w:val="bottom"/>
          </w:tcPr>
          <w:p w14:paraId="68875B2B" w14:textId="77777777" w:rsidR="00021461" w:rsidRPr="00021461" w:rsidRDefault="00021461" w:rsidP="00021461">
            <w:pPr>
              <w:spacing w:after="0" w:line="280" w:lineRule="exact"/>
              <w:jc w:val="right"/>
              <w:rPr>
                <w:rFonts w:ascii="Calibri" w:eastAsia="Calibri" w:hAnsi="Calibri" w:cs="Arial"/>
                <w:bCs/>
                <w:sz w:val="16"/>
                <w:szCs w:val="16"/>
                <w:lang w:val="en-US"/>
              </w:rPr>
            </w:pPr>
            <w:r w:rsidRPr="00021461">
              <w:rPr>
                <w:rFonts w:ascii="Calibri" w:eastAsia="Calibri" w:hAnsi="Calibri" w:cs="Arial"/>
                <w:bCs/>
                <w:color w:val="000000"/>
                <w:sz w:val="16"/>
                <w:szCs w:val="16"/>
              </w:rPr>
              <w:t>218,984</w:t>
            </w:r>
          </w:p>
        </w:tc>
        <w:tc>
          <w:tcPr>
            <w:tcW w:w="484" w:type="pct"/>
            <w:vAlign w:val="bottom"/>
          </w:tcPr>
          <w:p w14:paraId="2BC179C8" w14:textId="77777777" w:rsidR="00021461" w:rsidRPr="00021461" w:rsidDel="00D96E20"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16,375</w:t>
            </w:r>
          </w:p>
        </w:tc>
      </w:tr>
      <w:tr w:rsidR="00021461" w:rsidRPr="00021461" w14:paraId="224F8F07" w14:textId="77777777" w:rsidTr="00E44437">
        <w:trPr>
          <w:trHeight w:val="519"/>
        </w:trPr>
        <w:tc>
          <w:tcPr>
            <w:tcW w:w="1122" w:type="pct"/>
          </w:tcPr>
          <w:p w14:paraId="4B7097D2" w14:textId="77777777" w:rsidR="00021461" w:rsidRPr="00021461" w:rsidDel="0082071C" w:rsidRDefault="00021461" w:rsidP="00021461">
            <w:pPr>
              <w:tabs>
                <w:tab w:val="left" w:pos="-720"/>
              </w:tabs>
              <w:suppressAutoHyphens/>
              <w:spacing w:after="0" w:line="280" w:lineRule="exact"/>
              <w:ind w:right="-5"/>
              <w:rPr>
                <w:rFonts w:ascii="Calibri" w:eastAsia="Calibri" w:hAnsi="Calibri" w:cs="Arial"/>
                <w:sz w:val="16"/>
                <w:szCs w:val="16"/>
                <w:lang w:val="en-US"/>
              </w:rPr>
            </w:pPr>
            <w:r w:rsidRPr="00021461">
              <w:rPr>
                <w:rFonts w:ascii="Calibri" w:eastAsia="Times New Roman" w:hAnsi="Calibri" w:cs="Arial"/>
                <w:spacing w:val="-2"/>
                <w:sz w:val="16"/>
                <w:szCs w:val="16"/>
                <w:lang w:val="en-US"/>
              </w:rPr>
              <w:t>Financial assets at fair value through other comprehensive income</w:t>
            </w:r>
          </w:p>
        </w:tc>
        <w:tc>
          <w:tcPr>
            <w:tcW w:w="481" w:type="pct"/>
            <w:vAlign w:val="bottom"/>
          </w:tcPr>
          <w:p w14:paraId="397D24A9" w14:textId="77777777" w:rsidR="00021461" w:rsidRPr="00021461" w:rsidDel="008D408B"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2,857,247</w:t>
            </w:r>
          </w:p>
        </w:tc>
        <w:tc>
          <w:tcPr>
            <w:tcW w:w="485" w:type="pct"/>
            <w:vAlign w:val="bottom"/>
          </w:tcPr>
          <w:p w14:paraId="10F44B47" w14:textId="77777777" w:rsidR="00021461" w:rsidRPr="00021461" w:rsidDel="008D408B"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w:t>
            </w:r>
          </w:p>
        </w:tc>
        <w:tc>
          <w:tcPr>
            <w:tcW w:w="485" w:type="pct"/>
            <w:vAlign w:val="bottom"/>
          </w:tcPr>
          <w:p w14:paraId="06F89B25" w14:textId="77777777" w:rsidR="00021461" w:rsidRPr="00021461" w:rsidDel="008D408B"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w:t>
            </w:r>
          </w:p>
        </w:tc>
        <w:tc>
          <w:tcPr>
            <w:tcW w:w="493" w:type="pct"/>
            <w:vAlign w:val="bottom"/>
          </w:tcPr>
          <w:p w14:paraId="0A647E56" w14:textId="77777777" w:rsidR="00021461" w:rsidRPr="00021461" w:rsidDel="008D408B"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w:t>
            </w:r>
          </w:p>
        </w:tc>
        <w:tc>
          <w:tcPr>
            <w:tcW w:w="482" w:type="pct"/>
            <w:vAlign w:val="bottom"/>
          </w:tcPr>
          <w:p w14:paraId="4C4F5CF1" w14:textId="77777777" w:rsidR="00021461" w:rsidRPr="00021461" w:rsidDel="008D408B"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w:t>
            </w:r>
          </w:p>
        </w:tc>
        <w:tc>
          <w:tcPr>
            <w:tcW w:w="486" w:type="pct"/>
            <w:vAlign w:val="bottom"/>
          </w:tcPr>
          <w:p w14:paraId="1BAD7021" w14:textId="77777777" w:rsidR="00021461" w:rsidRPr="00021461" w:rsidDel="008D408B"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58,457</w:t>
            </w:r>
          </w:p>
        </w:tc>
        <w:tc>
          <w:tcPr>
            <w:tcW w:w="482" w:type="pct"/>
            <w:vAlign w:val="bottom"/>
          </w:tcPr>
          <w:p w14:paraId="67B36F03" w14:textId="77777777" w:rsidR="00021461" w:rsidRPr="00021461" w:rsidDel="008D408B"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2,915,704</w:t>
            </w:r>
          </w:p>
        </w:tc>
        <w:tc>
          <w:tcPr>
            <w:tcW w:w="484" w:type="pct"/>
            <w:vAlign w:val="bottom"/>
          </w:tcPr>
          <w:p w14:paraId="69B6BBCD" w14:textId="77777777" w:rsidR="00021461" w:rsidRPr="00021461" w:rsidDel="00D96E20"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2,857,247</w:t>
            </w:r>
          </w:p>
        </w:tc>
      </w:tr>
      <w:tr w:rsidR="00021461" w:rsidRPr="00021461" w14:paraId="6432E4C5" w14:textId="77777777" w:rsidTr="00E44437">
        <w:tc>
          <w:tcPr>
            <w:tcW w:w="1122" w:type="pct"/>
            <w:vAlign w:val="bottom"/>
          </w:tcPr>
          <w:p w14:paraId="612EB411" w14:textId="77777777" w:rsidR="00021461" w:rsidRPr="00021461" w:rsidRDefault="00021461" w:rsidP="00021461">
            <w:pPr>
              <w:tabs>
                <w:tab w:val="left" w:pos="-720"/>
              </w:tabs>
              <w:suppressAutoHyphens/>
              <w:spacing w:after="0" w:line="280" w:lineRule="exact"/>
              <w:ind w:right="-5"/>
              <w:rPr>
                <w:rFonts w:ascii="Calibri" w:eastAsia="Calibri" w:hAnsi="Calibri" w:cs="Arial"/>
                <w:sz w:val="16"/>
                <w:szCs w:val="16"/>
                <w:lang w:val="en-US"/>
              </w:rPr>
            </w:pPr>
            <w:r w:rsidRPr="00021461">
              <w:rPr>
                <w:rFonts w:ascii="Calibri" w:eastAsia="Calibri" w:hAnsi="Calibri" w:cs="Arial"/>
                <w:sz w:val="16"/>
                <w:szCs w:val="16"/>
                <w:lang w:val="en-US"/>
              </w:rPr>
              <w:t xml:space="preserve">Other assets </w:t>
            </w:r>
          </w:p>
        </w:tc>
        <w:tc>
          <w:tcPr>
            <w:tcW w:w="481" w:type="pct"/>
            <w:vAlign w:val="bottom"/>
          </w:tcPr>
          <w:p w14:paraId="57BED6AD" w14:textId="77777777" w:rsidR="00021461" w:rsidRPr="00021461"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w:t>
            </w:r>
          </w:p>
        </w:tc>
        <w:tc>
          <w:tcPr>
            <w:tcW w:w="485" w:type="pct"/>
            <w:vAlign w:val="bottom"/>
          </w:tcPr>
          <w:p w14:paraId="4F3E9745" w14:textId="77777777" w:rsidR="00021461" w:rsidRPr="00021461"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w:t>
            </w:r>
          </w:p>
        </w:tc>
        <w:tc>
          <w:tcPr>
            <w:tcW w:w="485" w:type="pct"/>
            <w:vAlign w:val="bottom"/>
          </w:tcPr>
          <w:p w14:paraId="2F3E058A" w14:textId="77777777" w:rsidR="00021461" w:rsidRPr="00021461"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w:t>
            </w:r>
          </w:p>
        </w:tc>
        <w:tc>
          <w:tcPr>
            <w:tcW w:w="493" w:type="pct"/>
            <w:vAlign w:val="bottom"/>
          </w:tcPr>
          <w:p w14:paraId="79673FF1" w14:textId="77777777" w:rsidR="00021461" w:rsidRPr="00021461"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w:t>
            </w:r>
          </w:p>
        </w:tc>
        <w:tc>
          <w:tcPr>
            <w:tcW w:w="482" w:type="pct"/>
            <w:vAlign w:val="bottom"/>
          </w:tcPr>
          <w:p w14:paraId="090D0554" w14:textId="77777777" w:rsidR="00021461" w:rsidRPr="00021461"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w:t>
            </w:r>
          </w:p>
        </w:tc>
        <w:tc>
          <w:tcPr>
            <w:tcW w:w="486" w:type="pct"/>
            <w:tcBorders>
              <w:bottom w:val="single" w:sz="4" w:space="0" w:color="auto"/>
            </w:tcBorders>
            <w:vAlign w:val="bottom"/>
          </w:tcPr>
          <w:p w14:paraId="539215E5" w14:textId="77777777" w:rsidR="00021461" w:rsidRPr="00021461"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34,494</w:t>
            </w:r>
          </w:p>
        </w:tc>
        <w:tc>
          <w:tcPr>
            <w:tcW w:w="482" w:type="pct"/>
            <w:tcBorders>
              <w:bottom w:val="single" w:sz="4" w:space="0" w:color="auto"/>
            </w:tcBorders>
            <w:vAlign w:val="bottom"/>
          </w:tcPr>
          <w:p w14:paraId="265EDCBE" w14:textId="77777777" w:rsidR="00021461" w:rsidRPr="00021461" w:rsidRDefault="00021461" w:rsidP="00021461">
            <w:pPr>
              <w:spacing w:after="0" w:line="280" w:lineRule="exact"/>
              <w:jc w:val="right"/>
              <w:rPr>
                <w:rFonts w:ascii="Calibri" w:eastAsia="Calibri" w:hAnsi="Calibri" w:cs="Arial"/>
                <w:bCs/>
                <w:sz w:val="16"/>
                <w:szCs w:val="16"/>
                <w:lang w:val="en-US"/>
              </w:rPr>
            </w:pPr>
            <w:r w:rsidRPr="00021461">
              <w:rPr>
                <w:rFonts w:ascii="Calibri" w:eastAsia="Calibri" w:hAnsi="Calibri" w:cs="Arial"/>
                <w:bCs/>
                <w:color w:val="000000"/>
                <w:sz w:val="16"/>
                <w:szCs w:val="16"/>
              </w:rPr>
              <w:t>34,494</w:t>
            </w:r>
          </w:p>
        </w:tc>
        <w:tc>
          <w:tcPr>
            <w:tcW w:w="484" w:type="pct"/>
            <w:tcBorders>
              <w:bottom w:val="single" w:sz="4" w:space="0" w:color="auto"/>
            </w:tcBorders>
            <w:vAlign w:val="bottom"/>
          </w:tcPr>
          <w:p w14:paraId="204723BE" w14:textId="77777777" w:rsidR="00021461" w:rsidRPr="00021461" w:rsidDel="00D96E20" w:rsidRDefault="00021461" w:rsidP="00021461">
            <w:pPr>
              <w:spacing w:after="0" w:line="280" w:lineRule="exact"/>
              <w:jc w:val="right"/>
              <w:rPr>
                <w:rFonts w:ascii="Calibri" w:eastAsia="Calibri" w:hAnsi="Calibri" w:cs="Arial"/>
                <w:sz w:val="16"/>
                <w:szCs w:val="16"/>
                <w:lang w:val="en-US"/>
              </w:rPr>
            </w:pPr>
            <w:r w:rsidRPr="00021461">
              <w:rPr>
                <w:rFonts w:ascii="Calibri" w:eastAsia="Calibri" w:hAnsi="Calibri" w:cs="Arial"/>
                <w:bCs/>
                <w:color w:val="000000"/>
                <w:sz w:val="16"/>
                <w:szCs w:val="16"/>
              </w:rPr>
              <w:t>-</w:t>
            </w:r>
          </w:p>
        </w:tc>
      </w:tr>
      <w:tr w:rsidR="00021461" w:rsidRPr="00021461" w14:paraId="7876BAD9" w14:textId="77777777" w:rsidTr="00E44437">
        <w:trPr>
          <w:trHeight w:hRule="exact" w:val="407"/>
        </w:trPr>
        <w:tc>
          <w:tcPr>
            <w:tcW w:w="1122" w:type="pct"/>
            <w:vAlign w:val="bottom"/>
          </w:tcPr>
          <w:p w14:paraId="0F7F54FA" w14:textId="77777777" w:rsidR="00021461" w:rsidRPr="00021461" w:rsidRDefault="00021461" w:rsidP="00021461">
            <w:pPr>
              <w:tabs>
                <w:tab w:val="right" w:pos="1202"/>
              </w:tabs>
              <w:spacing w:after="0" w:line="320" w:lineRule="exact"/>
              <w:outlineLvl w:val="0"/>
              <w:rPr>
                <w:rFonts w:ascii="Calibri" w:eastAsia="Times New Roman" w:hAnsi="Calibri" w:cs="Arial"/>
                <w:b/>
                <w:bCs/>
                <w:sz w:val="16"/>
                <w:szCs w:val="16"/>
                <w:lang w:val="en-US"/>
              </w:rPr>
            </w:pPr>
            <w:r w:rsidRPr="00021461">
              <w:rPr>
                <w:rFonts w:ascii="Calibri" w:eastAsia="Times New Roman" w:hAnsi="Calibri" w:cs="Arial"/>
                <w:b/>
                <w:bCs/>
                <w:sz w:val="16"/>
                <w:szCs w:val="16"/>
                <w:lang w:val="en-US"/>
              </w:rPr>
              <w:t>Total assets</w:t>
            </w:r>
          </w:p>
        </w:tc>
        <w:tc>
          <w:tcPr>
            <w:tcW w:w="481" w:type="pct"/>
            <w:tcBorders>
              <w:top w:val="single" w:sz="4" w:space="0" w:color="auto"/>
              <w:left w:val="nil"/>
              <w:bottom w:val="single" w:sz="8" w:space="0" w:color="auto"/>
              <w:right w:val="nil"/>
            </w:tcBorders>
            <w:vAlign w:val="bottom"/>
          </w:tcPr>
          <w:p w14:paraId="22EBB484" w14:textId="77777777" w:rsidR="00021461" w:rsidRPr="00021461" w:rsidRDefault="00021461" w:rsidP="00021461">
            <w:pPr>
              <w:spacing w:after="0" w:line="320" w:lineRule="exact"/>
              <w:jc w:val="right"/>
              <w:rPr>
                <w:rFonts w:ascii="Calibri" w:eastAsia="Times New Roman" w:hAnsi="Calibri" w:cs="Calibri"/>
                <w:b/>
                <w:bCs/>
                <w:color w:val="000000"/>
                <w:sz w:val="16"/>
                <w:szCs w:val="16"/>
                <w:lang w:val="en-US"/>
              </w:rPr>
            </w:pPr>
            <w:r w:rsidRPr="00021461">
              <w:rPr>
                <w:rFonts w:ascii="Calibri" w:eastAsia="Calibri" w:hAnsi="Calibri" w:cs="Arial"/>
                <w:b/>
                <w:color w:val="000000"/>
                <w:sz w:val="16"/>
                <w:szCs w:val="16"/>
              </w:rPr>
              <w:t>4,796,551</w:t>
            </w:r>
          </w:p>
        </w:tc>
        <w:tc>
          <w:tcPr>
            <w:tcW w:w="485" w:type="pct"/>
            <w:tcBorders>
              <w:top w:val="single" w:sz="4" w:space="0" w:color="auto"/>
              <w:left w:val="nil"/>
              <w:bottom w:val="single" w:sz="8" w:space="0" w:color="auto"/>
              <w:right w:val="nil"/>
            </w:tcBorders>
            <w:vAlign w:val="bottom"/>
          </w:tcPr>
          <w:p w14:paraId="4779008C" w14:textId="77777777" w:rsidR="00021461" w:rsidRPr="00021461" w:rsidRDefault="00021461" w:rsidP="00021461">
            <w:pPr>
              <w:spacing w:after="0" w:line="320" w:lineRule="exact"/>
              <w:jc w:val="right"/>
              <w:rPr>
                <w:rFonts w:ascii="Calibri" w:eastAsia="Times New Roman" w:hAnsi="Calibri" w:cs="Calibri"/>
                <w:b/>
                <w:bCs/>
                <w:color w:val="000000"/>
                <w:sz w:val="16"/>
                <w:szCs w:val="16"/>
                <w:lang w:val="en-US"/>
              </w:rPr>
            </w:pPr>
            <w:r w:rsidRPr="00021461">
              <w:rPr>
                <w:rFonts w:ascii="Calibri" w:eastAsia="Calibri" w:hAnsi="Calibri" w:cs="Arial"/>
                <w:b/>
                <w:color w:val="000000"/>
                <w:sz w:val="16"/>
                <w:szCs w:val="16"/>
              </w:rPr>
              <w:t>944,035</w:t>
            </w:r>
          </w:p>
        </w:tc>
        <w:tc>
          <w:tcPr>
            <w:tcW w:w="485" w:type="pct"/>
            <w:tcBorders>
              <w:top w:val="single" w:sz="4" w:space="0" w:color="auto"/>
              <w:left w:val="nil"/>
              <w:bottom w:val="single" w:sz="8" w:space="0" w:color="auto"/>
              <w:right w:val="nil"/>
            </w:tcBorders>
            <w:vAlign w:val="bottom"/>
          </w:tcPr>
          <w:p w14:paraId="0816D779" w14:textId="77777777" w:rsidR="00021461" w:rsidRPr="00021461" w:rsidRDefault="00021461" w:rsidP="00021461">
            <w:pPr>
              <w:spacing w:after="0" w:line="320" w:lineRule="exact"/>
              <w:jc w:val="right"/>
              <w:rPr>
                <w:rFonts w:ascii="Calibri" w:eastAsia="Times New Roman" w:hAnsi="Calibri" w:cs="Calibri"/>
                <w:b/>
                <w:bCs/>
                <w:color w:val="000000"/>
                <w:sz w:val="16"/>
                <w:szCs w:val="16"/>
                <w:lang w:val="en-US"/>
              </w:rPr>
            </w:pPr>
            <w:r w:rsidRPr="00021461">
              <w:rPr>
                <w:rFonts w:ascii="Calibri" w:eastAsia="Calibri" w:hAnsi="Calibri" w:cs="Arial"/>
                <w:b/>
                <w:color w:val="000000"/>
                <w:sz w:val="16"/>
                <w:szCs w:val="16"/>
              </w:rPr>
              <w:t>2,089,794</w:t>
            </w:r>
          </w:p>
        </w:tc>
        <w:tc>
          <w:tcPr>
            <w:tcW w:w="493" w:type="pct"/>
            <w:tcBorders>
              <w:top w:val="single" w:sz="4" w:space="0" w:color="auto"/>
              <w:left w:val="nil"/>
              <w:bottom w:val="single" w:sz="8" w:space="0" w:color="auto"/>
              <w:right w:val="nil"/>
            </w:tcBorders>
            <w:vAlign w:val="bottom"/>
          </w:tcPr>
          <w:p w14:paraId="6F5503E9" w14:textId="77777777" w:rsidR="00021461" w:rsidRPr="00021461" w:rsidRDefault="00021461" w:rsidP="00021461">
            <w:pPr>
              <w:spacing w:after="0" w:line="320" w:lineRule="exact"/>
              <w:jc w:val="right"/>
              <w:rPr>
                <w:rFonts w:ascii="Calibri" w:eastAsia="Times New Roman" w:hAnsi="Calibri" w:cs="Calibri"/>
                <w:b/>
                <w:bCs/>
                <w:color w:val="000000"/>
                <w:sz w:val="16"/>
                <w:szCs w:val="16"/>
                <w:lang w:val="en-US"/>
              </w:rPr>
            </w:pPr>
            <w:r w:rsidRPr="00021461">
              <w:rPr>
                <w:rFonts w:ascii="Calibri" w:eastAsia="Calibri" w:hAnsi="Calibri" w:cs="Arial"/>
                <w:b/>
                <w:color w:val="000000"/>
                <w:sz w:val="16"/>
                <w:szCs w:val="16"/>
              </w:rPr>
              <w:t>4,955,691</w:t>
            </w:r>
          </w:p>
        </w:tc>
        <w:tc>
          <w:tcPr>
            <w:tcW w:w="482" w:type="pct"/>
            <w:tcBorders>
              <w:top w:val="single" w:sz="4" w:space="0" w:color="auto"/>
              <w:left w:val="nil"/>
              <w:bottom w:val="single" w:sz="8" w:space="0" w:color="auto"/>
              <w:right w:val="nil"/>
            </w:tcBorders>
            <w:vAlign w:val="bottom"/>
          </w:tcPr>
          <w:p w14:paraId="2B84025F" w14:textId="77777777" w:rsidR="00021461" w:rsidRPr="00021461" w:rsidRDefault="00021461" w:rsidP="00021461">
            <w:pPr>
              <w:spacing w:after="0" w:line="320" w:lineRule="exact"/>
              <w:jc w:val="right"/>
              <w:rPr>
                <w:rFonts w:ascii="Calibri" w:eastAsia="Times New Roman" w:hAnsi="Calibri" w:cs="Calibri"/>
                <w:b/>
                <w:bCs/>
                <w:color w:val="000000"/>
                <w:sz w:val="16"/>
                <w:szCs w:val="16"/>
                <w:lang w:val="en-US"/>
              </w:rPr>
            </w:pPr>
            <w:r w:rsidRPr="00021461">
              <w:rPr>
                <w:rFonts w:ascii="Calibri" w:eastAsia="Calibri" w:hAnsi="Calibri" w:cs="Arial"/>
                <w:b/>
                <w:color w:val="000000"/>
                <w:sz w:val="16"/>
                <w:szCs w:val="16"/>
              </w:rPr>
              <w:t>12,982,547</w:t>
            </w:r>
          </w:p>
        </w:tc>
        <w:tc>
          <w:tcPr>
            <w:tcW w:w="486" w:type="pct"/>
            <w:tcBorders>
              <w:top w:val="single" w:sz="4" w:space="0" w:color="auto"/>
              <w:left w:val="nil"/>
              <w:bottom w:val="single" w:sz="8" w:space="0" w:color="auto"/>
              <w:right w:val="nil"/>
            </w:tcBorders>
            <w:vAlign w:val="bottom"/>
          </w:tcPr>
          <w:p w14:paraId="025BD2C1" w14:textId="77777777" w:rsidR="00021461" w:rsidRPr="00021461" w:rsidRDefault="00021461" w:rsidP="00021461">
            <w:pPr>
              <w:spacing w:after="0" w:line="320" w:lineRule="exact"/>
              <w:jc w:val="right"/>
              <w:rPr>
                <w:rFonts w:ascii="Calibri" w:eastAsia="Times New Roman" w:hAnsi="Calibri" w:cs="Calibri"/>
                <w:b/>
                <w:bCs/>
                <w:color w:val="000000"/>
                <w:sz w:val="16"/>
                <w:szCs w:val="16"/>
                <w:lang w:val="en-US"/>
              </w:rPr>
            </w:pPr>
            <w:r w:rsidRPr="00021461">
              <w:rPr>
                <w:rFonts w:ascii="Calibri" w:eastAsia="Calibri" w:hAnsi="Calibri" w:cs="Arial"/>
                <w:b/>
                <w:color w:val="000000"/>
                <w:sz w:val="16"/>
                <w:szCs w:val="16"/>
              </w:rPr>
              <w:t>2,381,203</w:t>
            </w:r>
          </w:p>
        </w:tc>
        <w:tc>
          <w:tcPr>
            <w:tcW w:w="482" w:type="pct"/>
            <w:tcBorders>
              <w:top w:val="single" w:sz="4" w:space="0" w:color="auto"/>
              <w:left w:val="nil"/>
              <w:bottom w:val="single" w:sz="8" w:space="0" w:color="auto"/>
              <w:right w:val="nil"/>
            </w:tcBorders>
            <w:vAlign w:val="bottom"/>
          </w:tcPr>
          <w:p w14:paraId="17B0DA3B" w14:textId="77777777" w:rsidR="00021461" w:rsidRPr="00021461" w:rsidRDefault="00021461" w:rsidP="00021461">
            <w:pPr>
              <w:spacing w:after="0" w:line="320" w:lineRule="exact"/>
              <w:jc w:val="right"/>
              <w:rPr>
                <w:rFonts w:ascii="Calibri" w:eastAsia="Times New Roman" w:hAnsi="Calibri" w:cs="Calibri"/>
                <w:b/>
                <w:bCs/>
                <w:color w:val="000000"/>
                <w:sz w:val="16"/>
                <w:szCs w:val="16"/>
                <w:lang w:val="en-US"/>
              </w:rPr>
            </w:pPr>
            <w:r w:rsidRPr="00021461">
              <w:rPr>
                <w:rFonts w:ascii="Calibri" w:eastAsia="Calibri" w:hAnsi="Calibri" w:cs="Arial"/>
                <w:b/>
                <w:color w:val="000000"/>
                <w:sz w:val="16"/>
                <w:szCs w:val="16"/>
              </w:rPr>
              <w:t>28,149,821</w:t>
            </w:r>
          </w:p>
        </w:tc>
        <w:tc>
          <w:tcPr>
            <w:tcW w:w="484" w:type="pct"/>
            <w:tcBorders>
              <w:top w:val="single" w:sz="4" w:space="0" w:color="auto"/>
              <w:left w:val="nil"/>
              <w:bottom w:val="single" w:sz="8" w:space="0" w:color="auto"/>
              <w:right w:val="nil"/>
            </w:tcBorders>
            <w:vAlign w:val="bottom"/>
          </w:tcPr>
          <w:p w14:paraId="76B0D20A" w14:textId="77777777" w:rsidR="00021461" w:rsidRPr="00021461" w:rsidDel="00D96E20" w:rsidRDefault="00021461" w:rsidP="00021461">
            <w:pPr>
              <w:spacing w:after="0" w:line="320" w:lineRule="exact"/>
              <w:jc w:val="right"/>
              <w:rPr>
                <w:rFonts w:ascii="Calibri" w:eastAsia="Times New Roman" w:hAnsi="Calibri" w:cs="Calibri"/>
                <w:b/>
                <w:bCs/>
                <w:color w:val="000000"/>
                <w:sz w:val="16"/>
                <w:szCs w:val="16"/>
                <w:lang w:val="en-US"/>
              </w:rPr>
            </w:pPr>
            <w:r w:rsidRPr="00021461">
              <w:rPr>
                <w:rFonts w:ascii="Calibri" w:eastAsia="Calibri" w:hAnsi="Calibri" w:cs="Arial"/>
                <w:b/>
                <w:color w:val="000000"/>
                <w:sz w:val="16"/>
                <w:szCs w:val="16"/>
              </w:rPr>
              <w:t>24,821,123</w:t>
            </w:r>
          </w:p>
        </w:tc>
      </w:tr>
      <w:tr w:rsidR="00021461" w:rsidRPr="00021461" w14:paraId="429F83E0" w14:textId="77777777" w:rsidTr="00E44437">
        <w:trPr>
          <w:trHeight w:hRule="exact" w:val="295"/>
        </w:trPr>
        <w:tc>
          <w:tcPr>
            <w:tcW w:w="1122" w:type="pct"/>
            <w:vAlign w:val="bottom"/>
          </w:tcPr>
          <w:p w14:paraId="7DEB025A" w14:textId="77777777" w:rsidR="00021461" w:rsidRPr="00021461" w:rsidRDefault="00021461" w:rsidP="00021461">
            <w:pPr>
              <w:tabs>
                <w:tab w:val="right" w:pos="1202"/>
              </w:tabs>
              <w:spacing w:after="0" w:line="320" w:lineRule="exact"/>
              <w:outlineLvl w:val="0"/>
              <w:rPr>
                <w:rFonts w:ascii="Calibri" w:eastAsia="Times New Roman" w:hAnsi="Calibri" w:cs="Arial"/>
                <w:b/>
                <w:bCs/>
                <w:sz w:val="16"/>
                <w:szCs w:val="16"/>
                <w:lang w:val="en-US"/>
              </w:rPr>
            </w:pPr>
          </w:p>
        </w:tc>
        <w:tc>
          <w:tcPr>
            <w:tcW w:w="481" w:type="pct"/>
            <w:tcBorders>
              <w:top w:val="single" w:sz="12" w:space="0" w:color="auto"/>
              <w:left w:val="nil"/>
              <w:right w:val="nil"/>
            </w:tcBorders>
            <w:vAlign w:val="bottom"/>
          </w:tcPr>
          <w:p w14:paraId="3BC629B6" w14:textId="77777777" w:rsidR="00021461" w:rsidRPr="00021461" w:rsidRDefault="00021461" w:rsidP="00021461">
            <w:pPr>
              <w:spacing w:after="0" w:line="320" w:lineRule="exact"/>
              <w:jc w:val="right"/>
              <w:rPr>
                <w:rFonts w:ascii="Calibri" w:eastAsia="Calibri" w:hAnsi="Calibri" w:cs="Arial"/>
                <w:b/>
                <w:bCs/>
                <w:sz w:val="16"/>
                <w:szCs w:val="16"/>
                <w:lang w:val="en-US"/>
              </w:rPr>
            </w:pPr>
          </w:p>
        </w:tc>
        <w:tc>
          <w:tcPr>
            <w:tcW w:w="485" w:type="pct"/>
            <w:tcBorders>
              <w:top w:val="single" w:sz="12" w:space="0" w:color="auto"/>
              <w:left w:val="nil"/>
              <w:right w:val="nil"/>
            </w:tcBorders>
            <w:vAlign w:val="bottom"/>
          </w:tcPr>
          <w:p w14:paraId="3C3AFE10" w14:textId="77777777" w:rsidR="00021461" w:rsidRPr="00021461" w:rsidRDefault="00021461" w:rsidP="00021461">
            <w:pPr>
              <w:spacing w:after="0" w:line="320" w:lineRule="exact"/>
              <w:jc w:val="right"/>
              <w:rPr>
                <w:rFonts w:ascii="Calibri" w:eastAsia="Calibri" w:hAnsi="Calibri" w:cs="Arial"/>
                <w:b/>
                <w:bCs/>
                <w:sz w:val="16"/>
                <w:szCs w:val="16"/>
                <w:lang w:val="en-US"/>
              </w:rPr>
            </w:pPr>
          </w:p>
        </w:tc>
        <w:tc>
          <w:tcPr>
            <w:tcW w:w="485" w:type="pct"/>
            <w:tcBorders>
              <w:top w:val="single" w:sz="12" w:space="0" w:color="auto"/>
              <w:left w:val="nil"/>
              <w:right w:val="nil"/>
            </w:tcBorders>
            <w:vAlign w:val="bottom"/>
          </w:tcPr>
          <w:p w14:paraId="3E318893" w14:textId="77777777" w:rsidR="00021461" w:rsidRPr="00021461" w:rsidRDefault="00021461" w:rsidP="00021461">
            <w:pPr>
              <w:spacing w:after="0" w:line="320" w:lineRule="exact"/>
              <w:jc w:val="right"/>
              <w:rPr>
                <w:rFonts w:ascii="Calibri" w:eastAsia="Calibri" w:hAnsi="Calibri" w:cs="Arial"/>
                <w:b/>
                <w:bCs/>
                <w:sz w:val="16"/>
                <w:szCs w:val="16"/>
                <w:lang w:val="en-US"/>
              </w:rPr>
            </w:pPr>
          </w:p>
        </w:tc>
        <w:tc>
          <w:tcPr>
            <w:tcW w:w="493" w:type="pct"/>
            <w:tcBorders>
              <w:top w:val="single" w:sz="12" w:space="0" w:color="auto"/>
              <w:left w:val="nil"/>
              <w:right w:val="nil"/>
            </w:tcBorders>
            <w:vAlign w:val="bottom"/>
          </w:tcPr>
          <w:p w14:paraId="0D51444D" w14:textId="77777777" w:rsidR="00021461" w:rsidRPr="00021461" w:rsidRDefault="00021461" w:rsidP="00021461">
            <w:pPr>
              <w:spacing w:after="0" w:line="320" w:lineRule="exact"/>
              <w:jc w:val="right"/>
              <w:rPr>
                <w:rFonts w:ascii="Calibri" w:eastAsia="Calibri" w:hAnsi="Calibri" w:cs="Arial"/>
                <w:b/>
                <w:bCs/>
                <w:sz w:val="16"/>
                <w:szCs w:val="16"/>
                <w:lang w:val="en-US"/>
              </w:rPr>
            </w:pPr>
          </w:p>
        </w:tc>
        <w:tc>
          <w:tcPr>
            <w:tcW w:w="482" w:type="pct"/>
            <w:tcBorders>
              <w:top w:val="single" w:sz="12" w:space="0" w:color="auto"/>
              <w:left w:val="nil"/>
              <w:right w:val="nil"/>
            </w:tcBorders>
            <w:vAlign w:val="bottom"/>
          </w:tcPr>
          <w:p w14:paraId="01B5E9BC" w14:textId="77777777" w:rsidR="00021461" w:rsidRPr="00021461" w:rsidRDefault="00021461" w:rsidP="00021461">
            <w:pPr>
              <w:spacing w:after="0" w:line="320" w:lineRule="exact"/>
              <w:jc w:val="right"/>
              <w:rPr>
                <w:rFonts w:ascii="Calibri" w:eastAsia="Calibri" w:hAnsi="Calibri" w:cs="Arial"/>
                <w:b/>
                <w:bCs/>
                <w:sz w:val="16"/>
                <w:szCs w:val="16"/>
                <w:lang w:val="en-US"/>
              </w:rPr>
            </w:pPr>
          </w:p>
        </w:tc>
        <w:tc>
          <w:tcPr>
            <w:tcW w:w="486" w:type="pct"/>
            <w:tcBorders>
              <w:top w:val="single" w:sz="12" w:space="0" w:color="auto"/>
              <w:left w:val="nil"/>
              <w:right w:val="nil"/>
            </w:tcBorders>
            <w:vAlign w:val="bottom"/>
          </w:tcPr>
          <w:p w14:paraId="3AD487C5" w14:textId="77777777" w:rsidR="00021461" w:rsidRPr="00021461" w:rsidRDefault="00021461" w:rsidP="00021461">
            <w:pPr>
              <w:spacing w:after="0" w:line="320" w:lineRule="exact"/>
              <w:jc w:val="right"/>
              <w:rPr>
                <w:rFonts w:ascii="Calibri" w:eastAsia="Calibri" w:hAnsi="Calibri" w:cs="Arial"/>
                <w:b/>
                <w:bCs/>
                <w:sz w:val="16"/>
                <w:szCs w:val="16"/>
                <w:lang w:val="en-US"/>
              </w:rPr>
            </w:pPr>
          </w:p>
        </w:tc>
        <w:tc>
          <w:tcPr>
            <w:tcW w:w="482" w:type="pct"/>
            <w:tcBorders>
              <w:top w:val="single" w:sz="12" w:space="0" w:color="auto"/>
              <w:left w:val="nil"/>
              <w:right w:val="nil"/>
            </w:tcBorders>
            <w:vAlign w:val="bottom"/>
          </w:tcPr>
          <w:p w14:paraId="06696C6F" w14:textId="77777777" w:rsidR="00021461" w:rsidRPr="00021461" w:rsidRDefault="00021461" w:rsidP="00021461">
            <w:pPr>
              <w:spacing w:after="0" w:line="320" w:lineRule="exact"/>
              <w:jc w:val="right"/>
              <w:rPr>
                <w:rFonts w:ascii="Calibri" w:eastAsia="Calibri" w:hAnsi="Calibri" w:cs="Arial"/>
                <w:b/>
                <w:bCs/>
                <w:sz w:val="16"/>
                <w:szCs w:val="16"/>
                <w:lang w:val="en-US"/>
              </w:rPr>
            </w:pPr>
          </w:p>
        </w:tc>
        <w:tc>
          <w:tcPr>
            <w:tcW w:w="484" w:type="pct"/>
            <w:tcBorders>
              <w:top w:val="single" w:sz="12" w:space="0" w:color="auto"/>
              <w:left w:val="nil"/>
              <w:right w:val="nil"/>
            </w:tcBorders>
            <w:vAlign w:val="bottom"/>
          </w:tcPr>
          <w:p w14:paraId="15719CF8" w14:textId="77777777" w:rsidR="00021461" w:rsidRPr="00021461" w:rsidDel="00D96E20" w:rsidRDefault="00021461" w:rsidP="00021461">
            <w:pPr>
              <w:spacing w:after="0" w:line="320" w:lineRule="exact"/>
              <w:jc w:val="right"/>
              <w:rPr>
                <w:rFonts w:ascii="Calibri" w:eastAsia="Calibri" w:hAnsi="Calibri" w:cs="Times New Roman"/>
                <w:b/>
                <w:bCs/>
                <w:sz w:val="16"/>
                <w:szCs w:val="16"/>
                <w:lang w:val="en-US"/>
              </w:rPr>
            </w:pPr>
          </w:p>
        </w:tc>
      </w:tr>
      <w:tr w:rsidR="00021461" w:rsidRPr="00021461" w14:paraId="54298E40" w14:textId="77777777" w:rsidTr="00E44437">
        <w:trPr>
          <w:trHeight w:hRule="exact" w:val="279"/>
        </w:trPr>
        <w:tc>
          <w:tcPr>
            <w:tcW w:w="1122" w:type="pct"/>
          </w:tcPr>
          <w:p w14:paraId="7C930189" w14:textId="77777777" w:rsidR="00021461" w:rsidRPr="00021461" w:rsidRDefault="00021461" w:rsidP="00021461">
            <w:pPr>
              <w:tabs>
                <w:tab w:val="right" w:pos="1202"/>
              </w:tabs>
              <w:spacing w:after="0" w:line="320" w:lineRule="exact"/>
              <w:outlineLvl w:val="0"/>
              <w:rPr>
                <w:rFonts w:ascii="Calibri" w:eastAsia="Times New Roman" w:hAnsi="Calibri" w:cs="Arial"/>
                <w:b/>
                <w:bCs/>
                <w:sz w:val="16"/>
                <w:szCs w:val="16"/>
                <w:lang w:val="en-US"/>
              </w:rPr>
            </w:pPr>
            <w:r w:rsidRPr="00021461">
              <w:rPr>
                <w:rFonts w:ascii="Calibri" w:eastAsia="Times New Roman" w:hAnsi="Calibri" w:cs="Arial"/>
                <w:b/>
                <w:bCs/>
                <w:sz w:val="16"/>
                <w:szCs w:val="16"/>
                <w:lang w:val="en-US"/>
              </w:rPr>
              <w:t xml:space="preserve">Liabilities </w:t>
            </w:r>
          </w:p>
        </w:tc>
        <w:tc>
          <w:tcPr>
            <w:tcW w:w="481" w:type="pct"/>
            <w:tcBorders>
              <w:left w:val="nil"/>
              <w:right w:val="nil"/>
            </w:tcBorders>
            <w:vAlign w:val="bottom"/>
          </w:tcPr>
          <w:p w14:paraId="2EAEEAD1" w14:textId="77777777" w:rsidR="00021461" w:rsidRPr="00021461" w:rsidRDefault="00021461" w:rsidP="00021461">
            <w:pPr>
              <w:spacing w:after="0" w:line="320" w:lineRule="exact"/>
              <w:jc w:val="right"/>
              <w:rPr>
                <w:rFonts w:ascii="Calibri" w:eastAsia="Calibri" w:hAnsi="Calibri" w:cs="Arial"/>
                <w:b/>
                <w:bCs/>
                <w:sz w:val="16"/>
                <w:szCs w:val="16"/>
                <w:lang w:val="en-US"/>
              </w:rPr>
            </w:pPr>
          </w:p>
        </w:tc>
        <w:tc>
          <w:tcPr>
            <w:tcW w:w="485" w:type="pct"/>
            <w:tcBorders>
              <w:left w:val="nil"/>
              <w:right w:val="nil"/>
            </w:tcBorders>
            <w:vAlign w:val="bottom"/>
          </w:tcPr>
          <w:p w14:paraId="07732C1F" w14:textId="77777777" w:rsidR="00021461" w:rsidRPr="00021461" w:rsidRDefault="00021461" w:rsidP="00021461">
            <w:pPr>
              <w:spacing w:after="0" w:line="320" w:lineRule="exact"/>
              <w:jc w:val="right"/>
              <w:rPr>
                <w:rFonts w:ascii="Calibri" w:eastAsia="Calibri" w:hAnsi="Calibri" w:cs="Arial"/>
                <w:b/>
                <w:bCs/>
                <w:sz w:val="16"/>
                <w:szCs w:val="16"/>
                <w:lang w:val="en-US"/>
              </w:rPr>
            </w:pPr>
          </w:p>
        </w:tc>
        <w:tc>
          <w:tcPr>
            <w:tcW w:w="485" w:type="pct"/>
            <w:tcBorders>
              <w:left w:val="nil"/>
              <w:right w:val="nil"/>
            </w:tcBorders>
            <w:vAlign w:val="bottom"/>
          </w:tcPr>
          <w:p w14:paraId="68704CB8" w14:textId="77777777" w:rsidR="00021461" w:rsidRPr="00021461" w:rsidRDefault="00021461" w:rsidP="00021461">
            <w:pPr>
              <w:spacing w:after="0" w:line="320" w:lineRule="exact"/>
              <w:jc w:val="right"/>
              <w:rPr>
                <w:rFonts w:ascii="Calibri" w:eastAsia="Calibri" w:hAnsi="Calibri" w:cs="Arial"/>
                <w:b/>
                <w:bCs/>
                <w:sz w:val="16"/>
                <w:szCs w:val="16"/>
                <w:lang w:val="en-US"/>
              </w:rPr>
            </w:pPr>
          </w:p>
        </w:tc>
        <w:tc>
          <w:tcPr>
            <w:tcW w:w="493" w:type="pct"/>
            <w:tcBorders>
              <w:left w:val="nil"/>
              <w:right w:val="nil"/>
            </w:tcBorders>
            <w:vAlign w:val="bottom"/>
          </w:tcPr>
          <w:p w14:paraId="373C162C" w14:textId="77777777" w:rsidR="00021461" w:rsidRPr="00021461" w:rsidRDefault="00021461" w:rsidP="00021461">
            <w:pPr>
              <w:spacing w:after="0" w:line="320" w:lineRule="exact"/>
              <w:jc w:val="right"/>
              <w:rPr>
                <w:rFonts w:ascii="Calibri" w:eastAsia="Calibri" w:hAnsi="Calibri" w:cs="Arial"/>
                <w:b/>
                <w:bCs/>
                <w:sz w:val="16"/>
                <w:szCs w:val="16"/>
                <w:lang w:val="en-US"/>
              </w:rPr>
            </w:pPr>
          </w:p>
        </w:tc>
        <w:tc>
          <w:tcPr>
            <w:tcW w:w="482" w:type="pct"/>
            <w:tcBorders>
              <w:left w:val="nil"/>
              <w:right w:val="nil"/>
            </w:tcBorders>
            <w:vAlign w:val="bottom"/>
          </w:tcPr>
          <w:p w14:paraId="172B5BF8" w14:textId="77777777" w:rsidR="00021461" w:rsidRPr="00021461" w:rsidRDefault="00021461" w:rsidP="00021461">
            <w:pPr>
              <w:spacing w:after="0" w:line="320" w:lineRule="exact"/>
              <w:jc w:val="right"/>
              <w:rPr>
                <w:rFonts w:ascii="Calibri" w:eastAsia="Calibri" w:hAnsi="Calibri" w:cs="Arial"/>
                <w:b/>
                <w:bCs/>
                <w:sz w:val="16"/>
                <w:szCs w:val="16"/>
                <w:lang w:val="en-US"/>
              </w:rPr>
            </w:pPr>
          </w:p>
        </w:tc>
        <w:tc>
          <w:tcPr>
            <w:tcW w:w="486" w:type="pct"/>
            <w:tcBorders>
              <w:left w:val="nil"/>
              <w:right w:val="nil"/>
            </w:tcBorders>
            <w:vAlign w:val="bottom"/>
          </w:tcPr>
          <w:p w14:paraId="75740598" w14:textId="77777777" w:rsidR="00021461" w:rsidRPr="00021461" w:rsidRDefault="00021461" w:rsidP="00021461">
            <w:pPr>
              <w:spacing w:after="0" w:line="320" w:lineRule="exact"/>
              <w:jc w:val="right"/>
              <w:rPr>
                <w:rFonts w:ascii="Calibri" w:eastAsia="Calibri" w:hAnsi="Calibri" w:cs="Arial"/>
                <w:b/>
                <w:bCs/>
                <w:sz w:val="16"/>
                <w:szCs w:val="16"/>
                <w:lang w:val="en-US"/>
              </w:rPr>
            </w:pPr>
          </w:p>
        </w:tc>
        <w:tc>
          <w:tcPr>
            <w:tcW w:w="482" w:type="pct"/>
            <w:tcBorders>
              <w:left w:val="nil"/>
              <w:right w:val="nil"/>
            </w:tcBorders>
            <w:vAlign w:val="bottom"/>
          </w:tcPr>
          <w:p w14:paraId="7F078383" w14:textId="77777777" w:rsidR="00021461" w:rsidRPr="00021461" w:rsidRDefault="00021461" w:rsidP="00021461">
            <w:pPr>
              <w:spacing w:after="0" w:line="320" w:lineRule="exact"/>
              <w:jc w:val="right"/>
              <w:rPr>
                <w:rFonts w:ascii="Calibri" w:eastAsia="Calibri" w:hAnsi="Calibri" w:cs="Arial"/>
                <w:b/>
                <w:bCs/>
                <w:sz w:val="16"/>
                <w:szCs w:val="16"/>
                <w:lang w:val="en-US"/>
              </w:rPr>
            </w:pPr>
          </w:p>
        </w:tc>
        <w:tc>
          <w:tcPr>
            <w:tcW w:w="484" w:type="pct"/>
            <w:tcBorders>
              <w:left w:val="nil"/>
              <w:right w:val="nil"/>
            </w:tcBorders>
            <w:vAlign w:val="bottom"/>
          </w:tcPr>
          <w:p w14:paraId="5E4D3CFD" w14:textId="77777777" w:rsidR="00021461" w:rsidRPr="00021461" w:rsidDel="00D96E20" w:rsidRDefault="00021461" w:rsidP="00021461">
            <w:pPr>
              <w:spacing w:after="0" w:line="320" w:lineRule="exact"/>
              <w:jc w:val="right"/>
              <w:rPr>
                <w:rFonts w:ascii="Calibri" w:eastAsia="Calibri" w:hAnsi="Calibri" w:cs="Times New Roman"/>
                <w:b/>
                <w:bCs/>
                <w:sz w:val="16"/>
                <w:szCs w:val="16"/>
                <w:lang w:val="en-US"/>
              </w:rPr>
            </w:pPr>
          </w:p>
        </w:tc>
      </w:tr>
      <w:tr w:rsidR="00021461" w:rsidRPr="00021461" w14:paraId="5F1F8C76" w14:textId="77777777" w:rsidTr="00E44437">
        <w:trPr>
          <w:trHeight w:hRule="exact" w:val="285"/>
        </w:trPr>
        <w:tc>
          <w:tcPr>
            <w:tcW w:w="1122" w:type="pct"/>
            <w:vAlign w:val="center"/>
          </w:tcPr>
          <w:p w14:paraId="59430D02" w14:textId="77777777" w:rsidR="00021461" w:rsidRPr="00021461" w:rsidRDefault="00021461" w:rsidP="00021461">
            <w:pPr>
              <w:tabs>
                <w:tab w:val="right" w:pos="1202"/>
              </w:tabs>
              <w:spacing w:after="0" w:line="320" w:lineRule="exact"/>
              <w:outlineLvl w:val="0"/>
              <w:rPr>
                <w:rFonts w:ascii="Calibri" w:eastAsia="Times New Roman" w:hAnsi="Calibri" w:cs="Arial"/>
                <w:b/>
                <w:bCs/>
                <w:sz w:val="16"/>
                <w:szCs w:val="16"/>
                <w:lang w:val="en-US"/>
              </w:rPr>
            </w:pPr>
            <w:r w:rsidRPr="00021461">
              <w:rPr>
                <w:rFonts w:ascii="Calibri" w:eastAsia="Times New Roman" w:hAnsi="Calibri" w:cs="Arial"/>
                <w:spacing w:val="-2"/>
                <w:sz w:val="16"/>
                <w:szCs w:val="16"/>
                <w:lang w:val="en-US"/>
              </w:rPr>
              <w:t xml:space="preserve">Deposits from customers </w:t>
            </w:r>
          </w:p>
        </w:tc>
        <w:tc>
          <w:tcPr>
            <w:tcW w:w="481" w:type="pct"/>
            <w:tcBorders>
              <w:top w:val="nil"/>
              <w:left w:val="nil"/>
              <w:bottom w:val="nil"/>
              <w:right w:val="nil"/>
            </w:tcBorders>
            <w:vAlign w:val="bottom"/>
          </w:tcPr>
          <w:p w14:paraId="7C56E4CF" w14:textId="77777777" w:rsidR="00021461" w:rsidRPr="00021461" w:rsidRDefault="00021461" w:rsidP="00021461">
            <w:pPr>
              <w:spacing w:after="0" w:line="320" w:lineRule="exact"/>
              <w:jc w:val="right"/>
              <w:rPr>
                <w:rFonts w:ascii="Calibri" w:eastAsia="Calibri" w:hAnsi="Calibri" w:cs="Arial"/>
                <w:b/>
                <w:bCs/>
                <w:sz w:val="16"/>
                <w:szCs w:val="16"/>
                <w:lang w:val="en-US"/>
              </w:rPr>
            </w:pPr>
            <w:r w:rsidRPr="00021461">
              <w:rPr>
                <w:rFonts w:ascii="Calibri" w:eastAsia="Calibri" w:hAnsi="Calibri" w:cs="Arial"/>
                <w:bCs/>
                <w:color w:val="000000"/>
                <w:sz w:val="16"/>
                <w:szCs w:val="16"/>
              </w:rPr>
              <w:t>417,163</w:t>
            </w:r>
          </w:p>
        </w:tc>
        <w:tc>
          <w:tcPr>
            <w:tcW w:w="485" w:type="pct"/>
            <w:vAlign w:val="bottom"/>
          </w:tcPr>
          <w:p w14:paraId="2C94C64C" w14:textId="77777777" w:rsidR="00021461" w:rsidRPr="00021461" w:rsidRDefault="00021461" w:rsidP="00021461">
            <w:pPr>
              <w:spacing w:after="0" w:line="320" w:lineRule="exact"/>
              <w:jc w:val="right"/>
              <w:rPr>
                <w:rFonts w:ascii="Calibri" w:eastAsia="Calibri" w:hAnsi="Calibri" w:cs="Arial"/>
                <w:b/>
                <w:bCs/>
                <w:sz w:val="16"/>
                <w:szCs w:val="16"/>
                <w:lang w:val="en-US"/>
              </w:rPr>
            </w:pPr>
            <w:r w:rsidRPr="00021461">
              <w:rPr>
                <w:rFonts w:ascii="Calibri" w:eastAsia="Calibri" w:hAnsi="Calibri" w:cs="Arial"/>
                <w:bCs/>
                <w:color w:val="000000"/>
                <w:sz w:val="16"/>
                <w:szCs w:val="16"/>
              </w:rPr>
              <w:t>-</w:t>
            </w:r>
          </w:p>
        </w:tc>
        <w:tc>
          <w:tcPr>
            <w:tcW w:w="485" w:type="pct"/>
            <w:vAlign w:val="bottom"/>
          </w:tcPr>
          <w:p w14:paraId="62881711" w14:textId="77777777" w:rsidR="00021461" w:rsidRPr="00021461" w:rsidRDefault="00021461" w:rsidP="00021461">
            <w:pPr>
              <w:spacing w:after="0" w:line="320" w:lineRule="exact"/>
              <w:jc w:val="right"/>
              <w:rPr>
                <w:rFonts w:ascii="Calibri" w:eastAsia="Calibri" w:hAnsi="Calibri" w:cs="Arial"/>
                <w:b/>
                <w:bCs/>
                <w:sz w:val="16"/>
                <w:szCs w:val="16"/>
                <w:lang w:val="en-US"/>
              </w:rPr>
            </w:pPr>
            <w:r w:rsidRPr="00021461">
              <w:rPr>
                <w:rFonts w:ascii="Calibri" w:eastAsia="Calibri" w:hAnsi="Calibri" w:cs="Arial"/>
                <w:bCs/>
                <w:color w:val="000000"/>
                <w:sz w:val="16"/>
                <w:szCs w:val="16"/>
              </w:rPr>
              <w:t>-</w:t>
            </w:r>
          </w:p>
        </w:tc>
        <w:tc>
          <w:tcPr>
            <w:tcW w:w="493" w:type="pct"/>
            <w:vAlign w:val="bottom"/>
          </w:tcPr>
          <w:p w14:paraId="19E9CFA1" w14:textId="77777777" w:rsidR="00021461" w:rsidRPr="00021461" w:rsidRDefault="00021461" w:rsidP="00021461">
            <w:pPr>
              <w:spacing w:after="0" w:line="320" w:lineRule="exact"/>
              <w:jc w:val="right"/>
              <w:rPr>
                <w:rFonts w:ascii="Calibri" w:eastAsia="Calibri" w:hAnsi="Calibri" w:cs="Arial"/>
                <w:b/>
                <w:bCs/>
                <w:sz w:val="16"/>
                <w:szCs w:val="16"/>
                <w:lang w:val="en-US"/>
              </w:rPr>
            </w:pPr>
            <w:r w:rsidRPr="00021461">
              <w:rPr>
                <w:rFonts w:ascii="Calibri" w:eastAsia="Calibri" w:hAnsi="Calibri" w:cs="Arial"/>
                <w:bCs/>
                <w:color w:val="000000"/>
                <w:sz w:val="16"/>
                <w:szCs w:val="16"/>
              </w:rPr>
              <w:t>-</w:t>
            </w:r>
          </w:p>
        </w:tc>
        <w:tc>
          <w:tcPr>
            <w:tcW w:w="482" w:type="pct"/>
            <w:vAlign w:val="bottom"/>
          </w:tcPr>
          <w:p w14:paraId="39CF0EE8" w14:textId="77777777" w:rsidR="00021461" w:rsidRPr="00021461" w:rsidRDefault="00021461" w:rsidP="00021461">
            <w:pPr>
              <w:spacing w:after="0" w:line="320" w:lineRule="exact"/>
              <w:jc w:val="right"/>
              <w:rPr>
                <w:rFonts w:ascii="Calibri" w:eastAsia="Calibri" w:hAnsi="Calibri" w:cs="Arial"/>
                <w:b/>
                <w:bCs/>
                <w:sz w:val="16"/>
                <w:szCs w:val="16"/>
                <w:lang w:val="en-US"/>
              </w:rPr>
            </w:pPr>
            <w:r w:rsidRPr="00021461">
              <w:rPr>
                <w:rFonts w:ascii="Calibri" w:eastAsia="Calibri" w:hAnsi="Calibri" w:cs="Arial"/>
                <w:bCs/>
                <w:color w:val="000000"/>
                <w:sz w:val="16"/>
                <w:szCs w:val="16"/>
              </w:rPr>
              <w:t>-</w:t>
            </w:r>
          </w:p>
        </w:tc>
        <w:tc>
          <w:tcPr>
            <w:tcW w:w="486" w:type="pct"/>
            <w:tcBorders>
              <w:top w:val="nil"/>
              <w:left w:val="nil"/>
              <w:bottom w:val="nil"/>
              <w:right w:val="nil"/>
            </w:tcBorders>
            <w:vAlign w:val="bottom"/>
          </w:tcPr>
          <w:p w14:paraId="577BB5B1" w14:textId="77777777" w:rsidR="00021461" w:rsidRPr="00021461" w:rsidRDefault="00021461" w:rsidP="00021461">
            <w:pPr>
              <w:spacing w:after="0" w:line="320" w:lineRule="exact"/>
              <w:jc w:val="right"/>
              <w:rPr>
                <w:rFonts w:ascii="Calibri" w:eastAsia="Calibri" w:hAnsi="Calibri" w:cs="Arial"/>
                <w:b/>
                <w:bCs/>
                <w:sz w:val="16"/>
                <w:szCs w:val="16"/>
                <w:lang w:val="en-US"/>
              </w:rPr>
            </w:pPr>
            <w:r w:rsidRPr="00021461">
              <w:rPr>
                <w:rFonts w:ascii="Calibri" w:eastAsia="Calibri" w:hAnsi="Calibri" w:cs="Arial"/>
                <w:bCs/>
                <w:color w:val="000000"/>
                <w:sz w:val="16"/>
                <w:szCs w:val="16"/>
              </w:rPr>
              <w:t>543,378</w:t>
            </w:r>
          </w:p>
        </w:tc>
        <w:tc>
          <w:tcPr>
            <w:tcW w:w="482" w:type="pct"/>
            <w:tcBorders>
              <w:top w:val="nil"/>
              <w:left w:val="nil"/>
              <w:bottom w:val="nil"/>
              <w:right w:val="nil"/>
            </w:tcBorders>
            <w:vAlign w:val="bottom"/>
          </w:tcPr>
          <w:p w14:paraId="3FF63838" w14:textId="77777777" w:rsidR="00021461" w:rsidRPr="00021461" w:rsidRDefault="00021461" w:rsidP="00021461">
            <w:pPr>
              <w:spacing w:after="0" w:line="320" w:lineRule="exact"/>
              <w:jc w:val="right"/>
              <w:rPr>
                <w:rFonts w:ascii="Calibri" w:eastAsia="Calibri" w:hAnsi="Calibri" w:cs="Arial"/>
                <w:b/>
                <w:bCs/>
                <w:sz w:val="16"/>
                <w:szCs w:val="16"/>
                <w:lang w:val="en-US"/>
              </w:rPr>
            </w:pPr>
            <w:r w:rsidRPr="00021461">
              <w:rPr>
                <w:rFonts w:ascii="Calibri" w:eastAsia="Calibri" w:hAnsi="Calibri" w:cs="Arial"/>
                <w:bCs/>
                <w:color w:val="000000"/>
                <w:sz w:val="16"/>
                <w:szCs w:val="16"/>
              </w:rPr>
              <w:t>960,541</w:t>
            </w:r>
          </w:p>
        </w:tc>
        <w:tc>
          <w:tcPr>
            <w:tcW w:w="484" w:type="pct"/>
            <w:tcBorders>
              <w:top w:val="nil"/>
              <w:left w:val="nil"/>
              <w:bottom w:val="nil"/>
              <w:right w:val="nil"/>
            </w:tcBorders>
            <w:vAlign w:val="bottom"/>
          </w:tcPr>
          <w:p w14:paraId="63D78BEA" w14:textId="77777777" w:rsidR="00021461" w:rsidRPr="00021461" w:rsidDel="00D96E20" w:rsidRDefault="00021461" w:rsidP="00021461">
            <w:pPr>
              <w:spacing w:after="0" w:line="320" w:lineRule="exact"/>
              <w:jc w:val="right"/>
              <w:rPr>
                <w:rFonts w:ascii="Calibri" w:eastAsia="Calibri" w:hAnsi="Calibri" w:cs="Times New Roman"/>
                <w:b/>
                <w:bCs/>
                <w:sz w:val="16"/>
                <w:szCs w:val="16"/>
                <w:lang w:val="en-US"/>
              </w:rPr>
            </w:pPr>
            <w:r w:rsidRPr="00021461">
              <w:rPr>
                <w:rFonts w:ascii="Calibri" w:eastAsia="Calibri" w:hAnsi="Calibri" w:cs="Arial"/>
                <w:bCs/>
                <w:color w:val="000000"/>
                <w:sz w:val="16"/>
                <w:szCs w:val="16"/>
              </w:rPr>
              <w:t>417,163</w:t>
            </w:r>
          </w:p>
        </w:tc>
      </w:tr>
      <w:tr w:rsidR="00021461" w:rsidRPr="00021461" w14:paraId="5EAAD0FC" w14:textId="77777777" w:rsidTr="00E44437">
        <w:trPr>
          <w:trHeight w:hRule="exact" w:val="277"/>
        </w:trPr>
        <w:tc>
          <w:tcPr>
            <w:tcW w:w="1122" w:type="pct"/>
          </w:tcPr>
          <w:p w14:paraId="585C7FC1" w14:textId="77777777" w:rsidR="00021461" w:rsidRPr="00021461" w:rsidRDefault="00021461" w:rsidP="00021461">
            <w:pPr>
              <w:tabs>
                <w:tab w:val="left" w:pos="-720"/>
              </w:tabs>
              <w:suppressAutoHyphens/>
              <w:spacing w:after="0" w:line="280" w:lineRule="exact"/>
              <w:ind w:right="-5"/>
              <w:rPr>
                <w:rFonts w:ascii="Calibri" w:eastAsia="Calibri" w:hAnsi="Calibri" w:cs="Arial"/>
                <w:sz w:val="16"/>
                <w:szCs w:val="16"/>
                <w:lang w:val="en-US"/>
              </w:rPr>
            </w:pPr>
            <w:r w:rsidRPr="00021461">
              <w:rPr>
                <w:rFonts w:ascii="Calibri" w:eastAsia="Calibri" w:hAnsi="Calibri" w:cs="Arial"/>
                <w:sz w:val="16"/>
                <w:szCs w:val="16"/>
                <w:lang w:val="en-US"/>
              </w:rPr>
              <w:t xml:space="preserve">Borrowings </w:t>
            </w:r>
          </w:p>
        </w:tc>
        <w:tc>
          <w:tcPr>
            <w:tcW w:w="481" w:type="pct"/>
            <w:tcBorders>
              <w:top w:val="nil"/>
              <w:left w:val="nil"/>
              <w:bottom w:val="nil"/>
              <w:right w:val="nil"/>
            </w:tcBorders>
            <w:vAlign w:val="bottom"/>
          </w:tcPr>
          <w:p w14:paraId="6F9DF6BD" w14:textId="77777777" w:rsidR="00021461" w:rsidRPr="00021461" w:rsidRDefault="00021461" w:rsidP="00021461">
            <w:pPr>
              <w:spacing w:after="0" w:line="280" w:lineRule="exact"/>
              <w:jc w:val="right"/>
              <w:rPr>
                <w:rFonts w:ascii="Calibri" w:eastAsia="Times New Roman" w:hAnsi="Calibri" w:cs="Arial"/>
                <w:sz w:val="16"/>
                <w:szCs w:val="16"/>
                <w:lang w:val="en-US"/>
              </w:rPr>
            </w:pPr>
            <w:r w:rsidRPr="00021461">
              <w:rPr>
                <w:rFonts w:ascii="Calibri" w:eastAsia="Calibri" w:hAnsi="Calibri" w:cs="Arial"/>
                <w:bCs/>
                <w:color w:val="000000"/>
                <w:sz w:val="16"/>
                <w:szCs w:val="16"/>
              </w:rPr>
              <w:t>244,301</w:t>
            </w:r>
          </w:p>
        </w:tc>
        <w:tc>
          <w:tcPr>
            <w:tcW w:w="485" w:type="pct"/>
            <w:tcBorders>
              <w:top w:val="nil"/>
              <w:left w:val="nil"/>
              <w:bottom w:val="nil"/>
              <w:right w:val="nil"/>
            </w:tcBorders>
            <w:vAlign w:val="bottom"/>
          </w:tcPr>
          <w:p w14:paraId="1A0F9285" w14:textId="77777777" w:rsidR="00021461" w:rsidRPr="00021461" w:rsidRDefault="00021461" w:rsidP="00021461">
            <w:pPr>
              <w:spacing w:after="0" w:line="280" w:lineRule="exact"/>
              <w:jc w:val="right"/>
              <w:rPr>
                <w:rFonts w:ascii="Calibri" w:eastAsia="Times New Roman" w:hAnsi="Calibri" w:cs="Arial"/>
                <w:sz w:val="16"/>
                <w:szCs w:val="16"/>
                <w:lang w:val="en-US"/>
              </w:rPr>
            </w:pPr>
            <w:r w:rsidRPr="00021461">
              <w:rPr>
                <w:rFonts w:ascii="Calibri" w:eastAsia="Calibri" w:hAnsi="Calibri" w:cs="Arial"/>
                <w:bCs/>
                <w:color w:val="000000"/>
                <w:sz w:val="16"/>
                <w:szCs w:val="16"/>
              </w:rPr>
              <w:t>310,552</w:t>
            </w:r>
          </w:p>
        </w:tc>
        <w:tc>
          <w:tcPr>
            <w:tcW w:w="485" w:type="pct"/>
            <w:tcBorders>
              <w:top w:val="nil"/>
              <w:left w:val="nil"/>
              <w:bottom w:val="nil"/>
              <w:right w:val="nil"/>
            </w:tcBorders>
            <w:vAlign w:val="bottom"/>
          </w:tcPr>
          <w:p w14:paraId="6274B47B" w14:textId="77777777" w:rsidR="00021461" w:rsidRPr="00021461" w:rsidRDefault="00021461" w:rsidP="00021461">
            <w:pPr>
              <w:spacing w:after="0" w:line="280" w:lineRule="exact"/>
              <w:jc w:val="right"/>
              <w:rPr>
                <w:rFonts w:ascii="Calibri" w:eastAsia="Times New Roman" w:hAnsi="Calibri" w:cs="Arial"/>
                <w:sz w:val="16"/>
                <w:szCs w:val="16"/>
                <w:lang w:val="en-US"/>
              </w:rPr>
            </w:pPr>
            <w:r w:rsidRPr="00021461">
              <w:rPr>
                <w:rFonts w:ascii="Calibri" w:eastAsia="Calibri" w:hAnsi="Calibri" w:cs="Arial"/>
                <w:bCs/>
                <w:color w:val="000000"/>
                <w:sz w:val="16"/>
                <w:szCs w:val="16"/>
              </w:rPr>
              <w:t>1,807,992</w:t>
            </w:r>
          </w:p>
        </w:tc>
        <w:tc>
          <w:tcPr>
            <w:tcW w:w="493" w:type="pct"/>
            <w:tcBorders>
              <w:top w:val="nil"/>
              <w:left w:val="nil"/>
              <w:bottom w:val="nil"/>
              <w:right w:val="nil"/>
            </w:tcBorders>
            <w:vAlign w:val="bottom"/>
          </w:tcPr>
          <w:p w14:paraId="323CCD6B" w14:textId="77777777" w:rsidR="00021461" w:rsidRPr="00021461" w:rsidRDefault="00021461" w:rsidP="00021461">
            <w:pPr>
              <w:spacing w:after="0" w:line="280" w:lineRule="exact"/>
              <w:jc w:val="right"/>
              <w:rPr>
                <w:rFonts w:ascii="Calibri" w:eastAsia="Times New Roman" w:hAnsi="Calibri" w:cs="Arial"/>
                <w:sz w:val="16"/>
                <w:szCs w:val="16"/>
                <w:lang w:val="en-US"/>
              </w:rPr>
            </w:pPr>
            <w:r w:rsidRPr="00021461">
              <w:rPr>
                <w:rFonts w:ascii="Calibri" w:eastAsia="Calibri" w:hAnsi="Calibri" w:cs="Arial"/>
                <w:bCs/>
                <w:color w:val="000000"/>
                <w:sz w:val="16"/>
                <w:szCs w:val="16"/>
              </w:rPr>
              <w:t>5,775,874</w:t>
            </w:r>
          </w:p>
        </w:tc>
        <w:tc>
          <w:tcPr>
            <w:tcW w:w="482" w:type="pct"/>
            <w:tcBorders>
              <w:top w:val="nil"/>
              <w:left w:val="nil"/>
              <w:bottom w:val="nil"/>
              <w:right w:val="nil"/>
            </w:tcBorders>
            <w:vAlign w:val="bottom"/>
          </w:tcPr>
          <w:p w14:paraId="61A14993" w14:textId="77777777" w:rsidR="00021461" w:rsidRPr="00021461" w:rsidRDefault="00021461" w:rsidP="00021461">
            <w:pPr>
              <w:spacing w:after="0" w:line="280" w:lineRule="exact"/>
              <w:jc w:val="right"/>
              <w:rPr>
                <w:rFonts w:ascii="Calibri" w:eastAsia="Times New Roman" w:hAnsi="Calibri" w:cs="Arial"/>
                <w:sz w:val="16"/>
                <w:szCs w:val="16"/>
                <w:lang w:val="en-US"/>
              </w:rPr>
            </w:pPr>
            <w:r w:rsidRPr="00021461">
              <w:rPr>
                <w:rFonts w:ascii="Calibri" w:eastAsia="Calibri" w:hAnsi="Calibri" w:cs="Arial"/>
                <w:bCs/>
                <w:color w:val="000000"/>
                <w:sz w:val="16"/>
                <w:szCs w:val="16"/>
              </w:rPr>
              <w:t>7,941,861</w:t>
            </w:r>
          </w:p>
        </w:tc>
        <w:tc>
          <w:tcPr>
            <w:tcW w:w="486" w:type="pct"/>
            <w:tcBorders>
              <w:top w:val="nil"/>
              <w:left w:val="nil"/>
              <w:bottom w:val="nil"/>
              <w:right w:val="nil"/>
            </w:tcBorders>
            <w:vAlign w:val="bottom"/>
          </w:tcPr>
          <w:p w14:paraId="03908617" w14:textId="77777777" w:rsidR="00021461" w:rsidRPr="00021461" w:rsidRDefault="00021461" w:rsidP="00021461">
            <w:pPr>
              <w:spacing w:after="0" w:line="280" w:lineRule="exact"/>
              <w:jc w:val="right"/>
              <w:rPr>
                <w:rFonts w:ascii="Calibri" w:eastAsia="Times New Roman" w:hAnsi="Calibri" w:cs="Arial"/>
                <w:sz w:val="16"/>
                <w:szCs w:val="16"/>
                <w:lang w:val="en-US"/>
              </w:rPr>
            </w:pPr>
            <w:r w:rsidRPr="00021461">
              <w:rPr>
                <w:rFonts w:ascii="Calibri" w:eastAsia="Calibri" w:hAnsi="Calibri" w:cs="Arial"/>
                <w:bCs/>
                <w:color w:val="000000"/>
                <w:sz w:val="16"/>
                <w:szCs w:val="16"/>
              </w:rPr>
              <w:t>34,657</w:t>
            </w:r>
          </w:p>
        </w:tc>
        <w:tc>
          <w:tcPr>
            <w:tcW w:w="482" w:type="pct"/>
            <w:tcBorders>
              <w:top w:val="nil"/>
              <w:left w:val="nil"/>
              <w:bottom w:val="nil"/>
              <w:right w:val="nil"/>
            </w:tcBorders>
            <w:vAlign w:val="bottom"/>
          </w:tcPr>
          <w:p w14:paraId="5A74D33B" w14:textId="77777777" w:rsidR="00021461" w:rsidRPr="00021461" w:rsidRDefault="00021461" w:rsidP="00021461">
            <w:pPr>
              <w:spacing w:after="0" w:line="280" w:lineRule="exact"/>
              <w:jc w:val="right"/>
              <w:rPr>
                <w:rFonts w:ascii="Calibri" w:eastAsia="Times New Roman" w:hAnsi="Calibri" w:cs="Arial"/>
                <w:sz w:val="16"/>
                <w:szCs w:val="16"/>
                <w:lang w:val="en-US"/>
              </w:rPr>
            </w:pPr>
            <w:r w:rsidRPr="00021461">
              <w:rPr>
                <w:rFonts w:ascii="Calibri" w:eastAsia="Calibri" w:hAnsi="Calibri" w:cs="Arial"/>
                <w:bCs/>
                <w:color w:val="000000"/>
                <w:sz w:val="16"/>
                <w:szCs w:val="16"/>
              </w:rPr>
              <w:t>16,115,237</w:t>
            </w:r>
          </w:p>
        </w:tc>
        <w:tc>
          <w:tcPr>
            <w:tcW w:w="484" w:type="pct"/>
            <w:tcBorders>
              <w:top w:val="nil"/>
              <w:left w:val="nil"/>
              <w:bottom w:val="nil"/>
              <w:right w:val="nil"/>
            </w:tcBorders>
            <w:vAlign w:val="bottom"/>
          </w:tcPr>
          <w:p w14:paraId="4ED86516" w14:textId="77777777" w:rsidR="00021461" w:rsidRPr="00021461" w:rsidDel="00D96E20" w:rsidRDefault="00021461" w:rsidP="00021461">
            <w:pPr>
              <w:spacing w:after="0" w:line="280" w:lineRule="exact"/>
              <w:jc w:val="right"/>
              <w:rPr>
                <w:rFonts w:ascii="Calibri" w:eastAsia="Times New Roman" w:hAnsi="Calibri" w:cs="Arial"/>
                <w:sz w:val="16"/>
                <w:szCs w:val="16"/>
                <w:lang w:val="en-US"/>
              </w:rPr>
            </w:pPr>
            <w:r w:rsidRPr="00021461">
              <w:rPr>
                <w:rFonts w:ascii="Calibri" w:eastAsia="Calibri" w:hAnsi="Calibri" w:cs="Arial"/>
                <w:bCs/>
                <w:color w:val="000000"/>
                <w:sz w:val="16"/>
                <w:szCs w:val="16"/>
              </w:rPr>
              <w:t>16,069,304</w:t>
            </w:r>
          </w:p>
        </w:tc>
      </w:tr>
      <w:tr w:rsidR="00021461" w:rsidRPr="00021461" w14:paraId="78E57527" w14:textId="77777777" w:rsidTr="00E44437">
        <w:trPr>
          <w:trHeight w:hRule="exact" w:val="852"/>
        </w:trPr>
        <w:tc>
          <w:tcPr>
            <w:tcW w:w="1122" w:type="pct"/>
            <w:vAlign w:val="center"/>
          </w:tcPr>
          <w:p w14:paraId="5A204523" w14:textId="77777777" w:rsidR="00021461" w:rsidRPr="00021461" w:rsidRDefault="00021461" w:rsidP="00021461">
            <w:pPr>
              <w:tabs>
                <w:tab w:val="left" w:pos="-720"/>
              </w:tabs>
              <w:suppressAutoHyphens/>
              <w:spacing w:after="0" w:line="280" w:lineRule="exact"/>
              <w:ind w:right="-5"/>
              <w:rPr>
                <w:rFonts w:ascii="Calibri" w:eastAsia="Calibri" w:hAnsi="Calibri" w:cs="Arial"/>
                <w:sz w:val="16"/>
                <w:szCs w:val="16"/>
                <w:lang w:val="en-US"/>
              </w:rPr>
            </w:pPr>
            <w:r w:rsidRPr="00021461">
              <w:rPr>
                <w:rFonts w:ascii="Calibri" w:eastAsia="Calibri" w:hAnsi="Calibri" w:cs="Arial"/>
                <w:sz w:val="16"/>
                <w:szCs w:val="16"/>
                <w:lang w:val="en-US"/>
              </w:rPr>
              <w:t xml:space="preserve">Provisions for guarantees, </w:t>
            </w:r>
            <w:proofErr w:type="gramStart"/>
            <w:r w:rsidRPr="00021461">
              <w:rPr>
                <w:rFonts w:ascii="Calibri" w:eastAsia="Calibri" w:hAnsi="Calibri" w:cs="Arial"/>
                <w:sz w:val="16"/>
                <w:szCs w:val="16"/>
                <w:lang w:val="en-US"/>
              </w:rPr>
              <w:t>commitments</w:t>
            </w:r>
            <w:proofErr w:type="gramEnd"/>
            <w:r w:rsidRPr="00021461">
              <w:rPr>
                <w:rFonts w:ascii="Calibri" w:eastAsia="Calibri" w:hAnsi="Calibri" w:cs="Arial"/>
                <w:sz w:val="16"/>
                <w:szCs w:val="16"/>
                <w:lang w:val="en-US"/>
              </w:rPr>
              <w:t xml:space="preserve"> and other liabilities</w:t>
            </w:r>
          </w:p>
        </w:tc>
        <w:tc>
          <w:tcPr>
            <w:tcW w:w="481" w:type="pct"/>
            <w:tcBorders>
              <w:top w:val="nil"/>
              <w:left w:val="nil"/>
              <w:bottom w:val="nil"/>
              <w:right w:val="nil"/>
            </w:tcBorders>
            <w:vAlign w:val="bottom"/>
          </w:tcPr>
          <w:p w14:paraId="230937A4" w14:textId="77777777" w:rsidR="00021461" w:rsidRPr="00021461" w:rsidRDefault="00021461" w:rsidP="00021461">
            <w:pPr>
              <w:spacing w:after="0" w:line="320" w:lineRule="exact"/>
              <w:jc w:val="right"/>
              <w:rPr>
                <w:rFonts w:ascii="Calibri" w:eastAsia="Times New Roman" w:hAnsi="Calibri" w:cs="Calibri"/>
                <w:sz w:val="16"/>
                <w:szCs w:val="16"/>
                <w:lang w:val="en-US"/>
              </w:rPr>
            </w:pPr>
            <w:r w:rsidRPr="00021461">
              <w:rPr>
                <w:rFonts w:ascii="Calibri" w:eastAsia="Calibri" w:hAnsi="Calibri" w:cs="Arial"/>
                <w:bCs/>
                <w:color w:val="000000"/>
                <w:sz w:val="16"/>
                <w:szCs w:val="16"/>
              </w:rPr>
              <w:t>-</w:t>
            </w:r>
          </w:p>
        </w:tc>
        <w:tc>
          <w:tcPr>
            <w:tcW w:w="485" w:type="pct"/>
            <w:vAlign w:val="bottom"/>
          </w:tcPr>
          <w:p w14:paraId="33A865F2" w14:textId="77777777" w:rsidR="00021461" w:rsidRPr="00021461" w:rsidRDefault="00021461" w:rsidP="00021461">
            <w:pPr>
              <w:spacing w:after="0" w:line="320" w:lineRule="exact"/>
              <w:jc w:val="right"/>
              <w:rPr>
                <w:rFonts w:ascii="Calibri" w:eastAsia="Times New Roman" w:hAnsi="Calibri" w:cs="Calibri"/>
                <w:sz w:val="16"/>
                <w:szCs w:val="16"/>
                <w:lang w:val="en-US"/>
              </w:rPr>
            </w:pPr>
            <w:r w:rsidRPr="00021461">
              <w:rPr>
                <w:rFonts w:ascii="Calibri" w:eastAsia="Calibri" w:hAnsi="Calibri" w:cs="Arial"/>
                <w:bCs/>
                <w:color w:val="000000"/>
                <w:sz w:val="16"/>
                <w:szCs w:val="16"/>
              </w:rPr>
              <w:t>-</w:t>
            </w:r>
          </w:p>
        </w:tc>
        <w:tc>
          <w:tcPr>
            <w:tcW w:w="485" w:type="pct"/>
            <w:vAlign w:val="bottom"/>
          </w:tcPr>
          <w:p w14:paraId="5E5BC6CF" w14:textId="77777777" w:rsidR="00021461" w:rsidRPr="00021461" w:rsidRDefault="00021461" w:rsidP="00021461">
            <w:pPr>
              <w:spacing w:after="0" w:line="320" w:lineRule="exact"/>
              <w:jc w:val="right"/>
              <w:rPr>
                <w:rFonts w:ascii="Calibri" w:eastAsia="Times New Roman" w:hAnsi="Calibri" w:cs="Calibri"/>
                <w:sz w:val="16"/>
                <w:szCs w:val="16"/>
                <w:lang w:val="en-US"/>
              </w:rPr>
            </w:pPr>
            <w:r w:rsidRPr="00021461">
              <w:rPr>
                <w:rFonts w:ascii="Calibri" w:eastAsia="Calibri" w:hAnsi="Calibri" w:cs="Arial"/>
                <w:bCs/>
                <w:color w:val="000000"/>
                <w:sz w:val="16"/>
                <w:szCs w:val="16"/>
              </w:rPr>
              <w:t>-</w:t>
            </w:r>
          </w:p>
        </w:tc>
        <w:tc>
          <w:tcPr>
            <w:tcW w:w="493" w:type="pct"/>
            <w:vAlign w:val="bottom"/>
          </w:tcPr>
          <w:p w14:paraId="01E6E17F" w14:textId="77777777" w:rsidR="00021461" w:rsidRPr="00021461" w:rsidRDefault="00021461" w:rsidP="00021461">
            <w:pPr>
              <w:spacing w:after="0" w:line="320" w:lineRule="exact"/>
              <w:jc w:val="right"/>
              <w:rPr>
                <w:rFonts w:ascii="Calibri" w:eastAsia="Times New Roman" w:hAnsi="Calibri" w:cs="Calibri"/>
                <w:sz w:val="16"/>
                <w:szCs w:val="16"/>
                <w:lang w:val="en-US"/>
              </w:rPr>
            </w:pPr>
            <w:r w:rsidRPr="00021461">
              <w:rPr>
                <w:rFonts w:ascii="Calibri" w:eastAsia="Calibri" w:hAnsi="Calibri" w:cs="Arial"/>
                <w:bCs/>
                <w:color w:val="000000"/>
                <w:sz w:val="16"/>
                <w:szCs w:val="16"/>
              </w:rPr>
              <w:t>-</w:t>
            </w:r>
          </w:p>
        </w:tc>
        <w:tc>
          <w:tcPr>
            <w:tcW w:w="482" w:type="pct"/>
            <w:vAlign w:val="bottom"/>
          </w:tcPr>
          <w:p w14:paraId="11658700" w14:textId="77777777" w:rsidR="00021461" w:rsidRPr="00021461" w:rsidRDefault="00021461" w:rsidP="00021461">
            <w:pPr>
              <w:spacing w:after="0" w:line="320" w:lineRule="exact"/>
              <w:jc w:val="right"/>
              <w:rPr>
                <w:rFonts w:ascii="Calibri" w:eastAsia="Times New Roman" w:hAnsi="Calibri" w:cs="Calibri"/>
                <w:sz w:val="16"/>
                <w:szCs w:val="16"/>
                <w:lang w:val="en-US"/>
              </w:rPr>
            </w:pPr>
            <w:r w:rsidRPr="00021461">
              <w:rPr>
                <w:rFonts w:ascii="Calibri" w:eastAsia="Calibri" w:hAnsi="Calibri" w:cs="Arial"/>
                <w:bCs/>
                <w:color w:val="000000"/>
                <w:sz w:val="16"/>
                <w:szCs w:val="16"/>
              </w:rPr>
              <w:t>-</w:t>
            </w:r>
          </w:p>
        </w:tc>
        <w:tc>
          <w:tcPr>
            <w:tcW w:w="486" w:type="pct"/>
            <w:tcBorders>
              <w:top w:val="nil"/>
              <w:left w:val="nil"/>
              <w:bottom w:val="nil"/>
              <w:right w:val="nil"/>
            </w:tcBorders>
            <w:vAlign w:val="bottom"/>
          </w:tcPr>
          <w:p w14:paraId="7EF8D7E0" w14:textId="77777777" w:rsidR="00021461" w:rsidRPr="00021461" w:rsidRDefault="00021461" w:rsidP="00021461">
            <w:pPr>
              <w:spacing w:after="0" w:line="320" w:lineRule="exact"/>
              <w:jc w:val="right"/>
              <w:rPr>
                <w:rFonts w:ascii="Calibri" w:eastAsia="Times New Roman" w:hAnsi="Calibri" w:cs="Calibri"/>
                <w:sz w:val="16"/>
                <w:szCs w:val="16"/>
                <w:lang w:val="en-US"/>
              </w:rPr>
            </w:pPr>
            <w:r w:rsidRPr="00021461">
              <w:rPr>
                <w:rFonts w:ascii="Calibri" w:eastAsia="Calibri" w:hAnsi="Calibri" w:cs="Arial"/>
                <w:bCs/>
                <w:color w:val="000000"/>
                <w:sz w:val="16"/>
                <w:szCs w:val="16"/>
              </w:rPr>
              <w:t>190,303</w:t>
            </w:r>
          </w:p>
        </w:tc>
        <w:tc>
          <w:tcPr>
            <w:tcW w:w="482" w:type="pct"/>
            <w:tcBorders>
              <w:top w:val="nil"/>
              <w:left w:val="nil"/>
              <w:bottom w:val="nil"/>
              <w:right w:val="nil"/>
            </w:tcBorders>
            <w:vAlign w:val="bottom"/>
          </w:tcPr>
          <w:p w14:paraId="2B7EAB28" w14:textId="77777777" w:rsidR="00021461" w:rsidRPr="00021461" w:rsidRDefault="00021461" w:rsidP="00021461">
            <w:pPr>
              <w:spacing w:after="0" w:line="320" w:lineRule="exact"/>
              <w:jc w:val="right"/>
              <w:rPr>
                <w:rFonts w:ascii="Calibri" w:eastAsia="Times New Roman" w:hAnsi="Calibri" w:cs="Calibri"/>
                <w:sz w:val="16"/>
                <w:szCs w:val="16"/>
                <w:lang w:val="en-US"/>
              </w:rPr>
            </w:pPr>
            <w:r w:rsidRPr="00021461">
              <w:rPr>
                <w:rFonts w:ascii="Calibri" w:eastAsia="Calibri" w:hAnsi="Calibri" w:cs="Arial"/>
                <w:bCs/>
                <w:color w:val="000000"/>
                <w:sz w:val="16"/>
                <w:szCs w:val="16"/>
              </w:rPr>
              <w:t>190,303</w:t>
            </w:r>
          </w:p>
        </w:tc>
        <w:tc>
          <w:tcPr>
            <w:tcW w:w="484" w:type="pct"/>
            <w:tcBorders>
              <w:top w:val="nil"/>
              <w:left w:val="nil"/>
              <w:bottom w:val="nil"/>
              <w:right w:val="nil"/>
            </w:tcBorders>
            <w:vAlign w:val="bottom"/>
          </w:tcPr>
          <w:p w14:paraId="3578DDE5" w14:textId="77777777" w:rsidR="00021461" w:rsidRPr="00021461" w:rsidRDefault="00021461" w:rsidP="00021461">
            <w:pPr>
              <w:spacing w:after="0" w:line="320" w:lineRule="exact"/>
              <w:jc w:val="right"/>
              <w:rPr>
                <w:rFonts w:ascii="Calibri" w:eastAsia="Times New Roman" w:hAnsi="Calibri" w:cs="Calibri"/>
                <w:sz w:val="16"/>
                <w:szCs w:val="16"/>
                <w:lang w:val="en-US"/>
              </w:rPr>
            </w:pPr>
            <w:r w:rsidRPr="00021461">
              <w:rPr>
                <w:rFonts w:ascii="Calibri" w:eastAsia="Calibri" w:hAnsi="Calibri" w:cs="Arial"/>
                <w:bCs/>
                <w:color w:val="000000"/>
                <w:sz w:val="16"/>
                <w:szCs w:val="16"/>
              </w:rPr>
              <w:t>-</w:t>
            </w:r>
          </w:p>
        </w:tc>
      </w:tr>
      <w:tr w:rsidR="00021461" w:rsidRPr="00021461" w14:paraId="444EE736" w14:textId="77777777" w:rsidTr="00E44437">
        <w:trPr>
          <w:trHeight w:hRule="exact" w:val="285"/>
        </w:trPr>
        <w:tc>
          <w:tcPr>
            <w:tcW w:w="1122" w:type="pct"/>
            <w:vAlign w:val="center"/>
          </w:tcPr>
          <w:p w14:paraId="15CC46A4" w14:textId="77777777" w:rsidR="00021461" w:rsidRPr="00021461" w:rsidRDefault="00021461" w:rsidP="00021461">
            <w:pPr>
              <w:tabs>
                <w:tab w:val="left" w:pos="-720"/>
              </w:tabs>
              <w:suppressAutoHyphens/>
              <w:spacing w:after="0" w:line="280" w:lineRule="exact"/>
              <w:ind w:right="-5"/>
              <w:rPr>
                <w:rFonts w:ascii="Calibri" w:eastAsia="Calibri" w:hAnsi="Calibri" w:cs="Arial"/>
                <w:sz w:val="16"/>
                <w:szCs w:val="16"/>
                <w:lang w:val="en-US"/>
              </w:rPr>
            </w:pPr>
            <w:r w:rsidRPr="00021461">
              <w:rPr>
                <w:rFonts w:ascii="Calibri" w:eastAsia="Calibri" w:hAnsi="Calibri" w:cs="Arial"/>
                <w:sz w:val="16"/>
                <w:szCs w:val="16"/>
                <w:lang w:val="en-US"/>
              </w:rPr>
              <w:t xml:space="preserve">Other liabilities </w:t>
            </w:r>
          </w:p>
        </w:tc>
        <w:tc>
          <w:tcPr>
            <w:tcW w:w="481" w:type="pct"/>
            <w:tcBorders>
              <w:top w:val="nil"/>
              <w:left w:val="nil"/>
              <w:bottom w:val="nil"/>
              <w:right w:val="nil"/>
            </w:tcBorders>
            <w:vAlign w:val="bottom"/>
          </w:tcPr>
          <w:p w14:paraId="58BEC397" w14:textId="77777777" w:rsidR="00021461" w:rsidRPr="00021461" w:rsidRDefault="00021461" w:rsidP="00021461">
            <w:pPr>
              <w:spacing w:after="0" w:line="320" w:lineRule="exact"/>
              <w:jc w:val="right"/>
              <w:rPr>
                <w:rFonts w:ascii="Calibri" w:eastAsia="Calibri" w:hAnsi="Calibri" w:cs="Arial"/>
                <w:b/>
                <w:bCs/>
                <w:sz w:val="16"/>
                <w:szCs w:val="16"/>
                <w:lang w:val="en-US"/>
              </w:rPr>
            </w:pPr>
            <w:r w:rsidRPr="00021461">
              <w:rPr>
                <w:rFonts w:ascii="Calibri" w:eastAsia="Calibri" w:hAnsi="Calibri" w:cs="Arial"/>
                <w:bCs/>
                <w:color w:val="000000"/>
                <w:sz w:val="16"/>
                <w:szCs w:val="16"/>
              </w:rPr>
              <w:t>-</w:t>
            </w:r>
          </w:p>
        </w:tc>
        <w:tc>
          <w:tcPr>
            <w:tcW w:w="485" w:type="pct"/>
            <w:vAlign w:val="bottom"/>
          </w:tcPr>
          <w:p w14:paraId="296252AC" w14:textId="77777777" w:rsidR="00021461" w:rsidRPr="00021461" w:rsidRDefault="00021461" w:rsidP="00021461">
            <w:pPr>
              <w:spacing w:after="0" w:line="320" w:lineRule="exact"/>
              <w:jc w:val="right"/>
              <w:rPr>
                <w:rFonts w:ascii="Calibri" w:eastAsia="Calibri" w:hAnsi="Calibri" w:cs="Arial"/>
                <w:b/>
                <w:bCs/>
                <w:sz w:val="16"/>
                <w:szCs w:val="16"/>
                <w:lang w:val="en-US"/>
              </w:rPr>
            </w:pPr>
            <w:r w:rsidRPr="00021461">
              <w:rPr>
                <w:rFonts w:ascii="Calibri" w:eastAsia="Calibri" w:hAnsi="Calibri" w:cs="Arial"/>
                <w:bCs/>
                <w:color w:val="000000"/>
                <w:sz w:val="16"/>
                <w:szCs w:val="16"/>
              </w:rPr>
              <w:t>-</w:t>
            </w:r>
          </w:p>
        </w:tc>
        <w:tc>
          <w:tcPr>
            <w:tcW w:w="485" w:type="pct"/>
            <w:vAlign w:val="bottom"/>
          </w:tcPr>
          <w:p w14:paraId="3C0A49A8" w14:textId="77777777" w:rsidR="00021461" w:rsidRPr="00021461" w:rsidRDefault="00021461" w:rsidP="00021461">
            <w:pPr>
              <w:spacing w:after="0" w:line="320" w:lineRule="exact"/>
              <w:jc w:val="right"/>
              <w:rPr>
                <w:rFonts w:ascii="Calibri" w:eastAsia="Calibri" w:hAnsi="Calibri" w:cs="Arial"/>
                <w:b/>
                <w:bCs/>
                <w:sz w:val="16"/>
                <w:szCs w:val="16"/>
                <w:lang w:val="en-US"/>
              </w:rPr>
            </w:pPr>
            <w:r w:rsidRPr="00021461">
              <w:rPr>
                <w:rFonts w:ascii="Calibri" w:eastAsia="Calibri" w:hAnsi="Calibri" w:cs="Arial"/>
                <w:bCs/>
                <w:color w:val="000000"/>
                <w:sz w:val="16"/>
                <w:szCs w:val="16"/>
              </w:rPr>
              <w:t>-</w:t>
            </w:r>
          </w:p>
        </w:tc>
        <w:tc>
          <w:tcPr>
            <w:tcW w:w="493" w:type="pct"/>
            <w:vAlign w:val="bottom"/>
          </w:tcPr>
          <w:p w14:paraId="71B87C35" w14:textId="77777777" w:rsidR="00021461" w:rsidRPr="00021461" w:rsidRDefault="00021461" w:rsidP="00021461">
            <w:pPr>
              <w:spacing w:after="0" w:line="320" w:lineRule="exact"/>
              <w:jc w:val="right"/>
              <w:rPr>
                <w:rFonts w:ascii="Calibri" w:eastAsia="Calibri" w:hAnsi="Calibri" w:cs="Arial"/>
                <w:b/>
                <w:bCs/>
                <w:sz w:val="16"/>
                <w:szCs w:val="16"/>
                <w:lang w:val="en-US"/>
              </w:rPr>
            </w:pPr>
            <w:r w:rsidRPr="00021461">
              <w:rPr>
                <w:rFonts w:ascii="Calibri" w:eastAsia="Calibri" w:hAnsi="Calibri" w:cs="Arial"/>
                <w:bCs/>
                <w:color w:val="000000"/>
                <w:sz w:val="16"/>
                <w:szCs w:val="16"/>
              </w:rPr>
              <w:t>-</w:t>
            </w:r>
          </w:p>
        </w:tc>
        <w:tc>
          <w:tcPr>
            <w:tcW w:w="482" w:type="pct"/>
            <w:vAlign w:val="bottom"/>
          </w:tcPr>
          <w:p w14:paraId="4D81F6B6" w14:textId="77777777" w:rsidR="00021461" w:rsidRPr="00021461" w:rsidRDefault="00021461" w:rsidP="00021461">
            <w:pPr>
              <w:spacing w:after="0" w:line="320" w:lineRule="exact"/>
              <w:jc w:val="right"/>
              <w:rPr>
                <w:rFonts w:ascii="Calibri" w:eastAsia="Calibri" w:hAnsi="Calibri" w:cs="Arial"/>
                <w:b/>
                <w:bCs/>
                <w:sz w:val="16"/>
                <w:szCs w:val="16"/>
                <w:lang w:val="en-US"/>
              </w:rPr>
            </w:pPr>
            <w:r w:rsidRPr="00021461">
              <w:rPr>
                <w:rFonts w:ascii="Calibri" w:eastAsia="Calibri" w:hAnsi="Calibri" w:cs="Arial"/>
                <w:bCs/>
                <w:color w:val="000000"/>
                <w:sz w:val="16"/>
                <w:szCs w:val="16"/>
              </w:rPr>
              <w:t>-</w:t>
            </w:r>
          </w:p>
        </w:tc>
        <w:tc>
          <w:tcPr>
            <w:tcW w:w="486" w:type="pct"/>
            <w:tcBorders>
              <w:top w:val="nil"/>
              <w:left w:val="nil"/>
              <w:bottom w:val="nil"/>
              <w:right w:val="nil"/>
            </w:tcBorders>
            <w:vAlign w:val="bottom"/>
          </w:tcPr>
          <w:p w14:paraId="0DE28EE5" w14:textId="77777777" w:rsidR="00021461" w:rsidRPr="00021461" w:rsidRDefault="00021461" w:rsidP="00021461">
            <w:pPr>
              <w:spacing w:after="0" w:line="320" w:lineRule="exact"/>
              <w:jc w:val="right"/>
              <w:rPr>
                <w:rFonts w:ascii="Calibri" w:eastAsia="Calibri" w:hAnsi="Calibri" w:cs="Arial"/>
                <w:b/>
                <w:bCs/>
                <w:sz w:val="16"/>
                <w:szCs w:val="16"/>
                <w:lang w:val="en-US"/>
              </w:rPr>
            </w:pPr>
            <w:r w:rsidRPr="00021461">
              <w:rPr>
                <w:rFonts w:ascii="Calibri" w:eastAsia="Calibri" w:hAnsi="Calibri" w:cs="Arial"/>
                <w:bCs/>
                <w:color w:val="000000"/>
                <w:sz w:val="16"/>
                <w:szCs w:val="16"/>
              </w:rPr>
              <w:t>416,178</w:t>
            </w:r>
          </w:p>
        </w:tc>
        <w:tc>
          <w:tcPr>
            <w:tcW w:w="482" w:type="pct"/>
            <w:tcBorders>
              <w:top w:val="nil"/>
              <w:left w:val="nil"/>
              <w:bottom w:val="nil"/>
              <w:right w:val="nil"/>
            </w:tcBorders>
            <w:vAlign w:val="bottom"/>
          </w:tcPr>
          <w:p w14:paraId="47909473" w14:textId="77777777" w:rsidR="00021461" w:rsidRPr="00021461" w:rsidRDefault="00021461" w:rsidP="00021461">
            <w:pPr>
              <w:spacing w:after="0" w:line="320" w:lineRule="exact"/>
              <w:jc w:val="right"/>
              <w:rPr>
                <w:rFonts w:ascii="Calibri" w:eastAsia="Calibri" w:hAnsi="Calibri" w:cs="Arial"/>
                <w:b/>
                <w:bCs/>
                <w:sz w:val="16"/>
                <w:szCs w:val="16"/>
                <w:lang w:val="en-US"/>
              </w:rPr>
            </w:pPr>
            <w:r w:rsidRPr="00021461">
              <w:rPr>
                <w:rFonts w:ascii="Calibri" w:eastAsia="Calibri" w:hAnsi="Calibri" w:cs="Arial"/>
                <w:bCs/>
                <w:color w:val="000000"/>
                <w:sz w:val="16"/>
                <w:szCs w:val="16"/>
              </w:rPr>
              <w:t>416,178</w:t>
            </w:r>
          </w:p>
        </w:tc>
        <w:tc>
          <w:tcPr>
            <w:tcW w:w="484" w:type="pct"/>
            <w:tcBorders>
              <w:top w:val="nil"/>
              <w:left w:val="nil"/>
              <w:bottom w:val="nil"/>
              <w:right w:val="nil"/>
            </w:tcBorders>
            <w:vAlign w:val="bottom"/>
          </w:tcPr>
          <w:p w14:paraId="109BCE88" w14:textId="77777777" w:rsidR="00021461" w:rsidRPr="00021461" w:rsidDel="00D96E20" w:rsidRDefault="00021461" w:rsidP="00021461">
            <w:pPr>
              <w:spacing w:after="0" w:line="320" w:lineRule="exact"/>
              <w:jc w:val="right"/>
              <w:rPr>
                <w:rFonts w:ascii="Calibri" w:eastAsia="Calibri" w:hAnsi="Calibri" w:cs="Times New Roman"/>
                <w:b/>
                <w:bCs/>
                <w:sz w:val="16"/>
                <w:szCs w:val="16"/>
                <w:lang w:val="en-US"/>
              </w:rPr>
            </w:pPr>
            <w:r w:rsidRPr="00021461">
              <w:rPr>
                <w:rFonts w:ascii="Calibri" w:eastAsia="Calibri" w:hAnsi="Calibri" w:cs="Arial"/>
                <w:bCs/>
                <w:color w:val="000000"/>
                <w:sz w:val="16"/>
                <w:szCs w:val="16"/>
              </w:rPr>
              <w:t>-</w:t>
            </w:r>
          </w:p>
        </w:tc>
      </w:tr>
      <w:tr w:rsidR="00021461" w:rsidRPr="00021461" w14:paraId="4D521E3B" w14:textId="77777777" w:rsidTr="00834D82">
        <w:trPr>
          <w:trHeight w:hRule="exact" w:val="298"/>
        </w:trPr>
        <w:tc>
          <w:tcPr>
            <w:tcW w:w="1122" w:type="pct"/>
            <w:vAlign w:val="center"/>
          </w:tcPr>
          <w:p w14:paraId="2208D81D" w14:textId="77777777" w:rsidR="00021461" w:rsidRPr="00021461" w:rsidRDefault="00021461" w:rsidP="00021461">
            <w:pPr>
              <w:tabs>
                <w:tab w:val="right" w:pos="1202"/>
              </w:tabs>
              <w:spacing w:after="0" w:line="320" w:lineRule="exact"/>
              <w:outlineLvl w:val="0"/>
              <w:rPr>
                <w:rFonts w:ascii="Calibri" w:eastAsia="Times New Roman" w:hAnsi="Calibri" w:cs="Arial"/>
                <w:b/>
                <w:bCs/>
                <w:sz w:val="16"/>
                <w:szCs w:val="16"/>
                <w:lang w:val="en-US"/>
              </w:rPr>
            </w:pPr>
            <w:r w:rsidRPr="00021461">
              <w:rPr>
                <w:rFonts w:ascii="Calibri" w:eastAsia="Times New Roman" w:hAnsi="Calibri" w:cs="Arial"/>
                <w:b/>
                <w:bCs/>
                <w:sz w:val="16"/>
                <w:szCs w:val="16"/>
                <w:lang w:val="en-US"/>
              </w:rPr>
              <w:t xml:space="preserve">Total liabilities </w:t>
            </w:r>
          </w:p>
        </w:tc>
        <w:tc>
          <w:tcPr>
            <w:tcW w:w="481" w:type="pct"/>
            <w:tcBorders>
              <w:top w:val="single" w:sz="4" w:space="0" w:color="auto"/>
              <w:left w:val="nil"/>
              <w:bottom w:val="single" w:sz="8" w:space="0" w:color="auto"/>
              <w:right w:val="nil"/>
            </w:tcBorders>
            <w:vAlign w:val="bottom"/>
          </w:tcPr>
          <w:p w14:paraId="48578DAD" w14:textId="77777777" w:rsidR="00021461" w:rsidRPr="00021461" w:rsidRDefault="00021461" w:rsidP="00021461">
            <w:pPr>
              <w:spacing w:after="0" w:line="320" w:lineRule="exact"/>
              <w:jc w:val="right"/>
              <w:rPr>
                <w:rFonts w:ascii="Calibri" w:eastAsia="Calibri" w:hAnsi="Calibri" w:cs="Arial"/>
                <w:b/>
                <w:bCs/>
                <w:sz w:val="16"/>
                <w:szCs w:val="16"/>
                <w:lang w:val="en-US"/>
              </w:rPr>
            </w:pPr>
            <w:r w:rsidRPr="00021461">
              <w:rPr>
                <w:rFonts w:ascii="Calibri" w:eastAsia="Calibri" w:hAnsi="Calibri" w:cs="Arial"/>
                <w:b/>
                <w:color w:val="000000"/>
                <w:sz w:val="16"/>
                <w:szCs w:val="16"/>
              </w:rPr>
              <w:t>661,464</w:t>
            </w:r>
          </w:p>
        </w:tc>
        <w:tc>
          <w:tcPr>
            <w:tcW w:w="485" w:type="pct"/>
            <w:tcBorders>
              <w:top w:val="single" w:sz="4" w:space="0" w:color="auto"/>
              <w:left w:val="nil"/>
              <w:bottom w:val="single" w:sz="8" w:space="0" w:color="auto"/>
              <w:right w:val="nil"/>
            </w:tcBorders>
            <w:vAlign w:val="bottom"/>
          </w:tcPr>
          <w:p w14:paraId="61E30814" w14:textId="77777777" w:rsidR="00021461" w:rsidRPr="00021461" w:rsidRDefault="00021461" w:rsidP="00021461">
            <w:pPr>
              <w:spacing w:after="0" w:line="320" w:lineRule="exact"/>
              <w:jc w:val="right"/>
              <w:rPr>
                <w:rFonts w:ascii="Calibri" w:eastAsia="Calibri" w:hAnsi="Calibri" w:cs="Arial"/>
                <w:b/>
                <w:bCs/>
                <w:sz w:val="16"/>
                <w:szCs w:val="16"/>
                <w:lang w:val="en-US"/>
              </w:rPr>
            </w:pPr>
            <w:r w:rsidRPr="00021461">
              <w:rPr>
                <w:rFonts w:ascii="Calibri" w:eastAsia="Calibri" w:hAnsi="Calibri" w:cs="Arial"/>
                <w:b/>
                <w:color w:val="000000"/>
                <w:sz w:val="16"/>
                <w:szCs w:val="16"/>
              </w:rPr>
              <w:t>310,552</w:t>
            </w:r>
          </w:p>
        </w:tc>
        <w:tc>
          <w:tcPr>
            <w:tcW w:w="485" w:type="pct"/>
            <w:tcBorders>
              <w:top w:val="single" w:sz="4" w:space="0" w:color="auto"/>
              <w:left w:val="nil"/>
              <w:bottom w:val="single" w:sz="8" w:space="0" w:color="auto"/>
              <w:right w:val="nil"/>
            </w:tcBorders>
            <w:vAlign w:val="bottom"/>
          </w:tcPr>
          <w:p w14:paraId="5DB9C620" w14:textId="77777777" w:rsidR="00021461" w:rsidRPr="00021461" w:rsidRDefault="00021461" w:rsidP="00021461">
            <w:pPr>
              <w:spacing w:after="0" w:line="320" w:lineRule="exact"/>
              <w:jc w:val="right"/>
              <w:rPr>
                <w:rFonts w:ascii="Calibri" w:eastAsia="Calibri" w:hAnsi="Calibri" w:cs="Arial"/>
                <w:b/>
                <w:bCs/>
                <w:sz w:val="16"/>
                <w:szCs w:val="16"/>
                <w:lang w:val="en-US"/>
              </w:rPr>
            </w:pPr>
            <w:r w:rsidRPr="00021461">
              <w:rPr>
                <w:rFonts w:ascii="Calibri" w:eastAsia="Calibri" w:hAnsi="Calibri" w:cs="Arial"/>
                <w:b/>
                <w:color w:val="000000"/>
                <w:sz w:val="16"/>
                <w:szCs w:val="16"/>
              </w:rPr>
              <w:t>1,807,992</w:t>
            </w:r>
          </w:p>
        </w:tc>
        <w:tc>
          <w:tcPr>
            <w:tcW w:w="493" w:type="pct"/>
            <w:tcBorders>
              <w:top w:val="single" w:sz="4" w:space="0" w:color="auto"/>
              <w:left w:val="nil"/>
              <w:bottom w:val="single" w:sz="8" w:space="0" w:color="auto"/>
              <w:right w:val="nil"/>
            </w:tcBorders>
            <w:vAlign w:val="bottom"/>
          </w:tcPr>
          <w:p w14:paraId="3AF291D1" w14:textId="77777777" w:rsidR="00021461" w:rsidRPr="00021461" w:rsidRDefault="00021461" w:rsidP="00021461">
            <w:pPr>
              <w:spacing w:after="0" w:line="320" w:lineRule="exact"/>
              <w:jc w:val="right"/>
              <w:rPr>
                <w:rFonts w:ascii="Calibri" w:eastAsia="Calibri" w:hAnsi="Calibri" w:cs="Arial"/>
                <w:b/>
                <w:bCs/>
                <w:sz w:val="16"/>
                <w:szCs w:val="16"/>
                <w:lang w:val="en-US"/>
              </w:rPr>
            </w:pPr>
            <w:r w:rsidRPr="00021461">
              <w:rPr>
                <w:rFonts w:ascii="Calibri" w:eastAsia="Calibri" w:hAnsi="Calibri" w:cs="Arial"/>
                <w:b/>
                <w:color w:val="000000"/>
                <w:sz w:val="16"/>
                <w:szCs w:val="16"/>
              </w:rPr>
              <w:t>5,775,874</w:t>
            </w:r>
          </w:p>
        </w:tc>
        <w:tc>
          <w:tcPr>
            <w:tcW w:w="482" w:type="pct"/>
            <w:tcBorders>
              <w:top w:val="single" w:sz="4" w:space="0" w:color="auto"/>
              <w:left w:val="nil"/>
              <w:bottom w:val="single" w:sz="8" w:space="0" w:color="auto"/>
              <w:right w:val="nil"/>
            </w:tcBorders>
            <w:vAlign w:val="bottom"/>
          </w:tcPr>
          <w:p w14:paraId="06D0D0C0" w14:textId="77777777" w:rsidR="00021461" w:rsidRPr="00021461" w:rsidRDefault="00021461" w:rsidP="00021461">
            <w:pPr>
              <w:spacing w:after="0" w:line="320" w:lineRule="exact"/>
              <w:jc w:val="right"/>
              <w:rPr>
                <w:rFonts w:ascii="Calibri" w:eastAsia="Calibri" w:hAnsi="Calibri" w:cs="Arial"/>
                <w:b/>
                <w:bCs/>
                <w:sz w:val="16"/>
                <w:szCs w:val="16"/>
                <w:lang w:val="en-US"/>
              </w:rPr>
            </w:pPr>
            <w:r w:rsidRPr="00021461">
              <w:rPr>
                <w:rFonts w:ascii="Calibri" w:eastAsia="Calibri" w:hAnsi="Calibri" w:cs="Arial"/>
                <w:b/>
                <w:color w:val="000000"/>
                <w:sz w:val="16"/>
                <w:szCs w:val="16"/>
              </w:rPr>
              <w:t>7,941,861</w:t>
            </w:r>
          </w:p>
        </w:tc>
        <w:tc>
          <w:tcPr>
            <w:tcW w:w="486" w:type="pct"/>
            <w:tcBorders>
              <w:top w:val="single" w:sz="4" w:space="0" w:color="auto"/>
              <w:left w:val="nil"/>
              <w:bottom w:val="single" w:sz="8" w:space="0" w:color="auto"/>
              <w:right w:val="nil"/>
            </w:tcBorders>
            <w:vAlign w:val="bottom"/>
          </w:tcPr>
          <w:p w14:paraId="13E516B7" w14:textId="77777777" w:rsidR="00021461" w:rsidRPr="00021461" w:rsidRDefault="00021461" w:rsidP="00021461">
            <w:pPr>
              <w:spacing w:after="0" w:line="320" w:lineRule="exact"/>
              <w:jc w:val="right"/>
              <w:rPr>
                <w:rFonts w:ascii="Calibri" w:eastAsia="Calibri" w:hAnsi="Calibri" w:cs="Arial"/>
                <w:b/>
                <w:bCs/>
                <w:sz w:val="16"/>
                <w:szCs w:val="16"/>
                <w:lang w:val="en-US"/>
              </w:rPr>
            </w:pPr>
            <w:r w:rsidRPr="00021461">
              <w:rPr>
                <w:rFonts w:ascii="Calibri" w:eastAsia="Calibri" w:hAnsi="Calibri" w:cs="Arial"/>
                <w:b/>
                <w:color w:val="000000"/>
                <w:sz w:val="16"/>
                <w:szCs w:val="16"/>
              </w:rPr>
              <w:t>1,184,516</w:t>
            </w:r>
          </w:p>
        </w:tc>
        <w:tc>
          <w:tcPr>
            <w:tcW w:w="482" w:type="pct"/>
            <w:tcBorders>
              <w:top w:val="single" w:sz="4" w:space="0" w:color="auto"/>
              <w:left w:val="nil"/>
              <w:bottom w:val="single" w:sz="8" w:space="0" w:color="auto"/>
              <w:right w:val="nil"/>
            </w:tcBorders>
            <w:vAlign w:val="bottom"/>
          </w:tcPr>
          <w:p w14:paraId="56A53076" w14:textId="77777777" w:rsidR="00021461" w:rsidRPr="00021461" w:rsidRDefault="00021461" w:rsidP="00021461">
            <w:pPr>
              <w:spacing w:after="0" w:line="320" w:lineRule="exact"/>
              <w:jc w:val="right"/>
              <w:rPr>
                <w:rFonts w:ascii="Calibri" w:eastAsia="Calibri" w:hAnsi="Calibri" w:cs="Arial"/>
                <w:b/>
                <w:bCs/>
                <w:sz w:val="16"/>
                <w:szCs w:val="16"/>
                <w:lang w:val="en-US"/>
              </w:rPr>
            </w:pPr>
            <w:r w:rsidRPr="00021461">
              <w:rPr>
                <w:rFonts w:ascii="Calibri" w:eastAsia="Calibri" w:hAnsi="Calibri" w:cs="Arial"/>
                <w:b/>
                <w:color w:val="000000"/>
                <w:sz w:val="16"/>
                <w:szCs w:val="16"/>
              </w:rPr>
              <w:t>17,682,259</w:t>
            </w:r>
          </w:p>
        </w:tc>
        <w:tc>
          <w:tcPr>
            <w:tcW w:w="484" w:type="pct"/>
            <w:tcBorders>
              <w:top w:val="single" w:sz="4" w:space="0" w:color="auto"/>
              <w:left w:val="nil"/>
              <w:bottom w:val="single" w:sz="8" w:space="0" w:color="auto"/>
              <w:right w:val="nil"/>
            </w:tcBorders>
            <w:vAlign w:val="bottom"/>
          </w:tcPr>
          <w:p w14:paraId="1A4111BC" w14:textId="77777777" w:rsidR="00021461" w:rsidRPr="00021461" w:rsidDel="00D96E20" w:rsidRDefault="00021461" w:rsidP="00021461">
            <w:pPr>
              <w:spacing w:after="0" w:line="320" w:lineRule="exact"/>
              <w:jc w:val="right"/>
              <w:rPr>
                <w:rFonts w:ascii="Calibri" w:eastAsia="Calibri" w:hAnsi="Calibri" w:cs="Times New Roman"/>
                <w:b/>
                <w:bCs/>
                <w:sz w:val="16"/>
                <w:szCs w:val="16"/>
                <w:lang w:val="en-US"/>
              </w:rPr>
            </w:pPr>
            <w:r w:rsidRPr="00021461">
              <w:rPr>
                <w:rFonts w:ascii="Calibri" w:eastAsia="Calibri" w:hAnsi="Calibri" w:cs="Arial"/>
                <w:b/>
                <w:color w:val="000000"/>
                <w:sz w:val="16"/>
                <w:szCs w:val="16"/>
              </w:rPr>
              <w:t>16,486,467</w:t>
            </w:r>
          </w:p>
        </w:tc>
      </w:tr>
      <w:tr w:rsidR="00021461" w:rsidRPr="00021461" w14:paraId="42B67C7B" w14:textId="77777777" w:rsidTr="00834D82">
        <w:trPr>
          <w:trHeight w:hRule="exact" w:val="397"/>
        </w:trPr>
        <w:tc>
          <w:tcPr>
            <w:tcW w:w="1122" w:type="pct"/>
            <w:vAlign w:val="center"/>
          </w:tcPr>
          <w:p w14:paraId="625E9B78" w14:textId="77777777" w:rsidR="00021461" w:rsidRPr="00021461" w:rsidRDefault="00021461" w:rsidP="00021461">
            <w:pPr>
              <w:tabs>
                <w:tab w:val="right" w:pos="1202"/>
              </w:tabs>
              <w:spacing w:after="0" w:line="320" w:lineRule="exact"/>
              <w:outlineLvl w:val="0"/>
              <w:rPr>
                <w:rFonts w:ascii="Calibri" w:eastAsia="Times New Roman" w:hAnsi="Calibri" w:cs="Arial"/>
                <w:b/>
                <w:bCs/>
                <w:sz w:val="16"/>
                <w:szCs w:val="16"/>
                <w:lang w:val="en-US"/>
              </w:rPr>
            </w:pPr>
            <w:r w:rsidRPr="00021461">
              <w:rPr>
                <w:rFonts w:ascii="Calibri" w:eastAsia="Times New Roman" w:hAnsi="Calibri" w:cs="Arial"/>
                <w:b/>
                <w:bCs/>
                <w:spacing w:val="-2"/>
                <w:sz w:val="16"/>
                <w:szCs w:val="16"/>
                <w:lang w:val="en-US"/>
              </w:rPr>
              <w:t>Interest rate gap</w:t>
            </w:r>
          </w:p>
        </w:tc>
        <w:tc>
          <w:tcPr>
            <w:tcW w:w="481" w:type="pct"/>
            <w:tcBorders>
              <w:top w:val="single" w:sz="8" w:space="0" w:color="auto"/>
              <w:left w:val="nil"/>
              <w:bottom w:val="single" w:sz="12" w:space="0" w:color="auto"/>
              <w:right w:val="nil"/>
            </w:tcBorders>
            <w:vAlign w:val="bottom"/>
          </w:tcPr>
          <w:p w14:paraId="627F22DC" w14:textId="77777777" w:rsidR="00021461" w:rsidRPr="00021461" w:rsidRDefault="00021461" w:rsidP="00021461">
            <w:pPr>
              <w:spacing w:after="0" w:line="320" w:lineRule="exact"/>
              <w:jc w:val="right"/>
              <w:rPr>
                <w:rFonts w:ascii="Calibri" w:eastAsia="Calibri" w:hAnsi="Calibri" w:cs="Arial"/>
                <w:b/>
                <w:color w:val="000000"/>
                <w:sz w:val="16"/>
                <w:szCs w:val="16"/>
              </w:rPr>
            </w:pPr>
            <w:r w:rsidRPr="00021461">
              <w:rPr>
                <w:rFonts w:ascii="Calibri" w:eastAsia="Calibri" w:hAnsi="Calibri" w:cs="Arial"/>
                <w:b/>
                <w:color w:val="000000"/>
                <w:sz w:val="16"/>
                <w:szCs w:val="16"/>
              </w:rPr>
              <w:t>4,135,087</w:t>
            </w:r>
          </w:p>
        </w:tc>
        <w:tc>
          <w:tcPr>
            <w:tcW w:w="485" w:type="pct"/>
            <w:tcBorders>
              <w:top w:val="single" w:sz="8" w:space="0" w:color="auto"/>
              <w:left w:val="nil"/>
              <w:bottom w:val="single" w:sz="12" w:space="0" w:color="auto"/>
              <w:right w:val="nil"/>
            </w:tcBorders>
            <w:vAlign w:val="bottom"/>
          </w:tcPr>
          <w:p w14:paraId="42692AB6" w14:textId="77777777" w:rsidR="00021461" w:rsidRPr="00021461" w:rsidRDefault="00021461" w:rsidP="00021461">
            <w:pPr>
              <w:spacing w:after="0" w:line="320" w:lineRule="exact"/>
              <w:jc w:val="right"/>
              <w:rPr>
                <w:rFonts w:ascii="Calibri" w:eastAsia="Calibri" w:hAnsi="Calibri" w:cs="Arial"/>
                <w:b/>
                <w:color w:val="000000"/>
                <w:sz w:val="16"/>
                <w:szCs w:val="16"/>
              </w:rPr>
            </w:pPr>
            <w:r w:rsidRPr="00021461">
              <w:rPr>
                <w:rFonts w:ascii="Calibri" w:eastAsia="Calibri" w:hAnsi="Calibri" w:cs="Arial"/>
                <w:b/>
                <w:color w:val="000000"/>
                <w:sz w:val="16"/>
                <w:szCs w:val="16"/>
              </w:rPr>
              <w:t>633,483</w:t>
            </w:r>
          </w:p>
        </w:tc>
        <w:tc>
          <w:tcPr>
            <w:tcW w:w="485" w:type="pct"/>
            <w:tcBorders>
              <w:top w:val="single" w:sz="8" w:space="0" w:color="auto"/>
              <w:left w:val="nil"/>
              <w:bottom w:val="single" w:sz="12" w:space="0" w:color="auto"/>
              <w:right w:val="nil"/>
            </w:tcBorders>
            <w:vAlign w:val="bottom"/>
          </w:tcPr>
          <w:p w14:paraId="57986B52" w14:textId="77777777" w:rsidR="00021461" w:rsidRPr="00021461" w:rsidRDefault="00021461" w:rsidP="00021461">
            <w:pPr>
              <w:spacing w:after="0" w:line="320" w:lineRule="exact"/>
              <w:jc w:val="right"/>
              <w:rPr>
                <w:rFonts w:ascii="Calibri" w:eastAsia="Calibri" w:hAnsi="Calibri" w:cs="Arial"/>
                <w:b/>
                <w:color w:val="000000"/>
                <w:sz w:val="16"/>
                <w:szCs w:val="16"/>
              </w:rPr>
            </w:pPr>
            <w:r w:rsidRPr="00021461">
              <w:rPr>
                <w:rFonts w:ascii="Calibri" w:eastAsia="Calibri" w:hAnsi="Calibri" w:cs="Arial"/>
                <w:b/>
                <w:color w:val="000000"/>
                <w:sz w:val="16"/>
                <w:szCs w:val="16"/>
              </w:rPr>
              <w:t>281,802</w:t>
            </w:r>
          </w:p>
        </w:tc>
        <w:tc>
          <w:tcPr>
            <w:tcW w:w="493" w:type="pct"/>
            <w:tcBorders>
              <w:top w:val="single" w:sz="8" w:space="0" w:color="auto"/>
              <w:left w:val="nil"/>
              <w:bottom w:val="single" w:sz="12" w:space="0" w:color="auto"/>
              <w:right w:val="nil"/>
            </w:tcBorders>
            <w:vAlign w:val="bottom"/>
          </w:tcPr>
          <w:p w14:paraId="0D5A1583" w14:textId="77777777" w:rsidR="00021461" w:rsidRPr="00021461" w:rsidRDefault="00021461" w:rsidP="00021461">
            <w:pPr>
              <w:spacing w:after="0" w:line="320" w:lineRule="exact"/>
              <w:jc w:val="right"/>
              <w:rPr>
                <w:rFonts w:ascii="Calibri" w:eastAsia="Calibri" w:hAnsi="Calibri" w:cs="Arial"/>
                <w:b/>
                <w:color w:val="000000"/>
                <w:sz w:val="16"/>
                <w:szCs w:val="16"/>
              </w:rPr>
            </w:pPr>
            <w:r w:rsidRPr="00021461">
              <w:rPr>
                <w:rFonts w:ascii="Calibri" w:eastAsia="Calibri" w:hAnsi="Calibri" w:cs="Arial"/>
                <w:b/>
                <w:color w:val="000000"/>
                <w:sz w:val="16"/>
                <w:szCs w:val="16"/>
              </w:rPr>
              <w:t>(820,183)</w:t>
            </w:r>
          </w:p>
        </w:tc>
        <w:tc>
          <w:tcPr>
            <w:tcW w:w="482" w:type="pct"/>
            <w:tcBorders>
              <w:top w:val="single" w:sz="8" w:space="0" w:color="auto"/>
              <w:left w:val="nil"/>
              <w:bottom w:val="single" w:sz="12" w:space="0" w:color="auto"/>
              <w:right w:val="nil"/>
            </w:tcBorders>
            <w:vAlign w:val="bottom"/>
          </w:tcPr>
          <w:p w14:paraId="53F80B92" w14:textId="77777777" w:rsidR="00021461" w:rsidRPr="00021461" w:rsidRDefault="00021461" w:rsidP="00021461">
            <w:pPr>
              <w:spacing w:after="0" w:line="320" w:lineRule="exact"/>
              <w:jc w:val="right"/>
              <w:rPr>
                <w:rFonts w:ascii="Calibri" w:eastAsia="Calibri" w:hAnsi="Calibri" w:cs="Arial"/>
                <w:b/>
                <w:color w:val="000000"/>
                <w:sz w:val="16"/>
                <w:szCs w:val="16"/>
              </w:rPr>
            </w:pPr>
            <w:r w:rsidRPr="00021461">
              <w:rPr>
                <w:rFonts w:ascii="Calibri" w:eastAsia="Calibri" w:hAnsi="Calibri" w:cs="Arial"/>
                <w:b/>
                <w:color w:val="000000"/>
                <w:sz w:val="16"/>
                <w:szCs w:val="16"/>
              </w:rPr>
              <w:t>5,040,686</w:t>
            </w:r>
          </w:p>
        </w:tc>
        <w:tc>
          <w:tcPr>
            <w:tcW w:w="486" w:type="pct"/>
            <w:tcBorders>
              <w:top w:val="single" w:sz="8" w:space="0" w:color="auto"/>
              <w:left w:val="nil"/>
              <w:bottom w:val="single" w:sz="12" w:space="0" w:color="auto"/>
              <w:right w:val="nil"/>
            </w:tcBorders>
            <w:vAlign w:val="bottom"/>
          </w:tcPr>
          <w:p w14:paraId="6DE0B6BB" w14:textId="77777777" w:rsidR="00021461" w:rsidRPr="00021461" w:rsidRDefault="00021461" w:rsidP="00021461">
            <w:pPr>
              <w:spacing w:after="0" w:line="320" w:lineRule="exact"/>
              <w:jc w:val="right"/>
              <w:rPr>
                <w:rFonts w:ascii="Calibri" w:eastAsia="Calibri" w:hAnsi="Calibri" w:cs="Arial"/>
                <w:b/>
                <w:color w:val="000000"/>
                <w:sz w:val="16"/>
                <w:szCs w:val="16"/>
              </w:rPr>
            </w:pPr>
            <w:r w:rsidRPr="00021461">
              <w:rPr>
                <w:rFonts w:ascii="Calibri" w:eastAsia="Calibri" w:hAnsi="Calibri" w:cs="Arial"/>
                <w:b/>
                <w:color w:val="000000"/>
                <w:sz w:val="16"/>
                <w:szCs w:val="16"/>
              </w:rPr>
              <w:t>1,196,687</w:t>
            </w:r>
          </w:p>
        </w:tc>
        <w:tc>
          <w:tcPr>
            <w:tcW w:w="482" w:type="pct"/>
            <w:tcBorders>
              <w:top w:val="single" w:sz="8" w:space="0" w:color="auto"/>
              <w:left w:val="nil"/>
              <w:bottom w:val="single" w:sz="12" w:space="0" w:color="auto"/>
              <w:right w:val="nil"/>
            </w:tcBorders>
            <w:vAlign w:val="bottom"/>
          </w:tcPr>
          <w:p w14:paraId="60CF03D7" w14:textId="77777777" w:rsidR="00021461" w:rsidRPr="00021461" w:rsidRDefault="00021461" w:rsidP="00021461">
            <w:pPr>
              <w:spacing w:after="0" w:line="320" w:lineRule="exact"/>
              <w:jc w:val="right"/>
              <w:rPr>
                <w:rFonts w:ascii="Calibri" w:eastAsia="Calibri" w:hAnsi="Calibri" w:cs="Arial"/>
                <w:b/>
                <w:color w:val="000000"/>
                <w:sz w:val="16"/>
                <w:szCs w:val="16"/>
              </w:rPr>
            </w:pPr>
            <w:r w:rsidRPr="00021461">
              <w:rPr>
                <w:rFonts w:ascii="Calibri" w:eastAsia="Calibri" w:hAnsi="Calibri" w:cs="Arial"/>
                <w:b/>
                <w:color w:val="000000"/>
                <w:sz w:val="16"/>
                <w:szCs w:val="16"/>
              </w:rPr>
              <w:t>10,467,562</w:t>
            </w:r>
          </w:p>
        </w:tc>
        <w:tc>
          <w:tcPr>
            <w:tcW w:w="484" w:type="pct"/>
            <w:tcBorders>
              <w:top w:val="single" w:sz="8" w:space="0" w:color="auto"/>
              <w:left w:val="nil"/>
              <w:bottom w:val="single" w:sz="12" w:space="0" w:color="auto"/>
              <w:right w:val="nil"/>
            </w:tcBorders>
            <w:vAlign w:val="bottom"/>
          </w:tcPr>
          <w:p w14:paraId="00D33C21" w14:textId="77777777" w:rsidR="00021461" w:rsidRPr="00021461" w:rsidDel="00D96E20" w:rsidRDefault="00021461" w:rsidP="00021461">
            <w:pPr>
              <w:spacing w:after="0" w:line="320" w:lineRule="exact"/>
              <w:jc w:val="right"/>
              <w:rPr>
                <w:rFonts w:ascii="Calibri" w:eastAsia="Calibri" w:hAnsi="Calibri" w:cs="Arial"/>
                <w:b/>
                <w:color w:val="000000"/>
                <w:sz w:val="16"/>
                <w:szCs w:val="16"/>
              </w:rPr>
            </w:pPr>
            <w:r w:rsidRPr="00021461">
              <w:rPr>
                <w:rFonts w:ascii="Calibri" w:eastAsia="Calibri" w:hAnsi="Calibri" w:cs="Arial"/>
                <w:b/>
                <w:color w:val="000000"/>
                <w:sz w:val="16"/>
                <w:szCs w:val="16"/>
              </w:rPr>
              <w:t>8,334,656</w:t>
            </w:r>
          </w:p>
        </w:tc>
      </w:tr>
    </w:tbl>
    <w:p w14:paraId="0463F79A"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p w14:paraId="0A1E7516" w14:textId="77777777" w:rsidR="00292301" w:rsidRPr="00537128" w:rsidRDefault="00292301" w:rsidP="008330AF">
      <w:pPr>
        <w:spacing w:after="0" w:line="240" w:lineRule="auto"/>
        <w:jc w:val="both"/>
        <w:rPr>
          <w:rFonts w:eastAsia="Times New Roman" w:cstheme="minorHAnsi"/>
          <w:b/>
          <w:bCs/>
          <w:iCs/>
          <w:color w:val="000000" w:themeColor="text1"/>
          <w:lang w:val="en-US"/>
        </w:rPr>
        <w:sectPr w:rsidR="00292301" w:rsidRPr="00537128" w:rsidSect="00712478">
          <w:pgSz w:w="11906" w:h="16838"/>
          <w:pgMar w:top="1418" w:right="1134" w:bottom="1418" w:left="1418" w:header="709" w:footer="709" w:gutter="0"/>
          <w:cols w:space="708"/>
          <w:docGrid w:linePitch="360"/>
        </w:sectPr>
      </w:pPr>
    </w:p>
    <w:p w14:paraId="4D7E91ED"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0BB10F23" w14:textId="77777777" w:rsidR="00292301" w:rsidRPr="00537128" w:rsidRDefault="00292301">
      <w:pPr>
        <w:pStyle w:val="ListParagraph"/>
        <w:numPr>
          <w:ilvl w:val="0"/>
          <w:numId w:val="57"/>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229E639F"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31607D31" w14:textId="689C40D7" w:rsidR="00292301" w:rsidRPr="00537128" w:rsidRDefault="00B357CE" w:rsidP="00292301">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 xml:space="preserve">.5. </w:t>
      </w:r>
      <w:r w:rsidR="00292301" w:rsidRPr="00537128">
        <w:rPr>
          <w:rFonts w:eastAsia="Times New Roman" w:cstheme="minorHAnsi"/>
          <w:b/>
          <w:iCs/>
          <w:color w:val="000000" w:themeColor="text1"/>
          <w:lang w:val="en-US"/>
        </w:rPr>
        <w:tab/>
        <w:t>Market risk (continued)</w:t>
      </w:r>
    </w:p>
    <w:p w14:paraId="5DAF7DA4"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3073E94D" w14:textId="4D7057F1" w:rsidR="00292301" w:rsidRPr="00537128" w:rsidRDefault="00B357CE" w:rsidP="00292301">
      <w:pPr>
        <w:spacing w:after="0" w:line="240" w:lineRule="auto"/>
        <w:jc w:val="both"/>
        <w:rPr>
          <w:rFonts w:ascii="Calibri" w:eastAsia="Calibri" w:hAnsi="Calibri" w:cs="Arial"/>
          <w:b/>
          <w:bCs/>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.5.1.   Interest</w:t>
      </w:r>
      <w:r w:rsidR="00292301" w:rsidRPr="00537128">
        <w:rPr>
          <w:rFonts w:ascii="Calibri" w:eastAsia="Calibri" w:hAnsi="Calibri" w:cs="Arial"/>
          <w:b/>
          <w:bCs/>
          <w:lang w:val="en-US"/>
        </w:rPr>
        <w:t xml:space="preserve"> rate risk </w:t>
      </w:r>
      <w:r w:rsidR="00292301" w:rsidRPr="00537128">
        <w:rPr>
          <w:rFonts w:eastAsia="Times New Roman" w:cstheme="minorHAnsi"/>
          <w:b/>
          <w:iCs/>
          <w:color w:val="000000" w:themeColor="text1"/>
          <w:lang w:val="en-US"/>
        </w:rPr>
        <w:t>(continued)</w:t>
      </w:r>
    </w:p>
    <w:p w14:paraId="69C9F7F3" w14:textId="77777777" w:rsidR="00292301" w:rsidRPr="00537128" w:rsidRDefault="00292301" w:rsidP="00292301">
      <w:pPr>
        <w:spacing w:after="0" w:line="240" w:lineRule="auto"/>
        <w:jc w:val="both"/>
        <w:rPr>
          <w:rFonts w:eastAsia="Times New Roman" w:cstheme="minorHAnsi"/>
          <w:b/>
          <w:bCs/>
          <w:iCs/>
          <w:color w:val="000000" w:themeColor="text1"/>
          <w:lang w:val="en-US"/>
        </w:rPr>
      </w:pPr>
    </w:p>
    <w:p w14:paraId="043A2256" w14:textId="77777777" w:rsidR="00292301" w:rsidRPr="00537128" w:rsidRDefault="00292301" w:rsidP="00292301">
      <w:pPr>
        <w:tabs>
          <w:tab w:val="left" w:pos="-720"/>
        </w:tabs>
        <w:suppressAutoHyphens/>
        <w:spacing w:after="0" w:line="240" w:lineRule="auto"/>
        <w:ind w:right="-6"/>
        <w:jc w:val="both"/>
        <w:rPr>
          <w:rFonts w:ascii="Calibri" w:eastAsia="Times New Roman" w:hAnsi="Calibri" w:cs="Arial"/>
          <w:lang w:val="en-US"/>
        </w:rPr>
      </w:pPr>
      <w:r w:rsidRPr="00537128">
        <w:rPr>
          <w:rFonts w:ascii="Calibri" w:eastAsia="Times New Roman" w:hAnsi="Calibri" w:cs="Arial"/>
          <w:lang w:val="en-US"/>
        </w:rPr>
        <w:t xml:space="preserve">Total assets and total liabilities </w:t>
      </w:r>
      <w:proofErr w:type="gramStart"/>
      <w:r w:rsidRPr="00537128">
        <w:rPr>
          <w:rFonts w:ascii="Calibri" w:eastAsia="Times New Roman" w:hAnsi="Calibri" w:cs="Arial"/>
          <w:lang w:val="en-US"/>
        </w:rPr>
        <w:t>on the basis of</w:t>
      </w:r>
      <w:proofErr w:type="gramEnd"/>
      <w:r w:rsidRPr="00537128">
        <w:rPr>
          <w:rFonts w:ascii="Calibri" w:eastAsia="Times New Roman" w:hAnsi="Calibri" w:cs="Arial"/>
          <w:lang w:val="en-US"/>
        </w:rPr>
        <w:t xml:space="preserve"> a possibility of changes in interest rates (fixed or variable): </w:t>
      </w:r>
    </w:p>
    <w:p w14:paraId="4543F6CA" w14:textId="77777777" w:rsidR="00292301" w:rsidRPr="00537128" w:rsidRDefault="00292301" w:rsidP="00292301">
      <w:pPr>
        <w:tabs>
          <w:tab w:val="left" w:pos="-720"/>
        </w:tabs>
        <w:suppressAutoHyphens/>
        <w:spacing w:after="0" w:line="300" w:lineRule="exact"/>
        <w:ind w:right="-6"/>
        <w:jc w:val="both"/>
        <w:rPr>
          <w:rFonts w:ascii="Calibri" w:eastAsia="Times New Roman" w:hAnsi="Calibri" w:cs="Arial"/>
          <w:lang w:val="en-US"/>
        </w:rPr>
      </w:pPr>
    </w:p>
    <w:tbl>
      <w:tblPr>
        <w:tblW w:w="4999" w:type="pct"/>
        <w:tblInd w:w="-142" w:type="dxa"/>
        <w:tblLayout w:type="fixed"/>
        <w:tblCellMar>
          <w:left w:w="120" w:type="dxa"/>
          <w:right w:w="120" w:type="dxa"/>
        </w:tblCellMar>
        <w:tblLook w:val="0000" w:firstRow="0" w:lastRow="0" w:firstColumn="0" w:lastColumn="0" w:noHBand="0" w:noVBand="0"/>
      </w:tblPr>
      <w:tblGrid>
        <w:gridCol w:w="3446"/>
        <w:gridCol w:w="1476"/>
        <w:gridCol w:w="1478"/>
        <w:gridCol w:w="1476"/>
        <w:gridCol w:w="1476"/>
      </w:tblGrid>
      <w:tr w:rsidR="006A5067" w:rsidRPr="00537128" w14:paraId="19B0E3F7" w14:textId="77777777" w:rsidTr="006A5067">
        <w:trPr>
          <w:trHeight w:val="239"/>
        </w:trPr>
        <w:tc>
          <w:tcPr>
            <w:tcW w:w="1842" w:type="pct"/>
            <w:shd w:val="clear" w:color="auto" w:fill="auto"/>
            <w:vAlign w:val="bottom"/>
          </w:tcPr>
          <w:p w14:paraId="7E36B9AF" w14:textId="77777777" w:rsidR="006A5067" w:rsidRPr="00537128" w:rsidRDefault="006A5067" w:rsidP="006A5067">
            <w:pPr>
              <w:tabs>
                <w:tab w:val="left" w:pos="-720"/>
              </w:tabs>
              <w:suppressAutoHyphens/>
              <w:spacing w:after="0" w:line="360" w:lineRule="auto"/>
              <w:ind w:right="-5"/>
              <w:jc w:val="both"/>
              <w:rPr>
                <w:rFonts w:ascii="Calibri" w:eastAsia="Times New Roman" w:hAnsi="Calibri" w:cs="Arial"/>
                <w:b/>
                <w:sz w:val="19"/>
                <w:szCs w:val="19"/>
                <w:lang w:val="en-US"/>
              </w:rPr>
            </w:pPr>
          </w:p>
        </w:tc>
        <w:tc>
          <w:tcPr>
            <w:tcW w:w="1579" w:type="pct"/>
            <w:gridSpan w:val="2"/>
            <w:shd w:val="clear" w:color="auto" w:fill="auto"/>
            <w:vAlign w:val="bottom"/>
          </w:tcPr>
          <w:p w14:paraId="147E5B86" w14:textId="77777777" w:rsidR="006A5067" w:rsidRPr="00537128" w:rsidRDefault="006A5067" w:rsidP="006A5067">
            <w:pPr>
              <w:tabs>
                <w:tab w:val="right" w:pos="1202"/>
              </w:tabs>
              <w:spacing w:after="0" w:line="240" w:lineRule="atLeast"/>
              <w:jc w:val="right"/>
              <w:outlineLvl w:val="0"/>
              <w:rPr>
                <w:rFonts w:ascii="Calibri" w:eastAsia="Times New Roman" w:hAnsi="Calibri" w:cs="Arial"/>
                <w:b/>
                <w:sz w:val="19"/>
                <w:szCs w:val="19"/>
                <w:lang w:val="en-US"/>
              </w:rPr>
            </w:pPr>
            <w:bookmarkStart w:id="1034" w:name="_Toc4062790"/>
            <w:r w:rsidRPr="00537128">
              <w:rPr>
                <w:rFonts w:ascii="Calibri" w:eastAsia="Times New Roman" w:hAnsi="Calibri" w:cs="Arial"/>
                <w:b/>
                <w:sz w:val="19"/>
                <w:szCs w:val="19"/>
                <w:lang w:val="en-US"/>
              </w:rPr>
              <w:t>Group</w:t>
            </w:r>
            <w:bookmarkEnd w:id="1034"/>
          </w:p>
        </w:tc>
        <w:tc>
          <w:tcPr>
            <w:tcW w:w="1578" w:type="pct"/>
            <w:gridSpan w:val="2"/>
            <w:shd w:val="clear" w:color="auto" w:fill="auto"/>
            <w:vAlign w:val="bottom"/>
          </w:tcPr>
          <w:p w14:paraId="4E89DB5A" w14:textId="77777777" w:rsidR="006A5067" w:rsidRPr="00537128" w:rsidRDefault="006A5067" w:rsidP="006A5067">
            <w:pPr>
              <w:tabs>
                <w:tab w:val="right" w:pos="1202"/>
              </w:tabs>
              <w:spacing w:after="0" w:line="240" w:lineRule="atLeast"/>
              <w:jc w:val="right"/>
              <w:outlineLvl w:val="0"/>
              <w:rPr>
                <w:rFonts w:ascii="Calibri" w:eastAsia="Times New Roman" w:hAnsi="Calibri" w:cs="Arial"/>
                <w:b/>
                <w:sz w:val="19"/>
                <w:szCs w:val="19"/>
                <w:lang w:val="en-US"/>
              </w:rPr>
            </w:pPr>
            <w:bookmarkStart w:id="1035" w:name="_Toc4062791"/>
            <w:r w:rsidRPr="00537128">
              <w:rPr>
                <w:rFonts w:ascii="Calibri" w:eastAsia="Times New Roman" w:hAnsi="Calibri" w:cs="Arial"/>
                <w:b/>
                <w:sz w:val="19"/>
                <w:szCs w:val="19"/>
                <w:lang w:val="en-US"/>
              </w:rPr>
              <w:t>Bank</w:t>
            </w:r>
            <w:bookmarkEnd w:id="1035"/>
          </w:p>
        </w:tc>
      </w:tr>
      <w:tr w:rsidR="006A5067" w:rsidRPr="00537128" w14:paraId="2A586946" w14:textId="77777777" w:rsidTr="006A5067">
        <w:trPr>
          <w:trHeight w:val="211"/>
        </w:trPr>
        <w:tc>
          <w:tcPr>
            <w:tcW w:w="1842" w:type="pct"/>
            <w:shd w:val="clear" w:color="auto" w:fill="auto"/>
            <w:vAlign w:val="bottom"/>
          </w:tcPr>
          <w:p w14:paraId="32262D29" w14:textId="77777777" w:rsidR="006A5067" w:rsidRPr="00537128" w:rsidRDefault="006A5067" w:rsidP="006A5067">
            <w:pPr>
              <w:tabs>
                <w:tab w:val="left" w:pos="-720"/>
              </w:tabs>
              <w:suppressAutoHyphens/>
              <w:spacing w:after="0" w:line="360" w:lineRule="auto"/>
              <w:ind w:right="-5"/>
              <w:jc w:val="both"/>
              <w:rPr>
                <w:rFonts w:ascii="Calibri" w:eastAsia="Times New Roman" w:hAnsi="Calibri" w:cs="Arial"/>
                <w:b/>
                <w:sz w:val="19"/>
                <w:szCs w:val="19"/>
                <w:lang w:val="en-US"/>
              </w:rPr>
            </w:pPr>
          </w:p>
        </w:tc>
        <w:tc>
          <w:tcPr>
            <w:tcW w:w="789" w:type="pct"/>
            <w:vAlign w:val="center"/>
          </w:tcPr>
          <w:p w14:paraId="416AAC46" w14:textId="77777777"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r w:rsidRPr="00537128">
              <w:rPr>
                <w:rFonts w:ascii="Calibri" w:eastAsia="Times New Roman" w:hAnsi="Calibri" w:cs="Arial"/>
                <w:b/>
                <w:bCs/>
                <w:sz w:val="19"/>
                <w:szCs w:val="19"/>
                <w:lang w:val="en-US"/>
              </w:rPr>
              <w:t xml:space="preserve">31 March </w:t>
            </w:r>
          </w:p>
          <w:p w14:paraId="7D9F3ABC" w14:textId="305C1938"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r w:rsidRPr="00537128">
              <w:rPr>
                <w:rFonts w:ascii="Calibri" w:eastAsia="Times New Roman" w:hAnsi="Calibri" w:cs="Arial"/>
                <w:b/>
                <w:bCs/>
                <w:sz w:val="19"/>
                <w:szCs w:val="19"/>
                <w:lang w:val="en-US"/>
              </w:rPr>
              <w:t>202</w:t>
            </w:r>
            <w:r w:rsidR="008C688C">
              <w:rPr>
                <w:rFonts w:ascii="Calibri" w:eastAsia="Times New Roman" w:hAnsi="Calibri" w:cs="Arial"/>
                <w:b/>
                <w:bCs/>
                <w:sz w:val="19"/>
                <w:szCs w:val="19"/>
                <w:lang w:val="en-US"/>
              </w:rPr>
              <w:t>2</w:t>
            </w:r>
          </w:p>
        </w:tc>
        <w:tc>
          <w:tcPr>
            <w:tcW w:w="790" w:type="pct"/>
            <w:vAlign w:val="center"/>
          </w:tcPr>
          <w:p w14:paraId="609D2B04" w14:textId="3542D514"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r w:rsidRPr="00537128">
              <w:rPr>
                <w:rFonts w:ascii="Calibri" w:eastAsia="Times New Roman" w:hAnsi="Calibri" w:cs="Arial"/>
                <w:b/>
                <w:bCs/>
                <w:sz w:val="19"/>
                <w:szCs w:val="19"/>
                <w:lang w:val="en-US"/>
              </w:rPr>
              <w:t>31 December 202</w:t>
            </w:r>
            <w:r w:rsidR="008C688C">
              <w:rPr>
                <w:rFonts w:ascii="Calibri" w:eastAsia="Times New Roman" w:hAnsi="Calibri" w:cs="Arial"/>
                <w:b/>
                <w:bCs/>
                <w:sz w:val="19"/>
                <w:szCs w:val="19"/>
                <w:lang w:val="en-US"/>
              </w:rPr>
              <w:t>1</w:t>
            </w:r>
          </w:p>
        </w:tc>
        <w:tc>
          <w:tcPr>
            <w:tcW w:w="789" w:type="pct"/>
            <w:vAlign w:val="center"/>
          </w:tcPr>
          <w:p w14:paraId="45A15A24" w14:textId="77777777"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bookmarkStart w:id="1036" w:name="_Toc4062793"/>
            <w:r w:rsidRPr="00537128">
              <w:rPr>
                <w:rFonts w:ascii="Calibri" w:eastAsia="Times New Roman" w:hAnsi="Calibri" w:cs="Arial"/>
                <w:b/>
                <w:bCs/>
                <w:sz w:val="19"/>
                <w:szCs w:val="19"/>
                <w:lang w:val="en-US"/>
              </w:rPr>
              <w:t xml:space="preserve">31 March </w:t>
            </w:r>
            <w:bookmarkEnd w:id="1036"/>
          </w:p>
          <w:p w14:paraId="088827E0" w14:textId="5A369859"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r w:rsidRPr="00537128">
              <w:rPr>
                <w:rFonts w:ascii="Calibri" w:eastAsia="Times New Roman" w:hAnsi="Calibri" w:cs="Arial"/>
                <w:b/>
                <w:bCs/>
                <w:sz w:val="19"/>
                <w:szCs w:val="19"/>
                <w:lang w:val="en-US"/>
              </w:rPr>
              <w:t>202</w:t>
            </w:r>
            <w:r w:rsidR="008C688C">
              <w:rPr>
                <w:rFonts w:ascii="Calibri" w:eastAsia="Times New Roman" w:hAnsi="Calibri" w:cs="Arial"/>
                <w:b/>
                <w:bCs/>
                <w:sz w:val="19"/>
                <w:szCs w:val="19"/>
                <w:lang w:val="en-US"/>
              </w:rPr>
              <w:t>2</w:t>
            </w:r>
          </w:p>
        </w:tc>
        <w:tc>
          <w:tcPr>
            <w:tcW w:w="789" w:type="pct"/>
            <w:vAlign w:val="center"/>
          </w:tcPr>
          <w:p w14:paraId="6A6E73AB" w14:textId="616A760D"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bookmarkStart w:id="1037" w:name="_Toc4062794"/>
            <w:r w:rsidRPr="00537128">
              <w:rPr>
                <w:rFonts w:ascii="Calibri" w:eastAsia="Times New Roman" w:hAnsi="Calibri" w:cs="Arial"/>
                <w:b/>
                <w:bCs/>
                <w:sz w:val="19"/>
                <w:szCs w:val="19"/>
                <w:lang w:val="en-US"/>
              </w:rPr>
              <w:t xml:space="preserve">31 December </w:t>
            </w:r>
            <w:bookmarkEnd w:id="1037"/>
            <w:r w:rsidRPr="00537128">
              <w:rPr>
                <w:rFonts w:ascii="Calibri" w:eastAsia="Times New Roman" w:hAnsi="Calibri" w:cs="Arial"/>
                <w:b/>
                <w:bCs/>
                <w:sz w:val="19"/>
                <w:szCs w:val="19"/>
                <w:lang w:val="en-US"/>
              </w:rPr>
              <w:t>202</w:t>
            </w:r>
            <w:r w:rsidR="008C688C">
              <w:rPr>
                <w:rFonts w:ascii="Calibri" w:eastAsia="Times New Roman" w:hAnsi="Calibri" w:cs="Arial"/>
                <w:b/>
                <w:bCs/>
                <w:sz w:val="19"/>
                <w:szCs w:val="19"/>
                <w:lang w:val="en-US"/>
              </w:rPr>
              <w:t>1</w:t>
            </w:r>
          </w:p>
        </w:tc>
      </w:tr>
      <w:tr w:rsidR="006A5067" w:rsidRPr="00537128" w14:paraId="74A3135D" w14:textId="77777777" w:rsidTr="006A5067">
        <w:trPr>
          <w:trHeight w:val="211"/>
        </w:trPr>
        <w:tc>
          <w:tcPr>
            <w:tcW w:w="1842" w:type="pct"/>
            <w:shd w:val="clear" w:color="auto" w:fill="auto"/>
            <w:vAlign w:val="bottom"/>
          </w:tcPr>
          <w:p w14:paraId="1CCB6977" w14:textId="77777777" w:rsidR="006A5067" w:rsidRPr="00537128" w:rsidRDefault="006A5067" w:rsidP="006A5067">
            <w:pPr>
              <w:tabs>
                <w:tab w:val="left" w:pos="-720"/>
              </w:tabs>
              <w:suppressAutoHyphens/>
              <w:spacing w:after="0" w:line="360" w:lineRule="auto"/>
              <w:ind w:right="-5"/>
              <w:jc w:val="both"/>
              <w:rPr>
                <w:rFonts w:ascii="Calibri" w:eastAsia="Times New Roman" w:hAnsi="Calibri" w:cs="Arial"/>
                <w:b/>
                <w:sz w:val="19"/>
                <w:szCs w:val="19"/>
                <w:lang w:val="en-US"/>
              </w:rPr>
            </w:pPr>
          </w:p>
        </w:tc>
        <w:tc>
          <w:tcPr>
            <w:tcW w:w="789" w:type="pct"/>
            <w:vAlign w:val="center"/>
          </w:tcPr>
          <w:p w14:paraId="4299B533" w14:textId="77777777"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bookmarkStart w:id="1038" w:name="_Toc4062796"/>
            <w:r w:rsidRPr="00537128">
              <w:rPr>
                <w:rFonts w:ascii="Calibri" w:eastAsia="Times New Roman" w:hAnsi="Calibri" w:cs="Arial"/>
                <w:b/>
                <w:bCs/>
                <w:sz w:val="19"/>
                <w:szCs w:val="19"/>
                <w:lang w:val="en-US"/>
              </w:rPr>
              <w:t>HRK ‘000</w:t>
            </w:r>
            <w:bookmarkEnd w:id="1038"/>
          </w:p>
        </w:tc>
        <w:tc>
          <w:tcPr>
            <w:tcW w:w="790" w:type="pct"/>
            <w:vAlign w:val="center"/>
          </w:tcPr>
          <w:p w14:paraId="1DC93D7F" w14:textId="41787B1B"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r w:rsidRPr="00537128">
              <w:rPr>
                <w:rFonts w:ascii="Calibri" w:eastAsia="Times New Roman" w:hAnsi="Calibri" w:cs="Arial"/>
                <w:b/>
                <w:bCs/>
                <w:sz w:val="19"/>
                <w:szCs w:val="19"/>
                <w:lang w:val="en-US"/>
              </w:rPr>
              <w:t>HRK ‘000</w:t>
            </w:r>
          </w:p>
        </w:tc>
        <w:tc>
          <w:tcPr>
            <w:tcW w:w="789" w:type="pct"/>
            <w:vAlign w:val="center"/>
          </w:tcPr>
          <w:p w14:paraId="4C48EE0E" w14:textId="0EC5F77A"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bookmarkStart w:id="1039" w:name="_Toc4062797"/>
            <w:r w:rsidRPr="00537128">
              <w:rPr>
                <w:rFonts w:ascii="Calibri" w:eastAsia="Times New Roman" w:hAnsi="Calibri" w:cs="Arial"/>
                <w:b/>
                <w:bCs/>
                <w:sz w:val="19"/>
                <w:szCs w:val="19"/>
                <w:lang w:val="en-US"/>
              </w:rPr>
              <w:t>HRK ‘000</w:t>
            </w:r>
            <w:bookmarkEnd w:id="1039"/>
          </w:p>
        </w:tc>
        <w:tc>
          <w:tcPr>
            <w:tcW w:w="789" w:type="pct"/>
            <w:vAlign w:val="center"/>
          </w:tcPr>
          <w:p w14:paraId="24E15C6A" w14:textId="1761AE54"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bookmarkStart w:id="1040" w:name="_Toc4062798"/>
            <w:r w:rsidRPr="00537128">
              <w:rPr>
                <w:rFonts w:ascii="Calibri" w:eastAsia="Times New Roman" w:hAnsi="Calibri" w:cs="Arial"/>
                <w:b/>
                <w:bCs/>
                <w:sz w:val="19"/>
                <w:szCs w:val="19"/>
                <w:lang w:val="en-US"/>
              </w:rPr>
              <w:t>HRK ‘000</w:t>
            </w:r>
            <w:bookmarkEnd w:id="1040"/>
          </w:p>
        </w:tc>
      </w:tr>
      <w:tr w:rsidR="006A5067" w:rsidRPr="00537128" w14:paraId="7156CC6D" w14:textId="77777777" w:rsidTr="006A5067">
        <w:trPr>
          <w:trHeight w:hRule="exact" w:val="284"/>
        </w:trPr>
        <w:tc>
          <w:tcPr>
            <w:tcW w:w="1842" w:type="pct"/>
            <w:shd w:val="clear" w:color="auto" w:fill="auto"/>
            <w:vAlign w:val="bottom"/>
          </w:tcPr>
          <w:p w14:paraId="2F2AD437" w14:textId="77777777" w:rsidR="006A5067" w:rsidRPr="00537128" w:rsidRDefault="006A5067" w:rsidP="006A5067">
            <w:pPr>
              <w:tabs>
                <w:tab w:val="left" w:pos="-720"/>
              </w:tabs>
              <w:suppressAutoHyphens/>
              <w:spacing w:after="0" w:line="240" w:lineRule="auto"/>
              <w:ind w:right="-5"/>
              <w:rPr>
                <w:rFonts w:ascii="Calibri" w:eastAsia="Times New Roman" w:hAnsi="Calibri" w:cs="Arial"/>
                <w:b/>
                <w:sz w:val="19"/>
                <w:szCs w:val="19"/>
                <w:lang w:val="en-US"/>
              </w:rPr>
            </w:pPr>
            <w:r w:rsidRPr="00537128">
              <w:rPr>
                <w:rFonts w:ascii="Calibri" w:eastAsia="Times New Roman" w:hAnsi="Calibri" w:cs="Arial"/>
                <w:b/>
                <w:sz w:val="19"/>
                <w:szCs w:val="19"/>
                <w:lang w:val="en-US"/>
              </w:rPr>
              <w:t>Assets</w:t>
            </w:r>
          </w:p>
        </w:tc>
        <w:tc>
          <w:tcPr>
            <w:tcW w:w="789" w:type="pct"/>
            <w:shd w:val="clear" w:color="auto" w:fill="auto"/>
            <w:vAlign w:val="bottom"/>
          </w:tcPr>
          <w:p w14:paraId="191C1E85"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c>
          <w:tcPr>
            <w:tcW w:w="790" w:type="pct"/>
            <w:shd w:val="clear" w:color="auto" w:fill="auto"/>
            <w:vAlign w:val="bottom"/>
          </w:tcPr>
          <w:p w14:paraId="66CB944E"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shd w:val="clear" w:color="auto" w:fill="auto"/>
            <w:vAlign w:val="bottom"/>
          </w:tcPr>
          <w:p w14:paraId="2B0552D2"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shd w:val="clear" w:color="auto" w:fill="auto"/>
            <w:vAlign w:val="bottom"/>
          </w:tcPr>
          <w:p w14:paraId="06471E01"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r>
      <w:tr w:rsidR="006A5067" w:rsidRPr="00537128" w14:paraId="0ABD3CEF" w14:textId="77777777" w:rsidTr="006A5067">
        <w:trPr>
          <w:trHeight w:hRule="exact" w:val="284"/>
        </w:trPr>
        <w:tc>
          <w:tcPr>
            <w:tcW w:w="1842" w:type="pct"/>
            <w:shd w:val="clear" w:color="auto" w:fill="auto"/>
            <w:vAlign w:val="bottom"/>
          </w:tcPr>
          <w:p w14:paraId="29ED570D" w14:textId="77777777" w:rsidR="006A5067" w:rsidRPr="00537128" w:rsidRDefault="006A5067" w:rsidP="006A5067">
            <w:pPr>
              <w:tabs>
                <w:tab w:val="left" w:pos="-720"/>
              </w:tabs>
              <w:suppressAutoHyphens/>
              <w:spacing w:after="0" w:line="240" w:lineRule="auto"/>
              <w:ind w:right="-5"/>
              <w:rPr>
                <w:rFonts w:ascii="Calibri" w:eastAsia="Times New Roman" w:hAnsi="Calibri" w:cs="Arial"/>
                <w:b/>
                <w:sz w:val="19"/>
                <w:szCs w:val="19"/>
                <w:lang w:val="en-US"/>
              </w:rPr>
            </w:pPr>
          </w:p>
        </w:tc>
        <w:tc>
          <w:tcPr>
            <w:tcW w:w="789" w:type="pct"/>
            <w:shd w:val="clear" w:color="auto" w:fill="auto"/>
            <w:vAlign w:val="bottom"/>
          </w:tcPr>
          <w:p w14:paraId="11316578"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c>
          <w:tcPr>
            <w:tcW w:w="790" w:type="pct"/>
            <w:shd w:val="clear" w:color="auto" w:fill="auto"/>
            <w:vAlign w:val="bottom"/>
          </w:tcPr>
          <w:p w14:paraId="2F0E549B"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shd w:val="clear" w:color="auto" w:fill="auto"/>
            <w:vAlign w:val="bottom"/>
          </w:tcPr>
          <w:p w14:paraId="53D097FF"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shd w:val="clear" w:color="auto" w:fill="auto"/>
            <w:vAlign w:val="bottom"/>
          </w:tcPr>
          <w:p w14:paraId="0463FBBD"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r>
      <w:tr w:rsidR="006043E7" w:rsidRPr="00537128" w14:paraId="7316B8B9" w14:textId="77777777" w:rsidTr="006A5067">
        <w:trPr>
          <w:trHeight w:hRule="exact" w:val="284"/>
        </w:trPr>
        <w:tc>
          <w:tcPr>
            <w:tcW w:w="1842" w:type="pct"/>
            <w:shd w:val="clear" w:color="auto" w:fill="auto"/>
            <w:vAlign w:val="bottom"/>
          </w:tcPr>
          <w:p w14:paraId="18D743F1" w14:textId="77777777" w:rsidR="006043E7" w:rsidRPr="00537128" w:rsidRDefault="006043E7" w:rsidP="006043E7">
            <w:pPr>
              <w:tabs>
                <w:tab w:val="left" w:pos="-720"/>
              </w:tabs>
              <w:suppressAutoHyphens/>
              <w:spacing w:after="0" w:line="240" w:lineRule="auto"/>
              <w:ind w:right="-5"/>
              <w:rPr>
                <w:rFonts w:ascii="Calibri" w:eastAsia="Times New Roman" w:hAnsi="Calibri" w:cs="Arial"/>
                <w:sz w:val="19"/>
                <w:szCs w:val="19"/>
                <w:lang w:val="en-US"/>
              </w:rPr>
            </w:pPr>
            <w:r w:rsidRPr="00537128">
              <w:rPr>
                <w:rFonts w:ascii="Calibri" w:eastAsia="Times New Roman" w:hAnsi="Calibri" w:cs="Arial"/>
                <w:sz w:val="19"/>
                <w:szCs w:val="19"/>
                <w:lang w:val="en-US"/>
              </w:rPr>
              <w:t>Fixed interest rate assets</w:t>
            </w:r>
          </w:p>
        </w:tc>
        <w:tc>
          <w:tcPr>
            <w:tcW w:w="789" w:type="pct"/>
            <w:tcBorders>
              <w:top w:val="nil"/>
              <w:left w:val="nil"/>
              <w:bottom w:val="nil"/>
              <w:right w:val="nil"/>
            </w:tcBorders>
            <w:shd w:val="clear" w:color="auto" w:fill="auto"/>
            <w:vAlign w:val="bottom"/>
          </w:tcPr>
          <w:p w14:paraId="155620FC" w14:textId="4612F876" w:rsidR="006043E7" w:rsidRPr="00537128" w:rsidRDefault="006043E7" w:rsidP="006043E7">
            <w:pPr>
              <w:tabs>
                <w:tab w:val="left" w:pos="-720"/>
              </w:tabs>
              <w:suppressAutoHyphens/>
              <w:spacing w:after="0" w:line="240" w:lineRule="auto"/>
              <w:ind w:right="-5"/>
              <w:jc w:val="right"/>
              <w:rPr>
                <w:rFonts w:ascii="Calibri" w:eastAsia="Times New Roman" w:hAnsi="Calibri" w:cs="Arial"/>
                <w:sz w:val="19"/>
                <w:szCs w:val="19"/>
                <w:lang w:val="en-US"/>
              </w:rPr>
            </w:pPr>
            <w:r w:rsidRPr="001E0F84">
              <w:rPr>
                <w:rFonts w:ascii="Calibri" w:hAnsi="Calibri" w:cs="Arial"/>
                <w:color w:val="000000"/>
                <w:sz w:val="20"/>
                <w:szCs w:val="20"/>
              </w:rPr>
              <w:t>25</w:t>
            </w:r>
            <w:r w:rsidR="00C71F6C">
              <w:rPr>
                <w:rFonts w:ascii="Calibri" w:hAnsi="Calibri" w:cs="Arial"/>
                <w:color w:val="000000"/>
                <w:sz w:val="20"/>
                <w:szCs w:val="20"/>
              </w:rPr>
              <w:t>,</w:t>
            </w:r>
            <w:r w:rsidRPr="001E0F84">
              <w:rPr>
                <w:rFonts w:ascii="Calibri" w:hAnsi="Calibri" w:cs="Arial"/>
                <w:color w:val="000000"/>
                <w:sz w:val="20"/>
                <w:szCs w:val="20"/>
              </w:rPr>
              <w:t>284</w:t>
            </w:r>
            <w:r w:rsidR="00C71F6C">
              <w:rPr>
                <w:rFonts w:ascii="Calibri" w:hAnsi="Calibri" w:cs="Arial"/>
                <w:color w:val="000000"/>
                <w:sz w:val="20"/>
                <w:szCs w:val="20"/>
              </w:rPr>
              <w:t>,</w:t>
            </w:r>
            <w:r w:rsidRPr="001E0F84">
              <w:rPr>
                <w:rFonts w:ascii="Calibri" w:hAnsi="Calibri" w:cs="Arial"/>
                <w:color w:val="000000"/>
                <w:sz w:val="20"/>
                <w:szCs w:val="20"/>
              </w:rPr>
              <w:t>582</w:t>
            </w:r>
          </w:p>
        </w:tc>
        <w:tc>
          <w:tcPr>
            <w:tcW w:w="790" w:type="pct"/>
            <w:tcBorders>
              <w:top w:val="nil"/>
              <w:left w:val="nil"/>
              <w:bottom w:val="nil"/>
              <w:right w:val="nil"/>
            </w:tcBorders>
            <w:shd w:val="clear" w:color="auto" w:fill="auto"/>
            <w:vAlign w:val="bottom"/>
          </w:tcPr>
          <w:p w14:paraId="243C3260" w14:textId="7D185524" w:rsidR="006043E7" w:rsidRPr="00537128" w:rsidRDefault="006043E7" w:rsidP="006043E7">
            <w:pPr>
              <w:tabs>
                <w:tab w:val="left" w:pos="-720"/>
              </w:tabs>
              <w:suppressAutoHyphens/>
              <w:spacing w:after="0" w:line="240" w:lineRule="auto"/>
              <w:ind w:right="-5"/>
              <w:jc w:val="right"/>
              <w:rPr>
                <w:rFonts w:ascii="Calibri" w:eastAsia="Times New Roman" w:hAnsi="Calibri" w:cs="Arial"/>
                <w:sz w:val="19"/>
                <w:szCs w:val="19"/>
                <w:lang w:val="en-US"/>
              </w:rPr>
            </w:pPr>
            <w:r>
              <w:rPr>
                <w:rFonts w:ascii="Calibri" w:hAnsi="Calibri" w:cs="Arial"/>
                <w:color w:val="000000"/>
                <w:sz w:val="20"/>
                <w:szCs w:val="20"/>
              </w:rPr>
              <w:t>24,880,889</w:t>
            </w:r>
          </w:p>
        </w:tc>
        <w:tc>
          <w:tcPr>
            <w:tcW w:w="789" w:type="pct"/>
            <w:tcBorders>
              <w:top w:val="nil"/>
              <w:left w:val="nil"/>
              <w:bottom w:val="nil"/>
              <w:right w:val="nil"/>
            </w:tcBorders>
            <w:shd w:val="clear" w:color="auto" w:fill="auto"/>
            <w:vAlign w:val="bottom"/>
          </w:tcPr>
          <w:p w14:paraId="346543A6" w14:textId="29296E08" w:rsidR="006043E7" w:rsidRPr="00537128" w:rsidRDefault="006043E7" w:rsidP="006043E7">
            <w:pPr>
              <w:tabs>
                <w:tab w:val="left" w:pos="-720"/>
              </w:tabs>
              <w:suppressAutoHyphens/>
              <w:spacing w:after="0" w:line="240" w:lineRule="auto"/>
              <w:ind w:right="-5"/>
              <w:jc w:val="right"/>
              <w:rPr>
                <w:rFonts w:ascii="Calibri" w:eastAsia="Times New Roman" w:hAnsi="Calibri" w:cs="Arial"/>
                <w:sz w:val="19"/>
                <w:szCs w:val="19"/>
                <w:lang w:val="en-US"/>
              </w:rPr>
            </w:pPr>
            <w:r w:rsidRPr="001E0F84">
              <w:rPr>
                <w:rFonts w:ascii="Calibri" w:hAnsi="Calibri" w:cs="Arial"/>
                <w:color w:val="000000"/>
                <w:sz w:val="20"/>
                <w:szCs w:val="20"/>
              </w:rPr>
              <w:t>25</w:t>
            </w:r>
            <w:r w:rsidR="00C71F6C">
              <w:rPr>
                <w:rFonts w:ascii="Calibri" w:hAnsi="Calibri" w:cs="Arial"/>
                <w:color w:val="000000"/>
                <w:sz w:val="20"/>
                <w:szCs w:val="20"/>
              </w:rPr>
              <w:t>,</w:t>
            </w:r>
            <w:r w:rsidRPr="001E0F84">
              <w:rPr>
                <w:rFonts w:ascii="Calibri" w:hAnsi="Calibri" w:cs="Arial"/>
                <w:color w:val="000000"/>
                <w:sz w:val="20"/>
                <w:szCs w:val="20"/>
              </w:rPr>
              <w:t>225</w:t>
            </w:r>
            <w:r w:rsidR="00C71F6C">
              <w:rPr>
                <w:rFonts w:ascii="Calibri" w:hAnsi="Calibri" w:cs="Arial"/>
                <w:color w:val="000000"/>
                <w:sz w:val="20"/>
                <w:szCs w:val="20"/>
              </w:rPr>
              <w:t>,</w:t>
            </w:r>
            <w:r w:rsidRPr="001E0F84">
              <w:rPr>
                <w:rFonts w:ascii="Calibri" w:hAnsi="Calibri" w:cs="Arial"/>
                <w:color w:val="000000"/>
                <w:sz w:val="20"/>
                <w:szCs w:val="20"/>
              </w:rPr>
              <w:t>415</w:t>
            </w:r>
          </w:p>
        </w:tc>
        <w:tc>
          <w:tcPr>
            <w:tcW w:w="789" w:type="pct"/>
            <w:tcBorders>
              <w:top w:val="nil"/>
              <w:left w:val="nil"/>
              <w:bottom w:val="nil"/>
              <w:right w:val="nil"/>
            </w:tcBorders>
            <w:shd w:val="clear" w:color="auto" w:fill="auto"/>
            <w:vAlign w:val="bottom"/>
          </w:tcPr>
          <w:p w14:paraId="2BE108AE" w14:textId="4881D709" w:rsidR="006043E7" w:rsidRPr="00537128" w:rsidRDefault="006043E7" w:rsidP="006043E7">
            <w:pPr>
              <w:tabs>
                <w:tab w:val="left" w:pos="-720"/>
              </w:tabs>
              <w:suppressAutoHyphens/>
              <w:spacing w:after="0" w:line="240" w:lineRule="auto"/>
              <w:ind w:right="-5"/>
              <w:jc w:val="right"/>
              <w:rPr>
                <w:rFonts w:ascii="Calibri" w:eastAsia="Times New Roman" w:hAnsi="Calibri" w:cs="Arial"/>
                <w:sz w:val="19"/>
                <w:szCs w:val="19"/>
                <w:lang w:val="en-US"/>
              </w:rPr>
            </w:pPr>
            <w:r w:rsidRPr="001B1B87">
              <w:rPr>
                <w:sz w:val="20"/>
                <w:szCs w:val="20"/>
              </w:rPr>
              <w:t>24</w:t>
            </w:r>
            <w:r>
              <w:rPr>
                <w:sz w:val="20"/>
                <w:szCs w:val="20"/>
              </w:rPr>
              <w:t>,</w:t>
            </w:r>
            <w:r w:rsidRPr="001B1B87">
              <w:rPr>
                <w:sz w:val="20"/>
                <w:szCs w:val="20"/>
              </w:rPr>
              <w:t>821</w:t>
            </w:r>
            <w:r>
              <w:rPr>
                <w:sz w:val="20"/>
                <w:szCs w:val="20"/>
              </w:rPr>
              <w:t>,</w:t>
            </w:r>
            <w:r w:rsidRPr="001B1B87">
              <w:rPr>
                <w:sz w:val="20"/>
                <w:szCs w:val="20"/>
              </w:rPr>
              <w:t>123</w:t>
            </w:r>
          </w:p>
        </w:tc>
      </w:tr>
      <w:tr w:rsidR="006043E7" w:rsidRPr="00537128" w14:paraId="21D27FEA" w14:textId="77777777" w:rsidTr="006A5067">
        <w:trPr>
          <w:trHeight w:hRule="exact" w:val="284"/>
        </w:trPr>
        <w:tc>
          <w:tcPr>
            <w:tcW w:w="1842" w:type="pct"/>
            <w:shd w:val="clear" w:color="auto" w:fill="auto"/>
            <w:vAlign w:val="bottom"/>
          </w:tcPr>
          <w:p w14:paraId="49B99648" w14:textId="77777777" w:rsidR="006043E7" w:rsidRPr="00537128" w:rsidRDefault="006043E7" w:rsidP="006043E7">
            <w:pPr>
              <w:tabs>
                <w:tab w:val="left" w:pos="-720"/>
              </w:tabs>
              <w:suppressAutoHyphens/>
              <w:spacing w:after="0" w:line="240" w:lineRule="exact"/>
              <w:ind w:right="-6"/>
              <w:rPr>
                <w:rFonts w:ascii="Calibri" w:eastAsia="Times New Roman" w:hAnsi="Calibri" w:cs="Arial"/>
                <w:sz w:val="19"/>
                <w:szCs w:val="19"/>
                <w:lang w:val="en-US"/>
              </w:rPr>
            </w:pPr>
            <w:r w:rsidRPr="00537128">
              <w:rPr>
                <w:rFonts w:ascii="Calibri" w:eastAsia="Times New Roman" w:hAnsi="Calibri" w:cs="Arial"/>
                <w:sz w:val="19"/>
                <w:szCs w:val="19"/>
                <w:lang w:val="en-US"/>
              </w:rPr>
              <w:t>Variable interest rate assets</w:t>
            </w:r>
          </w:p>
        </w:tc>
        <w:tc>
          <w:tcPr>
            <w:tcW w:w="789" w:type="pct"/>
            <w:tcBorders>
              <w:top w:val="nil"/>
              <w:left w:val="nil"/>
              <w:bottom w:val="nil"/>
              <w:right w:val="nil"/>
            </w:tcBorders>
            <w:shd w:val="clear" w:color="auto" w:fill="auto"/>
            <w:vAlign w:val="bottom"/>
          </w:tcPr>
          <w:p w14:paraId="6FC71268" w14:textId="7C004B21" w:rsidR="006043E7" w:rsidRPr="00537128" w:rsidRDefault="006043E7" w:rsidP="006043E7">
            <w:pPr>
              <w:tabs>
                <w:tab w:val="left" w:pos="-720"/>
              </w:tabs>
              <w:suppressAutoHyphens/>
              <w:spacing w:after="0" w:line="240" w:lineRule="auto"/>
              <w:ind w:right="-5"/>
              <w:jc w:val="right"/>
              <w:rPr>
                <w:rFonts w:ascii="Calibri" w:eastAsia="Times New Roman" w:hAnsi="Calibri" w:cs="Arial"/>
                <w:sz w:val="19"/>
                <w:szCs w:val="19"/>
                <w:lang w:val="en-US"/>
              </w:rPr>
            </w:pPr>
            <w:r w:rsidRPr="001E0F84">
              <w:rPr>
                <w:rFonts w:ascii="Calibri" w:hAnsi="Calibri" w:cs="Arial"/>
                <w:color w:val="000000"/>
                <w:sz w:val="20"/>
                <w:szCs w:val="20"/>
              </w:rPr>
              <w:t>810</w:t>
            </w:r>
            <w:r w:rsidR="00C71F6C">
              <w:rPr>
                <w:rFonts w:ascii="Calibri" w:hAnsi="Calibri" w:cs="Arial"/>
                <w:color w:val="000000"/>
                <w:sz w:val="20"/>
                <w:szCs w:val="20"/>
              </w:rPr>
              <w:t>,</w:t>
            </w:r>
            <w:r w:rsidRPr="001E0F84">
              <w:rPr>
                <w:rFonts w:ascii="Calibri" w:hAnsi="Calibri" w:cs="Arial"/>
                <w:color w:val="000000"/>
                <w:sz w:val="20"/>
                <w:szCs w:val="20"/>
              </w:rPr>
              <w:t>358</w:t>
            </w:r>
          </w:p>
        </w:tc>
        <w:tc>
          <w:tcPr>
            <w:tcW w:w="790" w:type="pct"/>
            <w:tcBorders>
              <w:top w:val="nil"/>
              <w:left w:val="nil"/>
              <w:bottom w:val="nil"/>
              <w:right w:val="nil"/>
            </w:tcBorders>
            <w:shd w:val="clear" w:color="auto" w:fill="auto"/>
            <w:vAlign w:val="bottom"/>
          </w:tcPr>
          <w:p w14:paraId="431A2035" w14:textId="45CE07D5" w:rsidR="006043E7" w:rsidRPr="00537128" w:rsidRDefault="006043E7" w:rsidP="006043E7">
            <w:pPr>
              <w:tabs>
                <w:tab w:val="left" w:pos="-720"/>
              </w:tabs>
              <w:suppressAutoHyphens/>
              <w:spacing w:after="0" w:line="240" w:lineRule="auto"/>
              <w:ind w:right="-5"/>
              <w:jc w:val="right"/>
              <w:rPr>
                <w:rFonts w:ascii="Calibri" w:eastAsia="Times New Roman" w:hAnsi="Calibri" w:cs="Arial"/>
                <w:sz w:val="19"/>
                <w:szCs w:val="19"/>
                <w:lang w:val="en-US"/>
              </w:rPr>
            </w:pPr>
            <w:r>
              <w:rPr>
                <w:rFonts w:ascii="Calibri" w:hAnsi="Calibri" w:cs="Arial"/>
                <w:color w:val="000000"/>
                <w:sz w:val="20"/>
                <w:szCs w:val="20"/>
              </w:rPr>
              <w:t>947,495</w:t>
            </w:r>
          </w:p>
        </w:tc>
        <w:tc>
          <w:tcPr>
            <w:tcW w:w="789" w:type="pct"/>
            <w:tcBorders>
              <w:top w:val="nil"/>
              <w:left w:val="nil"/>
              <w:bottom w:val="nil"/>
              <w:right w:val="nil"/>
            </w:tcBorders>
            <w:shd w:val="clear" w:color="auto" w:fill="auto"/>
            <w:vAlign w:val="bottom"/>
          </w:tcPr>
          <w:p w14:paraId="5C5277FB" w14:textId="20FCCF1F" w:rsidR="006043E7" w:rsidRPr="00537128" w:rsidRDefault="006043E7" w:rsidP="006043E7">
            <w:pPr>
              <w:tabs>
                <w:tab w:val="left" w:pos="-720"/>
              </w:tabs>
              <w:suppressAutoHyphens/>
              <w:spacing w:after="0" w:line="240" w:lineRule="auto"/>
              <w:ind w:right="-5"/>
              <w:jc w:val="right"/>
              <w:rPr>
                <w:rFonts w:ascii="Calibri" w:eastAsia="Times New Roman" w:hAnsi="Calibri" w:cs="Arial"/>
                <w:sz w:val="19"/>
                <w:szCs w:val="19"/>
                <w:lang w:val="en-US"/>
              </w:rPr>
            </w:pPr>
            <w:r w:rsidRPr="001E0F84">
              <w:rPr>
                <w:rFonts w:ascii="Calibri" w:hAnsi="Calibri" w:cs="Arial"/>
                <w:color w:val="000000"/>
                <w:sz w:val="20"/>
                <w:szCs w:val="20"/>
              </w:rPr>
              <w:t>810</w:t>
            </w:r>
            <w:r w:rsidR="00C71F6C">
              <w:rPr>
                <w:rFonts w:ascii="Calibri" w:hAnsi="Calibri" w:cs="Arial"/>
                <w:color w:val="000000"/>
                <w:sz w:val="20"/>
                <w:szCs w:val="20"/>
              </w:rPr>
              <w:t>,</w:t>
            </w:r>
            <w:r w:rsidRPr="001E0F84">
              <w:rPr>
                <w:rFonts w:ascii="Calibri" w:hAnsi="Calibri" w:cs="Arial"/>
                <w:color w:val="000000"/>
                <w:sz w:val="20"/>
                <w:szCs w:val="20"/>
              </w:rPr>
              <w:t>358</w:t>
            </w:r>
          </w:p>
        </w:tc>
        <w:tc>
          <w:tcPr>
            <w:tcW w:w="789" w:type="pct"/>
            <w:tcBorders>
              <w:top w:val="nil"/>
              <w:left w:val="nil"/>
              <w:bottom w:val="nil"/>
              <w:right w:val="nil"/>
            </w:tcBorders>
            <w:shd w:val="clear" w:color="auto" w:fill="auto"/>
            <w:vAlign w:val="bottom"/>
          </w:tcPr>
          <w:p w14:paraId="62D1B325" w14:textId="3FA8EF03" w:rsidR="006043E7" w:rsidRPr="00537128" w:rsidRDefault="006043E7" w:rsidP="006043E7">
            <w:pPr>
              <w:tabs>
                <w:tab w:val="left" w:pos="-720"/>
              </w:tabs>
              <w:suppressAutoHyphens/>
              <w:spacing w:after="0" w:line="240" w:lineRule="auto"/>
              <w:ind w:right="-5"/>
              <w:jc w:val="right"/>
              <w:rPr>
                <w:rFonts w:ascii="Calibri" w:eastAsia="Times New Roman" w:hAnsi="Calibri" w:cs="Arial"/>
                <w:sz w:val="19"/>
                <w:szCs w:val="19"/>
                <w:lang w:val="en-US"/>
              </w:rPr>
            </w:pPr>
            <w:r w:rsidRPr="001B1B87">
              <w:rPr>
                <w:sz w:val="20"/>
                <w:szCs w:val="20"/>
              </w:rPr>
              <w:t>947</w:t>
            </w:r>
            <w:r>
              <w:rPr>
                <w:sz w:val="20"/>
                <w:szCs w:val="20"/>
              </w:rPr>
              <w:t>,</w:t>
            </w:r>
            <w:r w:rsidRPr="001B1B87">
              <w:rPr>
                <w:sz w:val="20"/>
                <w:szCs w:val="20"/>
              </w:rPr>
              <w:t>495</w:t>
            </w:r>
          </w:p>
        </w:tc>
      </w:tr>
      <w:tr w:rsidR="006043E7" w:rsidRPr="00537128" w14:paraId="09FEC3C0" w14:textId="77777777" w:rsidTr="006A5067">
        <w:trPr>
          <w:trHeight w:hRule="exact" w:val="284"/>
        </w:trPr>
        <w:tc>
          <w:tcPr>
            <w:tcW w:w="1842" w:type="pct"/>
            <w:shd w:val="clear" w:color="auto" w:fill="auto"/>
            <w:vAlign w:val="bottom"/>
          </w:tcPr>
          <w:p w14:paraId="2381F5F2" w14:textId="77777777" w:rsidR="006043E7" w:rsidRPr="00537128" w:rsidRDefault="006043E7" w:rsidP="006043E7">
            <w:pPr>
              <w:tabs>
                <w:tab w:val="left" w:pos="-720"/>
              </w:tabs>
              <w:suppressAutoHyphens/>
              <w:spacing w:after="0" w:line="240" w:lineRule="exact"/>
              <w:ind w:right="-6"/>
              <w:rPr>
                <w:rFonts w:ascii="Calibri" w:eastAsia="Times New Roman" w:hAnsi="Calibri" w:cs="Arial"/>
                <w:sz w:val="19"/>
                <w:szCs w:val="19"/>
                <w:lang w:val="en-US"/>
              </w:rPr>
            </w:pPr>
            <w:r w:rsidRPr="00537128">
              <w:rPr>
                <w:rFonts w:ascii="Calibri" w:eastAsia="Times New Roman" w:hAnsi="Calibri" w:cs="Arial"/>
                <w:sz w:val="19"/>
                <w:szCs w:val="19"/>
                <w:lang w:val="en-US"/>
              </w:rPr>
              <w:t>Non-interest bearing</w:t>
            </w:r>
          </w:p>
        </w:tc>
        <w:tc>
          <w:tcPr>
            <w:tcW w:w="789" w:type="pct"/>
            <w:tcBorders>
              <w:top w:val="nil"/>
              <w:left w:val="nil"/>
              <w:bottom w:val="single" w:sz="4" w:space="0" w:color="auto"/>
              <w:right w:val="nil"/>
            </w:tcBorders>
            <w:shd w:val="clear" w:color="auto" w:fill="auto"/>
            <w:vAlign w:val="bottom"/>
          </w:tcPr>
          <w:p w14:paraId="4BC518C2" w14:textId="43D5AA84" w:rsidR="006043E7" w:rsidRPr="00537128" w:rsidRDefault="006043E7" w:rsidP="006043E7">
            <w:pPr>
              <w:tabs>
                <w:tab w:val="left" w:pos="-720"/>
              </w:tabs>
              <w:suppressAutoHyphens/>
              <w:spacing w:after="0" w:line="240" w:lineRule="auto"/>
              <w:ind w:right="-5"/>
              <w:jc w:val="right"/>
              <w:rPr>
                <w:rFonts w:ascii="Calibri" w:eastAsia="Times New Roman" w:hAnsi="Calibri" w:cs="Arial"/>
                <w:sz w:val="19"/>
                <w:szCs w:val="19"/>
                <w:lang w:val="en-US"/>
              </w:rPr>
            </w:pPr>
            <w:r w:rsidRPr="001E0F84">
              <w:rPr>
                <w:rFonts w:ascii="Calibri" w:hAnsi="Calibri" w:cs="Arial"/>
                <w:color w:val="000000"/>
                <w:sz w:val="20"/>
                <w:szCs w:val="20"/>
              </w:rPr>
              <w:t>1</w:t>
            </w:r>
            <w:r w:rsidR="00C71F6C">
              <w:rPr>
                <w:rFonts w:ascii="Calibri" w:hAnsi="Calibri" w:cs="Arial"/>
                <w:color w:val="000000"/>
                <w:sz w:val="20"/>
                <w:szCs w:val="20"/>
              </w:rPr>
              <w:t>,</w:t>
            </w:r>
            <w:r w:rsidRPr="001E0F84">
              <w:rPr>
                <w:rFonts w:ascii="Calibri" w:hAnsi="Calibri" w:cs="Arial"/>
                <w:color w:val="000000"/>
                <w:sz w:val="20"/>
                <w:szCs w:val="20"/>
              </w:rPr>
              <w:t>587</w:t>
            </w:r>
            <w:r w:rsidR="00C71F6C">
              <w:rPr>
                <w:rFonts w:ascii="Calibri" w:hAnsi="Calibri" w:cs="Arial"/>
                <w:color w:val="000000"/>
                <w:sz w:val="20"/>
                <w:szCs w:val="20"/>
              </w:rPr>
              <w:t>,</w:t>
            </w:r>
            <w:r w:rsidRPr="001E0F84">
              <w:rPr>
                <w:rFonts w:ascii="Calibri" w:hAnsi="Calibri" w:cs="Arial"/>
                <w:color w:val="000000"/>
                <w:sz w:val="20"/>
                <w:szCs w:val="20"/>
              </w:rPr>
              <w:t>782</w:t>
            </w:r>
          </w:p>
        </w:tc>
        <w:tc>
          <w:tcPr>
            <w:tcW w:w="790" w:type="pct"/>
            <w:tcBorders>
              <w:top w:val="nil"/>
              <w:left w:val="nil"/>
              <w:bottom w:val="single" w:sz="4" w:space="0" w:color="auto"/>
              <w:right w:val="nil"/>
            </w:tcBorders>
            <w:shd w:val="clear" w:color="auto" w:fill="auto"/>
            <w:vAlign w:val="bottom"/>
          </w:tcPr>
          <w:p w14:paraId="6353AE21" w14:textId="451D4824" w:rsidR="006043E7" w:rsidRPr="00537128" w:rsidRDefault="006043E7" w:rsidP="006043E7">
            <w:pPr>
              <w:tabs>
                <w:tab w:val="left" w:pos="-720"/>
              </w:tabs>
              <w:suppressAutoHyphens/>
              <w:spacing w:after="0" w:line="240" w:lineRule="auto"/>
              <w:ind w:right="-5"/>
              <w:jc w:val="right"/>
              <w:rPr>
                <w:rFonts w:ascii="Calibri" w:eastAsia="Times New Roman" w:hAnsi="Calibri" w:cs="Arial"/>
                <w:sz w:val="19"/>
                <w:szCs w:val="19"/>
                <w:lang w:val="en-US"/>
              </w:rPr>
            </w:pPr>
            <w:r>
              <w:rPr>
                <w:rFonts w:ascii="Calibri" w:hAnsi="Calibri" w:cs="Arial"/>
                <w:color w:val="000000"/>
                <w:sz w:val="20"/>
                <w:szCs w:val="20"/>
              </w:rPr>
              <w:t>2,384,672</w:t>
            </w:r>
          </w:p>
        </w:tc>
        <w:tc>
          <w:tcPr>
            <w:tcW w:w="789" w:type="pct"/>
            <w:tcBorders>
              <w:top w:val="nil"/>
              <w:left w:val="nil"/>
              <w:bottom w:val="single" w:sz="4" w:space="0" w:color="auto"/>
              <w:right w:val="nil"/>
            </w:tcBorders>
            <w:shd w:val="clear" w:color="auto" w:fill="auto"/>
            <w:vAlign w:val="bottom"/>
          </w:tcPr>
          <w:p w14:paraId="1C4C1829" w14:textId="1E9E8310" w:rsidR="006043E7" w:rsidRPr="00537128" w:rsidRDefault="006043E7" w:rsidP="006043E7">
            <w:pPr>
              <w:tabs>
                <w:tab w:val="left" w:pos="-720"/>
              </w:tabs>
              <w:suppressAutoHyphens/>
              <w:spacing w:after="0" w:line="240" w:lineRule="auto"/>
              <w:ind w:right="-5"/>
              <w:jc w:val="right"/>
              <w:rPr>
                <w:rFonts w:ascii="Calibri" w:eastAsia="Times New Roman" w:hAnsi="Calibri" w:cs="Arial"/>
                <w:sz w:val="19"/>
                <w:szCs w:val="19"/>
                <w:lang w:val="en-US"/>
              </w:rPr>
            </w:pPr>
            <w:r w:rsidRPr="001E0F84">
              <w:rPr>
                <w:rFonts w:ascii="Calibri" w:hAnsi="Calibri" w:cs="Arial"/>
                <w:color w:val="000000"/>
                <w:sz w:val="20"/>
                <w:szCs w:val="20"/>
              </w:rPr>
              <w:t>1</w:t>
            </w:r>
            <w:r w:rsidR="00C71F6C">
              <w:rPr>
                <w:rFonts w:ascii="Calibri" w:hAnsi="Calibri" w:cs="Arial"/>
                <w:color w:val="000000"/>
                <w:sz w:val="20"/>
                <w:szCs w:val="20"/>
              </w:rPr>
              <w:t>,</w:t>
            </w:r>
            <w:r w:rsidRPr="001E0F84">
              <w:rPr>
                <w:rFonts w:ascii="Calibri" w:hAnsi="Calibri" w:cs="Arial"/>
                <w:color w:val="000000"/>
                <w:sz w:val="20"/>
                <w:szCs w:val="20"/>
              </w:rPr>
              <w:t>583</w:t>
            </w:r>
            <w:r w:rsidR="00C71F6C">
              <w:rPr>
                <w:rFonts w:ascii="Calibri" w:hAnsi="Calibri" w:cs="Arial"/>
                <w:color w:val="000000"/>
                <w:sz w:val="20"/>
                <w:szCs w:val="20"/>
              </w:rPr>
              <w:t>,</w:t>
            </w:r>
            <w:r w:rsidRPr="001E0F84">
              <w:rPr>
                <w:rFonts w:ascii="Calibri" w:hAnsi="Calibri" w:cs="Arial"/>
                <w:color w:val="000000"/>
                <w:sz w:val="20"/>
                <w:szCs w:val="20"/>
              </w:rPr>
              <w:t>402</w:t>
            </w:r>
          </w:p>
        </w:tc>
        <w:tc>
          <w:tcPr>
            <w:tcW w:w="789" w:type="pct"/>
            <w:tcBorders>
              <w:top w:val="nil"/>
              <w:left w:val="nil"/>
              <w:bottom w:val="single" w:sz="4" w:space="0" w:color="auto"/>
              <w:right w:val="nil"/>
            </w:tcBorders>
            <w:shd w:val="clear" w:color="auto" w:fill="auto"/>
            <w:vAlign w:val="bottom"/>
          </w:tcPr>
          <w:p w14:paraId="2E478D26" w14:textId="6CE824B1" w:rsidR="006043E7" w:rsidRPr="00537128" w:rsidRDefault="006043E7" w:rsidP="006043E7">
            <w:pPr>
              <w:tabs>
                <w:tab w:val="left" w:pos="-720"/>
              </w:tabs>
              <w:suppressAutoHyphens/>
              <w:spacing w:after="0" w:line="240" w:lineRule="auto"/>
              <w:ind w:right="-5"/>
              <w:jc w:val="right"/>
              <w:rPr>
                <w:rFonts w:ascii="Calibri" w:eastAsia="Times New Roman" w:hAnsi="Calibri" w:cs="Arial"/>
                <w:sz w:val="19"/>
                <w:szCs w:val="19"/>
                <w:lang w:val="en-US"/>
              </w:rPr>
            </w:pPr>
            <w:r w:rsidRPr="001B1B87">
              <w:rPr>
                <w:sz w:val="20"/>
                <w:szCs w:val="20"/>
              </w:rPr>
              <w:t>2</w:t>
            </w:r>
            <w:r>
              <w:rPr>
                <w:sz w:val="20"/>
                <w:szCs w:val="20"/>
              </w:rPr>
              <w:t>,</w:t>
            </w:r>
            <w:r w:rsidRPr="001B1B87">
              <w:rPr>
                <w:sz w:val="20"/>
                <w:szCs w:val="20"/>
              </w:rPr>
              <w:t>381</w:t>
            </w:r>
            <w:r>
              <w:rPr>
                <w:sz w:val="20"/>
                <w:szCs w:val="20"/>
              </w:rPr>
              <w:t>,</w:t>
            </w:r>
            <w:r w:rsidRPr="001B1B87">
              <w:rPr>
                <w:sz w:val="20"/>
                <w:szCs w:val="20"/>
              </w:rPr>
              <w:t>203</w:t>
            </w:r>
          </w:p>
        </w:tc>
      </w:tr>
      <w:tr w:rsidR="006043E7" w:rsidRPr="00537128" w14:paraId="063A4A82" w14:textId="77777777" w:rsidTr="006A5067">
        <w:trPr>
          <w:trHeight w:hRule="exact" w:val="382"/>
        </w:trPr>
        <w:tc>
          <w:tcPr>
            <w:tcW w:w="1842" w:type="pct"/>
            <w:shd w:val="clear" w:color="auto" w:fill="auto"/>
            <w:vAlign w:val="bottom"/>
          </w:tcPr>
          <w:p w14:paraId="0DA8412B" w14:textId="77777777" w:rsidR="006043E7" w:rsidRPr="00537128" w:rsidRDefault="006043E7" w:rsidP="006043E7">
            <w:pPr>
              <w:tabs>
                <w:tab w:val="left" w:pos="-720"/>
              </w:tabs>
              <w:suppressAutoHyphens/>
              <w:spacing w:after="0" w:line="240" w:lineRule="exact"/>
              <w:ind w:right="-6"/>
              <w:rPr>
                <w:rFonts w:ascii="Calibri" w:eastAsia="Times New Roman" w:hAnsi="Calibri" w:cs="Arial"/>
                <w:sz w:val="19"/>
                <w:szCs w:val="19"/>
                <w:lang w:val="en-US"/>
              </w:rPr>
            </w:pPr>
            <w:r w:rsidRPr="00537128">
              <w:rPr>
                <w:rFonts w:ascii="Calibri" w:eastAsia="Times New Roman" w:hAnsi="Calibri" w:cs="Arial"/>
                <w:b/>
                <w:sz w:val="19"/>
                <w:szCs w:val="19"/>
                <w:lang w:val="en-US"/>
              </w:rPr>
              <w:t xml:space="preserve">Total </w:t>
            </w:r>
          </w:p>
        </w:tc>
        <w:tc>
          <w:tcPr>
            <w:tcW w:w="789" w:type="pct"/>
            <w:tcBorders>
              <w:top w:val="single" w:sz="4" w:space="0" w:color="auto"/>
              <w:left w:val="nil"/>
              <w:bottom w:val="single" w:sz="12" w:space="0" w:color="auto"/>
              <w:right w:val="nil"/>
            </w:tcBorders>
            <w:shd w:val="clear" w:color="auto" w:fill="auto"/>
            <w:vAlign w:val="bottom"/>
          </w:tcPr>
          <w:p w14:paraId="0AD8CCBD" w14:textId="78ACB919" w:rsidR="006043E7" w:rsidRPr="00537128" w:rsidRDefault="006043E7" w:rsidP="006043E7">
            <w:pPr>
              <w:tabs>
                <w:tab w:val="left" w:pos="-720"/>
              </w:tabs>
              <w:suppressAutoHyphens/>
              <w:spacing w:after="0" w:line="240" w:lineRule="auto"/>
              <w:ind w:right="-5"/>
              <w:jc w:val="right"/>
              <w:rPr>
                <w:rFonts w:ascii="Calibri" w:eastAsia="Times New Roman" w:hAnsi="Calibri" w:cs="Arial"/>
                <w:b/>
                <w:sz w:val="20"/>
                <w:szCs w:val="20"/>
                <w:lang w:val="en-US"/>
              </w:rPr>
            </w:pPr>
            <w:r w:rsidRPr="001E0F84">
              <w:rPr>
                <w:rFonts w:ascii="Calibri" w:hAnsi="Calibri" w:cs="Arial"/>
                <w:b/>
                <w:bCs/>
                <w:color w:val="000000"/>
                <w:sz w:val="20"/>
                <w:szCs w:val="20"/>
              </w:rPr>
              <w:t>27</w:t>
            </w:r>
            <w:r w:rsidR="00C71F6C">
              <w:rPr>
                <w:rFonts w:ascii="Calibri" w:hAnsi="Calibri" w:cs="Arial"/>
                <w:b/>
                <w:bCs/>
                <w:color w:val="000000"/>
                <w:sz w:val="20"/>
                <w:szCs w:val="20"/>
              </w:rPr>
              <w:t>,</w:t>
            </w:r>
            <w:r w:rsidRPr="001E0F84">
              <w:rPr>
                <w:rFonts w:ascii="Calibri" w:hAnsi="Calibri" w:cs="Arial"/>
                <w:b/>
                <w:bCs/>
                <w:color w:val="000000"/>
                <w:sz w:val="20"/>
                <w:szCs w:val="20"/>
              </w:rPr>
              <w:t>682</w:t>
            </w:r>
            <w:r w:rsidR="00C71F6C">
              <w:rPr>
                <w:rFonts w:ascii="Calibri" w:hAnsi="Calibri" w:cs="Arial"/>
                <w:b/>
                <w:bCs/>
                <w:color w:val="000000"/>
                <w:sz w:val="20"/>
                <w:szCs w:val="20"/>
              </w:rPr>
              <w:t>,</w:t>
            </w:r>
            <w:r w:rsidRPr="001E0F84">
              <w:rPr>
                <w:rFonts w:ascii="Calibri" w:hAnsi="Calibri" w:cs="Arial"/>
                <w:b/>
                <w:bCs/>
                <w:color w:val="000000"/>
                <w:sz w:val="20"/>
                <w:szCs w:val="20"/>
              </w:rPr>
              <w:t>722</w:t>
            </w:r>
          </w:p>
        </w:tc>
        <w:tc>
          <w:tcPr>
            <w:tcW w:w="790" w:type="pct"/>
            <w:tcBorders>
              <w:top w:val="single" w:sz="4" w:space="0" w:color="auto"/>
              <w:left w:val="nil"/>
              <w:bottom w:val="single" w:sz="12" w:space="0" w:color="auto"/>
              <w:right w:val="nil"/>
            </w:tcBorders>
            <w:shd w:val="clear" w:color="auto" w:fill="auto"/>
            <w:vAlign w:val="bottom"/>
          </w:tcPr>
          <w:p w14:paraId="3A333864" w14:textId="4129EB88" w:rsidR="006043E7" w:rsidRPr="00537128" w:rsidRDefault="006043E7" w:rsidP="006043E7">
            <w:pPr>
              <w:tabs>
                <w:tab w:val="left" w:pos="-720"/>
              </w:tabs>
              <w:suppressAutoHyphens/>
              <w:spacing w:after="0" w:line="240" w:lineRule="auto"/>
              <w:ind w:right="-5"/>
              <w:jc w:val="right"/>
              <w:rPr>
                <w:rFonts w:ascii="Calibri" w:eastAsia="Times New Roman" w:hAnsi="Calibri" w:cs="Arial"/>
                <w:b/>
                <w:sz w:val="20"/>
                <w:szCs w:val="20"/>
                <w:lang w:val="en-US"/>
              </w:rPr>
            </w:pPr>
            <w:r>
              <w:rPr>
                <w:rFonts w:ascii="Calibri" w:hAnsi="Calibri" w:cs="Arial"/>
                <w:b/>
                <w:bCs/>
                <w:color w:val="000000"/>
                <w:sz w:val="20"/>
                <w:szCs w:val="20"/>
              </w:rPr>
              <w:t>28,213,056</w:t>
            </w:r>
          </w:p>
        </w:tc>
        <w:tc>
          <w:tcPr>
            <w:tcW w:w="789" w:type="pct"/>
            <w:tcBorders>
              <w:top w:val="single" w:sz="4" w:space="0" w:color="auto"/>
              <w:left w:val="nil"/>
              <w:bottom w:val="single" w:sz="12" w:space="0" w:color="auto"/>
              <w:right w:val="nil"/>
            </w:tcBorders>
            <w:shd w:val="clear" w:color="auto" w:fill="auto"/>
            <w:vAlign w:val="bottom"/>
          </w:tcPr>
          <w:p w14:paraId="5A0723FA" w14:textId="45C9E1A9" w:rsidR="006043E7" w:rsidRPr="00537128" w:rsidRDefault="006043E7" w:rsidP="006043E7">
            <w:pPr>
              <w:tabs>
                <w:tab w:val="left" w:pos="-720"/>
              </w:tabs>
              <w:suppressAutoHyphens/>
              <w:spacing w:after="0" w:line="240" w:lineRule="auto"/>
              <w:ind w:right="-5"/>
              <w:jc w:val="right"/>
              <w:rPr>
                <w:rFonts w:ascii="Calibri" w:eastAsia="Times New Roman" w:hAnsi="Calibri" w:cs="Arial"/>
                <w:b/>
                <w:sz w:val="20"/>
                <w:szCs w:val="20"/>
                <w:lang w:val="en-US"/>
              </w:rPr>
            </w:pPr>
            <w:r w:rsidRPr="001E0F84">
              <w:rPr>
                <w:rFonts w:ascii="Calibri" w:hAnsi="Calibri" w:cs="Arial"/>
                <w:b/>
                <w:bCs/>
                <w:color w:val="000000"/>
                <w:sz w:val="20"/>
                <w:szCs w:val="20"/>
              </w:rPr>
              <w:t>27</w:t>
            </w:r>
            <w:r w:rsidR="00C71F6C">
              <w:rPr>
                <w:rFonts w:ascii="Calibri" w:hAnsi="Calibri" w:cs="Arial"/>
                <w:b/>
                <w:bCs/>
                <w:color w:val="000000"/>
                <w:sz w:val="20"/>
                <w:szCs w:val="20"/>
              </w:rPr>
              <w:t>,</w:t>
            </w:r>
            <w:r w:rsidRPr="001E0F84">
              <w:rPr>
                <w:rFonts w:ascii="Calibri" w:hAnsi="Calibri" w:cs="Arial"/>
                <w:b/>
                <w:bCs/>
                <w:color w:val="000000"/>
                <w:sz w:val="20"/>
                <w:szCs w:val="20"/>
              </w:rPr>
              <w:t>619</w:t>
            </w:r>
            <w:r w:rsidR="00C71F6C">
              <w:rPr>
                <w:rFonts w:ascii="Calibri" w:hAnsi="Calibri" w:cs="Arial"/>
                <w:b/>
                <w:bCs/>
                <w:color w:val="000000"/>
                <w:sz w:val="20"/>
                <w:szCs w:val="20"/>
              </w:rPr>
              <w:t>,</w:t>
            </w:r>
            <w:r w:rsidRPr="001E0F84">
              <w:rPr>
                <w:rFonts w:ascii="Calibri" w:hAnsi="Calibri" w:cs="Arial"/>
                <w:b/>
                <w:bCs/>
                <w:color w:val="000000"/>
                <w:sz w:val="20"/>
                <w:szCs w:val="20"/>
              </w:rPr>
              <w:t>175</w:t>
            </w:r>
          </w:p>
        </w:tc>
        <w:tc>
          <w:tcPr>
            <w:tcW w:w="789" w:type="pct"/>
            <w:tcBorders>
              <w:top w:val="single" w:sz="4" w:space="0" w:color="auto"/>
              <w:left w:val="nil"/>
              <w:bottom w:val="single" w:sz="12" w:space="0" w:color="auto"/>
              <w:right w:val="nil"/>
            </w:tcBorders>
            <w:shd w:val="clear" w:color="auto" w:fill="auto"/>
            <w:vAlign w:val="bottom"/>
          </w:tcPr>
          <w:p w14:paraId="5EFC0AE1" w14:textId="14F652AF" w:rsidR="006043E7" w:rsidRPr="00537128" w:rsidRDefault="006043E7" w:rsidP="006043E7">
            <w:pPr>
              <w:tabs>
                <w:tab w:val="left" w:pos="-720"/>
              </w:tabs>
              <w:suppressAutoHyphens/>
              <w:spacing w:after="0" w:line="240" w:lineRule="auto"/>
              <w:ind w:right="-5"/>
              <w:jc w:val="right"/>
              <w:rPr>
                <w:rFonts w:ascii="Calibri" w:eastAsia="Times New Roman" w:hAnsi="Calibri" w:cs="Arial"/>
                <w:b/>
                <w:sz w:val="20"/>
                <w:szCs w:val="20"/>
                <w:lang w:val="en-US"/>
              </w:rPr>
            </w:pPr>
            <w:r w:rsidRPr="001B1B87">
              <w:rPr>
                <w:b/>
                <w:bCs/>
                <w:sz w:val="20"/>
                <w:szCs w:val="20"/>
              </w:rPr>
              <w:t>28</w:t>
            </w:r>
            <w:r>
              <w:rPr>
                <w:b/>
                <w:bCs/>
                <w:sz w:val="20"/>
                <w:szCs w:val="20"/>
              </w:rPr>
              <w:t>,</w:t>
            </w:r>
            <w:r w:rsidRPr="001B1B87">
              <w:rPr>
                <w:b/>
                <w:bCs/>
                <w:sz w:val="20"/>
                <w:szCs w:val="20"/>
              </w:rPr>
              <w:t>149</w:t>
            </w:r>
            <w:r>
              <w:rPr>
                <w:b/>
                <w:bCs/>
                <w:sz w:val="20"/>
                <w:szCs w:val="20"/>
              </w:rPr>
              <w:t>,</w:t>
            </w:r>
            <w:r w:rsidRPr="001B1B87">
              <w:rPr>
                <w:b/>
                <w:bCs/>
                <w:sz w:val="20"/>
                <w:szCs w:val="20"/>
              </w:rPr>
              <w:t>821</w:t>
            </w:r>
          </w:p>
        </w:tc>
      </w:tr>
      <w:tr w:rsidR="006043E7" w:rsidRPr="00537128" w14:paraId="6C1C00F6" w14:textId="77777777" w:rsidTr="006A5067">
        <w:trPr>
          <w:trHeight w:hRule="exact" w:val="382"/>
        </w:trPr>
        <w:tc>
          <w:tcPr>
            <w:tcW w:w="1842" w:type="pct"/>
            <w:shd w:val="clear" w:color="auto" w:fill="auto"/>
            <w:vAlign w:val="bottom"/>
          </w:tcPr>
          <w:p w14:paraId="05491EDE" w14:textId="77777777" w:rsidR="006043E7" w:rsidRPr="00537128" w:rsidRDefault="006043E7" w:rsidP="006043E7">
            <w:pPr>
              <w:tabs>
                <w:tab w:val="left" w:pos="-720"/>
              </w:tabs>
              <w:suppressAutoHyphens/>
              <w:spacing w:after="0" w:line="240" w:lineRule="exact"/>
              <w:ind w:right="-6"/>
              <w:rPr>
                <w:rFonts w:ascii="Calibri" w:eastAsia="Times New Roman" w:hAnsi="Calibri" w:cs="Arial"/>
                <w:b/>
                <w:sz w:val="19"/>
                <w:szCs w:val="19"/>
                <w:lang w:val="en-US"/>
              </w:rPr>
            </w:pPr>
          </w:p>
        </w:tc>
        <w:tc>
          <w:tcPr>
            <w:tcW w:w="789" w:type="pct"/>
            <w:tcBorders>
              <w:top w:val="single" w:sz="12" w:space="0" w:color="auto"/>
            </w:tcBorders>
            <w:shd w:val="clear" w:color="auto" w:fill="auto"/>
            <w:vAlign w:val="bottom"/>
          </w:tcPr>
          <w:p w14:paraId="6131E29E" w14:textId="77777777" w:rsidR="006043E7" w:rsidRPr="00537128" w:rsidRDefault="006043E7" w:rsidP="006043E7">
            <w:pPr>
              <w:tabs>
                <w:tab w:val="left" w:pos="-720"/>
              </w:tabs>
              <w:suppressAutoHyphens/>
              <w:spacing w:after="0" w:line="240" w:lineRule="auto"/>
              <w:ind w:right="-5"/>
              <w:jc w:val="right"/>
              <w:rPr>
                <w:rFonts w:ascii="Calibri" w:eastAsia="Times New Roman" w:hAnsi="Calibri" w:cs="Arial"/>
                <w:b/>
                <w:sz w:val="19"/>
                <w:szCs w:val="19"/>
                <w:lang w:val="en-US"/>
              </w:rPr>
            </w:pPr>
          </w:p>
        </w:tc>
        <w:tc>
          <w:tcPr>
            <w:tcW w:w="790" w:type="pct"/>
            <w:tcBorders>
              <w:top w:val="single" w:sz="12" w:space="0" w:color="auto"/>
            </w:tcBorders>
            <w:shd w:val="clear" w:color="auto" w:fill="auto"/>
            <w:vAlign w:val="bottom"/>
          </w:tcPr>
          <w:p w14:paraId="51CFBB89" w14:textId="77777777" w:rsidR="006043E7" w:rsidRPr="00537128" w:rsidRDefault="006043E7" w:rsidP="006043E7">
            <w:pPr>
              <w:tabs>
                <w:tab w:val="left" w:pos="-720"/>
              </w:tabs>
              <w:suppressAutoHyphens/>
              <w:spacing w:after="0" w:line="240" w:lineRule="auto"/>
              <w:ind w:right="-5"/>
              <w:jc w:val="right"/>
              <w:rPr>
                <w:rFonts w:ascii="Calibri" w:eastAsia="Times New Roman" w:hAnsi="Calibri" w:cs="Arial"/>
                <w:b/>
                <w:sz w:val="19"/>
                <w:szCs w:val="19"/>
                <w:lang w:val="en-US"/>
              </w:rPr>
            </w:pPr>
          </w:p>
        </w:tc>
        <w:tc>
          <w:tcPr>
            <w:tcW w:w="789" w:type="pct"/>
            <w:tcBorders>
              <w:top w:val="single" w:sz="12" w:space="0" w:color="auto"/>
            </w:tcBorders>
            <w:shd w:val="clear" w:color="auto" w:fill="auto"/>
            <w:vAlign w:val="bottom"/>
          </w:tcPr>
          <w:p w14:paraId="295A6571" w14:textId="77777777" w:rsidR="006043E7" w:rsidRPr="00537128" w:rsidRDefault="006043E7" w:rsidP="006043E7">
            <w:pPr>
              <w:tabs>
                <w:tab w:val="left" w:pos="-720"/>
              </w:tabs>
              <w:suppressAutoHyphens/>
              <w:spacing w:after="0" w:line="240" w:lineRule="auto"/>
              <w:ind w:right="-5"/>
              <w:jc w:val="right"/>
              <w:rPr>
                <w:rFonts w:ascii="Calibri" w:eastAsia="Times New Roman" w:hAnsi="Calibri" w:cs="Arial"/>
                <w:b/>
                <w:sz w:val="19"/>
                <w:szCs w:val="19"/>
                <w:lang w:val="en-US"/>
              </w:rPr>
            </w:pPr>
          </w:p>
        </w:tc>
        <w:tc>
          <w:tcPr>
            <w:tcW w:w="789" w:type="pct"/>
            <w:tcBorders>
              <w:top w:val="single" w:sz="12" w:space="0" w:color="auto"/>
            </w:tcBorders>
            <w:shd w:val="clear" w:color="auto" w:fill="auto"/>
            <w:vAlign w:val="bottom"/>
          </w:tcPr>
          <w:p w14:paraId="0BF25E65" w14:textId="77777777" w:rsidR="006043E7" w:rsidRPr="00537128" w:rsidRDefault="006043E7" w:rsidP="006043E7">
            <w:pPr>
              <w:tabs>
                <w:tab w:val="left" w:pos="-720"/>
              </w:tabs>
              <w:suppressAutoHyphens/>
              <w:spacing w:after="0" w:line="240" w:lineRule="auto"/>
              <w:ind w:right="-5"/>
              <w:jc w:val="right"/>
              <w:rPr>
                <w:rFonts w:ascii="Calibri" w:eastAsia="Times New Roman" w:hAnsi="Calibri" w:cs="Arial"/>
                <w:b/>
                <w:sz w:val="19"/>
                <w:szCs w:val="19"/>
                <w:lang w:val="en-US"/>
              </w:rPr>
            </w:pPr>
          </w:p>
        </w:tc>
      </w:tr>
      <w:tr w:rsidR="006043E7" w:rsidRPr="00537128" w14:paraId="6CCA04B8" w14:textId="77777777" w:rsidTr="006A5067">
        <w:trPr>
          <w:trHeight w:hRule="exact" w:val="284"/>
        </w:trPr>
        <w:tc>
          <w:tcPr>
            <w:tcW w:w="1842" w:type="pct"/>
            <w:shd w:val="clear" w:color="auto" w:fill="auto"/>
            <w:vAlign w:val="bottom"/>
          </w:tcPr>
          <w:p w14:paraId="095DC705" w14:textId="77777777" w:rsidR="006043E7" w:rsidRPr="00537128" w:rsidRDefault="006043E7" w:rsidP="006043E7">
            <w:pPr>
              <w:tabs>
                <w:tab w:val="left" w:pos="-720"/>
              </w:tabs>
              <w:suppressAutoHyphens/>
              <w:spacing w:after="0" w:line="240" w:lineRule="exact"/>
              <w:ind w:right="-6"/>
              <w:rPr>
                <w:rFonts w:ascii="Calibri" w:eastAsia="Times New Roman" w:hAnsi="Calibri" w:cs="Arial"/>
                <w:sz w:val="19"/>
                <w:szCs w:val="19"/>
                <w:lang w:val="en-US"/>
              </w:rPr>
            </w:pPr>
            <w:r w:rsidRPr="00537128">
              <w:rPr>
                <w:rFonts w:ascii="Calibri" w:eastAsia="Times New Roman" w:hAnsi="Calibri" w:cs="Arial"/>
                <w:b/>
                <w:sz w:val="19"/>
                <w:szCs w:val="19"/>
                <w:lang w:val="en-US"/>
              </w:rPr>
              <w:t>Liabilities</w:t>
            </w:r>
          </w:p>
        </w:tc>
        <w:tc>
          <w:tcPr>
            <w:tcW w:w="789" w:type="pct"/>
            <w:shd w:val="clear" w:color="auto" w:fill="auto"/>
            <w:vAlign w:val="bottom"/>
          </w:tcPr>
          <w:p w14:paraId="6DA8C2C9" w14:textId="77777777" w:rsidR="006043E7" w:rsidRPr="00537128" w:rsidRDefault="006043E7" w:rsidP="006043E7">
            <w:pPr>
              <w:tabs>
                <w:tab w:val="left" w:pos="-720"/>
              </w:tabs>
              <w:suppressAutoHyphens/>
              <w:spacing w:after="0" w:line="240" w:lineRule="auto"/>
              <w:ind w:right="-5"/>
              <w:jc w:val="right"/>
              <w:rPr>
                <w:rFonts w:ascii="Calibri" w:eastAsia="Times New Roman" w:hAnsi="Calibri" w:cs="Arial"/>
                <w:sz w:val="19"/>
                <w:szCs w:val="19"/>
                <w:lang w:val="en-US"/>
              </w:rPr>
            </w:pPr>
          </w:p>
        </w:tc>
        <w:tc>
          <w:tcPr>
            <w:tcW w:w="790" w:type="pct"/>
            <w:shd w:val="clear" w:color="auto" w:fill="auto"/>
            <w:vAlign w:val="bottom"/>
          </w:tcPr>
          <w:p w14:paraId="7E458D28" w14:textId="77777777" w:rsidR="006043E7" w:rsidRPr="00537128" w:rsidRDefault="006043E7" w:rsidP="006043E7">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shd w:val="clear" w:color="auto" w:fill="auto"/>
            <w:vAlign w:val="bottom"/>
          </w:tcPr>
          <w:p w14:paraId="4D45265A" w14:textId="77777777" w:rsidR="006043E7" w:rsidRPr="00537128" w:rsidRDefault="006043E7" w:rsidP="006043E7">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shd w:val="clear" w:color="auto" w:fill="auto"/>
            <w:vAlign w:val="bottom"/>
          </w:tcPr>
          <w:p w14:paraId="70DD170B" w14:textId="77777777" w:rsidR="006043E7" w:rsidRPr="00537128" w:rsidRDefault="006043E7" w:rsidP="006043E7">
            <w:pPr>
              <w:tabs>
                <w:tab w:val="left" w:pos="-720"/>
              </w:tabs>
              <w:suppressAutoHyphens/>
              <w:spacing w:after="0" w:line="240" w:lineRule="auto"/>
              <w:ind w:right="-5"/>
              <w:jc w:val="right"/>
              <w:rPr>
                <w:rFonts w:ascii="Calibri" w:eastAsia="Times New Roman" w:hAnsi="Calibri" w:cs="Arial"/>
                <w:sz w:val="19"/>
                <w:szCs w:val="19"/>
                <w:lang w:val="en-US"/>
              </w:rPr>
            </w:pPr>
          </w:p>
        </w:tc>
      </w:tr>
      <w:tr w:rsidR="006043E7" w:rsidRPr="00537128" w14:paraId="60423AAA" w14:textId="77777777" w:rsidTr="006A5067">
        <w:trPr>
          <w:trHeight w:hRule="exact" w:val="284"/>
        </w:trPr>
        <w:tc>
          <w:tcPr>
            <w:tcW w:w="1842" w:type="pct"/>
            <w:shd w:val="clear" w:color="auto" w:fill="auto"/>
            <w:vAlign w:val="bottom"/>
          </w:tcPr>
          <w:p w14:paraId="1D23ED46" w14:textId="77777777" w:rsidR="006043E7" w:rsidRPr="00537128" w:rsidRDefault="006043E7" w:rsidP="006043E7">
            <w:pPr>
              <w:tabs>
                <w:tab w:val="left" w:pos="-720"/>
              </w:tabs>
              <w:suppressAutoHyphens/>
              <w:spacing w:after="0" w:line="240" w:lineRule="exact"/>
              <w:ind w:right="-6"/>
              <w:rPr>
                <w:rFonts w:ascii="Calibri" w:eastAsia="Times New Roman" w:hAnsi="Calibri" w:cs="Arial"/>
                <w:b/>
                <w:sz w:val="19"/>
                <w:szCs w:val="19"/>
                <w:lang w:val="en-US"/>
              </w:rPr>
            </w:pPr>
          </w:p>
        </w:tc>
        <w:tc>
          <w:tcPr>
            <w:tcW w:w="789" w:type="pct"/>
            <w:shd w:val="clear" w:color="auto" w:fill="auto"/>
            <w:vAlign w:val="bottom"/>
          </w:tcPr>
          <w:p w14:paraId="06525599" w14:textId="77777777" w:rsidR="006043E7" w:rsidRPr="00537128" w:rsidRDefault="006043E7" w:rsidP="006043E7">
            <w:pPr>
              <w:tabs>
                <w:tab w:val="left" w:pos="-720"/>
              </w:tabs>
              <w:suppressAutoHyphens/>
              <w:spacing w:after="0" w:line="240" w:lineRule="auto"/>
              <w:ind w:right="-5"/>
              <w:jc w:val="right"/>
              <w:rPr>
                <w:rFonts w:ascii="Calibri" w:eastAsia="Times New Roman" w:hAnsi="Calibri" w:cs="Arial"/>
                <w:sz w:val="19"/>
                <w:szCs w:val="19"/>
                <w:lang w:val="en-US"/>
              </w:rPr>
            </w:pPr>
          </w:p>
        </w:tc>
        <w:tc>
          <w:tcPr>
            <w:tcW w:w="790" w:type="pct"/>
            <w:shd w:val="clear" w:color="auto" w:fill="auto"/>
            <w:vAlign w:val="bottom"/>
          </w:tcPr>
          <w:p w14:paraId="1FAA86C8" w14:textId="77777777" w:rsidR="006043E7" w:rsidRPr="00537128" w:rsidRDefault="006043E7" w:rsidP="006043E7">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shd w:val="clear" w:color="auto" w:fill="auto"/>
            <w:vAlign w:val="bottom"/>
          </w:tcPr>
          <w:p w14:paraId="6C0162F9" w14:textId="77777777" w:rsidR="006043E7" w:rsidRPr="00537128" w:rsidRDefault="006043E7" w:rsidP="006043E7">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shd w:val="clear" w:color="auto" w:fill="auto"/>
            <w:vAlign w:val="bottom"/>
          </w:tcPr>
          <w:p w14:paraId="0C3ECCC4" w14:textId="77777777" w:rsidR="006043E7" w:rsidRPr="00537128" w:rsidRDefault="006043E7" w:rsidP="006043E7">
            <w:pPr>
              <w:tabs>
                <w:tab w:val="left" w:pos="-720"/>
              </w:tabs>
              <w:suppressAutoHyphens/>
              <w:spacing w:after="0" w:line="240" w:lineRule="auto"/>
              <w:ind w:right="-5"/>
              <w:jc w:val="right"/>
              <w:rPr>
                <w:rFonts w:ascii="Calibri" w:eastAsia="Times New Roman" w:hAnsi="Calibri" w:cs="Arial"/>
                <w:sz w:val="19"/>
                <w:szCs w:val="19"/>
                <w:lang w:val="en-US"/>
              </w:rPr>
            </w:pPr>
          </w:p>
        </w:tc>
      </w:tr>
      <w:tr w:rsidR="003E0C29" w:rsidRPr="00537128" w14:paraId="2D95101A" w14:textId="77777777" w:rsidTr="006A5067">
        <w:trPr>
          <w:trHeight w:hRule="exact" w:val="284"/>
        </w:trPr>
        <w:tc>
          <w:tcPr>
            <w:tcW w:w="1842" w:type="pct"/>
            <w:shd w:val="clear" w:color="auto" w:fill="auto"/>
            <w:vAlign w:val="bottom"/>
          </w:tcPr>
          <w:p w14:paraId="67D18630" w14:textId="77777777" w:rsidR="003E0C29" w:rsidRPr="00537128" w:rsidRDefault="003E0C29" w:rsidP="003E0C29">
            <w:pPr>
              <w:tabs>
                <w:tab w:val="left" w:pos="-720"/>
              </w:tabs>
              <w:suppressAutoHyphens/>
              <w:spacing w:after="0" w:line="240" w:lineRule="exact"/>
              <w:ind w:right="-6"/>
              <w:rPr>
                <w:rFonts w:ascii="Calibri" w:eastAsia="Times New Roman" w:hAnsi="Calibri" w:cs="Arial"/>
                <w:b/>
                <w:sz w:val="19"/>
                <w:szCs w:val="19"/>
                <w:lang w:val="en-US"/>
              </w:rPr>
            </w:pPr>
            <w:r w:rsidRPr="00537128">
              <w:rPr>
                <w:rFonts w:ascii="Calibri" w:eastAsia="Times New Roman" w:hAnsi="Calibri" w:cs="Arial"/>
                <w:sz w:val="19"/>
                <w:szCs w:val="19"/>
                <w:lang w:val="en-US"/>
              </w:rPr>
              <w:t>Fixed interest rate liabilities</w:t>
            </w:r>
          </w:p>
        </w:tc>
        <w:tc>
          <w:tcPr>
            <w:tcW w:w="789" w:type="pct"/>
            <w:tcBorders>
              <w:top w:val="nil"/>
              <w:left w:val="nil"/>
              <w:bottom w:val="nil"/>
              <w:right w:val="nil"/>
            </w:tcBorders>
            <w:shd w:val="clear" w:color="auto" w:fill="auto"/>
            <w:vAlign w:val="bottom"/>
          </w:tcPr>
          <w:p w14:paraId="6C15D7FF" w14:textId="5B43A361" w:rsidR="003E0C29" w:rsidRPr="00537128" w:rsidRDefault="003E0C29" w:rsidP="003E0C29">
            <w:pPr>
              <w:tabs>
                <w:tab w:val="left" w:pos="-720"/>
              </w:tabs>
              <w:suppressAutoHyphens/>
              <w:spacing w:after="0" w:line="240" w:lineRule="auto"/>
              <w:ind w:right="-5"/>
              <w:jc w:val="right"/>
              <w:rPr>
                <w:rFonts w:ascii="Calibri" w:eastAsia="Times New Roman" w:hAnsi="Calibri" w:cs="Arial"/>
                <w:sz w:val="19"/>
                <w:szCs w:val="19"/>
                <w:lang w:val="en-US"/>
              </w:rPr>
            </w:pPr>
            <w:r w:rsidRPr="001E0F84">
              <w:rPr>
                <w:rFonts w:ascii="Calibri" w:hAnsi="Calibri" w:cs="Arial"/>
                <w:color w:val="000000"/>
                <w:sz w:val="20"/>
                <w:szCs w:val="20"/>
              </w:rPr>
              <w:t>15</w:t>
            </w:r>
            <w:r w:rsidR="00C71F6C">
              <w:rPr>
                <w:rFonts w:ascii="Calibri" w:hAnsi="Calibri" w:cs="Arial"/>
                <w:color w:val="000000"/>
                <w:sz w:val="20"/>
                <w:szCs w:val="20"/>
              </w:rPr>
              <w:t>,</w:t>
            </w:r>
            <w:r w:rsidRPr="001E0F84">
              <w:rPr>
                <w:rFonts w:ascii="Calibri" w:hAnsi="Calibri" w:cs="Arial"/>
                <w:color w:val="000000"/>
                <w:sz w:val="20"/>
                <w:szCs w:val="20"/>
              </w:rPr>
              <w:t>892</w:t>
            </w:r>
            <w:r w:rsidR="00C71F6C">
              <w:rPr>
                <w:rFonts w:ascii="Calibri" w:hAnsi="Calibri" w:cs="Arial"/>
                <w:color w:val="000000"/>
                <w:sz w:val="20"/>
                <w:szCs w:val="20"/>
              </w:rPr>
              <w:t>,</w:t>
            </w:r>
            <w:r w:rsidRPr="001E0F84">
              <w:rPr>
                <w:rFonts w:ascii="Calibri" w:hAnsi="Calibri" w:cs="Arial"/>
                <w:color w:val="000000"/>
                <w:sz w:val="20"/>
                <w:szCs w:val="20"/>
              </w:rPr>
              <w:t>894</w:t>
            </w:r>
          </w:p>
        </w:tc>
        <w:tc>
          <w:tcPr>
            <w:tcW w:w="790" w:type="pct"/>
            <w:tcBorders>
              <w:top w:val="nil"/>
              <w:left w:val="nil"/>
              <w:bottom w:val="nil"/>
              <w:right w:val="nil"/>
            </w:tcBorders>
            <w:shd w:val="clear" w:color="auto" w:fill="auto"/>
            <w:vAlign w:val="bottom"/>
          </w:tcPr>
          <w:p w14:paraId="1D0C3572" w14:textId="5170A214" w:rsidR="003E0C29" w:rsidRPr="00537128" w:rsidRDefault="003E0C29" w:rsidP="003E0C29">
            <w:pPr>
              <w:tabs>
                <w:tab w:val="left" w:pos="-720"/>
              </w:tabs>
              <w:suppressAutoHyphens/>
              <w:spacing w:after="0" w:line="240" w:lineRule="auto"/>
              <w:ind w:right="-5"/>
              <w:jc w:val="right"/>
              <w:rPr>
                <w:rFonts w:ascii="Calibri" w:eastAsia="Times New Roman" w:hAnsi="Calibri" w:cs="Arial"/>
                <w:sz w:val="19"/>
                <w:szCs w:val="19"/>
                <w:lang w:val="en-US"/>
              </w:rPr>
            </w:pPr>
            <w:r>
              <w:rPr>
                <w:rFonts w:ascii="Calibri" w:hAnsi="Calibri" w:cs="Arial"/>
                <w:color w:val="000000"/>
                <w:sz w:val="20"/>
                <w:szCs w:val="20"/>
              </w:rPr>
              <w:t>16,486,467</w:t>
            </w:r>
          </w:p>
        </w:tc>
        <w:tc>
          <w:tcPr>
            <w:tcW w:w="789" w:type="pct"/>
            <w:tcBorders>
              <w:top w:val="nil"/>
              <w:left w:val="nil"/>
              <w:bottom w:val="nil"/>
              <w:right w:val="nil"/>
            </w:tcBorders>
            <w:shd w:val="clear" w:color="auto" w:fill="auto"/>
            <w:vAlign w:val="bottom"/>
          </w:tcPr>
          <w:p w14:paraId="786B07CA" w14:textId="49BB5AC9" w:rsidR="003E0C29" w:rsidRPr="00537128" w:rsidRDefault="003E0C29" w:rsidP="003E0C29">
            <w:pPr>
              <w:tabs>
                <w:tab w:val="left" w:pos="-720"/>
              </w:tabs>
              <w:suppressAutoHyphens/>
              <w:spacing w:after="0" w:line="240" w:lineRule="auto"/>
              <w:ind w:right="-5"/>
              <w:jc w:val="right"/>
              <w:rPr>
                <w:rFonts w:ascii="Calibri" w:eastAsia="Times New Roman" w:hAnsi="Calibri" w:cs="Arial"/>
                <w:sz w:val="19"/>
                <w:szCs w:val="19"/>
                <w:lang w:val="en-US"/>
              </w:rPr>
            </w:pPr>
            <w:r w:rsidRPr="001E0F84">
              <w:rPr>
                <w:rFonts w:ascii="Calibri" w:hAnsi="Calibri" w:cs="Arial"/>
                <w:color w:val="000000"/>
                <w:sz w:val="20"/>
                <w:szCs w:val="20"/>
              </w:rPr>
              <w:t>15</w:t>
            </w:r>
            <w:r w:rsidR="00C71F6C">
              <w:rPr>
                <w:rFonts w:ascii="Calibri" w:hAnsi="Calibri" w:cs="Arial"/>
                <w:color w:val="000000"/>
                <w:sz w:val="20"/>
                <w:szCs w:val="20"/>
              </w:rPr>
              <w:t>,</w:t>
            </w:r>
            <w:r w:rsidRPr="001E0F84">
              <w:rPr>
                <w:rFonts w:ascii="Calibri" w:hAnsi="Calibri" w:cs="Arial"/>
                <w:color w:val="000000"/>
                <w:sz w:val="20"/>
                <w:szCs w:val="20"/>
              </w:rPr>
              <w:t>892</w:t>
            </w:r>
            <w:r w:rsidR="00C71F6C">
              <w:rPr>
                <w:rFonts w:ascii="Calibri" w:hAnsi="Calibri" w:cs="Arial"/>
                <w:color w:val="000000"/>
                <w:sz w:val="20"/>
                <w:szCs w:val="20"/>
              </w:rPr>
              <w:t>,</w:t>
            </w:r>
            <w:r w:rsidRPr="001E0F84">
              <w:rPr>
                <w:rFonts w:ascii="Calibri" w:hAnsi="Calibri" w:cs="Arial"/>
                <w:color w:val="000000"/>
                <w:sz w:val="20"/>
                <w:szCs w:val="20"/>
              </w:rPr>
              <w:t>894</w:t>
            </w:r>
          </w:p>
        </w:tc>
        <w:tc>
          <w:tcPr>
            <w:tcW w:w="789" w:type="pct"/>
            <w:tcBorders>
              <w:top w:val="nil"/>
              <w:left w:val="nil"/>
              <w:bottom w:val="nil"/>
              <w:right w:val="nil"/>
            </w:tcBorders>
            <w:shd w:val="clear" w:color="auto" w:fill="auto"/>
            <w:vAlign w:val="bottom"/>
          </w:tcPr>
          <w:p w14:paraId="3D16C51F" w14:textId="44A64A3C" w:rsidR="003E0C29" w:rsidRPr="00537128" w:rsidRDefault="003E0C29" w:rsidP="003E0C29">
            <w:pPr>
              <w:tabs>
                <w:tab w:val="left" w:pos="-720"/>
              </w:tabs>
              <w:suppressAutoHyphens/>
              <w:spacing w:after="0" w:line="240" w:lineRule="auto"/>
              <w:ind w:right="-5"/>
              <w:jc w:val="right"/>
              <w:rPr>
                <w:rFonts w:ascii="Calibri" w:eastAsia="Times New Roman" w:hAnsi="Calibri" w:cs="Arial"/>
                <w:sz w:val="19"/>
                <w:szCs w:val="19"/>
                <w:lang w:val="en-US"/>
              </w:rPr>
            </w:pPr>
            <w:r w:rsidRPr="001B1B87">
              <w:rPr>
                <w:sz w:val="20"/>
                <w:szCs w:val="20"/>
              </w:rPr>
              <w:t>16</w:t>
            </w:r>
            <w:r>
              <w:rPr>
                <w:sz w:val="20"/>
                <w:szCs w:val="20"/>
              </w:rPr>
              <w:t>,</w:t>
            </w:r>
            <w:r w:rsidRPr="001B1B87">
              <w:rPr>
                <w:sz w:val="20"/>
                <w:szCs w:val="20"/>
              </w:rPr>
              <w:t>486</w:t>
            </w:r>
            <w:r>
              <w:rPr>
                <w:sz w:val="20"/>
                <w:szCs w:val="20"/>
              </w:rPr>
              <w:t>,</w:t>
            </w:r>
            <w:r w:rsidRPr="001B1B87">
              <w:rPr>
                <w:sz w:val="20"/>
                <w:szCs w:val="20"/>
              </w:rPr>
              <w:t>467</w:t>
            </w:r>
          </w:p>
        </w:tc>
      </w:tr>
      <w:tr w:rsidR="003E0C29" w:rsidRPr="00537128" w14:paraId="51F8BAC9" w14:textId="77777777" w:rsidTr="006A5067">
        <w:trPr>
          <w:trHeight w:hRule="exact" w:val="284"/>
        </w:trPr>
        <w:tc>
          <w:tcPr>
            <w:tcW w:w="1842" w:type="pct"/>
            <w:shd w:val="clear" w:color="auto" w:fill="auto"/>
            <w:vAlign w:val="bottom"/>
          </w:tcPr>
          <w:p w14:paraId="4A97871E" w14:textId="77777777" w:rsidR="003E0C29" w:rsidRPr="00537128" w:rsidRDefault="003E0C29" w:rsidP="003E0C29">
            <w:pPr>
              <w:tabs>
                <w:tab w:val="left" w:pos="-720"/>
              </w:tabs>
              <w:suppressAutoHyphens/>
              <w:spacing w:after="0" w:line="240" w:lineRule="exact"/>
              <w:ind w:right="-6"/>
              <w:rPr>
                <w:rFonts w:ascii="Calibri" w:eastAsia="Times New Roman" w:hAnsi="Calibri" w:cs="Arial"/>
                <w:sz w:val="19"/>
                <w:szCs w:val="19"/>
                <w:lang w:val="en-US"/>
              </w:rPr>
            </w:pPr>
            <w:r w:rsidRPr="00537128">
              <w:rPr>
                <w:rFonts w:ascii="Calibri" w:eastAsia="Times New Roman" w:hAnsi="Calibri" w:cs="Arial"/>
                <w:sz w:val="19"/>
                <w:szCs w:val="19"/>
                <w:lang w:val="en-US"/>
              </w:rPr>
              <w:t>Variable interest rate liabilities</w:t>
            </w:r>
          </w:p>
        </w:tc>
        <w:tc>
          <w:tcPr>
            <w:tcW w:w="789" w:type="pct"/>
            <w:tcBorders>
              <w:top w:val="nil"/>
              <w:left w:val="nil"/>
              <w:bottom w:val="nil"/>
              <w:right w:val="nil"/>
            </w:tcBorders>
            <w:shd w:val="clear" w:color="auto" w:fill="auto"/>
            <w:vAlign w:val="bottom"/>
          </w:tcPr>
          <w:p w14:paraId="3227634A" w14:textId="33D5663C" w:rsidR="003E0C29" w:rsidRPr="00537128" w:rsidRDefault="003E0C29" w:rsidP="003E0C29">
            <w:pPr>
              <w:tabs>
                <w:tab w:val="left" w:pos="-720"/>
              </w:tabs>
              <w:suppressAutoHyphens/>
              <w:spacing w:after="0" w:line="240" w:lineRule="auto"/>
              <w:ind w:right="-5"/>
              <w:jc w:val="right"/>
              <w:rPr>
                <w:rFonts w:ascii="Calibri" w:eastAsia="Times New Roman" w:hAnsi="Calibri" w:cs="Arial"/>
                <w:sz w:val="19"/>
                <w:szCs w:val="19"/>
                <w:lang w:val="en-US"/>
              </w:rPr>
            </w:pPr>
            <w:r w:rsidRPr="001E0F84">
              <w:rPr>
                <w:rFonts w:ascii="Calibri" w:hAnsi="Calibri" w:cs="Arial"/>
                <w:color w:val="000000"/>
                <w:sz w:val="20"/>
                <w:szCs w:val="20"/>
              </w:rPr>
              <w:t>11</w:t>
            </w:r>
            <w:r w:rsidR="00C71F6C">
              <w:rPr>
                <w:rFonts w:ascii="Calibri" w:hAnsi="Calibri" w:cs="Arial"/>
                <w:color w:val="000000"/>
                <w:sz w:val="20"/>
                <w:szCs w:val="20"/>
              </w:rPr>
              <w:t>,</w:t>
            </w:r>
            <w:r w:rsidRPr="001E0F84">
              <w:rPr>
                <w:rFonts w:ascii="Calibri" w:hAnsi="Calibri" w:cs="Arial"/>
                <w:color w:val="000000"/>
                <w:sz w:val="20"/>
                <w:szCs w:val="20"/>
              </w:rPr>
              <w:t>365</w:t>
            </w:r>
          </w:p>
        </w:tc>
        <w:tc>
          <w:tcPr>
            <w:tcW w:w="790" w:type="pct"/>
            <w:tcBorders>
              <w:top w:val="nil"/>
              <w:left w:val="nil"/>
              <w:bottom w:val="nil"/>
              <w:right w:val="nil"/>
            </w:tcBorders>
            <w:shd w:val="clear" w:color="auto" w:fill="auto"/>
            <w:vAlign w:val="bottom"/>
          </w:tcPr>
          <w:p w14:paraId="2C18DC1C" w14:textId="44873CA6" w:rsidR="003E0C29" w:rsidRPr="00537128" w:rsidRDefault="003E0C29" w:rsidP="003E0C29">
            <w:pPr>
              <w:tabs>
                <w:tab w:val="left" w:pos="-720"/>
              </w:tabs>
              <w:suppressAutoHyphens/>
              <w:spacing w:after="0" w:line="240" w:lineRule="auto"/>
              <w:ind w:right="-5"/>
              <w:jc w:val="right"/>
              <w:rPr>
                <w:rFonts w:ascii="Calibri" w:eastAsia="Times New Roman" w:hAnsi="Calibri" w:cs="Arial"/>
                <w:sz w:val="19"/>
                <w:szCs w:val="19"/>
                <w:lang w:val="en-US"/>
              </w:rPr>
            </w:pPr>
            <w:r>
              <w:rPr>
                <w:rFonts w:ascii="Calibri" w:hAnsi="Calibri" w:cs="Arial"/>
                <w:color w:val="000000"/>
                <w:sz w:val="20"/>
                <w:szCs w:val="20"/>
              </w:rPr>
              <w:t>11,276</w:t>
            </w:r>
          </w:p>
        </w:tc>
        <w:tc>
          <w:tcPr>
            <w:tcW w:w="789" w:type="pct"/>
            <w:tcBorders>
              <w:top w:val="nil"/>
              <w:left w:val="nil"/>
              <w:bottom w:val="nil"/>
              <w:right w:val="nil"/>
            </w:tcBorders>
            <w:shd w:val="clear" w:color="auto" w:fill="auto"/>
            <w:vAlign w:val="bottom"/>
          </w:tcPr>
          <w:p w14:paraId="50C0E9EC" w14:textId="0985E821" w:rsidR="003E0C29" w:rsidRPr="00537128" w:rsidRDefault="003E0C29" w:rsidP="003E0C29">
            <w:pPr>
              <w:tabs>
                <w:tab w:val="left" w:pos="-720"/>
              </w:tabs>
              <w:suppressAutoHyphens/>
              <w:spacing w:after="0" w:line="240" w:lineRule="auto"/>
              <w:ind w:right="-5"/>
              <w:jc w:val="right"/>
              <w:rPr>
                <w:rFonts w:ascii="Calibri" w:eastAsia="Times New Roman" w:hAnsi="Calibri" w:cs="Arial"/>
                <w:sz w:val="19"/>
                <w:szCs w:val="19"/>
                <w:lang w:val="en-US"/>
              </w:rPr>
            </w:pPr>
            <w:r w:rsidRPr="001E0F84">
              <w:rPr>
                <w:rFonts w:ascii="Calibri" w:hAnsi="Calibri" w:cs="Arial"/>
                <w:color w:val="000000"/>
                <w:sz w:val="20"/>
                <w:szCs w:val="20"/>
              </w:rPr>
              <w:t>11</w:t>
            </w:r>
            <w:r w:rsidR="00C71F6C">
              <w:rPr>
                <w:rFonts w:ascii="Calibri" w:hAnsi="Calibri" w:cs="Arial"/>
                <w:color w:val="000000"/>
                <w:sz w:val="20"/>
                <w:szCs w:val="20"/>
              </w:rPr>
              <w:t>,</w:t>
            </w:r>
            <w:r w:rsidRPr="001E0F84">
              <w:rPr>
                <w:rFonts w:ascii="Calibri" w:hAnsi="Calibri" w:cs="Arial"/>
                <w:color w:val="000000"/>
                <w:sz w:val="20"/>
                <w:szCs w:val="20"/>
              </w:rPr>
              <w:t>365</w:t>
            </w:r>
          </w:p>
        </w:tc>
        <w:tc>
          <w:tcPr>
            <w:tcW w:w="789" w:type="pct"/>
            <w:tcBorders>
              <w:top w:val="nil"/>
              <w:left w:val="nil"/>
              <w:bottom w:val="nil"/>
              <w:right w:val="nil"/>
            </w:tcBorders>
            <w:shd w:val="clear" w:color="auto" w:fill="auto"/>
            <w:vAlign w:val="bottom"/>
          </w:tcPr>
          <w:p w14:paraId="13DAF514" w14:textId="0FCC03ED" w:rsidR="003E0C29" w:rsidRPr="00537128" w:rsidRDefault="003E0C29" w:rsidP="003E0C29">
            <w:pPr>
              <w:tabs>
                <w:tab w:val="left" w:pos="-720"/>
              </w:tabs>
              <w:suppressAutoHyphens/>
              <w:spacing w:after="0" w:line="240" w:lineRule="auto"/>
              <w:ind w:right="-5"/>
              <w:jc w:val="right"/>
              <w:rPr>
                <w:rFonts w:ascii="Calibri" w:eastAsia="Times New Roman" w:hAnsi="Calibri" w:cs="Arial"/>
                <w:sz w:val="19"/>
                <w:szCs w:val="19"/>
                <w:lang w:val="en-US"/>
              </w:rPr>
            </w:pPr>
            <w:r w:rsidRPr="001B1B87">
              <w:rPr>
                <w:sz w:val="20"/>
                <w:szCs w:val="20"/>
              </w:rPr>
              <w:t>11</w:t>
            </w:r>
            <w:r>
              <w:rPr>
                <w:sz w:val="20"/>
                <w:szCs w:val="20"/>
              </w:rPr>
              <w:t>,</w:t>
            </w:r>
            <w:r w:rsidRPr="001B1B87">
              <w:rPr>
                <w:sz w:val="20"/>
                <w:szCs w:val="20"/>
              </w:rPr>
              <w:t>276</w:t>
            </w:r>
          </w:p>
        </w:tc>
      </w:tr>
      <w:tr w:rsidR="003E0C29" w:rsidRPr="00537128" w14:paraId="3A7B91F5" w14:textId="77777777" w:rsidTr="00250189">
        <w:trPr>
          <w:trHeight w:hRule="exact" w:val="284"/>
        </w:trPr>
        <w:tc>
          <w:tcPr>
            <w:tcW w:w="1842" w:type="pct"/>
            <w:shd w:val="clear" w:color="auto" w:fill="auto"/>
            <w:vAlign w:val="bottom"/>
          </w:tcPr>
          <w:p w14:paraId="4E22858A" w14:textId="77777777" w:rsidR="003E0C29" w:rsidRPr="00537128" w:rsidRDefault="003E0C29" w:rsidP="003E0C29">
            <w:pPr>
              <w:tabs>
                <w:tab w:val="left" w:pos="-720"/>
              </w:tabs>
              <w:suppressAutoHyphens/>
              <w:spacing w:after="0" w:line="240" w:lineRule="exact"/>
              <w:ind w:right="-6"/>
              <w:rPr>
                <w:rFonts w:ascii="Calibri" w:eastAsia="Times New Roman" w:hAnsi="Calibri" w:cs="Arial"/>
                <w:sz w:val="19"/>
                <w:szCs w:val="19"/>
                <w:lang w:val="en-US"/>
              </w:rPr>
            </w:pPr>
            <w:r w:rsidRPr="00537128">
              <w:rPr>
                <w:rFonts w:ascii="Calibri" w:eastAsia="Times New Roman" w:hAnsi="Calibri" w:cs="Arial"/>
                <w:sz w:val="19"/>
                <w:szCs w:val="19"/>
                <w:lang w:val="en-US"/>
              </w:rPr>
              <w:t>Non-interest bearing</w:t>
            </w:r>
          </w:p>
        </w:tc>
        <w:tc>
          <w:tcPr>
            <w:tcW w:w="789" w:type="pct"/>
            <w:tcBorders>
              <w:top w:val="nil"/>
              <w:left w:val="nil"/>
              <w:bottom w:val="single" w:sz="4" w:space="0" w:color="auto"/>
              <w:right w:val="nil"/>
            </w:tcBorders>
            <w:shd w:val="clear" w:color="auto" w:fill="auto"/>
            <w:vAlign w:val="bottom"/>
          </w:tcPr>
          <w:p w14:paraId="1D69D4C7" w14:textId="5768EF4B" w:rsidR="003E0C29" w:rsidRPr="00537128" w:rsidRDefault="003E0C29" w:rsidP="003E0C29">
            <w:pPr>
              <w:tabs>
                <w:tab w:val="left" w:pos="-720"/>
              </w:tabs>
              <w:suppressAutoHyphens/>
              <w:spacing w:after="0" w:line="240" w:lineRule="auto"/>
              <w:ind w:right="-5"/>
              <w:jc w:val="right"/>
              <w:rPr>
                <w:rFonts w:ascii="Calibri" w:eastAsia="Times New Roman" w:hAnsi="Calibri" w:cs="Arial"/>
                <w:sz w:val="19"/>
                <w:szCs w:val="19"/>
                <w:lang w:val="en-US"/>
              </w:rPr>
            </w:pPr>
            <w:r w:rsidRPr="001E0F84">
              <w:rPr>
                <w:rFonts w:ascii="Calibri" w:hAnsi="Calibri" w:cs="Arial"/>
                <w:color w:val="000000"/>
                <w:sz w:val="20"/>
                <w:szCs w:val="20"/>
              </w:rPr>
              <w:t>1</w:t>
            </w:r>
            <w:r w:rsidR="00C71F6C">
              <w:rPr>
                <w:rFonts w:ascii="Calibri" w:hAnsi="Calibri" w:cs="Arial"/>
                <w:color w:val="000000"/>
                <w:sz w:val="20"/>
                <w:szCs w:val="20"/>
              </w:rPr>
              <w:t>,</w:t>
            </w:r>
            <w:r w:rsidRPr="001E0F84">
              <w:rPr>
                <w:rFonts w:ascii="Calibri" w:hAnsi="Calibri" w:cs="Arial"/>
                <w:color w:val="000000"/>
                <w:sz w:val="20"/>
                <w:szCs w:val="20"/>
              </w:rPr>
              <w:t>068</w:t>
            </w:r>
            <w:r w:rsidR="00C71F6C">
              <w:rPr>
                <w:rFonts w:ascii="Calibri" w:hAnsi="Calibri" w:cs="Arial"/>
                <w:color w:val="000000"/>
                <w:sz w:val="20"/>
                <w:szCs w:val="20"/>
              </w:rPr>
              <w:t>,</w:t>
            </w:r>
            <w:r w:rsidRPr="001E0F84">
              <w:rPr>
                <w:rFonts w:ascii="Calibri" w:hAnsi="Calibri" w:cs="Arial"/>
                <w:color w:val="000000"/>
                <w:sz w:val="20"/>
                <w:szCs w:val="20"/>
              </w:rPr>
              <w:t>793</w:t>
            </w:r>
          </w:p>
        </w:tc>
        <w:tc>
          <w:tcPr>
            <w:tcW w:w="790" w:type="pct"/>
            <w:tcBorders>
              <w:top w:val="nil"/>
              <w:left w:val="nil"/>
              <w:bottom w:val="single" w:sz="4" w:space="0" w:color="auto"/>
              <w:right w:val="nil"/>
            </w:tcBorders>
            <w:shd w:val="clear" w:color="auto" w:fill="auto"/>
            <w:vAlign w:val="bottom"/>
          </w:tcPr>
          <w:p w14:paraId="0014A160" w14:textId="7A4D5194" w:rsidR="003E0C29" w:rsidRPr="00537128" w:rsidRDefault="003E0C29" w:rsidP="003E0C29">
            <w:pPr>
              <w:tabs>
                <w:tab w:val="left" w:pos="-720"/>
              </w:tabs>
              <w:suppressAutoHyphens/>
              <w:spacing w:after="0" w:line="240" w:lineRule="auto"/>
              <w:ind w:right="-5"/>
              <w:jc w:val="right"/>
              <w:rPr>
                <w:rFonts w:ascii="Calibri" w:eastAsia="Times New Roman" w:hAnsi="Calibri" w:cs="Arial"/>
                <w:sz w:val="19"/>
                <w:szCs w:val="19"/>
                <w:lang w:val="en-US"/>
              </w:rPr>
            </w:pPr>
            <w:r>
              <w:rPr>
                <w:rFonts w:ascii="Calibri" w:hAnsi="Calibri" w:cs="Arial"/>
                <w:color w:val="000000"/>
                <w:sz w:val="20"/>
                <w:szCs w:val="20"/>
              </w:rPr>
              <w:t>1,203,834</w:t>
            </w:r>
          </w:p>
        </w:tc>
        <w:tc>
          <w:tcPr>
            <w:tcW w:w="789" w:type="pct"/>
            <w:tcBorders>
              <w:top w:val="nil"/>
              <w:left w:val="nil"/>
              <w:bottom w:val="single" w:sz="4" w:space="0" w:color="auto"/>
              <w:right w:val="nil"/>
            </w:tcBorders>
            <w:shd w:val="clear" w:color="auto" w:fill="auto"/>
            <w:vAlign w:val="bottom"/>
          </w:tcPr>
          <w:p w14:paraId="327F9380" w14:textId="645475EF" w:rsidR="003E0C29" w:rsidRPr="00537128" w:rsidRDefault="003E0C29" w:rsidP="003E0C29">
            <w:pPr>
              <w:tabs>
                <w:tab w:val="left" w:pos="-720"/>
              </w:tabs>
              <w:suppressAutoHyphens/>
              <w:spacing w:after="0" w:line="240" w:lineRule="auto"/>
              <w:ind w:right="-5"/>
              <w:jc w:val="right"/>
              <w:rPr>
                <w:rFonts w:ascii="Calibri" w:eastAsia="Times New Roman" w:hAnsi="Calibri" w:cs="Arial"/>
                <w:sz w:val="19"/>
                <w:szCs w:val="19"/>
                <w:lang w:val="en-US"/>
              </w:rPr>
            </w:pPr>
            <w:r w:rsidRPr="001E0F84">
              <w:rPr>
                <w:rFonts w:ascii="Calibri" w:hAnsi="Calibri" w:cs="Arial"/>
                <w:color w:val="000000"/>
                <w:sz w:val="20"/>
                <w:szCs w:val="20"/>
              </w:rPr>
              <w:t>1</w:t>
            </w:r>
            <w:r w:rsidR="00C71F6C">
              <w:rPr>
                <w:rFonts w:ascii="Calibri" w:hAnsi="Calibri" w:cs="Arial"/>
                <w:color w:val="000000"/>
                <w:sz w:val="20"/>
                <w:szCs w:val="20"/>
              </w:rPr>
              <w:t>,</w:t>
            </w:r>
            <w:r w:rsidRPr="001E0F84">
              <w:rPr>
                <w:rFonts w:ascii="Calibri" w:hAnsi="Calibri" w:cs="Arial"/>
                <w:color w:val="000000"/>
                <w:sz w:val="20"/>
                <w:szCs w:val="20"/>
              </w:rPr>
              <w:t>045</w:t>
            </w:r>
            <w:r w:rsidR="00C71F6C">
              <w:rPr>
                <w:rFonts w:ascii="Calibri" w:hAnsi="Calibri" w:cs="Arial"/>
                <w:color w:val="000000"/>
                <w:sz w:val="20"/>
                <w:szCs w:val="20"/>
              </w:rPr>
              <w:t>,</w:t>
            </w:r>
            <w:r w:rsidRPr="001E0F84">
              <w:rPr>
                <w:rFonts w:ascii="Calibri" w:hAnsi="Calibri" w:cs="Arial"/>
                <w:color w:val="000000"/>
                <w:sz w:val="20"/>
                <w:szCs w:val="20"/>
              </w:rPr>
              <w:t>859</w:t>
            </w:r>
          </w:p>
        </w:tc>
        <w:tc>
          <w:tcPr>
            <w:tcW w:w="789" w:type="pct"/>
            <w:tcBorders>
              <w:top w:val="nil"/>
              <w:left w:val="nil"/>
              <w:bottom w:val="single" w:sz="4" w:space="0" w:color="auto"/>
              <w:right w:val="nil"/>
            </w:tcBorders>
            <w:shd w:val="clear" w:color="auto" w:fill="auto"/>
            <w:vAlign w:val="bottom"/>
          </w:tcPr>
          <w:p w14:paraId="634A751C" w14:textId="67FC5AA3" w:rsidR="003E0C29" w:rsidRPr="00537128" w:rsidRDefault="003E0C29" w:rsidP="003E0C29">
            <w:pPr>
              <w:tabs>
                <w:tab w:val="left" w:pos="-720"/>
              </w:tabs>
              <w:suppressAutoHyphens/>
              <w:spacing w:after="0" w:line="240" w:lineRule="auto"/>
              <w:ind w:right="-5"/>
              <w:jc w:val="right"/>
              <w:rPr>
                <w:rFonts w:ascii="Calibri" w:eastAsia="Times New Roman" w:hAnsi="Calibri" w:cs="Arial"/>
                <w:sz w:val="19"/>
                <w:szCs w:val="19"/>
                <w:lang w:val="en-US"/>
              </w:rPr>
            </w:pPr>
            <w:r w:rsidRPr="001B1B87">
              <w:rPr>
                <w:sz w:val="20"/>
                <w:szCs w:val="20"/>
              </w:rPr>
              <w:t>1</w:t>
            </w:r>
            <w:r>
              <w:rPr>
                <w:sz w:val="20"/>
                <w:szCs w:val="20"/>
              </w:rPr>
              <w:t>,</w:t>
            </w:r>
            <w:r w:rsidRPr="001B1B87">
              <w:rPr>
                <w:sz w:val="20"/>
                <w:szCs w:val="20"/>
              </w:rPr>
              <w:t>184</w:t>
            </w:r>
            <w:r>
              <w:rPr>
                <w:sz w:val="20"/>
                <w:szCs w:val="20"/>
              </w:rPr>
              <w:t>,</w:t>
            </w:r>
            <w:r w:rsidRPr="001B1B87">
              <w:rPr>
                <w:sz w:val="20"/>
                <w:szCs w:val="20"/>
              </w:rPr>
              <w:t>516</w:t>
            </w:r>
          </w:p>
        </w:tc>
      </w:tr>
      <w:tr w:rsidR="003E0C29" w:rsidRPr="00537128" w14:paraId="265EC7BC" w14:textId="77777777" w:rsidTr="00250189">
        <w:trPr>
          <w:trHeight w:hRule="exact" w:val="397"/>
        </w:trPr>
        <w:tc>
          <w:tcPr>
            <w:tcW w:w="1842" w:type="pct"/>
            <w:shd w:val="clear" w:color="auto" w:fill="auto"/>
            <w:vAlign w:val="bottom"/>
          </w:tcPr>
          <w:p w14:paraId="319B353A" w14:textId="77777777" w:rsidR="003E0C29" w:rsidRPr="00537128" w:rsidRDefault="003E0C29" w:rsidP="003E0C29">
            <w:pPr>
              <w:tabs>
                <w:tab w:val="left" w:pos="-720"/>
              </w:tabs>
              <w:suppressAutoHyphens/>
              <w:spacing w:after="0" w:line="240" w:lineRule="exact"/>
              <w:ind w:right="-6"/>
              <w:rPr>
                <w:rFonts w:ascii="Calibri" w:eastAsia="Times New Roman" w:hAnsi="Calibri" w:cs="Arial"/>
                <w:sz w:val="19"/>
                <w:szCs w:val="19"/>
                <w:lang w:val="en-US"/>
              </w:rPr>
            </w:pPr>
            <w:r w:rsidRPr="00537128">
              <w:rPr>
                <w:rFonts w:ascii="Calibri" w:eastAsia="Times New Roman" w:hAnsi="Calibri" w:cs="Arial"/>
                <w:b/>
                <w:sz w:val="19"/>
                <w:szCs w:val="19"/>
                <w:lang w:val="en-US"/>
              </w:rPr>
              <w:t xml:space="preserve">Total liabilities </w:t>
            </w:r>
          </w:p>
        </w:tc>
        <w:tc>
          <w:tcPr>
            <w:tcW w:w="789" w:type="pct"/>
            <w:tcBorders>
              <w:top w:val="single" w:sz="4" w:space="0" w:color="auto"/>
              <w:left w:val="nil"/>
              <w:bottom w:val="single" w:sz="12" w:space="0" w:color="auto"/>
              <w:right w:val="nil"/>
            </w:tcBorders>
            <w:shd w:val="clear" w:color="auto" w:fill="auto"/>
            <w:vAlign w:val="bottom"/>
          </w:tcPr>
          <w:p w14:paraId="2A55C804" w14:textId="344EBFE5" w:rsidR="003E0C29" w:rsidRPr="00537128" w:rsidRDefault="003E0C29" w:rsidP="003E0C29">
            <w:pPr>
              <w:tabs>
                <w:tab w:val="left" w:pos="-720"/>
              </w:tabs>
              <w:suppressAutoHyphens/>
              <w:spacing w:after="0" w:line="240" w:lineRule="auto"/>
              <w:ind w:right="-5"/>
              <w:jc w:val="right"/>
              <w:rPr>
                <w:rFonts w:ascii="Calibri" w:eastAsia="Times New Roman" w:hAnsi="Calibri" w:cs="Arial"/>
                <w:b/>
                <w:sz w:val="20"/>
                <w:szCs w:val="20"/>
                <w:lang w:val="en-US"/>
              </w:rPr>
            </w:pPr>
            <w:r w:rsidRPr="001E0F84">
              <w:rPr>
                <w:rFonts w:ascii="Calibri" w:hAnsi="Calibri" w:cs="Arial"/>
                <w:b/>
                <w:bCs/>
                <w:color w:val="000000"/>
                <w:sz w:val="20"/>
                <w:szCs w:val="20"/>
              </w:rPr>
              <w:t>16</w:t>
            </w:r>
            <w:r w:rsidR="00C71F6C">
              <w:rPr>
                <w:rFonts w:ascii="Calibri" w:hAnsi="Calibri" w:cs="Arial"/>
                <w:b/>
                <w:bCs/>
                <w:color w:val="000000"/>
                <w:sz w:val="20"/>
                <w:szCs w:val="20"/>
              </w:rPr>
              <w:t>,</w:t>
            </w:r>
            <w:r w:rsidRPr="001E0F84">
              <w:rPr>
                <w:rFonts w:ascii="Calibri" w:hAnsi="Calibri" w:cs="Arial"/>
                <w:b/>
                <w:bCs/>
                <w:color w:val="000000"/>
                <w:sz w:val="20"/>
                <w:szCs w:val="20"/>
              </w:rPr>
              <w:t>973</w:t>
            </w:r>
            <w:r w:rsidR="00C71F6C">
              <w:rPr>
                <w:rFonts w:ascii="Calibri" w:hAnsi="Calibri" w:cs="Arial"/>
                <w:b/>
                <w:bCs/>
                <w:color w:val="000000"/>
                <w:sz w:val="20"/>
                <w:szCs w:val="20"/>
              </w:rPr>
              <w:t>,</w:t>
            </w:r>
            <w:r w:rsidRPr="001E0F84">
              <w:rPr>
                <w:rFonts w:ascii="Calibri" w:hAnsi="Calibri" w:cs="Arial"/>
                <w:b/>
                <w:bCs/>
                <w:color w:val="000000"/>
                <w:sz w:val="20"/>
                <w:szCs w:val="20"/>
              </w:rPr>
              <w:t>052</w:t>
            </w:r>
          </w:p>
        </w:tc>
        <w:tc>
          <w:tcPr>
            <w:tcW w:w="790" w:type="pct"/>
            <w:tcBorders>
              <w:top w:val="single" w:sz="4" w:space="0" w:color="auto"/>
              <w:left w:val="nil"/>
              <w:bottom w:val="single" w:sz="12" w:space="0" w:color="auto"/>
              <w:right w:val="nil"/>
            </w:tcBorders>
            <w:shd w:val="clear" w:color="auto" w:fill="auto"/>
            <w:vAlign w:val="bottom"/>
          </w:tcPr>
          <w:p w14:paraId="37E7020B" w14:textId="367A1843" w:rsidR="003E0C29" w:rsidRPr="00537128" w:rsidRDefault="003E0C29" w:rsidP="003E0C29">
            <w:pPr>
              <w:tabs>
                <w:tab w:val="left" w:pos="-720"/>
              </w:tabs>
              <w:suppressAutoHyphens/>
              <w:spacing w:after="0" w:line="240" w:lineRule="auto"/>
              <w:ind w:right="-5"/>
              <w:jc w:val="right"/>
              <w:rPr>
                <w:rFonts w:ascii="Calibri" w:eastAsia="Times New Roman" w:hAnsi="Calibri" w:cs="Arial"/>
                <w:b/>
                <w:sz w:val="20"/>
                <w:szCs w:val="20"/>
                <w:lang w:val="en-US"/>
              </w:rPr>
            </w:pPr>
            <w:r>
              <w:rPr>
                <w:rFonts w:ascii="Calibri" w:hAnsi="Calibri" w:cs="Arial"/>
                <w:b/>
                <w:bCs/>
                <w:color w:val="000000"/>
                <w:sz w:val="20"/>
                <w:szCs w:val="20"/>
              </w:rPr>
              <w:t>17,701,577</w:t>
            </w:r>
          </w:p>
        </w:tc>
        <w:tc>
          <w:tcPr>
            <w:tcW w:w="789" w:type="pct"/>
            <w:tcBorders>
              <w:top w:val="single" w:sz="4" w:space="0" w:color="auto"/>
              <w:left w:val="nil"/>
              <w:bottom w:val="single" w:sz="12" w:space="0" w:color="auto"/>
              <w:right w:val="nil"/>
            </w:tcBorders>
            <w:shd w:val="clear" w:color="auto" w:fill="auto"/>
            <w:vAlign w:val="bottom"/>
          </w:tcPr>
          <w:p w14:paraId="34462980" w14:textId="631B0B6F" w:rsidR="003E0C29" w:rsidRPr="00537128" w:rsidRDefault="003E0C29" w:rsidP="003E0C29">
            <w:pPr>
              <w:tabs>
                <w:tab w:val="left" w:pos="-720"/>
              </w:tabs>
              <w:suppressAutoHyphens/>
              <w:spacing w:after="0" w:line="240" w:lineRule="auto"/>
              <w:ind w:right="-5"/>
              <w:jc w:val="right"/>
              <w:rPr>
                <w:rFonts w:ascii="Calibri" w:eastAsia="Times New Roman" w:hAnsi="Calibri" w:cs="Arial"/>
                <w:b/>
                <w:sz w:val="20"/>
                <w:szCs w:val="20"/>
                <w:lang w:val="en-US"/>
              </w:rPr>
            </w:pPr>
            <w:r w:rsidRPr="001E0F84">
              <w:rPr>
                <w:rFonts w:ascii="Calibri" w:hAnsi="Calibri" w:cs="Arial"/>
                <w:b/>
                <w:bCs/>
                <w:color w:val="000000"/>
                <w:sz w:val="20"/>
                <w:szCs w:val="20"/>
              </w:rPr>
              <w:t>16</w:t>
            </w:r>
            <w:r w:rsidR="00C71F6C">
              <w:rPr>
                <w:rFonts w:ascii="Calibri" w:hAnsi="Calibri" w:cs="Arial"/>
                <w:b/>
                <w:bCs/>
                <w:color w:val="000000"/>
                <w:sz w:val="20"/>
                <w:szCs w:val="20"/>
              </w:rPr>
              <w:t>,</w:t>
            </w:r>
            <w:r w:rsidRPr="001E0F84">
              <w:rPr>
                <w:rFonts w:ascii="Calibri" w:hAnsi="Calibri" w:cs="Arial"/>
                <w:b/>
                <w:bCs/>
                <w:color w:val="000000"/>
                <w:sz w:val="20"/>
                <w:szCs w:val="20"/>
              </w:rPr>
              <w:t>950</w:t>
            </w:r>
            <w:r w:rsidR="00C71F6C">
              <w:rPr>
                <w:rFonts w:ascii="Calibri" w:hAnsi="Calibri" w:cs="Arial"/>
                <w:b/>
                <w:bCs/>
                <w:color w:val="000000"/>
                <w:sz w:val="20"/>
                <w:szCs w:val="20"/>
              </w:rPr>
              <w:t>,</w:t>
            </w:r>
            <w:r w:rsidRPr="001E0F84">
              <w:rPr>
                <w:rFonts w:ascii="Calibri" w:hAnsi="Calibri" w:cs="Arial"/>
                <w:b/>
                <w:bCs/>
                <w:color w:val="000000"/>
                <w:sz w:val="20"/>
                <w:szCs w:val="20"/>
              </w:rPr>
              <w:t>118</w:t>
            </w:r>
          </w:p>
        </w:tc>
        <w:tc>
          <w:tcPr>
            <w:tcW w:w="789" w:type="pct"/>
            <w:tcBorders>
              <w:top w:val="single" w:sz="4" w:space="0" w:color="auto"/>
              <w:left w:val="nil"/>
              <w:bottom w:val="single" w:sz="12" w:space="0" w:color="auto"/>
              <w:right w:val="nil"/>
            </w:tcBorders>
            <w:shd w:val="clear" w:color="auto" w:fill="auto"/>
            <w:vAlign w:val="bottom"/>
          </w:tcPr>
          <w:p w14:paraId="02B2F49C" w14:textId="1F8F1C83" w:rsidR="003E0C29" w:rsidRPr="00537128" w:rsidRDefault="003E0C29" w:rsidP="003E0C29">
            <w:pPr>
              <w:tabs>
                <w:tab w:val="left" w:pos="-720"/>
              </w:tabs>
              <w:suppressAutoHyphens/>
              <w:spacing w:after="0" w:line="240" w:lineRule="auto"/>
              <w:ind w:right="-5"/>
              <w:jc w:val="right"/>
              <w:rPr>
                <w:rFonts w:ascii="Calibri" w:eastAsia="Times New Roman" w:hAnsi="Calibri" w:cs="Arial"/>
                <w:b/>
                <w:sz w:val="20"/>
                <w:szCs w:val="20"/>
                <w:lang w:val="en-US"/>
              </w:rPr>
            </w:pPr>
            <w:r w:rsidRPr="001B1B87">
              <w:rPr>
                <w:b/>
                <w:bCs/>
                <w:sz w:val="20"/>
                <w:szCs w:val="20"/>
              </w:rPr>
              <w:t>17</w:t>
            </w:r>
            <w:r>
              <w:rPr>
                <w:b/>
                <w:bCs/>
                <w:sz w:val="20"/>
                <w:szCs w:val="20"/>
              </w:rPr>
              <w:t>,</w:t>
            </w:r>
            <w:r w:rsidRPr="001B1B87">
              <w:rPr>
                <w:b/>
                <w:bCs/>
                <w:sz w:val="20"/>
                <w:szCs w:val="20"/>
              </w:rPr>
              <w:t>682</w:t>
            </w:r>
            <w:r>
              <w:rPr>
                <w:b/>
                <w:bCs/>
                <w:sz w:val="20"/>
                <w:szCs w:val="20"/>
              </w:rPr>
              <w:t>,</w:t>
            </w:r>
            <w:r w:rsidRPr="001B1B87">
              <w:rPr>
                <w:b/>
                <w:bCs/>
                <w:sz w:val="20"/>
                <w:szCs w:val="20"/>
              </w:rPr>
              <w:t>259</w:t>
            </w:r>
          </w:p>
        </w:tc>
      </w:tr>
    </w:tbl>
    <w:p w14:paraId="22031705"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p w14:paraId="6B96F1BB"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p w14:paraId="18C487C0" w14:textId="77777777" w:rsidR="00292301" w:rsidRPr="00537128" w:rsidRDefault="00292301" w:rsidP="008330AF">
      <w:pPr>
        <w:spacing w:after="0" w:line="240" w:lineRule="auto"/>
        <w:jc w:val="both"/>
        <w:rPr>
          <w:rFonts w:eastAsia="Times New Roman" w:cstheme="minorHAnsi"/>
          <w:b/>
          <w:bCs/>
          <w:iCs/>
          <w:color w:val="000000" w:themeColor="text1"/>
          <w:lang w:val="en-US"/>
        </w:rPr>
        <w:sectPr w:rsidR="00292301" w:rsidRPr="00537128" w:rsidSect="00712478">
          <w:pgSz w:w="11906" w:h="16838"/>
          <w:pgMar w:top="1418" w:right="1134" w:bottom="1418" w:left="1418" w:header="709" w:footer="709" w:gutter="0"/>
          <w:cols w:space="708"/>
          <w:docGrid w:linePitch="360"/>
        </w:sectPr>
      </w:pPr>
    </w:p>
    <w:p w14:paraId="46988B1E"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651DEAD8" w14:textId="77777777" w:rsidR="00292301" w:rsidRPr="00537128" w:rsidRDefault="00292301">
      <w:pPr>
        <w:pStyle w:val="ListParagraph"/>
        <w:numPr>
          <w:ilvl w:val="0"/>
          <w:numId w:val="58"/>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47C73E5B"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41AFF363" w14:textId="69EA8F3E" w:rsidR="00292301" w:rsidRPr="00537128" w:rsidRDefault="00B357CE" w:rsidP="00292301">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 xml:space="preserve">.5. </w:t>
      </w:r>
      <w:r w:rsidR="00292301" w:rsidRPr="00537128">
        <w:rPr>
          <w:rFonts w:eastAsia="Times New Roman" w:cstheme="minorHAnsi"/>
          <w:b/>
          <w:iCs/>
          <w:color w:val="000000" w:themeColor="text1"/>
          <w:lang w:val="en-US"/>
        </w:rPr>
        <w:tab/>
        <w:t>Market risk (continued)</w:t>
      </w:r>
    </w:p>
    <w:p w14:paraId="1618FE00"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57D50217" w14:textId="66861D6E" w:rsidR="00292301" w:rsidRPr="00537128" w:rsidRDefault="00B357CE" w:rsidP="00292301">
      <w:pPr>
        <w:spacing w:after="0" w:line="240" w:lineRule="auto"/>
        <w:jc w:val="both"/>
        <w:rPr>
          <w:rFonts w:ascii="Calibri" w:eastAsia="Calibri" w:hAnsi="Calibri" w:cs="Arial"/>
          <w:b/>
          <w:bCs/>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.5.1.   Interest</w:t>
      </w:r>
      <w:r w:rsidR="00292301" w:rsidRPr="00537128">
        <w:rPr>
          <w:rFonts w:ascii="Calibri" w:eastAsia="Calibri" w:hAnsi="Calibri" w:cs="Arial"/>
          <w:b/>
          <w:bCs/>
          <w:lang w:val="en-US"/>
        </w:rPr>
        <w:t xml:space="preserve"> rate risk </w:t>
      </w:r>
      <w:r w:rsidR="00292301" w:rsidRPr="00537128">
        <w:rPr>
          <w:rFonts w:eastAsia="Times New Roman" w:cstheme="minorHAnsi"/>
          <w:b/>
          <w:iCs/>
          <w:color w:val="000000" w:themeColor="text1"/>
          <w:lang w:val="en-US"/>
        </w:rPr>
        <w:t>(continued)</w:t>
      </w:r>
    </w:p>
    <w:p w14:paraId="21BE201F" w14:textId="77777777" w:rsidR="00292301" w:rsidRPr="00537128" w:rsidRDefault="00292301" w:rsidP="00292301">
      <w:pPr>
        <w:spacing w:after="0" w:line="240" w:lineRule="auto"/>
        <w:jc w:val="both"/>
        <w:rPr>
          <w:rFonts w:eastAsia="Times New Roman" w:cstheme="minorHAnsi"/>
          <w:b/>
          <w:bCs/>
          <w:iCs/>
          <w:color w:val="000000" w:themeColor="text1"/>
          <w:lang w:val="en-US"/>
        </w:rPr>
      </w:pPr>
    </w:p>
    <w:p w14:paraId="15E31118" w14:textId="77777777" w:rsidR="00292301" w:rsidRPr="00537128" w:rsidRDefault="00292301" w:rsidP="00292301">
      <w:pPr>
        <w:spacing w:after="0" w:line="240" w:lineRule="auto"/>
        <w:jc w:val="both"/>
        <w:rPr>
          <w:rFonts w:ascii="Calibri" w:eastAsia="Calibri" w:hAnsi="Calibri" w:cs="Arial"/>
          <w:b/>
          <w:bCs/>
          <w:lang w:val="en-US"/>
        </w:rPr>
      </w:pPr>
      <w:r w:rsidRPr="00537128">
        <w:rPr>
          <w:rFonts w:ascii="Calibri" w:eastAsia="Calibri" w:hAnsi="Calibri" w:cs="Arial"/>
          <w:b/>
          <w:bCs/>
          <w:lang w:val="en-US"/>
        </w:rPr>
        <w:t>Sensitivity analysis</w:t>
      </w:r>
    </w:p>
    <w:p w14:paraId="4313724D" w14:textId="77777777" w:rsidR="00292301" w:rsidRPr="00537128" w:rsidRDefault="00292301" w:rsidP="00292301">
      <w:pPr>
        <w:spacing w:after="0" w:line="240" w:lineRule="auto"/>
        <w:jc w:val="both"/>
        <w:rPr>
          <w:rFonts w:ascii="Calibri" w:eastAsia="Calibri" w:hAnsi="Calibri" w:cs="Arial"/>
          <w:bCs/>
          <w:lang w:val="en-US"/>
        </w:rPr>
      </w:pPr>
    </w:p>
    <w:p w14:paraId="5C14D0BC" w14:textId="77777777" w:rsidR="00292301" w:rsidRPr="00537128" w:rsidRDefault="00292301" w:rsidP="00292301">
      <w:pPr>
        <w:spacing w:after="0" w:line="240" w:lineRule="auto"/>
        <w:jc w:val="both"/>
        <w:rPr>
          <w:rFonts w:ascii="Calibri" w:eastAsia="Calibri" w:hAnsi="Calibri" w:cs="Arial"/>
          <w:bCs/>
          <w:lang w:val="en-US"/>
        </w:rPr>
      </w:pPr>
      <w:r w:rsidRPr="00537128">
        <w:rPr>
          <w:rFonts w:ascii="Calibri" w:eastAsia="Calibri" w:hAnsi="Calibri" w:cs="Arial"/>
          <w:bCs/>
          <w:lang w:val="en-US"/>
        </w:rPr>
        <w:t xml:space="preserve">Assumptions used in preparing the interest risk sensitivity analysis relate to possible changes in reference interest rates </w:t>
      </w:r>
      <w:proofErr w:type="gramStart"/>
      <w:r w:rsidRPr="00537128">
        <w:rPr>
          <w:rFonts w:ascii="Calibri" w:eastAsia="Calibri" w:hAnsi="Calibri" w:cs="Arial"/>
          <w:bCs/>
          <w:lang w:val="en-US"/>
        </w:rPr>
        <w:t>in order to</w:t>
      </w:r>
      <w:proofErr w:type="gramEnd"/>
      <w:r w:rsidRPr="00537128">
        <w:rPr>
          <w:rFonts w:ascii="Calibri" w:eastAsia="Calibri" w:hAnsi="Calibri" w:cs="Arial"/>
          <w:bCs/>
          <w:lang w:val="en-US"/>
        </w:rPr>
        <w:t xml:space="preserve"> assess the hypothetical effect on HBOR’s profit.</w:t>
      </w:r>
    </w:p>
    <w:p w14:paraId="25989131" w14:textId="77777777" w:rsidR="00292301" w:rsidRPr="00537128" w:rsidRDefault="00292301" w:rsidP="004F0274">
      <w:pPr>
        <w:spacing w:after="0" w:line="240" w:lineRule="auto"/>
        <w:jc w:val="both"/>
        <w:rPr>
          <w:rFonts w:ascii="Calibri" w:eastAsia="Calibri" w:hAnsi="Calibri" w:cs="Arial"/>
          <w:bCs/>
          <w:lang w:val="en-US"/>
        </w:rPr>
      </w:pPr>
    </w:p>
    <w:p w14:paraId="6906D6EC" w14:textId="77777777" w:rsidR="00292301" w:rsidRPr="00537128" w:rsidRDefault="00D86016" w:rsidP="004F0274">
      <w:pPr>
        <w:spacing w:after="0" w:line="240" w:lineRule="auto"/>
        <w:jc w:val="both"/>
        <w:rPr>
          <w:rFonts w:ascii="Calibri" w:eastAsia="Calibri" w:hAnsi="Calibri" w:cs="Arial"/>
          <w:bCs/>
          <w:lang w:val="en-US"/>
        </w:rPr>
      </w:pPr>
      <w:r w:rsidRPr="00537128">
        <w:rPr>
          <w:rFonts w:ascii="Calibri" w:eastAsia="Calibri" w:hAnsi="Calibri" w:cs="Arial"/>
          <w:bCs/>
          <w:lang w:val="en-US"/>
        </w:rPr>
        <w:t xml:space="preserve">Volatility of reference interest rates in the previous 12 months comparing to the reporting date </w:t>
      </w:r>
      <w:r w:rsidR="00292301" w:rsidRPr="00537128">
        <w:rPr>
          <w:rFonts w:ascii="Calibri" w:eastAsia="Calibri" w:hAnsi="Calibri" w:cs="Arial"/>
          <w:bCs/>
          <w:lang w:val="en-US"/>
        </w:rPr>
        <w:t xml:space="preserve">has been determined using the standard deviation method on the daily changes of the reference interest rates linked to EUR and USD. </w:t>
      </w:r>
      <w:proofErr w:type="gramStart"/>
      <w:r w:rsidR="00292301" w:rsidRPr="00537128">
        <w:rPr>
          <w:rFonts w:ascii="Calibri" w:eastAsia="Calibri" w:hAnsi="Calibri" w:cs="Arial"/>
          <w:bCs/>
          <w:lang w:val="en-US"/>
        </w:rPr>
        <w:t>On the basis of</w:t>
      </w:r>
      <w:proofErr w:type="gramEnd"/>
      <w:r w:rsidR="00292301" w:rsidRPr="00537128">
        <w:rPr>
          <w:rFonts w:ascii="Calibri" w:eastAsia="Calibri" w:hAnsi="Calibri" w:cs="Arial"/>
          <w:bCs/>
          <w:lang w:val="en-US"/>
        </w:rPr>
        <w:t xml:space="preserve"> the above volatility, possible changes in reference interest rates linked to EUR and USD have been established and used in the sensitivity analysis.</w:t>
      </w:r>
    </w:p>
    <w:p w14:paraId="466FF892" w14:textId="77777777" w:rsidR="00292301" w:rsidRPr="00537128" w:rsidRDefault="00292301" w:rsidP="00292301">
      <w:pPr>
        <w:spacing w:after="0" w:line="240" w:lineRule="auto"/>
        <w:jc w:val="both"/>
        <w:rPr>
          <w:rFonts w:ascii="Calibri" w:eastAsia="Calibri" w:hAnsi="Calibri" w:cs="Arial"/>
          <w:bCs/>
          <w:lang w:val="en-US"/>
        </w:rPr>
      </w:pPr>
    </w:p>
    <w:p w14:paraId="509FD4E7" w14:textId="77777777" w:rsidR="00292301" w:rsidRPr="00537128" w:rsidRDefault="00292301" w:rsidP="00292301">
      <w:pPr>
        <w:spacing w:after="0" w:line="240" w:lineRule="auto"/>
        <w:jc w:val="both"/>
        <w:rPr>
          <w:rFonts w:ascii="Calibri" w:eastAsia="Calibri" w:hAnsi="Calibri" w:cs="Arial"/>
          <w:bCs/>
          <w:lang w:val="en-US"/>
        </w:rPr>
      </w:pPr>
      <w:r w:rsidRPr="00537128">
        <w:rPr>
          <w:rFonts w:ascii="Calibri" w:eastAsia="Calibri" w:hAnsi="Calibri" w:cs="Arial"/>
          <w:bCs/>
          <w:lang w:val="en-US"/>
        </w:rPr>
        <w:t>The analysis presents the sensitivity of interest rates to reasonably expected changes in basis points of variable interest rates. All other variables remain constant.</w:t>
      </w:r>
    </w:p>
    <w:p w14:paraId="1EB76FEC" w14:textId="77777777" w:rsidR="00292301" w:rsidRPr="00537128" w:rsidRDefault="00292301" w:rsidP="00292301">
      <w:pPr>
        <w:spacing w:after="0" w:line="240" w:lineRule="auto"/>
        <w:jc w:val="both"/>
        <w:rPr>
          <w:rFonts w:ascii="Calibri" w:eastAsia="Calibri" w:hAnsi="Calibri" w:cs="Arial"/>
          <w:bCs/>
          <w:lang w:val="en-US"/>
        </w:rPr>
      </w:pPr>
    </w:p>
    <w:p w14:paraId="7E4D6794" w14:textId="77777777" w:rsidR="00292301" w:rsidRPr="00537128" w:rsidRDefault="00292301" w:rsidP="00292301">
      <w:pPr>
        <w:spacing w:after="0" w:line="240" w:lineRule="auto"/>
        <w:jc w:val="both"/>
        <w:rPr>
          <w:rFonts w:ascii="Calibri" w:eastAsia="Calibri" w:hAnsi="Calibri" w:cs="Arial"/>
          <w:bCs/>
          <w:lang w:val="en-US"/>
        </w:rPr>
      </w:pPr>
      <w:r w:rsidRPr="00537128">
        <w:rPr>
          <w:rFonts w:ascii="Calibri" w:eastAsia="Calibri" w:hAnsi="Calibri" w:cs="Arial"/>
          <w:bCs/>
          <w:lang w:val="en-US"/>
        </w:rPr>
        <w:t>The sensitivity of profit is influenced by hypothetical changes in interest rates during a period of one year based on interest bearing assets and liabilities with a variable interest rate.</w:t>
      </w:r>
    </w:p>
    <w:p w14:paraId="7A8B9777" w14:textId="77777777" w:rsidR="00292301" w:rsidRPr="00537128" w:rsidRDefault="00292301" w:rsidP="00292301">
      <w:pPr>
        <w:spacing w:after="0" w:line="240" w:lineRule="auto"/>
        <w:jc w:val="both"/>
        <w:rPr>
          <w:rFonts w:ascii="Calibri" w:eastAsia="Calibri" w:hAnsi="Calibri" w:cs="Arial"/>
          <w:bCs/>
          <w:lang w:val="en-US"/>
        </w:rPr>
      </w:pPr>
    </w:p>
    <w:tbl>
      <w:tblPr>
        <w:tblW w:w="5000" w:type="pct"/>
        <w:jc w:val="right"/>
        <w:tblLook w:val="01E0" w:firstRow="1" w:lastRow="1" w:firstColumn="1" w:lastColumn="1" w:noHBand="0" w:noVBand="0"/>
      </w:tblPr>
      <w:tblGrid>
        <w:gridCol w:w="2458"/>
        <w:gridCol w:w="1772"/>
        <w:gridCol w:w="1706"/>
        <w:gridCol w:w="1706"/>
        <w:gridCol w:w="1712"/>
      </w:tblGrid>
      <w:tr w:rsidR="00292301" w:rsidRPr="00537128" w14:paraId="5FB7AF2A" w14:textId="77777777" w:rsidTr="00292301">
        <w:trPr>
          <w:trHeight w:hRule="exact" w:val="546"/>
          <w:jc w:val="right"/>
        </w:trPr>
        <w:tc>
          <w:tcPr>
            <w:tcW w:w="1314" w:type="pct"/>
            <w:hideMark/>
          </w:tcPr>
          <w:p w14:paraId="583EB66D" w14:textId="77777777" w:rsidR="00292301" w:rsidRPr="00537128" w:rsidRDefault="00292301" w:rsidP="00292301">
            <w:pPr>
              <w:spacing w:before="240" w:after="120" w:line="360" w:lineRule="auto"/>
              <w:rPr>
                <w:rFonts w:ascii="Calibri" w:eastAsia="Calibri" w:hAnsi="Calibri" w:cs="Arial"/>
                <w:bCs/>
                <w:kern w:val="19"/>
                <w:sz w:val="20"/>
                <w:szCs w:val="20"/>
                <w:lang w:val="en-US"/>
              </w:rPr>
            </w:pPr>
            <w:r w:rsidRPr="00537128">
              <w:rPr>
                <w:rFonts w:ascii="Calibri" w:eastAsia="Calibri" w:hAnsi="Calibri" w:cs="Arial"/>
                <w:b/>
                <w:bCs/>
                <w:kern w:val="19"/>
                <w:sz w:val="20"/>
                <w:lang w:val="en-US"/>
              </w:rPr>
              <w:t>Currency</w:t>
            </w:r>
          </w:p>
        </w:tc>
        <w:tc>
          <w:tcPr>
            <w:tcW w:w="947" w:type="pct"/>
          </w:tcPr>
          <w:p w14:paraId="78E959B9" w14:textId="62CA2DD0" w:rsidR="00292301" w:rsidRPr="00537128" w:rsidRDefault="00B24550" w:rsidP="00292301">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Increase in b.</w:t>
            </w:r>
            <w:r w:rsidR="008513EE" w:rsidRPr="00537128">
              <w:rPr>
                <w:rFonts w:ascii="Calibri" w:eastAsia="Calibri" w:hAnsi="Calibri" w:cs="Arial"/>
                <w:b/>
                <w:bCs/>
                <w:kern w:val="19"/>
                <w:sz w:val="20"/>
                <w:lang w:val="en-US"/>
              </w:rPr>
              <w:t xml:space="preserve"> </w:t>
            </w:r>
            <w:r w:rsidRPr="00537128">
              <w:rPr>
                <w:rFonts w:ascii="Calibri" w:eastAsia="Calibri" w:hAnsi="Calibri" w:cs="Arial"/>
                <w:b/>
                <w:bCs/>
                <w:kern w:val="19"/>
                <w:sz w:val="20"/>
                <w:lang w:val="en-US"/>
              </w:rPr>
              <w:t xml:space="preserve">p. </w:t>
            </w:r>
            <w:r w:rsidR="006A5067" w:rsidRPr="00537128">
              <w:rPr>
                <w:rFonts w:ascii="Calibri" w:eastAsia="Calibri" w:hAnsi="Calibri" w:cs="Arial"/>
                <w:b/>
                <w:bCs/>
                <w:kern w:val="19"/>
                <w:sz w:val="20"/>
                <w:lang w:val="en-US"/>
              </w:rPr>
              <w:t>Mar</w:t>
            </w:r>
            <w:r w:rsidR="00E20F52" w:rsidRPr="00537128">
              <w:rPr>
                <w:rFonts w:ascii="Calibri" w:eastAsia="Calibri" w:hAnsi="Calibri" w:cs="Arial"/>
                <w:b/>
                <w:bCs/>
                <w:kern w:val="19"/>
                <w:sz w:val="20"/>
                <w:lang w:val="en-US"/>
              </w:rPr>
              <w:t xml:space="preserve"> 3</w:t>
            </w:r>
            <w:r w:rsidR="006A5067" w:rsidRPr="00537128">
              <w:rPr>
                <w:rFonts w:ascii="Calibri" w:eastAsia="Calibri" w:hAnsi="Calibri" w:cs="Arial"/>
                <w:b/>
                <w:bCs/>
                <w:kern w:val="19"/>
                <w:sz w:val="20"/>
                <w:lang w:val="en-US"/>
              </w:rPr>
              <w:t>1</w:t>
            </w:r>
            <w:r w:rsidR="00D86016" w:rsidRPr="00537128">
              <w:rPr>
                <w:rFonts w:ascii="Calibri" w:eastAsia="Calibri" w:hAnsi="Calibri" w:cs="Arial"/>
                <w:b/>
                <w:bCs/>
                <w:kern w:val="19"/>
                <w:sz w:val="20"/>
                <w:lang w:val="en-US"/>
              </w:rPr>
              <w:t>,</w:t>
            </w:r>
            <w:r w:rsidR="00E20F52" w:rsidRPr="00537128">
              <w:rPr>
                <w:rFonts w:ascii="Calibri" w:eastAsia="Calibri" w:hAnsi="Calibri" w:cs="Arial"/>
                <w:b/>
                <w:bCs/>
                <w:kern w:val="19"/>
                <w:sz w:val="20"/>
                <w:lang w:val="en-US"/>
              </w:rPr>
              <w:t xml:space="preserve"> </w:t>
            </w:r>
            <w:r w:rsidR="00D86016" w:rsidRPr="00537128">
              <w:rPr>
                <w:rFonts w:ascii="Calibri" w:eastAsia="Calibri" w:hAnsi="Calibri" w:cs="Arial"/>
                <w:b/>
                <w:bCs/>
                <w:kern w:val="19"/>
                <w:sz w:val="20"/>
                <w:lang w:val="en-US"/>
              </w:rPr>
              <w:t>202</w:t>
            </w:r>
            <w:r w:rsidR="00661363">
              <w:rPr>
                <w:rFonts w:ascii="Calibri" w:eastAsia="Calibri" w:hAnsi="Calibri" w:cs="Arial"/>
                <w:b/>
                <w:bCs/>
                <w:kern w:val="19"/>
                <w:sz w:val="20"/>
                <w:lang w:val="en-US"/>
              </w:rPr>
              <w:t>2</w:t>
            </w:r>
          </w:p>
          <w:p w14:paraId="2B23FE27" w14:textId="77777777" w:rsidR="00292301" w:rsidRPr="00537128" w:rsidRDefault="00292301" w:rsidP="00292301">
            <w:pPr>
              <w:spacing w:after="0" w:line="0" w:lineRule="atLeast"/>
              <w:jc w:val="right"/>
              <w:rPr>
                <w:rFonts w:ascii="Calibri" w:eastAsia="Calibri" w:hAnsi="Calibri" w:cs="Arial"/>
                <w:b/>
                <w:bCs/>
                <w:kern w:val="19"/>
                <w:sz w:val="20"/>
                <w:lang w:val="en-US"/>
              </w:rPr>
            </w:pPr>
          </w:p>
        </w:tc>
        <w:tc>
          <w:tcPr>
            <w:tcW w:w="912" w:type="pct"/>
            <w:hideMark/>
          </w:tcPr>
          <w:p w14:paraId="1ED9E008" w14:textId="77777777" w:rsidR="00292301" w:rsidRPr="00537128" w:rsidRDefault="00292301" w:rsidP="00292301">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Effect on profit</w:t>
            </w:r>
          </w:p>
          <w:p w14:paraId="27745FC9" w14:textId="6B275792" w:rsidR="00292301" w:rsidRPr="00537128" w:rsidRDefault="006A5067" w:rsidP="00292301">
            <w:pPr>
              <w:spacing w:after="0" w:line="0" w:lineRule="atLeast"/>
              <w:jc w:val="right"/>
              <w:rPr>
                <w:rFonts w:ascii="Calibri" w:eastAsia="Calibri" w:hAnsi="Calibri" w:cs="Arial"/>
                <w:b/>
                <w:kern w:val="19"/>
                <w:sz w:val="20"/>
                <w:lang w:val="en-US"/>
              </w:rPr>
            </w:pPr>
            <w:r w:rsidRPr="00537128">
              <w:rPr>
                <w:rFonts w:ascii="Calibri" w:eastAsia="Calibri" w:hAnsi="Calibri" w:cs="Arial"/>
                <w:b/>
                <w:bCs/>
                <w:kern w:val="19"/>
                <w:sz w:val="20"/>
                <w:lang w:val="en-US"/>
              </w:rPr>
              <w:t>Mar 31, 202</w:t>
            </w:r>
            <w:r w:rsidR="00661363">
              <w:rPr>
                <w:rFonts w:ascii="Calibri" w:eastAsia="Calibri" w:hAnsi="Calibri" w:cs="Arial"/>
                <w:b/>
                <w:bCs/>
                <w:kern w:val="19"/>
                <w:sz w:val="20"/>
                <w:lang w:val="en-US"/>
              </w:rPr>
              <w:t>2</w:t>
            </w:r>
          </w:p>
        </w:tc>
        <w:tc>
          <w:tcPr>
            <w:tcW w:w="912" w:type="pct"/>
          </w:tcPr>
          <w:p w14:paraId="368B636F" w14:textId="77777777" w:rsidR="00D86016" w:rsidRPr="00537128" w:rsidRDefault="00292301" w:rsidP="00D86016">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Increase in b.</w:t>
            </w:r>
            <w:r w:rsidR="008513EE" w:rsidRPr="00537128">
              <w:rPr>
                <w:rFonts w:ascii="Calibri" w:eastAsia="Calibri" w:hAnsi="Calibri" w:cs="Arial"/>
                <w:b/>
                <w:bCs/>
                <w:kern w:val="19"/>
                <w:sz w:val="20"/>
                <w:lang w:val="en-US"/>
              </w:rPr>
              <w:t xml:space="preserve"> </w:t>
            </w:r>
            <w:r w:rsidRPr="00537128">
              <w:rPr>
                <w:rFonts w:ascii="Calibri" w:eastAsia="Calibri" w:hAnsi="Calibri" w:cs="Arial"/>
                <w:b/>
                <w:bCs/>
                <w:kern w:val="19"/>
                <w:sz w:val="20"/>
                <w:lang w:val="en-US"/>
              </w:rPr>
              <w:t xml:space="preserve">p. </w:t>
            </w:r>
          </w:p>
          <w:p w14:paraId="1C7262C2" w14:textId="66E5C1C1" w:rsidR="00292301" w:rsidRPr="00537128" w:rsidRDefault="00D86016" w:rsidP="00292301">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Dec 31, 20</w:t>
            </w:r>
            <w:r w:rsidR="006A5067" w:rsidRPr="00537128">
              <w:rPr>
                <w:rFonts w:ascii="Calibri" w:eastAsia="Calibri" w:hAnsi="Calibri" w:cs="Arial"/>
                <w:b/>
                <w:bCs/>
                <w:kern w:val="19"/>
                <w:sz w:val="20"/>
                <w:lang w:val="en-US"/>
              </w:rPr>
              <w:t>2</w:t>
            </w:r>
            <w:r w:rsidR="00661363">
              <w:rPr>
                <w:rFonts w:ascii="Calibri" w:eastAsia="Calibri" w:hAnsi="Calibri" w:cs="Arial"/>
                <w:b/>
                <w:bCs/>
                <w:kern w:val="19"/>
                <w:sz w:val="20"/>
                <w:lang w:val="en-US"/>
              </w:rPr>
              <w:t>1</w:t>
            </w:r>
          </w:p>
        </w:tc>
        <w:tc>
          <w:tcPr>
            <w:tcW w:w="915" w:type="pct"/>
            <w:hideMark/>
          </w:tcPr>
          <w:p w14:paraId="6B436040" w14:textId="77777777" w:rsidR="00292301" w:rsidRPr="00537128" w:rsidRDefault="00292301" w:rsidP="00292301">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Effect on profit</w:t>
            </w:r>
          </w:p>
          <w:p w14:paraId="12D064CC" w14:textId="162CD46D" w:rsidR="00292301" w:rsidRPr="00537128" w:rsidRDefault="006A5067" w:rsidP="00292301">
            <w:pPr>
              <w:spacing w:after="0" w:line="0" w:lineRule="atLeast"/>
              <w:jc w:val="right"/>
              <w:rPr>
                <w:rFonts w:ascii="Calibri" w:eastAsia="Calibri" w:hAnsi="Calibri" w:cs="Arial"/>
                <w:b/>
                <w:kern w:val="19"/>
                <w:sz w:val="20"/>
                <w:lang w:val="en-US"/>
              </w:rPr>
            </w:pPr>
            <w:r w:rsidRPr="00537128">
              <w:rPr>
                <w:rFonts w:ascii="Calibri" w:eastAsia="Calibri" w:hAnsi="Calibri" w:cs="Arial"/>
                <w:b/>
                <w:bCs/>
                <w:kern w:val="19"/>
                <w:sz w:val="20"/>
                <w:lang w:val="en-US"/>
              </w:rPr>
              <w:t>Dec 31, 202</w:t>
            </w:r>
            <w:r w:rsidR="00661363">
              <w:rPr>
                <w:rFonts w:ascii="Calibri" w:eastAsia="Calibri" w:hAnsi="Calibri" w:cs="Arial"/>
                <w:b/>
                <w:bCs/>
                <w:kern w:val="19"/>
                <w:sz w:val="20"/>
                <w:lang w:val="en-US"/>
              </w:rPr>
              <w:t>1</w:t>
            </w:r>
          </w:p>
        </w:tc>
      </w:tr>
      <w:tr w:rsidR="00292301" w:rsidRPr="00537128" w14:paraId="7BD3F43F" w14:textId="77777777" w:rsidTr="00292301">
        <w:trPr>
          <w:trHeight w:hRule="exact" w:val="331"/>
          <w:jc w:val="right"/>
        </w:trPr>
        <w:tc>
          <w:tcPr>
            <w:tcW w:w="1314" w:type="pct"/>
          </w:tcPr>
          <w:p w14:paraId="24C7BBEC" w14:textId="77777777" w:rsidR="00292301" w:rsidRPr="00537128" w:rsidRDefault="00292301" w:rsidP="00292301">
            <w:pPr>
              <w:spacing w:before="240" w:after="120" w:line="360" w:lineRule="auto"/>
              <w:jc w:val="both"/>
              <w:rPr>
                <w:rFonts w:ascii="Calibri" w:eastAsia="Calibri" w:hAnsi="Calibri" w:cs="Arial"/>
                <w:bCs/>
                <w:kern w:val="19"/>
                <w:sz w:val="20"/>
                <w:lang w:val="en-US"/>
              </w:rPr>
            </w:pPr>
          </w:p>
        </w:tc>
        <w:tc>
          <w:tcPr>
            <w:tcW w:w="947" w:type="pct"/>
            <w:vAlign w:val="center"/>
          </w:tcPr>
          <w:p w14:paraId="1D810229" w14:textId="77777777" w:rsidR="00292301" w:rsidRPr="00537128" w:rsidRDefault="00292301" w:rsidP="00292301">
            <w:pPr>
              <w:spacing w:after="0" w:line="0" w:lineRule="atLeast"/>
              <w:jc w:val="right"/>
              <w:rPr>
                <w:rFonts w:ascii="Calibri" w:eastAsia="Calibri" w:hAnsi="Calibri" w:cs="Arial"/>
                <w:b/>
                <w:bCs/>
                <w:kern w:val="19"/>
                <w:sz w:val="20"/>
                <w:lang w:val="en-US"/>
              </w:rPr>
            </w:pPr>
          </w:p>
        </w:tc>
        <w:tc>
          <w:tcPr>
            <w:tcW w:w="912" w:type="pct"/>
            <w:vAlign w:val="center"/>
            <w:hideMark/>
          </w:tcPr>
          <w:p w14:paraId="793CA5EC" w14:textId="77777777" w:rsidR="00292301" w:rsidRPr="00537128" w:rsidRDefault="00292301" w:rsidP="00292301">
            <w:pPr>
              <w:spacing w:after="0" w:line="0" w:lineRule="atLeast"/>
              <w:jc w:val="right"/>
              <w:rPr>
                <w:rFonts w:ascii="Calibri" w:eastAsia="Calibri" w:hAnsi="Calibri" w:cs="Arial"/>
                <w:b/>
                <w:bCs/>
                <w:kern w:val="19"/>
                <w:sz w:val="20"/>
                <w:lang w:val="en-US"/>
              </w:rPr>
            </w:pPr>
            <w:r w:rsidRPr="00537128">
              <w:rPr>
                <w:rFonts w:ascii="Calibri" w:eastAsia="Calibri" w:hAnsi="Calibri" w:cs="Arial"/>
                <w:b/>
                <w:kern w:val="19"/>
                <w:sz w:val="20"/>
                <w:lang w:val="en-US"/>
              </w:rPr>
              <w:t>HRK '000</w:t>
            </w:r>
          </w:p>
        </w:tc>
        <w:tc>
          <w:tcPr>
            <w:tcW w:w="912" w:type="pct"/>
            <w:vAlign w:val="center"/>
          </w:tcPr>
          <w:p w14:paraId="26B6566E" w14:textId="77777777" w:rsidR="00292301" w:rsidRPr="00537128" w:rsidRDefault="00292301" w:rsidP="00292301">
            <w:pPr>
              <w:spacing w:after="0" w:line="0" w:lineRule="atLeast"/>
              <w:jc w:val="right"/>
              <w:rPr>
                <w:rFonts w:ascii="Calibri" w:eastAsia="Calibri" w:hAnsi="Calibri" w:cs="Arial"/>
                <w:b/>
                <w:bCs/>
                <w:kern w:val="19"/>
                <w:sz w:val="20"/>
                <w:lang w:val="en-US"/>
              </w:rPr>
            </w:pPr>
          </w:p>
        </w:tc>
        <w:tc>
          <w:tcPr>
            <w:tcW w:w="915" w:type="pct"/>
            <w:vAlign w:val="center"/>
            <w:hideMark/>
          </w:tcPr>
          <w:p w14:paraId="3C1E9201" w14:textId="77777777" w:rsidR="00292301" w:rsidRPr="00537128" w:rsidRDefault="00292301" w:rsidP="00292301">
            <w:pPr>
              <w:spacing w:after="0" w:line="0" w:lineRule="atLeast"/>
              <w:jc w:val="right"/>
              <w:rPr>
                <w:rFonts w:ascii="Calibri" w:eastAsia="Calibri" w:hAnsi="Calibri" w:cs="Arial"/>
                <w:b/>
                <w:bCs/>
                <w:kern w:val="19"/>
                <w:sz w:val="20"/>
                <w:lang w:val="en-US"/>
              </w:rPr>
            </w:pPr>
            <w:r w:rsidRPr="00537128">
              <w:rPr>
                <w:rFonts w:ascii="Calibri" w:eastAsia="Calibri" w:hAnsi="Calibri" w:cs="Arial"/>
                <w:b/>
                <w:kern w:val="19"/>
                <w:sz w:val="20"/>
                <w:lang w:val="en-US"/>
              </w:rPr>
              <w:t>HRK '000</w:t>
            </w:r>
          </w:p>
        </w:tc>
      </w:tr>
      <w:tr w:rsidR="00292301" w:rsidRPr="00537128" w14:paraId="70BA114E" w14:textId="77777777" w:rsidTr="00292301">
        <w:trPr>
          <w:trHeight w:hRule="exact" w:val="97"/>
          <w:jc w:val="right"/>
        </w:trPr>
        <w:tc>
          <w:tcPr>
            <w:tcW w:w="1314" w:type="pct"/>
            <w:vAlign w:val="center"/>
          </w:tcPr>
          <w:p w14:paraId="0D4E0475" w14:textId="77777777" w:rsidR="00292301" w:rsidRPr="00537128" w:rsidRDefault="00292301" w:rsidP="00292301">
            <w:pPr>
              <w:spacing w:after="0" w:line="360" w:lineRule="auto"/>
              <w:jc w:val="both"/>
              <w:rPr>
                <w:rFonts w:ascii="Calibri" w:eastAsia="Calibri" w:hAnsi="Calibri" w:cs="Arial"/>
                <w:bCs/>
                <w:kern w:val="19"/>
                <w:sz w:val="20"/>
                <w:lang w:val="en-US"/>
              </w:rPr>
            </w:pPr>
          </w:p>
        </w:tc>
        <w:tc>
          <w:tcPr>
            <w:tcW w:w="947" w:type="pct"/>
            <w:vAlign w:val="center"/>
          </w:tcPr>
          <w:p w14:paraId="050DC1D1" w14:textId="77777777" w:rsidR="00292301" w:rsidRPr="00537128" w:rsidRDefault="00292301" w:rsidP="00292301">
            <w:pPr>
              <w:spacing w:after="0" w:line="360" w:lineRule="auto"/>
              <w:jc w:val="right"/>
              <w:rPr>
                <w:rFonts w:ascii="Calibri" w:eastAsia="Calibri" w:hAnsi="Calibri" w:cs="Arial"/>
                <w:bCs/>
                <w:kern w:val="19"/>
                <w:sz w:val="20"/>
                <w:lang w:val="en-US"/>
              </w:rPr>
            </w:pPr>
          </w:p>
        </w:tc>
        <w:tc>
          <w:tcPr>
            <w:tcW w:w="912" w:type="pct"/>
            <w:vAlign w:val="center"/>
          </w:tcPr>
          <w:p w14:paraId="7BD12313" w14:textId="77777777" w:rsidR="00292301" w:rsidRPr="00537128" w:rsidRDefault="00292301" w:rsidP="00292301">
            <w:pPr>
              <w:spacing w:after="0" w:line="360" w:lineRule="auto"/>
              <w:jc w:val="right"/>
              <w:rPr>
                <w:rFonts w:ascii="Calibri" w:eastAsia="Calibri" w:hAnsi="Calibri" w:cs="Arial"/>
                <w:bCs/>
                <w:kern w:val="19"/>
                <w:sz w:val="20"/>
                <w:lang w:val="en-US"/>
              </w:rPr>
            </w:pPr>
          </w:p>
        </w:tc>
        <w:tc>
          <w:tcPr>
            <w:tcW w:w="912" w:type="pct"/>
            <w:vAlign w:val="center"/>
          </w:tcPr>
          <w:p w14:paraId="213B79EE" w14:textId="77777777" w:rsidR="00292301" w:rsidRPr="00537128" w:rsidRDefault="00292301" w:rsidP="00292301">
            <w:pPr>
              <w:spacing w:after="0" w:line="360" w:lineRule="auto"/>
              <w:jc w:val="right"/>
              <w:rPr>
                <w:rFonts w:ascii="Calibri" w:eastAsia="Calibri" w:hAnsi="Calibri" w:cs="Arial"/>
                <w:bCs/>
                <w:kern w:val="19"/>
                <w:sz w:val="20"/>
                <w:lang w:val="en-US"/>
              </w:rPr>
            </w:pPr>
          </w:p>
        </w:tc>
        <w:tc>
          <w:tcPr>
            <w:tcW w:w="915" w:type="pct"/>
            <w:vAlign w:val="center"/>
          </w:tcPr>
          <w:p w14:paraId="01C153D7" w14:textId="77777777" w:rsidR="00292301" w:rsidRPr="00537128" w:rsidRDefault="00292301" w:rsidP="00292301">
            <w:pPr>
              <w:spacing w:after="0" w:line="360" w:lineRule="auto"/>
              <w:jc w:val="right"/>
              <w:rPr>
                <w:rFonts w:ascii="Calibri" w:eastAsia="Calibri" w:hAnsi="Calibri" w:cs="Arial"/>
                <w:bCs/>
                <w:kern w:val="19"/>
                <w:sz w:val="20"/>
                <w:lang w:val="en-US"/>
              </w:rPr>
            </w:pPr>
          </w:p>
        </w:tc>
      </w:tr>
      <w:tr w:rsidR="00447E2C" w:rsidRPr="00537128" w14:paraId="070277EC" w14:textId="77777777" w:rsidTr="006A5067">
        <w:trPr>
          <w:trHeight w:hRule="exact" w:val="284"/>
          <w:jc w:val="right"/>
        </w:trPr>
        <w:tc>
          <w:tcPr>
            <w:tcW w:w="1314" w:type="pct"/>
            <w:vAlign w:val="bottom"/>
            <w:hideMark/>
          </w:tcPr>
          <w:p w14:paraId="2D36D201" w14:textId="77777777" w:rsidR="00447E2C" w:rsidRPr="00537128" w:rsidRDefault="00447E2C" w:rsidP="00447E2C">
            <w:pPr>
              <w:spacing w:after="0" w:line="240" w:lineRule="auto"/>
              <w:jc w:val="both"/>
              <w:rPr>
                <w:rFonts w:ascii="Calibri" w:eastAsia="Calibri" w:hAnsi="Calibri" w:cs="Arial"/>
                <w:bCs/>
                <w:kern w:val="19"/>
                <w:sz w:val="20"/>
                <w:lang w:val="en-US"/>
              </w:rPr>
            </w:pPr>
            <w:r w:rsidRPr="00537128">
              <w:rPr>
                <w:rFonts w:ascii="Calibri" w:eastAsia="Calibri" w:hAnsi="Calibri" w:cs="Arial"/>
                <w:bCs/>
                <w:kern w:val="19"/>
                <w:sz w:val="20"/>
                <w:lang w:val="en-US"/>
              </w:rPr>
              <w:t>EUR</w:t>
            </w:r>
          </w:p>
        </w:tc>
        <w:tc>
          <w:tcPr>
            <w:tcW w:w="947" w:type="pct"/>
            <w:shd w:val="clear" w:color="auto" w:fill="auto"/>
            <w:vAlign w:val="bottom"/>
          </w:tcPr>
          <w:p w14:paraId="2B2333BA" w14:textId="1FD23582" w:rsidR="00447E2C" w:rsidRPr="00537128" w:rsidRDefault="00906340" w:rsidP="00447E2C">
            <w:pPr>
              <w:spacing w:after="0" w:line="240" w:lineRule="auto"/>
              <w:jc w:val="right"/>
              <w:rPr>
                <w:rFonts w:ascii="Calibri" w:eastAsia="Calibri" w:hAnsi="Calibri" w:cs="Arial"/>
                <w:bCs/>
                <w:sz w:val="20"/>
                <w:lang w:val="en-US"/>
              </w:rPr>
            </w:pPr>
            <w:r>
              <w:rPr>
                <w:rFonts w:ascii="Calibri" w:eastAsia="Calibri" w:hAnsi="Calibri" w:cs="Arial"/>
                <w:bCs/>
                <w:sz w:val="20"/>
                <w:lang w:val="en-US"/>
              </w:rPr>
              <w:t>+6</w:t>
            </w:r>
          </w:p>
        </w:tc>
        <w:tc>
          <w:tcPr>
            <w:tcW w:w="912" w:type="pct"/>
            <w:shd w:val="clear" w:color="auto" w:fill="auto"/>
            <w:vAlign w:val="bottom"/>
          </w:tcPr>
          <w:p w14:paraId="0084255D" w14:textId="6801B465" w:rsidR="00447E2C" w:rsidRPr="00537128" w:rsidRDefault="00B83314" w:rsidP="00447E2C">
            <w:pPr>
              <w:spacing w:after="0" w:line="240" w:lineRule="auto"/>
              <w:jc w:val="right"/>
              <w:rPr>
                <w:rFonts w:ascii="Calibri" w:eastAsia="Calibri" w:hAnsi="Calibri" w:cs="Arial"/>
                <w:bCs/>
                <w:sz w:val="20"/>
                <w:lang w:val="en-US"/>
              </w:rPr>
            </w:pPr>
            <w:r>
              <w:rPr>
                <w:rFonts w:ascii="Calibri" w:eastAsia="Calibri" w:hAnsi="Calibri" w:cs="Arial"/>
                <w:bCs/>
                <w:sz w:val="20"/>
                <w:lang w:val="en-US"/>
              </w:rPr>
              <w:t>-</w:t>
            </w:r>
            <w:r w:rsidR="00F730FF">
              <w:rPr>
                <w:rStyle w:val="FootnoteReference"/>
                <w:rFonts w:ascii="Calibri" w:eastAsia="Calibri" w:hAnsi="Calibri" w:cs="Arial"/>
                <w:bCs/>
                <w:sz w:val="20"/>
                <w:lang w:val="en-US"/>
              </w:rPr>
              <w:footnoteReference w:id="2"/>
            </w:r>
          </w:p>
        </w:tc>
        <w:tc>
          <w:tcPr>
            <w:tcW w:w="912" w:type="pct"/>
            <w:shd w:val="clear" w:color="auto" w:fill="auto"/>
            <w:vAlign w:val="bottom"/>
            <w:hideMark/>
          </w:tcPr>
          <w:p w14:paraId="689A1C80" w14:textId="334FC389" w:rsidR="00447E2C" w:rsidRPr="00537128" w:rsidRDefault="00447E2C" w:rsidP="00447E2C">
            <w:pPr>
              <w:spacing w:after="0" w:line="240" w:lineRule="auto"/>
              <w:jc w:val="right"/>
              <w:rPr>
                <w:rFonts w:ascii="Calibri" w:eastAsia="Calibri" w:hAnsi="Calibri" w:cs="Arial"/>
                <w:bCs/>
                <w:sz w:val="20"/>
                <w:lang w:val="en-US"/>
              </w:rPr>
            </w:pPr>
            <w:r w:rsidRPr="000239F2">
              <w:rPr>
                <w:rFonts w:cs="Arial"/>
                <w:color w:val="000000" w:themeColor="text1"/>
                <w:sz w:val="20"/>
              </w:rPr>
              <w:t>+6</w:t>
            </w:r>
          </w:p>
        </w:tc>
        <w:tc>
          <w:tcPr>
            <w:tcW w:w="915" w:type="pct"/>
            <w:shd w:val="clear" w:color="auto" w:fill="auto"/>
            <w:vAlign w:val="bottom"/>
            <w:hideMark/>
          </w:tcPr>
          <w:p w14:paraId="7B4451C9" w14:textId="67A0F005" w:rsidR="00447E2C" w:rsidRPr="00537128" w:rsidRDefault="00447E2C" w:rsidP="00447E2C">
            <w:pPr>
              <w:spacing w:after="0" w:line="240" w:lineRule="auto"/>
              <w:jc w:val="right"/>
              <w:rPr>
                <w:rFonts w:ascii="Calibri" w:eastAsia="Calibri" w:hAnsi="Calibri" w:cs="Arial"/>
                <w:bCs/>
                <w:sz w:val="20"/>
                <w:lang w:val="en-US"/>
              </w:rPr>
            </w:pPr>
            <w:r w:rsidRPr="000239F2">
              <w:rPr>
                <w:rFonts w:cs="Arial"/>
                <w:color w:val="000000" w:themeColor="text1"/>
                <w:sz w:val="20"/>
              </w:rPr>
              <w:t>-</w:t>
            </w:r>
            <w:r w:rsidRPr="000239F2">
              <w:rPr>
                <w:rStyle w:val="FootnoteReference"/>
                <w:rFonts w:cs="Arial"/>
                <w:color w:val="000000" w:themeColor="text1"/>
                <w:sz w:val="20"/>
              </w:rPr>
              <w:footnoteReference w:id="3"/>
            </w:r>
          </w:p>
        </w:tc>
      </w:tr>
      <w:tr w:rsidR="00447E2C" w:rsidRPr="00537128" w14:paraId="67A69FF4" w14:textId="77777777" w:rsidTr="006A5067">
        <w:trPr>
          <w:trHeight w:hRule="exact" w:val="284"/>
          <w:jc w:val="right"/>
        </w:trPr>
        <w:tc>
          <w:tcPr>
            <w:tcW w:w="1314" w:type="pct"/>
            <w:vAlign w:val="bottom"/>
            <w:hideMark/>
          </w:tcPr>
          <w:p w14:paraId="04BF3B6E" w14:textId="77777777" w:rsidR="00447E2C" w:rsidRPr="00537128" w:rsidRDefault="00447E2C" w:rsidP="00447E2C">
            <w:pPr>
              <w:spacing w:after="0" w:line="240" w:lineRule="auto"/>
              <w:jc w:val="both"/>
              <w:rPr>
                <w:rFonts w:ascii="Calibri" w:eastAsia="Calibri" w:hAnsi="Calibri" w:cs="Arial"/>
                <w:bCs/>
                <w:kern w:val="19"/>
                <w:sz w:val="20"/>
                <w:lang w:val="en-US"/>
              </w:rPr>
            </w:pPr>
            <w:r w:rsidRPr="00537128">
              <w:rPr>
                <w:rFonts w:ascii="Calibri" w:eastAsia="Calibri" w:hAnsi="Calibri" w:cs="Arial"/>
                <w:bCs/>
                <w:kern w:val="19"/>
                <w:sz w:val="20"/>
                <w:lang w:val="en-US"/>
              </w:rPr>
              <w:t>USD</w:t>
            </w:r>
          </w:p>
        </w:tc>
        <w:tc>
          <w:tcPr>
            <w:tcW w:w="947" w:type="pct"/>
            <w:shd w:val="clear" w:color="auto" w:fill="auto"/>
            <w:vAlign w:val="bottom"/>
          </w:tcPr>
          <w:p w14:paraId="3757A242" w14:textId="7AB3855A" w:rsidR="00447E2C" w:rsidRPr="00537128" w:rsidRDefault="00B83314" w:rsidP="00447E2C">
            <w:pPr>
              <w:spacing w:after="0" w:line="240" w:lineRule="auto"/>
              <w:jc w:val="right"/>
              <w:rPr>
                <w:rFonts w:ascii="Calibri" w:eastAsia="Calibri" w:hAnsi="Calibri" w:cs="Arial"/>
                <w:bCs/>
                <w:sz w:val="20"/>
                <w:lang w:val="en-US"/>
              </w:rPr>
            </w:pPr>
            <w:r>
              <w:rPr>
                <w:rFonts w:ascii="Calibri" w:eastAsia="Calibri" w:hAnsi="Calibri" w:cs="Arial"/>
                <w:bCs/>
                <w:sz w:val="20"/>
                <w:lang w:val="en-US"/>
              </w:rPr>
              <w:t>+56</w:t>
            </w:r>
          </w:p>
        </w:tc>
        <w:tc>
          <w:tcPr>
            <w:tcW w:w="912" w:type="pct"/>
            <w:shd w:val="clear" w:color="auto" w:fill="auto"/>
            <w:vAlign w:val="bottom"/>
          </w:tcPr>
          <w:p w14:paraId="37F899C4" w14:textId="2FF8C833" w:rsidR="00447E2C" w:rsidRPr="00537128" w:rsidRDefault="0094194F" w:rsidP="00447E2C">
            <w:pPr>
              <w:spacing w:after="0" w:line="240" w:lineRule="auto"/>
              <w:jc w:val="right"/>
              <w:rPr>
                <w:rFonts w:ascii="Calibri" w:eastAsia="Calibri" w:hAnsi="Calibri" w:cs="Arial"/>
                <w:bCs/>
                <w:sz w:val="20"/>
                <w:lang w:val="en-US"/>
              </w:rPr>
            </w:pPr>
            <w:r>
              <w:rPr>
                <w:rFonts w:ascii="Calibri" w:eastAsia="Calibri" w:hAnsi="Calibri" w:cs="Arial"/>
                <w:bCs/>
                <w:sz w:val="20"/>
                <w:lang w:val="en-US"/>
              </w:rPr>
              <w:t>-</w:t>
            </w:r>
          </w:p>
        </w:tc>
        <w:tc>
          <w:tcPr>
            <w:tcW w:w="912" w:type="pct"/>
            <w:shd w:val="clear" w:color="auto" w:fill="auto"/>
            <w:vAlign w:val="bottom"/>
            <w:hideMark/>
          </w:tcPr>
          <w:p w14:paraId="572FBB3C" w14:textId="6072E9B9" w:rsidR="00447E2C" w:rsidRPr="00537128" w:rsidRDefault="00447E2C" w:rsidP="00447E2C">
            <w:pPr>
              <w:spacing w:after="0" w:line="240" w:lineRule="auto"/>
              <w:jc w:val="right"/>
              <w:rPr>
                <w:rFonts w:ascii="Calibri" w:eastAsia="Calibri" w:hAnsi="Calibri" w:cs="Arial"/>
                <w:bCs/>
                <w:sz w:val="20"/>
                <w:lang w:val="en-US"/>
              </w:rPr>
            </w:pPr>
            <w:r w:rsidRPr="000239F2">
              <w:rPr>
                <w:rFonts w:cs="Arial"/>
                <w:color w:val="000000" w:themeColor="text1"/>
                <w:sz w:val="20"/>
              </w:rPr>
              <w:t>+10</w:t>
            </w:r>
          </w:p>
        </w:tc>
        <w:tc>
          <w:tcPr>
            <w:tcW w:w="915" w:type="pct"/>
            <w:shd w:val="clear" w:color="auto" w:fill="auto"/>
            <w:vAlign w:val="bottom"/>
            <w:hideMark/>
          </w:tcPr>
          <w:p w14:paraId="5D2ECE21" w14:textId="6AB89E08" w:rsidR="00447E2C" w:rsidRPr="00537128" w:rsidRDefault="00447E2C" w:rsidP="00447E2C">
            <w:pPr>
              <w:spacing w:after="0" w:line="240" w:lineRule="auto"/>
              <w:jc w:val="right"/>
              <w:rPr>
                <w:rFonts w:ascii="Calibri" w:eastAsia="Calibri" w:hAnsi="Calibri" w:cs="Arial"/>
                <w:bCs/>
                <w:sz w:val="20"/>
                <w:lang w:val="en-US"/>
              </w:rPr>
            </w:pPr>
            <w:r w:rsidRPr="000239F2">
              <w:rPr>
                <w:rFonts w:cs="Arial"/>
                <w:color w:val="000000" w:themeColor="text1"/>
                <w:sz w:val="20"/>
              </w:rPr>
              <w:t>174</w:t>
            </w:r>
          </w:p>
        </w:tc>
      </w:tr>
      <w:tr w:rsidR="00447E2C" w:rsidRPr="00537128" w14:paraId="2CB25217" w14:textId="77777777" w:rsidTr="00292301">
        <w:trPr>
          <w:trHeight w:hRule="exact" w:val="284"/>
          <w:jc w:val="right"/>
        </w:trPr>
        <w:tc>
          <w:tcPr>
            <w:tcW w:w="1314" w:type="pct"/>
            <w:vAlign w:val="center"/>
          </w:tcPr>
          <w:p w14:paraId="7E5336EB" w14:textId="77777777" w:rsidR="00447E2C" w:rsidRPr="00537128" w:rsidRDefault="00447E2C" w:rsidP="00447E2C">
            <w:pPr>
              <w:spacing w:after="0" w:line="360" w:lineRule="auto"/>
              <w:jc w:val="both"/>
              <w:rPr>
                <w:rFonts w:ascii="Calibri" w:eastAsia="Calibri" w:hAnsi="Calibri" w:cs="Arial"/>
                <w:bCs/>
                <w:kern w:val="19"/>
                <w:sz w:val="20"/>
                <w:lang w:val="en-US"/>
              </w:rPr>
            </w:pPr>
          </w:p>
        </w:tc>
        <w:tc>
          <w:tcPr>
            <w:tcW w:w="947" w:type="pct"/>
            <w:vAlign w:val="center"/>
          </w:tcPr>
          <w:p w14:paraId="596EC90F" w14:textId="77777777" w:rsidR="00447E2C" w:rsidRPr="00537128" w:rsidRDefault="00447E2C" w:rsidP="00447E2C">
            <w:pPr>
              <w:spacing w:after="0" w:line="360" w:lineRule="auto"/>
              <w:jc w:val="right"/>
              <w:rPr>
                <w:rFonts w:ascii="Calibri" w:eastAsia="Calibri" w:hAnsi="Calibri" w:cs="Arial"/>
                <w:bCs/>
                <w:kern w:val="19"/>
                <w:sz w:val="20"/>
                <w:lang w:val="en-US"/>
              </w:rPr>
            </w:pPr>
          </w:p>
        </w:tc>
        <w:tc>
          <w:tcPr>
            <w:tcW w:w="912" w:type="pct"/>
            <w:vAlign w:val="center"/>
          </w:tcPr>
          <w:p w14:paraId="0A242FAD" w14:textId="77777777" w:rsidR="00447E2C" w:rsidRPr="00537128" w:rsidRDefault="00447E2C" w:rsidP="00447E2C">
            <w:pPr>
              <w:spacing w:after="0" w:line="360" w:lineRule="auto"/>
              <w:jc w:val="right"/>
              <w:rPr>
                <w:rFonts w:ascii="Calibri" w:eastAsia="Calibri" w:hAnsi="Calibri" w:cs="Arial"/>
                <w:bCs/>
                <w:kern w:val="19"/>
                <w:sz w:val="20"/>
                <w:lang w:val="en-US"/>
              </w:rPr>
            </w:pPr>
          </w:p>
        </w:tc>
        <w:tc>
          <w:tcPr>
            <w:tcW w:w="912" w:type="pct"/>
            <w:vAlign w:val="center"/>
          </w:tcPr>
          <w:p w14:paraId="2945B08E" w14:textId="77777777" w:rsidR="00447E2C" w:rsidRPr="00537128" w:rsidRDefault="00447E2C" w:rsidP="00447E2C">
            <w:pPr>
              <w:spacing w:after="0" w:line="360" w:lineRule="auto"/>
              <w:jc w:val="right"/>
              <w:rPr>
                <w:rFonts w:ascii="Calibri" w:eastAsia="Calibri" w:hAnsi="Calibri" w:cs="Arial"/>
                <w:bCs/>
                <w:kern w:val="19"/>
                <w:sz w:val="20"/>
                <w:lang w:val="en-US"/>
              </w:rPr>
            </w:pPr>
          </w:p>
        </w:tc>
        <w:tc>
          <w:tcPr>
            <w:tcW w:w="915" w:type="pct"/>
            <w:vAlign w:val="center"/>
          </w:tcPr>
          <w:p w14:paraId="7192ED9B" w14:textId="77777777" w:rsidR="00447E2C" w:rsidRPr="00537128" w:rsidRDefault="00447E2C" w:rsidP="00447E2C">
            <w:pPr>
              <w:spacing w:after="0" w:line="360" w:lineRule="auto"/>
              <w:jc w:val="right"/>
              <w:rPr>
                <w:rFonts w:ascii="Calibri" w:eastAsia="Calibri" w:hAnsi="Calibri" w:cs="Arial"/>
                <w:bCs/>
                <w:kern w:val="19"/>
                <w:sz w:val="20"/>
                <w:lang w:val="en-US"/>
              </w:rPr>
            </w:pPr>
          </w:p>
        </w:tc>
      </w:tr>
      <w:tr w:rsidR="00447E2C" w:rsidRPr="00537128" w14:paraId="1D57B69C" w14:textId="77777777" w:rsidTr="00292301">
        <w:trPr>
          <w:trHeight w:hRule="exact" w:val="550"/>
          <w:jc w:val="right"/>
        </w:trPr>
        <w:tc>
          <w:tcPr>
            <w:tcW w:w="1314" w:type="pct"/>
            <w:vAlign w:val="center"/>
            <w:hideMark/>
          </w:tcPr>
          <w:p w14:paraId="5003FCB8" w14:textId="77777777" w:rsidR="00447E2C" w:rsidRPr="00537128" w:rsidRDefault="00447E2C" w:rsidP="00447E2C">
            <w:pPr>
              <w:spacing w:before="240" w:after="120" w:line="360" w:lineRule="auto"/>
              <w:rPr>
                <w:rFonts w:ascii="Calibri" w:eastAsia="Calibri" w:hAnsi="Calibri" w:cs="Arial"/>
                <w:b/>
                <w:bCs/>
                <w:kern w:val="19"/>
                <w:sz w:val="20"/>
                <w:lang w:val="en-US"/>
              </w:rPr>
            </w:pPr>
            <w:r w:rsidRPr="00537128">
              <w:rPr>
                <w:rFonts w:ascii="Calibri" w:eastAsia="Calibri" w:hAnsi="Calibri" w:cs="Arial"/>
                <w:b/>
                <w:bCs/>
                <w:kern w:val="19"/>
                <w:sz w:val="20"/>
                <w:lang w:val="en-US"/>
              </w:rPr>
              <w:t>Currency</w:t>
            </w:r>
          </w:p>
        </w:tc>
        <w:tc>
          <w:tcPr>
            <w:tcW w:w="947" w:type="pct"/>
            <w:hideMark/>
          </w:tcPr>
          <w:p w14:paraId="4402F9CF" w14:textId="77777777" w:rsidR="00447E2C" w:rsidRPr="00537128" w:rsidRDefault="00447E2C" w:rsidP="00447E2C">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Decrease in b. p.</w:t>
            </w:r>
          </w:p>
          <w:p w14:paraId="4136414E" w14:textId="6B9129D2" w:rsidR="00447E2C" w:rsidRPr="00537128" w:rsidRDefault="00447E2C" w:rsidP="00447E2C">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Mar 31, 202</w:t>
            </w:r>
            <w:r>
              <w:rPr>
                <w:rFonts w:ascii="Calibri" w:eastAsia="Calibri" w:hAnsi="Calibri" w:cs="Arial"/>
                <w:b/>
                <w:bCs/>
                <w:kern w:val="19"/>
                <w:sz w:val="20"/>
                <w:lang w:val="en-US"/>
              </w:rPr>
              <w:t>2</w:t>
            </w:r>
          </w:p>
        </w:tc>
        <w:tc>
          <w:tcPr>
            <w:tcW w:w="912" w:type="pct"/>
            <w:hideMark/>
          </w:tcPr>
          <w:p w14:paraId="597435A3" w14:textId="77777777" w:rsidR="00447E2C" w:rsidRPr="00537128" w:rsidRDefault="00447E2C" w:rsidP="00447E2C">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Effect on profit</w:t>
            </w:r>
          </w:p>
          <w:p w14:paraId="5A3A820F" w14:textId="47BAC61C" w:rsidR="00447E2C" w:rsidRPr="00537128" w:rsidRDefault="00447E2C" w:rsidP="00447E2C">
            <w:pPr>
              <w:spacing w:after="0" w:line="360" w:lineRule="auto"/>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Mar 31, 202</w:t>
            </w:r>
            <w:r>
              <w:rPr>
                <w:rFonts w:ascii="Calibri" w:eastAsia="Calibri" w:hAnsi="Calibri" w:cs="Arial"/>
                <w:b/>
                <w:bCs/>
                <w:kern w:val="19"/>
                <w:sz w:val="20"/>
                <w:lang w:val="en-US"/>
              </w:rPr>
              <w:t>2</w:t>
            </w:r>
          </w:p>
        </w:tc>
        <w:tc>
          <w:tcPr>
            <w:tcW w:w="912" w:type="pct"/>
            <w:hideMark/>
          </w:tcPr>
          <w:p w14:paraId="119C5D1B" w14:textId="742966BB" w:rsidR="00447E2C" w:rsidRPr="00537128" w:rsidRDefault="00447E2C" w:rsidP="00447E2C">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Decrease in b. p. Dec 31, 202</w:t>
            </w:r>
            <w:r>
              <w:rPr>
                <w:rFonts w:ascii="Calibri" w:eastAsia="Calibri" w:hAnsi="Calibri" w:cs="Arial"/>
                <w:b/>
                <w:bCs/>
                <w:kern w:val="19"/>
                <w:sz w:val="20"/>
                <w:lang w:val="en-US"/>
              </w:rPr>
              <w:t>1</w:t>
            </w:r>
          </w:p>
        </w:tc>
        <w:tc>
          <w:tcPr>
            <w:tcW w:w="915" w:type="pct"/>
            <w:hideMark/>
          </w:tcPr>
          <w:p w14:paraId="36AC9E9D" w14:textId="77777777" w:rsidR="00447E2C" w:rsidRPr="00537128" w:rsidRDefault="00447E2C" w:rsidP="00447E2C">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Effect on profit</w:t>
            </w:r>
          </w:p>
          <w:p w14:paraId="174DC3A8" w14:textId="6EDD3230" w:rsidR="00447E2C" w:rsidRPr="00537128" w:rsidRDefault="00447E2C" w:rsidP="00447E2C">
            <w:pPr>
              <w:spacing w:after="0" w:line="360" w:lineRule="auto"/>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Dec 31, 202</w:t>
            </w:r>
            <w:r>
              <w:rPr>
                <w:rFonts w:ascii="Calibri" w:eastAsia="Calibri" w:hAnsi="Calibri" w:cs="Arial"/>
                <w:b/>
                <w:bCs/>
                <w:kern w:val="19"/>
                <w:sz w:val="20"/>
                <w:lang w:val="en-US"/>
              </w:rPr>
              <w:t>1</w:t>
            </w:r>
          </w:p>
        </w:tc>
      </w:tr>
      <w:tr w:rsidR="000B3931" w:rsidRPr="00537128" w14:paraId="780E923C" w14:textId="77777777" w:rsidTr="001240FE">
        <w:trPr>
          <w:trHeight w:hRule="exact" w:val="365"/>
          <w:jc w:val="right"/>
        </w:trPr>
        <w:tc>
          <w:tcPr>
            <w:tcW w:w="1314" w:type="pct"/>
            <w:vAlign w:val="bottom"/>
          </w:tcPr>
          <w:p w14:paraId="49054973" w14:textId="77777777" w:rsidR="000B3931" w:rsidRPr="00537128" w:rsidRDefault="000B3931" w:rsidP="000B3931">
            <w:pPr>
              <w:spacing w:after="0" w:line="360" w:lineRule="auto"/>
              <w:jc w:val="both"/>
              <w:rPr>
                <w:rFonts w:ascii="Calibri" w:eastAsia="Calibri" w:hAnsi="Calibri" w:cs="Arial"/>
                <w:b/>
                <w:bCs/>
                <w:kern w:val="19"/>
                <w:sz w:val="20"/>
                <w:lang w:val="en-US"/>
              </w:rPr>
            </w:pPr>
          </w:p>
        </w:tc>
        <w:tc>
          <w:tcPr>
            <w:tcW w:w="947" w:type="pct"/>
            <w:vAlign w:val="center"/>
          </w:tcPr>
          <w:p w14:paraId="6ADFA541" w14:textId="3829C9A6" w:rsidR="000B3931" w:rsidRPr="00537128" w:rsidRDefault="000B3931" w:rsidP="000B3931">
            <w:pPr>
              <w:spacing w:after="0" w:line="0" w:lineRule="atLeast"/>
              <w:jc w:val="right"/>
              <w:rPr>
                <w:rFonts w:ascii="Calibri" w:eastAsia="Calibri" w:hAnsi="Calibri" w:cs="Arial"/>
                <w:b/>
                <w:bCs/>
                <w:kern w:val="19"/>
                <w:sz w:val="20"/>
                <w:lang w:val="en-US"/>
              </w:rPr>
            </w:pPr>
          </w:p>
        </w:tc>
        <w:tc>
          <w:tcPr>
            <w:tcW w:w="912" w:type="pct"/>
            <w:vAlign w:val="center"/>
            <w:hideMark/>
          </w:tcPr>
          <w:p w14:paraId="20D39EB5" w14:textId="77777777" w:rsidR="000B3931" w:rsidRPr="00537128" w:rsidRDefault="000B3931" w:rsidP="000B3931">
            <w:pPr>
              <w:spacing w:after="0" w:line="0" w:lineRule="atLeast"/>
              <w:jc w:val="right"/>
              <w:rPr>
                <w:rFonts w:ascii="Calibri" w:eastAsia="Calibri" w:hAnsi="Calibri" w:cs="Arial"/>
                <w:b/>
                <w:bCs/>
                <w:kern w:val="19"/>
                <w:sz w:val="20"/>
                <w:lang w:val="en-US"/>
              </w:rPr>
            </w:pPr>
            <w:r w:rsidRPr="00537128">
              <w:rPr>
                <w:rFonts w:ascii="Calibri" w:eastAsia="Calibri" w:hAnsi="Calibri" w:cs="Arial"/>
                <w:b/>
                <w:kern w:val="19"/>
                <w:sz w:val="20"/>
                <w:lang w:val="en-US"/>
              </w:rPr>
              <w:t>HRK '000</w:t>
            </w:r>
          </w:p>
        </w:tc>
        <w:tc>
          <w:tcPr>
            <w:tcW w:w="912" w:type="pct"/>
            <w:vAlign w:val="center"/>
          </w:tcPr>
          <w:p w14:paraId="717C5566" w14:textId="3629B3E8" w:rsidR="000B3931" w:rsidRPr="00537128" w:rsidRDefault="000B3931" w:rsidP="000B3931">
            <w:pPr>
              <w:spacing w:after="0" w:line="0" w:lineRule="atLeast"/>
              <w:jc w:val="right"/>
              <w:rPr>
                <w:rFonts w:ascii="Calibri" w:eastAsia="Calibri" w:hAnsi="Calibri" w:cs="Arial"/>
                <w:b/>
                <w:bCs/>
                <w:kern w:val="19"/>
                <w:sz w:val="20"/>
                <w:lang w:val="en-US"/>
              </w:rPr>
            </w:pPr>
          </w:p>
        </w:tc>
        <w:tc>
          <w:tcPr>
            <w:tcW w:w="915" w:type="pct"/>
            <w:vAlign w:val="center"/>
            <w:hideMark/>
          </w:tcPr>
          <w:p w14:paraId="49E52D7B" w14:textId="77777777" w:rsidR="000B3931" w:rsidRPr="00537128" w:rsidRDefault="000B3931" w:rsidP="000B3931">
            <w:pPr>
              <w:spacing w:after="0" w:line="0" w:lineRule="atLeast"/>
              <w:jc w:val="right"/>
              <w:rPr>
                <w:rFonts w:ascii="Calibri" w:eastAsia="Calibri" w:hAnsi="Calibri" w:cs="Arial"/>
                <w:b/>
                <w:bCs/>
                <w:kern w:val="19"/>
                <w:sz w:val="20"/>
                <w:lang w:val="en-US"/>
              </w:rPr>
            </w:pPr>
            <w:r w:rsidRPr="00537128">
              <w:rPr>
                <w:rFonts w:ascii="Calibri" w:eastAsia="Calibri" w:hAnsi="Calibri" w:cs="Arial"/>
                <w:b/>
                <w:kern w:val="19"/>
                <w:sz w:val="20"/>
                <w:lang w:val="en-US"/>
              </w:rPr>
              <w:t>HRK '000</w:t>
            </w:r>
          </w:p>
        </w:tc>
      </w:tr>
      <w:tr w:rsidR="000B3931" w:rsidRPr="00537128" w14:paraId="73D43D8F" w14:textId="77777777" w:rsidTr="00292301">
        <w:trPr>
          <w:trHeight w:hRule="exact" w:val="113"/>
          <w:jc w:val="right"/>
        </w:trPr>
        <w:tc>
          <w:tcPr>
            <w:tcW w:w="1314" w:type="pct"/>
            <w:vAlign w:val="center"/>
          </w:tcPr>
          <w:p w14:paraId="620CFDBB" w14:textId="77777777" w:rsidR="000B3931" w:rsidRPr="00537128" w:rsidRDefault="000B3931" w:rsidP="000B3931">
            <w:pPr>
              <w:spacing w:after="0" w:line="360" w:lineRule="auto"/>
              <w:jc w:val="both"/>
              <w:rPr>
                <w:rFonts w:ascii="Calibri" w:eastAsia="Calibri" w:hAnsi="Calibri" w:cs="Arial"/>
                <w:bCs/>
                <w:kern w:val="19"/>
                <w:sz w:val="20"/>
                <w:lang w:val="en-US"/>
              </w:rPr>
            </w:pPr>
          </w:p>
        </w:tc>
        <w:tc>
          <w:tcPr>
            <w:tcW w:w="947" w:type="pct"/>
            <w:vAlign w:val="center"/>
          </w:tcPr>
          <w:p w14:paraId="276EEB8B" w14:textId="77777777" w:rsidR="000B3931" w:rsidRPr="00537128" w:rsidRDefault="000B3931" w:rsidP="000B3931">
            <w:pPr>
              <w:spacing w:after="0" w:line="360" w:lineRule="auto"/>
              <w:jc w:val="right"/>
              <w:rPr>
                <w:rFonts w:ascii="Calibri" w:eastAsia="Calibri" w:hAnsi="Calibri" w:cs="Arial"/>
                <w:bCs/>
                <w:kern w:val="19"/>
                <w:sz w:val="20"/>
                <w:lang w:val="en-US"/>
              </w:rPr>
            </w:pPr>
          </w:p>
        </w:tc>
        <w:tc>
          <w:tcPr>
            <w:tcW w:w="912" w:type="pct"/>
            <w:vAlign w:val="center"/>
          </w:tcPr>
          <w:p w14:paraId="654EE998" w14:textId="77777777" w:rsidR="000B3931" w:rsidRPr="00537128" w:rsidRDefault="000B3931" w:rsidP="000B3931">
            <w:pPr>
              <w:spacing w:after="0" w:line="360" w:lineRule="auto"/>
              <w:jc w:val="right"/>
              <w:rPr>
                <w:rFonts w:ascii="Calibri" w:eastAsia="Calibri" w:hAnsi="Calibri" w:cs="Arial"/>
                <w:bCs/>
                <w:kern w:val="19"/>
                <w:sz w:val="20"/>
                <w:lang w:val="en-US"/>
              </w:rPr>
            </w:pPr>
          </w:p>
        </w:tc>
        <w:tc>
          <w:tcPr>
            <w:tcW w:w="912" w:type="pct"/>
            <w:vAlign w:val="center"/>
          </w:tcPr>
          <w:p w14:paraId="1F644B9B" w14:textId="77777777" w:rsidR="000B3931" w:rsidRPr="00537128" w:rsidRDefault="000B3931" w:rsidP="000B3931">
            <w:pPr>
              <w:spacing w:after="0" w:line="360" w:lineRule="auto"/>
              <w:jc w:val="right"/>
              <w:rPr>
                <w:rFonts w:ascii="Calibri" w:eastAsia="Calibri" w:hAnsi="Calibri" w:cs="Arial"/>
                <w:bCs/>
                <w:kern w:val="19"/>
                <w:sz w:val="20"/>
                <w:lang w:val="en-US"/>
              </w:rPr>
            </w:pPr>
          </w:p>
        </w:tc>
        <w:tc>
          <w:tcPr>
            <w:tcW w:w="915" w:type="pct"/>
            <w:vAlign w:val="center"/>
          </w:tcPr>
          <w:p w14:paraId="65B5358D" w14:textId="77777777" w:rsidR="000B3931" w:rsidRPr="00537128" w:rsidRDefault="000B3931" w:rsidP="000B3931">
            <w:pPr>
              <w:spacing w:after="0" w:line="360" w:lineRule="auto"/>
              <w:jc w:val="right"/>
              <w:rPr>
                <w:rFonts w:ascii="Calibri" w:eastAsia="Calibri" w:hAnsi="Calibri" w:cs="Arial"/>
                <w:bCs/>
                <w:kern w:val="19"/>
                <w:sz w:val="20"/>
                <w:lang w:val="en-US"/>
              </w:rPr>
            </w:pPr>
          </w:p>
        </w:tc>
      </w:tr>
      <w:tr w:rsidR="000B3931" w:rsidRPr="00537128" w14:paraId="0B8D7796" w14:textId="77777777" w:rsidTr="00504AF8">
        <w:trPr>
          <w:trHeight w:hRule="exact" w:val="284"/>
          <w:jc w:val="right"/>
        </w:trPr>
        <w:tc>
          <w:tcPr>
            <w:tcW w:w="1314" w:type="pct"/>
            <w:vAlign w:val="center"/>
            <w:hideMark/>
          </w:tcPr>
          <w:p w14:paraId="304A80E6" w14:textId="77777777" w:rsidR="000B3931" w:rsidRPr="00537128" w:rsidRDefault="000B3931" w:rsidP="000B3931">
            <w:pPr>
              <w:spacing w:after="0" w:line="360" w:lineRule="auto"/>
              <w:jc w:val="both"/>
              <w:rPr>
                <w:rFonts w:ascii="Calibri" w:eastAsia="Calibri" w:hAnsi="Calibri" w:cs="Arial"/>
                <w:bCs/>
                <w:kern w:val="19"/>
                <w:sz w:val="20"/>
                <w:lang w:val="en-US"/>
              </w:rPr>
            </w:pPr>
            <w:r w:rsidRPr="00537128">
              <w:rPr>
                <w:rFonts w:ascii="Calibri" w:eastAsia="Calibri" w:hAnsi="Calibri" w:cs="Arial"/>
                <w:bCs/>
                <w:kern w:val="19"/>
                <w:sz w:val="20"/>
                <w:lang w:val="en-US"/>
              </w:rPr>
              <w:t>EUR</w:t>
            </w:r>
          </w:p>
        </w:tc>
        <w:tc>
          <w:tcPr>
            <w:tcW w:w="947" w:type="pct"/>
            <w:shd w:val="clear" w:color="auto" w:fill="auto"/>
            <w:vAlign w:val="bottom"/>
          </w:tcPr>
          <w:p w14:paraId="353FCB67" w14:textId="79C8AB6D" w:rsidR="000B3931" w:rsidRPr="00537128" w:rsidRDefault="00B83314" w:rsidP="000B3931">
            <w:pPr>
              <w:spacing w:after="0" w:line="360" w:lineRule="auto"/>
              <w:jc w:val="right"/>
              <w:rPr>
                <w:rFonts w:ascii="Calibri" w:eastAsia="Calibri" w:hAnsi="Calibri" w:cs="Arial"/>
                <w:bCs/>
                <w:sz w:val="20"/>
                <w:lang w:val="en-US"/>
              </w:rPr>
            </w:pPr>
            <w:r>
              <w:rPr>
                <w:rFonts w:ascii="Calibri" w:eastAsia="Calibri" w:hAnsi="Calibri" w:cs="Arial"/>
                <w:bCs/>
                <w:sz w:val="20"/>
                <w:lang w:val="en-US"/>
              </w:rPr>
              <w:t>-6</w:t>
            </w:r>
          </w:p>
        </w:tc>
        <w:tc>
          <w:tcPr>
            <w:tcW w:w="912" w:type="pct"/>
            <w:shd w:val="clear" w:color="auto" w:fill="auto"/>
            <w:vAlign w:val="bottom"/>
          </w:tcPr>
          <w:p w14:paraId="6B6AEBB5" w14:textId="5DC6957E" w:rsidR="000B3931" w:rsidRPr="00537128" w:rsidRDefault="00B83314" w:rsidP="000B3931">
            <w:pPr>
              <w:spacing w:after="0" w:line="360" w:lineRule="auto"/>
              <w:jc w:val="right"/>
              <w:rPr>
                <w:rFonts w:ascii="Calibri" w:eastAsia="Calibri" w:hAnsi="Calibri" w:cs="Arial"/>
                <w:bCs/>
                <w:sz w:val="20"/>
                <w:lang w:val="en-US"/>
              </w:rPr>
            </w:pPr>
            <w:r>
              <w:rPr>
                <w:rFonts w:ascii="Calibri" w:eastAsia="Calibri" w:hAnsi="Calibri" w:cs="Arial"/>
                <w:bCs/>
                <w:sz w:val="20"/>
                <w:lang w:val="en-US"/>
              </w:rPr>
              <w:t>-</w:t>
            </w:r>
          </w:p>
        </w:tc>
        <w:tc>
          <w:tcPr>
            <w:tcW w:w="912" w:type="pct"/>
            <w:shd w:val="clear" w:color="auto" w:fill="auto"/>
            <w:hideMark/>
          </w:tcPr>
          <w:p w14:paraId="7FE16EEB" w14:textId="52681D36" w:rsidR="000B3931" w:rsidRPr="00537128" w:rsidRDefault="000B3931" w:rsidP="000B3931">
            <w:pPr>
              <w:spacing w:after="0" w:line="360" w:lineRule="auto"/>
              <w:jc w:val="right"/>
              <w:rPr>
                <w:rFonts w:ascii="Calibri" w:eastAsia="Calibri" w:hAnsi="Calibri" w:cs="Arial"/>
                <w:bCs/>
                <w:sz w:val="20"/>
                <w:lang w:val="en-US"/>
              </w:rPr>
            </w:pPr>
            <w:r w:rsidRPr="00A710B5">
              <w:rPr>
                <w:rFonts w:cs="Arial"/>
                <w:color w:val="000000" w:themeColor="text1"/>
                <w:sz w:val="20"/>
              </w:rPr>
              <w:t>-6</w:t>
            </w:r>
          </w:p>
        </w:tc>
        <w:tc>
          <w:tcPr>
            <w:tcW w:w="915" w:type="pct"/>
            <w:shd w:val="clear" w:color="auto" w:fill="auto"/>
            <w:hideMark/>
          </w:tcPr>
          <w:p w14:paraId="06692A6E" w14:textId="432BBAB8" w:rsidR="000B3931" w:rsidRPr="00537128" w:rsidRDefault="000B3931" w:rsidP="000B3931">
            <w:pPr>
              <w:spacing w:after="0" w:line="360" w:lineRule="auto"/>
              <w:jc w:val="right"/>
              <w:rPr>
                <w:rFonts w:ascii="Calibri" w:eastAsia="Calibri" w:hAnsi="Calibri" w:cs="Arial"/>
                <w:bCs/>
                <w:sz w:val="20"/>
                <w:lang w:val="en-US"/>
              </w:rPr>
            </w:pPr>
            <w:r w:rsidRPr="000239F2">
              <w:rPr>
                <w:rFonts w:cs="Arial"/>
                <w:color w:val="000000" w:themeColor="text1"/>
                <w:sz w:val="20"/>
              </w:rPr>
              <w:t>-</w:t>
            </w:r>
          </w:p>
        </w:tc>
      </w:tr>
      <w:tr w:rsidR="000B3931" w:rsidRPr="00537128" w14:paraId="31307CC8" w14:textId="77777777" w:rsidTr="00504AF8">
        <w:trPr>
          <w:trHeight w:hRule="exact" w:val="284"/>
          <w:jc w:val="right"/>
        </w:trPr>
        <w:tc>
          <w:tcPr>
            <w:tcW w:w="1314" w:type="pct"/>
            <w:vAlign w:val="center"/>
            <w:hideMark/>
          </w:tcPr>
          <w:p w14:paraId="4D315CC1" w14:textId="77777777" w:rsidR="000B3931" w:rsidRPr="00537128" w:rsidRDefault="000B3931" w:rsidP="000B3931">
            <w:pPr>
              <w:spacing w:after="0" w:line="360" w:lineRule="auto"/>
              <w:jc w:val="both"/>
              <w:rPr>
                <w:rFonts w:ascii="Calibri" w:eastAsia="Calibri" w:hAnsi="Calibri" w:cs="Arial"/>
                <w:bCs/>
                <w:kern w:val="19"/>
                <w:sz w:val="20"/>
                <w:lang w:val="en-US"/>
              </w:rPr>
            </w:pPr>
            <w:r w:rsidRPr="00537128">
              <w:rPr>
                <w:rFonts w:ascii="Calibri" w:eastAsia="Calibri" w:hAnsi="Calibri" w:cs="Arial"/>
                <w:bCs/>
                <w:kern w:val="19"/>
                <w:sz w:val="20"/>
                <w:lang w:val="en-US"/>
              </w:rPr>
              <w:t>USD</w:t>
            </w:r>
          </w:p>
        </w:tc>
        <w:tc>
          <w:tcPr>
            <w:tcW w:w="947" w:type="pct"/>
            <w:shd w:val="clear" w:color="auto" w:fill="auto"/>
            <w:vAlign w:val="bottom"/>
          </w:tcPr>
          <w:p w14:paraId="79C038D8" w14:textId="2453BA56" w:rsidR="000B3931" w:rsidRPr="00537128" w:rsidRDefault="00B83314" w:rsidP="000B3931">
            <w:pPr>
              <w:spacing w:after="0" w:line="360" w:lineRule="auto"/>
              <w:jc w:val="right"/>
              <w:rPr>
                <w:rFonts w:ascii="Calibri" w:eastAsia="Calibri" w:hAnsi="Calibri" w:cs="Arial"/>
                <w:bCs/>
                <w:sz w:val="20"/>
                <w:lang w:val="en-US"/>
              </w:rPr>
            </w:pPr>
            <w:r>
              <w:rPr>
                <w:rFonts w:ascii="Calibri" w:eastAsia="Calibri" w:hAnsi="Calibri" w:cs="Arial"/>
                <w:bCs/>
                <w:sz w:val="20"/>
                <w:lang w:val="en-US"/>
              </w:rPr>
              <w:t>-56</w:t>
            </w:r>
          </w:p>
        </w:tc>
        <w:tc>
          <w:tcPr>
            <w:tcW w:w="912" w:type="pct"/>
            <w:shd w:val="clear" w:color="auto" w:fill="auto"/>
            <w:vAlign w:val="bottom"/>
          </w:tcPr>
          <w:p w14:paraId="5E51A36A" w14:textId="7C686DF4" w:rsidR="000B3931" w:rsidRPr="00537128" w:rsidRDefault="0040385D" w:rsidP="000B3931">
            <w:pPr>
              <w:spacing w:after="0" w:line="360" w:lineRule="auto"/>
              <w:jc w:val="right"/>
              <w:rPr>
                <w:rFonts w:ascii="Calibri" w:eastAsia="Calibri" w:hAnsi="Calibri" w:cs="Arial"/>
                <w:bCs/>
                <w:sz w:val="20"/>
                <w:lang w:val="en-US"/>
              </w:rPr>
            </w:pPr>
            <w:r>
              <w:rPr>
                <w:rFonts w:ascii="Calibri" w:eastAsia="Calibri" w:hAnsi="Calibri" w:cs="Arial"/>
                <w:bCs/>
                <w:sz w:val="20"/>
                <w:lang w:val="en-US"/>
              </w:rPr>
              <w:t>-</w:t>
            </w:r>
          </w:p>
        </w:tc>
        <w:tc>
          <w:tcPr>
            <w:tcW w:w="912" w:type="pct"/>
            <w:shd w:val="clear" w:color="auto" w:fill="auto"/>
            <w:hideMark/>
          </w:tcPr>
          <w:p w14:paraId="7CF6F78A" w14:textId="41943321" w:rsidR="000B3931" w:rsidRPr="00537128" w:rsidRDefault="000B3931" w:rsidP="000B3931">
            <w:pPr>
              <w:spacing w:after="0" w:line="360" w:lineRule="auto"/>
              <w:jc w:val="right"/>
              <w:rPr>
                <w:rFonts w:ascii="Calibri" w:eastAsia="Calibri" w:hAnsi="Calibri" w:cs="Arial"/>
                <w:bCs/>
                <w:sz w:val="20"/>
                <w:lang w:val="en-US"/>
              </w:rPr>
            </w:pPr>
            <w:r w:rsidRPr="000239F2">
              <w:rPr>
                <w:rFonts w:cs="Arial"/>
                <w:color w:val="000000" w:themeColor="text1"/>
                <w:sz w:val="20"/>
              </w:rPr>
              <w:t>-10</w:t>
            </w:r>
          </w:p>
        </w:tc>
        <w:tc>
          <w:tcPr>
            <w:tcW w:w="915" w:type="pct"/>
            <w:shd w:val="clear" w:color="auto" w:fill="auto"/>
            <w:hideMark/>
          </w:tcPr>
          <w:p w14:paraId="298367C3" w14:textId="098BD7E6" w:rsidR="000B3931" w:rsidRPr="00537128" w:rsidRDefault="000B3931" w:rsidP="000B3931">
            <w:pPr>
              <w:spacing w:after="0" w:line="360" w:lineRule="auto"/>
              <w:jc w:val="right"/>
              <w:rPr>
                <w:rFonts w:ascii="Calibri" w:eastAsia="Calibri" w:hAnsi="Calibri" w:cs="Arial"/>
                <w:bCs/>
                <w:sz w:val="20"/>
                <w:lang w:val="en-US"/>
              </w:rPr>
            </w:pPr>
            <w:r w:rsidRPr="000239F2">
              <w:rPr>
                <w:rFonts w:cs="Arial"/>
                <w:color w:val="000000" w:themeColor="text1"/>
                <w:sz w:val="20"/>
              </w:rPr>
              <w:t>(174)</w:t>
            </w:r>
          </w:p>
        </w:tc>
      </w:tr>
    </w:tbl>
    <w:p w14:paraId="2C2FCF70"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p w14:paraId="4135B9CE" w14:textId="77777777" w:rsidR="00FC4A32" w:rsidRPr="00537128" w:rsidRDefault="00FC4A32" w:rsidP="008330AF">
      <w:pPr>
        <w:spacing w:after="0" w:line="240" w:lineRule="auto"/>
        <w:jc w:val="both"/>
        <w:rPr>
          <w:rFonts w:eastAsia="Times New Roman" w:cstheme="minorHAnsi"/>
          <w:b/>
          <w:bCs/>
          <w:iCs/>
          <w:color w:val="000000" w:themeColor="text1"/>
          <w:lang w:val="en-US"/>
        </w:rPr>
      </w:pPr>
    </w:p>
    <w:p w14:paraId="4525DD91" w14:textId="77777777" w:rsidR="00FC4A32" w:rsidRPr="00537128" w:rsidRDefault="00FC4A32" w:rsidP="008330AF">
      <w:pPr>
        <w:spacing w:after="0" w:line="240" w:lineRule="auto"/>
        <w:jc w:val="both"/>
        <w:rPr>
          <w:rFonts w:eastAsia="Times New Roman" w:cstheme="minorHAnsi"/>
          <w:b/>
          <w:bCs/>
          <w:iCs/>
          <w:color w:val="000000" w:themeColor="text1"/>
          <w:lang w:val="en-US"/>
        </w:rPr>
        <w:sectPr w:rsidR="00FC4A32" w:rsidRPr="00537128" w:rsidSect="00712478">
          <w:pgSz w:w="11906" w:h="16838"/>
          <w:pgMar w:top="1418" w:right="1134" w:bottom="1418" w:left="1418" w:header="709" w:footer="709" w:gutter="0"/>
          <w:cols w:space="708"/>
          <w:docGrid w:linePitch="360"/>
        </w:sectPr>
      </w:pPr>
    </w:p>
    <w:p w14:paraId="58B1D353" w14:textId="77777777" w:rsidR="00CA7C44" w:rsidRPr="00537128" w:rsidRDefault="00CA7C44" w:rsidP="00CA7C44">
      <w:pPr>
        <w:spacing w:after="0" w:line="240" w:lineRule="auto"/>
        <w:jc w:val="both"/>
        <w:rPr>
          <w:rFonts w:eastAsia="Times New Roman" w:cstheme="minorHAnsi"/>
          <w:b/>
          <w:iCs/>
          <w:color w:val="000000" w:themeColor="text1"/>
          <w:lang w:val="en-US"/>
        </w:rPr>
      </w:pPr>
    </w:p>
    <w:p w14:paraId="3904F437" w14:textId="77777777" w:rsidR="00CA7C44" w:rsidRPr="00537128" w:rsidRDefault="00CA7C44">
      <w:pPr>
        <w:pStyle w:val="ListParagraph"/>
        <w:numPr>
          <w:ilvl w:val="0"/>
          <w:numId w:val="59"/>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0E19AC63" w14:textId="77777777" w:rsidR="00CA7C44" w:rsidRPr="00537128" w:rsidRDefault="00CA7C44" w:rsidP="00CA7C44">
      <w:pPr>
        <w:spacing w:after="0" w:line="240" w:lineRule="auto"/>
        <w:jc w:val="both"/>
        <w:rPr>
          <w:rFonts w:eastAsia="Times New Roman" w:cstheme="minorHAnsi"/>
          <w:b/>
          <w:iCs/>
          <w:color w:val="000000" w:themeColor="text1"/>
          <w:lang w:val="en-US"/>
        </w:rPr>
      </w:pPr>
    </w:p>
    <w:p w14:paraId="09F7139B" w14:textId="4223F1FB" w:rsidR="00CA7C44" w:rsidRPr="00537128" w:rsidRDefault="00B357CE" w:rsidP="00CA7C44">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CA7C44" w:rsidRPr="00537128">
        <w:rPr>
          <w:rFonts w:eastAsia="Times New Roman" w:cstheme="minorHAnsi"/>
          <w:b/>
          <w:iCs/>
          <w:color w:val="000000" w:themeColor="text1"/>
          <w:lang w:val="en-US"/>
        </w:rPr>
        <w:t xml:space="preserve">.5. </w:t>
      </w:r>
      <w:r w:rsidR="00CA7C44" w:rsidRPr="00537128">
        <w:rPr>
          <w:rFonts w:eastAsia="Times New Roman" w:cstheme="minorHAnsi"/>
          <w:b/>
          <w:iCs/>
          <w:color w:val="000000" w:themeColor="text1"/>
          <w:lang w:val="en-US"/>
        </w:rPr>
        <w:tab/>
        <w:t>Market risk (continued)</w:t>
      </w:r>
    </w:p>
    <w:p w14:paraId="66B7D947" w14:textId="77777777" w:rsidR="00CA7C44" w:rsidRPr="00537128" w:rsidRDefault="00CA7C44" w:rsidP="00CA7C44">
      <w:pPr>
        <w:spacing w:after="0" w:line="240" w:lineRule="auto"/>
        <w:jc w:val="both"/>
        <w:rPr>
          <w:rFonts w:eastAsia="Times New Roman" w:cstheme="minorHAnsi"/>
          <w:b/>
          <w:iCs/>
          <w:color w:val="000000" w:themeColor="text1"/>
          <w:lang w:val="en-US"/>
        </w:rPr>
      </w:pPr>
    </w:p>
    <w:p w14:paraId="36176CEF" w14:textId="78070F09" w:rsidR="00CA7C44" w:rsidRPr="00537128" w:rsidRDefault="00B357CE" w:rsidP="00CA7C44">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CA7C44" w:rsidRPr="00537128">
        <w:rPr>
          <w:rFonts w:eastAsia="Times New Roman" w:cstheme="minorHAnsi"/>
          <w:b/>
          <w:iCs/>
          <w:color w:val="000000" w:themeColor="text1"/>
          <w:lang w:val="en-US"/>
        </w:rPr>
        <w:t xml:space="preserve">.5.2.   Currency risk </w:t>
      </w:r>
    </w:p>
    <w:p w14:paraId="3BBAD521" w14:textId="77777777" w:rsidR="00FC4A32" w:rsidRPr="00537128" w:rsidRDefault="00FC4A32" w:rsidP="008330AF">
      <w:pPr>
        <w:spacing w:after="0" w:line="240" w:lineRule="auto"/>
        <w:jc w:val="both"/>
        <w:rPr>
          <w:rFonts w:eastAsia="Times New Roman" w:cstheme="minorHAnsi"/>
          <w:b/>
          <w:iCs/>
          <w:color w:val="000000" w:themeColor="text1"/>
          <w:lang w:val="en-US"/>
        </w:rPr>
      </w:pPr>
    </w:p>
    <w:p w14:paraId="098F37B2" w14:textId="7767B227" w:rsidR="00206732" w:rsidRPr="00537128" w:rsidRDefault="00206732" w:rsidP="00206732">
      <w:pPr>
        <w:spacing w:after="0" w:line="240" w:lineRule="auto"/>
        <w:jc w:val="both"/>
        <w:rPr>
          <w:rFonts w:eastAsia="Times New Roman" w:cstheme="minorHAnsi"/>
          <w:bCs/>
          <w:iCs/>
          <w:color w:val="000000" w:themeColor="text1"/>
          <w:lang w:val="en-US"/>
        </w:rPr>
      </w:pPr>
      <w:r w:rsidRPr="00537128">
        <w:rPr>
          <w:rFonts w:eastAsia="Times New Roman" w:cstheme="minorHAnsi"/>
          <w:bCs/>
          <w:iCs/>
          <w:color w:val="000000" w:themeColor="text1"/>
          <w:lang w:val="en-US"/>
        </w:rPr>
        <w:t xml:space="preserve">Total assets and total liabilities as of </w:t>
      </w:r>
      <w:r w:rsidR="00E20F52" w:rsidRPr="00537128">
        <w:rPr>
          <w:rFonts w:eastAsia="Times New Roman" w:cstheme="minorHAnsi"/>
          <w:bCs/>
          <w:iCs/>
          <w:color w:val="000000" w:themeColor="text1"/>
          <w:lang w:val="en-US"/>
        </w:rPr>
        <w:t>3</w:t>
      </w:r>
      <w:r w:rsidR="006A5067" w:rsidRPr="00537128">
        <w:rPr>
          <w:rFonts w:eastAsia="Times New Roman" w:cstheme="minorHAnsi"/>
          <w:bCs/>
          <w:iCs/>
          <w:color w:val="000000" w:themeColor="text1"/>
          <w:lang w:val="en-US"/>
        </w:rPr>
        <w:t>1</w:t>
      </w:r>
      <w:r w:rsidR="00E20F52" w:rsidRPr="00537128">
        <w:rPr>
          <w:rFonts w:eastAsia="Times New Roman" w:cstheme="minorHAnsi"/>
          <w:bCs/>
          <w:iCs/>
          <w:color w:val="000000" w:themeColor="text1"/>
          <w:lang w:val="en-US"/>
        </w:rPr>
        <w:t xml:space="preserve"> </w:t>
      </w:r>
      <w:r w:rsidR="006A5067" w:rsidRPr="00537128">
        <w:rPr>
          <w:rFonts w:eastAsia="Times New Roman" w:cstheme="minorHAnsi"/>
          <w:bCs/>
          <w:iCs/>
          <w:color w:val="000000" w:themeColor="text1"/>
          <w:lang w:val="en-US"/>
        </w:rPr>
        <w:t>March</w:t>
      </w:r>
      <w:r w:rsidR="00E20F52" w:rsidRPr="00537128">
        <w:rPr>
          <w:rFonts w:eastAsia="Times New Roman" w:cstheme="minorHAnsi"/>
          <w:bCs/>
          <w:iCs/>
          <w:color w:val="000000" w:themeColor="text1"/>
          <w:lang w:val="en-US"/>
        </w:rPr>
        <w:t xml:space="preserve"> </w:t>
      </w:r>
      <w:r w:rsidRPr="00537128">
        <w:rPr>
          <w:rFonts w:eastAsia="Times New Roman" w:cstheme="minorHAnsi"/>
          <w:bCs/>
          <w:iCs/>
          <w:color w:val="000000" w:themeColor="text1"/>
          <w:lang w:val="en-US"/>
        </w:rPr>
        <w:t>202</w:t>
      </w:r>
      <w:r w:rsidR="00E85CAE">
        <w:rPr>
          <w:rFonts w:eastAsia="Times New Roman" w:cstheme="minorHAnsi"/>
          <w:bCs/>
          <w:iCs/>
          <w:color w:val="000000" w:themeColor="text1"/>
          <w:lang w:val="en-US"/>
        </w:rPr>
        <w:t>2</w:t>
      </w:r>
      <w:r w:rsidRPr="00537128">
        <w:rPr>
          <w:rFonts w:eastAsia="Times New Roman" w:cstheme="minorHAnsi"/>
          <w:bCs/>
          <w:iCs/>
          <w:color w:val="000000" w:themeColor="text1"/>
          <w:lang w:val="en-US"/>
        </w:rPr>
        <w:t xml:space="preserve"> and 31 December 20</w:t>
      </w:r>
      <w:r w:rsidR="006A5067" w:rsidRPr="00537128">
        <w:rPr>
          <w:rFonts w:eastAsia="Times New Roman" w:cstheme="minorHAnsi"/>
          <w:bCs/>
          <w:iCs/>
          <w:color w:val="000000" w:themeColor="text1"/>
          <w:lang w:val="en-US"/>
        </w:rPr>
        <w:t>2</w:t>
      </w:r>
      <w:r w:rsidR="00E85CAE">
        <w:rPr>
          <w:rFonts w:eastAsia="Times New Roman" w:cstheme="minorHAnsi"/>
          <w:bCs/>
          <w:iCs/>
          <w:color w:val="000000" w:themeColor="text1"/>
          <w:lang w:val="en-US"/>
        </w:rPr>
        <w:t xml:space="preserve">1 </w:t>
      </w:r>
      <w:r w:rsidRPr="00537128">
        <w:rPr>
          <w:rFonts w:eastAsia="Times New Roman" w:cstheme="minorHAnsi"/>
          <w:bCs/>
          <w:iCs/>
          <w:color w:val="000000" w:themeColor="text1"/>
          <w:lang w:val="en-US"/>
        </w:rPr>
        <w:t>in HRK and foreign currencies can be shown as follows:</w:t>
      </w:r>
    </w:p>
    <w:p w14:paraId="56585FEF" w14:textId="77777777" w:rsidR="00206732" w:rsidRPr="00537128" w:rsidRDefault="00206732" w:rsidP="00206732">
      <w:pPr>
        <w:spacing w:after="0" w:line="240" w:lineRule="auto"/>
        <w:jc w:val="both"/>
        <w:rPr>
          <w:rFonts w:eastAsia="Times New Roman" w:cstheme="minorHAnsi"/>
          <w:b/>
          <w:iCs/>
          <w:color w:val="000000" w:themeColor="text1"/>
          <w:lang w:val="en-US"/>
        </w:rPr>
      </w:pPr>
    </w:p>
    <w:tbl>
      <w:tblPr>
        <w:tblW w:w="5102" w:type="pct"/>
        <w:tblInd w:w="-164" w:type="dxa"/>
        <w:tblLayout w:type="fixed"/>
        <w:tblCellMar>
          <w:left w:w="120" w:type="dxa"/>
          <w:right w:w="120" w:type="dxa"/>
        </w:tblCellMar>
        <w:tblLook w:val="0000" w:firstRow="0" w:lastRow="0" w:firstColumn="0" w:lastColumn="0" w:noHBand="0" w:noVBand="0"/>
      </w:tblPr>
      <w:tblGrid>
        <w:gridCol w:w="2902"/>
        <w:gridCol w:w="970"/>
        <w:gridCol w:w="1105"/>
        <w:gridCol w:w="1115"/>
        <w:gridCol w:w="1105"/>
        <w:gridCol w:w="1247"/>
        <w:gridCol w:w="1101"/>
      </w:tblGrid>
      <w:tr w:rsidR="006A5067" w:rsidRPr="00537128" w14:paraId="21D275DC" w14:textId="77777777" w:rsidTr="006A5067">
        <w:trPr>
          <w:trHeight w:val="556"/>
        </w:trPr>
        <w:tc>
          <w:tcPr>
            <w:tcW w:w="1520" w:type="pct"/>
            <w:vAlign w:val="bottom"/>
          </w:tcPr>
          <w:p w14:paraId="623CE687" w14:textId="77777777" w:rsidR="006A5067" w:rsidRPr="00537128" w:rsidRDefault="006A5067" w:rsidP="006A5067">
            <w:pPr>
              <w:tabs>
                <w:tab w:val="right" w:pos="1202"/>
              </w:tabs>
              <w:spacing w:after="0" w:line="220" w:lineRule="exact"/>
              <w:outlineLvl w:val="0"/>
              <w:rPr>
                <w:rFonts w:ascii="Calibri" w:eastAsia="Times New Roman" w:hAnsi="Calibri" w:cs="Arial"/>
                <w:b/>
                <w:sz w:val="18"/>
                <w:szCs w:val="18"/>
                <w:lang w:val="en-US"/>
              </w:rPr>
            </w:pPr>
            <w:bookmarkStart w:id="1041" w:name="_Toc4062800"/>
            <w:r w:rsidRPr="00537128">
              <w:rPr>
                <w:rFonts w:ascii="Calibri" w:eastAsia="Times New Roman" w:hAnsi="Calibri" w:cs="Arial"/>
                <w:b/>
                <w:sz w:val="18"/>
                <w:szCs w:val="18"/>
                <w:lang w:val="en-US"/>
              </w:rPr>
              <w:t>Group</w:t>
            </w:r>
            <w:bookmarkEnd w:id="1041"/>
          </w:p>
          <w:p w14:paraId="5564B444" w14:textId="77777777" w:rsidR="006A5067" w:rsidRPr="00537128" w:rsidRDefault="006A5067" w:rsidP="006A5067">
            <w:pPr>
              <w:tabs>
                <w:tab w:val="right" w:pos="1202"/>
              </w:tabs>
              <w:spacing w:after="0" w:line="220" w:lineRule="exact"/>
              <w:outlineLvl w:val="0"/>
              <w:rPr>
                <w:rFonts w:ascii="Calibri" w:eastAsia="Times New Roman" w:hAnsi="Calibri" w:cs="Arial"/>
                <w:b/>
                <w:sz w:val="18"/>
                <w:szCs w:val="18"/>
                <w:lang w:val="en-US"/>
              </w:rPr>
            </w:pPr>
          </w:p>
          <w:p w14:paraId="13646BC6" w14:textId="58D2B3F3" w:rsidR="006A5067" w:rsidRPr="00537128" w:rsidRDefault="006A5067" w:rsidP="006A5067">
            <w:pPr>
              <w:tabs>
                <w:tab w:val="right" w:pos="1202"/>
              </w:tabs>
              <w:spacing w:after="0" w:line="220" w:lineRule="exact"/>
              <w:outlineLvl w:val="0"/>
              <w:rPr>
                <w:rFonts w:ascii="Calibri" w:eastAsia="Times New Roman" w:hAnsi="Calibri" w:cs="Arial"/>
                <w:b/>
                <w:sz w:val="18"/>
                <w:szCs w:val="18"/>
                <w:lang w:val="en-US"/>
              </w:rPr>
            </w:pPr>
            <w:bookmarkStart w:id="1042" w:name="_Toc4062801"/>
            <w:r w:rsidRPr="00537128">
              <w:rPr>
                <w:rFonts w:ascii="Calibri" w:eastAsia="Times New Roman" w:hAnsi="Calibri" w:cs="Arial"/>
                <w:b/>
                <w:bCs/>
                <w:sz w:val="18"/>
                <w:szCs w:val="18"/>
                <w:lang w:val="en-US"/>
              </w:rPr>
              <w:t>31 March</w:t>
            </w:r>
            <w:r w:rsidRPr="00537128">
              <w:rPr>
                <w:rFonts w:ascii="Calibri" w:eastAsia="Times New Roman" w:hAnsi="Calibri" w:cs="Arial"/>
                <w:b/>
                <w:sz w:val="18"/>
                <w:szCs w:val="18"/>
                <w:lang w:val="en-US"/>
              </w:rPr>
              <w:t xml:space="preserve"> </w:t>
            </w:r>
            <w:bookmarkEnd w:id="1042"/>
            <w:r w:rsidRPr="00537128">
              <w:rPr>
                <w:rFonts w:ascii="Calibri" w:eastAsia="Times New Roman" w:hAnsi="Calibri" w:cs="Arial"/>
                <w:b/>
                <w:sz w:val="18"/>
                <w:szCs w:val="18"/>
                <w:lang w:val="en-US"/>
              </w:rPr>
              <w:t>202</w:t>
            </w:r>
            <w:r w:rsidR="00E85CAE">
              <w:rPr>
                <w:rFonts w:ascii="Calibri" w:eastAsia="Times New Roman" w:hAnsi="Calibri" w:cs="Arial"/>
                <w:b/>
                <w:sz w:val="18"/>
                <w:szCs w:val="18"/>
                <w:lang w:val="en-US"/>
              </w:rPr>
              <w:t>2</w:t>
            </w:r>
          </w:p>
        </w:tc>
        <w:tc>
          <w:tcPr>
            <w:tcW w:w="508" w:type="pct"/>
          </w:tcPr>
          <w:p w14:paraId="0E8740F5"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43" w:name="_Toc4062802"/>
            <w:r w:rsidRPr="00537128">
              <w:rPr>
                <w:rFonts w:ascii="Calibri" w:eastAsia="Times New Roman" w:hAnsi="Calibri" w:cs="Arial"/>
                <w:b/>
                <w:sz w:val="18"/>
                <w:szCs w:val="18"/>
                <w:lang w:val="en-US"/>
              </w:rPr>
              <w:t>USD</w:t>
            </w:r>
            <w:bookmarkEnd w:id="1043"/>
          </w:p>
        </w:tc>
        <w:tc>
          <w:tcPr>
            <w:tcW w:w="579" w:type="pct"/>
          </w:tcPr>
          <w:p w14:paraId="75D3A90E"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44" w:name="_Toc4062803"/>
            <w:r w:rsidRPr="00537128">
              <w:rPr>
                <w:rFonts w:ascii="Calibri" w:eastAsia="Times New Roman" w:hAnsi="Calibri" w:cs="Arial"/>
                <w:b/>
                <w:sz w:val="18"/>
                <w:szCs w:val="18"/>
                <w:lang w:val="en-US"/>
              </w:rPr>
              <w:t>EUR</w:t>
            </w:r>
            <w:bookmarkEnd w:id="1044"/>
            <w:r w:rsidRPr="00537128">
              <w:rPr>
                <w:rFonts w:ascii="Calibri" w:eastAsia="Times New Roman" w:hAnsi="Calibri" w:cs="Arial"/>
                <w:b/>
                <w:sz w:val="18"/>
                <w:szCs w:val="18"/>
                <w:lang w:val="en-US"/>
              </w:rPr>
              <w:t xml:space="preserve"> </w:t>
            </w:r>
          </w:p>
        </w:tc>
        <w:tc>
          <w:tcPr>
            <w:tcW w:w="584" w:type="pct"/>
          </w:tcPr>
          <w:p w14:paraId="540964D0"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45" w:name="_Toc4062804"/>
            <w:r w:rsidRPr="00537128">
              <w:rPr>
                <w:rFonts w:ascii="Calibri" w:eastAsia="Times New Roman" w:hAnsi="Calibri" w:cs="Arial"/>
                <w:b/>
                <w:sz w:val="18"/>
                <w:szCs w:val="18"/>
                <w:lang w:val="en-US"/>
              </w:rPr>
              <w:t>Other foreign currencies</w:t>
            </w:r>
            <w:bookmarkEnd w:id="1045"/>
            <w:r w:rsidRPr="00537128">
              <w:rPr>
                <w:rFonts w:ascii="Calibri" w:eastAsia="Times New Roman" w:hAnsi="Calibri" w:cs="Arial"/>
                <w:b/>
                <w:sz w:val="18"/>
                <w:szCs w:val="18"/>
                <w:lang w:val="en-US"/>
              </w:rPr>
              <w:t xml:space="preserve"> </w:t>
            </w:r>
          </w:p>
        </w:tc>
        <w:tc>
          <w:tcPr>
            <w:tcW w:w="579" w:type="pct"/>
          </w:tcPr>
          <w:p w14:paraId="076D5A9B"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46" w:name="_Toc4062805"/>
            <w:r w:rsidRPr="00537128">
              <w:rPr>
                <w:rFonts w:ascii="Calibri" w:eastAsia="Times New Roman" w:hAnsi="Calibri" w:cs="Arial"/>
                <w:b/>
                <w:sz w:val="18"/>
                <w:szCs w:val="18"/>
                <w:lang w:val="en-US"/>
              </w:rPr>
              <w:t>Total foreign currencies</w:t>
            </w:r>
            <w:bookmarkEnd w:id="1046"/>
            <w:r w:rsidRPr="00537128">
              <w:rPr>
                <w:rFonts w:ascii="Calibri" w:eastAsia="Times New Roman" w:hAnsi="Calibri" w:cs="Arial"/>
                <w:b/>
                <w:sz w:val="18"/>
                <w:szCs w:val="18"/>
                <w:lang w:val="en-US"/>
              </w:rPr>
              <w:t xml:space="preserve"> </w:t>
            </w:r>
          </w:p>
        </w:tc>
        <w:tc>
          <w:tcPr>
            <w:tcW w:w="653" w:type="pct"/>
          </w:tcPr>
          <w:p w14:paraId="09399406"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47" w:name="_Toc4062806"/>
            <w:r w:rsidRPr="00537128">
              <w:rPr>
                <w:rFonts w:ascii="Calibri" w:eastAsia="Times New Roman" w:hAnsi="Calibri" w:cs="Arial"/>
                <w:b/>
                <w:sz w:val="18"/>
                <w:szCs w:val="18"/>
                <w:lang w:val="en-US"/>
              </w:rPr>
              <w:t>HRK</w:t>
            </w:r>
            <w:bookmarkEnd w:id="1047"/>
          </w:p>
        </w:tc>
        <w:tc>
          <w:tcPr>
            <w:tcW w:w="577" w:type="pct"/>
          </w:tcPr>
          <w:p w14:paraId="00F06800"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48" w:name="_Toc4062807"/>
            <w:r w:rsidRPr="00537128">
              <w:rPr>
                <w:rFonts w:ascii="Calibri" w:eastAsia="Times New Roman" w:hAnsi="Calibri" w:cs="Arial"/>
                <w:b/>
                <w:sz w:val="18"/>
                <w:szCs w:val="18"/>
                <w:lang w:val="en-US"/>
              </w:rPr>
              <w:t>Total</w:t>
            </w:r>
            <w:bookmarkEnd w:id="1048"/>
            <w:r w:rsidRPr="00537128">
              <w:rPr>
                <w:rFonts w:ascii="Calibri" w:eastAsia="Times New Roman" w:hAnsi="Calibri" w:cs="Arial"/>
                <w:b/>
                <w:sz w:val="18"/>
                <w:szCs w:val="18"/>
                <w:lang w:val="en-US"/>
              </w:rPr>
              <w:t xml:space="preserve"> </w:t>
            </w:r>
          </w:p>
        </w:tc>
      </w:tr>
      <w:tr w:rsidR="006A5067" w:rsidRPr="00537128" w14:paraId="35FAD45B" w14:textId="77777777" w:rsidTr="006A5067">
        <w:trPr>
          <w:trHeight w:hRule="exact" w:val="284"/>
        </w:trPr>
        <w:tc>
          <w:tcPr>
            <w:tcW w:w="1520" w:type="pct"/>
          </w:tcPr>
          <w:p w14:paraId="220032B2" w14:textId="77777777" w:rsidR="006A5067" w:rsidRPr="00537128" w:rsidRDefault="006A5067" w:rsidP="006A5067">
            <w:pPr>
              <w:tabs>
                <w:tab w:val="right" w:pos="1202"/>
              </w:tabs>
              <w:spacing w:after="0" w:line="220" w:lineRule="exact"/>
              <w:outlineLvl w:val="0"/>
              <w:rPr>
                <w:rFonts w:ascii="Calibri" w:eastAsia="Times New Roman" w:hAnsi="Calibri" w:cs="Arial"/>
                <w:b/>
                <w:sz w:val="18"/>
                <w:szCs w:val="18"/>
                <w:lang w:val="en-US"/>
              </w:rPr>
            </w:pPr>
          </w:p>
        </w:tc>
        <w:tc>
          <w:tcPr>
            <w:tcW w:w="508" w:type="pct"/>
          </w:tcPr>
          <w:p w14:paraId="7CA5975C"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49" w:name="_Toc4062808"/>
            <w:r w:rsidRPr="00537128">
              <w:rPr>
                <w:rFonts w:ascii="Calibri" w:eastAsia="Times New Roman" w:hAnsi="Calibri" w:cs="Arial"/>
                <w:b/>
                <w:sz w:val="18"/>
                <w:szCs w:val="18"/>
                <w:lang w:val="en-US"/>
              </w:rPr>
              <w:t>HRK ‘000</w:t>
            </w:r>
            <w:bookmarkEnd w:id="1049"/>
          </w:p>
        </w:tc>
        <w:tc>
          <w:tcPr>
            <w:tcW w:w="579" w:type="pct"/>
          </w:tcPr>
          <w:p w14:paraId="77ACB1EC"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50" w:name="_Toc4062809"/>
            <w:r w:rsidRPr="00537128">
              <w:rPr>
                <w:rFonts w:ascii="Calibri" w:eastAsia="Times New Roman" w:hAnsi="Calibri" w:cs="Arial"/>
                <w:b/>
                <w:sz w:val="18"/>
                <w:szCs w:val="18"/>
                <w:lang w:val="en-US"/>
              </w:rPr>
              <w:t>HRK ‘000</w:t>
            </w:r>
            <w:bookmarkEnd w:id="1050"/>
          </w:p>
        </w:tc>
        <w:tc>
          <w:tcPr>
            <w:tcW w:w="584" w:type="pct"/>
          </w:tcPr>
          <w:p w14:paraId="373298F4"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51" w:name="_Toc4062810"/>
            <w:r w:rsidRPr="00537128">
              <w:rPr>
                <w:rFonts w:ascii="Calibri" w:eastAsia="Times New Roman" w:hAnsi="Calibri" w:cs="Arial"/>
                <w:b/>
                <w:sz w:val="18"/>
                <w:szCs w:val="18"/>
                <w:lang w:val="en-US"/>
              </w:rPr>
              <w:t>HRK ‘000</w:t>
            </w:r>
            <w:bookmarkEnd w:id="1051"/>
          </w:p>
        </w:tc>
        <w:tc>
          <w:tcPr>
            <w:tcW w:w="579" w:type="pct"/>
          </w:tcPr>
          <w:p w14:paraId="2B22A9F9"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52" w:name="_Toc4062811"/>
            <w:r w:rsidRPr="00537128">
              <w:rPr>
                <w:rFonts w:ascii="Calibri" w:eastAsia="Times New Roman" w:hAnsi="Calibri" w:cs="Arial"/>
                <w:b/>
                <w:sz w:val="18"/>
                <w:szCs w:val="18"/>
                <w:lang w:val="en-US"/>
              </w:rPr>
              <w:t>HRK ‘000</w:t>
            </w:r>
            <w:bookmarkEnd w:id="1052"/>
          </w:p>
        </w:tc>
        <w:tc>
          <w:tcPr>
            <w:tcW w:w="653" w:type="pct"/>
          </w:tcPr>
          <w:p w14:paraId="6BDF8D6C"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53" w:name="_Toc4062812"/>
            <w:r w:rsidRPr="00537128">
              <w:rPr>
                <w:rFonts w:ascii="Calibri" w:eastAsia="Times New Roman" w:hAnsi="Calibri" w:cs="Arial"/>
                <w:b/>
                <w:sz w:val="18"/>
                <w:szCs w:val="18"/>
                <w:lang w:val="en-US"/>
              </w:rPr>
              <w:t>HRK ‘000</w:t>
            </w:r>
            <w:bookmarkEnd w:id="1053"/>
          </w:p>
        </w:tc>
        <w:tc>
          <w:tcPr>
            <w:tcW w:w="577" w:type="pct"/>
          </w:tcPr>
          <w:p w14:paraId="7A414B83"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54" w:name="_Toc4062813"/>
            <w:r w:rsidRPr="00537128">
              <w:rPr>
                <w:rFonts w:ascii="Calibri" w:eastAsia="Times New Roman" w:hAnsi="Calibri" w:cs="Arial"/>
                <w:b/>
                <w:sz w:val="18"/>
                <w:szCs w:val="18"/>
                <w:lang w:val="en-US"/>
              </w:rPr>
              <w:t>HRK ‘000</w:t>
            </w:r>
            <w:bookmarkEnd w:id="1054"/>
          </w:p>
        </w:tc>
      </w:tr>
      <w:tr w:rsidR="006A5067" w:rsidRPr="00537128" w14:paraId="4F8176B9" w14:textId="77777777" w:rsidTr="006A5067">
        <w:trPr>
          <w:trHeight w:val="239"/>
        </w:trPr>
        <w:tc>
          <w:tcPr>
            <w:tcW w:w="1520" w:type="pct"/>
          </w:tcPr>
          <w:p w14:paraId="72B172F5" w14:textId="7777777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bookmarkStart w:id="1055" w:name="_Toc4062814"/>
            <w:r w:rsidRPr="00537128">
              <w:rPr>
                <w:rFonts w:ascii="Calibri" w:eastAsia="Times New Roman" w:hAnsi="Calibri" w:cs="Arial"/>
                <w:b/>
                <w:sz w:val="18"/>
                <w:szCs w:val="18"/>
                <w:lang w:val="en-US"/>
              </w:rPr>
              <w:t>Assets</w:t>
            </w:r>
            <w:bookmarkEnd w:id="1055"/>
            <w:r w:rsidRPr="00537128">
              <w:rPr>
                <w:rFonts w:ascii="Calibri" w:eastAsia="Times New Roman" w:hAnsi="Calibri" w:cs="Arial"/>
                <w:b/>
                <w:sz w:val="18"/>
                <w:szCs w:val="18"/>
                <w:lang w:val="en-US"/>
              </w:rPr>
              <w:t xml:space="preserve"> </w:t>
            </w:r>
          </w:p>
        </w:tc>
        <w:tc>
          <w:tcPr>
            <w:tcW w:w="508" w:type="pct"/>
            <w:vAlign w:val="bottom"/>
          </w:tcPr>
          <w:p w14:paraId="1C942149"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579" w:type="pct"/>
            <w:vAlign w:val="bottom"/>
          </w:tcPr>
          <w:p w14:paraId="79CD9FCB"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584" w:type="pct"/>
            <w:vAlign w:val="bottom"/>
          </w:tcPr>
          <w:p w14:paraId="60782A60"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579" w:type="pct"/>
            <w:vAlign w:val="bottom"/>
          </w:tcPr>
          <w:p w14:paraId="7CFE99FC"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653" w:type="pct"/>
            <w:vAlign w:val="bottom"/>
          </w:tcPr>
          <w:p w14:paraId="4E665514"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577" w:type="pct"/>
            <w:vAlign w:val="bottom"/>
          </w:tcPr>
          <w:p w14:paraId="46DAB5E9"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r>
      <w:tr w:rsidR="008E31DD" w:rsidRPr="00537128" w14:paraId="63BF813C" w14:textId="77777777" w:rsidTr="00841A5E">
        <w:trPr>
          <w:trHeight w:val="254"/>
        </w:trPr>
        <w:tc>
          <w:tcPr>
            <w:tcW w:w="1520" w:type="pct"/>
            <w:vAlign w:val="bottom"/>
          </w:tcPr>
          <w:p w14:paraId="34B47132" w14:textId="77777777" w:rsidR="008E31DD" w:rsidRPr="00537128" w:rsidRDefault="008E31DD" w:rsidP="008E31DD">
            <w:pPr>
              <w:tabs>
                <w:tab w:val="right" w:pos="1202"/>
              </w:tabs>
              <w:spacing w:after="0" w:line="240" w:lineRule="exact"/>
              <w:outlineLvl w:val="0"/>
              <w:rPr>
                <w:rFonts w:ascii="Calibri" w:eastAsia="Times New Roman" w:hAnsi="Calibri" w:cs="Arial"/>
                <w:sz w:val="18"/>
                <w:szCs w:val="18"/>
                <w:lang w:val="en-US"/>
              </w:rPr>
            </w:pPr>
            <w:bookmarkStart w:id="1056" w:name="_Toc4062815"/>
            <w:r w:rsidRPr="00537128">
              <w:rPr>
                <w:rFonts w:ascii="Calibri" w:eastAsia="Times New Roman" w:hAnsi="Calibri" w:cs="Arial"/>
                <w:spacing w:val="-2"/>
                <w:sz w:val="18"/>
                <w:szCs w:val="18"/>
                <w:lang w:val="en-US"/>
              </w:rPr>
              <w:t>Cash on hand and current accounts with banks</w:t>
            </w:r>
            <w:bookmarkEnd w:id="1056"/>
          </w:p>
        </w:tc>
        <w:tc>
          <w:tcPr>
            <w:tcW w:w="508" w:type="pct"/>
            <w:tcBorders>
              <w:top w:val="nil"/>
              <w:left w:val="nil"/>
              <w:right w:val="nil"/>
            </w:tcBorders>
            <w:vAlign w:val="bottom"/>
          </w:tcPr>
          <w:p w14:paraId="09676AC7" w14:textId="695669E1" w:rsidR="008E31DD" w:rsidRPr="00537128" w:rsidRDefault="008E31DD" w:rsidP="008E31DD">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326</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446</w:t>
            </w:r>
          </w:p>
        </w:tc>
        <w:tc>
          <w:tcPr>
            <w:tcW w:w="579" w:type="pct"/>
            <w:tcBorders>
              <w:top w:val="nil"/>
              <w:left w:val="nil"/>
              <w:right w:val="nil"/>
            </w:tcBorders>
            <w:vAlign w:val="bottom"/>
          </w:tcPr>
          <w:p w14:paraId="5F77FF13" w14:textId="41AB1B7B" w:rsidR="008E31DD" w:rsidRPr="00537128" w:rsidRDefault="008E31DD" w:rsidP="008E31DD">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54</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160</w:t>
            </w:r>
          </w:p>
        </w:tc>
        <w:tc>
          <w:tcPr>
            <w:tcW w:w="584" w:type="pct"/>
            <w:tcBorders>
              <w:top w:val="nil"/>
              <w:left w:val="nil"/>
              <w:right w:val="nil"/>
            </w:tcBorders>
            <w:vAlign w:val="bottom"/>
          </w:tcPr>
          <w:p w14:paraId="1981713E" w14:textId="4E5F89C0" w:rsidR="008E31DD" w:rsidRPr="00537128" w:rsidRDefault="008E31DD" w:rsidP="008E31DD">
            <w:pPr>
              <w:spacing w:after="0" w:line="240" w:lineRule="exact"/>
              <w:jc w:val="right"/>
              <w:rPr>
                <w:rFonts w:ascii="Calibri" w:eastAsia="Arial Unicode MS" w:hAnsi="Calibri" w:cs="Arial"/>
                <w:sz w:val="18"/>
                <w:szCs w:val="18"/>
                <w:lang w:val="en-US"/>
              </w:rPr>
            </w:pPr>
            <w:r>
              <w:rPr>
                <w:rFonts w:ascii="Calibri" w:eastAsia="Arial Unicode MS" w:hAnsi="Calibri"/>
                <w:color w:val="000000" w:themeColor="text1"/>
                <w:sz w:val="18"/>
                <w:szCs w:val="18"/>
              </w:rPr>
              <w:t>-</w:t>
            </w:r>
          </w:p>
        </w:tc>
        <w:tc>
          <w:tcPr>
            <w:tcW w:w="579" w:type="pct"/>
            <w:tcBorders>
              <w:top w:val="nil"/>
              <w:left w:val="nil"/>
              <w:right w:val="nil"/>
            </w:tcBorders>
            <w:vAlign w:val="bottom"/>
          </w:tcPr>
          <w:p w14:paraId="15E21C3C" w14:textId="22A033E7" w:rsidR="008E31DD" w:rsidRPr="00537128" w:rsidRDefault="008E31DD" w:rsidP="008E31DD">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380</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606</w:t>
            </w:r>
          </w:p>
        </w:tc>
        <w:tc>
          <w:tcPr>
            <w:tcW w:w="653" w:type="pct"/>
            <w:tcBorders>
              <w:top w:val="nil"/>
              <w:left w:val="nil"/>
              <w:right w:val="nil"/>
            </w:tcBorders>
            <w:vAlign w:val="bottom"/>
          </w:tcPr>
          <w:p w14:paraId="1E61F2EE" w14:textId="23D95255" w:rsidR="008E31DD" w:rsidRPr="00537128" w:rsidRDefault="008E31DD" w:rsidP="008E31DD">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1</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196</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962</w:t>
            </w:r>
          </w:p>
        </w:tc>
        <w:tc>
          <w:tcPr>
            <w:tcW w:w="577" w:type="pct"/>
            <w:tcBorders>
              <w:top w:val="nil"/>
              <w:left w:val="nil"/>
            </w:tcBorders>
            <w:vAlign w:val="bottom"/>
          </w:tcPr>
          <w:p w14:paraId="2EB152BA" w14:textId="4AD0728D" w:rsidR="008E31DD" w:rsidRPr="00537128" w:rsidRDefault="008E31DD" w:rsidP="008E31DD">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1</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577</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568</w:t>
            </w:r>
          </w:p>
        </w:tc>
      </w:tr>
      <w:tr w:rsidR="008E31DD" w:rsidRPr="00537128" w14:paraId="6457F952" w14:textId="77777777" w:rsidTr="00841A5E">
        <w:trPr>
          <w:trHeight w:val="254"/>
        </w:trPr>
        <w:tc>
          <w:tcPr>
            <w:tcW w:w="1520" w:type="pct"/>
            <w:vAlign w:val="bottom"/>
          </w:tcPr>
          <w:p w14:paraId="44CDC891" w14:textId="77777777" w:rsidR="008E31DD" w:rsidRPr="00537128" w:rsidRDefault="008E31DD" w:rsidP="008E31DD">
            <w:pPr>
              <w:tabs>
                <w:tab w:val="right" w:pos="1202"/>
              </w:tabs>
              <w:spacing w:after="0" w:line="240" w:lineRule="exact"/>
              <w:outlineLvl w:val="0"/>
              <w:rPr>
                <w:rFonts w:ascii="Calibri" w:eastAsia="Times New Roman" w:hAnsi="Calibri" w:cs="Arial"/>
                <w:sz w:val="18"/>
                <w:szCs w:val="18"/>
                <w:lang w:val="en-US"/>
              </w:rPr>
            </w:pPr>
            <w:bookmarkStart w:id="1057" w:name="_Toc4062816"/>
            <w:r w:rsidRPr="00537128">
              <w:rPr>
                <w:rFonts w:ascii="Calibri" w:eastAsia="Times New Roman" w:hAnsi="Calibri" w:cs="Arial"/>
                <w:spacing w:val="-2"/>
                <w:sz w:val="18"/>
                <w:szCs w:val="18"/>
                <w:lang w:val="en-US"/>
              </w:rPr>
              <w:t>Deposits with other banks</w:t>
            </w:r>
            <w:bookmarkEnd w:id="1057"/>
            <w:r w:rsidRPr="00537128">
              <w:rPr>
                <w:rFonts w:ascii="Calibri" w:eastAsia="Times New Roman" w:hAnsi="Calibri" w:cs="Arial"/>
                <w:spacing w:val="-2"/>
                <w:sz w:val="18"/>
                <w:szCs w:val="18"/>
                <w:lang w:val="en-US"/>
              </w:rPr>
              <w:t xml:space="preserve"> </w:t>
            </w:r>
          </w:p>
        </w:tc>
        <w:tc>
          <w:tcPr>
            <w:tcW w:w="508" w:type="pct"/>
            <w:tcBorders>
              <w:top w:val="nil"/>
              <w:left w:val="nil"/>
              <w:bottom w:val="nil"/>
              <w:right w:val="nil"/>
            </w:tcBorders>
            <w:vAlign w:val="bottom"/>
          </w:tcPr>
          <w:p w14:paraId="2594407D" w14:textId="6229888F" w:rsidR="008E31DD" w:rsidRPr="00537128" w:rsidRDefault="008E31DD" w:rsidP="008E31DD">
            <w:pPr>
              <w:spacing w:after="0" w:line="240" w:lineRule="exact"/>
              <w:jc w:val="right"/>
              <w:rPr>
                <w:rFonts w:ascii="Calibri" w:eastAsia="Arial Unicode MS" w:hAnsi="Calibri" w:cs="Arial"/>
                <w:sz w:val="18"/>
                <w:szCs w:val="18"/>
                <w:lang w:val="en-US"/>
              </w:rPr>
            </w:pPr>
            <w:r>
              <w:rPr>
                <w:rFonts w:ascii="Calibri" w:eastAsia="Arial Unicode MS" w:hAnsi="Calibri"/>
                <w:color w:val="000000" w:themeColor="text1"/>
                <w:sz w:val="18"/>
                <w:szCs w:val="18"/>
              </w:rPr>
              <w:t>-</w:t>
            </w:r>
          </w:p>
        </w:tc>
        <w:tc>
          <w:tcPr>
            <w:tcW w:w="579" w:type="pct"/>
            <w:tcBorders>
              <w:top w:val="nil"/>
              <w:left w:val="nil"/>
              <w:bottom w:val="nil"/>
              <w:right w:val="nil"/>
            </w:tcBorders>
            <w:vAlign w:val="bottom"/>
          </w:tcPr>
          <w:p w14:paraId="437ABEC5" w14:textId="2F5DA0EE" w:rsidR="008E31DD" w:rsidRPr="00537128" w:rsidRDefault="008E31DD" w:rsidP="008E31DD">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15</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215</w:t>
            </w:r>
          </w:p>
        </w:tc>
        <w:tc>
          <w:tcPr>
            <w:tcW w:w="584" w:type="pct"/>
            <w:tcBorders>
              <w:top w:val="nil"/>
              <w:left w:val="nil"/>
              <w:bottom w:val="nil"/>
              <w:right w:val="nil"/>
            </w:tcBorders>
            <w:vAlign w:val="bottom"/>
          </w:tcPr>
          <w:p w14:paraId="56F570B8" w14:textId="42887A68" w:rsidR="008E31DD" w:rsidRPr="00537128" w:rsidRDefault="008E31DD" w:rsidP="008E31DD">
            <w:pPr>
              <w:spacing w:after="0" w:line="240" w:lineRule="exact"/>
              <w:jc w:val="right"/>
              <w:rPr>
                <w:rFonts w:ascii="Calibri" w:eastAsia="Arial Unicode MS" w:hAnsi="Calibri" w:cs="Arial"/>
                <w:sz w:val="18"/>
                <w:szCs w:val="18"/>
                <w:lang w:val="en-US"/>
              </w:rPr>
            </w:pPr>
            <w:r>
              <w:rPr>
                <w:rFonts w:ascii="Calibri" w:eastAsia="Arial Unicode MS" w:hAnsi="Calibri"/>
                <w:color w:val="000000" w:themeColor="text1"/>
                <w:sz w:val="18"/>
                <w:szCs w:val="18"/>
              </w:rPr>
              <w:t>-</w:t>
            </w:r>
          </w:p>
        </w:tc>
        <w:tc>
          <w:tcPr>
            <w:tcW w:w="579" w:type="pct"/>
            <w:tcBorders>
              <w:top w:val="nil"/>
              <w:left w:val="nil"/>
              <w:bottom w:val="nil"/>
              <w:right w:val="nil"/>
            </w:tcBorders>
            <w:vAlign w:val="bottom"/>
          </w:tcPr>
          <w:p w14:paraId="20F224ED" w14:textId="5ADF7E97" w:rsidR="008E31DD" w:rsidRPr="00537128" w:rsidRDefault="008E31DD" w:rsidP="008E31DD">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15</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215</w:t>
            </w:r>
          </w:p>
        </w:tc>
        <w:tc>
          <w:tcPr>
            <w:tcW w:w="653" w:type="pct"/>
            <w:tcBorders>
              <w:top w:val="nil"/>
              <w:left w:val="nil"/>
              <w:bottom w:val="nil"/>
              <w:right w:val="nil"/>
            </w:tcBorders>
            <w:vAlign w:val="bottom"/>
          </w:tcPr>
          <w:p w14:paraId="047F6906" w14:textId="322142F4" w:rsidR="008E31DD" w:rsidRPr="00537128" w:rsidRDefault="008E31DD" w:rsidP="008E31DD">
            <w:pPr>
              <w:spacing w:after="0" w:line="240" w:lineRule="exact"/>
              <w:jc w:val="right"/>
              <w:rPr>
                <w:rFonts w:ascii="Calibri" w:eastAsia="Arial Unicode MS" w:hAnsi="Calibri" w:cs="Arial"/>
                <w:sz w:val="18"/>
                <w:szCs w:val="18"/>
                <w:lang w:val="en-US"/>
              </w:rPr>
            </w:pPr>
            <w:r>
              <w:rPr>
                <w:rFonts w:ascii="Calibri" w:eastAsia="Arial Unicode MS" w:hAnsi="Calibri"/>
                <w:color w:val="000000" w:themeColor="text1"/>
                <w:sz w:val="18"/>
                <w:szCs w:val="18"/>
              </w:rPr>
              <w:t>-</w:t>
            </w:r>
          </w:p>
        </w:tc>
        <w:tc>
          <w:tcPr>
            <w:tcW w:w="577" w:type="pct"/>
            <w:tcBorders>
              <w:top w:val="nil"/>
              <w:left w:val="nil"/>
              <w:bottom w:val="nil"/>
            </w:tcBorders>
            <w:vAlign w:val="bottom"/>
          </w:tcPr>
          <w:p w14:paraId="26ECC540" w14:textId="168CDF81" w:rsidR="008E31DD" w:rsidRPr="00537128" w:rsidRDefault="008E31DD" w:rsidP="008E31DD">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15</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215</w:t>
            </w:r>
          </w:p>
        </w:tc>
      </w:tr>
      <w:tr w:rsidR="008E31DD" w:rsidRPr="00537128" w14:paraId="2BB1768B" w14:textId="77777777" w:rsidTr="00841A5E">
        <w:trPr>
          <w:trHeight w:val="239"/>
        </w:trPr>
        <w:tc>
          <w:tcPr>
            <w:tcW w:w="1520" w:type="pct"/>
            <w:vAlign w:val="bottom"/>
          </w:tcPr>
          <w:p w14:paraId="1E04AD29" w14:textId="77777777" w:rsidR="008E31DD" w:rsidRPr="00537128" w:rsidRDefault="008E31DD" w:rsidP="008E31DD">
            <w:pPr>
              <w:tabs>
                <w:tab w:val="right" w:pos="1202"/>
              </w:tabs>
              <w:spacing w:after="0" w:line="240" w:lineRule="exact"/>
              <w:outlineLvl w:val="0"/>
              <w:rPr>
                <w:rFonts w:ascii="Calibri" w:eastAsia="Times New Roman" w:hAnsi="Calibri" w:cs="Arial"/>
                <w:sz w:val="18"/>
                <w:szCs w:val="18"/>
                <w:lang w:val="en-US"/>
              </w:rPr>
            </w:pPr>
            <w:bookmarkStart w:id="1058" w:name="_Toc4062817"/>
            <w:r w:rsidRPr="00537128">
              <w:rPr>
                <w:rFonts w:ascii="Calibri" w:eastAsia="Times New Roman" w:hAnsi="Calibri" w:cs="Arial"/>
                <w:spacing w:val="-2"/>
                <w:sz w:val="18"/>
                <w:szCs w:val="18"/>
                <w:lang w:val="en-US"/>
              </w:rPr>
              <w:t>Loans to financial institutions</w:t>
            </w:r>
            <w:bookmarkEnd w:id="1058"/>
          </w:p>
        </w:tc>
        <w:tc>
          <w:tcPr>
            <w:tcW w:w="508" w:type="pct"/>
            <w:tcBorders>
              <w:top w:val="nil"/>
              <w:left w:val="nil"/>
              <w:bottom w:val="nil"/>
              <w:right w:val="nil"/>
            </w:tcBorders>
            <w:vAlign w:val="bottom"/>
          </w:tcPr>
          <w:p w14:paraId="3473C6BA" w14:textId="764CFAE4" w:rsidR="008E31DD" w:rsidRPr="00537128" w:rsidRDefault="008E31DD" w:rsidP="008E31DD">
            <w:pPr>
              <w:spacing w:after="0" w:line="240" w:lineRule="exact"/>
              <w:jc w:val="right"/>
              <w:rPr>
                <w:rFonts w:ascii="Calibri" w:eastAsia="Arial Unicode MS" w:hAnsi="Calibri" w:cs="Arial"/>
                <w:sz w:val="18"/>
                <w:szCs w:val="18"/>
                <w:lang w:val="en-US"/>
              </w:rPr>
            </w:pPr>
            <w:r>
              <w:rPr>
                <w:rFonts w:ascii="Calibri" w:eastAsia="Arial Unicode MS" w:hAnsi="Calibri"/>
                <w:color w:val="000000" w:themeColor="text1"/>
                <w:sz w:val="18"/>
                <w:szCs w:val="18"/>
              </w:rPr>
              <w:t>-</w:t>
            </w:r>
          </w:p>
        </w:tc>
        <w:tc>
          <w:tcPr>
            <w:tcW w:w="579" w:type="pct"/>
            <w:tcBorders>
              <w:top w:val="nil"/>
              <w:left w:val="nil"/>
              <w:bottom w:val="nil"/>
              <w:right w:val="nil"/>
            </w:tcBorders>
            <w:vAlign w:val="bottom"/>
          </w:tcPr>
          <w:p w14:paraId="589B9653" w14:textId="02E637A4" w:rsidR="008E31DD" w:rsidRPr="00537128" w:rsidRDefault="008E31DD" w:rsidP="008E31DD">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3</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247</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520</w:t>
            </w:r>
          </w:p>
        </w:tc>
        <w:tc>
          <w:tcPr>
            <w:tcW w:w="584" w:type="pct"/>
            <w:tcBorders>
              <w:top w:val="nil"/>
              <w:left w:val="nil"/>
              <w:bottom w:val="nil"/>
              <w:right w:val="nil"/>
            </w:tcBorders>
            <w:vAlign w:val="bottom"/>
          </w:tcPr>
          <w:p w14:paraId="63E2D64D" w14:textId="3894EDA7" w:rsidR="008E31DD" w:rsidRPr="00537128" w:rsidRDefault="008E31DD" w:rsidP="008E31DD">
            <w:pPr>
              <w:spacing w:after="0" w:line="240" w:lineRule="exact"/>
              <w:jc w:val="right"/>
              <w:rPr>
                <w:rFonts w:ascii="Calibri" w:eastAsia="Arial Unicode MS" w:hAnsi="Calibri" w:cs="Arial"/>
                <w:sz w:val="18"/>
                <w:szCs w:val="18"/>
                <w:lang w:val="en-US"/>
              </w:rPr>
            </w:pPr>
            <w:r>
              <w:rPr>
                <w:rFonts w:ascii="Calibri" w:eastAsia="Arial Unicode MS" w:hAnsi="Calibri"/>
                <w:color w:val="000000" w:themeColor="text1"/>
                <w:sz w:val="18"/>
                <w:szCs w:val="18"/>
              </w:rPr>
              <w:t>-</w:t>
            </w:r>
          </w:p>
        </w:tc>
        <w:tc>
          <w:tcPr>
            <w:tcW w:w="579" w:type="pct"/>
            <w:tcBorders>
              <w:top w:val="nil"/>
              <w:left w:val="nil"/>
              <w:bottom w:val="nil"/>
              <w:right w:val="nil"/>
            </w:tcBorders>
            <w:vAlign w:val="bottom"/>
          </w:tcPr>
          <w:p w14:paraId="1044343F" w14:textId="676DE39B" w:rsidR="008E31DD" w:rsidRPr="00537128" w:rsidRDefault="008E31DD" w:rsidP="008E31DD">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3</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247</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520</w:t>
            </w:r>
          </w:p>
        </w:tc>
        <w:tc>
          <w:tcPr>
            <w:tcW w:w="653" w:type="pct"/>
            <w:tcBorders>
              <w:top w:val="nil"/>
              <w:left w:val="nil"/>
              <w:bottom w:val="nil"/>
              <w:right w:val="nil"/>
            </w:tcBorders>
            <w:vAlign w:val="bottom"/>
          </w:tcPr>
          <w:p w14:paraId="23951A6C" w14:textId="73BF69A5" w:rsidR="008E31DD" w:rsidRPr="00537128" w:rsidRDefault="008E31DD" w:rsidP="008E31DD">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3</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694</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440</w:t>
            </w:r>
          </w:p>
        </w:tc>
        <w:tc>
          <w:tcPr>
            <w:tcW w:w="577" w:type="pct"/>
            <w:tcBorders>
              <w:top w:val="nil"/>
              <w:left w:val="nil"/>
              <w:bottom w:val="nil"/>
            </w:tcBorders>
            <w:vAlign w:val="bottom"/>
          </w:tcPr>
          <w:p w14:paraId="2A236A4B" w14:textId="1CBBF2E0" w:rsidR="008E31DD" w:rsidRPr="00537128" w:rsidRDefault="008E31DD" w:rsidP="008E31DD">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6</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941</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960</w:t>
            </w:r>
          </w:p>
        </w:tc>
      </w:tr>
      <w:tr w:rsidR="008E31DD" w:rsidRPr="00537128" w14:paraId="4542D83F" w14:textId="77777777" w:rsidTr="00841A5E">
        <w:trPr>
          <w:trHeight w:val="254"/>
        </w:trPr>
        <w:tc>
          <w:tcPr>
            <w:tcW w:w="1520" w:type="pct"/>
            <w:vAlign w:val="bottom"/>
          </w:tcPr>
          <w:p w14:paraId="521D8E48" w14:textId="77777777" w:rsidR="008E31DD" w:rsidRPr="00537128" w:rsidRDefault="008E31DD" w:rsidP="008E31DD">
            <w:pPr>
              <w:tabs>
                <w:tab w:val="right" w:pos="1202"/>
              </w:tabs>
              <w:spacing w:after="0" w:line="240" w:lineRule="exact"/>
              <w:outlineLvl w:val="0"/>
              <w:rPr>
                <w:rFonts w:ascii="Calibri" w:eastAsia="Times New Roman" w:hAnsi="Calibri" w:cs="Arial"/>
                <w:sz w:val="18"/>
                <w:szCs w:val="18"/>
                <w:lang w:val="en-US"/>
              </w:rPr>
            </w:pPr>
            <w:bookmarkStart w:id="1059" w:name="_Toc4062818"/>
            <w:r w:rsidRPr="00537128">
              <w:rPr>
                <w:rFonts w:ascii="Calibri" w:eastAsia="Times New Roman" w:hAnsi="Calibri" w:cs="Arial"/>
                <w:spacing w:val="-2"/>
                <w:sz w:val="18"/>
                <w:szCs w:val="18"/>
                <w:lang w:val="en-US"/>
              </w:rPr>
              <w:t>Loans to other customers</w:t>
            </w:r>
            <w:bookmarkEnd w:id="1059"/>
            <w:r w:rsidRPr="00537128">
              <w:rPr>
                <w:rFonts w:ascii="Calibri" w:eastAsia="Times New Roman" w:hAnsi="Calibri" w:cs="Arial"/>
                <w:spacing w:val="-2"/>
                <w:sz w:val="18"/>
                <w:szCs w:val="18"/>
                <w:lang w:val="en-US"/>
              </w:rPr>
              <w:t xml:space="preserve"> </w:t>
            </w:r>
          </w:p>
        </w:tc>
        <w:tc>
          <w:tcPr>
            <w:tcW w:w="508" w:type="pct"/>
            <w:tcBorders>
              <w:top w:val="nil"/>
              <w:left w:val="nil"/>
              <w:bottom w:val="nil"/>
              <w:right w:val="nil"/>
            </w:tcBorders>
            <w:vAlign w:val="bottom"/>
          </w:tcPr>
          <w:p w14:paraId="52E84D8D" w14:textId="39B68E34" w:rsidR="008E31DD" w:rsidRPr="00537128" w:rsidRDefault="008E31DD" w:rsidP="008E31DD">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46</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478</w:t>
            </w:r>
          </w:p>
        </w:tc>
        <w:tc>
          <w:tcPr>
            <w:tcW w:w="579" w:type="pct"/>
            <w:tcBorders>
              <w:top w:val="nil"/>
              <w:left w:val="nil"/>
              <w:bottom w:val="nil"/>
              <w:right w:val="nil"/>
            </w:tcBorders>
            <w:vAlign w:val="bottom"/>
          </w:tcPr>
          <w:p w14:paraId="34F3FB8E" w14:textId="7D3AB392" w:rsidR="008E31DD" w:rsidRPr="00537128" w:rsidRDefault="008E31DD" w:rsidP="008E31DD">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9</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597</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200</w:t>
            </w:r>
          </w:p>
        </w:tc>
        <w:tc>
          <w:tcPr>
            <w:tcW w:w="584" w:type="pct"/>
            <w:tcBorders>
              <w:top w:val="nil"/>
              <w:left w:val="nil"/>
              <w:bottom w:val="nil"/>
              <w:right w:val="nil"/>
            </w:tcBorders>
            <w:vAlign w:val="bottom"/>
          </w:tcPr>
          <w:p w14:paraId="0F064E8E" w14:textId="206C2D3E" w:rsidR="008E31DD" w:rsidRPr="00537128" w:rsidRDefault="008E31DD" w:rsidP="008E31DD">
            <w:pPr>
              <w:spacing w:after="0" w:line="240" w:lineRule="exact"/>
              <w:jc w:val="right"/>
              <w:rPr>
                <w:rFonts w:ascii="Calibri" w:eastAsia="Arial Unicode MS" w:hAnsi="Calibri" w:cs="Arial"/>
                <w:sz w:val="18"/>
                <w:szCs w:val="18"/>
                <w:lang w:val="en-US"/>
              </w:rPr>
            </w:pPr>
            <w:r>
              <w:rPr>
                <w:rFonts w:ascii="Calibri" w:eastAsia="Arial Unicode MS" w:hAnsi="Calibri"/>
                <w:color w:val="000000" w:themeColor="text1"/>
                <w:sz w:val="18"/>
                <w:szCs w:val="18"/>
              </w:rPr>
              <w:t>-</w:t>
            </w:r>
          </w:p>
        </w:tc>
        <w:tc>
          <w:tcPr>
            <w:tcW w:w="579" w:type="pct"/>
            <w:tcBorders>
              <w:top w:val="nil"/>
              <w:left w:val="nil"/>
              <w:bottom w:val="nil"/>
              <w:right w:val="nil"/>
            </w:tcBorders>
            <w:vAlign w:val="bottom"/>
          </w:tcPr>
          <w:p w14:paraId="00005A82" w14:textId="2C2633CA" w:rsidR="008E31DD" w:rsidRPr="00537128" w:rsidRDefault="008E31DD" w:rsidP="008E31DD">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9</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643</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678</w:t>
            </w:r>
          </w:p>
        </w:tc>
        <w:tc>
          <w:tcPr>
            <w:tcW w:w="653" w:type="pct"/>
            <w:tcBorders>
              <w:top w:val="nil"/>
              <w:left w:val="nil"/>
              <w:bottom w:val="nil"/>
              <w:right w:val="nil"/>
            </w:tcBorders>
            <w:vAlign w:val="bottom"/>
          </w:tcPr>
          <w:p w14:paraId="289CD431" w14:textId="61B45CA6" w:rsidR="008E31DD" w:rsidRPr="00537128" w:rsidRDefault="008E31DD" w:rsidP="008E31DD">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6</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082</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755</w:t>
            </w:r>
          </w:p>
        </w:tc>
        <w:tc>
          <w:tcPr>
            <w:tcW w:w="577" w:type="pct"/>
            <w:tcBorders>
              <w:top w:val="nil"/>
              <w:left w:val="nil"/>
              <w:bottom w:val="nil"/>
            </w:tcBorders>
            <w:vAlign w:val="bottom"/>
          </w:tcPr>
          <w:p w14:paraId="238520AA" w14:textId="38AA8051" w:rsidR="008E31DD" w:rsidRPr="00537128" w:rsidRDefault="008E31DD" w:rsidP="008E31DD">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15</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726</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433</w:t>
            </w:r>
          </w:p>
        </w:tc>
      </w:tr>
      <w:tr w:rsidR="008E31DD" w:rsidRPr="00537128" w14:paraId="756C6B70" w14:textId="77777777" w:rsidTr="00841A5E">
        <w:trPr>
          <w:trHeight w:val="215"/>
        </w:trPr>
        <w:tc>
          <w:tcPr>
            <w:tcW w:w="1520" w:type="pct"/>
            <w:vAlign w:val="bottom"/>
          </w:tcPr>
          <w:p w14:paraId="306ED576" w14:textId="77777777" w:rsidR="008E31DD" w:rsidRPr="00537128" w:rsidRDefault="008E31DD" w:rsidP="008E31DD">
            <w:pPr>
              <w:tabs>
                <w:tab w:val="right" w:pos="1202"/>
              </w:tabs>
              <w:spacing w:after="0" w:line="240" w:lineRule="exact"/>
              <w:outlineLvl w:val="0"/>
              <w:rPr>
                <w:rFonts w:ascii="Calibri" w:eastAsia="Times New Roman" w:hAnsi="Calibri" w:cs="Arial"/>
                <w:spacing w:val="-2"/>
                <w:sz w:val="18"/>
                <w:szCs w:val="18"/>
                <w:lang w:val="en-US"/>
              </w:rPr>
            </w:pPr>
            <w:bookmarkStart w:id="1060" w:name="_Toc4062819"/>
            <w:r w:rsidRPr="00537128">
              <w:rPr>
                <w:rFonts w:ascii="Calibri" w:eastAsia="Times New Roman" w:hAnsi="Calibri" w:cs="Arial"/>
                <w:spacing w:val="-2"/>
                <w:sz w:val="18"/>
                <w:szCs w:val="18"/>
                <w:lang w:val="en-US"/>
              </w:rPr>
              <w:t>Financial assets at fair value through profit or loss</w:t>
            </w:r>
            <w:bookmarkEnd w:id="1060"/>
          </w:p>
        </w:tc>
        <w:tc>
          <w:tcPr>
            <w:tcW w:w="508" w:type="pct"/>
            <w:tcBorders>
              <w:top w:val="nil"/>
              <w:left w:val="nil"/>
              <w:bottom w:val="nil"/>
              <w:right w:val="nil"/>
            </w:tcBorders>
            <w:vAlign w:val="bottom"/>
          </w:tcPr>
          <w:p w14:paraId="26FFCAEA" w14:textId="031259AD" w:rsidR="008E31DD" w:rsidRPr="00537128" w:rsidRDefault="008E31DD" w:rsidP="008E31DD">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25</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652</w:t>
            </w:r>
          </w:p>
        </w:tc>
        <w:tc>
          <w:tcPr>
            <w:tcW w:w="579" w:type="pct"/>
            <w:tcBorders>
              <w:top w:val="nil"/>
              <w:left w:val="nil"/>
              <w:bottom w:val="nil"/>
              <w:right w:val="nil"/>
            </w:tcBorders>
            <w:vAlign w:val="bottom"/>
          </w:tcPr>
          <w:p w14:paraId="3E182B94" w14:textId="128DB2FF" w:rsidR="008E31DD" w:rsidRPr="00537128" w:rsidRDefault="008E31DD" w:rsidP="008E31DD">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48</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770</w:t>
            </w:r>
          </w:p>
        </w:tc>
        <w:tc>
          <w:tcPr>
            <w:tcW w:w="584" w:type="pct"/>
            <w:tcBorders>
              <w:top w:val="nil"/>
              <w:left w:val="nil"/>
              <w:bottom w:val="nil"/>
              <w:right w:val="nil"/>
            </w:tcBorders>
            <w:vAlign w:val="bottom"/>
          </w:tcPr>
          <w:p w14:paraId="404CABED" w14:textId="1DAFE27A" w:rsidR="008E31DD" w:rsidRPr="00537128" w:rsidRDefault="008E31DD" w:rsidP="008E31DD">
            <w:pPr>
              <w:spacing w:after="0" w:line="240" w:lineRule="exact"/>
              <w:jc w:val="right"/>
              <w:rPr>
                <w:rFonts w:ascii="Calibri" w:eastAsia="Arial Unicode MS" w:hAnsi="Calibri" w:cs="Arial"/>
                <w:sz w:val="18"/>
                <w:szCs w:val="18"/>
                <w:lang w:val="en-US"/>
              </w:rPr>
            </w:pPr>
            <w:r>
              <w:rPr>
                <w:rFonts w:ascii="Calibri" w:eastAsia="Arial Unicode MS" w:hAnsi="Calibri"/>
                <w:color w:val="000000" w:themeColor="text1"/>
                <w:sz w:val="18"/>
                <w:szCs w:val="18"/>
              </w:rPr>
              <w:t>-</w:t>
            </w:r>
          </w:p>
        </w:tc>
        <w:tc>
          <w:tcPr>
            <w:tcW w:w="579" w:type="pct"/>
            <w:tcBorders>
              <w:top w:val="nil"/>
              <w:left w:val="nil"/>
              <w:bottom w:val="nil"/>
              <w:right w:val="nil"/>
            </w:tcBorders>
            <w:vAlign w:val="bottom"/>
          </w:tcPr>
          <w:p w14:paraId="586C70CC" w14:textId="08FC56EF" w:rsidR="008E31DD" w:rsidRPr="00537128" w:rsidRDefault="008E31DD" w:rsidP="008E31DD">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74</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422</w:t>
            </w:r>
          </w:p>
        </w:tc>
        <w:tc>
          <w:tcPr>
            <w:tcW w:w="653" w:type="pct"/>
            <w:tcBorders>
              <w:top w:val="nil"/>
              <w:left w:val="nil"/>
              <w:bottom w:val="nil"/>
              <w:right w:val="nil"/>
            </w:tcBorders>
            <w:vAlign w:val="bottom"/>
          </w:tcPr>
          <w:p w14:paraId="533029CF" w14:textId="30EE2CAA" w:rsidR="008E31DD" w:rsidRPr="00537128" w:rsidRDefault="008E31DD" w:rsidP="008E31DD">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55</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122</w:t>
            </w:r>
          </w:p>
        </w:tc>
        <w:tc>
          <w:tcPr>
            <w:tcW w:w="577" w:type="pct"/>
            <w:tcBorders>
              <w:top w:val="nil"/>
              <w:left w:val="nil"/>
              <w:bottom w:val="nil"/>
            </w:tcBorders>
            <w:vAlign w:val="bottom"/>
          </w:tcPr>
          <w:p w14:paraId="79C0D305" w14:textId="3E7F6B03" w:rsidR="008E31DD" w:rsidRPr="00537128" w:rsidRDefault="008E31DD" w:rsidP="008E31DD">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129</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544</w:t>
            </w:r>
          </w:p>
        </w:tc>
      </w:tr>
      <w:tr w:rsidR="008E31DD" w:rsidRPr="00537128" w14:paraId="424C5929" w14:textId="77777777" w:rsidTr="00841A5E">
        <w:trPr>
          <w:trHeight w:val="254"/>
        </w:trPr>
        <w:tc>
          <w:tcPr>
            <w:tcW w:w="1520" w:type="pct"/>
            <w:vAlign w:val="bottom"/>
          </w:tcPr>
          <w:p w14:paraId="5B629502" w14:textId="77777777" w:rsidR="008E31DD" w:rsidRPr="00537128" w:rsidRDefault="008E31DD" w:rsidP="008E31DD">
            <w:pPr>
              <w:tabs>
                <w:tab w:val="right" w:pos="1202"/>
              </w:tabs>
              <w:spacing w:after="0" w:line="240" w:lineRule="exact"/>
              <w:outlineLvl w:val="0"/>
              <w:rPr>
                <w:rFonts w:ascii="Calibri" w:eastAsia="Times New Roman" w:hAnsi="Calibri" w:cs="Arial"/>
                <w:sz w:val="18"/>
                <w:szCs w:val="18"/>
                <w:lang w:val="en-US"/>
              </w:rPr>
            </w:pPr>
            <w:bookmarkStart w:id="1061" w:name="_Toc4062820"/>
            <w:r w:rsidRPr="00537128">
              <w:rPr>
                <w:rFonts w:ascii="Calibri" w:eastAsia="Times New Roman" w:hAnsi="Calibri" w:cs="Arial"/>
                <w:spacing w:val="-2"/>
                <w:sz w:val="18"/>
                <w:szCs w:val="18"/>
                <w:lang w:val="en-US"/>
              </w:rPr>
              <w:t>Financial assets at fair value through other comprehensive income</w:t>
            </w:r>
            <w:bookmarkEnd w:id="1061"/>
          </w:p>
        </w:tc>
        <w:tc>
          <w:tcPr>
            <w:tcW w:w="508" w:type="pct"/>
            <w:tcBorders>
              <w:top w:val="nil"/>
              <w:left w:val="nil"/>
              <w:bottom w:val="nil"/>
              <w:right w:val="nil"/>
            </w:tcBorders>
            <w:vAlign w:val="bottom"/>
          </w:tcPr>
          <w:p w14:paraId="6FFB482A" w14:textId="544D2656" w:rsidR="008E31DD" w:rsidRPr="00537128" w:rsidRDefault="008E31DD" w:rsidP="008E31DD">
            <w:pPr>
              <w:spacing w:after="0" w:line="240" w:lineRule="exact"/>
              <w:jc w:val="right"/>
              <w:rPr>
                <w:rFonts w:ascii="Calibri" w:eastAsia="Arial Unicode MS" w:hAnsi="Calibri" w:cs="Arial"/>
                <w:sz w:val="18"/>
                <w:szCs w:val="18"/>
                <w:lang w:val="en-US"/>
              </w:rPr>
            </w:pPr>
            <w:r>
              <w:rPr>
                <w:rFonts w:ascii="Calibri" w:eastAsia="Arial Unicode MS" w:hAnsi="Calibri"/>
                <w:color w:val="000000" w:themeColor="text1"/>
                <w:sz w:val="18"/>
                <w:szCs w:val="18"/>
              </w:rPr>
              <w:t>-</w:t>
            </w:r>
          </w:p>
        </w:tc>
        <w:tc>
          <w:tcPr>
            <w:tcW w:w="579" w:type="pct"/>
            <w:tcBorders>
              <w:top w:val="nil"/>
              <w:left w:val="nil"/>
              <w:bottom w:val="nil"/>
              <w:right w:val="nil"/>
            </w:tcBorders>
            <w:vAlign w:val="bottom"/>
          </w:tcPr>
          <w:p w14:paraId="160C5651" w14:textId="4D9AA469" w:rsidR="008E31DD" w:rsidRPr="00537128" w:rsidRDefault="008E31DD" w:rsidP="008E31DD">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1</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065</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329</w:t>
            </w:r>
          </w:p>
        </w:tc>
        <w:tc>
          <w:tcPr>
            <w:tcW w:w="584" w:type="pct"/>
            <w:tcBorders>
              <w:top w:val="nil"/>
              <w:left w:val="nil"/>
              <w:bottom w:val="nil"/>
              <w:right w:val="nil"/>
            </w:tcBorders>
            <w:vAlign w:val="bottom"/>
          </w:tcPr>
          <w:p w14:paraId="725819FE" w14:textId="4421416C" w:rsidR="008E31DD" w:rsidRPr="00537128" w:rsidRDefault="008E31DD" w:rsidP="008E31DD">
            <w:pPr>
              <w:spacing w:after="0" w:line="240" w:lineRule="exact"/>
              <w:jc w:val="right"/>
              <w:rPr>
                <w:rFonts w:ascii="Calibri" w:eastAsia="Arial Unicode MS" w:hAnsi="Calibri" w:cs="Arial"/>
                <w:sz w:val="18"/>
                <w:szCs w:val="18"/>
                <w:lang w:val="en-US"/>
              </w:rPr>
            </w:pPr>
            <w:r>
              <w:rPr>
                <w:rFonts w:ascii="Calibri" w:eastAsia="Arial Unicode MS" w:hAnsi="Calibri"/>
                <w:color w:val="000000" w:themeColor="text1"/>
                <w:sz w:val="18"/>
                <w:szCs w:val="18"/>
              </w:rPr>
              <w:t>-</w:t>
            </w:r>
          </w:p>
        </w:tc>
        <w:tc>
          <w:tcPr>
            <w:tcW w:w="579" w:type="pct"/>
            <w:tcBorders>
              <w:top w:val="nil"/>
              <w:left w:val="nil"/>
              <w:bottom w:val="nil"/>
              <w:right w:val="nil"/>
            </w:tcBorders>
            <w:vAlign w:val="bottom"/>
          </w:tcPr>
          <w:p w14:paraId="38EA2ACC" w14:textId="2A53C502" w:rsidR="008E31DD" w:rsidRPr="00537128" w:rsidRDefault="008E31DD" w:rsidP="008E31DD">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1</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065</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329</w:t>
            </w:r>
          </w:p>
        </w:tc>
        <w:tc>
          <w:tcPr>
            <w:tcW w:w="653" w:type="pct"/>
            <w:tcBorders>
              <w:top w:val="nil"/>
              <w:left w:val="nil"/>
              <w:bottom w:val="nil"/>
              <w:right w:val="nil"/>
            </w:tcBorders>
            <w:vAlign w:val="bottom"/>
          </w:tcPr>
          <w:p w14:paraId="0A78A1F7" w14:textId="4238A4CA" w:rsidR="008E31DD" w:rsidRPr="00537128" w:rsidRDefault="008E31DD" w:rsidP="008E31DD">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2</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183</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674</w:t>
            </w:r>
          </w:p>
        </w:tc>
        <w:tc>
          <w:tcPr>
            <w:tcW w:w="577" w:type="pct"/>
            <w:tcBorders>
              <w:top w:val="nil"/>
              <w:left w:val="nil"/>
              <w:bottom w:val="nil"/>
            </w:tcBorders>
            <w:vAlign w:val="bottom"/>
          </w:tcPr>
          <w:p w14:paraId="50EA29A4" w14:textId="370732AA" w:rsidR="008E31DD" w:rsidRPr="00537128" w:rsidRDefault="008E31DD" w:rsidP="008E31DD">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3</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249</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003</w:t>
            </w:r>
          </w:p>
        </w:tc>
      </w:tr>
      <w:tr w:rsidR="008E31DD" w:rsidRPr="00537128" w14:paraId="32738B65" w14:textId="77777777" w:rsidTr="00841A5E">
        <w:trPr>
          <w:trHeight w:val="507"/>
        </w:trPr>
        <w:tc>
          <w:tcPr>
            <w:tcW w:w="1520" w:type="pct"/>
            <w:vAlign w:val="bottom"/>
          </w:tcPr>
          <w:p w14:paraId="060558E8" w14:textId="77777777" w:rsidR="008E31DD" w:rsidRPr="00537128" w:rsidRDefault="008E31DD" w:rsidP="008E31DD">
            <w:pPr>
              <w:tabs>
                <w:tab w:val="right" w:pos="1202"/>
              </w:tabs>
              <w:spacing w:after="0" w:line="240" w:lineRule="exact"/>
              <w:outlineLvl w:val="0"/>
              <w:rPr>
                <w:rFonts w:ascii="Calibri" w:eastAsia="Times New Roman" w:hAnsi="Calibri" w:cs="Arial"/>
                <w:sz w:val="18"/>
                <w:szCs w:val="18"/>
                <w:lang w:val="en-US"/>
              </w:rPr>
            </w:pPr>
            <w:bookmarkStart w:id="1062" w:name="_Toc4062822"/>
            <w:r w:rsidRPr="00537128">
              <w:rPr>
                <w:rFonts w:ascii="Calibri" w:eastAsia="Times New Roman" w:hAnsi="Calibri" w:cs="Arial"/>
                <w:spacing w:val="-2"/>
                <w:sz w:val="18"/>
                <w:szCs w:val="18"/>
                <w:lang w:val="en-US"/>
              </w:rPr>
              <w:t>Property, plant and equipment and intangible assets</w:t>
            </w:r>
            <w:bookmarkEnd w:id="1062"/>
          </w:p>
        </w:tc>
        <w:tc>
          <w:tcPr>
            <w:tcW w:w="508" w:type="pct"/>
            <w:tcBorders>
              <w:top w:val="nil"/>
              <w:left w:val="nil"/>
              <w:bottom w:val="nil"/>
              <w:right w:val="nil"/>
            </w:tcBorders>
            <w:vAlign w:val="bottom"/>
          </w:tcPr>
          <w:p w14:paraId="16307C0C" w14:textId="0A5FA97F" w:rsidR="008E31DD" w:rsidRPr="00537128" w:rsidRDefault="008E31DD" w:rsidP="008E31DD">
            <w:pPr>
              <w:spacing w:after="0" w:line="240" w:lineRule="exact"/>
              <w:jc w:val="right"/>
              <w:rPr>
                <w:rFonts w:ascii="Calibri" w:eastAsia="Arial Unicode MS" w:hAnsi="Calibri" w:cs="Arial"/>
                <w:sz w:val="18"/>
                <w:szCs w:val="18"/>
                <w:lang w:val="en-US"/>
              </w:rPr>
            </w:pPr>
            <w:r>
              <w:rPr>
                <w:rFonts w:ascii="Calibri" w:eastAsia="Arial Unicode MS" w:hAnsi="Calibri"/>
                <w:color w:val="000000" w:themeColor="text1"/>
                <w:sz w:val="18"/>
                <w:szCs w:val="18"/>
              </w:rPr>
              <w:t>-</w:t>
            </w:r>
          </w:p>
        </w:tc>
        <w:tc>
          <w:tcPr>
            <w:tcW w:w="579" w:type="pct"/>
            <w:tcBorders>
              <w:top w:val="nil"/>
              <w:left w:val="nil"/>
              <w:bottom w:val="nil"/>
              <w:right w:val="nil"/>
            </w:tcBorders>
            <w:vAlign w:val="bottom"/>
          </w:tcPr>
          <w:p w14:paraId="5D13A1F0" w14:textId="12F62004" w:rsidR="008E31DD" w:rsidRPr="00537128" w:rsidRDefault="008E31DD" w:rsidP="008E31DD">
            <w:pPr>
              <w:spacing w:after="0" w:line="240" w:lineRule="exact"/>
              <w:jc w:val="right"/>
              <w:rPr>
                <w:rFonts w:ascii="Calibri" w:eastAsia="Arial Unicode MS" w:hAnsi="Calibri" w:cs="Arial"/>
                <w:sz w:val="18"/>
                <w:szCs w:val="18"/>
                <w:lang w:val="en-US"/>
              </w:rPr>
            </w:pPr>
            <w:r>
              <w:rPr>
                <w:rFonts w:ascii="Calibri" w:eastAsia="Arial Unicode MS" w:hAnsi="Calibri"/>
                <w:color w:val="000000" w:themeColor="text1"/>
                <w:sz w:val="18"/>
                <w:szCs w:val="18"/>
              </w:rPr>
              <w:t>-</w:t>
            </w:r>
          </w:p>
        </w:tc>
        <w:tc>
          <w:tcPr>
            <w:tcW w:w="584" w:type="pct"/>
            <w:tcBorders>
              <w:top w:val="nil"/>
              <w:left w:val="nil"/>
              <w:bottom w:val="nil"/>
              <w:right w:val="nil"/>
            </w:tcBorders>
            <w:vAlign w:val="bottom"/>
          </w:tcPr>
          <w:p w14:paraId="55385C43" w14:textId="0736F9BF" w:rsidR="008E31DD" w:rsidRPr="00537128" w:rsidRDefault="008E31DD" w:rsidP="008E31DD">
            <w:pPr>
              <w:spacing w:after="0" w:line="240" w:lineRule="exact"/>
              <w:jc w:val="right"/>
              <w:rPr>
                <w:rFonts w:ascii="Calibri" w:eastAsia="Arial Unicode MS" w:hAnsi="Calibri" w:cs="Arial"/>
                <w:sz w:val="18"/>
                <w:szCs w:val="18"/>
                <w:lang w:val="en-US"/>
              </w:rPr>
            </w:pPr>
            <w:r>
              <w:rPr>
                <w:rFonts w:ascii="Calibri" w:eastAsia="Arial Unicode MS" w:hAnsi="Calibri"/>
                <w:color w:val="000000" w:themeColor="text1"/>
                <w:sz w:val="18"/>
                <w:szCs w:val="18"/>
              </w:rPr>
              <w:t>-</w:t>
            </w:r>
          </w:p>
        </w:tc>
        <w:tc>
          <w:tcPr>
            <w:tcW w:w="579" w:type="pct"/>
            <w:tcBorders>
              <w:top w:val="nil"/>
              <w:left w:val="nil"/>
              <w:bottom w:val="nil"/>
              <w:right w:val="nil"/>
            </w:tcBorders>
            <w:vAlign w:val="bottom"/>
          </w:tcPr>
          <w:p w14:paraId="6E385BA4" w14:textId="6317C204" w:rsidR="008E31DD" w:rsidRPr="00537128" w:rsidRDefault="008E31DD" w:rsidP="008E31DD">
            <w:pPr>
              <w:spacing w:after="0" w:line="240" w:lineRule="exact"/>
              <w:jc w:val="right"/>
              <w:rPr>
                <w:rFonts w:ascii="Calibri" w:eastAsia="Arial Unicode MS" w:hAnsi="Calibri" w:cs="Arial"/>
                <w:sz w:val="18"/>
                <w:szCs w:val="18"/>
                <w:lang w:val="en-US"/>
              </w:rPr>
            </w:pPr>
            <w:r>
              <w:rPr>
                <w:rFonts w:ascii="Calibri" w:eastAsia="Arial Unicode MS" w:hAnsi="Calibri"/>
                <w:color w:val="000000" w:themeColor="text1"/>
                <w:sz w:val="18"/>
                <w:szCs w:val="18"/>
              </w:rPr>
              <w:t>-</w:t>
            </w:r>
          </w:p>
        </w:tc>
        <w:tc>
          <w:tcPr>
            <w:tcW w:w="653" w:type="pct"/>
            <w:tcBorders>
              <w:top w:val="nil"/>
              <w:left w:val="nil"/>
              <w:bottom w:val="nil"/>
              <w:right w:val="nil"/>
            </w:tcBorders>
            <w:vAlign w:val="bottom"/>
          </w:tcPr>
          <w:p w14:paraId="0320929A" w14:textId="789F2305" w:rsidR="008E31DD" w:rsidRPr="00537128" w:rsidRDefault="008E31DD" w:rsidP="008E31DD">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43</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623</w:t>
            </w:r>
          </w:p>
        </w:tc>
        <w:tc>
          <w:tcPr>
            <w:tcW w:w="577" w:type="pct"/>
            <w:tcBorders>
              <w:top w:val="nil"/>
              <w:left w:val="nil"/>
              <w:bottom w:val="nil"/>
              <w:right w:val="nil"/>
            </w:tcBorders>
            <w:vAlign w:val="bottom"/>
          </w:tcPr>
          <w:p w14:paraId="13A4C057" w14:textId="49A05DC4" w:rsidR="008E31DD" w:rsidRPr="00537128" w:rsidRDefault="008E31DD" w:rsidP="008E31DD">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43</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623</w:t>
            </w:r>
          </w:p>
        </w:tc>
      </w:tr>
      <w:tr w:rsidR="008E31DD" w:rsidRPr="00537128" w14:paraId="529EF969" w14:textId="77777777" w:rsidTr="00841A5E">
        <w:trPr>
          <w:trHeight w:val="239"/>
        </w:trPr>
        <w:tc>
          <w:tcPr>
            <w:tcW w:w="1520" w:type="pct"/>
            <w:vAlign w:val="bottom"/>
          </w:tcPr>
          <w:p w14:paraId="15B77E9B" w14:textId="77777777" w:rsidR="008E31DD" w:rsidRPr="00537128" w:rsidRDefault="008E31DD" w:rsidP="008E31DD">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Foreclosed assets</w:t>
            </w:r>
          </w:p>
        </w:tc>
        <w:tc>
          <w:tcPr>
            <w:tcW w:w="508" w:type="pct"/>
            <w:tcBorders>
              <w:top w:val="nil"/>
              <w:left w:val="nil"/>
              <w:bottom w:val="nil"/>
              <w:right w:val="nil"/>
            </w:tcBorders>
            <w:vAlign w:val="bottom"/>
          </w:tcPr>
          <w:p w14:paraId="3B80BCC7" w14:textId="6FAF5B19" w:rsidR="008E31DD" w:rsidRPr="00537128" w:rsidRDefault="008E31DD" w:rsidP="008E31DD">
            <w:pPr>
              <w:spacing w:after="0" w:line="240" w:lineRule="exact"/>
              <w:jc w:val="right"/>
              <w:rPr>
                <w:rFonts w:ascii="Calibri" w:eastAsia="Arial Unicode MS" w:hAnsi="Calibri" w:cs="Arial"/>
                <w:sz w:val="18"/>
                <w:szCs w:val="18"/>
                <w:lang w:val="en-US"/>
              </w:rPr>
            </w:pPr>
            <w:r>
              <w:rPr>
                <w:rFonts w:ascii="Calibri" w:eastAsia="Arial Unicode MS" w:hAnsi="Calibri"/>
                <w:color w:val="000000" w:themeColor="text1"/>
                <w:sz w:val="18"/>
                <w:szCs w:val="18"/>
              </w:rPr>
              <w:t>-</w:t>
            </w:r>
          </w:p>
        </w:tc>
        <w:tc>
          <w:tcPr>
            <w:tcW w:w="579" w:type="pct"/>
            <w:tcBorders>
              <w:top w:val="nil"/>
              <w:left w:val="nil"/>
              <w:bottom w:val="nil"/>
              <w:right w:val="nil"/>
            </w:tcBorders>
            <w:vAlign w:val="bottom"/>
          </w:tcPr>
          <w:p w14:paraId="54D6E82C" w14:textId="3546C658" w:rsidR="008E31DD" w:rsidRPr="00537128" w:rsidRDefault="008E31DD" w:rsidP="008E31DD">
            <w:pPr>
              <w:spacing w:after="0" w:line="240" w:lineRule="exact"/>
              <w:jc w:val="right"/>
              <w:rPr>
                <w:rFonts w:ascii="Calibri" w:eastAsia="Arial Unicode MS" w:hAnsi="Calibri" w:cs="Arial"/>
                <w:sz w:val="18"/>
                <w:szCs w:val="18"/>
                <w:lang w:val="en-US"/>
              </w:rPr>
            </w:pPr>
            <w:r>
              <w:rPr>
                <w:rFonts w:ascii="Calibri" w:eastAsia="Arial Unicode MS" w:hAnsi="Calibri"/>
                <w:color w:val="000000" w:themeColor="text1"/>
                <w:sz w:val="18"/>
                <w:szCs w:val="18"/>
              </w:rPr>
              <w:t>-</w:t>
            </w:r>
          </w:p>
        </w:tc>
        <w:tc>
          <w:tcPr>
            <w:tcW w:w="584" w:type="pct"/>
            <w:tcBorders>
              <w:top w:val="nil"/>
              <w:left w:val="nil"/>
              <w:bottom w:val="nil"/>
              <w:right w:val="nil"/>
            </w:tcBorders>
            <w:vAlign w:val="bottom"/>
          </w:tcPr>
          <w:p w14:paraId="5395BD92" w14:textId="7733E5F9" w:rsidR="008E31DD" w:rsidRPr="00537128" w:rsidRDefault="008E31DD" w:rsidP="008E31DD">
            <w:pPr>
              <w:spacing w:after="0" w:line="240" w:lineRule="exact"/>
              <w:jc w:val="right"/>
              <w:rPr>
                <w:rFonts w:ascii="Calibri" w:eastAsia="Arial Unicode MS" w:hAnsi="Calibri" w:cs="Arial"/>
                <w:sz w:val="18"/>
                <w:szCs w:val="18"/>
                <w:lang w:val="en-US"/>
              </w:rPr>
            </w:pPr>
            <w:r>
              <w:rPr>
                <w:rFonts w:ascii="Calibri" w:eastAsia="Arial Unicode MS" w:hAnsi="Calibri"/>
                <w:color w:val="000000" w:themeColor="text1"/>
                <w:sz w:val="18"/>
                <w:szCs w:val="18"/>
              </w:rPr>
              <w:t>-</w:t>
            </w:r>
          </w:p>
        </w:tc>
        <w:tc>
          <w:tcPr>
            <w:tcW w:w="579" w:type="pct"/>
            <w:tcBorders>
              <w:top w:val="nil"/>
              <w:left w:val="nil"/>
              <w:bottom w:val="nil"/>
              <w:right w:val="nil"/>
            </w:tcBorders>
            <w:vAlign w:val="bottom"/>
          </w:tcPr>
          <w:p w14:paraId="32965EDC" w14:textId="1D0A70A7" w:rsidR="008E31DD" w:rsidRPr="00537128" w:rsidRDefault="008E31DD" w:rsidP="008E31DD">
            <w:pPr>
              <w:spacing w:after="0" w:line="240" w:lineRule="exact"/>
              <w:jc w:val="right"/>
              <w:rPr>
                <w:rFonts w:ascii="Calibri" w:eastAsia="Arial Unicode MS" w:hAnsi="Calibri" w:cs="Arial"/>
                <w:sz w:val="18"/>
                <w:szCs w:val="18"/>
                <w:lang w:val="en-US"/>
              </w:rPr>
            </w:pPr>
            <w:r>
              <w:rPr>
                <w:rFonts w:ascii="Calibri" w:eastAsia="Arial Unicode MS" w:hAnsi="Calibri"/>
                <w:color w:val="000000" w:themeColor="text1"/>
                <w:sz w:val="18"/>
                <w:szCs w:val="18"/>
              </w:rPr>
              <w:t>-</w:t>
            </w:r>
          </w:p>
        </w:tc>
        <w:tc>
          <w:tcPr>
            <w:tcW w:w="653" w:type="pct"/>
            <w:tcBorders>
              <w:top w:val="nil"/>
              <w:left w:val="nil"/>
              <w:bottom w:val="nil"/>
              <w:right w:val="nil"/>
            </w:tcBorders>
            <w:vAlign w:val="bottom"/>
          </w:tcPr>
          <w:p w14:paraId="4DC1E913" w14:textId="546A51CC" w:rsidR="008E31DD" w:rsidRPr="00537128" w:rsidRDefault="008E31DD" w:rsidP="008E31DD">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24</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996</w:t>
            </w:r>
          </w:p>
        </w:tc>
        <w:tc>
          <w:tcPr>
            <w:tcW w:w="577" w:type="pct"/>
            <w:tcBorders>
              <w:top w:val="nil"/>
              <w:left w:val="nil"/>
              <w:bottom w:val="nil"/>
              <w:right w:val="nil"/>
            </w:tcBorders>
            <w:vAlign w:val="bottom"/>
          </w:tcPr>
          <w:p w14:paraId="23175EDD" w14:textId="20AC8D9D" w:rsidR="008E31DD" w:rsidRPr="00537128" w:rsidRDefault="008E31DD" w:rsidP="008E31DD">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24</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996</w:t>
            </w:r>
          </w:p>
        </w:tc>
      </w:tr>
      <w:tr w:rsidR="008E31DD" w:rsidRPr="00537128" w14:paraId="5CD7DD9D" w14:textId="77777777" w:rsidTr="00841A5E">
        <w:trPr>
          <w:trHeight w:val="254"/>
        </w:trPr>
        <w:tc>
          <w:tcPr>
            <w:tcW w:w="1520" w:type="pct"/>
            <w:vAlign w:val="bottom"/>
          </w:tcPr>
          <w:p w14:paraId="37D302AB" w14:textId="77777777" w:rsidR="008E31DD" w:rsidRPr="00537128" w:rsidRDefault="008E31DD" w:rsidP="008E31DD">
            <w:pPr>
              <w:tabs>
                <w:tab w:val="right" w:pos="1202"/>
              </w:tabs>
              <w:spacing w:after="0" w:line="240" w:lineRule="exact"/>
              <w:outlineLvl w:val="0"/>
              <w:rPr>
                <w:rFonts w:ascii="Calibri" w:eastAsia="Times New Roman" w:hAnsi="Calibri" w:cs="Arial"/>
                <w:sz w:val="18"/>
                <w:szCs w:val="18"/>
                <w:lang w:val="en-US"/>
              </w:rPr>
            </w:pPr>
            <w:bookmarkStart w:id="1063" w:name="_Toc4062824"/>
            <w:r w:rsidRPr="00537128">
              <w:rPr>
                <w:rFonts w:ascii="Calibri" w:eastAsia="Times New Roman" w:hAnsi="Calibri" w:cs="Arial"/>
                <w:spacing w:val="-2"/>
                <w:sz w:val="18"/>
                <w:szCs w:val="18"/>
                <w:lang w:val="en-US"/>
              </w:rPr>
              <w:t>Other assets</w:t>
            </w:r>
            <w:bookmarkEnd w:id="1063"/>
            <w:r w:rsidRPr="00537128">
              <w:rPr>
                <w:rFonts w:ascii="Calibri" w:eastAsia="Times New Roman" w:hAnsi="Calibri" w:cs="Arial"/>
                <w:spacing w:val="-2"/>
                <w:sz w:val="18"/>
                <w:szCs w:val="18"/>
                <w:lang w:val="en-US"/>
              </w:rPr>
              <w:t xml:space="preserve"> </w:t>
            </w:r>
          </w:p>
        </w:tc>
        <w:tc>
          <w:tcPr>
            <w:tcW w:w="508" w:type="pct"/>
            <w:tcBorders>
              <w:top w:val="nil"/>
              <w:left w:val="nil"/>
              <w:bottom w:val="nil"/>
              <w:right w:val="nil"/>
            </w:tcBorders>
            <w:vAlign w:val="bottom"/>
          </w:tcPr>
          <w:p w14:paraId="351A2593" w14:textId="7A4DADDF" w:rsidR="008E31DD" w:rsidRPr="00537128" w:rsidRDefault="008E31DD" w:rsidP="008E31DD">
            <w:pPr>
              <w:spacing w:after="0" w:line="240" w:lineRule="exact"/>
              <w:jc w:val="right"/>
              <w:rPr>
                <w:rFonts w:ascii="Calibri" w:eastAsia="Arial Unicode MS" w:hAnsi="Calibri" w:cs="Arial"/>
                <w:sz w:val="18"/>
                <w:szCs w:val="18"/>
                <w:lang w:val="en-US"/>
              </w:rPr>
            </w:pPr>
            <w:r>
              <w:rPr>
                <w:rFonts w:ascii="Calibri" w:eastAsia="Arial Unicode MS" w:hAnsi="Calibri"/>
                <w:color w:val="000000" w:themeColor="text1"/>
                <w:sz w:val="18"/>
                <w:szCs w:val="18"/>
              </w:rPr>
              <w:t>-</w:t>
            </w:r>
          </w:p>
        </w:tc>
        <w:tc>
          <w:tcPr>
            <w:tcW w:w="579" w:type="pct"/>
            <w:tcBorders>
              <w:top w:val="nil"/>
              <w:left w:val="nil"/>
              <w:bottom w:val="nil"/>
              <w:right w:val="nil"/>
            </w:tcBorders>
            <w:vAlign w:val="bottom"/>
          </w:tcPr>
          <w:p w14:paraId="47204EDF" w14:textId="1AA3AA49" w:rsidR="008E31DD" w:rsidRPr="00537128" w:rsidRDefault="008E31DD" w:rsidP="008E31DD">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1</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861</w:t>
            </w:r>
          </w:p>
        </w:tc>
        <w:tc>
          <w:tcPr>
            <w:tcW w:w="584" w:type="pct"/>
            <w:tcBorders>
              <w:top w:val="nil"/>
              <w:left w:val="nil"/>
              <w:bottom w:val="nil"/>
              <w:right w:val="nil"/>
            </w:tcBorders>
            <w:vAlign w:val="bottom"/>
          </w:tcPr>
          <w:p w14:paraId="3D7E8C04" w14:textId="4E7EC6B3" w:rsidR="008E31DD" w:rsidRPr="00537128" w:rsidRDefault="008E31DD" w:rsidP="008E31DD">
            <w:pPr>
              <w:spacing w:after="0" w:line="240" w:lineRule="exact"/>
              <w:jc w:val="right"/>
              <w:rPr>
                <w:rFonts w:ascii="Calibri" w:eastAsia="Arial Unicode MS" w:hAnsi="Calibri" w:cs="Arial"/>
                <w:sz w:val="18"/>
                <w:szCs w:val="18"/>
                <w:lang w:val="en-US"/>
              </w:rPr>
            </w:pPr>
            <w:r>
              <w:rPr>
                <w:rFonts w:ascii="Calibri" w:eastAsia="Arial Unicode MS" w:hAnsi="Calibri"/>
                <w:color w:val="000000" w:themeColor="text1"/>
                <w:sz w:val="18"/>
                <w:szCs w:val="18"/>
              </w:rPr>
              <w:t>-</w:t>
            </w:r>
          </w:p>
        </w:tc>
        <w:tc>
          <w:tcPr>
            <w:tcW w:w="579" w:type="pct"/>
            <w:tcBorders>
              <w:top w:val="nil"/>
              <w:left w:val="nil"/>
              <w:bottom w:val="nil"/>
              <w:right w:val="nil"/>
            </w:tcBorders>
            <w:vAlign w:val="bottom"/>
          </w:tcPr>
          <w:p w14:paraId="3ACE4879" w14:textId="0AC41063" w:rsidR="008E31DD" w:rsidRPr="00537128" w:rsidRDefault="008E31DD" w:rsidP="008E31DD">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1</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861</w:t>
            </w:r>
          </w:p>
        </w:tc>
        <w:tc>
          <w:tcPr>
            <w:tcW w:w="653" w:type="pct"/>
            <w:tcBorders>
              <w:top w:val="nil"/>
              <w:left w:val="nil"/>
              <w:bottom w:val="nil"/>
              <w:right w:val="nil"/>
            </w:tcBorders>
            <w:vAlign w:val="bottom"/>
          </w:tcPr>
          <w:p w14:paraId="16BF2DB0" w14:textId="31850F93" w:rsidR="008E31DD" w:rsidRPr="00537128" w:rsidRDefault="008E31DD" w:rsidP="008E31DD">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41</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138</w:t>
            </w:r>
          </w:p>
        </w:tc>
        <w:tc>
          <w:tcPr>
            <w:tcW w:w="577" w:type="pct"/>
            <w:tcBorders>
              <w:top w:val="nil"/>
              <w:left w:val="nil"/>
              <w:bottom w:val="nil"/>
              <w:right w:val="nil"/>
            </w:tcBorders>
            <w:vAlign w:val="bottom"/>
          </w:tcPr>
          <w:p w14:paraId="3F4889B6" w14:textId="6EABAE9F" w:rsidR="008E31DD" w:rsidRPr="00537128" w:rsidRDefault="008E31DD" w:rsidP="008E31DD">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42</w:t>
            </w:r>
            <w:r w:rsidR="00256242">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999</w:t>
            </w:r>
          </w:p>
        </w:tc>
      </w:tr>
      <w:tr w:rsidR="008E31DD" w:rsidRPr="00537128" w14:paraId="6BA06230" w14:textId="77777777" w:rsidTr="00841A5E">
        <w:trPr>
          <w:trHeight w:val="297"/>
        </w:trPr>
        <w:tc>
          <w:tcPr>
            <w:tcW w:w="1520" w:type="pct"/>
            <w:vAlign w:val="bottom"/>
          </w:tcPr>
          <w:p w14:paraId="605DA959" w14:textId="77777777" w:rsidR="008E31DD" w:rsidRPr="00537128" w:rsidRDefault="008E31DD" w:rsidP="008E31DD">
            <w:pPr>
              <w:tabs>
                <w:tab w:val="right" w:pos="1202"/>
              </w:tabs>
              <w:spacing w:after="0" w:line="240" w:lineRule="exact"/>
              <w:outlineLvl w:val="0"/>
              <w:rPr>
                <w:rFonts w:ascii="Calibri" w:eastAsia="Times New Roman" w:hAnsi="Calibri" w:cs="Arial"/>
                <w:b/>
                <w:bCs/>
                <w:sz w:val="18"/>
                <w:szCs w:val="18"/>
                <w:lang w:val="en-US"/>
              </w:rPr>
            </w:pPr>
            <w:bookmarkStart w:id="1064" w:name="_Toc4062825"/>
            <w:r w:rsidRPr="00537128">
              <w:rPr>
                <w:rFonts w:ascii="Calibri" w:eastAsia="Times New Roman" w:hAnsi="Calibri" w:cs="Arial"/>
                <w:b/>
                <w:bCs/>
                <w:sz w:val="18"/>
                <w:szCs w:val="18"/>
                <w:lang w:val="en-US"/>
              </w:rPr>
              <w:t>Total assets</w:t>
            </w:r>
            <w:bookmarkEnd w:id="1064"/>
            <w:r w:rsidRPr="00537128">
              <w:rPr>
                <w:rFonts w:ascii="Calibri" w:eastAsia="Times New Roman" w:hAnsi="Calibri" w:cs="Arial"/>
                <w:b/>
                <w:bCs/>
                <w:sz w:val="18"/>
                <w:szCs w:val="18"/>
                <w:lang w:val="en-US"/>
              </w:rPr>
              <w:t xml:space="preserve"> </w:t>
            </w:r>
          </w:p>
        </w:tc>
        <w:tc>
          <w:tcPr>
            <w:tcW w:w="508" w:type="pct"/>
            <w:tcBorders>
              <w:top w:val="single" w:sz="4" w:space="0" w:color="000000"/>
              <w:bottom w:val="single" w:sz="8" w:space="0" w:color="000000"/>
            </w:tcBorders>
            <w:vAlign w:val="bottom"/>
          </w:tcPr>
          <w:p w14:paraId="0436A8F5" w14:textId="6293D82A" w:rsidR="008E31DD" w:rsidRPr="00537128" w:rsidRDefault="008E31DD" w:rsidP="008E31DD">
            <w:pPr>
              <w:spacing w:after="0" w:line="240" w:lineRule="exact"/>
              <w:jc w:val="right"/>
              <w:rPr>
                <w:rFonts w:ascii="Calibri" w:eastAsia="Arial Unicode MS" w:hAnsi="Calibri" w:cs="Arial"/>
                <w:b/>
                <w:bCs/>
                <w:sz w:val="18"/>
                <w:szCs w:val="18"/>
                <w:lang w:val="en-US"/>
              </w:rPr>
            </w:pPr>
            <w:r w:rsidRPr="00427BE0">
              <w:rPr>
                <w:rFonts w:ascii="Calibri" w:eastAsia="Arial Unicode MS" w:hAnsi="Calibri"/>
                <w:b/>
                <w:bCs/>
                <w:color w:val="000000" w:themeColor="text1"/>
                <w:sz w:val="18"/>
                <w:szCs w:val="18"/>
              </w:rPr>
              <w:t>398</w:t>
            </w:r>
            <w:r w:rsidR="00256242">
              <w:rPr>
                <w:rFonts w:ascii="Calibri" w:eastAsia="Arial Unicode MS" w:hAnsi="Calibri"/>
                <w:b/>
                <w:bCs/>
                <w:color w:val="000000" w:themeColor="text1"/>
                <w:sz w:val="18"/>
                <w:szCs w:val="18"/>
              </w:rPr>
              <w:t>,</w:t>
            </w:r>
            <w:r w:rsidRPr="00427BE0">
              <w:rPr>
                <w:rFonts w:ascii="Calibri" w:eastAsia="Arial Unicode MS" w:hAnsi="Calibri"/>
                <w:b/>
                <w:bCs/>
                <w:color w:val="000000" w:themeColor="text1"/>
                <w:sz w:val="18"/>
                <w:szCs w:val="18"/>
              </w:rPr>
              <w:t>576</w:t>
            </w:r>
          </w:p>
        </w:tc>
        <w:tc>
          <w:tcPr>
            <w:tcW w:w="579" w:type="pct"/>
            <w:tcBorders>
              <w:top w:val="single" w:sz="4" w:space="0" w:color="000000"/>
              <w:bottom w:val="single" w:sz="8" w:space="0" w:color="000000"/>
            </w:tcBorders>
            <w:vAlign w:val="bottom"/>
          </w:tcPr>
          <w:p w14:paraId="3FFC6884" w14:textId="4EEB67D6" w:rsidR="008E31DD" w:rsidRPr="00537128" w:rsidRDefault="008E31DD" w:rsidP="008E31DD">
            <w:pPr>
              <w:spacing w:after="0" w:line="240" w:lineRule="exact"/>
              <w:jc w:val="right"/>
              <w:rPr>
                <w:rFonts w:ascii="Calibri" w:eastAsia="Arial Unicode MS" w:hAnsi="Calibri" w:cs="Arial"/>
                <w:b/>
                <w:bCs/>
                <w:sz w:val="18"/>
                <w:szCs w:val="18"/>
                <w:lang w:val="en-US"/>
              </w:rPr>
            </w:pPr>
            <w:r w:rsidRPr="00427BE0">
              <w:rPr>
                <w:rFonts w:ascii="Calibri" w:eastAsia="Arial Unicode MS" w:hAnsi="Calibri"/>
                <w:b/>
                <w:bCs/>
                <w:color w:val="000000" w:themeColor="text1"/>
                <w:sz w:val="18"/>
                <w:szCs w:val="18"/>
              </w:rPr>
              <w:t>14</w:t>
            </w:r>
            <w:r w:rsidR="00256242">
              <w:rPr>
                <w:rFonts w:ascii="Calibri" w:eastAsia="Arial Unicode MS" w:hAnsi="Calibri"/>
                <w:b/>
                <w:bCs/>
                <w:color w:val="000000" w:themeColor="text1"/>
                <w:sz w:val="18"/>
                <w:szCs w:val="18"/>
              </w:rPr>
              <w:t>,</w:t>
            </w:r>
            <w:r w:rsidRPr="00427BE0">
              <w:rPr>
                <w:rFonts w:ascii="Calibri" w:eastAsia="Arial Unicode MS" w:hAnsi="Calibri"/>
                <w:b/>
                <w:bCs/>
                <w:color w:val="000000" w:themeColor="text1"/>
                <w:sz w:val="18"/>
                <w:szCs w:val="18"/>
              </w:rPr>
              <w:t>030</w:t>
            </w:r>
            <w:r w:rsidR="00256242">
              <w:rPr>
                <w:rFonts w:ascii="Calibri" w:eastAsia="Arial Unicode MS" w:hAnsi="Calibri"/>
                <w:b/>
                <w:bCs/>
                <w:color w:val="000000" w:themeColor="text1"/>
                <w:sz w:val="18"/>
                <w:szCs w:val="18"/>
              </w:rPr>
              <w:t>,</w:t>
            </w:r>
            <w:r w:rsidRPr="00427BE0">
              <w:rPr>
                <w:rFonts w:ascii="Calibri" w:eastAsia="Arial Unicode MS" w:hAnsi="Calibri"/>
                <w:b/>
                <w:bCs/>
                <w:color w:val="000000" w:themeColor="text1"/>
                <w:sz w:val="18"/>
                <w:szCs w:val="18"/>
              </w:rPr>
              <w:t>055</w:t>
            </w:r>
          </w:p>
        </w:tc>
        <w:tc>
          <w:tcPr>
            <w:tcW w:w="584" w:type="pct"/>
            <w:tcBorders>
              <w:top w:val="single" w:sz="4" w:space="0" w:color="000000"/>
              <w:bottom w:val="single" w:sz="8" w:space="0" w:color="000000"/>
            </w:tcBorders>
            <w:vAlign w:val="bottom"/>
          </w:tcPr>
          <w:p w14:paraId="51425B8E" w14:textId="79DB00F5" w:rsidR="008E31DD" w:rsidRPr="00537128" w:rsidRDefault="008E31DD" w:rsidP="008E31DD">
            <w:pPr>
              <w:spacing w:after="0" w:line="240" w:lineRule="exact"/>
              <w:jc w:val="right"/>
              <w:rPr>
                <w:rFonts w:ascii="Calibri" w:eastAsia="Arial Unicode MS" w:hAnsi="Calibri" w:cs="Arial"/>
                <w:b/>
                <w:bCs/>
                <w:sz w:val="18"/>
                <w:szCs w:val="18"/>
                <w:lang w:val="en-US"/>
              </w:rPr>
            </w:pPr>
            <w:r>
              <w:rPr>
                <w:rFonts w:ascii="Calibri" w:eastAsia="Arial Unicode MS" w:hAnsi="Calibri"/>
                <w:b/>
                <w:bCs/>
                <w:color w:val="000000" w:themeColor="text1"/>
                <w:sz w:val="18"/>
                <w:szCs w:val="18"/>
              </w:rPr>
              <w:t>-</w:t>
            </w:r>
          </w:p>
        </w:tc>
        <w:tc>
          <w:tcPr>
            <w:tcW w:w="579" w:type="pct"/>
            <w:tcBorders>
              <w:top w:val="single" w:sz="4" w:space="0" w:color="000000"/>
              <w:bottom w:val="single" w:sz="8" w:space="0" w:color="000000"/>
            </w:tcBorders>
            <w:vAlign w:val="bottom"/>
          </w:tcPr>
          <w:p w14:paraId="79BF3AFD" w14:textId="1D05EB42" w:rsidR="008E31DD" w:rsidRPr="00537128" w:rsidRDefault="008E31DD" w:rsidP="008E31DD">
            <w:pPr>
              <w:spacing w:after="0" w:line="240" w:lineRule="exact"/>
              <w:jc w:val="right"/>
              <w:rPr>
                <w:rFonts w:ascii="Calibri" w:eastAsia="Arial Unicode MS" w:hAnsi="Calibri" w:cs="Arial"/>
                <w:b/>
                <w:bCs/>
                <w:sz w:val="18"/>
                <w:szCs w:val="18"/>
                <w:lang w:val="en-US"/>
              </w:rPr>
            </w:pPr>
            <w:r w:rsidRPr="00427BE0">
              <w:rPr>
                <w:rFonts w:ascii="Calibri" w:eastAsia="Arial Unicode MS" w:hAnsi="Calibri"/>
                <w:b/>
                <w:bCs/>
                <w:color w:val="000000" w:themeColor="text1"/>
                <w:sz w:val="18"/>
                <w:szCs w:val="18"/>
              </w:rPr>
              <w:t>14</w:t>
            </w:r>
            <w:r w:rsidR="00256242">
              <w:rPr>
                <w:rFonts w:ascii="Calibri" w:eastAsia="Arial Unicode MS" w:hAnsi="Calibri"/>
                <w:b/>
                <w:bCs/>
                <w:color w:val="000000" w:themeColor="text1"/>
                <w:sz w:val="18"/>
                <w:szCs w:val="18"/>
              </w:rPr>
              <w:t>,</w:t>
            </w:r>
            <w:r w:rsidRPr="00427BE0">
              <w:rPr>
                <w:rFonts w:ascii="Calibri" w:eastAsia="Arial Unicode MS" w:hAnsi="Calibri"/>
                <w:b/>
                <w:bCs/>
                <w:color w:val="000000" w:themeColor="text1"/>
                <w:sz w:val="18"/>
                <w:szCs w:val="18"/>
              </w:rPr>
              <w:t>428</w:t>
            </w:r>
            <w:r w:rsidR="00256242">
              <w:rPr>
                <w:rFonts w:ascii="Calibri" w:eastAsia="Arial Unicode MS" w:hAnsi="Calibri"/>
                <w:b/>
                <w:bCs/>
                <w:color w:val="000000" w:themeColor="text1"/>
                <w:sz w:val="18"/>
                <w:szCs w:val="18"/>
              </w:rPr>
              <w:t>,</w:t>
            </w:r>
            <w:r w:rsidRPr="00427BE0">
              <w:rPr>
                <w:rFonts w:ascii="Calibri" w:eastAsia="Arial Unicode MS" w:hAnsi="Calibri"/>
                <w:b/>
                <w:bCs/>
                <w:color w:val="000000" w:themeColor="text1"/>
                <w:sz w:val="18"/>
                <w:szCs w:val="18"/>
              </w:rPr>
              <w:t>631</w:t>
            </w:r>
          </w:p>
        </w:tc>
        <w:tc>
          <w:tcPr>
            <w:tcW w:w="653" w:type="pct"/>
            <w:tcBorders>
              <w:top w:val="single" w:sz="4" w:space="0" w:color="000000"/>
              <w:bottom w:val="single" w:sz="8" w:space="0" w:color="000000"/>
            </w:tcBorders>
            <w:vAlign w:val="bottom"/>
          </w:tcPr>
          <w:p w14:paraId="3846E509" w14:textId="534EA3DE" w:rsidR="008E31DD" w:rsidRPr="00537128" w:rsidRDefault="008E31DD" w:rsidP="008E31DD">
            <w:pPr>
              <w:spacing w:after="0" w:line="240" w:lineRule="exact"/>
              <w:jc w:val="right"/>
              <w:rPr>
                <w:rFonts w:ascii="Calibri" w:eastAsia="Arial Unicode MS" w:hAnsi="Calibri" w:cs="Arial"/>
                <w:b/>
                <w:bCs/>
                <w:sz w:val="18"/>
                <w:szCs w:val="18"/>
                <w:lang w:val="en-US"/>
              </w:rPr>
            </w:pPr>
            <w:r w:rsidRPr="00427BE0">
              <w:rPr>
                <w:rFonts w:ascii="Calibri" w:eastAsia="Arial Unicode MS" w:hAnsi="Calibri"/>
                <w:b/>
                <w:bCs/>
                <w:color w:val="000000" w:themeColor="text1"/>
                <w:sz w:val="18"/>
                <w:szCs w:val="18"/>
              </w:rPr>
              <w:t>13</w:t>
            </w:r>
            <w:r w:rsidR="00256242">
              <w:rPr>
                <w:rFonts w:ascii="Calibri" w:eastAsia="Arial Unicode MS" w:hAnsi="Calibri"/>
                <w:b/>
                <w:bCs/>
                <w:color w:val="000000" w:themeColor="text1"/>
                <w:sz w:val="18"/>
                <w:szCs w:val="18"/>
              </w:rPr>
              <w:t>,</w:t>
            </w:r>
            <w:r w:rsidRPr="00427BE0">
              <w:rPr>
                <w:rFonts w:ascii="Calibri" w:eastAsia="Arial Unicode MS" w:hAnsi="Calibri"/>
                <w:b/>
                <w:bCs/>
                <w:color w:val="000000" w:themeColor="text1"/>
                <w:sz w:val="18"/>
                <w:szCs w:val="18"/>
              </w:rPr>
              <w:t>322</w:t>
            </w:r>
            <w:r w:rsidR="00256242">
              <w:rPr>
                <w:rFonts w:ascii="Calibri" w:eastAsia="Arial Unicode MS" w:hAnsi="Calibri"/>
                <w:b/>
                <w:bCs/>
                <w:color w:val="000000" w:themeColor="text1"/>
                <w:sz w:val="18"/>
                <w:szCs w:val="18"/>
              </w:rPr>
              <w:t>,</w:t>
            </w:r>
            <w:r w:rsidRPr="00427BE0">
              <w:rPr>
                <w:rFonts w:ascii="Calibri" w:eastAsia="Arial Unicode MS" w:hAnsi="Calibri"/>
                <w:b/>
                <w:bCs/>
                <w:color w:val="000000" w:themeColor="text1"/>
                <w:sz w:val="18"/>
                <w:szCs w:val="18"/>
              </w:rPr>
              <w:t>710</w:t>
            </w:r>
          </w:p>
        </w:tc>
        <w:tc>
          <w:tcPr>
            <w:tcW w:w="577" w:type="pct"/>
            <w:tcBorders>
              <w:top w:val="single" w:sz="4" w:space="0" w:color="000000"/>
              <w:bottom w:val="single" w:sz="8" w:space="0" w:color="000000"/>
            </w:tcBorders>
            <w:vAlign w:val="bottom"/>
          </w:tcPr>
          <w:p w14:paraId="12CD5E1E" w14:textId="0C1B598D" w:rsidR="008E31DD" w:rsidRPr="00537128" w:rsidRDefault="008E31DD" w:rsidP="008E31DD">
            <w:pPr>
              <w:spacing w:after="0" w:line="240" w:lineRule="exact"/>
              <w:jc w:val="right"/>
              <w:rPr>
                <w:rFonts w:ascii="Calibri" w:eastAsia="Arial Unicode MS" w:hAnsi="Calibri" w:cs="Arial"/>
                <w:b/>
                <w:bCs/>
                <w:sz w:val="18"/>
                <w:szCs w:val="18"/>
                <w:lang w:val="en-US"/>
              </w:rPr>
            </w:pPr>
            <w:r w:rsidRPr="00427BE0">
              <w:rPr>
                <w:rFonts w:ascii="Calibri" w:eastAsia="Arial Unicode MS" w:hAnsi="Calibri"/>
                <w:b/>
                <w:bCs/>
                <w:color w:val="000000" w:themeColor="text1"/>
                <w:sz w:val="18"/>
                <w:szCs w:val="18"/>
              </w:rPr>
              <w:t>27</w:t>
            </w:r>
            <w:r w:rsidR="00256242">
              <w:rPr>
                <w:rFonts w:ascii="Calibri" w:eastAsia="Arial Unicode MS" w:hAnsi="Calibri"/>
                <w:b/>
                <w:bCs/>
                <w:color w:val="000000" w:themeColor="text1"/>
                <w:sz w:val="18"/>
                <w:szCs w:val="18"/>
              </w:rPr>
              <w:t>,</w:t>
            </w:r>
            <w:r w:rsidRPr="00427BE0">
              <w:rPr>
                <w:rFonts w:ascii="Calibri" w:eastAsia="Arial Unicode MS" w:hAnsi="Calibri"/>
                <w:b/>
                <w:bCs/>
                <w:color w:val="000000" w:themeColor="text1"/>
                <w:sz w:val="18"/>
                <w:szCs w:val="18"/>
              </w:rPr>
              <w:t>751</w:t>
            </w:r>
            <w:r w:rsidR="00256242">
              <w:rPr>
                <w:rFonts w:ascii="Calibri" w:eastAsia="Arial Unicode MS" w:hAnsi="Calibri"/>
                <w:b/>
                <w:bCs/>
                <w:color w:val="000000" w:themeColor="text1"/>
                <w:sz w:val="18"/>
                <w:szCs w:val="18"/>
              </w:rPr>
              <w:t>,</w:t>
            </w:r>
            <w:r w:rsidRPr="00427BE0">
              <w:rPr>
                <w:rFonts w:ascii="Calibri" w:eastAsia="Arial Unicode MS" w:hAnsi="Calibri"/>
                <w:b/>
                <w:bCs/>
                <w:color w:val="000000" w:themeColor="text1"/>
                <w:sz w:val="18"/>
                <w:szCs w:val="18"/>
              </w:rPr>
              <w:t>341</w:t>
            </w:r>
          </w:p>
        </w:tc>
      </w:tr>
      <w:tr w:rsidR="008E31DD" w:rsidRPr="00537128" w14:paraId="2DF4CE1F" w14:textId="77777777" w:rsidTr="006A5067">
        <w:trPr>
          <w:trHeight w:val="97"/>
        </w:trPr>
        <w:tc>
          <w:tcPr>
            <w:tcW w:w="1520" w:type="pct"/>
            <w:vAlign w:val="bottom"/>
          </w:tcPr>
          <w:p w14:paraId="02E3BB9C" w14:textId="77777777" w:rsidR="008E31DD" w:rsidRPr="00537128" w:rsidRDefault="008E31DD" w:rsidP="008E31DD">
            <w:pPr>
              <w:tabs>
                <w:tab w:val="right" w:pos="1202"/>
              </w:tabs>
              <w:spacing w:after="0" w:line="240" w:lineRule="exact"/>
              <w:outlineLvl w:val="0"/>
              <w:rPr>
                <w:rFonts w:ascii="Calibri" w:eastAsia="Times New Roman" w:hAnsi="Calibri" w:cs="Arial"/>
                <w:b/>
                <w:bCs/>
                <w:sz w:val="18"/>
                <w:szCs w:val="18"/>
                <w:lang w:val="en-US"/>
              </w:rPr>
            </w:pPr>
          </w:p>
        </w:tc>
        <w:tc>
          <w:tcPr>
            <w:tcW w:w="508" w:type="pct"/>
            <w:tcBorders>
              <w:top w:val="single" w:sz="4" w:space="0" w:color="000000"/>
            </w:tcBorders>
            <w:vAlign w:val="bottom"/>
          </w:tcPr>
          <w:p w14:paraId="75A0FFFF" w14:textId="77777777" w:rsidR="008E31DD" w:rsidRPr="00537128" w:rsidRDefault="008E31DD" w:rsidP="008E31DD">
            <w:pPr>
              <w:spacing w:after="0" w:line="240" w:lineRule="exact"/>
              <w:jc w:val="right"/>
              <w:rPr>
                <w:rFonts w:ascii="Calibri" w:eastAsia="Times New Roman" w:hAnsi="Calibri" w:cs="Times New Roman"/>
                <w:b/>
                <w:bCs/>
                <w:sz w:val="18"/>
                <w:szCs w:val="18"/>
                <w:lang w:val="en-US"/>
              </w:rPr>
            </w:pPr>
          </w:p>
        </w:tc>
        <w:tc>
          <w:tcPr>
            <w:tcW w:w="579" w:type="pct"/>
            <w:tcBorders>
              <w:top w:val="single" w:sz="4" w:space="0" w:color="000000"/>
            </w:tcBorders>
            <w:vAlign w:val="bottom"/>
          </w:tcPr>
          <w:p w14:paraId="3C89DFE9" w14:textId="77777777" w:rsidR="008E31DD" w:rsidRPr="00537128" w:rsidRDefault="008E31DD" w:rsidP="008E31DD">
            <w:pPr>
              <w:spacing w:after="0" w:line="240" w:lineRule="exact"/>
              <w:jc w:val="right"/>
              <w:rPr>
                <w:rFonts w:ascii="Calibri" w:eastAsia="Times New Roman" w:hAnsi="Calibri" w:cs="Times New Roman"/>
                <w:b/>
                <w:bCs/>
                <w:sz w:val="18"/>
                <w:szCs w:val="18"/>
                <w:lang w:val="en-US"/>
              </w:rPr>
            </w:pPr>
          </w:p>
        </w:tc>
        <w:tc>
          <w:tcPr>
            <w:tcW w:w="584" w:type="pct"/>
            <w:tcBorders>
              <w:top w:val="single" w:sz="4" w:space="0" w:color="000000"/>
            </w:tcBorders>
            <w:vAlign w:val="bottom"/>
          </w:tcPr>
          <w:p w14:paraId="105FCB62" w14:textId="77777777" w:rsidR="008E31DD" w:rsidRPr="00537128" w:rsidRDefault="008E31DD" w:rsidP="008E31DD">
            <w:pPr>
              <w:spacing w:after="0" w:line="240" w:lineRule="exact"/>
              <w:jc w:val="right"/>
              <w:rPr>
                <w:rFonts w:ascii="Calibri" w:eastAsia="Times New Roman" w:hAnsi="Calibri" w:cs="Times New Roman"/>
                <w:b/>
                <w:bCs/>
                <w:sz w:val="18"/>
                <w:szCs w:val="18"/>
                <w:lang w:val="en-US"/>
              </w:rPr>
            </w:pPr>
          </w:p>
        </w:tc>
        <w:tc>
          <w:tcPr>
            <w:tcW w:w="579" w:type="pct"/>
            <w:tcBorders>
              <w:top w:val="single" w:sz="4" w:space="0" w:color="000000"/>
            </w:tcBorders>
            <w:vAlign w:val="bottom"/>
          </w:tcPr>
          <w:p w14:paraId="460A2AFE" w14:textId="77777777" w:rsidR="008E31DD" w:rsidRPr="00537128" w:rsidRDefault="008E31DD" w:rsidP="008E31DD">
            <w:pPr>
              <w:spacing w:after="0" w:line="240" w:lineRule="exact"/>
              <w:jc w:val="right"/>
              <w:rPr>
                <w:rFonts w:ascii="Calibri" w:eastAsia="Times New Roman" w:hAnsi="Calibri" w:cs="Times New Roman"/>
                <w:b/>
                <w:bCs/>
                <w:sz w:val="18"/>
                <w:szCs w:val="18"/>
                <w:lang w:val="en-US"/>
              </w:rPr>
            </w:pPr>
          </w:p>
        </w:tc>
        <w:tc>
          <w:tcPr>
            <w:tcW w:w="653" w:type="pct"/>
            <w:tcBorders>
              <w:top w:val="single" w:sz="4" w:space="0" w:color="000000"/>
            </w:tcBorders>
            <w:vAlign w:val="bottom"/>
          </w:tcPr>
          <w:p w14:paraId="0F203B8D" w14:textId="77777777" w:rsidR="008E31DD" w:rsidRPr="00537128" w:rsidRDefault="008E31DD" w:rsidP="008E31DD">
            <w:pPr>
              <w:spacing w:after="0" w:line="240" w:lineRule="exact"/>
              <w:jc w:val="right"/>
              <w:rPr>
                <w:rFonts w:ascii="Calibri" w:eastAsia="Times New Roman" w:hAnsi="Calibri" w:cs="Times New Roman"/>
                <w:b/>
                <w:bCs/>
                <w:sz w:val="18"/>
                <w:szCs w:val="18"/>
                <w:lang w:val="en-US"/>
              </w:rPr>
            </w:pPr>
          </w:p>
        </w:tc>
        <w:tc>
          <w:tcPr>
            <w:tcW w:w="577" w:type="pct"/>
            <w:tcBorders>
              <w:top w:val="single" w:sz="4" w:space="0" w:color="000000"/>
            </w:tcBorders>
            <w:vAlign w:val="bottom"/>
          </w:tcPr>
          <w:p w14:paraId="62994B90" w14:textId="77777777" w:rsidR="008E31DD" w:rsidRPr="00537128" w:rsidRDefault="008E31DD" w:rsidP="008E31DD">
            <w:pPr>
              <w:spacing w:after="0" w:line="240" w:lineRule="exact"/>
              <w:jc w:val="right"/>
              <w:rPr>
                <w:rFonts w:ascii="Calibri" w:eastAsia="Times New Roman" w:hAnsi="Calibri" w:cs="Times New Roman"/>
                <w:b/>
                <w:bCs/>
                <w:sz w:val="18"/>
                <w:szCs w:val="18"/>
                <w:lang w:val="en-US"/>
              </w:rPr>
            </w:pPr>
          </w:p>
        </w:tc>
      </w:tr>
      <w:tr w:rsidR="008E31DD" w:rsidRPr="00537128" w14:paraId="123E8900" w14:textId="77777777" w:rsidTr="006A5067">
        <w:trPr>
          <w:trHeight w:val="277"/>
        </w:trPr>
        <w:tc>
          <w:tcPr>
            <w:tcW w:w="1520" w:type="pct"/>
            <w:vAlign w:val="bottom"/>
          </w:tcPr>
          <w:p w14:paraId="239449F0" w14:textId="77777777" w:rsidR="008E31DD" w:rsidRPr="00537128" w:rsidRDefault="008E31DD" w:rsidP="008E31DD">
            <w:pPr>
              <w:tabs>
                <w:tab w:val="right" w:pos="1202"/>
              </w:tabs>
              <w:spacing w:after="0" w:line="240" w:lineRule="exact"/>
              <w:outlineLvl w:val="0"/>
              <w:rPr>
                <w:rFonts w:ascii="Calibri" w:eastAsia="Times New Roman" w:hAnsi="Calibri" w:cs="Arial"/>
                <w:b/>
                <w:bCs/>
                <w:sz w:val="18"/>
                <w:szCs w:val="18"/>
                <w:lang w:val="en-US"/>
              </w:rPr>
            </w:pPr>
            <w:bookmarkStart w:id="1065" w:name="_Toc4062826"/>
            <w:r w:rsidRPr="00537128">
              <w:rPr>
                <w:rFonts w:ascii="Calibri" w:eastAsia="Times New Roman" w:hAnsi="Calibri" w:cs="Arial"/>
                <w:b/>
                <w:bCs/>
                <w:sz w:val="18"/>
                <w:szCs w:val="18"/>
                <w:lang w:val="en-US"/>
              </w:rPr>
              <w:t>Liabilities</w:t>
            </w:r>
            <w:bookmarkEnd w:id="1065"/>
            <w:r w:rsidRPr="00537128">
              <w:rPr>
                <w:rFonts w:ascii="Calibri" w:eastAsia="Times New Roman" w:hAnsi="Calibri" w:cs="Arial"/>
                <w:b/>
                <w:bCs/>
                <w:sz w:val="18"/>
                <w:szCs w:val="18"/>
                <w:lang w:val="en-US"/>
              </w:rPr>
              <w:t xml:space="preserve"> </w:t>
            </w:r>
          </w:p>
        </w:tc>
        <w:tc>
          <w:tcPr>
            <w:tcW w:w="508" w:type="pct"/>
            <w:shd w:val="clear" w:color="auto" w:fill="auto"/>
            <w:vAlign w:val="bottom"/>
          </w:tcPr>
          <w:p w14:paraId="0AE54B64" w14:textId="77777777" w:rsidR="008E31DD" w:rsidRPr="00537128" w:rsidRDefault="008E31DD" w:rsidP="008E31DD">
            <w:pPr>
              <w:suppressAutoHyphens/>
              <w:spacing w:after="0" w:line="240" w:lineRule="exact"/>
              <w:ind w:left="-123"/>
              <w:jc w:val="right"/>
              <w:rPr>
                <w:rFonts w:ascii="Calibri" w:eastAsia="Calibri" w:hAnsi="Calibri" w:cs="Arial"/>
                <w:spacing w:val="-2"/>
                <w:sz w:val="18"/>
                <w:szCs w:val="18"/>
                <w:lang w:val="en-US"/>
              </w:rPr>
            </w:pPr>
          </w:p>
        </w:tc>
        <w:tc>
          <w:tcPr>
            <w:tcW w:w="579" w:type="pct"/>
            <w:shd w:val="clear" w:color="auto" w:fill="auto"/>
            <w:vAlign w:val="bottom"/>
          </w:tcPr>
          <w:p w14:paraId="1989EE95" w14:textId="77777777" w:rsidR="008E31DD" w:rsidRPr="00537128" w:rsidRDefault="008E31DD" w:rsidP="008E31DD">
            <w:pPr>
              <w:suppressAutoHyphens/>
              <w:spacing w:after="0" w:line="240" w:lineRule="exact"/>
              <w:jc w:val="right"/>
              <w:rPr>
                <w:rFonts w:ascii="Calibri" w:eastAsia="Calibri" w:hAnsi="Calibri" w:cs="Arial"/>
                <w:spacing w:val="-2"/>
                <w:sz w:val="18"/>
                <w:szCs w:val="18"/>
                <w:lang w:val="en-US"/>
              </w:rPr>
            </w:pPr>
          </w:p>
        </w:tc>
        <w:tc>
          <w:tcPr>
            <w:tcW w:w="584" w:type="pct"/>
            <w:shd w:val="clear" w:color="auto" w:fill="auto"/>
            <w:vAlign w:val="bottom"/>
          </w:tcPr>
          <w:p w14:paraId="5B9286E5" w14:textId="77777777" w:rsidR="008E31DD" w:rsidRPr="00537128" w:rsidRDefault="008E31DD" w:rsidP="008E31DD">
            <w:pPr>
              <w:suppressAutoHyphens/>
              <w:spacing w:after="0" w:line="240" w:lineRule="exact"/>
              <w:jc w:val="right"/>
              <w:rPr>
                <w:rFonts w:ascii="Calibri" w:eastAsia="Calibri" w:hAnsi="Calibri" w:cs="Arial"/>
                <w:spacing w:val="-2"/>
                <w:sz w:val="18"/>
                <w:szCs w:val="18"/>
                <w:lang w:val="en-US"/>
              </w:rPr>
            </w:pPr>
          </w:p>
        </w:tc>
        <w:tc>
          <w:tcPr>
            <w:tcW w:w="579" w:type="pct"/>
            <w:shd w:val="clear" w:color="auto" w:fill="auto"/>
            <w:vAlign w:val="bottom"/>
          </w:tcPr>
          <w:p w14:paraId="1F4DE4F2" w14:textId="77777777" w:rsidR="008E31DD" w:rsidRPr="00537128" w:rsidRDefault="008E31DD" w:rsidP="008E31DD">
            <w:pPr>
              <w:suppressAutoHyphens/>
              <w:spacing w:after="0" w:line="240" w:lineRule="exact"/>
              <w:jc w:val="right"/>
              <w:rPr>
                <w:rFonts w:ascii="Calibri" w:eastAsia="Calibri" w:hAnsi="Calibri" w:cs="Arial"/>
                <w:spacing w:val="-2"/>
                <w:sz w:val="18"/>
                <w:szCs w:val="18"/>
                <w:lang w:val="en-US"/>
              </w:rPr>
            </w:pPr>
          </w:p>
        </w:tc>
        <w:tc>
          <w:tcPr>
            <w:tcW w:w="653" w:type="pct"/>
            <w:shd w:val="clear" w:color="auto" w:fill="auto"/>
            <w:vAlign w:val="bottom"/>
          </w:tcPr>
          <w:p w14:paraId="0A54E505" w14:textId="77777777" w:rsidR="008E31DD" w:rsidRPr="00537128" w:rsidRDefault="008E31DD" w:rsidP="008E31DD">
            <w:pPr>
              <w:suppressAutoHyphens/>
              <w:spacing w:after="0" w:line="240" w:lineRule="exact"/>
              <w:jc w:val="right"/>
              <w:rPr>
                <w:rFonts w:ascii="Calibri" w:eastAsia="Calibri" w:hAnsi="Calibri" w:cs="Arial"/>
                <w:spacing w:val="-2"/>
                <w:sz w:val="18"/>
                <w:szCs w:val="18"/>
                <w:lang w:val="en-US"/>
              </w:rPr>
            </w:pPr>
          </w:p>
        </w:tc>
        <w:tc>
          <w:tcPr>
            <w:tcW w:w="577" w:type="pct"/>
            <w:shd w:val="clear" w:color="auto" w:fill="auto"/>
            <w:vAlign w:val="bottom"/>
          </w:tcPr>
          <w:p w14:paraId="75E2A0C4" w14:textId="77777777" w:rsidR="008E31DD" w:rsidRPr="00537128" w:rsidRDefault="008E31DD" w:rsidP="008E31DD">
            <w:pPr>
              <w:spacing w:after="0" w:line="240" w:lineRule="exact"/>
              <w:jc w:val="right"/>
              <w:rPr>
                <w:rFonts w:ascii="Calibri" w:eastAsia="Calibri" w:hAnsi="Calibri" w:cs="Arial"/>
                <w:b/>
                <w:sz w:val="18"/>
                <w:szCs w:val="18"/>
                <w:lang w:val="en-US"/>
              </w:rPr>
            </w:pPr>
          </w:p>
        </w:tc>
      </w:tr>
      <w:tr w:rsidR="00256242" w:rsidRPr="00537128" w14:paraId="7F8337DF" w14:textId="77777777" w:rsidTr="004B58BA">
        <w:trPr>
          <w:trHeight w:val="254"/>
        </w:trPr>
        <w:tc>
          <w:tcPr>
            <w:tcW w:w="1520" w:type="pct"/>
            <w:vAlign w:val="bottom"/>
          </w:tcPr>
          <w:p w14:paraId="041A79FA" w14:textId="77777777" w:rsidR="00256242" w:rsidRPr="00537128" w:rsidRDefault="00256242" w:rsidP="00256242">
            <w:pPr>
              <w:tabs>
                <w:tab w:val="right" w:pos="1202"/>
              </w:tabs>
              <w:spacing w:after="0" w:line="240" w:lineRule="exact"/>
              <w:outlineLvl w:val="0"/>
              <w:rPr>
                <w:rFonts w:ascii="Calibri" w:eastAsia="Times New Roman" w:hAnsi="Calibri" w:cs="Arial"/>
                <w:sz w:val="18"/>
                <w:szCs w:val="18"/>
                <w:lang w:val="en-US"/>
              </w:rPr>
            </w:pPr>
            <w:bookmarkStart w:id="1066" w:name="_Toc4062827"/>
            <w:r w:rsidRPr="00537128">
              <w:rPr>
                <w:rFonts w:ascii="Calibri" w:eastAsia="Times New Roman" w:hAnsi="Calibri" w:cs="Arial"/>
                <w:sz w:val="18"/>
                <w:szCs w:val="18"/>
                <w:lang w:val="en-US"/>
              </w:rPr>
              <w:t>Deposits from customers</w:t>
            </w:r>
            <w:bookmarkEnd w:id="1066"/>
            <w:r w:rsidRPr="00537128">
              <w:rPr>
                <w:rFonts w:ascii="Calibri" w:eastAsia="Times New Roman" w:hAnsi="Calibri" w:cs="Arial"/>
                <w:sz w:val="18"/>
                <w:szCs w:val="18"/>
                <w:lang w:val="en-US"/>
              </w:rPr>
              <w:t xml:space="preserve"> </w:t>
            </w:r>
          </w:p>
        </w:tc>
        <w:tc>
          <w:tcPr>
            <w:tcW w:w="508" w:type="pct"/>
            <w:tcBorders>
              <w:top w:val="nil"/>
              <w:left w:val="nil"/>
              <w:bottom w:val="nil"/>
              <w:right w:val="nil"/>
            </w:tcBorders>
            <w:vAlign w:val="bottom"/>
          </w:tcPr>
          <w:p w14:paraId="06C62F69" w14:textId="172E31A6" w:rsidR="00256242" w:rsidRPr="00537128" w:rsidRDefault="00256242" w:rsidP="00256242">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101</w:t>
            </w:r>
            <w:r>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916</w:t>
            </w:r>
          </w:p>
        </w:tc>
        <w:tc>
          <w:tcPr>
            <w:tcW w:w="579" w:type="pct"/>
            <w:tcBorders>
              <w:top w:val="nil"/>
              <w:left w:val="nil"/>
              <w:bottom w:val="nil"/>
              <w:right w:val="nil"/>
            </w:tcBorders>
            <w:vAlign w:val="bottom"/>
          </w:tcPr>
          <w:p w14:paraId="7C157C79" w14:textId="682029CF" w:rsidR="00256242" w:rsidRPr="00537128" w:rsidRDefault="00256242" w:rsidP="00256242">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177</w:t>
            </w:r>
            <w:r>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721</w:t>
            </w:r>
          </w:p>
        </w:tc>
        <w:tc>
          <w:tcPr>
            <w:tcW w:w="584" w:type="pct"/>
            <w:tcBorders>
              <w:top w:val="nil"/>
              <w:left w:val="nil"/>
              <w:bottom w:val="nil"/>
              <w:right w:val="nil"/>
            </w:tcBorders>
            <w:vAlign w:val="bottom"/>
          </w:tcPr>
          <w:p w14:paraId="5F552A09" w14:textId="3E112B8E" w:rsidR="00256242" w:rsidRPr="00537128" w:rsidRDefault="00256242" w:rsidP="00256242">
            <w:pPr>
              <w:spacing w:after="0" w:line="240" w:lineRule="exact"/>
              <w:jc w:val="right"/>
              <w:rPr>
                <w:rFonts w:ascii="Calibri" w:eastAsia="Arial Unicode MS" w:hAnsi="Calibri" w:cs="Arial"/>
                <w:sz w:val="18"/>
                <w:szCs w:val="18"/>
                <w:lang w:val="en-US"/>
              </w:rPr>
            </w:pPr>
            <w:r>
              <w:rPr>
                <w:rFonts w:ascii="Calibri" w:eastAsia="Arial Unicode MS" w:hAnsi="Calibri"/>
                <w:color w:val="000000" w:themeColor="text1"/>
                <w:sz w:val="18"/>
                <w:szCs w:val="18"/>
              </w:rPr>
              <w:t>-</w:t>
            </w:r>
          </w:p>
        </w:tc>
        <w:tc>
          <w:tcPr>
            <w:tcW w:w="579" w:type="pct"/>
            <w:tcBorders>
              <w:top w:val="nil"/>
              <w:left w:val="nil"/>
              <w:bottom w:val="nil"/>
              <w:right w:val="nil"/>
            </w:tcBorders>
            <w:vAlign w:val="bottom"/>
          </w:tcPr>
          <w:p w14:paraId="613A93AD" w14:textId="16D3A052" w:rsidR="00256242" w:rsidRPr="00537128" w:rsidRDefault="00256242" w:rsidP="00256242">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279</w:t>
            </w:r>
            <w:r>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637</w:t>
            </w:r>
          </w:p>
        </w:tc>
        <w:tc>
          <w:tcPr>
            <w:tcW w:w="653" w:type="pct"/>
            <w:tcBorders>
              <w:top w:val="nil"/>
              <w:left w:val="nil"/>
              <w:bottom w:val="nil"/>
              <w:right w:val="nil"/>
            </w:tcBorders>
            <w:vAlign w:val="bottom"/>
          </w:tcPr>
          <w:p w14:paraId="1F405015" w14:textId="338879CA" w:rsidR="00256242" w:rsidRPr="00537128" w:rsidRDefault="00256242" w:rsidP="00256242">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327</w:t>
            </w:r>
            <w:r>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900</w:t>
            </w:r>
          </w:p>
        </w:tc>
        <w:tc>
          <w:tcPr>
            <w:tcW w:w="577" w:type="pct"/>
            <w:tcBorders>
              <w:top w:val="nil"/>
              <w:left w:val="nil"/>
              <w:bottom w:val="nil"/>
            </w:tcBorders>
            <w:vAlign w:val="bottom"/>
          </w:tcPr>
          <w:p w14:paraId="014CEF41" w14:textId="5B438981" w:rsidR="00256242" w:rsidRPr="00537128" w:rsidRDefault="00256242" w:rsidP="00256242">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607</w:t>
            </w:r>
            <w:r>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537</w:t>
            </w:r>
          </w:p>
        </w:tc>
      </w:tr>
      <w:tr w:rsidR="00256242" w:rsidRPr="00537128" w14:paraId="5BC155FC" w14:textId="77777777" w:rsidTr="004B58BA">
        <w:trPr>
          <w:trHeight w:val="239"/>
        </w:trPr>
        <w:tc>
          <w:tcPr>
            <w:tcW w:w="1520" w:type="pct"/>
            <w:vAlign w:val="bottom"/>
          </w:tcPr>
          <w:p w14:paraId="68036D1B" w14:textId="77777777" w:rsidR="00256242" w:rsidRPr="00537128" w:rsidRDefault="00256242" w:rsidP="00256242">
            <w:pPr>
              <w:tabs>
                <w:tab w:val="right" w:pos="1202"/>
              </w:tabs>
              <w:spacing w:after="0" w:line="240" w:lineRule="exact"/>
              <w:outlineLvl w:val="0"/>
              <w:rPr>
                <w:rFonts w:ascii="Calibri" w:eastAsia="Times New Roman" w:hAnsi="Calibri" w:cs="Arial"/>
                <w:sz w:val="18"/>
                <w:szCs w:val="18"/>
                <w:lang w:val="en-US"/>
              </w:rPr>
            </w:pPr>
            <w:bookmarkStart w:id="1067" w:name="_Toc4062828"/>
            <w:r w:rsidRPr="00537128">
              <w:rPr>
                <w:rFonts w:ascii="Calibri" w:eastAsia="Times New Roman" w:hAnsi="Calibri" w:cs="Arial"/>
                <w:sz w:val="18"/>
                <w:szCs w:val="18"/>
                <w:lang w:val="en-US"/>
              </w:rPr>
              <w:t>Borrowings</w:t>
            </w:r>
            <w:bookmarkEnd w:id="1067"/>
            <w:r w:rsidRPr="00537128">
              <w:rPr>
                <w:rFonts w:ascii="Calibri" w:eastAsia="Times New Roman" w:hAnsi="Calibri" w:cs="Arial"/>
                <w:sz w:val="18"/>
                <w:szCs w:val="18"/>
                <w:lang w:val="en-US"/>
              </w:rPr>
              <w:t xml:space="preserve"> </w:t>
            </w:r>
          </w:p>
        </w:tc>
        <w:tc>
          <w:tcPr>
            <w:tcW w:w="508" w:type="pct"/>
            <w:tcBorders>
              <w:top w:val="nil"/>
              <w:left w:val="nil"/>
              <w:bottom w:val="nil"/>
              <w:right w:val="nil"/>
            </w:tcBorders>
            <w:vAlign w:val="bottom"/>
          </w:tcPr>
          <w:p w14:paraId="667D9D5E" w14:textId="78B2883B" w:rsidR="00256242" w:rsidRPr="00537128" w:rsidRDefault="00256242" w:rsidP="00256242">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188</w:t>
            </w:r>
            <w:r>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790</w:t>
            </w:r>
          </w:p>
        </w:tc>
        <w:tc>
          <w:tcPr>
            <w:tcW w:w="579" w:type="pct"/>
            <w:tcBorders>
              <w:top w:val="nil"/>
              <w:left w:val="nil"/>
              <w:bottom w:val="nil"/>
              <w:right w:val="nil"/>
            </w:tcBorders>
            <w:vAlign w:val="bottom"/>
          </w:tcPr>
          <w:p w14:paraId="7C0B02F3" w14:textId="7158E94B" w:rsidR="00256242" w:rsidRPr="00537128" w:rsidRDefault="00256242" w:rsidP="00256242">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14</w:t>
            </w:r>
            <w:r>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135</w:t>
            </w:r>
            <w:r>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857</w:t>
            </w:r>
          </w:p>
        </w:tc>
        <w:tc>
          <w:tcPr>
            <w:tcW w:w="584" w:type="pct"/>
            <w:tcBorders>
              <w:top w:val="nil"/>
              <w:left w:val="nil"/>
              <w:bottom w:val="nil"/>
              <w:right w:val="nil"/>
            </w:tcBorders>
            <w:vAlign w:val="bottom"/>
          </w:tcPr>
          <w:p w14:paraId="4D7D2262" w14:textId="41967EE2" w:rsidR="00256242" w:rsidRPr="00537128" w:rsidRDefault="00256242" w:rsidP="00256242">
            <w:pPr>
              <w:spacing w:after="0" w:line="240" w:lineRule="exact"/>
              <w:jc w:val="right"/>
              <w:rPr>
                <w:rFonts w:ascii="Calibri" w:eastAsia="Arial Unicode MS" w:hAnsi="Calibri" w:cs="Arial"/>
                <w:sz w:val="18"/>
                <w:szCs w:val="18"/>
                <w:lang w:val="en-US"/>
              </w:rPr>
            </w:pPr>
            <w:r>
              <w:rPr>
                <w:rFonts w:ascii="Calibri" w:eastAsia="Arial Unicode MS" w:hAnsi="Calibri"/>
                <w:color w:val="000000" w:themeColor="text1"/>
                <w:sz w:val="18"/>
                <w:szCs w:val="18"/>
              </w:rPr>
              <w:t>-</w:t>
            </w:r>
          </w:p>
        </w:tc>
        <w:tc>
          <w:tcPr>
            <w:tcW w:w="579" w:type="pct"/>
            <w:tcBorders>
              <w:top w:val="nil"/>
              <w:left w:val="nil"/>
              <w:bottom w:val="nil"/>
              <w:right w:val="nil"/>
            </w:tcBorders>
            <w:vAlign w:val="bottom"/>
          </w:tcPr>
          <w:p w14:paraId="549CD80D" w14:textId="5E0F3485" w:rsidR="00256242" w:rsidRPr="00537128" w:rsidRDefault="00256242" w:rsidP="00256242">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14</w:t>
            </w:r>
            <w:r>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324</w:t>
            </w:r>
            <w:r>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647</w:t>
            </w:r>
          </w:p>
        </w:tc>
        <w:tc>
          <w:tcPr>
            <w:tcW w:w="653" w:type="pct"/>
            <w:tcBorders>
              <w:top w:val="nil"/>
              <w:left w:val="nil"/>
              <w:bottom w:val="nil"/>
              <w:right w:val="nil"/>
            </w:tcBorders>
            <w:vAlign w:val="bottom"/>
          </w:tcPr>
          <w:p w14:paraId="20194B62" w14:textId="460300E6" w:rsidR="00256242" w:rsidRPr="00537128" w:rsidRDefault="00256242" w:rsidP="00256242">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1</w:t>
            </w:r>
            <w:r>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503</w:t>
            </w:r>
            <w:r>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976</w:t>
            </w:r>
          </w:p>
        </w:tc>
        <w:tc>
          <w:tcPr>
            <w:tcW w:w="577" w:type="pct"/>
            <w:tcBorders>
              <w:top w:val="nil"/>
              <w:left w:val="nil"/>
              <w:bottom w:val="nil"/>
            </w:tcBorders>
            <w:vAlign w:val="bottom"/>
          </w:tcPr>
          <w:p w14:paraId="056DAE38" w14:textId="0D670376" w:rsidR="00256242" w:rsidRPr="00537128" w:rsidRDefault="00256242" w:rsidP="00256242">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15</w:t>
            </w:r>
            <w:r>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828</w:t>
            </w:r>
            <w:r>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623</w:t>
            </w:r>
          </w:p>
        </w:tc>
      </w:tr>
      <w:tr w:rsidR="00256242" w:rsidRPr="00537128" w14:paraId="061C275A" w14:textId="77777777" w:rsidTr="004B58BA">
        <w:trPr>
          <w:trHeight w:val="254"/>
        </w:trPr>
        <w:tc>
          <w:tcPr>
            <w:tcW w:w="1520" w:type="pct"/>
            <w:vAlign w:val="bottom"/>
          </w:tcPr>
          <w:p w14:paraId="230C94DE" w14:textId="77777777" w:rsidR="00256242" w:rsidRPr="00537128" w:rsidRDefault="00256242" w:rsidP="00256242">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Provisions for guarantees, </w:t>
            </w:r>
            <w:proofErr w:type="gramStart"/>
            <w:r w:rsidRPr="00537128">
              <w:rPr>
                <w:rFonts w:ascii="Calibri" w:eastAsia="Times New Roman" w:hAnsi="Calibri" w:cs="Arial"/>
                <w:sz w:val="18"/>
                <w:szCs w:val="18"/>
                <w:lang w:val="en-US"/>
              </w:rPr>
              <w:t>commitments</w:t>
            </w:r>
            <w:proofErr w:type="gramEnd"/>
            <w:r w:rsidRPr="00537128">
              <w:rPr>
                <w:rFonts w:ascii="Calibri" w:eastAsia="Times New Roman" w:hAnsi="Calibri" w:cs="Arial"/>
                <w:sz w:val="18"/>
                <w:szCs w:val="18"/>
                <w:lang w:val="en-US"/>
              </w:rPr>
              <w:t xml:space="preserve"> and other liabilities</w:t>
            </w:r>
          </w:p>
        </w:tc>
        <w:tc>
          <w:tcPr>
            <w:tcW w:w="508" w:type="pct"/>
            <w:tcBorders>
              <w:top w:val="nil"/>
              <w:left w:val="nil"/>
              <w:bottom w:val="nil"/>
              <w:right w:val="nil"/>
            </w:tcBorders>
            <w:vAlign w:val="bottom"/>
          </w:tcPr>
          <w:p w14:paraId="34B7C6D7" w14:textId="235529E6" w:rsidR="00256242" w:rsidRPr="00537128" w:rsidRDefault="00256242" w:rsidP="00256242">
            <w:pPr>
              <w:spacing w:after="0" w:line="240" w:lineRule="exact"/>
              <w:jc w:val="right"/>
              <w:rPr>
                <w:rFonts w:ascii="Calibri" w:eastAsia="Times New Roman" w:hAnsi="Calibri" w:cs="Times New Roman"/>
                <w:sz w:val="18"/>
                <w:szCs w:val="18"/>
                <w:lang w:val="en-US"/>
              </w:rPr>
            </w:pPr>
            <w:r>
              <w:rPr>
                <w:rFonts w:ascii="Calibri" w:eastAsia="Arial Unicode MS" w:hAnsi="Calibri"/>
                <w:color w:val="000000" w:themeColor="text1"/>
                <w:sz w:val="18"/>
                <w:szCs w:val="18"/>
              </w:rPr>
              <w:t>-</w:t>
            </w:r>
          </w:p>
        </w:tc>
        <w:tc>
          <w:tcPr>
            <w:tcW w:w="579" w:type="pct"/>
            <w:tcBorders>
              <w:top w:val="nil"/>
              <w:left w:val="nil"/>
              <w:bottom w:val="nil"/>
              <w:right w:val="nil"/>
            </w:tcBorders>
            <w:vAlign w:val="bottom"/>
          </w:tcPr>
          <w:p w14:paraId="0953F6CF" w14:textId="485D6FEA" w:rsidR="00256242" w:rsidRPr="00537128" w:rsidRDefault="00256242" w:rsidP="00256242">
            <w:pPr>
              <w:spacing w:after="0" w:line="240" w:lineRule="exact"/>
              <w:jc w:val="right"/>
              <w:rPr>
                <w:rFonts w:ascii="Calibri" w:eastAsia="Times New Roman" w:hAnsi="Calibri" w:cs="Times New Roman"/>
                <w:sz w:val="18"/>
                <w:szCs w:val="18"/>
                <w:lang w:val="en-US"/>
              </w:rPr>
            </w:pPr>
            <w:r w:rsidRPr="00427BE0">
              <w:rPr>
                <w:rFonts w:ascii="Calibri" w:eastAsia="Arial Unicode MS" w:hAnsi="Calibri"/>
                <w:color w:val="000000" w:themeColor="text1"/>
                <w:sz w:val="18"/>
                <w:szCs w:val="18"/>
              </w:rPr>
              <w:t>17</w:t>
            </w:r>
            <w:r>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611</w:t>
            </w:r>
          </w:p>
        </w:tc>
        <w:tc>
          <w:tcPr>
            <w:tcW w:w="584" w:type="pct"/>
            <w:tcBorders>
              <w:top w:val="nil"/>
              <w:left w:val="nil"/>
              <w:bottom w:val="nil"/>
              <w:right w:val="nil"/>
            </w:tcBorders>
            <w:vAlign w:val="bottom"/>
          </w:tcPr>
          <w:p w14:paraId="7530085C" w14:textId="37F0A4DD" w:rsidR="00256242" w:rsidRPr="00537128" w:rsidRDefault="00256242" w:rsidP="00256242">
            <w:pPr>
              <w:spacing w:after="0" w:line="240" w:lineRule="exact"/>
              <w:jc w:val="right"/>
              <w:rPr>
                <w:rFonts w:ascii="Calibri" w:eastAsia="Times New Roman" w:hAnsi="Calibri" w:cs="Times New Roman"/>
                <w:sz w:val="18"/>
                <w:szCs w:val="18"/>
                <w:lang w:val="en-US"/>
              </w:rPr>
            </w:pPr>
            <w:r w:rsidRPr="00427BE0">
              <w:rPr>
                <w:rFonts w:ascii="Calibri" w:eastAsia="Arial Unicode MS" w:hAnsi="Calibri"/>
                <w:color w:val="000000" w:themeColor="text1"/>
                <w:sz w:val="18"/>
                <w:szCs w:val="18"/>
              </w:rPr>
              <w:t>20</w:t>
            </w:r>
            <w:r>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940</w:t>
            </w:r>
          </w:p>
        </w:tc>
        <w:tc>
          <w:tcPr>
            <w:tcW w:w="579" w:type="pct"/>
            <w:tcBorders>
              <w:top w:val="nil"/>
              <w:left w:val="nil"/>
              <w:bottom w:val="nil"/>
              <w:right w:val="nil"/>
            </w:tcBorders>
            <w:vAlign w:val="bottom"/>
          </w:tcPr>
          <w:p w14:paraId="4EBDB538" w14:textId="3DCA829C" w:rsidR="00256242" w:rsidRPr="00537128" w:rsidRDefault="00256242" w:rsidP="00256242">
            <w:pPr>
              <w:spacing w:after="0" w:line="240" w:lineRule="exact"/>
              <w:jc w:val="right"/>
              <w:rPr>
                <w:rFonts w:ascii="Calibri" w:eastAsia="Times New Roman" w:hAnsi="Calibri" w:cs="Times New Roman"/>
                <w:sz w:val="18"/>
                <w:szCs w:val="18"/>
                <w:lang w:val="en-US"/>
              </w:rPr>
            </w:pPr>
            <w:r w:rsidRPr="00427BE0">
              <w:rPr>
                <w:rFonts w:ascii="Calibri" w:eastAsia="Arial Unicode MS" w:hAnsi="Calibri"/>
                <w:color w:val="000000" w:themeColor="text1"/>
                <w:sz w:val="18"/>
                <w:szCs w:val="18"/>
              </w:rPr>
              <w:t>38</w:t>
            </w:r>
            <w:r>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551</w:t>
            </w:r>
          </w:p>
        </w:tc>
        <w:tc>
          <w:tcPr>
            <w:tcW w:w="653" w:type="pct"/>
            <w:tcBorders>
              <w:top w:val="nil"/>
              <w:left w:val="nil"/>
              <w:bottom w:val="nil"/>
              <w:right w:val="nil"/>
            </w:tcBorders>
            <w:vAlign w:val="bottom"/>
          </w:tcPr>
          <w:p w14:paraId="5EDE12AA" w14:textId="5A4769A0" w:rsidR="00256242" w:rsidRPr="00537128" w:rsidRDefault="00256242" w:rsidP="00256242">
            <w:pPr>
              <w:spacing w:after="0" w:line="240" w:lineRule="exact"/>
              <w:jc w:val="right"/>
              <w:rPr>
                <w:rFonts w:ascii="Calibri" w:eastAsia="Times New Roman" w:hAnsi="Calibri" w:cs="Times New Roman"/>
                <w:sz w:val="18"/>
                <w:szCs w:val="18"/>
                <w:lang w:val="en-US"/>
              </w:rPr>
            </w:pPr>
            <w:r w:rsidRPr="00427BE0">
              <w:rPr>
                <w:rFonts w:ascii="Calibri" w:eastAsia="Arial Unicode MS" w:hAnsi="Calibri"/>
                <w:color w:val="000000" w:themeColor="text1"/>
                <w:sz w:val="18"/>
                <w:szCs w:val="18"/>
              </w:rPr>
              <w:t>106</w:t>
            </w:r>
            <w:r>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354</w:t>
            </w:r>
          </w:p>
        </w:tc>
        <w:tc>
          <w:tcPr>
            <w:tcW w:w="577" w:type="pct"/>
            <w:tcBorders>
              <w:top w:val="nil"/>
              <w:left w:val="nil"/>
              <w:bottom w:val="nil"/>
            </w:tcBorders>
            <w:vAlign w:val="bottom"/>
          </w:tcPr>
          <w:p w14:paraId="087EDE20" w14:textId="61DF5D5D" w:rsidR="00256242" w:rsidRPr="00537128" w:rsidRDefault="00256242" w:rsidP="00256242">
            <w:pPr>
              <w:spacing w:after="0" w:line="240" w:lineRule="exact"/>
              <w:jc w:val="right"/>
              <w:rPr>
                <w:rFonts w:ascii="Calibri" w:eastAsia="Times New Roman" w:hAnsi="Calibri" w:cs="Times New Roman"/>
                <w:sz w:val="18"/>
                <w:szCs w:val="18"/>
                <w:lang w:val="en-US"/>
              </w:rPr>
            </w:pPr>
            <w:r w:rsidRPr="00427BE0">
              <w:rPr>
                <w:rFonts w:ascii="Calibri" w:eastAsia="Arial Unicode MS" w:hAnsi="Calibri"/>
                <w:color w:val="000000" w:themeColor="text1"/>
                <w:sz w:val="18"/>
                <w:szCs w:val="18"/>
              </w:rPr>
              <w:t>144</w:t>
            </w:r>
            <w:r>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905</w:t>
            </w:r>
          </w:p>
        </w:tc>
      </w:tr>
      <w:tr w:rsidR="00256242" w:rsidRPr="00537128" w14:paraId="453E970B" w14:textId="77777777" w:rsidTr="004B58BA">
        <w:trPr>
          <w:trHeight w:val="150"/>
        </w:trPr>
        <w:tc>
          <w:tcPr>
            <w:tcW w:w="1520" w:type="pct"/>
            <w:vAlign w:val="bottom"/>
          </w:tcPr>
          <w:p w14:paraId="011E643E" w14:textId="77777777" w:rsidR="00256242" w:rsidRPr="00537128" w:rsidRDefault="00256242" w:rsidP="00256242">
            <w:pPr>
              <w:tabs>
                <w:tab w:val="right" w:pos="1202"/>
              </w:tabs>
              <w:spacing w:after="0" w:line="240" w:lineRule="exact"/>
              <w:outlineLvl w:val="0"/>
              <w:rPr>
                <w:rFonts w:ascii="Calibri" w:eastAsia="Times New Roman" w:hAnsi="Calibri" w:cs="Arial"/>
                <w:sz w:val="18"/>
                <w:szCs w:val="18"/>
                <w:lang w:val="en-US"/>
              </w:rPr>
            </w:pPr>
            <w:bookmarkStart w:id="1068" w:name="_Toc4062830"/>
            <w:r w:rsidRPr="00537128">
              <w:rPr>
                <w:rFonts w:ascii="Calibri" w:eastAsia="Times New Roman" w:hAnsi="Calibri" w:cs="Arial"/>
                <w:sz w:val="18"/>
                <w:szCs w:val="18"/>
                <w:lang w:val="en-US"/>
              </w:rPr>
              <w:t>Other liabilities</w:t>
            </w:r>
            <w:bookmarkEnd w:id="1068"/>
            <w:r w:rsidRPr="00537128">
              <w:rPr>
                <w:rFonts w:ascii="Calibri" w:eastAsia="Times New Roman" w:hAnsi="Calibri" w:cs="Arial"/>
                <w:sz w:val="18"/>
                <w:szCs w:val="18"/>
                <w:lang w:val="en-US"/>
              </w:rPr>
              <w:t xml:space="preserve"> </w:t>
            </w:r>
          </w:p>
        </w:tc>
        <w:tc>
          <w:tcPr>
            <w:tcW w:w="508" w:type="pct"/>
            <w:tcBorders>
              <w:top w:val="nil"/>
              <w:left w:val="nil"/>
              <w:bottom w:val="single" w:sz="4" w:space="0" w:color="auto"/>
              <w:right w:val="nil"/>
            </w:tcBorders>
            <w:vAlign w:val="bottom"/>
          </w:tcPr>
          <w:p w14:paraId="05F84903" w14:textId="21533739" w:rsidR="00256242" w:rsidRPr="00537128" w:rsidRDefault="00256242" w:rsidP="00256242">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122</w:t>
            </w:r>
          </w:p>
        </w:tc>
        <w:tc>
          <w:tcPr>
            <w:tcW w:w="579" w:type="pct"/>
            <w:tcBorders>
              <w:top w:val="nil"/>
              <w:left w:val="nil"/>
              <w:bottom w:val="single" w:sz="4" w:space="0" w:color="auto"/>
              <w:right w:val="nil"/>
            </w:tcBorders>
            <w:vAlign w:val="bottom"/>
          </w:tcPr>
          <w:p w14:paraId="2115AB32" w14:textId="1495F509" w:rsidR="00256242" w:rsidRPr="00537128" w:rsidRDefault="00256242" w:rsidP="00256242">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15</w:t>
            </w:r>
            <w:r>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726</w:t>
            </w:r>
          </w:p>
        </w:tc>
        <w:tc>
          <w:tcPr>
            <w:tcW w:w="584" w:type="pct"/>
            <w:tcBorders>
              <w:top w:val="nil"/>
              <w:left w:val="nil"/>
              <w:bottom w:val="single" w:sz="4" w:space="0" w:color="auto"/>
              <w:right w:val="nil"/>
            </w:tcBorders>
            <w:vAlign w:val="bottom"/>
          </w:tcPr>
          <w:p w14:paraId="5755577D" w14:textId="3E57B612" w:rsidR="00256242" w:rsidRPr="00537128" w:rsidRDefault="00256242" w:rsidP="00256242">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45</w:t>
            </w:r>
          </w:p>
        </w:tc>
        <w:tc>
          <w:tcPr>
            <w:tcW w:w="579" w:type="pct"/>
            <w:tcBorders>
              <w:top w:val="nil"/>
              <w:left w:val="nil"/>
              <w:bottom w:val="single" w:sz="4" w:space="0" w:color="auto"/>
              <w:right w:val="nil"/>
            </w:tcBorders>
            <w:vAlign w:val="bottom"/>
          </w:tcPr>
          <w:p w14:paraId="000A4B6A" w14:textId="2FE68758" w:rsidR="00256242" w:rsidRPr="00537128" w:rsidRDefault="00256242" w:rsidP="00256242">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15</w:t>
            </w:r>
            <w:r>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893</w:t>
            </w:r>
          </w:p>
        </w:tc>
        <w:tc>
          <w:tcPr>
            <w:tcW w:w="653" w:type="pct"/>
            <w:tcBorders>
              <w:top w:val="nil"/>
              <w:left w:val="nil"/>
              <w:bottom w:val="single" w:sz="4" w:space="0" w:color="auto"/>
              <w:right w:val="nil"/>
            </w:tcBorders>
            <w:vAlign w:val="bottom"/>
          </w:tcPr>
          <w:p w14:paraId="25FBDA01" w14:textId="56184C96" w:rsidR="00256242" w:rsidRPr="00537128" w:rsidRDefault="00256242" w:rsidP="00256242">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376</w:t>
            </w:r>
            <w:r>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094</w:t>
            </w:r>
          </w:p>
        </w:tc>
        <w:tc>
          <w:tcPr>
            <w:tcW w:w="577" w:type="pct"/>
            <w:tcBorders>
              <w:top w:val="nil"/>
              <w:left w:val="nil"/>
              <w:bottom w:val="single" w:sz="4" w:space="0" w:color="auto"/>
            </w:tcBorders>
            <w:vAlign w:val="bottom"/>
          </w:tcPr>
          <w:p w14:paraId="49E7308E" w14:textId="76A46FDC" w:rsidR="00256242" w:rsidRPr="00537128" w:rsidRDefault="00256242" w:rsidP="00256242">
            <w:pPr>
              <w:spacing w:after="0" w:line="240" w:lineRule="exact"/>
              <w:jc w:val="right"/>
              <w:rPr>
                <w:rFonts w:ascii="Calibri" w:eastAsia="Arial Unicode MS" w:hAnsi="Calibri" w:cs="Arial"/>
                <w:sz w:val="18"/>
                <w:szCs w:val="18"/>
                <w:lang w:val="en-US"/>
              </w:rPr>
            </w:pPr>
            <w:r w:rsidRPr="00427BE0">
              <w:rPr>
                <w:rFonts w:ascii="Calibri" w:eastAsia="Arial Unicode MS" w:hAnsi="Calibri"/>
                <w:color w:val="000000" w:themeColor="text1"/>
                <w:sz w:val="18"/>
                <w:szCs w:val="18"/>
              </w:rPr>
              <w:t>391</w:t>
            </w:r>
            <w:r>
              <w:rPr>
                <w:rFonts w:ascii="Calibri" w:eastAsia="Arial Unicode MS" w:hAnsi="Calibri"/>
                <w:color w:val="000000" w:themeColor="text1"/>
                <w:sz w:val="18"/>
                <w:szCs w:val="18"/>
              </w:rPr>
              <w:t>,</w:t>
            </w:r>
            <w:r w:rsidRPr="00427BE0">
              <w:rPr>
                <w:rFonts w:ascii="Calibri" w:eastAsia="Arial Unicode MS" w:hAnsi="Calibri"/>
                <w:color w:val="000000" w:themeColor="text1"/>
                <w:sz w:val="18"/>
                <w:szCs w:val="18"/>
              </w:rPr>
              <w:t>987</w:t>
            </w:r>
          </w:p>
        </w:tc>
      </w:tr>
      <w:tr w:rsidR="00256242" w:rsidRPr="00537128" w14:paraId="68A5813E" w14:textId="77777777" w:rsidTr="004B58BA">
        <w:trPr>
          <w:trHeight w:val="333"/>
        </w:trPr>
        <w:tc>
          <w:tcPr>
            <w:tcW w:w="1520" w:type="pct"/>
            <w:vAlign w:val="bottom"/>
          </w:tcPr>
          <w:p w14:paraId="0D356A93" w14:textId="77777777" w:rsidR="00256242" w:rsidRPr="00537128" w:rsidRDefault="00256242" w:rsidP="00256242">
            <w:pPr>
              <w:tabs>
                <w:tab w:val="right" w:pos="1202"/>
              </w:tabs>
              <w:spacing w:after="0" w:line="240" w:lineRule="exact"/>
              <w:outlineLvl w:val="0"/>
              <w:rPr>
                <w:rFonts w:ascii="Calibri" w:eastAsia="Times New Roman" w:hAnsi="Calibri" w:cs="Arial"/>
                <w:b/>
                <w:bCs/>
                <w:sz w:val="18"/>
                <w:szCs w:val="18"/>
                <w:lang w:val="en-US"/>
              </w:rPr>
            </w:pPr>
            <w:bookmarkStart w:id="1069" w:name="_Toc4062831"/>
            <w:r w:rsidRPr="00537128">
              <w:rPr>
                <w:rFonts w:ascii="Calibri" w:eastAsia="Times New Roman" w:hAnsi="Calibri" w:cs="Arial"/>
                <w:b/>
                <w:bCs/>
                <w:sz w:val="18"/>
                <w:szCs w:val="18"/>
                <w:lang w:val="en-US"/>
              </w:rPr>
              <w:t>Total liabilities</w:t>
            </w:r>
            <w:bookmarkEnd w:id="1069"/>
            <w:r w:rsidRPr="00537128">
              <w:rPr>
                <w:rFonts w:ascii="Calibri" w:eastAsia="Times New Roman" w:hAnsi="Calibri" w:cs="Arial"/>
                <w:b/>
                <w:bCs/>
                <w:sz w:val="18"/>
                <w:szCs w:val="18"/>
                <w:lang w:val="en-US"/>
              </w:rPr>
              <w:t xml:space="preserve"> </w:t>
            </w:r>
          </w:p>
        </w:tc>
        <w:tc>
          <w:tcPr>
            <w:tcW w:w="508" w:type="pct"/>
            <w:tcBorders>
              <w:top w:val="single" w:sz="4" w:space="0" w:color="auto"/>
              <w:left w:val="nil"/>
              <w:bottom w:val="single" w:sz="12" w:space="0" w:color="auto"/>
              <w:right w:val="nil"/>
            </w:tcBorders>
            <w:vAlign w:val="bottom"/>
          </w:tcPr>
          <w:p w14:paraId="55463A41" w14:textId="2CD94E68" w:rsidR="00256242" w:rsidRPr="00537128" w:rsidRDefault="00256242" w:rsidP="00256242">
            <w:pPr>
              <w:spacing w:after="0" w:line="240" w:lineRule="exact"/>
              <w:jc w:val="right"/>
              <w:rPr>
                <w:rFonts w:ascii="Calibri" w:eastAsia="Arial Unicode MS" w:hAnsi="Calibri" w:cs="Arial"/>
                <w:b/>
                <w:bCs/>
                <w:sz w:val="18"/>
                <w:szCs w:val="18"/>
                <w:lang w:val="en-US"/>
              </w:rPr>
            </w:pPr>
            <w:r w:rsidRPr="00427BE0">
              <w:rPr>
                <w:rFonts w:ascii="Calibri" w:eastAsia="Arial Unicode MS" w:hAnsi="Calibri"/>
                <w:b/>
                <w:bCs/>
                <w:color w:val="000000" w:themeColor="text1"/>
                <w:sz w:val="18"/>
                <w:szCs w:val="18"/>
              </w:rPr>
              <w:t>290</w:t>
            </w:r>
            <w:r>
              <w:rPr>
                <w:rFonts w:ascii="Calibri" w:eastAsia="Arial Unicode MS" w:hAnsi="Calibri"/>
                <w:b/>
                <w:bCs/>
                <w:color w:val="000000" w:themeColor="text1"/>
                <w:sz w:val="18"/>
                <w:szCs w:val="18"/>
              </w:rPr>
              <w:t>,</w:t>
            </w:r>
            <w:r w:rsidRPr="00427BE0">
              <w:rPr>
                <w:rFonts w:ascii="Calibri" w:eastAsia="Arial Unicode MS" w:hAnsi="Calibri"/>
                <w:b/>
                <w:bCs/>
                <w:color w:val="000000" w:themeColor="text1"/>
                <w:sz w:val="18"/>
                <w:szCs w:val="18"/>
              </w:rPr>
              <w:t>828</w:t>
            </w:r>
          </w:p>
        </w:tc>
        <w:tc>
          <w:tcPr>
            <w:tcW w:w="579" w:type="pct"/>
            <w:tcBorders>
              <w:top w:val="single" w:sz="4" w:space="0" w:color="auto"/>
              <w:left w:val="nil"/>
              <w:bottom w:val="single" w:sz="12" w:space="0" w:color="auto"/>
              <w:right w:val="nil"/>
            </w:tcBorders>
            <w:vAlign w:val="bottom"/>
          </w:tcPr>
          <w:p w14:paraId="0235B9F1" w14:textId="7BE612E5" w:rsidR="00256242" w:rsidRPr="00537128" w:rsidRDefault="00256242" w:rsidP="00256242">
            <w:pPr>
              <w:spacing w:after="0" w:line="240" w:lineRule="exact"/>
              <w:jc w:val="right"/>
              <w:rPr>
                <w:rFonts w:ascii="Calibri" w:eastAsia="Arial Unicode MS" w:hAnsi="Calibri" w:cs="Arial"/>
                <w:b/>
                <w:bCs/>
                <w:sz w:val="18"/>
                <w:szCs w:val="18"/>
                <w:lang w:val="en-US"/>
              </w:rPr>
            </w:pPr>
            <w:r w:rsidRPr="00427BE0">
              <w:rPr>
                <w:rFonts w:ascii="Calibri" w:eastAsia="Arial Unicode MS" w:hAnsi="Calibri"/>
                <w:b/>
                <w:bCs/>
                <w:color w:val="000000" w:themeColor="text1"/>
                <w:sz w:val="18"/>
                <w:szCs w:val="18"/>
              </w:rPr>
              <w:t>14</w:t>
            </w:r>
            <w:r>
              <w:rPr>
                <w:rFonts w:ascii="Calibri" w:eastAsia="Arial Unicode MS" w:hAnsi="Calibri"/>
                <w:b/>
                <w:bCs/>
                <w:color w:val="000000" w:themeColor="text1"/>
                <w:sz w:val="18"/>
                <w:szCs w:val="18"/>
              </w:rPr>
              <w:t>,</w:t>
            </w:r>
            <w:r w:rsidRPr="00427BE0">
              <w:rPr>
                <w:rFonts w:ascii="Calibri" w:eastAsia="Arial Unicode MS" w:hAnsi="Calibri"/>
                <w:b/>
                <w:bCs/>
                <w:color w:val="000000" w:themeColor="text1"/>
                <w:sz w:val="18"/>
                <w:szCs w:val="18"/>
              </w:rPr>
              <w:t>346</w:t>
            </w:r>
            <w:r>
              <w:rPr>
                <w:rFonts w:ascii="Calibri" w:eastAsia="Arial Unicode MS" w:hAnsi="Calibri"/>
                <w:b/>
                <w:bCs/>
                <w:color w:val="000000" w:themeColor="text1"/>
                <w:sz w:val="18"/>
                <w:szCs w:val="18"/>
              </w:rPr>
              <w:t>,</w:t>
            </w:r>
            <w:r w:rsidRPr="00427BE0">
              <w:rPr>
                <w:rFonts w:ascii="Calibri" w:eastAsia="Arial Unicode MS" w:hAnsi="Calibri"/>
                <w:b/>
                <w:bCs/>
                <w:color w:val="000000" w:themeColor="text1"/>
                <w:sz w:val="18"/>
                <w:szCs w:val="18"/>
              </w:rPr>
              <w:t>915</w:t>
            </w:r>
          </w:p>
        </w:tc>
        <w:tc>
          <w:tcPr>
            <w:tcW w:w="584" w:type="pct"/>
            <w:tcBorders>
              <w:top w:val="single" w:sz="4" w:space="0" w:color="auto"/>
              <w:left w:val="nil"/>
              <w:bottom w:val="single" w:sz="12" w:space="0" w:color="auto"/>
              <w:right w:val="nil"/>
            </w:tcBorders>
            <w:vAlign w:val="bottom"/>
          </w:tcPr>
          <w:p w14:paraId="622AFC5C" w14:textId="0F7D6341" w:rsidR="00256242" w:rsidRPr="00537128" w:rsidRDefault="00256242" w:rsidP="00256242">
            <w:pPr>
              <w:spacing w:after="0" w:line="240" w:lineRule="exact"/>
              <w:jc w:val="right"/>
              <w:rPr>
                <w:rFonts w:ascii="Calibri" w:eastAsia="Arial Unicode MS" w:hAnsi="Calibri" w:cs="Arial"/>
                <w:b/>
                <w:bCs/>
                <w:sz w:val="18"/>
                <w:szCs w:val="18"/>
                <w:lang w:val="en-US"/>
              </w:rPr>
            </w:pPr>
            <w:r w:rsidRPr="00427BE0">
              <w:rPr>
                <w:rFonts w:ascii="Calibri" w:eastAsia="Arial Unicode MS" w:hAnsi="Calibri"/>
                <w:b/>
                <w:bCs/>
                <w:color w:val="000000" w:themeColor="text1"/>
                <w:sz w:val="18"/>
                <w:szCs w:val="18"/>
              </w:rPr>
              <w:t>20</w:t>
            </w:r>
            <w:r>
              <w:rPr>
                <w:rFonts w:ascii="Calibri" w:eastAsia="Arial Unicode MS" w:hAnsi="Calibri"/>
                <w:b/>
                <w:bCs/>
                <w:color w:val="000000" w:themeColor="text1"/>
                <w:sz w:val="18"/>
                <w:szCs w:val="18"/>
              </w:rPr>
              <w:t>,</w:t>
            </w:r>
            <w:r w:rsidRPr="00427BE0">
              <w:rPr>
                <w:rFonts w:ascii="Calibri" w:eastAsia="Arial Unicode MS" w:hAnsi="Calibri"/>
                <w:b/>
                <w:bCs/>
                <w:color w:val="000000" w:themeColor="text1"/>
                <w:sz w:val="18"/>
                <w:szCs w:val="18"/>
              </w:rPr>
              <w:t>985</w:t>
            </w:r>
          </w:p>
        </w:tc>
        <w:tc>
          <w:tcPr>
            <w:tcW w:w="579" w:type="pct"/>
            <w:tcBorders>
              <w:top w:val="single" w:sz="4" w:space="0" w:color="auto"/>
              <w:left w:val="nil"/>
              <w:bottom w:val="single" w:sz="12" w:space="0" w:color="auto"/>
              <w:right w:val="nil"/>
            </w:tcBorders>
            <w:vAlign w:val="bottom"/>
          </w:tcPr>
          <w:p w14:paraId="26203CE7" w14:textId="160AC9E5" w:rsidR="00256242" w:rsidRPr="00537128" w:rsidRDefault="00256242" w:rsidP="00256242">
            <w:pPr>
              <w:spacing w:after="0" w:line="240" w:lineRule="exact"/>
              <w:jc w:val="right"/>
              <w:rPr>
                <w:rFonts w:ascii="Calibri" w:eastAsia="Arial Unicode MS" w:hAnsi="Calibri" w:cs="Arial"/>
                <w:b/>
                <w:bCs/>
                <w:sz w:val="18"/>
                <w:szCs w:val="18"/>
                <w:lang w:val="en-US"/>
              </w:rPr>
            </w:pPr>
            <w:r w:rsidRPr="00427BE0">
              <w:rPr>
                <w:rFonts w:ascii="Calibri" w:eastAsia="Arial Unicode MS" w:hAnsi="Calibri"/>
                <w:b/>
                <w:bCs/>
                <w:color w:val="000000" w:themeColor="text1"/>
                <w:sz w:val="18"/>
                <w:szCs w:val="18"/>
              </w:rPr>
              <w:t>14</w:t>
            </w:r>
            <w:r>
              <w:rPr>
                <w:rFonts w:ascii="Calibri" w:eastAsia="Arial Unicode MS" w:hAnsi="Calibri"/>
                <w:b/>
                <w:bCs/>
                <w:color w:val="000000" w:themeColor="text1"/>
                <w:sz w:val="18"/>
                <w:szCs w:val="18"/>
              </w:rPr>
              <w:t>,</w:t>
            </w:r>
            <w:r w:rsidRPr="00427BE0">
              <w:rPr>
                <w:rFonts w:ascii="Calibri" w:eastAsia="Arial Unicode MS" w:hAnsi="Calibri"/>
                <w:b/>
                <w:bCs/>
                <w:color w:val="000000" w:themeColor="text1"/>
                <w:sz w:val="18"/>
                <w:szCs w:val="18"/>
              </w:rPr>
              <w:t>658</w:t>
            </w:r>
            <w:r>
              <w:rPr>
                <w:rFonts w:ascii="Calibri" w:eastAsia="Arial Unicode MS" w:hAnsi="Calibri"/>
                <w:b/>
                <w:bCs/>
                <w:color w:val="000000" w:themeColor="text1"/>
                <w:sz w:val="18"/>
                <w:szCs w:val="18"/>
              </w:rPr>
              <w:t>,</w:t>
            </w:r>
            <w:r w:rsidRPr="00427BE0">
              <w:rPr>
                <w:rFonts w:ascii="Calibri" w:eastAsia="Arial Unicode MS" w:hAnsi="Calibri"/>
                <w:b/>
                <w:bCs/>
                <w:color w:val="000000" w:themeColor="text1"/>
                <w:sz w:val="18"/>
                <w:szCs w:val="18"/>
              </w:rPr>
              <w:t>728</w:t>
            </w:r>
          </w:p>
        </w:tc>
        <w:tc>
          <w:tcPr>
            <w:tcW w:w="653" w:type="pct"/>
            <w:tcBorders>
              <w:top w:val="single" w:sz="4" w:space="0" w:color="auto"/>
              <w:left w:val="nil"/>
              <w:bottom w:val="single" w:sz="12" w:space="0" w:color="auto"/>
              <w:right w:val="nil"/>
            </w:tcBorders>
            <w:vAlign w:val="bottom"/>
          </w:tcPr>
          <w:p w14:paraId="3DCD2E7A" w14:textId="1C3DD5D7" w:rsidR="00256242" w:rsidRPr="00537128" w:rsidRDefault="00256242" w:rsidP="00256242">
            <w:pPr>
              <w:spacing w:after="0" w:line="240" w:lineRule="exact"/>
              <w:jc w:val="right"/>
              <w:rPr>
                <w:rFonts w:ascii="Calibri" w:eastAsia="Arial Unicode MS" w:hAnsi="Calibri" w:cs="Arial"/>
                <w:b/>
                <w:bCs/>
                <w:sz w:val="18"/>
                <w:szCs w:val="18"/>
                <w:lang w:val="en-US"/>
              </w:rPr>
            </w:pPr>
            <w:r w:rsidRPr="00427BE0">
              <w:rPr>
                <w:rFonts w:ascii="Calibri" w:eastAsia="Arial Unicode MS" w:hAnsi="Calibri"/>
                <w:b/>
                <w:bCs/>
                <w:color w:val="000000" w:themeColor="text1"/>
                <w:sz w:val="18"/>
                <w:szCs w:val="18"/>
              </w:rPr>
              <w:t>2</w:t>
            </w:r>
            <w:r>
              <w:rPr>
                <w:rFonts w:ascii="Calibri" w:eastAsia="Arial Unicode MS" w:hAnsi="Calibri"/>
                <w:b/>
                <w:bCs/>
                <w:color w:val="000000" w:themeColor="text1"/>
                <w:sz w:val="18"/>
                <w:szCs w:val="18"/>
              </w:rPr>
              <w:t>,</w:t>
            </w:r>
            <w:r w:rsidRPr="00427BE0">
              <w:rPr>
                <w:rFonts w:ascii="Calibri" w:eastAsia="Arial Unicode MS" w:hAnsi="Calibri"/>
                <w:b/>
                <w:bCs/>
                <w:color w:val="000000" w:themeColor="text1"/>
                <w:sz w:val="18"/>
                <w:szCs w:val="18"/>
              </w:rPr>
              <w:t>314</w:t>
            </w:r>
            <w:r>
              <w:rPr>
                <w:rFonts w:ascii="Calibri" w:eastAsia="Arial Unicode MS" w:hAnsi="Calibri"/>
                <w:b/>
                <w:bCs/>
                <w:color w:val="000000" w:themeColor="text1"/>
                <w:sz w:val="18"/>
                <w:szCs w:val="18"/>
              </w:rPr>
              <w:t>,</w:t>
            </w:r>
            <w:r w:rsidRPr="00427BE0">
              <w:rPr>
                <w:rFonts w:ascii="Calibri" w:eastAsia="Arial Unicode MS" w:hAnsi="Calibri"/>
                <w:b/>
                <w:bCs/>
                <w:color w:val="000000" w:themeColor="text1"/>
                <w:sz w:val="18"/>
                <w:szCs w:val="18"/>
              </w:rPr>
              <w:t>324</w:t>
            </w:r>
          </w:p>
        </w:tc>
        <w:tc>
          <w:tcPr>
            <w:tcW w:w="577" w:type="pct"/>
            <w:tcBorders>
              <w:top w:val="single" w:sz="4" w:space="0" w:color="auto"/>
              <w:left w:val="nil"/>
              <w:bottom w:val="single" w:sz="12" w:space="0" w:color="auto"/>
            </w:tcBorders>
            <w:vAlign w:val="bottom"/>
          </w:tcPr>
          <w:p w14:paraId="037CDFE2" w14:textId="72034570" w:rsidR="00256242" w:rsidRPr="00537128" w:rsidRDefault="00256242" w:rsidP="00256242">
            <w:pPr>
              <w:spacing w:after="0" w:line="240" w:lineRule="exact"/>
              <w:jc w:val="right"/>
              <w:rPr>
                <w:rFonts w:ascii="Calibri" w:eastAsia="Arial Unicode MS" w:hAnsi="Calibri" w:cs="Arial"/>
                <w:b/>
                <w:bCs/>
                <w:sz w:val="18"/>
                <w:szCs w:val="18"/>
                <w:lang w:val="en-US"/>
              </w:rPr>
            </w:pPr>
            <w:r w:rsidRPr="00427BE0">
              <w:rPr>
                <w:rFonts w:ascii="Calibri" w:eastAsia="Arial Unicode MS" w:hAnsi="Calibri"/>
                <w:b/>
                <w:bCs/>
                <w:color w:val="000000" w:themeColor="text1"/>
                <w:sz w:val="18"/>
                <w:szCs w:val="18"/>
              </w:rPr>
              <w:t>16</w:t>
            </w:r>
            <w:r>
              <w:rPr>
                <w:rFonts w:ascii="Calibri" w:eastAsia="Arial Unicode MS" w:hAnsi="Calibri"/>
                <w:b/>
                <w:bCs/>
                <w:color w:val="000000" w:themeColor="text1"/>
                <w:sz w:val="18"/>
                <w:szCs w:val="18"/>
              </w:rPr>
              <w:t>,</w:t>
            </w:r>
            <w:r w:rsidRPr="00427BE0">
              <w:rPr>
                <w:rFonts w:ascii="Calibri" w:eastAsia="Arial Unicode MS" w:hAnsi="Calibri"/>
                <w:b/>
                <w:bCs/>
                <w:color w:val="000000" w:themeColor="text1"/>
                <w:sz w:val="18"/>
                <w:szCs w:val="18"/>
              </w:rPr>
              <w:t>973</w:t>
            </w:r>
            <w:r>
              <w:rPr>
                <w:rFonts w:ascii="Calibri" w:eastAsia="Arial Unicode MS" w:hAnsi="Calibri"/>
                <w:b/>
                <w:bCs/>
                <w:color w:val="000000" w:themeColor="text1"/>
                <w:sz w:val="18"/>
                <w:szCs w:val="18"/>
              </w:rPr>
              <w:t>,</w:t>
            </w:r>
            <w:r w:rsidRPr="00427BE0">
              <w:rPr>
                <w:rFonts w:ascii="Calibri" w:eastAsia="Arial Unicode MS" w:hAnsi="Calibri"/>
                <w:b/>
                <w:bCs/>
                <w:color w:val="000000" w:themeColor="text1"/>
                <w:sz w:val="18"/>
                <w:szCs w:val="18"/>
              </w:rPr>
              <w:t>052</w:t>
            </w:r>
          </w:p>
        </w:tc>
      </w:tr>
      <w:tr w:rsidR="00256242" w:rsidRPr="00537128" w14:paraId="79615D88" w14:textId="77777777" w:rsidTr="00A1123E">
        <w:trPr>
          <w:trHeight w:val="381"/>
        </w:trPr>
        <w:tc>
          <w:tcPr>
            <w:tcW w:w="1520" w:type="pct"/>
            <w:vAlign w:val="bottom"/>
          </w:tcPr>
          <w:p w14:paraId="305C24CE" w14:textId="77777777" w:rsidR="00256242" w:rsidRPr="00537128" w:rsidRDefault="00256242" w:rsidP="00256242">
            <w:pPr>
              <w:spacing w:after="0" w:line="240" w:lineRule="exact"/>
              <w:rPr>
                <w:rFonts w:ascii="Calibri" w:eastAsia="Calibri" w:hAnsi="Calibri" w:cs="Arial"/>
                <w:b/>
                <w:bCs/>
                <w:sz w:val="18"/>
                <w:szCs w:val="18"/>
                <w:lang w:val="en-US"/>
              </w:rPr>
            </w:pPr>
            <w:r w:rsidRPr="00537128">
              <w:rPr>
                <w:rFonts w:ascii="Calibri" w:eastAsia="Calibri" w:hAnsi="Calibri" w:cs="Arial"/>
                <w:b/>
                <w:bCs/>
                <w:sz w:val="18"/>
                <w:szCs w:val="18"/>
                <w:lang w:val="en-US"/>
              </w:rPr>
              <w:t>Currency gap</w:t>
            </w:r>
          </w:p>
        </w:tc>
        <w:tc>
          <w:tcPr>
            <w:tcW w:w="508" w:type="pct"/>
            <w:tcBorders>
              <w:top w:val="single" w:sz="12" w:space="0" w:color="auto"/>
              <w:left w:val="nil"/>
              <w:bottom w:val="single" w:sz="12" w:space="0" w:color="auto"/>
              <w:right w:val="nil"/>
            </w:tcBorders>
            <w:shd w:val="clear" w:color="000000" w:fill="auto"/>
            <w:vAlign w:val="bottom"/>
          </w:tcPr>
          <w:p w14:paraId="59FCC149" w14:textId="4AB42BAE" w:rsidR="00256242" w:rsidRPr="00537128" w:rsidRDefault="00256242" w:rsidP="00256242">
            <w:pPr>
              <w:spacing w:after="0" w:line="240" w:lineRule="exact"/>
              <w:jc w:val="right"/>
              <w:rPr>
                <w:rFonts w:ascii="Calibri" w:eastAsia="Arial Unicode MS" w:hAnsi="Calibri" w:cs="Arial"/>
                <w:b/>
                <w:bCs/>
                <w:sz w:val="18"/>
                <w:szCs w:val="18"/>
                <w:lang w:val="en-US"/>
              </w:rPr>
            </w:pPr>
            <w:r w:rsidRPr="00427BE0">
              <w:rPr>
                <w:rFonts w:ascii="Calibri" w:eastAsia="Arial Unicode MS" w:hAnsi="Calibri"/>
                <w:b/>
                <w:bCs/>
                <w:color w:val="000000" w:themeColor="text1"/>
                <w:sz w:val="18"/>
                <w:szCs w:val="18"/>
              </w:rPr>
              <w:t>107</w:t>
            </w:r>
            <w:r>
              <w:rPr>
                <w:rFonts w:ascii="Calibri" w:eastAsia="Arial Unicode MS" w:hAnsi="Calibri"/>
                <w:b/>
                <w:bCs/>
                <w:color w:val="000000" w:themeColor="text1"/>
                <w:sz w:val="18"/>
                <w:szCs w:val="18"/>
              </w:rPr>
              <w:t>,</w:t>
            </w:r>
            <w:r w:rsidRPr="00427BE0">
              <w:rPr>
                <w:rFonts w:ascii="Calibri" w:eastAsia="Arial Unicode MS" w:hAnsi="Calibri"/>
                <w:b/>
                <w:bCs/>
                <w:color w:val="000000" w:themeColor="text1"/>
                <w:sz w:val="18"/>
                <w:szCs w:val="18"/>
              </w:rPr>
              <w:t>748</w:t>
            </w:r>
          </w:p>
        </w:tc>
        <w:tc>
          <w:tcPr>
            <w:tcW w:w="579" w:type="pct"/>
            <w:tcBorders>
              <w:top w:val="single" w:sz="12" w:space="0" w:color="auto"/>
              <w:left w:val="nil"/>
              <w:bottom w:val="single" w:sz="12" w:space="0" w:color="auto"/>
              <w:right w:val="nil"/>
            </w:tcBorders>
            <w:shd w:val="clear" w:color="000000" w:fill="auto"/>
            <w:vAlign w:val="bottom"/>
          </w:tcPr>
          <w:p w14:paraId="508FEE2D" w14:textId="0078CD2F" w:rsidR="00256242" w:rsidRPr="00537128" w:rsidRDefault="00256242" w:rsidP="00256242">
            <w:pPr>
              <w:spacing w:after="0" w:line="240" w:lineRule="exact"/>
              <w:jc w:val="right"/>
              <w:rPr>
                <w:rFonts w:ascii="Calibri" w:eastAsia="Arial Unicode MS" w:hAnsi="Calibri" w:cs="Arial"/>
                <w:b/>
                <w:bCs/>
                <w:sz w:val="18"/>
                <w:szCs w:val="18"/>
                <w:lang w:val="en-US"/>
              </w:rPr>
            </w:pPr>
            <w:r>
              <w:rPr>
                <w:rFonts w:ascii="Calibri" w:eastAsia="Arial Unicode MS" w:hAnsi="Calibri"/>
                <w:b/>
                <w:bCs/>
                <w:color w:val="000000" w:themeColor="text1"/>
                <w:sz w:val="18"/>
                <w:szCs w:val="18"/>
              </w:rPr>
              <w:t>(</w:t>
            </w:r>
            <w:r w:rsidRPr="00427BE0">
              <w:rPr>
                <w:rFonts w:ascii="Calibri" w:eastAsia="Arial Unicode MS" w:hAnsi="Calibri"/>
                <w:b/>
                <w:bCs/>
                <w:color w:val="000000" w:themeColor="text1"/>
                <w:sz w:val="18"/>
                <w:szCs w:val="18"/>
              </w:rPr>
              <w:t>316</w:t>
            </w:r>
            <w:r>
              <w:rPr>
                <w:rFonts w:ascii="Calibri" w:eastAsia="Arial Unicode MS" w:hAnsi="Calibri"/>
                <w:b/>
                <w:bCs/>
                <w:color w:val="000000" w:themeColor="text1"/>
                <w:sz w:val="18"/>
                <w:szCs w:val="18"/>
              </w:rPr>
              <w:t>,</w:t>
            </w:r>
            <w:r w:rsidRPr="00427BE0">
              <w:rPr>
                <w:rFonts w:ascii="Calibri" w:eastAsia="Arial Unicode MS" w:hAnsi="Calibri"/>
                <w:b/>
                <w:bCs/>
                <w:color w:val="000000" w:themeColor="text1"/>
                <w:sz w:val="18"/>
                <w:szCs w:val="18"/>
              </w:rPr>
              <w:t>860</w:t>
            </w:r>
            <w:r>
              <w:rPr>
                <w:rFonts w:ascii="Calibri" w:eastAsia="Arial Unicode MS" w:hAnsi="Calibri"/>
                <w:b/>
                <w:bCs/>
                <w:color w:val="000000" w:themeColor="text1"/>
                <w:sz w:val="18"/>
                <w:szCs w:val="18"/>
              </w:rPr>
              <w:t>)</w:t>
            </w:r>
          </w:p>
        </w:tc>
        <w:tc>
          <w:tcPr>
            <w:tcW w:w="584" w:type="pct"/>
            <w:tcBorders>
              <w:top w:val="single" w:sz="12" w:space="0" w:color="auto"/>
              <w:left w:val="nil"/>
              <w:bottom w:val="single" w:sz="12" w:space="0" w:color="auto"/>
              <w:right w:val="nil"/>
            </w:tcBorders>
            <w:shd w:val="clear" w:color="000000" w:fill="auto"/>
            <w:vAlign w:val="bottom"/>
          </w:tcPr>
          <w:p w14:paraId="3CB11A53" w14:textId="623ADC4E" w:rsidR="00256242" w:rsidRPr="00537128" w:rsidRDefault="00256242" w:rsidP="00256242">
            <w:pPr>
              <w:spacing w:after="0" w:line="240" w:lineRule="exact"/>
              <w:jc w:val="right"/>
              <w:rPr>
                <w:rFonts w:ascii="Calibri" w:eastAsia="Arial Unicode MS" w:hAnsi="Calibri" w:cs="Arial"/>
                <w:b/>
                <w:bCs/>
                <w:sz w:val="18"/>
                <w:szCs w:val="18"/>
                <w:lang w:val="en-US"/>
              </w:rPr>
            </w:pPr>
            <w:r>
              <w:rPr>
                <w:rFonts w:ascii="Calibri" w:eastAsia="Arial Unicode MS" w:hAnsi="Calibri"/>
                <w:b/>
                <w:bCs/>
                <w:color w:val="000000" w:themeColor="text1"/>
                <w:sz w:val="18"/>
                <w:szCs w:val="18"/>
              </w:rPr>
              <w:t>(</w:t>
            </w:r>
            <w:r w:rsidRPr="00427BE0">
              <w:rPr>
                <w:rFonts w:ascii="Calibri" w:eastAsia="Arial Unicode MS" w:hAnsi="Calibri"/>
                <w:b/>
                <w:bCs/>
                <w:color w:val="000000" w:themeColor="text1"/>
                <w:sz w:val="18"/>
                <w:szCs w:val="18"/>
              </w:rPr>
              <w:t>20</w:t>
            </w:r>
            <w:r>
              <w:rPr>
                <w:rFonts w:ascii="Calibri" w:eastAsia="Arial Unicode MS" w:hAnsi="Calibri"/>
                <w:b/>
                <w:bCs/>
                <w:color w:val="000000" w:themeColor="text1"/>
                <w:sz w:val="18"/>
                <w:szCs w:val="18"/>
              </w:rPr>
              <w:t>,</w:t>
            </w:r>
            <w:r w:rsidRPr="00427BE0">
              <w:rPr>
                <w:rFonts w:ascii="Calibri" w:eastAsia="Arial Unicode MS" w:hAnsi="Calibri"/>
                <w:b/>
                <w:bCs/>
                <w:color w:val="000000" w:themeColor="text1"/>
                <w:sz w:val="18"/>
                <w:szCs w:val="18"/>
              </w:rPr>
              <w:t>985</w:t>
            </w:r>
            <w:r>
              <w:rPr>
                <w:rFonts w:ascii="Calibri" w:eastAsia="Arial Unicode MS" w:hAnsi="Calibri"/>
                <w:b/>
                <w:bCs/>
                <w:color w:val="000000" w:themeColor="text1"/>
                <w:sz w:val="18"/>
                <w:szCs w:val="18"/>
              </w:rPr>
              <w:t>)</w:t>
            </w:r>
          </w:p>
        </w:tc>
        <w:tc>
          <w:tcPr>
            <w:tcW w:w="579" w:type="pct"/>
            <w:tcBorders>
              <w:top w:val="single" w:sz="12" w:space="0" w:color="auto"/>
              <w:left w:val="nil"/>
              <w:bottom w:val="single" w:sz="12" w:space="0" w:color="auto"/>
              <w:right w:val="nil"/>
            </w:tcBorders>
            <w:shd w:val="clear" w:color="000000" w:fill="auto"/>
            <w:vAlign w:val="bottom"/>
          </w:tcPr>
          <w:p w14:paraId="714BC428" w14:textId="5401E124" w:rsidR="00256242" w:rsidRPr="00537128" w:rsidRDefault="00256242" w:rsidP="00256242">
            <w:pPr>
              <w:spacing w:after="0" w:line="240" w:lineRule="exact"/>
              <w:jc w:val="right"/>
              <w:rPr>
                <w:rFonts w:ascii="Calibri" w:eastAsia="Arial Unicode MS" w:hAnsi="Calibri" w:cs="Arial"/>
                <w:b/>
                <w:bCs/>
                <w:sz w:val="18"/>
                <w:szCs w:val="18"/>
                <w:lang w:val="en-US"/>
              </w:rPr>
            </w:pPr>
            <w:r>
              <w:rPr>
                <w:rFonts w:ascii="Calibri" w:eastAsia="Arial Unicode MS" w:hAnsi="Calibri"/>
                <w:b/>
                <w:bCs/>
                <w:color w:val="000000" w:themeColor="text1"/>
                <w:sz w:val="18"/>
                <w:szCs w:val="18"/>
              </w:rPr>
              <w:t>(</w:t>
            </w:r>
            <w:r w:rsidRPr="00427BE0">
              <w:rPr>
                <w:rFonts w:ascii="Calibri" w:eastAsia="Arial Unicode MS" w:hAnsi="Calibri"/>
                <w:b/>
                <w:bCs/>
                <w:color w:val="000000" w:themeColor="text1"/>
                <w:sz w:val="18"/>
                <w:szCs w:val="18"/>
              </w:rPr>
              <w:t>230</w:t>
            </w:r>
            <w:r>
              <w:rPr>
                <w:rFonts w:ascii="Calibri" w:eastAsia="Arial Unicode MS" w:hAnsi="Calibri"/>
                <w:b/>
                <w:bCs/>
                <w:color w:val="000000" w:themeColor="text1"/>
                <w:sz w:val="18"/>
                <w:szCs w:val="18"/>
              </w:rPr>
              <w:t>,</w:t>
            </w:r>
            <w:r w:rsidRPr="00427BE0">
              <w:rPr>
                <w:rFonts w:ascii="Calibri" w:eastAsia="Arial Unicode MS" w:hAnsi="Calibri"/>
                <w:b/>
                <w:bCs/>
                <w:color w:val="000000" w:themeColor="text1"/>
                <w:sz w:val="18"/>
                <w:szCs w:val="18"/>
              </w:rPr>
              <w:t>097</w:t>
            </w:r>
            <w:r>
              <w:rPr>
                <w:rFonts w:ascii="Calibri" w:eastAsia="Arial Unicode MS" w:hAnsi="Calibri"/>
                <w:b/>
                <w:bCs/>
                <w:color w:val="000000" w:themeColor="text1"/>
                <w:sz w:val="18"/>
                <w:szCs w:val="18"/>
              </w:rPr>
              <w:t>)</w:t>
            </w:r>
          </w:p>
        </w:tc>
        <w:tc>
          <w:tcPr>
            <w:tcW w:w="653" w:type="pct"/>
            <w:tcBorders>
              <w:top w:val="single" w:sz="12" w:space="0" w:color="auto"/>
              <w:left w:val="nil"/>
              <w:bottom w:val="single" w:sz="12" w:space="0" w:color="auto"/>
              <w:right w:val="nil"/>
            </w:tcBorders>
            <w:shd w:val="clear" w:color="000000" w:fill="auto"/>
            <w:vAlign w:val="bottom"/>
          </w:tcPr>
          <w:p w14:paraId="02B122DA" w14:textId="293F1934" w:rsidR="00256242" w:rsidRPr="00537128" w:rsidRDefault="00256242" w:rsidP="00256242">
            <w:pPr>
              <w:spacing w:after="0" w:line="240" w:lineRule="exact"/>
              <w:jc w:val="right"/>
              <w:rPr>
                <w:rFonts w:ascii="Calibri" w:eastAsia="Arial Unicode MS" w:hAnsi="Calibri" w:cs="Arial"/>
                <w:b/>
                <w:bCs/>
                <w:sz w:val="18"/>
                <w:szCs w:val="18"/>
                <w:lang w:val="en-US"/>
              </w:rPr>
            </w:pPr>
            <w:r w:rsidRPr="00427BE0">
              <w:rPr>
                <w:rFonts w:ascii="Calibri" w:eastAsia="Arial Unicode MS" w:hAnsi="Calibri"/>
                <w:b/>
                <w:bCs/>
                <w:color w:val="000000" w:themeColor="text1"/>
                <w:sz w:val="18"/>
                <w:szCs w:val="18"/>
              </w:rPr>
              <w:t>11</w:t>
            </w:r>
            <w:r>
              <w:rPr>
                <w:rFonts w:ascii="Calibri" w:eastAsia="Arial Unicode MS" w:hAnsi="Calibri"/>
                <w:b/>
                <w:bCs/>
                <w:color w:val="000000" w:themeColor="text1"/>
                <w:sz w:val="18"/>
                <w:szCs w:val="18"/>
              </w:rPr>
              <w:t>,</w:t>
            </w:r>
            <w:r w:rsidRPr="00427BE0">
              <w:rPr>
                <w:rFonts w:ascii="Calibri" w:eastAsia="Arial Unicode MS" w:hAnsi="Calibri"/>
                <w:b/>
                <w:bCs/>
                <w:color w:val="000000" w:themeColor="text1"/>
                <w:sz w:val="18"/>
                <w:szCs w:val="18"/>
              </w:rPr>
              <w:t>008</w:t>
            </w:r>
            <w:r>
              <w:rPr>
                <w:rFonts w:ascii="Calibri" w:eastAsia="Arial Unicode MS" w:hAnsi="Calibri"/>
                <w:b/>
                <w:bCs/>
                <w:color w:val="000000" w:themeColor="text1"/>
                <w:sz w:val="18"/>
                <w:szCs w:val="18"/>
              </w:rPr>
              <w:t>,</w:t>
            </w:r>
            <w:r w:rsidRPr="00427BE0">
              <w:rPr>
                <w:rFonts w:ascii="Calibri" w:eastAsia="Arial Unicode MS" w:hAnsi="Calibri"/>
                <w:b/>
                <w:bCs/>
                <w:color w:val="000000" w:themeColor="text1"/>
                <w:sz w:val="18"/>
                <w:szCs w:val="18"/>
              </w:rPr>
              <w:t>386</w:t>
            </w:r>
          </w:p>
        </w:tc>
        <w:tc>
          <w:tcPr>
            <w:tcW w:w="577" w:type="pct"/>
            <w:tcBorders>
              <w:top w:val="single" w:sz="12" w:space="0" w:color="auto"/>
              <w:left w:val="nil"/>
              <w:bottom w:val="single" w:sz="12" w:space="0" w:color="auto"/>
            </w:tcBorders>
            <w:shd w:val="clear" w:color="000000" w:fill="auto"/>
            <w:vAlign w:val="bottom"/>
          </w:tcPr>
          <w:p w14:paraId="6092C376" w14:textId="75BCC97C" w:rsidR="00256242" w:rsidRPr="00537128" w:rsidRDefault="00256242" w:rsidP="00256242">
            <w:pPr>
              <w:spacing w:after="0" w:line="240" w:lineRule="exact"/>
              <w:jc w:val="right"/>
              <w:rPr>
                <w:rFonts w:ascii="Calibri" w:eastAsia="Arial Unicode MS" w:hAnsi="Calibri" w:cs="Arial"/>
                <w:b/>
                <w:bCs/>
                <w:sz w:val="18"/>
                <w:szCs w:val="18"/>
                <w:lang w:val="en-US"/>
              </w:rPr>
            </w:pPr>
            <w:r w:rsidRPr="00427BE0">
              <w:rPr>
                <w:rFonts w:ascii="Calibri" w:eastAsia="Arial Unicode MS" w:hAnsi="Calibri"/>
                <w:b/>
                <w:bCs/>
                <w:color w:val="000000" w:themeColor="text1"/>
                <w:sz w:val="18"/>
                <w:szCs w:val="18"/>
              </w:rPr>
              <w:t>10</w:t>
            </w:r>
            <w:r>
              <w:rPr>
                <w:rFonts w:ascii="Calibri" w:eastAsia="Arial Unicode MS" w:hAnsi="Calibri"/>
                <w:b/>
                <w:bCs/>
                <w:color w:val="000000" w:themeColor="text1"/>
                <w:sz w:val="18"/>
                <w:szCs w:val="18"/>
              </w:rPr>
              <w:t>,</w:t>
            </w:r>
            <w:r w:rsidRPr="00427BE0">
              <w:rPr>
                <w:rFonts w:ascii="Calibri" w:eastAsia="Arial Unicode MS" w:hAnsi="Calibri"/>
                <w:b/>
                <w:bCs/>
                <w:color w:val="000000" w:themeColor="text1"/>
                <w:sz w:val="18"/>
                <w:szCs w:val="18"/>
              </w:rPr>
              <w:t>778</w:t>
            </w:r>
            <w:r>
              <w:rPr>
                <w:rFonts w:ascii="Calibri" w:eastAsia="Arial Unicode MS" w:hAnsi="Calibri"/>
                <w:b/>
                <w:bCs/>
                <w:color w:val="000000" w:themeColor="text1"/>
                <w:sz w:val="18"/>
                <w:szCs w:val="18"/>
              </w:rPr>
              <w:t>,</w:t>
            </w:r>
            <w:r w:rsidRPr="00427BE0">
              <w:rPr>
                <w:rFonts w:ascii="Calibri" w:eastAsia="Arial Unicode MS" w:hAnsi="Calibri"/>
                <w:b/>
                <w:bCs/>
                <w:color w:val="000000" w:themeColor="text1"/>
                <w:sz w:val="18"/>
                <w:szCs w:val="18"/>
              </w:rPr>
              <w:t>289</w:t>
            </w:r>
          </w:p>
        </w:tc>
      </w:tr>
    </w:tbl>
    <w:p w14:paraId="3D6E80B0" w14:textId="77777777" w:rsidR="00206732" w:rsidRPr="00537128" w:rsidRDefault="00206732" w:rsidP="00206732">
      <w:pPr>
        <w:keepNext/>
        <w:spacing w:after="0" w:line="240" w:lineRule="auto"/>
        <w:jc w:val="both"/>
        <w:rPr>
          <w:rFonts w:ascii="Calibri" w:eastAsia="Times New Roman" w:hAnsi="Calibri" w:cs="Arial"/>
          <w:lang w:val="en-US"/>
        </w:rPr>
      </w:pPr>
    </w:p>
    <w:p w14:paraId="534BB548" w14:textId="77777777" w:rsidR="00206732" w:rsidRPr="00537128" w:rsidRDefault="00206732" w:rsidP="00206732">
      <w:pPr>
        <w:keepNext/>
        <w:spacing w:after="0" w:line="240" w:lineRule="auto"/>
        <w:jc w:val="both"/>
        <w:rPr>
          <w:rFonts w:ascii="Calibri" w:eastAsia="Calibri" w:hAnsi="Calibri" w:cs="Arial"/>
          <w:lang w:val="en-US"/>
        </w:rPr>
      </w:pPr>
    </w:p>
    <w:p w14:paraId="1A7660BA" w14:textId="22F13DE4" w:rsidR="00206732" w:rsidRPr="00537128"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bookmarkStart w:id="1070" w:name="_Toc4062832"/>
      <w:r w:rsidRPr="00537128">
        <w:rPr>
          <w:rFonts w:ascii="Calibri" w:eastAsia="Times New Roman" w:hAnsi="Calibri" w:cs="Times New Roman"/>
          <w:i/>
          <w:sz w:val="20"/>
          <w:szCs w:val="20"/>
          <w:lang w:val="en-US"/>
        </w:rPr>
        <w:t>*Amounts linked to a one-way currency clause represent HRK</w:t>
      </w:r>
      <w:r w:rsidR="00FE2562" w:rsidRPr="00537128">
        <w:rPr>
          <w:rFonts w:ascii="Calibri" w:eastAsia="Times New Roman" w:hAnsi="Calibri" w:cs="Times New Roman"/>
          <w:i/>
          <w:sz w:val="20"/>
          <w:szCs w:val="20"/>
          <w:lang w:val="en-US"/>
        </w:rPr>
        <w:t xml:space="preserve"> </w:t>
      </w:r>
      <w:r w:rsidR="0004371D" w:rsidRPr="0004371D">
        <w:rPr>
          <w:rFonts w:ascii="Calibri" w:eastAsia="Times New Roman" w:hAnsi="Calibri" w:cs="Times New Roman"/>
          <w:i/>
          <w:sz w:val="20"/>
          <w:szCs w:val="20"/>
          <w:lang w:val="en-US"/>
        </w:rPr>
        <w:t>2</w:t>
      </w:r>
      <w:r w:rsidR="00F8009E" w:rsidRPr="0004371D">
        <w:rPr>
          <w:rFonts w:ascii="Calibri" w:eastAsia="Times New Roman" w:hAnsi="Calibri" w:cs="Times New Roman"/>
          <w:i/>
          <w:sz w:val="20"/>
          <w:szCs w:val="20"/>
          <w:lang w:val="en-US"/>
        </w:rPr>
        <w:t>8,</w:t>
      </w:r>
      <w:r w:rsidR="0004371D" w:rsidRPr="0004371D">
        <w:rPr>
          <w:rFonts w:ascii="Calibri" w:eastAsia="Times New Roman" w:hAnsi="Calibri" w:cs="Times New Roman"/>
          <w:i/>
          <w:sz w:val="20"/>
          <w:szCs w:val="20"/>
          <w:lang w:val="en-US"/>
        </w:rPr>
        <w:t>486</w:t>
      </w:r>
      <w:r w:rsidR="00F8009E" w:rsidRPr="0004371D">
        <w:rPr>
          <w:rFonts w:ascii="Calibri" w:eastAsia="Times New Roman" w:hAnsi="Calibri" w:cs="Times New Roman"/>
          <w:i/>
          <w:sz w:val="20"/>
          <w:szCs w:val="20"/>
          <w:lang w:val="en-US"/>
        </w:rPr>
        <w:t xml:space="preserve"> </w:t>
      </w:r>
      <w:r w:rsidRPr="0004371D">
        <w:rPr>
          <w:rFonts w:ascii="Calibri" w:eastAsia="Times New Roman" w:hAnsi="Calibri" w:cs="Times New Roman"/>
          <w:i/>
          <w:sz w:val="20"/>
          <w:szCs w:val="20"/>
          <w:lang w:val="en-US"/>
        </w:rPr>
        <w:t>tho</w:t>
      </w:r>
      <w:r w:rsidRPr="00537128">
        <w:rPr>
          <w:rFonts w:ascii="Calibri" w:eastAsia="Times New Roman" w:hAnsi="Calibri" w:cs="Times New Roman"/>
          <w:i/>
          <w:sz w:val="20"/>
          <w:szCs w:val="20"/>
          <w:lang w:val="en-US"/>
        </w:rPr>
        <w:t>usand.</w:t>
      </w:r>
      <w:bookmarkEnd w:id="1070"/>
      <w:r w:rsidRPr="00537128">
        <w:rPr>
          <w:rFonts w:ascii="Calibri" w:eastAsia="Times New Roman" w:hAnsi="Calibri" w:cs="Times New Roman"/>
          <w:i/>
          <w:sz w:val="20"/>
          <w:szCs w:val="20"/>
          <w:lang w:val="en-US"/>
        </w:rPr>
        <w:t xml:space="preserve"> </w:t>
      </w:r>
    </w:p>
    <w:p w14:paraId="4A6983AE" w14:textId="77777777" w:rsidR="00206732" w:rsidRPr="00537128" w:rsidRDefault="00206732" w:rsidP="008330AF">
      <w:pPr>
        <w:spacing w:after="0" w:line="240" w:lineRule="auto"/>
        <w:jc w:val="both"/>
        <w:rPr>
          <w:rFonts w:eastAsia="Times New Roman" w:cstheme="minorHAnsi"/>
          <w:b/>
          <w:iCs/>
          <w:color w:val="000000" w:themeColor="text1"/>
          <w:lang w:val="en-US"/>
        </w:rPr>
      </w:pPr>
    </w:p>
    <w:p w14:paraId="4CED8852" w14:textId="77777777" w:rsidR="00206732" w:rsidRPr="00537128" w:rsidRDefault="00206732" w:rsidP="008330AF">
      <w:pPr>
        <w:spacing w:after="0" w:line="240" w:lineRule="auto"/>
        <w:jc w:val="both"/>
        <w:rPr>
          <w:rFonts w:eastAsia="Times New Roman" w:cstheme="minorHAnsi"/>
          <w:b/>
          <w:iCs/>
          <w:color w:val="000000" w:themeColor="text1"/>
          <w:lang w:val="en-US"/>
        </w:rPr>
        <w:sectPr w:rsidR="00206732" w:rsidRPr="00537128" w:rsidSect="00712478">
          <w:pgSz w:w="11906" w:h="16838"/>
          <w:pgMar w:top="1418" w:right="1134" w:bottom="1418" w:left="1418" w:header="709" w:footer="709" w:gutter="0"/>
          <w:cols w:space="708"/>
          <w:docGrid w:linePitch="360"/>
        </w:sectPr>
      </w:pPr>
    </w:p>
    <w:p w14:paraId="4F939106"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6B2F67D9" w14:textId="77777777" w:rsidR="00206732" w:rsidRPr="00537128" w:rsidRDefault="00206732">
      <w:pPr>
        <w:pStyle w:val="ListParagraph"/>
        <w:numPr>
          <w:ilvl w:val="0"/>
          <w:numId w:val="60"/>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14AFD36A"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384E4C6B" w14:textId="103EBDB4" w:rsidR="00206732" w:rsidRPr="00537128" w:rsidRDefault="00B357CE" w:rsidP="00206732">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06732" w:rsidRPr="00537128">
        <w:rPr>
          <w:rFonts w:eastAsia="Times New Roman" w:cstheme="minorHAnsi"/>
          <w:b/>
          <w:iCs/>
          <w:color w:val="000000" w:themeColor="text1"/>
          <w:lang w:val="en-US"/>
        </w:rPr>
        <w:t xml:space="preserve">.5. </w:t>
      </w:r>
      <w:r w:rsidR="00206732" w:rsidRPr="00537128">
        <w:rPr>
          <w:rFonts w:eastAsia="Times New Roman" w:cstheme="minorHAnsi"/>
          <w:b/>
          <w:iCs/>
          <w:color w:val="000000" w:themeColor="text1"/>
          <w:lang w:val="en-US"/>
        </w:rPr>
        <w:tab/>
        <w:t>Market risk (continued)</w:t>
      </w:r>
    </w:p>
    <w:p w14:paraId="2ED68694"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76F5B035" w14:textId="5200612E" w:rsidR="00206732" w:rsidRPr="00537128" w:rsidRDefault="00B357CE" w:rsidP="00206732">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06732" w:rsidRPr="00537128">
        <w:rPr>
          <w:rFonts w:eastAsia="Times New Roman" w:cstheme="minorHAnsi"/>
          <w:b/>
          <w:iCs/>
          <w:color w:val="000000" w:themeColor="text1"/>
          <w:lang w:val="en-US"/>
        </w:rPr>
        <w:t>.5.2.   Currency risk (continued)</w:t>
      </w:r>
    </w:p>
    <w:p w14:paraId="4A75D64B"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25AACA99" w14:textId="589BA361" w:rsidR="00206732" w:rsidRPr="00537128" w:rsidRDefault="00206732" w:rsidP="00206732">
      <w:pPr>
        <w:spacing w:after="0" w:line="240" w:lineRule="auto"/>
        <w:jc w:val="both"/>
        <w:rPr>
          <w:rFonts w:eastAsia="Times New Roman" w:cstheme="minorHAnsi"/>
          <w:bCs/>
          <w:iCs/>
          <w:color w:val="000000" w:themeColor="text1"/>
          <w:lang w:val="en-US"/>
        </w:rPr>
      </w:pPr>
      <w:r w:rsidRPr="00537128">
        <w:rPr>
          <w:rFonts w:eastAsia="Times New Roman" w:cstheme="minorHAnsi"/>
          <w:bCs/>
          <w:iCs/>
          <w:color w:val="000000" w:themeColor="text1"/>
          <w:lang w:val="en-US"/>
        </w:rPr>
        <w:t xml:space="preserve">Total assets and total liabilities as of </w:t>
      </w:r>
      <w:r w:rsidR="00E20F52" w:rsidRPr="00537128">
        <w:rPr>
          <w:rFonts w:eastAsia="Times New Roman" w:cstheme="minorHAnsi"/>
          <w:bCs/>
          <w:iCs/>
          <w:color w:val="000000" w:themeColor="text1"/>
          <w:lang w:val="en-US"/>
        </w:rPr>
        <w:t>3</w:t>
      </w:r>
      <w:r w:rsidR="006A5067" w:rsidRPr="00537128">
        <w:rPr>
          <w:rFonts w:eastAsia="Times New Roman" w:cstheme="minorHAnsi"/>
          <w:bCs/>
          <w:iCs/>
          <w:color w:val="000000" w:themeColor="text1"/>
          <w:lang w:val="en-US"/>
        </w:rPr>
        <w:t>1</w:t>
      </w:r>
      <w:r w:rsidR="00E20F52" w:rsidRPr="00537128">
        <w:rPr>
          <w:rFonts w:eastAsia="Times New Roman" w:cstheme="minorHAnsi"/>
          <w:bCs/>
          <w:iCs/>
          <w:color w:val="000000" w:themeColor="text1"/>
          <w:lang w:val="en-US"/>
        </w:rPr>
        <w:t xml:space="preserve"> </w:t>
      </w:r>
      <w:r w:rsidR="006A5067" w:rsidRPr="00537128">
        <w:rPr>
          <w:rFonts w:eastAsia="Times New Roman" w:cstheme="minorHAnsi"/>
          <w:bCs/>
          <w:iCs/>
          <w:color w:val="000000" w:themeColor="text1"/>
          <w:lang w:val="en-US"/>
        </w:rPr>
        <w:t>March</w:t>
      </w:r>
      <w:r w:rsidR="00E20F52" w:rsidRPr="00537128">
        <w:rPr>
          <w:rFonts w:eastAsia="Times New Roman" w:cstheme="minorHAnsi"/>
          <w:bCs/>
          <w:iCs/>
          <w:color w:val="000000" w:themeColor="text1"/>
          <w:lang w:val="en-US"/>
        </w:rPr>
        <w:t xml:space="preserve"> </w:t>
      </w:r>
      <w:r w:rsidRPr="00537128">
        <w:rPr>
          <w:rFonts w:eastAsia="Times New Roman" w:cstheme="minorHAnsi"/>
          <w:bCs/>
          <w:iCs/>
          <w:color w:val="000000" w:themeColor="text1"/>
          <w:lang w:val="en-US"/>
        </w:rPr>
        <w:t>202</w:t>
      </w:r>
      <w:r w:rsidR="00E85CAE">
        <w:rPr>
          <w:rFonts w:eastAsia="Times New Roman" w:cstheme="minorHAnsi"/>
          <w:bCs/>
          <w:iCs/>
          <w:color w:val="000000" w:themeColor="text1"/>
          <w:lang w:val="en-US"/>
        </w:rPr>
        <w:t>2</w:t>
      </w:r>
      <w:r w:rsidRPr="00537128">
        <w:rPr>
          <w:rFonts w:eastAsia="Times New Roman" w:cstheme="minorHAnsi"/>
          <w:bCs/>
          <w:iCs/>
          <w:color w:val="000000" w:themeColor="text1"/>
          <w:lang w:val="en-US"/>
        </w:rPr>
        <w:t xml:space="preserve"> and 31 December 20</w:t>
      </w:r>
      <w:r w:rsidR="006A5067" w:rsidRPr="00537128">
        <w:rPr>
          <w:rFonts w:eastAsia="Times New Roman" w:cstheme="minorHAnsi"/>
          <w:bCs/>
          <w:iCs/>
          <w:color w:val="000000" w:themeColor="text1"/>
          <w:lang w:val="en-US"/>
        </w:rPr>
        <w:t>2</w:t>
      </w:r>
      <w:r w:rsidR="00E85CAE">
        <w:rPr>
          <w:rFonts w:eastAsia="Times New Roman" w:cstheme="minorHAnsi"/>
          <w:bCs/>
          <w:iCs/>
          <w:color w:val="000000" w:themeColor="text1"/>
          <w:lang w:val="en-US"/>
        </w:rPr>
        <w:t>1</w:t>
      </w:r>
      <w:r w:rsidR="006A5067" w:rsidRPr="00537128">
        <w:rPr>
          <w:rFonts w:eastAsia="Times New Roman" w:cstheme="minorHAnsi"/>
          <w:bCs/>
          <w:iCs/>
          <w:color w:val="000000" w:themeColor="text1"/>
          <w:lang w:val="en-US"/>
        </w:rPr>
        <w:t xml:space="preserve"> </w:t>
      </w:r>
      <w:r w:rsidRPr="00537128">
        <w:rPr>
          <w:rFonts w:eastAsia="Times New Roman" w:cstheme="minorHAnsi"/>
          <w:bCs/>
          <w:iCs/>
          <w:color w:val="000000" w:themeColor="text1"/>
          <w:lang w:val="en-US"/>
        </w:rPr>
        <w:t>in HRK and foreign currencies can be shown as follows:</w:t>
      </w:r>
    </w:p>
    <w:p w14:paraId="242B10C6" w14:textId="5F76584D" w:rsidR="00206732" w:rsidRPr="00537128" w:rsidRDefault="00206732" w:rsidP="00206732">
      <w:pPr>
        <w:spacing w:after="0" w:line="240" w:lineRule="auto"/>
        <w:jc w:val="both"/>
        <w:rPr>
          <w:rFonts w:eastAsia="Times New Roman" w:cstheme="minorHAnsi"/>
          <w:bCs/>
          <w:iCs/>
          <w:color w:val="000000" w:themeColor="text1"/>
          <w:lang w:val="en-US"/>
        </w:rPr>
      </w:pPr>
    </w:p>
    <w:tbl>
      <w:tblPr>
        <w:tblW w:w="5102" w:type="pct"/>
        <w:tblInd w:w="-164" w:type="dxa"/>
        <w:tblLayout w:type="fixed"/>
        <w:tblCellMar>
          <w:left w:w="120" w:type="dxa"/>
          <w:right w:w="120" w:type="dxa"/>
        </w:tblCellMar>
        <w:tblLook w:val="0000" w:firstRow="0" w:lastRow="0" w:firstColumn="0" w:lastColumn="0" w:noHBand="0" w:noVBand="0"/>
      </w:tblPr>
      <w:tblGrid>
        <w:gridCol w:w="2902"/>
        <w:gridCol w:w="970"/>
        <w:gridCol w:w="1105"/>
        <w:gridCol w:w="1115"/>
        <w:gridCol w:w="1105"/>
        <w:gridCol w:w="1247"/>
        <w:gridCol w:w="1101"/>
      </w:tblGrid>
      <w:tr w:rsidR="00CE4A9A" w:rsidRPr="00CE4A9A" w14:paraId="34F18DC1" w14:textId="77777777" w:rsidTr="00E44437">
        <w:trPr>
          <w:trHeight w:val="556"/>
        </w:trPr>
        <w:tc>
          <w:tcPr>
            <w:tcW w:w="1520" w:type="pct"/>
            <w:vAlign w:val="bottom"/>
          </w:tcPr>
          <w:p w14:paraId="37A5A5F5" w14:textId="77777777" w:rsidR="00CE4A9A" w:rsidRPr="00CE4A9A" w:rsidRDefault="00CE4A9A" w:rsidP="00CE4A9A">
            <w:pPr>
              <w:tabs>
                <w:tab w:val="right" w:pos="1202"/>
              </w:tabs>
              <w:spacing w:after="0" w:line="220" w:lineRule="exact"/>
              <w:outlineLvl w:val="0"/>
              <w:rPr>
                <w:rFonts w:ascii="Calibri" w:eastAsia="Times New Roman" w:hAnsi="Calibri" w:cs="Arial"/>
                <w:b/>
                <w:sz w:val="18"/>
                <w:szCs w:val="18"/>
                <w:lang w:val="en-US"/>
              </w:rPr>
            </w:pPr>
            <w:r w:rsidRPr="00CE4A9A">
              <w:rPr>
                <w:rFonts w:ascii="Calibri" w:eastAsia="Times New Roman" w:hAnsi="Calibri" w:cs="Arial"/>
                <w:b/>
                <w:sz w:val="18"/>
                <w:szCs w:val="18"/>
                <w:lang w:val="en-US"/>
              </w:rPr>
              <w:t>Group</w:t>
            </w:r>
          </w:p>
          <w:p w14:paraId="68DC7F12" w14:textId="77777777" w:rsidR="00CE4A9A" w:rsidRPr="00CE4A9A" w:rsidRDefault="00CE4A9A" w:rsidP="00CE4A9A">
            <w:pPr>
              <w:tabs>
                <w:tab w:val="right" w:pos="1202"/>
              </w:tabs>
              <w:spacing w:after="0" w:line="220" w:lineRule="exact"/>
              <w:outlineLvl w:val="0"/>
              <w:rPr>
                <w:rFonts w:ascii="Calibri" w:eastAsia="Times New Roman" w:hAnsi="Calibri" w:cs="Arial"/>
                <w:b/>
                <w:sz w:val="18"/>
                <w:szCs w:val="18"/>
                <w:lang w:val="en-US"/>
              </w:rPr>
            </w:pPr>
          </w:p>
          <w:p w14:paraId="6E03B1EC" w14:textId="77777777" w:rsidR="00CE4A9A" w:rsidRPr="00CE4A9A" w:rsidRDefault="00CE4A9A" w:rsidP="00CE4A9A">
            <w:pPr>
              <w:tabs>
                <w:tab w:val="right" w:pos="1202"/>
              </w:tabs>
              <w:spacing w:after="0" w:line="220" w:lineRule="exact"/>
              <w:outlineLvl w:val="0"/>
              <w:rPr>
                <w:rFonts w:ascii="Calibri" w:eastAsia="Times New Roman" w:hAnsi="Calibri" w:cs="Arial"/>
                <w:b/>
                <w:sz w:val="18"/>
                <w:szCs w:val="18"/>
                <w:lang w:val="en-US"/>
              </w:rPr>
            </w:pPr>
            <w:r w:rsidRPr="00CE4A9A">
              <w:rPr>
                <w:rFonts w:ascii="Calibri" w:eastAsia="Times New Roman" w:hAnsi="Calibri" w:cs="Arial"/>
                <w:b/>
                <w:bCs/>
                <w:sz w:val="18"/>
                <w:szCs w:val="18"/>
                <w:lang w:val="en-US"/>
              </w:rPr>
              <w:t>31 December</w:t>
            </w:r>
            <w:r w:rsidRPr="00CE4A9A">
              <w:rPr>
                <w:rFonts w:ascii="Calibri" w:eastAsia="Times New Roman" w:hAnsi="Calibri" w:cs="Arial"/>
                <w:b/>
                <w:sz w:val="18"/>
                <w:szCs w:val="18"/>
                <w:lang w:val="en-US"/>
              </w:rPr>
              <w:t xml:space="preserve"> 2021</w:t>
            </w:r>
          </w:p>
        </w:tc>
        <w:tc>
          <w:tcPr>
            <w:tcW w:w="508" w:type="pct"/>
          </w:tcPr>
          <w:p w14:paraId="1ECDA984" w14:textId="77777777" w:rsidR="00CE4A9A" w:rsidRPr="00CE4A9A" w:rsidRDefault="00CE4A9A" w:rsidP="00CE4A9A">
            <w:pPr>
              <w:tabs>
                <w:tab w:val="right" w:pos="1202"/>
              </w:tabs>
              <w:spacing w:after="0" w:line="220" w:lineRule="exact"/>
              <w:jc w:val="right"/>
              <w:outlineLvl w:val="0"/>
              <w:rPr>
                <w:rFonts w:ascii="Calibri" w:eastAsia="Times New Roman" w:hAnsi="Calibri" w:cs="Arial"/>
                <w:b/>
                <w:sz w:val="18"/>
                <w:szCs w:val="18"/>
                <w:lang w:val="en-US"/>
              </w:rPr>
            </w:pPr>
            <w:r w:rsidRPr="00CE4A9A">
              <w:rPr>
                <w:rFonts w:ascii="Calibri" w:eastAsia="Times New Roman" w:hAnsi="Calibri" w:cs="Arial"/>
                <w:b/>
                <w:sz w:val="18"/>
                <w:szCs w:val="18"/>
                <w:lang w:val="en-US"/>
              </w:rPr>
              <w:t>USD</w:t>
            </w:r>
          </w:p>
        </w:tc>
        <w:tc>
          <w:tcPr>
            <w:tcW w:w="579" w:type="pct"/>
          </w:tcPr>
          <w:p w14:paraId="52ECED51" w14:textId="77777777" w:rsidR="00CE4A9A" w:rsidRPr="00CE4A9A" w:rsidRDefault="00CE4A9A" w:rsidP="00CE4A9A">
            <w:pPr>
              <w:tabs>
                <w:tab w:val="right" w:pos="1202"/>
              </w:tabs>
              <w:spacing w:after="0" w:line="220" w:lineRule="exact"/>
              <w:jc w:val="right"/>
              <w:outlineLvl w:val="0"/>
              <w:rPr>
                <w:rFonts w:ascii="Calibri" w:eastAsia="Times New Roman" w:hAnsi="Calibri" w:cs="Arial"/>
                <w:b/>
                <w:sz w:val="18"/>
                <w:szCs w:val="18"/>
                <w:lang w:val="en-US"/>
              </w:rPr>
            </w:pPr>
            <w:r w:rsidRPr="00CE4A9A">
              <w:rPr>
                <w:rFonts w:ascii="Calibri" w:eastAsia="Times New Roman" w:hAnsi="Calibri" w:cs="Arial"/>
                <w:b/>
                <w:sz w:val="18"/>
                <w:szCs w:val="18"/>
                <w:lang w:val="en-US"/>
              </w:rPr>
              <w:t xml:space="preserve">EUR </w:t>
            </w:r>
          </w:p>
        </w:tc>
        <w:tc>
          <w:tcPr>
            <w:tcW w:w="584" w:type="pct"/>
          </w:tcPr>
          <w:p w14:paraId="66591763" w14:textId="77777777" w:rsidR="00CE4A9A" w:rsidRPr="00CE4A9A" w:rsidRDefault="00CE4A9A" w:rsidP="00CE4A9A">
            <w:pPr>
              <w:tabs>
                <w:tab w:val="right" w:pos="1202"/>
              </w:tabs>
              <w:spacing w:after="0" w:line="220" w:lineRule="exact"/>
              <w:jc w:val="right"/>
              <w:outlineLvl w:val="0"/>
              <w:rPr>
                <w:rFonts w:ascii="Calibri" w:eastAsia="Times New Roman" w:hAnsi="Calibri" w:cs="Arial"/>
                <w:b/>
                <w:sz w:val="18"/>
                <w:szCs w:val="18"/>
                <w:lang w:val="en-US"/>
              </w:rPr>
            </w:pPr>
            <w:r w:rsidRPr="00CE4A9A">
              <w:rPr>
                <w:rFonts w:ascii="Calibri" w:eastAsia="Times New Roman" w:hAnsi="Calibri" w:cs="Arial"/>
                <w:b/>
                <w:sz w:val="18"/>
                <w:szCs w:val="18"/>
                <w:lang w:val="en-US"/>
              </w:rPr>
              <w:t xml:space="preserve">Other foreign currencies </w:t>
            </w:r>
          </w:p>
        </w:tc>
        <w:tc>
          <w:tcPr>
            <w:tcW w:w="579" w:type="pct"/>
          </w:tcPr>
          <w:p w14:paraId="02E31E70" w14:textId="77777777" w:rsidR="00CE4A9A" w:rsidRPr="00CE4A9A" w:rsidRDefault="00CE4A9A" w:rsidP="00CE4A9A">
            <w:pPr>
              <w:tabs>
                <w:tab w:val="right" w:pos="1202"/>
              </w:tabs>
              <w:spacing w:after="0" w:line="220" w:lineRule="exact"/>
              <w:jc w:val="right"/>
              <w:outlineLvl w:val="0"/>
              <w:rPr>
                <w:rFonts w:ascii="Calibri" w:eastAsia="Times New Roman" w:hAnsi="Calibri" w:cs="Arial"/>
                <w:b/>
                <w:sz w:val="18"/>
                <w:szCs w:val="18"/>
                <w:lang w:val="en-US"/>
              </w:rPr>
            </w:pPr>
            <w:r w:rsidRPr="00CE4A9A">
              <w:rPr>
                <w:rFonts w:ascii="Calibri" w:eastAsia="Times New Roman" w:hAnsi="Calibri" w:cs="Arial"/>
                <w:b/>
                <w:sz w:val="18"/>
                <w:szCs w:val="18"/>
                <w:lang w:val="en-US"/>
              </w:rPr>
              <w:t xml:space="preserve">Total foreign currencies </w:t>
            </w:r>
          </w:p>
        </w:tc>
        <w:tc>
          <w:tcPr>
            <w:tcW w:w="653" w:type="pct"/>
          </w:tcPr>
          <w:p w14:paraId="5E13709F" w14:textId="77777777" w:rsidR="00CE4A9A" w:rsidRPr="00CE4A9A" w:rsidRDefault="00CE4A9A" w:rsidP="00CE4A9A">
            <w:pPr>
              <w:tabs>
                <w:tab w:val="right" w:pos="1202"/>
              </w:tabs>
              <w:spacing w:after="0" w:line="220" w:lineRule="exact"/>
              <w:jc w:val="right"/>
              <w:outlineLvl w:val="0"/>
              <w:rPr>
                <w:rFonts w:ascii="Calibri" w:eastAsia="Times New Roman" w:hAnsi="Calibri" w:cs="Arial"/>
                <w:b/>
                <w:sz w:val="18"/>
                <w:szCs w:val="18"/>
                <w:lang w:val="en-US"/>
              </w:rPr>
            </w:pPr>
            <w:r w:rsidRPr="00CE4A9A">
              <w:rPr>
                <w:rFonts w:ascii="Calibri" w:eastAsia="Times New Roman" w:hAnsi="Calibri" w:cs="Arial"/>
                <w:b/>
                <w:sz w:val="18"/>
                <w:szCs w:val="18"/>
                <w:lang w:val="en-US"/>
              </w:rPr>
              <w:t>HRK</w:t>
            </w:r>
          </w:p>
        </w:tc>
        <w:tc>
          <w:tcPr>
            <w:tcW w:w="577" w:type="pct"/>
          </w:tcPr>
          <w:p w14:paraId="2AD47DF9" w14:textId="77777777" w:rsidR="00CE4A9A" w:rsidRPr="00CE4A9A" w:rsidRDefault="00CE4A9A" w:rsidP="00CE4A9A">
            <w:pPr>
              <w:tabs>
                <w:tab w:val="right" w:pos="1202"/>
              </w:tabs>
              <w:spacing w:after="0" w:line="220" w:lineRule="exact"/>
              <w:jc w:val="right"/>
              <w:outlineLvl w:val="0"/>
              <w:rPr>
                <w:rFonts w:ascii="Calibri" w:eastAsia="Times New Roman" w:hAnsi="Calibri" w:cs="Arial"/>
                <w:b/>
                <w:sz w:val="18"/>
                <w:szCs w:val="18"/>
                <w:lang w:val="en-US"/>
              </w:rPr>
            </w:pPr>
            <w:r w:rsidRPr="00CE4A9A">
              <w:rPr>
                <w:rFonts w:ascii="Calibri" w:eastAsia="Times New Roman" w:hAnsi="Calibri" w:cs="Arial"/>
                <w:b/>
                <w:sz w:val="18"/>
                <w:szCs w:val="18"/>
                <w:lang w:val="en-US"/>
              </w:rPr>
              <w:t xml:space="preserve">Total </w:t>
            </w:r>
          </w:p>
        </w:tc>
      </w:tr>
      <w:tr w:rsidR="00CE4A9A" w:rsidRPr="00CE4A9A" w14:paraId="6CD21A2E" w14:textId="77777777" w:rsidTr="00E44437">
        <w:trPr>
          <w:trHeight w:hRule="exact" w:val="284"/>
        </w:trPr>
        <w:tc>
          <w:tcPr>
            <w:tcW w:w="1520" w:type="pct"/>
          </w:tcPr>
          <w:p w14:paraId="31D7E5DA" w14:textId="77777777" w:rsidR="00CE4A9A" w:rsidRPr="00CE4A9A" w:rsidRDefault="00CE4A9A" w:rsidP="00CE4A9A">
            <w:pPr>
              <w:tabs>
                <w:tab w:val="right" w:pos="1202"/>
              </w:tabs>
              <w:spacing w:after="0" w:line="220" w:lineRule="exact"/>
              <w:outlineLvl w:val="0"/>
              <w:rPr>
                <w:rFonts w:ascii="Calibri" w:eastAsia="Times New Roman" w:hAnsi="Calibri" w:cs="Arial"/>
                <w:b/>
                <w:sz w:val="18"/>
                <w:szCs w:val="18"/>
                <w:lang w:val="en-US"/>
              </w:rPr>
            </w:pPr>
          </w:p>
        </w:tc>
        <w:tc>
          <w:tcPr>
            <w:tcW w:w="508" w:type="pct"/>
          </w:tcPr>
          <w:p w14:paraId="4299B3A3" w14:textId="77777777" w:rsidR="00CE4A9A" w:rsidRPr="00CE4A9A" w:rsidRDefault="00CE4A9A" w:rsidP="00CE4A9A">
            <w:pPr>
              <w:tabs>
                <w:tab w:val="right" w:pos="1202"/>
              </w:tabs>
              <w:spacing w:after="0" w:line="220" w:lineRule="exact"/>
              <w:jc w:val="right"/>
              <w:outlineLvl w:val="0"/>
              <w:rPr>
                <w:rFonts w:ascii="Calibri" w:eastAsia="Times New Roman" w:hAnsi="Calibri" w:cs="Arial"/>
                <w:b/>
                <w:sz w:val="18"/>
                <w:szCs w:val="18"/>
                <w:lang w:val="en-US"/>
              </w:rPr>
            </w:pPr>
            <w:r w:rsidRPr="00CE4A9A">
              <w:rPr>
                <w:rFonts w:ascii="Calibri" w:eastAsia="Times New Roman" w:hAnsi="Calibri" w:cs="Arial"/>
                <w:b/>
                <w:sz w:val="18"/>
                <w:szCs w:val="18"/>
                <w:lang w:val="en-US"/>
              </w:rPr>
              <w:t>HRK ‘000</w:t>
            </w:r>
          </w:p>
        </w:tc>
        <w:tc>
          <w:tcPr>
            <w:tcW w:w="579" w:type="pct"/>
          </w:tcPr>
          <w:p w14:paraId="1D8D4D15" w14:textId="77777777" w:rsidR="00CE4A9A" w:rsidRPr="00CE4A9A" w:rsidRDefault="00CE4A9A" w:rsidP="00CE4A9A">
            <w:pPr>
              <w:tabs>
                <w:tab w:val="right" w:pos="1202"/>
              </w:tabs>
              <w:spacing w:after="0" w:line="220" w:lineRule="exact"/>
              <w:jc w:val="right"/>
              <w:outlineLvl w:val="0"/>
              <w:rPr>
                <w:rFonts w:ascii="Calibri" w:eastAsia="Times New Roman" w:hAnsi="Calibri" w:cs="Arial"/>
                <w:b/>
                <w:sz w:val="18"/>
                <w:szCs w:val="18"/>
                <w:lang w:val="en-US"/>
              </w:rPr>
            </w:pPr>
            <w:r w:rsidRPr="00CE4A9A">
              <w:rPr>
                <w:rFonts w:ascii="Calibri" w:eastAsia="Times New Roman" w:hAnsi="Calibri" w:cs="Arial"/>
                <w:b/>
                <w:sz w:val="18"/>
                <w:szCs w:val="18"/>
                <w:lang w:val="en-US"/>
              </w:rPr>
              <w:t>HRK ‘000</w:t>
            </w:r>
          </w:p>
        </w:tc>
        <w:tc>
          <w:tcPr>
            <w:tcW w:w="584" w:type="pct"/>
          </w:tcPr>
          <w:p w14:paraId="50D2E270" w14:textId="77777777" w:rsidR="00CE4A9A" w:rsidRPr="00CE4A9A" w:rsidRDefault="00CE4A9A" w:rsidP="00CE4A9A">
            <w:pPr>
              <w:tabs>
                <w:tab w:val="right" w:pos="1202"/>
              </w:tabs>
              <w:spacing w:after="0" w:line="220" w:lineRule="exact"/>
              <w:jc w:val="right"/>
              <w:outlineLvl w:val="0"/>
              <w:rPr>
                <w:rFonts w:ascii="Calibri" w:eastAsia="Times New Roman" w:hAnsi="Calibri" w:cs="Arial"/>
                <w:b/>
                <w:sz w:val="18"/>
                <w:szCs w:val="18"/>
                <w:lang w:val="en-US"/>
              </w:rPr>
            </w:pPr>
            <w:r w:rsidRPr="00CE4A9A">
              <w:rPr>
                <w:rFonts w:ascii="Calibri" w:eastAsia="Times New Roman" w:hAnsi="Calibri" w:cs="Arial"/>
                <w:b/>
                <w:sz w:val="18"/>
                <w:szCs w:val="18"/>
                <w:lang w:val="en-US"/>
              </w:rPr>
              <w:t>HRK ‘000</w:t>
            </w:r>
          </w:p>
        </w:tc>
        <w:tc>
          <w:tcPr>
            <w:tcW w:w="579" w:type="pct"/>
          </w:tcPr>
          <w:p w14:paraId="4545CB4A" w14:textId="77777777" w:rsidR="00CE4A9A" w:rsidRPr="00CE4A9A" w:rsidRDefault="00CE4A9A" w:rsidP="00CE4A9A">
            <w:pPr>
              <w:tabs>
                <w:tab w:val="right" w:pos="1202"/>
              </w:tabs>
              <w:spacing w:after="0" w:line="220" w:lineRule="exact"/>
              <w:jc w:val="right"/>
              <w:outlineLvl w:val="0"/>
              <w:rPr>
                <w:rFonts w:ascii="Calibri" w:eastAsia="Times New Roman" w:hAnsi="Calibri" w:cs="Arial"/>
                <w:b/>
                <w:sz w:val="18"/>
                <w:szCs w:val="18"/>
                <w:lang w:val="en-US"/>
              </w:rPr>
            </w:pPr>
            <w:r w:rsidRPr="00CE4A9A">
              <w:rPr>
                <w:rFonts w:ascii="Calibri" w:eastAsia="Times New Roman" w:hAnsi="Calibri" w:cs="Arial"/>
                <w:b/>
                <w:sz w:val="18"/>
                <w:szCs w:val="18"/>
                <w:lang w:val="en-US"/>
              </w:rPr>
              <w:t>HRK ‘000</w:t>
            </w:r>
          </w:p>
        </w:tc>
        <w:tc>
          <w:tcPr>
            <w:tcW w:w="653" w:type="pct"/>
          </w:tcPr>
          <w:p w14:paraId="21949F3D" w14:textId="77777777" w:rsidR="00CE4A9A" w:rsidRPr="00CE4A9A" w:rsidRDefault="00CE4A9A" w:rsidP="00CE4A9A">
            <w:pPr>
              <w:tabs>
                <w:tab w:val="right" w:pos="1202"/>
              </w:tabs>
              <w:spacing w:after="0" w:line="220" w:lineRule="exact"/>
              <w:jc w:val="right"/>
              <w:outlineLvl w:val="0"/>
              <w:rPr>
                <w:rFonts w:ascii="Calibri" w:eastAsia="Times New Roman" w:hAnsi="Calibri" w:cs="Arial"/>
                <w:b/>
                <w:sz w:val="18"/>
                <w:szCs w:val="18"/>
                <w:lang w:val="en-US"/>
              </w:rPr>
            </w:pPr>
            <w:r w:rsidRPr="00CE4A9A">
              <w:rPr>
                <w:rFonts w:ascii="Calibri" w:eastAsia="Times New Roman" w:hAnsi="Calibri" w:cs="Arial"/>
                <w:b/>
                <w:sz w:val="18"/>
                <w:szCs w:val="18"/>
                <w:lang w:val="en-US"/>
              </w:rPr>
              <w:t>HRK ‘000</w:t>
            </w:r>
          </w:p>
        </w:tc>
        <w:tc>
          <w:tcPr>
            <w:tcW w:w="577" w:type="pct"/>
          </w:tcPr>
          <w:p w14:paraId="5DADBA54" w14:textId="77777777" w:rsidR="00CE4A9A" w:rsidRPr="00CE4A9A" w:rsidRDefault="00CE4A9A" w:rsidP="00CE4A9A">
            <w:pPr>
              <w:tabs>
                <w:tab w:val="right" w:pos="1202"/>
              </w:tabs>
              <w:spacing w:after="0" w:line="220" w:lineRule="exact"/>
              <w:jc w:val="right"/>
              <w:outlineLvl w:val="0"/>
              <w:rPr>
                <w:rFonts w:ascii="Calibri" w:eastAsia="Times New Roman" w:hAnsi="Calibri" w:cs="Arial"/>
                <w:b/>
                <w:sz w:val="18"/>
                <w:szCs w:val="18"/>
                <w:lang w:val="en-US"/>
              </w:rPr>
            </w:pPr>
            <w:r w:rsidRPr="00CE4A9A">
              <w:rPr>
                <w:rFonts w:ascii="Calibri" w:eastAsia="Times New Roman" w:hAnsi="Calibri" w:cs="Arial"/>
                <w:b/>
                <w:sz w:val="18"/>
                <w:szCs w:val="18"/>
                <w:lang w:val="en-US"/>
              </w:rPr>
              <w:t>HRK ‘000</w:t>
            </w:r>
          </w:p>
        </w:tc>
      </w:tr>
      <w:tr w:rsidR="00CE4A9A" w:rsidRPr="00CE4A9A" w14:paraId="2A265B3D" w14:textId="77777777" w:rsidTr="00E44437">
        <w:trPr>
          <w:trHeight w:val="239"/>
        </w:trPr>
        <w:tc>
          <w:tcPr>
            <w:tcW w:w="1520" w:type="pct"/>
          </w:tcPr>
          <w:p w14:paraId="5343459B" w14:textId="77777777" w:rsidR="00CE4A9A" w:rsidRPr="00CE4A9A" w:rsidRDefault="00CE4A9A" w:rsidP="00CE4A9A">
            <w:pPr>
              <w:tabs>
                <w:tab w:val="right" w:pos="1202"/>
              </w:tabs>
              <w:spacing w:after="0" w:line="240" w:lineRule="exact"/>
              <w:outlineLvl w:val="0"/>
              <w:rPr>
                <w:rFonts w:ascii="Calibri" w:eastAsia="Times New Roman" w:hAnsi="Calibri" w:cs="Arial"/>
                <w:b/>
                <w:sz w:val="18"/>
                <w:szCs w:val="18"/>
                <w:lang w:val="en-US"/>
              </w:rPr>
            </w:pPr>
            <w:r w:rsidRPr="00CE4A9A">
              <w:rPr>
                <w:rFonts w:ascii="Calibri" w:eastAsia="Times New Roman" w:hAnsi="Calibri" w:cs="Arial"/>
                <w:b/>
                <w:sz w:val="18"/>
                <w:szCs w:val="18"/>
                <w:lang w:val="en-US"/>
              </w:rPr>
              <w:t xml:space="preserve">Assets </w:t>
            </w:r>
          </w:p>
        </w:tc>
        <w:tc>
          <w:tcPr>
            <w:tcW w:w="508" w:type="pct"/>
            <w:vAlign w:val="bottom"/>
          </w:tcPr>
          <w:p w14:paraId="56D21E8E" w14:textId="77777777" w:rsidR="00CE4A9A" w:rsidRPr="00CE4A9A" w:rsidRDefault="00CE4A9A" w:rsidP="00CE4A9A">
            <w:pPr>
              <w:spacing w:after="0" w:line="240" w:lineRule="exact"/>
              <w:jc w:val="right"/>
              <w:rPr>
                <w:rFonts w:ascii="Calibri" w:eastAsia="Arial Unicode MS" w:hAnsi="Calibri" w:cs="Arial"/>
                <w:sz w:val="18"/>
                <w:szCs w:val="18"/>
                <w:lang w:val="en-US"/>
              </w:rPr>
            </w:pPr>
          </w:p>
        </w:tc>
        <w:tc>
          <w:tcPr>
            <w:tcW w:w="579" w:type="pct"/>
            <w:vAlign w:val="bottom"/>
          </w:tcPr>
          <w:p w14:paraId="55EAFFDB" w14:textId="77777777" w:rsidR="00CE4A9A" w:rsidRPr="00CE4A9A" w:rsidRDefault="00CE4A9A" w:rsidP="00CE4A9A">
            <w:pPr>
              <w:spacing w:after="0" w:line="240" w:lineRule="exact"/>
              <w:jc w:val="right"/>
              <w:rPr>
                <w:rFonts w:ascii="Calibri" w:eastAsia="Arial Unicode MS" w:hAnsi="Calibri" w:cs="Arial"/>
                <w:sz w:val="18"/>
                <w:szCs w:val="18"/>
                <w:lang w:val="en-US"/>
              </w:rPr>
            </w:pPr>
          </w:p>
        </w:tc>
        <w:tc>
          <w:tcPr>
            <w:tcW w:w="584" w:type="pct"/>
            <w:vAlign w:val="bottom"/>
          </w:tcPr>
          <w:p w14:paraId="33665F55" w14:textId="77777777" w:rsidR="00CE4A9A" w:rsidRPr="00CE4A9A" w:rsidRDefault="00CE4A9A" w:rsidP="00CE4A9A">
            <w:pPr>
              <w:spacing w:after="0" w:line="240" w:lineRule="exact"/>
              <w:jc w:val="right"/>
              <w:rPr>
                <w:rFonts w:ascii="Calibri" w:eastAsia="Arial Unicode MS" w:hAnsi="Calibri" w:cs="Arial"/>
                <w:sz w:val="18"/>
                <w:szCs w:val="18"/>
                <w:lang w:val="en-US"/>
              </w:rPr>
            </w:pPr>
          </w:p>
        </w:tc>
        <w:tc>
          <w:tcPr>
            <w:tcW w:w="579" w:type="pct"/>
            <w:vAlign w:val="bottom"/>
          </w:tcPr>
          <w:p w14:paraId="7964137F" w14:textId="77777777" w:rsidR="00CE4A9A" w:rsidRPr="00CE4A9A" w:rsidRDefault="00CE4A9A" w:rsidP="00CE4A9A">
            <w:pPr>
              <w:spacing w:after="0" w:line="240" w:lineRule="exact"/>
              <w:jc w:val="right"/>
              <w:rPr>
                <w:rFonts w:ascii="Calibri" w:eastAsia="Arial Unicode MS" w:hAnsi="Calibri" w:cs="Arial"/>
                <w:sz w:val="18"/>
                <w:szCs w:val="18"/>
                <w:lang w:val="en-US"/>
              </w:rPr>
            </w:pPr>
          </w:p>
        </w:tc>
        <w:tc>
          <w:tcPr>
            <w:tcW w:w="653" w:type="pct"/>
            <w:vAlign w:val="bottom"/>
          </w:tcPr>
          <w:p w14:paraId="0F4CE441" w14:textId="77777777" w:rsidR="00CE4A9A" w:rsidRPr="00CE4A9A" w:rsidRDefault="00CE4A9A" w:rsidP="00CE4A9A">
            <w:pPr>
              <w:spacing w:after="0" w:line="240" w:lineRule="exact"/>
              <w:jc w:val="right"/>
              <w:rPr>
                <w:rFonts w:ascii="Calibri" w:eastAsia="Arial Unicode MS" w:hAnsi="Calibri" w:cs="Arial"/>
                <w:sz w:val="18"/>
                <w:szCs w:val="18"/>
                <w:lang w:val="en-US"/>
              </w:rPr>
            </w:pPr>
          </w:p>
        </w:tc>
        <w:tc>
          <w:tcPr>
            <w:tcW w:w="577" w:type="pct"/>
            <w:vAlign w:val="bottom"/>
          </w:tcPr>
          <w:p w14:paraId="13DD417F" w14:textId="77777777" w:rsidR="00CE4A9A" w:rsidRPr="00CE4A9A" w:rsidRDefault="00CE4A9A" w:rsidP="00CE4A9A">
            <w:pPr>
              <w:spacing w:after="0" w:line="240" w:lineRule="exact"/>
              <w:jc w:val="right"/>
              <w:rPr>
                <w:rFonts w:ascii="Calibri" w:eastAsia="Arial Unicode MS" w:hAnsi="Calibri" w:cs="Arial"/>
                <w:sz w:val="18"/>
                <w:szCs w:val="18"/>
                <w:lang w:val="en-US"/>
              </w:rPr>
            </w:pPr>
          </w:p>
        </w:tc>
      </w:tr>
      <w:tr w:rsidR="00CE4A9A" w:rsidRPr="00CE4A9A" w14:paraId="6968F38C" w14:textId="77777777" w:rsidTr="00E44437">
        <w:trPr>
          <w:trHeight w:val="254"/>
        </w:trPr>
        <w:tc>
          <w:tcPr>
            <w:tcW w:w="1520" w:type="pct"/>
            <w:vAlign w:val="bottom"/>
          </w:tcPr>
          <w:p w14:paraId="1C86EC2F" w14:textId="77777777" w:rsidR="00CE4A9A" w:rsidRPr="00CE4A9A" w:rsidRDefault="00CE4A9A" w:rsidP="00CE4A9A">
            <w:pPr>
              <w:tabs>
                <w:tab w:val="right" w:pos="1202"/>
              </w:tabs>
              <w:spacing w:after="0" w:line="240" w:lineRule="exact"/>
              <w:outlineLvl w:val="0"/>
              <w:rPr>
                <w:rFonts w:ascii="Calibri" w:eastAsia="Times New Roman" w:hAnsi="Calibri" w:cs="Arial"/>
                <w:sz w:val="18"/>
                <w:szCs w:val="18"/>
                <w:lang w:val="en-US"/>
              </w:rPr>
            </w:pPr>
            <w:r w:rsidRPr="00CE4A9A">
              <w:rPr>
                <w:rFonts w:ascii="Calibri" w:eastAsia="Times New Roman" w:hAnsi="Calibri" w:cs="Arial"/>
                <w:spacing w:val="-2"/>
                <w:sz w:val="18"/>
                <w:szCs w:val="18"/>
                <w:lang w:val="en-US"/>
              </w:rPr>
              <w:t>Cash on hand and current accounts with banks</w:t>
            </w:r>
          </w:p>
        </w:tc>
        <w:tc>
          <w:tcPr>
            <w:tcW w:w="508" w:type="pct"/>
            <w:tcBorders>
              <w:top w:val="nil"/>
              <w:left w:val="nil"/>
              <w:right w:val="nil"/>
            </w:tcBorders>
            <w:vAlign w:val="bottom"/>
          </w:tcPr>
          <w:p w14:paraId="7F1F8350"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55,583 </w:t>
            </w:r>
          </w:p>
        </w:tc>
        <w:tc>
          <w:tcPr>
            <w:tcW w:w="579" w:type="pct"/>
            <w:tcBorders>
              <w:top w:val="nil"/>
              <w:left w:val="nil"/>
              <w:right w:val="nil"/>
            </w:tcBorders>
            <w:vAlign w:val="bottom"/>
          </w:tcPr>
          <w:p w14:paraId="76FD95C3"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25,337 </w:t>
            </w:r>
          </w:p>
        </w:tc>
        <w:tc>
          <w:tcPr>
            <w:tcW w:w="584" w:type="pct"/>
            <w:tcBorders>
              <w:top w:val="nil"/>
              <w:left w:val="nil"/>
              <w:right w:val="nil"/>
            </w:tcBorders>
            <w:vAlign w:val="bottom"/>
          </w:tcPr>
          <w:p w14:paraId="796743DC"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 </w:t>
            </w:r>
          </w:p>
        </w:tc>
        <w:tc>
          <w:tcPr>
            <w:tcW w:w="579" w:type="pct"/>
            <w:tcBorders>
              <w:top w:val="nil"/>
              <w:left w:val="nil"/>
              <w:right w:val="nil"/>
            </w:tcBorders>
            <w:vAlign w:val="bottom"/>
          </w:tcPr>
          <w:p w14:paraId="09A35007"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80,920 </w:t>
            </w:r>
          </w:p>
        </w:tc>
        <w:tc>
          <w:tcPr>
            <w:tcW w:w="653" w:type="pct"/>
            <w:tcBorders>
              <w:top w:val="nil"/>
              <w:left w:val="nil"/>
              <w:right w:val="nil"/>
            </w:tcBorders>
            <w:vAlign w:val="bottom"/>
          </w:tcPr>
          <w:p w14:paraId="5941CED2"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1,881,066 </w:t>
            </w:r>
          </w:p>
        </w:tc>
        <w:tc>
          <w:tcPr>
            <w:tcW w:w="577" w:type="pct"/>
            <w:tcBorders>
              <w:top w:val="nil"/>
              <w:left w:val="nil"/>
            </w:tcBorders>
            <w:vAlign w:val="bottom"/>
          </w:tcPr>
          <w:p w14:paraId="4CA8238F"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1,961,986 </w:t>
            </w:r>
          </w:p>
        </w:tc>
      </w:tr>
      <w:tr w:rsidR="00CE4A9A" w:rsidRPr="00CE4A9A" w14:paraId="62D7AF1A" w14:textId="77777777" w:rsidTr="00E44437">
        <w:trPr>
          <w:trHeight w:val="254"/>
        </w:trPr>
        <w:tc>
          <w:tcPr>
            <w:tcW w:w="1520" w:type="pct"/>
            <w:vAlign w:val="bottom"/>
          </w:tcPr>
          <w:p w14:paraId="7A543073" w14:textId="77777777" w:rsidR="00CE4A9A" w:rsidRPr="00CE4A9A" w:rsidRDefault="00CE4A9A" w:rsidP="00CE4A9A">
            <w:pPr>
              <w:tabs>
                <w:tab w:val="right" w:pos="1202"/>
              </w:tabs>
              <w:spacing w:after="0" w:line="240" w:lineRule="exact"/>
              <w:outlineLvl w:val="0"/>
              <w:rPr>
                <w:rFonts w:ascii="Calibri" w:eastAsia="Times New Roman" w:hAnsi="Calibri" w:cs="Arial"/>
                <w:sz w:val="18"/>
                <w:szCs w:val="18"/>
                <w:lang w:val="en-US"/>
              </w:rPr>
            </w:pPr>
            <w:r w:rsidRPr="00CE4A9A">
              <w:rPr>
                <w:rFonts w:ascii="Calibri" w:eastAsia="Times New Roman" w:hAnsi="Calibri" w:cs="Arial"/>
                <w:spacing w:val="-2"/>
                <w:sz w:val="18"/>
                <w:szCs w:val="18"/>
                <w:lang w:val="en-US"/>
              </w:rPr>
              <w:t xml:space="preserve">Deposits with other banks </w:t>
            </w:r>
          </w:p>
        </w:tc>
        <w:tc>
          <w:tcPr>
            <w:tcW w:w="508" w:type="pct"/>
            <w:tcBorders>
              <w:top w:val="nil"/>
              <w:left w:val="nil"/>
              <w:bottom w:val="nil"/>
              <w:right w:val="nil"/>
            </w:tcBorders>
            <w:vAlign w:val="bottom"/>
          </w:tcPr>
          <w:p w14:paraId="0AD3AFE1"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 </w:t>
            </w:r>
          </w:p>
        </w:tc>
        <w:tc>
          <w:tcPr>
            <w:tcW w:w="579" w:type="pct"/>
            <w:tcBorders>
              <w:top w:val="nil"/>
              <w:left w:val="nil"/>
              <w:bottom w:val="nil"/>
              <w:right w:val="nil"/>
            </w:tcBorders>
            <w:vAlign w:val="bottom"/>
          </w:tcPr>
          <w:p w14:paraId="760F0734"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7,500 </w:t>
            </w:r>
          </w:p>
        </w:tc>
        <w:tc>
          <w:tcPr>
            <w:tcW w:w="584" w:type="pct"/>
            <w:tcBorders>
              <w:top w:val="nil"/>
              <w:left w:val="nil"/>
              <w:bottom w:val="nil"/>
              <w:right w:val="nil"/>
            </w:tcBorders>
            <w:vAlign w:val="bottom"/>
          </w:tcPr>
          <w:p w14:paraId="39944622"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 </w:t>
            </w:r>
          </w:p>
        </w:tc>
        <w:tc>
          <w:tcPr>
            <w:tcW w:w="579" w:type="pct"/>
            <w:tcBorders>
              <w:top w:val="nil"/>
              <w:left w:val="nil"/>
              <w:bottom w:val="nil"/>
              <w:right w:val="nil"/>
            </w:tcBorders>
            <w:vAlign w:val="bottom"/>
          </w:tcPr>
          <w:p w14:paraId="08536417"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7,500 </w:t>
            </w:r>
          </w:p>
        </w:tc>
        <w:tc>
          <w:tcPr>
            <w:tcW w:w="653" w:type="pct"/>
            <w:tcBorders>
              <w:top w:val="nil"/>
              <w:left w:val="nil"/>
              <w:bottom w:val="nil"/>
              <w:right w:val="nil"/>
            </w:tcBorders>
            <w:vAlign w:val="bottom"/>
          </w:tcPr>
          <w:p w14:paraId="023382C0"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 </w:t>
            </w:r>
          </w:p>
        </w:tc>
        <w:tc>
          <w:tcPr>
            <w:tcW w:w="577" w:type="pct"/>
            <w:tcBorders>
              <w:top w:val="nil"/>
              <w:left w:val="nil"/>
              <w:bottom w:val="nil"/>
            </w:tcBorders>
            <w:vAlign w:val="bottom"/>
          </w:tcPr>
          <w:p w14:paraId="0D2BC2AA"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7,500 </w:t>
            </w:r>
          </w:p>
        </w:tc>
      </w:tr>
      <w:tr w:rsidR="00CE4A9A" w:rsidRPr="00CE4A9A" w14:paraId="00940D9E" w14:textId="77777777" w:rsidTr="00E44437">
        <w:trPr>
          <w:trHeight w:val="239"/>
        </w:trPr>
        <w:tc>
          <w:tcPr>
            <w:tcW w:w="1520" w:type="pct"/>
            <w:vAlign w:val="bottom"/>
          </w:tcPr>
          <w:p w14:paraId="076563E3" w14:textId="77777777" w:rsidR="00CE4A9A" w:rsidRPr="00CE4A9A" w:rsidRDefault="00CE4A9A" w:rsidP="00CE4A9A">
            <w:pPr>
              <w:tabs>
                <w:tab w:val="right" w:pos="1202"/>
              </w:tabs>
              <w:spacing w:after="0" w:line="240" w:lineRule="exact"/>
              <w:outlineLvl w:val="0"/>
              <w:rPr>
                <w:rFonts w:ascii="Calibri" w:eastAsia="Times New Roman" w:hAnsi="Calibri" w:cs="Arial"/>
                <w:sz w:val="18"/>
                <w:szCs w:val="18"/>
                <w:lang w:val="en-US"/>
              </w:rPr>
            </w:pPr>
            <w:r w:rsidRPr="00CE4A9A">
              <w:rPr>
                <w:rFonts w:ascii="Calibri" w:eastAsia="Times New Roman" w:hAnsi="Calibri" w:cs="Arial"/>
                <w:spacing w:val="-2"/>
                <w:sz w:val="18"/>
                <w:szCs w:val="18"/>
                <w:lang w:val="en-US"/>
              </w:rPr>
              <w:t>Loans to financial institutions</w:t>
            </w:r>
          </w:p>
        </w:tc>
        <w:tc>
          <w:tcPr>
            <w:tcW w:w="508" w:type="pct"/>
            <w:tcBorders>
              <w:top w:val="nil"/>
              <w:left w:val="nil"/>
              <w:bottom w:val="nil"/>
              <w:right w:val="nil"/>
            </w:tcBorders>
            <w:vAlign w:val="bottom"/>
          </w:tcPr>
          <w:p w14:paraId="57B5B1C9"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 </w:t>
            </w:r>
          </w:p>
        </w:tc>
        <w:tc>
          <w:tcPr>
            <w:tcW w:w="579" w:type="pct"/>
            <w:tcBorders>
              <w:top w:val="nil"/>
              <w:left w:val="nil"/>
              <w:bottom w:val="nil"/>
              <w:right w:val="nil"/>
            </w:tcBorders>
            <w:vAlign w:val="bottom"/>
          </w:tcPr>
          <w:p w14:paraId="7072604E"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3,336,385 </w:t>
            </w:r>
          </w:p>
        </w:tc>
        <w:tc>
          <w:tcPr>
            <w:tcW w:w="584" w:type="pct"/>
            <w:tcBorders>
              <w:top w:val="nil"/>
              <w:left w:val="nil"/>
              <w:bottom w:val="nil"/>
              <w:right w:val="nil"/>
            </w:tcBorders>
            <w:vAlign w:val="bottom"/>
          </w:tcPr>
          <w:p w14:paraId="6EE58CF0"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 </w:t>
            </w:r>
          </w:p>
        </w:tc>
        <w:tc>
          <w:tcPr>
            <w:tcW w:w="579" w:type="pct"/>
            <w:tcBorders>
              <w:top w:val="nil"/>
              <w:left w:val="nil"/>
              <w:bottom w:val="nil"/>
              <w:right w:val="nil"/>
            </w:tcBorders>
            <w:vAlign w:val="bottom"/>
          </w:tcPr>
          <w:p w14:paraId="775CD616"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3,336,385 </w:t>
            </w:r>
          </w:p>
        </w:tc>
        <w:tc>
          <w:tcPr>
            <w:tcW w:w="653" w:type="pct"/>
            <w:tcBorders>
              <w:top w:val="nil"/>
              <w:left w:val="nil"/>
              <w:bottom w:val="nil"/>
              <w:right w:val="nil"/>
            </w:tcBorders>
            <w:vAlign w:val="bottom"/>
          </w:tcPr>
          <w:p w14:paraId="3F8DF06B"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3,713,758 </w:t>
            </w:r>
          </w:p>
        </w:tc>
        <w:tc>
          <w:tcPr>
            <w:tcW w:w="577" w:type="pct"/>
            <w:tcBorders>
              <w:top w:val="nil"/>
              <w:left w:val="nil"/>
              <w:bottom w:val="nil"/>
            </w:tcBorders>
            <w:vAlign w:val="bottom"/>
          </w:tcPr>
          <w:p w14:paraId="434D1E66"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7,050,143 </w:t>
            </w:r>
          </w:p>
        </w:tc>
      </w:tr>
      <w:tr w:rsidR="00CE4A9A" w:rsidRPr="00CE4A9A" w14:paraId="493D1E64" w14:textId="77777777" w:rsidTr="00E44437">
        <w:trPr>
          <w:trHeight w:val="254"/>
        </w:trPr>
        <w:tc>
          <w:tcPr>
            <w:tcW w:w="1520" w:type="pct"/>
            <w:vAlign w:val="bottom"/>
          </w:tcPr>
          <w:p w14:paraId="4ADB22B7" w14:textId="77777777" w:rsidR="00CE4A9A" w:rsidRPr="00CE4A9A" w:rsidRDefault="00CE4A9A" w:rsidP="00CE4A9A">
            <w:pPr>
              <w:tabs>
                <w:tab w:val="right" w:pos="1202"/>
              </w:tabs>
              <w:spacing w:after="0" w:line="240" w:lineRule="exact"/>
              <w:outlineLvl w:val="0"/>
              <w:rPr>
                <w:rFonts w:ascii="Calibri" w:eastAsia="Times New Roman" w:hAnsi="Calibri" w:cs="Arial"/>
                <w:sz w:val="18"/>
                <w:szCs w:val="18"/>
                <w:lang w:val="en-US"/>
              </w:rPr>
            </w:pPr>
            <w:r w:rsidRPr="00CE4A9A">
              <w:rPr>
                <w:rFonts w:ascii="Calibri" w:eastAsia="Times New Roman" w:hAnsi="Calibri" w:cs="Arial"/>
                <w:spacing w:val="-2"/>
                <w:sz w:val="18"/>
                <w:szCs w:val="18"/>
                <w:lang w:val="en-US"/>
              </w:rPr>
              <w:t xml:space="preserve">Loans to other customers </w:t>
            </w:r>
          </w:p>
        </w:tc>
        <w:tc>
          <w:tcPr>
            <w:tcW w:w="508" w:type="pct"/>
            <w:tcBorders>
              <w:top w:val="nil"/>
              <w:left w:val="nil"/>
              <w:bottom w:val="nil"/>
              <w:right w:val="nil"/>
            </w:tcBorders>
            <w:vAlign w:val="bottom"/>
          </w:tcPr>
          <w:p w14:paraId="53CFA8C9"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225,452 </w:t>
            </w:r>
          </w:p>
        </w:tc>
        <w:tc>
          <w:tcPr>
            <w:tcW w:w="579" w:type="pct"/>
            <w:tcBorders>
              <w:top w:val="nil"/>
              <w:left w:val="nil"/>
              <w:bottom w:val="nil"/>
              <w:right w:val="nil"/>
            </w:tcBorders>
            <w:vAlign w:val="bottom"/>
          </w:tcPr>
          <w:p w14:paraId="608B184F"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9,745,523 </w:t>
            </w:r>
          </w:p>
        </w:tc>
        <w:tc>
          <w:tcPr>
            <w:tcW w:w="584" w:type="pct"/>
            <w:tcBorders>
              <w:top w:val="nil"/>
              <w:left w:val="nil"/>
              <w:bottom w:val="nil"/>
              <w:right w:val="nil"/>
            </w:tcBorders>
            <w:vAlign w:val="bottom"/>
          </w:tcPr>
          <w:p w14:paraId="5330811D"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 </w:t>
            </w:r>
          </w:p>
        </w:tc>
        <w:tc>
          <w:tcPr>
            <w:tcW w:w="579" w:type="pct"/>
            <w:tcBorders>
              <w:top w:val="nil"/>
              <w:left w:val="nil"/>
              <w:bottom w:val="nil"/>
              <w:right w:val="nil"/>
            </w:tcBorders>
            <w:vAlign w:val="bottom"/>
          </w:tcPr>
          <w:p w14:paraId="06D61D64"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9,970,975 </w:t>
            </w:r>
          </w:p>
        </w:tc>
        <w:tc>
          <w:tcPr>
            <w:tcW w:w="653" w:type="pct"/>
            <w:tcBorders>
              <w:top w:val="nil"/>
              <w:left w:val="nil"/>
              <w:bottom w:val="nil"/>
              <w:right w:val="nil"/>
            </w:tcBorders>
            <w:vAlign w:val="bottom"/>
          </w:tcPr>
          <w:p w14:paraId="5F322F5C"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5,993,401 </w:t>
            </w:r>
          </w:p>
        </w:tc>
        <w:tc>
          <w:tcPr>
            <w:tcW w:w="577" w:type="pct"/>
            <w:tcBorders>
              <w:top w:val="nil"/>
              <w:left w:val="nil"/>
              <w:bottom w:val="nil"/>
            </w:tcBorders>
            <w:vAlign w:val="bottom"/>
          </w:tcPr>
          <w:p w14:paraId="234FD8CE"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15,964,376 </w:t>
            </w:r>
          </w:p>
        </w:tc>
      </w:tr>
      <w:tr w:rsidR="00CE4A9A" w:rsidRPr="00CE4A9A" w14:paraId="4532528E" w14:textId="77777777" w:rsidTr="00E44437">
        <w:trPr>
          <w:trHeight w:val="215"/>
        </w:trPr>
        <w:tc>
          <w:tcPr>
            <w:tcW w:w="1520" w:type="pct"/>
            <w:vAlign w:val="bottom"/>
          </w:tcPr>
          <w:p w14:paraId="48C3CE13" w14:textId="77777777" w:rsidR="00CE4A9A" w:rsidRPr="00CE4A9A" w:rsidRDefault="00CE4A9A" w:rsidP="00CE4A9A">
            <w:pPr>
              <w:tabs>
                <w:tab w:val="right" w:pos="1202"/>
              </w:tabs>
              <w:spacing w:after="0" w:line="240" w:lineRule="exact"/>
              <w:outlineLvl w:val="0"/>
              <w:rPr>
                <w:rFonts w:ascii="Calibri" w:eastAsia="Times New Roman" w:hAnsi="Calibri" w:cs="Arial"/>
                <w:spacing w:val="-2"/>
                <w:sz w:val="18"/>
                <w:szCs w:val="18"/>
                <w:lang w:val="en-US"/>
              </w:rPr>
            </w:pPr>
            <w:r w:rsidRPr="00CE4A9A">
              <w:rPr>
                <w:rFonts w:ascii="Calibri" w:eastAsia="Times New Roman" w:hAnsi="Calibri" w:cs="Arial"/>
                <w:spacing w:val="-2"/>
                <w:sz w:val="18"/>
                <w:szCs w:val="18"/>
                <w:lang w:val="en-US"/>
              </w:rPr>
              <w:t>Financial assets at fair value through profit or loss</w:t>
            </w:r>
          </w:p>
        </w:tc>
        <w:tc>
          <w:tcPr>
            <w:tcW w:w="508" w:type="pct"/>
            <w:tcBorders>
              <w:top w:val="nil"/>
              <w:left w:val="nil"/>
              <w:bottom w:val="nil"/>
              <w:right w:val="nil"/>
            </w:tcBorders>
            <w:vAlign w:val="bottom"/>
          </w:tcPr>
          <w:p w14:paraId="1AC59063"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16,044 </w:t>
            </w:r>
          </w:p>
        </w:tc>
        <w:tc>
          <w:tcPr>
            <w:tcW w:w="579" w:type="pct"/>
            <w:tcBorders>
              <w:top w:val="nil"/>
              <w:left w:val="nil"/>
              <w:bottom w:val="nil"/>
              <w:right w:val="nil"/>
            </w:tcBorders>
            <w:vAlign w:val="bottom"/>
          </w:tcPr>
          <w:p w14:paraId="2840E581"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100,103 </w:t>
            </w:r>
          </w:p>
        </w:tc>
        <w:tc>
          <w:tcPr>
            <w:tcW w:w="584" w:type="pct"/>
            <w:tcBorders>
              <w:top w:val="nil"/>
              <w:left w:val="nil"/>
              <w:bottom w:val="nil"/>
              <w:right w:val="nil"/>
            </w:tcBorders>
            <w:vAlign w:val="bottom"/>
          </w:tcPr>
          <w:p w14:paraId="5CB160E6"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 </w:t>
            </w:r>
          </w:p>
        </w:tc>
        <w:tc>
          <w:tcPr>
            <w:tcW w:w="579" w:type="pct"/>
            <w:tcBorders>
              <w:top w:val="nil"/>
              <w:left w:val="nil"/>
              <w:bottom w:val="nil"/>
              <w:right w:val="nil"/>
            </w:tcBorders>
            <w:vAlign w:val="bottom"/>
          </w:tcPr>
          <w:p w14:paraId="1BDF4BFF"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116,147 </w:t>
            </w:r>
          </w:p>
        </w:tc>
        <w:tc>
          <w:tcPr>
            <w:tcW w:w="653" w:type="pct"/>
            <w:tcBorders>
              <w:top w:val="nil"/>
              <w:left w:val="nil"/>
              <w:bottom w:val="nil"/>
              <w:right w:val="nil"/>
            </w:tcBorders>
            <w:vAlign w:val="bottom"/>
          </w:tcPr>
          <w:p w14:paraId="60733373"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102,837 </w:t>
            </w:r>
          </w:p>
        </w:tc>
        <w:tc>
          <w:tcPr>
            <w:tcW w:w="577" w:type="pct"/>
            <w:tcBorders>
              <w:top w:val="nil"/>
              <w:left w:val="nil"/>
              <w:bottom w:val="nil"/>
            </w:tcBorders>
            <w:vAlign w:val="bottom"/>
          </w:tcPr>
          <w:p w14:paraId="3E89BD5C"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218,984 </w:t>
            </w:r>
          </w:p>
        </w:tc>
      </w:tr>
      <w:tr w:rsidR="00CE4A9A" w:rsidRPr="00CE4A9A" w14:paraId="5E5B5D3B" w14:textId="77777777" w:rsidTr="00E44437">
        <w:trPr>
          <w:trHeight w:val="254"/>
        </w:trPr>
        <w:tc>
          <w:tcPr>
            <w:tcW w:w="1520" w:type="pct"/>
            <w:vAlign w:val="bottom"/>
          </w:tcPr>
          <w:p w14:paraId="3695ED26" w14:textId="77777777" w:rsidR="00CE4A9A" w:rsidRPr="00CE4A9A" w:rsidRDefault="00CE4A9A" w:rsidP="00CE4A9A">
            <w:pPr>
              <w:tabs>
                <w:tab w:val="right" w:pos="1202"/>
              </w:tabs>
              <w:spacing w:after="0" w:line="240" w:lineRule="exact"/>
              <w:outlineLvl w:val="0"/>
              <w:rPr>
                <w:rFonts w:ascii="Calibri" w:eastAsia="Times New Roman" w:hAnsi="Calibri" w:cs="Arial"/>
                <w:sz w:val="18"/>
                <w:szCs w:val="18"/>
                <w:lang w:val="en-US"/>
              </w:rPr>
            </w:pPr>
            <w:r w:rsidRPr="00CE4A9A">
              <w:rPr>
                <w:rFonts w:ascii="Calibri" w:eastAsia="Times New Roman" w:hAnsi="Calibri" w:cs="Arial"/>
                <w:spacing w:val="-2"/>
                <w:sz w:val="18"/>
                <w:szCs w:val="18"/>
                <w:lang w:val="en-US"/>
              </w:rPr>
              <w:t>Financial assets at fair value through other comprehensive income</w:t>
            </w:r>
          </w:p>
        </w:tc>
        <w:tc>
          <w:tcPr>
            <w:tcW w:w="508" w:type="pct"/>
            <w:tcBorders>
              <w:top w:val="nil"/>
              <w:left w:val="nil"/>
              <w:bottom w:val="nil"/>
              <w:right w:val="nil"/>
            </w:tcBorders>
            <w:vAlign w:val="bottom"/>
          </w:tcPr>
          <w:p w14:paraId="30B7A34C"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 </w:t>
            </w:r>
          </w:p>
        </w:tc>
        <w:tc>
          <w:tcPr>
            <w:tcW w:w="579" w:type="pct"/>
            <w:tcBorders>
              <w:top w:val="nil"/>
              <w:left w:val="nil"/>
              <w:bottom w:val="nil"/>
              <w:right w:val="nil"/>
            </w:tcBorders>
            <w:vAlign w:val="bottom"/>
          </w:tcPr>
          <w:p w14:paraId="100061F2"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827,581 </w:t>
            </w:r>
          </w:p>
        </w:tc>
        <w:tc>
          <w:tcPr>
            <w:tcW w:w="584" w:type="pct"/>
            <w:tcBorders>
              <w:top w:val="nil"/>
              <w:left w:val="nil"/>
              <w:bottom w:val="nil"/>
              <w:right w:val="nil"/>
            </w:tcBorders>
            <w:vAlign w:val="bottom"/>
          </w:tcPr>
          <w:p w14:paraId="79BA3164"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 </w:t>
            </w:r>
          </w:p>
        </w:tc>
        <w:tc>
          <w:tcPr>
            <w:tcW w:w="579" w:type="pct"/>
            <w:tcBorders>
              <w:top w:val="nil"/>
              <w:left w:val="nil"/>
              <w:bottom w:val="nil"/>
              <w:right w:val="nil"/>
            </w:tcBorders>
            <w:vAlign w:val="bottom"/>
          </w:tcPr>
          <w:p w14:paraId="7705B72C"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827,581 </w:t>
            </w:r>
          </w:p>
        </w:tc>
        <w:tc>
          <w:tcPr>
            <w:tcW w:w="653" w:type="pct"/>
            <w:tcBorders>
              <w:top w:val="nil"/>
              <w:left w:val="nil"/>
              <w:bottom w:val="nil"/>
              <w:right w:val="nil"/>
            </w:tcBorders>
            <w:vAlign w:val="bottom"/>
          </w:tcPr>
          <w:p w14:paraId="3150F7EA"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2,144,949 </w:t>
            </w:r>
          </w:p>
        </w:tc>
        <w:tc>
          <w:tcPr>
            <w:tcW w:w="577" w:type="pct"/>
            <w:tcBorders>
              <w:top w:val="nil"/>
              <w:left w:val="nil"/>
              <w:bottom w:val="nil"/>
            </w:tcBorders>
            <w:vAlign w:val="bottom"/>
          </w:tcPr>
          <w:p w14:paraId="0A439943"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2,972,530 </w:t>
            </w:r>
          </w:p>
        </w:tc>
      </w:tr>
      <w:tr w:rsidR="00CE4A9A" w:rsidRPr="00CE4A9A" w14:paraId="2773F7D7" w14:textId="77777777" w:rsidTr="00E44437">
        <w:trPr>
          <w:trHeight w:val="507"/>
        </w:trPr>
        <w:tc>
          <w:tcPr>
            <w:tcW w:w="1520" w:type="pct"/>
            <w:vAlign w:val="bottom"/>
          </w:tcPr>
          <w:p w14:paraId="72147B9E" w14:textId="77777777" w:rsidR="00CE4A9A" w:rsidRPr="00CE4A9A" w:rsidRDefault="00CE4A9A" w:rsidP="00CE4A9A">
            <w:pPr>
              <w:tabs>
                <w:tab w:val="right" w:pos="1202"/>
              </w:tabs>
              <w:spacing w:after="0" w:line="240" w:lineRule="exact"/>
              <w:outlineLvl w:val="0"/>
              <w:rPr>
                <w:rFonts w:ascii="Calibri" w:eastAsia="Times New Roman" w:hAnsi="Calibri" w:cs="Arial"/>
                <w:sz w:val="18"/>
                <w:szCs w:val="18"/>
                <w:lang w:val="en-US"/>
              </w:rPr>
            </w:pPr>
            <w:r w:rsidRPr="00CE4A9A">
              <w:rPr>
                <w:rFonts w:ascii="Calibri" w:eastAsia="Times New Roman" w:hAnsi="Calibri" w:cs="Arial"/>
                <w:spacing w:val="-2"/>
                <w:sz w:val="18"/>
                <w:szCs w:val="18"/>
                <w:lang w:val="en-US"/>
              </w:rPr>
              <w:t>Property, plant and equipment and intangible assets</w:t>
            </w:r>
          </w:p>
        </w:tc>
        <w:tc>
          <w:tcPr>
            <w:tcW w:w="508" w:type="pct"/>
            <w:tcBorders>
              <w:top w:val="nil"/>
              <w:left w:val="nil"/>
              <w:bottom w:val="nil"/>
              <w:right w:val="nil"/>
            </w:tcBorders>
            <w:vAlign w:val="bottom"/>
          </w:tcPr>
          <w:p w14:paraId="16D75EC7"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 </w:t>
            </w:r>
          </w:p>
        </w:tc>
        <w:tc>
          <w:tcPr>
            <w:tcW w:w="579" w:type="pct"/>
            <w:tcBorders>
              <w:top w:val="nil"/>
              <w:left w:val="nil"/>
              <w:bottom w:val="nil"/>
              <w:right w:val="nil"/>
            </w:tcBorders>
            <w:vAlign w:val="bottom"/>
          </w:tcPr>
          <w:p w14:paraId="5F5BADDD"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 </w:t>
            </w:r>
          </w:p>
        </w:tc>
        <w:tc>
          <w:tcPr>
            <w:tcW w:w="584" w:type="pct"/>
            <w:tcBorders>
              <w:top w:val="nil"/>
              <w:left w:val="nil"/>
              <w:bottom w:val="nil"/>
              <w:right w:val="nil"/>
            </w:tcBorders>
            <w:vAlign w:val="bottom"/>
          </w:tcPr>
          <w:p w14:paraId="5B29F29E"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 </w:t>
            </w:r>
          </w:p>
        </w:tc>
        <w:tc>
          <w:tcPr>
            <w:tcW w:w="579" w:type="pct"/>
            <w:tcBorders>
              <w:top w:val="nil"/>
              <w:left w:val="nil"/>
              <w:bottom w:val="nil"/>
              <w:right w:val="nil"/>
            </w:tcBorders>
            <w:vAlign w:val="bottom"/>
          </w:tcPr>
          <w:p w14:paraId="734D707C"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 </w:t>
            </w:r>
          </w:p>
        </w:tc>
        <w:tc>
          <w:tcPr>
            <w:tcW w:w="653" w:type="pct"/>
            <w:tcBorders>
              <w:top w:val="nil"/>
              <w:left w:val="nil"/>
              <w:bottom w:val="nil"/>
              <w:right w:val="nil"/>
            </w:tcBorders>
            <w:vAlign w:val="bottom"/>
          </w:tcPr>
          <w:p w14:paraId="7CE1441F"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43,937 </w:t>
            </w:r>
          </w:p>
        </w:tc>
        <w:tc>
          <w:tcPr>
            <w:tcW w:w="577" w:type="pct"/>
            <w:tcBorders>
              <w:top w:val="nil"/>
              <w:left w:val="nil"/>
              <w:bottom w:val="nil"/>
            </w:tcBorders>
            <w:vAlign w:val="bottom"/>
          </w:tcPr>
          <w:p w14:paraId="68FF5BDC"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43,937 </w:t>
            </w:r>
          </w:p>
        </w:tc>
      </w:tr>
      <w:tr w:rsidR="00CE4A9A" w:rsidRPr="00CE4A9A" w14:paraId="176B7113" w14:textId="77777777" w:rsidTr="00E44437">
        <w:trPr>
          <w:trHeight w:val="239"/>
        </w:trPr>
        <w:tc>
          <w:tcPr>
            <w:tcW w:w="1520" w:type="pct"/>
            <w:vAlign w:val="bottom"/>
          </w:tcPr>
          <w:p w14:paraId="26F7C2AE" w14:textId="77777777" w:rsidR="00CE4A9A" w:rsidRPr="00CE4A9A" w:rsidRDefault="00CE4A9A" w:rsidP="00CE4A9A">
            <w:pPr>
              <w:tabs>
                <w:tab w:val="right" w:pos="1202"/>
              </w:tabs>
              <w:spacing w:after="0" w:line="240" w:lineRule="exact"/>
              <w:outlineLvl w:val="0"/>
              <w:rPr>
                <w:rFonts w:ascii="Calibri" w:eastAsia="Times New Roman" w:hAnsi="Calibri" w:cs="Arial"/>
                <w:sz w:val="18"/>
                <w:szCs w:val="18"/>
                <w:lang w:val="en-US"/>
              </w:rPr>
            </w:pPr>
            <w:r w:rsidRPr="00CE4A9A">
              <w:rPr>
                <w:rFonts w:ascii="Calibri" w:eastAsia="Times New Roman" w:hAnsi="Calibri" w:cs="Arial"/>
                <w:spacing w:val="-2"/>
                <w:sz w:val="18"/>
                <w:szCs w:val="18"/>
                <w:lang w:val="en-US"/>
              </w:rPr>
              <w:t>Foreclosed assets</w:t>
            </w:r>
          </w:p>
        </w:tc>
        <w:tc>
          <w:tcPr>
            <w:tcW w:w="508" w:type="pct"/>
            <w:tcBorders>
              <w:top w:val="nil"/>
              <w:left w:val="nil"/>
              <w:bottom w:val="nil"/>
              <w:right w:val="nil"/>
            </w:tcBorders>
            <w:vAlign w:val="bottom"/>
          </w:tcPr>
          <w:p w14:paraId="09F4634F"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 </w:t>
            </w:r>
          </w:p>
        </w:tc>
        <w:tc>
          <w:tcPr>
            <w:tcW w:w="579" w:type="pct"/>
            <w:tcBorders>
              <w:top w:val="nil"/>
              <w:left w:val="nil"/>
              <w:bottom w:val="nil"/>
              <w:right w:val="nil"/>
            </w:tcBorders>
            <w:vAlign w:val="bottom"/>
          </w:tcPr>
          <w:p w14:paraId="7F9275DB"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 </w:t>
            </w:r>
          </w:p>
        </w:tc>
        <w:tc>
          <w:tcPr>
            <w:tcW w:w="584" w:type="pct"/>
            <w:tcBorders>
              <w:top w:val="nil"/>
              <w:left w:val="nil"/>
              <w:bottom w:val="nil"/>
              <w:right w:val="nil"/>
            </w:tcBorders>
            <w:vAlign w:val="bottom"/>
          </w:tcPr>
          <w:p w14:paraId="30C0608D"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 </w:t>
            </w:r>
          </w:p>
        </w:tc>
        <w:tc>
          <w:tcPr>
            <w:tcW w:w="579" w:type="pct"/>
            <w:tcBorders>
              <w:top w:val="nil"/>
              <w:left w:val="nil"/>
              <w:bottom w:val="nil"/>
              <w:right w:val="nil"/>
            </w:tcBorders>
            <w:vAlign w:val="bottom"/>
          </w:tcPr>
          <w:p w14:paraId="5F44BCCA"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 </w:t>
            </w:r>
          </w:p>
        </w:tc>
        <w:tc>
          <w:tcPr>
            <w:tcW w:w="653" w:type="pct"/>
            <w:tcBorders>
              <w:top w:val="nil"/>
              <w:left w:val="nil"/>
              <w:bottom w:val="nil"/>
              <w:right w:val="nil"/>
            </w:tcBorders>
            <w:vAlign w:val="bottom"/>
          </w:tcPr>
          <w:p w14:paraId="6B0B7ABB"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21,369 </w:t>
            </w:r>
          </w:p>
        </w:tc>
        <w:tc>
          <w:tcPr>
            <w:tcW w:w="577" w:type="pct"/>
            <w:tcBorders>
              <w:top w:val="nil"/>
              <w:left w:val="nil"/>
              <w:bottom w:val="nil"/>
            </w:tcBorders>
            <w:vAlign w:val="bottom"/>
          </w:tcPr>
          <w:p w14:paraId="3270409C"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21,369 </w:t>
            </w:r>
          </w:p>
        </w:tc>
      </w:tr>
      <w:tr w:rsidR="00CE4A9A" w:rsidRPr="00CE4A9A" w14:paraId="4ED33E49" w14:textId="77777777" w:rsidTr="00E44437">
        <w:trPr>
          <w:trHeight w:val="254"/>
        </w:trPr>
        <w:tc>
          <w:tcPr>
            <w:tcW w:w="1520" w:type="pct"/>
            <w:vAlign w:val="bottom"/>
          </w:tcPr>
          <w:p w14:paraId="0FDD958F" w14:textId="77777777" w:rsidR="00CE4A9A" w:rsidRPr="00CE4A9A" w:rsidRDefault="00CE4A9A" w:rsidP="00CE4A9A">
            <w:pPr>
              <w:tabs>
                <w:tab w:val="right" w:pos="1202"/>
              </w:tabs>
              <w:spacing w:after="0" w:line="240" w:lineRule="exact"/>
              <w:outlineLvl w:val="0"/>
              <w:rPr>
                <w:rFonts w:ascii="Calibri" w:eastAsia="Times New Roman" w:hAnsi="Calibri" w:cs="Arial"/>
                <w:sz w:val="18"/>
                <w:szCs w:val="18"/>
                <w:lang w:val="en-US"/>
              </w:rPr>
            </w:pPr>
            <w:r w:rsidRPr="00CE4A9A">
              <w:rPr>
                <w:rFonts w:ascii="Calibri" w:eastAsia="Times New Roman" w:hAnsi="Calibri" w:cs="Arial"/>
                <w:spacing w:val="-2"/>
                <w:sz w:val="18"/>
                <w:szCs w:val="18"/>
                <w:lang w:val="en-US"/>
              </w:rPr>
              <w:t xml:space="preserve">Other assets </w:t>
            </w:r>
          </w:p>
        </w:tc>
        <w:tc>
          <w:tcPr>
            <w:tcW w:w="508" w:type="pct"/>
            <w:tcBorders>
              <w:top w:val="nil"/>
              <w:left w:val="nil"/>
              <w:bottom w:val="single" w:sz="4" w:space="0" w:color="000000"/>
              <w:right w:val="nil"/>
            </w:tcBorders>
            <w:vAlign w:val="bottom"/>
          </w:tcPr>
          <w:p w14:paraId="42BF5682"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 </w:t>
            </w:r>
          </w:p>
        </w:tc>
        <w:tc>
          <w:tcPr>
            <w:tcW w:w="579" w:type="pct"/>
            <w:tcBorders>
              <w:top w:val="nil"/>
              <w:left w:val="nil"/>
              <w:bottom w:val="single" w:sz="4" w:space="0" w:color="000000"/>
              <w:right w:val="nil"/>
            </w:tcBorders>
            <w:vAlign w:val="bottom"/>
          </w:tcPr>
          <w:p w14:paraId="41667E9C"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1,372 </w:t>
            </w:r>
          </w:p>
        </w:tc>
        <w:tc>
          <w:tcPr>
            <w:tcW w:w="584" w:type="pct"/>
            <w:tcBorders>
              <w:top w:val="nil"/>
              <w:left w:val="nil"/>
              <w:bottom w:val="single" w:sz="4" w:space="0" w:color="000000"/>
              <w:right w:val="nil"/>
            </w:tcBorders>
            <w:vAlign w:val="bottom"/>
          </w:tcPr>
          <w:p w14:paraId="14140828"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 </w:t>
            </w:r>
          </w:p>
        </w:tc>
        <w:tc>
          <w:tcPr>
            <w:tcW w:w="579" w:type="pct"/>
            <w:tcBorders>
              <w:top w:val="nil"/>
              <w:left w:val="nil"/>
              <w:bottom w:val="single" w:sz="4" w:space="0" w:color="000000"/>
              <w:right w:val="nil"/>
            </w:tcBorders>
            <w:vAlign w:val="bottom"/>
          </w:tcPr>
          <w:p w14:paraId="5F89A612"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1,372 </w:t>
            </w:r>
          </w:p>
        </w:tc>
        <w:tc>
          <w:tcPr>
            <w:tcW w:w="653" w:type="pct"/>
            <w:tcBorders>
              <w:top w:val="nil"/>
              <w:left w:val="nil"/>
              <w:bottom w:val="single" w:sz="4" w:space="0" w:color="000000"/>
              <w:right w:val="nil"/>
            </w:tcBorders>
            <w:vAlign w:val="bottom"/>
          </w:tcPr>
          <w:p w14:paraId="3EB4DB94"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36,165 </w:t>
            </w:r>
          </w:p>
        </w:tc>
        <w:tc>
          <w:tcPr>
            <w:tcW w:w="577" w:type="pct"/>
            <w:tcBorders>
              <w:top w:val="nil"/>
              <w:left w:val="nil"/>
              <w:bottom w:val="single" w:sz="4" w:space="0" w:color="000000"/>
            </w:tcBorders>
            <w:vAlign w:val="bottom"/>
          </w:tcPr>
          <w:p w14:paraId="3B588AD7"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37,537 </w:t>
            </w:r>
          </w:p>
        </w:tc>
      </w:tr>
      <w:tr w:rsidR="00CE4A9A" w:rsidRPr="00CE4A9A" w14:paraId="33E87FB9" w14:textId="77777777" w:rsidTr="00E44437">
        <w:trPr>
          <w:trHeight w:val="393"/>
        </w:trPr>
        <w:tc>
          <w:tcPr>
            <w:tcW w:w="1520" w:type="pct"/>
            <w:vAlign w:val="bottom"/>
          </w:tcPr>
          <w:p w14:paraId="19094ABE" w14:textId="77777777" w:rsidR="00CE4A9A" w:rsidRPr="00CE4A9A" w:rsidRDefault="00CE4A9A" w:rsidP="00CE4A9A">
            <w:pPr>
              <w:tabs>
                <w:tab w:val="right" w:pos="1202"/>
              </w:tabs>
              <w:spacing w:after="0" w:line="240" w:lineRule="exact"/>
              <w:outlineLvl w:val="0"/>
              <w:rPr>
                <w:rFonts w:ascii="Calibri" w:eastAsia="Times New Roman" w:hAnsi="Calibri" w:cs="Arial"/>
                <w:b/>
                <w:bCs/>
                <w:sz w:val="18"/>
                <w:szCs w:val="18"/>
                <w:lang w:val="en-US"/>
              </w:rPr>
            </w:pPr>
            <w:r w:rsidRPr="00CE4A9A">
              <w:rPr>
                <w:rFonts w:ascii="Calibri" w:eastAsia="Times New Roman" w:hAnsi="Calibri" w:cs="Arial"/>
                <w:b/>
                <w:bCs/>
                <w:sz w:val="18"/>
                <w:szCs w:val="18"/>
                <w:lang w:val="en-US"/>
              </w:rPr>
              <w:t xml:space="preserve">Total assets </w:t>
            </w:r>
          </w:p>
        </w:tc>
        <w:tc>
          <w:tcPr>
            <w:tcW w:w="508" w:type="pct"/>
            <w:tcBorders>
              <w:top w:val="single" w:sz="4" w:space="0" w:color="000000"/>
              <w:bottom w:val="single" w:sz="12" w:space="0" w:color="auto"/>
            </w:tcBorders>
            <w:vAlign w:val="bottom"/>
          </w:tcPr>
          <w:p w14:paraId="148514CC" w14:textId="77777777" w:rsidR="00CE4A9A" w:rsidRPr="00CE4A9A" w:rsidRDefault="00CE4A9A" w:rsidP="00CE4A9A">
            <w:pPr>
              <w:spacing w:after="0" w:line="240" w:lineRule="exact"/>
              <w:jc w:val="right"/>
              <w:rPr>
                <w:rFonts w:ascii="Calibri" w:eastAsia="Arial Unicode MS" w:hAnsi="Calibri" w:cs="Arial"/>
                <w:b/>
                <w:bCs/>
                <w:sz w:val="18"/>
                <w:szCs w:val="18"/>
                <w:lang w:val="en-US"/>
              </w:rPr>
            </w:pPr>
            <w:r w:rsidRPr="00CE4A9A">
              <w:rPr>
                <w:rFonts w:ascii="Calibri" w:eastAsia="Arial Unicode MS" w:hAnsi="Calibri" w:cs="Times New Roman"/>
                <w:b/>
                <w:bCs/>
                <w:color w:val="000000"/>
                <w:sz w:val="18"/>
                <w:szCs w:val="18"/>
              </w:rPr>
              <w:t xml:space="preserve">297,079 </w:t>
            </w:r>
          </w:p>
        </w:tc>
        <w:tc>
          <w:tcPr>
            <w:tcW w:w="579" w:type="pct"/>
            <w:tcBorders>
              <w:top w:val="single" w:sz="4" w:space="0" w:color="000000"/>
              <w:bottom w:val="single" w:sz="12" w:space="0" w:color="auto"/>
            </w:tcBorders>
            <w:vAlign w:val="bottom"/>
          </w:tcPr>
          <w:p w14:paraId="507B8B4F" w14:textId="77777777" w:rsidR="00CE4A9A" w:rsidRPr="00CE4A9A" w:rsidRDefault="00CE4A9A" w:rsidP="00CE4A9A">
            <w:pPr>
              <w:spacing w:after="0" w:line="240" w:lineRule="exact"/>
              <w:jc w:val="right"/>
              <w:rPr>
                <w:rFonts w:ascii="Calibri" w:eastAsia="Arial Unicode MS" w:hAnsi="Calibri" w:cs="Arial"/>
                <w:b/>
                <w:bCs/>
                <w:sz w:val="18"/>
                <w:szCs w:val="18"/>
                <w:lang w:val="en-US"/>
              </w:rPr>
            </w:pPr>
            <w:r w:rsidRPr="00CE4A9A">
              <w:rPr>
                <w:rFonts w:ascii="Calibri" w:eastAsia="Arial Unicode MS" w:hAnsi="Calibri" w:cs="Times New Roman"/>
                <w:b/>
                <w:bCs/>
                <w:color w:val="000000"/>
                <w:sz w:val="18"/>
                <w:szCs w:val="18"/>
              </w:rPr>
              <w:t xml:space="preserve">14,043,801 </w:t>
            </w:r>
          </w:p>
        </w:tc>
        <w:tc>
          <w:tcPr>
            <w:tcW w:w="584" w:type="pct"/>
            <w:tcBorders>
              <w:top w:val="single" w:sz="4" w:space="0" w:color="000000"/>
              <w:bottom w:val="single" w:sz="12" w:space="0" w:color="auto"/>
            </w:tcBorders>
            <w:vAlign w:val="bottom"/>
          </w:tcPr>
          <w:p w14:paraId="2E9C2E31" w14:textId="77777777" w:rsidR="00CE4A9A" w:rsidRPr="00CE4A9A" w:rsidRDefault="00CE4A9A" w:rsidP="00CE4A9A">
            <w:pPr>
              <w:spacing w:after="0" w:line="240" w:lineRule="exact"/>
              <w:jc w:val="right"/>
              <w:rPr>
                <w:rFonts w:ascii="Calibri" w:eastAsia="Arial Unicode MS" w:hAnsi="Calibri" w:cs="Arial"/>
                <w:b/>
                <w:bCs/>
                <w:sz w:val="18"/>
                <w:szCs w:val="18"/>
                <w:lang w:val="en-US"/>
              </w:rPr>
            </w:pPr>
            <w:r w:rsidRPr="00CE4A9A">
              <w:rPr>
                <w:rFonts w:ascii="Calibri" w:eastAsia="Arial Unicode MS" w:hAnsi="Calibri" w:cs="Times New Roman"/>
                <w:b/>
                <w:bCs/>
                <w:color w:val="000000"/>
                <w:sz w:val="18"/>
                <w:szCs w:val="18"/>
              </w:rPr>
              <w:t xml:space="preserve"> - </w:t>
            </w:r>
          </w:p>
        </w:tc>
        <w:tc>
          <w:tcPr>
            <w:tcW w:w="579" w:type="pct"/>
            <w:tcBorders>
              <w:top w:val="single" w:sz="4" w:space="0" w:color="000000"/>
              <w:bottom w:val="single" w:sz="12" w:space="0" w:color="auto"/>
            </w:tcBorders>
            <w:vAlign w:val="bottom"/>
          </w:tcPr>
          <w:p w14:paraId="38A4D522" w14:textId="77777777" w:rsidR="00CE4A9A" w:rsidRPr="00CE4A9A" w:rsidRDefault="00CE4A9A" w:rsidP="00CE4A9A">
            <w:pPr>
              <w:spacing w:after="0" w:line="240" w:lineRule="exact"/>
              <w:rPr>
                <w:rFonts w:ascii="Calibri" w:eastAsia="Arial Unicode MS" w:hAnsi="Calibri" w:cs="Arial"/>
                <w:b/>
                <w:bCs/>
                <w:sz w:val="18"/>
                <w:szCs w:val="18"/>
                <w:lang w:val="en-US"/>
              </w:rPr>
            </w:pPr>
            <w:r w:rsidRPr="00CE4A9A">
              <w:rPr>
                <w:rFonts w:ascii="Calibri" w:eastAsia="Arial Unicode MS" w:hAnsi="Calibri" w:cs="Times New Roman"/>
                <w:b/>
                <w:bCs/>
                <w:color w:val="000000"/>
                <w:sz w:val="18"/>
                <w:szCs w:val="18"/>
              </w:rPr>
              <w:t xml:space="preserve">14,340,880 </w:t>
            </w:r>
          </w:p>
        </w:tc>
        <w:tc>
          <w:tcPr>
            <w:tcW w:w="653" w:type="pct"/>
            <w:tcBorders>
              <w:top w:val="single" w:sz="4" w:space="0" w:color="000000"/>
              <w:bottom w:val="single" w:sz="12" w:space="0" w:color="auto"/>
            </w:tcBorders>
            <w:vAlign w:val="bottom"/>
          </w:tcPr>
          <w:p w14:paraId="26915032" w14:textId="77777777" w:rsidR="00CE4A9A" w:rsidRPr="00CE4A9A" w:rsidRDefault="00CE4A9A" w:rsidP="00CE4A9A">
            <w:pPr>
              <w:spacing w:after="0" w:line="240" w:lineRule="exact"/>
              <w:jc w:val="right"/>
              <w:rPr>
                <w:rFonts w:ascii="Calibri" w:eastAsia="Arial Unicode MS" w:hAnsi="Calibri" w:cs="Arial"/>
                <w:b/>
                <w:bCs/>
                <w:sz w:val="18"/>
                <w:szCs w:val="18"/>
                <w:lang w:val="en-US"/>
              </w:rPr>
            </w:pPr>
            <w:r w:rsidRPr="00CE4A9A">
              <w:rPr>
                <w:rFonts w:ascii="Calibri" w:eastAsia="Arial Unicode MS" w:hAnsi="Calibri" w:cs="Times New Roman"/>
                <w:b/>
                <w:bCs/>
                <w:color w:val="000000"/>
                <w:sz w:val="18"/>
                <w:szCs w:val="18"/>
              </w:rPr>
              <w:t xml:space="preserve"> 13,937,482* </w:t>
            </w:r>
          </w:p>
        </w:tc>
        <w:tc>
          <w:tcPr>
            <w:tcW w:w="577" w:type="pct"/>
            <w:tcBorders>
              <w:top w:val="single" w:sz="4" w:space="0" w:color="000000"/>
              <w:bottom w:val="single" w:sz="12" w:space="0" w:color="auto"/>
            </w:tcBorders>
            <w:vAlign w:val="bottom"/>
          </w:tcPr>
          <w:p w14:paraId="2FBE55A6" w14:textId="77777777" w:rsidR="00CE4A9A" w:rsidRPr="00CE4A9A" w:rsidRDefault="00CE4A9A" w:rsidP="00CE4A9A">
            <w:pPr>
              <w:spacing w:after="0" w:line="240" w:lineRule="exact"/>
              <w:jc w:val="right"/>
              <w:rPr>
                <w:rFonts w:ascii="Calibri" w:eastAsia="Arial Unicode MS" w:hAnsi="Calibri" w:cs="Arial"/>
                <w:b/>
                <w:bCs/>
                <w:sz w:val="18"/>
                <w:szCs w:val="18"/>
                <w:lang w:val="en-US"/>
              </w:rPr>
            </w:pPr>
            <w:r w:rsidRPr="00CE4A9A">
              <w:rPr>
                <w:rFonts w:ascii="Calibri" w:eastAsia="Arial Unicode MS" w:hAnsi="Calibri" w:cs="Times New Roman"/>
                <w:b/>
                <w:bCs/>
                <w:color w:val="000000"/>
                <w:sz w:val="18"/>
                <w:szCs w:val="18"/>
              </w:rPr>
              <w:t xml:space="preserve">28,278,362 </w:t>
            </w:r>
          </w:p>
        </w:tc>
      </w:tr>
      <w:tr w:rsidR="00CE4A9A" w:rsidRPr="00CE4A9A" w14:paraId="3B46FF01" w14:textId="77777777" w:rsidTr="00E44437">
        <w:trPr>
          <w:trHeight w:val="97"/>
        </w:trPr>
        <w:tc>
          <w:tcPr>
            <w:tcW w:w="1520" w:type="pct"/>
            <w:vAlign w:val="bottom"/>
          </w:tcPr>
          <w:p w14:paraId="79789B71" w14:textId="77777777" w:rsidR="00CE4A9A" w:rsidRPr="00CE4A9A" w:rsidRDefault="00CE4A9A" w:rsidP="00CE4A9A">
            <w:pPr>
              <w:tabs>
                <w:tab w:val="right" w:pos="1202"/>
              </w:tabs>
              <w:spacing w:after="0" w:line="240" w:lineRule="exact"/>
              <w:outlineLvl w:val="0"/>
              <w:rPr>
                <w:rFonts w:ascii="Calibri" w:eastAsia="Times New Roman" w:hAnsi="Calibri" w:cs="Arial"/>
                <w:b/>
                <w:bCs/>
                <w:sz w:val="18"/>
                <w:szCs w:val="18"/>
                <w:lang w:val="en-US"/>
              </w:rPr>
            </w:pPr>
          </w:p>
        </w:tc>
        <w:tc>
          <w:tcPr>
            <w:tcW w:w="508" w:type="pct"/>
            <w:tcBorders>
              <w:top w:val="single" w:sz="12" w:space="0" w:color="auto"/>
            </w:tcBorders>
            <w:vAlign w:val="bottom"/>
          </w:tcPr>
          <w:p w14:paraId="22F049F2" w14:textId="77777777" w:rsidR="00CE4A9A" w:rsidRPr="00CE4A9A" w:rsidRDefault="00CE4A9A" w:rsidP="00CE4A9A">
            <w:pPr>
              <w:spacing w:after="0" w:line="240" w:lineRule="exact"/>
              <w:jc w:val="right"/>
              <w:rPr>
                <w:rFonts w:ascii="Calibri" w:eastAsia="Times New Roman" w:hAnsi="Calibri" w:cs="Times New Roman"/>
                <w:b/>
                <w:bCs/>
                <w:sz w:val="18"/>
                <w:szCs w:val="18"/>
                <w:lang w:val="en-US"/>
              </w:rPr>
            </w:pPr>
          </w:p>
        </w:tc>
        <w:tc>
          <w:tcPr>
            <w:tcW w:w="579" w:type="pct"/>
            <w:tcBorders>
              <w:top w:val="single" w:sz="12" w:space="0" w:color="auto"/>
            </w:tcBorders>
            <w:vAlign w:val="bottom"/>
          </w:tcPr>
          <w:p w14:paraId="7751812F" w14:textId="77777777" w:rsidR="00CE4A9A" w:rsidRPr="00CE4A9A" w:rsidRDefault="00CE4A9A" w:rsidP="00CE4A9A">
            <w:pPr>
              <w:spacing w:after="0" w:line="240" w:lineRule="exact"/>
              <w:jc w:val="right"/>
              <w:rPr>
                <w:rFonts w:ascii="Calibri" w:eastAsia="Times New Roman" w:hAnsi="Calibri" w:cs="Times New Roman"/>
                <w:b/>
                <w:bCs/>
                <w:sz w:val="18"/>
                <w:szCs w:val="18"/>
                <w:lang w:val="en-US"/>
              </w:rPr>
            </w:pPr>
          </w:p>
        </w:tc>
        <w:tc>
          <w:tcPr>
            <w:tcW w:w="584" w:type="pct"/>
            <w:tcBorders>
              <w:top w:val="single" w:sz="12" w:space="0" w:color="auto"/>
            </w:tcBorders>
            <w:vAlign w:val="bottom"/>
          </w:tcPr>
          <w:p w14:paraId="0CD5D1BA" w14:textId="77777777" w:rsidR="00CE4A9A" w:rsidRPr="00CE4A9A" w:rsidRDefault="00CE4A9A" w:rsidP="00CE4A9A">
            <w:pPr>
              <w:spacing w:after="0" w:line="240" w:lineRule="exact"/>
              <w:jc w:val="right"/>
              <w:rPr>
                <w:rFonts w:ascii="Calibri" w:eastAsia="Times New Roman" w:hAnsi="Calibri" w:cs="Times New Roman"/>
                <w:b/>
                <w:bCs/>
                <w:sz w:val="18"/>
                <w:szCs w:val="18"/>
                <w:lang w:val="en-US"/>
              </w:rPr>
            </w:pPr>
          </w:p>
        </w:tc>
        <w:tc>
          <w:tcPr>
            <w:tcW w:w="579" w:type="pct"/>
            <w:tcBorders>
              <w:top w:val="single" w:sz="12" w:space="0" w:color="auto"/>
            </w:tcBorders>
            <w:vAlign w:val="bottom"/>
          </w:tcPr>
          <w:p w14:paraId="01DB848C" w14:textId="77777777" w:rsidR="00CE4A9A" w:rsidRPr="00CE4A9A" w:rsidRDefault="00CE4A9A" w:rsidP="00CE4A9A">
            <w:pPr>
              <w:spacing w:after="0" w:line="240" w:lineRule="exact"/>
              <w:jc w:val="right"/>
              <w:rPr>
                <w:rFonts w:ascii="Calibri" w:eastAsia="Times New Roman" w:hAnsi="Calibri" w:cs="Times New Roman"/>
                <w:b/>
                <w:bCs/>
                <w:sz w:val="18"/>
                <w:szCs w:val="18"/>
                <w:lang w:val="en-US"/>
              </w:rPr>
            </w:pPr>
          </w:p>
        </w:tc>
        <w:tc>
          <w:tcPr>
            <w:tcW w:w="653" w:type="pct"/>
            <w:tcBorders>
              <w:top w:val="single" w:sz="12" w:space="0" w:color="auto"/>
            </w:tcBorders>
            <w:vAlign w:val="bottom"/>
          </w:tcPr>
          <w:p w14:paraId="5D789645" w14:textId="77777777" w:rsidR="00CE4A9A" w:rsidRPr="00CE4A9A" w:rsidRDefault="00CE4A9A" w:rsidP="00CE4A9A">
            <w:pPr>
              <w:spacing w:after="0" w:line="240" w:lineRule="exact"/>
              <w:jc w:val="right"/>
              <w:rPr>
                <w:rFonts w:ascii="Calibri" w:eastAsia="Times New Roman" w:hAnsi="Calibri" w:cs="Times New Roman"/>
                <w:b/>
                <w:bCs/>
                <w:sz w:val="18"/>
                <w:szCs w:val="18"/>
                <w:lang w:val="en-US"/>
              </w:rPr>
            </w:pPr>
          </w:p>
        </w:tc>
        <w:tc>
          <w:tcPr>
            <w:tcW w:w="577" w:type="pct"/>
            <w:tcBorders>
              <w:top w:val="single" w:sz="12" w:space="0" w:color="auto"/>
            </w:tcBorders>
            <w:vAlign w:val="bottom"/>
          </w:tcPr>
          <w:p w14:paraId="7629C3BC" w14:textId="77777777" w:rsidR="00CE4A9A" w:rsidRPr="00CE4A9A" w:rsidRDefault="00CE4A9A" w:rsidP="00CE4A9A">
            <w:pPr>
              <w:spacing w:after="0" w:line="240" w:lineRule="exact"/>
              <w:jc w:val="right"/>
              <w:rPr>
                <w:rFonts w:ascii="Calibri" w:eastAsia="Times New Roman" w:hAnsi="Calibri" w:cs="Times New Roman"/>
                <w:b/>
                <w:bCs/>
                <w:sz w:val="18"/>
                <w:szCs w:val="18"/>
                <w:lang w:val="en-US"/>
              </w:rPr>
            </w:pPr>
          </w:p>
        </w:tc>
      </w:tr>
      <w:tr w:rsidR="00CE4A9A" w:rsidRPr="00CE4A9A" w14:paraId="6D71C8FA" w14:textId="77777777" w:rsidTr="00E44437">
        <w:trPr>
          <w:trHeight w:val="277"/>
        </w:trPr>
        <w:tc>
          <w:tcPr>
            <w:tcW w:w="1520" w:type="pct"/>
            <w:vAlign w:val="bottom"/>
          </w:tcPr>
          <w:p w14:paraId="2DB19F02" w14:textId="77777777" w:rsidR="00CE4A9A" w:rsidRPr="00CE4A9A" w:rsidRDefault="00CE4A9A" w:rsidP="00CE4A9A">
            <w:pPr>
              <w:tabs>
                <w:tab w:val="right" w:pos="1202"/>
              </w:tabs>
              <w:spacing w:after="0" w:line="240" w:lineRule="exact"/>
              <w:outlineLvl w:val="0"/>
              <w:rPr>
                <w:rFonts w:ascii="Calibri" w:eastAsia="Times New Roman" w:hAnsi="Calibri" w:cs="Arial"/>
                <w:b/>
                <w:bCs/>
                <w:sz w:val="18"/>
                <w:szCs w:val="18"/>
                <w:lang w:val="en-US"/>
              </w:rPr>
            </w:pPr>
            <w:r w:rsidRPr="00CE4A9A">
              <w:rPr>
                <w:rFonts w:ascii="Calibri" w:eastAsia="Times New Roman" w:hAnsi="Calibri" w:cs="Arial"/>
                <w:b/>
                <w:bCs/>
                <w:sz w:val="18"/>
                <w:szCs w:val="18"/>
                <w:lang w:val="en-US"/>
              </w:rPr>
              <w:t xml:space="preserve">Liabilities </w:t>
            </w:r>
          </w:p>
        </w:tc>
        <w:tc>
          <w:tcPr>
            <w:tcW w:w="508" w:type="pct"/>
            <w:shd w:val="clear" w:color="auto" w:fill="auto"/>
            <w:vAlign w:val="bottom"/>
          </w:tcPr>
          <w:p w14:paraId="122DDACF" w14:textId="77777777" w:rsidR="00CE4A9A" w:rsidRPr="00CE4A9A" w:rsidRDefault="00CE4A9A" w:rsidP="00CE4A9A">
            <w:pPr>
              <w:suppressAutoHyphens/>
              <w:spacing w:after="0" w:line="240" w:lineRule="exact"/>
              <w:ind w:left="-123"/>
              <w:jc w:val="right"/>
              <w:rPr>
                <w:rFonts w:ascii="Calibri" w:eastAsia="Calibri" w:hAnsi="Calibri" w:cs="Arial"/>
                <w:spacing w:val="-2"/>
                <w:sz w:val="18"/>
                <w:szCs w:val="18"/>
                <w:lang w:val="en-US"/>
              </w:rPr>
            </w:pPr>
          </w:p>
        </w:tc>
        <w:tc>
          <w:tcPr>
            <w:tcW w:w="579" w:type="pct"/>
            <w:shd w:val="clear" w:color="auto" w:fill="auto"/>
            <w:vAlign w:val="bottom"/>
          </w:tcPr>
          <w:p w14:paraId="042FEAD4" w14:textId="77777777" w:rsidR="00CE4A9A" w:rsidRPr="00CE4A9A" w:rsidRDefault="00CE4A9A" w:rsidP="00CE4A9A">
            <w:pPr>
              <w:suppressAutoHyphens/>
              <w:spacing w:after="0" w:line="240" w:lineRule="exact"/>
              <w:jc w:val="right"/>
              <w:rPr>
                <w:rFonts w:ascii="Calibri" w:eastAsia="Calibri" w:hAnsi="Calibri" w:cs="Arial"/>
                <w:spacing w:val="-2"/>
                <w:sz w:val="18"/>
                <w:szCs w:val="18"/>
                <w:lang w:val="en-US"/>
              </w:rPr>
            </w:pPr>
          </w:p>
        </w:tc>
        <w:tc>
          <w:tcPr>
            <w:tcW w:w="584" w:type="pct"/>
            <w:shd w:val="clear" w:color="auto" w:fill="auto"/>
            <w:vAlign w:val="bottom"/>
          </w:tcPr>
          <w:p w14:paraId="3D508043" w14:textId="77777777" w:rsidR="00CE4A9A" w:rsidRPr="00CE4A9A" w:rsidRDefault="00CE4A9A" w:rsidP="00CE4A9A">
            <w:pPr>
              <w:suppressAutoHyphens/>
              <w:spacing w:after="0" w:line="240" w:lineRule="exact"/>
              <w:jc w:val="right"/>
              <w:rPr>
                <w:rFonts w:ascii="Calibri" w:eastAsia="Calibri" w:hAnsi="Calibri" w:cs="Arial"/>
                <w:spacing w:val="-2"/>
                <w:sz w:val="18"/>
                <w:szCs w:val="18"/>
                <w:lang w:val="en-US"/>
              </w:rPr>
            </w:pPr>
          </w:p>
        </w:tc>
        <w:tc>
          <w:tcPr>
            <w:tcW w:w="579" w:type="pct"/>
            <w:shd w:val="clear" w:color="auto" w:fill="auto"/>
            <w:vAlign w:val="bottom"/>
          </w:tcPr>
          <w:p w14:paraId="54555B7C" w14:textId="77777777" w:rsidR="00CE4A9A" w:rsidRPr="00CE4A9A" w:rsidRDefault="00CE4A9A" w:rsidP="00CE4A9A">
            <w:pPr>
              <w:suppressAutoHyphens/>
              <w:spacing w:after="0" w:line="240" w:lineRule="exact"/>
              <w:jc w:val="right"/>
              <w:rPr>
                <w:rFonts w:ascii="Calibri" w:eastAsia="Calibri" w:hAnsi="Calibri" w:cs="Arial"/>
                <w:spacing w:val="-2"/>
                <w:sz w:val="18"/>
                <w:szCs w:val="18"/>
                <w:lang w:val="en-US"/>
              </w:rPr>
            </w:pPr>
          </w:p>
        </w:tc>
        <w:tc>
          <w:tcPr>
            <w:tcW w:w="653" w:type="pct"/>
            <w:shd w:val="clear" w:color="auto" w:fill="auto"/>
            <w:vAlign w:val="bottom"/>
          </w:tcPr>
          <w:p w14:paraId="69A39962" w14:textId="77777777" w:rsidR="00CE4A9A" w:rsidRPr="00CE4A9A" w:rsidRDefault="00CE4A9A" w:rsidP="00CE4A9A">
            <w:pPr>
              <w:suppressAutoHyphens/>
              <w:spacing w:after="0" w:line="240" w:lineRule="exact"/>
              <w:jc w:val="right"/>
              <w:rPr>
                <w:rFonts w:ascii="Calibri" w:eastAsia="Calibri" w:hAnsi="Calibri" w:cs="Arial"/>
                <w:spacing w:val="-2"/>
                <w:sz w:val="18"/>
                <w:szCs w:val="18"/>
                <w:lang w:val="en-US"/>
              </w:rPr>
            </w:pPr>
          </w:p>
        </w:tc>
        <w:tc>
          <w:tcPr>
            <w:tcW w:w="577" w:type="pct"/>
            <w:shd w:val="clear" w:color="auto" w:fill="auto"/>
            <w:vAlign w:val="bottom"/>
          </w:tcPr>
          <w:p w14:paraId="44402FAD" w14:textId="77777777" w:rsidR="00CE4A9A" w:rsidRPr="00CE4A9A" w:rsidRDefault="00CE4A9A" w:rsidP="00CE4A9A">
            <w:pPr>
              <w:spacing w:after="0" w:line="240" w:lineRule="exact"/>
              <w:jc w:val="right"/>
              <w:rPr>
                <w:rFonts w:ascii="Calibri" w:eastAsia="Calibri" w:hAnsi="Calibri" w:cs="Arial"/>
                <w:b/>
                <w:sz w:val="18"/>
                <w:szCs w:val="18"/>
                <w:lang w:val="en-US"/>
              </w:rPr>
            </w:pPr>
          </w:p>
        </w:tc>
      </w:tr>
      <w:tr w:rsidR="00CE4A9A" w:rsidRPr="00CE4A9A" w14:paraId="12A9BF5B" w14:textId="77777777" w:rsidTr="00E44437">
        <w:trPr>
          <w:trHeight w:val="254"/>
        </w:trPr>
        <w:tc>
          <w:tcPr>
            <w:tcW w:w="1520" w:type="pct"/>
            <w:vAlign w:val="bottom"/>
          </w:tcPr>
          <w:p w14:paraId="41380373" w14:textId="77777777" w:rsidR="00CE4A9A" w:rsidRPr="00CE4A9A" w:rsidRDefault="00CE4A9A" w:rsidP="00CE4A9A">
            <w:pPr>
              <w:tabs>
                <w:tab w:val="right" w:pos="1202"/>
              </w:tabs>
              <w:spacing w:after="0" w:line="240" w:lineRule="exact"/>
              <w:outlineLvl w:val="0"/>
              <w:rPr>
                <w:rFonts w:ascii="Calibri" w:eastAsia="Times New Roman" w:hAnsi="Calibri" w:cs="Arial"/>
                <w:sz w:val="18"/>
                <w:szCs w:val="18"/>
                <w:lang w:val="en-US"/>
              </w:rPr>
            </w:pPr>
            <w:r w:rsidRPr="00CE4A9A">
              <w:rPr>
                <w:rFonts w:ascii="Calibri" w:eastAsia="Times New Roman" w:hAnsi="Calibri" w:cs="Arial"/>
                <w:sz w:val="18"/>
                <w:szCs w:val="18"/>
                <w:lang w:val="en-US"/>
              </w:rPr>
              <w:t xml:space="preserve">Deposits from customers </w:t>
            </w:r>
          </w:p>
        </w:tc>
        <w:tc>
          <w:tcPr>
            <w:tcW w:w="508" w:type="pct"/>
            <w:tcBorders>
              <w:top w:val="nil"/>
              <w:left w:val="nil"/>
              <w:bottom w:val="nil"/>
              <w:right w:val="nil"/>
            </w:tcBorders>
            <w:vAlign w:val="bottom"/>
          </w:tcPr>
          <w:p w14:paraId="1CE92A85"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106,027 </w:t>
            </w:r>
          </w:p>
        </w:tc>
        <w:tc>
          <w:tcPr>
            <w:tcW w:w="579" w:type="pct"/>
            <w:tcBorders>
              <w:top w:val="nil"/>
              <w:left w:val="nil"/>
              <w:bottom w:val="nil"/>
              <w:right w:val="nil"/>
            </w:tcBorders>
            <w:vAlign w:val="bottom"/>
          </w:tcPr>
          <w:p w14:paraId="3810FEB1"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471,389 </w:t>
            </w:r>
          </w:p>
        </w:tc>
        <w:tc>
          <w:tcPr>
            <w:tcW w:w="584" w:type="pct"/>
            <w:tcBorders>
              <w:top w:val="nil"/>
              <w:left w:val="nil"/>
              <w:bottom w:val="nil"/>
              <w:right w:val="nil"/>
            </w:tcBorders>
            <w:vAlign w:val="bottom"/>
          </w:tcPr>
          <w:p w14:paraId="7F07A5FD"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w:t>
            </w:r>
          </w:p>
        </w:tc>
        <w:tc>
          <w:tcPr>
            <w:tcW w:w="579" w:type="pct"/>
            <w:tcBorders>
              <w:top w:val="nil"/>
              <w:left w:val="nil"/>
              <w:bottom w:val="nil"/>
              <w:right w:val="nil"/>
            </w:tcBorders>
            <w:vAlign w:val="bottom"/>
          </w:tcPr>
          <w:p w14:paraId="6377C502"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577,416 </w:t>
            </w:r>
          </w:p>
        </w:tc>
        <w:tc>
          <w:tcPr>
            <w:tcW w:w="653" w:type="pct"/>
            <w:tcBorders>
              <w:top w:val="nil"/>
              <w:left w:val="nil"/>
              <w:bottom w:val="nil"/>
              <w:right w:val="nil"/>
            </w:tcBorders>
            <w:vAlign w:val="bottom"/>
          </w:tcPr>
          <w:p w14:paraId="04CDBF5D"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383,125 </w:t>
            </w:r>
          </w:p>
        </w:tc>
        <w:tc>
          <w:tcPr>
            <w:tcW w:w="577" w:type="pct"/>
            <w:tcBorders>
              <w:top w:val="nil"/>
              <w:left w:val="nil"/>
              <w:bottom w:val="nil"/>
            </w:tcBorders>
            <w:vAlign w:val="bottom"/>
          </w:tcPr>
          <w:p w14:paraId="6432F9E5"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960,541 </w:t>
            </w:r>
          </w:p>
        </w:tc>
      </w:tr>
      <w:tr w:rsidR="00CE4A9A" w:rsidRPr="00CE4A9A" w14:paraId="2C3660F3" w14:textId="77777777" w:rsidTr="00E44437">
        <w:trPr>
          <w:trHeight w:val="239"/>
        </w:trPr>
        <w:tc>
          <w:tcPr>
            <w:tcW w:w="1520" w:type="pct"/>
            <w:vAlign w:val="bottom"/>
          </w:tcPr>
          <w:p w14:paraId="151EAE86" w14:textId="77777777" w:rsidR="00CE4A9A" w:rsidRPr="00CE4A9A" w:rsidRDefault="00CE4A9A" w:rsidP="00CE4A9A">
            <w:pPr>
              <w:tabs>
                <w:tab w:val="right" w:pos="1202"/>
              </w:tabs>
              <w:spacing w:after="0" w:line="240" w:lineRule="exact"/>
              <w:outlineLvl w:val="0"/>
              <w:rPr>
                <w:rFonts w:ascii="Calibri" w:eastAsia="Times New Roman" w:hAnsi="Calibri" w:cs="Arial"/>
                <w:sz w:val="18"/>
                <w:szCs w:val="18"/>
                <w:lang w:val="en-US"/>
              </w:rPr>
            </w:pPr>
            <w:r w:rsidRPr="00CE4A9A">
              <w:rPr>
                <w:rFonts w:ascii="Calibri" w:eastAsia="Times New Roman" w:hAnsi="Calibri" w:cs="Arial"/>
                <w:sz w:val="18"/>
                <w:szCs w:val="18"/>
                <w:lang w:val="en-US"/>
              </w:rPr>
              <w:t xml:space="preserve">Borrowings </w:t>
            </w:r>
          </w:p>
        </w:tc>
        <w:tc>
          <w:tcPr>
            <w:tcW w:w="508" w:type="pct"/>
            <w:tcBorders>
              <w:top w:val="nil"/>
              <w:left w:val="nil"/>
              <w:bottom w:val="nil"/>
              <w:right w:val="nil"/>
            </w:tcBorders>
            <w:vAlign w:val="bottom"/>
          </w:tcPr>
          <w:p w14:paraId="551A0174"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189,999 </w:t>
            </w:r>
          </w:p>
        </w:tc>
        <w:tc>
          <w:tcPr>
            <w:tcW w:w="579" w:type="pct"/>
            <w:tcBorders>
              <w:top w:val="nil"/>
              <w:left w:val="nil"/>
              <w:bottom w:val="nil"/>
              <w:right w:val="nil"/>
            </w:tcBorders>
            <w:vAlign w:val="bottom"/>
          </w:tcPr>
          <w:p w14:paraId="61B69083"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14,424,638 </w:t>
            </w:r>
          </w:p>
        </w:tc>
        <w:tc>
          <w:tcPr>
            <w:tcW w:w="584" w:type="pct"/>
            <w:tcBorders>
              <w:top w:val="nil"/>
              <w:left w:val="nil"/>
              <w:bottom w:val="nil"/>
              <w:right w:val="nil"/>
            </w:tcBorders>
            <w:vAlign w:val="bottom"/>
          </w:tcPr>
          <w:p w14:paraId="33D2D578"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 </w:t>
            </w:r>
          </w:p>
        </w:tc>
        <w:tc>
          <w:tcPr>
            <w:tcW w:w="579" w:type="pct"/>
            <w:tcBorders>
              <w:top w:val="nil"/>
              <w:left w:val="nil"/>
              <w:bottom w:val="nil"/>
              <w:right w:val="nil"/>
            </w:tcBorders>
            <w:vAlign w:val="bottom"/>
          </w:tcPr>
          <w:p w14:paraId="3A543B4E"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14,614,637 </w:t>
            </w:r>
          </w:p>
        </w:tc>
        <w:tc>
          <w:tcPr>
            <w:tcW w:w="653" w:type="pct"/>
            <w:tcBorders>
              <w:top w:val="nil"/>
              <w:left w:val="nil"/>
              <w:bottom w:val="nil"/>
              <w:right w:val="nil"/>
            </w:tcBorders>
            <w:vAlign w:val="bottom"/>
          </w:tcPr>
          <w:p w14:paraId="4C73E997"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1,500,600 </w:t>
            </w:r>
          </w:p>
        </w:tc>
        <w:tc>
          <w:tcPr>
            <w:tcW w:w="577" w:type="pct"/>
            <w:tcBorders>
              <w:top w:val="nil"/>
              <w:left w:val="nil"/>
              <w:bottom w:val="nil"/>
            </w:tcBorders>
            <w:vAlign w:val="bottom"/>
          </w:tcPr>
          <w:p w14:paraId="15D51FEC"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16,115,237 </w:t>
            </w:r>
          </w:p>
        </w:tc>
      </w:tr>
      <w:tr w:rsidR="00CE4A9A" w:rsidRPr="00CE4A9A" w14:paraId="11B9E405" w14:textId="77777777" w:rsidTr="00E44437">
        <w:trPr>
          <w:trHeight w:val="254"/>
        </w:trPr>
        <w:tc>
          <w:tcPr>
            <w:tcW w:w="1520" w:type="pct"/>
            <w:vAlign w:val="bottom"/>
          </w:tcPr>
          <w:p w14:paraId="3D32174E" w14:textId="77777777" w:rsidR="00CE4A9A" w:rsidRPr="00CE4A9A" w:rsidRDefault="00CE4A9A" w:rsidP="00CE4A9A">
            <w:pPr>
              <w:tabs>
                <w:tab w:val="right" w:pos="1202"/>
              </w:tabs>
              <w:spacing w:after="0" w:line="240" w:lineRule="exact"/>
              <w:outlineLvl w:val="0"/>
              <w:rPr>
                <w:rFonts w:ascii="Calibri" w:eastAsia="Times New Roman" w:hAnsi="Calibri" w:cs="Arial"/>
                <w:sz w:val="18"/>
                <w:szCs w:val="18"/>
                <w:lang w:val="en-US"/>
              </w:rPr>
            </w:pPr>
            <w:r w:rsidRPr="00CE4A9A">
              <w:rPr>
                <w:rFonts w:ascii="Calibri" w:eastAsia="Times New Roman" w:hAnsi="Calibri" w:cs="Arial"/>
                <w:sz w:val="18"/>
                <w:szCs w:val="18"/>
                <w:lang w:val="en-US"/>
              </w:rPr>
              <w:t xml:space="preserve">Provisions for guarantees, </w:t>
            </w:r>
            <w:proofErr w:type="gramStart"/>
            <w:r w:rsidRPr="00CE4A9A">
              <w:rPr>
                <w:rFonts w:ascii="Calibri" w:eastAsia="Times New Roman" w:hAnsi="Calibri" w:cs="Arial"/>
                <w:sz w:val="18"/>
                <w:szCs w:val="18"/>
                <w:lang w:val="en-US"/>
              </w:rPr>
              <w:t>commitments</w:t>
            </w:r>
            <w:proofErr w:type="gramEnd"/>
            <w:r w:rsidRPr="00CE4A9A">
              <w:rPr>
                <w:rFonts w:ascii="Calibri" w:eastAsia="Times New Roman" w:hAnsi="Calibri" w:cs="Arial"/>
                <w:sz w:val="18"/>
                <w:szCs w:val="18"/>
                <w:lang w:val="en-US"/>
              </w:rPr>
              <w:t xml:space="preserve"> and other liabilities</w:t>
            </w:r>
          </w:p>
        </w:tc>
        <w:tc>
          <w:tcPr>
            <w:tcW w:w="508" w:type="pct"/>
            <w:tcBorders>
              <w:top w:val="nil"/>
              <w:left w:val="nil"/>
              <w:bottom w:val="nil"/>
              <w:right w:val="nil"/>
            </w:tcBorders>
            <w:vAlign w:val="bottom"/>
          </w:tcPr>
          <w:p w14:paraId="45B4DAAF" w14:textId="77777777" w:rsidR="00CE4A9A" w:rsidRPr="00CE4A9A" w:rsidRDefault="00CE4A9A" w:rsidP="00CE4A9A">
            <w:pPr>
              <w:spacing w:after="0" w:line="240" w:lineRule="exact"/>
              <w:jc w:val="right"/>
              <w:rPr>
                <w:rFonts w:ascii="Calibri" w:eastAsia="Times New Roman" w:hAnsi="Calibri" w:cs="Times New Roman"/>
                <w:sz w:val="18"/>
                <w:szCs w:val="18"/>
                <w:lang w:val="en-US"/>
              </w:rPr>
            </w:pPr>
            <w:r w:rsidRPr="00CE4A9A">
              <w:rPr>
                <w:rFonts w:ascii="Calibri" w:eastAsia="Arial Unicode MS" w:hAnsi="Calibri" w:cs="Times New Roman"/>
                <w:color w:val="000000"/>
                <w:sz w:val="18"/>
                <w:szCs w:val="18"/>
              </w:rPr>
              <w:t xml:space="preserve"> 23,613 </w:t>
            </w:r>
          </w:p>
        </w:tc>
        <w:tc>
          <w:tcPr>
            <w:tcW w:w="579" w:type="pct"/>
            <w:tcBorders>
              <w:top w:val="nil"/>
              <w:left w:val="nil"/>
              <w:bottom w:val="nil"/>
              <w:right w:val="nil"/>
            </w:tcBorders>
            <w:vAlign w:val="bottom"/>
          </w:tcPr>
          <w:p w14:paraId="46365320" w14:textId="77777777" w:rsidR="00CE4A9A" w:rsidRPr="00CE4A9A" w:rsidRDefault="00CE4A9A" w:rsidP="00CE4A9A">
            <w:pPr>
              <w:spacing w:after="0" w:line="240" w:lineRule="exact"/>
              <w:jc w:val="right"/>
              <w:rPr>
                <w:rFonts w:ascii="Calibri" w:eastAsia="Times New Roman" w:hAnsi="Calibri" w:cs="Times New Roman"/>
                <w:sz w:val="18"/>
                <w:szCs w:val="18"/>
                <w:lang w:val="en-US"/>
              </w:rPr>
            </w:pPr>
            <w:r w:rsidRPr="00CE4A9A">
              <w:rPr>
                <w:rFonts w:ascii="Calibri" w:eastAsia="Arial Unicode MS" w:hAnsi="Calibri" w:cs="Times New Roman"/>
                <w:color w:val="000000"/>
                <w:sz w:val="18"/>
                <w:szCs w:val="18"/>
              </w:rPr>
              <w:t xml:space="preserve">25,674 </w:t>
            </w:r>
          </w:p>
        </w:tc>
        <w:tc>
          <w:tcPr>
            <w:tcW w:w="584" w:type="pct"/>
            <w:tcBorders>
              <w:top w:val="nil"/>
              <w:left w:val="nil"/>
              <w:bottom w:val="nil"/>
              <w:right w:val="nil"/>
            </w:tcBorders>
            <w:vAlign w:val="bottom"/>
          </w:tcPr>
          <w:p w14:paraId="2D1FCD84" w14:textId="77777777" w:rsidR="00CE4A9A" w:rsidRPr="00CE4A9A" w:rsidRDefault="00CE4A9A" w:rsidP="00CE4A9A">
            <w:pPr>
              <w:spacing w:after="0" w:line="240" w:lineRule="exact"/>
              <w:jc w:val="right"/>
              <w:rPr>
                <w:rFonts w:ascii="Calibri" w:eastAsia="Times New Roman" w:hAnsi="Calibri" w:cs="Times New Roman"/>
                <w:sz w:val="18"/>
                <w:szCs w:val="18"/>
                <w:lang w:val="en-US"/>
              </w:rPr>
            </w:pPr>
            <w:r w:rsidRPr="00CE4A9A">
              <w:rPr>
                <w:rFonts w:ascii="Calibri" w:eastAsia="Arial Unicode MS" w:hAnsi="Calibri" w:cs="Times New Roman"/>
                <w:color w:val="000000"/>
                <w:sz w:val="18"/>
                <w:szCs w:val="18"/>
              </w:rPr>
              <w:t xml:space="preserve">15,098 </w:t>
            </w:r>
          </w:p>
        </w:tc>
        <w:tc>
          <w:tcPr>
            <w:tcW w:w="579" w:type="pct"/>
            <w:tcBorders>
              <w:top w:val="nil"/>
              <w:left w:val="nil"/>
              <w:bottom w:val="nil"/>
              <w:right w:val="nil"/>
            </w:tcBorders>
            <w:vAlign w:val="bottom"/>
          </w:tcPr>
          <w:p w14:paraId="381C0118" w14:textId="77777777" w:rsidR="00CE4A9A" w:rsidRPr="00CE4A9A" w:rsidRDefault="00CE4A9A" w:rsidP="00CE4A9A">
            <w:pPr>
              <w:spacing w:after="0" w:line="240" w:lineRule="exact"/>
              <w:jc w:val="right"/>
              <w:rPr>
                <w:rFonts w:ascii="Calibri" w:eastAsia="Times New Roman" w:hAnsi="Calibri" w:cs="Times New Roman"/>
                <w:sz w:val="18"/>
                <w:szCs w:val="18"/>
                <w:lang w:val="en-US"/>
              </w:rPr>
            </w:pPr>
            <w:r w:rsidRPr="00CE4A9A">
              <w:rPr>
                <w:rFonts w:ascii="Calibri" w:eastAsia="Arial Unicode MS" w:hAnsi="Calibri" w:cs="Times New Roman"/>
                <w:color w:val="000000"/>
                <w:sz w:val="18"/>
                <w:szCs w:val="18"/>
              </w:rPr>
              <w:t xml:space="preserve"> 64,385 </w:t>
            </w:r>
          </w:p>
        </w:tc>
        <w:tc>
          <w:tcPr>
            <w:tcW w:w="653" w:type="pct"/>
            <w:tcBorders>
              <w:top w:val="nil"/>
              <w:left w:val="nil"/>
              <w:bottom w:val="nil"/>
              <w:right w:val="nil"/>
            </w:tcBorders>
            <w:vAlign w:val="bottom"/>
          </w:tcPr>
          <w:p w14:paraId="2562BBC7" w14:textId="77777777" w:rsidR="00CE4A9A" w:rsidRPr="00CE4A9A" w:rsidRDefault="00CE4A9A" w:rsidP="00CE4A9A">
            <w:pPr>
              <w:spacing w:after="0" w:line="240" w:lineRule="exact"/>
              <w:jc w:val="right"/>
              <w:rPr>
                <w:rFonts w:ascii="Calibri" w:eastAsia="Times New Roman" w:hAnsi="Calibri" w:cs="Times New Roman"/>
                <w:sz w:val="18"/>
                <w:szCs w:val="18"/>
                <w:lang w:val="en-US"/>
              </w:rPr>
            </w:pPr>
            <w:r w:rsidRPr="00CE4A9A">
              <w:rPr>
                <w:rFonts w:ascii="Calibri" w:eastAsia="Arial Unicode MS" w:hAnsi="Calibri" w:cs="Times New Roman"/>
                <w:color w:val="000000"/>
                <w:sz w:val="18"/>
                <w:szCs w:val="18"/>
              </w:rPr>
              <w:t xml:space="preserve"> 126,175 </w:t>
            </w:r>
          </w:p>
        </w:tc>
        <w:tc>
          <w:tcPr>
            <w:tcW w:w="577" w:type="pct"/>
            <w:tcBorders>
              <w:top w:val="nil"/>
              <w:left w:val="nil"/>
              <w:bottom w:val="nil"/>
            </w:tcBorders>
            <w:vAlign w:val="bottom"/>
          </w:tcPr>
          <w:p w14:paraId="57CA94C3" w14:textId="77777777" w:rsidR="00CE4A9A" w:rsidRPr="00CE4A9A" w:rsidRDefault="00CE4A9A" w:rsidP="00CE4A9A">
            <w:pPr>
              <w:spacing w:after="0" w:line="240" w:lineRule="exact"/>
              <w:jc w:val="right"/>
              <w:rPr>
                <w:rFonts w:ascii="Calibri" w:eastAsia="Times New Roman" w:hAnsi="Calibri" w:cs="Times New Roman"/>
                <w:sz w:val="18"/>
                <w:szCs w:val="18"/>
                <w:lang w:val="en-US"/>
              </w:rPr>
            </w:pPr>
            <w:r w:rsidRPr="00CE4A9A">
              <w:rPr>
                <w:rFonts w:ascii="Calibri" w:eastAsia="Arial Unicode MS" w:hAnsi="Calibri" w:cs="Times New Roman"/>
                <w:color w:val="000000"/>
                <w:sz w:val="18"/>
                <w:szCs w:val="18"/>
              </w:rPr>
              <w:t xml:space="preserve"> 190,560 </w:t>
            </w:r>
          </w:p>
        </w:tc>
      </w:tr>
      <w:tr w:rsidR="00CE4A9A" w:rsidRPr="00CE4A9A" w14:paraId="06235FDF" w14:textId="77777777" w:rsidTr="00E44437">
        <w:trPr>
          <w:trHeight w:val="150"/>
        </w:trPr>
        <w:tc>
          <w:tcPr>
            <w:tcW w:w="1520" w:type="pct"/>
            <w:vAlign w:val="bottom"/>
          </w:tcPr>
          <w:p w14:paraId="236D4BDD" w14:textId="77777777" w:rsidR="00CE4A9A" w:rsidRPr="00CE4A9A" w:rsidRDefault="00CE4A9A" w:rsidP="00CE4A9A">
            <w:pPr>
              <w:tabs>
                <w:tab w:val="right" w:pos="1202"/>
              </w:tabs>
              <w:spacing w:after="0" w:line="240" w:lineRule="exact"/>
              <w:outlineLvl w:val="0"/>
              <w:rPr>
                <w:rFonts w:ascii="Calibri" w:eastAsia="Times New Roman" w:hAnsi="Calibri" w:cs="Arial"/>
                <w:sz w:val="18"/>
                <w:szCs w:val="18"/>
                <w:lang w:val="en-US"/>
              </w:rPr>
            </w:pPr>
            <w:r w:rsidRPr="00CE4A9A">
              <w:rPr>
                <w:rFonts w:ascii="Calibri" w:eastAsia="Times New Roman" w:hAnsi="Calibri" w:cs="Arial"/>
                <w:sz w:val="18"/>
                <w:szCs w:val="18"/>
                <w:lang w:val="en-US"/>
              </w:rPr>
              <w:t xml:space="preserve">Other liabilities </w:t>
            </w:r>
          </w:p>
        </w:tc>
        <w:tc>
          <w:tcPr>
            <w:tcW w:w="508" w:type="pct"/>
            <w:tcBorders>
              <w:top w:val="nil"/>
              <w:left w:val="nil"/>
              <w:bottom w:val="single" w:sz="4" w:space="0" w:color="auto"/>
              <w:right w:val="nil"/>
            </w:tcBorders>
            <w:vAlign w:val="bottom"/>
          </w:tcPr>
          <w:p w14:paraId="33043208"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125 </w:t>
            </w:r>
          </w:p>
        </w:tc>
        <w:tc>
          <w:tcPr>
            <w:tcW w:w="579" w:type="pct"/>
            <w:tcBorders>
              <w:top w:val="nil"/>
              <w:left w:val="nil"/>
              <w:bottom w:val="single" w:sz="4" w:space="0" w:color="auto"/>
              <w:right w:val="nil"/>
            </w:tcBorders>
            <w:vAlign w:val="bottom"/>
          </w:tcPr>
          <w:p w14:paraId="43002117"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12,493 </w:t>
            </w:r>
          </w:p>
        </w:tc>
        <w:tc>
          <w:tcPr>
            <w:tcW w:w="584" w:type="pct"/>
            <w:tcBorders>
              <w:top w:val="nil"/>
              <w:left w:val="nil"/>
              <w:bottom w:val="single" w:sz="4" w:space="0" w:color="auto"/>
              <w:right w:val="nil"/>
            </w:tcBorders>
            <w:vAlign w:val="bottom"/>
          </w:tcPr>
          <w:p w14:paraId="7702546E"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55 </w:t>
            </w:r>
          </w:p>
        </w:tc>
        <w:tc>
          <w:tcPr>
            <w:tcW w:w="579" w:type="pct"/>
            <w:tcBorders>
              <w:top w:val="nil"/>
              <w:left w:val="nil"/>
              <w:bottom w:val="single" w:sz="4" w:space="0" w:color="auto"/>
              <w:right w:val="nil"/>
            </w:tcBorders>
            <w:vAlign w:val="bottom"/>
          </w:tcPr>
          <w:p w14:paraId="2F6E0170"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12,673 </w:t>
            </w:r>
          </w:p>
        </w:tc>
        <w:tc>
          <w:tcPr>
            <w:tcW w:w="653" w:type="pct"/>
            <w:tcBorders>
              <w:top w:val="nil"/>
              <w:left w:val="nil"/>
              <w:bottom w:val="single" w:sz="4" w:space="0" w:color="auto"/>
              <w:right w:val="nil"/>
            </w:tcBorders>
            <w:vAlign w:val="bottom"/>
          </w:tcPr>
          <w:p w14:paraId="2A39FABC"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422,566 </w:t>
            </w:r>
          </w:p>
        </w:tc>
        <w:tc>
          <w:tcPr>
            <w:tcW w:w="577" w:type="pct"/>
            <w:tcBorders>
              <w:top w:val="nil"/>
              <w:left w:val="nil"/>
              <w:bottom w:val="single" w:sz="4" w:space="0" w:color="auto"/>
            </w:tcBorders>
            <w:vAlign w:val="bottom"/>
          </w:tcPr>
          <w:p w14:paraId="0D54B7FF" w14:textId="77777777" w:rsidR="00CE4A9A" w:rsidRPr="00CE4A9A" w:rsidRDefault="00CE4A9A" w:rsidP="00CE4A9A">
            <w:pPr>
              <w:spacing w:after="0" w:line="240" w:lineRule="exact"/>
              <w:jc w:val="right"/>
              <w:rPr>
                <w:rFonts w:ascii="Calibri" w:eastAsia="Arial Unicode MS" w:hAnsi="Calibri" w:cs="Arial"/>
                <w:sz w:val="18"/>
                <w:szCs w:val="18"/>
                <w:lang w:val="en-US"/>
              </w:rPr>
            </w:pPr>
            <w:r w:rsidRPr="00CE4A9A">
              <w:rPr>
                <w:rFonts w:ascii="Calibri" w:eastAsia="Arial Unicode MS" w:hAnsi="Calibri" w:cs="Times New Roman"/>
                <w:color w:val="000000"/>
                <w:sz w:val="18"/>
                <w:szCs w:val="18"/>
              </w:rPr>
              <w:t xml:space="preserve"> 435,239 </w:t>
            </w:r>
          </w:p>
        </w:tc>
      </w:tr>
      <w:tr w:rsidR="00CE4A9A" w:rsidRPr="00CE4A9A" w14:paraId="284BFDD1" w14:textId="77777777" w:rsidTr="00E44437">
        <w:trPr>
          <w:trHeight w:val="333"/>
        </w:trPr>
        <w:tc>
          <w:tcPr>
            <w:tcW w:w="1520" w:type="pct"/>
            <w:vAlign w:val="bottom"/>
          </w:tcPr>
          <w:p w14:paraId="1621A443" w14:textId="77777777" w:rsidR="00CE4A9A" w:rsidRPr="00CE4A9A" w:rsidRDefault="00CE4A9A" w:rsidP="00CE4A9A">
            <w:pPr>
              <w:tabs>
                <w:tab w:val="right" w:pos="1202"/>
              </w:tabs>
              <w:spacing w:after="0" w:line="240" w:lineRule="exact"/>
              <w:outlineLvl w:val="0"/>
              <w:rPr>
                <w:rFonts w:ascii="Calibri" w:eastAsia="Times New Roman" w:hAnsi="Calibri" w:cs="Arial"/>
                <w:b/>
                <w:bCs/>
                <w:sz w:val="18"/>
                <w:szCs w:val="18"/>
                <w:lang w:val="en-US"/>
              </w:rPr>
            </w:pPr>
            <w:r w:rsidRPr="00CE4A9A">
              <w:rPr>
                <w:rFonts w:ascii="Calibri" w:eastAsia="Times New Roman" w:hAnsi="Calibri" w:cs="Arial"/>
                <w:b/>
                <w:bCs/>
                <w:sz w:val="18"/>
                <w:szCs w:val="18"/>
                <w:lang w:val="en-US"/>
              </w:rPr>
              <w:t xml:space="preserve">Total liabilities </w:t>
            </w:r>
          </w:p>
        </w:tc>
        <w:tc>
          <w:tcPr>
            <w:tcW w:w="508" w:type="pct"/>
            <w:tcBorders>
              <w:top w:val="single" w:sz="4" w:space="0" w:color="auto"/>
              <w:left w:val="nil"/>
              <w:bottom w:val="single" w:sz="12" w:space="0" w:color="auto"/>
              <w:right w:val="nil"/>
            </w:tcBorders>
            <w:vAlign w:val="bottom"/>
          </w:tcPr>
          <w:p w14:paraId="23A7654D" w14:textId="77777777" w:rsidR="00CE4A9A" w:rsidRPr="00CE4A9A" w:rsidRDefault="00CE4A9A" w:rsidP="00CE4A9A">
            <w:pPr>
              <w:spacing w:after="0" w:line="240" w:lineRule="exact"/>
              <w:jc w:val="right"/>
              <w:rPr>
                <w:rFonts w:ascii="Calibri" w:eastAsia="Arial Unicode MS" w:hAnsi="Calibri" w:cs="Arial"/>
                <w:b/>
                <w:bCs/>
                <w:sz w:val="18"/>
                <w:szCs w:val="18"/>
                <w:lang w:val="en-US"/>
              </w:rPr>
            </w:pPr>
            <w:r w:rsidRPr="00CE4A9A">
              <w:rPr>
                <w:rFonts w:ascii="Calibri" w:eastAsia="Arial Unicode MS" w:hAnsi="Calibri" w:cs="Times New Roman"/>
                <w:b/>
                <w:bCs/>
                <w:color w:val="000000"/>
                <w:sz w:val="18"/>
                <w:szCs w:val="18"/>
              </w:rPr>
              <w:t xml:space="preserve">319,764 </w:t>
            </w:r>
          </w:p>
        </w:tc>
        <w:tc>
          <w:tcPr>
            <w:tcW w:w="579" w:type="pct"/>
            <w:tcBorders>
              <w:top w:val="single" w:sz="4" w:space="0" w:color="auto"/>
              <w:left w:val="nil"/>
              <w:bottom w:val="single" w:sz="12" w:space="0" w:color="auto"/>
              <w:right w:val="nil"/>
            </w:tcBorders>
            <w:vAlign w:val="bottom"/>
          </w:tcPr>
          <w:p w14:paraId="67E5EEF9" w14:textId="77777777" w:rsidR="00CE4A9A" w:rsidRPr="00CE4A9A" w:rsidRDefault="00CE4A9A" w:rsidP="00CE4A9A">
            <w:pPr>
              <w:spacing w:after="0" w:line="240" w:lineRule="exact"/>
              <w:rPr>
                <w:rFonts w:ascii="Calibri" w:eastAsia="Arial Unicode MS" w:hAnsi="Calibri" w:cs="Arial"/>
                <w:b/>
                <w:bCs/>
                <w:sz w:val="18"/>
                <w:szCs w:val="18"/>
                <w:lang w:val="en-US"/>
              </w:rPr>
            </w:pPr>
            <w:r w:rsidRPr="00CE4A9A">
              <w:rPr>
                <w:rFonts w:ascii="Calibri" w:eastAsia="Arial Unicode MS" w:hAnsi="Calibri" w:cs="Times New Roman"/>
                <w:b/>
                <w:bCs/>
                <w:color w:val="000000"/>
                <w:sz w:val="18"/>
                <w:szCs w:val="18"/>
              </w:rPr>
              <w:t xml:space="preserve">14,934,194 </w:t>
            </w:r>
          </w:p>
        </w:tc>
        <w:tc>
          <w:tcPr>
            <w:tcW w:w="584" w:type="pct"/>
            <w:tcBorders>
              <w:top w:val="single" w:sz="4" w:space="0" w:color="auto"/>
              <w:left w:val="nil"/>
              <w:bottom w:val="single" w:sz="12" w:space="0" w:color="auto"/>
              <w:right w:val="nil"/>
            </w:tcBorders>
            <w:vAlign w:val="bottom"/>
          </w:tcPr>
          <w:p w14:paraId="7B0DA28A" w14:textId="77777777" w:rsidR="00CE4A9A" w:rsidRPr="00CE4A9A" w:rsidRDefault="00CE4A9A" w:rsidP="00CE4A9A">
            <w:pPr>
              <w:spacing w:after="0" w:line="240" w:lineRule="exact"/>
              <w:jc w:val="right"/>
              <w:rPr>
                <w:rFonts w:ascii="Calibri" w:eastAsia="Arial Unicode MS" w:hAnsi="Calibri" w:cs="Arial"/>
                <w:b/>
                <w:bCs/>
                <w:sz w:val="18"/>
                <w:szCs w:val="18"/>
                <w:lang w:val="en-US"/>
              </w:rPr>
            </w:pPr>
            <w:r w:rsidRPr="00CE4A9A">
              <w:rPr>
                <w:rFonts w:ascii="Calibri" w:eastAsia="Arial Unicode MS" w:hAnsi="Calibri" w:cs="Times New Roman"/>
                <w:b/>
                <w:bCs/>
                <w:color w:val="000000"/>
                <w:sz w:val="18"/>
                <w:szCs w:val="18"/>
              </w:rPr>
              <w:t xml:space="preserve">15,153 </w:t>
            </w:r>
          </w:p>
        </w:tc>
        <w:tc>
          <w:tcPr>
            <w:tcW w:w="579" w:type="pct"/>
            <w:tcBorders>
              <w:top w:val="single" w:sz="4" w:space="0" w:color="auto"/>
              <w:left w:val="nil"/>
              <w:bottom w:val="single" w:sz="12" w:space="0" w:color="auto"/>
              <w:right w:val="nil"/>
            </w:tcBorders>
            <w:vAlign w:val="bottom"/>
          </w:tcPr>
          <w:p w14:paraId="55219167" w14:textId="77777777" w:rsidR="00CE4A9A" w:rsidRPr="00CE4A9A" w:rsidRDefault="00CE4A9A" w:rsidP="00CE4A9A">
            <w:pPr>
              <w:spacing w:after="0" w:line="240" w:lineRule="exact"/>
              <w:jc w:val="right"/>
              <w:rPr>
                <w:rFonts w:ascii="Calibri" w:eastAsia="Arial Unicode MS" w:hAnsi="Calibri" w:cs="Arial"/>
                <w:b/>
                <w:bCs/>
                <w:sz w:val="18"/>
                <w:szCs w:val="18"/>
                <w:lang w:val="en-US"/>
              </w:rPr>
            </w:pPr>
            <w:r w:rsidRPr="00CE4A9A">
              <w:rPr>
                <w:rFonts w:ascii="Calibri" w:eastAsia="Arial Unicode MS" w:hAnsi="Calibri" w:cs="Times New Roman"/>
                <w:b/>
                <w:bCs/>
                <w:color w:val="000000"/>
                <w:sz w:val="18"/>
                <w:szCs w:val="18"/>
              </w:rPr>
              <w:t xml:space="preserve">15,269,111 </w:t>
            </w:r>
          </w:p>
        </w:tc>
        <w:tc>
          <w:tcPr>
            <w:tcW w:w="653" w:type="pct"/>
            <w:tcBorders>
              <w:top w:val="single" w:sz="4" w:space="0" w:color="auto"/>
              <w:left w:val="nil"/>
              <w:bottom w:val="single" w:sz="12" w:space="0" w:color="auto"/>
              <w:right w:val="nil"/>
            </w:tcBorders>
            <w:vAlign w:val="bottom"/>
          </w:tcPr>
          <w:p w14:paraId="03D3ED45" w14:textId="77777777" w:rsidR="00CE4A9A" w:rsidRPr="00CE4A9A" w:rsidRDefault="00CE4A9A" w:rsidP="00CE4A9A">
            <w:pPr>
              <w:spacing w:after="0" w:line="240" w:lineRule="exact"/>
              <w:jc w:val="right"/>
              <w:rPr>
                <w:rFonts w:ascii="Calibri" w:eastAsia="Arial Unicode MS" w:hAnsi="Calibri" w:cs="Arial"/>
                <w:b/>
                <w:bCs/>
                <w:sz w:val="18"/>
                <w:szCs w:val="18"/>
                <w:lang w:val="en-US"/>
              </w:rPr>
            </w:pPr>
            <w:r w:rsidRPr="00CE4A9A">
              <w:rPr>
                <w:rFonts w:ascii="Calibri" w:eastAsia="Arial Unicode MS" w:hAnsi="Calibri" w:cs="Times New Roman"/>
                <w:b/>
                <w:bCs/>
                <w:color w:val="000000"/>
                <w:sz w:val="18"/>
                <w:szCs w:val="18"/>
              </w:rPr>
              <w:t xml:space="preserve"> 2,432,466 </w:t>
            </w:r>
          </w:p>
        </w:tc>
        <w:tc>
          <w:tcPr>
            <w:tcW w:w="577" w:type="pct"/>
            <w:tcBorders>
              <w:top w:val="single" w:sz="4" w:space="0" w:color="auto"/>
              <w:left w:val="nil"/>
              <w:bottom w:val="single" w:sz="12" w:space="0" w:color="auto"/>
            </w:tcBorders>
            <w:vAlign w:val="bottom"/>
          </w:tcPr>
          <w:p w14:paraId="7442232A" w14:textId="77777777" w:rsidR="00CE4A9A" w:rsidRPr="00CE4A9A" w:rsidRDefault="00CE4A9A" w:rsidP="00CE4A9A">
            <w:pPr>
              <w:spacing w:after="0" w:line="240" w:lineRule="exact"/>
              <w:rPr>
                <w:rFonts w:ascii="Calibri" w:eastAsia="Arial Unicode MS" w:hAnsi="Calibri" w:cs="Arial"/>
                <w:b/>
                <w:bCs/>
                <w:sz w:val="18"/>
                <w:szCs w:val="18"/>
                <w:lang w:val="en-US"/>
              </w:rPr>
            </w:pPr>
            <w:r w:rsidRPr="00CE4A9A">
              <w:rPr>
                <w:rFonts w:ascii="Calibri" w:eastAsia="Arial Unicode MS" w:hAnsi="Calibri" w:cs="Times New Roman"/>
                <w:b/>
                <w:bCs/>
                <w:color w:val="000000"/>
                <w:sz w:val="18"/>
                <w:szCs w:val="18"/>
              </w:rPr>
              <w:t xml:space="preserve">17,701,577 </w:t>
            </w:r>
          </w:p>
        </w:tc>
      </w:tr>
      <w:tr w:rsidR="00CE4A9A" w:rsidRPr="00CE4A9A" w14:paraId="7181E617" w14:textId="77777777" w:rsidTr="00E44437">
        <w:trPr>
          <w:trHeight w:val="381"/>
        </w:trPr>
        <w:tc>
          <w:tcPr>
            <w:tcW w:w="1520" w:type="pct"/>
            <w:vAlign w:val="bottom"/>
          </w:tcPr>
          <w:p w14:paraId="065502A3" w14:textId="77777777" w:rsidR="00CE4A9A" w:rsidRPr="00CE4A9A" w:rsidRDefault="00CE4A9A" w:rsidP="00CE4A9A">
            <w:pPr>
              <w:spacing w:after="0" w:line="240" w:lineRule="exact"/>
              <w:rPr>
                <w:rFonts w:ascii="Calibri" w:eastAsia="Calibri" w:hAnsi="Calibri" w:cs="Arial"/>
                <w:b/>
                <w:bCs/>
                <w:sz w:val="18"/>
                <w:szCs w:val="18"/>
                <w:lang w:val="en-US"/>
              </w:rPr>
            </w:pPr>
            <w:r w:rsidRPr="00CE4A9A">
              <w:rPr>
                <w:rFonts w:ascii="Calibri" w:eastAsia="Calibri" w:hAnsi="Calibri" w:cs="Arial"/>
                <w:b/>
                <w:bCs/>
                <w:sz w:val="18"/>
                <w:szCs w:val="18"/>
                <w:lang w:val="en-US"/>
              </w:rPr>
              <w:t>Currency gap</w:t>
            </w:r>
          </w:p>
        </w:tc>
        <w:tc>
          <w:tcPr>
            <w:tcW w:w="508" w:type="pct"/>
            <w:tcBorders>
              <w:top w:val="single" w:sz="12" w:space="0" w:color="auto"/>
              <w:left w:val="nil"/>
              <w:bottom w:val="single" w:sz="12" w:space="0" w:color="auto"/>
              <w:right w:val="nil"/>
            </w:tcBorders>
            <w:shd w:val="clear" w:color="000000" w:fill="auto"/>
            <w:vAlign w:val="bottom"/>
          </w:tcPr>
          <w:p w14:paraId="0652D42D" w14:textId="77777777" w:rsidR="00CE4A9A" w:rsidRPr="00CE4A9A" w:rsidRDefault="00CE4A9A" w:rsidP="00CE4A9A">
            <w:pPr>
              <w:spacing w:after="0" w:line="240" w:lineRule="exact"/>
              <w:jc w:val="right"/>
              <w:rPr>
                <w:rFonts w:ascii="Calibri" w:eastAsia="Arial Unicode MS" w:hAnsi="Calibri" w:cs="Arial"/>
                <w:b/>
                <w:bCs/>
                <w:sz w:val="18"/>
                <w:szCs w:val="18"/>
                <w:lang w:val="en-US"/>
              </w:rPr>
            </w:pPr>
            <w:r w:rsidRPr="00CE4A9A">
              <w:rPr>
                <w:rFonts w:ascii="Calibri" w:eastAsia="Arial Unicode MS" w:hAnsi="Calibri" w:cs="Times New Roman"/>
                <w:b/>
                <w:bCs/>
                <w:color w:val="000000"/>
                <w:sz w:val="18"/>
                <w:szCs w:val="18"/>
              </w:rPr>
              <w:t xml:space="preserve"> (22,685) </w:t>
            </w:r>
          </w:p>
        </w:tc>
        <w:tc>
          <w:tcPr>
            <w:tcW w:w="579" w:type="pct"/>
            <w:tcBorders>
              <w:top w:val="single" w:sz="12" w:space="0" w:color="auto"/>
              <w:left w:val="nil"/>
              <w:bottom w:val="single" w:sz="12" w:space="0" w:color="auto"/>
              <w:right w:val="nil"/>
            </w:tcBorders>
            <w:shd w:val="clear" w:color="000000" w:fill="auto"/>
            <w:vAlign w:val="bottom"/>
          </w:tcPr>
          <w:p w14:paraId="32A2753A" w14:textId="77777777" w:rsidR="00CE4A9A" w:rsidRPr="00CE4A9A" w:rsidRDefault="00CE4A9A" w:rsidP="00CE4A9A">
            <w:pPr>
              <w:spacing w:after="0" w:line="240" w:lineRule="exact"/>
              <w:jc w:val="right"/>
              <w:rPr>
                <w:rFonts w:ascii="Calibri" w:eastAsia="Arial Unicode MS" w:hAnsi="Calibri" w:cs="Arial"/>
                <w:b/>
                <w:bCs/>
                <w:sz w:val="18"/>
                <w:szCs w:val="18"/>
                <w:lang w:val="en-US"/>
              </w:rPr>
            </w:pPr>
            <w:r w:rsidRPr="00CE4A9A">
              <w:rPr>
                <w:rFonts w:ascii="Calibri" w:eastAsia="Arial Unicode MS" w:hAnsi="Calibri" w:cs="Times New Roman"/>
                <w:b/>
                <w:bCs/>
                <w:color w:val="000000"/>
                <w:sz w:val="18"/>
                <w:szCs w:val="18"/>
              </w:rPr>
              <w:t xml:space="preserve"> (890,393)</w:t>
            </w:r>
          </w:p>
        </w:tc>
        <w:tc>
          <w:tcPr>
            <w:tcW w:w="584" w:type="pct"/>
            <w:tcBorders>
              <w:top w:val="single" w:sz="12" w:space="0" w:color="auto"/>
              <w:left w:val="nil"/>
              <w:bottom w:val="single" w:sz="12" w:space="0" w:color="auto"/>
              <w:right w:val="nil"/>
            </w:tcBorders>
            <w:shd w:val="clear" w:color="000000" w:fill="auto"/>
            <w:vAlign w:val="bottom"/>
          </w:tcPr>
          <w:p w14:paraId="1D77F25C" w14:textId="77777777" w:rsidR="00CE4A9A" w:rsidRPr="00CE4A9A" w:rsidRDefault="00CE4A9A" w:rsidP="00CE4A9A">
            <w:pPr>
              <w:spacing w:after="0" w:line="240" w:lineRule="exact"/>
              <w:jc w:val="right"/>
              <w:rPr>
                <w:rFonts w:ascii="Calibri" w:eastAsia="Arial Unicode MS" w:hAnsi="Calibri" w:cs="Arial"/>
                <w:b/>
                <w:bCs/>
                <w:sz w:val="18"/>
                <w:szCs w:val="18"/>
                <w:lang w:val="en-US"/>
              </w:rPr>
            </w:pPr>
            <w:r w:rsidRPr="00CE4A9A">
              <w:rPr>
                <w:rFonts w:ascii="Calibri" w:eastAsia="Arial Unicode MS" w:hAnsi="Calibri" w:cs="Times New Roman"/>
                <w:b/>
                <w:bCs/>
                <w:color w:val="000000"/>
                <w:sz w:val="18"/>
                <w:szCs w:val="18"/>
              </w:rPr>
              <w:t xml:space="preserve"> (15,153)</w:t>
            </w:r>
          </w:p>
        </w:tc>
        <w:tc>
          <w:tcPr>
            <w:tcW w:w="579" w:type="pct"/>
            <w:tcBorders>
              <w:top w:val="single" w:sz="12" w:space="0" w:color="auto"/>
              <w:left w:val="nil"/>
              <w:bottom w:val="single" w:sz="12" w:space="0" w:color="auto"/>
              <w:right w:val="nil"/>
            </w:tcBorders>
            <w:shd w:val="clear" w:color="000000" w:fill="auto"/>
            <w:vAlign w:val="bottom"/>
          </w:tcPr>
          <w:p w14:paraId="1D99876B" w14:textId="77777777" w:rsidR="00CE4A9A" w:rsidRPr="00CE4A9A" w:rsidRDefault="00CE4A9A" w:rsidP="00CE4A9A">
            <w:pPr>
              <w:spacing w:after="0" w:line="240" w:lineRule="exact"/>
              <w:jc w:val="right"/>
              <w:rPr>
                <w:rFonts w:ascii="Calibri" w:eastAsia="Arial Unicode MS" w:hAnsi="Calibri" w:cs="Arial"/>
                <w:b/>
                <w:bCs/>
                <w:sz w:val="18"/>
                <w:szCs w:val="18"/>
                <w:lang w:val="en-US"/>
              </w:rPr>
            </w:pPr>
            <w:r w:rsidRPr="00CE4A9A">
              <w:rPr>
                <w:rFonts w:ascii="Calibri" w:eastAsia="Arial Unicode MS" w:hAnsi="Calibri" w:cs="Times New Roman"/>
                <w:b/>
                <w:bCs/>
                <w:color w:val="000000"/>
                <w:sz w:val="18"/>
                <w:szCs w:val="18"/>
              </w:rPr>
              <w:t xml:space="preserve"> (928,231)</w:t>
            </w:r>
          </w:p>
        </w:tc>
        <w:tc>
          <w:tcPr>
            <w:tcW w:w="653" w:type="pct"/>
            <w:tcBorders>
              <w:top w:val="single" w:sz="12" w:space="0" w:color="auto"/>
              <w:left w:val="nil"/>
              <w:bottom w:val="single" w:sz="12" w:space="0" w:color="auto"/>
              <w:right w:val="nil"/>
            </w:tcBorders>
            <w:shd w:val="clear" w:color="000000" w:fill="auto"/>
            <w:vAlign w:val="bottom"/>
          </w:tcPr>
          <w:p w14:paraId="25ECDF1A" w14:textId="77777777" w:rsidR="00CE4A9A" w:rsidRPr="00CE4A9A" w:rsidRDefault="00CE4A9A" w:rsidP="00CE4A9A">
            <w:pPr>
              <w:spacing w:after="0" w:line="240" w:lineRule="exact"/>
              <w:jc w:val="right"/>
              <w:rPr>
                <w:rFonts w:ascii="Calibri" w:eastAsia="Arial Unicode MS" w:hAnsi="Calibri" w:cs="Arial"/>
                <w:b/>
                <w:bCs/>
                <w:sz w:val="18"/>
                <w:szCs w:val="18"/>
                <w:lang w:val="en-US"/>
              </w:rPr>
            </w:pPr>
            <w:r w:rsidRPr="00CE4A9A">
              <w:rPr>
                <w:rFonts w:ascii="Calibri" w:eastAsia="Arial Unicode MS" w:hAnsi="Calibri" w:cs="Times New Roman"/>
                <w:b/>
                <w:bCs/>
                <w:color w:val="000000"/>
                <w:sz w:val="18"/>
                <w:szCs w:val="18"/>
              </w:rPr>
              <w:t xml:space="preserve"> 11,505,016 </w:t>
            </w:r>
          </w:p>
        </w:tc>
        <w:tc>
          <w:tcPr>
            <w:tcW w:w="577" w:type="pct"/>
            <w:tcBorders>
              <w:top w:val="single" w:sz="12" w:space="0" w:color="auto"/>
              <w:left w:val="nil"/>
              <w:bottom w:val="single" w:sz="12" w:space="0" w:color="auto"/>
            </w:tcBorders>
            <w:shd w:val="clear" w:color="000000" w:fill="auto"/>
            <w:vAlign w:val="bottom"/>
          </w:tcPr>
          <w:p w14:paraId="0B37AA03" w14:textId="77777777" w:rsidR="00CE4A9A" w:rsidRPr="00CE4A9A" w:rsidRDefault="00CE4A9A" w:rsidP="00CE4A9A">
            <w:pPr>
              <w:spacing w:after="0" w:line="240" w:lineRule="exact"/>
              <w:jc w:val="right"/>
              <w:rPr>
                <w:rFonts w:ascii="Calibri" w:eastAsia="Arial Unicode MS" w:hAnsi="Calibri" w:cs="Arial"/>
                <w:b/>
                <w:bCs/>
                <w:sz w:val="18"/>
                <w:szCs w:val="18"/>
                <w:lang w:val="en-US"/>
              </w:rPr>
            </w:pPr>
            <w:r w:rsidRPr="00CE4A9A">
              <w:rPr>
                <w:rFonts w:ascii="Calibri" w:eastAsia="Arial Unicode MS" w:hAnsi="Calibri" w:cs="Times New Roman"/>
                <w:b/>
                <w:bCs/>
                <w:color w:val="000000"/>
                <w:sz w:val="18"/>
                <w:szCs w:val="18"/>
              </w:rPr>
              <w:t xml:space="preserve"> 10,576,785 </w:t>
            </w:r>
          </w:p>
        </w:tc>
      </w:tr>
    </w:tbl>
    <w:p w14:paraId="139658BA" w14:textId="3F460887" w:rsidR="00206732" w:rsidRPr="00537128" w:rsidRDefault="00206732" w:rsidP="00206732">
      <w:pPr>
        <w:spacing w:after="0" w:line="240" w:lineRule="auto"/>
        <w:jc w:val="both"/>
        <w:rPr>
          <w:rFonts w:eastAsia="Times New Roman" w:cstheme="minorHAnsi"/>
          <w:bCs/>
          <w:iCs/>
          <w:color w:val="000000" w:themeColor="text1"/>
          <w:lang w:val="en-US"/>
        </w:rPr>
      </w:pPr>
    </w:p>
    <w:p w14:paraId="7CC20665" w14:textId="77777777" w:rsidR="006A5067" w:rsidRPr="00537128" w:rsidRDefault="006A5067" w:rsidP="00206732">
      <w:pPr>
        <w:spacing w:after="0" w:line="240" w:lineRule="auto"/>
        <w:jc w:val="both"/>
        <w:rPr>
          <w:rFonts w:eastAsia="Times New Roman" w:cstheme="minorHAnsi"/>
          <w:b/>
          <w:iCs/>
          <w:color w:val="000000" w:themeColor="text1"/>
          <w:lang w:val="en-US"/>
        </w:rPr>
      </w:pPr>
    </w:p>
    <w:p w14:paraId="302386F6" w14:textId="77777777" w:rsidR="00806C49" w:rsidRPr="00806C49" w:rsidRDefault="00806C49" w:rsidP="00806C49">
      <w:pPr>
        <w:tabs>
          <w:tab w:val="right" w:pos="1202"/>
        </w:tabs>
        <w:spacing w:after="0" w:line="240" w:lineRule="auto"/>
        <w:jc w:val="both"/>
        <w:outlineLvl w:val="0"/>
        <w:rPr>
          <w:rFonts w:ascii="Calibri" w:eastAsia="Times New Roman" w:hAnsi="Calibri" w:cs="Times New Roman"/>
          <w:i/>
          <w:sz w:val="20"/>
          <w:szCs w:val="20"/>
          <w:lang w:val="en-US"/>
        </w:rPr>
      </w:pPr>
      <w:r w:rsidRPr="00806C49">
        <w:rPr>
          <w:rFonts w:ascii="Calibri" w:eastAsia="Times New Roman" w:hAnsi="Calibri" w:cs="Times New Roman"/>
          <w:i/>
          <w:sz w:val="20"/>
          <w:szCs w:val="20"/>
          <w:lang w:val="en-US"/>
        </w:rPr>
        <w:t>*Amounts linked to a one-way currency clause represent HRK 28,554 thousand.</w:t>
      </w:r>
      <w:r w:rsidRPr="00806C49" w:rsidDel="00597E6E">
        <w:rPr>
          <w:rFonts w:ascii="Calibri" w:eastAsia="Times New Roman" w:hAnsi="Calibri" w:cs="Times New Roman"/>
          <w:i/>
          <w:sz w:val="20"/>
          <w:szCs w:val="20"/>
          <w:lang w:val="en-US"/>
        </w:rPr>
        <w:t xml:space="preserve"> </w:t>
      </w:r>
    </w:p>
    <w:p w14:paraId="08B4E51C" w14:textId="77777777" w:rsidR="00206732" w:rsidRPr="00537128"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p>
    <w:p w14:paraId="1EC61B12" w14:textId="77777777" w:rsidR="00206732" w:rsidRPr="00537128"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p>
    <w:p w14:paraId="31094859" w14:textId="77777777" w:rsidR="00206732" w:rsidRPr="00537128" w:rsidRDefault="00206732" w:rsidP="008330AF">
      <w:pPr>
        <w:spacing w:after="0" w:line="240" w:lineRule="auto"/>
        <w:jc w:val="both"/>
        <w:rPr>
          <w:rFonts w:eastAsia="Times New Roman" w:cstheme="minorHAnsi"/>
          <w:b/>
          <w:iCs/>
          <w:color w:val="000000" w:themeColor="text1"/>
          <w:lang w:val="en-US"/>
        </w:rPr>
        <w:sectPr w:rsidR="00206732" w:rsidRPr="00537128" w:rsidSect="00712478">
          <w:pgSz w:w="11906" w:h="16838"/>
          <w:pgMar w:top="1418" w:right="1134" w:bottom="1418" w:left="1418" w:header="709" w:footer="709" w:gutter="0"/>
          <w:cols w:space="708"/>
          <w:docGrid w:linePitch="360"/>
        </w:sectPr>
      </w:pPr>
    </w:p>
    <w:p w14:paraId="4C294AC2"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6725D8CE" w14:textId="77777777" w:rsidR="00206732" w:rsidRPr="00537128" w:rsidRDefault="00206732">
      <w:pPr>
        <w:pStyle w:val="ListParagraph"/>
        <w:numPr>
          <w:ilvl w:val="0"/>
          <w:numId w:val="61"/>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31FB38FE"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0DC6402B" w14:textId="739D03CA" w:rsidR="00206732" w:rsidRPr="00537128" w:rsidRDefault="00B357CE" w:rsidP="00206732">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06732" w:rsidRPr="00537128">
        <w:rPr>
          <w:rFonts w:eastAsia="Times New Roman" w:cstheme="minorHAnsi"/>
          <w:b/>
          <w:iCs/>
          <w:color w:val="000000" w:themeColor="text1"/>
          <w:lang w:val="en-US"/>
        </w:rPr>
        <w:t xml:space="preserve">.5. </w:t>
      </w:r>
      <w:r w:rsidR="00206732" w:rsidRPr="00537128">
        <w:rPr>
          <w:rFonts w:eastAsia="Times New Roman" w:cstheme="minorHAnsi"/>
          <w:b/>
          <w:iCs/>
          <w:color w:val="000000" w:themeColor="text1"/>
          <w:lang w:val="en-US"/>
        </w:rPr>
        <w:tab/>
        <w:t>Market risk (continued)</w:t>
      </w:r>
    </w:p>
    <w:p w14:paraId="09986793"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36CA1D7D" w14:textId="69A753AB" w:rsidR="00206732" w:rsidRPr="00537128" w:rsidRDefault="00B357CE" w:rsidP="00206732">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06732" w:rsidRPr="00537128">
        <w:rPr>
          <w:rFonts w:eastAsia="Times New Roman" w:cstheme="minorHAnsi"/>
          <w:b/>
          <w:iCs/>
          <w:color w:val="000000" w:themeColor="text1"/>
          <w:lang w:val="en-US"/>
        </w:rPr>
        <w:t>.5.2.   Currency risk (continued)</w:t>
      </w:r>
    </w:p>
    <w:p w14:paraId="02DA08E6"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019413C9" w14:textId="70714034" w:rsidR="00206732" w:rsidRPr="00537128" w:rsidRDefault="00206732" w:rsidP="00206732">
      <w:pPr>
        <w:spacing w:after="0" w:line="240" w:lineRule="auto"/>
        <w:jc w:val="both"/>
        <w:rPr>
          <w:rFonts w:eastAsia="Times New Roman" w:cstheme="minorHAnsi"/>
          <w:bCs/>
          <w:iCs/>
          <w:color w:val="000000" w:themeColor="text1"/>
          <w:lang w:val="en-US"/>
        </w:rPr>
      </w:pPr>
      <w:r w:rsidRPr="00537128">
        <w:rPr>
          <w:rFonts w:eastAsia="Times New Roman" w:cstheme="minorHAnsi"/>
          <w:bCs/>
          <w:iCs/>
          <w:color w:val="000000" w:themeColor="text1"/>
          <w:lang w:val="en-US"/>
        </w:rPr>
        <w:t xml:space="preserve">Total assets and total liabilities as of </w:t>
      </w:r>
      <w:r w:rsidR="00E20F52" w:rsidRPr="00537128">
        <w:rPr>
          <w:rFonts w:eastAsia="Times New Roman" w:cstheme="minorHAnsi"/>
          <w:bCs/>
          <w:iCs/>
          <w:color w:val="000000" w:themeColor="text1"/>
          <w:lang w:val="en-US"/>
        </w:rPr>
        <w:t>3</w:t>
      </w:r>
      <w:r w:rsidR="006A5067" w:rsidRPr="00537128">
        <w:rPr>
          <w:rFonts w:eastAsia="Times New Roman" w:cstheme="minorHAnsi"/>
          <w:bCs/>
          <w:iCs/>
          <w:color w:val="000000" w:themeColor="text1"/>
          <w:lang w:val="en-US"/>
        </w:rPr>
        <w:t>1</w:t>
      </w:r>
      <w:r w:rsidR="00E20F52" w:rsidRPr="00537128">
        <w:rPr>
          <w:rFonts w:eastAsia="Times New Roman" w:cstheme="minorHAnsi"/>
          <w:bCs/>
          <w:iCs/>
          <w:color w:val="000000" w:themeColor="text1"/>
          <w:lang w:val="en-US"/>
        </w:rPr>
        <w:t xml:space="preserve"> </w:t>
      </w:r>
      <w:r w:rsidR="006A5067" w:rsidRPr="00537128">
        <w:rPr>
          <w:rFonts w:eastAsia="Times New Roman" w:cstheme="minorHAnsi"/>
          <w:bCs/>
          <w:iCs/>
          <w:color w:val="000000" w:themeColor="text1"/>
          <w:lang w:val="en-US"/>
        </w:rPr>
        <w:t>March</w:t>
      </w:r>
      <w:r w:rsidR="00E20F52" w:rsidRPr="00537128">
        <w:rPr>
          <w:rFonts w:eastAsia="Times New Roman" w:cstheme="minorHAnsi"/>
          <w:bCs/>
          <w:iCs/>
          <w:color w:val="000000" w:themeColor="text1"/>
          <w:lang w:val="en-US"/>
        </w:rPr>
        <w:t xml:space="preserve"> </w:t>
      </w:r>
      <w:r w:rsidRPr="00537128">
        <w:rPr>
          <w:rFonts w:eastAsia="Times New Roman" w:cstheme="minorHAnsi"/>
          <w:bCs/>
          <w:iCs/>
          <w:color w:val="000000" w:themeColor="text1"/>
          <w:lang w:val="en-US"/>
        </w:rPr>
        <w:t>202</w:t>
      </w:r>
      <w:r w:rsidR="00EA3D09">
        <w:rPr>
          <w:rFonts w:eastAsia="Times New Roman" w:cstheme="minorHAnsi"/>
          <w:bCs/>
          <w:iCs/>
          <w:color w:val="000000" w:themeColor="text1"/>
          <w:lang w:val="en-US"/>
        </w:rPr>
        <w:t>2</w:t>
      </w:r>
      <w:r w:rsidRPr="00537128">
        <w:rPr>
          <w:rFonts w:eastAsia="Times New Roman" w:cstheme="minorHAnsi"/>
          <w:bCs/>
          <w:iCs/>
          <w:color w:val="000000" w:themeColor="text1"/>
          <w:lang w:val="en-US"/>
        </w:rPr>
        <w:t xml:space="preserve"> and 31 December 20</w:t>
      </w:r>
      <w:r w:rsidR="006A5067" w:rsidRPr="00537128">
        <w:rPr>
          <w:rFonts w:eastAsia="Times New Roman" w:cstheme="minorHAnsi"/>
          <w:bCs/>
          <w:iCs/>
          <w:color w:val="000000" w:themeColor="text1"/>
          <w:lang w:val="en-US"/>
        </w:rPr>
        <w:t>2</w:t>
      </w:r>
      <w:r w:rsidR="00EA3D09">
        <w:rPr>
          <w:rFonts w:eastAsia="Times New Roman" w:cstheme="minorHAnsi"/>
          <w:bCs/>
          <w:iCs/>
          <w:color w:val="000000" w:themeColor="text1"/>
          <w:lang w:val="en-US"/>
        </w:rPr>
        <w:t>1</w:t>
      </w:r>
      <w:r w:rsidRPr="00537128">
        <w:rPr>
          <w:rFonts w:eastAsia="Times New Roman" w:cstheme="minorHAnsi"/>
          <w:bCs/>
          <w:iCs/>
          <w:color w:val="000000" w:themeColor="text1"/>
          <w:lang w:val="en-US"/>
        </w:rPr>
        <w:t xml:space="preserve"> in HRK and foreign currencies can be shown as follows:</w:t>
      </w:r>
    </w:p>
    <w:p w14:paraId="28C7AA4A" w14:textId="77777777" w:rsidR="00206732" w:rsidRPr="00537128" w:rsidRDefault="00206732" w:rsidP="008330AF">
      <w:pPr>
        <w:spacing w:after="0" w:line="240" w:lineRule="auto"/>
        <w:jc w:val="both"/>
        <w:rPr>
          <w:rFonts w:eastAsia="Times New Roman" w:cstheme="minorHAnsi"/>
          <w:b/>
          <w:iCs/>
          <w:color w:val="000000" w:themeColor="text1"/>
          <w:lang w:val="en-US"/>
        </w:rPr>
      </w:pPr>
    </w:p>
    <w:tbl>
      <w:tblPr>
        <w:tblW w:w="5267" w:type="pct"/>
        <w:tblInd w:w="-306" w:type="dxa"/>
        <w:tblLayout w:type="fixed"/>
        <w:tblCellMar>
          <w:left w:w="120" w:type="dxa"/>
          <w:right w:w="120" w:type="dxa"/>
        </w:tblCellMar>
        <w:tblLook w:val="0000" w:firstRow="0" w:lastRow="0" w:firstColumn="0" w:lastColumn="0" w:noHBand="0" w:noVBand="0"/>
      </w:tblPr>
      <w:tblGrid>
        <w:gridCol w:w="2728"/>
        <w:gridCol w:w="997"/>
        <w:gridCol w:w="1119"/>
        <w:gridCol w:w="1214"/>
        <w:gridCol w:w="1212"/>
        <w:gridCol w:w="1336"/>
        <w:gridCol w:w="1248"/>
      </w:tblGrid>
      <w:tr w:rsidR="006A5067" w:rsidRPr="00537128" w14:paraId="798D1EFB" w14:textId="77777777" w:rsidTr="006A5067">
        <w:trPr>
          <w:trHeight w:val="630"/>
        </w:trPr>
        <w:tc>
          <w:tcPr>
            <w:tcW w:w="1384" w:type="pct"/>
            <w:vAlign w:val="bottom"/>
          </w:tcPr>
          <w:p w14:paraId="3C256C58" w14:textId="7777777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bookmarkStart w:id="1071" w:name="_Toc4062867"/>
            <w:r w:rsidRPr="00537128">
              <w:rPr>
                <w:rFonts w:ascii="Calibri" w:eastAsia="Times New Roman" w:hAnsi="Calibri" w:cs="Arial"/>
                <w:b/>
                <w:sz w:val="18"/>
                <w:szCs w:val="18"/>
                <w:lang w:val="en-US"/>
              </w:rPr>
              <w:t>Bank</w:t>
            </w:r>
            <w:bookmarkEnd w:id="1071"/>
          </w:p>
          <w:p w14:paraId="02BA3F11" w14:textId="7777777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p>
          <w:p w14:paraId="3E123383" w14:textId="1BE8B25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bookmarkStart w:id="1072" w:name="_Toc4062868"/>
            <w:r w:rsidRPr="00537128">
              <w:rPr>
                <w:rFonts w:ascii="Calibri" w:eastAsia="Times New Roman" w:hAnsi="Calibri" w:cs="Arial"/>
                <w:b/>
                <w:bCs/>
                <w:sz w:val="18"/>
                <w:szCs w:val="18"/>
                <w:lang w:val="en-US"/>
              </w:rPr>
              <w:t>31 March</w:t>
            </w:r>
            <w:r w:rsidRPr="00537128">
              <w:rPr>
                <w:rFonts w:ascii="Calibri" w:eastAsia="Times New Roman" w:hAnsi="Calibri" w:cs="Arial"/>
                <w:b/>
                <w:sz w:val="18"/>
                <w:szCs w:val="18"/>
                <w:lang w:val="en-US"/>
              </w:rPr>
              <w:t xml:space="preserve"> 202</w:t>
            </w:r>
            <w:bookmarkEnd w:id="1072"/>
            <w:r w:rsidR="00D73526">
              <w:rPr>
                <w:rFonts w:ascii="Calibri" w:eastAsia="Times New Roman" w:hAnsi="Calibri" w:cs="Arial"/>
                <w:b/>
                <w:sz w:val="18"/>
                <w:szCs w:val="18"/>
                <w:lang w:val="en-US"/>
              </w:rPr>
              <w:t>2</w:t>
            </w:r>
          </w:p>
        </w:tc>
        <w:tc>
          <w:tcPr>
            <w:tcW w:w="506" w:type="pct"/>
          </w:tcPr>
          <w:p w14:paraId="5B4EF53E"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73" w:name="_Toc4062869"/>
            <w:r w:rsidRPr="00537128">
              <w:rPr>
                <w:rFonts w:ascii="Calibri" w:eastAsia="Times New Roman" w:hAnsi="Calibri" w:cs="Arial"/>
                <w:b/>
                <w:sz w:val="18"/>
                <w:szCs w:val="18"/>
                <w:lang w:val="en-US"/>
              </w:rPr>
              <w:t>USD</w:t>
            </w:r>
            <w:bookmarkEnd w:id="1073"/>
          </w:p>
        </w:tc>
        <w:tc>
          <w:tcPr>
            <w:tcW w:w="568" w:type="pct"/>
          </w:tcPr>
          <w:p w14:paraId="7F233565"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74" w:name="_Toc4062870"/>
            <w:r w:rsidRPr="00537128">
              <w:rPr>
                <w:rFonts w:ascii="Calibri" w:eastAsia="Times New Roman" w:hAnsi="Calibri" w:cs="Arial"/>
                <w:b/>
                <w:sz w:val="18"/>
                <w:szCs w:val="18"/>
                <w:lang w:val="en-US"/>
              </w:rPr>
              <w:t>EUR</w:t>
            </w:r>
            <w:bookmarkEnd w:id="1074"/>
            <w:r w:rsidRPr="00537128">
              <w:rPr>
                <w:rFonts w:ascii="Calibri" w:eastAsia="Times New Roman" w:hAnsi="Calibri" w:cs="Arial"/>
                <w:b/>
                <w:sz w:val="18"/>
                <w:szCs w:val="18"/>
                <w:lang w:val="en-US"/>
              </w:rPr>
              <w:t xml:space="preserve"> </w:t>
            </w:r>
          </w:p>
        </w:tc>
        <w:tc>
          <w:tcPr>
            <w:tcW w:w="616" w:type="pct"/>
          </w:tcPr>
          <w:p w14:paraId="04C456C9"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75" w:name="_Toc4062871"/>
            <w:r w:rsidRPr="00537128">
              <w:rPr>
                <w:rFonts w:ascii="Calibri" w:eastAsia="Times New Roman" w:hAnsi="Calibri" w:cs="Arial"/>
                <w:b/>
                <w:sz w:val="18"/>
                <w:szCs w:val="18"/>
                <w:lang w:val="en-US"/>
              </w:rPr>
              <w:t>Other</w:t>
            </w:r>
            <w:bookmarkEnd w:id="1075"/>
            <w:r w:rsidRPr="00537128">
              <w:rPr>
                <w:rFonts w:ascii="Calibri" w:eastAsia="Times New Roman" w:hAnsi="Calibri" w:cs="Arial"/>
                <w:b/>
                <w:sz w:val="18"/>
                <w:szCs w:val="18"/>
                <w:lang w:val="en-US"/>
              </w:rPr>
              <w:t xml:space="preserve"> </w:t>
            </w:r>
          </w:p>
          <w:p w14:paraId="7B42107E"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76" w:name="_Toc4062872"/>
            <w:r w:rsidRPr="00537128">
              <w:rPr>
                <w:rFonts w:ascii="Calibri" w:eastAsia="Times New Roman" w:hAnsi="Calibri" w:cs="Arial"/>
                <w:b/>
                <w:sz w:val="18"/>
                <w:szCs w:val="18"/>
                <w:lang w:val="en-US"/>
              </w:rPr>
              <w:t>foreign currencies</w:t>
            </w:r>
            <w:bookmarkEnd w:id="1076"/>
            <w:r w:rsidRPr="00537128">
              <w:rPr>
                <w:rFonts w:ascii="Calibri" w:eastAsia="Times New Roman" w:hAnsi="Calibri" w:cs="Arial"/>
                <w:b/>
                <w:sz w:val="18"/>
                <w:szCs w:val="18"/>
                <w:lang w:val="en-US"/>
              </w:rPr>
              <w:t xml:space="preserve"> </w:t>
            </w:r>
          </w:p>
        </w:tc>
        <w:tc>
          <w:tcPr>
            <w:tcW w:w="615" w:type="pct"/>
          </w:tcPr>
          <w:p w14:paraId="307FA9CF"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77" w:name="_Toc4062873"/>
            <w:r w:rsidRPr="00537128">
              <w:rPr>
                <w:rFonts w:ascii="Calibri" w:eastAsia="Times New Roman" w:hAnsi="Calibri" w:cs="Arial"/>
                <w:b/>
                <w:sz w:val="18"/>
                <w:szCs w:val="18"/>
                <w:lang w:val="en-US"/>
              </w:rPr>
              <w:t>Total</w:t>
            </w:r>
            <w:bookmarkEnd w:id="1077"/>
          </w:p>
          <w:p w14:paraId="2CA243BD"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 </w:t>
            </w:r>
            <w:bookmarkStart w:id="1078" w:name="_Toc4062874"/>
            <w:r w:rsidRPr="00537128">
              <w:rPr>
                <w:rFonts w:ascii="Calibri" w:eastAsia="Times New Roman" w:hAnsi="Calibri" w:cs="Arial"/>
                <w:b/>
                <w:sz w:val="18"/>
                <w:szCs w:val="18"/>
                <w:lang w:val="en-US"/>
              </w:rPr>
              <w:t>foreign currencies</w:t>
            </w:r>
            <w:bookmarkEnd w:id="1078"/>
            <w:r w:rsidRPr="00537128">
              <w:rPr>
                <w:rFonts w:ascii="Calibri" w:eastAsia="Times New Roman" w:hAnsi="Calibri" w:cs="Arial"/>
                <w:b/>
                <w:sz w:val="18"/>
                <w:szCs w:val="18"/>
                <w:lang w:val="en-US"/>
              </w:rPr>
              <w:t xml:space="preserve"> </w:t>
            </w:r>
          </w:p>
        </w:tc>
        <w:tc>
          <w:tcPr>
            <w:tcW w:w="678" w:type="pct"/>
          </w:tcPr>
          <w:p w14:paraId="680D85D2"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79" w:name="_Toc4062875"/>
            <w:r w:rsidRPr="00537128">
              <w:rPr>
                <w:rFonts w:ascii="Calibri" w:eastAsia="Times New Roman" w:hAnsi="Calibri" w:cs="Arial"/>
                <w:b/>
                <w:sz w:val="18"/>
                <w:szCs w:val="18"/>
                <w:lang w:val="en-US"/>
              </w:rPr>
              <w:t>HRK</w:t>
            </w:r>
            <w:bookmarkEnd w:id="1079"/>
          </w:p>
        </w:tc>
        <w:tc>
          <w:tcPr>
            <w:tcW w:w="633" w:type="pct"/>
          </w:tcPr>
          <w:p w14:paraId="69D3B329"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80" w:name="_Toc4062876"/>
            <w:r w:rsidRPr="00537128">
              <w:rPr>
                <w:rFonts w:ascii="Calibri" w:eastAsia="Times New Roman" w:hAnsi="Calibri" w:cs="Arial"/>
                <w:b/>
                <w:sz w:val="18"/>
                <w:szCs w:val="18"/>
                <w:lang w:val="en-US"/>
              </w:rPr>
              <w:t>Total</w:t>
            </w:r>
            <w:bookmarkEnd w:id="1080"/>
            <w:r w:rsidRPr="00537128">
              <w:rPr>
                <w:rFonts w:ascii="Calibri" w:eastAsia="Times New Roman" w:hAnsi="Calibri" w:cs="Arial"/>
                <w:b/>
                <w:sz w:val="18"/>
                <w:szCs w:val="18"/>
                <w:lang w:val="en-US"/>
              </w:rPr>
              <w:t xml:space="preserve"> </w:t>
            </w:r>
          </w:p>
        </w:tc>
      </w:tr>
      <w:tr w:rsidR="006A5067" w:rsidRPr="00537128" w14:paraId="132F9A99" w14:textId="77777777" w:rsidTr="006A5067">
        <w:trPr>
          <w:trHeight w:hRule="exact" w:val="229"/>
        </w:trPr>
        <w:tc>
          <w:tcPr>
            <w:tcW w:w="1384" w:type="pct"/>
          </w:tcPr>
          <w:p w14:paraId="35EA8363" w14:textId="7777777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p>
        </w:tc>
        <w:tc>
          <w:tcPr>
            <w:tcW w:w="506" w:type="pct"/>
          </w:tcPr>
          <w:p w14:paraId="00BF3EB7"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81" w:name="_Toc4062877"/>
            <w:r w:rsidRPr="00537128">
              <w:rPr>
                <w:rFonts w:ascii="Calibri" w:eastAsia="Times New Roman" w:hAnsi="Calibri" w:cs="Arial"/>
                <w:b/>
                <w:sz w:val="18"/>
                <w:szCs w:val="18"/>
                <w:lang w:val="en-US"/>
              </w:rPr>
              <w:t>HRK ‘000</w:t>
            </w:r>
            <w:bookmarkEnd w:id="1081"/>
          </w:p>
        </w:tc>
        <w:tc>
          <w:tcPr>
            <w:tcW w:w="568" w:type="pct"/>
          </w:tcPr>
          <w:p w14:paraId="43D5AC7A"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82" w:name="_Toc4062878"/>
            <w:r w:rsidRPr="00537128">
              <w:rPr>
                <w:rFonts w:ascii="Calibri" w:eastAsia="Times New Roman" w:hAnsi="Calibri" w:cs="Arial"/>
                <w:b/>
                <w:sz w:val="18"/>
                <w:szCs w:val="18"/>
                <w:lang w:val="en-US"/>
              </w:rPr>
              <w:t>HRK ‘000</w:t>
            </w:r>
            <w:bookmarkEnd w:id="1082"/>
          </w:p>
        </w:tc>
        <w:tc>
          <w:tcPr>
            <w:tcW w:w="616" w:type="pct"/>
          </w:tcPr>
          <w:p w14:paraId="77468E6C"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83" w:name="_Toc4062879"/>
            <w:r w:rsidRPr="00537128">
              <w:rPr>
                <w:rFonts w:ascii="Calibri" w:eastAsia="Times New Roman" w:hAnsi="Calibri" w:cs="Arial"/>
                <w:b/>
                <w:sz w:val="18"/>
                <w:szCs w:val="18"/>
                <w:lang w:val="en-US"/>
              </w:rPr>
              <w:t>HRK ‘000</w:t>
            </w:r>
            <w:bookmarkEnd w:id="1083"/>
          </w:p>
        </w:tc>
        <w:tc>
          <w:tcPr>
            <w:tcW w:w="615" w:type="pct"/>
          </w:tcPr>
          <w:p w14:paraId="68D2C330"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84" w:name="_Toc4062880"/>
            <w:r w:rsidRPr="00537128">
              <w:rPr>
                <w:rFonts w:ascii="Calibri" w:eastAsia="Times New Roman" w:hAnsi="Calibri" w:cs="Arial"/>
                <w:b/>
                <w:sz w:val="18"/>
                <w:szCs w:val="18"/>
                <w:lang w:val="en-US"/>
              </w:rPr>
              <w:t>HRK ‘000</w:t>
            </w:r>
            <w:bookmarkEnd w:id="1084"/>
          </w:p>
        </w:tc>
        <w:tc>
          <w:tcPr>
            <w:tcW w:w="678" w:type="pct"/>
          </w:tcPr>
          <w:p w14:paraId="7896EF50"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85" w:name="_Toc4062881"/>
            <w:r w:rsidRPr="00537128">
              <w:rPr>
                <w:rFonts w:ascii="Calibri" w:eastAsia="Times New Roman" w:hAnsi="Calibri" w:cs="Arial"/>
                <w:b/>
                <w:sz w:val="18"/>
                <w:szCs w:val="18"/>
                <w:lang w:val="en-US"/>
              </w:rPr>
              <w:t>HRK ‘000</w:t>
            </w:r>
            <w:bookmarkEnd w:id="1085"/>
          </w:p>
        </w:tc>
        <w:tc>
          <w:tcPr>
            <w:tcW w:w="633" w:type="pct"/>
          </w:tcPr>
          <w:p w14:paraId="5167B8F6"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86" w:name="_Toc4062882"/>
            <w:r w:rsidRPr="00537128">
              <w:rPr>
                <w:rFonts w:ascii="Calibri" w:eastAsia="Times New Roman" w:hAnsi="Calibri" w:cs="Arial"/>
                <w:b/>
                <w:sz w:val="18"/>
                <w:szCs w:val="18"/>
                <w:lang w:val="en-US"/>
              </w:rPr>
              <w:t>HRK ‘000</w:t>
            </w:r>
            <w:bookmarkEnd w:id="1086"/>
          </w:p>
        </w:tc>
      </w:tr>
      <w:tr w:rsidR="006A5067" w:rsidRPr="00537128" w14:paraId="4B5DFE07" w14:textId="77777777" w:rsidTr="006A5067">
        <w:trPr>
          <w:trHeight w:val="217"/>
        </w:trPr>
        <w:tc>
          <w:tcPr>
            <w:tcW w:w="1384" w:type="pct"/>
          </w:tcPr>
          <w:p w14:paraId="244AA245" w14:textId="7777777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bookmarkStart w:id="1087" w:name="_Toc4062883"/>
            <w:r w:rsidRPr="00537128">
              <w:rPr>
                <w:rFonts w:ascii="Calibri" w:eastAsia="Times New Roman" w:hAnsi="Calibri" w:cs="Arial"/>
                <w:b/>
                <w:sz w:val="18"/>
                <w:szCs w:val="18"/>
                <w:lang w:val="en-US"/>
              </w:rPr>
              <w:t>Assets</w:t>
            </w:r>
            <w:bookmarkEnd w:id="1087"/>
            <w:r w:rsidRPr="00537128">
              <w:rPr>
                <w:rFonts w:ascii="Calibri" w:eastAsia="Times New Roman" w:hAnsi="Calibri" w:cs="Arial"/>
                <w:b/>
                <w:sz w:val="18"/>
                <w:szCs w:val="18"/>
                <w:lang w:val="en-US"/>
              </w:rPr>
              <w:t xml:space="preserve"> </w:t>
            </w:r>
          </w:p>
        </w:tc>
        <w:tc>
          <w:tcPr>
            <w:tcW w:w="506" w:type="pct"/>
            <w:vAlign w:val="bottom"/>
          </w:tcPr>
          <w:p w14:paraId="5E3FFDDE"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568" w:type="pct"/>
            <w:vAlign w:val="bottom"/>
          </w:tcPr>
          <w:p w14:paraId="57FB0E74"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616" w:type="pct"/>
            <w:vAlign w:val="bottom"/>
          </w:tcPr>
          <w:p w14:paraId="55666C0E"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615" w:type="pct"/>
            <w:vAlign w:val="bottom"/>
          </w:tcPr>
          <w:p w14:paraId="554C2ED9"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678" w:type="pct"/>
            <w:vAlign w:val="bottom"/>
          </w:tcPr>
          <w:p w14:paraId="66AE2BE6"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633" w:type="pct"/>
            <w:vAlign w:val="bottom"/>
          </w:tcPr>
          <w:p w14:paraId="42D6F411"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r>
      <w:tr w:rsidR="005C528F" w:rsidRPr="00537128" w14:paraId="20A37E16" w14:textId="77777777" w:rsidTr="004C62ED">
        <w:trPr>
          <w:trHeight w:val="281"/>
        </w:trPr>
        <w:tc>
          <w:tcPr>
            <w:tcW w:w="1384" w:type="pct"/>
            <w:vAlign w:val="bottom"/>
          </w:tcPr>
          <w:p w14:paraId="6FE721D1" w14:textId="77777777" w:rsidR="005C528F" w:rsidRPr="00537128" w:rsidRDefault="005C528F" w:rsidP="005C528F">
            <w:pPr>
              <w:tabs>
                <w:tab w:val="right" w:pos="1202"/>
              </w:tabs>
              <w:spacing w:after="0" w:line="240" w:lineRule="exact"/>
              <w:outlineLvl w:val="0"/>
              <w:rPr>
                <w:rFonts w:ascii="Calibri" w:eastAsia="Times New Roman" w:hAnsi="Calibri" w:cs="Arial"/>
                <w:sz w:val="18"/>
                <w:szCs w:val="18"/>
                <w:lang w:val="en-US"/>
              </w:rPr>
            </w:pPr>
            <w:bookmarkStart w:id="1088" w:name="_Toc4062884"/>
            <w:r w:rsidRPr="00537128">
              <w:rPr>
                <w:rFonts w:ascii="Calibri" w:eastAsia="Times New Roman" w:hAnsi="Calibri" w:cs="Arial"/>
                <w:spacing w:val="-2"/>
                <w:sz w:val="18"/>
                <w:szCs w:val="18"/>
                <w:lang w:val="en-US"/>
              </w:rPr>
              <w:t>Cash on hand and current accounts with banks</w:t>
            </w:r>
            <w:bookmarkEnd w:id="1088"/>
          </w:p>
        </w:tc>
        <w:tc>
          <w:tcPr>
            <w:tcW w:w="506" w:type="pct"/>
            <w:tcBorders>
              <w:top w:val="nil"/>
              <w:left w:val="nil"/>
              <w:right w:val="nil"/>
            </w:tcBorders>
            <w:vAlign w:val="bottom"/>
          </w:tcPr>
          <w:p w14:paraId="11092F83" w14:textId="41784D0D"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326,446</w:t>
            </w:r>
          </w:p>
        </w:tc>
        <w:tc>
          <w:tcPr>
            <w:tcW w:w="568" w:type="pct"/>
            <w:tcBorders>
              <w:top w:val="nil"/>
              <w:left w:val="nil"/>
              <w:right w:val="nil"/>
            </w:tcBorders>
            <w:vAlign w:val="bottom"/>
          </w:tcPr>
          <w:p w14:paraId="28706D50" w14:textId="4D9F10E8"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54,147</w:t>
            </w:r>
          </w:p>
        </w:tc>
        <w:tc>
          <w:tcPr>
            <w:tcW w:w="616" w:type="pct"/>
            <w:tcBorders>
              <w:top w:val="nil"/>
              <w:left w:val="nil"/>
              <w:right w:val="nil"/>
            </w:tcBorders>
            <w:vAlign w:val="bottom"/>
          </w:tcPr>
          <w:p w14:paraId="7C1E5CCB" w14:textId="0F37FC3A"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w:t>
            </w:r>
          </w:p>
        </w:tc>
        <w:tc>
          <w:tcPr>
            <w:tcW w:w="615" w:type="pct"/>
            <w:tcBorders>
              <w:top w:val="nil"/>
              <w:left w:val="nil"/>
              <w:right w:val="nil"/>
            </w:tcBorders>
            <w:vAlign w:val="bottom"/>
          </w:tcPr>
          <w:p w14:paraId="33DAC392" w14:textId="5D2C50F1"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380,593</w:t>
            </w:r>
          </w:p>
        </w:tc>
        <w:tc>
          <w:tcPr>
            <w:tcW w:w="678" w:type="pct"/>
            <w:tcBorders>
              <w:top w:val="nil"/>
              <w:left w:val="nil"/>
              <w:right w:val="nil"/>
            </w:tcBorders>
            <w:vAlign w:val="bottom"/>
          </w:tcPr>
          <w:p w14:paraId="6A8D7A33" w14:textId="35C8919B"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1,190,613</w:t>
            </w:r>
          </w:p>
        </w:tc>
        <w:tc>
          <w:tcPr>
            <w:tcW w:w="633" w:type="pct"/>
            <w:tcBorders>
              <w:top w:val="nil"/>
              <w:left w:val="nil"/>
            </w:tcBorders>
            <w:vAlign w:val="bottom"/>
          </w:tcPr>
          <w:p w14:paraId="5095DF47" w14:textId="01F20F48"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1,571,206</w:t>
            </w:r>
          </w:p>
        </w:tc>
      </w:tr>
      <w:tr w:rsidR="005C528F" w:rsidRPr="00537128" w14:paraId="0362D52F" w14:textId="77777777" w:rsidTr="004C62ED">
        <w:trPr>
          <w:trHeight w:hRule="exact" w:val="301"/>
        </w:trPr>
        <w:tc>
          <w:tcPr>
            <w:tcW w:w="1384" w:type="pct"/>
            <w:vAlign w:val="bottom"/>
          </w:tcPr>
          <w:p w14:paraId="3B28DCEC" w14:textId="77777777" w:rsidR="005C528F" w:rsidRPr="00537128" w:rsidRDefault="005C528F" w:rsidP="005C528F">
            <w:pPr>
              <w:tabs>
                <w:tab w:val="right" w:pos="1202"/>
              </w:tabs>
              <w:spacing w:after="0" w:line="240" w:lineRule="exact"/>
              <w:outlineLvl w:val="0"/>
              <w:rPr>
                <w:rFonts w:ascii="Calibri" w:eastAsia="Times New Roman" w:hAnsi="Calibri" w:cs="Arial"/>
                <w:sz w:val="18"/>
                <w:szCs w:val="18"/>
                <w:lang w:val="en-US"/>
              </w:rPr>
            </w:pPr>
            <w:bookmarkStart w:id="1089" w:name="_Toc4062885"/>
            <w:r w:rsidRPr="00537128">
              <w:rPr>
                <w:rFonts w:ascii="Calibri" w:eastAsia="Times New Roman" w:hAnsi="Calibri" w:cs="Arial"/>
                <w:spacing w:val="-2"/>
                <w:sz w:val="18"/>
                <w:szCs w:val="18"/>
                <w:lang w:val="en-US"/>
              </w:rPr>
              <w:t>Deposits with other banks</w:t>
            </w:r>
            <w:bookmarkEnd w:id="1089"/>
            <w:r w:rsidRPr="00537128">
              <w:rPr>
                <w:rFonts w:ascii="Calibri" w:eastAsia="Times New Roman" w:hAnsi="Calibri" w:cs="Arial"/>
                <w:spacing w:val="-2"/>
                <w:sz w:val="18"/>
                <w:szCs w:val="18"/>
                <w:lang w:val="en-US"/>
              </w:rPr>
              <w:t xml:space="preserve"> </w:t>
            </w:r>
          </w:p>
        </w:tc>
        <w:tc>
          <w:tcPr>
            <w:tcW w:w="506" w:type="pct"/>
            <w:tcBorders>
              <w:top w:val="nil"/>
              <w:left w:val="nil"/>
              <w:bottom w:val="nil"/>
              <w:right w:val="nil"/>
            </w:tcBorders>
            <w:vAlign w:val="bottom"/>
          </w:tcPr>
          <w:p w14:paraId="29B015CA" w14:textId="6FE43514"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w:t>
            </w:r>
          </w:p>
        </w:tc>
        <w:tc>
          <w:tcPr>
            <w:tcW w:w="568" w:type="pct"/>
            <w:tcBorders>
              <w:top w:val="nil"/>
              <w:left w:val="nil"/>
              <w:bottom w:val="nil"/>
              <w:right w:val="nil"/>
            </w:tcBorders>
            <w:vAlign w:val="bottom"/>
          </w:tcPr>
          <w:p w14:paraId="6340A7DE" w14:textId="5CACC4E7"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15,215</w:t>
            </w:r>
          </w:p>
        </w:tc>
        <w:tc>
          <w:tcPr>
            <w:tcW w:w="616" w:type="pct"/>
            <w:tcBorders>
              <w:top w:val="nil"/>
              <w:left w:val="nil"/>
              <w:bottom w:val="nil"/>
              <w:right w:val="nil"/>
            </w:tcBorders>
            <w:vAlign w:val="bottom"/>
          </w:tcPr>
          <w:p w14:paraId="4274E669" w14:textId="2FF1AF19"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w:t>
            </w:r>
          </w:p>
        </w:tc>
        <w:tc>
          <w:tcPr>
            <w:tcW w:w="615" w:type="pct"/>
            <w:tcBorders>
              <w:top w:val="nil"/>
              <w:left w:val="nil"/>
              <w:bottom w:val="nil"/>
              <w:right w:val="nil"/>
            </w:tcBorders>
            <w:vAlign w:val="bottom"/>
          </w:tcPr>
          <w:p w14:paraId="19B8202A" w14:textId="16C1BCBE"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15,215</w:t>
            </w:r>
          </w:p>
        </w:tc>
        <w:tc>
          <w:tcPr>
            <w:tcW w:w="678" w:type="pct"/>
            <w:tcBorders>
              <w:top w:val="nil"/>
              <w:left w:val="nil"/>
              <w:bottom w:val="nil"/>
              <w:right w:val="nil"/>
            </w:tcBorders>
            <w:vAlign w:val="bottom"/>
          </w:tcPr>
          <w:p w14:paraId="47B6B2D0" w14:textId="0949FF18"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w:t>
            </w:r>
          </w:p>
        </w:tc>
        <w:tc>
          <w:tcPr>
            <w:tcW w:w="633" w:type="pct"/>
            <w:tcBorders>
              <w:top w:val="nil"/>
              <w:left w:val="nil"/>
              <w:bottom w:val="nil"/>
            </w:tcBorders>
            <w:vAlign w:val="bottom"/>
          </w:tcPr>
          <w:p w14:paraId="46F6C14F" w14:textId="4004127B"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15,215</w:t>
            </w:r>
          </w:p>
        </w:tc>
      </w:tr>
      <w:tr w:rsidR="005C528F" w:rsidRPr="00537128" w14:paraId="4959966B" w14:textId="77777777" w:rsidTr="004C62ED">
        <w:trPr>
          <w:trHeight w:hRule="exact" w:val="301"/>
        </w:trPr>
        <w:tc>
          <w:tcPr>
            <w:tcW w:w="1384" w:type="pct"/>
            <w:vAlign w:val="bottom"/>
          </w:tcPr>
          <w:p w14:paraId="01992B9E" w14:textId="77777777" w:rsidR="005C528F" w:rsidRPr="00537128" w:rsidRDefault="005C528F" w:rsidP="005C528F">
            <w:pPr>
              <w:tabs>
                <w:tab w:val="right" w:pos="1202"/>
              </w:tabs>
              <w:spacing w:after="0" w:line="240" w:lineRule="exact"/>
              <w:outlineLvl w:val="0"/>
              <w:rPr>
                <w:rFonts w:ascii="Calibri" w:eastAsia="Times New Roman" w:hAnsi="Calibri" w:cs="Arial"/>
                <w:sz w:val="18"/>
                <w:szCs w:val="18"/>
                <w:lang w:val="en-US"/>
              </w:rPr>
            </w:pPr>
            <w:bookmarkStart w:id="1090" w:name="_Toc4062886"/>
            <w:r w:rsidRPr="00537128">
              <w:rPr>
                <w:rFonts w:ascii="Calibri" w:eastAsia="Times New Roman" w:hAnsi="Calibri" w:cs="Arial"/>
                <w:spacing w:val="-2"/>
                <w:sz w:val="18"/>
                <w:szCs w:val="18"/>
                <w:lang w:val="en-US"/>
              </w:rPr>
              <w:t>Loans to financial institutions</w:t>
            </w:r>
            <w:bookmarkEnd w:id="1090"/>
          </w:p>
        </w:tc>
        <w:tc>
          <w:tcPr>
            <w:tcW w:w="506" w:type="pct"/>
            <w:tcBorders>
              <w:top w:val="nil"/>
              <w:left w:val="nil"/>
              <w:bottom w:val="nil"/>
              <w:right w:val="nil"/>
            </w:tcBorders>
            <w:vAlign w:val="bottom"/>
          </w:tcPr>
          <w:p w14:paraId="6C2B0112" w14:textId="07C10D0E"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w:t>
            </w:r>
          </w:p>
        </w:tc>
        <w:tc>
          <w:tcPr>
            <w:tcW w:w="568" w:type="pct"/>
            <w:tcBorders>
              <w:top w:val="nil"/>
              <w:left w:val="nil"/>
              <w:bottom w:val="nil"/>
              <w:right w:val="nil"/>
            </w:tcBorders>
            <w:vAlign w:val="bottom"/>
          </w:tcPr>
          <w:p w14:paraId="48D503FB" w14:textId="3D670363"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3,247,520</w:t>
            </w:r>
          </w:p>
        </w:tc>
        <w:tc>
          <w:tcPr>
            <w:tcW w:w="616" w:type="pct"/>
            <w:tcBorders>
              <w:top w:val="nil"/>
              <w:left w:val="nil"/>
              <w:bottom w:val="nil"/>
              <w:right w:val="nil"/>
            </w:tcBorders>
            <w:vAlign w:val="bottom"/>
          </w:tcPr>
          <w:p w14:paraId="2F067D8A" w14:textId="74B4176D"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w:t>
            </w:r>
          </w:p>
        </w:tc>
        <w:tc>
          <w:tcPr>
            <w:tcW w:w="615" w:type="pct"/>
            <w:tcBorders>
              <w:top w:val="nil"/>
              <w:left w:val="nil"/>
              <w:bottom w:val="nil"/>
              <w:right w:val="nil"/>
            </w:tcBorders>
            <w:vAlign w:val="bottom"/>
          </w:tcPr>
          <w:p w14:paraId="270AEA4E" w14:textId="386EF080"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3,247,520</w:t>
            </w:r>
          </w:p>
        </w:tc>
        <w:tc>
          <w:tcPr>
            <w:tcW w:w="678" w:type="pct"/>
            <w:tcBorders>
              <w:top w:val="nil"/>
              <w:left w:val="nil"/>
              <w:bottom w:val="nil"/>
              <w:right w:val="nil"/>
            </w:tcBorders>
            <w:vAlign w:val="bottom"/>
          </w:tcPr>
          <w:p w14:paraId="68CB7DA3" w14:textId="054F3D28"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3,694,440</w:t>
            </w:r>
          </w:p>
        </w:tc>
        <w:tc>
          <w:tcPr>
            <w:tcW w:w="633" w:type="pct"/>
            <w:tcBorders>
              <w:top w:val="nil"/>
              <w:left w:val="nil"/>
              <w:bottom w:val="nil"/>
            </w:tcBorders>
            <w:vAlign w:val="bottom"/>
          </w:tcPr>
          <w:p w14:paraId="619FC51B" w14:textId="2AA37311"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6,941,960</w:t>
            </w:r>
          </w:p>
        </w:tc>
      </w:tr>
      <w:tr w:rsidR="005C528F" w:rsidRPr="00537128" w14:paraId="3EFD0D1A" w14:textId="77777777" w:rsidTr="004C62ED">
        <w:trPr>
          <w:trHeight w:hRule="exact" w:val="301"/>
        </w:trPr>
        <w:tc>
          <w:tcPr>
            <w:tcW w:w="1384" w:type="pct"/>
            <w:vAlign w:val="bottom"/>
          </w:tcPr>
          <w:p w14:paraId="0CEC5925" w14:textId="77777777" w:rsidR="005C528F" w:rsidRPr="00537128" w:rsidRDefault="005C528F" w:rsidP="005C528F">
            <w:pPr>
              <w:tabs>
                <w:tab w:val="right" w:pos="1202"/>
              </w:tabs>
              <w:spacing w:after="0" w:line="240" w:lineRule="exact"/>
              <w:outlineLvl w:val="0"/>
              <w:rPr>
                <w:rFonts w:ascii="Calibri" w:eastAsia="Times New Roman" w:hAnsi="Calibri" w:cs="Arial"/>
                <w:sz w:val="18"/>
                <w:szCs w:val="18"/>
                <w:lang w:val="en-US"/>
              </w:rPr>
            </w:pPr>
            <w:bookmarkStart w:id="1091" w:name="_Toc4062887"/>
            <w:r w:rsidRPr="00537128">
              <w:rPr>
                <w:rFonts w:ascii="Calibri" w:eastAsia="Times New Roman" w:hAnsi="Calibri" w:cs="Arial"/>
                <w:spacing w:val="-2"/>
                <w:sz w:val="18"/>
                <w:szCs w:val="18"/>
                <w:lang w:val="en-US"/>
              </w:rPr>
              <w:t>Loans to other customers</w:t>
            </w:r>
            <w:bookmarkEnd w:id="1091"/>
            <w:r w:rsidRPr="00537128">
              <w:rPr>
                <w:rFonts w:ascii="Calibri" w:eastAsia="Times New Roman" w:hAnsi="Calibri" w:cs="Arial"/>
                <w:spacing w:val="-2"/>
                <w:sz w:val="18"/>
                <w:szCs w:val="18"/>
                <w:lang w:val="en-US"/>
              </w:rPr>
              <w:t xml:space="preserve"> </w:t>
            </w:r>
          </w:p>
        </w:tc>
        <w:tc>
          <w:tcPr>
            <w:tcW w:w="506" w:type="pct"/>
            <w:tcBorders>
              <w:top w:val="nil"/>
              <w:left w:val="nil"/>
              <w:bottom w:val="nil"/>
              <w:right w:val="nil"/>
            </w:tcBorders>
            <w:vAlign w:val="bottom"/>
          </w:tcPr>
          <w:p w14:paraId="6224A4D9" w14:textId="276B3927"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46,478</w:t>
            </w:r>
          </w:p>
        </w:tc>
        <w:tc>
          <w:tcPr>
            <w:tcW w:w="568" w:type="pct"/>
            <w:tcBorders>
              <w:top w:val="nil"/>
              <w:left w:val="nil"/>
              <w:bottom w:val="nil"/>
              <w:right w:val="nil"/>
            </w:tcBorders>
            <w:vAlign w:val="bottom"/>
          </w:tcPr>
          <w:p w14:paraId="32D512D1" w14:textId="56DF6A11"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9,597,200</w:t>
            </w:r>
          </w:p>
        </w:tc>
        <w:tc>
          <w:tcPr>
            <w:tcW w:w="616" w:type="pct"/>
            <w:tcBorders>
              <w:top w:val="nil"/>
              <w:left w:val="nil"/>
              <w:bottom w:val="nil"/>
              <w:right w:val="nil"/>
            </w:tcBorders>
            <w:vAlign w:val="bottom"/>
          </w:tcPr>
          <w:p w14:paraId="333FAAAD" w14:textId="553A3AD3"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w:t>
            </w:r>
          </w:p>
        </w:tc>
        <w:tc>
          <w:tcPr>
            <w:tcW w:w="615" w:type="pct"/>
            <w:tcBorders>
              <w:top w:val="nil"/>
              <w:left w:val="nil"/>
              <w:bottom w:val="nil"/>
              <w:right w:val="nil"/>
            </w:tcBorders>
            <w:vAlign w:val="bottom"/>
          </w:tcPr>
          <w:p w14:paraId="2C838504" w14:textId="4F8F34C9"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9,643,678</w:t>
            </w:r>
          </w:p>
        </w:tc>
        <w:tc>
          <w:tcPr>
            <w:tcW w:w="678" w:type="pct"/>
            <w:tcBorders>
              <w:top w:val="nil"/>
              <w:left w:val="nil"/>
              <w:bottom w:val="nil"/>
              <w:right w:val="nil"/>
            </w:tcBorders>
            <w:vAlign w:val="bottom"/>
          </w:tcPr>
          <w:p w14:paraId="4C92BFF2" w14:textId="21B256D9"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6,082,755</w:t>
            </w:r>
          </w:p>
        </w:tc>
        <w:tc>
          <w:tcPr>
            <w:tcW w:w="633" w:type="pct"/>
            <w:tcBorders>
              <w:top w:val="nil"/>
              <w:left w:val="nil"/>
              <w:bottom w:val="nil"/>
            </w:tcBorders>
            <w:vAlign w:val="bottom"/>
          </w:tcPr>
          <w:p w14:paraId="34DA8A6B" w14:textId="4780A960"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15,726,433</w:t>
            </w:r>
          </w:p>
        </w:tc>
      </w:tr>
      <w:tr w:rsidR="005C528F" w:rsidRPr="00537128" w14:paraId="5D0ED43E" w14:textId="77777777" w:rsidTr="004C62ED">
        <w:trPr>
          <w:trHeight w:hRule="exact" w:val="522"/>
        </w:trPr>
        <w:tc>
          <w:tcPr>
            <w:tcW w:w="1384" w:type="pct"/>
            <w:vAlign w:val="bottom"/>
          </w:tcPr>
          <w:p w14:paraId="0CEC7D4F" w14:textId="77777777" w:rsidR="005C528F" w:rsidRPr="00537128" w:rsidRDefault="005C528F" w:rsidP="005C528F">
            <w:pPr>
              <w:tabs>
                <w:tab w:val="right" w:pos="1202"/>
              </w:tabs>
              <w:spacing w:after="0" w:line="240" w:lineRule="exact"/>
              <w:outlineLvl w:val="0"/>
              <w:rPr>
                <w:rFonts w:ascii="Calibri" w:eastAsia="Times New Roman" w:hAnsi="Calibri" w:cs="Arial"/>
                <w:spacing w:val="-2"/>
                <w:sz w:val="18"/>
                <w:szCs w:val="18"/>
                <w:lang w:val="en-US"/>
              </w:rPr>
            </w:pPr>
            <w:bookmarkStart w:id="1092" w:name="_Toc4062888"/>
            <w:r w:rsidRPr="00537128">
              <w:rPr>
                <w:rFonts w:ascii="Calibri" w:eastAsia="Calibri" w:hAnsi="Calibri" w:cs="Arial"/>
                <w:sz w:val="18"/>
                <w:szCs w:val="18"/>
                <w:lang w:val="en-US"/>
              </w:rPr>
              <w:t>Financial assets at fair value through profit or loss</w:t>
            </w:r>
            <w:bookmarkEnd w:id="1092"/>
          </w:p>
        </w:tc>
        <w:tc>
          <w:tcPr>
            <w:tcW w:w="506" w:type="pct"/>
            <w:tcBorders>
              <w:top w:val="nil"/>
              <w:left w:val="nil"/>
              <w:bottom w:val="nil"/>
              <w:right w:val="nil"/>
            </w:tcBorders>
            <w:vAlign w:val="bottom"/>
          </w:tcPr>
          <w:p w14:paraId="678FF186" w14:textId="370C57A9" w:rsidR="005C528F" w:rsidRPr="00537128" w:rsidDel="001F1161"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25,652</w:t>
            </w:r>
          </w:p>
        </w:tc>
        <w:tc>
          <w:tcPr>
            <w:tcW w:w="568" w:type="pct"/>
            <w:tcBorders>
              <w:top w:val="nil"/>
              <w:left w:val="nil"/>
              <w:bottom w:val="nil"/>
              <w:right w:val="nil"/>
            </w:tcBorders>
            <w:vAlign w:val="bottom"/>
          </w:tcPr>
          <w:p w14:paraId="183199DE" w14:textId="610ED1A6" w:rsidR="005C528F" w:rsidRPr="00537128" w:rsidDel="001F1161"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48,770</w:t>
            </w:r>
          </w:p>
        </w:tc>
        <w:tc>
          <w:tcPr>
            <w:tcW w:w="616" w:type="pct"/>
            <w:tcBorders>
              <w:top w:val="nil"/>
              <w:left w:val="nil"/>
              <w:bottom w:val="nil"/>
              <w:right w:val="nil"/>
            </w:tcBorders>
            <w:vAlign w:val="bottom"/>
          </w:tcPr>
          <w:p w14:paraId="41E89A9D" w14:textId="6DDB4AAF" w:rsidR="005C528F" w:rsidRPr="00537128" w:rsidDel="001F1161"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w:t>
            </w:r>
          </w:p>
        </w:tc>
        <w:tc>
          <w:tcPr>
            <w:tcW w:w="615" w:type="pct"/>
            <w:tcBorders>
              <w:top w:val="nil"/>
              <w:left w:val="nil"/>
              <w:bottom w:val="nil"/>
              <w:right w:val="nil"/>
            </w:tcBorders>
            <w:vAlign w:val="bottom"/>
          </w:tcPr>
          <w:p w14:paraId="13803F05" w14:textId="2637FDC5" w:rsidR="005C528F" w:rsidRPr="00537128" w:rsidDel="001F1161"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74,422</w:t>
            </w:r>
          </w:p>
        </w:tc>
        <w:tc>
          <w:tcPr>
            <w:tcW w:w="678" w:type="pct"/>
            <w:tcBorders>
              <w:top w:val="nil"/>
              <w:left w:val="nil"/>
              <w:bottom w:val="nil"/>
              <w:right w:val="nil"/>
            </w:tcBorders>
            <w:vAlign w:val="bottom"/>
          </w:tcPr>
          <w:p w14:paraId="39FE6F52" w14:textId="5ADE778B" w:rsidR="005C528F" w:rsidRPr="00537128" w:rsidDel="001F1161"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55,122</w:t>
            </w:r>
          </w:p>
        </w:tc>
        <w:tc>
          <w:tcPr>
            <w:tcW w:w="633" w:type="pct"/>
            <w:tcBorders>
              <w:top w:val="nil"/>
              <w:left w:val="nil"/>
              <w:bottom w:val="nil"/>
            </w:tcBorders>
            <w:vAlign w:val="bottom"/>
          </w:tcPr>
          <w:p w14:paraId="710161B8" w14:textId="5759C6C6" w:rsidR="005C528F" w:rsidRPr="00537128" w:rsidDel="001F1161"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129,544</w:t>
            </w:r>
          </w:p>
        </w:tc>
      </w:tr>
      <w:tr w:rsidR="005C528F" w:rsidRPr="00537128" w14:paraId="5B73AD92" w14:textId="77777777" w:rsidTr="004C62ED">
        <w:trPr>
          <w:trHeight w:hRule="exact" w:val="714"/>
        </w:trPr>
        <w:tc>
          <w:tcPr>
            <w:tcW w:w="1384" w:type="pct"/>
            <w:vAlign w:val="bottom"/>
          </w:tcPr>
          <w:p w14:paraId="1CF126DE" w14:textId="77777777" w:rsidR="005C528F" w:rsidRPr="00537128" w:rsidRDefault="005C528F" w:rsidP="005C528F">
            <w:pPr>
              <w:tabs>
                <w:tab w:val="right" w:pos="1202"/>
              </w:tabs>
              <w:spacing w:after="0" w:line="240" w:lineRule="exact"/>
              <w:outlineLvl w:val="0"/>
              <w:rPr>
                <w:rFonts w:ascii="Calibri" w:eastAsia="Times New Roman" w:hAnsi="Calibri" w:cs="Arial"/>
                <w:spacing w:val="-2"/>
                <w:sz w:val="18"/>
                <w:szCs w:val="18"/>
                <w:lang w:val="en-US"/>
              </w:rPr>
            </w:pPr>
            <w:bookmarkStart w:id="1093" w:name="_Toc4062889"/>
            <w:r w:rsidRPr="00537128">
              <w:rPr>
                <w:rFonts w:ascii="Calibri" w:eastAsia="Calibri" w:hAnsi="Calibri" w:cs="Arial"/>
                <w:sz w:val="18"/>
                <w:szCs w:val="18"/>
                <w:lang w:val="en-US"/>
              </w:rPr>
              <w:t>Financial assets at fair value through other comprehensive income</w:t>
            </w:r>
            <w:bookmarkEnd w:id="1093"/>
          </w:p>
        </w:tc>
        <w:tc>
          <w:tcPr>
            <w:tcW w:w="506" w:type="pct"/>
            <w:tcBorders>
              <w:top w:val="nil"/>
              <w:left w:val="nil"/>
              <w:bottom w:val="nil"/>
              <w:right w:val="nil"/>
            </w:tcBorders>
            <w:vAlign w:val="bottom"/>
          </w:tcPr>
          <w:p w14:paraId="6A6CCC0B" w14:textId="131A307E" w:rsidR="005C528F" w:rsidRPr="00537128" w:rsidDel="001F1161"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w:t>
            </w:r>
          </w:p>
        </w:tc>
        <w:tc>
          <w:tcPr>
            <w:tcW w:w="568" w:type="pct"/>
            <w:tcBorders>
              <w:top w:val="nil"/>
              <w:left w:val="nil"/>
              <w:bottom w:val="nil"/>
              <w:right w:val="nil"/>
            </w:tcBorders>
            <w:vAlign w:val="bottom"/>
          </w:tcPr>
          <w:p w14:paraId="6ADCA114" w14:textId="5A8DCFC6" w:rsidR="005C528F" w:rsidRPr="00537128" w:rsidDel="001F1161"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1,038,088</w:t>
            </w:r>
          </w:p>
        </w:tc>
        <w:tc>
          <w:tcPr>
            <w:tcW w:w="616" w:type="pct"/>
            <w:tcBorders>
              <w:top w:val="nil"/>
              <w:left w:val="nil"/>
              <w:bottom w:val="nil"/>
              <w:right w:val="nil"/>
            </w:tcBorders>
            <w:vAlign w:val="bottom"/>
          </w:tcPr>
          <w:p w14:paraId="2D1C695D" w14:textId="4A821BDD" w:rsidR="005C528F" w:rsidRPr="00537128" w:rsidDel="001F1161"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w:t>
            </w:r>
          </w:p>
        </w:tc>
        <w:tc>
          <w:tcPr>
            <w:tcW w:w="615" w:type="pct"/>
            <w:tcBorders>
              <w:top w:val="nil"/>
              <w:left w:val="nil"/>
              <w:bottom w:val="nil"/>
              <w:right w:val="nil"/>
            </w:tcBorders>
            <w:vAlign w:val="bottom"/>
          </w:tcPr>
          <w:p w14:paraId="3602DA3F" w14:textId="248B8A08" w:rsidR="005C528F" w:rsidRPr="00537128" w:rsidDel="001F1161"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1,038,088</w:t>
            </w:r>
          </w:p>
        </w:tc>
        <w:tc>
          <w:tcPr>
            <w:tcW w:w="678" w:type="pct"/>
            <w:tcBorders>
              <w:top w:val="nil"/>
              <w:left w:val="nil"/>
              <w:bottom w:val="nil"/>
              <w:right w:val="nil"/>
            </w:tcBorders>
            <w:vAlign w:val="bottom"/>
          </w:tcPr>
          <w:p w14:paraId="267B64FA" w14:textId="46E7FA6B" w:rsidR="005C528F" w:rsidRPr="00537128" w:rsidDel="001F1161"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2,157,772</w:t>
            </w:r>
          </w:p>
        </w:tc>
        <w:tc>
          <w:tcPr>
            <w:tcW w:w="633" w:type="pct"/>
            <w:tcBorders>
              <w:top w:val="nil"/>
              <w:left w:val="nil"/>
              <w:bottom w:val="nil"/>
            </w:tcBorders>
            <w:vAlign w:val="bottom"/>
          </w:tcPr>
          <w:p w14:paraId="66DD863D" w14:textId="0CF407E3" w:rsidR="005C528F" w:rsidRPr="00537128" w:rsidDel="001F1161"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3,195,860</w:t>
            </w:r>
          </w:p>
        </w:tc>
      </w:tr>
      <w:tr w:rsidR="005C528F" w:rsidRPr="00537128" w14:paraId="67554FFD" w14:textId="77777777" w:rsidTr="004C62ED">
        <w:trPr>
          <w:trHeight w:hRule="exact" w:val="301"/>
        </w:trPr>
        <w:tc>
          <w:tcPr>
            <w:tcW w:w="1384" w:type="pct"/>
            <w:vAlign w:val="bottom"/>
          </w:tcPr>
          <w:p w14:paraId="7FD6AAF4" w14:textId="77777777" w:rsidR="005C528F" w:rsidRPr="00537128" w:rsidRDefault="005C528F" w:rsidP="005C528F">
            <w:pPr>
              <w:tabs>
                <w:tab w:val="right" w:pos="1202"/>
              </w:tabs>
              <w:spacing w:after="0" w:line="240" w:lineRule="exact"/>
              <w:outlineLvl w:val="0"/>
              <w:rPr>
                <w:rFonts w:ascii="Calibri" w:eastAsia="Times New Roman" w:hAnsi="Calibri" w:cs="Arial"/>
                <w:sz w:val="18"/>
                <w:szCs w:val="18"/>
                <w:lang w:val="en-US"/>
              </w:rPr>
            </w:pPr>
            <w:bookmarkStart w:id="1094" w:name="_Toc4062890"/>
            <w:r w:rsidRPr="00537128">
              <w:rPr>
                <w:rFonts w:ascii="Calibri" w:eastAsia="Times New Roman" w:hAnsi="Calibri" w:cs="Arial"/>
                <w:spacing w:val="-2"/>
                <w:sz w:val="18"/>
                <w:szCs w:val="18"/>
                <w:lang w:val="en-US"/>
              </w:rPr>
              <w:t>Investments in subsidiaries</w:t>
            </w:r>
            <w:bookmarkEnd w:id="1094"/>
          </w:p>
        </w:tc>
        <w:tc>
          <w:tcPr>
            <w:tcW w:w="506" w:type="pct"/>
            <w:tcBorders>
              <w:top w:val="nil"/>
              <w:left w:val="nil"/>
              <w:bottom w:val="nil"/>
              <w:right w:val="nil"/>
            </w:tcBorders>
            <w:vAlign w:val="bottom"/>
          </w:tcPr>
          <w:p w14:paraId="69694893" w14:textId="3696F5AE"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w:t>
            </w:r>
          </w:p>
        </w:tc>
        <w:tc>
          <w:tcPr>
            <w:tcW w:w="568" w:type="pct"/>
            <w:tcBorders>
              <w:top w:val="nil"/>
              <w:left w:val="nil"/>
              <w:bottom w:val="nil"/>
              <w:right w:val="nil"/>
            </w:tcBorders>
            <w:vAlign w:val="bottom"/>
          </w:tcPr>
          <w:p w14:paraId="07122C03" w14:textId="585BD433"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w:t>
            </w:r>
          </w:p>
        </w:tc>
        <w:tc>
          <w:tcPr>
            <w:tcW w:w="616" w:type="pct"/>
            <w:tcBorders>
              <w:top w:val="nil"/>
              <w:left w:val="nil"/>
              <w:bottom w:val="nil"/>
              <w:right w:val="nil"/>
            </w:tcBorders>
            <w:vAlign w:val="bottom"/>
          </w:tcPr>
          <w:p w14:paraId="5F2F2530" w14:textId="55E88703"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w:t>
            </w:r>
          </w:p>
        </w:tc>
        <w:tc>
          <w:tcPr>
            <w:tcW w:w="615" w:type="pct"/>
            <w:tcBorders>
              <w:top w:val="nil"/>
              <w:left w:val="nil"/>
              <w:bottom w:val="nil"/>
              <w:right w:val="nil"/>
            </w:tcBorders>
            <w:vAlign w:val="bottom"/>
          </w:tcPr>
          <w:p w14:paraId="2EB281D3" w14:textId="549059CD"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w:t>
            </w:r>
          </w:p>
        </w:tc>
        <w:tc>
          <w:tcPr>
            <w:tcW w:w="678" w:type="pct"/>
            <w:tcBorders>
              <w:top w:val="nil"/>
              <w:left w:val="nil"/>
              <w:bottom w:val="nil"/>
              <w:right w:val="nil"/>
            </w:tcBorders>
            <w:vAlign w:val="bottom"/>
          </w:tcPr>
          <w:p w14:paraId="112B37E6" w14:textId="78CA2134"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36,124</w:t>
            </w:r>
          </w:p>
        </w:tc>
        <w:tc>
          <w:tcPr>
            <w:tcW w:w="633" w:type="pct"/>
            <w:tcBorders>
              <w:top w:val="nil"/>
              <w:left w:val="nil"/>
              <w:bottom w:val="nil"/>
            </w:tcBorders>
            <w:vAlign w:val="bottom"/>
          </w:tcPr>
          <w:p w14:paraId="420C2787" w14:textId="33F43EF4"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36,124</w:t>
            </w:r>
          </w:p>
        </w:tc>
      </w:tr>
      <w:tr w:rsidR="005C528F" w:rsidRPr="00537128" w14:paraId="5704AA63" w14:textId="77777777" w:rsidTr="004C62ED">
        <w:trPr>
          <w:trHeight w:val="464"/>
        </w:trPr>
        <w:tc>
          <w:tcPr>
            <w:tcW w:w="1384" w:type="pct"/>
            <w:vAlign w:val="bottom"/>
          </w:tcPr>
          <w:p w14:paraId="4EEA96F8" w14:textId="77777777" w:rsidR="005C528F" w:rsidRPr="00537128" w:rsidRDefault="005C528F" w:rsidP="005C528F">
            <w:pPr>
              <w:tabs>
                <w:tab w:val="right" w:pos="1202"/>
              </w:tabs>
              <w:spacing w:after="0" w:line="240" w:lineRule="exact"/>
              <w:outlineLvl w:val="0"/>
              <w:rPr>
                <w:rFonts w:ascii="Calibri" w:eastAsia="Times New Roman" w:hAnsi="Calibri" w:cs="Arial"/>
                <w:sz w:val="18"/>
                <w:szCs w:val="18"/>
                <w:lang w:val="en-US"/>
              </w:rPr>
            </w:pPr>
            <w:bookmarkStart w:id="1095" w:name="_Toc4062891"/>
            <w:r w:rsidRPr="00537128">
              <w:rPr>
                <w:rFonts w:ascii="Calibri" w:eastAsia="Times New Roman" w:hAnsi="Calibri" w:cs="Arial"/>
                <w:spacing w:val="-2"/>
                <w:sz w:val="18"/>
                <w:szCs w:val="18"/>
                <w:lang w:val="en-US"/>
              </w:rPr>
              <w:t>Property, plant and equipment and intangible assets</w:t>
            </w:r>
            <w:bookmarkEnd w:id="1095"/>
          </w:p>
        </w:tc>
        <w:tc>
          <w:tcPr>
            <w:tcW w:w="506" w:type="pct"/>
            <w:tcBorders>
              <w:top w:val="nil"/>
              <w:left w:val="nil"/>
              <w:bottom w:val="nil"/>
              <w:right w:val="nil"/>
            </w:tcBorders>
            <w:vAlign w:val="bottom"/>
          </w:tcPr>
          <w:p w14:paraId="18AE7DD0" w14:textId="354EB852"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w:t>
            </w:r>
          </w:p>
        </w:tc>
        <w:tc>
          <w:tcPr>
            <w:tcW w:w="568" w:type="pct"/>
            <w:tcBorders>
              <w:top w:val="nil"/>
              <w:left w:val="nil"/>
              <w:bottom w:val="nil"/>
              <w:right w:val="nil"/>
            </w:tcBorders>
            <w:vAlign w:val="bottom"/>
          </w:tcPr>
          <w:p w14:paraId="791D669B" w14:textId="2801E23B"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w:t>
            </w:r>
          </w:p>
        </w:tc>
        <w:tc>
          <w:tcPr>
            <w:tcW w:w="616" w:type="pct"/>
            <w:tcBorders>
              <w:top w:val="nil"/>
              <w:left w:val="nil"/>
              <w:bottom w:val="nil"/>
              <w:right w:val="nil"/>
            </w:tcBorders>
            <w:vAlign w:val="bottom"/>
          </w:tcPr>
          <w:p w14:paraId="77F64489" w14:textId="6B50AD00"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w:t>
            </w:r>
          </w:p>
        </w:tc>
        <w:tc>
          <w:tcPr>
            <w:tcW w:w="615" w:type="pct"/>
            <w:tcBorders>
              <w:top w:val="nil"/>
              <w:left w:val="nil"/>
              <w:bottom w:val="nil"/>
              <w:right w:val="nil"/>
            </w:tcBorders>
            <w:vAlign w:val="bottom"/>
          </w:tcPr>
          <w:p w14:paraId="3DB04244" w14:textId="1109C25A"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w:t>
            </w:r>
          </w:p>
        </w:tc>
        <w:tc>
          <w:tcPr>
            <w:tcW w:w="678" w:type="pct"/>
            <w:tcBorders>
              <w:top w:val="nil"/>
              <w:left w:val="nil"/>
              <w:bottom w:val="nil"/>
              <w:right w:val="nil"/>
            </w:tcBorders>
            <w:vAlign w:val="bottom"/>
          </w:tcPr>
          <w:p w14:paraId="2DEB0658" w14:textId="31116814"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42,408</w:t>
            </w:r>
          </w:p>
        </w:tc>
        <w:tc>
          <w:tcPr>
            <w:tcW w:w="633" w:type="pct"/>
            <w:tcBorders>
              <w:top w:val="nil"/>
              <w:left w:val="nil"/>
              <w:bottom w:val="nil"/>
            </w:tcBorders>
            <w:vAlign w:val="bottom"/>
          </w:tcPr>
          <w:p w14:paraId="2C5F1711" w14:textId="432212FB"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42,408</w:t>
            </w:r>
          </w:p>
        </w:tc>
      </w:tr>
      <w:tr w:rsidR="005C528F" w:rsidRPr="00537128" w14:paraId="03B07100" w14:textId="77777777" w:rsidTr="004C62ED">
        <w:trPr>
          <w:trHeight w:val="277"/>
        </w:trPr>
        <w:tc>
          <w:tcPr>
            <w:tcW w:w="1384" w:type="pct"/>
            <w:vAlign w:val="bottom"/>
          </w:tcPr>
          <w:p w14:paraId="69096F2E" w14:textId="77777777" w:rsidR="005C528F" w:rsidRPr="00537128" w:rsidRDefault="005C528F" w:rsidP="005C528F">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Foreclosed assets</w:t>
            </w:r>
          </w:p>
        </w:tc>
        <w:tc>
          <w:tcPr>
            <w:tcW w:w="506" w:type="pct"/>
            <w:tcBorders>
              <w:top w:val="nil"/>
              <w:left w:val="nil"/>
              <w:bottom w:val="nil"/>
              <w:right w:val="nil"/>
            </w:tcBorders>
            <w:vAlign w:val="bottom"/>
          </w:tcPr>
          <w:p w14:paraId="29FB2209" w14:textId="418C5F8E"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w:t>
            </w:r>
          </w:p>
        </w:tc>
        <w:tc>
          <w:tcPr>
            <w:tcW w:w="568" w:type="pct"/>
            <w:tcBorders>
              <w:top w:val="nil"/>
              <w:left w:val="nil"/>
              <w:bottom w:val="nil"/>
              <w:right w:val="nil"/>
            </w:tcBorders>
            <w:vAlign w:val="bottom"/>
          </w:tcPr>
          <w:p w14:paraId="22558372" w14:textId="413A9703"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w:t>
            </w:r>
          </w:p>
        </w:tc>
        <w:tc>
          <w:tcPr>
            <w:tcW w:w="616" w:type="pct"/>
            <w:tcBorders>
              <w:top w:val="nil"/>
              <w:left w:val="nil"/>
              <w:bottom w:val="nil"/>
              <w:right w:val="nil"/>
            </w:tcBorders>
            <w:vAlign w:val="bottom"/>
          </w:tcPr>
          <w:p w14:paraId="45A06D87" w14:textId="7FC0326A"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w:t>
            </w:r>
          </w:p>
        </w:tc>
        <w:tc>
          <w:tcPr>
            <w:tcW w:w="615" w:type="pct"/>
            <w:tcBorders>
              <w:top w:val="nil"/>
              <w:left w:val="nil"/>
              <w:bottom w:val="nil"/>
              <w:right w:val="nil"/>
            </w:tcBorders>
            <w:vAlign w:val="bottom"/>
          </w:tcPr>
          <w:p w14:paraId="3696A7F7" w14:textId="0B5B1508"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w:t>
            </w:r>
          </w:p>
        </w:tc>
        <w:tc>
          <w:tcPr>
            <w:tcW w:w="678" w:type="pct"/>
            <w:tcBorders>
              <w:top w:val="nil"/>
              <w:left w:val="nil"/>
              <w:bottom w:val="nil"/>
              <w:right w:val="nil"/>
            </w:tcBorders>
            <w:vAlign w:val="bottom"/>
          </w:tcPr>
          <w:p w14:paraId="4CB672FD" w14:textId="43B2A4E3"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24,996</w:t>
            </w:r>
          </w:p>
        </w:tc>
        <w:tc>
          <w:tcPr>
            <w:tcW w:w="633" w:type="pct"/>
            <w:tcBorders>
              <w:top w:val="nil"/>
              <w:left w:val="nil"/>
              <w:bottom w:val="nil"/>
            </w:tcBorders>
            <w:vAlign w:val="bottom"/>
          </w:tcPr>
          <w:p w14:paraId="0E663FF6" w14:textId="58301793"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24,996</w:t>
            </w:r>
          </w:p>
        </w:tc>
      </w:tr>
      <w:tr w:rsidR="005C528F" w:rsidRPr="00537128" w14:paraId="720FC319" w14:textId="77777777" w:rsidTr="004C62ED">
        <w:trPr>
          <w:trHeight w:val="205"/>
        </w:trPr>
        <w:tc>
          <w:tcPr>
            <w:tcW w:w="1384" w:type="pct"/>
            <w:vAlign w:val="bottom"/>
          </w:tcPr>
          <w:p w14:paraId="22EBBC0F" w14:textId="77777777" w:rsidR="005C528F" w:rsidRPr="00537128" w:rsidRDefault="005C528F" w:rsidP="005C528F">
            <w:pPr>
              <w:tabs>
                <w:tab w:val="right" w:pos="1202"/>
              </w:tabs>
              <w:spacing w:after="0" w:line="240" w:lineRule="exact"/>
              <w:outlineLvl w:val="0"/>
              <w:rPr>
                <w:rFonts w:ascii="Calibri" w:eastAsia="Times New Roman" w:hAnsi="Calibri" w:cs="Arial"/>
                <w:sz w:val="18"/>
                <w:szCs w:val="18"/>
                <w:lang w:val="en-US"/>
              </w:rPr>
            </w:pPr>
            <w:bookmarkStart w:id="1096" w:name="_Toc4062893"/>
            <w:r w:rsidRPr="00537128">
              <w:rPr>
                <w:rFonts w:ascii="Calibri" w:eastAsia="Times New Roman" w:hAnsi="Calibri" w:cs="Arial"/>
                <w:spacing w:val="-2"/>
                <w:sz w:val="18"/>
                <w:szCs w:val="18"/>
                <w:lang w:val="en-US"/>
              </w:rPr>
              <w:t>Other assets</w:t>
            </w:r>
            <w:bookmarkEnd w:id="1096"/>
            <w:r w:rsidRPr="00537128">
              <w:rPr>
                <w:rFonts w:ascii="Calibri" w:eastAsia="Times New Roman" w:hAnsi="Calibri" w:cs="Arial"/>
                <w:spacing w:val="-2"/>
                <w:sz w:val="18"/>
                <w:szCs w:val="18"/>
                <w:lang w:val="en-US"/>
              </w:rPr>
              <w:t xml:space="preserve"> </w:t>
            </w:r>
          </w:p>
        </w:tc>
        <w:tc>
          <w:tcPr>
            <w:tcW w:w="506" w:type="pct"/>
            <w:tcBorders>
              <w:top w:val="nil"/>
              <w:left w:val="nil"/>
              <w:bottom w:val="nil"/>
              <w:right w:val="nil"/>
            </w:tcBorders>
            <w:vAlign w:val="bottom"/>
          </w:tcPr>
          <w:p w14:paraId="489A419F" w14:textId="7D884571"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w:t>
            </w:r>
          </w:p>
        </w:tc>
        <w:tc>
          <w:tcPr>
            <w:tcW w:w="568" w:type="pct"/>
            <w:tcBorders>
              <w:top w:val="nil"/>
              <w:left w:val="nil"/>
              <w:bottom w:val="nil"/>
              <w:right w:val="nil"/>
            </w:tcBorders>
            <w:vAlign w:val="bottom"/>
          </w:tcPr>
          <w:p w14:paraId="60D4571D" w14:textId="6FDCEBA5"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495</w:t>
            </w:r>
          </w:p>
        </w:tc>
        <w:tc>
          <w:tcPr>
            <w:tcW w:w="616" w:type="pct"/>
            <w:tcBorders>
              <w:top w:val="nil"/>
              <w:left w:val="nil"/>
              <w:bottom w:val="nil"/>
              <w:right w:val="nil"/>
            </w:tcBorders>
            <w:vAlign w:val="bottom"/>
          </w:tcPr>
          <w:p w14:paraId="4D1ED205" w14:textId="094912DA"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w:t>
            </w:r>
          </w:p>
        </w:tc>
        <w:tc>
          <w:tcPr>
            <w:tcW w:w="615" w:type="pct"/>
            <w:tcBorders>
              <w:top w:val="nil"/>
              <w:left w:val="nil"/>
              <w:bottom w:val="nil"/>
              <w:right w:val="nil"/>
            </w:tcBorders>
            <w:vAlign w:val="bottom"/>
          </w:tcPr>
          <w:p w14:paraId="326BE588" w14:textId="5364FD0D"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495</w:t>
            </w:r>
          </w:p>
        </w:tc>
        <w:tc>
          <w:tcPr>
            <w:tcW w:w="678" w:type="pct"/>
            <w:tcBorders>
              <w:top w:val="nil"/>
              <w:left w:val="nil"/>
              <w:bottom w:val="nil"/>
              <w:right w:val="nil"/>
            </w:tcBorders>
            <w:vAlign w:val="bottom"/>
          </w:tcPr>
          <w:p w14:paraId="70515278" w14:textId="0BFBE72A"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38,462</w:t>
            </w:r>
          </w:p>
        </w:tc>
        <w:tc>
          <w:tcPr>
            <w:tcW w:w="633" w:type="pct"/>
            <w:tcBorders>
              <w:top w:val="nil"/>
              <w:left w:val="nil"/>
              <w:bottom w:val="nil"/>
            </w:tcBorders>
            <w:vAlign w:val="bottom"/>
          </w:tcPr>
          <w:p w14:paraId="7AD5AB0B" w14:textId="7ED45A6E"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38,957</w:t>
            </w:r>
          </w:p>
        </w:tc>
      </w:tr>
      <w:tr w:rsidR="005C528F" w:rsidRPr="00537128" w14:paraId="500F1C3C" w14:textId="77777777" w:rsidTr="005C528F">
        <w:trPr>
          <w:trHeight w:hRule="exact" w:val="343"/>
        </w:trPr>
        <w:tc>
          <w:tcPr>
            <w:tcW w:w="1384" w:type="pct"/>
            <w:vAlign w:val="bottom"/>
          </w:tcPr>
          <w:p w14:paraId="61BC8AE5" w14:textId="77777777" w:rsidR="005C528F" w:rsidRPr="00537128" w:rsidRDefault="005C528F" w:rsidP="005C528F">
            <w:pPr>
              <w:tabs>
                <w:tab w:val="right" w:pos="1202"/>
              </w:tabs>
              <w:spacing w:after="0" w:line="240" w:lineRule="exact"/>
              <w:outlineLvl w:val="0"/>
              <w:rPr>
                <w:rFonts w:ascii="Calibri" w:eastAsia="Times New Roman" w:hAnsi="Calibri" w:cs="Arial"/>
                <w:b/>
                <w:bCs/>
                <w:sz w:val="18"/>
                <w:szCs w:val="18"/>
                <w:lang w:val="en-US"/>
              </w:rPr>
            </w:pPr>
            <w:bookmarkStart w:id="1097" w:name="_Toc4062894"/>
            <w:r w:rsidRPr="00537128">
              <w:rPr>
                <w:rFonts w:ascii="Calibri" w:eastAsia="Times New Roman" w:hAnsi="Calibri" w:cs="Arial"/>
                <w:b/>
                <w:bCs/>
                <w:sz w:val="18"/>
                <w:szCs w:val="18"/>
                <w:lang w:val="en-US"/>
              </w:rPr>
              <w:t>Total assets</w:t>
            </w:r>
            <w:bookmarkEnd w:id="1097"/>
            <w:r w:rsidRPr="00537128">
              <w:rPr>
                <w:rFonts w:ascii="Calibri" w:eastAsia="Times New Roman" w:hAnsi="Calibri" w:cs="Arial"/>
                <w:b/>
                <w:bCs/>
                <w:sz w:val="18"/>
                <w:szCs w:val="18"/>
                <w:lang w:val="en-US"/>
              </w:rPr>
              <w:t xml:space="preserve"> </w:t>
            </w:r>
          </w:p>
        </w:tc>
        <w:tc>
          <w:tcPr>
            <w:tcW w:w="506" w:type="pct"/>
            <w:tcBorders>
              <w:top w:val="single" w:sz="4" w:space="0" w:color="000000"/>
              <w:bottom w:val="single" w:sz="8" w:space="0" w:color="000000"/>
            </w:tcBorders>
            <w:vAlign w:val="bottom"/>
          </w:tcPr>
          <w:p w14:paraId="192953ED" w14:textId="55C859BB" w:rsidR="005C528F" w:rsidRPr="00537128" w:rsidRDefault="005C528F" w:rsidP="005C528F">
            <w:pPr>
              <w:spacing w:after="0" w:line="240" w:lineRule="exact"/>
              <w:jc w:val="right"/>
              <w:rPr>
                <w:rFonts w:ascii="Calibri" w:eastAsia="Arial Unicode MS" w:hAnsi="Calibri" w:cs="Times New Roman"/>
                <w:b/>
                <w:bCs/>
                <w:color w:val="000000"/>
                <w:sz w:val="18"/>
                <w:szCs w:val="18"/>
                <w:lang w:val="en-US"/>
              </w:rPr>
            </w:pPr>
            <w:r>
              <w:rPr>
                <w:rFonts w:ascii="Calibri" w:hAnsi="Calibri"/>
                <w:b/>
                <w:bCs/>
                <w:color w:val="000000" w:themeColor="text1"/>
                <w:sz w:val="18"/>
                <w:szCs w:val="18"/>
              </w:rPr>
              <w:t>398,576</w:t>
            </w:r>
          </w:p>
        </w:tc>
        <w:tc>
          <w:tcPr>
            <w:tcW w:w="568" w:type="pct"/>
            <w:tcBorders>
              <w:top w:val="single" w:sz="4" w:space="0" w:color="000000"/>
              <w:bottom w:val="single" w:sz="8" w:space="0" w:color="000000"/>
            </w:tcBorders>
            <w:vAlign w:val="bottom"/>
          </w:tcPr>
          <w:p w14:paraId="618571AE" w14:textId="2D1AE120" w:rsidR="005C528F" w:rsidRPr="00537128" w:rsidRDefault="005C528F" w:rsidP="005C528F">
            <w:pPr>
              <w:spacing w:after="0" w:line="240" w:lineRule="exact"/>
              <w:jc w:val="right"/>
              <w:rPr>
                <w:rFonts w:ascii="Calibri" w:eastAsia="Arial Unicode MS" w:hAnsi="Calibri" w:cs="Times New Roman"/>
                <w:b/>
                <w:bCs/>
                <w:color w:val="000000"/>
                <w:sz w:val="18"/>
                <w:szCs w:val="18"/>
                <w:lang w:val="en-US"/>
              </w:rPr>
            </w:pPr>
            <w:r>
              <w:rPr>
                <w:rFonts w:ascii="Calibri" w:hAnsi="Calibri"/>
                <w:b/>
                <w:bCs/>
                <w:color w:val="000000" w:themeColor="text1"/>
                <w:sz w:val="18"/>
                <w:szCs w:val="18"/>
              </w:rPr>
              <w:t>14,001,435</w:t>
            </w:r>
          </w:p>
        </w:tc>
        <w:tc>
          <w:tcPr>
            <w:tcW w:w="616" w:type="pct"/>
            <w:tcBorders>
              <w:top w:val="single" w:sz="4" w:space="0" w:color="000000"/>
              <w:bottom w:val="single" w:sz="8" w:space="0" w:color="000000"/>
            </w:tcBorders>
            <w:vAlign w:val="bottom"/>
          </w:tcPr>
          <w:p w14:paraId="5766FE18" w14:textId="6A34C2CA" w:rsidR="005C528F" w:rsidRPr="00537128" w:rsidRDefault="005C528F" w:rsidP="005C528F">
            <w:pPr>
              <w:spacing w:after="0" w:line="240" w:lineRule="exact"/>
              <w:jc w:val="right"/>
              <w:rPr>
                <w:rFonts w:ascii="Calibri" w:eastAsia="Arial Unicode MS" w:hAnsi="Calibri" w:cs="Times New Roman"/>
                <w:b/>
                <w:bCs/>
                <w:color w:val="000000"/>
                <w:sz w:val="18"/>
                <w:szCs w:val="18"/>
                <w:lang w:val="en-US"/>
              </w:rPr>
            </w:pPr>
            <w:r>
              <w:rPr>
                <w:rFonts w:ascii="Calibri" w:hAnsi="Calibri"/>
                <w:b/>
                <w:bCs/>
                <w:color w:val="000000" w:themeColor="text1"/>
                <w:sz w:val="18"/>
                <w:szCs w:val="18"/>
              </w:rPr>
              <w:t>-</w:t>
            </w:r>
          </w:p>
        </w:tc>
        <w:tc>
          <w:tcPr>
            <w:tcW w:w="615" w:type="pct"/>
            <w:tcBorders>
              <w:top w:val="single" w:sz="4" w:space="0" w:color="000000"/>
              <w:bottom w:val="single" w:sz="8" w:space="0" w:color="000000"/>
            </w:tcBorders>
            <w:vAlign w:val="bottom"/>
          </w:tcPr>
          <w:p w14:paraId="252ECF6A" w14:textId="05AB728C" w:rsidR="005C528F" w:rsidRPr="00537128" w:rsidRDefault="005C528F" w:rsidP="005C528F">
            <w:pPr>
              <w:spacing w:after="0" w:line="240" w:lineRule="exact"/>
              <w:jc w:val="right"/>
              <w:rPr>
                <w:rFonts w:ascii="Calibri" w:eastAsia="Arial Unicode MS" w:hAnsi="Calibri" w:cs="Times New Roman"/>
                <w:b/>
                <w:bCs/>
                <w:color w:val="000000"/>
                <w:sz w:val="18"/>
                <w:szCs w:val="18"/>
                <w:lang w:val="en-US"/>
              </w:rPr>
            </w:pPr>
            <w:r>
              <w:rPr>
                <w:rFonts w:ascii="Calibri" w:hAnsi="Calibri"/>
                <w:b/>
                <w:bCs/>
                <w:color w:val="000000" w:themeColor="text1"/>
                <w:sz w:val="18"/>
                <w:szCs w:val="18"/>
              </w:rPr>
              <w:t>14,400,011</w:t>
            </w:r>
          </w:p>
        </w:tc>
        <w:tc>
          <w:tcPr>
            <w:tcW w:w="678" w:type="pct"/>
            <w:tcBorders>
              <w:top w:val="single" w:sz="4" w:space="0" w:color="000000"/>
              <w:bottom w:val="single" w:sz="8" w:space="0" w:color="000000"/>
            </w:tcBorders>
            <w:vAlign w:val="bottom"/>
          </w:tcPr>
          <w:p w14:paraId="0FD7D02E" w14:textId="39A7653E" w:rsidR="005C528F" w:rsidRPr="00537128" w:rsidRDefault="005C528F" w:rsidP="005C528F">
            <w:pPr>
              <w:spacing w:after="0" w:line="240" w:lineRule="exact"/>
              <w:jc w:val="right"/>
              <w:rPr>
                <w:rFonts w:ascii="Calibri" w:eastAsia="Arial Unicode MS" w:hAnsi="Calibri" w:cs="Times New Roman"/>
                <w:b/>
                <w:bCs/>
                <w:color w:val="000000"/>
                <w:sz w:val="18"/>
                <w:szCs w:val="18"/>
                <w:lang w:val="en-US"/>
              </w:rPr>
            </w:pPr>
            <w:r>
              <w:rPr>
                <w:rFonts w:ascii="Calibri" w:hAnsi="Calibri"/>
                <w:b/>
                <w:bCs/>
                <w:color w:val="000000" w:themeColor="text1"/>
                <w:sz w:val="18"/>
                <w:szCs w:val="18"/>
              </w:rPr>
              <w:t>13,322,692</w:t>
            </w:r>
          </w:p>
        </w:tc>
        <w:tc>
          <w:tcPr>
            <w:tcW w:w="633" w:type="pct"/>
            <w:tcBorders>
              <w:top w:val="single" w:sz="4" w:space="0" w:color="000000"/>
              <w:bottom w:val="single" w:sz="8" w:space="0" w:color="000000"/>
            </w:tcBorders>
            <w:vAlign w:val="bottom"/>
          </w:tcPr>
          <w:p w14:paraId="655A30CD" w14:textId="70D5FCAF" w:rsidR="005C528F" w:rsidRPr="00537128" w:rsidRDefault="005C528F" w:rsidP="005C528F">
            <w:pPr>
              <w:spacing w:after="0" w:line="240" w:lineRule="exact"/>
              <w:jc w:val="right"/>
              <w:rPr>
                <w:rFonts w:ascii="Calibri" w:eastAsia="Arial Unicode MS" w:hAnsi="Calibri" w:cs="Times New Roman"/>
                <w:b/>
                <w:bCs/>
                <w:color w:val="000000"/>
                <w:sz w:val="18"/>
                <w:szCs w:val="18"/>
                <w:lang w:val="en-US"/>
              </w:rPr>
            </w:pPr>
            <w:r>
              <w:rPr>
                <w:rFonts w:ascii="Calibri" w:hAnsi="Calibri"/>
                <w:b/>
                <w:bCs/>
                <w:color w:val="000000" w:themeColor="text1"/>
                <w:sz w:val="18"/>
                <w:szCs w:val="18"/>
              </w:rPr>
              <w:t>27,722,703</w:t>
            </w:r>
          </w:p>
        </w:tc>
      </w:tr>
      <w:tr w:rsidR="005C528F" w:rsidRPr="00537128" w14:paraId="1379FB96" w14:textId="77777777" w:rsidTr="00A1123E">
        <w:trPr>
          <w:trHeight w:hRule="exact" w:val="215"/>
        </w:trPr>
        <w:tc>
          <w:tcPr>
            <w:tcW w:w="1384" w:type="pct"/>
            <w:vAlign w:val="bottom"/>
          </w:tcPr>
          <w:p w14:paraId="6EBB1BFC" w14:textId="77777777" w:rsidR="005C528F" w:rsidRPr="00537128" w:rsidRDefault="005C528F" w:rsidP="005C528F">
            <w:pPr>
              <w:tabs>
                <w:tab w:val="right" w:pos="1202"/>
              </w:tabs>
              <w:spacing w:after="0" w:line="240" w:lineRule="exact"/>
              <w:outlineLvl w:val="0"/>
              <w:rPr>
                <w:rFonts w:ascii="Calibri" w:eastAsia="Times New Roman" w:hAnsi="Calibri" w:cs="Arial"/>
                <w:b/>
                <w:bCs/>
                <w:sz w:val="18"/>
                <w:szCs w:val="18"/>
                <w:lang w:val="en-US"/>
              </w:rPr>
            </w:pPr>
          </w:p>
        </w:tc>
        <w:tc>
          <w:tcPr>
            <w:tcW w:w="506" w:type="pct"/>
            <w:tcBorders>
              <w:top w:val="single" w:sz="4" w:space="0" w:color="000000"/>
            </w:tcBorders>
            <w:vAlign w:val="bottom"/>
          </w:tcPr>
          <w:p w14:paraId="1B2D8BDC" w14:textId="77777777"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p>
        </w:tc>
        <w:tc>
          <w:tcPr>
            <w:tcW w:w="568" w:type="pct"/>
            <w:tcBorders>
              <w:top w:val="single" w:sz="4" w:space="0" w:color="000000"/>
            </w:tcBorders>
            <w:vAlign w:val="bottom"/>
          </w:tcPr>
          <w:p w14:paraId="3D5B2D65" w14:textId="77777777"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p>
        </w:tc>
        <w:tc>
          <w:tcPr>
            <w:tcW w:w="616" w:type="pct"/>
            <w:tcBorders>
              <w:top w:val="single" w:sz="4" w:space="0" w:color="000000"/>
            </w:tcBorders>
            <w:vAlign w:val="bottom"/>
          </w:tcPr>
          <w:p w14:paraId="6DE9578D" w14:textId="77777777"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p>
        </w:tc>
        <w:tc>
          <w:tcPr>
            <w:tcW w:w="615" w:type="pct"/>
            <w:tcBorders>
              <w:top w:val="single" w:sz="4" w:space="0" w:color="000000"/>
            </w:tcBorders>
            <w:vAlign w:val="bottom"/>
          </w:tcPr>
          <w:p w14:paraId="2BD0B096" w14:textId="77777777"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p>
        </w:tc>
        <w:tc>
          <w:tcPr>
            <w:tcW w:w="678" w:type="pct"/>
            <w:tcBorders>
              <w:top w:val="single" w:sz="4" w:space="0" w:color="000000"/>
            </w:tcBorders>
            <w:vAlign w:val="bottom"/>
          </w:tcPr>
          <w:p w14:paraId="001347C8" w14:textId="77777777"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p>
        </w:tc>
        <w:tc>
          <w:tcPr>
            <w:tcW w:w="633" w:type="pct"/>
            <w:tcBorders>
              <w:top w:val="single" w:sz="4" w:space="0" w:color="000000"/>
            </w:tcBorders>
            <w:vAlign w:val="bottom"/>
          </w:tcPr>
          <w:p w14:paraId="7EB57C99" w14:textId="77777777"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p>
        </w:tc>
      </w:tr>
      <w:tr w:rsidR="005C528F" w:rsidRPr="00537128" w14:paraId="3DE63C51" w14:textId="77777777" w:rsidTr="00A1123E">
        <w:trPr>
          <w:trHeight w:val="307"/>
        </w:trPr>
        <w:tc>
          <w:tcPr>
            <w:tcW w:w="1384" w:type="pct"/>
            <w:vAlign w:val="bottom"/>
          </w:tcPr>
          <w:p w14:paraId="49B5704D" w14:textId="77777777" w:rsidR="005C528F" w:rsidRPr="00537128" w:rsidRDefault="005C528F" w:rsidP="005C528F">
            <w:pPr>
              <w:tabs>
                <w:tab w:val="right" w:pos="1202"/>
              </w:tabs>
              <w:spacing w:after="0" w:line="240" w:lineRule="exact"/>
              <w:outlineLvl w:val="0"/>
              <w:rPr>
                <w:rFonts w:ascii="Calibri" w:eastAsia="Times New Roman" w:hAnsi="Calibri" w:cs="Arial"/>
                <w:b/>
                <w:bCs/>
                <w:sz w:val="18"/>
                <w:szCs w:val="18"/>
                <w:lang w:val="en-US"/>
              </w:rPr>
            </w:pPr>
            <w:bookmarkStart w:id="1098" w:name="_Toc4062895"/>
            <w:r w:rsidRPr="00537128">
              <w:rPr>
                <w:rFonts w:ascii="Calibri" w:eastAsia="Times New Roman" w:hAnsi="Calibri" w:cs="Arial"/>
                <w:b/>
                <w:bCs/>
                <w:sz w:val="18"/>
                <w:szCs w:val="18"/>
                <w:lang w:val="en-US"/>
              </w:rPr>
              <w:t>Liabilities</w:t>
            </w:r>
            <w:bookmarkEnd w:id="1098"/>
            <w:r w:rsidRPr="00537128">
              <w:rPr>
                <w:rFonts w:ascii="Calibri" w:eastAsia="Times New Roman" w:hAnsi="Calibri" w:cs="Arial"/>
                <w:b/>
                <w:bCs/>
                <w:sz w:val="18"/>
                <w:szCs w:val="18"/>
                <w:lang w:val="en-US"/>
              </w:rPr>
              <w:t xml:space="preserve"> </w:t>
            </w:r>
          </w:p>
        </w:tc>
        <w:tc>
          <w:tcPr>
            <w:tcW w:w="506" w:type="pct"/>
            <w:vAlign w:val="bottom"/>
          </w:tcPr>
          <w:p w14:paraId="50A20666" w14:textId="77777777"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p>
        </w:tc>
        <w:tc>
          <w:tcPr>
            <w:tcW w:w="568" w:type="pct"/>
            <w:vAlign w:val="bottom"/>
          </w:tcPr>
          <w:p w14:paraId="72DC5B62" w14:textId="77777777"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p>
        </w:tc>
        <w:tc>
          <w:tcPr>
            <w:tcW w:w="616" w:type="pct"/>
            <w:vAlign w:val="bottom"/>
          </w:tcPr>
          <w:p w14:paraId="0AAAA0C3" w14:textId="77777777"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p>
        </w:tc>
        <w:tc>
          <w:tcPr>
            <w:tcW w:w="615" w:type="pct"/>
            <w:vAlign w:val="bottom"/>
          </w:tcPr>
          <w:p w14:paraId="4EE60A84" w14:textId="77777777"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p>
        </w:tc>
        <w:tc>
          <w:tcPr>
            <w:tcW w:w="678" w:type="pct"/>
            <w:vAlign w:val="bottom"/>
          </w:tcPr>
          <w:p w14:paraId="6A2E5433" w14:textId="77777777"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p>
        </w:tc>
        <w:tc>
          <w:tcPr>
            <w:tcW w:w="633" w:type="pct"/>
            <w:vAlign w:val="bottom"/>
          </w:tcPr>
          <w:p w14:paraId="0E611819" w14:textId="77777777"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p>
        </w:tc>
      </w:tr>
      <w:tr w:rsidR="005C528F" w:rsidRPr="00537128" w14:paraId="410FA5AF" w14:textId="77777777" w:rsidTr="005265D5">
        <w:trPr>
          <w:trHeight w:hRule="exact" w:val="286"/>
        </w:trPr>
        <w:tc>
          <w:tcPr>
            <w:tcW w:w="1384" w:type="pct"/>
            <w:vAlign w:val="bottom"/>
          </w:tcPr>
          <w:p w14:paraId="44A4C2F9" w14:textId="77777777" w:rsidR="005C528F" w:rsidRPr="00537128" w:rsidRDefault="005C528F" w:rsidP="005C528F">
            <w:pPr>
              <w:tabs>
                <w:tab w:val="right" w:pos="1202"/>
              </w:tabs>
              <w:spacing w:after="0" w:line="240" w:lineRule="exact"/>
              <w:outlineLvl w:val="0"/>
              <w:rPr>
                <w:rFonts w:ascii="Calibri" w:eastAsia="Times New Roman" w:hAnsi="Calibri" w:cs="Arial"/>
                <w:sz w:val="18"/>
                <w:szCs w:val="18"/>
                <w:lang w:val="en-US"/>
              </w:rPr>
            </w:pPr>
            <w:bookmarkStart w:id="1099" w:name="_Toc4062896"/>
            <w:r w:rsidRPr="00537128">
              <w:rPr>
                <w:rFonts w:ascii="Calibri" w:eastAsia="Times New Roman" w:hAnsi="Calibri" w:cs="Arial"/>
                <w:sz w:val="18"/>
                <w:szCs w:val="18"/>
                <w:lang w:val="en-US"/>
              </w:rPr>
              <w:t>Deposits from customers</w:t>
            </w:r>
            <w:bookmarkEnd w:id="1099"/>
            <w:r w:rsidRPr="00537128">
              <w:rPr>
                <w:rFonts w:ascii="Calibri" w:eastAsia="Times New Roman" w:hAnsi="Calibri" w:cs="Arial"/>
                <w:sz w:val="18"/>
                <w:szCs w:val="18"/>
                <w:lang w:val="en-US"/>
              </w:rPr>
              <w:t xml:space="preserve"> </w:t>
            </w:r>
          </w:p>
        </w:tc>
        <w:tc>
          <w:tcPr>
            <w:tcW w:w="506" w:type="pct"/>
            <w:tcBorders>
              <w:top w:val="nil"/>
              <w:left w:val="nil"/>
              <w:bottom w:val="nil"/>
              <w:right w:val="nil"/>
            </w:tcBorders>
          </w:tcPr>
          <w:p w14:paraId="7FD8923C" w14:textId="5E6B7D98"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101,916</w:t>
            </w:r>
          </w:p>
        </w:tc>
        <w:tc>
          <w:tcPr>
            <w:tcW w:w="568" w:type="pct"/>
            <w:tcBorders>
              <w:top w:val="nil"/>
              <w:left w:val="nil"/>
              <w:bottom w:val="nil"/>
              <w:right w:val="nil"/>
            </w:tcBorders>
          </w:tcPr>
          <w:p w14:paraId="326F0873" w14:textId="016F54CE"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177,721</w:t>
            </w:r>
          </w:p>
        </w:tc>
        <w:tc>
          <w:tcPr>
            <w:tcW w:w="616" w:type="pct"/>
            <w:tcBorders>
              <w:top w:val="nil"/>
              <w:left w:val="nil"/>
              <w:bottom w:val="nil"/>
              <w:right w:val="nil"/>
            </w:tcBorders>
          </w:tcPr>
          <w:p w14:paraId="68A3F8F8" w14:textId="037DEBC6"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w:t>
            </w:r>
          </w:p>
        </w:tc>
        <w:tc>
          <w:tcPr>
            <w:tcW w:w="615" w:type="pct"/>
            <w:tcBorders>
              <w:top w:val="nil"/>
              <w:left w:val="nil"/>
              <w:bottom w:val="nil"/>
              <w:right w:val="nil"/>
            </w:tcBorders>
          </w:tcPr>
          <w:p w14:paraId="75933016" w14:textId="713C1341"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279,637</w:t>
            </w:r>
          </w:p>
        </w:tc>
        <w:tc>
          <w:tcPr>
            <w:tcW w:w="678" w:type="pct"/>
            <w:tcBorders>
              <w:top w:val="nil"/>
              <w:left w:val="nil"/>
              <w:bottom w:val="nil"/>
              <w:right w:val="nil"/>
            </w:tcBorders>
          </w:tcPr>
          <w:p w14:paraId="2AA8AEB6" w14:textId="42681F4B"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327,900</w:t>
            </w:r>
          </w:p>
        </w:tc>
        <w:tc>
          <w:tcPr>
            <w:tcW w:w="633" w:type="pct"/>
            <w:tcBorders>
              <w:top w:val="nil"/>
              <w:left w:val="nil"/>
              <w:bottom w:val="nil"/>
            </w:tcBorders>
          </w:tcPr>
          <w:p w14:paraId="24433331" w14:textId="2ABB25B5"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607,537</w:t>
            </w:r>
          </w:p>
        </w:tc>
      </w:tr>
      <w:tr w:rsidR="005C528F" w:rsidRPr="00537128" w14:paraId="48E1785A" w14:textId="77777777" w:rsidTr="005265D5">
        <w:trPr>
          <w:trHeight w:hRule="exact" w:val="286"/>
        </w:trPr>
        <w:tc>
          <w:tcPr>
            <w:tcW w:w="1384" w:type="pct"/>
            <w:vAlign w:val="bottom"/>
          </w:tcPr>
          <w:p w14:paraId="1053FDF9" w14:textId="77777777" w:rsidR="005C528F" w:rsidRPr="00537128" w:rsidRDefault="005C528F" w:rsidP="005C528F">
            <w:pPr>
              <w:tabs>
                <w:tab w:val="right" w:pos="1202"/>
              </w:tabs>
              <w:spacing w:after="0" w:line="240" w:lineRule="exact"/>
              <w:outlineLvl w:val="0"/>
              <w:rPr>
                <w:rFonts w:ascii="Calibri" w:eastAsia="Times New Roman" w:hAnsi="Calibri" w:cs="Arial"/>
                <w:sz w:val="18"/>
                <w:szCs w:val="18"/>
                <w:lang w:val="en-US"/>
              </w:rPr>
            </w:pPr>
            <w:bookmarkStart w:id="1100" w:name="_Toc4062897"/>
            <w:r w:rsidRPr="00537128">
              <w:rPr>
                <w:rFonts w:ascii="Calibri" w:eastAsia="Times New Roman" w:hAnsi="Calibri" w:cs="Arial"/>
                <w:sz w:val="18"/>
                <w:szCs w:val="18"/>
                <w:lang w:val="en-US"/>
              </w:rPr>
              <w:t>Borrowings</w:t>
            </w:r>
            <w:bookmarkEnd w:id="1100"/>
            <w:r w:rsidRPr="00537128">
              <w:rPr>
                <w:rFonts w:ascii="Calibri" w:eastAsia="Times New Roman" w:hAnsi="Calibri" w:cs="Arial"/>
                <w:sz w:val="18"/>
                <w:szCs w:val="18"/>
                <w:lang w:val="en-US"/>
              </w:rPr>
              <w:t xml:space="preserve"> </w:t>
            </w:r>
          </w:p>
        </w:tc>
        <w:tc>
          <w:tcPr>
            <w:tcW w:w="506" w:type="pct"/>
            <w:tcBorders>
              <w:top w:val="nil"/>
              <w:left w:val="nil"/>
              <w:bottom w:val="nil"/>
              <w:right w:val="nil"/>
            </w:tcBorders>
          </w:tcPr>
          <w:p w14:paraId="0142F34E" w14:textId="383F4DA5"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188,790</w:t>
            </w:r>
          </w:p>
        </w:tc>
        <w:tc>
          <w:tcPr>
            <w:tcW w:w="568" w:type="pct"/>
            <w:tcBorders>
              <w:top w:val="nil"/>
              <w:left w:val="nil"/>
              <w:bottom w:val="nil"/>
              <w:right w:val="nil"/>
            </w:tcBorders>
          </w:tcPr>
          <w:p w14:paraId="007CB382" w14:textId="0B673E2A"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14,135,857</w:t>
            </w:r>
          </w:p>
        </w:tc>
        <w:tc>
          <w:tcPr>
            <w:tcW w:w="616" w:type="pct"/>
            <w:tcBorders>
              <w:top w:val="nil"/>
              <w:left w:val="nil"/>
              <w:bottom w:val="nil"/>
              <w:right w:val="nil"/>
            </w:tcBorders>
          </w:tcPr>
          <w:p w14:paraId="4AFF303C" w14:textId="240AE45B"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w:t>
            </w:r>
          </w:p>
        </w:tc>
        <w:tc>
          <w:tcPr>
            <w:tcW w:w="615" w:type="pct"/>
            <w:tcBorders>
              <w:top w:val="nil"/>
              <w:left w:val="nil"/>
              <w:bottom w:val="nil"/>
              <w:right w:val="nil"/>
            </w:tcBorders>
          </w:tcPr>
          <w:p w14:paraId="3AEA4101" w14:textId="0C2612DF"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14,324,647</w:t>
            </w:r>
          </w:p>
        </w:tc>
        <w:tc>
          <w:tcPr>
            <w:tcW w:w="678" w:type="pct"/>
            <w:tcBorders>
              <w:top w:val="nil"/>
              <w:left w:val="nil"/>
              <w:bottom w:val="nil"/>
              <w:right w:val="nil"/>
            </w:tcBorders>
          </w:tcPr>
          <w:p w14:paraId="47CC8E5E" w14:textId="2FD25B63"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1,503,976</w:t>
            </w:r>
          </w:p>
        </w:tc>
        <w:tc>
          <w:tcPr>
            <w:tcW w:w="633" w:type="pct"/>
            <w:tcBorders>
              <w:top w:val="nil"/>
              <w:left w:val="nil"/>
              <w:bottom w:val="nil"/>
            </w:tcBorders>
          </w:tcPr>
          <w:p w14:paraId="0D7E7F2C" w14:textId="1F206DBD"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15,828,623</w:t>
            </w:r>
          </w:p>
        </w:tc>
      </w:tr>
      <w:tr w:rsidR="005C528F" w:rsidRPr="00537128" w14:paraId="39F149F3" w14:textId="77777777" w:rsidTr="005265D5">
        <w:trPr>
          <w:trHeight w:hRule="exact" w:val="537"/>
        </w:trPr>
        <w:tc>
          <w:tcPr>
            <w:tcW w:w="1384" w:type="pct"/>
            <w:vAlign w:val="bottom"/>
          </w:tcPr>
          <w:p w14:paraId="0CD2E579" w14:textId="77777777" w:rsidR="005C528F" w:rsidRPr="00537128" w:rsidRDefault="005C528F" w:rsidP="005C528F">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Provisions for guarantees, </w:t>
            </w:r>
            <w:proofErr w:type="gramStart"/>
            <w:r w:rsidRPr="00537128">
              <w:rPr>
                <w:rFonts w:ascii="Calibri" w:eastAsia="Times New Roman" w:hAnsi="Calibri" w:cs="Arial"/>
                <w:sz w:val="18"/>
                <w:szCs w:val="18"/>
                <w:lang w:val="en-US"/>
              </w:rPr>
              <w:t>commitments</w:t>
            </w:r>
            <w:proofErr w:type="gramEnd"/>
            <w:r w:rsidRPr="00537128">
              <w:rPr>
                <w:rFonts w:ascii="Calibri" w:eastAsia="Times New Roman" w:hAnsi="Calibri" w:cs="Arial"/>
                <w:sz w:val="18"/>
                <w:szCs w:val="18"/>
                <w:lang w:val="en-US"/>
              </w:rPr>
              <w:t xml:space="preserve"> and other liabilities</w:t>
            </w:r>
          </w:p>
        </w:tc>
        <w:tc>
          <w:tcPr>
            <w:tcW w:w="506" w:type="pct"/>
            <w:tcBorders>
              <w:top w:val="nil"/>
              <w:left w:val="nil"/>
              <w:bottom w:val="nil"/>
              <w:right w:val="nil"/>
            </w:tcBorders>
            <w:vAlign w:val="bottom"/>
          </w:tcPr>
          <w:p w14:paraId="11B9FF18" w14:textId="54E10421"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w:t>
            </w:r>
          </w:p>
        </w:tc>
        <w:tc>
          <w:tcPr>
            <w:tcW w:w="568" w:type="pct"/>
            <w:tcBorders>
              <w:top w:val="nil"/>
              <w:left w:val="nil"/>
              <w:bottom w:val="nil"/>
              <w:right w:val="nil"/>
            </w:tcBorders>
            <w:vAlign w:val="bottom"/>
          </w:tcPr>
          <w:p w14:paraId="277BEEAC" w14:textId="439255F9"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17,611</w:t>
            </w:r>
          </w:p>
        </w:tc>
        <w:tc>
          <w:tcPr>
            <w:tcW w:w="616" w:type="pct"/>
            <w:tcBorders>
              <w:top w:val="nil"/>
              <w:left w:val="nil"/>
              <w:bottom w:val="nil"/>
              <w:right w:val="nil"/>
            </w:tcBorders>
            <w:vAlign w:val="bottom"/>
          </w:tcPr>
          <w:p w14:paraId="588003BD" w14:textId="70FC6B3A"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20,940</w:t>
            </w:r>
          </w:p>
        </w:tc>
        <w:tc>
          <w:tcPr>
            <w:tcW w:w="615" w:type="pct"/>
            <w:tcBorders>
              <w:top w:val="nil"/>
              <w:left w:val="nil"/>
              <w:bottom w:val="nil"/>
              <w:right w:val="nil"/>
            </w:tcBorders>
            <w:vAlign w:val="bottom"/>
          </w:tcPr>
          <w:p w14:paraId="421C5FE6" w14:textId="0D5FC25B"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38,551</w:t>
            </w:r>
          </w:p>
        </w:tc>
        <w:tc>
          <w:tcPr>
            <w:tcW w:w="678" w:type="pct"/>
            <w:tcBorders>
              <w:top w:val="nil"/>
              <w:left w:val="nil"/>
              <w:bottom w:val="nil"/>
              <w:right w:val="nil"/>
            </w:tcBorders>
            <w:vAlign w:val="bottom"/>
          </w:tcPr>
          <w:p w14:paraId="5597C628" w14:textId="4F1BEFB4"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106,097</w:t>
            </w:r>
          </w:p>
        </w:tc>
        <w:tc>
          <w:tcPr>
            <w:tcW w:w="633" w:type="pct"/>
            <w:tcBorders>
              <w:top w:val="nil"/>
              <w:left w:val="nil"/>
              <w:bottom w:val="nil"/>
            </w:tcBorders>
            <w:vAlign w:val="bottom"/>
          </w:tcPr>
          <w:p w14:paraId="3A99D0F0" w14:textId="72C4AEA0"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144,648</w:t>
            </w:r>
          </w:p>
        </w:tc>
      </w:tr>
      <w:tr w:rsidR="005C528F" w:rsidRPr="00537128" w14:paraId="15C77B01" w14:textId="77777777" w:rsidTr="005265D5">
        <w:trPr>
          <w:trHeight w:hRule="exact" w:val="286"/>
        </w:trPr>
        <w:tc>
          <w:tcPr>
            <w:tcW w:w="1384" w:type="pct"/>
            <w:vAlign w:val="bottom"/>
          </w:tcPr>
          <w:p w14:paraId="78AEC30B" w14:textId="77777777" w:rsidR="005C528F" w:rsidRPr="00537128" w:rsidRDefault="005C528F" w:rsidP="005C528F">
            <w:pPr>
              <w:tabs>
                <w:tab w:val="right" w:pos="1202"/>
              </w:tabs>
              <w:spacing w:after="0" w:line="240" w:lineRule="exact"/>
              <w:outlineLvl w:val="0"/>
              <w:rPr>
                <w:rFonts w:ascii="Calibri" w:eastAsia="Times New Roman" w:hAnsi="Calibri" w:cs="Arial"/>
                <w:sz w:val="18"/>
                <w:szCs w:val="18"/>
                <w:lang w:val="en-US"/>
              </w:rPr>
            </w:pPr>
            <w:bookmarkStart w:id="1101" w:name="_Toc4062899"/>
            <w:r w:rsidRPr="00537128">
              <w:rPr>
                <w:rFonts w:ascii="Calibri" w:eastAsia="Times New Roman" w:hAnsi="Calibri" w:cs="Arial"/>
                <w:sz w:val="18"/>
                <w:szCs w:val="18"/>
                <w:lang w:val="en-US"/>
              </w:rPr>
              <w:t>Other liabilities</w:t>
            </w:r>
            <w:bookmarkEnd w:id="1101"/>
            <w:r w:rsidRPr="00537128">
              <w:rPr>
                <w:rFonts w:ascii="Calibri" w:eastAsia="Times New Roman" w:hAnsi="Calibri" w:cs="Arial"/>
                <w:sz w:val="18"/>
                <w:szCs w:val="18"/>
                <w:lang w:val="en-US"/>
              </w:rPr>
              <w:t xml:space="preserve"> </w:t>
            </w:r>
          </w:p>
        </w:tc>
        <w:tc>
          <w:tcPr>
            <w:tcW w:w="506" w:type="pct"/>
            <w:tcBorders>
              <w:top w:val="nil"/>
              <w:left w:val="nil"/>
              <w:bottom w:val="single" w:sz="4" w:space="0" w:color="auto"/>
              <w:right w:val="nil"/>
            </w:tcBorders>
            <w:vAlign w:val="bottom"/>
          </w:tcPr>
          <w:p w14:paraId="637D800B" w14:textId="1FD624CE"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w:t>
            </w:r>
          </w:p>
        </w:tc>
        <w:tc>
          <w:tcPr>
            <w:tcW w:w="568" w:type="pct"/>
            <w:tcBorders>
              <w:top w:val="nil"/>
              <w:left w:val="nil"/>
              <w:bottom w:val="single" w:sz="4" w:space="0" w:color="auto"/>
              <w:right w:val="nil"/>
            </w:tcBorders>
            <w:vAlign w:val="bottom"/>
          </w:tcPr>
          <w:p w14:paraId="60A61A5C" w14:textId="13E3822B"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2,669</w:t>
            </w:r>
          </w:p>
        </w:tc>
        <w:tc>
          <w:tcPr>
            <w:tcW w:w="616" w:type="pct"/>
            <w:tcBorders>
              <w:top w:val="nil"/>
              <w:left w:val="nil"/>
              <w:bottom w:val="single" w:sz="4" w:space="0" w:color="auto"/>
              <w:right w:val="nil"/>
            </w:tcBorders>
            <w:vAlign w:val="bottom"/>
          </w:tcPr>
          <w:p w14:paraId="5F4E18A2" w14:textId="67040913"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w:t>
            </w:r>
          </w:p>
        </w:tc>
        <w:tc>
          <w:tcPr>
            <w:tcW w:w="615" w:type="pct"/>
            <w:tcBorders>
              <w:top w:val="nil"/>
              <w:left w:val="nil"/>
              <w:bottom w:val="single" w:sz="4" w:space="0" w:color="auto"/>
              <w:right w:val="nil"/>
            </w:tcBorders>
            <w:vAlign w:val="bottom"/>
          </w:tcPr>
          <w:p w14:paraId="5213D731" w14:textId="5AFB954E"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2,669</w:t>
            </w:r>
          </w:p>
        </w:tc>
        <w:tc>
          <w:tcPr>
            <w:tcW w:w="678" w:type="pct"/>
            <w:tcBorders>
              <w:top w:val="nil"/>
              <w:left w:val="nil"/>
              <w:bottom w:val="single" w:sz="4" w:space="0" w:color="auto"/>
              <w:right w:val="nil"/>
            </w:tcBorders>
            <w:vAlign w:val="bottom"/>
          </w:tcPr>
          <w:p w14:paraId="5E33528F" w14:textId="709ADCA7"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366,641</w:t>
            </w:r>
          </w:p>
        </w:tc>
        <w:tc>
          <w:tcPr>
            <w:tcW w:w="633" w:type="pct"/>
            <w:tcBorders>
              <w:top w:val="nil"/>
              <w:left w:val="nil"/>
              <w:bottom w:val="single" w:sz="4" w:space="0" w:color="auto"/>
            </w:tcBorders>
            <w:vAlign w:val="bottom"/>
          </w:tcPr>
          <w:p w14:paraId="71F31708" w14:textId="7D5E43E2" w:rsidR="005C528F" w:rsidRPr="00537128" w:rsidRDefault="005C528F" w:rsidP="005C528F">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369,310</w:t>
            </w:r>
          </w:p>
        </w:tc>
      </w:tr>
      <w:tr w:rsidR="005C528F" w:rsidRPr="00537128" w14:paraId="0E46B4F6" w14:textId="77777777" w:rsidTr="005C528F">
        <w:trPr>
          <w:trHeight w:hRule="exact" w:val="343"/>
        </w:trPr>
        <w:tc>
          <w:tcPr>
            <w:tcW w:w="1384" w:type="pct"/>
            <w:vAlign w:val="bottom"/>
          </w:tcPr>
          <w:p w14:paraId="20C69AD3" w14:textId="77777777" w:rsidR="005C528F" w:rsidRPr="00537128" w:rsidRDefault="005C528F" w:rsidP="005C528F">
            <w:pPr>
              <w:tabs>
                <w:tab w:val="right" w:pos="1202"/>
              </w:tabs>
              <w:spacing w:after="0" w:line="240" w:lineRule="exact"/>
              <w:outlineLvl w:val="0"/>
              <w:rPr>
                <w:rFonts w:ascii="Calibri" w:eastAsia="Times New Roman" w:hAnsi="Calibri" w:cs="Arial"/>
                <w:b/>
                <w:bCs/>
                <w:sz w:val="18"/>
                <w:szCs w:val="18"/>
                <w:lang w:val="en-US"/>
              </w:rPr>
            </w:pPr>
            <w:bookmarkStart w:id="1102" w:name="_Toc4062900"/>
            <w:r w:rsidRPr="00537128">
              <w:rPr>
                <w:rFonts w:ascii="Calibri" w:eastAsia="Times New Roman" w:hAnsi="Calibri" w:cs="Arial"/>
                <w:b/>
                <w:bCs/>
                <w:sz w:val="18"/>
                <w:szCs w:val="18"/>
                <w:lang w:val="en-US"/>
              </w:rPr>
              <w:t>Total liabilities</w:t>
            </w:r>
            <w:bookmarkEnd w:id="1102"/>
            <w:r w:rsidRPr="00537128">
              <w:rPr>
                <w:rFonts w:ascii="Calibri" w:eastAsia="Times New Roman" w:hAnsi="Calibri" w:cs="Arial"/>
                <w:b/>
                <w:bCs/>
                <w:sz w:val="18"/>
                <w:szCs w:val="18"/>
                <w:lang w:val="en-US"/>
              </w:rPr>
              <w:t xml:space="preserve"> </w:t>
            </w:r>
          </w:p>
        </w:tc>
        <w:tc>
          <w:tcPr>
            <w:tcW w:w="506" w:type="pct"/>
            <w:tcBorders>
              <w:top w:val="single" w:sz="4" w:space="0" w:color="auto"/>
              <w:left w:val="nil"/>
              <w:bottom w:val="single" w:sz="12" w:space="0" w:color="auto"/>
              <w:right w:val="nil"/>
            </w:tcBorders>
            <w:vAlign w:val="bottom"/>
          </w:tcPr>
          <w:p w14:paraId="7E2E52BC" w14:textId="721FC137" w:rsidR="005C528F" w:rsidRPr="00537128" w:rsidRDefault="005C528F" w:rsidP="005C528F">
            <w:pPr>
              <w:spacing w:after="0" w:line="240" w:lineRule="exact"/>
              <w:jc w:val="right"/>
              <w:rPr>
                <w:rFonts w:ascii="Calibri" w:eastAsia="Arial Unicode MS" w:hAnsi="Calibri" w:cs="Times New Roman"/>
                <w:b/>
                <w:color w:val="000000"/>
                <w:sz w:val="18"/>
                <w:szCs w:val="18"/>
                <w:lang w:val="en-US"/>
              </w:rPr>
            </w:pPr>
            <w:r>
              <w:rPr>
                <w:rFonts w:ascii="Calibri" w:hAnsi="Calibri"/>
                <w:b/>
                <w:bCs/>
                <w:color w:val="000000" w:themeColor="text1"/>
                <w:sz w:val="18"/>
                <w:szCs w:val="18"/>
              </w:rPr>
              <w:t>290,706</w:t>
            </w:r>
          </w:p>
        </w:tc>
        <w:tc>
          <w:tcPr>
            <w:tcW w:w="568" w:type="pct"/>
            <w:tcBorders>
              <w:top w:val="single" w:sz="4" w:space="0" w:color="auto"/>
              <w:left w:val="nil"/>
              <w:bottom w:val="single" w:sz="12" w:space="0" w:color="auto"/>
              <w:right w:val="nil"/>
            </w:tcBorders>
            <w:vAlign w:val="bottom"/>
          </w:tcPr>
          <w:p w14:paraId="5228FE71" w14:textId="331604C6" w:rsidR="005C528F" w:rsidRPr="00537128" w:rsidRDefault="005C528F" w:rsidP="005C528F">
            <w:pPr>
              <w:spacing w:after="0" w:line="240" w:lineRule="exact"/>
              <w:jc w:val="right"/>
              <w:rPr>
                <w:rFonts w:ascii="Calibri" w:eastAsia="Arial Unicode MS" w:hAnsi="Calibri" w:cs="Times New Roman"/>
                <w:b/>
                <w:color w:val="000000"/>
                <w:sz w:val="18"/>
                <w:szCs w:val="18"/>
                <w:lang w:val="en-US"/>
              </w:rPr>
            </w:pPr>
            <w:r>
              <w:rPr>
                <w:rFonts w:ascii="Calibri" w:hAnsi="Calibri"/>
                <w:b/>
                <w:bCs/>
                <w:color w:val="000000" w:themeColor="text1"/>
                <w:sz w:val="18"/>
                <w:szCs w:val="18"/>
              </w:rPr>
              <w:t>14,333,858</w:t>
            </w:r>
          </w:p>
        </w:tc>
        <w:tc>
          <w:tcPr>
            <w:tcW w:w="616" w:type="pct"/>
            <w:tcBorders>
              <w:top w:val="single" w:sz="4" w:space="0" w:color="auto"/>
              <w:left w:val="nil"/>
              <w:bottom w:val="single" w:sz="12" w:space="0" w:color="auto"/>
              <w:right w:val="nil"/>
            </w:tcBorders>
            <w:vAlign w:val="bottom"/>
          </w:tcPr>
          <w:p w14:paraId="09B6108B" w14:textId="2397A0BB" w:rsidR="005C528F" w:rsidRPr="00537128" w:rsidRDefault="005C528F" w:rsidP="005C528F">
            <w:pPr>
              <w:spacing w:after="0" w:line="240" w:lineRule="exact"/>
              <w:jc w:val="right"/>
              <w:rPr>
                <w:rFonts w:ascii="Calibri" w:eastAsia="Arial Unicode MS" w:hAnsi="Calibri" w:cs="Times New Roman"/>
                <w:b/>
                <w:color w:val="000000"/>
                <w:sz w:val="18"/>
                <w:szCs w:val="18"/>
                <w:lang w:val="en-US"/>
              </w:rPr>
            </w:pPr>
            <w:r>
              <w:rPr>
                <w:rFonts w:ascii="Calibri" w:hAnsi="Calibri"/>
                <w:b/>
                <w:bCs/>
                <w:color w:val="000000" w:themeColor="text1"/>
                <w:sz w:val="18"/>
                <w:szCs w:val="18"/>
              </w:rPr>
              <w:t>20,940</w:t>
            </w:r>
          </w:p>
        </w:tc>
        <w:tc>
          <w:tcPr>
            <w:tcW w:w="615" w:type="pct"/>
            <w:tcBorders>
              <w:top w:val="single" w:sz="4" w:space="0" w:color="auto"/>
              <w:left w:val="nil"/>
              <w:bottom w:val="single" w:sz="12" w:space="0" w:color="auto"/>
              <w:right w:val="nil"/>
            </w:tcBorders>
            <w:vAlign w:val="bottom"/>
          </w:tcPr>
          <w:p w14:paraId="28A54FA8" w14:textId="521C6F42" w:rsidR="005C528F" w:rsidRPr="00537128" w:rsidRDefault="005C528F" w:rsidP="005C528F">
            <w:pPr>
              <w:spacing w:after="0" w:line="240" w:lineRule="exact"/>
              <w:jc w:val="right"/>
              <w:rPr>
                <w:rFonts w:ascii="Calibri" w:eastAsia="Arial Unicode MS" w:hAnsi="Calibri" w:cs="Times New Roman"/>
                <w:b/>
                <w:color w:val="000000"/>
                <w:sz w:val="18"/>
                <w:szCs w:val="18"/>
                <w:lang w:val="en-US"/>
              </w:rPr>
            </w:pPr>
            <w:r>
              <w:rPr>
                <w:rFonts w:ascii="Calibri" w:hAnsi="Calibri"/>
                <w:b/>
                <w:bCs/>
                <w:color w:val="000000" w:themeColor="text1"/>
                <w:sz w:val="18"/>
                <w:szCs w:val="18"/>
              </w:rPr>
              <w:t>14,645,504</w:t>
            </w:r>
          </w:p>
        </w:tc>
        <w:tc>
          <w:tcPr>
            <w:tcW w:w="678" w:type="pct"/>
            <w:tcBorders>
              <w:top w:val="single" w:sz="4" w:space="0" w:color="auto"/>
              <w:left w:val="nil"/>
              <w:bottom w:val="single" w:sz="12" w:space="0" w:color="auto"/>
              <w:right w:val="nil"/>
            </w:tcBorders>
            <w:vAlign w:val="bottom"/>
          </w:tcPr>
          <w:p w14:paraId="68EDAB7B" w14:textId="1DD3051B" w:rsidR="005C528F" w:rsidRPr="00537128" w:rsidRDefault="005C528F" w:rsidP="005C528F">
            <w:pPr>
              <w:spacing w:after="0" w:line="240" w:lineRule="exact"/>
              <w:jc w:val="right"/>
              <w:rPr>
                <w:rFonts w:ascii="Calibri" w:eastAsia="Arial Unicode MS" w:hAnsi="Calibri" w:cs="Times New Roman"/>
                <w:b/>
                <w:color w:val="000000"/>
                <w:sz w:val="18"/>
                <w:szCs w:val="18"/>
                <w:lang w:val="en-US"/>
              </w:rPr>
            </w:pPr>
            <w:r>
              <w:rPr>
                <w:rFonts w:ascii="Calibri" w:hAnsi="Calibri"/>
                <w:b/>
                <w:bCs/>
                <w:color w:val="000000" w:themeColor="text1"/>
                <w:sz w:val="18"/>
                <w:szCs w:val="18"/>
              </w:rPr>
              <w:t>2,304,614</w:t>
            </w:r>
          </w:p>
        </w:tc>
        <w:tc>
          <w:tcPr>
            <w:tcW w:w="633" w:type="pct"/>
            <w:tcBorders>
              <w:top w:val="single" w:sz="4" w:space="0" w:color="auto"/>
              <w:left w:val="nil"/>
              <w:bottom w:val="single" w:sz="12" w:space="0" w:color="auto"/>
            </w:tcBorders>
            <w:vAlign w:val="bottom"/>
          </w:tcPr>
          <w:p w14:paraId="00D88A85" w14:textId="5F225C53" w:rsidR="005C528F" w:rsidRPr="00537128" w:rsidRDefault="005C528F" w:rsidP="005C528F">
            <w:pPr>
              <w:spacing w:after="0" w:line="240" w:lineRule="exact"/>
              <w:jc w:val="right"/>
              <w:rPr>
                <w:rFonts w:ascii="Calibri" w:eastAsia="Arial Unicode MS" w:hAnsi="Calibri" w:cs="Times New Roman"/>
                <w:b/>
                <w:color w:val="000000"/>
                <w:sz w:val="18"/>
                <w:szCs w:val="18"/>
                <w:lang w:val="en-US"/>
              </w:rPr>
            </w:pPr>
            <w:r>
              <w:rPr>
                <w:rFonts w:ascii="Calibri" w:hAnsi="Calibri"/>
                <w:b/>
                <w:bCs/>
                <w:color w:val="000000" w:themeColor="text1"/>
                <w:sz w:val="18"/>
                <w:szCs w:val="18"/>
              </w:rPr>
              <w:t>16,950,118</w:t>
            </w:r>
          </w:p>
        </w:tc>
      </w:tr>
      <w:tr w:rsidR="005C528F" w:rsidRPr="00537128" w14:paraId="5D9CCC48" w14:textId="77777777" w:rsidTr="00A1123E">
        <w:trPr>
          <w:trHeight w:hRule="exact" w:val="458"/>
        </w:trPr>
        <w:tc>
          <w:tcPr>
            <w:tcW w:w="1384" w:type="pct"/>
            <w:vAlign w:val="bottom"/>
          </w:tcPr>
          <w:p w14:paraId="4998EE06" w14:textId="77777777" w:rsidR="005C528F" w:rsidRPr="00537128" w:rsidRDefault="005C528F" w:rsidP="005C528F">
            <w:pPr>
              <w:spacing w:after="0" w:line="240" w:lineRule="exact"/>
              <w:rPr>
                <w:rFonts w:ascii="Calibri" w:eastAsia="Calibri" w:hAnsi="Calibri" w:cs="Arial"/>
                <w:b/>
                <w:bCs/>
                <w:spacing w:val="-2"/>
                <w:sz w:val="18"/>
                <w:szCs w:val="18"/>
                <w:lang w:val="en-US"/>
              </w:rPr>
            </w:pPr>
            <w:r w:rsidRPr="00537128">
              <w:rPr>
                <w:rFonts w:ascii="Calibri" w:eastAsia="Calibri" w:hAnsi="Calibri" w:cs="Arial"/>
                <w:b/>
                <w:bCs/>
                <w:sz w:val="18"/>
                <w:szCs w:val="18"/>
                <w:lang w:val="en-US"/>
              </w:rPr>
              <w:t>Currency gap</w:t>
            </w:r>
          </w:p>
        </w:tc>
        <w:tc>
          <w:tcPr>
            <w:tcW w:w="506" w:type="pct"/>
            <w:tcBorders>
              <w:top w:val="single" w:sz="12" w:space="0" w:color="auto"/>
              <w:left w:val="nil"/>
              <w:bottom w:val="single" w:sz="12" w:space="0" w:color="auto"/>
              <w:right w:val="nil"/>
            </w:tcBorders>
            <w:shd w:val="clear" w:color="000000" w:fill="auto"/>
            <w:vAlign w:val="bottom"/>
          </w:tcPr>
          <w:p w14:paraId="0AF04B6A" w14:textId="6A018D37" w:rsidR="005C528F" w:rsidRPr="00537128" w:rsidRDefault="005C528F" w:rsidP="005C528F">
            <w:pPr>
              <w:spacing w:after="0" w:line="240" w:lineRule="exact"/>
              <w:jc w:val="right"/>
              <w:rPr>
                <w:rFonts w:ascii="Calibri" w:eastAsia="Arial Unicode MS" w:hAnsi="Calibri" w:cs="Times New Roman"/>
                <w:b/>
                <w:color w:val="000000"/>
                <w:sz w:val="18"/>
                <w:szCs w:val="18"/>
                <w:lang w:val="en-US"/>
              </w:rPr>
            </w:pPr>
            <w:r>
              <w:rPr>
                <w:rFonts w:ascii="Calibri" w:hAnsi="Calibri"/>
                <w:b/>
                <w:bCs/>
                <w:color w:val="000000" w:themeColor="text1"/>
                <w:sz w:val="18"/>
                <w:szCs w:val="18"/>
              </w:rPr>
              <w:t>107,870</w:t>
            </w:r>
          </w:p>
        </w:tc>
        <w:tc>
          <w:tcPr>
            <w:tcW w:w="568" w:type="pct"/>
            <w:tcBorders>
              <w:top w:val="single" w:sz="12" w:space="0" w:color="auto"/>
              <w:left w:val="nil"/>
              <w:bottom w:val="single" w:sz="12" w:space="0" w:color="auto"/>
              <w:right w:val="nil"/>
            </w:tcBorders>
            <w:shd w:val="clear" w:color="000000" w:fill="auto"/>
            <w:vAlign w:val="bottom"/>
          </w:tcPr>
          <w:p w14:paraId="3F89DA9B" w14:textId="2BF9DBA1" w:rsidR="005C528F" w:rsidRPr="00537128" w:rsidRDefault="005C528F" w:rsidP="005C528F">
            <w:pPr>
              <w:spacing w:after="0" w:line="240" w:lineRule="exact"/>
              <w:jc w:val="right"/>
              <w:rPr>
                <w:rFonts w:ascii="Calibri" w:eastAsia="Arial Unicode MS" w:hAnsi="Calibri" w:cs="Times New Roman"/>
                <w:b/>
                <w:color w:val="000000"/>
                <w:sz w:val="18"/>
                <w:szCs w:val="18"/>
                <w:lang w:val="en-US"/>
              </w:rPr>
            </w:pPr>
            <w:r>
              <w:rPr>
                <w:rFonts w:ascii="Calibri" w:hAnsi="Calibri"/>
                <w:b/>
                <w:bCs/>
                <w:color w:val="000000" w:themeColor="text1"/>
                <w:sz w:val="18"/>
                <w:szCs w:val="18"/>
              </w:rPr>
              <w:t>(332,423)</w:t>
            </w:r>
          </w:p>
        </w:tc>
        <w:tc>
          <w:tcPr>
            <w:tcW w:w="616" w:type="pct"/>
            <w:tcBorders>
              <w:top w:val="single" w:sz="12" w:space="0" w:color="auto"/>
              <w:left w:val="nil"/>
              <w:bottom w:val="single" w:sz="12" w:space="0" w:color="auto"/>
              <w:right w:val="nil"/>
            </w:tcBorders>
            <w:shd w:val="clear" w:color="000000" w:fill="auto"/>
            <w:vAlign w:val="bottom"/>
          </w:tcPr>
          <w:p w14:paraId="26942F85" w14:textId="52F6E16F" w:rsidR="005C528F" w:rsidRPr="00537128" w:rsidRDefault="005C528F" w:rsidP="005C528F">
            <w:pPr>
              <w:spacing w:after="0" w:line="240" w:lineRule="exact"/>
              <w:jc w:val="right"/>
              <w:rPr>
                <w:rFonts w:ascii="Calibri" w:eastAsia="Arial Unicode MS" w:hAnsi="Calibri" w:cs="Times New Roman"/>
                <w:b/>
                <w:color w:val="000000"/>
                <w:sz w:val="18"/>
                <w:szCs w:val="18"/>
                <w:lang w:val="en-US"/>
              </w:rPr>
            </w:pPr>
            <w:r>
              <w:rPr>
                <w:rFonts w:ascii="Calibri" w:hAnsi="Calibri"/>
                <w:b/>
                <w:bCs/>
                <w:color w:val="000000" w:themeColor="text1"/>
                <w:sz w:val="18"/>
                <w:szCs w:val="18"/>
              </w:rPr>
              <w:t>(20,940)</w:t>
            </w:r>
          </w:p>
        </w:tc>
        <w:tc>
          <w:tcPr>
            <w:tcW w:w="615" w:type="pct"/>
            <w:tcBorders>
              <w:top w:val="single" w:sz="12" w:space="0" w:color="auto"/>
              <w:left w:val="nil"/>
              <w:bottom w:val="single" w:sz="12" w:space="0" w:color="auto"/>
              <w:right w:val="nil"/>
            </w:tcBorders>
            <w:shd w:val="clear" w:color="000000" w:fill="auto"/>
            <w:vAlign w:val="bottom"/>
          </w:tcPr>
          <w:p w14:paraId="1DEFD889" w14:textId="1E5DF853" w:rsidR="005C528F" w:rsidRPr="00537128" w:rsidRDefault="005C528F" w:rsidP="005C528F">
            <w:pPr>
              <w:spacing w:after="0" w:line="240" w:lineRule="exact"/>
              <w:jc w:val="right"/>
              <w:rPr>
                <w:rFonts w:ascii="Calibri" w:eastAsia="Arial Unicode MS" w:hAnsi="Calibri" w:cs="Times New Roman"/>
                <w:b/>
                <w:color w:val="000000"/>
                <w:sz w:val="18"/>
                <w:szCs w:val="18"/>
                <w:lang w:val="en-US"/>
              </w:rPr>
            </w:pPr>
            <w:r>
              <w:rPr>
                <w:rFonts w:ascii="Calibri" w:hAnsi="Calibri"/>
                <w:b/>
                <w:bCs/>
                <w:color w:val="000000" w:themeColor="text1"/>
                <w:sz w:val="18"/>
                <w:szCs w:val="18"/>
              </w:rPr>
              <w:t>(245,493)</w:t>
            </w:r>
          </w:p>
        </w:tc>
        <w:tc>
          <w:tcPr>
            <w:tcW w:w="678" w:type="pct"/>
            <w:tcBorders>
              <w:top w:val="single" w:sz="12" w:space="0" w:color="auto"/>
              <w:left w:val="nil"/>
              <w:bottom w:val="single" w:sz="12" w:space="0" w:color="auto"/>
              <w:right w:val="nil"/>
            </w:tcBorders>
            <w:shd w:val="clear" w:color="000000" w:fill="auto"/>
            <w:vAlign w:val="bottom"/>
          </w:tcPr>
          <w:p w14:paraId="1552C3BC" w14:textId="42667870" w:rsidR="005C528F" w:rsidRPr="00537128" w:rsidRDefault="005C528F" w:rsidP="005C528F">
            <w:pPr>
              <w:spacing w:after="0" w:line="240" w:lineRule="exact"/>
              <w:jc w:val="right"/>
              <w:rPr>
                <w:rFonts w:ascii="Calibri" w:eastAsia="Arial Unicode MS" w:hAnsi="Calibri" w:cs="Times New Roman"/>
                <w:b/>
                <w:color w:val="000000"/>
                <w:sz w:val="18"/>
                <w:szCs w:val="18"/>
                <w:lang w:val="en-US"/>
              </w:rPr>
            </w:pPr>
            <w:r>
              <w:rPr>
                <w:rFonts w:ascii="Calibri" w:hAnsi="Calibri"/>
                <w:b/>
                <w:bCs/>
                <w:color w:val="000000" w:themeColor="text1"/>
                <w:sz w:val="18"/>
                <w:szCs w:val="18"/>
              </w:rPr>
              <w:t>11,018,078</w:t>
            </w:r>
          </w:p>
        </w:tc>
        <w:tc>
          <w:tcPr>
            <w:tcW w:w="633" w:type="pct"/>
            <w:tcBorders>
              <w:top w:val="single" w:sz="12" w:space="0" w:color="auto"/>
              <w:left w:val="nil"/>
              <w:bottom w:val="single" w:sz="12" w:space="0" w:color="auto"/>
            </w:tcBorders>
            <w:shd w:val="clear" w:color="000000" w:fill="auto"/>
            <w:vAlign w:val="bottom"/>
          </w:tcPr>
          <w:p w14:paraId="232BAD1C" w14:textId="76040B8D" w:rsidR="005C528F" w:rsidRPr="00537128" w:rsidRDefault="005C528F" w:rsidP="005C528F">
            <w:pPr>
              <w:spacing w:after="0" w:line="240" w:lineRule="exact"/>
              <w:jc w:val="right"/>
              <w:rPr>
                <w:rFonts w:ascii="Calibri" w:eastAsia="Arial Unicode MS" w:hAnsi="Calibri" w:cs="Times New Roman"/>
                <w:b/>
                <w:color w:val="000000"/>
                <w:sz w:val="18"/>
                <w:szCs w:val="18"/>
                <w:lang w:val="en-US"/>
              </w:rPr>
            </w:pPr>
            <w:r>
              <w:rPr>
                <w:rFonts w:ascii="Calibri" w:hAnsi="Calibri"/>
                <w:b/>
                <w:bCs/>
                <w:color w:val="000000" w:themeColor="text1"/>
                <w:sz w:val="18"/>
                <w:szCs w:val="18"/>
              </w:rPr>
              <w:t>10,772,585</w:t>
            </w:r>
          </w:p>
        </w:tc>
      </w:tr>
    </w:tbl>
    <w:p w14:paraId="56D84349" w14:textId="77777777" w:rsidR="00206732" w:rsidRPr="00537128" w:rsidRDefault="00206732" w:rsidP="00206732">
      <w:pPr>
        <w:keepNext/>
        <w:spacing w:after="0" w:line="240" w:lineRule="auto"/>
        <w:jc w:val="both"/>
        <w:rPr>
          <w:rFonts w:ascii="Calibri" w:eastAsia="Times New Roman" w:hAnsi="Calibri" w:cs="Arial"/>
          <w:sz w:val="19"/>
          <w:szCs w:val="20"/>
          <w:lang w:val="en-US"/>
        </w:rPr>
      </w:pPr>
    </w:p>
    <w:p w14:paraId="419A3D28" w14:textId="77777777" w:rsidR="00206732" w:rsidRPr="00537128" w:rsidRDefault="00206732" w:rsidP="00206732">
      <w:pPr>
        <w:keepNext/>
        <w:spacing w:after="0" w:line="240" w:lineRule="auto"/>
        <w:jc w:val="both"/>
        <w:rPr>
          <w:rFonts w:ascii="Calibri" w:eastAsia="Calibri" w:hAnsi="Calibri" w:cs="Arial"/>
          <w:sz w:val="19"/>
          <w:lang w:val="en-US"/>
        </w:rPr>
      </w:pPr>
    </w:p>
    <w:p w14:paraId="5529081D" w14:textId="13AEF091" w:rsidR="00206732" w:rsidRPr="00537128"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bookmarkStart w:id="1103" w:name="_Toc4062901"/>
      <w:r w:rsidRPr="00537128">
        <w:rPr>
          <w:rFonts w:ascii="Calibri" w:eastAsia="Times New Roman" w:hAnsi="Calibri" w:cs="Times New Roman"/>
          <w:i/>
          <w:sz w:val="20"/>
          <w:szCs w:val="20"/>
          <w:lang w:val="en-US"/>
        </w:rPr>
        <w:t xml:space="preserve">* Amounts linked to a one-way currency clause represent HRK </w:t>
      </w:r>
      <w:r w:rsidR="005C528F">
        <w:rPr>
          <w:rFonts w:ascii="Calibri" w:eastAsia="Times New Roman" w:hAnsi="Calibri" w:cs="Times New Roman"/>
          <w:i/>
          <w:sz w:val="20"/>
          <w:szCs w:val="20"/>
          <w:lang w:val="en-US"/>
        </w:rPr>
        <w:t>2</w:t>
      </w:r>
      <w:r w:rsidR="003A43C0" w:rsidRPr="005C528F">
        <w:rPr>
          <w:rFonts w:ascii="Calibri" w:eastAsia="Times New Roman" w:hAnsi="Calibri" w:cs="Times New Roman"/>
          <w:i/>
          <w:sz w:val="20"/>
          <w:szCs w:val="20"/>
          <w:lang w:val="en-US"/>
        </w:rPr>
        <w:t>8,</w:t>
      </w:r>
      <w:r w:rsidR="005C528F">
        <w:rPr>
          <w:rFonts w:ascii="Calibri" w:eastAsia="Times New Roman" w:hAnsi="Calibri" w:cs="Times New Roman"/>
          <w:i/>
          <w:sz w:val="20"/>
          <w:szCs w:val="20"/>
          <w:lang w:val="en-US"/>
        </w:rPr>
        <w:t>486</w:t>
      </w:r>
      <w:r w:rsidR="00F8009E">
        <w:rPr>
          <w:rFonts w:ascii="Calibri" w:eastAsia="Times New Roman" w:hAnsi="Calibri" w:cs="Times New Roman"/>
          <w:i/>
          <w:sz w:val="20"/>
          <w:szCs w:val="20"/>
          <w:lang w:val="en-US"/>
        </w:rPr>
        <w:t xml:space="preserve"> </w:t>
      </w:r>
      <w:r w:rsidRPr="00537128">
        <w:rPr>
          <w:rFonts w:ascii="Calibri" w:eastAsia="Times New Roman" w:hAnsi="Calibri" w:cs="Times New Roman"/>
          <w:i/>
          <w:sz w:val="20"/>
          <w:szCs w:val="20"/>
          <w:lang w:val="en-US"/>
        </w:rPr>
        <w:t>thousand.</w:t>
      </w:r>
      <w:bookmarkEnd w:id="1103"/>
    </w:p>
    <w:p w14:paraId="22291F8C" w14:textId="77777777" w:rsidR="00206732" w:rsidRPr="00537128"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p>
    <w:p w14:paraId="1EABFDA0" w14:textId="77777777" w:rsidR="00206732" w:rsidRPr="00537128" w:rsidRDefault="00206732" w:rsidP="008330AF">
      <w:pPr>
        <w:spacing w:after="0" w:line="240" w:lineRule="auto"/>
        <w:jc w:val="both"/>
        <w:rPr>
          <w:rFonts w:eastAsia="Times New Roman" w:cstheme="minorHAnsi"/>
          <w:b/>
          <w:iCs/>
          <w:color w:val="000000" w:themeColor="text1"/>
          <w:lang w:val="en-US"/>
        </w:rPr>
      </w:pPr>
    </w:p>
    <w:p w14:paraId="472DACB4" w14:textId="77777777" w:rsidR="00206732" w:rsidRPr="00537128" w:rsidRDefault="00206732" w:rsidP="008330AF">
      <w:pPr>
        <w:spacing w:after="0" w:line="240" w:lineRule="auto"/>
        <w:jc w:val="both"/>
        <w:rPr>
          <w:rFonts w:eastAsia="Times New Roman" w:cstheme="minorHAnsi"/>
          <w:b/>
          <w:iCs/>
          <w:color w:val="000000" w:themeColor="text1"/>
          <w:lang w:val="en-US"/>
        </w:rPr>
        <w:sectPr w:rsidR="00206732" w:rsidRPr="00537128" w:rsidSect="00712478">
          <w:pgSz w:w="11906" w:h="16838"/>
          <w:pgMar w:top="1418" w:right="1134" w:bottom="1418" w:left="1418" w:header="709" w:footer="709" w:gutter="0"/>
          <w:cols w:space="708"/>
          <w:docGrid w:linePitch="360"/>
        </w:sectPr>
      </w:pPr>
    </w:p>
    <w:p w14:paraId="3E475D77" w14:textId="77777777" w:rsidR="00206732" w:rsidRPr="00537128" w:rsidRDefault="00206732" w:rsidP="00206732">
      <w:pPr>
        <w:spacing w:after="0" w:line="240" w:lineRule="auto"/>
        <w:jc w:val="both"/>
        <w:rPr>
          <w:rFonts w:eastAsia="Times New Roman" w:cstheme="minorHAnsi"/>
          <w:b/>
          <w:iCs/>
          <w:color w:val="000000" w:themeColor="text1"/>
          <w:lang w:val="en-US"/>
        </w:rPr>
      </w:pPr>
      <w:bookmarkStart w:id="1104" w:name="_Hlk37094750"/>
    </w:p>
    <w:p w14:paraId="52D98388" w14:textId="77777777" w:rsidR="00206732" w:rsidRPr="00537128" w:rsidRDefault="00206732">
      <w:pPr>
        <w:pStyle w:val="ListParagraph"/>
        <w:numPr>
          <w:ilvl w:val="0"/>
          <w:numId w:val="62"/>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7D97E86C"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47BC6647" w14:textId="5FCD832E" w:rsidR="00206732" w:rsidRPr="00537128" w:rsidRDefault="00B357CE" w:rsidP="00206732">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06732" w:rsidRPr="00537128">
        <w:rPr>
          <w:rFonts w:eastAsia="Times New Roman" w:cstheme="minorHAnsi"/>
          <w:b/>
          <w:iCs/>
          <w:color w:val="000000" w:themeColor="text1"/>
          <w:lang w:val="en-US"/>
        </w:rPr>
        <w:t xml:space="preserve">.5. </w:t>
      </w:r>
      <w:r w:rsidR="00206732" w:rsidRPr="00537128">
        <w:rPr>
          <w:rFonts w:eastAsia="Times New Roman" w:cstheme="minorHAnsi"/>
          <w:b/>
          <w:iCs/>
          <w:color w:val="000000" w:themeColor="text1"/>
          <w:lang w:val="en-US"/>
        </w:rPr>
        <w:tab/>
        <w:t>Market risk (continued)</w:t>
      </w:r>
    </w:p>
    <w:p w14:paraId="21AC9321"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74950A97" w14:textId="797CA748" w:rsidR="00206732" w:rsidRDefault="00B357CE" w:rsidP="00206732">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06732" w:rsidRPr="00537128">
        <w:rPr>
          <w:rFonts w:eastAsia="Times New Roman" w:cstheme="minorHAnsi"/>
          <w:b/>
          <w:iCs/>
          <w:color w:val="000000" w:themeColor="text1"/>
          <w:lang w:val="en-US"/>
        </w:rPr>
        <w:t>.5.2.   Currency risk (continued)</w:t>
      </w:r>
    </w:p>
    <w:p w14:paraId="14C42623" w14:textId="77777777" w:rsidR="00206732" w:rsidRPr="00537128" w:rsidRDefault="00206732" w:rsidP="00206732">
      <w:pPr>
        <w:spacing w:after="0" w:line="240" w:lineRule="auto"/>
        <w:jc w:val="both"/>
        <w:rPr>
          <w:rFonts w:eastAsia="Times New Roman" w:cstheme="minorHAnsi"/>
          <w:b/>
          <w:iCs/>
          <w:color w:val="000000" w:themeColor="text1"/>
          <w:lang w:val="en-US"/>
        </w:rPr>
      </w:pPr>
    </w:p>
    <w:tbl>
      <w:tblPr>
        <w:tblW w:w="5267" w:type="pct"/>
        <w:tblInd w:w="-306" w:type="dxa"/>
        <w:tblLayout w:type="fixed"/>
        <w:tblCellMar>
          <w:left w:w="120" w:type="dxa"/>
          <w:right w:w="120" w:type="dxa"/>
        </w:tblCellMar>
        <w:tblLook w:val="0000" w:firstRow="0" w:lastRow="0" w:firstColumn="0" w:lastColumn="0" w:noHBand="0" w:noVBand="0"/>
      </w:tblPr>
      <w:tblGrid>
        <w:gridCol w:w="2728"/>
        <w:gridCol w:w="997"/>
        <w:gridCol w:w="1120"/>
        <w:gridCol w:w="1214"/>
        <w:gridCol w:w="1212"/>
        <w:gridCol w:w="1336"/>
        <w:gridCol w:w="1248"/>
      </w:tblGrid>
      <w:tr w:rsidR="00D529FF" w:rsidRPr="00D529FF" w14:paraId="162517C8" w14:textId="77777777" w:rsidTr="00E44437">
        <w:trPr>
          <w:trHeight w:val="630"/>
        </w:trPr>
        <w:tc>
          <w:tcPr>
            <w:tcW w:w="1384" w:type="pct"/>
            <w:vAlign w:val="bottom"/>
          </w:tcPr>
          <w:p w14:paraId="5ABCBE38" w14:textId="77777777" w:rsidR="00D529FF" w:rsidRPr="00D529FF" w:rsidRDefault="00D529FF" w:rsidP="00D529FF">
            <w:pPr>
              <w:tabs>
                <w:tab w:val="right" w:pos="1202"/>
              </w:tabs>
              <w:spacing w:after="0" w:line="240" w:lineRule="exact"/>
              <w:outlineLvl w:val="0"/>
              <w:rPr>
                <w:rFonts w:ascii="Calibri" w:eastAsia="Times New Roman" w:hAnsi="Calibri" w:cs="Arial"/>
                <w:b/>
                <w:sz w:val="18"/>
                <w:szCs w:val="18"/>
                <w:lang w:val="en-US"/>
              </w:rPr>
            </w:pPr>
            <w:bookmarkStart w:id="1105" w:name="_Hlk97826105"/>
            <w:bookmarkEnd w:id="1104"/>
            <w:r w:rsidRPr="00D529FF">
              <w:rPr>
                <w:rFonts w:ascii="Calibri" w:eastAsia="Times New Roman" w:hAnsi="Calibri" w:cs="Arial"/>
                <w:b/>
                <w:sz w:val="18"/>
                <w:szCs w:val="18"/>
                <w:lang w:val="en-US"/>
              </w:rPr>
              <w:t>Bank</w:t>
            </w:r>
          </w:p>
          <w:p w14:paraId="15DA587E" w14:textId="77777777" w:rsidR="00D529FF" w:rsidRPr="00D529FF" w:rsidRDefault="00D529FF" w:rsidP="00D529FF">
            <w:pPr>
              <w:tabs>
                <w:tab w:val="right" w:pos="1202"/>
              </w:tabs>
              <w:spacing w:after="0" w:line="240" w:lineRule="exact"/>
              <w:outlineLvl w:val="0"/>
              <w:rPr>
                <w:rFonts w:ascii="Calibri" w:eastAsia="Times New Roman" w:hAnsi="Calibri" w:cs="Arial"/>
                <w:b/>
                <w:sz w:val="18"/>
                <w:szCs w:val="18"/>
                <w:lang w:val="en-US"/>
              </w:rPr>
            </w:pPr>
          </w:p>
          <w:p w14:paraId="74818DB2" w14:textId="77777777" w:rsidR="00D529FF" w:rsidRPr="00D529FF" w:rsidRDefault="00D529FF" w:rsidP="00D529FF">
            <w:pPr>
              <w:tabs>
                <w:tab w:val="right" w:pos="1202"/>
              </w:tabs>
              <w:spacing w:after="0" w:line="240" w:lineRule="exact"/>
              <w:outlineLvl w:val="0"/>
              <w:rPr>
                <w:rFonts w:ascii="Calibri" w:eastAsia="Times New Roman" w:hAnsi="Calibri" w:cs="Arial"/>
                <w:b/>
                <w:sz w:val="18"/>
                <w:szCs w:val="18"/>
                <w:lang w:val="en-US"/>
              </w:rPr>
            </w:pPr>
            <w:r w:rsidRPr="00D529FF">
              <w:rPr>
                <w:rFonts w:ascii="Calibri" w:eastAsia="Times New Roman" w:hAnsi="Calibri" w:cs="Arial"/>
                <w:b/>
                <w:bCs/>
                <w:sz w:val="18"/>
                <w:szCs w:val="18"/>
                <w:lang w:val="en-US"/>
              </w:rPr>
              <w:t>31 December</w:t>
            </w:r>
            <w:r w:rsidRPr="00D529FF">
              <w:rPr>
                <w:rFonts w:ascii="Calibri" w:eastAsia="Times New Roman" w:hAnsi="Calibri" w:cs="Arial"/>
                <w:b/>
                <w:sz w:val="18"/>
                <w:szCs w:val="18"/>
                <w:lang w:val="en-US"/>
              </w:rPr>
              <w:t xml:space="preserve"> 2021</w:t>
            </w:r>
          </w:p>
        </w:tc>
        <w:tc>
          <w:tcPr>
            <w:tcW w:w="506" w:type="pct"/>
          </w:tcPr>
          <w:p w14:paraId="2925E126" w14:textId="77777777" w:rsidR="00D529FF" w:rsidRPr="00D529FF" w:rsidRDefault="00D529FF" w:rsidP="00D529FF">
            <w:pPr>
              <w:tabs>
                <w:tab w:val="right" w:pos="1202"/>
              </w:tabs>
              <w:spacing w:after="0" w:line="220" w:lineRule="exact"/>
              <w:jc w:val="right"/>
              <w:outlineLvl w:val="0"/>
              <w:rPr>
                <w:rFonts w:ascii="Calibri" w:eastAsia="Times New Roman" w:hAnsi="Calibri" w:cs="Arial"/>
                <w:b/>
                <w:sz w:val="18"/>
                <w:szCs w:val="18"/>
                <w:lang w:val="en-US"/>
              </w:rPr>
            </w:pPr>
            <w:r w:rsidRPr="00D529FF">
              <w:rPr>
                <w:rFonts w:ascii="Calibri" w:eastAsia="Times New Roman" w:hAnsi="Calibri" w:cs="Arial"/>
                <w:b/>
                <w:sz w:val="18"/>
                <w:szCs w:val="18"/>
                <w:lang w:val="en-US"/>
              </w:rPr>
              <w:t>USD</w:t>
            </w:r>
          </w:p>
        </w:tc>
        <w:tc>
          <w:tcPr>
            <w:tcW w:w="568" w:type="pct"/>
          </w:tcPr>
          <w:p w14:paraId="2D3B2F78" w14:textId="77777777" w:rsidR="00D529FF" w:rsidRPr="00D529FF" w:rsidRDefault="00D529FF" w:rsidP="00D529FF">
            <w:pPr>
              <w:tabs>
                <w:tab w:val="right" w:pos="1202"/>
              </w:tabs>
              <w:spacing w:after="0" w:line="220" w:lineRule="exact"/>
              <w:jc w:val="right"/>
              <w:outlineLvl w:val="0"/>
              <w:rPr>
                <w:rFonts w:ascii="Calibri" w:eastAsia="Times New Roman" w:hAnsi="Calibri" w:cs="Arial"/>
                <w:b/>
                <w:sz w:val="18"/>
                <w:szCs w:val="18"/>
                <w:lang w:val="en-US"/>
              </w:rPr>
            </w:pPr>
            <w:r w:rsidRPr="00D529FF">
              <w:rPr>
                <w:rFonts w:ascii="Calibri" w:eastAsia="Times New Roman" w:hAnsi="Calibri" w:cs="Arial"/>
                <w:b/>
                <w:sz w:val="18"/>
                <w:szCs w:val="18"/>
                <w:lang w:val="en-US"/>
              </w:rPr>
              <w:t xml:space="preserve">EUR </w:t>
            </w:r>
          </w:p>
        </w:tc>
        <w:tc>
          <w:tcPr>
            <w:tcW w:w="616" w:type="pct"/>
          </w:tcPr>
          <w:p w14:paraId="5298DF11" w14:textId="77777777" w:rsidR="00D529FF" w:rsidRPr="00D529FF" w:rsidRDefault="00D529FF" w:rsidP="00D529FF">
            <w:pPr>
              <w:tabs>
                <w:tab w:val="right" w:pos="1202"/>
              </w:tabs>
              <w:spacing w:after="0" w:line="220" w:lineRule="exact"/>
              <w:jc w:val="right"/>
              <w:outlineLvl w:val="0"/>
              <w:rPr>
                <w:rFonts w:ascii="Calibri" w:eastAsia="Times New Roman" w:hAnsi="Calibri" w:cs="Arial"/>
                <w:b/>
                <w:sz w:val="18"/>
                <w:szCs w:val="18"/>
                <w:lang w:val="en-US"/>
              </w:rPr>
            </w:pPr>
            <w:r w:rsidRPr="00D529FF">
              <w:rPr>
                <w:rFonts w:ascii="Calibri" w:eastAsia="Times New Roman" w:hAnsi="Calibri" w:cs="Arial"/>
                <w:b/>
                <w:sz w:val="18"/>
                <w:szCs w:val="18"/>
                <w:lang w:val="en-US"/>
              </w:rPr>
              <w:t xml:space="preserve">Other </w:t>
            </w:r>
          </w:p>
          <w:p w14:paraId="4DB26C29" w14:textId="77777777" w:rsidR="00D529FF" w:rsidRPr="00D529FF" w:rsidRDefault="00D529FF" w:rsidP="00D529FF">
            <w:pPr>
              <w:tabs>
                <w:tab w:val="right" w:pos="1202"/>
              </w:tabs>
              <w:spacing w:after="0" w:line="220" w:lineRule="exact"/>
              <w:jc w:val="right"/>
              <w:outlineLvl w:val="0"/>
              <w:rPr>
                <w:rFonts w:ascii="Calibri" w:eastAsia="Times New Roman" w:hAnsi="Calibri" w:cs="Arial"/>
                <w:b/>
                <w:sz w:val="18"/>
                <w:szCs w:val="18"/>
                <w:lang w:val="en-US"/>
              </w:rPr>
            </w:pPr>
            <w:r w:rsidRPr="00D529FF">
              <w:rPr>
                <w:rFonts w:ascii="Calibri" w:eastAsia="Times New Roman" w:hAnsi="Calibri" w:cs="Arial"/>
                <w:b/>
                <w:sz w:val="18"/>
                <w:szCs w:val="18"/>
                <w:lang w:val="en-US"/>
              </w:rPr>
              <w:t xml:space="preserve">foreign currencies </w:t>
            </w:r>
          </w:p>
        </w:tc>
        <w:tc>
          <w:tcPr>
            <w:tcW w:w="615" w:type="pct"/>
          </w:tcPr>
          <w:p w14:paraId="50EC4AB1" w14:textId="77777777" w:rsidR="00D529FF" w:rsidRPr="00D529FF" w:rsidRDefault="00D529FF" w:rsidP="00D529FF">
            <w:pPr>
              <w:tabs>
                <w:tab w:val="right" w:pos="1202"/>
              </w:tabs>
              <w:spacing w:after="0" w:line="220" w:lineRule="exact"/>
              <w:jc w:val="right"/>
              <w:outlineLvl w:val="0"/>
              <w:rPr>
                <w:rFonts w:ascii="Calibri" w:eastAsia="Times New Roman" w:hAnsi="Calibri" w:cs="Arial"/>
                <w:b/>
                <w:sz w:val="18"/>
                <w:szCs w:val="18"/>
                <w:lang w:val="en-US"/>
              </w:rPr>
            </w:pPr>
            <w:r w:rsidRPr="00D529FF">
              <w:rPr>
                <w:rFonts w:ascii="Calibri" w:eastAsia="Times New Roman" w:hAnsi="Calibri" w:cs="Arial"/>
                <w:b/>
                <w:sz w:val="18"/>
                <w:szCs w:val="18"/>
                <w:lang w:val="en-US"/>
              </w:rPr>
              <w:t>Total</w:t>
            </w:r>
          </w:p>
          <w:p w14:paraId="13FA546D" w14:textId="77777777" w:rsidR="00D529FF" w:rsidRPr="00D529FF" w:rsidRDefault="00D529FF" w:rsidP="00D529FF">
            <w:pPr>
              <w:tabs>
                <w:tab w:val="right" w:pos="1202"/>
              </w:tabs>
              <w:spacing w:after="0" w:line="220" w:lineRule="exact"/>
              <w:jc w:val="right"/>
              <w:outlineLvl w:val="0"/>
              <w:rPr>
                <w:rFonts w:ascii="Calibri" w:eastAsia="Times New Roman" w:hAnsi="Calibri" w:cs="Arial"/>
                <w:b/>
                <w:sz w:val="18"/>
                <w:szCs w:val="18"/>
                <w:lang w:val="en-US"/>
              </w:rPr>
            </w:pPr>
            <w:r w:rsidRPr="00D529FF">
              <w:rPr>
                <w:rFonts w:ascii="Calibri" w:eastAsia="Times New Roman" w:hAnsi="Calibri" w:cs="Arial"/>
                <w:b/>
                <w:sz w:val="18"/>
                <w:szCs w:val="18"/>
                <w:lang w:val="en-US"/>
              </w:rPr>
              <w:t xml:space="preserve"> foreign currencies </w:t>
            </w:r>
          </w:p>
        </w:tc>
        <w:tc>
          <w:tcPr>
            <w:tcW w:w="678" w:type="pct"/>
          </w:tcPr>
          <w:p w14:paraId="05859133" w14:textId="77777777" w:rsidR="00D529FF" w:rsidRPr="00D529FF" w:rsidRDefault="00D529FF" w:rsidP="00D529FF">
            <w:pPr>
              <w:tabs>
                <w:tab w:val="right" w:pos="1202"/>
              </w:tabs>
              <w:spacing w:after="0" w:line="220" w:lineRule="exact"/>
              <w:jc w:val="right"/>
              <w:outlineLvl w:val="0"/>
              <w:rPr>
                <w:rFonts w:ascii="Calibri" w:eastAsia="Times New Roman" w:hAnsi="Calibri" w:cs="Arial"/>
                <w:b/>
                <w:sz w:val="18"/>
                <w:szCs w:val="18"/>
                <w:lang w:val="en-US"/>
              </w:rPr>
            </w:pPr>
            <w:r w:rsidRPr="00D529FF">
              <w:rPr>
                <w:rFonts w:ascii="Calibri" w:eastAsia="Times New Roman" w:hAnsi="Calibri" w:cs="Arial"/>
                <w:b/>
                <w:sz w:val="18"/>
                <w:szCs w:val="18"/>
                <w:lang w:val="en-US"/>
              </w:rPr>
              <w:t>HRK</w:t>
            </w:r>
          </w:p>
        </w:tc>
        <w:tc>
          <w:tcPr>
            <w:tcW w:w="633" w:type="pct"/>
          </w:tcPr>
          <w:p w14:paraId="701FFC75" w14:textId="77777777" w:rsidR="00D529FF" w:rsidRPr="00D529FF" w:rsidRDefault="00D529FF" w:rsidP="00D529FF">
            <w:pPr>
              <w:tabs>
                <w:tab w:val="right" w:pos="1202"/>
              </w:tabs>
              <w:spacing w:after="0" w:line="220" w:lineRule="exact"/>
              <w:jc w:val="right"/>
              <w:outlineLvl w:val="0"/>
              <w:rPr>
                <w:rFonts w:ascii="Calibri" w:eastAsia="Times New Roman" w:hAnsi="Calibri" w:cs="Arial"/>
                <w:b/>
                <w:sz w:val="18"/>
                <w:szCs w:val="18"/>
                <w:lang w:val="en-US"/>
              </w:rPr>
            </w:pPr>
            <w:r w:rsidRPr="00D529FF">
              <w:rPr>
                <w:rFonts w:ascii="Calibri" w:eastAsia="Times New Roman" w:hAnsi="Calibri" w:cs="Arial"/>
                <w:b/>
                <w:sz w:val="18"/>
                <w:szCs w:val="18"/>
                <w:lang w:val="en-US"/>
              </w:rPr>
              <w:t xml:space="preserve">Total </w:t>
            </w:r>
          </w:p>
        </w:tc>
      </w:tr>
      <w:tr w:rsidR="00D529FF" w:rsidRPr="00D529FF" w14:paraId="29A34FF8" w14:textId="77777777" w:rsidTr="00E44437">
        <w:trPr>
          <w:trHeight w:hRule="exact" w:val="229"/>
        </w:trPr>
        <w:tc>
          <w:tcPr>
            <w:tcW w:w="1384" w:type="pct"/>
          </w:tcPr>
          <w:p w14:paraId="280E1020" w14:textId="77777777" w:rsidR="00D529FF" w:rsidRPr="00D529FF" w:rsidRDefault="00D529FF" w:rsidP="00D529FF">
            <w:pPr>
              <w:tabs>
                <w:tab w:val="right" w:pos="1202"/>
              </w:tabs>
              <w:spacing w:after="0" w:line="240" w:lineRule="exact"/>
              <w:outlineLvl w:val="0"/>
              <w:rPr>
                <w:rFonts w:ascii="Calibri" w:eastAsia="Times New Roman" w:hAnsi="Calibri" w:cs="Arial"/>
                <w:b/>
                <w:sz w:val="18"/>
                <w:szCs w:val="18"/>
                <w:lang w:val="en-US"/>
              </w:rPr>
            </w:pPr>
          </w:p>
        </w:tc>
        <w:tc>
          <w:tcPr>
            <w:tcW w:w="506" w:type="pct"/>
          </w:tcPr>
          <w:p w14:paraId="3E8D6581" w14:textId="77777777" w:rsidR="00D529FF" w:rsidRPr="00D529FF" w:rsidRDefault="00D529FF" w:rsidP="00D529FF">
            <w:pPr>
              <w:tabs>
                <w:tab w:val="right" w:pos="1202"/>
              </w:tabs>
              <w:spacing w:after="0" w:line="220" w:lineRule="exact"/>
              <w:jc w:val="right"/>
              <w:outlineLvl w:val="0"/>
              <w:rPr>
                <w:rFonts w:ascii="Calibri" w:eastAsia="Times New Roman" w:hAnsi="Calibri" w:cs="Arial"/>
                <w:b/>
                <w:sz w:val="18"/>
                <w:szCs w:val="18"/>
                <w:lang w:val="en-US"/>
              </w:rPr>
            </w:pPr>
            <w:r w:rsidRPr="00D529FF">
              <w:rPr>
                <w:rFonts w:ascii="Calibri" w:eastAsia="Times New Roman" w:hAnsi="Calibri" w:cs="Arial"/>
                <w:b/>
                <w:sz w:val="18"/>
                <w:szCs w:val="18"/>
                <w:lang w:val="en-US"/>
              </w:rPr>
              <w:t>HRK ‘000</w:t>
            </w:r>
          </w:p>
        </w:tc>
        <w:tc>
          <w:tcPr>
            <w:tcW w:w="568" w:type="pct"/>
          </w:tcPr>
          <w:p w14:paraId="517BE373" w14:textId="77777777" w:rsidR="00D529FF" w:rsidRPr="00D529FF" w:rsidRDefault="00D529FF" w:rsidP="00D529FF">
            <w:pPr>
              <w:tabs>
                <w:tab w:val="right" w:pos="1202"/>
              </w:tabs>
              <w:spacing w:after="0" w:line="220" w:lineRule="exact"/>
              <w:jc w:val="right"/>
              <w:outlineLvl w:val="0"/>
              <w:rPr>
                <w:rFonts w:ascii="Calibri" w:eastAsia="Times New Roman" w:hAnsi="Calibri" w:cs="Arial"/>
                <w:b/>
                <w:sz w:val="18"/>
                <w:szCs w:val="18"/>
                <w:lang w:val="en-US"/>
              </w:rPr>
            </w:pPr>
            <w:r w:rsidRPr="00D529FF">
              <w:rPr>
                <w:rFonts w:ascii="Calibri" w:eastAsia="Times New Roman" w:hAnsi="Calibri" w:cs="Arial"/>
                <w:b/>
                <w:sz w:val="18"/>
                <w:szCs w:val="18"/>
                <w:lang w:val="en-US"/>
              </w:rPr>
              <w:t>HRK ‘000</w:t>
            </w:r>
          </w:p>
        </w:tc>
        <w:tc>
          <w:tcPr>
            <w:tcW w:w="616" w:type="pct"/>
          </w:tcPr>
          <w:p w14:paraId="18D18799" w14:textId="77777777" w:rsidR="00D529FF" w:rsidRPr="00D529FF" w:rsidRDefault="00D529FF" w:rsidP="00D529FF">
            <w:pPr>
              <w:tabs>
                <w:tab w:val="right" w:pos="1202"/>
              </w:tabs>
              <w:spacing w:after="0" w:line="220" w:lineRule="exact"/>
              <w:jc w:val="right"/>
              <w:outlineLvl w:val="0"/>
              <w:rPr>
                <w:rFonts w:ascii="Calibri" w:eastAsia="Times New Roman" w:hAnsi="Calibri" w:cs="Arial"/>
                <w:b/>
                <w:sz w:val="18"/>
                <w:szCs w:val="18"/>
                <w:lang w:val="en-US"/>
              </w:rPr>
            </w:pPr>
            <w:r w:rsidRPr="00D529FF">
              <w:rPr>
                <w:rFonts w:ascii="Calibri" w:eastAsia="Times New Roman" w:hAnsi="Calibri" w:cs="Arial"/>
                <w:b/>
                <w:sz w:val="18"/>
                <w:szCs w:val="18"/>
                <w:lang w:val="en-US"/>
              </w:rPr>
              <w:t>HRK ‘000</w:t>
            </w:r>
          </w:p>
        </w:tc>
        <w:tc>
          <w:tcPr>
            <w:tcW w:w="615" w:type="pct"/>
          </w:tcPr>
          <w:p w14:paraId="394BC3BC" w14:textId="77777777" w:rsidR="00D529FF" w:rsidRPr="00D529FF" w:rsidRDefault="00D529FF" w:rsidP="00D529FF">
            <w:pPr>
              <w:tabs>
                <w:tab w:val="right" w:pos="1202"/>
              </w:tabs>
              <w:spacing w:after="0" w:line="220" w:lineRule="exact"/>
              <w:jc w:val="right"/>
              <w:outlineLvl w:val="0"/>
              <w:rPr>
                <w:rFonts w:ascii="Calibri" w:eastAsia="Times New Roman" w:hAnsi="Calibri" w:cs="Arial"/>
                <w:b/>
                <w:sz w:val="18"/>
                <w:szCs w:val="18"/>
                <w:lang w:val="en-US"/>
              </w:rPr>
            </w:pPr>
            <w:r w:rsidRPr="00D529FF">
              <w:rPr>
                <w:rFonts w:ascii="Calibri" w:eastAsia="Times New Roman" w:hAnsi="Calibri" w:cs="Arial"/>
                <w:b/>
                <w:sz w:val="18"/>
                <w:szCs w:val="18"/>
                <w:lang w:val="en-US"/>
              </w:rPr>
              <w:t>HRK ‘000</w:t>
            </w:r>
          </w:p>
        </w:tc>
        <w:tc>
          <w:tcPr>
            <w:tcW w:w="678" w:type="pct"/>
          </w:tcPr>
          <w:p w14:paraId="2AA0E441" w14:textId="77777777" w:rsidR="00D529FF" w:rsidRPr="00D529FF" w:rsidRDefault="00D529FF" w:rsidP="00D529FF">
            <w:pPr>
              <w:tabs>
                <w:tab w:val="right" w:pos="1202"/>
              </w:tabs>
              <w:spacing w:after="0" w:line="220" w:lineRule="exact"/>
              <w:jc w:val="right"/>
              <w:outlineLvl w:val="0"/>
              <w:rPr>
                <w:rFonts w:ascii="Calibri" w:eastAsia="Times New Roman" w:hAnsi="Calibri" w:cs="Arial"/>
                <w:b/>
                <w:sz w:val="18"/>
                <w:szCs w:val="18"/>
                <w:lang w:val="en-US"/>
              </w:rPr>
            </w:pPr>
            <w:r w:rsidRPr="00D529FF">
              <w:rPr>
                <w:rFonts w:ascii="Calibri" w:eastAsia="Times New Roman" w:hAnsi="Calibri" w:cs="Arial"/>
                <w:b/>
                <w:sz w:val="18"/>
                <w:szCs w:val="18"/>
                <w:lang w:val="en-US"/>
              </w:rPr>
              <w:t>HRK ‘000</w:t>
            </w:r>
          </w:p>
        </w:tc>
        <w:tc>
          <w:tcPr>
            <w:tcW w:w="633" w:type="pct"/>
          </w:tcPr>
          <w:p w14:paraId="79616D19" w14:textId="77777777" w:rsidR="00D529FF" w:rsidRPr="00D529FF" w:rsidRDefault="00D529FF" w:rsidP="00D529FF">
            <w:pPr>
              <w:tabs>
                <w:tab w:val="right" w:pos="1202"/>
              </w:tabs>
              <w:spacing w:after="0" w:line="220" w:lineRule="exact"/>
              <w:jc w:val="right"/>
              <w:outlineLvl w:val="0"/>
              <w:rPr>
                <w:rFonts w:ascii="Calibri" w:eastAsia="Times New Roman" w:hAnsi="Calibri" w:cs="Arial"/>
                <w:b/>
                <w:sz w:val="18"/>
                <w:szCs w:val="18"/>
                <w:lang w:val="en-US"/>
              </w:rPr>
            </w:pPr>
            <w:r w:rsidRPr="00D529FF">
              <w:rPr>
                <w:rFonts w:ascii="Calibri" w:eastAsia="Times New Roman" w:hAnsi="Calibri" w:cs="Arial"/>
                <w:b/>
                <w:sz w:val="18"/>
                <w:szCs w:val="18"/>
                <w:lang w:val="en-US"/>
              </w:rPr>
              <w:t>HRK ‘000</w:t>
            </w:r>
          </w:p>
        </w:tc>
      </w:tr>
      <w:tr w:rsidR="00D529FF" w:rsidRPr="00D529FF" w14:paraId="676F2E7A" w14:textId="77777777" w:rsidTr="00E44437">
        <w:trPr>
          <w:trHeight w:val="217"/>
        </w:trPr>
        <w:tc>
          <w:tcPr>
            <w:tcW w:w="1384" w:type="pct"/>
          </w:tcPr>
          <w:p w14:paraId="793FA88B" w14:textId="77777777" w:rsidR="00D529FF" w:rsidRPr="00D529FF" w:rsidRDefault="00D529FF" w:rsidP="00D529FF">
            <w:pPr>
              <w:tabs>
                <w:tab w:val="right" w:pos="1202"/>
              </w:tabs>
              <w:spacing w:after="0" w:line="240" w:lineRule="exact"/>
              <w:outlineLvl w:val="0"/>
              <w:rPr>
                <w:rFonts w:ascii="Calibri" w:eastAsia="Times New Roman" w:hAnsi="Calibri" w:cs="Arial"/>
                <w:b/>
                <w:sz w:val="18"/>
                <w:szCs w:val="18"/>
                <w:lang w:val="en-US"/>
              </w:rPr>
            </w:pPr>
            <w:r w:rsidRPr="00D529FF">
              <w:rPr>
                <w:rFonts w:ascii="Calibri" w:eastAsia="Times New Roman" w:hAnsi="Calibri" w:cs="Arial"/>
                <w:b/>
                <w:sz w:val="18"/>
                <w:szCs w:val="18"/>
                <w:lang w:val="en-US"/>
              </w:rPr>
              <w:t xml:space="preserve">Assets </w:t>
            </w:r>
          </w:p>
        </w:tc>
        <w:tc>
          <w:tcPr>
            <w:tcW w:w="506" w:type="pct"/>
            <w:vAlign w:val="bottom"/>
          </w:tcPr>
          <w:p w14:paraId="1A31D954" w14:textId="77777777" w:rsidR="00D529FF" w:rsidRPr="00D529FF" w:rsidRDefault="00D529FF" w:rsidP="00D529FF">
            <w:pPr>
              <w:spacing w:after="0" w:line="240" w:lineRule="exact"/>
              <w:jc w:val="right"/>
              <w:rPr>
                <w:rFonts w:ascii="Calibri" w:eastAsia="Arial Unicode MS" w:hAnsi="Calibri" w:cs="Arial"/>
                <w:sz w:val="18"/>
                <w:szCs w:val="18"/>
                <w:lang w:val="en-US"/>
              </w:rPr>
            </w:pPr>
          </w:p>
        </w:tc>
        <w:tc>
          <w:tcPr>
            <w:tcW w:w="568" w:type="pct"/>
            <w:vAlign w:val="bottom"/>
          </w:tcPr>
          <w:p w14:paraId="056B36AC" w14:textId="77777777" w:rsidR="00D529FF" w:rsidRPr="00D529FF" w:rsidRDefault="00D529FF" w:rsidP="00D529FF">
            <w:pPr>
              <w:spacing w:after="0" w:line="240" w:lineRule="exact"/>
              <w:jc w:val="right"/>
              <w:rPr>
                <w:rFonts w:ascii="Calibri" w:eastAsia="Arial Unicode MS" w:hAnsi="Calibri" w:cs="Arial"/>
                <w:sz w:val="18"/>
                <w:szCs w:val="18"/>
                <w:lang w:val="en-US"/>
              </w:rPr>
            </w:pPr>
          </w:p>
        </w:tc>
        <w:tc>
          <w:tcPr>
            <w:tcW w:w="616" w:type="pct"/>
            <w:vAlign w:val="bottom"/>
          </w:tcPr>
          <w:p w14:paraId="7D1D1F13" w14:textId="77777777" w:rsidR="00D529FF" w:rsidRPr="00D529FF" w:rsidRDefault="00D529FF" w:rsidP="00D529FF">
            <w:pPr>
              <w:spacing w:after="0" w:line="240" w:lineRule="exact"/>
              <w:jc w:val="right"/>
              <w:rPr>
                <w:rFonts w:ascii="Calibri" w:eastAsia="Arial Unicode MS" w:hAnsi="Calibri" w:cs="Arial"/>
                <w:sz w:val="18"/>
                <w:szCs w:val="18"/>
                <w:lang w:val="en-US"/>
              </w:rPr>
            </w:pPr>
          </w:p>
        </w:tc>
        <w:tc>
          <w:tcPr>
            <w:tcW w:w="615" w:type="pct"/>
            <w:vAlign w:val="bottom"/>
          </w:tcPr>
          <w:p w14:paraId="613E1DC0" w14:textId="77777777" w:rsidR="00D529FF" w:rsidRPr="00D529FF" w:rsidRDefault="00D529FF" w:rsidP="00D529FF">
            <w:pPr>
              <w:spacing w:after="0" w:line="240" w:lineRule="exact"/>
              <w:jc w:val="right"/>
              <w:rPr>
                <w:rFonts w:ascii="Calibri" w:eastAsia="Arial Unicode MS" w:hAnsi="Calibri" w:cs="Arial"/>
                <w:sz w:val="18"/>
                <w:szCs w:val="18"/>
                <w:lang w:val="en-US"/>
              </w:rPr>
            </w:pPr>
          </w:p>
        </w:tc>
        <w:tc>
          <w:tcPr>
            <w:tcW w:w="678" w:type="pct"/>
            <w:vAlign w:val="bottom"/>
          </w:tcPr>
          <w:p w14:paraId="270846B6" w14:textId="77777777" w:rsidR="00D529FF" w:rsidRPr="00D529FF" w:rsidRDefault="00D529FF" w:rsidP="00D529FF">
            <w:pPr>
              <w:spacing w:after="0" w:line="240" w:lineRule="exact"/>
              <w:jc w:val="right"/>
              <w:rPr>
                <w:rFonts w:ascii="Calibri" w:eastAsia="Arial Unicode MS" w:hAnsi="Calibri" w:cs="Arial"/>
                <w:sz w:val="18"/>
                <w:szCs w:val="18"/>
                <w:lang w:val="en-US"/>
              </w:rPr>
            </w:pPr>
          </w:p>
        </w:tc>
        <w:tc>
          <w:tcPr>
            <w:tcW w:w="633" w:type="pct"/>
            <w:vAlign w:val="bottom"/>
          </w:tcPr>
          <w:p w14:paraId="038D868B" w14:textId="77777777" w:rsidR="00D529FF" w:rsidRPr="00D529FF" w:rsidRDefault="00D529FF" w:rsidP="00D529FF">
            <w:pPr>
              <w:spacing w:after="0" w:line="240" w:lineRule="exact"/>
              <w:jc w:val="right"/>
              <w:rPr>
                <w:rFonts w:ascii="Calibri" w:eastAsia="Arial Unicode MS" w:hAnsi="Calibri" w:cs="Arial"/>
                <w:sz w:val="18"/>
                <w:szCs w:val="18"/>
                <w:lang w:val="en-US"/>
              </w:rPr>
            </w:pPr>
          </w:p>
        </w:tc>
      </w:tr>
      <w:tr w:rsidR="00D529FF" w:rsidRPr="00D529FF" w14:paraId="36CFEA1C" w14:textId="77777777" w:rsidTr="00E44437">
        <w:trPr>
          <w:trHeight w:val="281"/>
        </w:trPr>
        <w:tc>
          <w:tcPr>
            <w:tcW w:w="1384" w:type="pct"/>
            <w:vAlign w:val="bottom"/>
          </w:tcPr>
          <w:p w14:paraId="2F56F010" w14:textId="77777777" w:rsidR="00D529FF" w:rsidRPr="00D529FF" w:rsidRDefault="00D529FF" w:rsidP="00D529FF">
            <w:pPr>
              <w:tabs>
                <w:tab w:val="right" w:pos="1202"/>
              </w:tabs>
              <w:spacing w:after="0" w:line="240" w:lineRule="exact"/>
              <w:outlineLvl w:val="0"/>
              <w:rPr>
                <w:rFonts w:ascii="Calibri" w:eastAsia="Times New Roman" w:hAnsi="Calibri" w:cs="Arial"/>
                <w:sz w:val="18"/>
                <w:szCs w:val="18"/>
                <w:lang w:val="en-US"/>
              </w:rPr>
            </w:pPr>
            <w:r w:rsidRPr="00D529FF">
              <w:rPr>
                <w:rFonts w:ascii="Calibri" w:eastAsia="Times New Roman" w:hAnsi="Calibri" w:cs="Arial"/>
                <w:spacing w:val="-2"/>
                <w:sz w:val="18"/>
                <w:szCs w:val="18"/>
                <w:lang w:val="en-US"/>
              </w:rPr>
              <w:t>Cash on hand and current accounts with banks</w:t>
            </w:r>
          </w:p>
        </w:tc>
        <w:tc>
          <w:tcPr>
            <w:tcW w:w="506" w:type="pct"/>
            <w:tcBorders>
              <w:top w:val="nil"/>
              <w:left w:val="nil"/>
              <w:right w:val="nil"/>
            </w:tcBorders>
            <w:vAlign w:val="bottom"/>
          </w:tcPr>
          <w:p w14:paraId="35446550"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55,583 </w:t>
            </w:r>
          </w:p>
        </w:tc>
        <w:tc>
          <w:tcPr>
            <w:tcW w:w="568" w:type="pct"/>
            <w:tcBorders>
              <w:top w:val="nil"/>
              <w:left w:val="nil"/>
              <w:right w:val="nil"/>
            </w:tcBorders>
            <w:vAlign w:val="bottom"/>
          </w:tcPr>
          <w:p w14:paraId="1BEF7D30"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25,319 </w:t>
            </w:r>
          </w:p>
        </w:tc>
        <w:tc>
          <w:tcPr>
            <w:tcW w:w="616" w:type="pct"/>
            <w:tcBorders>
              <w:top w:val="nil"/>
              <w:left w:val="nil"/>
              <w:right w:val="nil"/>
            </w:tcBorders>
            <w:vAlign w:val="bottom"/>
          </w:tcPr>
          <w:p w14:paraId="4DA26D15"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 </w:t>
            </w:r>
          </w:p>
        </w:tc>
        <w:tc>
          <w:tcPr>
            <w:tcW w:w="615" w:type="pct"/>
            <w:tcBorders>
              <w:top w:val="nil"/>
              <w:left w:val="nil"/>
              <w:right w:val="nil"/>
            </w:tcBorders>
            <w:vAlign w:val="bottom"/>
          </w:tcPr>
          <w:p w14:paraId="6B3FA5E1"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80,902 </w:t>
            </w:r>
          </w:p>
        </w:tc>
        <w:tc>
          <w:tcPr>
            <w:tcW w:w="678" w:type="pct"/>
            <w:tcBorders>
              <w:top w:val="nil"/>
              <w:left w:val="nil"/>
              <w:right w:val="nil"/>
            </w:tcBorders>
            <w:vAlign w:val="bottom"/>
          </w:tcPr>
          <w:p w14:paraId="03CB8E1F"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1,877,718 </w:t>
            </w:r>
          </w:p>
        </w:tc>
        <w:tc>
          <w:tcPr>
            <w:tcW w:w="633" w:type="pct"/>
            <w:tcBorders>
              <w:top w:val="nil"/>
              <w:left w:val="nil"/>
            </w:tcBorders>
            <w:vAlign w:val="bottom"/>
          </w:tcPr>
          <w:p w14:paraId="3317E599"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1,958,620 </w:t>
            </w:r>
          </w:p>
        </w:tc>
      </w:tr>
      <w:tr w:rsidR="00D529FF" w:rsidRPr="00D529FF" w14:paraId="12F416DB" w14:textId="77777777" w:rsidTr="00E44437">
        <w:trPr>
          <w:trHeight w:hRule="exact" w:val="301"/>
        </w:trPr>
        <w:tc>
          <w:tcPr>
            <w:tcW w:w="1384" w:type="pct"/>
            <w:vAlign w:val="bottom"/>
          </w:tcPr>
          <w:p w14:paraId="6155119B" w14:textId="77777777" w:rsidR="00D529FF" w:rsidRPr="00D529FF" w:rsidRDefault="00D529FF" w:rsidP="00D529FF">
            <w:pPr>
              <w:tabs>
                <w:tab w:val="right" w:pos="1202"/>
              </w:tabs>
              <w:spacing w:after="0" w:line="240" w:lineRule="exact"/>
              <w:outlineLvl w:val="0"/>
              <w:rPr>
                <w:rFonts w:ascii="Calibri" w:eastAsia="Times New Roman" w:hAnsi="Calibri" w:cs="Arial"/>
                <w:sz w:val="18"/>
                <w:szCs w:val="18"/>
                <w:lang w:val="en-US"/>
              </w:rPr>
            </w:pPr>
            <w:r w:rsidRPr="00D529FF">
              <w:rPr>
                <w:rFonts w:ascii="Calibri" w:eastAsia="Times New Roman" w:hAnsi="Calibri" w:cs="Arial"/>
                <w:spacing w:val="-2"/>
                <w:sz w:val="18"/>
                <w:szCs w:val="18"/>
                <w:lang w:val="en-US"/>
              </w:rPr>
              <w:t xml:space="preserve">Deposits with other banks </w:t>
            </w:r>
          </w:p>
        </w:tc>
        <w:tc>
          <w:tcPr>
            <w:tcW w:w="506" w:type="pct"/>
            <w:tcBorders>
              <w:top w:val="nil"/>
              <w:left w:val="nil"/>
              <w:bottom w:val="nil"/>
              <w:right w:val="nil"/>
            </w:tcBorders>
            <w:vAlign w:val="bottom"/>
          </w:tcPr>
          <w:p w14:paraId="1791548F"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 </w:t>
            </w:r>
          </w:p>
        </w:tc>
        <w:tc>
          <w:tcPr>
            <w:tcW w:w="568" w:type="pct"/>
            <w:tcBorders>
              <w:top w:val="nil"/>
              <w:left w:val="nil"/>
              <w:bottom w:val="nil"/>
              <w:right w:val="nil"/>
            </w:tcBorders>
            <w:vAlign w:val="bottom"/>
          </w:tcPr>
          <w:p w14:paraId="3D659EFB"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7,500 </w:t>
            </w:r>
          </w:p>
        </w:tc>
        <w:tc>
          <w:tcPr>
            <w:tcW w:w="616" w:type="pct"/>
            <w:tcBorders>
              <w:top w:val="nil"/>
              <w:left w:val="nil"/>
              <w:bottom w:val="nil"/>
              <w:right w:val="nil"/>
            </w:tcBorders>
            <w:vAlign w:val="bottom"/>
          </w:tcPr>
          <w:p w14:paraId="7E90E363"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 </w:t>
            </w:r>
          </w:p>
        </w:tc>
        <w:tc>
          <w:tcPr>
            <w:tcW w:w="615" w:type="pct"/>
            <w:tcBorders>
              <w:top w:val="nil"/>
              <w:left w:val="nil"/>
              <w:bottom w:val="nil"/>
              <w:right w:val="nil"/>
            </w:tcBorders>
            <w:vAlign w:val="bottom"/>
          </w:tcPr>
          <w:p w14:paraId="177055DD"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7,500 </w:t>
            </w:r>
          </w:p>
        </w:tc>
        <w:tc>
          <w:tcPr>
            <w:tcW w:w="678" w:type="pct"/>
            <w:tcBorders>
              <w:top w:val="nil"/>
              <w:left w:val="nil"/>
              <w:bottom w:val="nil"/>
              <w:right w:val="nil"/>
            </w:tcBorders>
            <w:vAlign w:val="bottom"/>
          </w:tcPr>
          <w:p w14:paraId="4B9AAD5E"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 </w:t>
            </w:r>
          </w:p>
        </w:tc>
        <w:tc>
          <w:tcPr>
            <w:tcW w:w="633" w:type="pct"/>
            <w:tcBorders>
              <w:top w:val="nil"/>
              <w:left w:val="nil"/>
              <w:bottom w:val="nil"/>
            </w:tcBorders>
            <w:vAlign w:val="bottom"/>
          </w:tcPr>
          <w:p w14:paraId="07F9BDD4"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7,500 </w:t>
            </w:r>
          </w:p>
        </w:tc>
      </w:tr>
      <w:tr w:rsidR="00D529FF" w:rsidRPr="00D529FF" w14:paraId="391CAD60" w14:textId="77777777" w:rsidTr="00E44437">
        <w:trPr>
          <w:trHeight w:hRule="exact" w:val="301"/>
        </w:trPr>
        <w:tc>
          <w:tcPr>
            <w:tcW w:w="1384" w:type="pct"/>
            <w:vAlign w:val="bottom"/>
          </w:tcPr>
          <w:p w14:paraId="391D82CF" w14:textId="77777777" w:rsidR="00D529FF" w:rsidRPr="00D529FF" w:rsidRDefault="00D529FF" w:rsidP="00D529FF">
            <w:pPr>
              <w:tabs>
                <w:tab w:val="right" w:pos="1202"/>
              </w:tabs>
              <w:spacing w:after="0" w:line="240" w:lineRule="exact"/>
              <w:outlineLvl w:val="0"/>
              <w:rPr>
                <w:rFonts w:ascii="Calibri" w:eastAsia="Times New Roman" w:hAnsi="Calibri" w:cs="Arial"/>
                <w:sz w:val="18"/>
                <w:szCs w:val="18"/>
                <w:lang w:val="en-US"/>
              </w:rPr>
            </w:pPr>
            <w:r w:rsidRPr="00D529FF">
              <w:rPr>
                <w:rFonts w:ascii="Calibri" w:eastAsia="Times New Roman" w:hAnsi="Calibri" w:cs="Arial"/>
                <w:spacing w:val="-2"/>
                <w:sz w:val="18"/>
                <w:szCs w:val="18"/>
                <w:lang w:val="en-US"/>
              </w:rPr>
              <w:t>Loans to financial institutions</w:t>
            </w:r>
          </w:p>
        </w:tc>
        <w:tc>
          <w:tcPr>
            <w:tcW w:w="506" w:type="pct"/>
            <w:tcBorders>
              <w:top w:val="nil"/>
              <w:left w:val="nil"/>
              <w:bottom w:val="nil"/>
              <w:right w:val="nil"/>
            </w:tcBorders>
            <w:vAlign w:val="bottom"/>
          </w:tcPr>
          <w:p w14:paraId="3C302254"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 </w:t>
            </w:r>
          </w:p>
        </w:tc>
        <w:tc>
          <w:tcPr>
            <w:tcW w:w="568" w:type="pct"/>
            <w:tcBorders>
              <w:top w:val="nil"/>
              <w:left w:val="nil"/>
              <w:bottom w:val="nil"/>
              <w:right w:val="nil"/>
            </w:tcBorders>
            <w:vAlign w:val="bottom"/>
          </w:tcPr>
          <w:p w14:paraId="1DA1D645"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3,336,385 </w:t>
            </w:r>
          </w:p>
        </w:tc>
        <w:tc>
          <w:tcPr>
            <w:tcW w:w="616" w:type="pct"/>
            <w:tcBorders>
              <w:top w:val="nil"/>
              <w:left w:val="nil"/>
              <w:bottom w:val="nil"/>
              <w:right w:val="nil"/>
            </w:tcBorders>
            <w:vAlign w:val="bottom"/>
          </w:tcPr>
          <w:p w14:paraId="64A5E22A"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 </w:t>
            </w:r>
          </w:p>
        </w:tc>
        <w:tc>
          <w:tcPr>
            <w:tcW w:w="615" w:type="pct"/>
            <w:tcBorders>
              <w:top w:val="nil"/>
              <w:left w:val="nil"/>
              <w:bottom w:val="nil"/>
              <w:right w:val="nil"/>
            </w:tcBorders>
            <w:vAlign w:val="bottom"/>
          </w:tcPr>
          <w:p w14:paraId="4AE261F0"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3,336,385 </w:t>
            </w:r>
          </w:p>
        </w:tc>
        <w:tc>
          <w:tcPr>
            <w:tcW w:w="678" w:type="pct"/>
            <w:tcBorders>
              <w:top w:val="nil"/>
              <w:left w:val="nil"/>
              <w:bottom w:val="nil"/>
              <w:right w:val="nil"/>
            </w:tcBorders>
            <w:vAlign w:val="bottom"/>
          </w:tcPr>
          <w:p w14:paraId="69D4179D"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3,713,758 </w:t>
            </w:r>
          </w:p>
        </w:tc>
        <w:tc>
          <w:tcPr>
            <w:tcW w:w="633" w:type="pct"/>
            <w:tcBorders>
              <w:top w:val="nil"/>
              <w:left w:val="nil"/>
              <w:bottom w:val="nil"/>
            </w:tcBorders>
            <w:vAlign w:val="bottom"/>
          </w:tcPr>
          <w:p w14:paraId="089AE3AA"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7,050,143 </w:t>
            </w:r>
          </w:p>
        </w:tc>
      </w:tr>
      <w:tr w:rsidR="00D529FF" w:rsidRPr="00D529FF" w14:paraId="7CC2317E" w14:textId="77777777" w:rsidTr="00E44437">
        <w:trPr>
          <w:trHeight w:hRule="exact" w:val="301"/>
        </w:trPr>
        <w:tc>
          <w:tcPr>
            <w:tcW w:w="1384" w:type="pct"/>
            <w:vAlign w:val="bottom"/>
          </w:tcPr>
          <w:p w14:paraId="1C3413B2" w14:textId="77777777" w:rsidR="00D529FF" w:rsidRPr="00D529FF" w:rsidRDefault="00D529FF" w:rsidP="00D529FF">
            <w:pPr>
              <w:tabs>
                <w:tab w:val="right" w:pos="1202"/>
              </w:tabs>
              <w:spacing w:after="0" w:line="240" w:lineRule="exact"/>
              <w:outlineLvl w:val="0"/>
              <w:rPr>
                <w:rFonts w:ascii="Calibri" w:eastAsia="Times New Roman" w:hAnsi="Calibri" w:cs="Arial"/>
                <w:sz w:val="18"/>
                <w:szCs w:val="18"/>
                <w:lang w:val="en-US"/>
              </w:rPr>
            </w:pPr>
            <w:r w:rsidRPr="00D529FF">
              <w:rPr>
                <w:rFonts w:ascii="Calibri" w:eastAsia="Times New Roman" w:hAnsi="Calibri" w:cs="Arial"/>
                <w:spacing w:val="-2"/>
                <w:sz w:val="18"/>
                <w:szCs w:val="18"/>
                <w:lang w:val="en-US"/>
              </w:rPr>
              <w:t xml:space="preserve">Loans to other customers </w:t>
            </w:r>
          </w:p>
        </w:tc>
        <w:tc>
          <w:tcPr>
            <w:tcW w:w="506" w:type="pct"/>
            <w:tcBorders>
              <w:top w:val="nil"/>
              <w:left w:val="nil"/>
              <w:bottom w:val="nil"/>
              <w:right w:val="nil"/>
            </w:tcBorders>
            <w:vAlign w:val="bottom"/>
          </w:tcPr>
          <w:p w14:paraId="14E442A6"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225,452 </w:t>
            </w:r>
          </w:p>
        </w:tc>
        <w:tc>
          <w:tcPr>
            <w:tcW w:w="568" w:type="pct"/>
            <w:tcBorders>
              <w:top w:val="nil"/>
              <w:left w:val="nil"/>
              <w:bottom w:val="nil"/>
              <w:right w:val="nil"/>
            </w:tcBorders>
            <w:vAlign w:val="bottom"/>
          </w:tcPr>
          <w:p w14:paraId="13DD8983"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9,745,523 </w:t>
            </w:r>
          </w:p>
        </w:tc>
        <w:tc>
          <w:tcPr>
            <w:tcW w:w="616" w:type="pct"/>
            <w:tcBorders>
              <w:top w:val="nil"/>
              <w:left w:val="nil"/>
              <w:bottom w:val="nil"/>
              <w:right w:val="nil"/>
            </w:tcBorders>
            <w:vAlign w:val="bottom"/>
          </w:tcPr>
          <w:p w14:paraId="34F12AB3"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 </w:t>
            </w:r>
          </w:p>
        </w:tc>
        <w:tc>
          <w:tcPr>
            <w:tcW w:w="615" w:type="pct"/>
            <w:tcBorders>
              <w:top w:val="nil"/>
              <w:left w:val="nil"/>
              <w:bottom w:val="nil"/>
              <w:right w:val="nil"/>
            </w:tcBorders>
            <w:vAlign w:val="bottom"/>
          </w:tcPr>
          <w:p w14:paraId="22FFF324"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9,970,975 </w:t>
            </w:r>
          </w:p>
        </w:tc>
        <w:tc>
          <w:tcPr>
            <w:tcW w:w="678" w:type="pct"/>
            <w:tcBorders>
              <w:top w:val="nil"/>
              <w:left w:val="nil"/>
              <w:bottom w:val="nil"/>
              <w:right w:val="nil"/>
            </w:tcBorders>
            <w:vAlign w:val="bottom"/>
          </w:tcPr>
          <w:p w14:paraId="501F64F3"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5,993,401 </w:t>
            </w:r>
          </w:p>
        </w:tc>
        <w:tc>
          <w:tcPr>
            <w:tcW w:w="633" w:type="pct"/>
            <w:tcBorders>
              <w:top w:val="nil"/>
              <w:left w:val="nil"/>
              <w:bottom w:val="nil"/>
            </w:tcBorders>
            <w:vAlign w:val="bottom"/>
          </w:tcPr>
          <w:p w14:paraId="5F7092F2"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15,964,376 </w:t>
            </w:r>
          </w:p>
        </w:tc>
      </w:tr>
      <w:tr w:rsidR="00D529FF" w:rsidRPr="00D529FF" w14:paraId="49429EB9" w14:textId="77777777" w:rsidTr="00E44437">
        <w:trPr>
          <w:trHeight w:hRule="exact" w:val="522"/>
        </w:trPr>
        <w:tc>
          <w:tcPr>
            <w:tcW w:w="1384" w:type="pct"/>
            <w:vAlign w:val="center"/>
          </w:tcPr>
          <w:p w14:paraId="40F197F9" w14:textId="77777777" w:rsidR="00D529FF" w:rsidRPr="00D529FF" w:rsidRDefault="00D529FF" w:rsidP="00D529FF">
            <w:pPr>
              <w:tabs>
                <w:tab w:val="right" w:pos="1202"/>
              </w:tabs>
              <w:spacing w:after="0" w:line="240" w:lineRule="exact"/>
              <w:outlineLvl w:val="0"/>
              <w:rPr>
                <w:rFonts w:ascii="Calibri" w:eastAsia="Times New Roman" w:hAnsi="Calibri" w:cs="Arial"/>
                <w:spacing w:val="-2"/>
                <w:sz w:val="18"/>
                <w:szCs w:val="18"/>
                <w:lang w:val="en-US"/>
              </w:rPr>
            </w:pPr>
            <w:r w:rsidRPr="00D529FF">
              <w:rPr>
                <w:rFonts w:ascii="Calibri" w:eastAsia="Calibri" w:hAnsi="Calibri" w:cs="Arial"/>
                <w:sz w:val="18"/>
                <w:szCs w:val="18"/>
                <w:lang w:val="en-US"/>
              </w:rPr>
              <w:t>Financial assets at fair value through profit or loss</w:t>
            </w:r>
          </w:p>
        </w:tc>
        <w:tc>
          <w:tcPr>
            <w:tcW w:w="506" w:type="pct"/>
            <w:tcBorders>
              <w:top w:val="nil"/>
              <w:left w:val="nil"/>
              <w:bottom w:val="nil"/>
              <w:right w:val="nil"/>
            </w:tcBorders>
            <w:vAlign w:val="bottom"/>
          </w:tcPr>
          <w:p w14:paraId="0F600633" w14:textId="77777777" w:rsidR="00D529FF" w:rsidRPr="00D529FF" w:rsidDel="001F1161"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16,044 </w:t>
            </w:r>
          </w:p>
        </w:tc>
        <w:tc>
          <w:tcPr>
            <w:tcW w:w="568" w:type="pct"/>
            <w:tcBorders>
              <w:top w:val="nil"/>
              <w:left w:val="nil"/>
              <w:bottom w:val="nil"/>
              <w:right w:val="nil"/>
            </w:tcBorders>
            <w:vAlign w:val="bottom"/>
          </w:tcPr>
          <w:p w14:paraId="71DA84BA" w14:textId="77777777" w:rsidR="00D529FF" w:rsidRPr="00D529FF" w:rsidDel="001F1161"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100,103 </w:t>
            </w:r>
          </w:p>
        </w:tc>
        <w:tc>
          <w:tcPr>
            <w:tcW w:w="616" w:type="pct"/>
            <w:tcBorders>
              <w:top w:val="nil"/>
              <w:left w:val="nil"/>
              <w:bottom w:val="nil"/>
              <w:right w:val="nil"/>
            </w:tcBorders>
            <w:vAlign w:val="bottom"/>
          </w:tcPr>
          <w:p w14:paraId="6722C83B" w14:textId="77777777" w:rsidR="00D529FF" w:rsidRPr="00D529FF" w:rsidDel="001F1161"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 </w:t>
            </w:r>
          </w:p>
        </w:tc>
        <w:tc>
          <w:tcPr>
            <w:tcW w:w="615" w:type="pct"/>
            <w:tcBorders>
              <w:top w:val="nil"/>
              <w:left w:val="nil"/>
              <w:bottom w:val="nil"/>
              <w:right w:val="nil"/>
            </w:tcBorders>
            <w:vAlign w:val="bottom"/>
          </w:tcPr>
          <w:p w14:paraId="3C687898" w14:textId="77777777" w:rsidR="00D529FF" w:rsidRPr="00D529FF" w:rsidDel="001F1161"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116,147 </w:t>
            </w:r>
          </w:p>
        </w:tc>
        <w:tc>
          <w:tcPr>
            <w:tcW w:w="678" w:type="pct"/>
            <w:tcBorders>
              <w:top w:val="nil"/>
              <w:left w:val="nil"/>
              <w:bottom w:val="nil"/>
              <w:right w:val="nil"/>
            </w:tcBorders>
            <w:vAlign w:val="bottom"/>
          </w:tcPr>
          <w:p w14:paraId="0EE72E0C" w14:textId="77777777" w:rsidR="00D529FF" w:rsidRPr="00D529FF" w:rsidDel="001F1161"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102,837 </w:t>
            </w:r>
          </w:p>
        </w:tc>
        <w:tc>
          <w:tcPr>
            <w:tcW w:w="633" w:type="pct"/>
            <w:tcBorders>
              <w:top w:val="nil"/>
              <w:left w:val="nil"/>
              <w:bottom w:val="nil"/>
            </w:tcBorders>
            <w:vAlign w:val="bottom"/>
          </w:tcPr>
          <w:p w14:paraId="55DE3922" w14:textId="77777777" w:rsidR="00D529FF" w:rsidRPr="00D529FF" w:rsidDel="001F1161"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218,984 </w:t>
            </w:r>
          </w:p>
        </w:tc>
      </w:tr>
      <w:tr w:rsidR="00D529FF" w:rsidRPr="00D529FF" w14:paraId="12A7737F" w14:textId="77777777" w:rsidTr="00E44437">
        <w:trPr>
          <w:trHeight w:hRule="exact" w:val="714"/>
        </w:trPr>
        <w:tc>
          <w:tcPr>
            <w:tcW w:w="1384" w:type="pct"/>
            <w:vAlign w:val="center"/>
          </w:tcPr>
          <w:p w14:paraId="1BD00317" w14:textId="77777777" w:rsidR="00D529FF" w:rsidRPr="00D529FF" w:rsidRDefault="00D529FF" w:rsidP="00D529FF">
            <w:pPr>
              <w:tabs>
                <w:tab w:val="right" w:pos="1202"/>
              </w:tabs>
              <w:spacing w:after="0" w:line="240" w:lineRule="exact"/>
              <w:outlineLvl w:val="0"/>
              <w:rPr>
                <w:rFonts w:ascii="Calibri" w:eastAsia="Times New Roman" w:hAnsi="Calibri" w:cs="Arial"/>
                <w:spacing w:val="-2"/>
                <w:sz w:val="18"/>
                <w:szCs w:val="18"/>
                <w:lang w:val="en-US"/>
              </w:rPr>
            </w:pPr>
            <w:r w:rsidRPr="00D529FF">
              <w:rPr>
                <w:rFonts w:ascii="Calibri" w:eastAsia="Calibri" w:hAnsi="Calibri" w:cs="Arial"/>
                <w:sz w:val="18"/>
                <w:szCs w:val="18"/>
                <w:lang w:val="en-US"/>
              </w:rPr>
              <w:t>Financial assets at fair value through other comprehensive income</w:t>
            </w:r>
          </w:p>
        </w:tc>
        <w:tc>
          <w:tcPr>
            <w:tcW w:w="506" w:type="pct"/>
            <w:tcBorders>
              <w:top w:val="nil"/>
              <w:left w:val="nil"/>
              <w:bottom w:val="nil"/>
              <w:right w:val="nil"/>
            </w:tcBorders>
            <w:vAlign w:val="bottom"/>
          </w:tcPr>
          <w:p w14:paraId="161341B4" w14:textId="77777777" w:rsidR="00D529FF" w:rsidRPr="00D529FF" w:rsidDel="001F1161"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 </w:t>
            </w:r>
          </w:p>
        </w:tc>
        <w:tc>
          <w:tcPr>
            <w:tcW w:w="568" w:type="pct"/>
            <w:tcBorders>
              <w:top w:val="nil"/>
              <w:left w:val="nil"/>
              <w:bottom w:val="nil"/>
              <w:right w:val="nil"/>
            </w:tcBorders>
            <w:vAlign w:val="bottom"/>
          </w:tcPr>
          <w:p w14:paraId="7BCC60A4" w14:textId="77777777" w:rsidR="00D529FF" w:rsidRPr="00D529FF" w:rsidDel="001F1161"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798,195 </w:t>
            </w:r>
          </w:p>
        </w:tc>
        <w:tc>
          <w:tcPr>
            <w:tcW w:w="616" w:type="pct"/>
            <w:tcBorders>
              <w:top w:val="nil"/>
              <w:left w:val="nil"/>
              <w:bottom w:val="nil"/>
              <w:right w:val="nil"/>
            </w:tcBorders>
            <w:vAlign w:val="bottom"/>
          </w:tcPr>
          <w:p w14:paraId="6AA47401" w14:textId="77777777" w:rsidR="00D529FF" w:rsidRPr="00D529FF" w:rsidDel="001F1161"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 </w:t>
            </w:r>
          </w:p>
        </w:tc>
        <w:tc>
          <w:tcPr>
            <w:tcW w:w="615" w:type="pct"/>
            <w:tcBorders>
              <w:top w:val="nil"/>
              <w:left w:val="nil"/>
              <w:bottom w:val="nil"/>
              <w:right w:val="nil"/>
            </w:tcBorders>
            <w:vAlign w:val="bottom"/>
          </w:tcPr>
          <w:p w14:paraId="42033117" w14:textId="77777777" w:rsidR="00D529FF" w:rsidRPr="00D529FF" w:rsidDel="001F1161"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798,195 </w:t>
            </w:r>
          </w:p>
        </w:tc>
        <w:tc>
          <w:tcPr>
            <w:tcW w:w="678" w:type="pct"/>
            <w:tcBorders>
              <w:top w:val="nil"/>
              <w:left w:val="nil"/>
              <w:bottom w:val="nil"/>
              <w:right w:val="nil"/>
            </w:tcBorders>
            <w:vAlign w:val="bottom"/>
          </w:tcPr>
          <w:p w14:paraId="0F7F1A52" w14:textId="77777777" w:rsidR="00D529FF" w:rsidRPr="00D529FF" w:rsidDel="001F1161"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2,117509 </w:t>
            </w:r>
          </w:p>
        </w:tc>
        <w:tc>
          <w:tcPr>
            <w:tcW w:w="633" w:type="pct"/>
            <w:tcBorders>
              <w:top w:val="nil"/>
              <w:left w:val="nil"/>
              <w:bottom w:val="nil"/>
            </w:tcBorders>
            <w:vAlign w:val="bottom"/>
          </w:tcPr>
          <w:p w14:paraId="1A2182E6" w14:textId="77777777" w:rsidR="00D529FF" w:rsidRPr="00D529FF" w:rsidDel="001F1161"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2,915,704 </w:t>
            </w:r>
          </w:p>
        </w:tc>
      </w:tr>
      <w:tr w:rsidR="00D529FF" w:rsidRPr="00D529FF" w14:paraId="5C614D6F" w14:textId="77777777" w:rsidTr="00E44437">
        <w:trPr>
          <w:trHeight w:hRule="exact" w:val="301"/>
        </w:trPr>
        <w:tc>
          <w:tcPr>
            <w:tcW w:w="1384" w:type="pct"/>
            <w:vAlign w:val="bottom"/>
          </w:tcPr>
          <w:p w14:paraId="3D067C9E" w14:textId="77777777" w:rsidR="00D529FF" w:rsidRPr="00D529FF" w:rsidRDefault="00D529FF" w:rsidP="00D529FF">
            <w:pPr>
              <w:tabs>
                <w:tab w:val="right" w:pos="1202"/>
              </w:tabs>
              <w:spacing w:after="0" w:line="240" w:lineRule="exact"/>
              <w:outlineLvl w:val="0"/>
              <w:rPr>
                <w:rFonts w:ascii="Calibri" w:eastAsia="Times New Roman" w:hAnsi="Calibri" w:cs="Arial"/>
                <w:sz w:val="18"/>
                <w:szCs w:val="18"/>
                <w:lang w:val="en-US"/>
              </w:rPr>
            </w:pPr>
            <w:r w:rsidRPr="00D529FF">
              <w:rPr>
                <w:rFonts w:ascii="Calibri" w:eastAsia="Times New Roman" w:hAnsi="Calibri" w:cs="Arial"/>
                <w:spacing w:val="-2"/>
                <w:sz w:val="18"/>
                <w:szCs w:val="18"/>
                <w:lang w:val="en-US"/>
              </w:rPr>
              <w:t>Investments in subsidiaries</w:t>
            </w:r>
          </w:p>
        </w:tc>
        <w:tc>
          <w:tcPr>
            <w:tcW w:w="506" w:type="pct"/>
            <w:tcBorders>
              <w:top w:val="nil"/>
              <w:left w:val="nil"/>
              <w:bottom w:val="nil"/>
              <w:right w:val="nil"/>
            </w:tcBorders>
            <w:vAlign w:val="bottom"/>
          </w:tcPr>
          <w:p w14:paraId="3CE79D0E"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 </w:t>
            </w:r>
          </w:p>
        </w:tc>
        <w:tc>
          <w:tcPr>
            <w:tcW w:w="568" w:type="pct"/>
            <w:tcBorders>
              <w:top w:val="nil"/>
              <w:left w:val="nil"/>
              <w:bottom w:val="nil"/>
              <w:right w:val="nil"/>
            </w:tcBorders>
            <w:vAlign w:val="bottom"/>
          </w:tcPr>
          <w:p w14:paraId="1C80EBE5"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 </w:t>
            </w:r>
          </w:p>
        </w:tc>
        <w:tc>
          <w:tcPr>
            <w:tcW w:w="616" w:type="pct"/>
            <w:tcBorders>
              <w:top w:val="nil"/>
              <w:left w:val="nil"/>
              <w:bottom w:val="nil"/>
              <w:right w:val="nil"/>
            </w:tcBorders>
            <w:vAlign w:val="bottom"/>
          </w:tcPr>
          <w:p w14:paraId="18E66073"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 </w:t>
            </w:r>
          </w:p>
        </w:tc>
        <w:tc>
          <w:tcPr>
            <w:tcW w:w="615" w:type="pct"/>
            <w:tcBorders>
              <w:top w:val="nil"/>
              <w:left w:val="nil"/>
              <w:bottom w:val="nil"/>
              <w:right w:val="nil"/>
            </w:tcBorders>
            <w:vAlign w:val="bottom"/>
          </w:tcPr>
          <w:p w14:paraId="590ECE5A"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 </w:t>
            </w:r>
          </w:p>
        </w:tc>
        <w:tc>
          <w:tcPr>
            <w:tcW w:w="678" w:type="pct"/>
            <w:tcBorders>
              <w:top w:val="nil"/>
              <w:left w:val="nil"/>
              <w:bottom w:val="nil"/>
              <w:right w:val="nil"/>
            </w:tcBorders>
            <w:vAlign w:val="bottom"/>
          </w:tcPr>
          <w:p w14:paraId="280F43D7"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36,124 </w:t>
            </w:r>
          </w:p>
        </w:tc>
        <w:tc>
          <w:tcPr>
            <w:tcW w:w="633" w:type="pct"/>
            <w:tcBorders>
              <w:top w:val="nil"/>
              <w:left w:val="nil"/>
              <w:bottom w:val="nil"/>
            </w:tcBorders>
            <w:vAlign w:val="bottom"/>
          </w:tcPr>
          <w:p w14:paraId="6CAA4D38"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36,124 </w:t>
            </w:r>
          </w:p>
        </w:tc>
      </w:tr>
      <w:tr w:rsidR="00D529FF" w:rsidRPr="00D529FF" w14:paraId="31DBBAF0" w14:textId="77777777" w:rsidTr="00E44437">
        <w:trPr>
          <w:trHeight w:val="464"/>
        </w:trPr>
        <w:tc>
          <w:tcPr>
            <w:tcW w:w="1384" w:type="pct"/>
            <w:vAlign w:val="bottom"/>
          </w:tcPr>
          <w:p w14:paraId="1BE49157" w14:textId="77777777" w:rsidR="00D529FF" w:rsidRPr="00D529FF" w:rsidRDefault="00D529FF" w:rsidP="00D529FF">
            <w:pPr>
              <w:tabs>
                <w:tab w:val="right" w:pos="1202"/>
              </w:tabs>
              <w:spacing w:after="0" w:line="240" w:lineRule="exact"/>
              <w:outlineLvl w:val="0"/>
              <w:rPr>
                <w:rFonts w:ascii="Calibri" w:eastAsia="Times New Roman" w:hAnsi="Calibri" w:cs="Arial"/>
                <w:sz w:val="18"/>
                <w:szCs w:val="18"/>
                <w:lang w:val="en-US"/>
              </w:rPr>
            </w:pPr>
            <w:r w:rsidRPr="00D529FF">
              <w:rPr>
                <w:rFonts w:ascii="Calibri" w:eastAsia="Times New Roman" w:hAnsi="Calibri" w:cs="Arial"/>
                <w:spacing w:val="-2"/>
                <w:sz w:val="18"/>
                <w:szCs w:val="18"/>
                <w:lang w:val="en-US"/>
              </w:rPr>
              <w:t>Property, plant and equipment and intangible assets</w:t>
            </w:r>
          </w:p>
        </w:tc>
        <w:tc>
          <w:tcPr>
            <w:tcW w:w="506" w:type="pct"/>
            <w:tcBorders>
              <w:top w:val="nil"/>
              <w:left w:val="nil"/>
              <w:bottom w:val="nil"/>
              <w:right w:val="nil"/>
            </w:tcBorders>
            <w:vAlign w:val="bottom"/>
          </w:tcPr>
          <w:p w14:paraId="2AA86D4E"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 </w:t>
            </w:r>
          </w:p>
        </w:tc>
        <w:tc>
          <w:tcPr>
            <w:tcW w:w="568" w:type="pct"/>
            <w:tcBorders>
              <w:top w:val="nil"/>
              <w:left w:val="nil"/>
              <w:bottom w:val="nil"/>
              <w:right w:val="nil"/>
            </w:tcBorders>
            <w:vAlign w:val="bottom"/>
          </w:tcPr>
          <w:p w14:paraId="1A7613BE"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 </w:t>
            </w:r>
          </w:p>
        </w:tc>
        <w:tc>
          <w:tcPr>
            <w:tcW w:w="616" w:type="pct"/>
            <w:tcBorders>
              <w:top w:val="nil"/>
              <w:left w:val="nil"/>
              <w:bottom w:val="nil"/>
              <w:right w:val="nil"/>
            </w:tcBorders>
            <w:vAlign w:val="bottom"/>
          </w:tcPr>
          <w:p w14:paraId="3EE021A9"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 </w:t>
            </w:r>
          </w:p>
        </w:tc>
        <w:tc>
          <w:tcPr>
            <w:tcW w:w="615" w:type="pct"/>
            <w:tcBorders>
              <w:top w:val="nil"/>
              <w:left w:val="nil"/>
              <w:bottom w:val="nil"/>
              <w:right w:val="nil"/>
            </w:tcBorders>
            <w:vAlign w:val="bottom"/>
          </w:tcPr>
          <w:p w14:paraId="37782EBB"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 </w:t>
            </w:r>
          </w:p>
        </w:tc>
        <w:tc>
          <w:tcPr>
            <w:tcW w:w="678" w:type="pct"/>
            <w:tcBorders>
              <w:top w:val="nil"/>
              <w:left w:val="nil"/>
              <w:bottom w:val="nil"/>
              <w:right w:val="nil"/>
            </w:tcBorders>
            <w:vAlign w:val="bottom"/>
          </w:tcPr>
          <w:p w14:paraId="18A589B6"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42,674 </w:t>
            </w:r>
          </w:p>
        </w:tc>
        <w:tc>
          <w:tcPr>
            <w:tcW w:w="633" w:type="pct"/>
            <w:tcBorders>
              <w:top w:val="nil"/>
              <w:left w:val="nil"/>
              <w:bottom w:val="nil"/>
            </w:tcBorders>
            <w:vAlign w:val="bottom"/>
          </w:tcPr>
          <w:p w14:paraId="21A0D36D"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42,674 </w:t>
            </w:r>
          </w:p>
        </w:tc>
      </w:tr>
      <w:tr w:rsidR="00D529FF" w:rsidRPr="00D529FF" w14:paraId="75FDB10E" w14:textId="77777777" w:rsidTr="00E44437">
        <w:trPr>
          <w:trHeight w:val="277"/>
        </w:trPr>
        <w:tc>
          <w:tcPr>
            <w:tcW w:w="1384" w:type="pct"/>
            <w:vAlign w:val="bottom"/>
          </w:tcPr>
          <w:p w14:paraId="559F67D2" w14:textId="77777777" w:rsidR="00D529FF" w:rsidRPr="00D529FF" w:rsidRDefault="00D529FF" w:rsidP="00D529FF">
            <w:pPr>
              <w:tabs>
                <w:tab w:val="right" w:pos="1202"/>
              </w:tabs>
              <w:spacing w:after="0" w:line="240" w:lineRule="exact"/>
              <w:outlineLvl w:val="0"/>
              <w:rPr>
                <w:rFonts w:ascii="Calibri" w:eastAsia="Times New Roman" w:hAnsi="Calibri" w:cs="Arial"/>
                <w:sz w:val="18"/>
                <w:szCs w:val="18"/>
                <w:lang w:val="en-US"/>
              </w:rPr>
            </w:pPr>
            <w:r w:rsidRPr="00D529FF">
              <w:rPr>
                <w:rFonts w:ascii="Calibri" w:eastAsia="Times New Roman" w:hAnsi="Calibri" w:cs="Arial"/>
                <w:spacing w:val="-2"/>
                <w:sz w:val="18"/>
                <w:szCs w:val="18"/>
                <w:lang w:val="en-US"/>
              </w:rPr>
              <w:t>Foreclosed assets</w:t>
            </w:r>
          </w:p>
        </w:tc>
        <w:tc>
          <w:tcPr>
            <w:tcW w:w="506" w:type="pct"/>
            <w:tcBorders>
              <w:top w:val="nil"/>
              <w:left w:val="nil"/>
              <w:bottom w:val="nil"/>
              <w:right w:val="nil"/>
            </w:tcBorders>
            <w:vAlign w:val="bottom"/>
          </w:tcPr>
          <w:p w14:paraId="5F5ECCF0"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 </w:t>
            </w:r>
          </w:p>
        </w:tc>
        <w:tc>
          <w:tcPr>
            <w:tcW w:w="568" w:type="pct"/>
            <w:tcBorders>
              <w:top w:val="nil"/>
              <w:left w:val="nil"/>
              <w:bottom w:val="nil"/>
              <w:right w:val="nil"/>
            </w:tcBorders>
            <w:vAlign w:val="bottom"/>
          </w:tcPr>
          <w:p w14:paraId="52E8F15F"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    </w:t>
            </w:r>
          </w:p>
        </w:tc>
        <w:tc>
          <w:tcPr>
            <w:tcW w:w="616" w:type="pct"/>
            <w:tcBorders>
              <w:top w:val="nil"/>
              <w:left w:val="nil"/>
              <w:bottom w:val="nil"/>
              <w:right w:val="nil"/>
            </w:tcBorders>
            <w:vAlign w:val="bottom"/>
          </w:tcPr>
          <w:p w14:paraId="4D80AFB7"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 </w:t>
            </w:r>
          </w:p>
        </w:tc>
        <w:tc>
          <w:tcPr>
            <w:tcW w:w="615" w:type="pct"/>
            <w:tcBorders>
              <w:top w:val="nil"/>
              <w:left w:val="nil"/>
              <w:bottom w:val="nil"/>
              <w:right w:val="nil"/>
            </w:tcBorders>
            <w:vAlign w:val="bottom"/>
          </w:tcPr>
          <w:p w14:paraId="5CE1D007"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 </w:t>
            </w:r>
          </w:p>
        </w:tc>
        <w:tc>
          <w:tcPr>
            <w:tcW w:w="678" w:type="pct"/>
            <w:tcBorders>
              <w:top w:val="nil"/>
              <w:left w:val="nil"/>
              <w:bottom w:val="nil"/>
              <w:right w:val="nil"/>
            </w:tcBorders>
            <w:vAlign w:val="bottom"/>
          </w:tcPr>
          <w:p w14:paraId="5DF6807F"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21,369 </w:t>
            </w:r>
          </w:p>
        </w:tc>
        <w:tc>
          <w:tcPr>
            <w:tcW w:w="633" w:type="pct"/>
            <w:tcBorders>
              <w:top w:val="nil"/>
              <w:left w:val="nil"/>
              <w:bottom w:val="nil"/>
            </w:tcBorders>
            <w:vAlign w:val="bottom"/>
          </w:tcPr>
          <w:p w14:paraId="54AC6DD0"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21,369 </w:t>
            </w:r>
          </w:p>
        </w:tc>
      </w:tr>
      <w:tr w:rsidR="00D529FF" w:rsidRPr="00D529FF" w14:paraId="58718F04" w14:textId="77777777" w:rsidTr="00E44437">
        <w:trPr>
          <w:trHeight w:val="205"/>
        </w:trPr>
        <w:tc>
          <w:tcPr>
            <w:tcW w:w="1384" w:type="pct"/>
          </w:tcPr>
          <w:p w14:paraId="207E66E4" w14:textId="77777777" w:rsidR="00D529FF" w:rsidRPr="00D529FF" w:rsidRDefault="00D529FF" w:rsidP="00D529FF">
            <w:pPr>
              <w:tabs>
                <w:tab w:val="right" w:pos="1202"/>
              </w:tabs>
              <w:spacing w:after="0" w:line="240" w:lineRule="exact"/>
              <w:outlineLvl w:val="0"/>
              <w:rPr>
                <w:rFonts w:ascii="Calibri" w:eastAsia="Times New Roman" w:hAnsi="Calibri" w:cs="Arial"/>
                <w:sz w:val="18"/>
                <w:szCs w:val="18"/>
                <w:lang w:val="en-US"/>
              </w:rPr>
            </w:pPr>
            <w:r w:rsidRPr="00D529FF">
              <w:rPr>
                <w:rFonts w:ascii="Calibri" w:eastAsia="Times New Roman" w:hAnsi="Calibri" w:cs="Arial"/>
                <w:spacing w:val="-2"/>
                <w:sz w:val="18"/>
                <w:szCs w:val="18"/>
                <w:lang w:val="en-US"/>
              </w:rPr>
              <w:t xml:space="preserve">Other assets </w:t>
            </w:r>
          </w:p>
        </w:tc>
        <w:tc>
          <w:tcPr>
            <w:tcW w:w="506" w:type="pct"/>
            <w:tcBorders>
              <w:top w:val="nil"/>
              <w:left w:val="nil"/>
              <w:bottom w:val="nil"/>
              <w:right w:val="nil"/>
            </w:tcBorders>
            <w:vAlign w:val="bottom"/>
          </w:tcPr>
          <w:p w14:paraId="2C3DF599"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 </w:t>
            </w:r>
          </w:p>
        </w:tc>
        <w:tc>
          <w:tcPr>
            <w:tcW w:w="568" w:type="pct"/>
            <w:tcBorders>
              <w:top w:val="nil"/>
              <w:left w:val="nil"/>
              <w:bottom w:val="nil"/>
              <w:right w:val="nil"/>
            </w:tcBorders>
            <w:vAlign w:val="bottom"/>
          </w:tcPr>
          <w:p w14:paraId="6003ADF8"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491 </w:t>
            </w:r>
          </w:p>
        </w:tc>
        <w:tc>
          <w:tcPr>
            <w:tcW w:w="616" w:type="pct"/>
            <w:tcBorders>
              <w:top w:val="nil"/>
              <w:left w:val="nil"/>
              <w:bottom w:val="nil"/>
              <w:right w:val="nil"/>
            </w:tcBorders>
            <w:vAlign w:val="bottom"/>
          </w:tcPr>
          <w:p w14:paraId="0835F690"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 </w:t>
            </w:r>
          </w:p>
        </w:tc>
        <w:tc>
          <w:tcPr>
            <w:tcW w:w="615" w:type="pct"/>
            <w:tcBorders>
              <w:top w:val="nil"/>
              <w:left w:val="nil"/>
              <w:bottom w:val="nil"/>
              <w:right w:val="nil"/>
            </w:tcBorders>
            <w:vAlign w:val="bottom"/>
          </w:tcPr>
          <w:p w14:paraId="1940A245"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491</w:t>
            </w:r>
          </w:p>
        </w:tc>
        <w:tc>
          <w:tcPr>
            <w:tcW w:w="678" w:type="pct"/>
            <w:tcBorders>
              <w:top w:val="nil"/>
              <w:left w:val="nil"/>
              <w:bottom w:val="nil"/>
              <w:right w:val="nil"/>
            </w:tcBorders>
            <w:vAlign w:val="bottom"/>
          </w:tcPr>
          <w:p w14:paraId="5F9DEE22"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34,003 </w:t>
            </w:r>
          </w:p>
        </w:tc>
        <w:tc>
          <w:tcPr>
            <w:tcW w:w="633" w:type="pct"/>
            <w:tcBorders>
              <w:top w:val="nil"/>
              <w:left w:val="nil"/>
              <w:bottom w:val="nil"/>
            </w:tcBorders>
            <w:vAlign w:val="bottom"/>
          </w:tcPr>
          <w:p w14:paraId="48C5699D"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34,494 </w:t>
            </w:r>
          </w:p>
        </w:tc>
      </w:tr>
      <w:tr w:rsidR="00D529FF" w:rsidRPr="00D529FF" w14:paraId="1D8D5982" w14:textId="77777777" w:rsidTr="00E44437">
        <w:trPr>
          <w:trHeight w:hRule="exact" w:val="343"/>
        </w:trPr>
        <w:tc>
          <w:tcPr>
            <w:tcW w:w="1384" w:type="pct"/>
            <w:vAlign w:val="bottom"/>
          </w:tcPr>
          <w:p w14:paraId="17886446" w14:textId="77777777" w:rsidR="00D529FF" w:rsidRPr="00D529FF" w:rsidRDefault="00D529FF" w:rsidP="00D529FF">
            <w:pPr>
              <w:tabs>
                <w:tab w:val="right" w:pos="1202"/>
              </w:tabs>
              <w:spacing w:after="0" w:line="240" w:lineRule="exact"/>
              <w:outlineLvl w:val="0"/>
              <w:rPr>
                <w:rFonts w:ascii="Calibri" w:eastAsia="Times New Roman" w:hAnsi="Calibri" w:cs="Arial"/>
                <w:b/>
                <w:bCs/>
                <w:sz w:val="18"/>
                <w:szCs w:val="18"/>
                <w:lang w:val="en-US"/>
              </w:rPr>
            </w:pPr>
            <w:r w:rsidRPr="00D529FF">
              <w:rPr>
                <w:rFonts w:ascii="Calibri" w:eastAsia="Times New Roman" w:hAnsi="Calibri" w:cs="Arial"/>
                <w:b/>
                <w:bCs/>
                <w:sz w:val="18"/>
                <w:szCs w:val="18"/>
                <w:lang w:val="en-US"/>
              </w:rPr>
              <w:t xml:space="preserve">Total assets </w:t>
            </w:r>
          </w:p>
        </w:tc>
        <w:tc>
          <w:tcPr>
            <w:tcW w:w="506" w:type="pct"/>
            <w:tcBorders>
              <w:top w:val="single" w:sz="4" w:space="0" w:color="000000"/>
              <w:bottom w:val="single" w:sz="12" w:space="0" w:color="auto"/>
            </w:tcBorders>
            <w:vAlign w:val="bottom"/>
          </w:tcPr>
          <w:p w14:paraId="667B8068" w14:textId="77777777" w:rsidR="00D529FF" w:rsidRPr="00D529FF" w:rsidRDefault="00D529FF" w:rsidP="00D529FF">
            <w:pPr>
              <w:spacing w:after="0" w:line="240" w:lineRule="exact"/>
              <w:jc w:val="right"/>
              <w:rPr>
                <w:rFonts w:ascii="Calibri" w:eastAsia="Times New Roman" w:hAnsi="Calibri" w:cs="Times New Roman"/>
                <w:b/>
                <w:bCs/>
                <w:color w:val="000000"/>
                <w:sz w:val="18"/>
                <w:szCs w:val="18"/>
              </w:rPr>
            </w:pPr>
            <w:r w:rsidRPr="00D529FF">
              <w:rPr>
                <w:rFonts w:ascii="Calibri" w:eastAsia="Times New Roman" w:hAnsi="Calibri" w:cs="Times New Roman"/>
                <w:b/>
                <w:bCs/>
                <w:color w:val="000000"/>
                <w:sz w:val="18"/>
                <w:szCs w:val="18"/>
              </w:rPr>
              <w:t xml:space="preserve"> 297,079 </w:t>
            </w:r>
          </w:p>
        </w:tc>
        <w:tc>
          <w:tcPr>
            <w:tcW w:w="568" w:type="pct"/>
            <w:tcBorders>
              <w:top w:val="single" w:sz="4" w:space="0" w:color="000000"/>
              <w:bottom w:val="single" w:sz="12" w:space="0" w:color="auto"/>
            </w:tcBorders>
            <w:vAlign w:val="bottom"/>
          </w:tcPr>
          <w:p w14:paraId="2AFA11B7" w14:textId="77777777" w:rsidR="00D529FF" w:rsidRPr="00D529FF" w:rsidRDefault="00D529FF" w:rsidP="00D529FF">
            <w:pPr>
              <w:spacing w:after="0" w:line="240" w:lineRule="exact"/>
              <w:jc w:val="right"/>
              <w:rPr>
                <w:rFonts w:ascii="Calibri" w:eastAsia="Times New Roman" w:hAnsi="Calibri" w:cs="Times New Roman"/>
                <w:b/>
                <w:bCs/>
                <w:color w:val="000000"/>
                <w:sz w:val="18"/>
                <w:szCs w:val="18"/>
              </w:rPr>
            </w:pPr>
            <w:r w:rsidRPr="00D529FF">
              <w:rPr>
                <w:rFonts w:ascii="Calibri" w:eastAsia="Times New Roman" w:hAnsi="Calibri" w:cs="Times New Roman"/>
                <w:b/>
                <w:bCs/>
                <w:color w:val="000000"/>
                <w:sz w:val="18"/>
                <w:szCs w:val="18"/>
              </w:rPr>
              <w:t xml:space="preserve"> 14,013,516 </w:t>
            </w:r>
          </w:p>
        </w:tc>
        <w:tc>
          <w:tcPr>
            <w:tcW w:w="616" w:type="pct"/>
            <w:tcBorders>
              <w:top w:val="single" w:sz="4" w:space="0" w:color="000000"/>
              <w:bottom w:val="single" w:sz="12" w:space="0" w:color="auto"/>
            </w:tcBorders>
            <w:vAlign w:val="bottom"/>
          </w:tcPr>
          <w:p w14:paraId="56865D97" w14:textId="77777777" w:rsidR="00D529FF" w:rsidRPr="00D529FF" w:rsidRDefault="00D529FF" w:rsidP="00D529FF">
            <w:pPr>
              <w:spacing w:after="0" w:line="240" w:lineRule="exact"/>
              <w:jc w:val="right"/>
              <w:rPr>
                <w:rFonts w:ascii="Calibri" w:eastAsia="Times New Roman" w:hAnsi="Calibri" w:cs="Times New Roman"/>
                <w:b/>
                <w:bCs/>
                <w:color w:val="000000"/>
                <w:sz w:val="18"/>
                <w:szCs w:val="18"/>
              </w:rPr>
            </w:pPr>
            <w:r w:rsidRPr="00D529FF">
              <w:rPr>
                <w:rFonts w:ascii="Calibri" w:eastAsia="Times New Roman" w:hAnsi="Calibri" w:cs="Times New Roman"/>
                <w:b/>
                <w:bCs/>
                <w:color w:val="000000"/>
                <w:sz w:val="18"/>
                <w:szCs w:val="18"/>
              </w:rPr>
              <w:t xml:space="preserve"> - </w:t>
            </w:r>
          </w:p>
        </w:tc>
        <w:tc>
          <w:tcPr>
            <w:tcW w:w="615" w:type="pct"/>
            <w:tcBorders>
              <w:top w:val="single" w:sz="4" w:space="0" w:color="000000"/>
              <w:bottom w:val="single" w:sz="12" w:space="0" w:color="auto"/>
            </w:tcBorders>
            <w:vAlign w:val="bottom"/>
          </w:tcPr>
          <w:p w14:paraId="7BC147F6" w14:textId="77777777" w:rsidR="00D529FF" w:rsidRPr="00D529FF" w:rsidRDefault="00D529FF" w:rsidP="00D529FF">
            <w:pPr>
              <w:spacing w:after="0" w:line="240" w:lineRule="exact"/>
              <w:jc w:val="right"/>
              <w:rPr>
                <w:rFonts w:ascii="Calibri" w:eastAsia="Times New Roman" w:hAnsi="Calibri" w:cs="Times New Roman"/>
                <w:b/>
                <w:bCs/>
                <w:color w:val="000000"/>
                <w:sz w:val="18"/>
                <w:szCs w:val="18"/>
              </w:rPr>
            </w:pPr>
            <w:r w:rsidRPr="00D529FF">
              <w:rPr>
                <w:rFonts w:ascii="Calibri" w:eastAsia="Times New Roman" w:hAnsi="Calibri" w:cs="Times New Roman"/>
                <w:b/>
                <w:bCs/>
                <w:color w:val="000000"/>
                <w:sz w:val="18"/>
                <w:szCs w:val="18"/>
              </w:rPr>
              <w:t xml:space="preserve"> 14,310,595 </w:t>
            </w:r>
          </w:p>
        </w:tc>
        <w:tc>
          <w:tcPr>
            <w:tcW w:w="678" w:type="pct"/>
            <w:tcBorders>
              <w:top w:val="single" w:sz="4" w:space="0" w:color="000000"/>
              <w:bottom w:val="single" w:sz="12" w:space="0" w:color="auto"/>
            </w:tcBorders>
            <w:vAlign w:val="bottom"/>
          </w:tcPr>
          <w:p w14:paraId="40F2ADF7" w14:textId="77777777" w:rsidR="00D529FF" w:rsidRPr="00D529FF" w:rsidRDefault="00D529FF" w:rsidP="00D529FF">
            <w:pPr>
              <w:spacing w:after="0" w:line="240" w:lineRule="exact"/>
              <w:jc w:val="right"/>
              <w:rPr>
                <w:rFonts w:ascii="Calibri" w:eastAsia="Times New Roman" w:hAnsi="Calibri" w:cs="Times New Roman"/>
                <w:b/>
                <w:bCs/>
                <w:color w:val="000000"/>
                <w:sz w:val="18"/>
                <w:szCs w:val="18"/>
              </w:rPr>
            </w:pPr>
            <w:r w:rsidRPr="00D529FF">
              <w:rPr>
                <w:rFonts w:ascii="Calibri" w:eastAsia="Times New Roman" w:hAnsi="Calibri" w:cs="Times New Roman"/>
                <w:b/>
                <w:bCs/>
                <w:color w:val="000000"/>
                <w:sz w:val="18"/>
                <w:szCs w:val="18"/>
              </w:rPr>
              <w:t xml:space="preserve"> 13,939,393* </w:t>
            </w:r>
          </w:p>
        </w:tc>
        <w:tc>
          <w:tcPr>
            <w:tcW w:w="633" w:type="pct"/>
            <w:tcBorders>
              <w:top w:val="single" w:sz="4" w:space="0" w:color="000000"/>
              <w:bottom w:val="single" w:sz="12" w:space="0" w:color="auto"/>
            </w:tcBorders>
            <w:vAlign w:val="bottom"/>
          </w:tcPr>
          <w:p w14:paraId="3908B17A" w14:textId="77777777" w:rsidR="00D529FF" w:rsidRPr="00D529FF" w:rsidRDefault="00D529FF" w:rsidP="00D529FF">
            <w:pPr>
              <w:spacing w:after="0" w:line="240" w:lineRule="exact"/>
              <w:jc w:val="right"/>
              <w:rPr>
                <w:rFonts w:ascii="Calibri" w:eastAsia="Times New Roman" w:hAnsi="Calibri" w:cs="Times New Roman"/>
                <w:b/>
                <w:bCs/>
                <w:color w:val="000000"/>
                <w:sz w:val="18"/>
                <w:szCs w:val="18"/>
              </w:rPr>
            </w:pPr>
            <w:r w:rsidRPr="00D529FF">
              <w:rPr>
                <w:rFonts w:ascii="Calibri" w:eastAsia="Times New Roman" w:hAnsi="Calibri" w:cs="Times New Roman"/>
                <w:b/>
                <w:bCs/>
                <w:color w:val="000000"/>
                <w:sz w:val="18"/>
                <w:szCs w:val="18"/>
              </w:rPr>
              <w:t xml:space="preserve">28,249,988 </w:t>
            </w:r>
          </w:p>
        </w:tc>
      </w:tr>
      <w:tr w:rsidR="00D529FF" w:rsidRPr="00D529FF" w14:paraId="63704387" w14:textId="77777777" w:rsidTr="00E44437">
        <w:trPr>
          <w:trHeight w:hRule="exact" w:val="215"/>
        </w:trPr>
        <w:tc>
          <w:tcPr>
            <w:tcW w:w="1384" w:type="pct"/>
            <w:vAlign w:val="bottom"/>
          </w:tcPr>
          <w:p w14:paraId="52AF8EF1" w14:textId="77777777" w:rsidR="00D529FF" w:rsidRPr="00D529FF" w:rsidRDefault="00D529FF" w:rsidP="00D529FF">
            <w:pPr>
              <w:tabs>
                <w:tab w:val="right" w:pos="1202"/>
              </w:tabs>
              <w:spacing w:after="0" w:line="240" w:lineRule="exact"/>
              <w:outlineLvl w:val="0"/>
              <w:rPr>
                <w:rFonts w:ascii="Calibri" w:eastAsia="Times New Roman" w:hAnsi="Calibri" w:cs="Arial"/>
                <w:b/>
                <w:bCs/>
                <w:sz w:val="18"/>
                <w:szCs w:val="18"/>
                <w:lang w:val="en-US"/>
              </w:rPr>
            </w:pPr>
          </w:p>
        </w:tc>
        <w:tc>
          <w:tcPr>
            <w:tcW w:w="506" w:type="pct"/>
            <w:tcBorders>
              <w:top w:val="single" w:sz="12" w:space="0" w:color="auto"/>
            </w:tcBorders>
            <w:vAlign w:val="bottom"/>
          </w:tcPr>
          <w:p w14:paraId="340B8EAA"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p>
        </w:tc>
        <w:tc>
          <w:tcPr>
            <w:tcW w:w="568" w:type="pct"/>
            <w:tcBorders>
              <w:top w:val="single" w:sz="12" w:space="0" w:color="auto"/>
            </w:tcBorders>
            <w:vAlign w:val="bottom"/>
          </w:tcPr>
          <w:p w14:paraId="3A6CE4CD"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p>
        </w:tc>
        <w:tc>
          <w:tcPr>
            <w:tcW w:w="616" w:type="pct"/>
            <w:tcBorders>
              <w:top w:val="single" w:sz="12" w:space="0" w:color="auto"/>
            </w:tcBorders>
            <w:vAlign w:val="bottom"/>
          </w:tcPr>
          <w:p w14:paraId="7E926C87"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p>
        </w:tc>
        <w:tc>
          <w:tcPr>
            <w:tcW w:w="615" w:type="pct"/>
            <w:tcBorders>
              <w:top w:val="single" w:sz="12" w:space="0" w:color="auto"/>
            </w:tcBorders>
            <w:vAlign w:val="bottom"/>
          </w:tcPr>
          <w:p w14:paraId="525A7200"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p>
        </w:tc>
        <w:tc>
          <w:tcPr>
            <w:tcW w:w="678" w:type="pct"/>
            <w:tcBorders>
              <w:top w:val="single" w:sz="12" w:space="0" w:color="auto"/>
            </w:tcBorders>
            <w:vAlign w:val="bottom"/>
          </w:tcPr>
          <w:p w14:paraId="72D446AF"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p>
        </w:tc>
        <w:tc>
          <w:tcPr>
            <w:tcW w:w="633" w:type="pct"/>
            <w:tcBorders>
              <w:top w:val="single" w:sz="12" w:space="0" w:color="auto"/>
            </w:tcBorders>
            <w:vAlign w:val="bottom"/>
          </w:tcPr>
          <w:p w14:paraId="54A89BDD"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p>
        </w:tc>
      </w:tr>
      <w:tr w:rsidR="00D529FF" w:rsidRPr="00D529FF" w14:paraId="7EFB8522" w14:textId="77777777" w:rsidTr="00E44437">
        <w:trPr>
          <w:trHeight w:val="307"/>
        </w:trPr>
        <w:tc>
          <w:tcPr>
            <w:tcW w:w="1384" w:type="pct"/>
            <w:vAlign w:val="bottom"/>
          </w:tcPr>
          <w:p w14:paraId="64DB6E81" w14:textId="77777777" w:rsidR="00D529FF" w:rsidRPr="00D529FF" w:rsidRDefault="00D529FF" w:rsidP="00D529FF">
            <w:pPr>
              <w:tabs>
                <w:tab w:val="right" w:pos="1202"/>
              </w:tabs>
              <w:spacing w:after="0" w:line="240" w:lineRule="exact"/>
              <w:outlineLvl w:val="0"/>
              <w:rPr>
                <w:rFonts w:ascii="Calibri" w:eastAsia="Times New Roman" w:hAnsi="Calibri" w:cs="Arial"/>
                <w:b/>
                <w:bCs/>
                <w:sz w:val="18"/>
                <w:szCs w:val="18"/>
                <w:lang w:val="en-US"/>
              </w:rPr>
            </w:pPr>
            <w:r w:rsidRPr="00D529FF">
              <w:rPr>
                <w:rFonts w:ascii="Calibri" w:eastAsia="Times New Roman" w:hAnsi="Calibri" w:cs="Arial"/>
                <w:b/>
                <w:bCs/>
                <w:sz w:val="18"/>
                <w:szCs w:val="18"/>
                <w:lang w:val="en-US"/>
              </w:rPr>
              <w:t xml:space="preserve">Liabilities </w:t>
            </w:r>
          </w:p>
        </w:tc>
        <w:tc>
          <w:tcPr>
            <w:tcW w:w="506" w:type="pct"/>
            <w:vAlign w:val="bottom"/>
          </w:tcPr>
          <w:p w14:paraId="512B2A3F"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p>
        </w:tc>
        <w:tc>
          <w:tcPr>
            <w:tcW w:w="568" w:type="pct"/>
            <w:vAlign w:val="bottom"/>
          </w:tcPr>
          <w:p w14:paraId="0000957F"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p>
        </w:tc>
        <w:tc>
          <w:tcPr>
            <w:tcW w:w="616" w:type="pct"/>
            <w:vAlign w:val="bottom"/>
          </w:tcPr>
          <w:p w14:paraId="3173DE1D"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p>
        </w:tc>
        <w:tc>
          <w:tcPr>
            <w:tcW w:w="615" w:type="pct"/>
            <w:vAlign w:val="bottom"/>
          </w:tcPr>
          <w:p w14:paraId="451CC21F"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p>
        </w:tc>
        <w:tc>
          <w:tcPr>
            <w:tcW w:w="678" w:type="pct"/>
            <w:vAlign w:val="bottom"/>
          </w:tcPr>
          <w:p w14:paraId="7B5000BD"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p>
        </w:tc>
        <w:tc>
          <w:tcPr>
            <w:tcW w:w="633" w:type="pct"/>
            <w:vAlign w:val="bottom"/>
          </w:tcPr>
          <w:p w14:paraId="47395EED"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p>
        </w:tc>
      </w:tr>
      <w:tr w:rsidR="00D529FF" w:rsidRPr="00D529FF" w14:paraId="6BF31B95" w14:textId="77777777" w:rsidTr="00E44437">
        <w:trPr>
          <w:trHeight w:hRule="exact" w:val="286"/>
        </w:trPr>
        <w:tc>
          <w:tcPr>
            <w:tcW w:w="1384" w:type="pct"/>
            <w:vAlign w:val="bottom"/>
          </w:tcPr>
          <w:p w14:paraId="122F5DCB" w14:textId="77777777" w:rsidR="00D529FF" w:rsidRPr="00D529FF" w:rsidRDefault="00D529FF" w:rsidP="00D529FF">
            <w:pPr>
              <w:tabs>
                <w:tab w:val="right" w:pos="1202"/>
              </w:tabs>
              <w:spacing w:after="0" w:line="240" w:lineRule="exact"/>
              <w:outlineLvl w:val="0"/>
              <w:rPr>
                <w:rFonts w:ascii="Calibri" w:eastAsia="Times New Roman" w:hAnsi="Calibri" w:cs="Arial"/>
                <w:sz w:val="18"/>
                <w:szCs w:val="18"/>
                <w:lang w:val="en-US"/>
              </w:rPr>
            </w:pPr>
            <w:r w:rsidRPr="00D529FF">
              <w:rPr>
                <w:rFonts w:ascii="Calibri" w:eastAsia="Times New Roman" w:hAnsi="Calibri" w:cs="Arial"/>
                <w:sz w:val="18"/>
                <w:szCs w:val="18"/>
                <w:lang w:val="en-US"/>
              </w:rPr>
              <w:t xml:space="preserve">Deposits from customers </w:t>
            </w:r>
          </w:p>
        </w:tc>
        <w:tc>
          <w:tcPr>
            <w:tcW w:w="506" w:type="pct"/>
            <w:tcBorders>
              <w:top w:val="nil"/>
              <w:left w:val="nil"/>
              <w:bottom w:val="nil"/>
              <w:right w:val="nil"/>
            </w:tcBorders>
            <w:vAlign w:val="bottom"/>
          </w:tcPr>
          <w:p w14:paraId="3E2DF2B6"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106,027 </w:t>
            </w:r>
          </w:p>
        </w:tc>
        <w:tc>
          <w:tcPr>
            <w:tcW w:w="568" w:type="pct"/>
            <w:tcBorders>
              <w:top w:val="nil"/>
              <w:left w:val="nil"/>
              <w:bottom w:val="nil"/>
              <w:right w:val="nil"/>
            </w:tcBorders>
            <w:vAlign w:val="bottom"/>
          </w:tcPr>
          <w:p w14:paraId="03C51247"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471,389 </w:t>
            </w:r>
          </w:p>
        </w:tc>
        <w:tc>
          <w:tcPr>
            <w:tcW w:w="616" w:type="pct"/>
            <w:tcBorders>
              <w:top w:val="nil"/>
              <w:left w:val="nil"/>
              <w:bottom w:val="nil"/>
              <w:right w:val="nil"/>
            </w:tcBorders>
            <w:vAlign w:val="bottom"/>
          </w:tcPr>
          <w:p w14:paraId="3A5ADF52"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 </w:t>
            </w:r>
          </w:p>
        </w:tc>
        <w:tc>
          <w:tcPr>
            <w:tcW w:w="615" w:type="pct"/>
            <w:tcBorders>
              <w:top w:val="nil"/>
              <w:left w:val="nil"/>
              <w:bottom w:val="nil"/>
              <w:right w:val="nil"/>
            </w:tcBorders>
            <w:vAlign w:val="bottom"/>
          </w:tcPr>
          <w:p w14:paraId="4B36291A"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577,416 </w:t>
            </w:r>
          </w:p>
        </w:tc>
        <w:tc>
          <w:tcPr>
            <w:tcW w:w="678" w:type="pct"/>
            <w:tcBorders>
              <w:top w:val="nil"/>
              <w:left w:val="nil"/>
              <w:bottom w:val="nil"/>
              <w:right w:val="nil"/>
            </w:tcBorders>
            <w:vAlign w:val="bottom"/>
          </w:tcPr>
          <w:p w14:paraId="77D39BE4"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383,125 </w:t>
            </w:r>
          </w:p>
        </w:tc>
        <w:tc>
          <w:tcPr>
            <w:tcW w:w="633" w:type="pct"/>
            <w:tcBorders>
              <w:top w:val="nil"/>
              <w:left w:val="nil"/>
              <w:bottom w:val="nil"/>
            </w:tcBorders>
            <w:vAlign w:val="bottom"/>
          </w:tcPr>
          <w:p w14:paraId="0C1064AE"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960,541 </w:t>
            </w:r>
          </w:p>
        </w:tc>
      </w:tr>
      <w:tr w:rsidR="00D529FF" w:rsidRPr="00D529FF" w14:paraId="222752FF" w14:textId="77777777" w:rsidTr="00E44437">
        <w:trPr>
          <w:trHeight w:hRule="exact" w:val="286"/>
        </w:trPr>
        <w:tc>
          <w:tcPr>
            <w:tcW w:w="1384" w:type="pct"/>
            <w:vAlign w:val="bottom"/>
          </w:tcPr>
          <w:p w14:paraId="6876220E" w14:textId="77777777" w:rsidR="00D529FF" w:rsidRPr="00D529FF" w:rsidRDefault="00D529FF" w:rsidP="00D529FF">
            <w:pPr>
              <w:tabs>
                <w:tab w:val="right" w:pos="1202"/>
              </w:tabs>
              <w:spacing w:after="0" w:line="240" w:lineRule="exact"/>
              <w:outlineLvl w:val="0"/>
              <w:rPr>
                <w:rFonts w:ascii="Calibri" w:eastAsia="Times New Roman" w:hAnsi="Calibri" w:cs="Arial"/>
                <w:sz w:val="18"/>
                <w:szCs w:val="18"/>
                <w:lang w:val="en-US"/>
              </w:rPr>
            </w:pPr>
            <w:r w:rsidRPr="00D529FF">
              <w:rPr>
                <w:rFonts w:ascii="Calibri" w:eastAsia="Times New Roman" w:hAnsi="Calibri" w:cs="Arial"/>
                <w:sz w:val="18"/>
                <w:szCs w:val="18"/>
                <w:lang w:val="en-US"/>
              </w:rPr>
              <w:t xml:space="preserve">Borrowings </w:t>
            </w:r>
          </w:p>
        </w:tc>
        <w:tc>
          <w:tcPr>
            <w:tcW w:w="506" w:type="pct"/>
            <w:tcBorders>
              <w:top w:val="nil"/>
              <w:left w:val="nil"/>
              <w:bottom w:val="nil"/>
              <w:right w:val="nil"/>
            </w:tcBorders>
            <w:vAlign w:val="bottom"/>
          </w:tcPr>
          <w:p w14:paraId="170567E7"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189,999 </w:t>
            </w:r>
          </w:p>
        </w:tc>
        <w:tc>
          <w:tcPr>
            <w:tcW w:w="568" w:type="pct"/>
            <w:tcBorders>
              <w:top w:val="nil"/>
              <w:left w:val="nil"/>
              <w:bottom w:val="nil"/>
              <w:right w:val="nil"/>
            </w:tcBorders>
            <w:vAlign w:val="bottom"/>
          </w:tcPr>
          <w:p w14:paraId="456FC336"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14,424,638 </w:t>
            </w:r>
          </w:p>
        </w:tc>
        <w:tc>
          <w:tcPr>
            <w:tcW w:w="616" w:type="pct"/>
            <w:tcBorders>
              <w:top w:val="nil"/>
              <w:left w:val="nil"/>
              <w:bottom w:val="nil"/>
              <w:right w:val="nil"/>
            </w:tcBorders>
            <w:vAlign w:val="bottom"/>
          </w:tcPr>
          <w:p w14:paraId="6BA0D498"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 </w:t>
            </w:r>
          </w:p>
        </w:tc>
        <w:tc>
          <w:tcPr>
            <w:tcW w:w="615" w:type="pct"/>
            <w:tcBorders>
              <w:top w:val="nil"/>
              <w:left w:val="nil"/>
              <w:bottom w:val="nil"/>
              <w:right w:val="nil"/>
            </w:tcBorders>
            <w:vAlign w:val="bottom"/>
          </w:tcPr>
          <w:p w14:paraId="1408AD3A"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14,614,637 </w:t>
            </w:r>
          </w:p>
        </w:tc>
        <w:tc>
          <w:tcPr>
            <w:tcW w:w="678" w:type="pct"/>
            <w:tcBorders>
              <w:top w:val="nil"/>
              <w:left w:val="nil"/>
              <w:bottom w:val="nil"/>
              <w:right w:val="nil"/>
            </w:tcBorders>
            <w:vAlign w:val="bottom"/>
          </w:tcPr>
          <w:p w14:paraId="2BEA5407"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1,500,600 </w:t>
            </w:r>
          </w:p>
        </w:tc>
        <w:tc>
          <w:tcPr>
            <w:tcW w:w="633" w:type="pct"/>
            <w:tcBorders>
              <w:top w:val="nil"/>
              <w:left w:val="nil"/>
              <w:bottom w:val="nil"/>
            </w:tcBorders>
            <w:vAlign w:val="bottom"/>
          </w:tcPr>
          <w:p w14:paraId="57A64EBB"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16,115,237 </w:t>
            </w:r>
          </w:p>
        </w:tc>
      </w:tr>
      <w:tr w:rsidR="00D529FF" w:rsidRPr="00D529FF" w14:paraId="476EBB1A" w14:textId="77777777" w:rsidTr="00E44437">
        <w:trPr>
          <w:trHeight w:hRule="exact" w:val="537"/>
        </w:trPr>
        <w:tc>
          <w:tcPr>
            <w:tcW w:w="1384" w:type="pct"/>
            <w:vAlign w:val="bottom"/>
          </w:tcPr>
          <w:p w14:paraId="59A7CC2A" w14:textId="77777777" w:rsidR="00D529FF" w:rsidRPr="00D529FF" w:rsidRDefault="00D529FF" w:rsidP="00D529FF">
            <w:pPr>
              <w:tabs>
                <w:tab w:val="right" w:pos="1202"/>
              </w:tabs>
              <w:spacing w:after="0" w:line="240" w:lineRule="exact"/>
              <w:outlineLvl w:val="0"/>
              <w:rPr>
                <w:rFonts w:ascii="Calibri" w:eastAsia="Times New Roman" w:hAnsi="Calibri" w:cs="Arial"/>
                <w:sz w:val="18"/>
                <w:szCs w:val="18"/>
                <w:lang w:val="en-US"/>
              </w:rPr>
            </w:pPr>
            <w:r w:rsidRPr="00D529FF">
              <w:rPr>
                <w:rFonts w:ascii="Calibri" w:eastAsia="Times New Roman" w:hAnsi="Calibri" w:cs="Arial"/>
                <w:sz w:val="18"/>
                <w:szCs w:val="18"/>
                <w:lang w:val="en-US"/>
              </w:rPr>
              <w:t xml:space="preserve">Provisions for guarantees, </w:t>
            </w:r>
            <w:proofErr w:type="gramStart"/>
            <w:r w:rsidRPr="00D529FF">
              <w:rPr>
                <w:rFonts w:ascii="Calibri" w:eastAsia="Times New Roman" w:hAnsi="Calibri" w:cs="Arial"/>
                <w:sz w:val="18"/>
                <w:szCs w:val="18"/>
                <w:lang w:val="en-US"/>
              </w:rPr>
              <w:t>commitments</w:t>
            </w:r>
            <w:proofErr w:type="gramEnd"/>
            <w:r w:rsidRPr="00D529FF">
              <w:rPr>
                <w:rFonts w:ascii="Calibri" w:eastAsia="Times New Roman" w:hAnsi="Calibri" w:cs="Arial"/>
                <w:sz w:val="18"/>
                <w:szCs w:val="18"/>
                <w:lang w:val="en-US"/>
              </w:rPr>
              <w:t xml:space="preserve"> and other liabilities</w:t>
            </w:r>
          </w:p>
        </w:tc>
        <w:tc>
          <w:tcPr>
            <w:tcW w:w="506" w:type="pct"/>
            <w:tcBorders>
              <w:top w:val="nil"/>
              <w:left w:val="nil"/>
              <w:bottom w:val="nil"/>
              <w:right w:val="nil"/>
            </w:tcBorders>
            <w:vAlign w:val="bottom"/>
          </w:tcPr>
          <w:p w14:paraId="155044B2"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23,613 </w:t>
            </w:r>
          </w:p>
        </w:tc>
        <w:tc>
          <w:tcPr>
            <w:tcW w:w="568" w:type="pct"/>
            <w:tcBorders>
              <w:top w:val="nil"/>
              <w:left w:val="nil"/>
              <w:bottom w:val="nil"/>
              <w:right w:val="nil"/>
            </w:tcBorders>
            <w:vAlign w:val="bottom"/>
          </w:tcPr>
          <w:p w14:paraId="4368278C"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25,674 </w:t>
            </w:r>
          </w:p>
        </w:tc>
        <w:tc>
          <w:tcPr>
            <w:tcW w:w="616" w:type="pct"/>
            <w:tcBorders>
              <w:top w:val="nil"/>
              <w:left w:val="nil"/>
              <w:bottom w:val="nil"/>
              <w:right w:val="nil"/>
            </w:tcBorders>
            <w:vAlign w:val="bottom"/>
          </w:tcPr>
          <w:p w14:paraId="0DC1F942"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15,098 </w:t>
            </w:r>
          </w:p>
        </w:tc>
        <w:tc>
          <w:tcPr>
            <w:tcW w:w="615" w:type="pct"/>
            <w:tcBorders>
              <w:top w:val="nil"/>
              <w:left w:val="nil"/>
              <w:bottom w:val="nil"/>
              <w:right w:val="nil"/>
            </w:tcBorders>
            <w:vAlign w:val="bottom"/>
          </w:tcPr>
          <w:p w14:paraId="658412D2"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64,385 </w:t>
            </w:r>
          </w:p>
        </w:tc>
        <w:tc>
          <w:tcPr>
            <w:tcW w:w="678" w:type="pct"/>
            <w:tcBorders>
              <w:top w:val="nil"/>
              <w:left w:val="nil"/>
              <w:bottom w:val="nil"/>
              <w:right w:val="nil"/>
            </w:tcBorders>
            <w:vAlign w:val="bottom"/>
          </w:tcPr>
          <w:p w14:paraId="16D2E4D3"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125,918 </w:t>
            </w:r>
          </w:p>
        </w:tc>
        <w:tc>
          <w:tcPr>
            <w:tcW w:w="633" w:type="pct"/>
            <w:tcBorders>
              <w:top w:val="nil"/>
              <w:left w:val="nil"/>
              <w:bottom w:val="nil"/>
            </w:tcBorders>
            <w:vAlign w:val="bottom"/>
          </w:tcPr>
          <w:p w14:paraId="33A120A9"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190,303 </w:t>
            </w:r>
          </w:p>
        </w:tc>
      </w:tr>
      <w:tr w:rsidR="00D529FF" w:rsidRPr="00D529FF" w14:paraId="36557EFE" w14:textId="77777777" w:rsidTr="00E44437">
        <w:trPr>
          <w:trHeight w:hRule="exact" w:val="286"/>
        </w:trPr>
        <w:tc>
          <w:tcPr>
            <w:tcW w:w="1384" w:type="pct"/>
            <w:vAlign w:val="bottom"/>
          </w:tcPr>
          <w:p w14:paraId="7E0CA7C3" w14:textId="77777777" w:rsidR="00D529FF" w:rsidRPr="00D529FF" w:rsidRDefault="00D529FF" w:rsidP="00D529FF">
            <w:pPr>
              <w:tabs>
                <w:tab w:val="right" w:pos="1202"/>
              </w:tabs>
              <w:spacing w:after="0" w:line="240" w:lineRule="exact"/>
              <w:outlineLvl w:val="0"/>
              <w:rPr>
                <w:rFonts w:ascii="Calibri" w:eastAsia="Times New Roman" w:hAnsi="Calibri" w:cs="Arial"/>
                <w:sz w:val="18"/>
                <w:szCs w:val="18"/>
                <w:lang w:val="en-US"/>
              </w:rPr>
            </w:pPr>
            <w:r w:rsidRPr="00D529FF">
              <w:rPr>
                <w:rFonts w:ascii="Calibri" w:eastAsia="Times New Roman" w:hAnsi="Calibri" w:cs="Arial"/>
                <w:sz w:val="18"/>
                <w:szCs w:val="18"/>
                <w:lang w:val="en-US"/>
              </w:rPr>
              <w:t xml:space="preserve">Other liabilities </w:t>
            </w:r>
          </w:p>
        </w:tc>
        <w:tc>
          <w:tcPr>
            <w:tcW w:w="506" w:type="pct"/>
            <w:tcBorders>
              <w:top w:val="nil"/>
              <w:left w:val="nil"/>
              <w:bottom w:val="single" w:sz="4" w:space="0" w:color="auto"/>
              <w:right w:val="nil"/>
            </w:tcBorders>
            <w:vAlign w:val="bottom"/>
          </w:tcPr>
          <w:p w14:paraId="468CE371"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w:t>
            </w:r>
          </w:p>
        </w:tc>
        <w:tc>
          <w:tcPr>
            <w:tcW w:w="568" w:type="pct"/>
            <w:tcBorders>
              <w:top w:val="nil"/>
              <w:left w:val="nil"/>
              <w:bottom w:val="single" w:sz="4" w:space="0" w:color="auto"/>
              <w:right w:val="nil"/>
            </w:tcBorders>
            <w:vAlign w:val="bottom"/>
          </w:tcPr>
          <w:p w14:paraId="25FE4CC8"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3,597 </w:t>
            </w:r>
          </w:p>
        </w:tc>
        <w:tc>
          <w:tcPr>
            <w:tcW w:w="616" w:type="pct"/>
            <w:tcBorders>
              <w:top w:val="nil"/>
              <w:left w:val="nil"/>
              <w:bottom w:val="single" w:sz="4" w:space="0" w:color="auto"/>
              <w:right w:val="nil"/>
            </w:tcBorders>
            <w:vAlign w:val="bottom"/>
          </w:tcPr>
          <w:p w14:paraId="27D44942"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 </w:t>
            </w:r>
          </w:p>
        </w:tc>
        <w:tc>
          <w:tcPr>
            <w:tcW w:w="615" w:type="pct"/>
            <w:tcBorders>
              <w:top w:val="nil"/>
              <w:left w:val="nil"/>
              <w:bottom w:val="single" w:sz="4" w:space="0" w:color="auto"/>
              <w:right w:val="nil"/>
            </w:tcBorders>
            <w:vAlign w:val="bottom"/>
          </w:tcPr>
          <w:p w14:paraId="160B3016"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3,597 </w:t>
            </w:r>
          </w:p>
        </w:tc>
        <w:tc>
          <w:tcPr>
            <w:tcW w:w="678" w:type="pct"/>
            <w:tcBorders>
              <w:top w:val="nil"/>
              <w:left w:val="nil"/>
              <w:bottom w:val="single" w:sz="4" w:space="0" w:color="auto"/>
              <w:right w:val="nil"/>
            </w:tcBorders>
            <w:vAlign w:val="bottom"/>
          </w:tcPr>
          <w:p w14:paraId="46407DEE"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 412,581 </w:t>
            </w:r>
          </w:p>
        </w:tc>
        <w:tc>
          <w:tcPr>
            <w:tcW w:w="633" w:type="pct"/>
            <w:tcBorders>
              <w:top w:val="nil"/>
              <w:left w:val="nil"/>
              <w:bottom w:val="single" w:sz="4" w:space="0" w:color="auto"/>
            </w:tcBorders>
            <w:vAlign w:val="bottom"/>
          </w:tcPr>
          <w:p w14:paraId="332BE74F" w14:textId="77777777" w:rsidR="00D529FF" w:rsidRPr="00D529FF" w:rsidRDefault="00D529FF" w:rsidP="00D529FF">
            <w:pPr>
              <w:spacing w:after="0" w:line="240" w:lineRule="exact"/>
              <w:jc w:val="right"/>
              <w:rPr>
                <w:rFonts w:ascii="Calibri" w:eastAsia="Arial Unicode MS" w:hAnsi="Calibri" w:cs="Times New Roman"/>
                <w:color w:val="000000"/>
                <w:sz w:val="18"/>
                <w:szCs w:val="18"/>
                <w:lang w:val="en-US"/>
              </w:rPr>
            </w:pPr>
            <w:r w:rsidRPr="00D529FF">
              <w:rPr>
                <w:rFonts w:ascii="Calibri" w:eastAsia="Times New Roman" w:hAnsi="Calibri" w:cs="Times New Roman"/>
                <w:color w:val="000000"/>
                <w:sz w:val="18"/>
                <w:szCs w:val="18"/>
              </w:rPr>
              <w:t xml:space="preserve">416,178 </w:t>
            </w:r>
          </w:p>
        </w:tc>
      </w:tr>
      <w:tr w:rsidR="00D529FF" w:rsidRPr="00D529FF" w14:paraId="5BD6053D" w14:textId="77777777" w:rsidTr="00E44437">
        <w:trPr>
          <w:trHeight w:hRule="exact" w:val="343"/>
        </w:trPr>
        <w:tc>
          <w:tcPr>
            <w:tcW w:w="1384" w:type="pct"/>
            <w:vAlign w:val="bottom"/>
          </w:tcPr>
          <w:p w14:paraId="08F5A015" w14:textId="77777777" w:rsidR="00D529FF" w:rsidRPr="00D529FF" w:rsidRDefault="00D529FF" w:rsidP="00D529FF">
            <w:pPr>
              <w:tabs>
                <w:tab w:val="right" w:pos="1202"/>
              </w:tabs>
              <w:spacing w:after="0" w:line="240" w:lineRule="exact"/>
              <w:outlineLvl w:val="0"/>
              <w:rPr>
                <w:rFonts w:ascii="Calibri" w:eastAsia="Times New Roman" w:hAnsi="Calibri" w:cs="Arial"/>
                <w:b/>
                <w:bCs/>
                <w:sz w:val="18"/>
                <w:szCs w:val="18"/>
                <w:lang w:val="en-US"/>
              </w:rPr>
            </w:pPr>
            <w:r w:rsidRPr="00D529FF">
              <w:rPr>
                <w:rFonts w:ascii="Calibri" w:eastAsia="Times New Roman" w:hAnsi="Calibri" w:cs="Arial"/>
                <w:b/>
                <w:bCs/>
                <w:sz w:val="18"/>
                <w:szCs w:val="18"/>
                <w:lang w:val="en-US"/>
              </w:rPr>
              <w:t xml:space="preserve">Total liabilities </w:t>
            </w:r>
          </w:p>
        </w:tc>
        <w:tc>
          <w:tcPr>
            <w:tcW w:w="506" w:type="pct"/>
            <w:tcBorders>
              <w:top w:val="single" w:sz="4" w:space="0" w:color="auto"/>
              <w:left w:val="nil"/>
              <w:bottom w:val="single" w:sz="12" w:space="0" w:color="auto"/>
              <w:right w:val="nil"/>
            </w:tcBorders>
            <w:vAlign w:val="bottom"/>
          </w:tcPr>
          <w:p w14:paraId="520AF5E2" w14:textId="77777777" w:rsidR="00D529FF" w:rsidRPr="00D529FF" w:rsidRDefault="00D529FF" w:rsidP="00D529FF">
            <w:pPr>
              <w:spacing w:after="0" w:line="240" w:lineRule="exact"/>
              <w:jc w:val="right"/>
              <w:rPr>
                <w:rFonts w:ascii="Calibri" w:eastAsia="Arial Unicode MS" w:hAnsi="Calibri" w:cs="Times New Roman"/>
                <w:b/>
                <w:color w:val="000000"/>
                <w:sz w:val="18"/>
                <w:szCs w:val="18"/>
                <w:lang w:val="en-US"/>
              </w:rPr>
            </w:pPr>
            <w:r w:rsidRPr="00D529FF">
              <w:rPr>
                <w:rFonts w:ascii="Calibri" w:eastAsia="Times New Roman" w:hAnsi="Calibri" w:cs="Times New Roman"/>
                <w:b/>
                <w:bCs/>
                <w:color w:val="000000"/>
                <w:sz w:val="18"/>
                <w:szCs w:val="18"/>
              </w:rPr>
              <w:t xml:space="preserve"> 319,639 </w:t>
            </w:r>
          </w:p>
        </w:tc>
        <w:tc>
          <w:tcPr>
            <w:tcW w:w="568" w:type="pct"/>
            <w:tcBorders>
              <w:top w:val="single" w:sz="4" w:space="0" w:color="auto"/>
              <w:left w:val="nil"/>
              <w:bottom w:val="single" w:sz="12" w:space="0" w:color="auto"/>
              <w:right w:val="nil"/>
            </w:tcBorders>
            <w:vAlign w:val="bottom"/>
          </w:tcPr>
          <w:p w14:paraId="0987B80C" w14:textId="77777777" w:rsidR="00D529FF" w:rsidRPr="00D529FF" w:rsidRDefault="00D529FF" w:rsidP="00D529FF">
            <w:pPr>
              <w:spacing w:after="0" w:line="240" w:lineRule="exact"/>
              <w:jc w:val="right"/>
              <w:rPr>
                <w:rFonts w:ascii="Calibri" w:eastAsia="Arial Unicode MS" w:hAnsi="Calibri" w:cs="Times New Roman"/>
                <w:b/>
                <w:color w:val="000000"/>
                <w:sz w:val="18"/>
                <w:szCs w:val="18"/>
                <w:lang w:val="en-US"/>
              </w:rPr>
            </w:pPr>
            <w:r w:rsidRPr="00D529FF">
              <w:rPr>
                <w:rFonts w:ascii="Calibri" w:eastAsia="Times New Roman" w:hAnsi="Calibri" w:cs="Times New Roman"/>
                <w:b/>
                <w:bCs/>
                <w:color w:val="000000"/>
                <w:sz w:val="18"/>
                <w:szCs w:val="18"/>
              </w:rPr>
              <w:t xml:space="preserve"> 14,925,298 </w:t>
            </w:r>
          </w:p>
        </w:tc>
        <w:tc>
          <w:tcPr>
            <w:tcW w:w="616" w:type="pct"/>
            <w:tcBorders>
              <w:top w:val="single" w:sz="4" w:space="0" w:color="auto"/>
              <w:left w:val="nil"/>
              <w:bottom w:val="single" w:sz="12" w:space="0" w:color="auto"/>
              <w:right w:val="nil"/>
            </w:tcBorders>
            <w:vAlign w:val="bottom"/>
          </w:tcPr>
          <w:p w14:paraId="36AC48C7" w14:textId="77777777" w:rsidR="00D529FF" w:rsidRPr="00D529FF" w:rsidRDefault="00D529FF" w:rsidP="00D529FF">
            <w:pPr>
              <w:spacing w:after="0" w:line="240" w:lineRule="exact"/>
              <w:jc w:val="right"/>
              <w:rPr>
                <w:rFonts w:ascii="Calibri" w:eastAsia="Arial Unicode MS" w:hAnsi="Calibri" w:cs="Times New Roman"/>
                <w:b/>
                <w:color w:val="000000"/>
                <w:sz w:val="18"/>
                <w:szCs w:val="18"/>
                <w:lang w:val="en-US"/>
              </w:rPr>
            </w:pPr>
            <w:r w:rsidRPr="00D529FF">
              <w:rPr>
                <w:rFonts w:ascii="Calibri" w:eastAsia="Times New Roman" w:hAnsi="Calibri" w:cs="Times New Roman"/>
                <w:b/>
                <w:bCs/>
                <w:color w:val="000000"/>
                <w:sz w:val="18"/>
                <w:szCs w:val="18"/>
              </w:rPr>
              <w:t xml:space="preserve">15,098 </w:t>
            </w:r>
          </w:p>
        </w:tc>
        <w:tc>
          <w:tcPr>
            <w:tcW w:w="615" w:type="pct"/>
            <w:tcBorders>
              <w:top w:val="single" w:sz="4" w:space="0" w:color="auto"/>
              <w:left w:val="nil"/>
              <w:bottom w:val="single" w:sz="12" w:space="0" w:color="auto"/>
              <w:right w:val="nil"/>
            </w:tcBorders>
            <w:vAlign w:val="bottom"/>
          </w:tcPr>
          <w:p w14:paraId="0A70B86A" w14:textId="77777777" w:rsidR="00D529FF" w:rsidRPr="00D529FF" w:rsidRDefault="00D529FF" w:rsidP="00D529FF">
            <w:pPr>
              <w:spacing w:after="0" w:line="240" w:lineRule="exact"/>
              <w:jc w:val="right"/>
              <w:rPr>
                <w:rFonts w:ascii="Calibri" w:eastAsia="Arial Unicode MS" w:hAnsi="Calibri" w:cs="Times New Roman"/>
                <w:b/>
                <w:color w:val="000000"/>
                <w:sz w:val="18"/>
                <w:szCs w:val="18"/>
                <w:lang w:val="en-US"/>
              </w:rPr>
            </w:pPr>
            <w:r w:rsidRPr="00D529FF">
              <w:rPr>
                <w:rFonts w:ascii="Calibri" w:eastAsia="Times New Roman" w:hAnsi="Calibri" w:cs="Times New Roman"/>
                <w:b/>
                <w:bCs/>
                <w:color w:val="000000"/>
                <w:sz w:val="18"/>
                <w:szCs w:val="18"/>
              </w:rPr>
              <w:t xml:space="preserve"> 15,260,035 </w:t>
            </w:r>
          </w:p>
        </w:tc>
        <w:tc>
          <w:tcPr>
            <w:tcW w:w="678" w:type="pct"/>
            <w:tcBorders>
              <w:top w:val="single" w:sz="4" w:space="0" w:color="auto"/>
              <w:left w:val="nil"/>
              <w:bottom w:val="single" w:sz="12" w:space="0" w:color="auto"/>
              <w:right w:val="nil"/>
            </w:tcBorders>
            <w:vAlign w:val="bottom"/>
          </w:tcPr>
          <w:p w14:paraId="215F5DE0" w14:textId="77777777" w:rsidR="00D529FF" w:rsidRPr="00D529FF" w:rsidRDefault="00D529FF" w:rsidP="00D529FF">
            <w:pPr>
              <w:spacing w:after="0" w:line="240" w:lineRule="exact"/>
              <w:jc w:val="right"/>
              <w:rPr>
                <w:rFonts w:ascii="Calibri" w:eastAsia="Arial Unicode MS" w:hAnsi="Calibri" w:cs="Times New Roman"/>
                <w:b/>
                <w:color w:val="000000"/>
                <w:sz w:val="18"/>
                <w:szCs w:val="18"/>
                <w:lang w:val="en-US"/>
              </w:rPr>
            </w:pPr>
            <w:r w:rsidRPr="00D529FF">
              <w:rPr>
                <w:rFonts w:ascii="Calibri" w:eastAsia="Times New Roman" w:hAnsi="Calibri" w:cs="Times New Roman"/>
                <w:b/>
                <w:bCs/>
                <w:color w:val="000000"/>
                <w:sz w:val="18"/>
                <w:szCs w:val="18"/>
              </w:rPr>
              <w:t xml:space="preserve"> 2,422,224 </w:t>
            </w:r>
          </w:p>
        </w:tc>
        <w:tc>
          <w:tcPr>
            <w:tcW w:w="633" w:type="pct"/>
            <w:tcBorders>
              <w:top w:val="single" w:sz="4" w:space="0" w:color="auto"/>
              <w:left w:val="nil"/>
              <w:bottom w:val="single" w:sz="12" w:space="0" w:color="auto"/>
            </w:tcBorders>
            <w:vAlign w:val="bottom"/>
          </w:tcPr>
          <w:p w14:paraId="62A12A06" w14:textId="77777777" w:rsidR="00D529FF" w:rsidRPr="00D529FF" w:rsidRDefault="00D529FF" w:rsidP="00D529FF">
            <w:pPr>
              <w:spacing w:after="0" w:line="240" w:lineRule="exact"/>
              <w:jc w:val="right"/>
              <w:rPr>
                <w:rFonts w:ascii="Calibri" w:eastAsia="Arial Unicode MS" w:hAnsi="Calibri" w:cs="Times New Roman"/>
                <w:b/>
                <w:color w:val="000000"/>
                <w:sz w:val="18"/>
                <w:szCs w:val="18"/>
                <w:lang w:val="en-US"/>
              </w:rPr>
            </w:pPr>
            <w:r w:rsidRPr="00D529FF">
              <w:rPr>
                <w:rFonts w:ascii="Calibri" w:eastAsia="Times New Roman" w:hAnsi="Calibri" w:cs="Times New Roman"/>
                <w:b/>
                <w:bCs/>
                <w:color w:val="000000"/>
                <w:sz w:val="18"/>
                <w:szCs w:val="18"/>
              </w:rPr>
              <w:t xml:space="preserve">17,682,259 </w:t>
            </w:r>
          </w:p>
        </w:tc>
      </w:tr>
      <w:tr w:rsidR="00D529FF" w:rsidRPr="00D529FF" w14:paraId="27ADDAE1" w14:textId="77777777" w:rsidTr="00E44437">
        <w:trPr>
          <w:trHeight w:hRule="exact" w:val="458"/>
        </w:trPr>
        <w:tc>
          <w:tcPr>
            <w:tcW w:w="1384" w:type="pct"/>
            <w:vAlign w:val="bottom"/>
          </w:tcPr>
          <w:p w14:paraId="3C93E5EE" w14:textId="77777777" w:rsidR="00D529FF" w:rsidRPr="00D529FF" w:rsidRDefault="00D529FF" w:rsidP="00D529FF">
            <w:pPr>
              <w:spacing w:after="0" w:line="240" w:lineRule="exact"/>
              <w:rPr>
                <w:rFonts w:ascii="Calibri" w:eastAsia="Calibri" w:hAnsi="Calibri" w:cs="Arial"/>
                <w:b/>
                <w:bCs/>
                <w:spacing w:val="-2"/>
                <w:sz w:val="18"/>
                <w:szCs w:val="18"/>
                <w:lang w:val="en-US"/>
              </w:rPr>
            </w:pPr>
            <w:r w:rsidRPr="00D529FF">
              <w:rPr>
                <w:rFonts w:ascii="Calibri" w:eastAsia="Calibri" w:hAnsi="Calibri" w:cs="Arial"/>
                <w:b/>
                <w:bCs/>
                <w:sz w:val="18"/>
                <w:szCs w:val="18"/>
                <w:lang w:val="en-US"/>
              </w:rPr>
              <w:t>Currency gap</w:t>
            </w:r>
          </w:p>
        </w:tc>
        <w:tc>
          <w:tcPr>
            <w:tcW w:w="506" w:type="pct"/>
            <w:tcBorders>
              <w:top w:val="single" w:sz="12" w:space="0" w:color="auto"/>
              <w:left w:val="nil"/>
              <w:bottom w:val="single" w:sz="12" w:space="0" w:color="auto"/>
              <w:right w:val="nil"/>
            </w:tcBorders>
            <w:shd w:val="clear" w:color="000000" w:fill="auto"/>
            <w:vAlign w:val="bottom"/>
          </w:tcPr>
          <w:p w14:paraId="10E89D1A" w14:textId="77777777" w:rsidR="00D529FF" w:rsidRPr="00D529FF" w:rsidRDefault="00D529FF" w:rsidP="00D529FF">
            <w:pPr>
              <w:spacing w:after="0" w:line="240" w:lineRule="exact"/>
              <w:jc w:val="right"/>
              <w:rPr>
                <w:rFonts w:ascii="Calibri" w:eastAsia="Arial Unicode MS" w:hAnsi="Calibri" w:cs="Times New Roman"/>
                <w:b/>
                <w:color w:val="000000"/>
                <w:sz w:val="18"/>
                <w:szCs w:val="18"/>
                <w:lang w:val="en-US"/>
              </w:rPr>
            </w:pPr>
            <w:r w:rsidRPr="00D529FF">
              <w:rPr>
                <w:rFonts w:ascii="Calibri" w:eastAsia="Times New Roman" w:hAnsi="Calibri" w:cs="Times New Roman"/>
                <w:b/>
                <w:bCs/>
                <w:color w:val="000000"/>
                <w:sz w:val="18"/>
                <w:szCs w:val="18"/>
              </w:rPr>
              <w:t xml:space="preserve"> (22,560) </w:t>
            </w:r>
          </w:p>
        </w:tc>
        <w:tc>
          <w:tcPr>
            <w:tcW w:w="568" w:type="pct"/>
            <w:tcBorders>
              <w:top w:val="single" w:sz="12" w:space="0" w:color="auto"/>
              <w:left w:val="nil"/>
              <w:bottom w:val="single" w:sz="12" w:space="0" w:color="auto"/>
              <w:right w:val="nil"/>
            </w:tcBorders>
            <w:shd w:val="clear" w:color="000000" w:fill="auto"/>
            <w:vAlign w:val="bottom"/>
          </w:tcPr>
          <w:p w14:paraId="46DFA66B" w14:textId="77777777" w:rsidR="00D529FF" w:rsidRPr="00D529FF" w:rsidRDefault="00D529FF" w:rsidP="00D529FF">
            <w:pPr>
              <w:spacing w:after="0" w:line="240" w:lineRule="exact"/>
              <w:jc w:val="right"/>
              <w:rPr>
                <w:rFonts w:ascii="Calibri" w:eastAsia="Arial Unicode MS" w:hAnsi="Calibri" w:cs="Times New Roman"/>
                <w:b/>
                <w:color w:val="000000"/>
                <w:sz w:val="18"/>
                <w:szCs w:val="18"/>
                <w:lang w:val="en-US"/>
              </w:rPr>
            </w:pPr>
            <w:r w:rsidRPr="00D529FF">
              <w:rPr>
                <w:rFonts w:ascii="Calibri" w:eastAsia="Times New Roman" w:hAnsi="Calibri" w:cs="Times New Roman"/>
                <w:b/>
                <w:bCs/>
                <w:color w:val="000000"/>
                <w:sz w:val="18"/>
                <w:szCs w:val="18"/>
              </w:rPr>
              <w:t xml:space="preserve"> (911,782)</w:t>
            </w:r>
          </w:p>
        </w:tc>
        <w:tc>
          <w:tcPr>
            <w:tcW w:w="616" w:type="pct"/>
            <w:tcBorders>
              <w:top w:val="single" w:sz="12" w:space="0" w:color="auto"/>
              <w:left w:val="nil"/>
              <w:bottom w:val="single" w:sz="12" w:space="0" w:color="auto"/>
              <w:right w:val="nil"/>
            </w:tcBorders>
            <w:shd w:val="clear" w:color="000000" w:fill="auto"/>
            <w:vAlign w:val="bottom"/>
          </w:tcPr>
          <w:p w14:paraId="0D0024A6" w14:textId="77777777" w:rsidR="00D529FF" w:rsidRPr="00D529FF" w:rsidRDefault="00D529FF" w:rsidP="00D529FF">
            <w:pPr>
              <w:spacing w:after="0" w:line="240" w:lineRule="exact"/>
              <w:jc w:val="right"/>
              <w:rPr>
                <w:rFonts w:ascii="Calibri" w:eastAsia="Arial Unicode MS" w:hAnsi="Calibri" w:cs="Times New Roman"/>
                <w:b/>
                <w:color w:val="000000"/>
                <w:sz w:val="18"/>
                <w:szCs w:val="18"/>
                <w:lang w:val="en-US"/>
              </w:rPr>
            </w:pPr>
            <w:r w:rsidRPr="00D529FF">
              <w:rPr>
                <w:rFonts w:ascii="Calibri" w:eastAsia="Times New Roman" w:hAnsi="Calibri" w:cs="Times New Roman"/>
                <w:b/>
                <w:bCs/>
                <w:color w:val="000000"/>
                <w:sz w:val="18"/>
                <w:szCs w:val="18"/>
              </w:rPr>
              <w:t xml:space="preserve"> (15,098)</w:t>
            </w:r>
          </w:p>
        </w:tc>
        <w:tc>
          <w:tcPr>
            <w:tcW w:w="615" w:type="pct"/>
            <w:tcBorders>
              <w:top w:val="single" w:sz="12" w:space="0" w:color="auto"/>
              <w:left w:val="nil"/>
              <w:bottom w:val="single" w:sz="12" w:space="0" w:color="auto"/>
              <w:right w:val="nil"/>
            </w:tcBorders>
            <w:shd w:val="clear" w:color="000000" w:fill="auto"/>
            <w:vAlign w:val="bottom"/>
          </w:tcPr>
          <w:p w14:paraId="598ABC9C" w14:textId="77777777" w:rsidR="00D529FF" w:rsidRPr="00D529FF" w:rsidRDefault="00D529FF" w:rsidP="00D529FF">
            <w:pPr>
              <w:spacing w:after="0" w:line="240" w:lineRule="exact"/>
              <w:jc w:val="right"/>
              <w:rPr>
                <w:rFonts w:ascii="Calibri" w:eastAsia="Arial Unicode MS" w:hAnsi="Calibri" w:cs="Times New Roman"/>
                <w:b/>
                <w:color w:val="000000"/>
                <w:sz w:val="18"/>
                <w:szCs w:val="18"/>
                <w:lang w:val="en-US"/>
              </w:rPr>
            </w:pPr>
            <w:r w:rsidRPr="00D529FF">
              <w:rPr>
                <w:rFonts w:ascii="Calibri" w:eastAsia="Times New Roman" w:hAnsi="Calibri" w:cs="Times New Roman"/>
                <w:b/>
                <w:bCs/>
                <w:color w:val="000000"/>
                <w:sz w:val="18"/>
                <w:szCs w:val="18"/>
              </w:rPr>
              <w:t xml:space="preserve"> (949,440)</w:t>
            </w:r>
          </w:p>
        </w:tc>
        <w:tc>
          <w:tcPr>
            <w:tcW w:w="678" w:type="pct"/>
            <w:tcBorders>
              <w:top w:val="single" w:sz="12" w:space="0" w:color="auto"/>
              <w:left w:val="nil"/>
              <w:bottom w:val="single" w:sz="12" w:space="0" w:color="auto"/>
              <w:right w:val="nil"/>
            </w:tcBorders>
            <w:shd w:val="clear" w:color="000000" w:fill="auto"/>
            <w:vAlign w:val="bottom"/>
          </w:tcPr>
          <w:p w14:paraId="3A729160" w14:textId="77777777" w:rsidR="00D529FF" w:rsidRPr="00D529FF" w:rsidRDefault="00D529FF" w:rsidP="00D529FF">
            <w:pPr>
              <w:spacing w:after="0" w:line="240" w:lineRule="exact"/>
              <w:jc w:val="right"/>
              <w:rPr>
                <w:rFonts w:ascii="Calibri" w:eastAsia="Arial Unicode MS" w:hAnsi="Calibri" w:cs="Times New Roman"/>
                <w:b/>
                <w:color w:val="000000"/>
                <w:sz w:val="18"/>
                <w:szCs w:val="18"/>
                <w:lang w:val="en-US"/>
              </w:rPr>
            </w:pPr>
            <w:r w:rsidRPr="00D529FF">
              <w:rPr>
                <w:rFonts w:ascii="Calibri" w:eastAsia="Times New Roman" w:hAnsi="Calibri" w:cs="Times New Roman"/>
                <w:b/>
                <w:bCs/>
                <w:color w:val="000000"/>
                <w:sz w:val="18"/>
                <w:szCs w:val="18"/>
              </w:rPr>
              <w:t xml:space="preserve">11,517,169 </w:t>
            </w:r>
          </w:p>
        </w:tc>
        <w:tc>
          <w:tcPr>
            <w:tcW w:w="633" w:type="pct"/>
            <w:tcBorders>
              <w:top w:val="single" w:sz="12" w:space="0" w:color="auto"/>
              <w:left w:val="nil"/>
              <w:bottom w:val="single" w:sz="12" w:space="0" w:color="auto"/>
            </w:tcBorders>
            <w:shd w:val="clear" w:color="000000" w:fill="auto"/>
            <w:vAlign w:val="bottom"/>
          </w:tcPr>
          <w:p w14:paraId="583FEE82" w14:textId="77777777" w:rsidR="00D529FF" w:rsidRPr="00D529FF" w:rsidRDefault="00D529FF" w:rsidP="00D529FF">
            <w:pPr>
              <w:spacing w:after="0" w:line="240" w:lineRule="exact"/>
              <w:jc w:val="right"/>
              <w:rPr>
                <w:rFonts w:ascii="Calibri" w:eastAsia="Arial Unicode MS" w:hAnsi="Calibri" w:cs="Times New Roman"/>
                <w:b/>
                <w:color w:val="000000"/>
                <w:sz w:val="18"/>
                <w:szCs w:val="18"/>
                <w:lang w:val="en-US"/>
              </w:rPr>
            </w:pPr>
            <w:r w:rsidRPr="00D529FF">
              <w:rPr>
                <w:rFonts w:ascii="Calibri" w:eastAsia="Times New Roman" w:hAnsi="Calibri" w:cs="Times New Roman"/>
                <w:b/>
                <w:bCs/>
                <w:color w:val="000000"/>
                <w:sz w:val="18"/>
                <w:szCs w:val="18"/>
              </w:rPr>
              <w:t xml:space="preserve">10,567,729 </w:t>
            </w:r>
          </w:p>
        </w:tc>
      </w:tr>
      <w:bookmarkEnd w:id="1105"/>
    </w:tbl>
    <w:p w14:paraId="70DF8691" w14:textId="77777777" w:rsidR="00206732" w:rsidRPr="00537128" w:rsidRDefault="00206732" w:rsidP="00206732">
      <w:pPr>
        <w:spacing w:after="0" w:line="240" w:lineRule="auto"/>
        <w:jc w:val="both"/>
        <w:rPr>
          <w:rFonts w:eastAsia="Times New Roman" w:cstheme="minorHAnsi"/>
          <w:bCs/>
          <w:iCs/>
          <w:color w:val="000000" w:themeColor="text1"/>
          <w:lang w:val="en-US"/>
        </w:rPr>
      </w:pPr>
    </w:p>
    <w:p w14:paraId="4A3A6428" w14:textId="77777777" w:rsidR="00206732" w:rsidRPr="00537128" w:rsidRDefault="00206732" w:rsidP="00206732">
      <w:pPr>
        <w:spacing w:after="0" w:line="240" w:lineRule="auto"/>
        <w:jc w:val="both"/>
        <w:rPr>
          <w:rFonts w:eastAsia="Times New Roman" w:cstheme="minorHAnsi"/>
          <w:bCs/>
          <w:iCs/>
          <w:color w:val="000000" w:themeColor="text1"/>
          <w:lang w:val="en-US"/>
        </w:rPr>
      </w:pPr>
    </w:p>
    <w:p w14:paraId="51A7E572" w14:textId="77777777" w:rsidR="002A10A8" w:rsidRPr="002A10A8" w:rsidRDefault="002A10A8" w:rsidP="002A10A8">
      <w:pPr>
        <w:tabs>
          <w:tab w:val="right" w:pos="1202"/>
        </w:tabs>
        <w:spacing w:after="0" w:line="240" w:lineRule="auto"/>
        <w:jc w:val="both"/>
        <w:outlineLvl w:val="0"/>
        <w:rPr>
          <w:rFonts w:ascii="Calibri" w:eastAsia="Times New Roman" w:hAnsi="Calibri" w:cs="Times New Roman"/>
          <w:i/>
          <w:sz w:val="20"/>
          <w:szCs w:val="20"/>
          <w:lang w:val="en-US"/>
        </w:rPr>
      </w:pPr>
      <w:r w:rsidRPr="002A10A8">
        <w:rPr>
          <w:rFonts w:ascii="Calibri" w:eastAsia="Times New Roman" w:hAnsi="Calibri" w:cs="Times New Roman"/>
          <w:i/>
          <w:sz w:val="20"/>
          <w:szCs w:val="20"/>
          <w:lang w:val="en-US"/>
        </w:rPr>
        <w:t>* Amounts linked to a one-way currency clause represent HRK 28,554 thousand.</w:t>
      </w:r>
    </w:p>
    <w:p w14:paraId="311A1B3C" w14:textId="77777777" w:rsidR="002A10A8" w:rsidRPr="002A10A8" w:rsidRDefault="002A10A8" w:rsidP="002A10A8">
      <w:pPr>
        <w:spacing w:before="120" w:after="120" w:line="360" w:lineRule="auto"/>
        <w:jc w:val="both"/>
        <w:rPr>
          <w:rFonts w:ascii="Calibri" w:eastAsia="Times New Roman" w:hAnsi="Calibri" w:cs="Arial"/>
          <w:b/>
          <w:bCs/>
          <w:sz w:val="19"/>
          <w:szCs w:val="20"/>
          <w:highlight w:val="yellow"/>
          <w:lang w:val="en-GB"/>
        </w:rPr>
        <w:sectPr w:rsidR="002A10A8" w:rsidRPr="002A10A8" w:rsidSect="00C06CDD">
          <w:pgSz w:w="11907" w:h="16840" w:code="9"/>
          <w:pgMar w:top="1418" w:right="1134" w:bottom="1134" w:left="1418" w:header="851" w:footer="851" w:gutter="0"/>
          <w:cols w:space="720"/>
          <w:noEndnote/>
        </w:sectPr>
      </w:pPr>
    </w:p>
    <w:p w14:paraId="1337D234"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5F87CC7C" w14:textId="77777777" w:rsidR="00206732" w:rsidRPr="00537128" w:rsidRDefault="00206732">
      <w:pPr>
        <w:pStyle w:val="ListParagraph"/>
        <w:numPr>
          <w:ilvl w:val="0"/>
          <w:numId w:val="63"/>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77BCA8B4"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1BA104AB" w14:textId="61EB8015" w:rsidR="00206732" w:rsidRPr="00537128" w:rsidRDefault="00B357CE" w:rsidP="00206732">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06732" w:rsidRPr="00537128">
        <w:rPr>
          <w:rFonts w:eastAsia="Times New Roman" w:cstheme="minorHAnsi"/>
          <w:b/>
          <w:iCs/>
          <w:color w:val="000000" w:themeColor="text1"/>
          <w:lang w:val="en-US"/>
        </w:rPr>
        <w:t xml:space="preserve">.5. </w:t>
      </w:r>
      <w:r w:rsidR="00206732" w:rsidRPr="00537128">
        <w:rPr>
          <w:rFonts w:eastAsia="Times New Roman" w:cstheme="minorHAnsi"/>
          <w:b/>
          <w:iCs/>
          <w:color w:val="000000" w:themeColor="text1"/>
          <w:lang w:val="en-US"/>
        </w:rPr>
        <w:tab/>
        <w:t>Market risk (continued)</w:t>
      </w:r>
    </w:p>
    <w:p w14:paraId="0B3CD097"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371AFABC" w14:textId="229D7F18" w:rsidR="00206732" w:rsidRPr="00537128" w:rsidRDefault="00B357CE" w:rsidP="00206732">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06732" w:rsidRPr="00537128">
        <w:rPr>
          <w:rFonts w:eastAsia="Times New Roman" w:cstheme="minorHAnsi"/>
          <w:b/>
          <w:iCs/>
          <w:color w:val="000000" w:themeColor="text1"/>
          <w:lang w:val="en-US"/>
        </w:rPr>
        <w:t>.5.2.   Currency risk (continued)</w:t>
      </w:r>
    </w:p>
    <w:p w14:paraId="2111DBE2"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452D41EC" w14:textId="77777777" w:rsidR="00206732" w:rsidRPr="00537128" w:rsidRDefault="00206732" w:rsidP="00206732">
      <w:pPr>
        <w:spacing w:after="0" w:line="240" w:lineRule="auto"/>
        <w:jc w:val="both"/>
        <w:rPr>
          <w:rFonts w:ascii="Calibri" w:eastAsia="Calibri" w:hAnsi="Calibri" w:cs="Arial"/>
          <w:b/>
          <w:bCs/>
          <w:lang w:val="en-US"/>
        </w:rPr>
      </w:pPr>
      <w:r w:rsidRPr="00537128">
        <w:rPr>
          <w:rFonts w:ascii="Calibri" w:eastAsia="Calibri" w:hAnsi="Calibri" w:cs="Arial"/>
          <w:b/>
          <w:bCs/>
          <w:lang w:val="en-US"/>
        </w:rPr>
        <w:t>Sensitivity analysis</w:t>
      </w:r>
    </w:p>
    <w:p w14:paraId="7446C5E2" w14:textId="77777777" w:rsidR="00206732" w:rsidRPr="00537128" w:rsidRDefault="00206732" w:rsidP="00206732">
      <w:pPr>
        <w:spacing w:after="0" w:line="240" w:lineRule="auto"/>
        <w:jc w:val="both"/>
        <w:rPr>
          <w:rFonts w:ascii="Calibri" w:eastAsia="Calibri" w:hAnsi="Calibri" w:cs="Arial"/>
          <w:bCs/>
          <w:lang w:val="en-US"/>
        </w:rPr>
      </w:pPr>
    </w:p>
    <w:p w14:paraId="5A22766C" w14:textId="77777777" w:rsidR="00206732" w:rsidRPr="00537128" w:rsidRDefault="00206732" w:rsidP="00206732">
      <w:pPr>
        <w:spacing w:after="0" w:line="240" w:lineRule="auto"/>
        <w:jc w:val="both"/>
        <w:rPr>
          <w:rFonts w:ascii="Calibri" w:eastAsia="Calibri" w:hAnsi="Calibri" w:cs="Arial"/>
          <w:bCs/>
          <w:lang w:val="en-US"/>
        </w:rPr>
      </w:pPr>
      <w:r w:rsidRPr="00537128">
        <w:rPr>
          <w:rFonts w:ascii="Calibri" w:eastAsia="Calibri" w:hAnsi="Calibri" w:cs="Arial"/>
          <w:bCs/>
          <w:lang w:val="en-US"/>
        </w:rPr>
        <w:t>Sensitivity analysis of the Bank’s total assets and total liabilities to fluctuations in foreign exchange rates is carried out for those foreign currencies that represent Bank’s significant currencies as at the reporting date.</w:t>
      </w:r>
    </w:p>
    <w:p w14:paraId="7725E8DE" w14:textId="77777777" w:rsidR="00206732" w:rsidRPr="00537128" w:rsidRDefault="00206732" w:rsidP="00206732">
      <w:pPr>
        <w:spacing w:after="0" w:line="240" w:lineRule="auto"/>
        <w:jc w:val="both"/>
        <w:rPr>
          <w:rFonts w:ascii="Calibri" w:eastAsia="Calibri" w:hAnsi="Calibri" w:cs="Arial"/>
          <w:bCs/>
          <w:lang w:val="en-US"/>
        </w:rPr>
      </w:pPr>
    </w:p>
    <w:p w14:paraId="04639279" w14:textId="1218D11F" w:rsidR="00206732" w:rsidRPr="00537128" w:rsidRDefault="00206732" w:rsidP="00206732">
      <w:pPr>
        <w:spacing w:after="0" w:line="240" w:lineRule="auto"/>
        <w:jc w:val="both"/>
        <w:rPr>
          <w:rFonts w:ascii="Calibri" w:eastAsia="Calibri" w:hAnsi="Calibri" w:cs="Arial"/>
          <w:bCs/>
          <w:lang w:val="en-US"/>
        </w:rPr>
      </w:pPr>
      <w:r w:rsidRPr="00537128">
        <w:rPr>
          <w:rFonts w:ascii="Calibri" w:eastAsia="Calibri" w:hAnsi="Calibri" w:cs="Arial"/>
          <w:bCs/>
          <w:lang w:val="en-US"/>
        </w:rPr>
        <w:t xml:space="preserve">An assumption of reasonably possible fluctuations in EUR exchange rates against HRK was used in the foreign currency risk sensitivity analysis, with the other variables remaining stable, </w:t>
      </w:r>
      <w:proofErr w:type="gramStart"/>
      <w:r w:rsidRPr="00537128">
        <w:rPr>
          <w:rFonts w:ascii="Calibri" w:eastAsia="Calibri" w:hAnsi="Calibri" w:cs="Arial"/>
          <w:bCs/>
          <w:lang w:val="en-US"/>
        </w:rPr>
        <w:t>in order to</w:t>
      </w:r>
      <w:proofErr w:type="gramEnd"/>
      <w:r w:rsidRPr="00537128">
        <w:rPr>
          <w:rFonts w:ascii="Calibri" w:eastAsia="Calibri" w:hAnsi="Calibri" w:cs="Arial"/>
          <w:bCs/>
          <w:lang w:val="en-US"/>
        </w:rPr>
        <w:t xml:space="preserve"> assess the hypothetical effect on HBOR’s profit as of </w:t>
      </w:r>
      <w:r w:rsidR="00E20F52" w:rsidRPr="00537128">
        <w:rPr>
          <w:rFonts w:ascii="Calibri" w:eastAsia="Calibri" w:hAnsi="Calibri" w:cs="Arial"/>
          <w:bCs/>
          <w:lang w:val="en-US"/>
        </w:rPr>
        <w:t>3</w:t>
      </w:r>
      <w:r w:rsidR="00264FE3" w:rsidRPr="00537128">
        <w:rPr>
          <w:rFonts w:ascii="Calibri" w:eastAsia="Calibri" w:hAnsi="Calibri" w:cs="Arial"/>
          <w:bCs/>
          <w:lang w:val="en-US"/>
        </w:rPr>
        <w:t>1</w:t>
      </w:r>
      <w:r w:rsidR="00E20F52" w:rsidRPr="00537128">
        <w:rPr>
          <w:rFonts w:ascii="Calibri" w:eastAsia="Calibri" w:hAnsi="Calibri" w:cs="Arial"/>
          <w:bCs/>
          <w:lang w:val="en-US"/>
        </w:rPr>
        <w:t xml:space="preserve"> </w:t>
      </w:r>
      <w:r w:rsidR="00264FE3" w:rsidRPr="00537128">
        <w:rPr>
          <w:rFonts w:ascii="Calibri" w:eastAsia="Calibri" w:hAnsi="Calibri" w:cs="Arial"/>
          <w:bCs/>
          <w:lang w:val="en-US"/>
        </w:rPr>
        <w:t>March 202</w:t>
      </w:r>
      <w:r w:rsidR="005764BE">
        <w:rPr>
          <w:rFonts w:ascii="Calibri" w:eastAsia="Calibri" w:hAnsi="Calibri" w:cs="Arial"/>
          <w:bCs/>
          <w:lang w:val="en-US"/>
        </w:rPr>
        <w:t>2</w:t>
      </w:r>
      <w:r w:rsidRPr="00537128">
        <w:rPr>
          <w:rFonts w:ascii="Calibri" w:eastAsia="Calibri" w:hAnsi="Calibri" w:cs="Arial"/>
          <w:bCs/>
          <w:lang w:val="en-US"/>
        </w:rPr>
        <w:t>.</w:t>
      </w:r>
    </w:p>
    <w:p w14:paraId="7AF6EF50" w14:textId="4FB5A83E" w:rsidR="00206732" w:rsidRDefault="00206732" w:rsidP="008C0661">
      <w:pPr>
        <w:spacing w:after="0" w:line="240" w:lineRule="auto"/>
        <w:jc w:val="both"/>
        <w:rPr>
          <w:rFonts w:ascii="Calibri" w:eastAsia="Calibri" w:hAnsi="Calibri" w:cs="Arial"/>
          <w:bCs/>
          <w:lang w:val="en-US"/>
        </w:rPr>
      </w:pPr>
    </w:p>
    <w:p w14:paraId="0704271F" w14:textId="446ACA13" w:rsidR="00B8393E" w:rsidRPr="00537128" w:rsidRDefault="00B8393E" w:rsidP="008C0661">
      <w:pPr>
        <w:spacing w:after="0" w:line="240" w:lineRule="auto"/>
        <w:jc w:val="both"/>
        <w:rPr>
          <w:rFonts w:ascii="Calibri" w:eastAsia="Calibri" w:hAnsi="Calibri" w:cs="Arial"/>
          <w:bCs/>
          <w:lang w:val="en-US"/>
        </w:rPr>
      </w:pPr>
      <w:r w:rsidRPr="00B8393E">
        <w:rPr>
          <w:rFonts w:ascii="Calibri" w:eastAsia="Calibri" w:hAnsi="Calibri" w:cs="Arial"/>
          <w:bCs/>
          <w:lang w:val="en-US"/>
        </w:rPr>
        <w:t xml:space="preserve">Volatility of the exchange rate EUR/HRK, determined using the standard deviation method on the changes of the foreign exchange rate EUR/HRK, </w:t>
      </w:r>
      <w:proofErr w:type="spellStart"/>
      <w:r w:rsidRPr="00666656">
        <w:rPr>
          <w:rFonts w:ascii="Calibri" w:eastAsia="Calibri" w:hAnsi="Calibri" w:cs="Arial"/>
          <w:bCs/>
          <w:lang w:val="en-US"/>
        </w:rPr>
        <w:t>equalled</w:t>
      </w:r>
      <w:proofErr w:type="spellEnd"/>
      <w:r w:rsidRPr="00666656">
        <w:rPr>
          <w:rFonts w:ascii="Calibri" w:eastAsia="Calibri" w:hAnsi="Calibri" w:cs="Arial"/>
          <w:bCs/>
          <w:lang w:val="en-US"/>
        </w:rPr>
        <w:t xml:space="preserve"> 1.</w:t>
      </w:r>
      <w:r w:rsidR="00666656" w:rsidRPr="00666656">
        <w:rPr>
          <w:rFonts w:ascii="Calibri" w:eastAsia="Calibri" w:hAnsi="Calibri" w:cs="Arial"/>
          <w:bCs/>
          <w:lang w:val="en-US"/>
        </w:rPr>
        <w:t>31</w:t>
      </w:r>
      <w:r w:rsidRPr="00666656">
        <w:rPr>
          <w:rFonts w:ascii="Calibri" w:eastAsia="Calibri" w:hAnsi="Calibri" w:cs="Arial"/>
          <w:bCs/>
          <w:lang w:val="en-US"/>
        </w:rPr>
        <w:t>%</w:t>
      </w:r>
      <w:r w:rsidRPr="00B8393E">
        <w:rPr>
          <w:rFonts w:ascii="Calibri" w:eastAsia="Calibri" w:hAnsi="Calibri" w:cs="Arial"/>
          <w:bCs/>
          <w:lang w:val="en-US"/>
        </w:rPr>
        <w:t xml:space="preserve"> in the previous 12 months (20</w:t>
      </w:r>
      <w:r>
        <w:rPr>
          <w:rFonts w:ascii="Calibri" w:eastAsia="Calibri" w:hAnsi="Calibri" w:cs="Arial"/>
          <w:bCs/>
          <w:lang w:val="en-US"/>
        </w:rPr>
        <w:t>2</w:t>
      </w:r>
      <w:r w:rsidR="002B5DEB">
        <w:rPr>
          <w:rFonts w:ascii="Calibri" w:eastAsia="Calibri" w:hAnsi="Calibri" w:cs="Arial"/>
          <w:bCs/>
          <w:lang w:val="en-US"/>
        </w:rPr>
        <w:t>1</w:t>
      </w:r>
      <w:r w:rsidRPr="00B8393E">
        <w:rPr>
          <w:rFonts w:ascii="Calibri" w:eastAsia="Calibri" w:hAnsi="Calibri" w:cs="Arial"/>
          <w:bCs/>
          <w:lang w:val="en-US"/>
        </w:rPr>
        <w:t>:1.</w:t>
      </w:r>
      <w:r w:rsidR="002B5DEB">
        <w:rPr>
          <w:rFonts w:ascii="Calibri" w:eastAsia="Calibri" w:hAnsi="Calibri" w:cs="Arial"/>
          <w:bCs/>
          <w:lang w:val="en-US"/>
        </w:rPr>
        <w:t>49</w:t>
      </w:r>
      <w:r w:rsidRPr="00B8393E">
        <w:rPr>
          <w:rFonts w:ascii="Calibri" w:eastAsia="Calibri" w:hAnsi="Calibri" w:cs="Arial"/>
          <w:bCs/>
          <w:lang w:val="en-US"/>
        </w:rPr>
        <w:t>%).</w:t>
      </w:r>
    </w:p>
    <w:p w14:paraId="55BF9EFF" w14:textId="77777777" w:rsidR="00206732" w:rsidRPr="00537128" w:rsidRDefault="00206732" w:rsidP="00206732">
      <w:pPr>
        <w:spacing w:after="0" w:line="240" w:lineRule="auto"/>
        <w:jc w:val="both"/>
        <w:rPr>
          <w:rFonts w:ascii="Calibri" w:eastAsia="Calibri" w:hAnsi="Calibri" w:cs="Arial"/>
          <w:bCs/>
          <w:lang w:val="en-US"/>
        </w:rPr>
      </w:pPr>
    </w:p>
    <w:p w14:paraId="33437B92" w14:textId="77777777" w:rsidR="00206732" w:rsidRPr="00537128" w:rsidRDefault="00206732" w:rsidP="00206732">
      <w:pPr>
        <w:spacing w:after="0" w:line="240" w:lineRule="auto"/>
        <w:jc w:val="both"/>
        <w:rPr>
          <w:rFonts w:ascii="Calibri" w:eastAsia="Calibri" w:hAnsi="Calibri" w:cs="Arial"/>
          <w:bCs/>
          <w:lang w:val="en-US"/>
        </w:rPr>
      </w:pPr>
      <w:r w:rsidRPr="00537128">
        <w:rPr>
          <w:rFonts w:ascii="Calibri" w:eastAsia="Calibri" w:hAnsi="Calibri" w:cs="Arial"/>
          <w:bCs/>
          <w:lang w:val="en-US"/>
        </w:rPr>
        <w:t>The effect of the assumed changes in the foreign exchange rate EUR/HRK by total asset and total liabilities items denominated or indexed to EUR on HBOR’s profits is stated below.</w:t>
      </w:r>
    </w:p>
    <w:p w14:paraId="3EE86F33" w14:textId="77777777" w:rsidR="00206732" w:rsidRPr="00537128" w:rsidRDefault="00206732" w:rsidP="00206732">
      <w:pPr>
        <w:spacing w:after="0" w:line="240" w:lineRule="auto"/>
        <w:jc w:val="both"/>
        <w:rPr>
          <w:rFonts w:ascii="Calibri" w:eastAsia="Calibri" w:hAnsi="Calibri" w:cs="Arial"/>
          <w:bCs/>
          <w:lang w:val="en-US"/>
        </w:rPr>
      </w:pPr>
    </w:p>
    <w:tbl>
      <w:tblPr>
        <w:tblW w:w="5000" w:type="pct"/>
        <w:jc w:val="center"/>
        <w:tblLook w:val="01E0" w:firstRow="1" w:lastRow="1" w:firstColumn="1" w:lastColumn="1" w:noHBand="0" w:noVBand="0"/>
      </w:tblPr>
      <w:tblGrid>
        <w:gridCol w:w="2316"/>
        <w:gridCol w:w="1663"/>
        <w:gridCol w:w="1792"/>
        <w:gridCol w:w="1796"/>
        <w:gridCol w:w="1787"/>
      </w:tblGrid>
      <w:tr w:rsidR="00206732" w:rsidRPr="00537128" w14:paraId="4CE93A8A" w14:textId="77777777" w:rsidTr="00206732">
        <w:trPr>
          <w:trHeight w:hRule="exact" w:val="774"/>
          <w:jc w:val="center"/>
        </w:trPr>
        <w:tc>
          <w:tcPr>
            <w:tcW w:w="1238" w:type="pct"/>
            <w:vAlign w:val="bottom"/>
          </w:tcPr>
          <w:p w14:paraId="75FEC53A" w14:textId="77777777" w:rsidR="00206732" w:rsidRPr="00537128" w:rsidRDefault="00206732" w:rsidP="00206732">
            <w:pPr>
              <w:spacing w:after="0" w:line="240" w:lineRule="auto"/>
              <w:jc w:val="right"/>
              <w:rPr>
                <w:rFonts w:ascii="Calibri" w:eastAsia="Calibri" w:hAnsi="Calibri" w:cs="Arial"/>
                <w:b/>
                <w:sz w:val="20"/>
                <w:szCs w:val="20"/>
                <w:lang w:val="en-US"/>
              </w:rPr>
            </w:pPr>
          </w:p>
        </w:tc>
        <w:tc>
          <w:tcPr>
            <w:tcW w:w="889" w:type="pct"/>
            <w:vAlign w:val="bottom"/>
            <w:hideMark/>
          </w:tcPr>
          <w:p w14:paraId="49E129C5" w14:textId="77777777" w:rsidR="00206732" w:rsidRPr="00537128" w:rsidRDefault="00206732" w:rsidP="00206732">
            <w:pPr>
              <w:spacing w:after="0" w:line="240" w:lineRule="auto"/>
              <w:jc w:val="right"/>
              <w:rPr>
                <w:rFonts w:ascii="Calibri" w:eastAsia="Calibri" w:hAnsi="Calibri" w:cs="Arial"/>
                <w:b/>
                <w:bCs/>
                <w:sz w:val="20"/>
                <w:lang w:val="en-US"/>
              </w:rPr>
            </w:pPr>
            <w:r w:rsidRPr="00537128">
              <w:rPr>
                <w:rFonts w:ascii="Calibri" w:eastAsia="Calibri" w:hAnsi="Calibri" w:cs="Arial"/>
                <w:b/>
                <w:bCs/>
                <w:sz w:val="20"/>
                <w:lang w:val="en-US"/>
              </w:rPr>
              <w:t xml:space="preserve">Change in currency rate </w:t>
            </w:r>
          </w:p>
          <w:p w14:paraId="5E0C5364" w14:textId="17D5DB40" w:rsidR="00206732" w:rsidRPr="00537128" w:rsidRDefault="00264FE3" w:rsidP="00206732">
            <w:pPr>
              <w:spacing w:after="0" w:line="240" w:lineRule="auto"/>
              <w:jc w:val="right"/>
              <w:rPr>
                <w:rFonts w:ascii="Calibri" w:eastAsia="Calibri" w:hAnsi="Calibri" w:cs="Arial"/>
                <w:b/>
                <w:sz w:val="20"/>
                <w:lang w:val="en-US"/>
              </w:rPr>
            </w:pPr>
            <w:r w:rsidRPr="00537128">
              <w:rPr>
                <w:rFonts w:ascii="Calibri" w:eastAsia="Calibri" w:hAnsi="Calibri" w:cs="Arial"/>
                <w:b/>
                <w:bCs/>
                <w:sz w:val="20"/>
                <w:lang w:val="en-US"/>
              </w:rPr>
              <w:t>Mar</w:t>
            </w:r>
            <w:r w:rsidR="00E20F52" w:rsidRPr="00537128">
              <w:rPr>
                <w:rFonts w:ascii="Calibri" w:eastAsia="Calibri" w:hAnsi="Calibri" w:cs="Arial"/>
                <w:b/>
                <w:bCs/>
                <w:sz w:val="20"/>
                <w:lang w:val="en-US"/>
              </w:rPr>
              <w:t xml:space="preserve"> 3</w:t>
            </w:r>
            <w:r w:rsidRPr="00537128">
              <w:rPr>
                <w:rFonts w:ascii="Calibri" w:eastAsia="Calibri" w:hAnsi="Calibri" w:cs="Arial"/>
                <w:b/>
                <w:bCs/>
                <w:sz w:val="20"/>
                <w:lang w:val="en-US"/>
              </w:rPr>
              <w:t>1</w:t>
            </w:r>
            <w:r w:rsidR="00206732" w:rsidRPr="00537128">
              <w:rPr>
                <w:rFonts w:ascii="Calibri" w:eastAsia="Calibri" w:hAnsi="Calibri" w:cs="Arial"/>
                <w:b/>
                <w:bCs/>
                <w:sz w:val="20"/>
                <w:lang w:val="en-US"/>
              </w:rPr>
              <w:t>, 202</w:t>
            </w:r>
            <w:r w:rsidR="00AF6FBA">
              <w:rPr>
                <w:rFonts w:ascii="Calibri" w:eastAsia="Calibri" w:hAnsi="Calibri" w:cs="Arial"/>
                <w:b/>
                <w:bCs/>
                <w:sz w:val="20"/>
                <w:lang w:val="en-US"/>
              </w:rPr>
              <w:t>2</w:t>
            </w:r>
          </w:p>
        </w:tc>
        <w:tc>
          <w:tcPr>
            <w:tcW w:w="958" w:type="pct"/>
            <w:vAlign w:val="bottom"/>
            <w:hideMark/>
          </w:tcPr>
          <w:p w14:paraId="19E80197" w14:textId="77777777" w:rsidR="00206732" w:rsidRPr="00537128" w:rsidRDefault="00206732" w:rsidP="00206732">
            <w:pPr>
              <w:spacing w:after="0" w:line="240" w:lineRule="auto"/>
              <w:jc w:val="right"/>
              <w:rPr>
                <w:rFonts w:ascii="Calibri" w:eastAsia="Calibri" w:hAnsi="Calibri" w:cs="Arial"/>
                <w:b/>
                <w:bCs/>
                <w:sz w:val="20"/>
                <w:lang w:val="en-US"/>
              </w:rPr>
            </w:pPr>
            <w:r w:rsidRPr="00537128">
              <w:rPr>
                <w:rFonts w:ascii="Calibri" w:eastAsia="Calibri" w:hAnsi="Calibri" w:cs="Arial"/>
                <w:b/>
                <w:bCs/>
                <w:sz w:val="20"/>
                <w:lang w:val="en-US"/>
              </w:rPr>
              <w:t>Effect on</w:t>
            </w:r>
          </w:p>
          <w:p w14:paraId="7491C4A9" w14:textId="77777777" w:rsidR="00206732" w:rsidRPr="00537128" w:rsidRDefault="00206732" w:rsidP="00206732">
            <w:pPr>
              <w:spacing w:after="0" w:line="240" w:lineRule="auto"/>
              <w:jc w:val="right"/>
              <w:rPr>
                <w:rFonts w:ascii="Calibri" w:eastAsia="Calibri" w:hAnsi="Calibri" w:cs="Arial"/>
                <w:b/>
                <w:bCs/>
                <w:sz w:val="20"/>
                <w:lang w:val="en-US"/>
              </w:rPr>
            </w:pPr>
            <w:r w:rsidRPr="00537128">
              <w:rPr>
                <w:rFonts w:ascii="Calibri" w:eastAsia="Calibri" w:hAnsi="Calibri" w:cs="Arial"/>
                <w:b/>
                <w:bCs/>
                <w:sz w:val="20"/>
                <w:lang w:val="en-US"/>
              </w:rPr>
              <w:t xml:space="preserve">profit </w:t>
            </w:r>
          </w:p>
          <w:p w14:paraId="17327A30" w14:textId="3FD87D1E" w:rsidR="00206732" w:rsidRPr="00537128" w:rsidRDefault="00264FE3" w:rsidP="00206732">
            <w:pPr>
              <w:spacing w:after="0" w:line="240" w:lineRule="auto"/>
              <w:jc w:val="right"/>
              <w:rPr>
                <w:rFonts w:ascii="Calibri" w:eastAsia="Calibri" w:hAnsi="Calibri" w:cs="Arial"/>
                <w:b/>
                <w:sz w:val="20"/>
                <w:lang w:val="en-US"/>
              </w:rPr>
            </w:pPr>
            <w:r w:rsidRPr="00537128">
              <w:rPr>
                <w:rFonts w:ascii="Calibri" w:eastAsia="Calibri" w:hAnsi="Calibri" w:cs="Arial"/>
                <w:b/>
                <w:bCs/>
                <w:sz w:val="20"/>
                <w:lang w:val="en-US"/>
              </w:rPr>
              <w:t>Mar</w:t>
            </w:r>
            <w:r w:rsidR="00E20F52" w:rsidRPr="00537128">
              <w:rPr>
                <w:rFonts w:ascii="Calibri" w:eastAsia="Calibri" w:hAnsi="Calibri" w:cs="Arial"/>
                <w:b/>
                <w:bCs/>
                <w:sz w:val="20"/>
                <w:lang w:val="en-US"/>
              </w:rPr>
              <w:t xml:space="preserve"> 3</w:t>
            </w:r>
            <w:r w:rsidRPr="00537128">
              <w:rPr>
                <w:rFonts w:ascii="Calibri" w:eastAsia="Calibri" w:hAnsi="Calibri" w:cs="Arial"/>
                <w:b/>
                <w:bCs/>
                <w:sz w:val="20"/>
                <w:lang w:val="en-US"/>
              </w:rPr>
              <w:t>1</w:t>
            </w:r>
            <w:r w:rsidR="00206732" w:rsidRPr="00537128">
              <w:rPr>
                <w:rFonts w:ascii="Calibri" w:eastAsia="Calibri" w:hAnsi="Calibri" w:cs="Arial"/>
                <w:b/>
                <w:bCs/>
                <w:sz w:val="20"/>
                <w:lang w:val="en-US"/>
              </w:rPr>
              <w:t>, 202</w:t>
            </w:r>
            <w:r w:rsidR="00AF6FBA">
              <w:rPr>
                <w:rFonts w:ascii="Calibri" w:eastAsia="Calibri" w:hAnsi="Calibri" w:cs="Arial"/>
                <w:b/>
                <w:bCs/>
                <w:sz w:val="20"/>
                <w:lang w:val="en-US"/>
              </w:rPr>
              <w:t>2</w:t>
            </w:r>
          </w:p>
        </w:tc>
        <w:tc>
          <w:tcPr>
            <w:tcW w:w="960" w:type="pct"/>
            <w:vAlign w:val="bottom"/>
            <w:hideMark/>
          </w:tcPr>
          <w:p w14:paraId="06864168" w14:textId="77777777" w:rsidR="00206732" w:rsidRPr="00537128" w:rsidRDefault="00206732" w:rsidP="00206732">
            <w:pPr>
              <w:spacing w:after="0" w:line="240" w:lineRule="auto"/>
              <w:jc w:val="right"/>
              <w:rPr>
                <w:rFonts w:ascii="Calibri" w:eastAsia="Calibri" w:hAnsi="Calibri" w:cs="Arial"/>
                <w:b/>
                <w:bCs/>
                <w:sz w:val="20"/>
                <w:lang w:val="en-US"/>
              </w:rPr>
            </w:pPr>
            <w:r w:rsidRPr="00537128">
              <w:rPr>
                <w:rFonts w:ascii="Calibri" w:eastAsia="Calibri" w:hAnsi="Calibri" w:cs="Arial"/>
                <w:b/>
                <w:bCs/>
                <w:sz w:val="20"/>
                <w:lang w:val="en-US"/>
              </w:rPr>
              <w:t xml:space="preserve">Change in currency rate </w:t>
            </w:r>
          </w:p>
          <w:p w14:paraId="6787EE92" w14:textId="39BE2FDF" w:rsidR="00206732" w:rsidRPr="00537128" w:rsidRDefault="00206732" w:rsidP="00206732">
            <w:pPr>
              <w:spacing w:after="0" w:line="240" w:lineRule="auto"/>
              <w:jc w:val="right"/>
              <w:rPr>
                <w:rFonts w:ascii="Calibri" w:eastAsia="Calibri" w:hAnsi="Calibri" w:cs="Arial"/>
                <w:b/>
                <w:sz w:val="20"/>
                <w:lang w:val="en-US"/>
              </w:rPr>
            </w:pPr>
            <w:r w:rsidRPr="00537128">
              <w:rPr>
                <w:rFonts w:ascii="Calibri" w:eastAsia="Calibri" w:hAnsi="Calibri" w:cs="Arial"/>
                <w:b/>
                <w:bCs/>
                <w:sz w:val="20"/>
                <w:lang w:val="en-US"/>
              </w:rPr>
              <w:t>Dec 31, 20</w:t>
            </w:r>
            <w:r w:rsidR="00264FE3" w:rsidRPr="00537128">
              <w:rPr>
                <w:rFonts w:ascii="Calibri" w:eastAsia="Calibri" w:hAnsi="Calibri" w:cs="Arial"/>
                <w:b/>
                <w:bCs/>
                <w:sz w:val="20"/>
                <w:lang w:val="en-US"/>
              </w:rPr>
              <w:t>2</w:t>
            </w:r>
            <w:r w:rsidR="00AF6FBA">
              <w:rPr>
                <w:rFonts w:ascii="Calibri" w:eastAsia="Calibri" w:hAnsi="Calibri" w:cs="Arial"/>
                <w:b/>
                <w:bCs/>
                <w:sz w:val="20"/>
                <w:lang w:val="en-US"/>
              </w:rPr>
              <w:t>1</w:t>
            </w:r>
          </w:p>
        </w:tc>
        <w:tc>
          <w:tcPr>
            <w:tcW w:w="955" w:type="pct"/>
            <w:vAlign w:val="bottom"/>
          </w:tcPr>
          <w:p w14:paraId="64D8554B" w14:textId="77777777" w:rsidR="00206732" w:rsidRPr="00537128" w:rsidRDefault="00206732" w:rsidP="00206732">
            <w:pPr>
              <w:spacing w:after="0" w:line="240" w:lineRule="auto"/>
              <w:jc w:val="right"/>
              <w:rPr>
                <w:rFonts w:ascii="Calibri" w:eastAsia="Calibri" w:hAnsi="Calibri" w:cs="Arial"/>
                <w:b/>
                <w:bCs/>
                <w:sz w:val="20"/>
                <w:lang w:val="en-US"/>
              </w:rPr>
            </w:pPr>
            <w:r w:rsidRPr="00537128">
              <w:rPr>
                <w:rFonts w:ascii="Calibri" w:eastAsia="Calibri" w:hAnsi="Calibri" w:cs="Arial"/>
                <w:b/>
                <w:bCs/>
                <w:sz w:val="20"/>
                <w:lang w:val="en-US"/>
              </w:rPr>
              <w:t>Effect on</w:t>
            </w:r>
          </w:p>
          <w:p w14:paraId="5A4CFA8E" w14:textId="77777777" w:rsidR="00206732" w:rsidRPr="00537128" w:rsidRDefault="00206732" w:rsidP="00206732">
            <w:pPr>
              <w:spacing w:after="0" w:line="240" w:lineRule="auto"/>
              <w:jc w:val="right"/>
              <w:rPr>
                <w:rFonts w:ascii="Calibri" w:eastAsia="Calibri" w:hAnsi="Calibri" w:cs="Arial"/>
                <w:b/>
                <w:bCs/>
                <w:sz w:val="20"/>
                <w:lang w:val="en-US"/>
              </w:rPr>
            </w:pPr>
            <w:r w:rsidRPr="00537128">
              <w:rPr>
                <w:rFonts w:ascii="Calibri" w:eastAsia="Calibri" w:hAnsi="Calibri" w:cs="Arial"/>
                <w:b/>
                <w:bCs/>
                <w:sz w:val="20"/>
                <w:lang w:val="en-US"/>
              </w:rPr>
              <w:t xml:space="preserve">profit </w:t>
            </w:r>
          </w:p>
          <w:p w14:paraId="56351165" w14:textId="2ADA83B2" w:rsidR="00206732" w:rsidRPr="00537128" w:rsidRDefault="00206732" w:rsidP="00206732">
            <w:pPr>
              <w:spacing w:after="0" w:line="240" w:lineRule="auto"/>
              <w:jc w:val="right"/>
              <w:rPr>
                <w:rFonts w:ascii="Calibri" w:eastAsia="Calibri" w:hAnsi="Calibri" w:cs="Arial"/>
                <w:b/>
                <w:sz w:val="20"/>
                <w:lang w:val="en-US"/>
              </w:rPr>
            </w:pPr>
            <w:r w:rsidRPr="00537128">
              <w:rPr>
                <w:rFonts w:ascii="Calibri" w:eastAsia="Calibri" w:hAnsi="Calibri" w:cs="Arial"/>
                <w:b/>
                <w:bCs/>
                <w:sz w:val="20"/>
                <w:lang w:val="en-US"/>
              </w:rPr>
              <w:t>Dec 31, 20</w:t>
            </w:r>
            <w:r w:rsidR="00264FE3" w:rsidRPr="00537128">
              <w:rPr>
                <w:rFonts w:ascii="Calibri" w:eastAsia="Calibri" w:hAnsi="Calibri" w:cs="Arial"/>
                <w:b/>
                <w:bCs/>
                <w:sz w:val="20"/>
                <w:lang w:val="en-US"/>
              </w:rPr>
              <w:t>2</w:t>
            </w:r>
            <w:r w:rsidR="00AF6FBA">
              <w:rPr>
                <w:rFonts w:ascii="Calibri" w:eastAsia="Calibri" w:hAnsi="Calibri" w:cs="Arial"/>
                <w:b/>
                <w:bCs/>
                <w:sz w:val="20"/>
                <w:lang w:val="en-US"/>
              </w:rPr>
              <w:t>1</w:t>
            </w:r>
          </w:p>
        </w:tc>
      </w:tr>
      <w:tr w:rsidR="00206732" w:rsidRPr="00537128" w14:paraId="3764F997" w14:textId="77777777" w:rsidTr="00206732">
        <w:trPr>
          <w:trHeight w:hRule="exact" w:val="207"/>
          <w:jc w:val="center"/>
        </w:trPr>
        <w:tc>
          <w:tcPr>
            <w:tcW w:w="1238" w:type="pct"/>
          </w:tcPr>
          <w:p w14:paraId="2A779AB9" w14:textId="77777777" w:rsidR="00206732" w:rsidRPr="00537128" w:rsidRDefault="00206732" w:rsidP="00206732">
            <w:pPr>
              <w:spacing w:after="0" w:line="240" w:lineRule="auto"/>
              <w:jc w:val="right"/>
              <w:rPr>
                <w:rFonts w:ascii="Calibri" w:eastAsia="Calibri" w:hAnsi="Calibri" w:cs="Arial"/>
                <w:sz w:val="20"/>
                <w:lang w:val="en-US"/>
              </w:rPr>
            </w:pPr>
          </w:p>
        </w:tc>
        <w:tc>
          <w:tcPr>
            <w:tcW w:w="889" w:type="pct"/>
            <w:hideMark/>
          </w:tcPr>
          <w:p w14:paraId="497775D6" w14:textId="77777777" w:rsidR="00206732" w:rsidRPr="00537128" w:rsidRDefault="00206732" w:rsidP="00206732">
            <w:pPr>
              <w:spacing w:after="0" w:line="240" w:lineRule="auto"/>
              <w:jc w:val="right"/>
              <w:rPr>
                <w:rFonts w:ascii="Calibri" w:eastAsia="Calibri" w:hAnsi="Calibri" w:cs="Arial"/>
                <w:b/>
                <w:sz w:val="20"/>
                <w:lang w:val="en-US"/>
              </w:rPr>
            </w:pPr>
            <w:r w:rsidRPr="00537128">
              <w:rPr>
                <w:rFonts w:ascii="Calibri" w:eastAsia="Calibri" w:hAnsi="Calibri" w:cs="Arial"/>
                <w:b/>
                <w:sz w:val="20"/>
                <w:lang w:val="en-US"/>
              </w:rPr>
              <w:t>%</w:t>
            </w:r>
          </w:p>
        </w:tc>
        <w:tc>
          <w:tcPr>
            <w:tcW w:w="958" w:type="pct"/>
            <w:vAlign w:val="center"/>
            <w:hideMark/>
          </w:tcPr>
          <w:p w14:paraId="06F0694A" w14:textId="77777777" w:rsidR="00206732" w:rsidRPr="00537128" w:rsidRDefault="00206732" w:rsidP="00206732">
            <w:pPr>
              <w:spacing w:after="0" w:line="240" w:lineRule="auto"/>
              <w:jc w:val="right"/>
              <w:rPr>
                <w:rFonts w:ascii="Calibri" w:eastAsia="Calibri" w:hAnsi="Calibri" w:cs="Arial"/>
                <w:b/>
                <w:sz w:val="20"/>
                <w:lang w:val="en-US"/>
              </w:rPr>
            </w:pPr>
            <w:r w:rsidRPr="00537128">
              <w:rPr>
                <w:rFonts w:ascii="Calibri" w:eastAsia="Calibri" w:hAnsi="Calibri" w:cs="Arial"/>
                <w:b/>
                <w:bCs/>
                <w:sz w:val="20"/>
                <w:lang w:val="en-US"/>
              </w:rPr>
              <w:t>HRK' 000</w:t>
            </w:r>
          </w:p>
        </w:tc>
        <w:tc>
          <w:tcPr>
            <w:tcW w:w="960" w:type="pct"/>
            <w:hideMark/>
          </w:tcPr>
          <w:p w14:paraId="5003E77E" w14:textId="77777777" w:rsidR="00206732" w:rsidRPr="00537128" w:rsidRDefault="00206732" w:rsidP="00206732">
            <w:pPr>
              <w:spacing w:after="0" w:line="240" w:lineRule="auto"/>
              <w:jc w:val="right"/>
              <w:rPr>
                <w:rFonts w:ascii="Calibri" w:eastAsia="Calibri" w:hAnsi="Calibri" w:cs="Arial"/>
                <w:b/>
                <w:sz w:val="20"/>
                <w:lang w:val="en-US"/>
              </w:rPr>
            </w:pPr>
            <w:r w:rsidRPr="00537128">
              <w:rPr>
                <w:rFonts w:ascii="Calibri" w:eastAsia="Calibri" w:hAnsi="Calibri" w:cs="Arial"/>
                <w:b/>
                <w:sz w:val="20"/>
                <w:lang w:val="en-US"/>
              </w:rPr>
              <w:t>%</w:t>
            </w:r>
          </w:p>
        </w:tc>
        <w:tc>
          <w:tcPr>
            <w:tcW w:w="955" w:type="pct"/>
            <w:vAlign w:val="center"/>
            <w:hideMark/>
          </w:tcPr>
          <w:p w14:paraId="40D49BAC" w14:textId="77777777" w:rsidR="00206732" w:rsidRPr="00537128" w:rsidRDefault="00206732" w:rsidP="00206732">
            <w:pPr>
              <w:spacing w:after="0" w:line="240" w:lineRule="auto"/>
              <w:jc w:val="right"/>
              <w:rPr>
                <w:rFonts w:ascii="Calibri" w:eastAsia="Calibri" w:hAnsi="Calibri" w:cs="Arial"/>
                <w:b/>
                <w:sz w:val="20"/>
                <w:lang w:val="en-US"/>
              </w:rPr>
            </w:pPr>
            <w:r w:rsidRPr="00537128">
              <w:rPr>
                <w:rFonts w:ascii="Calibri" w:eastAsia="Calibri" w:hAnsi="Calibri" w:cs="Arial"/>
                <w:b/>
                <w:bCs/>
                <w:sz w:val="20"/>
                <w:lang w:val="en-US"/>
              </w:rPr>
              <w:t>HRK' 000</w:t>
            </w:r>
          </w:p>
        </w:tc>
      </w:tr>
      <w:tr w:rsidR="00206732" w:rsidRPr="00537128" w14:paraId="6F5BAC82" w14:textId="77777777" w:rsidTr="00206732">
        <w:trPr>
          <w:trHeight w:hRule="exact" w:val="175"/>
          <w:jc w:val="center"/>
        </w:trPr>
        <w:tc>
          <w:tcPr>
            <w:tcW w:w="1238" w:type="pct"/>
          </w:tcPr>
          <w:p w14:paraId="37C7E31B" w14:textId="77777777" w:rsidR="00206732" w:rsidRPr="00537128" w:rsidRDefault="00206732" w:rsidP="00206732">
            <w:pPr>
              <w:spacing w:after="0" w:line="240" w:lineRule="auto"/>
              <w:jc w:val="both"/>
              <w:rPr>
                <w:rFonts w:ascii="Calibri" w:eastAsia="Calibri" w:hAnsi="Calibri" w:cs="Arial"/>
                <w:sz w:val="20"/>
                <w:lang w:val="en-US"/>
              </w:rPr>
            </w:pPr>
          </w:p>
        </w:tc>
        <w:tc>
          <w:tcPr>
            <w:tcW w:w="889" w:type="pct"/>
          </w:tcPr>
          <w:p w14:paraId="0A606711" w14:textId="77777777" w:rsidR="00206732" w:rsidRPr="00537128" w:rsidRDefault="00206732" w:rsidP="00206732">
            <w:pPr>
              <w:spacing w:after="0" w:line="240" w:lineRule="auto"/>
              <w:jc w:val="center"/>
              <w:rPr>
                <w:rFonts w:ascii="Calibri" w:eastAsia="Calibri" w:hAnsi="Calibri" w:cs="Arial"/>
                <w:sz w:val="20"/>
                <w:lang w:val="en-US"/>
              </w:rPr>
            </w:pPr>
          </w:p>
        </w:tc>
        <w:tc>
          <w:tcPr>
            <w:tcW w:w="958" w:type="pct"/>
            <w:vAlign w:val="center"/>
          </w:tcPr>
          <w:p w14:paraId="2F5EAC00" w14:textId="77777777" w:rsidR="00206732" w:rsidRPr="00537128" w:rsidRDefault="00206732" w:rsidP="00206732">
            <w:pPr>
              <w:spacing w:after="0" w:line="240" w:lineRule="auto"/>
              <w:jc w:val="center"/>
              <w:rPr>
                <w:rFonts w:ascii="Calibri" w:eastAsia="Calibri" w:hAnsi="Calibri" w:cs="Arial"/>
                <w:b/>
                <w:bCs/>
                <w:sz w:val="20"/>
                <w:lang w:val="en-US"/>
              </w:rPr>
            </w:pPr>
          </w:p>
        </w:tc>
        <w:tc>
          <w:tcPr>
            <w:tcW w:w="960" w:type="pct"/>
          </w:tcPr>
          <w:p w14:paraId="5DF95803" w14:textId="77777777" w:rsidR="00206732" w:rsidRPr="00537128" w:rsidRDefault="00206732" w:rsidP="00206732">
            <w:pPr>
              <w:spacing w:after="0" w:line="240" w:lineRule="auto"/>
              <w:jc w:val="center"/>
              <w:rPr>
                <w:rFonts w:ascii="Calibri" w:eastAsia="Calibri" w:hAnsi="Calibri" w:cs="Arial"/>
                <w:sz w:val="20"/>
                <w:lang w:val="en-US"/>
              </w:rPr>
            </w:pPr>
          </w:p>
        </w:tc>
        <w:tc>
          <w:tcPr>
            <w:tcW w:w="955" w:type="pct"/>
            <w:vAlign w:val="center"/>
          </w:tcPr>
          <w:p w14:paraId="41B24707" w14:textId="77777777" w:rsidR="00206732" w:rsidRPr="00537128" w:rsidRDefault="00206732" w:rsidP="00206732">
            <w:pPr>
              <w:spacing w:after="0" w:line="240" w:lineRule="auto"/>
              <w:jc w:val="center"/>
              <w:rPr>
                <w:rFonts w:ascii="Calibri" w:eastAsia="Calibri" w:hAnsi="Calibri" w:cs="Arial"/>
                <w:b/>
                <w:bCs/>
                <w:sz w:val="20"/>
                <w:lang w:val="en-US"/>
              </w:rPr>
            </w:pPr>
          </w:p>
        </w:tc>
      </w:tr>
      <w:tr w:rsidR="00BC524B" w:rsidRPr="00537128" w14:paraId="122D0826" w14:textId="77777777" w:rsidTr="008E0192">
        <w:trPr>
          <w:trHeight w:hRule="exact" w:val="284"/>
          <w:jc w:val="center"/>
        </w:trPr>
        <w:tc>
          <w:tcPr>
            <w:tcW w:w="1238" w:type="pct"/>
            <w:vAlign w:val="bottom"/>
            <w:hideMark/>
          </w:tcPr>
          <w:p w14:paraId="2AF5F6AE" w14:textId="77777777" w:rsidR="00BC524B" w:rsidRPr="00537128" w:rsidRDefault="00BC524B" w:rsidP="00BC524B">
            <w:pPr>
              <w:spacing w:after="0" w:line="240" w:lineRule="auto"/>
              <w:jc w:val="both"/>
              <w:rPr>
                <w:rFonts w:ascii="Calibri" w:eastAsia="Calibri" w:hAnsi="Calibri" w:cs="Arial"/>
                <w:sz w:val="20"/>
                <w:lang w:val="en-US"/>
              </w:rPr>
            </w:pPr>
            <w:r w:rsidRPr="00537128">
              <w:rPr>
                <w:rFonts w:ascii="Calibri" w:eastAsia="Calibri" w:hAnsi="Calibri" w:cs="Arial"/>
                <w:bCs/>
                <w:sz w:val="20"/>
                <w:lang w:val="en-US"/>
              </w:rPr>
              <w:t>EUR</w:t>
            </w:r>
          </w:p>
        </w:tc>
        <w:tc>
          <w:tcPr>
            <w:tcW w:w="889" w:type="pct"/>
            <w:vAlign w:val="bottom"/>
          </w:tcPr>
          <w:p w14:paraId="39054A00" w14:textId="641F0442" w:rsidR="00BC524B" w:rsidRPr="00A1123E" w:rsidRDefault="00552710" w:rsidP="00BC524B">
            <w:pPr>
              <w:spacing w:after="0" w:line="240" w:lineRule="auto"/>
              <w:jc w:val="right"/>
              <w:rPr>
                <w:rFonts w:cs="Arial"/>
                <w:bCs/>
                <w:color w:val="000000" w:themeColor="text1"/>
                <w:sz w:val="20"/>
                <w:lang w:val="en-US"/>
              </w:rPr>
            </w:pPr>
            <w:r>
              <w:rPr>
                <w:rFonts w:cs="Arial"/>
                <w:bCs/>
                <w:color w:val="000000" w:themeColor="text1"/>
                <w:sz w:val="20"/>
                <w:lang w:val="en-US"/>
              </w:rPr>
              <w:t>+1.31</w:t>
            </w:r>
          </w:p>
        </w:tc>
        <w:tc>
          <w:tcPr>
            <w:tcW w:w="958" w:type="pct"/>
            <w:vAlign w:val="bottom"/>
          </w:tcPr>
          <w:p w14:paraId="1AF4C535" w14:textId="7ED19CBC" w:rsidR="00BC524B" w:rsidRPr="00A1123E" w:rsidRDefault="00552710" w:rsidP="00BC524B">
            <w:pPr>
              <w:spacing w:after="0" w:line="240" w:lineRule="auto"/>
              <w:jc w:val="right"/>
              <w:rPr>
                <w:rFonts w:cs="Arial"/>
                <w:bCs/>
                <w:color w:val="000000" w:themeColor="text1"/>
                <w:sz w:val="20"/>
                <w:lang w:val="en-US"/>
              </w:rPr>
            </w:pPr>
            <w:r>
              <w:rPr>
                <w:rFonts w:cs="Arial"/>
                <w:bCs/>
                <w:color w:val="000000" w:themeColor="text1"/>
                <w:sz w:val="20"/>
                <w:lang w:val="en-US"/>
              </w:rPr>
              <w:t>(421)</w:t>
            </w:r>
          </w:p>
        </w:tc>
        <w:tc>
          <w:tcPr>
            <w:tcW w:w="960" w:type="pct"/>
            <w:vAlign w:val="center"/>
          </w:tcPr>
          <w:p w14:paraId="3B3E489D" w14:textId="20A601AB" w:rsidR="00BC524B" w:rsidRPr="00537128" w:rsidRDefault="00BC524B" w:rsidP="00BC524B">
            <w:pPr>
              <w:spacing w:after="0" w:line="240" w:lineRule="auto"/>
              <w:jc w:val="right"/>
              <w:rPr>
                <w:rFonts w:ascii="Calibri" w:eastAsia="Calibri" w:hAnsi="Calibri" w:cs="Arial"/>
                <w:bCs/>
                <w:sz w:val="20"/>
                <w:lang w:val="en-US"/>
              </w:rPr>
            </w:pPr>
            <w:r>
              <w:rPr>
                <w:rFonts w:cs="Arial"/>
                <w:color w:val="000000" w:themeColor="text1"/>
                <w:sz w:val="20"/>
              </w:rPr>
              <w:t>+1.49</w:t>
            </w:r>
          </w:p>
        </w:tc>
        <w:tc>
          <w:tcPr>
            <w:tcW w:w="955" w:type="pct"/>
            <w:vAlign w:val="center"/>
          </w:tcPr>
          <w:p w14:paraId="5F747804" w14:textId="180B540B" w:rsidR="00BC524B" w:rsidRPr="00537128" w:rsidRDefault="00BC524B" w:rsidP="00BC524B">
            <w:pPr>
              <w:spacing w:after="0" w:line="240" w:lineRule="auto"/>
              <w:jc w:val="right"/>
              <w:rPr>
                <w:rFonts w:ascii="Calibri" w:eastAsia="Calibri" w:hAnsi="Calibri" w:cs="Arial"/>
                <w:bCs/>
                <w:sz w:val="20"/>
                <w:lang w:val="en-US"/>
              </w:rPr>
            </w:pPr>
            <w:r>
              <w:rPr>
                <w:rFonts w:cs="Arial"/>
                <w:color w:val="000000" w:themeColor="text1"/>
                <w:sz w:val="20"/>
              </w:rPr>
              <w:t>(11,246)</w:t>
            </w:r>
          </w:p>
        </w:tc>
      </w:tr>
      <w:tr w:rsidR="00BC524B" w:rsidRPr="00537128" w14:paraId="7BF58C14" w14:textId="77777777" w:rsidTr="00B8393E">
        <w:trPr>
          <w:trHeight w:hRule="exact" w:val="85"/>
          <w:jc w:val="center"/>
        </w:trPr>
        <w:tc>
          <w:tcPr>
            <w:tcW w:w="1238" w:type="pct"/>
            <w:vAlign w:val="bottom"/>
          </w:tcPr>
          <w:p w14:paraId="649E5359" w14:textId="77777777" w:rsidR="00BC524B" w:rsidRPr="00537128" w:rsidRDefault="00BC524B" w:rsidP="00BC524B">
            <w:pPr>
              <w:spacing w:after="0" w:line="240" w:lineRule="auto"/>
              <w:jc w:val="both"/>
              <w:rPr>
                <w:rFonts w:ascii="Calibri" w:eastAsia="Calibri" w:hAnsi="Calibri" w:cs="Arial"/>
                <w:sz w:val="20"/>
                <w:lang w:val="en-US"/>
              </w:rPr>
            </w:pPr>
          </w:p>
        </w:tc>
        <w:tc>
          <w:tcPr>
            <w:tcW w:w="889" w:type="pct"/>
            <w:vAlign w:val="bottom"/>
          </w:tcPr>
          <w:p w14:paraId="28F06A5B" w14:textId="77777777" w:rsidR="00BC524B" w:rsidRPr="00A1123E" w:rsidRDefault="00BC524B" w:rsidP="00BC524B">
            <w:pPr>
              <w:spacing w:after="0" w:line="240" w:lineRule="auto"/>
              <w:jc w:val="right"/>
              <w:rPr>
                <w:rFonts w:cs="Arial"/>
                <w:bCs/>
                <w:color w:val="000000" w:themeColor="text1"/>
                <w:sz w:val="20"/>
                <w:lang w:val="en-US"/>
              </w:rPr>
            </w:pPr>
          </w:p>
        </w:tc>
        <w:tc>
          <w:tcPr>
            <w:tcW w:w="958" w:type="pct"/>
            <w:vAlign w:val="bottom"/>
          </w:tcPr>
          <w:p w14:paraId="2A2CE38D" w14:textId="0EB368EA" w:rsidR="00BC524B" w:rsidRPr="00A1123E" w:rsidRDefault="00BC524B" w:rsidP="00BC524B">
            <w:pPr>
              <w:spacing w:after="0" w:line="240" w:lineRule="auto"/>
              <w:jc w:val="both"/>
              <w:rPr>
                <w:rFonts w:cs="Arial"/>
                <w:bCs/>
                <w:color w:val="000000" w:themeColor="text1"/>
                <w:sz w:val="20"/>
                <w:lang w:val="en-US"/>
              </w:rPr>
            </w:pPr>
          </w:p>
        </w:tc>
        <w:tc>
          <w:tcPr>
            <w:tcW w:w="960" w:type="pct"/>
            <w:vAlign w:val="bottom"/>
          </w:tcPr>
          <w:p w14:paraId="17225E6F" w14:textId="2D1FE3A1" w:rsidR="00BC524B" w:rsidRPr="00537128" w:rsidRDefault="00BC524B" w:rsidP="00BC524B">
            <w:pPr>
              <w:spacing w:after="0" w:line="240" w:lineRule="auto"/>
              <w:jc w:val="right"/>
              <w:rPr>
                <w:rFonts w:ascii="Calibri" w:eastAsia="Calibri" w:hAnsi="Calibri" w:cs="Arial"/>
                <w:bCs/>
                <w:sz w:val="20"/>
                <w:lang w:val="en-US"/>
              </w:rPr>
            </w:pPr>
          </w:p>
        </w:tc>
        <w:tc>
          <w:tcPr>
            <w:tcW w:w="955" w:type="pct"/>
            <w:vAlign w:val="bottom"/>
          </w:tcPr>
          <w:p w14:paraId="1C8D835F" w14:textId="77777777" w:rsidR="00BC524B" w:rsidRPr="00537128" w:rsidRDefault="00BC524B" w:rsidP="00BC524B">
            <w:pPr>
              <w:spacing w:after="0" w:line="240" w:lineRule="auto"/>
              <w:jc w:val="both"/>
              <w:rPr>
                <w:rFonts w:ascii="Calibri" w:eastAsia="Calibri" w:hAnsi="Calibri" w:cs="Arial"/>
                <w:bCs/>
                <w:sz w:val="20"/>
                <w:lang w:val="en-US"/>
              </w:rPr>
            </w:pPr>
          </w:p>
        </w:tc>
      </w:tr>
      <w:tr w:rsidR="00AF6FBA" w:rsidRPr="00537128" w14:paraId="40B08032" w14:textId="77777777" w:rsidTr="00FD1DCA">
        <w:trPr>
          <w:trHeight w:hRule="exact" w:val="284"/>
          <w:jc w:val="center"/>
        </w:trPr>
        <w:tc>
          <w:tcPr>
            <w:tcW w:w="1238" w:type="pct"/>
            <w:vAlign w:val="bottom"/>
            <w:hideMark/>
          </w:tcPr>
          <w:p w14:paraId="160BE0CA" w14:textId="77777777" w:rsidR="00AF6FBA" w:rsidRPr="00537128" w:rsidRDefault="00AF6FBA" w:rsidP="00AF6FBA">
            <w:pPr>
              <w:spacing w:after="0" w:line="240" w:lineRule="auto"/>
              <w:jc w:val="both"/>
              <w:rPr>
                <w:rFonts w:ascii="Calibri" w:eastAsia="Calibri" w:hAnsi="Calibri" w:cs="Arial"/>
                <w:sz w:val="20"/>
                <w:lang w:val="en-US"/>
              </w:rPr>
            </w:pPr>
            <w:r w:rsidRPr="00537128">
              <w:rPr>
                <w:rFonts w:ascii="Calibri" w:eastAsia="Calibri" w:hAnsi="Calibri" w:cs="Arial"/>
                <w:bCs/>
                <w:sz w:val="20"/>
                <w:lang w:val="en-US"/>
              </w:rPr>
              <w:t>EUR</w:t>
            </w:r>
          </w:p>
        </w:tc>
        <w:tc>
          <w:tcPr>
            <w:tcW w:w="889" w:type="pct"/>
            <w:vAlign w:val="bottom"/>
          </w:tcPr>
          <w:p w14:paraId="60BB733B" w14:textId="1C0525D8" w:rsidR="00AF6FBA" w:rsidRPr="00A1123E" w:rsidRDefault="00552710" w:rsidP="00AF6FBA">
            <w:pPr>
              <w:spacing w:after="0" w:line="240" w:lineRule="auto"/>
              <w:jc w:val="right"/>
              <w:rPr>
                <w:rFonts w:cs="Arial"/>
                <w:bCs/>
                <w:color w:val="000000" w:themeColor="text1"/>
                <w:sz w:val="20"/>
                <w:lang w:val="en-US"/>
              </w:rPr>
            </w:pPr>
            <w:r>
              <w:rPr>
                <w:rFonts w:cs="Arial"/>
                <w:bCs/>
                <w:color w:val="000000" w:themeColor="text1"/>
                <w:sz w:val="20"/>
                <w:lang w:val="en-US"/>
              </w:rPr>
              <w:t>-1.31</w:t>
            </w:r>
          </w:p>
        </w:tc>
        <w:tc>
          <w:tcPr>
            <w:tcW w:w="958" w:type="pct"/>
            <w:vAlign w:val="bottom"/>
          </w:tcPr>
          <w:p w14:paraId="12409413" w14:textId="5EB0F307" w:rsidR="00AF6FBA" w:rsidRPr="00A1123E" w:rsidRDefault="00552710" w:rsidP="00AF6FBA">
            <w:pPr>
              <w:spacing w:after="0" w:line="240" w:lineRule="auto"/>
              <w:jc w:val="right"/>
              <w:rPr>
                <w:rFonts w:cs="Arial"/>
                <w:bCs/>
                <w:color w:val="000000" w:themeColor="text1"/>
                <w:sz w:val="20"/>
                <w:lang w:val="en-US"/>
              </w:rPr>
            </w:pPr>
            <w:r>
              <w:rPr>
                <w:rFonts w:cs="Arial"/>
                <w:bCs/>
                <w:color w:val="000000" w:themeColor="text1"/>
                <w:sz w:val="20"/>
                <w:lang w:val="en-US"/>
              </w:rPr>
              <w:t>834</w:t>
            </w:r>
          </w:p>
        </w:tc>
        <w:tc>
          <w:tcPr>
            <w:tcW w:w="960" w:type="pct"/>
            <w:vAlign w:val="center"/>
          </w:tcPr>
          <w:p w14:paraId="527D571F" w14:textId="10AACF75" w:rsidR="00AF6FBA" w:rsidRPr="00537128" w:rsidRDefault="00AF6FBA" w:rsidP="00AF6FBA">
            <w:pPr>
              <w:spacing w:after="0" w:line="240" w:lineRule="auto"/>
              <w:jc w:val="right"/>
              <w:rPr>
                <w:rFonts w:ascii="Calibri" w:eastAsia="Calibri" w:hAnsi="Calibri" w:cs="Arial"/>
                <w:bCs/>
                <w:sz w:val="20"/>
                <w:lang w:val="en-US"/>
              </w:rPr>
            </w:pPr>
            <w:r>
              <w:rPr>
                <w:rFonts w:cs="Arial"/>
                <w:color w:val="000000" w:themeColor="text1"/>
                <w:sz w:val="20"/>
              </w:rPr>
              <w:t>-1.49</w:t>
            </w:r>
          </w:p>
        </w:tc>
        <w:tc>
          <w:tcPr>
            <w:tcW w:w="955" w:type="pct"/>
            <w:vAlign w:val="center"/>
          </w:tcPr>
          <w:p w14:paraId="2D841F46" w14:textId="126F756A" w:rsidR="00AF6FBA" w:rsidRPr="00537128" w:rsidRDefault="00AF6FBA" w:rsidP="00AF6FBA">
            <w:pPr>
              <w:spacing w:after="0" w:line="240" w:lineRule="auto"/>
              <w:jc w:val="right"/>
              <w:rPr>
                <w:rFonts w:ascii="Calibri" w:eastAsia="Calibri" w:hAnsi="Calibri" w:cs="Arial"/>
                <w:bCs/>
                <w:sz w:val="20"/>
                <w:lang w:val="en-US"/>
              </w:rPr>
            </w:pPr>
            <w:r>
              <w:rPr>
                <w:rFonts w:cs="Arial"/>
                <w:color w:val="000000" w:themeColor="text1"/>
                <w:sz w:val="20"/>
              </w:rPr>
              <w:t>10,779</w:t>
            </w:r>
          </w:p>
        </w:tc>
      </w:tr>
    </w:tbl>
    <w:p w14:paraId="4E32C7BE" w14:textId="77777777" w:rsidR="00206732" w:rsidRPr="00537128" w:rsidRDefault="00206732" w:rsidP="00206732">
      <w:pPr>
        <w:spacing w:after="0" w:line="240" w:lineRule="auto"/>
        <w:jc w:val="both"/>
        <w:rPr>
          <w:rFonts w:eastAsia="Times New Roman" w:cstheme="minorHAnsi"/>
          <w:bCs/>
          <w:iCs/>
          <w:color w:val="000000" w:themeColor="text1"/>
          <w:lang w:val="en-US"/>
        </w:rPr>
      </w:pPr>
    </w:p>
    <w:p w14:paraId="0D25AC1A" w14:textId="77777777" w:rsidR="00206732" w:rsidRPr="00537128" w:rsidRDefault="00206732" w:rsidP="00206732">
      <w:pPr>
        <w:spacing w:after="0" w:line="240" w:lineRule="auto"/>
        <w:jc w:val="both"/>
        <w:rPr>
          <w:rFonts w:eastAsia="Times New Roman" w:cstheme="minorHAnsi"/>
          <w:bCs/>
          <w:iCs/>
          <w:color w:val="000000" w:themeColor="text1"/>
          <w:lang w:val="en-US"/>
        </w:rPr>
      </w:pPr>
    </w:p>
    <w:p w14:paraId="79482062" w14:textId="77777777" w:rsidR="00206732" w:rsidRPr="00537128" w:rsidRDefault="00206732" w:rsidP="00206732">
      <w:pPr>
        <w:spacing w:after="0" w:line="240" w:lineRule="auto"/>
        <w:jc w:val="both"/>
        <w:rPr>
          <w:rFonts w:eastAsia="Times New Roman" w:cstheme="minorHAnsi"/>
          <w:bCs/>
          <w:iCs/>
          <w:color w:val="000000" w:themeColor="text1"/>
          <w:lang w:val="en-US"/>
        </w:rPr>
        <w:sectPr w:rsidR="00206732" w:rsidRPr="00537128" w:rsidSect="00712478">
          <w:pgSz w:w="11906" w:h="16838"/>
          <w:pgMar w:top="1418" w:right="1134" w:bottom="1418" w:left="1418" w:header="709" w:footer="709" w:gutter="0"/>
          <w:cols w:space="708"/>
          <w:docGrid w:linePitch="360"/>
        </w:sectPr>
      </w:pPr>
    </w:p>
    <w:p w14:paraId="5F0F3F9E" w14:textId="77777777" w:rsidR="008C0661" w:rsidRPr="00A1123E" w:rsidRDefault="008C0661" w:rsidP="008C0661">
      <w:pPr>
        <w:spacing w:after="0" w:line="240" w:lineRule="auto"/>
        <w:jc w:val="both"/>
        <w:rPr>
          <w:rFonts w:eastAsia="Times New Roman" w:cstheme="minorHAnsi"/>
          <w:b/>
          <w:bCs/>
          <w:iCs/>
          <w:color w:val="000000" w:themeColor="text1"/>
          <w:sz w:val="8"/>
          <w:szCs w:val="8"/>
          <w:lang w:val="en-US"/>
        </w:rPr>
      </w:pPr>
    </w:p>
    <w:p w14:paraId="67087F84" w14:textId="77777777" w:rsidR="008C0661" w:rsidRPr="00537128" w:rsidRDefault="008C0661" w:rsidP="008C0661">
      <w:pPr>
        <w:pStyle w:val="ListParagraph"/>
        <w:numPr>
          <w:ilvl w:val="0"/>
          <w:numId w:val="63"/>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Fair value of financial assets and financial liabilities</w:t>
      </w:r>
    </w:p>
    <w:p w14:paraId="4C10D31A" w14:textId="77777777" w:rsidR="008C0661" w:rsidRPr="00A1123E" w:rsidRDefault="008C0661" w:rsidP="008C0661">
      <w:pPr>
        <w:spacing w:after="0" w:line="240" w:lineRule="auto"/>
        <w:jc w:val="both"/>
        <w:rPr>
          <w:rFonts w:ascii="Calibri" w:eastAsia="Calibri" w:hAnsi="Calibri" w:cs="Arial"/>
          <w:bCs/>
          <w:sz w:val="8"/>
          <w:szCs w:val="8"/>
          <w:lang w:val="en-US"/>
        </w:rPr>
      </w:pPr>
    </w:p>
    <w:p w14:paraId="3C7F78B8" w14:textId="15C128A4" w:rsidR="008C0661" w:rsidRPr="00537128" w:rsidRDefault="003E09B3" w:rsidP="008C0661">
      <w:pPr>
        <w:spacing w:after="0" w:line="240" w:lineRule="auto"/>
        <w:jc w:val="both"/>
        <w:rPr>
          <w:rFonts w:ascii="Calibri" w:eastAsia="Calibri" w:hAnsi="Calibri" w:cs="Arial"/>
          <w:b/>
          <w:bCs/>
          <w:spacing w:val="-3"/>
          <w:lang w:val="en-US"/>
        </w:rPr>
      </w:pPr>
      <w:r w:rsidRPr="00537128">
        <w:rPr>
          <w:rFonts w:ascii="Calibri" w:eastAsia="Calibri" w:hAnsi="Calibri" w:cs="Arial"/>
          <w:b/>
          <w:bCs/>
          <w:spacing w:val="-3"/>
          <w:lang w:val="en-US"/>
        </w:rPr>
        <w:t>2</w:t>
      </w:r>
      <w:r>
        <w:rPr>
          <w:rFonts w:ascii="Calibri" w:eastAsia="Calibri" w:hAnsi="Calibri" w:cs="Arial"/>
          <w:b/>
          <w:bCs/>
          <w:spacing w:val="-3"/>
          <w:lang w:val="en-US"/>
        </w:rPr>
        <w:t>4</w:t>
      </w:r>
      <w:r w:rsidR="008C0661" w:rsidRPr="00537128">
        <w:rPr>
          <w:rFonts w:ascii="Calibri" w:eastAsia="Calibri" w:hAnsi="Calibri" w:cs="Arial"/>
          <w:b/>
          <w:bCs/>
          <w:spacing w:val="-3"/>
          <w:lang w:val="en-US"/>
        </w:rPr>
        <w:t xml:space="preserve">.1. </w:t>
      </w:r>
      <w:r w:rsidR="008C0661" w:rsidRPr="00537128">
        <w:rPr>
          <w:rFonts w:ascii="Calibri" w:eastAsia="Calibri" w:hAnsi="Calibri" w:cs="Arial"/>
          <w:b/>
          <w:bCs/>
          <w:spacing w:val="-3"/>
          <w:lang w:val="en-US"/>
        </w:rPr>
        <w:tab/>
        <w:t xml:space="preserve">Fair value of financial assets and financial liabilities initially recognized and measured at fair value </w:t>
      </w:r>
    </w:p>
    <w:p w14:paraId="0146F062" w14:textId="77777777" w:rsidR="008C0661" w:rsidRPr="00A1123E" w:rsidRDefault="008C0661" w:rsidP="008C0661">
      <w:pPr>
        <w:spacing w:after="0" w:line="240" w:lineRule="auto"/>
        <w:jc w:val="both"/>
        <w:rPr>
          <w:rFonts w:ascii="Calibri" w:eastAsia="Calibri" w:hAnsi="Calibri" w:cs="Arial"/>
          <w:bCs/>
          <w:sz w:val="12"/>
          <w:szCs w:val="12"/>
          <w:lang w:val="en-US"/>
        </w:rPr>
      </w:pPr>
    </w:p>
    <w:p w14:paraId="0F986B22" w14:textId="1F2E16F5" w:rsidR="00717B67" w:rsidRPr="00537128" w:rsidRDefault="008C0661" w:rsidP="008C0661">
      <w:pPr>
        <w:spacing w:after="0" w:line="240" w:lineRule="auto"/>
        <w:jc w:val="both"/>
        <w:rPr>
          <w:rFonts w:ascii="Calibri" w:eastAsia="Calibri" w:hAnsi="Calibri" w:cs="Arial"/>
          <w:bCs/>
          <w:sz w:val="20"/>
          <w:szCs w:val="20"/>
          <w:lang w:val="en-US"/>
        </w:rPr>
      </w:pPr>
      <w:r w:rsidRPr="00537128">
        <w:rPr>
          <w:rFonts w:ascii="Calibri" w:eastAsia="Calibri" w:hAnsi="Calibri" w:cs="Arial"/>
          <w:bCs/>
          <w:sz w:val="20"/>
          <w:szCs w:val="20"/>
          <w:lang w:val="en-US"/>
        </w:rPr>
        <w:t xml:space="preserve">Below is a breakdown of the financial assets at fair value based on IFRS 9 classification on </w:t>
      </w:r>
      <w:r w:rsidR="00E20F52" w:rsidRPr="00537128">
        <w:rPr>
          <w:rFonts w:ascii="Calibri" w:eastAsia="Calibri" w:hAnsi="Calibri" w:cs="Arial"/>
          <w:bCs/>
          <w:sz w:val="20"/>
          <w:szCs w:val="20"/>
          <w:lang w:val="en-US"/>
        </w:rPr>
        <w:t>3</w:t>
      </w:r>
      <w:r w:rsidR="00456F9A" w:rsidRPr="00537128">
        <w:rPr>
          <w:rFonts w:ascii="Calibri" w:eastAsia="Calibri" w:hAnsi="Calibri" w:cs="Arial"/>
          <w:bCs/>
          <w:sz w:val="20"/>
          <w:szCs w:val="20"/>
          <w:lang w:val="en-US"/>
        </w:rPr>
        <w:t>1</w:t>
      </w:r>
      <w:r w:rsidR="00E20F52" w:rsidRPr="00537128">
        <w:rPr>
          <w:rFonts w:ascii="Calibri" w:eastAsia="Calibri" w:hAnsi="Calibri" w:cs="Arial"/>
          <w:bCs/>
          <w:sz w:val="20"/>
          <w:szCs w:val="20"/>
          <w:lang w:val="en-US"/>
        </w:rPr>
        <w:t xml:space="preserve"> </w:t>
      </w:r>
      <w:r w:rsidR="00456F9A" w:rsidRPr="00537128">
        <w:rPr>
          <w:rFonts w:ascii="Calibri" w:eastAsia="Calibri" w:hAnsi="Calibri" w:cs="Arial"/>
          <w:bCs/>
          <w:sz w:val="20"/>
          <w:szCs w:val="20"/>
          <w:lang w:val="en-US"/>
        </w:rPr>
        <w:t>March</w:t>
      </w:r>
      <w:r w:rsidR="00E20F52" w:rsidRPr="00537128">
        <w:rPr>
          <w:rFonts w:ascii="Calibri" w:eastAsia="Calibri" w:hAnsi="Calibri" w:cs="Arial"/>
          <w:bCs/>
          <w:sz w:val="20"/>
          <w:szCs w:val="20"/>
          <w:lang w:val="en-US"/>
        </w:rPr>
        <w:t xml:space="preserve"> </w:t>
      </w:r>
      <w:r w:rsidRPr="00537128">
        <w:rPr>
          <w:rFonts w:ascii="Calibri" w:eastAsia="Calibri" w:hAnsi="Calibri" w:cs="Arial"/>
          <w:bCs/>
          <w:sz w:val="20"/>
          <w:szCs w:val="20"/>
          <w:lang w:val="en-US"/>
        </w:rPr>
        <w:t>202</w:t>
      </w:r>
      <w:r w:rsidR="00A24189">
        <w:rPr>
          <w:rFonts w:ascii="Calibri" w:eastAsia="Calibri" w:hAnsi="Calibri" w:cs="Arial"/>
          <w:bCs/>
          <w:sz w:val="20"/>
          <w:szCs w:val="20"/>
          <w:lang w:val="en-US"/>
        </w:rPr>
        <w:t>2</w:t>
      </w:r>
      <w:r w:rsidRPr="00537128">
        <w:rPr>
          <w:rFonts w:ascii="Calibri" w:eastAsia="Calibri" w:hAnsi="Calibri" w:cs="Arial"/>
          <w:bCs/>
          <w:sz w:val="20"/>
          <w:szCs w:val="20"/>
          <w:lang w:val="en-US"/>
        </w:rPr>
        <w:t xml:space="preserve"> and 31 December 20</w:t>
      </w:r>
      <w:r w:rsidR="00456F9A" w:rsidRPr="00537128">
        <w:rPr>
          <w:rFonts w:ascii="Calibri" w:eastAsia="Calibri" w:hAnsi="Calibri" w:cs="Arial"/>
          <w:bCs/>
          <w:sz w:val="20"/>
          <w:szCs w:val="20"/>
          <w:lang w:val="en-US"/>
        </w:rPr>
        <w:t>2</w:t>
      </w:r>
      <w:r w:rsidR="00A24189">
        <w:rPr>
          <w:rFonts w:ascii="Calibri" w:eastAsia="Calibri" w:hAnsi="Calibri" w:cs="Arial"/>
          <w:bCs/>
          <w:sz w:val="20"/>
          <w:szCs w:val="20"/>
          <w:lang w:val="en-US"/>
        </w:rPr>
        <w:t>1</w:t>
      </w:r>
      <w:r w:rsidRPr="00537128">
        <w:rPr>
          <w:rFonts w:ascii="Calibri" w:eastAsia="Calibri" w:hAnsi="Calibri" w:cs="Arial"/>
          <w:bCs/>
          <w:sz w:val="20"/>
          <w:szCs w:val="20"/>
          <w:lang w:val="en-US"/>
        </w:rPr>
        <w:t>.</w:t>
      </w:r>
    </w:p>
    <w:p w14:paraId="721354E8" w14:textId="77777777" w:rsidR="008C0661" w:rsidRPr="00537128" w:rsidRDefault="008C0661" w:rsidP="008C0661">
      <w:pPr>
        <w:spacing w:after="0" w:line="240" w:lineRule="auto"/>
        <w:jc w:val="both"/>
        <w:rPr>
          <w:rFonts w:ascii="Calibri" w:eastAsia="Calibri" w:hAnsi="Calibri" w:cs="Arial"/>
          <w:bCs/>
          <w:sz w:val="10"/>
          <w:szCs w:val="10"/>
          <w:lang w:val="en-US"/>
        </w:rPr>
      </w:pPr>
    </w:p>
    <w:tbl>
      <w:tblPr>
        <w:tblW w:w="9255" w:type="dxa"/>
        <w:jc w:val="center"/>
        <w:tblLayout w:type="fixed"/>
        <w:tblCellMar>
          <w:left w:w="122" w:type="dxa"/>
          <w:right w:w="122" w:type="dxa"/>
        </w:tblCellMar>
        <w:tblLook w:val="0000" w:firstRow="0" w:lastRow="0" w:firstColumn="0" w:lastColumn="0" w:noHBand="0" w:noVBand="0"/>
      </w:tblPr>
      <w:tblGrid>
        <w:gridCol w:w="5568"/>
        <w:gridCol w:w="1228"/>
        <w:gridCol w:w="1229"/>
        <w:gridCol w:w="1230"/>
      </w:tblGrid>
      <w:tr w:rsidR="00456F9A" w:rsidRPr="00657A6C" w14:paraId="791E8183" w14:textId="77777777" w:rsidTr="00456F9A">
        <w:trPr>
          <w:trHeight w:val="233"/>
          <w:jc w:val="center"/>
        </w:trPr>
        <w:tc>
          <w:tcPr>
            <w:tcW w:w="5568" w:type="dxa"/>
            <w:shd w:val="clear" w:color="auto" w:fill="auto"/>
          </w:tcPr>
          <w:p w14:paraId="60C051BD" w14:textId="77777777" w:rsidR="00456F9A" w:rsidRPr="00657A6C" w:rsidRDefault="00456F9A" w:rsidP="00456F9A">
            <w:pPr>
              <w:tabs>
                <w:tab w:val="right" w:pos="1202"/>
              </w:tabs>
              <w:spacing w:after="0" w:line="240" w:lineRule="auto"/>
              <w:outlineLvl w:val="0"/>
              <w:rPr>
                <w:rFonts w:ascii="Calibri" w:eastAsia="Times New Roman" w:hAnsi="Calibri" w:cs="Arial"/>
                <w:sz w:val="18"/>
                <w:szCs w:val="18"/>
                <w:lang w:val="en-US"/>
              </w:rPr>
            </w:pPr>
            <w:bookmarkStart w:id="1106" w:name="_Toc4062935"/>
            <w:r w:rsidRPr="00657A6C">
              <w:rPr>
                <w:rFonts w:ascii="Calibri" w:eastAsia="Times New Roman" w:hAnsi="Calibri" w:cs="Arial"/>
                <w:b/>
                <w:sz w:val="18"/>
                <w:szCs w:val="18"/>
                <w:lang w:val="en-US"/>
              </w:rPr>
              <w:t>Group</w:t>
            </w:r>
            <w:bookmarkEnd w:id="1106"/>
          </w:p>
        </w:tc>
        <w:tc>
          <w:tcPr>
            <w:tcW w:w="3687" w:type="dxa"/>
            <w:gridSpan w:val="3"/>
          </w:tcPr>
          <w:p w14:paraId="4D0CA4E3" w14:textId="667FA9AA" w:rsidR="00456F9A" w:rsidRPr="00657A6C" w:rsidRDefault="00456F9A" w:rsidP="00456F9A">
            <w:pPr>
              <w:tabs>
                <w:tab w:val="right" w:pos="1202"/>
              </w:tabs>
              <w:spacing w:after="0" w:line="240" w:lineRule="auto"/>
              <w:jc w:val="right"/>
              <w:outlineLvl w:val="0"/>
              <w:rPr>
                <w:rFonts w:ascii="Calibri" w:eastAsia="Times New Roman" w:hAnsi="Calibri" w:cs="Arial"/>
                <w:b/>
                <w:bCs/>
                <w:sz w:val="18"/>
                <w:szCs w:val="18"/>
                <w:lang w:val="en-US"/>
              </w:rPr>
            </w:pPr>
            <w:r w:rsidRPr="00657A6C">
              <w:rPr>
                <w:rFonts w:ascii="Calibri" w:eastAsia="Times New Roman" w:hAnsi="Calibri" w:cs="Arial"/>
                <w:b/>
                <w:bCs/>
                <w:sz w:val="18"/>
                <w:szCs w:val="18"/>
                <w:lang w:val="en-US"/>
              </w:rPr>
              <w:t>31 March 202</w:t>
            </w:r>
            <w:r w:rsidR="00185C6D" w:rsidRPr="00657A6C">
              <w:rPr>
                <w:rFonts w:ascii="Calibri" w:eastAsia="Times New Roman" w:hAnsi="Calibri" w:cs="Arial"/>
                <w:b/>
                <w:bCs/>
                <w:sz w:val="18"/>
                <w:szCs w:val="18"/>
                <w:lang w:val="en-US"/>
              </w:rPr>
              <w:t>2</w:t>
            </w:r>
          </w:p>
        </w:tc>
      </w:tr>
      <w:tr w:rsidR="00456F9A" w:rsidRPr="00657A6C" w14:paraId="45E46D80" w14:textId="77777777" w:rsidTr="00456F9A">
        <w:trPr>
          <w:trHeight w:val="238"/>
          <w:jc w:val="center"/>
        </w:trPr>
        <w:tc>
          <w:tcPr>
            <w:tcW w:w="5568" w:type="dxa"/>
            <w:shd w:val="clear" w:color="auto" w:fill="auto"/>
            <w:vAlign w:val="bottom"/>
          </w:tcPr>
          <w:p w14:paraId="225B71C2" w14:textId="77777777" w:rsidR="00456F9A" w:rsidRPr="00657A6C" w:rsidRDefault="00456F9A" w:rsidP="00456F9A">
            <w:pPr>
              <w:tabs>
                <w:tab w:val="right" w:pos="1202"/>
              </w:tabs>
              <w:spacing w:after="0" w:line="240" w:lineRule="auto"/>
              <w:outlineLvl w:val="0"/>
              <w:rPr>
                <w:rFonts w:ascii="Calibri" w:eastAsia="Times New Roman" w:hAnsi="Calibri" w:cs="Arial"/>
                <w:spacing w:val="-2"/>
                <w:sz w:val="18"/>
                <w:szCs w:val="18"/>
                <w:lang w:val="en-US"/>
              </w:rPr>
            </w:pPr>
          </w:p>
        </w:tc>
        <w:tc>
          <w:tcPr>
            <w:tcW w:w="1228" w:type="dxa"/>
            <w:shd w:val="clear" w:color="auto" w:fill="auto"/>
            <w:vAlign w:val="bottom"/>
          </w:tcPr>
          <w:p w14:paraId="2927D9FF" w14:textId="77777777" w:rsidR="00456F9A" w:rsidRPr="00657A6C" w:rsidRDefault="00456F9A" w:rsidP="00456F9A">
            <w:pPr>
              <w:tabs>
                <w:tab w:val="right" w:pos="1202"/>
              </w:tabs>
              <w:spacing w:after="0" w:line="240" w:lineRule="auto"/>
              <w:jc w:val="right"/>
              <w:outlineLvl w:val="0"/>
              <w:rPr>
                <w:rFonts w:ascii="Calibri" w:eastAsia="Times New Roman" w:hAnsi="Calibri" w:cs="Arial"/>
                <w:b/>
                <w:spacing w:val="-2"/>
                <w:sz w:val="18"/>
                <w:szCs w:val="18"/>
                <w:lang w:val="en-US"/>
              </w:rPr>
            </w:pPr>
            <w:bookmarkStart w:id="1107" w:name="_Toc4062937"/>
            <w:r w:rsidRPr="00657A6C">
              <w:rPr>
                <w:rFonts w:ascii="Calibri" w:eastAsia="Times New Roman" w:hAnsi="Calibri" w:cs="Arial"/>
                <w:b/>
                <w:spacing w:val="-2"/>
                <w:sz w:val="18"/>
                <w:szCs w:val="18"/>
                <w:lang w:val="en-US"/>
              </w:rPr>
              <w:t>Level 1</w:t>
            </w:r>
            <w:bookmarkEnd w:id="1107"/>
          </w:p>
        </w:tc>
        <w:tc>
          <w:tcPr>
            <w:tcW w:w="1229" w:type="dxa"/>
            <w:shd w:val="clear" w:color="auto" w:fill="auto"/>
            <w:vAlign w:val="bottom"/>
          </w:tcPr>
          <w:p w14:paraId="78E2E027" w14:textId="77777777" w:rsidR="00456F9A" w:rsidRPr="00657A6C" w:rsidRDefault="00456F9A" w:rsidP="00456F9A">
            <w:pPr>
              <w:tabs>
                <w:tab w:val="right" w:pos="1202"/>
              </w:tabs>
              <w:spacing w:after="0" w:line="240" w:lineRule="auto"/>
              <w:jc w:val="right"/>
              <w:outlineLvl w:val="0"/>
              <w:rPr>
                <w:rFonts w:ascii="Calibri" w:eastAsia="Times New Roman" w:hAnsi="Calibri" w:cs="Arial"/>
                <w:b/>
                <w:spacing w:val="-2"/>
                <w:sz w:val="18"/>
                <w:szCs w:val="18"/>
                <w:lang w:val="en-US"/>
              </w:rPr>
            </w:pPr>
            <w:bookmarkStart w:id="1108" w:name="_Toc4062938"/>
            <w:r w:rsidRPr="00657A6C">
              <w:rPr>
                <w:rFonts w:ascii="Calibri" w:eastAsia="Times New Roman" w:hAnsi="Calibri" w:cs="Arial"/>
                <w:b/>
                <w:spacing w:val="-2"/>
                <w:sz w:val="18"/>
                <w:szCs w:val="18"/>
                <w:lang w:val="en-US"/>
              </w:rPr>
              <w:t>Level 2</w:t>
            </w:r>
            <w:bookmarkEnd w:id="1108"/>
          </w:p>
        </w:tc>
        <w:tc>
          <w:tcPr>
            <w:tcW w:w="1230" w:type="dxa"/>
            <w:shd w:val="clear" w:color="auto" w:fill="auto"/>
            <w:vAlign w:val="bottom"/>
          </w:tcPr>
          <w:p w14:paraId="32BE342D" w14:textId="77777777" w:rsidR="00456F9A" w:rsidRPr="00657A6C" w:rsidRDefault="00456F9A" w:rsidP="00456F9A">
            <w:pPr>
              <w:tabs>
                <w:tab w:val="right" w:pos="1202"/>
              </w:tabs>
              <w:spacing w:after="0" w:line="240" w:lineRule="auto"/>
              <w:jc w:val="right"/>
              <w:outlineLvl w:val="0"/>
              <w:rPr>
                <w:rFonts w:ascii="Calibri" w:eastAsia="Times New Roman" w:hAnsi="Calibri" w:cs="Arial"/>
                <w:b/>
                <w:spacing w:val="-2"/>
                <w:sz w:val="18"/>
                <w:szCs w:val="18"/>
                <w:lang w:val="en-US"/>
              </w:rPr>
            </w:pPr>
            <w:bookmarkStart w:id="1109" w:name="_Toc4062939"/>
            <w:r w:rsidRPr="00657A6C">
              <w:rPr>
                <w:rFonts w:ascii="Calibri" w:eastAsia="Times New Roman" w:hAnsi="Calibri" w:cs="Arial"/>
                <w:b/>
                <w:spacing w:val="-2"/>
                <w:sz w:val="18"/>
                <w:szCs w:val="18"/>
                <w:lang w:val="en-US"/>
              </w:rPr>
              <w:t>Level 3</w:t>
            </w:r>
            <w:bookmarkEnd w:id="1109"/>
          </w:p>
        </w:tc>
      </w:tr>
      <w:tr w:rsidR="00456F9A" w:rsidRPr="00657A6C" w14:paraId="076AF3C9" w14:textId="77777777" w:rsidTr="00456F9A">
        <w:trPr>
          <w:trHeight w:hRule="exact" w:val="205"/>
          <w:jc w:val="center"/>
        </w:trPr>
        <w:tc>
          <w:tcPr>
            <w:tcW w:w="5568" w:type="dxa"/>
            <w:shd w:val="clear" w:color="auto" w:fill="auto"/>
            <w:vAlign w:val="bottom"/>
          </w:tcPr>
          <w:p w14:paraId="6749A875" w14:textId="77777777" w:rsidR="00456F9A" w:rsidRPr="00657A6C" w:rsidRDefault="00456F9A" w:rsidP="00456F9A">
            <w:pPr>
              <w:tabs>
                <w:tab w:val="right" w:pos="1202"/>
              </w:tabs>
              <w:spacing w:after="0" w:line="240" w:lineRule="auto"/>
              <w:outlineLvl w:val="0"/>
              <w:rPr>
                <w:rFonts w:ascii="Calibri" w:eastAsia="Times New Roman" w:hAnsi="Calibri" w:cs="Arial"/>
                <w:spacing w:val="-2"/>
                <w:sz w:val="18"/>
                <w:szCs w:val="18"/>
                <w:lang w:val="en-US"/>
              </w:rPr>
            </w:pPr>
          </w:p>
        </w:tc>
        <w:tc>
          <w:tcPr>
            <w:tcW w:w="1228" w:type="dxa"/>
            <w:shd w:val="clear" w:color="auto" w:fill="auto"/>
            <w:vAlign w:val="bottom"/>
          </w:tcPr>
          <w:p w14:paraId="0FD06BFF" w14:textId="77777777" w:rsidR="00456F9A" w:rsidRPr="00657A6C" w:rsidRDefault="00456F9A" w:rsidP="00456F9A">
            <w:pPr>
              <w:tabs>
                <w:tab w:val="right" w:pos="1202"/>
              </w:tabs>
              <w:spacing w:after="0" w:line="240" w:lineRule="auto"/>
              <w:jc w:val="right"/>
              <w:outlineLvl w:val="0"/>
              <w:rPr>
                <w:rFonts w:ascii="Calibri" w:eastAsia="Times New Roman" w:hAnsi="Calibri" w:cs="Arial"/>
                <w:b/>
                <w:spacing w:val="-2"/>
                <w:sz w:val="18"/>
                <w:szCs w:val="18"/>
                <w:lang w:val="en-US"/>
              </w:rPr>
            </w:pPr>
            <w:bookmarkStart w:id="1110" w:name="_Toc4062940"/>
            <w:r w:rsidRPr="00657A6C">
              <w:rPr>
                <w:rFonts w:ascii="Calibri" w:eastAsia="Times New Roman" w:hAnsi="Calibri" w:cs="Arial"/>
                <w:b/>
                <w:spacing w:val="-2"/>
                <w:sz w:val="18"/>
                <w:szCs w:val="18"/>
                <w:lang w:val="en-US"/>
              </w:rPr>
              <w:t>HRK ‘000</w:t>
            </w:r>
            <w:bookmarkEnd w:id="1110"/>
          </w:p>
        </w:tc>
        <w:tc>
          <w:tcPr>
            <w:tcW w:w="1229" w:type="dxa"/>
            <w:shd w:val="clear" w:color="auto" w:fill="auto"/>
            <w:vAlign w:val="bottom"/>
          </w:tcPr>
          <w:p w14:paraId="49CBC0CC" w14:textId="77777777" w:rsidR="00456F9A" w:rsidRPr="00657A6C" w:rsidRDefault="00456F9A" w:rsidP="00456F9A">
            <w:pPr>
              <w:tabs>
                <w:tab w:val="right" w:pos="1202"/>
              </w:tabs>
              <w:spacing w:after="0" w:line="240" w:lineRule="auto"/>
              <w:jc w:val="right"/>
              <w:outlineLvl w:val="0"/>
              <w:rPr>
                <w:rFonts w:ascii="Calibri" w:eastAsia="Times New Roman" w:hAnsi="Calibri" w:cs="Arial"/>
                <w:b/>
                <w:spacing w:val="-2"/>
                <w:sz w:val="18"/>
                <w:szCs w:val="18"/>
                <w:lang w:val="en-US"/>
              </w:rPr>
            </w:pPr>
            <w:bookmarkStart w:id="1111" w:name="_Toc4062941"/>
            <w:r w:rsidRPr="00657A6C">
              <w:rPr>
                <w:rFonts w:ascii="Calibri" w:eastAsia="Times New Roman" w:hAnsi="Calibri" w:cs="Arial"/>
                <w:b/>
                <w:spacing w:val="-2"/>
                <w:sz w:val="18"/>
                <w:szCs w:val="18"/>
                <w:lang w:val="en-US"/>
              </w:rPr>
              <w:t>HRK ‘000</w:t>
            </w:r>
            <w:bookmarkEnd w:id="1111"/>
          </w:p>
        </w:tc>
        <w:tc>
          <w:tcPr>
            <w:tcW w:w="1230" w:type="dxa"/>
            <w:shd w:val="clear" w:color="auto" w:fill="auto"/>
            <w:vAlign w:val="bottom"/>
          </w:tcPr>
          <w:p w14:paraId="28B01D90" w14:textId="77777777" w:rsidR="00456F9A" w:rsidRPr="00657A6C" w:rsidRDefault="00456F9A" w:rsidP="00456F9A">
            <w:pPr>
              <w:tabs>
                <w:tab w:val="right" w:pos="1202"/>
              </w:tabs>
              <w:spacing w:after="0" w:line="240" w:lineRule="auto"/>
              <w:jc w:val="right"/>
              <w:outlineLvl w:val="0"/>
              <w:rPr>
                <w:rFonts w:ascii="Calibri" w:eastAsia="Times New Roman" w:hAnsi="Calibri" w:cs="Arial"/>
                <w:b/>
                <w:spacing w:val="-2"/>
                <w:sz w:val="18"/>
                <w:szCs w:val="18"/>
                <w:lang w:val="en-US"/>
              </w:rPr>
            </w:pPr>
            <w:bookmarkStart w:id="1112" w:name="_Toc4062942"/>
            <w:r w:rsidRPr="00657A6C">
              <w:rPr>
                <w:rFonts w:ascii="Calibri" w:eastAsia="Times New Roman" w:hAnsi="Calibri" w:cs="Arial"/>
                <w:b/>
                <w:spacing w:val="-2"/>
                <w:sz w:val="18"/>
                <w:szCs w:val="18"/>
                <w:lang w:val="en-US"/>
              </w:rPr>
              <w:t>HRK ‘000</w:t>
            </w:r>
            <w:bookmarkEnd w:id="1112"/>
          </w:p>
        </w:tc>
      </w:tr>
      <w:tr w:rsidR="00456F9A" w:rsidRPr="00657A6C" w14:paraId="726BA552" w14:textId="77777777" w:rsidTr="00456F9A">
        <w:trPr>
          <w:trHeight w:val="232"/>
          <w:jc w:val="center"/>
        </w:trPr>
        <w:tc>
          <w:tcPr>
            <w:tcW w:w="5568" w:type="dxa"/>
            <w:vAlign w:val="bottom"/>
          </w:tcPr>
          <w:p w14:paraId="2D170AA9" w14:textId="77777777" w:rsidR="00456F9A" w:rsidRPr="00657A6C" w:rsidRDefault="00456F9A" w:rsidP="00456F9A">
            <w:pPr>
              <w:tabs>
                <w:tab w:val="right" w:pos="1202"/>
              </w:tabs>
              <w:spacing w:after="0" w:line="240" w:lineRule="auto"/>
              <w:outlineLvl w:val="0"/>
              <w:rPr>
                <w:rFonts w:ascii="Calibri" w:eastAsia="Times New Roman" w:hAnsi="Calibri" w:cs="Arial"/>
                <w:spacing w:val="-2"/>
                <w:sz w:val="18"/>
                <w:szCs w:val="18"/>
                <w:highlight w:val="yellow"/>
                <w:lang w:val="en-US"/>
              </w:rPr>
            </w:pPr>
            <w:bookmarkStart w:id="1113" w:name="_Toc4062943"/>
            <w:r w:rsidRPr="00657A6C">
              <w:rPr>
                <w:rFonts w:ascii="Calibri" w:eastAsia="Times New Roman" w:hAnsi="Calibri" w:cs="Arial"/>
                <w:b/>
                <w:sz w:val="18"/>
                <w:szCs w:val="18"/>
                <w:lang w:val="en-US"/>
              </w:rPr>
              <w:t>Financial assets at fair value through profit or loss:</w:t>
            </w:r>
            <w:bookmarkEnd w:id="1113"/>
          </w:p>
        </w:tc>
        <w:tc>
          <w:tcPr>
            <w:tcW w:w="1228" w:type="dxa"/>
            <w:vAlign w:val="bottom"/>
          </w:tcPr>
          <w:p w14:paraId="6800C86A" w14:textId="77777777" w:rsidR="00456F9A" w:rsidRPr="00657A6C" w:rsidRDefault="00456F9A" w:rsidP="00456F9A">
            <w:pPr>
              <w:tabs>
                <w:tab w:val="right" w:pos="1202"/>
              </w:tabs>
              <w:spacing w:after="0" w:line="240" w:lineRule="auto"/>
              <w:jc w:val="right"/>
              <w:outlineLvl w:val="0"/>
              <w:rPr>
                <w:rFonts w:ascii="Calibri" w:eastAsia="Times New Roman" w:hAnsi="Calibri" w:cs="Arial"/>
                <w:b/>
                <w:spacing w:val="-2"/>
                <w:sz w:val="18"/>
                <w:szCs w:val="18"/>
                <w:lang w:val="en-US"/>
              </w:rPr>
            </w:pPr>
          </w:p>
        </w:tc>
        <w:tc>
          <w:tcPr>
            <w:tcW w:w="1229" w:type="dxa"/>
            <w:vAlign w:val="bottom"/>
          </w:tcPr>
          <w:p w14:paraId="01156E3E" w14:textId="77777777" w:rsidR="00456F9A" w:rsidRPr="00657A6C" w:rsidRDefault="00456F9A" w:rsidP="00456F9A">
            <w:pPr>
              <w:tabs>
                <w:tab w:val="right" w:pos="1202"/>
              </w:tabs>
              <w:spacing w:after="0" w:line="240" w:lineRule="auto"/>
              <w:jc w:val="right"/>
              <w:outlineLvl w:val="0"/>
              <w:rPr>
                <w:rFonts w:ascii="Calibri" w:eastAsia="Times New Roman" w:hAnsi="Calibri" w:cs="Arial"/>
                <w:b/>
                <w:spacing w:val="-2"/>
                <w:sz w:val="18"/>
                <w:szCs w:val="18"/>
                <w:lang w:val="en-US"/>
              </w:rPr>
            </w:pPr>
          </w:p>
        </w:tc>
        <w:tc>
          <w:tcPr>
            <w:tcW w:w="1230" w:type="dxa"/>
            <w:vAlign w:val="bottom"/>
          </w:tcPr>
          <w:p w14:paraId="2E32EAEF" w14:textId="77777777" w:rsidR="00456F9A" w:rsidRPr="00657A6C" w:rsidRDefault="00456F9A" w:rsidP="00456F9A">
            <w:pPr>
              <w:tabs>
                <w:tab w:val="right" w:pos="1202"/>
              </w:tabs>
              <w:spacing w:after="0" w:line="240" w:lineRule="auto"/>
              <w:jc w:val="right"/>
              <w:outlineLvl w:val="0"/>
              <w:rPr>
                <w:rFonts w:ascii="Calibri" w:eastAsia="Times New Roman" w:hAnsi="Calibri" w:cs="Arial"/>
                <w:b/>
                <w:spacing w:val="-2"/>
                <w:sz w:val="18"/>
                <w:szCs w:val="18"/>
                <w:lang w:val="en-US"/>
              </w:rPr>
            </w:pPr>
          </w:p>
        </w:tc>
      </w:tr>
      <w:tr w:rsidR="00456F9A" w:rsidRPr="00657A6C" w14:paraId="675554CC" w14:textId="77777777" w:rsidTr="00456F9A">
        <w:trPr>
          <w:trHeight w:val="230"/>
          <w:jc w:val="center"/>
        </w:trPr>
        <w:tc>
          <w:tcPr>
            <w:tcW w:w="5568" w:type="dxa"/>
            <w:vAlign w:val="bottom"/>
          </w:tcPr>
          <w:p w14:paraId="26B21F9B" w14:textId="77777777" w:rsidR="00456F9A" w:rsidRPr="00657A6C" w:rsidRDefault="00456F9A" w:rsidP="00456F9A">
            <w:pPr>
              <w:tabs>
                <w:tab w:val="right" w:pos="1202"/>
              </w:tabs>
              <w:spacing w:after="0" w:line="240" w:lineRule="auto"/>
              <w:outlineLvl w:val="0"/>
              <w:rPr>
                <w:rFonts w:ascii="Calibri" w:eastAsia="Times New Roman" w:hAnsi="Calibri" w:cs="Arial"/>
                <w:b/>
                <w:i/>
                <w:sz w:val="18"/>
                <w:szCs w:val="18"/>
                <w:highlight w:val="yellow"/>
                <w:lang w:val="en-US"/>
              </w:rPr>
            </w:pPr>
            <w:bookmarkStart w:id="1114" w:name="_Toc4062944"/>
            <w:r w:rsidRPr="00657A6C">
              <w:rPr>
                <w:rFonts w:ascii="Calibri" w:eastAsia="Times New Roman" w:hAnsi="Calibri" w:cs="Arial"/>
                <w:b/>
                <w:i/>
                <w:sz w:val="18"/>
                <w:szCs w:val="18"/>
                <w:lang w:val="en-US"/>
              </w:rPr>
              <w:t>Loans at FVPL:</w:t>
            </w:r>
            <w:bookmarkEnd w:id="1114"/>
          </w:p>
        </w:tc>
        <w:tc>
          <w:tcPr>
            <w:tcW w:w="1228" w:type="dxa"/>
            <w:tcBorders>
              <w:top w:val="nil"/>
              <w:left w:val="nil"/>
              <w:right w:val="nil"/>
            </w:tcBorders>
            <w:shd w:val="clear" w:color="auto" w:fill="auto"/>
            <w:vAlign w:val="bottom"/>
          </w:tcPr>
          <w:p w14:paraId="1A735341" w14:textId="77777777" w:rsidR="00456F9A" w:rsidRPr="00657A6C" w:rsidRDefault="00456F9A" w:rsidP="00456F9A">
            <w:pPr>
              <w:tabs>
                <w:tab w:val="right" w:pos="1202"/>
              </w:tabs>
              <w:spacing w:after="0" w:line="240" w:lineRule="auto"/>
              <w:jc w:val="right"/>
              <w:outlineLvl w:val="0"/>
              <w:rPr>
                <w:rFonts w:ascii="Calibri" w:eastAsia="Times New Roman" w:hAnsi="Calibri" w:cs="Arial"/>
                <w:sz w:val="18"/>
                <w:szCs w:val="18"/>
                <w:lang w:val="en-US"/>
              </w:rPr>
            </w:pPr>
          </w:p>
        </w:tc>
        <w:tc>
          <w:tcPr>
            <w:tcW w:w="1229" w:type="dxa"/>
            <w:tcBorders>
              <w:top w:val="nil"/>
              <w:left w:val="nil"/>
              <w:right w:val="nil"/>
            </w:tcBorders>
            <w:shd w:val="clear" w:color="auto" w:fill="auto"/>
            <w:vAlign w:val="bottom"/>
          </w:tcPr>
          <w:p w14:paraId="554DA533" w14:textId="77777777" w:rsidR="00456F9A" w:rsidRPr="00657A6C" w:rsidRDefault="00456F9A" w:rsidP="00456F9A">
            <w:pPr>
              <w:tabs>
                <w:tab w:val="right" w:pos="1202"/>
              </w:tabs>
              <w:spacing w:after="0" w:line="240" w:lineRule="auto"/>
              <w:jc w:val="right"/>
              <w:outlineLvl w:val="0"/>
              <w:rPr>
                <w:rFonts w:ascii="Calibri" w:eastAsia="Times New Roman" w:hAnsi="Calibri" w:cs="Arial"/>
                <w:sz w:val="18"/>
                <w:szCs w:val="18"/>
                <w:lang w:val="en-US"/>
              </w:rPr>
            </w:pPr>
          </w:p>
        </w:tc>
        <w:tc>
          <w:tcPr>
            <w:tcW w:w="1230" w:type="dxa"/>
            <w:tcBorders>
              <w:top w:val="nil"/>
              <w:left w:val="nil"/>
              <w:right w:val="nil"/>
            </w:tcBorders>
            <w:shd w:val="clear" w:color="auto" w:fill="auto"/>
            <w:vAlign w:val="bottom"/>
          </w:tcPr>
          <w:p w14:paraId="1EC78566" w14:textId="77777777" w:rsidR="00456F9A" w:rsidRPr="00657A6C" w:rsidRDefault="00456F9A" w:rsidP="00456F9A">
            <w:pPr>
              <w:tabs>
                <w:tab w:val="right" w:pos="1202"/>
              </w:tabs>
              <w:spacing w:after="0" w:line="240" w:lineRule="auto"/>
              <w:jc w:val="right"/>
              <w:outlineLvl w:val="0"/>
              <w:rPr>
                <w:rFonts w:ascii="Calibri" w:eastAsia="Times New Roman" w:hAnsi="Calibri" w:cs="Arial"/>
                <w:sz w:val="18"/>
                <w:szCs w:val="18"/>
                <w:lang w:val="en-US"/>
              </w:rPr>
            </w:pPr>
          </w:p>
        </w:tc>
      </w:tr>
      <w:tr w:rsidR="00CF390D" w:rsidRPr="00657A6C" w14:paraId="5573F5D6" w14:textId="77777777" w:rsidTr="00456F9A">
        <w:trPr>
          <w:trHeight w:val="230"/>
          <w:jc w:val="center"/>
        </w:trPr>
        <w:tc>
          <w:tcPr>
            <w:tcW w:w="5568" w:type="dxa"/>
            <w:vAlign w:val="bottom"/>
          </w:tcPr>
          <w:p w14:paraId="4FA2FF88" w14:textId="77777777" w:rsidR="00CF390D" w:rsidRPr="00657A6C" w:rsidRDefault="00CF390D" w:rsidP="00CF390D">
            <w:pPr>
              <w:tabs>
                <w:tab w:val="right" w:pos="1202"/>
              </w:tabs>
              <w:spacing w:after="0" w:line="240" w:lineRule="auto"/>
              <w:outlineLvl w:val="0"/>
              <w:rPr>
                <w:rFonts w:ascii="Calibri" w:eastAsia="Times New Roman" w:hAnsi="Calibri" w:cs="Arial"/>
                <w:sz w:val="18"/>
                <w:szCs w:val="18"/>
                <w:highlight w:val="yellow"/>
                <w:lang w:val="en-US"/>
              </w:rPr>
            </w:pPr>
            <w:bookmarkStart w:id="1115" w:name="_Toc4062945"/>
            <w:r w:rsidRPr="00657A6C">
              <w:rPr>
                <w:rFonts w:ascii="Calibri" w:eastAsia="Times New Roman" w:hAnsi="Calibri" w:cs="Arial"/>
                <w:sz w:val="18"/>
                <w:szCs w:val="18"/>
                <w:lang w:val="en-US"/>
              </w:rPr>
              <w:t>Mezzanine loans</w:t>
            </w:r>
            <w:bookmarkEnd w:id="1115"/>
          </w:p>
        </w:tc>
        <w:tc>
          <w:tcPr>
            <w:tcW w:w="1228" w:type="dxa"/>
            <w:tcBorders>
              <w:top w:val="nil"/>
              <w:left w:val="nil"/>
              <w:right w:val="nil"/>
            </w:tcBorders>
            <w:shd w:val="clear" w:color="auto" w:fill="auto"/>
            <w:vAlign w:val="bottom"/>
          </w:tcPr>
          <w:p w14:paraId="3B31F40D" w14:textId="6843FD44" w:rsidR="00CF390D" w:rsidRPr="00657A6C" w:rsidRDefault="00CF390D" w:rsidP="00CF390D">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29" w:type="dxa"/>
            <w:tcBorders>
              <w:top w:val="nil"/>
              <w:left w:val="nil"/>
              <w:right w:val="nil"/>
            </w:tcBorders>
            <w:shd w:val="clear" w:color="auto" w:fill="auto"/>
            <w:vAlign w:val="bottom"/>
          </w:tcPr>
          <w:p w14:paraId="066C62EE" w14:textId="13580CF3" w:rsidR="00CF390D" w:rsidRPr="00657A6C" w:rsidRDefault="00CF390D" w:rsidP="00CF390D">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30" w:type="dxa"/>
            <w:tcBorders>
              <w:top w:val="nil"/>
              <w:left w:val="nil"/>
              <w:right w:val="nil"/>
            </w:tcBorders>
            <w:shd w:val="clear" w:color="auto" w:fill="auto"/>
            <w:vAlign w:val="bottom"/>
          </w:tcPr>
          <w:p w14:paraId="071BED87" w14:textId="55B68BF5" w:rsidR="00CF390D" w:rsidRPr="00657A6C" w:rsidRDefault="00CF390D" w:rsidP="00CF390D">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25</w:t>
            </w:r>
            <w:r w:rsidR="005177E5">
              <w:rPr>
                <w:rFonts w:ascii="Calibri" w:eastAsia="Calibri" w:hAnsi="Calibri" w:cs="Calibri"/>
                <w:color w:val="000000"/>
                <w:sz w:val="18"/>
                <w:szCs w:val="18"/>
              </w:rPr>
              <w:t>,</w:t>
            </w:r>
            <w:r>
              <w:rPr>
                <w:rFonts w:ascii="Calibri" w:eastAsia="Calibri" w:hAnsi="Calibri" w:cs="Calibri"/>
                <w:color w:val="000000"/>
                <w:sz w:val="18"/>
                <w:szCs w:val="18"/>
              </w:rPr>
              <w:t>652</w:t>
            </w:r>
          </w:p>
        </w:tc>
      </w:tr>
      <w:tr w:rsidR="00CF390D" w:rsidRPr="00657A6C" w14:paraId="526CE936" w14:textId="77777777" w:rsidTr="00456F9A">
        <w:trPr>
          <w:trHeight w:val="230"/>
          <w:jc w:val="center"/>
        </w:trPr>
        <w:tc>
          <w:tcPr>
            <w:tcW w:w="5568" w:type="dxa"/>
            <w:vAlign w:val="bottom"/>
          </w:tcPr>
          <w:p w14:paraId="5CAAE982" w14:textId="77777777" w:rsidR="00CF390D" w:rsidRPr="00657A6C" w:rsidRDefault="00CF390D" w:rsidP="00CF390D">
            <w:pPr>
              <w:tabs>
                <w:tab w:val="right" w:pos="1202"/>
              </w:tabs>
              <w:spacing w:after="0" w:line="240" w:lineRule="auto"/>
              <w:outlineLvl w:val="0"/>
              <w:rPr>
                <w:rFonts w:ascii="Calibri" w:eastAsia="Times New Roman" w:hAnsi="Calibri" w:cs="Arial"/>
                <w:b/>
                <w:i/>
                <w:sz w:val="18"/>
                <w:szCs w:val="18"/>
                <w:highlight w:val="yellow"/>
                <w:lang w:val="en-US"/>
              </w:rPr>
            </w:pPr>
            <w:bookmarkStart w:id="1116" w:name="_Toc4062949"/>
            <w:r w:rsidRPr="00657A6C">
              <w:rPr>
                <w:rFonts w:ascii="Calibri" w:eastAsia="Times New Roman" w:hAnsi="Calibri" w:cs="Arial"/>
                <w:b/>
                <w:i/>
                <w:sz w:val="18"/>
                <w:szCs w:val="18"/>
                <w:lang w:val="en-US"/>
              </w:rPr>
              <w:t>Investments in investment funds:</w:t>
            </w:r>
            <w:bookmarkEnd w:id="1116"/>
          </w:p>
        </w:tc>
        <w:tc>
          <w:tcPr>
            <w:tcW w:w="1228" w:type="dxa"/>
            <w:tcBorders>
              <w:top w:val="nil"/>
              <w:left w:val="nil"/>
              <w:right w:val="nil"/>
            </w:tcBorders>
            <w:shd w:val="clear" w:color="auto" w:fill="auto"/>
            <w:vAlign w:val="bottom"/>
          </w:tcPr>
          <w:p w14:paraId="23CD071B" w14:textId="77777777" w:rsidR="00CF390D" w:rsidRPr="00657A6C" w:rsidRDefault="00CF390D" w:rsidP="00CF390D">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tcBorders>
              <w:top w:val="nil"/>
              <w:left w:val="nil"/>
              <w:right w:val="nil"/>
            </w:tcBorders>
            <w:shd w:val="clear" w:color="auto" w:fill="auto"/>
            <w:vAlign w:val="bottom"/>
          </w:tcPr>
          <w:p w14:paraId="0B965959" w14:textId="77777777" w:rsidR="00CF390D" w:rsidRPr="00657A6C" w:rsidRDefault="00CF390D" w:rsidP="00CF390D">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tcBorders>
              <w:top w:val="nil"/>
              <w:left w:val="nil"/>
              <w:right w:val="nil"/>
            </w:tcBorders>
            <w:shd w:val="clear" w:color="auto" w:fill="auto"/>
            <w:vAlign w:val="bottom"/>
          </w:tcPr>
          <w:p w14:paraId="21EE6A33" w14:textId="77777777" w:rsidR="00CF390D" w:rsidRPr="00657A6C" w:rsidRDefault="00CF390D" w:rsidP="00CF390D">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CF390D" w:rsidRPr="00657A6C" w14:paraId="72FF91EF" w14:textId="77777777" w:rsidTr="00456F9A">
        <w:trPr>
          <w:trHeight w:val="230"/>
          <w:jc w:val="center"/>
        </w:trPr>
        <w:tc>
          <w:tcPr>
            <w:tcW w:w="5568" w:type="dxa"/>
            <w:vAlign w:val="bottom"/>
          </w:tcPr>
          <w:p w14:paraId="373BAFC8" w14:textId="77777777" w:rsidR="00CF390D" w:rsidRPr="00657A6C" w:rsidRDefault="00CF390D" w:rsidP="00CF390D">
            <w:pPr>
              <w:tabs>
                <w:tab w:val="right" w:pos="1202"/>
              </w:tabs>
              <w:spacing w:after="0" w:line="240" w:lineRule="auto"/>
              <w:outlineLvl w:val="0"/>
              <w:rPr>
                <w:rFonts w:ascii="Calibri" w:eastAsia="Times New Roman" w:hAnsi="Calibri" w:cs="Arial"/>
                <w:b/>
                <w:i/>
                <w:sz w:val="18"/>
                <w:szCs w:val="18"/>
                <w:highlight w:val="yellow"/>
                <w:lang w:val="en-US"/>
              </w:rPr>
            </w:pPr>
            <w:bookmarkStart w:id="1117" w:name="_Toc4062950"/>
            <w:r w:rsidRPr="00657A6C">
              <w:rPr>
                <w:rFonts w:ascii="Calibri" w:eastAsia="Times New Roman" w:hAnsi="Calibri" w:cs="Arial"/>
                <w:sz w:val="18"/>
                <w:szCs w:val="18"/>
                <w:lang w:val="en-US"/>
              </w:rPr>
              <w:t>Investments in investment funds at fair value through profit or loss</w:t>
            </w:r>
            <w:bookmarkEnd w:id="1117"/>
          </w:p>
        </w:tc>
        <w:tc>
          <w:tcPr>
            <w:tcW w:w="1228" w:type="dxa"/>
            <w:tcBorders>
              <w:top w:val="nil"/>
              <w:left w:val="nil"/>
              <w:right w:val="nil"/>
            </w:tcBorders>
            <w:shd w:val="clear" w:color="auto" w:fill="auto"/>
            <w:vAlign w:val="bottom"/>
          </w:tcPr>
          <w:p w14:paraId="07D36C78" w14:textId="1F9A2AF5" w:rsidR="00CF390D" w:rsidRPr="00657A6C" w:rsidRDefault="00CF390D" w:rsidP="00CF390D">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pacing w:val="-2"/>
                <w:sz w:val="18"/>
                <w:szCs w:val="18"/>
              </w:rPr>
              <w:t>103</w:t>
            </w:r>
            <w:r w:rsidR="005177E5">
              <w:rPr>
                <w:rFonts w:ascii="Calibri" w:eastAsia="Calibri" w:hAnsi="Calibri" w:cs="Calibri"/>
                <w:color w:val="000000"/>
                <w:spacing w:val="-2"/>
                <w:sz w:val="18"/>
                <w:szCs w:val="18"/>
              </w:rPr>
              <w:t>,</w:t>
            </w:r>
            <w:r>
              <w:rPr>
                <w:rFonts w:ascii="Calibri" w:eastAsia="Calibri" w:hAnsi="Calibri" w:cs="Calibri"/>
                <w:color w:val="000000"/>
                <w:spacing w:val="-2"/>
                <w:sz w:val="18"/>
                <w:szCs w:val="18"/>
              </w:rPr>
              <w:t>541</w:t>
            </w:r>
          </w:p>
        </w:tc>
        <w:tc>
          <w:tcPr>
            <w:tcW w:w="1229" w:type="dxa"/>
            <w:tcBorders>
              <w:top w:val="nil"/>
              <w:left w:val="nil"/>
              <w:right w:val="nil"/>
            </w:tcBorders>
            <w:shd w:val="clear" w:color="auto" w:fill="auto"/>
            <w:vAlign w:val="bottom"/>
          </w:tcPr>
          <w:p w14:paraId="54F4DEC8" w14:textId="4939C67C" w:rsidR="00CF390D" w:rsidRPr="00657A6C" w:rsidRDefault="00CF390D" w:rsidP="00CF390D">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pacing w:val="-2"/>
                <w:sz w:val="18"/>
                <w:szCs w:val="18"/>
              </w:rPr>
              <w:t>-</w:t>
            </w:r>
          </w:p>
        </w:tc>
        <w:tc>
          <w:tcPr>
            <w:tcW w:w="1230" w:type="dxa"/>
            <w:tcBorders>
              <w:top w:val="nil"/>
              <w:left w:val="nil"/>
              <w:right w:val="nil"/>
            </w:tcBorders>
            <w:shd w:val="clear" w:color="auto" w:fill="auto"/>
            <w:vAlign w:val="bottom"/>
          </w:tcPr>
          <w:p w14:paraId="5113786B" w14:textId="488070AB" w:rsidR="00CF390D" w:rsidRPr="00657A6C" w:rsidRDefault="00CF390D" w:rsidP="00CF390D">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pacing w:val="-2"/>
                <w:sz w:val="18"/>
                <w:szCs w:val="18"/>
              </w:rPr>
              <w:t>-</w:t>
            </w:r>
          </w:p>
        </w:tc>
      </w:tr>
      <w:tr w:rsidR="00CF390D" w:rsidRPr="00657A6C" w14:paraId="1250D490" w14:textId="77777777" w:rsidTr="00456F9A">
        <w:trPr>
          <w:trHeight w:val="195"/>
          <w:jc w:val="center"/>
        </w:trPr>
        <w:tc>
          <w:tcPr>
            <w:tcW w:w="5568" w:type="dxa"/>
            <w:vAlign w:val="bottom"/>
          </w:tcPr>
          <w:p w14:paraId="6E17DA9C" w14:textId="7339BBDB" w:rsidR="00CF390D" w:rsidRPr="00657A6C" w:rsidRDefault="00CF390D" w:rsidP="00CF390D">
            <w:pPr>
              <w:tabs>
                <w:tab w:val="right" w:pos="1202"/>
              </w:tabs>
              <w:spacing w:after="0" w:line="240" w:lineRule="auto"/>
              <w:outlineLvl w:val="0"/>
              <w:rPr>
                <w:rFonts w:ascii="Calibri" w:eastAsia="Times New Roman" w:hAnsi="Calibri" w:cs="Arial"/>
                <w:b/>
                <w:iCs/>
                <w:spacing w:val="-2"/>
                <w:sz w:val="18"/>
                <w:szCs w:val="18"/>
                <w:lang w:val="en-US"/>
              </w:rPr>
            </w:pPr>
            <w:r w:rsidRPr="00657A6C">
              <w:rPr>
                <w:rFonts w:ascii="Calibri" w:eastAsia="Times New Roman" w:hAnsi="Calibri" w:cs="Arial"/>
                <w:b/>
                <w:iCs/>
                <w:spacing w:val="-2"/>
                <w:sz w:val="18"/>
                <w:szCs w:val="18"/>
                <w:lang w:val="en-US"/>
              </w:rPr>
              <w:t>Equity instruments:</w:t>
            </w:r>
          </w:p>
        </w:tc>
        <w:tc>
          <w:tcPr>
            <w:tcW w:w="1228" w:type="dxa"/>
            <w:tcBorders>
              <w:left w:val="nil"/>
              <w:right w:val="nil"/>
            </w:tcBorders>
            <w:shd w:val="clear" w:color="auto" w:fill="auto"/>
            <w:vAlign w:val="bottom"/>
          </w:tcPr>
          <w:p w14:paraId="242A77D4" w14:textId="77777777" w:rsidR="00CF390D" w:rsidRPr="00657A6C" w:rsidRDefault="00CF390D" w:rsidP="00CF390D">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tcBorders>
              <w:top w:val="nil"/>
              <w:left w:val="nil"/>
              <w:right w:val="nil"/>
            </w:tcBorders>
            <w:shd w:val="clear" w:color="auto" w:fill="auto"/>
            <w:vAlign w:val="bottom"/>
          </w:tcPr>
          <w:p w14:paraId="0C43BBE3" w14:textId="77777777" w:rsidR="00CF390D" w:rsidRPr="00657A6C" w:rsidRDefault="00CF390D" w:rsidP="00CF390D">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tcBorders>
              <w:top w:val="nil"/>
              <w:left w:val="nil"/>
              <w:right w:val="nil"/>
            </w:tcBorders>
            <w:shd w:val="clear" w:color="auto" w:fill="auto"/>
            <w:vAlign w:val="bottom"/>
          </w:tcPr>
          <w:p w14:paraId="1D8BABF7" w14:textId="77777777" w:rsidR="00CF390D" w:rsidRPr="00657A6C" w:rsidRDefault="00CF390D" w:rsidP="00CF390D">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CF390D" w:rsidRPr="00657A6C" w14:paraId="25D3F00F" w14:textId="77777777" w:rsidTr="00456F9A">
        <w:trPr>
          <w:trHeight w:val="195"/>
          <w:jc w:val="center"/>
        </w:trPr>
        <w:tc>
          <w:tcPr>
            <w:tcW w:w="5568" w:type="dxa"/>
            <w:vAlign w:val="bottom"/>
          </w:tcPr>
          <w:p w14:paraId="0404C637" w14:textId="1685E40E" w:rsidR="00CF390D" w:rsidRPr="00657A6C" w:rsidRDefault="00CF390D" w:rsidP="00CF390D">
            <w:pPr>
              <w:tabs>
                <w:tab w:val="right" w:pos="1202"/>
              </w:tabs>
              <w:spacing w:after="0" w:line="240" w:lineRule="auto"/>
              <w:outlineLvl w:val="0"/>
              <w:rPr>
                <w:rFonts w:ascii="Calibri" w:eastAsia="Times New Roman" w:hAnsi="Calibri" w:cs="Arial"/>
                <w:sz w:val="18"/>
                <w:szCs w:val="18"/>
                <w:highlight w:val="yellow"/>
                <w:lang w:val="en-US"/>
              </w:rPr>
            </w:pPr>
            <w:bookmarkStart w:id="1118" w:name="_Toc4062960"/>
            <w:r w:rsidRPr="00657A6C">
              <w:rPr>
                <w:rFonts w:ascii="Calibri" w:eastAsia="Times New Roman" w:hAnsi="Calibri" w:cs="Arial"/>
                <w:b/>
                <w:i/>
                <w:spacing w:val="-2"/>
                <w:sz w:val="18"/>
                <w:szCs w:val="18"/>
                <w:lang w:val="en-US"/>
              </w:rPr>
              <w:t>Unlisted equity instruments:</w:t>
            </w:r>
            <w:bookmarkEnd w:id="1118"/>
          </w:p>
        </w:tc>
        <w:tc>
          <w:tcPr>
            <w:tcW w:w="1228" w:type="dxa"/>
            <w:tcBorders>
              <w:left w:val="nil"/>
              <w:right w:val="nil"/>
            </w:tcBorders>
            <w:shd w:val="clear" w:color="auto" w:fill="auto"/>
            <w:vAlign w:val="bottom"/>
          </w:tcPr>
          <w:p w14:paraId="4634EAEC" w14:textId="77777777" w:rsidR="00CF390D" w:rsidRPr="00657A6C" w:rsidRDefault="00CF390D" w:rsidP="00CF390D">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tcBorders>
              <w:top w:val="nil"/>
              <w:left w:val="nil"/>
              <w:right w:val="nil"/>
            </w:tcBorders>
            <w:shd w:val="clear" w:color="auto" w:fill="auto"/>
            <w:vAlign w:val="bottom"/>
          </w:tcPr>
          <w:p w14:paraId="77252963" w14:textId="77777777" w:rsidR="00CF390D" w:rsidRPr="00657A6C" w:rsidRDefault="00CF390D" w:rsidP="00CF390D">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tcBorders>
              <w:top w:val="nil"/>
              <w:left w:val="nil"/>
              <w:right w:val="nil"/>
            </w:tcBorders>
            <w:shd w:val="clear" w:color="auto" w:fill="auto"/>
            <w:vAlign w:val="bottom"/>
          </w:tcPr>
          <w:p w14:paraId="67B1AA02" w14:textId="77777777" w:rsidR="00CF390D" w:rsidRPr="00657A6C" w:rsidRDefault="00CF390D" w:rsidP="00CF390D">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CF390D" w:rsidRPr="00657A6C" w14:paraId="2CD4E1E3" w14:textId="77777777" w:rsidTr="00456F9A">
        <w:trPr>
          <w:trHeight w:hRule="exact" w:val="230"/>
          <w:jc w:val="center"/>
        </w:trPr>
        <w:tc>
          <w:tcPr>
            <w:tcW w:w="5568" w:type="dxa"/>
            <w:shd w:val="clear" w:color="auto" w:fill="auto"/>
            <w:vAlign w:val="bottom"/>
          </w:tcPr>
          <w:p w14:paraId="4EAD476A" w14:textId="77777777" w:rsidR="00CF390D" w:rsidRPr="00657A6C" w:rsidRDefault="00CF390D" w:rsidP="00CF390D">
            <w:pPr>
              <w:tabs>
                <w:tab w:val="right" w:pos="1202"/>
              </w:tabs>
              <w:spacing w:after="0" w:line="240" w:lineRule="auto"/>
              <w:outlineLvl w:val="0"/>
              <w:rPr>
                <w:rFonts w:ascii="Calibri" w:eastAsia="Times New Roman" w:hAnsi="Calibri" w:cs="Arial"/>
                <w:b/>
                <w:i/>
                <w:spacing w:val="-2"/>
                <w:sz w:val="18"/>
                <w:szCs w:val="18"/>
                <w:lang w:val="en-US"/>
              </w:rPr>
            </w:pPr>
            <w:bookmarkStart w:id="1119" w:name="_Toc4062961"/>
            <w:r w:rsidRPr="00657A6C">
              <w:rPr>
                <w:rFonts w:ascii="Calibri" w:eastAsia="Times New Roman" w:hAnsi="Calibri" w:cs="Arial"/>
                <w:sz w:val="18"/>
                <w:szCs w:val="18"/>
                <w:lang w:val="en-US"/>
              </w:rPr>
              <w:t>Investments in corporate shares</w:t>
            </w:r>
            <w:bookmarkEnd w:id="1119"/>
          </w:p>
        </w:tc>
        <w:tc>
          <w:tcPr>
            <w:tcW w:w="1228" w:type="dxa"/>
            <w:tcBorders>
              <w:left w:val="nil"/>
              <w:right w:val="nil"/>
            </w:tcBorders>
            <w:shd w:val="clear" w:color="auto" w:fill="auto"/>
            <w:vAlign w:val="bottom"/>
          </w:tcPr>
          <w:p w14:paraId="689990C9" w14:textId="026F2000" w:rsidR="00CF390D" w:rsidRPr="00657A6C" w:rsidRDefault="00CF390D" w:rsidP="00CF390D">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29" w:type="dxa"/>
            <w:tcBorders>
              <w:top w:val="nil"/>
              <w:left w:val="nil"/>
              <w:right w:val="nil"/>
            </w:tcBorders>
            <w:shd w:val="clear" w:color="auto" w:fill="auto"/>
            <w:vAlign w:val="bottom"/>
          </w:tcPr>
          <w:p w14:paraId="665462B5" w14:textId="7C2B453C" w:rsidR="00CF390D" w:rsidRPr="00657A6C" w:rsidRDefault="00CF390D" w:rsidP="00CF390D">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30" w:type="dxa"/>
            <w:tcBorders>
              <w:top w:val="nil"/>
              <w:left w:val="nil"/>
              <w:right w:val="nil"/>
            </w:tcBorders>
            <w:shd w:val="clear" w:color="auto" w:fill="auto"/>
            <w:vAlign w:val="bottom"/>
          </w:tcPr>
          <w:p w14:paraId="4E5BA4FA" w14:textId="230C1992" w:rsidR="00CF390D" w:rsidRPr="00657A6C" w:rsidRDefault="00CF390D" w:rsidP="00CF390D">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31</w:t>
            </w:r>
          </w:p>
        </w:tc>
      </w:tr>
      <w:tr w:rsidR="00CF390D" w:rsidRPr="00657A6C" w14:paraId="13761614" w14:textId="77777777" w:rsidTr="00456F9A">
        <w:trPr>
          <w:trHeight w:hRule="exact" w:val="230"/>
          <w:jc w:val="center"/>
        </w:trPr>
        <w:tc>
          <w:tcPr>
            <w:tcW w:w="5568" w:type="dxa"/>
            <w:shd w:val="clear" w:color="auto" w:fill="auto"/>
            <w:vAlign w:val="bottom"/>
          </w:tcPr>
          <w:p w14:paraId="7DEA9DD9" w14:textId="77777777" w:rsidR="00CF390D" w:rsidRPr="00657A6C" w:rsidRDefault="00CF390D" w:rsidP="00CF390D">
            <w:pPr>
              <w:tabs>
                <w:tab w:val="right" w:pos="1202"/>
              </w:tabs>
              <w:spacing w:after="0" w:line="240" w:lineRule="auto"/>
              <w:outlineLvl w:val="0"/>
              <w:rPr>
                <w:rFonts w:ascii="Calibri" w:eastAsia="Times New Roman" w:hAnsi="Calibri" w:cs="Arial"/>
                <w:sz w:val="18"/>
                <w:szCs w:val="18"/>
                <w:lang w:val="en-US"/>
              </w:rPr>
            </w:pPr>
            <w:r w:rsidRPr="00657A6C">
              <w:rPr>
                <w:rFonts w:ascii="Calibri" w:eastAsia="Times New Roman" w:hAnsi="Calibri" w:cs="Arial"/>
                <w:sz w:val="18"/>
                <w:szCs w:val="18"/>
                <w:lang w:val="en-US"/>
              </w:rPr>
              <w:t>Depository receipt - DR</w:t>
            </w:r>
          </w:p>
        </w:tc>
        <w:tc>
          <w:tcPr>
            <w:tcW w:w="1228" w:type="dxa"/>
            <w:tcBorders>
              <w:left w:val="nil"/>
              <w:right w:val="nil"/>
            </w:tcBorders>
            <w:shd w:val="clear" w:color="auto" w:fill="auto"/>
            <w:vAlign w:val="bottom"/>
          </w:tcPr>
          <w:p w14:paraId="2CB68C9D" w14:textId="223DA984" w:rsidR="00CF390D" w:rsidRPr="00657A6C" w:rsidRDefault="00CF390D" w:rsidP="00CF390D">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29" w:type="dxa"/>
            <w:tcBorders>
              <w:top w:val="nil"/>
              <w:left w:val="nil"/>
              <w:right w:val="nil"/>
            </w:tcBorders>
            <w:shd w:val="clear" w:color="auto" w:fill="auto"/>
            <w:vAlign w:val="bottom"/>
          </w:tcPr>
          <w:p w14:paraId="723D2365" w14:textId="329CFEA0" w:rsidR="00CF390D" w:rsidRPr="00657A6C" w:rsidRDefault="00CF390D" w:rsidP="00CF390D">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30" w:type="dxa"/>
            <w:tcBorders>
              <w:top w:val="nil"/>
              <w:left w:val="nil"/>
              <w:right w:val="nil"/>
            </w:tcBorders>
            <w:shd w:val="clear" w:color="auto" w:fill="auto"/>
            <w:vAlign w:val="bottom"/>
          </w:tcPr>
          <w:p w14:paraId="2E83DB05" w14:textId="4BE11984" w:rsidR="00CF390D" w:rsidRPr="00657A6C" w:rsidRDefault="00CF390D" w:rsidP="00CF390D">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320</w:t>
            </w:r>
          </w:p>
        </w:tc>
      </w:tr>
      <w:tr w:rsidR="00CF390D" w:rsidRPr="00657A6C" w14:paraId="12C9844F" w14:textId="77777777" w:rsidTr="00456F9A">
        <w:trPr>
          <w:trHeight w:val="254"/>
          <w:jc w:val="center"/>
        </w:trPr>
        <w:tc>
          <w:tcPr>
            <w:tcW w:w="5568" w:type="dxa"/>
            <w:vAlign w:val="bottom"/>
          </w:tcPr>
          <w:p w14:paraId="4BCF917E" w14:textId="77777777" w:rsidR="00CF390D" w:rsidRPr="00657A6C" w:rsidRDefault="00CF390D" w:rsidP="00CF390D">
            <w:pPr>
              <w:tabs>
                <w:tab w:val="right" w:pos="1202"/>
              </w:tabs>
              <w:spacing w:after="0" w:line="240" w:lineRule="auto"/>
              <w:outlineLvl w:val="0"/>
              <w:rPr>
                <w:rFonts w:ascii="Calibri" w:eastAsia="Times New Roman" w:hAnsi="Calibri" w:cs="Arial"/>
                <w:sz w:val="18"/>
                <w:szCs w:val="18"/>
                <w:highlight w:val="yellow"/>
                <w:lang w:val="en-US"/>
              </w:rPr>
            </w:pPr>
            <w:bookmarkStart w:id="1120" w:name="_Toc4062969"/>
            <w:r w:rsidRPr="00657A6C">
              <w:rPr>
                <w:rFonts w:ascii="Calibri" w:eastAsia="Times New Roman" w:hAnsi="Calibri" w:cs="Arial"/>
                <w:b/>
                <w:sz w:val="18"/>
                <w:szCs w:val="18"/>
                <w:lang w:val="en-US"/>
              </w:rPr>
              <w:t>Total financial assets at fair value through profit or loss</w:t>
            </w:r>
            <w:bookmarkEnd w:id="1120"/>
          </w:p>
        </w:tc>
        <w:tc>
          <w:tcPr>
            <w:tcW w:w="1228" w:type="dxa"/>
            <w:tcBorders>
              <w:top w:val="single" w:sz="4" w:space="0" w:color="auto"/>
              <w:left w:val="nil"/>
              <w:bottom w:val="single" w:sz="12" w:space="0" w:color="auto"/>
              <w:right w:val="nil"/>
            </w:tcBorders>
            <w:shd w:val="clear" w:color="auto" w:fill="auto"/>
            <w:vAlign w:val="bottom"/>
          </w:tcPr>
          <w:p w14:paraId="750D70B4" w14:textId="4E08E0BC" w:rsidR="00CF390D" w:rsidRPr="00657A6C" w:rsidRDefault="00CF390D" w:rsidP="00CF390D">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cs="Calibri"/>
                <w:b/>
                <w:color w:val="000000"/>
                <w:sz w:val="18"/>
                <w:szCs w:val="18"/>
              </w:rPr>
              <w:t>103</w:t>
            </w:r>
            <w:r w:rsidR="005177E5">
              <w:rPr>
                <w:rFonts w:ascii="Calibri" w:eastAsia="Calibri" w:hAnsi="Calibri" w:cs="Calibri"/>
                <w:b/>
                <w:color w:val="000000"/>
                <w:sz w:val="18"/>
                <w:szCs w:val="18"/>
              </w:rPr>
              <w:t>,</w:t>
            </w:r>
            <w:r>
              <w:rPr>
                <w:rFonts w:ascii="Calibri" w:eastAsia="Calibri" w:hAnsi="Calibri" w:cs="Calibri"/>
                <w:b/>
                <w:color w:val="000000"/>
                <w:sz w:val="18"/>
                <w:szCs w:val="18"/>
              </w:rPr>
              <w:t>541</w:t>
            </w:r>
          </w:p>
        </w:tc>
        <w:tc>
          <w:tcPr>
            <w:tcW w:w="1229" w:type="dxa"/>
            <w:tcBorders>
              <w:top w:val="single" w:sz="4" w:space="0" w:color="auto"/>
              <w:left w:val="nil"/>
              <w:bottom w:val="single" w:sz="12" w:space="0" w:color="auto"/>
              <w:right w:val="nil"/>
            </w:tcBorders>
            <w:shd w:val="clear" w:color="auto" w:fill="auto"/>
            <w:vAlign w:val="bottom"/>
          </w:tcPr>
          <w:p w14:paraId="1FA992BE" w14:textId="365FCF77" w:rsidR="00CF390D" w:rsidRPr="00657A6C" w:rsidRDefault="00CF390D" w:rsidP="00CF390D">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cs="Calibri"/>
                <w:b/>
                <w:color w:val="000000"/>
                <w:sz w:val="18"/>
                <w:szCs w:val="18"/>
              </w:rPr>
              <w:t>-</w:t>
            </w:r>
          </w:p>
        </w:tc>
        <w:tc>
          <w:tcPr>
            <w:tcW w:w="1230" w:type="dxa"/>
            <w:tcBorders>
              <w:top w:val="single" w:sz="4" w:space="0" w:color="auto"/>
              <w:left w:val="nil"/>
              <w:bottom w:val="single" w:sz="12" w:space="0" w:color="auto"/>
              <w:right w:val="nil"/>
            </w:tcBorders>
            <w:shd w:val="clear" w:color="auto" w:fill="auto"/>
            <w:vAlign w:val="bottom"/>
          </w:tcPr>
          <w:p w14:paraId="476F457C" w14:textId="04E6FF5A" w:rsidR="00CF390D" w:rsidRPr="00657A6C" w:rsidRDefault="00CF390D" w:rsidP="00CF390D">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cs="Calibri"/>
                <w:b/>
                <w:color w:val="000000"/>
                <w:sz w:val="18"/>
                <w:szCs w:val="18"/>
              </w:rPr>
              <w:t>26</w:t>
            </w:r>
            <w:r w:rsidR="005177E5">
              <w:rPr>
                <w:rFonts w:ascii="Calibri" w:eastAsia="Calibri" w:hAnsi="Calibri" w:cs="Calibri"/>
                <w:b/>
                <w:color w:val="000000"/>
                <w:sz w:val="18"/>
                <w:szCs w:val="18"/>
              </w:rPr>
              <w:t>,</w:t>
            </w:r>
            <w:r>
              <w:rPr>
                <w:rFonts w:ascii="Calibri" w:eastAsia="Calibri" w:hAnsi="Calibri" w:cs="Calibri"/>
                <w:b/>
                <w:color w:val="000000"/>
                <w:sz w:val="18"/>
                <w:szCs w:val="18"/>
              </w:rPr>
              <w:t>003</w:t>
            </w:r>
          </w:p>
        </w:tc>
      </w:tr>
      <w:tr w:rsidR="00CF390D" w:rsidRPr="00657A6C" w14:paraId="7AAD79C9" w14:textId="77777777" w:rsidTr="00456F9A">
        <w:trPr>
          <w:trHeight w:val="174"/>
          <w:jc w:val="center"/>
        </w:trPr>
        <w:tc>
          <w:tcPr>
            <w:tcW w:w="5568" w:type="dxa"/>
            <w:shd w:val="clear" w:color="auto" w:fill="auto"/>
            <w:vAlign w:val="bottom"/>
          </w:tcPr>
          <w:p w14:paraId="57E59181" w14:textId="77777777" w:rsidR="00CF390D" w:rsidRPr="00657A6C" w:rsidRDefault="00CF390D" w:rsidP="00CF390D">
            <w:pPr>
              <w:tabs>
                <w:tab w:val="right" w:pos="1202"/>
              </w:tabs>
              <w:spacing w:after="0" w:line="240" w:lineRule="auto"/>
              <w:outlineLvl w:val="0"/>
              <w:rPr>
                <w:rFonts w:ascii="Calibri" w:eastAsia="Times New Roman" w:hAnsi="Calibri" w:cs="Arial"/>
                <w:b/>
                <w:spacing w:val="-2"/>
                <w:sz w:val="18"/>
                <w:szCs w:val="18"/>
                <w:highlight w:val="yellow"/>
                <w:lang w:val="en-US"/>
              </w:rPr>
            </w:pPr>
            <w:bookmarkStart w:id="1121" w:name="_Toc4062973"/>
            <w:r w:rsidRPr="00657A6C">
              <w:rPr>
                <w:rFonts w:ascii="Calibri" w:eastAsia="Times New Roman" w:hAnsi="Calibri" w:cs="Arial"/>
                <w:b/>
                <w:spacing w:val="-2"/>
                <w:sz w:val="18"/>
                <w:szCs w:val="18"/>
                <w:lang w:val="en-US"/>
              </w:rPr>
              <w:t>Financial assets at fair value through other comprehensive income:</w:t>
            </w:r>
            <w:bookmarkEnd w:id="1121"/>
          </w:p>
        </w:tc>
        <w:tc>
          <w:tcPr>
            <w:tcW w:w="1228" w:type="dxa"/>
            <w:vAlign w:val="bottom"/>
          </w:tcPr>
          <w:p w14:paraId="1D0BF4A8" w14:textId="77777777" w:rsidR="00CF390D" w:rsidRPr="00657A6C" w:rsidDel="00561A80" w:rsidRDefault="00CF390D" w:rsidP="00CF390D">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vAlign w:val="bottom"/>
          </w:tcPr>
          <w:p w14:paraId="6EB58EFF" w14:textId="77777777" w:rsidR="00CF390D" w:rsidRPr="00657A6C" w:rsidDel="00561A80" w:rsidRDefault="00CF390D" w:rsidP="00CF390D">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vAlign w:val="bottom"/>
          </w:tcPr>
          <w:p w14:paraId="463BAECB" w14:textId="77777777" w:rsidR="00CF390D" w:rsidRPr="00657A6C" w:rsidDel="00561A80" w:rsidRDefault="00CF390D" w:rsidP="00CF390D">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CF390D" w:rsidRPr="00657A6C" w14:paraId="17F64B6B" w14:textId="77777777" w:rsidTr="00456F9A">
        <w:trPr>
          <w:trHeight w:val="246"/>
          <w:jc w:val="center"/>
        </w:trPr>
        <w:tc>
          <w:tcPr>
            <w:tcW w:w="5568" w:type="dxa"/>
            <w:shd w:val="clear" w:color="auto" w:fill="auto"/>
            <w:vAlign w:val="bottom"/>
          </w:tcPr>
          <w:p w14:paraId="6C25FE44" w14:textId="77777777" w:rsidR="00CF390D" w:rsidRPr="00657A6C" w:rsidRDefault="00CF390D" w:rsidP="00CF390D">
            <w:pPr>
              <w:tabs>
                <w:tab w:val="right" w:pos="1202"/>
              </w:tabs>
              <w:spacing w:after="0" w:line="240" w:lineRule="auto"/>
              <w:outlineLvl w:val="0"/>
              <w:rPr>
                <w:rFonts w:ascii="Calibri" w:eastAsia="Times New Roman" w:hAnsi="Calibri" w:cs="Arial"/>
                <w:b/>
                <w:spacing w:val="-2"/>
                <w:sz w:val="18"/>
                <w:szCs w:val="18"/>
                <w:highlight w:val="yellow"/>
                <w:lang w:val="en-US"/>
              </w:rPr>
            </w:pPr>
            <w:bookmarkStart w:id="1122" w:name="_Toc4062974"/>
            <w:r w:rsidRPr="00657A6C">
              <w:rPr>
                <w:rFonts w:ascii="Calibri" w:eastAsia="Times New Roman" w:hAnsi="Calibri" w:cs="Arial"/>
                <w:b/>
                <w:spacing w:val="-2"/>
                <w:sz w:val="18"/>
                <w:szCs w:val="18"/>
                <w:lang w:val="en-US"/>
              </w:rPr>
              <w:t>Debt instruments:</w:t>
            </w:r>
            <w:bookmarkEnd w:id="1122"/>
          </w:p>
        </w:tc>
        <w:tc>
          <w:tcPr>
            <w:tcW w:w="1228" w:type="dxa"/>
            <w:vAlign w:val="bottom"/>
          </w:tcPr>
          <w:p w14:paraId="0898666D" w14:textId="77777777" w:rsidR="00CF390D" w:rsidRPr="00657A6C" w:rsidDel="00561A80" w:rsidRDefault="00CF390D" w:rsidP="00CF390D">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vAlign w:val="bottom"/>
          </w:tcPr>
          <w:p w14:paraId="599E107A" w14:textId="77777777" w:rsidR="00CF390D" w:rsidRPr="00657A6C" w:rsidDel="00561A80" w:rsidRDefault="00CF390D" w:rsidP="00CF390D">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vAlign w:val="bottom"/>
          </w:tcPr>
          <w:p w14:paraId="1FEB10F5" w14:textId="77777777" w:rsidR="00CF390D" w:rsidRPr="00657A6C" w:rsidDel="00561A80" w:rsidRDefault="00CF390D" w:rsidP="00CF390D">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CF390D" w:rsidRPr="00657A6C" w14:paraId="44237DBB" w14:textId="77777777" w:rsidTr="00456F9A">
        <w:trPr>
          <w:trHeight w:val="246"/>
          <w:jc w:val="center"/>
        </w:trPr>
        <w:tc>
          <w:tcPr>
            <w:tcW w:w="5568" w:type="dxa"/>
            <w:shd w:val="clear" w:color="auto" w:fill="auto"/>
            <w:vAlign w:val="bottom"/>
          </w:tcPr>
          <w:p w14:paraId="5EB7F520" w14:textId="77777777" w:rsidR="00CF390D" w:rsidRPr="00657A6C" w:rsidRDefault="00CF390D" w:rsidP="00CF390D">
            <w:pPr>
              <w:tabs>
                <w:tab w:val="right" w:pos="1202"/>
              </w:tabs>
              <w:spacing w:after="0" w:line="240" w:lineRule="auto"/>
              <w:outlineLvl w:val="0"/>
              <w:rPr>
                <w:rFonts w:ascii="Calibri" w:eastAsia="Times New Roman" w:hAnsi="Calibri" w:cs="Arial"/>
                <w:b/>
                <w:i/>
                <w:spacing w:val="-2"/>
                <w:sz w:val="18"/>
                <w:szCs w:val="18"/>
                <w:highlight w:val="yellow"/>
                <w:lang w:val="en-US"/>
              </w:rPr>
            </w:pPr>
            <w:bookmarkStart w:id="1123" w:name="_Toc4062975"/>
            <w:r w:rsidRPr="00657A6C">
              <w:rPr>
                <w:rFonts w:ascii="Calibri" w:eastAsia="Times New Roman" w:hAnsi="Calibri" w:cs="Arial"/>
                <w:b/>
                <w:i/>
                <w:spacing w:val="-2"/>
                <w:sz w:val="18"/>
                <w:szCs w:val="18"/>
                <w:lang w:val="en-US"/>
              </w:rPr>
              <w:t>Listed debt instruments:</w:t>
            </w:r>
            <w:bookmarkEnd w:id="1123"/>
          </w:p>
        </w:tc>
        <w:tc>
          <w:tcPr>
            <w:tcW w:w="1228" w:type="dxa"/>
            <w:vAlign w:val="bottom"/>
          </w:tcPr>
          <w:p w14:paraId="5243C1BD" w14:textId="77777777" w:rsidR="00CF390D" w:rsidRPr="00657A6C" w:rsidDel="00561A80" w:rsidRDefault="00CF390D" w:rsidP="00CF390D">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vAlign w:val="bottom"/>
          </w:tcPr>
          <w:p w14:paraId="0C6C45D5" w14:textId="77777777" w:rsidR="00CF390D" w:rsidRPr="00657A6C" w:rsidDel="00561A80" w:rsidRDefault="00CF390D" w:rsidP="00CF390D">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vAlign w:val="bottom"/>
          </w:tcPr>
          <w:p w14:paraId="30BFAB83" w14:textId="77777777" w:rsidR="00CF390D" w:rsidRPr="00657A6C" w:rsidDel="00561A80" w:rsidRDefault="00CF390D" w:rsidP="00CF390D">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047D1A" w:rsidRPr="00657A6C" w14:paraId="2B80A737" w14:textId="77777777" w:rsidTr="00456F9A">
        <w:trPr>
          <w:trHeight w:val="246"/>
          <w:jc w:val="center"/>
        </w:trPr>
        <w:tc>
          <w:tcPr>
            <w:tcW w:w="5568" w:type="dxa"/>
            <w:shd w:val="clear" w:color="auto" w:fill="auto"/>
            <w:vAlign w:val="bottom"/>
          </w:tcPr>
          <w:p w14:paraId="209B512B" w14:textId="77777777" w:rsidR="00047D1A" w:rsidRPr="00657A6C" w:rsidRDefault="00047D1A" w:rsidP="00047D1A">
            <w:pPr>
              <w:tabs>
                <w:tab w:val="right" w:pos="1202"/>
              </w:tabs>
              <w:spacing w:after="0" w:line="240" w:lineRule="auto"/>
              <w:outlineLvl w:val="0"/>
              <w:rPr>
                <w:rFonts w:ascii="Calibri" w:eastAsia="Times New Roman" w:hAnsi="Calibri" w:cs="Arial"/>
                <w:spacing w:val="-2"/>
                <w:sz w:val="18"/>
                <w:szCs w:val="18"/>
                <w:lang w:val="en-US"/>
              </w:rPr>
            </w:pPr>
            <w:bookmarkStart w:id="1124" w:name="_Toc4062976"/>
            <w:r w:rsidRPr="00657A6C">
              <w:rPr>
                <w:rFonts w:ascii="Calibri" w:eastAsia="Times New Roman" w:hAnsi="Calibri" w:cs="Arial"/>
                <w:spacing w:val="-2"/>
                <w:sz w:val="18"/>
                <w:szCs w:val="18"/>
                <w:lang w:val="en-US"/>
              </w:rPr>
              <w:t>Bonds of the Republic of Croatia</w:t>
            </w:r>
            <w:bookmarkEnd w:id="1124"/>
          </w:p>
        </w:tc>
        <w:tc>
          <w:tcPr>
            <w:tcW w:w="1228" w:type="dxa"/>
            <w:tcBorders>
              <w:top w:val="nil"/>
              <w:left w:val="nil"/>
              <w:bottom w:val="nil"/>
              <w:right w:val="nil"/>
            </w:tcBorders>
            <w:shd w:val="clear" w:color="auto" w:fill="auto"/>
            <w:vAlign w:val="bottom"/>
          </w:tcPr>
          <w:p w14:paraId="0185971F" w14:textId="465EF107" w:rsidR="00047D1A" w:rsidRPr="00657A6C" w:rsidRDefault="00047D1A" w:rsidP="00047D1A">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pacing w:val="-2"/>
                <w:sz w:val="18"/>
                <w:szCs w:val="18"/>
              </w:rPr>
              <w:t>1</w:t>
            </w:r>
            <w:r w:rsidR="005177E5">
              <w:rPr>
                <w:rFonts w:ascii="Calibri" w:eastAsia="Calibri" w:hAnsi="Calibri" w:cs="Calibri"/>
                <w:color w:val="000000"/>
                <w:spacing w:val="-2"/>
                <w:sz w:val="18"/>
                <w:szCs w:val="18"/>
              </w:rPr>
              <w:t>,</w:t>
            </w:r>
            <w:r>
              <w:rPr>
                <w:rFonts w:ascii="Calibri" w:eastAsia="Calibri" w:hAnsi="Calibri" w:cs="Calibri"/>
                <w:color w:val="000000"/>
                <w:spacing w:val="-2"/>
                <w:sz w:val="18"/>
                <w:szCs w:val="18"/>
              </w:rPr>
              <w:t>587</w:t>
            </w:r>
            <w:r w:rsidR="005177E5">
              <w:rPr>
                <w:rFonts w:ascii="Calibri" w:eastAsia="Calibri" w:hAnsi="Calibri" w:cs="Calibri"/>
                <w:color w:val="000000"/>
                <w:spacing w:val="-2"/>
                <w:sz w:val="18"/>
                <w:szCs w:val="18"/>
              </w:rPr>
              <w:t>,</w:t>
            </w:r>
            <w:r>
              <w:rPr>
                <w:rFonts w:ascii="Calibri" w:eastAsia="Calibri" w:hAnsi="Calibri" w:cs="Calibri"/>
                <w:color w:val="000000"/>
                <w:spacing w:val="-2"/>
                <w:sz w:val="18"/>
                <w:szCs w:val="18"/>
              </w:rPr>
              <w:t>711</w:t>
            </w:r>
          </w:p>
        </w:tc>
        <w:tc>
          <w:tcPr>
            <w:tcW w:w="1229" w:type="dxa"/>
            <w:tcBorders>
              <w:top w:val="nil"/>
              <w:left w:val="nil"/>
              <w:bottom w:val="nil"/>
              <w:right w:val="nil"/>
            </w:tcBorders>
            <w:shd w:val="clear" w:color="auto" w:fill="auto"/>
            <w:vAlign w:val="bottom"/>
          </w:tcPr>
          <w:p w14:paraId="7D033216" w14:textId="11721C9B" w:rsidR="00047D1A" w:rsidRPr="00657A6C" w:rsidRDefault="00047D1A" w:rsidP="00047D1A">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30" w:type="dxa"/>
            <w:tcBorders>
              <w:top w:val="nil"/>
              <w:left w:val="nil"/>
              <w:bottom w:val="nil"/>
              <w:right w:val="nil"/>
            </w:tcBorders>
            <w:shd w:val="clear" w:color="auto" w:fill="auto"/>
            <w:vAlign w:val="bottom"/>
          </w:tcPr>
          <w:p w14:paraId="7EA56E2D" w14:textId="61C01669" w:rsidR="00047D1A" w:rsidRPr="00657A6C" w:rsidRDefault="00047D1A" w:rsidP="00047D1A">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r>
      <w:tr w:rsidR="00047D1A" w:rsidRPr="00657A6C" w14:paraId="5E2EC5C6" w14:textId="77777777" w:rsidTr="00456F9A">
        <w:trPr>
          <w:trHeight w:val="246"/>
          <w:jc w:val="center"/>
        </w:trPr>
        <w:tc>
          <w:tcPr>
            <w:tcW w:w="5568" w:type="dxa"/>
            <w:shd w:val="clear" w:color="auto" w:fill="auto"/>
            <w:vAlign w:val="bottom"/>
          </w:tcPr>
          <w:p w14:paraId="019BADFE" w14:textId="77777777" w:rsidR="00047D1A" w:rsidRPr="00657A6C" w:rsidRDefault="00047D1A" w:rsidP="00047D1A">
            <w:pPr>
              <w:tabs>
                <w:tab w:val="right" w:pos="1202"/>
              </w:tabs>
              <w:spacing w:after="0" w:line="240" w:lineRule="auto"/>
              <w:outlineLvl w:val="0"/>
              <w:rPr>
                <w:rFonts w:ascii="Calibri" w:eastAsia="Times New Roman" w:hAnsi="Calibri" w:cs="Arial"/>
                <w:spacing w:val="-2"/>
                <w:sz w:val="18"/>
                <w:szCs w:val="18"/>
                <w:lang w:val="en-US"/>
              </w:rPr>
            </w:pPr>
            <w:bookmarkStart w:id="1125" w:name="_Toc4062980"/>
            <w:r w:rsidRPr="00657A6C">
              <w:rPr>
                <w:rFonts w:ascii="Calibri" w:eastAsia="Times New Roman" w:hAnsi="Calibri" w:cs="Arial"/>
                <w:spacing w:val="-2"/>
                <w:sz w:val="18"/>
                <w:szCs w:val="18"/>
                <w:lang w:val="en-US"/>
              </w:rPr>
              <w:t>Corporate bonds</w:t>
            </w:r>
            <w:bookmarkEnd w:id="1125"/>
          </w:p>
        </w:tc>
        <w:tc>
          <w:tcPr>
            <w:tcW w:w="1228" w:type="dxa"/>
            <w:tcBorders>
              <w:top w:val="nil"/>
              <w:left w:val="nil"/>
              <w:bottom w:val="nil"/>
              <w:right w:val="nil"/>
            </w:tcBorders>
            <w:shd w:val="clear" w:color="auto" w:fill="auto"/>
            <w:vAlign w:val="bottom"/>
          </w:tcPr>
          <w:p w14:paraId="4C6EA7EA" w14:textId="273FE2B7" w:rsidR="00047D1A" w:rsidRPr="00657A6C" w:rsidRDefault="00047D1A" w:rsidP="00047D1A">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pacing w:val="-2"/>
                <w:sz w:val="18"/>
                <w:szCs w:val="18"/>
              </w:rPr>
              <w:t>2</w:t>
            </w:r>
            <w:r w:rsidR="005177E5">
              <w:rPr>
                <w:rFonts w:ascii="Calibri" w:eastAsia="Calibri" w:hAnsi="Calibri" w:cs="Calibri"/>
                <w:color w:val="000000"/>
                <w:spacing w:val="-2"/>
                <w:sz w:val="18"/>
                <w:szCs w:val="18"/>
              </w:rPr>
              <w:t>,</w:t>
            </w:r>
            <w:r>
              <w:rPr>
                <w:rFonts w:ascii="Calibri" w:eastAsia="Calibri" w:hAnsi="Calibri" w:cs="Calibri"/>
                <w:color w:val="000000"/>
                <w:spacing w:val="-2"/>
                <w:sz w:val="18"/>
                <w:szCs w:val="18"/>
              </w:rPr>
              <w:t>388</w:t>
            </w:r>
          </w:p>
        </w:tc>
        <w:tc>
          <w:tcPr>
            <w:tcW w:w="1229" w:type="dxa"/>
            <w:tcBorders>
              <w:top w:val="nil"/>
              <w:left w:val="nil"/>
              <w:bottom w:val="nil"/>
              <w:right w:val="nil"/>
            </w:tcBorders>
            <w:shd w:val="clear" w:color="auto" w:fill="auto"/>
            <w:vAlign w:val="bottom"/>
          </w:tcPr>
          <w:p w14:paraId="4C2C9027" w14:textId="3048939D" w:rsidR="00047D1A" w:rsidRPr="00657A6C" w:rsidRDefault="00047D1A" w:rsidP="00047D1A">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30" w:type="dxa"/>
            <w:tcBorders>
              <w:top w:val="nil"/>
              <w:left w:val="nil"/>
              <w:bottom w:val="nil"/>
              <w:right w:val="nil"/>
            </w:tcBorders>
            <w:shd w:val="clear" w:color="auto" w:fill="auto"/>
            <w:vAlign w:val="bottom"/>
          </w:tcPr>
          <w:p w14:paraId="64A30CCB" w14:textId="6B53AB66" w:rsidR="00047D1A" w:rsidRPr="00657A6C" w:rsidRDefault="00047D1A" w:rsidP="00047D1A">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r>
      <w:tr w:rsidR="00047D1A" w:rsidRPr="00657A6C" w14:paraId="5015F0AF" w14:textId="77777777" w:rsidTr="00456F9A">
        <w:trPr>
          <w:trHeight w:val="246"/>
          <w:jc w:val="center"/>
        </w:trPr>
        <w:tc>
          <w:tcPr>
            <w:tcW w:w="5568" w:type="dxa"/>
            <w:shd w:val="clear" w:color="auto" w:fill="auto"/>
            <w:vAlign w:val="bottom"/>
          </w:tcPr>
          <w:p w14:paraId="43662AB3" w14:textId="77777777" w:rsidR="00047D1A" w:rsidRPr="00657A6C" w:rsidRDefault="00047D1A" w:rsidP="00047D1A">
            <w:pPr>
              <w:tabs>
                <w:tab w:val="right" w:pos="1202"/>
              </w:tabs>
              <w:spacing w:after="0" w:line="240" w:lineRule="auto"/>
              <w:outlineLvl w:val="0"/>
              <w:rPr>
                <w:rFonts w:ascii="Calibri" w:eastAsia="Times New Roman" w:hAnsi="Calibri" w:cs="Arial"/>
                <w:spacing w:val="-2"/>
                <w:sz w:val="18"/>
                <w:szCs w:val="18"/>
                <w:lang w:val="en-US"/>
              </w:rPr>
            </w:pPr>
            <w:bookmarkStart w:id="1126" w:name="_Toc4062984"/>
            <w:r w:rsidRPr="00657A6C">
              <w:rPr>
                <w:rFonts w:ascii="Calibri" w:eastAsia="Times New Roman" w:hAnsi="Calibri" w:cs="Arial"/>
                <w:spacing w:val="-2"/>
                <w:sz w:val="18"/>
                <w:szCs w:val="18"/>
                <w:lang w:val="en-US"/>
              </w:rPr>
              <w:t>Treasury bills of the Ministry of Finance</w:t>
            </w:r>
            <w:bookmarkEnd w:id="1126"/>
            <w:r w:rsidRPr="00657A6C">
              <w:rPr>
                <w:rFonts w:ascii="Calibri" w:eastAsia="Times New Roman" w:hAnsi="Calibri" w:cs="Arial"/>
                <w:spacing w:val="-2"/>
                <w:sz w:val="18"/>
                <w:szCs w:val="18"/>
                <w:lang w:val="en-US"/>
              </w:rPr>
              <w:t xml:space="preserve"> </w:t>
            </w:r>
          </w:p>
        </w:tc>
        <w:tc>
          <w:tcPr>
            <w:tcW w:w="1228" w:type="dxa"/>
            <w:tcBorders>
              <w:top w:val="nil"/>
              <w:left w:val="nil"/>
              <w:bottom w:val="nil"/>
              <w:right w:val="nil"/>
            </w:tcBorders>
            <w:shd w:val="clear" w:color="auto" w:fill="auto"/>
            <w:vAlign w:val="bottom"/>
          </w:tcPr>
          <w:p w14:paraId="4180F2D6" w14:textId="03E35F32" w:rsidR="00047D1A" w:rsidRPr="00657A6C" w:rsidRDefault="00047D1A" w:rsidP="00047D1A">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pacing w:val="-2"/>
                <w:sz w:val="18"/>
                <w:szCs w:val="18"/>
              </w:rPr>
              <w:t>-</w:t>
            </w:r>
          </w:p>
        </w:tc>
        <w:tc>
          <w:tcPr>
            <w:tcW w:w="1229" w:type="dxa"/>
            <w:tcBorders>
              <w:top w:val="nil"/>
              <w:left w:val="nil"/>
              <w:bottom w:val="nil"/>
              <w:right w:val="nil"/>
            </w:tcBorders>
            <w:shd w:val="clear" w:color="auto" w:fill="auto"/>
            <w:vAlign w:val="bottom"/>
          </w:tcPr>
          <w:p w14:paraId="0AF0E578" w14:textId="7848FBB4" w:rsidR="00047D1A" w:rsidRPr="00657A6C" w:rsidRDefault="00047D1A" w:rsidP="00047D1A">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1</w:t>
            </w:r>
            <w:r w:rsidR="005177E5">
              <w:rPr>
                <w:rFonts w:ascii="Calibri" w:eastAsia="Calibri" w:hAnsi="Calibri" w:cs="Calibri"/>
                <w:color w:val="000000"/>
                <w:sz w:val="18"/>
                <w:szCs w:val="18"/>
              </w:rPr>
              <w:t>,</w:t>
            </w:r>
            <w:r>
              <w:rPr>
                <w:rFonts w:ascii="Calibri" w:eastAsia="Calibri" w:hAnsi="Calibri" w:cs="Calibri"/>
                <w:color w:val="000000"/>
                <w:sz w:val="18"/>
                <w:szCs w:val="18"/>
              </w:rPr>
              <w:t>601</w:t>
            </w:r>
            <w:r w:rsidR="005177E5">
              <w:rPr>
                <w:rFonts w:ascii="Calibri" w:eastAsia="Calibri" w:hAnsi="Calibri" w:cs="Calibri"/>
                <w:color w:val="000000"/>
                <w:sz w:val="18"/>
                <w:szCs w:val="18"/>
              </w:rPr>
              <w:t>,</w:t>
            </w:r>
            <w:r>
              <w:rPr>
                <w:rFonts w:ascii="Calibri" w:eastAsia="Calibri" w:hAnsi="Calibri" w:cs="Calibri"/>
                <w:color w:val="000000"/>
                <w:sz w:val="18"/>
                <w:szCs w:val="18"/>
              </w:rPr>
              <w:t>342</w:t>
            </w:r>
          </w:p>
        </w:tc>
        <w:tc>
          <w:tcPr>
            <w:tcW w:w="1230" w:type="dxa"/>
            <w:tcBorders>
              <w:top w:val="nil"/>
              <w:left w:val="nil"/>
              <w:bottom w:val="nil"/>
              <w:right w:val="nil"/>
            </w:tcBorders>
            <w:shd w:val="clear" w:color="auto" w:fill="auto"/>
            <w:vAlign w:val="bottom"/>
          </w:tcPr>
          <w:p w14:paraId="569FEB62" w14:textId="3B55D5AA" w:rsidR="00047D1A" w:rsidRPr="00657A6C" w:rsidRDefault="00047D1A" w:rsidP="00047D1A">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r>
      <w:tr w:rsidR="00047D1A" w:rsidRPr="00657A6C" w14:paraId="505C4B37" w14:textId="77777777" w:rsidTr="00456F9A">
        <w:trPr>
          <w:trHeight w:val="246"/>
          <w:jc w:val="center"/>
        </w:trPr>
        <w:tc>
          <w:tcPr>
            <w:tcW w:w="5568" w:type="dxa"/>
            <w:shd w:val="clear" w:color="auto" w:fill="auto"/>
            <w:vAlign w:val="bottom"/>
          </w:tcPr>
          <w:p w14:paraId="74BF3A7E" w14:textId="77777777" w:rsidR="00047D1A" w:rsidRPr="00657A6C" w:rsidRDefault="00047D1A" w:rsidP="00047D1A">
            <w:pPr>
              <w:tabs>
                <w:tab w:val="right" w:pos="1202"/>
              </w:tabs>
              <w:spacing w:after="0" w:line="240" w:lineRule="auto"/>
              <w:outlineLvl w:val="0"/>
              <w:rPr>
                <w:rFonts w:ascii="Calibri" w:eastAsia="Times New Roman" w:hAnsi="Calibri" w:cs="Arial"/>
                <w:spacing w:val="-2"/>
                <w:sz w:val="18"/>
                <w:szCs w:val="18"/>
                <w:lang w:val="en-US"/>
              </w:rPr>
            </w:pPr>
            <w:bookmarkStart w:id="1127" w:name="_Toc4062988"/>
            <w:r w:rsidRPr="00657A6C">
              <w:rPr>
                <w:rFonts w:ascii="Calibri" w:eastAsia="Times New Roman" w:hAnsi="Calibri" w:cs="Arial"/>
                <w:spacing w:val="-2"/>
                <w:sz w:val="18"/>
                <w:szCs w:val="18"/>
                <w:lang w:val="en-US"/>
              </w:rPr>
              <w:t>Accrued interest</w:t>
            </w:r>
            <w:bookmarkEnd w:id="1127"/>
            <w:r w:rsidRPr="00657A6C">
              <w:rPr>
                <w:rFonts w:ascii="Calibri" w:eastAsia="Times New Roman" w:hAnsi="Calibri" w:cs="Arial"/>
                <w:spacing w:val="-2"/>
                <w:sz w:val="18"/>
                <w:szCs w:val="18"/>
                <w:lang w:val="en-US"/>
              </w:rPr>
              <w:t xml:space="preserve"> </w:t>
            </w:r>
          </w:p>
        </w:tc>
        <w:tc>
          <w:tcPr>
            <w:tcW w:w="1228" w:type="dxa"/>
            <w:tcBorders>
              <w:top w:val="nil"/>
              <w:left w:val="nil"/>
              <w:bottom w:val="nil"/>
              <w:right w:val="nil"/>
            </w:tcBorders>
            <w:shd w:val="clear" w:color="auto" w:fill="auto"/>
            <w:vAlign w:val="bottom"/>
          </w:tcPr>
          <w:p w14:paraId="6733FA91" w14:textId="00DBEE24" w:rsidR="00047D1A" w:rsidRPr="00657A6C" w:rsidRDefault="00047D1A" w:rsidP="00047D1A">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pacing w:val="-2"/>
                <w:sz w:val="18"/>
                <w:szCs w:val="18"/>
              </w:rPr>
              <w:t>12</w:t>
            </w:r>
            <w:r w:rsidR="005177E5">
              <w:rPr>
                <w:rFonts w:ascii="Calibri" w:eastAsia="Calibri" w:hAnsi="Calibri" w:cs="Calibri"/>
                <w:color w:val="000000"/>
                <w:spacing w:val="-2"/>
                <w:sz w:val="18"/>
                <w:szCs w:val="18"/>
              </w:rPr>
              <w:t>,</w:t>
            </w:r>
            <w:r>
              <w:rPr>
                <w:rFonts w:ascii="Calibri" w:eastAsia="Calibri" w:hAnsi="Calibri" w:cs="Calibri"/>
                <w:color w:val="000000"/>
                <w:spacing w:val="-2"/>
                <w:sz w:val="18"/>
                <w:szCs w:val="18"/>
              </w:rPr>
              <w:t>055</w:t>
            </w:r>
          </w:p>
        </w:tc>
        <w:tc>
          <w:tcPr>
            <w:tcW w:w="1229" w:type="dxa"/>
            <w:tcBorders>
              <w:top w:val="nil"/>
              <w:left w:val="nil"/>
              <w:bottom w:val="nil"/>
              <w:right w:val="nil"/>
            </w:tcBorders>
            <w:shd w:val="clear" w:color="auto" w:fill="auto"/>
            <w:vAlign w:val="bottom"/>
          </w:tcPr>
          <w:p w14:paraId="50208430" w14:textId="09C1CF57" w:rsidR="00047D1A" w:rsidRPr="00657A6C" w:rsidRDefault="00047D1A" w:rsidP="00047D1A">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30" w:type="dxa"/>
            <w:tcBorders>
              <w:top w:val="nil"/>
              <w:left w:val="nil"/>
              <w:bottom w:val="nil"/>
              <w:right w:val="nil"/>
            </w:tcBorders>
            <w:shd w:val="clear" w:color="auto" w:fill="auto"/>
            <w:vAlign w:val="bottom"/>
          </w:tcPr>
          <w:p w14:paraId="0A7BF46A" w14:textId="6B3C012A" w:rsidR="00047D1A" w:rsidRPr="00657A6C" w:rsidRDefault="00047D1A" w:rsidP="00047D1A">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r>
      <w:tr w:rsidR="00047D1A" w:rsidRPr="00657A6C" w14:paraId="5CC139AC" w14:textId="77777777" w:rsidTr="00456F9A">
        <w:trPr>
          <w:trHeight w:val="246"/>
          <w:jc w:val="center"/>
        </w:trPr>
        <w:tc>
          <w:tcPr>
            <w:tcW w:w="5568" w:type="dxa"/>
            <w:shd w:val="clear" w:color="auto" w:fill="auto"/>
            <w:vAlign w:val="bottom"/>
          </w:tcPr>
          <w:p w14:paraId="7FBE6C78" w14:textId="77777777" w:rsidR="00047D1A" w:rsidRPr="00657A6C" w:rsidRDefault="00047D1A" w:rsidP="00047D1A">
            <w:pPr>
              <w:tabs>
                <w:tab w:val="right" w:pos="1202"/>
              </w:tabs>
              <w:spacing w:after="0" w:line="240" w:lineRule="auto"/>
              <w:outlineLvl w:val="0"/>
              <w:rPr>
                <w:rFonts w:ascii="Calibri" w:eastAsia="Times New Roman" w:hAnsi="Calibri" w:cs="Arial"/>
                <w:b/>
                <w:i/>
                <w:spacing w:val="-2"/>
                <w:sz w:val="18"/>
                <w:szCs w:val="18"/>
                <w:highlight w:val="yellow"/>
                <w:lang w:val="en-US"/>
              </w:rPr>
            </w:pPr>
            <w:bookmarkStart w:id="1128" w:name="_Toc4062992"/>
            <w:r w:rsidRPr="00657A6C">
              <w:rPr>
                <w:rFonts w:ascii="Calibri" w:eastAsia="Times New Roman" w:hAnsi="Calibri" w:cs="Arial"/>
                <w:b/>
                <w:i/>
                <w:spacing w:val="-2"/>
                <w:sz w:val="18"/>
                <w:szCs w:val="18"/>
                <w:lang w:val="en-US"/>
              </w:rPr>
              <w:t>Unlisted debt instruments:</w:t>
            </w:r>
            <w:bookmarkEnd w:id="1128"/>
          </w:p>
        </w:tc>
        <w:tc>
          <w:tcPr>
            <w:tcW w:w="1228" w:type="dxa"/>
            <w:tcBorders>
              <w:top w:val="nil"/>
              <w:left w:val="nil"/>
              <w:bottom w:val="nil"/>
              <w:right w:val="nil"/>
            </w:tcBorders>
            <w:shd w:val="clear" w:color="auto" w:fill="auto"/>
            <w:vAlign w:val="bottom"/>
          </w:tcPr>
          <w:p w14:paraId="47544296" w14:textId="77777777" w:rsidR="00047D1A" w:rsidRPr="00657A6C" w:rsidRDefault="00047D1A" w:rsidP="00047D1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tcBorders>
              <w:top w:val="nil"/>
              <w:left w:val="nil"/>
              <w:bottom w:val="nil"/>
              <w:right w:val="nil"/>
            </w:tcBorders>
            <w:shd w:val="clear" w:color="auto" w:fill="auto"/>
            <w:vAlign w:val="bottom"/>
          </w:tcPr>
          <w:p w14:paraId="068B4C3D" w14:textId="77777777" w:rsidR="00047D1A" w:rsidRPr="00657A6C" w:rsidRDefault="00047D1A" w:rsidP="00047D1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tcBorders>
              <w:top w:val="nil"/>
              <w:left w:val="nil"/>
              <w:bottom w:val="nil"/>
              <w:right w:val="nil"/>
            </w:tcBorders>
            <w:shd w:val="clear" w:color="auto" w:fill="auto"/>
            <w:vAlign w:val="bottom"/>
          </w:tcPr>
          <w:p w14:paraId="28F8682C" w14:textId="77777777" w:rsidR="00047D1A" w:rsidRPr="00657A6C" w:rsidRDefault="00047D1A" w:rsidP="00047D1A">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047D1A" w:rsidRPr="00657A6C" w14:paraId="6099556C" w14:textId="77777777" w:rsidTr="00456F9A">
        <w:trPr>
          <w:trHeight w:val="246"/>
          <w:jc w:val="center"/>
        </w:trPr>
        <w:tc>
          <w:tcPr>
            <w:tcW w:w="5568" w:type="dxa"/>
            <w:shd w:val="clear" w:color="auto" w:fill="auto"/>
            <w:vAlign w:val="bottom"/>
          </w:tcPr>
          <w:p w14:paraId="7BCE6594" w14:textId="77777777" w:rsidR="00047D1A" w:rsidRPr="00657A6C" w:rsidRDefault="00047D1A" w:rsidP="00047D1A">
            <w:pPr>
              <w:tabs>
                <w:tab w:val="right" w:pos="1202"/>
              </w:tabs>
              <w:spacing w:after="0" w:line="240" w:lineRule="auto"/>
              <w:outlineLvl w:val="0"/>
              <w:rPr>
                <w:rFonts w:ascii="Calibri" w:eastAsia="Times New Roman" w:hAnsi="Calibri" w:cs="Arial"/>
                <w:spacing w:val="-2"/>
                <w:sz w:val="18"/>
                <w:szCs w:val="18"/>
                <w:highlight w:val="yellow"/>
                <w:lang w:val="en-US"/>
              </w:rPr>
            </w:pPr>
            <w:bookmarkStart w:id="1129" w:name="_Toc4062993"/>
            <w:r w:rsidRPr="00657A6C">
              <w:rPr>
                <w:rFonts w:ascii="Calibri" w:eastAsia="Times New Roman" w:hAnsi="Calibri" w:cs="Arial"/>
                <w:spacing w:val="-2"/>
                <w:sz w:val="18"/>
                <w:szCs w:val="18"/>
                <w:lang w:val="en-US"/>
              </w:rPr>
              <w:t>Corporate bonds</w:t>
            </w:r>
            <w:bookmarkEnd w:id="1129"/>
          </w:p>
        </w:tc>
        <w:tc>
          <w:tcPr>
            <w:tcW w:w="1228" w:type="dxa"/>
            <w:tcBorders>
              <w:top w:val="nil"/>
              <w:left w:val="nil"/>
              <w:bottom w:val="nil"/>
              <w:right w:val="nil"/>
            </w:tcBorders>
            <w:shd w:val="clear" w:color="auto" w:fill="auto"/>
            <w:vAlign w:val="bottom"/>
          </w:tcPr>
          <w:p w14:paraId="381BE6C3" w14:textId="780589D0" w:rsidR="00047D1A" w:rsidRPr="00657A6C" w:rsidRDefault="00047D1A" w:rsidP="00047D1A">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29" w:type="dxa"/>
            <w:tcBorders>
              <w:top w:val="nil"/>
              <w:left w:val="nil"/>
              <w:bottom w:val="nil"/>
              <w:right w:val="nil"/>
            </w:tcBorders>
            <w:shd w:val="clear" w:color="auto" w:fill="auto"/>
            <w:vAlign w:val="bottom"/>
          </w:tcPr>
          <w:p w14:paraId="21709465" w14:textId="0784DD96" w:rsidR="00047D1A" w:rsidRPr="00657A6C" w:rsidRDefault="00047D1A" w:rsidP="00047D1A">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30" w:type="dxa"/>
            <w:tcBorders>
              <w:top w:val="nil"/>
              <w:left w:val="nil"/>
              <w:bottom w:val="nil"/>
              <w:right w:val="nil"/>
            </w:tcBorders>
            <w:shd w:val="clear" w:color="auto" w:fill="auto"/>
            <w:vAlign w:val="bottom"/>
          </w:tcPr>
          <w:p w14:paraId="76F99A17" w14:textId="0F358210" w:rsidR="00047D1A" w:rsidRPr="00657A6C" w:rsidRDefault="00047D1A" w:rsidP="00047D1A">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pacing w:val="-2"/>
                <w:sz w:val="18"/>
                <w:szCs w:val="18"/>
              </w:rPr>
              <w:t>506</w:t>
            </w:r>
          </w:p>
        </w:tc>
      </w:tr>
      <w:tr w:rsidR="00047D1A" w:rsidRPr="00657A6C" w14:paraId="7F591DCE" w14:textId="77777777" w:rsidTr="00456F9A">
        <w:trPr>
          <w:trHeight w:val="246"/>
          <w:jc w:val="center"/>
        </w:trPr>
        <w:tc>
          <w:tcPr>
            <w:tcW w:w="5568" w:type="dxa"/>
            <w:shd w:val="clear" w:color="auto" w:fill="auto"/>
            <w:vAlign w:val="bottom"/>
          </w:tcPr>
          <w:p w14:paraId="756EEDD1" w14:textId="77777777" w:rsidR="00047D1A" w:rsidRPr="00657A6C" w:rsidRDefault="00047D1A" w:rsidP="00047D1A">
            <w:pPr>
              <w:tabs>
                <w:tab w:val="right" w:pos="1202"/>
              </w:tabs>
              <w:spacing w:after="0" w:line="240" w:lineRule="auto"/>
              <w:outlineLvl w:val="0"/>
              <w:rPr>
                <w:rFonts w:ascii="Calibri" w:eastAsia="Times New Roman" w:hAnsi="Calibri" w:cs="Arial"/>
                <w:spacing w:val="-2"/>
                <w:sz w:val="18"/>
                <w:szCs w:val="18"/>
                <w:lang w:val="en-US"/>
              </w:rPr>
            </w:pPr>
            <w:r w:rsidRPr="00657A6C">
              <w:rPr>
                <w:rFonts w:ascii="Calibri" w:eastAsia="Times New Roman" w:hAnsi="Calibri" w:cs="Arial"/>
                <w:spacing w:val="-2"/>
                <w:sz w:val="18"/>
                <w:szCs w:val="18"/>
                <w:lang w:val="en-US"/>
              </w:rPr>
              <w:t>Convertible bonds - CB</w:t>
            </w:r>
          </w:p>
        </w:tc>
        <w:tc>
          <w:tcPr>
            <w:tcW w:w="1228" w:type="dxa"/>
            <w:tcBorders>
              <w:top w:val="nil"/>
              <w:left w:val="nil"/>
              <w:bottom w:val="nil"/>
              <w:right w:val="nil"/>
            </w:tcBorders>
            <w:shd w:val="clear" w:color="auto" w:fill="auto"/>
            <w:vAlign w:val="bottom"/>
          </w:tcPr>
          <w:p w14:paraId="3BA6661C" w14:textId="12CB46A1" w:rsidR="00047D1A" w:rsidRPr="00657A6C" w:rsidRDefault="00047D1A" w:rsidP="00047D1A">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29" w:type="dxa"/>
            <w:tcBorders>
              <w:top w:val="nil"/>
              <w:left w:val="nil"/>
              <w:bottom w:val="nil"/>
              <w:right w:val="nil"/>
            </w:tcBorders>
            <w:shd w:val="clear" w:color="auto" w:fill="auto"/>
            <w:vAlign w:val="bottom"/>
          </w:tcPr>
          <w:p w14:paraId="79A80B52" w14:textId="1B61456A" w:rsidR="00047D1A" w:rsidRPr="00657A6C" w:rsidRDefault="00047D1A" w:rsidP="00047D1A">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30" w:type="dxa"/>
            <w:tcBorders>
              <w:top w:val="nil"/>
              <w:left w:val="nil"/>
              <w:bottom w:val="nil"/>
              <w:right w:val="nil"/>
            </w:tcBorders>
            <w:shd w:val="clear" w:color="auto" w:fill="auto"/>
            <w:vAlign w:val="bottom"/>
          </w:tcPr>
          <w:p w14:paraId="3EC7501C" w14:textId="400733F9" w:rsidR="00047D1A" w:rsidRPr="00657A6C" w:rsidRDefault="00047D1A" w:rsidP="00047D1A">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pacing w:val="-2"/>
                <w:sz w:val="18"/>
                <w:szCs w:val="18"/>
              </w:rPr>
              <w:t>1</w:t>
            </w:r>
            <w:r w:rsidR="005177E5">
              <w:rPr>
                <w:rFonts w:ascii="Calibri" w:eastAsia="Calibri" w:hAnsi="Calibri" w:cs="Calibri"/>
                <w:color w:val="000000"/>
                <w:spacing w:val="-2"/>
                <w:sz w:val="18"/>
                <w:szCs w:val="18"/>
              </w:rPr>
              <w:t>,</w:t>
            </w:r>
            <w:r>
              <w:rPr>
                <w:rFonts w:ascii="Calibri" w:eastAsia="Calibri" w:hAnsi="Calibri" w:cs="Calibri"/>
                <w:color w:val="000000"/>
                <w:spacing w:val="-2"/>
                <w:sz w:val="18"/>
                <w:szCs w:val="18"/>
              </w:rPr>
              <w:t>408</w:t>
            </w:r>
          </w:p>
        </w:tc>
      </w:tr>
      <w:tr w:rsidR="00047D1A" w:rsidRPr="00657A6C" w14:paraId="50A5FE04" w14:textId="77777777" w:rsidTr="00456F9A">
        <w:trPr>
          <w:trHeight w:val="246"/>
          <w:jc w:val="center"/>
        </w:trPr>
        <w:tc>
          <w:tcPr>
            <w:tcW w:w="5568" w:type="dxa"/>
            <w:shd w:val="clear" w:color="auto" w:fill="auto"/>
            <w:vAlign w:val="bottom"/>
          </w:tcPr>
          <w:p w14:paraId="18D96DA9" w14:textId="77777777" w:rsidR="00047D1A" w:rsidRPr="00657A6C" w:rsidRDefault="00047D1A" w:rsidP="00047D1A">
            <w:pPr>
              <w:tabs>
                <w:tab w:val="right" w:pos="1202"/>
              </w:tabs>
              <w:spacing w:after="0" w:line="240" w:lineRule="auto"/>
              <w:outlineLvl w:val="0"/>
              <w:rPr>
                <w:rFonts w:ascii="Calibri" w:eastAsia="Times New Roman" w:hAnsi="Calibri" w:cs="Arial"/>
                <w:spacing w:val="-2"/>
                <w:sz w:val="18"/>
                <w:szCs w:val="18"/>
                <w:highlight w:val="yellow"/>
                <w:lang w:val="en-US"/>
              </w:rPr>
            </w:pPr>
            <w:bookmarkStart w:id="1130" w:name="_Toc4062997"/>
            <w:r w:rsidRPr="00657A6C">
              <w:rPr>
                <w:rFonts w:ascii="Calibri" w:eastAsia="Times New Roman" w:hAnsi="Calibri" w:cs="Arial"/>
                <w:spacing w:val="-2"/>
                <w:sz w:val="18"/>
                <w:szCs w:val="18"/>
                <w:lang w:val="en-US"/>
              </w:rPr>
              <w:t>Accrued interest</w:t>
            </w:r>
            <w:bookmarkEnd w:id="1130"/>
          </w:p>
        </w:tc>
        <w:tc>
          <w:tcPr>
            <w:tcW w:w="1228" w:type="dxa"/>
            <w:tcBorders>
              <w:top w:val="nil"/>
              <w:left w:val="nil"/>
              <w:bottom w:val="nil"/>
              <w:right w:val="nil"/>
            </w:tcBorders>
            <w:shd w:val="clear" w:color="auto" w:fill="auto"/>
            <w:vAlign w:val="bottom"/>
          </w:tcPr>
          <w:p w14:paraId="6850AFC1" w14:textId="7DD4B9C6" w:rsidR="00047D1A" w:rsidRPr="00657A6C" w:rsidRDefault="00047D1A" w:rsidP="00047D1A">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29" w:type="dxa"/>
            <w:tcBorders>
              <w:top w:val="nil"/>
              <w:left w:val="nil"/>
              <w:bottom w:val="nil"/>
              <w:right w:val="nil"/>
            </w:tcBorders>
            <w:shd w:val="clear" w:color="auto" w:fill="auto"/>
            <w:vAlign w:val="bottom"/>
          </w:tcPr>
          <w:p w14:paraId="7A736443" w14:textId="64E7E6D3" w:rsidR="00047D1A" w:rsidRPr="00657A6C" w:rsidRDefault="00047D1A" w:rsidP="00047D1A">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30" w:type="dxa"/>
            <w:tcBorders>
              <w:top w:val="nil"/>
              <w:left w:val="nil"/>
              <w:bottom w:val="single" w:sz="4" w:space="0" w:color="auto"/>
              <w:right w:val="nil"/>
            </w:tcBorders>
            <w:shd w:val="clear" w:color="auto" w:fill="auto"/>
            <w:vAlign w:val="bottom"/>
          </w:tcPr>
          <w:p w14:paraId="37DA66C9" w14:textId="2F8F1D45" w:rsidR="00047D1A" w:rsidRPr="00657A6C" w:rsidRDefault="00047D1A" w:rsidP="00047D1A">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pacing w:val="-2"/>
                <w:sz w:val="18"/>
                <w:szCs w:val="18"/>
              </w:rPr>
              <w:t>237</w:t>
            </w:r>
          </w:p>
        </w:tc>
      </w:tr>
      <w:tr w:rsidR="00047D1A" w:rsidRPr="00657A6C" w14:paraId="1A7F07B8" w14:textId="77777777" w:rsidTr="00456F9A">
        <w:trPr>
          <w:trHeight w:val="246"/>
          <w:jc w:val="center"/>
        </w:trPr>
        <w:tc>
          <w:tcPr>
            <w:tcW w:w="5568" w:type="dxa"/>
            <w:shd w:val="clear" w:color="auto" w:fill="auto"/>
            <w:vAlign w:val="bottom"/>
          </w:tcPr>
          <w:p w14:paraId="0B0EC6DC" w14:textId="77777777" w:rsidR="00047D1A" w:rsidRPr="00657A6C" w:rsidRDefault="00047D1A" w:rsidP="00047D1A">
            <w:pPr>
              <w:tabs>
                <w:tab w:val="right" w:pos="1202"/>
              </w:tabs>
              <w:spacing w:after="0" w:line="240" w:lineRule="auto"/>
              <w:outlineLvl w:val="0"/>
              <w:rPr>
                <w:rFonts w:ascii="Calibri" w:eastAsia="Times New Roman" w:hAnsi="Calibri" w:cs="Arial"/>
                <w:b/>
                <w:spacing w:val="-2"/>
                <w:sz w:val="18"/>
                <w:szCs w:val="18"/>
                <w:highlight w:val="yellow"/>
                <w:lang w:val="en-US"/>
              </w:rPr>
            </w:pPr>
            <w:bookmarkStart w:id="1131" w:name="_Toc4063001"/>
            <w:r w:rsidRPr="00657A6C">
              <w:rPr>
                <w:rFonts w:ascii="Calibri" w:eastAsia="Times New Roman" w:hAnsi="Calibri" w:cs="Arial"/>
                <w:b/>
                <w:spacing w:val="-2"/>
                <w:sz w:val="18"/>
                <w:szCs w:val="18"/>
                <w:lang w:val="en-US"/>
              </w:rPr>
              <w:t>Total debt instruments</w:t>
            </w:r>
            <w:bookmarkEnd w:id="1131"/>
          </w:p>
        </w:tc>
        <w:tc>
          <w:tcPr>
            <w:tcW w:w="1228" w:type="dxa"/>
            <w:tcBorders>
              <w:top w:val="single" w:sz="4" w:space="0" w:color="auto"/>
              <w:left w:val="nil"/>
              <w:bottom w:val="single" w:sz="12" w:space="0" w:color="auto"/>
              <w:right w:val="nil"/>
            </w:tcBorders>
            <w:shd w:val="clear" w:color="auto" w:fill="auto"/>
            <w:vAlign w:val="bottom"/>
          </w:tcPr>
          <w:p w14:paraId="50EF8C82" w14:textId="11F0FDA6" w:rsidR="00047D1A" w:rsidRPr="00657A6C" w:rsidRDefault="00047D1A" w:rsidP="00047D1A">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cs="Calibri"/>
                <w:b/>
                <w:color w:val="000000"/>
                <w:spacing w:val="-2"/>
                <w:sz w:val="18"/>
                <w:szCs w:val="18"/>
                <w:lang w:eastAsia="hr-HR"/>
              </w:rPr>
              <w:t>1</w:t>
            </w:r>
            <w:r w:rsidR="005177E5">
              <w:rPr>
                <w:rFonts w:ascii="Calibri" w:eastAsia="Calibri" w:hAnsi="Calibri" w:cs="Calibri"/>
                <w:b/>
                <w:color w:val="000000"/>
                <w:spacing w:val="-2"/>
                <w:sz w:val="18"/>
                <w:szCs w:val="18"/>
                <w:lang w:eastAsia="hr-HR"/>
              </w:rPr>
              <w:t>,</w:t>
            </w:r>
            <w:r>
              <w:rPr>
                <w:rFonts w:ascii="Calibri" w:eastAsia="Calibri" w:hAnsi="Calibri" w:cs="Calibri"/>
                <w:b/>
                <w:color w:val="000000"/>
                <w:spacing w:val="-2"/>
                <w:sz w:val="18"/>
                <w:szCs w:val="18"/>
                <w:lang w:eastAsia="hr-HR"/>
              </w:rPr>
              <w:t>602</w:t>
            </w:r>
            <w:r w:rsidR="005177E5">
              <w:rPr>
                <w:rFonts w:ascii="Calibri" w:eastAsia="Calibri" w:hAnsi="Calibri" w:cs="Calibri"/>
                <w:b/>
                <w:color w:val="000000"/>
                <w:spacing w:val="-2"/>
                <w:sz w:val="18"/>
                <w:szCs w:val="18"/>
                <w:lang w:eastAsia="hr-HR"/>
              </w:rPr>
              <w:t>,</w:t>
            </w:r>
            <w:r>
              <w:rPr>
                <w:rFonts w:ascii="Calibri" w:eastAsia="Calibri" w:hAnsi="Calibri" w:cs="Calibri"/>
                <w:b/>
                <w:color w:val="000000"/>
                <w:spacing w:val="-2"/>
                <w:sz w:val="18"/>
                <w:szCs w:val="18"/>
                <w:lang w:eastAsia="hr-HR"/>
              </w:rPr>
              <w:t>154</w:t>
            </w:r>
          </w:p>
        </w:tc>
        <w:tc>
          <w:tcPr>
            <w:tcW w:w="1229" w:type="dxa"/>
            <w:tcBorders>
              <w:top w:val="single" w:sz="4" w:space="0" w:color="auto"/>
              <w:left w:val="nil"/>
              <w:bottom w:val="single" w:sz="12" w:space="0" w:color="auto"/>
              <w:right w:val="nil"/>
            </w:tcBorders>
            <w:shd w:val="clear" w:color="auto" w:fill="auto"/>
            <w:vAlign w:val="bottom"/>
          </w:tcPr>
          <w:p w14:paraId="10EE45F9" w14:textId="4B931DC1" w:rsidR="00047D1A" w:rsidRPr="00657A6C" w:rsidRDefault="00047D1A" w:rsidP="00047D1A">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cs="Calibri"/>
                <w:b/>
                <w:color w:val="000000"/>
                <w:spacing w:val="-2"/>
                <w:sz w:val="18"/>
                <w:szCs w:val="18"/>
                <w:lang w:eastAsia="hr-HR"/>
              </w:rPr>
              <w:t>1</w:t>
            </w:r>
            <w:r w:rsidR="005177E5">
              <w:rPr>
                <w:rFonts w:ascii="Calibri" w:eastAsia="Calibri" w:hAnsi="Calibri" w:cs="Calibri"/>
                <w:b/>
                <w:color w:val="000000"/>
                <w:spacing w:val="-2"/>
                <w:sz w:val="18"/>
                <w:szCs w:val="18"/>
                <w:lang w:eastAsia="hr-HR"/>
              </w:rPr>
              <w:t>,</w:t>
            </w:r>
            <w:r>
              <w:rPr>
                <w:rFonts w:ascii="Calibri" w:eastAsia="Calibri" w:hAnsi="Calibri" w:cs="Calibri"/>
                <w:b/>
                <w:color w:val="000000"/>
                <w:spacing w:val="-2"/>
                <w:sz w:val="18"/>
                <w:szCs w:val="18"/>
                <w:lang w:eastAsia="hr-HR"/>
              </w:rPr>
              <w:t>601</w:t>
            </w:r>
            <w:r w:rsidR="005177E5">
              <w:rPr>
                <w:rFonts w:ascii="Calibri" w:eastAsia="Calibri" w:hAnsi="Calibri" w:cs="Calibri"/>
                <w:b/>
                <w:color w:val="000000"/>
                <w:spacing w:val="-2"/>
                <w:sz w:val="18"/>
                <w:szCs w:val="18"/>
                <w:lang w:eastAsia="hr-HR"/>
              </w:rPr>
              <w:t>,</w:t>
            </w:r>
            <w:r>
              <w:rPr>
                <w:rFonts w:ascii="Calibri" w:eastAsia="Calibri" w:hAnsi="Calibri" w:cs="Calibri"/>
                <w:b/>
                <w:color w:val="000000"/>
                <w:spacing w:val="-2"/>
                <w:sz w:val="18"/>
                <w:szCs w:val="18"/>
                <w:lang w:eastAsia="hr-HR"/>
              </w:rPr>
              <w:t>342</w:t>
            </w:r>
          </w:p>
        </w:tc>
        <w:tc>
          <w:tcPr>
            <w:tcW w:w="1230" w:type="dxa"/>
            <w:tcBorders>
              <w:top w:val="single" w:sz="4" w:space="0" w:color="auto"/>
              <w:left w:val="nil"/>
              <w:bottom w:val="single" w:sz="12" w:space="0" w:color="auto"/>
              <w:right w:val="nil"/>
            </w:tcBorders>
            <w:shd w:val="clear" w:color="auto" w:fill="auto"/>
            <w:vAlign w:val="bottom"/>
          </w:tcPr>
          <w:p w14:paraId="1FFF26C5" w14:textId="44AE9F7B" w:rsidR="00047D1A" w:rsidRPr="00657A6C" w:rsidRDefault="00047D1A" w:rsidP="00047D1A">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cs="Calibri"/>
                <w:b/>
                <w:color w:val="000000"/>
                <w:spacing w:val="-2"/>
                <w:sz w:val="18"/>
                <w:szCs w:val="18"/>
                <w:lang w:eastAsia="hr-HR"/>
              </w:rPr>
              <w:t>2</w:t>
            </w:r>
            <w:r w:rsidR="005177E5">
              <w:rPr>
                <w:rFonts w:ascii="Calibri" w:eastAsia="Calibri" w:hAnsi="Calibri" w:cs="Calibri"/>
                <w:b/>
                <w:color w:val="000000"/>
                <w:spacing w:val="-2"/>
                <w:sz w:val="18"/>
                <w:szCs w:val="18"/>
                <w:lang w:eastAsia="hr-HR"/>
              </w:rPr>
              <w:t>,</w:t>
            </w:r>
            <w:r>
              <w:rPr>
                <w:rFonts w:ascii="Calibri" w:eastAsia="Calibri" w:hAnsi="Calibri" w:cs="Calibri"/>
                <w:b/>
                <w:color w:val="000000"/>
                <w:spacing w:val="-2"/>
                <w:sz w:val="18"/>
                <w:szCs w:val="18"/>
                <w:lang w:eastAsia="hr-HR"/>
              </w:rPr>
              <w:t>151</w:t>
            </w:r>
          </w:p>
        </w:tc>
      </w:tr>
      <w:tr w:rsidR="00047D1A" w:rsidRPr="00657A6C" w14:paraId="4E33E858" w14:textId="77777777" w:rsidTr="00456F9A">
        <w:trPr>
          <w:trHeight w:val="246"/>
          <w:jc w:val="center"/>
        </w:trPr>
        <w:tc>
          <w:tcPr>
            <w:tcW w:w="5568" w:type="dxa"/>
            <w:shd w:val="clear" w:color="auto" w:fill="auto"/>
            <w:vAlign w:val="bottom"/>
          </w:tcPr>
          <w:p w14:paraId="1657E182" w14:textId="77777777" w:rsidR="00047D1A" w:rsidRPr="00657A6C" w:rsidRDefault="00047D1A" w:rsidP="00047D1A">
            <w:pPr>
              <w:tabs>
                <w:tab w:val="right" w:pos="1202"/>
              </w:tabs>
              <w:spacing w:after="0" w:line="240" w:lineRule="auto"/>
              <w:outlineLvl w:val="0"/>
              <w:rPr>
                <w:rFonts w:ascii="Calibri" w:eastAsia="Times New Roman" w:hAnsi="Calibri" w:cs="Arial"/>
                <w:b/>
                <w:i/>
                <w:spacing w:val="-2"/>
                <w:sz w:val="18"/>
                <w:szCs w:val="18"/>
                <w:highlight w:val="yellow"/>
                <w:lang w:val="en-US"/>
              </w:rPr>
            </w:pPr>
            <w:bookmarkStart w:id="1132" w:name="_Toc4063005"/>
            <w:r w:rsidRPr="00657A6C">
              <w:rPr>
                <w:rFonts w:ascii="Calibri" w:eastAsia="Times New Roman" w:hAnsi="Calibri" w:cs="Arial"/>
                <w:b/>
                <w:i/>
                <w:spacing w:val="-2"/>
                <w:sz w:val="18"/>
                <w:szCs w:val="18"/>
                <w:lang w:val="en-US"/>
              </w:rPr>
              <w:t>Unlisted equity instruments:</w:t>
            </w:r>
            <w:bookmarkEnd w:id="1132"/>
            <w:r w:rsidRPr="00657A6C" w:rsidDel="00D51A81">
              <w:rPr>
                <w:rFonts w:ascii="Calibri" w:eastAsia="Times New Roman" w:hAnsi="Calibri" w:cs="Arial"/>
                <w:b/>
                <w:i/>
                <w:spacing w:val="-2"/>
                <w:sz w:val="18"/>
                <w:szCs w:val="18"/>
                <w:lang w:val="en-US"/>
              </w:rPr>
              <w:t xml:space="preserve"> </w:t>
            </w:r>
          </w:p>
        </w:tc>
        <w:tc>
          <w:tcPr>
            <w:tcW w:w="1228" w:type="dxa"/>
            <w:tcBorders>
              <w:top w:val="single" w:sz="12" w:space="0" w:color="auto"/>
            </w:tcBorders>
            <w:vAlign w:val="bottom"/>
          </w:tcPr>
          <w:p w14:paraId="4472EC87" w14:textId="77777777" w:rsidR="00047D1A" w:rsidRPr="00657A6C" w:rsidDel="00561A80" w:rsidRDefault="00047D1A" w:rsidP="00047D1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tcBorders>
              <w:top w:val="single" w:sz="12" w:space="0" w:color="auto"/>
            </w:tcBorders>
            <w:vAlign w:val="bottom"/>
          </w:tcPr>
          <w:p w14:paraId="07E8C8A5" w14:textId="77777777" w:rsidR="00047D1A" w:rsidRPr="00657A6C" w:rsidDel="00561A80" w:rsidRDefault="00047D1A" w:rsidP="00047D1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tcBorders>
              <w:top w:val="single" w:sz="12" w:space="0" w:color="auto"/>
            </w:tcBorders>
            <w:vAlign w:val="bottom"/>
          </w:tcPr>
          <w:p w14:paraId="08660E01" w14:textId="77777777" w:rsidR="00047D1A" w:rsidRPr="00657A6C" w:rsidDel="00561A80" w:rsidRDefault="00047D1A" w:rsidP="00047D1A">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5177E5" w:rsidRPr="00657A6C" w14:paraId="3AC2C067" w14:textId="77777777" w:rsidTr="00456F9A">
        <w:trPr>
          <w:trHeight w:val="246"/>
          <w:jc w:val="center"/>
        </w:trPr>
        <w:tc>
          <w:tcPr>
            <w:tcW w:w="5568" w:type="dxa"/>
            <w:shd w:val="clear" w:color="auto" w:fill="auto"/>
            <w:vAlign w:val="bottom"/>
          </w:tcPr>
          <w:p w14:paraId="386569B6" w14:textId="77777777" w:rsidR="005177E5" w:rsidRPr="00657A6C" w:rsidRDefault="005177E5" w:rsidP="005177E5">
            <w:pPr>
              <w:tabs>
                <w:tab w:val="right" w:pos="1202"/>
              </w:tabs>
              <w:spacing w:after="0" w:line="240" w:lineRule="auto"/>
              <w:outlineLvl w:val="0"/>
              <w:rPr>
                <w:rFonts w:ascii="Calibri" w:eastAsia="Times New Roman" w:hAnsi="Calibri" w:cs="Arial"/>
                <w:sz w:val="18"/>
                <w:szCs w:val="18"/>
                <w:highlight w:val="yellow"/>
                <w:lang w:val="en-US"/>
              </w:rPr>
            </w:pPr>
            <w:bookmarkStart w:id="1133" w:name="_Toc4063006"/>
            <w:r w:rsidRPr="00657A6C">
              <w:rPr>
                <w:rFonts w:ascii="Calibri" w:eastAsia="Times New Roman" w:hAnsi="Calibri" w:cs="Arial"/>
                <w:sz w:val="18"/>
                <w:szCs w:val="18"/>
                <w:lang w:val="en-US"/>
              </w:rPr>
              <w:t xml:space="preserve">Investment in shares of foreign legal entities </w:t>
            </w:r>
            <w:bookmarkEnd w:id="1133"/>
          </w:p>
        </w:tc>
        <w:tc>
          <w:tcPr>
            <w:tcW w:w="1228" w:type="dxa"/>
            <w:tcBorders>
              <w:top w:val="nil"/>
              <w:left w:val="nil"/>
              <w:bottom w:val="nil"/>
              <w:right w:val="nil"/>
            </w:tcBorders>
            <w:shd w:val="clear" w:color="auto" w:fill="auto"/>
            <w:vAlign w:val="bottom"/>
          </w:tcPr>
          <w:p w14:paraId="25953A9E" w14:textId="617E507F" w:rsidR="005177E5" w:rsidRPr="00657A6C" w:rsidRDefault="005177E5" w:rsidP="005177E5">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29" w:type="dxa"/>
            <w:tcBorders>
              <w:top w:val="nil"/>
              <w:left w:val="nil"/>
              <w:bottom w:val="nil"/>
              <w:right w:val="nil"/>
            </w:tcBorders>
            <w:shd w:val="clear" w:color="auto" w:fill="auto"/>
            <w:vAlign w:val="bottom"/>
          </w:tcPr>
          <w:p w14:paraId="68F68E85" w14:textId="45E313C5" w:rsidR="005177E5" w:rsidRPr="00657A6C" w:rsidRDefault="005177E5" w:rsidP="005177E5">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45</w:t>
            </w:r>
          </w:p>
        </w:tc>
        <w:tc>
          <w:tcPr>
            <w:tcW w:w="1230" w:type="dxa"/>
            <w:tcBorders>
              <w:top w:val="nil"/>
              <w:left w:val="nil"/>
              <w:bottom w:val="nil"/>
              <w:right w:val="nil"/>
            </w:tcBorders>
            <w:shd w:val="clear" w:color="auto" w:fill="auto"/>
            <w:vAlign w:val="bottom"/>
          </w:tcPr>
          <w:p w14:paraId="55C67D53" w14:textId="337A3B2B" w:rsidR="005177E5" w:rsidRPr="00657A6C" w:rsidRDefault="005177E5" w:rsidP="005177E5">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r>
      <w:tr w:rsidR="005177E5" w:rsidRPr="00657A6C" w14:paraId="0532FA69" w14:textId="77777777" w:rsidTr="00456F9A">
        <w:trPr>
          <w:trHeight w:val="246"/>
          <w:jc w:val="center"/>
        </w:trPr>
        <w:tc>
          <w:tcPr>
            <w:tcW w:w="5568" w:type="dxa"/>
            <w:shd w:val="clear" w:color="auto" w:fill="auto"/>
            <w:vAlign w:val="bottom"/>
          </w:tcPr>
          <w:p w14:paraId="5C5C14CB" w14:textId="77777777" w:rsidR="005177E5" w:rsidRPr="00657A6C" w:rsidRDefault="005177E5" w:rsidP="005177E5">
            <w:pPr>
              <w:tabs>
                <w:tab w:val="right" w:pos="1202"/>
              </w:tabs>
              <w:spacing w:after="0" w:line="240" w:lineRule="auto"/>
              <w:outlineLvl w:val="0"/>
              <w:rPr>
                <w:rFonts w:ascii="Calibri" w:eastAsia="Times New Roman" w:hAnsi="Calibri" w:cs="Arial"/>
                <w:sz w:val="18"/>
                <w:szCs w:val="18"/>
                <w:highlight w:val="yellow"/>
                <w:lang w:val="en-US"/>
              </w:rPr>
            </w:pPr>
            <w:bookmarkStart w:id="1134" w:name="_Toc4063010"/>
            <w:r w:rsidRPr="00657A6C">
              <w:rPr>
                <w:rFonts w:ascii="Calibri" w:eastAsia="Times New Roman" w:hAnsi="Calibri" w:cs="Arial"/>
                <w:sz w:val="18"/>
                <w:szCs w:val="18"/>
                <w:lang w:val="en-US"/>
              </w:rPr>
              <w:t>Shares of foreign financial institutions – EIF</w:t>
            </w:r>
            <w:bookmarkEnd w:id="1134"/>
          </w:p>
        </w:tc>
        <w:tc>
          <w:tcPr>
            <w:tcW w:w="1228" w:type="dxa"/>
            <w:tcBorders>
              <w:top w:val="nil"/>
              <w:left w:val="nil"/>
              <w:bottom w:val="nil"/>
              <w:right w:val="nil"/>
            </w:tcBorders>
            <w:shd w:val="clear" w:color="auto" w:fill="auto"/>
            <w:vAlign w:val="bottom"/>
          </w:tcPr>
          <w:p w14:paraId="5396A6BB" w14:textId="733CA8D9" w:rsidR="005177E5" w:rsidRPr="00657A6C" w:rsidRDefault="005177E5" w:rsidP="005177E5">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29" w:type="dxa"/>
            <w:tcBorders>
              <w:top w:val="nil"/>
              <w:left w:val="nil"/>
              <w:bottom w:val="nil"/>
              <w:right w:val="nil"/>
            </w:tcBorders>
            <w:shd w:val="clear" w:color="auto" w:fill="auto"/>
            <w:vAlign w:val="bottom"/>
          </w:tcPr>
          <w:p w14:paraId="55873EDB" w14:textId="15C28D4D" w:rsidR="005177E5" w:rsidRPr="00657A6C" w:rsidRDefault="005177E5" w:rsidP="005177E5">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43,311</w:t>
            </w:r>
          </w:p>
        </w:tc>
        <w:tc>
          <w:tcPr>
            <w:tcW w:w="1230" w:type="dxa"/>
            <w:tcBorders>
              <w:top w:val="nil"/>
              <w:left w:val="nil"/>
              <w:bottom w:val="nil"/>
              <w:right w:val="nil"/>
            </w:tcBorders>
            <w:shd w:val="clear" w:color="auto" w:fill="auto"/>
            <w:vAlign w:val="bottom"/>
          </w:tcPr>
          <w:p w14:paraId="4083391E" w14:textId="5792DD4A" w:rsidR="005177E5" w:rsidRPr="00657A6C" w:rsidRDefault="005177E5" w:rsidP="005177E5">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r>
      <w:tr w:rsidR="005177E5" w:rsidRPr="00657A6C" w14:paraId="081D0B1F" w14:textId="77777777" w:rsidTr="00456F9A">
        <w:trPr>
          <w:trHeight w:val="246"/>
          <w:jc w:val="center"/>
        </w:trPr>
        <w:tc>
          <w:tcPr>
            <w:tcW w:w="5568" w:type="dxa"/>
            <w:shd w:val="clear" w:color="auto" w:fill="auto"/>
            <w:vAlign w:val="bottom"/>
          </w:tcPr>
          <w:p w14:paraId="0FBD3EB4" w14:textId="77777777" w:rsidR="005177E5" w:rsidRPr="00657A6C" w:rsidRDefault="005177E5" w:rsidP="005177E5">
            <w:pPr>
              <w:tabs>
                <w:tab w:val="right" w:pos="1202"/>
              </w:tabs>
              <w:spacing w:after="0" w:line="240" w:lineRule="auto"/>
              <w:outlineLvl w:val="0"/>
              <w:rPr>
                <w:rFonts w:ascii="Calibri" w:eastAsia="Times New Roman" w:hAnsi="Calibri" w:cs="Arial"/>
                <w:b/>
                <w:sz w:val="18"/>
                <w:szCs w:val="18"/>
                <w:highlight w:val="yellow"/>
                <w:lang w:val="en-US"/>
              </w:rPr>
            </w:pPr>
            <w:bookmarkStart w:id="1135" w:name="_Toc4063014"/>
            <w:r w:rsidRPr="00657A6C">
              <w:rPr>
                <w:rFonts w:ascii="Calibri" w:eastAsia="Times New Roman" w:hAnsi="Calibri" w:cs="Arial"/>
                <w:b/>
                <w:sz w:val="18"/>
                <w:szCs w:val="18"/>
                <w:lang w:val="en-US"/>
              </w:rPr>
              <w:t>Total equity instruments</w:t>
            </w:r>
            <w:bookmarkEnd w:id="1135"/>
          </w:p>
        </w:tc>
        <w:tc>
          <w:tcPr>
            <w:tcW w:w="1228" w:type="dxa"/>
            <w:tcBorders>
              <w:top w:val="single" w:sz="4" w:space="0" w:color="auto"/>
              <w:left w:val="nil"/>
              <w:bottom w:val="single" w:sz="8" w:space="0" w:color="auto"/>
              <w:right w:val="nil"/>
            </w:tcBorders>
            <w:shd w:val="clear" w:color="auto" w:fill="auto"/>
            <w:vAlign w:val="bottom"/>
          </w:tcPr>
          <w:p w14:paraId="6A1B277A" w14:textId="38405033" w:rsidR="005177E5" w:rsidRPr="00657A6C" w:rsidRDefault="005177E5" w:rsidP="005177E5">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cs="Calibri"/>
                <w:b/>
                <w:color w:val="000000"/>
                <w:sz w:val="18"/>
                <w:szCs w:val="18"/>
              </w:rPr>
              <w:t>-</w:t>
            </w:r>
          </w:p>
        </w:tc>
        <w:tc>
          <w:tcPr>
            <w:tcW w:w="1229" w:type="dxa"/>
            <w:tcBorders>
              <w:top w:val="single" w:sz="4" w:space="0" w:color="auto"/>
              <w:left w:val="nil"/>
              <w:bottom w:val="single" w:sz="8" w:space="0" w:color="auto"/>
              <w:right w:val="nil"/>
            </w:tcBorders>
            <w:shd w:val="clear" w:color="auto" w:fill="auto"/>
            <w:vAlign w:val="bottom"/>
          </w:tcPr>
          <w:p w14:paraId="2EC653FB" w14:textId="76DF6AEE" w:rsidR="005177E5" w:rsidRPr="00657A6C" w:rsidRDefault="005177E5" w:rsidP="005177E5">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cs="Calibri"/>
                <w:b/>
                <w:color w:val="000000"/>
                <w:sz w:val="18"/>
                <w:szCs w:val="18"/>
              </w:rPr>
              <w:t>43,356</w:t>
            </w:r>
          </w:p>
        </w:tc>
        <w:tc>
          <w:tcPr>
            <w:tcW w:w="1230" w:type="dxa"/>
            <w:tcBorders>
              <w:top w:val="single" w:sz="4" w:space="0" w:color="auto"/>
              <w:left w:val="nil"/>
              <w:bottom w:val="single" w:sz="8" w:space="0" w:color="auto"/>
              <w:right w:val="nil"/>
            </w:tcBorders>
            <w:shd w:val="clear" w:color="auto" w:fill="auto"/>
            <w:vAlign w:val="bottom"/>
          </w:tcPr>
          <w:p w14:paraId="099083CD" w14:textId="536A8B53" w:rsidR="005177E5" w:rsidRPr="00657A6C" w:rsidRDefault="005177E5" w:rsidP="005177E5">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cs="Calibri"/>
                <w:b/>
                <w:color w:val="000000"/>
                <w:sz w:val="18"/>
                <w:szCs w:val="18"/>
              </w:rPr>
              <w:t>-</w:t>
            </w:r>
          </w:p>
        </w:tc>
      </w:tr>
      <w:tr w:rsidR="005177E5" w:rsidRPr="00657A6C" w14:paraId="3616A0C6" w14:textId="77777777" w:rsidTr="00456F9A">
        <w:trPr>
          <w:trHeight w:hRule="exact" w:val="475"/>
          <w:jc w:val="center"/>
        </w:trPr>
        <w:tc>
          <w:tcPr>
            <w:tcW w:w="5568" w:type="dxa"/>
            <w:shd w:val="clear" w:color="auto" w:fill="auto"/>
            <w:vAlign w:val="bottom"/>
          </w:tcPr>
          <w:p w14:paraId="5D4047DA" w14:textId="77777777" w:rsidR="005177E5" w:rsidRPr="00657A6C" w:rsidRDefault="005177E5" w:rsidP="005177E5">
            <w:pPr>
              <w:tabs>
                <w:tab w:val="right" w:pos="1202"/>
              </w:tabs>
              <w:spacing w:after="0" w:line="240" w:lineRule="auto"/>
              <w:outlineLvl w:val="0"/>
              <w:rPr>
                <w:rFonts w:ascii="Calibri" w:eastAsia="Times New Roman" w:hAnsi="Calibri" w:cs="Arial"/>
                <w:b/>
                <w:sz w:val="18"/>
                <w:szCs w:val="18"/>
                <w:highlight w:val="yellow"/>
                <w:lang w:val="en-US"/>
              </w:rPr>
            </w:pPr>
            <w:bookmarkStart w:id="1136" w:name="_Toc4063018"/>
            <w:r w:rsidRPr="00657A6C">
              <w:rPr>
                <w:rFonts w:ascii="Calibri" w:eastAsia="Times New Roman" w:hAnsi="Calibri" w:cs="Arial"/>
                <w:b/>
                <w:sz w:val="18"/>
                <w:szCs w:val="18"/>
                <w:lang w:val="en-US"/>
              </w:rPr>
              <w:t>Total financial assets at fair value through other comprehensive income</w:t>
            </w:r>
            <w:bookmarkEnd w:id="1136"/>
          </w:p>
        </w:tc>
        <w:tc>
          <w:tcPr>
            <w:tcW w:w="1228" w:type="dxa"/>
            <w:tcBorders>
              <w:top w:val="single" w:sz="12" w:space="0" w:color="auto"/>
              <w:left w:val="nil"/>
              <w:bottom w:val="single" w:sz="12" w:space="0" w:color="auto"/>
              <w:right w:val="nil"/>
            </w:tcBorders>
            <w:shd w:val="clear" w:color="auto" w:fill="auto"/>
            <w:vAlign w:val="bottom"/>
          </w:tcPr>
          <w:p w14:paraId="06115AC1" w14:textId="3A8966DB" w:rsidR="005177E5" w:rsidRPr="00657A6C" w:rsidRDefault="005177E5" w:rsidP="005177E5">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b/>
                <w:color w:val="000000"/>
                <w:spacing w:val="-2"/>
                <w:sz w:val="18"/>
                <w:szCs w:val="18"/>
              </w:rPr>
              <w:t>1,602,154</w:t>
            </w:r>
          </w:p>
        </w:tc>
        <w:tc>
          <w:tcPr>
            <w:tcW w:w="1229" w:type="dxa"/>
            <w:tcBorders>
              <w:top w:val="single" w:sz="12" w:space="0" w:color="auto"/>
              <w:left w:val="nil"/>
              <w:bottom w:val="single" w:sz="12" w:space="0" w:color="auto"/>
              <w:right w:val="nil"/>
            </w:tcBorders>
            <w:shd w:val="clear" w:color="auto" w:fill="auto"/>
            <w:vAlign w:val="bottom"/>
          </w:tcPr>
          <w:p w14:paraId="62D34872" w14:textId="462EA7CA" w:rsidR="005177E5" w:rsidRPr="00657A6C" w:rsidRDefault="005177E5" w:rsidP="005177E5">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b/>
                <w:color w:val="000000"/>
                <w:spacing w:val="-2"/>
                <w:sz w:val="18"/>
                <w:szCs w:val="18"/>
              </w:rPr>
              <w:t>1,644,698</w:t>
            </w:r>
          </w:p>
        </w:tc>
        <w:tc>
          <w:tcPr>
            <w:tcW w:w="1230" w:type="dxa"/>
            <w:tcBorders>
              <w:top w:val="single" w:sz="12" w:space="0" w:color="auto"/>
              <w:left w:val="nil"/>
              <w:bottom w:val="single" w:sz="12" w:space="0" w:color="auto"/>
              <w:right w:val="nil"/>
            </w:tcBorders>
            <w:shd w:val="clear" w:color="auto" w:fill="auto"/>
            <w:vAlign w:val="bottom"/>
          </w:tcPr>
          <w:p w14:paraId="5E8F2F4E" w14:textId="07A722F7" w:rsidR="005177E5" w:rsidRPr="00657A6C" w:rsidRDefault="005177E5" w:rsidP="005177E5">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b/>
                <w:color w:val="000000"/>
                <w:spacing w:val="-2"/>
                <w:sz w:val="18"/>
                <w:szCs w:val="18"/>
              </w:rPr>
              <w:t>2,151</w:t>
            </w:r>
          </w:p>
        </w:tc>
      </w:tr>
    </w:tbl>
    <w:p w14:paraId="5AFF38E1" w14:textId="4E658105" w:rsidR="00F8009E" w:rsidRDefault="00F8009E" w:rsidP="00456F9A">
      <w:pPr>
        <w:spacing w:after="0" w:line="240" w:lineRule="auto"/>
        <w:jc w:val="both"/>
        <w:rPr>
          <w:rFonts w:ascii="Calibri" w:eastAsia="Calibri" w:hAnsi="Calibri" w:cs="Arial"/>
          <w:bCs/>
          <w:sz w:val="10"/>
          <w:szCs w:val="10"/>
          <w:lang w:val="en-US"/>
        </w:rPr>
      </w:pPr>
    </w:p>
    <w:p w14:paraId="27137B9A" w14:textId="77777777" w:rsidR="00294F72" w:rsidRPr="00A1123E" w:rsidRDefault="00294F72" w:rsidP="00456F9A">
      <w:pPr>
        <w:spacing w:after="0" w:line="240" w:lineRule="auto"/>
        <w:jc w:val="both"/>
        <w:rPr>
          <w:rFonts w:ascii="Calibri" w:eastAsia="Calibri" w:hAnsi="Calibri" w:cs="Arial"/>
          <w:bCs/>
          <w:sz w:val="10"/>
          <w:szCs w:val="10"/>
          <w:lang w:val="en-US"/>
        </w:rPr>
      </w:pPr>
    </w:p>
    <w:p w14:paraId="33101EA4" w14:textId="77777777" w:rsidR="003D76A9" w:rsidRPr="003C23FF" w:rsidRDefault="003D76A9" w:rsidP="003C23FF">
      <w:pPr>
        <w:tabs>
          <w:tab w:val="left" w:pos="8930"/>
        </w:tabs>
        <w:autoSpaceDE w:val="0"/>
        <w:autoSpaceDN w:val="0"/>
        <w:spacing w:after="80" w:line="240" w:lineRule="auto"/>
        <w:jc w:val="both"/>
        <w:rPr>
          <w:rFonts w:ascii="Calibri" w:eastAsia="Calibri" w:hAnsi="Calibri" w:cs="Calibri"/>
          <w:color w:val="000000"/>
          <w:sz w:val="19"/>
          <w:szCs w:val="19"/>
          <w:lang w:val="en-GB"/>
        </w:rPr>
      </w:pPr>
      <w:r w:rsidRPr="003C23FF">
        <w:rPr>
          <w:rFonts w:ascii="Calibri" w:eastAsia="Calibri" w:hAnsi="Calibri" w:cs="Calibri"/>
          <w:color w:val="000000"/>
          <w:sz w:val="19"/>
          <w:szCs w:val="19"/>
          <w:lang w:val="en-GB"/>
        </w:rPr>
        <w:t>Treasury bills of the Ministry of Finance are presented at level 2 of the fair value hierarchy. To calculate fair value, the discounted cash flow method was used at a discount rate that corresponded to the yields realised at the last auction of the Ministry of Finance before the valuation date. The transfer from Level 1 to Level 2 occurred because the quoted bid prices on Bloomberg were higher (with a negative purchase yield) in relation to the prices realised at the same time at the primary auction of treasury bills, at which the treasury bills were issued with positive yields.</w:t>
      </w:r>
    </w:p>
    <w:p w14:paraId="62CE42C7" w14:textId="77777777" w:rsidR="003D76A9" w:rsidRPr="003C23FF" w:rsidRDefault="003D76A9" w:rsidP="003C23FF">
      <w:pPr>
        <w:keepNext/>
        <w:spacing w:after="80" w:line="240" w:lineRule="auto"/>
        <w:jc w:val="both"/>
        <w:rPr>
          <w:rFonts w:ascii="Calibri" w:hAnsi="Calibri" w:cs="Arial"/>
          <w:spacing w:val="-3"/>
          <w:sz w:val="19"/>
          <w:szCs w:val="19"/>
        </w:rPr>
      </w:pPr>
      <w:r w:rsidRPr="003C23FF">
        <w:rPr>
          <w:rFonts w:ascii="Calibri" w:hAnsi="Calibri" w:cs="Arial"/>
          <w:spacing w:val="-3"/>
          <w:sz w:val="19"/>
          <w:szCs w:val="19"/>
        </w:rPr>
        <w:t>Debt Instruments: Corporate Bonds were classified within Level 3 of the fair value hierarchy. The valuation technique used was the method of the discounted cash flows based on market interest rates, spread linked to internal credit-rating and internally determined spread linked to financial instrument liquidity.</w:t>
      </w:r>
    </w:p>
    <w:p w14:paraId="5038F3C4" w14:textId="5F425CAA" w:rsidR="008C0661" w:rsidRPr="003C23FF" w:rsidRDefault="00456F9A" w:rsidP="003C23FF">
      <w:pPr>
        <w:spacing w:after="80" w:line="240" w:lineRule="auto"/>
        <w:jc w:val="both"/>
        <w:rPr>
          <w:rFonts w:ascii="Calibri" w:eastAsia="Calibri" w:hAnsi="Calibri" w:cs="Arial"/>
          <w:bCs/>
          <w:sz w:val="19"/>
          <w:szCs w:val="19"/>
          <w:lang w:val="en-US"/>
        </w:rPr>
        <w:sectPr w:rsidR="008C0661" w:rsidRPr="003C23FF" w:rsidSect="00712478">
          <w:pgSz w:w="11906" w:h="16838"/>
          <w:pgMar w:top="1418" w:right="1134" w:bottom="1418" w:left="1418" w:header="709" w:footer="709" w:gutter="0"/>
          <w:cols w:space="708"/>
          <w:docGrid w:linePitch="360"/>
        </w:sectPr>
      </w:pPr>
      <w:r w:rsidRPr="003C23FF">
        <w:rPr>
          <w:rFonts w:ascii="Calibri" w:eastAsia="Calibri" w:hAnsi="Calibri" w:cs="Arial"/>
          <w:bCs/>
          <w:sz w:val="19"/>
          <w:szCs w:val="19"/>
          <w:lang w:val="en-US"/>
        </w:rPr>
        <w:t>There were no transfers between the levels in the reporting period.</w:t>
      </w:r>
      <w:r w:rsidR="008C0661" w:rsidRPr="003C23FF">
        <w:rPr>
          <w:rFonts w:ascii="Calibri" w:eastAsia="Calibri" w:hAnsi="Calibri" w:cs="Arial"/>
          <w:bCs/>
          <w:sz w:val="19"/>
          <w:szCs w:val="19"/>
          <w:lang w:val="en-US"/>
        </w:rPr>
        <w:t xml:space="preserve"> </w:t>
      </w:r>
    </w:p>
    <w:p w14:paraId="33EC7541" w14:textId="77777777" w:rsidR="008C0661" w:rsidRPr="00537128" w:rsidRDefault="008C0661" w:rsidP="008C0661">
      <w:pPr>
        <w:spacing w:after="0" w:line="240" w:lineRule="auto"/>
        <w:jc w:val="both"/>
        <w:rPr>
          <w:rFonts w:eastAsia="Times New Roman" w:cstheme="minorHAnsi"/>
          <w:bCs/>
          <w:iCs/>
          <w:color w:val="000000" w:themeColor="text1"/>
          <w:lang w:val="en-US"/>
        </w:rPr>
      </w:pPr>
    </w:p>
    <w:p w14:paraId="115B0A4B" w14:textId="77777777" w:rsidR="008C0661" w:rsidRPr="00537128" w:rsidRDefault="008C0661">
      <w:pPr>
        <w:pStyle w:val="ListParagraph"/>
        <w:numPr>
          <w:ilvl w:val="0"/>
          <w:numId w:val="64"/>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 xml:space="preserve">Fair value of financial assets and financial liabilities </w:t>
      </w:r>
      <w:r w:rsidRPr="00537128">
        <w:rPr>
          <w:rFonts w:ascii="Calibri" w:eastAsia="Calibri" w:hAnsi="Calibri" w:cs="Arial"/>
          <w:b/>
          <w:bCs/>
          <w:spacing w:val="-3"/>
          <w:lang w:val="en-US"/>
        </w:rPr>
        <w:t>(continued)</w:t>
      </w:r>
    </w:p>
    <w:p w14:paraId="6CA6A441" w14:textId="77777777" w:rsidR="008C0661" w:rsidRPr="00537128" w:rsidRDefault="008C0661" w:rsidP="008C0661">
      <w:pPr>
        <w:spacing w:after="0" w:line="240" w:lineRule="auto"/>
        <w:jc w:val="both"/>
        <w:rPr>
          <w:rFonts w:ascii="Calibri" w:eastAsia="Calibri" w:hAnsi="Calibri" w:cs="Arial"/>
          <w:bCs/>
          <w:lang w:val="en-US"/>
        </w:rPr>
      </w:pPr>
    </w:p>
    <w:p w14:paraId="4FF8369E" w14:textId="4DF1E511" w:rsidR="008C0661" w:rsidRDefault="003E09B3" w:rsidP="008C0661">
      <w:pPr>
        <w:spacing w:after="0" w:line="240" w:lineRule="auto"/>
        <w:jc w:val="both"/>
        <w:rPr>
          <w:rFonts w:ascii="Calibri" w:eastAsia="Calibri" w:hAnsi="Calibri" w:cs="Arial"/>
          <w:b/>
          <w:bCs/>
          <w:spacing w:val="-3"/>
          <w:lang w:val="en-US"/>
        </w:rPr>
      </w:pPr>
      <w:r w:rsidRPr="00537128">
        <w:rPr>
          <w:rFonts w:ascii="Calibri" w:eastAsia="Calibri" w:hAnsi="Calibri" w:cs="Arial"/>
          <w:b/>
          <w:bCs/>
          <w:spacing w:val="-3"/>
          <w:lang w:val="en-US"/>
        </w:rPr>
        <w:t>2</w:t>
      </w:r>
      <w:r>
        <w:rPr>
          <w:rFonts w:ascii="Calibri" w:eastAsia="Calibri" w:hAnsi="Calibri" w:cs="Arial"/>
          <w:b/>
          <w:bCs/>
          <w:spacing w:val="-3"/>
          <w:lang w:val="en-US"/>
        </w:rPr>
        <w:t>4</w:t>
      </w:r>
      <w:r w:rsidR="008C0661" w:rsidRPr="00537128">
        <w:rPr>
          <w:rFonts w:ascii="Calibri" w:eastAsia="Calibri" w:hAnsi="Calibri" w:cs="Arial"/>
          <w:b/>
          <w:bCs/>
          <w:spacing w:val="-3"/>
          <w:lang w:val="en-US"/>
        </w:rPr>
        <w:t xml:space="preserve">.1. </w:t>
      </w:r>
      <w:r w:rsidR="008C0661" w:rsidRPr="00537128">
        <w:rPr>
          <w:rFonts w:ascii="Calibri" w:eastAsia="Calibri" w:hAnsi="Calibri" w:cs="Arial"/>
          <w:b/>
          <w:bCs/>
          <w:spacing w:val="-3"/>
          <w:lang w:val="en-US"/>
        </w:rPr>
        <w:tab/>
        <w:t>Fair value of financial assets and financial liabilities initially recognized and measured at fair value (continued)</w:t>
      </w:r>
    </w:p>
    <w:p w14:paraId="53ED8E8C" w14:textId="5B8274BD" w:rsidR="003F0164" w:rsidRDefault="003F0164" w:rsidP="008C0661">
      <w:pPr>
        <w:spacing w:after="0" w:line="240" w:lineRule="auto"/>
        <w:jc w:val="both"/>
        <w:rPr>
          <w:rFonts w:ascii="Calibri" w:eastAsia="Calibri" w:hAnsi="Calibri" w:cs="Arial"/>
          <w:b/>
          <w:bCs/>
          <w:spacing w:val="-3"/>
          <w:lang w:val="en-US"/>
        </w:rPr>
      </w:pPr>
    </w:p>
    <w:p w14:paraId="36C5555F" w14:textId="77777777" w:rsidR="003F0164" w:rsidRPr="00537128" w:rsidRDefault="003F0164" w:rsidP="008C0661">
      <w:pPr>
        <w:spacing w:after="0" w:line="240" w:lineRule="auto"/>
        <w:jc w:val="both"/>
        <w:rPr>
          <w:rFonts w:ascii="Calibri" w:eastAsia="Calibri" w:hAnsi="Calibri" w:cs="Arial"/>
          <w:b/>
          <w:bCs/>
          <w:spacing w:val="-3"/>
          <w:lang w:val="en-US"/>
        </w:rPr>
      </w:pPr>
    </w:p>
    <w:p w14:paraId="00541F8C" w14:textId="77777777" w:rsidR="00206732" w:rsidRPr="00537128" w:rsidRDefault="00206732" w:rsidP="008C0661">
      <w:pPr>
        <w:spacing w:after="0" w:line="240" w:lineRule="auto"/>
        <w:jc w:val="both"/>
        <w:rPr>
          <w:rFonts w:ascii="Calibri" w:eastAsia="Calibri" w:hAnsi="Calibri" w:cs="Arial"/>
          <w:bCs/>
          <w:lang w:val="en-US"/>
        </w:rPr>
      </w:pPr>
    </w:p>
    <w:tbl>
      <w:tblPr>
        <w:tblW w:w="9255" w:type="dxa"/>
        <w:jc w:val="center"/>
        <w:tblLayout w:type="fixed"/>
        <w:tblCellMar>
          <w:left w:w="122" w:type="dxa"/>
          <w:right w:w="122" w:type="dxa"/>
        </w:tblCellMar>
        <w:tblLook w:val="0000" w:firstRow="0" w:lastRow="0" w:firstColumn="0" w:lastColumn="0" w:noHBand="0" w:noVBand="0"/>
      </w:tblPr>
      <w:tblGrid>
        <w:gridCol w:w="5568"/>
        <w:gridCol w:w="1228"/>
        <w:gridCol w:w="1229"/>
        <w:gridCol w:w="1230"/>
      </w:tblGrid>
      <w:tr w:rsidR="003F0164" w:rsidRPr="003F0164" w14:paraId="407E810E" w14:textId="77777777" w:rsidTr="00E44437">
        <w:trPr>
          <w:trHeight w:val="233"/>
          <w:jc w:val="center"/>
        </w:trPr>
        <w:tc>
          <w:tcPr>
            <w:tcW w:w="5568" w:type="dxa"/>
            <w:shd w:val="clear" w:color="auto" w:fill="auto"/>
          </w:tcPr>
          <w:p w14:paraId="353E6978" w14:textId="77777777" w:rsidR="003F0164" w:rsidRPr="003F0164" w:rsidRDefault="003F0164" w:rsidP="003F0164">
            <w:pPr>
              <w:tabs>
                <w:tab w:val="right" w:pos="1202"/>
              </w:tabs>
              <w:spacing w:after="0" w:line="240" w:lineRule="auto"/>
              <w:outlineLvl w:val="0"/>
              <w:rPr>
                <w:rFonts w:ascii="Calibri" w:eastAsia="Times New Roman" w:hAnsi="Calibri" w:cs="Arial"/>
                <w:sz w:val="19"/>
                <w:szCs w:val="19"/>
                <w:lang w:val="en-US"/>
              </w:rPr>
            </w:pPr>
            <w:r w:rsidRPr="003F0164">
              <w:rPr>
                <w:rFonts w:ascii="Calibri" w:eastAsia="Times New Roman" w:hAnsi="Calibri" w:cs="Arial"/>
                <w:b/>
                <w:sz w:val="19"/>
                <w:szCs w:val="19"/>
                <w:lang w:val="en-US"/>
              </w:rPr>
              <w:t>Group</w:t>
            </w:r>
          </w:p>
        </w:tc>
        <w:tc>
          <w:tcPr>
            <w:tcW w:w="3687" w:type="dxa"/>
            <w:gridSpan w:val="3"/>
          </w:tcPr>
          <w:p w14:paraId="3660F407" w14:textId="77777777" w:rsidR="003F0164" w:rsidRPr="003F0164" w:rsidRDefault="003F0164" w:rsidP="003F0164">
            <w:pPr>
              <w:tabs>
                <w:tab w:val="right" w:pos="1202"/>
              </w:tabs>
              <w:spacing w:after="0" w:line="240" w:lineRule="auto"/>
              <w:jc w:val="right"/>
              <w:outlineLvl w:val="0"/>
              <w:rPr>
                <w:rFonts w:ascii="Calibri" w:eastAsia="Times New Roman" w:hAnsi="Calibri" w:cs="Arial"/>
                <w:b/>
                <w:bCs/>
                <w:sz w:val="19"/>
                <w:szCs w:val="19"/>
                <w:lang w:val="en-US"/>
              </w:rPr>
            </w:pPr>
            <w:bookmarkStart w:id="1137" w:name="_Toc4062936"/>
            <w:r w:rsidRPr="003F0164">
              <w:rPr>
                <w:rFonts w:ascii="Calibri" w:eastAsia="Times New Roman" w:hAnsi="Calibri" w:cs="Arial"/>
                <w:b/>
                <w:bCs/>
                <w:sz w:val="19"/>
                <w:szCs w:val="19"/>
                <w:lang w:val="en-US"/>
              </w:rPr>
              <w:t xml:space="preserve">31 December </w:t>
            </w:r>
            <w:bookmarkEnd w:id="1137"/>
            <w:r w:rsidRPr="003F0164">
              <w:rPr>
                <w:rFonts w:ascii="Calibri" w:eastAsia="Times New Roman" w:hAnsi="Calibri" w:cs="Arial"/>
                <w:b/>
                <w:bCs/>
                <w:sz w:val="19"/>
                <w:szCs w:val="19"/>
                <w:lang w:val="en-US"/>
              </w:rPr>
              <w:t>2021</w:t>
            </w:r>
          </w:p>
        </w:tc>
      </w:tr>
      <w:tr w:rsidR="003F0164" w:rsidRPr="003F0164" w14:paraId="3E58AB61" w14:textId="77777777" w:rsidTr="00E44437">
        <w:trPr>
          <w:trHeight w:val="238"/>
          <w:jc w:val="center"/>
        </w:trPr>
        <w:tc>
          <w:tcPr>
            <w:tcW w:w="5568" w:type="dxa"/>
            <w:shd w:val="clear" w:color="auto" w:fill="auto"/>
            <w:vAlign w:val="bottom"/>
          </w:tcPr>
          <w:p w14:paraId="5029C369" w14:textId="77777777" w:rsidR="003F0164" w:rsidRPr="003F0164" w:rsidRDefault="003F0164" w:rsidP="003F0164">
            <w:pPr>
              <w:tabs>
                <w:tab w:val="right" w:pos="1202"/>
              </w:tabs>
              <w:spacing w:after="0" w:line="240" w:lineRule="auto"/>
              <w:outlineLvl w:val="0"/>
              <w:rPr>
                <w:rFonts w:ascii="Calibri" w:eastAsia="Times New Roman" w:hAnsi="Calibri" w:cs="Arial"/>
                <w:spacing w:val="-2"/>
                <w:sz w:val="19"/>
                <w:szCs w:val="19"/>
                <w:lang w:val="en-US"/>
              </w:rPr>
            </w:pPr>
          </w:p>
        </w:tc>
        <w:tc>
          <w:tcPr>
            <w:tcW w:w="1228" w:type="dxa"/>
            <w:shd w:val="clear" w:color="auto" w:fill="auto"/>
            <w:vAlign w:val="bottom"/>
          </w:tcPr>
          <w:p w14:paraId="6D3A7E5D" w14:textId="77777777" w:rsidR="003F0164" w:rsidRPr="003F0164" w:rsidRDefault="003F0164" w:rsidP="003F0164">
            <w:pPr>
              <w:tabs>
                <w:tab w:val="right" w:pos="1202"/>
              </w:tabs>
              <w:spacing w:after="0" w:line="240" w:lineRule="auto"/>
              <w:jc w:val="right"/>
              <w:outlineLvl w:val="0"/>
              <w:rPr>
                <w:rFonts w:ascii="Calibri" w:eastAsia="Times New Roman" w:hAnsi="Calibri" w:cs="Arial"/>
                <w:b/>
                <w:spacing w:val="-2"/>
                <w:sz w:val="19"/>
                <w:szCs w:val="19"/>
                <w:lang w:val="en-US"/>
              </w:rPr>
            </w:pPr>
            <w:r w:rsidRPr="003F0164">
              <w:rPr>
                <w:rFonts w:ascii="Calibri" w:eastAsia="Times New Roman" w:hAnsi="Calibri" w:cs="Arial"/>
                <w:b/>
                <w:spacing w:val="-2"/>
                <w:sz w:val="19"/>
                <w:szCs w:val="19"/>
                <w:lang w:val="en-US"/>
              </w:rPr>
              <w:t>Level 1</w:t>
            </w:r>
          </w:p>
        </w:tc>
        <w:tc>
          <w:tcPr>
            <w:tcW w:w="1229" w:type="dxa"/>
            <w:shd w:val="clear" w:color="auto" w:fill="auto"/>
            <w:vAlign w:val="bottom"/>
          </w:tcPr>
          <w:p w14:paraId="780EB336" w14:textId="77777777" w:rsidR="003F0164" w:rsidRPr="003F0164" w:rsidRDefault="003F0164" w:rsidP="003F0164">
            <w:pPr>
              <w:tabs>
                <w:tab w:val="right" w:pos="1202"/>
              </w:tabs>
              <w:spacing w:after="0" w:line="240" w:lineRule="auto"/>
              <w:jc w:val="right"/>
              <w:outlineLvl w:val="0"/>
              <w:rPr>
                <w:rFonts w:ascii="Calibri" w:eastAsia="Times New Roman" w:hAnsi="Calibri" w:cs="Arial"/>
                <w:b/>
                <w:spacing w:val="-2"/>
                <w:sz w:val="19"/>
                <w:szCs w:val="19"/>
                <w:lang w:val="en-US"/>
              </w:rPr>
            </w:pPr>
            <w:r w:rsidRPr="003F0164">
              <w:rPr>
                <w:rFonts w:ascii="Calibri" w:eastAsia="Times New Roman" w:hAnsi="Calibri" w:cs="Arial"/>
                <w:b/>
                <w:spacing w:val="-2"/>
                <w:sz w:val="19"/>
                <w:szCs w:val="19"/>
                <w:lang w:val="en-US"/>
              </w:rPr>
              <w:t>Level 2</w:t>
            </w:r>
          </w:p>
        </w:tc>
        <w:tc>
          <w:tcPr>
            <w:tcW w:w="1230" w:type="dxa"/>
            <w:shd w:val="clear" w:color="auto" w:fill="auto"/>
            <w:vAlign w:val="bottom"/>
          </w:tcPr>
          <w:p w14:paraId="66FE2184" w14:textId="77777777" w:rsidR="003F0164" w:rsidRPr="003F0164" w:rsidRDefault="003F0164" w:rsidP="003F0164">
            <w:pPr>
              <w:tabs>
                <w:tab w:val="right" w:pos="1202"/>
              </w:tabs>
              <w:spacing w:after="0" w:line="240" w:lineRule="auto"/>
              <w:jc w:val="right"/>
              <w:outlineLvl w:val="0"/>
              <w:rPr>
                <w:rFonts w:ascii="Calibri" w:eastAsia="Times New Roman" w:hAnsi="Calibri" w:cs="Arial"/>
                <w:b/>
                <w:spacing w:val="-2"/>
                <w:sz w:val="19"/>
                <w:szCs w:val="19"/>
                <w:lang w:val="en-US"/>
              </w:rPr>
            </w:pPr>
            <w:r w:rsidRPr="003F0164">
              <w:rPr>
                <w:rFonts w:ascii="Calibri" w:eastAsia="Times New Roman" w:hAnsi="Calibri" w:cs="Arial"/>
                <w:b/>
                <w:spacing w:val="-2"/>
                <w:sz w:val="19"/>
                <w:szCs w:val="19"/>
                <w:lang w:val="en-US"/>
              </w:rPr>
              <w:t>Level 3</w:t>
            </w:r>
          </w:p>
        </w:tc>
      </w:tr>
      <w:tr w:rsidR="003F0164" w:rsidRPr="003F0164" w14:paraId="2619F339" w14:textId="77777777" w:rsidTr="00E44437">
        <w:trPr>
          <w:trHeight w:hRule="exact" w:val="205"/>
          <w:jc w:val="center"/>
        </w:trPr>
        <w:tc>
          <w:tcPr>
            <w:tcW w:w="5568" w:type="dxa"/>
            <w:shd w:val="clear" w:color="auto" w:fill="auto"/>
            <w:vAlign w:val="bottom"/>
          </w:tcPr>
          <w:p w14:paraId="6AB38DB0" w14:textId="77777777" w:rsidR="003F0164" w:rsidRPr="003F0164" w:rsidRDefault="003F0164" w:rsidP="003F0164">
            <w:pPr>
              <w:tabs>
                <w:tab w:val="right" w:pos="1202"/>
              </w:tabs>
              <w:spacing w:after="0" w:line="240" w:lineRule="auto"/>
              <w:outlineLvl w:val="0"/>
              <w:rPr>
                <w:rFonts w:ascii="Calibri" w:eastAsia="Times New Roman" w:hAnsi="Calibri" w:cs="Arial"/>
                <w:spacing w:val="-2"/>
                <w:sz w:val="19"/>
                <w:szCs w:val="19"/>
                <w:lang w:val="en-US"/>
              </w:rPr>
            </w:pPr>
          </w:p>
        </w:tc>
        <w:tc>
          <w:tcPr>
            <w:tcW w:w="1228" w:type="dxa"/>
            <w:shd w:val="clear" w:color="auto" w:fill="auto"/>
            <w:vAlign w:val="bottom"/>
          </w:tcPr>
          <w:p w14:paraId="054F96E5" w14:textId="77777777" w:rsidR="003F0164" w:rsidRPr="003F0164" w:rsidRDefault="003F0164" w:rsidP="003F0164">
            <w:pPr>
              <w:tabs>
                <w:tab w:val="right" w:pos="1202"/>
              </w:tabs>
              <w:spacing w:after="0" w:line="240" w:lineRule="auto"/>
              <w:jc w:val="right"/>
              <w:outlineLvl w:val="0"/>
              <w:rPr>
                <w:rFonts w:ascii="Calibri" w:eastAsia="Times New Roman" w:hAnsi="Calibri" w:cs="Arial"/>
                <w:b/>
                <w:spacing w:val="-2"/>
                <w:sz w:val="19"/>
                <w:szCs w:val="19"/>
                <w:lang w:val="en-US"/>
              </w:rPr>
            </w:pPr>
            <w:r w:rsidRPr="003F0164">
              <w:rPr>
                <w:rFonts w:ascii="Calibri" w:eastAsia="Times New Roman" w:hAnsi="Calibri" w:cs="Arial"/>
                <w:b/>
                <w:spacing w:val="-2"/>
                <w:sz w:val="19"/>
                <w:szCs w:val="19"/>
                <w:lang w:val="en-US"/>
              </w:rPr>
              <w:t>HRK ‘000</w:t>
            </w:r>
          </w:p>
        </w:tc>
        <w:tc>
          <w:tcPr>
            <w:tcW w:w="1229" w:type="dxa"/>
            <w:shd w:val="clear" w:color="auto" w:fill="auto"/>
            <w:vAlign w:val="bottom"/>
          </w:tcPr>
          <w:p w14:paraId="595C8FA1" w14:textId="77777777" w:rsidR="003F0164" w:rsidRPr="003F0164" w:rsidRDefault="003F0164" w:rsidP="003F0164">
            <w:pPr>
              <w:tabs>
                <w:tab w:val="right" w:pos="1202"/>
              </w:tabs>
              <w:spacing w:after="0" w:line="240" w:lineRule="auto"/>
              <w:jc w:val="right"/>
              <w:outlineLvl w:val="0"/>
              <w:rPr>
                <w:rFonts w:ascii="Calibri" w:eastAsia="Times New Roman" w:hAnsi="Calibri" w:cs="Arial"/>
                <w:b/>
                <w:spacing w:val="-2"/>
                <w:sz w:val="19"/>
                <w:szCs w:val="19"/>
                <w:lang w:val="en-US"/>
              </w:rPr>
            </w:pPr>
            <w:r w:rsidRPr="003F0164">
              <w:rPr>
                <w:rFonts w:ascii="Calibri" w:eastAsia="Times New Roman" w:hAnsi="Calibri" w:cs="Arial"/>
                <w:b/>
                <w:spacing w:val="-2"/>
                <w:sz w:val="19"/>
                <w:szCs w:val="19"/>
                <w:lang w:val="en-US"/>
              </w:rPr>
              <w:t>HRK ‘000</w:t>
            </w:r>
          </w:p>
        </w:tc>
        <w:tc>
          <w:tcPr>
            <w:tcW w:w="1230" w:type="dxa"/>
            <w:shd w:val="clear" w:color="auto" w:fill="auto"/>
            <w:vAlign w:val="bottom"/>
          </w:tcPr>
          <w:p w14:paraId="4EFEF56B" w14:textId="77777777" w:rsidR="003F0164" w:rsidRPr="003F0164" w:rsidRDefault="003F0164" w:rsidP="003F0164">
            <w:pPr>
              <w:tabs>
                <w:tab w:val="right" w:pos="1202"/>
              </w:tabs>
              <w:spacing w:after="0" w:line="240" w:lineRule="auto"/>
              <w:jc w:val="right"/>
              <w:outlineLvl w:val="0"/>
              <w:rPr>
                <w:rFonts w:ascii="Calibri" w:eastAsia="Times New Roman" w:hAnsi="Calibri" w:cs="Arial"/>
                <w:b/>
                <w:spacing w:val="-2"/>
                <w:sz w:val="19"/>
                <w:szCs w:val="19"/>
                <w:lang w:val="en-US"/>
              </w:rPr>
            </w:pPr>
            <w:r w:rsidRPr="003F0164">
              <w:rPr>
                <w:rFonts w:ascii="Calibri" w:eastAsia="Times New Roman" w:hAnsi="Calibri" w:cs="Arial"/>
                <w:b/>
                <w:spacing w:val="-2"/>
                <w:sz w:val="19"/>
                <w:szCs w:val="19"/>
                <w:lang w:val="en-US"/>
              </w:rPr>
              <w:t>HRK ‘000</w:t>
            </w:r>
          </w:p>
        </w:tc>
      </w:tr>
      <w:tr w:rsidR="003F0164" w:rsidRPr="003F0164" w14:paraId="2CF46601" w14:textId="77777777" w:rsidTr="00E44437">
        <w:trPr>
          <w:trHeight w:val="232"/>
          <w:jc w:val="center"/>
        </w:trPr>
        <w:tc>
          <w:tcPr>
            <w:tcW w:w="5568" w:type="dxa"/>
            <w:vAlign w:val="bottom"/>
          </w:tcPr>
          <w:p w14:paraId="4C949405" w14:textId="77777777" w:rsidR="003F0164" w:rsidRPr="003F0164" w:rsidRDefault="003F0164" w:rsidP="003F0164">
            <w:pPr>
              <w:tabs>
                <w:tab w:val="right" w:pos="1202"/>
              </w:tabs>
              <w:spacing w:after="0" w:line="240" w:lineRule="auto"/>
              <w:outlineLvl w:val="0"/>
              <w:rPr>
                <w:rFonts w:ascii="Calibri" w:eastAsia="Times New Roman" w:hAnsi="Calibri" w:cs="Arial"/>
                <w:spacing w:val="-2"/>
                <w:sz w:val="19"/>
                <w:szCs w:val="19"/>
                <w:highlight w:val="yellow"/>
                <w:lang w:val="en-US"/>
              </w:rPr>
            </w:pPr>
            <w:r w:rsidRPr="003F0164">
              <w:rPr>
                <w:rFonts w:ascii="Calibri" w:eastAsia="Times New Roman" w:hAnsi="Calibri" w:cs="Arial"/>
                <w:b/>
                <w:sz w:val="19"/>
                <w:szCs w:val="19"/>
                <w:lang w:val="en-US"/>
              </w:rPr>
              <w:t>Financial assets at fair value through profit or loss:</w:t>
            </w:r>
          </w:p>
        </w:tc>
        <w:tc>
          <w:tcPr>
            <w:tcW w:w="1228" w:type="dxa"/>
            <w:vAlign w:val="bottom"/>
          </w:tcPr>
          <w:p w14:paraId="7AFF5423" w14:textId="77777777" w:rsidR="003F0164" w:rsidRPr="003F0164" w:rsidRDefault="003F0164" w:rsidP="003F0164">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29" w:type="dxa"/>
            <w:vAlign w:val="bottom"/>
          </w:tcPr>
          <w:p w14:paraId="304BB821" w14:textId="77777777" w:rsidR="003F0164" w:rsidRPr="003F0164" w:rsidRDefault="003F0164" w:rsidP="003F0164">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30" w:type="dxa"/>
            <w:vAlign w:val="bottom"/>
          </w:tcPr>
          <w:p w14:paraId="63E395BD" w14:textId="77777777" w:rsidR="003F0164" w:rsidRPr="003F0164" w:rsidRDefault="003F0164" w:rsidP="003F0164">
            <w:pPr>
              <w:tabs>
                <w:tab w:val="right" w:pos="1202"/>
              </w:tabs>
              <w:spacing w:after="0" w:line="240" w:lineRule="auto"/>
              <w:jc w:val="right"/>
              <w:outlineLvl w:val="0"/>
              <w:rPr>
                <w:rFonts w:ascii="Calibri" w:eastAsia="Times New Roman" w:hAnsi="Calibri" w:cs="Arial"/>
                <w:b/>
                <w:spacing w:val="-2"/>
                <w:sz w:val="19"/>
                <w:szCs w:val="19"/>
                <w:lang w:val="en-US"/>
              </w:rPr>
            </w:pPr>
          </w:p>
        </w:tc>
      </w:tr>
      <w:tr w:rsidR="003F0164" w:rsidRPr="003F0164" w14:paraId="0C112AEA" w14:textId="77777777" w:rsidTr="00E44437">
        <w:trPr>
          <w:trHeight w:val="230"/>
          <w:jc w:val="center"/>
        </w:trPr>
        <w:tc>
          <w:tcPr>
            <w:tcW w:w="5568" w:type="dxa"/>
            <w:vAlign w:val="bottom"/>
          </w:tcPr>
          <w:p w14:paraId="36F9EEE2" w14:textId="77777777" w:rsidR="003F0164" w:rsidRPr="003F0164" w:rsidRDefault="003F0164" w:rsidP="003F0164">
            <w:pPr>
              <w:tabs>
                <w:tab w:val="right" w:pos="1202"/>
              </w:tabs>
              <w:spacing w:after="0" w:line="240" w:lineRule="auto"/>
              <w:outlineLvl w:val="0"/>
              <w:rPr>
                <w:rFonts w:ascii="Calibri" w:eastAsia="Times New Roman" w:hAnsi="Calibri" w:cs="Arial"/>
                <w:b/>
                <w:i/>
                <w:sz w:val="19"/>
                <w:szCs w:val="19"/>
                <w:highlight w:val="yellow"/>
                <w:lang w:val="en-US"/>
              </w:rPr>
            </w:pPr>
            <w:r w:rsidRPr="003F0164">
              <w:rPr>
                <w:rFonts w:ascii="Calibri" w:eastAsia="Times New Roman" w:hAnsi="Calibri" w:cs="Arial"/>
                <w:b/>
                <w:i/>
                <w:sz w:val="19"/>
                <w:szCs w:val="19"/>
                <w:lang w:val="en-US"/>
              </w:rPr>
              <w:t>Loans at FVPL:</w:t>
            </w:r>
          </w:p>
        </w:tc>
        <w:tc>
          <w:tcPr>
            <w:tcW w:w="1228" w:type="dxa"/>
            <w:tcBorders>
              <w:top w:val="nil"/>
              <w:left w:val="nil"/>
              <w:right w:val="nil"/>
            </w:tcBorders>
            <w:shd w:val="clear" w:color="auto" w:fill="auto"/>
            <w:vAlign w:val="bottom"/>
          </w:tcPr>
          <w:p w14:paraId="2D4E289F" w14:textId="77777777" w:rsidR="003F0164" w:rsidRPr="003F0164" w:rsidRDefault="003F0164" w:rsidP="003F0164">
            <w:pPr>
              <w:tabs>
                <w:tab w:val="right" w:pos="1202"/>
              </w:tabs>
              <w:spacing w:after="0" w:line="240" w:lineRule="auto"/>
              <w:jc w:val="right"/>
              <w:outlineLvl w:val="0"/>
              <w:rPr>
                <w:rFonts w:ascii="Calibri" w:eastAsia="Times New Roman" w:hAnsi="Calibri" w:cs="Arial"/>
                <w:sz w:val="19"/>
                <w:szCs w:val="19"/>
                <w:lang w:val="en-US"/>
              </w:rPr>
            </w:pPr>
          </w:p>
        </w:tc>
        <w:tc>
          <w:tcPr>
            <w:tcW w:w="1229" w:type="dxa"/>
            <w:tcBorders>
              <w:top w:val="nil"/>
              <w:left w:val="nil"/>
              <w:right w:val="nil"/>
            </w:tcBorders>
            <w:shd w:val="clear" w:color="auto" w:fill="auto"/>
            <w:vAlign w:val="bottom"/>
          </w:tcPr>
          <w:p w14:paraId="2A793168" w14:textId="77777777" w:rsidR="003F0164" w:rsidRPr="003F0164" w:rsidRDefault="003F0164" w:rsidP="003F0164">
            <w:pPr>
              <w:tabs>
                <w:tab w:val="right" w:pos="1202"/>
              </w:tabs>
              <w:spacing w:after="0" w:line="240" w:lineRule="auto"/>
              <w:jc w:val="right"/>
              <w:outlineLvl w:val="0"/>
              <w:rPr>
                <w:rFonts w:ascii="Calibri" w:eastAsia="Times New Roman" w:hAnsi="Calibri" w:cs="Arial"/>
                <w:sz w:val="19"/>
                <w:szCs w:val="19"/>
                <w:lang w:val="en-US"/>
              </w:rPr>
            </w:pPr>
          </w:p>
        </w:tc>
        <w:tc>
          <w:tcPr>
            <w:tcW w:w="1230" w:type="dxa"/>
            <w:tcBorders>
              <w:top w:val="nil"/>
              <w:left w:val="nil"/>
              <w:right w:val="nil"/>
            </w:tcBorders>
            <w:shd w:val="clear" w:color="auto" w:fill="auto"/>
            <w:vAlign w:val="bottom"/>
          </w:tcPr>
          <w:p w14:paraId="06692DDD" w14:textId="77777777" w:rsidR="003F0164" w:rsidRPr="003F0164" w:rsidRDefault="003F0164" w:rsidP="003F0164">
            <w:pPr>
              <w:tabs>
                <w:tab w:val="right" w:pos="1202"/>
              </w:tabs>
              <w:spacing w:after="0" w:line="240" w:lineRule="auto"/>
              <w:jc w:val="right"/>
              <w:outlineLvl w:val="0"/>
              <w:rPr>
                <w:rFonts w:ascii="Calibri" w:eastAsia="Times New Roman" w:hAnsi="Calibri" w:cs="Arial"/>
                <w:sz w:val="19"/>
                <w:szCs w:val="19"/>
                <w:lang w:val="en-US"/>
              </w:rPr>
            </w:pPr>
          </w:p>
        </w:tc>
      </w:tr>
      <w:tr w:rsidR="003F0164" w:rsidRPr="003F0164" w14:paraId="48FE4558" w14:textId="77777777" w:rsidTr="00E44437">
        <w:trPr>
          <w:trHeight w:val="230"/>
          <w:jc w:val="center"/>
        </w:trPr>
        <w:tc>
          <w:tcPr>
            <w:tcW w:w="5568" w:type="dxa"/>
            <w:vAlign w:val="bottom"/>
          </w:tcPr>
          <w:p w14:paraId="09A80C42" w14:textId="77777777" w:rsidR="003F0164" w:rsidRPr="003F0164" w:rsidRDefault="003F0164" w:rsidP="003F0164">
            <w:pPr>
              <w:tabs>
                <w:tab w:val="right" w:pos="1202"/>
              </w:tabs>
              <w:spacing w:after="0" w:line="240" w:lineRule="auto"/>
              <w:outlineLvl w:val="0"/>
              <w:rPr>
                <w:rFonts w:ascii="Calibri" w:eastAsia="Times New Roman" w:hAnsi="Calibri" w:cs="Arial"/>
                <w:sz w:val="19"/>
                <w:szCs w:val="19"/>
                <w:highlight w:val="yellow"/>
                <w:lang w:val="en-US"/>
              </w:rPr>
            </w:pPr>
            <w:r w:rsidRPr="003F0164">
              <w:rPr>
                <w:rFonts w:ascii="Calibri" w:eastAsia="Times New Roman" w:hAnsi="Calibri" w:cs="Arial"/>
                <w:sz w:val="19"/>
                <w:szCs w:val="19"/>
                <w:lang w:val="en-US"/>
              </w:rPr>
              <w:t>Mezzanine loans</w:t>
            </w:r>
          </w:p>
        </w:tc>
        <w:tc>
          <w:tcPr>
            <w:tcW w:w="1228" w:type="dxa"/>
            <w:tcBorders>
              <w:top w:val="nil"/>
              <w:left w:val="nil"/>
              <w:right w:val="nil"/>
            </w:tcBorders>
            <w:shd w:val="clear" w:color="auto" w:fill="auto"/>
            <w:vAlign w:val="bottom"/>
          </w:tcPr>
          <w:p w14:paraId="0EEAEAC4"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bookmarkStart w:id="1138" w:name="_Toc67330833"/>
            <w:r w:rsidRPr="003F0164">
              <w:rPr>
                <w:rFonts w:ascii="Calibri" w:eastAsia="Times New Roman" w:hAnsi="Calibri" w:cs="Times New Roman"/>
                <w:sz w:val="18"/>
                <w:szCs w:val="18"/>
                <w:lang w:val="en-US"/>
              </w:rPr>
              <w:t xml:space="preserve"> - </w:t>
            </w:r>
            <w:bookmarkEnd w:id="1138"/>
          </w:p>
        </w:tc>
        <w:tc>
          <w:tcPr>
            <w:tcW w:w="1229" w:type="dxa"/>
            <w:tcBorders>
              <w:top w:val="nil"/>
              <w:left w:val="nil"/>
              <w:right w:val="nil"/>
            </w:tcBorders>
            <w:shd w:val="clear" w:color="auto" w:fill="auto"/>
            <w:vAlign w:val="bottom"/>
          </w:tcPr>
          <w:p w14:paraId="653D09D0"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bookmarkStart w:id="1139" w:name="_Toc67330834"/>
            <w:r w:rsidRPr="003F0164">
              <w:rPr>
                <w:rFonts w:ascii="Calibri" w:eastAsia="Times New Roman" w:hAnsi="Calibri" w:cs="Times New Roman"/>
                <w:sz w:val="18"/>
                <w:szCs w:val="18"/>
                <w:lang w:val="en-US"/>
              </w:rPr>
              <w:t xml:space="preserve"> - </w:t>
            </w:r>
            <w:bookmarkEnd w:id="1139"/>
          </w:p>
        </w:tc>
        <w:tc>
          <w:tcPr>
            <w:tcW w:w="1230" w:type="dxa"/>
            <w:tcBorders>
              <w:top w:val="nil"/>
              <w:left w:val="nil"/>
              <w:right w:val="nil"/>
            </w:tcBorders>
            <w:shd w:val="clear" w:color="auto" w:fill="auto"/>
            <w:vAlign w:val="bottom"/>
          </w:tcPr>
          <w:p w14:paraId="71AE5BA2"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bookmarkStart w:id="1140" w:name="_Toc67330835"/>
            <w:r w:rsidRPr="003F0164">
              <w:rPr>
                <w:rFonts w:ascii="Calibri" w:eastAsia="Times New Roman" w:hAnsi="Calibri" w:cs="Times New Roman"/>
                <w:sz w:val="18"/>
                <w:szCs w:val="18"/>
                <w:lang w:val="en-US"/>
              </w:rPr>
              <w:t xml:space="preserve"> 16,375 </w:t>
            </w:r>
            <w:bookmarkEnd w:id="1140"/>
          </w:p>
        </w:tc>
      </w:tr>
      <w:tr w:rsidR="003F0164" w:rsidRPr="003F0164" w14:paraId="32739FD5" w14:textId="77777777" w:rsidTr="00E44437">
        <w:trPr>
          <w:trHeight w:val="230"/>
          <w:jc w:val="center"/>
        </w:trPr>
        <w:tc>
          <w:tcPr>
            <w:tcW w:w="5568" w:type="dxa"/>
            <w:vAlign w:val="bottom"/>
          </w:tcPr>
          <w:p w14:paraId="5DB72599" w14:textId="77777777" w:rsidR="003F0164" w:rsidRPr="003F0164" w:rsidRDefault="003F0164" w:rsidP="003F0164">
            <w:pPr>
              <w:tabs>
                <w:tab w:val="right" w:pos="1202"/>
              </w:tabs>
              <w:spacing w:after="0" w:line="240" w:lineRule="auto"/>
              <w:outlineLvl w:val="0"/>
              <w:rPr>
                <w:rFonts w:ascii="Calibri" w:eastAsia="Times New Roman" w:hAnsi="Calibri" w:cs="Arial"/>
                <w:b/>
                <w:i/>
                <w:sz w:val="19"/>
                <w:szCs w:val="19"/>
                <w:highlight w:val="yellow"/>
                <w:lang w:val="en-US"/>
              </w:rPr>
            </w:pPr>
            <w:r w:rsidRPr="003F0164">
              <w:rPr>
                <w:rFonts w:ascii="Calibri" w:eastAsia="Times New Roman" w:hAnsi="Calibri" w:cs="Arial"/>
                <w:b/>
                <w:i/>
                <w:sz w:val="19"/>
                <w:szCs w:val="19"/>
                <w:lang w:val="en-US"/>
              </w:rPr>
              <w:t>Investments in investment funds:</w:t>
            </w:r>
          </w:p>
        </w:tc>
        <w:tc>
          <w:tcPr>
            <w:tcW w:w="1228" w:type="dxa"/>
            <w:tcBorders>
              <w:top w:val="nil"/>
              <w:left w:val="nil"/>
              <w:right w:val="nil"/>
            </w:tcBorders>
            <w:shd w:val="clear" w:color="auto" w:fill="auto"/>
            <w:vAlign w:val="bottom"/>
          </w:tcPr>
          <w:p w14:paraId="562A363F"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p>
        </w:tc>
        <w:tc>
          <w:tcPr>
            <w:tcW w:w="1229" w:type="dxa"/>
            <w:tcBorders>
              <w:top w:val="nil"/>
              <w:left w:val="nil"/>
              <w:right w:val="nil"/>
            </w:tcBorders>
            <w:shd w:val="clear" w:color="auto" w:fill="auto"/>
            <w:vAlign w:val="bottom"/>
          </w:tcPr>
          <w:p w14:paraId="2C6FFCA8"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p>
        </w:tc>
        <w:tc>
          <w:tcPr>
            <w:tcW w:w="1230" w:type="dxa"/>
            <w:tcBorders>
              <w:top w:val="nil"/>
              <w:left w:val="nil"/>
              <w:right w:val="nil"/>
            </w:tcBorders>
            <w:shd w:val="clear" w:color="auto" w:fill="auto"/>
            <w:vAlign w:val="bottom"/>
          </w:tcPr>
          <w:p w14:paraId="5F3C96D7"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p>
        </w:tc>
      </w:tr>
      <w:tr w:rsidR="003F0164" w:rsidRPr="003F0164" w14:paraId="2D395836" w14:textId="77777777" w:rsidTr="00E44437">
        <w:trPr>
          <w:trHeight w:val="230"/>
          <w:jc w:val="center"/>
        </w:trPr>
        <w:tc>
          <w:tcPr>
            <w:tcW w:w="5568" w:type="dxa"/>
            <w:vAlign w:val="bottom"/>
          </w:tcPr>
          <w:p w14:paraId="18C76D2C" w14:textId="77777777" w:rsidR="003F0164" w:rsidRPr="003F0164" w:rsidRDefault="003F0164" w:rsidP="003F0164">
            <w:pPr>
              <w:tabs>
                <w:tab w:val="right" w:pos="1202"/>
              </w:tabs>
              <w:spacing w:after="0" w:line="240" w:lineRule="auto"/>
              <w:outlineLvl w:val="0"/>
              <w:rPr>
                <w:rFonts w:ascii="Calibri" w:eastAsia="Times New Roman" w:hAnsi="Calibri" w:cs="Arial"/>
                <w:b/>
                <w:i/>
                <w:sz w:val="19"/>
                <w:szCs w:val="19"/>
                <w:highlight w:val="yellow"/>
                <w:lang w:val="en-US"/>
              </w:rPr>
            </w:pPr>
            <w:r w:rsidRPr="003F0164">
              <w:rPr>
                <w:rFonts w:ascii="Calibri" w:eastAsia="Times New Roman" w:hAnsi="Calibri" w:cs="Arial"/>
                <w:sz w:val="19"/>
                <w:szCs w:val="19"/>
                <w:lang w:val="en-US"/>
              </w:rPr>
              <w:t>Investments in investment funds at fair value through profit or loss</w:t>
            </w:r>
          </w:p>
        </w:tc>
        <w:tc>
          <w:tcPr>
            <w:tcW w:w="1228" w:type="dxa"/>
            <w:tcBorders>
              <w:top w:val="nil"/>
              <w:left w:val="nil"/>
              <w:right w:val="nil"/>
            </w:tcBorders>
            <w:shd w:val="clear" w:color="auto" w:fill="auto"/>
            <w:vAlign w:val="bottom"/>
          </w:tcPr>
          <w:p w14:paraId="35B3ECB4"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bookmarkStart w:id="1141" w:name="_Toc67330838"/>
            <w:r w:rsidRPr="003F0164">
              <w:rPr>
                <w:rFonts w:ascii="Calibri" w:eastAsia="Times New Roman" w:hAnsi="Calibri" w:cs="Times New Roman"/>
                <w:sz w:val="18"/>
                <w:szCs w:val="18"/>
                <w:lang w:val="en-US"/>
              </w:rPr>
              <w:t xml:space="preserve">202,260 </w:t>
            </w:r>
            <w:bookmarkEnd w:id="1141"/>
          </w:p>
        </w:tc>
        <w:tc>
          <w:tcPr>
            <w:tcW w:w="1229" w:type="dxa"/>
            <w:tcBorders>
              <w:top w:val="nil"/>
              <w:left w:val="nil"/>
              <w:right w:val="nil"/>
            </w:tcBorders>
            <w:shd w:val="clear" w:color="auto" w:fill="auto"/>
            <w:vAlign w:val="bottom"/>
          </w:tcPr>
          <w:p w14:paraId="528C8650"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bookmarkStart w:id="1142" w:name="_Toc67330839"/>
            <w:r w:rsidRPr="003F0164">
              <w:rPr>
                <w:rFonts w:ascii="Calibri" w:eastAsia="Times New Roman" w:hAnsi="Calibri" w:cs="Times New Roman"/>
                <w:sz w:val="18"/>
                <w:szCs w:val="18"/>
                <w:lang w:val="en-US"/>
              </w:rPr>
              <w:t xml:space="preserve"> - </w:t>
            </w:r>
            <w:bookmarkEnd w:id="1142"/>
          </w:p>
        </w:tc>
        <w:tc>
          <w:tcPr>
            <w:tcW w:w="1230" w:type="dxa"/>
            <w:tcBorders>
              <w:top w:val="nil"/>
              <w:left w:val="nil"/>
              <w:right w:val="nil"/>
            </w:tcBorders>
            <w:shd w:val="clear" w:color="auto" w:fill="auto"/>
            <w:vAlign w:val="bottom"/>
          </w:tcPr>
          <w:p w14:paraId="74098B7E"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bookmarkStart w:id="1143" w:name="_Toc67330840"/>
            <w:r w:rsidRPr="003F0164">
              <w:rPr>
                <w:rFonts w:ascii="Calibri" w:eastAsia="Times New Roman" w:hAnsi="Calibri" w:cs="Times New Roman"/>
                <w:sz w:val="18"/>
                <w:szCs w:val="18"/>
                <w:lang w:val="en-US"/>
              </w:rPr>
              <w:t xml:space="preserve"> - </w:t>
            </w:r>
            <w:bookmarkEnd w:id="1143"/>
          </w:p>
        </w:tc>
      </w:tr>
      <w:tr w:rsidR="003F0164" w:rsidRPr="003F0164" w14:paraId="7391C037" w14:textId="77777777" w:rsidTr="00E44437">
        <w:trPr>
          <w:trHeight w:val="195"/>
          <w:jc w:val="center"/>
        </w:trPr>
        <w:tc>
          <w:tcPr>
            <w:tcW w:w="5568" w:type="dxa"/>
            <w:vAlign w:val="bottom"/>
          </w:tcPr>
          <w:p w14:paraId="0BF9D7C7" w14:textId="77777777" w:rsidR="003F0164" w:rsidRPr="003F0164" w:rsidRDefault="003F0164" w:rsidP="003F0164">
            <w:pPr>
              <w:tabs>
                <w:tab w:val="right" w:pos="1202"/>
              </w:tabs>
              <w:spacing w:after="0" w:line="240" w:lineRule="auto"/>
              <w:outlineLvl w:val="0"/>
              <w:rPr>
                <w:rFonts w:ascii="Calibri" w:eastAsia="Times New Roman" w:hAnsi="Calibri" w:cs="Arial"/>
                <w:b/>
                <w:sz w:val="19"/>
                <w:szCs w:val="19"/>
                <w:highlight w:val="yellow"/>
                <w:lang w:val="en-US"/>
              </w:rPr>
            </w:pPr>
            <w:r w:rsidRPr="003F0164">
              <w:rPr>
                <w:rFonts w:ascii="Calibri" w:eastAsia="Times New Roman" w:hAnsi="Calibri" w:cs="Arial"/>
                <w:b/>
                <w:sz w:val="19"/>
                <w:szCs w:val="19"/>
                <w:lang w:val="en-US"/>
              </w:rPr>
              <w:t>Equity instruments:</w:t>
            </w:r>
          </w:p>
          <w:p w14:paraId="0AD79DB3" w14:textId="77777777" w:rsidR="003F0164" w:rsidRPr="003F0164" w:rsidRDefault="003F0164" w:rsidP="003F0164">
            <w:pPr>
              <w:tabs>
                <w:tab w:val="right" w:pos="1202"/>
              </w:tabs>
              <w:spacing w:after="0" w:line="240" w:lineRule="auto"/>
              <w:outlineLvl w:val="0"/>
              <w:rPr>
                <w:rFonts w:ascii="Calibri" w:eastAsia="Times New Roman" w:hAnsi="Calibri" w:cs="Arial"/>
                <w:b/>
                <w:i/>
                <w:spacing w:val="-2"/>
                <w:sz w:val="19"/>
                <w:szCs w:val="19"/>
                <w:lang w:val="en-US"/>
              </w:rPr>
            </w:pPr>
            <w:r w:rsidRPr="003F0164">
              <w:rPr>
                <w:rFonts w:ascii="Calibri" w:eastAsia="Times New Roman" w:hAnsi="Calibri" w:cs="Arial"/>
                <w:b/>
                <w:i/>
                <w:spacing w:val="-2"/>
                <w:sz w:val="19"/>
                <w:szCs w:val="19"/>
                <w:lang w:val="en-US"/>
              </w:rPr>
              <w:t>Listed equity instruments:</w:t>
            </w:r>
          </w:p>
          <w:p w14:paraId="0CC99C8B" w14:textId="77777777" w:rsidR="003F0164" w:rsidRPr="003F0164" w:rsidRDefault="003F0164" w:rsidP="003F0164">
            <w:pPr>
              <w:tabs>
                <w:tab w:val="right" w:pos="1202"/>
              </w:tabs>
              <w:spacing w:after="0" w:line="240" w:lineRule="auto"/>
              <w:outlineLvl w:val="0"/>
              <w:rPr>
                <w:rFonts w:ascii="Calibri" w:eastAsia="Times New Roman" w:hAnsi="Calibri" w:cs="Arial"/>
                <w:sz w:val="19"/>
                <w:szCs w:val="19"/>
                <w:highlight w:val="yellow"/>
                <w:lang w:val="en-US"/>
              </w:rPr>
            </w:pPr>
            <w:r w:rsidRPr="003F0164">
              <w:rPr>
                <w:rFonts w:ascii="Calibri" w:eastAsia="Times New Roman" w:hAnsi="Calibri" w:cs="Arial"/>
                <w:sz w:val="19"/>
                <w:szCs w:val="19"/>
                <w:lang w:val="en-US"/>
              </w:rPr>
              <w:t>Investments in corporate shares</w:t>
            </w:r>
          </w:p>
        </w:tc>
        <w:tc>
          <w:tcPr>
            <w:tcW w:w="1228" w:type="dxa"/>
            <w:tcBorders>
              <w:top w:val="nil"/>
              <w:left w:val="nil"/>
              <w:right w:val="nil"/>
            </w:tcBorders>
            <w:shd w:val="clear" w:color="auto" w:fill="auto"/>
            <w:vAlign w:val="bottom"/>
          </w:tcPr>
          <w:p w14:paraId="2D874309"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bookmarkStart w:id="1144" w:name="_Toc67330844"/>
            <w:r w:rsidRPr="003F0164">
              <w:rPr>
                <w:rFonts w:ascii="Calibri" w:eastAsia="Calibri" w:hAnsi="Calibri" w:cs="Calibri"/>
                <w:color w:val="000000"/>
                <w:sz w:val="18"/>
                <w:szCs w:val="18"/>
              </w:rPr>
              <w:t>-</w:t>
            </w:r>
            <w:bookmarkEnd w:id="1144"/>
          </w:p>
        </w:tc>
        <w:tc>
          <w:tcPr>
            <w:tcW w:w="1229" w:type="dxa"/>
            <w:tcBorders>
              <w:top w:val="nil"/>
              <w:left w:val="nil"/>
              <w:right w:val="nil"/>
            </w:tcBorders>
            <w:shd w:val="clear" w:color="auto" w:fill="auto"/>
            <w:vAlign w:val="bottom"/>
          </w:tcPr>
          <w:p w14:paraId="39236F23"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bookmarkStart w:id="1145" w:name="_Toc67330845"/>
            <w:r w:rsidRPr="003F0164">
              <w:rPr>
                <w:rFonts w:ascii="Calibri" w:eastAsia="Calibri" w:hAnsi="Calibri" w:cs="Calibri"/>
                <w:color w:val="000000"/>
                <w:sz w:val="18"/>
                <w:szCs w:val="18"/>
              </w:rPr>
              <w:t>-</w:t>
            </w:r>
            <w:bookmarkEnd w:id="1145"/>
          </w:p>
        </w:tc>
        <w:tc>
          <w:tcPr>
            <w:tcW w:w="1230" w:type="dxa"/>
            <w:tcBorders>
              <w:top w:val="nil"/>
              <w:left w:val="nil"/>
              <w:right w:val="nil"/>
            </w:tcBorders>
            <w:shd w:val="clear" w:color="auto" w:fill="auto"/>
            <w:vAlign w:val="bottom"/>
          </w:tcPr>
          <w:p w14:paraId="1F6B5467"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bookmarkStart w:id="1146" w:name="_Toc67330846"/>
            <w:r w:rsidRPr="003F0164">
              <w:rPr>
                <w:rFonts w:ascii="Calibri" w:eastAsia="Calibri" w:hAnsi="Calibri" w:cs="Calibri"/>
                <w:color w:val="000000"/>
                <w:sz w:val="18"/>
                <w:szCs w:val="18"/>
              </w:rPr>
              <w:t xml:space="preserve">    -</w:t>
            </w:r>
            <w:bookmarkEnd w:id="1146"/>
          </w:p>
        </w:tc>
      </w:tr>
      <w:tr w:rsidR="003F0164" w:rsidRPr="003F0164" w14:paraId="7D6DF962" w14:textId="77777777" w:rsidTr="00E44437">
        <w:trPr>
          <w:trHeight w:val="195"/>
          <w:jc w:val="center"/>
        </w:trPr>
        <w:tc>
          <w:tcPr>
            <w:tcW w:w="5568" w:type="dxa"/>
            <w:vAlign w:val="bottom"/>
          </w:tcPr>
          <w:p w14:paraId="39880527" w14:textId="77777777" w:rsidR="003F0164" w:rsidRPr="003F0164" w:rsidRDefault="003F0164" w:rsidP="003F0164">
            <w:pPr>
              <w:tabs>
                <w:tab w:val="right" w:pos="1202"/>
              </w:tabs>
              <w:spacing w:after="0" w:line="240" w:lineRule="auto"/>
              <w:outlineLvl w:val="0"/>
              <w:rPr>
                <w:rFonts w:ascii="Calibri" w:eastAsia="Times New Roman" w:hAnsi="Calibri" w:cs="Arial"/>
                <w:sz w:val="19"/>
                <w:szCs w:val="19"/>
                <w:highlight w:val="yellow"/>
                <w:lang w:val="en-US"/>
              </w:rPr>
            </w:pPr>
            <w:r w:rsidRPr="003F0164">
              <w:rPr>
                <w:rFonts w:ascii="Calibri" w:eastAsia="Times New Roman" w:hAnsi="Calibri" w:cs="Arial"/>
                <w:b/>
                <w:i/>
                <w:spacing w:val="-2"/>
                <w:sz w:val="19"/>
                <w:szCs w:val="19"/>
                <w:lang w:val="en-US"/>
              </w:rPr>
              <w:t>Unlisted equity instruments:</w:t>
            </w:r>
          </w:p>
        </w:tc>
        <w:tc>
          <w:tcPr>
            <w:tcW w:w="1228" w:type="dxa"/>
            <w:tcBorders>
              <w:left w:val="nil"/>
              <w:right w:val="nil"/>
            </w:tcBorders>
            <w:shd w:val="clear" w:color="auto" w:fill="auto"/>
            <w:vAlign w:val="bottom"/>
          </w:tcPr>
          <w:p w14:paraId="323A76B8"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p>
        </w:tc>
        <w:tc>
          <w:tcPr>
            <w:tcW w:w="1229" w:type="dxa"/>
            <w:tcBorders>
              <w:top w:val="nil"/>
              <w:left w:val="nil"/>
              <w:right w:val="nil"/>
            </w:tcBorders>
            <w:shd w:val="clear" w:color="auto" w:fill="auto"/>
            <w:vAlign w:val="bottom"/>
          </w:tcPr>
          <w:p w14:paraId="07E94A9D"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p>
        </w:tc>
        <w:tc>
          <w:tcPr>
            <w:tcW w:w="1230" w:type="dxa"/>
            <w:tcBorders>
              <w:top w:val="nil"/>
              <w:left w:val="nil"/>
              <w:right w:val="nil"/>
            </w:tcBorders>
            <w:shd w:val="clear" w:color="auto" w:fill="auto"/>
            <w:vAlign w:val="bottom"/>
          </w:tcPr>
          <w:p w14:paraId="1BE00D61"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p>
        </w:tc>
      </w:tr>
      <w:tr w:rsidR="003F0164" w:rsidRPr="003F0164" w14:paraId="0322677A" w14:textId="77777777" w:rsidTr="00E44437">
        <w:trPr>
          <w:trHeight w:hRule="exact" w:val="230"/>
          <w:jc w:val="center"/>
        </w:trPr>
        <w:tc>
          <w:tcPr>
            <w:tcW w:w="5568" w:type="dxa"/>
            <w:shd w:val="clear" w:color="auto" w:fill="auto"/>
            <w:vAlign w:val="bottom"/>
          </w:tcPr>
          <w:p w14:paraId="7F0518D0" w14:textId="77777777" w:rsidR="003F0164" w:rsidRPr="003F0164" w:rsidRDefault="003F0164" w:rsidP="003F0164">
            <w:pPr>
              <w:tabs>
                <w:tab w:val="right" w:pos="1202"/>
              </w:tabs>
              <w:spacing w:after="0" w:line="240" w:lineRule="auto"/>
              <w:outlineLvl w:val="0"/>
              <w:rPr>
                <w:rFonts w:ascii="Calibri" w:eastAsia="Times New Roman" w:hAnsi="Calibri" w:cs="Arial"/>
                <w:b/>
                <w:i/>
                <w:spacing w:val="-2"/>
                <w:sz w:val="19"/>
                <w:szCs w:val="19"/>
                <w:lang w:val="en-US"/>
              </w:rPr>
            </w:pPr>
            <w:r w:rsidRPr="003F0164">
              <w:rPr>
                <w:rFonts w:ascii="Calibri" w:eastAsia="Times New Roman" w:hAnsi="Calibri" w:cs="Arial"/>
                <w:sz w:val="19"/>
                <w:szCs w:val="19"/>
                <w:lang w:val="en-US"/>
              </w:rPr>
              <w:t>Investments in corporate shares</w:t>
            </w:r>
          </w:p>
        </w:tc>
        <w:tc>
          <w:tcPr>
            <w:tcW w:w="1228" w:type="dxa"/>
            <w:tcBorders>
              <w:left w:val="nil"/>
              <w:right w:val="nil"/>
            </w:tcBorders>
            <w:shd w:val="clear" w:color="auto" w:fill="auto"/>
            <w:vAlign w:val="bottom"/>
          </w:tcPr>
          <w:p w14:paraId="0195D947"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bookmarkStart w:id="1147" w:name="_Toc67330849"/>
            <w:r w:rsidRPr="003F0164">
              <w:rPr>
                <w:rFonts w:ascii="Calibri" w:eastAsia="Times New Roman" w:hAnsi="Calibri" w:cs="Times New Roman"/>
                <w:sz w:val="18"/>
                <w:szCs w:val="18"/>
                <w:lang w:val="en-US"/>
              </w:rPr>
              <w:t xml:space="preserve"> - </w:t>
            </w:r>
            <w:bookmarkEnd w:id="1147"/>
          </w:p>
        </w:tc>
        <w:tc>
          <w:tcPr>
            <w:tcW w:w="1229" w:type="dxa"/>
            <w:tcBorders>
              <w:top w:val="nil"/>
              <w:left w:val="nil"/>
              <w:right w:val="nil"/>
            </w:tcBorders>
            <w:shd w:val="clear" w:color="auto" w:fill="auto"/>
            <w:vAlign w:val="bottom"/>
          </w:tcPr>
          <w:p w14:paraId="6CBD3A0E"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bookmarkStart w:id="1148" w:name="_Toc67330850"/>
            <w:r w:rsidRPr="003F0164">
              <w:rPr>
                <w:rFonts w:ascii="Calibri" w:eastAsia="Times New Roman" w:hAnsi="Calibri" w:cs="Times New Roman"/>
                <w:sz w:val="18"/>
                <w:szCs w:val="18"/>
                <w:lang w:val="en-US"/>
              </w:rPr>
              <w:t xml:space="preserve"> - </w:t>
            </w:r>
            <w:bookmarkEnd w:id="1148"/>
          </w:p>
        </w:tc>
        <w:tc>
          <w:tcPr>
            <w:tcW w:w="1230" w:type="dxa"/>
            <w:tcBorders>
              <w:top w:val="nil"/>
              <w:left w:val="nil"/>
              <w:right w:val="nil"/>
            </w:tcBorders>
            <w:shd w:val="clear" w:color="auto" w:fill="auto"/>
            <w:vAlign w:val="bottom"/>
          </w:tcPr>
          <w:p w14:paraId="32690CF2"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bookmarkStart w:id="1149" w:name="_Toc67330851"/>
            <w:r w:rsidRPr="003F0164">
              <w:rPr>
                <w:rFonts w:ascii="Calibri" w:eastAsia="Times New Roman" w:hAnsi="Calibri" w:cs="Times New Roman"/>
                <w:sz w:val="18"/>
                <w:szCs w:val="18"/>
                <w:lang w:val="en-US"/>
              </w:rPr>
              <w:t xml:space="preserve"> 31 </w:t>
            </w:r>
            <w:bookmarkEnd w:id="1149"/>
          </w:p>
        </w:tc>
      </w:tr>
      <w:tr w:rsidR="003F0164" w:rsidRPr="003F0164" w14:paraId="14D79FF2" w14:textId="77777777" w:rsidTr="00E44437">
        <w:trPr>
          <w:trHeight w:hRule="exact" w:val="230"/>
          <w:jc w:val="center"/>
        </w:trPr>
        <w:tc>
          <w:tcPr>
            <w:tcW w:w="5568" w:type="dxa"/>
            <w:shd w:val="clear" w:color="auto" w:fill="auto"/>
            <w:vAlign w:val="bottom"/>
          </w:tcPr>
          <w:p w14:paraId="59E85257" w14:textId="77777777" w:rsidR="003F0164" w:rsidRPr="003F0164" w:rsidRDefault="003F0164" w:rsidP="003F0164">
            <w:pPr>
              <w:tabs>
                <w:tab w:val="right" w:pos="1202"/>
              </w:tabs>
              <w:spacing w:after="0" w:line="240" w:lineRule="auto"/>
              <w:outlineLvl w:val="0"/>
              <w:rPr>
                <w:rFonts w:ascii="Calibri" w:eastAsia="Times New Roman" w:hAnsi="Calibri" w:cs="Arial"/>
                <w:sz w:val="19"/>
                <w:szCs w:val="19"/>
                <w:lang w:val="en-US"/>
              </w:rPr>
            </w:pPr>
            <w:r w:rsidRPr="003F0164">
              <w:rPr>
                <w:rFonts w:ascii="Calibri" w:eastAsia="Times New Roman" w:hAnsi="Calibri" w:cs="Arial"/>
                <w:sz w:val="19"/>
                <w:szCs w:val="19"/>
                <w:lang w:val="en-US"/>
              </w:rPr>
              <w:t>Depository receipt - DR</w:t>
            </w:r>
          </w:p>
        </w:tc>
        <w:tc>
          <w:tcPr>
            <w:tcW w:w="1228" w:type="dxa"/>
            <w:tcBorders>
              <w:left w:val="nil"/>
              <w:right w:val="nil"/>
            </w:tcBorders>
            <w:shd w:val="clear" w:color="auto" w:fill="auto"/>
            <w:vAlign w:val="bottom"/>
          </w:tcPr>
          <w:p w14:paraId="40ABB517"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bookmarkStart w:id="1150" w:name="_Toc67330853"/>
            <w:r w:rsidRPr="003F0164">
              <w:rPr>
                <w:rFonts w:ascii="Calibri" w:eastAsia="Calibri" w:hAnsi="Calibri" w:cs="Calibri"/>
                <w:color w:val="000000"/>
                <w:sz w:val="18"/>
                <w:szCs w:val="18"/>
              </w:rPr>
              <w:t>-</w:t>
            </w:r>
            <w:bookmarkEnd w:id="1150"/>
          </w:p>
        </w:tc>
        <w:tc>
          <w:tcPr>
            <w:tcW w:w="1229" w:type="dxa"/>
            <w:tcBorders>
              <w:top w:val="nil"/>
              <w:left w:val="nil"/>
              <w:right w:val="nil"/>
            </w:tcBorders>
            <w:shd w:val="clear" w:color="auto" w:fill="auto"/>
            <w:vAlign w:val="bottom"/>
          </w:tcPr>
          <w:p w14:paraId="164F09E7"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bookmarkStart w:id="1151" w:name="_Toc67330854"/>
            <w:r w:rsidRPr="003F0164">
              <w:rPr>
                <w:rFonts w:ascii="Calibri" w:eastAsia="Calibri" w:hAnsi="Calibri" w:cs="Calibri"/>
                <w:color w:val="000000"/>
                <w:sz w:val="18"/>
                <w:szCs w:val="18"/>
              </w:rPr>
              <w:t>-</w:t>
            </w:r>
            <w:bookmarkEnd w:id="1151"/>
          </w:p>
        </w:tc>
        <w:tc>
          <w:tcPr>
            <w:tcW w:w="1230" w:type="dxa"/>
            <w:tcBorders>
              <w:top w:val="nil"/>
              <w:left w:val="nil"/>
              <w:right w:val="nil"/>
            </w:tcBorders>
            <w:shd w:val="clear" w:color="auto" w:fill="auto"/>
            <w:vAlign w:val="bottom"/>
          </w:tcPr>
          <w:p w14:paraId="713B8E86"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bookmarkStart w:id="1152" w:name="_Toc67330855"/>
            <w:r w:rsidRPr="003F0164">
              <w:rPr>
                <w:rFonts w:ascii="Calibri" w:eastAsia="Times New Roman" w:hAnsi="Calibri" w:cs="Times New Roman"/>
                <w:sz w:val="18"/>
                <w:szCs w:val="18"/>
                <w:lang w:val="en-US"/>
              </w:rPr>
              <w:t xml:space="preserve"> 318 </w:t>
            </w:r>
            <w:bookmarkEnd w:id="1152"/>
          </w:p>
        </w:tc>
      </w:tr>
      <w:tr w:rsidR="003F0164" w:rsidRPr="003F0164" w14:paraId="4E70AF21" w14:textId="77777777" w:rsidTr="00E44437">
        <w:trPr>
          <w:trHeight w:val="254"/>
          <w:jc w:val="center"/>
        </w:trPr>
        <w:tc>
          <w:tcPr>
            <w:tcW w:w="5568" w:type="dxa"/>
            <w:vAlign w:val="bottom"/>
          </w:tcPr>
          <w:p w14:paraId="2F1FC4BB" w14:textId="77777777" w:rsidR="003F0164" w:rsidRPr="003F0164" w:rsidRDefault="003F0164" w:rsidP="003F0164">
            <w:pPr>
              <w:tabs>
                <w:tab w:val="right" w:pos="1202"/>
              </w:tabs>
              <w:spacing w:after="0" w:line="240" w:lineRule="auto"/>
              <w:outlineLvl w:val="0"/>
              <w:rPr>
                <w:rFonts w:ascii="Calibri" w:eastAsia="Times New Roman" w:hAnsi="Calibri" w:cs="Arial"/>
                <w:sz w:val="19"/>
                <w:szCs w:val="19"/>
                <w:highlight w:val="yellow"/>
                <w:lang w:val="en-US"/>
              </w:rPr>
            </w:pPr>
            <w:r w:rsidRPr="003F0164">
              <w:rPr>
                <w:rFonts w:ascii="Calibri" w:eastAsia="Times New Roman" w:hAnsi="Calibri" w:cs="Arial"/>
                <w:b/>
                <w:sz w:val="19"/>
                <w:szCs w:val="19"/>
                <w:lang w:val="en-US"/>
              </w:rPr>
              <w:t>Total financial assets at fair value through profit or loss</w:t>
            </w:r>
          </w:p>
        </w:tc>
        <w:tc>
          <w:tcPr>
            <w:tcW w:w="1228" w:type="dxa"/>
            <w:tcBorders>
              <w:top w:val="single" w:sz="4" w:space="0" w:color="auto"/>
              <w:left w:val="nil"/>
              <w:bottom w:val="single" w:sz="12" w:space="0" w:color="auto"/>
              <w:right w:val="nil"/>
            </w:tcBorders>
            <w:shd w:val="clear" w:color="auto" w:fill="auto"/>
            <w:vAlign w:val="bottom"/>
          </w:tcPr>
          <w:p w14:paraId="70CB0E26" w14:textId="77777777" w:rsidR="003F0164" w:rsidRPr="003F0164" w:rsidRDefault="003F0164" w:rsidP="003F0164">
            <w:pPr>
              <w:tabs>
                <w:tab w:val="right" w:pos="1202"/>
              </w:tabs>
              <w:spacing w:after="0" w:line="240" w:lineRule="auto"/>
              <w:jc w:val="right"/>
              <w:outlineLvl w:val="0"/>
              <w:rPr>
                <w:rFonts w:ascii="Calibri" w:eastAsia="Calibri" w:hAnsi="Calibri" w:cs="Calibri"/>
                <w:b/>
                <w:bCs/>
                <w:color w:val="000000"/>
                <w:spacing w:val="-2"/>
                <w:sz w:val="18"/>
                <w:szCs w:val="18"/>
              </w:rPr>
            </w:pPr>
            <w:bookmarkStart w:id="1153" w:name="_Toc67330866"/>
            <w:r w:rsidRPr="003F0164">
              <w:rPr>
                <w:rFonts w:ascii="Calibri" w:eastAsia="Times New Roman" w:hAnsi="Calibri" w:cs="Times New Roman"/>
                <w:b/>
                <w:bCs/>
                <w:sz w:val="18"/>
                <w:szCs w:val="18"/>
                <w:lang w:val="en-US"/>
              </w:rPr>
              <w:t xml:space="preserve"> 202,260 </w:t>
            </w:r>
            <w:bookmarkEnd w:id="1153"/>
          </w:p>
        </w:tc>
        <w:tc>
          <w:tcPr>
            <w:tcW w:w="1229" w:type="dxa"/>
            <w:tcBorders>
              <w:top w:val="single" w:sz="4" w:space="0" w:color="auto"/>
              <w:left w:val="nil"/>
              <w:bottom w:val="single" w:sz="12" w:space="0" w:color="auto"/>
              <w:right w:val="nil"/>
            </w:tcBorders>
            <w:shd w:val="clear" w:color="auto" w:fill="auto"/>
            <w:vAlign w:val="bottom"/>
          </w:tcPr>
          <w:p w14:paraId="38EACE4D" w14:textId="77777777" w:rsidR="003F0164" w:rsidRPr="003F0164" w:rsidRDefault="003F0164" w:rsidP="003F0164">
            <w:pPr>
              <w:tabs>
                <w:tab w:val="right" w:pos="1202"/>
              </w:tabs>
              <w:spacing w:after="0" w:line="240" w:lineRule="auto"/>
              <w:jc w:val="right"/>
              <w:outlineLvl w:val="0"/>
              <w:rPr>
                <w:rFonts w:ascii="Calibri" w:eastAsia="Calibri" w:hAnsi="Calibri" w:cs="Calibri"/>
                <w:b/>
                <w:bCs/>
                <w:color w:val="000000"/>
                <w:spacing w:val="-2"/>
                <w:sz w:val="18"/>
                <w:szCs w:val="18"/>
              </w:rPr>
            </w:pPr>
            <w:bookmarkStart w:id="1154" w:name="_Toc67330867"/>
            <w:r w:rsidRPr="003F0164">
              <w:rPr>
                <w:rFonts w:ascii="Calibri" w:eastAsia="Times New Roman" w:hAnsi="Calibri" w:cs="Times New Roman"/>
                <w:b/>
                <w:bCs/>
                <w:sz w:val="18"/>
                <w:szCs w:val="18"/>
                <w:lang w:val="en-US"/>
              </w:rPr>
              <w:t xml:space="preserve"> - </w:t>
            </w:r>
            <w:bookmarkEnd w:id="1154"/>
          </w:p>
        </w:tc>
        <w:tc>
          <w:tcPr>
            <w:tcW w:w="1230" w:type="dxa"/>
            <w:tcBorders>
              <w:top w:val="single" w:sz="4" w:space="0" w:color="auto"/>
              <w:left w:val="nil"/>
              <w:bottom w:val="single" w:sz="12" w:space="0" w:color="auto"/>
              <w:right w:val="nil"/>
            </w:tcBorders>
            <w:shd w:val="clear" w:color="auto" w:fill="auto"/>
            <w:vAlign w:val="bottom"/>
          </w:tcPr>
          <w:p w14:paraId="22F93B9D" w14:textId="77777777" w:rsidR="003F0164" w:rsidRPr="003F0164" w:rsidRDefault="003F0164" w:rsidP="003F0164">
            <w:pPr>
              <w:tabs>
                <w:tab w:val="right" w:pos="1202"/>
              </w:tabs>
              <w:spacing w:after="0" w:line="240" w:lineRule="auto"/>
              <w:jc w:val="right"/>
              <w:outlineLvl w:val="0"/>
              <w:rPr>
                <w:rFonts w:ascii="Calibri" w:eastAsia="Calibri" w:hAnsi="Calibri" w:cs="Calibri"/>
                <w:b/>
                <w:bCs/>
                <w:color w:val="000000"/>
                <w:spacing w:val="-2"/>
                <w:sz w:val="18"/>
                <w:szCs w:val="18"/>
              </w:rPr>
            </w:pPr>
            <w:bookmarkStart w:id="1155" w:name="_Toc67330868"/>
            <w:r w:rsidRPr="003F0164">
              <w:rPr>
                <w:rFonts w:ascii="Calibri" w:eastAsia="Times New Roman" w:hAnsi="Calibri" w:cs="Times New Roman"/>
                <w:b/>
                <w:bCs/>
                <w:sz w:val="18"/>
                <w:szCs w:val="18"/>
                <w:lang w:val="en-US"/>
              </w:rPr>
              <w:t xml:space="preserve"> 16,724 </w:t>
            </w:r>
            <w:bookmarkEnd w:id="1155"/>
          </w:p>
        </w:tc>
      </w:tr>
      <w:tr w:rsidR="003F0164" w:rsidRPr="003F0164" w14:paraId="68279122" w14:textId="77777777" w:rsidTr="00E44437">
        <w:trPr>
          <w:trHeight w:val="174"/>
          <w:jc w:val="center"/>
        </w:trPr>
        <w:tc>
          <w:tcPr>
            <w:tcW w:w="5568" w:type="dxa"/>
            <w:shd w:val="clear" w:color="auto" w:fill="auto"/>
            <w:vAlign w:val="bottom"/>
          </w:tcPr>
          <w:p w14:paraId="53FB6E90" w14:textId="77777777" w:rsidR="003F0164" w:rsidRPr="003F0164" w:rsidRDefault="003F0164" w:rsidP="003F0164">
            <w:pPr>
              <w:tabs>
                <w:tab w:val="right" w:pos="1202"/>
              </w:tabs>
              <w:spacing w:after="0" w:line="240" w:lineRule="auto"/>
              <w:outlineLvl w:val="0"/>
              <w:rPr>
                <w:rFonts w:ascii="Calibri" w:eastAsia="Times New Roman" w:hAnsi="Calibri" w:cs="Arial"/>
                <w:b/>
                <w:spacing w:val="-2"/>
                <w:sz w:val="19"/>
                <w:szCs w:val="19"/>
                <w:highlight w:val="yellow"/>
                <w:lang w:val="en-US"/>
              </w:rPr>
            </w:pPr>
            <w:r w:rsidRPr="003F0164">
              <w:rPr>
                <w:rFonts w:ascii="Calibri" w:eastAsia="Times New Roman" w:hAnsi="Calibri" w:cs="Arial"/>
                <w:b/>
                <w:spacing w:val="-2"/>
                <w:sz w:val="19"/>
                <w:szCs w:val="19"/>
                <w:lang w:val="en-US"/>
              </w:rPr>
              <w:t>Financial assets at fair value through other comprehensive income:</w:t>
            </w:r>
          </w:p>
        </w:tc>
        <w:tc>
          <w:tcPr>
            <w:tcW w:w="1228" w:type="dxa"/>
            <w:vAlign w:val="bottom"/>
          </w:tcPr>
          <w:p w14:paraId="6FCD6187" w14:textId="77777777" w:rsidR="003F0164" w:rsidRPr="003F0164" w:rsidDel="00561A80"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p>
        </w:tc>
        <w:tc>
          <w:tcPr>
            <w:tcW w:w="1229" w:type="dxa"/>
            <w:vAlign w:val="bottom"/>
          </w:tcPr>
          <w:p w14:paraId="3523625E" w14:textId="77777777" w:rsidR="003F0164" w:rsidRPr="003F0164" w:rsidDel="00561A80"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p>
        </w:tc>
        <w:tc>
          <w:tcPr>
            <w:tcW w:w="1230" w:type="dxa"/>
            <w:vAlign w:val="bottom"/>
          </w:tcPr>
          <w:p w14:paraId="29818066" w14:textId="77777777" w:rsidR="003F0164" w:rsidRPr="003F0164" w:rsidDel="00561A80"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p>
        </w:tc>
      </w:tr>
      <w:tr w:rsidR="003F0164" w:rsidRPr="003F0164" w14:paraId="3BA7FE2F" w14:textId="77777777" w:rsidTr="00E44437">
        <w:trPr>
          <w:trHeight w:val="246"/>
          <w:jc w:val="center"/>
        </w:trPr>
        <w:tc>
          <w:tcPr>
            <w:tcW w:w="5568" w:type="dxa"/>
            <w:shd w:val="clear" w:color="auto" w:fill="auto"/>
            <w:vAlign w:val="bottom"/>
          </w:tcPr>
          <w:p w14:paraId="50F7BB83" w14:textId="77777777" w:rsidR="003F0164" w:rsidRPr="003F0164" w:rsidRDefault="003F0164" w:rsidP="003F0164">
            <w:pPr>
              <w:tabs>
                <w:tab w:val="right" w:pos="1202"/>
              </w:tabs>
              <w:spacing w:after="0" w:line="240" w:lineRule="auto"/>
              <w:outlineLvl w:val="0"/>
              <w:rPr>
                <w:rFonts w:ascii="Calibri" w:eastAsia="Times New Roman" w:hAnsi="Calibri" w:cs="Arial"/>
                <w:b/>
                <w:spacing w:val="-2"/>
                <w:sz w:val="19"/>
                <w:szCs w:val="19"/>
                <w:highlight w:val="yellow"/>
                <w:lang w:val="en-US"/>
              </w:rPr>
            </w:pPr>
            <w:r w:rsidRPr="003F0164">
              <w:rPr>
                <w:rFonts w:ascii="Calibri" w:eastAsia="Times New Roman" w:hAnsi="Calibri" w:cs="Arial"/>
                <w:b/>
                <w:spacing w:val="-2"/>
                <w:sz w:val="19"/>
                <w:szCs w:val="19"/>
                <w:lang w:val="en-US"/>
              </w:rPr>
              <w:t>Debt instruments:</w:t>
            </w:r>
          </w:p>
        </w:tc>
        <w:tc>
          <w:tcPr>
            <w:tcW w:w="1228" w:type="dxa"/>
            <w:vAlign w:val="bottom"/>
          </w:tcPr>
          <w:p w14:paraId="4AE17B96" w14:textId="77777777" w:rsidR="003F0164" w:rsidRPr="003F0164" w:rsidDel="00561A80"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p>
        </w:tc>
        <w:tc>
          <w:tcPr>
            <w:tcW w:w="1229" w:type="dxa"/>
            <w:vAlign w:val="bottom"/>
          </w:tcPr>
          <w:p w14:paraId="474F1204" w14:textId="77777777" w:rsidR="003F0164" w:rsidRPr="003F0164" w:rsidDel="00561A80"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p>
        </w:tc>
        <w:tc>
          <w:tcPr>
            <w:tcW w:w="1230" w:type="dxa"/>
            <w:vAlign w:val="bottom"/>
          </w:tcPr>
          <w:p w14:paraId="3F730C34" w14:textId="77777777" w:rsidR="003F0164" w:rsidRPr="003F0164" w:rsidDel="00561A80"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p>
        </w:tc>
      </w:tr>
      <w:tr w:rsidR="003F0164" w:rsidRPr="003F0164" w14:paraId="54F3134E" w14:textId="77777777" w:rsidTr="00E44437">
        <w:trPr>
          <w:trHeight w:val="246"/>
          <w:jc w:val="center"/>
        </w:trPr>
        <w:tc>
          <w:tcPr>
            <w:tcW w:w="5568" w:type="dxa"/>
            <w:shd w:val="clear" w:color="auto" w:fill="auto"/>
            <w:vAlign w:val="bottom"/>
          </w:tcPr>
          <w:p w14:paraId="36CF1C01" w14:textId="77777777" w:rsidR="003F0164" w:rsidRPr="003F0164" w:rsidRDefault="003F0164" w:rsidP="003F0164">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3F0164">
              <w:rPr>
                <w:rFonts w:ascii="Calibri" w:eastAsia="Times New Roman" w:hAnsi="Calibri" w:cs="Arial"/>
                <w:b/>
                <w:i/>
                <w:spacing w:val="-2"/>
                <w:sz w:val="19"/>
                <w:szCs w:val="19"/>
                <w:lang w:val="en-US"/>
              </w:rPr>
              <w:t>Listed debt instruments:</w:t>
            </w:r>
          </w:p>
        </w:tc>
        <w:tc>
          <w:tcPr>
            <w:tcW w:w="1228" w:type="dxa"/>
            <w:vAlign w:val="bottom"/>
          </w:tcPr>
          <w:p w14:paraId="42721E6A" w14:textId="77777777" w:rsidR="003F0164" w:rsidRPr="003F0164" w:rsidDel="00561A80"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p>
        </w:tc>
        <w:tc>
          <w:tcPr>
            <w:tcW w:w="1229" w:type="dxa"/>
            <w:vAlign w:val="bottom"/>
          </w:tcPr>
          <w:p w14:paraId="2F05B05C" w14:textId="77777777" w:rsidR="003F0164" w:rsidRPr="003F0164" w:rsidDel="00561A80"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p>
        </w:tc>
        <w:tc>
          <w:tcPr>
            <w:tcW w:w="1230" w:type="dxa"/>
            <w:vAlign w:val="bottom"/>
          </w:tcPr>
          <w:p w14:paraId="084B89D3" w14:textId="77777777" w:rsidR="003F0164" w:rsidRPr="003F0164" w:rsidDel="00561A80"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p>
        </w:tc>
      </w:tr>
      <w:tr w:rsidR="003F0164" w:rsidRPr="003F0164" w14:paraId="34762633" w14:textId="77777777" w:rsidTr="00E44437">
        <w:trPr>
          <w:trHeight w:val="246"/>
          <w:jc w:val="center"/>
        </w:trPr>
        <w:tc>
          <w:tcPr>
            <w:tcW w:w="5568" w:type="dxa"/>
            <w:shd w:val="clear" w:color="auto" w:fill="auto"/>
            <w:vAlign w:val="bottom"/>
          </w:tcPr>
          <w:p w14:paraId="0C388542" w14:textId="77777777" w:rsidR="003F0164" w:rsidRPr="003F0164" w:rsidRDefault="003F0164" w:rsidP="003F0164">
            <w:pPr>
              <w:tabs>
                <w:tab w:val="right" w:pos="1202"/>
              </w:tabs>
              <w:spacing w:after="0" w:line="240" w:lineRule="auto"/>
              <w:outlineLvl w:val="0"/>
              <w:rPr>
                <w:rFonts w:ascii="Calibri" w:eastAsia="Times New Roman" w:hAnsi="Calibri" w:cs="Arial"/>
                <w:spacing w:val="-2"/>
                <w:sz w:val="19"/>
                <w:szCs w:val="19"/>
                <w:lang w:val="en-US"/>
              </w:rPr>
            </w:pPr>
            <w:r w:rsidRPr="003F0164">
              <w:rPr>
                <w:rFonts w:ascii="Calibri" w:eastAsia="Times New Roman" w:hAnsi="Calibri" w:cs="Arial"/>
                <w:spacing w:val="-2"/>
                <w:sz w:val="19"/>
                <w:szCs w:val="19"/>
                <w:lang w:val="en-US"/>
              </w:rPr>
              <w:t>Bonds of the Republic of Croatia</w:t>
            </w:r>
          </w:p>
        </w:tc>
        <w:tc>
          <w:tcPr>
            <w:tcW w:w="1228" w:type="dxa"/>
            <w:tcBorders>
              <w:top w:val="nil"/>
              <w:left w:val="nil"/>
              <w:bottom w:val="nil"/>
              <w:right w:val="nil"/>
            </w:tcBorders>
            <w:shd w:val="clear" w:color="auto" w:fill="auto"/>
          </w:tcPr>
          <w:p w14:paraId="6F5CFA5C"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r w:rsidRPr="003F0164">
              <w:rPr>
                <w:rFonts w:ascii="Calibri" w:eastAsia="Times New Roman" w:hAnsi="Calibri" w:cs="Times New Roman"/>
                <w:sz w:val="18"/>
                <w:szCs w:val="18"/>
                <w:lang w:val="en-US"/>
              </w:rPr>
              <w:t xml:space="preserve"> 1,358,981 </w:t>
            </w:r>
          </w:p>
        </w:tc>
        <w:tc>
          <w:tcPr>
            <w:tcW w:w="1229" w:type="dxa"/>
            <w:tcBorders>
              <w:top w:val="nil"/>
              <w:left w:val="nil"/>
              <w:bottom w:val="nil"/>
              <w:right w:val="nil"/>
            </w:tcBorders>
            <w:shd w:val="clear" w:color="auto" w:fill="auto"/>
          </w:tcPr>
          <w:p w14:paraId="5CFD7CE7"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bookmarkStart w:id="1156" w:name="_Toc67330874"/>
            <w:r w:rsidRPr="003F0164">
              <w:rPr>
                <w:rFonts w:ascii="Calibri" w:eastAsia="Times New Roman" w:hAnsi="Calibri" w:cs="Times New Roman"/>
                <w:sz w:val="18"/>
                <w:szCs w:val="18"/>
                <w:lang w:val="en-US"/>
              </w:rPr>
              <w:t xml:space="preserve"> - </w:t>
            </w:r>
            <w:bookmarkEnd w:id="1156"/>
          </w:p>
        </w:tc>
        <w:tc>
          <w:tcPr>
            <w:tcW w:w="1230" w:type="dxa"/>
            <w:tcBorders>
              <w:top w:val="nil"/>
              <w:left w:val="nil"/>
              <w:bottom w:val="nil"/>
              <w:right w:val="nil"/>
            </w:tcBorders>
            <w:shd w:val="clear" w:color="auto" w:fill="auto"/>
          </w:tcPr>
          <w:p w14:paraId="03AD8FE6"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bookmarkStart w:id="1157" w:name="_Toc67330875"/>
            <w:r w:rsidRPr="003F0164">
              <w:rPr>
                <w:rFonts w:ascii="Calibri" w:eastAsia="Times New Roman" w:hAnsi="Calibri" w:cs="Times New Roman"/>
                <w:sz w:val="18"/>
                <w:szCs w:val="18"/>
                <w:lang w:val="en-US"/>
              </w:rPr>
              <w:t xml:space="preserve"> - </w:t>
            </w:r>
            <w:bookmarkEnd w:id="1157"/>
          </w:p>
        </w:tc>
      </w:tr>
      <w:tr w:rsidR="003F0164" w:rsidRPr="003F0164" w14:paraId="71BE1F36" w14:textId="77777777" w:rsidTr="00E44437">
        <w:trPr>
          <w:trHeight w:val="246"/>
          <w:jc w:val="center"/>
        </w:trPr>
        <w:tc>
          <w:tcPr>
            <w:tcW w:w="5568" w:type="dxa"/>
            <w:shd w:val="clear" w:color="auto" w:fill="auto"/>
            <w:vAlign w:val="bottom"/>
          </w:tcPr>
          <w:p w14:paraId="33A43C7C" w14:textId="77777777" w:rsidR="003F0164" w:rsidRPr="003F0164" w:rsidRDefault="003F0164" w:rsidP="003F0164">
            <w:pPr>
              <w:tabs>
                <w:tab w:val="right" w:pos="1202"/>
              </w:tabs>
              <w:spacing w:after="0" w:line="240" w:lineRule="auto"/>
              <w:outlineLvl w:val="0"/>
              <w:rPr>
                <w:rFonts w:ascii="Calibri" w:eastAsia="Times New Roman" w:hAnsi="Calibri" w:cs="Arial"/>
                <w:spacing w:val="-2"/>
                <w:sz w:val="19"/>
                <w:szCs w:val="19"/>
                <w:lang w:val="en-US"/>
              </w:rPr>
            </w:pPr>
            <w:r w:rsidRPr="003F0164">
              <w:rPr>
                <w:rFonts w:ascii="Calibri" w:eastAsia="Times New Roman" w:hAnsi="Calibri" w:cs="Arial"/>
                <w:spacing w:val="-2"/>
                <w:sz w:val="19"/>
                <w:szCs w:val="19"/>
                <w:lang w:val="en-US"/>
              </w:rPr>
              <w:t>Corporate bonds</w:t>
            </w:r>
          </w:p>
        </w:tc>
        <w:tc>
          <w:tcPr>
            <w:tcW w:w="1228" w:type="dxa"/>
            <w:tcBorders>
              <w:top w:val="nil"/>
              <w:left w:val="nil"/>
              <w:bottom w:val="nil"/>
              <w:right w:val="nil"/>
            </w:tcBorders>
            <w:shd w:val="clear" w:color="auto" w:fill="auto"/>
          </w:tcPr>
          <w:p w14:paraId="3EB11F3D"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r w:rsidRPr="003F0164">
              <w:rPr>
                <w:rFonts w:ascii="Calibri" w:eastAsia="Times New Roman" w:hAnsi="Calibri" w:cs="Times New Roman"/>
                <w:sz w:val="18"/>
                <w:szCs w:val="18"/>
                <w:lang w:val="en-US"/>
              </w:rPr>
              <w:t xml:space="preserve"> 2,393 </w:t>
            </w:r>
          </w:p>
        </w:tc>
        <w:tc>
          <w:tcPr>
            <w:tcW w:w="1229" w:type="dxa"/>
            <w:tcBorders>
              <w:top w:val="nil"/>
              <w:left w:val="nil"/>
              <w:bottom w:val="nil"/>
              <w:right w:val="nil"/>
            </w:tcBorders>
            <w:shd w:val="clear" w:color="auto" w:fill="auto"/>
          </w:tcPr>
          <w:p w14:paraId="2C0837DC"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bookmarkStart w:id="1158" w:name="_Toc67330878"/>
            <w:r w:rsidRPr="003F0164">
              <w:rPr>
                <w:rFonts w:ascii="Calibri" w:eastAsia="Times New Roman" w:hAnsi="Calibri" w:cs="Times New Roman"/>
                <w:sz w:val="18"/>
                <w:szCs w:val="18"/>
                <w:lang w:val="en-US"/>
              </w:rPr>
              <w:t xml:space="preserve"> - </w:t>
            </w:r>
            <w:bookmarkEnd w:id="1158"/>
          </w:p>
        </w:tc>
        <w:tc>
          <w:tcPr>
            <w:tcW w:w="1230" w:type="dxa"/>
            <w:tcBorders>
              <w:top w:val="nil"/>
              <w:left w:val="nil"/>
              <w:bottom w:val="nil"/>
              <w:right w:val="nil"/>
            </w:tcBorders>
            <w:shd w:val="clear" w:color="auto" w:fill="auto"/>
          </w:tcPr>
          <w:p w14:paraId="5253BE73"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bookmarkStart w:id="1159" w:name="_Toc67330879"/>
            <w:r w:rsidRPr="003F0164">
              <w:rPr>
                <w:rFonts w:ascii="Calibri" w:eastAsia="Times New Roman" w:hAnsi="Calibri" w:cs="Times New Roman"/>
                <w:sz w:val="18"/>
                <w:szCs w:val="18"/>
                <w:lang w:val="en-US"/>
              </w:rPr>
              <w:t xml:space="preserve"> - </w:t>
            </w:r>
            <w:bookmarkEnd w:id="1159"/>
          </w:p>
        </w:tc>
      </w:tr>
      <w:tr w:rsidR="003F0164" w:rsidRPr="003F0164" w14:paraId="43CCBA31" w14:textId="77777777" w:rsidTr="00E44437">
        <w:trPr>
          <w:trHeight w:val="246"/>
          <w:jc w:val="center"/>
        </w:trPr>
        <w:tc>
          <w:tcPr>
            <w:tcW w:w="5568" w:type="dxa"/>
            <w:shd w:val="clear" w:color="auto" w:fill="auto"/>
            <w:vAlign w:val="bottom"/>
          </w:tcPr>
          <w:p w14:paraId="25C047DD" w14:textId="77777777" w:rsidR="003F0164" w:rsidRPr="003F0164" w:rsidRDefault="003F0164" w:rsidP="003F0164">
            <w:pPr>
              <w:tabs>
                <w:tab w:val="right" w:pos="1202"/>
              </w:tabs>
              <w:spacing w:after="0" w:line="240" w:lineRule="auto"/>
              <w:outlineLvl w:val="0"/>
              <w:rPr>
                <w:rFonts w:ascii="Calibri" w:eastAsia="Times New Roman" w:hAnsi="Calibri" w:cs="Arial"/>
                <w:spacing w:val="-2"/>
                <w:sz w:val="19"/>
                <w:szCs w:val="19"/>
                <w:lang w:val="en-US"/>
              </w:rPr>
            </w:pPr>
            <w:r w:rsidRPr="003F0164">
              <w:rPr>
                <w:rFonts w:ascii="Calibri" w:eastAsia="Times New Roman" w:hAnsi="Calibri" w:cs="Arial"/>
                <w:spacing w:val="-2"/>
                <w:sz w:val="19"/>
                <w:szCs w:val="19"/>
                <w:lang w:val="en-US"/>
              </w:rPr>
              <w:t xml:space="preserve">Treasury bills of the Ministry of Finance </w:t>
            </w:r>
          </w:p>
        </w:tc>
        <w:tc>
          <w:tcPr>
            <w:tcW w:w="1228" w:type="dxa"/>
            <w:tcBorders>
              <w:top w:val="nil"/>
              <w:left w:val="nil"/>
              <w:bottom w:val="nil"/>
              <w:right w:val="nil"/>
            </w:tcBorders>
            <w:shd w:val="clear" w:color="auto" w:fill="auto"/>
          </w:tcPr>
          <w:p w14:paraId="5C91BCD4"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r w:rsidRPr="003F0164">
              <w:rPr>
                <w:rFonts w:ascii="Calibri" w:eastAsia="Times New Roman" w:hAnsi="Calibri" w:cs="Times New Roman"/>
                <w:sz w:val="18"/>
                <w:szCs w:val="18"/>
                <w:lang w:val="en-US"/>
              </w:rPr>
              <w:t xml:space="preserve">- </w:t>
            </w:r>
          </w:p>
        </w:tc>
        <w:tc>
          <w:tcPr>
            <w:tcW w:w="1229" w:type="dxa"/>
            <w:tcBorders>
              <w:top w:val="nil"/>
              <w:left w:val="nil"/>
              <w:bottom w:val="nil"/>
              <w:right w:val="nil"/>
            </w:tcBorders>
            <w:shd w:val="clear" w:color="auto" w:fill="auto"/>
          </w:tcPr>
          <w:p w14:paraId="5E05FF29"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bookmarkStart w:id="1160" w:name="_Toc67330882"/>
            <w:r w:rsidRPr="003F0164">
              <w:rPr>
                <w:rFonts w:ascii="Calibri" w:eastAsia="Times New Roman" w:hAnsi="Calibri" w:cs="Times New Roman"/>
                <w:sz w:val="18"/>
                <w:szCs w:val="18"/>
                <w:lang w:val="en-US"/>
              </w:rPr>
              <w:t>1,550,344</w:t>
            </w:r>
            <w:bookmarkEnd w:id="1160"/>
          </w:p>
        </w:tc>
        <w:tc>
          <w:tcPr>
            <w:tcW w:w="1230" w:type="dxa"/>
            <w:tcBorders>
              <w:top w:val="nil"/>
              <w:left w:val="nil"/>
              <w:bottom w:val="nil"/>
              <w:right w:val="nil"/>
            </w:tcBorders>
            <w:shd w:val="clear" w:color="auto" w:fill="auto"/>
          </w:tcPr>
          <w:p w14:paraId="271AA22F"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bookmarkStart w:id="1161" w:name="_Toc67330883"/>
            <w:r w:rsidRPr="003F0164">
              <w:rPr>
                <w:rFonts w:ascii="Calibri" w:eastAsia="Times New Roman" w:hAnsi="Calibri" w:cs="Times New Roman"/>
                <w:sz w:val="18"/>
                <w:szCs w:val="18"/>
                <w:lang w:val="en-US"/>
              </w:rPr>
              <w:t xml:space="preserve"> - </w:t>
            </w:r>
            <w:bookmarkEnd w:id="1161"/>
          </w:p>
        </w:tc>
      </w:tr>
      <w:tr w:rsidR="003F0164" w:rsidRPr="003F0164" w14:paraId="59FE1488" w14:textId="77777777" w:rsidTr="00E44437">
        <w:trPr>
          <w:trHeight w:val="246"/>
          <w:jc w:val="center"/>
        </w:trPr>
        <w:tc>
          <w:tcPr>
            <w:tcW w:w="5568" w:type="dxa"/>
            <w:shd w:val="clear" w:color="auto" w:fill="auto"/>
            <w:vAlign w:val="bottom"/>
          </w:tcPr>
          <w:p w14:paraId="200FD0D4" w14:textId="77777777" w:rsidR="003F0164" w:rsidRPr="003F0164" w:rsidRDefault="003F0164" w:rsidP="003F0164">
            <w:pPr>
              <w:tabs>
                <w:tab w:val="right" w:pos="1202"/>
              </w:tabs>
              <w:spacing w:after="0" w:line="240" w:lineRule="auto"/>
              <w:outlineLvl w:val="0"/>
              <w:rPr>
                <w:rFonts w:ascii="Calibri" w:eastAsia="Times New Roman" w:hAnsi="Calibri" w:cs="Arial"/>
                <w:spacing w:val="-2"/>
                <w:sz w:val="19"/>
                <w:szCs w:val="19"/>
                <w:lang w:val="en-US"/>
              </w:rPr>
            </w:pPr>
            <w:r w:rsidRPr="003F0164">
              <w:rPr>
                <w:rFonts w:ascii="Calibri" w:eastAsia="Times New Roman" w:hAnsi="Calibri" w:cs="Arial"/>
                <w:spacing w:val="-2"/>
                <w:sz w:val="19"/>
                <w:szCs w:val="19"/>
                <w:lang w:val="en-US"/>
              </w:rPr>
              <w:t xml:space="preserve">Accrued interest </w:t>
            </w:r>
          </w:p>
        </w:tc>
        <w:tc>
          <w:tcPr>
            <w:tcW w:w="1228" w:type="dxa"/>
            <w:tcBorders>
              <w:top w:val="nil"/>
              <w:left w:val="nil"/>
              <w:bottom w:val="nil"/>
              <w:right w:val="nil"/>
            </w:tcBorders>
            <w:shd w:val="clear" w:color="auto" w:fill="auto"/>
          </w:tcPr>
          <w:p w14:paraId="19CB257E"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r w:rsidRPr="003F0164">
              <w:rPr>
                <w:rFonts w:ascii="Calibri" w:eastAsia="Times New Roman" w:hAnsi="Calibri" w:cs="Times New Roman"/>
                <w:sz w:val="18"/>
                <w:szCs w:val="18"/>
                <w:lang w:val="en-US"/>
              </w:rPr>
              <w:t xml:space="preserve"> 15,620 </w:t>
            </w:r>
          </w:p>
        </w:tc>
        <w:tc>
          <w:tcPr>
            <w:tcW w:w="1229" w:type="dxa"/>
            <w:tcBorders>
              <w:top w:val="nil"/>
              <w:left w:val="nil"/>
              <w:bottom w:val="nil"/>
              <w:right w:val="nil"/>
            </w:tcBorders>
            <w:shd w:val="clear" w:color="auto" w:fill="auto"/>
          </w:tcPr>
          <w:p w14:paraId="216A0966"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bookmarkStart w:id="1162" w:name="_Toc67330886"/>
            <w:r w:rsidRPr="003F0164">
              <w:rPr>
                <w:rFonts w:ascii="Calibri" w:eastAsia="Times New Roman" w:hAnsi="Calibri" w:cs="Times New Roman"/>
                <w:sz w:val="18"/>
                <w:szCs w:val="18"/>
                <w:lang w:val="en-US"/>
              </w:rPr>
              <w:t xml:space="preserve"> - </w:t>
            </w:r>
            <w:bookmarkEnd w:id="1162"/>
          </w:p>
        </w:tc>
        <w:tc>
          <w:tcPr>
            <w:tcW w:w="1230" w:type="dxa"/>
            <w:tcBorders>
              <w:top w:val="nil"/>
              <w:left w:val="nil"/>
              <w:bottom w:val="nil"/>
              <w:right w:val="nil"/>
            </w:tcBorders>
            <w:shd w:val="clear" w:color="auto" w:fill="auto"/>
          </w:tcPr>
          <w:p w14:paraId="7BF7517D"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bookmarkStart w:id="1163" w:name="_Toc67330887"/>
            <w:r w:rsidRPr="003F0164">
              <w:rPr>
                <w:rFonts w:ascii="Calibri" w:eastAsia="Times New Roman" w:hAnsi="Calibri" w:cs="Times New Roman"/>
                <w:sz w:val="18"/>
                <w:szCs w:val="18"/>
                <w:lang w:val="en-US"/>
              </w:rPr>
              <w:t xml:space="preserve"> - </w:t>
            </w:r>
            <w:bookmarkEnd w:id="1163"/>
          </w:p>
        </w:tc>
      </w:tr>
      <w:tr w:rsidR="003F0164" w:rsidRPr="003F0164" w14:paraId="06C3A6CD" w14:textId="77777777" w:rsidTr="00E44437">
        <w:trPr>
          <w:trHeight w:val="246"/>
          <w:jc w:val="center"/>
        </w:trPr>
        <w:tc>
          <w:tcPr>
            <w:tcW w:w="5568" w:type="dxa"/>
            <w:shd w:val="clear" w:color="auto" w:fill="auto"/>
            <w:vAlign w:val="bottom"/>
          </w:tcPr>
          <w:p w14:paraId="03668372" w14:textId="77777777" w:rsidR="003F0164" w:rsidRPr="003F0164" w:rsidRDefault="003F0164" w:rsidP="003F0164">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3F0164">
              <w:rPr>
                <w:rFonts w:ascii="Calibri" w:eastAsia="Times New Roman" w:hAnsi="Calibri" w:cs="Arial"/>
                <w:b/>
                <w:i/>
                <w:spacing w:val="-2"/>
                <w:sz w:val="19"/>
                <w:szCs w:val="19"/>
                <w:lang w:val="en-US"/>
              </w:rPr>
              <w:t>Unlisted debt instruments:</w:t>
            </w:r>
          </w:p>
        </w:tc>
        <w:tc>
          <w:tcPr>
            <w:tcW w:w="1228" w:type="dxa"/>
            <w:tcBorders>
              <w:top w:val="nil"/>
              <w:left w:val="nil"/>
              <w:bottom w:val="nil"/>
              <w:right w:val="nil"/>
            </w:tcBorders>
            <w:shd w:val="clear" w:color="auto" w:fill="auto"/>
            <w:vAlign w:val="bottom"/>
          </w:tcPr>
          <w:p w14:paraId="0ECD5E52"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p>
        </w:tc>
        <w:tc>
          <w:tcPr>
            <w:tcW w:w="1229" w:type="dxa"/>
            <w:tcBorders>
              <w:top w:val="nil"/>
              <w:left w:val="nil"/>
              <w:bottom w:val="nil"/>
              <w:right w:val="nil"/>
            </w:tcBorders>
            <w:shd w:val="clear" w:color="auto" w:fill="auto"/>
            <w:vAlign w:val="bottom"/>
          </w:tcPr>
          <w:p w14:paraId="77A82236"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p>
        </w:tc>
        <w:tc>
          <w:tcPr>
            <w:tcW w:w="1230" w:type="dxa"/>
            <w:tcBorders>
              <w:top w:val="nil"/>
              <w:left w:val="nil"/>
              <w:bottom w:val="nil"/>
              <w:right w:val="nil"/>
            </w:tcBorders>
            <w:shd w:val="clear" w:color="auto" w:fill="auto"/>
            <w:vAlign w:val="bottom"/>
          </w:tcPr>
          <w:p w14:paraId="08357B30"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p>
        </w:tc>
      </w:tr>
      <w:tr w:rsidR="003F0164" w:rsidRPr="003F0164" w14:paraId="78C1990F" w14:textId="77777777" w:rsidTr="00E44437">
        <w:trPr>
          <w:trHeight w:val="246"/>
          <w:jc w:val="center"/>
        </w:trPr>
        <w:tc>
          <w:tcPr>
            <w:tcW w:w="5568" w:type="dxa"/>
            <w:shd w:val="clear" w:color="auto" w:fill="auto"/>
            <w:vAlign w:val="bottom"/>
          </w:tcPr>
          <w:p w14:paraId="1AE2A918" w14:textId="77777777" w:rsidR="003F0164" w:rsidRPr="003F0164" w:rsidRDefault="003F0164" w:rsidP="003F0164">
            <w:pPr>
              <w:tabs>
                <w:tab w:val="right" w:pos="1202"/>
              </w:tabs>
              <w:spacing w:after="0" w:line="240" w:lineRule="auto"/>
              <w:outlineLvl w:val="0"/>
              <w:rPr>
                <w:rFonts w:ascii="Calibri" w:eastAsia="Times New Roman" w:hAnsi="Calibri" w:cs="Arial"/>
                <w:spacing w:val="-2"/>
                <w:sz w:val="19"/>
                <w:szCs w:val="19"/>
                <w:highlight w:val="yellow"/>
                <w:lang w:val="en-US"/>
              </w:rPr>
            </w:pPr>
            <w:r w:rsidRPr="003F0164">
              <w:rPr>
                <w:rFonts w:ascii="Calibri" w:eastAsia="Times New Roman" w:hAnsi="Calibri" w:cs="Arial"/>
                <w:spacing w:val="-2"/>
                <w:sz w:val="19"/>
                <w:szCs w:val="19"/>
                <w:lang w:val="en-US"/>
              </w:rPr>
              <w:t>Corporate bonds</w:t>
            </w:r>
          </w:p>
        </w:tc>
        <w:tc>
          <w:tcPr>
            <w:tcW w:w="1228" w:type="dxa"/>
            <w:tcBorders>
              <w:top w:val="nil"/>
              <w:left w:val="nil"/>
              <w:bottom w:val="nil"/>
              <w:right w:val="nil"/>
            </w:tcBorders>
            <w:shd w:val="clear" w:color="auto" w:fill="auto"/>
          </w:tcPr>
          <w:p w14:paraId="047DAE0D"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bookmarkStart w:id="1164" w:name="_Toc67330890"/>
            <w:r w:rsidRPr="003F0164">
              <w:rPr>
                <w:rFonts w:ascii="Calibri" w:eastAsia="Times New Roman" w:hAnsi="Calibri" w:cs="Times New Roman"/>
                <w:sz w:val="18"/>
                <w:szCs w:val="18"/>
                <w:lang w:val="en-US"/>
              </w:rPr>
              <w:t xml:space="preserve"> - </w:t>
            </w:r>
            <w:bookmarkEnd w:id="1164"/>
          </w:p>
        </w:tc>
        <w:tc>
          <w:tcPr>
            <w:tcW w:w="1229" w:type="dxa"/>
            <w:tcBorders>
              <w:top w:val="nil"/>
              <w:left w:val="nil"/>
              <w:bottom w:val="nil"/>
              <w:right w:val="nil"/>
            </w:tcBorders>
            <w:shd w:val="clear" w:color="auto" w:fill="auto"/>
          </w:tcPr>
          <w:p w14:paraId="648AE244"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bookmarkStart w:id="1165" w:name="_Toc67330891"/>
            <w:r w:rsidRPr="003F0164">
              <w:rPr>
                <w:rFonts w:ascii="Calibri" w:eastAsia="Times New Roman" w:hAnsi="Calibri" w:cs="Times New Roman"/>
                <w:sz w:val="18"/>
                <w:szCs w:val="18"/>
                <w:lang w:val="en-US"/>
              </w:rPr>
              <w:t xml:space="preserve"> - </w:t>
            </w:r>
            <w:bookmarkEnd w:id="1165"/>
          </w:p>
        </w:tc>
        <w:tc>
          <w:tcPr>
            <w:tcW w:w="1230" w:type="dxa"/>
            <w:tcBorders>
              <w:top w:val="nil"/>
              <w:left w:val="nil"/>
              <w:bottom w:val="nil"/>
              <w:right w:val="nil"/>
            </w:tcBorders>
            <w:shd w:val="clear" w:color="auto" w:fill="auto"/>
          </w:tcPr>
          <w:p w14:paraId="3F1737B9"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bookmarkStart w:id="1166" w:name="_Toc67330892"/>
            <w:r w:rsidRPr="003F0164">
              <w:rPr>
                <w:rFonts w:ascii="Calibri" w:eastAsia="Times New Roman" w:hAnsi="Calibri" w:cs="Times New Roman"/>
                <w:sz w:val="18"/>
                <w:szCs w:val="18"/>
                <w:lang w:val="en-US"/>
              </w:rPr>
              <w:t xml:space="preserve"> 532 </w:t>
            </w:r>
            <w:bookmarkEnd w:id="1166"/>
          </w:p>
        </w:tc>
      </w:tr>
      <w:tr w:rsidR="003F0164" w:rsidRPr="003F0164" w14:paraId="7B0A01A3" w14:textId="77777777" w:rsidTr="00E44437">
        <w:trPr>
          <w:trHeight w:val="246"/>
          <w:jc w:val="center"/>
        </w:trPr>
        <w:tc>
          <w:tcPr>
            <w:tcW w:w="5568" w:type="dxa"/>
            <w:shd w:val="clear" w:color="auto" w:fill="auto"/>
            <w:vAlign w:val="bottom"/>
          </w:tcPr>
          <w:p w14:paraId="3619C105" w14:textId="77777777" w:rsidR="003F0164" w:rsidRPr="003F0164" w:rsidRDefault="003F0164" w:rsidP="003F0164">
            <w:pPr>
              <w:tabs>
                <w:tab w:val="right" w:pos="1202"/>
              </w:tabs>
              <w:spacing w:after="0" w:line="240" w:lineRule="auto"/>
              <w:outlineLvl w:val="0"/>
              <w:rPr>
                <w:rFonts w:ascii="Calibri" w:eastAsia="Times New Roman" w:hAnsi="Calibri" w:cs="Arial"/>
                <w:spacing w:val="-2"/>
                <w:sz w:val="19"/>
                <w:szCs w:val="19"/>
                <w:lang w:val="en-US"/>
              </w:rPr>
            </w:pPr>
            <w:r w:rsidRPr="003F0164">
              <w:rPr>
                <w:rFonts w:ascii="Calibri" w:eastAsia="Times New Roman" w:hAnsi="Calibri" w:cs="Arial"/>
                <w:spacing w:val="-2"/>
                <w:sz w:val="19"/>
                <w:szCs w:val="19"/>
                <w:lang w:val="en-US"/>
              </w:rPr>
              <w:t>Convertible bonds - CB</w:t>
            </w:r>
          </w:p>
        </w:tc>
        <w:tc>
          <w:tcPr>
            <w:tcW w:w="1228" w:type="dxa"/>
            <w:tcBorders>
              <w:top w:val="nil"/>
              <w:left w:val="nil"/>
              <w:bottom w:val="nil"/>
              <w:right w:val="nil"/>
            </w:tcBorders>
            <w:shd w:val="clear" w:color="auto" w:fill="auto"/>
          </w:tcPr>
          <w:p w14:paraId="150EBE4D"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bookmarkStart w:id="1167" w:name="_Toc67330894"/>
            <w:r w:rsidRPr="003F0164">
              <w:rPr>
                <w:rFonts w:ascii="Calibri" w:eastAsia="Calibri" w:hAnsi="Calibri" w:cs="Calibri"/>
                <w:color w:val="000000"/>
                <w:sz w:val="18"/>
                <w:szCs w:val="18"/>
              </w:rPr>
              <w:t>-</w:t>
            </w:r>
            <w:bookmarkEnd w:id="1167"/>
          </w:p>
        </w:tc>
        <w:tc>
          <w:tcPr>
            <w:tcW w:w="1229" w:type="dxa"/>
            <w:tcBorders>
              <w:top w:val="nil"/>
              <w:left w:val="nil"/>
              <w:bottom w:val="nil"/>
              <w:right w:val="nil"/>
            </w:tcBorders>
            <w:shd w:val="clear" w:color="auto" w:fill="auto"/>
          </w:tcPr>
          <w:p w14:paraId="71A74F82"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bookmarkStart w:id="1168" w:name="_Toc67330895"/>
            <w:r w:rsidRPr="003F0164">
              <w:rPr>
                <w:rFonts w:ascii="Calibri" w:eastAsia="Calibri" w:hAnsi="Calibri" w:cs="Calibri"/>
                <w:color w:val="000000"/>
                <w:sz w:val="18"/>
                <w:szCs w:val="18"/>
              </w:rPr>
              <w:t>-</w:t>
            </w:r>
            <w:bookmarkEnd w:id="1168"/>
          </w:p>
        </w:tc>
        <w:tc>
          <w:tcPr>
            <w:tcW w:w="1230" w:type="dxa"/>
            <w:tcBorders>
              <w:top w:val="nil"/>
              <w:left w:val="nil"/>
              <w:bottom w:val="nil"/>
              <w:right w:val="nil"/>
            </w:tcBorders>
            <w:shd w:val="clear" w:color="auto" w:fill="auto"/>
          </w:tcPr>
          <w:p w14:paraId="3AA22FA1"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bookmarkStart w:id="1169" w:name="_Toc67330896"/>
            <w:r w:rsidRPr="003F0164">
              <w:rPr>
                <w:rFonts w:ascii="Calibri" w:eastAsia="Times New Roman" w:hAnsi="Calibri" w:cs="Times New Roman"/>
                <w:sz w:val="18"/>
                <w:szCs w:val="18"/>
                <w:lang w:val="en-US"/>
              </w:rPr>
              <w:t xml:space="preserve"> 1,397 </w:t>
            </w:r>
            <w:bookmarkEnd w:id="1169"/>
          </w:p>
        </w:tc>
      </w:tr>
      <w:tr w:rsidR="003F0164" w:rsidRPr="003F0164" w14:paraId="72D3D6C5" w14:textId="77777777" w:rsidTr="00E44437">
        <w:trPr>
          <w:trHeight w:val="246"/>
          <w:jc w:val="center"/>
        </w:trPr>
        <w:tc>
          <w:tcPr>
            <w:tcW w:w="5568" w:type="dxa"/>
            <w:shd w:val="clear" w:color="auto" w:fill="auto"/>
            <w:vAlign w:val="bottom"/>
          </w:tcPr>
          <w:p w14:paraId="49EDB55D" w14:textId="77777777" w:rsidR="003F0164" w:rsidRPr="003F0164" w:rsidRDefault="003F0164" w:rsidP="003F0164">
            <w:pPr>
              <w:tabs>
                <w:tab w:val="right" w:pos="1202"/>
              </w:tabs>
              <w:spacing w:after="0" w:line="240" w:lineRule="auto"/>
              <w:outlineLvl w:val="0"/>
              <w:rPr>
                <w:rFonts w:ascii="Calibri" w:eastAsia="Times New Roman" w:hAnsi="Calibri" w:cs="Arial"/>
                <w:spacing w:val="-2"/>
                <w:sz w:val="19"/>
                <w:szCs w:val="19"/>
                <w:highlight w:val="yellow"/>
                <w:lang w:val="en-US"/>
              </w:rPr>
            </w:pPr>
            <w:r w:rsidRPr="003F0164">
              <w:rPr>
                <w:rFonts w:ascii="Calibri" w:eastAsia="Times New Roman" w:hAnsi="Calibri" w:cs="Arial"/>
                <w:spacing w:val="-2"/>
                <w:sz w:val="19"/>
                <w:szCs w:val="19"/>
                <w:lang w:val="en-US"/>
              </w:rPr>
              <w:t>Accrued interest</w:t>
            </w:r>
          </w:p>
        </w:tc>
        <w:tc>
          <w:tcPr>
            <w:tcW w:w="1228" w:type="dxa"/>
            <w:tcBorders>
              <w:top w:val="nil"/>
              <w:left w:val="nil"/>
              <w:bottom w:val="nil"/>
              <w:right w:val="nil"/>
            </w:tcBorders>
            <w:shd w:val="clear" w:color="auto" w:fill="auto"/>
          </w:tcPr>
          <w:p w14:paraId="3F538109"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bookmarkStart w:id="1170" w:name="_Toc67330898"/>
            <w:r w:rsidRPr="003F0164">
              <w:rPr>
                <w:rFonts w:ascii="Calibri" w:eastAsia="Times New Roman" w:hAnsi="Calibri" w:cs="Times New Roman"/>
                <w:sz w:val="18"/>
                <w:szCs w:val="18"/>
                <w:lang w:val="en-US"/>
              </w:rPr>
              <w:t xml:space="preserve"> - </w:t>
            </w:r>
            <w:bookmarkEnd w:id="1170"/>
          </w:p>
        </w:tc>
        <w:tc>
          <w:tcPr>
            <w:tcW w:w="1229" w:type="dxa"/>
            <w:tcBorders>
              <w:top w:val="nil"/>
              <w:left w:val="nil"/>
              <w:bottom w:val="nil"/>
              <w:right w:val="nil"/>
            </w:tcBorders>
            <w:shd w:val="clear" w:color="auto" w:fill="auto"/>
          </w:tcPr>
          <w:p w14:paraId="0189FE5B"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bookmarkStart w:id="1171" w:name="_Toc67330899"/>
            <w:r w:rsidRPr="003F0164">
              <w:rPr>
                <w:rFonts w:ascii="Calibri" w:eastAsia="Times New Roman" w:hAnsi="Calibri" w:cs="Times New Roman"/>
                <w:sz w:val="18"/>
                <w:szCs w:val="18"/>
                <w:lang w:val="en-US"/>
              </w:rPr>
              <w:t xml:space="preserve"> - </w:t>
            </w:r>
            <w:bookmarkEnd w:id="1171"/>
          </w:p>
        </w:tc>
        <w:tc>
          <w:tcPr>
            <w:tcW w:w="1230" w:type="dxa"/>
            <w:tcBorders>
              <w:top w:val="nil"/>
              <w:left w:val="nil"/>
              <w:bottom w:val="single" w:sz="4" w:space="0" w:color="auto"/>
              <w:right w:val="nil"/>
            </w:tcBorders>
            <w:shd w:val="clear" w:color="auto" w:fill="auto"/>
          </w:tcPr>
          <w:p w14:paraId="25EF927F"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bookmarkStart w:id="1172" w:name="_Toc67330900"/>
            <w:r w:rsidRPr="003F0164">
              <w:rPr>
                <w:rFonts w:ascii="Calibri" w:eastAsia="Times New Roman" w:hAnsi="Calibri" w:cs="Times New Roman"/>
                <w:sz w:val="18"/>
                <w:szCs w:val="18"/>
                <w:lang w:val="en-US"/>
              </w:rPr>
              <w:t xml:space="preserve"> 247 </w:t>
            </w:r>
            <w:bookmarkEnd w:id="1172"/>
          </w:p>
        </w:tc>
      </w:tr>
      <w:tr w:rsidR="003F0164" w:rsidRPr="003F0164" w14:paraId="6022681D" w14:textId="77777777" w:rsidTr="00E44437">
        <w:trPr>
          <w:trHeight w:val="246"/>
          <w:jc w:val="center"/>
        </w:trPr>
        <w:tc>
          <w:tcPr>
            <w:tcW w:w="5568" w:type="dxa"/>
            <w:shd w:val="clear" w:color="auto" w:fill="auto"/>
            <w:vAlign w:val="bottom"/>
          </w:tcPr>
          <w:p w14:paraId="43E33798" w14:textId="77777777" w:rsidR="003F0164" w:rsidRPr="003F0164" w:rsidRDefault="003F0164" w:rsidP="003F0164">
            <w:pPr>
              <w:tabs>
                <w:tab w:val="right" w:pos="1202"/>
              </w:tabs>
              <w:spacing w:after="0" w:line="240" w:lineRule="auto"/>
              <w:outlineLvl w:val="0"/>
              <w:rPr>
                <w:rFonts w:ascii="Calibri" w:eastAsia="Times New Roman" w:hAnsi="Calibri" w:cs="Arial"/>
                <w:b/>
                <w:spacing w:val="-2"/>
                <w:sz w:val="19"/>
                <w:szCs w:val="19"/>
                <w:highlight w:val="yellow"/>
                <w:lang w:val="en-US"/>
              </w:rPr>
            </w:pPr>
            <w:r w:rsidRPr="003F0164">
              <w:rPr>
                <w:rFonts w:ascii="Calibri" w:eastAsia="Times New Roman" w:hAnsi="Calibri" w:cs="Arial"/>
                <w:b/>
                <w:spacing w:val="-2"/>
                <w:sz w:val="19"/>
                <w:szCs w:val="19"/>
                <w:lang w:val="en-US"/>
              </w:rPr>
              <w:t>Total debt instruments</w:t>
            </w:r>
          </w:p>
        </w:tc>
        <w:tc>
          <w:tcPr>
            <w:tcW w:w="1228" w:type="dxa"/>
            <w:tcBorders>
              <w:top w:val="single" w:sz="4" w:space="0" w:color="auto"/>
              <w:left w:val="nil"/>
              <w:bottom w:val="single" w:sz="12" w:space="0" w:color="auto"/>
              <w:right w:val="nil"/>
            </w:tcBorders>
            <w:shd w:val="clear" w:color="auto" w:fill="auto"/>
            <w:vAlign w:val="bottom"/>
          </w:tcPr>
          <w:p w14:paraId="7ED8935D" w14:textId="77777777" w:rsidR="003F0164" w:rsidRPr="003F0164" w:rsidRDefault="003F0164" w:rsidP="003F0164">
            <w:pPr>
              <w:tabs>
                <w:tab w:val="right" w:pos="1202"/>
              </w:tabs>
              <w:spacing w:after="0" w:line="240" w:lineRule="auto"/>
              <w:jc w:val="right"/>
              <w:outlineLvl w:val="0"/>
              <w:rPr>
                <w:rFonts w:ascii="Calibri" w:eastAsia="Calibri" w:hAnsi="Calibri" w:cs="Calibri"/>
                <w:b/>
                <w:bCs/>
                <w:color w:val="000000"/>
                <w:spacing w:val="-2"/>
                <w:sz w:val="18"/>
                <w:szCs w:val="18"/>
              </w:rPr>
            </w:pPr>
            <w:bookmarkStart w:id="1173" w:name="_Toc67330902"/>
            <w:r w:rsidRPr="003F0164">
              <w:rPr>
                <w:rFonts w:ascii="Calibri" w:eastAsia="Times New Roman" w:hAnsi="Calibri" w:cs="Times New Roman"/>
                <w:b/>
                <w:bCs/>
                <w:sz w:val="18"/>
                <w:szCs w:val="18"/>
                <w:lang w:val="en-US"/>
              </w:rPr>
              <w:t xml:space="preserve"> 1,376,994</w:t>
            </w:r>
            <w:bookmarkEnd w:id="1173"/>
          </w:p>
        </w:tc>
        <w:tc>
          <w:tcPr>
            <w:tcW w:w="1229" w:type="dxa"/>
            <w:tcBorders>
              <w:top w:val="single" w:sz="4" w:space="0" w:color="auto"/>
              <w:left w:val="nil"/>
              <w:bottom w:val="single" w:sz="12" w:space="0" w:color="auto"/>
              <w:right w:val="nil"/>
            </w:tcBorders>
            <w:shd w:val="clear" w:color="auto" w:fill="auto"/>
            <w:vAlign w:val="bottom"/>
          </w:tcPr>
          <w:p w14:paraId="559A4C1F" w14:textId="77777777" w:rsidR="003F0164" w:rsidRPr="003F0164" w:rsidRDefault="003F0164" w:rsidP="003F0164">
            <w:pPr>
              <w:tabs>
                <w:tab w:val="right" w:pos="1202"/>
              </w:tabs>
              <w:spacing w:after="0" w:line="240" w:lineRule="auto"/>
              <w:jc w:val="right"/>
              <w:outlineLvl w:val="0"/>
              <w:rPr>
                <w:rFonts w:ascii="Calibri" w:eastAsia="Calibri" w:hAnsi="Calibri" w:cs="Calibri"/>
                <w:b/>
                <w:bCs/>
                <w:color w:val="000000"/>
                <w:spacing w:val="-2"/>
                <w:sz w:val="18"/>
                <w:szCs w:val="18"/>
              </w:rPr>
            </w:pPr>
            <w:bookmarkStart w:id="1174" w:name="_Toc67330903"/>
            <w:r w:rsidRPr="003F0164">
              <w:rPr>
                <w:rFonts w:ascii="Calibri" w:eastAsia="Times New Roman" w:hAnsi="Calibri" w:cs="Times New Roman"/>
                <w:b/>
                <w:bCs/>
                <w:sz w:val="18"/>
                <w:szCs w:val="18"/>
                <w:lang w:val="en-US"/>
              </w:rPr>
              <w:t xml:space="preserve">  1,550,344</w:t>
            </w:r>
            <w:bookmarkEnd w:id="1174"/>
          </w:p>
        </w:tc>
        <w:tc>
          <w:tcPr>
            <w:tcW w:w="1230" w:type="dxa"/>
            <w:tcBorders>
              <w:top w:val="single" w:sz="4" w:space="0" w:color="auto"/>
              <w:left w:val="nil"/>
              <w:bottom w:val="single" w:sz="12" w:space="0" w:color="auto"/>
              <w:right w:val="nil"/>
            </w:tcBorders>
            <w:shd w:val="clear" w:color="auto" w:fill="auto"/>
            <w:vAlign w:val="bottom"/>
          </w:tcPr>
          <w:p w14:paraId="1B672C7D" w14:textId="77777777" w:rsidR="003F0164" w:rsidRPr="003F0164" w:rsidRDefault="003F0164" w:rsidP="003F0164">
            <w:pPr>
              <w:tabs>
                <w:tab w:val="right" w:pos="1202"/>
              </w:tabs>
              <w:spacing w:after="0" w:line="240" w:lineRule="auto"/>
              <w:jc w:val="right"/>
              <w:outlineLvl w:val="0"/>
              <w:rPr>
                <w:rFonts w:ascii="Calibri" w:eastAsia="Calibri" w:hAnsi="Calibri" w:cs="Calibri"/>
                <w:b/>
                <w:bCs/>
                <w:color w:val="000000"/>
                <w:spacing w:val="-2"/>
                <w:sz w:val="18"/>
                <w:szCs w:val="18"/>
              </w:rPr>
            </w:pPr>
            <w:bookmarkStart w:id="1175" w:name="_Toc67330904"/>
            <w:r w:rsidRPr="003F0164">
              <w:rPr>
                <w:rFonts w:ascii="Calibri" w:eastAsia="Times New Roman" w:hAnsi="Calibri" w:cs="Times New Roman"/>
                <w:b/>
                <w:bCs/>
                <w:sz w:val="18"/>
                <w:szCs w:val="18"/>
                <w:lang w:val="en-US"/>
              </w:rPr>
              <w:t xml:space="preserve"> 2,176 </w:t>
            </w:r>
            <w:bookmarkEnd w:id="1175"/>
          </w:p>
        </w:tc>
      </w:tr>
      <w:tr w:rsidR="003F0164" w:rsidRPr="003F0164" w14:paraId="763CD17D" w14:textId="77777777" w:rsidTr="00E44437">
        <w:trPr>
          <w:trHeight w:val="246"/>
          <w:jc w:val="center"/>
        </w:trPr>
        <w:tc>
          <w:tcPr>
            <w:tcW w:w="5568" w:type="dxa"/>
            <w:shd w:val="clear" w:color="auto" w:fill="auto"/>
            <w:vAlign w:val="bottom"/>
          </w:tcPr>
          <w:p w14:paraId="2300FCED" w14:textId="77777777" w:rsidR="003F0164" w:rsidRPr="003F0164" w:rsidRDefault="003F0164" w:rsidP="003F0164">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3F0164">
              <w:rPr>
                <w:rFonts w:ascii="Calibri" w:eastAsia="Times New Roman" w:hAnsi="Calibri" w:cs="Arial"/>
                <w:b/>
                <w:i/>
                <w:spacing w:val="-2"/>
                <w:sz w:val="19"/>
                <w:szCs w:val="19"/>
                <w:lang w:val="en-US"/>
              </w:rPr>
              <w:t>Unlisted equity instruments:</w:t>
            </w:r>
            <w:r w:rsidRPr="003F0164" w:rsidDel="00D51A81">
              <w:rPr>
                <w:rFonts w:ascii="Calibri" w:eastAsia="Times New Roman" w:hAnsi="Calibri" w:cs="Arial"/>
                <w:b/>
                <w:i/>
                <w:spacing w:val="-2"/>
                <w:sz w:val="19"/>
                <w:szCs w:val="19"/>
                <w:lang w:val="en-US"/>
              </w:rPr>
              <w:t xml:space="preserve"> </w:t>
            </w:r>
          </w:p>
        </w:tc>
        <w:tc>
          <w:tcPr>
            <w:tcW w:w="1228" w:type="dxa"/>
            <w:tcBorders>
              <w:top w:val="single" w:sz="12" w:space="0" w:color="auto"/>
            </w:tcBorders>
            <w:vAlign w:val="bottom"/>
          </w:tcPr>
          <w:p w14:paraId="77F3C226" w14:textId="77777777" w:rsidR="003F0164" w:rsidRPr="003F0164" w:rsidDel="00561A80"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p>
        </w:tc>
        <w:tc>
          <w:tcPr>
            <w:tcW w:w="1229" w:type="dxa"/>
            <w:tcBorders>
              <w:top w:val="single" w:sz="12" w:space="0" w:color="auto"/>
            </w:tcBorders>
            <w:vAlign w:val="bottom"/>
          </w:tcPr>
          <w:p w14:paraId="5D6C1288" w14:textId="77777777" w:rsidR="003F0164" w:rsidRPr="003F0164" w:rsidDel="00561A80"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p>
        </w:tc>
        <w:tc>
          <w:tcPr>
            <w:tcW w:w="1230" w:type="dxa"/>
            <w:tcBorders>
              <w:top w:val="single" w:sz="12" w:space="0" w:color="auto"/>
            </w:tcBorders>
            <w:vAlign w:val="bottom"/>
          </w:tcPr>
          <w:p w14:paraId="160FC672" w14:textId="77777777" w:rsidR="003F0164" w:rsidRPr="003F0164" w:rsidDel="00561A80"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p>
        </w:tc>
      </w:tr>
      <w:tr w:rsidR="003F0164" w:rsidRPr="003F0164" w14:paraId="05F3CE13" w14:textId="77777777" w:rsidTr="00E44437">
        <w:trPr>
          <w:trHeight w:val="246"/>
          <w:jc w:val="center"/>
        </w:trPr>
        <w:tc>
          <w:tcPr>
            <w:tcW w:w="5568" w:type="dxa"/>
            <w:shd w:val="clear" w:color="auto" w:fill="auto"/>
            <w:vAlign w:val="bottom"/>
          </w:tcPr>
          <w:p w14:paraId="163D8C98" w14:textId="77777777" w:rsidR="003F0164" w:rsidRPr="003F0164" w:rsidRDefault="003F0164" w:rsidP="003F0164">
            <w:pPr>
              <w:tabs>
                <w:tab w:val="right" w:pos="1202"/>
              </w:tabs>
              <w:spacing w:after="0" w:line="240" w:lineRule="auto"/>
              <w:outlineLvl w:val="0"/>
              <w:rPr>
                <w:rFonts w:ascii="Calibri" w:eastAsia="Times New Roman" w:hAnsi="Calibri" w:cs="Arial"/>
                <w:sz w:val="19"/>
                <w:szCs w:val="19"/>
                <w:highlight w:val="yellow"/>
                <w:lang w:val="en-US"/>
              </w:rPr>
            </w:pPr>
            <w:r w:rsidRPr="003F0164">
              <w:rPr>
                <w:rFonts w:ascii="Calibri" w:eastAsia="Times New Roman" w:hAnsi="Calibri" w:cs="Arial"/>
                <w:sz w:val="19"/>
                <w:szCs w:val="19"/>
                <w:lang w:val="en-US"/>
              </w:rPr>
              <w:t xml:space="preserve">Investment in shares of foreign legal entities </w:t>
            </w:r>
          </w:p>
        </w:tc>
        <w:tc>
          <w:tcPr>
            <w:tcW w:w="1228" w:type="dxa"/>
            <w:tcBorders>
              <w:top w:val="nil"/>
              <w:left w:val="nil"/>
              <w:bottom w:val="nil"/>
              <w:right w:val="nil"/>
            </w:tcBorders>
            <w:shd w:val="clear" w:color="auto" w:fill="auto"/>
            <w:vAlign w:val="bottom"/>
          </w:tcPr>
          <w:p w14:paraId="52475126"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bookmarkStart w:id="1176" w:name="_Toc67330907"/>
            <w:r w:rsidRPr="003F0164">
              <w:rPr>
                <w:rFonts w:ascii="Calibri" w:eastAsia="Times New Roman" w:hAnsi="Calibri" w:cs="Times New Roman"/>
                <w:sz w:val="18"/>
                <w:szCs w:val="18"/>
                <w:lang w:val="en-US"/>
              </w:rPr>
              <w:t xml:space="preserve"> - </w:t>
            </w:r>
            <w:bookmarkEnd w:id="1176"/>
          </w:p>
        </w:tc>
        <w:tc>
          <w:tcPr>
            <w:tcW w:w="1229" w:type="dxa"/>
            <w:tcBorders>
              <w:top w:val="nil"/>
              <w:left w:val="nil"/>
              <w:bottom w:val="nil"/>
              <w:right w:val="nil"/>
            </w:tcBorders>
            <w:shd w:val="clear" w:color="auto" w:fill="auto"/>
            <w:vAlign w:val="bottom"/>
          </w:tcPr>
          <w:p w14:paraId="150105E9"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bookmarkStart w:id="1177" w:name="_Toc67330908"/>
            <w:r w:rsidRPr="003F0164">
              <w:rPr>
                <w:rFonts w:ascii="Calibri" w:eastAsia="Times New Roman" w:hAnsi="Calibri" w:cs="Times New Roman"/>
                <w:sz w:val="18"/>
                <w:szCs w:val="18"/>
                <w:lang w:val="en-US"/>
              </w:rPr>
              <w:t xml:space="preserve"> 45 </w:t>
            </w:r>
            <w:bookmarkEnd w:id="1177"/>
          </w:p>
        </w:tc>
        <w:tc>
          <w:tcPr>
            <w:tcW w:w="1230" w:type="dxa"/>
            <w:tcBorders>
              <w:top w:val="nil"/>
              <w:left w:val="nil"/>
              <w:bottom w:val="nil"/>
              <w:right w:val="nil"/>
            </w:tcBorders>
            <w:shd w:val="clear" w:color="auto" w:fill="auto"/>
            <w:vAlign w:val="bottom"/>
          </w:tcPr>
          <w:p w14:paraId="634C6CB9"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bookmarkStart w:id="1178" w:name="_Toc67330909"/>
            <w:r w:rsidRPr="003F0164">
              <w:rPr>
                <w:rFonts w:ascii="Calibri" w:eastAsia="Times New Roman" w:hAnsi="Calibri" w:cs="Times New Roman"/>
                <w:sz w:val="18"/>
                <w:szCs w:val="18"/>
                <w:lang w:val="en-US"/>
              </w:rPr>
              <w:t xml:space="preserve"> - </w:t>
            </w:r>
            <w:bookmarkEnd w:id="1178"/>
          </w:p>
        </w:tc>
      </w:tr>
      <w:tr w:rsidR="003F0164" w:rsidRPr="003F0164" w14:paraId="05160D7C" w14:textId="77777777" w:rsidTr="00E44437">
        <w:trPr>
          <w:trHeight w:val="246"/>
          <w:jc w:val="center"/>
        </w:trPr>
        <w:tc>
          <w:tcPr>
            <w:tcW w:w="5568" w:type="dxa"/>
            <w:shd w:val="clear" w:color="auto" w:fill="auto"/>
            <w:vAlign w:val="bottom"/>
          </w:tcPr>
          <w:p w14:paraId="753572B6" w14:textId="77777777" w:rsidR="003F0164" w:rsidRPr="003F0164" w:rsidRDefault="003F0164" w:rsidP="003F0164">
            <w:pPr>
              <w:tabs>
                <w:tab w:val="right" w:pos="1202"/>
              </w:tabs>
              <w:spacing w:after="0" w:line="240" w:lineRule="auto"/>
              <w:outlineLvl w:val="0"/>
              <w:rPr>
                <w:rFonts w:ascii="Calibri" w:eastAsia="Times New Roman" w:hAnsi="Calibri" w:cs="Arial"/>
                <w:sz w:val="19"/>
                <w:szCs w:val="19"/>
                <w:highlight w:val="yellow"/>
                <w:lang w:val="en-US"/>
              </w:rPr>
            </w:pPr>
            <w:r w:rsidRPr="003F0164">
              <w:rPr>
                <w:rFonts w:ascii="Calibri" w:eastAsia="Times New Roman" w:hAnsi="Calibri" w:cs="Arial"/>
                <w:sz w:val="19"/>
                <w:szCs w:val="19"/>
                <w:lang w:val="en-US"/>
              </w:rPr>
              <w:t>Shares of foreign financial institutions – EIF</w:t>
            </w:r>
          </w:p>
        </w:tc>
        <w:tc>
          <w:tcPr>
            <w:tcW w:w="1228" w:type="dxa"/>
            <w:tcBorders>
              <w:top w:val="nil"/>
              <w:left w:val="nil"/>
              <w:bottom w:val="nil"/>
              <w:right w:val="nil"/>
            </w:tcBorders>
            <w:shd w:val="clear" w:color="auto" w:fill="auto"/>
            <w:vAlign w:val="bottom"/>
          </w:tcPr>
          <w:p w14:paraId="1E7E98B8"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bookmarkStart w:id="1179" w:name="_Toc67330911"/>
            <w:r w:rsidRPr="003F0164">
              <w:rPr>
                <w:rFonts w:ascii="Calibri" w:eastAsia="Times New Roman" w:hAnsi="Calibri" w:cs="Times New Roman"/>
                <w:sz w:val="18"/>
                <w:szCs w:val="18"/>
                <w:lang w:val="en-US"/>
              </w:rPr>
              <w:t xml:space="preserve"> - </w:t>
            </w:r>
            <w:bookmarkEnd w:id="1179"/>
          </w:p>
        </w:tc>
        <w:tc>
          <w:tcPr>
            <w:tcW w:w="1229" w:type="dxa"/>
            <w:tcBorders>
              <w:top w:val="nil"/>
              <w:left w:val="nil"/>
              <w:bottom w:val="nil"/>
              <w:right w:val="nil"/>
            </w:tcBorders>
            <w:shd w:val="clear" w:color="auto" w:fill="auto"/>
            <w:vAlign w:val="bottom"/>
          </w:tcPr>
          <w:p w14:paraId="79B59432"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bookmarkStart w:id="1180" w:name="_Toc67330912"/>
            <w:r w:rsidRPr="003F0164">
              <w:rPr>
                <w:rFonts w:ascii="Calibri" w:eastAsia="Times New Roman" w:hAnsi="Calibri" w:cs="Times New Roman"/>
                <w:sz w:val="18"/>
                <w:szCs w:val="18"/>
                <w:lang w:val="en-US"/>
              </w:rPr>
              <w:t xml:space="preserve"> 42,971 </w:t>
            </w:r>
            <w:bookmarkEnd w:id="1180"/>
          </w:p>
        </w:tc>
        <w:tc>
          <w:tcPr>
            <w:tcW w:w="1230" w:type="dxa"/>
            <w:tcBorders>
              <w:top w:val="nil"/>
              <w:left w:val="nil"/>
              <w:bottom w:val="nil"/>
              <w:right w:val="nil"/>
            </w:tcBorders>
            <w:shd w:val="clear" w:color="auto" w:fill="auto"/>
            <w:vAlign w:val="bottom"/>
          </w:tcPr>
          <w:p w14:paraId="46033BB3" w14:textId="77777777" w:rsidR="003F0164" w:rsidRPr="003F0164" w:rsidRDefault="003F0164" w:rsidP="003F0164">
            <w:pPr>
              <w:tabs>
                <w:tab w:val="right" w:pos="1202"/>
              </w:tabs>
              <w:spacing w:after="0" w:line="240" w:lineRule="auto"/>
              <w:jc w:val="right"/>
              <w:outlineLvl w:val="0"/>
              <w:rPr>
                <w:rFonts w:ascii="Calibri" w:eastAsia="Calibri" w:hAnsi="Calibri" w:cs="Calibri"/>
                <w:color w:val="000000"/>
                <w:spacing w:val="-2"/>
                <w:sz w:val="18"/>
                <w:szCs w:val="18"/>
              </w:rPr>
            </w:pPr>
            <w:bookmarkStart w:id="1181" w:name="_Toc67330913"/>
            <w:r w:rsidRPr="003F0164">
              <w:rPr>
                <w:rFonts w:ascii="Calibri" w:eastAsia="Times New Roman" w:hAnsi="Calibri" w:cs="Times New Roman"/>
                <w:sz w:val="18"/>
                <w:szCs w:val="18"/>
                <w:lang w:val="en-US"/>
              </w:rPr>
              <w:t xml:space="preserve"> - </w:t>
            </w:r>
            <w:bookmarkEnd w:id="1181"/>
          </w:p>
        </w:tc>
      </w:tr>
      <w:tr w:rsidR="003F0164" w:rsidRPr="003F0164" w14:paraId="517C9B7E" w14:textId="77777777" w:rsidTr="00E44437">
        <w:trPr>
          <w:trHeight w:val="246"/>
          <w:jc w:val="center"/>
        </w:trPr>
        <w:tc>
          <w:tcPr>
            <w:tcW w:w="5568" w:type="dxa"/>
            <w:shd w:val="clear" w:color="auto" w:fill="auto"/>
            <w:vAlign w:val="bottom"/>
          </w:tcPr>
          <w:p w14:paraId="3A0FFE27" w14:textId="77777777" w:rsidR="003F0164" w:rsidRPr="003F0164" w:rsidRDefault="003F0164" w:rsidP="003F0164">
            <w:pPr>
              <w:tabs>
                <w:tab w:val="right" w:pos="1202"/>
              </w:tabs>
              <w:spacing w:after="0" w:line="240" w:lineRule="auto"/>
              <w:outlineLvl w:val="0"/>
              <w:rPr>
                <w:rFonts w:ascii="Calibri" w:eastAsia="Times New Roman" w:hAnsi="Calibri" w:cs="Arial"/>
                <w:b/>
                <w:sz w:val="19"/>
                <w:szCs w:val="19"/>
                <w:highlight w:val="yellow"/>
                <w:lang w:val="en-US"/>
              </w:rPr>
            </w:pPr>
            <w:r w:rsidRPr="003F0164">
              <w:rPr>
                <w:rFonts w:ascii="Calibri" w:eastAsia="Times New Roman" w:hAnsi="Calibri" w:cs="Arial"/>
                <w:b/>
                <w:sz w:val="19"/>
                <w:szCs w:val="19"/>
                <w:lang w:val="en-US"/>
              </w:rPr>
              <w:t>Total equity instruments</w:t>
            </w:r>
          </w:p>
        </w:tc>
        <w:tc>
          <w:tcPr>
            <w:tcW w:w="1228" w:type="dxa"/>
            <w:tcBorders>
              <w:top w:val="single" w:sz="4" w:space="0" w:color="auto"/>
              <w:left w:val="nil"/>
              <w:bottom w:val="single" w:sz="8" w:space="0" w:color="auto"/>
              <w:right w:val="nil"/>
            </w:tcBorders>
            <w:shd w:val="clear" w:color="auto" w:fill="auto"/>
            <w:vAlign w:val="bottom"/>
          </w:tcPr>
          <w:p w14:paraId="1295E92D" w14:textId="77777777" w:rsidR="003F0164" w:rsidRPr="003F0164" w:rsidRDefault="003F0164" w:rsidP="003F0164">
            <w:pPr>
              <w:tabs>
                <w:tab w:val="right" w:pos="1202"/>
              </w:tabs>
              <w:spacing w:after="0" w:line="240" w:lineRule="auto"/>
              <w:jc w:val="right"/>
              <w:outlineLvl w:val="0"/>
              <w:rPr>
                <w:rFonts w:ascii="Calibri" w:eastAsia="Calibri" w:hAnsi="Calibri" w:cs="Calibri"/>
                <w:b/>
                <w:bCs/>
                <w:color w:val="000000"/>
                <w:spacing w:val="-2"/>
                <w:sz w:val="18"/>
                <w:szCs w:val="18"/>
              </w:rPr>
            </w:pPr>
            <w:bookmarkStart w:id="1182" w:name="_Toc67330915"/>
            <w:r w:rsidRPr="003F0164">
              <w:rPr>
                <w:rFonts w:ascii="Calibri" w:eastAsia="Times New Roman" w:hAnsi="Calibri" w:cs="Times New Roman"/>
                <w:b/>
                <w:bCs/>
                <w:sz w:val="18"/>
                <w:szCs w:val="18"/>
                <w:lang w:val="en-US"/>
              </w:rPr>
              <w:t xml:space="preserve"> - </w:t>
            </w:r>
            <w:bookmarkEnd w:id="1182"/>
          </w:p>
        </w:tc>
        <w:tc>
          <w:tcPr>
            <w:tcW w:w="1229" w:type="dxa"/>
            <w:tcBorders>
              <w:top w:val="single" w:sz="4" w:space="0" w:color="auto"/>
              <w:left w:val="nil"/>
              <w:bottom w:val="single" w:sz="8" w:space="0" w:color="auto"/>
              <w:right w:val="nil"/>
            </w:tcBorders>
            <w:shd w:val="clear" w:color="auto" w:fill="auto"/>
            <w:vAlign w:val="bottom"/>
          </w:tcPr>
          <w:p w14:paraId="1C1F1002" w14:textId="77777777" w:rsidR="003F0164" w:rsidRPr="003F0164" w:rsidRDefault="003F0164" w:rsidP="003F0164">
            <w:pPr>
              <w:tabs>
                <w:tab w:val="right" w:pos="1202"/>
              </w:tabs>
              <w:spacing w:after="0" w:line="240" w:lineRule="auto"/>
              <w:jc w:val="right"/>
              <w:outlineLvl w:val="0"/>
              <w:rPr>
                <w:rFonts w:ascii="Calibri" w:eastAsia="Calibri" w:hAnsi="Calibri" w:cs="Calibri"/>
                <w:b/>
                <w:bCs/>
                <w:color w:val="000000"/>
                <w:spacing w:val="-2"/>
                <w:sz w:val="18"/>
                <w:szCs w:val="18"/>
              </w:rPr>
            </w:pPr>
            <w:bookmarkStart w:id="1183" w:name="_Toc67330916"/>
            <w:r w:rsidRPr="003F0164">
              <w:rPr>
                <w:rFonts w:ascii="Calibri" w:eastAsia="Times New Roman" w:hAnsi="Calibri" w:cs="Times New Roman"/>
                <w:b/>
                <w:bCs/>
                <w:sz w:val="18"/>
                <w:szCs w:val="18"/>
                <w:lang w:val="en-US"/>
              </w:rPr>
              <w:t xml:space="preserve"> 43,016 </w:t>
            </w:r>
            <w:bookmarkEnd w:id="1183"/>
          </w:p>
        </w:tc>
        <w:tc>
          <w:tcPr>
            <w:tcW w:w="1230" w:type="dxa"/>
            <w:tcBorders>
              <w:top w:val="single" w:sz="4" w:space="0" w:color="auto"/>
              <w:left w:val="nil"/>
              <w:bottom w:val="single" w:sz="8" w:space="0" w:color="auto"/>
              <w:right w:val="nil"/>
            </w:tcBorders>
            <w:shd w:val="clear" w:color="auto" w:fill="auto"/>
            <w:vAlign w:val="bottom"/>
          </w:tcPr>
          <w:p w14:paraId="6EB5DA17" w14:textId="77777777" w:rsidR="003F0164" w:rsidRPr="003F0164" w:rsidRDefault="003F0164" w:rsidP="003F0164">
            <w:pPr>
              <w:tabs>
                <w:tab w:val="right" w:pos="1202"/>
              </w:tabs>
              <w:spacing w:after="0" w:line="240" w:lineRule="auto"/>
              <w:jc w:val="right"/>
              <w:outlineLvl w:val="0"/>
              <w:rPr>
                <w:rFonts w:ascii="Calibri" w:eastAsia="Calibri" w:hAnsi="Calibri" w:cs="Calibri"/>
                <w:b/>
                <w:bCs/>
                <w:color w:val="000000"/>
                <w:spacing w:val="-2"/>
                <w:sz w:val="18"/>
                <w:szCs w:val="18"/>
              </w:rPr>
            </w:pPr>
            <w:bookmarkStart w:id="1184" w:name="_Toc67330917"/>
            <w:r w:rsidRPr="003F0164">
              <w:rPr>
                <w:rFonts w:ascii="Calibri" w:eastAsia="Times New Roman" w:hAnsi="Calibri" w:cs="Times New Roman"/>
                <w:b/>
                <w:bCs/>
                <w:sz w:val="18"/>
                <w:szCs w:val="18"/>
                <w:lang w:val="en-US"/>
              </w:rPr>
              <w:t xml:space="preserve"> - </w:t>
            </w:r>
            <w:bookmarkEnd w:id="1184"/>
          </w:p>
        </w:tc>
      </w:tr>
      <w:tr w:rsidR="003F0164" w:rsidRPr="003F0164" w14:paraId="53B76073" w14:textId="77777777" w:rsidTr="00E44437">
        <w:trPr>
          <w:trHeight w:hRule="exact" w:val="475"/>
          <w:jc w:val="center"/>
        </w:trPr>
        <w:tc>
          <w:tcPr>
            <w:tcW w:w="5568" w:type="dxa"/>
            <w:shd w:val="clear" w:color="auto" w:fill="auto"/>
            <w:vAlign w:val="bottom"/>
          </w:tcPr>
          <w:p w14:paraId="3466036C" w14:textId="77777777" w:rsidR="003F0164" w:rsidRPr="003F0164" w:rsidRDefault="003F0164" w:rsidP="003F0164">
            <w:pPr>
              <w:tabs>
                <w:tab w:val="right" w:pos="1202"/>
              </w:tabs>
              <w:spacing w:after="0" w:line="240" w:lineRule="auto"/>
              <w:outlineLvl w:val="0"/>
              <w:rPr>
                <w:rFonts w:ascii="Calibri" w:eastAsia="Times New Roman" w:hAnsi="Calibri" w:cs="Arial"/>
                <w:b/>
                <w:sz w:val="19"/>
                <w:szCs w:val="19"/>
                <w:highlight w:val="yellow"/>
                <w:lang w:val="en-US"/>
              </w:rPr>
            </w:pPr>
            <w:r w:rsidRPr="003F0164">
              <w:rPr>
                <w:rFonts w:ascii="Calibri" w:eastAsia="Times New Roman" w:hAnsi="Calibri" w:cs="Arial"/>
                <w:b/>
                <w:sz w:val="19"/>
                <w:szCs w:val="19"/>
                <w:lang w:val="en-US"/>
              </w:rPr>
              <w:t>Total financial assets at fair value through other comprehensive income</w:t>
            </w:r>
          </w:p>
        </w:tc>
        <w:tc>
          <w:tcPr>
            <w:tcW w:w="1228" w:type="dxa"/>
            <w:tcBorders>
              <w:top w:val="single" w:sz="12" w:space="0" w:color="auto"/>
              <w:left w:val="nil"/>
              <w:bottom w:val="single" w:sz="12" w:space="0" w:color="auto"/>
              <w:right w:val="nil"/>
            </w:tcBorders>
            <w:shd w:val="clear" w:color="auto" w:fill="auto"/>
            <w:vAlign w:val="bottom"/>
          </w:tcPr>
          <w:p w14:paraId="489E071F" w14:textId="77777777" w:rsidR="003F0164" w:rsidRPr="003F0164" w:rsidRDefault="003F0164" w:rsidP="003F0164">
            <w:pPr>
              <w:tabs>
                <w:tab w:val="right" w:pos="1202"/>
              </w:tabs>
              <w:spacing w:after="0" w:line="240" w:lineRule="auto"/>
              <w:jc w:val="right"/>
              <w:outlineLvl w:val="0"/>
              <w:rPr>
                <w:rFonts w:ascii="Calibri" w:eastAsia="Calibri" w:hAnsi="Calibri" w:cs="Calibri"/>
                <w:b/>
                <w:bCs/>
                <w:color w:val="000000"/>
                <w:spacing w:val="-2"/>
                <w:sz w:val="18"/>
                <w:szCs w:val="18"/>
              </w:rPr>
            </w:pPr>
            <w:bookmarkStart w:id="1185" w:name="_Toc67330919"/>
            <w:r w:rsidRPr="003F0164">
              <w:rPr>
                <w:rFonts w:ascii="Calibri" w:eastAsia="Times New Roman" w:hAnsi="Calibri" w:cs="Times New Roman"/>
                <w:b/>
                <w:bCs/>
                <w:sz w:val="18"/>
                <w:szCs w:val="18"/>
                <w:lang w:val="en-US"/>
              </w:rPr>
              <w:t xml:space="preserve"> 1,376,994 </w:t>
            </w:r>
            <w:bookmarkEnd w:id="1185"/>
          </w:p>
        </w:tc>
        <w:tc>
          <w:tcPr>
            <w:tcW w:w="1229" w:type="dxa"/>
            <w:tcBorders>
              <w:top w:val="single" w:sz="12" w:space="0" w:color="auto"/>
              <w:left w:val="nil"/>
              <w:bottom w:val="single" w:sz="12" w:space="0" w:color="auto"/>
              <w:right w:val="nil"/>
            </w:tcBorders>
            <w:shd w:val="clear" w:color="auto" w:fill="auto"/>
            <w:vAlign w:val="bottom"/>
          </w:tcPr>
          <w:p w14:paraId="718415A3" w14:textId="77777777" w:rsidR="003F0164" w:rsidRPr="003F0164" w:rsidRDefault="003F0164" w:rsidP="003F0164">
            <w:pPr>
              <w:tabs>
                <w:tab w:val="right" w:pos="1202"/>
              </w:tabs>
              <w:spacing w:after="0" w:line="240" w:lineRule="auto"/>
              <w:jc w:val="right"/>
              <w:outlineLvl w:val="0"/>
              <w:rPr>
                <w:rFonts w:ascii="Calibri" w:eastAsia="Calibri" w:hAnsi="Calibri" w:cs="Calibri"/>
                <w:b/>
                <w:bCs/>
                <w:color w:val="000000"/>
                <w:spacing w:val="-2"/>
                <w:sz w:val="18"/>
                <w:szCs w:val="18"/>
              </w:rPr>
            </w:pPr>
            <w:bookmarkStart w:id="1186" w:name="_Toc67330920"/>
            <w:r w:rsidRPr="003F0164">
              <w:rPr>
                <w:rFonts w:ascii="Calibri" w:eastAsia="Times New Roman" w:hAnsi="Calibri" w:cs="Times New Roman"/>
                <w:b/>
                <w:bCs/>
                <w:sz w:val="18"/>
                <w:szCs w:val="18"/>
                <w:lang w:val="en-US"/>
              </w:rPr>
              <w:t xml:space="preserve"> 1,593,360 </w:t>
            </w:r>
            <w:bookmarkEnd w:id="1186"/>
          </w:p>
        </w:tc>
        <w:tc>
          <w:tcPr>
            <w:tcW w:w="1230" w:type="dxa"/>
            <w:tcBorders>
              <w:top w:val="single" w:sz="12" w:space="0" w:color="auto"/>
              <w:left w:val="nil"/>
              <w:bottom w:val="single" w:sz="12" w:space="0" w:color="auto"/>
              <w:right w:val="nil"/>
            </w:tcBorders>
            <w:shd w:val="clear" w:color="auto" w:fill="auto"/>
            <w:vAlign w:val="bottom"/>
          </w:tcPr>
          <w:p w14:paraId="733F0533" w14:textId="77777777" w:rsidR="003F0164" w:rsidRPr="003F0164" w:rsidRDefault="003F0164" w:rsidP="003F0164">
            <w:pPr>
              <w:tabs>
                <w:tab w:val="right" w:pos="1202"/>
              </w:tabs>
              <w:spacing w:after="0" w:line="240" w:lineRule="auto"/>
              <w:jc w:val="right"/>
              <w:outlineLvl w:val="0"/>
              <w:rPr>
                <w:rFonts w:ascii="Calibri" w:eastAsia="Calibri" w:hAnsi="Calibri" w:cs="Calibri"/>
                <w:b/>
                <w:bCs/>
                <w:color w:val="000000"/>
                <w:spacing w:val="-2"/>
                <w:sz w:val="18"/>
                <w:szCs w:val="18"/>
              </w:rPr>
            </w:pPr>
            <w:bookmarkStart w:id="1187" w:name="_Toc67330921"/>
            <w:r w:rsidRPr="003F0164">
              <w:rPr>
                <w:rFonts w:ascii="Calibri" w:eastAsia="Times New Roman" w:hAnsi="Calibri" w:cs="Times New Roman"/>
                <w:b/>
                <w:bCs/>
                <w:sz w:val="18"/>
                <w:szCs w:val="18"/>
                <w:lang w:val="en-US"/>
              </w:rPr>
              <w:t xml:space="preserve"> 2,176 </w:t>
            </w:r>
            <w:bookmarkEnd w:id="1187"/>
          </w:p>
        </w:tc>
      </w:tr>
    </w:tbl>
    <w:p w14:paraId="5A571343" w14:textId="77777777" w:rsidR="008C0661" w:rsidRPr="00537128" w:rsidRDefault="008C0661" w:rsidP="008C0661">
      <w:pPr>
        <w:spacing w:after="0" w:line="240" w:lineRule="auto"/>
        <w:jc w:val="both"/>
        <w:rPr>
          <w:rFonts w:ascii="Calibri" w:eastAsia="Calibri" w:hAnsi="Calibri" w:cs="Arial"/>
          <w:bCs/>
          <w:lang w:val="en-US"/>
        </w:rPr>
      </w:pPr>
    </w:p>
    <w:p w14:paraId="598AC64F" w14:textId="77777777" w:rsidR="008513EE" w:rsidRPr="00537128" w:rsidRDefault="008513EE" w:rsidP="008C0661">
      <w:pPr>
        <w:spacing w:after="0" w:line="240" w:lineRule="auto"/>
        <w:jc w:val="both"/>
        <w:rPr>
          <w:rFonts w:ascii="Calibri" w:eastAsia="Calibri" w:hAnsi="Calibri" w:cs="Arial"/>
          <w:bCs/>
          <w:lang w:val="en-US"/>
        </w:rPr>
      </w:pPr>
    </w:p>
    <w:p w14:paraId="3BE69DCA" w14:textId="77777777" w:rsidR="008C0661" w:rsidRPr="00537128" w:rsidRDefault="008C0661" w:rsidP="008C0661">
      <w:pPr>
        <w:spacing w:after="0" w:line="240" w:lineRule="auto"/>
        <w:jc w:val="both"/>
        <w:rPr>
          <w:rFonts w:ascii="Calibri" w:eastAsia="Calibri" w:hAnsi="Calibri" w:cs="Arial"/>
          <w:bCs/>
          <w:lang w:val="en-US"/>
        </w:rPr>
        <w:sectPr w:rsidR="008C0661" w:rsidRPr="00537128" w:rsidSect="00712478">
          <w:pgSz w:w="11906" w:h="16838"/>
          <w:pgMar w:top="1418" w:right="1134" w:bottom="1418" w:left="1418" w:header="709" w:footer="709" w:gutter="0"/>
          <w:cols w:space="708"/>
          <w:docGrid w:linePitch="360"/>
        </w:sectPr>
      </w:pPr>
    </w:p>
    <w:p w14:paraId="1940271A" w14:textId="77777777" w:rsidR="008C0661" w:rsidRPr="00537128" w:rsidRDefault="008C0661" w:rsidP="008C0661">
      <w:pPr>
        <w:spacing w:after="0" w:line="240" w:lineRule="auto"/>
        <w:jc w:val="both"/>
        <w:rPr>
          <w:rFonts w:eastAsia="Times New Roman" w:cstheme="minorHAnsi"/>
          <w:bCs/>
          <w:iCs/>
          <w:color w:val="000000" w:themeColor="text1"/>
          <w:lang w:val="en-US"/>
        </w:rPr>
      </w:pPr>
      <w:bookmarkStart w:id="1188" w:name="_Hlk37095895"/>
      <w:bookmarkStart w:id="1189" w:name="_Hlk37095835"/>
    </w:p>
    <w:p w14:paraId="4D28C651" w14:textId="77777777" w:rsidR="008C0661" w:rsidRPr="00537128" w:rsidRDefault="008C0661">
      <w:pPr>
        <w:pStyle w:val="ListParagraph"/>
        <w:numPr>
          <w:ilvl w:val="0"/>
          <w:numId w:val="65"/>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 xml:space="preserve">Fair value of financial assets and financial liabilities </w:t>
      </w:r>
      <w:r w:rsidRPr="00537128">
        <w:rPr>
          <w:rFonts w:ascii="Calibri" w:eastAsia="Calibri" w:hAnsi="Calibri" w:cs="Arial"/>
          <w:b/>
          <w:bCs/>
          <w:spacing w:val="-3"/>
          <w:lang w:val="en-US"/>
        </w:rPr>
        <w:t>(continued)</w:t>
      </w:r>
    </w:p>
    <w:p w14:paraId="304D0245" w14:textId="77777777" w:rsidR="008C0661" w:rsidRPr="00537128" w:rsidRDefault="008C0661" w:rsidP="008C0661">
      <w:pPr>
        <w:spacing w:after="0" w:line="240" w:lineRule="auto"/>
        <w:jc w:val="both"/>
        <w:rPr>
          <w:rFonts w:ascii="Calibri" w:eastAsia="Calibri" w:hAnsi="Calibri" w:cs="Arial"/>
          <w:bCs/>
          <w:lang w:val="en-US"/>
        </w:rPr>
      </w:pPr>
    </w:p>
    <w:p w14:paraId="155CD9AD" w14:textId="20F91796" w:rsidR="008C0661" w:rsidRPr="00537128" w:rsidRDefault="003E09B3" w:rsidP="008C0661">
      <w:pPr>
        <w:spacing w:after="0" w:line="240" w:lineRule="auto"/>
        <w:jc w:val="both"/>
        <w:rPr>
          <w:rFonts w:ascii="Calibri" w:eastAsia="Calibri" w:hAnsi="Calibri" w:cs="Arial"/>
          <w:b/>
          <w:bCs/>
          <w:spacing w:val="-3"/>
          <w:lang w:val="en-US"/>
        </w:rPr>
      </w:pPr>
      <w:r w:rsidRPr="00537128">
        <w:rPr>
          <w:rFonts w:ascii="Calibri" w:eastAsia="Calibri" w:hAnsi="Calibri" w:cs="Arial"/>
          <w:b/>
          <w:bCs/>
          <w:spacing w:val="-3"/>
          <w:lang w:val="en-US"/>
        </w:rPr>
        <w:t>2</w:t>
      </w:r>
      <w:r>
        <w:rPr>
          <w:rFonts w:ascii="Calibri" w:eastAsia="Calibri" w:hAnsi="Calibri" w:cs="Arial"/>
          <w:b/>
          <w:bCs/>
          <w:spacing w:val="-3"/>
          <w:lang w:val="en-US"/>
        </w:rPr>
        <w:t>4</w:t>
      </w:r>
      <w:r w:rsidR="008C0661" w:rsidRPr="00537128">
        <w:rPr>
          <w:rFonts w:ascii="Calibri" w:eastAsia="Calibri" w:hAnsi="Calibri" w:cs="Arial"/>
          <w:b/>
          <w:bCs/>
          <w:spacing w:val="-3"/>
          <w:lang w:val="en-US"/>
        </w:rPr>
        <w:t xml:space="preserve">.1. </w:t>
      </w:r>
      <w:r w:rsidR="008C0661" w:rsidRPr="00537128">
        <w:rPr>
          <w:rFonts w:ascii="Calibri" w:eastAsia="Calibri" w:hAnsi="Calibri" w:cs="Arial"/>
          <w:b/>
          <w:bCs/>
          <w:spacing w:val="-3"/>
          <w:lang w:val="en-US"/>
        </w:rPr>
        <w:tab/>
        <w:t>Fair value of financial assets and financial liabilities initially recognized and measured at fair value (continued)</w:t>
      </w:r>
    </w:p>
    <w:p w14:paraId="261775B3" w14:textId="77777777" w:rsidR="008C0661" w:rsidRPr="00537128" w:rsidRDefault="008C0661" w:rsidP="008C0661">
      <w:pPr>
        <w:spacing w:after="0" w:line="240" w:lineRule="auto"/>
        <w:jc w:val="both"/>
        <w:rPr>
          <w:rFonts w:ascii="Calibri" w:eastAsia="Calibri" w:hAnsi="Calibri" w:cs="Arial"/>
          <w:bCs/>
          <w:lang w:val="en-US"/>
        </w:rPr>
      </w:pPr>
    </w:p>
    <w:tbl>
      <w:tblPr>
        <w:tblW w:w="9384" w:type="dxa"/>
        <w:jc w:val="center"/>
        <w:tblLayout w:type="fixed"/>
        <w:tblCellMar>
          <w:left w:w="122" w:type="dxa"/>
          <w:right w:w="122" w:type="dxa"/>
        </w:tblCellMar>
        <w:tblLook w:val="0000" w:firstRow="0" w:lastRow="0" w:firstColumn="0" w:lastColumn="0" w:noHBand="0" w:noVBand="0"/>
      </w:tblPr>
      <w:tblGrid>
        <w:gridCol w:w="5528"/>
        <w:gridCol w:w="1276"/>
        <w:gridCol w:w="1276"/>
        <w:gridCol w:w="1304"/>
      </w:tblGrid>
      <w:tr w:rsidR="00456F9A" w:rsidRPr="00537128" w14:paraId="16EC6140" w14:textId="77777777" w:rsidTr="00456F9A">
        <w:trPr>
          <w:trHeight w:val="311"/>
          <w:jc w:val="center"/>
        </w:trPr>
        <w:tc>
          <w:tcPr>
            <w:tcW w:w="5528" w:type="dxa"/>
            <w:shd w:val="clear" w:color="auto" w:fill="auto"/>
          </w:tcPr>
          <w:p w14:paraId="4014228F"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lang w:val="en-US"/>
              </w:rPr>
            </w:pPr>
            <w:bookmarkStart w:id="1190" w:name="_Toc4063115"/>
            <w:bookmarkEnd w:id="1188"/>
            <w:r w:rsidRPr="00537128">
              <w:rPr>
                <w:rFonts w:ascii="Calibri" w:eastAsia="Times New Roman" w:hAnsi="Calibri" w:cs="Arial"/>
                <w:b/>
                <w:sz w:val="19"/>
                <w:szCs w:val="19"/>
                <w:lang w:val="en-US"/>
              </w:rPr>
              <w:t>Bank</w:t>
            </w:r>
            <w:bookmarkEnd w:id="1190"/>
          </w:p>
        </w:tc>
        <w:tc>
          <w:tcPr>
            <w:tcW w:w="3856" w:type="dxa"/>
            <w:gridSpan w:val="3"/>
            <w:vAlign w:val="bottom"/>
          </w:tcPr>
          <w:p w14:paraId="5F7E9A25" w14:textId="12902445" w:rsidR="00456F9A" w:rsidRPr="00537128" w:rsidRDefault="00456F9A" w:rsidP="00456F9A">
            <w:pPr>
              <w:tabs>
                <w:tab w:val="right" w:pos="1202"/>
              </w:tabs>
              <w:spacing w:after="0" w:line="240" w:lineRule="auto"/>
              <w:jc w:val="right"/>
              <w:outlineLvl w:val="0"/>
              <w:rPr>
                <w:rFonts w:ascii="Calibri" w:eastAsia="Times New Roman" w:hAnsi="Calibri" w:cs="Arial"/>
                <w:b/>
                <w:bCs/>
                <w:sz w:val="19"/>
                <w:szCs w:val="19"/>
                <w:lang w:val="en-US"/>
              </w:rPr>
            </w:pPr>
            <w:bookmarkStart w:id="1191" w:name="_Toc4063116"/>
            <w:r w:rsidRPr="00537128">
              <w:rPr>
                <w:rFonts w:ascii="Calibri" w:eastAsia="Times New Roman" w:hAnsi="Calibri" w:cs="Arial"/>
                <w:b/>
                <w:bCs/>
                <w:sz w:val="19"/>
                <w:szCs w:val="19"/>
                <w:lang w:val="en-US"/>
              </w:rPr>
              <w:t>31 March 202</w:t>
            </w:r>
            <w:bookmarkEnd w:id="1191"/>
            <w:r w:rsidR="003F0164">
              <w:rPr>
                <w:rFonts w:ascii="Calibri" w:eastAsia="Times New Roman" w:hAnsi="Calibri" w:cs="Arial"/>
                <w:b/>
                <w:bCs/>
                <w:sz w:val="19"/>
                <w:szCs w:val="19"/>
                <w:lang w:val="en-US"/>
              </w:rPr>
              <w:t>2</w:t>
            </w:r>
          </w:p>
        </w:tc>
      </w:tr>
      <w:tr w:rsidR="00456F9A" w:rsidRPr="00537128" w14:paraId="5E526537" w14:textId="77777777" w:rsidTr="00456F9A">
        <w:trPr>
          <w:trHeight w:val="311"/>
          <w:jc w:val="center"/>
        </w:trPr>
        <w:tc>
          <w:tcPr>
            <w:tcW w:w="5528" w:type="dxa"/>
            <w:shd w:val="clear" w:color="auto" w:fill="auto"/>
            <w:vAlign w:val="bottom"/>
          </w:tcPr>
          <w:p w14:paraId="055B85A2"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p>
        </w:tc>
        <w:tc>
          <w:tcPr>
            <w:tcW w:w="1276" w:type="dxa"/>
            <w:shd w:val="clear" w:color="auto" w:fill="auto"/>
            <w:vAlign w:val="bottom"/>
          </w:tcPr>
          <w:p w14:paraId="23223FDE"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1192" w:name="_Toc4063117"/>
            <w:r w:rsidRPr="00537128">
              <w:rPr>
                <w:rFonts w:ascii="Calibri" w:eastAsia="Times New Roman" w:hAnsi="Calibri" w:cs="Arial"/>
                <w:b/>
                <w:spacing w:val="-2"/>
                <w:sz w:val="19"/>
                <w:szCs w:val="19"/>
                <w:lang w:val="en-US"/>
              </w:rPr>
              <w:t>Level 1</w:t>
            </w:r>
            <w:bookmarkEnd w:id="1192"/>
          </w:p>
        </w:tc>
        <w:tc>
          <w:tcPr>
            <w:tcW w:w="1276" w:type="dxa"/>
            <w:shd w:val="clear" w:color="auto" w:fill="auto"/>
            <w:vAlign w:val="bottom"/>
          </w:tcPr>
          <w:p w14:paraId="73F8DAF9"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1193" w:name="_Toc4063118"/>
            <w:r w:rsidRPr="00537128">
              <w:rPr>
                <w:rFonts w:ascii="Calibri" w:eastAsia="Times New Roman" w:hAnsi="Calibri" w:cs="Arial"/>
                <w:b/>
                <w:spacing w:val="-2"/>
                <w:sz w:val="19"/>
                <w:szCs w:val="19"/>
                <w:lang w:val="en-US"/>
              </w:rPr>
              <w:t>Level 2</w:t>
            </w:r>
            <w:bookmarkEnd w:id="1193"/>
          </w:p>
        </w:tc>
        <w:tc>
          <w:tcPr>
            <w:tcW w:w="1304" w:type="dxa"/>
            <w:shd w:val="clear" w:color="auto" w:fill="auto"/>
            <w:vAlign w:val="bottom"/>
          </w:tcPr>
          <w:p w14:paraId="2CF56C8F"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1194" w:name="_Toc4063119"/>
            <w:r w:rsidRPr="00537128">
              <w:rPr>
                <w:rFonts w:ascii="Calibri" w:eastAsia="Times New Roman" w:hAnsi="Calibri" w:cs="Arial"/>
                <w:b/>
                <w:spacing w:val="-2"/>
                <w:sz w:val="19"/>
                <w:szCs w:val="19"/>
                <w:lang w:val="en-US"/>
              </w:rPr>
              <w:t>Level 3</w:t>
            </w:r>
            <w:bookmarkEnd w:id="1194"/>
          </w:p>
        </w:tc>
      </w:tr>
      <w:tr w:rsidR="00456F9A" w:rsidRPr="00537128" w14:paraId="42D9AD42" w14:textId="77777777" w:rsidTr="00456F9A">
        <w:trPr>
          <w:trHeight w:val="311"/>
          <w:jc w:val="center"/>
        </w:trPr>
        <w:tc>
          <w:tcPr>
            <w:tcW w:w="5528" w:type="dxa"/>
            <w:shd w:val="clear" w:color="auto" w:fill="auto"/>
            <w:vAlign w:val="bottom"/>
          </w:tcPr>
          <w:p w14:paraId="1A01E2D2"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p>
        </w:tc>
        <w:tc>
          <w:tcPr>
            <w:tcW w:w="1276" w:type="dxa"/>
            <w:shd w:val="clear" w:color="auto" w:fill="auto"/>
            <w:vAlign w:val="bottom"/>
          </w:tcPr>
          <w:p w14:paraId="55676515"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1195" w:name="_Toc4063120"/>
            <w:r w:rsidRPr="00537128">
              <w:rPr>
                <w:rFonts w:ascii="Calibri" w:eastAsia="Times New Roman" w:hAnsi="Calibri" w:cs="Arial"/>
                <w:b/>
                <w:spacing w:val="-2"/>
                <w:sz w:val="19"/>
                <w:szCs w:val="19"/>
                <w:lang w:val="en-US"/>
              </w:rPr>
              <w:t>HRK ‘000</w:t>
            </w:r>
            <w:bookmarkEnd w:id="1195"/>
          </w:p>
        </w:tc>
        <w:tc>
          <w:tcPr>
            <w:tcW w:w="1276" w:type="dxa"/>
            <w:shd w:val="clear" w:color="auto" w:fill="auto"/>
            <w:vAlign w:val="bottom"/>
          </w:tcPr>
          <w:p w14:paraId="7A9DCBD0"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1196" w:name="_Toc4063121"/>
            <w:r w:rsidRPr="00537128">
              <w:rPr>
                <w:rFonts w:ascii="Calibri" w:eastAsia="Times New Roman" w:hAnsi="Calibri" w:cs="Arial"/>
                <w:b/>
                <w:spacing w:val="-2"/>
                <w:sz w:val="19"/>
                <w:szCs w:val="19"/>
                <w:lang w:val="en-US"/>
              </w:rPr>
              <w:t>HRK ‘000</w:t>
            </w:r>
            <w:bookmarkEnd w:id="1196"/>
          </w:p>
        </w:tc>
        <w:tc>
          <w:tcPr>
            <w:tcW w:w="1304" w:type="dxa"/>
            <w:shd w:val="clear" w:color="auto" w:fill="auto"/>
            <w:vAlign w:val="bottom"/>
          </w:tcPr>
          <w:p w14:paraId="12A0EE11"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1197" w:name="_Toc4063122"/>
            <w:r w:rsidRPr="00537128">
              <w:rPr>
                <w:rFonts w:ascii="Calibri" w:eastAsia="Times New Roman" w:hAnsi="Calibri" w:cs="Arial"/>
                <w:b/>
                <w:spacing w:val="-2"/>
                <w:sz w:val="19"/>
                <w:szCs w:val="19"/>
                <w:lang w:val="en-US"/>
              </w:rPr>
              <w:t>HRK ‘000</w:t>
            </w:r>
            <w:bookmarkEnd w:id="1197"/>
          </w:p>
        </w:tc>
      </w:tr>
      <w:tr w:rsidR="00456F9A" w:rsidRPr="00537128" w14:paraId="54147F16" w14:textId="77777777" w:rsidTr="00456F9A">
        <w:trPr>
          <w:trHeight w:val="444"/>
          <w:jc w:val="center"/>
        </w:trPr>
        <w:tc>
          <w:tcPr>
            <w:tcW w:w="5528" w:type="dxa"/>
            <w:vAlign w:val="bottom"/>
          </w:tcPr>
          <w:p w14:paraId="33D8A7D3"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highlight w:val="yellow"/>
                <w:lang w:val="en-US"/>
              </w:rPr>
            </w:pPr>
            <w:bookmarkStart w:id="1198" w:name="_Toc4063123"/>
            <w:r w:rsidRPr="00537128">
              <w:rPr>
                <w:rFonts w:ascii="Calibri" w:eastAsia="Times New Roman" w:hAnsi="Calibri" w:cs="Arial"/>
                <w:b/>
                <w:sz w:val="19"/>
                <w:szCs w:val="19"/>
                <w:lang w:val="en-US"/>
              </w:rPr>
              <w:t>Financial assets at fair value through profit or loss:</w:t>
            </w:r>
            <w:bookmarkEnd w:id="1198"/>
          </w:p>
        </w:tc>
        <w:tc>
          <w:tcPr>
            <w:tcW w:w="1276" w:type="dxa"/>
            <w:vAlign w:val="bottom"/>
          </w:tcPr>
          <w:p w14:paraId="19AB243E"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76" w:type="dxa"/>
            <w:vAlign w:val="bottom"/>
          </w:tcPr>
          <w:p w14:paraId="559A2927"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304" w:type="dxa"/>
            <w:vAlign w:val="bottom"/>
          </w:tcPr>
          <w:p w14:paraId="162993B7"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r>
      <w:tr w:rsidR="00456F9A" w:rsidRPr="00537128" w14:paraId="050D60A6" w14:textId="77777777" w:rsidTr="00456F9A">
        <w:trPr>
          <w:trHeight w:val="255"/>
          <w:jc w:val="center"/>
        </w:trPr>
        <w:tc>
          <w:tcPr>
            <w:tcW w:w="5528" w:type="dxa"/>
            <w:vAlign w:val="bottom"/>
          </w:tcPr>
          <w:p w14:paraId="315C6442" w14:textId="77777777" w:rsidR="00456F9A" w:rsidRPr="00537128" w:rsidRDefault="00456F9A" w:rsidP="00456F9A">
            <w:pPr>
              <w:tabs>
                <w:tab w:val="right" w:pos="1202"/>
              </w:tabs>
              <w:spacing w:after="0" w:line="240" w:lineRule="auto"/>
              <w:outlineLvl w:val="0"/>
              <w:rPr>
                <w:rFonts w:ascii="Calibri" w:eastAsia="Times New Roman" w:hAnsi="Calibri" w:cs="Arial"/>
                <w:b/>
                <w:i/>
                <w:sz w:val="19"/>
                <w:szCs w:val="19"/>
                <w:highlight w:val="yellow"/>
                <w:lang w:val="en-US"/>
              </w:rPr>
            </w:pPr>
            <w:bookmarkStart w:id="1199" w:name="_Toc4063124"/>
            <w:r w:rsidRPr="00537128">
              <w:rPr>
                <w:rFonts w:ascii="Calibri" w:eastAsia="Times New Roman" w:hAnsi="Calibri" w:cs="Arial"/>
                <w:b/>
                <w:i/>
                <w:sz w:val="19"/>
                <w:szCs w:val="19"/>
                <w:lang w:val="en-US"/>
              </w:rPr>
              <w:t>Loans at FVPL:</w:t>
            </w:r>
            <w:bookmarkEnd w:id="1199"/>
          </w:p>
        </w:tc>
        <w:tc>
          <w:tcPr>
            <w:tcW w:w="1276" w:type="dxa"/>
            <w:tcBorders>
              <w:top w:val="nil"/>
              <w:left w:val="nil"/>
              <w:right w:val="nil"/>
            </w:tcBorders>
            <w:shd w:val="clear" w:color="auto" w:fill="auto"/>
            <w:vAlign w:val="bottom"/>
          </w:tcPr>
          <w:p w14:paraId="407EF5B8"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276" w:type="dxa"/>
            <w:tcBorders>
              <w:top w:val="nil"/>
              <w:left w:val="nil"/>
              <w:right w:val="nil"/>
            </w:tcBorders>
            <w:shd w:val="clear" w:color="auto" w:fill="auto"/>
            <w:vAlign w:val="bottom"/>
          </w:tcPr>
          <w:p w14:paraId="61A56118"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304" w:type="dxa"/>
            <w:tcBorders>
              <w:top w:val="nil"/>
              <w:left w:val="nil"/>
              <w:right w:val="nil"/>
            </w:tcBorders>
            <w:shd w:val="clear" w:color="auto" w:fill="auto"/>
            <w:vAlign w:val="bottom"/>
          </w:tcPr>
          <w:p w14:paraId="208AB9FA"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r>
      <w:tr w:rsidR="00E96A95" w:rsidRPr="00537128" w14:paraId="73D81C91" w14:textId="77777777" w:rsidTr="00AA042B">
        <w:trPr>
          <w:trHeight w:val="239"/>
          <w:jc w:val="center"/>
        </w:trPr>
        <w:tc>
          <w:tcPr>
            <w:tcW w:w="5528" w:type="dxa"/>
            <w:vAlign w:val="bottom"/>
          </w:tcPr>
          <w:p w14:paraId="6D4175F3" w14:textId="77777777" w:rsidR="00E96A95" w:rsidRPr="00537128" w:rsidRDefault="00E96A95" w:rsidP="00E96A95">
            <w:pPr>
              <w:tabs>
                <w:tab w:val="right" w:pos="1202"/>
              </w:tabs>
              <w:spacing w:after="0" w:line="240" w:lineRule="auto"/>
              <w:outlineLvl w:val="0"/>
              <w:rPr>
                <w:rFonts w:ascii="Calibri" w:eastAsia="Times New Roman" w:hAnsi="Calibri" w:cs="Arial"/>
                <w:sz w:val="19"/>
                <w:szCs w:val="19"/>
                <w:highlight w:val="yellow"/>
                <w:lang w:val="en-US"/>
              </w:rPr>
            </w:pPr>
            <w:bookmarkStart w:id="1200" w:name="_Toc4063125"/>
            <w:r w:rsidRPr="00537128">
              <w:rPr>
                <w:rFonts w:ascii="Calibri" w:eastAsia="Times New Roman" w:hAnsi="Calibri" w:cs="Arial"/>
                <w:sz w:val="19"/>
                <w:szCs w:val="19"/>
                <w:lang w:val="en-US"/>
              </w:rPr>
              <w:t>Mezzanine loans</w:t>
            </w:r>
            <w:bookmarkEnd w:id="1200"/>
          </w:p>
        </w:tc>
        <w:tc>
          <w:tcPr>
            <w:tcW w:w="1276" w:type="dxa"/>
            <w:tcBorders>
              <w:top w:val="nil"/>
              <w:left w:val="nil"/>
              <w:bottom w:val="nil"/>
              <w:right w:val="nil"/>
            </w:tcBorders>
            <w:shd w:val="clear" w:color="auto" w:fill="auto"/>
            <w:vAlign w:val="center"/>
          </w:tcPr>
          <w:p w14:paraId="0356ED95" w14:textId="0AA8543D"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r>
              <w:rPr>
                <w:rFonts w:ascii="Calibri" w:hAnsi="Calibri" w:cs="Calibri"/>
                <w:color w:val="000000"/>
                <w:sz w:val="19"/>
                <w:szCs w:val="19"/>
              </w:rPr>
              <w:t>-</w:t>
            </w:r>
          </w:p>
        </w:tc>
        <w:tc>
          <w:tcPr>
            <w:tcW w:w="1276" w:type="dxa"/>
            <w:tcBorders>
              <w:top w:val="nil"/>
              <w:left w:val="nil"/>
              <w:bottom w:val="nil"/>
              <w:right w:val="nil"/>
            </w:tcBorders>
            <w:shd w:val="clear" w:color="auto" w:fill="auto"/>
            <w:vAlign w:val="center"/>
          </w:tcPr>
          <w:p w14:paraId="38E51BCF" w14:textId="76B466A6"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r>
              <w:rPr>
                <w:rFonts w:ascii="Calibri" w:hAnsi="Calibri" w:cs="Calibri"/>
                <w:color w:val="000000"/>
                <w:sz w:val="19"/>
                <w:szCs w:val="19"/>
              </w:rPr>
              <w:t>-</w:t>
            </w:r>
          </w:p>
        </w:tc>
        <w:tc>
          <w:tcPr>
            <w:tcW w:w="1304" w:type="dxa"/>
            <w:tcBorders>
              <w:top w:val="nil"/>
              <w:left w:val="nil"/>
              <w:bottom w:val="nil"/>
              <w:right w:val="nil"/>
            </w:tcBorders>
            <w:shd w:val="clear" w:color="auto" w:fill="auto"/>
            <w:vAlign w:val="center"/>
          </w:tcPr>
          <w:p w14:paraId="4868B442" w14:textId="0A3ECD93"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r>
              <w:rPr>
                <w:rFonts w:ascii="Calibri" w:hAnsi="Calibri" w:cs="Calibri"/>
                <w:color w:val="000000"/>
                <w:sz w:val="19"/>
                <w:szCs w:val="19"/>
              </w:rPr>
              <w:t>25,652</w:t>
            </w:r>
          </w:p>
        </w:tc>
      </w:tr>
      <w:tr w:rsidR="00E96A95" w:rsidRPr="00537128" w14:paraId="1660740C" w14:textId="77777777" w:rsidTr="00456F9A">
        <w:trPr>
          <w:trHeight w:val="255"/>
          <w:jc w:val="center"/>
        </w:trPr>
        <w:tc>
          <w:tcPr>
            <w:tcW w:w="5528" w:type="dxa"/>
            <w:vAlign w:val="bottom"/>
          </w:tcPr>
          <w:p w14:paraId="44CCE9A7" w14:textId="77777777" w:rsidR="00E96A95" w:rsidRPr="00537128" w:rsidRDefault="00E96A95" w:rsidP="00E96A95">
            <w:pPr>
              <w:tabs>
                <w:tab w:val="right" w:pos="1202"/>
              </w:tabs>
              <w:spacing w:after="0" w:line="240" w:lineRule="auto"/>
              <w:outlineLvl w:val="0"/>
              <w:rPr>
                <w:rFonts w:ascii="Calibri" w:eastAsia="Times New Roman" w:hAnsi="Calibri" w:cs="Arial"/>
                <w:b/>
                <w:i/>
                <w:sz w:val="19"/>
                <w:szCs w:val="19"/>
                <w:highlight w:val="yellow"/>
                <w:lang w:val="en-US"/>
              </w:rPr>
            </w:pPr>
            <w:bookmarkStart w:id="1201" w:name="_Toc4063129"/>
            <w:r w:rsidRPr="00537128">
              <w:rPr>
                <w:rFonts w:ascii="Calibri" w:eastAsia="Times New Roman" w:hAnsi="Calibri" w:cs="Arial"/>
                <w:b/>
                <w:i/>
                <w:sz w:val="19"/>
                <w:szCs w:val="19"/>
                <w:lang w:val="en-US"/>
              </w:rPr>
              <w:t>Investments in investment funds:</w:t>
            </w:r>
            <w:bookmarkEnd w:id="1201"/>
          </w:p>
        </w:tc>
        <w:tc>
          <w:tcPr>
            <w:tcW w:w="1276" w:type="dxa"/>
            <w:tcBorders>
              <w:top w:val="nil"/>
              <w:left w:val="nil"/>
              <w:right w:val="nil"/>
            </w:tcBorders>
            <w:shd w:val="clear" w:color="auto" w:fill="auto"/>
            <w:vAlign w:val="bottom"/>
          </w:tcPr>
          <w:p w14:paraId="042C72A1" w14:textId="77777777"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p>
        </w:tc>
        <w:tc>
          <w:tcPr>
            <w:tcW w:w="1276" w:type="dxa"/>
            <w:tcBorders>
              <w:top w:val="nil"/>
              <w:left w:val="nil"/>
              <w:right w:val="nil"/>
            </w:tcBorders>
            <w:shd w:val="clear" w:color="auto" w:fill="auto"/>
            <w:vAlign w:val="bottom"/>
          </w:tcPr>
          <w:p w14:paraId="38363E7D" w14:textId="77777777"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p>
        </w:tc>
        <w:tc>
          <w:tcPr>
            <w:tcW w:w="1304" w:type="dxa"/>
            <w:tcBorders>
              <w:top w:val="nil"/>
              <w:left w:val="nil"/>
              <w:right w:val="nil"/>
            </w:tcBorders>
            <w:shd w:val="clear" w:color="auto" w:fill="auto"/>
            <w:vAlign w:val="bottom"/>
          </w:tcPr>
          <w:p w14:paraId="14081D80" w14:textId="77777777"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p>
        </w:tc>
      </w:tr>
      <w:tr w:rsidR="00E96A95" w:rsidRPr="00537128" w14:paraId="4B703621" w14:textId="77777777" w:rsidTr="00AA042B">
        <w:trPr>
          <w:trHeight w:val="255"/>
          <w:jc w:val="center"/>
        </w:trPr>
        <w:tc>
          <w:tcPr>
            <w:tcW w:w="5528" w:type="dxa"/>
            <w:vAlign w:val="bottom"/>
          </w:tcPr>
          <w:p w14:paraId="0D509AD9" w14:textId="77777777" w:rsidR="00E96A95" w:rsidRPr="00537128" w:rsidRDefault="00E96A95" w:rsidP="00E96A95">
            <w:pPr>
              <w:tabs>
                <w:tab w:val="right" w:pos="1202"/>
              </w:tabs>
              <w:spacing w:after="0" w:line="240" w:lineRule="auto"/>
              <w:outlineLvl w:val="0"/>
              <w:rPr>
                <w:rFonts w:ascii="Calibri" w:eastAsia="Times New Roman" w:hAnsi="Calibri" w:cs="Arial"/>
                <w:b/>
                <w:i/>
                <w:sz w:val="19"/>
                <w:szCs w:val="19"/>
                <w:highlight w:val="yellow"/>
                <w:lang w:val="en-US"/>
              </w:rPr>
            </w:pPr>
            <w:bookmarkStart w:id="1202" w:name="_Toc4063130"/>
            <w:r w:rsidRPr="00537128">
              <w:rPr>
                <w:rFonts w:ascii="Calibri" w:eastAsia="Times New Roman" w:hAnsi="Calibri" w:cs="Arial"/>
                <w:sz w:val="19"/>
                <w:szCs w:val="19"/>
                <w:lang w:val="en-US"/>
              </w:rPr>
              <w:t>Investments in investment funds at fair value through profit or loss</w:t>
            </w:r>
            <w:bookmarkEnd w:id="1202"/>
          </w:p>
        </w:tc>
        <w:tc>
          <w:tcPr>
            <w:tcW w:w="1276" w:type="dxa"/>
            <w:tcBorders>
              <w:top w:val="nil"/>
              <w:left w:val="nil"/>
              <w:bottom w:val="nil"/>
              <w:right w:val="nil"/>
            </w:tcBorders>
            <w:shd w:val="clear" w:color="auto" w:fill="auto"/>
            <w:vAlign w:val="center"/>
          </w:tcPr>
          <w:p w14:paraId="685129EE" w14:textId="7C4656EE"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r>
              <w:rPr>
                <w:rFonts w:ascii="Calibri" w:hAnsi="Calibri" w:cs="Calibri"/>
                <w:color w:val="000000"/>
                <w:sz w:val="19"/>
                <w:szCs w:val="19"/>
              </w:rPr>
              <w:t>103,541</w:t>
            </w:r>
          </w:p>
        </w:tc>
        <w:tc>
          <w:tcPr>
            <w:tcW w:w="1276" w:type="dxa"/>
            <w:tcBorders>
              <w:top w:val="nil"/>
              <w:left w:val="nil"/>
              <w:bottom w:val="nil"/>
              <w:right w:val="nil"/>
            </w:tcBorders>
            <w:shd w:val="clear" w:color="auto" w:fill="auto"/>
            <w:vAlign w:val="center"/>
          </w:tcPr>
          <w:p w14:paraId="0CC28B05" w14:textId="1F784B77"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r>
              <w:rPr>
                <w:rFonts w:ascii="Calibri" w:hAnsi="Calibri" w:cs="Calibri"/>
                <w:color w:val="000000"/>
                <w:sz w:val="19"/>
                <w:szCs w:val="19"/>
              </w:rPr>
              <w:t>-</w:t>
            </w:r>
          </w:p>
        </w:tc>
        <w:tc>
          <w:tcPr>
            <w:tcW w:w="1304" w:type="dxa"/>
            <w:tcBorders>
              <w:top w:val="nil"/>
              <w:left w:val="nil"/>
              <w:bottom w:val="nil"/>
              <w:right w:val="nil"/>
            </w:tcBorders>
            <w:shd w:val="clear" w:color="auto" w:fill="auto"/>
            <w:vAlign w:val="center"/>
          </w:tcPr>
          <w:p w14:paraId="1E5C0673" w14:textId="64F3DFE8"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r>
              <w:rPr>
                <w:rFonts w:ascii="Calibri" w:hAnsi="Calibri" w:cs="Calibri"/>
                <w:color w:val="000000"/>
                <w:sz w:val="19"/>
                <w:szCs w:val="19"/>
              </w:rPr>
              <w:t>-</w:t>
            </w:r>
          </w:p>
        </w:tc>
      </w:tr>
      <w:tr w:rsidR="00E96A95" w:rsidRPr="00537128" w14:paraId="21ABDA43" w14:textId="77777777" w:rsidTr="00456F9A">
        <w:trPr>
          <w:trHeight w:val="299"/>
          <w:jc w:val="center"/>
        </w:trPr>
        <w:tc>
          <w:tcPr>
            <w:tcW w:w="5528" w:type="dxa"/>
            <w:vAlign w:val="bottom"/>
          </w:tcPr>
          <w:p w14:paraId="6C07C732" w14:textId="490814EA" w:rsidR="00E96A95" w:rsidRPr="00BF5AE0" w:rsidRDefault="00E96A95" w:rsidP="00E96A95">
            <w:pPr>
              <w:tabs>
                <w:tab w:val="right" w:pos="1202"/>
              </w:tabs>
              <w:spacing w:after="0" w:line="240" w:lineRule="auto"/>
              <w:outlineLvl w:val="0"/>
              <w:rPr>
                <w:rFonts w:ascii="Calibri" w:eastAsia="Times New Roman" w:hAnsi="Calibri" w:cs="Arial"/>
                <w:b/>
                <w:iCs/>
                <w:spacing w:val="-2"/>
                <w:sz w:val="19"/>
                <w:szCs w:val="19"/>
                <w:lang w:val="en-US"/>
              </w:rPr>
            </w:pPr>
            <w:r>
              <w:rPr>
                <w:rFonts w:ascii="Calibri" w:eastAsia="Times New Roman" w:hAnsi="Calibri" w:cs="Arial"/>
                <w:b/>
                <w:iCs/>
                <w:spacing w:val="-2"/>
                <w:sz w:val="19"/>
                <w:szCs w:val="19"/>
                <w:lang w:val="en-US"/>
              </w:rPr>
              <w:t>Equity instruments:</w:t>
            </w:r>
          </w:p>
        </w:tc>
        <w:tc>
          <w:tcPr>
            <w:tcW w:w="1276" w:type="dxa"/>
            <w:tcBorders>
              <w:left w:val="nil"/>
              <w:right w:val="nil"/>
            </w:tcBorders>
            <w:shd w:val="clear" w:color="auto" w:fill="auto"/>
            <w:vAlign w:val="bottom"/>
          </w:tcPr>
          <w:p w14:paraId="0171A9C0" w14:textId="77777777"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p>
        </w:tc>
        <w:tc>
          <w:tcPr>
            <w:tcW w:w="1276" w:type="dxa"/>
            <w:tcBorders>
              <w:top w:val="nil"/>
              <w:left w:val="nil"/>
              <w:right w:val="nil"/>
            </w:tcBorders>
            <w:shd w:val="clear" w:color="auto" w:fill="auto"/>
            <w:vAlign w:val="bottom"/>
          </w:tcPr>
          <w:p w14:paraId="0089E37A" w14:textId="77777777"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p>
        </w:tc>
        <w:tc>
          <w:tcPr>
            <w:tcW w:w="1304" w:type="dxa"/>
            <w:tcBorders>
              <w:top w:val="nil"/>
              <w:left w:val="nil"/>
              <w:right w:val="nil"/>
            </w:tcBorders>
            <w:shd w:val="clear" w:color="auto" w:fill="auto"/>
            <w:vAlign w:val="bottom"/>
          </w:tcPr>
          <w:p w14:paraId="44E85FB1" w14:textId="77777777"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p>
        </w:tc>
      </w:tr>
      <w:tr w:rsidR="00E96A95" w:rsidRPr="00537128" w14:paraId="573A48E7" w14:textId="77777777" w:rsidTr="00456F9A">
        <w:trPr>
          <w:trHeight w:val="299"/>
          <w:jc w:val="center"/>
        </w:trPr>
        <w:tc>
          <w:tcPr>
            <w:tcW w:w="5528" w:type="dxa"/>
            <w:vAlign w:val="bottom"/>
          </w:tcPr>
          <w:p w14:paraId="1B4F072F" w14:textId="77777777" w:rsidR="00E96A95" w:rsidRPr="00537128" w:rsidRDefault="00E96A95" w:rsidP="00E96A95">
            <w:pPr>
              <w:tabs>
                <w:tab w:val="right" w:pos="1202"/>
              </w:tabs>
              <w:spacing w:after="0" w:line="240" w:lineRule="auto"/>
              <w:outlineLvl w:val="0"/>
              <w:rPr>
                <w:rFonts w:ascii="Calibri" w:eastAsia="Times New Roman" w:hAnsi="Calibri" w:cs="Arial"/>
                <w:sz w:val="19"/>
                <w:szCs w:val="19"/>
                <w:highlight w:val="yellow"/>
                <w:lang w:val="en-US"/>
              </w:rPr>
            </w:pPr>
            <w:bookmarkStart w:id="1203" w:name="_Toc4063140"/>
            <w:r w:rsidRPr="00537128">
              <w:rPr>
                <w:rFonts w:ascii="Calibri" w:eastAsia="Times New Roman" w:hAnsi="Calibri" w:cs="Arial"/>
                <w:b/>
                <w:i/>
                <w:spacing w:val="-2"/>
                <w:sz w:val="19"/>
                <w:szCs w:val="19"/>
                <w:lang w:val="en-US"/>
              </w:rPr>
              <w:t>Unlisted equity instruments:</w:t>
            </w:r>
            <w:bookmarkEnd w:id="1203"/>
          </w:p>
        </w:tc>
        <w:tc>
          <w:tcPr>
            <w:tcW w:w="1276" w:type="dxa"/>
            <w:tcBorders>
              <w:left w:val="nil"/>
              <w:right w:val="nil"/>
            </w:tcBorders>
            <w:shd w:val="clear" w:color="auto" w:fill="auto"/>
            <w:vAlign w:val="bottom"/>
          </w:tcPr>
          <w:p w14:paraId="41D36340" w14:textId="77777777"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p>
        </w:tc>
        <w:tc>
          <w:tcPr>
            <w:tcW w:w="1276" w:type="dxa"/>
            <w:tcBorders>
              <w:top w:val="nil"/>
              <w:left w:val="nil"/>
              <w:right w:val="nil"/>
            </w:tcBorders>
            <w:shd w:val="clear" w:color="auto" w:fill="auto"/>
            <w:vAlign w:val="bottom"/>
          </w:tcPr>
          <w:p w14:paraId="65936B89" w14:textId="77777777"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p>
        </w:tc>
        <w:tc>
          <w:tcPr>
            <w:tcW w:w="1304" w:type="dxa"/>
            <w:tcBorders>
              <w:top w:val="nil"/>
              <w:left w:val="nil"/>
              <w:right w:val="nil"/>
            </w:tcBorders>
            <w:shd w:val="clear" w:color="auto" w:fill="auto"/>
            <w:vAlign w:val="bottom"/>
          </w:tcPr>
          <w:p w14:paraId="63914614" w14:textId="77777777"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p>
        </w:tc>
      </w:tr>
      <w:tr w:rsidR="00E96A95" w:rsidRPr="00537128" w14:paraId="51BE4CA5" w14:textId="77777777" w:rsidTr="00AA042B">
        <w:trPr>
          <w:trHeight w:val="299"/>
          <w:jc w:val="center"/>
        </w:trPr>
        <w:tc>
          <w:tcPr>
            <w:tcW w:w="5528" w:type="dxa"/>
            <w:vAlign w:val="bottom"/>
          </w:tcPr>
          <w:p w14:paraId="720BA560" w14:textId="77777777" w:rsidR="00E96A95" w:rsidRPr="00537128" w:rsidRDefault="00E96A95" w:rsidP="00E96A95">
            <w:pPr>
              <w:tabs>
                <w:tab w:val="right" w:pos="1202"/>
              </w:tabs>
              <w:spacing w:after="0" w:line="240" w:lineRule="auto"/>
              <w:outlineLvl w:val="0"/>
              <w:rPr>
                <w:rFonts w:ascii="Calibri" w:eastAsia="Times New Roman" w:hAnsi="Calibri" w:cs="Arial"/>
                <w:b/>
                <w:i/>
                <w:spacing w:val="-2"/>
                <w:sz w:val="19"/>
                <w:szCs w:val="19"/>
                <w:lang w:val="en-US"/>
              </w:rPr>
            </w:pPr>
            <w:bookmarkStart w:id="1204" w:name="_Toc4063141"/>
            <w:r w:rsidRPr="00537128">
              <w:rPr>
                <w:rFonts w:ascii="Calibri" w:eastAsia="Times New Roman" w:hAnsi="Calibri" w:cs="Arial"/>
                <w:sz w:val="19"/>
                <w:szCs w:val="19"/>
                <w:lang w:val="en-US"/>
              </w:rPr>
              <w:t>Investments in companies’ shares</w:t>
            </w:r>
            <w:bookmarkEnd w:id="1204"/>
          </w:p>
        </w:tc>
        <w:tc>
          <w:tcPr>
            <w:tcW w:w="1276" w:type="dxa"/>
            <w:tcBorders>
              <w:top w:val="nil"/>
              <w:left w:val="nil"/>
              <w:right w:val="nil"/>
            </w:tcBorders>
            <w:shd w:val="clear" w:color="auto" w:fill="auto"/>
            <w:vAlign w:val="center"/>
          </w:tcPr>
          <w:p w14:paraId="43D43D73" w14:textId="7AE1B2A6"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r>
              <w:rPr>
                <w:rFonts w:ascii="Calibri" w:hAnsi="Calibri" w:cs="Calibri"/>
                <w:color w:val="000000"/>
                <w:sz w:val="19"/>
                <w:szCs w:val="19"/>
              </w:rPr>
              <w:t>-</w:t>
            </w:r>
          </w:p>
        </w:tc>
        <w:tc>
          <w:tcPr>
            <w:tcW w:w="1276" w:type="dxa"/>
            <w:tcBorders>
              <w:top w:val="nil"/>
              <w:left w:val="nil"/>
              <w:right w:val="nil"/>
            </w:tcBorders>
            <w:shd w:val="clear" w:color="auto" w:fill="auto"/>
            <w:vAlign w:val="center"/>
          </w:tcPr>
          <w:p w14:paraId="40463C12" w14:textId="3F8F95AC"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r>
              <w:rPr>
                <w:rFonts w:ascii="Calibri" w:hAnsi="Calibri" w:cs="Calibri"/>
                <w:color w:val="000000"/>
                <w:sz w:val="19"/>
                <w:szCs w:val="19"/>
              </w:rPr>
              <w:t>-</w:t>
            </w:r>
          </w:p>
        </w:tc>
        <w:tc>
          <w:tcPr>
            <w:tcW w:w="1304" w:type="dxa"/>
            <w:tcBorders>
              <w:top w:val="nil"/>
              <w:left w:val="nil"/>
              <w:right w:val="nil"/>
            </w:tcBorders>
            <w:shd w:val="clear" w:color="auto" w:fill="auto"/>
            <w:vAlign w:val="center"/>
          </w:tcPr>
          <w:p w14:paraId="617B4977" w14:textId="026DBBA2"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r>
              <w:rPr>
                <w:rFonts w:ascii="Calibri" w:hAnsi="Calibri" w:cs="Calibri"/>
                <w:color w:val="000000"/>
                <w:sz w:val="19"/>
                <w:szCs w:val="19"/>
              </w:rPr>
              <w:t>31</w:t>
            </w:r>
          </w:p>
        </w:tc>
      </w:tr>
      <w:tr w:rsidR="00E96A95" w:rsidRPr="00537128" w14:paraId="71F11AFB" w14:textId="77777777" w:rsidTr="00AA042B">
        <w:trPr>
          <w:trHeight w:val="299"/>
          <w:jc w:val="center"/>
        </w:trPr>
        <w:tc>
          <w:tcPr>
            <w:tcW w:w="5528" w:type="dxa"/>
            <w:vAlign w:val="bottom"/>
          </w:tcPr>
          <w:p w14:paraId="0C8F3DCC" w14:textId="77777777" w:rsidR="00E96A95" w:rsidRPr="00537128" w:rsidRDefault="00E96A95" w:rsidP="00E96A95">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sz w:val="19"/>
                <w:szCs w:val="19"/>
                <w:lang w:val="en-US"/>
              </w:rPr>
              <w:t>Depository receipt - DR</w:t>
            </w:r>
          </w:p>
        </w:tc>
        <w:tc>
          <w:tcPr>
            <w:tcW w:w="1276" w:type="dxa"/>
            <w:tcBorders>
              <w:top w:val="nil"/>
              <w:left w:val="nil"/>
              <w:bottom w:val="single" w:sz="4" w:space="0" w:color="auto"/>
              <w:right w:val="nil"/>
            </w:tcBorders>
            <w:shd w:val="clear" w:color="auto" w:fill="auto"/>
            <w:vAlign w:val="center"/>
          </w:tcPr>
          <w:p w14:paraId="6E426524" w14:textId="46C3E8A7"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w:t>
            </w:r>
          </w:p>
        </w:tc>
        <w:tc>
          <w:tcPr>
            <w:tcW w:w="1276" w:type="dxa"/>
            <w:tcBorders>
              <w:top w:val="nil"/>
              <w:left w:val="nil"/>
              <w:bottom w:val="single" w:sz="4" w:space="0" w:color="auto"/>
              <w:right w:val="nil"/>
            </w:tcBorders>
            <w:shd w:val="clear" w:color="auto" w:fill="auto"/>
            <w:vAlign w:val="center"/>
          </w:tcPr>
          <w:p w14:paraId="042F1277" w14:textId="64C12E5A"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w:t>
            </w:r>
          </w:p>
        </w:tc>
        <w:tc>
          <w:tcPr>
            <w:tcW w:w="1304" w:type="dxa"/>
            <w:tcBorders>
              <w:top w:val="nil"/>
              <w:left w:val="nil"/>
              <w:bottom w:val="single" w:sz="4" w:space="0" w:color="auto"/>
              <w:right w:val="nil"/>
            </w:tcBorders>
            <w:shd w:val="clear" w:color="auto" w:fill="auto"/>
            <w:vAlign w:val="center"/>
          </w:tcPr>
          <w:p w14:paraId="1CE4006D" w14:textId="621C21D0"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r>
              <w:rPr>
                <w:rFonts w:ascii="Calibri" w:hAnsi="Calibri" w:cs="Calibri"/>
                <w:color w:val="000000"/>
                <w:sz w:val="19"/>
                <w:szCs w:val="19"/>
              </w:rPr>
              <w:t>320</w:t>
            </w:r>
          </w:p>
        </w:tc>
      </w:tr>
      <w:tr w:rsidR="00E96A95" w:rsidRPr="00537128" w14:paraId="1970F1C7" w14:textId="77777777" w:rsidTr="00AA042B">
        <w:trPr>
          <w:trHeight w:val="219"/>
          <w:jc w:val="center"/>
        </w:trPr>
        <w:tc>
          <w:tcPr>
            <w:tcW w:w="5528" w:type="dxa"/>
            <w:vAlign w:val="center"/>
          </w:tcPr>
          <w:p w14:paraId="538F1140" w14:textId="77777777" w:rsidR="00E96A95" w:rsidRPr="00537128" w:rsidRDefault="00E96A95" w:rsidP="00E96A95">
            <w:pPr>
              <w:tabs>
                <w:tab w:val="right" w:pos="1202"/>
              </w:tabs>
              <w:spacing w:after="0" w:line="240" w:lineRule="auto"/>
              <w:outlineLvl w:val="0"/>
              <w:rPr>
                <w:rFonts w:ascii="Calibri" w:eastAsia="Times New Roman" w:hAnsi="Calibri" w:cs="Arial"/>
                <w:sz w:val="19"/>
                <w:szCs w:val="19"/>
                <w:highlight w:val="yellow"/>
                <w:lang w:val="en-US"/>
              </w:rPr>
            </w:pPr>
            <w:bookmarkStart w:id="1205" w:name="_Toc4063149"/>
            <w:r w:rsidRPr="00537128">
              <w:rPr>
                <w:rFonts w:ascii="Calibri" w:eastAsia="Times New Roman" w:hAnsi="Calibri" w:cs="Arial"/>
                <w:b/>
                <w:sz w:val="19"/>
                <w:szCs w:val="19"/>
                <w:lang w:val="en-US"/>
              </w:rPr>
              <w:t>Total financial assets at fair value through profit or loss</w:t>
            </w:r>
            <w:bookmarkEnd w:id="1205"/>
          </w:p>
        </w:tc>
        <w:tc>
          <w:tcPr>
            <w:tcW w:w="1276" w:type="dxa"/>
            <w:tcBorders>
              <w:top w:val="single" w:sz="4" w:space="0" w:color="auto"/>
              <w:left w:val="nil"/>
              <w:bottom w:val="single" w:sz="12" w:space="0" w:color="auto"/>
              <w:right w:val="nil"/>
            </w:tcBorders>
            <w:shd w:val="clear" w:color="auto" w:fill="auto"/>
            <w:vAlign w:val="center"/>
          </w:tcPr>
          <w:p w14:paraId="3295A6DB" w14:textId="5EC7BF17" w:rsidR="00E96A95" w:rsidRPr="00A1123E" w:rsidRDefault="00E96A95" w:rsidP="00E96A95">
            <w:pPr>
              <w:tabs>
                <w:tab w:val="right" w:pos="1202"/>
              </w:tabs>
              <w:spacing w:after="0" w:line="240" w:lineRule="auto"/>
              <w:jc w:val="right"/>
              <w:outlineLvl w:val="0"/>
              <w:rPr>
                <w:rFonts w:ascii="Calibri" w:eastAsia="Times New Roman" w:hAnsi="Calibri" w:cs="Arial"/>
                <w:b/>
                <w:sz w:val="18"/>
                <w:szCs w:val="18"/>
                <w:lang w:val="en-US"/>
              </w:rPr>
            </w:pPr>
            <w:r>
              <w:rPr>
                <w:rFonts w:ascii="Calibri" w:hAnsi="Calibri" w:cs="Calibri"/>
                <w:b/>
                <w:bCs/>
                <w:color w:val="000000"/>
                <w:sz w:val="19"/>
                <w:szCs w:val="19"/>
              </w:rPr>
              <w:t>103,541</w:t>
            </w:r>
          </w:p>
        </w:tc>
        <w:tc>
          <w:tcPr>
            <w:tcW w:w="1276" w:type="dxa"/>
            <w:tcBorders>
              <w:top w:val="single" w:sz="4" w:space="0" w:color="auto"/>
              <w:left w:val="nil"/>
              <w:bottom w:val="single" w:sz="12" w:space="0" w:color="auto"/>
              <w:right w:val="nil"/>
            </w:tcBorders>
            <w:shd w:val="clear" w:color="auto" w:fill="auto"/>
            <w:vAlign w:val="center"/>
          </w:tcPr>
          <w:p w14:paraId="322EFAE6" w14:textId="70700263" w:rsidR="00E96A95" w:rsidRPr="00A1123E" w:rsidRDefault="00E96A95" w:rsidP="00E96A95">
            <w:pPr>
              <w:tabs>
                <w:tab w:val="right" w:pos="1202"/>
              </w:tabs>
              <w:spacing w:after="0" w:line="240" w:lineRule="auto"/>
              <w:jc w:val="right"/>
              <w:outlineLvl w:val="0"/>
              <w:rPr>
                <w:rFonts w:ascii="Calibri" w:eastAsia="Times New Roman" w:hAnsi="Calibri" w:cs="Arial"/>
                <w:b/>
                <w:sz w:val="18"/>
                <w:szCs w:val="18"/>
                <w:lang w:val="en-US"/>
              </w:rPr>
            </w:pPr>
            <w:r>
              <w:rPr>
                <w:rFonts w:ascii="Calibri" w:hAnsi="Calibri" w:cs="Calibri"/>
                <w:color w:val="000000"/>
                <w:sz w:val="19"/>
                <w:szCs w:val="19"/>
              </w:rPr>
              <w:t>-</w:t>
            </w:r>
          </w:p>
        </w:tc>
        <w:tc>
          <w:tcPr>
            <w:tcW w:w="1304" w:type="dxa"/>
            <w:tcBorders>
              <w:top w:val="single" w:sz="4" w:space="0" w:color="auto"/>
              <w:left w:val="nil"/>
              <w:bottom w:val="single" w:sz="12" w:space="0" w:color="auto"/>
              <w:right w:val="nil"/>
            </w:tcBorders>
            <w:shd w:val="clear" w:color="auto" w:fill="auto"/>
            <w:vAlign w:val="center"/>
          </w:tcPr>
          <w:p w14:paraId="4F5C0D24" w14:textId="3E9E88A8" w:rsidR="00E96A95" w:rsidRPr="00A1123E" w:rsidRDefault="00E96A95" w:rsidP="00E96A95">
            <w:pPr>
              <w:tabs>
                <w:tab w:val="right" w:pos="1202"/>
              </w:tabs>
              <w:spacing w:after="0" w:line="240" w:lineRule="auto"/>
              <w:jc w:val="right"/>
              <w:outlineLvl w:val="0"/>
              <w:rPr>
                <w:rFonts w:ascii="Calibri" w:eastAsia="Times New Roman" w:hAnsi="Calibri" w:cs="Arial"/>
                <w:b/>
                <w:sz w:val="18"/>
                <w:szCs w:val="18"/>
                <w:lang w:val="en-US"/>
              </w:rPr>
            </w:pPr>
            <w:r>
              <w:rPr>
                <w:rFonts w:ascii="Calibri" w:hAnsi="Calibri" w:cs="Calibri"/>
                <w:b/>
                <w:bCs/>
                <w:color w:val="000000"/>
                <w:sz w:val="19"/>
                <w:szCs w:val="19"/>
              </w:rPr>
              <w:t>26,003</w:t>
            </w:r>
          </w:p>
        </w:tc>
      </w:tr>
      <w:tr w:rsidR="00E96A95" w:rsidRPr="00537128" w14:paraId="5D005EFA" w14:textId="77777777" w:rsidTr="00456F9A">
        <w:trPr>
          <w:trHeight w:val="501"/>
          <w:jc w:val="center"/>
        </w:trPr>
        <w:tc>
          <w:tcPr>
            <w:tcW w:w="5528" w:type="dxa"/>
            <w:shd w:val="clear" w:color="auto" w:fill="auto"/>
            <w:vAlign w:val="bottom"/>
          </w:tcPr>
          <w:p w14:paraId="1CF80EA6" w14:textId="77777777" w:rsidR="00E96A95" w:rsidRPr="00537128" w:rsidRDefault="00E96A95" w:rsidP="00E96A95">
            <w:pPr>
              <w:tabs>
                <w:tab w:val="right" w:pos="1202"/>
              </w:tabs>
              <w:spacing w:after="0" w:line="240" w:lineRule="auto"/>
              <w:outlineLvl w:val="0"/>
              <w:rPr>
                <w:rFonts w:ascii="Calibri" w:eastAsia="Times New Roman" w:hAnsi="Calibri" w:cs="Arial"/>
                <w:b/>
                <w:spacing w:val="-2"/>
                <w:sz w:val="19"/>
                <w:szCs w:val="19"/>
                <w:highlight w:val="yellow"/>
                <w:lang w:val="en-US"/>
              </w:rPr>
            </w:pPr>
            <w:bookmarkStart w:id="1206" w:name="_Toc4063153"/>
            <w:r w:rsidRPr="00537128">
              <w:rPr>
                <w:rFonts w:ascii="Calibri" w:eastAsia="Times New Roman" w:hAnsi="Calibri" w:cs="Arial"/>
                <w:b/>
                <w:spacing w:val="-2"/>
                <w:sz w:val="19"/>
                <w:szCs w:val="19"/>
                <w:lang w:val="en-US"/>
              </w:rPr>
              <w:t>Financial assets at fair value through other comprehensive income:</w:t>
            </w:r>
            <w:bookmarkEnd w:id="1206"/>
          </w:p>
        </w:tc>
        <w:tc>
          <w:tcPr>
            <w:tcW w:w="1276" w:type="dxa"/>
            <w:vAlign w:val="bottom"/>
          </w:tcPr>
          <w:p w14:paraId="7356C859" w14:textId="77777777" w:rsidR="00E96A95" w:rsidRPr="00A1123E" w:rsidDel="00561A80" w:rsidRDefault="00E96A95" w:rsidP="00E96A95">
            <w:pPr>
              <w:tabs>
                <w:tab w:val="right" w:pos="1202"/>
              </w:tabs>
              <w:spacing w:after="0" w:line="240" w:lineRule="auto"/>
              <w:jc w:val="right"/>
              <w:outlineLvl w:val="0"/>
              <w:rPr>
                <w:rFonts w:ascii="Calibri" w:eastAsia="Times New Roman" w:hAnsi="Calibri" w:cs="Arial"/>
                <w:spacing w:val="-2"/>
                <w:sz w:val="18"/>
                <w:szCs w:val="18"/>
                <w:lang w:val="en-US"/>
              </w:rPr>
            </w:pPr>
          </w:p>
        </w:tc>
        <w:tc>
          <w:tcPr>
            <w:tcW w:w="1276" w:type="dxa"/>
            <w:vAlign w:val="bottom"/>
          </w:tcPr>
          <w:p w14:paraId="6350FA90" w14:textId="77777777" w:rsidR="00E96A95" w:rsidRPr="00A1123E" w:rsidDel="00561A80" w:rsidRDefault="00E96A95" w:rsidP="00E96A95">
            <w:pPr>
              <w:tabs>
                <w:tab w:val="right" w:pos="1202"/>
              </w:tabs>
              <w:spacing w:after="0" w:line="240" w:lineRule="auto"/>
              <w:jc w:val="right"/>
              <w:outlineLvl w:val="0"/>
              <w:rPr>
                <w:rFonts w:ascii="Calibri" w:eastAsia="Times New Roman" w:hAnsi="Calibri" w:cs="Arial"/>
                <w:spacing w:val="-2"/>
                <w:sz w:val="18"/>
                <w:szCs w:val="18"/>
                <w:lang w:val="en-US"/>
              </w:rPr>
            </w:pPr>
          </w:p>
        </w:tc>
        <w:tc>
          <w:tcPr>
            <w:tcW w:w="1304" w:type="dxa"/>
            <w:vAlign w:val="bottom"/>
          </w:tcPr>
          <w:p w14:paraId="34A94672" w14:textId="77777777" w:rsidR="00E96A95" w:rsidRPr="00A1123E" w:rsidDel="00561A80" w:rsidRDefault="00E96A95" w:rsidP="00E96A95">
            <w:pPr>
              <w:tabs>
                <w:tab w:val="right" w:pos="1202"/>
              </w:tabs>
              <w:spacing w:after="0" w:line="240" w:lineRule="auto"/>
              <w:jc w:val="right"/>
              <w:outlineLvl w:val="0"/>
              <w:rPr>
                <w:rFonts w:ascii="Calibri" w:eastAsia="Times New Roman" w:hAnsi="Calibri" w:cs="Arial"/>
                <w:spacing w:val="-2"/>
                <w:sz w:val="18"/>
                <w:szCs w:val="18"/>
                <w:lang w:val="en-US"/>
              </w:rPr>
            </w:pPr>
          </w:p>
        </w:tc>
      </w:tr>
      <w:tr w:rsidR="00E96A95" w:rsidRPr="00537128" w14:paraId="1F8C0908" w14:textId="77777777" w:rsidTr="00456F9A">
        <w:trPr>
          <w:trHeight w:val="291"/>
          <w:jc w:val="center"/>
        </w:trPr>
        <w:tc>
          <w:tcPr>
            <w:tcW w:w="5528" w:type="dxa"/>
            <w:shd w:val="clear" w:color="auto" w:fill="auto"/>
            <w:vAlign w:val="bottom"/>
          </w:tcPr>
          <w:p w14:paraId="7248754F" w14:textId="77777777" w:rsidR="00E96A95" w:rsidRPr="00537128" w:rsidRDefault="00E96A95" w:rsidP="00E96A95">
            <w:pPr>
              <w:tabs>
                <w:tab w:val="right" w:pos="1202"/>
              </w:tabs>
              <w:spacing w:after="0" w:line="240" w:lineRule="auto"/>
              <w:outlineLvl w:val="0"/>
              <w:rPr>
                <w:rFonts w:ascii="Calibri" w:eastAsia="Times New Roman" w:hAnsi="Calibri" w:cs="Arial"/>
                <w:b/>
                <w:spacing w:val="-2"/>
                <w:sz w:val="19"/>
                <w:szCs w:val="19"/>
                <w:highlight w:val="yellow"/>
                <w:lang w:val="en-US"/>
              </w:rPr>
            </w:pPr>
            <w:bookmarkStart w:id="1207" w:name="_Toc4063154"/>
            <w:r w:rsidRPr="00537128">
              <w:rPr>
                <w:rFonts w:ascii="Calibri" w:eastAsia="Times New Roman" w:hAnsi="Calibri" w:cs="Arial"/>
                <w:b/>
                <w:spacing w:val="-2"/>
                <w:sz w:val="19"/>
                <w:szCs w:val="19"/>
                <w:lang w:val="en-US"/>
              </w:rPr>
              <w:t>Debt instruments:</w:t>
            </w:r>
            <w:bookmarkEnd w:id="1207"/>
          </w:p>
        </w:tc>
        <w:tc>
          <w:tcPr>
            <w:tcW w:w="1276" w:type="dxa"/>
            <w:vAlign w:val="bottom"/>
          </w:tcPr>
          <w:p w14:paraId="60C94564" w14:textId="77777777" w:rsidR="00E96A95" w:rsidRPr="00A1123E" w:rsidDel="00561A80" w:rsidRDefault="00E96A95" w:rsidP="00E96A95">
            <w:pPr>
              <w:tabs>
                <w:tab w:val="right" w:pos="1202"/>
              </w:tabs>
              <w:spacing w:after="0" w:line="240" w:lineRule="auto"/>
              <w:jc w:val="right"/>
              <w:outlineLvl w:val="0"/>
              <w:rPr>
                <w:rFonts w:ascii="Calibri" w:eastAsia="Times New Roman" w:hAnsi="Calibri" w:cs="Arial"/>
                <w:spacing w:val="-2"/>
                <w:sz w:val="18"/>
                <w:szCs w:val="18"/>
                <w:lang w:val="en-US"/>
              </w:rPr>
            </w:pPr>
          </w:p>
        </w:tc>
        <w:tc>
          <w:tcPr>
            <w:tcW w:w="1276" w:type="dxa"/>
            <w:vAlign w:val="bottom"/>
          </w:tcPr>
          <w:p w14:paraId="24780A89" w14:textId="77777777" w:rsidR="00E96A95" w:rsidRPr="00A1123E" w:rsidDel="00561A80" w:rsidRDefault="00E96A95" w:rsidP="00E96A95">
            <w:pPr>
              <w:tabs>
                <w:tab w:val="right" w:pos="1202"/>
              </w:tabs>
              <w:spacing w:after="0" w:line="240" w:lineRule="auto"/>
              <w:jc w:val="right"/>
              <w:outlineLvl w:val="0"/>
              <w:rPr>
                <w:rFonts w:ascii="Calibri" w:eastAsia="Times New Roman" w:hAnsi="Calibri" w:cs="Arial"/>
                <w:spacing w:val="-2"/>
                <w:sz w:val="18"/>
                <w:szCs w:val="18"/>
                <w:lang w:val="en-US"/>
              </w:rPr>
            </w:pPr>
          </w:p>
        </w:tc>
        <w:tc>
          <w:tcPr>
            <w:tcW w:w="1304" w:type="dxa"/>
            <w:vAlign w:val="bottom"/>
          </w:tcPr>
          <w:p w14:paraId="2C38F141" w14:textId="77777777" w:rsidR="00E96A95" w:rsidRPr="00A1123E" w:rsidDel="00561A80" w:rsidRDefault="00E96A95" w:rsidP="00E96A95">
            <w:pPr>
              <w:tabs>
                <w:tab w:val="right" w:pos="1202"/>
              </w:tabs>
              <w:spacing w:after="0" w:line="240" w:lineRule="auto"/>
              <w:jc w:val="right"/>
              <w:outlineLvl w:val="0"/>
              <w:rPr>
                <w:rFonts w:ascii="Calibri" w:eastAsia="Times New Roman" w:hAnsi="Calibri" w:cs="Arial"/>
                <w:spacing w:val="-2"/>
                <w:sz w:val="18"/>
                <w:szCs w:val="18"/>
                <w:lang w:val="en-US"/>
              </w:rPr>
            </w:pPr>
          </w:p>
        </w:tc>
      </w:tr>
      <w:tr w:rsidR="00E96A95" w:rsidRPr="00537128" w14:paraId="35833CA4" w14:textId="77777777" w:rsidTr="00456F9A">
        <w:trPr>
          <w:trHeight w:val="291"/>
          <w:jc w:val="center"/>
        </w:trPr>
        <w:tc>
          <w:tcPr>
            <w:tcW w:w="5528" w:type="dxa"/>
            <w:shd w:val="clear" w:color="auto" w:fill="auto"/>
            <w:vAlign w:val="bottom"/>
          </w:tcPr>
          <w:p w14:paraId="5A433725" w14:textId="77777777" w:rsidR="00E96A95" w:rsidRPr="00537128" w:rsidRDefault="00E96A95" w:rsidP="00E96A95">
            <w:pPr>
              <w:tabs>
                <w:tab w:val="right" w:pos="1202"/>
              </w:tabs>
              <w:spacing w:after="0" w:line="240" w:lineRule="auto"/>
              <w:outlineLvl w:val="0"/>
              <w:rPr>
                <w:rFonts w:ascii="Calibri" w:eastAsia="Times New Roman" w:hAnsi="Calibri" w:cs="Arial"/>
                <w:b/>
                <w:i/>
                <w:spacing w:val="-2"/>
                <w:sz w:val="19"/>
                <w:szCs w:val="19"/>
                <w:highlight w:val="yellow"/>
                <w:lang w:val="en-US"/>
              </w:rPr>
            </w:pPr>
            <w:bookmarkStart w:id="1208" w:name="_Toc4063155"/>
            <w:r w:rsidRPr="00537128">
              <w:rPr>
                <w:rFonts w:ascii="Calibri" w:eastAsia="Times New Roman" w:hAnsi="Calibri" w:cs="Arial"/>
                <w:b/>
                <w:i/>
                <w:spacing w:val="-2"/>
                <w:sz w:val="19"/>
                <w:szCs w:val="19"/>
                <w:lang w:val="en-US"/>
              </w:rPr>
              <w:t>Listed debt instruments:</w:t>
            </w:r>
            <w:bookmarkEnd w:id="1208"/>
          </w:p>
        </w:tc>
        <w:tc>
          <w:tcPr>
            <w:tcW w:w="1276" w:type="dxa"/>
            <w:tcBorders>
              <w:top w:val="nil"/>
              <w:left w:val="nil"/>
              <w:bottom w:val="nil"/>
              <w:right w:val="nil"/>
            </w:tcBorders>
            <w:shd w:val="clear" w:color="auto" w:fill="auto"/>
            <w:vAlign w:val="bottom"/>
          </w:tcPr>
          <w:p w14:paraId="5FA76BF8" w14:textId="77777777" w:rsidR="00E96A95" w:rsidRPr="00A1123E" w:rsidDel="00561A80" w:rsidRDefault="00E96A95" w:rsidP="00E96A95">
            <w:pPr>
              <w:tabs>
                <w:tab w:val="right" w:pos="1202"/>
              </w:tabs>
              <w:spacing w:after="0" w:line="240" w:lineRule="auto"/>
              <w:jc w:val="right"/>
              <w:outlineLvl w:val="0"/>
              <w:rPr>
                <w:rFonts w:ascii="Calibri" w:eastAsia="Times New Roman" w:hAnsi="Calibri" w:cs="Arial"/>
                <w:spacing w:val="-2"/>
                <w:sz w:val="18"/>
                <w:szCs w:val="18"/>
                <w:lang w:val="en-US"/>
              </w:rPr>
            </w:pPr>
          </w:p>
        </w:tc>
        <w:tc>
          <w:tcPr>
            <w:tcW w:w="1276" w:type="dxa"/>
            <w:tcBorders>
              <w:top w:val="nil"/>
              <w:left w:val="nil"/>
              <w:bottom w:val="nil"/>
              <w:right w:val="nil"/>
            </w:tcBorders>
            <w:shd w:val="clear" w:color="auto" w:fill="auto"/>
            <w:vAlign w:val="bottom"/>
          </w:tcPr>
          <w:p w14:paraId="34E5E7A7" w14:textId="77777777" w:rsidR="00E96A95" w:rsidRPr="00A1123E" w:rsidDel="00561A80" w:rsidRDefault="00E96A95" w:rsidP="00E96A95">
            <w:pPr>
              <w:tabs>
                <w:tab w:val="right" w:pos="1202"/>
              </w:tabs>
              <w:spacing w:after="0" w:line="240" w:lineRule="auto"/>
              <w:jc w:val="right"/>
              <w:outlineLvl w:val="0"/>
              <w:rPr>
                <w:rFonts w:ascii="Calibri" w:eastAsia="Times New Roman" w:hAnsi="Calibri" w:cs="Arial"/>
                <w:spacing w:val="-2"/>
                <w:sz w:val="18"/>
                <w:szCs w:val="18"/>
                <w:lang w:val="en-US"/>
              </w:rPr>
            </w:pPr>
          </w:p>
        </w:tc>
        <w:tc>
          <w:tcPr>
            <w:tcW w:w="1304" w:type="dxa"/>
            <w:tcBorders>
              <w:top w:val="nil"/>
              <w:left w:val="nil"/>
              <w:bottom w:val="nil"/>
              <w:right w:val="nil"/>
            </w:tcBorders>
            <w:shd w:val="clear" w:color="auto" w:fill="auto"/>
            <w:vAlign w:val="bottom"/>
          </w:tcPr>
          <w:p w14:paraId="72F4D459" w14:textId="77777777" w:rsidR="00E96A95" w:rsidRPr="00A1123E" w:rsidDel="00561A80" w:rsidRDefault="00E96A95" w:rsidP="00E96A95">
            <w:pPr>
              <w:tabs>
                <w:tab w:val="right" w:pos="1202"/>
              </w:tabs>
              <w:spacing w:after="0" w:line="240" w:lineRule="auto"/>
              <w:jc w:val="right"/>
              <w:outlineLvl w:val="0"/>
              <w:rPr>
                <w:rFonts w:ascii="Calibri" w:eastAsia="Times New Roman" w:hAnsi="Calibri" w:cs="Arial"/>
                <w:spacing w:val="-2"/>
                <w:sz w:val="18"/>
                <w:szCs w:val="18"/>
                <w:lang w:val="en-US"/>
              </w:rPr>
            </w:pPr>
          </w:p>
        </w:tc>
      </w:tr>
      <w:tr w:rsidR="00E96A95" w:rsidRPr="00537128" w14:paraId="592F1A2A" w14:textId="77777777" w:rsidTr="00456F9A">
        <w:trPr>
          <w:trHeight w:val="291"/>
          <w:jc w:val="center"/>
        </w:trPr>
        <w:tc>
          <w:tcPr>
            <w:tcW w:w="5528" w:type="dxa"/>
            <w:shd w:val="clear" w:color="auto" w:fill="auto"/>
            <w:vAlign w:val="bottom"/>
          </w:tcPr>
          <w:p w14:paraId="06BA1F0C" w14:textId="77777777" w:rsidR="00E96A95" w:rsidRPr="00537128" w:rsidRDefault="00E96A95" w:rsidP="00E96A95">
            <w:pPr>
              <w:tabs>
                <w:tab w:val="right" w:pos="1202"/>
              </w:tabs>
              <w:spacing w:after="0" w:line="240" w:lineRule="auto"/>
              <w:outlineLvl w:val="0"/>
              <w:rPr>
                <w:rFonts w:ascii="Calibri" w:eastAsia="Times New Roman" w:hAnsi="Calibri" w:cs="Arial"/>
                <w:spacing w:val="-2"/>
                <w:sz w:val="19"/>
                <w:szCs w:val="19"/>
                <w:highlight w:val="yellow"/>
                <w:lang w:val="en-US"/>
              </w:rPr>
            </w:pPr>
            <w:bookmarkStart w:id="1209" w:name="_Toc4063156"/>
            <w:r w:rsidRPr="00537128">
              <w:rPr>
                <w:rFonts w:ascii="Calibri" w:eastAsia="Times New Roman" w:hAnsi="Calibri" w:cs="Arial"/>
                <w:spacing w:val="-2"/>
                <w:sz w:val="19"/>
                <w:szCs w:val="19"/>
                <w:lang w:val="en-US"/>
              </w:rPr>
              <w:t>Bonds of the Republic of Croatia</w:t>
            </w:r>
            <w:bookmarkEnd w:id="1209"/>
          </w:p>
        </w:tc>
        <w:tc>
          <w:tcPr>
            <w:tcW w:w="1276" w:type="dxa"/>
            <w:tcBorders>
              <w:top w:val="nil"/>
              <w:left w:val="nil"/>
              <w:bottom w:val="nil"/>
              <w:right w:val="nil"/>
            </w:tcBorders>
            <w:shd w:val="clear" w:color="auto" w:fill="auto"/>
            <w:vAlign w:val="bottom"/>
          </w:tcPr>
          <w:p w14:paraId="2D45BD11" w14:textId="6D1B1B80"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r w:rsidRPr="007A49AD">
              <w:rPr>
                <w:sz w:val="19"/>
                <w:szCs w:val="19"/>
              </w:rPr>
              <w:t>1</w:t>
            </w:r>
            <w:r>
              <w:rPr>
                <w:sz w:val="19"/>
                <w:szCs w:val="19"/>
              </w:rPr>
              <w:t>,</w:t>
            </w:r>
            <w:r w:rsidRPr="007A49AD">
              <w:rPr>
                <w:sz w:val="19"/>
                <w:szCs w:val="19"/>
              </w:rPr>
              <w:t>537</w:t>
            </w:r>
            <w:r>
              <w:rPr>
                <w:sz w:val="19"/>
                <w:szCs w:val="19"/>
              </w:rPr>
              <w:t>,</w:t>
            </w:r>
            <w:r w:rsidRPr="007A49AD">
              <w:rPr>
                <w:sz w:val="19"/>
                <w:szCs w:val="19"/>
              </w:rPr>
              <w:t>295</w:t>
            </w:r>
          </w:p>
        </w:tc>
        <w:tc>
          <w:tcPr>
            <w:tcW w:w="1276" w:type="dxa"/>
            <w:tcBorders>
              <w:top w:val="nil"/>
              <w:left w:val="nil"/>
              <w:bottom w:val="nil"/>
              <w:right w:val="nil"/>
            </w:tcBorders>
            <w:shd w:val="clear" w:color="auto" w:fill="auto"/>
            <w:vAlign w:val="bottom"/>
          </w:tcPr>
          <w:p w14:paraId="6773075F" w14:textId="66F4E4CB"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r w:rsidRPr="007A49AD">
              <w:rPr>
                <w:sz w:val="19"/>
                <w:szCs w:val="19"/>
              </w:rPr>
              <w:t xml:space="preserve"> - </w:t>
            </w:r>
          </w:p>
        </w:tc>
        <w:tc>
          <w:tcPr>
            <w:tcW w:w="1304" w:type="dxa"/>
            <w:tcBorders>
              <w:top w:val="nil"/>
              <w:left w:val="nil"/>
              <w:bottom w:val="nil"/>
              <w:right w:val="nil"/>
            </w:tcBorders>
            <w:shd w:val="clear" w:color="auto" w:fill="auto"/>
            <w:vAlign w:val="bottom"/>
          </w:tcPr>
          <w:p w14:paraId="42EEAB51" w14:textId="5BFA3AED"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r w:rsidRPr="007A49AD">
              <w:rPr>
                <w:sz w:val="19"/>
                <w:szCs w:val="19"/>
              </w:rPr>
              <w:t xml:space="preserve"> - </w:t>
            </w:r>
          </w:p>
        </w:tc>
      </w:tr>
      <w:tr w:rsidR="00E96A95" w:rsidRPr="00537128" w14:paraId="040D0858" w14:textId="77777777" w:rsidTr="00456F9A">
        <w:trPr>
          <w:trHeight w:val="291"/>
          <w:jc w:val="center"/>
        </w:trPr>
        <w:tc>
          <w:tcPr>
            <w:tcW w:w="5528" w:type="dxa"/>
            <w:shd w:val="clear" w:color="auto" w:fill="auto"/>
            <w:vAlign w:val="bottom"/>
          </w:tcPr>
          <w:p w14:paraId="7F0BB1FE" w14:textId="77777777" w:rsidR="00E96A95" w:rsidRPr="00537128" w:rsidRDefault="00E96A95" w:rsidP="00E96A95">
            <w:pPr>
              <w:tabs>
                <w:tab w:val="right" w:pos="1202"/>
              </w:tabs>
              <w:spacing w:after="0" w:line="240" w:lineRule="auto"/>
              <w:outlineLvl w:val="0"/>
              <w:rPr>
                <w:rFonts w:ascii="Calibri" w:eastAsia="Times New Roman" w:hAnsi="Calibri" w:cs="Arial"/>
                <w:spacing w:val="-2"/>
                <w:sz w:val="19"/>
                <w:szCs w:val="19"/>
                <w:highlight w:val="yellow"/>
                <w:lang w:val="en-US"/>
              </w:rPr>
            </w:pPr>
            <w:bookmarkStart w:id="1210" w:name="_Toc4063160"/>
            <w:r w:rsidRPr="00537128">
              <w:rPr>
                <w:rFonts w:ascii="Calibri" w:eastAsia="Times New Roman" w:hAnsi="Calibri" w:cs="Arial"/>
                <w:spacing w:val="-2"/>
                <w:sz w:val="19"/>
                <w:szCs w:val="19"/>
                <w:lang w:val="en-US"/>
              </w:rPr>
              <w:t>Treasury bills of the Ministry of Finance</w:t>
            </w:r>
            <w:bookmarkEnd w:id="1210"/>
            <w:r w:rsidRPr="00537128">
              <w:rPr>
                <w:rFonts w:ascii="Calibri" w:eastAsia="Times New Roman" w:hAnsi="Calibri" w:cs="Arial"/>
                <w:spacing w:val="-2"/>
                <w:sz w:val="19"/>
                <w:szCs w:val="19"/>
                <w:lang w:val="en-US"/>
              </w:rPr>
              <w:t xml:space="preserve"> </w:t>
            </w:r>
          </w:p>
        </w:tc>
        <w:tc>
          <w:tcPr>
            <w:tcW w:w="1276" w:type="dxa"/>
            <w:tcBorders>
              <w:top w:val="nil"/>
              <w:left w:val="nil"/>
              <w:bottom w:val="nil"/>
              <w:right w:val="nil"/>
            </w:tcBorders>
            <w:shd w:val="clear" w:color="auto" w:fill="auto"/>
            <w:vAlign w:val="bottom"/>
          </w:tcPr>
          <w:p w14:paraId="7EB85D53" w14:textId="29B3879E"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w:t>
            </w:r>
          </w:p>
        </w:tc>
        <w:tc>
          <w:tcPr>
            <w:tcW w:w="1276" w:type="dxa"/>
            <w:tcBorders>
              <w:top w:val="nil"/>
              <w:left w:val="nil"/>
              <w:bottom w:val="nil"/>
              <w:right w:val="nil"/>
            </w:tcBorders>
            <w:shd w:val="clear" w:color="auto" w:fill="auto"/>
            <w:vAlign w:val="bottom"/>
          </w:tcPr>
          <w:p w14:paraId="01E12354" w14:textId="348E9EB3"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r w:rsidRPr="00184DF8">
              <w:rPr>
                <w:sz w:val="19"/>
                <w:szCs w:val="19"/>
              </w:rPr>
              <w:t>1</w:t>
            </w:r>
            <w:r>
              <w:rPr>
                <w:sz w:val="19"/>
                <w:szCs w:val="19"/>
              </w:rPr>
              <w:t>,</w:t>
            </w:r>
            <w:r w:rsidRPr="00184DF8">
              <w:rPr>
                <w:sz w:val="19"/>
                <w:szCs w:val="19"/>
              </w:rPr>
              <w:t>601</w:t>
            </w:r>
            <w:r>
              <w:rPr>
                <w:sz w:val="19"/>
                <w:szCs w:val="19"/>
              </w:rPr>
              <w:t>,</w:t>
            </w:r>
            <w:r w:rsidRPr="00184DF8">
              <w:rPr>
                <w:sz w:val="19"/>
                <w:szCs w:val="19"/>
              </w:rPr>
              <w:t>342</w:t>
            </w:r>
          </w:p>
        </w:tc>
        <w:tc>
          <w:tcPr>
            <w:tcW w:w="1304" w:type="dxa"/>
            <w:tcBorders>
              <w:top w:val="nil"/>
              <w:left w:val="nil"/>
              <w:bottom w:val="nil"/>
              <w:right w:val="nil"/>
            </w:tcBorders>
            <w:shd w:val="clear" w:color="auto" w:fill="auto"/>
            <w:vAlign w:val="bottom"/>
          </w:tcPr>
          <w:p w14:paraId="35150FD4" w14:textId="478CE5BD"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p>
        </w:tc>
      </w:tr>
      <w:tr w:rsidR="00E96A95" w:rsidRPr="00537128" w14:paraId="0005DE37" w14:textId="77777777" w:rsidTr="00456F9A">
        <w:trPr>
          <w:trHeight w:val="291"/>
          <w:jc w:val="center"/>
        </w:trPr>
        <w:tc>
          <w:tcPr>
            <w:tcW w:w="5528" w:type="dxa"/>
            <w:shd w:val="clear" w:color="auto" w:fill="auto"/>
            <w:vAlign w:val="bottom"/>
          </w:tcPr>
          <w:p w14:paraId="0305D7A9" w14:textId="77777777" w:rsidR="00E96A95" w:rsidRPr="00537128" w:rsidRDefault="00E96A95" w:rsidP="00E96A95">
            <w:pPr>
              <w:tabs>
                <w:tab w:val="right" w:pos="1202"/>
              </w:tabs>
              <w:spacing w:after="0" w:line="240" w:lineRule="auto"/>
              <w:outlineLvl w:val="0"/>
              <w:rPr>
                <w:rFonts w:ascii="Calibri" w:eastAsia="Times New Roman" w:hAnsi="Calibri" w:cs="Arial"/>
                <w:spacing w:val="-2"/>
                <w:sz w:val="19"/>
                <w:szCs w:val="19"/>
                <w:highlight w:val="yellow"/>
                <w:lang w:val="en-US"/>
              </w:rPr>
            </w:pPr>
            <w:bookmarkStart w:id="1211" w:name="_Toc4063164"/>
            <w:r w:rsidRPr="00537128">
              <w:rPr>
                <w:rFonts w:ascii="Calibri" w:eastAsia="Times New Roman" w:hAnsi="Calibri" w:cs="Arial"/>
                <w:spacing w:val="-2"/>
                <w:sz w:val="19"/>
                <w:szCs w:val="19"/>
                <w:lang w:val="en-US"/>
              </w:rPr>
              <w:t>Accrued interest</w:t>
            </w:r>
            <w:bookmarkEnd w:id="1211"/>
          </w:p>
        </w:tc>
        <w:tc>
          <w:tcPr>
            <w:tcW w:w="1276" w:type="dxa"/>
            <w:tcBorders>
              <w:top w:val="nil"/>
              <w:left w:val="nil"/>
              <w:bottom w:val="nil"/>
              <w:right w:val="nil"/>
            </w:tcBorders>
            <w:shd w:val="clear" w:color="auto" w:fill="auto"/>
            <w:vAlign w:val="bottom"/>
          </w:tcPr>
          <w:p w14:paraId="122F3102" w14:textId="4895304D"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11,716</w:t>
            </w:r>
          </w:p>
        </w:tc>
        <w:tc>
          <w:tcPr>
            <w:tcW w:w="1276" w:type="dxa"/>
            <w:tcBorders>
              <w:top w:val="nil"/>
              <w:left w:val="nil"/>
              <w:bottom w:val="nil"/>
              <w:right w:val="nil"/>
            </w:tcBorders>
            <w:shd w:val="clear" w:color="auto" w:fill="auto"/>
            <w:vAlign w:val="bottom"/>
          </w:tcPr>
          <w:p w14:paraId="3777DF90" w14:textId="6B24EB5C"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w:t>
            </w:r>
          </w:p>
        </w:tc>
        <w:tc>
          <w:tcPr>
            <w:tcW w:w="1304" w:type="dxa"/>
            <w:tcBorders>
              <w:top w:val="nil"/>
              <w:left w:val="nil"/>
              <w:bottom w:val="nil"/>
              <w:right w:val="nil"/>
            </w:tcBorders>
            <w:shd w:val="clear" w:color="auto" w:fill="auto"/>
            <w:vAlign w:val="bottom"/>
          </w:tcPr>
          <w:p w14:paraId="0CC86CE2" w14:textId="02661A3E"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r w:rsidRPr="007A49AD">
              <w:rPr>
                <w:sz w:val="19"/>
                <w:szCs w:val="19"/>
              </w:rPr>
              <w:t>-</w:t>
            </w:r>
          </w:p>
        </w:tc>
      </w:tr>
      <w:tr w:rsidR="00E96A95" w:rsidRPr="00537128" w14:paraId="6DDC8205" w14:textId="77777777" w:rsidTr="00456F9A">
        <w:trPr>
          <w:trHeight w:val="291"/>
          <w:jc w:val="center"/>
        </w:trPr>
        <w:tc>
          <w:tcPr>
            <w:tcW w:w="5528" w:type="dxa"/>
            <w:shd w:val="clear" w:color="auto" w:fill="auto"/>
            <w:vAlign w:val="bottom"/>
          </w:tcPr>
          <w:p w14:paraId="7C2A9BB9" w14:textId="77777777" w:rsidR="00E96A95" w:rsidRPr="00537128" w:rsidRDefault="00E96A95" w:rsidP="00E96A95">
            <w:pPr>
              <w:tabs>
                <w:tab w:val="right" w:pos="1202"/>
              </w:tabs>
              <w:spacing w:after="0" w:line="240" w:lineRule="auto"/>
              <w:outlineLvl w:val="0"/>
              <w:rPr>
                <w:rFonts w:ascii="Calibri" w:eastAsia="Times New Roman" w:hAnsi="Calibri" w:cs="Arial"/>
                <w:b/>
                <w:i/>
                <w:spacing w:val="-2"/>
                <w:sz w:val="19"/>
                <w:szCs w:val="19"/>
                <w:highlight w:val="yellow"/>
                <w:lang w:val="en-US"/>
              </w:rPr>
            </w:pPr>
            <w:bookmarkStart w:id="1212" w:name="_Toc4063168"/>
            <w:r w:rsidRPr="00537128">
              <w:rPr>
                <w:rFonts w:ascii="Calibri" w:eastAsia="Times New Roman" w:hAnsi="Calibri" w:cs="Arial"/>
                <w:b/>
                <w:i/>
                <w:spacing w:val="-2"/>
                <w:sz w:val="19"/>
                <w:szCs w:val="19"/>
                <w:lang w:val="en-US"/>
              </w:rPr>
              <w:t>Unlisted debt instruments:</w:t>
            </w:r>
            <w:bookmarkEnd w:id="1212"/>
          </w:p>
        </w:tc>
        <w:tc>
          <w:tcPr>
            <w:tcW w:w="1276" w:type="dxa"/>
            <w:tcBorders>
              <w:top w:val="nil"/>
              <w:left w:val="nil"/>
              <w:bottom w:val="nil"/>
              <w:right w:val="nil"/>
            </w:tcBorders>
            <w:shd w:val="clear" w:color="auto" w:fill="auto"/>
            <w:vAlign w:val="bottom"/>
          </w:tcPr>
          <w:p w14:paraId="09A50DCF" w14:textId="77777777"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p>
        </w:tc>
        <w:tc>
          <w:tcPr>
            <w:tcW w:w="1276" w:type="dxa"/>
            <w:tcBorders>
              <w:top w:val="nil"/>
              <w:left w:val="nil"/>
              <w:bottom w:val="nil"/>
              <w:right w:val="nil"/>
            </w:tcBorders>
            <w:shd w:val="clear" w:color="auto" w:fill="auto"/>
            <w:vAlign w:val="bottom"/>
          </w:tcPr>
          <w:p w14:paraId="1C0F7A5F" w14:textId="77777777" w:rsidR="00E96A95" w:rsidRPr="00A1123E" w:rsidRDefault="00E96A95" w:rsidP="00E96A95">
            <w:pPr>
              <w:tabs>
                <w:tab w:val="right" w:pos="1202"/>
              </w:tabs>
              <w:spacing w:after="0" w:line="240" w:lineRule="auto"/>
              <w:jc w:val="right"/>
              <w:outlineLvl w:val="0"/>
              <w:rPr>
                <w:rFonts w:ascii="Calibri" w:eastAsia="Times New Roman" w:hAnsi="Calibri" w:cs="Arial"/>
                <w:spacing w:val="-2"/>
                <w:sz w:val="18"/>
                <w:szCs w:val="18"/>
                <w:lang w:val="en-US"/>
              </w:rPr>
            </w:pPr>
          </w:p>
        </w:tc>
        <w:tc>
          <w:tcPr>
            <w:tcW w:w="1304" w:type="dxa"/>
            <w:tcBorders>
              <w:top w:val="nil"/>
              <w:left w:val="nil"/>
              <w:bottom w:val="nil"/>
              <w:right w:val="nil"/>
            </w:tcBorders>
            <w:shd w:val="clear" w:color="auto" w:fill="auto"/>
            <w:vAlign w:val="bottom"/>
          </w:tcPr>
          <w:p w14:paraId="18D63C85" w14:textId="77777777" w:rsidR="00E96A95" w:rsidRPr="00A1123E" w:rsidRDefault="00E96A95" w:rsidP="00E96A95">
            <w:pPr>
              <w:tabs>
                <w:tab w:val="right" w:pos="1202"/>
              </w:tabs>
              <w:spacing w:after="0" w:line="240" w:lineRule="auto"/>
              <w:jc w:val="right"/>
              <w:outlineLvl w:val="0"/>
              <w:rPr>
                <w:rFonts w:ascii="Calibri" w:eastAsia="Times New Roman" w:hAnsi="Calibri" w:cs="Arial"/>
                <w:spacing w:val="-2"/>
                <w:sz w:val="18"/>
                <w:szCs w:val="18"/>
                <w:lang w:val="en-US"/>
              </w:rPr>
            </w:pPr>
          </w:p>
        </w:tc>
      </w:tr>
      <w:tr w:rsidR="00E96A95" w:rsidRPr="00537128" w14:paraId="79E33EAD" w14:textId="77777777" w:rsidTr="00756C25">
        <w:trPr>
          <w:trHeight w:val="291"/>
          <w:jc w:val="center"/>
        </w:trPr>
        <w:tc>
          <w:tcPr>
            <w:tcW w:w="5528" w:type="dxa"/>
            <w:shd w:val="clear" w:color="auto" w:fill="auto"/>
            <w:vAlign w:val="bottom"/>
          </w:tcPr>
          <w:p w14:paraId="3F74F380" w14:textId="77777777" w:rsidR="00E96A95" w:rsidRPr="00537128" w:rsidRDefault="00E96A95" w:rsidP="00E96A95">
            <w:pPr>
              <w:tabs>
                <w:tab w:val="right" w:pos="1202"/>
              </w:tabs>
              <w:spacing w:after="0" w:line="240" w:lineRule="auto"/>
              <w:outlineLvl w:val="0"/>
              <w:rPr>
                <w:rFonts w:ascii="Calibri" w:eastAsia="Times New Roman" w:hAnsi="Calibri" w:cs="Arial"/>
                <w:spacing w:val="-2"/>
                <w:sz w:val="19"/>
                <w:szCs w:val="19"/>
                <w:highlight w:val="yellow"/>
                <w:lang w:val="en-US"/>
              </w:rPr>
            </w:pPr>
            <w:bookmarkStart w:id="1213" w:name="_Toc4063169"/>
            <w:r w:rsidRPr="00537128">
              <w:rPr>
                <w:rFonts w:ascii="Calibri" w:eastAsia="Times New Roman" w:hAnsi="Calibri" w:cs="Arial"/>
                <w:spacing w:val="-2"/>
                <w:sz w:val="19"/>
                <w:szCs w:val="19"/>
                <w:lang w:val="en-US"/>
              </w:rPr>
              <w:t>Corporate bonds</w:t>
            </w:r>
            <w:bookmarkEnd w:id="1213"/>
          </w:p>
        </w:tc>
        <w:tc>
          <w:tcPr>
            <w:tcW w:w="1276" w:type="dxa"/>
            <w:tcBorders>
              <w:top w:val="nil"/>
              <w:left w:val="nil"/>
              <w:bottom w:val="nil"/>
              <w:right w:val="nil"/>
            </w:tcBorders>
            <w:shd w:val="clear" w:color="auto" w:fill="auto"/>
          </w:tcPr>
          <w:p w14:paraId="04AE4EBE" w14:textId="18A1F0C9"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r w:rsidRPr="007A49AD">
              <w:rPr>
                <w:sz w:val="19"/>
                <w:szCs w:val="19"/>
              </w:rPr>
              <w:t>-</w:t>
            </w:r>
          </w:p>
        </w:tc>
        <w:tc>
          <w:tcPr>
            <w:tcW w:w="1276" w:type="dxa"/>
            <w:tcBorders>
              <w:top w:val="nil"/>
              <w:left w:val="nil"/>
              <w:bottom w:val="nil"/>
              <w:right w:val="nil"/>
            </w:tcBorders>
            <w:shd w:val="clear" w:color="auto" w:fill="auto"/>
          </w:tcPr>
          <w:p w14:paraId="2E0F8F50" w14:textId="179F0BCA"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r w:rsidRPr="007A49AD">
              <w:rPr>
                <w:sz w:val="19"/>
                <w:szCs w:val="19"/>
              </w:rPr>
              <w:t>-</w:t>
            </w:r>
          </w:p>
        </w:tc>
        <w:tc>
          <w:tcPr>
            <w:tcW w:w="1304" w:type="dxa"/>
            <w:tcBorders>
              <w:top w:val="nil"/>
              <w:left w:val="nil"/>
              <w:bottom w:val="nil"/>
              <w:right w:val="nil"/>
            </w:tcBorders>
            <w:shd w:val="clear" w:color="auto" w:fill="auto"/>
          </w:tcPr>
          <w:p w14:paraId="25F9C40F" w14:textId="4B9403C6" w:rsidR="00E96A95" w:rsidRPr="00A1123E" w:rsidRDefault="00E96A95" w:rsidP="00E96A95">
            <w:pPr>
              <w:tabs>
                <w:tab w:val="right" w:pos="1202"/>
              </w:tabs>
              <w:spacing w:after="0" w:line="240" w:lineRule="auto"/>
              <w:jc w:val="right"/>
              <w:outlineLvl w:val="0"/>
              <w:rPr>
                <w:rFonts w:ascii="Calibri" w:eastAsia="Times New Roman" w:hAnsi="Calibri" w:cs="Arial"/>
                <w:spacing w:val="-2"/>
                <w:sz w:val="18"/>
                <w:szCs w:val="18"/>
                <w:lang w:val="en-US"/>
              </w:rPr>
            </w:pPr>
            <w:r w:rsidRPr="007A49AD">
              <w:rPr>
                <w:sz w:val="19"/>
                <w:szCs w:val="19"/>
              </w:rPr>
              <w:t>506</w:t>
            </w:r>
          </w:p>
        </w:tc>
      </w:tr>
      <w:tr w:rsidR="00E96A95" w:rsidRPr="00537128" w14:paraId="5145F3C6" w14:textId="77777777" w:rsidTr="00756C25">
        <w:trPr>
          <w:trHeight w:val="291"/>
          <w:jc w:val="center"/>
        </w:trPr>
        <w:tc>
          <w:tcPr>
            <w:tcW w:w="5528" w:type="dxa"/>
            <w:shd w:val="clear" w:color="auto" w:fill="auto"/>
            <w:vAlign w:val="bottom"/>
          </w:tcPr>
          <w:p w14:paraId="1DE85AC7" w14:textId="77777777" w:rsidR="00E96A95" w:rsidRPr="00537128" w:rsidRDefault="00E96A95" w:rsidP="00E96A95">
            <w:pPr>
              <w:tabs>
                <w:tab w:val="right" w:pos="1202"/>
              </w:tabs>
              <w:spacing w:after="0" w:line="240" w:lineRule="auto"/>
              <w:outlineLvl w:val="0"/>
              <w:rPr>
                <w:rFonts w:ascii="Calibri" w:eastAsia="Times New Roman" w:hAnsi="Calibri" w:cs="Arial"/>
                <w:spacing w:val="-2"/>
                <w:sz w:val="19"/>
                <w:szCs w:val="19"/>
                <w:lang w:val="en-US"/>
              </w:rPr>
            </w:pPr>
            <w:r w:rsidRPr="00537128">
              <w:rPr>
                <w:rFonts w:ascii="Calibri" w:eastAsia="Times New Roman" w:hAnsi="Calibri" w:cs="Arial"/>
                <w:spacing w:val="-2"/>
                <w:sz w:val="19"/>
                <w:szCs w:val="19"/>
                <w:lang w:val="en-US"/>
              </w:rPr>
              <w:t>Convertible bonds - CB</w:t>
            </w:r>
          </w:p>
        </w:tc>
        <w:tc>
          <w:tcPr>
            <w:tcW w:w="1276" w:type="dxa"/>
            <w:tcBorders>
              <w:top w:val="nil"/>
              <w:left w:val="nil"/>
              <w:bottom w:val="nil"/>
              <w:right w:val="nil"/>
            </w:tcBorders>
            <w:shd w:val="clear" w:color="auto" w:fill="auto"/>
          </w:tcPr>
          <w:p w14:paraId="75EF355E" w14:textId="08619009"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r w:rsidRPr="007A49AD">
              <w:rPr>
                <w:sz w:val="19"/>
                <w:szCs w:val="19"/>
              </w:rPr>
              <w:t>-</w:t>
            </w:r>
          </w:p>
        </w:tc>
        <w:tc>
          <w:tcPr>
            <w:tcW w:w="1276" w:type="dxa"/>
            <w:tcBorders>
              <w:top w:val="nil"/>
              <w:left w:val="nil"/>
              <w:bottom w:val="nil"/>
              <w:right w:val="nil"/>
            </w:tcBorders>
            <w:shd w:val="clear" w:color="auto" w:fill="auto"/>
          </w:tcPr>
          <w:p w14:paraId="74DF5660" w14:textId="21DF593A"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r w:rsidRPr="007A49AD">
              <w:rPr>
                <w:sz w:val="19"/>
                <w:szCs w:val="19"/>
              </w:rPr>
              <w:t>-</w:t>
            </w:r>
          </w:p>
        </w:tc>
        <w:tc>
          <w:tcPr>
            <w:tcW w:w="1304" w:type="dxa"/>
            <w:tcBorders>
              <w:top w:val="nil"/>
              <w:left w:val="nil"/>
              <w:bottom w:val="nil"/>
              <w:right w:val="nil"/>
            </w:tcBorders>
            <w:shd w:val="clear" w:color="auto" w:fill="auto"/>
          </w:tcPr>
          <w:p w14:paraId="37018B33" w14:textId="0263CEB7" w:rsidR="00E96A95" w:rsidRPr="00A1123E" w:rsidRDefault="00E96A95" w:rsidP="00E96A95">
            <w:pPr>
              <w:tabs>
                <w:tab w:val="right" w:pos="1202"/>
              </w:tabs>
              <w:spacing w:after="0" w:line="240" w:lineRule="auto"/>
              <w:jc w:val="right"/>
              <w:outlineLvl w:val="0"/>
              <w:rPr>
                <w:rFonts w:ascii="Calibri" w:eastAsia="Times New Roman" w:hAnsi="Calibri" w:cs="Arial"/>
                <w:spacing w:val="-2"/>
                <w:sz w:val="18"/>
                <w:szCs w:val="18"/>
                <w:lang w:val="en-US"/>
              </w:rPr>
            </w:pPr>
            <w:r w:rsidRPr="007A49AD">
              <w:rPr>
                <w:sz w:val="19"/>
                <w:szCs w:val="19"/>
              </w:rPr>
              <w:t>1</w:t>
            </w:r>
            <w:r>
              <w:rPr>
                <w:sz w:val="19"/>
                <w:szCs w:val="19"/>
              </w:rPr>
              <w:t>,</w:t>
            </w:r>
            <w:r w:rsidRPr="007A49AD">
              <w:rPr>
                <w:sz w:val="19"/>
                <w:szCs w:val="19"/>
              </w:rPr>
              <w:t>408</w:t>
            </w:r>
          </w:p>
        </w:tc>
      </w:tr>
      <w:tr w:rsidR="00E96A95" w:rsidRPr="00537128" w14:paraId="61FB1900" w14:textId="77777777" w:rsidTr="00756C25">
        <w:trPr>
          <w:trHeight w:val="291"/>
          <w:jc w:val="center"/>
        </w:trPr>
        <w:tc>
          <w:tcPr>
            <w:tcW w:w="5528" w:type="dxa"/>
            <w:shd w:val="clear" w:color="auto" w:fill="auto"/>
            <w:vAlign w:val="bottom"/>
          </w:tcPr>
          <w:p w14:paraId="03A5E161" w14:textId="77777777" w:rsidR="00E96A95" w:rsidRPr="00537128" w:rsidRDefault="00E96A95" w:rsidP="00E96A95">
            <w:pPr>
              <w:tabs>
                <w:tab w:val="right" w:pos="1202"/>
              </w:tabs>
              <w:spacing w:after="0" w:line="240" w:lineRule="auto"/>
              <w:outlineLvl w:val="0"/>
              <w:rPr>
                <w:rFonts w:ascii="Calibri" w:eastAsia="Times New Roman" w:hAnsi="Calibri" w:cs="Arial"/>
                <w:spacing w:val="-2"/>
                <w:sz w:val="19"/>
                <w:szCs w:val="19"/>
                <w:highlight w:val="yellow"/>
                <w:lang w:val="en-US"/>
              </w:rPr>
            </w:pPr>
            <w:bookmarkStart w:id="1214" w:name="_Toc4063173"/>
            <w:r w:rsidRPr="00537128">
              <w:rPr>
                <w:rFonts w:ascii="Calibri" w:eastAsia="Times New Roman" w:hAnsi="Calibri" w:cs="Arial"/>
                <w:spacing w:val="-2"/>
                <w:sz w:val="19"/>
                <w:szCs w:val="19"/>
                <w:lang w:val="en-US"/>
              </w:rPr>
              <w:t>Accrued interest</w:t>
            </w:r>
            <w:bookmarkEnd w:id="1214"/>
          </w:p>
        </w:tc>
        <w:tc>
          <w:tcPr>
            <w:tcW w:w="1276" w:type="dxa"/>
            <w:tcBorders>
              <w:top w:val="nil"/>
              <w:left w:val="nil"/>
              <w:bottom w:val="single" w:sz="4" w:space="0" w:color="auto"/>
              <w:right w:val="nil"/>
            </w:tcBorders>
            <w:shd w:val="clear" w:color="auto" w:fill="auto"/>
          </w:tcPr>
          <w:p w14:paraId="0DC3EFAD" w14:textId="0440F0FB"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r w:rsidRPr="007A49AD">
              <w:rPr>
                <w:sz w:val="19"/>
                <w:szCs w:val="19"/>
              </w:rPr>
              <w:t>-</w:t>
            </w:r>
          </w:p>
        </w:tc>
        <w:tc>
          <w:tcPr>
            <w:tcW w:w="1276" w:type="dxa"/>
            <w:tcBorders>
              <w:top w:val="nil"/>
              <w:left w:val="nil"/>
              <w:bottom w:val="single" w:sz="4" w:space="0" w:color="auto"/>
              <w:right w:val="nil"/>
            </w:tcBorders>
            <w:shd w:val="clear" w:color="auto" w:fill="auto"/>
          </w:tcPr>
          <w:p w14:paraId="30CE847C" w14:textId="4A6989CD"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r w:rsidRPr="007A49AD">
              <w:rPr>
                <w:sz w:val="19"/>
                <w:szCs w:val="19"/>
              </w:rPr>
              <w:t>-</w:t>
            </w:r>
          </w:p>
        </w:tc>
        <w:tc>
          <w:tcPr>
            <w:tcW w:w="1304" w:type="dxa"/>
            <w:tcBorders>
              <w:top w:val="nil"/>
              <w:left w:val="nil"/>
              <w:bottom w:val="single" w:sz="4" w:space="0" w:color="auto"/>
              <w:right w:val="nil"/>
            </w:tcBorders>
            <w:shd w:val="clear" w:color="auto" w:fill="auto"/>
          </w:tcPr>
          <w:p w14:paraId="7DBD4B35" w14:textId="4DD8554A" w:rsidR="00E96A95" w:rsidRPr="00A1123E" w:rsidRDefault="00E96A95" w:rsidP="00E96A95">
            <w:pPr>
              <w:tabs>
                <w:tab w:val="right" w:pos="1202"/>
              </w:tabs>
              <w:spacing w:after="0" w:line="240" w:lineRule="auto"/>
              <w:jc w:val="right"/>
              <w:outlineLvl w:val="0"/>
              <w:rPr>
                <w:rFonts w:ascii="Calibri" w:eastAsia="Times New Roman" w:hAnsi="Calibri" w:cs="Arial"/>
                <w:spacing w:val="-2"/>
                <w:sz w:val="18"/>
                <w:szCs w:val="18"/>
                <w:lang w:val="en-US"/>
              </w:rPr>
            </w:pPr>
            <w:r w:rsidRPr="007A49AD">
              <w:rPr>
                <w:sz w:val="19"/>
                <w:szCs w:val="19"/>
              </w:rPr>
              <w:t>237</w:t>
            </w:r>
          </w:p>
        </w:tc>
      </w:tr>
      <w:tr w:rsidR="00E96A95" w:rsidRPr="00537128" w14:paraId="13CA7221" w14:textId="77777777" w:rsidTr="00756C25">
        <w:trPr>
          <w:trHeight w:val="291"/>
          <w:jc w:val="center"/>
        </w:trPr>
        <w:tc>
          <w:tcPr>
            <w:tcW w:w="5528" w:type="dxa"/>
            <w:shd w:val="clear" w:color="auto" w:fill="auto"/>
            <w:vAlign w:val="bottom"/>
          </w:tcPr>
          <w:p w14:paraId="78FB12CD" w14:textId="77777777" w:rsidR="00E96A95" w:rsidRPr="00537128" w:rsidRDefault="00E96A95" w:rsidP="00E96A95">
            <w:pPr>
              <w:tabs>
                <w:tab w:val="right" w:pos="1202"/>
              </w:tabs>
              <w:spacing w:after="0" w:line="240" w:lineRule="auto"/>
              <w:outlineLvl w:val="0"/>
              <w:rPr>
                <w:rFonts w:ascii="Calibri" w:eastAsia="Times New Roman" w:hAnsi="Calibri" w:cs="Arial"/>
                <w:b/>
                <w:spacing w:val="-2"/>
                <w:sz w:val="19"/>
                <w:szCs w:val="19"/>
                <w:highlight w:val="yellow"/>
                <w:lang w:val="en-US"/>
              </w:rPr>
            </w:pPr>
            <w:bookmarkStart w:id="1215" w:name="_Toc4063177"/>
            <w:r w:rsidRPr="00537128">
              <w:rPr>
                <w:rFonts w:ascii="Calibri" w:eastAsia="Times New Roman" w:hAnsi="Calibri" w:cs="Arial"/>
                <w:b/>
                <w:spacing w:val="-2"/>
                <w:sz w:val="19"/>
                <w:szCs w:val="19"/>
                <w:lang w:val="en-US"/>
              </w:rPr>
              <w:t>Total debt instruments</w:t>
            </w:r>
            <w:bookmarkEnd w:id="1215"/>
          </w:p>
        </w:tc>
        <w:tc>
          <w:tcPr>
            <w:tcW w:w="1276" w:type="dxa"/>
            <w:tcBorders>
              <w:top w:val="single" w:sz="8" w:space="0" w:color="auto"/>
              <w:left w:val="nil"/>
              <w:bottom w:val="single" w:sz="12" w:space="0" w:color="auto"/>
              <w:right w:val="nil"/>
            </w:tcBorders>
            <w:shd w:val="clear" w:color="auto" w:fill="auto"/>
            <w:vAlign w:val="center"/>
          </w:tcPr>
          <w:p w14:paraId="530D41B3" w14:textId="5C461971" w:rsidR="00E96A95" w:rsidRPr="00A1123E" w:rsidRDefault="00E96A95" w:rsidP="00E96A95">
            <w:pPr>
              <w:tabs>
                <w:tab w:val="right" w:pos="1202"/>
              </w:tabs>
              <w:spacing w:after="0" w:line="240" w:lineRule="auto"/>
              <w:jc w:val="right"/>
              <w:outlineLvl w:val="0"/>
              <w:rPr>
                <w:rFonts w:ascii="Calibri" w:eastAsia="Times New Roman" w:hAnsi="Calibri" w:cs="Arial"/>
                <w:b/>
                <w:spacing w:val="-2"/>
                <w:sz w:val="18"/>
                <w:szCs w:val="18"/>
                <w:lang w:val="en-US" w:eastAsia="hr-HR"/>
              </w:rPr>
            </w:pPr>
            <w:r>
              <w:rPr>
                <w:rFonts w:ascii="Calibri" w:hAnsi="Calibri" w:cs="Calibri"/>
                <w:b/>
                <w:bCs/>
                <w:color w:val="000000"/>
                <w:sz w:val="19"/>
                <w:szCs w:val="19"/>
              </w:rPr>
              <w:t>1,549,011</w:t>
            </w:r>
          </w:p>
        </w:tc>
        <w:tc>
          <w:tcPr>
            <w:tcW w:w="1276" w:type="dxa"/>
            <w:tcBorders>
              <w:top w:val="single" w:sz="8" w:space="0" w:color="auto"/>
              <w:left w:val="nil"/>
              <w:bottom w:val="single" w:sz="12" w:space="0" w:color="auto"/>
              <w:right w:val="nil"/>
            </w:tcBorders>
            <w:shd w:val="clear" w:color="auto" w:fill="auto"/>
            <w:vAlign w:val="center"/>
          </w:tcPr>
          <w:p w14:paraId="3E9E5A5A" w14:textId="3611CB02" w:rsidR="00E96A95" w:rsidRPr="00A1123E" w:rsidRDefault="00E96A95" w:rsidP="00E96A95">
            <w:pPr>
              <w:tabs>
                <w:tab w:val="right" w:pos="1202"/>
              </w:tabs>
              <w:spacing w:after="0" w:line="240" w:lineRule="auto"/>
              <w:jc w:val="right"/>
              <w:outlineLvl w:val="0"/>
              <w:rPr>
                <w:rFonts w:ascii="Calibri" w:eastAsia="Times New Roman" w:hAnsi="Calibri" w:cs="Arial"/>
                <w:spacing w:val="-2"/>
                <w:sz w:val="18"/>
                <w:szCs w:val="18"/>
                <w:lang w:val="en-US" w:eastAsia="hr-HR"/>
              </w:rPr>
            </w:pPr>
            <w:r>
              <w:rPr>
                <w:rFonts w:ascii="Calibri" w:hAnsi="Calibri" w:cs="Calibri"/>
                <w:b/>
                <w:bCs/>
                <w:color w:val="000000"/>
                <w:sz w:val="19"/>
                <w:szCs w:val="19"/>
              </w:rPr>
              <w:t>1,601,342</w:t>
            </w:r>
          </w:p>
        </w:tc>
        <w:tc>
          <w:tcPr>
            <w:tcW w:w="1304" w:type="dxa"/>
            <w:tcBorders>
              <w:top w:val="single" w:sz="8" w:space="0" w:color="auto"/>
              <w:left w:val="nil"/>
              <w:bottom w:val="single" w:sz="12" w:space="0" w:color="auto"/>
              <w:right w:val="nil"/>
            </w:tcBorders>
            <w:shd w:val="clear" w:color="auto" w:fill="auto"/>
            <w:vAlign w:val="center"/>
          </w:tcPr>
          <w:p w14:paraId="5BFCFEDE" w14:textId="6DB8451B" w:rsidR="00E96A95" w:rsidRPr="00A1123E" w:rsidRDefault="00E96A95" w:rsidP="00E96A95">
            <w:pPr>
              <w:tabs>
                <w:tab w:val="right" w:pos="1202"/>
              </w:tabs>
              <w:spacing w:after="0" w:line="240" w:lineRule="auto"/>
              <w:jc w:val="right"/>
              <w:outlineLvl w:val="0"/>
              <w:rPr>
                <w:rFonts w:ascii="Calibri" w:eastAsia="Times New Roman" w:hAnsi="Calibri" w:cs="Arial"/>
                <w:b/>
                <w:spacing w:val="-2"/>
                <w:sz w:val="18"/>
                <w:szCs w:val="18"/>
                <w:lang w:val="en-US" w:eastAsia="hr-HR"/>
              </w:rPr>
            </w:pPr>
            <w:r>
              <w:rPr>
                <w:rFonts w:ascii="Calibri" w:hAnsi="Calibri" w:cs="Calibri"/>
                <w:b/>
                <w:bCs/>
                <w:color w:val="000000"/>
                <w:sz w:val="19"/>
                <w:szCs w:val="19"/>
              </w:rPr>
              <w:t>2,151</w:t>
            </w:r>
          </w:p>
        </w:tc>
      </w:tr>
      <w:tr w:rsidR="00E96A95" w:rsidRPr="00537128" w14:paraId="543059B3" w14:textId="77777777" w:rsidTr="00456F9A">
        <w:trPr>
          <w:trHeight w:val="489"/>
          <w:jc w:val="center"/>
        </w:trPr>
        <w:tc>
          <w:tcPr>
            <w:tcW w:w="5528" w:type="dxa"/>
            <w:shd w:val="clear" w:color="auto" w:fill="auto"/>
            <w:vAlign w:val="bottom"/>
          </w:tcPr>
          <w:p w14:paraId="5889098B" w14:textId="77777777" w:rsidR="00E96A95" w:rsidRPr="00537128" w:rsidRDefault="00E96A95" w:rsidP="00E96A95">
            <w:pPr>
              <w:tabs>
                <w:tab w:val="right" w:pos="1202"/>
              </w:tabs>
              <w:spacing w:after="0" w:line="240" w:lineRule="auto"/>
              <w:outlineLvl w:val="0"/>
              <w:rPr>
                <w:rFonts w:ascii="Calibri" w:eastAsia="Times New Roman" w:hAnsi="Calibri" w:cs="Arial"/>
                <w:b/>
                <w:i/>
                <w:spacing w:val="-2"/>
                <w:sz w:val="19"/>
                <w:szCs w:val="19"/>
                <w:highlight w:val="yellow"/>
                <w:lang w:val="en-US"/>
              </w:rPr>
            </w:pPr>
            <w:bookmarkStart w:id="1216" w:name="_Toc4063181"/>
            <w:r w:rsidRPr="00537128">
              <w:rPr>
                <w:rFonts w:ascii="Calibri" w:eastAsia="Times New Roman" w:hAnsi="Calibri" w:cs="Arial"/>
                <w:b/>
                <w:i/>
                <w:spacing w:val="-2"/>
                <w:sz w:val="19"/>
                <w:szCs w:val="19"/>
                <w:lang w:val="en-US"/>
              </w:rPr>
              <w:t>Unlisted equity instruments:</w:t>
            </w:r>
            <w:bookmarkEnd w:id="1216"/>
            <w:r w:rsidRPr="00537128" w:rsidDel="00D51A81">
              <w:rPr>
                <w:rFonts w:ascii="Calibri" w:eastAsia="Times New Roman" w:hAnsi="Calibri" w:cs="Arial"/>
                <w:b/>
                <w:i/>
                <w:spacing w:val="-2"/>
                <w:sz w:val="19"/>
                <w:szCs w:val="19"/>
                <w:lang w:val="en-US"/>
              </w:rPr>
              <w:t xml:space="preserve"> </w:t>
            </w:r>
          </w:p>
        </w:tc>
        <w:tc>
          <w:tcPr>
            <w:tcW w:w="1276" w:type="dxa"/>
            <w:tcBorders>
              <w:top w:val="single" w:sz="12" w:space="0" w:color="auto"/>
            </w:tcBorders>
            <w:vAlign w:val="bottom"/>
          </w:tcPr>
          <w:p w14:paraId="1C40041F" w14:textId="77777777" w:rsidR="00E96A95" w:rsidRPr="00A1123E" w:rsidDel="00561A80" w:rsidRDefault="00E96A95" w:rsidP="00E96A95">
            <w:pPr>
              <w:tabs>
                <w:tab w:val="right" w:pos="1202"/>
              </w:tabs>
              <w:spacing w:after="0" w:line="240" w:lineRule="auto"/>
              <w:jc w:val="right"/>
              <w:outlineLvl w:val="0"/>
              <w:rPr>
                <w:rFonts w:ascii="Calibri" w:eastAsia="Times New Roman" w:hAnsi="Calibri" w:cs="Arial"/>
                <w:spacing w:val="-2"/>
                <w:sz w:val="18"/>
                <w:szCs w:val="18"/>
                <w:lang w:val="en-US"/>
              </w:rPr>
            </w:pPr>
          </w:p>
        </w:tc>
        <w:tc>
          <w:tcPr>
            <w:tcW w:w="1276" w:type="dxa"/>
            <w:tcBorders>
              <w:top w:val="single" w:sz="12" w:space="0" w:color="auto"/>
            </w:tcBorders>
            <w:vAlign w:val="bottom"/>
          </w:tcPr>
          <w:p w14:paraId="5EEADEF2" w14:textId="77777777" w:rsidR="00E96A95" w:rsidRPr="00A1123E" w:rsidDel="00561A80" w:rsidRDefault="00E96A95" w:rsidP="00E96A95">
            <w:pPr>
              <w:tabs>
                <w:tab w:val="right" w:pos="1202"/>
              </w:tabs>
              <w:spacing w:after="0" w:line="240" w:lineRule="auto"/>
              <w:jc w:val="right"/>
              <w:outlineLvl w:val="0"/>
              <w:rPr>
                <w:rFonts w:ascii="Calibri" w:eastAsia="Times New Roman" w:hAnsi="Calibri" w:cs="Arial"/>
                <w:spacing w:val="-2"/>
                <w:sz w:val="18"/>
                <w:szCs w:val="18"/>
                <w:lang w:val="en-US"/>
              </w:rPr>
            </w:pPr>
          </w:p>
        </w:tc>
        <w:tc>
          <w:tcPr>
            <w:tcW w:w="1304" w:type="dxa"/>
            <w:tcBorders>
              <w:top w:val="single" w:sz="12" w:space="0" w:color="auto"/>
            </w:tcBorders>
            <w:vAlign w:val="bottom"/>
          </w:tcPr>
          <w:p w14:paraId="7377C0E7" w14:textId="77777777" w:rsidR="00E96A95" w:rsidRPr="00A1123E" w:rsidDel="00561A80" w:rsidRDefault="00E96A95" w:rsidP="00E96A95">
            <w:pPr>
              <w:tabs>
                <w:tab w:val="right" w:pos="1202"/>
              </w:tabs>
              <w:spacing w:after="0" w:line="240" w:lineRule="auto"/>
              <w:jc w:val="right"/>
              <w:outlineLvl w:val="0"/>
              <w:rPr>
                <w:rFonts w:ascii="Calibri" w:eastAsia="Times New Roman" w:hAnsi="Calibri" w:cs="Arial"/>
                <w:spacing w:val="-2"/>
                <w:sz w:val="18"/>
                <w:szCs w:val="18"/>
                <w:lang w:val="en-US"/>
              </w:rPr>
            </w:pPr>
          </w:p>
        </w:tc>
      </w:tr>
      <w:tr w:rsidR="00E96A95" w:rsidRPr="00537128" w14:paraId="7BC27038" w14:textId="77777777" w:rsidTr="005243A5">
        <w:trPr>
          <w:trHeight w:val="291"/>
          <w:jc w:val="center"/>
        </w:trPr>
        <w:tc>
          <w:tcPr>
            <w:tcW w:w="5528" w:type="dxa"/>
            <w:shd w:val="clear" w:color="auto" w:fill="auto"/>
            <w:vAlign w:val="bottom"/>
          </w:tcPr>
          <w:p w14:paraId="5DEE0490" w14:textId="77777777" w:rsidR="00E96A95" w:rsidRPr="00537128" w:rsidRDefault="00E96A95" w:rsidP="00E96A95">
            <w:pPr>
              <w:tabs>
                <w:tab w:val="right" w:pos="1202"/>
              </w:tabs>
              <w:spacing w:after="0" w:line="240" w:lineRule="auto"/>
              <w:outlineLvl w:val="0"/>
              <w:rPr>
                <w:rFonts w:ascii="Calibri" w:eastAsia="Times New Roman" w:hAnsi="Calibri" w:cs="Arial"/>
                <w:sz w:val="19"/>
                <w:szCs w:val="19"/>
                <w:highlight w:val="yellow"/>
                <w:lang w:val="en-US"/>
              </w:rPr>
            </w:pPr>
            <w:bookmarkStart w:id="1217" w:name="_Toc4063182"/>
            <w:r w:rsidRPr="00537128">
              <w:rPr>
                <w:rFonts w:ascii="Calibri" w:eastAsia="Times New Roman" w:hAnsi="Calibri" w:cs="Arial"/>
                <w:sz w:val="19"/>
                <w:szCs w:val="19"/>
                <w:lang w:val="en-US"/>
              </w:rPr>
              <w:t>Investment in shares of foreign legal entities – SWIFT</w:t>
            </w:r>
            <w:bookmarkEnd w:id="1217"/>
          </w:p>
        </w:tc>
        <w:tc>
          <w:tcPr>
            <w:tcW w:w="1276" w:type="dxa"/>
            <w:tcBorders>
              <w:top w:val="nil"/>
              <w:left w:val="nil"/>
              <w:bottom w:val="nil"/>
              <w:right w:val="nil"/>
            </w:tcBorders>
            <w:shd w:val="clear" w:color="auto" w:fill="auto"/>
            <w:vAlign w:val="center"/>
          </w:tcPr>
          <w:p w14:paraId="0F31EEAB" w14:textId="644DA977"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r>
              <w:rPr>
                <w:rFonts w:ascii="Calibri" w:hAnsi="Calibri" w:cs="Calibri"/>
                <w:color w:val="000000"/>
                <w:sz w:val="19"/>
                <w:szCs w:val="19"/>
              </w:rPr>
              <w:t>-</w:t>
            </w:r>
          </w:p>
        </w:tc>
        <w:tc>
          <w:tcPr>
            <w:tcW w:w="1276" w:type="dxa"/>
            <w:tcBorders>
              <w:top w:val="nil"/>
              <w:left w:val="nil"/>
              <w:bottom w:val="nil"/>
              <w:right w:val="nil"/>
            </w:tcBorders>
            <w:shd w:val="clear" w:color="auto" w:fill="auto"/>
            <w:vAlign w:val="center"/>
          </w:tcPr>
          <w:p w14:paraId="099DCE3F" w14:textId="126B1F76"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r>
              <w:rPr>
                <w:rFonts w:ascii="Calibri" w:hAnsi="Calibri" w:cs="Calibri"/>
                <w:color w:val="000000"/>
                <w:sz w:val="19"/>
                <w:szCs w:val="19"/>
              </w:rPr>
              <w:t>45</w:t>
            </w:r>
          </w:p>
        </w:tc>
        <w:tc>
          <w:tcPr>
            <w:tcW w:w="1304" w:type="dxa"/>
            <w:tcBorders>
              <w:top w:val="nil"/>
              <w:left w:val="nil"/>
              <w:bottom w:val="nil"/>
              <w:right w:val="nil"/>
            </w:tcBorders>
            <w:shd w:val="clear" w:color="auto" w:fill="auto"/>
            <w:vAlign w:val="center"/>
          </w:tcPr>
          <w:p w14:paraId="05FDFC3D" w14:textId="32A2B48E"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r>
              <w:rPr>
                <w:rFonts w:ascii="Calibri" w:hAnsi="Calibri" w:cs="Calibri"/>
                <w:color w:val="000000"/>
                <w:sz w:val="19"/>
                <w:szCs w:val="19"/>
              </w:rPr>
              <w:t>-</w:t>
            </w:r>
          </w:p>
        </w:tc>
      </w:tr>
      <w:tr w:rsidR="00E96A95" w:rsidRPr="00537128" w14:paraId="4542D97C" w14:textId="77777777" w:rsidTr="005243A5">
        <w:trPr>
          <w:trHeight w:val="291"/>
          <w:jc w:val="center"/>
        </w:trPr>
        <w:tc>
          <w:tcPr>
            <w:tcW w:w="5528" w:type="dxa"/>
            <w:shd w:val="clear" w:color="auto" w:fill="auto"/>
            <w:vAlign w:val="bottom"/>
          </w:tcPr>
          <w:p w14:paraId="6D582028" w14:textId="77777777" w:rsidR="00E96A95" w:rsidRPr="00537128" w:rsidRDefault="00E96A95" w:rsidP="00E96A95">
            <w:pPr>
              <w:tabs>
                <w:tab w:val="right" w:pos="1202"/>
              </w:tabs>
              <w:spacing w:after="0" w:line="240" w:lineRule="auto"/>
              <w:outlineLvl w:val="0"/>
              <w:rPr>
                <w:rFonts w:ascii="Calibri" w:eastAsia="Times New Roman" w:hAnsi="Calibri" w:cs="Arial"/>
                <w:sz w:val="19"/>
                <w:szCs w:val="19"/>
                <w:highlight w:val="yellow"/>
                <w:lang w:val="en-US"/>
              </w:rPr>
            </w:pPr>
            <w:bookmarkStart w:id="1218" w:name="_Toc4063186"/>
            <w:r w:rsidRPr="00537128">
              <w:rPr>
                <w:rFonts w:ascii="Calibri" w:eastAsia="Times New Roman" w:hAnsi="Calibri" w:cs="Arial"/>
                <w:sz w:val="19"/>
                <w:szCs w:val="19"/>
                <w:lang w:val="en-US"/>
              </w:rPr>
              <w:t>Shares of foreign financial institutions – EIF</w:t>
            </w:r>
            <w:bookmarkEnd w:id="1218"/>
          </w:p>
        </w:tc>
        <w:tc>
          <w:tcPr>
            <w:tcW w:w="1276" w:type="dxa"/>
            <w:tcBorders>
              <w:top w:val="nil"/>
              <w:left w:val="nil"/>
              <w:bottom w:val="nil"/>
              <w:right w:val="nil"/>
            </w:tcBorders>
            <w:shd w:val="clear" w:color="auto" w:fill="auto"/>
            <w:vAlign w:val="center"/>
          </w:tcPr>
          <w:p w14:paraId="68D69CA2" w14:textId="26F57864"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r>
              <w:rPr>
                <w:rFonts w:ascii="Calibri" w:hAnsi="Calibri" w:cs="Calibri"/>
                <w:color w:val="000000"/>
                <w:sz w:val="19"/>
                <w:szCs w:val="19"/>
              </w:rPr>
              <w:t>-</w:t>
            </w:r>
          </w:p>
        </w:tc>
        <w:tc>
          <w:tcPr>
            <w:tcW w:w="1276" w:type="dxa"/>
            <w:tcBorders>
              <w:top w:val="nil"/>
              <w:left w:val="nil"/>
              <w:bottom w:val="nil"/>
              <w:right w:val="nil"/>
            </w:tcBorders>
            <w:shd w:val="clear" w:color="auto" w:fill="auto"/>
            <w:vAlign w:val="center"/>
          </w:tcPr>
          <w:p w14:paraId="0C43E7AB" w14:textId="20643358"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r>
              <w:rPr>
                <w:rFonts w:ascii="Calibri" w:hAnsi="Calibri" w:cs="Calibri"/>
                <w:color w:val="000000"/>
                <w:sz w:val="19"/>
                <w:szCs w:val="19"/>
              </w:rPr>
              <w:t>43,311</w:t>
            </w:r>
          </w:p>
        </w:tc>
        <w:tc>
          <w:tcPr>
            <w:tcW w:w="1304" w:type="dxa"/>
            <w:tcBorders>
              <w:top w:val="nil"/>
              <w:left w:val="nil"/>
              <w:bottom w:val="nil"/>
              <w:right w:val="nil"/>
            </w:tcBorders>
            <w:shd w:val="clear" w:color="auto" w:fill="auto"/>
            <w:vAlign w:val="center"/>
          </w:tcPr>
          <w:p w14:paraId="241B456B" w14:textId="6992CF7A"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r>
              <w:rPr>
                <w:rFonts w:ascii="Calibri" w:hAnsi="Calibri" w:cs="Calibri"/>
                <w:color w:val="000000"/>
                <w:sz w:val="19"/>
                <w:szCs w:val="19"/>
              </w:rPr>
              <w:t>-</w:t>
            </w:r>
          </w:p>
        </w:tc>
      </w:tr>
      <w:tr w:rsidR="00E96A95" w:rsidRPr="00537128" w14:paraId="0735C33F" w14:textId="77777777" w:rsidTr="005E0B97">
        <w:trPr>
          <w:trHeight w:val="291"/>
          <w:jc w:val="center"/>
        </w:trPr>
        <w:tc>
          <w:tcPr>
            <w:tcW w:w="5528" w:type="dxa"/>
            <w:shd w:val="clear" w:color="auto" w:fill="auto"/>
            <w:vAlign w:val="bottom"/>
          </w:tcPr>
          <w:p w14:paraId="309E4C0E" w14:textId="77777777" w:rsidR="00E96A95" w:rsidRPr="00537128" w:rsidRDefault="00E96A95" w:rsidP="00E96A95">
            <w:pPr>
              <w:tabs>
                <w:tab w:val="right" w:pos="1202"/>
              </w:tabs>
              <w:spacing w:after="0" w:line="240" w:lineRule="auto"/>
              <w:outlineLvl w:val="0"/>
              <w:rPr>
                <w:rFonts w:ascii="Calibri" w:eastAsia="Times New Roman" w:hAnsi="Calibri" w:cs="Arial"/>
                <w:b/>
                <w:sz w:val="19"/>
                <w:szCs w:val="19"/>
                <w:highlight w:val="yellow"/>
                <w:lang w:val="en-US"/>
              </w:rPr>
            </w:pPr>
            <w:bookmarkStart w:id="1219" w:name="_Toc4063190"/>
            <w:r w:rsidRPr="00537128">
              <w:rPr>
                <w:rFonts w:ascii="Calibri" w:eastAsia="Times New Roman" w:hAnsi="Calibri" w:cs="Arial"/>
                <w:b/>
                <w:sz w:val="19"/>
                <w:szCs w:val="19"/>
                <w:lang w:val="en-US"/>
              </w:rPr>
              <w:t>Total equity instruments</w:t>
            </w:r>
            <w:bookmarkEnd w:id="1219"/>
          </w:p>
        </w:tc>
        <w:tc>
          <w:tcPr>
            <w:tcW w:w="1276" w:type="dxa"/>
            <w:tcBorders>
              <w:top w:val="single" w:sz="8" w:space="0" w:color="auto"/>
              <w:left w:val="nil"/>
              <w:bottom w:val="single" w:sz="8" w:space="0" w:color="auto"/>
              <w:right w:val="nil"/>
            </w:tcBorders>
            <w:shd w:val="clear" w:color="auto" w:fill="auto"/>
            <w:vAlign w:val="center"/>
          </w:tcPr>
          <w:p w14:paraId="43D87F0A" w14:textId="541C6792" w:rsidR="00E96A95" w:rsidRPr="00A1123E" w:rsidRDefault="00E96A95" w:rsidP="00E96A95">
            <w:pPr>
              <w:tabs>
                <w:tab w:val="right" w:pos="1202"/>
              </w:tabs>
              <w:spacing w:after="0" w:line="240" w:lineRule="auto"/>
              <w:jc w:val="right"/>
              <w:outlineLvl w:val="0"/>
              <w:rPr>
                <w:rFonts w:ascii="Calibri" w:eastAsia="Times New Roman" w:hAnsi="Calibri" w:cs="Arial"/>
                <w:sz w:val="18"/>
                <w:szCs w:val="18"/>
                <w:lang w:val="en-US"/>
              </w:rPr>
            </w:pPr>
            <w:r>
              <w:rPr>
                <w:rFonts w:ascii="Calibri" w:hAnsi="Calibri" w:cs="Calibri"/>
                <w:b/>
                <w:bCs/>
                <w:color w:val="000000"/>
                <w:sz w:val="19"/>
                <w:szCs w:val="19"/>
              </w:rPr>
              <w:t>-</w:t>
            </w:r>
          </w:p>
        </w:tc>
        <w:tc>
          <w:tcPr>
            <w:tcW w:w="1276" w:type="dxa"/>
            <w:tcBorders>
              <w:top w:val="single" w:sz="8" w:space="0" w:color="auto"/>
              <w:left w:val="nil"/>
              <w:bottom w:val="single" w:sz="8" w:space="0" w:color="auto"/>
              <w:right w:val="nil"/>
            </w:tcBorders>
            <w:shd w:val="clear" w:color="auto" w:fill="auto"/>
            <w:vAlign w:val="center"/>
          </w:tcPr>
          <w:p w14:paraId="638E872F" w14:textId="4264B3BF" w:rsidR="00E96A95" w:rsidRPr="00A1123E" w:rsidRDefault="00E96A95" w:rsidP="00E96A95">
            <w:pPr>
              <w:tabs>
                <w:tab w:val="right" w:pos="1202"/>
              </w:tabs>
              <w:spacing w:after="0" w:line="240" w:lineRule="auto"/>
              <w:jc w:val="right"/>
              <w:outlineLvl w:val="0"/>
              <w:rPr>
                <w:rFonts w:ascii="Calibri" w:eastAsia="Times New Roman" w:hAnsi="Calibri" w:cs="Arial"/>
                <w:b/>
                <w:sz w:val="18"/>
                <w:szCs w:val="18"/>
                <w:lang w:val="en-US"/>
              </w:rPr>
            </w:pPr>
            <w:r>
              <w:rPr>
                <w:rFonts w:ascii="Calibri" w:hAnsi="Calibri" w:cs="Calibri"/>
                <w:b/>
                <w:bCs/>
                <w:color w:val="000000"/>
                <w:sz w:val="19"/>
                <w:szCs w:val="19"/>
              </w:rPr>
              <w:t>43,356</w:t>
            </w:r>
          </w:p>
        </w:tc>
        <w:tc>
          <w:tcPr>
            <w:tcW w:w="1304" w:type="dxa"/>
            <w:tcBorders>
              <w:top w:val="single" w:sz="8" w:space="0" w:color="auto"/>
              <w:left w:val="nil"/>
              <w:bottom w:val="single" w:sz="8" w:space="0" w:color="auto"/>
              <w:right w:val="nil"/>
            </w:tcBorders>
            <w:shd w:val="clear" w:color="auto" w:fill="auto"/>
            <w:vAlign w:val="center"/>
          </w:tcPr>
          <w:p w14:paraId="6DE50D22" w14:textId="7A83719D" w:rsidR="00E96A95" w:rsidRPr="00A1123E" w:rsidRDefault="00E96A95" w:rsidP="00E96A95">
            <w:pPr>
              <w:tabs>
                <w:tab w:val="right" w:pos="1202"/>
              </w:tabs>
              <w:spacing w:after="0" w:line="240" w:lineRule="auto"/>
              <w:jc w:val="right"/>
              <w:outlineLvl w:val="0"/>
              <w:rPr>
                <w:rFonts w:ascii="Calibri" w:eastAsia="Times New Roman" w:hAnsi="Calibri" w:cs="Arial"/>
                <w:b/>
                <w:sz w:val="18"/>
                <w:szCs w:val="18"/>
                <w:lang w:val="en-US"/>
              </w:rPr>
            </w:pPr>
            <w:r>
              <w:rPr>
                <w:rFonts w:ascii="Calibri" w:hAnsi="Calibri" w:cs="Calibri"/>
                <w:b/>
                <w:bCs/>
                <w:color w:val="000000"/>
                <w:sz w:val="19"/>
                <w:szCs w:val="19"/>
              </w:rPr>
              <w:t>-</w:t>
            </w:r>
          </w:p>
        </w:tc>
      </w:tr>
      <w:tr w:rsidR="00E96A95" w:rsidRPr="00537128" w14:paraId="084B5257" w14:textId="77777777" w:rsidTr="00E96A95">
        <w:trPr>
          <w:trHeight w:hRule="exact" w:val="529"/>
          <w:jc w:val="center"/>
        </w:trPr>
        <w:tc>
          <w:tcPr>
            <w:tcW w:w="5528" w:type="dxa"/>
            <w:shd w:val="clear" w:color="auto" w:fill="auto"/>
            <w:vAlign w:val="bottom"/>
          </w:tcPr>
          <w:p w14:paraId="348FFEF6" w14:textId="77777777" w:rsidR="00E96A95" w:rsidRPr="00537128" w:rsidRDefault="00E96A95" w:rsidP="00E96A95">
            <w:pPr>
              <w:tabs>
                <w:tab w:val="right" w:pos="1202"/>
              </w:tabs>
              <w:spacing w:after="0" w:line="240" w:lineRule="auto"/>
              <w:outlineLvl w:val="0"/>
              <w:rPr>
                <w:rFonts w:ascii="Calibri" w:eastAsia="Times New Roman" w:hAnsi="Calibri" w:cs="Arial"/>
                <w:b/>
                <w:sz w:val="19"/>
                <w:szCs w:val="19"/>
                <w:highlight w:val="yellow"/>
                <w:lang w:val="en-US"/>
              </w:rPr>
            </w:pPr>
            <w:bookmarkStart w:id="1220" w:name="_Toc4063194"/>
            <w:r w:rsidRPr="00537128">
              <w:rPr>
                <w:rFonts w:ascii="Calibri" w:eastAsia="Times New Roman" w:hAnsi="Calibri" w:cs="Arial"/>
                <w:b/>
                <w:sz w:val="19"/>
                <w:szCs w:val="19"/>
                <w:lang w:val="en-US"/>
              </w:rPr>
              <w:t>Total financial assets at fair value through other comprehensive income</w:t>
            </w:r>
            <w:bookmarkEnd w:id="1220"/>
          </w:p>
        </w:tc>
        <w:tc>
          <w:tcPr>
            <w:tcW w:w="1276" w:type="dxa"/>
            <w:tcBorders>
              <w:top w:val="nil"/>
              <w:left w:val="nil"/>
              <w:bottom w:val="single" w:sz="12" w:space="0" w:color="auto"/>
              <w:right w:val="nil"/>
            </w:tcBorders>
            <w:shd w:val="clear" w:color="auto" w:fill="auto"/>
            <w:vAlign w:val="bottom"/>
          </w:tcPr>
          <w:p w14:paraId="1334EA41" w14:textId="3CF9581B" w:rsidR="00E96A95" w:rsidRPr="00A1123E" w:rsidRDefault="00E96A95" w:rsidP="00E96A95">
            <w:pPr>
              <w:tabs>
                <w:tab w:val="right" w:pos="1202"/>
              </w:tabs>
              <w:spacing w:after="0" w:line="240" w:lineRule="auto"/>
              <w:jc w:val="right"/>
              <w:outlineLvl w:val="0"/>
              <w:rPr>
                <w:rFonts w:ascii="Calibri" w:eastAsia="Times New Roman" w:hAnsi="Calibri" w:cs="Arial"/>
                <w:b/>
                <w:sz w:val="18"/>
                <w:szCs w:val="18"/>
                <w:lang w:val="en-US"/>
              </w:rPr>
            </w:pPr>
            <w:r>
              <w:rPr>
                <w:rFonts w:ascii="Calibri" w:hAnsi="Calibri" w:cs="Calibri"/>
                <w:b/>
                <w:bCs/>
                <w:color w:val="000000"/>
                <w:sz w:val="19"/>
                <w:szCs w:val="19"/>
              </w:rPr>
              <w:t>1,549,011</w:t>
            </w:r>
          </w:p>
        </w:tc>
        <w:tc>
          <w:tcPr>
            <w:tcW w:w="1276" w:type="dxa"/>
            <w:tcBorders>
              <w:top w:val="nil"/>
              <w:left w:val="nil"/>
              <w:bottom w:val="single" w:sz="12" w:space="0" w:color="auto"/>
              <w:right w:val="nil"/>
            </w:tcBorders>
            <w:shd w:val="clear" w:color="auto" w:fill="auto"/>
            <w:vAlign w:val="bottom"/>
          </w:tcPr>
          <w:p w14:paraId="700B6CA5" w14:textId="5060C8C8" w:rsidR="00E96A95" w:rsidRPr="00A1123E" w:rsidRDefault="00E96A95" w:rsidP="00E96A95">
            <w:pPr>
              <w:tabs>
                <w:tab w:val="right" w:pos="1202"/>
              </w:tabs>
              <w:spacing w:after="0" w:line="240" w:lineRule="auto"/>
              <w:jc w:val="right"/>
              <w:outlineLvl w:val="0"/>
              <w:rPr>
                <w:rFonts w:ascii="Calibri" w:eastAsia="Times New Roman" w:hAnsi="Calibri" w:cs="Arial"/>
                <w:b/>
                <w:sz w:val="18"/>
                <w:szCs w:val="18"/>
                <w:lang w:val="en-US"/>
              </w:rPr>
            </w:pPr>
            <w:r>
              <w:rPr>
                <w:rFonts w:ascii="Calibri" w:hAnsi="Calibri" w:cs="Calibri"/>
                <w:b/>
                <w:bCs/>
                <w:color w:val="000000"/>
                <w:sz w:val="19"/>
                <w:szCs w:val="19"/>
              </w:rPr>
              <w:t>1,644,698</w:t>
            </w:r>
          </w:p>
        </w:tc>
        <w:tc>
          <w:tcPr>
            <w:tcW w:w="1304" w:type="dxa"/>
            <w:tcBorders>
              <w:top w:val="nil"/>
              <w:left w:val="nil"/>
              <w:bottom w:val="single" w:sz="12" w:space="0" w:color="auto"/>
              <w:right w:val="nil"/>
            </w:tcBorders>
            <w:shd w:val="clear" w:color="auto" w:fill="auto"/>
            <w:vAlign w:val="bottom"/>
          </w:tcPr>
          <w:p w14:paraId="0153D627" w14:textId="1E76352E" w:rsidR="00E96A95" w:rsidRPr="00A1123E" w:rsidRDefault="00E96A95" w:rsidP="00E96A95">
            <w:pPr>
              <w:tabs>
                <w:tab w:val="right" w:pos="1202"/>
              </w:tabs>
              <w:spacing w:after="0" w:line="240" w:lineRule="auto"/>
              <w:jc w:val="right"/>
              <w:outlineLvl w:val="0"/>
              <w:rPr>
                <w:rFonts w:ascii="Calibri" w:eastAsia="Times New Roman" w:hAnsi="Calibri" w:cs="Arial"/>
                <w:b/>
                <w:sz w:val="18"/>
                <w:szCs w:val="18"/>
                <w:lang w:val="en-US"/>
              </w:rPr>
            </w:pPr>
            <w:r>
              <w:rPr>
                <w:rFonts w:ascii="Calibri" w:hAnsi="Calibri" w:cs="Calibri"/>
                <w:b/>
                <w:bCs/>
                <w:color w:val="000000"/>
                <w:sz w:val="19"/>
                <w:szCs w:val="19"/>
              </w:rPr>
              <w:t>2,151</w:t>
            </w:r>
          </w:p>
        </w:tc>
      </w:tr>
    </w:tbl>
    <w:p w14:paraId="1AFD100C" w14:textId="77777777" w:rsidR="008C0661" w:rsidRPr="00537128" w:rsidRDefault="008C0661" w:rsidP="008C0661">
      <w:pPr>
        <w:spacing w:after="0" w:line="240" w:lineRule="auto"/>
        <w:jc w:val="both"/>
        <w:rPr>
          <w:rFonts w:ascii="Calibri" w:eastAsia="Calibri" w:hAnsi="Calibri" w:cs="Arial"/>
          <w:bCs/>
          <w:lang w:val="en-US"/>
        </w:rPr>
      </w:pPr>
    </w:p>
    <w:p w14:paraId="795D5CDF" w14:textId="77777777" w:rsidR="008C0661" w:rsidRPr="00537128" w:rsidRDefault="008C0661" w:rsidP="008C0661">
      <w:pPr>
        <w:spacing w:after="0" w:line="240" w:lineRule="auto"/>
        <w:jc w:val="both"/>
        <w:rPr>
          <w:rFonts w:ascii="Calibri" w:eastAsia="Calibri" w:hAnsi="Calibri" w:cs="Arial"/>
          <w:bCs/>
          <w:lang w:val="en-US"/>
        </w:rPr>
      </w:pPr>
    </w:p>
    <w:bookmarkEnd w:id="1189"/>
    <w:p w14:paraId="0DC0BFEA" w14:textId="77777777" w:rsidR="008C0661" w:rsidRPr="00537128" w:rsidRDefault="008C0661" w:rsidP="008C0661">
      <w:pPr>
        <w:spacing w:after="0" w:line="240" w:lineRule="auto"/>
        <w:jc w:val="both"/>
        <w:rPr>
          <w:rFonts w:ascii="Calibri" w:eastAsia="Calibri" w:hAnsi="Calibri" w:cs="Arial"/>
          <w:bCs/>
          <w:lang w:val="en-US"/>
        </w:rPr>
        <w:sectPr w:rsidR="008C0661" w:rsidRPr="00537128" w:rsidSect="00712478">
          <w:pgSz w:w="11906" w:h="16838"/>
          <w:pgMar w:top="1418" w:right="1134" w:bottom="1418" w:left="1418" w:header="709" w:footer="709" w:gutter="0"/>
          <w:cols w:space="708"/>
          <w:docGrid w:linePitch="360"/>
        </w:sectPr>
      </w:pPr>
    </w:p>
    <w:p w14:paraId="368F32E0" w14:textId="77777777" w:rsidR="008C0661" w:rsidRPr="00537128" w:rsidRDefault="008C0661" w:rsidP="008C0661">
      <w:pPr>
        <w:spacing w:after="0" w:line="240" w:lineRule="auto"/>
        <w:jc w:val="both"/>
        <w:rPr>
          <w:rFonts w:eastAsia="Times New Roman" w:cstheme="minorHAnsi"/>
          <w:bCs/>
          <w:iCs/>
          <w:color w:val="000000" w:themeColor="text1"/>
          <w:lang w:val="en-US"/>
        </w:rPr>
      </w:pPr>
    </w:p>
    <w:p w14:paraId="2E9F7E10" w14:textId="77777777" w:rsidR="008C0661" w:rsidRPr="00537128" w:rsidRDefault="008C0661">
      <w:pPr>
        <w:pStyle w:val="ListParagraph"/>
        <w:numPr>
          <w:ilvl w:val="0"/>
          <w:numId w:val="66"/>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 xml:space="preserve">Fair value of financial assets and financial liabilities </w:t>
      </w:r>
      <w:r w:rsidRPr="00537128">
        <w:rPr>
          <w:rFonts w:ascii="Calibri" w:eastAsia="Calibri" w:hAnsi="Calibri" w:cs="Arial"/>
          <w:b/>
          <w:bCs/>
          <w:spacing w:val="-3"/>
          <w:lang w:val="en-US"/>
        </w:rPr>
        <w:t>(continued)</w:t>
      </w:r>
    </w:p>
    <w:p w14:paraId="37B3F89D" w14:textId="77777777" w:rsidR="008C0661" w:rsidRPr="00537128" w:rsidRDefault="008C0661" w:rsidP="008C0661">
      <w:pPr>
        <w:spacing w:after="0" w:line="240" w:lineRule="auto"/>
        <w:jc w:val="both"/>
        <w:rPr>
          <w:rFonts w:ascii="Calibri" w:eastAsia="Calibri" w:hAnsi="Calibri" w:cs="Arial"/>
          <w:bCs/>
          <w:lang w:val="en-US"/>
        </w:rPr>
      </w:pPr>
    </w:p>
    <w:p w14:paraId="0E557FD9" w14:textId="72B86ABD" w:rsidR="008C0661" w:rsidRPr="00537128" w:rsidRDefault="003E09B3" w:rsidP="008C0661">
      <w:pPr>
        <w:spacing w:after="0" w:line="240" w:lineRule="auto"/>
        <w:jc w:val="both"/>
        <w:rPr>
          <w:rFonts w:ascii="Calibri" w:eastAsia="Calibri" w:hAnsi="Calibri" w:cs="Arial"/>
          <w:b/>
          <w:bCs/>
          <w:spacing w:val="-3"/>
          <w:lang w:val="en-US"/>
        </w:rPr>
      </w:pPr>
      <w:r w:rsidRPr="00537128">
        <w:rPr>
          <w:rFonts w:ascii="Calibri" w:eastAsia="Calibri" w:hAnsi="Calibri" w:cs="Arial"/>
          <w:b/>
          <w:bCs/>
          <w:spacing w:val="-3"/>
          <w:lang w:val="en-US"/>
        </w:rPr>
        <w:t>2</w:t>
      </w:r>
      <w:r>
        <w:rPr>
          <w:rFonts w:ascii="Calibri" w:eastAsia="Calibri" w:hAnsi="Calibri" w:cs="Arial"/>
          <w:b/>
          <w:bCs/>
          <w:spacing w:val="-3"/>
          <w:lang w:val="en-US"/>
        </w:rPr>
        <w:t>4</w:t>
      </w:r>
      <w:r w:rsidR="008C0661" w:rsidRPr="00537128">
        <w:rPr>
          <w:rFonts w:ascii="Calibri" w:eastAsia="Calibri" w:hAnsi="Calibri" w:cs="Arial"/>
          <w:b/>
          <w:bCs/>
          <w:spacing w:val="-3"/>
          <w:lang w:val="en-US"/>
        </w:rPr>
        <w:t xml:space="preserve">.1. </w:t>
      </w:r>
      <w:r w:rsidR="008C0661" w:rsidRPr="00537128">
        <w:rPr>
          <w:rFonts w:ascii="Calibri" w:eastAsia="Calibri" w:hAnsi="Calibri" w:cs="Arial"/>
          <w:b/>
          <w:bCs/>
          <w:spacing w:val="-3"/>
          <w:lang w:val="en-US"/>
        </w:rPr>
        <w:tab/>
        <w:t>Fair value of financial assets and financial liabilities initially recognized and measured at fair value (continued)</w:t>
      </w:r>
    </w:p>
    <w:p w14:paraId="01164F06" w14:textId="33C5FD92" w:rsidR="008C0661" w:rsidRDefault="008C0661" w:rsidP="008C0661">
      <w:pPr>
        <w:spacing w:after="0" w:line="240" w:lineRule="auto"/>
        <w:jc w:val="both"/>
        <w:rPr>
          <w:rFonts w:ascii="Calibri" w:eastAsia="Calibri" w:hAnsi="Calibri" w:cs="Arial"/>
          <w:bCs/>
          <w:lang w:val="en-US"/>
        </w:rPr>
      </w:pPr>
    </w:p>
    <w:p w14:paraId="4D9D90B2" w14:textId="77777777" w:rsidR="00122C6A" w:rsidRPr="00537128" w:rsidRDefault="00122C6A" w:rsidP="008C0661">
      <w:pPr>
        <w:spacing w:after="0" w:line="240" w:lineRule="auto"/>
        <w:jc w:val="both"/>
        <w:rPr>
          <w:rFonts w:ascii="Calibri" w:eastAsia="Calibri" w:hAnsi="Calibri" w:cs="Arial"/>
          <w:bCs/>
          <w:lang w:val="en-US"/>
        </w:rPr>
      </w:pPr>
    </w:p>
    <w:tbl>
      <w:tblPr>
        <w:tblW w:w="9384" w:type="dxa"/>
        <w:jc w:val="center"/>
        <w:tblLayout w:type="fixed"/>
        <w:tblCellMar>
          <w:left w:w="122" w:type="dxa"/>
          <w:right w:w="122" w:type="dxa"/>
        </w:tblCellMar>
        <w:tblLook w:val="0000" w:firstRow="0" w:lastRow="0" w:firstColumn="0" w:lastColumn="0" w:noHBand="0" w:noVBand="0"/>
      </w:tblPr>
      <w:tblGrid>
        <w:gridCol w:w="5528"/>
        <w:gridCol w:w="1276"/>
        <w:gridCol w:w="1276"/>
        <w:gridCol w:w="1304"/>
      </w:tblGrid>
      <w:tr w:rsidR="00122C6A" w:rsidRPr="00122C6A" w14:paraId="128454D1" w14:textId="77777777" w:rsidTr="00E44437">
        <w:trPr>
          <w:trHeight w:val="311"/>
          <w:jc w:val="center"/>
        </w:trPr>
        <w:tc>
          <w:tcPr>
            <w:tcW w:w="5528" w:type="dxa"/>
            <w:shd w:val="clear" w:color="auto" w:fill="auto"/>
          </w:tcPr>
          <w:p w14:paraId="08C64543" w14:textId="77777777" w:rsidR="00122C6A" w:rsidRPr="00122C6A" w:rsidRDefault="00122C6A" w:rsidP="00122C6A">
            <w:pPr>
              <w:tabs>
                <w:tab w:val="right" w:pos="1202"/>
              </w:tabs>
              <w:spacing w:after="0" w:line="240" w:lineRule="auto"/>
              <w:outlineLvl w:val="0"/>
              <w:rPr>
                <w:rFonts w:ascii="Calibri" w:eastAsia="Times New Roman" w:hAnsi="Calibri" w:cs="Arial"/>
                <w:sz w:val="19"/>
                <w:szCs w:val="19"/>
                <w:lang w:val="en-US"/>
              </w:rPr>
            </w:pPr>
            <w:r w:rsidRPr="00122C6A">
              <w:rPr>
                <w:rFonts w:ascii="Calibri" w:eastAsia="Times New Roman" w:hAnsi="Calibri" w:cs="Arial"/>
                <w:b/>
                <w:sz w:val="19"/>
                <w:szCs w:val="19"/>
                <w:lang w:val="en-US"/>
              </w:rPr>
              <w:t>Bank</w:t>
            </w:r>
          </w:p>
        </w:tc>
        <w:tc>
          <w:tcPr>
            <w:tcW w:w="3856" w:type="dxa"/>
            <w:gridSpan w:val="3"/>
            <w:vAlign w:val="bottom"/>
          </w:tcPr>
          <w:p w14:paraId="395BD197" w14:textId="77777777" w:rsidR="00122C6A" w:rsidRPr="00122C6A" w:rsidRDefault="00122C6A" w:rsidP="00122C6A">
            <w:pPr>
              <w:tabs>
                <w:tab w:val="right" w:pos="1202"/>
              </w:tabs>
              <w:spacing w:after="0" w:line="240" w:lineRule="auto"/>
              <w:jc w:val="right"/>
              <w:outlineLvl w:val="0"/>
              <w:rPr>
                <w:rFonts w:ascii="Calibri" w:eastAsia="Times New Roman" w:hAnsi="Calibri" w:cs="Arial"/>
                <w:b/>
                <w:bCs/>
                <w:sz w:val="19"/>
                <w:szCs w:val="19"/>
                <w:lang w:val="en-US"/>
              </w:rPr>
            </w:pPr>
            <w:r w:rsidRPr="00122C6A">
              <w:rPr>
                <w:rFonts w:ascii="Calibri" w:eastAsia="Times New Roman" w:hAnsi="Calibri" w:cs="Arial"/>
                <w:b/>
                <w:bCs/>
                <w:sz w:val="19"/>
                <w:szCs w:val="19"/>
                <w:lang w:val="en-US"/>
              </w:rPr>
              <w:t>31 December 2021</w:t>
            </w:r>
          </w:p>
        </w:tc>
      </w:tr>
      <w:tr w:rsidR="00122C6A" w:rsidRPr="00122C6A" w14:paraId="14B21A23" w14:textId="77777777" w:rsidTr="00E44437">
        <w:trPr>
          <w:trHeight w:val="311"/>
          <w:jc w:val="center"/>
        </w:trPr>
        <w:tc>
          <w:tcPr>
            <w:tcW w:w="5528" w:type="dxa"/>
            <w:shd w:val="clear" w:color="auto" w:fill="auto"/>
            <w:vAlign w:val="bottom"/>
          </w:tcPr>
          <w:p w14:paraId="79B689EC" w14:textId="77777777" w:rsidR="00122C6A" w:rsidRPr="00122C6A" w:rsidRDefault="00122C6A" w:rsidP="00122C6A">
            <w:pPr>
              <w:tabs>
                <w:tab w:val="right" w:pos="1202"/>
              </w:tabs>
              <w:spacing w:after="0" w:line="240" w:lineRule="auto"/>
              <w:outlineLvl w:val="0"/>
              <w:rPr>
                <w:rFonts w:ascii="Calibri" w:eastAsia="Times New Roman" w:hAnsi="Calibri" w:cs="Arial"/>
                <w:spacing w:val="-2"/>
                <w:sz w:val="19"/>
                <w:szCs w:val="19"/>
                <w:lang w:val="en-US"/>
              </w:rPr>
            </w:pPr>
          </w:p>
        </w:tc>
        <w:tc>
          <w:tcPr>
            <w:tcW w:w="1276" w:type="dxa"/>
            <w:shd w:val="clear" w:color="auto" w:fill="auto"/>
            <w:vAlign w:val="bottom"/>
          </w:tcPr>
          <w:p w14:paraId="6AD6252F" w14:textId="77777777" w:rsidR="00122C6A" w:rsidRPr="00122C6A" w:rsidRDefault="00122C6A" w:rsidP="00122C6A">
            <w:pPr>
              <w:tabs>
                <w:tab w:val="right" w:pos="1202"/>
              </w:tabs>
              <w:spacing w:after="0" w:line="240" w:lineRule="auto"/>
              <w:jc w:val="right"/>
              <w:outlineLvl w:val="0"/>
              <w:rPr>
                <w:rFonts w:ascii="Calibri" w:eastAsia="Times New Roman" w:hAnsi="Calibri" w:cs="Arial"/>
                <w:b/>
                <w:spacing w:val="-2"/>
                <w:sz w:val="19"/>
                <w:szCs w:val="19"/>
                <w:lang w:val="en-US"/>
              </w:rPr>
            </w:pPr>
            <w:r w:rsidRPr="00122C6A">
              <w:rPr>
                <w:rFonts w:ascii="Calibri" w:eastAsia="Times New Roman" w:hAnsi="Calibri" w:cs="Arial"/>
                <w:b/>
                <w:spacing w:val="-2"/>
                <w:sz w:val="19"/>
                <w:szCs w:val="19"/>
                <w:lang w:val="en-US"/>
              </w:rPr>
              <w:t>Level 1</w:t>
            </w:r>
          </w:p>
        </w:tc>
        <w:tc>
          <w:tcPr>
            <w:tcW w:w="1276" w:type="dxa"/>
            <w:shd w:val="clear" w:color="auto" w:fill="auto"/>
            <w:vAlign w:val="bottom"/>
          </w:tcPr>
          <w:p w14:paraId="345D5F0E" w14:textId="77777777" w:rsidR="00122C6A" w:rsidRPr="00122C6A" w:rsidRDefault="00122C6A" w:rsidP="00122C6A">
            <w:pPr>
              <w:tabs>
                <w:tab w:val="right" w:pos="1202"/>
              </w:tabs>
              <w:spacing w:after="0" w:line="240" w:lineRule="auto"/>
              <w:jc w:val="right"/>
              <w:outlineLvl w:val="0"/>
              <w:rPr>
                <w:rFonts w:ascii="Calibri" w:eastAsia="Times New Roman" w:hAnsi="Calibri" w:cs="Arial"/>
                <w:b/>
                <w:spacing w:val="-2"/>
                <w:sz w:val="19"/>
                <w:szCs w:val="19"/>
                <w:lang w:val="en-US"/>
              </w:rPr>
            </w:pPr>
            <w:r w:rsidRPr="00122C6A">
              <w:rPr>
                <w:rFonts w:ascii="Calibri" w:eastAsia="Times New Roman" w:hAnsi="Calibri" w:cs="Arial"/>
                <w:b/>
                <w:spacing w:val="-2"/>
                <w:sz w:val="19"/>
                <w:szCs w:val="19"/>
                <w:lang w:val="en-US"/>
              </w:rPr>
              <w:t>Level 2</w:t>
            </w:r>
          </w:p>
        </w:tc>
        <w:tc>
          <w:tcPr>
            <w:tcW w:w="1304" w:type="dxa"/>
            <w:shd w:val="clear" w:color="auto" w:fill="auto"/>
            <w:vAlign w:val="bottom"/>
          </w:tcPr>
          <w:p w14:paraId="7D1473F9" w14:textId="77777777" w:rsidR="00122C6A" w:rsidRPr="00122C6A" w:rsidRDefault="00122C6A" w:rsidP="00122C6A">
            <w:pPr>
              <w:tabs>
                <w:tab w:val="right" w:pos="1202"/>
              </w:tabs>
              <w:spacing w:after="0" w:line="240" w:lineRule="auto"/>
              <w:jc w:val="right"/>
              <w:outlineLvl w:val="0"/>
              <w:rPr>
                <w:rFonts w:ascii="Calibri" w:eastAsia="Times New Roman" w:hAnsi="Calibri" w:cs="Arial"/>
                <w:b/>
                <w:spacing w:val="-2"/>
                <w:sz w:val="19"/>
                <w:szCs w:val="19"/>
                <w:lang w:val="en-US"/>
              </w:rPr>
            </w:pPr>
            <w:r w:rsidRPr="00122C6A">
              <w:rPr>
                <w:rFonts w:ascii="Calibri" w:eastAsia="Times New Roman" w:hAnsi="Calibri" w:cs="Arial"/>
                <w:b/>
                <w:spacing w:val="-2"/>
                <w:sz w:val="19"/>
                <w:szCs w:val="19"/>
                <w:lang w:val="en-US"/>
              </w:rPr>
              <w:t>Level 3</w:t>
            </w:r>
          </w:p>
        </w:tc>
      </w:tr>
      <w:tr w:rsidR="00122C6A" w:rsidRPr="00122C6A" w14:paraId="22A89860" w14:textId="77777777" w:rsidTr="00E44437">
        <w:trPr>
          <w:trHeight w:val="311"/>
          <w:jc w:val="center"/>
        </w:trPr>
        <w:tc>
          <w:tcPr>
            <w:tcW w:w="5528" w:type="dxa"/>
            <w:shd w:val="clear" w:color="auto" w:fill="auto"/>
            <w:vAlign w:val="bottom"/>
          </w:tcPr>
          <w:p w14:paraId="0FA15BCD" w14:textId="77777777" w:rsidR="00122C6A" w:rsidRPr="00122C6A" w:rsidRDefault="00122C6A" w:rsidP="00122C6A">
            <w:pPr>
              <w:tabs>
                <w:tab w:val="right" w:pos="1202"/>
              </w:tabs>
              <w:spacing w:after="0" w:line="240" w:lineRule="auto"/>
              <w:outlineLvl w:val="0"/>
              <w:rPr>
                <w:rFonts w:ascii="Calibri" w:eastAsia="Times New Roman" w:hAnsi="Calibri" w:cs="Arial"/>
                <w:spacing w:val="-2"/>
                <w:sz w:val="19"/>
                <w:szCs w:val="19"/>
                <w:lang w:val="en-US"/>
              </w:rPr>
            </w:pPr>
          </w:p>
        </w:tc>
        <w:tc>
          <w:tcPr>
            <w:tcW w:w="1276" w:type="dxa"/>
            <w:shd w:val="clear" w:color="auto" w:fill="auto"/>
            <w:vAlign w:val="bottom"/>
          </w:tcPr>
          <w:p w14:paraId="3C4B8BF5" w14:textId="77777777" w:rsidR="00122C6A" w:rsidRPr="00122C6A" w:rsidRDefault="00122C6A" w:rsidP="00122C6A">
            <w:pPr>
              <w:tabs>
                <w:tab w:val="right" w:pos="1202"/>
              </w:tabs>
              <w:spacing w:after="0" w:line="240" w:lineRule="auto"/>
              <w:jc w:val="right"/>
              <w:outlineLvl w:val="0"/>
              <w:rPr>
                <w:rFonts w:ascii="Calibri" w:eastAsia="Times New Roman" w:hAnsi="Calibri" w:cs="Arial"/>
                <w:b/>
                <w:spacing w:val="-2"/>
                <w:sz w:val="19"/>
                <w:szCs w:val="19"/>
                <w:lang w:val="en-US"/>
              </w:rPr>
            </w:pPr>
            <w:r w:rsidRPr="00122C6A">
              <w:rPr>
                <w:rFonts w:ascii="Calibri" w:eastAsia="Times New Roman" w:hAnsi="Calibri" w:cs="Arial"/>
                <w:b/>
                <w:spacing w:val="-2"/>
                <w:sz w:val="19"/>
                <w:szCs w:val="19"/>
                <w:lang w:val="en-US"/>
              </w:rPr>
              <w:t>HRK ‘000</w:t>
            </w:r>
          </w:p>
        </w:tc>
        <w:tc>
          <w:tcPr>
            <w:tcW w:w="1276" w:type="dxa"/>
            <w:shd w:val="clear" w:color="auto" w:fill="auto"/>
            <w:vAlign w:val="bottom"/>
          </w:tcPr>
          <w:p w14:paraId="39451098" w14:textId="77777777" w:rsidR="00122C6A" w:rsidRPr="00122C6A" w:rsidRDefault="00122C6A" w:rsidP="00122C6A">
            <w:pPr>
              <w:tabs>
                <w:tab w:val="right" w:pos="1202"/>
              </w:tabs>
              <w:spacing w:after="0" w:line="240" w:lineRule="auto"/>
              <w:jc w:val="right"/>
              <w:outlineLvl w:val="0"/>
              <w:rPr>
                <w:rFonts w:ascii="Calibri" w:eastAsia="Times New Roman" w:hAnsi="Calibri" w:cs="Arial"/>
                <w:b/>
                <w:spacing w:val="-2"/>
                <w:sz w:val="19"/>
                <w:szCs w:val="19"/>
                <w:lang w:val="en-US"/>
              </w:rPr>
            </w:pPr>
            <w:r w:rsidRPr="00122C6A">
              <w:rPr>
                <w:rFonts w:ascii="Calibri" w:eastAsia="Times New Roman" w:hAnsi="Calibri" w:cs="Arial"/>
                <w:b/>
                <w:spacing w:val="-2"/>
                <w:sz w:val="19"/>
                <w:szCs w:val="19"/>
                <w:lang w:val="en-US"/>
              </w:rPr>
              <w:t>HRK ‘000</w:t>
            </w:r>
          </w:p>
        </w:tc>
        <w:tc>
          <w:tcPr>
            <w:tcW w:w="1304" w:type="dxa"/>
            <w:shd w:val="clear" w:color="auto" w:fill="auto"/>
            <w:vAlign w:val="bottom"/>
          </w:tcPr>
          <w:p w14:paraId="299A61D9" w14:textId="77777777" w:rsidR="00122C6A" w:rsidRPr="00122C6A" w:rsidRDefault="00122C6A" w:rsidP="00122C6A">
            <w:pPr>
              <w:tabs>
                <w:tab w:val="right" w:pos="1202"/>
              </w:tabs>
              <w:spacing w:after="0" w:line="240" w:lineRule="auto"/>
              <w:jc w:val="right"/>
              <w:outlineLvl w:val="0"/>
              <w:rPr>
                <w:rFonts w:ascii="Calibri" w:eastAsia="Times New Roman" w:hAnsi="Calibri" w:cs="Arial"/>
                <w:b/>
                <w:spacing w:val="-2"/>
                <w:sz w:val="19"/>
                <w:szCs w:val="19"/>
                <w:lang w:val="en-US"/>
              </w:rPr>
            </w:pPr>
            <w:r w:rsidRPr="00122C6A">
              <w:rPr>
                <w:rFonts w:ascii="Calibri" w:eastAsia="Times New Roman" w:hAnsi="Calibri" w:cs="Arial"/>
                <w:b/>
                <w:spacing w:val="-2"/>
                <w:sz w:val="19"/>
                <w:szCs w:val="19"/>
                <w:lang w:val="en-US"/>
              </w:rPr>
              <w:t>HRK ‘000</w:t>
            </w:r>
          </w:p>
        </w:tc>
      </w:tr>
      <w:tr w:rsidR="00122C6A" w:rsidRPr="00122C6A" w14:paraId="4F1AE35B" w14:textId="77777777" w:rsidTr="00E44437">
        <w:trPr>
          <w:trHeight w:val="444"/>
          <w:jc w:val="center"/>
        </w:trPr>
        <w:tc>
          <w:tcPr>
            <w:tcW w:w="5528" w:type="dxa"/>
            <w:vAlign w:val="bottom"/>
          </w:tcPr>
          <w:p w14:paraId="38EA6CD9" w14:textId="77777777" w:rsidR="00122C6A" w:rsidRPr="00122C6A" w:rsidRDefault="00122C6A" w:rsidP="00122C6A">
            <w:pPr>
              <w:tabs>
                <w:tab w:val="right" w:pos="1202"/>
              </w:tabs>
              <w:spacing w:after="0" w:line="240" w:lineRule="auto"/>
              <w:outlineLvl w:val="0"/>
              <w:rPr>
                <w:rFonts w:ascii="Calibri" w:eastAsia="Times New Roman" w:hAnsi="Calibri" w:cs="Arial"/>
                <w:spacing w:val="-2"/>
                <w:sz w:val="19"/>
                <w:szCs w:val="19"/>
                <w:highlight w:val="yellow"/>
                <w:lang w:val="en-US"/>
              </w:rPr>
            </w:pPr>
            <w:r w:rsidRPr="00122C6A">
              <w:rPr>
                <w:rFonts w:ascii="Calibri" w:eastAsia="Times New Roman" w:hAnsi="Calibri" w:cs="Arial"/>
                <w:b/>
                <w:sz w:val="19"/>
                <w:szCs w:val="19"/>
                <w:lang w:val="en-US"/>
              </w:rPr>
              <w:t>Financial assets at fair value through profit or loss:</w:t>
            </w:r>
          </w:p>
        </w:tc>
        <w:tc>
          <w:tcPr>
            <w:tcW w:w="1276" w:type="dxa"/>
            <w:vAlign w:val="bottom"/>
          </w:tcPr>
          <w:p w14:paraId="145E8FBC" w14:textId="77777777" w:rsidR="00122C6A" w:rsidRPr="00122C6A" w:rsidRDefault="00122C6A" w:rsidP="00122C6A">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76" w:type="dxa"/>
            <w:vAlign w:val="bottom"/>
          </w:tcPr>
          <w:p w14:paraId="0ABCDD0B" w14:textId="77777777" w:rsidR="00122C6A" w:rsidRPr="00122C6A" w:rsidRDefault="00122C6A" w:rsidP="00122C6A">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304" w:type="dxa"/>
            <w:vAlign w:val="bottom"/>
          </w:tcPr>
          <w:p w14:paraId="0A7895E3" w14:textId="77777777" w:rsidR="00122C6A" w:rsidRPr="00122C6A" w:rsidRDefault="00122C6A" w:rsidP="00122C6A">
            <w:pPr>
              <w:tabs>
                <w:tab w:val="right" w:pos="1202"/>
              </w:tabs>
              <w:spacing w:after="0" w:line="240" w:lineRule="auto"/>
              <w:jc w:val="right"/>
              <w:outlineLvl w:val="0"/>
              <w:rPr>
                <w:rFonts w:ascii="Calibri" w:eastAsia="Times New Roman" w:hAnsi="Calibri" w:cs="Arial"/>
                <w:b/>
                <w:spacing w:val="-2"/>
                <w:sz w:val="19"/>
                <w:szCs w:val="19"/>
                <w:lang w:val="en-US"/>
              </w:rPr>
            </w:pPr>
          </w:p>
        </w:tc>
      </w:tr>
      <w:tr w:rsidR="00122C6A" w:rsidRPr="00122C6A" w14:paraId="44DC1C1D" w14:textId="77777777" w:rsidTr="00E44437">
        <w:trPr>
          <w:trHeight w:val="255"/>
          <w:jc w:val="center"/>
        </w:trPr>
        <w:tc>
          <w:tcPr>
            <w:tcW w:w="5528" w:type="dxa"/>
            <w:vAlign w:val="bottom"/>
          </w:tcPr>
          <w:p w14:paraId="5590F53F" w14:textId="77777777" w:rsidR="00122C6A" w:rsidRPr="00122C6A" w:rsidRDefault="00122C6A" w:rsidP="00122C6A">
            <w:pPr>
              <w:tabs>
                <w:tab w:val="right" w:pos="1202"/>
              </w:tabs>
              <w:spacing w:after="0" w:line="240" w:lineRule="auto"/>
              <w:outlineLvl w:val="0"/>
              <w:rPr>
                <w:rFonts w:ascii="Calibri" w:eastAsia="Times New Roman" w:hAnsi="Calibri" w:cs="Arial"/>
                <w:b/>
                <w:i/>
                <w:sz w:val="19"/>
                <w:szCs w:val="19"/>
                <w:highlight w:val="yellow"/>
                <w:lang w:val="en-US"/>
              </w:rPr>
            </w:pPr>
            <w:r w:rsidRPr="00122C6A">
              <w:rPr>
                <w:rFonts w:ascii="Calibri" w:eastAsia="Times New Roman" w:hAnsi="Calibri" w:cs="Arial"/>
                <w:b/>
                <w:i/>
                <w:sz w:val="19"/>
                <w:szCs w:val="19"/>
                <w:lang w:val="en-US"/>
              </w:rPr>
              <w:t>Loans at FVPL:</w:t>
            </w:r>
          </w:p>
        </w:tc>
        <w:tc>
          <w:tcPr>
            <w:tcW w:w="1276" w:type="dxa"/>
            <w:tcBorders>
              <w:top w:val="nil"/>
              <w:left w:val="nil"/>
              <w:right w:val="nil"/>
            </w:tcBorders>
            <w:shd w:val="clear" w:color="auto" w:fill="auto"/>
            <w:vAlign w:val="bottom"/>
          </w:tcPr>
          <w:p w14:paraId="351D4DE6"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p>
        </w:tc>
        <w:tc>
          <w:tcPr>
            <w:tcW w:w="1276" w:type="dxa"/>
            <w:tcBorders>
              <w:top w:val="nil"/>
              <w:left w:val="nil"/>
              <w:right w:val="nil"/>
            </w:tcBorders>
            <w:shd w:val="clear" w:color="auto" w:fill="auto"/>
            <w:vAlign w:val="bottom"/>
          </w:tcPr>
          <w:p w14:paraId="40424C7E"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p>
        </w:tc>
        <w:tc>
          <w:tcPr>
            <w:tcW w:w="1304" w:type="dxa"/>
            <w:tcBorders>
              <w:top w:val="nil"/>
              <w:left w:val="nil"/>
              <w:right w:val="nil"/>
            </w:tcBorders>
            <w:shd w:val="clear" w:color="auto" w:fill="auto"/>
            <w:vAlign w:val="bottom"/>
          </w:tcPr>
          <w:p w14:paraId="4A7D52BE"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p>
        </w:tc>
      </w:tr>
      <w:tr w:rsidR="00122C6A" w:rsidRPr="00122C6A" w14:paraId="29921C48" w14:textId="77777777" w:rsidTr="00E44437">
        <w:trPr>
          <w:trHeight w:val="239"/>
          <w:jc w:val="center"/>
        </w:trPr>
        <w:tc>
          <w:tcPr>
            <w:tcW w:w="5528" w:type="dxa"/>
            <w:vAlign w:val="bottom"/>
          </w:tcPr>
          <w:p w14:paraId="4B2F5D40" w14:textId="77777777" w:rsidR="00122C6A" w:rsidRPr="00122C6A" w:rsidRDefault="00122C6A" w:rsidP="00122C6A">
            <w:pPr>
              <w:tabs>
                <w:tab w:val="right" w:pos="1202"/>
              </w:tabs>
              <w:spacing w:after="0" w:line="240" w:lineRule="auto"/>
              <w:outlineLvl w:val="0"/>
              <w:rPr>
                <w:rFonts w:ascii="Calibri" w:eastAsia="Times New Roman" w:hAnsi="Calibri" w:cs="Arial"/>
                <w:sz w:val="19"/>
                <w:szCs w:val="19"/>
                <w:highlight w:val="yellow"/>
                <w:lang w:val="en-US"/>
              </w:rPr>
            </w:pPr>
            <w:r w:rsidRPr="00122C6A">
              <w:rPr>
                <w:rFonts w:ascii="Calibri" w:eastAsia="Times New Roman" w:hAnsi="Calibri" w:cs="Arial"/>
                <w:sz w:val="19"/>
                <w:szCs w:val="19"/>
                <w:lang w:val="en-US"/>
              </w:rPr>
              <w:t>Mezzanine loans</w:t>
            </w:r>
          </w:p>
        </w:tc>
        <w:tc>
          <w:tcPr>
            <w:tcW w:w="1276" w:type="dxa"/>
            <w:tcBorders>
              <w:top w:val="nil"/>
              <w:left w:val="nil"/>
              <w:right w:val="nil"/>
            </w:tcBorders>
            <w:shd w:val="clear" w:color="auto" w:fill="auto"/>
            <w:vAlign w:val="bottom"/>
          </w:tcPr>
          <w:p w14:paraId="73193C7C"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bookmarkStart w:id="1221" w:name="_Toc67331028"/>
            <w:r w:rsidRPr="00122C6A">
              <w:rPr>
                <w:rFonts w:ascii="Calibri" w:eastAsia="Times New Roman" w:hAnsi="Calibri" w:cs="Times New Roman"/>
                <w:sz w:val="18"/>
                <w:szCs w:val="18"/>
                <w:lang w:val="en-US"/>
              </w:rPr>
              <w:t>-</w:t>
            </w:r>
            <w:bookmarkEnd w:id="1221"/>
          </w:p>
        </w:tc>
        <w:tc>
          <w:tcPr>
            <w:tcW w:w="1276" w:type="dxa"/>
            <w:tcBorders>
              <w:top w:val="nil"/>
              <w:left w:val="nil"/>
              <w:right w:val="nil"/>
            </w:tcBorders>
            <w:shd w:val="clear" w:color="auto" w:fill="auto"/>
            <w:vAlign w:val="bottom"/>
          </w:tcPr>
          <w:p w14:paraId="2A3251E4"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bookmarkStart w:id="1222" w:name="_Toc67331029"/>
            <w:r w:rsidRPr="00122C6A">
              <w:rPr>
                <w:rFonts w:ascii="Calibri" w:eastAsia="Times New Roman" w:hAnsi="Calibri" w:cs="Times New Roman"/>
                <w:sz w:val="18"/>
                <w:szCs w:val="18"/>
                <w:lang w:val="en-US"/>
              </w:rPr>
              <w:t>-</w:t>
            </w:r>
            <w:bookmarkEnd w:id="1222"/>
          </w:p>
        </w:tc>
        <w:tc>
          <w:tcPr>
            <w:tcW w:w="1304" w:type="dxa"/>
            <w:tcBorders>
              <w:top w:val="nil"/>
              <w:left w:val="nil"/>
              <w:right w:val="nil"/>
            </w:tcBorders>
            <w:shd w:val="clear" w:color="auto" w:fill="auto"/>
            <w:vAlign w:val="bottom"/>
          </w:tcPr>
          <w:p w14:paraId="677C6095"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bookmarkStart w:id="1223" w:name="_Toc67331030"/>
            <w:r w:rsidRPr="00122C6A">
              <w:rPr>
                <w:rFonts w:ascii="Calibri" w:eastAsia="Times New Roman" w:hAnsi="Calibri" w:cs="Times New Roman"/>
                <w:sz w:val="18"/>
                <w:szCs w:val="18"/>
                <w:lang w:val="en-US"/>
              </w:rPr>
              <w:t>16,375</w:t>
            </w:r>
            <w:bookmarkEnd w:id="1223"/>
          </w:p>
        </w:tc>
      </w:tr>
      <w:tr w:rsidR="00122C6A" w:rsidRPr="00122C6A" w14:paraId="16B0EEBB" w14:textId="77777777" w:rsidTr="00E44437">
        <w:trPr>
          <w:trHeight w:val="255"/>
          <w:jc w:val="center"/>
        </w:trPr>
        <w:tc>
          <w:tcPr>
            <w:tcW w:w="5528" w:type="dxa"/>
            <w:vAlign w:val="bottom"/>
          </w:tcPr>
          <w:p w14:paraId="6553BC10" w14:textId="77777777" w:rsidR="00122C6A" w:rsidRPr="00122C6A" w:rsidRDefault="00122C6A" w:rsidP="00122C6A">
            <w:pPr>
              <w:tabs>
                <w:tab w:val="right" w:pos="1202"/>
              </w:tabs>
              <w:spacing w:after="0" w:line="240" w:lineRule="auto"/>
              <w:outlineLvl w:val="0"/>
              <w:rPr>
                <w:rFonts w:ascii="Calibri" w:eastAsia="Times New Roman" w:hAnsi="Calibri" w:cs="Arial"/>
                <w:b/>
                <w:i/>
                <w:sz w:val="19"/>
                <w:szCs w:val="19"/>
                <w:highlight w:val="yellow"/>
                <w:lang w:val="en-US"/>
              </w:rPr>
            </w:pPr>
            <w:r w:rsidRPr="00122C6A">
              <w:rPr>
                <w:rFonts w:ascii="Calibri" w:eastAsia="Times New Roman" w:hAnsi="Calibri" w:cs="Arial"/>
                <w:b/>
                <w:i/>
                <w:sz w:val="19"/>
                <w:szCs w:val="19"/>
                <w:lang w:val="en-US"/>
              </w:rPr>
              <w:t>Investments in investment funds:</w:t>
            </w:r>
          </w:p>
        </w:tc>
        <w:tc>
          <w:tcPr>
            <w:tcW w:w="1276" w:type="dxa"/>
            <w:tcBorders>
              <w:top w:val="nil"/>
              <w:left w:val="nil"/>
              <w:right w:val="nil"/>
            </w:tcBorders>
            <w:shd w:val="clear" w:color="auto" w:fill="auto"/>
            <w:vAlign w:val="bottom"/>
          </w:tcPr>
          <w:p w14:paraId="58629DB5"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p>
        </w:tc>
        <w:tc>
          <w:tcPr>
            <w:tcW w:w="1276" w:type="dxa"/>
            <w:tcBorders>
              <w:top w:val="nil"/>
              <w:left w:val="nil"/>
              <w:right w:val="nil"/>
            </w:tcBorders>
            <w:shd w:val="clear" w:color="auto" w:fill="auto"/>
            <w:vAlign w:val="bottom"/>
          </w:tcPr>
          <w:p w14:paraId="5A49182C"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p>
        </w:tc>
        <w:tc>
          <w:tcPr>
            <w:tcW w:w="1304" w:type="dxa"/>
            <w:tcBorders>
              <w:top w:val="nil"/>
              <w:left w:val="nil"/>
              <w:right w:val="nil"/>
            </w:tcBorders>
            <w:shd w:val="clear" w:color="auto" w:fill="auto"/>
            <w:vAlign w:val="bottom"/>
          </w:tcPr>
          <w:p w14:paraId="41312DA5"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p>
        </w:tc>
      </w:tr>
      <w:tr w:rsidR="00122C6A" w:rsidRPr="00122C6A" w14:paraId="5F5CD5BA" w14:textId="77777777" w:rsidTr="00E44437">
        <w:trPr>
          <w:trHeight w:val="255"/>
          <w:jc w:val="center"/>
        </w:trPr>
        <w:tc>
          <w:tcPr>
            <w:tcW w:w="5528" w:type="dxa"/>
            <w:vAlign w:val="bottom"/>
          </w:tcPr>
          <w:p w14:paraId="1CC342F8" w14:textId="77777777" w:rsidR="00122C6A" w:rsidRPr="00122C6A" w:rsidRDefault="00122C6A" w:rsidP="00122C6A">
            <w:pPr>
              <w:tabs>
                <w:tab w:val="right" w:pos="1202"/>
              </w:tabs>
              <w:spacing w:after="0" w:line="240" w:lineRule="auto"/>
              <w:outlineLvl w:val="0"/>
              <w:rPr>
                <w:rFonts w:ascii="Calibri" w:eastAsia="Times New Roman" w:hAnsi="Calibri" w:cs="Arial"/>
                <w:b/>
                <w:i/>
                <w:sz w:val="19"/>
                <w:szCs w:val="19"/>
                <w:highlight w:val="yellow"/>
                <w:lang w:val="en-US"/>
              </w:rPr>
            </w:pPr>
            <w:r w:rsidRPr="00122C6A">
              <w:rPr>
                <w:rFonts w:ascii="Calibri" w:eastAsia="Times New Roman" w:hAnsi="Calibri" w:cs="Arial"/>
                <w:sz w:val="19"/>
                <w:szCs w:val="19"/>
                <w:lang w:val="en-US"/>
              </w:rPr>
              <w:t>Investments in investment funds at fair value through profit or loss</w:t>
            </w:r>
          </w:p>
        </w:tc>
        <w:tc>
          <w:tcPr>
            <w:tcW w:w="1276" w:type="dxa"/>
            <w:tcBorders>
              <w:top w:val="nil"/>
              <w:left w:val="nil"/>
              <w:right w:val="nil"/>
            </w:tcBorders>
            <w:shd w:val="clear" w:color="auto" w:fill="auto"/>
            <w:vAlign w:val="bottom"/>
          </w:tcPr>
          <w:p w14:paraId="09ECDF11"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bookmarkStart w:id="1224" w:name="_Toc67331033"/>
            <w:r w:rsidRPr="00122C6A">
              <w:rPr>
                <w:rFonts w:ascii="Calibri" w:eastAsia="Times New Roman" w:hAnsi="Calibri" w:cs="Times New Roman"/>
                <w:sz w:val="18"/>
                <w:szCs w:val="18"/>
                <w:lang w:val="en-US"/>
              </w:rPr>
              <w:t>202,260</w:t>
            </w:r>
            <w:bookmarkEnd w:id="1224"/>
          </w:p>
        </w:tc>
        <w:tc>
          <w:tcPr>
            <w:tcW w:w="1276" w:type="dxa"/>
            <w:tcBorders>
              <w:top w:val="nil"/>
              <w:left w:val="nil"/>
              <w:right w:val="nil"/>
            </w:tcBorders>
            <w:shd w:val="clear" w:color="auto" w:fill="auto"/>
            <w:vAlign w:val="bottom"/>
          </w:tcPr>
          <w:p w14:paraId="5F3640C7"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bookmarkStart w:id="1225" w:name="_Toc67331034"/>
            <w:r w:rsidRPr="00122C6A">
              <w:rPr>
                <w:rFonts w:ascii="Calibri" w:eastAsia="Times New Roman" w:hAnsi="Calibri" w:cs="Times New Roman"/>
                <w:sz w:val="18"/>
                <w:szCs w:val="18"/>
                <w:lang w:val="en-US"/>
              </w:rPr>
              <w:t>-</w:t>
            </w:r>
            <w:bookmarkEnd w:id="1225"/>
          </w:p>
        </w:tc>
        <w:tc>
          <w:tcPr>
            <w:tcW w:w="1304" w:type="dxa"/>
            <w:tcBorders>
              <w:top w:val="nil"/>
              <w:left w:val="nil"/>
              <w:right w:val="nil"/>
            </w:tcBorders>
            <w:shd w:val="clear" w:color="auto" w:fill="auto"/>
            <w:vAlign w:val="bottom"/>
          </w:tcPr>
          <w:p w14:paraId="3F5FF593"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bookmarkStart w:id="1226" w:name="_Toc67331035"/>
            <w:r w:rsidRPr="00122C6A">
              <w:rPr>
                <w:rFonts w:ascii="Calibri" w:eastAsia="Times New Roman" w:hAnsi="Calibri" w:cs="Times New Roman"/>
                <w:sz w:val="18"/>
                <w:szCs w:val="18"/>
                <w:lang w:val="en-US"/>
              </w:rPr>
              <w:t>-</w:t>
            </w:r>
            <w:bookmarkEnd w:id="1226"/>
          </w:p>
        </w:tc>
      </w:tr>
      <w:tr w:rsidR="00122C6A" w:rsidRPr="00122C6A" w14:paraId="6C261055" w14:textId="77777777" w:rsidTr="00E44437">
        <w:trPr>
          <w:trHeight w:val="216"/>
          <w:jc w:val="center"/>
        </w:trPr>
        <w:tc>
          <w:tcPr>
            <w:tcW w:w="5528" w:type="dxa"/>
            <w:vAlign w:val="bottom"/>
          </w:tcPr>
          <w:p w14:paraId="07802BCC" w14:textId="77777777" w:rsidR="00122C6A" w:rsidRPr="00122C6A" w:rsidRDefault="00122C6A" w:rsidP="00122C6A">
            <w:pPr>
              <w:tabs>
                <w:tab w:val="right" w:pos="1202"/>
              </w:tabs>
              <w:spacing w:after="0" w:line="240" w:lineRule="auto"/>
              <w:outlineLvl w:val="0"/>
              <w:rPr>
                <w:rFonts w:ascii="Calibri" w:eastAsia="Times New Roman" w:hAnsi="Calibri" w:cs="Arial"/>
                <w:b/>
                <w:sz w:val="19"/>
                <w:szCs w:val="19"/>
                <w:highlight w:val="yellow"/>
                <w:lang w:val="en-US"/>
              </w:rPr>
            </w:pPr>
            <w:r w:rsidRPr="00122C6A">
              <w:rPr>
                <w:rFonts w:ascii="Calibri" w:eastAsia="Times New Roman" w:hAnsi="Calibri" w:cs="Arial"/>
                <w:b/>
                <w:sz w:val="19"/>
                <w:szCs w:val="19"/>
                <w:lang w:val="en-US"/>
              </w:rPr>
              <w:t>Equity instruments:</w:t>
            </w:r>
          </w:p>
          <w:p w14:paraId="5B1CE1D0" w14:textId="77777777" w:rsidR="00122C6A" w:rsidRPr="00122C6A" w:rsidRDefault="00122C6A" w:rsidP="00122C6A">
            <w:pPr>
              <w:tabs>
                <w:tab w:val="right" w:pos="1202"/>
              </w:tabs>
              <w:spacing w:after="0" w:line="240" w:lineRule="auto"/>
              <w:outlineLvl w:val="0"/>
              <w:rPr>
                <w:rFonts w:ascii="Calibri" w:eastAsia="Times New Roman" w:hAnsi="Calibri" w:cs="Arial"/>
                <w:b/>
                <w:i/>
                <w:spacing w:val="-2"/>
                <w:sz w:val="19"/>
                <w:szCs w:val="19"/>
                <w:lang w:val="en-US"/>
              </w:rPr>
            </w:pPr>
            <w:r w:rsidRPr="00122C6A">
              <w:rPr>
                <w:rFonts w:ascii="Calibri" w:eastAsia="Times New Roman" w:hAnsi="Calibri" w:cs="Arial"/>
                <w:b/>
                <w:i/>
                <w:spacing w:val="-2"/>
                <w:sz w:val="19"/>
                <w:szCs w:val="19"/>
                <w:lang w:val="en-US"/>
              </w:rPr>
              <w:t>Listed equity instruments:</w:t>
            </w:r>
          </w:p>
          <w:p w14:paraId="7E0FC4F2" w14:textId="77777777" w:rsidR="00122C6A" w:rsidRPr="00122C6A" w:rsidRDefault="00122C6A" w:rsidP="00122C6A">
            <w:pPr>
              <w:tabs>
                <w:tab w:val="right" w:pos="1202"/>
              </w:tabs>
              <w:spacing w:after="0" w:line="240" w:lineRule="auto"/>
              <w:outlineLvl w:val="0"/>
              <w:rPr>
                <w:rFonts w:ascii="Calibri" w:eastAsia="Times New Roman" w:hAnsi="Calibri" w:cs="Arial"/>
                <w:sz w:val="19"/>
                <w:szCs w:val="19"/>
                <w:highlight w:val="yellow"/>
                <w:lang w:val="en-US"/>
              </w:rPr>
            </w:pPr>
            <w:r w:rsidRPr="00122C6A">
              <w:rPr>
                <w:rFonts w:ascii="Calibri" w:eastAsia="Times New Roman" w:hAnsi="Calibri" w:cs="Arial"/>
                <w:sz w:val="19"/>
                <w:szCs w:val="19"/>
                <w:lang w:val="en-US"/>
              </w:rPr>
              <w:t>Investments in companies’ shares</w:t>
            </w:r>
          </w:p>
        </w:tc>
        <w:tc>
          <w:tcPr>
            <w:tcW w:w="1276" w:type="dxa"/>
            <w:tcBorders>
              <w:top w:val="nil"/>
              <w:left w:val="nil"/>
              <w:right w:val="nil"/>
            </w:tcBorders>
            <w:shd w:val="clear" w:color="auto" w:fill="auto"/>
            <w:vAlign w:val="bottom"/>
          </w:tcPr>
          <w:p w14:paraId="3E0376B1"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bookmarkStart w:id="1227" w:name="_Toc67331039"/>
            <w:r w:rsidRPr="00122C6A">
              <w:rPr>
                <w:rFonts w:ascii="Calibri" w:eastAsia="Calibri" w:hAnsi="Calibri" w:cs="Calibri"/>
                <w:color w:val="000000"/>
                <w:sz w:val="18"/>
                <w:szCs w:val="18"/>
              </w:rPr>
              <w:t>-</w:t>
            </w:r>
            <w:bookmarkEnd w:id="1227"/>
          </w:p>
        </w:tc>
        <w:tc>
          <w:tcPr>
            <w:tcW w:w="1276" w:type="dxa"/>
            <w:tcBorders>
              <w:top w:val="nil"/>
              <w:left w:val="nil"/>
              <w:right w:val="nil"/>
            </w:tcBorders>
            <w:shd w:val="clear" w:color="auto" w:fill="auto"/>
            <w:vAlign w:val="bottom"/>
          </w:tcPr>
          <w:p w14:paraId="25ED4B08"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bookmarkStart w:id="1228" w:name="_Toc67331040"/>
            <w:r w:rsidRPr="00122C6A">
              <w:rPr>
                <w:rFonts w:ascii="Calibri" w:eastAsia="Calibri" w:hAnsi="Calibri" w:cs="Calibri"/>
                <w:color w:val="000000"/>
                <w:sz w:val="18"/>
                <w:szCs w:val="18"/>
              </w:rPr>
              <w:t>-</w:t>
            </w:r>
            <w:bookmarkEnd w:id="1228"/>
          </w:p>
        </w:tc>
        <w:tc>
          <w:tcPr>
            <w:tcW w:w="1304" w:type="dxa"/>
            <w:tcBorders>
              <w:top w:val="nil"/>
              <w:left w:val="nil"/>
              <w:right w:val="nil"/>
            </w:tcBorders>
            <w:shd w:val="clear" w:color="auto" w:fill="auto"/>
            <w:vAlign w:val="bottom"/>
          </w:tcPr>
          <w:p w14:paraId="1B642682"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bookmarkStart w:id="1229" w:name="_Toc67331041"/>
            <w:r w:rsidRPr="00122C6A">
              <w:rPr>
                <w:rFonts w:ascii="Calibri" w:eastAsia="Calibri" w:hAnsi="Calibri" w:cs="Calibri"/>
                <w:color w:val="000000"/>
                <w:sz w:val="18"/>
                <w:szCs w:val="18"/>
              </w:rPr>
              <w:t>-</w:t>
            </w:r>
            <w:bookmarkEnd w:id="1229"/>
          </w:p>
        </w:tc>
      </w:tr>
      <w:tr w:rsidR="00122C6A" w:rsidRPr="00122C6A" w14:paraId="711B9121" w14:textId="77777777" w:rsidTr="00E44437">
        <w:trPr>
          <w:trHeight w:val="299"/>
          <w:jc w:val="center"/>
        </w:trPr>
        <w:tc>
          <w:tcPr>
            <w:tcW w:w="5528" w:type="dxa"/>
            <w:vAlign w:val="bottom"/>
          </w:tcPr>
          <w:p w14:paraId="0B4D752F" w14:textId="77777777" w:rsidR="00122C6A" w:rsidRPr="00122C6A" w:rsidRDefault="00122C6A" w:rsidP="00122C6A">
            <w:pPr>
              <w:tabs>
                <w:tab w:val="right" w:pos="1202"/>
              </w:tabs>
              <w:spacing w:after="0" w:line="240" w:lineRule="auto"/>
              <w:outlineLvl w:val="0"/>
              <w:rPr>
                <w:rFonts w:ascii="Calibri" w:eastAsia="Times New Roman" w:hAnsi="Calibri" w:cs="Arial"/>
                <w:sz w:val="19"/>
                <w:szCs w:val="19"/>
                <w:highlight w:val="yellow"/>
                <w:lang w:val="en-US"/>
              </w:rPr>
            </w:pPr>
            <w:r w:rsidRPr="00122C6A">
              <w:rPr>
                <w:rFonts w:ascii="Calibri" w:eastAsia="Times New Roman" w:hAnsi="Calibri" w:cs="Arial"/>
                <w:b/>
                <w:i/>
                <w:spacing w:val="-2"/>
                <w:sz w:val="19"/>
                <w:szCs w:val="19"/>
                <w:lang w:val="en-US"/>
              </w:rPr>
              <w:t>Unlisted equity instruments:</w:t>
            </w:r>
          </w:p>
        </w:tc>
        <w:tc>
          <w:tcPr>
            <w:tcW w:w="1276" w:type="dxa"/>
            <w:tcBorders>
              <w:left w:val="nil"/>
              <w:right w:val="nil"/>
            </w:tcBorders>
            <w:shd w:val="clear" w:color="auto" w:fill="auto"/>
            <w:vAlign w:val="bottom"/>
          </w:tcPr>
          <w:p w14:paraId="3595398F"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p>
        </w:tc>
        <w:tc>
          <w:tcPr>
            <w:tcW w:w="1276" w:type="dxa"/>
            <w:tcBorders>
              <w:top w:val="nil"/>
              <w:left w:val="nil"/>
              <w:right w:val="nil"/>
            </w:tcBorders>
            <w:shd w:val="clear" w:color="auto" w:fill="auto"/>
            <w:vAlign w:val="bottom"/>
          </w:tcPr>
          <w:p w14:paraId="38CDE03E"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p>
        </w:tc>
        <w:tc>
          <w:tcPr>
            <w:tcW w:w="1304" w:type="dxa"/>
            <w:tcBorders>
              <w:top w:val="nil"/>
              <w:left w:val="nil"/>
              <w:right w:val="nil"/>
            </w:tcBorders>
            <w:shd w:val="clear" w:color="auto" w:fill="auto"/>
            <w:vAlign w:val="bottom"/>
          </w:tcPr>
          <w:p w14:paraId="4D207454"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p>
        </w:tc>
      </w:tr>
      <w:tr w:rsidR="00122C6A" w:rsidRPr="00122C6A" w14:paraId="1FD5F438" w14:textId="77777777" w:rsidTr="00E44437">
        <w:trPr>
          <w:trHeight w:val="299"/>
          <w:jc w:val="center"/>
        </w:trPr>
        <w:tc>
          <w:tcPr>
            <w:tcW w:w="5528" w:type="dxa"/>
            <w:vAlign w:val="bottom"/>
          </w:tcPr>
          <w:p w14:paraId="499B9E4B" w14:textId="77777777" w:rsidR="00122C6A" w:rsidRPr="00122C6A" w:rsidRDefault="00122C6A" w:rsidP="00122C6A">
            <w:pPr>
              <w:tabs>
                <w:tab w:val="right" w:pos="1202"/>
              </w:tabs>
              <w:spacing w:after="0" w:line="240" w:lineRule="auto"/>
              <w:outlineLvl w:val="0"/>
              <w:rPr>
                <w:rFonts w:ascii="Calibri" w:eastAsia="Times New Roman" w:hAnsi="Calibri" w:cs="Arial"/>
                <w:b/>
                <w:i/>
                <w:spacing w:val="-2"/>
                <w:sz w:val="19"/>
                <w:szCs w:val="19"/>
                <w:lang w:val="en-US"/>
              </w:rPr>
            </w:pPr>
            <w:r w:rsidRPr="00122C6A">
              <w:rPr>
                <w:rFonts w:ascii="Calibri" w:eastAsia="Times New Roman" w:hAnsi="Calibri" w:cs="Arial"/>
                <w:sz w:val="19"/>
                <w:szCs w:val="19"/>
                <w:lang w:val="en-US"/>
              </w:rPr>
              <w:t>Investments in companies’ shares</w:t>
            </w:r>
          </w:p>
        </w:tc>
        <w:tc>
          <w:tcPr>
            <w:tcW w:w="1276" w:type="dxa"/>
            <w:tcBorders>
              <w:left w:val="nil"/>
              <w:right w:val="nil"/>
            </w:tcBorders>
            <w:shd w:val="clear" w:color="auto" w:fill="auto"/>
            <w:vAlign w:val="center"/>
          </w:tcPr>
          <w:p w14:paraId="72146E19"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bookmarkStart w:id="1230" w:name="_Toc67331044"/>
            <w:r w:rsidRPr="00122C6A">
              <w:rPr>
                <w:rFonts w:ascii="Calibri" w:eastAsia="Times New Roman" w:hAnsi="Calibri" w:cs="Times New Roman"/>
                <w:sz w:val="18"/>
                <w:szCs w:val="18"/>
                <w:lang w:val="en-US"/>
              </w:rPr>
              <w:t>-</w:t>
            </w:r>
            <w:bookmarkEnd w:id="1230"/>
          </w:p>
        </w:tc>
        <w:tc>
          <w:tcPr>
            <w:tcW w:w="1276" w:type="dxa"/>
            <w:tcBorders>
              <w:top w:val="nil"/>
              <w:left w:val="nil"/>
              <w:right w:val="nil"/>
            </w:tcBorders>
            <w:shd w:val="clear" w:color="auto" w:fill="auto"/>
            <w:vAlign w:val="center"/>
          </w:tcPr>
          <w:p w14:paraId="14D0A088"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bookmarkStart w:id="1231" w:name="_Toc67331045"/>
            <w:r w:rsidRPr="00122C6A">
              <w:rPr>
                <w:rFonts w:ascii="Calibri" w:eastAsia="Times New Roman" w:hAnsi="Calibri" w:cs="Times New Roman"/>
                <w:sz w:val="18"/>
                <w:szCs w:val="18"/>
                <w:lang w:val="en-US"/>
              </w:rPr>
              <w:t>-</w:t>
            </w:r>
            <w:bookmarkEnd w:id="1231"/>
          </w:p>
        </w:tc>
        <w:tc>
          <w:tcPr>
            <w:tcW w:w="1304" w:type="dxa"/>
            <w:tcBorders>
              <w:top w:val="nil"/>
              <w:left w:val="nil"/>
              <w:right w:val="nil"/>
            </w:tcBorders>
            <w:shd w:val="clear" w:color="auto" w:fill="auto"/>
            <w:vAlign w:val="center"/>
          </w:tcPr>
          <w:p w14:paraId="22AB472B"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bookmarkStart w:id="1232" w:name="_Toc67331046"/>
            <w:r w:rsidRPr="00122C6A">
              <w:rPr>
                <w:rFonts w:ascii="Calibri" w:eastAsia="Times New Roman" w:hAnsi="Calibri" w:cs="Times New Roman"/>
                <w:sz w:val="18"/>
                <w:szCs w:val="18"/>
                <w:lang w:val="en-US"/>
              </w:rPr>
              <w:t>31</w:t>
            </w:r>
            <w:bookmarkEnd w:id="1232"/>
          </w:p>
        </w:tc>
      </w:tr>
      <w:tr w:rsidR="00122C6A" w:rsidRPr="00122C6A" w14:paraId="0AB3F802" w14:textId="77777777" w:rsidTr="00E44437">
        <w:trPr>
          <w:trHeight w:val="299"/>
          <w:jc w:val="center"/>
        </w:trPr>
        <w:tc>
          <w:tcPr>
            <w:tcW w:w="5528" w:type="dxa"/>
            <w:vAlign w:val="bottom"/>
          </w:tcPr>
          <w:p w14:paraId="6E06D9A3" w14:textId="77777777" w:rsidR="00122C6A" w:rsidRPr="00122C6A" w:rsidRDefault="00122C6A" w:rsidP="00122C6A">
            <w:pPr>
              <w:tabs>
                <w:tab w:val="right" w:pos="1202"/>
              </w:tabs>
              <w:spacing w:after="0" w:line="240" w:lineRule="auto"/>
              <w:outlineLvl w:val="0"/>
              <w:rPr>
                <w:rFonts w:ascii="Calibri" w:eastAsia="Times New Roman" w:hAnsi="Calibri" w:cs="Arial"/>
                <w:sz w:val="19"/>
                <w:szCs w:val="19"/>
                <w:highlight w:val="yellow"/>
                <w:lang w:val="en-US"/>
              </w:rPr>
            </w:pPr>
            <w:r w:rsidRPr="00122C6A">
              <w:rPr>
                <w:rFonts w:ascii="Calibri" w:eastAsia="Times New Roman" w:hAnsi="Calibri" w:cs="Arial"/>
                <w:sz w:val="19"/>
                <w:szCs w:val="19"/>
                <w:lang w:val="en-US"/>
              </w:rPr>
              <w:t>Depository receipt - DR</w:t>
            </w:r>
          </w:p>
        </w:tc>
        <w:tc>
          <w:tcPr>
            <w:tcW w:w="1276" w:type="dxa"/>
            <w:tcBorders>
              <w:left w:val="nil"/>
              <w:right w:val="nil"/>
            </w:tcBorders>
            <w:shd w:val="clear" w:color="auto" w:fill="auto"/>
            <w:vAlign w:val="center"/>
          </w:tcPr>
          <w:p w14:paraId="17D8457E"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p>
        </w:tc>
        <w:tc>
          <w:tcPr>
            <w:tcW w:w="1276" w:type="dxa"/>
            <w:tcBorders>
              <w:top w:val="nil"/>
              <w:left w:val="nil"/>
              <w:right w:val="nil"/>
            </w:tcBorders>
            <w:shd w:val="clear" w:color="auto" w:fill="auto"/>
            <w:vAlign w:val="center"/>
          </w:tcPr>
          <w:p w14:paraId="5EEEAF3D"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p>
        </w:tc>
        <w:tc>
          <w:tcPr>
            <w:tcW w:w="1304" w:type="dxa"/>
            <w:tcBorders>
              <w:top w:val="nil"/>
              <w:left w:val="nil"/>
              <w:right w:val="nil"/>
            </w:tcBorders>
            <w:shd w:val="clear" w:color="auto" w:fill="auto"/>
            <w:vAlign w:val="center"/>
          </w:tcPr>
          <w:p w14:paraId="05C5A768"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bookmarkStart w:id="1233" w:name="_Toc67331050"/>
            <w:r w:rsidRPr="00122C6A">
              <w:rPr>
                <w:rFonts w:ascii="Calibri" w:eastAsia="Times New Roman" w:hAnsi="Calibri" w:cs="Times New Roman"/>
                <w:sz w:val="18"/>
                <w:szCs w:val="18"/>
                <w:lang w:val="en-US"/>
              </w:rPr>
              <w:t>318</w:t>
            </w:r>
            <w:bookmarkEnd w:id="1233"/>
          </w:p>
        </w:tc>
      </w:tr>
      <w:tr w:rsidR="00122C6A" w:rsidRPr="00122C6A" w14:paraId="582A9F6D" w14:textId="77777777" w:rsidTr="00E44437">
        <w:trPr>
          <w:trHeight w:val="219"/>
          <w:jc w:val="center"/>
        </w:trPr>
        <w:tc>
          <w:tcPr>
            <w:tcW w:w="5528" w:type="dxa"/>
            <w:vAlign w:val="center"/>
          </w:tcPr>
          <w:p w14:paraId="353E132F" w14:textId="77777777" w:rsidR="00122C6A" w:rsidRPr="00122C6A" w:rsidRDefault="00122C6A" w:rsidP="00122C6A">
            <w:pPr>
              <w:tabs>
                <w:tab w:val="right" w:pos="1202"/>
              </w:tabs>
              <w:spacing w:after="0" w:line="240" w:lineRule="auto"/>
              <w:outlineLvl w:val="0"/>
              <w:rPr>
                <w:rFonts w:ascii="Calibri" w:eastAsia="Times New Roman" w:hAnsi="Calibri" w:cs="Arial"/>
                <w:sz w:val="19"/>
                <w:szCs w:val="19"/>
                <w:highlight w:val="yellow"/>
                <w:lang w:val="en-US"/>
              </w:rPr>
            </w:pPr>
            <w:r w:rsidRPr="00122C6A">
              <w:rPr>
                <w:rFonts w:ascii="Calibri" w:eastAsia="Times New Roman" w:hAnsi="Calibri" w:cs="Arial"/>
                <w:b/>
                <w:sz w:val="19"/>
                <w:szCs w:val="19"/>
                <w:lang w:val="en-US"/>
              </w:rPr>
              <w:t>Total financial assets at fair value through profit or loss</w:t>
            </w:r>
          </w:p>
        </w:tc>
        <w:tc>
          <w:tcPr>
            <w:tcW w:w="1276" w:type="dxa"/>
            <w:tcBorders>
              <w:top w:val="single" w:sz="4" w:space="0" w:color="auto"/>
              <w:left w:val="nil"/>
              <w:bottom w:val="single" w:sz="12" w:space="0" w:color="auto"/>
              <w:right w:val="nil"/>
            </w:tcBorders>
            <w:shd w:val="clear" w:color="auto" w:fill="auto"/>
          </w:tcPr>
          <w:p w14:paraId="2972BD3B" w14:textId="77777777" w:rsidR="00122C6A" w:rsidRPr="00122C6A" w:rsidRDefault="00122C6A" w:rsidP="00122C6A">
            <w:pPr>
              <w:tabs>
                <w:tab w:val="right" w:pos="1202"/>
              </w:tabs>
              <w:spacing w:after="0" w:line="240" w:lineRule="auto"/>
              <w:jc w:val="right"/>
              <w:outlineLvl w:val="0"/>
              <w:rPr>
                <w:rFonts w:ascii="Calibri" w:eastAsia="Times New Roman" w:hAnsi="Calibri" w:cs="Arial"/>
                <w:b/>
                <w:sz w:val="19"/>
                <w:szCs w:val="19"/>
                <w:lang w:val="en-US"/>
              </w:rPr>
            </w:pPr>
            <w:bookmarkStart w:id="1234" w:name="_Toc67331061"/>
            <w:r w:rsidRPr="00122C6A">
              <w:rPr>
                <w:rFonts w:ascii="Calibri" w:eastAsia="Times New Roman" w:hAnsi="Calibri" w:cs="Times New Roman"/>
                <w:b/>
                <w:bCs/>
                <w:sz w:val="18"/>
                <w:szCs w:val="18"/>
                <w:lang w:val="en-US"/>
              </w:rPr>
              <w:t>202,260</w:t>
            </w:r>
            <w:bookmarkEnd w:id="1234"/>
          </w:p>
        </w:tc>
        <w:tc>
          <w:tcPr>
            <w:tcW w:w="1276" w:type="dxa"/>
            <w:tcBorders>
              <w:top w:val="single" w:sz="4" w:space="0" w:color="auto"/>
              <w:left w:val="nil"/>
              <w:bottom w:val="single" w:sz="12" w:space="0" w:color="auto"/>
              <w:right w:val="nil"/>
            </w:tcBorders>
            <w:shd w:val="clear" w:color="auto" w:fill="auto"/>
          </w:tcPr>
          <w:p w14:paraId="31D23B07" w14:textId="77777777" w:rsidR="00122C6A" w:rsidRPr="00122C6A" w:rsidRDefault="00122C6A" w:rsidP="00122C6A">
            <w:pPr>
              <w:tabs>
                <w:tab w:val="right" w:pos="1202"/>
              </w:tabs>
              <w:spacing w:after="0" w:line="240" w:lineRule="auto"/>
              <w:jc w:val="right"/>
              <w:outlineLvl w:val="0"/>
              <w:rPr>
                <w:rFonts w:ascii="Calibri" w:eastAsia="Times New Roman" w:hAnsi="Calibri" w:cs="Arial"/>
                <w:b/>
                <w:sz w:val="19"/>
                <w:szCs w:val="19"/>
                <w:lang w:val="en-US"/>
              </w:rPr>
            </w:pPr>
            <w:bookmarkStart w:id="1235" w:name="_Toc67331062"/>
            <w:r w:rsidRPr="00122C6A">
              <w:rPr>
                <w:rFonts w:ascii="Calibri" w:eastAsia="Times New Roman" w:hAnsi="Calibri" w:cs="Times New Roman"/>
                <w:b/>
                <w:bCs/>
                <w:sz w:val="18"/>
                <w:szCs w:val="18"/>
                <w:lang w:val="en-US"/>
              </w:rPr>
              <w:t>-</w:t>
            </w:r>
            <w:bookmarkEnd w:id="1235"/>
          </w:p>
        </w:tc>
        <w:tc>
          <w:tcPr>
            <w:tcW w:w="1304" w:type="dxa"/>
            <w:tcBorders>
              <w:top w:val="single" w:sz="4" w:space="0" w:color="auto"/>
              <w:left w:val="nil"/>
              <w:bottom w:val="single" w:sz="12" w:space="0" w:color="auto"/>
              <w:right w:val="nil"/>
            </w:tcBorders>
            <w:shd w:val="clear" w:color="auto" w:fill="auto"/>
          </w:tcPr>
          <w:p w14:paraId="692F5707" w14:textId="77777777" w:rsidR="00122C6A" w:rsidRPr="00122C6A" w:rsidRDefault="00122C6A" w:rsidP="00122C6A">
            <w:pPr>
              <w:tabs>
                <w:tab w:val="right" w:pos="1202"/>
              </w:tabs>
              <w:spacing w:after="0" w:line="240" w:lineRule="auto"/>
              <w:jc w:val="right"/>
              <w:outlineLvl w:val="0"/>
              <w:rPr>
                <w:rFonts w:ascii="Calibri" w:eastAsia="Times New Roman" w:hAnsi="Calibri" w:cs="Arial"/>
                <w:b/>
                <w:sz w:val="19"/>
                <w:szCs w:val="19"/>
                <w:lang w:val="en-US"/>
              </w:rPr>
            </w:pPr>
            <w:bookmarkStart w:id="1236" w:name="_Toc67331063"/>
            <w:r w:rsidRPr="00122C6A">
              <w:rPr>
                <w:rFonts w:ascii="Calibri" w:eastAsia="Times New Roman" w:hAnsi="Calibri" w:cs="Times New Roman"/>
                <w:b/>
                <w:bCs/>
                <w:sz w:val="18"/>
                <w:szCs w:val="18"/>
                <w:lang w:val="en-US"/>
              </w:rPr>
              <w:t>16,724</w:t>
            </w:r>
            <w:bookmarkEnd w:id="1236"/>
          </w:p>
        </w:tc>
      </w:tr>
      <w:tr w:rsidR="00122C6A" w:rsidRPr="00122C6A" w14:paraId="4B1155FF" w14:textId="77777777" w:rsidTr="00E44437">
        <w:trPr>
          <w:trHeight w:val="501"/>
          <w:jc w:val="center"/>
        </w:trPr>
        <w:tc>
          <w:tcPr>
            <w:tcW w:w="5528" w:type="dxa"/>
            <w:shd w:val="clear" w:color="auto" w:fill="auto"/>
            <w:vAlign w:val="bottom"/>
          </w:tcPr>
          <w:p w14:paraId="76330A69" w14:textId="77777777" w:rsidR="00122C6A" w:rsidRPr="00122C6A" w:rsidRDefault="00122C6A" w:rsidP="00122C6A">
            <w:pPr>
              <w:tabs>
                <w:tab w:val="right" w:pos="1202"/>
              </w:tabs>
              <w:spacing w:after="0" w:line="240" w:lineRule="auto"/>
              <w:outlineLvl w:val="0"/>
              <w:rPr>
                <w:rFonts w:ascii="Calibri" w:eastAsia="Times New Roman" w:hAnsi="Calibri" w:cs="Arial"/>
                <w:b/>
                <w:spacing w:val="-2"/>
                <w:sz w:val="19"/>
                <w:szCs w:val="19"/>
                <w:highlight w:val="yellow"/>
                <w:lang w:val="en-US"/>
              </w:rPr>
            </w:pPr>
            <w:r w:rsidRPr="00122C6A">
              <w:rPr>
                <w:rFonts w:ascii="Calibri" w:eastAsia="Times New Roman" w:hAnsi="Calibri" w:cs="Arial"/>
                <w:b/>
                <w:spacing w:val="-2"/>
                <w:sz w:val="19"/>
                <w:szCs w:val="19"/>
                <w:lang w:val="en-US"/>
              </w:rPr>
              <w:t>Financial assets at fair value through other comprehensive income:</w:t>
            </w:r>
          </w:p>
        </w:tc>
        <w:tc>
          <w:tcPr>
            <w:tcW w:w="1276" w:type="dxa"/>
            <w:vAlign w:val="bottom"/>
          </w:tcPr>
          <w:p w14:paraId="1F235AFA" w14:textId="77777777" w:rsidR="00122C6A" w:rsidRPr="00122C6A" w:rsidDel="00561A80" w:rsidRDefault="00122C6A" w:rsidP="00122C6A">
            <w:pPr>
              <w:tabs>
                <w:tab w:val="right" w:pos="1202"/>
              </w:tabs>
              <w:spacing w:after="0" w:line="240" w:lineRule="auto"/>
              <w:jc w:val="right"/>
              <w:outlineLvl w:val="0"/>
              <w:rPr>
                <w:rFonts w:ascii="Calibri" w:eastAsia="Times New Roman" w:hAnsi="Calibri" w:cs="Arial"/>
                <w:spacing w:val="-2"/>
                <w:sz w:val="19"/>
                <w:szCs w:val="19"/>
                <w:lang w:val="en-US"/>
              </w:rPr>
            </w:pPr>
          </w:p>
        </w:tc>
        <w:tc>
          <w:tcPr>
            <w:tcW w:w="1276" w:type="dxa"/>
            <w:vAlign w:val="bottom"/>
          </w:tcPr>
          <w:p w14:paraId="2A65F3FA" w14:textId="77777777" w:rsidR="00122C6A" w:rsidRPr="00122C6A" w:rsidDel="00561A80" w:rsidRDefault="00122C6A" w:rsidP="00122C6A">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4" w:type="dxa"/>
            <w:vAlign w:val="bottom"/>
          </w:tcPr>
          <w:p w14:paraId="244D786B" w14:textId="77777777" w:rsidR="00122C6A" w:rsidRPr="00122C6A" w:rsidDel="00561A80" w:rsidRDefault="00122C6A" w:rsidP="00122C6A">
            <w:pPr>
              <w:tabs>
                <w:tab w:val="right" w:pos="1202"/>
              </w:tabs>
              <w:spacing w:after="0" w:line="240" w:lineRule="auto"/>
              <w:jc w:val="right"/>
              <w:outlineLvl w:val="0"/>
              <w:rPr>
                <w:rFonts w:ascii="Calibri" w:eastAsia="Times New Roman" w:hAnsi="Calibri" w:cs="Arial"/>
                <w:spacing w:val="-2"/>
                <w:sz w:val="19"/>
                <w:szCs w:val="19"/>
                <w:lang w:val="en-US"/>
              </w:rPr>
            </w:pPr>
          </w:p>
        </w:tc>
      </w:tr>
      <w:tr w:rsidR="00122C6A" w:rsidRPr="00122C6A" w14:paraId="2AE6913C" w14:textId="77777777" w:rsidTr="00E44437">
        <w:trPr>
          <w:trHeight w:val="291"/>
          <w:jc w:val="center"/>
        </w:trPr>
        <w:tc>
          <w:tcPr>
            <w:tcW w:w="5528" w:type="dxa"/>
            <w:shd w:val="clear" w:color="auto" w:fill="auto"/>
            <w:vAlign w:val="bottom"/>
          </w:tcPr>
          <w:p w14:paraId="731CE928" w14:textId="77777777" w:rsidR="00122C6A" w:rsidRPr="00122C6A" w:rsidRDefault="00122C6A" w:rsidP="00122C6A">
            <w:pPr>
              <w:tabs>
                <w:tab w:val="right" w:pos="1202"/>
              </w:tabs>
              <w:spacing w:after="0" w:line="240" w:lineRule="auto"/>
              <w:outlineLvl w:val="0"/>
              <w:rPr>
                <w:rFonts w:ascii="Calibri" w:eastAsia="Times New Roman" w:hAnsi="Calibri" w:cs="Arial"/>
                <w:b/>
                <w:spacing w:val="-2"/>
                <w:sz w:val="19"/>
                <w:szCs w:val="19"/>
                <w:highlight w:val="yellow"/>
                <w:lang w:val="en-US"/>
              </w:rPr>
            </w:pPr>
            <w:r w:rsidRPr="00122C6A">
              <w:rPr>
                <w:rFonts w:ascii="Calibri" w:eastAsia="Times New Roman" w:hAnsi="Calibri" w:cs="Arial"/>
                <w:b/>
                <w:spacing w:val="-2"/>
                <w:sz w:val="19"/>
                <w:szCs w:val="19"/>
                <w:lang w:val="en-US"/>
              </w:rPr>
              <w:t>Debt instruments:</w:t>
            </w:r>
          </w:p>
        </w:tc>
        <w:tc>
          <w:tcPr>
            <w:tcW w:w="1276" w:type="dxa"/>
            <w:vAlign w:val="bottom"/>
          </w:tcPr>
          <w:p w14:paraId="37299559" w14:textId="77777777" w:rsidR="00122C6A" w:rsidRPr="00122C6A" w:rsidDel="00561A80" w:rsidRDefault="00122C6A" w:rsidP="00122C6A">
            <w:pPr>
              <w:tabs>
                <w:tab w:val="right" w:pos="1202"/>
              </w:tabs>
              <w:spacing w:after="0" w:line="240" w:lineRule="auto"/>
              <w:jc w:val="right"/>
              <w:outlineLvl w:val="0"/>
              <w:rPr>
                <w:rFonts w:ascii="Calibri" w:eastAsia="Times New Roman" w:hAnsi="Calibri" w:cs="Arial"/>
                <w:spacing w:val="-2"/>
                <w:sz w:val="19"/>
                <w:szCs w:val="19"/>
                <w:lang w:val="en-US"/>
              </w:rPr>
            </w:pPr>
          </w:p>
        </w:tc>
        <w:tc>
          <w:tcPr>
            <w:tcW w:w="1276" w:type="dxa"/>
            <w:vAlign w:val="bottom"/>
          </w:tcPr>
          <w:p w14:paraId="51534DE0" w14:textId="77777777" w:rsidR="00122C6A" w:rsidRPr="00122C6A" w:rsidDel="00561A80" w:rsidRDefault="00122C6A" w:rsidP="00122C6A">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4" w:type="dxa"/>
            <w:vAlign w:val="bottom"/>
          </w:tcPr>
          <w:p w14:paraId="03DF5C5A" w14:textId="77777777" w:rsidR="00122C6A" w:rsidRPr="00122C6A" w:rsidDel="00561A80" w:rsidRDefault="00122C6A" w:rsidP="00122C6A">
            <w:pPr>
              <w:tabs>
                <w:tab w:val="right" w:pos="1202"/>
              </w:tabs>
              <w:spacing w:after="0" w:line="240" w:lineRule="auto"/>
              <w:jc w:val="right"/>
              <w:outlineLvl w:val="0"/>
              <w:rPr>
                <w:rFonts w:ascii="Calibri" w:eastAsia="Times New Roman" w:hAnsi="Calibri" w:cs="Arial"/>
                <w:spacing w:val="-2"/>
                <w:sz w:val="19"/>
                <w:szCs w:val="19"/>
                <w:lang w:val="en-US"/>
              </w:rPr>
            </w:pPr>
          </w:p>
        </w:tc>
      </w:tr>
      <w:tr w:rsidR="00122C6A" w:rsidRPr="00122C6A" w14:paraId="7720B165" w14:textId="77777777" w:rsidTr="00E44437">
        <w:trPr>
          <w:trHeight w:val="291"/>
          <w:jc w:val="center"/>
        </w:trPr>
        <w:tc>
          <w:tcPr>
            <w:tcW w:w="5528" w:type="dxa"/>
            <w:shd w:val="clear" w:color="auto" w:fill="auto"/>
            <w:vAlign w:val="bottom"/>
          </w:tcPr>
          <w:p w14:paraId="6A5E6889" w14:textId="77777777" w:rsidR="00122C6A" w:rsidRPr="00122C6A" w:rsidRDefault="00122C6A" w:rsidP="00122C6A">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122C6A">
              <w:rPr>
                <w:rFonts w:ascii="Calibri" w:eastAsia="Times New Roman" w:hAnsi="Calibri" w:cs="Arial"/>
                <w:b/>
                <w:i/>
                <w:spacing w:val="-2"/>
                <w:sz w:val="19"/>
                <w:szCs w:val="19"/>
                <w:lang w:val="en-US"/>
              </w:rPr>
              <w:t>Listed debt instruments:</w:t>
            </w:r>
          </w:p>
        </w:tc>
        <w:tc>
          <w:tcPr>
            <w:tcW w:w="1276" w:type="dxa"/>
            <w:tcBorders>
              <w:top w:val="nil"/>
              <w:left w:val="nil"/>
              <w:bottom w:val="nil"/>
              <w:right w:val="nil"/>
            </w:tcBorders>
            <w:shd w:val="clear" w:color="auto" w:fill="auto"/>
            <w:vAlign w:val="bottom"/>
          </w:tcPr>
          <w:p w14:paraId="42DD4362" w14:textId="77777777" w:rsidR="00122C6A" w:rsidRPr="00122C6A" w:rsidDel="00561A80" w:rsidRDefault="00122C6A" w:rsidP="00122C6A">
            <w:pPr>
              <w:tabs>
                <w:tab w:val="right" w:pos="1202"/>
              </w:tabs>
              <w:spacing w:after="0" w:line="240" w:lineRule="auto"/>
              <w:jc w:val="right"/>
              <w:outlineLvl w:val="0"/>
              <w:rPr>
                <w:rFonts w:ascii="Calibri" w:eastAsia="Times New Roman" w:hAnsi="Calibri" w:cs="Arial"/>
                <w:spacing w:val="-2"/>
                <w:sz w:val="19"/>
                <w:szCs w:val="19"/>
                <w:lang w:val="en-US"/>
              </w:rPr>
            </w:pPr>
          </w:p>
        </w:tc>
        <w:tc>
          <w:tcPr>
            <w:tcW w:w="1276" w:type="dxa"/>
            <w:tcBorders>
              <w:top w:val="nil"/>
              <w:left w:val="nil"/>
              <w:bottom w:val="nil"/>
              <w:right w:val="nil"/>
            </w:tcBorders>
            <w:shd w:val="clear" w:color="auto" w:fill="auto"/>
            <w:vAlign w:val="bottom"/>
          </w:tcPr>
          <w:p w14:paraId="3D6EEADB" w14:textId="77777777" w:rsidR="00122C6A" w:rsidRPr="00122C6A" w:rsidDel="00561A80" w:rsidRDefault="00122C6A" w:rsidP="00122C6A">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4" w:type="dxa"/>
            <w:tcBorders>
              <w:top w:val="nil"/>
              <w:left w:val="nil"/>
              <w:bottom w:val="nil"/>
              <w:right w:val="nil"/>
            </w:tcBorders>
            <w:shd w:val="clear" w:color="auto" w:fill="auto"/>
            <w:vAlign w:val="bottom"/>
          </w:tcPr>
          <w:p w14:paraId="6334AEBF" w14:textId="77777777" w:rsidR="00122C6A" w:rsidRPr="00122C6A" w:rsidDel="00561A80" w:rsidRDefault="00122C6A" w:rsidP="00122C6A">
            <w:pPr>
              <w:tabs>
                <w:tab w:val="right" w:pos="1202"/>
              </w:tabs>
              <w:spacing w:after="0" w:line="240" w:lineRule="auto"/>
              <w:jc w:val="right"/>
              <w:outlineLvl w:val="0"/>
              <w:rPr>
                <w:rFonts w:ascii="Calibri" w:eastAsia="Times New Roman" w:hAnsi="Calibri" w:cs="Arial"/>
                <w:spacing w:val="-2"/>
                <w:sz w:val="19"/>
                <w:szCs w:val="19"/>
                <w:lang w:val="en-US"/>
              </w:rPr>
            </w:pPr>
          </w:p>
        </w:tc>
      </w:tr>
      <w:tr w:rsidR="00122C6A" w:rsidRPr="00122C6A" w14:paraId="319AAA31" w14:textId="77777777" w:rsidTr="00E44437">
        <w:trPr>
          <w:trHeight w:val="291"/>
          <w:jc w:val="center"/>
        </w:trPr>
        <w:tc>
          <w:tcPr>
            <w:tcW w:w="5528" w:type="dxa"/>
            <w:shd w:val="clear" w:color="auto" w:fill="auto"/>
            <w:vAlign w:val="bottom"/>
          </w:tcPr>
          <w:p w14:paraId="3C4271FE" w14:textId="77777777" w:rsidR="00122C6A" w:rsidRPr="00122C6A" w:rsidRDefault="00122C6A" w:rsidP="00122C6A">
            <w:pPr>
              <w:tabs>
                <w:tab w:val="right" w:pos="1202"/>
              </w:tabs>
              <w:spacing w:after="0" w:line="240" w:lineRule="auto"/>
              <w:outlineLvl w:val="0"/>
              <w:rPr>
                <w:rFonts w:ascii="Calibri" w:eastAsia="Times New Roman" w:hAnsi="Calibri" w:cs="Arial"/>
                <w:spacing w:val="-2"/>
                <w:sz w:val="19"/>
                <w:szCs w:val="19"/>
                <w:highlight w:val="yellow"/>
                <w:lang w:val="en-US"/>
              </w:rPr>
            </w:pPr>
            <w:r w:rsidRPr="00122C6A">
              <w:rPr>
                <w:rFonts w:ascii="Calibri" w:eastAsia="Times New Roman" w:hAnsi="Calibri" w:cs="Arial"/>
                <w:spacing w:val="-2"/>
                <w:sz w:val="19"/>
                <w:szCs w:val="19"/>
                <w:lang w:val="en-US"/>
              </w:rPr>
              <w:t>Bonds of the Republic of Croatia</w:t>
            </w:r>
          </w:p>
        </w:tc>
        <w:tc>
          <w:tcPr>
            <w:tcW w:w="1276" w:type="dxa"/>
            <w:tcBorders>
              <w:top w:val="nil"/>
              <w:left w:val="nil"/>
              <w:bottom w:val="nil"/>
              <w:right w:val="nil"/>
            </w:tcBorders>
            <w:shd w:val="clear" w:color="auto" w:fill="auto"/>
            <w:vAlign w:val="bottom"/>
          </w:tcPr>
          <w:p w14:paraId="5C1BF251"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r w:rsidRPr="00122C6A">
              <w:rPr>
                <w:rFonts w:ascii="Calibri" w:eastAsia="Times New Roman" w:hAnsi="Calibri" w:cs="Times New Roman"/>
                <w:sz w:val="18"/>
                <w:szCs w:val="18"/>
                <w:lang w:val="en-US"/>
              </w:rPr>
              <w:t>1,304,974</w:t>
            </w:r>
          </w:p>
        </w:tc>
        <w:tc>
          <w:tcPr>
            <w:tcW w:w="1276" w:type="dxa"/>
            <w:tcBorders>
              <w:top w:val="nil"/>
              <w:left w:val="nil"/>
              <w:bottom w:val="nil"/>
              <w:right w:val="nil"/>
            </w:tcBorders>
            <w:shd w:val="clear" w:color="auto" w:fill="auto"/>
            <w:vAlign w:val="bottom"/>
          </w:tcPr>
          <w:p w14:paraId="372BED7C"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bookmarkStart w:id="1237" w:name="_Toc67331069"/>
            <w:r w:rsidRPr="00122C6A">
              <w:rPr>
                <w:rFonts w:ascii="Calibri" w:eastAsia="Times New Roman" w:hAnsi="Calibri" w:cs="Times New Roman"/>
                <w:sz w:val="18"/>
                <w:szCs w:val="18"/>
                <w:lang w:val="en-US"/>
              </w:rPr>
              <w:t xml:space="preserve"> - </w:t>
            </w:r>
            <w:bookmarkEnd w:id="1237"/>
          </w:p>
        </w:tc>
        <w:tc>
          <w:tcPr>
            <w:tcW w:w="1304" w:type="dxa"/>
            <w:tcBorders>
              <w:top w:val="nil"/>
              <w:left w:val="nil"/>
              <w:bottom w:val="nil"/>
              <w:right w:val="nil"/>
            </w:tcBorders>
            <w:shd w:val="clear" w:color="auto" w:fill="auto"/>
            <w:vAlign w:val="bottom"/>
          </w:tcPr>
          <w:p w14:paraId="2B4282A4"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bookmarkStart w:id="1238" w:name="_Toc67331070"/>
            <w:r w:rsidRPr="00122C6A">
              <w:rPr>
                <w:rFonts w:ascii="Calibri" w:eastAsia="Times New Roman" w:hAnsi="Calibri" w:cs="Times New Roman"/>
                <w:sz w:val="18"/>
                <w:szCs w:val="18"/>
                <w:lang w:val="en-US"/>
              </w:rPr>
              <w:t xml:space="preserve"> - </w:t>
            </w:r>
            <w:bookmarkEnd w:id="1238"/>
          </w:p>
        </w:tc>
      </w:tr>
      <w:tr w:rsidR="00122C6A" w:rsidRPr="00122C6A" w14:paraId="48FD329A" w14:textId="77777777" w:rsidTr="00E44437">
        <w:trPr>
          <w:trHeight w:val="291"/>
          <w:jc w:val="center"/>
        </w:trPr>
        <w:tc>
          <w:tcPr>
            <w:tcW w:w="5528" w:type="dxa"/>
            <w:shd w:val="clear" w:color="auto" w:fill="auto"/>
            <w:vAlign w:val="bottom"/>
          </w:tcPr>
          <w:p w14:paraId="157FE0C3" w14:textId="77777777" w:rsidR="00122C6A" w:rsidRPr="00122C6A" w:rsidRDefault="00122C6A" w:rsidP="00122C6A">
            <w:pPr>
              <w:tabs>
                <w:tab w:val="right" w:pos="1202"/>
              </w:tabs>
              <w:spacing w:after="0" w:line="240" w:lineRule="auto"/>
              <w:outlineLvl w:val="0"/>
              <w:rPr>
                <w:rFonts w:ascii="Calibri" w:eastAsia="Times New Roman" w:hAnsi="Calibri" w:cs="Arial"/>
                <w:spacing w:val="-2"/>
                <w:sz w:val="19"/>
                <w:szCs w:val="19"/>
                <w:highlight w:val="yellow"/>
                <w:lang w:val="en-US"/>
              </w:rPr>
            </w:pPr>
            <w:r w:rsidRPr="00122C6A">
              <w:rPr>
                <w:rFonts w:ascii="Calibri" w:eastAsia="Times New Roman" w:hAnsi="Calibri" w:cs="Arial"/>
                <w:spacing w:val="-2"/>
                <w:sz w:val="19"/>
                <w:szCs w:val="19"/>
                <w:lang w:val="en-US"/>
              </w:rPr>
              <w:t xml:space="preserve">Treasury bills of the Ministry of Finance </w:t>
            </w:r>
          </w:p>
        </w:tc>
        <w:tc>
          <w:tcPr>
            <w:tcW w:w="1276" w:type="dxa"/>
            <w:tcBorders>
              <w:top w:val="nil"/>
              <w:left w:val="nil"/>
              <w:bottom w:val="nil"/>
              <w:right w:val="nil"/>
            </w:tcBorders>
            <w:shd w:val="clear" w:color="auto" w:fill="auto"/>
            <w:vAlign w:val="bottom"/>
          </w:tcPr>
          <w:p w14:paraId="65DE4CD7"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r w:rsidRPr="00122C6A">
              <w:rPr>
                <w:rFonts w:ascii="Calibri" w:eastAsia="Times New Roman" w:hAnsi="Calibri" w:cs="Times New Roman"/>
                <w:sz w:val="18"/>
                <w:szCs w:val="18"/>
                <w:lang w:val="en-US"/>
              </w:rPr>
              <w:t>-</w:t>
            </w:r>
          </w:p>
        </w:tc>
        <w:tc>
          <w:tcPr>
            <w:tcW w:w="1276" w:type="dxa"/>
            <w:tcBorders>
              <w:top w:val="nil"/>
              <w:left w:val="nil"/>
              <w:bottom w:val="nil"/>
              <w:right w:val="nil"/>
            </w:tcBorders>
            <w:shd w:val="clear" w:color="auto" w:fill="auto"/>
            <w:vAlign w:val="bottom"/>
          </w:tcPr>
          <w:p w14:paraId="1C36B032"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bookmarkStart w:id="1239" w:name="_Toc67331073"/>
            <w:r w:rsidRPr="00122C6A">
              <w:rPr>
                <w:rFonts w:ascii="Calibri" w:eastAsia="Times New Roman" w:hAnsi="Calibri" w:cs="Times New Roman"/>
                <w:sz w:val="18"/>
                <w:szCs w:val="18"/>
                <w:lang w:val="en-US"/>
              </w:rPr>
              <w:t>1,550,344</w:t>
            </w:r>
            <w:bookmarkEnd w:id="1239"/>
          </w:p>
        </w:tc>
        <w:tc>
          <w:tcPr>
            <w:tcW w:w="1304" w:type="dxa"/>
            <w:tcBorders>
              <w:top w:val="nil"/>
              <w:left w:val="nil"/>
              <w:bottom w:val="nil"/>
              <w:right w:val="nil"/>
            </w:tcBorders>
            <w:shd w:val="clear" w:color="auto" w:fill="auto"/>
            <w:vAlign w:val="bottom"/>
          </w:tcPr>
          <w:p w14:paraId="79122AB4"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bookmarkStart w:id="1240" w:name="_Toc67331074"/>
            <w:r w:rsidRPr="00122C6A">
              <w:rPr>
                <w:rFonts w:ascii="Calibri" w:eastAsia="Times New Roman" w:hAnsi="Calibri" w:cs="Times New Roman"/>
                <w:sz w:val="18"/>
                <w:szCs w:val="18"/>
                <w:lang w:val="en-US"/>
              </w:rPr>
              <w:t>-</w:t>
            </w:r>
            <w:bookmarkEnd w:id="1240"/>
          </w:p>
        </w:tc>
      </w:tr>
      <w:tr w:rsidR="00122C6A" w:rsidRPr="00122C6A" w14:paraId="17913B53" w14:textId="77777777" w:rsidTr="00E44437">
        <w:trPr>
          <w:trHeight w:val="291"/>
          <w:jc w:val="center"/>
        </w:trPr>
        <w:tc>
          <w:tcPr>
            <w:tcW w:w="5528" w:type="dxa"/>
            <w:shd w:val="clear" w:color="auto" w:fill="auto"/>
            <w:vAlign w:val="bottom"/>
          </w:tcPr>
          <w:p w14:paraId="348B177C" w14:textId="77777777" w:rsidR="00122C6A" w:rsidRPr="00122C6A" w:rsidRDefault="00122C6A" w:rsidP="00122C6A">
            <w:pPr>
              <w:tabs>
                <w:tab w:val="right" w:pos="1202"/>
              </w:tabs>
              <w:spacing w:after="0" w:line="240" w:lineRule="auto"/>
              <w:outlineLvl w:val="0"/>
              <w:rPr>
                <w:rFonts w:ascii="Calibri" w:eastAsia="Times New Roman" w:hAnsi="Calibri" w:cs="Arial"/>
                <w:spacing w:val="-2"/>
                <w:sz w:val="19"/>
                <w:szCs w:val="19"/>
                <w:highlight w:val="yellow"/>
                <w:lang w:val="en-US"/>
              </w:rPr>
            </w:pPr>
            <w:r w:rsidRPr="00122C6A">
              <w:rPr>
                <w:rFonts w:ascii="Calibri" w:eastAsia="Times New Roman" w:hAnsi="Calibri" w:cs="Arial"/>
                <w:spacing w:val="-2"/>
                <w:sz w:val="19"/>
                <w:szCs w:val="19"/>
                <w:lang w:val="en-US"/>
              </w:rPr>
              <w:t>Accrued interest</w:t>
            </w:r>
          </w:p>
        </w:tc>
        <w:tc>
          <w:tcPr>
            <w:tcW w:w="1276" w:type="dxa"/>
            <w:tcBorders>
              <w:top w:val="nil"/>
              <w:left w:val="nil"/>
              <w:bottom w:val="nil"/>
              <w:right w:val="nil"/>
            </w:tcBorders>
            <w:shd w:val="clear" w:color="auto" w:fill="auto"/>
            <w:vAlign w:val="bottom"/>
          </w:tcPr>
          <w:p w14:paraId="5710CC35"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r w:rsidRPr="00122C6A">
              <w:rPr>
                <w:rFonts w:ascii="Calibri" w:eastAsia="Times New Roman" w:hAnsi="Calibri" w:cs="Times New Roman"/>
                <w:sz w:val="18"/>
                <w:szCs w:val="18"/>
                <w:lang w:val="en-US"/>
              </w:rPr>
              <w:t>15,194</w:t>
            </w:r>
          </w:p>
        </w:tc>
        <w:tc>
          <w:tcPr>
            <w:tcW w:w="1276" w:type="dxa"/>
            <w:tcBorders>
              <w:top w:val="nil"/>
              <w:left w:val="nil"/>
              <w:bottom w:val="nil"/>
              <w:right w:val="nil"/>
            </w:tcBorders>
            <w:shd w:val="clear" w:color="auto" w:fill="auto"/>
            <w:vAlign w:val="bottom"/>
          </w:tcPr>
          <w:p w14:paraId="3A76F721"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bookmarkStart w:id="1241" w:name="_Toc67331077"/>
            <w:r w:rsidRPr="00122C6A">
              <w:rPr>
                <w:rFonts w:ascii="Calibri" w:eastAsia="Times New Roman" w:hAnsi="Calibri" w:cs="Times New Roman"/>
                <w:sz w:val="18"/>
                <w:szCs w:val="18"/>
                <w:lang w:val="en-US"/>
              </w:rPr>
              <w:t>-</w:t>
            </w:r>
            <w:bookmarkEnd w:id="1241"/>
          </w:p>
        </w:tc>
        <w:tc>
          <w:tcPr>
            <w:tcW w:w="1304" w:type="dxa"/>
            <w:tcBorders>
              <w:top w:val="nil"/>
              <w:left w:val="nil"/>
              <w:bottom w:val="nil"/>
              <w:right w:val="nil"/>
            </w:tcBorders>
            <w:shd w:val="clear" w:color="auto" w:fill="auto"/>
            <w:vAlign w:val="bottom"/>
          </w:tcPr>
          <w:p w14:paraId="00F379B8"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bookmarkStart w:id="1242" w:name="_Toc67331078"/>
            <w:r w:rsidRPr="00122C6A">
              <w:rPr>
                <w:rFonts w:ascii="Calibri" w:eastAsia="Times New Roman" w:hAnsi="Calibri" w:cs="Times New Roman"/>
                <w:sz w:val="18"/>
                <w:szCs w:val="18"/>
                <w:lang w:val="en-US"/>
              </w:rPr>
              <w:t>-</w:t>
            </w:r>
            <w:bookmarkEnd w:id="1242"/>
          </w:p>
        </w:tc>
      </w:tr>
      <w:tr w:rsidR="00122C6A" w:rsidRPr="00122C6A" w14:paraId="6B8163FD" w14:textId="77777777" w:rsidTr="00E44437">
        <w:trPr>
          <w:trHeight w:val="291"/>
          <w:jc w:val="center"/>
        </w:trPr>
        <w:tc>
          <w:tcPr>
            <w:tcW w:w="5528" w:type="dxa"/>
            <w:shd w:val="clear" w:color="auto" w:fill="auto"/>
            <w:vAlign w:val="bottom"/>
          </w:tcPr>
          <w:p w14:paraId="399D8A76" w14:textId="77777777" w:rsidR="00122C6A" w:rsidRPr="00122C6A" w:rsidRDefault="00122C6A" w:rsidP="00122C6A">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122C6A">
              <w:rPr>
                <w:rFonts w:ascii="Calibri" w:eastAsia="Times New Roman" w:hAnsi="Calibri" w:cs="Arial"/>
                <w:b/>
                <w:i/>
                <w:spacing w:val="-2"/>
                <w:sz w:val="19"/>
                <w:szCs w:val="19"/>
                <w:lang w:val="en-US"/>
              </w:rPr>
              <w:t>Unlisted debt instruments:</w:t>
            </w:r>
          </w:p>
        </w:tc>
        <w:tc>
          <w:tcPr>
            <w:tcW w:w="1276" w:type="dxa"/>
            <w:tcBorders>
              <w:top w:val="nil"/>
              <w:left w:val="nil"/>
              <w:bottom w:val="nil"/>
              <w:right w:val="nil"/>
            </w:tcBorders>
            <w:shd w:val="clear" w:color="auto" w:fill="auto"/>
            <w:vAlign w:val="bottom"/>
          </w:tcPr>
          <w:p w14:paraId="6BD5B5C1"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p>
        </w:tc>
        <w:tc>
          <w:tcPr>
            <w:tcW w:w="1276" w:type="dxa"/>
            <w:tcBorders>
              <w:top w:val="nil"/>
              <w:left w:val="nil"/>
              <w:bottom w:val="nil"/>
              <w:right w:val="nil"/>
            </w:tcBorders>
            <w:shd w:val="clear" w:color="auto" w:fill="auto"/>
            <w:vAlign w:val="bottom"/>
          </w:tcPr>
          <w:p w14:paraId="00AAB064" w14:textId="77777777" w:rsidR="00122C6A" w:rsidRPr="00122C6A" w:rsidRDefault="00122C6A" w:rsidP="00122C6A">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4" w:type="dxa"/>
            <w:tcBorders>
              <w:top w:val="nil"/>
              <w:left w:val="nil"/>
              <w:bottom w:val="nil"/>
              <w:right w:val="nil"/>
            </w:tcBorders>
            <w:shd w:val="clear" w:color="auto" w:fill="auto"/>
            <w:vAlign w:val="bottom"/>
          </w:tcPr>
          <w:p w14:paraId="2F3DA8CC" w14:textId="77777777" w:rsidR="00122C6A" w:rsidRPr="00122C6A" w:rsidRDefault="00122C6A" w:rsidP="00122C6A">
            <w:pPr>
              <w:tabs>
                <w:tab w:val="right" w:pos="1202"/>
              </w:tabs>
              <w:spacing w:after="0" w:line="240" w:lineRule="auto"/>
              <w:jc w:val="right"/>
              <w:outlineLvl w:val="0"/>
              <w:rPr>
                <w:rFonts w:ascii="Calibri" w:eastAsia="Times New Roman" w:hAnsi="Calibri" w:cs="Arial"/>
                <w:spacing w:val="-2"/>
                <w:sz w:val="19"/>
                <w:szCs w:val="19"/>
                <w:lang w:val="en-US"/>
              </w:rPr>
            </w:pPr>
          </w:p>
        </w:tc>
      </w:tr>
      <w:tr w:rsidR="00122C6A" w:rsidRPr="00122C6A" w14:paraId="78D2B157" w14:textId="77777777" w:rsidTr="00E44437">
        <w:trPr>
          <w:trHeight w:val="291"/>
          <w:jc w:val="center"/>
        </w:trPr>
        <w:tc>
          <w:tcPr>
            <w:tcW w:w="5528" w:type="dxa"/>
            <w:shd w:val="clear" w:color="auto" w:fill="auto"/>
            <w:vAlign w:val="bottom"/>
          </w:tcPr>
          <w:p w14:paraId="5DE5C9FF" w14:textId="77777777" w:rsidR="00122C6A" w:rsidRPr="00122C6A" w:rsidRDefault="00122C6A" w:rsidP="00122C6A">
            <w:pPr>
              <w:tabs>
                <w:tab w:val="right" w:pos="1202"/>
              </w:tabs>
              <w:spacing w:after="0" w:line="240" w:lineRule="auto"/>
              <w:outlineLvl w:val="0"/>
              <w:rPr>
                <w:rFonts w:ascii="Calibri" w:eastAsia="Times New Roman" w:hAnsi="Calibri" w:cs="Arial"/>
                <w:spacing w:val="-2"/>
                <w:sz w:val="19"/>
                <w:szCs w:val="19"/>
                <w:highlight w:val="yellow"/>
                <w:lang w:val="en-US"/>
              </w:rPr>
            </w:pPr>
            <w:r w:rsidRPr="00122C6A">
              <w:rPr>
                <w:rFonts w:ascii="Calibri" w:eastAsia="Times New Roman" w:hAnsi="Calibri" w:cs="Arial"/>
                <w:spacing w:val="-2"/>
                <w:sz w:val="19"/>
                <w:szCs w:val="19"/>
                <w:lang w:val="en-US"/>
              </w:rPr>
              <w:t>Corporate bonds</w:t>
            </w:r>
          </w:p>
        </w:tc>
        <w:tc>
          <w:tcPr>
            <w:tcW w:w="1276" w:type="dxa"/>
            <w:tcBorders>
              <w:top w:val="nil"/>
              <w:left w:val="nil"/>
              <w:bottom w:val="nil"/>
              <w:right w:val="nil"/>
            </w:tcBorders>
            <w:shd w:val="clear" w:color="auto" w:fill="auto"/>
            <w:vAlign w:val="bottom"/>
          </w:tcPr>
          <w:p w14:paraId="53831F37"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bookmarkStart w:id="1243" w:name="_Toc67331081"/>
            <w:r w:rsidRPr="00122C6A">
              <w:rPr>
                <w:rFonts w:ascii="Calibri" w:eastAsia="Times New Roman" w:hAnsi="Calibri" w:cs="Times New Roman"/>
                <w:sz w:val="18"/>
                <w:szCs w:val="18"/>
                <w:lang w:val="en-US"/>
              </w:rPr>
              <w:t>-</w:t>
            </w:r>
            <w:bookmarkEnd w:id="1243"/>
          </w:p>
        </w:tc>
        <w:tc>
          <w:tcPr>
            <w:tcW w:w="1276" w:type="dxa"/>
            <w:tcBorders>
              <w:top w:val="nil"/>
              <w:left w:val="nil"/>
              <w:bottom w:val="nil"/>
              <w:right w:val="nil"/>
            </w:tcBorders>
            <w:shd w:val="clear" w:color="auto" w:fill="auto"/>
            <w:vAlign w:val="bottom"/>
          </w:tcPr>
          <w:p w14:paraId="68516A2D"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bookmarkStart w:id="1244" w:name="_Toc67331082"/>
            <w:r w:rsidRPr="00122C6A">
              <w:rPr>
                <w:rFonts w:ascii="Calibri" w:eastAsia="Times New Roman" w:hAnsi="Calibri" w:cs="Times New Roman"/>
                <w:sz w:val="18"/>
                <w:szCs w:val="18"/>
                <w:lang w:val="en-US"/>
              </w:rPr>
              <w:t>-</w:t>
            </w:r>
            <w:bookmarkEnd w:id="1244"/>
          </w:p>
        </w:tc>
        <w:tc>
          <w:tcPr>
            <w:tcW w:w="1304" w:type="dxa"/>
            <w:tcBorders>
              <w:top w:val="nil"/>
              <w:left w:val="nil"/>
              <w:bottom w:val="nil"/>
              <w:right w:val="nil"/>
            </w:tcBorders>
            <w:shd w:val="clear" w:color="auto" w:fill="auto"/>
            <w:vAlign w:val="bottom"/>
          </w:tcPr>
          <w:p w14:paraId="16634174" w14:textId="77777777" w:rsidR="00122C6A" w:rsidRPr="00122C6A" w:rsidRDefault="00122C6A" w:rsidP="00122C6A">
            <w:pPr>
              <w:tabs>
                <w:tab w:val="right" w:pos="1202"/>
              </w:tabs>
              <w:spacing w:after="0" w:line="240" w:lineRule="auto"/>
              <w:jc w:val="right"/>
              <w:outlineLvl w:val="0"/>
              <w:rPr>
                <w:rFonts w:ascii="Calibri" w:eastAsia="Times New Roman" w:hAnsi="Calibri" w:cs="Arial"/>
                <w:spacing w:val="-2"/>
                <w:sz w:val="19"/>
                <w:szCs w:val="19"/>
                <w:lang w:val="en-US"/>
              </w:rPr>
            </w:pPr>
            <w:bookmarkStart w:id="1245" w:name="_Toc67331083"/>
            <w:r w:rsidRPr="00122C6A">
              <w:rPr>
                <w:rFonts w:ascii="Calibri" w:eastAsia="Times New Roman" w:hAnsi="Calibri" w:cs="Times New Roman"/>
                <w:sz w:val="18"/>
                <w:szCs w:val="18"/>
                <w:lang w:val="en-US"/>
              </w:rPr>
              <w:t>532</w:t>
            </w:r>
            <w:bookmarkEnd w:id="1245"/>
          </w:p>
        </w:tc>
      </w:tr>
      <w:tr w:rsidR="00122C6A" w:rsidRPr="00122C6A" w14:paraId="2D7D3813" w14:textId="77777777" w:rsidTr="00E44437">
        <w:trPr>
          <w:trHeight w:val="291"/>
          <w:jc w:val="center"/>
        </w:trPr>
        <w:tc>
          <w:tcPr>
            <w:tcW w:w="5528" w:type="dxa"/>
            <w:shd w:val="clear" w:color="auto" w:fill="auto"/>
            <w:vAlign w:val="bottom"/>
          </w:tcPr>
          <w:p w14:paraId="45EA4B45" w14:textId="77777777" w:rsidR="00122C6A" w:rsidRPr="00122C6A" w:rsidRDefault="00122C6A" w:rsidP="00122C6A">
            <w:pPr>
              <w:tabs>
                <w:tab w:val="right" w:pos="1202"/>
              </w:tabs>
              <w:spacing w:after="0" w:line="240" w:lineRule="auto"/>
              <w:outlineLvl w:val="0"/>
              <w:rPr>
                <w:rFonts w:ascii="Calibri" w:eastAsia="Times New Roman" w:hAnsi="Calibri" w:cs="Arial"/>
                <w:spacing w:val="-2"/>
                <w:sz w:val="19"/>
                <w:szCs w:val="19"/>
                <w:lang w:val="en-US"/>
              </w:rPr>
            </w:pPr>
            <w:r w:rsidRPr="00122C6A">
              <w:rPr>
                <w:rFonts w:ascii="Calibri" w:eastAsia="Times New Roman" w:hAnsi="Calibri" w:cs="Arial"/>
                <w:spacing w:val="-2"/>
                <w:sz w:val="19"/>
                <w:szCs w:val="19"/>
                <w:lang w:val="en-US"/>
              </w:rPr>
              <w:t>Convertible bonds - CB</w:t>
            </w:r>
          </w:p>
        </w:tc>
        <w:tc>
          <w:tcPr>
            <w:tcW w:w="1276" w:type="dxa"/>
            <w:tcBorders>
              <w:top w:val="nil"/>
              <w:left w:val="nil"/>
              <w:bottom w:val="nil"/>
              <w:right w:val="nil"/>
            </w:tcBorders>
            <w:shd w:val="clear" w:color="auto" w:fill="auto"/>
            <w:vAlign w:val="bottom"/>
          </w:tcPr>
          <w:p w14:paraId="485668DD"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bookmarkStart w:id="1246" w:name="_Toc67331085"/>
            <w:r w:rsidRPr="00122C6A">
              <w:rPr>
                <w:rFonts w:ascii="Calibri" w:eastAsia="Times New Roman" w:hAnsi="Calibri" w:cs="Times New Roman"/>
                <w:sz w:val="18"/>
                <w:szCs w:val="18"/>
                <w:lang w:val="en-US"/>
              </w:rPr>
              <w:t>-</w:t>
            </w:r>
            <w:bookmarkEnd w:id="1246"/>
          </w:p>
        </w:tc>
        <w:tc>
          <w:tcPr>
            <w:tcW w:w="1276" w:type="dxa"/>
            <w:tcBorders>
              <w:top w:val="nil"/>
              <w:left w:val="nil"/>
              <w:bottom w:val="nil"/>
              <w:right w:val="nil"/>
            </w:tcBorders>
            <w:shd w:val="clear" w:color="auto" w:fill="auto"/>
            <w:vAlign w:val="bottom"/>
          </w:tcPr>
          <w:p w14:paraId="3601B51C"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bookmarkStart w:id="1247" w:name="_Toc67331086"/>
            <w:r w:rsidRPr="00122C6A">
              <w:rPr>
                <w:rFonts w:ascii="Calibri" w:eastAsia="Times New Roman" w:hAnsi="Calibri" w:cs="Times New Roman"/>
                <w:sz w:val="18"/>
                <w:szCs w:val="18"/>
                <w:lang w:val="en-US"/>
              </w:rPr>
              <w:t>-</w:t>
            </w:r>
            <w:bookmarkEnd w:id="1247"/>
          </w:p>
        </w:tc>
        <w:tc>
          <w:tcPr>
            <w:tcW w:w="1304" w:type="dxa"/>
            <w:tcBorders>
              <w:top w:val="nil"/>
              <w:left w:val="nil"/>
              <w:bottom w:val="nil"/>
              <w:right w:val="nil"/>
            </w:tcBorders>
            <w:shd w:val="clear" w:color="auto" w:fill="auto"/>
            <w:vAlign w:val="bottom"/>
          </w:tcPr>
          <w:p w14:paraId="7A8DD04E" w14:textId="77777777" w:rsidR="00122C6A" w:rsidRPr="00122C6A" w:rsidRDefault="00122C6A" w:rsidP="00122C6A">
            <w:pPr>
              <w:tabs>
                <w:tab w:val="right" w:pos="1202"/>
              </w:tabs>
              <w:spacing w:after="0" w:line="240" w:lineRule="auto"/>
              <w:jc w:val="right"/>
              <w:outlineLvl w:val="0"/>
              <w:rPr>
                <w:rFonts w:ascii="Calibri" w:eastAsia="Times New Roman" w:hAnsi="Calibri" w:cs="Arial"/>
                <w:spacing w:val="-2"/>
                <w:sz w:val="19"/>
                <w:szCs w:val="19"/>
                <w:lang w:val="en-US"/>
              </w:rPr>
            </w:pPr>
            <w:bookmarkStart w:id="1248" w:name="_Toc67331087"/>
            <w:r w:rsidRPr="00122C6A">
              <w:rPr>
                <w:rFonts w:ascii="Calibri" w:eastAsia="Times New Roman" w:hAnsi="Calibri" w:cs="Times New Roman"/>
                <w:sz w:val="18"/>
                <w:szCs w:val="18"/>
                <w:lang w:val="en-US"/>
              </w:rPr>
              <w:t>1,397</w:t>
            </w:r>
            <w:bookmarkEnd w:id="1248"/>
          </w:p>
        </w:tc>
      </w:tr>
      <w:tr w:rsidR="00122C6A" w:rsidRPr="00122C6A" w14:paraId="75A03312" w14:textId="77777777" w:rsidTr="00E44437">
        <w:trPr>
          <w:trHeight w:val="291"/>
          <w:jc w:val="center"/>
        </w:trPr>
        <w:tc>
          <w:tcPr>
            <w:tcW w:w="5528" w:type="dxa"/>
            <w:shd w:val="clear" w:color="auto" w:fill="auto"/>
            <w:vAlign w:val="bottom"/>
          </w:tcPr>
          <w:p w14:paraId="37DCEE92" w14:textId="77777777" w:rsidR="00122C6A" w:rsidRPr="00122C6A" w:rsidRDefault="00122C6A" w:rsidP="00122C6A">
            <w:pPr>
              <w:tabs>
                <w:tab w:val="right" w:pos="1202"/>
              </w:tabs>
              <w:spacing w:after="0" w:line="240" w:lineRule="auto"/>
              <w:outlineLvl w:val="0"/>
              <w:rPr>
                <w:rFonts w:ascii="Calibri" w:eastAsia="Times New Roman" w:hAnsi="Calibri" w:cs="Arial"/>
                <w:spacing w:val="-2"/>
                <w:sz w:val="19"/>
                <w:szCs w:val="19"/>
                <w:highlight w:val="yellow"/>
                <w:lang w:val="en-US"/>
              </w:rPr>
            </w:pPr>
            <w:r w:rsidRPr="00122C6A">
              <w:rPr>
                <w:rFonts w:ascii="Calibri" w:eastAsia="Times New Roman" w:hAnsi="Calibri" w:cs="Arial"/>
                <w:spacing w:val="-2"/>
                <w:sz w:val="19"/>
                <w:szCs w:val="19"/>
                <w:lang w:val="en-US"/>
              </w:rPr>
              <w:t>Accrued interest</w:t>
            </w:r>
          </w:p>
        </w:tc>
        <w:tc>
          <w:tcPr>
            <w:tcW w:w="1276" w:type="dxa"/>
            <w:tcBorders>
              <w:top w:val="nil"/>
              <w:left w:val="nil"/>
              <w:bottom w:val="single" w:sz="4" w:space="0" w:color="auto"/>
              <w:right w:val="nil"/>
            </w:tcBorders>
            <w:shd w:val="clear" w:color="auto" w:fill="auto"/>
            <w:vAlign w:val="bottom"/>
          </w:tcPr>
          <w:p w14:paraId="31B91D53"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bookmarkStart w:id="1249" w:name="_Toc67331089"/>
            <w:r w:rsidRPr="00122C6A">
              <w:rPr>
                <w:rFonts w:ascii="Calibri" w:eastAsia="Times New Roman" w:hAnsi="Calibri" w:cs="Times New Roman"/>
                <w:sz w:val="18"/>
                <w:szCs w:val="18"/>
                <w:lang w:val="en-US"/>
              </w:rPr>
              <w:t>-</w:t>
            </w:r>
            <w:bookmarkEnd w:id="1249"/>
          </w:p>
        </w:tc>
        <w:tc>
          <w:tcPr>
            <w:tcW w:w="1276" w:type="dxa"/>
            <w:tcBorders>
              <w:top w:val="nil"/>
              <w:left w:val="nil"/>
              <w:bottom w:val="single" w:sz="4" w:space="0" w:color="auto"/>
              <w:right w:val="nil"/>
            </w:tcBorders>
            <w:shd w:val="clear" w:color="auto" w:fill="auto"/>
            <w:vAlign w:val="bottom"/>
          </w:tcPr>
          <w:p w14:paraId="25A6BB2B"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bookmarkStart w:id="1250" w:name="_Toc67331090"/>
            <w:r w:rsidRPr="00122C6A">
              <w:rPr>
                <w:rFonts w:ascii="Calibri" w:eastAsia="Times New Roman" w:hAnsi="Calibri" w:cs="Times New Roman"/>
                <w:sz w:val="18"/>
                <w:szCs w:val="18"/>
                <w:lang w:val="en-US"/>
              </w:rPr>
              <w:t>-</w:t>
            </w:r>
            <w:bookmarkEnd w:id="1250"/>
          </w:p>
        </w:tc>
        <w:tc>
          <w:tcPr>
            <w:tcW w:w="1304" w:type="dxa"/>
            <w:tcBorders>
              <w:top w:val="nil"/>
              <w:left w:val="nil"/>
              <w:bottom w:val="single" w:sz="4" w:space="0" w:color="auto"/>
              <w:right w:val="nil"/>
            </w:tcBorders>
            <w:shd w:val="clear" w:color="auto" w:fill="auto"/>
            <w:vAlign w:val="bottom"/>
          </w:tcPr>
          <w:p w14:paraId="08671513" w14:textId="77777777" w:rsidR="00122C6A" w:rsidRPr="00122C6A" w:rsidRDefault="00122C6A" w:rsidP="00122C6A">
            <w:pPr>
              <w:tabs>
                <w:tab w:val="right" w:pos="1202"/>
              </w:tabs>
              <w:spacing w:after="0" w:line="240" w:lineRule="auto"/>
              <w:jc w:val="right"/>
              <w:outlineLvl w:val="0"/>
              <w:rPr>
                <w:rFonts w:ascii="Calibri" w:eastAsia="Times New Roman" w:hAnsi="Calibri" w:cs="Arial"/>
                <w:spacing w:val="-2"/>
                <w:sz w:val="19"/>
                <w:szCs w:val="19"/>
                <w:lang w:val="en-US"/>
              </w:rPr>
            </w:pPr>
            <w:bookmarkStart w:id="1251" w:name="_Toc67331091"/>
            <w:r w:rsidRPr="00122C6A">
              <w:rPr>
                <w:rFonts w:ascii="Calibri" w:eastAsia="Times New Roman" w:hAnsi="Calibri" w:cs="Times New Roman"/>
                <w:sz w:val="18"/>
                <w:szCs w:val="18"/>
                <w:lang w:val="en-US"/>
              </w:rPr>
              <w:t>247</w:t>
            </w:r>
            <w:bookmarkEnd w:id="1251"/>
          </w:p>
        </w:tc>
      </w:tr>
      <w:tr w:rsidR="00122C6A" w:rsidRPr="00122C6A" w14:paraId="61E170D7" w14:textId="77777777" w:rsidTr="00E44437">
        <w:trPr>
          <w:trHeight w:val="291"/>
          <w:jc w:val="center"/>
        </w:trPr>
        <w:tc>
          <w:tcPr>
            <w:tcW w:w="5528" w:type="dxa"/>
            <w:shd w:val="clear" w:color="auto" w:fill="auto"/>
            <w:vAlign w:val="bottom"/>
          </w:tcPr>
          <w:p w14:paraId="1DD42A15" w14:textId="77777777" w:rsidR="00122C6A" w:rsidRPr="00122C6A" w:rsidRDefault="00122C6A" w:rsidP="00122C6A">
            <w:pPr>
              <w:tabs>
                <w:tab w:val="right" w:pos="1202"/>
              </w:tabs>
              <w:spacing w:after="0" w:line="240" w:lineRule="auto"/>
              <w:outlineLvl w:val="0"/>
              <w:rPr>
                <w:rFonts w:ascii="Calibri" w:eastAsia="Times New Roman" w:hAnsi="Calibri" w:cs="Arial"/>
                <w:b/>
                <w:spacing w:val="-2"/>
                <w:sz w:val="19"/>
                <w:szCs w:val="19"/>
                <w:highlight w:val="yellow"/>
                <w:lang w:val="en-US"/>
              </w:rPr>
            </w:pPr>
            <w:r w:rsidRPr="00122C6A">
              <w:rPr>
                <w:rFonts w:ascii="Calibri" w:eastAsia="Times New Roman" w:hAnsi="Calibri" w:cs="Arial"/>
                <w:b/>
                <w:spacing w:val="-2"/>
                <w:sz w:val="19"/>
                <w:szCs w:val="19"/>
                <w:lang w:val="en-US"/>
              </w:rPr>
              <w:t>Total debt instruments</w:t>
            </w:r>
          </w:p>
        </w:tc>
        <w:tc>
          <w:tcPr>
            <w:tcW w:w="1276" w:type="dxa"/>
            <w:tcBorders>
              <w:top w:val="single" w:sz="4" w:space="0" w:color="auto"/>
              <w:left w:val="nil"/>
              <w:bottom w:val="single" w:sz="4" w:space="0" w:color="auto"/>
              <w:right w:val="nil"/>
            </w:tcBorders>
            <w:shd w:val="clear" w:color="auto" w:fill="auto"/>
            <w:vAlign w:val="bottom"/>
          </w:tcPr>
          <w:p w14:paraId="6F5F3ADF" w14:textId="77777777" w:rsidR="00122C6A" w:rsidRPr="00122C6A" w:rsidRDefault="00122C6A" w:rsidP="00122C6A">
            <w:pPr>
              <w:tabs>
                <w:tab w:val="right" w:pos="1202"/>
              </w:tabs>
              <w:spacing w:after="0" w:line="240" w:lineRule="auto"/>
              <w:jc w:val="right"/>
              <w:outlineLvl w:val="0"/>
              <w:rPr>
                <w:rFonts w:ascii="Calibri" w:eastAsia="Times New Roman" w:hAnsi="Calibri" w:cs="Arial"/>
                <w:b/>
                <w:spacing w:val="-2"/>
                <w:sz w:val="19"/>
                <w:szCs w:val="19"/>
                <w:lang w:val="en-US" w:eastAsia="hr-HR"/>
              </w:rPr>
            </w:pPr>
            <w:bookmarkStart w:id="1252" w:name="_Toc67331093"/>
            <w:r w:rsidRPr="00122C6A">
              <w:rPr>
                <w:rFonts w:ascii="Calibri" w:eastAsia="Times New Roman" w:hAnsi="Calibri" w:cs="Times New Roman"/>
                <w:b/>
                <w:bCs/>
                <w:sz w:val="18"/>
                <w:szCs w:val="18"/>
                <w:lang w:val="en-US"/>
              </w:rPr>
              <w:t>1,320,168</w:t>
            </w:r>
            <w:bookmarkEnd w:id="1252"/>
          </w:p>
        </w:tc>
        <w:tc>
          <w:tcPr>
            <w:tcW w:w="1276" w:type="dxa"/>
            <w:tcBorders>
              <w:top w:val="single" w:sz="4" w:space="0" w:color="auto"/>
              <w:left w:val="nil"/>
              <w:bottom w:val="single" w:sz="4" w:space="0" w:color="auto"/>
              <w:right w:val="nil"/>
            </w:tcBorders>
            <w:shd w:val="clear" w:color="auto" w:fill="auto"/>
            <w:vAlign w:val="bottom"/>
          </w:tcPr>
          <w:p w14:paraId="336275A6" w14:textId="77777777" w:rsidR="00122C6A" w:rsidRPr="00122C6A" w:rsidRDefault="00122C6A" w:rsidP="00122C6A">
            <w:pPr>
              <w:tabs>
                <w:tab w:val="right" w:pos="1202"/>
              </w:tabs>
              <w:spacing w:after="0" w:line="240" w:lineRule="auto"/>
              <w:jc w:val="right"/>
              <w:outlineLvl w:val="0"/>
              <w:rPr>
                <w:rFonts w:ascii="Calibri" w:eastAsia="Times New Roman" w:hAnsi="Calibri" w:cs="Arial"/>
                <w:spacing w:val="-2"/>
                <w:sz w:val="19"/>
                <w:szCs w:val="19"/>
                <w:lang w:val="en-US" w:eastAsia="hr-HR"/>
              </w:rPr>
            </w:pPr>
            <w:bookmarkStart w:id="1253" w:name="_Toc67331094"/>
            <w:r w:rsidRPr="00122C6A">
              <w:rPr>
                <w:rFonts w:ascii="Calibri" w:eastAsia="Times New Roman" w:hAnsi="Calibri" w:cs="Times New Roman"/>
                <w:b/>
                <w:bCs/>
                <w:sz w:val="18"/>
                <w:szCs w:val="18"/>
                <w:lang w:val="en-US"/>
              </w:rPr>
              <w:t>1,550,344</w:t>
            </w:r>
            <w:bookmarkEnd w:id="1253"/>
          </w:p>
        </w:tc>
        <w:tc>
          <w:tcPr>
            <w:tcW w:w="1304" w:type="dxa"/>
            <w:tcBorders>
              <w:top w:val="single" w:sz="4" w:space="0" w:color="auto"/>
              <w:left w:val="nil"/>
              <w:bottom w:val="single" w:sz="4" w:space="0" w:color="auto"/>
              <w:right w:val="nil"/>
            </w:tcBorders>
            <w:shd w:val="clear" w:color="auto" w:fill="auto"/>
            <w:vAlign w:val="bottom"/>
          </w:tcPr>
          <w:p w14:paraId="634825DD" w14:textId="77777777" w:rsidR="00122C6A" w:rsidRPr="00122C6A" w:rsidRDefault="00122C6A" w:rsidP="00122C6A">
            <w:pPr>
              <w:tabs>
                <w:tab w:val="right" w:pos="1202"/>
              </w:tabs>
              <w:spacing w:after="0" w:line="240" w:lineRule="auto"/>
              <w:jc w:val="right"/>
              <w:outlineLvl w:val="0"/>
              <w:rPr>
                <w:rFonts w:ascii="Calibri" w:eastAsia="Times New Roman" w:hAnsi="Calibri" w:cs="Arial"/>
                <w:b/>
                <w:spacing w:val="-2"/>
                <w:sz w:val="19"/>
                <w:szCs w:val="19"/>
                <w:lang w:val="en-US" w:eastAsia="hr-HR"/>
              </w:rPr>
            </w:pPr>
            <w:bookmarkStart w:id="1254" w:name="_Toc67331095"/>
            <w:r w:rsidRPr="00122C6A">
              <w:rPr>
                <w:rFonts w:ascii="Calibri" w:eastAsia="Times New Roman" w:hAnsi="Calibri" w:cs="Times New Roman"/>
                <w:b/>
                <w:bCs/>
                <w:sz w:val="18"/>
                <w:szCs w:val="18"/>
                <w:lang w:val="en-US"/>
              </w:rPr>
              <w:t>2,176</w:t>
            </w:r>
            <w:bookmarkEnd w:id="1254"/>
          </w:p>
        </w:tc>
      </w:tr>
      <w:tr w:rsidR="00122C6A" w:rsidRPr="00122C6A" w14:paraId="3922B2FE" w14:textId="77777777" w:rsidTr="00E44437">
        <w:trPr>
          <w:trHeight w:val="489"/>
          <w:jc w:val="center"/>
        </w:trPr>
        <w:tc>
          <w:tcPr>
            <w:tcW w:w="5528" w:type="dxa"/>
            <w:shd w:val="clear" w:color="auto" w:fill="auto"/>
            <w:vAlign w:val="bottom"/>
          </w:tcPr>
          <w:p w14:paraId="20B2D4FA" w14:textId="77777777" w:rsidR="00122C6A" w:rsidRPr="00122C6A" w:rsidRDefault="00122C6A" w:rsidP="00122C6A">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122C6A">
              <w:rPr>
                <w:rFonts w:ascii="Calibri" w:eastAsia="Times New Roman" w:hAnsi="Calibri" w:cs="Arial"/>
                <w:b/>
                <w:i/>
                <w:spacing w:val="-2"/>
                <w:sz w:val="19"/>
                <w:szCs w:val="19"/>
                <w:lang w:val="en-US"/>
              </w:rPr>
              <w:t>Unlisted equity instruments:</w:t>
            </w:r>
            <w:r w:rsidRPr="00122C6A" w:rsidDel="00D51A81">
              <w:rPr>
                <w:rFonts w:ascii="Calibri" w:eastAsia="Times New Roman" w:hAnsi="Calibri" w:cs="Arial"/>
                <w:b/>
                <w:i/>
                <w:spacing w:val="-2"/>
                <w:sz w:val="19"/>
                <w:szCs w:val="19"/>
                <w:lang w:val="en-US"/>
              </w:rPr>
              <w:t xml:space="preserve"> </w:t>
            </w:r>
          </w:p>
        </w:tc>
        <w:tc>
          <w:tcPr>
            <w:tcW w:w="1276" w:type="dxa"/>
            <w:tcBorders>
              <w:top w:val="single" w:sz="12" w:space="0" w:color="auto"/>
            </w:tcBorders>
            <w:vAlign w:val="bottom"/>
          </w:tcPr>
          <w:p w14:paraId="07A151BE" w14:textId="77777777" w:rsidR="00122C6A" w:rsidRPr="00122C6A" w:rsidDel="00561A80" w:rsidRDefault="00122C6A" w:rsidP="00122C6A">
            <w:pPr>
              <w:tabs>
                <w:tab w:val="right" w:pos="1202"/>
              </w:tabs>
              <w:spacing w:after="0" w:line="240" w:lineRule="auto"/>
              <w:jc w:val="right"/>
              <w:outlineLvl w:val="0"/>
              <w:rPr>
                <w:rFonts w:ascii="Calibri" w:eastAsia="Times New Roman" w:hAnsi="Calibri" w:cs="Arial"/>
                <w:spacing w:val="-2"/>
                <w:sz w:val="19"/>
                <w:szCs w:val="19"/>
                <w:lang w:val="en-US"/>
              </w:rPr>
            </w:pPr>
          </w:p>
        </w:tc>
        <w:tc>
          <w:tcPr>
            <w:tcW w:w="1276" w:type="dxa"/>
            <w:tcBorders>
              <w:top w:val="single" w:sz="12" w:space="0" w:color="auto"/>
            </w:tcBorders>
            <w:vAlign w:val="bottom"/>
          </w:tcPr>
          <w:p w14:paraId="52C98E1C" w14:textId="77777777" w:rsidR="00122C6A" w:rsidRPr="00122C6A" w:rsidDel="00561A80" w:rsidRDefault="00122C6A" w:rsidP="00122C6A">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4" w:type="dxa"/>
            <w:tcBorders>
              <w:top w:val="single" w:sz="12" w:space="0" w:color="auto"/>
            </w:tcBorders>
            <w:vAlign w:val="bottom"/>
          </w:tcPr>
          <w:p w14:paraId="195DA8D5" w14:textId="77777777" w:rsidR="00122C6A" w:rsidRPr="00122C6A" w:rsidDel="00561A80" w:rsidRDefault="00122C6A" w:rsidP="00122C6A">
            <w:pPr>
              <w:tabs>
                <w:tab w:val="right" w:pos="1202"/>
              </w:tabs>
              <w:spacing w:after="0" w:line="240" w:lineRule="auto"/>
              <w:jc w:val="right"/>
              <w:outlineLvl w:val="0"/>
              <w:rPr>
                <w:rFonts w:ascii="Calibri" w:eastAsia="Times New Roman" w:hAnsi="Calibri" w:cs="Arial"/>
                <w:spacing w:val="-2"/>
                <w:sz w:val="19"/>
                <w:szCs w:val="19"/>
                <w:lang w:val="en-US"/>
              </w:rPr>
            </w:pPr>
          </w:p>
        </w:tc>
      </w:tr>
      <w:tr w:rsidR="00122C6A" w:rsidRPr="00122C6A" w14:paraId="0CFC10E5" w14:textId="77777777" w:rsidTr="00E44437">
        <w:trPr>
          <w:trHeight w:val="291"/>
          <w:jc w:val="center"/>
        </w:trPr>
        <w:tc>
          <w:tcPr>
            <w:tcW w:w="5528" w:type="dxa"/>
            <w:shd w:val="clear" w:color="auto" w:fill="auto"/>
            <w:vAlign w:val="bottom"/>
          </w:tcPr>
          <w:p w14:paraId="03399C49" w14:textId="77777777" w:rsidR="00122C6A" w:rsidRPr="00122C6A" w:rsidRDefault="00122C6A" w:rsidP="00122C6A">
            <w:pPr>
              <w:tabs>
                <w:tab w:val="right" w:pos="1202"/>
              </w:tabs>
              <w:spacing w:after="0" w:line="240" w:lineRule="auto"/>
              <w:outlineLvl w:val="0"/>
              <w:rPr>
                <w:rFonts w:ascii="Calibri" w:eastAsia="Times New Roman" w:hAnsi="Calibri" w:cs="Arial"/>
                <w:sz w:val="19"/>
                <w:szCs w:val="19"/>
                <w:highlight w:val="yellow"/>
                <w:lang w:val="en-US"/>
              </w:rPr>
            </w:pPr>
            <w:r w:rsidRPr="00122C6A">
              <w:rPr>
                <w:rFonts w:ascii="Calibri" w:eastAsia="Times New Roman" w:hAnsi="Calibri" w:cs="Arial"/>
                <w:sz w:val="19"/>
                <w:szCs w:val="19"/>
                <w:lang w:val="en-US"/>
              </w:rPr>
              <w:t>Investment in shares of foreign legal entities – SWIFT</w:t>
            </w:r>
          </w:p>
        </w:tc>
        <w:tc>
          <w:tcPr>
            <w:tcW w:w="1276" w:type="dxa"/>
            <w:tcBorders>
              <w:top w:val="nil"/>
              <w:left w:val="nil"/>
              <w:bottom w:val="nil"/>
              <w:right w:val="nil"/>
            </w:tcBorders>
            <w:shd w:val="clear" w:color="auto" w:fill="auto"/>
          </w:tcPr>
          <w:p w14:paraId="542D401C"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bookmarkStart w:id="1255" w:name="_Toc67331098"/>
            <w:r w:rsidRPr="00122C6A">
              <w:rPr>
                <w:rFonts w:ascii="Calibri" w:eastAsia="Times New Roman" w:hAnsi="Calibri" w:cs="Times New Roman"/>
                <w:sz w:val="18"/>
                <w:szCs w:val="18"/>
                <w:lang w:val="en-US"/>
              </w:rPr>
              <w:t>-</w:t>
            </w:r>
            <w:bookmarkEnd w:id="1255"/>
          </w:p>
        </w:tc>
        <w:tc>
          <w:tcPr>
            <w:tcW w:w="1276" w:type="dxa"/>
            <w:tcBorders>
              <w:top w:val="nil"/>
              <w:left w:val="nil"/>
              <w:bottom w:val="nil"/>
              <w:right w:val="nil"/>
            </w:tcBorders>
            <w:shd w:val="clear" w:color="auto" w:fill="auto"/>
          </w:tcPr>
          <w:p w14:paraId="670156BA"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bookmarkStart w:id="1256" w:name="_Toc67331099"/>
            <w:r w:rsidRPr="00122C6A">
              <w:rPr>
                <w:rFonts w:ascii="Calibri" w:eastAsia="Times New Roman" w:hAnsi="Calibri" w:cs="Times New Roman"/>
                <w:sz w:val="18"/>
                <w:szCs w:val="18"/>
                <w:lang w:val="en-US"/>
              </w:rPr>
              <w:t>45</w:t>
            </w:r>
            <w:bookmarkEnd w:id="1256"/>
          </w:p>
        </w:tc>
        <w:tc>
          <w:tcPr>
            <w:tcW w:w="1304" w:type="dxa"/>
            <w:tcBorders>
              <w:top w:val="nil"/>
              <w:left w:val="nil"/>
              <w:bottom w:val="nil"/>
              <w:right w:val="nil"/>
            </w:tcBorders>
            <w:shd w:val="clear" w:color="auto" w:fill="auto"/>
          </w:tcPr>
          <w:p w14:paraId="39690546"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bookmarkStart w:id="1257" w:name="_Toc67331100"/>
            <w:r w:rsidRPr="00122C6A">
              <w:rPr>
                <w:rFonts w:ascii="Calibri" w:eastAsia="Times New Roman" w:hAnsi="Calibri" w:cs="Times New Roman"/>
                <w:sz w:val="18"/>
                <w:szCs w:val="18"/>
                <w:lang w:val="en-US"/>
              </w:rPr>
              <w:t>-</w:t>
            </w:r>
            <w:bookmarkEnd w:id="1257"/>
          </w:p>
        </w:tc>
      </w:tr>
      <w:tr w:rsidR="00122C6A" w:rsidRPr="00122C6A" w14:paraId="37A45E26" w14:textId="77777777" w:rsidTr="00E44437">
        <w:trPr>
          <w:trHeight w:val="291"/>
          <w:jc w:val="center"/>
        </w:trPr>
        <w:tc>
          <w:tcPr>
            <w:tcW w:w="5528" w:type="dxa"/>
            <w:shd w:val="clear" w:color="auto" w:fill="auto"/>
            <w:vAlign w:val="bottom"/>
          </w:tcPr>
          <w:p w14:paraId="3D20D917" w14:textId="77777777" w:rsidR="00122C6A" w:rsidRPr="00122C6A" w:rsidRDefault="00122C6A" w:rsidP="00122C6A">
            <w:pPr>
              <w:tabs>
                <w:tab w:val="right" w:pos="1202"/>
              </w:tabs>
              <w:spacing w:after="0" w:line="240" w:lineRule="auto"/>
              <w:outlineLvl w:val="0"/>
              <w:rPr>
                <w:rFonts w:ascii="Calibri" w:eastAsia="Times New Roman" w:hAnsi="Calibri" w:cs="Arial"/>
                <w:sz w:val="19"/>
                <w:szCs w:val="19"/>
                <w:highlight w:val="yellow"/>
                <w:lang w:val="en-US"/>
              </w:rPr>
            </w:pPr>
            <w:r w:rsidRPr="00122C6A">
              <w:rPr>
                <w:rFonts w:ascii="Calibri" w:eastAsia="Times New Roman" w:hAnsi="Calibri" w:cs="Arial"/>
                <w:sz w:val="19"/>
                <w:szCs w:val="19"/>
                <w:lang w:val="en-US"/>
              </w:rPr>
              <w:t>Shares of foreign financial institutions – EIF</w:t>
            </w:r>
          </w:p>
        </w:tc>
        <w:tc>
          <w:tcPr>
            <w:tcW w:w="1276" w:type="dxa"/>
            <w:tcBorders>
              <w:top w:val="nil"/>
              <w:left w:val="nil"/>
              <w:bottom w:val="single" w:sz="4" w:space="0" w:color="auto"/>
              <w:right w:val="nil"/>
            </w:tcBorders>
            <w:shd w:val="clear" w:color="auto" w:fill="auto"/>
          </w:tcPr>
          <w:p w14:paraId="30350E2A"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bookmarkStart w:id="1258" w:name="_Toc67331102"/>
            <w:r w:rsidRPr="00122C6A">
              <w:rPr>
                <w:rFonts w:ascii="Calibri" w:eastAsia="Times New Roman" w:hAnsi="Calibri" w:cs="Times New Roman"/>
                <w:sz w:val="18"/>
                <w:szCs w:val="18"/>
                <w:lang w:val="en-US"/>
              </w:rPr>
              <w:t>-</w:t>
            </w:r>
            <w:bookmarkEnd w:id="1258"/>
          </w:p>
        </w:tc>
        <w:tc>
          <w:tcPr>
            <w:tcW w:w="1276" w:type="dxa"/>
            <w:tcBorders>
              <w:top w:val="nil"/>
              <w:left w:val="nil"/>
              <w:bottom w:val="single" w:sz="4" w:space="0" w:color="auto"/>
              <w:right w:val="nil"/>
            </w:tcBorders>
            <w:shd w:val="clear" w:color="auto" w:fill="auto"/>
          </w:tcPr>
          <w:p w14:paraId="7E6D2DAE"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bookmarkStart w:id="1259" w:name="_Toc67331103"/>
            <w:r w:rsidRPr="00122C6A">
              <w:rPr>
                <w:rFonts w:ascii="Calibri" w:eastAsia="Times New Roman" w:hAnsi="Calibri" w:cs="Times New Roman"/>
                <w:sz w:val="18"/>
                <w:szCs w:val="18"/>
                <w:lang w:val="en-US"/>
              </w:rPr>
              <w:t>42,971</w:t>
            </w:r>
            <w:bookmarkEnd w:id="1259"/>
          </w:p>
        </w:tc>
        <w:tc>
          <w:tcPr>
            <w:tcW w:w="1304" w:type="dxa"/>
            <w:tcBorders>
              <w:top w:val="nil"/>
              <w:left w:val="nil"/>
              <w:bottom w:val="single" w:sz="4" w:space="0" w:color="auto"/>
              <w:right w:val="nil"/>
            </w:tcBorders>
            <w:shd w:val="clear" w:color="auto" w:fill="auto"/>
          </w:tcPr>
          <w:p w14:paraId="3D7E76E7"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bookmarkStart w:id="1260" w:name="_Toc67331104"/>
            <w:r w:rsidRPr="00122C6A">
              <w:rPr>
                <w:rFonts w:ascii="Calibri" w:eastAsia="Times New Roman" w:hAnsi="Calibri" w:cs="Times New Roman"/>
                <w:sz w:val="18"/>
                <w:szCs w:val="18"/>
                <w:lang w:val="en-US"/>
              </w:rPr>
              <w:t>-</w:t>
            </w:r>
            <w:bookmarkEnd w:id="1260"/>
          </w:p>
        </w:tc>
      </w:tr>
      <w:tr w:rsidR="00122C6A" w:rsidRPr="00122C6A" w14:paraId="48131721" w14:textId="77777777" w:rsidTr="00E44437">
        <w:trPr>
          <w:trHeight w:val="291"/>
          <w:jc w:val="center"/>
        </w:trPr>
        <w:tc>
          <w:tcPr>
            <w:tcW w:w="5528" w:type="dxa"/>
            <w:shd w:val="clear" w:color="auto" w:fill="auto"/>
            <w:vAlign w:val="bottom"/>
          </w:tcPr>
          <w:p w14:paraId="37BCB6AA" w14:textId="77777777" w:rsidR="00122C6A" w:rsidRPr="00122C6A" w:rsidRDefault="00122C6A" w:rsidP="00122C6A">
            <w:pPr>
              <w:tabs>
                <w:tab w:val="right" w:pos="1202"/>
              </w:tabs>
              <w:spacing w:after="0" w:line="240" w:lineRule="auto"/>
              <w:outlineLvl w:val="0"/>
              <w:rPr>
                <w:rFonts w:ascii="Calibri" w:eastAsia="Times New Roman" w:hAnsi="Calibri" w:cs="Arial"/>
                <w:b/>
                <w:sz w:val="19"/>
                <w:szCs w:val="19"/>
                <w:highlight w:val="yellow"/>
                <w:lang w:val="en-US"/>
              </w:rPr>
            </w:pPr>
            <w:r w:rsidRPr="00122C6A">
              <w:rPr>
                <w:rFonts w:ascii="Calibri" w:eastAsia="Times New Roman" w:hAnsi="Calibri" w:cs="Arial"/>
                <w:b/>
                <w:sz w:val="19"/>
                <w:szCs w:val="19"/>
                <w:lang w:val="en-US"/>
              </w:rPr>
              <w:t>Total equity instruments</w:t>
            </w:r>
          </w:p>
        </w:tc>
        <w:tc>
          <w:tcPr>
            <w:tcW w:w="1276" w:type="dxa"/>
            <w:tcBorders>
              <w:top w:val="single" w:sz="4" w:space="0" w:color="auto"/>
              <w:left w:val="nil"/>
              <w:bottom w:val="single" w:sz="12" w:space="0" w:color="auto"/>
              <w:right w:val="nil"/>
            </w:tcBorders>
            <w:shd w:val="clear" w:color="auto" w:fill="auto"/>
            <w:vAlign w:val="bottom"/>
          </w:tcPr>
          <w:p w14:paraId="5DB86FF2" w14:textId="77777777" w:rsidR="00122C6A" w:rsidRPr="00122C6A" w:rsidRDefault="00122C6A" w:rsidP="00122C6A">
            <w:pPr>
              <w:tabs>
                <w:tab w:val="right" w:pos="1202"/>
              </w:tabs>
              <w:spacing w:after="0" w:line="240" w:lineRule="auto"/>
              <w:jc w:val="right"/>
              <w:outlineLvl w:val="0"/>
              <w:rPr>
                <w:rFonts w:ascii="Calibri" w:eastAsia="Times New Roman" w:hAnsi="Calibri" w:cs="Arial"/>
                <w:sz w:val="19"/>
                <w:szCs w:val="19"/>
                <w:lang w:val="en-US"/>
              </w:rPr>
            </w:pPr>
            <w:bookmarkStart w:id="1261" w:name="_Toc67331106"/>
            <w:r w:rsidRPr="00122C6A">
              <w:rPr>
                <w:rFonts w:ascii="Calibri" w:eastAsia="Times New Roman" w:hAnsi="Calibri" w:cs="Times New Roman"/>
                <w:b/>
                <w:bCs/>
                <w:sz w:val="18"/>
                <w:szCs w:val="18"/>
                <w:lang w:val="en-US"/>
              </w:rPr>
              <w:t>-</w:t>
            </w:r>
            <w:bookmarkEnd w:id="1261"/>
          </w:p>
        </w:tc>
        <w:tc>
          <w:tcPr>
            <w:tcW w:w="1276" w:type="dxa"/>
            <w:tcBorders>
              <w:top w:val="single" w:sz="4" w:space="0" w:color="auto"/>
              <w:left w:val="nil"/>
              <w:bottom w:val="single" w:sz="12" w:space="0" w:color="auto"/>
              <w:right w:val="nil"/>
            </w:tcBorders>
            <w:shd w:val="clear" w:color="auto" w:fill="auto"/>
            <w:vAlign w:val="bottom"/>
          </w:tcPr>
          <w:p w14:paraId="07AB8F1A" w14:textId="77777777" w:rsidR="00122C6A" w:rsidRPr="00122C6A" w:rsidRDefault="00122C6A" w:rsidP="00122C6A">
            <w:pPr>
              <w:tabs>
                <w:tab w:val="right" w:pos="1202"/>
              </w:tabs>
              <w:spacing w:after="0" w:line="240" w:lineRule="auto"/>
              <w:jc w:val="right"/>
              <w:outlineLvl w:val="0"/>
              <w:rPr>
                <w:rFonts w:ascii="Calibri" w:eastAsia="Times New Roman" w:hAnsi="Calibri" w:cs="Arial"/>
                <w:b/>
                <w:sz w:val="19"/>
                <w:szCs w:val="19"/>
                <w:lang w:val="en-US"/>
              </w:rPr>
            </w:pPr>
            <w:bookmarkStart w:id="1262" w:name="_Toc67331107"/>
            <w:r w:rsidRPr="00122C6A">
              <w:rPr>
                <w:rFonts w:ascii="Calibri" w:eastAsia="Times New Roman" w:hAnsi="Calibri" w:cs="Times New Roman"/>
                <w:b/>
                <w:bCs/>
                <w:sz w:val="18"/>
                <w:szCs w:val="18"/>
                <w:lang w:val="en-US"/>
              </w:rPr>
              <w:t>43,016</w:t>
            </w:r>
            <w:bookmarkEnd w:id="1262"/>
          </w:p>
        </w:tc>
        <w:tc>
          <w:tcPr>
            <w:tcW w:w="1304" w:type="dxa"/>
            <w:tcBorders>
              <w:top w:val="single" w:sz="4" w:space="0" w:color="auto"/>
              <w:left w:val="nil"/>
              <w:bottom w:val="single" w:sz="12" w:space="0" w:color="auto"/>
              <w:right w:val="nil"/>
            </w:tcBorders>
            <w:shd w:val="clear" w:color="auto" w:fill="auto"/>
            <w:vAlign w:val="bottom"/>
          </w:tcPr>
          <w:p w14:paraId="5B9D9968" w14:textId="77777777" w:rsidR="00122C6A" w:rsidRPr="00122C6A" w:rsidRDefault="00122C6A" w:rsidP="00122C6A">
            <w:pPr>
              <w:tabs>
                <w:tab w:val="right" w:pos="1202"/>
              </w:tabs>
              <w:spacing w:after="0" w:line="240" w:lineRule="auto"/>
              <w:jc w:val="right"/>
              <w:outlineLvl w:val="0"/>
              <w:rPr>
                <w:rFonts w:ascii="Calibri" w:eastAsia="Times New Roman" w:hAnsi="Calibri" w:cs="Arial"/>
                <w:b/>
                <w:sz w:val="19"/>
                <w:szCs w:val="19"/>
                <w:lang w:val="en-US"/>
              </w:rPr>
            </w:pPr>
            <w:bookmarkStart w:id="1263" w:name="_Toc67331108"/>
            <w:r w:rsidRPr="00122C6A">
              <w:rPr>
                <w:rFonts w:ascii="Calibri" w:eastAsia="Times New Roman" w:hAnsi="Calibri" w:cs="Times New Roman"/>
                <w:b/>
                <w:bCs/>
                <w:sz w:val="18"/>
                <w:szCs w:val="18"/>
                <w:lang w:val="en-US"/>
              </w:rPr>
              <w:t>-</w:t>
            </w:r>
            <w:bookmarkEnd w:id="1263"/>
          </w:p>
        </w:tc>
      </w:tr>
      <w:tr w:rsidR="00122C6A" w:rsidRPr="00122C6A" w14:paraId="6C188E18" w14:textId="77777777" w:rsidTr="00E44437">
        <w:trPr>
          <w:trHeight w:hRule="exact" w:val="529"/>
          <w:jc w:val="center"/>
        </w:trPr>
        <w:tc>
          <w:tcPr>
            <w:tcW w:w="5528" w:type="dxa"/>
            <w:shd w:val="clear" w:color="auto" w:fill="auto"/>
            <w:vAlign w:val="bottom"/>
          </w:tcPr>
          <w:p w14:paraId="1F6B197E" w14:textId="77777777" w:rsidR="00122C6A" w:rsidRPr="00122C6A" w:rsidRDefault="00122C6A" w:rsidP="00122C6A">
            <w:pPr>
              <w:tabs>
                <w:tab w:val="right" w:pos="1202"/>
              </w:tabs>
              <w:spacing w:after="0" w:line="240" w:lineRule="auto"/>
              <w:outlineLvl w:val="0"/>
              <w:rPr>
                <w:rFonts w:ascii="Calibri" w:eastAsia="Times New Roman" w:hAnsi="Calibri" w:cs="Arial"/>
                <w:b/>
                <w:sz w:val="19"/>
                <w:szCs w:val="19"/>
                <w:highlight w:val="yellow"/>
                <w:lang w:val="en-US"/>
              </w:rPr>
            </w:pPr>
            <w:r w:rsidRPr="00122C6A">
              <w:rPr>
                <w:rFonts w:ascii="Calibri" w:eastAsia="Times New Roman" w:hAnsi="Calibri" w:cs="Arial"/>
                <w:b/>
                <w:sz w:val="19"/>
                <w:szCs w:val="19"/>
                <w:lang w:val="en-US"/>
              </w:rPr>
              <w:t>Total financial assets at fair value through other comprehensive income</w:t>
            </w:r>
          </w:p>
        </w:tc>
        <w:tc>
          <w:tcPr>
            <w:tcW w:w="1276" w:type="dxa"/>
            <w:tcBorders>
              <w:top w:val="single" w:sz="12" w:space="0" w:color="auto"/>
              <w:left w:val="nil"/>
              <w:bottom w:val="single" w:sz="12" w:space="0" w:color="auto"/>
              <w:right w:val="nil"/>
            </w:tcBorders>
            <w:shd w:val="clear" w:color="auto" w:fill="auto"/>
            <w:vAlign w:val="bottom"/>
          </w:tcPr>
          <w:p w14:paraId="6ABDBBB5" w14:textId="77777777" w:rsidR="00122C6A" w:rsidRPr="00122C6A" w:rsidRDefault="00122C6A" w:rsidP="00122C6A">
            <w:pPr>
              <w:tabs>
                <w:tab w:val="right" w:pos="1202"/>
              </w:tabs>
              <w:spacing w:after="0" w:line="240" w:lineRule="auto"/>
              <w:jc w:val="right"/>
              <w:outlineLvl w:val="0"/>
              <w:rPr>
                <w:rFonts w:ascii="Calibri" w:eastAsia="Times New Roman" w:hAnsi="Calibri" w:cs="Arial"/>
                <w:b/>
                <w:sz w:val="19"/>
                <w:szCs w:val="19"/>
                <w:lang w:val="en-US"/>
              </w:rPr>
            </w:pPr>
            <w:bookmarkStart w:id="1264" w:name="_Toc67331110"/>
            <w:r w:rsidRPr="00122C6A">
              <w:rPr>
                <w:rFonts w:ascii="Calibri" w:eastAsia="Times New Roman" w:hAnsi="Calibri" w:cs="Times New Roman"/>
                <w:b/>
                <w:bCs/>
                <w:sz w:val="18"/>
                <w:szCs w:val="18"/>
                <w:lang w:val="en-US"/>
              </w:rPr>
              <w:t>1,320,168</w:t>
            </w:r>
            <w:bookmarkEnd w:id="1264"/>
          </w:p>
        </w:tc>
        <w:tc>
          <w:tcPr>
            <w:tcW w:w="1276" w:type="dxa"/>
            <w:tcBorders>
              <w:top w:val="single" w:sz="12" w:space="0" w:color="auto"/>
              <w:left w:val="nil"/>
              <w:bottom w:val="single" w:sz="12" w:space="0" w:color="auto"/>
              <w:right w:val="nil"/>
            </w:tcBorders>
            <w:shd w:val="clear" w:color="auto" w:fill="auto"/>
            <w:vAlign w:val="bottom"/>
          </w:tcPr>
          <w:p w14:paraId="0BD6ECCB" w14:textId="77777777" w:rsidR="00122C6A" w:rsidRPr="00122C6A" w:rsidRDefault="00122C6A" w:rsidP="00122C6A">
            <w:pPr>
              <w:tabs>
                <w:tab w:val="right" w:pos="1202"/>
              </w:tabs>
              <w:spacing w:after="0" w:line="240" w:lineRule="auto"/>
              <w:jc w:val="right"/>
              <w:outlineLvl w:val="0"/>
              <w:rPr>
                <w:rFonts w:ascii="Calibri" w:eastAsia="Times New Roman" w:hAnsi="Calibri" w:cs="Arial"/>
                <w:b/>
                <w:sz w:val="19"/>
                <w:szCs w:val="19"/>
                <w:lang w:val="en-US"/>
              </w:rPr>
            </w:pPr>
            <w:bookmarkStart w:id="1265" w:name="_Toc67331111"/>
            <w:r w:rsidRPr="00122C6A">
              <w:rPr>
                <w:rFonts w:ascii="Calibri" w:eastAsia="Times New Roman" w:hAnsi="Calibri" w:cs="Times New Roman"/>
                <w:b/>
                <w:bCs/>
                <w:sz w:val="18"/>
                <w:szCs w:val="18"/>
                <w:lang w:val="en-US"/>
              </w:rPr>
              <w:t>1,593,360</w:t>
            </w:r>
            <w:bookmarkEnd w:id="1265"/>
          </w:p>
        </w:tc>
        <w:tc>
          <w:tcPr>
            <w:tcW w:w="1304" w:type="dxa"/>
            <w:tcBorders>
              <w:top w:val="single" w:sz="12" w:space="0" w:color="auto"/>
              <w:left w:val="nil"/>
              <w:bottom w:val="single" w:sz="12" w:space="0" w:color="auto"/>
              <w:right w:val="nil"/>
            </w:tcBorders>
            <w:shd w:val="clear" w:color="auto" w:fill="auto"/>
            <w:vAlign w:val="bottom"/>
          </w:tcPr>
          <w:p w14:paraId="4F46D9A6" w14:textId="77777777" w:rsidR="00122C6A" w:rsidRPr="00122C6A" w:rsidRDefault="00122C6A" w:rsidP="00122C6A">
            <w:pPr>
              <w:tabs>
                <w:tab w:val="right" w:pos="1202"/>
              </w:tabs>
              <w:spacing w:after="0" w:line="240" w:lineRule="auto"/>
              <w:jc w:val="right"/>
              <w:outlineLvl w:val="0"/>
              <w:rPr>
                <w:rFonts w:ascii="Calibri" w:eastAsia="Times New Roman" w:hAnsi="Calibri" w:cs="Arial"/>
                <w:b/>
                <w:sz w:val="19"/>
                <w:szCs w:val="19"/>
                <w:lang w:val="en-US"/>
              </w:rPr>
            </w:pPr>
            <w:bookmarkStart w:id="1266" w:name="_Toc67331112"/>
            <w:r w:rsidRPr="00122C6A">
              <w:rPr>
                <w:rFonts w:ascii="Calibri" w:eastAsia="Times New Roman" w:hAnsi="Calibri" w:cs="Times New Roman"/>
                <w:b/>
                <w:bCs/>
                <w:sz w:val="18"/>
                <w:szCs w:val="18"/>
                <w:lang w:val="en-US"/>
              </w:rPr>
              <w:t>2,176</w:t>
            </w:r>
            <w:bookmarkEnd w:id="1266"/>
          </w:p>
        </w:tc>
      </w:tr>
    </w:tbl>
    <w:p w14:paraId="13C3EDF4" w14:textId="77777777" w:rsidR="0078512D" w:rsidRPr="00537128" w:rsidRDefault="0078512D" w:rsidP="008C0661">
      <w:pPr>
        <w:spacing w:after="0" w:line="240" w:lineRule="auto"/>
        <w:jc w:val="both"/>
        <w:rPr>
          <w:rFonts w:ascii="Calibri" w:eastAsia="Calibri" w:hAnsi="Calibri" w:cs="Arial"/>
          <w:bCs/>
          <w:lang w:val="en-US"/>
        </w:rPr>
      </w:pPr>
    </w:p>
    <w:p w14:paraId="5E8C6342" w14:textId="77777777" w:rsidR="0078512D" w:rsidRPr="00537128" w:rsidRDefault="0078512D" w:rsidP="008C0661">
      <w:pPr>
        <w:spacing w:after="0" w:line="240" w:lineRule="auto"/>
        <w:jc w:val="both"/>
        <w:rPr>
          <w:rFonts w:ascii="Calibri" w:eastAsia="Calibri" w:hAnsi="Calibri" w:cs="Arial"/>
          <w:bCs/>
          <w:lang w:val="en-US"/>
        </w:rPr>
      </w:pPr>
    </w:p>
    <w:p w14:paraId="4AC8CEF7" w14:textId="77777777" w:rsidR="0078512D" w:rsidRPr="00537128" w:rsidRDefault="0078512D" w:rsidP="008C0661">
      <w:pPr>
        <w:spacing w:after="0" w:line="240" w:lineRule="auto"/>
        <w:jc w:val="both"/>
        <w:rPr>
          <w:rFonts w:ascii="Calibri" w:eastAsia="Calibri" w:hAnsi="Calibri" w:cs="Arial"/>
          <w:bCs/>
          <w:lang w:val="en-US"/>
        </w:rPr>
        <w:sectPr w:rsidR="0078512D" w:rsidRPr="00537128" w:rsidSect="00712478">
          <w:pgSz w:w="11906" w:h="16838"/>
          <w:pgMar w:top="1418" w:right="1134" w:bottom="1418" w:left="1418" w:header="709" w:footer="709" w:gutter="0"/>
          <w:cols w:space="708"/>
          <w:docGrid w:linePitch="360"/>
        </w:sectPr>
      </w:pPr>
    </w:p>
    <w:p w14:paraId="14B8BA77" w14:textId="77777777" w:rsidR="0078512D" w:rsidRPr="00537128" w:rsidRDefault="0078512D" w:rsidP="0078512D">
      <w:pPr>
        <w:spacing w:after="0" w:line="240" w:lineRule="auto"/>
        <w:jc w:val="both"/>
        <w:rPr>
          <w:rFonts w:eastAsia="Times New Roman" w:cstheme="minorHAnsi"/>
          <w:bCs/>
          <w:iCs/>
          <w:color w:val="000000" w:themeColor="text1"/>
          <w:lang w:val="en-US"/>
        </w:rPr>
      </w:pPr>
    </w:p>
    <w:p w14:paraId="0DD62DD1" w14:textId="77777777" w:rsidR="0078512D" w:rsidRPr="00537128" w:rsidRDefault="0078512D">
      <w:pPr>
        <w:pStyle w:val="ListParagraph"/>
        <w:numPr>
          <w:ilvl w:val="0"/>
          <w:numId w:val="67"/>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 xml:space="preserve">Fair value of financial assets and financial liabilities </w:t>
      </w:r>
      <w:r w:rsidRPr="00537128">
        <w:rPr>
          <w:rFonts w:ascii="Calibri" w:eastAsia="Calibri" w:hAnsi="Calibri" w:cs="Arial"/>
          <w:b/>
          <w:bCs/>
          <w:spacing w:val="-3"/>
          <w:lang w:val="en-US"/>
        </w:rPr>
        <w:t>(continued)</w:t>
      </w:r>
    </w:p>
    <w:p w14:paraId="6CA86272" w14:textId="77777777" w:rsidR="0078512D" w:rsidRPr="00537128" w:rsidRDefault="0078512D" w:rsidP="0078512D">
      <w:pPr>
        <w:spacing w:after="0" w:line="240" w:lineRule="auto"/>
        <w:jc w:val="both"/>
        <w:rPr>
          <w:rFonts w:ascii="Calibri" w:eastAsia="Calibri" w:hAnsi="Calibri" w:cs="Arial"/>
          <w:bCs/>
          <w:lang w:val="en-US"/>
        </w:rPr>
      </w:pPr>
    </w:p>
    <w:p w14:paraId="12D5A01C" w14:textId="27E3B94A" w:rsidR="0078512D" w:rsidRPr="00537128" w:rsidRDefault="003E09B3" w:rsidP="0078512D">
      <w:pPr>
        <w:spacing w:after="0" w:line="240" w:lineRule="auto"/>
        <w:jc w:val="both"/>
        <w:rPr>
          <w:rFonts w:ascii="Calibri" w:eastAsia="Calibri" w:hAnsi="Calibri" w:cs="Arial"/>
          <w:b/>
          <w:bCs/>
          <w:spacing w:val="-3"/>
          <w:lang w:val="en-US"/>
        </w:rPr>
      </w:pPr>
      <w:r w:rsidRPr="00537128">
        <w:rPr>
          <w:rFonts w:ascii="Calibri" w:eastAsia="Calibri" w:hAnsi="Calibri" w:cs="Arial"/>
          <w:b/>
          <w:bCs/>
          <w:spacing w:val="-3"/>
          <w:lang w:val="en-US"/>
        </w:rPr>
        <w:t>2</w:t>
      </w:r>
      <w:r>
        <w:rPr>
          <w:rFonts w:ascii="Calibri" w:eastAsia="Calibri" w:hAnsi="Calibri" w:cs="Arial"/>
          <w:b/>
          <w:bCs/>
          <w:spacing w:val="-3"/>
          <w:lang w:val="en-US"/>
        </w:rPr>
        <w:t>4</w:t>
      </w:r>
      <w:r w:rsidR="0078512D" w:rsidRPr="00537128">
        <w:rPr>
          <w:rFonts w:ascii="Calibri" w:eastAsia="Calibri" w:hAnsi="Calibri" w:cs="Arial"/>
          <w:b/>
          <w:bCs/>
          <w:spacing w:val="-3"/>
          <w:lang w:val="en-US"/>
        </w:rPr>
        <w:t xml:space="preserve">.1. </w:t>
      </w:r>
      <w:r w:rsidR="0078512D" w:rsidRPr="00537128">
        <w:rPr>
          <w:rFonts w:ascii="Calibri" w:eastAsia="Calibri" w:hAnsi="Calibri" w:cs="Arial"/>
          <w:b/>
          <w:bCs/>
          <w:spacing w:val="-3"/>
          <w:lang w:val="en-US"/>
        </w:rPr>
        <w:tab/>
        <w:t>Fair value of financial assets and financial liabilities initially recognized and measured at fair value (continued)</w:t>
      </w:r>
    </w:p>
    <w:p w14:paraId="286C0CD8"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p w14:paraId="5435768F" w14:textId="1438BA98"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r w:rsidRPr="00537128">
        <w:rPr>
          <w:rFonts w:ascii="Calibri" w:eastAsia="Times New Roman" w:hAnsi="Calibri" w:cs="Arial"/>
          <w:b/>
          <w:spacing w:val="-3"/>
          <w:lang w:val="en-US"/>
        </w:rPr>
        <w:t>2</w:t>
      </w:r>
      <w:r w:rsidR="00DD4485">
        <w:rPr>
          <w:rFonts w:ascii="Calibri" w:eastAsia="Times New Roman" w:hAnsi="Calibri" w:cs="Arial"/>
          <w:b/>
          <w:spacing w:val="-3"/>
          <w:lang w:val="en-US"/>
        </w:rPr>
        <w:t>4</w:t>
      </w:r>
      <w:r w:rsidRPr="00537128">
        <w:rPr>
          <w:rFonts w:ascii="Calibri" w:eastAsia="Times New Roman" w:hAnsi="Calibri" w:cs="Arial"/>
          <w:b/>
          <w:spacing w:val="-3"/>
          <w:lang w:val="en-US"/>
        </w:rPr>
        <w:t>.1.1.</w:t>
      </w:r>
      <w:r w:rsidRPr="00537128">
        <w:rPr>
          <w:rFonts w:ascii="Times New Roman" w:eastAsia="Times New Roman" w:hAnsi="Times New Roman" w:cs="Times New Roman"/>
          <w:sz w:val="24"/>
          <w:szCs w:val="24"/>
          <w:lang w:val="en-US"/>
        </w:rPr>
        <w:t xml:space="preserve"> </w:t>
      </w:r>
      <w:r w:rsidRPr="00537128">
        <w:rPr>
          <w:rFonts w:ascii="Calibri" w:eastAsia="Times New Roman" w:hAnsi="Calibri" w:cs="Arial"/>
          <w:b/>
          <w:spacing w:val="-3"/>
          <w:lang w:val="en-US"/>
        </w:rPr>
        <w:t>Level 3 - fair value</w:t>
      </w:r>
    </w:p>
    <w:p w14:paraId="22123FB7"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p w14:paraId="31231B4F" w14:textId="77777777" w:rsidR="0078512D" w:rsidRPr="00537128" w:rsidRDefault="0078512D" w:rsidP="0078512D">
      <w:pPr>
        <w:tabs>
          <w:tab w:val="left" w:pos="709"/>
        </w:tabs>
        <w:spacing w:after="0" w:line="240" w:lineRule="auto"/>
        <w:jc w:val="both"/>
        <w:rPr>
          <w:rFonts w:ascii="Calibri" w:eastAsia="Times New Roman" w:hAnsi="Calibri" w:cs="Arial"/>
          <w:b/>
          <w:i/>
          <w:spacing w:val="-3"/>
          <w:lang w:val="en-US"/>
        </w:rPr>
      </w:pPr>
      <w:r w:rsidRPr="00537128">
        <w:rPr>
          <w:rFonts w:ascii="Calibri" w:eastAsia="Times New Roman" w:hAnsi="Calibri" w:cs="Arial"/>
          <w:b/>
          <w:i/>
          <w:spacing w:val="-3"/>
          <w:lang w:val="en-US"/>
        </w:rPr>
        <w:t>a)  Mezzanine loans</w:t>
      </w:r>
    </w:p>
    <w:p w14:paraId="2ADB78A5"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p w14:paraId="40B02EB4" w14:textId="77777777" w:rsidR="0078512D" w:rsidRPr="00537128" w:rsidRDefault="0078512D" w:rsidP="0078512D">
      <w:pPr>
        <w:tabs>
          <w:tab w:val="left" w:pos="709"/>
        </w:tabs>
        <w:spacing w:after="0" w:line="240" w:lineRule="auto"/>
        <w:jc w:val="both"/>
        <w:rPr>
          <w:rFonts w:ascii="Calibri" w:eastAsia="Times New Roman" w:hAnsi="Calibri" w:cs="Arial"/>
          <w:spacing w:val="-3"/>
          <w:lang w:val="en-US"/>
        </w:rPr>
      </w:pPr>
      <w:r w:rsidRPr="00537128">
        <w:rPr>
          <w:rFonts w:ascii="Calibri" w:eastAsia="Times New Roman" w:hAnsi="Calibri" w:cs="Arial"/>
          <w:spacing w:val="-3"/>
          <w:lang w:val="en-US"/>
        </w:rPr>
        <w:t>For the assessment of fair value of mezzanine loans, the method of discounting expected future cash flows is used.</w:t>
      </w:r>
    </w:p>
    <w:p w14:paraId="41FC8449" w14:textId="77777777" w:rsidR="0078512D" w:rsidRPr="00537128" w:rsidRDefault="0078512D" w:rsidP="0078512D">
      <w:pPr>
        <w:tabs>
          <w:tab w:val="left" w:pos="709"/>
        </w:tabs>
        <w:spacing w:after="0" w:line="240" w:lineRule="auto"/>
        <w:jc w:val="both"/>
        <w:rPr>
          <w:rFonts w:ascii="Calibri" w:eastAsia="Times New Roman" w:hAnsi="Calibri" w:cs="Arial"/>
          <w:spacing w:val="-3"/>
          <w:lang w:val="en-US"/>
        </w:rPr>
      </w:pPr>
      <w:r w:rsidRPr="00537128">
        <w:rPr>
          <w:rFonts w:ascii="Calibri" w:eastAsia="Times New Roman" w:hAnsi="Calibri" w:cs="Arial"/>
          <w:spacing w:val="-3"/>
          <w:lang w:val="en-US"/>
        </w:rPr>
        <w:t>Due to their contractual characteristics, mezzanine loans do not pass the SPPI test. Characteristics due to which mezzanine loans do not pass the SPPI test are as follows:</w:t>
      </w:r>
    </w:p>
    <w:p w14:paraId="0F6BB6A5" w14:textId="77777777" w:rsidR="0078512D" w:rsidRPr="00537128" w:rsidRDefault="0078512D" w:rsidP="0078512D">
      <w:pPr>
        <w:tabs>
          <w:tab w:val="left" w:pos="709"/>
        </w:tabs>
        <w:spacing w:after="0" w:line="240" w:lineRule="auto"/>
        <w:jc w:val="both"/>
        <w:rPr>
          <w:rFonts w:ascii="Calibri" w:eastAsia="Times New Roman" w:hAnsi="Calibri" w:cs="Arial"/>
          <w:spacing w:val="-3"/>
          <w:lang w:val="en-US"/>
        </w:rPr>
      </w:pPr>
    </w:p>
    <w:p w14:paraId="324A8E6A" w14:textId="77777777" w:rsidR="0078512D" w:rsidRPr="00537128" w:rsidRDefault="0078512D" w:rsidP="0078512D">
      <w:pPr>
        <w:tabs>
          <w:tab w:val="left" w:pos="709"/>
          <w:tab w:val="left" w:pos="1276"/>
        </w:tabs>
        <w:spacing w:after="0" w:line="240" w:lineRule="auto"/>
        <w:ind w:left="1276" w:hanging="283"/>
        <w:jc w:val="both"/>
        <w:rPr>
          <w:rFonts w:ascii="Calibri" w:eastAsia="Times New Roman" w:hAnsi="Calibri" w:cs="Arial"/>
          <w:spacing w:val="-3"/>
          <w:lang w:val="en-US"/>
        </w:rPr>
      </w:pPr>
      <w:r w:rsidRPr="00537128">
        <w:rPr>
          <w:rFonts w:ascii="Calibri" w:eastAsia="Times New Roman" w:hAnsi="Calibri" w:cs="Arial"/>
          <w:spacing w:val="-3"/>
          <w:lang w:val="en-US"/>
        </w:rPr>
        <w:t>-</w:t>
      </w:r>
      <w:r w:rsidRPr="00537128">
        <w:rPr>
          <w:rFonts w:ascii="Calibri" w:eastAsia="Times New Roman" w:hAnsi="Calibri" w:cs="Arial"/>
          <w:spacing w:val="-3"/>
          <w:lang w:val="en-US"/>
        </w:rPr>
        <w:tab/>
        <w:t xml:space="preserve">in the case of </w:t>
      </w:r>
      <w:proofErr w:type="spellStart"/>
      <w:r w:rsidRPr="00537128">
        <w:rPr>
          <w:rFonts w:ascii="Calibri" w:eastAsia="Times New Roman" w:hAnsi="Calibri" w:cs="Arial"/>
          <w:spacing w:val="-3"/>
          <w:lang w:val="en-US"/>
        </w:rPr>
        <w:t>realisation</w:t>
      </w:r>
      <w:proofErr w:type="spellEnd"/>
      <w:r w:rsidRPr="00537128">
        <w:rPr>
          <w:rFonts w:ascii="Calibri" w:eastAsia="Times New Roman" w:hAnsi="Calibri" w:cs="Arial"/>
          <w:spacing w:val="-3"/>
          <w:lang w:val="en-US"/>
        </w:rPr>
        <w:t xml:space="preserve"> of contractually defined performance indicators (net debt to EBITDA ratio) over the predetermined period, creditors have the option, but not the obligation, to covert a mezzanine loan to a „senior </w:t>
      </w:r>
      <w:proofErr w:type="gramStart"/>
      <w:r w:rsidRPr="00537128">
        <w:rPr>
          <w:rFonts w:ascii="Calibri" w:eastAsia="Times New Roman" w:hAnsi="Calibri" w:cs="Arial"/>
          <w:spacing w:val="-3"/>
          <w:lang w:val="en-US"/>
        </w:rPr>
        <w:t>debt“</w:t>
      </w:r>
      <w:proofErr w:type="gramEnd"/>
      <w:r w:rsidRPr="00537128">
        <w:rPr>
          <w:rFonts w:ascii="Calibri" w:eastAsia="Times New Roman" w:hAnsi="Calibri" w:cs="Arial"/>
          <w:spacing w:val="-3"/>
          <w:lang w:val="en-US"/>
        </w:rPr>
        <w:t>,</w:t>
      </w:r>
    </w:p>
    <w:p w14:paraId="7146545E" w14:textId="77777777" w:rsidR="0078512D" w:rsidRPr="00537128" w:rsidRDefault="0078512D" w:rsidP="0078512D">
      <w:pPr>
        <w:tabs>
          <w:tab w:val="left" w:pos="709"/>
          <w:tab w:val="left" w:pos="1276"/>
        </w:tabs>
        <w:spacing w:after="0" w:line="240" w:lineRule="auto"/>
        <w:ind w:left="1276" w:hanging="283"/>
        <w:jc w:val="both"/>
        <w:rPr>
          <w:rFonts w:ascii="Calibri" w:eastAsia="Times New Roman" w:hAnsi="Calibri" w:cs="Arial"/>
          <w:spacing w:val="-3"/>
          <w:lang w:val="en-US"/>
        </w:rPr>
      </w:pPr>
      <w:r w:rsidRPr="00537128">
        <w:rPr>
          <w:rFonts w:ascii="Calibri" w:eastAsia="Times New Roman" w:hAnsi="Calibri" w:cs="Arial"/>
          <w:spacing w:val="-3"/>
          <w:lang w:val="en-US"/>
        </w:rPr>
        <w:t>-</w:t>
      </w:r>
      <w:r w:rsidRPr="00537128">
        <w:rPr>
          <w:rFonts w:ascii="Calibri" w:eastAsia="Times New Roman" w:hAnsi="Calibri" w:cs="Arial"/>
          <w:spacing w:val="-3"/>
          <w:lang w:val="en-US"/>
        </w:rPr>
        <w:tab/>
        <w:t>upon the final maturity of the mezzanine loan, creditors have the option, but not the obligation, to convert the loan into the debtor’s equity and</w:t>
      </w:r>
    </w:p>
    <w:p w14:paraId="321F8E83" w14:textId="77777777" w:rsidR="0078512D" w:rsidRPr="00537128" w:rsidRDefault="0078512D" w:rsidP="0078512D">
      <w:pPr>
        <w:tabs>
          <w:tab w:val="left" w:pos="709"/>
          <w:tab w:val="left" w:pos="1276"/>
        </w:tabs>
        <w:spacing w:after="0" w:line="240" w:lineRule="auto"/>
        <w:ind w:left="1276" w:hanging="283"/>
        <w:jc w:val="both"/>
        <w:rPr>
          <w:rFonts w:ascii="Calibri" w:eastAsia="Times New Roman" w:hAnsi="Calibri" w:cs="Arial"/>
          <w:spacing w:val="-3"/>
          <w:lang w:val="en-US"/>
        </w:rPr>
      </w:pPr>
      <w:r w:rsidRPr="00537128">
        <w:rPr>
          <w:rFonts w:ascii="Calibri" w:eastAsia="Times New Roman" w:hAnsi="Calibri" w:cs="Arial"/>
          <w:spacing w:val="-3"/>
          <w:lang w:val="en-US"/>
        </w:rPr>
        <w:t>-</w:t>
      </w:r>
      <w:r w:rsidRPr="00537128">
        <w:rPr>
          <w:rFonts w:ascii="Calibri" w:eastAsia="Times New Roman" w:hAnsi="Calibri" w:cs="Arial"/>
          <w:spacing w:val="-3"/>
          <w:lang w:val="en-US"/>
        </w:rPr>
        <w:tab/>
        <w:t>the debtor has the option, but not the obligation, to prematurely repay the loan at discount.</w:t>
      </w:r>
    </w:p>
    <w:p w14:paraId="7FAB14DF" w14:textId="77777777" w:rsidR="0078512D" w:rsidRPr="00537128" w:rsidRDefault="0078512D" w:rsidP="0078512D">
      <w:pPr>
        <w:tabs>
          <w:tab w:val="left" w:pos="709"/>
          <w:tab w:val="left" w:pos="1276"/>
        </w:tabs>
        <w:spacing w:after="0" w:line="240" w:lineRule="auto"/>
        <w:ind w:left="1276" w:hanging="283"/>
        <w:jc w:val="both"/>
        <w:rPr>
          <w:rFonts w:ascii="Calibri" w:eastAsia="Times New Roman" w:hAnsi="Calibri" w:cs="Arial"/>
          <w:spacing w:val="-3"/>
          <w:lang w:val="en-US"/>
        </w:rPr>
      </w:pPr>
    </w:p>
    <w:p w14:paraId="62FB3442" w14:textId="6A376E5C" w:rsidR="00625ECB" w:rsidRPr="00B9224A" w:rsidRDefault="00625ECB" w:rsidP="00625ECB">
      <w:pPr>
        <w:jc w:val="both"/>
        <w:rPr>
          <w:lang w:val="en-GB"/>
        </w:rPr>
      </w:pPr>
      <w:r w:rsidRPr="003239B0">
        <w:rPr>
          <w:rFonts w:cs="Arial"/>
          <w:spacing w:val="-3"/>
          <w:lang w:val="en-GB"/>
        </w:rPr>
        <w:t>Due to the above-mentioned characteristics of the mezzanine loan, the assessment of fair value of these loans was carried out in accordance with the precautionary principle, according to which income is recognised only when it is actually incurred, and expenses also when they are possible</w:t>
      </w:r>
      <w:r>
        <w:rPr>
          <w:rFonts w:cs="Arial"/>
          <w:spacing w:val="-3"/>
          <w:lang w:val="en-GB"/>
        </w:rPr>
        <w:t>.</w:t>
      </w:r>
      <w:r w:rsidRPr="00625ECB">
        <w:rPr>
          <w:lang w:val="en-GB"/>
        </w:rPr>
        <w:t xml:space="preserve"> </w:t>
      </w:r>
      <w:r w:rsidRPr="00B9224A">
        <w:rPr>
          <w:lang w:val="en-GB"/>
        </w:rPr>
        <w:t xml:space="preserve">Accordingly, </w:t>
      </w:r>
      <w:r>
        <w:rPr>
          <w:lang w:val="en-GB"/>
        </w:rPr>
        <w:t>a</w:t>
      </w:r>
      <w:r w:rsidRPr="00B9224A">
        <w:rPr>
          <w:lang w:val="en-GB"/>
        </w:rPr>
        <w:t xml:space="preserve"> less favo</w:t>
      </w:r>
      <w:r>
        <w:rPr>
          <w:lang w:val="en-GB"/>
        </w:rPr>
        <w:t>u</w:t>
      </w:r>
      <w:r w:rsidRPr="00B9224A">
        <w:rPr>
          <w:lang w:val="en-GB"/>
        </w:rPr>
        <w:t>rable option for HBOR is used to estimate the fair value of mezzanine loan</w:t>
      </w:r>
      <w:r>
        <w:rPr>
          <w:lang w:val="en-GB"/>
        </w:rPr>
        <w:t>s</w:t>
      </w:r>
      <w:r w:rsidRPr="00B9224A">
        <w:rPr>
          <w:lang w:val="en-GB"/>
        </w:rPr>
        <w:t xml:space="preserve">, </w:t>
      </w:r>
      <w:proofErr w:type="gramStart"/>
      <w:r w:rsidRPr="00B9224A">
        <w:rPr>
          <w:lang w:val="en-GB"/>
        </w:rPr>
        <w:t>assuming that</w:t>
      </w:r>
      <w:proofErr w:type="gramEnd"/>
      <w:r w:rsidRPr="00B9224A">
        <w:rPr>
          <w:lang w:val="en-GB"/>
        </w:rPr>
        <w:t xml:space="preserve"> the debtor will continue to operate on a regular basis in the future.</w:t>
      </w:r>
    </w:p>
    <w:p w14:paraId="5A10B42C" w14:textId="77777777" w:rsidR="00625ECB" w:rsidRPr="00B9224A" w:rsidRDefault="00625ECB" w:rsidP="00625ECB">
      <w:pPr>
        <w:jc w:val="both"/>
        <w:rPr>
          <w:lang w:val="en-GB"/>
        </w:rPr>
      </w:pPr>
      <w:r w:rsidRPr="00B9224A">
        <w:rPr>
          <w:lang w:val="en-GB"/>
        </w:rPr>
        <w:t xml:space="preserve">During 2021, based on </w:t>
      </w:r>
      <w:r>
        <w:rPr>
          <w:lang w:val="en-GB"/>
        </w:rPr>
        <w:t>a</w:t>
      </w:r>
      <w:r w:rsidRPr="00B9224A">
        <w:rPr>
          <w:lang w:val="en-GB"/>
        </w:rPr>
        <w:t xml:space="preserve"> Decision in pre-bankruptcy proceedings, HBOR took over 50% of the debtor's </w:t>
      </w:r>
      <w:r>
        <w:rPr>
          <w:lang w:val="en-GB"/>
        </w:rPr>
        <w:t xml:space="preserve">receivables </w:t>
      </w:r>
      <w:r w:rsidRPr="00B9224A">
        <w:rPr>
          <w:lang w:val="en-GB"/>
        </w:rPr>
        <w:t xml:space="preserve">as senior debt and 50% of </w:t>
      </w:r>
      <w:r>
        <w:rPr>
          <w:lang w:val="en-GB"/>
        </w:rPr>
        <w:t xml:space="preserve">receivables </w:t>
      </w:r>
      <w:r w:rsidRPr="00B9224A">
        <w:rPr>
          <w:lang w:val="en-GB"/>
        </w:rPr>
        <w:t>as mezzanine debt. A less favo</w:t>
      </w:r>
      <w:r>
        <w:rPr>
          <w:lang w:val="en-GB"/>
        </w:rPr>
        <w:t>u</w:t>
      </w:r>
      <w:r w:rsidRPr="00B9224A">
        <w:rPr>
          <w:lang w:val="en-GB"/>
        </w:rPr>
        <w:t xml:space="preserve">rable option for HBOR is the possibility in which HBOR would convert the amount of its current receivables </w:t>
      </w:r>
      <w:r>
        <w:rPr>
          <w:lang w:val="en-GB"/>
        </w:rPr>
        <w:t>under</w:t>
      </w:r>
      <w:r w:rsidRPr="00B9224A">
        <w:rPr>
          <w:lang w:val="en-GB"/>
        </w:rPr>
        <w:t xml:space="preserve"> mezzanine loan</w:t>
      </w:r>
      <w:r>
        <w:rPr>
          <w:lang w:val="en-GB"/>
        </w:rPr>
        <w:t>s</w:t>
      </w:r>
      <w:r w:rsidRPr="00B9224A">
        <w:rPr>
          <w:lang w:val="en-GB"/>
        </w:rPr>
        <w:t xml:space="preserve"> into the share capital of the debtor, and the fair value of mezzanine loan</w:t>
      </w:r>
      <w:r>
        <w:rPr>
          <w:lang w:val="en-GB"/>
        </w:rPr>
        <w:t>s</w:t>
      </w:r>
      <w:r w:rsidRPr="00B9224A">
        <w:rPr>
          <w:lang w:val="en-GB"/>
        </w:rPr>
        <w:t xml:space="preserve"> as </w:t>
      </w:r>
      <w:proofErr w:type="gramStart"/>
      <w:r w:rsidRPr="00B9224A">
        <w:rPr>
          <w:lang w:val="en-GB"/>
        </w:rPr>
        <w:t>at</w:t>
      </w:r>
      <w:proofErr w:type="gramEnd"/>
      <w:r w:rsidRPr="00B9224A">
        <w:rPr>
          <w:lang w:val="en-GB"/>
        </w:rPr>
        <w:t xml:space="preserve"> 31 March 2022</w:t>
      </w:r>
      <w:r>
        <w:rPr>
          <w:lang w:val="en-GB"/>
        </w:rPr>
        <w:t xml:space="preserve"> was </w:t>
      </w:r>
      <w:r w:rsidRPr="00B9224A">
        <w:rPr>
          <w:lang w:val="en-GB"/>
        </w:rPr>
        <w:t>estimated at HRK 25,652 thousand.</w:t>
      </w:r>
    </w:p>
    <w:p w14:paraId="4DDCE0EA" w14:textId="77777777" w:rsidR="00625ECB" w:rsidRPr="00B9224A" w:rsidRDefault="00625ECB" w:rsidP="00625ECB">
      <w:pPr>
        <w:jc w:val="both"/>
        <w:rPr>
          <w:lang w:val="en-GB"/>
        </w:rPr>
      </w:pPr>
      <w:r w:rsidRPr="00B9224A">
        <w:rPr>
          <w:lang w:val="en-GB"/>
        </w:rPr>
        <w:t xml:space="preserve">In the reporting period, HBOR sold one mezzanine loan at </w:t>
      </w:r>
      <w:r>
        <w:rPr>
          <w:lang w:val="en-GB"/>
        </w:rPr>
        <w:t>the</w:t>
      </w:r>
      <w:r w:rsidRPr="00B9224A">
        <w:rPr>
          <w:lang w:val="en-GB"/>
        </w:rPr>
        <w:t xml:space="preserve"> fair value of HRK 2,702 thousand (31 December 2021: HRK 439 thousand).</w:t>
      </w:r>
    </w:p>
    <w:p w14:paraId="78ABE589" w14:textId="6AE03739" w:rsidR="0078512D" w:rsidRPr="00537128" w:rsidRDefault="00E96A95" w:rsidP="00625ECB">
      <w:pPr>
        <w:tabs>
          <w:tab w:val="left" w:pos="709"/>
        </w:tabs>
        <w:spacing w:after="0"/>
        <w:jc w:val="both"/>
        <w:rPr>
          <w:rFonts w:ascii="Calibri" w:eastAsia="Times New Roman" w:hAnsi="Calibri" w:cs="Arial"/>
          <w:b/>
          <w:i/>
          <w:spacing w:val="-3"/>
          <w:lang w:val="en-US"/>
        </w:rPr>
      </w:pPr>
      <w:r w:rsidRPr="00625ECB">
        <w:rPr>
          <w:rFonts w:ascii="Calibri" w:eastAsia="Times New Roman" w:hAnsi="Calibri" w:cs="Arial"/>
          <w:spacing w:val="-3"/>
        </w:rPr>
        <w:t xml:space="preserve"> </w:t>
      </w:r>
      <w:r w:rsidR="0078512D" w:rsidRPr="00625ECB">
        <w:rPr>
          <w:rFonts w:ascii="Calibri" w:eastAsia="Times New Roman" w:hAnsi="Calibri" w:cs="Arial"/>
          <w:b/>
          <w:i/>
          <w:spacing w:val="-3"/>
          <w:lang w:val="en-US"/>
        </w:rPr>
        <w:t>b)</w:t>
      </w:r>
      <w:r w:rsidR="0078512D" w:rsidRPr="00537128">
        <w:rPr>
          <w:rFonts w:ascii="Calibri" w:eastAsia="Times New Roman" w:hAnsi="Calibri" w:cs="Arial"/>
          <w:b/>
          <w:i/>
          <w:spacing w:val="-3"/>
          <w:lang w:val="en-US"/>
        </w:rPr>
        <w:tab/>
      </w:r>
      <w:proofErr w:type="gramStart"/>
      <w:r w:rsidR="0078512D" w:rsidRPr="00537128">
        <w:rPr>
          <w:rFonts w:ascii="Calibri" w:eastAsia="Times New Roman" w:hAnsi="Calibri" w:cs="Arial"/>
          <w:b/>
          <w:i/>
          <w:spacing w:val="-3"/>
          <w:lang w:val="en-US"/>
        </w:rPr>
        <w:t>Corporate</w:t>
      </w:r>
      <w:proofErr w:type="gramEnd"/>
      <w:r w:rsidR="0078512D" w:rsidRPr="00537128">
        <w:rPr>
          <w:rFonts w:ascii="Calibri" w:eastAsia="Times New Roman" w:hAnsi="Calibri" w:cs="Arial"/>
          <w:b/>
          <w:i/>
          <w:spacing w:val="-3"/>
          <w:lang w:val="en-US"/>
        </w:rPr>
        <w:t xml:space="preserve"> bonds that are allocated to Stage 3</w:t>
      </w:r>
    </w:p>
    <w:p w14:paraId="7591A317" w14:textId="77777777" w:rsidR="0078512D" w:rsidRPr="00537128" w:rsidRDefault="0078512D" w:rsidP="0078512D">
      <w:pPr>
        <w:tabs>
          <w:tab w:val="left" w:pos="709"/>
        </w:tabs>
        <w:spacing w:after="0" w:line="240" w:lineRule="auto"/>
        <w:jc w:val="both"/>
        <w:rPr>
          <w:rFonts w:ascii="Calibri" w:eastAsia="Times New Roman" w:hAnsi="Calibri" w:cs="Arial"/>
          <w:spacing w:val="-3"/>
          <w:lang w:val="en-US"/>
        </w:rPr>
      </w:pPr>
    </w:p>
    <w:p w14:paraId="6F2A9FF7" w14:textId="77777777" w:rsidR="0078512D" w:rsidRPr="00537128" w:rsidRDefault="0078512D" w:rsidP="0078512D">
      <w:pPr>
        <w:tabs>
          <w:tab w:val="left" w:pos="709"/>
        </w:tabs>
        <w:spacing w:after="0" w:line="240" w:lineRule="auto"/>
        <w:jc w:val="both"/>
        <w:rPr>
          <w:rFonts w:ascii="Calibri" w:eastAsia="Times New Roman" w:hAnsi="Calibri" w:cs="Arial"/>
          <w:i/>
          <w:spacing w:val="-3"/>
          <w:lang w:val="en-US"/>
        </w:rPr>
      </w:pPr>
      <w:r w:rsidRPr="00537128">
        <w:rPr>
          <w:rFonts w:ascii="Calibri" w:eastAsia="Times New Roman" w:hAnsi="Calibri" w:cs="Arial"/>
          <w:i/>
          <w:spacing w:val="-3"/>
          <w:lang w:val="en-US"/>
        </w:rPr>
        <w:t>(i) Techniques of valuation and significant input data that are not visible</w:t>
      </w:r>
    </w:p>
    <w:p w14:paraId="5147B540" w14:textId="77777777" w:rsidR="0078512D" w:rsidRPr="00537128" w:rsidRDefault="0078512D" w:rsidP="0078512D">
      <w:pPr>
        <w:tabs>
          <w:tab w:val="left" w:pos="709"/>
        </w:tabs>
        <w:spacing w:after="0" w:line="240" w:lineRule="auto"/>
        <w:jc w:val="both"/>
        <w:rPr>
          <w:rFonts w:ascii="Calibri" w:eastAsia="Times New Roman" w:hAnsi="Calibri" w:cs="Arial"/>
          <w:i/>
          <w:spacing w:val="-3"/>
          <w:lang w:val="en-US"/>
        </w:rPr>
      </w:pPr>
    </w:p>
    <w:p w14:paraId="47012F17" w14:textId="77777777" w:rsidR="0078512D" w:rsidRPr="00537128" w:rsidRDefault="0078512D" w:rsidP="0078512D">
      <w:pPr>
        <w:tabs>
          <w:tab w:val="left" w:pos="709"/>
        </w:tabs>
        <w:spacing w:after="0" w:line="240" w:lineRule="auto"/>
        <w:jc w:val="both"/>
        <w:rPr>
          <w:rFonts w:ascii="Calibri" w:eastAsia="Times New Roman" w:hAnsi="Calibri" w:cs="Arial"/>
          <w:spacing w:val="-3"/>
          <w:lang w:val="en-US"/>
        </w:rPr>
      </w:pPr>
      <w:r w:rsidRPr="00537128">
        <w:rPr>
          <w:rFonts w:ascii="Calibri" w:eastAsia="Times New Roman" w:hAnsi="Calibri" w:cs="Arial"/>
          <w:spacing w:val="-3"/>
          <w:lang w:val="en-US"/>
        </w:rPr>
        <w:t xml:space="preserve">For the assessment of fair value of illiquid corporate bonds in the HBOR portfolio, the method of discounted cash flow of bonds is used. The fair value of bonds is the present value of all future cash flows of bonds calculated by applying the discount rate defined as yield on risk-free investments increased by the premium of specific credit risk for the respective bond and the premium for bond liquidity risk. </w:t>
      </w:r>
    </w:p>
    <w:p w14:paraId="13787334" w14:textId="77777777" w:rsidR="0078512D" w:rsidRPr="00537128" w:rsidRDefault="0078512D" w:rsidP="0078512D">
      <w:pPr>
        <w:tabs>
          <w:tab w:val="left" w:pos="709"/>
        </w:tabs>
        <w:spacing w:after="0" w:line="240" w:lineRule="auto"/>
        <w:jc w:val="both"/>
        <w:rPr>
          <w:rFonts w:ascii="Calibri" w:eastAsia="Times New Roman" w:hAnsi="Calibri" w:cs="Arial"/>
          <w:spacing w:val="-3"/>
          <w:lang w:val="en-US"/>
        </w:rPr>
      </w:pPr>
    </w:p>
    <w:p w14:paraId="00B3CDB8" w14:textId="1F13EE05" w:rsidR="0078512D" w:rsidRPr="00537128" w:rsidRDefault="0078512D" w:rsidP="0078512D">
      <w:pPr>
        <w:spacing w:after="0" w:line="240" w:lineRule="auto"/>
        <w:jc w:val="both"/>
        <w:rPr>
          <w:rFonts w:ascii="Calibri" w:eastAsia="Times New Roman" w:hAnsi="Calibri" w:cs="Arial"/>
          <w:spacing w:val="-3"/>
          <w:lang w:val="en-US"/>
        </w:rPr>
      </w:pPr>
      <w:r w:rsidRPr="00537128">
        <w:rPr>
          <w:rFonts w:ascii="Calibri" w:eastAsia="Times New Roman" w:hAnsi="Calibri" w:cs="Arial"/>
          <w:spacing w:val="-3"/>
          <w:lang w:val="en-US"/>
        </w:rPr>
        <w:t>The discount rate on risk-free investments is calculated as linearly interpolated/extrapolated yield of Croatian bonds of the same duration and of the same foreign currency as the bonds valued. The source of information on the yields on bonds of the Republic of Croatia is the Bloomberg information system.</w:t>
      </w:r>
    </w:p>
    <w:p w14:paraId="0CE7C40B" w14:textId="77777777" w:rsidR="0078512D" w:rsidRPr="00537128" w:rsidRDefault="0078512D" w:rsidP="0078512D">
      <w:pPr>
        <w:spacing w:after="0" w:line="240" w:lineRule="auto"/>
        <w:jc w:val="both"/>
        <w:rPr>
          <w:rFonts w:ascii="Calibri" w:eastAsia="Calibri" w:hAnsi="Calibri" w:cs="Arial"/>
          <w:bCs/>
          <w:lang w:val="en-US"/>
        </w:rPr>
        <w:sectPr w:rsidR="0078512D" w:rsidRPr="00537128" w:rsidSect="00712478">
          <w:pgSz w:w="11906" w:h="16838"/>
          <w:pgMar w:top="1418" w:right="1134" w:bottom="1418" w:left="1418" w:header="709" w:footer="709" w:gutter="0"/>
          <w:cols w:space="708"/>
          <w:docGrid w:linePitch="360"/>
        </w:sectPr>
      </w:pPr>
    </w:p>
    <w:p w14:paraId="3258A1D0" w14:textId="77777777" w:rsidR="0078512D" w:rsidRPr="00537128" w:rsidRDefault="0078512D" w:rsidP="0078512D">
      <w:pPr>
        <w:spacing w:after="0" w:line="240" w:lineRule="auto"/>
        <w:jc w:val="both"/>
        <w:rPr>
          <w:rFonts w:eastAsia="Times New Roman" w:cstheme="minorHAnsi"/>
          <w:bCs/>
          <w:iCs/>
          <w:color w:val="000000" w:themeColor="text1"/>
          <w:lang w:val="en-US"/>
        </w:rPr>
      </w:pPr>
    </w:p>
    <w:p w14:paraId="0D448287" w14:textId="77777777" w:rsidR="0078512D" w:rsidRPr="00537128" w:rsidRDefault="0078512D">
      <w:pPr>
        <w:pStyle w:val="ListParagraph"/>
        <w:numPr>
          <w:ilvl w:val="0"/>
          <w:numId w:val="68"/>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 xml:space="preserve">Fair value of financial assets and financial liabilities </w:t>
      </w:r>
      <w:r w:rsidRPr="00537128">
        <w:rPr>
          <w:rFonts w:ascii="Calibri" w:eastAsia="Calibri" w:hAnsi="Calibri" w:cs="Arial"/>
          <w:b/>
          <w:bCs/>
          <w:spacing w:val="-3"/>
          <w:lang w:val="en-US"/>
        </w:rPr>
        <w:t>(continued)</w:t>
      </w:r>
    </w:p>
    <w:p w14:paraId="185026DF" w14:textId="77777777" w:rsidR="0078512D" w:rsidRPr="00537128" w:rsidRDefault="0078512D" w:rsidP="0078512D">
      <w:pPr>
        <w:spacing w:after="0" w:line="240" w:lineRule="auto"/>
        <w:jc w:val="both"/>
        <w:rPr>
          <w:rFonts w:ascii="Calibri" w:eastAsia="Calibri" w:hAnsi="Calibri" w:cs="Arial"/>
          <w:bCs/>
          <w:lang w:val="en-US"/>
        </w:rPr>
      </w:pPr>
    </w:p>
    <w:p w14:paraId="55F00AD5" w14:textId="011C7302" w:rsidR="0078512D" w:rsidRPr="00537128" w:rsidRDefault="003E09B3" w:rsidP="0078512D">
      <w:pPr>
        <w:spacing w:after="0" w:line="240" w:lineRule="auto"/>
        <w:jc w:val="both"/>
        <w:rPr>
          <w:rFonts w:ascii="Calibri" w:eastAsia="Calibri" w:hAnsi="Calibri" w:cs="Arial"/>
          <w:b/>
          <w:bCs/>
          <w:spacing w:val="-3"/>
          <w:lang w:val="en-US"/>
        </w:rPr>
      </w:pPr>
      <w:r w:rsidRPr="00537128">
        <w:rPr>
          <w:rFonts w:ascii="Calibri" w:eastAsia="Calibri" w:hAnsi="Calibri" w:cs="Arial"/>
          <w:b/>
          <w:bCs/>
          <w:spacing w:val="-3"/>
          <w:lang w:val="en-US"/>
        </w:rPr>
        <w:t>2</w:t>
      </w:r>
      <w:r>
        <w:rPr>
          <w:rFonts w:ascii="Calibri" w:eastAsia="Calibri" w:hAnsi="Calibri" w:cs="Arial"/>
          <w:b/>
          <w:bCs/>
          <w:spacing w:val="-3"/>
          <w:lang w:val="en-US"/>
        </w:rPr>
        <w:t>4</w:t>
      </w:r>
      <w:r w:rsidR="0078512D" w:rsidRPr="00537128">
        <w:rPr>
          <w:rFonts w:ascii="Calibri" w:eastAsia="Calibri" w:hAnsi="Calibri" w:cs="Arial"/>
          <w:b/>
          <w:bCs/>
          <w:spacing w:val="-3"/>
          <w:lang w:val="en-US"/>
        </w:rPr>
        <w:t xml:space="preserve">.1. </w:t>
      </w:r>
      <w:r w:rsidR="0078512D" w:rsidRPr="00537128">
        <w:rPr>
          <w:rFonts w:ascii="Calibri" w:eastAsia="Calibri" w:hAnsi="Calibri" w:cs="Arial"/>
          <w:b/>
          <w:bCs/>
          <w:spacing w:val="-3"/>
          <w:lang w:val="en-US"/>
        </w:rPr>
        <w:tab/>
        <w:t>Fair value of financial assets and financial liabilities initially recognized and measured at fair value (continued)</w:t>
      </w:r>
    </w:p>
    <w:p w14:paraId="74DC74B4"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p w14:paraId="487609BD" w14:textId="46CBD791"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r w:rsidRPr="00537128">
        <w:rPr>
          <w:rFonts w:ascii="Calibri" w:eastAsia="Times New Roman" w:hAnsi="Calibri" w:cs="Arial"/>
          <w:b/>
          <w:spacing w:val="-3"/>
          <w:lang w:val="en-US"/>
        </w:rPr>
        <w:t>2</w:t>
      </w:r>
      <w:r w:rsidR="00DD4485">
        <w:rPr>
          <w:rFonts w:ascii="Calibri" w:eastAsia="Times New Roman" w:hAnsi="Calibri" w:cs="Arial"/>
          <w:b/>
          <w:spacing w:val="-3"/>
          <w:lang w:val="en-US"/>
        </w:rPr>
        <w:t>4</w:t>
      </w:r>
      <w:r w:rsidRPr="00537128">
        <w:rPr>
          <w:rFonts w:ascii="Calibri" w:eastAsia="Times New Roman" w:hAnsi="Calibri" w:cs="Arial"/>
          <w:b/>
          <w:spacing w:val="-3"/>
          <w:lang w:val="en-US"/>
        </w:rPr>
        <w:t>.1.1.</w:t>
      </w:r>
      <w:r w:rsidRPr="00537128">
        <w:rPr>
          <w:rFonts w:ascii="Times New Roman" w:eastAsia="Times New Roman" w:hAnsi="Times New Roman" w:cs="Times New Roman"/>
          <w:sz w:val="24"/>
          <w:szCs w:val="24"/>
          <w:lang w:val="en-US"/>
        </w:rPr>
        <w:t xml:space="preserve"> </w:t>
      </w:r>
      <w:r w:rsidRPr="00537128">
        <w:rPr>
          <w:rFonts w:ascii="Calibri" w:eastAsia="Times New Roman" w:hAnsi="Calibri" w:cs="Arial"/>
          <w:b/>
          <w:spacing w:val="-3"/>
          <w:lang w:val="en-US"/>
        </w:rPr>
        <w:t>Level 3 - fair value (continued)</w:t>
      </w:r>
    </w:p>
    <w:p w14:paraId="7360644F"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p w14:paraId="53F523EF" w14:textId="77777777" w:rsidR="0078512D" w:rsidRPr="00537128" w:rsidRDefault="0078512D" w:rsidP="0078512D">
      <w:pPr>
        <w:tabs>
          <w:tab w:val="left" w:pos="284"/>
        </w:tabs>
        <w:spacing w:after="0" w:line="240" w:lineRule="auto"/>
        <w:jc w:val="both"/>
        <w:rPr>
          <w:rFonts w:ascii="Calibri" w:eastAsia="Times New Roman" w:hAnsi="Calibri" w:cs="Arial"/>
          <w:b/>
          <w:i/>
          <w:spacing w:val="-3"/>
          <w:lang w:val="en-US"/>
        </w:rPr>
      </w:pPr>
      <w:r w:rsidRPr="00537128">
        <w:rPr>
          <w:rFonts w:ascii="Calibri" w:eastAsia="Times New Roman" w:hAnsi="Calibri" w:cs="Arial"/>
          <w:b/>
          <w:i/>
          <w:spacing w:val="-3"/>
          <w:lang w:val="en-US"/>
        </w:rPr>
        <w:t>b)</w:t>
      </w:r>
      <w:r w:rsidRPr="00537128">
        <w:rPr>
          <w:rFonts w:ascii="Calibri" w:eastAsia="Times New Roman" w:hAnsi="Calibri" w:cs="Arial"/>
          <w:b/>
          <w:i/>
          <w:spacing w:val="-3"/>
          <w:lang w:val="en-US"/>
        </w:rPr>
        <w:tab/>
      </w:r>
      <w:proofErr w:type="gramStart"/>
      <w:r w:rsidRPr="00537128">
        <w:rPr>
          <w:rFonts w:ascii="Calibri" w:eastAsia="Times New Roman" w:hAnsi="Calibri" w:cs="Arial"/>
          <w:b/>
          <w:i/>
          <w:spacing w:val="-3"/>
          <w:lang w:val="en-US"/>
        </w:rPr>
        <w:t>Corporate</w:t>
      </w:r>
      <w:proofErr w:type="gramEnd"/>
      <w:r w:rsidRPr="00537128">
        <w:rPr>
          <w:rFonts w:ascii="Calibri" w:eastAsia="Times New Roman" w:hAnsi="Calibri" w:cs="Arial"/>
          <w:b/>
          <w:i/>
          <w:spacing w:val="-3"/>
          <w:lang w:val="en-US"/>
        </w:rPr>
        <w:t xml:space="preserve"> bonds that are allocated to Stage 3 (continued)</w:t>
      </w:r>
    </w:p>
    <w:p w14:paraId="7E705DC3" w14:textId="77777777" w:rsidR="0078512D" w:rsidRPr="00537128" w:rsidRDefault="0078512D" w:rsidP="0078512D">
      <w:pPr>
        <w:tabs>
          <w:tab w:val="left" w:pos="284"/>
        </w:tabs>
        <w:spacing w:after="0" w:line="240" w:lineRule="auto"/>
        <w:jc w:val="both"/>
        <w:rPr>
          <w:rFonts w:ascii="Calibri" w:eastAsia="Times New Roman" w:hAnsi="Calibri" w:cs="Arial"/>
          <w:b/>
          <w:spacing w:val="-3"/>
          <w:lang w:val="en-US"/>
        </w:rPr>
      </w:pPr>
    </w:p>
    <w:p w14:paraId="37CA0F28" w14:textId="77777777" w:rsidR="0078512D" w:rsidRPr="00537128" w:rsidRDefault="0078512D" w:rsidP="0078512D">
      <w:pPr>
        <w:tabs>
          <w:tab w:val="left" w:pos="709"/>
        </w:tabs>
        <w:spacing w:after="0" w:line="240" w:lineRule="auto"/>
        <w:jc w:val="both"/>
        <w:rPr>
          <w:rFonts w:ascii="Calibri" w:eastAsia="Times New Roman" w:hAnsi="Calibri" w:cs="Arial"/>
          <w:i/>
          <w:spacing w:val="-3"/>
          <w:lang w:val="en-US"/>
        </w:rPr>
      </w:pPr>
      <w:r w:rsidRPr="00537128">
        <w:rPr>
          <w:rFonts w:ascii="Calibri" w:eastAsia="Times New Roman" w:hAnsi="Calibri" w:cs="Arial"/>
          <w:i/>
          <w:spacing w:val="-3"/>
          <w:lang w:val="en-US"/>
        </w:rPr>
        <w:t>(i) Techniques of valuation and significant input data that are not visible (continued)</w:t>
      </w:r>
    </w:p>
    <w:p w14:paraId="5DB43B2F" w14:textId="77777777" w:rsidR="0078512D" w:rsidRPr="00537128" w:rsidRDefault="0078512D" w:rsidP="0078512D">
      <w:pPr>
        <w:tabs>
          <w:tab w:val="left" w:pos="709"/>
        </w:tabs>
        <w:spacing w:after="0" w:line="240" w:lineRule="auto"/>
        <w:jc w:val="both"/>
        <w:rPr>
          <w:rFonts w:ascii="Calibri" w:eastAsia="Times New Roman" w:hAnsi="Calibri" w:cs="Arial"/>
          <w:i/>
          <w:spacing w:val="-3"/>
          <w:lang w:val="en-US"/>
        </w:rPr>
      </w:pPr>
    </w:p>
    <w:p w14:paraId="664F691E" w14:textId="77777777" w:rsidR="0078512D" w:rsidRPr="00537128" w:rsidRDefault="0078512D" w:rsidP="0078512D">
      <w:pPr>
        <w:tabs>
          <w:tab w:val="left" w:pos="709"/>
        </w:tabs>
        <w:spacing w:after="0" w:line="240" w:lineRule="auto"/>
        <w:jc w:val="both"/>
        <w:rPr>
          <w:rFonts w:ascii="Calibri" w:eastAsia="Times New Roman" w:hAnsi="Calibri" w:cs="Arial"/>
          <w:spacing w:val="-3"/>
          <w:lang w:val="en-US"/>
        </w:rPr>
      </w:pPr>
      <w:r w:rsidRPr="00537128">
        <w:rPr>
          <w:rFonts w:ascii="Calibri" w:eastAsia="Times New Roman" w:hAnsi="Calibri" w:cs="Arial"/>
          <w:spacing w:val="-3"/>
          <w:lang w:val="en-US"/>
        </w:rPr>
        <w:t xml:space="preserve">The premium of the specific risk amount for the respective bond depends on HBOR’s internal credit rating of the bond issuer, </w:t>
      </w:r>
      <w:proofErr w:type="gramStart"/>
      <w:r w:rsidRPr="00537128">
        <w:rPr>
          <w:rFonts w:ascii="Calibri" w:eastAsia="Times New Roman" w:hAnsi="Calibri" w:cs="Arial"/>
          <w:spacing w:val="-3"/>
          <w:lang w:val="en-US"/>
        </w:rPr>
        <w:t>i.e.</w:t>
      </w:r>
      <w:proofErr w:type="gramEnd"/>
      <w:r w:rsidRPr="00537128">
        <w:rPr>
          <w:rFonts w:ascii="Calibri" w:eastAsia="Times New Roman" w:hAnsi="Calibri" w:cs="Arial"/>
          <w:spacing w:val="-3"/>
          <w:lang w:val="en-US"/>
        </w:rPr>
        <w:t xml:space="preserve"> if the issuer is a member of a business group, the risk premium depends on internal credit rating of the parent company.</w:t>
      </w:r>
    </w:p>
    <w:p w14:paraId="0F808515" w14:textId="77777777" w:rsidR="0078512D" w:rsidRPr="00537128" w:rsidRDefault="0078512D" w:rsidP="0078512D">
      <w:pPr>
        <w:tabs>
          <w:tab w:val="left" w:pos="709"/>
        </w:tabs>
        <w:spacing w:after="0" w:line="240" w:lineRule="auto"/>
        <w:jc w:val="both"/>
        <w:rPr>
          <w:rFonts w:ascii="Calibri" w:eastAsia="Times New Roman" w:hAnsi="Calibri" w:cs="Arial"/>
          <w:spacing w:val="-3"/>
          <w:lang w:val="en-US"/>
        </w:rPr>
      </w:pPr>
    </w:p>
    <w:p w14:paraId="507E40A8" w14:textId="5B7FC572" w:rsidR="0078512D" w:rsidRPr="00A1123E" w:rsidRDefault="001E4266" w:rsidP="0078512D">
      <w:pPr>
        <w:tabs>
          <w:tab w:val="left" w:pos="284"/>
        </w:tabs>
        <w:spacing w:after="0" w:line="240" w:lineRule="auto"/>
        <w:jc w:val="both"/>
        <w:rPr>
          <w:rFonts w:ascii="Calibri" w:eastAsia="Times New Roman" w:hAnsi="Calibri" w:cs="Arial"/>
          <w:i/>
          <w:spacing w:val="-3"/>
          <w:lang w:val="en-US"/>
        </w:rPr>
      </w:pPr>
      <w:r w:rsidRPr="00A1123E">
        <w:rPr>
          <w:rFonts w:ascii="Calibri" w:eastAsia="Times New Roman" w:hAnsi="Calibri" w:cs="Arial"/>
          <w:i/>
          <w:spacing w:val="-3"/>
          <w:lang w:val="en-US"/>
        </w:rPr>
        <w:t>(</w:t>
      </w:r>
      <w:r w:rsidR="0078512D" w:rsidRPr="00A1123E">
        <w:rPr>
          <w:rFonts w:ascii="Calibri" w:eastAsia="Times New Roman" w:hAnsi="Calibri" w:cs="Arial"/>
          <w:i/>
          <w:spacing w:val="-3"/>
          <w:lang w:val="en-US"/>
        </w:rPr>
        <w:t xml:space="preserve">ii) </w:t>
      </w:r>
      <w:r w:rsidR="0078512D" w:rsidRPr="00A1123E">
        <w:rPr>
          <w:rFonts w:ascii="Calibri" w:eastAsia="Times New Roman" w:hAnsi="Calibri" w:cs="Arial"/>
          <w:i/>
          <w:spacing w:val="-3"/>
          <w:lang w:val="en-US"/>
        </w:rPr>
        <w:tab/>
        <w:t xml:space="preserve">Sensitivity analysis of corporate bond with the stated potential effect on profit/loss as </w:t>
      </w:r>
      <w:proofErr w:type="gramStart"/>
      <w:r w:rsidR="0078512D" w:rsidRPr="00A1123E">
        <w:rPr>
          <w:rFonts w:ascii="Calibri" w:eastAsia="Times New Roman" w:hAnsi="Calibri" w:cs="Arial"/>
          <w:i/>
          <w:spacing w:val="-3"/>
          <w:lang w:val="en-US"/>
        </w:rPr>
        <w:t>at</w:t>
      </w:r>
      <w:proofErr w:type="gramEnd"/>
      <w:r w:rsidR="0078512D" w:rsidRPr="00A1123E">
        <w:rPr>
          <w:rFonts w:ascii="Calibri" w:eastAsia="Times New Roman" w:hAnsi="Calibri" w:cs="Arial"/>
          <w:i/>
          <w:spacing w:val="-3"/>
          <w:lang w:val="en-US"/>
        </w:rPr>
        <w:t xml:space="preserve"> </w:t>
      </w:r>
      <w:r w:rsidR="00CD1658" w:rsidRPr="00A1123E">
        <w:rPr>
          <w:rFonts w:ascii="Calibri" w:eastAsia="Times New Roman" w:hAnsi="Calibri" w:cs="Arial"/>
          <w:i/>
          <w:spacing w:val="-3"/>
          <w:lang w:val="en-US"/>
        </w:rPr>
        <w:t>31 March 202</w:t>
      </w:r>
      <w:r w:rsidR="00702178">
        <w:rPr>
          <w:rFonts w:ascii="Calibri" w:eastAsia="Times New Roman" w:hAnsi="Calibri" w:cs="Arial"/>
          <w:i/>
          <w:spacing w:val="-3"/>
          <w:lang w:val="en-US"/>
        </w:rPr>
        <w:t>2</w:t>
      </w:r>
      <w:r w:rsidR="0078512D" w:rsidRPr="00A1123E">
        <w:rPr>
          <w:rFonts w:ascii="Calibri" w:eastAsia="Times New Roman" w:hAnsi="Calibri" w:cs="Arial"/>
          <w:i/>
          <w:spacing w:val="-3"/>
          <w:lang w:val="en-US"/>
        </w:rPr>
        <w:t>, under the assumption of a change in discount rate (yield) of 2% and 10%</w:t>
      </w:r>
    </w:p>
    <w:p w14:paraId="1683588E" w14:textId="77777777" w:rsidR="0078512D" w:rsidRPr="00A1123E" w:rsidRDefault="0078512D" w:rsidP="0078512D">
      <w:pPr>
        <w:tabs>
          <w:tab w:val="left" w:pos="709"/>
        </w:tabs>
        <w:spacing w:after="0" w:line="240" w:lineRule="auto"/>
        <w:jc w:val="both"/>
        <w:rPr>
          <w:rFonts w:ascii="Calibri" w:eastAsia="Times New Roman" w:hAnsi="Calibri" w:cs="Arial"/>
          <w:spacing w:val="-3"/>
          <w:lang w:val="en-US"/>
        </w:rPr>
      </w:pPr>
    </w:p>
    <w:p w14:paraId="47E90C2A" w14:textId="119F9C55" w:rsidR="0078512D" w:rsidRPr="00A1123E" w:rsidRDefault="0078512D" w:rsidP="0078512D">
      <w:pPr>
        <w:tabs>
          <w:tab w:val="left" w:pos="709"/>
        </w:tabs>
        <w:spacing w:after="0" w:line="240" w:lineRule="auto"/>
        <w:jc w:val="both"/>
        <w:rPr>
          <w:rFonts w:ascii="Calibri" w:eastAsia="Times New Roman" w:hAnsi="Calibri" w:cs="Arial"/>
          <w:spacing w:val="-3"/>
          <w:lang w:val="en-US"/>
        </w:rPr>
      </w:pPr>
      <w:r w:rsidRPr="00A1123E">
        <w:rPr>
          <w:rFonts w:ascii="Calibri" w:eastAsia="Times New Roman" w:hAnsi="Calibri" w:cs="Arial"/>
          <w:spacing w:val="-3"/>
          <w:lang w:val="en-US"/>
        </w:rPr>
        <w:t xml:space="preserve">Under the assumption that the market interest rates change by 2% compared with those in effect as </w:t>
      </w:r>
      <w:proofErr w:type="gramStart"/>
      <w:r w:rsidRPr="00A1123E">
        <w:rPr>
          <w:rFonts w:ascii="Calibri" w:eastAsia="Times New Roman" w:hAnsi="Calibri" w:cs="Arial"/>
          <w:spacing w:val="-3"/>
          <w:lang w:val="en-US"/>
        </w:rPr>
        <w:t>at</w:t>
      </w:r>
      <w:proofErr w:type="gramEnd"/>
      <w:r w:rsidRPr="00A1123E">
        <w:rPr>
          <w:rFonts w:ascii="Calibri" w:eastAsia="Times New Roman" w:hAnsi="Calibri" w:cs="Arial"/>
          <w:spacing w:val="-3"/>
          <w:lang w:val="en-US"/>
        </w:rPr>
        <w:t xml:space="preserve"> </w:t>
      </w:r>
      <w:r w:rsidR="00CD1658" w:rsidRPr="00A1123E">
        <w:rPr>
          <w:rFonts w:ascii="Calibri" w:eastAsia="Times New Roman" w:hAnsi="Calibri" w:cs="Arial"/>
          <w:spacing w:val="-3"/>
          <w:lang w:val="en-US"/>
        </w:rPr>
        <w:t>3</w:t>
      </w:r>
      <w:r w:rsidR="00CD1658">
        <w:rPr>
          <w:rFonts w:ascii="Calibri" w:eastAsia="Times New Roman" w:hAnsi="Calibri" w:cs="Arial"/>
          <w:spacing w:val="-3"/>
          <w:lang w:val="en-US"/>
        </w:rPr>
        <w:t>1</w:t>
      </w:r>
      <w:r w:rsidR="00CD1658" w:rsidRPr="00A1123E">
        <w:rPr>
          <w:rFonts w:ascii="Calibri" w:eastAsia="Times New Roman" w:hAnsi="Calibri" w:cs="Arial"/>
          <w:spacing w:val="-3"/>
          <w:lang w:val="en-US"/>
        </w:rPr>
        <w:t xml:space="preserve"> March 202</w:t>
      </w:r>
      <w:r w:rsidR="00702178">
        <w:rPr>
          <w:rFonts w:ascii="Calibri" w:eastAsia="Times New Roman" w:hAnsi="Calibri" w:cs="Arial"/>
          <w:spacing w:val="-3"/>
          <w:lang w:val="en-US"/>
        </w:rPr>
        <w:t>2</w:t>
      </w:r>
      <w:r w:rsidRPr="00A1123E">
        <w:rPr>
          <w:rFonts w:ascii="Calibri" w:eastAsia="Times New Roman" w:hAnsi="Calibri" w:cs="Arial"/>
          <w:spacing w:val="-3"/>
          <w:lang w:val="en-US"/>
        </w:rPr>
        <w:t>, the impacts would be as follows:</w:t>
      </w:r>
    </w:p>
    <w:p w14:paraId="52847329" w14:textId="23ECC71B" w:rsidR="0078512D" w:rsidRPr="00A1123E" w:rsidRDefault="0078512D" w:rsidP="0078512D">
      <w:pPr>
        <w:tabs>
          <w:tab w:val="left" w:pos="567"/>
          <w:tab w:val="left" w:pos="709"/>
        </w:tabs>
        <w:spacing w:after="0" w:line="240" w:lineRule="auto"/>
        <w:ind w:left="993" w:hanging="426"/>
        <w:jc w:val="both"/>
        <w:rPr>
          <w:rFonts w:ascii="Calibri" w:eastAsia="Times New Roman" w:hAnsi="Calibri" w:cs="Arial"/>
          <w:spacing w:val="-3"/>
          <w:lang w:val="en-US"/>
        </w:rPr>
      </w:pPr>
      <w:r w:rsidRPr="00A1123E">
        <w:rPr>
          <w:rFonts w:ascii="Calibri" w:eastAsia="Times New Roman" w:hAnsi="Calibri" w:cs="Arial"/>
          <w:spacing w:val="-3"/>
          <w:lang w:val="en-US"/>
        </w:rPr>
        <w:t>a)</w:t>
      </w:r>
      <w:r w:rsidRPr="00A1123E">
        <w:rPr>
          <w:rFonts w:ascii="Calibri" w:eastAsia="Times New Roman" w:hAnsi="Calibri" w:cs="Arial"/>
          <w:spacing w:val="-3"/>
          <w:lang w:val="en-US"/>
        </w:rPr>
        <w:tab/>
        <w:t xml:space="preserve">In the case of a decrease in market yield on no-risk investment (linearly interpolated/extrapolated yield on bonds of the Republic of Croatia of the same duration and the same currency as the respective bond) by 2%, the discount rate would </w:t>
      </w:r>
      <w:r w:rsidRPr="00E96A95">
        <w:rPr>
          <w:rFonts w:ascii="Calibri" w:eastAsia="Times New Roman" w:hAnsi="Calibri" w:cs="Arial"/>
          <w:spacing w:val="-3"/>
          <w:lang w:val="en-US"/>
        </w:rPr>
        <w:t xml:space="preserve">equal </w:t>
      </w:r>
      <w:r w:rsidR="00FE32E5" w:rsidRPr="00E96A95">
        <w:rPr>
          <w:rFonts w:ascii="Calibri" w:eastAsia="Times New Roman" w:hAnsi="Calibri" w:cs="Arial"/>
          <w:spacing w:val="-3"/>
          <w:lang w:val="en-US"/>
        </w:rPr>
        <w:t>1</w:t>
      </w:r>
      <w:r w:rsidR="00E96A95" w:rsidRPr="00E96A95">
        <w:rPr>
          <w:rFonts w:ascii="Calibri" w:eastAsia="Times New Roman" w:hAnsi="Calibri" w:cs="Arial"/>
          <w:spacing w:val="-3"/>
          <w:lang w:val="en-US"/>
        </w:rPr>
        <w:t>3</w:t>
      </w:r>
      <w:r w:rsidR="001E4266" w:rsidRPr="00E96A95">
        <w:rPr>
          <w:rFonts w:ascii="Calibri" w:eastAsia="Times New Roman" w:hAnsi="Calibri" w:cs="Arial"/>
          <w:spacing w:val="-3"/>
          <w:lang w:val="en-US"/>
        </w:rPr>
        <w:t>.</w:t>
      </w:r>
      <w:r w:rsidR="00E96A95" w:rsidRPr="00E96A95">
        <w:rPr>
          <w:rFonts w:ascii="Calibri" w:eastAsia="Times New Roman" w:hAnsi="Calibri" w:cs="Arial"/>
          <w:spacing w:val="-3"/>
          <w:lang w:val="en-US"/>
        </w:rPr>
        <w:t>77</w:t>
      </w:r>
      <w:r w:rsidRPr="00E96A95">
        <w:rPr>
          <w:rFonts w:ascii="Calibri" w:eastAsia="Times New Roman" w:hAnsi="Calibri" w:cs="Arial"/>
          <w:spacing w:val="-3"/>
          <w:lang w:val="en-US"/>
        </w:rPr>
        <w:t xml:space="preserve">%, the bond price would be </w:t>
      </w:r>
      <w:r w:rsidR="00CD1658" w:rsidRPr="00E96A95">
        <w:rPr>
          <w:rFonts w:ascii="Calibri" w:eastAsia="Times New Roman" w:hAnsi="Calibri" w:cs="Arial"/>
          <w:spacing w:val="-3"/>
          <w:lang w:val="en-US"/>
        </w:rPr>
        <w:t>3</w:t>
      </w:r>
      <w:r w:rsidR="00E96A95" w:rsidRPr="00E96A95">
        <w:rPr>
          <w:rFonts w:ascii="Calibri" w:eastAsia="Times New Roman" w:hAnsi="Calibri" w:cs="Arial"/>
          <w:spacing w:val="-3"/>
          <w:lang w:val="en-US"/>
        </w:rPr>
        <w:t>3</w:t>
      </w:r>
      <w:r w:rsidR="001E4266" w:rsidRPr="00E96A95">
        <w:rPr>
          <w:rFonts w:ascii="Calibri" w:eastAsia="Times New Roman" w:hAnsi="Calibri" w:cs="Arial"/>
          <w:spacing w:val="-3"/>
          <w:lang w:val="en-US"/>
        </w:rPr>
        <w:t>.</w:t>
      </w:r>
      <w:r w:rsidR="00E96A95" w:rsidRPr="00E96A95">
        <w:rPr>
          <w:rFonts w:ascii="Calibri" w:eastAsia="Times New Roman" w:hAnsi="Calibri" w:cs="Arial"/>
          <w:spacing w:val="-3"/>
          <w:lang w:val="en-US"/>
        </w:rPr>
        <w:t>55</w:t>
      </w:r>
      <w:r w:rsidRPr="00A1123E">
        <w:rPr>
          <w:rFonts w:ascii="Calibri" w:eastAsia="Times New Roman" w:hAnsi="Calibri" w:cs="Arial"/>
          <w:spacing w:val="-3"/>
          <w:lang w:val="en-US"/>
        </w:rPr>
        <w:t xml:space="preserve">%, which would result in an increase in HBOR’s generated profits of HRK </w:t>
      </w:r>
      <w:r w:rsidR="00E96A95">
        <w:rPr>
          <w:rFonts w:ascii="Calibri" w:eastAsia="Times New Roman" w:hAnsi="Calibri" w:cs="Arial"/>
          <w:spacing w:val="-3"/>
          <w:lang w:val="en-US"/>
        </w:rPr>
        <w:t>10</w:t>
      </w:r>
      <w:r w:rsidR="00CD1658" w:rsidRPr="00A1123E">
        <w:rPr>
          <w:rFonts w:ascii="Calibri" w:eastAsia="Times New Roman" w:hAnsi="Calibri" w:cs="Arial"/>
          <w:spacing w:val="-3"/>
          <w:lang w:val="en-US"/>
        </w:rPr>
        <w:t xml:space="preserve"> </w:t>
      </w:r>
      <w:r w:rsidRPr="00A1123E">
        <w:rPr>
          <w:rFonts w:ascii="Calibri" w:eastAsia="Times New Roman" w:hAnsi="Calibri" w:cs="Arial"/>
          <w:spacing w:val="-3"/>
          <w:lang w:val="en-US"/>
        </w:rPr>
        <w:t>thousand.</w:t>
      </w:r>
    </w:p>
    <w:p w14:paraId="3E42C5CF" w14:textId="0DF21393" w:rsidR="0078512D" w:rsidRPr="00537128" w:rsidRDefault="0078512D" w:rsidP="0078512D">
      <w:pPr>
        <w:tabs>
          <w:tab w:val="left" w:pos="567"/>
          <w:tab w:val="left" w:pos="709"/>
        </w:tabs>
        <w:spacing w:after="0" w:line="240" w:lineRule="auto"/>
        <w:ind w:left="993" w:hanging="426"/>
        <w:jc w:val="both"/>
        <w:rPr>
          <w:rFonts w:ascii="Calibri" w:eastAsia="Times New Roman" w:hAnsi="Calibri" w:cs="Arial"/>
          <w:spacing w:val="-3"/>
          <w:lang w:val="en-US"/>
        </w:rPr>
      </w:pPr>
      <w:r w:rsidRPr="00A1123E">
        <w:rPr>
          <w:rFonts w:ascii="Calibri" w:eastAsia="Times New Roman" w:hAnsi="Calibri" w:cs="Arial"/>
          <w:spacing w:val="-3"/>
          <w:lang w:val="en-US"/>
        </w:rPr>
        <w:t>b)</w:t>
      </w:r>
      <w:r w:rsidRPr="00A1123E">
        <w:rPr>
          <w:rFonts w:ascii="Calibri" w:eastAsia="Times New Roman" w:hAnsi="Calibri" w:cs="Arial"/>
          <w:spacing w:val="-3"/>
          <w:lang w:val="en-US"/>
        </w:rPr>
        <w:tab/>
        <w:t>In</w:t>
      </w:r>
      <w:r w:rsidR="00B949AD" w:rsidRPr="00A1123E">
        <w:rPr>
          <w:rFonts w:ascii="Calibri" w:eastAsia="Times New Roman" w:hAnsi="Calibri" w:cs="Arial"/>
          <w:spacing w:val="-3"/>
          <w:lang w:val="en-US"/>
        </w:rPr>
        <w:t xml:space="preserve"> </w:t>
      </w:r>
      <w:r w:rsidRPr="00A1123E">
        <w:rPr>
          <w:rFonts w:ascii="Calibri" w:eastAsia="Times New Roman" w:hAnsi="Calibri" w:cs="Arial"/>
          <w:spacing w:val="-3"/>
          <w:lang w:val="en-US"/>
        </w:rPr>
        <w:t xml:space="preserve">the case of an increase in market yield on no-risk investment (linearly interpolated/extrapolated yield on bonds of the Republic of Croatia of the same duration and the same currency as the corporate bond) by 2%, the discount rate would </w:t>
      </w:r>
      <w:r w:rsidRPr="00E96A95">
        <w:rPr>
          <w:rFonts w:ascii="Calibri" w:eastAsia="Times New Roman" w:hAnsi="Calibri" w:cs="Arial"/>
          <w:spacing w:val="-3"/>
          <w:lang w:val="en-US"/>
        </w:rPr>
        <w:t xml:space="preserve">equal </w:t>
      </w:r>
      <w:r w:rsidR="00FE32E5" w:rsidRPr="00E96A95">
        <w:rPr>
          <w:rFonts w:ascii="Calibri" w:eastAsia="Times New Roman" w:hAnsi="Calibri" w:cs="Arial"/>
          <w:spacing w:val="-3"/>
          <w:lang w:val="en-US"/>
        </w:rPr>
        <w:t>1</w:t>
      </w:r>
      <w:r w:rsidR="00E96A95" w:rsidRPr="00E96A95">
        <w:rPr>
          <w:rFonts w:ascii="Calibri" w:eastAsia="Times New Roman" w:hAnsi="Calibri" w:cs="Arial"/>
          <w:spacing w:val="-3"/>
          <w:lang w:val="en-US"/>
        </w:rPr>
        <w:t>7</w:t>
      </w:r>
      <w:r w:rsidR="00D55651" w:rsidRPr="00E96A95">
        <w:rPr>
          <w:rFonts w:ascii="Calibri" w:eastAsia="Times New Roman" w:hAnsi="Calibri" w:cs="Arial"/>
          <w:spacing w:val="-3"/>
          <w:lang w:val="en-US"/>
        </w:rPr>
        <w:t>.</w:t>
      </w:r>
      <w:r w:rsidR="00E96A95" w:rsidRPr="00E96A95">
        <w:rPr>
          <w:rFonts w:ascii="Calibri" w:eastAsia="Times New Roman" w:hAnsi="Calibri" w:cs="Arial"/>
          <w:spacing w:val="-3"/>
          <w:lang w:val="en-US"/>
        </w:rPr>
        <w:t>77</w:t>
      </w:r>
      <w:r w:rsidRPr="00E96A95">
        <w:rPr>
          <w:rFonts w:ascii="Calibri" w:eastAsia="Times New Roman" w:hAnsi="Calibri" w:cs="Arial"/>
          <w:spacing w:val="-3"/>
          <w:lang w:val="en-US"/>
        </w:rPr>
        <w:t xml:space="preserve">%, the bond price would be </w:t>
      </w:r>
      <w:r w:rsidR="00CD1658" w:rsidRPr="00E96A95">
        <w:rPr>
          <w:rFonts w:ascii="Calibri" w:eastAsia="Times New Roman" w:hAnsi="Calibri" w:cs="Arial"/>
          <w:spacing w:val="-3"/>
          <w:lang w:val="en-US"/>
        </w:rPr>
        <w:t>3</w:t>
      </w:r>
      <w:r w:rsidR="00E96A95" w:rsidRPr="00E96A95">
        <w:rPr>
          <w:rFonts w:ascii="Calibri" w:eastAsia="Times New Roman" w:hAnsi="Calibri" w:cs="Arial"/>
          <w:spacing w:val="-3"/>
          <w:lang w:val="en-US"/>
        </w:rPr>
        <w:t>2</w:t>
      </w:r>
      <w:r w:rsidRPr="00E96A95">
        <w:rPr>
          <w:rFonts w:ascii="Calibri" w:eastAsia="Times New Roman" w:hAnsi="Calibri" w:cs="Arial"/>
          <w:spacing w:val="-3"/>
          <w:lang w:val="en-US"/>
        </w:rPr>
        <w:t>.</w:t>
      </w:r>
      <w:r w:rsidR="00E96A95" w:rsidRPr="00E96A95">
        <w:rPr>
          <w:rFonts w:ascii="Calibri" w:eastAsia="Times New Roman" w:hAnsi="Calibri" w:cs="Arial"/>
          <w:spacing w:val="-3"/>
          <w:lang w:val="en-US"/>
        </w:rPr>
        <w:t>27</w:t>
      </w:r>
      <w:r w:rsidRPr="00E96A95">
        <w:rPr>
          <w:rFonts w:ascii="Calibri" w:eastAsia="Times New Roman" w:hAnsi="Calibri" w:cs="Arial"/>
          <w:spacing w:val="-3"/>
          <w:lang w:val="en-US"/>
        </w:rPr>
        <w:t>%, which would result in a decrease in HBOR’s generated p</w:t>
      </w:r>
      <w:r w:rsidRPr="00A1123E">
        <w:rPr>
          <w:rFonts w:ascii="Calibri" w:eastAsia="Times New Roman" w:hAnsi="Calibri" w:cs="Arial"/>
          <w:spacing w:val="-3"/>
          <w:lang w:val="en-US"/>
        </w:rPr>
        <w:t xml:space="preserve">rofits of HRK </w:t>
      </w:r>
      <w:r w:rsidR="00E96A95">
        <w:rPr>
          <w:rFonts w:ascii="Calibri" w:eastAsia="Times New Roman" w:hAnsi="Calibri" w:cs="Arial"/>
          <w:spacing w:val="-3"/>
          <w:lang w:val="en-US"/>
        </w:rPr>
        <w:t>10</w:t>
      </w:r>
      <w:r w:rsidR="00CD1658" w:rsidRPr="00A1123E">
        <w:rPr>
          <w:rFonts w:ascii="Calibri" w:eastAsia="Times New Roman" w:hAnsi="Calibri" w:cs="Arial"/>
          <w:spacing w:val="-3"/>
          <w:lang w:val="en-US"/>
        </w:rPr>
        <w:t xml:space="preserve"> </w:t>
      </w:r>
      <w:r w:rsidRPr="00A1123E">
        <w:rPr>
          <w:rFonts w:ascii="Calibri" w:eastAsia="Times New Roman" w:hAnsi="Calibri" w:cs="Arial"/>
          <w:spacing w:val="-3"/>
          <w:lang w:val="en-US"/>
        </w:rPr>
        <w:t>thousand.</w:t>
      </w:r>
    </w:p>
    <w:p w14:paraId="22AB6ED7" w14:textId="77777777" w:rsidR="0078512D" w:rsidRPr="00537128" w:rsidRDefault="0078512D" w:rsidP="0078512D">
      <w:pPr>
        <w:tabs>
          <w:tab w:val="left" w:pos="709"/>
        </w:tabs>
        <w:spacing w:after="0" w:line="240" w:lineRule="auto"/>
        <w:jc w:val="both"/>
        <w:rPr>
          <w:rFonts w:ascii="Calibri" w:eastAsia="Times New Roman" w:hAnsi="Calibri" w:cs="Arial"/>
          <w:spacing w:val="-3"/>
          <w:lang w:val="en-US"/>
        </w:rPr>
      </w:pPr>
    </w:p>
    <w:p w14:paraId="25C80360" w14:textId="4E46F4C2" w:rsidR="0078512D" w:rsidRPr="00A1123E" w:rsidRDefault="0078512D" w:rsidP="0078512D">
      <w:pPr>
        <w:tabs>
          <w:tab w:val="left" w:pos="709"/>
        </w:tabs>
        <w:spacing w:after="0" w:line="240" w:lineRule="auto"/>
        <w:jc w:val="both"/>
        <w:rPr>
          <w:rFonts w:ascii="Calibri" w:eastAsia="Times New Roman" w:hAnsi="Calibri" w:cs="Arial"/>
          <w:spacing w:val="-3"/>
          <w:lang w:val="en-US"/>
        </w:rPr>
      </w:pPr>
      <w:r w:rsidRPr="00A1123E">
        <w:rPr>
          <w:rFonts w:ascii="Calibri" w:eastAsia="Times New Roman" w:hAnsi="Calibri" w:cs="Arial"/>
          <w:spacing w:val="-3"/>
          <w:lang w:val="en-US"/>
        </w:rPr>
        <w:t xml:space="preserve">The change in interest rates defined in the “Decision on the Management of Interest Rate Risk in the Bank Book”, which is applied when calculating standard interest rate shock, is used as the basis for the change in the market interest rate of 2% compared with the market terms and conditions in effect as </w:t>
      </w:r>
      <w:proofErr w:type="gramStart"/>
      <w:r w:rsidRPr="00A1123E">
        <w:rPr>
          <w:rFonts w:ascii="Calibri" w:eastAsia="Times New Roman" w:hAnsi="Calibri" w:cs="Arial"/>
          <w:spacing w:val="-3"/>
          <w:lang w:val="en-US"/>
        </w:rPr>
        <w:t>at</w:t>
      </w:r>
      <w:proofErr w:type="gramEnd"/>
      <w:r w:rsidRPr="00A1123E">
        <w:rPr>
          <w:rFonts w:ascii="Calibri" w:eastAsia="Times New Roman" w:hAnsi="Calibri" w:cs="Arial"/>
          <w:spacing w:val="-3"/>
          <w:lang w:val="en-US"/>
        </w:rPr>
        <w:t xml:space="preserve"> </w:t>
      </w:r>
      <w:r w:rsidR="00CD1658" w:rsidRPr="00A1123E">
        <w:rPr>
          <w:rFonts w:ascii="Calibri" w:eastAsia="Times New Roman" w:hAnsi="Calibri" w:cs="Arial"/>
          <w:spacing w:val="-3"/>
          <w:lang w:val="en-US"/>
        </w:rPr>
        <w:t>31 March</w:t>
      </w:r>
      <w:r w:rsidR="00FE32E5" w:rsidRPr="00A1123E">
        <w:rPr>
          <w:rFonts w:ascii="Calibri" w:eastAsia="Times New Roman" w:hAnsi="Calibri" w:cs="Arial"/>
          <w:spacing w:val="-3"/>
          <w:lang w:val="en-US"/>
        </w:rPr>
        <w:t xml:space="preserve"> </w:t>
      </w:r>
      <w:r w:rsidR="00CD1658" w:rsidRPr="00A1123E">
        <w:rPr>
          <w:rFonts w:ascii="Calibri" w:eastAsia="Times New Roman" w:hAnsi="Calibri" w:cs="Arial"/>
          <w:spacing w:val="-3"/>
          <w:lang w:val="en-US"/>
        </w:rPr>
        <w:t>202</w:t>
      </w:r>
      <w:r w:rsidR="00702178">
        <w:rPr>
          <w:rFonts w:ascii="Calibri" w:eastAsia="Times New Roman" w:hAnsi="Calibri" w:cs="Arial"/>
          <w:spacing w:val="-3"/>
          <w:lang w:val="en-US"/>
        </w:rPr>
        <w:t>2</w:t>
      </w:r>
      <w:r w:rsidRPr="00A1123E">
        <w:rPr>
          <w:rFonts w:ascii="Calibri" w:eastAsia="Times New Roman" w:hAnsi="Calibri" w:cs="Arial"/>
          <w:spacing w:val="-3"/>
          <w:lang w:val="en-US"/>
        </w:rPr>
        <w:t xml:space="preserve">. “Standard interest rate shock is a parallel positive or negative change in interest rates on a reference yield curve of 200 basis points by applying the lower limit rate of 0%, except for the cases in which negative interest rate can be achieved.” </w:t>
      </w:r>
    </w:p>
    <w:p w14:paraId="0536487B" w14:textId="77777777" w:rsidR="0078512D" w:rsidRPr="00A1123E" w:rsidRDefault="0078512D" w:rsidP="0078512D">
      <w:pPr>
        <w:tabs>
          <w:tab w:val="left" w:pos="709"/>
        </w:tabs>
        <w:spacing w:after="0" w:line="240" w:lineRule="auto"/>
        <w:jc w:val="both"/>
        <w:rPr>
          <w:rFonts w:ascii="Calibri" w:eastAsia="Times New Roman" w:hAnsi="Calibri" w:cs="Arial"/>
          <w:spacing w:val="-3"/>
          <w:lang w:val="en-US"/>
        </w:rPr>
      </w:pPr>
    </w:p>
    <w:p w14:paraId="0E87388E" w14:textId="19BB8CF8" w:rsidR="0078512D" w:rsidRPr="00537128" w:rsidRDefault="0078512D" w:rsidP="0078512D">
      <w:pPr>
        <w:spacing w:after="0" w:line="240" w:lineRule="auto"/>
        <w:jc w:val="both"/>
        <w:rPr>
          <w:rFonts w:ascii="Calibri" w:eastAsia="Times New Roman" w:hAnsi="Calibri" w:cs="Arial"/>
          <w:spacing w:val="-3"/>
          <w:lang w:val="en-US"/>
        </w:rPr>
      </w:pPr>
      <w:r w:rsidRPr="00A1123E">
        <w:rPr>
          <w:rFonts w:ascii="Calibri" w:eastAsia="Times New Roman" w:hAnsi="Calibri" w:cs="Arial"/>
          <w:spacing w:val="-3"/>
          <w:lang w:val="en-US"/>
        </w:rPr>
        <w:t xml:space="preserve">In the case of a decrease in expected cash flows on corporate bonds of 10%, the generated profit of HBOR would decrease by HRK </w:t>
      </w:r>
      <w:r w:rsidR="00CD1658" w:rsidRPr="00E96A95">
        <w:rPr>
          <w:rFonts w:ascii="Calibri" w:eastAsia="Times New Roman" w:hAnsi="Calibri" w:cs="Arial"/>
          <w:spacing w:val="-3"/>
          <w:lang w:val="en-US"/>
        </w:rPr>
        <w:t>5</w:t>
      </w:r>
      <w:r w:rsidR="00E96A95" w:rsidRPr="00E96A95">
        <w:rPr>
          <w:rFonts w:ascii="Calibri" w:eastAsia="Times New Roman" w:hAnsi="Calibri" w:cs="Arial"/>
          <w:spacing w:val="-3"/>
          <w:lang w:val="en-US"/>
        </w:rPr>
        <w:t>1</w:t>
      </w:r>
      <w:r w:rsidR="00CD1658" w:rsidRPr="00A1123E">
        <w:rPr>
          <w:rFonts w:ascii="Calibri" w:eastAsia="Times New Roman" w:hAnsi="Calibri" w:cs="Arial"/>
          <w:spacing w:val="-3"/>
          <w:lang w:val="en-US"/>
        </w:rPr>
        <w:t xml:space="preserve"> </w:t>
      </w:r>
      <w:r w:rsidRPr="00A1123E">
        <w:rPr>
          <w:rFonts w:ascii="Calibri" w:eastAsia="Times New Roman" w:hAnsi="Calibri" w:cs="Arial"/>
          <w:spacing w:val="-3"/>
          <w:lang w:val="en-US"/>
        </w:rPr>
        <w:t>thousand.</w:t>
      </w:r>
    </w:p>
    <w:p w14:paraId="749156F4" w14:textId="77777777" w:rsidR="0078512D" w:rsidRPr="00537128" w:rsidRDefault="0078512D" w:rsidP="0078512D">
      <w:pPr>
        <w:spacing w:after="0" w:line="240" w:lineRule="auto"/>
        <w:jc w:val="both"/>
        <w:rPr>
          <w:rFonts w:ascii="Calibri" w:eastAsia="Times New Roman" w:hAnsi="Calibri" w:cs="Arial"/>
          <w:spacing w:val="-3"/>
          <w:lang w:val="en-US"/>
        </w:rPr>
      </w:pPr>
    </w:p>
    <w:p w14:paraId="06C1D7C3" w14:textId="77777777" w:rsidR="0078512D" w:rsidRPr="00537128" w:rsidRDefault="0078512D" w:rsidP="0078512D">
      <w:pPr>
        <w:spacing w:after="0" w:line="240" w:lineRule="auto"/>
        <w:jc w:val="both"/>
        <w:rPr>
          <w:rFonts w:ascii="Calibri" w:eastAsia="Calibri" w:hAnsi="Calibri" w:cs="Arial"/>
          <w:bCs/>
          <w:lang w:val="en-US"/>
        </w:rPr>
      </w:pPr>
    </w:p>
    <w:p w14:paraId="557F16E6" w14:textId="77777777" w:rsidR="0078512D" w:rsidRPr="00537128" w:rsidRDefault="0078512D" w:rsidP="0078512D">
      <w:pPr>
        <w:spacing w:after="0" w:line="240" w:lineRule="auto"/>
        <w:jc w:val="both"/>
        <w:rPr>
          <w:rFonts w:ascii="Calibri" w:eastAsia="Calibri" w:hAnsi="Calibri" w:cs="Arial"/>
          <w:bCs/>
          <w:lang w:val="en-US"/>
        </w:rPr>
        <w:sectPr w:rsidR="0078512D" w:rsidRPr="00537128" w:rsidSect="00712478">
          <w:pgSz w:w="11906" w:h="16838"/>
          <w:pgMar w:top="1418" w:right="1134" w:bottom="1418" w:left="1418" w:header="709" w:footer="709" w:gutter="0"/>
          <w:cols w:space="708"/>
          <w:docGrid w:linePitch="360"/>
        </w:sectPr>
      </w:pPr>
    </w:p>
    <w:p w14:paraId="079E6534" w14:textId="77777777" w:rsidR="0078512D" w:rsidRPr="00537128" w:rsidRDefault="0078512D" w:rsidP="0078512D">
      <w:pPr>
        <w:spacing w:after="0" w:line="240" w:lineRule="auto"/>
        <w:jc w:val="both"/>
        <w:rPr>
          <w:rFonts w:eastAsia="Times New Roman" w:cstheme="minorHAnsi"/>
          <w:bCs/>
          <w:iCs/>
          <w:color w:val="000000" w:themeColor="text1"/>
          <w:lang w:val="en-US"/>
        </w:rPr>
      </w:pPr>
      <w:bookmarkStart w:id="1267" w:name="_Hlk42871264"/>
    </w:p>
    <w:p w14:paraId="629D21BA" w14:textId="77777777" w:rsidR="0078512D" w:rsidRPr="00537128" w:rsidRDefault="0078512D">
      <w:pPr>
        <w:pStyle w:val="ListParagraph"/>
        <w:numPr>
          <w:ilvl w:val="0"/>
          <w:numId w:val="69"/>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 xml:space="preserve">Fair value of financial assets and financial liabilities </w:t>
      </w:r>
      <w:r w:rsidRPr="00537128">
        <w:rPr>
          <w:rFonts w:ascii="Calibri" w:eastAsia="Calibri" w:hAnsi="Calibri" w:cs="Arial"/>
          <w:b/>
          <w:bCs/>
          <w:spacing w:val="-3"/>
          <w:lang w:val="en-US"/>
        </w:rPr>
        <w:t>(continued)</w:t>
      </w:r>
    </w:p>
    <w:p w14:paraId="4123D25C" w14:textId="77777777" w:rsidR="0078512D" w:rsidRPr="00537128" w:rsidRDefault="0078512D" w:rsidP="0078512D">
      <w:pPr>
        <w:spacing w:after="0" w:line="240" w:lineRule="auto"/>
        <w:jc w:val="both"/>
        <w:rPr>
          <w:rFonts w:ascii="Calibri" w:eastAsia="Calibri" w:hAnsi="Calibri" w:cs="Arial"/>
          <w:bCs/>
          <w:lang w:val="en-US"/>
        </w:rPr>
      </w:pPr>
    </w:p>
    <w:p w14:paraId="1649DB95" w14:textId="0E63E467" w:rsidR="0078512D" w:rsidRPr="00537128" w:rsidRDefault="003E09B3" w:rsidP="0078512D">
      <w:pPr>
        <w:spacing w:after="0" w:line="240" w:lineRule="auto"/>
        <w:jc w:val="both"/>
        <w:rPr>
          <w:rFonts w:ascii="Calibri" w:eastAsia="Calibri" w:hAnsi="Calibri" w:cs="Arial"/>
          <w:b/>
          <w:bCs/>
          <w:spacing w:val="-3"/>
          <w:lang w:val="en-US"/>
        </w:rPr>
      </w:pPr>
      <w:r w:rsidRPr="00537128">
        <w:rPr>
          <w:rFonts w:ascii="Calibri" w:eastAsia="Calibri" w:hAnsi="Calibri" w:cs="Arial"/>
          <w:b/>
          <w:bCs/>
          <w:spacing w:val="-3"/>
          <w:lang w:val="en-US"/>
        </w:rPr>
        <w:t>2</w:t>
      </w:r>
      <w:r>
        <w:rPr>
          <w:rFonts w:ascii="Calibri" w:eastAsia="Calibri" w:hAnsi="Calibri" w:cs="Arial"/>
          <w:b/>
          <w:bCs/>
          <w:spacing w:val="-3"/>
          <w:lang w:val="en-US"/>
        </w:rPr>
        <w:t>4</w:t>
      </w:r>
      <w:r w:rsidR="0078512D" w:rsidRPr="00537128">
        <w:rPr>
          <w:rFonts w:ascii="Calibri" w:eastAsia="Calibri" w:hAnsi="Calibri" w:cs="Arial"/>
          <w:b/>
          <w:bCs/>
          <w:spacing w:val="-3"/>
          <w:lang w:val="en-US"/>
        </w:rPr>
        <w:t xml:space="preserve">.1. </w:t>
      </w:r>
      <w:r w:rsidR="0078512D" w:rsidRPr="00537128">
        <w:rPr>
          <w:rFonts w:ascii="Calibri" w:eastAsia="Calibri" w:hAnsi="Calibri" w:cs="Arial"/>
          <w:b/>
          <w:bCs/>
          <w:spacing w:val="-3"/>
          <w:lang w:val="en-US"/>
        </w:rPr>
        <w:tab/>
        <w:t>Fair value of financial assets and financial liabilities initially recognized and measured at fair value (continued)</w:t>
      </w:r>
    </w:p>
    <w:p w14:paraId="2A799389"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bookmarkEnd w:id="1267"/>
    <w:p w14:paraId="151DAF49" w14:textId="04FE725F"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r w:rsidRPr="00537128">
        <w:rPr>
          <w:rFonts w:ascii="Calibri" w:eastAsia="Times New Roman" w:hAnsi="Calibri" w:cs="Arial"/>
          <w:b/>
          <w:spacing w:val="-3"/>
          <w:lang w:val="en-US"/>
        </w:rPr>
        <w:t>2</w:t>
      </w:r>
      <w:r w:rsidR="00DD4485">
        <w:rPr>
          <w:rFonts w:ascii="Calibri" w:eastAsia="Times New Roman" w:hAnsi="Calibri" w:cs="Arial"/>
          <w:b/>
          <w:spacing w:val="-3"/>
          <w:lang w:val="en-US"/>
        </w:rPr>
        <w:t>4</w:t>
      </w:r>
      <w:r w:rsidRPr="00537128">
        <w:rPr>
          <w:rFonts w:ascii="Calibri" w:eastAsia="Times New Roman" w:hAnsi="Calibri" w:cs="Arial"/>
          <w:b/>
          <w:spacing w:val="-3"/>
          <w:lang w:val="en-US"/>
        </w:rPr>
        <w:t>.1.1.</w:t>
      </w:r>
      <w:r w:rsidRPr="00537128">
        <w:rPr>
          <w:rFonts w:ascii="Times New Roman" w:eastAsia="Times New Roman" w:hAnsi="Times New Roman" w:cs="Times New Roman"/>
          <w:sz w:val="24"/>
          <w:szCs w:val="24"/>
          <w:lang w:val="en-US"/>
        </w:rPr>
        <w:t xml:space="preserve"> </w:t>
      </w:r>
      <w:r w:rsidRPr="00537128">
        <w:rPr>
          <w:rFonts w:ascii="Calibri" w:eastAsia="Times New Roman" w:hAnsi="Calibri" w:cs="Arial"/>
          <w:b/>
          <w:spacing w:val="-3"/>
          <w:lang w:val="en-US"/>
        </w:rPr>
        <w:t>Level 3 - fair value (continued)</w:t>
      </w:r>
    </w:p>
    <w:p w14:paraId="2EDA460F"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p w14:paraId="06BE6C51" w14:textId="77777777" w:rsidR="0078512D" w:rsidRPr="00537128" w:rsidRDefault="0078512D" w:rsidP="0078512D">
      <w:pPr>
        <w:tabs>
          <w:tab w:val="left" w:pos="284"/>
        </w:tabs>
        <w:spacing w:after="0" w:line="240" w:lineRule="auto"/>
        <w:jc w:val="both"/>
        <w:rPr>
          <w:rFonts w:ascii="Calibri" w:eastAsia="Calibri" w:hAnsi="Calibri" w:cs="Times New Roman"/>
          <w:b/>
          <w:i/>
          <w:lang w:val="en-US"/>
        </w:rPr>
      </w:pPr>
      <w:r w:rsidRPr="00537128">
        <w:rPr>
          <w:rFonts w:ascii="Calibri" w:eastAsia="Calibri" w:hAnsi="Calibri" w:cs="Times New Roman"/>
          <w:b/>
          <w:i/>
          <w:lang w:val="en-US"/>
        </w:rPr>
        <w:t xml:space="preserve">c) </w:t>
      </w:r>
      <w:r w:rsidRPr="00537128">
        <w:rPr>
          <w:rFonts w:ascii="Calibri" w:eastAsia="Calibri" w:hAnsi="Calibri" w:cs="Times New Roman"/>
          <w:b/>
          <w:i/>
          <w:lang w:val="en-US"/>
        </w:rPr>
        <w:tab/>
        <w:t>Adjustment of fair value of Level 3:</w:t>
      </w:r>
    </w:p>
    <w:p w14:paraId="524E221C"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p w14:paraId="1A7F7F57" w14:textId="77777777" w:rsidR="0078512D" w:rsidRPr="00537128" w:rsidRDefault="0078512D" w:rsidP="00D27961">
      <w:pPr>
        <w:numPr>
          <w:ilvl w:val="0"/>
          <w:numId w:val="70"/>
        </w:numPr>
        <w:tabs>
          <w:tab w:val="left" w:pos="284"/>
        </w:tabs>
        <w:spacing w:after="0" w:line="240" w:lineRule="auto"/>
        <w:ind w:left="284" w:hanging="284"/>
        <w:contextualSpacing/>
        <w:jc w:val="both"/>
        <w:rPr>
          <w:rFonts w:ascii="Calibri" w:eastAsia="Calibri" w:hAnsi="Calibri" w:cs="Arial"/>
          <w:spacing w:val="-3"/>
          <w:lang w:val="en-US"/>
        </w:rPr>
      </w:pPr>
      <w:r w:rsidRPr="00537128">
        <w:rPr>
          <w:rFonts w:ascii="Calibri" w:eastAsia="Calibri" w:hAnsi="Calibri" w:cs="Arial"/>
          <w:spacing w:val="-3"/>
          <w:lang w:val="en-US"/>
        </w:rPr>
        <w:t>The fair value of Level 3 financial assets measured at fair value upon initial recognition – mezzanine loans:</w:t>
      </w:r>
    </w:p>
    <w:p w14:paraId="2844E70D"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tbl>
      <w:tblPr>
        <w:tblpPr w:leftFromText="180" w:rightFromText="180" w:vertAnchor="text" w:horzAnchor="margin" w:tblpXSpec="center" w:tblpY="10"/>
        <w:tblW w:w="4849" w:type="pct"/>
        <w:tblCellMar>
          <w:left w:w="122" w:type="dxa"/>
          <w:right w:w="122" w:type="dxa"/>
        </w:tblCellMar>
        <w:tblLook w:val="04A0" w:firstRow="1" w:lastRow="0" w:firstColumn="1" w:lastColumn="0" w:noHBand="0" w:noVBand="1"/>
      </w:tblPr>
      <w:tblGrid>
        <w:gridCol w:w="5954"/>
        <w:gridCol w:w="1559"/>
        <w:gridCol w:w="1559"/>
      </w:tblGrid>
      <w:tr w:rsidR="0078512D" w:rsidRPr="00537128" w14:paraId="244BAFFA" w14:textId="77777777" w:rsidTr="0078512D">
        <w:trPr>
          <w:trHeight w:hRule="exact" w:val="253"/>
        </w:trPr>
        <w:tc>
          <w:tcPr>
            <w:tcW w:w="3282" w:type="pct"/>
            <w:hideMark/>
          </w:tcPr>
          <w:p w14:paraId="7660AB45" w14:textId="77777777" w:rsidR="0078512D" w:rsidRPr="00537128" w:rsidRDefault="0078512D" w:rsidP="0078512D">
            <w:pPr>
              <w:tabs>
                <w:tab w:val="right" w:pos="1202"/>
              </w:tabs>
              <w:spacing w:after="0" w:line="260" w:lineRule="exact"/>
              <w:outlineLvl w:val="0"/>
              <w:rPr>
                <w:rFonts w:ascii="Calibri" w:eastAsia="Times New Roman" w:hAnsi="Calibri" w:cs="Arial"/>
                <w:b/>
                <w:spacing w:val="-2"/>
                <w:sz w:val="20"/>
                <w:szCs w:val="20"/>
                <w:lang w:val="en-US"/>
              </w:rPr>
            </w:pPr>
            <w:r w:rsidRPr="00537128">
              <w:rPr>
                <w:rFonts w:ascii="Calibri" w:eastAsia="Times New Roman" w:hAnsi="Calibri" w:cs="Arial"/>
                <w:b/>
                <w:spacing w:val="-2"/>
                <w:sz w:val="20"/>
                <w:szCs w:val="20"/>
                <w:lang w:val="en-US"/>
              </w:rPr>
              <w:t>Group and Bank</w:t>
            </w:r>
          </w:p>
        </w:tc>
        <w:tc>
          <w:tcPr>
            <w:tcW w:w="859" w:type="pct"/>
            <w:vAlign w:val="center"/>
            <w:hideMark/>
          </w:tcPr>
          <w:p w14:paraId="75977631" w14:textId="0E99B3BE" w:rsidR="0078512D" w:rsidRPr="00537128" w:rsidRDefault="00456F9A" w:rsidP="0078512D">
            <w:pPr>
              <w:tabs>
                <w:tab w:val="right" w:pos="1202"/>
              </w:tabs>
              <w:spacing w:after="0" w:line="260" w:lineRule="exact"/>
              <w:jc w:val="right"/>
              <w:outlineLvl w:val="0"/>
              <w:rPr>
                <w:rFonts w:ascii="Calibri" w:eastAsia="Times New Roman" w:hAnsi="Calibri" w:cs="Arial"/>
                <w:b/>
                <w:sz w:val="20"/>
                <w:szCs w:val="20"/>
                <w:lang w:val="en-US"/>
              </w:rPr>
            </w:pPr>
            <w:bookmarkStart w:id="1268" w:name="_Toc4063277"/>
            <w:r w:rsidRPr="00537128">
              <w:rPr>
                <w:rFonts w:ascii="Calibri" w:eastAsia="Times New Roman" w:hAnsi="Calibri" w:cs="Arial"/>
                <w:b/>
                <w:sz w:val="20"/>
                <w:szCs w:val="20"/>
                <w:lang w:val="en-US"/>
              </w:rPr>
              <w:t>Mar</w:t>
            </w:r>
            <w:r w:rsidR="0008625A" w:rsidRPr="00537128">
              <w:rPr>
                <w:rFonts w:ascii="Calibri" w:eastAsia="Times New Roman" w:hAnsi="Calibri" w:cs="Arial"/>
                <w:b/>
                <w:sz w:val="20"/>
                <w:szCs w:val="20"/>
                <w:lang w:val="en-US"/>
              </w:rPr>
              <w:t xml:space="preserve"> </w:t>
            </w:r>
            <w:r w:rsidR="00E20F52" w:rsidRPr="00537128">
              <w:rPr>
                <w:rFonts w:ascii="Calibri" w:eastAsia="Times New Roman" w:hAnsi="Calibri" w:cs="Arial"/>
                <w:b/>
                <w:sz w:val="20"/>
                <w:szCs w:val="20"/>
                <w:lang w:val="en-US"/>
              </w:rPr>
              <w:t>3</w:t>
            </w:r>
            <w:r w:rsidRPr="00537128">
              <w:rPr>
                <w:rFonts w:ascii="Calibri" w:eastAsia="Times New Roman" w:hAnsi="Calibri" w:cs="Arial"/>
                <w:b/>
                <w:sz w:val="20"/>
                <w:szCs w:val="20"/>
                <w:lang w:val="en-US"/>
              </w:rPr>
              <w:t>1</w:t>
            </w:r>
            <w:r w:rsidR="0078512D" w:rsidRPr="00537128">
              <w:rPr>
                <w:rFonts w:ascii="Calibri" w:eastAsia="Times New Roman" w:hAnsi="Calibri" w:cs="Arial"/>
                <w:b/>
                <w:sz w:val="20"/>
                <w:szCs w:val="20"/>
                <w:lang w:val="en-US"/>
              </w:rPr>
              <w:t>, 202</w:t>
            </w:r>
            <w:bookmarkEnd w:id="1268"/>
            <w:r w:rsidR="00CD17BB">
              <w:rPr>
                <w:rFonts w:ascii="Calibri" w:eastAsia="Times New Roman" w:hAnsi="Calibri" w:cs="Arial"/>
                <w:b/>
                <w:sz w:val="20"/>
                <w:szCs w:val="20"/>
                <w:lang w:val="en-US"/>
              </w:rPr>
              <w:t>2</w:t>
            </w:r>
          </w:p>
        </w:tc>
        <w:tc>
          <w:tcPr>
            <w:tcW w:w="859" w:type="pct"/>
            <w:hideMark/>
          </w:tcPr>
          <w:p w14:paraId="4E9E2704" w14:textId="13DBB6E1" w:rsidR="0078512D" w:rsidRPr="00537128" w:rsidRDefault="00456F9A" w:rsidP="0078512D">
            <w:pPr>
              <w:tabs>
                <w:tab w:val="right" w:pos="1202"/>
              </w:tabs>
              <w:spacing w:after="0" w:line="260" w:lineRule="exact"/>
              <w:jc w:val="right"/>
              <w:outlineLvl w:val="0"/>
              <w:rPr>
                <w:rFonts w:ascii="Calibri" w:eastAsia="Times New Roman" w:hAnsi="Calibri" w:cs="Arial"/>
                <w:b/>
                <w:sz w:val="20"/>
                <w:szCs w:val="20"/>
                <w:lang w:val="en-US"/>
              </w:rPr>
            </w:pPr>
            <w:bookmarkStart w:id="1269" w:name="_Toc4063278"/>
            <w:r w:rsidRPr="00537128">
              <w:rPr>
                <w:rFonts w:ascii="Calibri" w:eastAsia="Times New Roman" w:hAnsi="Calibri" w:cs="Arial"/>
                <w:b/>
                <w:sz w:val="20"/>
                <w:szCs w:val="20"/>
                <w:lang w:val="en-US"/>
              </w:rPr>
              <w:t>Mar</w:t>
            </w:r>
            <w:r w:rsidR="00E20F52" w:rsidRPr="00537128">
              <w:rPr>
                <w:rFonts w:ascii="Calibri" w:eastAsia="Times New Roman" w:hAnsi="Calibri" w:cs="Arial"/>
                <w:b/>
                <w:sz w:val="20"/>
                <w:szCs w:val="20"/>
                <w:lang w:val="en-US"/>
              </w:rPr>
              <w:t xml:space="preserve"> 3</w:t>
            </w:r>
            <w:r w:rsidRPr="00537128">
              <w:rPr>
                <w:rFonts w:ascii="Calibri" w:eastAsia="Times New Roman" w:hAnsi="Calibri" w:cs="Arial"/>
                <w:b/>
                <w:sz w:val="20"/>
                <w:szCs w:val="20"/>
                <w:lang w:val="en-US"/>
              </w:rPr>
              <w:t>1</w:t>
            </w:r>
            <w:r w:rsidR="0078512D" w:rsidRPr="00537128">
              <w:rPr>
                <w:rFonts w:ascii="Calibri" w:eastAsia="Times New Roman" w:hAnsi="Calibri" w:cs="Arial"/>
                <w:b/>
                <w:sz w:val="20"/>
                <w:szCs w:val="20"/>
                <w:lang w:val="en-US"/>
              </w:rPr>
              <w:t>, 20</w:t>
            </w:r>
            <w:bookmarkEnd w:id="1269"/>
            <w:r w:rsidRPr="00537128">
              <w:rPr>
                <w:rFonts w:ascii="Calibri" w:eastAsia="Times New Roman" w:hAnsi="Calibri" w:cs="Arial"/>
                <w:b/>
                <w:sz w:val="20"/>
                <w:szCs w:val="20"/>
                <w:lang w:val="en-US"/>
              </w:rPr>
              <w:t>2</w:t>
            </w:r>
            <w:r w:rsidR="00CD17BB">
              <w:rPr>
                <w:rFonts w:ascii="Calibri" w:eastAsia="Times New Roman" w:hAnsi="Calibri" w:cs="Arial"/>
                <w:b/>
                <w:sz w:val="20"/>
                <w:szCs w:val="20"/>
                <w:lang w:val="en-US"/>
              </w:rPr>
              <w:t>1</w:t>
            </w:r>
          </w:p>
        </w:tc>
      </w:tr>
      <w:tr w:rsidR="0078512D" w:rsidRPr="00537128" w14:paraId="41E74203" w14:textId="77777777" w:rsidTr="0078512D">
        <w:trPr>
          <w:trHeight w:hRule="exact" w:val="227"/>
        </w:trPr>
        <w:tc>
          <w:tcPr>
            <w:tcW w:w="3282" w:type="pct"/>
          </w:tcPr>
          <w:p w14:paraId="06AAD667" w14:textId="77777777" w:rsidR="0078512D" w:rsidRPr="00537128" w:rsidRDefault="0078512D" w:rsidP="0078512D">
            <w:pPr>
              <w:tabs>
                <w:tab w:val="right" w:pos="1202"/>
              </w:tabs>
              <w:spacing w:after="0" w:line="260" w:lineRule="exact"/>
              <w:outlineLvl w:val="0"/>
              <w:rPr>
                <w:rFonts w:ascii="Calibri" w:eastAsia="Times New Roman" w:hAnsi="Calibri" w:cs="Arial"/>
                <w:b/>
                <w:spacing w:val="-2"/>
                <w:sz w:val="20"/>
                <w:szCs w:val="20"/>
                <w:lang w:val="en-US"/>
              </w:rPr>
            </w:pPr>
          </w:p>
        </w:tc>
        <w:tc>
          <w:tcPr>
            <w:tcW w:w="859" w:type="pct"/>
            <w:hideMark/>
          </w:tcPr>
          <w:p w14:paraId="62EFD2F5" w14:textId="77777777" w:rsidR="0078512D" w:rsidRPr="00537128" w:rsidRDefault="0078512D" w:rsidP="0078512D">
            <w:pPr>
              <w:tabs>
                <w:tab w:val="right" w:pos="1202"/>
              </w:tabs>
              <w:spacing w:after="0" w:line="260" w:lineRule="exact"/>
              <w:jc w:val="right"/>
              <w:outlineLvl w:val="0"/>
              <w:rPr>
                <w:rFonts w:ascii="Calibri" w:eastAsia="Times New Roman" w:hAnsi="Calibri" w:cs="Arial"/>
                <w:b/>
                <w:sz w:val="20"/>
                <w:szCs w:val="20"/>
                <w:lang w:val="en-US"/>
              </w:rPr>
            </w:pPr>
            <w:bookmarkStart w:id="1270" w:name="_Toc4063281"/>
            <w:r w:rsidRPr="00537128">
              <w:rPr>
                <w:rFonts w:ascii="Calibri" w:eastAsia="Times New Roman" w:hAnsi="Calibri" w:cs="Arial"/>
                <w:b/>
                <w:sz w:val="20"/>
                <w:szCs w:val="20"/>
                <w:lang w:val="en-US"/>
              </w:rPr>
              <w:t>HRK ‘000</w:t>
            </w:r>
            <w:bookmarkEnd w:id="1270"/>
          </w:p>
        </w:tc>
        <w:tc>
          <w:tcPr>
            <w:tcW w:w="859" w:type="pct"/>
            <w:hideMark/>
          </w:tcPr>
          <w:p w14:paraId="257CDAEB" w14:textId="77777777" w:rsidR="0078512D" w:rsidRPr="00537128" w:rsidRDefault="0078512D" w:rsidP="0078512D">
            <w:pPr>
              <w:tabs>
                <w:tab w:val="right" w:pos="1202"/>
              </w:tabs>
              <w:spacing w:after="0" w:line="260" w:lineRule="exact"/>
              <w:jc w:val="right"/>
              <w:outlineLvl w:val="0"/>
              <w:rPr>
                <w:rFonts w:ascii="Calibri" w:eastAsia="Times New Roman" w:hAnsi="Calibri" w:cs="Arial"/>
                <w:b/>
                <w:sz w:val="20"/>
                <w:szCs w:val="20"/>
                <w:lang w:val="en-US"/>
              </w:rPr>
            </w:pPr>
            <w:bookmarkStart w:id="1271" w:name="_Toc4063282"/>
            <w:r w:rsidRPr="00537128">
              <w:rPr>
                <w:rFonts w:ascii="Calibri" w:eastAsia="Times New Roman" w:hAnsi="Calibri" w:cs="Arial"/>
                <w:b/>
                <w:sz w:val="20"/>
                <w:szCs w:val="20"/>
                <w:lang w:val="en-US"/>
              </w:rPr>
              <w:t>HRK ‘000</w:t>
            </w:r>
            <w:bookmarkEnd w:id="1271"/>
          </w:p>
        </w:tc>
      </w:tr>
      <w:tr w:rsidR="0078512D" w:rsidRPr="00537128" w14:paraId="21DF71E2" w14:textId="77777777" w:rsidTr="0078512D">
        <w:trPr>
          <w:trHeight w:hRule="exact" w:val="284"/>
        </w:trPr>
        <w:tc>
          <w:tcPr>
            <w:tcW w:w="3282" w:type="pct"/>
          </w:tcPr>
          <w:p w14:paraId="5FDC425B" w14:textId="77777777" w:rsidR="0078512D" w:rsidRPr="00537128" w:rsidRDefault="0078512D" w:rsidP="0078512D">
            <w:pPr>
              <w:tabs>
                <w:tab w:val="right" w:pos="1202"/>
              </w:tabs>
              <w:spacing w:after="0" w:line="260" w:lineRule="exact"/>
              <w:outlineLvl w:val="0"/>
              <w:rPr>
                <w:rFonts w:ascii="Calibri" w:eastAsia="Times New Roman" w:hAnsi="Calibri" w:cs="Arial"/>
                <w:b/>
                <w:i/>
                <w:spacing w:val="-2"/>
                <w:sz w:val="20"/>
                <w:szCs w:val="20"/>
                <w:lang w:val="en-US"/>
              </w:rPr>
            </w:pPr>
          </w:p>
        </w:tc>
        <w:tc>
          <w:tcPr>
            <w:tcW w:w="859" w:type="pct"/>
          </w:tcPr>
          <w:p w14:paraId="1FEA9206" w14:textId="77777777" w:rsidR="0078512D" w:rsidRPr="00537128" w:rsidRDefault="0078512D" w:rsidP="0078512D">
            <w:pPr>
              <w:tabs>
                <w:tab w:val="right" w:pos="1202"/>
              </w:tabs>
              <w:spacing w:after="0" w:line="260" w:lineRule="exact"/>
              <w:jc w:val="right"/>
              <w:outlineLvl w:val="0"/>
              <w:rPr>
                <w:rFonts w:ascii="Calibri" w:eastAsia="Times New Roman" w:hAnsi="Calibri" w:cs="Arial"/>
                <w:sz w:val="20"/>
                <w:szCs w:val="20"/>
                <w:lang w:val="en-US"/>
              </w:rPr>
            </w:pPr>
          </w:p>
        </w:tc>
        <w:tc>
          <w:tcPr>
            <w:tcW w:w="859" w:type="pct"/>
          </w:tcPr>
          <w:p w14:paraId="04F0B86A" w14:textId="77777777" w:rsidR="0078512D" w:rsidRPr="00537128" w:rsidRDefault="0078512D" w:rsidP="0078512D">
            <w:pPr>
              <w:tabs>
                <w:tab w:val="right" w:pos="1202"/>
              </w:tabs>
              <w:spacing w:after="0" w:line="260" w:lineRule="exact"/>
              <w:jc w:val="right"/>
              <w:outlineLvl w:val="0"/>
              <w:rPr>
                <w:rFonts w:ascii="Calibri" w:eastAsia="Times New Roman" w:hAnsi="Calibri" w:cs="Arial"/>
                <w:sz w:val="20"/>
                <w:szCs w:val="20"/>
                <w:lang w:val="en-US"/>
              </w:rPr>
            </w:pPr>
          </w:p>
        </w:tc>
      </w:tr>
      <w:tr w:rsidR="00CD4849" w:rsidRPr="00537128" w14:paraId="63293C9E" w14:textId="77777777" w:rsidTr="00CD4849">
        <w:trPr>
          <w:trHeight w:hRule="exact" w:val="284"/>
        </w:trPr>
        <w:tc>
          <w:tcPr>
            <w:tcW w:w="3282" w:type="pct"/>
            <w:vAlign w:val="bottom"/>
            <w:hideMark/>
          </w:tcPr>
          <w:p w14:paraId="1420A77F" w14:textId="77777777" w:rsidR="00CD4849" w:rsidRPr="00537128" w:rsidRDefault="00CD4849" w:rsidP="00CD4849">
            <w:pPr>
              <w:spacing w:after="0" w:line="254" w:lineRule="auto"/>
              <w:rPr>
                <w:rFonts w:ascii="Calibri" w:eastAsia="Calibri" w:hAnsi="Calibri" w:cs="Times New Roman"/>
                <w:b/>
                <w:bCs/>
                <w:sz w:val="20"/>
                <w:szCs w:val="20"/>
                <w:lang w:val="en-US"/>
              </w:rPr>
            </w:pPr>
            <w:r w:rsidRPr="00537128">
              <w:rPr>
                <w:rFonts w:ascii="Calibri" w:eastAsia="Calibri" w:hAnsi="Calibri" w:cs="Times New Roman"/>
                <w:b/>
                <w:bCs/>
                <w:sz w:val="20"/>
                <w:szCs w:val="20"/>
                <w:lang w:val="en-US"/>
              </w:rPr>
              <w:t xml:space="preserve">Balance as </w:t>
            </w:r>
            <w:proofErr w:type="gramStart"/>
            <w:r w:rsidRPr="00537128">
              <w:rPr>
                <w:rFonts w:ascii="Calibri" w:eastAsia="Calibri" w:hAnsi="Calibri" w:cs="Times New Roman"/>
                <w:b/>
                <w:bCs/>
                <w:sz w:val="20"/>
                <w:szCs w:val="20"/>
                <w:lang w:val="en-US"/>
              </w:rPr>
              <w:t>at</w:t>
            </w:r>
            <w:proofErr w:type="gramEnd"/>
            <w:r w:rsidRPr="00537128">
              <w:rPr>
                <w:rFonts w:ascii="Calibri" w:eastAsia="Calibri" w:hAnsi="Calibri" w:cs="Times New Roman"/>
                <w:b/>
                <w:bCs/>
                <w:sz w:val="20"/>
                <w:szCs w:val="20"/>
                <w:lang w:val="en-US"/>
              </w:rPr>
              <w:t xml:space="preserve"> 1 January </w:t>
            </w:r>
          </w:p>
        </w:tc>
        <w:tc>
          <w:tcPr>
            <w:tcW w:w="859" w:type="pct"/>
            <w:tcBorders>
              <w:top w:val="nil"/>
              <w:left w:val="nil"/>
              <w:bottom w:val="single" w:sz="2" w:space="0" w:color="auto"/>
              <w:right w:val="nil"/>
            </w:tcBorders>
            <w:vAlign w:val="bottom"/>
          </w:tcPr>
          <w:p w14:paraId="43C6760C" w14:textId="193E1718" w:rsidR="00CD4849" w:rsidRPr="00537128" w:rsidRDefault="00CD4849" w:rsidP="00CD4849">
            <w:pPr>
              <w:tabs>
                <w:tab w:val="right" w:pos="1202"/>
              </w:tabs>
              <w:spacing w:after="0" w:line="260" w:lineRule="exact"/>
              <w:jc w:val="right"/>
              <w:outlineLvl w:val="0"/>
              <w:rPr>
                <w:rFonts w:ascii="Calibri" w:eastAsia="Times New Roman" w:hAnsi="Calibri" w:cs="Arial"/>
                <w:b/>
                <w:sz w:val="20"/>
                <w:szCs w:val="20"/>
                <w:lang w:val="en-US"/>
              </w:rPr>
            </w:pPr>
            <w:r>
              <w:rPr>
                <w:rFonts w:ascii="Calibri" w:hAnsi="Calibri" w:cs="Arial"/>
                <w:b/>
                <w:color w:val="000000" w:themeColor="text1"/>
                <w:sz w:val="20"/>
                <w:szCs w:val="20"/>
              </w:rPr>
              <w:t>16,375</w:t>
            </w:r>
          </w:p>
        </w:tc>
        <w:tc>
          <w:tcPr>
            <w:tcW w:w="859" w:type="pct"/>
            <w:tcBorders>
              <w:top w:val="nil"/>
              <w:left w:val="nil"/>
              <w:bottom w:val="single" w:sz="2" w:space="0" w:color="auto"/>
              <w:right w:val="nil"/>
            </w:tcBorders>
            <w:vAlign w:val="bottom"/>
          </w:tcPr>
          <w:p w14:paraId="2FAB8C11" w14:textId="6E03D6FE" w:rsidR="00CD4849" w:rsidRPr="00537128" w:rsidRDefault="00CD4849" w:rsidP="00CD4849">
            <w:pPr>
              <w:tabs>
                <w:tab w:val="right" w:pos="1202"/>
              </w:tabs>
              <w:spacing w:after="0" w:line="260" w:lineRule="exact"/>
              <w:jc w:val="right"/>
              <w:outlineLvl w:val="0"/>
              <w:rPr>
                <w:rFonts w:ascii="Calibri" w:eastAsia="Times New Roman" w:hAnsi="Calibri" w:cs="Arial"/>
                <w:b/>
                <w:sz w:val="20"/>
                <w:szCs w:val="20"/>
                <w:lang w:val="en-US"/>
              </w:rPr>
            </w:pPr>
            <w:r w:rsidRPr="00B8393E">
              <w:rPr>
                <w:rFonts w:ascii="Calibri" w:eastAsia="Times New Roman" w:hAnsi="Calibri" w:cs="Arial"/>
                <w:b/>
                <w:sz w:val="20"/>
                <w:szCs w:val="20"/>
                <w:lang w:val="en-US"/>
              </w:rPr>
              <w:t>2,658</w:t>
            </w:r>
          </w:p>
        </w:tc>
      </w:tr>
      <w:tr w:rsidR="00CD4849" w:rsidRPr="00537128" w14:paraId="73D63D65" w14:textId="77777777" w:rsidTr="00CD4849">
        <w:trPr>
          <w:trHeight w:hRule="exact" w:val="374"/>
        </w:trPr>
        <w:tc>
          <w:tcPr>
            <w:tcW w:w="3282" w:type="pct"/>
            <w:vAlign w:val="bottom"/>
            <w:hideMark/>
          </w:tcPr>
          <w:p w14:paraId="40076E70" w14:textId="2E3328DD" w:rsidR="00CD4849" w:rsidRPr="00537128" w:rsidRDefault="00CD4849" w:rsidP="00CD4849">
            <w:pPr>
              <w:spacing w:after="0" w:line="240" w:lineRule="auto"/>
              <w:rPr>
                <w:rFonts w:ascii="Calibri" w:eastAsia="Calibri" w:hAnsi="Calibri" w:cs="Times New Roman"/>
                <w:sz w:val="20"/>
                <w:szCs w:val="20"/>
                <w:lang w:val="en-US"/>
              </w:rPr>
            </w:pPr>
            <w:r w:rsidRPr="00A1123E">
              <w:rPr>
                <w:rFonts w:ascii="Calibri" w:eastAsia="Calibri" w:hAnsi="Calibri" w:cs="Times New Roman"/>
                <w:sz w:val="20"/>
                <w:szCs w:val="20"/>
                <w:lang w:val="en-US"/>
              </w:rPr>
              <w:t>Increase/(decrease</w:t>
            </w:r>
            <w:r w:rsidRPr="00CD1658">
              <w:rPr>
                <w:rFonts w:ascii="Calibri" w:eastAsia="Calibri" w:hAnsi="Calibri" w:cs="Times New Roman"/>
                <w:sz w:val="20"/>
                <w:szCs w:val="20"/>
                <w:lang w:val="en-US"/>
              </w:rPr>
              <w:t>)</w:t>
            </w:r>
            <w:r w:rsidRPr="00537128">
              <w:rPr>
                <w:rFonts w:ascii="Calibri" w:eastAsia="Calibri" w:hAnsi="Calibri" w:cs="Times New Roman"/>
                <w:sz w:val="20"/>
                <w:szCs w:val="20"/>
                <w:lang w:val="en-US"/>
              </w:rPr>
              <w:t xml:space="preserve"> in fair value through profit or loss</w:t>
            </w:r>
          </w:p>
        </w:tc>
        <w:tc>
          <w:tcPr>
            <w:tcW w:w="859" w:type="pct"/>
            <w:tcBorders>
              <w:top w:val="single" w:sz="2" w:space="0" w:color="auto"/>
              <w:left w:val="nil"/>
              <w:right w:val="nil"/>
            </w:tcBorders>
            <w:shd w:val="clear" w:color="auto" w:fill="auto"/>
            <w:vAlign w:val="bottom"/>
          </w:tcPr>
          <w:p w14:paraId="78248DE2" w14:textId="2BEF0741" w:rsidR="00CD4849" w:rsidRPr="00537128" w:rsidRDefault="00CD4849" w:rsidP="00CD4849">
            <w:pPr>
              <w:tabs>
                <w:tab w:val="right" w:pos="1202"/>
              </w:tabs>
              <w:spacing w:after="0" w:line="240" w:lineRule="auto"/>
              <w:jc w:val="right"/>
              <w:outlineLvl w:val="0"/>
              <w:rPr>
                <w:rFonts w:ascii="Calibri" w:eastAsia="Times New Roman" w:hAnsi="Calibri" w:cs="Arial"/>
                <w:sz w:val="20"/>
                <w:szCs w:val="20"/>
                <w:lang w:val="en-US"/>
              </w:rPr>
            </w:pPr>
            <w:r>
              <w:rPr>
                <w:rFonts w:cs="Arial"/>
                <w:color w:val="000000" w:themeColor="text1"/>
                <w:sz w:val="20"/>
                <w:szCs w:val="20"/>
              </w:rPr>
              <w:t>11,979</w:t>
            </w:r>
          </w:p>
        </w:tc>
        <w:tc>
          <w:tcPr>
            <w:tcW w:w="859" w:type="pct"/>
            <w:tcBorders>
              <w:top w:val="single" w:sz="2" w:space="0" w:color="auto"/>
              <w:left w:val="nil"/>
              <w:right w:val="nil"/>
            </w:tcBorders>
            <w:shd w:val="clear" w:color="auto" w:fill="auto"/>
            <w:vAlign w:val="bottom"/>
          </w:tcPr>
          <w:p w14:paraId="2D641715" w14:textId="6C9D8313" w:rsidR="00CD4849" w:rsidRPr="00537128" w:rsidRDefault="00CD4849" w:rsidP="00CD4849">
            <w:pPr>
              <w:tabs>
                <w:tab w:val="right" w:pos="1202"/>
              </w:tabs>
              <w:spacing w:after="0" w:line="240" w:lineRule="auto"/>
              <w:jc w:val="right"/>
              <w:outlineLvl w:val="0"/>
              <w:rPr>
                <w:rFonts w:ascii="Calibri" w:eastAsia="Times New Roman" w:hAnsi="Calibri" w:cs="Arial"/>
                <w:sz w:val="20"/>
                <w:szCs w:val="20"/>
                <w:lang w:val="en-US"/>
              </w:rPr>
            </w:pPr>
            <w:r w:rsidRPr="00CD1658">
              <w:rPr>
                <w:rFonts w:ascii="Calibri" w:eastAsia="Times New Roman" w:hAnsi="Calibri" w:cs="Arial"/>
                <w:sz w:val="20"/>
                <w:szCs w:val="20"/>
                <w:lang w:val="en-US"/>
              </w:rPr>
              <w:t>15,869</w:t>
            </w:r>
          </w:p>
        </w:tc>
      </w:tr>
      <w:tr w:rsidR="00CD4849" w:rsidRPr="00537128" w14:paraId="4111961D" w14:textId="77777777" w:rsidTr="00CD4849">
        <w:trPr>
          <w:trHeight w:hRule="exact" w:val="374"/>
        </w:trPr>
        <w:tc>
          <w:tcPr>
            <w:tcW w:w="3282" w:type="pct"/>
            <w:vAlign w:val="bottom"/>
          </w:tcPr>
          <w:p w14:paraId="165BE465" w14:textId="6DE02175" w:rsidR="00CD4849" w:rsidRPr="00A1123E" w:rsidRDefault="00DD4485" w:rsidP="00CD4849">
            <w:pPr>
              <w:spacing w:after="0" w:line="240" w:lineRule="auto"/>
              <w:rPr>
                <w:rFonts w:ascii="Calibri" w:eastAsia="Calibri" w:hAnsi="Calibri" w:cs="Times New Roman"/>
                <w:sz w:val="20"/>
                <w:szCs w:val="20"/>
                <w:lang w:val="en-US"/>
              </w:rPr>
            </w:pPr>
            <w:r w:rsidRPr="00DD4485">
              <w:rPr>
                <w:rFonts w:ascii="Calibri" w:eastAsia="Calibri" w:hAnsi="Calibri" w:cs="Calibri"/>
                <w:color w:val="000000" w:themeColor="text1"/>
                <w:sz w:val="20"/>
                <w:szCs w:val="20"/>
              </w:rPr>
              <w:t>Sale of mezzanine loans</w:t>
            </w:r>
          </w:p>
        </w:tc>
        <w:tc>
          <w:tcPr>
            <w:tcW w:w="859" w:type="pct"/>
            <w:tcBorders>
              <w:left w:val="nil"/>
              <w:bottom w:val="single" w:sz="8" w:space="0" w:color="auto"/>
              <w:right w:val="nil"/>
            </w:tcBorders>
            <w:shd w:val="clear" w:color="auto" w:fill="auto"/>
            <w:vAlign w:val="bottom"/>
          </w:tcPr>
          <w:p w14:paraId="5E55BE65" w14:textId="78953BD9" w:rsidR="00CD4849" w:rsidRPr="00537128" w:rsidRDefault="00CD4849" w:rsidP="00CD4849">
            <w:pPr>
              <w:tabs>
                <w:tab w:val="right" w:pos="1202"/>
              </w:tabs>
              <w:spacing w:after="0" w:line="240" w:lineRule="auto"/>
              <w:jc w:val="right"/>
              <w:outlineLvl w:val="0"/>
              <w:rPr>
                <w:rFonts w:ascii="Calibri" w:eastAsia="Times New Roman" w:hAnsi="Calibri" w:cs="Arial"/>
                <w:sz w:val="20"/>
                <w:szCs w:val="20"/>
                <w:lang w:val="en-US"/>
              </w:rPr>
            </w:pPr>
            <w:r>
              <w:rPr>
                <w:rFonts w:cs="Arial"/>
                <w:color w:val="000000" w:themeColor="text1"/>
                <w:sz w:val="20"/>
                <w:szCs w:val="20"/>
              </w:rPr>
              <w:t>(2,702)</w:t>
            </w:r>
          </w:p>
        </w:tc>
        <w:tc>
          <w:tcPr>
            <w:tcW w:w="859" w:type="pct"/>
            <w:tcBorders>
              <w:left w:val="nil"/>
              <w:bottom w:val="single" w:sz="8" w:space="0" w:color="auto"/>
              <w:right w:val="nil"/>
            </w:tcBorders>
            <w:shd w:val="clear" w:color="auto" w:fill="auto"/>
            <w:vAlign w:val="bottom"/>
          </w:tcPr>
          <w:p w14:paraId="1A762261" w14:textId="4A707034" w:rsidR="00CD4849" w:rsidRPr="00CD1658" w:rsidRDefault="00DD4485" w:rsidP="00CD4849">
            <w:pPr>
              <w:tabs>
                <w:tab w:val="right" w:pos="1202"/>
              </w:tabs>
              <w:spacing w:after="0" w:line="240" w:lineRule="auto"/>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w:t>
            </w:r>
          </w:p>
        </w:tc>
      </w:tr>
      <w:tr w:rsidR="00CD4849" w:rsidRPr="00537128" w14:paraId="0C83BB27" w14:textId="77777777" w:rsidTr="000B59DA">
        <w:trPr>
          <w:trHeight w:hRule="exact" w:val="397"/>
        </w:trPr>
        <w:tc>
          <w:tcPr>
            <w:tcW w:w="3282" w:type="pct"/>
            <w:vAlign w:val="bottom"/>
            <w:hideMark/>
          </w:tcPr>
          <w:p w14:paraId="7CFE3171" w14:textId="1DD9874C" w:rsidR="00CD4849" w:rsidRPr="00537128" w:rsidRDefault="00CD4849" w:rsidP="00CD4849">
            <w:pPr>
              <w:spacing w:after="0" w:line="240" w:lineRule="auto"/>
              <w:rPr>
                <w:rFonts w:ascii="Calibri" w:eastAsia="Calibri" w:hAnsi="Calibri" w:cs="Times New Roman"/>
                <w:b/>
                <w:bCs/>
                <w:sz w:val="20"/>
                <w:szCs w:val="20"/>
                <w:lang w:val="en-US"/>
              </w:rPr>
            </w:pPr>
            <w:r w:rsidRPr="00537128">
              <w:rPr>
                <w:rFonts w:ascii="Calibri" w:eastAsia="Calibri" w:hAnsi="Calibri" w:cs="Times New Roman"/>
                <w:b/>
                <w:bCs/>
                <w:sz w:val="20"/>
                <w:szCs w:val="20"/>
                <w:lang w:val="en-US"/>
              </w:rPr>
              <w:t xml:space="preserve">Balance as of 31 March </w:t>
            </w:r>
          </w:p>
        </w:tc>
        <w:tc>
          <w:tcPr>
            <w:tcW w:w="859" w:type="pct"/>
            <w:tcBorders>
              <w:top w:val="single" w:sz="8" w:space="0" w:color="000000"/>
              <w:left w:val="nil"/>
              <w:bottom w:val="single" w:sz="12" w:space="0" w:color="auto"/>
              <w:right w:val="nil"/>
            </w:tcBorders>
            <w:shd w:val="clear" w:color="auto" w:fill="auto"/>
            <w:vAlign w:val="bottom"/>
          </w:tcPr>
          <w:p w14:paraId="3EBBAFAA" w14:textId="1C62FFC2" w:rsidR="00CD4849" w:rsidRPr="00537128" w:rsidRDefault="00CD4849" w:rsidP="00CD4849">
            <w:pPr>
              <w:tabs>
                <w:tab w:val="right" w:pos="1202"/>
              </w:tabs>
              <w:spacing w:after="0" w:line="240" w:lineRule="auto"/>
              <w:jc w:val="right"/>
              <w:outlineLvl w:val="0"/>
              <w:rPr>
                <w:rFonts w:ascii="Calibri" w:eastAsia="Times New Roman" w:hAnsi="Calibri" w:cs="Arial"/>
                <w:b/>
                <w:sz w:val="20"/>
                <w:szCs w:val="20"/>
                <w:lang w:val="en-US"/>
              </w:rPr>
            </w:pPr>
            <w:r>
              <w:rPr>
                <w:rFonts w:cs="Arial"/>
                <w:b/>
                <w:color w:val="000000" w:themeColor="text1"/>
                <w:sz w:val="20"/>
                <w:szCs w:val="20"/>
              </w:rPr>
              <w:t>25,652</w:t>
            </w:r>
          </w:p>
        </w:tc>
        <w:tc>
          <w:tcPr>
            <w:tcW w:w="859" w:type="pct"/>
            <w:tcBorders>
              <w:top w:val="single" w:sz="8" w:space="0" w:color="000000"/>
              <w:left w:val="nil"/>
              <w:bottom w:val="single" w:sz="12" w:space="0" w:color="auto"/>
              <w:right w:val="nil"/>
            </w:tcBorders>
            <w:shd w:val="clear" w:color="auto" w:fill="auto"/>
            <w:vAlign w:val="bottom"/>
          </w:tcPr>
          <w:p w14:paraId="414EF116" w14:textId="1515D40B" w:rsidR="00CD4849" w:rsidRPr="00537128" w:rsidRDefault="00CD4849" w:rsidP="00CD4849">
            <w:pPr>
              <w:tabs>
                <w:tab w:val="right" w:pos="1202"/>
              </w:tabs>
              <w:spacing w:after="0" w:line="240" w:lineRule="auto"/>
              <w:jc w:val="right"/>
              <w:outlineLvl w:val="0"/>
              <w:rPr>
                <w:rFonts w:ascii="Calibri" w:eastAsia="Times New Roman" w:hAnsi="Calibri" w:cs="Arial"/>
                <w:b/>
                <w:sz w:val="20"/>
                <w:szCs w:val="20"/>
                <w:lang w:val="en-US"/>
              </w:rPr>
            </w:pPr>
            <w:r w:rsidRPr="00CD1658">
              <w:rPr>
                <w:rFonts w:ascii="Calibri" w:eastAsia="Times New Roman" w:hAnsi="Calibri" w:cs="Arial"/>
                <w:b/>
                <w:sz w:val="20"/>
                <w:szCs w:val="20"/>
                <w:lang w:val="en-US"/>
              </w:rPr>
              <w:t>18,527</w:t>
            </w:r>
          </w:p>
        </w:tc>
      </w:tr>
    </w:tbl>
    <w:p w14:paraId="34AF78B2"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p w14:paraId="4AB620FA" w14:textId="77777777" w:rsidR="0078512D" w:rsidRPr="00537128" w:rsidRDefault="0078512D" w:rsidP="0078512D">
      <w:pPr>
        <w:spacing w:after="0" w:line="240" w:lineRule="auto"/>
        <w:jc w:val="both"/>
        <w:rPr>
          <w:rFonts w:ascii="Calibri" w:eastAsia="Calibri" w:hAnsi="Calibri" w:cs="Times New Roman"/>
          <w:b/>
          <w:lang w:val="en-US"/>
        </w:rPr>
      </w:pPr>
    </w:p>
    <w:p w14:paraId="481BE844" w14:textId="77777777" w:rsidR="0078512D" w:rsidRPr="00537128" w:rsidRDefault="0078512D" w:rsidP="0078512D">
      <w:pPr>
        <w:spacing w:after="0" w:line="240" w:lineRule="auto"/>
        <w:jc w:val="both"/>
        <w:rPr>
          <w:rFonts w:ascii="Calibri" w:eastAsia="Calibri" w:hAnsi="Calibri" w:cs="Times New Roman"/>
          <w:lang w:val="en-US"/>
        </w:rPr>
      </w:pPr>
      <w:r w:rsidRPr="00537128">
        <w:rPr>
          <w:rFonts w:ascii="Calibri" w:eastAsia="Calibri" w:hAnsi="Calibri" w:cs="Times New Roman"/>
          <w:lang w:val="en-US"/>
        </w:rPr>
        <w:t>ii)  The fair value of Level 3 financial assets measured at fair value upon initial recognition – unlisted debt securities:</w:t>
      </w:r>
    </w:p>
    <w:p w14:paraId="71AA638C" w14:textId="77777777" w:rsidR="0078512D" w:rsidRPr="00537128" w:rsidRDefault="0078512D" w:rsidP="0078512D">
      <w:pPr>
        <w:spacing w:after="0" w:line="240" w:lineRule="auto"/>
        <w:jc w:val="both"/>
        <w:rPr>
          <w:rFonts w:ascii="Calibri" w:eastAsia="Calibri" w:hAnsi="Calibri" w:cs="Times New Roman"/>
          <w:b/>
          <w:lang w:val="en-US"/>
        </w:rPr>
      </w:pPr>
    </w:p>
    <w:tbl>
      <w:tblPr>
        <w:tblpPr w:leftFromText="180" w:rightFromText="180" w:vertAnchor="text" w:horzAnchor="margin" w:tblpXSpec="center" w:tblpY="10"/>
        <w:tblW w:w="4773" w:type="pct"/>
        <w:tblCellMar>
          <w:left w:w="122" w:type="dxa"/>
          <w:right w:w="122" w:type="dxa"/>
        </w:tblCellMar>
        <w:tblLook w:val="04A0" w:firstRow="1" w:lastRow="0" w:firstColumn="1" w:lastColumn="0" w:noHBand="0" w:noVBand="1"/>
      </w:tblPr>
      <w:tblGrid>
        <w:gridCol w:w="5954"/>
        <w:gridCol w:w="1559"/>
        <w:gridCol w:w="1416"/>
      </w:tblGrid>
      <w:tr w:rsidR="0078512D" w:rsidRPr="00537128" w14:paraId="615D01D4" w14:textId="77777777" w:rsidTr="0078512D">
        <w:trPr>
          <w:trHeight w:hRule="exact" w:val="253"/>
        </w:trPr>
        <w:tc>
          <w:tcPr>
            <w:tcW w:w="3334" w:type="pct"/>
            <w:hideMark/>
          </w:tcPr>
          <w:p w14:paraId="30B9F2D0" w14:textId="77777777" w:rsidR="0078512D" w:rsidRPr="00537128" w:rsidRDefault="0078512D" w:rsidP="0078512D">
            <w:pPr>
              <w:tabs>
                <w:tab w:val="right" w:pos="1202"/>
              </w:tabs>
              <w:spacing w:after="0" w:line="260" w:lineRule="exact"/>
              <w:outlineLvl w:val="0"/>
              <w:rPr>
                <w:rFonts w:ascii="Calibri" w:eastAsia="Times New Roman" w:hAnsi="Calibri" w:cs="Arial"/>
                <w:b/>
                <w:spacing w:val="-2"/>
                <w:sz w:val="20"/>
                <w:szCs w:val="20"/>
                <w:lang w:val="en-US"/>
              </w:rPr>
            </w:pPr>
            <w:r w:rsidRPr="00537128">
              <w:rPr>
                <w:rFonts w:ascii="Calibri" w:eastAsia="Times New Roman" w:hAnsi="Calibri" w:cs="Arial"/>
                <w:b/>
                <w:spacing w:val="-2"/>
                <w:sz w:val="20"/>
                <w:szCs w:val="20"/>
                <w:lang w:val="en-US"/>
              </w:rPr>
              <w:t>Group and Bank</w:t>
            </w:r>
          </w:p>
        </w:tc>
        <w:tc>
          <w:tcPr>
            <w:tcW w:w="873" w:type="pct"/>
            <w:vAlign w:val="center"/>
            <w:hideMark/>
          </w:tcPr>
          <w:p w14:paraId="68A4E044" w14:textId="128A8785" w:rsidR="0078512D" w:rsidRPr="00537128" w:rsidRDefault="00456F9A" w:rsidP="0078512D">
            <w:pPr>
              <w:tabs>
                <w:tab w:val="right" w:pos="1202"/>
              </w:tabs>
              <w:spacing w:after="0" w:line="260" w:lineRule="exact"/>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Mar 31, 202</w:t>
            </w:r>
            <w:r w:rsidR="00CD17BB">
              <w:rPr>
                <w:rFonts w:ascii="Calibri" w:eastAsia="Times New Roman" w:hAnsi="Calibri" w:cs="Arial"/>
                <w:b/>
                <w:sz w:val="20"/>
                <w:szCs w:val="20"/>
                <w:lang w:val="en-US"/>
              </w:rPr>
              <w:t>2</w:t>
            </w:r>
          </w:p>
        </w:tc>
        <w:tc>
          <w:tcPr>
            <w:tcW w:w="793" w:type="pct"/>
            <w:hideMark/>
          </w:tcPr>
          <w:p w14:paraId="183C6E37" w14:textId="5BC514A2" w:rsidR="0078512D" w:rsidRPr="00537128" w:rsidRDefault="00456F9A" w:rsidP="0078512D">
            <w:pPr>
              <w:tabs>
                <w:tab w:val="right" w:pos="1202"/>
              </w:tabs>
              <w:spacing w:after="0" w:line="260" w:lineRule="exact"/>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Mar 31, 202</w:t>
            </w:r>
            <w:r w:rsidR="00CD17BB">
              <w:rPr>
                <w:rFonts w:ascii="Calibri" w:eastAsia="Times New Roman" w:hAnsi="Calibri" w:cs="Arial"/>
                <w:b/>
                <w:sz w:val="20"/>
                <w:szCs w:val="20"/>
                <w:lang w:val="en-US"/>
              </w:rPr>
              <w:t>1</w:t>
            </w:r>
          </w:p>
        </w:tc>
      </w:tr>
      <w:tr w:rsidR="0078512D" w:rsidRPr="00537128" w14:paraId="3C957A1B" w14:textId="77777777" w:rsidTr="0078512D">
        <w:trPr>
          <w:trHeight w:hRule="exact" w:val="227"/>
        </w:trPr>
        <w:tc>
          <w:tcPr>
            <w:tcW w:w="3334" w:type="pct"/>
          </w:tcPr>
          <w:p w14:paraId="481C17A7" w14:textId="77777777" w:rsidR="0078512D" w:rsidRPr="00537128" w:rsidRDefault="0078512D" w:rsidP="0078512D">
            <w:pPr>
              <w:tabs>
                <w:tab w:val="right" w:pos="1202"/>
              </w:tabs>
              <w:spacing w:after="0" w:line="260" w:lineRule="exact"/>
              <w:outlineLvl w:val="0"/>
              <w:rPr>
                <w:rFonts w:ascii="Calibri" w:eastAsia="Times New Roman" w:hAnsi="Calibri" w:cs="Arial"/>
                <w:b/>
                <w:spacing w:val="-2"/>
                <w:sz w:val="20"/>
                <w:szCs w:val="20"/>
                <w:lang w:val="en-US"/>
              </w:rPr>
            </w:pPr>
          </w:p>
        </w:tc>
        <w:tc>
          <w:tcPr>
            <w:tcW w:w="873" w:type="pct"/>
            <w:hideMark/>
          </w:tcPr>
          <w:p w14:paraId="78C4423F" w14:textId="77777777" w:rsidR="0078512D" w:rsidRPr="00537128" w:rsidRDefault="0078512D" w:rsidP="0078512D">
            <w:pPr>
              <w:tabs>
                <w:tab w:val="right" w:pos="1202"/>
              </w:tabs>
              <w:spacing w:after="0" w:line="260" w:lineRule="exact"/>
              <w:jc w:val="right"/>
              <w:outlineLvl w:val="0"/>
              <w:rPr>
                <w:rFonts w:ascii="Calibri" w:eastAsia="Times New Roman" w:hAnsi="Calibri" w:cs="Arial"/>
                <w:b/>
                <w:sz w:val="20"/>
                <w:szCs w:val="20"/>
                <w:lang w:val="en-US"/>
              </w:rPr>
            </w:pPr>
            <w:bookmarkStart w:id="1272" w:name="_Toc4063303"/>
            <w:r w:rsidRPr="00537128">
              <w:rPr>
                <w:rFonts w:ascii="Calibri" w:eastAsia="Times New Roman" w:hAnsi="Calibri" w:cs="Arial"/>
                <w:b/>
                <w:sz w:val="20"/>
                <w:szCs w:val="20"/>
                <w:lang w:val="en-US"/>
              </w:rPr>
              <w:t>HRK ‘000</w:t>
            </w:r>
            <w:bookmarkEnd w:id="1272"/>
          </w:p>
        </w:tc>
        <w:tc>
          <w:tcPr>
            <w:tcW w:w="793" w:type="pct"/>
            <w:hideMark/>
          </w:tcPr>
          <w:p w14:paraId="1C2E7043" w14:textId="77777777" w:rsidR="0078512D" w:rsidRPr="00537128" w:rsidRDefault="0078512D" w:rsidP="0078512D">
            <w:pPr>
              <w:tabs>
                <w:tab w:val="right" w:pos="1202"/>
              </w:tabs>
              <w:spacing w:after="0" w:line="260" w:lineRule="exact"/>
              <w:jc w:val="right"/>
              <w:outlineLvl w:val="0"/>
              <w:rPr>
                <w:rFonts w:ascii="Calibri" w:eastAsia="Times New Roman" w:hAnsi="Calibri" w:cs="Arial"/>
                <w:b/>
                <w:sz w:val="20"/>
                <w:szCs w:val="20"/>
                <w:lang w:val="en-US"/>
              </w:rPr>
            </w:pPr>
            <w:bookmarkStart w:id="1273" w:name="_Toc4063304"/>
            <w:r w:rsidRPr="00537128">
              <w:rPr>
                <w:rFonts w:ascii="Calibri" w:eastAsia="Times New Roman" w:hAnsi="Calibri" w:cs="Arial"/>
                <w:b/>
                <w:sz w:val="20"/>
                <w:szCs w:val="20"/>
                <w:lang w:val="en-US"/>
              </w:rPr>
              <w:t>HRK ‘000</w:t>
            </w:r>
            <w:bookmarkEnd w:id="1273"/>
          </w:p>
        </w:tc>
      </w:tr>
      <w:tr w:rsidR="0078512D" w:rsidRPr="00537128" w14:paraId="2F2C05D8" w14:textId="77777777" w:rsidTr="002275B0">
        <w:trPr>
          <w:trHeight w:hRule="exact" w:val="284"/>
        </w:trPr>
        <w:tc>
          <w:tcPr>
            <w:tcW w:w="3334" w:type="pct"/>
          </w:tcPr>
          <w:p w14:paraId="4D7A2763" w14:textId="77777777" w:rsidR="0078512D" w:rsidRPr="00537128" w:rsidRDefault="0078512D" w:rsidP="0078512D">
            <w:pPr>
              <w:tabs>
                <w:tab w:val="right" w:pos="1202"/>
              </w:tabs>
              <w:spacing w:after="0" w:line="260" w:lineRule="exact"/>
              <w:outlineLvl w:val="0"/>
              <w:rPr>
                <w:rFonts w:ascii="Calibri" w:eastAsia="Times New Roman" w:hAnsi="Calibri" w:cs="Arial"/>
                <w:b/>
                <w:i/>
                <w:spacing w:val="-2"/>
                <w:sz w:val="20"/>
                <w:szCs w:val="20"/>
                <w:lang w:val="en-US"/>
              </w:rPr>
            </w:pPr>
          </w:p>
        </w:tc>
        <w:tc>
          <w:tcPr>
            <w:tcW w:w="873" w:type="pct"/>
          </w:tcPr>
          <w:p w14:paraId="6245E90A" w14:textId="77777777" w:rsidR="0078512D" w:rsidRPr="00537128" w:rsidRDefault="0078512D" w:rsidP="0078512D">
            <w:pPr>
              <w:tabs>
                <w:tab w:val="right" w:pos="1202"/>
              </w:tabs>
              <w:spacing w:after="0" w:line="260" w:lineRule="exact"/>
              <w:jc w:val="right"/>
              <w:outlineLvl w:val="0"/>
              <w:rPr>
                <w:rFonts w:ascii="Calibri" w:eastAsia="Times New Roman" w:hAnsi="Calibri" w:cs="Arial"/>
                <w:sz w:val="20"/>
                <w:szCs w:val="20"/>
                <w:lang w:val="en-US"/>
              </w:rPr>
            </w:pPr>
          </w:p>
        </w:tc>
        <w:tc>
          <w:tcPr>
            <w:tcW w:w="793" w:type="pct"/>
          </w:tcPr>
          <w:p w14:paraId="2F0A09F0" w14:textId="77777777" w:rsidR="0078512D" w:rsidRPr="00537128" w:rsidRDefault="0078512D" w:rsidP="0078512D">
            <w:pPr>
              <w:tabs>
                <w:tab w:val="right" w:pos="1202"/>
              </w:tabs>
              <w:spacing w:after="0" w:line="260" w:lineRule="exact"/>
              <w:jc w:val="right"/>
              <w:outlineLvl w:val="0"/>
              <w:rPr>
                <w:rFonts w:ascii="Calibri" w:eastAsia="Times New Roman" w:hAnsi="Calibri" w:cs="Arial"/>
                <w:sz w:val="20"/>
                <w:szCs w:val="20"/>
                <w:lang w:val="en-US"/>
              </w:rPr>
            </w:pPr>
          </w:p>
        </w:tc>
      </w:tr>
      <w:tr w:rsidR="00CD4849" w:rsidRPr="00537128" w14:paraId="34D963B6" w14:textId="77777777" w:rsidTr="002275B0">
        <w:trPr>
          <w:trHeight w:hRule="exact" w:val="284"/>
        </w:trPr>
        <w:tc>
          <w:tcPr>
            <w:tcW w:w="3334" w:type="pct"/>
            <w:vAlign w:val="bottom"/>
            <w:hideMark/>
          </w:tcPr>
          <w:p w14:paraId="46E8F826" w14:textId="77777777" w:rsidR="00CD4849" w:rsidRPr="00537128" w:rsidRDefault="00CD4849" w:rsidP="00CD4849">
            <w:pPr>
              <w:spacing w:after="0" w:line="254" w:lineRule="auto"/>
              <w:rPr>
                <w:rFonts w:ascii="Calibri" w:eastAsia="Calibri" w:hAnsi="Calibri" w:cs="Times New Roman"/>
                <w:b/>
                <w:bCs/>
                <w:sz w:val="20"/>
                <w:szCs w:val="20"/>
                <w:lang w:val="en-US"/>
              </w:rPr>
            </w:pPr>
            <w:r w:rsidRPr="00537128">
              <w:rPr>
                <w:rFonts w:ascii="Calibri" w:eastAsia="Calibri" w:hAnsi="Calibri" w:cs="Times New Roman"/>
                <w:b/>
                <w:bCs/>
                <w:sz w:val="20"/>
                <w:szCs w:val="20"/>
                <w:lang w:val="en-US"/>
              </w:rPr>
              <w:t xml:space="preserve">Balance as </w:t>
            </w:r>
            <w:proofErr w:type="gramStart"/>
            <w:r w:rsidRPr="00537128">
              <w:rPr>
                <w:rFonts w:ascii="Calibri" w:eastAsia="Calibri" w:hAnsi="Calibri" w:cs="Times New Roman"/>
                <w:b/>
                <w:bCs/>
                <w:sz w:val="20"/>
                <w:szCs w:val="20"/>
                <w:lang w:val="en-US"/>
              </w:rPr>
              <w:t>at</w:t>
            </w:r>
            <w:proofErr w:type="gramEnd"/>
            <w:r w:rsidRPr="00537128">
              <w:rPr>
                <w:rFonts w:ascii="Calibri" w:eastAsia="Calibri" w:hAnsi="Calibri" w:cs="Times New Roman"/>
                <w:b/>
                <w:bCs/>
                <w:sz w:val="20"/>
                <w:szCs w:val="20"/>
                <w:lang w:val="en-US"/>
              </w:rPr>
              <w:t xml:space="preserve"> 1 January </w:t>
            </w:r>
          </w:p>
        </w:tc>
        <w:tc>
          <w:tcPr>
            <w:tcW w:w="873" w:type="pct"/>
            <w:tcBorders>
              <w:top w:val="nil"/>
              <w:left w:val="nil"/>
              <w:bottom w:val="single" w:sz="4" w:space="0" w:color="auto"/>
              <w:right w:val="nil"/>
            </w:tcBorders>
            <w:vAlign w:val="bottom"/>
          </w:tcPr>
          <w:p w14:paraId="7284AAFC" w14:textId="50706998" w:rsidR="00CD4849" w:rsidRPr="00537128" w:rsidRDefault="00CD4849" w:rsidP="00CD4849">
            <w:pPr>
              <w:tabs>
                <w:tab w:val="right" w:pos="1202"/>
              </w:tabs>
              <w:spacing w:after="0" w:line="260" w:lineRule="exact"/>
              <w:jc w:val="right"/>
              <w:outlineLvl w:val="0"/>
              <w:rPr>
                <w:rFonts w:ascii="Calibri" w:eastAsia="Times New Roman" w:hAnsi="Calibri" w:cs="Arial"/>
                <w:b/>
                <w:sz w:val="20"/>
                <w:szCs w:val="20"/>
                <w:lang w:val="en-US"/>
              </w:rPr>
            </w:pPr>
            <w:r>
              <w:rPr>
                <w:rFonts w:ascii="Calibri" w:hAnsi="Calibri" w:cs="Arial"/>
                <w:b/>
                <w:color w:val="000000" w:themeColor="text1"/>
                <w:sz w:val="20"/>
                <w:szCs w:val="20"/>
              </w:rPr>
              <w:t>2,176</w:t>
            </w:r>
          </w:p>
        </w:tc>
        <w:tc>
          <w:tcPr>
            <w:tcW w:w="793" w:type="pct"/>
            <w:tcBorders>
              <w:top w:val="nil"/>
              <w:left w:val="nil"/>
              <w:bottom w:val="single" w:sz="4" w:space="0" w:color="auto"/>
              <w:right w:val="nil"/>
            </w:tcBorders>
            <w:vAlign w:val="center"/>
          </w:tcPr>
          <w:p w14:paraId="66A075F0" w14:textId="64E3B882" w:rsidR="00CD4849" w:rsidRPr="00537128" w:rsidRDefault="00CD4849" w:rsidP="00CD4849">
            <w:pPr>
              <w:tabs>
                <w:tab w:val="right" w:pos="1202"/>
              </w:tabs>
              <w:spacing w:after="0" w:line="260" w:lineRule="exact"/>
              <w:jc w:val="right"/>
              <w:outlineLvl w:val="0"/>
              <w:rPr>
                <w:rFonts w:ascii="Calibri" w:eastAsia="Times New Roman" w:hAnsi="Calibri" w:cs="Arial"/>
                <w:b/>
                <w:sz w:val="20"/>
                <w:szCs w:val="20"/>
                <w:lang w:val="en-US"/>
              </w:rPr>
            </w:pPr>
            <w:r w:rsidRPr="00B8393E">
              <w:rPr>
                <w:rFonts w:ascii="Calibri" w:eastAsia="Times New Roman" w:hAnsi="Calibri" w:cs="Arial"/>
                <w:b/>
                <w:sz w:val="20"/>
                <w:szCs w:val="20"/>
                <w:lang w:val="en-US"/>
              </w:rPr>
              <w:t>2,262</w:t>
            </w:r>
          </w:p>
        </w:tc>
      </w:tr>
      <w:tr w:rsidR="00CD4849" w:rsidRPr="00537128" w14:paraId="3E67A27F" w14:textId="77777777" w:rsidTr="002275B0">
        <w:trPr>
          <w:trHeight w:hRule="exact" w:val="374"/>
        </w:trPr>
        <w:tc>
          <w:tcPr>
            <w:tcW w:w="3334" w:type="pct"/>
            <w:vAlign w:val="bottom"/>
            <w:hideMark/>
          </w:tcPr>
          <w:p w14:paraId="12D309B2" w14:textId="2CF9408B" w:rsidR="00CD4849" w:rsidRPr="00537128" w:rsidRDefault="00CD4849" w:rsidP="00CD4849">
            <w:pPr>
              <w:spacing w:after="0" w:line="254" w:lineRule="auto"/>
              <w:rPr>
                <w:rFonts w:ascii="Calibri" w:eastAsia="Calibri" w:hAnsi="Calibri" w:cs="Times New Roman"/>
                <w:sz w:val="20"/>
                <w:szCs w:val="20"/>
                <w:lang w:val="en-US"/>
              </w:rPr>
            </w:pPr>
            <w:r w:rsidRPr="00A1123E">
              <w:rPr>
                <w:rFonts w:ascii="Calibri" w:eastAsia="Calibri" w:hAnsi="Calibri" w:cs="Times New Roman"/>
                <w:sz w:val="20"/>
                <w:szCs w:val="20"/>
                <w:lang w:val="en-US"/>
              </w:rPr>
              <w:t>Decrease</w:t>
            </w:r>
            <w:r w:rsidRPr="00CD1658">
              <w:rPr>
                <w:rFonts w:ascii="Calibri" w:eastAsia="Calibri" w:hAnsi="Calibri" w:cs="Times New Roman"/>
                <w:sz w:val="20"/>
                <w:szCs w:val="20"/>
                <w:lang w:val="en-US"/>
              </w:rPr>
              <w:t xml:space="preserve"> in</w:t>
            </w:r>
            <w:r w:rsidRPr="00537128">
              <w:rPr>
                <w:rFonts w:ascii="Calibri" w:eastAsia="Calibri" w:hAnsi="Calibri" w:cs="Times New Roman"/>
                <w:sz w:val="20"/>
                <w:szCs w:val="20"/>
                <w:lang w:val="en-US"/>
              </w:rPr>
              <w:t xml:space="preserve"> fair value through other comprehensive income</w:t>
            </w:r>
          </w:p>
        </w:tc>
        <w:tc>
          <w:tcPr>
            <w:tcW w:w="873" w:type="pct"/>
            <w:tcBorders>
              <w:top w:val="single" w:sz="4" w:space="0" w:color="auto"/>
              <w:left w:val="nil"/>
              <w:right w:val="nil"/>
            </w:tcBorders>
            <w:shd w:val="clear" w:color="auto" w:fill="auto"/>
            <w:vAlign w:val="bottom"/>
          </w:tcPr>
          <w:p w14:paraId="4527BD91" w14:textId="640AF258" w:rsidR="00CD4849" w:rsidRPr="00537128" w:rsidRDefault="00CD4849" w:rsidP="00CD4849">
            <w:pPr>
              <w:tabs>
                <w:tab w:val="right" w:pos="1202"/>
              </w:tabs>
              <w:spacing w:after="0" w:line="260" w:lineRule="exact"/>
              <w:jc w:val="right"/>
              <w:outlineLvl w:val="0"/>
              <w:rPr>
                <w:rFonts w:ascii="Calibri" w:eastAsia="Times New Roman" w:hAnsi="Calibri" w:cs="Arial"/>
                <w:sz w:val="20"/>
                <w:szCs w:val="20"/>
                <w:lang w:val="en-US"/>
              </w:rPr>
            </w:pPr>
            <w:r>
              <w:rPr>
                <w:rFonts w:cs="Arial"/>
                <w:color w:val="000000" w:themeColor="text1"/>
                <w:sz w:val="20"/>
                <w:szCs w:val="20"/>
              </w:rPr>
              <w:t>(38)</w:t>
            </w:r>
          </w:p>
        </w:tc>
        <w:tc>
          <w:tcPr>
            <w:tcW w:w="793" w:type="pct"/>
            <w:tcBorders>
              <w:top w:val="single" w:sz="4" w:space="0" w:color="auto"/>
              <w:left w:val="nil"/>
              <w:right w:val="nil"/>
            </w:tcBorders>
            <w:vAlign w:val="bottom"/>
          </w:tcPr>
          <w:p w14:paraId="20A03D98" w14:textId="649EC257" w:rsidR="00CD4849" w:rsidRPr="00537128" w:rsidRDefault="00CD4849" w:rsidP="00CD4849">
            <w:pPr>
              <w:tabs>
                <w:tab w:val="right" w:pos="1202"/>
              </w:tabs>
              <w:spacing w:after="0" w:line="260" w:lineRule="exact"/>
              <w:jc w:val="right"/>
              <w:outlineLvl w:val="0"/>
              <w:rPr>
                <w:rFonts w:ascii="Calibri" w:eastAsia="Times New Roman" w:hAnsi="Calibri" w:cs="Arial"/>
                <w:sz w:val="20"/>
                <w:szCs w:val="20"/>
                <w:lang w:val="en-US"/>
              </w:rPr>
            </w:pPr>
            <w:r>
              <w:rPr>
                <w:rFonts w:cs="Arial"/>
                <w:color w:val="000000" w:themeColor="text1"/>
                <w:sz w:val="20"/>
                <w:szCs w:val="20"/>
              </w:rPr>
              <w:t>(25)</w:t>
            </w:r>
          </w:p>
        </w:tc>
      </w:tr>
      <w:tr w:rsidR="00CD4849" w:rsidRPr="00537128" w14:paraId="106A8A9C" w14:textId="77777777" w:rsidTr="002125D1">
        <w:trPr>
          <w:trHeight w:hRule="exact" w:val="340"/>
        </w:trPr>
        <w:tc>
          <w:tcPr>
            <w:tcW w:w="3334" w:type="pct"/>
            <w:vAlign w:val="bottom"/>
            <w:hideMark/>
          </w:tcPr>
          <w:p w14:paraId="2E1D0A4B" w14:textId="77777777" w:rsidR="00CD4849" w:rsidRPr="00537128" w:rsidRDefault="00CD4849" w:rsidP="00CD4849">
            <w:pPr>
              <w:spacing w:after="0" w:line="254" w:lineRule="auto"/>
              <w:rPr>
                <w:rFonts w:ascii="Calibri" w:eastAsia="Calibri" w:hAnsi="Calibri" w:cs="Times New Roman"/>
                <w:sz w:val="20"/>
                <w:szCs w:val="20"/>
                <w:lang w:val="en-US"/>
              </w:rPr>
            </w:pPr>
            <w:r w:rsidRPr="00537128">
              <w:rPr>
                <w:rFonts w:ascii="Calibri" w:eastAsia="Calibri" w:hAnsi="Calibri" w:cs="Times New Roman"/>
                <w:sz w:val="20"/>
                <w:szCs w:val="20"/>
                <w:lang w:val="en-US"/>
              </w:rPr>
              <w:t>Net foreign exchange</w:t>
            </w:r>
          </w:p>
        </w:tc>
        <w:tc>
          <w:tcPr>
            <w:tcW w:w="873" w:type="pct"/>
            <w:tcBorders>
              <w:top w:val="nil"/>
              <w:left w:val="nil"/>
              <w:right w:val="nil"/>
            </w:tcBorders>
            <w:shd w:val="clear" w:color="auto" w:fill="auto"/>
            <w:vAlign w:val="bottom"/>
          </w:tcPr>
          <w:p w14:paraId="2B20A229" w14:textId="130012C2" w:rsidR="00CD4849" w:rsidRPr="00537128" w:rsidRDefault="00CD4849" w:rsidP="00CD4849">
            <w:pPr>
              <w:tabs>
                <w:tab w:val="right" w:pos="1202"/>
              </w:tabs>
              <w:spacing w:after="0" w:line="260" w:lineRule="exact"/>
              <w:jc w:val="right"/>
              <w:outlineLvl w:val="0"/>
              <w:rPr>
                <w:rFonts w:ascii="Calibri" w:eastAsia="Times New Roman" w:hAnsi="Calibri" w:cs="Arial"/>
                <w:sz w:val="20"/>
                <w:szCs w:val="20"/>
                <w:lang w:val="en-US"/>
              </w:rPr>
            </w:pPr>
            <w:r>
              <w:rPr>
                <w:rFonts w:cs="Arial"/>
                <w:color w:val="000000" w:themeColor="text1"/>
                <w:sz w:val="20"/>
                <w:szCs w:val="20"/>
              </w:rPr>
              <w:t>23</w:t>
            </w:r>
          </w:p>
        </w:tc>
        <w:tc>
          <w:tcPr>
            <w:tcW w:w="793" w:type="pct"/>
            <w:vAlign w:val="bottom"/>
          </w:tcPr>
          <w:p w14:paraId="1DF9BA3D" w14:textId="413F9741" w:rsidR="00CD4849" w:rsidRPr="00537128" w:rsidRDefault="00CD4849" w:rsidP="00CD4849">
            <w:pPr>
              <w:tabs>
                <w:tab w:val="right" w:pos="1202"/>
              </w:tabs>
              <w:spacing w:after="0" w:line="260" w:lineRule="exact"/>
              <w:jc w:val="right"/>
              <w:outlineLvl w:val="0"/>
              <w:rPr>
                <w:rFonts w:ascii="Calibri" w:eastAsia="Times New Roman" w:hAnsi="Calibri" w:cs="Arial"/>
                <w:sz w:val="20"/>
                <w:szCs w:val="20"/>
                <w:lang w:val="en-US"/>
              </w:rPr>
            </w:pPr>
            <w:r>
              <w:rPr>
                <w:rFonts w:cs="Arial"/>
                <w:color w:val="000000" w:themeColor="text1"/>
                <w:sz w:val="20"/>
                <w:szCs w:val="20"/>
              </w:rPr>
              <w:t>23</w:t>
            </w:r>
          </w:p>
        </w:tc>
      </w:tr>
      <w:tr w:rsidR="00CD4849" w:rsidRPr="00537128" w14:paraId="0A074C22" w14:textId="77777777" w:rsidTr="00A1123E">
        <w:trPr>
          <w:trHeight w:hRule="exact" w:val="340"/>
        </w:trPr>
        <w:tc>
          <w:tcPr>
            <w:tcW w:w="3334" w:type="pct"/>
            <w:vAlign w:val="bottom"/>
            <w:hideMark/>
          </w:tcPr>
          <w:p w14:paraId="62542AFB" w14:textId="77777777" w:rsidR="00CD4849" w:rsidRPr="00537128" w:rsidRDefault="00CD4849" w:rsidP="00CD4849">
            <w:pPr>
              <w:spacing w:after="0" w:line="254" w:lineRule="auto"/>
              <w:rPr>
                <w:rFonts w:ascii="Calibri" w:eastAsia="Calibri" w:hAnsi="Calibri" w:cs="Times New Roman"/>
                <w:sz w:val="20"/>
                <w:szCs w:val="20"/>
                <w:lang w:val="en-US"/>
              </w:rPr>
            </w:pPr>
            <w:r w:rsidRPr="00537128">
              <w:rPr>
                <w:rFonts w:ascii="Calibri" w:eastAsia="Calibri" w:hAnsi="Calibri" w:cs="Times New Roman"/>
                <w:sz w:val="20"/>
                <w:szCs w:val="20"/>
                <w:lang w:val="en-US"/>
              </w:rPr>
              <w:t xml:space="preserve">Accrued interest </w:t>
            </w:r>
          </w:p>
        </w:tc>
        <w:tc>
          <w:tcPr>
            <w:tcW w:w="873" w:type="pct"/>
            <w:tcBorders>
              <w:left w:val="nil"/>
              <w:bottom w:val="single" w:sz="8" w:space="0" w:color="000000"/>
              <w:right w:val="nil"/>
            </w:tcBorders>
            <w:shd w:val="clear" w:color="auto" w:fill="auto"/>
            <w:vAlign w:val="bottom"/>
          </w:tcPr>
          <w:p w14:paraId="5201D4BF" w14:textId="04DC4877" w:rsidR="00CD4849" w:rsidRPr="00537128" w:rsidRDefault="00CD4849" w:rsidP="00CD4849">
            <w:pPr>
              <w:tabs>
                <w:tab w:val="right" w:pos="1202"/>
              </w:tabs>
              <w:spacing w:after="0" w:line="260" w:lineRule="exact"/>
              <w:jc w:val="right"/>
              <w:outlineLvl w:val="0"/>
              <w:rPr>
                <w:rFonts w:ascii="Calibri" w:eastAsia="Times New Roman" w:hAnsi="Calibri" w:cs="Arial"/>
                <w:sz w:val="20"/>
                <w:szCs w:val="20"/>
                <w:lang w:val="en-US"/>
              </w:rPr>
            </w:pPr>
            <w:r>
              <w:rPr>
                <w:rFonts w:cs="Arial"/>
                <w:color w:val="000000" w:themeColor="text1"/>
                <w:sz w:val="20"/>
                <w:szCs w:val="20"/>
              </w:rPr>
              <w:t>(10)</w:t>
            </w:r>
          </w:p>
        </w:tc>
        <w:tc>
          <w:tcPr>
            <w:tcW w:w="793" w:type="pct"/>
            <w:tcBorders>
              <w:left w:val="nil"/>
              <w:bottom w:val="single" w:sz="4" w:space="0" w:color="auto"/>
              <w:right w:val="nil"/>
            </w:tcBorders>
            <w:vAlign w:val="bottom"/>
          </w:tcPr>
          <w:p w14:paraId="2B4B7D01" w14:textId="253C45C3" w:rsidR="00CD4849" w:rsidRPr="00537128" w:rsidRDefault="00CD4849" w:rsidP="00CD4849">
            <w:pPr>
              <w:tabs>
                <w:tab w:val="right" w:pos="1202"/>
              </w:tabs>
              <w:spacing w:after="0" w:line="260" w:lineRule="exact"/>
              <w:jc w:val="right"/>
              <w:outlineLvl w:val="0"/>
              <w:rPr>
                <w:rFonts w:ascii="Calibri" w:eastAsia="Times New Roman" w:hAnsi="Calibri" w:cs="Arial"/>
                <w:sz w:val="20"/>
                <w:szCs w:val="20"/>
                <w:lang w:val="en-US"/>
              </w:rPr>
            </w:pPr>
            <w:r>
              <w:rPr>
                <w:rFonts w:cs="Arial"/>
                <w:color w:val="000000" w:themeColor="text1"/>
                <w:sz w:val="20"/>
                <w:szCs w:val="20"/>
              </w:rPr>
              <w:t>(11)</w:t>
            </w:r>
          </w:p>
        </w:tc>
      </w:tr>
      <w:tr w:rsidR="00CD4849" w:rsidRPr="00537128" w14:paraId="606EB2FB" w14:textId="77777777" w:rsidTr="005A6D27">
        <w:trPr>
          <w:trHeight w:hRule="exact" w:val="397"/>
        </w:trPr>
        <w:tc>
          <w:tcPr>
            <w:tcW w:w="3334" w:type="pct"/>
            <w:vAlign w:val="bottom"/>
            <w:hideMark/>
          </w:tcPr>
          <w:p w14:paraId="550073BD" w14:textId="6CB46C6B" w:rsidR="00CD4849" w:rsidRPr="00537128" w:rsidRDefault="00CD4849" w:rsidP="00CD4849">
            <w:pPr>
              <w:spacing w:after="0" w:line="240" w:lineRule="auto"/>
              <w:rPr>
                <w:rFonts w:ascii="Calibri" w:eastAsia="Calibri" w:hAnsi="Calibri" w:cs="Times New Roman"/>
                <w:b/>
                <w:bCs/>
                <w:sz w:val="20"/>
                <w:szCs w:val="20"/>
                <w:lang w:val="en-US"/>
              </w:rPr>
            </w:pPr>
            <w:r w:rsidRPr="00537128">
              <w:rPr>
                <w:rFonts w:ascii="Calibri" w:eastAsia="Calibri" w:hAnsi="Calibri" w:cs="Times New Roman"/>
                <w:b/>
                <w:bCs/>
                <w:sz w:val="20"/>
                <w:szCs w:val="20"/>
                <w:lang w:val="en-US"/>
              </w:rPr>
              <w:t>Balance as of 31 March</w:t>
            </w:r>
          </w:p>
        </w:tc>
        <w:tc>
          <w:tcPr>
            <w:tcW w:w="873" w:type="pct"/>
            <w:tcBorders>
              <w:top w:val="single" w:sz="8" w:space="0" w:color="000000"/>
              <w:left w:val="nil"/>
              <w:bottom w:val="single" w:sz="12" w:space="0" w:color="auto"/>
              <w:right w:val="nil"/>
            </w:tcBorders>
            <w:shd w:val="clear" w:color="auto" w:fill="auto"/>
            <w:vAlign w:val="bottom"/>
          </w:tcPr>
          <w:p w14:paraId="0D650D21" w14:textId="3C972BAB" w:rsidR="00CD4849" w:rsidRPr="00537128" w:rsidRDefault="00CD4849" w:rsidP="00CD4849">
            <w:pPr>
              <w:tabs>
                <w:tab w:val="right" w:pos="1202"/>
              </w:tabs>
              <w:spacing w:after="0" w:line="240" w:lineRule="auto"/>
              <w:jc w:val="right"/>
              <w:outlineLvl w:val="0"/>
              <w:rPr>
                <w:rFonts w:ascii="Calibri" w:eastAsia="Times New Roman" w:hAnsi="Calibri" w:cs="Arial"/>
                <w:b/>
                <w:sz w:val="20"/>
                <w:szCs w:val="20"/>
                <w:lang w:val="en-US"/>
              </w:rPr>
            </w:pPr>
            <w:r>
              <w:rPr>
                <w:rFonts w:cs="Arial"/>
                <w:b/>
                <w:color w:val="000000" w:themeColor="text1"/>
                <w:sz w:val="20"/>
                <w:szCs w:val="20"/>
              </w:rPr>
              <w:t>2,151</w:t>
            </w:r>
          </w:p>
        </w:tc>
        <w:tc>
          <w:tcPr>
            <w:tcW w:w="793" w:type="pct"/>
            <w:tcBorders>
              <w:top w:val="single" w:sz="4" w:space="0" w:color="auto"/>
              <w:left w:val="nil"/>
              <w:bottom w:val="single" w:sz="12" w:space="0" w:color="auto"/>
              <w:right w:val="nil"/>
            </w:tcBorders>
            <w:vAlign w:val="bottom"/>
          </w:tcPr>
          <w:p w14:paraId="78B55AF0" w14:textId="68AA5D94" w:rsidR="00CD4849" w:rsidRPr="00537128" w:rsidRDefault="00CD4849" w:rsidP="00CD4849">
            <w:pPr>
              <w:tabs>
                <w:tab w:val="right" w:pos="1202"/>
              </w:tabs>
              <w:spacing w:after="0" w:line="260" w:lineRule="exact"/>
              <w:jc w:val="right"/>
              <w:outlineLvl w:val="0"/>
              <w:rPr>
                <w:rFonts w:ascii="Calibri" w:eastAsia="Times New Roman" w:hAnsi="Calibri" w:cs="Arial"/>
                <w:b/>
                <w:bCs/>
                <w:sz w:val="20"/>
                <w:szCs w:val="20"/>
                <w:lang w:val="en-US"/>
              </w:rPr>
            </w:pPr>
            <w:r w:rsidRPr="00CD1658">
              <w:rPr>
                <w:rFonts w:ascii="Calibri" w:eastAsia="Times New Roman" w:hAnsi="Calibri" w:cs="Arial"/>
                <w:b/>
                <w:sz w:val="20"/>
                <w:szCs w:val="20"/>
                <w:lang w:val="en-US"/>
              </w:rPr>
              <w:t>2,249</w:t>
            </w:r>
          </w:p>
        </w:tc>
      </w:tr>
    </w:tbl>
    <w:p w14:paraId="11D52286" w14:textId="77777777" w:rsidR="0078512D" w:rsidRPr="00537128" w:rsidRDefault="0078512D" w:rsidP="0078512D">
      <w:pPr>
        <w:spacing w:after="0" w:line="240" w:lineRule="auto"/>
        <w:jc w:val="both"/>
        <w:rPr>
          <w:rFonts w:ascii="Calibri" w:eastAsia="Calibri" w:hAnsi="Calibri" w:cs="Arial"/>
          <w:bCs/>
          <w:lang w:val="en-US"/>
        </w:rPr>
      </w:pPr>
    </w:p>
    <w:p w14:paraId="389A3244" w14:textId="77777777" w:rsidR="0087489E" w:rsidRPr="00537128" w:rsidRDefault="0087489E" w:rsidP="0078512D">
      <w:pPr>
        <w:spacing w:after="0" w:line="240" w:lineRule="auto"/>
        <w:jc w:val="both"/>
        <w:rPr>
          <w:rFonts w:ascii="Calibri" w:eastAsia="Calibri" w:hAnsi="Calibri" w:cs="Arial"/>
          <w:bCs/>
          <w:lang w:val="en-US"/>
        </w:rPr>
      </w:pPr>
    </w:p>
    <w:p w14:paraId="0E872E67" w14:textId="77777777" w:rsidR="0087489E" w:rsidRPr="00537128" w:rsidRDefault="0087489E" w:rsidP="0078512D">
      <w:pPr>
        <w:spacing w:after="0" w:line="240" w:lineRule="auto"/>
        <w:jc w:val="both"/>
        <w:rPr>
          <w:rFonts w:ascii="Calibri" w:eastAsia="Calibri" w:hAnsi="Calibri" w:cs="Arial"/>
          <w:bCs/>
          <w:lang w:val="en-US"/>
        </w:rPr>
        <w:sectPr w:rsidR="0087489E" w:rsidRPr="00537128" w:rsidSect="00712478">
          <w:pgSz w:w="11906" w:h="16838"/>
          <w:pgMar w:top="1418" w:right="1134" w:bottom="1418" w:left="1418" w:header="709" w:footer="709" w:gutter="0"/>
          <w:cols w:space="708"/>
          <w:docGrid w:linePitch="360"/>
        </w:sectPr>
      </w:pPr>
    </w:p>
    <w:p w14:paraId="730BD4C5" w14:textId="77777777" w:rsidR="005333DB" w:rsidRPr="00537128" w:rsidRDefault="005333DB" w:rsidP="00316ECA">
      <w:pPr>
        <w:tabs>
          <w:tab w:val="left" w:pos="709"/>
        </w:tabs>
        <w:spacing w:after="0" w:line="240" w:lineRule="auto"/>
        <w:jc w:val="both"/>
        <w:rPr>
          <w:rFonts w:ascii="Calibri" w:eastAsia="Times New Roman" w:hAnsi="Calibri" w:cs="Arial"/>
          <w:b/>
          <w:spacing w:val="-3"/>
          <w:lang w:val="en-US"/>
        </w:rPr>
      </w:pPr>
      <w:bookmarkStart w:id="1274" w:name="_Hlk37096545"/>
    </w:p>
    <w:p w14:paraId="27EE81FA" w14:textId="712DCF63" w:rsidR="00316ECA" w:rsidRPr="00537128" w:rsidRDefault="003E09B3" w:rsidP="00316ECA">
      <w:pPr>
        <w:tabs>
          <w:tab w:val="left" w:pos="709"/>
        </w:tabs>
        <w:spacing w:after="0" w:line="240" w:lineRule="auto"/>
        <w:jc w:val="both"/>
        <w:rPr>
          <w:rFonts w:ascii="Calibri" w:eastAsia="Times New Roman" w:hAnsi="Calibri" w:cs="Arial"/>
          <w:b/>
          <w:spacing w:val="-3"/>
          <w:lang w:val="en-US"/>
        </w:rPr>
      </w:pPr>
      <w:r w:rsidRPr="00537128">
        <w:rPr>
          <w:rFonts w:ascii="Calibri" w:eastAsia="Times New Roman" w:hAnsi="Calibri" w:cs="Arial"/>
          <w:b/>
          <w:spacing w:val="-3"/>
          <w:lang w:val="en-US"/>
        </w:rPr>
        <w:t>2</w:t>
      </w:r>
      <w:r>
        <w:rPr>
          <w:rFonts w:ascii="Calibri" w:eastAsia="Times New Roman" w:hAnsi="Calibri" w:cs="Arial"/>
          <w:b/>
          <w:spacing w:val="-3"/>
          <w:lang w:val="en-US"/>
        </w:rPr>
        <w:t>5</w:t>
      </w:r>
      <w:r w:rsidR="00316ECA" w:rsidRPr="00537128">
        <w:rPr>
          <w:rFonts w:ascii="Calibri" w:eastAsia="Times New Roman" w:hAnsi="Calibri" w:cs="Arial"/>
          <w:b/>
          <w:spacing w:val="-3"/>
          <w:lang w:val="en-US"/>
        </w:rPr>
        <w:t>.</w:t>
      </w:r>
      <w:r w:rsidR="00316ECA" w:rsidRPr="00537128">
        <w:rPr>
          <w:rFonts w:ascii="Calibri" w:eastAsia="Times New Roman" w:hAnsi="Calibri" w:cs="Arial"/>
          <w:b/>
          <w:spacing w:val="-3"/>
          <w:lang w:val="en-US"/>
        </w:rPr>
        <w:tab/>
        <w:t>Reporting by segments</w:t>
      </w:r>
    </w:p>
    <w:p w14:paraId="03FD29C4" w14:textId="77777777" w:rsidR="00316ECA" w:rsidRPr="00537128" w:rsidRDefault="00316ECA" w:rsidP="00316ECA">
      <w:pPr>
        <w:tabs>
          <w:tab w:val="left" w:pos="709"/>
        </w:tabs>
        <w:spacing w:after="0" w:line="240" w:lineRule="auto"/>
        <w:jc w:val="both"/>
        <w:rPr>
          <w:rFonts w:ascii="Calibri" w:eastAsia="Times New Roman" w:hAnsi="Calibri" w:cs="Arial"/>
          <w:b/>
          <w:spacing w:val="-3"/>
          <w:lang w:val="en-US"/>
        </w:rPr>
      </w:pPr>
    </w:p>
    <w:bookmarkEnd w:id="1274"/>
    <w:p w14:paraId="223804CB" w14:textId="77777777" w:rsidR="00316ECA" w:rsidRPr="00537128" w:rsidRDefault="00316ECA" w:rsidP="00316ECA">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General information on segments is given in relation to business segments of the Group. </w:t>
      </w:r>
    </w:p>
    <w:p w14:paraId="5A1CA940" w14:textId="77777777" w:rsidR="00316ECA" w:rsidRPr="00537128" w:rsidRDefault="00316ECA" w:rsidP="00316ECA">
      <w:pPr>
        <w:spacing w:after="0" w:line="240" w:lineRule="auto"/>
        <w:jc w:val="both"/>
        <w:rPr>
          <w:rFonts w:ascii="Calibri" w:eastAsia="Times New Roman" w:hAnsi="Calibri" w:cs="Arial"/>
          <w:lang w:val="en-US"/>
        </w:rPr>
      </w:pPr>
      <w:r w:rsidRPr="00537128">
        <w:rPr>
          <w:rFonts w:ascii="Calibri" w:eastAsia="Times New Roman" w:hAnsi="Calibri" w:cs="Arial"/>
          <w:lang w:val="en-US"/>
        </w:rPr>
        <w:t>Since the Group does not allocate administrative costs and interest by segments, the profitability of segments is not presented.</w:t>
      </w:r>
    </w:p>
    <w:p w14:paraId="1895DD5C" w14:textId="77777777" w:rsidR="00316ECA" w:rsidRPr="00537128" w:rsidRDefault="00316ECA" w:rsidP="00316ECA">
      <w:pPr>
        <w:spacing w:after="0" w:line="240" w:lineRule="auto"/>
        <w:jc w:val="both"/>
        <w:rPr>
          <w:rFonts w:ascii="Calibri" w:eastAsia="Times New Roman" w:hAnsi="Calibri" w:cs="Arial"/>
          <w:lang w:val="en-US"/>
        </w:rPr>
      </w:pPr>
    </w:p>
    <w:p w14:paraId="4859D57C" w14:textId="77777777" w:rsidR="00316ECA" w:rsidRPr="00537128" w:rsidRDefault="00316ECA" w:rsidP="00316ECA">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Assets and liabilities by segments are presented in net terms, </w:t>
      </w:r>
      <w:proofErr w:type="gramStart"/>
      <w:r w:rsidRPr="00537128">
        <w:rPr>
          <w:rFonts w:ascii="Calibri" w:eastAsia="Times New Roman" w:hAnsi="Calibri" w:cs="Arial"/>
          <w:lang w:val="en-US"/>
        </w:rPr>
        <w:t>i.e.</w:t>
      </w:r>
      <w:proofErr w:type="gramEnd"/>
      <w:r w:rsidRPr="00537128">
        <w:rPr>
          <w:rFonts w:ascii="Calibri" w:eastAsia="Times New Roman" w:hAnsi="Calibri" w:cs="Arial"/>
          <w:lang w:val="en-US"/>
        </w:rPr>
        <w:t xml:space="preserve"> gross after impairment and provisioning, and before the effect of mitigation through collateral received.</w:t>
      </w:r>
    </w:p>
    <w:p w14:paraId="395FBF54" w14:textId="77777777" w:rsidR="00316ECA" w:rsidRPr="00537128" w:rsidRDefault="00316ECA" w:rsidP="00316ECA">
      <w:pPr>
        <w:spacing w:after="0" w:line="240" w:lineRule="auto"/>
        <w:jc w:val="both"/>
        <w:rPr>
          <w:rFonts w:ascii="Calibri" w:eastAsia="Times New Roman" w:hAnsi="Calibri" w:cs="Arial"/>
          <w:lang w:val="en-US"/>
        </w:rPr>
      </w:pPr>
    </w:p>
    <w:p w14:paraId="293BC5B8" w14:textId="77777777" w:rsidR="00316ECA" w:rsidRPr="00537128" w:rsidRDefault="00316ECA" w:rsidP="00316ECA">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Business operations of segments are divided in terms of </w:t>
      </w:r>
      <w:proofErr w:type="spellStart"/>
      <w:r w:rsidRPr="00537128">
        <w:rPr>
          <w:rFonts w:ascii="Calibri" w:eastAsia="Times New Roman" w:hAnsi="Calibri" w:cs="Arial"/>
          <w:lang w:val="en-US"/>
        </w:rPr>
        <w:t>organisation</w:t>
      </w:r>
      <w:proofErr w:type="spellEnd"/>
      <w:r w:rsidRPr="00537128">
        <w:rPr>
          <w:rFonts w:ascii="Calibri" w:eastAsia="Times New Roman" w:hAnsi="Calibri" w:cs="Arial"/>
          <w:lang w:val="en-US"/>
        </w:rPr>
        <w:t xml:space="preserve"> and management. Each segment </w:t>
      </w:r>
      <w:proofErr w:type="gramStart"/>
      <w:r w:rsidRPr="00537128">
        <w:rPr>
          <w:rFonts w:ascii="Calibri" w:eastAsia="Times New Roman" w:hAnsi="Calibri" w:cs="Arial"/>
          <w:lang w:val="en-US"/>
        </w:rPr>
        <w:t>as a whole provides</w:t>
      </w:r>
      <w:proofErr w:type="gramEnd"/>
      <w:r w:rsidRPr="00537128">
        <w:rPr>
          <w:rFonts w:ascii="Calibri" w:eastAsia="Times New Roman" w:hAnsi="Calibri" w:cs="Arial"/>
          <w:lang w:val="en-US"/>
        </w:rPr>
        <w:t xml:space="preserve"> various products and services and operates in various markets.</w:t>
      </w:r>
    </w:p>
    <w:p w14:paraId="751CF344" w14:textId="77777777" w:rsidR="00316ECA" w:rsidRPr="00537128" w:rsidRDefault="00316ECA" w:rsidP="00316ECA">
      <w:pPr>
        <w:spacing w:after="0" w:line="240" w:lineRule="auto"/>
        <w:jc w:val="both"/>
        <w:rPr>
          <w:rFonts w:ascii="Calibri" w:eastAsia="Times New Roman" w:hAnsi="Calibri" w:cs="Arial"/>
          <w:lang w:val="en-US"/>
        </w:rPr>
      </w:pPr>
    </w:p>
    <w:p w14:paraId="72AD6638" w14:textId="77777777" w:rsidR="00316ECA" w:rsidRPr="00537128" w:rsidRDefault="00316ECA" w:rsidP="00316ECA">
      <w:pPr>
        <w:spacing w:after="0" w:line="240" w:lineRule="auto"/>
        <w:jc w:val="both"/>
        <w:rPr>
          <w:rFonts w:ascii="Calibri" w:eastAsia="Times New Roman" w:hAnsi="Calibri" w:cs="Arial"/>
          <w:b/>
          <w:lang w:val="en-US"/>
        </w:rPr>
      </w:pPr>
      <w:r w:rsidRPr="00537128">
        <w:rPr>
          <w:rFonts w:ascii="Calibri" w:eastAsia="Times New Roman" w:hAnsi="Calibri" w:cs="Arial"/>
          <w:b/>
          <w:lang w:val="en-US"/>
        </w:rPr>
        <w:t>Business segments:</w:t>
      </w:r>
    </w:p>
    <w:p w14:paraId="01376F8E" w14:textId="77777777" w:rsidR="00316ECA" w:rsidRPr="00537128" w:rsidRDefault="00316ECA" w:rsidP="00316ECA">
      <w:pPr>
        <w:spacing w:after="0" w:line="240" w:lineRule="auto"/>
        <w:jc w:val="both"/>
        <w:rPr>
          <w:rFonts w:ascii="Calibri" w:eastAsia="Times New Roman" w:hAnsi="Calibri" w:cs="Arial"/>
          <w:b/>
          <w:lang w:val="en-US"/>
        </w:rPr>
      </w:pPr>
    </w:p>
    <w:p w14:paraId="46BF3BC7" w14:textId="77777777" w:rsidR="00316ECA" w:rsidRPr="00537128" w:rsidRDefault="00316ECA" w:rsidP="00316ECA">
      <w:pPr>
        <w:spacing w:after="0" w:line="240" w:lineRule="auto"/>
        <w:jc w:val="both"/>
        <w:rPr>
          <w:rFonts w:ascii="Calibri" w:eastAsia="Times New Roman" w:hAnsi="Calibri" w:cs="Arial"/>
          <w:lang w:val="en-US"/>
        </w:rPr>
      </w:pPr>
      <w:r w:rsidRPr="00537128">
        <w:rPr>
          <w:rFonts w:ascii="Calibri" w:eastAsia="Times New Roman" w:hAnsi="Calibri" w:cs="Arial"/>
          <w:lang w:val="en-US"/>
        </w:rPr>
        <w:t>The Group has following business segments:</w:t>
      </w:r>
    </w:p>
    <w:p w14:paraId="31652D0B" w14:textId="77777777" w:rsidR="00316ECA" w:rsidRPr="00537128" w:rsidRDefault="00316ECA" w:rsidP="00316ECA">
      <w:pPr>
        <w:spacing w:after="0" w:line="240" w:lineRule="auto"/>
        <w:jc w:val="both"/>
        <w:rPr>
          <w:rFonts w:ascii="Calibri" w:eastAsia="Times New Roman" w:hAnsi="Calibri" w:cs="Arial"/>
          <w:lang w:val="en-US"/>
        </w:rPr>
      </w:pPr>
    </w:p>
    <w:tbl>
      <w:tblPr>
        <w:tblW w:w="9356" w:type="dxa"/>
        <w:tblLook w:val="01E0" w:firstRow="1" w:lastRow="1" w:firstColumn="1" w:lastColumn="1" w:noHBand="0" w:noVBand="0"/>
      </w:tblPr>
      <w:tblGrid>
        <w:gridCol w:w="2977"/>
        <w:gridCol w:w="284"/>
        <w:gridCol w:w="6095"/>
      </w:tblGrid>
      <w:tr w:rsidR="00316ECA" w:rsidRPr="00537128" w14:paraId="6FCF23AB" w14:textId="77777777" w:rsidTr="00316ECA">
        <w:tc>
          <w:tcPr>
            <w:tcW w:w="2977" w:type="dxa"/>
            <w:hideMark/>
          </w:tcPr>
          <w:p w14:paraId="117DC595" w14:textId="77777777" w:rsidR="00316ECA" w:rsidRPr="00537128" w:rsidRDefault="00316ECA" w:rsidP="00316ECA">
            <w:pPr>
              <w:spacing w:after="0" w:line="240" w:lineRule="auto"/>
              <w:jc w:val="both"/>
              <w:rPr>
                <w:rFonts w:ascii="Calibri" w:eastAsia="Times New Roman" w:hAnsi="Calibri" w:cs="Arial"/>
                <w:b/>
                <w:sz w:val="20"/>
                <w:szCs w:val="20"/>
                <w:lang w:val="en-US"/>
              </w:rPr>
            </w:pPr>
            <w:r w:rsidRPr="00537128">
              <w:rPr>
                <w:rFonts w:ascii="Calibri" w:eastAsia="Times New Roman" w:hAnsi="Calibri" w:cs="Arial"/>
                <w:b/>
                <w:sz w:val="20"/>
                <w:szCs w:val="20"/>
                <w:lang w:val="en-US"/>
              </w:rPr>
              <w:t>Segment:</w:t>
            </w:r>
          </w:p>
        </w:tc>
        <w:tc>
          <w:tcPr>
            <w:tcW w:w="284" w:type="dxa"/>
          </w:tcPr>
          <w:p w14:paraId="21119CA7" w14:textId="77777777" w:rsidR="00316ECA" w:rsidRPr="00537128" w:rsidRDefault="00316ECA" w:rsidP="00316ECA">
            <w:pPr>
              <w:spacing w:after="0" w:line="240" w:lineRule="auto"/>
              <w:jc w:val="both"/>
              <w:rPr>
                <w:rFonts w:ascii="Calibri" w:eastAsia="Times New Roman" w:hAnsi="Calibri" w:cs="Arial"/>
                <w:b/>
                <w:sz w:val="20"/>
                <w:szCs w:val="20"/>
                <w:lang w:val="en-US"/>
              </w:rPr>
            </w:pPr>
          </w:p>
        </w:tc>
        <w:tc>
          <w:tcPr>
            <w:tcW w:w="6095" w:type="dxa"/>
            <w:hideMark/>
          </w:tcPr>
          <w:p w14:paraId="3BB37CFF" w14:textId="77777777" w:rsidR="00316ECA" w:rsidRPr="00537128" w:rsidRDefault="00316ECA" w:rsidP="00316ECA">
            <w:pPr>
              <w:spacing w:after="0" w:line="240" w:lineRule="auto"/>
              <w:jc w:val="both"/>
              <w:rPr>
                <w:rFonts w:ascii="Calibri" w:eastAsia="Calibri" w:hAnsi="Calibri" w:cs="Arial"/>
                <w:b/>
                <w:sz w:val="20"/>
                <w:szCs w:val="20"/>
                <w:lang w:val="en-US"/>
              </w:rPr>
            </w:pPr>
            <w:r w:rsidRPr="00537128">
              <w:rPr>
                <w:rFonts w:ascii="Calibri" w:eastAsia="Calibri" w:hAnsi="Calibri" w:cs="Arial"/>
                <w:b/>
                <w:sz w:val="20"/>
                <w:szCs w:val="20"/>
                <w:lang w:val="en-US"/>
              </w:rPr>
              <w:t>Business activities of the segment include:</w:t>
            </w:r>
          </w:p>
        </w:tc>
      </w:tr>
      <w:tr w:rsidR="00316ECA" w:rsidRPr="00537128" w14:paraId="52001B60" w14:textId="77777777" w:rsidTr="00316ECA">
        <w:tc>
          <w:tcPr>
            <w:tcW w:w="2977" w:type="dxa"/>
          </w:tcPr>
          <w:p w14:paraId="78983993"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284" w:type="dxa"/>
          </w:tcPr>
          <w:p w14:paraId="02E5B052"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6095" w:type="dxa"/>
          </w:tcPr>
          <w:p w14:paraId="40A9ED44" w14:textId="77777777" w:rsidR="00316ECA" w:rsidRPr="00537128" w:rsidRDefault="00316ECA" w:rsidP="00316ECA">
            <w:pPr>
              <w:spacing w:after="0" w:line="240" w:lineRule="auto"/>
              <w:jc w:val="both"/>
              <w:rPr>
                <w:rFonts w:ascii="Calibri" w:eastAsia="Calibri" w:hAnsi="Calibri" w:cs="Arial"/>
                <w:sz w:val="20"/>
                <w:szCs w:val="20"/>
                <w:lang w:val="en-US"/>
              </w:rPr>
            </w:pPr>
          </w:p>
        </w:tc>
      </w:tr>
      <w:tr w:rsidR="00316ECA" w:rsidRPr="00537128" w14:paraId="01A6BB36" w14:textId="77777777" w:rsidTr="00316ECA">
        <w:tc>
          <w:tcPr>
            <w:tcW w:w="2977" w:type="dxa"/>
            <w:hideMark/>
          </w:tcPr>
          <w:p w14:paraId="69272244" w14:textId="77777777" w:rsidR="00316ECA" w:rsidRPr="00537128" w:rsidRDefault="00316ECA" w:rsidP="00316ECA">
            <w:pPr>
              <w:spacing w:after="0" w:line="240" w:lineRule="auto"/>
              <w:jc w:val="both"/>
              <w:rPr>
                <w:rFonts w:ascii="Calibri" w:eastAsia="Times New Roman" w:hAnsi="Calibri" w:cs="Arial"/>
                <w:sz w:val="20"/>
                <w:szCs w:val="20"/>
                <w:lang w:val="en-US"/>
              </w:rPr>
            </w:pPr>
            <w:r w:rsidRPr="00537128">
              <w:rPr>
                <w:rFonts w:ascii="Calibri" w:eastAsia="Times New Roman" w:hAnsi="Calibri" w:cs="Arial"/>
                <w:sz w:val="20"/>
                <w:szCs w:val="20"/>
                <w:lang w:val="en-US"/>
              </w:rPr>
              <w:t>Banking activities</w:t>
            </w:r>
          </w:p>
        </w:tc>
        <w:tc>
          <w:tcPr>
            <w:tcW w:w="284" w:type="dxa"/>
          </w:tcPr>
          <w:p w14:paraId="1D5A763A"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6095" w:type="dxa"/>
            <w:hideMark/>
          </w:tcPr>
          <w:p w14:paraId="32765BA6" w14:textId="77777777" w:rsidR="00316ECA" w:rsidRPr="00537128" w:rsidRDefault="00316ECA" w:rsidP="00316ECA">
            <w:pPr>
              <w:spacing w:after="0" w:line="240" w:lineRule="auto"/>
              <w:jc w:val="both"/>
              <w:rPr>
                <w:rFonts w:ascii="Calibri" w:eastAsia="Calibri" w:hAnsi="Calibri" w:cs="Arial"/>
                <w:sz w:val="20"/>
                <w:szCs w:val="20"/>
                <w:lang w:val="en-US"/>
              </w:rPr>
            </w:pPr>
            <w:r w:rsidRPr="00537128">
              <w:rPr>
                <w:rFonts w:ascii="Calibri" w:eastAsia="Calibri" w:hAnsi="Calibri" w:cs="Arial"/>
                <w:sz w:val="20"/>
                <w:szCs w:val="20"/>
                <w:lang w:val="en-US"/>
              </w:rPr>
              <w:t>Financing reconstruction and development of the Croatian economy, financing of infrastructure, export promotion, support for the development of small and medium-sized companies, environmental protection, and export credit insurance of Croatian goods and services against non-market risks for and on behalf of the Republic of Croatia.</w:t>
            </w:r>
          </w:p>
        </w:tc>
      </w:tr>
      <w:tr w:rsidR="00316ECA" w:rsidRPr="00537128" w14:paraId="746D7A4C" w14:textId="77777777" w:rsidTr="00316ECA">
        <w:tc>
          <w:tcPr>
            <w:tcW w:w="2977" w:type="dxa"/>
          </w:tcPr>
          <w:p w14:paraId="7468BA2A"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284" w:type="dxa"/>
          </w:tcPr>
          <w:p w14:paraId="70BADC43"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6095" w:type="dxa"/>
          </w:tcPr>
          <w:p w14:paraId="4BA0D739" w14:textId="77777777" w:rsidR="00316ECA" w:rsidRPr="00537128" w:rsidRDefault="00316ECA" w:rsidP="00316ECA">
            <w:pPr>
              <w:spacing w:after="0" w:line="240" w:lineRule="auto"/>
              <w:jc w:val="both"/>
              <w:rPr>
                <w:rFonts w:ascii="Calibri" w:eastAsia="Times New Roman" w:hAnsi="Calibri" w:cs="Arial"/>
                <w:sz w:val="20"/>
                <w:szCs w:val="20"/>
                <w:lang w:val="en-US"/>
              </w:rPr>
            </w:pPr>
          </w:p>
        </w:tc>
      </w:tr>
      <w:tr w:rsidR="00316ECA" w:rsidRPr="00537128" w14:paraId="438FE02A" w14:textId="77777777" w:rsidTr="00316ECA">
        <w:tc>
          <w:tcPr>
            <w:tcW w:w="2977" w:type="dxa"/>
            <w:hideMark/>
          </w:tcPr>
          <w:p w14:paraId="26F9B896" w14:textId="77777777" w:rsidR="00316ECA" w:rsidRPr="00537128" w:rsidRDefault="00316ECA" w:rsidP="00316ECA">
            <w:pPr>
              <w:spacing w:after="0" w:line="240" w:lineRule="auto"/>
              <w:jc w:val="both"/>
              <w:rPr>
                <w:rFonts w:ascii="Calibri" w:eastAsia="Times New Roman" w:hAnsi="Calibri" w:cs="Arial"/>
                <w:sz w:val="20"/>
                <w:szCs w:val="20"/>
                <w:lang w:val="en-US"/>
              </w:rPr>
            </w:pPr>
            <w:r w:rsidRPr="00537128">
              <w:rPr>
                <w:rFonts w:ascii="Calibri" w:eastAsia="Times New Roman" w:hAnsi="Calibri" w:cs="Arial"/>
                <w:sz w:val="20"/>
                <w:szCs w:val="20"/>
                <w:lang w:val="en-US"/>
              </w:rPr>
              <w:t>Insurance activities</w:t>
            </w:r>
          </w:p>
        </w:tc>
        <w:tc>
          <w:tcPr>
            <w:tcW w:w="284" w:type="dxa"/>
          </w:tcPr>
          <w:p w14:paraId="552B1973"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6095" w:type="dxa"/>
            <w:hideMark/>
          </w:tcPr>
          <w:p w14:paraId="717C2B23" w14:textId="77777777" w:rsidR="00316ECA" w:rsidRPr="00537128" w:rsidRDefault="00316ECA" w:rsidP="00316ECA">
            <w:pPr>
              <w:spacing w:after="0" w:line="240" w:lineRule="auto"/>
              <w:jc w:val="both"/>
              <w:rPr>
                <w:rFonts w:ascii="Calibri" w:eastAsia="Times New Roman" w:hAnsi="Calibri" w:cs="Arial"/>
                <w:sz w:val="20"/>
                <w:szCs w:val="20"/>
                <w:lang w:val="en-US"/>
              </w:rPr>
            </w:pPr>
            <w:r w:rsidRPr="00537128">
              <w:rPr>
                <w:rFonts w:ascii="Calibri" w:eastAsia="Times New Roman" w:hAnsi="Calibri" w:cs="Arial"/>
                <w:sz w:val="20"/>
                <w:szCs w:val="20"/>
                <w:lang w:val="en-US"/>
              </w:rPr>
              <w:t>Insurance of foreign and domestic short-term receivables of business entities relating to deliveries of goods and services.</w:t>
            </w:r>
          </w:p>
        </w:tc>
      </w:tr>
      <w:tr w:rsidR="00316ECA" w:rsidRPr="00537128" w14:paraId="3017A154" w14:textId="77777777" w:rsidTr="00316ECA">
        <w:tc>
          <w:tcPr>
            <w:tcW w:w="2977" w:type="dxa"/>
          </w:tcPr>
          <w:p w14:paraId="01978E3E"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284" w:type="dxa"/>
          </w:tcPr>
          <w:p w14:paraId="2E3891FA"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6095" w:type="dxa"/>
          </w:tcPr>
          <w:p w14:paraId="4B44F92A" w14:textId="77777777" w:rsidR="00316ECA" w:rsidRPr="00537128" w:rsidRDefault="00316ECA" w:rsidP="00316ECA">
            <w:pPr>
              <w:spacing w:after="0" w:line="240" w:lineRule="auto"/>
              <w:jc w:val="both"/>
              <w:rPr>
                <w:rFonts w:ascii="Calibri" w:eastAsia="Times New Roman" w:hAnsi="Calibri" w:cs="Arial"/>
                <w:sz w:val="20"/>
                <w:szCs w:val="20"/>
                <w:lang w:val="en-US"/>
              </w:rPr>
            </w:pPr>
          </w:p>
        </w:tc>
      </w:tr>
      <w:tr w:rsidR="00316ECA" w:rsidRPr="00537128" w14:paraId="4834331D" w14:textId="77777777" w:rsidTr="00316ECA">
        <w:tc>
          <w:tcPr>
            <w:tcW w:w="2977" w:type="dxa"/>
            <w:hideMark/>
          </w:tcPr>
          <w:p w14:paraId="1594E63D" w14:textId="77777777" w:rsidR="00316ECA" w:rsidRPr="00537128" w:rsidRDefault="00316ECA" w:rsidP="00316ECA">
            <w:pPr>
              <w:spacing w:after="0" w:line="240" w:lineRule="auto"/>
              <w:jc w:val="both"/>
              <w:rPr>
                <w:rFonts w:ascii="Calibri" w:eastAsia="Times New Roman" w:hAnsi="Calibri" w:cs="Arial"/>
                <w:sz w:val="20"/>
                <w:szCs w:val="20"/>
                <w:lang w:val="en-US"/>
              </w:rPr>
            </w:pPr>
            <w:r w:rsidRPr="00537128">
              <w:rPr>
                <w:rFonts w:ascii="Calibri" w:eastAsia="Times New Roman" w:hAnsi="Calibri" w:cs="Arial"/>
                <w:sz w:val="20"/>
                <w:szCs w:val="20"/>
                <w:lang w:val="en-US"/>
              </w:rPr>
              <w:t>Other</w:t>
            </w:r>
          </w:p>
        </w:tc>
        <w:tc>
          <w:tcPr>
            <w:tcW w:w="284" w:type="dxa"/>
          </w:tcPr>
          <w:p w14:paraId="0C517A05"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6095" w:type="dxa"/>
            <w:hideMark/>
          </w:tcPr>
          <w:p w14:paraId="2CC2CCB6" w14:textId="77777777" w:rsidR="00316ECA" w:rsidRPr="00537128" w:rsidRDefault="00316ECA" w:rsidP="00316ECA">
            <w:pPr>
              <w:spacing w:after="0" w:line="240" w:lineRule="auto"/>
              <w:jc w:val="both"/>
              <w:rPr>
                <w:rFonts w:ascii="Calibri" w:eastAsia="Times New Roman" w:hAnsi="Calibri" w:cs="Arial"/>
                <w:sz w:val="20"/>
                <w:szCs w:val="20"/>
                <w:lang w:val="en-US"/>
              </w:rPr>
            </w:pPr>
            <w:r w:rsidRPr="00537128">
              <w:rPr>
                <w:rFonts w:ascii="Calibri" w:eastAsia="Times New Roman" w:hAnsi="Calibri" w:cs="Arial"/>
                <w:sz w:val="20"/>
                <w:szCs w:val="20"/>
                <w:lang w:val="en-US"/>
              </w:rPr>
              <w:t xml:space="preserve">Preparation of analyses, credit risk assessment and providing information on creditworthiness. </w:t>
            </w:r>
          </w:p>
        </w:tc>
      </w:tr>
    </w:tbl>
    <w:p w14:paraId="1599C6F0" w14:textId="77777777" w:rsidR="0087489E" w:rsidRPr="00537128" w:rsidRDefault="0087489E" w:rsidP="0078512D">
      <w:pPr>
        <w:spacing w:after="0" w:line="240" w:lineRule="auto"/>
        <w:jc w:val="both"/>
        <w:rPr>
          <w:rFonts w:ascii="Calibri" w:eastAsia="Calibri" w:hAnsi="Calibri" w:cs="Arial"/>
          <w:bCs/>
          <w:lang w:val="en-US"/>
        </w:rPr>
      </w:pPr>
    </w:p>
    <w:p w14:paraId="4771B224" w14:textId="77777777" w:rsidR="008F335F" w:rsidRPr="00537128" w:rsidRDefault="008F335F" w:rsidP="0078512D">
      <w:pPr>
        <w:spacing w:after="0" w:line="240" w:lineRule="auto"/>
        <w:jc w:val="both"/>
        <w:rPr>
          <w:rFonts w:ascii="Calibri" w:eastAsia="Calibri" w:hAnsi="Calibri" w:cs="Arial"/>
          <w:bCs/>
          <w:lang w:val="en-US"/>
        </w:rPr>
      </w:pPr>
    </w:p>
    <w:p w14:paraId="6FCBD775" w14:textId="77777777" w:rsidR="00316ECA" w:rsidRPr="00537128" w:rsidRDefault="00316ECA" w:rsidP="0078512D">
      <w:pPr>
        <w:spacing w:after="0" w:line="240" w:lineRule="auto"/>
        <w:jc w:val="both"/>
        <w:rPr>
          <w:rFonts w:ascii="Calibri" w:eastAsia="Calibri" w:hAnsi="Calibri" w:cs="Arial"/>
          <w:bCs/>
          <w:lang w:val="en-US"/>
        </w:rPr>
        <w:sectPr w:rsidR="00316ECA" w:rsidRPr="00537128" w:rsidSect="00712478">
          <w:pgSz w:w="11906" w:h="16838"/>
          <w:pgMar w:top="1418" w:right="1134" w:bottom="1418" w:left="1418" w:header="709" w:footer="709" w:gutter="0"/>
          <w:cols w:space="708"/>
          <w:docGrid w:linePitch="360"/>
        </w:sectPr>
      </w:pPr>
    </w:p>
    <w:p w14:paraId="7A158F2C" w14:textId="77777777" w:rsidR="008F335F" w:rsidRPr="00537128" w:rsidRDefault="008F335F" w:rsidP="008F335F">
      <w:pPr>
        <w:tabs>
          <w:tab w:val="left" w:pos="709"/>
        </w:tabs>
        <w:spacing w:after="0" w:line="240" w:lineRule="auto"/>
        <w:jc w:val="both"/>
        <w:rPr>
          <w:rFonts w:ascii="Calibri" w:eastAsia="Times New Roman" w:hAnsi="Calibri" w:cs="Arial"/>
          <w:b/>
          <w:spacing w:val="-3"/>
          <w:lang w:val="en-US"/>
        </w:rPr>
      </w:pPr>
    </w:p>
    <w:p w14:paraId="28228BF0" w14:textId="490BB7AF" w:rsidR="008F335F" w:rsidRPr="00537128" w:rsidRDefault="003E09B3" w:rsidP="008F335F">
      <w:pPr>
        <w:tabs>
          <w:tab w:val="left" w:pos="709"/>
        </w:tabs>
        <w:spacing w:after="0" w:line="240" w:lineRule="auto"/>
        <w:jc w:val="both"/>
        <w:rPr>
          <w:rFonts w:ascii="Calibri" w:eastAsia="Times New Roman" w:hAnsi="Calibri" w:cs="Arial"/>
          <w:b/>
          <w:spacing w:val="-3"/>
          <w:lang w:val="en-US"/>
        </w:rPr>
      </w:pPr>
      <w:r w:rsidRPr="00537128">
        <w:rPr>
          <w:rFonts w:ascii="Calibri" w:eastAsia="Times New Roman" w:hAnsi="Calibri" w:cs="Arial"/>
          <w:b/>
          <w:spacing w:val="-3"/>
          <w:lang w:val="en-US"/>
        </w:rPr>
        <w:t>2</w:t>
      </w:r>
      <w:r>
        <w:rPr>
          <w:rFonts w:ascii="Calibri" w:eastAsia="Times New Roman" w:hAnsi="Calibri" w:cs="Arial"/>
          <w:b/>
          <w:spacing w:val="-3"/>
          <w:lang w:val="en-US"/>
        </w:rPr>
        <w:t>5</w:t>
      </w:r>
      <w:r w:rsidR="008F335F" w:rsidRPr="00537128">
        <w:rPr>
          <w:rFonts w:ascii="Calibri" w:eastAsia="Times New Roman" w:hAnsi="Calibri" w:cs="Arial"/>
          <w:b/>
          <w:spacing w:val="-3"/>
          <w:lang w:val="en-US"/>
        </w:rPr>
        <w:t>.</w:t>
      </w:r>
      <w:r w:rsidR="008F335F" w:rsidRPr="00537128">
        <w:rPr>
          <w:rFonts w:ascii="Calibri" w:eastAsia="Times New Roman" w:hAnsi="Calibri" w:cs="Arial"/>
          <w:b/>
          <w:spacing w:val="-3"/>
          <w:lang w:val="en-US"/>
        </w:rPr>
        <w:tab/>
        <w:t>Reporting by segments</w:t>
      </w:r>
      <w:r w:rsidR="00952781">
        <w:rPr>
          <w:rFonts w:ascii="Calibri" w:eastAsia="Times New Roman" w:hAnsi="Calibri" w:cs="Arial"/>
          <w:b/>
          <w:spacing w:val="-3"/>
          <w:lang w:val="en-US"/>
        </w:rPr>
        <w:t xml:space="preserve"> (continued)</w:t>
      </w:r>
    </w:p>
    <w:p w14:paraId="505F40E4" w14:textId="77777777" w:rsidR="008F335F" w:rsidRPr="00537128" w:rsidRDefault="008F335F" w:rsidP="008F335F">
      <w:pPr>
        <w:tabs>
          <w:tab w:val="left" w:pos="709"/>
        </w:tabs>
        <w:spacing w:after="0" w:line="240" w:lineRule="auto"/>
        <w:jc w:val="both"/>
        <w:rPr>
          <w:rFonts w:ascii="Calibri" w:eastAsia="Times New Roman" w:hAnsi="Calibri" w:cs="Arial"/>
          <w:b/>
          <w:spacing w:val="-3"/>
          <w:lang w:val="en-US"/>
        </w:rPr>
      </w:pPr>
    </w:p>
    <w:tbl>
      <w:tblPr>
        <w:tblpPr w:leftFromText="181" w:rightFromText="181" w:vertAnchor="text" w:horzAnchor="margin" w:tblpXSpec="center" w:tblpY="1"/>
        <w:tblW w:w="9639" w:type="dxa"/>
        <w:tblLayout w:type="fixed"/>
        <w:tblLook w:val="04A0" w:firstRow="1" w:lastRow="0" w:firstColumn="1" w:lastColumn="0" w:noHBand="0" w:noVBand="1"/>
      </w:tblPr>
      <w:tblGrid>
        <w:gridCol w:w="3369"/>
        <w:gridCol w:w="1275"/>
        <w:gridCol w:w="1418"/>
        <w:gridCol w:w="1134"/>
        <w:gridCol w:w="1309"/>
        <w:gridCol w:w="1134"/>
      </w:tblGrid>
      <w:tr w:rsidR="00456F9A" w:rsidRPr="00A74D5D" w14:paraId="58A137C8" w14:textId="77777777" w:rsidTr="00456F9A">
        <w:trPr>
          <w:trHeight w:val="600"/>
        </w:trPr>
        <w:tc>
          <w:tcPr>
            <w:tcW w:w="3369" w:type="dxa"/>
            <w:tcBorders>
              <w:left w:val="nil"/>
              <w:right w:val="nil"/>
            </w:tcBorders>
            <w:shd w:val="clear" w:color="auto" w:fill="auto"/>
            <w:vAlign w:val="bottom"/>
          </w:tcPr>
          <w:p w14:paraId="67D741CB" w14:textId="18A11F0B" w:rsidR="00456F9A" w:rsidRPr="00A74D5D" w:rsidRDefault="00456F9A" w:rsidP="00456F9A">
            <w:pPr>
              <w:spacing w:after="0" w:line="300" w:lineRule="exact"/>
              <w:rPr>
                <w:rFonts w:ascii="Calibri" w:eastAsia="Times New Roman" w:hAnsi="Calibri" w:cs="Arial"/>
                <w:b/>
                <w:bCs/>
                <w:sz w:val="20"/>
                <w:szCs w:val="20"/>
                <w:lang w:val="en-US"/>
              </w:rPr>
            </w:pPr>
            <w:r w:rsidRPr="00A74D5D">
              <w:rPr>
                <w:rFonts w:ascii="Calibri" w:eastAsia="Calibri" w:hAnsi="Calibri" w:cs="Calibri"/>
                <w:b/>
                <w:bCs/>
                <w:noProof/>
                <w:sz w:val="20"/>
                <w:szCs w:val="20"/>
                <w:lang w:val="en-US"/>
              </w:rPr>
              <w:t>Jan 1 – Mar 31, 202</w:t>
            </w:r>
            <w:r w:rsidR="005C65C0" w:rsidRPr="00A74D5D">
              <w:rPr>
                <w:rFonts w:ascii="Calibri" w:eastAsia="Calibri" w:hAnsi="Calibri" w:cs="Calibri"/>
                <w:b/>
                <w:bCs/>
                <w:noProof/>
                <w:sz w:val="20"/>
                <w:szCs w:val="20"/>
                <w:lang w:val="en-US"/>
              </w:rPr>
              <w:t>2</w:t>
            </w:r>
          </w:p>
        </w:tc>
        <w:tc>
          <w:tcPr>
            <w:tcW w:w="1275" w:type="dxa"/>
            <w:tcBorders>
              <w:left w:val="nil"/>
              <w:right w:val="nil"/>
            </w:tcBorders>
            <w:shd w:val="clear" w:color="auto" w:fill="auto"/>
          </w:tcPr>
          <w:p w14:paraId="48040919" w14:textId="77777777" w:rsidR="00456F9A" w:rsidRPr="00A74D5D" w:rsidRDefault="00456F9A" w:rsidP="00456F9A">
            <w:pPr>
              <w:spacing w:after="0" w:line="300" w:lineRule="exact"/>
              <w:jc w:val="right"/>
              <w:rPr>
                <w:rFonts w:ascii="Calibri" w:eastAsia="Times New Roman" w:hAnsi="Calibri" w:cs="Arial"/>
                <w:b/>
                <w:bCs/>
                <w:sz w:val="20"/>
                <w:szCs w:val="20"/>
                <w:lang w:val="en-US"/>
              </w:rPr>
            </w:pPr>
            <w:r w:rsidRPr="00A74D5D">
              <w:rPr>
                <w:rFonts w:ascii="Calibri" w:eastAsia="Times New Roman" w:hAnsi="Calibri" w:cs="Arial"/>
                <w:b/>
                <w:bCs/>
                <w:sz w:val="20"/>
                <w:szCs w:val="20"/>
                <w:lang w:val="en-US"/>
              </w:rPr>
              <w:t>Banking activities</w:t>
            </w:r>
          </w:p>
        </w:tc>
        <w:tc>
          <w:tcPr>
            <w:tcW w:w="1418" w:type="dxa"/>
            <w:tcBorders>
              <w:left w:val="nil"/>
              <w:right w:val="nil"/>
            </w:tcBorders>
            <w:shd w:val="clear" w:color="auto" w:fill="auto"/>
          </w:tcPr>
          <w:p w14:paraId="5DDDE3B0" w14:textId="77777777" w:rsidR="00456F9A" w:rsidRPr="00A74D5D" w:rsidRDefault="00456F9A" w:rsidP="00456F9A">
            <w:pPr>
              <w:spacing w:after="0" w:line="300" w:lineRule="exact"/>
              <w:jc w:val="right"/>
              <w:rPr>
                <w:rFonts w:ascii="Calibri" w:eastAsia="Times New Roman" w:hAnsi="Calibri" w:cs="Arial"/>
                <w:b/>
                <w:bCs/>
                <w:sz w:val="20"/>
                <w:szCs w:val="20"/>
                <w:lang w:val="en-US"/>
              </w:rPr>
            </w:pPr>
            <w:r w:rsidRPr="00A74D5D">
              <w:rPr>
                <w:rFonts w:ascii="Calibri" w:eastAsia="Times New Roman" w:hAnsi="Calibri" w:cs="Arial"/>
                <w:b/>
                <w:bCs/>
                <w:sz w:val="20"/>
                <w:szCs w:val="20"/>
                <w:lang w:val="en-US"/>
              </w:rPr>
              <w:t>Insurance activities</w:t>
            </w:r>
          </w:p>
        </w:tc>
        <w:tc>
          <w:tcPr>
            <w:tcW w:w="1134" w:type="dxa"/>
            <w:tcBorders>
              <w:left w:val="nil"/>
              <w:right w:val="nil"/>
            </w:tcBorders>
            <w:shd w:val="clear" w:color="auto" w:fill="auto"/>
          </w:tcPr>
          <w:p w14:paraId="2474CE73" w14:textId="77777777" w:rsidR="00456F9A" w:rsidRPr="00A74D5D" w:rsidRDefault="00456F9A" w:rsidP="00456F9A">
            <w:pPr>
              <w:spacing w:after="0" w:line="300" w:lineRule="exact"/>
              <w:jc w:val="right"/>
              <w:rPr>
                <w:rFonts w:ascii="Calibri" w:eastAsia="Times New Roman" w:hAnsi="Calibri" w:cs="Arial"/>
                <w:b/>
                <w:bCs/>
                <w:sz w:val="20"/>
                <w:szCs w:val="20"/>
                <w:lang w:val="en-US"/>
              </w:rPr>
            </w:pPr>
            <w:r w:rsidRPr="00A74D5D">
              <w:rPr>
                <w:rFonts w:ascii="Calibri" w:eastAsia="Times New Roman" w:hAnsi="Calibri" w:cs="Arial"/>
                <w:b/>
                <w:bCs/>
                <w:sz w:val="20"/>
                <w:szCs w:val="20"/>
                <w:lang w:val="en-US"/>
              </w:rPr>
              <w:t>Other activities</w:t>
            </w:r>
          </w:p>
        </w:tc>
        <w:tc>
          <w:tcPr>
            <w:tcW w:w="1309" w:type="dxa"/>
            <w:tcBorders>
              <w:left w:val="nil"/>
              <w:right w:val="nil"/>
            </w:tcBorders>
            <w:shd w:val="clear" w:color="auto" w:fill="auto"/>
          </w:tcPr>
          <w:p w14:paraId="3020E0C1" w14:textId="77777777" w:rsidR="00456F9A" w:rsidRPr="00A74D5D" w:rsidRDefault="00456F9A" w:rsidP="00456F9A">
            <w:pPr>
              <w:spacing w:after="0" w:line="300" w:lineRule="exact"/>
              <w:jc w:val="right"/>
              <w:rPr>
                <w:rFonts w:ascii="Calibri" w:eastAsia="Times New Roman" w:hAnsi="Calibri" w:cs="Arial"/>
                <w:b/>
                <w:bCs/>
                <w:sz w:val="20"/>
                <w:szCs w:val="20"/>
                <w:lang w:val="en-US"/>
              </w:rPr>
            </w:pPr>
            <w:r w:rsidRPr="00A74D5D">
              <w:rPr>
                <w:rFonts w:ascii="Calibri" w:eastAsia="Times New Roman" w:hAnsi="Calibri" w:cs="Arial"/>
                <w:b/>
                <w:bCs/>
                <w:sz w:val="20"/>
                <w:szCs w:val="20"/>
                <w:lang w:val="en-US"/>
              </w:rPr>
              <w:t>Unallocated</w:t>
            </w:r>
          </w:p>
        </w:tc>
        <w:tc>
          <w:tcPr>
            <w:tcW w:w="1134" w:type="dxa"/>
            <w:tcBorders>
              <w:left w:val="nil"/>
              <w:right w:val="nil"/>
            </w:tcBorders>
            <w:shd w:val="clear" w:color="auto" w:fill="auto"/>
          </w:tcPr>
          <w:p w14:paraId="785B10D2" w14:textId="77777777" w:rsidR="00456F9A" w:rsidRPr="00A74D5D" w:rsidRDefault="00456F9A" w:rsidP="00456F9A">
            <w:pPr>
              <w:spacing w:after="0" w:line="300" w:lineRule="exact"/>
              <w:jc w:val="right"/>
              <w:rPr>
                <w:rFonts w:ascii="Calibri" w:eastAsia="Times New Roman" w:hAnsi="Calibri" w:cs="Arial"/>
                <w:b/>
                <w:bCs/>
                <w:sz w:val="20"/>
                <w:szCs w:val="20"/>
                <w:lang w:val="en-US"/>
              </w:rPr>
            </w:pPr>
            <w:r w:rsidRPr="00A74D5D">
              <w:rPr>
                <w:rFonts w:ascii="Calibri" w:eastAsia="Times New Roman" w:hAnsi="Calibri" w:cs="Arial"/>
                <w:b/>
                <w:bCs/>
                <w:sz w:val="20"/>
                <w:szCs w:val="20"/>
                <w:lang w:val="en-US"/>
              </w:rPr>
              <w:t>Total</w:t>
            </w:r>
          </w:p>
        </w:tc>
      </w:tr>
      <w:tr w:rsidR="00456F9A" w:rsidRPr="00A74D5D" w14:paraId="722EB017" w14:textId="77777777" w:rsidTr="00456F9A">
        <w:trPr>
          <w:trHeight w:val="59"/>
        </w:trPr>
        <w:tc>
          <w:tcPr>
            <w:tcW w:w="3369" w:type="dxa"/>
            <w:tcBorders>
              <w:left w:val="nil"/>
              <w:bottom w:val="nil"/>
              <w:right w:val="nil"/>
            </w:tcBorders>
            <w:shd w:val="clear" w:color="auto" w:fill="auto"/>
            <w:vAlign w:val="bottom"/>
          </w:tcPr>
          <w:p w14:paraId="3BE5D849" w14:textId="77777777" w:rsidR="00456F9A" w:rsidRPr="00A74D5D" w:rsidRDefault="00456F9A" w:rsidP="00456F9A">
            <w:pPr>
              <w:spacing w:after="0" w:line="140" w:lineRule="exact"/>
              <w:rPr>
                <w:rFonts w:ascii="Calibri" w:eastAsia="Times New Roman" w:hAnsi="Calibri" w:cs="Arial"/>
                <w:sz w:val="20"/>
                <w:szCs w:val="20"/>
                <w:lang w:val="en-US"/>
              </w:rPr>
            </w:pPr>
          </w:p>
        </w:tc>
        <w:tc>
          <w:tcPr>
            <w:tcW w:w="1275" w:type="dxa"/>
            <w:tcBorders>
              <w:left w:val="nil"/>
              <w:bottom w:val="nil"/>
              <w:right w:val="nil"/>
            </w:tcBorders>
            <w:shd w:val="clear" w:color="auto" w:fill="auto"/>
            <w:noWrap/>
          </w:tcPr>
          <w:p w14:paraId="7BA7402F" w14:textId="77777777" w:rsidR="00456F9A" w:rsidRPr="00A74D5D" w:rsidRDefault="00456F9A" w:rsidP="00456F9A">
            <w:pPr>
              <w:spacing w:after="0" w:line="300" w:lineRule="exact"/>
              <w:jc w:val="right"/>
              <w:rPr>
                <w:rFonts w:ascii="Calibri" w:eastAsia="Times New Roman" w:hAnsi="Calibri" w:cs="Arial"/>
                <w:b/>
                <w:sz w:val="20"/>
                <w:szCs w:val="20"/>
                <w:lang w:val="en-US"/>
              </w:rPr>
            </w:pPr>
            <w:r w:rsidRPr="00A74D5D">
              <w:rPr>
                <w:rFonts w:ascii="Calibri" w:eastAsia="Times New Roman" w:hAnsi="Calibri" w:cs="Arial"/>
                <w:b/>
                <w:sz w:val="20"/>
                <w:szCs w:val="20"/>
                <w:lang w:val="en-US"/>
              </w:rPr>
              <w:t>HRK '000</w:t>
            </w:r>
          </w:p>
        </w:tc>
        <w:tc>
          <w:tcPr>
            <w:tcW w:w="1418" w:type="dxa"/>
            <w:tcBorders>
              <w:left w:val="nil"/>
              <w:bottom w:val="nil"/>
              <w:right w:val="nil"/>
            </w:tcBorders>
            <w:shd w:val="clear" w:color="auto" w:fill="auto"/>
            <w:noWrap/>
          </w:tcPr>
          <w:p w14:paraId="5A5638D8" w14:textId="77777777" w:rsidR="00456F9A" w:rsidRPr="00A74D5D" w:rsidRDefault="00456F9A" w:rsidP="00456F9A">
            <w:pPr>
              <w:spacing w:after="0" w:line="300" w:lineRule="exact"/>
              <w:jc w:val="right"/>
              <w:rPr>
                <w:rFonts w:ascii="Calibri" w:eastAsia="Times New Roman" w:hAnsi="Calibri" w:cs="Arial"/>
                <w:b/>
                <w:sz w:val="20"/>
                <w:szCs w:val="20"/>
                <w:lang w:val="en-US"/>
              </w:rPr>
            </w:pPr>
            <w:r w:rsidRPr="00A74D5D">
              <w:rPr>
                <w:rFonts w:ascii="Calibri" w:eastAsia="Times New Roman" w:hAnsi="Calibri" w:cs="Arial"/>
                <w:b/>
                <w:sz w:val="20"/>
                <w:szCs w:val="20"/>
                <w:lang w:val="en-US"/>
              </w:rPr>
              <w:t>HRK '000</w:t>
            </w:r>
          </w:p>
        </w:tc>
        <w:tc>
          <w:tcPr>
            <w:tcW w:w="1134" w:type="dxa"/>
            <w:tcBorders>
              <w:left w:val="nil"/>
              <w:bottom w:val="nil"/>
              <w:right w:val="nil"/>
            </w:tcBorders>
            <w:shd w:val="clear" w:color="auto" w:fill="auto"/>
            <w:noWrap/>
          </w:tcPr>
          <w:p w14:paraId="38CF945B" w14:textId="77777777" w:rsidR="00456F9A" w:rsidRPr="00A74D5D" w:rsidRDefault="00456F9A" w:rsidP="00456F9A">
            <w:pPr>
              <w:spacing w:after="0" w:line="300" w:lineRule="exact"/>
              <w:jc w:val="right"/>
              <w:rPr>
                <w:rFonts w:ascii="Calibri" w:eastAsia="Times New Roman" w:hAnsi="Calibri" w:cs="Arial"/>
                <w:b/>
                <w:sz w:val="20"/>
                <w:szCs w:val="20"/>
                <w:lang w:val="en-US"/>
              </w:rPr>
            </w:pPr>
            <w:r w:rsidRPr="00A74D5D">
              <w:rPr>
                <w:rFonts w:ascii="Calibri" w:eastAsia="Times New Roman" w:hAnsi="Calibri" w:cs="Arial"/>
                <w:b/>
                <w:sz w:val="20"/>
                <w:szCs w:val="20"/>
                <w:lang w:val="en-US"/>
              </w:rPr>
              <w:t>HRK '000</w:t>
            </w:r>
          </w:p>
        </w:tc>
        <w:tc>
          <w:tcPr>
            <w:tcW w:w="1309" w:type="dxa"/>
            <w:tcBorders>
              <w:left w:val="nil"/>
              <w:bottom w:val="nil"/>
              <w:right w:val="nil"/>
            </w:tcBorders>
            <w:shd w:val="clear" w:color="auto" w:fill="auto"/>
            <w:noWrap/>
          </w:tcPr>
          <w:p w14:paraId="0E7B3164" w14:textId="77777777" w:rsidR="00456F9A" w:rsidRPr="00A74D5D" w:rsidRDefault="00456F9A" w:rsidP="00456F9A">
            <w:pPr>
              <w:spacing w:after="0" w:line="300" w:lineRule="exact"/>
              <w:jc w:val="right"/>
              <w:rPr>
                <w:rFonts w:ascii="Calibri" w:eastAsia="Times New Roman" w:hAnsi="Calibri" w:cs="Arial"/>
                <w:b/>
                <w:sz w:val="20"/>
                <w:szCs w:val="20"/>
                <w:lang w:val="en-US"/>
              </w:rPr>
            </w:pPr>
            <w:r w:rsidRPr="00A74D5D">
              <w:rPr>
                <w:rFonts w:ascii="Calibri" w:eastAsia="Times New Roman" w:hAnsi="Calibri" w:cs="Arial"/>
                <w:b/>
                <w:sz w:val="20"/>
                <w:szCs w:val="20"/>
                <w:lang w:val="en-US"/>
              </w:rPr>
              <w:t>HRK '000</w:t>
            </w:r>
          </w:p>
        </w:tc>
        <w:tc>
          <w:tcPr>
            <w:tcW w:w="1134" w:type="dxa"/>
            <w:tcBorders>
              <w:left w:val="nil"/>
              <w:bottom w:val="nil"/>
              <w:right w:val="nil"/>
            </w:tcBorders>
            <w:shd w:val="clear" w:color="auto" w:fill="auto"/>
            <w:noWrap/>
          </w:tcPr>
          <w:p w14:paraId="27228400" w14:textId="77777777" w:rsidR="00456F9A" w:rsidRPr="00A74D5D" w:rsidRDefault="00456F9A" w:rsidP="00456F9A">
            <w:pPr>
              <w:spacing w:after="0" w:line="300" w:lineRule="exact"/>
              <w:jc w:val="right"/>
              <w:rPr>
                <w:rFonts w:ascii="Calibri" w:eastAsia="Times New Roman" w:hAnsi="Calibri" w:cs="Arial"/>
                <w:b/>
                <w:sz w:val="20"/>
                <w:szCs w:val="20"/>
                <w:lang w:val="en-US"/>
              </w:rPr>
            </w:pPr>
            <w:r w:rsidRPr="00A74D5D">
              <w:rPr>
                <w:rFonts w:ascii="Calibri" w:eastAsia="Times New Roman" w:hAnsi="Calibri" w:cs="Arial"/>
                <w:b/>
                <w:sz w:val="20"/>
                <w:szCs w:val="20"/>
                <w:lang w:val="en-US"/>
              </w:rPr>
              <w:t>HRK '000</w:t>
            </w:r>
          </w:p>
        </w:tc>
      </w:tr>
      <w:tr w:rsidR="00456F9A" w:rsidRPr="00A74D5D" w14:paraId="64E3817A" w14:textId="77777777" w:rsidTr="00456F9A">
        <w:trPr>
          <w:trHeight w:val="59"/>
        </w:trPr>
        <w:tc>
          <w:tcPr>
            <w:tcW w:w="3369" w:type="dxa"/>
            <w:tcBorders>
              <w:top w:val="nil"/>
              <w:left w:val="nil"/>
              <w:bottom w:val="nil"/>
              <w:right w:val="nil"/>
            </w:tcBorders>
            <w:shd w:val="clear" w:color="auto" w:fill="auto"/>
            <w:vAlign w:val="bottom"/>
          </w:tcPr>
          <w:p w14:paraId="04265620" w14:textId="77777777" w:rsidR="00456F9A" w:rsidRPr="00A74D5D" w:rsidRDefault="00456F9A" w:rsidP="00456F9A">
            <w:pPr>
              <w:spacing w:after="0" w:line="140" w:lineRule="exact"/>
              <w:rPr>
                <w:rFonts w:ascii="Calibri" w:eastAsia="Times New Roman" w:hAnsi="Calibri" w:cs="Arial"/>
                <w:sz w:val="20"/>
                <w:szCs w:val="20"/>
                <w:lang w:val="en-US"/>
              </w:rPr>
            </w:pPr>
          </w:p>
        </w:tc>
        <w:tc>
          <w:tcPr>
            <w:tcW w:w="1275" w:type="dxa"/>
            <w:tcBorders>
              <w:top w:val="nil"/>
              <w:left w:val="nil"/>
              <w:bottom w:val="nil"/>
              <w:right w:val="nil"/>
            </w:tcBorders>
            <w:shd w:val="clear" w:color="auto" w:fill="auto"/>
            <w:noWrap/>
            <w:vAlign w:val="bottom"/>
          </w:tcPr>
          <w:p w14:paraId="4DC2AF2A" w14:textId="77777777" w:rsidR="00456F9A" w:rsidRPr="00A74D5D" w:rsidRDefault="00456F9A" w:rsidP="00456F9A">
            <w:pPr>
              <w:spacing w:after="0" w:line="140" w:lineRule="exact"/>
              <w:rPr>
                <w:rFonts w:ascii="Calibri" w:eastAsia="Times New Roman" w:hAnsi="Calibri" w:cs="Arial"/>
                <w:sz w:val="20"/>
                <w:szCs w:val="20"/>
                <w:lang w:val="en-US"/>
              </w:rPr>
            </w:pPr>
          </w:p>
        </w:tc>
        <w:tc>
          <w:tcPr>
            <w:tcW w:w="1418" w:type="dxa"/>
            <w:tcBorders>
              <w:top w:val="nil"/>
              <w:left w:val="nil"/>
              <w:bottom w:val="nil"/>
              <w:right w:val="nil"/>
            </w:tcBorders>
            <w:shd w:val="clear" w:color="auto" w:fill="auto"/>
            <w:noWrap/>
            <w:vAlign w:val="bottom"/>
          </w:tcPr>
          <w:p w14:paraId="40C6B82C" w14:textId="77777777" w:rsidR="00456F9A" w:rsidRPr="00A74D5D" w:rsidRDefault="00456F9A" w:rsidP="00456F9A">
            <w:pPr>
              <w:spacing w:after="0" w:line="140" w:lineRule="exact"/>
              <w:rPr>
                <w:rFonts w:ascii="Calibri" w:eastAsia="Times New Roman" w:hAnsi="Calibri" w:cs="Arial"/>
                <w:sz w:val="20"/>
                <w:szCs w:val="20"/>
                <w:lang w:val="en-US"/>
              </w:rPr>
            </w:pPr>
          </w:p>
        </w:tc>
        <w:tc>
          <w:tcPr>
            <w:tcW w:w="1134" w:type="dxa"/>
            <w:tcBorders>
              <w:top w:val="nil"/>
              <w:left w:val="nil"/>
              <w:bottom w:val="nil"/>
              <w:right w:val="nil"/>
            </w:tcBorders>
            <w:shd w:val="clear" w:color="auto" w:fill="auto"/>
            <w:noWrap/>
            <w:vAlign w:val="bottom"/>
          </w:tcPr>
          <w:p w14:paraId="229448A0" w14:textId="77777777" w:rsidR="00456F9A" w:rsidRPr="00A74D5D" w:rsidRDefault="00456F9A" w:rsidP="00456F9A">
            <w:pPr>
              <w:spacing w:after="0" w:line="140" w:lineRule="exact"/>
              <w:rPr>
                <w:rFonts w:ascii="Calibri" w:eastAsia="Times New Roman" w:hAnsi="Calibri" w:cs="Arial"/>
                <w:sz w:val="20"/>
                <w:szCs w:val="20"/>
                <w:lang w:val="en-US"/>
              </w:rPr>
            </w:pPr>
          </w:p>
        </w:tc>
        <w:tc>
          <w:tcPr>
            <w:tcW w:w="1309" w:type="dxa"/>
            <w:tcBorders>
              <w:top w:val="nil"/>
              <w:left w:val="nil"/>
              <w:bottom w:val="nil"/>
              <w:right w:val="nil"/>
            </w:tcBorders>
            <w:shd w:val="clear" w:color="auto" w:fill="auto"/>
            <w:noWrap/>
            <w:vAlign w:val="bottom"/>
          </w:tcPr>
          <w:p w14:paraId="2DB2F765" w14:textId="77777777" w:rsidR="00456F9A" w:rsidRPr="00A74D5D" w:rsidRDefault="00456F9A" w:rsidP="00456F9A">
            <w:pPr>
              <w:spacing w:after="0" w:line="140" w:lineRule="exact"/>
              <w:rPr>
                <w:rFonts w:ascii="Calibri" w:eastAsia="Times New Roman" w:hAnsi="Calibri" w:cs="Arial"/>
                <w:sz w:val="20"/>
                <w:szCs w:val="20"/>
                <w:lang w:val="en-US"/>
              </w:rPr>
            </w:pPr>
          </w:p>
        </w:tc>
        <w:tc>
          <w:tcPr>
            <w:tcW w:w="1134" w:type="dxa"/>
            <w:tcBorders>
              <w:top w:val="nil"/>
              <w:left w:val="nil"/>
              <w:bottom w:val="nil"/>
              <w:right w:val="nil"/>
            </w:tcBorders>
            <w:shd w:val="clear" w:color="auto" w:fill="auto"/>
            <w:noWrap/>
            <w:vAlign w:val="bottom"/>
          </w:tcPr>
          <w:p w14:paraId="45C9AC4B" w14:textId="77777777" w:rsidR="00456F9A" w:rsidRPr="00A74D5D" w:rsidRDefault="00456F9A" w:rsidP="00456F9A">
            <w:pPr>
              <w:spacing w:after="0" w:line="140" w:lineRule="exact"/>
              <w:rPr>
                <w:rFonts w:ascii="Calibri" w:eastAsia="Times New Roman" w:hAnsi="Calibri" w:cs="Arial"/>
                <w:sz w:val="20"/>
                <w:szCs w:val="20"/>
                <w:lang w:val="en-US"/>
              </w:rPr>
            </w:pPr>
          </w:p>
        </w:tc>
      </w:tr>
      <w:tr w:rsidR="006434F7" w:rsidRPr="00A74D5D" w14:paraId="6CB094A0" w14:textId="77777777" w:rsidTr="00B87B82">
        <w:trPr>
          <w:trHeight w:val="300"/>
        </w:trPr>
        <w:tc>
          <w:tcPr>
            <w:tcW w:w="3369" w:type="dxa"/>
            <w:tcBorders>
              <w:top w:val="nil"/>
              <w:left w:val="nil"/>
              <w:bottom w:val="nil"/>
              <w:right w:val="nil"/>
            </w:tcBorders>
            <w:shd w:val="clear" w:color="auto" w:fill="auto"/>
            <w:vAlign w:val="bottom"/>
          </w:tcPr>
          <w:p w14:paraId="06EB030F" w14:textId="77777777" w:rsidR="006434F7" w:rsidRPr="00A74D5D" w:rsidRDefault="006434F7" w:rsidP="006434F7">
            <w:pPr>
              <w:spacing w:after="0" w:line="300" w:lineRule="exact"/>
              <w:rPr>
                <w:rFonts w:ascii="Calibri" w:eastAsia="Times New Roman" w:hAnsi="Calibri" w:cs="Arial"/>
                <w:sz w:val="20"/>
                <w:szCs w:val="20"/>
                <w:lang w:val="en-US"/>
              </w:rPr>
            </w:pPr>
            <w:r w:rsidRPr="00A74D5D">
              <w:rPr>
                <w:rFonts w:ascii="Calibri" w:eastAsia="Times New Roman" w:hAnsi="Calibri" w:cs="Arial"/>
                <w:sz w:val="20"/>
                <w:szCs w:val="20"/>
                <w:lang w:val="en-US"/>
              </w:rPr>
              <w:t>Net interest income</w:t>
            </w:r>
          </w:p>
        </w:tc>
        <w:tc>
          <w:tcPr>
            <w:tcW w:w="1275" w:type="dxa"/>
            <w:shd w:val="clear" w:color="auto" w:fill="auto"/>
            <w:noWrap/>
          </w:tcPr>
          <w:p w14:paraId="00E112D8" w14:textId="1C42CA88" w:rsidR="006434F7" w:rsidRPr="00A74D5D" w:rsidRDefault="006434F7" w:rsidP="006434F7">
            <w:pPr>
              <w:spacing w:after="0" w:line="300" w:lineRule="exact"/>
              <w:jc w:val="right"/>
              <w:rPr>
                <w:rFonts w:ascii="Calibri" w:eastAsia="Times New Roman" w:hAnsi="Calibri" w:cs="Arial"/>
                <w:sz w:val="20"/>
                <w:szCs w:val="20"/>
                <w:lang w:val="en-US"/>
              </w:rPr>
            </w:pPr>
            <w:r w:rsidRPr="00A74D5D">
              <w:rPr>
                <w:rFonts w:cs="Arial"/>
                <w:color w:val="000000" w:themeColor="text1"/>
                <w:sz w:val="20"/>
                <w:szCs w:val="20"/>
              </w:rPr>
              <w:t xml:space="preserve"> 144.778 </w:t>
            </w:r>
          </w:p>
        </w:tc>
        <w:tc>
          <w:tcPr>
            <w:tcW w:w="1418" w:type="dxa"/>
            <w:shd w:val="clear" w:color="auto" w:fill="auto"/>
            <w:noWrap/>
          </w:tcPr>
          <w:p w14:paraId="559CAB61" w14:textId="14D76C9D" w:rsidR="006434F7" w:rsidRPr="00A74D5D" w:rsidRDefault="006434F7" w:rsidP="006434F7">
            <w:pPr>
              <w:spacing w:after="0" w:line="300" w:lineRule="exact"/>
              <w:jc w:val="right"/>
              <w:rPr>
                <w:rFonts w:ascii="Calibri" w:eastAsia="Times New Roman" w:hAnsi="Calibri" w:cs="Arial"/>
                <w:sz w:val="20"/>
                <w:szCs w:val="20"/>
                <w:lang w:val="en-US"/>
              </w:rPr>
            </w:pPr>
            <w:r w:rsidRPr="00A74D5D">
              <w:rPr>
                <w:rFonts w:cs="Arial"/>
                <w:color w:val="000000" w:themeColor="text1"/>
                <w:sz w:val="20"/>
                <w:szCs w:val="20"/>
              </w:rPr>
              <w:t xml:space="preserve"> 327 </w:t>
            </w:r>
          </w:p>
        </w:tc>
        <w:tc>
          <w:tcPr>
            <w:tcW w:w="1134" w:type="dxa"/>
            <w:shd w:val="clear" w:color="auto" w:fill="auto"/>
            <w:noWrap/>
          </w:tcPr>
          <w:p w14:paraId="766789F1" w14:textId="53E4EFD7" w:rsidR="006434F7" w:rsidRPr="00A74D5D" w:rsidRDefault="006434F7" w:rsidP="006434F7">
            <w:pPr>
              <w:spacing w:after="0" w:line="300" w:lineRule="exact"/>
              <w:jc w:val="right"/>
              <w:rPr>
                <w:rFonts w:ascii="Calibri" w:eastAsia="Times New Roman" w:hAnsi="Calibri" w:cs="Arial"/>
                <w:sz w:val="20"/>
                <w:szCs w:val="20"/>
                <w:lang w:val="en-US"/>
              </w:rPr>
            </w:pPr>
            <w:r w:rsidRPr="00A74D5D">
              <w:rPr>
                <w:rFonts w:cs="Arial"/>
                <w:color w:val="000000" w:themeColor="text1"/>
                <w:sz w:val="20"/>
                <w:szCs w:val="20"/>
              </w:rPr>
              <w:t xml:space="preserve"> - </w:t>
            </w:r>
          </w:p>
        </w:tc>
        <w:tc>
          <w:tcPr>
            <w:tcW w:w="1309" w:type="dxa"/>
            <w:shd w:val="clear" w:color="auto" w:fill="auto"/>
            <w:noWrap/>
            <w:vAlign w:val="bottom"/>
          </w:tcPr>
          <w:p w14:paraId="7D23E8D2" w14:textId="5E2C5663" w:rsidR="006434F7" w:rsidRPr="00A74D5D" w:rsidRDefault="006434F7" w:rsidP="006434F7">
            <w:pPr>
              <w:spacing w:after="0" w:line="300" w:lineRule="exact"/>
              <w:jc w:val="right"/>
              <w:rPr>
                <w:rFonts w:ascii="Calibri" w:eastAsia="Times New Roman" w:hAnsi="Calibri" w:cs="Arial"/>
                <w:sz w:val="20"/>
                <w:szCs w:val="20"/>
                <w:lang w:val="en-US"/>
              </w:rPr>
            </w:pPr>
            <w:r w:rsidRPr="00A74D5D">
              <w:rPr>
                <w:rFonts w:cs="Arial"/>
                <w:color w:val="000000" w:themeColor="text1"/>
                <w:sz w:val="20"/>
                <w:szCs w:val="20"/>
              </w:rPr>
              <w:t>-</w:t>
            </w:r>
          </w:p>
        </w:tc>
        <w:tc>
          <w:tcPr>
            <w:tcW w:w="1134" w:type="dxa"/>
            <w:shd w:val="clear" w:color="auto" w:fill="auto"/>
            <w:noWrap/>
          </w:tcPr>
          <w:p w14:paraId="65A7AD4F" w14:textId="6A16C040" w:rsidR="006434F7" w:rsidRPr="00A74D5D" w:rsidRDefault="006434F7" w:rsidP="006434F7">
            <w:pPr>
              <w:spacing w:after="0" w:line="300" w:lineRule="exact"/>
              <w:jc w:val="right"/>
              <w:rPr>
                <w:rFonts w:ascii="Calibri" w:eastAsia="Times New Roman" w:hAnsi="Calibri" w:cs="Arial"/>
                <w:sz w:val="20"/>
                <w:szCs w:val="20"/>
                <w:lang w:val="en-US"/>
              </w:rPr>
            </w:pPr>
            <w:r w:rsidRPr="00A74D5D">
              <w:rPr>
                <w:rFonts w:cs="Arial"/>
                <w:color w:val="000000" w:themeColor="text1"/>
                <w:sz w:val="20"/>
                <w:szCs w:val="20"/>
              </w:rPr>
              <w:t xml:space="preserve"> 145.105 </w:t>
            </w:r>
          </w:p>
        </w:tc>
      </w:tr>
      <w:tr w:rsidR="006434F7" w:rsidRPr="00A74D5D" w14:paraId="13B98A29" w14:textId="77777777" w:rsidTr="00B87B82">
        <w:trPr>
          <w:trHeight w:val="300"/>
        </w:trPr>
        <w:tc>
          <w:tcPr>
            <w:tcW w:w="3369" w:type="dxa"/>
            <w:tcBorders>
              <w:top w:val="nil"/>
              <w:left w:val="nil"/>
              <w:bottom w:val="nil"/>
              <w:right w:val="nil"/>
            </w:tcBorders>
            <w:shd w:val="clear" w:color="auto" w:fill="auto"/>
            <w:vAlign w:val="bottom"/>
          </w:tcPr>
          <w:p w14:paraId="4D42B1AA" w14:textId="77777777" w:rsidR="006434F7" w:rsidRPr="00A74D5D" w:rsidRDefault="006434F7" w:rsidP="006434F7">
            <w:pPr>
              <w:spacing w:after="0" w:line="300" w:lineRule="exact"/>
              <w:rPr>
                <w:rFonts w:ascii="Calibri" w:eastAsia="Times New Roman" w:hAnsi="Calibri" w:cs="Arial"/>
                <w:sz w:val="20"/>
                <w:szCs w:val="20"/>
                <w:lang w:val="en-US"/>
              </w:rPr>
            </w:pPr>
            <w:r w:rsidRPr="00A74D5D">
              <w:rPr>
                <w:rFonts w:ascii="Calibri" w:eastAsia="Times New Roman" w:hAnsi="Calibri" w:cs="Arial"/>
                <w:sz w:val="20"/>
                <w:szCs w:val="20"/>
                <w:lang w:val="en-US"/>
              </w:rPr>
              <w:t>Net fee income</w:t>
            </w:r>
          </w:p>
        </w:tc>
        <w:tc>
          <w:tcPr>
            <w:tcW w:w="1275" w:type="dxa"/>
            <w:shd w:val="clear" w:color="auto" w:fill="auto"/>
            <w:noWrap/>
          </w:tcPr>
          <w:p w14:paraId="12A6A432" w14:textId="22BEC14F" w:rsidR="006434F7" w:rsidRPr="00A74D5D" w:rsidRDefault="006434F7" w:rsidP="006434F7">
            <w:pPr>
              <w:spacing w:after="0" w:line="300" w:lineRule="exact"/>
              <w:jc w:val="right"/>
              <w:rPr>
                <w:rFonts w:ascii="Calibri" w:eastAsia="Times New Roman" w:hAnsi="Calibri" w:cs="Arial"/>
                <w:sz w:val="20"/>
                <w:szCs w:val="20"/>
                <w:lang w:val="en-US"/>
              </w:rPr>
            </w:pPr>
            <w:r w:rsidRPr="00A74D5D">
              <w:rPr>
                <w:rFonts w:cs="Arial"/>
                <w:color w:val="000000" w:themeColor="text1"/>
                <w:sz w:val="20"/>
                <w:szCs w:val="20"/>
              </w:rPr>
              <w:t xml:space="preserve"> 4.568 </w:t>
            </w:r>
          </w:p>
        </w:tc>
        <w:tc>
          <w:tcPr>
            <w:tcW w:w="1418" w:type="dxa"/>
            <w:shd w:val="clear" w:color="auto" w:fill="auto"/>
            <w:noWrap/>
          </w:tcPr>
          <w:p w14:paraId="1DF5D90C" w14:textId="34BEC3DF" w:rsidR="006434F7" w:rsidRPr="00A74D5D" w:rsidRDefault="006434F7" w:rsidP="006434F7">
            <w:pPr>
              <w:spacing w:after="0" w:line="300" w:lineRule="exact"/>
              <w:jc w:val="right"/>
              <w:rPr>
                <w:rFonts w:ascii="Calibri" w:eastAsia="Times New Roman" w:hAnsi="Calibri" w:cs="Arial"/>
                <w:sz w:val="20"/>
                <w:szCs w:val="20"/>
                <w:lang w:val="en-US"/>
              </w:rPr>
            </w:pPr>
            <w:r w:rsidRPr="00A74D5D">
              <w:rPr>
                <w:rFonts w:cs="Arial"/>
                <w:color w:val="000000" w:themeColor="text1"/>
                <w:sz w:val="20"/>
                <w:szCs w:val="20"/>
              </w:rPr>
              <w:t xml:space="preserve"> 414 </w:t>
            </w:r>
          </w:p>
        </w:tc>
        <w:tc>
          <w:tcPr>
            <w:tcW w:w="1134" w:type="dxa"/>
            <w:shd w:val="clear" w:color="auto" w:fill="auto"/>
            <w:noWrap/>
          </w:tcPr>
          <w:p w14:paraId="7B9474C0" w14:textId="1470BBC7" w:rsidR="006434F7" w:rsidRPr="00A74D5D" w:rsidRDefault="006434F7" w:rsidP="006434F7">
            <w:pPr>
              <w:spacing w:after="0" w:line="300" w:lineRule="exact"/>
              <w:jc w:val="right"/>
              <w:rPr>
                <w:rFonts w:ascii="Calibri" w:eastAsia="Times New Roman" w:hAnsi="Calibri" w:cs="Arial"/>
                <w:sz w:val="20"/>
                <w:szCs w:val="20"/>
                <w:lang w:val="en-US"/>
              </w:rPr>
            </w:pPr>
            <w:r w:rsidRPr="00A74D5D">
              <w:rPr>
                <w:rFonts w:cs="Arial"/>
                <w:color w:val="000000" w:themeColor="text1"/>
                <w:sz w:val="20"/>
                <w:szCs w:val="20"/>
              </w:rPr>
              <w:t xml:space="preserve"> 536 </w:t>
            </w:r>
          </w:p>
        </w:tc>
        <w:tc>
          <w:tcPr>
            <w:tcW w:w="1309" w:type="dxa"/>
            <w:shd w:val="clear" w:color="auto" w:fill="auto"/>
            <w:noWrap/>
            <w:vAlign w:val="bottom"/>
          </w:tcPr>
          <w:p w14:paraId="094FF053" w14:textId="16148DEC" w:rsidR="006434F7" w:rsidRPr="00A74D5D" w:rsidRDefault="006434F7" w:rsidP="006434F7">
            <w:pPr>
              <w:spacing w:after="0" w:line="300" w:lineRule="exact"/>
              <w:jc w:val="right"/>
              <w:rPr>
                <w:rFonts w:ascii="Calibri" w:eastAsia="Times New Roman" w:hAnsi="Calibri" w:cs="Arial"/>
                <w:sz w:val="20"/>
                <w:szCs w:val="20"/>
                <w:lang w:val="en-US"/>
              </w:rPr>
            </w:pPr>
            <w:r w:rsidRPr="00A74D5D">
              <w:rPr>
                <w:rFonts w:cs="Arial"/>
                <w:color w:val="000000" w:themeColor="text1"/>
                <w:sz w:val="20"/>
                <w:szCs w:val="20"/>
              </w:rPr>
              <w:t>-</w:t>
            </w:r>
          </w:p>
        </w:tc>
        <w:tc>
          <w:tcPr>
            <w:tcW w:w="1134" w:type="dxa"/>
            <w:shd w:val="clear" w:color="auto" w:fill="auto"/>
            <w:noWrap/>
          </w:tcPr>
          <w:p w14:paraId="5AC35C52" w14:textId="52DCB055" w:rsidR="006434F7" w:rsidRPr="00A74D5D" w:rsidRDefault="006434F7" w:rsidP="006434F7">
            <w:pPr>
              <w:spacing w:after="0" w:line="300" w:lineRule="exact"/>
              <w:jc w:val="right"/>
              <w:rPr>
                <w:rFonts w:ascii="Calibri" w:eastAsia="Times New Roman" w:hAnsi="Calibri" w:cs="Arial"/>
                <w:sz w:val="20"/>
                <w:szCs w:val="20"/>
                <w:lang w:val="en-US"/>
              </w:rPr>
            </w:pPr>
            <w:r w:rsidRPr="00A74D5D">
              <w:rPr>
                <w:rFonts w:cs="Arial"/>
                <w:color w:val="000000" w:themeColor="text1"/>
                <w:sz w:val="20"/>
                <w:szCs w:val="20"/>
              </w:rPr>
              <w:t xml:space="preserve"> 5.518 </w:t>
            </w:r>
          </w:p>
        </w:tc>
      </w:tr>
      <w:tr w:rsidR="00FE50CA" w:rsidRPr="00A74D5D" w14:paraId="6D835539" w14:textId="77777777" w:rsidTr="001D7213">
        <w:trPr>
          <w:trHeight w:val="280"/>
        </w:trPr>
        <w:tc>
          <w:tcPr>
            <w:tcW w:w="3369" w:type="dxa"/>
            <w:tcBorders>
              <w:top w:val="nil"/>
              <w:left w:val="nil"/>
              <w:bottom w:val="nil"/>
              <w:right w:val="nil"/>
            </w:tcBorders>
            <w:shd w:val="clear" w:color="auto" w:fill="auto"/>
            <w:vAlign w:val="bottom"/>
          </w:tcPr>
          <w:p w14:paraId="4FF60E9A" w14:textId="77777777" w:rsidR="00FE50CA" w:rsidRPr="00A74D5D" w:rsidRDefault="00FE50CA" w:rsidP="00FE50CA">
            <w:pPr>
              <w:spacing w:after="0" w:line="300" w:lineRule="exact"/>
              <w:rPr>
                <w:rFonts w:ascii="Calibri" w:eastAsia="Times New Roman" w:hAnsi="Calibri" w:cs="Arial"/>
                <w:sz w:val="20"/>
                <w:szCs w:val="20"/>
                <w:lang w:val="en-US"/>
              </w:rPr>
            </w:pPr>
            <w:r w:rsidRPr="00A74D5D">
              <w:rPr>
                <w:rFonts w:ascii="Calibri" w:eastAsia="Times New Roman" w:hAnsi="Calibri" w:cs="Arial"/>
                <w:sz w:val="20"/>
                <w:szCs w:val="20"/>
                <w:lang w:val="en-US"/>
              </w:rPr>
              <w:t xml:space="preserve">Net income/(expenses) from financial operations </w:t>
            </w:r>
          </w:p>
        </w:tc>
        <w:tc>
          <w:tcPr>
            <w:tcW w:w="1275" w:type="dxa"/>
            <w:shd w:val="clear" w:color="auto" w:fill="auto"/>
            <w:noWrap/>
            <w:vAlign w:val="bottom"/>
          </w:tcPr>
          <w:p w14:paraId="2D9AFD44" w14:textId="3284251D" w:rsidR="00FE50CA" w:rsidRPr="00A74D5D" w:rsidRDefault="00FE50CA" w:rsidP="00FE50CA">
            <w:pPr>
              <w:spacing w:after="0" w:line="300" w:lineRule="exact"/>
              <w:jc w:val="right"/>
              <w:rPr>
                <w:rFonts w:ascii="Calibri" w:eastAsia="Times New Roman" w:hAnsi="Calibri" w:cs="Arial"/>
                <w:sz w:val="20"/>
                <w:szCs w:val="20"/>
                <w:lang w:val="en-US"/>
              </w:rPr>
            </w:pPr>
            <w:r w:rsidRPr="008D7B67">
              <w:rPr>
                <w:rFonts w:cs="Arial"/>
                <w:color w:val="000000" w:themeColor="text1"/>
                <w:sz w:val="20"/>
                <w:szCs w:val="20"/>
              </w:rPr>
              <w:t xml:space="preserve">4.074 </w:t>
            </w:r>
          </w:p>
        </w:tc>
        <w:tc>
          <w:tcPr>
            <w:tcW w:w="1418" w:type="dxa"/>
            <w:shd w:val="clear" w:color="auto" w:fill="auto"/>
            <w:noWrap/>
            <w:vAlign w:val="bottom"/>
          </w:tcPr>
          <w:p w14:paraId="2DF2F2F2" w14:textId="6CC2E79B" w:rsidR="00FE50CA" w:rsidRPr="00A74D5D" w:rsidRDefault="00FE50CA" w:rsidP="00FE50CA">
            <w:pPr>
              <w:spacing w:after="0" w:line="300" w:lineRule="exact"/>
              <w:jc w:val="right"/>
              <w:rPr>
                <w:rFonts w:ascii="Calibri" w:eastAsia="Times New Roman" w:hAnsi="Calibri" w:cs="Arial"/>
                <w:sz w:val="20"/>
                <w:szCs w:val="20"/>
                <w:lang w:val="en-US"/>
              </w:rPr>
            </w:pPr>
            <w:r w:rsidRPr="008D7B67">
              <w:rPr>
                <w:rFonts w:cs="Arial"/>
                <w:color w:val="000000" w:themeColor="text1"/>
                <w:sz w:val="20"/>
                <w:szCs w:val="20"/>
              </w:rPr>
              <w:t xml:space="preserve">213 </w:t>
            </w:r>
          </w:p>
        </w:tc>
        <w:tc>
          <w:tcPr>
            <w:tcW w:w="1134" w:type="dxa"/>
            <w:shd w:val="clear" w:color="auto" w:fill="auto"/>
            <w:noWrap/>
            <w:vAlign w:val="bottom"/>
          </w:tcPr>
          <w:p w14:paraId="5C5EEE33" w14:textId="6E7E8058" w:rsidR="00FE50CA" w:rsidRPr="00A74D5D" w:rsidRDefault="00FE50CA" w:rsidP="00FE50CA">
            <w:pPr>
              <w:spacing w:after="0" w:line="300" w:lineRule="exact"/>
              <w:jc w:val="right"/>
              <w:rPr>
                <w:rFonts w:ascii="Calibri" w:eastAsia="Times New Roman" w:hAnsi="Calibri" w:cs="Arial"/>
                <w:sz w:val="20"/>
                <w:szCs w:val="20"/>
                <w:lang w:val="en-US"/>
              </w:rPr>
            </w:pPr>
            <w:r w:rsidRPr="008D7B67">
              <w:rPr>
                <w:rFonts w:cs="Arial"/>
                <w:color w:val="000000" w:themeColor="text1"/>
                <w:sz w:val="20"/>
                <w:szCs w:val="20"/>
              </w:rPr>
              <w:t xml:space="preserve">- </w:t>
            </w:r>
          </w:p>
        </w:tc>
        <w:tc>
          <w:tcPr>
            <w:tcW w:w="1309" w:type="dxa"/>
            <w:shd w:val="clear" w:color="auto" w:fill="auto"/>
            <w:noWrap/>
            <w:vAlign w:val="bottom"/>
          </w:tcPr>
          <w:p w14:paraId="40E514E3" w14:textId="64056308" w:rsidR="00FE50CA" w:rsidRPr="00A74D5D" w:rsidRDefault="00FE50CA" w:rsidP="001D7213">
            <w:pPr>
              <w:spacing w:after="0" w:line="300" w:lineRule="exact"/>
              <w:jc w:val="right"/>
              <w:rPr>
                <w:rFonts w:ascii="Calibri" w:eastAsia="Times New Roman" w:hAnsi="Calibri" w:cs="Arial"/>
                <w:sz w:val="20"/>
                <w:szCs w:val="20"/>
                <w:lang w:val="en-US"/>
              </w:rPr>
            </w:pPr>
            <w:r>
              <w:rPr>
                <w:rFonts w:ascii="Calibri" w:eastAsia="Times New Roman" w:hAnsi="Calibri" w:cs="Arial"/>
                <w:sz w:val="20"/>
                <w:szCs w:val="20"/>
                <w:lang w:val="en-US"/>
              </w:rPr>
              <w:t>-</w:t>
            </w:r>
          </w:p>
        </w:tc>
        <w:tc>
          <w:tcPr>
            <w:tcW w:w="1134" w:type="dxa"/>
            <w:shd w:val="clear" w:color="auto" w:fill="auto"/>
            <w:noWrap/>
            <w:vAlign w:val="bottom"/>
          </w:tcPr>
          <w:p w14:paraId="2F5F13B2" w14:textId="75392650" w:rsidR="00FE50CA" w:rsidRPr="00A74D5D" w:rsidRDefault="00FE50CA" w:rsidP="00FE50CA">
            <w:pPr>
              <w:spacing w:after="0" w:line="300" w:lineRule="exact"/>
              <w:jc w:val="right"/>
              <w:rPr>
                <w:rFonts w:ascii="Calibri" w:eastAsia="Times New Roman" w:hAnsi="Calibri" w:cs="Arial"/>
                <w:sz w:val="20"/>
                <w:szCs w:val="20"/>
                <w:lang w:val="en-US"/>
              </w:rPr>
            </w:pPr>
            <w:r w:rsidRPr="008D7B67">
              <w:rPr>
                <w:rFonts w:cs="Arial"/>
                <w:color w:val="000000" w:themeColor="text1"/>
                <w:sz w:val="20"/>
                <w:szCs w:val="20"/>
              </w:rPr>
              <w:t xml:space="preserve"> 4.287 </w:t>
            </w:r>
          </w:p>
        </w:tc>
      </w:tr>
      <w:tr w:rsidR="00D97953" w:rsidRPr="00A74D5D" w14:paraId="27050F6A" w14:textId="77777777" w:rsidTr="003806AA">
        <w:trPr>
          <w:trHeight w:val="300"/>
        </w:trPr>
        <w:tc>
          <w:tcPr>
            <w:tcW w:w="3369" w:type="dxa"/>
            <w:tcBorders>
              <w:top w:val="nil"/>
              <w:left w:val="nil"/>
              <w:bottom w:val="nil"/>
              <w:right w:val="nil"/>
            </w:tcBorders>
            <w:shd w:val="clear" w:color="auto" w:fill="auto"/>
            <w:vAlign w:val="bottom"/>
          </w:tcPr>
          <w:p w14:paraId="4D50862D" w14:textId="3BEE336E" w:rsidR="00D97953" w:rsidRPr="00D97953" w:rsidRDefault="00D97953" w:rsidP="00D97953">
            <w:pPr>
              <w:spacing w:after="0" w:line="300" w:lineRule="exact"/>
              <w:rPr>
                <w:rFonts w:ascii="Calibri" w:eastAsia="Times New Roman" w:hAnsi="Calibri" w:cs="Arial"/>
                <w:sz w:val="20"/>
                <w:szCs w:val="20"/>
                <w:lang w:val="en-US"/>
              </w:rPr>
            </w:pPr>
            <w:r w:rsidRPr="00D97953">
              <w:rPr>
                <w:rFonts w:eastAsia="Times New Roman" w:cs="Arial"/>
                <w:bCs/>
                <w:noProof/>
                <w:color w:val="000000" w:themeColor="text1"/>
                <w:spacing w:val="-2"/>
                <w:sz w:val="20"/>
                <w:szCs w:val="20"/>
                <w:lang w:val="en-US"/>
              </w:rPr>
              <w:t xml:space="preserve">Impairment gain and provisions </w:t>
            </w:r>
          </w:p>
        </w:tc>
        <w:tc>
          <w:tcPr>
            <w:tcW w:w="1275" w:type="dxa"/>
            <w:shd w:val="clear" w:color="auto" w:fill="auto"/>
            <w:noWrap/>
          </w:tcPr>
          <w:p w14:paraId="25384703" w14:textId="1239D311" w:rsidR="00D97953" w:rsidRPr="00A74D5D" w:rsidRDefault="00D97953" w:rsidP="00D97953">
            <w:pPr>
              <w:spacing w:after="0" w:line="300" w:lineRule="exact"/>
              <w:jc w:val="right"/>
              <w:rPr>
                <w:rFonts w:ascii="Calibri" w:eastAsia="Calibri" w:hAnsi="Calibri" w:cs="Arial"/>
                <w:color w:val="000000"/>
                <w:sz w:val="20"/>
                <w:szCs w:val="20"/>
              </w:rPr>
            </w:pPr>
            <w:r>
              <w:rPr>
                <w:rFonts w:cs="Arial"/>
                <w:color w:val="000000" w:themeColor="text1"/>
                <w:sz w:val="20"/>
                <w:szCs w:val="20"/>
              </w:rPr>
              <w:t>130.391</w:t>
            </w:r>
          </w:p>
        </w:tc>
        <w:tc>
          <w:tcPr>
            <w:tcW w:w="1418" w:type="dxa"/>
            <w:shd w:val="clear" w:color="auto" w:fill="auto"/>
            <w:noWrap/>
          </w:tcPr>
          <w:p w14:paraId="7B090FAF" w14:textId="4F62F32A" w:rsidR="00D97953" w:rsidRPr="00A74D5D" w:rsidRDefault="00D97953" w:rsidP="00D97953">
            <w:pPr>
              <w:spacing w:after="0" w:line="300" w:lineRule="exact"/>
              <w:jc w:val="right"/>
              <w:rPr>
                <w:rFonts w:ascii="Calibri" w:eastAsia="Calibri" w:hAnsi="Calibri" w:cs="Arial"/>
                <w:color w:val="000000"/>
                <w:sz w:val="20"/>
                <w:szCs w:val="20"/>
              </w:rPr>
            </w:pPr>
            <w:r>
              <w:rPr>
                <w:rFonts w:cs="Arial"/>
                <w:color w:val="000000" w:themeColor="text1"/>
                <w:sz w:val="20"/>
                <w:szCs w:val="20"/>
              </w:rPr>
              <w:t>-</w:t>
            </w:r>
          </w:p>
        </w:tc>
        <w:tc>
          <w:tcPr>
            <w:tcW w:w="1134" w:type="dxa"/>
            <w:shd w:val="clear" w:color="auto" w:fill="auto"/>
            <w:noWrap/>
          </w:tcPr>
          <w:p w14:paraId="25ABA55C" w14:textId="221770BF" w:rsidR="00D97953" w:rsidRPr="00A74D5D" w:rsidRDefault="00D97953" w:rsidP="00D97953">
            <w:pPr>
              <w:spacing w:after="0" w:line="300" w:lineRule="exact"/>
              <w:jc w:val="right"/>
              <w:rPr>
                <w:rFonts w:ascii="Calibri" w:eastAsia="Calibri" w:hAnsi="Calibri" w:cs="Arial"/>
                <w:color w:val="000000"/>
                <w:sz w:val="20"/>
                <w:szCs w:val="20"/>
              </w:rPr>
            </w:pPr>
            <w:r>
              <w:rPr>
                <w:rFonts w:cs="Arial"/>
                <w:color w:val="000000" w:themeColor="text1"/>
                <w:sz w:val="20"/>
                <w:szCs w:val="20"/>
              </w:rPr>
              <w:t>31</w:t>
            </w:r>
          </w:p>
        </w:tc>
        <w:tc>
          <w:tcPr>
            <w:tcW w:w="1309" w:type="dxa"/>
            <w:shd w:val="clear" w:color="auto" w:fill="auto"/>
            <w:noWrap/>
            <w:vAlign w:val="bottom"/>
          </w:tcPr>
          <w:p w14:paraId="44F38CC5" w14:textId="784D04BC" w:rsidR="00D97953" w:rsidRPr="00A74D5D" w:rsidRDefault="00D97953" w:rsidP="00D97953">
            <w:pPr>
              <w:spacing w:after="0" w:line="300" w:lineRule="exact"/>
              <w:jc w:val="right"/>
              <w:rPr>
                <w:rFonts w:ascii="Calibri" w:eastAsia="Calibri" w:hAnsi="Calibri" w:cs="Arial"/>
                <w:color w:val="000000"/>
                <w:sz w:val="20"/>
                <w:szCs w:val="20"/>
              </w:rPr>
            </w:pPr>
            <w:r>
              <w:rPr>
                <w:rFonts w:cs="Arial"/>
                <w:color w:val="000000" w:themeColor="text1"/>
                <w:sz w:val="20"/>
                <w:szCs w:val="20"/>
              </w:rPr>
              <w:t>-</w:t>
            </w:r>
          </w:p>
        </w:tc>
        <w:tc>
          <w:tcPr>
            <w:tcW w:w="1134" w:type="dxa"/>
            <w:shd w:val="clear" w:color="auto" w:fill="auto"/>
            <w:noWrap/>
          </w:tcPr>
          <w:p w14:paraId="4E6C2CF2" w14:textId="3DBB86B9" w:rsidR="00D97953" w:rsidRPr="00A74D5D" w:rsidRDefault="00D97953" w:rsidP="00D97953">
            <w:pPr>
              <w:spacing w:after="0" w:line="300" w:lineRule="exact"/>
              <w:jc w:val="right"/>
              <w:rPr>
                <w:rFonts w:ascii="Calibri" w:eastAsia="Calibri" w:hAnsi="Calibri" w:cs="Arial"/>
                <w:color w:val="000000"/>
                <w:sz w:val="20"/>
                <w:szCs w:val="20"/>
              </w:rPr>
            </w:pPr>
            <w:r>
              <w:rPr>
                <w:rFonts w:cs="Arial"/>
                <w:color w:val="000000" w:themeColor="text1"/>
                <w:sz w:val="20"/>
                <w:szCs w:val="20"/>
              </w:rPr>
              <w:t>130.422</w:t>
            </w:r>
          </w:p>
        </w:tc>
      </w:tr>
      <w:tr w:rsidR="00D97953" w:rsidRPr="00A74D5D" w14:paraId="4710CBDB" w14:textId="77777777" w:rsidTr="00CA5301">
        <w:trPr>
          <w:trHeight w:val="300"/>
        </w:trPr>
        <w:tc>
          <w:tcPr>
            <w:tcW w:w="3369" w:type="dxa"/>
            <w:tcBorders>
              <w:top w:val="nil"/>
              <w:left w:val="nil"/>
              <w:bottom w:val="nil"/>
              <w:right w:val="nil"/>
            </w:tcBorders>
            <w:shd w:val="clear" w:color="auto" w:fill="auto"/>
            <w:vAlign w:val="bottom"/>
          </w:tcPr>
          <w:p w14:paraId="6269696F" w14:textId="77777777" w:rsidR="00D97953" w:rsidRPr="00A74D5D" w:rsidRDefault="00D97953" w:rsidP="00D97953">
            <w:pPr>
              <w:spacing w:after="0" w:line="300" w:lineRule="exact"/>
              <w:rPr>
                <w:rFonts w:ascii="Calibri" w:eastAsia="Times New Roman" w:hAnsi="Calibri" w:cs="Arial"/>
                <w:sz w:val="20"/>
                <w:szCs w:val="20"/>
                <w:lang w:val="en-US"/>
              </w:rPr>
            </w:pPr>
            <w:r w:rsidRPr="00A74D5D">
              <w:rPr>
                <w:rFonts w:ascii="Calibri" w:eastAsia="Times New Roman" w:hAnsi="Calibri" w:cs="Arial"/>
                <w:sz w:val="20"/>
                <w:szCs w:val="20"/>
                <w:lang w:val="en-US"/>
              </w:rPr>
              <w:t>Net premiums earned</w:t>
            </w:r>
          </w:p>
        </w:tc>
        <w:tc>
          <w:tcPr>
            <w:tcW w:w="1275" w:type="dxa"/>
            <w:shd w:val="clear" w:color="auto" w:fill="auto"/>
            <w:noWrap/>
          </w:tcPr>
          <w:p w14:paraId="00FEBFBD" w14:textId="5FFB0209" w:rsidR="00D97953" w:rsidRPr="00A74D5D" w:rsidRDefault="00D97953" w:rsidP="00D97953">
            <w:pPr>
              <w:spacing w:after="0" w:line="300" w:lineRule="exact"/>
              <w:jc w:val="right"/>
              <w:rPr>
                <w:rFonts w:ascii="Calibri" w:eastAsia="Times New Roman" w:hAnsi="Calibri" w:cs="Arial"/>
                <w:sz w:val="20"/>
                <w:szCs w:val="20"/>
                <w:lang w:val="en-US"/>
              </w:rPr>
            </w:pPr>
            <w:r w:rsidRPr="008D7B67">
              <w:rPr>
                <w:rFonts w:cs="Arial"/>
                <w:color w:val="000000" w:themeColor="text1"/>
                <w:sz w:val="20"/>
                <w:szCs w:val="20"/>
              </w:rPr>
              <w:t xml:space="preserve"> - </w:t>
            </w:r>
          </w:p>
        </w:tc>
        <w:tc>
          <w:tcPr>
            <w:tcW w:w="1418" w:type="dxa"/>
            <w:shd w:val="clear" w:color="auto" w:fill="auto"/>
            <w:noWrap/>
          </w:tcPr>
          <w:p w14:paraId="480E652A" w14:textId="3A03072D" w:rsidR="00D97953" w:rsidRPr="00A74D5D" w:rsidRDefault="00D97953" w:rsidP="00D97953">
            <w:pPr>
              <w:spacing w:after="0" w:line="300" w:lineRule="exact"/>
              <w:jc w:val="right"/>
              <w:rPr>
                <w:rFonts w:ascii="Calibri" w:eastAsia="Times New Roman" w:hAnsi="Calibri" w:cs="Arial"/>
                <w:sz w:val="20"/>
                <w:szCs w:val="20"/>
                <w:lang w:val="en-US"/>
              </w:rPr>
            </w:pPr>
            <w:r w:rsidRPr="008D7B67">
              <w:rPr>
                <w:rFonts w:cs="Arial"/>
                <w:color w:val="000000" w:themeColor="text1"/>
                <w:sz w:val="20"/>
                <w:szCs w:val="20"/>
              </w:rPr>
              <w:t xml:space="preserve"> 2.440 </w:t>
            </w:r>
          </w:p>
        </w:tc>
        <w:tc>
          <w:tcPr>
            <w:tcW w:w="1134" w:type="dxa"/>
            <w:shd w:val="clear" w:color="auto" w:fill="auto"/>
            <w:noWrap/>
          </w:tcPr>
          <w:p w14:paraId="6B4BDC3D" w14:textId="57E6C14B" w:rsidR="00D97953" w:rsidRPr="00A74D5D" w:rsidRDefault="00D97953" w:rsidP="00D97953">
            <w:pPr>
              <w:spacing w:after="0" w:line="300" w:lineRule="exact"/>
              <w:jc w:val="right"/>
              <w:rPr>
                <w:rFonts w:ascii="Calibri" w:eastAsia="Times New Roman" w:hAnsi="Calibri" w:cs="Arial"/>
                <w:sz w:val="20"/>
                <w:szCs w:val="20"/>
                <w:lang w:val="en-US"/>
              </w:rPr>
            </w:pPr>
            <w:r>
              <w:rPr>
                <w:rFonts w:cs="Arial"/>
                <w:color w:val="000000" w:themeColor="text1"/>
                <w:sz w:val="20"/>
                <w:szCs w:val="20"/>
              </w:rPr>
              <w:t>-</w:t>
            </w:r>
          </w:p>
        </w:tc>
        <w:tc>
          <w:tcPr>
            <w:tcW w:w="1309" w:type="dxa"/>
            <w:shd w:val="clear" w:color="auto" w:fill="auto"/>
            <w:noWrap/>
            <w:vAlign w:val="bottom"/>
          </w:tcPr>
          <w:p w14:paraId="584D0F9D" w14:textId="68FB7E19" w:rsidR="00D97953" w:rsidRPr="00A74D5D" w:rsidRDefault="00D97953" w:rsidP="00D97953">
            <w:pPr>
              <w:spacing w:after="0" w:line="300" w:lineRule="exact"/>
              <w:jc w:val="right"/>
              <w:rPr>
                <w:rFonts w:ascii="Calibri" w:eastAsia="Times New Roman" w:hAnsi="Calibri" w:cs="Arial"/>
                <w:sz w:val="20"/>
                <w:szCs w:val="20"/>
                <w:lang w:val="en-US"/>
              </w:rPr>
            </w:pPr>
            <w:r>
              <w:rPr>
                <w:rFonts w:cs="Arial"/>
                <w:color w:val="000000" w:themeColor="text1"/>
                <w:sz w:val="20"/>
                <w:szCs w:val="20"/>
              </w:rPr>
              <w:t>-</w:t>
            </w:r>
          </w:p>
        </w:tc>
        <w:tc>
          <w:tcPr>
            <w:tcW w:w="1134" w:type="dxa"/>
            <w:shd w:val="clear" w:color="auto" w:fill="auto"/>
            <w:noWrap/>
          </w:tcPr>
          <w:p w14:paraId="1F5CD2D4" w14:textId="04D597CB" w:rsidR="00D97953" w:rsidRPr="00A74D5D" w:rsidRDefault="00D97953" w:rsidP="00D97953">
            <w:pPr>
              <w:spacing w:after="0" w:line="300" w:lineRule="exact"/>
              <w:jc w:val="right"/>
              <w:rPr>
                <w:rFonts w:ascii="Calibri" w:eastAsia="Times New Roman" w:hAnsi="Calibri" w:cs="Arial"/>
                <w:sz w:val="20"/>
                <w:szCs w:val="20"/>
                <w:lang w:val="en-US"/>
              </w:rPr>
            </w:pPr>
            <w:r w:rsidRPr="008D7B67">
              <w:rPr>
                <w:rFonts w:cs="Arial"/>
                <w:color w:val="000000" w:themeColor="text1"/>
                <w:sz w:val="20"/>
                <w:szCs w:val="20"/>
              </w:rPr>
              <w:t xml:space="preserve"> 2.440 </w:t>
            </w:r>
          </w:p>
        </w:tc>
      </w:tr>
      <w:tr w:rsidR="00D97953" w:rsidRPr="00A74D5D" w14:paraId="7148C355" w14:textId="77777777" w:rsidTr="00CA5301">
        <w:trPr>
          <w:trHeight w:val="300"/>
        </w:trPr>
        <w:tc>
          <w:tcPr>
            <w:tcW w:w="3369" w:type="dxa"/>
            <w:tcBorders>
              <w:top w:val="nil"/>
              <w:left w:val="nil"/>
              <w:right w:val="nil"/>
            </w:tcBorders>
            <w:shd w:val="clear" w:color="auto" w:fill="auto"/>
            <w:vAlign w:val="bottom"/>
          </w:tcPr>
          <w:p w14:paraId="6A697D47" w14:textId="77777777" w:rsidR="00D97953" w:rsidRPr="00A74D5D" w:rsidRDefault="00D97953" w:rsidP="00D97953">
            <w:pPr>
              <w:spacing w:after="0" w:line="300" w:lineRule="exact"/>
              <w:rPr>
                <w:rFonts w:ascii="Calibri" w:eastAsia="Times New Roman" w:hAnsi="Calibri" w:cs="Arial"/>
                <w:sz w:val="20"/>
                <w:szCs w:val="20"/>
                <w:lang w:val="en-US"/>
              </w:rPr>
            </w:pPr>
            <w:r w:rsidRPr="00A74D5D">
              <w:rPr>
                <w:rFonts w:ascii="Calibri" w:eastAsia="Times New Roman" w:hAnsi="Calibri" w:cs="Arial"/>
                <w:sz w:val="20"/>
                <w:szCs w:val="20"/>
                <w:lang w:val="en-US"/>
              </w:rPr>
              <w:t>Other income</w:t>
            </w:r>
          </w:p>
        </w:tc>
        <w:tc>
          <w:tcPr>
            <w:tcW w:w="1275" w:type="dxa"/>
            <w:tcBorders>
              <w:top w:val="nil"/>
              <w:left w:val="nil"/>
              <w:bottom w:val="single" w:sz="2" w:space="0" w:color="auto"/>
              <w:right w:val="nil"/>
            </w:tcBorders>
            <w:shd w:val="clear" w:color="auto" w:fill="auto"/>
            <w:noWrap/>
          </w:tcPr>
          <w:p w14:paraId="6BF7FC22" w14:textId="07C434A6" w:rsidR="00D97953" w:rsidRPr="00A74D5D" w:rsidRDefault="00D97953" w:rsidP="00D97953">
            <w:pPr>
              <w:spacing w:after="0" w:line="300" w:lineRule="exact"/>
              <w:jc w:val="right"/>
              <w:rPr>
                <w:rFonts w:ascii="Calibri" w:eastAsia="Times New Roman" w:hAnsi="Calibri" w:cs="Arial"/>
                <w:sz w:val="20"/>
                <w:szCs w:val="20"/>
                <w:lang w:val="en-US"/>
              </w:rPr>
            </w:pPr>
            <w:r w:rsidRPr="008D7B67">
              <w:rPr>
                <w:rFonts w:cs="Arial"/>
                <w:color w:val="000000" w:themeColor="text1"/>
                <w:sz w:val="20"/>
                <w:szCs w:val="20"/>
              </w:rPr>
              <w:t xml:space="preserve"> 4.161 </w:t>
            </w:r>
          </w:p>
        </w:tc>
        <w:tc>
          <w:tcPr>
            <w:tcW w:w="1418" w:type="dxa"/>
            <w:tcBorders>
              <w:top w:val="nil"/>
              <w:left w:val="nil"/>
              <w:bottom w:val="single" w:sz="2" w:space="0" w:color="auto"/>
              <w:right w:val="nil"/>
            </w:tcBorders>
            <w:shd w:val="clear" w:color="auto" w:fill="auto"/>
            <w:noWrap/>
          </w:tcPr>
          <w:p w14:paraId="2390A169" w14:textId="48D7FF10" w:rsidR="00D97953" w:rsidRPr="00A74D5D" w:rsidRDefault="00D97953" w:rsidP="00D97953">
            <w:pPr>
              <w:spacing w:after="0" w:line="300" w:lineRule="exact"/>
              <w:jc w:val="right"/>
              <w:rPr>
                <w:rFonts w:ascii="Calibri" w:eastAsia="Times New Roman" w:hAnsi="Calibri" w:cs="Arial"/>
                <w:sz w:val="20"/>
                <w:szCs w:val="20"/>
                <w:lang w:val="en-US"/>
              </w:rPr>
            </w:pPr>
            <w:r w:rsidRPr="008D7B67">
              <w:rPr>
                <w:rFonts w:cs="Arial"/>
                <w:color w:val="000000" w:themeColor="text1"/>
                <w:sz w:val="20"/>
                <w:szCs w:val="20"/>
              </w:rPr>
              <w:t xml:space="preserve"> 17 </w:t>
            </w:r>
          </w:p>
        </w:tc>
        <w:tc>
          <w:tcPr>
            <w:tcW w:w="1134" w:type="dxa"/>
            <w:tcBorders>
              <w:top w:val="nil"/>
              <w:left w:val="nil"/>
              <w:bottom w:val="single" w:sz="2" w:space="0" w:color="auto"/>
              <w:right w:val="nil"/>
            </w:tcBorders>
            <w:shd w:val="clear" w:color="auto" w:fill="auto"/>
            <w:noWrap/>
          </w:tcPr>
          <w:p w14:paraId="7E8CF2C3" w14:textId="1EFD7A29" w:rsidR="00D97953" w:rsidRPr="00A74D5D" w:rsidRDefault="00D97953" w:rsidP="00D97953">
            <w:pPr>
              <w:spacing w:after="0" w:line="300" w:lineRule="exact"/>
              <w:jc w:val="right"/>
              <w:rPr>
                <w:rFonts w:ascii="Calibri" w:eastAsia="Times New Roman" w:hAnsi="Calibri" w:cs="Arial"/>
                <w:sz w:val="20"/>
                <w:szCs w:val="20"/>
                <w:lang w:val="en-US"/>
              </w:rPr>
            </w:pPr>
            <w:r w:rsidRPr="008D7B67">
              <w:rPr>
                <w:rFonts w:cs="Arial"/>
                <w:color w:val="000000" w:themeColor="text1"/>
                <w:sz w:val="20"/>
                <w:szCs w:val="20"/>
              </w:rPr>
              <w:t xml:space="preserve"> 74 </w:t>
            </w:r>
          </w:p>
        </w:tc>
        <w:tc>
          <w:tcPr>
            <w:tcW w:w="1309" w:type="dxa"/>
            <w:tcBorders>
              <w:top w:val="nil"/>
              <w:left w:val="nil"/>
              <w:bottom w:val="single" w:sz="2" w:space="0" w:color="auto"/>
              <w:right w:val="nil"/>
            </w:tcBorders>
            <w:shd w:val="clear" w:color="auto" w:fill="auto"/>
            <w:noWrap/>
            <w:vAlign w:val="bottom"/>
          </w:tcPr>
          <w:p w14:paraId="004A16D5" w14:textId="3A87B6C8" w:rsidR="00D97953" w:rsidRPr="00A74D5D" w:rsidRDefault="00D97953" w:rsidP="00D97953">
            <w:pPr>
              <w:spacing w:after="0" w:line="300" w:lineRule="exact"/>
              <w:jc w:val="right"/>
              <w:rPr>
                <w:rFonts w:ascii="Calibri" w:eastAsia="Times New Roman" w:hAnsi="Calibri" w:cs="Arial"/>
                <w:sz w:val="20"/>
                <w:szCs w:val="20"/>
                <w:lang w:val="en-US"/>
              </w:rPr>
            </w:pPr>
            <w:r>
              <w:rPr>
                <w:rFonts w:cs="Arial"/>
                <w:color w:val="000000" w:themeColor="text1"/>
                <w:sz w:val="20"/>
                <w:szCs w:val="20"/>
              </w:rPr>
              <w:t>(77)</w:t>
            </w:r>
          </w:p>
        </w:tc>
        <w:tc>
          <w:tcPr>
            <w:tcW w:w="1134" w:type="dxa"/>
            <w:tcBorders>
              <w:top w:val="nil"/>
              <w:left w:val="nil"/>
              <w:bottom w:val="single" w:sz="2" w:space="0" w:color="auto"/>
              <w:right w:val="nil"/>
            </w:tcBorders>
            <w:shd w:val="clear" w:color="auto" w:fill="auto"/>
            <w:noWrap/>
          </w:tcPr>
          <w:p w14:paraId="355AA3C0" w14:textId="41B82CFC" w:rsidR="00D97953" w:rsidRPr="00A74D5D" w:rsidRDefault="00D97953" w:rsidP="00D97953">
            <w:pPr>
              <w:spacing w:after="0" w:line="300" w:lineRule="exact"/>
              <w:jc w:val="right"/>
              <w:rPr>
                <w:rFonts w:ascii="Calibri" w:eastAsia="Times New Roman" w:hAnsi="Calibri" w:cs="Arial"/>
                <w:sz w:val="20"/>
                <w:szCs w:val="20"/>
                <w:lang w:val="en-US"/>
              </w:rPr>
            </w:pPr>
            <w:r w:rsidRPr="008D7B67">
              <w:rPr>
                <w:rFonts w:cs="Arial"/>
                <w:color w:val="000000" w:themeColor="text1"/>
                <w:sz w:val="20"/>
                <w:szCs w:val="20"/>
              </w:rPr>
              <w:t xml:space="preserve"> 4.175 </w:t>
            </w:r>
          </w:p>
        </w:tc>
      </w:tr>
      <w:tr w:rsidR="00D97953" w:rsidRPr="00A74D5D" w14:paraId="56E1E7DC" w14:textId="77777777" w:rsidTr="00364C28">
        <w:trPr>
          <w:trHeight w:val="300"/>
        </w:trPr>
        <w:tc>
          <w:tcPr>
            <w:tcW w:w="3369" w:type="dxa"/>
            <w:tcBorders>
              <w:left w:val="nil"/>
              <w:right w:val="nil"/>
            </w:tcBorders>
            <w:shd w:val="clear" w:color="auto" w:fill="auto"/>
            <w:vAlign w:val="bottom"/>
          </w:tcPr>
          <w:p w14:paraId="0F7A8027" w14:textId="77777777" w:rsidR="00D97953" w:rsidRPr="00A74D5D" w:rsidRDefault="00D97953" w:rsidP="00D97953">
            <w:pPr>
              <w:spacing w:after="0" w:line="300" w:lineRule="exact"/>
              <w:rPr>
                <w:rFonts w:ascii="Calibri" w:eastAsia="Times New Roman" w:hAnsi="Calibri" w:cs="Arial"/>
                <w:b/>
                <w:bCs/>
                <w:sz w:val="20"/>
                <w:szCs w:val="20"/>
                <w:lang w:val="en-US"/>
              </w:rPr>
            </w:pPr>
            <w:r w:rsidRPr="00A74D5D">
              <w:rPr>
                <w:rFonts w:ascii="Calibri" w:eastAsia="Times New Roman" w:hAnsi="Calibri" w:cs="Arial"/>
                <w:b/>
                <w:bCs/>
                <w:sz w:val="20"/>
                <w:szCs w:val="20"/>
                <w:lang w:val="en-US"/>
              </w:rPr>
              <w:t>Income from operating activities</w:t>
            </w:r>
          </w:p>
        </w:tc>
        <w:tc>
          <w:tcPr>
            <w:tcW w:w="1275" w:type="dxa"/>
            <w:tcBorders>
              <w:top w:val="single" w:sz="2" w:space="0" w:color="auto"/>
              <w:left w:val="nil"/>
              <w:bottom w:val="single" w:sz="12" w:space="0" w:color="auto"/>
              <w:right w:val="nil"/>
            </w:tcBorders>
            <w:shd w:val="clear" w:color="auto" w:fill="auto"/>
            <w:noWrap/>
          </w:tcPr>
          <w:p w14:paraId="69931DC6" w14:textId="16FC28AF" w:rsidR="00D97953" w:rsidRPr="00A74D5D" w:rsidRDefault="00D97953" w:rsidP="00D97953">
            <w:pPr>
              <w:spacing w:after="0" w:line="300" w:lineRule="exact"/>
              <w:jc w:val="right"/>
              <w:rPr>
                <w:rFonts w:ascii="Calibri" w:eastAsia="Times New Roman" w:hAnsi="Calibri" w:cs="Arial"/>
                <w:b/>
                <w:bCs/>
                <w:sz w:val="20"/>
                <w:szCs w:val="20"/>
                <w:lang w:val="en-US"/>
              </w:rPr>
            </w:pPr>
            <w:r w:rsidRPr="008D7B67">
              <w:rPr>
                <w:rFonts w:cs="Arial"/>
                <w:b/>
                <w:bCs/>
                <w:color w:val="000000" w:themeColor="text1"/>
                <w:sz w:val="20"/>
                <w:szCs w:val="20"/>
              </w:rPr>
              <w:t xml:space="preserve"> </w:t>
            </w:r>
            <w:r>
              <w:rPr>
                <w:rFonts w:cs="Arial"/>
                <w:b/>
                <w:bCs/>
                <w:color w:val="000000" w:themeColor="text1"/>
                <w:sz w:val="20"/>
                <w:szCs w:val="20"/>
              </w:rPr>
              <w:t>287.972</w:t>
            </w:r>
            <w:r w:rsidRPr="008D7B67">
              <w:rPr>
                <w:rFonts w:cs="Arial"/>
                <w:b/>
                <w:bCs/>
                <w:color w:val="000000" w:themeColor="text1"/>
                <w:sz w:val="20"/>
                <w:szCs w:val="20"/>
              </w:rPr>
              <w:t xml:space="preserve"> </w:t>
            </w:r>
          </w:p>
        </w:tc>
        <w:tc>
          <w:tcPr>
            <w:tcW w:w="1418" w:type="dxa"/>
            <w:tcBorders>
              <w:top w:val="single" w:sz="2" w:space="0" w:color="auto"/>
              <w:left w:val="nil"/>
              <w:bottom w:val="single" w:sz="12" w:space="0" w:color="auto"/>
              <w:right w:val="nil"/>
            </w:tcBorders>
            <w:shd w:val="clear" w:color="auto" w:fill="auto"/>
            <w:noWrap/>
          </w:tcPr>
          <w:p w14:paraId="4BEA2B51" w14:textId="4DB33C15" w:rsidR="00D97953" w:rsidRPr="00A74D5D" w:rsidRDefault="00D97953" w:rsidP="00D97953">
            <w:pPr>
              <w:spacing w:after="0" w:line="300" w:lineRule="exact"/>
              <w:jc w:val="right"/>
              <w:rPr>
                <w:rFonts w:ascii="Calibri" w:eastAsia="Times New Roman" w:hAnsi="Calibri" w:cs="Arial"/>
                <w:b/>
                <w:bCs/>
                <w:sz w:val="20"/>
                <w:szCs w:val="20"/>
                <w:lang w:val="en-US"/>
              </w:rPr>
            </w:pPr>
            <w:r w:rsidRPr="008D7B67">
              <w:rPr>
                <w:rFonts w:cs="Arial"/>
                <w:b/>
                <w:bCs/>
                <w:color w:val="000000" w:themeColor="text1"/>
                <w:sz w:val="20"/>
                <w:szCs w:val="20"/>
              </w:rPr>
              <w:t xml:space="preserve"> 3.411 </w:t>
            </w:r>
          </w:p>
        </w:tc>
        <w:tc>
          <w:tcPr>
            <w:tcW w:w="1134" w:type="dxa"/>
            <w:tcBorders>
              <w:top w:val="single" w:sz="2" w:space="0" w:color="auto"/>
              <w:left w:val="nil"/>
              <w:bottom w:val="single" w:sz="12" w:space="0" w:color="auto"/>
              <w:right w:val="nil"/>
            </w:tcBorders>
            <w:shd w:val="clear" w:color="auto" w:fill="auto"/>
            <w:noWrap/>
          </w:tcPr>
          <w:p w14:paraId="718C9BF6" w14:textId="6A443B73" w:rsidR="00D97953" w:rsidRPr="00A74D5D" w:rsidRDefault="00D97953" w:rsidP="00D97953">
            <w:pPr>
              <w:spacing w:after="0" w:line="300" w:lineRule="exact"/>
              <w:jc w:val="right"/>
              <w:rPr>
                <w:rFonts w:ascii="Calibri" w:eastAsia="Times New Roman" w:hAnsi="Calibri" w:cs="Arial"/>
                <w:b/>
                <w:bCs/>
                <w:sz w:val="20"/>
                <w:szCs w:val="20"/>
                <w:lang w:val="en-US"/>
              </w:rPr>
            </w:pPr>
            <w:r w:rsidRPr="008D7B67">
              <w:rPr>
                <w:rFonts w:cs="Arial"/>
                <w:b/>
                <w:bCs/>
                <w:color w:val="000000" w:themeColor="text1"/>
                <w:sz w:val="20"/>
                <w:szCs w:val="20"/>
              </w:rPr>
              <w:t xml:space="preserve"> 6</w:t>
            </w:r>
            <w:r>
              <w:rPr>
                <w:rFonts w:cs="Arial"/>
                <w:b/>
                <w:bCs/>
                <w:color w:val="000000" w:themeColor="text1"/>
                <w:sz w:val="20"/>
                <w:szCs w:val="20"/>
              </w:rPr>
              <w:t>41</w:t>
            </w:r>
            <w:r w:rsidRPr="008D7B67">
              <w:rPr>
                <w:rFonts w:cs="Arial"/>
                <w:b/>
                <w:bCs/>
                <w:color w:val="000000" w:themeColor="text1"/>
                <w:sz w:val="20"/>
                <w:szCs w:val="20"/>
              </w:rPr>
              <w:t xml:space="preserve"> </w:t>
            </w:r>
          </w:p>
        </w:tc>
        <w:tc>
          <w:tcPr>
            <w:tcW w:w="1309" w:type="dxa"/>
            <w:tcBorders>
              <w:top w:val="single" w:sz="2" w:space="0" w:color="auto"/>
              <w:left w:val="nil"/>
              <w:bottom w:val="single" w:sz="12" w:space="0" w:color="auto"/>
              <w:right w:val="nil"/>
            </w:tcBorders>
            <w:shd w:val="clear" w:color="auto" w:fill="auto"/>
            <w:noWrap/>
            <w:vAlign w:val="bottom"/>
          </w:tcPr>
          <w:p w14:paraId="3A482EE5" w14:textId="4633AF4E" w:rsidR="00D97953" w:rsidRPr="00A74D5D" w:rsidRDefault="00D97953" w:rsidP="00D97953">
            <w:pPr>
              <w:spacing w:after="0" w:line="300" w:lineRule="exact"/>
              <w:jc w:val="right"/>
              <w:rPr>
                <w:rFonts w:ascii="Calibri" w:eastAsia="Times New Roman" w:hAnsi="Calibri" w:cs="Arial"/>
                <w:b/>
                <w:bCs/>
                <w:sz w:val="20"/>
                <w:szCs w:val="20"/>
                <w:lang w:val="en-US"/>
              </w:rPr>
            </w:pPr>
            <w:r w:rsidRPr="008D7B67">
              <w:rPr>
                <w:rFonts w:ascii="Calibri" w:hAnsi="Calibri" w:cs="Arial"/>
                <w:b/>
                <w:bCs/>
                <w:sz w:val="20"/>
                <w:szCs w:val="20"/>
              </w:rPr>
              <w:t>(77)</w:t>
            </w:r>
          </w:p>
        </w:tc>
        <w:tc>
          <w:tcPr>
            <w:tcW w:w="1134" w:type="dxa"/>
            <w:tcBorders>
              <w:top w:val="single" w:sz="2" w:space="0" w:color="auto"/>
              <w:left w:val="nil"/>
              <w:bottom w:val="single" w:sz="12" w:space="0" w:color="auto"/>
              <w:right w:val="nil"/>
            </w:tcBorders>
            <w:shd w:val="clear" w:color="auto" w:fill="auto"/>
            <w:noWrap/>
          </w:tcPr>
          <w:p w14:paraId="7E3BCAD9" w14:textId="6D866CEF" w:rsidR="00D97953" w:rsidRPr="00A74D5D" w:rsidRDefault="00D97953" w:rsidP="00D97953">
            <w:pPr>
              <w:spacing w:after="0" w:line="300" w:lineRule="exact"/>
              <w:jc w:val="right"/>
              <w:rPr>
                <w:rFonts w:ascii="Calibri" w:eastAsia="Times New Roman" w:hAnsi="Calibri" w:cs="Arial"/>
                <w:b/>
                <w:bCs/>
                <w:sz w:val="20"/>
                <w:szCs w:val="20"/>
                <w:lang w:val="en-US"/>
              </w:rPr>
            </w:pPr>
            <w:r w:rsidRPr="007A49AD">
              <w:rPr>
                <w:rFonts w:cs="Arial"/>
                <w:b/>
                <w:bCs/>
                <w:color w:val="000000" w:themeColor="text1"/>
                <w:sz w:val="20"/>
                <w:szCs w:val="20"/>
              </w:rPr>
              <w:t xml:space="preserve"> 291.94</w:t>
            </w:r>
            <w:r>
              <w:rPr>
                <w:rFonts w:cs="Arial"/>
                <w:b/>
                <w:bCs/>
                <w:color w:val="000000" w:themeColor="text1"/>
                <w:sz w:val="20"/>
                <w:szCs w:val="20"/>
              </w:rPr>
              <w:t>7</w:t>
            </w:r>
            <w:r w:rsidRPr="008D7B67">
              <w:rPr>
                <w:rFonts w:cs="Arial"/>
                <w:b/>
                <w:bCs/>
                <w:color w:val="000000" w:themeColor="text1"/>
                <w:sz w:val="20"/>
                <w:szCs w:val="20"/>
              </w:rPr>
              <w:t xml:space="preserve"> </w:t>
            </w:r>
          </w:p>
        </w:tc>
      </w:tr>
      <w:tr w:rsidR="00D97953" w:rsidRPr="00A74D5D" w14:paraId="561CB67A" w14:textId="77777777" w:rsidTr="00456F9A">
        <w:trPr>
          <w:trHeight w:val="60"/>
        </w:trPr>
        <w:tc>
          <w:tcPr>
            <w:tcW w:w="3369" w:type="dxa"/>
            <w:tcBorders>
              <w:left w:val="nil"/>
              <w:bottom w:val="nil"/>
              <w:right w:val="nil"/>
            </w:tcBorders>
            <w:shd w:val="clear" w:color="auto" w:fill="auto"/>
            <w:vAlign w:val="bottom"/>
          </w:tcPr>
          <w:p w14:paraId="3388B4AB" w14:textId="77777777" w:rsidR="00D97953" w:rsidRPr="00A74D5D" w:rsidRDefault="00D97953" w:rsidP="00D97953">
            <w:pPr>
              <w:spacing w:after="0" w:line="140" w:lineRule="exact"/>
              <w:rPr>
                <w:rFonts w:ascii="Calibri" w:eastAsia="Times New Roman" w:hAnsi="Calibri" w:cs="Arial"/>
                <w:sz w:val="20"/>
                <w:szCs w:val="20"/>
                <w:lang w:val="en-US"/>
              </w:rPr>
            </w:pPr>
          </w:p>
        </w:tc>
        <w:tc>
          <w:tcPr>
            <w:tcW w:w="1275" w:type="dxa"/>
            <w:tcBorders>
              <w:top w:val="single" w:sz="12" w:space="0" w:color="auto"/>
              <w:left w:val="nil"/>
              <w:bottom w:val="nil"/>
              <w:right w:val="nil"/>
            </w:tcBorders>
            <w:shd w:val="clear" w:color="auto" w:fill="auto"/>
            <w:noWrap/>
            <w:vAlign w:val="bottom"/>
          </w:tcPr>
          <w:p w14:paraId="1E87E47B" w14:textId="77777777" w:rsidR="00D97953" w:rsidRPr="00A74D5D" w:rsidRDefault="00D97953" w:rsidP="00D97953">
            <w:pPr>
              <w:spacing w:after="0" w:line="140" w:lineRule="exact"/>
              <w:jc w:val="right"/>
              <w:rPr>
                <w:rFonts w:ascii="Calibri" w:eastAsia="Times New Roman" w:hAnsi="Calibri" w:cs="Arial"/>
                <w:sz w:val="20"/>
                <w:szCs w:val="20"/>
                <w:lang w:val="en-US"/>
              </w:rPr>
            </w:pPr>
          </w:p>
        </w:tc>
        <w:tc>
          <w:tcPr>
            <w:tcW w:w="1418" w:type="dxa"/>
            <w:tcBorders>
              <w:top w:val="single" w:sz="12" w:space="0" w:color="auto"/>
              <w:left w:val="nil"/>
              <w:bottom w:val="nil"/>
              <w:right w:val="nil"/>
            </w:tcBorders>
            <w:shd w:val="clear" w:color="auto" w:fill="auto"/>
            <w:noWrap/>
            <w:vAlign w:val="bottom"/>
          </w:tcPr>
          <w:p w14:paraId="5E550CC9" w14:textId="77777777" w:rsidR="00D97953" w:rsidRPr="00A74D5D" w:rsidRDefault="00D97953" w:rsidP="00D97953">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7FD86D82" w14:textId="77777777" w:rsidR="00D97953" w:rsidRPr="00A74D5D" w:rsidRDefault="00D97953" w:rsidP="00D97953">
            <w:pPr>
              <w:spacing w:after="0" w:line="140" w:lineRule="exact"/>
              <w:jc w:val="right"/>
              <w:rPr>
                <w:rFonts w:ascii="Calibri" w:eastAsia="Times New Roman" w:hAnsi="Calibri" w:cs="Arial"/>
                <w:sz w:val="20"/>
                <w:szCs w:val="20"/>
                <w:lang w:val="en-US"/>
              </w:rPr>
            </w:pPr>
          </w:p>
        </w:tc>
        <w:tc>
          <w:tcPr>
            <w:tcW w:w="1309" w:type="dxa"/>
            <w:tcBorders>
              <w:top w:val="single" w:sz="12" w:space="0" w:color="auto"/>
              <w:left w:val="nil"/>
              <w:bottom w:val="nil"/>
              <w:right w:val="nil"/>
            </w:tcBorders>
            <w:shd w:val="clear" w:color="auto" w:fill="auto"/>
            <w:noWrap/>
            <w:vAlign w:val="bottom"/>
          </w:tcPr>
          <w:p w14:paraId="2CEE030C" w14:textId="77777777" w:rsidR="00D97953" w:rsidRPr="00A74D5D" w:rsidRDefault="00D97953" w:rsidP="00D97953">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41F7AFB6" w14:textId="77777777" w:rsidR="00D97953" w:rsidRPr="00A74D5D" w:rsidRDefault="00D97953" w:rsidP="00D97953">
            <w:pPr>
              <w:spacing w:after="0" w:line="140" w:lineRule="exact"/>
              <w:jc w:val="right"/>
              <w:rPr>
                <w:rFonts w:ascii="Calibri" w:eastAsia="Times New Roman" w:hAnsi="Calibri" w:cs="Arial"/>
                <w:sz w:val="20"/>
                <w:szCs w:val="20"/>
                <w:lang w:val="en-US"/>
              </w:rPr>
            </w:pPr>
          </w:p>
        </w:tc>
      </w:tr>
      <w:tr w:rsidR="00D97953" w:rsidRPr="00A74D5D" w14:paraId="44E54CE4" w14:textId="77777777" w:rsidTr="00BE797D">
        <w:trPr>
          <w:trHeight w:val="300"/>
        </w:trPr>
        <w:tc>
          <w:tcPr>
            <w:tcW w:w="3369" w:type="dxa"/>
            <w:tcBorders>
              <w:top w:val="nil"/>
              <w:left w:val="nil"/>
              <w:bottom w:val="nil"/>
              <w:right w:val="nil"/>
            </w:tcBorders>
            <w:shd w:val="clear" w:color="auto" w:fill="auto"/>
            <w:vAlign w:val="bottom"/>
          </w:tcPr>
          <w:p w14:paraId="26914C99" w14:textId="77777777" w:rsidR="00D97953" w:rsidRPr="00A74D5D" w:rsidRDefault="00D97953" w:rsidP="00D97953">
            <w:pPr>
              <w:spacing w:after="0" w:line="300" w:lineRule="exact"/>
              <w:rPr>
                <w:rFonts w:ascii="Calibri" w:eastAsia="Times New Roman" w:hAnsi="Calibri" w:cs="Arial"/>
                <w:sz w:val="20"/>
                <w:szCs w:val="20"/>
                <w:lang w:val="en-US"/>
              </w:rPr>
            </w:pPr>
            <w:r w:rsidRPr="00A74D5D">
              <w:rPr>
                <w:rFonts w:ascii="Calibri" w:eastAsia="Times New Roman" w:hAnsi="Calibri" w:cs="Arial"/>
                <w:sz w:val="20"/>
                <w:szCs w:val="20"/>
                <w:lang w:val="en-US"/>
              </w:rPr>
              <w:t>Operating costs</w:t>
            </w:r>
          </w:p>
        </w:tc>
        <w:tc>
          <w:tcPr>
            <w:tcW w:w="1275" w:type="dxa"/>
            <w:shd w:val="clear" w:color="auto" w:fill="auto"/>
            <w:noWrap/>
          </w:tcPr>
          <w:p w14:paraId="2F34611A" w14:textId="5ED76980" w:rsidR="00D97953" w:rsidRPr="00A74D5D" w:rsidRDefault="00D97953" w:rsidP="00D97953">
            <w:pPr>
              <w:spacing w:after="0" w:line="300" w:lineRule="exact"/>
              <w:jc w:val="right"/>
              <w:rPr>
                <w:rFonts w:ascii="Calibri" w:eastAsia="Times New Roman" w:hAnsi="Calibri" w:cs="Arial"/>
                <w:sz w:val="20"/>
                <w:szCs w:val="20"/>
                <w:lang w:val="en-US"/>
              </w:rPr>
            </w:pPr>
            <w:r w:rsidRPr="008D7B67">
              <w:rPr>
                <w:rFonts w:cs="Arial"/>
                <w:color w:val="000000" w:themeColor="text1"/>
                <w:sz w:val="20"/>
                <w:szCs w:val="20"/>
              </w:rPr>
              <w:t xml:space="preserve"> (57.628)</w:t>
            </w:r>
          </w:p>
        </w:tc>
        <w:tc>
          <w:tcPr>
            <w:tcW w:w="1418" w:type="dxa"/>
            <w:shd w:val="clear" w:color="auto" w:fill="auto"/>
            <w:noWrap/>
          </w:tcPr>
          <w:p w14:paraId="077DDBEB" w14:textId="0D3178AE" w:rsidR="00D97953" w:rsidRPr="00A74D5D" w:rsidRDefault="00D97953" w:rsidP="00D97953">
            <w:pPr>
              <w:spacing w:after="0" w:line="300" w:lineRule="exact"/>
              <w:jc w:val="right"/>
              <w:rPr>
                <w:rFonts w:ascii="Calibri" w:eastAsia="Times New Roman" w:hAnsi="Calibri" w:cs="Arial"/>
                <w:sz w:val="20"/>
                <w:szCs w:val="20"/>
                <w:lang w:val="en-US"/>
              </w:rPr>
            </w:pPr>
            <w:r w:rsidRPr="008D7B67">
              <w:rPr>
                <w:rFonts w:cs="Arial"/>
                <w:color w:val="000000" w:themeColor="text1"/>
                <w:sz w:val="20"/>
                <w:szCs w:val="20"/>
              </w:rPr>
              <w:t xml:space="preserve"> (1.639)</w:t>
            </w:r>
          </w:p>
        </w:tc>
        <w:tc>
          <w:tcPr>
            <w:tcW w:w="1134" w:type="dxa"/>
            <w:shd w:val="clear" w:color="auto" w:fill="auto"/>
            <w:noWrap/>
          </w:tcPr>
          <w:p w14:paraId="026A8610" w14:textId="20FF6F68" w:rsidR="00D97953" w:rsidRPr="00A74D5D" w:rsidRDefault="00D97953" w:rsidP="00D97953">
            <w:pPr>
              <w:spacing w:after="0" w:line="300" w:lineRule="exact"/>
              <w:jc w:val="right"/>
              <w:rPr>
                <w:rFonts w:ascii="Calibri" w:eastAsia="Times New Roman" w:hAnsi="Calibri" w:cs="Arial"/>
                <w:sz w:val="20"/>
                <w:szCs w:val="20"/>
                <w:lang w:val="en-US"/>
              </w:rPr>
            </w:pPr>
            <w:r w:rsidRPr="00CD4619">
              <w:t xml:space="preserve"> (459)</w:t>
            </w:r>
          </w:p>
        </w:tc>
        <w:tc>
          <w:tcPr>
            <w:tcW w:w="1309" w:type="dxa"/>
            <w:shd w:val="clear" w:color="auto" w:fill="auto"/>
            <w:noWrap/>
            <w:vAlign w:val="bottom"/>
          </w:tcPr>
          <w:p w14:paraId="4BA5D66C" w14:textId="7A09EFBA" w:rsidR="00D97953" w:rsidRPr="00A74D5D" w:rsidRDefault="00D97953" w:rsidP="00D97953">
            <w:pPr>
              <w:spacing w:after="0" w:line="300" w:lineRule="exact"/>
              <w:jc w:val="right"/>
              <w:rPr>
                <w:rFonts w:ascii="Calibri" w:eastAsia="Times New Roman" w:hAnsi="Calibri" w:cs="Arial"/>
                <w:sz w:val="20"/>
                <w:szCs w:val="20"/>
                <w:lang w:val="en-US"/>
              </w:rPr>
            </w:pPr>
            <w:r>
              <w:rPr>
                <w:rFonts w:cs="Arial"/>
                <w:color w:val="000000" w:themeColor="text1"/>
                <w:sz w:val="20"/>
                <w:szCs w:val="20"/>
              </w:rPr>
              <w:t>77</w:t>
            </w:r>
          </w:p>
        </w:tc>
        <w:tc>
          <w:tcPr>
            <w:tcW w:w="1134" w:type="dxa"/>
            <w:shd w:val="clear" w:color="auto" w:fill="auto"/>
            <w:noWrap/>
          </w:tcPr>
          <w:p w14:paraId="341FD96F" w14:textId="7F9FDE28" w:rsidR="00D97953" w:rsidRPr="00A74D5D" w:rsidRDefault="00D97953" w:rsidP="00D97953">
            <w:pPr>
              <w:spacing w:after="0" w:line="300" w:lineRule="exact"/>
              <w:jc w:val="right"/>
              <w:rPr>
                <w:rFonts w:ascii="Calibri" w:eastAsia="Times New Roman" w:hAnsi="Calibri" w:cs="Arial"/>
                <w:sz w:val="20"/>
                <w:szCs w:val="20"/>
                <w:lang w:val="en-US"/>
              </w:rPr>
            </w:pPr>
            <w:r w:rsidRPr="00A36259">
              <w:rPr>
                <w:rFonts w:cs="Arial"/>
                <w:color w:val="000000" w:themeColor="text1"/>
                <w:sz w:val="20"/>
                <w:szCs w:val="20"/>
              </w:rPr>
              <w:t xml:space="preserve"> (59.649)</w:t>
            </w:r>
          </w:p>
        </w:tc>
      </w:tr>
      <w:tr w:rsidR="00D97953" w:rsidRPr="00A74D5D" w14:paraId="39DB1F04" w14:textId="77777777" w:rsidTr="00A1123E">
        <w:trPr>
          <w:trHeight w:val="345"/>
        </w:trPr>
        <w:tc>
          <w:tcPr>
            <w:tcW w:w="3369" w:type="dxa"/>
            <w:tcBorders>
              <w:top w:val="nil"/>
              <w:left w:val="nil"/>
              <w:bottom w:val="nil"/>
              <w:right w:val="nil"/>
            </w:tcBorders>
            <w:shd w:val="clear" w:color="auto" w:fill="auto"/>
            <w:vAlign w:val="bottom"/>
          </w:tcPr>
          <w:p w14:paraId="2BC3B14E" w14:textId="77777777" w:rsidR="00D97953" w:rsidRPr="00A74D5D" w:rsidRDefault="00D97953" w:rsidP="00D97953">
            <w:pPr>
              <w:spacing w:after="0" w:line="300" w:lineRule="exact"/>
              <w:rPr>
                <w:rFonts w:ascii="Calibri" w:eastAsia="Times New Roman" w:hAnsi="Calibri" w:cs="Arial"/>
                <w:sz w:val="20"/>
                <w:szCs w:val="20"/>
                <w:lang w:val="en-US"/>
              </w:rPr>
            </w:pPr>
            <w:r w:rsidRPr="00A74D5D">
              <w:rPr>
                <w:rFonts w:ascii="Calibri" w:eastAsia="Times New Roman" w:hAnsi="Calibri" w:cs="Arial"/>
                <w:sz w:val="20"/>
                <w:szCs w:val="20"/>
                <w:lang w:val="en-US"/>
              </w:rPr>
              <w:t>Impairment loss and provisions</w:t>
            </w:r>
          </w:p>
        </w:tc>
        <w:tc>
          <w:tcPr>
            <w:tcW w:w="1275" w:type="dxa"/>
            <w:shd w:val="clear" w:color="auto" w:fill="auto"/>
            <w:noWrap/>
            <w:vAlign w:val="bottom"/>
          </w:tcPr>
          <w:p w14:paraId="0D75B516" w14:textId="6DDF57FC" w:rsidR="00D97953" w:rsidRPr="00A74D5D" w:rsidRDefault="00D97953" w:rsidP="00D97953">
            <w:pPr>
              <w:spacing w:after="0" w:line="300" w:lineRule="exact"/>
              <w:jc w:val="right"/>
              <w:rPr>
                <w:rFonts w:ascii="Calibri" w:eastAsia="Times New Roman" w:hAnsi="Calibri" w:cs="Arial"/>
                <w:sz w:val="20"/>
                <w:szCs w:val="20"/>
                <w:lang w:val="en-US"/>
              </w:rPr>
            </w:pPr>
            <w:r>
              <w:rPr>
                <w:rFonts w:ascii="Calibri" w:eastAsia="Times New Roman" w:hAnsi="Calibri" w:cs="Arial"/>
                <w:sz w:val="20"/>
                <w:szCs w:val="20"/>
                <w:lang w:val="en-US"/>
              </w:rPr>
              <w:t>-</w:t>
            </w:r>
          </w:p>
        </w:tc>
        <w:tc>
          <w:tcPr>
            <w:tcW w:w="1418" w:type="dxa"/>
            <w:shd w:val="clear" w:color="auto" w:fill="auto"/>
            <w:noWrap/>
            <w:vAlign w:val="bottom"/>
          </w:tcPr>
          <w:p w14:paraId="77B0C5DC" w14:textId="42E590F9" w:rsidR="00D97953" w:rsidRPr="00A74D5D" w:rsidRDefault="00D97953" w:rsidP="00D97953">
            <w:pPr>
              <w:spacing w:after="0" w:line="300" w:lineRule="exact"/>
              <w:jc w:val="right"/>
              <w:rPr>
                <w:rFonts w:ascii="Calibri" w:eastAsia="Times New Roman" w:hAnsi="Calibri" w:cs="Arial"/>
                <w:sz w:val="20"/>
                <w:szCs w:val="20"/>
                <w:lang w:val="en-US"/>
              </w:rPr>
            </w:pPr>
            <w:r w:rsidRPr="00A74D5D">
              <w:rPr>
                <w:rFonts w:ascii="Calibri" w:eastAsia="Calibri" w:hAnsi="Calibri" w:cs="Arial"/>
                <w:color w:val="000000"/>
                <w:sz w:val="20"/>
                <w:szCs w:val="20"/>
              </w:rPr>
              <w:t>(</w:t>
            </w:r>
            <w:r>
              <w:rPr>
                <w:rFonts w:ascii="Calibri" w:eastAsia="Calibri" w:hAnsi="Calibri" w:cs="Arial"/>
                <w:color w:val="000000"/>
                <w:sz w:val="20"/>
                <w:szCs w:val="20"/>
              </w:rPr>
              <w:t>72</w:t>
            </w:r>
            <w:r w:rsidRPr="00A74D5D">
              <w:rPr>
                <w:rFonts w:ascii="Calibri" w:eastAsia="Calibri" w:hAnsi="Calibri" w:cs="Arial"/>
                <w:color w:val="000000"/>
                <w:sz w:val="20"/>
                <w:szCs w:val="20"/>
              </w:rPr>
              <w:t>)</w:t>
            </w:r>
          </w:p>
        </w:tc>
        <w:tc>
          <w:tcPr>
            <w:tcW w:w="1134" w:type="dxa"/>
            <w:shd w:val="clear" w:color="auto" w:fill="auto"/>
            <w:noWrap/>
            <w:vAlign w:val="bottom"/>
          </w:tcPr>
          <w:p w14:paraId="53A383F4" w14:textId="67DBD05B" w:rsidR="00D97953" w:rsidRPr="00A74D5D" w:rsidRDefault="00D97953" w:rsidP="00D97953">
            <w:pPr>
              <w:spacing w:after="0" w:line="300" w:lineRule="exact"/>
              <w:jc w:val="right"/>
              <w:rPr>
                <w:rFonts w:ascii="Calibri" w:eastAsia="Times New Roman" w:hAnsi="Calibri" w:cs="Arial"/>
                <w:sz w:val="20"/>
                <w:szCs w:val="20"/>
                <w:lang w:val="en-US"/>
              </w:rPr>
            </w:pPr>
            <w:r>
              <w:rPr>
                <w:rFonts w:ascii="Calibri" w:eastAsia="Times New Roman" w:hAnsi="Calibri" w:cs="Arial"/>
                <w:sz w:val="20"/>
                <w:szCs w:val="20"/>
                <w:lang w:val="en-US"/>
              </w:rPr>
              <w:t>-</w:t>
            </w:r>
          </w:p>
        </w:tc>
        <w:tc>
          <w:tcPr>
            <w:tcW w:w="1309" w:type="dxa"/>
            <w:shd w:val="clear" w:color="auto" w:fill="auto"/>
            <w:noWrap/>
            <w:vAlign w:val="bottom"/>
          </w:tcPr>
          <w:p w14:paraId="430A0B5F" w14:textId="703F150F" w:rsidR="00D97953" w:rsidRPr="00A74D5D" w:rsidRDefault="00D97953" w:rsidP="00D97953">
            <w:pPr>
              <w:spacing w:after="0" w:line="300" w:lineRule="exact"/>
              <w:jc w:val="right"/>
              <w:rPr>
                <w:rFonts w:ascii="Calibri" w:eastAsia="Times New Roman" w:hAnsi="Calibri" w:cs="Arial"/>
                <w:sz w:val="20"/>
                <w:szCs w:val="20"/>
                <w:lang w:val="en-US"/>
              </w:rPr>
            </w:pPr>
            <w:r w:rsidRPr="00A74D5D">
              <w:rPr>
                <w:rFonts w:ascii="Calibri" w:eastAsia="Calibri" w:hAnsi="Calibri" w:cs="Arial"/>
                <w:color w:val="000000"/>
                <w:sz w:val="20"/>
                <w:szCs w:val="20"/>
              </w:rPr>
              <w:t>-</w:t>
            </w:r>
          </w:p>
        </w:tc>
        <w:tc>
          <w:tcPr>
            <w:tcW w:w="1134" w:type="dxa"/>
            <w:shd w:val="clear" w:color="auto" w:fill="auto"/>
            <w:noWrap/>
            <w:vAlign w:val="bottom"/>
          </w:tcPr>
          <w:p w14:paraId="73630C48" w14:textId="07B04AF8" w:rsidR="00D97953" w:rsidRPr="00A74D5D" w:rsidRDefault="00D97953" w:rsidP="00D97953">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(72)</w:t>
            </w:r>
          </w:p>
        </w:tc>
      </w:tr>
      <w:tr w:rsidR="00D97953" w:rsidRPr="00A74D5D" w14:paraId="62D544A4" w14:textId="77777777" w:rsidTr="00A1123E">
        <w:trPr>
          <w:trHeight w:val="310"/>
        </w:trPr>
        <w:tc>
          <w:tcPr>
            <w:tcW w:w="3369" w:type="dxa"/>
            <w:tcBorders>
              <w:top w:val="nil"/>
              <w:left w:val="nil"/>
              <w:bottom w:val="nil"/>
              <w:right w:val="nil"/>
            </w:tcBorders>
            <w:shd w:val="clear" w:color="auto" w:fill="auto"/>
            <w:vAlign w:val="bottom"/>
          </w:tcPr>
          <w:p w14:paraId="2641B5D8" w14:textId="77777777" w:rsidR="00D97953" w:rsidRPr="00A74D5D" w:rsidRDefault="00D97953" w:rsidP="00D97953">
            <w:pPr>
              <w:spacing w:after="0" w:line="300" w:lineRule="exact"/>
              <w:rPr>
                <w:rFonts w:ascii="Calibri" w:eastAsia="Times New Roman" w:hAnsi="Calibri" w:cs="Arial"/>
                <w:sz w:val="20"/>
                <w:szCs w:val="20"/>
                <w:lang w:val="en-US"/>
              </w:rPr>
            </w:pPr>
            <w:r w:rsidRPr="00A74D5D">
              <w:rPr>
                <w:rFonts w:ascii="Calibri" w:eastAsia="Times New Roman" w:hAnsi="Calibri" w:cs="Arial"/>
                <w:sz w:val="20"/>
                <w:szCs w:val="20"/>
                <w:lang w:val="en-US"/>
              </w:rPr>
              <w:t>Expenses for insured cases</w:t>
            </w:r>
          </w:p>
        </w:tc>
        <w:tc>
          <w:tcPr>
            <w:tcW w:w="1275" w:type="dxa"/>
            <w:shd w:val="clear" w:color="auto" w:fill="auto"/>
            <w:noWrap/>
            <w:vAlign w:val="bottom"/>
          </w:tcPr>
          <w:p w14:paraId="41E9EDB2" w14:textId="1262B4CC" w:rsidR="00D97953" w:rsidRPr="00A74D5D" w:rsidRDefault="00D97953" w:rsidP="00D97953">
            <w:pPr>
              <w:spacing w:after="0" w:line="300" w:lineRule="exact"/>
              <w:jc w:val="right"/>
              <w:rPr>
                <w:rFonts w:ascii="Calibri" w:eastAsia="Times New Roman" w:hAnsi="Calibri" w:cs="Arial"/>
                <w:sz w:val="20"/>
                <w:szCs w:val="20"/>
                <w:lang w:val="en-US"/>
              </w:rPr>
            </w:pPr>
            <w:r w:rsidRPr="00A74D5D">
              <w:rPr>
                <w:rFonts w:ascii="Calibri" w:eastAsia="Calibri" w:hAnsi="Calibri" w:cs="Arial"/>
                <w:color w:val="000000"/>
                <w:sz w:val="20"/>
                <w:szCs w:val="20"/>
              </w:rPr>
              <w:t>-</w:t>
            </w:r>
          </w:p>
        </w:tc>
        <w:tc>
          <w:tcPr>
            <w:tcW w:w="1418" w:type="dxa"/>
            <w:shd w:val="clear" w:color="auto" w:fill="auto"/>
            <w:noWrap/>
            <w:vAlign w:val="bottom"/>
          </w:tcPr>
          <w:p w14:paraId="4650916B" w14:textId="7439455B" w:rsidR="00D97953" w:rsidRPr="00A74D5D" w:rsidRDefault="00D97953" w:rsidP="00D97953">
            <w:pPr>
              <w:spacing w:after="0" w:line="300" w:lineRule="exact"/>
              <w:jc w:val="right"/>
              <w:rPr>
                <w:rFonts w:ascii="Calibri" w:eastAsia="Times New Roman" w:hAnsi="Calibri" w:cs="Arial"/>
                <w:sz w:val="20"/>
                <w:szCs w:val="20"/>
                <w:lang w:val="en-US"/>
              </w:rPr>
            </w:pPr>
            <w:r w:rsidRPr="00A74D5D">
              <w:rPr>
                <w:rFonts w:ascii="Calibri" w:eastAsia="Calibri" w:hAnsi="Calibri" w:cs="Arial"/>
                <w:color w:val="000000"/>
                <w:sz w:val="20"/>
                <w:szCs w:val="20"/>
              </w:rPr>
              <w:t>(</w:t>
            </w:r>
            <w:r>
              <w:rPr>
                <w:rFonts w:ascii="Calibri" w:eastAsia="Calibri" w:hAnsi="Calibri" w:cs="Arial"/>
                <w:color w:val="000000"/>
                <w:sz w:val="20"/>
                <w:szCs w:val="20"/>
              </w:rPr>
              <w:t>33</w:t>
            </w:r>
            <w:r w:rsidRPr="00A74D5D">
              <w:rPr>
                <w:rFonts w:ascii="Calibri" w:eastAsia="Calibri" w:hAnsi="Calibri" w:cs="Arial"/>
                <w:color w:val="000000"/>
                <w:sz w:val="20"/>
                <w:szCs w:val="20"/>
              </w:rPr>
              <w:t>)</w:t>
            </w:r>
          </w:p>
        </w:tc>
        <w:tc>
          <w:tcPr>
            <w:tcW w:w="1134" w:type="dxa"/>
            <w:shd w:val="clear" w:color="auto" w:fill="auto"/>
            <w:noWrap/>
            <w:vAlign w:val="bottom"/>
          </w:tcPr>
          <w:p w14:paraId="1BE781DA" w14:textId="016B466F" w:rsidR="00D97953" w:rsidRPr="00A74D5D" w:rsidRDefault="00D97953" w:rsidP="00D97953">
            <w:pPr>
              <w:spacing w:after="0" w:line="300" w:lineRule="exact"/>
              <w:jc w:val="right"/>
              <w:rPr>
                <w:rFonts w:ascii="Calibri" w:eastAsia="Times New Roman" w:hAnsi="Calibri" w:cs="Arial"/>
                <w:sz w:val="20"/>
                <w:szCs w:val="20"/>
                <w:lang w:val="en-US"/>
              </w:rPr>
            </w:pPr>
            <w:r w:rsidRPr="00A74D5D">
              <w:rPr>
                <w:rFonts w:ascii="Calibri" w:eastAsia="Calibri" w:hAnsi="Calibri" w:cs="Arial"/>
                <w:color w:val="000000"/>
                <w:sz w:val="20"/>
                <w:szCs w:val="20"/>
              </w:rPr>
              <w:t>-</w:t>
            </w:r>
          </w:p>
        </w:tc>
        <w:tc>
          <w:tcPr>
            <w:tcW w:w="1309" w:type="dxa"/>
            <w:shd w:val="clear" w:color="auto" w:fill="auto"/>
            <w:noWrap/>
            <w:vAlign w:val="bottom"/>
          </w:tcPr>
          <w:p w14:paraId="1B6D42B8" w14:textId="0B79C6A7" w:rsidR="00D97953" w:rsidRPr="00A74D5D" w:rsidRDefault="00D97953" w:rsidP="00D97953">
            <w:pPr>
              <w:spacing w:after="0" w:line="300" w:lineRule="exact"/>
              <w:jc w:val="right"/>
              <w:rPr>
                <w:rFonts w:ascii="Calibri" w:eastAsia="Times New Roman" w:hAnsi="Calibri" w:cs="Arial"/>
                <w:sz w:val="20"/>
                <w:szCs w:val="20"/>
                <w:lang w:val="en-US"/>
              </w:rPr>
            </w:pPr>
            <w:r w:rsidRPr="00A74D5D">
              <w:rPr>
                <w:rFonts w:ascii="Calibri" w:eastAsia="Calibri" w:hAnsi="Calibri" w:cs="Arial"/>
                <w:color w:val="000000"/>
                <w:sz w:val="20"/>
                <w:szCs w:val="20"/>
              </w:rPr>
              <w:t>-</w:t>
            </w:r>
          </w:p>
        </w:tc>
        <w:tc>
          <w:tcPr>
            <w:tcW w:w="1134" w:type="dxa"/>
            <w:shd w:val="clear" w:color="auto" w:fill="auto"/>
            <w:noWrap/>
            <w:vAlign w:val="bottom"/>
          </w:tcPr>
          <w:p w14:paraId="49A53B00" w14:textId="2F161FF6" w:rsidR="00D97953" w:rsidRPr="00A74D5D" w:rsidRDefault="00D97953" w:rsidP="00D97953">
            <w:pPr>
              <w:spacing w:after="0" w:line="300" w:lineRule="exact"/>
              <w:jc w:val="right"/>
              <w:rPr>
                <w:rFonts w:ascii="Calibri" w:eastAsia="Times New Roman" w:hAnsi="Calibri" w:cs="Arial"/>
                <w:sz w:val="20"/>
                <w:szCs w:val="20"/>
                <w:lang w:val="en-US"/>
              </w:rPr>
            </w:pPr>
            <w:r w:rsidRPr="00A74D5D">
              <w:rPr>
                <w:rFonts w:ascii="Calibri" w:eastAsia="Calibri" w:hAnsi="Calibri" w:cs="Arial"/>
                <w:color w:val="000000"/>
                <w:sz w:val="20"/>
                <w:szCs w:val="20"/>
              </w:rPr>
              <w:t>(</w:t>
            </w:r>
            <w:r>
              <w:rPr>
                <w:rFonts w:ascii="Calibri" w:eastAsia="Calibri" w:hAnsi="Calibri" w:cs="Arial"/>
                <w:color w:val="000000"/>
                <w:sz w:val="20"/>
                <w:szCs w:val="20"/>
              </w:rPr>
              <w:t>33</w:t>
            </w:r>
            <w:r w:rsidRPr="00A74D5D">
              <w:rPr>
                <w:rFonts w:ascii="Calibri" w:eastAsia="Calibri" w:hAnsi="Calibri" w:cs="Arial"/>
                <w:color w:val="000000"/>
                <w:sz w:val="20"/>
                <w:szCs w:val="20"/>
              </w:rPr>
              <w:t>)</w:t>
            </w:r>
          </w:p>
        </w:tc>
      </w:tr>
      <w:tr w:rsidR="00D97953" w:rsidRPr="00A74D5D" w14:paraId="35FBAC5A" w14:textId="77777777" w:rsidTr="002A72BA">
        <w:trPr>
          <w:trHeight w:val="300"/>
        </w:trPr>
        <w:tc>
          <w:tcPr>
            <w:tcW w:w="3369" w:type="dxa"/>
            <w:tcBorders>
              <w:top w:val="nil"/>
              <w:left w:val="nil"/>
              <w:bottom w:val="nil"/>
              <w:right w:val="nil"/>
            </w:tcBorders>
            <w:shd w:val="clear" w:color="auto" w:fill="auto"/>
            <w:vAlign w:val="bottom"/>
          </w:tcPr>
          <w:p w14:paraId="2AB73905" w14:textId="77777777" w:rsidR="00D97953" w:rsidRPr="00A74D5D" w:rsidRDefault="00D97953" w:rsidP="00D97953">
            <w:pPr>
              <w:spacing w:after="0" w:line="300" w:lineRule="exact"/>
              <w:rPr>
                <w:rFonts w:ascii="Calibri" w:eastAsia="Times New Roman" w:hAnsi="Calibri" w:cs="Arial"/>
                <w:sz w:val="20"/>
                <w:szCs w:val="20"/>
                <w:lang w:val="en-US"/>
              </w:rPr>
            </w:pPr>
            <w:r w:rsidRPr="00A74D5D">
              <w:rPr>
                <w:rFonts w:ascii="Calibri" w:eastAsia="Times New Roman" w:hAnsi="Calibri" w:cs="Arial"/>
                <w:sz w:val="20"/>
                <w:szCs w:val="20"/>
                <w:lang w:val="en-US"/>
              </w:rPr>
              <w:t>Net change in provisions</w:t>
            </w:r>
          </w:p>
        </w:tc>
        <w:tc>
          <w:tcPr>
            <w:tcW w:w="1275" w:type="dxa"/>
            <w:shd w:val="clear" w:color="auto" w:fill="auto"/>
            <w:noWrap/>
            <w:vAlign w:val="bottom"/>
          </w:tcPr>
          <w:p w14:paraId="52134ECE" w14:textId="1DA80500" w:rsidR="00D97953" w:rsidRPr="00A74D5D" w:rsidRDefault="00D97953" w:rsidP="00D97953">
            <w:pPr>
              <w:spacing w:after="0" w:line="300" w:lineRule="exact"/>
              <w:jc w:val="right"/>
              <w:rPr>
                <w:rFonts w:ascii="Calibri" w:eastAsia="Times New Roman" w:hAnsi="Calibri" w:cs="Arial"/>
                <w:sz w:val="20"/>
                <w:szCs w:val="20"/>
                <w:lang w:val="en-US"/>
              </w:rPr>
            </w:pPr>
            <w:r>
              <w:rPr>
                <w:rFonts w:cs="Arial"/>
                <w:color w:val="000000" w:themeColor="text1"/>
                <w:sz w:val="20"/>
                <w:szCs w:val="20"/>
              </w:rPr>
              <w:t>-</w:t>
            </w:r>
          </w:p>
        </w:tc>
        <w:tc>
          <w:tcPr>
            <w:tcW w:w="1418" w:type="dxa"/>
            <w:shd w:val="clear" w:color="auto" w:fill="auto"/>
            <w:noWrap/>
          </w:tcPr>
          <w:p w14:paraId="49C31472" w14:textId="60C5AFAC" w:rsidR="00D97953" w:rsidRPr="00A74D5D" w:rsidRDefault="00D97953" w:rsidP="00D97953">
            <w:pPr>
              <w:spacing w:after="0" w:line="300" w:lineRule="exact"/>
              <w:jc w:val="right"/>
              <w:rPr>
                <w:rFonts w:ascii="Calibri" w:eastAsia="Times New Roman" w:hAnsi="Calibri" w:cs="Arial"/>
                <w:sz w:val="20"/>
                <w:szCs w:val="20"/>
                <w:lang w:val="en-US"/>
              </w:rPr>
            </w:pPr>
            <w:r w:rsidRPr="008D7B67">
              <w:rPr>
                <w:rFonts w:cs="Arial"/>
                <w:color w:val="000000" w:themeColor="text1"/>
                <w:sz w:val="20"/>
                <w:szCs w:val="20"/>
              </w:rPr>
              <w:t xml:space="preserve"> (1.876)</w:t>
            </w:r>
          </w:p>
        </w:tc>
        <w:tc>
          <w:tcPr>
            <w:tcW w:w="1134" w:type="dxa"/>
            <w:shd w:val="clear" w:color="auto" w:fill="auto"/>
            <w:noWrap/>
            <w:vAlign w:val="bottom"/>
          </w:tcPr>
          <w:p w14:paraId="5BF42A8F" w14:textId="34810F59" w:rsidR="00D97953" w:rsidRPr="00A74D5D" w:rsidRDefault="00D97953" w:rsidP="00D97953">
            <w:pPr>
              <w:spacing w:after="0" w:line="300" w:lineRule="exact"/>
              <w:jc w:val="right"/>
              <w:rPr>
                <w:rFonts w:ascii="Calibri" w:eastAsia="Times New Roman" w:hAnsi="Calibri" w:cs="Arial"/>
                <w:sz w:val="20"/>
                <w:szCs w:val="20"/>
                <w:lang w:val="en-US"/>
              </w:rPr>
            </w:pPr>
            <w:r>
              <w:rPr>
                <w:rFonts w:cs="Arial"/>
                <w:color w:val="000000" w:themeColor="text1"/>
                <w:sz w:val="20"/>
                <w:szCs w:val="20"/>
              </w:rPr>
              <w:t>-</w:t>
            </w:r>
          </w:p>
        </w:tc>
        <w:tc>
          <w:tcPr>
            <w:tcW w:w="1309" w:type="dxa"/>
            <w:shd w:val="clear" w:color="auto" w:fill="auto"/>
            <w:noWrap/>
            <w:vAlign w:val="bottom"/>
          </w:tcPr>
          <w:p w14:paraId="4111A54A" w14:textId="081ECC2C" w:rsidR="00D97953" w:rsidRPr="00A74D5D" w:rsidRDefault="00D97953" w:rsidP="00D97953">
            <w:pPr>
              <w:spacing w:after="0" w:line="300" w:lineRule="exact"/>
              <w:jc w:val="right"/>
              <w:rPr>
                <w:rFonts w:ascii="Calibri" w:eastAsia="Times New Roman" w:hAnsi="Calibri" w:cs="Arial"/>
                <w:sz w:val="20"/>
                <w:szCs w:val="20"/>
                <w:lang w:val="en-US"/>
              </w:rPr>
            </w:pPr>
            <w:r>
              <w:rPr>
                <w:rFonts w:cs="Arial"/>
                <w:color w:val="000000" w:themeColor="text1"/>
                <w:sz w:val="20"/>
                <w:szCs w:val="20"/>
              </w:rPr>
              <w:t>-</w:t>
            </w:r>
          </w:p>
        </w:tc>
        <w:tc>
          <w:tcPr>
            <w:tcW w:w="1134" w:type="dxa"/>
            <w:shd w:val="clear" w:color="auto" w:fill="auto"/>
            <w:noWrap/>
          </w:tcPr>
          <w:p w14:paraId="5CFECC97" w14:textId="1C74E96A" w:rsidR="00D97953" w:rsidRPr="00A74D5D" w:rsidRDefault="00D97953" w:rsidP="00D97953">
            <w:pPr>
              <w:spacing w:after="0" w:line="300" w:lineRule="exact"/>
              <w:jc w:val="right"/>
              <w:rPr>
                <w:rFonts w:ascii="Calibri" w:eastAsia="Times New Roman" w:hAnsi="Calibri" w:cs="Arial"/>
                <w:sz w:val="20"/>
                <w:szCs w:val="20"/>
                <w:lang w:val="en-US"/>
              </w:rPr>
            </w:pPr>
            <w:r w:rsidRPr="00A36259">
              <w:rPr>
                <w:rFonts w:cs="Arial"/>
                <w:color w:val="000000" w:themeColor="text1"/>
                <w:sz w:val="20"/>
                <w:szCs w:val="20"/>
              </w:rPr>
              <w:t xml:space="preserve"> (1.876)</w:t>
            </w:r>
          </w:p>
        </w:tc>
      </w:tr>
      <w:tr w:rsidR="00D97953" w:rsidRPr="00A74D5D" w14:paraId="02C6AEF0" w14:textId="77777777" w:rsidTr="002A72BA">
        <w:trPr>
          <w:trHeight w:val="300"/>
        </w:trPr>
        <w:tc>
          <w:tcPr>
            <w:tcW w:w="3369" w:type="dxa"/>
            <w:tcBorders>
              <w:top w:val="nil"/>
              <w:left w:val="nil"/>
              <w:right w:val="nil"/>
            </w:tcBorders>
            <w:shd w:val="clear" w:color="auto" w:fill="auto"/>
            <w:vAlign w:val="bottom"/>
          </w:tcPr>
          <w:p w14:paraId="130FB6F7" w14:textId="77777777" w:rsidR="00D97953" w:rsidRPr="00A74D5D" w:rsidRDefault="00D97953" w:rsidP="00D97953">
            <w:pPr>
              <w:spacing w:after="0" w:line="300" w:lineRule="exact"/>
              <w:rPr>
                <w:rFonts w:ascii="Calibri" w:eastAsia="Times New Roman" w:hAnsi="Calibri" w:cs="Arial"/>
                <w:sz w:val="20"/>
                <w:szCs w:val="20"/>
                <w:lang w:val="en-US"/>
              </w:rPr>
            </w:pPr>
            <w:r w:rsidRPr="00A74D5D">
              <w:rPr>
                <w:rFonts w:ascii="Calibri" w:eastAsia="Times New Roman" w:hAnsi="Calibri" w:cs="Arial"/>
                <w:sz w:val="20"/>
                <w:szCs w:val="20"/>
                <w:lang w:val="en-US"/>
              </w:rPr>
              <w:t>Other expenses</w:t>
            </w:r>
          </w:p>
        </w:tc>
        <w:tc>
          <w:tcPr>
            <w:tcW w:w="1275" w:type="dxa"/>
            <w:tcBorders>
              <w:top w:val="nil"/>
              <w:left w:val="nil"/>
              <w:bottom w:val="single" w:sz="4" w:space="0" w:color="auto"/>
              <w:right w:val="nil"/>
            </w:tcBorders>
            <w:shd w:val="clear" w:color="auto" w:fill="auto"/>
            <w:noWrap/>
            <w:vAlign w:val="bottom"/>
          </w:tcPr>
          <w:p w14:paraId="5CEAD308" w14:textId="36201211" w:rsidR="00D97953" w:rsidRPr="00A74D5D" w:rsidRDefault="00D97953" w:rsidP="00D97953">
            <w:pPr>
              <w:spacing w:after="0" w:line="300" w:lineRule="exact"/>
              <w:jc w:val="right"/>
              <w:rPr>
                <w:rFonts w:ascii="Calibri" w:eastAsia="Times New Roman" w:hAnsi="Calibri" w:cs="Arial"/>
                <w:sz w:val="20"/>
                <w:szCs w:val="20"/>
                <w:lang w:val="en-US"/>
              </w:rPr>
            </w:pPr>
            <w:r>
              <w:rPr>
                <w:rFonts w:cs="Arial"/>
                <w:color w:val="000000" w:themeColor="text1"/>
                <w:sz w:val="20"/>
                <w:szCs w:val="20"/>
              </w:rPr>
              <w:t>-</w:t>
            </w:r>
          </w:p>
        </w:tc>
        <w:tc>
          <w:tcPr>
            <w:tcW w:w="1418" w:type="dxa"/>
            <w:tcBorders>
              <w:top w:val="nil"/>
              <w:left w:val="nil"/>
              <w:bottom w:val="single" w:sz="4" w:space="0" w:color="auto"/>
              <w:right w:val="nil"/>
            </w:tcBorders>
            <w:shd w:val="clear" w:color="auto" w:fill="auto"/>
            <w:noWrap/>
          </w:tcPr>
          <w:p w14:paraId="37AEC7AD" w14:textId="525305DC" w:rsidR="00D97953" w:rsidRPr="00A74D5D" w:rsidRDefault="00D97953" w:rsidP="00D97953">
            <w:pPr>
              <w:spacing w:after="0" w:line="300" w:lineRule="exact"/>
              <w:jc w:val="right"/>
              <w:rPr>
                <w:rFonts w:ascii="Calibri" w:eastAsia="Times New Roman" w:hAnsi="Calibri" w:cs="Arial"/>
                <w:sz w:val="20"/>
                <w:szCs w:val="20"/>
                <w:lang w:val="en-US"/>
              </w:rPr>
            </w:pPr>
            <w:r>
              <w:rPr>
                <w:rFonts w:cs="Arial"/>
                <w:color w:val="000000" w:themeColor="text1"/>
                <w:sz w:val="20"/>
                <w:szCs w:val="20"/>
              </w:rPr>
              <w:t>(217)</w:t>
            </w:r>
          </w:p>
        </w:tc>
        <w:tc>
          <w:tcPr>
            <w:tcW w:w="1134" w:type="dxa"/>
            <w:tcBorders>
              <w:top w:val="nil"/>
              <w:left w:val="nil"/>
              <w:bottom w:val="single" w:sz="4" w:space="0" w:color="auto"/>
              <w:right w:val="nil"/>
            </w:tcBorders>
            <w:shd w:val="clear" w:color="auto" w:fill="auto"/>
            <w:noWrap/>
            <w:vAlign w:val="bottom"/>
          </w:tcPr>
          <w:p w14:paraId="472F15A8" w14:textId="70280AD9" w:rsidR="00D97953" w:rsidRPr="00A74D5D" w:rsidRDefault="00D97953" w:rsidP="00D97953">
            <w:pPr>
              <w:spacing w:after="0" w:line="300" w:lineRule="exact"/>
              <w:jc w:val="right"/>
              <w:rPr>
                <w:rFonts w:ascii="Calibri" w:eastAsia="Times New Roman" w:hAnsi="Calibri" w:cs="Arial"/>
                <w:sz w:val="20"/>
                <w:szCs w:val="20"/>
                <w:lang w:val="en-US"/>
              </w:rPr>
            </w:pPr>
            <w:r>
              <w:rPr>
                <w:rFonts w:cs="Arial"/>
                <w:color w:val="000000" w:themeColor="text1"/>
                <w:sz w:val="20"/>
                <w:szCs w:val="20"/>
              </w:rPr>
              <w:t>-</w:t>
            </w:r>
          </w:p>
        </w:tc>
        <w:tc>
          <w:tcPr>
            <w:tcW w:w="1309" w:type="dxa"/>
            <w:tcBorders>
              <w:top w:val="nil"/>
              <w:left w:val="nil"/>
              <w:bottom w:val="single" w:sz="4" w:space="0" w:color="auto"/>
              <w:right w:val="nil"/>
            </w:tcBorders>
            <w:shd w:val="clear" w:color="auto" w:fill="auto"/>
            <w:noWrap/>
            <w:vAlign w:val="bottom"/>
          </w:tcPr>
          <w:p w14:paraId="745EB7C1" w14:textId="4CDA6779" w:rsidR="00D97953" w:rsidRPr="00A74D5D" w:rsidRDefault="00D97953" w:rsidP="00D97953">
            <w:pPr>
              <w:spacing w:after="0" w:line="300" w:lineRule="exact"/>
              <w:jc w:val="right"/>
              <w:rPr>
                <w:rFonts w:ascii="Calibri" w:eastAsia="Times New Roman" w:hAnsi="Calibri" w:cs="Arial"/>
                <w:sz w:val="20"/>
                <w:szCs w:val="20"/>
                <w:lang w:val="en-US"/>
              </w:rPr>
            </w:pPr>
            <w:r>
              <w:rPr>
                <w:rFonts w:cs="Arial"/>
                <w:color w:val="000000" w:themeColor="text1"/>
                <w:sz w:val="20"/>
                <w:szCs w:val="20"/>
              </w:rPr>
              <w:t>-</w:t>
            </w:r>
          </w:p>
        </w:tc>
        <w:tc>
          <w:tcPr>
            <w:tcW w:w="1134" w:type="dxa"/>
            <w:tcBorders>
              <w:top w:val="nil"/>
              <w:left w:val="nil"/>
              <w:bottom w:val="single" w:sz="4" w:space="0" w:color="auto"/>
              <w:right w:val="nil"/>
            </w:tcBorders>
            <w:shd w:val="clear" w:color="auto" w:fill="auto"/>
            <w:noWrap/>
          </w:tcPr>
          <w:p w14:paraId="70BC4C44" w14:textId="7DF5091D" w:rsidR="00D97953" w:rsidRPr="00A74D5D" w:rsidRDefault="00D97953" w:rsidP="00D97953">
            <w:pPr>
              <w:spacing w:after="0" w:line="300" w:lineRule="exact"/>
              <w:jc w:val="right"/>
              <w:rPr>
                <w:rFonts w:ascii="Calibri" w:eastAsia="Times New Roman" w:hAnsi="Calibri" w:cs="Arial"/>
                <w:sz w:val="20"/>
                <w:szCs w:val="20"/>
                <w:lang w:val="en-US"/>
              </w:rPr>
            </w:pPr>
            <w:r w:rsidRPr="00A36259">
              <w:rPr>
                <w:rFonts w:cs="Arial"/>
                <w:color w:val="000000" w:themeColor="text1"/>
                <w:sz w:val="20"/>
                <w:szCs w:val="20"/>
              </w:rPr>
              <w:t xml:space="preserve">(217) </w:t>
            </w:r>
          </w:p>
        </w:tc>
      </w:tr>
      <w:tr w:rsidR="00D97953" w:rsidRPr="00A74D5D" w14:paraId="2EF369A2" w14:textId="77777777" w:rsidTr="00181689">
        <w:trPr>
          <w:trHeight w:val="300"/>
        </w:trPr>
        <w:tc>
          <w:tcPr>
            <w:tcW w:w="3369" w:type="dxa"/>
            <w:tcBorders>
              <w:left w:val="nil"/>
              <w:right w:val="nil"/>
            </w:tcBorders>
            <w:shd w:val="clear" w:color="auto" w:fill="auto"/>
            <w:vAlign w:val="bottom"/>
          </w:tcPr>
          <w:p w14:paraId="1B31E5C3" w14:textId="77777777" w:rsidR="00D97953" w:rsidRPr="00A74D5D" w:rsidRDefault="00D97953" w:rsidP="00D97953">
            <w:pPr>
              <w:spacing w:after="0" w:line="300" w:lineRule="exact"/>
              <w:rPr>
                <w:rFonts w:ascii="Calibri" w:eastAsia="Times New Roman" w:hAnsi="Calibri" w:cs="Arial"/>
                <w:b/>
                <w:bCs/>
                <w:sz w:val="20"/>
                <w:szCs w:val="20"/>
                <w:lang w:val="en-US"/>
              </w:rPr>
            </w:pPr>
            <w:r w:rsidRPr="00A74D5D">
              <w:rPr>
                <w:rFonts w:ascii="Calibri" w:eastAsia="Times New Roman" w:hAnsi="Calibri" w:cs="Arial"/>
                <w:b/>
                <w:bCs/>
                <w:sz w:val="20"/>
                <w:szCs w:val="20"/>
                <w:lang w:val="en-US"/>
              </w:rPr>
              <w:t>Operating expenses</w:t>
            </w:r>
          </w:p>
        </w:tc>
        <w:tc>
          <w:tcPr>
            <w:tcW w:w="1275" w:type="dxa"/>
            <w:tcBorders>
              <w:top w:val="single" w:sz="4" w:space="0" w:color="auto"/>
              <w:left w:val="nil"/>
              <w:bottom w:val="single" w:sz="12" w:space="0" w:color="auto"/>
              <w:right w:val="nil"/>
            </w:tcBorders>
            <w:shd w:val="clear" w:color="auto" w:fill="auto"/>
            <w:noWrap/>
          </w:tcPr>
          <w:p w14:paraId="644822A3" w14:textId="32D69D66" w:rsidR="00D97953" w:rsidRPr="00F44A82" w:rsidRDefault="00D97953" w:rsidP="00D97953">
            <w:pPr>
              <w:spacing w:after="0" w:line="300" w:lineRule="exact"/>
              <w:jc w:val="right"/>
              <w:rPr>
                <w:rFonts w:ascii="Calibri" w:eastAsia="Times New Roman" w:hAnsi="Calibri" w:cs="Arial"/>
                <w:b/>
                <w:bCs/>
                <w:sz w:val="20"/>
                <w:szCs w:val="20"/>
                <w:lang w:val="en-US"/>
              </w:rPr>
            </w:pPr>
            <w:r w:rsidRPr="00F44A82">
              <w:rPr>
                <w:b/>
                <w:bCs/>
                <w:sz w:val="20"/>
                <w:szCs w:val="20"/>
              </w:rPr>
              <w:t>(57.628)</w:t>
            </w:r>
          </w:p>
        </w:tc>
        <w:tc>
          <w:tcPr>
            <w:tcW w:w="1418" w:type="dxa"/>
            <w:tcBorders>
              <w:top w:val="single" w:sz="4" w:space="0" w:color="auto"/>
              <w:left w:val="nil"/>
              <w:bottom w:val="single" w:sz="12" w:space="0" w:color="auto"/>
              <w:right w:val="nil"/>
            </w:tcBorders>
            <w:shd w:val="clear" w:color="auto" w:fill="auto"/>
            <w:noWrap/>
          </w:tcPr>
          <w:p w14:paraId="3E65ABEB" w14:textId="1F6812AE" w:rsidR="00D97953" w:rsidRPr="00F44A82" w:rsidRDefault="00D97953" w:rsidP="00D97953">
            <w:pPr>
              <w:spacing w:after="0" w:line="300" w:lineRule="exact"/>
              <w:jc w:val="right"/>
              <w:rPr>
                <w:rFonts w:ascii="Calibri" w:eastAsia="Times New Roman" w:hAnsi="Calibri" w:cs="Arial"/>
                <w:b/>
                <w:bCs/>
                <w:sz w:val="20"/>
                <w:szCs w:val="20"/>
                <w:lang w:val="en-US"/>
              </w:rPr>
            </w:pPr>
            <w:r w:rsidRPr="00F44A82">
              <w:rPr>
                <w:b/>
                <w:bCs/>
                <w:sz w:val="20"/>
                <w:szCs w:val="20"/>
              </w:rPr>
              <w:t>(3.837)</w:t>
            </w:r>
          </w:p>
        </w:tc>
        <w:tc>
          <w:tcPr>
            <w:tcW w:w="1134" w:type="dxa"/>
            <w:tcBorders>
              <w:top w:val="single" w:sz="4" w:space="0" w:color="auto"/>
              <w:left w:val="nil"/>
              <w:bottom w:val="single" w:sz="12" w:space="0" w:color="auto"/>
              <w:right w:val="nil"/>
            </w:tcBorders>
            <w:shd w:val="clear" w:color="auto" w:fill="auto"/>
            <w:noWrap/>
          </w:tcPr>
          <w:p w14:paraId="5D813501" w14:textId="255C44B7" w:rsidR="00D97953" w:rsidRPr="00F44A82" w:rsidRDefault="00D97953" w:rsidP="00D97953">
            <w:pPr>
              <w:spacing w:after="0" w:line="300" w:lineRule="exact"/>
              <w:jc w:val="right"/>
              <w:rPr>
                <w:rFonts w:ascii="Calibri" w:eastAsia="Times New Roman" w:hAnsi="Calibri" w:cs="Arial"/>
                <w:b/>
                <w:bCs/>
                <w:sz w:val="20"/>
                <w:szCs w:val="20"/>
                <w:lang w:val="en-US"/>
              </w:rPr>
            </w:pPr>
            <w:r w:rsidRPr="00F44A82">
              <w:rPr>
                <w:b/>
                <w:bCs/>
                <w:sz w:val="20"/>
                <w:szCs w:val="20"/>
              </w:rPr>
              <w:t>(459)</w:t>
            </w:r>
          </w:p>
        </w:tc>
        <w:tc>
          <w:tcPr>
            <w:tcW w:w="1309" w:type="dxa"/>
            <w:tcBorders>
              <w:top w:val="single" w:sz="4" w:space="0" w:color="auto"/>
              <w:left w:val="nil"/>
              <w:bottom w:val="single" w:sz="12" w:space="0" w:color="auto"/>
              <w:right w:val="nil"/>
            </w:tcBorders>
            <w:shd w:val="clear" w:color="auto" w:fill="auto"/>
            <w:noWrap/>
          </w:tcPr>
          <w:p w14:paraId="40DB5103" w14:textId="204B89EA" w:rsidR="00D97953" w:rsidRPr="00F44A82" w:rsidRDefault="00D97953" w:rsidP="00D97953">
            <w:pPr>
              <w:spacing w:after="0" w:line="300" w:lineRule="exact"/>
              <w:jc w:val="right"/>
              <w:rPr>
                <w:rFonts w:ascii="Calibri" w:eastAsia="Times New Roman" w:hAnsi="Calibri" w:cs="Arial"/>
                <w:b/>
                <w:bCs/>
                <w:sz w:val="20"/>
                <w:szCs w:val="20"/>
                <w:lang w:val="en-US"/>
              </w:rPr>
            </w:pPr>
            <w:r w:rsidRPr="00F44A82">
              <w:rPr>
                <w:b/>
                <w:bCs/>
                <w:sz w:val="20"/>
                <w:szCs w:val="20"/>
              </w:rPr>
              <w:t>77</w:t>
            </w:r>
          </w:p>
        </w:tc>
        <w:tc>
          <w:tcPr>
            <w:tcW w:w="1134" w:type="dxa"/>
            <w:tcBorders>
              <w:top w:val="single" w:sz="4" w:space="0" w:color="auto"/>
              <w:left w:val="nil"/>
              <w:bottom w:val="single" w:sz="12" w:space="0" w:color="auto"/>
              <w:right w:val="nil"/>
            </w:tcBorders>
            <w:shd w:val="clear" w:color="auto" w:fill="auto"/>
            <w:noWrap/>
          </w:tcPr>
          <w:p w14:paraId="38BFBE47" w14:textId="6C974297" w:rsidR="00D97953" w:rsidRPr="00F44A82" w:rsidRDefault="00D97953" w:rsidP="00D97953">
            <w:pPr>
              <w:spacing w:after="0" w:line="300" w:lineRule="exact"/>
              <w:jc w:val="right"/>
              <w:rPr>
                <w:rFonts w:ascii="Calibri" w:eastAsia="Times New Roman" w:hAnsi="Calibri" w:cs="Arial"/>
                <w:b/>
                <w:bCs/>
                <w:sz w:val="20"/>
                <w:szCs w:val="20"/>
                <w:lang w:val="en-US"/>
              </w:rPr>
            </w:pPr>
            <w:r w:rsidRPr="00F44A82">
              <w:rPr>
                <w:b/>
                <w:bCs/>
                <w:sz w:val="20"/>
                <w:szCs w:val="20"/>
              </w:rPr>
              <w:t xml:space="preserve">  (61.847)</w:t>
            </w:r>
          </w:p>
        </w:tc>
      </w:tr>
      <w:tr w:rsidR="00D97953" w:rsidRPr="00A74D5D" w14:paraId="5E499360" w14:textId="77777777" w:rsidTr="00456F9A">
        <w:trPr>
          <w:trHeight w:val="174"/>
        </w:trPr>
        <w:tc>
          <w:tcPr>
            <w:tcW w:w="3369" w:type="dxa"/>
            <w:tcBorders>
              <w:left w:val="nil"/>
              <w:bottom w:val="nil"/>
              <w:right w:val="nil"/>
            </w:tcBorders>
            <w:shd w:val="clear" w:color="auto" w:fill="auto"/>
            <w:vAlign w:val="bottom"/>
          </w:tcPr>
          <w:p w14:paraId="4B283C66" w14:textId="77777777" w:rsidR="00D97953" w:rsidRPr="00A74D5D" w:rsidRDefault="00D97953" w:rsidP="00D97953">
            <w:pPr>
              <w:spacing w:after="0" w:line="140" w:lineRule="exact"/>
              <w:rPr>
                <w:rFonts w:ascii="Calibri" w:eastAsia="Times New Roman" w:hAnsi="Calibri" w:cs="Arial"/>
                <w:sz w:val="20"/>
                <w:szCs w:val="20"/>
                <w:lang w:val="en-US"/>
              </w:rPr>
            </w:pPr>
          </w:p>
        </w:tc>
        <w:tc>
          <w:tcPr>
            <w:tcW w:w="1275" w:type="dxa"/>
            <w:tcBorders>
              <w:top w:val="single" w:sz="12" w:space="0" w:color="auto"/>
              <w:left w:val="nil"/>
              <w:bottom w:val="nil"/>
              <w:right w:val="nil"/>
            </w:tcBorders>
            <w:shd w:val="clear" w:color="auto" w:fill="auto"/>
            <w:noWrap/>
            <w:vAlign w:val="bottom"/>
          </w:tcPr>
          <w:p w14:paraId="61A1F902" w14:textId="77777777" w:rsidR="00D97953" w:rsidRPr="00A74D5D" w:rsidRDefault="00D97953" w:rsidP="00D97953">
            <w:pPr>
              <w:spacing w:after="0" w:line="140" w:lineRule="exact"/>
              <w:jc w:val="right"/>
              <w:rPr>
                <w:rFonts w:ascii="Calibri" w:eastAsia="Times New Roman" w:hAnsi="Calibri" w:cs="Arial"/>
                <w:sz w:val="20"/>
                <w:szCs w:val="20"/>
                <w:lang w:val="en-US"/>
              </w:rPr>
            </w:pPr>
          </w:p>
        </w:tc>
        <w:tc>
          <w:tcPr>
            <w:tcW w:w="1418" w:type="dxa"/>
            <w:tcBorders>
              <w:top w:val="single" w:sz="12" w:space="0" w:color="auto"/>
              <w:left w:val="nil"/>
              <w:bottom w:val="nil"/>
              <w:right w:val="nil"/>
            </w:tcBorders>
            <w:shd w:val="clear" w:color="auto" w:fill="auto"/>
            <w:noWrap/>
            <w:vAlign w:val="bottom"/>
          </w:tcPr>
          <w:p w14:paraId="1DDAA768" w14:textId="77777777" w:rsidR="00D97953" w:rsidRPr="00A74D5D" w:rsidRDefault="00D97953" w:rsidP="00D97953">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685506E9" w14:textId="77777777" w:rsidR="00D97953" w:rsidRPr="00A74D5D" w:rsidRDefault="00D97953" w:rsidP="00D97953">
            <w:pPr>
              <w:spacing w:after="0" w:line="140" w:lineRule="exact"/>
              <w:jc w:val="right"/>
              <w:rPr>
                <w:rFonts w:ascii="Calibri" w:eastAsia="Times New Roman" w:hAnsi="Calibri" w:cs="Arial"/>
                <w:sz w:val="20"/>
                <w:szCs w:val="20"/>
                <w:lang w:val="en-US"/>
              </w:rPr>
            </w:pPr>
          </w:p>
        </w:tc>
        <w:tc>
          <w:tcPr>
            <w:tcW w:w="1309" w:type="dxa"/>
            <w:tcBorders>
              <w:top w:val="single" w:sz="12" w:space="0" w:color="auto"/>
              <w:left w:val="nil"/>
              <w:bottom w:val="nil"/>
              <w:right w:val="nil"/>
            </w:tcBorders>
            <w:shd w:val="clear" w:color="auto" w:fill="auto"/>
            <w:noWrap/>
            <w:vAlign w:val="bottom"/>
          </w:tcPr>
          <w:p w14:paraId="20F71973" w14:textId="77777777" w:rsidR="00D97953" w:rsidRPr="00A74D5D" w:rsidRDefault="00D97953" w:rsidP="00D97953">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42980D78" w14:textId="77777777" w:rsidR="00D97953" w:rsidRPr="00A74D5D" w:rsidRDefault="00D97953" w:rsidP="00D97953">
            <w:pPr>
              <w:spacing w:after="0" w:line="140" w:lineRule="exact"/>
              <w:jc w:val="right"/>
              <w:rPr>
                <w:rFonts w:ascii="Calibri" w:eastAsia="Times New Roman" w:hAnsi="Calibri" w:cs="Arial"/>
                <w:sz w:val="20"/>
                <w:szCs w:val="20"/>
                <w:lang w:val="en-US"/>
              </w:rPr>
            </w:pPr>
          </w:p>
        </w:tc>
      </w:tr>
      <w:tr w:rsidR="00D97953" w:rsidRPr="00A74D5D" w14:paraId="2177B270" w14:textId="77777777" w:rsidTr="00A1123E">
        <w:trPr>
          <w:trHeight w:val="300"/>
        </w:trPr>
        <w:tc>
          <w:tcPr>
            <w:tcW w:w="3369" w:type="dxa"/>
            <w:tcBorders>
              <w:top w:val="nil"/>
              <w:left w:val="nil"/>
              <w:bottom w:val="nil"/>
              <w:right w:val="nil"/>
            </w:tcBorders>
            <w:shd w:val="clear" w:color="auto" w:fill="auto"/>
            <w:vAlign w:val="bottom"/>
          </w:tcPr>
          <w:p w14:paraId="47A7C176" w14:textId="61EEA9A7" w:rsidR="00D97953" w:rsidRPr="00A74D5D" w:rsidRDefault="00D97953" w:rsidP="00D97953">
            <w:pPr>
              <w:spacing w:after="0" w:line="300" w:lineRule="exact"/>
              <w:rPr>
                <w:rFonts w:ascii="Calibri" w:eastAsia="Times New Roman" w:hAnsi="Calibri" w:cs="Arial"/>
                <w:b/>
                <w:bCs/>
                <w:sz w:val="20"/>
                <w:szCs w:val="20"/>
                <w:lang w:val="en-US"/>
              </w:rPr>
            </w:pPr>
            <w:r w:rsidRPr="00A74D5D">
              <w:rPr>
                <w:rFonts w:ascii="Calibri" w:eastAsia="Times New Roman" w:hAnsi="Calibri" w:cs="Arial"/>
                <w:b/>
                <w:bCs/>
                <w:sz w:val="20"/>
                <w:szCs w:val="20"/>
                <w:lang w:val="en-US"/>
              </w:rPr>
              <w:t>Profit</w:t>
            </w:r>
            <w:r w:rsidR="00E07025">
              <w:rPr>
                <w:rFonts w:ascii="Calibri" w:eastAsia="Times New Roman" w:hAnsi="Calibri" w:cs="Arial"/>
                <w:b/>
                <w:bCs/>
                <w:sz w:val="20"/>
                <w:szCs w:val="20"/>
                <w:lang w:val="en-US"/>
              </w:rPr>
              <w:t>/(loss)</w:t>
            </w:r>
            <w:r w:rsidRPr="00A74D5D">
              <w:rPr>
                <w:rFonts w:ascii="Calibri" w:eastAsia="Times New Roman" w:hAnsi="Calibri" w:cs="Arial"/>
                <w:b/>
                <w:bCs/>
                <w:sz w:val="20"/>
                <w:szCs w:val="20"/>
                <w:lang w:val="en-US"/>
              </w:rPr>
              <w:t xml:space="preserve"> before income tax</w:t>
            </w:r>
          </w:p>
        </w:tc>
        <w:tc>
          <w:tcPr>
            <w:tcW w:w="1275" w:type="dxa"/>
            <w:shd w:val="clear" w:color="auto" w:fill="auto"/>
            <w:noWrap/>
            <w:vAlign w:val="bottom"/>
          </w:tcPr>
          <w:p w14:paraId="09B5A1D0" w14:textId="7ABC8907" w:rsidR="00D97953" w:rsidRPr="00A74D5D" w:rsidRDefault="00D97953" w:rsidP="00D97953">
            <w:pPr>
              <w:spacing w:after="0" w:line="300" w:lineRule="exact"/>
              <w:jc w:val="right"/>
              <w:rPr>
                <w:rFonts w:ascii="Calibri" w:eastAsia="Times New Roman" w:hAnsi="Calibri" w:cs="Arial"/>
                <w:b/>
                <w:bCs/>
                <w:sz w:val="20"/>
                <w:szCs w:val="20"/>
                <w:lang w:val="en-US"/>
              </w:rPr>
            </w:pPr>
            <w:r w:rsidRPr="00A36259">
              <w:rPr>
                <w:rFonts w:cs="Arial"/>
                <w:bCs/>
                <w:color w:val="000000" w:themeColor="text1"/>
                <w:sz w:val="20"/>
                <w:szCs w:val="20"/>
              </w:rPr>
              <w:t>230.344</w:t>
            </w:r>
          </w:p>
        </w:tc>
        <w:tc>
          <w:tcPr>
            <w:tcW w:w="1418" w:type="dxa"/>
            <w:shd w:val="clear" w:color="auto" w:fill="auto"/>
            <w:noWrap/>
            <w:vAlign w:val="bottom"/>
          </w:tcPr>
          <w:p w14:paraId="180D6927" w14:textId="47DCF044" w:rsidR="00D97953" w:rsidRPr="00A74D5D" w:rsidRDefault="00D97953" w:rsidP="00D97953">
            <w:pPr>
              <w:spacing w:after="0" w:line="300" w:lineRule="exact"/>
              <w:jc w:val="right"/>
              <w:rPr>
                <w:rFonts w:ascii="Calibri" w:eastAsia="Times New Roman" w:hAnsi="Calibri" w:cs="Arial"/>
                <w:bCs/>
                <w:sz w:val="20"/>
                <w:szCs w:val="20"/>
                <w:lang w:val="en-US"/>
              </w:rPr>
            </w:pPr>
            <w:r w:rsidRPr="00A36259">
              <w:rPr>
                <w:rFonts w:ascii="Calibri" w:hAnsi="Calibri" w:cs="Arial"/>
                <w:bCs/>
                <w:sz w:val="20"/>
                <w:szCs w:val="20"/>
              </w:rPr>
              <w:t>(426)</w:t>
            </w:r>
          </w:p>
        </w:tc>
        <w:tc>
          <w:tcPr>
            <w:tcW w:w="1134" w:type="dxa"/>
            <w:shd w:val="clear" w:color="auto" w:fill="auto"/>
            <w:noWrap/>
            <w:vAlign w:val="bottom"/>
          </w:tcPr>
          <w:p w14:paraId="5587C6AC" w14:textId="781A92DD" w:rsidR="00D97953" w:rsidRPr="00A74D5D" w:rsidRDefault="00D97953" w:rsidP="00D97953">
            <w:pPr>
              <w:spacing w:after="0" w:line="300" w:lineRule="exact"/>
              <w:jc w:val="right"/>
              <w:rPr>
                <w:rFonts w:ascii="Calibri" w:eastAsia="Times New Roman" w:hAnsi="Calibri" w:cs="Arial"/>
                <w:bCs/>
                <w:sz w:val="20"/>
                <w:szCs w:val="20"/>
                <w:lang w:val="en-US"/>
              </w:rPr>
            </w:pPr>
            <w:r w:rsidRPr="00A36259">
              <w:rPr>
                <w:rFonts w:ascii="Calibri" w:hAnsi="Calibri" w:cs="Arial"/>
                <w:bCs/>
                <w:sz w:val="20"/>
                <w:szCs w:val="20"/>
              </w:rPr>
              <w:t>182</w:t>
            </w:r>
          </w:p>
        </w:tc>
        <w:tc>
          <w:tcPr>
            <w:tcW w:w="1309" w:type="dxa"/>
            <w:shd w:val="clear" w:color="auto" w:fill="auto"/>
            <w:noWrap/>
            <w:vAlign w:val="bottom"/>
          </w:tcPr>
          <w:p w14:paraId="54DD9597" w14:textId="2996E7B5" w:rsidR="00D97953" w:rsidRPr="00A74D5D" w:rsidRDefault="00D97953" w:rsidP="00D97953">
            <w:pPr>
              <w:spacing w:after="0" w:line="300" w:lineRule="exact"/>
              <w:jc w:val="right"/>
              <w:rPr>
                <w:rFonts w:ascii="Calibri" w:eastAsia="Times New Roman" w:hAnsi="Calibri" w:cs="Arial"/>
                <w:bCs/>
                <w:sz w:val="20"/>
                <w:szCs w:val="20"/>
                <w:lang w:val="en-US"/>
              </w:rPr>
            </w:pPr>
            <w:r>
              <w:rPr>
                <w:rFonts w:ascii="Calibri" w:hAnsi="Calibri" w:cs="Arial"/>
                <w:bCs/>
                <w:sz w:val="20"/>
                <w:szCs w:val="20"/>
              </w:rPr>
              <w:t>-</w:t>
            </w:r>
          </w:p>
        </w:tc>
        <w:tc>
          <w:tcPr>
            <w:tcW w:w="1134" w:type="dxa"/>
            <w:shd w:val="clear" w:color="auto" w:fill="auto"/>
            <w:noWrap/>
            <w:vAlign w:val="bottom"/>
          </w:tcPr>
          <w:p w14:paraId="53C0AB47" w14:textId="4F94592D" w:rsidR="00D97953" w:rsidRPr="00A74D5D" w:rsidRDefault="00D97953" w:rsidP="00D97953">
            <w:pPr>
              <w:spacing w:after="0" w:line="300" w:lineRule="exact"/>
              <w:jc w:val="right"/>
              <w:rPr>
                <w:rFonts w:ascii="Calibri" w:eastAsia="Times New Roman" w:hAnsi="Calibri" w:cs="Arial"/>
                <w:bCs/>
                <w:sz w:val="20"/>
                <w:szCs w:val="20"/>
                <w:lang w:val="en-US"/>
              </w:rPr>
            </w:pPr>
            <w:r w:rsidRPr="00A36259">
              <w:rPr>
                <w:rFonts w:ascii="Calibri" w:hAnsi="Calibri" w:cs="Arial"/>
                <w:bCs/>
                <w:sz w:val="20"/>
                <w:szCs w:val="20"/>
              </w:rPr>
              <w:t>230.100</w:t>
            </w:r>
          </w:p>
        </w:tc>
      </w:tr>
      <w:tr w:rsidR="00D97953" w:rsidRPr="00A74D5D" w14:paraId="17E79552" w14:textId="77777777" w:rsidTr="00456F9A">
        <w:trPr>
          <w:trHeight w:val="300"/>
        </w:trPr>
        <w:tc>
          <w:tcPr>
            <w:tcW w:w="3369" w:type="dxa"/>
            <w:tcBorders>
              <w:top w:val="nil"/>
              <w:left w:val="nil"/>
              <w:right w:val="nil"/>
            </w:tcBorders>
            <w:shd w:val="clear" w:color="auto" w:fill="auto"/>
            <w:vAlign w:val="bottom"/>
          </w:tcPr>
          <w:p w14:paraId="08053EE5" w14:textId="77777777" w:rsidR="00D97953" w:rsidRPr="00A74D5D" w:rsidRDefault="00D97953" w:rsidP="00D97953">
            <w:pPr>
              <w:spacing w:after="0" w:line="300" w:lineRule="exact"/>
              <w:rPr>
                <w:rFonts w:ascii="Calibri" w:eastAsia="Times New Roman" w:hAnsi="Calibri" w:cs="Arial"/>
                <w:sz w:val="20"/>
                <w:szCs w:val="20"/>
                <w:lang w:val="en-US"/>
              </w:rPr>
            </w:pPr>
            <w:r w:rsidRPr="00A74D5D">
              <w:rPr>
                <w:rFonts w:ascii="Calibri" w:eastAsia="Times New Roman" w:hAnsi="Calibri" w:cs="Arial"/>
                <w:sz w:val="20"/>
                <w:szCs w:val="20"/>
                <w:lang w:val="en-US"/>
              </w:rPr>
              <w:t>Income tax</w:t>
            </w:r>
          </w:p>
        </w:tc>
        <w:tc>
          <w:tcPr>
            <w:tcW w:w="1275" w:type="dxa"/>
            <w:tcBorders>
              <w:top w:val="nil"/>
              <w:left w:val="nil"/>
              <w:bottom w:val="single" w:sz="4" w:space="0" w:color="auto"/>
              <w:right w:val="nil"/>
            </w:tcBorders>
            <w:shd w:val="clear" w:color="auto" w:fill="auto"/>
            <w:noWrap/>
            <w:vAlign w:val="bottom"/>
          </w:tcPr>
          <w:p w14:paraId="4C4A8040" w14:textId="430DAF4E" w:rsidR="00D97953" w:rsidRPr="00A74D5D" w:rsidRDefault="00D97953" w:rsidP="00D97953">
            <w:pPr>
              <w:spacing w:after="0" w:line="300" w:lineRule="exact"/>
              <w:jc w:val="right"/>
              <w:rPr>
                <w:rFonts w:ascii="Calibri" w:eastAsia="Times New Roman" w:hAnsi="Calibri" w:cs="Arial"/>
                <w:sz w:val="20"/>
                <w:szCs w:val="20"/>
                <w:lang w:val="en-US"/>
              </w:rPr>
            </w:pPr>
            <w:r>
              <w:rPr>
                <w:rFonts w:cs="Arial"/>
                <w:color w:val="000000" w:themeColor="text1"/>
                <w:sz w:val="20"/>
                <w:szCs w:val="20"/>
              </w:rPr>
              <w:t>-</w:t>
            </w:r>
          </w:p>
        </w:tc>
        <w:tc>
          <w:tcPr>
            <w:tcW w:w="1418" w:type="dxa"/>
            <w:tcBorders>
              <w:top w:val="nil"/>
              <w:left w:val="nil"/>
              <w:bottom w:val="single" w:sz="4" w:space="0" w:color="auto"/>
              <w:right w:val="nil"/>
            </w:tcBorders>
            <w:shd w:val="clear" w:color="auto" w:fill="auto"/>
            <w:noWrap/>
            <w:vAlign w:val="bottom"/>
          </w:tcPr>
          <w:p w14:paraId="612705C4" w14:textId="6A73619C" w:rsidR="00D97953" w:rsidRPr="00A74D5D" w:rsidRDefault="00D97953" w:rsidP="00D97953">
            <w:pPr>
              <w:spacing w:after="0" w:line="300" w:lineRule="exact"/>
              <w:jc w:val="right"/>
              <w:rPr>
                <w:rFonts w:ascii="Calibri" w:eastAsia="Times New Roman" w:hAnsi="Calibri" w:cs="Arial"/>
                <w:bCs/>
                <w:sz w:val="20"/>
                <w:szCs w:val="20"/>
                <w:lang w:val="en-US"/>
              </w:rPr>
            </w:pPr>
            <w:r>
              <w:rPr>
                <w:rFonts w:ascii="Calibri" w:hAnsi="Calibri" w:cs="Arial"/>
                <w:bCs/>
                <w:sz w:val="20"/>
                <w:szCs w:val="20"/>
              </w:rPr>
              <w:t>-</w:t>
            </w:r>
          </w:p>
        </w:tc>
        <w:tc>
          <w:tcPr>
            <w:tcW w:w="1134" w:type="dxa"/>
            <w:tcBorders>
              <w:top w:val="nil"/>
              <w:left w:val="nil"/>
              <w:bottom w:val="single" w:sz="4" w:space="0" w:color="auto"/>
              <w:right w:val="nil"/>
            </w:tcBorders>
            <w:shd w:val="clear" w:color="auto" w:fill="auto"/>
            <w:noWrap/>
            <w:vAlign w:val="bottom"/>
          </w:tcPr>
          <w:p w14:paraId="31152D56" w14:textId="7D3E8A0C" w:rsidR="00D97953" w:rsidRPr="00A74D5D" w:rsidRDefault="00D97953" w:rsidP="00D97953">
            <w:pPr>
              <w:spacing w:after="0" w:line="300" w:lineRule="exact"/>
              <w:jc w:val="right"/>
              <w:rPr>
                <w:rFonts w:ascii="Calibri" w:eastAsia="Times New Roman" w:hAnsi="Calibri" w:cs="Arial"/>
                <w:bCs/>
                <w:sz w:val="20"/>
                <w:szCs w:val="20"/>
                <w:lang w:val="en-US"/>
              </w:rPr>
            </w:pPr>
            <w:r>
              <w:rPr>
                <w:rFonts w:ascii="Calibri" w:hAnsi="Calibri" w:cs="Arial"/>
                <w:bCs/>
                <w:sz w:val="20"/>
                <w:szCs w:val="20"/>
              </w:rPr>
              <w:t>-</w:t>
            </w:r>
          </w:p>
        </w:tc>
        <w:tc>
          <w:tcPr>
            <w:tcW w:w="1309" w:type="dxa"/>
            <w:tcBorders>
              <w:top w:val="nil"/>
              <w:left w:val="nil"/>
              <w:bottom w:val="single" w:sz="4" w:space="0" w:color="auto"/>
              <w:right w:val="nil"/>
            </w:tcBorders>
            <w:shd w:val="clear" w:color="auto" w:fill="auto"/>
            <w:noWrap/>
            <w:vAlign w:val="bottom"/>
          </w:tcPr>
          <w:p w14:paraId="1478FCC2" w14:textId="1942A203" w:rsidR="00D97953" w:rsidRPr="00A74D5D" w:rsidRDefault="00D97953" w:rsidP="00D97953">
            <w:pPr>
              <w:spacing w:after="0" w:line="300" w:lineRule="exact"/>
              <w:jc w:val="right"/>
              <w:rPr>
                <w:rFonts w:ascii="Calibri" w:eastAsia="Times New Roman" w:hAnsi="Calibri" w:cs="Arial"/>
                <w:bCs/>
                <w:sz w:val="20"/>
                <w:szCs w:val="20"/>
                <w:lang w:val="en-US"/>
              </w:rPr>
            </w:pPr>
            <w:r>
              <w:rPr>
                <w:rFonts w:ascii="Calibri" w:hAnsi="Calibri" w:cs="Arial"/>
                <w:bCs/>
                <w:sz w:val="20"/>
                <w:szCs w:val="20"/>
              </w:rPr>
              <w:t>-</w:t>
            </w:r>
          </w:p>
        </w:tc>
        <w:tc>
          <w:tcPr>
            <w:tcW w:w="1134" w:type="dxa"/>
            <w:tcBorders>
              <w:top w:val="nil"/>
              <w:left w:val="nil"/>
              <w:bottom w:val="single" w:sz="4" w:space="0" w:color="auto"/>
              <w:right w:val="nil"/>
            </w:tcBorders>
            <w:shd w:val="clear" w:color="auto" w:fill="auto"/>
            <w:noWrap/>
            <w:vAlign w:val="bottom"/>
          </w:tcPr>
          <w:p w14:paraId="00856104" w14:textId="481C64FA" w:rsidR="00D97953" w:rsidRPr="00A74D5D" w:rsidRDefault="00D97953" w:rsidP="00D97953">
            <w:pPr>
              <w:spacing w:after="0" w:line="300" w:lineRule="exact"/>
              <w:jc w:val="right"/>
              <w:rPr>
                <w:rFonts w:ascii="Calibri" w:eastAsia="Times New Roman" w:hAnsi="Calibri" w:cs="Arial"/>
                <w:bCs/>
                <w:sz w:val="20"/>
                <w:szCs w:val="20"/>
                <w:lang w:val="en-US"/>
              </w:rPr>
            </w:pPr>
            <w:r>
              <w:rPr>
                <w:rFonts w:ascii="Calibri" w:hAnsi="Calibri" w:cs="Arial"/>
                <w:bCs/>
                <w:sz w:val="20"/>
                <w:szCs w:val="20"/>
              </w:rPr>
              <w:t>-</w:t>
            </w:r>
          </w:p>
        </w:tc>
      </w:tr>
      <w:tr w:rsidR="00D97953" w:rsidRPr="00A74D5D" w14:paraId="7888595D" w14:textId="77777777" w:rsidTr="00A1123E">
        <w:trPr>
          <w:trHeight w:val="315"/>
        </w:trPr>
        <w:tc>
          <w:tcPr>
            <w:tcW w:w="3369" w:type="dxa"/>
            <w:tcBorders>
              <w:left w:val="nil"/>
              <w:right w:val="nil"/>
            </w:tcBorders>
            <w:shd w:val="clear" w:color="auto" w:fill="auto"/>
            <w:vAlign w:val="bottom"/>
          </w:tcPr>
          <w:p w14:paraId="2A582D7A" w14:textId="158BF140" w:rsidR="00D97953" w:rsidRPr="00A74D5D" w:rsidRDefault="00D97953" w:rsidP="00D97953">
            <w:pPr>
              <w:spacing w:after="0" w:line="300" w:lineRule="exact"/>
              <w:rPr>
                <w:rFonts w:ascii="Calibri" w:eastAsia="Times New Roman" w:hAnsi="Calibri" w:cs="Arial"/>
                <w:b/>
                <w:bCs/>
                <w:sz w:val="20"/>
                <w:szCs w:val="20"/>
                <w:lang w:val="en-US"/>
              </w:rPr>
            </w:pPr>
            <w:r w:rsidRPr="00A74D5D">
              <w:rPr>
                <w:rFonts w:ascii="Calibri" w:eastAsia="Times New Roman" w:hAnsi="Calibri" w:cs="Arial"/>
                <w:b/>
                <w:bCs/>
                <w:sz w:val="20"/>
                <w:szCs w:val="20"/>
                <w:lang w:val="en-US"/>
              </w:rPr>
              <w:t>Profit</w:t>
            </w:r>
            <w:r w:rsidR="00E07025">
              <w:rPr>
                <w:rFonts w:ascii="Calibri" w:eastAsia="Times New Roman" w:hAnsi="Calibri" w:cs="Arial"/>
                <w:b/>
                <w:bCs/>
                <w:sz w:val="20"/>
                <w:szCs w:val="20"/>
                <w:lang w:val="en-US"/>
              </w:rPr>
              <w:t>/(loss)</w:t>
            </w:r>
            <w:r w:rsidRPr="00A74D5D">
              <w:rPr>
                <w:rFonts w:ascii="Calibri" w:eastAsia="Times New Roman" w:hAnsi="Calibri" w:cs="Arial"/>
                <w:b/>
                <w:bCs/>
                <w:sz w:val="20"/>
                <w:szCs w:val="20"/>
                <w:lang w:val="en-US"/>
              </w:rPr>
              <w:t xml:space="preserve"> for the </w:t>
            </w:r>
            <w:r>
              <w:rPr>
                <w:rFonts w:ascii="Calibri" w:eastAsia="Times New Roman" w:hAnsi="Calibri" w:cs="Arial"/>
                <w:b/>
                <w:bCs/>
                <w:sz w:val="20"/>
                <w:szCs w:val="20"/>
                <w:lang w:val="en-US"/>
              </w:rPr>
              <w:t>period</w:t>
            </w:r>
          </w:p>
        </w:tc>
        <w:tc>
          <w:tcPr>
            <w:tcW w:w="1275" w:type="dxa"/>
            <w:shd w:val="clear" w:color="auto" w:fill="auto"/>
            <w:noWrap/>
            <w:vAlign w:val="bottom"/>
          </w:tcPr>
          <w:p w14:paraId="13D579A0" w14:textId="6D8C6558" w:rsidR="00D97953" w:rsidRPr="00A74D5D" w:rsidRDefault="00D97953" w:rsidP="00D97953">
            <w:pPr>
              <w:spacing w:after="0" w:line="300" w:lineRule="exact"/>
              <w:jc w:val="right"/>
              <w:rPr>
                <w:rFonts w:ascii="Calibri" w:eastAsia="Times New Roman" w:hAnsi="Calibri" w:cs="Arial"/>
                <w:b/>
                <w:bCs/>
                <w:sz w:val="20"/>
                <w:szCs w:val="20"/>
                <w:lang w:val="en-US"/>
              </w:rPr>
            </w:pPr>
            <w:r w:rsidRPr="00A36259">
              <w:rPr>
                <w:rFonts w:cs="Arial"/>
                <w:b/>
                <w:bCs/>
                <w:color w:val="000000" w:themeColor="text1"/>
                <w:sz w:val="20"/>
                <w:szCs w:val="20"/>
              </w:rPr>
              <w:t>230.344</w:t>
            </w:r>
          </w:p>
        </w:tc>
        <w:tc>
          <w:tcPr>
            <w:tcW w:w="1418" w:type="dxa"/>
            <w:shd w:val="clear" w:color="auto" w:fill="auto"/>
            <w:noWrap/>
            <w:vAlign w:val="bottom"/>
          </w:tcPr>
          <w:p w14:paraId="7FA7B837" w14:textId="5797F3F1" w:rsidR="00D97953" w:rsidRPr="00A74D5D" w:rsidRDefault="00D97953" w:rsidP="00D97953">
            <w:pPr>
              <w:spacing w:after="0" w:line="300" w:lineRule="exact"/>
              <w:jc w:val="right"/>
              <w:rPr>
                <w:rFonts w:ascii="Calibri" w:eastAsia="Times New Roman" w:hAnsi="Calibri" w:cs="Arial"/>
                <w:b/>
                <w:bCs/>
                <w:sz w:val="20"/>
                <w:szCs w:val="20"/>
                <w:lang w:val="en-US"/>
              </w:rPr>
            </w:pPr>
            <w:r w:rsidRPr="00A36259">
              <w:rPr>
                <w:rFonts w:ascii="Calibri" w:hAnsi="Calibri" w:cs="Arial"/>
                <w:b/>
                <w:bCs/>
                <w:sz w:val="20"/>
                <w:szCs w:val="20"/>
              </w:rPr>
              <w:t>(426)</w:t>
            </w:r>
          </w:p>
        </w:tc>
        <w:tc>
          <w:tcPr>
            <w:tcW w:w="1134" w:type="dxa"/>
            <w:tcBorders>
              <w:top w:val="single" w:sz="4" w:space="0" w:color="auto"/>
              <w:left w:val="nil"/>
              <w:bottom w:val="single" w:sz="12" w:space="0" w:color="auto"/>
              <w:right w:val="nil"/>
            </w:tcBorders>
            <w:shd w:val="clear" w:color="auto" w:fill="auto"/>
            <w:noWrap/>
            <w:vAlign w:val="bottom"/>
          </w:tcPr>
          <w:p w14:paraId="60530A4E" w14:textId="015B7E7B" w:rsidR="00D97953" w:rsidRPr="00A74D5D" w:rsidRDefault="00D97953" w:rsidP="00D97953">
            <w:pPr>
              <w:spacing w:after="0" w:line="300" w:lineRule="exact"/>
              <w:jc w:val="right"/>
              <w:rPr>
                <w:rFonts w:ascii="Calibri" w:eastAsia="Times New Roman" w:hAnsi="Calibri" w:cs="Arial"/>
                <w:b/>
                <w:bCs/>
                <w:sz w:val="20"/>
                <w:szCs w:val="20"/>
                <w:lang w:val="en-US"/>
              </w:rPr>
            </w:pPr>
            <w:r w:rsidRPr="00A36259">
              <w:rPr>
                <w:rFonts w:ascii="Calibri" w:hAnsi="Calibri" w:cs="Arial"/>
                <w:b/>
                <w:bCs/>
                <w:sz w:val="20"/>
                <w:szCs w:val="20"/>
              </w:rPr>
              <w:t>182</w:t>
            </w:r>
          </w:p>
        </w:tc>
        <w:tc>
          <w:tcPr>
            <w:tcW w:w="1309" w:type="dxa"/>
            <w:tcBorders>
              <w:top w:val="single" w:sz="4" w:space="0" w:color="auto"/>
              <w:left w:val="nil"/>
              <w:bottom w:val="single" w:sz="12" w:space="0" w:color="auto"/>
              <w:right w:val="nil"/>
            </w:tcBorders>
            <w:shd w:val="clear" w:color="auto" w:fill="auto"/>
            <w:noWrap/>
            <w:vAlign w:val="bottom"/>
          </w:tcPr>
          <w:p w14:paraId="6CBF3F5B" w14:textId="31841301" w:rsidR="00D97953" w:rsidRPr="00A74D5D" w:rsidRDefault="00D97953" w:rsidP="00D97953">
            <w:pPr>
              <w:spacing w:after="0" w:line="300" w:lineRule="exact"/>
              <w:jc w:val="right"/>
              <w:rPr>
                <w:rFonts w:ascii="Calibri" w:eastAsia="Times New Roman" w:hAnsi="Calibri" w:cs="Arial"/>
                <w:b/>
                <w:bCs/>
                <w:sz w:val="20"/>
                <w:szCs w:val="20"/>
                <w:lang w:val="en-US"/>
              </w:rPr>
            </w:pPr>
            <w:r>
              <w:rPr>
                <w:rFonts w:ascii="Calibri" w:hAnsi="Calibri" w:cs="Arial"/>
                <w:b/>
                <w:bCs/>
                <w:sz w:val="20"/>
                <w:szCs w:val="20"/>
              </w:rPr>
              <w:t>-</w:t>
            </w:r>
          </w:p>
        </w:tc>
        <w:tc>
          <w:tcPr>
            <w:tcW w:w="1134" w:type="dxa"/>
            <w:tcBorders>
              <w:top w:val="single" w:sz="4" w:space="0" w:color="auto"/>
              <w:left w:val="nil"/>
              <w:bottom w:val="single" w:sz="12" w:space="0" w:color="auto"/>
              <w:right w:val="nil"/>
            </w:tcBorders>
            <w:shd w:val="clear" w:color="auto" w:fill="auto"/>
            <w:noWrap/>
            <w:vAlign w:val="bottom"/>
          </w:tcPr>
          <w:p w14:paraId="7FEE6AE9" w14:textId="68478883" w:rsidR="00D97953" w:rsidRPr="00A74D5D" w:rsidRDefault="00D97953" w:rsidP="00D97953">
            <w:pPr>
              <w:spacing w:after="0" w:line="300" w:lineRule="exact"/>
              <w:jc w:val="right"/>
              <w:rPr>
                <w:rFonts w:ascii="Calibri" w:eastAsia="Times New Roman" w:hAnsi="Calibri" w:cs="Arial"/>
                <w:b/>
                <w:bCs/>
                <w:sz w:val="20"/>
                <w:szCs w:val="20"/>
                <w:lang w:val="en-US"/>
              </w:rPr>
            </w:pPr>
            <w:r w:rsidRPr="00A36259">
              <w:rPr>
                <w:rFonts w:ascii="Calibri" w:hAnsi="Calibri" w:cs="Arial"/>
                <w:b/>
                <w:bCs/>
                <w:sz w:val="20"/>
                <w:szCs w:val="20"/>
              </w:rPr>
              <w:t>230.100</w:t>
            </w:r>
          </w:p>
        </w:tc>
      </w:tr>
      <w:tr w:rsidR="00D97953" w:rsidRPr="00A74D5D" w14:paraId="0BC780BA" w14:textId="77777777" w:rsidTr="00A1123E">
        <w:trPr>
          <w:trHeight w:val="52"/>
        </w:trPr>
        <w:tc>
          <w:tcPr>
            <w:tcW w:w="3369" w:type="dxa"/>
            <w:tcBorders>
              <w:left w:val="nil"/>
              <w:bottom w:val="nil"/>
              <w:right w:val="nil"/>
            </w:tcBorders>
            <w:shd w:val="clear" w:color="auto" w:fill="auto"/>
            <w:vAlign w:val="bottom"/>
          </w:tcPr>
          <w:p w14:paraId="21D93435" w14:textId="77777777" w:rsidR="00D97953" w:rsidRPr="00A74D5D" w:rsidRDefault="00D97953" w:rsidP="00D97953">
            <w:pPr>
              <w:spacing w:after="0" w:line="140" w:lineRule="exact"/>
              <w:rPr>
                <w:rFonts w:ascii="Calibri" w:eastAsia="Times New Roman" w:hAnsi="Calibri" w:cs="Arial"/>
                <w:sz w:val="20"/>
                <w:szCs w:val="20"/>
                <w:lang w:val="en-US"/>
              </w:rPr>
            </w:pPr>
          </w:p>
        </w:tc>
        <w:tc>
          <w:tcPr>
            <w:tcW w:w="1275" w:type="dxa"/>
            <w:tcBorders>
              <w:top w:val="single" w:sz="12" w:space="0" w:color="auto"/>
              <w:left w:val="nil"/>
              <w:bottom w:val="nil"/>
              <w:right w:val="nil"/>
            </w:tcBorders>
            <w:shd w:val="clear" w:color="auto" w:fill="auto"/>
            <w:noWrap/>
            <w:vAlign w:val="bottom"/>
          </w:tcPr>
          <w:p w14:paraId="24B48CA1" w14:textId="77777777" w:rsidR="00D97953" w:rsidRPr="00A74D5D" w:rsidRDefault="00D97953" w:rsidP="00D97953">
            <w:pPr>
              <w:spacing w:after="0" w:line="140" w:lineRule="exact"/>
              <w:jc w:val="right"/>
              <w:rPr>
                <w:rFonts w:ascii="Calibri" w:eastAsia="Times New Roman" w:hAnsi="Calibri" w:cs="Arial"/>
                <w:sz w:val="20"/>
                <w:szCs w:val="20"/>
                <w:lang w:val="en-US"/>
              </w:rPr>
            </w:pPr>
          </w:p>
        </w:tc>
        <w:tc>
          <w:tcPr>
            <w:tcW w:w="1418" w:type="dxa"/>
            <w:tcBorders>
              <w:top w:val="single" w:sz="12" w:space="0" w:color="auto"/>
              <w:left w:val="nil"/>
              <w:bottom w:val="nil"/>
              <w:right w:val="nil"/>
            </w:tcBorders>
            <w:shd w:val="clear" w:color="auto" w:fill="auto"/>
            <w:noWrap/>
            <w:vAlign w:val="bottom"/>
          </w:tcPr>
          <w:p w14:paraId="3D83B8E2" w14:textId="77777777" w:rsidR="00D97953" w:rsidRPr="00A74D5D" w:rsidRDefault="00D97953" w:rsidP="00D97953">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01587904" w14:textId="77777777" w:rsidR="00D97953" w:rsidRPr="00A74D5D" w:rsidRDefault="00D97953" w:rsidP="00D97953">
            <w:pPr>
              <w:spacing w:after="0" w:line="140" w:lineRule="exact"/>
              <w:jc w:val="right"/>
              <w:rPr>
                <w:rFonts w:ascii="Calibri" w:eastAsia="Times New Roman" w:hAnsi="Calibri" w:cs="Arial"/>
                <w:sz w:val="20"/>
                <w:szCs w:val="20"/>
                <w:lang w:val="en-US"/>
              </w:rPr>
            </w:pPr>
          </w:p>
        </w:tc>
        <w:tc>
          <w:tcPr>
            <w:tcW w:w="1309" w:type="dxa"/>
            <w:tcBorders>
              <w:top w:val="single" w:sz="12" w:space="0" w:color="auto"/>
              <w:left w:val="nil"/>
              <w:bottom w:val="nil"/>
              <w:right w:val="nil"/>
            </w:tcBorders>
            <w:shd w:val="clear" w:color="auto" w:fill="auto"/>
            <w:noWrap/>
            <w:vAlign w:val="bottom"/>
          </w:tcPr>
          <w:p w14:paraId="3A2749CC" w14:textId="77777777" w:rsidR="00D97953" w:rsidRPr="00A74D5D" w:rsidRDefault="00D97953" w:rsidP="00D97953">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1046EB8F" w14:textId="77777777" w:rsidR="00D97953" w:rsidRPr="00A74D5D" w:rsidRDefault="00D97953" w:rsidP="00D97953">
            <w:pPr>
              <w:spacing w:after="0" w:line="140" w:lineRule="exact"/>
              <w:jc w:val="right"/>
              <w:rPr>
                <w:rFonts w:ascii="Calibri" w:eastAsia="Times New Roman" w:hAnsi="Calibri" w:cs="Arial"/>
                <w:sz w:val="20"/>
                <w:szCs w:val="20"/>
                <w:lang w:val="en-US"/>
              </w:rPr>
            </w:pPr>
          </w:p>
        </w:tc>
      </w:tr>
      <w:tr w:rsidR="00D97953" w:rsidRPr="00A74D5D" w14:paraId="404EE469" w14:textId="77777777" w:rsidTr="00456F9A">
        <w:trPr>
          <w:trHeight w:val="300"/>
        </w:trPr>
        <w:tc>
          <w:tcPr>
            <w:tcW w:w="3369" w:type="dxa"/>
            <w:tcBorders>
              <w:top w:val="nil"/>
              <w:left w:val="nil"/>
              <w:right w:val="nil"/>
            </w:tcBorders>
            <w:shd w:val="clear" w:color="auto" w:fill="auto"/>
            <w:vAlign w:val="bottom"/>
          </w:tcPr>
          <w:p w14:paraId="7FA226C0" w14:textId="7BC1A1B2" w:rsidR="00D97953" w:rsidRPr="00A74D5D" w:rsidRDefault="00D97953" w:rsidP="00D97953">
            <w:pPr>
              <w:spacing w:after="0" w:line="300" w:lineRule="exact"/>
              <w:rPr>
                <w:rFonts w:ascii="Calibri" w:eastAsia="Times New Roman" w:hAnsi="Calibri" w:cs="Arial"/>
                <w:b/>
                <w:bCs/>
                <w:sz w:val="20"/>
                <w:szCs w:val="20"/>
                <w:lang w:val="en-US"/>
              </w:rPr>
            </w:pPr>
            <w:r w:rsidRPr="00A74D5D">
              <w:rPr>
                <w:rFonts w:ascii="Calibri" w:eastAsia="Times New Roman" w:hAnsi="Calibri" w:cs="Arial"/>
                <w:b/>
                <w:bCs/>
                <w:sz w:val="20"/>
                <w:szCs w:val="20"/>
                <w:lang w:val="en-US"/>
              </w:rPr>
              <w:t>31 March 2022</w:t>
            </w:r>
          </w:p>
        </w:tc>
        <w:tc>
          <w:tcPr>
            <w:tcW w:w="1275" w:type="dxa"/>
            <w:tcBorders>
              <w:top w:val="nil"/>
              <w:left w:val="nil"/>
              <w:bottom w:val="single" w:sz="4" w:space="0" w:color="auto"/>
              <w:right w:val="nil"/>
            </w:tcBorders>
            <w:shd w:val="clear" w:color="auto" w:fill="auto"/>
            <w:noWrap/>
            <w:vAlign w:val="bottom"/>
          </w:tcPr>
          <w:p w14:paraId="0AB58306" w14:textId="77777777" w:rsidR="00D97953" w:rsidRPr="00A74D5D" w:rsidRDefault="00D97953" w:rsidP="00D97953">
            <w:pPr>
              <w:spacing w:after="0" w:line="300" w:lineRule="exact"/>
              <w:jc w:val="right"/>
              <w:rPr>
                <w:rFonts w:ascii="Calibri" w:eastAsia="Times New Roman" w:hAnsi="Calibri" w:cs="Arial"/>
                <w:sz w:val="20"/>
                <w:szCs w:val="20"/>
                <w:lang w:val="en-US"/>
              </w:rPr>
            </w:pPr>
          </w:p>
        </w:tc>
        <w:tc>
          <w:tcPr>
            <w:tcW w:w="1418" w:type="dxa"/>
            <w:tcBorders>
              <w:top w:val="nil"/>
              <w:left w:val="nil"/>
              <w:bottom w:val="single" w:sz="4" w:space="0" w:color="auto"/>
              <w:right w:val="nil"/>
            </w:tcBorders>
            <w:shd w:val="clear" w:color="auto" w:fill="auto"/>
            <w:noWrap/>
            <w:vAlign w:val="bottom"/>
          </w:tcPr>
          <w:p w14:paraId="7070269D" w14:textId="77777777" w:rsidR="00D97953" w:rsidRPr="00A74D5D" w:rsidRDefault="00D97953" w:rsidP="00D97953">
            <w:pPr>
              <w:spacing w:after="0" w:line="300" w:lineRule="exact"/>
              <w:jc w:val="right"/>
              <w:rPr>
                <w:rFonts w:ascii="Calibri" w:eastAsia="Times New Roman" w:hAnsi="Calibri" w:cs="Arial"/>
                <w:sz w:val="20"/>
                <w:szCs w:val="20"/>
                <w:lang w:val="en-US"/>
              </w:rPr>
            </w:pPr>
          </w:p>
        </w:tc>
        <w:tc>
          <w:tcPr>
            <w:tcW w:w="1134" w:type="dxa"/>
            <w:tcBorders>
              <w:top w:val="nil"/>
              <w:left w:val="nil"/>
              <w:bottom w:val="single" w:sz="4" w:space="0" w:color="auto"/>
              <w:right w:val="nil"/>
            </w:tcBorders>
            <w:shd w:val="clear" w:color="auto" w:fill="auto"/>
            <w:noWrap/>
            <w:vAlign w:val="bottom"/>
          </w:tcPr>
          <w:p w14:paraId="19864009" w14:textId="77777777" w:rsidR="00D97953" w:rsidRPr="00A74D5D" w:rsidRDefault="00D97953" w:rsidP="00D97953">
            <w:pPr>
              <w:spacing w:after="0" w:line="300" w:lineRule="exact"/>
              <w:jc w:val="right"/>
              <w:rPr>
                <w:rFonts w:ascii="Calibri" w:eastAsia="Times New Roman" w:hAnsi="Calibri" w:cs="Arial"/>
                <w:sz w:val="20"/>
                <w:szCs w:val="20"/>
                <w:lang w:val="en-US"/>
              </w:rPr>
            </w:pPr>
          </w:p>
        </w:tc>
        <w:tc>
          <w:tcPr>
            <w:tcW w:w="1309" w:type="dxa"/>
            <w:tcBorders>
              <w:top w:val="nil"/>
              <w:left w:val="nil"/>
              <w:bottom w:val="single" w:sz="4" w:space="0" w:color="auto"/>
              <w:right w:val="nil"/>
            </w:tcBorders>
            <w:shd w:val="clear" w:color="auto" w:fill="auto"/>
            <w:noWrap/>
            <w:vAlign w:val="bottom"/>
          </w:tcPr>
          <w:p w14:paraId="4E535B6E" w14:textId="77777777" w:rsidR="00D97953" w:rsidRPr="00A74D5D" w:rsidRDefault="00D97953" w:rsidP="00D97953">
            <w:pPr>
              <w:spacing w:after="0" w:line="300" w:lineRule="exact"/>
              <w:jc w:val="right"/>
              <w:rPr>
                <w:rFonts w:ascii="Calibri" w:eastAsia="Times New Roman" w:hAnsi="Calibri" w:cs="Arial"/>
                <w:sz w:val="20"/>
                <w:szCs w:val="20"/>
                <w:lang w:val="en-US"/>
              </w:rPr>
            </w:pPr>
          </w:p>
        </w:tc>
        <w:tc>
          <w:tcPr>
            <w:tcW w:w="1134" w:type="dxa"/>
            <w:tcBorders>
              <w:top w:val="nil"/>
              <w:left w:val="nil"/>
              <w:bottom w:val="single" w:sz="4" w:space="0" w:color="auto"/>
              <w:right w:val="nil"/>
            </w:tcBorders>
            <w:shd w:val="clear" w:color="auto" w:fill="auto"/>
            <w:noWrap/>
            <w:vAlign w:val="bottom"/>
          </w:tcPr>
          <w:p w14:paraId="6EE773B5" w14:textId="77777777" w:rsidR="00D97953" w:rsidRPr="00A74D5D" w:rsidRDefault="00D97953" w:rsidP="00D97953">
            <w:pPr>
              <w:spacing w:after="0" w:line="300" w:lineRule="exact"/>
              <w:jc w:val="right"/>
              <w:rPr>
                <w:rFonts w:ascii="Calibri" w:eastAsia="Times New Roman" w:hAnsi="Calibri" w:cs="Arial"/>
                <w:sz w:val="20"/>
                <w:szCs w:val="20"/>
                <w:lang w:val="en-US"/>
              </w:rPr>
            </w:pPr>
          </w:p>
        </w:tc>
      </w:tr>
      <w:tr w:rsidR="00D97953" w:rsidRPr="00A74D5D" w14:paraId="342E8346" w14:textId="77777777" w:rsidTr="00456F9A">
        <w:trPr>
          <w:trHeight w:val="300"/>
        </w:trPr>
        <w:tc>
          <w:tcPr>
            <w:tcW w:w="3369" w:type="dxa"/>
            <w:tcBorders>
              <w:top w:val="nil"/>
              <w:left w:val="nil"/>
              <w:right w:val="nil"/>
            </w:tcBorders>
            <w:shd w:val="clear" w:color="auto" w:fill="auto"/>
            <w:vAlign w:val="bottom"/>
          </w:tcPr>
          <w:p w14:paraId="2D9D5B26" w14:textId="77777777" w:rsidR="00D97953" w:rsidRPr="00A74D5D" w:rsidRDefault="00D97953" w:rsidP="00D97953">
            <w:pPr>
              <w:spacing w:after="0" w:line="300" w:lineRule="exact"/>
              <w:rPr>
                <w:rFonts w:ascii="Calibri" w:eastAsia="Times New Roman" w:hAnsi="Calibri" w:cs="Arial"/>
                <w:sz w:val="20"/>
                <w:szCs w:val="20"/>
                <w:lang w:val="en-US"/>
              </w:rPr>
            </w:pPr>
            <w:r w:rsidRPr="00A74D5D">
              <w:rPr>
                <w:rFonts w:ascii="Calibri" w:eastAsia="Times New Roman" w:hAnsi="Calibri" w:cs="Arial"/>
                <w:sz w:val="20"/>
                <w:szCs w:val="20"/>
                <w:lang w:val="en-US"/>
              </w:rPr>
              <w:t>Assets of segment</w:t>
            </w:r>
          </w:p>
        </w:tc>
        <w:tc>
          <w:tcPr>
            <w:tcW w:w="1275" w:type="dxa"/>
            <w:tcBorders>
              <w:top w:val="nil"/>
              <w:left w:val="nil"/>
              <w:bottom w:val="single" w:sz="4" w:space="0" w:color="auto"/>
              <w:right w:val="nil"/>
            </w:tcBorders>
            <w:shd w:val="clear" w:color="auto" w:fill="auto"/>
            <w:noWrap/>
            <w:vAlign w:val="bottom"/>
          </w:tcPr>
          <w:p w14:paraId="08BE93D4" w14:textId="68652337" w:rsidR="00D97953" w:rsidRPr="00A74D5D" w:rsidRDefault="00D97953" w:rsidP="00D97953">
            <w:pPr>
              <w:spacing w:after="0" w:line="300" w:lineRule="exact"/>
              <w:jc w:val="right"/>
              <w:rPr>
                <w:rFonts w:ascii="Calibri" w:eastAsia="Times New Roman" w:hAnsi="Calibri" w:cs="Arial"/>
                <w:sz w:val="20"/>
                <w:szCs w:val="20"/>
                <w:lang w:val="en-US"/>
              </w:rPr>
            </w:pPr>
            <w:r w:rsidRPr="00E85594">
              <w:rPr>
                <w:rFonts w:cs="Arial"/>
                <w:color w:val="000000" w:themeColor="text1"/>
                <w:sz w:val="20"/>
                <w:szCs w:val="20"/>
              </w:rPr>
              <w:t>27.722.703</w:t>
            </w:r>
          </w:p>
        </w:tc>
        <w:tc>
          <w:tcPr>
            <w:tcW w:w="1418" w:type="dxa"/>
            <w:tcBorders>
              <w:top w:val="nil"/>
              <w:left w:val="nil"/>
              <w:bottom w:val="single" w:sz="4" w:space="0" w:color="auto"/>
              <w:right w:val="nil"/>
            </w:tcBorders>
            <w:shd w:val="clear" w:color="auto" w:fill="auto"/>
            <w:noWrap/>
            <w:vAlign w:val="bottom"/>
          </w:tcPr>
          <w:p w14:paraId="1239E963" w14:textId="538A73EF" w:rsidR="00D97953" w:rsidRPr="00A74D5D" w:rsidRDefault="00D97953" w:rsidP="00D97953">
            <w:pPr>
              <w:spacing w:after="0" w:line="300" w:lineRule="exact"/>
              <w:jc w:val="right"/>
              <w:rPr>
                <w:rFonts w:ascii="Calibri" w:eastAsia="Times New Roman" w:hAnsi="Calibri" w:cs="Arial"/>
                <w:sz w:val="20"/>
                <w:szCs w:val="20"/>
                <w:lang w:val="en-US"/>
              </w:rPr>
            </w:pPr>
            <w:r w:rsidRPr="00E85594">
              <w:rPr>
                <w:rFonts w:cs="Arial"/>
                <w:color w:val="000000" w:themeColor="text1"/>
                <w:sz w:val="20"/>
                <w:szCs w:val="20"/>
              </w:rPr>
              <w:t>64.008</w:t>
            </w:r>
          </w:p>
        </w:tc>
        <w:tc>
          <w:tcPr>
            <w:tcW w:w="1134" w:type="dxa"/>
            <w:tcBorders>
              <w:top w:val="nil"/>
              <w:left w:val="nil"/>
              <w:bottom w:val="single" w:sz="4" w:space="0" w:color="auto"/>
              <w:right w:val="nil"/>
            </w:tcBorders>
            <w:shd w:val="clear" w:color="auto" w:fill="auto"/>
            <w:noWrap/>
            <w:vAlign w:val="bottom"/>
          </w:tcPr>
          <w:p w14:paraId="52BB2560" w14:textId="50A8788F" w:rsidR="00D97953" w:rsidRPr="00A74D5D" w:rsidRDefault="00D97953" w:rsidP="00D97953">
            <w:pPr>
              <w:spacing w:after="0" w:line="300" w:lineRule="exact"/>
              <w:jc w:val="right"/>
              <w:rPr>
                <w:rFonts w:ascii="Calibri" w:eastAsia="Times New Roman" w:hAnsi="Calibri" w:cs="Arial"/>
                <w:sz w:val="20"/>
                <w:szCs w:val="20"/>
                <w:lang w:val="en-US"/>
              </w:rPr>
            </w:pPr>
            <w:r w:rsidRPr="00E85594">
              <w:rPr>
                <w:rFonts w:cs="Arial"/>
                <w:color w:val="000000" w:themeColor="text1"/>
                <w:sz w:val="20"/>
                <w:szCs w:val="20"/>
              </w:rPr>
              <w:t>1.284</w:t>
            </w:r>
          </w:p>
        </w:tc>
        <w:tc>
          <w:tcPr>
            <w:tcW w:w="1309" w:type="dxa"/>
            <w:tcBorders>
              <w:top w:val="nil"/>
              <w:left w:val="nil"/>
              <w:bottom w:val="single" w:sz="4" w:space="0" w:color="auto"/>
              <w:right w:val="nil"/>
            </w:tcBorders>
            <w:shd w:val="clear" w:color="auto" w:fill="auto"/>
            <w:noWrap/>
            <w:vAlign w:val="bottom"/>
          </w:tcPr>
          <w:p w14:paraId="7095A65E" w14:textId="4A93FF2E" w:rsidR="00D97953" w:rsidRPr="00A74D5D" w:rsidRDefault="00D97953" w:rsidP="00D97953">
            <w:pPr>
              <w:spacing w:after="0" w:line="300" w:lineRule="exact"/>
              <w:jc w:val="right"/>
              <w:rPr>
                <w:rFonts w:ascii="Calibri" w:eastAsia="Times New Roman" w:hAnsi="Calibri" w:cs="Arial"/>
                <w:sz w:val="20"/>
                <w:szCs w:val="20"/>
                <w:lang w:val="en-US"/>
              </w:rPr>
            </w:pPr>
            <w:r w:rsidRPr="00E85594">
              <w:rPr>
                <w:rFonts w:cs="Arial"/>
                <w:color w:val="000000" w:themeColor="text1"/>
                <w:sz w:val="20"/>
                <w:szCs w:val="20"/>
              </w:rPr>
              <w:t>(36.654)</w:t>
            </w:r>
          </w:p>
        </w:tc>
        <w:tc>
          <w:tcPr>
            <w:tcW w:w="1134" w:type="dxa"/>
            <w:tcBorders>
              <w:top w:val="nil"/>
              <w:left w:val="nil"/>
              <w:bottom w:val="single" w:sz="4" w:space="0" w:color="auto"/>
              <w:right w:val="nil"/>
            </w:tcBorders>
            <w:shd w:val="clear" w:color="auto" w:fill="auto"/>
            <w:noWrap/>
            <w:vAlign w:val="bottom"/>
          </w:tcPr>
          <w:p w14:paraId="381C63D4" w14:textId="74EF0DC0" w:rsidR="00D97953" w:rsidRPr="00A74D5D" w:rsidRDefault="00D97953" w:rsidP="00D97953">
            <w:pPr>
              <w:spacing w:after="0" w:line="300" w:lineRule="exact"/>
              <w:jc w:val="right"/>
              <w:rPr>
                <w:rFonts w:ascii="Calibri" w:eastAsia="Times New Roman" w:hAnsi="Calibri" w:cs="Arial"/>
                <w:sz w:val="20"/>
                <w:szCs w:val="20"/>
                <w:lang w:val="en-US"/>
              </w:rPr>
            </w:pPr>
            <w:r w:rsidRPr="00E85594">
              <w:rPr>
                <w:rFonts w:cs="Arial"/>
                <w:color w:val="000000" w:themeColor="text1"/>
                <w:sz w:val="20"/>
                <w:szCs w:val="20"/>
              </w:rPr>
              <w:t>27.751.341</w:t>
            </w:r>
          </w:p>
        </w:tc>
      </w:tr>
      <w:tr w:rsidR="00D97953" w:rsidRPr="00A74D5D" w14:paraId="553EB003" w14:textId="77777777" w:rsidTr="00456F9A">
        <w:trPr>
          <w:trHeight w:val="315"/>
        </w:trPr>
        <w:tc>
          <w:tcPr>
            <w:tcW w:w="3369" w:type="dxa"/>
            <w:tcBorders>
              <w:left w:val="nil"/>
              <w:right w:val="nil"/>
            </w:tcBorders>
            <w:shd w:val="clear" w:color="auto" w:fill="auto"/>
            <w:vAlign w:val="bottom"/>
          </w:tcPr>
          <w:p w14:paraId="776EE44D" w14:textId="77777777" w:rsidR="00D97953" w:rsidRPr="00A74D5D" w:rsidRDefault="00D97953" w:rsidP="00D97953">
            <w:pPr>
              <w:spacing w:after="0" w:line="300" w:lineRule="exact"/>
              <w:rPr>
                <w:rFonts w:ascii="Calibri" w:eastAsia="Times New Roman" w:hAnsi="Calibri" w:cs="Arial"/>
                <w:b/>
                <w:bCs/>
                <w:sz w:val="20"/>
                <w:szCs w:val="20"/>
                <w:lang w:val="en-US"/>
              </w:rPr>
            </w:pPr>
            <w:r w:rsidRPr="00A74D5D">
              <w:rPr>
                <w:rFonts w:ascii="Calibri" w:eastAsia="Times New Roman" w:hAnsi="Calibri" w:cs="Arial"/>
                <w:b/>
                <w:bCs/>
                <w:sz w:val="20"/>
                <w:szCs w:val="20"/>
                <w:lang w:val="en-US"/>
              </w:rPr>
              <w:t>Total assets</w:t>
            </w:r>
          </w:p>
        </w:tc>
        <w:tc>
          <w:tcPr>
            <w:tcW w:w="1275" w:type="dxa"/>
            <w:tcBorders>
              <w:top w:val="single" w:sz="4" w:space="0" w:color="auto"/>
              <w:left w:val="nil"/>
              <w:bottom w:val="single" w:sz="12" w:space="0" w:color="auto"/>
              <w:right w:val="nil"/>
            </w:tcBorders>
            <w:shd w:val="clear" w:color="auto" w:fill="auto"/>
            <w:noWrap/>
            <w:vAlign w:val="bottom"/>
          </w:tcPr>
          <w:p w14:paraId="74394FF0" w14:textId="29C400F6" w:rsidR="00D97953" w:rsidRPr="00A74D5D" w:rsidRDefault="00D97953" w:rsidP="00D97953">
            <w:pPr>
              <w:spacing w:after="0" w:line="300" w:lineRule="exact"/>
              <w:jc w:val="right"/>
              <w:rPr>
                <w:rFonts w:ascii="Calibri" w:eastAsia="Times New Roman" w:hAnsi="Calibri" w:cs="Arial"/>
                <w:b/>
                <w:sz w:val="20"/>
                <w:szCs w:val="20"/>
                <w:lang w:val="en-US"/>
              </w:rPr>
            </w:pPr>
            <w:r w:rsidRPr="00E85594">
              <w:rPr>
                <w:rFonts w:cs="Arial"/>
                <w:b/>
                <w:color w:val="000000" w:themeColor="text1"/>
                <w:sz w:val="20"/>
                <w:szCs w:val="20"/>
              </w:rPr>
              <w:t>27.722.703</w:t>
            </w:r>
          </w:p>
        </w:tc>
        <w:tc>
          <w:tcPr>
            <w:tcW w:w="1418" w:type="dxa"/>
            <w:tcBorders>
              <w:top w:val="single" w:sz="4" w:space="0" w:color="auto"/>
              <w:left w:val="nil"/>
              <w:bottom w:val="single" w:sz="12" w:space="0" w:color="auto"/>
              <w:right w:val="nil"/>
            </w:tcBorders>
            <w:shd w:val="clear" w:color="auto" w:fill="auto"/>
            <w:noWrap/>
            <w:vAlign w:val="bottom"/>
          </w:tcPr>
          <w:p w14:paraId="55BC8EAA" w14:textId="59C839BB" w:rsidR="00D97953" w:rsidRPr="00A74D5D" w:rsidRDefault="00D97953" w:rsidP="00D97953">
            <w:pPr>
              <w:spacing w:after="0" w:line="300" w:lineRule="exact"/>
              <w:jc w:val="right"/>
              <w:rPr>
                <w:rFonts w:ascii="Calibri" w:eastAsia="Times New Roman" w:hAnsi="Calibri" w:cs="Arial"/>
                <w:b/>
                <w:sz w:val="20"/>
                <w:szCs w:val="20"/>
                <w:lang w:val="en-US"/>
              </w:rPr>
            </w:pPr>
            <w:r w:rsidRPr="00E85594">
              <w:rPr>
                <w:rFonts w:cs="Arial"/>
                <w:b/>
                <w:color w:val="000000" w:themeColor="text1"/>
                <w:sz w:val="20"/>
                <w:szCs w:val="20"/>
              </w:rPr>
              <w:t>64.008</w:t>
            </w:r>
          </w:p>
        </w:tc>
        <w:tc>
          <w:tcPr>
            <w:tcW w:w="1134" w:type="dxa"/>
            <w:tcBorders>
              <w:top w:val="single" w:sz="4" w:space="0" w:color="auto"/>
              <w:left w:val="nil"/>
              <w:bottom w:val="single" w:sz="12" w:space="0" w:color="auto"/>
              <w:right w:val="nil"/>
            </w:tcBorders>
            <w:shd w:val="clear" w:color="auto" w:fill="auto"/>
            <w:noWrap/>
            <w:vAlign w:val="bottom"/>
          </w:tcPr>
          <w:p w14:paraId="3DB9FFED" w14:textId="61E2DC0A" w:rsidR="00D97953" w:rsidRPr="00A74D5D" w:rsidRDefault="00D97953" w:rsidP="00D97953">
            <w:pPr>
              <w:spacing w:after="0" w:line="300" w:lineRule="exact"/>
              <w:jc w:val="right"/>
              <w:rPr>
                <w:rFonts w:ascii="Calibri" w:eastAsia="Times New Roman" w:hAnsi="Calibri" w:cs="Arial"/>
                <w:b/>
                <w:sz w:val="20"/>
                <w:szCs w:val="20"/>
                <w:lang w:val="en-US"/>
              </w:rPr>
            </w:pPr>
            <w:r w:rsidRPr="00E85594">
              <w:rPr>
                <w:rFonts w:cs="Arial"/>
                <w:b/>
                <w:color w:val="000000" w:themeColor="text1"/>
                <w:sz w:val="20"/>
                <w:szCs w:val="20"/>
              </w:rPr>
              <w:t>1.284</w:t>
            </w:r>
          </w:p>
        </w:tc>
        <w:tc>
          <w:tcPr>
            <w:tcW w:w="1309" w:type="dxa"/>
            <w:tcBorders>
              <w:top w:val="single" w:sz="4" w:space="0" w:color="auto"/>
              <w:left w:val="nil"/>
              <w:bottom w:val="single" w:sz="12" w:space="0" w:color="auto"/>
              <w:right w:val="nil"/>
            </w:tcBorders>
            <w:shd w:val="clear" w:color="auto" w:fill="auto"/>
            <w:noWrap/>
            <w:vAlign w:val="bottom"/>
          </w:tcPr>
          <w:p w14:paraId="239BFDB8" w14:textId="0E382C0F" w:rsidR="00D97953" w:rsidRPr="00A74D5D" w:rsidRDefault="00D97953" w:rsidP="00D97953">
            <w:pPr>
              <w:spacing w:after="0" w:line="300" w:lineRule="exact"/>
              <w:jc w:val="right"/>
              <w:rPr>
                <w:rFonts w:ascii="Calibri" w:eastAsia="Times New Roman" w:hAnsi="Calibri" w:cs="Arial"/>
                <w:b/>
                <w:sz w:val="20"/>
                <w:szCs w:val="20"/>
                <w:lang w:val="en-US"/>
              </w:rPr>
            </w:pPr>
            <w:r w:rsidRPr="00E85594">
              <w:rPr>
                <w:rFonts w:cs="Arial"/>
                <w:b/>
                <w:color w:val="000000" w:themeColor="text1"/>
                <w:sz w:val="20"/>
                <w:szCs w:val="20"/>
              </w:rPr>
              <w:t>(36.654)</w:t>
            </w:r>
          </w:p>
        </w:tc>
        <w:tc>
          <w:tcPr>
            <w:tcW w:w="1134" w:type="dxa"/>
            <w:tcBorders>
              <w:top w:val="single" w:sz="4" w:space="0" w:color="auto"/>
              <w:left w:val="nil"/>
              <w:bottom w:val="single" w:sz="12" w:space="0" w:color="auto"/>
              <w:right w:val="nil"/>
            </w:tcBorders>
            <w:shd w:val="clear" w:color="auto" w:fill="auto"/>
            <w:noWrap/>
            <w:vAlign w:val="bottom"/>
          </w:tcPr>
          <w:p w14:paraId="32612E6C" w14:textId="2173A57E" w:rsidR="00D97953" w:rsidRPr="00A74D5D" w:rsidRDefault="00D97953" w:rsidP="00D97953">
            <w:pPr>
              <w:spacing w:after="0" w:line="300" w:lineRule="exact"/>
              <w:jc w:val="right"/>
              <w:rPr>
                <w:rFonts w:ascii="Calibri" w:eastAsia="Times New Roman" w:hAnsi="Calibri" w:cs="Arial"/>
                <w:b/>
                <w:sz w:val="20"/>
                <w:szCs w:val="20"/>
                <w:lang w:val="en-US"/>
              </w:rPr>
            </w:pPr>
            <w:r w:rsidRPr="00E85594">
              <w:rPr>
                <w:rFonts w:cs="Arial"/>
                <w:b/>
                <w:color w:val="000000" w:themeColor="text1"/>
                <w:sz w:val="20"/>
                <w:szCs w:val="20"/>
              </w:rPr>
              <w:t>27.751.341</w:t>
            </w:r>
          </w:p>
        </w:tc>
      </w:tr>
      <w:tr w:rsidR="00D97953" w:rsidRPr="00A74D5D" w14:paraId="5D90015D" w14:textId="77777777" w:rsidTr="00456F9A">
        <w:trPr>
          <w:trHeight w:val="121"/>
        </w:trPr>
        <w:tc>
          <w:tcPr>
            <w:tcW w:w="3369" w:type="dxa"/>
            <w:tcBorders>
              <w:left w:val="nil"/>
              <w:bottom w:val="nil"/>
              <w:right w:val="nil"/>
            </w:tcBorders>
            <w:shd w:val="clear" w:color="auto" w:fill="auto"/>
            <w:vAlign w:val="bottom"/>
          </w:tcPr>
          <w:p w14:paraId="60F34791" w14:textId="77777777" w:rsidR="00D97953" w:rsidRPr="00A74D5D" w:rsidRDefault="00D97953" w:rsidP="00D97953">
            <w:pPr>
              <w:spacing w:after="0" w:line="140" w:lineRule="exact"/>
              <w:rPr>
                <w:rFonts w:ascii="Calibri" w:eastAsia="Times New Roman" w:hAnsi="Calibri" w:cs="Arial"/>
                <w:sz w:val="20"/>
                <w:szCs w:val="20"/>
                <w:lang w:val="en-US"/>
              </w:rPr>
            </w:pPr>
          </w:p>
        </w:tc>
        <w:tc>
          <w:tcPr>
            <w:tcW w:w="1275" w:type="dxa"/>
            <w:tcBorders>
              <w:top w:val="single" w:sz="12" w:space="0" w:color="auto"/>
              <w:left w:val="nil"/>
              <w:bottom w:val="nil"/>
              <w:right w:val="nil"/>
            </w:tcBorders>
            <w:shd w:val="clear" w:color="auto" w:fill="auto"/>
            <w:noWrap/>
            <w:vAlign w:val="bottom"/>
          </w:tcPr>
          <w:p w14:paraId="700D75C4" w14:textId="77777777" w:rsidR="00D97953" w:rsidRPr="00A74D5D" w:rsidRDefault="00D97953" w:rsidP="00D97953">
            <w:pPr>
              <w:spacing w:after="0" w:line="140" w:lineRule="exact"/>
              <w:jc w:val="right"/>
              <w:rPr>
                <w:rFonts w:ascii="Calibri" w:eastAsia="Times New Roman" w:hAnsi="Calibri" w:cs="Arial"/>
                <w:sz w:val="20"/>
                <w:szCs w:val="20"/>
                <w:lang w:val="en-US"/>
              </w:rPr>
            </w:pPr>
          </w:p>
        </w:tc>
        <w:tc>
          <w:tcPr>
            <w:tcW w:w="1418" w:type="dxa"/>
            <w:tcBorders>
              <w:top w:val="single" w:sz="12" w:space="0" w:color="auto"/>
              <w:left w:val="nil"/>
              <w:bottom w:val="nil"/>
              <w:right w:val="nil"/>
            </w:tcBorders>
            <w:shd w:val="clear" w:color="auto" w:fill="auto"/>
            <w:noWrap/>
            <w:vAlign w:val="bottom"/>
          </w:tcPr>
          <w:p w14:paraId="4F6BD637" w14:textId="77777777" w:rsidR="00D97953" w:rsidRPr="00A74D5D" w:rsidRDefault="00D97953" w:rsidP="00D97953">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7705D91D" w14:textId="77777777" w:rsidR="00D97953" w:rsidRPr="00A74D5D" w:rsidRDefault="00D97953" w:rsidP="00D97953">
            <w:pPr>
              <w:spacing w:after="0" w:line="140" w:lineRule="exact"/>
              <w:jc w:val="right"/>
              <w:rPr>
                <w:rFonts w:ascii="Calibri" w:eastAsia="Times New Roman" w:hAnsi="Calibri" w:cs="Arial"/>
                <w:sz w:val="20"/>
                <w:szCs w:val="20"/>
                <w:lang w:val="en-US"/>
              </w:rPr>
            </w:pPr>
          </w:p>
        </w:tc>
        <w:tc>
          <w:tcPr>
            <w:tcW w:w="1309" w:type="dxa"/>
            <w:tcBorders>
              <w:top w:val="single" w:sz="12" w:space="0" w:color="auto"/>
              <w:left w:val="nil"/>
              <w:bottom w:val="nil"/>
              <w:right w:val="nil"/>
            </w:tcBorders>
            <w:shd w:val="clear" w:color="auto" w:fill="auto"/>
            <w:noWrap/>
            <w:vAlign w:val="bottom"/>
          </w:tcPr>
          <w:p w14:paraId="36672546" w14:textId="77777777" w:rsidR="00D97953" w:rsidRPr="00A74D5D" w:rsidRDefault="00D97953" w:rsidP="00D97953">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2E0DAC19" w14:textId="77777777" w:rsidR="00D97953" w:rsidRPr="00A74D5D" w:rsidRDefault="00D97953" w:rsidP="00D97953">
            <w:pPr>
              <w:spacing w:after="0" w:line="140" w:lineRule="exact"/>
              <w:jc w:val="right"/>
              <w:rPr>
                <w:rFonts w:ascii="Calibri" w:eastAsia="Times New Roman" w:hAnsi="Calibri" w:cs="Arial"/>
                <w:sz w:val="20"/>
                <w:szCs w:val="20"/>
                <w:lang w:val="en-US"/>
              </w:rPr>
            </w:pPr>
          </w:p>
        </w:tc>
      </w:tr>
      <w:tr w:rsidR="00D97953" w:rsidRPr="00A74D5D" w14:paraId="3B8D7BC8" w14:textId="77777777" w:rsidTr="00A1123E">
        <w:trPr>
          <w:trHeight w:val="300"/>
        </w:trPr>
        <w:tc>
          <w:tcPr>
            <w:tcW w:w="3369" w:type="dxa"/>
            <w:tcBorders>
              <w:top w:val="nil"/>
              <w:left w:val="nil"/>
              <w:bottom w:val="nil"/>
              <w:right w:val="nil"/>
            </w:tcBorders>
            <w:shd w:val="clear" w:color="auto" w:fill="auto"/>
            <w:vAlign w:val="bottom"/>
          </w:tcPr>
          <w:p w14:paraId="78913528" w14:textId="77777777" w:rsidR="00D97953" w:rsidRPr="00A74D5D" w:rsidRDefault="00D97953" w:rsidP="00D97953">
            <w:pPr>
              <w:spacing w:after="0" w:line="300" w:lineRule="exact"/>
              <w:rPr>
                <w:rFonts w:ascii="Calibri" w:eastAsia="Times New Roman" w:hAnsi="Calibri" w:cs="Arial"/>
                <w:sz w:val="20"/>
                <w:szCs w:val="20"/>
                <w:lang w:val="en-US"/>
              </w:rPr>
            </w:pPr>
            <w:r w:rsidRPr="00A74D5D">
              <w:rPr>
                <w:rFonts w:ascii="Calibri" w:eastAsia="Times New Roman" w:hAnsi="Calibri" w:cs="Arial"/>
                <w:sz w:val="20"/>
                <w:szCs w:val="20"/>
                <w:lang w:val="en-US"/>
              </w:rPr>
              <w:t>Liabilities of segment</w:t>
            </w:r>
          </w:p>
        </w:tc>
        <w:tc>
          <w:tcPr>
            <w:tcW w:w="1275" w:type="dxa"/>
            <w:shd w:val="clear" w:color="auto" w:fill="auto"/>
            <w:noWrap/>
            <w:vAlign w:val="bottom"/>
          </w:tcPr>
          <w:p w14:paraId="75B140B4" w14:textId="00B76787" w:rsidR="00D97953" w:rsidRPr="00A74D5D" w:rsidRDefault="00D97953" w:rsidP="00D97953">
            <w:pPr>
              <w:spacing w:after="0" w:line="300" w:lineRule="exact"/>
              <w:jc w:val="right"/>
              <w:rPr>
                <w:rFonts w:ascii="Calibri" w:eastAsia="Times New Roman" w:hAnsi="Calibri" w:cs="Arial"/>
                <w:sz w:val="20"/>
                <w:szCs w:val="20"/>
                <w:lang w:val="en-US"/>
              </w:rPr>
            </w:pPr>
            <w:r w:rsidRPr="00E85594">
              <w:rPr>
                <w:rFonts w:cs="Arial"/>
                <w:color w:val="000000" w:themeColor="text1"/>
                <w:sz w:val="20"/>
                <w:szCs w:val="20"/>
              </w:rPr>
              <w:t>16.950.118</w:t>
            </w:r>
          </w:p>
        </w:tc>
        <w:tc>
          <w:tcPr>
            <w:tcW w:w="1418" w:type="dxa"/>
            <w:shd w:val="clear" w:color="auto" w:fill="auto"/>
            <w:noWrap/>
            <w:vAlign w:val="bottom"/>
          </w:tcPr>
          <w:p w14:paraId="2C0C3F4A" w14:textId="276AEC87" w:rsidR="00D97953" w:rsidRPr="00A74D5D" w:rsidRDefault="00D97953" w:rsidP="00D97953">
            <w:pPr>
              <w:spacing w:after="0" w:line="300" w:lineRule="exact"/>
              <w:jc w:val="right"/>
              <w:rPr>
                <w:rFonts w:ascii="Calibri" w:eastAsia="Times New Roman" w:hAnsi="Calibri" w:cs="Arial"/>
                <w:sz w:val="20"/>
                <w:szCs w:val="20"/>
                <w:lang w:val="en-US"/>
              </w:rPr>
            </w:pPr>
            <w:r w:rsidRPr="00E85594">
              <w:rPr>
                <w:rFonts w:cs="Arial"/>
                <w:color w:val="000000" w:themeColor="text1"/>
                <w:sz w:val="20"/>
                <w:szCs w:val="20"/>
              </w:rPr>
              <w:t>22.799</w:t>
            </w:r>
          </w:p>
        </w:tc>
        <w:tc>
          <w:tcPr>
            <w:tcW w:w="1134" w:type="dxa"/>
            <w:shd w:val="clear" w:color="auto" w:fill="auto"/>
            <w:noWrap/>
            <w:vAlign w:val="bottom"/>
          </w:tcPr>
          <w:p w14:paraId="6CE4C422" w14:textId="556D1A71" w:rsidR="00D97953" w:rsidRPr="00A74D5D" w:rsidRDefault="00D97953" w:rsidP="00D97953">
            <w:pPr>
              <w:spacing w:after="0" w:line="300" w:lineRule="exact"/>
              <w:jc w:val="right"/>
              <w:rPr>
                <w:rFonts w:ascii="Calibri" w:eastAsia="Times New Roman" w:hAnsi="Calibri" w:cs="Arial"/>
                <w:sz w:val="20"/>
                <w:szCs w:val="20"/>
                <w:lang w:val="en-US"/>
              </w:rPr>
            </w:pPr>
            <w:r w:rsidRPr="00E85594">
              <w:rPr>
                <w:rFonts w:cs="Arial"/>
                <w:color w:val="000000" w:themeColor="text1"/>
                <w:sz w:val="20"/>
                <w:szCs w:val="20"/>
              </w:rPr>
              <w:t>163</w:t>
            </w:r>
          </w:p>
        </w:tc>
        <w:tc>
          <w:tcPr>
            <w:tcW w:w="1309" w:type="dxa"/>
            <w:shd w:val="clear" w:color="auto" w:fill="auto"/>
            <w:noWrap/>
            <w:vAlign w:val="bottom"/>
          </w:tcPr>
          <w:p w14:paraId="1F454CC8" w14:textId="678E9759" w:rsidR="00D97953" w:rsidRPr="00A74D5D" w:rsidRDefault="00D97953" w:rsidP="00D97953">
            <w:pPr>
              <w:spacing w:after="0" w:line="300" w:lineRule="exact"/>
              <w:jc w:val="right"/>
              <w:rPr>
                <w:rFonts w:ascii="Calibri" w:eastAsia="Times New Roman" w:hAnsi="Calibri" w:cs="Arial"/>
                <w:sz w:val="20"/>
                <w:szCs w:val="20"/>
                <w:lang w:val="en-US"/>
              </w:rPr>
            </w:pPr>
            <w:r w:rsidRPr="00E85594">
              <w:rPr>
                <w:rFonts w:cs="Arial"/>
                <w:color w:val="000000" w:themeColor="text1"/>
                <w:sz w:val="20"/>
                <w:szCs w:val="20"/>
              </w:rPr>
              <w:t>(28)</w:t>
            </w:r>
          </w:p>
        </w:tc>
        <w:tc>
          <w:tcPr>
            <w:tcW w:w="1134" w:type="dxa"/>
            <w:shd w:val="clear" w:color="auto" w:fill="auto"/>
            <w:noWrap/>
            <w:vAlign w:val="bottom"/>
          </w:tcPr>
          <w:p w14:paraId="409F5505" w14:textId="1884965A" w:rsidR="00D97953" w:rsidRPr="00A74D5D" w:rsidRDefault="00D97953" w:rsidP="00D97953">
            <w:pPr>
              <w:spacing w:after="0" w:line="300" w:lineRule="exact"/>
              <w:jc w:val="right"/>
              <w:rPr>
                <w:rFonts w:ascii="Calibri" w:eastAsia="Times New Roman" w:hAnsi="Calibri" w:cs="Arial"/>
                <w:sz w:val="20"/>
                <w:szCs w:val="20"/>
                <w:lang w:val="en-US"/>
              </w:rPr>
            </w:pPr>
            <w:r w:rsidRPr="00E85594">
              <w:rPr>
                <w:rFonts w:cs="Arial"/>
                <w:color w:val="000000" w:themeColor="text1"/>
                <w:sz w:val="20"/>
                <w:szCs w:val="20"/>
              </w:rPr>
              <w:t>16.973.052</w:t>
            </w:r>
          </w:p>
        </w:tc>
      </w:tr>
      <w:tr w:rsidR="00D97953" w:rsidRPr="00A74D5D" w14:paraId="075316E8" w14:textId="77777777" w:rsidTr="00A1123E">
        <w:trPr>
          <w:trHeight w:val="300"/>
        </w:trPr>
        <w:tc>
          <w:tcPr>
            <w:tcW w:w="3369" w:type="dxa"/>
            <w:tcBorders>
              <w:top w:val="nil"/>
              <w:left w:val="nil"/>
              <w:right w:val="nil"/>
            </w:tcBorders>
            <w:shd w:val="clear" w:color="auto" w:fill="auto"/>
            <w:vAlign w:val="bottom"/>
          </w:tcPr>
          <w:p w14:paraId="3DD26EC3" w14:textId="77777777" w:rsidR="00D97953" w:rsidRPr="00A74D5D" w:rsidRDefault="00D97953" w:rsidP="00D97953">
            <w:pPr>
              <w:spacing w:after="0" w:line="300" w:lineRule="exact"/>
              <w:rPr>
                <w:rFonts w:ascii="Calibri" w:eastAsia="Times New Roman" w:hAnsi="Calibri" w:cs="Arial"/>
                <w:sz w:val="20"/>
                <w:szCs w:val="20"/>
                <w:lang w:val="en-US"/>
              </w:rPr>
            </w:pPr>
            <w:r w:rsidRPr="00A74D5D">
              <w:rPr>
                <w:rFonts w:ascii="Calibri" w:eastAsia="Times New Roman" w:hAnsi="Calibri" w:cs="Arial"/>
                <w:sz w:val="20"/>
                <w:szCs w:val="20"/>
                <w:lang w:val="en-US"/>
              </w:rPr>
              <w:t>Total equity</w:t>
            </w:r>
          </w:p>
        </w:tc>
        <w:tc>
          <w:tcPr>
            <w:tcW w:w="1275" w:type="dxa"/>
            <w:tcBorders>
              <w:top w:val="nil"/>
              <w:left w:val="nil"/>
              <w:bottom w:val="single" w:sz="4" w:space="0" w:color="auto"/>
              <w:right w:val="nil"/>
            </w:tcBorders>
            <w:shd w:val="clear" w:color="auto" w:fill="auto"/>
            <w:noWrap/>
            <w:vAlign w:val="bottom"/>
          </w:tcPr>
          <w:p w14:paraId="4CF01724" w14:textId="64B6B255" w:rsidR="00D97953" w:rsidRPr="00A74D5D" w:rsidRDefault="00D97953" w:rsidP="00D97953">
            <w:pPr>
              <w:spacing w:after="0" w:line="300" w:lineRule="exact"/>
              <w:jc w:val="right"/>
              <w:rPr>
                <w:rFonts w:ascii="Calibri" w:eastAsia="Times New Roman" w:hAnsi="Calibri" w:cs="Arial"/>
                <w:sz w:val="20"/>
                <w:szCs w:val="20"/>
                <w:lang w:val="en-US"/>
              </w:rPr>
            </w:pPr>
            <w:r w:rsidRPr="00E85594">
              <w:rPr>
                <w:rFonts w:cs="Arial"/>
                <w:color w:val="000000" w:themeColor="text1"/>
                <w:sz w:val="20"/>
                <w:szCs w:val="20"/>
              </w:rPr>
              <w:t>10.772.585</w:t>
            </w:r>
          </w:p>
        </w:tc>
        <w:tc>
          <w:tcPr>
            <w:tcW w:w="1418" w:type="dxa"/>
            <w:tcBorders>
              <w:top w:val="nil"/>
              <w:left w:val="nil"/>
              <w:bottom w:val="single" w:sz="4" w:space="0" w:color="auto"/>
              <w:right w:val="nil"/>
            </w:tcBorders>
            <w:shd w:val="clear" w:color="auto" w:fill="auto"/>
            <w:noWrap/>
            <w:vAlign w:val="bottom"/>
          </w:tcPr>
          <w:p w14:paraId="31B493ED" w14:textId="07E34759" w:rsidR="00D97953" w:rsidRPr="00A74D5D" w:rsidRDefault="00D97953" w:rsidP="00D97953">
            <w:pPr>
              <w:spacing w:after="0" w:line="300" w:lineRule="exact"/>
              <w:jc w:val="right"/>
              <w:rPr>
                <w:rFonts w:ascii="Calibri" w:eastAsia="Times New Roman" w:hAnsi="Calibri" w:cs="Arial"/>
                <w:sz w:val="20"/>
                <w:szCs w:val="20"/>
                <w:lang w:val="en-US"/>
              </w:rPr>
            </w:pPr>
            <w:r w:rsidRPr="00E85594">
              <w:rPr>
                <w:rFonts w:cs="Arial"/>
                <w:color w:val="000000" w:themeColor="text1"/>
                <w:sz w:val="20"/>
                <w:szCs w:val="20"/>
              </w:rPr>
              <w:t>3.692</w:t>
            </w:r>
          </w:p>
        </w:tc>
        <w:tc>
          <w:tcPr>
            <w:tcW w:w="1134" w:type="dxa"/>
            <w:tcBorders>
              <w:top w:val="nil"/>
              <w:left w:val="nil"/>
              <w:bottom w:val="single" w:sz="4" w:space="0" w:color="auto"/>
              <w:right w:val="nil"/>
            </w:tcBorders>
            <w:shd w:val="clear" w:color="auto" w:fill="auto"/>
            <w:noWrap/>
            <w:vAlign w:val="bottom"/>
          </w:tcPr>
          <w:p w14:paraId="779BA863" w14:textId="47DA6F1A" w:rsidR="00D97953" w:rsidRPr="00A74D5D" w:rsidRDefault="00D97953" w:rsidP="00D97953">
            <w:pPr>
              <w:spacing w:after="0" w:line="300" w:lineRule="exact"/>
              <w:jc w:val="right"/>
              <w:rPr>
                <w:rFonts w:ascii="Calibri" w:eastAsia="Times New Roman" w:hAnsi="Calibri" w:cs="Arial"/>
                <w:sz w:val="20"/>
                <w:szCs w:val="20"/>
                <w:lang w:val="en-US"/>
              </w:rPr>
            </w:pPr>
            <w:r w:rsidRPr="00E85594">
              <w:rPr>
                <w:rFonts w:cs="Arial"/>
                <w:color w:val="000000" w:themeColor="text1"/>
                <w:sz w:val="20"/>
                <w:szCs w:val="20"/>
              </w:rPr>
              <w:t>838</w:t>
            </w:r>
          </w:p>
        </w:tc>
        <w:tc>
          <w:tcPr>
            <w:tcW w:w="1309" w:type="dxa"/>
            <w:tcBorders>
              <w:top w:val="nil"/>
              <w:left w:val="nil"/>
              <w:bottom w:val="single" w:sz="4" w:space="0" w:color="auto"/>
              <w:right w:val="nil"/>
            </w:tcBorders>
            <w:shd w:val="clear" w:color="auto" w:fill="auto"/>
            <w:noWrap/>
            <w:vAlign w:val="bottom"/>
          </w:tcPr>
          <w:p w14:paraId="2997CE22" w14:textId="6D349E18" w:rsidR="00D97953" w:rsidRPr="00A74D5D" w:rsidRDefault="00D97953" w:rsidP="00D97953">
            <w:pPr>
              <w:spacing w:after="0" w:line="300" w:lineRule="exact"/>
              <w:jc w:val="right"/>
              <w:rPr>
                <w:rFonts w:ascii="Calibri" w:eastAsia="Times New Roman" w:hAnsi="Calibri" w:cs="Arial"/>
                <w:sz w:val="20"/>
                <w:szCs w:val="20"/>
                <w:lang w:val="en-US"/>
              </w:rPr>
            </w:pPr>
            <w:r w:rsidRPr="00E85594">
              <w:rPr>
                <w:rFonts w:cs="Arial"/>
                <w:color w:val="000000" w:themeColor="text1"/>
                <w:sz w:val="20"/>
                <w:szCs w:val="20"/>
              </w:rPr>
              <w:t>1.174</w:t>
            </w:r>
          </w:p>
        </w:tc>
        <w:tc>
          <w:tcPr>
            <w:tcW w:w="1134" w:type="dxa"/>
            <w:tcBorders>
              <w:top w:val="nil"/>
              <w:left w:val="nil"/>
              <w:bottom w:val="single" w:sz="4" w:space="0" w:color="auto"/>
              <w:right w:val="nil"/>
            </w:tcBorders>
            <w:shd w:val="clear" w:color="auto" w:fill="auto"/>
            <w:noWrap/>
            <w:vAlign w:val="bottom"/>
          </w:tcPr>
          <w:p w14:paraId="3FCBC50B" w14:textId="5B98C547" w:rsidR="00D97953" w:rsidRPr="00A74D5D" w:rsidRDefault="00D97953" w:rsidP="00D97953">
            <w:pPr>
              <w:spacing w:after="0" w:line="300" w:lineRule="exact"/>
              <w:jc w:val="right"/>
              <w:rPr>
                <w:rFonts w:ascii="Calibri" w:eastAsia="Times New Roman" w:hAnsi="Calibri" w:cs="Arial"/>
                <w:sz w:val="20"/>
                <w:szCs w:val="20"/>
                <w:lang w:val="en-US"/>
              </w:rPr>
            </w:pPr>
            <w:r w:rsidRPr="00E85594">
              <w:rPr>
                <w:rFonts w:cs="Arial"/>
                <w:color w:val="000000" w:themeColor="text1"/>
                <w:sz w:val="20"/>
                <w:szCs w:val="20"/>
              </w:rPr>
              <w:t>10.778.289</w:t>
            </w:r>
          </w:p>
        </w:tc>
      </w:tr>
      <w:tr w:rsidR="00D97953" w:rsidRPr="00A74D5D" w14:paraId="06E84FBC" w14:textId="77777777" w:rsidTr="00456F9A">
        <w:trPr>
          <w:trHeight w:val="315"/>
        </w:trPr>
        <w:tc>
          <w:tcPr>
            <w:tcW w:w="3369" w:type="dxa"/>
            <w:tcBorders>
              <w:left w:val="nil"/>
              <w:right w:val="nil"/>
            </w:tcBorders>
            <w:shd w:val="clear" w:color="auto" w:fill="auto"/>
            <w:vAlign w:val="bottom"/>
          </w:tcPr>
          <w:p w14:paraId="19A288F1" w14:textId="77777777" w:rsidR="00D97953" w:rsidRPr="00A74D5D" w:rsidRDefault="00D97953" w:rsidP="00D97953">
            <w:pPr>
              <w:spacing w:after="0" w:line="300" w:lineRule="exact"/>
              <w:rPr>
                <w:rFonts w:ascii="Calibri" w:eastAsia="Times New Roman" w:hAnsi="Calibri" w:cs="Arial"/>
                <w:b/>
                <w:bCs/>
                <w:sz w:val="20"/>
                <w:szCs w:val="20"/>
                <w:lang w:val="en-US"/>
              </w:rPr>
            </w:pPr>
            <w:r w:rsidRPr="00A74D5D">
              <w:rPr>
                <w:rFonts w:ascii="Calibri" w:eastAsia="Times New Roman" w:hAnsi="Calibri" w:cs="Arial"/>
                <w:b/>
                <w:bCs/>
                <w:sz w:val="20"/>
                <w:szCs w:val="20"/>
                <w:lang w:val="en-US"/>
              </w:rPr>
              <w:t>Total liabilities and total equity</w:t>
            </w:r>
          </w:p>
        </w:tc>
        <w:tc>
          <w:tcPr>
            <w:tcW w:w="1275" w:type="dxa"/>
            <w:tcBorders>
              <w:top w:val="single" w:sz="4" w:space="0" w:color="auto"/>
              <w:left w:val="nil"/>
              <w:bottom w:val="single" w:sz="12" w:space="0" w:color="auto"/>
              <w:right w:val="nil"/>
            </w:tcBorders>
            <w:shd w:val="clear" w:color="auto" w:fill="auto"/>
            <w:noWrap/>
            <w:vAlign w:val="bottom"/>
          </w:tcPr>
          <w:p w14:paraId="0B6C440B" w14:textId="557EFD00" w:rsidR="00D97953" w:rsidRPr="00A74D5D" w:rsidRDefault="00D97953" w:rsidP="00D97953">
            <w:pPr>
              <w:spacing w:after="0" w:line="300" w:lineRule="exact"/>
              <w:jc w:val="right"/>
              <w:rPr>
                <w:rFonts w:ascii="Calibri" w:eastAsia="Times New Roman" w:hAnsi="Calibri" w:cs="Arial"/>
                <w:b/>
                <w:bCs/>
                <w:sz w:val="20"/>
                <w:szCs w:val="20"/>
                <w:lang w:val="en-US"/>
              </w:rPr>
            </w:pPr>
            <w:r w:rsidRPr="00E85594">
              <w:rPr>
                <w:rFonts w:cs="Arial"/>
                <w:b/>
                <w:bCs/>
                <w:color w:val="000000" w:themeColor="text1"/>
                <w:sz w:val="20"/>
                <w:szCs w:val="20"/>
              </w:rPr>
              <w:t>27.722.703</w:t>
            </w:r>
          </w:p>
        </w:tc>
        <w:tc>
          <w:tcPr>
            <w:tcW w:w="1418" w:type="dxa"/>
            <w:tcBorders>
              <w:top w:val="single" w:sz="4" w:space="0" w:color="auto"/>
              <w:left w:val="nil"/>
              <w:bottom w:val="single" w:sz="12" w:space="0" w:color="auto"/>
              <w:right w:val="nil"/>
            </w:tcBorders>
            <w:shd w:val="clear" w:color="auto" w:fill="auto"/>
            <w:noWrap/>
            <w:vAlign w:val="bottom"/>
          </w:tcPr>
          <w:p w14:paraId="537B2034" w14:textId="7ADC2BAA" w:rsidR="00D97953" w:rsidRPr="00A74D5D" w:rsidRDefault="00D97953" w:rsidP="00D97953">
            <w:pPr>
              <w:spacing w:after="0" w:line="300" w:lineRule="exact"/>
              <w:jc w:val="right"/>
              <w:rPr>
                <w:rFonts w:ascii="Calibri" w:eastAsia="Times New Roman" w:hAnsi="Calibri" w:cs="Arial"/>
                <w:b/>
                <w:bCs/>
                <w:sz w:val="20"/>
                <w:szCs w:val="20"/>
                <w:lang w:val="en-US"/>
              </w:rPr>
            </w:pPr>
            <w:r w:rsidRPr="00E85594">
              <w:rPr>
                <w:rFonts w:cs="Arial"/>
                <w:b/>
                <w:bCs/>
                <w:color w:val="000000" w:themeColor="text1"/>
                <w:sz w:val="20"/>
                <w:szCs w:val="20"/>
              </w:rPr>
              <w:t>26.491</w:t>
            </w:r>
          </w:p>
        </w:tc>
        <w:tc>
          <w:tcPr>
            <w:tcW w:w="1134" w:type="dxa"/>
            <w:tcBorders>
              <w:top w:val="single" w:sz="4" w:space="0" w:color="auto"/>
              <w:left w:val="nil"/>
              <w:bottom w:val="single" w:sz="12" w:space="0" w:color="auto"/>
              <w:right w:val="nil"/>
            </w:tcBorders>
            <w:shd w:val="clear" w:color="auto" w:fill="auto"/>
            <w:noWrap/>
            <w:vAlign w:val="bottom"/>
          </w:tcPr>
          <w:p w14:paraId="358F4C4C" w14:textId="431AE56E" w:rsidR="00D97953" w:rsidRPr="00A74D5D" w:rsidRDefault="00D97953" w:rsidP="00D97953">
            <w:pPr>
              <w:spacing w:after="0" w:line="300" w:lineRule="exact"/>
              <w:jc w:val="right"/>
              <w:rPr>
                <w:rFonts w:ascii="Calibri" w:eastAsia="Times New Roman" w:hAnsi="Calibri" w:cs="Arial"/>
                <w:b/>
                <w:bCs/>
                <w:sz w:val="20"/>
                <w:szCs w:val="20"/>
                <w:lang w:val="en-US"/>
              </w:rPr>
            </w:pPr>
            <w:r w:rsidRPr="00E85594">
              <w:rPr>
                <w:rFonts w:cs="Arial"/>
                <w:b/>
                <w:bCs/>
                <w:color w:val="000000" w:themeColor="text1"/>
                <w:sz w:val="20"/>
                <w:szCs w:val="20"/>
              </w:rPr>
              <w:t>1.001</w:t>
            </w:r>
          </w:p>
        </w:tc>
        <w:tc>
          <w:tcPr>
            <w:tcW w:w="1309" w:type="dxa"/>
            <w:tcBorders>
              <w:top w:val="single" w:sz="4" w:space="0" w:color="auto"/>
              <w:left w:val="nil"/>
              <w:bottom w:val="single" w:sz="12" w:space="0" w:color="auto"/>
              <w:right w:val="nil"/>
            </w:tcBorders>
            <w:shd w:val="clear" w:color="auto" w:fill="auto"/>
            <w:noWrap/>
            <w:vAlign w:val="bottom"/>
          </w:tcPr>
          <w:p w14:paraId="556EDE8B" w14:textId="36F928A0" w:rsidR="00D97953" w:rsidRPr="00A74D5D" w:rsidRDefault="00D97953" w:rsidP="00D97953">
            <w:pPr>
              <w:spacing w:after="0" w:line="300" w:lineRule="exact"/>
              <w:jc w:val="right"/>
              <w:rPr>
                <w:rFonts w:ascii="Calibri" w:eastAsia="Times New Roman" w:hAnsi="Calibri" w:cs="Arial"/>
                <w:b/>
                <w:bCs/>
                <w:sz w:val="20"/>
                <w:szCs w:val="20"/>
                <w:lang w:val="en-US"/>
              </w:rPr>
            </w:pPr>
            <w:r w:rsidRPr="00E85594">
              <w:rPr>
                <w:rFonts w:cs="Arial"/>
                <w:b/>
                <w:bCs/>
                <w:color w:val="000000" w:themeColor="text1"/>
                <w:sz w:val="20"/>
                <w:szCs w:val="20"/>
              </w:rPr>
              <w:t>1.146</w:t>
            </w:r>
          </w:p>
        </w:tc>
        <w:tc>
          <w:tcPr>
            <w:tcW w:w="1134" w:type="dxa"/>
            <w:tcBorders>
              <w:top w:val="single" w:sz="4" w:space="0" w:color="auto"/>
              <w:left w:val="nil"/>
              <w:bottom w:val="single" w:sz="12" w:space="0" w:color="auto"/>
              <w:right w:val="nil"/>
            </w:tcBorders>
            <w:shd w:val="clear" w:color="auto" w:fill="auto"/>
            <w:noWrap/>
            <w:vAlign w:val="bottom"/>
          </w:tcPr>
          <w:p w14:paraId="195C59A8" w14:textId="63A25DAD" w:rsidR="00D97953" w:rsidRPr="00A74D5D" w:rsidRDefault="00D97953" w:rsidP="00D97953">
            <w:pPr>
              <w:spacing w:after="0" w:line="300" w:lineRule="exact"/>
              <w:jc w:val="right"/>
              <w:rPr>
                <w:rFonts w:ascii="Calibri" w:eastAsia="Times New Roman" w:hAnsi="Calibri" w:cs="Arial"/>
                <w:b/>
                <w:bCs/>
                <w:sz w:val="20"/>
                <w:szCs w:val="20"/>
                <w:lang w:val="en-US"/>
              </w:rPr>
            </w:pPr>
            <w:r w:rsidRPr="00E85594">
              <w:rPr>
                <w:rFonts w:cs="Arial"/>
                <w:b/>
                <w:bCs/>
                <w:color w:val="000000" w:themeColor="text1"/>
                <w:sz w:val="20"/>
                <w:szCs w:val="20"/>
              </w:rPr>
              <w:t>27.751.341</w:t>
            </w:r>
          </w:p>
        </w:tc>
      </w:tr>
    </w:tbl>
    <w:p w14:paraId="5E3DA3B5" w14:textId="77777777" w:rsidR="00316ECA" w:rsidRPr="00537128" w:rsidRDefault="00316ECA" w:rsidP="0078512D">
      <w:pPr>
        <w:spacing w:after="0" w:line="240" w:lineRule="auto"/>
        <w:jc w:val="both"/>
        <w:rPr>
          <w:rFonts w:ascii="Calibri" w:eastAsia="Calibri" w:hAnsi="Calibri" w:cs="Arial"/>
          <w:bCs/>
          <w:lang w:val="en-US"/>
        </w:rPr>
      </w:pPr>
    </w:p>
    <w:p w14:paraId="7DBE3E60" w14:textId="77777777" w:rsidR="008F335F" w:rsidRPr="00537128" w:rsidRDefault="008F335F" w:rsidP="008F335F">
      <w:pPr>
        <w:spacing w:after="0" w:line="240" w:lineRule="auto"/>
        <w:jc w:val="both"/>
        <w:rPr>
          <w:rFonts w:ascii="Calibri" w:eastAsia="Times New Roman" w:hAnsi="Calibri" w:cs="Arial"/>
          <w:lang w:val="en-US"/>
        </w:rPr>
      </w:pPr>
      <w:r w:rsidRPr="00537128">
        <w:rPr>
          <w:rFonts w:ascii="Calibri" w:eastAsia="Times New Roman" w:hAnsi="Calibri" w:cs="Arial"/>
          <w:lang w:val="en-US"/>
        </w:rPr>
        <w:t>Intra-group transactions are presented under "Unallocated".</w:t>
      </w:r>
    </w:p>
    <w:p w14:paraId="066BF119" w14:textId="77777777" w:rsidR="008F335F" w:rsidRPr="00537128" w:rsidRDefault="008F335F" w:rsidP="008F335F">
      <w:pPr>
        <w:spacing w:after="0" w:line="240" w:lineRule="auto"/>
        <w:jc w:val="both"/>
        <w:rPr>
          <w:rFonts w:ascii="Calibri" w:eastAsia="Times New Roman" w:hAnsi="Calibri" w:cs="Arial"/>
          <w:lang w:val="en-US"/>
        </w:rPr>
      </w:pPr>
    </w:p>
    <w:p w14:paraId="760D083F" w14:textId="77777777" w:rsidR="008F335F" w:rsidRPr="00537128" w:rsidRDefault="008F335F" w:rsidP="008F335F">
      <w:pPr>
        <w:spacing w:after="0" w:line="240" w:lineRule="auto"/>
        <w:jc w:val="both"/>
        <w:rPr>
          <w:rFonts w:ascii="Calibri" w:eastAsia="Times New Roman" w:hAnsi="Calibri" w:cs="Arial"/>
          <w:lang w:val="en-US"/>
        </w:rPr>
      </w:pPr>
      <w:r w:rsidRPr="00537128">
        <w:rPr>
          <w:rFonts w:ascii="Calibri" w:eastAsia="Times New Roman" w:hAnsi="Calibri" w:cs="Arial"/>
          <w:lang w:val="en-US"/>
        </w:rPr>
        <w:t>The Group decided to apply a simple approach of stating operating segments by taking into consideration the main business model of each member of the Group as previously described in this Note.</w:t>
      </w:r>
    </w:p>
    <w:p w14:paraId="6D02539E" w14:textId="77777777" w:rsidR="008F335F" w:rsidRPr="00537128" w:rsidRDefault="008F335F" w:rsidP="0078512D">
      <w:pPr>
        <w:spacing w:after="0" w:line="240" w:lineRule="auto"/>
        <w:jc w:val="both"/>
        <w:rPr>
          <w:rFonts w:ascii="Calibri" w:eastAsia="Calibri" w:hAnsi="Calibri" w:cs="Arial"/>
          <w:bCs/>
          <w:lang w:val="en-US"/>
        </w:rPr>
      </w:pPr>
    </w:p>
    <w:p w14:paraId="0D4EC29F" w14:textId="77777777" w:rsidR="008F335F" w:rsidRPr="00537128" w:rsidRDefault="008F335F" w:rsidP="0078512D">
      <w:pPr>
        <w:spacing w:after="0" w:line="240" w:lineRule="auto"/>
        <w:jc w:val="both"/>
        <w:rPr>
          <w:rFonts w:ascii="Calibri" w:eastAsia="Calibri" w:hAnsi="Calibri" w:cs="Arial"/>
          <w:bCs/>
          <w:lang w:val="en-US"/>
        </w:rPr>
      </w:pPr>
    </w:p>
    <w:p w14:paraId="218D08BC" w14:textId="77777777" w:rsidR="008F335F" w:rsidRPr="00537128" w:rsidRDefault="008F335F" w:rsidP="0078512D">
      <w:pPr>
        <w:spacing w:after="0" w:line="240" w:lineRule="auto"/>
        <w:jc w:val="both"/>
        <w:rPr>
          <w:rFonts w:ascii="Calibri" w:eastAsia="Calibri" w:hAnsi="Calibri" w:cs="Arial"/>
          <w:bCs/>
          <w:lang w:val="en-US"/>
        </w:rPr>
        <w:sectPr w:rsidR="008F335F" w:rsidRPr="00537128" w:rsidSect="00712478">
          <w:pgSz w:w="11906" w:h="16838"/>
          <w:pgMar w:top="1418" w:right="1134" w:bottom="1418" w:left="1418" w:header="709" w:footer="709" w:gutter="0"/>
          <w:cols w:space="708"/>
          <w:docGrid w:linePitch="360"/>
        </w:sectPr>
      </w:pPr>
    </w:p>
    <w:p w14:paraId="3A94C5E6" w14:textId="77777777" w:rsidR="008F335F" w:rsidRPr="00537128" w:rsidRDefault="008F335F" w:rsidP="008F335F">
      <w:pPr>
        <w:tabs>
          <w:tab w:val="left" w:pos="709"/>
        </w:tabs>
        <w:spacing w:after="0" w:line="240" w:lineRule="auto"/>
        <w:jc w:val="both"/>
        <w:rPr>
          <w:rFonts w:ascii="Calibri" w:eastAsia="Times New Roman" w:hAnsi="Calibri" w:cs="Arial"/>
          <w:b/>
          <w:spacing w:val="-3"/>
          <w:lang w:val="en-US"/>
        </w:rPr>
      </w:pPr>
    </w:p>
    <w:p w14:paraId="7878EBD5" w14:textId="5BCA0639" w:rsidR="008F335F" w:rsidRPr="00537128" w:rsidRDefault="003E09B3" w:rsidP="008F335F">
      <w:pPr>
        <w:tabs>
          <w:tab w:val="left" w:pos="709"/>
        </w:tabs>
        <w:spacing w:after="0" w:line="240" w:lineRule="auto"/>
        <w:jc w:val="both"/>
        <w:rPr>
          <w:rFonts w:ascii="Calibri" w:eastAsia="Times New Roman" w:hAnsi="Calibri" w:cs="Arial"/>
          <w:b/>
          <w:spacing w:val="-3"/>
          <w:lang w:val="en-US"/>
        </w:rPr>
      </w:pPr>
      <w:r w:rsidRPr="00537128">
        <w:rPr>
          <w:rFonts w:ascii="Calibri" w:eastAsia="Times New Roman" w:hAnsi="Calibri" w:cs="Arial"/>
          <w:b/>
          <w:spacing w:val="-3"/>
          <w:lang w:val="en-US"/>
        </w:rPr>
        <w:t>2</w:t>
      </w:r>
      <w:r>
        <w:rPr>
          <w:rFonts w:ascii="Calibri" w:eastAsia="Times New Roman" w:hAnsi="Calibri" w:cs="Arial"/>
          <w:b/>
          <w:spacing w:val="-3"/>
          <w:lang w:val="en-US"/>
        </w:rPr>
        <w:t>5</w:t>
      </w:r>
      <w:r w:rsidR="008F335F" w:rsidRPr="00537128">
        <w:rPr>
          <w:rFonts w:ascii="Calibri" w:eastAsia="Times New Roman" w:hAnsi="Calibri" w:cs="Arial"/>
          <w:b/>
          <w:spacing w:val="-3"/>
          <w:lang w:val="en-US"/>
        </w:rPr>
        <w:t>.</w:t>
      </w:r>
      <w:r w:rsidR="008F335F" w:rsidRPr="00537128">
        <w:rPr>
          <w:rFonts w:ascii="Calibri" w:eastAsia="Times New Roman" w:hAnsi="Calibri" w:cs="Arial"/>
          <w:b/>
          <w:spacing w:val="-3"/>
          <w:lang w:val="en-US"/>
        </w:rPr>
        <w:tab/>
        <w:t>Reporting by segments (continued)</w:t>
      </w:r>
    </w:p>
    <w:p w14:paraId="51FC3E11" w14:textId="77777777" w:rsidR="008F335F" w:rsidRPr="00537128" w:rsidRDefault="008F335F" w:rsidP="008F335F">
      <w:pPr>
        <w:tabs>
          <w:tab w:val="left" w:pos="709"/>
        </w:tabs>
        <w:spacing w:after="0" w:line="240" w:lineRule="auto"/>
        <w:jc w:val="both"/>
        <w:rPr>
          <w:rFonts w:ascii="Calibri" w:eastAsia="Times New Roman" w:hAnsi="Calibri" w:cs="Arial"/>
          <w:b/>
          <w:spacing w:val="-3"/>
          <w:lang w:val="en-US"/>
        </w:rPr>
      </w:pPr>
    </w:p>
    <w:tbl>
      <w:tblPr>
        <w:tblpPr w:leftFromText="181" w:rightFromText="181" w:vertAnchor="text" w:horzAnchor="margin" w:tblpXSpec="center" w:tblpY="1"/>
        <w:tblW w:w="9639" w:type="dxa"/>
        <w:tblLayout w:type="fixed"/>
        <w:tblLook w:val="04A0" w:firstRow="1" w:lastRow="0" w:firstColumn="1" w:lastColumn="0" w:noHBand="0" w:noVBand="1"/>
      </w:tblPr>
      <w:tblGrid>
        <w:gridCol w:w="3369"/>
        <w:gridCol w:w="1275"/>
        <w:gridCol w:w="1418"/>
        <w:gridCol w:w="1134"/>
        <w:gridCol w:w="1309"/>
        <w:gridCol w:w="1134"/>
      </w:tblGrid>
      <w:tr w:rsidR="00456F9A" w:rsidRPr="00537128" w14:paraId="61B5478C" w14:textId="77777777" w:rsidTr="00456F9A">
        <w:trPr>
          <w:trHeight w:val="600"/>
        </w:trPr>
        <w:tc>
          <w:tcPr>
            <w:tcW w:w="3369" w:type="dxa"/>
            <w:tcBorders>
              <w:left w:val="nil"/>
              <w:right w:val="nil"/>
            </w:tcBorders>
            <w:shd w:val="clear" w:color="auto" w:fill="auto"/>
            <w:vAlign w:val="bottom"/>
          </w:tcPr>
          <w:p w14:paraId="1E559745" w14:textId="021F2A68" w:rsidR="00456F9A" w:rsidRPr="00537128" w:rsidRDefault="00456F9A" w:rsidP="00456F9A">
            <w:pPr>
              <w:spacing w:after="0" w:line="300" w:lineRule="exact"/>
              <w:rPr>
                <w:rFonts w:ascii="Calibri" w:eastAsia="Times New Roman" w:hAnsi="Calibri" w:cs="Arial"/>
                <w:b/>
                <w:bCs/>
                <w:sz w:val="20"/>
                <w:szCs w:val="20"/>
                <w:lang w:val="en-US"/>
              </w:rPr>
            </w:pPr>
            <w:r w:rsidRPr="00537128">
              <w:rPr>
                <w:rFonts w:ascii="Calibri" w:eastAsia="Calibri" w:hAnsi="Calibri" w:cs="Calibri"/>
                <w:b/>
                <w:bCs/>
                <w:noProof/>
                <w:sz w:val="20"/>
                <w:szCs w:val="20"/>
                <w:lang w:val="en-US"/>
              </w:rPr>
              <w:t>Jan 1 – Mar 31, 202</w:t>
            </w:r>
            <w:r w:rsidR="004C1234">
              <w:rPr>
                <w:rFonts w:ascii="Calibri" w:eastAsia="Calibri" w:hAnsi="Calibri" w:cs="Calibri"/>
                <w:b/>
                <w:bCs/>
                <w:noProof/>
                <w:sz w:val="20"/>
                <w:szCs w:val="20"/>
                <w:lang w:val="en-US"/>
              </w:rPr>
              <w:t>1</w:t>
            </w:r>
          </w:p>
        </w:tc>
        <w:tc>
          <w:tcPr>
            <w:tcW w:w="1275" w:type="dxa"/>
            <w:tcBorders>
              <w:left w:val="nil"/>
              <w:right w:val="nil"/>
            </w:tcBorders>
            <w:shd w:val="clear" w:color="auto" w:fill="auto"/>
          </w:tcPr>
          <w:p w14:paraId="5498EC0F" w14:textId="77777777" w:rsidR="00456F9A" w:rsidRPr="00537128" w:rsidRDefault="00456F9A" w:rsidP="00456F9A">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Banking activities</w:t>
            </w:r>
          </w:p>
        </w:tc>
        <w:tc>
          <w:tcPr>
            <w:tcW w:w="1418" w:type="dxa"/>
            <w:tcBorders>
              <w:left w:val="nil"/>
              <w:right w:val="nil"/>
            </w:tcBorders>
            <w:shd w:val="clear" w:color="auto" w:fill="auto"/>
          </w:tcPr>
          <w:p w14:paraId="09A4EBEC" w14:textId="77777777" w:rsidR="00456F9A" w:rsidRPr="00537128" w:rsidRDefault="00456F9A" w:rsidP="00456F9A">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Insurance activities</w:t>
            </w:r>
          </w:p>
        </w:tc>
        <w:tc>
          <w:tcPr>
            <w:tcW w:w="1134" w:type="dxa"/>
            <w:tcBorders>
              <w:left w:val="nil"/>
              <w:right w:val="nil"/>
            </w:tcBorders>
            <w:shd w:val="clear" w:color="auto" w:fill="auto"/>
          </w:tcPr>
          <w:p w14:paraId="16FB6280" w14:textId="77777777" w:rsidR="00456F9A" w:rsidRPr="00537128" w:rsidRDefault="00456F9A" w:rsidP="00456F9A">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Other activities</w:t>
            </w:r>
          </w:p>
        </w:tc>
        <w:tc>
          <w:tcPr>
            <w:tcW w:w="1309" w:type="dxa"/>
            <w:tcBorders>
              <w:left w:val="nil"/>
              <w:right w:val="nil"/>
            </w:tcBorders>
            <w:shd w:val="clear" w:color="auto" w:fill="auto"/>
          </w:tcPr>
          <w:p w14:paraId="44FE90F5" w14:textId="77777777" w:rsidR="00456F9A" w:rsidRPr="00537128" w:rsidRDefault="00456F9A" w:rsidP="00456F9A">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Unallocated</w:t>
            </w:r>
          </w:p>
        </w:tc>
        <w:tc>
          <w:tcPr>
            <w:tcW w:w="1134" w:type="dxa"/>
            <w:tcBorders>
              <w:left w:val="nil"/>
              <w:right w:val="nil"/>
            </w:tcBorders>
            <w:shd w:val="clear" w:color="auto" w:fill="auto"/>
          </w:tcPr>
          <w:p w14:paraId="750BD347" w14:textId="77777777" w:rsidR="00456F9A" w:rsidRPr="00537128" w:rsidRDefault="00456F9A" w:rsidP="00456F9A">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Total</w:t>
            </w:r>
          </w:p>
        </w:tc>
      </w:tr>
      <w:tr w:rsidR="00456F9A" w:rsidRPr="00537128" w14:paraId="0DC1394C" w14:textId="77777777" w:rsidTr="00456F9A">
        <w:trPr>
          <w:trHeight w:val="59"/>
        </w:trPr>
        <w:tc>
          <w:tcPr>
            <w:tcW w:w="3369" w:type="dxa"/>
            <w:tcBorders>
              <w:left w:val="nil"/>
              <w:bottom w:val="nil"/>
              <w:right w:val="nil"/>
            </w:tcBorders>
            <w:shd w:val="clear" w:color="auto" w:fill="auto"/>
            <w:vAlign w:val="bottom"/>
          </w:tcPr>
          <w:p w14:paraId="0286B056"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275" w:type="dxa"/>
            <w:tcBorders>
              <w:left w:val="nil"/>
              <w:bottom w:val="nil"/>
              <w:right w:val="nil"/>
            </w:tcBorders>
            <w:shd w:val="clear" w:color="auto" w:fill="auto"/>
            <w:noWrap/>
          </w:tcPr>
          <w:p w14:paraId="04278AFE" w14:textId="77777777" w:rsidR="00456F9A" w:rsidRPr="00537128" w:rsidRDefault="00456F9A" w:rsidP="00456F9A">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1418" w:type="dxa"/>
            <w:tcBorders>
              <w:left w:val="nil"/>
              <w:bottom w:val="nil"/>
              <w:right w:val="nil"/>
            </w:tcBorders>
            <w:shd w:val="clear" w:color="auto" w:fill="auto"/>
            <w:noWrap/>
          </w:tcPr>
          <w:p w14:paraId="7C0BEB25" w14:textId="77777777" w:rsidR="00456F9A" w:rsidRPr="00537128" w:rsidRDefault="00456F9A" w:rsidP="00456F9A">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1134" w:type="dxa"/>
            <w:tcBorders>
              <w:left w:val="nil"/>
              <w:bottom w:val="nil"/>
              <w:right w:val="nil"/>
            </w:tcBorders>
            <w:shd w:val="clear" w:color="auto" w:fill="auto"/>
            <w:noWrap/>
          </w:tcPr>
          <w:p w14:paraId="7048D61A" w14:textId="77777777" w:rsidR="00456F9A" w:rsidRPr="00537128" w:rsidRDefault="00456F9A" w:rsidP="00456F9A">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1309" w:type="dxa"/>
            <w:tcBorders>
              <w:left w:val="nil"/>
              <w:bottom w:val="nil"/>
              <w:right w:val="nil"/>
            </w:tcBorders>
            <w:shd w:val="clear" w:color="auto" w:fill="auto"/>
            <w:noWrap/>
          </w:tcPr>
          <w:p w14:paraId="354A951D" w14:textId="77777777" w:rsidR="00456F9A" w:rsidRPr="00537128" w:rsidRDefault="00456F9A" w:rsidP="00456F9A">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1134" w:type="dxa"/>
            <w:tcBorders>
              <w:left w:val="nil"/>
              <w:bottom w:val="nil"/>
              <w:right w:val="nil"/>
            </w:tcBorders>
            <w:shd w:val="clear" w:color="auto" w:fill="auto"/>
            <w:noWrap/>
          </w:tcPr>
          <w:p w14:paraId="09474225" w14:textId="77777777" w:rsidR="00456F9A" w:rsidRPr="00537128" w:rsidRDefault="00456F9A" w:rsidP="00456F9A">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r>
      <w:tr w:rsidR="00456F9A" w:rsidRPr="00537128" w14:paraId="2E750E81" w14:textId="77777777" w:rsidTr="00456F9A">
        <w:trPr>
          <w:trHeight w:val="59"/>
        </w:trPr>
        <w:tc>
          <w:tcPr>
            <w:tcW w:w="3369" w:type="dxa"/>
            <w:tcBorders>
              <w:top w:val="nil"/>
              <w:left w:val="nil"/>
              <w:bottom w:val="nil"/>
              <w:right w:val="nil"/>
            </w:tcBorders>
            <w:shd w:val="clear" w:color="auto" w:fill="auto"/>
            <w:vAlign w:val="bottom"/>
          </w:tcPr>
          <w:p w14:paraId="48BFC065"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275" w:type="dxa"/>
            <w:tcBorders>
              <w:top w:val="nil"/>
              <w:left w:val="nil"/>
              <w:bottom w:val="nil"/>
              <w:right w:val="nil"/>
            </w:tcBorders>
            <w:shd w:val="clear" w:color="auto" w:fill="auto"/>
            <w:noWrap/>
            <w:vAlign w:val="bottom"/>
          </w:tcPr>
          <w:p w14:paraId="7F44CDD6"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418" w:type="dxa"/>
            <w:tcBorders>
              <w:top w:val="nil"/>
              <w:left w:val="nil"/>
              <w:bottom w:val="nil"/>
              <w:right w:val="nil"/>
            </w:tcBorders>
            <w:shd w:val="clear" w:color="auto" w:fill="auto"/>
            <w:noWrap/>
            <w:vAlign w:val="bottom"/>
          </w:tcPr>
          <w:p w14:paraId="0D998135"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134" w:type="dxa"/>
            <w:tcBorders>
              <w:top w:val="nil"/>
              <w:left w:val="nil"/>
              <w:bottom w:val="nil"/>
              <w:right w:val="nil"/>
            </w:tcBorders>
            <w:shd w:val="clear" w:color="auto" w:fill="auto"/>
            <w:noWrap/>
            <w:vAlign w:val="bottom"/>
          </w:tcPr>
          <w:p w14:paraId="54FE8879"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309" w:type="dxa"/>
            <w:tcBorders>
              <w:top w:val="nil"/>
              <w:left w:val="nil"/>
              <w:bottom w:val="nil"/>
              <w:right w:val="nil"/>
            </w:tcBorders>
            <w:shd w:val="clear" w:color="auto" w:fill="auto"/>
            <w:noWrap/>
            <w:vAlign w:val="bottom"/>
          </w:tcPr>
          <w:p w14:paraId="43C668F7"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134" w:type="dxa"/>
            <w:tcBorders>
              <w:top w:val="nil"/>
              <w:left w:val="nil"/>
              <w:bottom w:val="nil"/>
              <w:right w:val="nil"/>
            </w:tcBorders>
            <w:shd w:val="clear" w:color="auto" w:fill="auto"/>
            <w:noWrap/>
            <w:vAlign w:val="bottom"/>
          </w:tcPr>
          <w:p w14:paraId="2DB5B1DC" w14:textId="77777777" w:rsidR="00456F9A" w:rsidRPr="00537128" w:rsidRDefault="00456F9A" w:rsidP="00456F9A">
            <w:pPr>
              <w:spacing w:after="0" w:line="140" w:lineRule="exact"/>
              <w:rPr>
                <w:rFonts w:ascii="Calibri" w:eastAsia="Times New Roman" w:hAnsi="Calibri" w:cs="Arial"/>
                <w:sz w:val="20"/>
                <w:szCs w:val="20"/>
                <w:lang w:val="en-US"/>
              </w:rPr>
            </w:pPr>
          </w:p>
        </w:tc>
      </w:tr>
      <w:tr w:rsidR="004C1234" w:rsidRPr="00537128" w14:paraId="26CD2006" w14:textId="77777777" w:rsidTr="00E356D9">
        <w:trPr>
          <w:trHeight w:val="300"/>
        </w:trPr>
        <w:tc>
          <w:tcPr>
            <w:tcW w:w="3369" w:type="dxa"/>
            <w:tcBorders>
              <w:top w:val="nil"/>
              <w:left w:val="nil"/>
              <w:bottom w:val="nil"/>
              <w:right w:val="nil"/>
            </w:tcBorders>
            <w:shd w:val="clear" w:color="auto" w:fill="auto"/>
            <w:vAlign w:val="bottom"/>
          </w:tcPr>
          <w:p w14:paraId="5BBA2C93" w14:textId="77777777" w:rsidR="004C1234" w:rsidRPr="00537128" w:rsidRDefault="004C1234" w:rsidP="004C1234">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Net interest income</w:t>
            </w:r>
          </w:p>
        </w:tc>
        <w:tc>
          <w:tcPr>
            <w:tcW w:w="1275" w:type="dxa"/>
            <w:shd w:val="clear" w:color="auto" w:fill="auto"/>
            <w:noWrap/>
            <w:vAlign w:val="bottom"/>
          </w:tcPr>
          <w:p w14:paraId="104CE8B5" w14:textId="3B650FC3"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120,013</w:t>
            </w:r>
          </w:p>
        </w:tc>
        <w:tc>
          <w:tcPr>
            <w:tcW w:w="1418" w:type="dxa"/>
            <w:shd w:val="clear" w:color="auto" w:fill="auto"/>
            <w:noWrap/>
            <w:vAlign w:val="bottom"/>
          </w:tcPr>
          <w:p w14:paraId="71883168" w14:textId="27C68A0B"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312</w:t>
            </w:r>
          </w:p>
        </w:tc>
        <w:tc>
          <w:tcPr>
            <w:tcW w:w="1134" w:type="dxa"/>
            <w:shd w:val="clear" w:color="auto" w:fill="auto"/>
            <w:noWrap/>
            <w:vAlign w:val="bottom"/>
          </w:tcPr>
          <w:p w14:paraId="10DC51D4" w14:textId="578BA8E4"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309" w:type="dxa"/>
            <w:shd w:val="clear" w:color="auto" w:fill="auto"/>
            <w:noWrap/>
            <w:vAlign w:val="bottom"/>
          </w:tcPr>
          <w:p w14:paraId="6F3BECFB" w14:textId="29058551"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134" w:type="dxa"/>
            <w:shd w:val="clear" w:color="auto" w:fill="auto"/>
            <w:noWrap/>
            <w:vAlign w:val="bottom"/>
          </w:tcPr>
          <w:p w14:paraId="68FF5783" w14:textId="28992268"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120,325</w:t>
            </w:r>
          </w:p>
        </w:tc>
      </w:tr>
      <w:tr w:rsidR="004C1234" w:rsidRPr="00537128" w14:paraId="2F8B2C54" w14:textId="77777777" w:rsidTr="00E356D9">
        <w:trPr>
          <w:trHeight w:val="300"/>
        </w:trPr>
        <w:tc>
          <w:tcPr>
            <w:tcW w:w="3369" w:type="dxa"/>
            <w:tcBorders>
              <w:top w:val="nil"/>
              <w:left w:val="nil"/>
              <w:bottom w:val="nil"/>
              <w:right w:val="nil"/>
            </w:tcBorders>
            <w:shd w:val="clear" w:color="auto" w:fill="auto"/>
            <w:vAlign w:val="bottom"/>
          </w:tcPr>
          <w:p w14:paraId="26523B15" w14:textId="77777777" w:rsidR="004C1234" w:rsidRPr="00537128" w:rsidRDefault="004C1234" w:rsidP="004C1234">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Net fee income</w:t>
            </w:r>
          </w:p>
        </w:tc>
        <w:tc>
          <w:tcPr>
            <w:tcW w:w="1275" w:type="dxa"/>
            <w:shd w:val="clear" w:color="auto" w:fill="auto"/>
            <w:noWrap/>
            <w:vAlign w:val="bottom"/>
          </w:tcPr>
          <w:p w14:paraId="3BB1513F" w14:textId="78B61107"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4,094</w:t>
            </w:r>
          </w:p>
        </w:tc>
        <w:tc>
          <w:tcPr>
            <w:tcW w:w="1418" w:type="dxa"/>
            <w:shd w:val="clear" w:color="auto" w:fill="auto"/>
            <w:noWrap/>
            <w:vAlign w:val="bottom"/>
          </w:tcPr>
          <w:p w14:paraId="1C86B5B5" w14:textId="627B6983"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304</w:t>
            </w:r>
          </w:p>
        </w:tc>
        <w:tc>
          <w:tcPr>
            <w:tcW w:w="1134" w:type="dxa"/>
            <w:shd w:val="clear" w:color="auto" w:fill="auto"/>
            <w:noWrap/>
            <w:vAlign w:val="bottom"/>
          </w:tcPr>
          <w:p w14:paraId="76F58FBB" w14:textId="127EC0A1"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561</w:t>
            </w:r>
          </w:p>
        </w:tc>
        <w:tc>
          <w:tcPr>
            <w:tcW w:w="1309" w:type="dxa"/>
            <w:shd w:val="clear" w:color="auto" w:fill="auto"/>
            <w:noWrap/>
            <w:vAlign w:val="bottom"/>
          </w:tcPr>
          <w:p w14:paraId="4597F4DD" w14:textId="4BA45450"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134" w:type="dxa"/>
            <w:shd w:val="clear" w:color="auto" w:fill="auto"/>
            <w:noWrap/>
            <w:vAlign w:val="bottom"/>
          </w:tcPr>
          <w:p w14:paraId="7199ACE8" w14:textId="03373649"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4,959</w:t>
            </w:r>
          </w:p>
        </w:tc>
      </w:tr>
      <w:tr w:rsidR="004C1234" w:rsidRPr="00537128" w14:paraId="69F66784" w14:textId="77777777" w:rsidTr="00E356D9">
        <w:trPr>
          <w:trHeight w:val="280"/>
        </w:trPr>
        <w:tc>
          <w:tcPr>
            <w:tcW w:w="3369" w:type="dxa"/>
            <w:tcBorders>
              <w:top w:val="nil"/>
              <w:left w:val="nil"/>
              <w:bottom w:val="nil"/>
              <w:right w:val="nil"/>
            </w:tcBorders>
            <w:shd w:val="clear" w:color="auto" w:fill="auto"/>
            <w:vAlign w:val="bottom"/>
          </w:tcPr>
          <w:p w14:paraId="093069A9" w14:textId="77777777" w:rsidR="004C1234" w:rsidRPr="00537128" w:rsidRDefault="004C1234" w:rsidP="004C1234">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 xml:space="preserve">Net income/(expenses) from financial operations </w:t>
            </w:r>
          </w:p>
        </w:tc>
        <w:tc>
          <w:tcPr>
            <w:tcW w:w="1275" w:type="dxa"/>
            <w:shd w:val="clear" w:color="auto" w:fill="auto"/>
            <w:noWrap/>
            <w:vAlign w:val="bottom"/>
          </w:tcPr>
          <w:p w14:paraId="21523563" w14:textId="093B196B"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(5,372)</w:t>
            </w:r>
          </w:p>
        </w:tc>
        <w:tc>
          <w:tcPr>
            <w:tcW w:w="1418" w:type="dxa"/>
            <w:shd w:val="clear" w:color="auto" w:fill="auto"/>
            <w:noWrap/>
            <w:vAlign w:val="bottom"/>
          </w:tcPr>
          <w:p w14:paraId="69D6EB42" w14:textId="3E9EE867"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sz w:val="20"/>
                <w:szCs w:val="20"/>
              </w:rPr>
              <w:t>93</w:t>
            </w:r>
          </w:p>
        </w:tc>
        <w:tc>
          <w:tcPr>
            <w:tcW w:w="1134" w:type="dxa"/>
            <w:shd w:val="clear" w:color="auto" w:fill="auto"/>
            <w:noWrap/>
            <w:vAlign w:val="bottom"/>
          </w:tcPr>
          <w:p w14:paraId="750C2A13" w14:textId="3BD4DBED"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sz w:val="20"/>
                <w:szCs w:val="20"/>
              </w:rPr>
              <w:t>-</w:t>
            </w:r>
          </w:p>
        </w:tc>
        <w:tc>
          <w:tcPr>
            <w:tcW w:w="1309" w:type="dxa"/>
            <w:shd w:val="clear" w:color="auto" w:fill="auto"/>
            <w:noWrap/>
            <w:vAlign w:val="bottom"/>
          </w:tcPr>
          <w:p w14:paraId="6EB718B4" w14:textId="2AF5AC2D"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sz w:val="20"/>
                <w:szCs w:val="20"/>
              </w:rPr>
              <w:t>-</w:t>
            </w:r>
          </w:p>
        </w:tc>
        <w:tc>
          <w:tcPr>
            <w:tcW w:w="1134" w:type="dxa"/>
            <w:shd w:val="clear" w:color="auto" w:fill="auto"/>
            <w:noWrap/>
            <w:vAlign w:val="bottom"/>
          </w:tcPr>
          <w:p w14:paraId="013BB0B3" w14:textId="469CDE63"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sz w:val="20"/>
                <w:szCs w:val="20"/>
              </w:rPr>
              <w:t>(5,279)</w:t>
            </w:r>
          </w:p>
        </w:tc>
      </w:tr>
      <w:tr w:rsidR="004C1234" w:rsidRPr="00537128" w14:paraId="2418990E" w14:textId="77777777" w:rsidTr="00E356D9">
        <w:trPr>
          <w:trHeight w:val="300"/>
        </w:trPr>
        <w:tc>
          <w:tcPr>
            <w:tcW w:w="3369" w:type="dxa"/>
            <w:tcBorders>
              <w:top w:val="nil"/>
              <w:left w:val="nil"/>
              <w:bottom w:val="nil"/>
              <w:right w:val="nil"/>
            </w:tcBorders>
            <w:shd w:val="clear" w:color="auto" w:fill="auto"/>
            <w:vAlign w:val="bottom"/>
          </w:tcPr>
          <w:p w14:paraId="2CEE1E67" w14:textId="77777777" w:rsidR="004C1234" w:rsidRPr="00537128" w:rsidRDefault="004C1234" w:rsidP="004C1234">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Net premiums earned</w:t>
            </w:r>
          </w:p>
        </w:tc>
        <w:tc>
          <w:tcPr>
            <w:tcW w:w="1275" w:type="dxa"/>
            <w:shd w:val="clear" w:color="auto" w:fill="auto"/>
            <w:noWrap/>
            <w:vAlign w:val="bottom"/>
          </w:tcPr>
          <w:p w14:paraId="4611267E" w14:textId="7521BC09"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418" w:type="dxa"/>
            <w:shd w:val="clear" w:color="auto" w:fill="auto"/>
            <w:noWrap/>
            <w:vAlign w:val="bottom"/>
          </w:tcPr>
          <w:p w14:paraId="1AFE77C8" w14:textId="34B9DA5C"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1,740</w:t>
            </w:r>
          </w:p>
        </w:tc>
        <w:tc>
          <w:tcPr>
            <w:tcW w:w="1134" w:type="dxa"/>
            <w:shd w:val="clear" w:color="auto" w:fill="auto"/>
            <w:noWrap/>
            <w:vAlign w:val="bottom"/>
          </w:tcPr>
          <w:p w14:paraId="2F45FC7D" w14:textId="27647914"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309" w:type="dxa"/>
            <w:shd w:val="clear" w:color="auto" w:fill="auto"/>
            <w:noWrap/>
            <w:vAlign w:val="bottom"/>
          </w:tcPr>
          <w:p w14:paraId="2AF4102B" w14:textId="2838C1E9"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134" w:type="dxa"/>
            <w:shd w:val="clear" w:color="auto" w:fill="auto"/>
            <w:noWrap/>
            <w:vAlign w:val="bottom"/>
          </w:tcPr>
          <w:p w14:paraId="701D0368" w14:textId="0A0BE157"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1,740</w:t>
            </w:r>
          </w:p>
        </w:tc>
      </w:tr>
      <w:tr w:rsidR="004C1234" w:rsidRPr="00537128" w14:paraId="442334B0" w14:textId="77777777" w:rsidTr="00E356D9">
        <w:trPr>
          <w:trHeight w:val="300"/>
        </w:trPr>
        <w:tc>
          <w:tcPr>
            <w:tcW w:w="3369" w:type="dxa"/>
            <w:tcBorders>
              <w:top w:val="nil"/>
              <w:left w:val="nil"/>
              <w:right w:val="nil"/>
            </w:tcBorders>
            <w:shd w:val="clear" w:color="auto" w:fill="auto"/>
            <w:vAlign w:val="bottom"/>
          </w:tcPr>
          <w:p w14:paraId="5EB473B1" w14:textId="77777777" w:rsidR="004C1234" w:rsidRPr="00537128" w:rsidRDefault="004C1234" w:rsidP="004C1234">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Other income</w:t>
            </w:r>
          </w:p>
        </w:tc>
        <w:tc>
          <w:tcPr>
            <w:tcW w:w="1275" w:type="dxa"/>
            <w:tcBorders>
              <w:top w:val="nil"/>
              <w:left w:val="nil"/>
              <w:bottom w:val="single" w:sz="2" w:space="0" w:color="auto"/>
              <w:right w:val="nil"/>
            </w:tcBorders>
            <w:shd w:val="clear" w:color="auto" w:fill="auto"/>
            <w:noWrap/>
            <w:vAlign w:val="bottom"/>
          </w:tcPr>
          <w:p w14:paraId="4BC743B0" w14:textId="4A89C497"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4,455</w:t>
            </w:r>
          </w:p>
        </w:tc>
        <w:tc>
          <w:tcPr>
            <w:tcW w:w="1418" w:type="dxa"/>
            <w:tcBorders>
              <w:top w:val="nil"/>
              <w:left w:val="nil"/>
              <w:bottom w:val="single" w:sz="2" w:space="0" w:color="auto"/>
              <w:right w:val="nil"/>
            </w:tcBorders>
            <w:shd w:val="clear" w:color="auto" w:fill="auto"/>
            <w:noWrap/>
            <w:vAlign w:val="bottom"/>
          </w:tcPr>
          <w:p w14:paraId="367C907A" w14:textId="3108EB3A"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5</w:t>
            </w:r>
          </w:p>
        </w:tc>
        <w:tc>
          <w:tcPr>
            <w:tcW w:w="1134" w:type="dxa"/>
            <w:tcBorders>
              <w:top w:val="nil"/>
              <w:left w:val="nil"/>
              <w:bottom w:val="single" w:sz="2" w:space="0" w:color="auto"/>
              <w:right w:val="nil"/>
            </w:tcBorders>
            <w:shd w:val="clear" w:color="auto" w:fill="auto"/>
            <w:noWrap/>
            <w:vAlign w:val="bottom"/>
          </w:tcPr>
          <w:p w14:paraId="63BF747B" w14:textId="0F014131"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66</w:t>
            </w:r>
          </w:p>
        </w:tc>
        <w:tc>
          <w:tcPr>
            <w:tcW w:w="1309" w:type="dxa"/>
            <w:tcBorders>
              <w:top w:val="nil"/>
              <w:left w:val="nil"/>
              <w:bottom w:val="single" w:sz="2" w:space="0" w:color="auto"/>
              <w:right w:val="nil"/>
            </w:tcBorders>
            <w:shd w:val="clear" w:color="auto" w:fill="auto"/>
            <w:noWrap/>
            <w:vAlign w:val="bottom"/>
          </w:tcPr>
          <w:p w14:paraId="42E47C8F" w14:textId="1E4B255B"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(68)</w:t>
            </w:r>
          </w:p>
        </w:tc>
        <w:tc>
          <w:tcPr>
            <w:tcW w:w="1134" w:type="dxa"/>
            <w:tcBorders>
              <w:top w:val="nil"/>
              <w:left w:val="nil"/>
              <w:bottom w:val="single" w:sz="2" w:space="0" w:color="auto"/>
              <w:right w:val="nil"/>
            </w:tcBorders>
            <w:shd w:val="clear" w:color="auto" w:fill="auto"/>
            <w:noWrap/>
            <w:vAlign w:val="bottom"/>
          </w:tcPr>
          <w:p w14:paraId="528B46AD" w14:textId="3DE3E09E"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4,458</w:t>
            </w:r>
          </w:p>
        </w:tc>
      </w:tr>
      <w:tr w:rsidR="004C1234" w:rsidRPr="00537128" w14:paraId="5615CFD8" w14:textId="77777777" w:rsidTr="00E356D9">
        <w:trPr>
          <w:trHeight w:val="300"/>
        </w:trPr>
        <w:tc>
          <w:tcPr>
            <w:tcW w:w="3369" w:type="dxa"/>
            <w:tcBorders>
              <w:left w:val="nil"/>
              <w:right w:val="nil"/>
            </w:tcBorders>
            <w:shd w:val="clear" w:color="auto" w:fill="auto"/>
            <w:vAlign w:val="bottom"/>
          </w:tcPr>
          <w:p w14:paraId="15A9159D" w14:textId="77777777" w:rsidR="004C1234" w:rsidRPr="00537128" w:rsidRDefault="004C1234" w:rsidP="004C1234">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Income from operating activities</w:t>
            </w:r>
          </w:p>
        </w:tc>
        <w:tc>
          <w:tcPr>
            <w:tcW w:w="1275" w:type="dxa"/>
            <w:tcBorders>
              <w:top w:val="single" w:sz="2" w:space="0" w:color="auto"/>
              <w:left w:val="nil"/>
              <w:bottom w:val="single" w:sz="12" w:space="0" w:color="auto"/>
              <w:right w:val="nil"/>
            </w:tcBorders>
            <w:shd w:val="clear" w:color="auto" w:fill="auto"/>
            <w:noWrap/>
            <w:vAlign w:val="bottom"/>
          </w:tcPr>
          <w:p w14:paraId="12AEDB10" w14:textId="5905F171" w:rsidR="004C1234" w:rsidRPr="00537128" w:rsidRDefault="004C1234" w:rsidP="004C1234">
            <w:pPr>
              <w:spacing w:after="0" w:line="300" w:lineRule="exact"/>
              <w:jc w:val="right"/>
              <w:rPr>
                <w:rFonts w:ascii="Calibri" w:eastAsia="Times New Roman" w:hAnsi="Calibri" w:cs="Arial"/>
                <w:b/>
                <w:bCs/>
                <w:sz w:val="20"/>
                <w:szCs w:val="20"/>
                <w:lang w:val="en-US"/>
              </w:rPr>
            </w:pPr>
            <w:r>
              <w:rPr>
                <w:rFonts w:ascii="Calibri" w:eastAsia="Calibri" w:hAnsi="Calibri" w:cs="Arial"/>
                <w:b/>
                <w:bCs/>
                <w:color w:val="000000"/>
                <w:sz w:val="20"/>
                <w:szCs w:val="20"/>
              </w:rPr>
              <w:t>123,190</w:t>
            </w:r>
          </w:p>
        </w:tc>
        <w:tc>
          <w:tcPr>
            <w:tcW w:w="1418" w:type="dxa"/>
            <w:tcBorders>
              <w:top w:val="single" w:sz="2" w:space="0" w:color="auto"/>
              <w:left w:val="nil"/>
              <w:bottom w:val="single" w:sz="12" w:space="0" w:color="auto"/>
              <w:right w:val="nil"/>
            </w:tcBorders>
            <w:shd w:val="clear" w:color="auto" w:fill="auto"/>
            <w:noWrap/>
            <w:vAlign w:val="bottom"/>
          </w:tcPr>
          <w:p w14:paraId="5916C309" w14:textId="7975AFEB" w:rsidR="004C1234" w:rsidRPr="00537128" w:rsidRDefault="004C1234" w:rsidP="004C1234">
            <w:pPr>
              <w:spacing w:after="0" w:line="300" w:lineRule="exact"/>
              <w:jc w:val="right"/>
              <w:rPr>
                <w:rFonts w:ascii="Calibri" w:eastAsia="Times New Roman" w:hAnsi="Calibri" w:cs="Arial"/>
                <w:b/>
                <w:bCs/>
                <w:sz w:val="20"/>
                <w:szCs w:val="20"/>
                <w:lang w:val="en-US"/>
              </w:rPr>
            </w:pPr>
            <w:r>
              <w:rPr>
                <w:rFonts w:ascii="Calibri" w:eastAsia="Calibri" w:hAnsi="Calibri" w:cs="Arial"/>
                <w:b/>
                <w:bCs/>
                <w:sz w:val="20"/>
                <w:szCs w:val="20"/>
              </w:rPr>
              <w:t>2,454</w:t>
            </w:r>
          </w:p>
        </w:tc>
        <w:tc>
          <w:tcPr>
            <w:tcW w:w="1134" w:type="dxa"/>
            <w:tcBorders>
              <w:top w:val="single" w:sz="2" w:space="0" w:color="auto"/>
              <w:left w:val="nil"/>
              <w:bottom w:val="single" w:sz="12" w:space="0" w:color="auto"/>
              <w:right w:val="nil"/>
            </w:tcBorders>
            <w:shd w:val="clear" w:color="auto" w:fill="auto"/>
            <w:noWrap/>
            <w:vAlign w:val="bottom"/>
          </w:tcPr>
          <w:p w14:paraId="59452262" w14:textId="72BDEE7E" w:rsidR="004C1234" w:rsidRPr="00537128" w:rsidRDefault="004C1234" w:rsidP="004C1234">
            <w:pPr>
              <w:spacing w:after="0" w:line="300" w:lineRule="exact"/>
              <w:jc w:val="right"/>
              <w:rPr>
                <w:rFonts w:ascii="Calibri" w:eastAsia="Times New Roman" w:hAnsi="Calibri" w:cs="Arial"/>
                <w:b/>
                <w:bCs/>
                <w:sz w:val="20"/>
                <w:szCs w:val="20"/>
                <w:lang w:val="en-US"/>
              </w:rPr>
            </w:pPr>
            <w:r>
              <w:rPr>
                <w:rFonts w:ascii="Calibri" w:eastAsia="Calibri" w:hAnsi="Calibri" w:cs="Arial"/>
                <w:b/>
                <w:bCs/>
                <w:sz w:val="20"/>
                <w:szCs w:val="20"/>
              </w:rPr>
              <w:t>627</w:t>
            </w:r>
          </w:p>
        </w:tc>
        <w:tc>
          <w:tcPr>
            <w:tcW w:w="1309" w:type="dxa"/>
            <w:tcBorders>
              <w:top w:val="single" w:sz="2" w:space="0" w:color="auto"/>
              <w:left w:val="nil"/>
              <w:bottom w:val="single" w:sz="12" w:space="0" w:color="auto"/>
              <w:right w:val="nil"/>
            </w:tcBorders>
            <w:shd w:val="clear" w:color="auto" w:fill="auto"/>
            <w:noWrap/>
            <w:vAlign w:val="bottom"/>
          </w:tcPr>
          <w:p w14:paraId="4C44FBF1" w14:textId="0F512E32" w:rsidR="004C1234" w:rsidRPr="00537128" w:rsidRDefault="004C1234" w:rsidP="004C1234">
            <w:pPr>
              <w:spacing w:after="0" w:line="300" w:lineRule="exact"/>
              <w:jc w:val="right"/>
              <w:rPr>
                <w:rFonts w:ascii="Calibri" w:eastAsia="Times New Roman" w:hAnsi="Calibri" w:cs="Arial"/>
                <w:b/>
                <w:bCs/>
                <w:sz w:val="20"/>
                <w:szCs w:val="20"/>
                <w:lang w:val="en-US"/>
              </w:rPr>
            </w:pPr>
            <w:r>
              <w:rPr>
                <w:rFonts w:ascii="Calibri" w:eastAsia="Calibri" w:hAnsi="Calibri" w:cs="Arial"/>
                <w:b/>
                <w:bCs/>
                <w:sz w:val="20"/>
                <w:szCs w:val="20"/>
              </w:rPr>
              <w:t>(68)</w:t>
            </w:r>
          </w:p>
        </w:tc>
        <w:tc>
          <w:tcPr>
            <w:tcW w:w="1134" w:type="dxa"/>
            <w:tcBorders>
              <w:top w:val="single" w:sz="2" w:space="0" w:color="auto"/>
              <w:left w:val="nil"/>
              <w:bottom w:val="single" w:sz="12" w:space="0" w:color="auto"/>
              <w:right w:val="nil"/>
            </w:tcBorders>
            <w:shd w:val="clear" w:color="auto" w:fill="auto"/>
            <w:noWrap/>
            <w:vAlign w:val="bottom"/>
          </w:tcPr>
          <w:p w14:paraId="0D822D70" w14:textId="36B3E46D" w:rsidR="004C1234" w:rsidRPr="00537128" w:rsidRDefault="004C1234" w:rsidP="004C1234">
            <w:pPr>
              <w:spacing w:after="0" w:line="300" w:lineRule="exact"/>
              <w:jc w:val="right"/>
              <w:rPr>
                <w:rFonts w:ascii="Calibri" w:eastAsia="Times New Roman" w:hAnsi="Calibri" w:cs="Arial"/>
                <w:b/>
                <w:bCs/>
                <w:sz w:val="20"/>
                <w:szCs w:val="20"/>
                <w:lang w:val="en-US"/>
              </w:rPr>
            </w:pPr>
            <w:r>
              <w:rPr>
                <w:rFonts w:ascii="Calibri" w:eastAsia="Calibri" w:hAnsi="Calibri" w:cs="Arial"/>
                <w:b/>
                <w:bCs/>
                <w:sz w:val="20"/>
                <w:szCs w:val="20"/>
              </w:rPr>
              <w:t>126,203</w:t>
            </w:r>
          </w:p>
        </w:tc>
      </w:tr>
      <w:tr w:rsidR="004C1234" w:rsidRPr="00537128" w14:paraId="2429AA50" w14:textId="77777777" w:rsidTr="00456F9A">
        <w:trPr>
          <w:trHeight w:val="60"/>
        </w:trPr>
        <w:tc>
          <w:tcPr>
            <w:tcW w:w="3369" w:type="dxa"/>
            <w:tcBorders>
              <w:left w:val="nil"/>
              <w:bottom w:val="nil"/>
              <w:right w:val="nil"/>
            </w:tcBorders>
            <w:shd w:val="clear" w:color="auto" w:fill="auto"/>
            <w:vAlign w:val="bottom"/>
          </w:tcPr>
          <w:p w14:paraId="1DD3671D" w14:textId="77777777" w:rsidR="004C1234" w:rsidRPr="00537128" w:rsidRDefault="004C1234" w:rsidP="004C1234">
            <w:pPr>
              <w:spacing w:after="0" w:line="140" w:lineRule="exact"/>
              <w:rPr>
                <w:rFonts w:ascii="Calibri" w:eastAsia="Times New Roman" w:hAnsi="Calibri" w:cs="Arial"/>
                <w:sz w:val="20"/>
                <w:szCs w:val="20"/>
                <w:lang w:val="en-US"/>
              </w:rPr>
            </w:pPr>
          </w:p>
        </w:tc>
        <w:tc>
          <w:tcPr>
            <w:tcW w:w="1275" w:type="dxa"/>
            <w:tcBorders>
              <w:top w:val="single" w:sz="12" w:space="0" w:color="auto"/>
              <w:left w:val="nil"/>
              <w:bottom w:val="nil"/>
              <w:right w:val="nil"/>
            </w:tcBorders>
            <w:shd w:val="clear" w:color="auto" w:fill="auto"/>
            <w:noWrap/>
            <w:vAlign w:val="bottom"/>
          </w:tcPr>
          <w:p w14:paraId="52278E9D" w14:textId="77777777" w:rsidR="004C1234" w:rsidRPr="00537128" w:rsidRDefault="004C1234" w:rsidP="004C1234">
            <w:pPr>
              <w:spacing w:after="0" w:line="140" w:lineRule="exact"/>
              <w:jc w:val="right"/>
              <w:rPr>
                <w:rFonts w:ascii="Calibri" w:eastAsia="Times New Roman" w:hAnsi="Calibri" w:cs="Arial"/>
                <w:sz w:val="20"/>
                <w:szCs w:val="20"/>
                <w:lang w:val="en-US"/>
              </w:rPr>
            </w:pPr>
          </w:p>
        </w:tc>
        <w:tc>
          <w:tcPr>
            <w:tcW w:w="1418" w:type="dxa"/>
            <w:tcBorders>
              <w:top w:val="single" w:sz="12" w:space="0" w:color="auto"/>
              <w:left w:val="nil"/>
              <w:bottom w:val="nil"/>
              <w:right w:val="nil"/>
            </w:tcBorders>
            <w:shd w:val="clear" w:color="auto" w:fill="auto"/>
            <w:noWrap/>
            <w:vAlign w:val="bottom"/>
          </w:tcPr>
          <w:p w14:paraId="5296F706" w14:textId="77777777" w:rsidR="004C1234" w:rsidRPr="00537128" w:rsidRDefault="004C1234" w:rsidP="004C1234">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048F80CB" w14:textId="77777777" w:rsidR="004C1234" w:rsidRPr="00537128" w:rsidRDefault="004C1234" w:rsidP="004C1234">
            <w:pPr>
              <w:spacing w:after="0" w:line="140" w:lineRule="exact"/>
              <w:jc w:val="right"/>
              <w:rPr>
                <w:rFonts w:ascii="Calibri" w:eastAsia="Times New Roman" w:hAnsi="Calibri" w:cs="Arial"/>
                <w:sz w:val="20"/>
                <w:szCs w:val="20"/>
                <w:lang w:val="en-US"/>
              </w:rPr>
            </w:pPr>
          </w:p>
        </w:tc>
        <w:tc>
          <w:tcPr>
            <w:tcW w:w="1309" w:type="dxa"/>
            <w:tcBorders>
              <w:top w:val="single" w:sz="12" w:space="0" w:color="auto"/>
              <w:left w:val="nil"/>
              <w:bottom w:val="nil"/>
              <w:right w:val="nil"/>
            </w:tcBorders>
            <w:shd w:val="clear" w:color="auto" w:fill="auto"/>
            <w:noWrap/>
            <w:vAlign w:val="bottom"/>
          </w:tcPr>
          <w:p w14:paraId="104C9689" w14:textId="77777777" w:rsidR="004C1234" w:rsidRPr="00537128" w:rsidRDefault="004C1234" w:rsidP="004C1234">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6537AE61" w14:textId="77777777" w:rsidR="004C1234" w:rsidRPr="00537128" w:rsidRDefault="004C1234" w:rsidP="004C1234">
            <w:pPr>
              <w:spacing w:after="0" w:line="140" w:lineRule="exact"/>
              <w:jc w:val="right"/>
              <w:rPr>
                <w:rFonts w:ascii="Calibri" w:eastAsia="Times New Roman" w:hAnsi="Calibri" w:cs="Arial"/>
                <w:sz w:val="20"/>
                <w:szCs w:val="20"/>
                <w:lang w:val="en-US"/>
              </w:rPr>
            </w:pPr>
          </w:p>
        </w:tc>
      </w:tr>
      <w:tr w:rsidR="004C1234" w:rsidRPr="00537128" w14:paraId="5C4D1BBA" w14:textId="77777777" w:rsidTr="005F48D3">
        <w:trPr>
          <w:trHeight w:val="300"/>
        </w:trPr>
        <w:tc>
          <w:tcPr>
            <w:tcW w:w="3369" w:type="dxa"/>
            <w:tcBorders>
              <w:top w:val="nil"/>
              <w:left w:val="nil"/>
              <w:bottom w:val="nil"/>
              <w:right w:val="nil"/>
            </w:tcBorders>
            <w:shd w:val="clear" w:color="auto" w:fill="auto"/>
            <w:vAlign w:val="bottom"/>
          </w:tcPr>
          <w:p w14:paraId="6D778831" w14:textId="77777777" w:rsidR="004C1234" w:rsidRPr="00537128" w:rsidRDefault="004C1234" w:rsidP="004C1234">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Operating costs</w:t>
            </w:r>
          </w:p>
        </w:tc>
        <w:tc>
          <w:tcPr>
            <w:tcW w:w="1275" w:type="dxa"/>
            <w:shd w:val="clear" w:color="auto" w:fill="auto"/>
            <w:noWrap/>
            <w:vAlign w:val="bottom"/>
          </w:tcPr>
          <w:p w14:paraId="1DB0A46F" w14:textId="153B77EE"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(45,030)</w:t>
            </w:r>
          </w:p>
        </w:tc>
        <w:tc>
          <w:tcPr>
            <w:tcW w:w="1418" w:type="dxa"/>
            <w:shd w:val="clear" w:color="auto" w:fill="auto"/>
            <w:noWrap/>
            <w:vAlign w:val="bottom"/>
          </w:tcPr>
          <w:p w14:paraId="1CA0E7B4" w14:textId="2574933E"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(1,473)</w:t>
            </w:r>
          </w:p>
        </w:tc>
        <w:tc>
          <w:tcPr>
            <w:tcW w:w="1134" w:type="dxa"/>
            <w:shd w:val="clear" w:color="auto" w:fill="auto"/>
            <w:noWrap/>
            <w:vAlign w:val="bottom"/>
          </w:tcPr>
          <w:p w14:paraId="63E5B2C4" w14:textId="04418AB1"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(485)</w:t>
            </w:r>
          </w:p>
        </w:tc>
        <w:tc>
          <w:tcPr>
            <w:tcW w:w="1309" w:type="dxa"/>
            <w:shd w:val="clear" w:color="auto" w:fill="auto"/>
            <w:noWrap/>
            <w:vAlign w:val="bottom"/>
          </w:tcPr>
          <w:p w14:paraId="7E07E2E4" w14:textId="6172619F"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68</w:t>
            </w:r>
          </w:p>
        </w:tc>
        <w:tc>
          <w:tcPr>
            <w:tcW w:w="1134" w:type="dxa"/>
            <w:shd w:val="clear" w:color="auto" w:fill="auto"/>
            <w:noWrap/>
            <w:vAlign w:val="bottom"/>
          </w:tcPr>
          <w:p w14:paraId="0F982EEE" w14:textId="7C17E8E0"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(46,920)</w:t>
            </w:r>
          </w:p>
        </w:tc>
      </w:tr>
      <w:tr w:rsidR="004C1234" w:rsidRPr="00537128" w14:paraId="1BC82019" w14:textId="77777777" w:rsidTr="005F48D3">
        <w:trPr>
          <w:trHeight w:val="345"/>
        </w:trPr>
        <w:tc>
          <w:tcPr>
            <w:tcW w:w="3369" w:type="dxa"/>
            <w:tcBorders>
              <w:top w:val="nil"/>
              <w:left w:val="nil"/>
              <w:bottom w:val="nil"/>
              <w:right w:val="nil"/>
            </w:tcBorders>
            <w:shd w:val="clear" w:color="auto" w:fill="auto"/>
            <w:vAlign w:val="bottom"/>
          </w:tcPr>
          <w:p w14:paraId="152DA26A" w14:textId="77777777" w:rsidR="004C1234" w:rsidRPr="00537128" w:rsidRDefault="004C1234" w:rsidP="004C1234">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Impairment loss and provisions</w:t>
            </w:r>
          </w:p>
        </w:tc>
        <w:tc>
          <w:tcPr>
            <w:tcW w:w="1275" w:type="dxa"/>
            <w:shd w:val="clear" w:color="auto" w:fill="auto"/>
            <w:noWrap/>
            <w:vAlign w:val="bottom"/>
          </w:tcPr>
          <w:p w14:paraId="12BC68F2" w14:textId="3C4DCA98"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9,640</w:t>
            </w:r>
          </w:p>
        </w:tc>
        <w:tc>
          <w:tcPr>
            <w:tcW w:w="1418" w:type="dxa"/>
            <w:shd w:val="clear" w:color="auto" w:fill="auto"/>
            <w:noWrap/>
            <w:vAlign w:val="bottom"/>
          </w:tcPr>
          <w:p w14:paraId="6112B460" w14:textId="0F61EE61"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(88)</w:t>
            </w:r>
          </w:p>
        </w:tc>
        <w:tc>
          <w:tcPr>
            <w:tcW w:w="1134" w:type="dxa"/>
            <w:shd w:val="clear" w:color="auto" w:fill="auto"/>
            <w:noWrap/>
            <w:vAlign w:val="bottom"/>
          </w:tcPr>
          <w:p w14:paraId="259EA403" w14:textId="3B02CBD1"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45</w:t>
            </w:r>
          </w:p>
        </w:tc>
        <w:tc>
          <w:tcPr>
            <w:tcW w:w="1309" w:type="dxa"/>
            <w:shd w:val="clear" w:color="auto" w:fill="auto"/>
            <w:noWrap/>
            <w:vAlign w:val="bottom"/>
          </w:tcPr>
          <w:p w14:paraId="5206D876" w14:textId="7551DCD3"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134" w:type="dxa"/>
            <w:shd w:val="clear" w:color="auto" w:fill="auto"/>
            <w:noWrap/>
            <w:vAlign w:val="bottom"/>
          </w:tcPr>
          <w:p w14:paraId="6BAB0ABF" w14:textId="60918AEE"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9,597</w:t>
            </w:r>
          </w:p>
        </w:tc>
      </w:tr>
      <w:tr w:rsidR="004C1234" w:rsidRPr="00537128" w14:paraId="57BF1709" w14:textId="77777777" w:rsidTr="005F48D3">
        <w:trPr>
          <w:trHeight w:val="310"/>
        </w:trPr>
        <w:tc>
          <w:tcPr>
            <w:tcW w:w="3369" w:type="dxa"/>
            <w:tcBorders>
              <w:top w:val="nil"/>
              <w:left w:val="nil"/>
              <w:bottom w:val="nil"/>
              <w:right w:val="nil"/>
            </w:tcBorders>
            <w:shd w:val="clear" w:color="auto" w:fill="auto"/>
            <w:vAlign w:val="bottom"/>
          </w:tcPr>
          <w:p w14:paraId="67842955" w14:textId="77777777" w:rsidR="004C1234" w:rsidRPr="00537128" w:rsidRDefault="004C1234" w:rsidP="004C1234">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Expenses for insured cases</w:t>
            </w:r>
          </w:p>
        </w:tc>
        <w:tc>
          <w:tcPr>
            <w:tcW w:w="1275" w:type="dxa"/>
            <w:shd w:val="clear" w:color="auto" w:fill="auto"/>
            <w:noWrap/>
            <w:vAlign w:val="bottom"/>
          </w:tcPr>
          <w:p w14:paraId="5432A24E" w14:textId="4A8BA51A"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418" w:type="dxa"/>
            <w:shd w:val="clear" w:color="auto" w:fill="auto"/>
            <w:noWrap/>
            <w:vAlign w:val="bottom"/>
          </w:tcPr>
          <w:p w14:paraId="358970EA" w14:textId="6A49ABB6"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(78)</w:t>
            </w:r>
          </w:p>
        </w:tc>
        <w:tc>
          <w:tcPr>
            <w:tcW w:w="1134" w:type="dxa"/>
            <w:shd w:val="clear" w:color="auto" w:fill="auto"/>
            <w:noWrap/>
            <w:vAlign w:val="bottom"/>
          </w:tcPr>
          <w:p w14:paraId="74BD8E08" w14:textId="274D5A15"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309" w:type="dxa"/>
            <w:shd w:val="clear" w:color="auto" w:fill="auto"/>
            <w:noWrap/>
            <w:vAlign w:val="bottom"/>
          </w:tcPr>
          <w:p w14:paraId="26FEBE9F" w14:textId="5D859FDC"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134" w:type="dxa"/>
            <w:shd w:val="clear" w:color="auto" w:fill="auto"/>
            <w:noWrap/>
            <w:vAlign w:val="bottom"/>
          </w:tcPr>
          <w:p w14:paraId="15E39B07" w14:textId="6A5298A8"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(78)</w:t>
            </w:r>
          </w:p>
        </w:tc>
      </w:tr>
      <w:tr w:rsidR="004C1234" w:rsidRPr="00537128" w14:paraId="314C3A97" w14:textId="77777777" w:rsidTr="005F48D3">
        <w:trPr>
          <w:trHeight w:val="300"/>
        </w:trPr>
        <w:tc>
          <w:tcPr>
            <w:tcW w:w="3369" w:type="dxa"/>
            <w:tcBorders>
              <w:top w:val="nil"/>
              <w:left w:val="nil"/>
              <w:bottom w:val="nil"/>
              <w:right w:val="nil"/>
            </w:tcBorders>
            <w:shd w:val="clear" w:color="auto" w:fill="auto"/>
            <w:vAlign w:val="bottom"/>
          </w:tcPr>
          <w:p w14:paraId="58E396A6" w14:textId="77777777" w:rsidR="004C1234" w:rsidRPr="00537128" w:rsidRDefault="004C1234" w:rsidP="004C1234">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Net change in provisions</w:t>
            </w:r>
          </w:p>
        </w:tc>
        <w:tc>
          <w:tcPr>
            <w:tcW w:w="1275" w:type="dxa"/>
            <w:shd w:val="clear" w:color="auto" w:fill="auto"/>
            <w:noWrap/>
            <w:vAlign w:val="bottom"/>
          </w:tcPr>
          <w:p w14:paraId="2E174B1A" w14:textId="7DB747C9"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418" w:type="dxa"/>
            <w:shd w:val="clear" w:color="auto" w:fill="auto"/>
            <w:noWrap/>
            <w:vAlign w:val="bottom"/>
          </w:tcPr>
          <w:p w14:paraId="4EA8F465" w14:textId="7B49D34A"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(101)</w:t>
            </w:r>
          </w:p>
        </w:tc>
        <w:tc>
          <w:tcPr>
            <w:tcW w:w="1134" w:type="dxa"/>
            <w:shd w:val="clear" w:color="auto" w:fill="auto"/>
            <w:noWrap/>
            <w:vAlign w:val="bottom"/>
          </w:tcPr>
          <w:p w14:paraId="42B49943" w14:textId="5A3BC607"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309" w:type="dxa"/>
            <w:shd w:val="clear" w:color="auto" w:fill="auto"/>
            <w:noWrap/>
            <w:vAlign w:val="bottom"/>
          </w:tcPr>
          <w:p w14:paraId="25687FA0" w14:textId="4228D608"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134" w:type="dxa"/>
            <w:shd w:val="clear" w:color="auto" w:fill="auto"/>
            <w:noWrap/>
            <w:vAlign w:val="bottom"/>
          </w:tcPr>
          <w:p w14:paraId="34F4E043" w14:textId="33A7C26E"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(101)</w:t>
            </w:r>
          </w:p>
        </w:tc>
      </w:tr>
      <w:tr w:rsidR="004C1234" w:rsidRPr="00537128" w14:paraId="5B658105" w14:textId="77777777" w:rsidTr="005F48D3">
        <w:trPr>
          <w:trHeight w:val="300"/>
        </w:trPr>
        <w:tc>
          <w:tcPr>
            <w:tcW w:w="3369" w:type="dxa"/>
            <w:tcBorders>
              <w:top w:val="nil"/>
              <w:left w:val="nil"/>
              <w:right w:val="nil"/>
            </w:tcBorders>
            <w:shd w:val="clear" w:color="auto" w:fill="auto"/>
            <w:vAlign w:val="bottom"/>
          </w:tcPr>
          <w:p w14:paraId="54707AF0" w14:textId="77777777" w:rsidR="004C1234" w:rsidRPr="00537128" w:rsidRDefault="004C1234" w:rsidP="004C1234">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Other expenses</w:t>
            </w:r>
          </w:p>
        </w:tc>
        <w:tc>
          <w:tcPr>
            <w:tcW w:w="1275" w:type="dxa"/>
            <w:tcBorders>
              <w:top w:val="nil"/>
              <w:left w:val="nil"/>
              <w:bottom w:val="single" w:sz="4" w:space="0" w:color="auto"/>
              <w:right w:val="nil"/>
            </w:tcBorders>
            <w:shd w:val="clear" w:color="auto" w:fill="auto"/>
            <w:noWrap/>
            <w:vAlign w:val="bottom"/>
          </w:tcPr>
          <w:p w14:paraId="7A2918FC" w14:textId="45DAC16A"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418" w:type="dxa"/>
            <w:tcBorders>
              <w:top w:val="nil"/>
              <w:left w:val="nil"/>
              <w:bottom w:val="single" w:sz="4" w:space="0" w:color="auto"/>
              <w:right w:val="nil"/>
            </w:tcBorders>
            <w:shd w:val="clear" w:color="auto" w:fill="auto"/>
            <w:noWrap/>
            <w:vAlign w:val="bottom"/>
          </w:tcPr>
          <w:p w14:paraId="15B0668C" w14:textId="743AD5F9"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(136)</w:t>
            </w:r>
          </w:p>
        </w:tc>
        <w:tc>
          <w:tcPr>
            <w:tcW w:w="1134" w:type="dxa"/>
            <w:tcBorders>
              <w:top w:val="nil"/>
              <w:left w:val="nil"/>
              <w:bottom w:val="single" w:sz="4" w:space="0" w:color="auto"/>
              <w:right w:val="nil"/>
            </w:tcBorders>
            <w:shd w:val="clear" w:color="auto" w:fill="auto"/>
            <w:noWrap/>
            <w:vAlign w:val="bottom"/>
          </w:tcPr>
          <w:p w14:paraId="2B5ACB06" w14:textId="102FA2D4"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309" w:type="dxa"/>
            <w:tcBorders>
              <w:top w:val="nil"/>
              <w:left w:val="nil"/>
              <w:bottom w:val="single" w:sz="4" w:space="0" w:color="auto"/>
              <w:right w:val="nil"/>
            </w:tcBorders>
            <w:shd w:val="clear" w:color="auto" w:fill="auto"/>
            <w:noWrap/>
            <w:vAlign w:val="bottom"/>
          </w:tcPr>
          <w:p w14:paraId="552B6791" w14:textId="0E864BC0"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134" w:type="dxa"/>
            <w:tcBorders>
              <w:top w:val="nil"/>
              <w:left w:val="nil"/>
              <w:bottom w:val="single" w:sz="4" w:space="0" w:color="auto"/>
              <w:right w:val="nil"/>
            </w:tcBorders>
            <w:shd w:val="clear" w:color="auto" w:fill="auto"/>
            <w:noWrap/>
            <w:vAlign w:val="bottom"/>
          </w:tcPr>
          <w:p w14:paraId="7D30FCF7" w14:textId="5114C915"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(136)</w:t>
            </w:r>
          </w:p>
        </w:tc>
      </w:tr>
      <w:tr w:rsidR="004C1234" w:rsidRPr="00537128" w14:paraId="16005151" w14:textId="77777777" w:rsidTr="005F48D3">
        <w:trPr>
          <w:trHeight w:val="300"/>
        </w:trPr>
        <w:tc>
          <w:tcPr>
            <w:tcW w:w="3369" w:type="dxa"/>
            <w:tcBorders>
              <w:left w:val="nil"/>
              <w:right w:val="nil"/>
            </w:tcBorders>
            <w:shd w:val="clear" w:color="auto" w:fill="auto"/>
            <w:vAlign w:val="bottom"/>
          </w:tcPr>
          <w:p w14:paraId="60138F3B" w14:textId="77777777" w:rsidR="004C1234" w:rsidRPr="00537128" w:rsidRDefault="004C1234" w:rsidP="004C1234">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Operating expenses</w:t>
            </w:r>
          </w:p>
        </w:tc>
        <w:tc>
          <w:tcPr>
            <w:tcW w:w="1275" w:type="dxa"/>
            <w:tcBorders>
              <w:top w:val="single" w:sz="4" w:space="0" w:color="auto"/>
              <w:left w:val="nil"/>
              <w:bottom w:val="single" w:sz="12" w:space="0" w:color="auto"/>
              <w:right w:val="nil"/>
            </w:tcBorders>
            <w:shd w:val="clear" w:color="auto" w:fill="auto"/>
            <w:noWrap/>
            <w:vAlign w:val="bottom"/>
          </w:tcPr>
          <w:p w14:paraId="696AB248" w14:textId="25731DA5" w:rsidR="004C1234" w:rsidRPr="00537128" w:rsidRDefault="004C1234" w:rsidP="004C1234">
            <w:pPr>
              <w:spacing w:after="0" w:line="300" w:lineRule="exact"/>
              <w:jc w:val="right"/>
              <w:rPr>
                <w:rFonts w:ascii="Calibri" w:eastAsia="Times New Roman" w:hAnsi="Calibri" w:cs="Arial"/>
                <w:b/>
                <w:bCs/>
                <w:sz w:val="20"/>
                <w:szCs w:val="20"/>
                <w:lang w:val="en-US"/>
              </w:rPr>
            </w:pPr>
            <w:r>
              <w:rPr>
                <w:rFonts w:ascii="Calibri" w:eastAsia="Calibri" w:hAnsi="Calibri" w:cs="Arial"/>
                <w:b/>
                <w:bCs/>
                <w:color w:val="000000"/>
                <w:sz w:val="20"/>
                <w:szCs w:val="20"/>
              </w:rPr>
              <w:t>(35,390)</w:t>
            </w:r>
          </w:p>
        </w:tc>
        <w:tc>
          <w:tcPr>
            <w:tcW w:w="1418" w:type="dxa"/>
            <w:tcBorders>
              <w:top w:val="single" w:sz="4" w:space="0" w:color="auto"/>
              <w:left w:val="nil"/>
              <w:bottom w:val="single" w:sz="12" w:space="0" w:color="auto"/>
              <w:right w:val="nil"/>
            </w:tcBorders>
            <w:shd w:val="clear" w:color="auto" w:fill="auto"/>
            <w:noWrap/>
            <w:vAlign w:val="bottom"/>
          </w:tcPr>
          <w:p w14:paraId="3D466AEB" w14:textId="4C4515D0" w:rsidR="004C1234" w:rsidRPr="00537128" w:rsidRDefault="004C1234" w:rsidP="004C1234">
            <w:pPr>
              <w:spacing w:after="0" w:line="300" w:lineRule="exact"/>
              <w:jc w:val="right"/>
              <w:rPr>
                <w:rFonts w:ascii="Calibri" w:eastAsia="Times New Roman" w:hAnsi="Calibri" w:cs="Arial"/>
                <w:b/>
                <w:bCs/>
                <w:sz w:val="20"/>
                <w:szCs w:val="20"/>
                <w:lang w:val="en-US"/>
              </w:rPr>
            </w:pPr>
            <w:r>
              <w:rPr>
                <w:rFonts w:ascii="Calibri" w:eastAsia="Calibri" w:hAnsi="Calibri" w:cs="Arial"/>
                <w:b/>
                <w:bCs/>
                <w:color w:val="000000"/>
                <w:sz w:val="20"/>
                <w:szCs w:val="20"/>
              </w:rPr>
              <w:t>(1,876)</w:t>
            </w:r>
          </w:p>
        </w:tc>
        <w:tc>
          <w:tcPr>
            <w:tcW w:w="1134" w:type="dxa"/>
            <w:tcBorders>
              <w:top w:val="single" w:sz="4" w:space="0" w:color="auto"/>
              <w:left w:val="nil"/>
              <w:bottom w:val="single" w:sz="12" w:space="0" w:color="auto"/>
              <w:right w:val="nil"/>
            </w:tcBorders>
            <w:shd w:val="clear" w:color="auto" w:fill="auto"/>
            <w:noWrap/>
            <w:vAlign w:val="bottom"/>
          </w:tcPr>
          <w:p w14:paraId="51808F63" w14:textId="1162A25C" w:rsidR="004C1234" w:rsidRPr="00537128" w:rsidRDefault="004C1234" w:rsidP="004C1234">
            <w:pPr>
              <w:spacing w:after="0" w:line="300" w:lineRule="exact"/>
              <w:jc w:val="right"/>
              <w:rPr>
                <w:rFonts w:ascii="Calibri" w:eastAsia="Times New Roman" w:hAnsi="Calibri" w:cs="Arial"/>
                <w:b/>
                <w:bCs/>
                <w:sz w:val="20"/>
                <w:szCs w:val="20"/>
                <w:lang w:val="en-US"/>
              </w:rPr>
            </w:pPr>
            <w:r>
              <w:rPr>
                <w:rFonts w:ascii="Calibri" w:eastAsia="Calibri" w:hAnsi="Calibri" w:cs="Arial"/>
                <w:b/>
                <w:bCs/>
                <w:color w:val="000000"/>
                <w:sz w:val="20"/>
                <w:szCs w:val="20"/>
              </w:rPr>
              <w:t>(440)</w:t>
            </w:r>
          </w:p>
        </w:tc>
        <w:tc>
          <w:tcPr>
            <w:tcW w:w="1309" w:type="dxa"/>
            <w:tcBorders>
              <w:top w:val="single" w:sz="4" w:space="0" w:color="auto"/>
              <w:left w:val="nil"/>
              <w:bottom w:val="single" w:sz="12" w:space="0" w:color="auto"/>
              <w:right w:val="nil"/>
            </w:tcBorders>
            <w:shd w:val="clear" w:color="auto" w:fill="auto"/>
            <w:noWrap/>
            <w:vAlign w:val="bottom"/>
          </w:tcPr>
          <w:p w14:paraId="4C09B6E2" w14:textId="0FFB5614" w:rsidR="004C1234" w:rsidRPr="00537128" w:rsidRDefault="004C1234" w:rsidP="004C1234">
            <w:pPr>
              <w:spacing w:after="0" w:line="300" w:lineRule="exact"/>
              <w:jc w:val="right"/>
              <w:rPr>
                <w:rFonts w:ascii="Calibri" w:eastAsia="Times New Roman" w:hAnsi="Calibri" w:cs="Arial"/>
                <w:b/>
                <w:bCs/>
                <w:sz w:val="20"/>
                <w:szCs w:val="20"/>
                <w:lang w:val="en-US"/>
              </w:rPr>
            </w:pPr>
            <w:r>
              <w:rPr>
                <w:rFonts w:ascii="Calibri" w:eastAsia="Calibri" w:hAnsi="Calibri" w:cs="Arial"/>
                <w:b/>
                <w:bCs/>
                <w:color w:val="000000"/>
                <w:sz w:val="20"/>
                <w:szCs w:val="20"/>
              </w:rPr>
              <w:t>68</w:t>
            </w:r>
          </w:p>
        </w:tc>
        <w:tc>
          <w:tcPr>
            <w:tcW w:w="1134" w:type="dxa"/>
            <w:tcBorders>
              <w:top w:val="single" w:sz="4" w:space="0" w:color="auto"/>
              <w:left w:val="nil"/>
              <w:bottom w:val="single" w:sz="12" w:space="0" w:color="auto"/>
              <w:right w:val="nil"/>
            </w:tcBorders>
            <w:shd w:val="clear" w:color="auto" w:fill="auto"/>
            <w:noWrap/>
            <w:vAlign w:val="bottom"/>
          </w:tcPr>
          <w:p w14:paraId="2BB9E7DA" w14:textId="3821E8A6" w:rsidR="004C1234" w:rsidRPr="00537128" w:rsidRDefault="004C1234" w:rsidP="004C1234">
            <w:pPr>
              <w:spacing w:after="0" w:line="300" w:lineRule="exact"/>
              <w:jc w:val="right"/>
              <w:rPr>
                <w:rFonts w:ascii="Calibri" w:eastAsia="Times New Roman" w:hAnsi="Calibri" w:cs="Arial"/>
                <w:b/>
                <w:bCs/>
                <w:sz w:val="20"/>
                <w:szCs w:val="20"/>
                <w:lang w:val="en-US"/>
              </w:rPr>
            </w:pPr>
            <w:r>
              <w:rPr>
                <w:rFonts w:ascii="Calibri" w:eastAsia="Calibri" w:hAnsi="Calibri" w:cs="Arial"/>
                <w:b/>
                <w:bCs/>
                <w:color w:val="000000"/>
                <w:sz w:val="20"/>
                <w:szCs w:val="20"/>
              </w:rPr>
              <w:t>(37,638)</w:t>
            </w:r>
          </w:p>
        </w:tc>
      </w:tr>
      <w:tr w:rsidR="004C1234" w:rsidRPr="00537128" w14:paraId="08F132AD" w14:textId="77777777" w:rsidTr="00456F9A">
        <w:trPr>
          <w:trHeight w:val="174"/>
        </w:trPr>
        <w:tc>
          <w:tcPr>
            <w:tcW w:w="3369" w:type="dxa"/>
            <w:tcBorders>
              <w:left w:val="nil"/>
              <w:bottom w:val="nil"/>
              <w:right w:val="nil"/>
            </w:tcBorders>
            <w:shd w:val="clear" w:color="auto" w:fill="auto"/>
            <w:vAlign w:val="bottom"/>
          </w:tcPr>
          <w:p w14:paraId="253C4FF8" w14:textId="77777777" w:rsidR="004C1234" w:rsidRPr="00537128" w:rsidRDefault="004C1234" w:rsidP="004C1234">
            <w:pPr>
              <w:spacing w:after="0" w:line="140" w:lineRule="exact"/>
              <w:rPr>
                <w:rFonts w:ascii="Calibri" w:eastAsia="Times New Roman" w:hAnsi="Calibri" w:cs="Arial"/>
                <w:sz w:val="20"/>
                <w:szCs w:val="20"/>
                <w:lang w:val="en-US"/>
              </w:rPr>
            </w:pPr>
          </w:p>
        </w:tc>
        <w:tc>
          <w:tcPr>
            <w:tcW w:w="1275" w:type="dxa"/>
            <w:tcBorders>
              <w:top w:val="single" w:sz="12" w:space="0" w:color="auto"/>
              <w:left w:val="nil"/>
              <w:bottom w:val="nil"/>
              <w:right w:val="nil"/>
            </w:tcBorders>
            <w:shd w:val="clear" w:color="auto" w:fill="auto"/>
            <w:noWrap/>
            <w:vAlign w:val="bottom"/>
          </w:tcPr>
          <w:p w14:paraId="15D491C5" w14:textId="77777777" w:rsidR="004C1234" w:rsidRPr="00537128" w:rsidRDefault="004C1234" w:rsidP="004C1234">
            <w:pPr>
              <w:spacing w:after="0" w:line="140" w:lineRule="exact"/>
              <w:jc w:val="right"/>
              <w:rPr>
                <w:rFonts w:ascii="Calibri" w:eastAsia="Times New Roman" w:hAnsi="Calibri" w:cs="Arial"/>
                <w:sz w:val="20"/>
                <w:szCs w:val="20"/>
                <w:lang w:val="en-US"/>
              </w:rPr>
            </w:pPr>
          </w:p>
        </w:tc>
        <w:tc>
          <w:tcPr>
            <w:tcW w:w="1418" w:type="dxa"/>
            <w:tcBorders>
              <w:top w:val="single" w:sz="12" w:space="0" w:color="auto"/>
              <w:left w:val="nil"/>
              <w:bottom w:val="nil"/>
              <w:right w:val="nil"/>
            </w:tcBorders>
            <w:shd w:val="clear" w:color="auto" w:fill="auto"/>
            <w:noWrap/>
            <w:vAlign w:val="bottom"/>
          </w:tcPr>
          <w:p w14:paraId="16E900A5" w14:textId="77777777" w:rsidR="004C1234" w:rsidRPr="00537128" w:rsidRDefault="004C1234" w:rsidP="004C1234">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03CA77C3" w14:textId="77777777" w:rsidR="004C1234" w:rsidRPr="00537128" w:rsidRDefault="004C1234" w:rsidP="004C1234">
            <w:pPr>
              <w:spacing w:after="0" w:line="140" w:lineRule="exact"/>
              <w:jc w:val="right"/>
              <w:rPr>
                <w:rFonts w:ascii="Calibri" w:eastAsia="Times New Roman" w:hAnsi="Calibri" w:cs="Arial"/>
                <w:sz w:val="20"/>
                <w:szCs w:val="20"/>
                <w:lang w:val="en-US"/>
              </w:rPr>
            </w:pPr>
          </w:p>
        </w:tc>
        <w:tc>
          <w:tcPr>
            <w:tcW w:w="1309" w:type="dxa"/>
            <w:tcBorders>
              <w:top w:val="single" w:sz="12" w:space="0" w:color="auto"/>
              <w:left w:val="nil"/>
              <w:bottom w:val="nil"/>
              <w:right w:val="nil"/>
            </w:tcBorders>
            <w:shd w:val="clear" w:color="auto" w:fill="auto"/>
            <w:noWrap/>
            <w:vAlign w:val="bottom"/>
          </w:tcPr>
          <w:p w14:paraId="096121B3" w14:textId="77777777" w:rsidR="004C1234" w:rsidRPr="00537128" w:rsidRDefault="004C1234" w:rsidP="004C1234">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6E5689CB" w14:textId="77777777" w:rsidR="004C1234" w:rsidRPr="00537128" w:rsidRDefault="004C1234" w:rsidP="004C1234">
            <w:pPr>
              <w:spacing w:after="0" w:line="140" w:lineRule="exact"/>
              <w:jc w:val="right"/>
              <w:rPr>
                <w:rFonts w:ascii="Calibri" w:eastAsia="Times New Roman" w:hAnsi="Calibri" w:cs="Arial"/>
                <w:sz w:val="20"/>
                <w:szCs w:val="20"/>
                <w:lang w:val="en-US"/>
              </w:rPr>
            </w:pPr>
          </w:p>
        </w:tc>
      </w:tr>
      <w:tr w:rsidR="004C1234" w:rsidRPr="00537128" w14:paraId="1CE917C1" w14:textId="77777777" w:rsidTr="000C3618">
        <w:trPr>
          <w:trHeight w:val="300"/>
        </w:trPr>
        <w:tc>
          <w:tcPr>
            <w:tcW w:w="3369" w:type="dxa"/>
            <w:tcBorders>
              <w:top w:val="nil"/>
              <w:left w:val="nil"/>
              <w:bottom w:val="nil"/>
              <w:right w:val="nil"/>
            </w:tcBorders>
            <w:shd w:val="clear" w:color="auto" w:fill="auto"/>
            <w:vAlign w:val="bottom"/>
          </w:tcPr>
          <w:p w14:paraId="2831C920" w14:textId="77777777" w:rsidR="004C1234" w:rsidRPr="00537128" w:rsidRDefault="004C1234" w:rsidP="004C1234">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Profit before income tax</w:t>
            </w:r>
          </w:p>
        </w:tc>
        <w:tc>
          <w:tcPr>
            <w:tcW w:w="1275" w:type="dxa"/>
            <w:shd w:val="clear" w:color="auto" w:fill="auto"/>
            <w:noWrap/>
            <w:vAlign w:val="bottom"/>
          </w:tcPr>
          <w:p w14:paraId="18FDA5E5" w14:textId="7A736A99" w:rsidR="004C1234" w:rsidRPr="00537128" w:rsidRDefault="004C1234" w:rsidP="004C1234">
            <w:pPr>
              <w:spacing w:after="0" w:line="300" w:lineRule="exact"/>
              <w:jc w:val="right"/>
              <w:rPr>
                <w:rFonts w:ascii="Calibri" w:eastAsia="Times New Roman" w:hAnsi="Calibri" w:cs="Arial"/>
                <w:b/>
                <w:bCs/>
                <w:sz w:val="20"/>
                <w:szCs w:val="20"/>
                <w:lang w:val="en-US"/>
              </w:rPr>
            </w:pPr>
            <w:r>
              <w:rPr>
                <w:rFonts w:ascii="Calibri" w:eastAsia="Calibri" w:hAnsi="Calibri" w:cs="Arial"/>
                <w:bCs/>
                <w:color w:val="000000"/>
                <w:sz w:val="20"/>
                <w:szCs w:val="20"/>
              </w:rPr>
              <w:t>87,800</w:t>
            </w:r>
          </w:p>
        </w:tc>
        <w:tc>
          <w:tcPr>
            <w:tcW w:w="1418" w:type="dxa"/>
            <w:shd w:val="clear" w:color="auto" w:fill="auto"/>
            <w:noWrap/>
            <w:vAlign w:val="bottom"/>
          </w:tcPr>
          <w:p w14:paraId="55D210CA" w14:textId="38CD6106" w:rsidR="004C1234" w:rsidRPr="00537128" w:rsidRDefault="004C1234" w:rsidP="004C1234">
            <w:pPr>
              <w:spacing w:after="0" w:line="300" w:lineRule="exact"/>
              <w:jc w:val="right"/>
              <w:rPr>
                <w:rFonts w:ascii="Calibri" w:eastAsia="Times New Roman" w:hAnsi="Calibri" w:cs="Arial"/>
                <w:bCs/>
                <w:sz w:val="20"/>
                <w:szCs w:val="20"/>
                <w:lang w:val="en-US"/>
              </w:rPr>
            </w:pPr>
            <w:r>
              <w:rPr>
                <w:rFonts w:ascii="Calibri" w:eastAsia="Calibri" w:hAnsi="Calibri" w:cs="Arial"/>
                <w:bCs/>
                <w:sz w:val="20"/>
                <w:szCs w:val="20"/>
              </w:rPr>
              <w:t>578</w:t>
            </w:r>
          </w:p>
        </w:tc>
        <w:tc>
          <w:tcPr>
            <w:tcW w:w="1134" w:type="dxa"/>
            <w:shd w:val="clear" w:color="auto" w:fill="auto"/>
            <w:noWrap/>
            <w:vAlign w:val="bottom"/>
          </w:tcPr>
          <w:p w14:paraId="76DB03F9" w14:textId="3A0FFD52" w:rsidR="004C1234" w:rsidRPr="00537128" w:rsidRDefault="004C1234" w:rsidP="004C1234">
            <w:pPr>
              <w:spacing w:after="0" w:line="300" w:lineRule="exact"/>
              <w:jc w:val="right"/>
              <w:rPr>
                <w:rFonts w:ascii="Calibri" w:eastAsia="Times New Roman" w:hAnsi="Calibri" w:cs="Arial"/>
                <w:bCs/>
                <w:sz w:val="20"/>
                <w:szCs w:val="20"/>
                <w:lang w:val="en-US"/>
              </w:rPr>
            </w:pPr>
            <w:r>
              <w:rPr>
                <w:rFonts w:ascii="Calibri" w:eastAsia="Calibri" w:hAnsi="Calibri" w:cs="Arial"/>
                <w:bCs/>
                <w:sz w:val="20"/>
                <w:szCs w:val="20"/>
              </w:rPr>
              <w:t>187</w:t>
            </w:r>
          </w:p>
        </w:tc>
        <w:tc>
          <w:tcPr>
            <w:tcW w:w="1309" w:type="dxa"/>
            <w:shd w:val="clear" w:color="auto" w:fill="auto"/>
            <w:noWrap/>
            <w:vAlign w:val="bottom"/>
          </w:tcPr>
          <w:p w14:paraId="4B346B8E" w14:textId="1275F9F9" w:rsidR="004C1234" w:rsidRPr="00537128" w:rsidRDefault="004C1234" w:rsidP="004C1234">
            <w:pPr>
              <w:spacing w:after="0" w:line="300" w:lineRule="exact"/>
              <w:jc w:val="right"/>
              <w:rPr>
                <w:rFonts w:ascii="Calibri" w:eastAsia="Times New Roman" w:hAnsi="Calibri" w:cs="Arial"/>
                <w:bCs/>
                <w:sz w:val="20"/>
                <w:szCs w:val="20"/>
                <w:lang w:val="en-US"/>
              </w:rPr>
            </w:pPr>
            <w:r>
              <w:rPr>
                <w:rFonts w:ascii="Calibri" w:eastAsia="Calibri" w:hAnsi="Calibri" w:cs="Arial"/>
                <w:bCs/>
                <w:sz w:val="20"/>
                <w:szCs w:val="20"/>
              </w:rPr>
              <w:t>-</w:t>
            </w:r>
          </w:p>
        </w:tc>
        <w:tc>
          <w:tcPr>
            <w:tcW w:w="1134" w:type="dxa"/>
            <w:shd w:val="clear" w:color="auto" w:fill="auto"/>
            <w:noWrap/>
            <w:vAlign w:val="bottom"/>
          </w:tcPr>
          <w:p w14:paraId="350F096B" w14:textId="53038E5D" w:rsidR="004C1234" w:rsidRPr="00537128" w:rsidRDefault="004C1234" w:rsidP="004C1234">
            <w:pPr>
              <w:spacing w:after="0" w:line="300" w:lineRule="exact"/>
              <w:jc w:val="right"/>
              <w:rPr>
                <w:rFonts w:ascii="Calibri" w:eastAsia="Times New Roman" w:hAnsi="Calibri" w:cs="Arial"/>
                <w:bCs/>
                <w:sz w:val="20"/>
                <w:szCs w:val="20"/>
                <w:lang w:val="en-US"/>
              </w:rPr>
            </w:pPr>
            <w:r>
              <w:rPr>
                <w:rFonts w:ascii="Calibri" w:eastAsia="Calibri" w:hAnsi="Calibri" w:cs="Arial"/>
                <w:bCs/>
                <w:sz w:val="20"/>
                <w:szCs w:val="20"/>
              </w:rPr>
              <w:t>88,565</w:t>
            </w:r>
          </w:p>
        </w:tc>
      </w:tr>
      <w:tr w:rsidR="004C1234" w:rsidRPr="00537128" w14:paraId="3946B8B7" w14:textId="77777777" w:rsidTr="000C3618">
        <w:trPr>
          <w:trHeight w:val="300"/>
        </w:trPr>
        <w:tc>
          <w:tcPr>
            <w:tcW w:w="3369" w:type="dxa"/>
            <w:tcBorders>
              <w:top w:val="nil"/>
              <w:left w:val="nil"/>
              <w:right w:val="nil"/>
            </w:tcBorders>
            <w:shd w:val="clear" w:color="auto" w:fill="auto"/>
            <w:vAlign w:val="bottom"/>
          </w:tcPr>
          <w:p w14:paraId="3540FE56" w14:textId="77777777" w:rsidR="004C1234" w:rsidRPr="00537128" w:rsidRDefault="004C1234" w:rsidP="004C1234">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Income tax</w:t>
            </w:r>
          </w:p>
        </w:tc>
        <w:tc>
          <w:tcPr>
            <w:tcW w:w="1275" w:type="dxa"/>
            <w:tcBorders>
              <w:top w:val="nil"/>
              <w:left w:val="nil"/>
              <w:bottom w:val="single" w:sz="4" w:space="0" w:color="auto"/>
              <w:right w:val="nil"/>
            </w:tcBorders>
            <w:shd w:val="clear" w:color="auto" w:fill="auto"/>
            <w:noWrap/>
            <w:vAlign w:val="bottom"/>
          </w:tcPr>
          <w:p w14:paraId="1969FE10" w14:textId="4A795582" w:rsidR="004C1234" w:rsidRPr="00537128" w:rsidRDefault="004C1234" w:rsidP="004C12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418" w:type="dxa"/>
            <w:tcBorders>
              <w:top w:val="nil"/>
              <w:left w:val="nil"/>
              <w:bottom w:val="single" w:sz="4" w:space="0" w:color="auto"/>
              <w:right w:val="nil"/>
            </w:tcBorders>
            <w:shd w:val="clear" w:color="auto" w:fill="auto"/>
            <w:noWrap/>
            <w:vAlign w:val="bottom"/>
          </w:tcPr>
          <w:p w14:paraId="124476F8" w14:textId="2BD24042" w:rsidR="004C1234" w:rsidRPr="00537128" w:rsidRDefault="004C1234" w:rsidP="004C1234">
            <w:pPr>
              <w:spacing w:after="0" w:line="300" w:lineRule="exact"/>
              <w:jc w:val="right"/>
              <w:rPr>
                <w:rFonts w:ascii="Calibri" w:eastAsia="Times New Roman" w:hAnsi="Calibri" w:cs="Arial"/>
                <w:bCs/>
                <w:sz w:val="20"/>
                <w:szCs w:val="20"/>
                <w:lang w:val="en-US"/>
              </w:rPr>
            </w:pPr>
            <w:r>
              <w:rPr>
                <w:rFonts w:ascii="Calibri" w:eastAsia="Calibri" w:hAnsi="Calibri" w:cs="Arial"/>
                <w:bCs/>
                <w:sz w:val="20"/>
                <w:szCs w:val="20"/>
              </w:rPr>
              <w:t>-</w:t>
            </w:r>
          </w:p>
        </w:tc>
        <w:tc>
          <w:tcPr>
            <w:tcW w:w="1134" w:type="dxa"/>
            <w:tcBorders>
              <w:top w:val="nil"/>
              <w:left w:val="nil"/>
              <w:bottom w:val="single" w:sz="4" w:space="0" w:color="auto"/>
              <w:right w:val="nil"/>
            </w:tcBorders>
            <w:shd w:val="clear" w:color="auto" w:fill="auto"/>
            <w:noWrap/>
            <w:vAlign w:val="bottom"/>
          </w:tcPr>
          <w:p w14:paraId="6794C2B0" w14:textId="3BF7EA43" w:rsidR="004C1234" w:rsidRPr="00537128" w:rsidRDefault="004C1234" w:rsidP="004C1234">
            <w:pPr>
              <w:spacing w:after="0" w:line="300" w:lineRule="exact"/>
              <w:jc w:val="right"/>
              <w:rPr>
                <w:rFonts w:ascii="Calibri" w:eastAsia="Times New Roman" w:hAnsi="Calibri" w:cs="Arial"/>
                <w:bCs/>
                <w:sz w:val="20"/>
                <w:szCs w:val="20"/>
                <w:lang w:val="en-US"/>
              </w:rPr>
            </w:pPr>
            <w:r>
              <w:rPr>
                <w:rFonts w:ascii="Calibri" w:eastAsia="Calibri" w:hAnsi="Calibri" w:cs="Arial"/>
                <w:bCs/>
                <w:sz w:val="20"/>
                <w:szCs w:val="20"/>
              </w:rPr>
              <w:t>-</w:t>
            </w:r>
          </w:p>
        </w:tc>
        <w:tc>
          <w:tcPr>
            <w:tcW w:w="1309" w:type="dxa"/>
            <w:tcBorders>
              <w:top w:val="nil"/>
              <w:left w:val="nil"/>
              <w:bottom w:val="single" w:sz="4" w:space="0" w:color="auto"/>
              <w:right w:val="nil"/>
            </w:tcBorders>
            <w:shd w:val="clear" w:color="auto" w:fill="auto"/>
            <w:noWrap/>
            <w:vAlign w:val="bottom"/>
          </w:tcPr>
          <w:p w14:paraId="50FDB56D" w14:textId="30E2CE5A" w:rsidR="004C1234" w:rsidRPr="00537128" w:rsidRDefault="004C1234" w:rsidP="004C1234">
            <w:pPr>
              <w:spacing w:after="0" w:line="300" w:lineRule="exact"/>
              <w:jc w:val="right"/>
              <w:rPr>
                <w:rFonts w:ascii="Calibri" w:eastAsia="Times New Roman" w:hAnsi="Calibri" w:cs="Arial"/>
                <w:bCs/>
                <w:sz w:val="20"/>
                <w:szCs w:val="20"/>
                <w:lang w:val="en-US"/>
              </w:rPr>
            </w:pPr>
            <w:r>
              <w:rPr>
                <w:rFonts w:ascii="Calibri" w:eastAsia="Calibri" w:hAnsi="Calibri" w:cs="Arial"/>
                <w:bCs/>
                <w:sz w:val="20"/>
                <w:szCs w:val="20"/>
              </w:rPr>
              <w:t>-</w:t>
            </w:r>
          </w:p>
        </w:tc>
        <w:tc>
          <w:tcPr>
            <w:tcW w:w="1134" w:type="dxa"/>
            <w:tcBorders>
              <w:top w:val="nil"/>
              <w:left w:val="nil"/>
              <w:bottom w:val="single" w:sz="4" w:space="0" w:color="auto"/>
              <w:right w:val="nil"/>
            </w:tcBorders>
            <w:shd w:val="clear" w:color="auto" w:fill="auto"/>
            <w:noWrap/>
            <w:vAlign w:val="bottom"/>
          </w:tcPr>
          <w:p w14:paraId="3025E81F" w14:textId="08132D83" w:rsidR="004C1234" w:rsidRPr="00537128" w:rsidRDefault="004C1234" w:rsidP="004C1234">
            <w:pPr>
              <w:spacing w:after="0" w:line="300" w:lineRule="exact"/>
              <w:jc w:val="right"/>
              <w:rPr>
                <w:rFonts w:ascii="Calibri" w:eastAsia="Times New Roman" w:hAnsi="Calibri" w:cs="Arial"/>
                <w:bCs/>
                <w:sz w:val="20"/>
                <w:szCs w:val="20"/>
                <w:lang w:val="en-US"/>
              </w:rPr>
            </w:pPr>
            <w:r>
              <w:rPr>
                <w:rFonts w:ascii="Calibri" w:eastAsia="Calibri" w:hAnsi="Calibri" w:cs="Arial"/>
                <w:bCs/>
                <w:sz w:val="20"/>
                <w:szCs w:val="20"/>
              </w:rPr>
              <w:t>-</w:t>
            </w:r>
          </w:p>
        </w:tc>
      </w:tr>
      <w:tr w:rsidR="004C1234" w:rsidRPr="00537128" w14:paraId="4F6DD761" w14:textId="77777777" w:rsidTr="000C3618">
        <w:trPr>
          <w:trHeight w:val="315"/>
        </w:trPr>
        <w:tc>
          <w:tcPr>
            <w:tcW w:w="3369" w:type="dxa"/>
            <w:tcBorders>
              <w:left w:val="nil"/>
              <w:right w:val="nil"/>
            </w:tcBorders>
            <w:shd w:val="clear" w:color="auto" w:fill="auto"/>
            <w:vAlign w:val="bottom"/>
          </w:tcPr>
          <w:p w14:paraId="69291AF2" w14:textId="32186A99" w:rsidR="004C1234" w:rsidRPr="00537128" w:rsidRDefault="004C1234" w:rsidP="004C1234">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 xml:space="preserve">Profit for the </w:t>
            </w:r>
            <w:r w:rsidR="00E07025">
              <w:rPr>
                <w:rFonts w:ascii="Calibri" w:eastAsia="Times New Roman" w:hAnsi="Calibri" w:cs="Arial"/>
                <w:b/>
                <w:bCs/>
                <w:sz w:val="20"/>
                <w:szCs w:val="20"/>
                <w:lang w:val="en-US"/>
              </w:rPr>
              <w:t>period</w:t>
            </w:r>
          </w:p>
        </w:tc>
        <w:tc>
          <w:tcPr>
            <w:tcW w:w="1275" w:type="dxa"/>
            <w:shd w:val="clear" w:color="auto" w:fill="auto"/>
            <w:noWrap/>
            <w:vAlign w:val="bottom"/>
          </w:tcPr>
          <w:p w14:paraId="68FBA747" w14:textId="62C5B3C2" w:rsidR="004C1234" w:rsidRPr="00537128" w:rsidRDefault="004C1234" w:rsidP="004C1234">
            <w:pPr>
              <w:spacing w:after="0" w:line="300" w:lineRule="exact"/>
              <w:jc w:val="right"/>
              <w:rPr>
                <w:rFonts w:ascii="Calibri" w:eastAsia="Times New Roman" w:hAnsi="Calibri" w:cs="Arial"/>
                <w:b/>
                <w:bCs/>
                <w:sz w:val="20"/>
                <w:szCs w:val="20"/>
                <w:lang w:val="en-US"/>
              </w:rPr>
            </w:pPr>
            <w:r>
              <w:rPr>
                <w:rFonts w:ascii="Calibri" w:eastAsia="Calibri" w:hAnsi="Calibri" w:cs="Arial"/>
                <w:b/>
                <w:bCs/>
                <w:color w:val="000000"/>
                <w:sz w:val="20"/>
                <w:szCs w:val="20"/>
              </w:rPr>
              <w:t>87,800</w:t>
            </w:r>
          </w:p>
        </w:tc>
        <w:tc>
          <w:tcPr>
            <w:tcW w:w="1418" w:type="dxa"/>
            <w:shd w:val="clear" w:color="auto" w:fill="auto"/>
            <w:noWrap/>
            <w:vAlign w:val="bottom"/>
          </w:tcPr>
          <w:p w14:paraId="194D482E" w14:textId="558E0A05" w:rsidR="004C1234" w:rsidRPr="00537128" w:rsidRDefault="004C1234" w:rsidP="004C1234">
            <w:pPr>
              <w:spacing w:after="0" w:line="300" w:lineRule="exact"/>
              <w:jc w:val="right"/>
              <w:rPr>
                <w:rFonts w:ascii="Calibri" w:eastAsia="Times New Roman" w:hAnsi="Calibri" w:cs="Arial"/>
                <w:b/>
                <w:bCs/>
                <w:sz w:val="20"/>
                <w:szCs w:val="20"/>
                <w:lang w:val="en-US"/>
              </w:rPr>
            </w:pPr>
            <w:r>
              <w:rPr>
                <w:rFonts w:ascii="Calibri" w:eastAsia="Calibri" w:hAnsi="Calibri" w:cs="Arial"/>
                <w:b/>
                <w:bCs/>
                <w:sz w:val="20"/>
                <w:szCs w:val="20"/>
              </w:rPr>
              <w:t>578</w:t>
            </w:r>
          </w:p>
        </w:tc>
        <w:tc>
          <w:tcPr>
            <w:tcW w:w="1134" w:type="dxa"/>
            <w:tcBorders>
              <w:top w:val="single" w:sz="4" w:space="0" w:color="auto"/>
              <w:left w:val="nil"/>
              <w:bottom w:val="single" w:sz="12" w:space="0" w:color="auto"/>
              <w:right w:val="nil"/>
            </w:tcBorders>
            <w:shd w:val="clear" w:color="auto" w:fill="auto"/>
            <w:noWrap/>
            <w:vAlign w:val="bottom"/>
          </w:tcPr>
          <w:p w14:paraId="44D6CA14" w14:textId="452334E9" w:rsidR="004C1234" w:rsidRPr="00537128" w:rsidRDefault="004C1234" w:rsidP="004C1234">
            <w:pPr>
              <w:spacing w:after="0" w:line="300" w:lineRule="exact"/>
              <w:jc w:val="right"/>
              <w:rPr>
                <w:rFonts w:ascii="Calibri" w:eastAsia="Times New Roman" w:hAnsi="Calibri" w:cs="Arial"/>
                <w:b/>
                <w:bCs/>
                <w:sz w:val="20"/>
                <w:szCs w:val="20"/>
                <w:lang w:val="en-US"/>
              </w:rPr>
            </w:pPr>
            <w:r>
              <w:rPr>
                <w:rFonts w:ascii="Calibri" w:eastAsia="Calibri" w:hAnsi="Calibri" w:cs="Arial"/>
                <w:b/>
                <w:bCs/>
                <w:sz w:val="20"/>
                <w:szCs w:val="20"/>
              </w:rPr>
              <w:t>187</w:t>
            </w:r>
          </w:p>
        </w:tc>
        <w:tc>
          <w:tcPr>
            <w:tcW w:w="1309" w:type="dxa"/>
            <w:tcBorders>
              <w:top w:val="single" w:sz="4" w:space="0" w:color="auto"/>
              <w:left w:val="nil"/>
              <w:bottom w:val="single" w:sz="12" w:space="0" w:color="auto"/>
              <w:right w:val="nil"/>
            </w:tcBorders>
            <w:shd w:val="clear" w:color="auto" w:fill="auto"/>
            <w:noWrap/>
            <w:vAlign w:val="bottom"/>
          </w:tcPr>
          <w:p w14:paraId="7F133209" w14:textId="72B1B957" w:rsidR="004C1234" w:rsidRPr="00537128" w:rsidRDefault="004C1234" w:rsidP="004C1234">
            <w:pPr>
              <w:spacing w:after="0" w:line="300" w:lineRule="exact"/>
              <w:jc w:val="right"/>
              <w:rPr>
                <w:rFonts w:ascii="Calibri" w:eastAsia="Times New Roman" w:hAnsi="Calibri" w:cs="Arial"/>
                <w:b/>
                <w:bCs/>
                <w:sz w:val="20"/>
                <w:szCs w:val="20"/>
                <w:lang w:val="en-US"/>
              </w:rPr>
            </w:pPr>
            <w:r>
              <w:rPr>
                <w:rFonts w:ascii="Calibri" w:eastAsia="Calibri" w:hAnsi="Calibri" w:cs="Arial"/>
                <w:b/>
                <w:bCs/>
                <w:sz w:val="20"/>
                <w:szCs w:val="20"/>
              </w:rPr>
              <w:t>-</w:t>
            </w:r>
          </w:p>
        </w:tc>
        <w:tc>
          <w:tcPr>
            <w:tcW w:w="1134" w:type="dxa"/>
            <w:tcBorders>
              <w:top w:val="single" w:sz="4" w:space="0" w:color="auto"/>
              <w:left w:val="nil"/>
              <w:bottom w:val="single" w:sz="12" w:space="0" w:color="auto"/>
              <w:right w:val="nil"/>
            </w:tcBorders>
            <w:shd w:val="clear" w:color="auto" w:fill="auto"/>
            <w:noWrap/>
            <w:vAlign w:val="bottom"/>
          </w:tcPr>
          <w:p w14:paraId="1E737C22" w14:textId="2720319F" w:rsidR="004C1234" w:rsidRPr="00537128" w:rsidRDefault="004C1234" w:rsidP="004C1234">
            <w:pPr>
              <w:spacing w:after="0" w:line="300" w:lineRule="exact"/>
              <w:jc w:val="right"/>
              <w:rPr>
                <w:rFonts w:ascii="Calibri" w:eastAsia="Times New Roman" w:hAnsi="Calibri" w:cs="Arial"/>
                <w:b/>
                <w:bCs/>
                <w:sz w:val="20"/>
                <w:szCs w:val="20"/>
                <w:lang w:val="en-US"/>
              </w:rPr>
            </w:pPr>
            <w:r>
              <w:rPr>
                <w:rFonts w:ascii="Calibri" w:eastAsia="Calibri" w:hAnsi="Calibri" w:cs="Arial"/>
                <w:b/>
                <w:bCs/>
                <w:sz w:val="20"/>
                <w:szCs w:val="20"/>
              </w:rPr>
              <w:t>88,565</w:t>
            </w:r>
          </w:p>
        </w:tc>
      </w:tr>
      <w:tr w:rsidR="004C1234" w:rsidRPr="00537128" w14:paraId="4D75AA26" w14:textId="77777777" w:rsidTr="00456F9A">
        <w:trPr>
          <w:trHeight w:val="52"/>
        </w:trPr>
        <w:tc>
          <w:tcPr>
            <w:tcW w:w="3369" w:type="dxa"/>
            <w:tcBorders>
              <w:left w:val="nil"/>
              <w:bottom w:val="nil"/>
              <w:right w:val="nil"/>
            </w:tcBorders>
            <w:shd w:val="clear" w:color="auto" w:fill="auto"/>
            <w:vAlign w:val="bottom"/>
          </w:tcPr>
          <w:p w14:paraId="43EC7277" w14:textId="77777777" w:rsidR="004C1234" w:rsidRPr="00537128" w:rsidRDefault="004C1234" w:rsidP="004C1234">
            <w:pPr>
              <w:spacing w:after="0" w:line="140" w:lineRule="exact"/>
              <w:rPr>
                <w:rFonts w:ascii="Calibri" w:eastAsia="Times New Roman" w:hAnsi="Calibri" w:cs="Arial"/>
                <w:sz w:val="20"/>
                <w:szCs w:val="20"/>
                <w:lang w:val="en-US"/>
              </w:rPr>
            </w:pPr>
          </w:p>
        </w:tc>
        <w:tc>
          <w:tcPr>
            <w:tcW w:w="1275" w:type="dxa"/>
            <w:tcBorders>
              <w:top w:val="single" w:sz="12" w:space="0" w:color="auto"/>
              <w:left w:val="nil"/>
              <w:right w:val="nil"/>
            </w:tcBorders>
            <w:shd w:val="clear" w:color="auto" w:fill="auto"/>
            <w:noWrap/>
            <w:vAlign w:val="bottom"/>
          </w:tcPr>
          <w:p w14:paraId="60F00AFB" w14:textId="77777777" w:rsidR="004C1234" w:rsidRPr="00537128" w:rsidRDefault="004C1234" w:rsidP="004C1234">
            <w:pPr>
              <w:spacing w:after="0" w:line="140" w:lineRule="exact"/>
              <w:jc w:val="right"/>
              <w:rPr>
                <w:rFonts w:ascii="Calibri" w:eastAsia="Times New Roman" w:hAnsi="Calibri" w:cs="Arial"/>
                <w:sz w:val="20"/>
                <w:szCs w:val="20"/>
                <w:lang w:val="en-US"/>
              </w:rPr>
            </w:pPr>
          </w:p>
        </w:tc>
        <w:tc>
          <w:tcPr>
            <w:tcW w:w="1418" w:type="dxa"/>
            <w:tcBorders>
              <w:top w:val="single" w:sz="12" w:space="0" w:color="auto"/>
              <w:left w:val="nil"/>
              <w:right w:val="nil"/>
            </w:tcBorders>
            <w:shd w:val="clear" w:color="auto" w:fill="auto"/>
            <w:noWrap/>
            <w:vAlign w:val="bottom"/>
          </w:tcPr>
          <w:p w14:paraId="73E23185" w14:textId="77777777" w:rsidR="004C1234" w:rsidRPr="00537128" w:rsidRDefault="004C1234" w:rsidP="004C1234">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right w:val="nil"/>
            </w:tcBorders>
            <w:shd w:val="clear" w:color="auto" w:fill="auto"/>
            <w:noWrap/>
            <w:vAlign w:val="bottom"/>
          </w:tcPr>
          <w:p w14:paraId="4792C290" w14:textId="77777777" w:rsidR="004C1234" w:rsidRPr="00537128" w:rsidRDefault="004C1234" w:rsidP="004C1234">
            <w:pPr>
              <w:spacing w:after="0" w:line="140" w:lineRule="exact"/>
              <w:jc w:val="right"/>
              <w:rPr>
                <w:rFonts w:ascii="Calibri" w:eastAsia="Times New Roman" w:hAnsi="Calibri" w:cs="Arial"/>
                <w:sz w:val="20"/>
                <w:szCs w:val="20"/>
                <w:lang w:val="en-US"/>
              </w:rPr>
            </w:pPr>
          </w:p>
        </w:tc>
        <w:tc>
          <w:tcPr>
            <w:tcW w:w="1309" w:type="dxa"/>
            <w:tcBorders>
              <w:top w:val="single" w:sz="12" w:space="0" w:color="auto"/>
              <w:left w:val="nil"/>
              <w:right w:val="nil"/>
            </w:tcBorders>
            <w:shd w:val="clear" w:color="auto" w:fill="auto"/>
            <w:noWrap/>
            <w:vAlign w:val="bottom"/>
          </w:tcPr>
          <w:p w14:paraId="643EE2E8" w14:textId="77777777" w:rsidR="004C1234" w:rsidRPr="00537128" w:rsidRDefault="004C1234" w:rsidP="004C1234">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right w:val="nil"/>
            </w:tcBorders>
            <w:shd w:val="clear" w:color="auto" w:fill="auto"/>
            <w:noWrap/>
            <w:vAlign w:val="bottom"/>
          </w:tcPr>
          <w:p w14:paraId="5B93BAE4" w14:textId="77777777" w:rsidR="004C1234" w:rsidRPr="00537128" w:rsidRDefault="004C1234" w:rsidP="004C1234">
            <w:pPr>
              <w:spacing w:after="0" w:line="140" w:lineRule="exact"/>
              <w:jc w:val="right"/>
              <w:rPr>
                <w:rFonts w:ascii="Calibri" w:eastAsia="Times New Roman" w:hAnsi="Calibri" w:cs="Arial"/>
                <w:sz w:val="20"/>
                <w:szCs w:val="20"/>
                <w:lang w:val="en-US"/>
              </w:rPr>
            </w:pPr>
          </w:p>
        </w:tc>
      </w:tr>
      <w:tr w:rsidR="004C1234" w:rsidRPr="00537128" w14:paraId="727FEE70" w14:textId="77777777" w:rsidTr="00456F9A">
        <w:trPr>
          <w:trHeight w:val="300"/>
        </w:trPr>
        <w:tc>
          <w:tcPr>
            <w:tcW w:w="3369" w:type="dxa"/>
            <w:tcBorders>
              <w:top w:val="nil"/>
              <w:left w:val="nil"/>
              <w:right w:val="nil"/>
            </w:tcBorders>
            <w:shd w:val="clear" w:color="auto" w:fill="auto"/>
            <w:vAlign w:val="bottom"/>
          </w:tcPr>
          <w:p w14:paraId="360D4E2B" w14:textId="4F66C36A" w:rsidR="004C1234" w:rsidRPr="00537128" w:rsidRDefault="004C1234" w:rsidP="004C1234">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 xml:space="preserve">31 </w:t>
            </w:r>
            <w:r>
              <w:rPr>
                <w:rFonts w:ascii="Calibri" w:eastAsia="Times New Roman" w:hAnsi="Calibri" w:cs="Arial"/>
                <w:b/>
                <w:bCs/>
                <w:sz w:val="20"/>
                <w:szCs w:val="20"/>
                <w:lang w:val="en-US"/>
              </w:rPr>
              <w:t>December</w:t>
            </w:r>
            <w:r w:rsidRPr="00537128">
              <w:rPr>
                <w:rFonts w:ascii="Calibri" w:eastAsia="Times New Roman" w:hAnsi="Calibri" w:cs="Arial"/>
                <w:b/>
                <w:bCs/>
                <w:sz w:val="20"/>
                <w:szCs w:val="20"/>
                <w:lang w:val="en-US"/>
              </w:rPr>
              <w:t xml:space="preserve"> 202</w:t>
            </w:r>
            <w:r w:rsidR="007A7C57">
              <w:rPr>
                <w:rFonts w:ascii="Calibri" w:eastAsia="Times New Roman" w:hAnsi="Calibri" w:cs="Arial"/>
                <w:b/>
                <w:bCs/>
                <w:sz w:val="20"/>
                <w:szCs w:val="20"/>
                <w:lang w:val="en-US"/>
              </w:rPr>
              <w:t>1</w:t>
            </w:r>
          </w:p>
        </w:tc>
        <w:tc>
          <w:tcPr>
            <w:tcW w:w="1275" w:type="dxa"/>
            <w:tcBorders>
              <w:top w:val="nil"/>
              <w:left w:val="nil"/>
              <w:bottom w:val="single" w:sz="4" w:space="0" w:color="auto"/>
              <w:right w:val="nil"/>
            </w:tcBorders>
            <w:shd w:val="clear" w:color="auto" w:fill="auto"/>
            <w:noWrap/>
            <w:vAlign w:val="bottom"/>
          </w:tcPr>
          <w:p w14:paraId="377CA3B5" w14:textId="77777777" w:rsidR="004C1234" w:rsidRPr="00537128" w:rsidRDefault="004C1234" w:rsidP="004C1234">
            <w:pPr>
              <w:spacing w:after="0" w:line="300" w:lineRule="exact"/>
              <w:jc w:val="right"/>
              <w:rPr>
                <w:rFonts w:ascii="Calibri" w:eastAsia="Times New Roman" w:hAnsi="Calibri" w:cs="Arial"/>
                <w:sz w:val="20"/>
                <w:szCs w:val="20"/>
                <w:lang w:val="en-US"/>
              </w:rPr>
            </w:pPr>
          </w:p>
        </w:tc>
        <w:tc>
          <w:tcPr>
            <w:tcW w:w="1418" w:type="dxa"/>
            <w:tcBorders>
              <w:top w:val="nil"/>
              <w:left w:val="nil"/>
              <w:bottom w:val="single" w:sz="4" w:space="0" w:color="auto"/>
              <w:right w:val="nil"/>
            </w:tcBorders>
            <w:shd w:val="clear" w:color="auto" w:fill="auto"/>
            <w:noWrap/>
            <w:vAlign w:val="bottom"/>
          </w:tcPr>
          <w:p w14:paraId="43A139A9" w14:textId="77777777" w:rsidR="004C1234" w:rsidRPr="00537128" w:rsidRDefault="004C1234" w:rsidP="004C1234">
            <w:pPr>
              <w:spacing w:after="0" w:line="300" w:lineRule="exact"/>
              <w:jc w:val="right"/>
              <w:rPr>
                <w:rFonts w:ascii="Calibri" w:eastAsia="Times New Roman" w:hAnsi="Calibri" w:cs="Arial"/>
                <w:sz w:val="20"/>
                <w:szCs w:val="20"/>
                <w:lang w:val="en-US"/>
              </w:rPr>
            </w:pPr>
          </w:p>
        </w:tc>
        <w:tc>
          <w:tcPr>
            <w:tcW w:w="1134" w:type="dxa"/>
            <w:tcBorders>
              <w:top w:val="nil"/>
              <w:left w:val="nil"/>
              <w:bottom w:val="single" w:sz="4" w:space="0" w:color="auto"/>
              <w:right w:val="nil"/>
            </w:tcBorders>
            <w:shd w:val="clear" w:color="auto" w:fill="auto"/>
            <w:noWrap/>
            <w:vAlign w:val="bottom"/>
          </w:tcPr>
          <w:p w14:paraId="1B2DD93F" w14:textId="77777777" w:rsidR="004C1234" w:rsidRPr="00537128" w:rsidRDefault="004C1234" w:rsidP="004C1234">
            <w:pPr>
              <w:spacing w:after="0" w:line="300" w:lineRule="exact"/>
              <w:jc w:val="right"/>
              <w:rPr>
                <w:rFonts w:ascii="Calibri" w:eastAsia="Times New Roman" w:hAnsi="Calibri" w:cs="Arial"/>
                <w:sz w:val="20"/>
                <w:szCs w:val="20"/>
                <w:lang w:val="en-US"/>
              </w:rPr>
            </w:pPr>
          </w:p>
        </w:tc>
        <w:tc>
          <w:tcPr>
            <w:tcW w:w="1309" w:type="dxa"/>
            <w:tcBorders>
              <w:top w:val="nil"/>
              <w:left w:val="nil"/>
              <w:bottom w:val="single" w:sz="4" w:space="0" w:color="auto"/>
              <w:right w:val="nil"/>
            </w:tcBorders>
            <w:shd w:val="clear" w:color="auto" w:fill="auto"/>
            <w:noWrap/>
            <w:vAlign w:val="bottom"/>
          </w:tcPr>
          <w:p w14:paraId="48F3F8FD" w14:textId="77777777" w:rsidR="004C1234" w:rsidRPr="00537128" w:rsidRDefault="004C1234" w:rsidP="004C1234">
            <w:pPr>
              <w:spacing w:after="0" w:line="300" w:lineRule="exact"/>
              <w:jc w:val="right"/>
              <w:rPr>
                <w:rFonts w:ascii="Calibri" w:eastAsia="Times New Roman" w:hAnsi="Calibri" w:cs="Arial"/>
                <w:sz w:val="20"/>
                <w:szCs w:val="20"/>
                <w:lang w:val="en-US"/>
              </w:rPr>
            </w:pPr>
          </w:p>
        </w:tc>
        <w:tc>
          <w:tcPr>
            <w:tcW w:w="1134" w:type="dxa"/>
            <w:tcBorders>
              <w:top w:val="nil"/>
              <w:left w:val="nil"/>
              <w:bottom w:val="single" w:sz="4" w:space="0" w:color="auto"/>
              <w:right w:val="nil"/>
            </w:tcBorders>
            <w:shd w:val="clear" w:color="auto" w:fill="auto"/>
            <w:noWrap/>
            <w:vAlign w:val="bottom"/>
          </w:tcPr>
          <w:p w14:paraId="52A3D71A" w14:textId="77777777" w:rsidR="004C1234" w:rsidRPr="00537128" w:rsidRDefault="004C1234" w:rsidP="004C1234">
            <w:pPr>
              <w:spacing w:after="0" w:line="300" w:lineRule="exact"/>
              <w:jc w:val="right"/>
              <w:rPr>
                <w:rFonts w:ascii="Calibri" w:eastAsia="Times New Roman" w:hAnsi="Calibri" w:cs="Arial"/>
                <w:sz w:val="20"/>
                <w:szCs w:val="20"/>
                <w:lang w:val="en-US"/>
              </w:rPr>
            </w:pPr>
          </w:p>
        </w:tc>
      </w:tr>
      <w:tr w:rsidR="00797387" w:rsidRPr="00537128" w14:paraId="3028939E" w14:textId="77777777" w:rsidTr="00456F9A">
        <w:trPr>
          <w:trHeight w:val="300"/>
        </w:trPr>
        <w:tc>
          <w:tcPr>
            <w:tcW w:w="3369" w:type="dxa"/>
            <w:tcBorders>
              <w:top w:val="nil"/>
              <w:left w:val="nil"/>
              <w:right w:val="nil"/>
            </w:tcBorders>
            <w:shd w:val="clear" w:color="auto" w:fill="auto"/>
            <w:vAlign w:val="bottom"/>
          </w:tcPr>
          <w:p w14:paraId="30EB3167" w14:textId="77777777" w:rsidR="00797387" w:rsidRPr="00537128" w:rsidRDefault="00797387" w:rsidP="00797387">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Assets of segment</w:t>
            </w:r>
          </w:p>
        </w:tc>
        <w:tc>
          <w:tcPr>
            <w:tcW w:w="1275" w:type="dxa"/>
            <w:tcBorders>
              <w:top w:val="nil"/>
              <w:left w:val="nil"/>
              <w:bottom w:val="single" w:sz="4" w:space="0" w:color="auto"/>
              <w:right w:val="nil"/>
            </w:tcBorders>
            <w:shd w:val="clear" w:color="auto" w:fill="auto"/>
            <w:noWrap/>
            <w:vAlign w:val="bottom"/>
          </w:tcPr>
          <w:p w14:paraId="49D319DA" w14:textId="577262AD" w:rsidR="00797387" w:rsidRPr="00537128" w:rsidRDefault="00797387" w:rsidP="00797387">
            <w:pPr>
              <w:spacing w:after="0" w:line="300" w:lineRule="exact"/>
              <w:jc w:val="right"/>
              <w:rPr>
                <w:rFonts w:ascii="Calibri" w:eastAsia="Times New Roman" w:hAnsi="Calibri" w:cs="Arial"/>
                <w:sz w:val="20"/>
                <w:szCs w:val="20"/>
                <w:lang w:val="en-US"/>
              </w:rPr>
            </w:pPr>
            <w:r w:rsidRPr="00DE77F5">
              <w:rPr>
                <w:rFonts w:cs="Arial"/>
                <w:color w:val="000000" w:themeColor="text1"/>
                <w:sz w:val="20"/>
                <w:szCs w:val="20"/>
              </w:rPr>
              <w:t>28</w:t>
            </w:r>
            <w:r>
              <w:rPr>
                <w:rFonts w:cs="Arial"/>
                <w:color w:val="000000" w:themeColor="text1"/>
                <w:sz w:val="20"/>
                <w:szCs w:val="20"/>
              </w:rPr>
              <w:t>,249,988</w:t>
            </w:r>
          </w:p>
        </w:tc>
        <w:tc>
          <w:tcPr>
            <w:tcW w:w="1418" w:type="dxa"/>
            <w:tcBorders>
              <w:top w:val="nil"/>
              <w:left w:val="nil"/>
              <w:bottom w:val="single" w:sz="4" w:space="0" w:color="auto"/>
              <w:right w:val="nil"/>
            </w:tcBorders>
            <w:shd w:val="clear" w:color="auto" w:fill="auto"/>
            <w:noWrap/>
            <w:vAlign w:val="bottom"/>
          </w:tcPr>
          <w:p w14:paraId="4293AD71" w14:textId="5A405D17" w:rsidR="00797387" w:rsidRPr="00537128" w:rsidRDefault="00797387" w:rsidP="00797387">
            <w:pPr>
              <w:spacing w:after="0" w:line="300" w:lineRule="exact"/>
              <w:jc w:val="right"/>
              <w:rPr>
                <w:rFonts w:ascii="Calibri" w:eastAsia="Times New Roman" w:hAnsi="Calibri" w:cs="Arial"/>
                <w:sz w:val="20"/>
                <w:szCs w:val="20"/>
                <w:lang w:val="en-US"/>
              </w:rPr>
            </w:pPr>
            <w:r>
              <w:rPr>
                <w:rFonts w:cs="Arial"/>
                <w:color w:val="000000" w:themeColor="text1"/>
                <w:sz w:val="20"/>
                <w:szCs w:val="20"/>
              </w:rPr>
              <w:t>63,867</w:t>
            </w:r>
          </w:p>
        </w:tc>
        <w:tc>
          <w:tcPr>
            <w:tcW w:w="1134" w:type="dxa"/>
            <w:tcBorders>
              <w:top w:val="nil"/>
              <w:left w:val="nil"/>
              <w:bottom w:val="single" w:sz="4" w:space="0" w:color="auto"/>
              <w:right w:val="nil"/>
            </w:tcBorders>
            <w:shd w:val="clear" w:color="auto" w:fill="auto"/>
            <w:noWrap/>
            <w:vAlign w:val="bottom"/>
          </w:tcPr>
          <w:p w14:paraId="36719B72" w14:textId="724017D0" w:rsidR="00797387" w:rsidRPr="00537128" w:rsidRDefault="00797387" w:rsidP="00797387">
            <w:pPr>
              <w:spacing w:after="0" w:line="300" w:lineRule="exact"/>
              <w:jc w:val="right"/>
              <w:rPr>
                <w:rFonts w:ascii="Calibri" w:eastAsia="Times New Roman" w:hAnsi="Calibri" w:cs="Arial"/>
                <w:sz w:val="20"/>
                <w:szCs w:val="20"/>
                <w:lang w:val="en-US"/>
              </w:rPr>
            </w:pPr>
            <w:r w:rsidRPr="00DE77F5">
              <w:rPr>
                <w:rFonts w:cs="Arial"/>
                <w:color w:val="000000" w:themeColor="text1"/>
                <w:sz w:val="20"/>
                <w:szCs w:val="20"/>
              </w:rPr>
              <w:t>1</w:t>
            </w:r>
            <w:r>
              <w:rPr>
                <w:rFonts w:cs="Arial"/>
                <w:color w:val="000000" w:themeColor="text1"/>
                <w:sz w:val="20"/>
                <w:szCs w:val="20"/>
              </w:rPr>
              <w:t>,162</w:t>
            </w:r>
          </w:p>
        </w:tc>
        <w:tc>
          <w:tcPr>
            <w:tcW w:w="1309" w:type="dxa"/>
            <w:tcBorders>
              <w:top w:val="nil"/>
              <w:left w:val="nil"/>
              <w:bottom w:val="single" w:sz="4" w:space="0" w:color="auto"/>
              <w:right w:val="nil"/>
            </w:tcBorders>
            <w:shd w:val="clear" w:color="auto" w:fill="auto"/>
            <w:noWrap/>
            <w:vAlign w:val="bottom"/>
          </w:tcPr>
          <w:p w14:paraId="3F65449F" w14:textId="1FDE8C50" w:rsidR="00797387" w:rsidRPr="00537128" w:rsidRDefault="00797387" w:rsidP="00797387">
            <w:pPr>
              <w:spacing w:after="0" w:line="300" w:lineRule="exact"/>
              <w:jc w:val="right"/>
              <w:rPr>
                <w:rFonts w:ascii="Calibri" w:eastAsia="Times New Roman" w:hAnsi="Calibri" w:cs="Arial"/>
                <w:sz w:val="20"/>
                <w:szCs w:val="20"/>
                <w:lang w:val="en-US"/>
              </w:rPr>
            </w:pPr>
            <w:r w:rsidRPr="00DE77F5">
              <w:rPr>
                <w:rFonts w:cs="Arial"/>
                <w:color w:val="000000" w:themeColor="text1"/>
                <w:sz w:val="20"/>
                <w:szCs w:val="20"/>
              </w:rPr>
              <w:t>(36</w:t>
            </w:r>
            <w:r>
              <w:rPr>
                <w:rFonts w:cs="Arial"/>
                <w:color w:val="000000" w:themeColor="text1"/>
                <w:sz w:val="20"/>
                <w:szCs w:val="20"/>
              </w:rPr>
              <w:t>,655</w:t>
            </w:r>
            <w:r w:rsidRPr="00DE77F5">
              <w:rPr>
                <w:rFonts w:cs="Arial"/>
                <w:color w:val="000000" w:themeColor="text1"/>
                <w:sz w:val="20"/>
                <w:szCs w:val="20"/>
              </w:rPr>
              <w:t>)</w:t>
            </w:r>
          </w:p>
        </w:tc>
        <w:tc>
          <w:tcPr>
            <w:tcW w:w="1134" w:type="dxa"/>
            <w:tcBorders>
              <w:top w:val="nil"/>
              <w:left w:val="nil"/>
              <w:bottom w:val="single" w:sz="4" w:space="0" w:color="auto"/>
              <w:right w:val="nil"/>
            </w:tcBorders>
            <w:shd w:val="clear" w:color="auto" w:fill="auto"/>
            <w:noWrap/>
            <w:vAlign w:val="bottom"/>
          </w:tcPr>
          <w:p w14:paraId="2B066A4B" w14:textId="37B99561" w:rsidR="00797387" w:rsidRPr="00537128" w:rsidRDefault="00797387" w:rsidP="00797387">
            <w:pPr>
              <w:spacing w:after="0" w:line="300" w:lineRule="exact"/>
              <w:jc w:val="right"/>
              <w:rPr>
                <w:rFonts w:ascii="Calibri" w:eastAsia="Times New Roman" w:hAnsi="Calibri" w:cs="Arial"/>
                <w:sz w:val="20"/>
                <w:szCs w:val="20"/>
                <w:lang w:val="en-US"/>
              </w:rPr>
            </w:pPr>
            <w:r w:rsidRPr="00DE77F5">
              <w:rPr>
                <w:rFonts w:cs="Arial"/>
                <w:color w:val="000000" w:themeColor="text1"/>
                <w:sz w:val="20"/>
                <w:szCs w:val="20"/>
              </w:rPr>
              <w:t>28</w:t>
            </w:r>
            <w:r>
              <w:rPr>
                <w:rFonts w:cs="Arial"/>
                <w:color w:val="000000" w:themeColor="text1"/>
                <w:sz w:val="20"/>
                <w:szCs w:val="20"/>
              </w:rPr>
              <w:t>,278,362</w:t>
            </w:r>
          </w:p>
        </w:tc>
      </w:tr>
      <w:tr w:rsidR="00797387" w:rsidRPr="00537128" w14:paraId="7E0A36D2" w14:textId="77777777" w:rsidTr="00456F9A">
        <w:trPr>
          <w:trHeight w:val="315"/>
        </w:trPr>
        <w:tc>
          <w:tcPr>
            <w:tcW w:w="3369" w:type="dxa"/>
            <w:tcBorders>
              <w:left w:val="nil"/>
              <w:right w:val="nil"/>
            </w:tcBorders>
            <w:shd w:val="clear" w:color="auto" w:fill="auto"/>
            <w:vAlign w:val="bottom"/>
          </w:tcPr>
          <w:p w14:paraId="1FB3DC1B" w14:textId="77777777" w:rsidR="00797387" w:rsidRPr="00537128" w:rsidRDefault="00797387" w:rsidP="00797387">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Total assets</w:t>
            </w:r>
          </w:p>
        </w:tc>
        <w:tc>
          <w:tcPr>
            <w:tcW w:w="1275" w:type="dxa"/>
            <w:tcBorders>
              <w:top w:val="single" w:sz="4" w:space="0" w:color="auto"/>
              <w:left w:val="nil"/>
              <w:bottom w:val="single" w:sz="12" w:space="0" w:color="auto"/>
              <w:right w:val="nil"/>
            </w:tcBorders>
            <w:shd w:val="clear" w:color="auto" w:fill="auto"/>
            <w:noWrap/>
            <w:vAlign w:val="bottom"/>
          </w:tcPr>
          <w:p w14:paraId="520FCB21" w14:textId="65A48C8B" w:rsidR="00797387" w:rsidRPr="00537128" w:rsidRDefault="00797387" w:rsidP="00797387">
            <w:pPr>
              <w:spacing w:after="0" w:line="300" w:lineRule="exact"/>
              <w:jc w:val="right"/>
              <w:rPr>
                <w:rFonts w:ascii="Calibri" w:eastAsia="Times New Roman" w:hAnsi="Calibri" w:cs="Arial"/>
                <w:b/>
                <w:sz w:val="20"/>
                <w:szCs w:val="20"/>
                <w:lang w:val="en-US"/>
              </w:rPr>
            </w:pPr>
            <w:r w:rsidRPr="003A1A2E">
              <w:rPr>
                <w:rFonts w:cs="Arial"/>
                <w:b/>
                <w:bCs/>
                <w:color w:val="000000" w:themeColor="text1"/>
                <w:sz w:val="20"/>
                <w:szCs w:val="20"/>
              </w:rPr>
              <w:t>28</w:t>
            </w:r>
            <w:r>
              <w:rPr>
                <w:rFonts w:cs="Arial"/>
                <w:b/>
                <w:bCs/>
                <w:color w:val="000000" w:themeColor="text1"/>
                <w:sz w:val="20"/>
                <w:szCs w:val="20"/>
              </w:rPr>
              <w:t>,</w:t>
            </w:r>
            <w:r w:rsidRPr="003A1A2E">
              <w:rPr>
                <w:rFonts w:cs="Arial"/>
                <w:b/>
                <w:bCs/>
                <w:color w:val="000000" w:themeColor="text1"/>
                <w:sz w:val="20"/>
                <w:szCs w:val="20"/>
              </w:rPr>
              <w:t>249</w:t>
            </w:r>
            <w:r>
              <w:rPr>
                <w:rFonts w:cs="Arial"/>
                <w:b/>
                <w:bCs/>
                <w:color w:val="000000" w:themeColor="text1"/>
                <w:sz w:val="20"/>
                <w:szCs w:val="20"/>
              </w:rPr>
              <w:t>,</w:t>
            </w:r>
            <w:r w:rsidRPr="003A1A2E">
              <w:rPr>
                <w:rFonts w:cs="Arial"/>
                <w:b/>
                <w:bCs/>
                <w:color w:val="000000" w:themeColor="text1"/>
                <w:sz w:val="20"/>
                <w:szCs w:val="20"/>
              </w:rPr>
              <w:t>988</w:t>
            </w:r>
          </w:p>
        </w:tc>
        <w:tc>
          <w:tcPr>
            <w:tcW w:w="1418" w:type="dxa"/>
            <w:tcBorders>
              <w:top w:val="single" w:sz="4" w:space="0" w:color="auto"/>
              <w:left w:val="nil"/>
              <w:bottom w:val="single" w:sz="12" w:space="0" w:color="auto"/>
              <w:right w:val="nil"/>
            </w:tcBorders>
            <w:shd w:val="clear" w:color="auto" w:fill="auto"/>
            <w:noWrap/>
            <w:vAlign w:val="bottom"/>
          </w:tcPr>
          <w:p w14:paraId="42F08A3A" w14:textId="74B09652" w:rsidR="00797387" w:rsidRPr="00537128" w:rsidRDefault="00797387" w:rsidP="00797387">
            <w:pPr>
              <w:spacing w:after="0" w:line="300" w:lineRule="exact"/>
              <w:jc w:val="right"/>
              <w:rPr>
                <w:rFonts w:ascii="Calibri" w:eastAsia="Times New Roman" w:hAnsi="Calibri" w:cs="Arial"/>
                <w:b/>
                <w:sz w:val="20"/>
                <w:szCs w:val="20"/>
                <w:lang w:val="en-US"/>
              </w:rPr>
            </w:pPr>
            <w:r w:rsidRPr="003A1A2E">
              <w:rPr>
                <w:rFonts w:cs="Arial"/>
                <w:b/>
                <w:bCs/>
                <w:color w:val="000000" w:themeColor="text1"/>
                <w:sz w:val="20"/>
                <w:szCs w:val="20"/>
              </w:rPr>
              <w:t>63</w:t>
            </w:r>
            <w:r>
              <w:rPr>
                <w:rFonts w:cs="Arial"/>
                <w:b/>
                <w:bCs/>
                <w:color w:val="000000" w:themeColor="text1"/>
                <w:sz w:val="20"/>
                <w:szCs w:val="20"/>
              </w:rPr>
              <w:t>,</w:t>
            </w:r>
            <w:r w:rsidRPr="003A1A2E">
              <w:rPr>
                <w:rFonts w:cs="Arial"/>
                <w:b/>
                <w:bCs/>
                <w:color w:val="000000" w:themeColor="text1"/>
                <w:sz w:val="20"/>
                <w:szCs w:val="20"/>
              </w:rPr>
              <w:t>867</w:t>
            </w:r>
          </w:p>
        </w:tc>
        <w:tc>
          <w:tcPr>
            <w:tcW w:w="1134" w:type="dxa"/>
            <w:tcBorders>
              <w:top w:val="single" w:sz="4" w:space="0" w:color="auto"/>
              <w:left w:val="nil"/>
              <w:bottom w:val="single" w:sz="12" w:space="0" w:color="auto"/>
              <w:right w:val="nil"/>
            </w:tcBorders>
            <w:shd w:val="clear" w:color="auto" w:fill="auto"/>
            <w:noWrap/>
            <w:vAlign w:val="bottom"/>
          </w:tcPr>
          <w:p w14:paraId="20F3B9B9" w14:textId="3583C239" w:rsidR="00797387" w:rsidRPr="00537128" w:rsidRDefault="00797387" w:rsidP="00797387">
            <w:pPr>
              <w:spacing w:after="0" w:line="300" w:lineRule="exact"/>
              <w:jc w:val="right"/>
              <w:rPr>
                <w:rFonts w:ascii="Calibri" w:eastAsia="Times New Roman" w:hAnsi="Calibri" w:cs="Arial"/>
                <w:b/>
                <w:sz w:val="20"/>
                <w:szCs w:val="20"/>
                <w:lang w:val="en-US"/>
              </w:rPr>
            </w:pPr>
            <w:r w:rsidRPr="003A1A2E">
              <w:rPr>
                <w:rFonts w:cs="Arial"/>
                <w:b/>
                <w:bCs/>
                <w:color w:val="000000" w:themeColor="text1"/>
                <w:sz w:val="20"/>
                <w:szCs w:val="20"/>
              </w:rPr>
              <w:t>1</w:t>
            </w:r>
            <w:r>
              <w:rPr>
                <w:rFonts w:cs="Arial"/>
                <w:b/>
                <w:bCs/>
                <w:color w:val="000000" w:themeColor="text1"/>
                <w:sz w:val="20"/>
                <w:szCs w:val="20"/>
              </w:rPr>
              <w:t>,</w:t>
            </w:r>
            <w:r w:rsidRPr="003A1A2E">
              <w:rPr>
                <w:rFonts w:cs="Arial"/>
                <w:b/>
                <w:bCs/>
                <w:color w:val="000000" w:themeColor="text1"/>
                <w:sz w:val="20"/>
                <w:szCs w:val="20"/>
              </w:rPr>
              <w:t>162</w:t>
            </w:r>
          </w:p>
        </w:tc>
        <w:tc>
          <w:tcPr>
            <w:tcW w:w="1309" w:type="dxa"/>
            <w:tcBorders>
              <w:top w:val="single" w:sz="4" w:space="0" w:color="auto"/>
              <w:left w:val="nil"/>
              <w:bottom w:val="single" w:sz="12" w:space="0" w:color="auto"/>
              <w:right w:val="nil"/>
            </w:tcBorders>
            <w:shd w:val="clear" w:color="auto" w:fill="auto"/>
            <w:noWrap/>
            <w:vAlign w:val="bottom"/>
          </w:tcPr>
          <w:p w14:paraId="4128C234" w14:textId="1ABED70E" w:rsidR="00797387" w:rsidRPr="00537128" w:rsidRDefault="00797387" w:rsidP="00797387">
            <w:pPr>
              <w:spacing w:after="0" w:line="300" w:lineRule="exact"/>
              <w:jc w:val="right"/>
              <w:rPr>
                <w:rFonts w:ascii="Calibri" w:eastAsia="Times New Roman" w:hAnsi="Calibri" w:cs="Arial"/>
                <w:b/>
                <w:sz w:val="20"/>
                <w:szCs w:val="20"/>
                <w:lang w:val="en-US"/>
              </w:rPr>
            </w:pPr>
            <w:r w:rsidRPr="003A1A2E">
              <w:rPr>
                <w:rFonts w:cs="Arial"/>
                <w:b/>
                <w:bCs/>
                <w:color w:val="000000" w:themeColor="text1"/>
                <w:sz w:val="20"/>
                <w:szCs w:val="20"/>
              </w:rPr>
              <w:t>(36</w:t>
            </w:r>
            <w:r>
              <w:rPr>
                <w:rFonts w:cs="Arial"/>
                <w:b/>
                <w:bCs/>
                <w:color w:val="000000" w:themeColor="text1"/>
                <w:sz w:val="20"/>
                <w:szCs w:val="20"/>
              </w:rPr>
              <w:t>,</w:t>
            </w:r>
            <w:r w:rsidRPr="003A1A2E">
              <w:rPr>
                <w:rFonts w:cs="Arial"/>
                <w:b/>
                <w:bCs/>
                <w:color w:val="000000" w:themeColor="text1"/>
                <w:sz w:val="20"/>
                <w:szCs w:val="20"/>
              </w:rPr>
              <w:t>655)</w:t>
            </w:r>
          </w:p>
        </w:tc>
        <w:tc>
          <w:tcPr>
            <w:tcW w:w="1134" w:type="dxa"/>
            <w:tcBorders>
              <w:top w:val="single" w:sz="4" w:space="0" w:color="auto"/>
              <w:left w:val="nil"/>
              <w:bottom w:val="single" w:sz="12" w:space="0" w:color="auto"/>
              <w:right w:val="nil"/>
            </w:tcBorders>
            <w:shd w:val="clear" w:color="auto" w:fill="auto"/>
            <w:noWrap/>
            <w:vAlign w:val="bottom"/>
          </w:tcPr>
          <w:p w14:paraId="53AF101E" w14:textId="264CFF77" w:rsidR="00797387" w:rsidRPr="00537128" w:rsidRDefault="00797387" w:rsidP="00797387">
            <w:pPr>
              <w:spacing w:after="0" w:line="300" w:lineRule="exact"/>
              <w:jc w:val="right"/>
              <w:rPr>
                <w:rFonts w:ascii="Calibri" w:eastAsia="Times New Roman" w:hAnsi="Calibri" w:cs="Arial"/>
                <w:b/>
                <w:sz w:val="20"/>
                <w:szCs w:val="20"/>
                <w:lang w:val="en-US"/>
              </w:rPr>
            </w:pPr>
            <w:r w:rsidRPr="003A1A2E">
              <w:rPr>
                <w:rFonts w:cs="Arial"/>
                <w:b/>
                <w:bCs/>
                <w:color w:val="000000" w:themeColor="text1"/>
                <w:sz w:val="20"/>
                <w:szCs w:val="20"/>
              </w:rPr>
              <w:t>28</w:t>
            </w:r>
            <w:r>
              <w:rPr>
                <w:rFonts w:cs="Arial"/>
                <w:b/>
                <w:bCs/>
                <w:color w:val="000000" w:themeColor="text1"/>
                <w:sz w:val="20"/>
                <w:szCs w:val="20"/>
              </w:rPr>
              <w:t>,</w:t>
            </w:r>
            <w:r w:rsidRPr="003A1A2E">
              <w:rPr>
                <w:rFonts w:cs="Arial"/>
                <w:b/>
                <w:bCs/>
                <w:color w:val="000000" w:themeColor="text1"/>
                <w:sz w:val="20"/>
                <w:szCs w:val="20"/>
              </w:rPr>
              <w:t>278</w:t>
            </w:r>
            <w:r>
              <w:rPr>
                <w:rFonts w:cs="Arial"/>
                <w:b/>
                <w:bCs/>
                <w:color w:val="000000" w:themeColor="text1"/>
                <w:sz w:val="20"/>
                <w:szCs w:val="20"/>
              </w:rPr>
              <w:t>,</w:t>
            </w:r>
            <w:r w:rsidRPr="003A1A2E">
              <w:rPr>
                <w:rFonts w:cs="Arial"/>
                <w:b/>
                <w:bCs/>
                <w:color w:val="000000" w:themeColor="text1"/>
                <w:sz w:val="20"/>
                <w:szCs w:val="20"/>
              </w:rPr>
              <w:t>362</w:t>
            </w:r>
          </w:p>
        </w:tc>
      </w:tr>
      <w:tr w:rsidR="00797387" w:rsidRPr="00537128" w14:paraId="27275B45" w14:textId="77777777" w:rsidTr="00456F9A">
        <w:trPr>
          <w:trHeight w:val="121"/>
        </w:trPr>
        <w:tc>
          <w:tcPr>
            <w:tcW w:w="3369" w:type="dxa"/>
            <w:tcBorders>
              <w:left w:val="nil"/>
              <w:bottom w:val="nil"/>
              <w:right w:val="nil"/>
            </w:tcBorders>
            <w:shd w:val="clear" w:color="auto" w:fill="auto"/>
            <w:vAlign w:val="bottom"/>
          </w:tcPr>
          <w:p w14:paraId="68E61404" w14:textId="77777777" w:rsidR="00797387" w:rsidRPr="00537128" w:rsidRDefault="00797387" w:rsidP="00797387">
            <w:pPr>
              <w:spacing w:after="0" w:line="140" w:lineRule="exact"/>
              <w:rPr>
                <w:rFonts w:ascii="Calibri" w:eastAsia="Times New Roman" w:hAnsi="Calibri" w:cs="Arial"/>
                <w:sz w:val="20"/>
                <w:szCs w:val="20"/>
                <w:lang w:val="en-US"/>
              </w:rPr>
            </w:pPr>
          </w:p>
        </w:tc>
        <w:tc>
          <w:tcPr>
            <w:tcW w:w="1275" w:type="dxa"/>
            <w:tcBorders>
              <w:top w:val="single" w:sz="12" w:space="0" w:color="auto"/>
              <w:left w:val="nil"/>
              <w:bottom w:val="nil"/>
              <w:right w:val="nil"/>
            </w:tcBorders>
            <w:shd w:val="clear" w:color="auto" w:fill="auto"/>
            <w:noWrap/>
            <w:vAlign w:val="bottom"/>
          </w:tcPr>
          <w:p w14:paraId="5D9AD5DD" w14:textId="77777777" w:rsidR="00797387" w:rsidRPr="00537128" w:rsidRDefault="00797387" w:rsidP="00797387">
            <w:pPr>
              <w:spacing w:after="0" w:line="140" w:lineRule="exact"/>
              <w:jc w:val="right"/>
              <w:rPr>
                <w:rFonts w:ascii="Calibri" w:eastAsia="Times New Roman" w:hAnsi="Calibri" w:cs="Arial"/>
                <w:sz w:val="20"/>
                <w:szCs w:val="20"/>
                <w:lang w:val="en-US"/>
              </w:rPr>
            </w:pPr>
          </w:p>
        </w:tc>
        <w:tc>
          <w:tcPr>
            <w:tcW w:w="1418" w:type="dxa"/>
            <w:tcBorders>
              <w:top w:val="single" w:sz="12" w:space="0" w:color="auto"/>
              <w:left w:val="nil"/>
              <w:bottom w:val="nil"/>
              <w:right w:val="nil"/>
            </w:tcBorders>
            <w:shd w:val="clear" w:color="auto" w:fill="auto"/>
            <w:noWrap/>
            <w:vAlign w:val="bottom"/>
          </w:tcPr>
          <w:p w14:paraId="180B5528" w14:textId="77777777" w:rsidR="00797387" w:rsidRPr="00537128" w:rsidRDefault="00797387" w:rsidP="00797387">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05CE9928" w14:textId="77777777" w:rsidR="00797387" w:rsidRPr="00537128" w:rsidRDefault="00797387" w:rsidP="00797387">
            <w:pPr>
              <w:spacing w:after="0" w:line="140" w:lineRule="exact"/>
              <w:jc w:val="right"/>
              <w:rPr>
                <w:rFonts w:ascii="Calibri" w:eastAsia="Times New Roman" w:hAnsi="Calibri" w:cs="Arial"/>
                <w:sz w:val="20"/>
                <w:szCs w:val="20"/>
                <w:lang w:val="en-US"/>
              </w:rPr>
            </w:pPr>
          </w:p>
        </w:tc>
        <w:tc>
          <w:tcPr>
            <w:tcW w:w="1309" w:type="dxa"/>
            <w:tcBorders>
              <w:top w:val="single" w:sz="12" w:space="0" w:color="auto"/>
              <w:left w:val="nil"/>
              <w:bottom w:val="nil"/>
              <w:right w:val="nil"/>
            </w:tcBorders>
            <w:shd w:val="clear" w:color="auto" w:fill="auto"/>
            <w:noWrap/>
            <w:vAlign w:val="bottom"/>
          </w:tcPr>
          <w:p w14:paraId="61D63ACB" w14:textId="77777777" w:rsidR="00797387" w:rsidRPr="00537128" w:rsidRDefault="00797387" w:rsidP="00797387">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729A5E7A" w14:textId="77777777" w:rsidR="00797387" w:rsidRPr="00537128" w:rsidRDefault="00797387" w:rsidP="00797387">
            <w:pPr>
              <w:spacing w:after="0" w:line="140" w:lineRule="exact"/>
              <w:jc w:val="right"/>
              <w:rPr>
                <w:rFonts w:ascii="Calibri" w:eastAsia="Times New Roman" w:hAnsi="Calibri" w:cs="Arial"/>
                <w:sz w:val="20"/>
                <w:szCs w:val="20"/>
                <w:lang w:val="en-US"/>
              </w:rPr>
            </w:pPr>
          </w:p>
        </w:tc>
      </w:tr>
      <w:tr w:rsidR="00797387" w:rsidRPr="00537128" w14:paraId="0FB75F58" w14:textId="77777777" w:rsidTr="00217B60">
        <w:trPr>
          <w:trHeight w:val="300"/>
        </w:trPr>
        <w:tc>
          <w:tcPr>
            <w:tcW w:w="3369" w:type="dxa"/>
            <w:tcBorders>
              <w:top w:val="nil"/>
              <w:left w:val="nil"/>
              <w:bottom w:val="nil"/>
              <w:right w:val="nil"/>
            </w:tcBorders>
            <w:shd w:val="clear" w:color="auto" w:fill="auto"/>
            <w:vAlign w:val="bottom"/>
          </w:tcPr>
          <w:p w14:paraId="2BE51DBD" w14:textId="77777777" w:rsidR="00797387" w:rsidRPr="00537128" w:rsidRDefault="00797387" w:rsidP="00797387">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Liabilities of segment</w:t>
            </w:r>
          </w:p>
        </w:tc>
        <w:tc>
          <w:tcPr>
            <w:tcW w:w="1275" w:type="dxa"/>
            <w:shd w:val="clear" w:color="auto" w:fill="auto"/>
            <w:noWrap/>
            <w:vAlign w:val="bottom"/>
          </w:tcPr>
          <w:p w14:paraId="0FB2B3EE" w14:textId="72F147BA" w:rsidR="00797387" w:rsidRPr="00537128" w:rsidRDefault="00797387" w:rsidP="00797387">
            <w:pPr>
              <w:spacing w:after="0" w:line="300" w:lineRule="exact"/>
              <w:jc w:val="right"/>
              <w:rPr>
                <w:rFonts w:ascii="Calibri" w:eastAsia="Times New Roman" w:hAnsi="Calibri" w:cs="Arial"/>
                <w:sz w:val="20"/>
                <w:szCs w:val="20"/>
                <w:lang w:val="en-US"/>
              </w:rPr>
            </w:pPr>
            <w:r w:rsidRPr="00DE77F5">
              <w:rPr>
                <w:rFonts w:cs="Arial"/>
                <w:color w:val="000000" w:themeColor="text1"/>
                <w:sz w:val="20"/>
                <w:szCs w:val="20"/>
              </w:rPr>
              <w:t>1</w:t>
            </w:r>
            <w:r>
              <w:rPr>
                <w:rFonts w:cs="Arial"/>
                <w:color w:val="000000" w:themeColor="text1"/>
                <w:sz w:val="20"/>
                <w:szCs w:val="20"/>
              </w:rPr>
              <w:t>7,682,259</w:t>
            </w:r>
          </w:p>
        </w:tc>
        <w:tc>
          <w:tcPr>
            <w:tcW w:w="1418" w:type="dxa"/>
            <w:shd w:val="clear" w:color="auto" w:fill="auto"/>
            <w:noWrap/>
            <w:vAlign w:val="bottom"/>
          </w:tcPr>
          <w:p w14:paraId="55AD63E3" w14:textId="2D59A00F" w:rsidR="00797387" w:rsidRPr="00537128" w:rsidRDefault="00797387" w:rsidP="00797387">
            <w:pPr>
              <w:spacing w:after="0" w:line="300" w:lineRule="exact"/>
              <w:jc w:val="right"/>
              <w:rPr>
                <w:rFonts w:ascii="Calibri" w:eastAsia="Times New Roman" w:hAnsi="Calibri" w:cs="Arial"/>
                <w:sz w:val="20"/>
                <w:szCs w:val="20"/>
                <w:lang w:val="en-US"/>
              </w:rPr>
            </w:pPr>
            <w:r>
              <w:rPr>
                <w:rFonts w:cs="Arial"/>
                <w:color w:val="000000" w:themeColor="text1"/>
                <w:sz w:val="20"/>
                <w:szCs w:val="20"/>
              </w:rPr>
              <w:t>19,187</w:t>
            </w:r>
          </w:p>
        </w:tc>
        <w:tc>
          <w:tcPr>
            <w:tcW w:w="1134" w:type="dxa"/>
            <w:shd w:val="clear" w:color="auto" w:fill="auto"/>
            <w:noWrap/>
            <w:vAlign w:val="bottom"/>
          </w:tcPr>
          <w:p w14:paraId="77DDDEAB" w14:textId="625E3218" w:rsidR="00797387" w:rsidRPr="00537128" w:rsidRDefault="00797387" w:rsidP="00797387">
            <w:pPr>
              <w:spacing w:after="0" w:line="300" w:lineRule="exact"/>
              <w:jc w:val="right"/>
              <w:rPr>
                <w:rFonts w:ascii="Calibri" w:eastAsia="Times New Roman" w:hAnsi="Calibri" w:cs="Arial"/>
                <w:sz w:val="20"/>
                <w:szCs w:val="20"/>
                <w:lang w:val="en-US"/>
              </w:rPr>
            </w:pPr>
            <w:r w:rsidRPr="00DE77F5">
              <w:rPr>
                <w:rFonts w:cs="Arial"/>
                <w:color w:val="000000" w:themeColor="text1"/>
                <w:sz w:val="20"/>
                <w:szCs w:val="20"/>
              </w:rPr>
              <w:t>16</w:t>
            </w:r>
            <w:r>
              <w:rPr>
                <w:rFonts w:cs="Arial"/>
                <w:color w:val="000000" w:themeColor="text1"/>
                <w:sz w:val="20"/>
                <w:szCs w:val="20"/>
              </w:rPr>
              <w:t>0</w:t>
            </w:r>
          </w:p>
        </w:tc>
        <w:tc>
          <w:tcPr>
            <w:tcW w:w="1309" w:type="dxa"/>
            <w:shd w:val="clear" w:color="auto" w:fill="auto"/>
            <w:noWrap/>
            <w:vAlign w:val="bottom"/>
          </w:tcPr>
          <w:p w14:paraId="15B432D8" w14:textId="52B4A9F8" w:rsidR="00797387" w:rsidRPr="00537128" w:rsidRDefault="00797387" w:rsidP="00797387">
            <w:pPr>
              <w:spacing w:after="0" w:line="300" w:lineRule="exact"/>
              <w:jc w:val="right"/>
              <w:rPr>
                <w:rFonts w:ascii="Calibri" w:eastAsia="Times New Roman" w:hAnsi="Calibri" w:cs="Arial"/>
                <w:sz w:val="20"/>
                <w:szCs w:val="20"/>
                <w:lang w:val="en-US"/>
              </w:rPr>
            </w:pPr>
            <w:r w:rsidRPr="00DE77F5">
              <w:rPr>
                <w:rFonts w:cs="Arial"/>
                <w:color w:val="000000" w:themeColor="text1"/>
                <w:sz w:val="20"/>
                <w:szCs w:val="20"/>
              </w:rPr>
              <w:t>(2</w:t>
            </w:r>
            <w:r>
              <w:rPr>
                <w:rFonts w:cs="Arial"/>
                <w:color w:val="000000" w:themeColor="text1"/>
                <w:sz w:val="20"/>
                <w:szCs w:val="20"/>
              </w:rPr>
              <w:t>9</w:t>
            </w:r>
            <w:r w:rsidRPr="00DE77F5">
              <w:rPr>
                <w:rFonts w:cs="Arial"/>
                <w:color w:val="000000" w:themeColor="text1"/>
                <w:sz w:val="20"/>
                <w:szCs w:val="20"/>
              </w:rPr>
              <w:t>)</w:t>
            </w:r>
          </w:p>
        </w:tc>
        <w:tc>
          <w:tcPr>
            <w:tcW w:w="1134" w:type="dxa"/>
            <w:shd w:val="clear" w:color="auto" w:fill="auto"/>
            <w:noWrap/>
            <w:vAlign w:val="bottom"/>
          </w:tcPr>
          <w:p w14:paraId="3D0F5186" w14:textId="77E97478" w:rsidR="00797387" w:rsidRPr="00537128" w:rsidRDefault="00797387" w:rsidP="00797387">
            <w:pPr>
              <w:spacing w:after="0" w:line="300" w:lineRule="exact"/>
              <w:jc w:val="right"/>
              <w:rPr>
                <w:rFonts w:ascii="Calibri" w:eastAsia="Times New Roman" w:hAnsi="Calibri" w:cs="Arial"/>
                <w:sz w:val="20"/>
                <w:szCs w:val="20"/>
                <w:lang w:val="en-US"/>
              </w:rPr>
            </w:pPr>
            <w:r>
              <w:rPr>
                <w:rFonts w:cs="Arial"/>
                <w:color w:val="000000" w:themeColor="text1"/>
                <w:sz w:val="20"/>
                <w:szCs w:val="20"/>
              </w:rPr>
              <w:t>17,701,577</w:t>
            </w:r>
          </w:p>
        </w:tc>
      </w:tr>
      <w:tr w:rsidR="00797387" w:rsidRPr="00537128" w14:paraId="3CD82D65" w14:textId="77777777" w:rsidTr="00456F9A">
        <w:trPr>
          <w:trHeight w:val="300"/>
        </w:trPr>
        <w:tc>
          <w:tcPr>
            <w:tcW w:w="3369" w:type="dxa"/>
            <w:tcBorders>
              <w:top w:val="nil"/>
              <w:left w:val="nil"/>
              <w:right w:val="nil"/>
            </w:tcBorders>
            <w:shd w:val="clear" w:color="auto" w:fill="auto"/>
            <w:vAlign w:val="bottom"/>
          </w:tcPr>
          <w:p w14:paraId="08D16865" w14:textId="77777777" w:rsidR="00797387" w:rsidRPr="00537128" w:rsidRDefault="00797387" w:rsidP="00797387">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Total equity</w:t>
            </w:r>
          </w:p>
        </w:tc>
        <w:tc>
          <w:tcPr>
            <w:tcW w:w="1275" w:type="dxa"/>
            <w:tcBorders>
              <w:top w:val="nil"/>
              <w:left w:val="nil"/>
              <w:bottom w:val="single" w:sz="4" w:space="0" w:color="auto"/>
              <w:right w:val="nil"/>
            </w:tcBorders>
            <w:shd w:val="clear" w:color="auto" w:fill="auto"/>
            <w:noWrap/>
            <w:vAlign w:val="bottom"/>
          </w:tcPr>
          <w:p w14:paraId="649EB1B9" w14:textId="52261694" w:rsidR="00797387" w:rsidRPr="00537128" w:rsidRDefault="00797387" w:rsidP="00797387">
            <w:pPr>
              <w:spacing w:after="0" w:line="300" w:lineRule="exact"/>
              <w:jc w:val="right"/>
              <w:rPr>
                <w:rFonts w:ascii="Calibri" w:eastAsia="Times New Roman" w:hAnsi="Calibri" w:cs="Arial"/>
                <w:sz w:val="20"/>
                <w:szCs w:val="20"/>
                <w:lang w:val="en-US"/>
              </w:rPr>
            </w:pPr>
            <w:r w:rsidRPr="00DE77F5">
              <w:rPr>
                <w:rFonts w:cs="Arial"/>
                <w:color w:val="000000" w:themeColor="text1"/>
                <w:sz w:val="20"/>
                <w:szCs w:val="20"/>
              </w:rPr>
              <w:t>10</w:t>
            </w:r>
            <w:r>
              <w:rPr>
                <w:rFonts w:cs="Arial"/>
                <w:color w:val="000000" w:themeColor="text1"/>
                <w:sz w:val="20"/>
                <w:szCs w:val="20"/>
              </w:rPr>
              <w:t>,567,729</w:t>
            </w:r>
          </w:p>
        </w:tc>
        <w:tc>
          <w:tcPr>
            <w:tcW w:w="1418" w:type="dxa"/>
            <w:tcBorders>
              <w:top w:val="nil"/>
              <w:left w:val="nil"/>
              <w:bottom w:val="single" w:sz="4" w:space="0" w:color="auto"/>
              <w:right w:val="nil"/>
            </w:tcBorders>
            <w:shd w:val="clear" w:color="auto" w:fill="auto"/>
            <w:noWrap/>
            <w:vAlign w:val="bottom"/>
          </w:tcPr>
          <w:p w14:paraId="3714E78A" w14:textId="1A3D16B1" w:rsidR="00797387" w:rsidRPr="00537128" w:rsidRDefault="00797387" w:rsidP="00797387">
            <w:pPr>
              <w:spacing w:after="0" w:line="300" w:lineRule="exact"/>
              <w:jc w:val="right"/>
              <w:rPr>
                <w:rFonts w:ascii="Calibri" w:eastAsia="Times New Roman" w:hAnsi="Calibri" w:cs="Arial"/>
                <w:sz w:val="20"/>
                <w:szCs w:val="20"/>
                <w:lang w:val="en-US"/>
              </w:rPr>
            </w:pPr>
            <w:r w:rsidRPr="00DE77F5">
              <w:rPr>
                <w:rFonts w:cs="Arial"/>
                <w:color w:val="000000" w:themeColor="text1"/>
                <w:sz w:val="20"/>
                <w:szCs w:val="20"/>
              </w:rPr>
              <w:t>6</w:t>
            </w:r>
            <w:r>
              <w:rPr>
                <w:rFonts w:cs="Arial"/>
                <w:color w:val="000000" w:themeColor="text1"/>
                <w:sz w:val="20"/>
                <w:szCs w:val="20"/>
              </w:rPr>
              <w:t>,567</w:t>
            </w:r>
          </w:p>
        </w:tc>
        <w:tc>
          <w:tcPr>
            <w:tcW w:w="1134" w:type="dxa"/>
            <w:tcBorders>
              <w:top w:val="nil"/>
              <w:left w:val="nil"/>
              <w:bottom w:val="single" w:sz="4" w:space="0" w:color="auto"/>
              <w:right w:val="nil"/>
            </w:tcBorders>
            <w:shd w:val="clear" w:color="auto" w:fill="auto"/>
            <w:noWrap/>
            <w:vAlign w:val="bottom"/>
          </w:tcPr>
          <w:p w14:paraId="38037119" w14:textId="349C3F7F" w:rsidR="00797387" w:rsidRPr="00537128" w:rsidRDefault="00797387" w:rsidP="00797387">
            <w:pPr>
              <w:spacing w:after="0" w:line="300" w:lineRule="exact"/>
              <w:jc w:val="right"/>
              <w:rPr>
                <w:rFonts w:ascii="Calibri" w:eastAsia="Times New Roman" w:hAnsi="Calibri" w:cs="Arial"/>
                <w:sz w:val="20"/>
                <w:szCs w:val="20"/>
                <w:lang w:val="en-US"/>
              </w:rPr>
            </w:pPr>
            <w:r>
              <w:rPr>
                <w:rFonts w:cs="Arial"/>
                <w:color w:val="000000" w:themeColor="text1"/>
                <w:sz w:val="20"/>
                <w:szCs w:val="20"/>
              </w:rPr>
              <w:t>718</w:t>
            </w:r>
          </w:p>
        </w:tc>
        <w:tc>
          <w:tcPr>
            <w:tcW w:w="1309" w:type="dxa"/>
            <w:tcBorders>
              <w:top w:val="nil"/>
              <w:left w:val="nil"/>
              <w:bottom w:val="single" w:sz="4" w:space="0" w:color="auto"/>
              <w:right w:val="nil"/>
            </w:tcBorders>
            <w:shd w:val="clear" w:color="auto" w:fill="auto"/>
            <w:noWrap/>
            <w:vAlign w:val="bottom"/>
          </w:tcPr>
          <w:p w14:paraId="7716AF5C" w14:textId="693CB1A4" w:rsidR="00797387" w:rsidRPr="00537128" w:rsidRDefault="00797387" w:rsidP="00797387">
            <w:pPr>
              <w:spacing w:after="0" w:line="300" w:lineRule="exact"/>
              <w:jc w:val="right"/>
              <w:rPr>
                <w:rFonts w:ascii="Calibri" w:eastAsia="Times New Roman" w:hAnsi="Calibri" w:cs="Arial"/>
                <w:sz w:val="20"/>
                <w:szCs w:val="20"/>
                <w:lang w:val="en-US"/>
              </w:rPr>
            </w:pPr>
            <w:r w:rsidRPr="00DE77F5">
              <w:rPr>
                <w:rFonts w:cs="Arial"/>
                <w:color w:val="000000" w:themeColor="text1"/>
                <w:sz w:val="20"/>
                <w:szCs w:val="20"/>
              </w:rPr>
              <w:t>1</w:t>
            </w:r>
            <w:r>
              <w:rPr>
                <w:rFonts w:cs="Arial"/>
                <w:color w:val="000000" w:themeColor="text1"/>
                <w:sz w:val="20"/>
                <w:szCs w:val="20"/>
              </w:rPr>
              <w:t>,771</w:t>
            </w:r>
          </w:p>
        </w:tc>
        <w:tc>
          <w:tcPr>
            <w:tcW w:w="1134" w:type="dxa"/>
            <w:tcBorders>
              <w:top w:val="nil"/>
              <w:left w:val="nil"/>
              <w:bottom w:val="single" w:sz="4" w:space="0" w:color="auto"/>
              <w:right w:val="nil"/>
            </w:tcBorders>
            <w:shd w:val="clear" w:color="auto" w:fill="auto"/>
            <w:noWrap/>
            <w:vAlign w:val="bottom"/>
          </w:tcPr>
          <w:p w14:paraId="3C52501D" w14:textId="5877DDDB" w:rsidR="00797387" w:rsidRPr="00537128" w:rsidRDefault="00797387" w:rsidP="00797387">
            <w:pPr>
              <w:spacing w:after="0" w:line="300" w:lineRule="exact"/>
              <w:jc w:val="right"/>
              <w:rPr>
                <w:rFonts w:ascii="Calibri" w:eastAsia="Times New Roman" w:hAnsi="Calibri" w:cs="Arial"/>
                <w:sz w:val="20"/>
                <w:szCs w:val="20"/>
                <w:lang w:val="en-US"/>
              </w:rPr>
            </w:pPr>
            <w:r w:rsidRPr="00DE77F5">
              <w:rPr>
                <w:rFonts w:cs="Arial"/>
                <w:color w:val="000000" w:themeColor="text1"/>
                <w:sz w:val="20"/>
                <w:szCs w:val="20"/>
              </w:rPr>
              <w:t>10</w:t>
            </w:r>
            <w:r>
              <w:rPr>
                <w:rFonts w:cs="Arial"/>
                <w:color w:val="000000" w:themeColor="text1"/>
                <w:sz w:val="20"/>
                <w:szCs w:val="20"/>
              </w:rPr>
              <w:t>,576,785</w:t>
            </w:r>
          </w:p>
        </w:tc>
      </w:tr>
      <w:tr w:rsidR="00797387" w:rsidRPr="00537128" w14:paraId="0B041CD1" w14:textId="77777777" w:rsidTr="00456F9A">
        <w:trPr>
          <w:trHeight w:val="315"/>
        </w:trPr>
        <w:tc>
          <w:tcPr>
            <w:tcW w:w="3369" w:type="dxa"/>
            <w:tcBorders>
              <w:left w:val="nil"/>
              <w:right w:val="nil"/>
            </w:tcBorders>
            <w:shd w:val="clear" w:color="auto" w:fill="auto"/>
            <w:vAlign w:val="bottom"/>
          </w:tcPr>
          <w:p w14:paraId="4C5252C2" w14:textId="77777777" w:rsidR="00797387" w:rsidRPr="00537128" w:rsidRDefault="00797387" w:rsidP="00797387">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Total liabilities and total equity</w:t>
            </w:r>
          </w:p>
        </w:tc>
        <w:tc>
          <w:tcPr>
            <w:tcW w:w="1275" w:type="dxa"/>
            <w:tcBorders>
              <w:top w:val="single" w:sz="4" w:space="0" w:color="auto"/>
              <w:left w:val="nil"/>
              <w:bottom w:val="single" w:sz="12" w:space="0" w:color="auto"/>
              <w:right w:val="nil"/>
            </w:tcBorders>
            <w:shd w:val="clear" w:color="auto" w:fill="auto"/>
            <w:noWrap/>
            <w:vAlign w:val="bottom"/>
          </w:tcPr>
          <w:p w14:paraId="0D3DB8DE" w14:textId="09870F60" w:rsidR="00797387" w:rsidRPr="00537128" w:rsidRDefault="00797387" w:rsidP="00797387">
            <w:pPr>
              <w:spacing w:after="0" w:line="300" w:lineRule="exact"/>
              <w:jc w:val="right"/>
              <w:rPr>
                <w:rFonts w:ascii="Calibri" w:eastAsia="Times New Roman" w:hAnsi="Calibri" w:cs="Arial"/>
                <w:b/>
                <w:bCs/>
                <w:sz w:val="20"/>
                <w:szCs w:val="20"/>
                <w:lang w:val="en-US"/>
              </w:rPr>
            </w:pPr>
            <w:r w:rsidRPr="00DE77F5">
              <w:rPr>
                <w:rFonts w:cs="Arial"/>
                <w:b/>
                <w:bCs/>
                <w:color w:val="000000" w:themeColor="text1"/>
                <w:sz w:val="20"/>
                <w:szCs w:val="20"/>
              </w:rPr>
              <w:t>28</w:t>
            </w:r>
            <w:r>
              <w:rPr>
                <w:rFonts w:cs="Arial"/>
                <w:b/>
                <w:bCs/>
                <w:color w:val="000000" w:themeColor="text1"/>
                <w:sz w:val="20"/>
                <w:szCs w:val="20"/>
              </w:rPr>
              <w:t>,249,988</w:t>
            </w:r>
          </w:p>
        </w:tc>
        <w:tc>
          <w:tcPr>
            <w:tcW w:w="1418" w:type="dxa"/>
            <w:tcBorders>
              <w:top w:val="single" w:sz="4" w:space="0" w:color="auto"/>
              <w:left w:val="nil"/>
              <w:bottom w:val="single" w:sz="12" w:space="0" w:color="auto"/>
              <w:right w:val="nil"/>
            </w:tcBorders>
            <w:shd w:val="clear" w:color="auto" w:fill="auto"/>
            <w:noWrap/>
            <w:vAlign w:val="bottom"/>
          </w:tcPr>
          <w:p w14:paraId="13E9CEB4" w14:textId="1D65902C" w:rsidR="00797387" w:rsidRPr="00537128" w:rsidRDefault="00797387" w:rsidP="00797387">
            <w:pPr>
              <w:spacing w:after="0" w:line="300" w:lineRule="exact"/>
              <w:jc w:val="right"/>
              <w:rPr>
                <w:rFonts w:ascii="Calibri" w:eastAsia="Times New Roman" w:hAnsi="Calibri" w:cs="Arial"/>
                <w:b/>
                <w:bCs/>
                <w:sz w:val="20"/>
                <w:szCs w:val="20"/>
                <w:lang w:val="en-US"/>
              </w:rPr>
            </w:pPr>
            <w:r w:rsidRPr="00DE77F5">
              <w:rPr>
                <w:rFonts w:cs="Arial"/>
                <w:b/>
                <w:bCs/>
                <w:color w:val="000000" w:themeColor="text1"/>
                <w:sz w:val="20"/>
                <w:szCs w:val="20"/>
              </w:rPr>
              <w:t>2</w:t>
            </w:r>
            <w:r>
              <w:rPr>
                <w:rFonts w:cs="Arial"/>
                <w:b/>
                <w:bCs/>
                <w:color w:val="000000" w:themeColor="text1"/>
                <w:sz w:val="20"/>
                <w:szCs w:val="20"/>
              </w:rPr>
              <w:t>5,754</w:t>
            </w:r>
          </w:p>
        </w:tc>
        <w:tc>
          <w:tcPr>
            <w:tcW w:w="1134" w:type="dxa"/>
            <w:tcBorders>
              <w:top w:val="single" w:sz="4" w:space="0" w:color="auto"/>
              <w:left w:val="nil"/>
              <w:bottom w:val="single" w:sz="12" w:space="0" w:color="auto"/>
              <w:right w:val="nil"/>
            </w:tcBorders>
            <w:shd w:val="clear" w:color="auto" w:fill="auto"/>
            <w:noWrap/>
            <w:vAlign w:val="bottom"/>
          </w:tcPr>
          <w:p w14:paraId="0BAB8FC2" w14:textId="5C58A799" w:rsidR="00797387" w:rsidRPr="00537128" w:rsidRDefault="00797387" w:rsidP="00797387">
            <w:pPr>
              <w:spacing w:after="0" w:line="300" w:lineRule="exact"/>
              <w:jc w:val="right"/>
              <w:rPr>
                <w:rFonts w:ascii="Calibri" w:eastAsia="Times New Roman" w:hAnsi="Calibri" w:cs="Arial"/>
                <w:b/>
                <w:bCs/>
                <w:sz w:val="20"/>
                <w:szCs w:val="20"/>
                <w:lang w:val="en-US"/>
              </w:rPr>
            </w:pPr>
            <w:r>
              <w:rPr>
                <w:rFonts w:cs="Arial"/>
                <w:b/>
                <w:bCs/>
                <w:color w:val="000000" w:themeColor="text1"/>
                <w:sz w:val="20"/>
                <w:szCs w:val="20"/>
              </w:rPr>
              <w:t>878</w:t>
            </w:r>
          </w:p>
        </w:tc>
        <w:tc>
          <w:tcPr>
            <w:tcW w:w="1309" w:type="dxa"/>
            <w:tcBorders>
              <w:top w:val="single" w:sz="4" w:space="0" w:color="auto"/>
              <w:left w:val="nil"/>
              <w:bottom w:val="single" w:sz="12" w:space="0" w:color="auto"/>
              <w:right w:val="nil"/>
            </w:tcBorders>
            <w:shd w:val="clear" w:color="auto" w:fill="auto"/>
            <w:noWrap/>
            <w:vAlign w:val="bottom"/>
          </w:tcPr>
          <w:p w14:paraId="4FB6BA13" w14:textId="50227A96" w:rsidR="00797387" w:rsidRPr="00537128" w:rsidRDefault="00797387" w:rsidP="00797387">
            <w:pPr>
              <w:spacing w:after="0" w:line="300" w:lineRule="exact"/>
              <w:jc w:val="right"/>
              <w:rPr>
                <w:rFonts w:ascii="Calibri" w:eastAsia="Times New Roman" w:hAnsi="Calibri" w:cs="Arial"/>
                <w:b/>
                <w:bCs/>
                <w:sz w:val="20"/>
                <w:szCs w:val="20"/>
                <w:lang w:val="en-US"/>
              </w:rPr>
            </w:pPr>
            <w:r w:rsidRPr="00DE77F5">
              <w:rPr>
                <w:rFonts w:cs="Arial"/>
                <w:b/>
                <w:bCs/>
                <w:color w:val="000000" w:themeColor="text1"/>
                <w:sz w:val="20"/>
                <w:szCs w:val="20"/>
              </w:rPr>
              <w:t>1</w:t>
            </w:r>
            <w:r>
              <w:rPr>
                <w:rFonts w:cs="Arial"/>
                <w:b/>
                <w:bCs/>
                <w:color w:val="000000" w:themeColor="text1"/>
                <w:sz w:val="20"/>
                <w:szCs w:val="20"/>
              </w:rPr>
              <w:t>,742</w:t>
            </w:r>
          </w:p>
        </w:tc>
        <w:tc>
          <w:tcPr>
            <w:tcW w:w="1134" w:type="dxa"/>
            <w:tcBorders>
              <w:top w:val="single" w:sz="4" w:space="0" w:color="auto"/>
              <w:left w:val="nil"/>
              <w:bottom w:val="single" w:sz="12" w:space="0" w:color="auto"/>
              <w:right w:val="nil"/>
            </w:tcBorders>
            <w:shd w:val="clear" w:color="auto" w:fill="auto"/>
            <w:noWrap/>
            <w:vAlign w:val="bottom"/>
          </w:tcPr>
          <w:p w14:paraId="300D5860" w14:textId="55C5BCCF" w:rsidR="00797387" w:rsidRPr="00537128" w:rsidRDefault="00797387" w:rsidP="00797387">
            <w:pPr>
              <w:spacing w:after="0" w:line="300" w:lineRule="exact"/>
              <w:jc w:val="right"/>
              <w:rPr>
                <w:rFonts w:ascii="Calibri" w:eastAsia="Times New Roman" w:hAnsi="Calibri" w:cs="Arial"/>
                <w:b/>
                <w:bCs/>
                <w:sz w:val="20"/>
                <w:szCs w:val="20"/>
                <w:lang w:val="en-US"/>
              </w:rPr>
            </w:pPr>
            <w:r w:rsidRPr="00DE77F5">
              <w:rPr>
                <w:rFonts w:cs="Arial"/>
                <w:b/>
                <w:bCs/>
                <w:color w:val="000000" w:themeColor="text1"/>
                <w:sz w:val="20"/>
                <w:szCs w:val="20"/>
              </w:rPr>
              <w:t>28</w:t>
            </w:r>
            <w:r>
              <w:rPr>
                <w:rFonts w:cs="Arial"/>
                <w:b/>
                <w:bCs/>
                <w:color w:val="000000" w:themeColor="text1"/>
                <w:sz w:val="20"/>
                <w:szCs w:val="20"/>
              </w:rPr>
              <w:t>,278,362</w:t>
            </w:r>
          </w:p>
        </w:tc>
      </w:tr>
    </w:tbl>
    <w:p w14:paraId="3995A484" w14:textId="77777777" w:rsidR="008F335F" w:rsidRPr="00537128" w:rsidRDefault="008F335F" w:rsidP="008F335F">
      <w:pPr>
        <w:spacing w:after="0" w:line="240" w:lineRule="auto"/>
        <w:jc w:val="both"/>
        <w:rPr>
          <w:rFonts w:ascii="Calibri" w:eastAsia="Calibri" w:hAnsi="Calibri" w:cs="Arial"/>
          <w:bCs/>
          <w:lang w:val="en-US"/>
        </w:rPr>
      </w:pPr>
    </w:p>
    <w:p w14:paraId="3CD51F2A" w14:textId="77777777" w:rsidR="00D27961" w:rsidRPr="00537128" w:rsidRDefault="00D27961" w:rsidP="008F335F">
      <w:pPr>
        <w:spacing w:after="0" w:line="240" w:lineRule="auto"/>
        <w:jc w:val="both"/>
        <w:rPr>
          <w:rFonts w:ascii="Calibri" w:eastAsia="Calibri" w:hAnsi="Calibri" w:cs="Arial"/>
          <w:bCs/>
          <w:lang w:val="en-US"/>
        </w:rPr>
      </w:pPr>
    </w:p>
    <w:p w14:paraId="57196579" w14:textId="77777777" w:rsidR="008F335F" w:rsidRPr="00537128" w:rsidRDefault="008F335F" w:rsidP="008F335F">
      <w:pPr>
        <w:spacing w:after="0" w:line="240" w:lineRule="auto"/>
        <w:jc w:val="both"/>
        <w:rPr>
          <w:rFonts w:ascii="Calibri" w:eastAsia="Calibri" w:hAnsi="Calibri" w:cs="Arial"/>
          <w:bCs/>
          <w:lang w:val="en-US"/>
        </w:rPr>
      </w:pPr>
      <w:r w:rsidRPr="00537128">
        <w:rPr>
          <w:rFonts w:ascii="Calibri" w:eastAsia="Calibri" w:hAnsi="Calibri" w:cs="Arial"/>
          <w:bCs/>
          <w:lang w:val="en-US"/>
        </w:rPr>
        <w:t>Intra-group transactions are presented under "Unallocated”.</w:t>
      </w:r>
    </w:p>
    <w:p w14:paraId="0456BD49" w14:textId="77777777" w:rsidR="008F335F" w:rsidRPr="00537128" w:rsidRDefault="008F335F" w:rsidP="008F335F">
      <w:pPr>
        <w:spacing w:after="0" w:line="240" w:lineRule="auto"/>
        <w:jc w:val="both"/>
        <w:rPr>
          <w:rFonts w:ascii="Calibri" w:eastAsia="Calibri" w:hAnsi="Calibri" w:cs="Arial"/>
          <w:bCs/>
          <w:lang w:val="en-US"/>
        </w:rPr>
      </w:pPr>
    </w:p>
    <w:p w14:paraId="6D2A6E39" w14:textId="77777777" w:rsidR="00CD4849" w:rsidRPr="00537128" w:rsidRDefault="00CD4849" w:rsidP="00CD4849">
      <w:pPr>
        <w:spacing w:after="0" w:line="240" w:lineRule="auto"/>
        <w:jc w:val="both"/>
        <w:rPr>
          <w:rFonts w:ascii="Calibri" w:eastAsia="Times New Roman" w:hAnsi="Calibri" w:cs="Arial"/>
          <w:lang w:val="en-US"/>
        </w:rPr>
      </w:pPr>
      <w:r w:rsidRPr="00537128">
        <w:rPr>
          <w:rFonts w:ascii="Calibri" w:eastAsia="Times New Roman" w:hAnsi="Calibri" w:cs="Arial"/>
          <w:lang w:val="en-US"/>
        </w:rPr>
        <w:t>The Group decided to apply a simple approach of stating operating segments by taking into consideration the main business model of each member of the Group as previously described in this Note.</w:t>
      </w:r>
    </w:p>
    <w:p w14:paraId="682BD4FD" w14:textId="77777777" w:rsidR="008F335F" w:rsidRPr="00537128" w:rsidRDefault="008F335F" w:rsidP="008F335F">
      <w:pPr>
        <w:spacing w:after="0" w:line="240" w:lineRule="auto"/>
        <w:jc w:val="both"/>
        <w:rPr>
          <w:rFonts w:ascii="Calibri" w:eastAsia="Calibri" w:hAnsi="Calibri" w:cs="Arial"/>
          <w:bCs/>
          <w:lang w:val="en-US"/>
        </w:rPr>
        <w:sectPr w:rsidR="008F335F" w:rsidRPr="00537128" w:rsidSect="00712478">
          <w:pgSz w:w="11906" w:h="16838"/>
          <w:pgMar w:top="1418" w:right="1134" w:bottom="1418" w:left="1418" w:header="709" w:footer="709" w:gutter="0"/>
          <w:cols w:space="708"/>
          <w:docGrid w:linePitch="360"/>
        </w:sectPr>
      </w:pPr>
    </w:p>
    <w:p w14:paraId="7496E831" w14:textId="77777777" w:rsidR="00D27961" w:rsidRPr="00537128" w:rsidRDefault="00D27961" w:rsidP="00D27961">
      <w:pPr>
        <w:tabs>
          <w:tab w:val="left" w:pos="709"/>
        </w:tabs>
        <w:spacing w:after="0" w:line="240" w:lineRule="auto"/>
        <w:jc w:val="both"/>
        <w:rPr>
          <w:rFonts w:ascii="Calibri" w:eastAsia="Calibri" w:hAnsi="Calibri" w:cs="Arial"/>
          <w:b/>
          <w:bCs/>
          <w:spacing w:val="-3"/>
          <w:lang w:val="en-US"/>
        </w:rPr>
      </w:pPr>
    </w:p>
    <w:p w14:paraId="5C568A6C" w14:textId="705D8E1F" w:rsidR="00D27961" w:rsidRPr="00537128" w:rsidRDefault="003E09B3" w:rsidP="00D27961">
      <w:pPr>
        <w:tabs>
          <w:tab w:val="left" w:pos="709"/>
        </w:tabs>
        <w:spacing w:after="0" w:line="240" w:lineRule="auto"/>
        <w:jc w:val="both"/>
        <w:rPr>
          <w:rFonts w:ascii="Calibri" w:eastAsia="Times New Roman" w:hAnsi="Calibri" w:cs="Arial"/>
          <w:b/>
          <w:spacing w:val="-3"/>
          <w:lang w:val="en-US"/>
        </w:rPr>
      </w:pPr>
      <w:r w:rsidRPr="00537128">
        <w:rPr>
          <w:rFonts w:ascii="Calibri" w:eastAsia="Times New Roman" w:hAnsi="Calibri" w:cs="Arial"/>
          <w:b/>
          <w:spacing w:val="-3"/>
          <w:lang w:val="en-US"/>
        </w:rPr>
        <w:t>2</w:t>
      </w:r>
      <w:r>
        <w:rPr>
          <w:rFonts w:ascii="Calibri" w:eastAsia="Times New Roman" w:hAnsi="Calibri" w:cs="Arial"/>
          <w:b/>
          <w:spacing w:val="-3"/>
          <w:lang w:val="en-US"/>
        </w:rPr>
        <w:t>6</w:t>
      </w:r>
      <w:r w:rsidR="00D27961" w:rsidRPr="00537128">
        <w:rPr>
          <w:rFonts w:ascii="Calibri" w:eastAsia="Times New Roman" w:hAnsi="Calibri" w:cs="Arial"/>
          <w:b/>
          <w:spacing w:val="-3"/>
          <w:lang w:val="en-US"/>
        </w:rPr>
        <w:t>.</w:t>
      </w:r>
      <w:r w:rsidR="00D27961" w:rsidRPr="00537128">
        <w:rPr>
          <w:rFonts w:ascii="Calibri" w:eastAsia="Times New Roman" w:hAnsi="Calibri" w:cs="Arial"/>
          <w:b/>
          <w:spacing w:val="-3"/>
          <w:lang w:val="en-US"/>
        </w:rPr>
        <w:tab/>
        <w:t>Capital management</w:t>
      </w:r>
    </w:p>
    <w:p w14:paraId="7F093D5A" w14:textId="77777777" w:rsidR="00D27961" w:rsidRPr="00537128" w:rsidRDefault="00D27961" w:rsidP="00D27961">
      <w:pPr>
        <w:tabs>
          <w:tab w:val="left" w:pos="709"/>
        </w:tabs>
        <w:spacing w:after="0" w:line="240" w:lineRule="auto"/>
        <w:jc w:val="both"/>
        <w:rPr>
          <w:rFonts w:ascii="Calibri" w:eastAsia="Times New Roman" w:hAnsi="Calibri" w:cs="Arial"/>
          <w:b/>
          <w:spacing w:val="-3"/>
          <w:lang w:val="en-US"/>
        </w:rPr>
      </w:pPr>
    </w:p>
    <w:p w14:paraId="2083AA05" w14:textId="77777777" w:rsidR="00D27961" w:rsidRPr="00537128" w:rsidRDefault="00D27961" w:rsidP="00D27961">
      <w:pPr>
        <w:spacing w:after="0" w:line="240" w:lineRule="auto"/>
        <w:jc w:val="both"/>
        <w:rPr>
          <w:rFonts w:ascii="Calibri" w:eastAsia="Times New Roman" w:hAnsi="Calibri" w:cs="Arial"/>
          <w:lang w:val="en-US"/>
        </w:rPr>
      </w:pPr>
      <w:r w:rsidRPr="00537128">
        <w:rPr>
          <w:rFonts w:ascii="Calibri" w:eastAsia="Times New Roman" w:hAnsi="Calibri" w:cs="Arial"/>
          <w:lang w:val="en-US"/>
        </w:rPr>
        <w:t>The primary objectives of the Group's capital management are to ensure the presumptions of going concern and to respect regulatory and contracted demands imposed by creditors regarding a certain capital adequacy level.</w:t>
      </w:r>
    </w:p>
    <w:p w14:paraId="761E5343" w14:textId="77777777" w:rsidR="00D27961" w:rsidRPr="00537128" w:rsidRDefault="00D27961" w:rsidP="00D27961">
      <w:pPr>
        <w:spacing w:after="0" w:line="240" w:lineRule="auto"/>
        <w:jc w:val="both"/>
        <w:rPr>
          <w:rFonts w:ascii="Calibri" w:eastAsia="Times New Roman" w:hAnsi="Calibri" w:cs="Arial"/>
          <w:lang w:val="en-US"/>
        </w:rPr>
      </w:pPr>
    </w:p>
    <w:p w14:paraId="046D1C31" w14:textId="77777777" w:rsidR="00D27961" w:rsidRPr="00537128" w:rsidRDefault="00D27961" w:rsidP="00D27961">
      <w:pPr>
        <w:spacing w:after="0" w:line="240" w:lineRule="auto"/>
        <w:jc w:val="both"/>
        <w:rPr>
          <w:rFonts w:ascii="Calibri" w:eastAsia="Times New Roman" w:hAnsi="Calibri" w:cs="Arial"/>
          <w:lang w:val="en-US"/>
        </w:rPr>
      </w:pPr>
      <w:r w:rsidRPr="00537128">
        <w:rPr>
          <w:rFonts w:ascii="Calibri" w:eastAsia="Times New Roman" w:hAnsi="Calibri" w:cs="Arial"/>
          <w:lang w:val="en-US"/>
        </w:rPr>
        <w:t>The Group has identified own funds as a manageable capital category.</w:t>
      </w:r>
    </w:p>
    <w:p w14:paraId="68DF382C" w14:textId="77777777" w:rsidR="00D27961" w:rsidRPr="00537128" w:rsidRDefault="00D27961" w:rsidP="00D27961">
      <w:pPr>
        <w:spacing w:after="0" w:line="240" w:lineRule="auto"/>
        <w:jc w:val="both"/>
        <w:rPr>
          <w:rFonts w:ascii="Calibri" w:eastAsia="Times New Roman" w:hAnsi="Calibri" w:cs="Arial"/>
          <w:lang w:val="en-US"/>
        </w:rPr>
      </w:pPr>
    </w:p>
    <w:p w14:paraId="567AEEE9" w14:textId="77777777" w:rsidR="00D27961" w:rsidRPr="00537128" w:rsidRDefault="00D27961" w:rsidP="00D27961">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Regulatory capital </w:t>
      </w:r>
      <w:proofErr w:type="gramStart"/>
      <w:r w:rsidRPr="00537128">
        <w:rPr>
          <w:rFonts w:ascii="Calibri" w:eastAsia="Times New Roman" w:hAnsi="Calibri" w:cs="Arial"/>
          <w:lang w:val="en-US"/>
        </w:rPr>
        <w:t>has to</w:t>
      </w:r>
      <w:proofErr w:type="gramEnd"/>
      <w:r w:rsidRPr="00537128">
        <w:rPr>
          <w:rFonts w:ascii="Calibri" w:eastAsia="Times New Roman" w:hAnsi="Calibri" w:cs="Arial"/>
          <w:lang w:val="en-US"/>
        </w:rPr>
        <w:t xml:space="preserve"> be, at every moment, at least at the level of share capital or at the level that ensures that the capital adequacy ratio is at least 12% and that is sufficient for covering capital requirements regarding business risks.</w:t>
      </w:r>
    </w:p>
    <w:p w14:paraId="452C554F" w14:textId="77777777" w:rsidR="00D27961" w:rsidRPr="00537128" w:rsidRDefault="00D27961" w:rsidP="00D27961">
      <w:pPr>
        <w:spacing w:after="0" w:line="240" w:lineRule="auto"/>
        <w:jc w:val="both"/>
        <w:rPr>
          <w:rFonts w:ascii="Calibri" w:eastAsia="Times New Roman" w:hAnsi="Calibri" w:cs="Arial"/>
          <w:lang w:val="en-US"/>
        </w:rPr>
      </w:pPr>
    </w:p>
    <w:p w14:paraId="50D18A6B" w14:textId="77777777" w:rsidR="00D27961" w:rsidRPr="00537128" w:rsidRDefault="00D27961" w:rsidP="00D27961">
      <w:pPr>
        <w:spacing w:after="0" w:line="240" w:lineRule="auto"/>
        <w:jc w:val="both"/>
        <w:rPr>
          <w:rFonts w:ascii="Calibri" w:eastAsia="Times New Roman" w:hAnsi="Calibri" w:cs="Arial"/>
          <w:lang w:val="en-US"/>
        </w:rPr>
      </w:pPr>
      <w:r w:rsidRPr="00537128">
        <w:rPr>
          <w:rFonts w:ascii="Calibri" w:eastAsia="Times New Roman" w:hAnsi="Calibri" w:cs="Arial"/>
          <w:lang w:val="en-US"/>
        </w:rPr>
        <w:t>Regulatory capital is comprised of core capital minus debit items.</w:t>
      </w:r>
    </w:p>
    <w:p w14:paraId="11B81918" w14:textId="77777777" w:rsidR="00D27961" w:rsidRPr="00537128" w:rsidRDefault="00D27961" w:rsidP="00D27961">
      <w:pPr>
        <w:spacing w:after="0" w:line="240" w:lineRule="auto"/>
        <w:jc w:val="both"/>
        <w:rPr>
          <w:rFonts w:ascii="Calibri" w:eastAsia="Times New Roman" w:hAnsi="Calibri" w:cs="Arial"/>
          <w:lang w:val="en-US"/>
        </w:rPr>
      </w:pPr>
    </w:p>
    <w:p w14:paraId="5EA7689C" w14:textId="77777777" w:rsidR="00D27961" w:rsidRPr="00537128" w:rsidRDefault="00D27961" w:rsidP="00D27961">
      <w:pPr>
        <w:spacing w:after="0" w:line="240" w:lineRule="auto"/>
        <w:jc w:val="both"/>
        <w:rPr>
          <w:rFonts w:ascii="Calibri" w:eastAsia="Times New Roman" w:hAnsi="Calibri" w:cs="Arial"/>
          <w:lang w:val="en-US"/>
        </w:rPr>
      </w:pPr>
      <w:r w:rsidRPr="00537128">
        <w:rPr>
          <w:rFonts w:ascii="Calibri" w:eastAsia="Times New Roman" w:hAnsi="Calibri" w:cs="Arial"/>
          <w:lang w:val="en-US"/>
        </w:rPr>
        <w:t>The Group has determined measures for the implementation and monitoring of the capital management policy as follows:</w:t>
      </w:r>
    </w:p>
    <w:p w14:paraId="57652008" w14:textId="77777777" w:rsidR="00D27961" w:rsidRPr="00537128" w:rsidRDefault="00D27961" w:rsidP="00D27961">
      <w:pPr>
        <w:pStyle w:val="ListParagraph"/>
        <w:numPr>
          <w:ilvl w:val="0"/>
          <w:numId w:val="71"/>
        </w:numPr>
        <w:tabs>
          <w:tab w:val="num" w:pos="426"/>
        </w:tabs>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At the reporting date, own funds </w:t>
      </w:r>
      <w:proofErr w:type="gramStart"/>
      <w:r w:rsidRPr="00537128">
        <w:rPr>
          <w:rFonts w:ascii="Calibri" w:eastAsia="Times New Roman" w:hAnsi="Calibri" w:cs="Arial"/>
          <w:lang w:val="en-US"/>
        </w:rPr>
        <w:t>have to</w:t>
      </w:r>
      <w:proofErr w:type="gramEnd"/>
      <w:r w:rsidRPr="00537128">
        <w:rPr>
          <w:rFonts w:ascii="Calibri" w:eastAsia="Times New Roman" w:hAnsi="Calibri" w:cs="Arial"/>
          <w:lang w:val="en-US"/>
        </w:rPr>
        <w:t xml:space="preserve"> be at least at the level of founder’s capital for the reporting period.</w:t>
      </w:r>
    </w:p>
    <w:p w14:paraId="5D8ABA4E" w14:textId="77777777" w:rsidR="00D27961" w:rsidRPr="00537128" w:rsidRDefault="00D27961" w:rsidP="00D27961">
      <w:pPr>
        <w:pStyle w:val="ListParagraph"/>
        <w:numPr>
          <w:ilvl w:val="0"/>
          <w:numId w:val="71"/>
        </w:numPr>
        <w:tabs>
          <w:tab w:val="num" w:pos="426"/>
        </w:tabs>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The capital adequacy ratio at the reporting date </w:t>
      </w:r>
      <w:proofErr w:type="gramStart"/>
      <w:r w:rsidRPr="00537128">
        <w:rPr>
          <w:rFonts w:ascii="Calibri" w:eastAsia="Times New Roman" w:hAnsi="Calibri" w:cs="Arial"/>
          <w:lang w:val="en-US"/>
        </w:rPr>
        <w:t>has to</w:t>
      </w:r>
      <w:proofErr w:type="gramEnd"/>
      <w:r w:rsidRPr="00537128">
        <w:rPr>
          <w:rFonts w:ascii="Calibri" w:eastAsia="Times New Roman" w:hAnsi="Calibri" w:cs="Arial"/>
          <w:lang w:val="en-US"/>
        </w:rPr>
        <w:t xml:space="preserve"> be at the level prescribed for the banks in the Republic of Croatia as well as at the level stated within regular financial covenants determined in loan contracts and contracts with special financial institutions that HBOR has concluded as a borrower. </w:t>
      </w:r>
    </w:p>
    <w:p w14:paraId="2E1A35A7" w14:textId="77777777" w:rsidR="00D27961" w:rsidRPr="00537128" w:rsidRDefault="00D27961" w:rsidP="00D27961">
      <w:pPr>
        <w:spacing w:after="0" w:line="240" w:lineRule="auto"/>
        <w:jc w:val="both"/>
        <w:rPr>
          <w:rFonts w:ascii="Calibri" w:eastAsia="Times New Roman" w:hAnsi="Calibri" w:cs="Arial"/>
          <w:lang w:val="en-US"/>
        </w:rPr>
      </w:pPr>
    </w:p>
    <w:p w14:paraId="3E89100D" w14:textId="5D0ACE97" w:rsidR="00D27961" w:rsidRPr="00537128" w:rsidRDefault="00D27961" w:rsidP="00D27961">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The Group calculates regulatory capital and capital requirements in accordance with Basel II requirements, and below is a breakdown of capital adequacy ratio as </w:t>
      </w:r>
      <w:proofErr w:type="gramStart"/>
      <w:r w:rsidRPr="00537128">
        <w:rPr>
          <w:rFonts w:ascii="Calibri" w:eastAsia="Times New Roman" w:hAnsi="Calibri" w:cs="Arial"/>
          <w:lang w:val="en-US"/>
        </w:rPr>
        <w:t>at</w:t>
      </w:r>
      <w:proofErr w:type="gramEnd"/>
      <w:r w:rsidRPr="00537128">
        <w:rPr>
          <w:rFonts w:ascii="Calibri" w:eastAsia="Times New Roman" w:hAnsi="Calibri" w:cs="Arial"/>
          <w:lang w:val="en-US"/>
        </w:rPr>
        <w:t xml:space="preserve"> 3</w:t>
      </w:r>
      <w:r w:rsidR="00456F9A" w:rsidRPr="00537128">
        <w:rPr>
          <w:rFonts w:ascii="Calibri" w:eastAsia="Times New Roman" w:hAnsi="Calibri" w:cs="Arial"/>
          <w:lang w:val="en-US"/>
        </w:rPr>
        <w:t>1</w:t>
      </w:r>
      <w:r w:rsidRPr="00537128">
        <w:rPr>
          <w:rFonts w:ascii="Calibri" w:eastAsia="Times New Roman" w:hAnsi="Calibri" w:cs="Arial"/>
          <w:lang w:val="en-US"/>
        </w:rPr>
        <w:t xml:space="preserve"> </w:t>
      </w:r>
      <w:r w:rsidR="00456F9A" w:rsidRPr="00537128">
        <w:rPr>
          <w:rFonts w:ascii="Calibri" w:eastAsia="Times New Roman" w:hAnsi="Calibri" w:cs="Arial"/>
          <w:lang w:val="en-US"/>
        </w:rPr>
        <w:t>March</w:t>
      </w:r>
      <w:r w:rsidRPr="00537128">
        <w:rPr>
          <w:rFonts w:ascii="Calibri" w:eastAsia="Times New Roman" w:hAnsi="Calibri" w:cs="Arial"/>
          <w:lang w:val="en-US"/>
        </w:rPr>
        <w:t xml:space="preserve"> 202</w:t>
      </w:r>
      <w:r w:rsidR="00232906">
        <w:rPr>
          <w:rFonts w:ascii="Calibri" w:eastAsia="Times New Roman" w:hAnsi="Calibri" w:cs="Arial"/>
          <w:lang w:val="en-US"/>
        </w:rPr>
        <w:t>2</w:t>
      </w:r>
      <w:r w:rsidRPr="00537128">
        <w:rPr>
          <w:rFonts w:ascii="Calibri" w:eastAsia="Times New Roman" w:hAnsi="Calibri" w:cs="Arial"/>
          <w:lang w:val="en-US"/>
        </w:rPr>
        <w:t xml:space="preserve"> and 31 December 20</w:t>
      </w:r>
      <w:r w:rsidR="00456F9A" w:rsidRPr="00537128">
        <w:rPr>
          <w:rFonts w:ascii="Calibri" w:eastAsia="Times New Roman" w:hAnsi="Calibri" w:cs="Arial"/>
          <w:lang w:val="en-US"/>
        </w:rPr>
        <w:t>2</w:t>
      </w:r>
      <w:r w:rsidR="00232906">
        <w:rPr>
          <w:rFonts w:ascii="Calibri" w:eastAsia="Times New Roman" w:hAnsi="Calibri" w:cs="Arial"/>
          <w:lang w:val="en-US"/>
        </w:rPr>
        <w:t>1</w:t>
      </w:r>
      <w:r w:rsidRPr="00537128">
        <w:rPr>
          <w:rFonts w:ascii="Calibri" w:eastAsia="Times New Roman" w:hAnsi="Calibri" w:cs="Arial"/>
          <w:lang w:val="en-US"/>
        </w:rPr>
        <w:t>.</w:t>
      </w:r>
    </w:p>
    <w:p w14:paraId="2B398808" w14:textId="77777777" w:rsidR="00D27961" w:rsidRPr="00537128" w:rsidRDefault="00D27961" w:rsidP="00D27961">
      <w:pPr>
        <w:spacing w:after="0" w:line="240" w:lineRule="auto"/>
        <w:jc w:val="both"/>
        <w:rPr>
          <w:rFonts w:ascii="Calibri" w:eastAsia="Times New Roman" w:hAnsi="Calibri" w:cs="Arial"/>
          <w:lang w:val="en-US"/>
        </w:rPr>
      </w:pPr>
    </w:p>
    <w:tbl>
      <w:tblPr>
        <w:tblW w:w="5349" w:type="pct"/>
        <w:jc w:val="center"/>
        <w:tblBorders>
          <w:bottom w:val="single" w:sz="12" w:space="0" w:color="auto"/>
        </w:tblBorders>
        <w:tblLayout w:type="fixed"/>
        <w:tblLook w:val="01E0" w:firstRow="1" w:lastRow="1" w:firstColumn="1" w:lastColumn="1" w:noHBand="0" w:noVBand="0"/>
      </w:tblPr>
      <w:tblGrid>
        <w:gridCol w:w="3971"/>
        <w:gridCol w:w="1509"/>
        <w:gridCol w:w="1509"/>
        <w:gridCol w:w="1509"/>
        <w:gridCol w:w="1509"/>
      </w:tblGrid>
      <w:tr w:rsidR="004B2E0B" w:rsidRPr="00537128" w14:paraId="0EDB2223" w14:textId="77777777" w:rsidTr="004B2E0B">
        <w:trPr>
          <w:trHeight w:val="172"/>
          <w:jc w:val="center"/>
        </w:trPr>
        <w:tc>
          <w:tcPr>
            <w:tcW w:w="1984" w:type="pct"/>
          </w:tcPr>
          <w:p w14:paraId="4F9D8EE9" w14:textId="77777777" w:rsidR="004B2E0B" w:rsidRPr="00537128" w:rsidRDefault="004B2E0B" w:rsidP="004B2E0B">
            <w:pPr>
              <w:tabs>
                <w:tab w:val="right" w:pos="9781"/>
              </w:tabs>
              <w:spacing w:after="0" w:line="240" w:lineRule="auto"/>
              <w:jc w:val="both"/>
              <w:rPr>
                <w:rFonts w:ascii="Calibri" w:eastAsia="Times New Roman" w:hAnsi="Calibri" w:cs="Arial"/>
                <w:sz w:val="20"/>
                <w:szCs w:val="20"/>
                <w:lang w:val="en-US"/>
              </w:rPr>
            </w:pPr>
          </w:p>
        </w:tc>
        <w:tc>
          <w:tcPr>
            <w:tcW w:w="754" w:type="pct"/>
            <w:vAlign w:val="bottom"/>
          </w:tcPr>
          <w:p w14:paraId="6A805982" w14:textId="77777777" w:rsidR="004B2E0B" w:rsidRPr="00537128" w:rsidRDefault="004B2E0B" w:rsidP="004B2E0B">
            <w:pPr>
              <w:tabs>
                <w:tab w:val="right" w:pos="1202"/>
              </w:tabs>
              <w:spacing w:after="0" w:line="240" w:lineRule="auto"/>
              <w:jc w:val="right"/>
              <w:outlineLvl w:val="0"/>
              <w:rPr>
                <w:rFonts w:ascii="Calibri" w:eastAsia="Times New Roman" w:hAnsi="Calibri" w:cs="Arial"/>
                <w:b/>
                <w:sz w:val="20"/>
                <w:szCs w:val="20"/>
                <w:lang w:val="en-US"/>
              </w:rPr>
            </w:pPr>
          </w:p>
        </w:tc>
        <w:tc>
          <w:tcPr>
            <w:tcW w:w="754" w:type="pct"/>
            <w:vAlign w:val="bottom"/>
          </w:tcPr>
          <w:p w14:paraId="58F6BA66" w14:textId="77777777" w:rsidR="004B2E0B" w:rsidRPr="00537128" w:rsidRDefault="004B2E0B" w:rsidP="004B2E0B">
            <w:pPr>
              <w:tabs>
                <w:tab w:val="right" w:pos="1202"/>
              </w:tabs>
              <w:spacing w:after="0" w:line="240" w:lineRule="auto"/>
              <w:jc w:val="right"/>
              <w:outlineLvl w:val="0"/>
              <w:rPr>
                <w:rFonts w:ascii="Calibri" w:eastAsia="Times New Roman" w:hAnsi="Calibri" w:cs="Arial"/>
                <w:b/>
                <w:sz w:val="20"/>
                <w:szCs w:val="20"/>
                <w:lang w:val="en-US"/>
              </w:rPr>
            </w:pPr>
            <w:bookmarkStart w:id="1275" w:name="_Toc4063527"/>
            <w:r w:rsidRPr="00537128">
              <w:rPr>
                <w:rFonts w:ascii="Calibri" w:eastAsia="Times New Roman" w:hAnsi="Calibri" w:cs="Arial"/>
                <w:b/>
                <w:sz w:val="20"/>
                <w:szCs w:val="20"/>
                <w:lang w:val="en-US"/>
              </w:rPr>
              <w:t>Group</w:t>
            </w:r>
            <w:bookmarkEnd w:id="1275"/>
          </w:p>
        </w:tc>
        <w:tc>
          <w:tcPr>
            <w:tcW w:w="754" w:type="pct"/>
            <w:vAlign w:val="bottom"/>
          </w:tcPr>
          <w:p w14:paraId="0C59C3A8" w14:textId="77777777" w:rsidR="004B2E0B" w:rsidRPr="00537128" w:rsidRDefault="004B2E0B" w:rsidP="004B2E0B">
            <w:pPr>
              <w:tabs>
                <w:tab w:val="right" w:pos="1202"/>
              </w:tabs>
              <w:spacing w:after="0" w:line="240" w:lineRule="auto"/>
              <w:jc w:val="right"/>
              <w:outlineLvl w:val="0"/>
              <w:rPr>
                <w:rFonts w:ascii="Calibri" w:eastAsia="Times New Roman" w:hAnsi="Calibri" w:cs="Arial"/>
                <w:b/>
                <w:sz w:val="20"/>
                <w:szCs w:val="20"/>
                <w:lang w:val="en-US"/>
              </w:rPr>
            </w:pPr>
          </w:p>
        </w:tc>
        <w:tc>
          <w:tcPr>
            <w:tcW w:w="754" w:type="pct"/>
          </w:tcPr>
          <w:p w14:paraId="6AB3CD62" w14:textId="77777777" w:rsidR="004B2E0B" w:rsidRPr="00537128" w:rsidRDefault="004B2E0B" w:rsidP="004B2E0B">
            <w:pPr>
              <w:tabs>
                <w:tab w:val="right" w:pos="1202"/>
              </w:tabs>
              <w:spacing w:after="0" w:line="240" w:lineRule="auto"/>
              <w:jc w:val="right"/>
              <w:outlineLvl w:val="0"/>
              <w:rPr>
                <w:rFonts w:ascii="Calibri" w:eastAsia="Times New Roman" w:hAnsi="Calibri" w:cs="Arial"/>
                <w:b/>
                <w:sz w:val="20"/>
                <w:szCs w:val="20"/>
                <w:lang w:val="en-US"/>
              </w:rPr>
            </w:pPr>
            <w:bookmarkStart w:id="1276" w:name="_Toc4063528"/>
            <w:r w:rsidRPr="00537128">
              <w:rPr>
                <w:rFonts w:ascii="Calibri" w:eastAsia="Times New Roman" w:hAnsi="Calibri" w:cs="Arial"/>
                <w:b/>
                <w:sz w:val="20"/>
                <w:szCs w:val="20"/>
                <w:lang w:val="en-US"/>
              </w:rPr>
              <w:t>Bank</w:t>
            </w:r>
            <w:bookmarkEnd w:id="1276"/>
          </w:p>
        </w:tc>
      </w:tr>
      <w:tr w:rsidR="004B2E0B" w:rsidRPr="00537128" w14:paraId="2F79E074" w14:textId="77777777" w:rsidTr="004B2E0B">
        <w:trPr>
          <w:trHeight w:val="172"/>
          <w:jc w:val="center"/>
        </w:trPr>
        <w:tc>
          <w:tcPr>
            <w:tcW w:w="1984" w:type="pct"/>
          </w:tcPr>
          <w:p w14:paraId="07B96406" w14:textId="77777777" w:rsidR="004B2E0B" w:rsidRPr="00537128" w:rsidRDefault="004B2E0B" w:rsidP="004B2E0B">
            <w:pPr>
              <w:tabs>
                <w:tab w:val="right" w:pos="9781"/>
              </w:tabs>
              <w:spacing w:after="0" w:line="240" w:lineRule="auto"/>
              <w:jc w:val="both"/>
              <w:rPr>
                <w:rFonts w:ascii="Calibri" w:eastAsia="Times New Roman" w:hAnsi="Calibri" w:cs="Arial"/>
                <w:sz w:val="20"/>
                <w:szCs w:val="20"/>
                <w:lang w:val="en-US"/>
              </w:rPr>
            </w:pPr>
          </w:p>
        </w:tc>
        <w:tc>
          <w:tcPr>
            <w:tcW w:w="754" w:type="pct"/>
            <w:vAlign w:val="center"/>
          </w:tcPr>
          <w:p w14:paraId="6A3899EA" w14:textId="77777777" w:rsidR="004B2E0B" w:rsidRPr="00537128" w:rsidRDefault="004B2E0B" w:rsidP="004B2E0B">
            <w:pPr>
              <w:spacing w:after="0" w:line="240" w:lineRule="auto"/>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31 March</w:t>
            </w:r>
          </w:p>
          <w:p w14:paraId="6E3EDC58" w14:textId="2B2B4966" w:rsidR="004B2E0B" w:rsidRPr="00537128" w:rsidRDefault="004B2E0B" w:rsidP="004B2E0B">
            <w:pPr>
              <w:spacing w:after="0" w:line="240" w:lineRule="auto"/>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202</w:t>
            </w:r>
            <w:r w:rsidR="008B6CC9">
              <w:rPr>
                <w:rFonts w:ascii="Calibri" w:eastAsia="Times New Roman" w:hAnsi="Calibri" w:cs="Arial"/>
                <w:b/>
                <w:bCs/>
                <w:sz w:val="20"/>
                <w:szCs w:val="20"/>
                <w:lang w:val="en-US"/>
              </w:rPr>
              <w:t>2</w:t>
            </w:r>
          </w:p>
        </w:tc>
        <w:tc>
          <w:tcPr>
            <w:tcW w:w="754" w:type="pct"/>
            <w:vAlign w:val="center"/>
          </w:tcPr>
          <w:p w14:paraId="7C981593" w14:textId="71A575C0" w:rsidR="004B2E0B" w:rsidRPr="00537128" w:rsidRDefault="004B2E0B" w:rsidP="004B2E0B">
            <w:pPr>
              <w:spacing w:after="0" w:line="240" w:lineRule="auto"/>
              <w:jc w:val="right"/>
              <w:rPr>
                <w:rFonts w:ascii="Calibri" w:eastAsia="Times New Roman" w:hAnsi="Calibri" w:cs="Arial"/>
                <w:b/>
                <w:sz w:val="20"/>
                <w:szCs w:val="20"/>
                <w:lang w:val="en-US"/>
              </w:rPr>
            </w:pPr>
            <w:r w:rsidRPr="00537128">
              <w:rPr>
                <w:rFonts w:ascii="Calibri" w:eastAsia="Times New Roman" w:hAnsi="Calibri" w:cs="Arial"/>
                <w:b/>
                <w:bCs/>
                <w:sz w:val="20"/>
                <w:szCs w:val="20"/>
                <w:lang w:val="en-US"/>
              </w:rPr>
              <w:t>31 December 202</w:t>
            </w:r>
            <w:r w:rsidR="008B6CC9">
              <w:rPr>
                <w:rFonts w:ascii="Calibri" w:eastAsia="Times New Roman" w:hAnsi="Calibri" w:cs="Arial"/>
                <w:b/>
                <w:bCs/>
                <w:sz w:val="20"/>
                <w:szCs w:val="20"/>
                <w:lang w:val="en-US"/>
              </w:rPr>
              <w:t>1</w:t>
            </w:r>
          </w:p>
        </w:tc>
        <w:tc>
          <w:tcPr>
            <w:tcW w:w="754" w:type="pct"/>
            <w:vAlign w:val="center"/>
          </w:tcPr>
          <w:p w14:paraId="3FC0918D" w14:textId="77777777" w:rsidR="004B2E0B" w:rsidRPr="00537128" w:rsidRDefault="004B2E0B" w:rsidP="004B2E0B">
            <w:pPr>
              <w:spacing w:after="0" w:line="240" w:lineRule="auto"/>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31 March</w:t>
            </w:r>
          </w:p>
          <w:p w14:paraId="7180A11C" w14:textId="57424EB4" w:rsidR="004B2E0B" w:rsidRPr="00537128" w:rsidRDefault="004B2E0B" w:rsidP="004B2E0B">
            <w:pPr>
              <w:spacing w:after="0" w:line="240" w:lineRule="auto"/>
              <w:jc w:val="right"/>
              <w:rPr>
                <w:rFonts w:ascii="Calibri" w:eastAsia="Times New Roman" w:hAnsi="Calibri" w:cs="Arial"/>
                <w:b/>
                <w:bCs/>
                <w:sz w:val="20"/>
                <w:szCs w:val="20"/>
                <w:lang w:val="en-US"/>
              </w:rPr>
            </w:pPr>
            <w:r w:rsidRPr="00537128">
              <w:rPr>
                <w:rFonts w:ascii="Calibri" w:eastAsia="Times New Roman" w:hAnsi="Calibri" w:cs="Arial"/>
                <w:b/>
                <w:sz w:val="20"/>
                <w:szCs w:val="20"/>
                <w:lang w:val="en-US"/>
              </w:rPr>
              <w:t>202</w:t>
            </w:r>
            <w:r w:rsidR="008B6CC9">
              <w:rPr>
                <w:rFonts w:ascii="Calibri" w:eastAsia="Times New Roman" w:hAnsi="Calibri" w:cs="Arial"/>
                <w:b/>
                <w:sz w:val="20"/>
                <w:szCs w:val="20"/>
                <w:lang w:val="en-US"/>
              </w:rPr>
              <w:t>2</w:t>
            </w:r>
          </w:p>
        </w:tc>
        <w:tc>
          <w:tcPr>
            <w:tcW w:w="754" w:type="pct"/>
            <w:vAlign w:val="center"/>
          </w:tcPr>
          <w:p w14:paraId="6EB1A0FC" w14:textId="0BDD7E97" w:rsidR="004B2E0B" w:rsidRPr="00537128" w:rsidRDefault="004B2E0B" w:rsidP="004B2E0B">
            <w:pPr>
              <w:spacing w:after="0" w:line="240" w:lineRule="auto"/>
              <w:jc w:val="right"/>
              <w:rPr>
                <w:rFonts w:ascii="Calibri" w:eastAsia="Times New Roman" w:hAnsi="Calibri" w:cs="Arial"/>
                <w:b/>
                <w:sz w:val="20"/>
                <w:szCs w:val="20"/>
                <w:lang w:val="en-US"/>
              </w:rPr>
            </w:pPr>
            <w:r w:rsidRPr="00537128">
              <w:rPr>
                <w:rFonts w:ascii="Calibri" w:eastAsia="Times New Roman" w:hAnsi="Calibri" w:cs="Arial"/>
                <w:b/>
                <w:bCs/>
                <w:sz w:val="20"/>
                <w:szCs w:val="20"/>
                <w:lang w:val="en-US"/>
              </w:rPr>
              <w:t>31 December 202</w:t>
            </w:r>
            <w:r w:rsidR="008B6CC9">
              <w:rPr>
                <w:rFonts w:ascii="Calibri" w:eastAsia="Times New Roman" w:hAnsi="Calibri" w:cs="Arial"/>
                <w:b/>
                <w:bCs/>
                <w:sz w:val="20"/>
                <w:szCs w:val="20"/>
                <w:lang w:val="en-US"/>
              </w:rPr>
              <w:t>1</w:t>
            </w:r>
          </w:p>
        </w:tc>
      </w:tr>
      <w:tr w:rsidR="004B2E0B" w:rsidRPr="00537128" w14:paraId="51F42283" w14:textId="77777777" w:rsidTr="004B2E0B">
        <w:trPr>
          <w:trHeight w:val="172"/>
          <w:jc w:val="center"/>
        </w:trPr>
        <w:tc>
          <w:tcPr>
            <w:tcW w:w="1984" w:type="pct"/>
          </w:tcPr>
          <w:p w14:paraId="71A4942F" w14:textId="77777777" w:rsidR="004B2E0B" w:rsidRPr="00537128" w:rsidRDefault="004B2E0B" w:rsidP="004B2E0B">
            <w:pPr>
              <w:tabs>
                <w:tab w:val="right" w:pos="9781"/>
              </w:tabs>
              <w:spacing w:after="0" w:line="240" w:lineRule="auto"/>
              <w:jc w:val="both"/>
              <w:rPr>
                <w:rFonts w:ascii="Calibri" w:eastAsia="Times New Roman" w:hAnsi="Calibri" w:cs="Arial"/>
                <w:sz w:val="20"/>
                <w:szCs w:val="20"/>
                <w:lang w:val="en-US"/>
              </w:rPr>
            </w:pPr>
          </w:p>
        </w:tc>
        <w:tc>
          <w:tcPr>
            <w:tcW w:w="754" w:type="pct"/>
            <w:vAlign w:val="center"/>
          </w:tcPr>
          <w:p w14:paraId="51D5CB4E" w14:textId="77777777" w:rsidR="004B2E0B" w:rsidRPr="00537128" w:rsidRDefault="004B2E0B" w:rsidP="004B2E0B">
            <w:pPr>
              <w:spacing w:after="0" w:line="240" w:lineRule="auto"/>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HRK ‘000</w:t>
            </w:r>
          </w:p>
        </w:tc>
        <w:tc>
          <w:tcPr>
            <w:tcW w:w="754" w:type="pct"/>
            <w:vAlign w:val="center"/>
          </w:tcPr>
          <w:p w14:paraId="11E54F79" w14:textId="21B130FB" w:rsidR="004B2E0B" w:rsidRPr="00537128" w:rsidRDefault="004B2E0B" w:rsidP="004B2E0B">
            <w:pPr>
              <w:spacing w:after="0" w:line="240" w:lineRule="auto"/>
              <w:jc w:val="right"/>
              <w:rPr>
                <w:rFonts w:ascii="Calibri" w:eastAsia="Times New Roman" w:hAnsi="Calibri" w:cs="Arial"/>
                <w:b/>
                <w:sz w:val="20"/>
                <w:szCs w:val="20"/>
                <w:lang w:val="en-US"/>
              </w:rPr>
            </w:pPr>
            <w:r w:rsidRPr="00537128">
              <w:rPr>
                <w:rFonts w:ascii="Calibri" w:eastAsia="Times New Roman" w:hAnsi="Calibri" w:cs="Arial"/>
                <w:b/>
                <w:bCs/>
                <w:sz w:val="20"/>
                <w:szCs w:val="20"/>
                <w:lang w:val="en-US"/>
              </w:rPr>
              <w:t>HRK ‘000</w:t>
            </w:r>
          </w:p>
        </w:tc>
        <w:tc>
          <w:tcPr>
            <w:tcW w:w="754" w:type="pct"/>
            <w:vAlign w:val="center"/>
          </w:tcPr>
          <w:p w14:paraId="25268A28" w14:textId="0DF7CA3A" w:rsidR="004B2E0B" w:rsidRPr="00537128" w:rsidRDefault="004B2E0B" w:rsidP="004B2E0B">
            <w:pPr>
              <w:spacing w:after="0" w:line="240" w:lineRule="auto"/>
              <w:jc w:val="right"/>
              <w:rPr>
                <w:rFonts w:ascii="Calibri" w:eastAsia="Times New Roman" w:hAnsi="Calibri" w:cs="Arial"/>
                <w:b/>
                <w:bCs/>
                <w:sz w:val="20"/>
                <w:szCs w:val="20"/>
                <w:lang w:val="en-US"/>
              </w:rPr>
            </w:pPr>
            <w:r w:rsidRPr="00537128">
              <w:rPr>
                <w:rFonts w:ascii="Calibri" w:eastAsia="Times New Roman" w:hAnsi="Calibri" w:cs="Arial"/>
                <w:b/>
                <w:sz w:val="20"/>
                <w:szCs w:val="20"/>
                <w:lang w:val="en-US"/>
              </w:rPr>
              <w:t>HRK ‘000</w:t>
            </w:r>
          </w:p>
        </w:tc>
        <w:tc>
          <w:tcPr>
            <w:tcW w:w="754" w:type="pct"/>
            <w:vAlign w:val="center"/>
          </w:tcPr>
          <w:p w14:paraId="528EF905" w14:textId="3D129329" w:rsidR="004B2E0B" w:rsidRPr="00537128" w:rsidRDefault="004B2E0B" w:rsidP="004B2E0B">
            <w:pPr>
              <w:spacing w:after="0" w:line="240" w:lineRule="auto"/>
              <w:jc w:val="right"/>
              <w:rPr>
                <w:rFonts w:ascii="Calibri" w:eastAsia="Times New Roman" w:hAnsi="Calibri" w:cs="Arial"/>
                <w:b/>
                <w:sz w:val="20"/>
                <w:szCs w:val="20"/>
                <w:lang w:val="en-US"/>
              </w:rPr>
            </w:pPr>
            <w:r w:rsidRPr="00537128">
              <w:rPr>
                <w:rFonts w:ascii="Calibri" w:eastAsia="Times New Roman" w:hAnsi="Calibri" w:cs="Arial"/>
                <w:b/>
                <w:bCs/>
                <w:sz w:val="20"/>
                <w:szCs w:val="20"/>
                <w:lang w:val="en-US"/>
              </w:rPr>
              <w:t>HRK ‘000</w:t>
            </w:r>
          </w:p>
        </w:tc>
      </w:tr>
      <w:tr w:rsidR="004B2E0B" w:rsidRPr="00537128" w14:paraId="5E53DFA8" w14:textId="77777777" w:rsidTr="004B2E0B">
        <w:trPr>
          <w:trHeight w:val="125"/>
          <w:jc w:val="center"/>
        </w:trPr>
        <w:tc>
          <w:tcPr>
            <w:tcW w:w="1984" w:type="pct"/>
          </w:tcPr>
          <w:p w14:paraId="1DDCD26F" w14:textId="77777777" w:rsidR="004B2E0B" w:rsidRPr="00537128" w:rsidRDefault="004B2E0B" w:rsidP="004B2E0B">
            <w:pPr>
              <w:tabs>
                <w:tab w:val="right" w:pos="9781"/>
              </w:tabs>
              <w:spacing w:after="0" w:line="240" w:lineRule="auto"/>
              <w:jc w:val="both"/>
              <w:rPr>
                <w:rFonts w:ascii="Calibri" w:eastAsia="Times New Roman" w:hAnsi="Calibri" w:cs="Arial"/>
                <w:sz w:val="20"/>
                <w:szCs w:val="20"/>
                <w:lang w:val="en-US"/>
              </w:rPr>
            </w:pPr>
          </w:p>
        </w:tc>
        <w:tc>
          <w:tcPr>
            <w:tcW w:w="754" w:type="pct"/>
            <w:vAlign w:val="center"/>
          </w:tcPr>
          <w:p w14:paraId="3B81B3CE" w14:textId="77777777" w:rsidR="004B2E0B" w:rsidRPr="00537128" w:rsidRDefault="004B2E0B" w:rsidP="004B2E0B">
            <w:pPr>
              <w:spacing w:after="0" w:line="240" w:lineRule="auto"/>
              <w:jc w:val="right"/>
              <w:rPr>
                <w:rFonts w:ascii="Calibri" w:eastAsia="Times New Roman" w:hAnsi="Calibri" w:cs="Arial"/>
                <w:b/>
                <w:bCs/>
                <w:sz w:val="20"/>
                <w:szCs w:val="20"/>
                <w:lang w:val="en-US"/>
              </w:rPr>
            </w:pPr>
          </w:p>
        </w:tc>
        <w:tc>
          <w:tcPr>
            <w:tcW w:w="754" w:type="pct"/>
            <w:vAlign w:val="center"/>
          </w:tcPr>
          <w:p w14:paraId="79DBCA9C" w14:textId="77777777" w:rsidR="004B2E0B" w:rsidRPr="00537128" w:rsidRDefault="004B2E0B" w:rsidP="004B2E0B">
            <w:pPr>
              <w:spacing w:after="0" w:line="240" w:lineRule="auto"/>
              <w:jc w:val="right"/>
              <w:rPr>
                <w:rFonts w:ascii="Calibri" w:eastAsia="Times New Roman" w:hAnsi="Calibri" w:cs="Arial"/>
                <w:b/>
                <w:sz w:val="20"/>
                <w:szCs w:val="20"/>
                <w:lang w:val="en-US"/>
              </w:rPr>
            </w:pPr>
          </w:p>
        </w:tc>
        <w:tc>
          <w:tcPr>
            <w:tcW w:w="754" w:type="pct"/>
            <w:vAlign w:val="center"/>
          </w:tcPr>
          <w:p w14:paraId="7FF8CEA2" w14:textId="77777777" w:rsidR="004B2E0B" w:rsidRPr="00537128" w:rsidRDefault="004B2E0B" w:rsidP="004B2E0B">
            <w:pPr>
              <w:spacing w:after="0" w:line="240" w:lineRule="auto"/>
              <w:jc w:val="right"/>
              <w:rPr>
                <w:rFonts w:ascii="Calibri" w:eastAsia="Times New Roman" w:hAnsi="Calibri" w:cs="Arial"/>
                <w:b/>
                <w:bCs/>
                <w:sz w:val="20"/>
                <w:szCs w:val="20"/>
                <w:lang w:val="en-US"/>
              </w:rPr>
            </w:pPr>
          </w:p>
        </w:tc>
        <w:tc>
          <w:tcPr>
            <w:tcW w:w="754" w:type="pct"/>
            <w:vAlign w:val="center"/>
          </w:tcPr>
          <w:p w14:paraId="071C28BF" w14:textId="77777777" w:rsidR="004B2E0B" w:rsidRPr="00537128" w:rsidRDefault="004B2E0B" w:rsidP="004B2E0B">
            <w:pPr>
              <w:spacing w:after="0" w:line="240" w:lineRule="auto"/>
              <w:jc w:val="right"/>
              <w:rPr>
                <w:rFonts w:ascii="Calibri" w:eastAsia="Times New Roman" w:hAnsi="Calibri" w:cs="Arial"/>
                <w:b/>
                <w:sz w:val="20"/>
                <w:szCs w:val="20"/>
                <w:lang w:val="en-US"/>
              </w:rPr>
            </w:pPr>
          </w:p>
        </w:tc>
      </w:tr>
      <w:tr w:rsidR="00CD4849" w:rsidRPr="00537128" w14:paraId="19D801B7" w14:textId="77777777" w:rsidTr="00302098">
        <w:trPr>
          <w:trHeight w:val="211"/>
          <w:jc w:val="center"/>
        </w:trPr>
        <w:tc>
          <w:tcPr>
            <w:tcW w:w="1984" w:type="pct"/>
            <w:vAlign w:val="bottom"/>
          </w:tcPr>
          <w:p w14:paraId="52B819AE" w14:textId="77777777" w:rsidR="00CD4849" w:rsidRPr="00537128" w:rsidRDefault="00CD4849" w:rsidP="00CD4849">
            <w:pPr>
              <w:tabs>
                <w:tab w:val="right" w:pos="1202"/>
                <w:tab w:val="right" w:pos="9781"/>
              </w:tabs>
              <w:spacing w:after="0" w:line="240" w:lineRule="auto"/>
              <w:outlineLvl w:val="0"/>
              <w:rPr>
                <w:rFonts w:ascii="Calibri" w:eastAsia="Times New Roman" w:hAnsi="Calibri" w:cs="Arial"/>
                <w:b/>
                <w:bCs/>
                <w:sz w:val="20"/>
                <w:szCs w:val="20"/>
                <w:lang w:val="en-US"/>
              </w:rPr>
            </w:pPr>
            <w:bookmarkStart w:id="1277" w:name="_Toc4063529"/>
            <w:r w:rsidRPr="00537128">
              <w:rPr>
                <w:rFonts w:ascii="Calibri" w:eastAsia="Times New Roman" w:hAnsi="Calibri" w:cs="Arial"/>
                <w:b/>
                <w:bCs/>
                <w:sz w:val="20"/>
                <w:szCs w:val="20"/>
                <w:lang w:val="en-US"/>
              </w:rPr>
              <w:t>Total regulatory capital</w:t>
            </w:r>
            <w:bookmarkEnd w:id="1277"/>
            <w:r w:rsidRPr="00537128">
              <w:rPr>
                <w:rFonts w:ascii="Calibri" w:eastAsia="Times New Roman" w:hAnsi="Calibri" w:cs="Arial"/>
                <w:b/>
                <w:bCs/>
                <w:sz w:val="20"/>
                <w:szCs w:val="20"/>
                <w:lang w:val="en-US"/>
              </w:rPr>
              <w:t xml:space="preserve"> </w:t>
            </w:r>
          </w:p>
        </w:tc>
        <w:tc>
          <w:tcPr>
            <w:tcW w:w="754" w:type="pct"/>
            <w:tcBorders>
              <w:top w:val="nil"/>
              <w:left w:val="nil"/>
              <w:bottom w:val="nil"/>
              <w:right w:val="nil"/>
            </w:tcBorders>
            <w:shd w:val="clear" w:color="auto" w:fill="auto"/>
            <w:vAlign w:val="center"/>
          </w:tcPr>
          <w:p w14:paraId="7BBE0664" w14:textId="5E639D88" w:rsidR="00CD4849" w:rsidRPr="00537128" w:rsidRDefault="00CD4849" w:rsidP="00CD4849">
            <w:pPr>
              <w:tabs>
                <w:tab w:val="right" w:pos="1202"/>
              </w:tabs>
              <w:spacing w:after="0" w:line="240" w:lineRule="auto"/>
              <w:jc w:val="right"/>
              <w:outlineLvl w:val="0"/>
              <w:rPr>
                <w:rFonts w:ascii="Calibri" w:eastAsia="Times New Roman" w:hAnsi="Calibri" w:cs="Arial"/>
                <w:sz w:val="20"/>
                <w:szCs w:val="20"/>
                <w:lang w:val="en-US"/>
              </w:rPr>
            </w:pPr>
            <w:r>
              <w:rPr>
                <w:rFonts w:cs="Arial"/>
                <w:b/>
                <w:color w:val="000000" w:themeColor="text1"/>
                <w:sz w:val="20"/>
              </w:rPr>
              <w:t>10,738,179</w:t>
            </w:r>
          </w:p>
        </w:tc>
        <w:tc>
          <w:tcPr>
            <w:tcW w:w="754" w:type="pct"/>
            <w:tcBorders>
              <w:top w:val="nil"/>
              <w:left w:val="nil"/>
              <w:bottom w:val="nil"/>
              <w:right w:val="nil"/>
            </w:tcBorders>
            <w:shd w:val="clear" w:color="auto" w:fill="auto"/>
            <w:vAlign w:val="bottom"/>
          </w:tcPr>
          <w:p w14:paraId="440836E5" w14:textId="69EFC9C5" w:rsidR="00CD4849" w:rsidRPr="00537128" w:rsidRDefault="00CD4849" w:rsidP="00CD4849">
            <w:pPr>
              <w:tabs>
                <w:tab w:val="right" w:pos="1202"/>
              </w:tabs>
              <w:spacing w:after="0" w:line="301" w:lineRule="exact"/>
              <w:jc w:val="right"/>
              <w:outlineLvl w:val="0"/>
              <w:rPr>
                <w:rFonts w:ascii="Calibri" w:eastAsia="Times New Roman" w:hAnsi="Calibri" w:cs="Arial"/>
                <w:b/>
                <w:sz w:val="20"/>
                <w:szCs w:val="20"/>
                <w:lang w:val="en-US"/>
              </w:rPr>
            </w:pPr>
            <w:r w:rsidRPr="00211826">
              <w:rPr>
                <w:b/>
                <w:bCs/>
                <w:sz w:val="20"/>
              </w:rPr>
              <w:t xml:space="preserve"> 10</w:t>
            </w:r>
            <w:r>
              <w:rPr>
                <w:b/>
                <w:bCs/>
                <w:sz w:val="20"/>
              </w:rPr>
              <w:t>,</w:t>
            </w:r>
            <w:r w:rsidRPr="00211826">
              <w:rPr>
                <w:b/>
                <w:bCs/>
                <w:sz w:val="20"/>
              </w:rPr>
              <w:t>310</w:t>
            </w:r>
            <w:r>
              <w:rPr>
                <w:b/>
                <w:bCs/>
                <w:sz w:val="20"/>
              </w:rPr>
              <w:t>,</w:t>
            </w:r>
            <w:r w:rsidRPr="00211826">
              <w:rPr>
                <w:b/>
                <w:bCs/>
                <w:sz w:val="20"/>
              </w:rPr>
              <w:t xml:space="preserve">733 </w:t>
            </w:r>
          </w:p>
        </w:tc>
        <w:tc>
          <w:tcPr>
            <w:tcW w:w="754" w:type="pct"/>
            <w:tcBorders>
              <w:top w:val="nil"/>
              <w:left w:val="nil"/>
              <w:bottom w:val="nil"/>
              <w:right w:val="nil"/>
            </w:tcBorders>
            <w:shd w:val="clear" w:color="auto" w:fill="auto"/>
            <w:vAlign w:val="bottom"/>
          </w:tcPr>
          <w:p w14:paraId="0A2EBFBE" w14:textId="3CE9EAF3" w:rsidR="00CD4849" w:rsidRPr="00302098" w:rsidRDefault="00CD4849" w:rsidP="00CD4849">
            <w:pPr>
              <w:tabs>
                <w:tab w:val="right" w:pos="1202"/>
              </w:tabs>
              <w:spacing w:after="0" w:line="240" w:lineRule="auto"/>
              <w:jc w:val="right"/>
              <w:outlineLvl w:val="0"/>
              <w:rPr>
                <w:rFonts w:ascii="Calibri" w:eastAsia="Times New Roman" w:hAnsi="Calibri" w:cs="Arial"/>
                <w:b/>
                <w:bCs/>
                <w:sz w:val="20"/>
                <w:szCs w:val="20"/>
                <w:lang w:val="en-US"/>
              </w:rPr>
            </w:pPr>
            <w:r w:rsidRPr="00302098">
              <w:rPr>
                <w:rFonts w:cstheme="minorHAnsi"/>
                <w:b/>
                <w:bCs/>
                <w:sz w:val="20"/>
                <w:szCs w:val="20"/>
              </w:rPr>
              <w:t xml:space="preserve"> 10</w:t>
            </w:r>
            <w:r>
              <w:rPr>
                <w:rFonts w:cstheme="minorHAnsi"/>
                <w:b/>
                <w:bCs/>
                <w:sz w:val="20"/>
                <w:szCs w:val="20"/>
              </w:rPr>
              <w:t>,</w:t>
            </w:r>
            <w:r w:rsidRPr="00302098">
              <w:rPr>
                <w:rFonts w:cstheme="minorHAnsi"/>
                <w:b/>
                <w:bCs/>
                <w:sz w:val="20"/>
                <w:szCs w:val="20"/>
              </w:rPr>
              <w:t>738</w:t>
            </w:r>
            <w:r>
              <w:rPr>
                <w:rFonts w:cstheme="minorHAnsi"/>
                <w:b/>
                <w:bCs/>
                <w:sz w:val="20"/>
                <w:szCs w:val="20"/>
              </w:rPr>
              <w:t>,</w:t>
            </w:r>
            <w:r w:rsidRPr="00302098">
              <w:rPr>
                <w:rFonts w:cstheme="minorHAnsi"/>
                <w:b/>
                <w:bCs/>
                <w:sz w:val="20"/>
                <w:szCs w:val="20"/>
              </w:rPr>
              <w:t xml:space="preserve">901 </w:t>
            </w:r>
          </w:p>
        </w:tc>
        <w:tc>
          <w:tcPr>
            <w:tcW w:w="754" w:type="pct"/>
            <w:tcBorders>
              <w:top w:val="nil"/>
              <w:left w:val="nil"/>
              <w:bottom w:val="nil"/>
              <w:right w:val="nil"/>
            </w:tcBorders>
            <w:shd w:val="clear" w:color="auto" w:fill="auto"/>
            <w:vAlign w:val="bottom"/>
          </w:tcPr>
          <w:p w14:paraId="3E7E999D" w14:textId="5158D712" w:rsidR="00CD4849" w:rsidRPr="00537128" w:rsidRDefault="00CD4849" w:rsidP="00CD4849">
            <w:pPr>
              <w:tabs>
                <w:tab w:val="right" w:pos="1202"/>
              </w:tabs>
              <w:spacing w:after="0" w:line="301" w:lineRule="exact"/>
              <w:jc w:val="right"/>
              <w:outlineLvl w:val="0"/>
              <w:rPr>
                <w:rFonts w:ascii="Calibri" w:eastAsia="Times New Roman" w:hAnsi="Calibri" w:cs="Arial"/>
                <w:b/>
                <w:sz w:val="20"/>
                <w:szCs w:val="20"/>
                <w:lang w:val="en-US"/>
              </w:rPr>
            </w:pPr>
            <w:r w:rsidRPr="00211826">
              <w:rPr>
                <w:b/>
                <w:bCs/>
                <w:sz w:val="20"/>
              </w:rPr>
              <w:t xml:space="preserve"> 10</w:t>
            </w:r>
            <w:r>
              <w:rPr>
                <w:b/>
                <w:bCs/>
                <w:sz w:val="20"/>
              </w:rPr>
              <w:t>,</w:t>
            </w:r>
            <w:r w:rsidRPr="00211826">
              <w:rPr>
                <w:b/>
                <w:bCs/>
                <w:sz w:val="20"/>
              </w:rPr>
              <w:t>310</w:t>
            </w:r>
            <w:r>
              <w:rPr>
                <w:b/>
                <w:bCs/>
                <w:sz w:val="20"/>
              </w:rPr>
              <w:t>,</w:t>
            </w:r>
            <w:r w:rsidRPr="00211826">
              <w:rPr>
                <w:b/>
                <w:bCs/>
                <w:sz w:val="20"/>
              </w:rPr>
              <w:t xml:space="preserve">068 </w:t>
            </w:r>
          </w:p>
        </w:tc>
      </w:tr>
      <w:tr w:rsidR="00CD4849" w:rsidRPr="00537128" w14:paraId="3A6B774F" w14:textId="77777777" w:rsidTr="00302098">
        <w:trPr>
          <w:trHeight w:val="211"/>
          <w:jc w:val="center"/>
        </w:trPr>
        <w:tc>
          <w:tcPr>
            <w:tcW w:w="1984" w:type="pct"/>
            <w:vAlign w:val="bottom"/>
          </w:tcPr>
          <w:p w14:paraId="0EC68F9E" w14:textId="77777777" w:rsidR="00CD4849" w:rsidRPr="00537128" w:rsidRDefault="00CD4849" w:rsidP="00CD4849">
            <w:pPr>
              <w:tabs>
                <w:tab w:val="right" w:pos="1202"/>
                <w:tab w:val="right" w:pos="9781"/>
              </w:tabs>
              <w:spacing w:after="0" w:line="240" w:lineRule="auto"/>
              <w:outlineLvl w:val="0"/>
              <w:rPr>
                <w:rFonts w:ascii="Calibri" w:eastAsia="Times New Roman" w:hAnsi="Calibri" w:cs="Arial"/>
                <w:bCs/>
                <w:sz w:val="20"/>
                <w:szCs w:val="20"/>
                <w:lang w:val="en-US"/>
              </w:rPr>
            </w:pPr>
            <w:bookmarkStart w:id="1278" w:name="_Toc4063534"/>
            <w:r w:rsidRPr="00537128">
              <w:rPr>
                <w:rFonts w:ascii="Calibri" w:eastAsia="Times New Roman" w:hAnsi="Calibri" w:cs="Arial"/>
                <w:bCs/>
                <w:sz w:val="20"/>
                <w:szCs w:val="20"/>
                <w:lang w:val="en-US"/>
              </w:rPr>
              <w:t>Credit risk weighted exposure amount</w:t>
            </w:r>
            <w:bookmarkEnd w:id="1278"/>
            <w:r w:rsidRPr="00537128">
              <w:rPr>
                <w:rFonts w:ascii="Calibri" w:eastAsia="Times New Roman" w:hAnsi="Calibri" w:cs="Arial"/>
                <w:bCs/>
                <w:sz w:val="20"/>
                <w:szCs w:val="20"/>
                <w:lang w:val="en-US"/>
              </w:rPr>
              <w:t xml:space="preserve"> </w:t>
            </w:r>
          </w:p>
        </w:tc>
        <w:tc>
          <w:tcPr>
            <w:tcW w:w="754" w:type="pct"/>
            <w:tcBorders>
              <w:top w:val="nil"/>
              <w:left w:val="nil"/>
              <w:bottom w:val="nil"/>
              <w:right w:val="nil"/>
            </w:tcBorders>
            <w:shd w:val="clear" w:color="auto" w:fill="auto"/>
            <w:vAlign w:val="bottom"/>
          </w:tcPr>
          <w:p w14:paraId="72805479" w14:textId="3E95FD92" w:rsidR="00CD4849" w:rsidRPr="00537128" w:rsidRDefault="00CD4849" w:rsidP="00CD4849">
            <w:pPr>
              <w:tabs>
                <w:tab w:val="right" w:pos="1202"/>
              </w:tabs>
              <w:spacing w:after="0" w:line="240" w:lineRule="auto"/>
              <w:jc w:val="right"/>
              <w:outlineLvl w:val="0"/>
              <w:rPr>
                <w:rFonts w:ascii="Calibri" w:eastAsia="Times New Roman" w:hAnsi="Calibri" w:cs="Arial"/>
                <w:sz w:val="20"/>
                <w:szCs w:val="20"/>
                <w:lang w:val="en-US"/>
              </w:rPr>
            </w:pPr>
            <w:r>
              <w:rPr>
                <w:rFonts w:ascii="Calibri" w:hAnsi="Calibri"/>
                <w:color w:val="000000" w:themeColor="text1"/>
                <w:sz w:val="20"/>
              </w:rPr>
              <w:t>14,027,244</w:t>
            </w:r>
          </w:p>
        </w:tc>
        <w:tc>
          <w:tcPr>
            <w:tcW w:w="754" w:type="pct"/>
            <w:tcBorders>
              <w:top w:val="nil"/>
              <w:left w:val="nil"/>
              <w:bottom w:val="nil"/>
              <w:right w:val="nil"/>
            </w:tcBorders>
            <w:shd w:val="clear" w:color="auto" w:fill="auto"/>
            <w:vAlign w:val="bottom"/>
          </w:tcPr>
          <w:p w14:paraId="40358903" w14:textId="716CA29F" w:rsidR="00CD4849" w:rsidRPr="00537128" w:rsidRDefault="00CD4849" w:rsidP="00CD4849">
            <w:pPr>
              <w:tabs>
                <w:tab w:val="right" w:pos="1202"/>
              </w:tabs>
              <w:spacing w:after="0" w:line="301" w:lineRule="exact"/>
              <w:jc w:val="right"/>
              <w:outlineLvl w:val="0"/>
              <w:rPr>
                <w:rFonts w:ascii="Calibri" w:eastAsia="Times New Roman" w:hAnsi="Calibri" w:cs="Arial"/>
                <w:sz w:val="20"/>
                <w:szCs w:val="20"/>
                <w:lang w:val="en-US"/>
              </w:rPr>
            </w:pPr>
            <w:r w:rsidRPr="00211826">
              <w:rPr>
                <w:sz w:val="20"/>
              </w:rPr>
              <w:t xml:space="preserve"> 14</w:t>
            </w:r>
            <w:r>
              <w:rPr>
                <w:sz w:val="20"/>
              </w:rPr>
              <w:t>,</w:t>
            </w:r>
            <w:r w:rsidRPr="00211826">
              <w:rPr>
                <w:sz w:val="20"/>
              </w:rPr>
              <w:t>243</w:t>
            </w:r>
            <w:r>
              <w:rPr>
                <w:sz w:val="20"/>
              </w:rPr>
              <w:t>,</w:t>
            </w:r>
            <w:r w:rsidRPr="00211826">
              <w:rPr>
                <w:sz w:val="20"/>
              </w:rPr>
              <w:t xml:space="preserve">551 </w:t>
            </w:r>
          </w:p>
        </w:tc>
        <w:tc>
          <w:tcPr>
            <w:tcW w:w="754" w:type="pct"/>
            <w:tcBorders>
              <w:top w:val="nil"/>
              <w:left w:val="nil"/>
              <w:bottom w:val="nil"/>
              <w:right w:val="nil"/>
            </w:tcBorders>
            <w:shd w:val="clear" w:color="auto" w:fill="auto"/>
            <w:vAlign w:val="bottom"/>
          </w:tcPr>
          <w:p w14:paraId="60D61706" w14:textId="14A0032F" w:rsidR="00CD4849" w:rsidRPr="00537128" w:rsidRDefault="00CD4849" w:rsidP="00CD4849">
            <w:pPr>
              <w:tabs>
                <w:tab w:val="right" w:pos="1202"/>
              </w:tabs>
              <w:spacing w:after="0" w:line="240" w:lineRule="auto"/>
              <w:jc w:val="right"/>
              <w:outlineLvl w:val="0"/>
              <w:rPr>
                <w:rFonts w:ascii="Calibri" w:eastAsia="Times New Roman" w:hAnsi="Calibri" w:cs="Arial"/>
                <w:sz w:val="20"/>
                <w:szCs w:val="20"/>
                <w:lang w:val="en-US"/>
              </w:rPr>
            </w:pPr>
            <w:r w:rsidRPr="008E5C2B">
              <w:rPr>
                <w:rFonts w:cstheme="minorHAnsi"/>
                <w:sz w:val="20"/>
                <w:szCs w:val="20"/>
              </w:rPr>
              <w:t xml:space="preserve"> 14</w:t>
            </w:r>
            <w:r>
              <w:rPr>
                <w:rFonts w:cstheme="minorHAnsi"/>
                <w:sz w:val="20"/>
                <w:szCs w:val="20"/>
              </w:rPr>
              <w:t>,</w:t>
            </w:r>
            <w:r w:rsidRPr="008E5C2B">
              <w:rPr>
                <w:rFonts w:cstheme="minorHAnsi"/>
                <w:sz w:val="20"/>
                <w:szCs w:val="20"/>
              </w:rPr>
              <w:t>020</w:t>
            </w:r>
            <w:r>
              <w:rPr>
                <w:rFonts w:cstheme="minorHAnsi"/>
                <w:sz w:val="20"/>
                <w:szCs w:val="20"/>
              </w:rPr>
              <w:t>,</w:t>
            </w:r>
            <w:r w:rsidRPr="008E5C2B">
              <w:rPr>
                <w:rFonts w:cstheme="minorHAnsi"/>
                <w:sz w:val="20"/>
                <w:szCs w:val="20"/>
              </w:rPr>
              <w:t xml:space="preserve">128 </w:t>
            </w:r>
          </w:p>
        </w:tc>
        <w:tc>
          <w:tcPr>
            <w:tcW w:w="754" w:type="pct"/>
            <w:tcBorders>
              <w:top w:val="nil"/>
              <w:left w:val="nil"/>
              <w:bottom w:val="nil"/>
              <w:right w:val="nil"/>
            </w:tcBorders>
            <w:shd w:val="clear" w:color="auto" w:fill="auto"/>
            <w:vAlign w:val="bottom"/>
          </w:tcPr>
          <w:p w14:paraId="103E2058" w14:textId="1B55D950" w:rsidR="00CD4849" w:rsidRPr="00537128" w:rsidRDefault="00CD4849" w:rsidP="00CD4849">
            <w:pPr>
              <w:tabs>
                <w:tab w:val="right" w:pos="1202"/>
              </w:tabs>
              <w:spacing w:after="0" w:line="301" w:lineRule="exact"/>
              <w:jc w:val="right"/>
              <w:outlineLvl w:val="0"/>
              <w:rPr>
                <w:rFonts w:ascii="Calibri" w:eastAsia="Times New Roman" w:hAnsi="Calibri" w:cs="Arial"/>
                <w:sz w:val="20"/>
                <w:szCs w:val="20"/>
                <w:lang w:val="en-US"/>
              </w:rPr>
            </w:pPr>
            <w:r w:rsidRPr="00211826">
              <w:rPr>
                <w:sz w:val="20"/>
              </w:rPr>
              <w:t xml:space="preserve"> 14</w:t>
            </w:r>
            <w:r>
              <w:rPr>
                <w:sz w:val="20"/>
              </w:rPr>
              <w:t>,</w:t>
            </w:r>
            <w:r w:rsidRPr="00211826">
              <w:rPr>
                <w:sz w:val="20"/>
              </w:rPr>
              <w:t>237</w:t>
            </w:r>
            <w:r>
              <w:rPr>
                <w:sz w:val="20"/>
              </w:rPr>
              <w:t>,</w:t>
            </w:r>
            <w:r w:rsidRPr="00211826">
              <w:rPr>
                <w:sz w:val="20"/>
              </w:rPr>
              <w:t xml:space="preserve">375 </w:t>
            </w:r>
          </w:p>
        </w:tc>
      </w:tr>
      <w:tr w:rsidR="00CD4849" w:rsidRPr="00537128" w14:paraId="7A37E55A" w14:textId="77777777" w:rsidTr="00302098">
        <w:trPr>
          <w:trHeight w:val="211"/>
          <w:jc w:val="center"/>
        </w:trPr>
        <w:tc>
          <w:tcPr>
            <w:tcW w:w="1984" w:type="pct"/>
            <w:vAlign w:val="bottom"/>
          </w:tcPr>
          <w:p w14:paraId="47CCD309" w14:textId="3AE75F45" w:rsidR="00CD4849" w:rsidRPr="00537128" w:rsidRDefault="00CD4849" w:rsidP="00CD4849">
            <w:pPr>
              <w:tabs>
                <w:tab w:val="right" w:pos="1202"/>
                <w:tab w:val="right" w:pos="9781"/>
              </w:tabs>
              <w:spacing w:after="0" w:line="240" w:lineRule="auto"/>
              <w:outlineLvl w:val="0"/>
              <w:rPr>
                <w:rFonts w:ascii="Calibri" w:eastAsia="Times New Roman" w:hAnsi="Calibri" w:cs="Arial"/>
                <w:bCs/>
                <w:sz w:val="20"/>
                <w:szCs w:val="20"/>
                <w:lang w:val="en-US"/>
              </w:rPr>
            </w:pPr>
            <w:bookmarkStart w:id="1279" w:name="_Toc4063539"/>
            <w:r w:rsidRPr="00537128">
              <w:rPr>
                <w:rFonts w:ascii="Calibri" w:eastAsia="Times New Roman" w:hAnsi="Calibri" w:cs="Arial"/>
                <w:bCs/>
                <w:sz w:val="20"/>
                <w:szCs w:val="20"/>
                <w:lang w:val="en-US"/>
              </w:rPr>
              <w:t>C</w:t>
            </w:r>
            <w:r>
              <w:rPr>
                <w:rFonts w:ascii="Calibri" w:eastAsia="Times New Roman" w:hAnsi="Calibri" w:cs="Arial"/>
                <w:bCs/>
                <w:sz w:val="20"/>
                <w:szCs w:val="20"/>
                <w:lang w:val="en-US"/>
              </w:rPr>
              <w:t>apital</w:t>
            </w:r>
            <w:r w:rsidRPr="00537128">
              <w:rPr>
                <w:rFonts w:ascii="Calibri" w:eastAsia="Times New Roman" w:hAnsi="Calibri" w:cs="Arial"/>
                <w:bCs/>
                <w:sz w:val="20"/>
                <w:szCs w:val="20"/>
                <w:lang w:val="en-US"/>
              </w:rPr>
              <w:t xml:space="preserve"> requirements for operating risk</w:t>
            </w:r>
            <w:bookmarkEnd w:id="1279"/>
            <w:r w:rsidRPr="00537128">
              <w:rPr>
                <w:rFonts w:ascii="Calibri" w:eastAsia="Times New Roman" w:hAnsi="Calibri" w:cs="Arial"/>
                <w:bCs/>
                <w:sz w:val="20"/>
                <w:szCs w:val="20"/>
                <w:lang w:val="en-US"/>
              </w:rPr>
              <w:t xml:space="preserve"> </w:t>
            </w:r>
          </w:p>
        </w:tc>
        <w:tc>
          <w:tcPr>
            <w:tcW w:w="754" w:type="pct"/>
            <w:tcBorders>
              <w:top w:val="nil"/>
              <w:left w:val="nil"/>
              <w:bottom w:val="nil"/>
              <w:right w:val="nil"/>
            </w:tcBorders>
            <w:shd w:val="clear" w:color="auto" w:fill="auto"/>
            <w:vAlign w:val="center"/>
          </w:tcPr>
          <w:p w14:paraId="17C8E919" w14:textId="3E29009D" w:rsidR="00CD4849" w:rsidRPr="00537128" w:rsidDel="00810202" w:rsidRDefault="00CD4849" w:rsidP="00CD4849">
            <w:pPr>
              <w:tabs>
                <w:tab w:val="right" w:pos="1202"/>
              </w:tabs>
              <w:spacing w:after="0" w:line="240" w:lineRule="auto"/>
              <w:jc w:val="right"/>
              <w:outlineLvl w:val="0"/>
              <w:rPr>
                <w:rFonts w:ascii="Calibri" w:eastAsia="Times New Roman" w:hAnsi="Calibri" w:cs="Times New Roman"/>
                <w:color w:val="000000"/>
                <w:sz w:val="20"/>
                <w:szCs w:val="20"/>
                <w:lang w:val="en-US"/>
              </w:rPr>
            </w:pPr>
            <w:r>
              <w:rPr>
                <w:rFonts w:ascii="Calibri" w:hAnsi="Calibri"/>
                <w:color w:val="000000" w:themeColor="text1"/>
                <w:sz w:val="20"/>
              </w:rPr>
              <w:t>849,131</w:t>
            </w:r>
          </w:p>
        </w:tc>
        <w:tc>
          <w:tcPr>
            <w:tcW w:w="754" w:type="pct"/>
            <w:tcBorders>
              <w:top w:val="nil"/>
              <w:left w:val="nil"/>
              <w:bottom w:val="nil"/>
              <w:right w:val="nil"/>
            </w:tcBorders>
            <w:shd w:val="clear" w:color="auto" w:fill="auto"/>
            <w:vAlign w:val="bottom"/>
          </w:tcPr>
          <w:p w14:paraId="11A31BFB" w14:textId="0B2098A4" w:rsidR="00CD4849" w:rsidRPr="00537128" w:rsidRDefault="00CD4849" w:rsidP="00CD4849">
            <w:pPr>
              <w:tabs>
                <w:tab w:val="right" w:pos="1202"/>
              </w:tabs>
              <w:spacing w:after="0" w:line="301" w:lineRule="exact"/>
              <w:jc w:val="right"/>
              <w:outlineLvl w:val="0"/>
              <w:rPr>
                <w:rFonts w:ascii="Calibri" w:eastAsia="Times New Roman" w:hAnsi="Calibri" w:cs="Times New Roman"/>
                <w:color w:val="000000"/>
                <w:sz w:val="20"/>
                <w:szCs w:val="20"/>
                <w:lang w:val="en-US"/>
              </w:rPr>
            </w:pPr>
            <w:r w:rsidRPr="00211826">
              <w:rPr>
                <w:sz w:val="20"/>
              </w:rPr>
              <w:t xml:space="preserve"> 849</w:t>
            </w:r>
            <w:r>
              <w:rPr>
                <w:sz w:val="20"/>
              </w:rPr>
              <w:t>,</w:t>
            </w:r>
            <w:r w:rsidRPr="00211826">
              <w:rPr>
                <w:sz w:val="20"/>
              </w:rPr>
              <w:t xml:space="preserve">144 </w:t>
            </w:r>
          </w:p>
        </w:tc>
        <w:tc>
          <w:tcPr>
            <w:tcW w:w="754" w:type="pct"/>
            <w:tcBorders>
              <w:top w:val="nil"/>
              <w:left w:val="nil"/>
              <w:bottom w:val="nil"/>
              <w:right w:val="nil"/>
            </w:tcBorders>
            <w:shd w:val="clear" w:color="auto" w:fill="auto"/>
            <w:vAlign w:val="bottom"/>
          </w:tcPr>
          <w:p w14:paraId="397532FE" w14:textId="729FF9C5" w:rsidR="00CD4849" w:rsidRPr="00537128" w:rsidDel="00810202" w:rsidRDefault="00CD4849" w:rsidP="00CD4849">
            <w:pPr>
              <w:tabs>
                <w:tab w:val="right" w:pos="1202"/>
              </w:tabs>
              <w:spacing w:after="0" w:line="240" w:lineRule="auto"/>
              <w:jc w:val="right"/>
              <w:outlineLvl w:val="0"/>
              <w:rPr>
                <w:rFonts w:ascii="Calibri" w:eastAsia="Calibri" w:hAnsi="Calibri" w:cs="Times New Roman"/>
                <w:color w:val="000000"/>
                <w:sz w:val="20"/>
                <w:lang w:val="en-US"/>
              </w:rPr>
            </w:pPr>
            <w:r w:rsidRPr="008E5C2B">
              <w:rPr>
                <w:rFonts w:cstheme="minorHAnsi"/>
                <w:sz w:val="20"/>
                <w:szCs w:val="20"/>
              </w:rPr>
              <w:t xml:space="preserve"> 827</w:t>
            </w:r>
            <w:r>
              <w:rPr>
                <w:rFonts w:cstheme="minorHAnsi"/>
                <w:sz w:val="20"/>
                <w:szCs w:val="20"/>
              </w:rPr>
              <w:t>,</w:t>
            </w:r>
            <w:r w:rsidRPr="008E5C2B">
              <w:rPr>
                <w:rFonts w:cstheme="minorHAnsi"/>
                <w:sz w:val="20"/>
                <w:szCs w:val="20"/>
              </w:rPr>
              <w:t xml:space="preserve">463 </w:t>
            </w:r>
          </w:p>
        </w:tc>
        <w:tc>
          <w:tcPr>
            <w:tcW w:w="754" w:type="pct"/>
            <w:tcBorders>
              <w:top w:val="nil"/>
              <w:left w:val="nil"/>
              <w:bottom w:val="nil"/>
              <w:right w:val="nil"/>
            </w:tcBorders>
            <w:shd w:val="clear" w:color="auto" w:fill="auto"/>
            <w:vAlign w:val="bottom"/>
          </w:tcPr>
          <w:p w14:paraId="603206B3" w14:textId="5C6B4A14" w:rsidR="00CD4849" w:rsidRPr="00537128" w:rsidRDefault="00CD4849" w:rsidP="00CD4849">
            <w:pPr>
              <w:tabs>
                <w:tab w:val="right" w:pos="1202"/>
              </w:tabs>
              <w:spacing w:after="0" w:line="301" w:lineRule="exact"/>
              <w:jc w:val="right"/>
              <w:outlineLvl w:val="0"/>
              <w:rPr>
                <w:rFonts w:ascii="Calibri" w:eastAsia="Times New Roman" w:hAnsi="Calibri" w:cs="Times New Roman"/>
                <w:color w:val="000000"/>
                <w:sz w:val="20"/>
                <w:szCs w:val="20"/>
                <w:lang w:val="en-US"/>
              </w:rPr>
            </w:pPr>
            <w:r w:rsidRPr="00211826">
              <w:rPr>
                <w:sz w:val="20"/>
              </w:rPr>
              <w:t xml:space="preserve"> 827</w:t>
            </w:r>
            <w:r>
              <w:rPr>
                <w:sz w:val="20"/>
              </w:rPr>
              <w:t>,</w:t>
            </w:r>
            <w:r w:rsidRPr="00211826">
              <w:rPr>
                <w:sz w:val="20"/>
              </w:rPr>
              <w:t xml:space="preserve">476 </w:t>
            </w:r>
          </w:p>
        </w:tc>
      </w:tr>
      <w:tr w:rsidR="00CD4849" w:rsidRPr="00537128" w14:paraId="539C4003" w14:textId="77777777" w:rsidTr="00302098">
        <w:trPr>
          <w:trHeight w:val="211"/>
          <w:jc w:val="center"/>
        </w:trPr>
        <w:tc>
          <w:tcPr>
            <w:tcW w:w="1984" w:type="pct"/>
            <w:vAlign w:val="bottom"/>
          </w:tcPr>
          <w:p w14:paraId="4D66B637" w14:textId="77777777" w:rsidR="00CD4849" w:rsidRPr="00537128" w:rsidRDefault="00CD4849" w:rsidP="00CD4849">
            <w:pPr>
              <w:tabs>
                <w:tab w:val="right" w:pos="1202"/>
                <w:tab w:val="right" w:pos="9781"/>
              </w:tabs>
              <w:spacing w:after="0" w:line="240" w:lineRule="auto"/>
              <w:outlineLvl w:val="0"/>
              <w:rPr>
                <w:rFonts w:ascii="Calibri" w:eastAsia="Times New Roman" w:hAnsi="Calibri" w:cs="Arial"/>
                <w:bCs/>
                <w:sz w:val="20"/>
                <w:szCs w:val="20"/>
                <w:lang w:val="en-US"/>
              </w:rPr>
            </w:pPr>
            <w:bookmarkStart w:id="1280" w:name="_Toc4063544"/>
            <w:r w:rsidRPr="00537128">
              <w:rPr>
                <w:rFonts w:ascii="Calibri" w:eastAsia="Times New Roman" w:hAnsi="Calibri" w:cs="Arial"/>
                <w:bCs/>
                <w:sz w:val="20"/>
                <w:szCs w:val="20"/>
                <w:lang w:val="en-US"/>
              </w:rPr>
              <w:t>Capital requirements for currency risk</w:t>
            </w:r>
            <w:bookmarkEnd w:id="1280"/>
            <w:r w:rsidRPr="00537128">
              <w:rPr>
                <w:rFonts w:ascii="Calibri" w:eastAsia="Times New Roman" w:hAnsi="Calibri" w:cs="Arial"/>
                <w:bCs/>
                <w:sz w:val="20"/>
                <w:szCs w:val="20"/>
                <w:lang w:val="en-US"/>
              </w:rPr>
              <w:t xml:space="preserve"> </w:t>
            </w:r>
          </w:p>
        </w:tc>
        <w:tc>
          <w:tcPr>
            <w:tcW w:w="754" w:type="pct"/>
            <w:tcBorders>
              <w:top w:val="nil"/>
              <w:left w:val="nil"/>
              <w:bottom w:val="nil"/>
              <w:right w:val="nil"/>
            </w:tcBorders>
            <w:shd w:val="clear" w:color="auto" w:fill="auto"/>
            <w:vAlign w:val="center"/>
          </w:tcPr>
          <w:p w14:paraId="78693405" w14:textId="3EB610C5" w:rsidR="00CD4849" w:rsidRPr="00537128" w:rsidDel="00810202" w:rsidRDefault="00CD4849" w:rsidP="00CD4849">
            <w:pPr>
              <w:tabs>
                <w:tab w:val="right" w:pos="1202"/>
              </w:tabs>
              <w:spacing w:after="0" w:line="240" w:lineRule="auto"/>
              <w:jc w:val="right"/>
              <w:outlineLvl w:val="0"/>
              <w:rPr>
                <w:rFonts w:ascii="Calibri" w:eastAsia="Times New Roman" w:hAnsi="Calibri" w:cs="Times New Roman"/>
                <w:color w:val="000000"/>
                <w:sz w:val="20"/>
                <w:szCs w:val="20"/>
                <w:lang w:val="en-US"/>
              </w:rPr>
            </w:pPr>
            <w:r w:rsidRPr="007A49AD">
              <w:rPr>
                <w:rFonts w:ascii="Calibri" w:hAnsi="Calibri"/>
                <w:color w:val="000000" w:themeColor="text1"/>
                <w:sz w:val="20"/>
              </w:rPr>
              <w:t>-</w:t>
            </w:r>
          </w:p>
        </w:tc>
        <w:tc>
          <w:tcPr>
            <w:tcW w:w="754" w:type="pct"/>
            <w:tcBorders>
              <w:top w:val="nil"/>
              <w:left w:val="nil"/>
              <w:bottom w:val="nil"/>
              <w:right w:val="nil"/>
            </w:tcBorders>
            <w:shd w:val="clear" w:color="auto" w:fill="auto"/>
            <w:vAlign w:val="bottom"/>
          </w:tcPr>
          <w:p w14:paraId="76FD8E10" w14:textId="360CC116" w:rsidR="00CD4849" w:rsidRPr="00537128" w:rsidRDefault="00CD4849" w:rsidP="00CD4849">
            <w:pPr>
              <w:tabs>
                <w:tab w:val="right" w:pos="1202"/>
              </w:tabs>
              <w:spacing w:after="0" w:line="301" w:lineRule="exact"/>
              <w:jc w:val="right"/>
              <w:outlineLvl w:val="0"/>
              <w:rPr>
                <w:rFonts w:ascii="Calibri" w:eastAsia="Times New Roman" w:hAnsi="Calibri" w:cs="Times New Roman"/>
                <w:color w:val="000000"/>
                <w:sz w:val="20"/>
                <w:szCs w:val="20"/>
                <w:lang w:val="en-US"/>
              </w:rPr>
            </w:pPr>
            <w:r w:rsidRPr="00211826">
              <w:rPr>
                <w:sz w:val="20"/>
              </w:rPr>
              <w:t xml:space="preserve"> 749</w:t>
            </w:r>
            <w:r>
              <w:rPr>
                <w:sz w:val="20"/>
              </w:rPr>
              <w:t>,</w:t>
            </w:r>
            <w:r w:rsidRPr="00211826">
              <w:rPr>
                <w:sz w:val="20"/>
              </w:rPr>
              <w:t xml:space="preserve">598 </w:t>
            </w:r>
          </w:p>
        </w:tc>
        <w:tc>
          <w:tcPr>
            <w:tcW w:w="754" w:type="pct"/>
            <w:tcBorders>
              <w:top w:val="nil"/>
              <w:left w:val="nil"/>
              <w:bottom w:val="nil"/>
              <w:right w:val="nil"/>
            </w:tcBorders>
            <w:shd w:val="clear" w:color="auto" w:fill="auto"/>
            <w:vAlign w:val="bottom"/>
          </w:tcPr>
          <w:p w14:paraId="783FEB87" w14:textId="7B323A50" w:rsidR="00CD4849" w:rsidRPr="00537128" w:rsidDel="00810202" w:rsidRDefault="00CD4849" w:rsidP="00CD4849">
            <w:pPr>
              <w:tabs>
                <w:tab w:val="right" w:pos="1202"/>
              </w:tabs>
              <w:spacing w:after="0" w:line="240" w:lineRule="auto"/>
              <w:jc w:val="right"/>
              <w:outlineLvl w:val="0"/>
              <w:rPr>
                <w:rFonts w:ascii="Calibri" w:eastAsia="Calibri" w:hAnsi="Calibri" w:cs="Times New Roman"/>
                <w:color w:val="000000"/>
                <w:sz w:val="20"/>
                <w:lang w:val="en-US"/>
              </w:rPr>
            </w:pPr>
            <w:r w:rsidRPr="008E5C2B">
              <w:rPr>
                <w:rFonts w:cstheme="minorHAnsi"/>
                <w:sz w:val="20"/>
                <w:szCs w:val="20"/>
              </w:rPr>
              <w:t xml:space="preserve"> - </w:t>
            </w:r>
          </w:p>
        </w:tc>
        <w:tc>
          <w:tcPr>
            <w:tcW w:w="754" w:type="pct"/>
            <w:tcBorders>
              <w:top w:val="nil"/>
              <w:left w:val="nil"/>
              <w:bottom w:val="nil"/>
              <w:right w:val="nil"/>
            </w:tcBorders>
            <w:shd w:val="clear" w:color="auto" w:fill="auto"/>
            <w:vAlign w:val="bottom"/>
          </w:tcPr>
          <w:p w14:paraId="473B93A7" w14:textId="4837F1D7" w:rsidR="00CD4849" w:rsidRPr="00537128" w:rsidRDefault="00CD4849" w:rsidP="00CD4849">
            <w:pPr>
              <w:tabs>
                <w:tab w:val="right" w:pos="1202"/>
              </w:tabs>
              <w:spacing w:after="0" w:line="301" w:lineRule="exact"/>
              <w:jc w:val="right"/>
              <w:outlineLvl w:val="0"/>
              <w:rPr>
                <w:rFonts w:ascii="Calibri" w:eastAsia="Times New Roman" w:hAnsi="Calibri" w:cs="Times New Roman"/>
                <w:color w:val="000000"/>
                <w:sz w:val="20"/>
                <w:szCs w:val="20"/>
                <w:lang w:val="en-US"/>
              </w:rPr>
            </w:pPr>
            <w:r w:rsidRPr="00211826">
              <w:rPr>
                <w:sz w:val="20"/>
              </w:rPr>
              <w:t xml:space="preserve"> 719</w:t>
            </w:r>
            <w:r>
              <w:rPr>
                <w:sz w:val="20"/>
              </w:rPr>
              <w:t>,</w:t>
            </w:r>
            <w:r w:rsidRPr="00211826">
              <w:rPr>
                <w:sz w:val="20"/>
              </w:rPr>
              <w:t xml:space="preserve">956 </w:t>
            </w:r>
          </w:p>
        </w:tc>
      </w:tr>
      <w:tr w:rsidR="00CD4849" w:rsidRPr="00537128" w14:paraId="7A9E947E" w14:textId="77777777" w:rsidTr="00302098">
        <w:trPr>
          <w:trHeight w:val="211"/>
          <w:jc w:val="center"/>
        </w:trPr>
        <w:tc>
          <w:tcPr>
            <w:tcW w:w="1984" w:type="pct"/>
            <w:vAlign w:val="bottom"/>
          </w:tcPr>
          <w:p w14:paraId="2C50A4D5" w14:textId="77777777" w:rsidR="00CD4849" w:rsidRPr="00537128" w:rsidRDefault="00CD4849" w:rsidP="00CD4849">
            <w:pPr>
              <w:tabs>
                <w:tab w:val="right" w:pos="1202"/>
                <w:tab w:val="right" w:pos="9781"/>
              </w:tabs>
              <w:spacing w:after="0" w:line="240" w:lineRule="auto"/>
              <w:outlineLvl w:val="0"/>
              <w:rPr>
                <w:rFonts w:ascii="Calibri" w:eastAsia="Times New Roman" w:hAnsi="Calibri" w:cs="Arial"/>
                <w:b/>
                <w:bCs/>
                <w:sz w:val="20"/>
                <w:szCs w:val="20"/>
                <w:lang w:val="en-US"/>
              </w:rPr>
            </w:pPr>
            <w:bookmarkStart w:id="1281" w:name="_Toc4063559"/>
            <w:r w:rsidRPr="00537128">
              <w:rPr>
                <w:rFonts w:ascii="Calibri" w:eastAsia="Times New Roman" w:hAnsi="Calibri" w:cs="Arial"/>
                <w:b/>
                <w:bCs/>
                <w:sz w:val="20"/>
                <w:szCs w:val="20"/>
                <w:lang w:val="en-US"/>
              </w:rPr>
              <w:t>Total capital requirements</w:t>
            </w:r>
            <w:bookmarkEnd w:id="1281"/>
          </w:p>
        </w:tc>
        <w:tc>
          <w:tcPr>
            <w:tcW w:w="754" w:type="pct"/>
            <w:tcBorders>
              <w:top w:val="nil"/>
              <w:left w:val="nil"/>
              <w:bottom w:val="nil"/>
              <w:right w:val="nil"/>
            </w:tcBorders>
            <w:shd w:val="clear" w:color="auto" w:fill="auto"/>
            <w:vAlign w:val="bottom"/>
          </w:tcPr>
          <w:p w14:paraId="2CD04EE1" w14:textId="236CD4C1" w:rsidR="00CD4849" w:rsidRPr="00537128" w:rsidRDefault="00CD4849" w:rsidP="00CD4849">
            <w:pPr>
              <w:tabs>
                <w:tab w:val="right" w:pos="1202"/>
              </w:tabs>
              <w:spacing w:after="0" w:line="240" w:lineRule="auto"/>
              <w:jc w:val="right"/>
              <w:outlineLvl w:val="0"/>
              <w:rPr>
                <w:rFonts w:ascii="Calibri" w:eastAsia="Times New Roman" w:hAnsi="Calibri" w:cs="Arial"/>
                <w:b/>
                <w:sz w:val="20"/>
                <w:szCs w:val="20"/>
                <w:lang w:val="en-US"/>
              </w:rPr>
            </w:pPr>
            <w:r>
              <w:rPr>
                <w:rFonts w:cs="Arial"/>
                <w:b/>
                <w:color w:val="000000" w:themeColor="text1"/>
                <w:sz w:val="20"/>
              </w:rPr>
              <w:t>14,876,375</w:t>
            </w:r>
          </w:p>
        </w:tc>
        <w:tc>
          <w:tcPr>
            <w:tcW w:w="754" w:type="pct"/>
            <w:tcBorders>
              <w:top w:val="nil"/>
              <w:left w:val="nil"/>
              <w:bottom w:val="nil"/>
              <w:right w:val="nil"/>
            </w:tcBorders>
            <w:shd w:val="clear" w:color="auto" w:fill="auto"/>
            <w:vAlign w:val="bottom"/>
          </w:tcPr>
          <w:p w14:paraId="4E6EDCDD" w14:textId="2BEF5ABF" w:rsidR="00CD4849" w:rsidRPr="00537128" w:rsidRDefault="00CD4849" w:rsidP="00CD4849">
            <w:pPr>
              <w:tabs>
                <w:tab w:val="right" w:pos="1202"/>
              </w:tabs>
              <w:spacing w:after="0" w:line="301" w:lineRule="exact"/>
              <w:jc w:val="right"/>
              <w:outlineLvl w:val="0"/>
              <w:rPr>
                <w:rFonts w:ascii="Calibri" w:eastAsia="Times New Roman" w:hAnsi="Calibri" w:cs="Arial"/>
                <w:b/>
                <w:sz w:val="20"/>
                <w:szCs w:val="20"/>
                <w:lang w:val="en-US"/>
              </w:rPr>
            </w:pPr>
            <w:r w:rsidRPr="003F114D">
              <w:rPr>
                <w:rFonts w:cs="Arial"/>
                <w:b/>
                <w:color w:val="000000" w:themeColor="text1"/>
                <w:sz w:val="20"/>
              </w:rPr>
              <w:t>15</w:t>
            </w:r>
            <w:r>
              <w:rPr>
                <w:rFonts w:cs="Arial"/>
                <w:b/>
                <w:color w:val="000000" w:themeColor="text1"/>
                <w:sz w:val="20"/>
              </w:rPr>
              <w:t>,</w:t>
            </w:r>
            <w:r w:rsidRPr="003F114D">
              <w:rPr>
                <w:rFonts w:cs="Arial"/>
                <w:b/>
                <w:color w:val="000000" w:themeColor="text1"/>
                <w:sz w:val="20"/>
              </w:rPr>
              <w:t>842</w:t>
            </w:r>
            <w:r>
              <w:rPr>
                <w:rFonts w:cs="Arial"/>
                <w:b/>
                <w:color w:val="000000" w:themeColor="text1"/>
                <w:sz w:val="20"/>
              </w:rPr>
              <w:t>,</w:t>
            </w:r>
            <w:r w:rsidRPr="003F114D">
              <w:rPr>
                <w:rFonts w:cs="Arial"/>
                <w:b/>
                <w:color w:val="000000" w:themeColor="text1"/>
                <w:sz w:val="20"/>
              </w:rPr>
              <w:t>293</w:t>
            </w:r>
          </w:p>
        </w:tc>
        <w:tc>
          <w:tcPr>
            <w:tcW w:w="754" w:type="pct"/>
            <w:tcBorders>
              <w:top w:val="nil"/>
              <w:left w:val="nil"/>
              <w:bottom w:val="nil"/>
              <w:right w:val="nil"/>
            </w:tcBorders>
            <w:shd w:val="clear" w:color="auto" w:fill="auto"/>
            <w:vAlign w:val="bottom"/>
          </w:tcPr>
          <w:p w14:paraId="0E1BDCEF" w14:textId="63734966" w:rsidR="00CD4849" w:rsidRPr="00302098" w:rsidRDefault="00CD4849" w:rsidP="00CD4849">
            <w:pPr>
              <w:tabs>
                <w:tab w:val="right" w:pos="1202"/>
              </w:tabs>
              <w:spacing w:after="0" w:line="240" w:lineRule="auto"/>
              <w:jc w:val="right"/>
              <w:outlineLvl w:val="0"/>
              <w:rPr>
                <w:rFonts w:ascii="Calibri" w:eastAsia="Times New Roman" w:hAnsi="Calibri" w:cs="Arial"/>
                <w:b/>
                <w:bCs/>
                <w:sz w:val="20"/>
                <w:szCs w:val="20"/>
                <w:lang w:val="en-US"/>
              </w:rPr>
            </w:pPr>
            <w:r w:rsidRPr="00302098">
              <w:rPr>
                <w:rFonts w:cstheme="minorHAnsi"/>
                <w:b/>
                <w:bCs/>
                <w:sz w:val="20"/>
                <w:szCs w:val="20"/>
              </w:rPr>
              <w:t xml:space="preserve"> 14</w:t>
            </w:r>
            <w:r>
              <w:rPr>
                <w:rFonts w:cstheme="minorHAnsi"/>
                <w:b/>
                <w:bCs/>
                <w:sz w:val="20"/>
                <w:szCs w:val="20"/>
              </w:rPr>
              <w:t>,</w:t>
            </w:r>
            <w:r w:rsidRPr="00302098">
              <w:rPr>
                <w:rFonts w:cstheme="minorHAnsi"/>
                <w:b/>
                <w:bCs/>
                <w:sz w:val="20"/>
                <w:szCs w:val="20"/>
              </w:rPr>
              <w:t>847</w:t>
            </w:r>
            <w:r>
              <w:rPr>
                <w:rFonts w:cstheme="minorHAnsi"/>
                <w:b/>
                <w:bCs/>
                <w:sz w:val="20"/>
                <w:szCs w:val="20"/>
              </w:rPr>
              <w:t>,</w:t>
            </w:r>
            <w:r w:rsidRPr="00302098">
              <w:rPr>
                <w:rFonts w:cstheme="minorHAnsi"/>
                <w:b/>
                <w:bCs/>
                <w:sz w:val="20"/>
                <w:szCs w:val="20"/>
              </w:rPr>
              <w:t xml:space="preserve">591 </w:t>
            </w:r>
          </w:p>
        </w:tc>
        <w:tc>
          <w:tcPr>
            <w:tcW w:w="754" w:type="pct"/>
            <w:tcBorders>
              <w:top w:val="nil"/>
              <w:left w:val="nil"/>
              <w:bottom w:val="nil"/>
              <w:right w:val="nil"/>
            </w:tcBorders>
            <w:shd w:val="clear" w:color="auto" w:fill="auto"/>
            <w:vAlign w:val="bottom"/>
          </w:tcPr>
          <w:p w14:paraId="5DF77DB6" w14:textId="7A2084E5" w:rsidR="00CD4849" w:rsidRPr="00537128" w:rsidRDefault="00CD4849" w:rsidP="00CD4849">
            <w:pPr>
              <w:tabs>
                <w:tab w:val="right" w:pos="1202"/>
              </w:tabs>
              <w:spacing w:after="0" w:line="301" w:lineRule="exact"/>
              <w:jc w:val="right"/>
              <w:outlineLvl w:val="0"/>
              <w:rPr>
                <w:rFonts w:ascii="Calibri" w:eastAsia="Times New Roman" w:hAnsi="Calibri" w:cs="Arial"/>
                <w:b/>
                <w:sz w:val="20"/>
                <w:szCs w:val="20"/>
                <w:lang w:val="en-US"/>
              </w:rPr>
            </w:pPr>
            <w:r w:rsidRPr="00AD24F2">
              <w:rPr>
                <w:rFonts w:cs="Arial"/>
                <w:b/>
                <w:color w:val="000000" w:themeColor="text1"/>
                <w:sz w:val="20"/>
              </w:rPr>
              <w:t>15</w:t>
            </w:r>
            <w:r>
              <w:rPr>
                <w:rFonts w:cs="Arial"/>
                <w:b/>
                <w:color w:val="000000" w:themeColor="text1"/>
                <w:sz w:val="20"/>
              </w:rPr>
              <w:t>,</w:t>
            </w:r>
            <w:r w:rsidRPr="00AD24F2">
              <w:rPr>
                <w:rFonts w:cs="Arial"/>
                <w:b/>
                <w:color w:val="000000" w:themeColor="text1"/>
                <w:sz w:val="20"/>
              </w:rPr>
              <w:t>784</w:t>
            </w:r>
            <w:r>
              <w:rPr>
                <w:rFonts w:cs="Arial"/>
                <w:b/>
                <w:color w:val="000000" w:themeColor="text1"/>
                <w:sz w:val="20"/>
              </w:rPr>
              <w:t>,</w:t>
            </w:r>
            <w:r w:rsidRPr="00AD24F2">
              <w:rPr>
                <w:rFonts w:cs="Arial"/>
                <w:b/>
                <w:color w:val="000000" w:themeColor="text1"/>
                <w:sz w:val="20"/>
              </w:rPr>
              <w:t>807</w:t>
            </w:r>
          </w:p>
        </w:tc>
      </w:tr>
      <w:tr w:rsidR="00CD4849" w:rsidRPr="00537128" w14:paraId="3EE9C39C" w14:textId="77777777" w:rsidTr="004B2E0B">
        <w:trPr>
          <w:trHeight w:val="211"/>
          <w:jc w:val="center"/>
        </w:trPr>
        <w:tc>
          <w:tcPr>
            <w:tcW w:w="1984" w:type="pct"/>
            <w:vAlign w:val="bottom"/>
          </w:tcPr>
          <w:p w14:paraId="30B39CC3" w14:textId="77777777" w:rsidR="00CD4849" w:rsidRPr="00537128" w:rsidRDefault="00CD4849" w:rsidP="00CD4849">
            <w:pPr>
              <w:tabs>
                <w:tab w:val="right" w:pos="1202"/>
                <w:tab w:val="right" w:pos="9781"/>
              </w:tabs>
              <w:spacing w:after="0" w:line="240" w:lineRule="auto"/>
              <w:outlineLvl w:val="0"/>
              <w:rPr>
                <w:rFonts w:ascii="Calibri" w:eastAsia="Times New Roman" w:hAnsi="Calibri" w:cs="Arial"/>
                <w:b/>
                <w:bCs/>
                <w:sz w:val="20"/>
                <w:szCs w:val="20"/>
                <w:lang w:val="en-US"/>
              </w:rPr>
            </w:pPr>
          </w:p>
        </w:tc>
        <w:tc>
          <w:tcPr>
            <w:tcW w:w="754" w:type="pct"/>
            <w:tcBorders>
              <w:top w:val="single" w:sz="12" w:space="0" w:color="auto"/>
              <w:bottom w:val="nil"/>
            </w:tcBorders>
            <w:shd w:val="clear" w:color="auto" w:fill="auto"/>
            <w:vAlign w:val="bottom"/>
          </w:tcPr>
          <w:p w14:paraId="7591A965" w14:textId="764255E0" w:rsidR="00CD4849" w:rsidRPr="00537128" w:rsidDel="003D2ACC" w:rsidRDefault="00CD4849" w:rsidP="00CD4849">
            <w:pPr>
              <w:tabs>
                <w:tab w:val="right" w:pos="1202"/>
              </w:tabs>
              <w:spacing w:after="0" w:line="240" w:lineRule="auto"/>
              <w:jc w:val="right"/>
              <w:outlineLvl w:val="0"/>
              <w:rPr>
                <w:rFonts w:ascii="Calibri" w:eastAsia="Times New Roman" w:hAnsi="Calibri" w:cs="Times New Roman"/>
                <w:b/>
                <w:color w:val="000000"/>
                <w:sz w:val="20"/>
                <w:szCs w:val="20"/>
                <w:lang w:val="en-US"/>
              </w:rPr>
            </w:pPr>
            <w:r w:rsidRPr="003A3DB0">
              <w:rPr>
                <w:rFonts w:ascii="Calibri" w:hAnsi="Calibri" w:cs="Arial"/>
                <w:b/>
                <w:sz w:val="20"/>
                <w:szCs w:val="20"/>
              </w:rPr>
              <w:t>%</w:t>
            </w:r>
          </w:p>
        </w:tc>
        <w:tc>
          <w:tcPr>
            <w:tcW w:w="754" w:type="pct"/>
            <w:tcBorders>
              <w:top w:val="single" w:sz="12" w:space="0" w:color="auto"/>
              <w:bottom w:val="nil"/>
            </w:tcBorders>
            <w:shd w:val="clear" w:color="auto" w:fill="auto"/>
            <w:vAlign w:val="bottom"/>
          </w:tcPr>
          <w:p w14:paraId="701C8F9C" w14:textId="796579CB" w:rsidR="00CD4849" w:rsidRPr="00537128" w:rsidRDefault="00CD4849" w:rsidP="00CD4849">
            <w:pPr>
              <w:tabs>
                <w:tab w:val="right" w:pos="1202"/>
              </w:tabs>
              <w:spacing w:after="0" w:line="301" w:lineRule="exact"/>
              <w:jc w:val="right"/>
              <w:outlineLvl w:val="0"/>
              <w:rPr>
                <w:rFonts w:ascii="Calibri" w:eastAsia="Times New Roman" w:hAnsi="Calibri" w:cs="Times New Roman"/>
                <w:b/>
                <w:color w:val="000000"/>
                <w:sz w:val="20"/>
                <w:szCs w:val="20"/>
                <w:lang w:val="en-US"/>
              </w:rPr>
            </w:pPr>
            <w:r w:rsidRPr="003A3DB0">
              <w:rPr>
                <w:rFonts w:ascii="Calibri" w:hAnsi="Calibri" w:cs="Arial"/>
                <w:b/>
                <w:sz w:val="20"/>
                <w:szCs w:val="20"/>
              </w:rPr>
              <w:t>%</w:t>
            </w:r>
          </w:p>
        </w:tc>
        <w:tc>
          <w:tcPr>
            <w:tcW w:w="754" w:type="pct"/>
            <w:tcBorders>
              <w:top w:val="single" w:sz="12" w:space="0" w:color="auto"/>
              <w:bottom w:val="nil"/>
            </w:tcBorders>
            <w:shd w:val="clear" w:color="auto" w:fill="auto"/>
            <w:vAlign w:val="bottom"/>
          </w:tcPr>
          <w:p w14:paraId="12BE40B2" w14:textId="69E57845" w:rsidR="00CD4849" w:rsidRPr="00537128" w:rsidDel="00810202" w:rsidRDefault="00CD4849" w:rsidP="00CD4849">
            <w:pPr>
              <w:tabs>
                <w:tab w:val="right" w:pos="1202"/>
              </w:tabs>
              <w:spacing w:after="0" w:line="240" w:lineRule="auto"/>
              <w:jc w:val="right"/>
              <w:outlineLvl w:val="0"/>
              <w:rPr>
                <w:rFonts w:ascii="Calibri" w:eastAsia="Calibri" w:hAnsi="Calibri" w:cs="Times New Roman"/>
                <w:b/>
                <w:color w:val="000000"/>
                <w:sz w:val="20"/>
                <w:lang w:val="en-US"/>
              </w:rPr>
            </w:pPr>
            <w:r w:rsidRPr="003A3DB0">
              <w:rPr>
                <w:rFonts w:ascii="Calibri" w:hAnsi="Calibri" w:cs="Arial"/>
                <w:b/>
                <w:sz w:val="20"/>
                <w:szCs w:val="20"/>
              </w:rPr>
              <w:t>%</w:t>
            </w:r>
          </w:p>
        </w:tc>
        <w:tc>
          <w:tcPr>
            <w:tcW w:w="754" w:type="pct"/>
            <w:tcBorders>
              <w:top w:val="single" w:sz="12" w:space="0" w:color="auto"/>
              <w:bottom w:val="nil"/>
            </w:tcBorders>
            <w:shd w:val="clear" w:color="auto" w:fill="auto"/>
            <w:vAlign w:val="bottom"/>
          </w:tcPr>
          <w:p w14:paraId="27C4AB3B" w14:textId="60B5D7CD" w:rsidR="00CD4849" w:rsidRPr="00537128" w:rsidRDefault="00CD4849" w:rsidP="00CD4849">
            <w:pPr>
              <w:tabs>
                <w:tab w:val="right" w:pos="1202"/>
              </w:tabs>
              <w:spacing w:after="0" w:line="301" w:lineRule="exact"/>
              <w:jc w:val="right"/>
              <w:outlineLvl w:val="0"/>
              <w:rPr>
                <w:rFonts w:ascii="Calibri" w:eastAsia="Times New Roman" w:hAnsi="Calibri" w:cs="Times New Roman"/>
                <w:b/>
                <w:color w:val="000000"/>
                <w:sz w:val="20"/>
                <w:szCs w:val="20"/>
                <w:lang w:val="en-US"/>
              </w:rPr>
            </w:pPr>
            <w:r w:rsidRPr="003A3DB0">
              <w:rPr>
                <w:rFonts w:ascii="Calibri" w:hAnsi="Calibri" w:cs="Arial"/>
                <w:b/>
                <w:sz w:val="20"/>
                <w:szCs w:val="20"/>
              </w:rPr>
              <w:t>%</w:t>
            </w:r>
          </w:p>
        </w:tc>
      </w:tr>
      <w:tr w:rsidR="00CD4849" w:rsidRPr="00537128" w14:paraId="059224CC" w14:textId="77777777" w:rsidTr="004B2E0B">
        <w:trPr>
          <w:trHeight w:val="172"/>
          <w:jc w:val="center"/>
        </w:trPr>
        <w:tc>
          <w:tcPr>
            <w:tcW w:w="1984" w:type="pct"/>
            <w:vAlign w:val="bottom"/>
          </w:tcPr>
          <w:p w14:paraId="290214F6" w14:textId="77777777" w:rsidR="00CD4849" w:rsidRPr="00537128" w:rsidRDefault="00CD4849" w:rsidP="00CD4849">
            <w:pPr>
              <w:tabs>
                <w:tab w:val="right" w:pos="9781"/>
              </w:tabs>
              <w:spacing w:after="0" w:line="240" w:lineRule="auto"/>
              <w:jc w:val="both"/>
              <w:rPr>
                <w:rFonts w:ascii="Calibri" w:eastAsia="Times New Roman" w:hAnsi="Calibri" w:cs="Arial"/>
                <w:sz w:val="20"/>
                <w:szCs w:val="20"/>
                <w:lang w:val="en-US"/>
              </w:rPr>
            </w:pPr>
            <w:r w:rsidRPr="00537128">
              <w:rPr>
                <w:rFonts w:ascii="Calibri" w:eastAsia="Times New Roman" w:hAnsi="Calibri" w:cs="Arial"/>
                <w:b/>
                <w:bCs/>
                <w:sz w:val="20"/>
                <w:szCs w:val="20"/>
                <w:lang w:val="en-US"/>
              </w:rPr>
              <w:t xml:space="preserve">Capital adequacy ratio </w:t>
            </w:r>
          </w:p>
        </w:tc>
        <w:tc>
          <w:tcPr>
            <w:tcW w:w="754" w:type="pct"/>
            <w:tcBorders>
              <w:bottom w:val="single" w:sz="12" w:space="0" w:color="auto"/>
            </w:tcBorders>
            <w:vAlign w:val="bottom"/>
          </w:tcPr>
          <w:p w14:paraId="4FEADA50" w14:textId="3845E986" w:rsidR="00CD4849" w:rsidRPr="00537128" w:rsidRDefault="00CD4849" w:rsidP="00CD4849">
            <w:pPr>
              <w:tabs>
                <w:tab w:val="right" w:pos="9781"/>
              </w:tabs>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lang w:val="en-US"/>
              </w:rPr>
              <w:t>72.18</w:t>
            </w:r>
          </w:p>
        </w:tc>
        <w:tc>
          <w:tcPr>
            <w:tcW w:w="754" w:type="pct"/>
            <w:tcBorders>
              <w:bottom w:val="single" w:sz="12" w:space="0" w:color="auto"/>
            </w:tcBorders>
            <w:vAlign w:val="bottom"/>
          </w:tcPr>
          <w:p w14:paraId="7FC60AB2" w14:textId="6DAC1E17" w:rsidR="00CD4849" w:rsidRPr="00537128" w:rsidRDefault="00CD4849" w:rsidP="00CD4849">
            <w:pPr>
              <w:tabs>
                <w:tab w:val="right" w:pos="9781"/>
              </w:tabs>
              <w:spacing w:after="0" w:line="240" w:lineRule="auto"/>
              <w:jc w:val="right"/>
              <w:rPr>
                <w:rFonts w:ascii="Calibri" w:eastAsia="Times New Roman" w:hAnsi="Calibri" w:cs="Arial"/>
                <w:b/>
                <w:sz w:val="20"/>
                <w:szCs w:val="20"/>
                <w:lang w:val="en-US"/>
              </w:rPr>
            </w:pPr>
            <w:r>
              <w:rPr>
                <w:rFonts w:ascii="Calibri" w:hAnsi="Calibri" w:cs="Arial"/>
                <w:b/>
                <w:sz w:val="20"/>
                <w:szCs w:val="20"/>
              </w:rPr>
              <w:t>65.08</w:t>
            </w:r>
          </w:p>
        </w:tc>
        <w:tc>
          <w:tcPr>
            <w:tcW w:w="754" w:type="pct"/>
            <w:tcBorders>
              <w:bottom w:val="single" w:sz="12" w:space="0" w:color="auto"/>
            </w:tcBorders>
            <w:vAlign w:val="bottom"/>
          </w:tcPr>
          <w:p w14:paraId="6B95547C" w14:textId="75AA9C79" w:rsidR="00CD4849" w:rsidRPr="00537128" w:rsidRDefault="00CD4849" w:rsidP="00CD4849">
            <w:pPr>
              <w:tabs>
                <w:tab w:val="right" w:pos="9781"/>
              </w:tabs>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lang w:val="en-US"/>
              </w:rPr>
              <w:t>72.33</w:t>
            </w:r>
          </w:p>
        </w:tc>
        <w:tc>
          <w:tcPr>
            <w:tcW w:w="754" w:type="pct"/>
            <w:tcBorders>
              <w:bottom w:val="single" w:sz="12" w:space="0" w:color="auto"/>
            </w:tcBorders>
            <w:shd w:val="clear" w:color="auto" w:fill="auto"/>
            <w:vAlign w:val="bottom"/>
          </w:tcPr>
          <w:p w14:paraId="5AD702C5" w14:textId="0B896BAD" w:rsidR="00CD4849" w:rsidRPr="00537128" w:rsidRDefault="00CD4849" w:rsidP="00CD4849">
            <w:pPr>
              <w:tabs>
                <w:tab w:val="right" w:pos="9781"/>
              </w:tabs>
              <w:spacing w:after="0" w:line="240" w:lineRule="auto"/>
              <w:jc w:val="right"/>
              <w:rPr>
                <w:rFonts w:ascii="Calibri" w:eastAsia="Times New Roman" w:hAnsi="Calibri" w:cs="Arial"/>
                <w:b/>
                <w:sz w:val="20"/>
                <w:szCs w:val="20"/>
                <w:lang w:val="en-US"/>
              </w:rPr>
            </w:pPr>
            <w:r>
              <w:rPr>
                <w:rFonts w:cs="Arial"/>
                <w:b/>
                <w:bCs/>
                <w:color w:val="000000" w:themeColor="text1"/>
                <w:sz w:val="20"/>
              </w:rPr>
              <w:t>65.32</w:t>
            </w:r>
          </w:p>
        </w:tc>
      </w:tr>
      <w:tr w:rsidR="00CD4849" w:rsidRPr="00537128" w14:paraId="13161AE2" w14:textId="77777777" w:rsidTr="004B2E0B">
        <w:trPr>
          <w:trHeight w:val="172"/>
          <w:jc w:val="center"/>
        </w:trPr>
        <w:tc>
          <w:tcPr>
            <w:tcW w:w="1984" w:type="pct"/>
            <w:vAlign w:val="bottom"/>
          </w:tcPr>
          <w:p w14:paraId="529A68CB" w14:textId="77777777" w:rsidR="00CD4849" w:rsidRPr="00537128" w:rsidRDefault="00CD4849" w:rsidP="00CD4849">
            <w:pPr>
              <w:tabs>
                <w:tab w:val="right" w:pos="9781"/>
              </w:tabs>
              <w:spacing w:after="0" w:line="240" w:lineRule="auto"/>
              <w:jc w:val="both"/>
              <w:rPr>
                <w:rFonts w:ascii="Calibri" w:eastAsia="Times New Roman" w:hAnsi="Calibri" w:cs="Arial"/>
                <w:b/>
                <w:bCs/>
                <w:sz w:val="20"/>
                <w:szCs w:val="20"/>
                <w:lang w:val="en-US"/>
              </w:rPr>
            </w:pPr>
          </w:p>
        </w:tc>
        <w:tc>
          <w:tcPr>
            <w:tcW w:w="754" w:type="pct"/>
            <w:tcBorders>
              <w:top w:val="single" w:sz="12" w:space="0" w:color="auto"/>
            </w:tcBorders>
            <w:vAlign w:val="bottom"/>
          </w:tcPr>
          <w:p w14:paraId="08B326EA" w14:textId="77777777" w:rsidR="00CD4849" w:rsidRPr="00537128" w:rsidDel="00865364" w:rsidRDefault="00CD4849" w:rsidP="00CD4849">
            <w:pPr>
              <w:tabs>
                <w:tab w:val="right" w:pos="9781"/>
              </w:tabs>
              <w:spacing w:after="0" w:line="240" w:lineRule="auto"/>
              <w:jc w:val="right"/>
              <w:rPr>
                <w:rFonts w:ascii="Arial" w:eastAsia="Times New Roman" w:hAnsi="Arial" w:cs="Arial"/>
                <w:b/>
                <w:bCs/>
                <w:sz w:val="20"/>
                <w:szCs w:val="20"/>
                <w:lang w:val="en-US"/>
              </w:rPr>
            </w:pPr>
          </w:p>
        </w:tc>
        <w:tc>
          <w:tcPr>
            <w:tcW w:w="754" w:type="pct"/>
            <w:tcBorders>
              <w:top w:val="single" w:sz="12" w:space="0" w:color="auto"/>
            </w:tcBorders>
            <w:vAlign w:val="bottom"/>
          </w:tcPr>
          <w:p w14:paraId="5BE89973" w14:textId="77777777" w:rsidR="00CD4849" w:rsidRPr="00537128" w:rsidRDefault="00CD4849" w:rsidP="00CD4849">
            <w:pPr>
              <w:tabs>
                <w:tab w:val="right" w:pos="9781"/>
              </w:tabs>
              <w:spacing w:after="0" w:line="240" w:lineRule="auto"/>
              <w:jc w:val="right"/>
              <w:rPr>
                <w:rFonts w:ascii="Calibri" w:eastAsia="Calibri" w:hAnsi="Calibri" w:cs="Times New Roman"/>
                <w:b/>
                <w:bCs/>
                <w:color w:val="000000"/>
                <w:sz w:val="20"/>
                <w:lang w:val="en-US"/>
              </w:rPr>
            </w:pPr>
          </w:p>
        </w:tc>
        <w:tc>
          <w:tcPr>
            <w:tcW w:w="754" w:type="pct"/>
            <w:tcBorders>
              <w:top w:val="single" w:sz="12" w:space="0" w:color="auto"/>
            </w:tcBorders>
            <w:vAlign w:val="bottom"/>
          </w:tcPr>
          <w:p w14:paraId="0553C4B2" w14:textId="77777777" w:rsidR="00CD4849" w:rsidRPr="00537128" w:rsidDel="00865364" w:rsidRDefault="00CD4849" w:rsidP="00CD4849">
            <w:pPr>
              <w:tabs>
                <w:tab w:val="right" w:pos="9781"/>
              </w:tabs>
              <w:spacing w:after="0" w:line="240" w:lineRule="auto"/>
              <w:jc w:val="right"/>
              <w:rPr>
                <w:rFonts w:ascii="Calibri" w:eastAsia="Times New Roman" w:hAnsi="Calibri" w:cs="Arial"/>
                <w:b/>
                <w:sz w:val="20"/>
                <w:szCs w:val="20"/>
                <w:lang w:val="en-US"/>
              </w:rPr>
            </w:pPr>
          </w:p>
        </w:tc>
        <w:tc>
          <w:tcPr>
            <w:tcW w:w="754" w:type="pct"/>
            <w:tcBorders>
              <w:top w:val="single" w:sz="12" w:space="0" w:color="auto"/>
            </w:tcBorders>
            <w:vAlign w:val="bottom"/>
          </w:tcPr>
          <w:p w14:paraId="79AD9410" w14:textId="77777777" w:rsidR="00CD4849" w:rsidRPr="00537128" w:rsidRDefault="00CD4849" w:rsidP="00CD4849">
            <w:pPr>
              <w:tabs>
                <w:tab w:val="right" w:pos="9781"/>
              </w:tabs>
              <w:spacing w:after="0" w:line="240" w:lineRule="auto"/>
              <w:jc w:val="right"/>
              <w:rPr>
                <w:rFonts w:ascii="Calibri" w:eastAsia="Calibri" w:hAnsi="Calibri" w:cs="Calibri"/>
                <w:b/>
                <w:sz w:val="20"/>
                <w:lang w:val="en-US"/>
              </w:rPr>
            </w:pPr>
          </w:p>
        </w:tc>
      </w:tr>
      <w:tr w:rsidR="00CD4849" w:rsidRPr="00537128" w14:paraId="393B0658" w14:textId="77777777" w:rsidTr="00A1123E">
        <w:trPr>
          <w:trHeight w:val="172"/>
          <w:jc w:val="center"/>
        </w:trPr>
        <w:tc>
          <w:tcPr>
            <w:tcW w:w="1984" w:type="pct"/>
            <w:tcBorders>
              <w:bottom w:val="nil"/>
            </w:tcBorders>
            <w:vAlign w:val="bottom"/>
          </w:tcPr>
          <w:p w14:paraId="52120753" w14:textId="77777777" w:rsidR="00CD4849" w:rsidRPr="00537128" w:rsidRDefault="00CD4849" w:rsidP="00CD4849">
            <w:pPr>
              <w:tabs>
                <w:tab w:val="right" w:pos="9781"/>
              </w:tabs>
              <w:spacing w:after="0" w:line="240" w:lineRule="auto"/>
              <w:rPr>
                <w:rFonts w:ascii="Calibri" w:eastAsia="Times New Roman" w:hAnsi="Calibri" w:cs="Arial"/>
                <w:sz w:val="20"/>
                <w:szCs w:val="20"/>
                <w:lang w:val="en-US"/>
              </w:rPr>
            </w:pPr>
          </w:p>
        </w:tc>
        <w:tc>
          <w:tcPr>
            <w:tcW w:w="754" w:type="pct"/>
            <w:vAlign w:val="bottom"/>
          </w:tcPr>
          <w:p w14:paraId="18AFCFF9" w14:textId="721651CA" w:rsidR="00CD4849" w:rsidRPr="00537128" w:rsidRDefault="00CD4849" w:rsidP="00CD4849">
            <w:pPr>
              <w:tabs>
                <w:tab w:val="right" w:pos="1202"/>
              </w:tabs>
              <w:spacing w:after="0" w:line="240" w:lineRule="auto"/>
              <w:jc w:val="right"/>
              <w:outlineLvl w:val="0"/>
              <w:rPr>
                <w:rFonts w:ascii="Calibri" w:eastAsia="Times New Roman" w:hAnsi="Calibri" w:cs="Arial"/>
                <w:b/>
                <w:sz w:val="20"/>
                <w:szCs w:val="20"/>
                <w:lang w:val="en-US"/>
              </w:rPr>
            </w:pPr>
            <w:r w:rsidRPr="003A3DB0">
              <w:rPr>
                <w:rFonts w:ascii="Calibri" w:hAnsi="Calibri" w:cs="Arial"/>
                <w:b/>
                <w:sz w:val="20"/>
                <w:szCs w:val="20"/>
              </w:rPr>
              <w:t>HRK ‘000</w:t>
            </w:r>
          </w:p>
        </w:tc>
        <w:tc>
          <w:tcPr>
            <w:tcW w:w="754" w:type="pct"/>
            <w:vAlign w:val="bottom"/>
          </w:tcPr>
          <w:p w14:paraId="2BCA4E9D" w14:textId="70AD5F24" w:rsidR="00CD4849" w:rsidRPr="00537128" w:rsidRDefault="00CD4849" w:rsidP="00CD4849">
            <w:pPr>
              <w:tabs>
                <w:tab w:val="right" w:pos="1202"/>
              </w:tabs>
              <w:spacing w:after="0" w:line="240" w:lineRule="auto"/>
              <w:jc w:val="right"/>
              <w:outlineLvl w:val="0"/>
              <w:rPr>
                <w:rFonts w:ascii="Calibri" w:eastAsia="Times New Roman" w:hAnsi="Calibri" w:cs="Arial"/>
                <w:b/>
                <w:sz w:val="20"/>
                <w:szCs w:val="20"/>
                <w:lang w:val="en-US"/>
              </w:rPr>
            </w:pPr>
            <w:r w:rsidRPr="003A3DB0">
              <w:rPr>
                <w:rFonts w:ascii="Calibri" w:hAnsi="Calibri" w:cs="Arial"/>
                <w:b/>
                <w:sz w:val="20"/>
                <w:szCs w:val="20"/>
              </w:rPr>
              <w:t>HRK ‘000</w:t>
            </w:r>
          </w:p>
        </w:tc>
        <w:tc>
          <w:tcPr>
            <w:tcW w:w="754" w:type="pct"/>
            <w:vAlign w:val="bottom"/>
          </w:tcPr>
          <w:p w14:paraId="0B3697A2" w14:textId="5D4CA5D9" w:rsidR="00CD4849" w:rsidRPr="00537128" w:rsidRDefault="00CD4849" w:rsidP="00CD4849">
            <w:pPr>
              <w:tabs>
                <w:tab w:val="right" w:pos="1202"/>
              </w:tabs>
              <w:spacing w:after="0" w:line="240" w:lineRule="auto"/>
              <w:jc w:val="right"/>
              <w:outlineLvl w:val="0"/>
              <w:rPr>
                <w:rFonts w:ascii="Calibri" w:eastAsia="Times New Roman" w:hAnsi="Calibri" w:cs="Arial"/>
                <w:b/>
                <w:sz w:val="20"/>
                <w:szCs w:val="20"/>
                <w:lang w:val="en-US"/>
              </w:rPr>
            </w:pPr>
            <w:r w:rsidRPr="003A3DB0">
              <w:rPr>
                <w:rFonts w:ascii="Calibri" w:hAnsi="Calibri" w:cs="Arial"/>
                <w:b/>
                <w:sz w:val="20"/>
                <w:szCs w:val="20"/>
              </w:rPr>
              <w:t>HRK ‘000</w:t>
            </w:r>
          </w:p>
        </w:tc>
        <w:tc>
          <w:tcPr>
            <w:tcW w:w="754" w:type="pct"/>
            <w:vAlign w:val="bottom"/>
          </w:tcPr>
          <w:p w14:paraId="4863D6FA" w14:textId="09EB1A2B" w:rsidR="00CD4849" w:rsidRPr="00537128" w:rsidRDefault="00CD4849" w:rsidP="00CD4849">
            <w:pPr>
              <w:tabs>
                <w:tab w:val="right" w:pos="1202"/>
              </w:tabs>
              <w:spacing w:after="0" w:line="240" w:lineRule="auto"/>
              <w:jc w:val="right"/>
              <w:outlineLvl w:val="0"/>
              <w:rPr>
                <w:rFonts w:ascii="Calibri" w:eastAsia="Times New Roman" w:hAnsi="Calibri" w:cs="Arial"/>
                <w:b/>
                <w:sz w:val="20"/>
                <w:szCs w:val="20"/>
                <w:lang w:val="en-US"/>
              </w:rPr>
            </w:pPr>
            <w:r w:rsidRPr="003A3DB0">
              <w:rPr>
                <w:rFonts w:ascii="Calibri" w:hAnsi="Calibri" w:cs="Arial"/>
                <w:b/>
                <w:sz w:val="20"/>
                <w:szCs w:val="20"/>
              </w:rPr>
              <w:t>HRK ‘000</w:t>
            </w:r>
          </w:p>
        </w:tc>
      </w:tr>
      <w:tr w:rsidR="00CD4849" w:rsidRPr="00537128" w14:paraId="2A4E759B" w14:textId="77777777" w:rsidTr="00A1123E">
        <w:trPr>
          <w:trHeight w:val="519"/>
          <w:jc w:val="center"/>
        </w:trPr>
        <w:tc>
          <w:tcPr>
            <w:tcW w:w="1984" w:type="pct"/>
            <w:tcBorders>
              <w:bottom w:val="nil"/>
            </w:tcBorders>
            <w:vAlign w:val="bottom"/>
          </w:tcPr>
          <w:p w14:paraId="286F296C" w14:textId="77777777" w:rsidR="00CD4849" w:rsidRPr="00537128" w:rsidRDefault="00CD4849" w:rsidP="00CD4849">
            <w:pPr>
              <w:tabs>
                <w:tab w:val="right" w:pos="1202"/>
                <w:tab w:val="right" w:pos="9781"/>
              </w:tabs>
              <w:spacing w:after="0" w:line="240" w:lineRule="auto"/>
              <w:outlineLvl w:val="0"/>
              <w:rPr>
                <w:rFonts w:ascii="Calibri" w:eastAsia="Times New Roman" w:hAnsi="Calibri" w:cs="Arial"/>
                <w:b/>
                <w:bCs/>
                <w:sz w:val="20"/>
                <w:szCs w:val="20"/>
                <w:lang w:val="en-US"/>
              </w:rPr>
            </w:pPr>
            <w:bookmarkStart w:id="1282" w:name="_Toc4063572"/>
            <w:r w:rsidRPr="00537128">
              <w:rPr>
                <w:rFonts w:ascii="Calibri" w:eastAsia="Times New Roman" w:hAnsi="Calibri" w:cs="Arial"/>
                <w:b/>
                <w:bCs/>
                <w:sz w:val="20"/>
                <w:szCs w:val="20"/>
                <w:lang w:val="en-US"/>
              </w:rPr>
              <w:t>Own funds needed for ensuring capital adequacy according to regulatory requirements</w:t>
            </w:r>
            <w:bookmarkEnd w:id="1282"/>
            <w:r w:rsidRPr="00537128">
              <w:rPr>
                <w:rFonts w:ascii="Calibri" w:eastAsia="Times New Roman" w:hAnsi="Calibri" w:cs="Arial"/>
                <w:b/>
                <w:bCs/>
                <w:sz w:val="20"/>
                <w:szCs w:val="20"/>
                <w:lang w:val="en-US"/>
              </w:rPr>
              <w:t xml:space="preserve"> </w:t>
            </w:r>
          </w:p>
        </w:tc>
        <w:tc>
          <w:tcPr>
            <w:tcW w:w="754" w:type="pct"/>
            <w:vAlign w:val="bottom"/>
          </w:tcPr>
          <w:p w14:paraId="4B94EAB4" w14:textId="1167E0DE" w:rsidR="00CD4849" w:rsidRPr="00537128" w:rsidRDefault="00CD4849" w:rsidP="00CD4849">
            <w:pPr>
              <w:tabs>
                <w:tab w:val="right" w:pos="1202"/>
              </w:tabs>
              <w:spacing w:after="0" w:line="240" w:lineRule="auto"/>
              <w:jc w:val="right"/>
              <w:outlineLvl w:val="0"/>
              <w:rPr>
                <w:rFonts w:ascii="Calibri" w:eastAsia="Times New Roman" w:hAnsi="Calibri" w:cs="Arial"/>
                <w:b/>
                <w:bCs/>
                <w:sz w:val="20"/>
                <w:szCs w:val="20"/>
                <w:lang w:val="en-US"/>
              </w:rPr>
            </w:pPr>
            <w:r>
              <w:rPr>
                <w:rFonts w:ascii="Calibri" w:eastAsia="Times New Roman" w:hAnsi="Calibri" w:cs="Arial"/>
                <w:b/>
                <w:bCs/>
                <w:sz w:val="20"/>
                <w:szCs w:val="20"/>
                <w:lang w:val="en-US"/>
              </w:rPr>
              <w:t>1,785,165</w:t>
            </w:r>
          </w:p>
        </w:tc>
        <w:tc>
          <w:tcPr>
            <w:tcW w:w="754" w:type="pct"/>
            <w:vAlign w:val="bottom"/>
          </w:tcPr>
          <w:p w14:paraId="2AFCC665" w14:textId="01048691" w:rsidR="00CD4849" w:rsidRPr="00537128" w:rsidRDefault="00CD4849" w:rsidP="00CD4849">
            <w:pPr>
              <w:tabs>
                <w:tab w:val="right" w:pos="1202"/>
              </w:tabs>
              <w:spacing w:after="0" w:line="240" w:lineRule="auto"/>
              <w:jc w:val="right"/>
              <w:outlineLvl w:val="0"/>
              <w:rPr>
                <w:rFonts w:ascii="Calibri" w:eastAsia="Times New Roman" w:hAnsi="Calibri" w:cs="Arial"/>
                <w:b/>
                <w:bCs/>
                <w:sz w:val="20"/>
                <w:szCs w:val="20"/>
                <w:lang w:val="en-US"/>
              </w:rPr>
            </w:pPr>
            <w:r w:rsidRPr="002C666D">
              <w:rPr>
                <w:rFonts w:cs="Arial"/>
                <w:b/>
                <w:bCs/>
                <w:sz w:val="20"/>
                <w:szCs w:val="20"/>
              </w:rPr>
              <w:t>1</w:t>
            </w:r>
            <w:r>
              <w:rPr>
                <w:rFonts w:cs="Arial"/>
                <w:b/>
                <w:bCs/>
                <w:sz w:val="20"/>
                <w:szCs w:val="20"/>
              </w:rPr>
              <w:t>,</w:t>
            </w:r>
            <w:r w:rsidRPr="002C666D">
              <w:rPr>
                <w:rFonts w:cs="Arial"/>
                <w:b/>
                <w:bCs/>
                <w:sz w:val="20"/>
                <w:szCs w:val="20"/>
              </w:rPr>
              <w:t>901</w:t>
            </w:r>
            <w:r>
              <w:rPr>
                <w:rFonts w:cs="Arial"/>
                <w:b/>
                <w:bCs/>
                <w:sz w:val="20"/>
                <w:szCs w:val="20"/>
              </w:rPr>
              <w:t>,</w:t>
            </w:r>
            <w:r w:rsidRPr="002C666D">
              <w:rPr>
                <w:rFonts w:cs="Arial"/>
                <w:b/>
                <w:bCs/>
                <w:sz w:val="20"/>
                <w:szCs w:val="20"/>
              </w:rPr>
              <w:t>075</w:t>
            </w:r>
          </w:p>
        </w:tc>
        <w:tc>
          <w:tcPr>
            <w:tcW w:w="754" w:type="pct"/>
            <w:vAlign w:val="bottom"/>
          </w:tcPr>
          <w:p w14:paraId="3E53E3B6" w14:textId="5F47A5B8" w:rsidR="00CD4849" w:rsidRPr="00537128" w:rsidRDefault="00CD4849" w:rsidP="00CD4849">
            <w:pPr>
              <w:tabs>
                <w:tab w:val="right" w:pos="1202"/>
              </w:tabs>
              <w:spacing w:after="0" w:line="240" w:lineRule="auto"/>
              <w:jc w:val="right"/>
              <w:outlineLvl w:val="0"/>
              <w:rPr>
                <w:rFonts w:ascii="Calibri" w:eastAsia="Times New Roman" w:hAnsi="Calibri" w:cs="Arial"/>
                <w:b/>
                <w:bCs/>
                <w:sz w:val="20"/>
                <w:szCs w:val="20"/>
                <w:lang w:val="en-US"/>
              </w:rPr>
            </w:pPr>
            <w:r>
              <w:rPr>
                <w:rFonts w:ascii="Calibri" w:eastAsia="Times New Roman" w:hAnsi="Calibri" w:cs="Arial"/>
                <w:b/>
                <w:bCs/>
                <w:sz w:val="20"/>
                <w:szCs w:val="20"/>
                <w:lang w:val="en-US"/>
              </w:rPr>
              <w:t>1,781,711</w:t>
            </w:r>
          </w:p>
        </w:tc>
        <w:tc>
          <w:tcPr>
            <w:tcW w:w="754" w:type="pct"/>
            <w:vAlign w:val="bottom"/>
          </w:tcPr>
          <w:p w14:paraId="3353A0D9" w14:textId="08A5DEC5" w:rsidR="00CD4849" w:rsidRPr="00537128" w:rsidRDefault="00CD4849" w:rsidP="00CD4849">
            <w:pPr>
              <w:tabs>
                <w:tab w:val="right" w:pos="1202"/>
              </w:tabs>
              <w:spacing w:after="0" w:line="240" w:lineRule="auto"/>
              <w:jc w:val="right"/>
              <w:outlineLvl w:val="0"/>
              <w:rPr>
                <w:rFonts w:ascii="Calibri" w:eastAsia="Times New Roman" w:hAnsi="Calibri" w:cs="Arial"/>
                <w:b/>
                <w:bCs/>
                <w:sz w:val="20"/>
                <w:szCs w:val="20"/>
                <w:lang w:val="en-US"/>
              </w:rPr>
            </w:pPr>
            <w:r w:rsidRPr="003A3DB0">
              <w:rPr>
                <w:rFonts w:cs="Arial"/>
                <w:b/>
                <w:bCs/>
                <w:color w:val="000000" w:themeColor="text1"/>
                <w:sz w:val="20"/>
              </w:rPr>
              <w:t>1</w:t>
            </w:r>
            <w:r>
              <w:rPr>
                <w:rFonts w:cs="Arial"/>
                <w:b/>
                <w:bCs/>
                <w:color w:val="000000" w:themeColor="text1"/>
                <w:sz w:val="20"/>
              </w:rPr>
              <w:t>,</w:t>
            </w:r>
            <w:r w:rsidRPr="003A3DB0">
              <w:rPr>
                <w:rFonts w:cs="Arial"/>
                <w:b/>
                <w:bCs/>
                <w:color w:val="000000" w:themeColor="text1"/>
                <w:sz w:val="20"/>
              </w:rPr>
              <w:t>894</w:t>
            </w:r>
            <w:r>
              <w:rPr>
                <w:rFonts w:cs="Arial"/>
                <w:b/>
                <w:bCs/>
                <w:color w:val="000000" w:themeColor="text1"/>
                <w:sz w:val="20"/>
              </w:rPr>
              <w:t>,</w:t>
            </w:r>
            <w:r w:rsidRPr="003A3DB0">
              <w:rPr>
                <w:rFonts w:cs="Arial"/>
                <w:b/>
                <w:bCs/>
                <w:color w:val="000000" w:themeColor="text1"/>
                <w:sz w:val="20"/>
              </w:rPr>
              <w:t>177</w:t>
            </w:r>
          </w:p>
        </w:tc>
      </w:tr>
    </w:tbl>
    <w:p w14:paraId="0A570675" w14:textId="77777777" w:rsidR="00D27961" w:rsidRPr="00537128" w:rsidRDefault="00D27961" w:rsidP="00D27961">
      <w:pPr>
        <w:spacing w:after="0" w:line="240" w:lineRule="auto"/>
        <w:jc w:val="both"/>
        <w:rPr>
          <w:rFonts w:ascii="Calibri" w:eastAsia="Times New Roman" w:hAnsi="Calibri" w:cs="Arial"/>
          <w:lang w:val="en-US"/>
        </w:rPr>
      </w:pPr>
    </w:p>
    <w:p w14:paraId="4924BA31" w14:textId="77777777" w:rsidR="00D27961" w:rsidRPr="00537128" w:rsidRDefault="00D27961" w:rsidP="00D27961">
      <w:pPr>
        <w:spacing w:after="0" w:line="240" w:lineRule="auto"/>
        <w:jc w:val="both"/>
        <w:rPr>
          <w:rFonts w:ascii="Calibri" w:eastAsia="Times New Roman" w:hAnsi="Calibri" w:cs="Arial"/>
          <w:lang w:val="en-US"/>
        </w:rPr>
      </w:pPr>
    </w:p>
    <w:p w14:paraId="2107CD4F" w14:textId="77777777" w:rsidR="00D27961" w:rsidRPr="00537128" w:rsidRDefault="00D27961" w:rsidP="008F335F">
      <w:pPr>
        <w:spacing w:after="0" w:line="240" w:lineRule="auto"/>
        <w:jc w:val="both"/>
        <w:rPr>
          <w:rFonts w:ascii="Calibri" w:eastAsia="Times New Roman" w:hAnsi="Calibri" w:cs="Arial"/>
          <w:lang w:val="en-US"/>
        </w:rPr>
        <w:sectPr w:rsidR="00D27961" w:rsidRPr="00537128" w:rsidSect="00712478">
          <w:pgSz w:w="11906" w:h="16838"/>
          <w:pgMar w:top="1418" w:right="1134" w:bottom="1418" w:left="1418" w:header="709" w:footer="709" w:gutter="0"/>
          <w:cols w:space="708"/>
          <w:docGrid w:linePitch="360"/>
        </w:sectPr>
      </w:pPr>
    </w:p>
    <w:p w14:paraId="24DD365B" w14:textId="77777777" w:rsidR="007A4597" w:rsidRDefault="007A4597" w:rsidP="00D27961">
      <w:pPr>
        <w:tabs>
          <w:tab w:val="left" w:pos="709"/>
        </w:tabs>
        <w:spacing w:after="0" w:line="240" w:lineRule="auto"/>
        <w:jc w:val="both"/>
        <w:rPr>
          <w:rFonts w:ascii="Calibri" w:eastAsia="Times New Roman" w:hAnsi="Calibri" w:cs="Arial"/>
          <w:b/>
          <w:spacing w:val="-3"/>
          <w:lang w:val="en-US"/>
        </w:rPr>
      </w:pPr>
    </w:p>
    <w:p w14:paraId="0EB50E80" w14:textId="0A975EC8" w:rsidR="007A4597" w:rsidRPr="007A4597" w:rsidRDefault="007A4597" w:rsidP="007A4597">
      <w:pPr>
        <w:pStyle w:val="T1"/>
        <w:keepNext w:val="0"/>
        <w:spacing w:before="0" w:after="0" w:line="240" w:lineRule="auto"/>
        <w:rPr>
          <w:rFonts w:asciiTheme="minorHAnsi" w:hAnsiTheme="minorHAnsi" w:cstheme="minorHAnsi"/>
          <w:bCs w:val="0"/>
          <w:sz w:val="22"/>
          <w:szCs w:val="22"/>
          <w:highlight w:val="yellow"/>
          <w:lang w:val="en-GB"/>
        </w:rPr>
      </w:pPr>
      <w:r w:rsidRPr="007A4597">
        <w:rPr>
          <w:rFonts w:ascii="Calibri" w:hAnsi="Calibri" w:cs="Arial"/>
          <w:bCs w:val="0"/>
          <w:spacing w:val="-3"/>
          <w:sz w:val="22"/>
          <w:szCs w:val="22"/>
          <w:lang w:val="en-US"/>
        </w:rPr>
        <w:t xml:space="preserve">27. </w:t>
      </w:r>
      <w:r>
        <w:rPr>
          <w:rFonts w:ascii="Calibri" w:hAnsi="Calibri" w:cs="Arial"/>
          <w:bCs w:val="0"/>
          <w:spacing w:val="-3"/>
          <w:sz w:val="22"/>
          <w:szCs w:val="22"/>
          <w:lang w:val="en-US"/>
        </w:rPr>
        <w:tab/>
      </w:r>
      <w:r w:rsidRPr="007A4597">
        <w:rPr>
          <w:rFonts w:asciiTheme="minorHAnsi" w:hAnsiTheme="minorHAnsi" w:cstheme="minorHAnsi"/>
          <w:bCs w:val="0"/>
          <w:sz w:val="22"/>
          <w:szCs w:val="22"/>
        </w:rPr>
        <w:t>Events after the reporting period date</w:t>
      </w:r>
    </w:p>
    <w:p w14:paraId="6C037AE9" w14:textId="52F9F20E" w:rsidR="007A4597" w:rsidRDefault="007A4597" w:rsidP="00D27961">
      <w:pPr>
        <w:tabs>
          <w:tab w:val="left" w:pos="709"/>
        </w:tabs>
        <w:spacing w:after="0" w:line="240" w:lineRule="auto"/>
        <w:jc w:val="both"/>
        <w:rPr>
          <w:rFonts w:ascii="Calibri" w:eastAsia="Times New Roman" w:hAnsi="Calibri" w:cs="Arial"/>
          <w:b/>
          <w:spacing w:val="-3"/>
          <w:lang w:val="en-US"/>
        </w:rPr>
      </w:pPr>
    </w:p>
    <w:p w14:paraId="42C9F3FC" w14:textId="1715FDCC" w:rsidR="00625ECB" w:rsidRDefault="00625ECB" w:rsidP="00625ECB">
      <w:pPr>
        <w:spacing w:after="0" w:line="240" w:lineRule="auto"/>
        <w:jc w:val="both"/>
        <w:rPr>
          <w:lang w:val="en-GB"/>
        </w:rPr>
      </w:pPr>
      <w:r w:rsidRPr="00B9224A">
        <w:rPr>
          <w:lang w:val="en-GB"/>
        </w:rPr>
        <w:t xml:space="preserve">After the reporting period, on 17 May 2022, HBOR signed a loan </w:t>
      </w:r>
      <w:r>
        <w:rPr>
          <w:lang w:val="en-GB"/>
        </w:rPr>
        <w:t>contract</w:t>
      </w:r>
      <w:r w:rsidRPr="00B9224A">
        <w:rPr>
          <w:lang w:val="en-GB"/>
        </w:rPr>
        <w:t xml:space="preserve"> with the Council of Europe Development Bank (CEB) in the amount of EUR 200 million </w:t>
      </w:r>
      <w:r>
        <w:rPr>
          <w:lang w:val="en-GB"/>
        </w:rPr>
        <w:t xml:space="preserve">for the promotion of </w:t>
      </w:r>
      <w:r w:rsidRPr="00B9224A">
        <w:rPr>
          <w:lang w:val="en-GB"/>
        </w:rPr>
        <w:t xml:space="preserve">economic growth and assistance for recovery and reconstruction </w:t>
      </w:r>
      <w:r>
        <w:rPr>
          <w:lang w:val="en-GB"/>
        </w:rPr>
        <w:t>after</w:t>
      </w:r>
      <w:r w:rsidRPr="00B9224A">
        <w:rPr>
          <w:lang w:val="en-GB"/>
        </w:rPr>
        <w:t xml:space="preserve"> the earthquake</w:t>
      </w:r>
      <w:r>
        <w:rPr>
          <w:lang w:val="en-GB"/>
        </w:rPr>
        <w:t>s</w:t>
      </w:r>
      <w:r w:rsidRPr="00B9224A">
        <w:rPr>
          <w:lang w:val="en-GB"/>
        </w:rPr>
        <w:t xml:space="preserve"> in Croatia. The </w:t>
      </w:r>
      <w:r>
        <w:rPr>
          <w:lang w:val="en-GB"/>
        </w:rPr>
        <w:t>proceeds</w:t>
      </w:r>
      <w:r w:rsidRPr="00B9224A">
        <w:rPr>
          <w:lang w:val="en-GB"/>
        </w:rPr>
        <w:t xml:space="preserve"> of this loan will be used for financing under existing financ</w:t>
      </w:r>
      <w:r>
        <w:rPr>
          <w:lang w:val="en-GB"/>
        </w:rPr>
        <w:t>e</w:t>
      </w:r>
      <w:r w:rsidRPr="00B9224A">
        <w:rPr>
          <w:lang w:val="en-GB"/>
        </w:rPr>
        <w:t xml:space="preserve"> program</w:t>
      </w:r>
      <w:r>
        <w:rPr>
          <w:lang w:val="en-GB"/>
        </w:rPr>
        <w:t>me</w:t>
      </w:r>
      <w:r w:rsidRPr="00B9224A">
        <w:rPr>
          <w:lang w:val="en-GB"/>
        </w:rPr>
        <w:t>s, but also for projects that will be financed within the National Recovery and Resilience Plan (N</w:t>
      </w:r>
      <w:r>
        <w:rPr>
          <w:lang w:val="en-GB"/>
        </w:rPr>
        <w:t>RR</w:t>
      </w:r>
      <w:r w:rsidRPr="00B9224A">
        <w:rPr>
          <w:lang w:val="en-GB"/>
        </w:rPr>
        <w:t>P).</w:t>
      </w:r>
    </w:p>
    <w:p w14:paraId="41B62A17" w14:textId="77777777" w:rsidR="00625ECB" w:rsidRPr="00B9224A" w:rsidRDefault="00625ECB" w:rsidP="00625ECB">
      <w:pPr>
        <w:spacing w:after="0" w:line="240" w:lineRule="auto"/>
        <w:jc w:val="both"/>
        <w:rPr>
          <w:lang w:val="en-GB"/>
        </w:rPr>
      </w:pPr>
    </w:p>
    <w:p w14:paraId="58A1D300" w14:textId="047989ED" w:rsidR="00625ECB" w:rsidRDefault="00625ECB" w:rsidP="00625ECB">
      <w:pPr>
        <w:spacing w:after="0" w:line="240" w:lineRule="auto"/>
        <w:jc w:val="both"/>
        <w:rPr>
          <w:lang w:val="en-GB"/>
        </w:rPr>
      </w:pPr>
      <w:r w:rsidRPr="00B9224A">
        <w:rPr>
          <w:lang w:val="en-GB"/>
        </w:rPr>
        <w:t xml:space="preserve">Through HBOR, the CEB loan will be </w:t>
      </w:r>
      <w:r>
        <w:rPr>
          <w:lang w:val="en-GB"/>
        </w:rPr>
        <w:t>placed</w:t>
      </w:r>
      <w:r w:rsidRPr="00B9224A">
        <w:rPr>
          <w:lang w:val="en-GB"/>
        </w:rPr>
        <w:t xml:space="preserve"> directly to the end users for partial financing of the development and </w:t>
      </w:r>
      <w:r>
        <w:rPr>
          <w:lang w:val="en-GB"/>
        </w:rPr>
        <w:t xml:space="preserve">upgrading </w:t>
      </w:r>
      <w:r w:rsidRPr="00B9224A">
        <w:rPr>
          <w:lang w:val="en-GB"/>
        </w:rPr>
        <w:t xml:space="preserve">of local and regional infrastructure, such as water supply, sewerage and wastewater treatment networks, local roads, educational, </w:t>
      </w:r>
      <w:proofErr w:type="gramStart"/>
      <w:r w:rsidRPr="00B9224A">
        <w:rPr>
          <w:lang w:val="en-GB"/>
        </w:rPr>
        <w:t>cultural</w:t>
      </w:r>
      <w:proofErr w:type="gramEnd"/>
      <w:r w:rsidRPr="00B9224A">
        <w:rPr>
          <w:lang w:val="en-GB"/>
        </w:rPr>
        <w:t xml:space="preserve"> and other communal facilities.</w:t>
      </w:r>
    </w:p>
    <w:p w14:paraId="45AD0D35" w14:textId="77777777" w:rsidR="00625ECB" w:rsidRPr="00B9224A" w:rsidRDefault="00625ECB" w:rsidP="00625ECB">
      <w:pPr>
        <w:spacing w:after="0" w:line="240" w:lineRule="auto"/>
        <w:jc w:val="both"/>
        <w:rPr>
          <w:lang w:val="en-GB"/>
        </w:rPr>
      </w:pPr>
    </w:p>
    <w:p w14:paraId="532899A4" w14:textId="77777777" w:rsidR="00625ECB" w:rsidRPr="00B9224A" w:rsidRDefault="00625ECB" w:rsidP="00625ECB">
      <w:pPr>
        <w:spacing w:after="0" w:line="240" w:lineRule="auto"/>
        <w:jc w:val="both"/>
        <w:rPr>
          <w:lang w:val="en-GB"/>
        </w:rPr>
      </w:pPr>
      <w:r w:rsidRPr="00B9224A">
        <w:rPr>
          <w:lang w:val="en-GB"/>
        </w:rPr>
        <w:t>In addition, the loan will enable HBOR to support micro, small and medium-sized enterprises (MSMEs), create new and preserve existing jobs, and finance the re</w:t>
      </w:r>
      <w:r>
        <w:rPr>
          <w:lang w:val="en-GB"/>
        </w:rPr>
        <w:t xml:space="preserve">construction of and equipment for </w:t>
      </w:r>
      <w:r w:rsidRPr="00B9224A">
        <w:rPr>
          <w:lang w:val="en-GB"/>
        </w:rPr>
        <w:t>infrastructure and buildings damaged in the earthquake.</w:t>
      </w:r>
    </w:p>
    <w:p w14:paraId="7A21B069" w14:textId="77777777" w:rsidR="007A4597" w:rsidRDefault="007A4597" w:rsidP="00625ECB">
      <w:pPr>
        <w:tabs>
          <w:tab w:val="left" w:pos="709"/>
        </w:tabs>
        <w:spacing w:after="0" w:line="240" w:lineRule="auto"/>
        <w:jc w:val="both"/>
        <w:rPr>
          <w:rFonts w:ascii="Calibri" w:eastAsia="Times New Roman" w:hAnsi="Calibri" w:cs="Arial"/>
          <w:b/>
          <w:spacing w:val="-3"/>
          <w:lang w:val="en-US"/>
        </w:rPr>
      </w:pPr>
    </w:p>
    <w:p w14:paraId="4C8ABC01" w14:textId="77777777" w:rsidR="007A4597" w:rsidRDefault="007A4597" w:rsidP="00625ECB">
      <w:pPr>
        <w:tabs>
          <w:tab w:val="left" w:pos="709"/>
        </w:tabs>
        <w:spacing w:after="0" w:line="240" w:lineRule="auto"/>
        <w:jc w:val="both"/>
        <w:rPr>
          <w:rFonts w:ascii="Calibri" w:eastAsia="Times New Roman" w:hAnsi="Calibri" w:cs="Arial"/>
          <w:b/>
          <w:spacing w:val="-3"/>
          <w:lang w:val="en-US"/>
        </w:rPr>
      </w:pPr>
    </w:p>
    <w:p w14:paraId="29E591C4" w14:textId="77777777" w:rsidR="007A4597" w:rsidRDefault="007A4597" w:rsidP="00625ECB">
      <w:pPr>
        <w:tabs>
          <w:tab w:val="left" w:pos="709"/>
        </w:tabs>
        <w:spacing w:after="0" w:line="240" w:lineRule="auto"/>
        <w:jc w:val="both"/>
        <w:rPr>
          <w:rFonts w:ascii="Calibri" w:eastAsia="Times New Roman" w:hAnsi="Calibri" w:cs="Arial"/>
          <w:b/>
          <w:spacing w:val="-3"/>
          <w:lang w:val="en-US"/>
        </w:rPr>
      </w:pPr>
    </w:p>
    <w:p w14:paraId="31184E2E" w14:textId="015B62AF" w:rsidR="007A4597" w:rsidRDefault="007A4597" w:rsidP="00D27961">
      <w:pPr>
        <w:tabs>
          <w:tab w:val="left" w:pos="709"/>
        </w:tabs>
        <w:spacing w:after="0" w:line="240" w:lineRule="auto"/>
        <w:jc w:val="both"/>
        <w:rPr>
          <w:rFonts w:ascii="Calibri" w:eastAsia="Times New Roman" w:hAnsi="Calibri" w:cs="Arial"/>
          <w:b/>
          <w:spacing w:val="-3"/>
          <w:lang w:val="en-US"/>
        </w:rPr>
        <w:sectPr w:rsidR="007A4597" w:rsidSect="00712478">
          <w:headerReference w:type="default" r:id="rId35"/>
          <w:pgSz w:w="11906" w:h="16838"/>
          <w:pgMar w:top="1418" w:right="1134" w:bottom="1418" w:left="1418" w:header="709" w:footer="709" w:gutter="0"/>
          <w:cols w:space="708"/>
          <w:docGrid w:linePitch="360"/>
        </w:sectPr>
      </w:pPr>
    </w:p>
    <w:p w14:paraId="1B44986C" w14:textId="695D0867" w:rsidR="00CD1658" w:rsidRPr="00537128" w:rsidRDefault="00CD1658" w:rsidP="00D27961">
      <w:pPr>
        <w:tabs>
          <w:tab w:val="left" w:pos="709"/>
        </w:tabs>
        <w:spacing w:after="0" w:line="240" w:lineRule="auto"/>
        <w:jc w:val="both"/>
        <w:rPr>
          <w:rFonts w:ascii="Calibri" w:eastAsia="Times New Roman" w:hAnsi="Calibri" w:cs="Arial"/>
          <w:b/>
          <w:spacing w:val="-3"/>
          <w:lang w:val="en-US"/>
        </w:rPr>
      </w:pPr>
    </w:p>
    <w:tbl>
      <w:tblPr>
        <w:tblpPr w:leftFromText="181" w:rightFromText="181" w:vertAnchor="page" w:horzAnchor="margin" w:tblpY="2580"/>
        <w:tblOverlap w:val="never"/>
        <w:tblW w:w="9201" w:type="dxa"/>
        <w:tblLayout w:type="fixed"/>
        <w:tblLook w:val="04A0" w:firstRow="1" w:lastRow="0" w:firstColumn="1" w:lastColumn="0" w:noHBand="0" w:noVBand="1"/>
      </w:tblPr>
      <w:tblGrid>
        <w:gridCol w:w="6524"/>
        <w:gridCol w:w="1433"/>
        <w:gridCol w:w="1244"/>
      </w:tblGrid>
      <w:tr w:rsidR="00B66149" w:rsidRPr="00537128" w14:paraId="0520A137" w14:textId="77777777" w:rsidTr="001E7D22">
        <w:trPr>
          <w:trHeight w:val="64"/>
        </w:trPr>
        <w:tc>
          <w:tcPr>
            <w:tcW w:w="6524" w:type="dxa"/>
            <w:vAlign w:val="bottom"/>
          </w:tcPr>
          <w:p w14:paraId="3097C45B" w14:textId="77777777" w:rsidR="00B66149" w:rsidRPr="00537128" w:rsidRDefault="00B66149" w:rsidP="001E7D22">
            <w:pPr>
              <w:spacing w:after="0" w:line="220" w:lineRule="exact"/>
              <w:rPr>
                <w:rFonts w:ascii="Calibri" w:eastAsia="Times New Roman" w:hAnsi="Calibri" w:cs="Arial"/>
                <w:b/>
                <w:bCs/>
                <w:sz w:val="18"/>
                <w:szCs w:val="18"/>
                <w:lang w:val="en-US"/>
              </w:rPr>
            </w:pPr>
          </w:p>
        </w:tc>
        <w:tc>
          <w:tcPr>
            <w:tcW w:w="1433" w:type="dxa"/>
            <w:noWrap/>
            <w:vAlign w:val="bottom"/>
            <w:hideMark/>
          </w:tcPr>
          <w:p w14:paraId="4954AFB3" w14:textId="5FBC7073" w:rsidR="00B66149" w:rsidRPr="00537128" w:rsidRDefault="00B66149" w:rsidP="001E7D2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Mar 31, 202</w:t>
            </w:r>
            <w:r w:rsidR="004A29BB">
              <w:rPr>
                <w:rFonts w:ascii="Calibri" w:eastAsia="Times New Roman" w:hAnsi="Calibri" w:cs="Arial"/>
                <w:b/>
                <w:bCs/>
                <w:sz w:val="18"/>
                <w:szCs w:val="18"/>
                <w:lang w:val="en-US"/>
              </w:rPr>
              <w:t>2</w:t>
            </w:r>
          </w:p>
        </w:tc>
        <w:tc>
          <w:tcPr>
            <w:tcW w:w="1244" w:type="dxa"/>
            <w:hideMark/>
          </w:tcPr>
          <w:p w14:paraId="50E53B4C" w14:textId="6699A956" w:rsidR="00B66149" w:rsidRPr="00537128" w:rsidRDefault="00B66149" w:rsidP="001E7D2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Mar 31, 202</w:t>
            </w:r>
            <w:r w:rsidR="004A29BB">
              <w:rPr>
                <w:rFonts w:ascii="Calibri" w:eastAsia="Times New Roman" w:hAnsi="Calibri" w:cs="Arial"/>
                <w:b/>
                <w:bCs/>
                <w:sz w:val="18"/>
                <w:szCs w:val="18"/>
                <w:lang w:val="en-US"/>
              </w:rPr>
              <w:t>1</w:t>
            </w:r>
          </w:p>
        </w:tc>
      </w:tr>
      <w:tr w:rsidR="00B66149" w:rsidRPr="00537128" w14:paraId="23052C3D" w14:textId="77777777" w:rsidTr="001E7D22">
        <w:trPr>
          <w:trHeight w:val="52"/>
        </w:trPr>
        <w:tc>
          <w:tcPr>
            <w:tcW w:w="6524" w:type="dxa"/>
            <w:vAlign w:val="bottom"/>
          </w:tcPr>
          <w:p w14:paraId="4FD55CD9" w14:textId="77777777" w:rsidR="00B66149" w:rsidRPr="00537128" w:rsidRDefault="00B66149" w:rsidP="001E7D22">
            <w:pPr>
              <w:spacing w:after="0" w:line="220" w:lineRule="exact"/>
              <w:rPr>
                <w:rFonts w:ascii="Calibri" w:eastAsia="Times New Roman" w:hAnsi="Calibri" w:cs="Arial"/>
                <w:b/>
                <w:bCs/>
                <w:sz w:val="18"/>
                <w:szCs w:val="18"/>
                <w:lang w:val="en-US"/>
              </w:rPr>
            </w:pPr>
          </w:p>
        </w:tc>
        <w:tc>
          <w:tcPr>
            <w:tcW w:w="1433" w:type="dxa"/>
            <w:noWrap/>
            <w:vAlign w:val="bottom"/>
            <w:hideMark/>
          </w:tcPr>
          <w:p w14:paraId="4757CE91" w14:textId="77777777" w:rsidR="00B66149" w:rsidRPr="00537128" w:rsidRDefault="00B66149" w:rsidP="001E7D2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HRK ‘000</w:t>
            </w:r>
          </w:p>
        </w:tc>
        <w:tc>
          <w:tcPr>
            <w:tcW w:w="1244" w:type="dxa"/>
            <w:hideMark/>
          </w:tcPr>
          <w:p w14:paraId="0E9C736F" w14:textId="77777777" w:rsidR="00B66149" w:rsidRPr="00537128" w:rsidRDefault="00B66149" w:rsidP="001E7D2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HRK ‘000</w:t>
            </w:r>
          </w:p>
        </w:tc>
      </w:tr>
      <w:tr w:rsidR="00B66149" w:rsidRPr="00537128" w14:paraId="53A49B13" w14:textId="77777777" w:rsidTr="001E7D22">
        <w:trPr>
          <w:trHeight w:val="32"/>
        </w:trPr>
        <w:tc>
          <w:tcPr>
            <w:tcW w:w="6524" w:type="dxa"/>
            <w:vAlign w:val="bottom"/>
          </w:tcPr>
          <w:p w14:paraId="187EDB82" w14:textId="77777777" w:rsidR="00B66149" w:rsidRPr="00537128" w:rsidRDefault="00B66149" w:rsidP="001E7D22">
            <w:pPr>
              <w:spacing w:after="0" w:line="140" w:lineRule="exact"/>
              <w:rPr>
                <w:rFonts w:ascii="Calibri" w:eastAsia="Times New Roman" w:hAnsi="Calibri" w:cs="Arial"/>
                <w:sz w:val="18"/>
                <w:szCs w:val="18"/>
                <w:lang w:val="en-US"/>
              </w:rPr>
            </w:pPr>
          </w:p>
        </w:tc>
        <w:tc>
          <w:tcPr>
            <w:tcW w:w="1433" w:type="dxa"/>
            <w:noWrap/>
            <w:vAlign w:val="bottom"/>
          </w:tcPr>
          <w:p w14:paraId="55B7B84E" w14:textId="77777777" w:rsidR="00B66149" w:rsidRPr="00537128" w:rsidRDefault="00B66149" w:rsidP="001E7D22">
            <w:pPr>
              <w:spacing w:after="0" w:line="140" w:lineRule="exact"/>
              <w:rPr>
                <w:rFonts w:ascii="Calibri" w:eastAsia="Times New Roman" w:hAnsi="Calibri" w:cs="Arial"/>
                <w:sz w:val="18"/>
                <w:szCs w:val="18"/>
                <w:lang w:val="en-US"/>
              </w:rPr>
            </w:pPr>
          </w:p>
        </w:tc>
        <w:tc>
          <w:tcPr>
            <w:tcW w:w="1244" w:type="dxa"/>
          </w:tcPr>
          <w:p w14:paraId="04267D61" w14:textId="77777777" w:rsidR="00B66149" w:rsidRPr="00537128" w:rsidRDefault="00B66149" w:rsidP="001E7D22">
            <w:pPr>
              <w:spacing w:after="0" w:line="140" w:lineRule="exact"/>
              <w:rPr>
                <w:rFonts w:ascii="Calibri" w:eastAsia="Times New Roman" w:hAnsi="Calibri" w:cs="Arial"/>
                <w:sz w:val="18"/>
                <w:szCs w:val="18"/>
                <w:lang w:val="en-US"/>
              </w:rPr>
            </w:pPr>
          </w:p>
        </w:tc>
      </w:tr>
      <w:tr w:rsidR="00B66149" w:rsidRPr="00537128" w14:paraId="3597A393" w14:textId="77777777" w:rsidTr="001E7D22">
        <w:trPr>
          <w:trHeight w:val="60"/>
        </w:trPr>
        <w:tc>
          <w:tcPr>
            <w:tcW w:w="6524" w:type="dxa"/>
            <w:vAlign w:val="bottom"/>
            <w:hideMark/>
          </w:tcPr>
          <w:p w14:paraId="6CDE0184" w14:textId="77777777" w:rsidR="00B66149" w:rsidRPr="00537128" w:rsidRDefault="00B66149" w:rsidP="001E7D22">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Premium earned</w:t>
            </w:r>
          </w:p>
        </w:tc>
        <w:tc>
          <w:tcPr>
            <w:tcW w:w="1433" w:type="dxa"/>
            <w:noWrap/>
            <w:vAlign w:val="bottom"/>
          </w:tcPr>
          <w:p w14:paraId="1BED0816" w14:textId="77777777" w:rsidR="00B66149" w:rsidRPr="00537128" w:rsidRDefault="00B66149" w:rsidP="001E7D22">
            <w:pPr>
              <w:spacing w:after="0" w:line="220" w:lineRule="exact"/>
              <w:jc w:val="right"/>
              <w:rPr>
                <w:rFonts w:ascii="Calibri" w:eastAsia="Times New Roman" w:hAnsi="Calibri" w:cs="Arial"/>
                <w:sz w:val="18"/>
                <w:szCs w:val="18"/>
                <w:lang w:val="en-US"/>
              </w:rPr>
            </w:pPr>
          </w:p>
        </w:tc>
        <w:tc>
          <w:tcPr>
            <w:tcW w:w="1244" w:type="dxa"/>
          </w:tcPr>
          <w:p w14:paraId="6F5BF374" w14:textId="77777777" w:rsidR="00B66149" w:rsidRPr="00537128" w:rsidRDefault="00B66149" w:rsidP="001E7D22">
            <w:pPr>
              <w:spacing w:after="0" w:line="220" w:lineRule="exact"/>
              <w:jc w:val="right"/>
              <w:rPr>
                <w:rFonts w:ascii="Calibri" w:eastAsia="Times New Roman" w:hAnsi="Calibri" w:cs="Arial"/>
                <w:sz w:val="18"/>
                <w:szCs w:val="18"/>
                <w:lang w:val="en-US"/>
              </w:rPr>
            </w:pPr>
          </w:p>
        </w:tc>
      </w:tr>
      <w:tr w:rsidR="00172B81" w:rsidRPr="00537128" w14:paraId="057FD08A" w14:textId="77777777" w:rsidTr="0090206D">
        <w:trPr>
          <w:trHeight w:val="35"/>
        </w:trPr>
        <w:tc>
          <w:tcPr>
            <w:tcW w:w="6524" w:type="dxa"/>
            <w:vAlign w:val="bottom"/>
            <w:hideMark/>
          </w:tcPr>
          <w:p w14:paraId="156B10C0" w14:textId="77777777" w:rsidR="00172B81" w:rsidRPr="00537128" w:rsidRDefault="00172B81" w:rsidP="00172B81">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Gross premium written</w:t>
            </w:r>
          </w:p>
        </w:tc>
        <w:tc>
          <w:tcPr>
            <w:tcW w:w="1433" w:type="dxa"/>
            <w:tcBorders>
              <w:top w:val="nil"/>
              <w:left w:val="nil"/>
              <w:bottom w:val="nil"/>
              <w:right w:val="nil"/>
            </w:tcBorders>
            <w:shd w:val="clear" w:color="auto" w:fill="auto"/>
            <w:noWrap/>
          </w:tcPr>
          <w:p w14:paraId="476E6121" w14:textId="13B9972B" w:rsidR="00172B81" w:rsidRPr="00537128" w:rsidRDefault="00172B81" w:rsidP="00172B81">
            <w:pPr>
              <w:spacing w:after="0" w:line="220" w:lineRule="exact"/>
              <w:jc w:val="right"/>
              <w:rPr>
                <w:rFonts w:ascii="Calibri" w:eastAsia="Times New Roman" w:hAnsi="Calibri" w:cs="Arial"/>
                <w:sz w:val="18"/>
                <w:szCs w:val="18"/>
                <w:lang w:val="en-US"/>
              </w:rPr>
            </w:pPr>
            <w:r w:rsidRPr="002432DC">
              <w:rPr>
                <w:rFonts w:ascii="Calibri" w:hAnsi="Calibri" w:cs="Arial"/>
                <w:color w:val="000000"/>
                <w:sz w:val="18"/>
                <w:szCs w:val="18"/>
              </w:rPr>
              <w:t>4</w:t>
            </w:r>
            <w:r>
              <w:rPr>
                <w:rFonts w:ascii="Calibri" w:hAnsi="Calibri" w:cs="Arial"/>
                <w:color w:val="000000"/>
                <w:sz w:val="18"/>
                <w:szCs w:val="18"/>
              </w:rPr>
              <w:t>,</w:t>
            </w:r>
            <w:r w:rsidRPr="002432DC">
              <w:rPr>
                <w:rFonts w:ascii="Calibri" w:hAnsi="Calibri" w:cs="Arial"/>
                <w:color w:val="000000"/>
                <w:sz w:val="18"/>
                <w:szCs w:val="18"/>
              </w:rPr>
              <w:t>592</w:t>
            </w:r>
          </w:p>
        </w:tc>
        <w:tc>
          <w:tcPr>
            <w:tcW w:w="1244" w:type="dxa"/>
            <w:tcBorders>
              <w:top w:val="nil"/>
              <w:left w:val="nil"/>
              <w:bottom w:val="nil"/>
              <w:right w:val="nil"/>
            </w:tcBorders>
            <w:shd w:val="clear" w:color="auto" w:fill="auto"/>
            <w:vAlign w:val="center"/>
          </w:tcPr>
          <w:p w14:paraId="7090FE7C" w14:textId="58F5FF8F" w:rsidR="00172B81" w:rsidRPr="00537128" w:rsidRDefault="00172B81" w:rsidP="00172B8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3,359</w:t>
            </w:r>
          </w:p>
        </w:tc>
      </w:tr>
      <w:tr w:rsidR="00172B81" w:rsidRPr="00537128" w14:paraId="6314C02E" w14:textId="77777777" w:rsidTr="0090206D">
        <w:trPr>
          <w:trHeight w:val="100"/>
        </w:trPr>
        <w:tc>
          <w:tcPr>
            <w:tcW w:w="6524" w:type="dxa"/>
            <w:vAlign w:val="bottom"/>
            <w:hideMark/>
          </w:tcPr>
          <w:p w14:paraId="136FEA6B" w14:textId="77777777" w:rsidR="00172B81" w:rsidRPr="00537128" w:rsidRDefault="00172B81" w:rsidP="00172B81">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Premium impairment allowance originated and reserved on collection</w:t>
            </w:r>
          </w:p>
        </w:tc>
        <w:tc>
          <w:tcPr>
            <w:tcW w:w="1433" w:type="dxa"/>
            <w:tcBorders>
              <w:top w:val="nil"/>
              <w:left w:val="nil"/>
              <w:bottom w:val="nil"/>
              <w:right w:val="nil"/>
            </w:tcBorders>
            <w:shd w:val="clear" w:color="auto" w:fill="auto"/>
            <w:noWrap/>
          </w:tcPr>
          <w:p w14:paraId="4780CBC2" w14:textId="46B568B1" w:rsidR="00172B81" w:rsidRPr="00537128" w:rsidRDefault="00172B81" w:rsidP="00172B8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w:t>
            </w:r>
            <w:r w:rsidRPr="002432DC">
              <w:rPr>
                <w:rFonts w:ascii="Calibri" w:hAnsi="Calibri" w:cs="Arial"/>
                <w:color w:val="000000"/>
                <w:sz w:val="18"/>
                <w:szCs w:val="18"/>
              </w:rPr>
              <w:t>24</w:t>
            </w:r>
            <w:r>
              <w:rPr>
                <w:rFonts w:ascii="Calibri" w:hAnsi="Calibri" w:cs="Arial"/>
                <w:color w:val="000000"/>
                <w:sz w:val="18"/>
                <w:szCs w:val="18"/>
              </w:rPr>
              <w:t>)</w:t>
            </w:r>
          </w:p>
        </w:tc>
        <w:tc>
          <w:tcPr>
            <w:tcW w:w="1244" w:type="dxa"/>
            <w:tcBorders>
              <w:top w:val="nil"/>
              <w:left w:val="nil"/>
              <w:bottom w:val="nil"/>
              <w:right w:val="nil"/>
            </w:tcBorders>
            <w:shd w:val="clear" w:color="auto" w:fill="auto"/>
            <w:vAlign w:val="center"/>
          </w:tcPr>
          <w:p w14:paraId="3315B6DB" w14:textId="466E4396" w:rsidR="00172B81" w:rsidRPr="00537128" w:rsidRDefault="00172B81" w:rsidP="00172B8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(12)</w:t>
            </w:r>
          </w:p>
        </w:tc>
      </w:tr>
      <w:tr w:rsidR="00172B81" w:rsidRPr="00537128" w14:paraId="21CD4A96" w14:textId="77777777" w:rsidTr="0090206D">
        <w:trPr>
          <w:trHeight w:val="102"/>
        </w:trPr>
        <w:tc>
          <w:tcPr>
            <w:tcW w:w="6524" w:type="dxa"/>
            <w:vAlign w:val="bottom"/>
            <w:hideMark/>
          </w:tcPr>
          <w:p w14:paraId="2E1D8FA3" w14:textId="77777777" w:rsidR="00172B81" w:rsidRPr="00537128" w:rsidRDefault="00172B81" w:rsidP="00172B81">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Gross outward reinsurance premium</w:t>
            </w:r>
          </w:p>
        </w:tc>
        <w:tc>
          <w:tcPr>
            <w:tcW w:w="1433" w:type="dxa"/>
            <w:tcBorders>
              <w:top w:val="nil"/>
              <w:left w:val="nil"/>
              <w:bottom w:val="nil"/>
              <w:right w:val="nil"/>
            </w:tcBorders>
            <w:shd w:val="clear" w:color="auto" w:fill="auto"/>
            <w:noWrap/>
          </w:tcPr>
          <w:p w14:paraId="3F1C1B69" w14:textId="7559125C" w:rsidR="00172B81" w:rsidRPr="00537128" w:rsidRDefault="00172B81" w:rsidP="00172B8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w:t>
            </w:r>
            <w:r w:rsidRPr="002432DC">
              <w:rPr>
                <w:rFonts w:ascii="Calibri" w:hAnsi="Calibri" w:cs="Arial"/>
                <w:color w:val="000000"/>
                <w:sz w:val="18"/>
                <w:szCs w:val="18"/>
              </w:rPr>
              <w:t>1</w:t>
            </w:r>
            <w:r>
              <w:rPr>
                <w:rFonts w:ascii="Calibri" w:hAnsi="Calibri" w:cs="Arial"/>
                <w:color w:val="000000"/>
                <w:sz w:val="18"/>
                <w:szCs w:val="18"/>
              </w:rPr>
              <w:t>,</w:t>
            </w:r>
            <w:r w:rsidRPr="002432DC">
              <w:rPr>
                <w:rFonts w:ascii="Calibri" w:hAnsi="Calibri" w:cs="Arial"/>
                <w:color w:val="000000"/>
                <w:sz w:val="18"/>
                <w:szCs w:val="18"/>
              </w:rPr>
              <w:t>979</w:t>
            </w:r>
            <w:r>
              <w:rPr>
                <w:rFonts w:ascii="Calibri" w:hAnsi="Calibri" w:cs="Arial"/>
                <w:color w:val="000000"/>
                <w:sz w:val="18"/>
                <w:szCs w:val="18"/>
              </w:rPr>
              <w:t>)</w:t>
            </w:r>
          </w:p>
        </w:tc>
        <w:tc>
          <w:tcPr>
            <w:tcW w:w="1244" w:type="dxa"/>
            <w:tcBorders>
              <w:top w:val="nil"/>
              <w:left w:val="nil"/>
              <w:bottom w:val="nil"/>
              <w:right w:val="nil"/>
            </w:tcBorders>
            <w:shd w:val="clear" w:color="auto" w:fill="auto"/>
            <w:vAlign w:val="center"/>
          </w:tcPr>
          <w:p w14:paraId="345451A7" w14:textId="6756A334" w:rsidR="00172B81" w:rsidRPr="00537128" w:rsidRDefault="00172B81" w:rsidP="00172B8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(1,490)</w:t>
            </w:r>
          </w:p>
        </w:tc>
      </w:tr>
      <w:tr w:rsidR="00172B81" w:rsidRPr="00537128" w14:paraId="71DF1470" w14:textId="77777777" w:rsidTr="0090206D">
        <w:trPr>
          <w:trHeight w:val="91"/>
        </w:trPr>
        <w:tc>
          <w:tcPr>
            <w:tcW w:w="6524" w:type="dxa"/>
            <w:vAlign w:val="bottom"/>
            <w:hideMark/>
          </w:tcPr>
          <w:p w14:paraId="5BB32AF1" w14:textId="77777777" w:rsidR="00172B81" w:rsidRPr="00537128" w:rsidRDefault="00172B81" w:rsidP="00172B81">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Net premium written</w:t>
            </w:r>
          </w:p>
        </w:tc>
        <w:tc>
          <w:tcPr>
            <w:tcW w:w="1433" w:type="dxa"/>
            <w:tcBorders>
              <w:top w:val="single" w:sz="4" w:space="0" w:color="auto"/>
              <w:left w:val="nil"/>
              <w:bottom w:val="single" w:sz="12" w:space="0" w:color="auto"/>
              <w:right w:val="nil"/>
            </w:tcBorders>
            <w:shd w:val="clear" w:color="auto" w:fill="auto"/>
            <w:noWrap/>
          </w:tcPr>
          <w:p w14:paraId="03834036" w14:textId="3F7663BD" w:rsidR="00172B81" w:rsidRPr="00537128" w:rsidRDefault="00172B81" w:rsidP="00172B81">
            <w:pPr>
              <w:spacing w:after="0" w:line="220" w:lineRule="exact"/>
              <w:jc w:val="right"/>
              <w:rPr>
                <w:rFonts w:ascii="Calibri" w:eastAsia="Times New Roman" w:hAnsi="Calibri" w:cs="Arial"/>
                <w:b/>
                <w:bCs/>
                <w:sz w:val="18"/>
                <w:szCs w:val="18"/>
                <w:lang w:val="en-US"/>
              </w:rPr>
            </w:pPr>
            <w:r w:rsidRPr="002432DC">
              <w:rPr>
                <w:rFonts w:ascii="Calibri" w:hAnsi="Calibri" w:cs="Arial"/>
                <w:b/>
                <w:bCs/>
                <w:color w:val="000000"/>
                <w:sz w:val="18"/>
                <w:szCs w:val="18"/>
              </w:rPr>
              <w:t>2</w:t>
            </w:r>
            <w:r>
              <w:rPr>
                <w:rFonts w:ascii="Calibri" w:hAnsi="Calibri" w:cs="Arial"/>
                <w:b/>
                <w:bCs/>
                <w:color w:val="000000"/>
                <w:sz w:val="18"/>
                <w:szCs w:val="18"/>
              </w:rPr>
              <w:t>,</w:t>
            </w:r>
            <w:r w:rsidRPr="002432DC">
              <w:rPr>
                <w:rFonts w:ascii="Calibri" w:hAnsi="Calibri" w:cs="Arial"/>
                <w:b/>
                <w:bCs/>
                <w:color w:val="000000"/>
                <w:sz w:val="18"/>
                <w:szCs w:val="18"/>
              </w:rPr>
              <w:t>589</w:t>
            </w:r>
          </w:p>
        </w:tc>
        <w:tc>
          <w:tcPr>
            <w:tcW w:w="1244" w:type="dxa"/>
            <w:tcBorders>
              <w:top w:val="single" w:sz="4" w:space="0" w:color="auto"/>
              <w:left w:val="nil"/>
              <w:bottom w:val="single" w:sz="12" w:space="0" w:color="auto"/>
              <w:right w:val="nil"/>
            </w:tcBorders>
            <w:shd w:val="clear" w:color="auto" w:fill="auto"/>
            <w:vAlign w:val="bottom"/>
          </w:tcPr>
          <w:p w14:paraId="5D43173B" w14:textId="3AA20C7B" w:rsidR="00172B81" w:rsidRPr="00537128" w:rsidRDefault="00172B81" w:rsidP="00172B81">
            <w:pPr>
              <w:spacing w:after="0" w:line="220" w:lineRule="exact"/>
              <w:jc w:val="right"/>
              <w:rPr>
                <w:rFonts w:ascii="Calibri" w:eastAsia="Times New Roman" w:hAnsi="Calibri" w:cs="Arial"/>
                <w:b/>
                <w:bCs/>
                <w:sz w:val="18"/>
                <w:szCs w:val="18"/>
                <w:lang w:val="en-US"/>
              </w:rPr>
            </w:pPr>
            <w:r>
              <w:rPr>
                <w:rFonts w:ascii="Calibri" w:hAnsi="Calibri" w:cs="Arial"/>
                <w:b/>
                <w:bCs/>
                <w:color w:val="000000"/>
                <w:sz w:val="18"/>
                <w:szCs w:val="18"/>
              </w:rPr>
              <w:t>1,857</w:t>
            </w:r>
          </w:p>
        </w:tc>
      </w:tr>
      <w:tr w:rsidR="00172B81" w:rsidRPr="00537128" w14:paraId="51DF9AF5" w14:textId="77777777" w:rsidTr="001E7D22">
        <w:trPr>
          <w:trHeight w:val="32"/>
        </w:trPr>
        <w:tc>
          <w:tcPr>
            <w:tcW w:w="6524" w:type="dxa"/>
            <w:vAlign w:val="bottom"/>
          </w:tcPr>
          <w:p w14:paraId="161FFD02" w14:textId="77777777" w:rsidR="00172B81" w:rsidRPr="00537128" w:rsidRDefault="00172B81" w:rsidP="00172B81">
            <w:pPr>
              <w:spacing w:after="0" w:line="140" w:lineRule="exact"/>
              <w:rPr>
                <w:rFonts w:ascii="Calibri" w:eastAsia="Times New Roman" w:hAnsi="Calibri" w:cs="Arial"/>
                <w:sz w:val="18"/>
                <w:szCs w:val="18"/>
                <w:lang w:val="en-US"/>
              </w:rPr>
            </w:pPr>
          </w:p>
        </w:tc>
        <w:tc>
          <w:tcPr>
            <w:tcW w:w="1433" w:type="dxa"/>
            <w:tcBorders>
              <w:top w:val="single" w:sz="12" w:space="0" w:color="auto"/>
              <w:left w:val="nil"/>
              <w:bottom w:val="nil"/>
              <w:right w:val="nil"/>
            </w:tcBorders>
            <w:shd w:val="clear" w:color="auto" w:fill="auto"/>
            <w:noWrap/>
          </w:tcPr>
          <w:p w14:paraId="6439F3FD" w14:textId="77777777" w:rsidR="00172B81" w:rsidRPr="00537128" w:rsidRDefault="00172B81" w:rsidP="00172B81">
            <w:pPr>
              <w:spacing w:after="0" w:line="140" w:lineRule="exact"/>
              <w:jc w:val="right"/>
              <w:rPr>
                <w:rFonts w:ascii="Calibri" w:eastAsia="Times New Roman" w:hAnsi="Calibri" w:cs="Arial"/>
                <w:sz w:val="18"/>
                <w:szCs w:val="18"/>
                <w:lang w:val="en-US"/>
              </w:rPr>
            </w:pPr>
          </w:p>
        </w:tc>
        <w:tc>
          <w:tcPr>
            <w:tcW w:w="1244" w:type="dxa"/>
            <w:tcBorders>
              <w:top w:val="single" w:sz="12" w:space="0" w:color="auto"/>
              <w:left w:val="nil"/>
              <w:bottom w:val="nil"/>
              <w:right w:val="nil"/>
            </w:tcBorders>
            <w:shd w:val="clear" w:color="auto" w:fill="auto"/>
          </w:tcPr>
          <w:p w14:paraId="1E522EF1" w14:textId="77777777" w:rsidR="00172B81" w:rsidRPr="00537128" w:rsidRDefault="00172B81" w:rsidP="00172B81">
            <w:pPr>
              <w:spacing w:after="0" w:line="140" w:lineRule="exact"/>
              <w:jc w:val="right"/>
              <w:rPr>
                <w:rFonts w:ascii="Calibri" w:eastAsia="Times New Roman" w:hAnsi="Calibri" w:cs="Arial"/>
                <w:sz w:val="18"/>
                <w:szCs w:val="18"/>
                <w:lang w:val="en-US"/>
              </w:rPr>
            </w:pPr>
          </w:p>
        </w:tc>
      </w:tr>
      <w:tr w:rsidR="00172B81" w:rsidRPr="00537128" w14:paraId="56A52490" w14:textId="77777777" w:rsidTr="001E7D22">
        <w:trPr>
          <w:trHeight w:val="82"/>
        </w:trPr>
        <w:tc>
          <w:tcPr>
            <w:tcW w:w="6524" w:type="dxa"/>
            <w:vAlign w:val="bottom"/>
            <w:hideMark/>
          </w:tcPr>
          <w:p w14:paraId="0A4886D1" w14:textId="77777777" w:rsidR="00172B81" w:rsidRPr="00537128" w:rsidRDefault="00172B81" w:rsidP="00172B81">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Changes in the gross unearned premium reserve</w:t>
            </w:r>
          </w:p>
        </w:tc>
        <w:tc>
          <w:tcPr>
            <w:tcW w:w="1433" w:type="dxa"/>
            <w:tcBorders>
              <w:top w:val="nil"/>
              <w:left w:val="nil"/>
              <w:bottom w:val="nil"/>
              <w:right w:val="nil"/>
            </w:tcBorders>
            <w:shd w:val="clear" w:color="auto" w:fill="auto"/>
            <w:noWrap/>
          </w:tcPr>
          <w:p w14:paraId="1B68C34A" w14:textId="56F2088A" w:rsidR="00172B81" w:rsidRPr="00537128" w:rsidRDefault="00172B81" w:rsidP="00172B81">
            <w:pPr>
              <w:spacing w:after="0" w:line="220" w:lineRule="exact"/>
              <w:jc w:val="right"/>
              <w:rPr>
                <w:rFonts w:ascii="Calibri" w:eastAsia="Times New Roman" w:hAnsi="Calibri" w:cs="Times New Roman"/>
                <w:sz w:val="18"/>
                <w:szCs w:val="18"/>
                <w:lang w:val="en-US"/>
              </w:rPr>
            </w:pPr>
            <w:r w:rsidRPr="002432DC">
              <w:rPr>
                <w:rFonts w:ascii="Calibri" w:hAnsi="Calibri" w:cs="Arial"/>
                <w:color w:val="000000"/>
                <w:sz w:val="18"/>
                <w:szCs w:val="18"/>
              </w:rPr>
              <w:t xml:space="preserve"> (116)</w:t>
            </w:r>
          </w:p>
        </w:tc>
        <w:tc>
          <w:tcPr>
            <w:tcW w:w="1244" w:type="dxa"/>
            <w:tcBorders>
              <w:top w:val="nil"/>
              <w:left w:val="nil"/>
              <w:bottom w:val="nil"/>
              <w:right w:val="nil"/>
            </w:tcBorders>
            <w:shd w:val="clear" w:color="auto" w:fill="auto"/>
          </w:tcPr>
          <w:p w14:paraId="1D18ACAD" w14:textId="3BEEFE37" w:rsidR="00172B81" w:rsidRPr="00537128" w:rsidRDefault="00172B81" w:rsidP="00172B81">
            <w:pPr>
              <w:spacing w:after="0" w:line="220" w:lineRule="exact"/>
              <w:jc w:val="right"/>
              <w:rPr>
                <w:rFonts w:ascii="Calibri" w:eastAsia="Times New Roman" w:hAnsi="Calibri" w:cs="Times New Roman"/>
                <w:sz w:val="18"/>
                <w:szCs w:val="18"/>
                <w:lang w:val="en-US"/>
              </w:rPr>
            </w:pPr>
            <w:r>
              <w:rPr>
                <w:rFonts w:ascii="Calibri" w:hAnsi="Calibri" w:cs="Arial"/>
                <w:color w:val="000000"/>
                <w:sz w:val="18"/>
                <w:szCs w:val="18"/>
              </w:rPr>
              <w:t>(158)</w:t>
            </w:r>
          </w:p>
        </w:tc>
      </w:tr>
      <w:tr w:rsidR="00172B81" w:rsidRPr="00537128" w14:paraId="20825E0D" w14:textId="77777777" w:rsidTr="001E7D22">
        <w:trPr>
          <w:trHeight w:val="142"/>
        </w:trPr>
        <w:tc>
          <w:tcPr>
            <w:tcW w:w="6524" w:type="dxa"/>
            <w:vAlign w:val="bottom"/>
            <w:hideMark/>
          </w:tcPr>
          <w:p w14:paraId="18789F9A" w14:textId="77777777" w:rsidR="00172B81" w:rsidRPr="00537128" w:rsidRDefault="00172B81" w:rsidP="00172B81">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Changes in the gross unearned premium reserve, reinsurer's share</w:t>
            </w:r>
          </w:p>
        </w:tc>
        <w:tc>
          <w:tcPr>
            <w:tcW w:w="1433" w:type="dxa"/>
            <w:tcBorders>
              <w:top w:val="nil"/>
              <w:left w:val="nil"/>
              <w:bottom w:val="single" w:sz="4" w:space="0" w:color="auto"/>
              <w:right w:val="nil"/>
            </w:tcBorders>
            <w:shd w:val="clear" w:color="auto" w:fill="auto"/>
            <w:noWrap/>
          </w:tcPr>
          <w:p w14:paraId="668F9103" w14:textId="1E3E89AD" w:rsidR="00172B81" w:rsidRPr="00537128" w:rsidRDefault="00172B81" w:rsidP="00172B81">
            <w:pPr>
              <w:spacing w:after="0" w:line="220" w:lineRule="exact"/>
              <w:jc w:val="right"/>
              <w:rPr>
                <w:rFonts w:ascii="Calibri" w:eastAsia="Times New Roman" w:hAnsi="Calibri" w:cs="Times New Roman"/>
                <w:sz w:val="18"/>
                <w:szCs w:val="18"/>
                <w:lang w:val="en-US"/>
              </w:rPr>
            </w:pPr>
            <w:r w:rsidRPr="002432DC">
              <w:rPr>
                <w:rFonts w:ascii="Calibri" w:hAnsi="Calibri" w:cs="Arial"/>
                <w:color w:val="000000"/>
                <w:sz w:val="18"/>
                <w:szCs w:val="18"/>
              </w:rPr>
              <w:t xml:space="preserve"> (33)</w:t>
            </w:r>
          </w:p>
        </w:tc>
        <w:tc>
          <w:tcPr>
            <w:tcW w:w="1244" w:type="dxa"/>
            <w:tcBorders>
              <w:top w:val="nil"/>
              <w:left w:val="nil"/>
              <w:bottom w:val="single" w:sz="4" w:space="0" w:color="auto"/>
              <w:right w:val="nil"/>
            </w:tcBorders>
            <w:shd w:val="clear" w:color="auto" w:fill="auto"/>
          </w:tcPr>
          <w:p w14:paraId="2CBB1787" w14:textId="14965C89" w:rsidR="00172B81" w:rsidRPr="00537128" w:rsidRDefault="00172B81" w:rsidP="00172B81">
            <w:pPr>
              <w:spacing w:after="0" w:line="220" w:lineRule="exact"/>
              <w:jc w:val="right"/>
              <w:rPr>
                <w:rFonts w:ascii="Calibri" w:eastAsia="Times New Roman" w:hAnsi="Calibri" w:cs="Times New Roman"/>
                <w:sz w:val="18"/>
                <w:szCs w:val="18"/>
                <w:lang w:val="en-US"/>
              </w:rPr>
            </w:pPr>
            <w:r>
              <w:rPr>
                <w:rFonts w:ascii="Calibri" w:hAnsi="Calibri" w:cs="Arial"/>
                <w:color w:val="000000"/>
                <w:sz w:val="18"/>
                <w:szCs w:val="18"/>
              </w:rPr>
              <w:t>41</w:t>
            </w:r>
          </w:p>
        </w:tc>
      </w:tr>
      <w:tr w:rsidR="00172B81" w:rsidRPr="00537128" w14:paraId="198D5A63" w14:textId="77777777" w:rsidTr="001E7D22">
        <w:trPr>
          <w:trHeight w:val="107"/>
        </w:trPr>
        <w:tc>
          <w:tcPr>
            <w:tcW w:w="6524" w:type="dxa"/>
            <w:vAlign w:val="bottom"/>
            <w:hideMark/>
          </w:tcPr>
          <w:p w14:paraId="445EE18E" w14:textId="77777777" w:rsidR="00172B81" w:rsidRPr="00537128" w:rsidRDefault="00172B81" w:rsidP="00172B81">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Net premium earned</w:t>
            </w:r>
          </w:p>
        </w:tc>
        <w:tc>
          <w:tcPr>
            <w:tcW w:w="1433" w:type="dxa"/>
            <w:tcBorders>
              <w:left w:val="nil"/>
              <w:bottom w:val="single" w:sz="12" w:space="0" w:color="auto"/>
              <w:right w:val="nil"/>
            </w:tcBorders>
            <w:shd w:val="clear" w:color="auto" w:fill="auto"/>
            <w:noWrap/>
          </w:tcPr>
          <w:p w14:paraId="06FFCD58" w14:textId="2E03B309" w:rsidR="00172B81" w:rsidRPr="00537128" w:rsidRDefault="00172B81" w:rsidP="00172B81">
            <w:pPr>
              <w:spacing w:after="0" w:line="220" w:lineRule="exact"/>
              <w:jc w:val="right"/>
              <w:rPr>
                <w:rFonts w:ascii="Calibri" w:eastAsia="Times New Roman" w:hAnsi="Calibri" w:cs="Arial"/>
                <w:b/>
                <w:bCs/>
                <w:sz w:val="18"/>
                <w:szCs w:val="18"/>
                <w:lang w:val="en-US"/>
              </w:rPr>
            </w:pPr>
            <w:r>
              <w:rPr>
                <w:rFonts w:cs="Arial"/>
                <w:b/>
                <w:bCs/>
                <w:color w:val="000000" w:themeColor="text1"/>
                <w:sz w:val="18"/>
                <w:szCs w:val="18"/>
              </w:rPr>
              <w:t>2,440</w:t>
            </w:r>
          </w:p>
        </w:tc>
        <w:tc>
          <w:tcPr>
            <w:tcW w:w="1244" w:type="dxa"/>
            <w:tcBorders>
              <w:left w:val="nil"/>
              <w:bottom w:val="single" w:sz="12" w:space="0" w:color="auto"/>
              <w:right w:val="nil"/>
            </w:tcBorders>
            <w:shd w:val="clear" w:color="auto" w:fill="auto"/>
          </w:tcPr>
          <w:p w14:paraId="1E756AC2" w14:textId="3488F1B3" w:rsidR="00172B81" w:rsidRPr="00537128" w:rsidRDefault="00172B81" w:rsidP="00172B81">
            <w:pPr>
              <w:spacing w:after="0" w:line="220" w:lineRule="exact"/>
              <w:jc w:val="right"/>
              <w:rPr>
                <w:rFonts w:ascii="Calibri" w:eastAsia="Times New Roman" w:hAnsi="Calibri" w:cs="Arial"/>
                <w:b/>
                <w:bCs/>
                <w:sz w:val="18"/>
                <w:szCs w:val="18"/>
                <w:lang w:val="en-US"/>
              </w:rPr>
            </w:pPr>
            <w:r>
              <w:rPr>
                <w:rFonts w:ascii="Calibri" w:hAnsi="Calibri" w:cs="Arial"/>
                <w:b/>
                <w:bCs/>
                <w:color w:val="000000"/>
                <w:sz w:val="18"/>
                <w:szCs w:val="18"/>
              </w:rPr>
              <w:t>1,740</w:t>
            </w:r>
          </w:p>
        </w:tc>
      </w:tr>
      <w:tr w:rsidR="00172B81" w:rsidRPr="00537128" w14:paraId="0BAE2DAD" w14:textId="77777777" w:rsidTr="001E7D22">
        <w:trPr>
          <w:trHeight w:val="31"/>
        </w:trPr>
        <w:tc>
          <w:tcPr>
            <w:tcW w:w="6524" w:type="dxa"/>
            <w:vAlign w:val="bottom"/>
          </w:tcPr>
          <w:p w14:paraId="5ED14D7F" w14:textId="77777777" w:rsidR="00172B81" w:rsidRPr="00537128" w:rsidRDefault="00172B81" w:rsidP="00172B81">
            <w:pPr>
              <w:spacing w:after="0" w:line="140" w:lineRule="exact"/>
              <w:rPr>
                <w:rFonts w:ascii="Calibri" w:eastAsia="Times New Roman" w:hAnsi="Calibri" w:cs="Arial"/>
                <w:sz w:val="18"/>
                <w:szCs w:val="18"/>
                <w:lang w:val="en-US"/>
              </w:rPr>
            </w:pPr>
          </w:p>
        </w:tc>
        <w:tc>
          <w:tcPr>
            <w:tcW w:w="1433" w:type="dxa"/>
            <w:tcBorders>
              <w:top w:val="single" w:sz="12" w:space="0" w:color="auto"/>
              <w:left w:val="nil"/>
              <w:bottom w:val="nil"/>
              <w:right w:val="nil"/>
            </w:tcBorders>
            <w:shd w:val="clear" w:color="auto" w:fill="auto"/>
            <w:noWrap/>
          </w:tcPr>
          <w:p w14:paraId="1E96F08F" w14:textId="77777777" w:rsidR="00172B81" w:rsidRPr="00537128" w:rsidRDefault="00172B81" w:rsidP="00172B81">
            <w:pPr>
              <w:spacing w:after="0" w:line="140" w:lineRule="exact"/>
              <w:jc w:val="right"/>
              <w:rPr>
                <w:rFonts w:ascii="Calibri" w:eastAsia="Times New Roman" w:hAnsi="Calibri" w:cs="Arial"/>
                <w:sz w:val="18"/>
                <w:szCs w:val="18"/>
                <w:lang w:val="en-US"/>
              </w:rPr>
            </w:pPr>
          </w:p>
        </w:tc>
        <w:tc>
          <w:tcPr>
            <w:tcW w:w="1244" w:type="dxa"/>
            <w:tcBorders>
              <w:top w:val="single" w:sz="12" w:space="0" w:color="auto"/>
              <w:left w:val="nil"/>
              <w:bottom w:val="nil"/>
              <w:right w:val="nil"/>
            </w:tcBorders>
            <w:shd w:val="clear" w:color="auto" w:fill="auto"/>
          </w:tcPr>
          <w:p w14:paraId="1F975540" w14:textId="77777777" w:rsidR="00172B81" w:rsidRPr="00537128" w:rsidRDefault="00172B81" w:rsidP="00172B81">
            <w:pPr>
              <w:spacing w:after="0" w:line="140" w:lineRule="exact"/>
              <w:jc w:val="right"/>
              <w:rPr>
                <w:rFonts w:ascii="Calibri" w:eastAsia="Times New Roman" w:hAnsi="Calibri" w:cs="Arial"/>
                <w:sz w:val="18"/>
                <w:szCs w:val="18"/>
                <w:lang w:val="en-US"/>
              </w:rPr>
            </w:pPr>
          </w:p>
        </w:tc>
      </w:tr>
      <w:tr w:rsidR="00172B81" w:rsidRPr="00537128" w14:paraId="2DB3B725" w14:textId="77777777" w:rsidTr="001E7D22">
        <w:trPr>
          <w:trHeight w:val="123"/>
        </w:trPr>
        <w:tc>
          <w:tcPr>
            <w:tcW w:w="6524" w:type="dxa"/>
            <w:vAlign w:val="bottom"/>
            <w:hideMark/>
          </w:tcPr>
          <w:p w14:paraId="341B0CE1" w14:textId="77777777" w:rsidR="00172B81" w:rsidRPr="00537128" w:rsidRDefault="00172B81" w:rsidP="00172B81">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Fee and commission income</w:t>
            </w:r>
          </w:p>
        </w:tc>
        <w:tc>
          <w:tcPr>
            <w:tcW w:w="1433" w:type="dxa"/>
            <w:tcBorders>
              <w:top w:val="nil"/>
              <w:left w:val="nil"/>
              <w:bottom w:val="nil"/>
              <w:right w:val="nil"/>
            </w:tcBorders>
            <w:shd w:val="clear" w:color="auto" w:fill="auto"/>
            <w:noWrap/>
          </w:tcPr>
          <w:p w14:paraId="0CC9F513" w14:textId="55A42CE0" w:rsidR="00172B81" w:rsidRPr="00537128" w:rsidRDefault="00172B81" w:rsidP="00172B81">
            <w:pPr>
              <w:spacing w:after="0" w:line="220" w:lineRule="exact"/>
              <w:jc w:val="right"/>
              <w:rPr>
                <w:rFonts w:ascii="Calibri" w:eastAsia="Times New Roman" w:hAnsi="Calibri" w:cs="Times New Roman"/>
                <w:sz w:val="18"/>
                <w:szCs w:val="18"/>
                <w:lang w:val="en-US"/>
              </w:rPr>
            </w:pPr>
            <w:r w:rsidRPr="002432DC">
              <w:rPr>
                <w:rFonts w:ascii="Calibri" w:hAnsi="Calibri" w:cs="Arial"/>
                <w:bCs/>
                <w:color w:val="000000"/>
                <w:sz w:val="18"/>
                <w:szCs w:val="18"/>
              </w:rPr>
              <w:t>950</w:t>
            </w:r>
          </w:p>
        </w:tc>
        <w:tc>
          <w:tcPr>
            <w:tcW w:w="1244" w:type="dxa"/>
            <w:tcBorders>
              <w:top w:val="nil"/>
              <w:left w:val="nil"/>
              <w:bottom w:val="nil"/>
              <w:right w:val="nil"/>
            </w:tcBorders>
            <w:shd w:val="clear" w:color="auto" w:fill="auto"/>
          </w:tcPr>
          <w:p w14:paraId="3ACB8B81" w14:textId="0144B159" w:rsidR="00172B81" w:rsidRPr="00537128" w:rsidRDefault="00172B81" w:rsidP="00172B81">
            <w:pPr>
              <w:spacing w:after="0" w:line="220" w:lineRule="exact"/>
              <w:jc w:val="right"/>
              <w:rPr>
                <w:rFonts w:ascii="Calibri" w:eastAsia="Times New Roman" w:hAnsi="Calibri" w:cs="Times New Roman"/>
                <w:sz w:val="18"/>
                <w:szCs w:val="18"/>
                <w:lang w:val="en-US"/>
              </w:rPr>
            </w:pPr>
            <w:r>
              <w:rPr>
                <w:rFonts w:ascii="Calibri" w:hAnsi="Calibri" w:cs="Arial"/>
                <w:bCs/>
                <w:color w:val="000000"/>
                <w:sz w:val="18"/>
                <w:szCs w:val="18"/>
              </w:rPr>
              <w:t>865</w:t>
            </w:r>
          </w:p>
        </w:tc>
      </w:tr>
      <w:tr w:rsidR="00172B81" w:rsidRPr="00537128" w14:paraId="6E928B24" w14:textId="77777777" w:rsidTr="001E7D22">
        <w:trPr>
          <w:trHeight w:val="109"/>
        </w:trPr>
        <w:tc>
          <w:tcPr>
            <w:tcW w:w="6524" w:type="dxa"/>
            <w:vAlign w:val="bottom"/>
            <w:hideMark/>
          </w:tcPr>
          <w:p w14:paraId="6285D3C4" w14:textId="77777777" w:rsidR="00172B81" w:rsidRPr="00537128" w:rsidRDefault="00172B81" w:rsidP="00172B81">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Net investment income</w:t>
            </w:r>
          </w:p>
        </w:tc>
        <w:tc>
          <w:tcPr>
            <w:tcW w:w="1433" w:type="dxa"/>
            <w:tcBorders>
              <w:top w:val="nil"/>
              <w:left w:val="nil"/>
              <w:bottom w:val="nil"/>
              <w:right w:val="nil"/>
            </w:tcBorders>
            <w:shd w:val="clear" w:color="auto" w:fill="auto"/>
            <w:noWrap/>
          </w:tcPr>
          <w:p w14:paraId="4319F16D" w14:textId="165A6904" w:rsidR="00172B81" w:rsidRPr="00537128" w:rsidRDefault="00172B81" w:rsidP="00172B81">
            <w:pPr>
              <w:spacing w:after="0" w:line="220" w:lineRule="exact"/>
              <w:jc w:val="right"/>
              <w:rPr>
                <w:rFonts w:ascii="Calibri" w:eastAsia="Times New Roman" w:hAnsi="Calibri" w:cs="Times New Roman"/>
                <w:sz w:val="18"/>
                <w:szCs w:val="18"/>
                <w:lang w:val="en-US"/>
              </w:rPr>
            </w:pPr>
            <w:r w:rsidRPr="002432DC">
              <w:rPr>
                <w:rFonts w:ascii="Calibri" w:hAnsi="Calibri" w:cs="Arial"/>
                <w:bCs/>
                <w:color w:val="000000"/>
                <w:sz w:val="18"/>
                <w:szCs w:val="18"/>
              </w:rPr>
              <w:t>553</w:t>
            </w:r>
          </w:p>
        </w:tc>
        <w:tc>
          <w:tcPr>
            <w:tcW w:w="1244" w:type="dxa"/>
            <w:tcBorders>
              <w:top w:val="nil"/>
              <w:left w:val="nil"/>
              <w:bottom w:val="nil"/>
              <w:right w:val="nil"/>
            </w:tcBorders>
            <w:shd w:val="clear" w:color="auto" w:fill="auto"/>
          </w:tcPr>
          <w:p w14:paraId="554FB9AA" w14:textId="131AB154" w:rsidR="00172B81" w:rsidRPr="00537128" w:rsidRDefault="00172B81" w:rsidP="00172B81">
            <w:pPr>
              <w:spacing w:after="0" w:line="220" w:lineRule="exact"/>
              <w:jc w:val="right"/>
              <w:rPr>
                <w:rFonts w:ascii="Calibri" w:eastAsia="Times New Roman" w:hAnsi="Calibri" w:cs="Times New Roman"/>
                <w:sz w:val="18"/>
                <w:szCs w:val="18"/>
                <w:lang w:val="en-US"/>
              </w:rPr>
            </w:pPr>
            <w:r>
              <w:rPr>
                <w:rFonts w:ascii="Calibri" w:hAnsi="Calibri" w:cs="Arial"/>
                <w:bCs/>
                <w:color w:val="000000"/>
                <w:sz w:val="18"/>
                <w:szCs w:val="18"/>
              </w:rPr>
              <w:t>409</w:t>
            </w:r>
          </w:p>
        </w:tc>
      </w:tr>
      <w:tr w:rsidR="00172B81" w:rsidRPr="00537128" w14:paraId="73E7FD27" w14:textId="77777777" w:rsidTr="001E7D22">
        <w:trPr>
          <w:trHeight w:val="104"/>
        </w:trPr>
        <w:tc>
          <w:tcPr>
            <w:tcW w:w="6524" w:type="dxa"/>
            <w:vAlign w:val="bottom"/>
            <w:hideMark/>
          </w:tcPr>
          <w:p w14:paraId="06F0E2DC" w14:textId="77777777" w:rsidR="00172B81" w:rsidRPr="00537128" w:rsidRDefault="00172B81" w:rsidP="00172B81">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Other operating income</w:t>
            </w:r>
          </w:p>
        </w:tc>
        <w:tc>
          <w:tcPr>
            <w:tcW w:w="1433" w:type="dxa"/>
            <w:tcBorders>
              <w:top w:val="nil"/>
              <w:left w:val="nil"/>
              <w:bottom w:val="single" w:sz="4" w:space="0" w:color="auto"/>
              <w:right w:val="nil"/>
            </w:tcBorders>
            <w:shd w:val="clear" w:color="auto" w:fill="auto"/>
            <w:noWrap/>
          </w:tcPr>
          <w:p w14:paraId="623BD249" w14:textId="257B778D" w:rsidR="00172B81" w:rsidRPr="00537128" w:rsidRDefault="00172B81" w:rsidP="00172B81">
            <w:pPr>
              <w:spacing w:after="0" w:line="220" w:lineRule="exact"/>
              <w:jc w:val="right"/>
              <w:rPr>
                <w:rFonts w:ascii="Calibri" w:eastAsia="Times New Roman" w:hAnsi="Calibri" w:cs="Times New Roman"/>
                <w:sz w:val="18"/>
                <w:szCs w:val="18"/>
                <w:lang w:val="en-US"/>
              </w:rPr>
            </w:pPr>
            <w:r w:rsidRPr="002432DC">
              <w:rPr>
                <w:rFonts w:ascii="Calibri" w:hAnsi="Calibri" w:cs="Arial"/>
                <w:bCs/>
                <w:color w:val="000000"/>
                <w:sz w:val="18"/>
                <w:szCs w:val="18"/>
              </w:rPr>
              <w:t>14</w:t>
            </w:r>
          </w:p>
        </w:tc>
        <w:tc>
          <w:tcPr>
            <w:tcW w:w="1244" w:type="dxa"/>
            <w:tcBorders>
              <w:top w:val="nil"/>
              <w:left w:val="nil"/>
              <w:bottom w:val="single" w:sz="4" w:space="0" w:color="auto"/>
              <w:right w:val="nil"/>
            </w:tcBorders>
            <w:shd w:val="clear" w:color="auto" w:fill="auto"/>
          </w:tcPr>
          <w:p w14:paraId="2BFF157C" w14:textId="7764853F" w:rsidR="00172B81" w:rsidRPr="00537128" w:rsidRDefault="00172B81" w:rsidP="00172B81">
            <w:pPr>
              <w:spacing w:after="0" w:line="220" w:lineRule="exact"/>
              <w:jc w:val="right"/>
              <w:rPr>
                <w:rFonts w:ascii="Calibri" w:eastAsia="Times New Roman" w:hAnsi="Calibri" w:cs="Times New Roman"/>
                <w:sz w:val="18"/>
                <w:szCs w:val="18"/>
                <w:lang w:val="en-US"/>
              </w:rPr>
            </w:pPr>
            <w:r>
              <w:rPr>
                <w:rFonts w:ascii="Calibri" w:hAnsi="Calibri" w:cs="Arial"/>
                <w:color w:val="000000"/>
                <w:sz w:val="18"/>
                <w:szCs w:val="18"/>
              </w:rPr>
              <w:t>3</w:t>
            </w:r>
          </w:p>
        </w:tc>
      </w:tr>
      <w:tr w:rsidR="00172B81" w:rsidRPr="00537128" w14:paraId="5BFB49C6" w14:textId="77777777" w:rsidTr="001E7D22">
        <w:trPr>
          <w:trHeight w:val="93"/>
        </w:trPr>
        <w:tc>
          <w:tcPr>
            <w:tcW w:w="6524" w:type="dxa"/>
            <w:vAlign w:val="bottom"/>
            <w:hideMark/>
          </w:tcPr>
          <w:p w14:paraId="25E7A978" w14:textId="77777777" w:rsidR="00172B81" w:rsidRPr="00537128" w:rsidRDefault="00172B81" w:rsidP="00172B81">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Net income</w:t>
            </w:r>
          </w:p>
        </w:tc>
        <w:tc>
          <w:tcPr>
            <w:tcW w:w="1433" w:type="dxa"/>
            <w:tcBorders>
              <w:top w:val="single" w:sz="4" w:space="0" w:color="auto"/>
              <w:left w:val="nil"/>
              <w:bottom w:val="single" w:sz="12" w:space="0" w:color="auto"/>
              <w:right w:val="nil"/>
            </w:tcBorders>
            <w:shd w:val="clear" w:color="auto" w:fill="auto"/>
            <w:noWrap/>
          </w:tcPr>
          <w:p w14:paraId="435D3470" w14:textId="7144F396" w:rsidR="00172B81" w:rsidRPr="00537128" w:rsidRDefault="00172B81" w:rsidP="00172B81">
            <w:pPr>
              <w:spacing w:after="0" w:line="220" w:lineRule="exact"/>
              <w:jc w:val="right"/>
              <w:rPr>
                <w:rFonts w:ascii="Calibri" w:eastAsia="Times New Roman" w:hAnsi="Calibri" w:cs="Arial"/>
                <w:b/>
                <w:bCs/>
                <w:sz w:val="18"/>
                <w:szCs w:val="18"/>
                <w:lang w:val="en-US"/>
              </w:rPr>
            </w:pPr>
            <w:r w:rsidRPr="002432DC">
              <w:rPr>
                <w:rFonts w:ascii="Calibri" w:hAnsi="Calibri" w:cs="Arial"/>
                <w:b/>
                <w:color w:val="000000"/>
                <w:sz w:val="18"/>
                <w:szCs w:val="18"/>
              </w:rPr>
              <w:t>3</w:t>
            </w:r>
            <w:r>
              <w:rPr>
                <w:rFonts w:ascii="Calibri" w:hAnsi="Calibri" w:cs="Arial"/>
                <w:b/>
                <w:color w:val="000000"/>
                <w:sz w:val="18"/>
                <w:szCs w:val="18"/>
              </w:rPr>
              <w:t>,</w:t>
            </w:r>
            <w:r w:rsidRPr="002432DC">
              <w:rPr>
                <w:rFonts w:ascii="Calibri" w:hAnsi="Calibri" w:cs="Arial"/>
                <w:b/>
                <w:color w:val="000000"/>
                <w:sz w:val="18"/>
                <w:szCs w:val="18"/>
              </w:rPr>
              <w:t>957</w:t>
            </w:r>
          </w:p>
        </w:tc>
        <w:tc>
          <w:tcPr>
            <w:tcW w:w="1244" w:type="dxa"/>
            <w:tcBorders>
              <w:top w:val="single" w:sz="4" w:space="0" w:color="auto"/>
              <w:left w:val="nil"/>
              <w:bottom w:val="single" w:sz="12" w:space="0" w:color="auto"/>
              <w:right w:val="nil"/>
            </w:tcBorders>
            <w:shd w:val="clear" w:color="auto" w:fill="auto"/>
          </w:tcPr>
          <w:p w14:paraId="69B19057" w14:textId="729CDD53" w:rsidR="00172B81" w:rsidRPr="00537128" w:rsidRDefault="00172B81" w:rsidP="00172B81">
            <w:pPr>
              <w:spacing w:after="0" w:line="220" w:lineRule="exact"/>
              <w:jc w:val="right"/>
              <w:rPr>
                <w:rFonts w:ascii="Calibri" w:eastAsia="Times New Roman" w:hAnsi="Calibri" w:cs="Arial"/>
                <w:b/>
                <w:bCs/>
                <w:sz w:val="18"/>
                <w:szCs w:val="18"/>
                <w:lang w:val="en-US"/>
              </w:rPr>
            </w:pPr>
            <w:r>
              <w:rPr>
                <w:rFonts w:ascii="Calibri" w:hAnsi="Calibri" w:cs="Arial"/>
                <w:b/>
                <w:bCs/>
                <w:color w:val="000000"/>
                <w:sz w:val="18"/>
                <w:szCs w:val="18"/>
              </w:rPr>
              <w:t>3,017</w:t>
            </w:r>
          </w:p>
        </w:tc>
      </w:tr>
      <w:tr w:rsidR="00172B81" w:rsidRPr="00537128" w14:paraId="5896E0E1" w14:textId="77777777" w:rsidTr="001E7D22">
        <w:trPr>
          <w:trHeight w:val="53"/>
        </w:trPr>
        <w:tc>
          <w:tcPr>
            <w:tcW w:w="6524" w:type="dxa"/>
            <w:vAlign w:val="bottom"/>
          </w:tcPr>
          <w:p w14:paraId="524A078C" w14:textId="77777777" w:rsidR="00172B81" w:rsidRPr="00537128" w:rsidRDefault="00172B81" w:rsidP="00172B81">
            <w:pPr>
              <w:spacing w:after="0" w:line="140" w:lineRule="exact"/>
              <w:rPr>
                <w:rFonts w:ascii="Calibri" w:eastAsia="Times New Roman" w:hAnsi="Calibri" w:cs="Arial"/>
                <w:sz w:val="18"/>
                <w:szCs w:val="18"/>
                <w:lang w:val="en-US"/>
              </w:rPr>
            </w:pPr>
          </w:p>
        </w:tc>
        <w:tc>
          <w:tcPr>
            <w:tcW w:w="1433" w:type="dxa"/>
            <w:tcBorders>
              <w:top w:val="single" w:sz="12" w:space="0" w:color="auto"/>
              <w:left w:val="nil"/>
              <w:bottom w:val="nil"/>
              <w:right w:val="nil"/>
            </w:tcBorders>
            <w:shd w:val="clear" w:color="auto" w:fill="auto"/>
            <w:noWrap/>
          </w:tcPr>
          <w:p w14:paraId="7D105ECC" w14:textId="77777777" w:rsidR="00172B81" w:rsidRPr="00537128" w:rsidRDefault="00172B81" w:rsidP="00172B81">
            <w:pPr>
              <w:spacing w:after="0" w:line="140" w:lineRule="exact"/>
              <w:jc w:val="right"/>
              <w:rPr>
                <w:rFonts w:ascii="Calibri" w:eastAsia="Times New Roman" w:hAnsi="Calibri" w:cs="Arial"/>
                <w:sz w:val="18"/>
                <w:szCs w:val="18"/>
                <w:lang w:val="en-US"/>
              </w:rPr>
            </w:pPr>
          </w:p>
        </w:tc>
        <w:tc>
          <w:tcPr>
            <w:tcW w:w="1244" w:type="dxa"/>
            <w:tcBorders>
              <w:top w:val="single" w:sz="12" w:space="0" w:color="auto"/>
              <w:left w:val="nil"/>
              <w:bottom w:val="nil"/>
              <w:right w:val="nil"/>
            </w:tcBorders>
            <w:shd w:val="clear" w:color="auto" w:fill="auto"/>
          </w:tcPr>
          <w:p w14:paraId="7811A93F" w14:textId="77777777" w:rsidR="00172B81" w:rsidRPr="00537128" w:rsidRDefault="00172B81" w:rsidP="00172B81">
            <w:pPr>
              <w:spacing w:after="0" w:line="140" w:lineRule="exact"/>
              <w:jc w:val="right"/>
              <w:rPr>
                <w:rFonts w:ascii="Calibri" w:eastAsia="Times New Roman" w:hAnsi="Calibri" w:cs="Arial"/>
                <w:sz w:val="18"/>
                <w:szCs w:val="18"/>
                <w:lang w:val="en-US"/>
              </w:rPr>
            </w:pPr>
          </w:p>
        </w:tc>
      </w:tr>
      <w:tr w:rsidR="00172B81" w:rsidRPr="00537128" w14:paraId="57C1CDE3" w14:textId="77777777" w:rsidTr="001E7D22">
        <w:trPr>
          <w:trHeight w:val="91"/>
        </w:trPr>
        <w:tc>
          <w:tcPr>
            <w:tcW w:w="6524" w:type="dxa"/>
            <w:vAlign w:val="bottom"/>
            <w:hideMark/>
          </w:tcPr>
          <w:p w14:paraId="2F3DEF7B" w14:textId="77777777" w:rsidR="00172B81" w:rsidRPr="00537128" w:rsidRDefault="00172B81" w:rsidP="00172B81">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Gross expense for returned premiums</w:t>
            </w:r>
          </w:p>
        </w:tc>
        <w:tc>
          <w:tcPr>
            <w:tcW w:w="1433" w:type="dxa"/>
            <w:tcBorders>
              <w:left w:val="nil"/>
              <w:right w:val="nil"/>
            </w:tcBorders>
            <w:shd w:val="clear" w:color="auto" w:fill="auto"/>
            <w:noWrap/>
          </w:tcPr>
          <w:p w14:paraId="7619100E" w14:textId="2A29ABB5" w:rsidR="00172B81" w:rsidRPr="00537128" w:rsidRDefault="00172B81" w:rsidP="00172B81">
            <w:pPr>
              <w:spacing w:after="0" w:line="220" w:lineRule="exact"/>
              <w:jc w:val="right"/>
              <w:rPr>
                <w:rFonts w:ascii="Calibri" w:eastAsia="Times New Roman" w:hAnsi="Calibri" w:cs="Arial"/>
                <w:sz w:val="18"/>
                <w:szCs w:val="18"/>
                <w:lang w:val="en-US"/>
              </w:rPr>
            </w:pPr>
            <w:r w:rsidRPr="002432DC">
              <w:rPr>
                <w:rFonts w:ascii="Calibri" w:hAnsi="Calibri" w:cs="Arial"/>
                <w:color w:val="000000"/>
                <w:sz w:val="18"/>
                <w:szCs w:val="18"/>
              </w:rPr>
              <w:t xml:space="preserve"> (391)</w:t>
            </w:r>
          </w:p>
        </w:tc>
        <w:tc>
          <w:tcPr>
            <w:tcW w:w="1244" w:type="dxa"/>
            <w:tcBorders>
              <w:left w:val="nil"/>
              <w:right w:val="nil"/>
            </w:tcBorders>
            <w:shd w:val="clear" w:color="auto" w:fill="auto"/>
          </w:tcPr>
          <w:p w14:paraId="3A89E924" w14:textId="6581F576" w:rsidR="00172B81" w:rsidRPr="00537128" w:rsidRDefault="00172B81" w:rsidP="00172B8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(236)</w:t>
            </w:r>
          </w:p>
        </w:tc>
      </w:tr>
      <w:tr w:rsidR="00172B81" w:rsidRPr="00537128" w14:paraId="267B9812" w14:textId="77777777" w:rsidTr="001E7D22">
        <w:trPr>
          <w:trHeight w:val="126"/>
        </w:trPr>
        <w:tc>
          <w:tcPr>
            <w:tcW w:w="6524" w:type="dxa"/>
            <w:vAlign w:val="bottom"/>
            <w:hideMark/>
          </w:tcPr>
          <w:p w14:paraId="41046611" w14:textId="77777777" w:rsidR="00172B81" w:rsidRPr="00537128" w:rsidRDefault="00172B81" w:rsidP="00172B81">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Reinsurer's share</w:t>
            </w:r>
          </w:p>
        </w:tc>
        <w:tc>
          <w:tcPr>
            <w:tcW w:w="1433" w:type="dxa"/>
            <w:tcBorders>
              <w:left w:val="nil"/>
              <w:right w:val="nil"/>
            </w:tcBorders>
            <w:shd w:val="clear" w:color="auto" w:fill="auto"/>
            <w:noWrap/>
          </w:tcPr>
          <w:p w14:paraId="60CC6387" w14:textId="1BAD0D6E" w:rsidR="00172B81" w:rsidRPr="00537128" w:rsidRDefault="00172B81" w:rsidP="00172B81">
            <w:pPr>
              <w:spacing w:after="0" w:line="220" w:lineRule="exact"/>
              <w:jc w:val="right"/>
              <w:rPr>
                <w:rFonts w:ascii="Calibri" w:eastAsia="Times New Roman" w:hAnsi="Calibri" w:cs="Arial"/>
                <w:sz w:val="18"/>
                <w:szCs w:val="18"/>
                <w:lang w:val="en-US"/>
              </w:rPr>
            </w:pPr>
            <w:r w:rsidRPr="002432DC">
              <w:rPr>
                <w:rFonts w:ascii="Calibri" w:hAnsi="Calibri" w:cs="Arial"/>
                <w:color w:val="000000"/>
                <w:sz w:val="18"/>
                <w:szCs w:val="18"/>
              </w:rPr>
              <w:t>174</w:t>
            </w:r>
          </w:p>
        </w:tc>
        <w:tc>
          <w:tcPr>
            <w:tcW w:w="1244" w:type="dxa"/>
            <w:tcBorders>
              <w:left w:val="nil"/>
              <w:right w:val="nil"/>
            </w:tcBorders>
            <w:shd w:val="clear" w:color="auto" w:fill="auto"/>
          </w:tcPr>
          <w:p w14:paraId="1C132B94" w14:textId="708731D3" w:rsidR="00172B81" w:rsidRPr="00537128" w:rsidRDefault="00172B81" w:rsidP="00172B8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100</w:t>
            </w:r>
          </w:p>
        </w:tc>
      </w:tr>
      <w:tr w:rsidR="00172B81" w:rsidRPr="00537128" w14:paraId="6E4F5A86" w14:textId="77777777" w:rsidTr="001E7D22">
        <w:trPr>
          <w:trHeight w:val="160"/>
        </w:trPr>
        <w:tc>
          <w:tcPr>
            <w:tcW w:w="6524" w:type="dxa"/>
            <w:vAlign w:val="bottom"/>
            <w:hideMark/>
          </w:tcPr>
          <w:p w14:paraId="6E85B311" w14:textId="77777777" w:rsidR="00172B81" w:rsidRPr="00537128" w:rsidRDefault="00172B81" w:rsidP="00172B81">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Gross reserve for returned premiums</w:t>
            </w:r>
          </w:p>
        </w:tc>
        <w:tc>
          <w:tcPr>
            <w:tcW w:w="1433" w:type="dxa"/>
            <w:tcBorders>
              <w:left w:val="nil"/>
              <w:right w:val="nil"/>
            </w:tcBorders>
            <w:shd w:val="clear" w:color="auto" w:fill="auto"/>
            <w:noWrap/>
          </w:tcPr>
          <w:p w14:paraId="1A338CC9" w14:textId="58E90429" w:rsidR="00172B81" w:rsidRPr="00537128" w:rsidRDefault="00172B81" w:rsidP="00172B81">
            <w:pPr>
              <w:spacing w:after="0" w:line="220" w:lineRule="exact"/>
              <w:jc w:val="right"/>
              <w:rPr>
                <w:rFonts w:ascii="Calibri" w:eastAsia="Times New Roman" w:hAnsi="Calibri" w:cs="Arial"/>
                <w:sz w:val="18"/>
                <w:szCs w:val="18"/>
                <w:lang w:val="en-US"/>
              </w:rPr>
            </w:pPr>
            <w:r w:rsidRPr="002432DC">
              <w:rPr>
                <w:rFonts w:ascii="Calibri" w:hAnsi="Calibri" w:cs="Arial"/>
                <w:color w:val="000000"/>
                <w:sz w:val="18"/>
                <w:szCs w:val="18"/>
              </w:rPr>
              <w:t>68</w:t>
            </w:r>
          </w:p>
        </w:tc>
        <w:tc>
          <w:tcPr>
            <w:tcW w:w="1244" w:type="dxa"/>
            <w:tcBorders>
              <w:left w:val="nil"/>
              <w:right w:val="nil"/>
            </w:tcBorders>
            <w:shd w:val="clear" w:color="auto" w:fill="auto"/>
          </w:tcPr>
          <w:p w14:paraId="46ACCD5E" w14:textId="4FCAFD84" w:rsidR="00172B81" w:rsidRPr="00537128" w:rsidRDefault="00172B81" w:rsidP="00172B8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13</w:t>
            </w:r>
          </w:p>
        </w:tc>
      </w:tr>
      <w:tr w:rsidR="00172B81" w:rsidRPr="00537128" w14:paraId="678DBBCB" w14:textId="77777777" w:rsidTr="001E7D22">
        <w:trPr>
          <w:trHeight w:val="73"/>
        </w:trPr>
        <w:tc>
          <w:tcPr>
            <w:tcW w:w="6524" w:type="dxa"/>
            <w:vAlign w:val="bottom"/>
            <w:hideMark/>
          </w:tcPr>
          <w:p w14:paraId="7550BC8A" w14:textId="77777777" w:rsidR="00172B81" w:rsidRPr="00537128" w:rsidRDefault="00172B81" w:rsidP="00172B81">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Reinsurer's share</w:t>
            </w:r>
          </w:p>
        </w:tc>
        <w:tc>
          <w:tcPr>
            <w:tcW w:w="1433" w:type="dxa"/>
            <w:tcBorders>
              <w:left w:val="nil"/>
              <w:bottom w:val="single" w:sz="4" w:space="0" w:color="auto"/>
              <w:right w:val="nil"/>
            </w:tcBorders>
            <w:shd w:val="clear" w:color="auto" w:fill="auto"/>
            <w:noWrap/>
          </w:tcPr>
          <w:p w14:paraId="355DEFB2" w14:textId="7E517281" w:rsidR="00172B81" w:rsidRPr="00537128" w:rsidRDefault="00172B81" w:rsidP="00172B81">
            <w:pPr>
              <w:spacing w:after="0" w:line="220" w:lineRule="exact"/>
              <w:jc w:val="right"/>
              <w:rPr>
                <w:rFonts w:ascii="Calibri" w:eastAsia="Times New Roman" w:hAnsi="Calibri" w:cs="Arial"/>
                <w:sz w:val="18"/>
                <w:szCs w:val="18"/>
                <w:lang w:val="en-US"/>
              </w:rPr>
            </w:pPr>
            <w:r w:rsidRPr="002432DC">
              <w:rPr>
                <w:rFonts w:ascii="Calibri" w:hAnsi="Calibri" w:cs="Arial"/>
                <w:color w:val="000000"/>
                <w:sz w:val="18"/>
                <w:szCs w:val="18"/>
              </w:rPr>
              <w:t xml:space="preserve"> (40)</w:t>
            </w:r>
          </w:p>
        </w:tc>
        <w:tc>
          <w:tcPr>
            <w:tcW w:w="1244" w:type="dxa"/>
            <w:tcBorders>
              <w:left w:val="nil"/>
              <w:bottom w:val="single" w:sz="4" w:space="0" w:color="auto"/>
              <w:right w:val="nil"/>
            </w:tcBorders>
            <w:shd w:val="clear" w:color="auto" w:fill="auto"/>
          </w:tcPr>
          <w:p w14:paraId="6FC1595A" w14:textId="17D85419" w:rsidR="00172B81" w:rsidRPr="00537128" w:rsidRDefault="00172B81" w:rsidP="00172B8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(7)</w:t>
            </w:r>
          </w:p>
        </w:tc>
      </w:tr>
      <w:tr w:rsidR="00172B81" w:rsidRPr="00537128" w14:paraId="56F8079E" w14:textId="77777777" w:rsidTr="001E7D22">
        <w:trPr>
          <w:trHeight w:val="102"/>
        </w:trPr>
        <w:tc>
          <w:tcPr>
            <w:tcW w:w="6524" w:type="dxa"/>
            <w:vAlign w:val="bottom"/>
            <w:hideMark/>
          </w:tcPr>
          <w:p w14:paraId="436A3C61" w14:textId="77777777" w:rsidR="00172B81" w:rsidRPr="00537128" w:rsidRDefault="00172B81" w:rsidP="00172B81">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Net expense and reserve for returned premiums</w:t>
            </w:r>
          </w:p>
        </w:tc>
        <w:tc>
          <w:tcPr>
            <w:tcW w:w="1433" w:type="dxa"/>
            <w:tcBorders>
              <w:top w:val="single" w:sz="4" w:space="0" w:color="auto"/>
              <w:left w:val="nil"/>
              <w:bottom w:val="single" w:sz="12" w:space="0" w:color="auto"/>
              <w:right w:val="nil"/>
            </w:tcBorders>
            <w:shd w:val="clear" w:color="auto" w:fill="auto"/>
            <w:noWrap/>
          </w:tcPr>
          <w:p w14:paraId="5D9B22B6" w14:textId="15A2C85C" w:rsidR="00172B81" w:rsidRPr="00537128" w:rsidRDefault="00172B81" w:rsidP="00172B81">
            <w:pPr>
              <w:spacing w:after="0" w:line="220" w:lineRule="exact"/>
              <w:jc w:val="right"/>
              <w:rPr>
                <w:rFonts w:ascii="Calibri" w:eastAsia="Times New Roman" w:hAnsi="Calibri" w:cs="Arial"/>
                <w:b/>
                <w:sz w:val="18"/>
                <w:szCs w:val="18"/>
                <w:lang w:val="en-US"/>
              </w:rPr>
            </w:pPr>
            <w:r w:rsidRPr="002432DC">
              <w:rPr>
                <w:rFonts w:ascii="Calibri" w:hAnsi="Calibri" w:cs="Arial"/>
                <w:b/>
                <w:bCs/>
                <w:color w:val="000000"/>
                <w:sz w:val="18"/>
                <w:szCs w:val="18"/>
              </w:rPr>
              <w:t xml:space="preserve"> (189)</w:t>
            </w:r>
          </w:p>
        </w:tc>
        <w:tc>
          <w:tcPr>
            <w:tcW w:w="1244" w:type="dxa"/>
            <w:tcBorders>
              <w:top w:val="single" w:sz="4" w:space="0" w:color="auto"/>
              <w:left w:val="nil"/>
              <w:bottom w:val="single" w:sz="12" w:space="0" w:color="auto"/>
              <w:right w:val="nil"/>
            </w:tcBorders>
            <w:shd w:val="clear" w:color="auto" w:fill="auto"/>
          </w:tcPr>
          <w:p w14:paraId="238F9947" w14:textId="7BE87D7D" w:rsidR="00172B81" w:rsidRPr="00537128" w:rsidRDefault="00172B81" w:rsidP="00172B81">
            <w:pPr>
              <w:spacing w:after="0" w:line="220" w:lineRule="exact"/>
              <w:jc w:val="right"/>
              <w:rPr>
                <w:rFonts w:ascii="Calibri" w:eastAsia="Times New Roman" w:hAnsi="Calibri" w:cs="Arial"/>
                <w:b/>
                <w:sz w:val="18"/>
                <w:szCs w:val="18"/>
                <w:lang w:val="en-US"/>
              </w:rPr>
            </w:pPr>
            <w:r>
              <w:rPr>
                <w:rFonts w:ascii="Calibri" w:hAnsi="Calibri" w:cs="Arial"/>
                <w:b/>
                <w:color w:val="000000"/>
                <w:sz w:val="18"/>
                <w:szCs w:val="18"/>
              </w:rPr>
              <w:t>(130)</w:t>
            </w:r>
          </w:p>
        </w:tc>
      </w:tr>
      <w:tr w:rsidR="00172B81" w:rsidRPr="00537128" w14:paraId="773F07B6" w14:textId="77777777" w:rsidTr="001E7D22">
        <w:trPr>
          <w:trHeight w:val="66"/>
        </w:trPr>
        <w:tc>
          <w:tcPr>
            <w:tcW w:w="6524" w:type="dxa"/>
            <w:vAlign w:val="bottom"/>
          </w:tcPr>
          <w:p w14:paraId="0449158A" w14:textId="77777777" w:rsidR="00172B81" w:rsidRPr="00537128" w:rsidRDefault="00172B81" w:rsidP="00172B81">
            <w:pPr>
              <w:spacing w:after="0" w:line="140" w:lineRule="exact"/>
              <w:rPr>
                <w:rFonts w:ascii="Calibri" w:eastAsia="Times New Roman" w:hAnsi="Calibri" w:cs="Arial"/>
                <w:sz w:val="18"/>
                <w:szCs w:val="18"/>
                <w:lang w:val="en-US"/>
              </w:rPr>
            </w:pPr>
          </w:p>
        </w:tc>
        <w:tc>
          <w:tcPr>
            <w:tcW w:w="1433" w:type="dxa"/>
            <w:tcBorders>
              <w:top w:val="single" w:sz="12" w:space="0" w:color="auto"/>
              <w:left w:val="nil"/>
              <w:bottom w:val="nil"/>
              <w:right w:val="nil"/>
            </w:tcBorders>
            <w:shd w:val="clear" w:color="auto" w:fill="auto"/>
            <w:noWrap/>
          </w:tcPr>
          <w:p w14:paraId="02CBFA25" w14:textId="77777777" w:rsidR="00172B81" w:rsidRPr="00537128" w:rsidRDefault="00172B81" w:rsidP="00172B81">
            <w:pPr>
              <w:spacing w:after="0" w:line="140" w:lineRule="exact"/>
              <w:jc w:val="right"/>
              <w:rPr>
                <w:rFonts w:ascii="Calibri" w:eastAsia="Times New Roman" w:hAnsi="Calibri" w:cs="Arial"/>
                <w:sz w:val="18"/>
                <w:szCs w:val="18"/>
                <w:lang w:val="en-US"/>
              </w:rPr>
            </w:pPr>
          </w:p>
        </w:tc>
        <w:tc>
          <w:tcPr>
            <w:tcW w:w="1244" w:type="dxa"/>
            <w:tcBorders>
              <w:top w:val="single" w:sz="12" w:space="0" w:color="auto"/>
              <w:left w:val="nil"/>
              <w:bottom w:val="nil"/>
              <w:right w:val="nil"/>
            </w:tcBorders>
            <w:shd w:val="clear" w:color="auto" w:fill="auto"/>
          </w:tcPr>
          <w:p w14:paraId="66481AF5" w14:textId="77777777" w:rsidR="00172B81" w:rsidRPr="00537128" w:rsidRDefault="00172B81" w:rsidP="00172B81">
            <w:pPr>
              <w:spacing w:after="0" w:line="140" w:lineRule="exact"/>
              <w:jc w:val="right"/>
              <w:rPr>
                <w:rFonts w:ascii="Calibri" w:eastAsia="Times New Roman" w:hAnsi="Calibri" w:cs="Arial"/>
                <w:sz w:val="18"/>
                <w:szCs w:val="18"/>
                <w:lang w:val="en-US"/>
              </w:rPr>
            </w:pPr>
          </w:p>
        </w:tc>
      </w:tr>
      <w:tr w:rsidR="00172B81" w:rsidRPr="00537128" w14:paraId="5BD23A0E" w14:textId="77777777" w:rsidTr="001E7D22">
        <w:trPr>
          <w:trHeight w:val="135"/>
        </w:trPr>
        <w:tc>
          <w:tcPr>
            <w:tcW w:w="6524" w:type="dxa"/>
            <w:vAlign w:val="bottom"/>
            <w:hideMark/>
          </w:tcPr>
          <w:p w14:paraId="4817D8BD" w14:textId="77777777" w:rsidR="00172B81" w:rsidRPr="00537128" w:rsidRDefault="00172B81" w:rsidP="00172B81">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Claims incurred</w:t>
            </w:r>
          </w:p>
        </w:tc>
        <w:tc>
          <w:tcPr>
            <w:tcW w:w="1433" w:type="dxa"/>
            <w:tcBorders>
              <w:top w:val="nil"/>
              <w:left w:val="nil"/>
              <w:bottom w:val="nil"/>
              <w:right w:val="nil"/>
            </w:tcBorders>
            <w:shd w:val="clear" w:color="auto" w:fill="auto"/>
            <w:noWrap/>
          </w:tcPr>
          <w:p w14:paraId="55E29BCE" w14:textId="20ED30E3" w:rsidR="00172B81" w:rsidRPr="00537128" w:rsidRDefault="00172B81" w:rsidP="00172B81">
            <w:pPr>
              <w:spacing w:after="0" w:line="220" w:lineRule="exact"/>
              <w:jc w:val="right"/>
              <w:rPr>
                <w:rFonts w:ascii="Calibri" w:eastAsia="Times New Roman" w:hAnsi="Calibri" w:cs="Arial"/>
                <w:sz w:val="18"/>
                <w:szCs w:val="18"/>
                <w:lang w:val="en-US"/>
              </w:rPr>
            </w:pPr>
            <w:r w:rsidRPr="002432DC">
              <w:rPr>
                <w:rFonts w:ascii="Calibri" w:hAnsi="Calibri" w:cs="Arial"/>
                <w:color w:val="000000"/>
                <w:sz w:val="18"/>
                <w:szCs w:val="18"/>
              </w:rPr>
              <w:t xml:space="preserve"> (36)</w:t>
            </w:r>
          </w:p>
        </w:tc>
        <w:tc>
          <w:tcPr>
            <w:tcW w:w="1244" w:type="dxa"/>
            <w:tcBorders>
              <w:top w:val="nil"/>
              <w:left w:val="nil"/>
              <w:bottom w:val="nil"/>
              <w:right w:val="nil"/>
            </w:tcBorders>
            <w:shd w:val="clear" w:color="auto" w:fill="auto"/>
          </w:tcPr>
          <w:p w14:paraId="7180232C" w14:textId="5B9114BF" w:rsidR="00172B81" w:rsidRPr="00537128" w:rsidRDefault="00172B81" w:rsidP="00172B8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(98)</w:t>
            </w:r>
          </w:p>
        </w:tc>
      </w:tr>
      <w:tr w:rsidR="00172B81" w:rsidRPr="00537128" w14:paraId="69025707" w14:textId="77777777" w:rsidTr="001E7D22">
        <w:trPr>
          <w:trHeight w:val="81"/>
        </w:trPr>
        <w:tc>
          <w:tcPr>
            <w:tcW w:w="6524" w:type="dxa"/>
            <w:vAlign w:val="bottom"/>
            <w:hideMark/>
          </w:tcPr>
          <w:p w14:paraId="2B0A1AA8" w14:textId="77777777" w:rsidR="00172B81" w:rsidRPr="00537128" w:rsidRDefault="00172B81" w:rsidP="00172B81">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Claims incurred, reinsurer's share</w:t>
            </w:r>
          </w:p>
        </w:tc>
        <w:tc>
          <w:tcPr>
            <w:tcW w:w="1433" w:type="dxa"/>
            <w:tcBorders>
              <w:top w:val="nil"/>
              <w:left w:val="nil"/>
              <w:bottom w:val="nil"/>
              <w:right w:val="nil"/>
            </w:tcBorders>
            <w:shd w:val="clear" w:color="auto" w:fill="auto"/>
            <w:noWrap/>
          </w:tcPr>
          <w:p w14:paraId="3DAD6444" w14:textId="46794889" w:rsidR="00172B81" w:rsidRPr="00537128" w:rsidRDefault="00172B81" w:rsidP="00172B81">
            <w:pPr>
              <w:spacing w:after="0" w:line="220" w:lineRule="exact"/>
              <w:jc w:val="right"/>
              <w:rPr>
                <w:rFonts w:ascii="Calibri" w:eastAsia="Times New Roman" w:hAnsi="Calibri" w:cs="Arial"/>
                <w:sz w:val="18"/>
                <w:szCs w:val="18"/>
                <w:lang w:val="en-US"/>
              </w:rPr>
            </w:pPr>
            <w:r w:rsidRPr="002432DC">
              <w:rPr>
                <w:rFonts w:ascii="Calibri" w:hAnsi="Calibri" w:cs="Arial"/>
                <w:color w:val="000000"/>
                <w:sz w:val="18"/>
                <w:szCs w:val="18"/>
              </w:rPr>
              <w:t>3</w:t>
            </w:r>
          </w:p>
        </w:tc>
        <w:tc>
          <w:tcPr>
            <w:tcW w:w="1244" w:type="dxa"/>
            <w:tcBorders>
              <w:top w:val="nil"/>
              <w:left w:val="nil"/>
              <w:bottom w:val="nil"/>
              <w:right w:val="nil"/>
            </w:tcBorders>
            <w:shd w:val="clear" w:color="auto" w:fill="auto"/>
          </w:tcPr>
          <w:p w14:paraId="3FEC5840" w14:textId="0D3C5215" w:rsidR="00172B81" w:rsidRPr="00537128" w:rsidRDefault="00172B81" w:rsidP="00172B8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20</w:t>
            </w:r>
          </w:p>
        </w:tc>
      </w:tr>
      <w:tr w:rsidR="00172B81" w:rsidRPr="00537128" w14:paraId="6C899B8B" w14:textId="77777777" w:rsidTr="001E7D22">
        <w:trPr>
          <w:trHeight w:val="114"/>
        </w:trPr>
        <w:tc>
          <w:tcPr>
            <w:tcW w:w="6524" w:type="dxa"/>
            <w:vAlign w:val="bottom"/>
            <w:hideMark/>
          </w:tcPr>
          <w:p w14:paraId="19D1A833" w14:textId="77777777" w:rsidR="00172B81" w:rsidRPr="00537128" w:rsidRDefault="00172B81" w:rsidP="00172B81">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Change in the claims provision</w:t>
            </w:r>
          </w:p>
        </w:tc>
        <w:tc>
          <w:tcPr>
            <w:tcW w:w="1433" w:type="dxa"/>
            <w:tcBorders>
              <w:top w:val="nil"/>
              <w:left w:val="nil"/>
              <w:bottom w:val="nil"/>
              <w:right w:val="nil"/>
            </w:tcBorders>
            <w:shd w:val="clear" w:color="auto" w:fill="auto"/>
            <w:noWrap/>
          </w:tcPr>
          <w:p w14:paraId="1B2E5B49" w14:textId="5CF02F96" w:rsidR="00172B81" w:rsidRPr="00537128" w:rsidRDefault="00172B81" w:rsidP="00172B81">
            <w:pPr>
              <w:spacing w:after="0" w:line="220" w:lineRule="exact"/>
              <w:jc w:val="right"/>
              <w:rPr>
                <w:rFonts w:ascii="Calibri" w:eastAsia="Times New Roman" w:hAnsi="Calibri" w:cs="Arial"/>
                <w:sz w:val="18"/>
                <w:szCs w:val="18"/>
                <w:lang w:val="en-US"/>
              </w:rPr>
            </w:pPr>
            <w:r w:rsidRPr="002432DC">
              <w:rPr>
                <w:rFonts w:ascii="Calibri" w:hAnsi="Calibri" w:cs="Arial"/>
                <w:color w:val="000000"/>
                <w:sz w:val="18"/>
                <w:szCs w:val="18"/>
              </w:rPr>
              <w:t xml:space="preserve"> (2</w:t>
            </w:r>
            <w:r>
              <w:rPr>
                <w:rFonts w:ascii="Calibri" w:hAnsi="Calibri" w:cs="Arial"/>
                <w:color w:val="000000"/>
                <w:sz w:val="18"/>
                <w:szCs w:val="18"/>
              </w:rPr>
              <w:t>,</w:t>
            </w:r>
            <w:r w:rsidRPr="002432DC">
              <w:rPr>
                <w:rFonts w:ascii="Calibri" w:hAnsi="Calibri" w:cs="Arial"/>
                <w:color w:val="000000"/>
                <w:sz w:val="18"/>
                <w:szCs w:val="18"/>
              </w:rPr>
              <w:t>239)</w:t>
            </w:r>
          </w:p>
        </w:tc>
        <w:tc>
          <w:tcPr>
            <w:tcW w:w="1244" w:type="dxa"/>
            <w:tcBorders>
              <w:top w:val="nil"/>
              <w:left w:val="nil"/>
              <w:bottom w:val="nil"/>
              <w:right w:val="nil"/>
            </w:tcBorders>
            <w:shd w:val="clear" w:color="auto" w:fill="auto"/>
          </w:tcPr>
          <w:p w14:paraId="5C70C02E" w14:textId="6661E3CC" w:rsidR="00172B81" w:rsidRPr="00537128" w:rsidRDefault="00172B81" w:rsidP="00172B8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(135)</w:t>
            </w:r>
          </w:p>
        </w:tc>
      </w:tr>
      <w:tr w:rsidR="00172B81" w:rsidRPr="00537128" w14:paraId="520E3873" w14:textId="77777777" w:rsidTr="001E7D22">
        <w:trPr>
          <w:trHeight w:val="67"/>
        </w:trPr>
        <w:tc>
          <w:tcPr>
            <w:tcW w:w="6524" w:type="dxa"/>
            <w:vAlign w:val="bottom"/>
            <w:hideMark/>
          </w:tcPr>
          <w:p w14:paraId="762126D8" w14:textId="77777777" w:rsidR="00172B81" w:rsidRPr="00537128" w:rsidRDefault="00172B81" w:rsidP="00172B81">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Change in the claims provision, reinsurer's share</w:t>
            </w:r>
          </w:p>
        </w:tc>
        <w:tc>
          <w:tcPr>
            <w:tcW w:w="1433" w:type="dxa"/>
            <w:tcBorders>
              <w:top w:val="nil"/>
              <w:left w:val="nil"/>
              <w:bottom w:val="single" w:sz="4" w:space="0" w:color="auto"/>
              <w:right w:val="nil"/>
            </w:tcBorders>
            <w:shd w:val="clear" w:color="auto" w:fill="auto"/>
            <w:noWrap/>
          </w:tcPr>
          <w:p w14:paraId="70DC1657" w14:textId="00E6C48A" w:rsidR="00172B81" w:rsidRPr="00537128" w:rsidRDefault="00172B81" w:rsidP="00172B81">
            <w:pPr>
              <w:spacing w:after="0" w:line="220" w:lineRule="exact"/>
              <w:jc w:val="right"/>
              <w:rPr>
                <w:rFonts w:ascii="Calibri" w:eastAsia="Times New Roman" w:hAnsi="Calibri" w:cs="Arial"/>
                <w:sz w:val="18"/>
                <w:szCs w:val="18"/>
                <w:lang w:val="en-US"/>
              </w:rPr>
            </w:pPr>
            <w:r w:rsidRPr="002432DC">
              <w:rPr>
                <w:rFonts w:ascii="Calibri" w:hAnsi="Calibri" w:cs="Arial"/>
                <w:color w:val="000000"/>
                <w:sz w:val="18"/>
                <w:szCs w:val="18"/>
              </w:rPr>
              <w:t>335</w:t>
            </w:r>
          </w:p>
        </w:tc>
        <w:tc>
          <w:tcPr>
            <w:tcW w:w="1244" w:type="dxa"/>
            <w:tcBorders>
              <w:top w:val="nil"/>
              <w:left w:val="nil"/>
              <w:bottom w:val="single" w:sz="4" w:space="0" w:color="auto"/>
              <w:right w:val="nil"/>
            </w:tcBorders>
            <w:shd w:val="clear" w:color="auto" w:fill="auto"/>
          </w:tcPr>
          <w:p w14:paraId="4651FAC5" w14:textId="710BED48" w:rsidR="00172B81" w:rsidRPr="00537128" w:rsidRDefault="00172B81" w:rsidP="00172B8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27</w:t>
            </w:r>
          </w:p>
        </w:tc>
      </w:tr>
      <w:tr w:rsidR="00172B81" w:rsidRPr="00537128" w14:paraId="63DA914A" w14:textId="77777777" w:rsidTr="001E7D22">
        <w:trPr>
          <w:trHeight w:val="80"/>
        </w:trPr>
        <w:tc>
          <w:tcPr>
            <w:tcW w:w="6524" w:type="dxa"/>
            <w:vAlign w:val="bottom"/>
            <w:hideMark/>
          </w:tcPr>
          <w:p w14:paraId="0698684D" w14:textId="77777777" w:rsidR="00172B81" w:rsidRPr="00537128" w:rsidRDefault="00172B81" w:rsidP="00172B81">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Net claims incurred</w:t>
            </w:r>
          </w:p>
        </w:tc>
        <w:tc>
          <w:tcPr>
            <w:tcW w:w="1433" w:type="dxa"/>
            <w:tcBorders>
              <w:top w:val="single" w:sz="4" w:space="0" w:color="auto"/>
              <w:left w:val="nil"/>
              <w:bottom w:val="single" w:sz="12" w:space="0" w:color="auto"/>
              <w:right w:val="nil"/>
            </w:tcBorders>
            <w:shd w:val="clear" w:color="auto" w:fill="auto"/>
            <w:noWrap/>
          </w:tcPr>
          <w:p w14:paraId="1FE60141" w14:textId="11477E36" w:rsidR="00172B81" w:rsidRPr="00537128" w:rsidRDefault="00172B81" w:rsidP="00172B81">
            <w:pPr>
              <w:spacing w:after="0" w:line="220" w:lineRule="exact"/>
              <w:jc w:val="right"/>
              <w:rPr>
                <w:rFonts w:ascii="Calibri" w:eastAsia="Times New Roman" w:hAnsi="Calibri" w:cs="Arial"/>
                <w:b/>
                <w:bCs/>
                <w:sz w:val="18"/>
                <w:szCs w:val="18"/>
                <w:lang w:val="en-US"/>
              </w:rPr>
            </w:pPr>
            <w:r w:rsidRPr="002432DC">
              <w:rPr>
                <w:rFonts w:ascii="Calibri" w:hAnsi="Calibri" w:cs="Arial"/>
                <w:b/>
                <w:bCs/>
                <w:color w:val="000000"/>
                <w:sz w:val="18"/>
                <w:szCs w:val="18"/>
              </w:rPr>
              <w:t xml:space="preserve"> (1</w:t>
            </w:r>
            <w:r>
              <w:rPr>
                <w:rFonts w:ascii="Calibri" w:hAnsi="Calibri" w:cs="Arial"/>
                <w:b/>
                <w:bCs/>
                <w:color w:val="000000"/>
                <w:sz w:val="18"/>
                <w:szCs w:val="18"/>
              </w:rPr>
              <w:t>,</w:t>
            </w:r>
            <w:r w:rsidRPr="002432DC">
              <w:rPr>
                <w:rFonts w:ascii="Calibri" w:hAnsi="Calibri" w:cs="Arial"/>
                <w:b/>
                <w:bCs/>
                <w:color w:val="000000"/>
                <w:sz w:val="18"/>
                <w:szCs w:val="18"/>
              </w:rPr>
              <w:t>937)</w:t>
            </w:r>
          </w:p>
        </w:tc>
        <w:tc>
          <w:tcPr>
            <w:tcW w:w="1244" w:type="dxa"/>
            <w:tcBorders>
              <w:top w:val="single" w:sz="4" w:space="0" w:color="auto"/>
              <w:left w:val="nil"/>
              <w:bottom w:val="single" w:sz="12" w:space="0" w:color="auto"/>
              <w:right w:val="nil"/>
            </w:tcBorders>
            <w:shd w:val="clear" w:color="auto" w:fill="auto"/>
          </w:tcPr>
          <w:p w14:paraId="55CAE5B1" w14:textId="5CDD7FEE" w:rsidR="00172B81" w:rsidRPr="00537128" w:rsidRDefault="00172B81" w:rsidP="00172B81">
            <w:pPr>
              <w:spacing w:after="0" w:line="220" w:lineRule="exact"/>
              <w:jc w:val="right"/>
              <w:rPr>
                <w:rFonts w:ascii="Calibri" w:eastAsia="Times New Roman" w:hAnsi="Calibri" w:cs="Arial"/>
                <w:b/>
                <w:bCs/>
                <w:sz w:val="18"/>
                <w:szCs w:val="18"/>
                <w:lang w:val="en-US"/>
              </w:rPr>
            </w:pPr>
            <w:r>
              <w:rPr>
                <w:rFonts w:ascii="Calibri" w:hAnsi="Calibri" w:cs="Arial"/>
                <w:b/>
                <w:bCs/>
                <w:color w:val="000000"/>
                <w:sz w:val="18"/>
                <w:szCs w:val="18"/>
              </w:rPr>
              <w:t>(186)</w:t>
            </w:r>
          </w:p>
        </w:tc>
      </w:tr>
      <w:tr w:rsidR="00172B81" w:rsidRPr="00537128" w14:paraId="39EBF7FA" w14:textId="77777777" w:rsidTr="001E7D22">
        <w:trPr>
          <w:trHeight w:val="31"/>
        </w:trPr>
        <w:tc>
          <w:tcPr>
            <w:tcW w:w="6524" w:type="dxa"/>
            <w:vAlign w:val="bottom"/>
          </w:tcPr>
          <w:p w14:paraId="5304A37E" w14:textId="77777777" w:rsidR="00172B81" w:rsidRPr="00537128" w:rsidRDefault="00172B81" w:rsidP="00172B81">
            <w:pPr>
              <w:spacing w:after="0" w:line="140" w:lineRule="exact"/>
              <w:rPr>
                <w:rFonts w:ascii="Calibri" w:eastAsia="Times New Roman" w:hAnsi="Calibri" w:cs="Arial"/>
                <w:b/>
                <w:bCs/>
                <w:sz w:val="18"/>
                <w:szCs w:val="18"/>
                <w:lang w:val="en-US"/>
              </w:rPr>
            </w:pPr>
          </w:p>
        </w:tc>
        <w:tc>
          <w:tcPr>
            <w:tcW w:w="1433" w:type="dxa"/>
            <w:tcBorders>
              <w:top w:val="single" w:sz="12" w:space="0" w:color="auto"/>
              <w:left w:val="nil"/>
              <w:right w:val="nil"/>
            </w:tcBorders>
            <w:shd w:val="clear" w:color="auto" w:fill="auto"/>
            <w:noWrap/>
          </w:tcPr>
          <w:p w14:paraId="7400E9EB" w14:textId="77777777" w:rsidR="00172B81" w:rsidRPr="00537128" w:rsidRDefault="00172B81" w:rsidP="00172B81">
            <w:pPr>
              <w:spacing w:after="0" w:line="140" w:lineRule="exact"/>
              <w:jc w:val="right"/>
              <w:rPr>
                <w:rFonts w:ascii="Calibri" w:eastAsia="Times New Roman" w:hAnsi="Calibri" w:cs="Arial"/>
                <w:b/>
                <w:bCs/>
                <w:sz w:val="18"/>
                <w:szCs w:val="18"/>
                <w:lang w:val="en-US"/>
              </w:rPr>
            </w:pPr>
          </w:p>
        </w:tc>
        <w:tc>
          <w:tcPr>
            <w:tcW w:w="1244" w:type="dxa"/>
            <w:tcBorders>
              <w:top w:val="single" w:sz="12" w:space="0" w:color="auto"/>
              <w:left w:val="nil"/>
              <w:right w:val="nil"/>
            </w:tcBorders>
            <w:shd w:val="clear" w:color="auto" w:fill="auto"/>
          </w:tcPr>
          <w:p w14:paraId="621AD1B5" w14:textId="77777777" w:rsidR="00172B81" w:rsidRPr="00537128" w:rsidRDefault="00172B81" w:rsidP="00172B81">
            <w:pPr>
              <w:spacing w:after="0" w:line="140" w:lineRule="exact"/>
              <w:jc w:val="right"/>
              <w:rPr>
                <w:rFonts w:ascii="Calibri" w:eastAsia="Times New Roman" w:hAnsi="Calibri" w:cs="Arial"/>
                <w:b/>
                <w:bCs/>
                <w:sz w:val="18"/>
                <w:szCs w:val="18"/>
                <w:lang w:val="en-US"/>
              </w:rPr>
            </w:pPr>
          </w:p>
        </w:tc>
      </w:tr>
      <w:tr w:rsidR="00172B81" w:rsidRPr="00537128" w14:paraId="3475E666" w14:textId="77777777" w:rsidTr="001E7D22">
        <w:trPr>
          <w:trHeight w:val="129"/>
        </w:trPr>
        <w:tc>
          <w:tcPr>
            <w:tcW w:w="6524" w:type="dxa"/>
            <w:vAlign w:val="bottom"/>
            <w:hideMark/>
          </w:tcPr>
          <w:p w14:paraId="2C9508E3" w14:textId="77777777" w:rsidR="00172B81" w:rsidRPr="00537128" w:rsidRDefault="00172B81" w:rsidP="00172B81">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Marketing and provision expenses</w:t>
            </w:r>
          </w:p>
        </w:tc>
        <w:tc>
          <w:tcPr>
            <w:tcW w:w="1433" w:type="dxa"/>
            <w:tcBorders>
              <w:left w:val="nil"/>
              <w:right w:val="nil"/>
            </w:tcBorders>
            <w:shd w:val="clear" w:color="auto" w:fill="auto"/>
            <w:noWrap/>
          </w:tcPr>
          <w:p w14:paraId="6C82C8D9" w14:textId="3A3DD6F7" w:rsidR="00172B81" w:rsidRPr="00537128" w:rsidRDefault="00172B81" w:rsidP="00172B81">
            <w:pPr>
              <w:spacing w:after="0" w:line="220" w:lineRule="exact"/>
              <w:jc w:val="right"/>
              <w:rPr>
                <w:rFonts w:ascii="Calibri" w:eastAsia="Times New Roman" w:hAnsi="Calibri" w:cs="Arial"/>
                <w:bCs/>
                <w:sz w:val="18"/>
                <w:szCs w:val="18"/>
                <w:lang w:val="en-US"/>
              </w:rPr>
            </w:pPr>
            <w:r w:rsidRPr="002432DC">
              <w:rPr>
                <w:rFonts w:ascii="Calibri" w:hAnsi="Calibri" w:cs="Arial"/>
                <w:bCs/>
                <w:color w:val="000000"/>
                <w:sz w:val="18"/>
                <w:szCs w:val="18"/>
              </w:rPr>
              <w:t xml:space="preserve"> (192)</w:t>
            </w:r>
          </w:p>
        </w:tc>
        <w:tc>
          <w:tcPr>
            <w:tcW w:w="1244" w:type="dxa"/>
            <w:tcBorders>
              <w:left w:val="nil"/>
              <w:right w:val="nil"/>
            </w:tcBorders>
            <w:shd w:val="clear" w:color="auto" w:fill="auto"/>
          </w:tcPr>
          <w:p w14:paraId="70602B9C" w14:textId="63C4E692" w:rsidR="00172B81" w:rsidRPr="00537128" w:rsidRDefault="00172B81" w:rsidP="00172B81">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(73)</w:t>
            </w:r>
          </w:p>
        </w:tc>
      </w:tr>
      <w:tr w:rsidR="00172B81" w:rsidRPr="00537128" w14:paraId="104B9B65" w14:textId="77777777" w:rsidTr="001E7D22">
        <w:trPr>
          <w:trHeight w:val="75"/>
        </w:trPr>
        <w:tc>
          <w:tcPr>
            <w:tcW w:w="6524" w:type="dxa"/>
            <w:vAlign w:val="bottom"/>
            <w:hideMark/>
          </w:tcPr>
          <w:p w14:paraId="2A14B218" w14:textId="77777777" w:rsidR="00172B81" w:rsidRPr="00537128" w:rsidRDefault="00172B81" w:rsidP="00172B81">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Administrative expenses</w:t>
            </w:r>
          </w:p>
        </w:tc>
        <w:tc>
          <w:tcPr>
            <w:tcW w:w="1433" w:type="dxa"/>
            <w:tcBorders>
              <w:left w:val="nil"/>
              <w:right w:val="nil"/>
            </w:tcBorders>
            <w:shd w:val="clear" w:color="auto" w:fill="auto"/>
            <w:noWrap/>
          </w:tcPr>
          <w:p w14:paraId="770110CA" w14:textId="621360F5" w:rsidR="00172B81" w:rsidRPr="00537128" w:rsidRDefault="00172B81" w:rsidP="00172B81">
            <w:pPr>
              <w:spacing w:after="0" w:line="220" w:lineRule="exact"/>
              <w:jc w:val="right"/>
              <w:rPr>
                <w:rFonts w:ascii="Calibri" w:eastAsia="Times New Roman" w:hAnsi="Calibri" w:cs="Arial"/>
                <w:bCs/>
                <w:sz w:val="18"/>
                <w:szCs w:val="18"/>
                <w:lang w:val="en-US"/>
              </w:rPr>
            </w:pPr>
            <w:r w:rsidRPr="002432DC">
              <w:rPr>
                <w:rFonts w:ascii="Calibri" w:hAnsi="Calibri" w:cs="Arial"/>
                <w:bCs/>
                <w:color w:val="000000"/>
                <w:sz w:val="18"/>
                <w:szCs w:val="18"/>
              </w:rPr>
              <w:t xml:space="preserve"> (1</w:t>
            </w:r>
            <w:r>
              <w:rPr>
                <w:rFonts w:ascii="Calibri" w:hAnsi="Calibri" w:cs="Arial"/>
                <w:bCs/>
                <w:color w:val="000000"/>
                <w:sz w:val="18"/>
                <w:szCs w:val="18"/>
              </w:rPr>
              <w:t>,</w:t>
            </w:r>
            <w:r w:rsidRPr="002432DC">
              <w:rPr>
                <w:rFonts w:ascii="Calibri" w:hAnsi="Calibri" w:cs="Arial"/>
                <w:bCs/>
                <w:color w:val="000000"/>
                <w:sz w:val="18"/>
                <w:szCs w:val="18"/>
              </w:rPr>
              <w:t>826)</w:t>
            </w:r>
          </w:p>
        </w:tc>
        <w:tc>
          <w:tcPr>
            <w:tcW w:w="1244" w:type="dxa"/>
            <w:tcBorders>
              <w:left w:val="nil"/>
              <w:right w:val="nil"/>
            </w:tcBorders>
            <w:shd w:val="clear" w:color="auto" w:fill="auto"/>
          </w:tcPr>
          <w:p w14:paraId="7EEE1FEC" w14:textId="6DCE5A63" w:rsidR="00172B81" w:rsidRPr="00537128" w:rsidRDefault="00172B81" w:rsidP="00172B81">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(1,813)</w:t>
            </w:r>
          </w:p>
        </w:tc>
      </w:tr>
      <w:tr w:rsidR="00172B81" w:rsidRPr="00537128" w14:paraId="0AA15189" w14:textId="77777777" w:rsidTr="001E7D22">
        <w:trPr>
          <w:trHeight w:val="116"/>
        </w:trPr>
        <w:tc>
          <w:tcPr>
            <w:tcW w:w="6524" w:type="dxa"/>
            <w:vAlign w:val="bottom"/>
            <w:hideMark/>
          </w:tcPr>
          <w:p w14:paraId="3F953281" w14:textId="77777777" w:rsidR="00172B81" w:rsidRPr="00537128" w:rsidRDefault="00172B81" w:rsidP="00172B81">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Other operating expenses</w:t>
            </w:r>
          </w:p>
        </w:tc>
        <w:tc>
          <w:tcPr>
            <w:tcW w:w="1433" w:type="dxa"/>
            <w:tcBorders>
              <w:left w:val="nil"/>
              <w:right w:val="nil"/>
            </w:tcBorders>
            <w:shd w:val="clear" w:color="auto" w:fill="auto"/>
            <w:noWrap/>
          </w:tcPr>
          <w:p w14:paraId="59BF5D46" w14:textId="704C7E27" w:rsidR="00172B81" w:rsidRPr="00537128" w:rsidRDefault="00172B81" w:rsidP="00172B81">
            <w:pPr>
              <w:spacing w:after="0" w:line="220" w:lineRule="exact"/>
              <w:jc w:val="right"/>
              <w:rPr>
                <w:rFonts w:ascii="Calibri" w:eastAsia="Times New Roman" w:hAnsi="Calibri" w:cs="Arial"/>
                <w:bCs/>
                <w:sz w:val="18"/>
                <w:szCs w:val="18"/>
                <w:lang w:val="en-US"/>
              </w:rPr>
            </w:pPr>
            <w:r w:rsidRPr="002432DC">
              <w:rPr>
                <w:rFonts w:ascii="Calibri" w:hAnsi="Calibri" w:cs="Arial"/>
                <w:bCs/>
                <w:color w:val="000000"/>
                <w:sz w:val="18"/>
                <w:szCs w:val="18"/>
              </w:rPr>
              <w:t xml:space="preserve"> (44)</w:t>
            </w:r>
          </w:p>
        </w:tc>
        <w:tc>
          <w:tcPr>
            <w:tcW w:w="1244" w:type="dxa"/>
            <w:tcBorders>
              <w:left w:val="nil"/>
              <w:right w:val="nil"/>
            </w:tcBorders>
            <w:shd w:val="clear" w:color="auto" w:fill="auto"/>
          </w:tcPr>
          <w:p w14:paraId="1D6A1B2D" w14:textId="4AA73429" w:rsidR="00172B81" w:rsidRPr="00537128" w:rsidRDefault="00172B81" w:rsidP="00172B81">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(47)</w:t>
            </w:r>
          </w:p>
        </w:tc>
      </w:tr>
      <w:tr w:rsidR="00172B81" w:rsidRPr="00537128" w14:paraId="410ABB3F" w14:textId="77777777" w:rsidTr="001E7D22">
        <w:trPr>
          <w:trHeight w:val="151"/>
        </w:trPr>
        <w:tc>
          <w:tcPr>
            <w:tcW w:w="6524" w:type="dxa"/>
            <w:vAlign w:val="bottom"/>
            <w:hideMark/>
          </w:tcPr>
          <w:p w14:paraId="69C1B37B" w14:textId="77777777" w:rsidR="00172B81" w:rsidRPr="00537128" w:rsidRDefault="00172B81" w:rsidP="00172B81">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Net exchange differences other than those on financial instruments</w:t>
            </w:r>
          </w:p>
        </w:tc>
        <w:tc>
          <w:tcPr>
            <w:tcW w:w="1433" w:type="dxa"/>
            <w:tcBorders>
              <w:left w:val="nil"/>
              <w:bottom w:val="single" w:sz="4" w:space="0" w:color="auto"/>
              <w:right w:val="nil"/>
            </w:tcBorders>
            <w:shd w:val="clear" w:color="auto" w:fill="auto"/>
            <w:noWrap/>
          </w:tcPr>
          <w:p w14:paraId="470F7729" w14:textId="419096E1" w:rsidR="00172B81" w:rsidRPr="00537128" w:rsidRDefault="00172B81" w:rsidP="00172B81">
            <w:pPr>
              <w:spacing w:after="0" w:line="220" w:lineRule="exact"/>
              <w:jc w:val="right"/>
              <w:rPr>
                <w:rFonts w:ascii="Calibri" w:eastAsia="Times New Roman" w:hAnsi="Calibri" w:cs="Arial"/>
                <w:bCs/>
                <w:sz w:val="18"/>
                <w:szCs w:val="18"/>
                <w:lang w:val="en-US"/>
              </w:rPr>
            </w:pPr>
            <w:r w:rsidRPr="002432DC">
              <w:rPr>
                <w:rFonts w:ascii="Calibri" w:hAnsi="Calibri" w:cs="Arial"/>
                <w:bCs/>
                <w:color w:val="000000"/>
                <w:sz w:val="18"/>
                <w:szCs w:val="18"/>
              </w:rPr>
              <w:t xml:space="preserve"> (13)</w:t>
            </w:r>
          </w:p>
        </w:tc>
        <w:tc>
          <w:tcPr>
            <w:tcW w:w="1244" w:type="dxa"/>
            <w:tcBorders>
              <w:left w:val="nil"/>
              <w:bottom w:val="single" w:sz="4" w:space="0" w:color="auto"/>
              <w:right w:val="nil"/>
            </w:tcBorders>
            <w:shd w:val="clear" w:color="auto" w:fill="auto"/>
          </w:tcPr>
          <w:p w14:paraId="375B34F0" w14:textId="2029988B" w:rsidR="00172B81" w:rsidRPr="00537128" w:rsidRDefault="00172B81" w:rsidP="00172B81">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(4)</w:t>
            </w:r>
          </w:p>
        </w:tc>
      </w:tr>
      <w:tr w:rsidR="00172B81" w:rsidRPr="00537128" w14:paraId="7B6DBE09" w14:textId="77777777" w:rsidTr="001E7D22">
        <w:trPr>
          <w:trHeight w:val="60"/>
        </w:trPr>
        <w:tc>
          <w:tcPr>
            <w:tcW w:w="6524" w:type="dxa"/>
            <w:vAlign w:val="bottom"/>
            <w:hideMark/>
          </w:tcPr>
          <w:p w14:paraId="53BE347B" w14:textId="7C46FAA4" w:rsidR="00172B81" w:rsidRPr="00537128" w:rsidRDefault="00EE4B78" w:rsidP="00172B81">
            <w:pPr>
              <w:spacing w:after="0" w:line="220" w:lineRule="exact"/>
              <w:rPr>
                <w:rFonts w:ascii="Calibri" w:eastAsia="Times New Roman" w:hAnsi="Calibri" w:cs="Arial"/>
                <w:b/>
                <w:bCs/>
                <w:sz w:val="18"/>
                <w:szCs w:val="18"/>
                <w:lang w:val="en-US"/>
              </w:rPr>
            </w:pPr>
            <w:r>
              <w:rPr>
                <w:rFonts w:ascii="Calibri" w:eastAsia="Times New Roman" w:hAnsi="Calibri" w:cs="Arial"/>
                <w:b/>
                <w:bCs/>
                <w:sz w:val="18"/>
                <w:szCs w:val="18"/>
                <w:lang w:val="en-US"/>
              </w:rPr>
              <w:t>(Loss)/</w:t>
            </w:r>
            <w:r w:rsidR="00172B81" w:rsidRPr="00537128">
              <w:rPr>
                <w:rFonts w:ascii="Calibri" w:eastAsia="Times New Roman" w:hAnsi="Calibri" w:cs="Arial"/>
                <w:b/>
                <w:bCs/>
                <w:sz w:val="18"/>
                <w:szCs w:val="18"/>
                <w:lang w:val="en-US"/>
              </w:rPr>
              <w:t>Profit before income tax</w:t>
            </w:r>
          </w:p>
        </w:tc>
        <w:tc>
          <w:tcPr>
            <w:tcW w:w="1433" w:type="dxa"/>
            <w:tcBorders>
              <w:top w:val="single" w:sz="4" w:space="0" w:color="auto"/>
              <w:left w:val="nil"/>
              <w:bottom w:val="single" w:sz="12" w:space="0" w:color="auto"/>
              <w:right w:val="nil"/>
            </w:tcBorders>
            <w:shd w:val="clear" w:color="auto" w:fill="auto"/>
            <w:noWrap/>
          </w:tcPr>
          <w:p w14:paraId="42F02F4C" w14:textId="62F90130" w:rsidR="00172B81" w:rsidRPr="00537128" w:rsidRDefault="00172B81" w:rsidP="00172B81">
            <w:pPr>
              <w:spacing w:after="0" w:line="220" w:lineRule="exact"/>
              <w:jc w:val="right"/>
              <w:rPr>
                <w:rFonts w:ascii="Calibri" w:eastAsia="Times New Roman" w:hAnsi="Calibri" w:cs="Arial"/>
                <w:b/>
                <w:bCs/>
                <w:sz w:val="18"/>
                <w:szCs w:val="18"/>
                <w:lang w:val="en-US"/>
              </w:rPr>
            </w:pPr>
            <w:r>
              <w:rPr>
                <w:rFonts w:cs="Arial"/>
                <w:b/>
                <w:bCs/>
                <w:color w:val="000000" w:themeColor="text1"/>
                <w:sz w:val="18"/>
                <w:szCs w:val="18"/>
              </w:rPr>
              <w:t>(244)</w:t>
            </w:r>
          </w:p>
        </w:tc>
        <w:tc>
          <w:tcPr>
            <w:tcW w:w="1244" w:type="dxa"/>
            <w:tcBorders>
              <w:top w:val="single" w:sz="4" w:space="0" w:color="auto"/>
              <w:left w:val="nil"/>
              <w:bottom w:val="single" w:sz="12" w:space="0" w:color="auto"/>
              <w:right w:val="nil"/>
            </w:tcBorders>
            <w:shd w:val="clear" w:color="auto" w:fill="auto"/>
          </w:tcPr>
          <w:p w14:paraId="13533D92" w14:textId="5360AA8B" w:rsidR="00172B81" w:rsidRPr="00537128" w:rsidRDefault="00172B81" w:rsidP="00172B81">
            <w:pPr>
              <w:spacing w:after="0" w:line="220" w:lineRule="exact"/>
              <w:jc w:val="right"/>
              <w:rPr>
                <w:rFonts w:ascii="Calibri" w:eastAsia="Times New Roman" w:hAnsi="Calibri" w:cs="Arial"/>
                <w:b/>
                <w:bCs/>
                <w:sz w:val="18"/>
                <w:szCs w:val="18"/>
                <w:lang w:val="en-US"/>
              </w:rPr>
            </w:pPr>
            <w:r>
              <w:rPr>
                <w:rFonts w:ascii="Calibri" w:hAnsi="Calibri" w:cs="Arial"/>
                <w:b/>
                <w:bCs/>
                <w:color w:val="000000"/>
                <w:sz w:val="18"/>
                <w:szCs w:val="18"/>
              </w:rPr>
              <w:t>764</w:t>
            </w:r>
          </w:p>
        </w:tc>
      </w:tr>
      <w:tr w:rsidR="00172B81" w:rsidRPr="00537128" w14:paraId="7B5870EF" w14:textId="77777777" w:rsidTr="001E7D22">
        <w:trPr>
          <w:trHeight w:val="31"/>
        </w:trPr>
        <w:tc>
          <w:tcPr>
            <w:tcW w:w="6524" w:type="dxa"/>
            <w:vAlign w:val="bottom"/>
          </w:tcPr>
          <w:p w14:paraId="3C2061B8" w14:textId="77777777" w:rsidR="00172B81" w:rsidRPr="00537128" w:rsidRDefault="00172B81" w:rsidP="00172B81">
            <w:pPr>
              <w:spacing w:after="0" w:line="140" w:lineRule="exact"/>
              <w:rPr>
                <w:rFonts w:ascii="Calibri" w:eastAsia="Times New Roman" w:hAnsi="Calibri" w:cs="Arial"/>
                <w:bCs/>
                <w:sz w:val="18"/>
                <w:szCs w:val="18"/>
                <w:lang w:val="en-US"/>
              </w:rPr>
            </w:pPr>
          </w:p>
        </w:tc>
        <w:tc>
          <w:tcPr>
            <w:tcW w:w="1433" w:type="dxa"/>
            <w:tcBorders>
              <w:top w:val="single" w:sz="12" w:space="0" w:color="auto"/>
              <w:left w:val="nil"/>
              <w:right w:val="nil"/>
            </w:tcBorders>
            <w:shd w:val="clear" w:color="auto" w:fill="auto"/>
            <w:noWrap/>
          </w:tcPr>
          <w:p w14:paraId="4151B2D3" w14:textId="77777777" w:rsidR="00172B81" w:rsidRPr="00537128" w:rsidRDefault="00172B81" w:rsidP="00172B81">
            <w:pPr>
              <w:spacing w:after="0" w:line="140" w:lineRule="exact"/>
              <w:jc w:val="right"/>
              <w:rPr>
                <w:rFonts w:ascii="Calibri" w:eastAsia="Times New Roman" w:hAnsi="Calibri" w:cs="Arial"/>
                <w:bCs/>
                <w:sz w:val="18"/>
                <w:szCs w:val="18"/>
                <w:lang w:val="en-US"/>
              </w:rPr>
            </w:pPr>
          </w:p>
        </w:tc>
        <w:tc>
          <w:tcPr>
            <w:tcW w:w="1244" w:type="dxa"/>
            <w:tcBorders>
              <w:top w:val="single" w:sz="12" w:space="0" w:color="auto"/>
              <w:left w:val="nil"/>
              <w:right w:val="nil"/>
            </w:tcBorders>
            <w:shd w:val="clear" w:color="auto" w:fill="auto"/>
          </w:tcPr>
          <w:p w14:paraId="76462077" w14:textId="77777777" w:rsidR="00172B81" w:rsidRPr="00537128" w:rsidRDefault="00172B81" w:rsidP="00172B81">
            <w:pPr>
              <w:spacing w:after="0" w:line="140" w:lineRule="exact"/>
              <w:jc w:val="right"/>
              <w:rPr>
                <w:rFonts w:ascii="Calibri" w:eastAsia="Times New Roman" w:hAnsi="Calibri" w:cs="Arial"/>
                <w:bCs/>
                <w:sz w:val="18"/>
                <w:szCs w:val="18"/>
                <w:lang w:val="en-US"/>
              </w:rPr>
            </w:pPr>
          </w:p>
        </w:tc>
      </w:tr>
      <w:tr w:rsidR="00172B81" w:rsidRPr="00537128" w14:paraId="1C0C176D" w14:textId="77777777" w:rsidTr="001E7D22">
        <w:trPr>
          <w:trHeight w:val="84"/>
        </w:trPr>
        <w:tc>
          <w:tcPr>
            <w:tcW w:w="6524" w:type="dxa"/>
            <w:vAlign w:val="bottom"/>
            <w:hideMark/>
          </w:tcPr>
          <w:p w14:paraId="0AF17CD6" w14:textId="77777777" w:rsidR="00172B81" w:rsidRPr="00537128" w:rsidRDefault="00172B81" w:rsidP="00172B81">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Income tax</w:t>
            </w:r>
          </w:p>
        </w:tc>
        <w:tc>
          <w:tcPr>
            <w:tcW w:w="1433" w:type="dxa"/>
            <w:tcBorders>
              <w:left w:val="nil"/>
              <w:right w:val="nil"/>
            </w:tcBorders>
            <w:shd w:val="clear" w:color="auto" w:fill="auto"/>
            <w:noWrap/>
          </w:tcPr>
          <w:p w14:paraId="6D4EC288" w14:textId="05AF8B46" w:rsidR="00172B81" w:rsidRPr="00537128" w:rsidRDefault="00172B81" w:rsidP="00172B81">
            <w:pPr>
              <w:spacing w:after="0" w:line="220" w:lineRule="exact"/>
              <w:jc w:val="right"/>
              <w:rPr>
                <w:rFonts w:ascii="Calibri" w:eastAsia="Times New Roman" w:hAnsi="Calibri" w:cs="Arial"/>
                <w:bCs/>
                <w:sz w:val="18"/>
                <w:szCs w:val="18"/>
                <w:lang w:val="en-US"/>
              </w:rPr>
            </w:pPr>
            <w:r>
              <w:rPr>
                <w:rFonts w:cs="Arial"/>
                <w:bCs/>
                <w:color w:val="000000" w:themeColor="text1"/>
                <w:sz w:val="18"/>
                <w:szCs w:val="18"/>
              </w:rPr>
              <w:t>-</w:t>
            </w:r>
          </w:p>
        </w:tc>
        <w:tc>
          <w:tcPr>
            <w:tcW w:w="1244" w:type="dxa"/>
            <w:tcBorders>
              <w:left w:val="nil"/>
              <w:right w:val="nil"/>
            </w:tcBorders>
            <w:shd w:val="clear" w:color="auto" w:fill="auto"/>
          </w:tcPr>
          <w:p w14:paraId="0189BC5E" w14:textId="22744F30" w:rsidR="00172B81" w:rsidRPr="00537128" w:rsidRDefault="00172B81" w:rsidP="00172B81">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w:t>
            </w:r>
          </w:p>
        </w:tc>
      </w:tr>
      <w:tr w:rsidR="00172B81" w:rsidRPr="00537128" w14:paraId="2532055C" w14:textId="77777777" w:rsidTr="001E7D22">
        <w:trPr>
          <w:trHeight w:val="90"/>
        </w:trPr>
        <w:tc>
          <w:tcPr>
            <w:tcW w:w="6524" w:type="dxa"/>
            <w:vAlign w:val="bottom"/>
          </w:tcPr>
          <w:p w14:paraId="16EB69B2" w14:textId="77777777" w:rsidR="00172B81" w:rsidRPr="00537128" w:rsidRDefault="00172B81" w:rsidP="00172B81">
            <w:pPr>
              <w:spacing w:after="0" w:line="140" w:lineRule="exact"/>
              <w:rPr>
                <w:rFonts w:ascii="Calibri" w:eastAsia="Times New Roman" w:hAnsi="Calibri" w:cs="Arial"/>
                <w:b/>
                <w:bCs/>
                <w:sz w:val="18"/>
                <w:szCs w:val="18"/>
                <w:lang w:val="en-US"/>
              </w:rPr>
            </w:pPr>
          </w:p>
        </w:tc>
        <w:tc>
          <w:tcPr>
            <w:tcW w:w="1433" w:type="dxa"/>
            <w:tcBorders>
              <w:left w:val="nil"/>
              <w:bottom w:val="single" w:sz="4" w:space="0" w:color="auto"/>
              <w:right w:val="nil"/>
            </w:tcBorders>
            <w:shd w:val="clear" w:color="auto" w:fill="auto"/>
            <w:noWrap/>
          </w:tcPr>
          <w:p w14:paraId="6042A060" w14:textId="77777777" w:rsidR="00172B81" w:rsidRPr="00537128" w:rsidRDefault="00172B81" w:rsidP="00172B81">
            <w:pPr>
              <w:spacing w:after="0" w:line="140" w:lineRule="exact"/>
              <w:jc w:val="right"/>
              <w:rPr>
                <w:rFonts w:ascii="Calibri" w:eastAsia="Times New Roman" w:hAnsi="Calibri" w:cs="Arial"/>
                <w:b/>
                <w:bCs/>
                <w:sz w:val="18"/>
                <w:szCs w:val="18"/>
                <w:lang w:val="en-US"/>
              </w:rPr>
            </w:pPr>
          </w:p>
        </w:tc>
        <w:tc>
          <w:tcPr>
            <w:tcW w:w="1244" w:type="dxa"/>
            <w:tcBorders>
              <w:left w:val="nil"/>
              <w:bottom w:val="single" w:sz="4" w:space="0" w:color="auto"/>
              <w:right w:val="nil"/>
            </w:tcBorders>
            <w:shd w:val="clear" w:color="auto" w:fill="auto"/>
          </w:tcPr>
          <w:p w14:paraId="770F68BD" w14:textId="77777777" w:rsidR="00172B81" w:rsidRPr="00537128" w:rsidRDefault="00172B81" w:rsidP="00172B81">
            <w:pPr>
              <w:spacing w:after="0" w:line="140" w:lineRule="exact"/>
              <w:jc w:val="right"/>
              <w:rPr>
                <w:rFonts w:ascii="Calibri" w:eastAsia="Times New Roman" w:hAnsi="Calibri" w:cs="Arial"/>
                <w:b/>
                <w:bCs/>
                <w:sz w:val="18"/>
                <w:szCs w:val="18"/>
                <w:lang w:val="en-US"/>
              </w:rPr>
            </w:pPr>
          </w:p>
        </w:tc>
      </w:tr>
      <w:tr w:rsidR="00172B81" w:rsidRPr="00537128" w14:paraId="3AD9B539" w14:textId="77777777" w:rsidTr="001E7D22">
        <w:trPr>
          <w:trHeight w:val="112"/>
        </w:trPr>
        <w:tc>
          <w:tcPr>
            <w:tcW w:w="6524" w:type="dxa"/>
            <w:vAlign w:val="bottom"/>
            <w:hideMark/>
          </w:tcPr>
          <w:p w14:paraId="0B046714" w14:textId="4B400035" w:rsidR="00172B81" w:rsidRPr="00537128" w:rsidRDefault="00EE4B78" w:rsidP="00172B81">
            <w:pPr>
              <w:spacing w:after="0" w:line="220" w:lineRule="exact"/>
              <w:rPr>
                <w:rFonts w:ascii="Calibri" w:eastAsia="Times New Roman" w:hAnsi="Calibri" w:cs="Arial"/>
                <w:b/>
                <w:bCs/>
                <w:sz w:val="18"/>
                <w:szCs w:val="18"/>
                <w:lang w:val="en-US"/>
              </w:rPr>
            </w:pPr>
            <w:r>
              <w:rPr>
                <w:rFonts w:ascii="Calibri" w:eastAsia="Times New Roman" w:hAnsi="Calibri" w:cs="Arial"/>
                <w:b/>
                <w:bCs/>
                <w:sz w:val="18"/>
                <w:szCs w:val="18"/>
                <w:lang w:val="en-US"/>
              </w:rPr>
              <w:t>(Loss)/</w:t>
            </w:r>
            <w:r w:rsidR="00172B81" w:rsidRPr="00537128">
              <w:rPr>
                <w:rFonts w:ascii="Calibri" w:eastAsia="Times New Roman" w:hAnsi="Calibri" w:cs="Arial"/>
                <w:b/>
                <w:bCs/>
                <w:sz w:val="18"/>
                <w:szCs w:val="18"/>
                <w:lang w:val="en-US"/>
              </w:rPr>
              <w:t xml:space="preserve">Profit for the </w:t>
            </w:r>
            <w:r w:rsidR="004449D4">
              <w:rPr>
                <w:rFonts w:ascii="Calibri" w:eastAsia="Times New Roman" w:hAnsi="Calibri" w:cs="Arial"/>
                <w:b/>
                <w:bCs/>
                <w:sz w:val="18"/>
                <w:szCs w:val="18"/>
                <w:lang w:val="en-US"/>
              </w:rPr>
              <w:t>period</w:t>
            </w:r>
          </w:p>
        </w:tc>
        <w:tc>
          <w:tcPr>
            <w:tcW w:w="1433" w:type="dxa"/>
            <w:tcBorders>
              <w:top w:val="single" w:sz="4" w:space="0" w:color="auto"/>
              <w:left w:val="nil"/>
              <w:bottom w:val="single" w:sz="12" w:space="0" w:color="auto"/>
              <w:right w:val="nil"/>
            </w:tcBorders>
            <w:shd w:val="clear" w:color="auto" w:fill="auto"/>
            <w:noWrap/>
          </w:tcPr>
          <w:p w14:paraId="42F316C6" w14:textId="3A7EA112" w:rsidR="00172B81" w:rsidRPr="00537128" w:rsidRDefault="00172B81" w:rsidP="00172B81">
            <w:pPr>
              <w:spacing w:after="0" w:line="220" w:lineRule="exact"/>
              <w:jc w:val="right"/>
              <w:rPr>
                <w:rFonts w:ascii="Calibri" w:eastAsia="Times New Roman" w:hAnsi="Calibri" w:cs="Arial"/>
                <w:b/>
                <w:bCs/>
                <w:sz w:val="18"/>
                <w:szCs w:val="18"/>
                <w:lang w:val="en-US"/>
              </w:rPr>
            </w:pPr>
            <w:r>
              <w:rPr>
                <w:rFonts w:cs="Arial"/>
                <w:b/>
                <w:bCs/>
                <w:color w:val="000000" w:themeColor="text1"/>
                <w:sz w:val="18"/>
                <w:szCs w:val="18"/>
              </w:rPr>
              <w:t>(244)</w:t>
            </w:r>
          </w:p>
        </w:tc>
        <w:tc>
          <w:tcPr>
            <w:tcW w:w="1244" w:type="dxa"/>
            <w:tcBorders>
              <w:top w:val="single" w:sz="4" w:space="0" w:color="auto"/>
              <w:left w:val="nil"/>
              <w:bottom w:val="single" w:sz="12" w:space="0" w:color="auto"/>
              <w:right w:val="nil"/>
            </w:tcBorders>
            <w:shd w:val="clear" w:color="auto" w:fill="auto"/>
          </w:tcPr>
          <w:p w14:paraId="02BD7FBA" w14:textId="47503F58" w:rsidR="00172B81" w:rsidRPr="00537128" w:rsidRDefault="00172B81" w:rsidP="00172B81">
            <w:pPr>
              <w:spacing w:after="0" w:line="220" w:lineRule="exact"/>
              <w:jc w:val="right"/>
              <w:rPr>
                <w:rFonts w:ascii="Calibri" w:eastAsia="Times New Roman" w:hAnsi="Calibri" w:cs="Arial"/>
                <w:b/>
                <w:bCs/>
                <w:sz w:val="18"/>
                <w:szCs w:val="18"/>
                <w:lang w:val="en-US"/>
              </w:rPr>
            </w:pPr>
            <w:r>
              <w:rPr>
                <w:rFonts w:ascii="Calibri" w:hAnsi="Calibri" w:cs="Arial"/>
                <w:b/>
                <w:bCs/>
                <w:color w:val="000000"/>
                <w:sz w:val="18"/>
                <w:szCs w:val="18"/>
              </w:rPr>
              <w:t>764</w:t>
            </w:r>
          </w:p>
        </w:tc>
      </w:tr>
      <w:tr w:rsidR="00172B81" w:rsidRPr="00537128" w14:paraId="21587DDF" w14:textId="77777777" w:rsidTr="001E7D22">
        <w:trPr>
          <w:trHeight w:val="111"/>
        </w:trPr>
        <w:tc>
          <w:tcPr>
            <w:tcW w:w="6524" w:type="dxa"/>
            <w:vAlign w:val="bottom"/>
          </w:tcPr>
          <w:p w14:paraId="4D0A1D75" w14:textId="77777777" w:rsidR="00172B81" w:rsidRPr="00537128" w:rsidRDefault="00172B81" w:rsidP="00172B81">
            <w:pPr>
              <w:spacing w:after="0" w:line="140" w:lineRule="exact"/>
              <w:rPr>
                <w:rFonts w:ascii="Calibri" w:eastAsia="Times New Roman" w:hAnsi="Calibri" w:cs="Arial"/>
                <w:b/>
                <w:bCs/>
                <w:sz w:val="18"/>
                <w:szCs w:val="18"/>
                <w:lang w:val="en-US"/>
              </w:rPr>
            </w:pPr>
          </w:p>
        </w:tc>
        <w:tc>
          <w:tcPr>
            <w:tcW w:w="1433" w:type="dxa"/>
            <w:tcBorders>
              <w:top w:val="single" w:sz="12" w:space="0" w:color="auto"/>
              <w:left w:val="nil"/>
              <w:right w:val="nil"/>
            </w:tcBorders>
            <w:shd w:val="clear" w:color="auto" w:fill="auto"/>
            <w:noWrap/>
          </w:tcPr>
          <w:p w14:paraId="1818E281" w14:textId="77777777" w:rsidR="00172B81" w:rsidRPr="00537128" w:rsidRDefault="00172B81" w:rsidP="00172B81">
            <w:pPr>
              <w:spacing w:after="0" w:line="140" w:lineRule="exact"/>
              <w:jc w:val="right"/>
              <w:rPr>
                <w:rFonts w:ascii="Calibri" w:eastAsia="Times New Roman" w:hAnsi="Calibri" w:cs="Arial"/>
                <w:b/>
                <w:bCs/>
                <w:sz w:val="18"/>
                <w:szCs w:val="18"/>
                <w:lang w:val="en-US"/>
              </w:rPr>
            </w:pPr>
          </w:p>
        </w:tc>
        <w:tc>
          <w:tcPr>
            <w:tcW w:w="1244" w:type="dxa"/>
            <w:tcBorders>
              <w:top w:val="single" w:sz="12" w:space="0" w:color="auto"/>
              <w:left w:val="nil"/>
              <w:right w:val="nil"/>
            </w:tcBorders>
            <w:shd w:val="clear" w:color="auto" w:fill="auto"/>
          </w:tcPr>
          <w:p w14:paraId="0DB62FE8" w14:textId="77777777" w:rsidR="00172B81" w:rsidRPr="00537128" w:rsidRDefault="00172B81" w:rsidP="00172B81">
            <w:pPr>
              <w:spacing w:after="0" w:line="140" w:lineRule="exact"/>
              <w:jc w:val="right"/>
              <w:rPr>
                <w:rFonts w:ascii="Calibri" w:eastAsia="Times New Roman" w:hAnsi="Calibri" w:cs="Arial"/>
                <w:b/>
                <w:bCs/>
                <w:sz w:val="18"/>
                <w:szCs w:val="18"/>
                <w:lang w:val="en-US"/>
              </w:rPr>
            </w:pPr>
          </w:p>
        </w:tc>
      </w:tr>
      <w:tr w:rsidR="00172B81" w:rsidRPr="00537128" w14:paraId="6EA0F19C" w14:textId="77777777" w:rsidTr="001E7D22">
        <w:trPr>
          <w:trHeight w:val="177"/>
        </w:trPr>
        <w:tc>
          <w:tcPr>
            <w:tcW w:w="6524" w:type="dxa"/>
            <w:vAlign w:val="bottom"/>
            <w:hideMark/>
          </w:tcPr>
          <w:p w14:paraId="5AE19C64" w14:textId="77777777" w:rsidR="00172B81" w:rsidRPr="00537128" w:rsidRDefault="00172B81" w:rsidP="00172B81">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Other comprehensive income</w:t>
            </w:r>
          </w:p>
        </w:tc>
        <w:tc>
          <w:tcPr>
            <w:tcW w:w="1433" w:type="dxa"/>
            <w:tcBorders>
              <w:left w:val="nil"/>
              <w:right w:val="nil"/>
            </w:tcBorders>
            <w:shd w:val="clear" w:color="auto" w:fill="auto"/>
            <w:noWrap/>
          </w:tcPr>
          <w:p w14:paraId="1C399401" w14:textId="77777777" w:rsidR="00172B81" w:rsidRPr="00537128" w:rsidRDefault="00172B81" w:rsidP="00172B81">
            <w:pPr>
              <w:spacing w:after="0" w:line="220" w:lineRule="exact"/>
              <w:jc w:val="right"/>
              <w:rPr>
                <w:rFonts w:ascii="Calibri" w:eastAsia="Times New Roman" w:hAnsi="Calibri" w:cs="Arial"/>
                <w:b/>
                <w:bCs/>
                <w:sz w:val="18"/>
                <w:szCs w:val="18"/>
                <w:lang w:val="en-US"/>
              </w:rPr>
            </w:pPr>
          </w:p>
        </w:tc>
        <w:tc>
          <w:tcPr>
            <w:tcW w:w="1244" w:type="dxa"/>
            <w:tcBorders>
              <w:left w:val="nil"/>
              <w:right w:val="nil"/>
            </w:tcBorders>
            <w:shd w:val="clear" w:color="auto" w:fill="auto"/>
          </w:tcPr>
          <w:p w14:paraId="67EF9E83" w14:textId="77777777" w:rsidR="00172B81" w:rsidRPr="00537128" w:rsidRDefault="00172B81" w:rsidP="00172B81">
            <w:pPr>
              <w:spacing w:after="0" w:line="220" w:lineRule="exact"/>
              <w:jc w:val="right"/>
              <w:rPr>
                <w:rFonts w:ascii="Calibri" w:eastAsia="Times New Roman" w:hAnsi="Calibri" w:cs="Arial"/>
                <w:b/>
                <w:bCs/>
                <w:sz w:val="18"/>
                <w:szCs w:val="18"/>
                <w:lang w:val="en-US"/>
              </w:rPr>
            </w:pPr>
          </w:p>
        </w:tc>
      </w:tr>
      <w:tr w:rsidR="00172B81" w:rsidRPr="00537128" w14:paraId="556226FC" w14:textId="77777777" w:rsidTr="001E7D22">
        <w:trPr>
          <w:trHeight w:val="200"/>
        </w:trPr>
        <w:tc>
          <w:tcPr>
            <w:tcW w:w="6524" w:type="dxa"/>
            <w:vAlign w:val="bottom"/>
            <w:hideMark/>
          </w:tcPr>
          <w:p w14:paraId="2F61EEB3" w14:textId="77777777" w:rsidR="00172B81" w:rsidRPr="00537128" w:rsidRDefault="00172B81" w:rsidP="00172B81">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Items that are not transferred subsequently to profit or loss:</w:t>
            </w:r>
          </w:p>
        </w:tc>
        <w:tc>
          <w:tcPr>
            <w:tcW w:w="1433" w:type="dxa"/>
            <w:tcBorders>
              <w:left w:val="nil"/>
              <w:right w:val="nil"/>
            </w:tcBorders>
            <w:shd w:val="clear" w:color="auto" w:fill="auto"/>
            <w:noWrap/>
            <w:vAlign w:val="bottom"/>
          </w:tcPr>
          <w:p w14:paraId="5B0F1AC6" w14:textId="77777777" w:rsidR="00172B81" w:rsidRPr="00537128" w:rsidRDefault="00172B81" w:rsidP="00172B81">
            <w:pPr>
              <w:spacing w:after="0" w:line="220" w:lineRule="exact"/>
              <w:jc w:val="right"/>
              <w:rPr>
                <w:rFonts w:ascii="Calibri" w:eastAsia="Times New Roman" w:hAnsi="Calibri" w:cs="Arial"/>
                <w:b/>
                <w:bCs/>
                <w:sz w:val="18"/>
                <w:szCs w:val="18"/>
                <w:lang w:val="en-US"/>
              </w:rPr>
            </w:pPr>
          </w:p>
        </w:tc>
        <w:tc>
          <w:tcPr>
            <w:tcW w:w="1244" w:type="dxa"/>
            <w:tcBorders>
              <w:left w:val="nil"/>
              <w:right w:val="nil"/>
            </w:tcBorders>
            <w:shd w:val="clear" w:color="auto" w:fill="auto"/>
            <w:vAlign w:val="bottom"/>
          </w:tcPr>
          <w:p w14:paraId="6D82FE49" w14:textId="77777777" w:rsidR="00172B81" w:rsidRPr="00537128" w:rsidRDefault="00172B81" w:rsidP="00172B81">
            <w:pPr>
              <w:spacing w:after="0" w:line="220" w:lineRule="exact"/>
              <w:jc w:val="right"/>
              <w:rPr>
                <w:rFonts w:ascii="Calibri" w:eastAsia="Times New Roman" w:hAnsi="Calibri" w:cs="Arial"/>
                <w:b/>
                <w:bCs/>
                <w:sz w:val="18"/>
                <w:szCs w:val="18"/>
                <w:lang w:val="en-US"/>
              </w:rPr>
            </w:pPr>
          </w:p>
        </w:tc>
      </w:tr>
      <w:tr w:rsidR="00172B81" w:rsidRPr="00537128" w14:paraId="78830F72" w14:textId="77777777" w:rsidTr="001E7D22">
        <w:trPr>
          <w:trHeight w:val="104"/>
        </w:trPr>
        <w:tc>
          <w:tcPr>
            <w:tcW w:w="6524" w:type="dxa"/>
            <w:vAlign w:val="bottom"/>
            <w:hideMark/>
          </w:tcPr>
          <w:p w14:paraId="317E841D" w14:textId="77777777" w:rsidR="00172B81" w:rsidRPr="00537128" w:rsidRDefault="00172B81" w:rsidP="00172B81">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Deferred tax – adjustment for previous period</w:t>
            </w:r>
          </w:p>
        </w:tc>
        <w:tc>
          <w:tcPr>
            <w:tcW w:w="1433" w:type="dxa"/>
            <w:tcBorders>
              <w:left w:val="nil"/>
              <w:bottom w:val="single" w:sz="4" w:space="0" w:color="auto"/>
              <w:right w:val="nil"/>
            </w:tcBorders>
            <w:shd w:val="clear" w:color="auto" w:fill="auto"/>
            <w:noWrap/>
            <w:vAlign w:val="bottom"/>
          </w:tcPr>
          <w:p w14:paraId="5D9F1BF5" w14:textId="32CFA8CF" w:rsidR="00172B81" w:rsidRPr="00537128" w:rsidRDefault="00172B81" w:rsidP="00172B81">
            <w:pPr>
              <w:spacing w:after="0" w:line="220" w:lineRule="exact"/>
              <w:jc w:val="right"/>
              <w:rPr>
                <w:rFonts w:ascii="Calibri" w:eastAsia="Times New Roman" w:hAnsi="Calibri" w:cs="Arial"/>
                <w:bCs/>
                <w:sz w:val="18"/>
                <w:szCs w:val="18"/>
                <w:lang w:val="en-US"/>
              </w:rPr>
            </w:pPr>
            <w:r>
              <w:rPr>
                <w:rFonts w:cs="Arial"/>
                <w:bCs/>
                <w:color w:val="000000" w:themeColor="text1"/>
                <w:sz w:val="18"/>
                <w:szCs w:val="18"/>
              </w:rPr>
              <w:t>-</w:t>
            </w:r>
          </w:p>
        </w:tc>
        <w:tc>
          <w:tcPr>
            <w:tcW w:w="1244" w:type="dxa"/>
            <w:tcBorders>
              <w:left w:val="nil"/>
              <w:bottom w:val="single" w:sz="4" w:space="0" w:color="auto"/>
              <w:right w:val="nil"/>
            </w:tcBorders>
            <w:shd w:val="clear" w:color="auto" w:fill="auto"/>
            <w:vAlign w:val="bottom"/>
          </w:tcPr>
          <w:p w14:paraId="3C007486" w14:textId="0FB204E8" w:rsidR="00172B81" w:rsidRPr="00537128" w:rsidRDefault="00172B81" w:rsidP="00172B81">
            <w:pPr>
              <w:spacing w:after="0" w:line="220" w:lineRule="exact"/>
              <w:jc w:val="right"/>
              <w:rPr>
                <w:rFonts w:ascii="Calibri" w:eastAsia="Times New Roman" w:hAnsi="Calibri" w:cs="Arial"/>
                <w:bCs/>
                <w:sz w:val="18"/>
                <w:szCs w:val="18"/>
                <w:lang w:val="en-US"/>
              </w:rPr>
            </w:pPr>
            <w:r>
              <w:rPr>
                <w:rFonts w:cs="Arial"/>
                <w:bCs/>
                <w:color w:val="000000" w:themeColor="text1"/>
                <w:sz w:val="18"/>
                <w:szCs w:val="18"/>
              </w:rPr>
              <w:t>-</w:t>
            </w:r>
          </w:p>
        </w:tc>
      </w:tr>
      <w:tr w:rsidR="00172B81" w:rsidRPr="00537128" w14:paraId="296DDC0B" w14:textId="77777777" w:rsidTr="001E7D22">
        <w:trPr>
          <w:trHeight w:val="76"/>
        </w:trPr>
        <w:tc>
          <w:tcPr>
            <w:tcW w:w="6524" w:type="dxa"/>
            <w:vAlign w:val="bottom"/>
            <w:hideMark/>
          </w:tcPr>
          <w:p w14:paraId="56F46F4A" w14:textId="77777777" w:rsidR="00172B81" w:rsidRPr="00537128" w:rsidRDefault="00172B81" w:rsidP="00172B81">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Total items that are not transferred subsequently to profit or loss</w:t>
            </w:r>
          </w:p>
        </w:tc>
        <w:tc>
          <w:tcPr>
            <w:tcW w:w="1433" w:type="dxa"/>
            <w:tcBorders>
              <w:top w:val="single" w:sz="4" w:space="0" w:color="auto"/>
              <w:left w:val="nil"/>
              <w:bottom w:val="single" w:sz="12" w:space="0" w:color="auto"/>
              <w:right w:val="nil"/>
            </w:tcBorders>
            <w:shd w:val="clear" w:color="auto" w:fill="auto"/>
            <w:noWrap/>
            <w:vAlign w:val="bottom"/>
          </w:tcPr>
          <w:p w14:paraId="7A5E52DB" w14:textId="638BEC0E" w:rsidR="00172B81" w:rsidRPr="00537128" w:rsidRDefault="00172B81" w:rsidP="00172B81">
            <w:pPr>
              <w:spacing w:after="0" w:line="220" w:lineRule="exact"/>
              <w:jc w:val="right"/>
              <w:rPr>
                <w:rFonts w:ascii="Calibri" w:eastAsia="Times New Roman" w:hAnsi="Calibri" w:cs="Arial"/>
                <w:b/>
                <w:bCs/>
                <w:sz w:val="18"/>
                <w:szCs w:val="18"/>
                <w:lang w:val="en-US"/>
              </w:rPr>
            </w:pPr>
            <w:r>
              <w:rPr>
                <w:rFonts w:cs="Arial"/>
                <w:b/>
                <w:bCs/>
                <w:color w:val="000000" w:themeColor="text1"/>
                <w:sz w:val="18"/>
                <w:szCs w:val="18"/>
              </w:rPr>
              <w:t>-</w:t>
            </w:r>
          </w:p>
        </w:tc>
        <w:tc>
          <w:tcPr>
            <w:tcW w:w="1244" w:type="dxa"/>
            <w:tcBorders>
              <w:top w:val="single" w:sz="4" w:space="0" w:color="auto"/>
              <w:left w:val="nil"/>
              <w:bottom w:val="single" w:sz="12" w:space="0" w:color="auto"/>
              <w:right w:val="nil"/>
            </w:tcBorders>
            <w:shd w:val="clear" w:color="auto" w:fill="auto"/>
            <w:vAlign w:val="bottom"/>
          </w:tcPr>
          <w:p w14:paraId="0F9D87C2" w14:textId="450A2949" w:rsidR="00172B81" w:rsidRPr="00537128" w:rsidRDefault="00172B81" w:rsidP="00172B81">
            <w:pPr>
              <w:spacing w:after="0" w:line="220" w:lineRule="exact"/>
              <w:jc w:val="right"/>
              <w:rPr>
                <w:rFonts w:ascii="Calibri" w:eastAsia="Times New Roman" w:hAnsi="Calibri" w:cs="Arial"/>
                <w:b/>
                <w:bCs/>
                <w:sz w:val="18"/>
                <w:szCs w:val="18"/>
                <w:lang w:val="en-US"/>
              </w:rPr>
            </w:pPr>
            <w:r>
              <w:rPr>
                <w:rFonts w:cs="Arial"/>
                <w:b/>
                <w:bCs/>
                <w:color w:val="000000" w:themeColor="text1"/>
                <w:sz w:val="18"/>
                <w:szCs w:val="18"/>
              </w:rPr>
              <w:t>-</w:t>
            </w:r>
          </w:p>
        </w:tc>
      </w:tr>
      <w:tr w:rsidR="00172B81" w:rsidRPr="00537128" w14:paraId="6F8D7461" w14:textId="77777777" w:rsidTr="001E7D22">
        <w:trPr>
          <w:trHeight w:val="53"/>
        </w:trPr>
        <w:tc>
          <w:tcPr>
            <w:tcW w:w="6524" w:type="dxa"/>
            <w:vAlign w:val="bottom"/>
          </w:tcPr>
          <w:p w14:paraId="769F5F2B" w14:textId="77777777" w:rsidR="00172B81" w:rsidRPr="00537128" w:rsidRDefault="00172B81" w:rsidP="00172B81">
            <w:pPr>
              <w:spacing w:after="0" w:line="140" w:lineRule="exact"/>
              <w:rPr>
                <w:rFonts w:ascii="Calibri" w:eastAsia="Times New Roman" w:hAnsi="Calibri" w:cs="Arial"/>
                <w:bCs/>
                <w:sz w:val="18"/>
                <w:szCs w:val="18"/>
                <w:lang w:val="en-US"/>
              </w:rPr>
            </w:pPr>
          </w:p>
        </w:tc>
        <w:tc>
          <w:tcPr>
            <w:tcW w:w="1433" w:type="dxa"/>
            <w:tcBorders>
              <w:top w:val="single" w:sz="12" w:space="0" w:color="auto"/>
              <w:left w:val="nil"/>
              <w:right w:val="nil"/>
            </w:tcBorders>
            <w:shd w:val="clear" w:color="auto" w:fill="auto"/>
            <w:noWrap/>
          </w:tcPr>
          <w:p w14:paraId="5B12F845" w14:textId="77777777" w:rsidR="00172B81" w:rsidRPr="00537128" w:rsidRDefault="00172B81" w:rsidP="00172B81">
            <w:pPr>
              <w:spacing w:after="0" w:line="140" w:lineRule="exact"/>
              <w:jc w:val="right"/>
              <w:rPr>
                <w:rFonts w:ascii="Calibri" w:eastAsia="Times New Roman" w:hAnsi="Calibri" w:cs="Arial"/>
                <w:bCs/>
                <w:sz w:val="18"/>
                <w:szCs w:val="18"/>
                <w:lang w:val="en-US"/>
              </w:rPr>
            </w:pPr>
          </w:p>
        </w:tc>
        <w:tc>
          <w:tcPr>
            <w:tcW w:w="1244" w:type="dxa"/>
            <w:tcBorders>
              <w:top w:val="single" w:sz="12" w:space="0" w:color="auto"/>
              <w:left w:val="nil"/>
              <w:right w:val="nil"/>
            </w:tcBorders>
            <w:shd w:val="clear" w:color="auto" w:fill="auto"/>
          </w:tcPr>
          <w:p w14:paraId="01CB4E74" w14:textId="77777777" w:rsidR="00172B81" w:rsidRPr="00537128" w:rsidRDefault="00172B81" w:rsidP="00172B81">
            <w:pPr>
              <w:spacing w:after="0" w:line="140" w:lineRule="exact"/>
              <w:jc w:val="right"/>
              <w:rPr>
                <w:rFonts w:ascii="Calibri" w:eastAsia="Times New Roman" w:hAnsi="Calibri" w:cs="Arial"/>
                <w:bCs/>
                <w:sz w:val="18"/>
                <w:szCs w:val="18"/>
                <w:lang w:val="en-US"/>
              </w:rPr>
            </w:pPr>
          </w:p>
        </w:tc>
      </w:tr>
      <w:tr w:rsidR="00172B81" w:rsidRPr="00537128" w14:paraId="71C9274B" w14:textId="77777777" w:rsidTr="001E7D22">
        <w:trPr>
          <w:trHeight w:val="102"/>
        </w:trPr>
        <w:tc>
          <w:tcPr>
            <w:tcW w:w="6524" w:type="dxa"/>
            <w:vAlign w:val="bottom"/>
            <w:hideMark/>
          </w:tcPr>
          <w:p w14:paraId="20B6AEF2" w14:textId="77777777" w:rsidR="00172B81" w:rsidRPr="00537128" w:rsidRDefault="00172B81" w:rsidP="00172B81">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Items that may be reclassified subsequently to profit or loss:</w:t>
            </w:r>
          </w:p>
        </w:tc>
        <w:tc>
          <w:tcPr>
            <w:tcW w:w="1433" w:type="dxa"/>
            <w:tcBorders>
              <w:left w:val="nil"/>
              <w:right w:val="nil"/>
            </w:tcBorders>
            <w:shd w:val="clear" w:color="auto" w:fill="auto"/>
            <w:noWrap/>
          </w:tcPr>
          <w:p w14:paraId="1B622E24" w14:textId="77777777" w:rsidR="00172B81" w:rsidRPr="00537128" w:rsidRDefault="00172B81" w:rsidP="00172B81">
            <w:pPr>
              <w:spacing w:after="0" w:line="220" w:lineRule="exact"/>
              <w:jc w:val="right"/>
              <w:rPr>
                <w:rFonts w:ascii="Calibri" w:eastAsia="Times New Roman" w:hAnsi="Calibri" w:cs="Arial"/>
                <w:b/>
                <w:bCs/>
                <w:sz w:val="18"/>
                <w:szCs w:val="18"/>
                <w:lang w:val="en-US"/>
              </w:rPr>
            </w:pPr>
          </w:p>
        </w:tc>
        <w:tc>
          <w:tcPr>
            <w:tcW w:w="1244" w:type="dxa"/>
            <w:tcBorders>
              <w:left w:val="nil"/>
              <w:right w:val="nil"/>
            </w:tcBorders>
            <w:shd w:val="clear" w:color="auto" w:fill="auto"/>
          </w:tcPr>
          <w:p w14:paraId="2090E5B5" w14:textId="77777777" w:rsidR="00172B81" w:rsidRPr="00537128" w:rsidRDefault="00172B81" w:rsidP="00172B81">
            <w:pPr>
              <w:spacing w:after="0" w:line="220" w:lineRule="exact"/>
              <w:jc w:val="right"/>
              <w:rPr>
                <w:rFonts w:ascii="Calibri" w:eastAsia="Times New Roman" w:hAnsi="Calibri" w:cs="Arial"/>
                <w:b/>
                <w:bCs/>
                <w:sz w:val="18"/>
                <w:szCs w:val="18"/>
                <w:lang w:val="en-US"/>
              </w:rPr>
            </w:pPr>
          </w:p>
        </w:tc>
      </w:tr>
      <w:tr w:rsidR="00172B81" w:rsidRPr="00537128" w14:paraId="0D9B0C7E" w14:textId="77777777" w:rsidTr="001E7D22">
        <w:trPr>
          <w:trHeight w:val="96"/>
        </w:trPr>
        <w:tc>
          <w:tcPr>
            <w:tcW w:w="6524" w:type="dxa"/>
            <w:vAlign w:val="bottom"/>
            <w:hideMark/>
          </w:tcPr>
          <w:p w14:paraId="4CF56095" w14:textId="77777777" w:rsidR="00172B81" w:rsidRPr="00537128" w:rsidRDefault="00172B81" w:rsidP="00172B81">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Gains on revaluation of financial assets available for sale</w:t>
            </w:r>
          </w:p>
        </w:tc>
        <w:tc>
          <w:tcPr>
            <w:tcW w:w="1433" w:type="dxa"/>
            <w:tcBorders>
              <w:left w:val="nil"/>
              <w:right w:val="nil"/>
            </w:tcBorders>
            <w:shd w:val="clear" w:color="auto" w:fill="auto"/>
            <w:noWrap/>
            <w:vAlign w:val="bottom"/>
          </w:tcPr>
          <w:p w14:paraId="7C87032D" w14:textId="09EBD3A5" w:rsidR="00172B81" w:rsidRPr="00537128" w:rsidRDefault="00172B81" w:rsidP="00172B81">
            <w:pPr>
              <w:spacing w:after="0" w:line="220" w:lineRule="exact"/>
              <w:jc w:val="right"/>
              <w:rPr>
                <w:rFonts w:ascii="Calibri" w:eastAsia="Times New Roman" w:hAnsi="Calibri" w:cs="Arial"/>
                <w:bCs/>
                <w:sz w:val="18"/>
                <w:szCs w:val="18"/>
                <w:lang w:val="en-US"/>
              </w:rPr>
            </w:pPr>
            <w:r w:rsidRPr="002432DC">
              <w:rPr>
                <w:rFonts w:ascii="Calibri" w:hAnsi="Calibri" w:cs="Arial"/>
                <w:bCs/>
                <w:color w:val="000000"/>
                <w:sz w:val="18"/>
                <w:szCs w:val="18"/>
              </w:rPr>
              <w:t>1</w:t>
            </w:r>
          </w:p>
        </w:tc>
        <w:tc>
          <w:tcPr>
            <w:tcW w:w="1244" w:type="dxa"/>
            <w:tcBorders>
              <w:left w:val="nil"/>
              <w:right w:val="nil"/>
            </w:tcBorders>
            <w:shd w:val="clear" w:color="auto" w:fill="auto"/>
            <w:vAlign w:val="bottom"/>
          </w:tcPr>
          <w:p w14:paraId="6291C763" w14:textId="44200EF1" w:rsidR="00172B81" w:rsidRPr="00537128" w:rsidRDefault="00172B81" w:rsidP="00172B81">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343</w:t>
            </w:r>
          </w:p>
        </w:tc>
      </w:tr>
      <w:tr w:rsidR="00172B81" w:rsidRPr="00537128" w14:paraId="43CA7DF6" w14:textId="77777777" w:rsidTr="00B666E9">
        <w:trPr>
          <w:trHeight w:val="147"/>
        </w:trPr>
        <w:tc>
          <w:tcPr>
            <w:tcW w:w="6524" w:type="dxa"/>
            <w:vAlign w:val="bottom"/>
            <w:hideMark/>
          </w:tcPr>
          <w:p w14:paraId="103AE3FD" w14:textId="77777777" w:rsidR="00172B81" w:rsidRPr="00537128" w:rsidRDefault="00172B81" w:rsidP="00172B81">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Decrease in the fair value of financial assets available for sale</w:t>
            </w:r>
          </w:p>
        </w:tc>
        <w:tc>
          <w:tcPr>
            <w:tcW w:w="1433" w:type="dxa"/>
            <w:tcBorders>
              <w:left w:val="nil"/>
              <w:right w:val="nil"/>
            </w:tcBorders>
            <w:shd w:val="clear" w:color="auto" w:fill="auto"/>
            <w:noWrap/>
          </w:tcPr>
          <w:p w14:paraId="3E492CD0" w14:textId="4C08A210" w:rsidR="00172B81" w:rsidRPr="00537128" w:rsidRDefault="00172B81" w:rsidP="00172B81">
            <w:pPr>
              <w:spacing w:after="0" w:line="220" w:lineRule="exact"/>
              <w:jc w:val="right"/>
              <w:rPr>
                <w:rFonts w:ascii="Calibri" w:eastAsia="Times New Roman" w:hAnsi="Calibri" w:cs="Arial"/>
                <w:bCs/>
                <w:sz w:val="18"/>
                <w:szCs w:val="18"/>
                <w:lang w:val="en-US"/>
              </w:rPr>
            </w:pPr>
            <w:r w:rsidRPr="002432DC">
              <w:rPr>
                <w:rFonts w:ascii="Calibri" w:hAnsi="Calibri" w:cs="Arial"/>
                <w:bCs/>
                <w:color w:val="000000"/>
                <w:sz w:val="18"/>
                <w:szCs w:val="18"/>
              </w:rPr>
              <w:t xml:space="preserve"> (3</w:t>
            </w:r>
            <w:r>
              <w:rPr>
                <w:rFonts w:ascii="Calibri" w:hAnsi="Calibri" w:cs="Arial"/>
                <w:bCs/>
                <w:color w:val="000000"/>
                <w:sz w:val="18"/>
                <w:szCs w:val="18"/>
              </w:rPr>
              <w:t>,</w:t>
            </w:r>
            <w:r w:rsidRPr="002432DC">
              <w:rPr>
                <w:rFonts w:ascii="Calibri" w:hAnsi="Calibri" w:cs="Arial"/>
                <w:bCs/>
                <w:color w:val="000000"/>
                <w:sz w:val="18"/>
                <w:szCs w:val="18"/>
              </w:rPr>
              <w:t>793)</w:t>
            </w:r>
          </w:p>
        </w:tc>
        <w:tc>
          <w:tcPr>
            <w:tcW w:w="1244" w:type="dxa"/>
            <w:tcBorders>
              <w:left w:val="nil"/>
              <w:right w:val="nil"/>
            </w:tcBorders>
            <w:shd w:val="clear" w:color="auto" w:fill="auto"/>
            <w:vAlign w:val="bottom"/>
          </w:tcPr>
          <w:p w14:paraId="1849017B" w14:textId="5BA2F4E5" w:rsidR="00172B81" w:rsidRPr="00537128" w:rsidRDefault="00172B81" w:rsidP="00172B81">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(879)</w:t>
            </w:r>
          </w:p>
        </w:tc>
      </w:tr>
      <w:tr w:rsidR="00172B81" w:rsidRPr="00537128" w14:paraId="59622844" w14:textId="77777777" w:rsidTr="00B666E9">
        <w:trPr>
          <w:trHeight w:val="147"/>
        </w:trPr>
        <w:tc>
          <w:tcPr>
            <w:tcW w:w="6524" w:type="dxa"/>
            <w:vAlign w:val="bottom"/>
            <w:hideMark/>
          </w:tcPr>
          <w:p w14:paraId="4A4F1BA3" w14:textId="77777777" w:rsidR="00172B81" w:rsidRPr="00537128" w:rsidRDefault="00172B81" w:rsidP="00172B81">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Transfer of realized gains on asset available for sale to</w:t>
            </w:r>
            <w:r w:rsidRPr="00537128">
              <w:rPr>
                <w:rFonts w:ascii="Calibri" w:eastAsia="Times New Roman" w:hAnsi="Calibri" w:cs="Times New Roman"/>
                <w:sz w:val="18"/>
                <w:szCs w:val="18"/>
                <w:lang w:val="en-US"/>
              </w:rPr>
              <w:t xml:space="preserve"> </w:t>
            </w:r>
            <w:r w:rsidRPr="00537128">
              <w:rPr>
                <w:rFonts w:ascii="Calibri" w:eastAsia="Times New Roman" w:hAnsi="Calibri" w:cs="Arial"/>
                <w:bCs/>
                <w:sz w:val="18"/>
                <w:szCs w:val="18"/>
                <w:lang w:val="en-US"/>
              </w:rPr>
              <w:t xml:space="preserve">profit or loss </w:t>
            </w:r>
          </w:p>
        </w:tc>
        <w:tc>
          <w:tcPr>
            <w:tcW w:w="1433" w:type="dxa"/>
            <w:tcBorders>
              <w:left w:val="nil"/>
              <w:right w:val="nil"/>
            </w:tcBorders>
            <w:shd w:val="clear" w:color="auto" w:fill="auto"/>
            <w:noWrap/>
          </w:tcPr>
          <w:p w14:paraId="57E40AD0" w14:textId="569F8C61" w:rsidR="00172B81" w:rsidRPr="00537128" w:rsidRDefault="00172B81" w:rsidP="00172B81">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w:t>
            </w:r>
          </w:p>
        </w:tc>
        <w:tc>
          <w:tcPr>
            <w:tcW w:w="1244" w:type="dxa"/>
            <w:tcBorders>
              <w:left w:val="nil"/>
              <w:right w:val="nil"/>
            </w:tcBorders>
            <w:shd w:val="clear" w:color="auto" w:fill="auto"/>
            <w:vAlign w:val="bottom"/>
          </w:tcPr>
          <w:p w14:paraId="627FBC28" w14:textId="485D7AF1" w:rsidR="00172B81" w:rsidRPr="00537128" w:rsidRDefault="00172B81" w:rsidP="00172B81">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w:t>
            </w:r>
          </w:p>
        </w:tc>
      </w:tr>
      <w:tr w:rsidR="00172B81" w:rsidRPr="00537128" w14:paraId="1221F873" w14:textId="77777777" w:rsidTr="00B666E9">
        <w:trPr>
          <w:trHeight w:val="84"/>
        </w:trPr>
        <w:tc>
          <w:tcPr>
            <w:tcW w:w="6524" w:type="dxa"/>
            <w:vAlign w:val="bottom"/>
            <w:hideMark/>
          </w:tcPr>
          <w:p w14:paraId="25AF9B76" w14:textId="77777777" w:rsidR="00172B81" w:rsidRPr="00537128" w:rsidRDefault="00172B81" w:rsidP="00172B81">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 xml:space="preserve">Deferred tax </w:t>
            </w:r>
          </w:p>
        </w:tc>
        <w:tc>
          <w:tcPr>
            <w:tcW w:w="1433" w:type="dxa"/>
            <w:tcBorders>
              <w:left w:val="nil"/>
              <w:bottom w:val="single" w:sz="4" w:space="0" w:color="auto"/>
              <w:right w:val="nil"/>
            </w:tcBorders>
            <w:shd w:val="clear" w:color="auto" w:fill="auto"/>
            <w:noWrap/>
          </w:tcPr>
          <w:p w14:paraId="5CEBC0C7" w14:textId="41D95196" w:rsidR="00172B81" w:rsidRPr="00537128" w:rsidRDefault="00172B81" w:rsidP="00172B81">
            <w:pPr>
              <w:spacing w:after="0" w:line="220" w:lineRule="exact"/>
              <w:jc w:val="right"/>
              <w:rPr>
                <w:rFonts w:ascii="Calibri" w:eastAsia="Times New Roman" w:hAnsi="Calibri" w:cs="Arial"/>
                <w:bCs/>
                <w:sz w:val="18"/>
                <w:szCs w:val="18"/>
                <w:lang w:val="en-US"/>
              </w:rPr>
            </w:pPr>
            <w:r w:rsidRPr="002432DC">
              <w:rPr>
                <w:rFonts w:ascii="Calibri" w:hAnsi="Calibri" w:cs="Arial"/>
                <w:bCs/>
                <w:color w:val="000000"/>
                <w:sz w:val="18"/>
                <w:szCs w:val="18"/>
              </w:rPr>
              <w:t>684</w:t>
            </w:r>
          </w:p>
        </w:tc>
        <w:tc>
          <w:tcPr>
            <w:tcW w:w="1244" w:type="dxa"/>
            <w:tcBorders>
              <w:left w:val="nil"/>
              <w:bottom w:val="single" w:sz="4" w:space="0" w:color="auto"/>
              <w:right w:val="nil"/>
            </w:tcBorders>
            <w:shd w:val="clear" w:color="auto" w:fill="auto"/>
            <w:vAlign w:val="bottom"/>
          </w:tcPr>
          <w:p w14:paraId="5B4F7400" w14:textId="19C4617D" w:rsidR="00172B81" w:rsidRPr="00537128" w:rsidRDefault="00172B81" w:rsidP="00172B81">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97</w:t>
            </w:r>
          </w:p>
        </w:tc>
      </w:tr>
      <w:tr w:rsidR="00172B81" w:rsidRPr="00537128" w14:paraId="0C5979A9" w14:textId="77777777" w:rsidTr="001E7D22">
        <w:trPr>
          <w:trHeight w:val="177"/>
        </w:trPr>
        <w:tc>
          <w:tcPr>
            <w:tcW w:w="6524" w:type="dxa"/>
            <w:vAlign w:val="bottom"/>
            <w:hideMark/>
          </w:tcPr>
          <w:p w14:paraId="3C44FC17" w14:textId="77777777" w:rsidR="00172B81" w:rsidRPr="00537128" w:rsidRDefault="00172B81" w:rsidP="00172B81">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Total items that may be reclassified subsequently to profit or loss:</w:t>
            </w:r>
          </w:p>
        </w:tc>
        <w:tc>
          <w:tcPr>
            <w:tcW w:w="1433" w:type="dxa"/>
            <w:tcBorders>
              <w:top w:val="single" w:sz="4" w:space="0" w:color="auto"/>
              <w:left w:val="nil"/>
              <w:bottom w:val="single" w:sz="12" w:space="0" w:color="auto"/>
              <w:right w:val="nil"/>
            </w:tcBorders>
            <w:shd w:val="clear" w:color="auto" w:fill="auto"/>
            <w:noWrap/>
            <w:vAlign w:val="bottom"/>
          </w:tcPr>
          <w:p w14:paraId="3D87CD8E" w14:textId="25DD9126" w:rsidR="00172B81" w:rsidRPr="00537128" w:rsidRDefault="00172B81" w:rsidP="00172B81">
            <w:pPr>
              <w:spacing w:after="0" w:line="220" w:lineRule="exact"/>
              <w:jc w:val="right"/>
              <w:rPr>
                <w:rFonts w:ascii="Calibri" w:eastAsia="Times New Roman" w:hAnsi="Calibri" w:cs="Arial"/>
                <w:b/>
                <w:bCs/>
                <w:sz w:val="18"/>
                <w:szCs w:val="18"/>
                <w:lang w:val="en-US"/>
              </w:rPr>
            </w:pPr>
            <w:r>
              <w:rPr>
                <w:b/>
                <w:color w:val="000000" w:themeColor="text1"/>
                <w:sz w:val="18"/>
                <w:szCs w:val="18"/>
              </w:rPr>
              <w:t>(3,108)</w:t>
            </w:r>
          </w:p>
        </w:tc>
        <w:tc>
          <w:tcPr>
            <w:tcW w:w="1244" w:type="dxa"/>
            <w:tcBorders>
              <w:top w:val="single" w:sz="4" w:space="0" w:color="auto"/>
              <w:left w:val="nil"/>
              <w:bottom w:val="single" w:sz="12" w:space="0" w:color="auto"/>
              <w:right w:val="nil"/>
            </w:tcBorders>
            <w:shd w:val="clear" w:color="auto" w:fill="auto"/>
            <w:vAlign w:val="bottom"/>
          </w:tcPr>
          <w:p w14:paraId="1DE59A34" w14:textId="35D7B3D8" w:rsidR="00172B81" w:rsidRPr="00537128" w:rsidRDefault="00172B81" w:rsidP="00172B81">
            <w:pPr>
              <w:spacing w:after="0" w:line="220" w:lineRule="exact"/>
              <w:jc w:val="right"/>
              <w:rPr>
                <w:rFonts w:ascii="Calibri" w:eastAsia="Times New Roman" w:hAnsi="Calibri" w:cs="Arial"/>
                <w:b/>
                <w:bCs/>
                <w:sz w:val="18"/>
                <w:szCs w:val="18"/>
                <w:lang w:val="en-US"/>
              </w:rPr>
            </w:pPr>
            <w:r>
              <w:rPr>
                <w:rFonts w:ascii="Calibri" w:hAnsi="Calibri"/>
                <w:b/>
                <w:color w:val="000000"/>
                <w:sz w:val="18"/>
                <w:szCs w:val="18"/>
              </w:rPr>
              <w:t>(439)</w:t>
            </w:r>
          </w:p>
        </w:tc>
      </w:tr>
      <w:tr w:rsidR="00172B81" w:rsidRPr="00537128" w14:paraId="72372F31" w14:textId="77777777" w:rsidTr="001E7D22">
        <w:trPr>
          <w:trHeight w:val="102"/>
        </w:trPr>
        <w:tc>
          <w:tcPr>
            <w:tcW w:w="6524" w:type="dxa"/>
            <w:vAlign w:val="bottom"/>
          </w:tcPr>
          <w:p w14:paraId="5F9D07C8" w14:textId="77777777" w:rsidR="00172B81" w:rsidRPr="00537128" w:rsidRDefault="00172B81" w:rsidP="00172B81">
            <w:pPr>
              <w:spacing w:after="0" w:line="140" w:lineRule="exact"/>
              <w:rPr>
                <w:rFonts w:ascii="Calibri" w:eastAsia="Times New Roman" w:hAnsi="Calibri" w:cs="Arial"/>
                <w:b/>
                <w:bCs/>
                <w:sz w:val="18"/>
                <w:szCs w:val="18"/>
                <w:lang w:val="en-US"/>
              </w:rPr>
            </w:pPr>
          </w:p>
        </w:tc>
        <w:tc>
          <w:tcPr>
            <w:tcW w:w="1433" w:type="dxa"/>
            <w:tcBorders>
              <w:top w:val="single" w:sz="12" w:space="0" w:color="auto"/>
              <w:left w:val="nil"/>
              <w:right w:val="nil"/>
            </w:tcBorders>
            <w:shd w:val="clear" w:color="auto" w:fill="auto"/>
            <w:noWrap/>
            <w:vAlign w:val="bottom"/>
          </w:tcPr>
          <w:p w14:paraId="2640771F" w14:textId="77777777" w:rsidR="00172B81" w:rsidRPr="00537128" w:rsidRDefault="00172B81" w:rsidP="00172B81">
            <w:pPr>
              <w:spacing w:after="0" w:line="140" w:lineRule="exact"/>
              <w:jc w:val="right"/>
              <w:rPr>
                <w:rFonts w:ascii="Calibri" w:eastAsia="Times New Roman" w:hAnsi="Calibri" w:cs="Arial"/>
                <w:bCs/>
                <w:sz w:val="18"/>
                <w:szCs w:val="18"/>
                <w:lang w:val="en-US"/>
              </w:rPr>
            </w:pPr>
          </w:p>
        </w:tc>
        <w:tc>
          <w:tcPr>
            <w:tcW w:w="1244" w:type="dxa"/>
            <w:tcBorders>
              <w:top w:val="single" w:sz="12" w:space="0" w:color="auto"/>
              <w:left w:val="nil"/>
              <w:right w:val="nil"/>
            </w:tcBorders>
            <w:shd w:val="clear" w:color="auto" w:fill="auto"/>
            <w:vAlign w:val="bottom"/>
          </w:tcPr>
          <w:p w14:paraId="1226B695" w14:textId="77777777" w:rsidR="00172B81" w:rsidRPr="00537128" w:rsidRDefault="00172B81" w:rsidP="00172B81">
            <w:pPr>
              <w:spacing w:after="0" w:line="140" w:lineRule="exact"/>
              <w:jc w:val="right"/>
              <w:rPr>
                <w:rFonts w:ascii="Calibri" w:eastAsia="Times New Roman" w:hAnsi="Calibri" w:cs="Arial"/>
                <w:bCs/>
                <w:sz w:val="18"/>
                <w:szCs w:val="18"/>
                <w:lang w:val="en-US"/>
              </w:rPr>
            </w:pPr>
          </w:p>
        </w:tc>
      </w:tr>
      <w:tr w:rsidR="00172B81" w:rsidRPr="00537128" w14:paraId="4553E267" w14:textId="77777777" w:rsidTr="001E7D22">
        <w:trPr>
          <w:trHeight w:val="78"/>
        </w:trPr>
        <w:tc>
          <w:tcPr>
            <w:tcW w:w="6524" w:type="dxa"/>
            <w:vAlign w:val="bottom"/>
            <w:hideMark/>
          </w:tcPr>
          <w:p w14:paraId="4A1A6C6D" w14:textId="04350437" w:rsidR="00172B81" w:rsidRPr="00537128" w:rsidRDefault="00172B81" w:rsidP="00172B81">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 xml:space="preserve">Other comprehensive </w:t>
            </w:r>
            <w:r w:rsidR="00EE4B78">
              <w:rPr>
                <w:rFonts w:ascii="Calibri" w:eastAsia="Times New Roman" w:hAnsi="Calibri" w:cs="Arial"/>
                <w:b/>
                <w:bCs/>
                <w:sz w:val="18"/>
                <w:szCs w:val="18"/>
                <w:lang w:val="en-US"/>
              </w:rPr>
              <w:t>(revenue)/</w:t>
            </w:r>
            <w:r w:rsidRPr="00537128">
              <w:rPr>
                <w:rFonts w:ascii="Calibri" w:eastAsia="Times New Roman" w:hAnsi="Calibri" w:cs="Arial"/>
                <w:b/>
                <w:bCs/>
                <w:sz w:val="18"/>
                <w:szCs w:val="18"/>
                <w:lang w:val="en-US"/>
              </w:rPr>
              <w:t>income after income tax</w:t>
            </w:r>
          </w:p>
        </w:tc>
        <w:tc>
          <w:tcPr>
            <w:tcW w:w="1433" w:type="dxa"/>
            <w:tcBorders>
              <w:left w:val="nil"/>
              <w:right w:val="nil"/>
            </w:tcBorders>
            <w:shd w:val="clear" w:color="auto" w:fill="auto"/>
            <w:noWrap/>
            <w:vAlign w:val="bottom"/>
          </w:tcPr>
          <w:p w14:paraId="72BE74BA" w14:textId="2D0F9712" w:rsidR="00172B81" w:rsidRPr="00537128" w:rsidRDefault="00172B81" w:rsidP="00172B81">
            <w:pPr>
              <w:spacing w:after="0" w:line="220" w:lineRule="exact"/>
              <w:jc w:val="right"/>
              <w:rPr>
                <w:rFonts w:ascii="Calibri" w:eastAsia="Times New Roman" w:hAnsi="Calibri" w:cs="Arial"/>
                <w:b/>
                <w:bCs/>
                <w:sz w:val="18"/>
                <w:szCs w:val="18"/>
                <w:lang w:val="en-US"/>
              </w:rPr>
            </w:pPr>
            <w:r w:rsidRPr="00852784">
              <w:rPr>
                <w:b/>
                <w:color w:val="000000" w:themeColor="text1"/>
                <w:sz w:val="18"/>
                <w:szCs w:val="18"/>
              </w:rPr>
              <w:t>(3</w:t>
            </w:r>
            <w:r>
              <w:rPr>
                <w:b/>
                <w:color w:val="000000" w:themeColor="text1"/>
                <w:sz w:val="18"/>
                <w:szCs w:val="18"/>
              </w:rPr>
              <w:t>,</w:t>
            </w:r>
            <w:r w:rsidRPr="00852784">
              <w:rPr>
                <w:b/>
                <w:color w:val="000000" w:themeColor="text1"/>
                <w:sz w:val="18"/>
                <w:szCs w:val="18"/>
              </w:rPr>
              <w:t>108)</w:t>
            </w:r>
          </w:p>
        </w:tc>
        <w:tc>
          <w:tcPr>
            <w:tcW w:w="1244" w:type="dxa"/>
            <w:tcBorders>
              <w:left w:val="nil"/>
              <w:right w:val="nil"/>
            </w:tcBorders>
            <w:shd w:val="clear" w:color="auto" w:fill="auto"/>
            <w:vAlign w:val="bottom"/>
          </w:tcPr>
          <w:p w14:paraId="0F90E954" w14:textId="42DA1110" w:rsidR="00172B81" w:rsidRPr="00537128" w:rsidRDefault="00172B81" w:rsidP="00172B81">
            <w:pPr>
              <w:spacing w:after="0" w:line="220" w:lineRule="exact"/>
              <w:jc w:val="right"/>
              <w:rPr>
                <w:rFonts w:ascii="Calibri" w:eastAsia="Times New Roman" w:hAnsi="Calibri" w:cs="Arial"/>
                <w:b/>
                <w:bCs/>
                <w:sz w:val="18"/>
                <w:szCs w:val="18"/>
                <w:lang w:val="en-US"/>
              </w:rPr>
            </w:pPr>
            <w:r>
              <w:rPr>
                <w:rFonts w:ascii="Calibri" w:hAnsi="Calibri"/>
                <w:b/>
                <w:color w:val="000000"/>
                <w:sz w:val="18"/>
                <w:szCs w:val="18"/>
              </w:rPr>
              <w:t>(439)</w:t>
            </w:r>
          </w:p>
        </w:tc>
      </w:tr>
      <w:tr w:rsidR="00172B81" w:rsidRPr="00537128" w14:paraId="54354813" w14:textId="77777777" w:rsidTr="001E7D22">
        <w:trPr>
          <w:trHeight w:val="53"/>
        </w:trPr>
        <w:tc>
          <w:tcPr>
            <w:tcW w:w="6524" w:type="dxa"/>
            <w:vAlign w:val="bottom"/>
          </w:tcPr>
          <w:p w14:paraId="3E216DAC" w14:textId="77777777" w:rsidR="00172B81" w:rsidRPr="00537128" w:rsidRDefault="00172B81" w:rsidP="00172B81">
            <w:pPr>
              <w:spacing w:after="0" w:line="140" w:lineRule="exact"/>
              <w:rPr>
                <w:rFonts w:ascii="Calibri" w:eastAsia="Times New Roman" w:hAnsi="Calibri" w:cs="Arial"/>
                <w:b/>
                <w:bCs/>
                <w:sz w:val="18"/>
                <w:szCs w:val="18"/>
                <w:lang w:val="en-US"/>
              </w:rPr>
            </w:pPr>
          </w:p>
        </w:tc>
        <w:tc>
          <w:tcPr>
            <w:tcW w:w="1433" w:type="dxa"/>
            <w:tcBorders>
              <w:left w:val="nil"/>
              <w:bottom w:val="single" w:sz="4" w:space="0" w:color="auto"/>
              <w:right w:val="nil"/>
            </w:tcBorders>
            <w:shd w:val="clear" w:color="auto" w:fill="auto"/>
            <w:noWrap/>
            <w:vAlign w:val="bottom"/>
          </w:tcPr>
          <w:p w14:paraId="23793AAD" w14:textId="77777777" w:rsidR="00172B81" w:rsidRPr="00537128" w:rsidRDefault="00172B81" w:rsidP="00172B81">
            <w:pPr>
              <w:spacing w:after="0" w:line="140" w:lineRule="exact"/>
              <w:jc w:val="right"/>
              <w:rPr>
                <w:rFonts w:ascii="Calibri" w:eastAsia="Times New Roman" w:hAnsi="Calibri" w:cs="Arial"/>
                <w:b/>
                <w:bCs/>
                <w:sz w:val="18"/>
                <w:szCs w:val="18"/>
                <w:lang w:val="en-US"/>
              </w:rPr>
            </w:pPr>
          </w:p>
        </w:tc>
        <w:tc>
          <w:tcPr>
            <w:tcW w:w="1244" w:type="dxa"/>
            <w:tcBorders>
              <w:left w:val="nil"/>
              <w:bottom w:val="single" w:sz="4" w:space="0" w:color="auto"/>
              <w:right w:val="nil"/>
            </w:tcBorders>
            <w:shd w:val="clear" w:color="auto" w:fill="auto"/>
            <w:vAlign w:val="bottom"/>
          </w:tcPr>
          <w:p w14:paraId="7CCCB47E" w14:textId="77777777" w:rsidR="00172B81" w:rsidRPr="00537128" w:rsidRDefault="00172B81" w:rsidP="00172B81">
            <w:pPr>
              <w:spacing w:after="0" w:line="140" w:lineRule="exact"/>
              <w:jc w:val="right"/>
              <w:rPr>
                <w:rFonts w:ascii="Calibri" w:eastAsia="Times New Roman" w:hAnsi="Calibri" w:cs="Arial"/>
                <w:b/>
                <w:bCs/>
                <w:sz w:val="18"/>
                <w:szCs w:val="18"/>
                <w:lang w:val="en-US"/>
              </w:rPr>
            </w:pPr>
          </w:p>
        </w:tc>
      </w:tr>
      <w:tr w:rsidR="00172B81" w:rsidRPr="00537128" w14:paraId="381DE469" w14:textId="77777777" w:rsidTr="001E7D22">
        <w:trPr>
          <w:trHeight w:val="102"/>
        </w:trPr>
        <w:tc>
          <w:tcPr>
            <w:tcW w:w="6524" w:type="dxa"/>
            <w:vAlign w:val="bottom"/>
            <w:hideMark/>
          </w:tcPr>
          <w:p w14:paraId="1B1AD5F3" w14:textId="57DB3679" w:rsidR="00172B81" w:rsidRPr="00537128" w:rsidRDefault="00172B81" w:rsidP="00172B81">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 xml:space="preserve">Total comprehensive </w:t>
            </w:r>
            <w:r w:rsidR="00EE4B78">
              <w:rPr>
                <w:rFonts w:ascii="Calibri" w:eastAsia="Times New Roman" w:hAnsi="Calibri" w:cs="Arial"/>
                <w:b/>
                <w:bCs/>
                <w:sz w:val="18"/>
                <w:szCs w:val="18"/>
                <w:lang w:val="en-US"/>
              </w:rPr>
              <w:t>(revenue)/</w:t>
            </w:r>
            <w:r w:rsidRPr="00537128">
              <w:rPr>
                <w:rFonts w:ascii="Calibri" w:eastAsia="Times New Roman" w:hAnsi="Calibri" w:cs="Arial"/>
                <w:b/>
                <w:bCs/>
                <w:sz w:val="18"/>
                <w:szCs w:val="18"/>
                <w:lang w:val="en-US"/>
              </w:rPr>
              <w:t>income after income tax</w:t>
            </w:r>
          </w:p>
        </w:tc>
        <w:tc>
          <w:tcPr>
            <w:tcW w:w="1433" w:type="dxa"/>
            <w:tcBorders>
              <w:top w:val="single" w:sz="4" w:space="0" w:color="auto"/>
              <w:left w:val="nil"/>
              <w:bottom w:val="single" w:sz="12" w:space="0" w:color="auto"/>
              <w:right w:val="nil"/>
            </w:tcBorders>
            <w:shd w:val="clear" w:color="auto" w:fill="auto"/>
            <w:noWrap/>
            <w:vAlign w:val="bottom"/>
          </w:tcPr>
          <w:p w14:paraId="6F8E84F8" w14:textId="47B84EA6" w:rsidR="00172B81" w:rsidRPr="00537128" w:rsidRDefault="00172B81" w:rsidP="00172B81">
            <w:pPr>
              <w:spacing w:after="0" w:line="220" w:lineRule="exact"/>
              <w:jc w:val="right"/>
              <w:rPr>
                <w:rFonts w:ascii="Calibri" w:eastAsia="Times New Roman" w:hAnsi="Calibri" w:cs="Arial"/>
                <w:b/>
                <w:bCs/>
                <w:sz w:val="18"/>
                <w:szCs w:val="18"/>
                <w:lang w:val="en-US"/>
              </w:rPr>
            </w:pPr>
            <w:r w:rsidRPr="00852784">
              <w:rPr>
                <w:b/>
                <w:color w:val="000000" w:themeColor="text1"/>
                <w:sz w:val="18"/>
                <w:szCs w:val="18"/>
              </w:rPr>
              <w:t>(3</w:t>
            </w:r>
            <w:r>
              <w:rPr>
                <w:b/>
                <w:color w:val="000000" w:themeColor="text1"/>
                <w:sz w:val="18"/>
                <w:szCs w:val="18"/>
              </w:rPr>
              <w:t>,</w:t>
            </w:r>
            <w:r w:rsidRPr="00852784">
              <w:rPr>
                <w:b/>
                <w:color w:val="000000" w:themeColor="text1"/>
                <w:sz w:val="18"/>
                <w:szCs w:val="18"/>
              </w:rPr>
              <w:t>352)</w:t>
            </w:r>
          </w:p>
        </w:tc>
        <w:tc>
          <w:tcPr>
            <w:tcW w:w="1244" w:type="dxa"/>
            <w:tcBorders>
              <w:top w:val="single" w:sz="4" w:space="0" w:color="auto"/>
              <w:left w:val="nil"/>
              <w:bottom w:val="single" w:sz="12" w:space="0" w:color="auto"/>
              <w:right w:val="nil"/>
            </w:tcBorders>
            <w:shd w:val="clear" w:color="auto" w:fill="auto"/>
            <w:vAlign w:val="bottom"/>
          </w:tcPr>
          <w:p w14:paraId="4990190D" w14:textId="5C2A6738" w:rsidR="00172B81" w:rsidRPr="00537128" w:rsidRDefault="00172B81" w:rsidP="00172B81">
            <w:pPr>
              <w:spacing w:after="0" w:line="220" w:lineRule="exact"/>
              <w:jc w:val="right"/>
              <w:rPr>
                <w:rFonts w:ascii="Calibri" w:eastAsia="Times New Roman" w:hAnsi="Calibri" w:cs="Arial"/>
                <w:b/>
                <w:bCs/>
                <w:sz w:val="18"/>
                <w:szCs w:val="18"/>
                <w:lang w:val="en-US"/>
              </w:rPr>
            </w:pPr>
            <w:r>
              <w:rPr>
                <w:rFonts w:ascii="Calibri" w:hAnsi="Calibri"/>
                <w:b/>
                <w:color w:val="000000"/>
                <w:sz w:val="18"/>
                <w:szCs w:val="18"/>
              </w:rPr>
              <w:t>325</w:t>
            </w:r>
          </w:p>
        </w:tc>
      </w:tr>
      <w:tr w:rsidR="00172B81" w:rsidRPr="00537128" w14:paraId="6C5D3D3A" w14:textId="77777777" w:rsidTr="001E7D22">
        <w:trPr>
          <w:trHeight w:val="56"/>
        </w:trPr>
        <w:tc>
          <w:tcPr>
            <w:tcW w:w="6524" w:type="dxa"/>
            <w:vAlign w:val="bottom"/>
          </w:tcPr>
          <w:p w14:paraId="6DD05E11" w14:textId="77777777" w:rsidR="00172B81" w:rsidRPr="00537128" w:rsidRDefault="00172B81" w:rsidP="00172B81">
            <w:pPr>
              <w:spacing w:after="0" w:line="140" w:lineRule="exact"/>
              <w:rPr>
                <w:rFonts w:ascii="Calibri" w:eastAsia="Times New Roman" w:hAnsi="Calibri" w:cs="Arial"/>
                <w:bCs/>
                <w:sz w:val="18"/>
                <w:szCs w:val="18"/>
                <w:lang w:val="en-US"/>
              </w:rPr>
            </w:pPr>
          </w:p>
        </w:tc>
        <w:tc>
          <w:tcPr>
            <w:tcW w:w="1433" w:type="dxa"/>
            <w:tcBorders>
              <w:top w:val="single" w:sz="12" w:space="0" w:color="auto"/>
              <w:left w:val="nil"/>
              <w:right w:val="nil"/>
            </w:tcBorders>
            <w:shd w:val="clear" w:color="auto" w:fill="auto"/>
            <w:noWrap/>
            <w:vAlign w:val="bottom"/>
          </w:tcPr>
          <w:p w14:paraId="6DB5AEC7" w14:textId="77777777" w:rsidR="00172B81" w:rsidRPr="00537128" w:rsidRDefault="00172B81" w:rsidP="00172B81">
            <w:pPr>
              <w:spacing w:after="0" w:line="140" w:lineRule="exact"/>
              <w:jc w:val="right"/>
              <w:rPr>
                <w:rFonts w:ascii="Calibri" w:eastAsia="Times New Roman" w:hAnsi="Calibri" w:cs="Arial"/>
                <w:bCs/>
                <w:sz w:val="18"/>
                <w:szCs w:val="18"/>
                <w:lang w:val="en-US"/>
              </w:rPr>
            </w:pPr>
          </w:p>
        </w:tc>
        <w:tc>
          <w:tcPr>
            <w:tcW w:w="1244" w:type="dxa"/>
            <w:tcBorders>
              <w:top w:val="single" w:sz="12" w:space="0" w:color="auto"/>
              <w:left w:val="nil"/>
              <w:right w:val="nil"/>
            </w:tcBorders>
            <w:shd w:val="clear" w:color="auto" w:fill="auto"/>
            <w:vAlign w:val="bottom"/>
          </w:tcPr>
          <w:p w14:paraId="6DFF0B31" w14:textId="77777777" w:rsidR="00172B81" w:rsidRPr="00537128" w:rsidRDefault="00172B81" w:rsidP="00172B81">
            <w:pPr>
              <w:spacing w:after="0" w:line="140" w:lineRule="exact"/>
              <w:jc w:val="right"/>
              <w:rPr>
                <w:rFonts w:ascii="Calibri" w:eastAsia="Times New Roman" w:hAnsi="Calibri" w:cs="Arial"/>
                <w:bCs/>
                <w:sz w:val="18"/>
                <w:szCs w:val="18"/>
                <w:lang w:val="en-US"/>
              </w:rPr>
            </w:pPr>
          </w:p>
        </w:tc>
      </w:tr>
      <w:tr w:rsidR="00172B81" w:rsidRPr="00537128" w14:paraId="289B10AD" w14:textId="77777777" w:rsidTr="001E7D22">
        <w:trPr>
          <w:trHeight w:val="56"/>
        </w:trPr>
        <w:tc>
          <w:tcPr>
            <w:tcW w:w="6524" w:type="dxa"/>
            <w:vAlign w:val="bottom"/>
            <w:hideMark/>
          </w:tcPr>
          <w:p w14:paraId="5002BF99" w14:textId="77777777" w:rsidR="00172B81" w:rsidRPr="00537128" w:rsidRDefault="00172B81" w:rsidP="00172B81">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Attributable to:</w:t>
            </w:r>
          </w:p>
        </w:tc>
        <w:tc>
          <w:tcPr>
            <w:tcW w:w="1433" w:type="dxa"/>
            <w:tcBorders>
              <w:left w:val="nil"/>
              <w:right w:val="nil"/>
            </w:tcBorders>
            <w:shd w:val="clear" w:color="auto" w:fill="auto"/>
            <w:noWrap/>
            <w:vAlign w:val="bottom"/>
          </w:tcPr>
          <w:p w14:paraId="147D2F38" w14:textId="77777777" w:rsidR="00172B81" w:rsidRPr="00537128" w:rsidRDefault="00172B81" w:rsidP="00172B81">
            <w:pPr>
              <w:spacing w:after="0" w:line="220" w:lineRule="exact"/>
              <w:jc w:val="right"/>
              <w:rPr>
                <w:rFonts w:ascii="Calibri" w:eastAsia="Times New Roman" w:hAnsi="Calibri" w:cs="Arial"/>
                <w:bCs/>
                <w:sz w:val="18"/>
                <w:szCs w:val="18"/>
                <w:lang w:val="en-US"/>
              </w:rPr>
            </w:pPr>
          </w:p>
        </w:tc>
        <w:tc>
          <w:tcPr>
            <w:tcW w:w="1244" w:type="dxa"/>
            <w:tcBorders>
              <w:left w:val="nil"/>
              <w:right w:val="nil"/>
            </w:tcBorders>
            <w:shd w:val="clear" w:color="auto" w:fill="auto"/>
            <w:vAlign w:val="bottom"/>
          </w:tcPr>
          <w:p w14:paraId="21893AA2" w14:textId="77777777" w:rsidR="00172B81" w:rsidRPr="00537128" w:rsidRDefault="00172B81" w:rsidP="00172B81">
            <w:pPr>
              <w:spacing w:after="0" w:line="220" w:lineRule="exact"/>
              <w:jc w:val="right"/>
              <w:rPr>
                <w:rFonts w:ascii="Calibri" w:eastAsia="Times New Roman" w:hAnsi="Calibri" w:cs="Arial"/>
                <w:bCs/>
                <w:sz w:val="18"/>
                <w:szCs w:val="18"/>
                <w:lang w:val="en-US"/>
              </w:rPr>
            </w:pPr>
          </w:p>
        </w:tc>
      </w:tr>
      <w:tr w:rsidR="00172B81" w:rsidRPr="00537128" w14:paraId="3DCFF6AE" w14:textId="77777777" w:rsidTr="001E7D22">
        <w:trPr>
          <w:trHeight w:val="44"/>
        </w:trPr>
        <w:tc>
          <w:tcPr>
            <w:tcW w:w="6524" w:type="dxa"/>
            <w:vAlign w:val="bottom"/>
            <w:hideMark/>
          </w:tcPr>
          <w:p w14:paraId="5FDB7CAF" w14:textId="77777777" w:rsidR="00172B81" w:rsidRPr="00537128" w:rsidRDefault="00172B81" w:rsidP="00172B81">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Equity holder of the parent</w:t>
            </w:r>
          </w:p>
        </w:tc>
        <w:tc>
          <w:tcPr>
            <w:tcW w:w="1433" w:type="dxa"/>
            <w:tcBorders>
              <w:left w:val="nil"/>
              <w:bottom w:val="single" w:sz="12" w:space="0" w:color="auto"/>
              <w:right w:val="nil"/>
            </w:tcBorders>
            <w:shd w:val="clear" w:color="auto" w:fill="auto"/>
            <w:noWrap/>
            <w:vAlign w:val="bottom"/>
          </w:tcPr>
          <w:p w14:paraId="024B3C7D" w14:textId="23AE58A0" w:rsidR="00172B81" w:rsidRPr="00537128" w:rsidRDefault="00172B81" w:rsidP="00172B81">
            <w:pPr>
              <w:spacing w:after="0" w:line="220" w:lineRule="exact"/>
              <w:jc w:val="right"/>
              <w:rPr>
                <w:rFonts w:ascii="Calibri" w:eastAsia="Times New Roman" w:hAnsi="Calibri" w:cs="Arial"/>
                <w:bCs/>
                <w:sz w:val="18"/>
                <w:szCs w:val="18"/>
                <w:lang w:val="en-US"/>
              </w:rPr>
            </w:pPr>
            <w:r w:rsidRPr="00852784">
              <w:rPr>
                <w:color w:val="000000" w:themeColor="text1"/>
                <w:sz w:val="18"/>
                <w:szCs w:val="18"/>
              </w:rPr>
              <w:t>(3</w:t>
            </w:r>
            <w:r>
              <w:rPr>
                <w:color w:val="000000" w:themeColor="text1"/>
                <w:sz w:val="18"/>
                <w:szCs w:val="18"/>
              </w:rPr>
              <w:t>,</w:t>
            </w:r>
            <w:r w:rsidRPr="00852784">
              <w:rPr>
                <w:color w:val="000000" w:themeColor="text1"/>
                <w:sz w:val="18"/>
                <w:szCs w:val="18"/>
              </w:rPr>
              <w:t>352)</w:t>
            </w:r>
          </w:p>
        </w:tc>
        <w:tc>
          <w:tcPr>
            <w:tcW w:w="1244" w:type="dxa"/>
            <w:tcBorders>
              <w:left w:val="nil"/>
              <w:bottom w:val="single" w:sz="12" w:space="0" w:color="auto"/>
              <w:right w:val="nil"/>
            </w:tcBorders>
            <w:shd w:val="clear" w:color="auto" w:fill="auto"/>
            <w:vAlign w:val="bottom"/>
          </w:tcPr>
          <w:p w14:paraId="1B5C4501" w14:textId="21321543" w:rsidR="00172B81" w:rsidRPr="00537128" w:rsidRDefault="00172B81" w:rsidP="00172B81">
            <w:pPr>
              <w:spacing w:after="0" w:line="220" w:lineRule="exact"/>
              <w:jc w:val="right"/>
              <w:rPr>
                <w:rFonts w:ascii="Calibri" w:eastAsia="Times New Roman" w:hAnsi="Calibri" w:cs="Arial"/>
                <w:bCs/>
                <w:sz w:val="18"/>
                <w:szCs w:val="18"/>
                <w:lang w:val="en-US"/>
              </w:rPr>
            </w:pPr>
            <w:r>
              <w:rPr>
                <w:rFonts w:ascii="Calibri" w:hAnsi="Calibri"/>
                <w:color w:val="000000"/>
                <w:sz w:val="18"/>
                <w:szCs w:val="18"/>
              </w:rPr>
              <w:t>325</w:t>
            </w:r>
          </w:p>
        </w:tc>
      </w:tr>
    </w:tbl>
    <w:p w14:paraId="60042565" w14:textId="77777777" w:rsidR="00730472" w:rsidRPr="00537128" w:rsidRDefault="00730472" w:rsidP="00D27961">
      <w:pPr>
        <w:tabs>
          <w:tab w:val="left" w:pos="709"/>
        </w:tabs>
        <w:spacing w:after="0" w:line="240" w:lineRule="auto"/>
        <w:jc w:val="both"/>
        <w:rPr>
          <w:rFonts w:ascii="Calibri" w:eastAsia="Times New Roman" w:hAnsi="Calibri" w:cs="Arial"/>
          <w:b/>
          <w:spacing w:val="-3"/>
          <w:sz w:val="16"/>
          <w:szCs w:val="16"/>
          <w:lang w:val="en-US"/>
        </w:rPr>
      </w:pPr>
    </w:p>
    <w:p w14:paraId="1621AB79" w14:textId="77777777" w:rsidR="008513EE" w:rsidRPr="00537128" w:rsidRDefault="008513EE" w:rsidP="00D27961">
      <w:pPr>
        <w:tabs>
          <w:tab w:val="left" w:pos="709"/>
        </w:tabs>
        <w:spacing w:after="0" w:line="240" w:lineRule="auto"/>
        <w:jc w:val="both"/>
        <w:rPr>
          <w:rFonts w:ascii="Calibri" w:eastAsia="Times New Roman" w:hAnsi="Calibri" w:cs="Arial"/>
          <w:bCs/>
          <w:spacing w:val="-3"/>
          <w:sz w:val="20"/>
          <w:szCs w:val="20"/>
          <w:lang w:val="en-US"/>
        </w:rPr>
      </w:pPr>
      <w:r w:rsidRPr="00537128">
        <w:rPr>
          <w:rFonts w:ascii="Calibri" w:eastAsia="Times New Roman" w:hAnsi="Calibri" w:cs="Arial"/>
          <w:bCs/>
          <w:spacing w:val="-3"/>
          <w:sz w:val="20"/>
          <w:szCs w:val="20"/>
          <w:lang w:val="en-US"/>
        </w:rPr>
        <w:t>Profit before and after taxation in the separate financial statements of the HKO Group differs from the result in the Consolidated Income Statement of HBOR Group, as IFRS 9 has not been applied in separate financial statements</w:t>
      </w:r>
      <w:r w:rsidR="003C1B19" w:rsidRPr="00537128">
        <w:rPr>
          <w:rFonts w:ascii="Calibri" w:eastAsia="Times New Roman" w:hAnsi="Calibri" w:cs="Arial"/>
          <w:bCs/>
          <w:spacing w:val="-3"/>
          <w:sz w:val="20"/>
          <w:szCs w:val="20"/>
          <w:lang w:val="en-US"/>
        </w:rPr>
        <w:t>.</w:t>
      </w:r>
    </w:p>
    <w:p w14:paraId="24BC0FA2" w14:textId="77777777" w:rsidR="007643F8" w:rsidRPr="00537128" w:rsidRDefault="007643F8" w:rsidP="00D27961">
      <w:pPr>
        <w:tabs>
          <w:tab w:val="left" w:pos="709"/>
        </w:tabs>
        <w:spacing w:after="0" w:line="240" w:lineRule="auto"/>
        <w:jc w:val="both"/>
        <w:rPr>
          <w:rFonts w:ascii="Calibri" w:eastAsia="Times New Roman" w:hAnsi="Calibri" w:cs="Arial"/>
          <w:b/>
          <w:spacing w:val="-3"/>
          <w:lang w:val="en-US"/>
        </w:rPr>
        <w:sectPr w:rsidR="007643F8" w:rsidRPr="00537128" w:rsidSect="00712478">
          <w:headerReference w:type="default" r:id="rId36"/>
          <w:pgSz w:w="11906" w:h="16838"/>
          <w:pgMar w:top="1418" w:right="1134" w:bottom="1418" w:left="1418" w:header="709" w:footer="709" w:gutter="0"/>
          <w:cols w:space="708"/>
          <w:docGrid w:linePitch="360"/>
        </w:sectPr>
      </w:pPr>
    </w:p>
    <w:p w14:paraId="5DB0890D" w14:textId="77777777" w:rsidR="00827A2B" w:rsidRPr="00537128" w:rsidRDefault="00827A2B" w:rsidP="00D27961">
      <w:pPr>
        <w:tabs>
          <w:tab w:val="left" w:pos="709"/>
        </w:tabs>
        <w:spacing w:after="0" w:line="240" w:lineRule="auto"/>
        <w:jc w:val="both"/>
        <w:rPr>
          <w:rFonts w:ascii="Calibri" w:eastAsia="Times New Roman" w:hAnsi="Calibri" w:cs="Arial"/>
          <w:b/>
          <w:spacing w:val="-3"/>
          <w:lang w:val="en-US"/>
        </w:rPr>
      </w:pPr>
    </w:p>
    <w:p w14:paraId="003B686E" w14:textId="77777777" w:rsidR="00C25F9E" w:rsidRPr="00537128" w:rsidRDefault="00C25F9E" w:rsidP="00D27961">
      <w:pPr>
        <w:tabs>
          <w:tab w:val="left" w:pos="709"/>
        </w:tabs>
        <w:spacing w:after="0" w:line="240" w:lineRule="auto"/>
        <w:jc w:val="both"/>
        <w:rPr>
          <w:rFonts w:ascii="Calibri" w:eastAsia="Times New Roman" w:hAnsi="Calibri" w:cs="Arial"/>
          <w:b/>
          <w:spacing w:val="-3"/>
          <w:lang w:val="en-US"/>
        </w:rPr>
      </w:pPr>
    </w:p>
    <w:tbl>
      <w:tblPr>
        <w:tblpPr w:leftFromText="181" w:rightFromText="181" w:vertAnchor="text" w:horzAnchor="margin" w:tblpXSpec="center" w:tblpY="-44"/>
        <w:tblW w:w="8515" w:type="dxa"/>
        <w:tblLayout w:type="fixed"/>
        <w:tblLook w:val="04A0" w:firstRow="1" w:lastRow="0" w:firstColumn="1" w:lastColumn="0" w:noHBand="0" w:noVBand="1"/>
      </w:tblPr>
      <w:tblGrid>
        <w:gridCol w:w="5840"/>
        <w:gridCol w:w="1337"/>
        <w:gridCol w:w="1338"/>
      </w:tblGrid>
      <w:tr w:rsidR="00730472" w:rsidRPr="00537128" w14:paraId="3A772396" w14:textId="77777777" w:rsidTr="00730472">
        <w:trPr>
          <w:trHeight w:val="119"/>
        </w:trPr>
        <w:tc>
          <w:tcPr>
            <w:tcW w:w="5840" w:type="dxa"/>
            <w:vAlign w:val="bottom"/>
          </w:tcPr>
          <w:p w14:paraId="482AC140" w14:textId="77777777" w:rsidR="00730472" w:rsidRPr="00537128" w:rsidRDefault="00730472" w:rsidP="00730472">
            <w:pPr>
              <w:spacing w:after="0" w:line="220" w:lineRule="exact"/>
              <w:rPr>
                <w:rFonts w:ascii="Calibri" w:eastAsia="Times New Roman" w:hAnsi="Calibri" w:cs="Arial"/>
                <w:b/>
                <w:bCs/>
                <w:sz w:val="18"/>
                <w:szCs w:val="18"/>
                <w:lang w:val="en-US"/>
              </w:rPr>
            </w:pPr>
          </w:p>
        </w:tc>
        <w:tc>
          <w:tcPr>
            <w:tcW w:w="1337" w:type="dxa"/>
            <w:noWrap/>
            <w:vAlign w:val="bottom"/>
            <w:hideMark/>
          </w:tcPr>
          <w:p w14:paraId="2B4488D8" w14:textId="4AF9AFB1" w:rsidR="00730472" w:rsidRPr="00537128" w:rsidRDefault="00730472" w:rsidP="0073047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Mar 31, 202</w:t>
            </w:r>
            <w:r w:rsidR="00E929D0">
              <w:rPr>
                <w:rFonts w:ascii="Calibri" w:eastAsia="Times New Roman" w:hAnsi="Calibri" w:cs="Arial"/>
                <w:b/>
                <w:bCs/>
                <w:sz w:val="18"/>
                <w:szCs w:val="18"/>
                <w:lang w:val="en-US"/>
              </w:rPr>
              <w:t>2</w:t>
            </w:r>
          </w:p>
        </w:tc>
        <w:tc>
          <w:tcPr>
            <w:tcW w:w="1338" w:type="dxa"/>
            <w:vAlign w:val="bottom"/>
            <w:hideMark/>
          </w:tcPr>
          <w:p w14:paraId="7F42A314" w14:textId="180564EC" w:rsidR="00730472" w:rsidRPr="00537128" w:rsidRDefault="00730472" w:rsidP="0073047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Dec 31, 202</w:t>
            </w:r>
            <w:r w:rsidR="00E929D0">
              <w:rPr>
                <w:rFonts w:ascii="Calibri" w:eastAsia="Times New Roman" w:hAnsi="Calibri" w:cs="Arial"/>
                <w:b/>
                <w:bCs/>
                <w:sz w:val="18"/>
                <w:szCs w:val="18"/>
                <w:lang w:val="en-US"/>
              </w:rPr>
              <w:t>1</w:t>
            </w:r>
          </w:p>
        </w:tc>
      </w:tr>
      <w:tr w:rsidR="00730472" w:rsidRPr="00537128" w14:paraId="1A8A5DE3" w14:textId="77777777" w:rsidTr="00730472">
        <w:trPr>
          <w:trHeight w:val="95"/>
        </w:trPr>
        <w:tc>
          <w:tcPr>
            <w:tcW w:w="5840" w:type="dxa"/>
            <w:vAlign w:val="bottom"/>
          </w:tcPr>
          <w:p w14:paraId="079D0BEF" w14:textId="77777777" w:rsidR="00730472" w:rsidRPr="00537128" w:rsidRDefault="00730472" w:rsidP="00730472">
            <w:pPr>
              <w:spacing w:after="0" w:line="220" w:lineRule="exact"/>
              <w:rPr>
                <w:rFonts w:ascii="Calibri" w:eastAsia="Times New Roman" w:hAnsi="Calibri" w:cs="Arial"/>
                <w:b/>
                <w:bCs/>
                <w:sz w:val="18"/>
                <w:szCs w:val="18"/>
                <w:lang w:val="en-US"/>
              </w:rPr>
            </w:pPr>
          </w:p>
        </w:tc>
        <w:tc>
          <w:tcPr>
            <w:tcW w:w="1337" w:type="dxa"/>
            <w:noWrap/>
            <w:vAlign w:val="bottom"/>
            <w:hideMark/>
          </w:tcPr>
          <w:p w14:paraId="2EDF8C84" w14:textId="77777777" w:rsidR="00730472" w:rsidRPr="00537128" w:rsidRDefault="00730472" w:rsidP="0073047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HRK ‘000</w:t>
            </w:r>
          </w:p>
        </w:tc>
        <w:tc>
          <w:tcPr>
            <w:tcW w:w="1338" w:type="dxa"/>
            <w:hideMark/>
          </w:tcPr>
          <w:p w14:paraId="511E82BD" w14:textId="77777777" w:rsidR="00730472" w:rsidRPr="00537128" w:rsidRDefault="00730472" w:rsidP="0073047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HRK ‘000</w:t>
            </w:r>
          </w:p>
        </w:tc>
      </w:tr>
      <w:tr w:rsidR="00730472" w:rsidRPr="00537128" w14:paraId="104EBDC4" w14:textId="77777777" w:rsidTr="00730472">
        <w:trPr>
          <w:trHeight w:val="59"/>
        </w:trPr>
        <w:tc>
          <w:tcPr>
            <w:tcW w:w="5840" w:type="dxa"/>
            <w:vAlign w:val="bottom"/>
          </w:tcPr>
          <w:p w14:paraId="49407D0B" w14:textId="77777777" w:rsidR="00730472" w:rsidRPr="00537128" w:rsidRDefault="00730472" w:rsidP="00730472">
            <w:pPr>
              <w:spacing w:after="0" w:line="140" w:lineRule="exact"/>
              <w:rPr>
                <w:rFonts w:ascii="Calibri" w:eastAsia="Times New Roman" w:hAnsi="Calibri" w:cs="Arial"/>
                <w:sz w:val="18"/>
                <w:szCs w:val="18"/>
                <w:lang w:val="en-US"/>
              </w:rPr>
            </w:pPr>
          </w:p>
        </w:tc>
        <w:tc>
          <w:tcPr>
            <w:tcW w:w="1337" w:type="dxa"/>
            <w:noWrap/>
            <w:vAlign w:val="bottom"/>
          </w:tcPr>
          <w:p w14:paraId="4A09F5F3" w14:textId="77777777" w:rsidR="00730472" w:rsidRPr="00537128" w:rsidRDefault="00730472" w:rsidP="00730472">
            <w:pPr>
              <w:spacing w:after="0" w:line="140" w:lineRule="exact"/>
              <w:rPr>
                <w:rFonts w:ascii="Calibri" w:eastAsia="Times New Roman" w:hAnsi="Calibri" w:cs="Arial"/>
                <w:sz w:val="18"/>
                <w:szCs w:val="18"/>
                <w:lang w:val="en-US"/>
              </w:rPr>
            </w:pPr>
          </w:p>
        </w:tc>
        <w:tc>
          <w:tcPr>
            <w:tcW w:w="1338" w:type="dxa"/>
          </w:tcPr>
          <w:p w14:paraId="7B2D34C7" w14:textId="77777777" w:rsidR="00730472" w:rsidRPr="00537128" w:rsidRDefault="00730472" w:rsidP="00730472">
            <w:pPr>
              <w:spacing w:after="0" w:line="140" w:lineRule="exact"/>
              <w:rPr>
                <w:rFonts w:ascii="Calibri" w:eastAsia="Times New Roman" w:hAnsi="Calibri" w:cs="Arial"/>
                <w:sz w:val="18"/>
                <w:szCs w:val="18"/>
                <w:lang w:val="en-US"/>
              </w:rPr>
            </w:pPr>
          </w:p>
        </w:tc>
      </w:tr>
      <w:tr w:rsidR="00730472" w:rsidRPr="00537128" w14:paraId="1656002D" w14:textId="77777777" w:rsidTr="00730472">
        <w:trPr>
          <w:trHeight w:val="109"/>
        </w:trPr>
        <w:tc>
          <w:tcPr>
            <w:tcW w:w="5840" w:type="dxa"/>
            <w:vAlign w:val="bottom"/>
            <w:hideMark/>
          </w:tcPr>
          <w:p w14:paraId="37D2CB44" w14:textId="77777777" w:rsidR="00730472" w:rsidRPr="00537128" w:rsidRDefault="00730472" w:rsidP="00730472">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Assets</w:t>
            </w:r>
          </w:p>
        </w:tc>
        <w:tc>
          <w:tcPr>
            <w:tcW w:w="1337" w:type="dxa"/>
            <w:noWrap/>
            <w:vAlign w:val="bottom"/>
          </w:tcPr>
          <w:p w14:paraId="2CCCB8FC" w14:textId="77777777" w:rsidR="00730472" w:rsidRPr="00537128" w:rsidRDefault="00730472" w:rsidP="00730472">
            <w:pPr>
              <w:spacing w:after="0" w:line="220" w:lineRule="exact"/>
              <w:jc w:val="right"/>
              <w:rPr>
                <w:rFonts w:ascii="Calibri" w:eastAsia="Times New Roman" w:hAnsi="Calibri" w:cs="Arial"/>
                <w:sz w:val="18"/>
                <w:szCs w:val="18"/>
                <w:lang w:val="en-US"/>
              </w:rPr>
            </w:pPr>
          </w:p>
        </w:tc>
        <w:tc>
          <w:tcPr>
            <w:tcW w:w="1338" w:type="dxa"/>
          </w:tcPr>
          <w:p w14:paraId="44E167C0" w14:textId="77777777" w:rsidR="00730472" w:rsidRPr="00537128" w:rsidRDefault="00730472" w:rsidP="00730472">
            <w:pPr>
              <w:spacing w:after="0" w:line="220" w:lineRule="exact"/>
              <w:jc w:val="right"/>
              <w:rPr>
                <w:rFonts w:ascii="Calibri" w:eastAsia="Times New Roman" w:hAnsi="Calibri" w:cs="Arial"/>
                <w:sz w:val="18"/>
                <w:szCs w:val="18"/>
                <w:lang w:val="en-US"/>
              </w:rPr>
            </w:pPr>
          </w:p>
        </w:tc>
      </w:tr>
      <w:tr w:rsidR="00730472" w:rsidRPr="00537128" w14:paraId="27E6846E" w14:textId="77777777" w:rsidTr="00730472">
        <w:trPr>
          <w:trHeight w:val="66"/>
        </w:trPr>
        <w:tc>
          <w:tcPr>
            <w:tcW w:w="5840" w:type="dxa"/>
            <w:vAlign w:val="bottom"/>
            <w:hideMark/>
          </w:tcPr>
          <w:p w14:paraId="7C518680" w14:textId="77777777" w:rsidR="00730472" w:rsidRPr="00537128" w:rsidRDefault="00730472" w:rsidP="00730472">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Non-current assets</w:t>
            </w:r>
          </w:p>
        </w:tc>
        <w:tc>
          <w:tcPr>
            <w:tcW w:w="1337" w:type="dxa"/>
            <w:noWrap/>
            <w:vAlign w:val="bottom"/>
          </w:tcPr>
          <w:p w14:paraId="5EA1D9A1" w14:textId="77777777" w:rsidR="00730472" w:rsidRPr="00537128" w:rsidRDefault="00730472" w:rsidP="00730472">
            <w:pPr>
              <w:spacing w:after="0" w:line="220" w:lineRule="exact"/>
              <w:jc w:val="right"/>
              <w:rPr>
                <w:rFonts w:ascii="Calibri" w:eastAsia="Times New Roman" w:hAnsi="Calibri" w:cs="Arial"/>
                <w:sz w:val="18"/>
                <w:szCs w:val="18"/>
                <w:lang w:val="en-US"/>
              </w:rPr>
            </w:pPr>
          </w:p>
        </w:tc>
        <w:tc>
          <w:tcPr>
            <w:tcW w:w="1338" w:type="dxa"/>
          </w:tcPr>
          <w:p w14:paraId="0226DC85" w14:textId="77777777" w:rsidR="00730472" w:rsidRPr="00537128" w:rsidRDefault="00730472" w:rsidP="00730472">
            <w:pPr>
              <w:spacing w:after="0" w:line="220" w:lineRule="exact"/>
              <w:jc w:val="right"/>
              <w:rPr>
                <w:rFonts w:ascii="Calibri" w:eastAsia="Times New Roman" w:hAnsi="Calibri" w:cs="Arial"/>
                <w:sz w:val="18"/>
                <w:szCs w:val="18"/>
                <w:lang w:val="en-US"/>
              </w:rPr>
            </w:pPr>
          </w:p>
        </w:tc>
      </w:tr>
      <w:tr w:rsidR="00172B81" w:rsidRPr="00537128" w14:paraId="1F6291BD" w14:textId="77777777" w:rsidTr="00DA1D33">
        <w:trPr>
          <w:trHeight w:val="181"/>
        </w:trPr>
        <w:tc>
          <w:tcPr>
            <w:tcW w:w="5840" w:type="dxa"/>
            <w:vAlign w:val="bottom"/>
            <w:hideMark/>
          </w:tcPr>
          <w:p w14:paraId="51732696" w14:textId="77777777" w:rsidR="00172B81" w:rsidRPr="00537128" w:rsidRDefault="00172B81" w:rsidP="00172B81">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Property and equipment</w:t>
            </w:r>
          </w:p>
        </w:tc>
        <w:tc>
          <w:tcPr>
            <w:tcW w:w="1337" w:type="dxa"/>
            <w:shd w:val="clear" w:color="auto" w:fill="auto"/>
            <w:noWrap/>
          </w:tcPr>
          <w:p w14:paraId="499C22EE" w14:textId="6E0BD993" w:rsidR="00172B81" w:rsidRPr="00537128" w:rsidRDefault="00172B81" w:rsidP="00172B81">
            <w:pPr>
              <w:spacing w:after="0" w:line="220" w:lineRule="exact"/>
              <w:jc w:val="right"/>
              <w:rPr>
                <w:rFonts w:ascii="Calibri" w:eastAsia="Times New Roman" w:hAnsi="Calibri" w:cs="Arial"/>
                <w:sz w:val="18"/>
                <w:szCs w:val="18"/>
                <w:lang w:val="en-US"/>
              </w:rPr>
            </w:pPr>
            <w:r w:rsidRPr="00852784">
              <w:rPr>
                <w:rFonts w:ascii="Calibri" w:hAnsi="Calibri" w:cs="Arial"/>
                <w:color w:val="000000"/>
                <w:sz w:val="18"/>
                <w:szCs w:val="18"/>
              </w:rPr>
              <w:t>737</w:t>
            </w:r>
          </w:p>
        </w:tc>
        <w:tc>
          <w:tcPr>
            <w:tcW w:w="1338" w:type="dxa"/>
            <w:shd w:val="clear" w:color="auto" w:fill="auto"/>
            <w:hideMark/>
          </w:tcPr>
          <w:p w14:paraId="05F4E785" w14:textId="69031A6C" w:rsidR="00172B81" w:rsidRPr="00537128" w:rsidRDefault="00172B81" w:rsidP="00172B81">
            <w:pPr>
              <w:spacing w:after="0" w:line="220" w:lineRule="exact"/>
              <w:jc w:val="right"/>
              <w:rPr>
                <w:rFonts w:ascii="Calibri" w:eastAsia="Times New Roman" w:hAnsi="Calibri" w:cs="Arial"/>
                <w:sz w:val="18"/>
                <w:szCs w:val="18"/>
                <w:lang w:val="en-US"/>
              </w:rPr>
            </w:pPr>
            <w:r w:rsidRPr="00D03C88">
              <w:rPr>
                <w:rFonts w:ascii="Calibri" w:hAnsi="Calibri" w:cs="Arial"/>
                <w:color w:val="000000"/>
                <w:sz w:val="18"/>
                <w:szCs w:val="18"/>
              </w:rPr>
              <w:t>825</w:t>
            </w:r>
          </w:p>
        </w:tc>
      </w:tr>
      <w:tr w:rsidR="00172B81" w:rsidRPr="00537128" w14:paraId="22C673C9" w14:textId="77777777" w:rsidTr="00DA1D33">
        <w:trPr>
          <w:trHeight w:val="181"/>
        </w:trPr>
        <w:tc>
          <w:tcPr>
            <w:tcW w:w="5840" w:type="dxa"/>
            <w:vAlign w:val="bottom"/>
            <w:hideMark/>
          </w:tcPr>
          <w:p w14:paraId="237DD0E2" w14:textId="77777777" w:rsidR="00172B81" w:rsidRPr="00537128" w:rsidRDefault="00172B81" w:rsidP="00172B81">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Intangible assets</w:t>
            </w:r>
          </w:p>
        </w:tc>
        <w:tc>
          <w:tcPr>
            <w:tcW w:w="1337" w:type="dxa"/>
            <w:shd w:val="clear" w:color="auto" w:fill="auto"/>
            <w:noWrap/>
          </w:tcPr>
          <w:p w14:paraId="2CC3440C" w14:textId="57A6D6FC" w:rsidR="00172B81" w:rsidRPr="00537128" w:rsidRDefault="00172B81" w:rsidP="00172B81">
            <w:pPr>
              <w:spacing w:after="0" w:line="220" w:lineRule="exact"/>
              <w:jc w:val="right"/>
              <w:rPr>
                <w:rFonts w:ascii="Calibri" w:eastAsia="Times New Roman" w:hAnsi="Calibri" w:cs="Arial"/>
                <w:sz w:val="18"/>
                <w:szCs w:val="18"/>
                <w:lang w:val="en-US"/>
              </w:rPr>
            </w:pPr>
            <w:r w:rsidRPr="00852784">
              <w:rPr>
                <w:rFonts w:ascii="Calibri" w:hAnsi="Calibri" w:cs="Arial"/>
                <w:color w:val="000000"/>
                <w:sz w:val="18"/>
                <w:szCs w:val="18"/>
              </w:rPr>
              <w:t>478</w:t>
            </w:r>
          </w:p>
        </w:tc>
        <w:tc>
          <w:tcPr>
            <w:tcW w:w="1338" w:type="dxa"/>
            <w:shd w:val="clear" w:color="auto" w:fill="auto"/>
            <w:hideMark/>
          </w:tcPr>
          <w:p w14:paraId="5A1640F2" w14:textId="6D89B4E6" w:rsidR="00172B81" w:rsidRPr="00537128" w:rsidRDefault="00172B81" w:rsidP="00172B81">
            <w:pPr>
              <w:spacing w:after="0" w:line="220" w:lineRule="exact"/>
              <w:jc w:val="right"/>
              <w:rPr>
                <w:rFonts w:ascii="Calibri" w:eastAsia="Times New Roman" w:hAnsi="Calibri" w:cs="Arial"/>
                <w:sz w:val="18"/>
                <w:szCs w:val="18"/>
                <w:lang w:val="en-US"/>
              </w:rPr>
            </w:pPr>
            <w:r w:rsidRPr="00D03C88">
              <w:rPr>
                <w:rFonts w:ascii="Calibri" w:hAnsi="Calibri" w:cs="Arial"/>
                <w:color w:val="000000"/>
                <w:sz w:val="18"/>
                <w:szCs w:val="18"/>
              </w:rPr>
              <w:t>439</w:t>
            </w:r>
          </w:p>
        </w:tc>
      </w:tr>
      <w:tr w:rsidR="00172B81" w:rsidRPr="00537128" w14:paraId="6BE8558F" w14:textId="77777777" w:rsidTr="00DA1D33">
        <w:trPr>
          <w:trHeight w:val="181"/>
        </w:trPr>
        <w:tc>
          <w:tcPr>
            <w:tcW w:w="5840" w:type="dxa"/>
            <w:vAlign w:val="bottom"/>
          </w:tcPr>
          <w:p w14:paraId="37B5366C" w14:textId="39CA4E51" w:rsidR="00172B81" w:rsidRPr="00445A47" w:rsidRDefault="00172B81" w:rsidP="00172B81">
            <w:pPr>
              <w:spacing w:after="0" w:line="220" w:lineRule="exact"/>
              <w:rPr>
                <w:rFonts w:ascii="Calibri" w:eastAsia="Times New Roman" w:hAnsi="Calibri" w:cs="Arial"/>
                <w:sz w:val="18"/>
                <w:szCs w:val="18"/>
                <w:lang w:val="en-US"/>
              </w:rPr>
            </w:pPr>
            <w:r w:rsidRPr="00445A47">
              <w:rPr>
                <w:rFonts w:cs="Arial"/>
                <w:sz w:val="18"/>
                <w:szCs w:val="18"/>
              </w:rPr>
              <w:t>Deferred tax assets</w:t>
            </w:r>
          </w:p>
        </w:tc>
        <w:tc>
          <w:tcPr>
            <w:tcW w:w="1337" w:type="dxa"/>
            <w:shd w:val="clear" w:color="auto" w:fill="auto"/>
            <w:noWrap/>
          </w:tcPr>
          <w:p w14:paraId="3DF5AB58" w14:textId="28BA2BC6" w:rsidR="00172B81" w:rsidRPr="00537128" w:rsidRDefault="00172B81" w:rsidP="00172B8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684</w:t>
            </w:r>
          </w:p>
        </w:tc>
        <w:tc>
          <w:tcPr>
            <w:tcW w:w="1338" w:type="dxa"/>
            <w:shd w:val="clear" w:color="auto" w:fill="auto"/>
          </w:tcPr>
          <w:p w14:paraId="14BB2E35" w14:textId="77777777" w:rsidR="00172B81" w:rsidRPr="00D03C88" w:rsidRDefault="00172B81" w:rsidP="00172B81">
            <w:pPr>
              <w:spacing w:after="0" w:line="220" w:lineRule="exact"/>
              <w:jc w:val="right"/>
              <w:rPr>
                <w:rFonts w:ascii="Calibri" w:hAnsi="Calibri" w:cs="Arial"/>
                <w:color w:val="000000"/>
                <w:sz w:val="18"/>
                <w:szCs w:val="18"/>
              </w:rPr>
            </w:pPr>
          </w:p>
        </w:tc>
      </w:tr>
      <w:tr w:rsidR="00172B81" w:rsidRPr="00537128" w14:paraId="7BC9B6C7" w14:textId="77777777" w:rsidTr="00730472">
        <w:trPr>
          <w:trHeight w:val="165"/>
        </w:trPr>
        <w:tc>
          <w:tcPr>
            <w:tcW w:w="5840" w:type="dxa"/>
            <w:vAlign w:val="bottom"/>
            <w:hideMark/>
          </w:tcPr>
          <w:p w14:paraId="00E90D94" w14:textId="77777777" w:rsidR="00172B81" w:rsidRPr="00537128" w:rsidRDefault="00172B81" w:rsidP="00172B81">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Total non-current assets</w:t>
            </w:r>
          </w:p>
        </w:tc>
        <w:tc>
          <w:tcPr>
            <w:tcW w:w="1337" w:type="dxa"/>
            <w:tcBorders>
              <w:top w:val="single" w:sz="4" w:space="0" w:color="auto"/>
              <w:left w:val="nil"/>
              <w:bottom w:val="single" w:sz="12" w:space="0" w:color="auto"/>
              <w:right w:val="nil"/>
            </w:tcBorders>
            <w:shd w:val="clear" w:color="auto" w:fill="auto"/>
            <w:noWrap/>
            <w:vAlign w:val="bottom"/>
          </w:tcPr>
          <w:p w14:paraId="07BA89FC" w14:textId="4F98DD03" w:rsidR="00172B81" w:rsidRPr="00537128" w:rsidRDefault="00172B81" w:rsidP="00172B81">
            <w:pPr>
              <w:spacing w:after="0" w:line="220" w:lineRule="exact"/>
              <w:jc w:val="right"/>
              <w:rPr>
                <w:rFonts w:ascii="Calibri" w:eastAsia="Times New Roman" w:hAnsi="Calibri" w:cs="Arial"/>
                <w:b/>
                <w:bCs/>
                <w:sz w:val="18"/>
                <w:szCs w:val="18"/>
                <w:lang w:val="en-US"/>
              </w:rPr>
            </w:pPr>
            <w:r>
              <w:rPr>
                <w:rFonts w:cs="Arial"/>
                <w:b/>
                <w:bCs/>
                <w:color w:val="000000" w:themeColor="text1"/>
                <w:sz w:val="18"/>
                <w:szCs w:val="18"/>
              </w:rPr>
              <w:t>1,899</w:t>
            </w:r>
          </w:p>
        </w:tc>
        <w:tc>
          <w:tcPr>
            <w:tcW w:w="1338" w:type="dxa"/>
            <w:tcBorders>
              <w:top w:val="single" w:sz="4" w:space="0" w:color="auto"/>
              <w:left w:val="nil"/>
              <w:bottom w:val="single" w:sz="12" w:space="0" w:color="auto"/>
              <w:right w:val="nil"/>
            </w:tcBorders>
            <w:shd w:val="clear" w:color="auto" w:fill="auto"/>
            <w:vAlign w:val="bottom"/>
            <w:hideMark/>
          </w:tcPr>
          <w:p w14:paraId="1A4C4A43" w14:textId="7DC6D6A3" w:rsidR="00172B81" w:rsidRPr="00537128" w:rsidRDefault="00172B81" w:rsidP="00172B81">
            <w:pPr>
              <w:spacing w:after="0" w:line="220" w:lineRule="exact"/>
              <w:jc w:val="right"/>
              <w:rPr>
                <w:rFonts w:ascii="Calibri" w:eastAsia="Times New Roman" w:hAnsi="Calibri" w:cs="Arial"/>
                <w:b/>
                <w:bCs/>
                <w:sz w:val="18"/>
                <w:szCs w:val="18"/>
                <w:lang w:val="en-US"/>
              </w:rPr>
            </w:pPr>
            <w:r>
              <w:rPr>
                <w:rFonts w:cs="Arial"/>
                <w:b/>
                <w:bCs/>
                <w:color w:val="000000" w:themeColor="text1"/>
                <w:sz w:val="18"/>
                <w:szCs w:val="18"/>
              </w:rPr>
              <w:t>1,264</w:t>
            </w:r>
          </w:p>
        </w:tc>
      </w:tr>
      <w:tr w:rsidR="00172B81" w:rsidRPr="00537128" w14:paraId="5ED858C2" w14:textId="77777777" w:rsidTr="00730472">
        <w:trPr>
          <w:trHeight w:val="60"/>
        </w:trPr>
        <w:tc>
          <w:tcPr>
            <w:tcW w:w="5840" w:type="dxa"/>
            <w:vAlign w:val="bottom"/>
          </w:tcPr>
          <w:p w14:paraId="0475EEF7" w14:textId="77777777" w:rsidR="00172B81" w:rsidRPr="00537128" w:rsidRDefault="00172B81" w:rsidP="00172B81">
            <w:pPr>
              <w:spacing w:after="0" w:line="140" w:lineRule="exact"/>
              <w:rPr>
                <w:rFonts w:ascii="Calibri" w:eastAsia="Times New Roman" w:hAnsi="Calibri" w:cs="Arial"/>
                <w:sz w:val="18"/>
                <w:szCs w:val="18"/>
                <w:lang w:val="en-US"/>
              </w:rPr>
            </w:pPr>
          </w:p>
        </w:tc>
        <w:tc>
          <w:tcPr>
            <w:tcW w:w="1337" w:type="dxa"/>
            <w:tcBorders>
              <w:top w:val="single" w:sz="12" w:space="0" w:color="auto"/>
              <w:left w:val="nil"/>
              <w:bottom w:val="nil"/>
              <w:right w:val="nil"/>
            </w:tcBorders>
            <w:shd w:val="clear" w:color="auto" w:fill="auto"/>
            <w:noWrap/>
            <w:vAlign w:val="bottom"/>
          </w:tcPr>
          <w:p w14:paraId="3B5D1C93" w14:textId="77777777" w:rsidR="00172B81" w:rsidRPr="00537128" w:rsidRDefault="00172B81" w:rsidP="00172B81">
            <w:pPr>
              <w:spacing w:after="0" w:line="140" w:lineRule="exact"/>
              <w:jc w:val="right"/>
              <w:rPr>
                <w:rFonts w:ascii="Calibri" w:eastAsia="Times New Roman" w:hAnsi="Calibri" w:cs="Arial"/>
                <w:sz w:val="18"/>
                <w:szCs w:val="18"/>
                <w:lang w:val="en-US"/>
              </w:rPr>
            </w:pPr>
          </w:p>
        </w:tc>
        <w:tc>
          <w:tcPr>
            <w:tcW w:w="1338" w:type="dxa"/>
            <w:tcBorders>
              <w:top w:val="single" w:sz="12" w:space="0" w:color="auto"/>
              <w:left w:val="nil"/>
              <w:bottom w:val="nil"/>
              <w:right w:val="nil"/>
            </w:tcBorders>
            <w:shd w:val="clear" w:color="auto" w:fill="auto"/>
            <w:vAlign w:val="bottom"/>
          </w:tcPr>
          <w:p w14:paraId="7E1DF8A2" w14:textId="77777777" w:rsidR="00172B81" w:rsidRPr="00537128" w:rsidRDefault="00172B81" w:rsidP="00172B81">
            <w:pPr>
              <w:spacing w:after="0" w:line="140" w:lineRule="exact"/>
              <w:jc w:val="right"/>
              <w:rPr>
                <w:rFonts w:ascii="Calibri" w:eastAsia="Times New Roman" w:hAnsi="Calibri" w:cs="Arial"/>
                <w:sz w:val="18"/>
                <w:szCs w:val="18"/>
                <w:lang w:val="en-US"/>
              </w:rPr>
            </w:pPr>
          </w:p>
        </w:tc>
      </w:tr>
      <w:tr w:rsidR="00172B81" w:rsidRPr="00537128" w14:paraId="2C7E3056" w14:textId="77777777" w:rsidTr="00730472">
        <w:trPr>
          <w:trHeight w:val="149"/>
        </w:trPr>
        <w:tc>
          <w:tcPr>
            <w:tcW w:w="5840" w:type="dxa"/>
            <w:vAlign w:val="bottom"/>
            <w:hideMark/>
          </w:tcPr>
          <w:p w14:paraId="2CD1F8B3" w14:textId="77777777" w:rsidR="00172B81" w:rsidRPr="00537128" w:rsidRDefault="00172B81" w:rsidP="00172B81">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Current assets</w:t>
            </w:r>
          </w:p>
        </w:tc>
        <w:tc>
          <w:tcPr>
            <w:tcW w:w="1337" w:type="dxa"/>
            <w:shd w:val="clear" w:color="auto" w:fill="auto"/>
            <w:noWrap/>
            <w:vAlign w:val="bottom"/>
          </w:tcPr>
          <w:p w14:paraId="0E3EA5ED" w14:textId="77777777" w:rsidR="00172B81" w:rsidRPr="00537128" w:rsidRDefault="00172B81" w:rsidP="00172B81">
            <w:pPr>
              <w:spacing w:after="0" w:line="220" w:lineRule="exact"/>
              <w:jc w:val="right"/>
              <w:rPr>
                <w:rFonts w:ascii="Calibri" w:eastAsia="Times New Roman" w:hAnsi="Calibri" w:cs="Arial"/>
                <w:sz w:val="18"/>
                <w:szCs w:val="18"/>
                <w:lang w:val="en-US"/>
              </w:rPr>
            </w:pPr>
          </w:p>
        </w:tc>
        <w:tc>
          <w:tcPr>
            <w:tcW w:w="1338" w:type="dxa"/>
            <w:shd w:val="clear" w:color="auto" w:fill="auto"/>
            <w:vAlign w:val="bottom"/>
          </w:tcPr>
          <w:p w14:paraId="14701FBC" w14:textId="77777777" w:rsidR="00172B81" w:rsidRPr="00537128" w:rsidRDefault="00172B81" w:rsidP="00172B81">
            <w:pPr>
              <w:spacing w:after="0" w:line="220" w:lineRule="exact"/>
              <w:jc w:val="right"/>
              <w:rPr>
                <w:rFonts w:ascii="Calibri" w:eastAsia="Times New Roman" w:hAnsi="Calibri" w:cs="Arial"/>
                <w:sz w:val="18"/>
                <w:szCs w:val="18"/>
                <w:lang w:val="en-US"/>
              </w:rPr>
            </w:pPr>
          </w:p>
        </w:tc>
      </w:tr>
      <w:tr w:rsidR="00172B81" w:rsidRPr="00537128" w14:paraId="2EC4AFC6" w14:textId="77777777" w:rsidTr="00730472">
        <w:trPr>
          <w:trHeight w:val="255"/>
        </w:trPr>
        <w:tc>
          <w:tcPr>
            <w:tcW w:w="5840" w:type="dxa"/>
            <w:vAlign w:val="bottom"/>
            <w:hideMark/>
          </w:tcPr>
          <w:p w14:paraId="00112033" w14:textId="77777777" w:rsidR="00172B81" w:rsidRPr="00537128" w:rsidRDefault="00172B81" w:rsidP="00172B81">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Investments available for sale</w:t>
            </w:r>
          </w:p>
        </w:tc>
        <w:tc>
          <w:tcPr>
            <w:tcW w:w="1337" w:type="dxa"/>
            <w:shd w:val="clear" w:color="auto" w:fill="auto"/>
            <w:noWrap/>
            <w:vAlign w:val="bottom"/>
          </w:tcPr>
          <w:p w14:paraId="2C0CE68C" w14:textId="26AC4F6D" w:rsidR="00172B81" w:rsidRPr="00537128" w:rsidRDefault="00172B81" w:rsidP="00172B81">
            <w:pPr>
              <w:spacing w:after="0" w:line="220" w:lineRule="exact"/>
              <w:jc w:val="right"/>
              <w:rPr>
                <w:rFonts w:ascii="Calibri" w:eastAsia="Times New Roman" w:hAnsi="Calibri" w:cs="Arial"/>
                <w:sz w:val="18"/>
                <w:szCs w:val="18"/>
                <w:lang w:val="en-US"/>
              </w:rPr>
            </w:pPr>
            <w:r w:rsidRPr="00852784">
              <w:rPr>
                <w:rFonts w:cs="Arial"/>
                <w:color w:val="000000" w:themeColor="text1"/>
                <w:sz w:val="18"/>
                <w:szCs w:val="18"/>
              </w:rPr>
              <w:t>53</w:t>
            </w:r>
            <w:r>
              <w:rPr>
                <w:rFonts w:cs="Arial"/>
                <w:color w:val="000000" w:themeColor="text1"/>
                <w:sz w:val="18"/>
                <w:szCs w:val="18"/>
              </w:rPr>
              <w:t>,</w:t>
            </w:r>
            <w:r w:rsidRPr="00852784">
              <w:rPr>
                <w:rFonts w:cs="Arial"/>
                <w:color w:val="000000" w:themeColor="text1"/>
                <w:sz w:val="18"/>
                <w:szCs w:val="18"/>
              </w:rPr>
              <w:t>142</w:t>
            </w:r>
          </w:p>
        </w:tc>
        <w:tc>
          <w:tcPr>
            <w:tcW w:w="1338" w:type="dxa"/>
            <w:shd w:val="clear" w:color="auto" w:fill="auto"/>
            <w:vAlign w:val="bottom"/>
            <w:hideMark/>
          </w:tcPr>
          <w:p w14:paraId="05F54E2C" w14:textId="3C5BA111" w:rsidR="00172B81" w:rsidRPr="00537128" w:rsidRDefault="00172B81" w:rsidP="00172B81">
            <w:pPr>
              <w:spacing w:after="0" w:line="220" w:lineRule="exact"/>
              <w:jc w:val="right"/>
              <w:rPr>
                <w:rFonts w:ascii="Calibri" w:eastAsia="Times New Roman" w:hAnsi="Calibri" w:cs="Arial"/>
                <w:sz w:val="18"/>
                <w:szCs w:val="18"/>
                <w:lang w:val="en-US"/>
              </w:rPr>
            </w:pPr>
            <w:r>
              <w:rPr>
                <w:rFonts w:cs="Arial"/>
                <w:color w:val="000000" w:themeColor="text1"/>
                <w:sz w:val="18"/>
                <w:szCs w:val="18"/>
              </w:rPr>
              <w:t>56,826</w:t>
            </w:r>
          </w:p>
        </w:tc>
      </w:tr>
      <w:tr w:rsidR="00172B81" w:rsidRPr="00537128" w14:paraId="5FDDF36D" w14:textId="77777777" w:rsidTr="00074ACF">
        <w:trPr>
          <w:trHeight w:val="255"/>
        </w:trPr>
        <w:tc>
          <w:tcPr>
            <w:tcW w:w="5840" w:type="dxa"/>
            <w:vAlign w:val="bottom"/>
            <w:hideMark/>
          </w:tcPr>
          <w:p w14:paraId="48780287" w14:textId="77777777" w:rsidR="00172B81" w:rsidRPr="00537128" w:rsidRDefault="00172B81" w:rsidP="00172B81">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Receivables from insurance operations</w:t>
            </w:r>
          </w:p>
        </w:tc>
        <w:tc>
          <w:tcPr>
            <w:tcW w:w="1337" w:type="dxa"/>
            <w:shd w:val="clear" w:color="auto" w:fill="auto"/>
            <w:noWrap/>
          </w:tcPr>
          <w:p w14:paraId="3F05CA03" w14:textId="4C044EBE" w:rsidR="00172B81" w:rsidRPr="00537128" w:rsidRDefault="00172B81" w:rsidP="00172B81">
            <w:pPr>
              <w:spacing w:after="0" w:line="220" w:lineRule="exact"/>
              <w:jc w:val="right"/>
              <w:rPr>
                <w:rFonts w:ascii="Calibri" w:eastAsia="Times New Roman" w:hAnsi="Calibri" w:cs="Arial"/>
                <w:sz w:val="18"/>
                <w:szCs w:val="18"/>
                <w:lang w:val="en-US"/>
              </w:rPr>
            </w:pPr>
            <w:r w:rsidRPr="00852784">
              <w:rPr>
                <w:rFonts w:cs="Arial"/>
                <w:color w:val="000000" w:themeColor="text1"/>
                <w:sz w:val="18"/>
                <w:szCs w:val="18"/>
              </w:rPr>
              <w:t>2</w:t>
            </w:r>
            <w:r>
              <w:rPr>
                <w:rFonts w:cs="Arial"/>
                <w:color w:val="000000" w:themeColor="text1"/>
                <w:sz w:val="18"/>
                <w:szCs w:val="18"/>
              </w:rPr>
              <w:t>,</w:t>
            </w:r>
            <w:r w:rsidRPr="00852784">
              <w:rPr>
                <w:rFonts w:cs="Arial"/>
                <w:color w:val="000000" w:themeColor="text1"/>
                <w:sz w:val="18"/>
                <w:szCs w:val="18"/>
              </w:rPr>
              <w:t>693</w:t>
            </w:r>
          </w:p>
        </w:tc>
        <w:tc>
          <w:tcPr>
            <w:tcW w:w="1338" w:type="dxa"/>
            <w:shd w:val="clear" w:color="auto" w:fill="auto"/>
            <w:vAlign w:val="bottom"/>
            <w:hideMark/>
          </w:tcPr>
          <w:p w14:paraId="5C23AE2E" w14:textId="5E92A4E9" w:rsidR="00172B81" w:rsidRPr="00537128" w:rsidRDefault="00172B81" w:rsidP="00172B81">
            <w:pPr>
              <w:spacing w:after="0" w:line="220" w:lineRule="exact"/>
              <w:jc w:val="right"/>
              <w:rPr>
                <w:rFonts w:ascii="Calibri" w:eastAsia="Times New Roman" w:hAnsi="Calibri" w:cs="Arial"/>
                <w:sz w:val="18"/>
                <w:szCs w:val="18"/>
                <w:lang w:val="en-US"/>
              </w:rPr>
            </w:pPr>
            <w:r>
              <w:rPr>
                <w:rFonts w:cs="Arial"/>
                <w:color w:val="000000" w:themeColor="text1"/>
                <w:sz w:val="18"/>
                <w:szCs w:val="18"/>
              </w:rPr>
              <w:t>2,361</w:t>
            </w:r>
          </w:p>
        </w:tc>
      </w:tr>
      <w:tr w:rsidR="00172B81" w:rsidRPr="00537128" w14:paraId="5EA11246" w14:textId="77777777" w:rsidTr="00074ACF">
        <w:trPr>
          <w:trHeight w:val="255"/>
        </w:trPr>
        <w:tc>
          <w:tcPr>
            <w:tcW w:w="5840" w:type="dxa"/>
            <w:vAlign w:val="bottom"/>
            <w:hideMark/>
          </w:tcPr>
          <w:p w14:paraId="60D078D5" w14:textId="77777777" w:rsidR="00172B81" w:rsidRPr="00537128" w:rsidRDefault="00172B81" w:rsidP="00172B81">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Other receivables </w:t>
            </w:r>
          </w:p>
        </w:tc>
        <w:tc>
          <w:tcPr>
            <w:tcW w:w="1337" w:type="dxa"/>
            <w:shd w:val="clear" w:color="auto" w:fill="auto"/>
            <w:noWrap/>
          </w:tcPr>
          <w:p w14:paraId="38B87439" w14:textId="2D36A36F" w:rsidR="00172B81" w:rsidRPr="00537128" w:rsidRDefault="00172B81" w:rsidP="00172B81">
            <w:pPr>
              <w:spacing w:after="0" w:line="220" w:lineRule="exact"/>
              <w:jc w:val="right"/>
              <w:rPr>
                <w:rFonts w:ascii="Calibri" w:eastAsia="Times New Roman" w:hAnsi="Calibri" w:cs="Arial"/>
                <w:sz w:val="18"/>
                <w:szCs w:val="18"/>
                <w:lang w:val="en-US"/>
              </w:rPr>
            </w:pPr>
            <w:r w:rsidRPr="00852784">
              <w:rPr>
                <w:rFonts w:cs="Arial"/>
                <w:color w:val="000000" w:themeColor="text1"/>
                <w:sz w:val="18"/>
                <w:szCs w:val="18"/>
              </w:rPr>
              <w:t>667</w:t>
            </w:r>
          </w:p>
        </w:tc>
        <w:tc>
          <w:tcPr>
            <w:tcW w:w="1338" w:type="dxa"/>
            <w:shd w:val="clear" w:color="auto" w:fill="auto"/>
            <w:vAlign w:val="bottom"/>
            <w:hideMark/>
          </w:tcPr>
          <w:p w14:paraId="174F7751" w14:textId="77DE8422" w:rsidR="00172B81" w:rsidRPr="00537128" w:rsidRDefault="00172B81" w:rsidP="00172B81">
            <w:pPr>
              <w:spacing w:after="0" w:line="220" w:lineRule="exact"/>
              <w:jc w:val="right"/>
              <w:rPr>
                <w:rFonts w:ascii="Calibri" w:eastAsia="Times New Roman" w:hAnsi="Calibri" w:cs="Arial"/>
                <w:sz w:val="18"/>
                <w:szCs w:val="18"/>
                <w:lang w:val="en-US"/>
              </w:rPr>
            </w:pPr>
            <w:r>
              <w:rPr>
                <w:rFonts w:cs="Arial"/>
                <w:color w:val="000000" w:themeColor="text1"/>
                <w:sz w:val="18"/>
                <w:szCs w:val="18"/>
              </w:rPr>
              <w:t>683</w:t>
            </w:r>
          </w:p>
        </w:tc>
      </w:tr>
      <w:tr w:rsidR="00172B81" w:rsidRPr="00537128" w14:paraId="298C1222" w14:textId="77777777" w:rsidTr="00074ACF">
        <w:trPr>
          <w:trHeight w:val="255"/>
        </w:trPr>
        <w:tc>
          <w:tcPr>
            <w:tcW w:w="5840" w:type="dxa"/>
            <w:vAlign w:val="bottom"/>
            <w:hideMark/>
          </w:tcPr>
          <w:p w14:paraId="6446FBF1" w14:textId="77777777" w:rsidR="00172B81" w:rsidRPr="00537128" w:rsidRDefault="00172B81" w:rsidP="00172B81">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Cash and cash equivalents</w:t>
            </w:r>
          </w:p>
        </w:tc>
        <w:tc>
          <w:tcPr>
            <w:tcW w:w="1337" w:type="dxa"/>
            <w:tcBorders>
              <w:top w:val="nil"/>
              <w:left w:val="nil"/>
              <w:bottom w:val="single" w:sz="4" w:space="0" w:color="auto"/>
              <w:right w:val="nil"/>
            </w:tcBorders>
            <w:shd w:val="clear" w:color="auto" w:fill="auto"/>
            <w:noWrap/>
          </w:tcPr>
          <w:p w14:paraId="123C37B4" w14:textId="29C43E6D" w:rsidR="00172B81" w:rsidRPr="00537128" w:rsidRDefault="00172B81" w:rsidP="00172B81">
            <w:pPr>
              <w:spacing w:after="0" w:line="220" w:lineRule="exact"/>
              <w:jc w:val="right"/>
              <w:rPr>
                <w:rFonts w:ascii="Calibri" w:eastAsia="Times New Roman" w:hAnsi="Calibri" w:cs="Arial"/>
                <w:sz w:val="18"/>
                <w:szCs w:val="18"/>
                <w:lang w:val="en-US"/>
              </w:rPr>
            </w:pPr>
            <w:r w:rsidRPr="00852784">
              <w:rPr>
                <w:rFonts w:cs="Arial"/>
                <w:color w:val="000000" w:themeColor="text1"/>
                <w:sz w:val="18"/>
                <w:szCs w:val="18"/>
              </w:rPr>
              <w:t>6</w:t>
            </w:r>
            <w:r>
              <w:rPr>
                <w:rFonts w:cs="Arial"/>
                <w:color w:val="000000" w:themeColor="text1"/>
                <w:sz w:val="18"/>
                <w:szCs w:val="18"/>
              </w:rPr>
              <w:t>,</w:t>
            </w:r>
            <w:r w:rsidRPr="00852784">
              <w:rPr>
                <w:rFonts w:cs="Arial"/>
                <w:color w:val="000000" w:themeColor="text1"/>
                <w:sz w:val="18"/>
                <w:szCs w:val="18"/>
              </w:rPr>
              <w:t>363</w:t>
            </w:r>
          </w:p>
        </w:tc>
        <w:tc>
          <w:tcPr>
            <w:tcW w:w="1338" w:type="dxa"/>
            <w:tcBorders>
              <w:top w:val="nil"/>
              <w:left w:val="nil"/>
              <w:bottom w:val="single" w:sz="4" w:space="0" w:color="auto"/>
              <w:right w:val="nil"/>
            </w:tcBorders>
            <w:shd w:val="clear" w:color="auto" w:fill="auto"/>
            <w:vAlign w:val="bottom"/>
            <w:hideMark/>
          </w:tcPr>
          <w:p w14:paraId="2B319E21" w14:textId="7D8EC206" w:rsidR="00172B81" w:rsidRPr="00537128" w:rsidRDefault="00172B81" w:rsidP="00172B81">
            <w:pPr>
              <w:spacing w:after="0" w:line="220" w:lineRule="exact"/>
              <w:jc w:val="right"/>
              <w:rPr>
                <w:rFonts w:ascii="Calibri" w:eastAsia="Times New Roman" w:hAnsi="Calibri" w:cs="Arial"/>
                <w:sz w:val="18"/>
                <w:szCs w:val="18"/>
                <w:lang w:val="en-US"/>
              </w:rPr>
            </w:pPr>
            <w:r>
              <w:rPr>
                <w:rFonts w:cs="Arial"/>
                <w:color w:val="000000" w:themeColor="text1"/>
                <w:sz w:val="18"/>
                <w:szCs w:val="18"/>
              </w:rPr>
              <w:t>3,366</w:t>
            </w:r>
          </w:p>
        </w:tc>
      </w:tr>
      <w:tr w:rsidR="00172B81" w:rsidRPr="00537128" w14:paraId="04972B70" w14:textId="77777777" w:rsidTr="00730472">
        <w:trPr>
          <w:trHeight w:val="191"/>
        </w:trPr>
        <w:tc>
          <w:tcPr>
            <w:tcW w:w="5840" w:type="dxa"/>
            <w:vAlign w:val="bottom"/>
            <w:hideMark/>
          </w:tcPr>
          <w:p w14:paraId="7DA07A64" w14:textId="77777777" w:rsidR="00172B81" w:rsidRPr="00537128" w:rsidRDefault="00172B81" w:rsidP="00172B81">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Total current assets</w:t>
            </w:r>
          </w:p>
        </w:tc>
        <w:tc>
          <w:tcPr>
            <w:tcW w:w="1337" w:type="dxa"/>
            <w:tcBorders>
              <w:top w:val="single" w:sz="4" w:space="0" w:color="auto"/>
              <w:left w:val="nil"/>
              <w:bottom w:val="single" w:sz="12" w:space="0" w:color="auto"/>
              <w:right w:val="nil"/>
            </w:tcBorders>
            <w:shd w:val="clear" w:color="auto" w:fill="auto"/>
            <w:noWrap/>
            <w:vAlign w:val="bottom"/>
          </w:tcPr>
          <w:p w14:paraId="10843894" w14:textId="34DD85C7" w:rsidR="00172B81" w:rsidRPr="00537128" w:rsidRDefault="00172B81" w:rsidP="00172B81">
            <w:pPr>
              <w:spacing w:after="0" w:line="220" w:lineRule="exact"/>
              <w:jc w:val="right"/>
              <w:rPr>
                <w:rFonts w:ascii="Calibri" w:eastAsia="Times New Roman" w:hAnsi="Calibri" w:cs="Arial"/>
                <w:b/>
                <w:bCs/>
                <w:sz w:val="18"/>
                <w:szCs w:val="18"/>
                <w:lang w:val="en-US"/>
              </w:rPr>
            </w:pPr>
            <w:r w:rsidRPr="00852784">
              <w:rPr>
                <w:rFonts w:cs="Arial"/>
                <w:b/>
                <w:bCs/>
                <w:color w:val="000000" w:themeColor="text1"/>
                <w:sz w:val="18"/>
                <w:szCs w:val="18"/>
              </w:rPr>
              <w:t>62</w:t>
            </w:r>
            <w:r>
              <w:rPr>
                <w:rFonts w:cs="Arial"/>
                <w:b/>
                <w:bCs/>
                <w:color w:val="000000" w:themeColor="text1"/>
                <w:sz w:val="18"/>
                <w:szCs w:val="18"/>
              </w:rPr>
              <w:t>,</w:t>
            </w:r>
            <w:r w:rsidRPr="00852784">
              <w:rPr>
                <w:rFonts w:cs="Arial"/>
                <w:b/>
                <w:bCs/>
                <w:color w:val="000000" w:themeColor="text1"/>
                <w:sz w:val="18"/>
                <w:szCs w:val="18"/>
              </w:rPr>
              <w:t>865</w:t>
            </w:r>
          </w:p>
        </w:tc>
        <w:tc>
          <w:tcPr>
            <w:tcW w:w="1338" w:type="dxa"/>
            <w:tcBorders>
              <w:top w:val="single" w:sz="4" w:space="0" w:color="auto"/>
              <w:left w:val="nil"/>
              <w:bottom w:val="single" w:sz="12" w:space="0" w:color="auto"/>
              <w:right w:val="nil"/>
            </w:tcBorders>
            <w:shd w:val="clear" w:color="auto" w:fill="auto"/>
            <w:vAlign w:val="bottom"/>
            <w:hideMark/>
          </w:tcPr>
          <w:p w14:paraId="3B7B4F1F" w14:textId="343B285A" w:rsidR="00172B81" w:rsidRPr="00537128" w:rsidRDefault="00172B81" w:rsidP="00172B81">
            <w:pPr>
              <w:spacing w:after="0" w:line="220" w:lineRule="exact"/>
              <w:jc w:val="right"/>
              <w:rPr>
                <w:rFonts w:ascii="Calibri" w:eastAsia="Times New Roman" w:hAnsi="Calibri" w:cs="Arial"/>
                <w:b/>
                <w:bCs/>
                <w:sz w:val="18"/>
                <w:szCs w:val="18"/>
                <w:lang w:val="en-US"/>
              </w:rPr>
            </w:pPr>
            <w:r>
              <w:rPr>
                <w:rFonts w:cs="Arial"/>
                <w:b/>
                <w:bCs/>
                <w:color w:val="000000" w:themeColor="text1"/>
                <w:sz w:val="18"/>
                <w:szCs w:val="18"/>
              </w:rPr>
              <w:t>63,236</w:t>
            </w:r>
          </w:p>
        </w:tc>
      </w:tr>
      <w:tr w:rsidR="00172B81" w:rsidRPr="00537128" w14:paraId="2741CC16" w14:textId="77777777" w:rsidTr="00730472">
        <w:trPr>
          <w:trHeight w:val="56"/>
        </w:trPr>
        <w:tc>
          <w:tcPr>
            <w:tcW w:w="5840" w:type="dxa"/>
            <w:vAlign w:val="bottom"/>
          </w:tcPr>
          <w:p w14:paraId="366A0CA1" w14:textId="77777777" w:rsidR="00172B81" w:rsidRPr="00537128" w:rsidRDefault="00172B81" w:rsidP="00172B81">
            <w:pPr>
              <w:spacing w:after="0" w:line="140" w:lineRule="exact"/>
              <w:rPr>
                <w:rFonts w:ascii="Calibri" w:eastAsia="Times New Roman" w:hAnsi="Calibri" w:cs="Arial"/>
                <w:sz w:val="18"/>
                <w:szCs w:val="18"/>
                <w:lang w:val="en-US"/>
              </w:rPr>
            </w:pPr>
          </w:p>
        </w:tc>
        <w:tc>
          <w:tcPr>
            <w:tcW w:w="1337" w:type="dxa"/>
            <w:tcBorders>
              <w:top w:val="single" w:sz="12" w:space="0" w:color="auto"/>
              <w:left w:val="nil"/>
              <w:bottom w:val="single" w:sz="4" w:space="0" w:color="auto"/>
              <w:right w:val="nil"/>
            </w:tcBorders>
            <w:shd w:val="clear" w:color="auto" w:fill="auto"/>
            <w:noWrap/>
            <w:vAlign w:val="bottom"/>
          </w:tcPr>
          <w:p w14:paraId="1D734505" w14:textId="77777777" w:rsidR="00172B81" w:rsidRPr="00537128" w:rsidRDefault="00172B81" w:rsidP="00172B81">
            <w:pPr>
              <w:spacing w:after="0" w:line="140" w:lineRule="exact"/>
              <w:jc w:val="right"/>
              <w:rPr>
                <w:rFonts w:ascii="Calibri" w:eastAsia="Times New Roman" w:hAnsi="Calibri" w:cs="Arial"/>
                <w:sz w:val="18"/>
                <w:szCs w:val="18"/>
                <w:lang w:val="en-US"/>
              </w:rPr>
            </w:pPr>
          </w:p>
        </w:tc>
        <w:tc>
          <w:tcPr>
            <w:tcW w:w="1338" w:type="dxa"/>
            <w:tcBorders>
              <w:top w:val="single" w:sz="12" w:space="0" w:color="auto"/>
              <w:left w:val="nil"/>
              <w:bottom w:val="single" w:sz="4" w:space="0" w:color="auto"/>
              <w:right w:val="nil"/>
            </w:tcBorders>
            <w:shd w:val="clear" w:color="auto" w:fill="auto"/>
            <w:vAlign w:val="bottom"/>
          </w:tcPr>
          <w:p w14:paraId="6A2BA40F" w14:textId="77777777" w:rsidR="00172B81" w:rsidRPr="00537128" w:rsidRDefault="00172B81" w:rsidP="00172B81">
            <w:pPr>
              <w:spacing w:after="0" w:line="140" w:lineRule="exact"/>
              <w:jc w:val="right"/>
              <w:rPr>
                <w:rFonts w:ascii="Calibri" w:eastAsia="Times New Roman" w:hAnsi="Calibri" w:cs="Arial"/>
                <w:sz w:val="18"/>
                <w:szCs w:val="18"/>
                <w:lang w:val="en-US"/>
              </w:rPr>
            </w:pPr>
          </w:p>
        </w:tc>
      </w:tr>
      <w:tr w:rsidR="00172B81" w:rsidRPr="00537128" w14:paraId="7C2552D7" w14:textId="77777777" w:rsidTr="00730472">
        <w:trPr>
          <w:trHeight w:val="221"/>
        </w:trPr>
        <w:tc>
          <w:tcPr>
            <w:tcW w:w="5840" w:type="dxa"/>
            <w:vAlign w:val="bottom"/>
            <w:hideMark/>
          </w:tcPr>
          <w:p w14:paraId="223F2C67" w14:textId="77777777" w:rsidR="00172B81" w:rsidRPr="00537128" w:rsidRDefault="00172B81" w:rsidP="00172B81">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Total assets</w:t>
            </w:r>
          </w:p>
        </w:tc>
        <w:tc>
          <w:tcPr>
            <w:tcW w:w="1337" w:type="dxa"/>
            <w:tcBorders>
              <w:top w:val="single" w:sz="4" w:space="0" w:color="auto"/>
              <w:left w:val="nil"/>
              <w:bottom w:val="single" w:sz="12" w:space="0" w:color="auto"/>
              <w:right w:val="nil"/>
            </w:tcBorders>
            <w:shd w:val="clear" w:color="auto" w:fill="auto"/>
            <w:noWrap/>
            <w:vAlign w:val="bottom"/>
          </w:tcPr>
          <w:p w14:paraId="6C973F09" w14:textId="18808448" w:rsidR="00172B81" w:rsidRPr="00537128" w:rsidRDefault="00172B81" w:rsidP="00172B81">
            <w:pPr>
              <w:spacing w:after="0" w:line="220" w:lineRule="exact"/>
              <w:jc w:val="right"/>
              <w:rPr>
                <w:rFonts w:ascii="Calibri" w:eastAsia="Times New Roman" w:hAnsi="Calibri" w:cs="Arial"/>
                <w:b/>
                <w:bCs/>
                <w:sz w:val="18"/>
                <w:szCs w:val="18"/>
                <w:lang w:val="en-US"/>
              </w:rPr>
            </w:pPr>
            <w:r w:rsidRPr="00852784">
              <w:rPr>
                <w:rFonts w:cs="Arial"/>
                <w:b/>
                <w:bCs/>
                <w:color w:val="000000" w:themeColor="text1"/>
                <w:sz w:val="18"/>
                <w:szCs w:val="18"/>
              </w:rPr>
              <w:t>64</w:t>
            </w:r>
            <w:r>
              <w:rPr>
                <w:rFonts w:cs="Arial"/>
                <w:b/>
                <w:bCs/>
                <w:color w:val="000000" w:themeColor="text1"/>
                <w:sz w:val="18"/>
                <w:szCs w:val="18"/>
              </w:rPr>
              <w:t>,</w:t>
            </w:r>
            <w:r w:rsidRPr="00852784">
              <w:rPr>
                <w:rFonts w:cs="Arial"/>
                <w:b/>
                <w:bCs/>
                <w:color w:val="000000" w:themeColor="text1"/>
                <w:sz w:val="18"/>
                <w:szCs w:val="18"/>
              </w:rPr>
              <w:t>764</w:t>
            </w:r>
          </w:p>
        </w:tc>
        <w:tc>
          <w:tcPr>
            <w:tcW w:w="1338" w:type="dxa"/>
            <w:tcBorders>
              <w:top w:val="single" w:sz="4" w:space="0" w:color="auto"/>
              <w:left w:val="nil"/>
              <w:bottom w:val="single" w:sz="12" w:space="0" w:color="auto"/>
              <w:right w:val="nil"/>
            </w:tcBorders>
            <w:shd w:val="clear" w:color="auto" w:fill="auto"/>
            <w:vAlign w:val="bottom"/>
            <w:hideMark/>
          </w:tcPr>
          <w:p w14:paraId="015A3163" w14:textId="61A23443" w:rsidR="00172B81" w:rsidRPr="00537128" w:rsidRDefault="00172B81" w:rsidP="00172B81">
            <w:pPr>
              <w:spacing w:after="0" w:line="220" w:lineRule="exact"/>
              <w:jc w:val="right"/>
              <w:rPr>
                <w:rFonts w:ascii="Calibri" w:eastAsia="Times New Roman" w:hAnsi="Calibri" w:cs="Arial"/>
                <w:b/>
                <w:bCs/>
                <w:sz w:val="18"/>
                <w:szCs w:val="18"/>
                <w:lang w:val="en-US"/>
              </w:rPr>
            </w:pPr>
            <w:r w:rsidRPr="00856EDE">
              <w:rPr>
                <w:rFonts w:ascii="Calibri" w:hAnsi="Calibri" w:cs="Arial"/>
                <w:b/>
                <w:bCs/>
                <w:color w:val="000000"/>
                <w:sz w:val="18"/>
                <w:szCs w:val="18"/>
              </w:rPr>
              <w:t>64</w:t>
            </w:r>
            <w:r>
              <w:rPr>
                <w:rFonts w:ascii="Calibri" w:hAnsi="Calibri" w:cs="Arial"/>
                <w:b/>
                <w:bCs/>
                <w:color w:val="000000"/>
                <w:sz w:val="18"/>
                <w:szCs w:val="18"/>
              </w:rPr>
              <w:t>,</w:t>
            </w:r>
            <w:r w:rsidRPr="00856EDE">
              <w:rPr>
                <w:rFonts w:ascii="Calibri" w:hAnsi="Calibri" w:cs="Arial"/>
                <w:b/>
                <w:bCs/>
                <w:color w:val="000000"/>
                <w:sz w:val="18"/>
                <w:szCs w:val="18"/>
              </w:rPr>
              <w:t>500</w:t>
            </w:r>
          </w:p>
        </w:tc>
      </w:tr>
      <w:tr w:rsidR="00172B81" w:rsidRPr="00537128" w14:paraId="376AA967" w14:textId="77777777" w:rsidTr="00730472">
        <w:trPr>
          <w:trHeight w:val="74"/>
        </w:trPr>
        <w:tc>
          <w:tcPr>
            <w:tcW w:w="5840" w:type="dxa"/>
            <w:vAlign w:val="bottom"/>
          </w:tcPr>
          <w:p w14:paraId="3EE804EF" w14:textId="77777777" w:rsidR="00172B81" w:rsidRPr="00537128" w:rsidRDefault="00172B81" w:rsidP="00172B81">
            <w:pPr>
              <w:spacing w:after="0" w:line="140" w:lineRule="exact"/>
              <w:rPr>
                <w:rFonts w:ascii="Calibri" w:eastAsia="Times New Roman" w:hAnsi="Calibri" w:cs="Arial"/>
                <w:sz w:val="18"/>
                <w:szCs w:val="18"/>
                <w:lang w:val="en-US"/>
              </w:rPr>
            </w:pPr>
          </w:p>
        </w:tc>
        <w:tc>
          <w:tcPr>
            <w:tcW w:w="1337" w:type="dxa"/>
            <w:tcBorders>
              <w:top w:val="single" w:sz="12" w:space="0" w:color="auto"/>
              <w:left w:val="nil"/>
              <w:bottom w:val="nil"/>
              <w:right w:val="nil"/>
            </w:tcBorders>
            <w:shd w:val="clear" w:color="auto" w:fill="auto"/>
            <w:noWrap/>
            <w:vAlign w:val="bottom"/>
          </w:tcPr>
          <w:p w14:paraId="66120962" w14:textId="77777777" w:rsidR="00172B81" w:rsidRPr="00537128" w:rsidRDefault="00172B81" w:rsidP="00172B81">
            <w:pPr>
              <w:spacing w:after="0" w:line="140" w:lineRule="exact"/>
              <w:jc w:val="right"/>
              <w:rPr>
                <w:rFonts w:ascii="Calibri" w:eastAsia="Times New Roman" w:hAnsi="Calibri" w:cs="Arial"/>
                <w:bCs/>
                <w:sz w:val="18"/>
                <w:szCs w:val="18"/>
                <w:lang w:val="en-US"/>
              </w:rPr>
            </w:pPr>
          </w:p>
        </w:tc>
        <w:tc>
          <w:tcPr>
            <w:tcW w:w="1338" w:type="dxa"/>
            <w:tcBorders>
              <w:top w:val="single" w:sz="12" w:space="0" w:color="auto"/>
              <w:left w:val="nil"/>
              <w:bottom w:val="nil"/>
              <w:right w:val="nil"/>
            </w:tcBorders>
            <w:shd w:val="clear" w:color="auto" w:fill="auto"/>
            <w:vAlign w:val="bottom"/>
          </w:tcPr>
          <w:p w14:paraId="5CFED628" w14:textId="77777777" w:rsidR="00172B81" w:rsidRPr="00537128" w:rsidRDefault="00172B81" w:rsidP="00172B81">
            <w:pPr>
              <w:spacing w:after="0" w:line="140" w:lineRule="exact"/>
              <w:jc w:val="right"/>
              <w:rPr>
                <w:rFonts w:ascii="Calibri" w:eastAsia="Times New Roman" w:hAnsi="Calibri" w:cs="Arial"/>
                <w:bCs/>
                <w:sz w:val="18"/>
                <w:szCs w:val="18"/>
                <w:lang w:val="en-US"/>
              </w:rPr>
            </w:pPr>
          </w:p>
        </w:tc>
      </w:tr>
      <w:tr w:rsidR="00172B81" w:rsidRPr="00537128" w14:paraId="37CEFB22" w14:textId="77777777" w:rsidTr="00730472">
        <w:trPr>
          <w:trHeight w:val="197"/>
        </w:trPr>
        <w:tc>
          <w:tcPr>
            <w:tcW w:w="5840" w:type="dxa"/>
            <w:vAlign w:val="bottom"/>
            <w:hideMark/>
          </w:tcPr>
          <w:p w14:paraId="11F1AB57" w14:textId="77777777" w:rsidR="00172B81" w:rsidRPr="00537128" w:rsidRDefault="00172B81" w:rsidP="00172B81">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Equity and liabilities</w:t>
            </w:r>
          </w:p>
        </w:tc>
        <w:tc>
          <w:tcPr>
            <w:tcW w:w="1337" w:type="dxa"/>
            <w:shd w:val="clear" w:color="auto" w:fill="auto"/>
            <w:noWrap/>
            <w:vAlign w:val="bottom"/>
          </w:tcPr>
          <w:p w14:paraId="7F46D0B0" w14:textId="77777777" w:rsidR="00172B81" w:rsidRPr="00537128" w:rsidRDefault="00172B81" w:rsidP="00172B81">
            <w:pPr>
              <w:spacing w:after="0" w:line="220" w:lineRule="exact"/>
              <w:jc w:val="right"/>
              <w:rPr>
                <w:rFonts w:ascii="Calibri" w:eastAsia="Times New Roman" w:hAnsi="Calibri" w:cs="Arial"/>
                <w:bCs/>
                <w:sz w:val="18"/>
                <w:szCs w:val="18"/>
                <w:lang w:val="en-US"/>
              </w:rPr>
            </w:pPr>
          </w:p>
        </w:tc>
        <w:tc>
          <w:tcPr>
            <w:tcW w:w="1338" w:type="dxa"/>
            <w:shd w:val="clear" w:color="auto" w:fill="auto"/>
            <w:vAlign w:val="bottom"/>
          </w:tcPr>
          <w:p w14:paraId="5AC0F6F5" w14:textId="77777777" w:rsidR="00172B81" w:rsidRPr="00537128" w:rsidRDefault="00172B81" w:rsidP="00172B81">
            <w:pPr>
              <w:spacing w:after="0" w:line="220" w:lineRule="exact"/>
              <w:jc w:val="right"/>
              <w:rPr>
                <w:rFonts w:ascii="Calibri" w:eastAsia="Times New Roman" w:hAnsi="Calibri" w:cs="Arial"/>
                <w:bCs/>
                <w:sz w:val="18"/>
                <w:szCs w:val="18"/>
                <w:lang w:val="en-US"/>
              </w:rPr>
            </w:pPr>
          </w:p>
        </w:tc>
      </w:tr>
      <w:tr w:rsidR="00172B81" w:rsidRPr="00537128" w14:paraId="38682D8F" w14:textId="77777777" w:rsidTr="00730472">
        <w:trPr>
          <w:trHeight w:val="187"/>
        </w:trPr>
        <w:tc>
          <w:tcPr>
            <w:tcW w:w="5840" w:type="dxa"/>
            <w:vAlign w:val="bottom"/>
            <w:hideMark/>
          </w:tcPr>
          <w:p w14:paraId="1A8510EF" w14:textId="77777777" w:rsidR="00172B81" w:rsidRPr="00537128" w:rsidRDefault="00172B81" w:rsidP="00172B81">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Equity</w:t>
            </w:r>
          </w:p>
        </w:tc>
        <w:tc>
          <w:tcPr>
            <w:tcW w:w="1337" w:type="dxa"/>
            <w:shd w:val="clear" w:color="auto" w:fill="auto"/>
            <w:noWrap/>
            <w:vAlign w:val="bottom"/>
          </w:tcPr>
          <w:p w14:paraId="7DE76288" w14:textId="77777777" w:rsidR="00172B81" w:rsidRPr="00537128" w:rsidRDefault="00172B81" w:rsidP="00172B81">
            <w:pPr>
              <w:spacing w:after="0" w:line="220" w:lineRule="exact"/>
              <w:jc w:val="right"/>
              <w:rPr>
                <w:rFonts w:ascii="Calibri" w:eastAsia="Times New Roman" w:hAnsi="Calibri" w:cs="Arial"/>
                <w:sz w:val="18"/>
                <w:szCs w:val="18"/>
                <w:lang w:val="en-US"/>
              </w:rPr>
            </w:pPr>
          </w:p>
        </w:tc>
        <w:tc>
          <w:tcPr>
            <w:tcW w:w="1338" w:type="dxa"/>
            <w:shd w:val="clear" w:color="auto" w:fill="auto"/>
            <w:vAlign w:val="bottom"/>
          </w:tcPr>
          <w:p w14:paraId="30BC0713" w14:textId="77777777" w:rsidR="00172B81" w:rsidRPr="00537128" w:rsidRDefault="00172B81" w:rsidP="00172B81">
            <w:pPr>
              <w:spacing w:after="0" w:line="220" w:lineRule="exact"/>
              <w:jc w:val="right"/>
              <w:rPr>
                <w:rFonts w:ascii="Calibri" w:eastAsia="Times New Roman" w:hAnsi="Calibri" w:cs="Arial"/>
                <w:sz w:val="18"/>
                <w:szCs w:val="18"/>
                <w:lang w:val="en-US"/>
              </w:rPr>
            </w:pPr>
          </w:p>
        </w:tc>
      </w:tr>
      <w:tr w:rsidR="00172B81" w:rsidRPr="00537128" w14:paraId="6D50711C" w14:textId="77777777" w:rsidTr="009629B1">
        <w:trPr>
          <w:trHeight w:val="187"/>
        </w:trPr>
        <w:tc>
          <w:tcPr>
            <w:tcW w:w="5840" w:type="dxa"/>
            <w:vAlign w:val="bottom"/>
            <w:hideMark/>
          </w:tcPr>
          <w:p w14:paraId="0FA88FA2" w14:textId="77777777" w:rsidR="00172B81" w:rsidRPr="00537128" w:rsidRDefault="00172B81" w:rsidP="00172B81">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Share capital</w:t>
            </w:r>
          </w:p>
        </w:tc>
        <w:tc>
          <w:tcPr>
            <w:tcW w:w="1337" w:type="dxa"/>
            <w:shd w:val="clear" w:color="auto" w:fill="auto"/>
            <w:noWrap/>
          </w:tcPr>
          <w:p w14:paraId="509AF4AB" w14:textId="0DDB7462" w:rsidR="00172B81" w:rsidRPr="00537128" w:rsidRDefault="00172B81" w:rsidP="00172B81">
            <w:pPr>
              <w:spacing w:after="0" w:line="220" w:lineRule="exact"/>
              <w:jc w:val="right"/>
              <w:rPr>
                <w:rFonts w:ascii="Calibri" w:eastAsia="Times New Roman" w:hAnsi="Calibri" w:cs="Arial"/>
                <w:sz w:val="18"/>
                <w:szCs w:val="18"/>
                <w:lang w:val="en-US"/>
              </w:rPr>
            </w:pPr>
            <w:r w:rsidRPr="00852784">
              <w:rPr>
                <w:rFonts w:cs="Arial"/>
                <w:color w:val="000000" w:themeColor="text1"/>
                <w:sz w:val="18"/>
                <w:szCs w:val="18"/>
              </w:rPr>
              <w:t>37</w:t>
            </w:r>
            <w:r>
              <w:rPr>
                <w:rFonts w:cs="Arial"/>
                <w:color w:val="000000" w:themeColor="text1"/>
                <w:sz w:val="18"/>
                <w:szCs w:val="18"/>
              </w:rPr>
              <w:t>,</w:t>
            </w:r>
            <w:r w:rsidRPr="00852784">
              <w:rPr>
                <w:rFonts w:cs="Arial"/>
                <w:color w:val="000000" w:themeColor="text1"/>
                <w:sz w:val="18"/>
                <w:szCs w:val="18"/>
              </w:rPr>
              <w:t>500</w:t>
            </w:r>
          </w:p>
        </w:tc>
        <w:tc>
          <w:tcPr>
            <w:tcW w:w="1338" w:type="dxa"/>
            <w:shd w:val="clear" w:color="auto" w:fill="auto"/>
            <w:vAlign w:val="bottom"/>
            <w:hideMark/>
          </w:tcPr>
          <w:p w14:paraId="63A93483" w14:textId="30BFA8CE" w:rsidR="00172B81" w:rsidRPr="00537128" w:rsidRDefault="00172B81" w:rsidP="00172B81">
            <w:pPr>
              <w:spacing w:after="0" w:line="220" w:lineRule="exact"/>
              <w:jc w:val="right"/>
              <w:rPr>
                <w:rFonts w:ascii="Calibri" w:eastAsia="Times New Roman" w:hAnsi="Calibri" w:cs="Arial"/>
                <w:sz w:val="18"/>
                <w:szCs w:val="18"/>
                <w:lang w:val="en-US"/>
              </w:rPr>
            </w:pPr>
            <w:r>
              <w:rPr>
                <w:rFonts w:cs="Arial"/>
                <w:color w:val="000000" w:themeColor="text1"/>
                <w:sz w:val="18"/>
                <w:szCs w:val="18"/>
              </w:rPr>
              <w:t>37,500</w:t>
            </w:r>
          </w:p>
        </w:tc>
      </w:tr>
      <w:tr w:rsidR="00172B81" w:rsidRPr="00537128" w14:paraId="22EAD85F" w14:textId="77777777" w:rsidTr="009629B1">
        <w:trPr>
          <w:trHeight w:val="187"/>
        </w:trPr>
        <w:tc>
          <w:tcPr>
            <w:tcW w:w="5840" w:type="dxa"/>
            <w:vAlign w:val="bottom"/>
            <w:hideMark/>
          </w:tcPr>
          <w:p w14:paraId="4210321D" w14:textId="77777777" w:rsidR="00172B81" w:rsidRPr="00537128" w:rsidRDefault="00172B81" w:rsidP="00172B81">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Retained earnings and reserves</w:t>
            </w:r>
          </w:p>
        </w:tc>
        <w:tc>
          <w:tcPr>
            <w:tcW w:w="1337" w:type="dxa"/>
            <w:shd w:val="clear" w:color="auto" w:fill="auto"/>
            <w:noWrap/>
          </w:tcPr>
          <w:p w14:paraId="025F4E97" w14:textId="779E10D0" w:rsidR="00172B81" w:rsidRPr="00537128" w:rsidRDefault="00172B81" w:rsidP="00172B81">
            <w:pPr>
              <w:spacing w:after="0" w:line="220" w:lineRule="exact"/>
              <w:jc w:val="right"/>
              <w:rPr>
                <w:rFonts w:ascii="Calibri" w:eastAsia="Times New Roman" w:hAnsi="Calibri" w:cs="Arial"/>
                <w:sz w:val="18"/>
                <w:szCs w:val="18"/>
                <w:lang w:val="en-US"/>
              </w:rPr>
            </w:pPr>
            <w:r w:rsidRPr="00852784">
              <w:rPr>
                <w:rFonts w:cs="Arial"/>
                <w:color w:val="000000" w:themeColor="text1"/>
                <w:sz w:val="18"/>
                <w:szCs w:val="18"/>
              </w:rPr>
              <w:t>5</w:t>
            </w:r>
            <w:r>
              <w:rPr>
                <w:rFonts w:cs="Arial"/>
                <w:color w:val="000000" w:themeColor="text1"/>
                <w:sz w:val="18"/>
                <w:szCs w:val="18"/>
              </w:rPr>
              <w:t>,</w:t>
            </w:r>
            <w:r w:rsidRPr="00852784">
              <w:rPr>
                <w:rFonts w:cs="Arial"/>
                <w:color w:val="000000" w:themeColor="text1"/>
                <w:sz w:val="18"/>
                <w:szCs w:val="18"/>
              </w:rPr>
              <w:t>044</w:t>
            </w:r>
          </w:p>
        </w:tc>
        <w:tc>
          <w:tcPr>
            <w:tcW w:w="1338" w:type="dxa"/>
            <w:shd w:val="clear" w:color="auto" w:fill="auto"/>
            <w:hideMark/>
          </w:tcPr>
          <w:p w14:paraId="1D56B858" w14:textId="1057F283" w:rsidR="00172B81" w:rsidRPr="00537128" w:rsidRDefault="00172B81" w:rsidP="00172B81">
            <w:pPr>
              <w:spacing w:after="0" w:line="220" w:lineRule="exact"/>
              <w:jc w:val="right"/>
              <w:rPr>
                <w:rFonts w:ascii="Calibri" w:eastAsia="Times New Roman" w:hAnsi="Calibri" w:cs="Arial"/>
                <w:sz w:val="18"/>
                <w:szCs w:val="18"/>
                <w:lang w:val="en-US"/>
              </w:rPr>
            </w:pPr>
            <w:r w:rsidRPr="00D03C88">
              <w:rPr>
                <w:rFonts w:ascii="Calibri" w:hAnsi="Calibri" w:cs="Arial"/>
                <w:color w:val="000000"/>
                <w:sz w:val="18"/>
                <w:szCs w:val="18"/>
              </w:rPr>
              <w:t>3</w:t>
            </w:r>
            <w:r>
              <w:rPr>
                <w:rFonts w:ascii="Calibri" w:hAnsi="Calibri" w:cs="Arial"/>
                <w:color w:val="000000"/>
                <w:sz w:val="18"/>
                <w:szCs w:val="18"/>
              </w:rPr>
              <w:t>,</w:t>
            </w:r>
            <w:r w:rsidRPr="00D03C88">
              <w:rPr>
                <w:rFonts w:ascii="Calibri" w:hAnsi="Calibri" w:cs="Arial"/>
                <w:color w:val="000000"/>
                <w:sz w:val="18"/>
                <w:szCs w:val="18"/>
              </w:rPr>
              <w:t>941</w:t>
            </w:r>
          </w:p>
        </w:tc>
      </w:tr>
      <w:tr w:rsidR="00172B81" w:rsidRPr="00537128" w14:paraId="5DAB1F73" w14:textId="77777777" w:rsidTr="009629B1">
        <w:trPr>
          <w:trHeight w:val="187"/>
        </w:trPr>
        <w:tc>
          <w:tcPr>
            <w:tcW w:w="5840" w:type="dxa"/>
            <w:vAlign w:val="bottom"/>
            <w:hideMark/>
          </w:tcPr>
          <w:p w14:paraId="267B7B2C" w14:textId="77777777" w:rsidR="00172B81" w:rsidRPr="00537128" w:rsidRDefault="00172B81" w:rsidP="00172B81">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Other reserves</w:t>
            </w:r>
          </w:p>
        </w:tc>
        <w:tc>
          <w:tcPr>
            <w:tcW w:w="1337" w:type="dxa"/>
            <w:shd w:val="clear" w:color="auto" w:fill="auto"/>
            <w:noWrap/>
          </w:tcPr>
          <w:p w14:paraId="6A310579" w14:textId="1F214E20" w:rsidR="00172B81" w:rsidRPr="00537128" w:rsidRDefault="00172B81" w:rsidP="00172B81">
            <w:pPr>
              <w:spacing w:after="0" w:line="220" w:lineRule="exact"/>
              <w:jc w:val="right"/>
              <w:rPr>
                <w:rFonts w:ascii="Calibri" w:eastAsia="Times New Roman" w:hAnsi="Calibri" w:cs="Calibri"/>
                <w:sz w:val="18"/>
                <w:szCs w:val="18"/>
                <w:lang w:val="en-US"/>
              </w:rPr>
            </w:pPr>
            <w:r>
              <w:rPr>
                <w:rFonts w:cs="Arial"/>
                <w:color w:val="000000" w:themeColor="text1"/>
                <w:sz w:val="18"/>
                <w:szCs w:val="18"/>
              </w:rPr>
              <w:t>(</w:t>
            </w:r>
            <w:r w:rsidRPr="00852784">
              <w:rPr>
                <w:rFonts w:cs="Arial"/>
                <w:color w:val="000000" w:themeColor="text1"/>
                <w:sz w:val="18"/>
                <w:szCs w:val="18"/>
              </w:rPr>
              <w:t>470</w:t>
            </w:r>
            <w:r>
              <w:rPr>
                <w:rFonts w:cs="Arial"/>
                <w:color w:val="000000" w:themeColor="text1"/>
                <w:sz w:val="18"/>
                <w:szCs w:val="18"/>
              </w:rPr>
              <w:t>)</w:t>
            </w:r>
          </w:p>
        </w:tc>
        <w:tc>
          <w:tcPr>
            <w:tcW w:w="1338" w:type="dxa"/>
            <w:shd w:val="clear" w:color="auto" w:fill="auto"/>
            <w:hideMark/>
          </w:tcPr>
          <w:p w14:paraId="75ABDF86" w14:textId="14203578" w:rsidR="00172B81" w:rsidRPr="00537128" w:rsidRDefault="00172B81" w:rsidP="00172B81">
            <w:pPr>
              <w:spacing w:after="0" w:line="220" w:lineRule="exact"/>
              <w:jc w:val="right"/>
              <w:rPr>
                <w:rFonts w:ascii="Calibri" w:eastAsia="Times New Roman" w:hAnsi="Calibri" w:cs="Arial"/>
                <w:sz w:val="18"/>
                <w:szCs w:val="18"/>
                <w:lang w:val="en-US"/>
              </w:rPr>
            </w:pPr>
            <w:r w:rsidRPr="00D03C88">
              <w:rPr>
                <w:rFonts w:ascii="Calibri" w:hAnsi="Calibri" w:cs="Arial"/>
                <w:color w:val="000000"/>
                <w:sz w:val="18"/>
                <w:szCs w:val="18"/>
              </w:rPr>
              <w:t>2</w:t>
            </w:r>
            <w:r>
              <w:rPr>
                <w:rFonts w:ascii="Calibri" w:hAnsi="Calibri" w:cs="Arial"/>
                <w:color w:val="000000"/>
                <w:sz w:val="18"/>
                <w:szCs w:val="18"/>
              </w:rPr>
              <w:t>,</w:t>
            </w:r>
            <w:r w:rsidRPr="00D03C88">
              <w:rPr>
                <w:rFonts w:ascii="Calibri" w:hAnsi="Calibri" w:cs="Arial"/>
                <w:color w:val="000000"/>
                <w:sz w:val="18"/>
                <w:szCs w:val="18"/>
              </w:rPr>
              <w:t>638</w:t>
            </w:r>
          </w:p>
        </w:tc>
      </w:tr>
      <w:tr w:rsidR="00172B81" w:rsidRPr="00537128" w14:paraId="2A53B48D" w14:textId="77777777" w:rsidTr="009629B1">
        <w:trPr>
          <w:trHeight w:val="187"/>
        </w:trPr>
        <w:tc>
          <w:tcPr>
            <w:tcW w:w="5840" w:type="dxa"/>
            <w:vAlign w:val="bottom"/>
            <w:hideMark/>
          </w:tcPr>
          <w:p w14:paraId="08E25DB7" w14:textId="11EACD3E" w:rsidR="00172B81" w:rsidRPr="00537128" w:rsidRDefault="004449D4" w:rsidP="00172B81">
            <w:pPr>
              <w:spacing w:after="0" w:line="220" w:lineRule="exact"/>
              <w:rPr>
                <w:rFonts w:ascii="Calibri" w:eastAsia="Times New Roman" w:hAnsi="Calibri" w:cs="Arial"/>
                <w:sz w:val="18"/>
                <w:szCs w:val="18"/>
                <w:lang w:val="en-US"/>
              </w:rPr>
            </w:pPr>
            <w:r>
              <w:rPr>
                <w:rFonts w:ascii="Calibri" w:eastAsia="Times New Roman" w:hAnsi="Calibri" w:cs="Arial"/>
                <w:sz w:val="18"/>
                <w:szCs w:val="18"/>
                <w:lang w:val="en-US"/>
              </w:rPr>
              <w:t>(Loss)/</w:t>
            </w:r>
            <w:r w:rsidR="00172B81" w:rsidRPr="00537128">
              <w:rPr>
                <w:rFonts w:ascii="Calibri" w:eastAsia="Times New Roman" w:hAnsi="Calibri" w:cs="Arial"/>
                <w:sz w:val="18"/>
                <w:szCs w:val="18"/>
                <w:lang w:val="en-US"/>
              </w:rPr>
              <w:t xml:space="preserve">Profit for the </w:t>
            </w:r>
            <w:r>
              <w:rPr>
                <w:rFonts w:ascii="Calibri" w:eastAsia="Times New Roman" w:hAnsi="Calibri" w:cs="Arial"/>
                <w:sz w:val="18"/>
                <w:szCs w:val="18"/>
                <w:lang w:val="en-US"/>
              </w:rPr>
              <w:t>period</w:t>
            </w:r>
          </w:p>
        </w:tc>
        <w:tc>
          <w:tcPr>
            <w:tcW w:w="1337" w:type="dxa"/>
            <w:tcBorders>
              <w:top w:val="nil"/>
              <w:left w:val="nil"/>
              <w:bottom w:val="single" w:sz="4" w:space="0" w:color="auto"/>
              <w:right w:val="nil"/>
            </w:tcBorders>
            <w:shd w:val="clear" w:color="auto" w:fill="auto"/>
            <w:noWrap/>
          </w:tcPr>
          <w:p w14:paraId="6F31EE46" w14:textId="5BBED16E" w:rsidR="00172B81" w:rsidRPr="00537128" w:rsidRDefault="00172B81" w:rsidP="00172B81">
            <w:pPr>
              <w:spacing w:after="0" w:line="220" w:lineRule="exact"/>
              <w:jc w:val="right"/>
              <w:rPr>
                <w:rFonts w:ascii="Calibri" w:eastAsia="Times New Roman" w:hAnsi="Calibri" w:cs="Calibri"/>
                <w:sz w:val="18"/>
                <w:szCs w:val="18"/>
                <w:lang w:val="en-US"/>
              </w:rPr>
            </w:pPr>
            <w:r>
              <w:rPr>
                <w:rFonts w:cs="Arial"/>
                <w:color w:val="000000" w:themeColor="text1"/>
                <w:sz w:val="18"/>
                <w:szCs w:val="18"/>
              </w:rPr>
              <w:t>(</w:t>
            </w:r>
            <w:r w:rsidRPr="00852784">
              <w:rPr>
                <w:rFonts w:cs="Arial"/>
                <w:color w:val="000000" w:themeColor="text1"/>
                <w:sz w:val="18"/>
                <w:szCs w:val="18"/>
              </w:rPr>
              <w:t>244</w:t>
            </w:r>
            <w:r>
              <w:rPr>
                <w:rFonts w:cs="Arial"/>
                <w:color w:val="000000" w:themeColor="text1"/>
                <w:sz w:val="18"/>
                <w:szCs w:val="18"/>
              </w:rPr>
              <w:t>)</w:t>
            </w:r>
          </w:p>
        </w:tc>
        <w:tc>
          <w:tcPr>
            <w:tcW w:w="1338" w:type="dxa"/>
            <w:tcBorders>
              <w:top w:val="nil"/>
              <w:left w:val="nil"/>
              <w:bottom w:val="single" w:sz="4" w:space="0" w:color="auto"/>
              <w:right w:val="nil"/>
            </w:tcBorders>
            <w:shd w:val="clear" w:color="auto" w:fill="auto"/>
            <w:hideMark/>
          </w:tcPr>
          <w:p w14:paraId="698EE77E" w14:textId="25AD50C7" w:rsidR="00172B81" w:rsidRPr="00537128" w:rsidRDefault="00172B81" w:rsidP="00172B81">
            <w:pPr>
              <w:spacing w:after="0" w:line="220" w:lineRule="exact"/>
              <w:jc w:val="right"/>
              <w:rPr>
                <w:rFonts w:ascii="Calibri" w:eastAsia="Times New Roman" w:hAnsi="Calibri" w:cs="Arial"/>
                <w:sz w:val="18"/>
                <w:szCs w:val="18"/>
                <w:lang w:val="en-US"/>
              </w:rPr>
            </w:pPr>
            <w:r w:rsidRPr="00D03C88">
              <w:rPr>
                <w:rFonts w:ascii="Calibri" w:hAnsi="Calibri" w:cs="Arial"/>
                <w:color w:val="000000"/>
                <w:sz w:val="18"/>
                <w:szCs w:val="18"/>
              </w:rPr>
              <w:t>1</w:t>
            </w:r>
            <w:r>
              <w:rPr>
                <w:rFonts w:ascii="Calibri" w:hAnsi="Calibri" w:cs="Arial"/>
                <w:color w:val="000000"/>
                <w:sz w:val="18"/>
                <w:szCs w:val="18"/>
              </w:rPr>
              <w:t>,</w:t>
            </w:r>
            <w:r w:rsidRPr="00D03C88">
              <w:rPr>
                <w:rFonts w:ascii="Calibri" w:hAnsi="Calibri" w:cs="Arial"/>
                <w:color w:val="000000"/>
                <w:sz w:val="18"/>
                <w:szCs w:val="18"/>
              </w:rPr>
              <w:t>103</w:t>
            </w:r>
          </w:p>
        </w:tc>
      </w:tr>
      <w:tr w:rsidR="00172B81" w:rsidRPr="00537128" w14:paraId="01A4FA83" w14:textId="77777777" w:rsidTr="009629B1">
        <w:trPr>
          <w:trHeight w:val="167"/>
        </w:trPr>
        <w:tc>
          <w:tcPr>
            <w:tcW w:w="5840" w:type="dxa"/>
            <w:vAlign w:val="bottom"/>
            <w:hideMark/>
          </w:tcPr>
          <w:p w14:paraId="68424EA6" w14:textId="77777777" w:rsidR="00172B81" w:rsidRPr="00537128" w:rsidRDefault="00172B81" w:rsidP="00172B81">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Total equity</w:t>
            </w:r>
          </w:p>
        </w:tc>
        <w:tc>
          <w:tcPr>
            <w:tcW w:w="1337" w:type="dxa"/>
            <w:tcBorders>
              <w:top w:val="single" w:sz="4" w:space="0" w:color="auto"/>
              <w:left w:val="nil"/>
              <w:bottom w:val="single" w:sz="12" w:space="0" w:color="auto"/>
              <w:right w:val="nil"/>
            </w:tcBorders>
            <w:shd w:val="clear" w:color="auto" w:fill="auto"/>
            <w:noWrap/>
          </w:tcPr>
          <w:p w14:paraId="52D036CE" w14:textId="14127082" w:rsidR="00172B81" w:rsidRPr="00537128" w:rsidRDefault="00172B81" w:rsidP="00172B81">
            <w:pPr>
              <w:spacing w:after="0" w:line="220" w:lineRule="exact"/>
              <w:jc w:val="right"/>
              <w:rPr>
                <w:rFonts w:ascii="Calibri" w:eastAsia="Times New Roman" w:hAnsi="Calibri" w:cs="Arial"/>
                <w:b/>
                <w:bCs/>
                <w:sz w:val="18"/>
                <w:szCs w:val="18"/>
                <w:lang w:val="en-US"/>
              </w:rPr>
            </w:pPr>
            <w:r w:rsidRPr="00852784">
              <w:rPr>
                <w:rFonts w:cs="Arial"/>
                <w:b/>
                <w:bCs/>
                <w:color w:val="000000" w:themeColor="text1"/>
                <w:sz w:val="18"/>
                <w:szCs w:val="18"/>
              </w:rPr>
              <w:t>41</w:t>
            </w:r>
            <w:r>
              <w:rPr>
                <w:rFonts w:cs="Arial"/>
                <w:b/>
                <w:bCs/>
                <w:color w:val="000000" w:themeColor="text1"/>
                <w:sz w:val="18"/>
                <w:szCs w:val="18"/>
              </w:rPr>
              <w:t>,</w:t>
            </w:r>
            <w:r w:rsidRPr="00852784">
              <w:rPr>
                <w:rFonts w:cs="Arial"/>
                <w:b/>
                <w:bCs/>
                <w:color w:val="000000" w:themeColor="text1"/>
                <w:sz w:val="18"/>
                <w:szCs w:val="18"/>
              </w:rPr>
              <w:t>830</w:t>
            </w:r>
          </w:p>
        </w:tc>
        <w:tc>
          <w:tcPr>
            <w:tcW w:w="1338" w:type="dxa"/>
            <w:tcBorders>
              <w:top w:val="single" w:sz="4" w:space="0" w:color="auto"/>
              <w:left w:val="nil"/>
              <w:bottom w:val="single" w:sz="12" w:space="0" w:color="auto"/>
              <w:right w:val="nil"/>
            </w:tcBorders>
            <w:shd w:val="clear" w:color="auto" w:fill="auto"/>
            <w:hideMark/>
          </w:tcPr>
          <w:p w14:paraId="18D36A62" w14:textId="05AED383" w:rsidR="00172B81" w:rsidRPr="00537128" w:rsidRDefault="00172B81" w:rsidP="00172B81">
            <w:pPr>
              <w:spacing w:after="0" w:line="220" w:lineRule="exact"/>
              <w:jc w:val="right"/>
              <w:rPr>
                <w:rFonts w:ascii="Calibri" w:eastAsia="Times New Roman" w:hAnsi="Calibri" w:cs="Arial"/>
                <w:b/>
                <w:bCs/>
                <w:sz w:val="18"/>
                <w:szCs w:val="18"/>
                <w:lang w:val="en-US"/>
              </w:rPr>
            </w:pPr>
            <w:r w:rsidRPr="00D03C88">
              <w:rPr>
                <w:rFonts w:ascii="Calibri" w:hAnsi="Calibri" w:cs="Arial"/>
                <w:b/>
                <w:bCs/>
                <w:color w:val="000000"/>
                <w:sz w:val="18"/>
                <w:szCs w:val="18"/>
              </w:rPr>
              <w:t>45</w:t>
            </w:r>
            <w:r>
              <w:rPr>
                <w:rFonts w:ascii="Calibri" w:hAnsi="Calibri" w:cs="Arial"/>
                <w:b/>
                <w:bCs/>
                <w:color w:val="000000"/>
                <w:sz w:val="18"/>
                <w:szCs w:val="18"/>
              </w:rPr>
              <w:t>,</w:t>
            </w:r>
            <w:r w:rsidRPr="00D03C88">
              <w:rPr>
                <w:rFonts w:ascii="Calibri" w:hAnsi="Calibri" w:cs="Arial"/>
                <w:b/>
                <w:bCs/>
                <w:color w:val="000000"/>
                <w:sz w:val="18"/>
                <w:szCs w:val="18"/>
              </w:rPr>
              <w:t>182</w:t>
            </w:r>
          </w:p>
        </w:tc>
      </w:tr>
      <w:tr w:rsidR="00172B81" w:rsidRPr="00537128" w14:paraId="460837AB" w14:textId="77777777" w:rsidTr="00730472">
        <w:trPr>
          <w:trHeight w:val="96"/>
        </w:trPr>
        <w:tc>
          <w:tcPr>
            <w:tcW w:w="5840" w:type="dxa"/>
            <w:vAlign w:val="bottom"/>
          </w:tcPr>
          <w:p w14:paraId="312B1CF4" w14:textId="77777777" w:rsidR="00172B81" w:rsidRPr="00537128" w:rsidRDefault="00172B81" w:rsidP="00172B81">
            <w:pPr>
              <w:spacing w:after="0" w:line="140" w:lineRule="exact"/>
              <w:rPr>
                <w:rFonts w:ascii="Calibri" w:eastAsia="Times New Roman" w:hAnsi="Calibri" w:cs="Arial"/>
                <w:sz w:val="18"/>
                <w:szCs w:val="18"/>
                <w:lang w:val="en-US"/>
              </w:rPr>
            </w:pPr>
          </w:p>
        </w:tc>
        <w:tc>
          <w:tcPr>
            <w:tcW w:w="1337" w:type="dxa"/>
            <w:tcBorders>
              <w:top w:val="single" w:sz="12" w:space="0" w:color="auto"/>
              <w:left w:val="nil"/>
              <w:bottom w:val="nil"/>
              <w:right w:val="nil"/>
            </w:tcBorders>
            <w:shd w:val="clear" w:color="auto" w:fill="auto"/>
            <w:noWrap/>
            <w:vAlign w:val="bottom"/>
          </w:tcPr>
          <w:p w14:paraId="5E027A4E" w14:textId="77777777" w:rsidR="00172B81" w:rsidRPr="00537128" w:rsidRDefault="00172B81" w:rsidP="00172B81">
            <w:pPr>
              <w:spacing w:after="0" w:line="140" w:lineRule="exact"/>
              <w:jc w:val="right"/>
              <w:rPr>
                <w:rFonts w:ascii="Calibri" w:eastAsia="Times New Roman" w:hAnsi="Calibri" w:cs="Arial"/>
                <w:sz w:val="18"/>
                <w:szCs w:val="18"/>
                <w:lang w:val="en-US"/>
              </w:rPr>
            </w:pPr>
          </w:p>
        </w:tc>
        <w:tc>
          <w:tcPr>
            <w:tcW w:w="1338" w:type="dxa"/>
            <w:tcBorders>
              <w:top w:val="single" w:sz="12" w:space="0" w:color="auto"/>
              <w:left w:val="nil"/>
              <w:bottom w:val="nil"/>
              <w:right w:val="nil"/>
            </w:tcBorders>
            <w:shd w:val="clear" w:color="auto" w:fill="auto"/>
            <w:vAlign w:val="bottom"/>
          </w:tcPr>
          <w:p w14:paraId="201AFA7C" w14:textId="77777777" w:rsidR="00172B81" w:rsidRPr="00537128" w:rsidRDefault="00172B81" w:rsidP="00172B81">
            <w:pPr>
              <w:spacing w:after="0" w:line="140" w:lineRule="exact"/>
              <w:jc w:val="right"/>
              <w:rPr>
                <w:rFonts w:ascii="Calibri" w:eastAsia="Times New Roman" w:hAnsi="Calibri" w:cs="Arial"/>
                <w:sz w:val="18"/>
                <w:szCs w:val="18"/>
                <w:lang w:val="en-US"/>
              </w:rPr>
            </w:pPr>
          </w:p>
        </w:tc>
      </w:tr>
      <w:tr w:rsidR="00172B81" w:rsidRPr="00537128" w14:paraId="45C522A3" w14:textId="77777777" w:rsidTr="00730472">
        <w:trPr>
          <w:trHeight w:val="165"/>
        </w:trPr>
        <w:tc>
          <w:tcPr>
            <w:tcW w:w="5840" w:type="dxa"/>
            <w:vAlign w:val="bottom"/>
            <w:hideMark/>
          </w:tcPr>
          <w:p w14:paraId="444C860B" w14:textId="77777777" w:rsidR="00172B81" w:rsidRPr="00537128" w:rsidRDefault="00172B81" w:rsidP="00172B81">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Technical provisions</w:t>
            </w:r>
          </w:p>
        </w:tc>
        <w:tc>
          <w:tcPr>
            <w:tcW w:w="1337" w:type="dxa"/>
            <w:shd w:val="clear" w:color="auto" w:fill="auto"/>
            <w:noWrap/>
            <w:vAlign w:val="bottom"/>
          </w:tcPr>
          <w:p w14:paraId="46BF358D" w14:textId="77777777" w:rsidR="00172B81" w:rsidRPr="00537128" w:rsidRDefault="00172B81" w:rsidP="00172B81">
            <w:pPr>
              <w:spacing w:after="0" w:line="220" w:lineRule="exact"/>
              <w:jc w:val="right"/>
              <w:rPr>
                <w:rFonts w:ascii="Calibri" w:eastAsia="Times New Roman" w:hAnsi="Calibri" w:cs="Arial"/>
                <w:sz w:val="18"/>
                <w:szCs w:val="18"/>
                <w:lang w:val="en-US"/>
              </w:rPr>
            </w:pPr>
          </w:p>
        </w:tc>
        <w:tc>
          <w:tcPr>
            <w:tcW w:w="1338" w:type="dxa"/>
            <w:shd w:val="clear" w:color="auto" w:fill="auto"/>
            <w:vAlign w:val="bottom"/>
          </w:tcPr>
          <w:p w14:paraId="30764F18" w14:textId="77777777" w:rsidR="00172B81" w:rsidRPr="00537128" w:rsidRDefault="00172B81" w:rsidP="00172B81">
            <w:pPr>
              <w:spacing w:after="0" w:line="220" w:lineRule="exact"/>
              <w:jc w:val="right"/>
              <w:rPr>
                <w:rFonts w:ascii="Calibri" w:eastAsia="Times New Roman" w:hAnsi="Calibri" w:cs="Arial"/>
                <w:sz w:val="18"/>
                <w:szCs w:val="18"/>
                <w:lang w:val="en-US"/>
              </w:rPr>
            </w:pPr>
          </w:p>
        </w:tc>
      </w:tr>
      <w:tr w:rsidR="00172B81" w:rsidRPr="00537128" w14:paraId="4743B20E" w14:textId="77777777" w:rsidTr="009629B1">
        <w:trPr>
          <w:trHeight w:val="165"/>
        </w:trPr>
        <w:tc>
          <w:tcPr>
            <w:tcW w:w="5840" w:type="dxa"/>
            <w:vAlign w:val="bottom"/>
            <w:hideMark/>
          </w:tcPr>
          <w:p w14:paraId="36CE95AA" w14:textId="77777777" w:rsidR="00172B81" w:rsidRPr="00537128" w:rsidRDefault="00172B81" w:rsidP="00172B81">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Gross technical provisions</w:t>
            </w:r>
          </w:p>
        </w:tc>
        <w:tc>
          <w:tcPr>
            <w:tcW w:w="1337" w:type="dxa"/>
            <w:shd w:val="clear" w:color="auto" w:fill="auto"/>
            <w:noWrap/>
          </w:tcPr>
          <w:p w14:paraId="2E507B6B" w14:textId="2B60965E" w:rsidR="00172B81" w:rsidRPr="00537128" w:rsidRDefault="00172B81" w:rsidP="00172B81">
            <w:pPr>
              <w:spacing w:after="0" w:line="220" w:lineRule="exact"/>
              <w:jc w:val="right"/>
              <w:rPr>
                <w:rFonts w:ascii="Calibri" w:eastAsia="Times New Roman" w:hAnsi="Calibri" w:cs="Arial"/>
                <w:sz w:val="18"/>
                <w:szCs w:val="18"/>
                <w:lang w:val="en-US"/>
              </w:rPr>
            </w:pPr>
            <w:r w:rsidRPr="00852784">
              <w:rPr>
                <w:rFonts w:ascii="Calibri" w:hAnsi="Calibri" w:cs="Arial"/>
                <w:color w:val="000000"/>
                <w:sz w:val="18"/>
                <w:szCs w:val="18"/>
              </w:rPr>
              <w:t>26</w:t>
            </w:r>
            <w:r>
              <w:rPr>
                <w:rFonts w:ascii="Calibri" w:hAnsi="Calibri" w:cs="Arial"/>
                <w:color w:val="000000"/>
                <w:sz w:val="18"/>
                <w:szCs w:val="18"/>
              </w:rPr>
              <w:t>,</w:t>
            </w:r>
            <w:r w:rsidRPr="00852784">
              <w:rPr>
                <w:rFonts w:ascii="Calibri" w:hAnsi="Calibri" w:cs="Arial"/>
                <w:color w:val="000000"/>
                <w:sz w:val="18"/>
                <w:szCs w:val="18"/>
              </w:rPr>
              <w:t>148</w:t>
            </w:r>
          </w:p>
        </w:tc>
        <w:tc>
          <w:tcPr>
            <w:tcW w:w="1338" w:type="dxa"/>
            <w:shd w:val="clear" w:color="auto" w:fill="auto"/>
            <w:hideMark/>
          </w:tcPr>
          <w:p w14:paraId="609B777C" w14:textId="54781051" w:rsidR="00172B81" w:rsidRPr="00537128" w:rsidRDefault="00172B81" w:rsidP="00172B81">
            <w:pPr>
              <w:spacing w:after="0" w:line="220" w:lineRule="exact"/>
              <w:jc w:val="right"/>
              <w:rPr>
                <w:rFonts w:ascii="Calibri" w:eastAsia="Times New Roman" w:hAnsi="Calibri" w:cs="Arial"/>
                <w:sz w:val="18"/>
                <w:szCs w:val="18"/>
                <w:lang w:val="en-US"/>
              </w:rPr>
            </w:pPr>
            <w:r w:rsidRPr="00D03C88">
              <w:rPr>
                <w:rFonts w:ascii="Calibri" w:hAnsi="Calibri" w:cs="Arial"/>
                <w:color w:val="000000"/>
                <w:sz w:val="18"/>
                <w:szCs w:val="18"/>
              </w:rPr>
              <w:t>23</w:t>
            </w:r>
            <w:r>
              <w:rPr>
                <w:rFonts w:ascii="Calibri" w:hAnsi="Calibri" w:cs="Arial"/>
                <w:color w:val="000000"/>
                <w:sz w:val="18"/>
                <w:szCs w:val="18"/>
              </w:rPr>
              <w:t>,</w:t>
            </w:r>
            <w:r w:rsidRPr="00D03C88">
              <w:rPr>
                <w:rFonts w:ascii="Calibri" w:hAnsi="Calibri" w:cs="Arial"/>
                <w:color w:val="000000"/>
                <w:sz w:val="18"/>
                <w:szCs w:val="18"/>
              </w:rPr>
              <w:t>861</w:t>
            </w:r>
          </w:p>
        </w:tc>
      </w:tr>
      <w:tr w:rsidR="00172B81" w:rsidRPr="00537128" w14:paraId="5048093E" w14:textId="77777777" w:rsidTr="009629B1">
        <w:trPr>
          <w:trHeight w:val="165"/>
        </w:trPr>
        <w:tc>
          <w:tcPr>
            <w:tcW w:w="5840" w:type="dxa"/>
            <w:vAlign w:val="bottom"/>
            <w:hideMark/>
          </w:tcPr>
          <w:p w14:paraId="0B128D0B" w14:textId="77777777" w:rsidR="00172B81" w:rsidRPr="00537128" w:rsidRDefault="00172B81" w:rsidP="00172B81">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Technical provisions, reinsurer's share</w:t>
            </w:r>
          </w:p>
        </w:tc>
        <w:tc>
          <w:tcPr>
            <w:tcW w:w="1337" w:type="dxa"/>
            <w:tcBorders>
              <w:top w:val="nil"/>
              <w:left w:val="nil"/>
              <w:bottom w:val="single" w:sz="4" w:space="0" w:color="auto"/>
              <w:right w:val="nil"/>
            </w:tcBorders>
            <w:shd w:val="clear" w:color="auto" w:fill="auto"/>
            <w:noWrap/>
          </w:tcPr>
          <w:p w14:paraId="61B99D2F" w14:textId="378B5CCE" w:rsidR="00172B81" w:rsidRPr="00537128" w:rsidRDefault="00172B81" w:rsidP="00172B8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w:t>
            </w:r>
            <w:r w:rsidRPr="00852784">
              <w:rPr>
                <w:rFonts w:ascii="Calibri" w:hAnsi="Calibri" w:cs="Arial"/>
                <w:color w:val="000000"/>
                <w:sz w:val="18"/>
                <w:szCs w:val="18"/>
              </w:rPr>
              <w:t>10</w:t>
            </w:r>
            <w:r>
              <w:rPr>
                <w:rFonts w:ascii="Calibri" w:hAnsi="Calibri" w:cs="Arial"/>
                <w:color w:val="000000"/>
                <w:sz w:val="18"/>
                <w:szCs w:val="18"/>
              </w:rPr>
              <w:t>,</w:t>
            </w:r>
            <w:r w:rsidRPr="00852784">
              <w:rPr>
                <w:rFonts w:ascii="Calibri" w:hAnsi="Calibri" w:cs="Arial"/>
                <w:color w:val="000000"/>
                <w:sz w:val="18"/>
                <w:szCs w:val="18"/>
              </w:rPr>
              <w:t>579</w:t>
            </w:r>
            <w:r>
              <w:rPr>
                <w:rFonts w:ascii="Calibri" w:hAnsi="Calibri" w:cs="Arial"/>
                <w:color w:val="000000"/>
                <w:sz w:val="18"/>
                <w:szCs w:val="18"/>
              </w:rPr>
              <w:t>)</w:t>
            </w:r>
          </w:p>
        </w:tc>
        <w:tc>
          <w:tcPr>
            <w:tcW w:w="1338" w:type="dxa"/>
            <w:tcBorders>
              <w:top w:val="nil"/>
              <w:left w:val="nil"/>
              <w:bottom w:val="single" w:sz="4" w:space="0" w:color="auto"/>
              <w:right w:val="nil"/>
            </w:tcBorders>
            <w:shd w:val="clear" w:color="auto" w:fill="auto"/>
            <w:hideMark/>
          </w:tcPr>
          <w:p w14:paraId="28D00B23" w14:textId="1214D59D" w:rsidR="00172B81" w:rsidRPr="00537128" w:rsidRDefault="00172B81" w:rsidP="00172B8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w:t>
            </w:r>
            <w:r w:rsidRPr="00D03C88">
              <w:rPr>
                <w:rFonts w:ascii="Calibri" w:hAnsi="Calibri" w:cs="Arial"/>
                <w:color w:val="000000"/>
                <w:sz w:val="18"/>
                <w:szCs w:val="18"/>
              </w:rPr>
              <w:t>10</w:t>
            </w:r>
            <w:r>
              <w:rPr>
                <w:rFonts w:ascii="Calibri" w:hAnsi="Calibri" w:cs="Arial"/>
                <w:color w:val="000000"/>
                <w:sz w:val="18"/>
                <w:szCs w:val="18"/>
              </w:rPr>
              <w:t>,</w:t>
            </w:r>
            <w:r w:rsidRPr="00D03C88">
              <w:rPr>
                <w:rFonts w:ascii="Calibri" w:hAnsi="Calibri" w:cs="Arial"/>
                <w:color w:val="000000"/>
                <w:sz w:val="18"/>
                <w:szCs w:val="18"/>
              </w:rPr>
              <w:t>317</w:t>
            </w:r>
            <w:r>
              <w:rPr>
                <w:rFonts w:ascii="Calibri" w:hAnsi="Calibri" w:cs="Arial"/>
                <w:color w:val="000000"/>
                <w:sz w:val="18"/>
                <w:szCs w:val="18"/>
              </w:rPr>
              <w:t>)</w:t>
            </w:r>
          </w:p>
        </w:tc>
      </w:tr>
      <w:tr w:rsidR="00172B81" w:rsidRPr="00537128" w14:paraId="436EBBE4" w14:textId="77777777" w:rsidTr="009629B1">
        <w:trPr>
          <w:trHeight w:val="183"/>
        </w:trPr>
        <w:tc>
          <w:tcPr>
            <w:tcW w:w="5840" w:type="dxa"/>
            <w:vAlign w:val="bottom"/>
          </w:tcPr>
          <w:p w14:paraId="76976CF5" w14:textId="77777777" w:rsidR="00172B81" w:rsidRPr="00537128" w:rsidRDefault="00172B81" w:rsidP="00172B81">
            <w:pPr>
              <w:spacing w:after="0" w:line="220" w:lineRule="exact"/>
              <w:rPr>
                <w:rFonts w:ascii="Calibri" w:eastAsia="Times New Roman" w:hAnsi="Calibri" w:cs="Arial"/>
                <w:b/>
                <w:bCs/>
                <w:sz w:val="18"/>
                <w:szCs w:val="18"/>
                <w:lang w:val="en-US"/>
              </w:rPr>
            </w:pPr>
          </w:p>
        </w:tc>
        <w:tc>
          <w:tcPr>
            <w:tcW w:w="1337" w:type="dxa"/>
            <w:tcBorders>
              <w:top w:val="single" w:sz="4" w:space="0" w:color="auto"/>
              <w:left w:val="nil"/>
              <w:bottom w:val="single" w:sz="12" w:space="0" w:color="auto"/>
              <w:right w:val="nil"/>
            </w:tcBorders>
            <w:shd w:val="clear" w:color="auto" w:fill="auto"/>
            <w:noWrap/>
          </w:tcPr>
          <w:p w14:paraId="2A3BE040" w14:textId="17379A7C" w:rsidR="00172B81" w:rsidRPr="00537128" w:rsidRDefault="00172B81" w:rsidP="00172B81">
            <w:pPr>
              <w:spacing w:after="0" w:line="220" w:lineRule="exact"/>
              <w:jc w:val="right"/>
              <w:rPr>
                <w:rFonts w:ascii="Calibri" w:eastAsia="Times New Roman" w:hAnsi="Calibri" w:cs="Arial"/>
                <w:b/>
                <w:bCs/>
                <w:sz w:val="18"/>
                <w:szCs w:val="18"/>
                <w:lang w:val="en-US"/>
              </w:rPr>
            </w:pPr>
            <w:r w:rsidRPr="00852784">
              <w:rPr>
                <w:rFonts w:ascii="Calibri" w:hAnsi="Calibri" w:cs="Arial"/>
                <w:b/>
                <w:bCs/>
                <w:color w:val="000000"/>
                <w:sz w:val="18"/>
                <w:szCs w:val="18"/>
              </w:rPr>
              <w:t>15</w:t>
            </w:r>
            <w:r>
              <w:rPr>
                <w:rFonts w:ascii="Calibri" w:hAnsi="Calibri" w:cs="Arial"/>
                <w:b/>
                <w:bCs/>
                <w:color w:val="000000"/>
                <w:sz w:val="18"/>
                <w:szCs w:val="18"/>
              </w:rPr>
              <w:t>,</w:t>
            </w:r>
            <w:r w:rsidRPr="00852784">
              <w:rPr>
                <w:rFonts w:ascii="Calibri" w:hAnsi="Calibri" w:cs="Arial"/>
                <w:b/>
                <w:bCs/>
                <w:color w:val="000000"/>
                <w:sz w:val="18"/>
                <w:szCs w:val="18"/>
              </w:rPr>
              <w:t>569</w:t>
            </w:r>
          </w:p>
        </w:tc>
        <w:tc>
          <w:tcPr>
            <w:tcW w:w="1338" w:type="dxa"/>
            <w:tcBorders>
              <w:top w:val="single" w:sz="4" w:space="0" w:color="auto"/>
              <w:left w:val="nil"/>
              <w:bottom w:val="single" w:sz="12" w:space="0" w:color="auto"/>
              <w:right w:val="nil"/>
            </w:tcBorders>
            <w:shd w:val="clear" w:color="auto" w:fill="auto"/>
            <w:hideMark/>
          </w:tcPr>
          <w:p w14:paraId="5616CACB" w14:textId="5A13D923" w:rsidR="00172B81" w:rsidRPr="00537128" w:rsidRDefault="00172B81" w:rsidP="00172B81">
            <w:pPr>
              <w:spacing w:after="0" w:line="220" w:lineRule="exact"/>
              <w:jc w:val="right"/>
              <w:rPr>
                <w:rFonts w:ascii="Calibri" w:eastAsia="Times New Roman" w:hAnsi="Calibri" w:cs="Arial"/>
                <w:b/>
                <w:bCs/>
                <w:sz w:val="18"/>
                <w:szCs w:val="18"/>
                <w:lang w:val="en-US"/>
              </w:rPr>
            </w:pPr>
            <w:r w:rsidRPr="00D03C88">
              <w:rPr>
                <w:rFonts w:ascii="Calibri" w:hAnsi="Calibri" w:cs="Arial"/>
                <w:b/>
                <w:bCs/>
                <w:color w:val="000000"/>
                <w:sz w:val="18"/>
                <w:szCs w:val="18"/>
              </w:rPr>
              <w:t>13</w:t>
            </w:r>
            <w:r>
              <w:rPr>
                <w:rFonts w:ascii="Calibri" w:hAnsi="Calibri" w:cs="Arial"/>
                <w:b/>
                <w:bCs/>
                <w:color w:val="000000"/>
                <w:sz w:val="18"/>
                <w:szCs w:val="18"/>
              </w:rPr>
              <w:t>,</w:t>
            </w:r>
            <w:r w:rsidRPr="00D03C88">
              <w:rPr>
                <w:rFonts w:ascii="Calibri" w:hAnsi="Calibri" w:cs="Arial"/>
                <w:b/>
                <w:bCs/>
                <w:color w:val="000000"/>
                <w:sz w:val="18"/>
                <w:szCs w:val="18"/>
              </w:rPr>
              <w:t>544</w:t>
            </w:r>
          </w:p>
        </w:tc>
      </w:tr>
      <w:tr w:rsidR="00172B81" w:rsidRPr="00537128" w14:paraId="051C7729" w14:textId="77777777" w:rsidTr="00730472">
        <w:trPr>
          <w:trHeight w:val="121"/>
        </w:trPr>
        <w:tc>
          <w:tcPr>
            <w:tcW w:w="5840" w:type="dxa"/>
            <w:vAlign w:val="bottom"/>
          </w:tcPr>
          <w:p w14:paraId="0A2AF41F" w14:textId="77777777" w:rsidR="00172B81" w:rsidRPr="00537128" w:rsidRDefault="00172B81" w:rsidP="00172B81">
            <w:pPr>
              <w:spacing w:after="0" w:line="140" w:lineRule="exact"/>
              <w:rPr>
                <w:rFonts w:ascii="Calibri" w:eastAsia="Times New Roman" w:hAnsi="Calibri" w:cs="Arial"/>
                <w:sz w:val="18"/>
                <w:szCs w:val="18"/>
                <w:lang w:val="en-US"/>
              </w:rPr>
            </w:pPr>
          </w:p>
        </w:tc>
        <w:tc>
          <w:tcPr>
            <w:tcW w:w="1337" w:type="dxa"/>
            <w:tcBorders>
              <w:top w:val="single" w:sz="12" w:space="0" w:color="auto"/>
              <w:left w:val="nil"/>
              <w:bottom w:val="nil"/>
              <w:right w:val="nil"/>
            </w:tcBorders>
            <w:shd w:val="clear" w:color="auto" w:fill="auto"/>
            <w:noWrap/>
            <w:vAlign w:val="bottom"/>
          </w:tcPr>
          <w:p w14:paraId="2CE3F805" w14:textId="77777777" w:rsidR="00172B81" w:rsidRPr="00537128" w:rsidRDefault="00172B81" w:rsidP="00172B81">
            <w:pPr>
              <w:spacing w:after="0" w:line="140" w:lineRule="exact"/>
              <w:jc w:val="right"/>
              <w:rPr>
                <w:rFonts w:ascii="Calibri" w:eastAsia="Times New Roman" w:hAnsi="Calibri" w:cs="Arial"/>
                <w:sz w:val="18"/>
                <w:szCs w:val="18"/>
                <w:lang w:val="en-US"/>
              </w:rPr>
            </w:pPr>
          </w:p>
        </w:tc>
        <w:tc>
          <w:tcPr>
            <w:tcW w:w="1338" w:type="dxa"/>
            <w:tcBorders>
              <w:top w:val="single" w:sz="12" w:space="0" w:color="auto"/>
              <w:left w:val="nil"/>
              <w:bottom w:val="nil"/>
              <w:right w:val="nil"/>
            </w:tcBorders>
            <w:shd w:val="clear" w:color="auto" w:fill="auto"/>
            <w:vAlign w:val="bottom"/>
          </w:tcPr>
          <w:p w14:paraId="40AE987B" w14:textId="77777777" w:rsidR="00172B81" w:rsidRPr="00537128" w:rsidRDefault="00172B81" w:rsidP="00172B81">
            <w:pPr>
              <w:spacing w:after="0" w:line="140" w:lineRule="exact"/>
              <w:jc w:val="right"/>
              <w:rPr>
                <w:rFonts w:ascii="Calibri" w:eastAsia="Times New Roman" w:hAnsi="Calibri" w:cs="Arial"/>
                <w:sz w:val="18"/>
                <w:szCs w:val="18"/>
                <w:lang w:val="en-US"/>
              </w:rPr>
            </w:pPr>
          </w:p>
        </w:tc>
      </w:tr>
      <w:tr w:rsidR="00172B81" w:rsidRPr="00537128" w14:paraId="6B85FCF8" w14:textId="77777777" w:rsidTr="00730472">
        <w:trPr>
          <w:trHeight w:val="241"/>
        </w:trPr>
        <w:tc>
          <w:tcPr>
            <w:tcW w:w="5840" w:type="dxa"/>
            <w:vAlign w:val="bottom"/>
            <w:hideMark/>
          </w:tcPr>
          <w:p w14:paraId="30141685" w14:textId="77777777" w:rsidR="00172B81" w:rsidRPr="00537128" w:rsidRDefault="00172B81" w:rsidP="00172B81">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Current liabilities</w:t>
            </w:r>
          </w:p>
        </w:tc>
        <w:tc>
          <w:tcPr>
            <w:tcW w:w="1337" w:type="dxa"/>
            <w:shd w:val="clear" w:color="auto" w:fill="auto"/>
            <w:noWrap/>
            <w:vAlign w:val="bottom"/>
          </w:tcPr>
          <w:p w14:paraId="0DB0AFC1" w14:textId="77777777" w:rsidR="00172B81" w:rsidRPr="00537128" w:rsidRDefault="00172B81" w:rsidP="00172B81">
            <w:pPr>
              <w:spacing w:after="0" w:line="220" w:lineRule="exact"/>
              <w:jc w:val="right"/>
              <w:rPr>
                <w:rFonts w:ascii="Calibri" w:eastAsia="Times New Roman" w:hAnsi="Calibri" w:cs="Arial"/>
                <w:sz w:val="18"/>
                <w:szCs w:val="18"/>
                <w:lang w:val="en-US"/>
              </w:rPr>
            </w:pPr>
          </w:p>
        </w:tc>
        <w:tc>
          <w:tcPr>
            <w:tcW w:w="1338" w:type="dxa"/>
            <w:shd w:val="clear" w:color="auto" w:fill="auto"/>
            <w:vAlign w:val="bottom"/>
          </w:tcPr>
          <w:p w14:paraId="4E5344DF" w14:textId="77777777" w:rsidR="00172B81" w:rsidRPr="00537128" w:rsidRDefault="00172B81" w:rsidP="00172B81">
            <w:pPr>
              <w:spacing w:after="0" w:line="220" w:lineRule="exact"/>
              <w:jc w:val="right"/>
              <w:rPr>
                <w:rFonts w:ascii="Calibri" w:eastAsia="Times New Roman" w:hAnsi="Calibri" w:cs="Arial"/>
                <w:sz w:val="18"/>
                <w:szCs w:val="18"/>
                <w:lang w:val="en-US"/>
              </w:rPr>
            </w:pPr>
          </w:p>
        </w:tc>
      </w:tr>
      <w:tr w:rsidR="00172B81" w:rsidRPr="00537128" w14:paraId="22E8DDDD" w14:textId="77777777" w:rsidTr="009629B1">
        <w:trPr>
          <w:trHeight w:val="146"/>
        </w:trPr>
        <w:tc>
          <w:tcPr>
            <w:tcW w:w="5840" w:type="dxa"/>
            <w:vAlign w:val="bottom"/>
            <w:hideMark/>
          </w:tcPr>
          <w:p w14:paraId="0E46ADC2" w14:textId="77777777" w:rsidR="00172B81" w:rsidRPr="00537128" w:rsidRDefault="00172B81" w:rsidP="00172B81">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Liabilities from insurance operations</w:t>
            </w:r>
          </w:p>
        </w:tc>
        <w:tc>
          <w:tcPr>
            <w:tcW w:w="1337" w:type="dxa"/>
            <w:shd w:val="clear" w:color="auto" w:fill="auto"/>
            <w:noWrap/>
          </w:tcPr>
          <w:p w14:paraId="4884A219" w14:textId="48962C32" w:rsidR="00172B81" w:rsidRPr="00537128" w:rsidRDefault="00172B81" w:rsidP="00172B81">
            <w:pPr>
              <w:spacing w:after="0" w:line="220" w:lineRule="exact"/>
              <w:jc w:val="right"/>
              <w:rPr>
                <w:rFonts w:ascii="Calibri" w:eastAsia="Times New Roman" w:hAnsi="Calibri" w:cs="Arial"/>
                <w:sz w:val="18"/>
                <w:szCs w:val="18"/>
                <w:lang w:val="en-US"/>
              </w:rPr>
            </w:pPr>
            <w:r w:rsidRPr="00852784">
              <w:rPr>
                <w:rFonts w:ascii="Calibri" w:hAnsi="Calibri" w:cs="Arial"/>
                <w:color w:val="000000"/>
                <w:sz w:val="18"/>
                <w:szCs w:val="18"/>
              </w:rPr>
              <w:t>4</w:t>
            </w:r>
            <w:r>
              <w:rPr>
                <w:rFonts w:ascii="Calibri" w:hAnsi="Calibri" w:cs="Arial"/>
                <w:color w:val="000000"/>
                <w:sz w:val="18"/>
                <w:szCs w:val="18"/>
              </w:rPr>
              <w:t>,</w:t>
            </w:r>
            <w:r w:rsidRPr="00852784">
              <w:rPr>
                <w:rFonts w:ascii="Calibri" w:hAnsi="Calibri" w:cs="Arial"/>
                <w:color w:val="000000"/>
                <w:sz w:val="18"/>
                <w:szCs w:val="18"/>
              </w:rPr>
              <w:t>567</w:t>
            </w:r>
          </w:p>
        </w:tc>
        <w:tc>
          <w:tcPr>
            <w:tcW w:w="1338" w:type="dxa"/>
            <w:shd w:val="clear" w:color="auto" w:fill="auto"/>
            <w:hideMark/>
          </w:tcPr>
          <w:p w14:paraId="234B82E2" w14:textId="4219DC17" w:rsidR="00172B81" w:rsidRPr="00537128" w:rsidRDefault="00172B81" w:rsidP="00172B81">
            <w:pPr>
              <w:spacing w:after="0" w:line="220" w:lineRule="exact"/>
              <w:jc w:val="right"/>
              <w:rPr>
                <w:rFonts w:ascii="Calibri" w:eastAsia="Times New Roman" w:hAnsi="Calibri" w:cs="Arial"/>
                <w:sz w:val="18"/>
                <w:szCs w:val="18"/>
                <w:lang w:val="en-US"/>
              </w:rPr>
            </w:pPr>
            <w:r w:rsidRPr="00D03C88">
              <w:rPr>
                <w:rFonts w:ascii="Calibri" w:hAnsi="Calibri" w:cs="Arial"/>
                <w:color w:val="000000"/>
                <w:sz w:val="18"/>
                <w:szCs w:val="18"/>
              </w:rPr>
              <w:t>2</w:t>
            </w:r>
            <w:r>
              <w:rPr>
                <w:rFonts w:ascii="Calibri" w:hAnsi="Calibri" w:cs="Arial"/>
                <w:color w:val="000000"/>
                <w:sz w:val="18"/>
                <w:szCs w:val="18"/>
              </w:rPr>
              <w:t>,</w:t>
            </w:r>
            <w:r w:rsidRPr="00D03C88">
              <w:rPr>
                <w:rFonts w:ascii="Calibri" w:hAnsi="Calibri" w:cs="Arial"/>
                <w:color w:val="000000"/>
                <w:sz w:val="18"/>
                <w:szCs w:val="18"/>
              </w:rPr>
              <w:t>568</w:t>
            </w:r>
          </w:p>
        </w:tc>
      </w:tr>
      <w:tr w:rsidR="00172B81" w:rsidRPr="00537128" w14:paraId="38185490" w14:textId="77777777" w:rsidTr="009629B1">
        <w:trPr>
          <w:trHeight w:val="205"/>
        </w:trPr>
        <w:tc>
          <w:tcPr>
            <w:tcW w:w="5840" w:type="dxa"/>
            <w:vAlign w:val="bottom"/>
            <w:hideMark/>
          </w:tcPr>
          <w:p w14:paraId="5A941EE1" w14:textId="77777777" w:rsidR="00172B81" w:rsidRPr="00537128" w:rsidRDefault="00172B81" w:rsidP="00172B81">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Other liabilities</w:t>
            </w:r>
          </w:p>
        </w:tc>
        <w:tc>
          <w:tcPr>
            <w:tcW w:w="1337" w:type="dxa"/>
            <w:tcBorders>
              <w:top w:val="nil"/>
              <w:left w:val="nil"/>
              <w:bottom w:val="single" w:sz="4" w:space="0" w:color="auto"/>
              <w:right w:val="nil"/>
            </w:tcBorders>
            <w:shd w:val="clear" w:color="auto" w:fill="auto"/>
            <w:noWrap/>
          </w:tcPr>
          <w:p w14:paraId="7F719565" w14:textId="26448347" w:rsidR="00172B81" w:rsidRPr="00537128" w:rsidRDefault="00172B81" w:rsidP="00172B81">
            <w:pPr>
              <w:spacing w:after="0" w:line="220" w:lineRule="exact"/>
              <w:jc w:val="right"/>
              <w:rPr>
                <w:rFonts w:ascii="Calibri" w:eastAsia="Times New Roman" w:hAnsi="Calibri" w:cs="Arial"/>
                <w:sz w:val="18"/>
                <w:szCs w:val="18"/>
                <w:lang w:val="en-US"/>
              </w:rPr>
            </w:pPr>
            <w:r w:rsidRPr="00852784">
              <w:rPr>
                <w:rFonts w:ascii="Calibri" w:hAnsi="Calibri" w:cs="Arial"/>
                <w:color w:val="000000"/>
                <w:sz w:val="18"/>
                <w:szCs w:val="18"/>
              </w:rPr>
              <w:t>2</w:t>
            </w:r>
            <w:r>
              <w:rPr>
                <w:rFonts w:ascii="Calibri" w:hAnsi="Calibri" w:cs="Arial"/>
                <w:color w:val="000000"/>
                <w:sz w:val="18"/>
                <w:szCs w:val="18"/>
              </w:rPr>
              <w:t>,</w:t>
            </w:r>
            <w:r w:rsidRPr="00852784">
              <w:rPr>
                <w:rFonts w:ascii="Calibri" w:hAnsi="Calibri" w:cs="Arial"/>
                <w:color w:val="000000"/>
                <w:sz w:val="18"/>
                <w:szCs w:val="18"/>
              </w:rPr>
              <w:t>798</w:t>
            </w:r>
          </w:p>
        </w:tc>
        <w:tc>
          <w:tcPr>
            <w:tcW w:w="1338" w:type="dxa"/>
            <w:tcBorders>
              <w:top w:val="nil"/>
              <w:left w:val="nil"/>
              <w:bottom w:val="single" w:sz="4" w:space="0" w:color="auto"/>
              <w:right w:val="nil"/>
            </w:tcBorders>
            <w:shd w:val="clear" w:color="auto" w:fill="auto"/>
            <w:hideMark/>
          </w:tcPr>
          <w:p w14:paraId="437D46F7" w14:textId="7C49C71D" w:rsidR="00172B81" w:rsidRPr="00537128" w:rsidRDefault="00172B81" w:rsidP="00172B81">
            <w:pPr>
              <w:spacing w:after="0" w:line="220" w:lineRule="exact"/>
              <w:jc w:val="right"/>
              <w:rPr>
                <w:rFonts w:ascii="Calibri" w:eastAsia="Times New Roman" w:hAnsi="Calibri" w:cs="Arial"/>
                <w:sz w:val="18"/>
                <w:szCs w:val="18"/>
                <w:lang w:val="en-US"/>
              </w:rPr>
            </w:pPr>
            <w:r w:rsidRPr="00D03C88">
              <w:rPr>
                <w:rFonts w:ascii="Calibri" w:hAnsi="Calibri" w:cs="Arial"/>
                <w:color w:val="000000"/>
                <w:sz w:val="18"/>
                <w:szCs w:val="18"/>
              </w:rPr>
              <w:t>3</w:t>
            </w:r>
            <w:r>
              <w:rPr>
                <w:rFonts w:ascii="Calibri" w:hAnsi="Calibri" w:cs="Arial"/>
                <w:color w:val="000000"/>
                <w:sz w:val="18"/>
                <w:szCs w:val="18"/>
              </w:rPr>
              <w:t>,</w:t>
            </w:r>
            <w:r w:rsidRPr="00D03C88">
              <w:rPr>
                <w:rFonts w:ascii="Calibri" w:hAnsi="Calibri" w:cs="Arial"/>
                <w:color w:val="000000"/>
                <w:sz w:val="18"/>
                <w:szCs w:val="18"/>
              </w:rPr>
              <w:t>206</w:t>
            </w:r>
          </w:p>
        </w:tc>
      </w:tr>
      <w:tr w:rsidR="00172B81" w:rsidRPr="00537128" w14:paraId="3936B32C" w14:textId="77777777" w:rsidTr="009629B1">
        <w:trPr>
          <w:trHeight w:val="145"/>
        </w:trPr>
        <w:tc>
          <w:tcPr>
            <w:tcW w:w="5840" w:type="dxa"/>
            <w:vAlign w:val="bottom"/>
            <w:hideMark/>
          </w:tcPr>
          <w:p w14:paraId="1870E232" w14:textId="77777777" w:rsidR="00172B81" w:rsidRPr="00537128" w:rsidRDefault="00172B81" w:rsidP="00172B81">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Total liabilities</w:t>
            </w:r>
          </w:p>
        </w:tc>
        <w:tc>
          <w:tcPr>
            <w:tcW w:w="1337" w:type="dxa"/>
            <w:tcBorders>
              <w:top w:val="single" w:sz="4" w:space="0" w:color="auto"/>
              <w:left w:val="nil"/>
              <w:bottom w:val="single" w:sz="12" w:space="0" w:color="auto"/>
              <w:right w:val="nil"/>
            </w:tcBorders>
            <w:shd w:val="clear" w:color="auto" w:fill="auto"/>
            <w:noWrap/>
          </w:tcPr>
          <w:p w14:paraId="3DA24F63" w14:textId="4CC31C44" w:rsidR="00172B81" w:rsidRPr="00537128" w:rsidRDefault="00172B81" w:rsidP="00172B81">
            <w:pPr>
              <w:spacing w:after="0" w:line="220" w:lineRule="exact"/>
              <w:jc w:val="right"/>
              <w:rPr>
                <w:rFonts w:ascii="Calibri" w:eastAsia="Times New Roman" w:hAnsi="Calibri" w:cs="Arial"/>
                <w:b/>
                <w:bCs/>
                <w:sz w:val="18"/>
                <w:szCs w:val="18"/>
                <w:lang w:val="en-US"/>
              </w:rPr>
            </w:pPr>
            <w:r w:rsidRPr="00852784">
              <w:rPr>
                <w:rFonts w:ascii="Calibri" w:hAnsi="Calibri" w:cs="Arial"/>
                <w:b/>
                <w:bCs/>
                <w:color w:val="000000"/>
                <w:sz w:val="18"/>
                <w:szCs w:val="18"/>
              </w:rPr>
              <w:t>7</w:t>
            </w:r>
            <w:r>
              <w:rPr>
                <w:rFonts w:ascii="Calibri" w:hAnsi="Calibri" w:cs="Arial"/>
                <w:b/>
                <w:bCs/>
                <w:color w:val="000000"/>
                <w:sz w:val="18"/>
                <w:szCs w:val="18"/>
              </w:rPr>
              <w:t>,</w:t>
            </w:r>
            <w:r w:rsidRPr="00852784">
              <w:rPr>
                <w:rFonts w:ascii="Calibri" w:hAnsi="Calibri" w:cs="Arial"/>
                <w:b/>
                <w:bCs/>
                <w:color w:val="000000"/>
                <w:sz w:val="18"/>
                <w:szCs w:val="18"/>
              </w:rPr>
              <w:t>365</w:t>
            </w:r>
          </w:p>
        </w:tc>
        <w:tc>
          <w:tcPr>
            <w:tcW w:w="1338" w:type="dxa"/>
            <w:tcBorders>
              <w:top w:val="single" w:sz="4" w:space="0" w:color="auto"/>
              <w:left w:val="nil"/>
              <w:bottom w:val="single" w:sz="12" w:space="0" w:color="auto"/>
              <w:right w:val="nil"/>
            </w:tcBorders>
            <w:shd w:val="clear" w:color="auto" w:fill="auto"/>
            <w:hideMark/>
          </w:tcPr>
          <w:p w14:paraId="16CC5DC9" w14:textId="083C33FC" w:rsidR="00172B81" w:rsidRPr="00537128" w:rsidRDefault="00172B81" w:rsidP="00172B81">
            <w:pPr>
              <w:spacing w:after="0" w:line="220" w:lineRule="exact"/>
              <w:jc w:val="right"/>
              <w:rPr>
                <w:rFonts w:ascii="Calibri" w:eastAsia="Times New Roman" w:hAnsi="Calibri" w:cs="Arial"/>
                <w:b/>
                <w:bCs/>
                <w:sz w:val="18"/>
                <w:szCs w:val="18"/>
                <w:lang w:val="en-US"/>
              </w:rPr>
            </w:pPr>
            <w:r w:rsidRPr="00D03C88">
              <w:rPr>
                <w:rFonts w:ascii="Calibri" w:hAnsi="Calibri" w:cs="Arial"/>
                <w:b/>
                <w:bCs/>
                <w:color w:val="000000"/>
                <w:sz w:val="18"/>
                <w:szCs w:val="18"/>
              </w:rPr>
              <w:t>5</w:t>
            </w:r>
            <w:r>
              <w:rPr>
                <w:rFonts w:ascii="Calibri" w:hAnsi="Calibri" w:cs="Arial"/>
                <w:b/>
                <w:bCs/>
                <w:color w:val="000000"/>
                <w:sz w:val="18"/>
                <w:szCs w:val="18"/>
              </w:rPr>
              <w:t>,</w:t>
            </w:r>
            <w:r w:rsidRPr="00D03C88">
              <w:rPr>
                <w:rFonts w:ascii="Calibri" w:hAnsi="Calibri" w:cs="Arial"/>
                <w:b/>
                <w:bCs/>
                <w:color w:val="000000"/>
                <w:sz w:val="18"/>
                <w:szCs w:val="18"/>
              </w:rPr>
              <w:t>774</w:t>
            </w:r>
          </w:p>
        </w:tc>
      </w:tr>
      <w:tr w:rsidR="00172B81" w:rsidRPr="00537128" w14:paraId="146349FD" w14:textId="77777777" w:rsidTr="00730472">
        <w:trPr>
          <w:trHeight w:val="56"/>
        </w:trPr>
        <w:tc>
          <w:tcPr>
            <w:tcW w:w="5840" w:type="dxa"/>
            <w:vAlign w:val="bottom"/>
          </w:tcPr>
          <w:p w14:paraId="02847FF2" w14:textId="77777777" w:rsidR="00172B81" w:rsidRPr="00537128" w:rsidRDefault="00172B81" w:rsidP="00172B81">
            <w:pPr>
              <w:spacing w:after="0" w:line="140" w:lineRule="exact"/>
              <w:rPr>
                <w:rFonts w:ascii="Calibri" w:eastAsia="Times New Roman" w:hAnsi="Calibri" w:cs="Arial"/>
                <w:b/>
                <w:bCs/>
                <w:sz w:val="18"/>
                <w:szCs w:val="18"/>
                <w:lang w:val="en-US"/>
              </w:rPr>
            </w:pPr>
          </w:p>
        </w:tc>
        <w:tc>
          <w:tcPr>
            <w:tcW w:w="1337" w:type="dxa"/>
            <w:tcBorders>
              <w:top w:val="single" w:sz="12" w:space="0" w:color="auto"/>
              <w:left w:val="nil"/>
              <w:bottom w:val="single" w:sz="4" w:space="0" w:color="auto"/>
              <w:right w:val="nil"/>
            </w:tcBorders>
            <w:shd w:val="clear" w:color="auto" w:fill="auto"/>
            <w:noWrap/>
            <w:vAlign w:val="bottom"/>
          </w:tcPr>
          <w:p w14:paraId="302D1C0A" w14:textId="77777777" w:rsidR="00172B81" w:rsidRPr="00537128" w:rsidRDefault="00172B81" w:rsidP="00172B81">
            <w:pPr>
              <w:spacing w:after="0" w:line="140" w:lineRule="exact"/>
              <w:jc w:val="right"/>
              <w:rPr>
                <w:rFonts w:ascii="Calibri" w:eastAsia="Times New Roman" w:hAnsi="Calibri" w:cs="Arial"/>
                <w:b/>
                <w:bCs/>
                <w:sz w:val="18"/>
                <w:szCs w:val="18"/>
                <w:lang w:val="en-US"/>
              </w:rPr>
            </w:pPr>
          </w:p>
        </w:tc>
        <w:tc>
          <w:tcPr>
            <w:tcW w:w="1338" w:type="dxa"/>
            <w:tcBorders>
              <w:top w:val="single" w:sz="12" w:space="0" w:color="auto"/>
              <w:left w:val="nil"/>
              <w:bottom w:val="single" w:sz="4" w:space="0" w:color="auto"/>
              <w:right w:val="nil"/>
            </w:tcBorders>
            <w:shd w:val="clear" w:color="auto" w:fill="auto"/>
            <w:vAlign w:val="bottom"/>
          </w:tcPr>
          <w:p w14:paraId="4D997D28" w14:textId="77777777" w:rsidR="00172B81" w:rsidRPr="00537128" w:rsidRDefault="00172B81" w:rsidP="00172B81">
            <w:pPr>
              <w:spacing w:after="0" w:line="140" w:lineRule="exact"/>
              <w:jc w:val="right"/>
              <w:rPr>
                <w:rFonts w:ascii="Calibri" w:eastAsia="Times New Roman" w:hAnsi="Calibri" w:cs="Arial"/>
                <w:b/>
                <w:bCs/>
                <w:sz w:val="18"/>
                <w:szCs w:val="18"/>
                <w:lang w:val="en-US"/>
              </w:rPr>
            </w:pPr>
          </w:p>
        </w:tc>
      </w:tr>
      <w:tr w:rsidR="00172B81" w:rsidRPr="00537128" w14:paraId="724AA5B0" w14:textId="77777777" w:rsidTr="00730472">
        <w:trPr>
          <w:trHeight w:val="231"/>
        </w:trPr>
        <w:tc>
          <w:tcPr>
            <w:tcW w:w="5840" w:type="dxa"/>
            <w:vAlign w:val="bottom"/>
            <w:hideMark/>
          </w:tcPr>
          <w:p w14:paraId="401A3C50" w14:textId="77777777" w:rsidR="00172B81" w:rsidRPr="00537128" w:rsidRDefault="00172B81" w:rsidP="00172B81">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Total equity and liabilities</w:t>
            </w:r>
          </w:p>
        </w:tc>
        <w:tc>
          <w:tcPr>
            <w:tcW w:w="1337" w:type="dxa"/>
            <w:tcBorders>
              <w:top w:val="single" w:sz="4" w:space="0" w:color="auto"/>
              <w:left w:val="nil"/>
              <w:bottom w:val="single" w:sz="12" w:space="0" w:color="auto"/>
              <w:right w:val="nil"/>
            </w:tcBorders>
            <w:shd w:val="clear" w:color="auto" w:fill="auto"/>
            <w:noWrap/>
            <w:vAlign w:val="bottom"/>
          </w:tcPr>
          <w:p w14:paraId="498894E4" w14:textId="118BD32C" w:rsidR="00172B81" w:rsidRPr="00537128" w:rsidRDefault="00172B81" w:rsidP="00172B81">
            <w:pPr>
              <w:spacing w:after="0" w:line="220" w:lineRule="exact"/>
              <w:jc w:val="right"/>
              <w:rPr>
                <w:rFonts w:ascii="Calibri" w:eastAsia="Times New Roman" w:hAnsi="Calibri" w:cs="Arial"/>
                <w:b/>
                <w:bCs/>
                <w:sz w:val="18"/>
                <w:szCs w:val="18"/>
                <w:lang w:val="en-US"/>
              </w:rPr>
            </w:pPr>
            <w:r w:rsidRPr="00852784">
              <w:rPr>
                <w:rFonts w:cs="Arial"/>
                <w:b/>
                <w:bCs/>
                <w:color w:val="000000" w:themeColor="text1"/>
                <w:sz w:val="18"/>
                <w:szCs w:val="18"/>
              </w:rPr>
              <w:t>64</w:t>
            </w:r>
            <w:r>
              <w:rPr>
                <w:rFonts w:cs="Arial"/>
                <w:b/>
                <w:bCs/>
                <w:color w:val="000000" w:themeColor="text1"/>
                <w:sz w:val="18"/>
                <w:szCs w:val="18"/>
              </w:rPr>
              <w:t>,</w:t>
            </w:r>
            <w:r w:rsidRPr="00852784">
              <w:rPr>
                <w:rFonts w:cs="Arial"/>
                <w:b/>
                <w:bCs/>
                <w:color w:val="000000" w:themeColor="text1"/>
                <w:sz w:val="18"/>
                <w:szCs w:val="18"/>
              </w:rPr>
              <w:t>764</w:t>
            </w:r>
          </w:p>
        </w:tc>
        <w:tc>
          <w:tcPr>
            <w:tcW w:w="1338" w:type="dxa"/>
            <w:tcBorders>
              <w:top w:val="single" w:sz="4" w:space="0" w:color="auto"/>
              <w:left w:val="nil"/>
              <w:bottom w:val="single" w:sz="12" w:space="0" w:color="auto"/>
              <w:right w:val="nil"/>
            </w:tcBorders>
            <w:shd w:val="clear" w:color="auto" w:fill="auto"/>
            <w:vAlign w:val="bottom"/>
            <w:hideMark/>
          </w:tcPr>
          <w:p w14:paraId="17C4C1C7" w14:textId="6D8DF9A7" w:rsidR="00172B81" w:rsidRPr="00537128" w:rsidRDefault="00172B81" w:rsidP="00172B81">
            <w:pPr>
              <w:spacing w:after="0" w:line="220" w:lineRule="exact"/>
              <w:jc w:val="right"/>
              <w:rPr>
                <w:rFonts w:ascii="Calibri" w:eastAsia="Times New Roman" w:hAnsi="Calibri" w:cs="Arial"/>
                <w:b/>
                <w:bCs/>
                <w:sz w:val="18"/>
                <w:szCs w:val="18"/>
                <w:lang w:val="en-US"/>
              </w:rPr>
            </w:pPr>
            <w:r>
              <w:rPr>
                <w:rFonts w:cs="Arial"/>
                <w:b/>
                <w:bCs/>
                <w:color w:val="000000" w:themeColor="text1"/>
                <w:sz w:val="18"/>
                <w:szCs w:val="18"/>
              </w:rPr>
              <w:t>64,500</w:t>
            </w:r>
          </w:p>
        </w:tc>
      </w:tr>
    </w:tbl>
    <w:p w14:paraId="0221F92A" w14:textId="77777777" w:rsidR="007643F8" w:rsidRPr="00537128" w:rsidRDefault="007643F8" w:rsidP="00D27961">
      <w:pPr>
        <w:tabs>
          <w:tab w:val="left" w:pos="709"/>
        </w:tabs>
        <w:spacing w:after="0" w:line="240" w:lineRule="auto"/>
        <w:jc w:val="both"/>
        <w:rPr>
          <w:rFonts w:ascii="Calibri" w:eastAsia="Times New Roman" w:hAnsi="Calibri" w:cs="Arial"/>
          <w:b/>
          <w:spacing w:val="-3"/>
          <w:lang w:val="en-US"/>
        </w:rPr>
      </w:pPr>
    </w:p>
    <w:p w14:paraId="6C607262" w14:textId="77777777" w:rsidR="00827A2B" w:rsidRPr="00537128" w:rsidRDefault="00827A2B" w:rsidP="00D27961">
      <w:pPr>
        <w:tabs>
          <w:tab w:val="left" w:pos="709"/>
        </w:tabs>
        <w:spacing w:after="0" w:line="240" w:lineRule="auto"/>
        <w:jc w:val="both"/>
        <w:rPr>
          <w:rFonts w:ascii="Calibri" w:eastAsia="Times New Roman" w:hAnsi="Calibri" w:cs="Arial"/>
          <w:b/>
          <w:spacing w:val="-3"/>
          <w:lang w:val="en-US"/>
        </w:rPr>
        <w:sectPr w:rsidR="00827A2B" w:rsidRPr="00537128" w:rsidSect="00712478">
          <w:headerReference w:type="default" r:id="rId37"/>
          <w:pgSz w:w="11906" w:h="16838"/>
          <w:pgMar w:top="1418" w:right="1134" w:bottom="1418" w:left="1418" w:header="709" w:footer="709" w:gutter="0"/>
          <w:cols w:space="708"/>
          <w:docGrid w:linePitch="360"/>
        </w:sectPr>
      </w:pPr>
    </w:p>
    <w:p w14:paraId="4B1115AC" w14:textId="77777777" w:rsidR="00827A2B" w:rsidRPr="00537128" w:rsidRDefault="00827A2B" w:rsidP="00D27961">
      <w:pPr>
        <w:tabs>
          <w:tab w:val="left" w:pos="709"/>
        </w:tabs>
        <w:spacing w:after="0" w:line="240" w:lineRule="auto"/>
        <w:jc w:val="both"/>
        <w:rPr>
          <w:rFonts w:ascii="Calibri" w:eastAsia="Times New Roman" w:hAnsi="Calibri" w:cs="Arial"/>
          <w:b/>
          <w:spacing w:val="-3"/>
          <w:lang w:val="en-US"/>
        </w:rPr>
      </w:pPr>
    </w:p>
    <w:p w14:paraId="70163911" w14:textId="77777777" w:rsidR="007643F8" w:rsidRPr="00537128" w:rsidRDefault="007643F8" w:rsidP="00D27961">
      <w:pPr>
        <w:tabs>
          <w:tab w:val="left" w:pos="709"/>
        </w:tabs>
        <w:spacing w:after="0" w:line="240" w:lineRule="auto"/>
        <w:jc w:val="both"/>
        <w:rPr>
          <w:rFonts w:ascii="Calibri" w:eastAsia="Times New Roman" w:hAnsi="Calibri" w:cs="Arial"/>
          <w:b/>
          <w:spacing w:val="-3"/>
          <w:lang w:val="en-US"/>
        </w:rPr>
      </w:pPr>
    </w:p>
    <w:tbl>
      <w:tblPr>
        <w:tblpPr w:leftFromText="181" w:rightFromText="181" w:vertAnchor="text" w:horzAnchor="margin" w:tblpY="335"/>
        <w:tblW w:w="9214" w:type="dxa"/>
        <w:tblLayout w:type="fixed"/>
        <w:tblLook w:val="04A0" w:firstRow="1" w:lastRow="0" w:firstColumn="1" w:lastColumn="0" w:noHBand="0" w:noVBand="1"/>
      </w:tblPr>
      <w:tblGrid>
        <w:gridCol w:w="6546"/>
        <w:gridCol w:w="1339"/>
        <w:gridCol w:w="1329"/>
      </w:tblGrid>
      <w:tr w:rsidR="00B66149" w:rsidRPr="00537128" w14:paraId="34BB91F0" w14:textId="77777777" w:rsidTr="001E7D22">
        <w:trPr>
          <w:trHeight w:val="65"/>
        </w:trPr>
        <w:tc>
          <w:tcPr>
            <w:tcW w:w="6546" w:type="dxa"/>
          </w:tcPr>
          <w:p w14:paraId="42B2FBA9" w14:textId="77777777" w:rsidR="00B66149" w:rsidRPr="00537128" w:rsidRDefault="00B66149" w:rsidP="001E7D22">
            <w:pPr>
              <w:spacing w:after="0" w:line="140" w:lineRule="exact"/>
              <w:rPr>
                <w:rFonts w:ascii="Calibri" w:eastAsia="Times New Roman" w:hAnsi="Calibri" w:cs="Arial"/>
                <w:sz w:val="18"/>
                <w:szCs w:val="18"/>
                <w:lang w:val="en-US"/>
              </w:rPr>
            </w:pPr>
          </w:p>
        </w:tc>
        <w:tc>
          <w:tcPr>
            <w:tcW w:w="1339" w:type="dxa"/>
          </w:tcPr>
          <w:p w14:paraId="676D5F01" w14:textId="77777777" w:rsidR="00B66149" w:rsidRPr="00537128" w:rsidRDefault="00B66149" w:rsidP="001E7D22">
            <w:pPr>
              <w:spacing w:after="0" w:line="140" w:lineRule="exact"/>
              <w:jc w:val="right"/>
              <w:rPr>
                <w:rFonts w:ascii="Calibri" w:eastAsia="Times New Roman" w:hAnsi="Calibri" w:cs="Arial"/>
                <w:sz w:val="18"/>
                <w:szCs w:val="18"/>
                <w:lang w:val="en-US"/>
              </w:rPr>
            </w:pPr>
          </w:p>
        </w:tc>
        <w:tc>
          <w:tcPr>
            <w:tcW w:w="1329" w:type="dxa"/>
          </w:tcPr>
          <w:p w14:paraId="69E296AE" w14:textId="77777777" w:rsidR="00B66149" w:rsidRPr="00537128" w:rsidRDefault="00B66149" w:rsidP="001E7D22">
            <w:pPr>
              <w:spacing w:after="0" w:line="140" w:lineRule="exact"/>
              <w:jc w:val="right"/>
              <w:rPr>
                <w:rFonts w:ascii="Calibri" w:eastAsia="Times New Roman" w:hAnsi="Calibri" w:cs="Arial"/>
                <w:sz w:val="18"/>
                <w:szCs w:val="18"/>
                <w:lang w:val="en-US"/>
              </w:rPr>
            </w:pPr>
          </w:p>
        </w:tc>
      </w:tr>
      <w:tr w:rsidR="00B66149" w:rsidRPr="00537128" w14:paraId="259D8FD2" w14:textId="77777777" w:rsidTr="001E7D22">
        <w:trPr>
          <w:trHeight w:val="118"/>
        </w:trPr>
        <w:tc>
          <w:tcPr>
            <w:tcW w:w="6546" w:type="dxa"/>
            <w:vAlign w:val="bottom"/>
          </w:tcPr>
          <w:p w14:paraId="1ADA8047" w14:textId="77777777" w:rsidR="00B66149" w:rsidRPr="00537128" w:rsidRDefault="00B66149" w:rsidP="001E7D22">
            <w:pPr>
              <w:spacing w:after="0" w:line="220" w:lineRule="exact"/>
              <w:rPr>
                <w:rFonts w:ascii="Calibri" w:eastAsia="Times New Roman" w:hAnsi="Calibri" w:cs="Arial"/>
                <w:b/>
                <w:bCs/>
                <w:sz w:val="18"/>
                <w:szCs w:val="18"/>
                <w:lang w:val="en-US"/>
              </w:rPr>
            </w:pPr>
          </w:p>
        </w:tc>
        <w:tc>
          <w:tcPr>
            <w:tcW w:w="1339" w:type="dxa"/>
            <w:noWrap/>
            <w:vAlign w:val="bottom"/>
            <w:hideMark/>
          </w:tcPr>
          <w:p w14:paraId="4B77E056" w14:textId="2FFFB408" w:rsidR="00B66149" w:rsidRPr="00537128" w:rsidRDefault="00B66149" w:rsidP="001E7D2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Mar 31, 202</w:t>
            </w:r>
            <w:r w:rsidR="001D1AB6">
              <w:rPr>
                <w:rFonts w:ascii="Calibri" w:eastAsia="Times New Roman" w:hAnsi="Calibri" w:cs="Arial"/>
                <w:b/>
                <w:bCs/>
                <w:sz w:val="18"/>
                <w:szCs w:val="18"/>
                <w:lang w:val="en-US"/>
              </w:rPr>
              <w:t>2</w:t>
            </w:r>
          </w:p>
        </w:tc>
        <w:tc>
          <w:tcPr>
            <w:tcW w:w="1329" w:type="dxa"/>
            <w:hideMark/>
          </w:tcPr>
          <w:p w14:paraId="50E61417" w14:textId="7F9D7F1B" w:rsidR="00B66149" w:rsidRPr="00537128" w:rsidRDefault="00B66149" w:rsidP="001E7D2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Mar 31, 202</w:t>
            </w:r>
            <w:r w:rsidR="001D1AB6">
              <w:rPr>
                <w:rFonts w:ascii="Calibri" w:eastAsia="Times New Roman" w:hAnsi="Calibri" w:cs="Arial"/>
                <w:b/>
                <w:bCs/>
                <w:sz w:val="18"/>
                <w:szCs w:val="18"/>
                <w:lang w:val="en-US"/>
              </w:rPr>
              <w:t>1</w:t>
            </w:r>
          </w:p>
        </w:tc>
      </w:tr>
      <w:tr w:rsidR="00B66149" w:rsidRPr="00537128" w14:paraId="6916F0AC" w14:textId="77777777" w:rsidTr="001E7D22">
        <w:trPr>
          <w:trHeight w:val="94"/>
        </w:trPr>
        <w:tc>
          <w:tcPr>
            <w:tcW w:w="6546" w:type="dxa"/>
            <w:vAlign w:val="bottom"/>
          </w:tcPr>
          <w:p w14:paraId="28A3407C" w14:textId="77777777" w:rsidR="00B66149" w:rsidRPr="00537128" w:rsidRDefault="00B66149" w:rsidP="001E7D22">
            <w:pPr>
              <w:spacing w:after="0" w:line="220" w:lineRule="exact"/>
              <w:rPr>
                <w:rFonts w:ascii="Calibri" w:eastAsia="Times New Roman" w:hAnsi="Calibri" w:cs="Arial"/>
                <w:b/>
                <w:bCs/>
                <w:sz w:val="18"/>
                <w:szCs w:val="18"/>
                <w:lang w:val="en-US"/>
              </w:rPr>
            </w:pPr>
          </w:p>
        </w:tc>
        <w:tc>
          <w:tcPr>
            <w:tcW w:w="1339" w:type="dxa"/>
            <w:noWrap/>
            <w:vAlign w:val="bottom"/>
            <w:hideMark/>
          </w:tcPr>
          <w:p w14:paraId="19ED9CAE" w14:textId="77777777" w:rsidR="00B66149" w:rsidRPr="00537128" w:rsidRDefault="00B66149" w:rsidP="001E7D2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HRK ‘000</w:t>
            </w:r>
          </w:p>
        </w:tc>
        <w:tc>
          <w:tcPr>
            <w:tcW w:w="1329" w:type="dxa"/>
            <w:hideMark/>
          </w:tcPr>
          <w:p w14:paraId="4BA08B90" w14:textId="77777777" w:rsidR="00B66149" w:rsidRPr="00537128" w:rsidRDefault="00B66149" w:rsidP="001E7D2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HRK ‘000</w:t>
            </w:r>
          </w:p>
        </w:tc>
      </w:tr>
      <w:tr w:rsidR="00B66149" w:rsidRPr="00537128" w14:paraId="3D5E26E2" w14:textId="77777777" w:rsidTr="001E7D22">
        <w:trPr>
          <w:trHeight w:val="58"/>
        </w:trPr>
        <w:tc>
          <w:tcPr>
            <w:tcW w:w="6546" w:type="dxa"/>
            <w:vAlign w:val="bottom"/>
          </w:tcPr>
          <w:p w14:paraId="301BDCC3" w14:textId="77777777" w:rsidR="00B66149" w:rsidRPr="00730472" w:rsidRDefault="00B66149" w:rsidP="001E7D22">
            <w:pPr>
              <w:spacing w:after="0" w:line="140" w:lineRule="exact"/>
              <w:rPr>
                <w:rFonts w:ascii="Calibri" w:eastAsia="Times New Roman" w:hAnsi="Calibri" w:cs="Arial"/>
                <w:sz w:val="18"/>
                <w:szCs w:val="18"/>
                <w:lang w:val="en-US"/>
              </w:rPr>
            </w:pPr>
          </w:p>
        </w:tc>
        <w:tc>
          <w:tcPr>
            <w:tcW w:w="1339" w:type="dxa"/>
            <w:noWrap/>
            <w:vAlign w:val="bottom"/>
          </w:tcPr>
          <w:p w14:paraId="37F0FC5B" w14:textId="77777777" w:rsidR="00B66149" w:rsidRPr="00537128" w:rsidRDefault="00B66149" w:rsidP="001E7D22">
            <w:pPr>
              <w:spacing w:after="0" w:line="140" w:lineRule="exact"/>
              <w:rPr>
                <w:rFonts w:ascii="Calibri" w:eastAsia="Times New Roman" w:hAnsi="Calibri" w:cs="Arial"/>
                <w:sz w:val="18"/>
                <w:szCs w:val="18"/>
                <w:lang w:val="en-US"/>
              </w:rPr>
            </w:pPr>
          </w:p>
        </w:tc>
        <w:tc>
          <w:tcPr>
            <w:tcW w:w="1329" w:type="dxa"/>
          </w:tcPr>
          <w:p w14:paraId="330E0EE5" w14:textId="77777777" w:rsidR="00B66149" w:rsidRPr="00537128" w:rsidRDefault="00B66149" w:rsidP="001E7D22">
            <w:pPr>
              <w:spacing w:after="0" w:line="140" w:lineRule="exact"/>
              <w:rPr>
                <w:rFonts w:ascii="Calibri" w:eastAsia="Times New Roman" w:hAnsi="Calibri" w:cs="Arial"/>
                <w:sz w:val="18"/>
                <w:szCs w:val="18"/>
                <w:lang w:val="en-US"/>
              </w:rPr>
            </w:pPr>
          </w:p>
        </w:tc>
      </w:tr>
      <w:tr w:rsidR="00B66149" w:rsidRPr="00537128" w14:paraId="022C0287" w14:textId="77777777" w:rsidTr="001E7D22">
        <w:trPr>
          <w:trHeight w:val="69"/>
        </w:trPr>
        <w:tc>
          <w:tcPr>
            <w:tcW w:w="6546" w:type="dxa"/>
            <w:vAlign w:val="bottom"/>
            <w:hideMark/>
          </w:tcPr>
          <w:p w14:paraId="60066EB6" w14:textId="77777777" w:rsidR="00B66149" w:rsidRPr="00730472" w:rsidRDefault="00B66149" w:rsidP="001E7D22">
            <w:pPr>
              <w:spacing w:after="0" w:line="220" w:lineRule="exact"/>
              <w:rPr>
                <w:rFonts w:ascii="Calibri" w:eastAsia="Times New Roman" w:hAnsi="Calibri" w:cs="Arial"/>
                <w:b/>
                <w:sz w:val="18"/>
                <w:szCs w:val="18"/>
                <w:lang w:val="en-US"/>
              </w:rPr>
            </w:pPr>
            <w:r w:rsidRPr="00730472">
              <w:rPr>
                <w:rFonts w:ascii="Calibri" w:eastAsia="Times New Roman" w:hAnsi="Calibri" w:cs="Arial"/>
                <w:b/>
                <w:sz w:val="18"/>
                <w:szCs w:val="18"/>
                <w:lang w:val="en-US"/>
              </w:rPr>
              <w:t>Operating activities</w:t>
            </w:r>
          </w:p>
        </w:tc>
        <w:tc>
          <w:tcPr>
            <w:tcW w:w="1339" w:type="dxa"/>
            <w:noWrap/>
            <w:vAlign w:val="bottom"/>
          </w:tcPr>
          <w:p w14:paraId="71D22850" w14:textId="77777777" w:rsidR="00B66149" w:rsidRPr="00537128" w:rsidRDefault="00B66149" w:rsidP="001E7D22">
            <w:pPr>
              <w:spacing w:after="0" w:line="220" w:lineRule="exact"/>
              <w:jc w:val="right"/>
              <w:rPr>
                <w:rFonts w:ascii="Calibri" w:eastAsia="Times New Roman" w:hAnsi="Calibri" w:cs="Arial"/>
                <w:sz w:val="18"/>
                <w:szCs w:val="18"/>
                <w:lang w:val="en-US"/>
              </w:rPr>
            </w:pPr>
          </w:p>
        </w:tc>
        <w:tc>
          <w:tcPr>
            <w:tcW w:w="1329" w:type="dxa"/>
          </w:tcPr>
          <w:p w14:paraId="266169FE" w14:textId="77777777" w:rsidR="00B66149" w:rsidRPr="00537128" w:rsidRDefault="00B66149" w:rsidP="001E7D22">
            <w:pPr>
              <w:spacing w:after="0" w:line="220" w:lineRule="exact"/>
              <w:jc w:val="right"/>
              <w:rPr>
                <w:rFonts w:ascii="Calibri" w:eastAsia="Times New Roman" w:hAnsi="Calibri" w:cs="Arial"/>
                <w:sz w:val="18"/>
                <w:szCs w:val="18"/>
                <w:lang w:val="en-US"/>
              </w:rPr>
            </w:pPr>
          </w:p>
        </w:tc>
      </w:tr>
      <w:tr w:rsidR="00172B81" w:rsidRPr="00537128" w14:paraId="746672AD" w14:textId="77777777" w:rsidTr="001E7D22">
        <w:trPr>
          <w:trHeight w:val="65"/>
        </w:trPr>
        <w:tc>
          <w:tcPr>
            <w:tcW w:w="6546" w:type="dxa"/>
            <w:vAlign w:val="bottom"/>
            <w:hideMark/>
          </w:tcPr>
          <w:p w14:paraId="6D69B2EE" w14:textId="5BB6B99A" w:rsidR="00172B81" w:rsidRPr="00730472" w:rsidRDefault="00172B81" w:rsidP="00172B81">
            <w:pPr>
              <w:spacing w:after="0" w:line="220" w:lineRule="exact"/>
              <w:rPr>
                <w:rFonts w:ascii="Calibri" w:eastAsia="Times New Roman" w:hAnsi="Calibri" w:cs="Arial"/>
                <w:sz w:val="18"/>
                <w:szCs w:val="18"/>
                <w:lang w:val="en-US"/>
              </w:rPr>
            </w:pPr>
            <w:r>
              <w:rPr>
                <w:rFonts w:ascii="Calibri" w:eastAsia="Times New Roman" w:hAnsi="Calibri" w:cs="Arial"/>
                <w:sz w:val="18"/>
                <w:szCs w:val="18"/>
                <w:lang w:val="en-US"/>
              </w:rPr>
              <w:t>Loss/</w:t>
            </w:r>
            <w:r w:rsidRPr="00730472">
              <w:rPr>
                <w:rFonts w:ascii="Calibri" w:eastAsia="Times New Roman" w:hAnsi="Calibri" w:cs="Arial"/>
                <w:sz w:val="18"/>
                <w:szCs w:val="18"/>
                <w:lang w:val="en-US"/>
              </w:rPr>
              <w:t>Profit before income tax</w:t>
            </w:r>
          </w:p>
        </w:tc>
        <w:tc>
          <w:tcPr>
            <w:tcW w:w="1339" w:type="dxa"/>
            <w:tcBorders>
              <w:top w:val="nil"/>
              <w:left w:val="nil"/>
              <w:bottom w:val="nil"/>
              <w:right w:val="nil"/>
            </w:tcBorders>
            <w:shd w:val="clear" w:color="auto" w:fill="auto"/>
            <w:noWrap/>
            <w:vAlign w:val="bottom"/>
          </w:tcPr>
          <w:p w14:paraId="0B025605" w14:textId="03198512" w:rsidR="00172B81" w:rsidRPr="00537128" w:rsidRDefault="00172B81" w:rsidP="00172B81">
            <w:pPr>
              <w:spacing w:after="0" w:line="220" w:lineRule="exact"/>
              <w:jc w:val="right"/>
              <w:rPr>
                <w:rFonts w:ascii="Calibri" w:eastAsia="Times New Roman" w:hAnsi="Calibri" w:cs="Arial"/>
                <w:bCs/>
                <w:sz w:val="18"/>
                <w:szCs w:val="18"/>
                <w:lang w:val="en-US"/>
              </w:rPr>
            </w:pPr>
            <w:r w:rsidRPr="006733B1">
              <w:rPr>
                <w:rFonts w:cs="Arial"/>
                <w:bCs/>
                <w:color w:val="000000" w:themeColor="text1"/>
                <w:sz w:val="18"/>
                <w:szCs w:val="18"/>
              </w:rPr>
              <w:t>(244)</w:t>
            </w:r>
          </w:p>
        </w:tc>
        <w:tc>
          <w:tcPr>
            <w:tcW w:w="1329" w:type="dxa"/>
            <w:tcBorders>
              <w:top w:val="nil"/>
              <w:left w:val="nil"/>
              <w:bottom w:val="nil"/>
              <w:right w:val="nil"/>
            </w:tcBorders>
            <w:shd w:val="clear" w:color="auto" w:fill="auto"/>
            <w:vAlign w:val="bottom"/>
          </w:tcPr>
          <w:p w14:paraId="73AAA41A" w14:textId="304ABC06" w:rsidR="00172B81" w:rsidRPr="00537128" w:rsidRDefault="00172B81" w:rsidP="00172B81">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764</w:t>
            </w:r>
          </w:p>
        </w:tc>
      </w:tr>
      <w:tr w:rsidR="00172B81" w:rsidRPr="00537128" w14:paraId="07203634" w14:textId="77777777" w:rsidTr="001E7D22">
        <w:trPr>
          <w:trHeight w:val="179"/>
        </w:trPr>
        <w:tc>
          <w:tcPr>
            <w:tcW w:w="6546" w:type="dxa"/>
            <w:vAlign w:val="bottom"/>
            <w:hideMark/>
          </w:tcPr>
          <w:p w14:paraId="194A5328" w14:textId="77777777" w:rsidR="00172B81" w:rsidRPr="00730472" w:rsidRDefault="00172B81" w:rsidP="00172B81">
            <w:pPr>
              <w:spacing w:after="0" w:line="220" w:lineRule="exact"/>
              <w:rPr>
                <w:rFonts w:ascii="Calibri" w:eastAsia="Times New Roman" w:hAnsi="Calibri" w:cs="Arial"/>
                <w:i/>
                <w:sz w:val="18"/>
                <w:szCs w:val="18"/>
                <w:lang w:val="en-US"/>
              </w:rPr>
            </w:pPr>
            <w:r w:rsidRPr="00730472">
              <w:rPr>
                <w:rFonts w:ascii="Calibri" w:eastAsia="Times New Roman" w:hAnsi="Calibri" w:cs="Arial"/>
                <w:i/>
                <w:sz w:val="18"/>
                <w:szCs w:val="18"/>
                <w:lang w:val="en-US"/>
              </w:rPr>
              <w:t>Adjustments to reconcile to net cash from and used in operating activities:</w:t>
            </w:r>
          </w:p>
        </w:tc>
        <w:tc>
          <w:tcPr>
            <w:tcW w:w="1339" w:type="dxa"/>
            <w:tcBorders>
              <w:top w:val="nil"/>
              <w:left w:val="nil"/>
              <w:bottom w:val="nil"/>
              <w:right w:val="nil"/>
            </w:tcBorders>
            <w:shd w:val="clear" w:color="auto" w:fill="auto"/>
            <w:noWrap/>
            <w:vAlign w:val="bottom"/>
          </w:tcPr>
          <w:p w14:paraId="5364E632" w14:textId="77777777" w:rsidR="00172B81" w:rsidRPr="00537128" w:rsidRDefault="00172B81" w:rsidP="00172B81">
            <w:pPr>
              <w:spacing w:after="0" w:line="220" w:lineRule="exact"/>
              <w:jc w:val="right"/>
              <w:rPr>
                <w:rFonts w:ascii="Calibri" w:eastAsia="Times New Roman" w:hAnsi="Calibri" w:cs="Arial"/>
                <w:sz w:val="18"/>
                <w:szCs w:val="18"/>
                <w:lang w:val="en-US"/>
              </w:rPr>
            </w:pPr>
          </w:p>
        </w:tc>
        <w:tc>
          <w:tcPr>
            <w:tcW w:w="1329" w:type="dxa"/>
            <w:tcBorders>
              <w:top w:val="nil"/>
              <w:left w:val="nil"/>
              <w:bottom w:val="nil"/>
              <w:right w:val="nil"/>
            </w:tcBorders>
            <w:shd w:val="clear" w:color="auto" w:fill="auto"/>
            <w:vAlign w:val="bottom"/>
          </w:tcPr>
          <w:p w14:paraId="60DFDCA3" w14:textId="77777777" w:rsidR="00172B81" w:rsidRPr="00537128" w:rsidRDefault="00172B81" w:rsidP="00172B81">
            <w:pPr>
              <w:spacing w:after="0" w:line="220" w:lineRule="exact"/>
              <w:jc w:val="right"/>
              <w:rPr>
                <w:rFonts w:ascii="Calibri" w:eastAsia="Times New Roman" w:hAnsi="Calibri" w:cs="Arial"/>
                <w:sz w:val="18"/>
                <w:szCs w:val="18"/>
                <w:lang w:val="en-US"/>
              </w:rPr>
            </w:pPr>
          </w:p>
        </w:tc>
      </w:tr>
      <w:tr w:rsidR="00172B81" w:rsidRPr="00537128" w14:paraId="354ED47F" w14:textId="77777777" w:rsidTr="006E380D">
        <w:trPr>
          <w:trHeight w:val="179"/>
        </w:trPr>
        <w:tc>
          <w:tcPr>
            <w:tcW w:w="6546" w:type="dxa"/>
            <w:vAlign w:val="bottom"/>
            <w:hideMark/>
          </w:tcPr>
          <w:p w14:paraId="79CC2C53" w14:textId="77777777" w:rsidR="00172B81" w:rsidRPr="00730472" w:rsidRDefault="00172B81" w:rsidP="00172B81">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Depreciation</w:t>
            </w:r>
          </w:p>
        </w:tc>
        <w:tc>
          <w:tcPr>
            <w:tcW w:w="1339" w:type="dxa"/>
            <w:tcBorders>
              <w:top w:val="nil"/>
              <w:left w:val="nil"/>
              <w:bottom w:val="nil"/>
              <w:right w:val="nil"/>
            </w:tcBorders>
            <w:shd w:val="clear" w:color="auto" w:fill="auto"/>
            <w:noWrap/>
          </w:tcPr>
          <w:p w14:paraId="28CD5847" w14:textId="0512AB41" w:rsidR="00172B81" w:rsidRPr="00537128" w:rsidRDefault="00172B81" w:rsidP="00172B81">
            <w:pPr>
              <w:spacing w:after="0" w:line="220" w:lineRule="exact"/>
              <w:jc w:val="right"/>
              <w:rPr>
                <w:rFonts w:ascii="Calibri" w:eastAsia="Times New Roman" w:hAnsi="Calibri" w:cs="Arial"/>
                <w:sz w:val="18"/>
                <w:szCs w:val="18"/>
                <w:lang w:val="en-US"/>
              </w:rPr>
            </w:pPr>
            <w:r w:rsidRPr="006733B1">
              <w:rPr>
                <w:rFonts w:ascii="Calibri" w:hAnsi="Calibri" w:cs="Arial"/>
                <w:color w:val="000000"/>
                <w:sz w:val="18"/>
                <w:szCs w:val="18"/>
              </w:rPr>
              <w:t>94</w:t>
            </w:r>
          </w:p>
        </w:tc>
        <w:tc>
          <w:tcPr>
            <w:tcW w:w="1329" w:type="dxa"/>
            <w:tcBorders>
              <w:top w:val="nil"/>
              <w:left w:val="nil"/>
              <w:bottom w:val="nil"/>
              <w:right w:val="nil"/>
            </w:tcBorders>
            <w:shd w:val="clear" w:color="auto" w:fill="auto"/>
            <w:vAlign w:val="bottom"/>
          </w:tcPr>
          <w:p w14:paraId="68C05376" w14:textId="53BE3C3B" w:rsidR="00172B81" w:rsidRPr="00537128" w:rsidRDefault="00172B81" w:rsidP="00172B8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79</w:t>
            </w:r>
          </w:p>
        </w:tc>
      </w:tr>
      <w:tr w:rsidR="00172B81" w:rsidRPr="00537128" w14:paraId="4DE0A6A5" w14:textId="77777777" w:rsidTr="006E380D">
        <w:trPr>
          <w:trHeight w:val="179"/>
        </w:trPr>
        <w:tc>
          <w:tcPr>
            <w:tcW w:w="6546" w:type="dxa"/>
            <w:vAlign w:val="bottom"/>
            <w:hideMark/>
          </w:tcPr>
          <w:p w14:paraId="2C3AE4EE" w14:textId="429A4741" w:rsidR="00172B81" w:rsidRPr="00730472" w:rsidRDefault="00172B81" w:rsidP="00172B81">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 xml:space="preserve">Impairment </w:t>
            </w:r>
            <w:proofErr w:type="gramStart"/>
            <w:r w:rsidRPr="00A1123E">
              <w:rPr>
                <w:rFonts w:ascii="Calibri" w:eastAsia="Times New Roman" w:hAnsi="Calibri" w:cs="Arial"/>
                <w:sz w:val="18"/>
                <w:szCs w:val="18"/>
                <w:lang w:val="en-US"/>
              </w:rPr>
              <w:t>gain</w:t>
            </w:r>
            <w:proofErr w:type="gramEnd"/>
            <w:r w:rsidRPr="00730472">
              <w:rPr>
                <w:rFonts w:ascii="Calibri" w:eastAsia="Times New Roman" w:hAnsi="Calibri" w:cs="Arial"/>
                <w:sz w:val="18"/>
                <w:szCs w:val="18"/>
                <w:lang w:val="en-US"/>
              </w:rPr>
              <w:t xml:space="preserve"> and provisions</w:t>
            </w:r>
          </w:p>
        </w:tc>
        <w:tc>
          <w:tcPr>
            <w:tcW w:w="1339" w:type="dxa"/>
            <w:tcBorders>
              <w:top w:val="nil"/>
              <w:left w:val="nil"/>
              <w:bottom w:val="nil"/>
              <w:right w:val="nil"/>
            </w:tcBorders>
            <w:shd w:val="clear" w:color="auto" w:fill="auto"/>
            <w:noWrap/>
          </w:tcPr>
          <w:p w14:paraId="6A6D3B4D" w14:textId="38409A6F" w:rsidR="00172B81" w:rsidRPr="00537128" w:rsidRDefault="00172B81" w:rsidP="00172B81">
            <w:pPr>
              <w:spacing w:after="0" w:line="220" w:lineRule="exact"/>
              <w:jc w:val="right"/>
              <w:rPr>
                <w:rFonts w:ascii="Calibri" w:eastAsia="Times New Roman" w:hAnsi="Calibri" w:cs="Arial"/>
                <w:sz w:val="18"/>
                <w:szCs w:val="18"/>
                <w:lang w:val="en-US"/>
              </w:rPr>
            </w:pPr>
            <w:r w:rsidRPr="006733B1">
              <w:rPr>
                <w:rFonts w:ascii="Calibri" w:hAnsi="Calibri" w:cs="Arial"/>
                <w:color w:val="000000"/>
                <w:sz w:val="18"/>
                <w:szCs w:val="18"/>
              </w:rPr>
              <w:t>65</w:t>
            </w:r>
          </w:p>
        </w:tc>
        <w:tc>
          <w:tcPr>
            <w:tcW w:w="1329" w:type="dxa"/>
            <w:tcBorders>
              <w:top w:val="nil"/>
              <w:left w:val="nil"/>
              <w:bottom w:val="nil"/>
              <w:right w:val="nil"/>
            </w:tcBorders>
            <w:shd w:val="clear" w:color="auto" w:fill="auto"/>
            <w:vAlign w:val="bottom"/>
          </w:tcPr>
          <w:p w14:paraId="7B88E5B1" w14:textId="2240A896" w:rsidR="00172B81" w:rsidRPr="00537128" w:rsidRDefault="00172B81" w:rsidP="00172B8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54</w:t>
            </w:r>
          </w:p>
        </w:tc>
      </w:tr>
      <w:tr w:rsidR="00172B81" w:rsidRPr="00537128" w14:paraId="1A7A5C66" w14:textId="77777777" w:rsidTr="006E380D">
        <w:trPr>
          <w:trHeight w:val="183"/>
        </w:trPr>
        <w:tc>
          <w:tcPr>
            <w:tcW w:w="6546" w:type="dxa"/>
            <w:vAlign w:val="bottom"/>
            <w:hideMark/>
          </w:tcPr>
          <w:p w14:paraId="3E65DEC9" w14:textId="77777777" w:rsidR="00172B81" w:rsidRPr="00730472" w:rsidRDefault="00172B81" w:rsidP="00172B81">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Income tax</w:t>
            </w:r>
          </w:p>
        </w:tc>
        <w:tc>
          <w:tcPr>
            <w:tcW w:w="1339" w:type="dxa"/>
            <w:tcBorders>
              <w:top w:val="nil"/>
              <w:left w:val="nil"/>
              <w:bottom w:val="nil"/>
              <w:right w:val="nil"/>
            </w:tcBorders>
            <w:shd w:val="clear" w:color="auto" w:fill="auto"/>
            <w:noWrap/>
          </w:tcPr>
          <w:p w14:paraId="65208C80" w14:textId="2171592D" w:rsidR="00172B81" w:rsidRPr="00537128" w:rsidRDefault="00172B81" w:rsidP="00172B8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w:t>
            </w:r>
          </w:p>
        </w:tc>
        <w:tc>
          <w:tcPr>
            <w:tcW w:w="1329" w:type="dxa"/>
            <w:tcBorders>
              <w:top w:val="nil"/>
              <w:left w:val="nil"/>
              <w:bottom w:val="nil"/>
              <w:right w:val="nil"/>
            </w:tcBorders>
            <w:shd w:val="clear" w:color="auto" w:fill="auto"/>
            <w:vAlign w:val="bottom"/>
          </w:tcPr>
          <w:p w14:paraId="2CBAEF48" w14:textId="2902F64D" w:rsidR="00172B81" w:rsidRPr="00537128" w:rsidRDefault="00172B81" w:rsidP="00172B8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w:t>
            </w:r>
          </w:p>
        </w:tc>
      </w:tr>
      <w:tr w:rsidR="00172B81" w:rsidRPr="00537128" w14:paraId="1A8565E4" w14:textId="77777777" w:rsidTr="006E380D">
        <w:trPr>
          <w:trHeight w:val="183"/>
        </w:trPr>
        <w:tc>
          <w:tcPr>
            <w:tcW w:w="6546" w:type="dxa"/>
            <w:vAlign w:val="bottom"/>
            <w:hideMark/>
          </w:tcPr>
          <w:p w14:paraId="63377438" w14:textId="77777777" w:rsidR="00172B81" w:rsidRPr="00730472" w:rsidRDefault="00172B81" w:rsidP="00172B81">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Accrued interest</w:t>
            </w:r>
          </w:p>
        </w:tc>
        <w:tc>
          <w:tcPr>
            <w:tcW w:w="1339" w:type="dxa"/>
            <w:tcBorders>
              <w:top w:val="nil"/>
              <w:left w:val="nil"/>
              <w:right w:val="nil"/>
            </w:tcBorders>
            <w:shd w:val="clear" w:color="auto" w:fill="auto"/>
            <w:noWrap/>
          </w:tcPr>
          <w:p w14:paraId="617266E7" w14:textId="1476DB22" w:rsidR="00172B81" w:rsidRPr="00537128" w:rsidRDefault="00172B81" w:rsidP="00172B81">
            <w:pPr>
              <w:spacing w:after="0" w:line="220" w:lineRule="exact"/>
              <w:jc w:val="right"/>
              <w:rPr>
                <w:rFonts w:ascii="Calibri" w:eastAsia="Times New Roman" w:hAnsi="Calibri" w:cs="Arial"/>
                <w:sz w:val="18"/>
                <w:szCs w:val="18"/>
                <w:lang w:val="en-US"/>
              </w:rPr>
            </w:pPr>
            <w:r w:rsidRPr="006733B1">
              <w:rPr>
                <w:rFonts w:ascii="Calibri" w:hAnsi="Calibri" w:cs="Arial"/>
                <w:color w:val="000000"/>
                <w:sz w:val="18"/>
                <w:szCs w:val="18"/>
              </w:rPr>
              <w:t>87</w:t>
            </w:r>
          </w:p>
        </w:tc>
        <w:tc>
          <w:tcPr>
            <w:tcW w:w="1329" w:type="dxa"/>
            <w:tcBorders>
              <w:top w:val="nil"/>
              <w:left w:val="nil"/>
              <w:right w:val="nil"/>
            </w:tcBorders>
            <w:shd w:val="clear" w:color="auto" w:fill="auto"/>
            <w:vAlign w:val="bottom"/>
          </w:tcPr>
          <w:p w14:paraId="7CE28E98" w14:textId="7C77B394" w:rsidR="00172B81" w:rsidRPr="00537128" w:rsidRDefault="00172B81" w:rsidP="00172B8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122</w:t>
            </w:r>
          </w:p>
        </w:tc>
      </w:tr>
      <w:tr w:rsidR="00172B81" w:rsidRPr="00537128" w14:paraId="0411D56A" w14:textId="77777777" w:rsidTr="006E380D">
        <w:trPr>
          <w:trHeight w:val="183"/>
        </w:trPr>
        <w:tc>
          <w:tcPr>
            <w:tcW w:w="6546" w:type="dxa"/>
            <w:vAlign w:val="bottom"/>
          </w:tcPr>
          <w:p w14:paraId="65225A2A" w14:textId="3A02D94B" w:rsidR="00172B81" w:rsidRPr="00730472" w:rsidRDefault="00172B81" w:rsidP="00172B81">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Other</w:t>
            </w:r>
          </w:p>
        </w:tc>
        <w:tc>
          <w:tcPr>
            <w:tcW w:w="1339" w:type="dxa"/>
            <w:tcBorders>
              <w:left w:val="nil"/>
              <w:right w:val="nil"/>
            </w:tcBorders>
            <w:shd w:val="clear" w:color="auto" w:fill="auto"/>
            <w:noWrap/>
          </w:tcPr>
          <w:p w14:paraId="71E9E2DC" w14:textId="2EC15B47" w:rsidR="00172B81" w:rsidRPr="00537128" w:rsidRDefault="00172B81" w:rsidP="00172B81">
            <w:pPr>
              <w:spacing w:after="0" w:line="220" w:lineRule="exact"/>
              <w:jc w:val="right"/>
              <w:rPr>
                <w:rFonts w:ascii="Calibri" w:eastAsia="Times New Roman" w:hAnsi="Calibri" w:cs="Arial"/>
                <w:sz w:val="18"/>
                <w:szCs w:val="18"/>
                <w:lang w:val="en-US"/>
              </w:rPr>
            </w:pPr>
            <w:r>
              <w:rPr>
                <w:rFonts w:ascii="Calibri" w:hAnsi="Calibri" w:cs="Arial"/>
                <w:bCs/>
                <w:iCs/>
                <w:color w:val="000000"/>
                <w:sz w:val="18"/>
                <w:szCs w:val="18"/>
              </w:rPr>
              <w:t>-</w:t>
            </w:r>
          </w:p>
        </w:tc>
        <w:tc>
          <w:tcPr>
            <w:tcW w:w="1329" w:type="dxa"/>
            <w:tcBorders>
              <w:top w:val="nil"/>
              <w:left w:val="nil"/>
              <w:right w:val="nil"/>
            </w:tcBorders>
            <w:shd w:val="clear" w:color="auto" w:fill="auto"/>
            <w:vAlign w:val="bottom"/>
          </w:tcPr>
          <w:p w14:paraId="34B0F773" w14:textId="173136C5" w:rsidR="00172B81" w:rsidRPr="00537128" w:rsidRDefault="00172B81" w:rsidP="00172B81">
            <w:pPr>
              <w:spacing w:after="0" w:line="220" w:lineRule="exact"/>
              <w:jc w:val="right"/>
              <w:rPr>
                <w:rFonts w:cs="Arial"/>
                <w:color w:val="000000" w:themeColor="text1"/>
                <w:sz w:val="18"/>
                <w:szCs w:val="18"/>
                <w:lang w:val="en-US"/>
              </w:rPr>
            </w:pPr>
            <w:r>
              <w:rPr>
                <w:rFonts w:ascii="Calibri" w:hAnsi="Calibri" w:cs="Arial"/>
                <w:bCs/>
                <w:iCs/>
                <w:color w:val="000000"/>
                <w:sz w:val="18"/>
                <w:szCs w:val="18"/>
              </w:rPr>
              <w:t>(</w:t>
            </w:r>
            <w:r w:rsidRPr="00946BA1">
              <w:rPr>
                <w:rFonts w:ascii="Calibri" w:hAnsi="Calibri" w:cs="Arial"/>
                <w:bCs/>
                <w:iCs/>
                <w:color w:val="000000"/>
                <w:sz w:val="18"/>
                <w:szCs w:val="18"/>
              </w:rPr>
              <w:t>3</w:t>
            </w:r>
            <w:r>
              <w:rPr>
                <w:rFonts w:ascii="Calibri" w:hAnsi="Calibri" w:cs="Arial"/>
                <w:bCs/>
                <w:iCs/>
                <w:color w:val="000000"/>
                <w:sz w:val="18"/>
                <w:szCs w:val="18"/>
              </w:rPr>
              <w:t>)</w:t>
            </w:r>
          </w:p>
        </w:tc>
      </w:tr>
      <w:tr w:rsidR="00172B81" w:rsidRPr="00537128" w14:paraId="604B1891" w14:textId="77777777" w:rsidTr="006E380D">
        <w:trPr>
          <w:trHeight w:val="163"/>
        </w:trPr>
        <w:tc>
          <w:tcPr>
            <w:tcW w:w="6546" w:type="dxa"/>
            <w:vAlign w:val="bottom"/>
            <w:hideMark/>
          </w:tcPr>
          <w:p w14:paraId="0AA29B4C" w14:textId="77777777" w:rsidR="00172B81" w:rsidRPr="00730472" w:rsidRDefault="00172B81" w:rsidP="00172B81">
            <w:pPr>
              <w:spacing w:after="0" w:line="220" w:lineRule="exact"/>
              <w:rPr>
                <w:rFonts w:ascii="Calibri" w:eastAsia="Times New Roman" w:hAnsi="Calibri" w:cs="Arial"/>
                <w:i/>
                <w:sz w:val="18"/>
                <w:szCs w:val="18"/>
                <w:lang w:val="en-US"/>
              </w:rPr>
            </w:pPr>
            <w:r w:rsidRPr="00730472">
              <w:rPr>
                <w:rFonts w:ascii="Calibri" w:eastAsia="Times New Roman" w:hAnsi="Calibri" w:cs="Arial"/>
                <w:i/>
                <w:sz w:val="18"/>
                <w:szCs w:val="18"/>
                <w:lang w:val="en-US"/>
              </w:rPr>
              <w:t>Operating profit before working capital changes</w:t>
            </w:r>
          </w:p>
        </w:tc>
        <w:tc>
          <w:tcPr>
            <w:tcW w:w="1339" w:type="dxa"/>
            <w:tcBorders>
              <w:left w:val="nil"/>
              <w:right w:val="nil"/>
            </w:tcBorders>
            <w:shd w:val="clear" w:color="auto" w:fill="auto"/>
            <w:noWrap/>
          </w:tcPr>
          <w:p w14:paraId="1B2C6051" w14:textId="4AD787E9" w:rsidR="00172B81" w:rsidRPr="00537128" w:rsidRDefault="00172B81" w:rsidP="00172B81">
            <w:pPr>
              <w:spacing w:after="0" w:line="220" w:lineRule="exact"/>
              <w:jc w:val="right"/>
              <w:rPr>
                <w:rFonts w:ascii="Calibri" w:eastAsia="Times New Roman" w:hAnsi="Calibri" w:cs="Arial"/>
                <w:bCs/>
                <w:i/>
                <w:sz w:val="18"/>
                <w:szCs w:val="18"/>
                <w:lang w:val="en-US"/>
              </w:rPr>
            </w:pPr>
            <w:r w:rsidRPr="006733B1">
              <w:rPr>
                <w:rFonts w:ascii="Calibri" w:hAnsi="Calibri" w:cs="Arial"/>
                <w:bCs/>
                <w:i/>
                <w:color w:val="000000"/>
                <w:sz w:val="18"/>
                <w:szCs w:val="18"/>
              </w:rPr>
              <w:t>2</w:t>
            </w:r>
          </w:p>
        </w:tc>
        <w:tc>
          <w:tcPr>
            <w:tcW w:w="1329" w:type="dxa"/>
            <w:tcBorders>
              <w:left w:val="nil"/>
              <w:right w:val="nil"/>
            </w:tcBorders>
            <w:shd w:val="clear" w:color="auto" w:fill="auto"/>
            <w:vAlign w:val="bottom"/>
          </w:tcPr>
          <w:p w14:paraId="1077D5A0" w14:textId="133708D8" w:rsidR="00172B81" w:rsidRPr="00537128" w:rsidRDefault="00172B81" w:rsidP="00172B81">
            <w:pPr>
              <w:spacing w:after="0" w:line="220" w:lineRule="exact"/>
              <w:jc w:val="right"/>
              <w:rPr>
                <w:rFonts w:ascii="Calibri" w:eastAsia="Times New Roman" w:hAnsi="Calibri" w:cs="Arial"/>
                <w:bCs/>
                <w:i/>
                <w:sz w:val="18"/>
                <w:szCs w:val="18"/>
                <w:lang w:val="en-US"/>
              </w:rPr>
            </w:pPr>
            <w:r>
              <w:rPr>
                <w:rFonts w:ascii="Calibri" w:hAnsi="Calibri" w:cs="Arial"/>
                <w:bCs/>
                <w:i/>
                <w:color w:val="000000"/>
                <w:sz w:val="18"/>
                <w:szCs w:val="18"/>
              </w:rPr>
              <w:t>1,016</w:t>
            </w:r>
          </w:p>
        </w:tc>
      </w:tr>
      <w:tr w:rsidR="00172B81" w:rsidRPr="00537128" w14:paraId="724B1480" w14:textId="77777777" w:rsidTr="001E7D22">
        <w:trPr>
          <w:trHeight w:val="59"/>
        </w:trPr>
        <w:tc>
          <w:tcPr>
            <w:tcW w:w="6546" w:type="dxa"/>
            <w:vAlign w:val="bottom"/>
          </w:tcPr>
          <w:p w14:paraId="3BFA4A6B" w14:textId="77777777" w:rsidR="00172B81" w:rsidRPr="00730472" w:rsidRDefault="00172B81" w:rsidP="00172B81">
            <w:pPr>
              <w:spacing w:after="0" w:line="140" w:lineRule="exact"/>
              <w:rPr>
                <w:rFonts w:ascii="Calibri" w:eastAsia="Times New Roman" w:hAnsi="Calibri" w:cs="Arial"/>
                <w:sz w:val="18"/>
                <w:szCs w:val="18"/>
                <w:lang w:val="en-US"/>
              </w:rPr>
            </w:pPr>
          </w:p>
        </w:tc>
        <w:tc>
          <w:tcPr>
            <w:tcW w:w="1339" w:type="dxa"/>
            <w:tcBorders>
              <w:left w:val="nil"/>
              <w:bottom w:val="nil"/>
              <w:right w:val="nil"/>
            </w:tcBorders>
            <w:shd w:val="clear" w:color="auto" w:fill="auto"/>
            <w:noWrap/>
            <w:vAlign w:val="bottom"/>
          </w:tcPr>
          <w:p w14:paraId="0C05B940" w14:textId="77777777" w:rsidR="00172B81" w:rsidRPr="00537128" w:rsidRDefault="00172B81" w:rsidP="00172B81">
            <w:pPr>
              <w:spacing w:after="0" w:line="140" w:lineRule="exact"/>
              <w:jc w:val="right"/>
              <w:rPr>
                <w:rFonts w:ascii="Calibri" w:eastAsia="Times New Roman" w:hAnsi="Calibri" w:cs="Arial"/>
                <w:sz w:val="18"/>
                <w:szCs w:val="18"/>
                <w:lang w:val="en-US"/>
              </w:rPr>
            </w:pPr>
          </w:p>
        </w:tc>
        <w:tc>
          <w:tcPr>
            <w:tcW w:w="1329" w:type="dxa"/>
            <w:tcBorders>
              <w:left w:val="nil"/>
              <w:bottom w:val="nil"/>
              <w:right w:val="nil"/>
            </w:tcBorders>
            <w:shd w:val="clear" w:color="auto" w:fill="auto"/>
            <w:vAlign w:val="bottom"/>
          </w:tcPr>
          <w:p w14:paraId="52A07F93" w14:textId="77777777" w:rsidR="00172B81" w:rsidRPr="00537128" w:rsidRDefault="00172B81" w:rsidP="00172B81">
            <w:pPr>
              <w:spacing w:after="0" w:line="140" w:lineRule="exact"/>
              <w:jc w:val="right"/>
              <w:rPr>
                <w:rFonts w:ascii="Calibri" w:eastAsia="Times New Roman" w:hAnsi="Calibri" w:cs="Arial"/>
                <w:sz w:val="18"/>
                <w:szCs w:val="18"/>
                <w:lang w:val="en-US"/>
              </w:rPr>
            </w:pPr>
          </w:p>
        </w:tc>
      </w:tr>
      <w:tr w:rsidR="00172B81" w:rsidRPr="00537128" w14:paraId="21A4B048" w14:textId="77777777" w:rsidTr="001E7D22">
        <w:trPr>
          <w:trHeight w:val="147"/>
        </w:trPr>
        <w:tc>
          <w:tcPr>
            <w:tcW w:w="6546" w:type="dxa"/>
            <w:vAlign w:val="bottom"/>
            <w:hideMark/>
          </w:tcPr>
          <w:p w14:paraId="455E5422" w14:textId="77777777" w:rsidR="00172B81" w:rsidRPr="00730472" w:rsidRDefault="00172B81" w:rsidP="00172B81">
            <w:pPr>
              <w:spacing w:after="0" w:line="220" w:lineRule="exact"/>
              <w:rPr>
                <w:rFonts w:ascii="Calibri" w:eastAsia="Times New Roman" w:hAnsi="Calibri" w:cs="Arial"/>
                <w:b/>
                <w:sz w:val="18"/>
                <w:szCs w:val="18"/>
                <w:lang w:val="en-US"/>
              </w:rPr>
            </w:pPr>
            <w:r w:rsidRPr="00730472">
              <w:rPr>
                <w:rFonts w:ascii="Calibri" w:eastAsia="Times New Roman" w:hAnsi="Calibri" w:cs="Arial"/>
                <w:b/>
                <w:sz w:val="18"/>
                <w:szCs w:val="18"/>
                <w:lang w:val="en-US"/>
              </w:rPr>
              <w:t>Changes in operating assets and liabilities:</w:t>
            </w:r>
          </w:p>
        </w:tc>
        <w:tc>
          <w:tcPr>
            <w:tcW w:w="1339" w:type="dxa"/>
            <w:tcBorders>
              <w:top w:val="nil"/>
              <w:left w:val="nil"/>
              <w:bottom w:val="nil"/>
              <w:right w:val="nil"/>
            </w:tcBorders>
            <w:shd w:val="clear" w:color="auto" w:fill="auto"/>
            <w:noWrap/>
            <w:vAlign w:val="bottom"/>
          </w:tcPr>
          <w:p w14:paraId="4ECE69E7" w14:textId="77777777" w:rsidR="00172B81" w:rsidRPr="00537128" w:rsidRDefault="00172B81" w:rsidP="00172B81">
            <w:pPr>
              <w:spacing w:after="0" w:line="220" w:lineRule="exact"/>
              <w:jc w:val="right"/>
              <w:rPr>
                <w:rFonts w:ascii="Calibri" w:eastAsia="Times New Roman" w:hAnsi="Calibri" w:cs="Arial"/>
                <w:sz w:val="18"/>
                <w:szCs w:val="18"/>
                <w:lang w:val="en-US"/>
              </w:rPr>
            </w:pPr>
          </w:p>
        </w:tc>
        <w:tc>
          <w:tcPr>
            <w:tcW w:w="1329" w:type="dxa"/>
            <w:tcBorders>
              <w:top w:val="nil"/>
              <w:left w:val="nil"/>
              <w:bottom w:val="nil"/>
              <w:right w:val="nil"/>
            </w:tcBorders>
            <w:shd w:val="clear" w:color="auto" w:fill="auto"/>
            <w:vAlign w:val="bottom"/>
          </w:tcPr>
          <w:p w14:paraId="5FC19CAE" w14:textId="77777777" w:rsidR="00172B81" w:rsidRPr="00537128" w:rsidRDefault="00172B81" w:rsidP="00172B81">
            <w:pPr>
              <w:spacing w:after="0" w:line="220" w:lineRule="exact"/>
              <w:jc w:val="right"/>
              <w:rPr>
                <w:rFonts w:ascii="Calibri" w:eastAsia="Times New Roman" w:hAnsi="Calibri" w:cs="Arial"/>
                <w:sz w:val="18"/>
                <w:szCs w:val="18"/>
                <w:lang w:val="en-US"/>
              </w:rPr>
            </w:pPr>
          </w:p>
        </w:tc>
      </w:tr>
      <w:tr w:rsidR="00172B81" w:rsidRPr="00537128" w14:paraId="382E49B3" w14:textId="77777777" w:rsidTr="001E7D22">
        <w:trPr>
          <w:trHeight w:val="253"/>
        </w:trPr>
        <w:tc>
          <w:tcPr>
            <w:tcW w:w="6546" w:type="dxa"/>
            <w:vAlign w:val="bottom"/>
            <w:hideMark/>
          </w:tcPr>
          <w:p w14:paraId="460B714E" w14:textId="77777777" w:rsidR="00172B81" w:rsidRPr="00730472" w:rsidRDefault="00172B81" w:rsidP="00172B81">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Net decrease in deposits with other banks</w:t>
            </w:r>
          </w:p>
        </w:tc>
        <w:tc>
          <w:tcPr>
            <w:tcW w:w="1339" w:type="dxa"/>
            <w:tcBorders>
              <w:top w:val="nil"/>
              <w:left w:val="nil"/>
              <w:bottom w:val="nil"/>
              <w:right w:val="nil"/>
            </w:tcBorders>
            <w:shd w:val="clear" w:color="auto" w:fill="auto"/>
            <w:noWrap/>
            <w:vAlign w:val="bottom"/>
          </w:tcPr>
          <w:p w14:paraId="40068B30" w14:textId="01948D30" w:rsidR="00172B81" w:rsidRPr="00537128" w:rsidRDefault="00172B81" w:rsidP="00172B81">
            <w:pPr>
              <w:spacing w:after="0" w:line="220" w:lineRule="exact"/>
              <w:jc w:val="right"/>
              <w:rPr>
                <w:rFonts w:ascii="Calibri" w:eastAsia="Times New Roman" w:hAnsi="Calibri" w:cs="Arial"/>
                <w:sz w:val="18"/>
                <w:szCs w:val="18"/>
                <w:lang w:val="en-US"/>
              </w:rPr>
            </w:pPr>
            <w:r>
              <w:rPr>
                <w:rFonts w:cs="Arial"/>
                <w:color w:val="000000" w:themeColor="text1"/>
                <w:sz w:val="18"/>
                <w:szCs w:val="18"/>
              </w:rPr>
              <w:t>-</w:t>
            </w:r>
          </w:p>
        </w:tc>
        <w:tc>
          <w:tcPr>
            <w:tcW w:w="1329" w:type="dxa"/>
            <w:tcBorders>
              <w:top w:val="nil"/>
              <w:left w:val="nil"/>
              <w:bottom w:val="nil"/>
              <w:right w:val="nil"/>
            </w:tcBorders>
            <w:shd w:val="clear" w:color="auto" w:fill="auto"/>
            <w:vAlign w:val="bottom"/>
          </w:tcPr>
          <w:p w14:paraId="56167FB6" w14:textId="5930D639" w:rsidR="00172B81" w:rsidRPr="00537128" w:rsidRDefault="00172B81" w:rsidP="00172B8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w:t>
            </w:r>
          </w:p>
        </w:tc>
      </w:tr>
      <w:tr w:rsidR="00172B81" w:rsidRPr="00537128" w14:paraId="40B542ED" w14:textId="77777777" w:rsidTr="001E7D22">
        <w:trPr>
          <w:trHeight w:val="253"/>
        </w:trPr>
        <w:tc>
          <w:tcPr>
            <w:tcW w:w="6546" w:type="dxa"/>
            <w:vAlign w:val="bottom"/>
            <w:hideMark/>
          </w:tcPr>
          <w:p w14:paraId="62CE3709" w14:textId="77777777" w:rsidR="00172B81" w:rsidRPr="00730472" w:rsidRDefault="00172B81" w:rsidP="00172B81">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 xml:space="preserve">Net realized </w:t>
            </w:r>
            <w:r w:rsidRPr="00A1123E">
              <w:rPr>
                <w:rFonts w:ascii="Calibri" w:eastAsia="Times New Roman" w:hAnsi="Calibri" w:cs="Arial"/>
                <w:sz w:val="18"/>
                <w:szCs w:val="18"/>
                <w:lang w:val="en-US"/>
              </w:rPr>
              <w:t>(gain)/loss</w:t>
            </w:r>
            <w:r w:rsidRPr="00730472">
              <w:rPr>
                <w:rFonts w:ascii="Calibri" w:eastAsia="Times New Roman" w:hAnsi="Calibri" w:cs="Arial"/>
                <w:sz w:val="18"/>
                <w:szCs w:val="18"/>
                <w:lang w:val="en-US"/>
              </w:rPr>
              <w:t xml:space="preserve"> on assets available for sale</w:t>
            </w:r>
          </w:p>
        </w:tc>
        <w:tc>
          <w:tcPr>
            <w:tcW w:w="1339" w:type="dxa"/>
            <w:tcBorders>
              <w:top w:val="nil"/>
              <w:left w:val="nil"/>
              <w:bottom w:val="nil"/>
              <w:right w:val="nil"/>
            </w:tcBorders>
            <w:shd w:val="clear" w:color="auto" w:fill="auto"/>
            <w:noWrap/>
            <w:vAlign w:val="bottom"/>
          </w:tcPr>
          <w:p w14:paraId="1C223A66" w14:textId="3AF91D77" w:rsidR="00172B81" w:rsidRPr="00537128" w:rsidRDefault="00172B81" w:rsidP="00172B81">
            <w:pPr>
              <w:spacing w:after="0" w:line="220" w:lineRule="exact"/>
              <w:jc w:val="right"/>
              <w:rPr>
                <w:rFonts w:ascii="Calibri" w:eastAsia="Times New Roman" w:hAnsi="Calibri" w:cs="Arial"/>
                <w:sz w:val="18"/>
                <w:szCs w:val="18"/>
                <w:lang w:val="en-US"/>
              </w:rPr>
            </w:pPr>
            <w:r>
              <w:rPr>
                <w:rFonts w:cs="Arial"/>
                <w:color w:val="000000" w:themeColor="text1"/>
                <w:sz w:val="18"/>
                <w:szCs w:val="18"/>
              </w:rPr>
              <w:t>-</w:t>
            </w:r>
          </w:p>
        </w:tc>
        <w:tc>
          <w:tcPr>
            <w:tcW w:w="1329" w:type="dxa"/>
            <w:tcBorders>
              <w:top w:val="nil"/>
              <w:left w:val="nil"/>
              <w:bottom w:val="nil"/>
              <w:right w:val="nil"/>
            </w:tcBorders>
            <w:shd w:val="clear" w:color="auto" w:fill="auto"/>
            <w:vAlign w:val="bottom"/>
          </w:tcPr>
          <w:p w14:paraId="682724A2" w14:textId="61DAFB13" w:rsidR="00172B81" w:rsidRPr="00537128" w:rsidRDefault="00172B81" w:rsidP="00172B8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w:t>
            </w:r>
          </w:p>
        </w:tc>
      </w:tr>
      <w:tr w:rsidR="00172B81" w:rsidRPr="00537128" w14:paraId="4E77624F" w14:textId="77777777" w:rsidTr="009C70BE">
        <w:trPr>
          <w:trHeight w:val="253"/>
        </w:trPr>
        <w:tc>
          <w:tcPr>
            <w:tcW w:w="6546" w:type="dxa"/>
            <w:vAlign w:val="bottom"/>
            <w:hideMark/>
          </w:tcPr>
          <w:p w14:paraId="04D56368" w14:textId="77777777" w:rsidR="00172B81" w:rsidRPr="00730472" w:rsidRDefault="00172B81" w:rsidP="00172B81">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 xml:space="preserve">Decrease of discount in assets available for sale and assets held to maturity </w:t>
            </w:r>
          </w:p>
        </w:tc>
        <w:tc>
          <w:tcPr>
            <w:tcW w:w="1339" w:type="dxa"/>
            <w:tcBorders>
              <w:top w:val="nil"/>
              <w:left w:val="nil"/>
              <w:bottom w:val="nil"/>
              <w:right w:val="nil"/>
            </w:tcBorders>
            <w:shd w:val="clear" w:color="auto" w:fill="auto"/>
            <w:noWrap/>
          </w:tcPr>
          <w:p w14:paraId="09533013" w14:textId="01EC2C76" w:rsidR="00172B81" w:rsidRPr="00537128" w:rsidRDefault="00172B81" w:rsidP="00172B81">
            <w:pPr>
              <w:spacing w:after="0" w:line="220" w:lineRule="exact"/>
              <w:jc w:val="right"/>
              <w:rPr>
                <w:rFonts w:ascii="Calibri" w:eastAsia="Times New Roman" w:hAnsi="Calibri" w:cs="Arial"/>
                <w:sz w:val="18"/>
                <w:szCs w:val="18"/>
                <w:lang w:val="en-US"/>
              </w:rPr>
            </w:pPr>
            <w:r w:rsidRPr="006733B1">
              <w:rPr>
                <w:rFonts w:ascii="Calibri" w:hAnsi="Calibri" w:cs="Arial"/>
                <w:color w:val="000000"/>
                <w:sz w:val="18"/>
                <w:szCs w:val="18"/>
              </w:rPr>
              <w:t>16</w:t>
            </w:r>
          </w:p>
        </w:tc>
        <w:tc>
          <w:tcPr>
            <w:tcW w:w="1329" w:type="dxa"/>
            <w:tcBorders>
              <w:top w:val="nil"/>
              <w:left w:val="nil"/>
              <w:bottom w:val="nil"/>
              <w:right w:val="nil"/>
            </w:tcBorders>
            <w:shd w:val="clear" w:color="auto" w:fill="auto"/>
            <w:vAlign w:val="bottom"/>
          </w:tcPr>
          <w:p w14:paraId="57681195" w14:textId="0EAB8C78" w:rsidR="00172B81" w:rsidRPr="00537128" w:rsidRDefault="00172B81" w:rsidP="00172B8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23</w:t>
            </w:r>
          </w:p>
        </w:tc>
      </w:tr>
      <w:tr w:rsidR="00172B81" w:rsidRPr="00537128" w14:paraId="59F1CD7A" w14:textId="77777777" w:rsidTr="009C70BE">
        <w:trPr>
          <w:trHeight w:val="253"/>
        </w:trPr>
        <w:tc>
          <w:tcPr>
            <w:tcW w:w="6546" w:type="dxa"/>
            <w:vAlign w:val="bottom"/>
            <w:hideMark/>
          </w:tcPr>
          <w:p w14:paraId="55036117" w14:textId="77777777" w:rsidR="00172B81" w:rsidRPr="00730472" w:rsidRDefault="00172B81" w:rsidP="00172B81">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Net gain on financial assets at fair value through profit or loss</w:t>
            </w:r>
          </w:p>
        </w:tc>
        <w:tc>
          <w:tcPr>
            <w:tcW w:w="1339" w:type="dxa"/>
            <w:tcBorders>
              <w:top w:val="nil"/>
              <w:left w:val="nil"/>
              <w:bottom w:val="nil"/>
              <w:right w:val="nil"/>
            </w:tcBorders>
            <w:shd w:val="clear" w:color="auto" w:fill="auto"/>
            <w:noWrap/>
          </w:tcPr>
          <w:p w14:paraId="7DB09AE0" w14:textId="5C725BB8" w:rsidR="00172B81" w:rsidRPr="00537128" w:rsidRDefault="00172B81" w:rsidP="00172B8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w:t>
            </w:r>
          </w:p>
        </w:tc>
        <w:tc>
          <w:tcPr>
            <w:tcW w:w="1329" w:type="dxa"/>
            <w:tcBorders>
              <w:top w:val="nil"/>
              <w:left w:val="nil"/>
              <w:bottom w:val="nil"/>
              <w:right w:val="nil"/>
            </w:tcBorders>
            <w:shd w:val="clear" w:color="auto" w:fill="auto"/>
            <w:vAlign w:val="bottom"/>
          </w:tcPr>
          <w:p w14:paraId="7B327650" w14:textId="2105912E" w:rsidR="00172B81" w:rsidRPr="00537128" w:rsidRDefault="00172B81" w:rsidP="00172B8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0</w:t>
            </w:r>
          </w:p>
        </w:tc>
      </w:tr>
      <w:tr w:rsidR="00172B81" w:rsidRPr="00537128" w14:paraId="08323186" w14:textId="77777777" w:rsidTr="009C70BE">
        <w:trPr>
          <w:trHeight w:val="253"/>
        </w:trPr>
        <w:tc>
          <w:tcPr>
            <w:tcW w:w="6546" w:type="dxa"/>
            <w:vAlign w:val="bottom"/>
            <w:hideMark/>
          </w:tcPr>
          <w:p w14:paraId="2C64A93F" w14:textId="77777777" w:rsidR="00172B81" w:rsidRPr="00730472" w:rsidRDefault="00172B81" w:rsidP="00172B81">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Premium receivables</w:t>
            </w:r>
          </w:p>
        </w:tc>
        <w:tc>
          <w:tcPr>
            <w:tcW w:w="1339" w:type="dxa"/>
            <w:tcBorders>
              <w:top w:val="nil"/>
              <w:left w:val="nil"/>
              <w:bottom w:val="nil"/>
              <w:right w:val="nil"/>
            </w:tcBorders>
            <w:shd w:val="clear" w:color="auto" w:fill="auto"/>
            <w:noWrap/>
          </w:tcPr>
          <w:p w14:paraId="2CBDAD41" w14:textId="2A358C2C" w:rsidR="00172B81" w:rsidRPr="00537128" w:rsidRDefault="00172B81" w:rsidP="00172B81">
            <w:pPr>
              <w:spacing w:after="0" w:line="220" w:lineRule="exact"/>
              <w:jc w:val="right"/>
              <w:rPr>
                <w:rFonts w:ascii="Calibri" w:eastAsia="Times New Roman" w:hAnsi="Calibri" w:cs="Arial"/>
                <w:sz w:val="18"/>
                <w:szCs w:val="18"/>
                <w:lang w:val="en-US"/>
              </w:rPr>
            </w:pPr>
            <w:r w:rsidRPr="006733B1">
              <w:rPr>
                <w:rFonts w:ascii="Calibri" w:hAnsi="Calibri" w:cs="Arial"/>
                <w:color w:val="000000"/>
                <w:sz w:val="18"/>
                <w:szCs w:val="18"/>
              </w:rPr>
              <w:t xml:space="preserve"> (356)</w:t>
            </w:r>
          </w:p>
        </w:tc>
        <w:tc>
          <w:tcPr>
            <w:tcW w:w="1329" w:type="dxa"/>
            <w:tcBorders>
              <w:top w:val="nil"/>
              <w:left w:val="nil"/>
              <w:bottom w:val="nil"/>
              <w:right w:val="nil"/>
            </w:tcBorders>
            <w:shd w:val="clear" w:color="auto" w:fill="auto"/>
            <w:vAlign w:val="bottom"/>
          </w:tcPr>
          <w:p w14:paraId="03AC6884" w14:textId="15922D0E" w:rsidR="00172B81" w:rsidRPr="00537128" w:rsidRDefault="00172B81" w:rsidP="00172B8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788</w:t>
            </w:r>
          </w:p>
        </w:tc>
      </w:tr>
      <w:tr w:rsidR="00172B81" w:rsidRPr="00537128" w14:paraId="4F158C50" w14:textId="77777777" w:rsidTr="009C70BE">
        <w:trPr>
          <w:trHeight w:val="253"/>
        </w:trPr>
        <w:tc>
          <w:tcPr>
            <w:tcW w:w="6546" w:type="dxa"/>
            <w:vAlign w:val="bottom"/>
            <w:hideMark/>
          </w:tcPr>
          <w:p w14:paraId="08A2A38C" w14:textId="77777777" w:rsidR="00172B81" w:rsidRPr="00730472" w:rsidRDefault="00172B81" w:rsidP="00172B81">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 xml:space="preserve">Net </w:t>
            </w:r>
            <w:r w:rsidRPr="00A1123E">
              <w:rPr>
                <w:rFonts w:ascii="Calibri" w:eastAsia="Times New Roman" w:hAnsi="Calibri" w:cs="Arial"/>
                <w:sz w:val="18"/>
                <w:szCs w:val="18"/>
                <w:lang w:val="en-US"/>
              </w:rPr>
              <w:t>decrease/(increase)</w:t>
            </w:r>
            <w:r w:rsidRPr="00730472">
              <w:rPr>
                <w:rFonts w:ascii="Calibri" w:eastAsia="Times New Roman" w:hAnsi="Calibri" w:cs="Arial"/>
                <w:sz w:val="18"/>
                <w:szCs w:val="18"/>
                <w:lang w:val="en-US"/>
              </w:rPr>
              <w:t xml:space="preserve"> in other assets</w:t>
            </w:r>
          </w:p>
        </w:tc>
        <w:tc>
          <w:tcPr>
            <w:tcW w:w="1339" w:type="dxa"/>
            <w:tcBorders>
              <w:top w:val="nil"/>
              <w:left w:val="nil"/>
              <w:bottom w:val="nil"/>
              <w:right w:val="nil"/>
            </w:tcBorders>
            <w:shd w:val="clear" w:color="auto" w:fill="auto"/>
            <w:noWrap/>
          </w:tcPr>
          <w:p w14:paraId="6268D85F" w14:textId="634F34CC" w:rsidR="00172B81" w:rsidRPr="00537128" w:rsidRDefault="00172B81" w:rsidP="00172B81">
            <w:pPr>
              <w:spacing w:after="0" w:line="220" w:lineRule="exact"/>
              <w:jc w:val="right"/>
              <w:rPr>
                <w:rFonts w:ascii="Calibri" w:eastAsia="Times New Roman" w:hAnsi="Calibri" w:cs="Arial"/>
                <w:sz w:val="18"/>
                <w:szCs w:val="18"/>
                <w:lang w:val="en-US"/>
              </w:rPr>
            </w:pPr>
            <w:r w:rsidRPr="006733B1">
              <w:rPr>
                <w:rFonts w:ascii="Calibri" w:hAnsi="Calibri" w:cs="Arial"/>
                <w:color w:val="000000"/>
                <w:sz w:val="18"/>
                <w:szCs w:val="18"/>
              </w:rPr>
              <w:t xml:space="preserve"> (16)</w:t>
            </w:r>
          </w:p>
        </w:tc>
        <w:tc>
          <w:tcPr>
            <w:tcW w:w="1329" w:type="dxa"/>
            <w:tcBorders>
              <w:top w:val="nil"/>
              <w:left w:val="nil"/>
              <w:bottom w:val="nil"/>
              <w:right w:val="nil"/>
            </w:tcBorders>
            <w:shd w:val="clear" w:color="auto" w:fill="auto"/>
            <w:vAlign w:val="bottom"/>
          </w:tcPr>
          <w:p w14:paraId="6B419C49" w14:textId="12EDB2C7" w:rsidR="00172B81" w:rsidRPr="00537128" w:rsidRDefault="00172B81" w:rsidP="00172B8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(36)</w:t>
            </w:r>
          </w:p>
        </w:tc>
      </w:tr>
      <w:tr w:rsidR="00172B81" w:rsidRPr="00537128" w14:paraId="030F72ED" w14:textId="77777777" w:rsidTr="009C70BE">
        <w:trPr>
          <w:trHeight w:val="253"/>
        </w:trPr>
        <w:tc>
          <w:tcPr>
            <w:tcW w:w="6546" w:type="dxa"/>
            <w:vAlign w:val="bottom"/>
            <w:hideMark/>
          </w:tcPr>
          <w:p w14:paraId="08B4B334" w14:textId="77777777" w:rsidR="00172B81" w:rsidRPr="00730472" w:rsidRDefault="00172B81" w:rsidP="00172B81">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 xml:space="preserve">Net decrease of assets and liabilities from insurance operations </w:t>
            </w:r>
          </w:p>
        </w:tc>
        <w:tc>
          <w:tcPr>
            <w:tcW w:w="1339" w:type="dxa"/>
            <w:tcBorders>
              <w:top w:val="nil"/>
              <w:left w:val="nil"/>
              <w:bottom w:val="nil"/>
              <w:right w:val="nil"/>
            </w:tcBorders>
            <w:shd w:val="clear" w:color="auto" w:fill="auto"/>
            <w:noWrap/>
          </w:tcPr>
          <w:p w14:paraId="174B9913" w14:textId="2AAA20AE" w:rsidR="00172B81" w:rsidRPr="00537128" w:rsidRDefault="00172B81" w:rsidP="00172B81">
            <w:pPr>
              <w:spacing w:after="0" w:line="220" w:lineRule="exact"/>
              <w:jc w:val="right"/>
              <w:rPr>
                <w:rFonts w:ascii="Calibri" w:eastAsia="Times New Roman" w:hAnsi="Calibri" w:cs="Arial"/>
                <w:sz w:val="18"/>
                <w:szCs w:val="18"/>
                <w:lang w:val="en-US"/>
              </w:rPr>
            </w:pPr>
            <w:r w:rsidRPr="006733B1">
              <w:rPr>
                <w:rFonts w:ascii="Calibri" w:hAnsi="Calibri" w:cs="Arial"/>
                <w:color w:val="000000"/>
                <w:sz w:val="18"/>
                <w:szCs w:val="18"/>
              </w:rPr>
              <w:t>1</w:t>
            </w:r>
            <w:r>
              <w:rPr>
                <w:rFonts w:ascii="Calibri" w:hAnsi="Calibri" w:cs="Arial"/>
                <w:color w:val="000000"/>
                <w:sz w:val="18"/>
                <w:szCs w:val="18"/>
              </w:rPr>
              <w:t>,</w:t>
            </w:r>
            <w:r w:rsidRPr="006733B1">
              <w:rPr>
                <w:rFonts w:ascii="Calibri" w:hAnsi="Calibri" w:cs="Arial"/>
                <w:color w:val="000000"/>
                <w:sz w:val="18"/>
                <w:szCs w:val="18"/>
              </w:rPr>
              <w:t>999</w:t>
            </w:r>
          </w:p>
        </w:tc>
        <w:tc>
          <w:tcPr>
            <w:tcW w:w="1329" w:type="dxa"/>
            <w:tcBorders>
              <w:top w:val="nil"/>
              <w:left w:val="nil"/>
              <w:bottom w:val="nil"/>
              <w:right w:val="nil"/>
            </w:tcBorders>
            <w:shd w:val="clear" w:color="auto" w:fill="auto"/>
            <w:vAlign w:val="bottom"/>
          </w:tcPr>
          <w:p w14:paraId="4A3C36CF" w14:textId="6FE1302F" w:rsidR="00172B81" w:rsidRPr="00537128" w:rsidRDefault="00172B81" w:rsidP="00172B8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(1,814)</w:t>
            </w:r>
          </w:p>
        </w:tc>
      </w:tr>
      <w:tr w:rsidR="00172B81" w:rsidRPr="00537128" w14:paraId="7629215A" w14:textId="77777777" w:rsidTr="009C70BE">
        <w:trPr>
          <w:trHeight w:val="253"/>
        </w:trPr>
        <w:tc>
          <w:tcPr>
            <w:tcW w:w="6546" w:type="dxa"/>
            <w:vAlign w:val="bottom"/>
            <w:hideMark/>
          </w:tcPr>
          <w:p w14:paraId="02B8ABC5" w14:textId="77777777" w:rsidR="00172B81" w:rsidRPr="00730472" w:rsidRDefault="00172B81" w:rsidP="00172B81">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Net increase in technical provisions</w:t>
            </w:r>
          </w:p>
        </w:tc>
        <w:tc>
          <w:tcPr>
            <w:tcW w:w="1339" w:type="dxa"/>
            <w:tcBorders>
              <w:top w:val="nil"/>
              <w:left w:val="nil"/>
              <w:bottom w:val="nil"/>
              <w:right w:val="nil"/>
            </w:tcBorders>
            <w:shd w:val="clear" w:color="auto" w:fill="auto"/>
            <w:noWrap/>
          </w:tcPr>
          <w:p w14:paraId="01A2447E" w14:textId="3865FF77" w:rsidR="00172B81" w:rsidRPr="00537128" w:rsidRDefault="00172B81" w:rsidP="00172B81">
            <w:pPr>
              <w:spacing w:after="0" w:line="220" w:lineRule="exact"/>
              <w:jc w:val="right"/>
              <w:rPr>
                <w:rFonts w:ascii="Calibri" w:eastAsia="Times New Roman" w:hAnsi="Calibri" w:cs="Arial"/>
                <w:sz w:val="18"/>
                <w:szCs w:val="18"/>
                <w:lang w:val="en-US"/>
              </w:rPr>
            </w:pPr>
            <w:r w:rsidRPr="006733B1">
              <w:rPr>
                <w:rFonts w:ascii="Calibri" w:hAnsi="Calibri" w:cs="Arial"/>
                <w:color w:val="000000"/>
                <w:sz w:val="18"/>
                <w:szCs w:val="18"/>
              </w:rPr>
              <w:t>2</w:t>
            </w:r>
            <w:r>
              <w:rPr>
                <w:rFonts w:ascii="Calibri" w:hAnsi="Calibri" w:cs="Arial"/>
                <w:color w:val="000000"/>
                <w:sz w:val="18"/>
                <w:szCs w:val="18"/>
              </w:rPr>
              <w:t>,</w:t>
            </w:r>
            <w:r w:rsidRPr="006733B1">
              <w:rPr>
                <w:rFonts w:ascii="Calibri" w:hAnsi="Calibri" w:cs="Arial"/>
                <w:color w:val="000000"/>
                <w:sz w:val="18"/>
                <w:szCs w:val="18"/>
              </w:rPr>
              <w:t>025</w:t>
            </w:r>
          </w:p>
        </w:tc>
        <w:tc>
          <w:tcPr>
            <w:tcW w:w="1329" w:type="dxa"/>
            <w:tcBorders>
              <w:top w:val="nil"/>
              <w:left w:val="nil"/>
              <w:bottom w:val="nil"/>
              <w:right w:val="nil"/>
            </w:tcBorders>
            <w:shd w:val="clear" w:color="auto" w:fill="auto"/>
            <w:vAlign w:val="bottom"/>
          </w:tcPr>
          <w:p w14:paraId="492A486C" w14:textId="52D8A932" w:rsidR="00172B81" w:rsidRPr="00537128" w:rsidRDefault="00172B81" w:rsidP="00172B8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218</w:t>
            </w:r>
          </w:p>
        </w:tc>
      </w:tr>
      <w:tr w:rsidR="00172B81" w:rsidRPr="00537128" w14:paraId="509EC721" w14:textId="77777777" w:rsidTr="009C70BE">
        <w:trPr>
          <w:trHeight w:val="253"/>
        </w:trPr>
        <w:tc>
          <w:tcPr>
            <w:tcW w:w="6546" w:type="dxa"/>
            <w:vAlign w:val="bottom"/>
            <w:hideMark/>
          </w:tcPr>
          <w:p w14:paraId="22F16837" w14:textId="77777777" w:rsidR="00172B81" w:rsidRPr="00730472" w:rsidRDefault="00172B81" w:rsidP="00172B81">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Net increase in other liabilities</w:t>
            </w:r>
          </w:p>
        </w:tc>
        <w:tc>
          <w:tcPr>
            <w:tcW w:w="1339" w:type="dxa"/>
            <w:tcBorders>
              <w:top w:val="nil"/>
              <w:left w:val="nil"/>
              <w:bottom w:val="single" w:sz="4" w:space="0" w:color="auto"/>
              <w:right w:val="nil"/>
            </w:tcBorders>
            <w:shd w:val="clear" w:color="auto" w:fill="auto"/>
            <w:noWrap/>
          </w:tcPr>
          <w:p w14:paraId="2237DCD3" w14:textId="76DEF512" w:rsidR="00172B81" w:rsidRPr="00537128" w:rsidRDefault="00172B81" w:rsidP="00172B81">
            <w:pPr>
              <w:spacing w:after="0" w:line="220" w:lineRule="exact"/>
              <w:jc w:val="right"/>
              <w:rPr>
                <w:rFonts w:ascii="Calibri" w:eastAsia="Times New Roman" w:hAnsi="Calibri" w:cs="Arial"/>
                <w:sz w:val="18"/>
                <w:szCs w:val="18"/>
                <w:lang w:val="en-US"/>
              </w:rPr>
            </w:pPr>
            <w:r w:rsidRPr="006733B1">
              <w:rPr>
                <w:rFonts w:ascii="Calibri" w:hAnsi="Calibri" w:cs="Arial"/>
                <w:color w:val="000000"/>
                <w:sz w:val="18"/>
                <w:szCs w:val="18"/>
              </w:rPr>
              <w:t xml:space="preserve"> (421)</w:t>
            </w:r>
          </w:p>
        </w:tc>
        <w:tc>
          <w:tcPr>
            <w:tcW w:w="1329" w:type="dxa"/>
            <w:tcBorders>
              <w:top w:val="nil"/>
              <w:left w:val="nil"/>
              <w:bottom w:val="single" w:sz="4" w:space="0" w:color="auto"/>
              <w:right w:val="nil"/>
            </w:tcBorders>
            <w:shd w:val="clear" w:color="auto" w:fill="auto"/>
            <w:vAlign w:val="bottom"/>
          </w:tcPr>
          <w:p w14:paraId="541F5222" w14:textId="0E993E95" w:rsidR="00172B81" w:rsidRPr="00537128" w:rsidRDefault="00172B81" w:rsidP="00172B8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38</w:t>
            </w:r>
          </w:p>
        </w:tc>
      </w:tr>
      <w:tr w:rsidR="00172B81" w:rsidRPr="00537128" w14:paraId="4E015D72" w14:textId="77777777" w:rsidTr="009C70BE">
        <w:trPr>
          <w:trHeight w:val="189"/>
        </w:trPr>
        <w:tc>
          <w:tcPr>
            <w:tcW w:w="6546" w:type="dxa"/>
            <w:vAlign w:val="bottom"/>
            <w:hideMark/>
          </w:tcPr>
          <w:p w14:paraId="764A2297" w14:textId="792F97F4" w:rsidR="00172B81" w:rsidRPr="00730472" w:rsidRDefault="00172B81" w:rsidP="00172B81">
            <w:pPr>
              <w:spacing w:after="0" w:line="220" w:lineRule="exact"/>
              <w:rPr>
                <w:rFonts w:ascii="Calibri" w:eastAsia="Times New Roman" w:hAnsi="Calibri" w:cs="Arial"/>
                <w:b/>
                <w:bCs/>
                <w:sz w:val="18"/>
                <w:szCs w:val="18"/>
                <w:lang w:val="en-US"/>
              </w:rPr>
            </w:pPr>
            <w:r w:rsidRPr="00730472">
              <w:rPr>
                <w:rFonts w:ascii="Calibri" w:eastAsia="Times New Roman" w:hAnsi="Calibri" w:cs="Arial"/>
                <w:b/>
                <w:bCs/>
                <w:sz w:val="18"/>
                <w:szCs w:val="18"/>
                <w:lang w:val="en-US"/>
              </w:rPr>
              <w:t xml:space="preserve">Net cash </w:t>
            </w:r>
            <w:r w:rsidRPr="00A1123E">
              <w:rPr>
                <w:rFonts w:ascii="Calibri" w:eastAsia="Times New Roman" w:hAnsi="Calibri" w:cs="Arial"/>
                <w:b/>
                <w:bCs/>
                <w:sz w:val="18"/>
                <w:szCs w:val="18"/>
                <w:lang w:val="en-US"/>
              </w:rPr>
              <w:t>provided from</w:t>
            </w:r>
            <w:r w:rsidRPr="00730472">
              <w:rPr>
                <w:rFonts w:ascii="Calibri" w:eastAsia="Times New Roman" w:hAnsi="Calibri" w:cs="Arial"/>
                <w:b/>
                <w:bCs/>
                <w:sz w:val="18"/>
                <w:szCs w:val="18"/>
                <w:lang w:val="en-US"/>
              </w:rPr>
              <w:t xml:space="preserve"> operating activities</w:t>
            </w:r>
          </w:p>
        </w:tc>
        <w:tc>
          <w:tcPr>
            <w:tcW w:w="1339" w:type="dxa"/>
            <w:tcBorders>
              <w:top w:val="single" w:sz="4" w:space="0" w:color="auto"/>
              <w:left w:val="nil"/>
              <w:right w:val="nil"/>
            </w:tcBorders>
            <w:shd w:val="clear" w:color="auto" w:fill="auto"/>
            <w:noWrap/>
          </w:tcPr>
          <w:p w14:paraId="151DE063" w14:textId="57D8219C" w:rsidR="00172B81" w:rsidRPr="00537128" w:rsidRDefault="00172B81" w:rsidP="00172B81">
            <w:pPr>
              <w:spacing w:after="0" w:line="220" w:lineRule="exact"/>
              <w:jc w:val="right"/>
              <w:rPr>
                <w:rFonts w:ascii="Calibri" w:eastAsia="Times New Roman" w:hAnsi="Calibri" w:cs="Arial"/>
                <w:b/>
                <w:bCs/>
                <w:sz w:val="18"/>
                <w:szCs w:val="18"/>
                <w:lang w:val="en-US"/>
              </w:rPr>
            </w:pPr>
            <w:r w:rsidRPr="006733B1">
              <w:rPr>
                <w:rFonts w:ascii="Calibri" w:hAnsi="Calibri" w:cs="Arial"/>
                <w:b/>
                <w:bCs/>
                <w:color w:val="000000"/>
                <w:sz w:val="18"/>
                <w:szCs w:val="18"/>
              </w:rPr>
              <w:t>3</w:t>
            </w:r>
            <w:r>
              <w:rPr>
                <w:rFonts w:ascii="Calibri" w:hAnsi="Calibri" w:cs="Arial"/>
                <w:b/>
                <w:bCs/>
                <w:color w:val="000000"/>
                <w:sz w:val="18"/>
                <w:szCs w:val="18"/>
              </w:rPr>
              <w:t>,</w:t>
            </w:r>
            <w:r w:rsidRPr="006733B1">
              <w:rPr>
                <w:rFonts w:ascii="Calibri" w:hAnsi="Calibri" w:cs="Arial"/>
                <w:b/>
                <w:bCs/>
                <w:color w:val="000000"/>
                <w:sz w:val="18"/>
                <w:szCs w:val="18"/>
              </w:rPr>
              <w:t>249</w:t>
            </w:r>
          </w:p>
        </w:tc>
        <w:tc>
          <w:tcPr>
            <w:tcW w:w="1329" w:type="dxa"/>
            <w:tcBorders>
              <w:top w:val="single" w:sz="4" w:space="0" w:color="auto"/>
              <w:left w:val="nil"/>
              <w:right w:val="nil"/>
            </w:tcBorders>
            <w:shd w:val="clear" w:color="auto" w:fill="auto"/>
            <w:vAlign w:val="bottom"/>
          </w:tcPr>
          <w:p w14:paraId="3635EE3D" w14:textId="04B1A87A" w:rsidR="00172B81" w:rsidRPr="00537128" w:rsidRDefault="00172B81" w:rsidP="00172B81">
            <w:pPr>
              <w:spacing w:after="0" w:line="220" w:lineRule="exact"/>
              <w:jc w:val="right"/>
              <w:rPr>
                <w:rFonts w:ascii="Calibri" w:eastAsia="Times New Roman" w:hAnsi="Calibri" w:cs="Arial"/>
                <w:b/>
                <w:bCs/>
                <w:sz w:val="18"/>
                <w:szCs w:val="18"/>
                <w:lang w:val="en-US"/>
              </w:rPr>
            </w:pPr>
            <w:r>
              <w:rPr>
                <w:rFonts w:ascii="Calibri" w:hAnsi="Calibri" w:cs="Arial"/>
                <w:b/>
                <w:bCs/>
                <w:color w:val="000000"/>
                <w:sz w:val="18"/>
                <w:szCs w:val="18"/>
              </w:rPr>
              <w:t>233</w:t>
            </w:r>
          </w:p>
        </w:tc>
      </w:tr>
      <w:tr w:rsidR="00172B81" w:rsidRPr="00537128" w14:paraId="1A12C8A2" w14:textId="77777777" w:rsidTr="001E7D22">
        <w:trPr>
          <w:trHeight w:val="73"/>
        </w:trPr>
        <w:tc>
          <w:tcPr>
            <w:tcW w:w="6546" w:type="dxa"/>
            <w:vAlign w:val="bottom"/>
          </w:tcPr>
          <w:p w14:paraId="256ABC9A" w14:textId="77777777" w:rsidR="00172B81" w:rsidRPr="00730472" w:rsidRDefault="00172B81" w:rsidP="00172B81">
            <w:pPr>
              <w:spacing w:after="0" w:line="140" w:lineRule="exact"/>
              <w:rPr>
                <w:rFonts w:ascii="Calibri" w:eastAsia="Times New Roman" w:hAnsi="Calibri" w:cs="Arial"/>
                <w:sz w:val="18"/>
                <w:szCs w:val="18"/>
                <w:lang w:val="en-US"/>
              </w:rPr>
            </w:pPr>
          </w:p>
        </w:tc>
        <w:tc>
          <w:tcPr>
            <w:tcW w:w="1339" w:type="dxa"/>
            <w:tcBorders>
              <w:top w:val="single" w:sz="12" w:space="0" w:color="auto"/>
              <w:left w:val="nil"/>
              <w:right w:val="nil"/>
            </w:tcBorders>
            <w:shd w:val="clear" w:color="auto" w:fill="auto"/>
            <w:noWrap/>
            <w:vAlign w:val="bottom"/>
          </w:tcPr>
          <w:p w14:paraId="0AD21FCA" w14:textId="77777777" w:rsidR="00172B81" w:rsidRPr="00537128" w:rsidRDefault="00172B81" w:rsidP="00172B81">
            <w:pPr>
              <w:spacing w:after="0" w:line="140" w:lineRule="exact"/>
              <w:jc w:val="right"/>
              <w:rPr>
                <w:rFonts w:ascii="Calibri" w:eastAsia="Times New Roman" w:hAnsi="Calibri" w:cs="Arial"/>
                <w:bCs/>
                <w:sz w:val="18"/>
                <w:szCs w:val="18"/>
                <w:lang w:val="en-US"/>
              </w:rPr>
            </w:pPr>
          </w:p>
        </w:tc>
        <w:tc>
          <w:tcPr>
            <w:tcW w:w="1329" w:type="dxa"/>
            <w:tcBorders>
              <w:top w:val="single" w:sz="12" w:space="0" w:color="auto"/>
              <w:left w:val="nil"/>
              <w:right w:val="nil"/>
            </w:tcBorders>
            <w:shd w:val="clear" w:color="auto" w:fill="auto"/>
            <w:vAlign w:val="bottom"/>
          </w:tcPr>
          <w:p w14:paraId="3A1A3291" w14:textId="77777777" w:rsidR="00172B81" w:rsidRPr="00537128" w:rsidRDefault="00172B81" w:rsidP="00172B81">
            <w:pPr>
              <w:spacing w:after="0" w:line="140" w:lineRule="exact"/>
              <w:jc w:val="right"/>
              <w:rPr>
                <w:rFonts w:ascii="Calibri" w:eastAsia="Times New Roman" w:hAnsi="Calibri" w:cs="Arial"/>
                <w:bCs/>
                <w:sz w:val="18"/>
                <w:szCs w:val="18"/>
                <w:lang w:val="en-US"/>
              </w:rPr>
            </w:pPr>
          </w:p>
        </w:tc>
      </w:tr>
      <w:tr w:rsidR="00172B81" w:rsidRPr="00537128" w14:paraId="659A8747" w14:textId="77777777" w:rsidTr="001E7D22">
        <w:trPr>
          <w:trHeight w:val="195"/>
        </w:trPr>
        <w:tc>
          <w:tcPr>
            <w:tcW w:w="6546" w:type="dxa"/>
            <w:vAlign w:val="bottom"/>
            <w:hideMark/>
          </w:tcPr>
          <w:p w14:paraId="5DA7AE2A" w14:textId="77777777" w:rsidR="00172B81" w:rsidRPr="00730472" w:rsidRDefault="00172B81" w:rsidP="00172B81">
            <w:pPr>
              <w:spacing w:after="0" w:line="220" w:lineRule="exact"/>
              <w:rPr>
                <w:rFonts w:ascii="Calibri" w:eastAsia="Times New Roman" w:hAnsi="Calibri" w:cs="Arial"/>
                <w:b/>
                <w:sz w:val="18"/>
                <w:szCs w:val="18"/>
                <w:lang w:val="en-US"/>
              </w:rPr>
            </w:pPr>
            <w:r w:rsidRPr="00730472">
              <w:rPr>
                <w:rFonts w:ascii="Calibri" w:eastAsia="Times New Roman" w:hAnsi="Calibri" w:cs="Arial"/>
                <w:b/>
                <w:sz w:val="18"/>
                <w:szCs w:val="18"/>
                <w:lang w:val="en-US"/>
              </w:rPr>
              <w:t>Investment activities</w:t>
            </w:r>
          </w:p>
        </w:tc>
        <w:tc>
          <w:tcPr>
            <w:tcW w:w="1339" w:type="dxa"/>
            <w:tcBorders>
              <w:left w:val="nil"/>
              <w:bottom w:val="nil"/>
              <w:right w:val="nil"/>
            </w:tcBorders>
            <w:shd w:val="clear" w:color="auto" w:fill="auto"/>
            <w:noWrap/>
            <w:vAlign w:val="bottom"/>
          </w:tcPr>
          <w:p w14:paraId="04D16DC2" w14:textId="77777777" w:rsidR="00172B81" w:rsidRPr="00537128" w:rsidRDefault="00172B81" w:rsidP="00172B81">
            <w:pPr>
              <w:spacing w:after="0" w:line="220" w:lineRule="exact"/>
              <w:jc w:val="right"/>
              <w:rPr>
                <w:rFonts w:ascii="Calibri" w:eastAsia="Times New Roman" w:hAnsi="Calibri" w:cs="Arial"/>
                <w:bCs/>
                <w:sz w:val="18"/>
                <w:szCs w:val="18"/>
                <w:lang w:val="en-US"/>
              </w:rPr>
            </w:pPr>
          </w:p>
        </w:tc>
        <w:tc>
          <w:tcPr>
            <w:tcW w:w="1329" w:type="dxa"/>
            <w:tcBorders>
              <w:left w:val="nil"/>
              <w:bottom w:val="nil"/>
              <w:right w:val="nil"/>
            </w:tcBorders>
            <w:shd w:val="clear" w:color="auto" w:fill="auto"/>
            <w:vAlign w:val="bottom"/>
          </w:tcPr>
          <w:p w14:paraId="716C5F8D" w14:textId="77777777" w:rsidR="00172B81" w:rsidRPr="00537128" w:rsidRDefault="00172B81" w:rsidP="00172B81">
            <w:pPr>
              <w:spacing w:after="0" w:line="220" w:lineRule="exact"/>
              <w:jc w:val="right"/>
              <w:rPr>
                <w:rFonts w:ascii="Calibri" w:eastAsia="Times New Roman" w:hAnsi="Calibri" w:cs="Arial"/>
                <w:bCs/>
                <w:sz w:val="18"/>
                <w:szCs w:val="18"/>
                <w:lang w:val="en-US"/>
              </w:rPr>
            </w:pPr>
          </w:p>
        </w:tc>
      </w:tr>
      <w:tr w:rsidR="00172B81" w:rsidRPr="00537128" w14:paraId="3C13844B" w14:textId="77777777" w:rsidTr="001E7D22">
        <w:trPr>
          <w:trHeight w:val="185"/>
        </w:trPr>
        <w:tc>
          <w:tcPr>
            <w:tcW w:w="6546" w:type="dxa"/>
            <w:vAlign w:val="bottom"/>
            <w:hideMark/>
          </w:tcPr>
          <w:p w14:paraId="74448DB9" w14:textId="77777777" w:rsidR="00172B81" w:rsidRPr="00730472" w:rsidRDefault="00172B81" w:rsidP="00172B81">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Net purchase of financial assets at fair value through profit or loss</w:t>
            </w:r>
          </w:p>
        </w:tc>
        <w:tc>
          <w:tcPr>
            <w:tcW w:w="1339" w:type="dxa"/>
            <w:tcBorders>
              <w:top w:val="nil"/>
              <w:left w:val="nil"/>
              <w:right w:val="nil"/>
            </w:tcBorders>
            <w:shd w:val="clear" w:color="auto" w:fill="auto"/>
            <w:noWrap/>
            <w:vAlign w:val="bottom"/>
          </w:tcPr>
          <w:p w14:paraId="04FDF7BC" w14:textId="0A28823E" w:rsidR="00172B81" w:rsidRPr="00537128" w:rsidRDefault="00172B81" w:rsidP="00172B81">
            <w:pPr>
              <w:spacing w:after="0" w:line="220" w:lineRule="exact"/>
              <w:jc w:val="right"/>
              <w:rPr>
                <w:rFonts w:ascii="Calibri" w:eastAsia="Times New Roman" w:hAnsi="Calibri" w:cs="Arial"/>
                <w:sz w:val="18"/>
                <w:szCs w:val="18"/>
                <w:lang w:val="en-US"/>
              </w:rPr>
            </w:pPr>
            <w:r>
              <w:rPr>
                <w:rFonts w:cs="Arial"/>
                <w:color w:val="000000" w:themeColor="text1"/>
                <w:sz w:val="18"/>
                <w:szCs w:val="18"/>
              </w:rPr>
              <w:t>-</w:t>
            </w:r>
          </w:p>
        </w:tc>
        <w:tc>
          <w:tcPr>
            <w:tcW w:w="1329" w:type="dxa"/>
            <w:tcBorders>
              <w:top w:val="nil"/>
              <w:left w:val="nil"/>
              <w:right w:val="nil"/>
            </w:tcBorders>
            <w:shd w:val="clear" w:color="auto" w:fill="auto"/>
            <w:vAlign w:val="bottom"/>
          </w:tcPr>
          <w:p w14:paraId="1E158EC9" w14:textId="6241EBC7" w:rsidR="00172B81" w:rsidRPr="00537128" w:rsidRDefault="00172B81" w:rsidP="00172B8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w:t>
            </w:r>
          </w:p>
        </w:tc>
      </w:tr>
      <w:tr w:rsidR="00172B81" w:rsidRPr="00537128" w14:paraId="4DAFD547" w14:textId="77777777" w:rsidTr="001E7D22">
        <w:trPr>
          <w:trHeight w:val="185"/>
        </w:trPr>
        <w:tc>
          <w:tcPr>
            <w:tcW w:w="6546" w:type="dxa"/>
            <w:vAlign w:val="bottom"/>
            <w:hideMark/>
          </w:tcPr>
          <w:p w14:paraId="53C711D4" w14:textId="77777777" w:rsidR="00172B81" w:rsidRPr="00730472" w:rsidRDefault="00172B81" w:rsidP="00172B81">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Net sale of financial assets at fair value through profit or loss</w:t>
            </w:r>
          </w:p>
        </w:tc>
        <w:tc>
          <w:tcPr>
            <w:tcW w:w="1339" w:type="dxa"/>
            <w:tcBorders>
              <w:top w:val="nil"/>
              <w:left w:val="nil"/>
              <w:right w:val="nil"/>
            </w:tcBorders>
            <w:shd w:val="clear" w:color="auto" w:fill="auto"/>
            <w:noWrap/>
            <w:vAlign w:val="bottom"/>
          </w:tcPr>
          <w:p w14:paraId="1703D107" w14:textId="4F19433D" w:rsidR="00172B81" w:rsidRPr="00537128" w:rsidRDefault="00172B81" w:rsidP="00172B81">
            <w:pPr>
              <w:spacing w:after="0" w:line="220" w:lineRule="exact"/>
              <w:jc w:val="right"/>
              <w:rPr>
                <w:rFonts w:ascii="Calibri" w:eastAsia="Times New Roman" w:hAnsi="Calibri" w:cs="Arial"/>
                <w:sz w:val="18"/>
                <w:szCs w:val="18"/>
                <w:lang w:val="en-US"/>
              </w:rPr>
            </w:pPr>
            <w:r>
              <w:rPr>
                <w:rFonts w:cs="Arial"/>
                <w:color w:val="000000" w:themeColor="text1"/>
                <w:sz w:val="18"/>
                <w:szCs w:val="18"/>
              </w:rPr>
              <w:t>-</w:t>
            </w:r>
          </w:p>
        </w:tc>
        <w:tc>
          <w:tcPr>
            <w:tcW w:w="1329" w:type="dxa"/>
            <w:tcBorders>
              <w:top w:val="nil"/>
              <w:left w:val="nil"/>
              <w:right w:val="nil"/>
            </w:tcBorders>
            <w:shd w:val="clear" w:color="auto" w:fill="auto"/>
            <w:vAlign w:val="bottom"/>
          </w:tcPr>
          <w:p w14:paraId="0876B950" w14:textId="7903D35A" w:rsidR="00172B81" w:rsidRPr="00537128" w:rsidRDefault="00172B81" w:rsidP="00172B8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w:t>
            </w:r>
          </w:p>
        </w:tc>
      </w:tr>
      <w:tr w:rsidR="00172B81" w:rsidRPr="00537128" w14:paraId="1A32AB4B" w14:textId="77777777" w:rsidTr="001E7D22">
        <w:trPr>
          <w:trHeight w:val="185"/>
        </w:trPr>
        <w:tc>
          <w:tcPr>
            <w:tcW w:w="6546" w:type="dxa"/>
            <w:vAlign w:val="bottom"/>
            <w:hideMark/>
          </w:tcPr>
          <w:p w14:paraId="6D95ECDE" w14:textId="77777777" w:rsidR="00172B81" w:rsidRPr="00730472" w:rsidRDefault="00172B81" w:rsidP="00172B81">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Net purchase of assets available for sale</w:t>
            </w:r>
          </w:p>
        </w:tc>
        <w:tc>
          <w:tcPr>
            <w:tcW w:w="1339" w:type="dxa"/>
            <w:tcBorders>
              <w:top w:val="nil"/>
              <w:left w:val="nil"/>
              <w:right w:val="nil"/>
            </w:tcBorders>
            <w:shd w:val="clear" w:color="auto" w:fill="auto"/>
            <w:noWrap/>
            <w:vAlign w:val="bottom"/>
          </w:tcPr>
          <w:p w14:paraId="2BACE5F4" w14:textId="17355647" w:rsidR="00172B81" w:rsidRPr="00537128" w:rsidRDefault="00172B81" w:rsidP="00172B81">
            <w:pPr>
              <w:spacing w:after="0" w:line="220" w:lineRule="exact"/>
              <w:jc w:val="right"/>
              <w:rPr>
                <w:rFonts w:ascii="Calibri" w:eastAsia="Times New Roman" w:hAnsi="Calibri" w:cs="Arial"/>
                <w:sz w:val="18"/>
                <w:szCs w:val="18"/>
                <w:lang w:val="en-US"/>
              </w:rPr>
            </w:pPr>
            <w:r>
              <w:rPr>
                <w:rFonts w:cs="Arial"/>
                <w:color w:val="000000" w:themeColor="text1"/>
                <w:sz w:val="18"/>
                <w:szCs w:val="18"/>
              </w:rPr>
              <w:t>-</w:t>
            </w:r>
          </w:p>
        </w:tc>
        <w:tc>
          <w:tcPr>
            <w:tcW w:w="1329" w:type="dxa"/>
            <w:tcBorders>
              <w:top w:val="nil"/>
              <w:left w:val="nil"/>
              <w:right w:val="nil"/>
            </w:tcBorders>
            <w:shd w:val="clear" w:color="auto" w:fill="auto"/>
            <w:vAlign w:val="bottom"/>
          </w:tcPr>
          <w:p w14:paraId="22FE8B4C" w14:textId="2297076A" w:rsidR="00172B81" w:rsidRPr="00537128" w:rsidRDefault="00172B81" w:rsidP="00172B8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w:t>
            </w:r>
          </w:p>
        </w:tc>
      </w:tr>
      <w:tr w:rsidR="00172B81" w:rsidRPr="00537128" w14:paraId="0F91C616" w14:textId="77777777" w:rsidTr="001E7D22">
        <w:trPr>
          <w:trHeight w:val="185"/>
        </w:trPr>
        <w:tc>
          <w:tcPr>
            <w:tcW w:w="6546" w:type="dxa"/>
            <w:vAlign w:val="bottom"/>
            <w:hideMark/>
          </w:tcPr>
          <w:p w14:paraId="24E21711" w14:textId="77777777" w:rsidR="00172B81" w:rsidRPr="00730472" w:rsidRDefault="00172B81" w:rsidP="00172B81">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Net sale of assets available for sale</w:t>
            </w:r>
          </w:p>
        </w:tc>
        <w:tc>
          <w:tcPr>
            <w:tcW w:w="1339" w:type="dxa"/>
            <w:tcBorders>
              <w:top w:val="nil"/>
              <w:left w:val="nil"/>
              <w:right w:val="nil"/>
            </w:tcBorders>
            <w:shd w:val="clear" w:color="auto" w:fill="auto"/>
            <w:noWrap/>
            <w:vAlign w:val="bottom"/>
          </w:tcPr>
          <w:p w14:paraId="109BB135" w14:textId="743B9078" w:rsidR="00172B81" w:rsidRPr="00537128" w:rsidRDefault="00172B81" w:rsidP="00172B81">
            <w:pPr>
              <w:spacing w:after="0" w:line="220" w:lineRule="exact"/>
              <w:jc w:val="right"/>
              <w:rPr>
                <w:rFonts w:ascii="Calibri" w:eastAsia="Times New Roman" w:hAnsi="Calibri" w:cs="Arial"/>
                <w:sz w:val="18"/>
                <w:szCs w:val="18"/>
                <w:lang w:val="en-US"/>
              </w:rPr>
            </w:pPr>
            <w:r>
              <w:rPr>
                <w:rFonts w:cs="Arial"/>
                <w:color w:val="000000" w:themeColor="text1"/>
                <w:sz w:val="18"/>
                <w:szCs w:val="18"/>
              </w:rPr>
              <w:t>-</w:t>
            </w:r>
          </w:p>
        </w:tc>
        <w:tc>
          <w:tcPr>
            <w:tcW w:w="1329" w:type="dxa"/>
            <w:tcBorders>
              <w:top w:val="nil"/>
              <w:left w:val="nil"/>
              <w:right w:val="nil"/>
            </w:tcBorders>
            <w:shd w:val="clear" w:color="auto" w:fill="auto"/>
            <w:vAlign w:val="bottom"/>
          </w:tcPr>
          <w:p w14:paraId="3FEA036A" w14:textId="1788B1A8" w:rsidR="00172B81" w:rsidRPr="00537128" w:rsidRDefault="00172B81" w:rsidP="00172B8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w:t>
            </w:r>
          </w:p>
        </w:tc>
      </w:tr>
      <w:tr w:rsidR="00172B81" w:rsidRPr="00537128" w14:paraId="5CD5C10B" w14:textId="77777777" w:rsidTr="001E7D22">
        <w:trPr>
          <w:trHeight w:val="185"/>
        </w:trPr>
        <w:tc>
          <w:tcPr>
            <w:tcW w:w="6546" w:type="dxa"/>
            <w:vAlign w:val="bottom"/>
            <w:hideMark/>
          </w:tcPr>
          <w:p w14:paraId="666905E4" w14:textId="77777777" w:rsidR="00172B81" w:rsidRPr="00730472" w:rsidRDefault="00172B81" w:rsidP="00172B81">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Purchase of assets held to maturity</w:t>
            </w:r>
          </w:p>
        </w:tc>
        <w:tc>
          <w:tcPr>
            <w:tcW w:w="1339" w:type="dxa"/>
            <w:tcBorders>
              <w:top w:val="nil"/>
              <w:left w:val="nil"/>
              <w:right w:val="nil"/>
            </w:tcBorders>
            <w:shd w:val="clear" w:color="auto" w:fill="auto"/>
            <w:noWrap/>
            <w:vAlign w:val="bottom"/>
          </w:tcPr>
          <w:p w14:paraId="6613FC1A" w14:textId="2C225204" w:rsidR="00172B81" w:rsidRPr="00537128" w:rsidRDefault="00172B81" w:rsidP="00172B81">
            <w:pPr>
              <w:spacing w:after="0" w:line="220" w:lineRule="exact"/>
              <w:jc w:val="right"/>
              <w:rPr>
                <w:rFonts w:ascii="Calibri" w:eastAsia="Times New Roman" w:hAnsi="Calibri" w:cs="Arial"/>
                <w:sz w:val="18"/>
                <w:szCs w:val="18"/>
                <w:lang w:val="en-US"/>
              </w:rPr>
            </w:pPr>
            <w:r>
              <w:rPr>
                <w:rFonts w:cs="Arial"/>
                <w:color w:val="000000" w:themeColor="text1"/>
                <w:sz w:val="18"/>
                <w:szCs w:val="18"/>
              </w:rPr>
              <w:t>-</w:t>
            </w:r>
          </w:p>
        </w:tc>
        <w:tc>
          <w:tcPr>
            <w:tcW w:w="1329" w:type="dxa"/>
            <w:tcBorders>
              <w:top w:val="nil"/>
              <w:left w:val="nil"/>
              <w:right w:val="nil"/>
            </w:tcBorders>
            <w:shd w:val="clear" w:color="auto" w:fill="auto"/>
            <w:vAlign w:val="bottom"/>
          </w:tcPr>
          <w:p w14:paraId="27BB7073" w14:textId="0DB4E849" w:rsidR="00172B81" w:rsidRPr="00537128" w:rsidRDefault="00172B81" w:rsidP="00172B8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w:t>
            </w:r>
          </w:p>
        </w:tc>
      </w:tr>
      <w:tr w:rsidR="00172B81" w:rsidRPr="00537128" w14:paraId="2BC9E52F" w14:textId="77777777" w:rsidTr="001E7D22">
        <w:trPr>
          <w:trHeight w:val="185"/>
        </w:trPr>
        <w:tc>
          <w:tcPr>
            <w:tcW w:w="6546" w:type="dxa"/>
            <w:vAlign w:val="bottom"/>
            <w:hideMark/>
          </w:tcPr>
          <w:p w14:paraId="0F5BB7F6" w14:textId="77777777" w:rsidR="00172B81" w:rsidRPr="00730472" w:rsidRDefault="00172B81" w:rsidP="00172B81">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Collection of assets held to maturity when due</w:t>
            </w:r>
          </w:p>
        </w:tc>
        <w:tc>
          <w:tcPr>
            <w:tcW w:w="1339" w:type="dxa"/>
            <w:tcBorders>
              <w:top w:val="nil"/>
              <w:left w:val="nil"/>
              <w:right w:val="nil"/>
            </w:tcBorders>
            <w:shd w:val="clear" w:color="auto" w:fill="auto"/>
            <w:noWrap/>
            <w:vAlign w:val="bottom"/>
          </w:tcPr>
          <w:p w14:paraId="4CAD2099" w14:textId="3BB13833" w:rsidR="00172B81" w:rsidRPr="00537128" w:rsidRDefault="00172B81" w:rsidP="00172B81">
            <w:pPr>
              <w:spacing w:after="0" w:line="220" w:lineRule="exact"/>
              <w:jc w:val="right"/>
              <w:rPr>
                <w:rFonts w:ascii="Calibri" w:eastAsia="Times New Roman" w:hAnsi="Calibri" w:cs="Arial"/>
                <w:sz w:val="18"/>
                <w:szCs w:val="18"/>
                <w:lang w:val="en-US"/>
              </w:rPr>
            </w:pPr>
            <w:r>
              <w:rPr>
                <w:rFonts w:cs="Arial"/>
                <w:color w:val="000000" w:themeColor="text1"/>
                <w:sz w:val="18"/>
                <w:szCs w:val="18"/>
              </w:rPr>
              <w:t>-</w:t>
            </w:r>
          </w:p>
        </w:tc>
        <w:tc>
          <w:tcPr>
            <w:tcW w:w="1329" w:type="dxa"/>
            <w:tcBorders>
              <w:top w:val="nil"/>
              <w:left w:val="nil"/>
              <w:right w:val="nil"/>
            </w:tcBorders>
            <w:shd w:val="clear" w:color="auto" w:fill="auto"/>
            <w:vAlign w:val="bottom"/>
          </w:tcPr>
          <w:p w14:paraId="28C86B52" w14:textId="618C4D71" w:rsidR="00172B81" w:rsidRPr="00537128" w:rsidRDefault="00172B81" w:rsidP="00172B8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w:t>
            </w:r>
          </w:p>
        </w:tc>
      </w:tr>
      <w:tr w:rsidR="00172B81" w:rsidRPr="00537128" w14:paraId="37049B20" w14:textId="77777777" w:rsidTr="001E7D22">
        <w:trPr>
          <w:trHeight w:val="185"/>
        </w:trPr>
        <w:tc>
          <w:tcPr>
            <w:tcW w:w="6546" w:type="dxa"/>
            <w:vAlign w:val="bottom"/>
            <w:hideMark/>
          </w:tcPr>
          <w:p w14:paraId="7B69FEFB" w14:textId="77777777" w:rsidR="00172B81" w:rsidRPr="00730472" w:rsidRDefault="00172B81" w:rsidP="00172B81">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Net purchase of property, plant and equipment and intangible assets</w:t>
            </w:r>
          </w:p>
        </w:tc>
        <w:tc>
          <w:tcPr>
            <w:tcW w:w="1339" w:type="dxa"/>
            <w:tcBorders>
              <w:top w:val="nil"/>
              <w:left w:val="nil"/>
              <w:bottom w:val="single" w:sz="4" w:space="0" w:color="auto"/>
              <w:right w:val="nil"/>
            </w:tcBorders>
            <w:shd w:val="clear" w:color="auto" w:fill="auto"/>
            <w:noWrap/>
            <w:vAlign w:val="bottom"/>
          </w:tcPr>
          <w:p w14:paraId="2C67EB41" w14:textId="18C5C0B7" w:rsidR="00172B81" w:rsidRPr="00537128" w:rsidRDefault="00172B81" w:rsidP="00172B81">
            <w:pPr>
              <w:spacing w:after="0" w:line="220" w:lineRule="exact"/>
              <w:jc w:val="right"/>
              <w:rPr>
                <w:rFonts w:ascii="Calibri" w:eastAsia="Times New Roman" w:hAnsi="Calibri" w:cs="Arial"/>
                <w:sz w:val="18"/>
                <w:szCs w:val="18"/>
                <w:lang w:val="en-US"/>
              </w:rPr>
            </w:pPr>
            <w:r>
              <w:rPr>
                <w:rFonts w:cs="Arial"/>
                <w:color w:val="000000" w:themeColor="text1"/>
                <w:sz w:val="18"/>
                <w:szCs w:val="18"/>
              </w:rPr>
              <w:t>(46)</w:t>
            </w:r>
          </w:p>
        </w:tc>
        <w:tc>
          <w:tcPr>
            <w:tcW w:w="1329" w:type="dxa"/>
            <w:tcBorders>
              <w:top w:val="nil"/>
              <w:left w:val="nil"/>
              <w:bottom w:val="single" w:sz="4" w:space="0" w:color="auto"/>
              <w:right w:val="nil"/>
            </w:tcBorders>
            <w:shd w:val="clear" w:color="auto" w:fill="auto"/>
            <w:vAlign w:val="bottom"/>
          </w:tcPr>
          <w:p w14:paraId="29B8F10F" w14:textId="029D77E1" w:rsidR="00172B81" w:rsidRPr="00537128" w:rsidRDefault="00172B81" w:rsidP="00172B8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(7)</w:t>
            </w:r>
          </w:p>
        </w:tc>
      </w:tr>
      <w:tr w:rsidR="00172B81" w:rsidRPr="00537128" w14:paraId="6CAA7D21" w14:textId="77777777" w:rsidTr="001E7D22">
        <w:trPr>
          <w:trHeight w:val="165"/>
        </w:trPr>
        <w:tc>
          <w:tcPr>
            <w:tcW w:w="6546" w:type="dxa"/>
            <w:vAlign w:val="bottom"/>
            <w:hideMark/>
          </w:tcPr>
          <w:p w14:paraId="46BFE9D3" w14:textId="77947CFF" w:rsidR="00172B81" w:rsidRPr="00730472" w:rsidRDefault="00172B81" w:rsidP="00172B81">
            <w:pPr>
              <w:spacing w:after="0" w:line="220" w:lineRule="exact"/>
              <w:rPr>
                <w:rFonts w:ascii="Calibri" w:eastAsia="Times New Roman" w:hAnsi="Calibri" w:cs="Arial"/>
                <w:b/>
                <w:bCs/>
                <w:sz w:val="18"/>
                <w:szCs w:val="18"/>
                <w:lang w:val="en-US"/>
              </w:rPr>
            </w:pPr>
            <w:r w:rsidRPr="00730472">
              <w:rPr>
                <w:rFonts w:ascii="Calibri" w:eastAsia="Times New Roman" w:hAnsi="Calibri" w:cs="Arial"/>
                <w:b/>
                <w:bCs/>
                <w:sz w:val="18"/>
                <w:szCs w:val="18"/>
                <w:lang w:val="en-US"/>
              </w:rPr>
              <w:t xml:space="preserve">Net cash </w:t>
            </w:r>
            <w:r w:rsidRPr="00A1123E">
              <w:rPr>
                <w:rFonts w:ascii="Calibri" w:eastAsia="Times New Roman" w:hAnsi="Calibri" w:cs="Arial"/>
                <w:b/>
                <w:bCs/>
                <w:sz w:val="18"/>
                <w:szCs w:val="18"/>
                <w:lang w:val="en-US"/>
              </w:rPr>
              <w:t>(used in)/provided</w:t>
            </w:r>
            <w:r w:rsidRPr="00730472">
              <w:rPr>
                <w:rFonts w:ascii="Calibri" w:eastAsia="Times New Roman" w:hAnsi="Calibri" w:cs="Arial"/>
                <w:b/>
                <w:bCs/>
                <w:sz w:val="18"/>
                <w:szCs w:val="18"/>
                <w:lang w:val="en-US"/>
              </w:rPr>
              <w:t xml:space="preserve"> from investment activities</w:t>
            </w:r>
          </w:p>
        </w:tc>
        <w:tc>
          <w:tcPr>
            <w:tcW w:w="1339" w:type="dxa"/>
            <w:tcBorders>
              <w:top w:val="single" w:sz="4" w:space="0" w:color="auto"/>
              <w:left w:val="nil"/>
              <w:bottom w:val="single" w:sz="12" w:space="0" w:color="auto"/>
              <w:right w:val="nil"/>
            </w:tcBorders>
            <w:shd w:val="clear" w:color="auto" w:fill="auto"/>
            <w:noWrap/>
            <w:vAlign w:val="bottom"/>
          </w:tcPr>
          <w:p w14:paraId="4B7A1D44" w14:textId="757EEB31" w:rsidR="00172B81" w:rsidRPr="00537128" w:rsidRDefault="00172B81" w:rsidP="00172B81">
            <w:pPr>
              <w:spacing w:after="0" w:line="220" w:lineRule="exact"/>
              <w:jc w:val="right"/>
              <w:rPr>
                <w:rFonts w:ascii="Calibri" w:eastAsia="Times New Roman" w:hAnsi="Calibri" w:cs="Arial"/>
                <w:b/>
                <w:bCs/>
                <w:sz w:val="18"/>
                <w:szCs w:val="18"/>
                <w:lang w:val="en-US"/>
              </w:rPr>
            </w:pPr>
            <w:r>
              <w:rPr>
                <w:rFonts w:cs="Arial"/>
                <w:b/>
                <w:bCs/>
                <w:color w:val="000000" w:themeColor="text1"/>
                <w:sz w:val="18"/>
                <w:szCs w:val="18"/>
              </w:rPr>
              <w:t>(46)</w:t>
            </w:r>
          </w:p>
        </w:tc>
        <w:tc>
          <w:tcPr>
            <w:tcW w:w="1329" w:type="dxa"/>
            <w:tcBorders>
              <w:top w:val="single" w:sz="4" w:space="0" w:color="auto"/>
              <w:left w:val="nil"/>
              <w:bottom w:val="single" w:sz="12" w:space="0" w:color="auto"/>
              <w:right w:val="nil"/>
            </w:tcBorders>
            <w:shd w:val="clear" w:color="auto" w:fill="auto"/>
            <w:vAlign w:val="bottom"/>
          </w:tcPr>
          <w:p w14:paraId="26C19CD6" w14:textId="76A799C6" w:rsidR="00172B81" w:rsidRPr="00537128" w:rsidRDefault="00172B81" w:rsidP="00172B81">
            <w:pPr>
              <w:spacing w:after="0" w:line="220" w:lineRule="exact"/>
              <w:jc w:val="right"/>
              <w:rPr>
                <w:rFonts w:ascii="Calibri" w:eastAsia="Times New Roman" w:hAnsi="Calibri" w:cs="Arial"/>
                <w:b/>
                <w:bCs/>
                <w:sz w:val="18"/>
                <w:szCs w:val="18"/>
                <w:lang w:val="en-US"/>
              </w:rPr>
            </w:pPr>
            <w:r>
              <w:rPr>
                <w:rFonts w:ascii="Calibri" w:hAnsi="Calibri" w:cs="Arial"/>
                <w:b/>
                <w:bCs/>
                <w:color w:val="000000"/>
                <w:sz w:val="18"/>
                <w:szCs w:val="18"/>
              </w:rPr>
              <w:t>(7)</w:t>
            </w:r>
          </w:p>
        </w:tc>
      </w:tr>
      <w:tr w:rsidR="00172B81" w:rsidRPr="00537128" w14:paraId="7A3472F9" w14:textId="77777777" w:rsidTr="001E7D22">
        <w:trPr>
          <w:trHeight w:val="95"/>
        </w:trPr>
        <w:tc>
          <w:tcPr>
            <w:tcW w:w="6546" w:type="dxa"/>
            <w:vAlign w:val="bottom"/>
          </w:tcPr>
          <w:p w14:paraId="638F4E73" w14:textId="77777777" w:rsidR="00172B81" w:rsidRPr="00730472" w:rsidRDefault="00172B81" w:rsidP="00172B81">
            <w:pPr>
              <w:spacing w:after="0" w:line="140" w:lineRule="exact"/>
              <w:rPr>
                <w:rFonts w:ascii="Calibri" w:eastAsia="Times New Roman" w:hAnsi="Calibri" w:cs="Arial"/>
                <w:sz w:val="18"/>
                <w:szCs w:val="18"/>
                <w:lang w:val="en-US"/>
              </w:rPr>
            </w:pPr>
          </w:p>
        </w:tc>
        <w:tc>
          <w:tcPr>
            <w:tcW w:w="1339" w:type="dxa"/>
            <w:tcBorders>
              <w:top w:val="single" w:sz="12" w:space="0" w:color="auto"/>
              <w:left w:val="nil"/>
              <w:bottom w:val="nil"/>
              <w:right w:val="nil"/>
            </w:tcBorders>
            <w:shd w:val="clear" w:color="auto" w:fill="auto"/>
            <w:noWrap/>
            <w:vAlign w:val="bottom"/>
          </w:tcPr>
          <w:p w14:paraId="0BC18E89" w14:textId="77777777" w:rsidR="00172B81" w:rsidRPr="00537128" w:rsidRDefault="00172B81" w:rsidP="00172B81">
            <w:pPr>
              <w:spacing w:after="0" w:line="140" w:lineRule="exact"/>
              <w:jc w:val="right"/>
              <w:rPr>
                <w:rFonts w:ascii="Calibri" w:eastAsia="Times New Roman" w:hAnsi="Calibri" w:cs="Arial"/>
                <w:sz w:val="18"/>
                <w:szCs w:val="18"/>
                <w:lang w:val="en-US"/>
              </w:rPr>
            </w:pPr>
          </w:p>
        </w:tc>
        <w:tc>
          <w:tcPr>
            <w:tcW w:w="1329" w:type="dxa"/>
            <w:tcBorders>
              <w:top w:val="single" w:sz="12" w:space="0" w:color="auto"/>
              <w:left w:val="nil"/>
              <w:bottom w:val="nil"/>
              <w:right w:val="nil"/>
            </w:tcBorders>
            <w:shd w:val="clear" w:color="auto" w:fill="auto"/>
            <w:vAlign w:val="bottom"/>
          </w:tcPr>
          <w:p w14:paraId="1B85E1CF" w14:textId="77777777" w:rsidR="00172B81" w:rsidRPr="00537128" w:rsidRDefault="00172B81" w:rsidP="00172B81">
            <w:pPr>
              <w:spacing w:after="0" w:line="140" w:lineRule="exact"/>
              <w:jc w:val="right"/>
              <w:rPr>
                <w:rFonts w:ascii="Calibri" w:eastAsia="Times New Roman" w:hAnsi="Calibri" w:cs="Arial"/>
                <w:sz w:val="18"/>
                <w:szCs w:val="18"/>
                <w:lang w:val="en-US"/>
              </w:rPr>
            </w:pPr>
          </w:p>
        </w:tc>
      </w:tr>
      <w:tr w:rsidR="00172B81" w:rsidRPr="00537128" w14:paraId="328F866F" w14:textId="77777777" w:rsidTr="001E7D22">
        <w:trPr>
          <w:trHeight w:val="163"/>
        </w:trPr>
        <w:tc>
          <w:tcPr>
            <w:tcW w:w="6546" w:type="dxa"/>
            <w:vAlign w:val="bottom"/>
            <w:hideMark/>
          </w:tcPr>
          <w:p w14:paraId="492BC42D" w14:textId="77777777" w:rsidR="00172B81" w:rsidRPr="00730472" w:rsidRDefault="00172B81" w:rsidP="00172B81">
            <w:pPr>
              <w:spacing w:after="0" w:line="220" w:lineRule="exact"/>
              <w:rPr>
                <w:rFonts w:ascii="Calibri" w:eastAsia="Times New Roman" w:hAnsi="Calibri" w:cs="Arial"/>
                <w:b/>
                <w:sz w:val="18"/>
                <w:szCs w:val="18"/>
                <w:lang w:val="en-US"/>
              </w:rPr>
            </w:pPr>
            <w:r w:rsidRPr="00730472">
              <w:rPr>
                <w:rFonts w:ascii="Calibri" w:eastAsia="Times New Roman" w:hAnsi="Calibri" w:cs="Arial"/>
                <w:b/>
                <w:sz w:val="18"/>
                <w:szCs w:val="18"/>
                <w:lang w:val="en-US"/>
              </w:rPr>
              <w:t>Effect of foreign currency to cash and cash equivalents</w:t>
            </w:r>
          </w:p>
        </w:tc>
        <w:tc>
          <w:tcPr>
            <w:tcW w:w="1339" w:type="dxa"/>
            <w:tcBorders>
              <w:top w:val="nil"/>
              <w:left w:val="nil"/>
              <w:right w:val="nil"/>
            </w:tcBorders>
            <w:shd w:val="clear" w:color="auto" w:fill="auto"/>
            <w:noWrap/>
            <w:vAlign w:val="bottom"/>
          </w:tcPr>
          <w:p w14:paraId="2F11C6CB" w14:textId="77777777" w:rsidR="00172B81" w:rsidRPr="00537128" w:rsidRDefault="00172B81" w:rsidP="00172B81">
            <w:pPr>
              <w:spacing w:after="0" w:line="220" w:lineRule="exact"/>
              <w:jc w:val="right"/>
              <w:rPr>
                <w:rFonts w:ascii="Calibri" w:eastAsia="Times New Roman" w:hAnsi="Calibri" w:cs="Arial"/>
                <w:sz w:val="18"/>
                <w:szCs w:val="18"/>
                <w:lang w:val="en-US"/>
              </w:rPr>
            </w:pPr>
          </w:p>
        </w:tc>
        <w:tc>
          <w:tcPr>
            <w:tcW w:w="1329" w:type="dxa"/>
            <w:tcBorders>
              <w:top w:val="nil"/>
              <w:left w:val="nil"/>
              <w:right w:val="nil"/>
            </w:tcBorders>
            <w:shd w:val="clear" w:color="auto" w:fill="auto"/>
            <w:vAlign w:val="bottom"/>
          </w:tcPr>
          <w:p w14:paraId="5804286B" w14:textId="77777777" w:rsidR="00172B81" w:rsidRPr="00537128" w:rsidRDefault="00172B81" w:rsidP="00172B81">
            <w:pPr>
              <w:spacing w:after="0" w:line="220" w:lineRule="exact"/>
              <w:jc w:val="right"/>
              <w:rPr>
                <w:rFonts w:ascii="Calibri" w:eastAsia="Times New Roman" w:hAnsi="Calibri" w:cs="Arial"/>
                <w:sz w:val="18"/>
                <w:szCs w:val="18"/>
                <w:lang w:val="en-US"/>
              </w:rPr>
            </w:pPr>
          </w:p>
        </w:tc>
      </w:tr>
      <w:tr w:rsidR="00172B81" w:rsidRPr="00537128" w14:paraId="7190EDF6" w14:textId="77777777" w:rsidTr="001E7D22">
        <w:trPr>
          <w:trHeight w:val="163"/>
        </w:trPr>
        <w:tc>
          <w:tcPr>
            <w:tcW w:w="6546" w:type="dxa"/>
            <w:vAlign w:val="bottom"/>
            <w:hideMark/>
          </w:tcPr>
          <w:p w14:paraId="472529F0" w14:textId="77777777" w:rsidR="00172B81" w:rsidRPr="00730472" w:rsidRDefault="00172B81" w:rsidP="00172B81">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Net foreign exchange</w:t>
            </w:r>
          </w:p>
        </w:tc>
        <w:tc>
          <w:tcPr>
            <w:tcW w:w="1339" w:type="dxa"/>
            <w:tcBorders>
              <w:top w:val="nil"/>
              <w:left w:val="nil"/>
              <w:right w:val="nil"/>
            </w:tcBorders>
            <w:shd w:val="clear" w:color="auto" w:fill="auto"/>
            <w:noWrap/>
            <w:vAlign w:val="bottom"/>
          </w:tcPr>
          <w:p w14:paraId="77C6BF51" w14:textId="25D18531" w:rsidR="00172B81" w:rsidRPr="00537128" w:rsidRDefault="00172B81" w:rsidP="00172B81">
            <w:pPr>
              <w:spacing w:after="0" w:line="220" w:lineRule="exact"/>
              <w:jc w:val="right"/>
              <w:rPr>
                <w:rFonts w:ascii="Calibri" w:eastAsia="Times New Roman" w:hAnsi="Calibri" w:cs="Arial"/>
                <w:sz w:val="18"/>
                <w:szCs w:val="18"/>
                <w:lang w:val="en-US"/>
              </w:rPr>
            </w:pPr>
            <w:r>
              <w:rPr>
                <w:rFonts w:cs="Arial"/>
                <w:color w:val="000000" w:themeColor="text1"/>
                <w:sz w:val="18"/>
                <w:szCs w:val="18"/>
              </w:rPr>
              <w:t>(206)</w:t>
            </w:r>
          </w:p>
        </w:tc>
        <w:tc>
          <w:tcPr>
            <w:tcW w:w="1329" w:type="dxa"/>
            <w:tcBorders>
              <w:top w:val="nil"/>
              <w:left w:val="nil"/>
              <w:right w:val="nil"/>
            </w:tcBorders>
            <w:shd w:val="clear" w:color="auto" w:fill="auto"/>
            <w:vAlign w:val="bottom"/>
          </w:tcPr>
          <w:p w14:paraId="1EA66C2E" w14:textId="214B743A" w:rsidR="00172B81" w:rsidRPr="00537128" w:rsidRDefault="00172B81" w:rsidP="00172B8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(93)</w:t>
            </w:r>
          </w:p>
        </w:tc>
      </w:tr>
      <w:tr w:rsidR="00172B81" w:rsidRPr="00537128" w14:paraId="7F9F1499" w14:textId="77777777" w:rsidTr="001E7D22">
        <w:trPr>
          <w:trHeight w:val="163"/>
        </w:trPr>
        <w:tc>
          <w:tcPr>
            <w:tcW w:w="6546" w:type="dxa"/>
            <w:vAlign w:val="bottom"/>
            <w:hideMark/>
          </w:tcPr>
          <w:p w14:paraId="6005DA9F" w14:textId="77777777" w:rsidR="00172B81" w:rsidRPr="00730472" w:rsidRDefault="00172B81" w:rsidP="00172B81">
            <w:pPr>
              <w:spacing w:after="0" w:line="220" w:lineRule="exact"/>
              <w:rPr>
                <w:rFonts w:ascii="Calibri" w:eastAsia="Times New Roman" w:hAnsi="Calibri" w:cs="Arial"/>
                <w:b/>
                <w:sz w:val="18"/>
                <w:szCs w:val="18"/>
                <w:lang w:val="en-US"/>
              </w:rPr>
            </w:pPr>
            <w:r w:rsidRPr="00730472">
              <w:rPr>
                <w:rFonts w:ascii="Calibri" w:eastAsia="Times New Roman" w:hAnsi="Calibri" w:cs="Arial"/>
                <w:b/>
                <w:sz w:val="18"/>
                <w:szCs w:val="18"/>
                <w:lang w:val="en-US"/>
              </w:rPr>
              <w:t>Net effect</w:t>
            </w:r>
          </w:p>
        </w:tc>
        <w:tc>
          <w:tcPr>
            <w:tcW w:w="1339" w:type="dxa"/>
            <w:tcBorders>
              <w:top w:val="single" w:sz="4" w:space="0" w:color="auto"/>
              <w:left w:val="nil"/>
              <w:right w:val="nil"/>
            </w:tcBorders>
            <w:shd w:val="clear" w:color="auto" w:fill="auto"/>
            <w:noWrap/>
            <w:vAlign w:val="bottom"/>
          </w:tcPr>
          <w:p w14:paraId="5BA0E119" w14:textId="71EF6963" w:rsidR="00172B81" w:rsidRPr="00537128" w:rsidRDefault="00172B81" w:rsidP="00172B81">
            <w:pPr>
              <w:spacing w:after="0" w:line="220" w:lineRule="exact"/>
              <w:jc w:val="right"/>
              <w:rPr>
                <w:rFonts w:ascii="Calibri" w:eastAsia="Times New Roman" w:hAnsi="Calibri" w:cs="Arial"/>
                <w:b/>
                <w:sz w:val="18"/>
                <w:szCs w:val="18"/>
                <w:lang w:val="en-US"/>
              </w:rPr>
            </w:pPr>
            <w:r>
              <w:rPr>
                <w:rFonts w:cs="Arial"/>
                <w:b/>
                <w:color w:val="000000" w:themeColor="text1"/>
                <w:sz w:val="18"/>
                <w:szCs w:val="18"/>
              </w:rPr>
              <w:t>(206)</w:t>
            </w:r>
          </w:p>
        </w:tc>
        <w:tc>
          <w:tcPr>
            <w:tcW w:w="1329" w:type="dxa"/>
            <w:tcBorders>
              <w:top w:val="single" w:sz="4" w:space="0" w:color="auto"/>
              <w:left w:val="nil"/>
              <w:right w:val="nil"/>
            </w:tcBorders>
            <w:shd w:val="clear" w:color="auto" w:fill="auto"/>
            <w:vAlign w:val="bottom"/>
          </w:tcPr>
          <w:p w14:paraId="45E86608" w14:textId="08BFF990" w:rsidR="00172B81" w:rsidRPr="00537128" w:rsidRDefault="00172B81" w:rsidP="00172B81">
            <w:pPr>
              <w:spacing w:after="0" w:line="220" w:lineRule="exact"/>
              <w:jc w:val="right"/>
              <w:rPr>
                <w:rFonts w:ascii="Calibri" w:eastAsia="Times New Roman" w:hAnsi="Calibri" w:cs="Arial"/>
                <w:b/>
                <w:sz w:val="18"/>
                <w:szCs w:val="18"/>
                <w:lang w:val="en-US"/>
              </w:rPr>
            </w:pPr>
            <w:r>
              <w:rPr>
                <w:rFonts w:ascii="Calibri" w:hAnsi="Calibri" w:cs="Arial"/>
                <w:b/>
                <w:color w:val="000000"/>
                <w:sz w:val="18"/>
                <w:szCs w:val="18"/>
              </w:rPr>
              <w:t>(93)</w:t>
            </w:r>
          </w:p>
        </w:tc>
      </w:tr>
      <w:tr w:rsidR="00172B81" w:rsidRPr="00537128" w14:paraId="54D7015F" w14:textId="77777777" w:rsidTr="001E7D22">
        <w:trPr>
          <w:trHeight w:val="55"/>
        </w:trPr>
        <w:tc>
          <w:tcPr>
            <w:tcW w:w="6546" w:type="dxa"/>
            <w:vAlign w:val="bottom"/>
          </w:tcPr>
          <w:p w14:paraId="14E62DAB" w14:textId="77777777" w:rsidR="00172B81" w:rsidRPr="00730472" w:rsidRDefault="00172B81" w:rsidP="00172B81">
            <w:pPr>
              <w:spacing w:after="0" w:line="140" w:lineRule="exact"/>
              <w:rPr>
                <w:rFonts w:ascii="Calibri" w:eastAsia="Times New Roman" w:hAnsi="Calibri" w:cs="Arial"/>
                <w:sz w:val="18"/>
                <w:szCs w:val="18"/>
                <w:lang w:val="en-US"/>
              </w:rPr>
            </w:pPr>
          </w:p>
        </w:tc>
        <w:tc>
          <w:tcPr>
            <w:tcW w:w="1339" w:type="dxa"/>
            <w:tcBorders>
              <w:top w:val="single" w:sz="12" w:space="0" w:color="auto"/>
              <w:left w:val="nil"/>
              <w:right w:val="nil"/>
            </w:tcBorders>
            <w:shd w:val="clear" w:color="auto" w:fill="auto"/>
            <w:noWrap/>
            <w:vAlign w:val="bottom"/>
          </w:tcPr>
          <w:p w14:paraId="5D72A4CE" w14:textId="77777777" w:rsidR="00172B81" w:rsidRPr="00537128" w:rsidRDefault="00172B81" w:rsidP="00172B81">
            <w:pPr>
              <w:spacing w:after="0" w:line="140" w:lineRule="exact"/>
              <w:jc w:val="right"/>
              <w:rPr>
                <w:rFonts w:ascii="Calibri" w:eastAsia="Times New Roman" w:hAnsi="Calibri" w:cs="Arial"/>
                <w:sz w:val="18"/>
                <w:szCs w:val="18"/>
                <w:lang w:val="en-US"/>
              </w:rPr>
            </w:pPr>
          </w:p>
        </w:tc>
        <w:tc>
          <w:tcPr>
            <w:tcW w:w="1329" w:type="dxa"/>
            <w:tcBorders>
              <w:top w:val="single" w:sz="12" w:space="0" w:color="auto"/>
              <w:left w:val="nil"/>
              <w:right w:val="nil"/>
            </w:tcBorders>
            <w:shd w:val="clear" w:color="auto" w:fill="auto"/>
            <w:vAlign w:val="bottom"/>
          </w:tcPr>
          <w:p w14:paraId="122948B5" w14:textId="77777777" w:rsidR="00172B81" w:rsidRPr="00537128" w:rsidRDefault="00172B81" w:rsidP="00172B81">
            <w:pPr>
              <w:spacing w:after="0" w:line="140" w:lineRule="exact"/>
              <w:jc w:val="right"/>
              <w:rPr>
                <w:rFonts w:ascii="Calibri" w:eastAsia="Times New Roman" w:hAnsi="Calibri" w:cs="Arial"/>
                <w:sz w:val="18"/>
                <w:szCs w:val="18"/>
                <w:lang w:val="en-US"/>
              </w:rPr>
            </w:pPr>
          </w:p>
        </w:tc>
      </w:tr>
      <w:tr w:rsidR="00172B81" w:rsidRPr="00537128" w14:paraId="0F512320" w14:textId="77777777" w:rsidTr="001E7D22">
        <w:trPr>
          <w:trHeight w:val="163"/>
        </w:trPr>
        <w:tc>
          <w:tcPr>
            <w:tcW w:w="6546" w:type="dxa"/>
            <w:vAlign w:val="bottom"/>
            <w:hideMark/>
          </w:tcPr>
          <w:p w14:paraId="575C8D80" w14:textId="31E5657A" w:rsidR="00172B81" w:rsidRPr="00730472" w:rsidRDefault="00172B81" w:rsidP="00172B81">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 xml:space="preserve">Net </w:t>
            </w:r>
            <w:r w:rsidRPr="00A1123E">
              <w:rPr>
                <w:rFonts w:ascii="Calibri" w:eastAsia="Times New Roman" w:hAnsi="Calibri" w:cs="Arial"/>
                <w:sz w:val="18"/>
                <w:szCs w:val="18"/>
                <w:lang w:val="en-US"/>
              </w:rPr>
              <w:t>increase</w:t>
            </w:r>
            <w:r w:rsidRPr="00730472">
              <w:rPr>
                <w:rFonts w:ascii="Calibri" w:eastAsia="Times New Roman" w:hAnsi="Calibri" w:cs="Arial"/>
                <w:sz w:val="18"/>
                <w:szCs w:val="18"/>
                <w:lang w:val="en-US"/>
              </w:rPr>
              <w:t xml:space="preserve"> in cash and cash equivalents</w:t>
            </w:r>
          </w:p>
        </w:tc>
        <w:tc>
          <w:tcPr>
            <w:tcW w:w="1339" w:type="dxa"/>
            <w:tcBorders>
              <w:top w:val="nil"/>
              <w:left w:val="nil"/>
              <w:right w:val="nil"/>
            </w:tcBorders>
            <w:shd w:val="clear" w:color="auto" w:fill="auto"/>
            <w:noWrap/>
            <w:vAlign w:val="bottom"/>
          </w:tcPr>
          <w:p w14:paraId="14AD483C" w14:textId="0089E78A" w:rsidR="00172B81" w:rsidRPr="00537128" w:rsidRDefault="00172B81" w:rsidP="00172B81">
            <w:pPr>
              <w:spacing w:after="0" w:line="220" w:lineRule="exact"/>
              <w:jc w:val="right"/>
              <w:rPr>
                <w:rFonts w:ascii="Calibri" w:eastAsia="Times New Roman" w:hAnsi="Calibri" w:cs="Arial"/>
                <w:sz w:val="18"/>
                <w:szCs w:val="18"/>
                <w:lang w:val="en-US"/>
              </w:rPr>
            </w:pPr>
            <w:r w:rsidRPr="006733B1">
              <w:rPr>
                <w:rFonts w:cs="Arial"/>
                <w:color w:val="000000" w:themeColor="text1"/>
                <w:sz w:val="18"/>
                <w:szCs w:val="18"/>
              </w:rPr>
              <w:t>2</w:t>
            </w:r>
            <w:r>
              <w:rPr>
                <w:rFonts w:cs="Arial"/>
                <w:color w:val="000000" w:themeColor="text1"/>
                <w:sz w:val="18"/>
                <w:szCs w:val="18"/>
              </w:rPr>
              <w:t>,</w:t>
            </w:r>
            <w:r w:rsidRPr="006733B1">
              <w:rPr>
                <w:rFonts w:cs="Arial"/>
                <w:color w:val="000000" w:themeColor="text1"/>
                <w:sz w:val="18"/>
                <w:szCs w:val="18"/>
              </w:rPr>
              <w:t>997</w:t>
            </w:r>
          </w:p>
        </w:tc>
        <w:tc>
          <w:tcPr>
            <w:tcW w:w="1329" w:type="dxa"/>
            <w:tcBorders>
              <w:top w:val="nil"/>
              <w:left w:val="nil"/>
              <w:right w:val="nil"/>
            </w:tcBorders>
            <w:shd w:val="clear" w:color="auto" w:fill="auto"/>
            <w:vAlign w:val="bottom"/>
          </w:tcPr>
          <w:p w14:paraId="56B8EC61" w14:textId="1A931960" w:rsidR="00172B81" w:rsidRPr="00537128" w:rsidRDefault="00172B81" w:rsidP="00172B8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133</w:t>
            </w:r>
          </w:p>
        </w:tc>
      </w:tr>
      <w:tr w:rsidR="00172B81" w:rsidRPr="00537128" w14:paraId="777D27F3" w14:textId="77777777" w:rsidTr="001E7D22">
        <w:trPr>
          <w:trHeight w:val="65"/>
        </w:trPr>
        <w:tc>
          <w:tcPr>
            <w:tcW w:w="6546" w:type="dxa"/>
            <w:vAlign w:val="bottom"/>
          </w:tcPr>
          <w:p w14:paraId="36BD4CF4" w14:textId="77777777" w:rsidR="00172B81" w:rsidRPr="00730472" w:rsidRDefault="00172B81" w:rsidP="00172B81">
            <w:pPr>
              <w:spacing w:after="0" w:line="140" w:lineRule="exact"/>
              <w:rPr>
                <w:rFonts w:ascii="Calibri" w:eastAsia="Times New Roman" w:hAnsi="Calibri" w:cs="Arial"/>
                <w:sz w:val="18"/>
                <w:szCs w:val="18"/>
                <w:lang w:val="en-US"/>
              </w:rPr>
            </w:pPr>
          </w:p>
        </w:tc>
        <w:tc>
          <w:tcPr>
            <w:tcW w:w="1339" w:type="dxa"/>
            <w:tcBorders>
              <w:top w:val="nil"/>
              <w:left w:val="nil"/>
              <w:right w:val="nil"/>
            </w:tcBorders>
            <w:shd w:val="clear" w:color="auto" w:fill="auto"/>
            <w:noWrap/>
            <w:vAlign w:val="bottom"/>
          </w:tcPr>
          <w:p w14:paraId="173E0DAD" w14:textId="77777777" w:rsidR="00172B81" w:rsidRPr="00537128" w:rsidRDefault="00172B81" w:rsidP="00172B81">
            <w:pPr>
              <w:spacing w:after="0" w:line="140" w:lineRule="exact"/>
              <w:jc w:val="right"/>
              <w:rPr>
                <w:rFonts w:ascii="Calibri" w:eastAsia="Times New Roman" w:hAnsi="Calibri" w:cs="Arial"/>
                <w:sz w:val="18"/>
                <w:szCs w:val="18"/>
                <w:lang w:val="en-US"/>
              </w:rPr>
            </w:pPr>
          </w:p>
        </w:tc>
        <w:tc>
          <w:tcPr>
            <w:tcW w:w="1329" w:type="dxa"/>
            <w:tcBorders>
              <w:top w:val="nil"/>
              <w:left w:val="nil"/>
              <w:right w:val="nil"/>
            </w:tcBorders>
            <w:shd w:val="clear" w:color="auto" w:fill="auto"/>
            <w:vAlign w:val="bottom"/>
          </w:tcPr>
          <w:p w14:paraId="429F61F1" w14:textId="77777777" w:rsidR="00172B81" w:rsidRPr="00537128" w:rsidRDefault="00172B81" w:rsidP="00172B81">
            <w:pPr>
              <w:spacing w:after="0" w:line="140" w:lineRule="exact"/>
              <w:jc w:val="right"/>
              <w:rPr>
                <w:rFonts w:ascii="Calibri" w:eastAsia="Times New Roman" w:hAnsi="Calibri" w:cs="Arial"/>
                <w:sz w:val="18"/>
                <w:szCs w:val="18"/>
                <w:lang w:val="en-US"/>
              </w:rPr>
            </w:pPr>
          </w:p>
        </w:tc>
      </w:tr>
      <w:tr w:rsidR="00172B81" w:rsidRPr="00537128" w14:paraId="5FD4A915" w14:textId="77777777" w:rsidTr="001E7D22">
        <w:trPr>
          <w:trHeight w:val="163"/>
        </w:trPr>
        <w:tc>
          <w:tcPr>
            <w:tcW w:w="6546" w:type="dxa"/>
            <w:vAlign w:val="bottom"/>
            <w:hideMark/>
          </w:tcPr>
          <w:p w14:paraId="17728779" w14:textId="77777777" w:rsidR="00172B81" w:rsidRPr="00730472" w:rsidRDefault="00172B81" w:rsidP="00172B81">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Balance as of 1 January</w:t>
            </w:r>
          </w:p>
        </w:tc>
        <w:tc>
          <w:tcPr>
            <w:tcW w:w="1339" w:type="dxa"/>
            <w:tcBorders>
              <w:top w:val="nil"/>
              <w:left w:val="nil"/>
              <w:right w:val="nil"/>
            </w:tcBorders>
            <w:shd w:val="clear" w:color="auto" w:fill="auto"/>
            <w:noWrap/>
            <w:vAlign w:val="bottom"/>
          </w:tcPr>
          <w:p w14:paraId="1FC3D98B" w14:textId="01CBF3B5" w:rsidR="00172B81" w:rsidRPr="00537128" w:rsidRDefault="00172B81" w:rsidP="00172B81">
            <w:pPr>
              <w:spacing w:after="0" w:line="220" w:lineRule="exact"/>
              <w:jc w:val="right"/>
              <w:rPr>
                <w:rFonts w:ascii="Calibri" w:eastAsia="Times New Roman" w:hAnsi="Calibri" w:cs="Arial"/>
                <w:sz w:val="18"/>
                <w:szCs w:val="18"/>
                <w:lang w:val="en-US"/>
              </w:rPr>
            </w:pPr>
            <w:r>
              <w:rPr>
                <w:rFonts w:cs="Arial"/>
                <w:color w:val="000000" w:themeColor="text1"/>
                <w:sz w:val="18"/>
                <w:szCs w:val="18"/>
              </w:rPr>
              <w:t>3,371</w:t>
            </w:r>
          </w:p>
        </w:tc>
        <w:tc>
          <w:tcPr>
            <w:tcW w:w="1329" w:type="dxa"/>
            <w:tcBorders>
              <w:top w:val="nil"/>
              <w:left w:val="nil"/>
              <w:right w:val="nil"/>
            </w:tcBorders>
            <w:shd w:val="clear" w:color="auto" w:fill="auto"/>
            <w:vAlign w:val="bottom"/>
          </w:tcPr>
          <w:p w14:paraId="377D5FE5" w14:textId="17654AA7" w:rsidR="00172B81" w:rsidRPr="00537128" w:rsidRDefault="00172B81" w:rsidP="00172B8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5,964</w:t>
            </w:r>
          </w:p>
        </w:tc>
      </w:tr>
      <w:tr w:rsidR="00172B81" w:rsidRPr="00537128" w14:paraId="3E86F4BF" w14:textId="77777777" w:rsidTr="001E7D22">
        <w:trPr>
          <w:trHeight w:val="163"/>
        </w:trPr>
        <w:tc>
          <w:tcPr>
            <w:tcW w:w="6546" w:type="dxa"/>
            <w:vAlign w:val="bottom"/>
            <w:hideMark/>
          </w:tcPr>
          <w:p w14:paraId="7C67831C" w14:textId="4872BA48" w:rsidR="00172B81" w:rsidRPr="00730472" w:rsidRDefault="00172B81" w:rsidP="00172B81">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 xml:space="preserve">Net </w:t>
            </w:r>
            <w:r w:rsidRPr="00A1123E">
              <w:rPr>
                <w:rFonts w:ascii="Calibri" w:eastAsia="Times New Roman" w:hAnsi="Calibri" w:cs="Arial"/>
                <w:sz w:val="18"/>
                <w:szCs w:val="18"/>
                <w:lang w:val="en-US"/>
              </w:rPr>
              <w:t>increase</w:t>
            </w:r>
            <w:r w:rsidRPr="00730472">
              <w:rPr>
                <w:rFonts w:ascii="Calibri" w:eastAsia="Times New Roman" w:hAnsi="Calibri" w:cs="Arial"/>
                <w:sz w:val="18"/>
                <w:szCs w:val="18"/>
                <w:lang w:val="en-US"/>
              </w:rPr>
              <w:t xml:space="preserve"> in cash</w:t>
            </w:r>
          </w:p>
        </w:tc>
        <w:tc>
          <w:tcPr>
            <w:tcW w:w="1339" w:type="dxa"/>
            <w:tcBorders>
              <w:top w:val="nil"/>
              <w:left w:val="nil"/>
              <w:right w:val="nil"/>
            </w:tcBorders>
            <w:shd w:val="clear" w:color="auto" w:fill="auto"/>
            <w:noWrap/>
            <w:vAlign w:val="bottom"/>
          </w:tcPr>
          <w:p w14:paraId="2A1DCC5F" w14:textId="2B50F0A2" w:rsidR="00172B81" w:rsidRPr="00537128" w:rsidRDefault="00172B81" w:rsidP="00172B81">
            <w:pPr>
              <w:spacing w:after="0" w:line="220" w:lineRule="exact"/>
              <w:jc w:val="right"/>
              <w:rPr>
                <w:rFonts w:ascii="Calibri" w:eastAsia="Times New Roman" w:hAnsi="Calibri" w:cs="Arial"/>
                <w:sz w:val="18"/>
                <w:szCs w:val="18"/>
                <w:lang w:val="en-US"/>
              </w:rPr>
            </w:pPr>
            <w:r w:rsidRPr="006733B1">
              <w:rPr>
                <w:rFonts w:cs="Arial"/>
                <w:color w:val="000000" w:themeColor="text1"/>
                <w:sz w:val="18"/>
                <w:szCs w:val="18"/>
              </w:rPr>
              <w:t>2</w:t>
            </w:r>
            <w:r>
              <w:rPr>
                <w:rFonts w:cs="Arial"/>
                <w:color w:val="000000" w:themeColor="text1"/>
                <w:sz w:val="18"/>
                <w:szCs w:val="18"/>
              </w:rPr>
              <w:t>,</w:t>
            </w:r>
            <w:r w:rsidRPr="006733B1">
              <w:rPr>
                <w:rFonts w:cs="Arial"/>
                <w:color w:val="000000" w:themeColor="text1"/>
                <w:sz w:val="18"/>
                <w:szCs w:val="18"/>
              </w:rPr>
              <w:t>997</w:t>
            </w:r>
          </w:p>
        </w:tc>
        <w:tc>
          <w:tcPr>
            <w:tcW w:w="1329" w:type="dxa"/>
            <w:tcBorders>
              <w:top w:val="nil"/>
              <w:left w:val="nil"/>
              <w:right w:val="nil"/>
            </w:tcBorders>
            <w:shd w:val="clear" w:color="auto" w:fill="auto"/>
            <w:vAlign w:val="bottom"/>
          </w:tcPr>
          <w:p w14:paraId="54363473" w14:textId="71C1F89D" w:rsidR="00172B81" w:rsidRPr="00537128" w:rsidRDefault="00172B81" w:rsidP="00172B8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133</w:t>
            </w:r>
          </w:p>
        </w:tc>
      </w:tr>
      <w:tr w:rsidR="00172B81" w:rsidRPr="00537128" w14:paraId="1EDDFBB5" w14:textId="77777777" w:rsidTr="001E7D22">
        <w:trPr>
          <w:trHeight w:val="65"/>
        </w:trPr>
        <w:tc>
          <w:tcPr>
            <w:tcW w:w="6546" w:type="dxa"/>
            <w:vAlign w:val="bottom"/>
          </w:tcPr>
          <w:p w14:paraId="5A681C7A" w14:textId="77777777" w:rsidR="00172B81" w:rsidRPr="00730472" w:rsidRDefault="00172B81" w:rsidP="00172B81">
            <w:pPr>
              <w:spacing w:after="0" w:line="140" w:lineRule="exact"/>
              <w:rPr>
                <w:rFonts w:ascii="Calibri" w:eastAsia="Times New Roman" w:hAnsi="Calibri" w:cs="Arial"/>
                <w:sz w:val="18"/>
                <w:szCs w:val="18"/>
                <w:lang w:val="en-US"/>
              </w:rPr>
            </w:pPr>
          </w:p>
        </w:tc>
        <w:tc>
          <w:tcPr>
            <w:tcW w:w="1339" w:type="dxa"/>
            <w:tcBorders>
              <w:top w:val="nil"/>
              <w:left w:val="nil"/>
              <w:right w:val="nil"/>
            </w:tcBorders>
            <w:shd w:val="clear" w:color="auto" w:fill="auto"/>
            <w:noWrap/>
            <w:vAlign w:val="bottom"/>
          </w:tcPr>
          <w:p w14:paraId="67194D09" w14:textId="77777777" w:rsidR="00172B81" w:rsidRPr="00537128" w:rsidRDefault="00172B81" w:rsidP="00172B81">
            <w:pPr>
              <w:spacing w:after="0" w:line="140" w:lineRule="exact"/>
              <w:jc w:val="right"/>
              <w:rPr>
                <w:rFonts w:ascii="Calibri" w:eastAsia="Times New Roman" w:hAnsi="Calibri" w:cs="Arial"/>
                <w:sz w:val="18"/>
                <w:szCs w:val="18"/>
                <w:lang w:val="en-US"/>
              </w:rPr>
            </w:pPr>
          </w:p>
        </w:tc>
        <w:tc>
          <w:tcPr>
            <w:tcW w:w="1329" w:type="dxa"/>
            <w:tcBorders>
              <w:top w:val="nil"/>
              <w:left w:val="nil"/>
              <w:right w:val="nil"/>
            </w:tcBorders>
            <w:shd w:val="clear" w:color="auto" w:fill="auto"/>
            <w:vAlign w:val="bottom"/>
          </w:tcPr>
          <w:p w14:paraId="50AD2E81" w14:textId="77777777" w:rsidR="00172B81" w:rsidRPr="00537128" w:rsidRDefault="00172B81" w:rsidP="00172B81">
            <w:pPr>
              <w:spacing w:after="0" w:line="140" w:lineRule="exact"/>
              <w:jc w:val="right"/>
              <w:rPr>
                <w:rFonts w:ascii="Calibri" w:eastAsia="Times New Roman" w:hAnsi="Calibri" w:cs="Arial"/>
                <w:sz w:val="18"/>
                <w:szCs w:val="18"/>
                <w:lang w:val="en-US"/>
              </w:rPr>
            </w:pPr>
          </w:p>
        </w:tc>
      </w:tr>
      <w:tr w:rsidR="00172B81" w:rsidRPr="00537128" w14:paraId="5DE2B7EE" w14:textId="77777777" w:rsidTr="001E7D22">
        <w:trPr>
          <w:trHeight w:val="163"/>
        </w:trPr>
        <w:tc>
          <w:tcPr>
            <w:tcW w:w="6546" w:type="dxa"/>
            <w:vAlign w:val="bottom"/>
            <w:hideMark/>
          </w:tcPr>
          <w:p w14:paraId="450E175C" w14:textId="77777777" w:rsidR="00172B81" w:rsidRPr="00730472" w:rsidRDefault="00172B81" w:rsidP="00172B81">
            <w:pPr>
              <w:spacing w:after="0" w:line="220" w:lineRule="exact"/>
              <w:rPr>
                <w:rFonts w:ascii="Calibri" w:eastAsia="Times New Roman" w:hAnsi="Calibri" w:cs="Arial"/>
                <w:b/>
                <w:sz w:val="18"/>
                <w:szCs w:val="18"/>
                <w:lang w:val="en-US"/>
              </w:rPr>
            </w:pPr>
            <w:r w:rsidRPr="00730472">
              <w:rPr>
                <w:rFonts w:ascii="Calibri" w:eastAsia="Times New Roman" w:hAnsi="Calibri" w:cs="Arial"/>
                <w:b/>
                <w:sz w:val="18"/>
                <w:szCs w:val="18"/>
                <w:lang w:val="en-US"/>
              </w:rPr>
              <w:t xml:space="preserve">Balance as of 31 March </w:t>
            </w:r>
          </w:p>
        </w:tc>
        <w:tc>
          <w:tcPr>
            <w:tcW w:w="1339" w:type="dxa"/>
            <w:tcBorders>
              <w:top w:val="single" w:sz="4" w:space="0" w:color="auto"/>
              <w:left w:val="nil"/>
              <w:bottom w:val="single" w:sz="12" w:space="0" w:color="auto"/>
              <w:right w:val="nil"/>
            </w:tcBorders>
            <w:shd w:val="clear" w:color="auto" w:fill="auto"/>
            <w:noWrap/>
            <w:vAlign w:val="bottom"/>
          </w:tcPr>
          <w:p w14:paraId="48A2FEA3" w14:textId="4D795380" w:rsidR="00172B81" w:rsidRPr="00537128" w:rsidRDefault="00172B81" w:rsidP="00172B81">
            <w:pPr>
              <w:spacing w:after="0" w:line="220" w:lineRule="exact"/>
              <w:jc w:val="right"/>
              <w:rPr>
                <w:rFonts w:ascii="Calibri" w:eastAsia="Times New Roman" w:hAnsi="Calibri" w:cs="Arial"/>
                <w:b/>
                <w:sz w:val="18"/>
                <w:szCs w:val="18"/>
                <w:lang w:val="en-US"/>
              </w:rPr>
            </w:pPr>
            <w:r w:rsidRPr="006733B1">
              <w:rPr>
                <w:rFonts w:cs="Arial"/>
                <w:b/>
                <w:color w:val="000000" w:themeColor="text1"/>
                <w:sz w:val="18"/>
                <w:szCs w:val="18"/>
              </w:rPr>
              <w:t>6</w:t>
            </w:r>
            <w:r>
              <w:rPr>
                <w:rFonts w:cs="Arial"/>
                <w:b/>
                <w:color w:val="000000" w:themeColor="text1"/>
                <w:sz w:val="18"/>
                <w:szCs w:val="18"/>
              </w:rPr>
              <w:t>,</w:t>
            </w:r>
            <w:r w:rsidRPr="006733B1">
              <w:rPr>
                <w:rFonts w:cs="Arial"/>
                <w:b/>
                <w:color w:val="000000" w:themeColor="text1"/>
                <w:sz w:val="18"/>
                <w:szCs w:val="18"/>
              </w:rPr>
              <w:t>368</w:t>
            </w:r>
          </w:p>
        </w:tc>
        <w:tc>
          <w:tcPr>
            <w:tcW w:w="1329" w:type="dxa"/>
            <w:tcBorders>
              <w:top w:val="single" w:sz="4" w:space="0" w:color="auto"/>
              <w:left w:val="nil"/>
              <w:bottom w:val="single" w:sz="12" w:space="0" w:color="auto"/>
              <w:right w:val="nil"/>
            </w:tcBorders>
            <w:shd w:val="clear" w:color="auto" w:fill="auto"/>
            <w:vAlign w:val="bottom"/>
          </w:tcPr>
          <w:p w14:paraId="300F815E" w14:textId="6F16AC5C" w:rsidR="00172B81" w:rsidRPr="00537128" w:rsidRDefault="00172B81" w:rsidP="00172B81">
            <w:pPr>
              <w:spacing w:after="0" w:line="220" w:lineRule="exact"/>
              <w:jc w:val="right"/>
              <w:rPr>
                <w:rFonts w:ascii="Calibri" w:eastAsia="Times New Roman" w:hAnsi="Calibri" w:cs="Arial"/>
                <w:b/>
                <w:sz w:val="18"/>
                <w:szCs w:val="18"/>
                <w:lang w:val="en-US"/>
              </w:rPr>
            </w:pPr>
            <w:r>
              <w:rPr>
                <w:rFonts w:ascii="Calibri" w:hAnsi="Calibri" w:cs="Arial"/>
                <w:b/>
                <w:color w:val="000000"/>
                <w:sz w:val="18"/>
                <w:szCs w:val="18"/>
              </w:rPr>
              <w:t>6,097</w:t>
            </w:r>
          </w:p>
        </w:tc>
      </w:tr>
    </w:tbl>
    <w:p w14:paraId="3576D0FE" w14:textId="77777777" w:rsidR="007643F8" w:rsidRPr="00537128" w:rsidRDefault="007643F8" w:rsidP="00D27961">
      <w:pPr>
        <w:tabs>
          <w:tab w:val="left" w:pos="709"/>
        </w:tabs>
        <w:spacing w:after="0" w:line="240" w:lineRule="auto"/>
        <w:jc w:val="both"/>
        <w:rPr>
          <w:rFonts w:ascii="Calibri" w:eastAsia="Times New Roman" w:hAnsi="Calibri" w:cs="Arial"/>
          <w:b/>
          <w:spacing w:val="-3"/>
          <w:lang w:val="en-US"/>
        </w:rPr>
        <w:sectPr w:rsidR="007643F8" w:rsidRPr="00537128" w:rsidSect="00712478">
          <w:headerReference w:type="default" r:id="rId38"/>
          <w:pgSz w:w="11906" w:h="16838"/>
          <w:pgMar w:top="1418" w:right="1134" w:bottom="1418" w:left="1418" w:header="709" w:footer="709" w:gutter="0"/>
          <w:cols w:space="708"/>
          <w:docGrid w:linePitch="360"/>
        </w:sectPr>
      </w:pPr>
    </w:p>
    <w:p w14:paraId="2A3C6B6E" w14:textId="77777777" w:rsidR="007643F8" w:rsidRPr="00537128" w:rsidRDefault="007643F8" w:rsidP="00D27961">
      <w:pPr>
        <w:tabs>
          <w:tab w:val="left" w:pos="709"/>
        </w:tabs>
        <w:spacing w:after="0" w:line="240" w:lineRule="auto"/>
        <w:jc w:val="both"/>
        <w:rPr>
          <w:rFonts w:ascii="Calibri" w:eastAsia="Times New Roman" w:hAnsi="Calibri" w:cs="Arial"/>
          <w:b/>
          <w:spacing w:val="-3"/>
          <w:lang w:val="en-US"/>
        </w:rPr>
      </w:pPr>
    </w:p>
    <w:tbl>
      <w:tblPr>
        <w:tblpPr w:leftFromText="180" w:rightFromText="180" w:vertAnchor="page" w:horzAnchor="margin" w:tblpXSpec="center" w:tblpY="2922"/>
        <w:tblW w:w="5250" w:type="pct"/>
        <w:tblCellMar>
          <w:left w:w="120" w:type="dxa"/>
          <w:right w:w="120" w:type="dxa"/>
        </w:tblCellMar>
        <w:tblLook w:val="04A0" w:firstRow="1" w:lastRow="0" w:firstColumn="1" w:lastColumn="0" w:noHBand="0" w:noVBand="1"/>
      </w:tblPr>
      <w:tblGrid>
        <w:gridCol w:w="2676"/>
        <w:gridCol w:w="1031"/>
        <w:gridCol w:w="1222"/>
        <w:gridCol w:w="1128"/>
        <w:gridCol w:w="1255"/>
        <w:gridCol w:w="1255"/>
        <w:gridCol w:w="1255"/>
      </w:tblGrid>
      <w:tr w:rsidR="00B66149" w:rsidRPr="00537128" w14:paraId="0763C5AC" w14:textId="77777777" w:rsidTr="004D0E64">
        <w:trPr>
          <w:trHeight w:val="778"/>
        </w:trPr>
        <w:tc>
          <w:tcPr>
            <w:tcW w:w="1362" w:type="pct"/>
          </w:tcPr>
          <w:p w14:paraId="23148DC5" w14:textId="77777777" w:rsidR="00B66149" w:rsidRPr="00537128" w:rsidRDefault="00B66149" w:rsidP="001E7D22">
            <w:pPr>
              <w:tabs>
                <w:tab w:val="right" w:pos="1202"/>
              </w:tabs>
              <w:spacing w:after="0" w:line="301" w:lineRule="exact"/>
              <w:outlineLvl w:val="0"/>
              <w:rPr>
                <w:rFonts w:ascii="Calibri" w:eastAsia="Times New Roman" w:hAnsi="Calibri" w:cs="Calibri"/>
                <w:b/>
                <w:iCs/>
                <w:sz w:val="17"/>
                <w:szCs w:val="17"/>
                <w:lang w:val="en-US"/>
              </w:rPr>
            </w:pPr>
          </w:p>
        </w:tc>
        <w:tc>
          <w:tcPr>
            <w:tcW w:w="525" w:type="pct"/>
            <w:vAlign w:val="bottom"/>
            <w:hideMark/>
          </w:tcPr>
          <w:p w14:paraId="668F7B8E" w14:textId="77777777" w:rsidR="00B66149" w:rsidRPr="00537128" w:rsidRDefault="00B66149" w:rsidP="001E7D22">
            <w:pPr>
              <w:tabs>
                <w:tab w:val="right" w:pos="1202"/>
              </w:tabs>
              <w:spacing w:after="0" w:line="301" w:lineRule="exact"/>
              <w:jc w:val="right"/>
              <w:outlineLvl w:val="0"/>
              <w:rPr>
                <w:rFonts w:ascii="Calibri" w:eastAsia="Times New Roman" w:hAnsi="Calibri" w:cs="Calibri"/>
                <w:b/>
                <w:iCs/>
                <w:sz w:val="17"/>
                <w:szCs w:val="17"/>
                <w:lang w:val="en-US"/>
              </w:rPr>
            </w:pPr>
            <w:bookmarkStart w:id="1283" w:name="_Toc4063577"/>
            <w:r w:rsidRPr="00537128">
              <w:rPr>
                <w:rFonts w:ascii="Calibri" w:eastAsia="Times New Roman" w:hAnsi="Calibri" w:cs="Calibri"/>
                <w:b/>
                <w:iCs/>
                <w:sz w:val="17"/>
                <w:szCs w:val="17"/>
                <w:lang w:val="en-US"/>
              </w:rPr>
              <w:t>Share</w:t>
            </w:r>
            <w:bookmarkEnd w:id="1283"/>
            <w:r w:rsidRPr="00537128">
              <w:rPr>
                <w:rFonts w:ascii="Calibri" w:eastAsia="Times New Roman" w:hAnsi="Calibri" w:cs="Calibri"/>
                <w:b/>
                <w:iCs/>
                <w:sz w:val="17"/>
                <w:szCs w:val="17"/>
                <w:lang w:val="en-US"/>
              </w:rPr>
              <w:t xml:space="preserve"> </w:t>
            </w:r>
          </w:p>
          <w:p w14:paraId="2983F13F" w14:textId="77777777" w:rsidR="00B66149" w:rsidRPr="00537128" w:rsidRDefault="00B66149" w:rsidP="001E7D22">
            <w:pPr>
              <w:tabs>
                <w:tab w:val="right" w:pos="1202"/>
              </w:tabs>
              <w:spacing w:after="0" w:line="301" w:lineRule="exact"/>
              <w:jc w:val="right"/>
              <w:outlineLvl w:val="0"/>
              <w:rPr>
                <w:rFonts w:ascii="Calibri" w:eastAsia="Times New Roman" w:hAnsi="Calibri" w:cs="Calibri"/>
                <w:b/>
                <w:iCs/>
                <w:sz w:val="17"/>
                <w:szCs w:val="17"/>
                <w:lang w:val="en-US"/>
              </w:rPr>
            </w:pPr>
            <w:bookmarkStart w:id="1284" w:name="_Toc4063578"/>
            <w:r w:rsidRPr="00537128">
              <w:rPr>
                <w:rFonts w:ascii="Calibri" w:eastAsia="Times New Roman" w:hAnsi="Calibri" w:cs="Calibri"/>
                <w:b/>
                <w:iCs/>
                <w:sz w:val="17"/>
                <w:szCs w:val="17"/>
                <w:lang w:val="en-US"/>
              </w:rPr>
              <w:t>capital</w:t>
            </w:r>
            <w:bookmarkEnd w:id="1284"/>
          </w:p>
        </w:tc>
        <w:tc>
          <w:tcPr>
            <w:tcW w:w="622" w:type="pct"/>
            <w:vAlign w:val="bottom"/>
            <w:hideMark/>
          </w:tcPr>
          <w:p w14:paraId="45CABEA0" w14:textId="77777777" w:rsidR="00B66149" w:rsidRPr="00537128" w:rsidRDefault="00B66149" w:rsidP="001E7D22">
            <w:pPr>
              <w:tabs>
                <w:tab w:val="right" w:pos="1202"/>
              </w:tabs>
              <w:spacing w:after="0" w:line="301" w:lineRule="exact"/>
              <w:ind w:left="67" w:hanging="142"/>
              <w:jc w:val="right"/>
              <w:outlineLvl w:val="0"/>
              <w:rPr>
                <w:rFonts w:ascii="Calibri" w:eastAsia="Times New Roman" w:hAnsi="Calibri" w:cs="Calibri"/>
                <w:b/>
                <w:iCs/>
                <w:sz w:val="17"/>
                <w:szCs w:val="17"/>
                <w:lang w:val="en-US"/>
              </w:rPr>
            </w:pPr>
            <w:bookmarkStart w:id="1285" w:name="_Toc4063579"/>
            <w:r w:rsidRPr="00537128">
              <w:rPr>
                <w:rFonts w:ascii="Calibri" w:eastAsia="Times New Roman" w:hAnsi="Calibri" w:cs="Calibri"/>
                <w:b/>
                <w:iCs/>
                <w:sz w:val="17"/>
                <w:szCs w:val="17"/>
                <w:lang w:val="en-US"/>
              </w:rPr>
              <w:t>Retained earnings and reserves</w:t>
            </w:r>
            <w:bookmarkEnd w:id="1285"/>
          </w:p>
        </w:tc>
        <w:tc>
          <w:tcPr>
            <w:tcW w:w="574" w:type="pct"/>
            <w:vAlign w:val="bottom"/>
            <w:hideMark/>
          </w:tcPr>
          <w:p w14:paraId="0DFFD792" w14:textId="77777777" w:rsidR="00B66149" w:rsidRPr="00537128" w:rsidRDefault="00B66149" w:rsidP="001E7D22">
            <w:pPr>
              <w:tabs>
                <w:tab w:val="right" w:pos="1202"/>
              </w:tabs>
              <w:spacing w:after="0" w:line="301" w:lineRule="exact"/>
              <w:jc w:val="right"/>
              <w:outlineLvl w:val="0"/>
              <w:rPr>
                <w:rFonts w:ascii="Calibri" w:eastAsia="Times New Roman" w:hAnsi="Calibri" w:cs="Calibri"/>
                <w:b/>
                <w:iCs/>
                <w:sz w:val="17"/>
                <w:szCs w:val="17"/>
                <w:lang w:val="en-US"/>
              </w:rPr>
            </w:pPr>
            <w:bookmarkStart w:id="1286" w:name="_Toc4063580"/>
            <w:r w:rsidRPr="00537128">
              <w:rPr>
                <w:rFonts w:ascii="Calibri" w:eastAsia="Times New Roman" w:hAnsi="Calibri" w:cs="Calibri"/>
                <w:b/>
                <w:iCs/>
                <w:sz w:val="17"/>
                <w:szCs w:val="17"/>
                <w:lang w:val="en-US"/>
              </w:rPr>
              <w:t>Other reserves</w:t>
            </w:r>
            <w:bookmarkEnd w:id="1286"/>
          </w:p>
        </w:tc>
        <w:tc>
          <w:tcPr>
            <w:tcW w:w="639" w:type="pct"/>
            <w:vAlign w:val="bottom"/>
            <w:hideMark/>
          </w:tcPr>
          <w:p w14:paraId="2AFDAE8B" w14:textId="32431460" w:rsidR="00B66149" w:rsidRPr="00537128" w:rsidRDefault="004449D4" w:rsidP="001E7D22">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eastAsia="Times New Roman" w:hAnsi="Calibri" w:cs="Calibri"/>
                <w:b/>
                <w:iCs/>
                <w:sz w:val="17"/>
                <w:szCs w:val="17"/>
                <w:lang w:val="en-US"/>
              </w:rPr>
              <w:t>(Loss)/</w:t>
            </w:r>
            <w:r w:rsidR="00B66149" w:rsidRPr="00537128">
              <w:rPr>
                <w:rFonts w:ascii="Calibri" w:eastAsia="Times New Roman" w:hAnsi="Calibri" w:cs="Calibri"/>
                <w:b/>
                <w:iCs/>
                <w:sz w:val="17"/>
                <w:szCs w:val="17"/>
                <w:lang w:val="en-US"/>
              </w:rPr>
              <w:t xml:space="preserve">Profit for the </w:t>
            </w:r>
            <w:r>
              <w:rPr>
                <w:rFonts w:ascii="Calibri" w:eastAsia="Times New Roman" w:hAnsi="Calibri" w:cs="Calibri"/>
                <w:b/>
                <w:iCs/>
                <w:sz w:val="17"/>
                <w:szCs w:val="17"/>
                <w:lang w:val="en-US"/>
              </w:rPr>
              <w:t>period</w:t>
            </w:r>
          </w:p>
        </w:tc>
        <w:tc>
          <w:tcPr>
            <w:tcW w:w="639" w:type="pct"/>
            <w:vAlign w:val="bottom"/>
            <w:hideMark/>
          </w:tcPr>
          <w:p w14:paraId="611DCE4E" w14:textId="77777777" w:rsidR="00B66149" w:rsidRPr="00537128" w:rsidRDefault="00B66149" w:rsidP="001E7D22">
            <w:pPr>
              <w:tabs>
                <w:tab w:val="right" w:pos="1202"/>
              </w:tabs>
              <w:spacing w:after="0" w:line="240" w:lineRule="exact"/>
              <w:jc w:val="right"/>
              <w:outlineLvl w:val="0"/>
              <w:rPr>
                <w:rFonts w:ascii="Calibri" w:eastAsia="Times New Roman" w:hAnsi="Calibri" w:cs="Calibri"/>
                <w:b/>
                <w:iCs/>
                <w:sz w:val="17"/>
                <w:szCs w:val="17"/>
                <w:lang w:val="en-US"/>
              </w:rPr>
            </w:pPr>
            <w:bookmarkStart w:id="1287" w:name="_Toc4063582"/>
            <w:r w:rsidRPr="00537128">
              <w:rPr>
                <w:rFonts w:ascii="Calibri" w:eastAsia="Times New Roman" w:hAnsi="Calibri" w:cs="Calibri"/>
                <w:b/>
                <w:iCs/>
                <w:sz w:val="17"/>
                <w:szCs w:val="17"/>
                <w:lang w:val="en-US"/>
              </w:rPr>
              <w:t>Total equity attributable to the equity holders of the Company</w:t>
            </w:r>
            <w:bookmarkEnd w:id="1287"/>
          </w:p>
        </w:tc>
        <w:tc>
          <w:tcPr>
            <w:tcW w:w="639" w:type="pct"/>
            <w:vAlign w:val="bottom"/>
            <w:hideMark/>
          </w:tcPr>
          <w:p w14:paraId="4F806EEF" w14:textId="77777777" w:rsidR="00B66149" w:rsidRPr="00537128" w:rsidRDefault="00B66149" w:rsidP="001E7D22">
            <w:pPr>
              <w:tabs>
                <w:tab w:val="right" w:pos="1202"/>
              </w:tabs>
              <w:spacing w:after="0" w:line="301" w:lineRule="exact"/>
              <w:jc w:val="right"/>
              <w:outlineLvl w:val="0"/>
              <w:rPr>
                <w:rFonts w:ascii="Calibri" w:eastAsia="Times New Roman" w:hAnsi="Calibri" w:cs="Calibri"/>
                <w:b/>
                <w:iCs/>
                <w:sz w:val="17"/>
                <w:szCs w:val="17"/>
                <w:lang w:val="en-US"/>
              </w:rPr>
            </w:pPr>
            <w:bookmarkStart w:id="1288" w:name="_Toc4063583"/>
            <w:r w:rsidRPr="00537128">
              <w:rPr>
                <w:rFonts w:ascii="Calibri" w:eastAsia="Times New Roman" w:hAnsi="Calibri" w:cs="Calibri"/>
                <w:b/>
                <w:iCs/>
                <w:sz w:val="17"/>
                <w:szCs w:val="17"/>
                <w:lang w:val="en-US"/>
              </w:rPr>
              <w:t>Total</w:t>
            </w:r>
            <w:bookmarkEnd w:id="1288"/>
            <w:r w:rsidRPr="00537128">
              <w:rPr>
                <w:rFonts w:ascii="Calibri" w:eastAsia="Times New Roman" w:hAnsi="Calibri" w:cs="Calibri"/>
                <w:b/>
                <w:iCs/>
                <w:sz w:val="17"/>
                <w:szCs w:val="17"/>
                <w:lang w:val="en-US"/>
              </w:rPr>
              <w:t xml:space="preserve"> </w:t>
            </w:r>
          </w:p>
          <w:p w14:paraId="0D2CB68C" w14:textId="77777777" w:rsidR="00B66149" w:rsidRPr="00537128" w:rsidRDefault="00B66149" w:rsidP="001E7D22">
            <w:pPr>
              <w:tabs>
                <w:tab w:val="right" w:pos="1202"/>
              </w:tabs>
              <w:spacing w:after="0" w:line="301" w:lineRule="exact"/>
              <w:jc w:val="right"/>
              <w:outlineLvl w:val="0"/>
              <w:rPr>
                <w:rFonts w:ascii="Calibri" w:eastAsia="Times New Roman" w:hAnsi="Calibri" w:cs="Calibri"/>
                <w:b/>
                <w:iCs/>
                <w:sz w:val="17"/>
                <w:szCs w:val="17"/>
                <w:lang w:val="en-US"/>
              </w:rPr>
            </w:pPr>
            <w:bookmarkStart w:id="1289" w:name="_Toc4063584"/>
            <w:r w:rsidRPr="00537128">
              <w:rPr>
                <w:rFonts w:ascii="Calibri" w:eastAsia="Times New Roman" w:hAnsi="Calibri" w:cs="Calibri"/>
                <w:b/>
                <w:iCs/>
                <w:sz w:val="17"/>
                <w:szCs w:val="17"/>
                <w:lang w:val="en-US"/>
              </w:rPr>
              <w:t>equity</w:t>
            </w:r>
            <w:bookmarkEnd w:id="1289"/>
          </w:p>
        </w:tc>
      </w:tr>
      <w:tr w:rsidR="00B66149" w:rsidRPr="00537128" w14:paraId="43D0F281" w14:textId="77777777" w:rsidTr="004D0E64">
        <w:trPr>
          <w:trHeight w:hRule="exact" w:val="282"/>
        </w:trPr>
        <w:tc>
          <w:tcPr>
            <w:tcW w:w="1362" w:type="pct"/>
            <w:vAlign w:val="center"/>
          </w:tcPr>
          <w:p w14:paraId="19A2FC6D" w14:textId="77777777" w:rsidR="00B66149" w:rsidRPr="00537128" w:rsidRDefault="00B66149" w:rsidP="001E7D22">
            <w:pPr>
              <w:tabs>
                <w:tab w:val="right" w:pos="1202"/>
              </w:tabs>
              <w:spacing w:after="0" w:line="140" w:lineRule="exact"/>
              <w:outlineLvl w:val="0"/>
              <w:rPr>
                <w:rFonts w:ascii="Calibri" w:eastAsia="Times New Roman" w:hAnsi="Calibri" w:cs="Calibri"/>
                <w:iCs/>
                <w:sz w:val="17"/>
                <w:szCs w:val="17"/>
                <w:lang w:val="en-US"/>
              </w:rPr>
            </w:pPr>
          </w:p>
        </w:tc>
        <w:tc>
          <w:tcPr>
            <w:tcW w:w="525" w:type="pct"/>
            <w:vAlign w:val="bottom"/>
            <w:hideMark/>
          </w:tcPr>
          <w:p w14:paraId="1CBAAA21" w14:textId="77777777" w:rsidR="00B66149" w:rsidRPr="00537128" w:rsidRDefault="00B66149" w:rsidP="001E7D22">
            <w:pPr>
              <w:tabs>
                <w:tab w:val="right" w:pos="1202"/>
              </w:tabs>
              <w:spacing w:after="0" w:line="240" w:lineRule="auto"/>
              <w:jc w:val="right"/>
              <w:outlineLvl w:val="0"/>
              <w:rPr>
                <w:rFonts w:ascii="Calibri" w:eastAsia="Times New Roman" w:hAnsi="Calibri" w:cs="Calibri"/>
                <w:b/>
                <w:bCs/>
                <w:sz w:val="17"/>
                <w:szCs w:val="17"/>
                <w:lang w:val="en-US"/>
              </w:rPr>
            </w:pPr>
            <w:bookmarkStart w:id="1290" w:name="_Toc4063585"/>
            <w:r w:rsidRPr="00537128">
              <w:rPr>
                <w:rFonts w:ascii="Calibri" w:eastAsia="Times New Roman" w:hAnsi="Calibri" w:cs="Calibri"/>
                <w:b/>
                <w:bCs/>
                <w:sz w:val="17"/>
                <w:szCs w:val="17"/>
                <w:lang w:val="en-US"/>
              </w:rPr>
              <w:t>HRK ‘000</w:t>
            </w:r>
            <w:bookmarkEnd w:id="1290"/>
          </w:p>
        </w:tc>
        <w:tc>
          <w:tcPr>
            <w:tcW w:w="622" w:type="pct"/>
            <w:vAlign w:val="bottom"/>
            <w:hideMark/>
          </w:tcPr>
          <w:p w14:paraId="401D873C" w14:textId="77777777" w:rsidR="00B66149" w:rsidRPr="00537128" w:rsidRDefault="00B66149" w:rsidP="001E7D22">
            <w:pPr>
              <w:tabs>
                <w:tab w:val="right" w:pos="1202"/>
              </w:tabs>
              <w:spacing w:after="0" w:line="240" w:lineRule="auto"/>
              <w:jc w:val="right"/>
              <w:outlineLvl w:val="0"/>
              <w:rPr>
                <w:rFonts w:ascii="Calibri" w:eastAsia="Times New Roman" w:hAnsi="Calibri" w:cs="Calibri"/>
                <w:b/>
                <w:bCs/>
                <w:sz w:val="17"/>
                <w:szCs w:val="17"/>
                <w:lang w:val="en-US"/>
              </w:rPr>
            </w:pPr>
            <w:bookmarkStart w:id="1291" w:name="_Toc4063586"/>
            <w:r w:rsidRPr="00537128">
              <w:rPr>
                <w:rFonts w:ascii="Calibri" w:eastAsia="Times New Roman" w:hAnsi="Calibri" w:cs="Calibri"/>
                <w:b/>
                <w:bCs/>
                <w:sz w:val="17"/>
                <w:szCs w:val="17"/>
                <w:lang w:val="en-US"/>
              </w:rPr>
              <w:t>HRK ‘000</w:t>
            </w:r>
            <w:bookmarkEnd w:id="1291"/>
          </w:p>
        </w:tc>
        <w:tc>
          <w:tcPr>
            <w:tcW w:w="574" w:type="pct"/>
            <w:vAlign w:val="bottom"/>
            <w:hideMark/>
          </w:tcPr>
          <w:p w14:paraId="47D9DB11" w14:textId="77777777" w:rsidR="00B66149" w:rsidRPr="00537128" w:rsidRDefault="00B66149" w:rsidP="001E7D22">
            <w:pPr>
              <w:tabs>
                <w:tab w:val="right" w:pos="1202"/>
              </w:tabs>
              <w:spacing w:after="0" w:line="240" w:lineRule="auto"/>
              <w:jc w:val="right"/>
              <w:outlineLvl w:val="0"/>
              <w:rPr>
                <w:rFonts w:ascii="Calibri" w:eastAsia="Times New Roman" w:hAnsi="Calibri" w:cs="Calibri"/>
                <w:b/>
                <w:bCs/>
                <w:sz w:val="17"/>
                <w:szCs w:val="17"/>
                <w:lang w:val="en-US"/>
              </w:rPr>
            </w:pPr>
            <w:bookmarkStart w:id="1292" w:name="_Toc4063587"/>
            <w:r w:rsidRPr="00537128">
              <w:rPr>
                <w:rFonts w:ascii="Calibri" w:eastAsia="Times New Roman" w:hAnsi="Calibri" w:cs="Calibri"/>
                <w:b/>
                <w:bCs/>
                <w:sz w:val="17"/>
                <w:szCs w:val="17"/>
                <w:lang w:val="en-US"/>
              </w:rPr>
              <w:t>HRK ‘000</w:t>
            </w:r>
            <w:bookmarkEnd w:id="1292"/>
          </w:p>
        </w:tc>
        <w:tc>
          <w:tcPr>
            <w:tcW w:w="639" w:type="pct"/>
            <w:vAlign w:val="bottom"/>
            <w:hideMark/>
          </w:tcPr>
          <w:p w14:paraId="0BB605F4" w14:textId="77777777" w:rsidR="00B66149" w:rsidRPr="00537128" w:rsidRDefault="00B66149" w:rsidP="001E7D22">
            <w:pPr>
              <w:tabs>
                <w:tab w:val="right" w:pos="1202"/>
              </w:tabs>
              <w:spacing w:after="0" w:line="240" w:lineRule="auto"/>
              <w:jc w:val="right"/>
              <w:outlineLvl w:val="0"/>
              <w:rPr>
                <w:rFonts w:ascii="Calibri" w:eastAsia="Times New Roman" w:hAnsi="Calibri" w:cs="Calibri"/>
                <w:b/>
                <w:bCs/>
                <w:sz w:val="17"/>
                <w:szCs w:val="17"/>
                <w:lang w:val="en-US"/>
              </w:rPr>
            </w:pPr>
            <w:bookmarkStart w:id="1293" w:name="_Toc4063588"/>
            <w:r w:rsidRPr="00537128">
              <w:rPr>
                <w:rFonts w:ascii="Calibri" w:eastAsia="Times New Roman" w:hAnsi="Calibri" w:cs="Calibri"/>
                <w:b/>
                <w:bCs/>
                <w:sz w:val="17"/>
                <w:szCs w:val="17"/>
                <w:lang w:val="en-US"/>
              </w:rPr>
              <w:t>HRK ‘000</w:t>
            </w:r>
            <w:bookmarkEnd w:id="1293"/>
          </w:p>
        </w:tc>
        <w:tc>
          <w:tcPr>
            <w:tcW w:w="639" w:type="pct"/>
            <w:vAlign w:val="bottom"/>
            <w:hideMark/>
          </w:tcPr>
          <w:p w14:paraId="610F0EE5" w14:textId="77777777" w:rsidR="00B66149" w:rsidRPr="00537128" w:rsidRDefault="00B66149" w:rsidP="001E7D22">
            <w:pPr>
              <w:tabs>
                <w:tab w:val="right" w:pos="1202"/>
              </w:tabs>
              <w:spacing w:after="0" w:line="240" w:lineRule="auto"/>
              <w:jc w:val="right"/>
              <w:outlineLvl w:val="0"/>
              <w:rPr>
                <w:rFonts w:ascii="Calibri" w:eastAsia="Times New Roman" w:hAnsi="Calibri" w:cs="Calibri"/>
                <w:b/>
                <w:bCs/>
                <w:sz w:val="17"/>
                <w:szCs w:val="17"/>
                <w:lang w:val="en-US"/>
              </w:rPr>
            </w:pPr>
            <w:bookmarkStart w:id="1294" w:name="_Toc4063589"/>
            <w:r w:rsidRPr="00537128">
              <w:rPr>
                <w:rFonts w:ascii="Calibri" w:eastAsia="Times New Roman" w:hAnsi="Calibri" w:cs="Calibri"/>
                <w:b/>
                <w:bCs/>
                <w:sz w:val="17"/>
                <w:szCs w:val="17"/>
                <w:lang w:val="en-US"/>
              </w:rPr>
              <w:t>HRK ‘000</w:t>
            </w:r>
            <w:bookmarkEnd w:id="1294"/>
          </w:p>
        </w:tc>
        <w:tc>
          <w:tcPr>
            <w:tcW w:w="639" w:type="pct"/>
            <w:vAlign w:val="bottom"/>
            <w:hideMark/>
          </w:tcPr>
          <w:p w14:paraId="19BB5C4F" w14:textId="77777777" w:rsidR="00B66149" w:rsidRPr="00537128" w:rsidRDefault="00B66149" w:rsidP="001E7D22">
            <w:pPr>
              <w:tabs>
                <w:tab w:val="right" w:pos="1202"/>
              </w:tabs>
              <w:spacing w:after="0" w:line="240" w:lineRule="auto"/>
              <w:jc w:val="right"/>
              <w:outlineLvl w:val="0"/>
              <w:rPr>
                <w:rFonts w:ascii="Calibri" w:eastAsia="Times New Roman" w:hAnsi="Calibri" w:cs="Calibri"/>
                <w:b/>
                <w:bCs/>
                <w:sz w:val="17"/>
                <w:szCs w:val="17"/>
                <w:lang w:val="en-US"/>
              </w:rPr>
            </w:pPr>
            <w:bookmarkStart w:id="1295" w:name="_Toc4063590"/>
            <w:r w:rsidRPr="00537128">
              <w:rPr>
                <w:rFonts w:ascii="Calibri" w:eastAsia="Times New Roman" w:hAnsi="Calibri" w:cs="Calibri"/>
                <w:b/>
                <w:bCs/>
                <w:sz w:val="17"/>
                <w:szCs w:val="17"/>
                <w:lang w:val="en-US"/>
              </w:rPr>
              <w:t>HRK ‘000</w:t>
            </w:r>
            <w:bookmarkEnd w:id="1295"/>
          </w:p>
        </w:tc>
      </w:tr>
      <w:tr w:rsidR="00E213A2" w:rsidRPr="00537128" w14:paraId="430892A2" w14:textId="77777777" w:rsidTr="004D0E64">
        <w:trPr>
          <w:trHeight w:val="470"/>
        </w:trPr>
        <w:tc>
          <w:tcPr>
            <w:tcW w:w="1362" w:type="pct"/>
            <w:vAlign w:val="bottom"/>
            <w:hideMark/>
          </w:tcPr>
          <w:p w14:paraId="41F4145B" w14:textId="70E63184" w:rsidR="00E213A2" w:rsidRPr="00537128" w:rsidRDefault="00E213A2" w:rsidP="00E213A2">
            <w:pPr>
              <w:tabs>
                <w:tab w:val="right" w:pos="1202"/>
              </w:tabs>
              <w:spacing w:after="0" w:line="240" w:lineRule="exact"/>
              <w:outlineLvl w:val="0"/>
              <w:rPr>
                <w:rFonts w:ascii="Calibri" w:eastAsia="Times New Roman" w:hAnsi="Calibri" w:cs="Calibri"/>
                <w:b/>
                <w:iCs/>
                <w:sz w:val="17"/>
                <w:szCs w:val="17"/>
                <w:lang w:val="en-US"/>
              </w:rPr>
            </w:pPr>
            <w:bookmarkStart w:id="1296" w:name="_Toc4063591"/>
            <w:r w:rsidRPr="00537128">
              <w:rPr>
                <w:rFonts w:ascii="Calibri" w:eastAsia="Times New Roman" w:hAnsi="Calibri" w:cs="Calibri"/>
                <w:b/>
                <w:iCs/>
                <w:sz w:val="17"/>
                <w:szCs w:val="17"/>
                <w:lang w:val="en-US"/>
              </w:rPr>
              <w:t>Balance as of 1 January 20</w:t>
            </w:r>
            <w:bookmarkEnd w:id="1296"/>
            <w:r w:rsidRPr="00537128">
              <w:rPr>
                <w:rFonts w:ascii="Calibri" w:eastAsia="Times New Roman" w:hAnsi="Calibri" w:cs="Calibri"/>
                <w:b/>
                <w:iCs/>
                <w:sz w:val="17"/>
                <w:szCs w:val="17"/>
                <w:lang w:val="en-US"/>
              </w:rPr>
              <w:t>2</w:t>
            </w:r>
            <w:r w:rsidR="004D0E64">
              <w:rPr>
                <w:rFonts w:ascii="Calibri" w:eastAsia="Times New Roman" w:hAnsi="Calibri" w:cs="Calibri"/>
                <w:b/>
                <w:iCs/>
                <w:sz w:val="17"/>
                <w:szCs w:val="17"/>
                <w:lang w:val="en-US"/>
              </w:rPr>
              <w:t>1</w:t>
            </w:r>
          </w:p>
        </w:tc>
        <w:tc>
          <w:tcPr>
            <w:tcW w:w="525" w:type="pct"/>
            <w:tcBorders>
              <w:top w:val="nil"/>
              <w:left w:val="nil"/>
              <w:bottom w:val="single" w:sz="12" w:space="0" w:color="auto"/>
              <w:right w:val="nil"/>
            </w:tcBorders>
            <w:shd w:val="clear" w:color="auto" w:fill="auto"/>
            <w:vAlign w:val="bottom"/>
          </w:tcPr>
          <w:p w14:paraId="4BBDCA90" w14:textId="1DE0C8FB" w:rsidR="00E213A2" w:rsidRPr="00537128" w:rsidRDefault="00E213A2" w:rsidP="00E213A2">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hAnsi="Calibri" w:cs="Calibri"/>
                <w:b/>
                <w:bCs/>
                <w:color w:val="000000"/>
                <w:sz w:val="17"/>
                <w:szCs w:val="17"/>
                <w:lang w:val="en-US"/>
              </w:rPr>
              <w:t>37,500</w:t>
            </w:r>
          </w:p>
        </w:tc>
        <w:tc>
          <w:tcPr>
            <w:tcW w:w="622" w:type="pct"/>
            <w:tcBorders>
              <w:top w:val="nil"/>
              <w:left w:val="nil"/>
              <w:bottom w:val="single" w:sz="12" w:space="0" w:color="auto"/>
              <w:right w:val="nil"/>
            </w:tcBorders>
            <w:shd w:val="clear" w:color="auto" w:fill="auto"/>
            <w:vAlign w:val="bottom"/>
          </w:tcPr>
          <w:p w14:paraId="4B10D88B" w14:textId="16D6AD08" w:rsidR="00E213A2" w:rsidRPr="00537128" w:rsidRDefault="00E213A2" w:rsidP="00E213A2">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hAnsi="Calibri" w:cs="Calibri"/>
                <w:b/>
                <w:bCs/>
                <w:color w:val="000000"/>
                <w:sz w:val="17"/>
                <w:szCs w:val="17"/>
                <w:lang w:val="en-US"/>
              </w:rPr>
              <w:t>1,749</w:t>
            </w:r>
          </w:p>
        </w:tc>
        <w:tc>
          <w:tcPr>
            <w:tcW w:w="574" w:type="pct"/>
            <w:tcBorders>
              <w:top w:val="nil"/>
              <w:left w:val="nil"/>
              <w:bottom w:val="single" w:sz="12" w:space="0" w:color="auto"/>
              <w:right w:val="nil"/>
            </w:tcBorders>
            <w:shd w:val="clear" w:color="auto" w:fill="auto"/>
            <w:vAlign w:val="bottom"/>
          </w:tcPr>
          <w:p w14:paraId="60502B5B" w14:textId="0269F80C" w:rsidR="00E213A2" w:rsidRPr="00537128" w:rsidRDefault="00E213A2" w:rsidP="00E213A2">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hAnsi="Calibri" w:cs="Calibri"/>
                <w:b/>
                <w:bCs/>
                <w:color w:val="000000"/>
                <w:sz w:val="17"/>
                <w:szCs w:val="17"/>
                <w:lang w:val="en-US"/>
              </w:rPr>
              <w:t>3,825</w:t>
            </w:r>
          </w:p>
        </w:tc>
        <w:tc>
          <w:tcPr>
            <w:tcW w:w="639" w:type="pct"/>
            <w:tcBorders>
              <w:top w:val="nil"/>
              <w:left w:val="nil"/>
              <w:bottom w:val="single" w:sz="12" w:space="0" w:color="auto"/>
              <w:right w:val="nil"/>
            </w:tcBorders>
            <w:shd w:val="clear" w:color="auto" w:fill="auto"/>
            <w:vAlign w:val="bottom"/>
          </w:tcPr>
          <w:p w14:paraId="7E9C1A3F" w14:textId="4106ADDD" w:rsidR="00E213A2" w:rsidRPr="00537128" w:rsidRDefault="00E213A2" w:rsidP="00E213A2">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hAnsi="Calibri" w:cs="Calibri"/>
                <w:b/>
                <w:bCs/>
                <w:color w:val="000000"/>
                <w:sz w:val="17"/>
                <w:szCs w:val="17"/>
                <w:lang w:val="en-US"/>
              </w:rPr>
              <w:t>2,192</w:t>
            </w:r>
          </w:p>
        </w:tc>
        <w:tc>
          <w:tcPr>
            <w:tcW w:w="639" w:type="pct"/>
            <w:tcBorders>
              <w:top w:val="nil"/>
              <w:left w:val="nil"/>
              <w:bottom w:val="single" w:sz="12" w:space="0" w:color="auto"/>
              <w:right w:val="nil"/>
            </w:tcBorders>
            <w:shd w:val="clear" w:color="auto" w:fill="auto"/>
            <w:vAlign w:val="bottom"/>
          </w:tcPr>
          <w:p w14:paraId="45A7DB12" w14:textId="5B9CF508" w:rsidR="00E213A2" w:rsidRPr="00537128" w:rsidRDefault="00E213A2" w:rsidP="00E213A2">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hAnsi="Calibri" w:cs="Calibri"/>
                <w:b/>
                <w:bCs/>
                <w:color w:val="000000"/>
                <w:sz w:val="17"/>
                <w:szCs w:val="17"/>
                <w:lang w:val="en-US"/>
              </w:rPr>
              <w:t>45,266</w:t>
            </w:r>
          </w:p>
        </w:tc>
        <w:tc>
          <w:tcPr>
            <w:tcW w:w="639" w:type="pct"/>
            <w:tcBorders>
              <w:top w:val="nil"/>
              <w:left w:val="nil"/>
              <w:bottom w:val="single" w:sz="12" w:space="0" w:color="auto"/>
              <w:right w:val="nil"/>
            </w:tcBorders>
            <w:shd w:val="clear" w:color="auto" w:fill="auto"/>
            <w:vAlign w:val="bottom"/>
          </w:tcPr>
          <w:p w14:paraId="538C28DD" w14:textId="1E9C5066" w:rsidR="00E213A2" w:rsidRPr="00537128" w:rsidRDefault="00E213A2" w:rsidP="00E213A2">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hAnsi="Calibri" w:cs="Calibri"/>
                <w:b/>
                <w:bCs/>
                <w:color w:val="000000"/>
                <w:sz w:val="17"/>
                <w:szCs w:val="17"/>
                <w:lang w:val="en-US"/>
              </w:rPr>
              <w:t>45,266</w:t>
            </w:r>
          </w:p>
        </w:tc>
      </w:tr>
      <w:tr w:rsidR="00E213A2" w:rsidRPr="00537128" w14:paraId="2F4010B0" w14:textId="77777777" w:rsidTr="004D0E64">
        <w:trPr>
          <w:trHeight w:val="101"/>
        </w:trPr>
        <w:tc>
          <w:tcPr>
            <w:tcW w:w="1362" w:type="pct"/>
          </w:tcPr>
          <w:p w14:paraId="3AEE1D5B" w14:textId="77777777" w:rsidR="00E213A2" w:rsidRPr="00537128" w:rsidRDefault="00E213A2" w:rsidP="00E213A2">
            <w:pPr>
              <w:tabs>
                <w:tab w:val="right" w:pos="1202"/>
              </w:tabs>
              <w:spacing w:after="0" w:line="140" w:lineRule="exact"/>
              <w:jc w:val="right"/>
              <w:outlineLvl w:val="0"/>
              <w:rPr>
                <w:rFonts w:ascii="Calibri" w:eastAsia="Times New Roman" w:hAnsi="Calibri" w:cs="Calibri"/>
                <w:b/>
                <w:iCs/>
                <w:sz w:val="17"/>
                <w:szCs w:val="17"/>
                <w:lang w:val="en-US"/>
              </w:rPr>
            </w:pPr>
          </w:p>
        </w:tc>
        <w:tc>
          <w:tcPr>
            <w:tcW w:w="525" w:type="pct"/>
            <w:vAlign w:val="bottom"/>
          </w:tcPr>
          <w:p w14:paraId="5BE8F0FE" w14:textId="77777777" w:rsidR="00E213A2" w:rsidRPr="00537128" w:rsidRDefault="00E213A2" w:rsidP="00E213A2">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22" w:type="pct"/>
            <w:vAlign w:val="bottom"/>
          </w:tcPr>
          <w:p w14:paraId="12721E50" w14:textId="77777777" w:rsidR="00E213A2" w:rsidRPr="00537128" w:rsidRDefault="00E213A2" w:rsidP="00E213A2">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574" w:type="pct"/>
            <w:vAlign w:val="bottom"/>
          </w:tcPr>
          <w:p w14:paraId="3F0194F7" w14:textId="77777777" w:rsidR="00E213A2" w:rsidRPr="00537128" w:rsidRDefault="00E213A2" w:rsidP="00E213A2">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39" w:type="pct"/>
            <w:vAlign w:val="bottom"/>
          </w:tcPr>
          <w:p w14:paraId="3ABCA085" w14:textId="15E879D8" w:rsidR="00E213A2" w:rsidRPr="00537128" w:rsidRDefault="00E213A2" w:rsidP="00E213A2">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39" w:type="pct"/>
            <w:vAlign w:val="bottom"/>
          </w:tcPr>
          <w:p w14:paraId="7166F185" w14:textId="3828F269" w:rsidR="00E213A2" w:rsidRPr="00537128" w:rsidRDefault="00E213A2" w:rsidP="00E213A2">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39" w:type="pct"/>
            <w:tcBorders>
              <w:top w:val="nil"/>
              <w:left w:val="nil"/>
              <w:bottom w:val="nil"/>
              <w:right w:val="nil"/>
            </w:tcBorders>
            <w:shd w:val="clear" w:color="auto" w:fill="auto"/>
            <w:vAlign w:val="bottom"/>
          </w:tcPr>
          <w:p w14:paraId="154C680A" w14:textId="40D7F6EE" w:rsidR="00E213A2" w:rsidRPr="00537128" w:rsidRDefault="00E213A2" w:rsidP="00E213A2">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r>
      <w:tr w:rsidR="004D0E64" w:rsidRPr="00537128" w14:paraId="16F2AA98" w14:textId="77777777" w:rsidTr="004D0E64">
        <w:trPr>
          <w:trHeight w:val="76"/>
        </w:trPr>
        <w:tc>
          <w:tcPr>
            <w:tcW w:w="1362" w:type="pct"/>
            <w:vAlign w:val="bottom"/>
            <w:hideMark/>
          </w:tcPr>
          <w:p w14:paraId="47CD0D99" w14:textId="77777777" w:rsidR="004D0E64" w:rsidRPr="00537128" w:rsidRDefault="004D0E64" w:rsidP="004D0E64">
            <w:pPr>
              <w:tabs>
                <w:tab w:val="right" w:pos="1202"/>
              </w:tabs>
              <w:spacing w:after="0" w:line="240" w:lineRule="exact"/>
              <w:outlineLvl w:val="0"/>
              <w:rPr>
                <w:rFonts w:ascii="Calibri" w:eastAsia="Times New Roman" w:hAnsi="Calibri" w:cs="Calibri"/>
                <w:iCs/>
                <w:sz w:val="17"/>
                <w:szCs w:val="17"/>
                <w:lang w:val="en-US"/>
              </w:rPr>
            </w:pPr>
            <w:bookmarkStart w:id="1297" w:name="_Toc4063598"/>
            <w:r w:rsidRPr="00537128">
              <w:rPr>
                <w:rFonts w:ascii="Calibri" w:eastAsia="Times New Roman" w:hAnsi="Calibri" w:cs="Calibri"/>
                <w:iCs/>
                <w:sz w:val="17"/>
                <w:szCs w:val="17"/>
                <w:lang w:val="en-US"/>
              </w:rPr>
              <w:t>Profit for the</w:t>
            </w:r>
            <w:bookmarkEnd w:id="1297"/>
            <w:r w:rsidRPr="00537128">
              <w:rPr>
                <w:rFonts w:ascii="Calibri" w:eastAsia="Times New Roman" w:hAnsi="Calibri" w:cs="Calibri"/>
                <w:iCs/>
                <w:sz w:val="17"/>
                <w:szCs w:val="17"/>
                <w:lang w:val="en-US"/>
              </w:rPr>
              <w:t xml:space="preserve"> period</w:t>
            </w:r>
          </w:p>
        </w:tc>
        <w:tc>
          <w:tcPr>
            <w:tcW w:w="525" w:type="pct"/>
            <w:vAlign w:val="bottom"/>
          </w:tcPr>
          <w:p w14:paraId="208F825F" w14:textId="6CA58317" w:rsidR="004D0E64" w:rsidRPr="00537128" w:rsidRDefault="004D0E64" w:rsidP="004D0E64">
            <w:pPr>
              <w:tabs>
                <w:tab w:val="right" w:pos="1202"/>
              </w:tabs>
              <w:spacing w:after="0" w:line="301" w:lineRule="exact"/>
              <w:jc w:val="right"/>
              <w:outlineLvl w:val="0"/>
              <w:rPr>
                <w:rFonts w:ascii="Calibri" w:eastAsia="Times New Roman" w:hAnsi="Calibri" w:cs="Calibri"/>
                <w:iCs/>
                <w:sz w:val="17"/>
                <w:szCs w:val="17"/>
                <w:lang w:val="en-US"/>
              </w:rPr>
            </w:pPr>
          </w:p>
        </w:tc>
        <w:tc>
          <w:tcPr>
            <w:tcW w:w="622" w:type="pct"/>
            <w:vAlign w:val="bottom"/>
          </w:tcPr>
          <w:p w14:paraId="3C893D8B" w14:textId="24A3091C" w:rsidR="004D0E64" w:rsidRPr="00537128" w:rsidRDefault="004D0E64" w:rsidP="004D0E64">
            <w:pPr>
              <w:tabs>
                <w:tab w:val="right" w:pos="1202"/>
              </w:tabs>
              <w:spacing w:after="0" w:line="301" w:lineRule="exact"/>
              <w:jc w:val="right"/>
              <w:outlineLvl w:val="0"/>
              <w:rPr>
                <w:rFonts w:ascii="Calibri" w:eastAsia="Times New Roman" w:hAnsi="Calibri" w:cs="Calibri"/>
                <w:iCs/>
                <w:sz w:val="17"/>
                <w:szCs w:val="17"/>
                <w:lang w:val="en-US"/>
              </w:rPr>
            </w:pPr>
          </w:p>
        </w:tc>
        <w:tc>
          <w:tcPr>
            <w:tcW w:w="574" w:type="pct"/>
            <w:vAlign w:val="bottom"/>
          </w:tcPr>
          <w:p w14:paraId="780ADED3" w14:textId="1DA14579" w:rsidR="004D0E64" w:rsidRPr="00537128" w:rsidRDefault="004D0E64" w:rsidP="004D0E64">
            <w:pPr>
              <w:tabs>
                <w:tab w:val="right" w:pos="1202"/>
              </w:tabs>
              <w:spacing w:after="0" w:line="301" w:lineRule="exact"/>
              <w:jc w:val="right"/>
              <w:outlineLvl w:val="0"/>
              <w:rPr>
                <w:rFonts w:ascii="Calibri" w:eastAsia="Times New Roman" w:hAnsi="Calibri" w:cs="Calibri"/>
                <w:iCs/>
                <w:sz w:val="17"/>
                <w:szCs w:val="17"/>
                <w:lang w:val="en-US"/>
              </w:rPr>
            </w:pPr>
          </w:p>
        </w:tc>
        <w:tc>
          <w:tcPr>
            <w:tcW w:w="639" w:type="pct"/>
            <w:vAlign w:val="bottom"/>
          </w:tcPr>
          <w:p w14:paraId="541342FB" w14:textId="4EF305AD" w:rsidR="004D0E64" w:rsidRPr="00537128" w:rsidRDefault="004D0E64" w:rsidP="004D0E64">
            <w:pPr>
              <w:tabs>
                <w:tab w:val="right" w:pos="1202"/>
              </w:tabs>
              <w:spacing w:after="0" w:line="301" w:lineRule="exact"/>
              <w:jc w:val="right"/>
              <w:outlineLvl w:val="0"/>
              <w:rPr>
                <w:rFonts w:ascii="Calibri" w:eastAsia="Times New Roman" w:hAnsi="Calibri" w:cs="Calibri"/>
                <w:iCs/>
                <w:sz w:val="17"/>
                <w:szCs w:val="17"/>
                <w:lang w:val="en-US"/>
              </w:rPr>
            </w:pPr>
            <w:r>
              <w:rPr>
                <w:rFonts w:ascii="Calibri" w:hAnsi="Calibri" w:cs="Calibri"/>
                <w:iCs/>
                <w:color w:val="000000"/>
                <w:sz w:val="17"/>
                <w:szCs w:val="17"/>
              </w:rPr>
              <w:t>764</w:t>
            </w:r>
          </w:p>
        </w:tc>
        <w:tc>
          <w:tcPr>
            <w:tcW w:w="639" w:type="pct"/>
            <w:vAlign w:val="bottom"/>
          </w:tcPr>
          <w:p w14:paraId="01FD7A9E" w14:textId="5F2EE96E" w:rsidR="004D0E64" w:rsidRPr="00537128" w:rsidRDefault="004D0E64" w:rsidP="004D0E64">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hAnsi="Calibri" w:cs="Calibri"/>
                <w:b/>
                <w:bCs/>
                <w:color w:val="000000"/>
                <w:sz w:val="17"/>
                <w:szCs w:val="17"/>
              </w:rPr>
              <w:t>764</w:t>
            </w:r>
          </w:p>
        </w:tc>
        <w:tc>
          <w:tcPr>
            <w:tcW w:w="639" w:type="pct"/>
            <w:tcBorders>
              <w:top w:val="nil"/>
              <w:left w:val="nil"/>
              <w:bottom w:val="nil"/>
              <w:right w:val="nil"/>
            </w:tcBorders>
            <w:shd w:val="clear" w:color="auto" w:fill="auto"/>
            <w:vAlign w:val="bottom"/>
          </w:tcPr>
          <w:p w14:paraId="7455B44C" w14:textId="08B7E932" w:rsidR="004D0E64" w:rsidRPr="00537128" w:rsidRDefault="004D0E64" w:rsidP="004D0E64">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hAnsi="Calibri" w:cs="Calibri"/>
                <w:b/>
                <w:bCs/>
                <w:color w:val="000000"/>
                <w:sz w:val="17"/>
                <w:szCs w:val="17"/>
              </w:rPr>
              <w:t>764</w:t>
            </w:r>
          </w:p>
        </w:tc>
      </w:tr>
      <w:tr w:rsidR="004D0E64" w:rsidRPr="00537128" w14:paraId="53B4BE4A" w14:textId="77777777" w:rsidTr="004D0E64">
        <w:trPr>
          <w:trHeight w:val="76"/>
        </w:trPr>
        <w:tc>
          <w:tcPr>
            <w:tcW w:w="1362" w:type="pct"/>
            <w:vAlign w:val="bottom"/>
            <w:hideMark/>
          </w:tcPr>
          <w:p w14:paraId="768751AC" w14:textId="77777777" w:rsidR="004D0E64" w:rsidRPr="00537128" w:rsidRDefault="004D0E64" w:rsidP="004D0E64">
            <w:pPr>
              <w:tabs>
                <w:tab w:val="right" w:pos="1202"/>
              </w:tabs>
              <w:spacing w:after="0" w:line="240" w:lineRule="exact"/>
              <w:outlineLvl w:val="0"/>
              <w:rPr>
                <w:rFonts w:ascii="Calibri" w:eastAsia="Times New Roman" w:hAnsi="Calibri" w:cs="Calibri"/>
                <w:iCs/>
                <w:sz w:val="17"/>
                <w:szCs w:val="17"/>
                <w:lang w:val="en-US"/>
              </w:rPr>
            </w:pPr>
            <w:bookmarkStart w:id="1298" w:name="_Toc4063605"/>
            <w:r w:rsidRPr="00537128">
              <w:rPr>
                <w:rFonts w:ascii="Calibri" w:eastAsia="Times New Roman" w:hAnsi="Calibri" w:cs="Calibri"/>
                <w:iCs/>
                <w:sz w:val="17"/>
                <w:szCs w:val="17"/>
                <w:lang w:val="en-US"/>
              </w:rPr>
              <w:t>Other comprehensive income</w:t>
            </w:r>
            <w:bookmarkEnd w:id="1298"/>
          </w:p>
        </w:tc>
        <w:tc>
          <w:tcPr>
            <w:tcW w:w="525" w:type="pct"/>
            <w:tcBorders>
              <w:bottom w:val="single" w:sz="4" w:space="0" w:color="auto"/>
            </w:tcBorders>
            <w:vAlign w:val="bottom"/>
          </w:tcPr>
          <w:p w14:paraId="40552620" w14:textId="653DB97E" w:rsidR="004D0E64" w:rsidRPr="00537128" w:rsidRDefault="004D0E64" w:rsidP="004D0E64">
            <w:pPr>
              <w:tabs>
                <w:tab w:val="right" w:pos="1202"/>
              </w:tabs>
              <w:spacing w:after="0" w:line="301" w:lineRule="exact"/>
              <w:jc w:val="right"/>
              <w:outlineLvl w:val="0"/>
              <w:rPr>
                <w:rFonts w:ascii="Calibri" w:eastAsia="Times New Roman" w:hAnsi="Calibri" w:cs="Calibri"/>
                <w:iCs/>
                <w:sz w:val="17"/>
                <w:szCs w:val="17"/>
                <w:lang w:val="en-US"/>
              </w:rPr>
            </w:pPr>
            <w:r>
              <w:rPr>
                <w:rFonts w:ascii="Calibri" w:hAnsi="Calibri" w:cs="Calibri"/>
                <w:iCs/>
                <w:color w:val="000000"/>
                <w:sz w:val="17"/>
                <w:szCs w:val="17"/>
              </w:rPr>
              <w:t>-</w:t>
            </w:r>
          </w:p>
        </w:tc>
        <w:tc>
          <w:tcPr>
            <w:tcW w:w="622" w:type="pct"/>
            <w:tcBorders>
              <w:bottom w:val="single" w:sz="4" w:space="0" w:color="auto"/>
            </w:tcBorders>
            <w:vAlign w:val="bottom"/>
          </w:tcPr>
          <w:p w14:paraId="1DA4702B" w14:textId="4424A9ED" w:rsidR="004D0E64" w:rsidRPr="00537128" w:rsidRDefault="004D0E64" w:rsidP="004D0E64">
            <w:pPr>
              <w:tabs>
                <w:tab w:val="right" w:pos="1202"/>
              </w:tabs>
              <w:spacing w:after="0" w:line="301" w:lineRule="exact"/>
              <w:jc w:val="right"/>
              <w:outlineLvl w:val="0"/>
              <w:rPr>
                <w:rFonts w:ascii="Calibri" w:eastAsia="Times New Roman" w:hAnsi="Calibri" w:cs="Calibri"/>
                <w:iCs/>
                <w:sz w:val="17"/>
                <w:szCs w:val="17"/>
                <w:lang w:val="en-US"/>
              </w:rPr>
            </w:pPr>
            <w:r>
              <w:rPr>
                <w:rFonts w:ascii="Calibri" w:hAnsi="Calibri" w:cs="Calibri"/>
                <w:iCs/>
                <w:color w:val="000000"/>
                <w:sz w:val="17"/>
                <w:szCs w:val="17"/>
              </w:rPr>
              <w:t>-</w:t>
            </w:r>
          </w:p>
        </w:tc>
        <w:tc>
          <w:tcPr>
            <w:tcW w:w="574" w:type="pct"/>
            <w:tcBorders>
              <w:bottom w:val="single" w:sz="4" w:space="0" w:color="auto"/>
            </w:tcBorders>
            <w:vAlign w:val="bottom"/>
          </w:tcPr>
          <w:p w14:paraId="486FF398" w14:textId="548B26ED" w:rsidR="004D0E64" w:rsidRPr="00537128" w:rsidRDefault="004D0E64" w:rsidP="004D0E64">
            <w:pPr>
              <w:tabs>
                <w:tab w:val="right" w:pos="1202"/>
              </w:tabs>
              <w:spacing w:after="0" w:line="301" w:lineRule="exact"/>
              <w:jc w:val="right"/>
              <w:outlineLvl w:val="0"/>
              <w:rPr>
                <w:rFonts w:ascii="Calibri" w:eastAsia="Times New Roman" w:hAnsi="Calibri" w:cs="Calibri"/>
                <w:iCs/>
                <w:sz w:val="17"/>
                <w:szCs w:val="17"/>
                <w:lang w:val="en-US"/>
              </w:rPr>
            </w:pPr>
            <w:r>
              <w:rPr>
                <w:rFonts w:ascii="Calibri" w:hAnsi="Calibri" w:cs="Calibri"/>
                <w:iCs/>
                <w:color w:val="000000"/>
                <w:sz w:val="17"/>
                <w:szCs w:val="17"/>
              </w:rPr>
              <w:t>(439)</w:t>
            </w:r>
          </w:p>
        </w:tc>
        <w:tc>
          <w:tcPr>
            <w:tcW w:w="639" w:type="pct"/>
            <w:tcBorders>
              <w:bottom w:val="single" w:sz="4" w:space="0" w:color="auto"/>
            </w:tcBorders>
            <w:vAlign w:val="bottom"/>
          </w:tcPr>
          <w:p w14:paraId="09E0DD1F" w14:textId="796123B1" w:rsidR="004D0E64" w:rsidRPr="00537128" w:rsidRDefault="004D0E64" w:rsidP="004D0E64">
            <w:pPr>
              <w:tabs>
                <w:tab w:val="right" w:pos="1202"/>
              </w:tabs>
              <w:spacing w:after="0" w:line="301" w:lineRule="exact"/>
              <w:jc w:val="right"/>
              <w:outlineLvl w:val="0"/>
              <w:rPr>
                <w:rFonts w:ascii="Calibri" w:eastAsia="Times New Roman" w:hAnsi="Calibri" w:cs="Calibri"/>
                <w:iCs/>
                <w:sz w:val="17"/>
                <w:szCs w:val="17"/>
                <w:lang w:val="en-US"/>
              </w:rPr>
            </w:pPr>
          </w:p>
        </w:tc>
        <w:tc>
          <w:tcPr>
            <w:tcW w:w="639" w:type="pct"/>
            <w:tcBorders>
              <w:bottom w:val="single" w:sz="4" w:space="0" w:color="auto"/>
            </w:tcBorders>
            <w:vAlign w:val="bottom"/>
          </w:tcPr>
          <w:p w14:paraId="128FAC01" w14:textId="765EBC56" w:rsidR="004D0E64" w:rsidRPr="00537128" w:rsidRDefault="004D0E64" w:rsidP="004D0E64">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hAnsi="Calibri" w:cs="Calibri"/>
                <w:b/>
                <w:bCs/>
                <w:color w:val="000000"/>
                <w:sz w:val="17"/>
                <w:szCs w:val="17"/>
              </w:rPr>
              <w:t>(439)</w:t>
            </w:r>
          </w:p>
        </w:tc>
        <w:tc>
          <w:tcPr>
            <w:tcW w:w="639" w:type="pct"/>
            <w:tcBorders>
              <w:top w:val="nil"/>
              <w:left w:val="nil"/>
              <w:bottom w:val="single" w:sz="4" w:space="0" w:color="auto"/>
              <w:right w:val="nil"/>
            </w:tcBorders>
            <w:shd w:val="clear" w:color="auto" w:fill="auto"/>
            <w:vAlign w:val="bottom"/>
          </w:tcPr>
          <w:p w14:paraId="2CC66F9E" w14:textId="6E3A3331" w:rsidR="004D0E64" w:rsidRPr="00537128" w:rsidRDefault="004D0E64" w:rsidP="004D0E64">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hAnsi="Calibri" w:cs="Calibri"/>
                <w:b/>
                <w:bCs/>
                <w:color w:val="000000"/>
                <w:sz w:val="17"/>
                <w:szCs w:val="17"/>
              </w:rPr>
              <w:t>(439)</w:t>
            </w:r>
          </w:p>
        </w:tc>
      </w:tr>
      <w:tr w:rsidR="004D0E64" w:rsidRPr="00537128" w14:paraId="74668D07" w14:textId="77777777" w:rsidTr="004D0E64">
        <w:trPr>
          <w:trHeight w:val="131"/>
        </w:trPr>
        <w:tc>
          <w:tcPr>
            <w:tcW w:w="1362" w:type="pct"/>
            <w:vAlign w:val="bottom"/>
          </w:tcPr>
          <w:p w14:paraId="57F4F812" w14:textId="77777777" w:rsidR="004D0E64" w:rsidRPr="00537128" w:rsidRDefault="004D0E64" w:rsidP="004D0E64">
            <w:pPr>
              <w:tabs>
                <w:tab w:val="right" w:pos="1202"/>
              </w:tabs>
              <w:spacing w:after="0" w:line="140" w:lineRule="exact"/>
              <w:outlineLvl w:val="0"/>
              <w:rPr>
                <w:rFonts w:ascii="Calibri" w:eastAsia="Times New Roman" w:hAnsi="Calibri" w:cs="Calibri"/>
                <w:iCs/>
                <w:sz w:val="17"/>
                <w:szCs w:val="17"/>
                <w:lang w:val="en-US"/>
              </w:rPr>
            </w:pPr>
          </w:p>
        </w:tc>
        <w:tc>
          <w:tcPr>
            <w:tcW w:w="525" w:type="pct"/>
            <w:tcBorders>
              <w:top w:val="single" w:sz="4" w:space="0" w:color="auto"/>
            </w:tcBorders>
            <w:vAlign w:val="bottom"/>
          </w:tcPr>
          <w:p w14:paraId="6BDDA68C" w14:textId="77777777" w:rsidR="004D0E64" w:rsidRPr="00537128" w:rsidRDefault="004D0E64" w:rsidP="004D0E64">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22" w:type="pct"/>
            <w:tcBorders>
              <w:top w:val="single" w:sz="4" w:space="0" w:color="auto"/>
            </w:tcBorders>
            <w:vAlign w:val="bottom"/>
          </w:tcPr>
          <w:p w14:paraId="314B4B29" w14:textId="77777777" w:rsidR="004D0E64" w:rsidRPr="00537128" w:rsidRDefault="004D0E64" w:rsidP="004D0E64">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574" w:type="pct"/>
            <w:tcBorders>
              <w:top w:val="single" w:sz="4" w:space="0" w:color="auto"/>
            </w:tcBorders>
            <w:vAlign w:val="bottom"/>
          </w:tcPr>
          <w:p w14:paraId="308F38F0" w14:textId="77777777" w:rsidR="004D0E64" w:rsidRPr="00537128" w:rsidRDefault="004D0E64" w:rsidP="004D0E64">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39" w:type="pct"/>
            <w:tcBorders>
              <w:top w:val="single" w:sz="4" w:space="0" w:color="auto"/>
            </w:tcBorders>
            <w:vAlign w:val="bottom"/>
          </w:tcPr>
          <w:p w14:paraId="01882F40" w14:textId="77777777" w:rsidR="004D0E64" w:rsidRPr="00537128" w:rsidRDefault="004D0E64" w:rsidP="004D0E64">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39" w:type="pct"/>
            <w:tcBorders>
              <w:top w:val="single" w:sz="4" w:space="0" w:color="auto"/>
            </w:tcBorders>
            <w:vAlign w:val="bottom"/>
          </w:tcPr>
          <w:p w14:paraId="6089587B" w14:textId="77777777" w:rsidR="004D0E64" w:rsidRPr="00537128" w:rsidRDefault="004D0E64" w:rsidP="004D0E64">
            <w:pPr>
              <w:keepNext/>
              <w:keepLines/>
              <w:tabs>
                <w:tab w:val="decimal" w:pos="1015"/>
              </w:tabs>
              <w:spacing w:after="0" w:line="140" w:lineRule="exact"/>
              <w:jc w:val="right"/>
              <w:rPr>
                <w:rFonts w:ascii="Calibri" w:eastAsia="Times New Roman" w:hAnsi="Calibri" w:cs="Calibri"/>
                <w:b/>
                <w:spacing w:val="-2"/>
                <w:position w:val="4"/>
                <w:sz w:val="17"/>
                <w:szCs w:val="17"/>
                <w:lang w:val="en-US"/>
              </w:rPr>
            </w:pPr>
          </w:p>
        </w:tc>
        <w:tc>
          <w:tcPr>
            <w:tcW w:w="639" w:type="pct"/>
            <w:tcBorders>
              <w:top w:val="single" w:sz="4" w:space="0" w:color="auto"/>
            </w:tcBorders>
            <w:vAlign w:val="bottom"/>
          </w:tcPr>
          <w:p w14:paraId="1014434D" w14:textId="77777777" w:rsidR="004D0E64" w:rsidRPr="00537128" w:rsidRDefault="004D0E64" w:rsidP="004D0E64">
            <w:pPr>
              <w:keepNext/>
              <w:keepLines/>
              <w:tabs>
                <w:tab w:val="decimal" w:pos="1015"/>
              </w:tabs>
              <w:spacing w:after="0" w:line="140" w:lineRule="exact"/>
              <w:jc w:val="right"/>
              <w:rPr>
                <w:rFonts w:ascii="Calibri" w:eastAsia="Times New Roman" w:hAnsi="Calibri" w:cs="Calibri"/>
                <w:b/>
                <w:spacing w:val="-2"/>
                <w:position w:val="4"/>
                <w:sz w:val="17"/>
                <w:szCs w:val="17"/>
                <w:lang w:val="en-US"/>
              </w:rPr>
            </w:pPr>
          </w:p>
        </w:tc>
      </w:tr>
      <w:tr w:rsidR="004D0E64" w:rsidRPr="00537128" w14:paraId="47F20AEB" w14:textId="77777777" w:rsidTr="004D0E64">
        <w:trPr>
          <w:trHeight w:val="76"/>
        </w:trPr>
        <w:tc>
          <w:tcPr>
            <w:tcW w:w="1362" w:type="pct"/>
            <w:vAlign w:val="bottom"/>
            <w:hideMark/>
          </w:tcPr>
          <w:p w14:paraId="1D3D3E41" w14:textId="77777777" w:rsidR="004D0E64" w:rsidRPr="00537128" w:rsidRDefault="004D0E64" w:rsidP="004D0E64">
            <w:pPr>
              <w:tabs>
                <w:tab w:val="right" w:pos="1202"/>
              </w:tabs>
              <w:spacing w:after="0" w:line="200" w:lineRule="exact"/>
              <w:outlineLvl w:val="0"/>
              <w:rPr>
                <w:rFonts w:ascii="Calibri" w:eastAsia="Times New Roman" w:hAnsi="Calibri" w:cs="Calibri"/>
                <w:iCs/>
                <w:sz w:val="17"/>
                <w:szCs w:val="17"/>
                <w:lang w:val="en-US"/>
              </w:rPr>
            </w:pPr>
            <w:bookmarkStart w:id="1299" w:name="_Toc4063612"/>
            <w:r w:rsidRPr="00537128">
              <w:rPr>
                <w:rFonts w:ascii="Calibri" w:eastAsia="Times New Roman" w:hAnsi="Calibri" w:cs="Calibri"/>
                <w:iCs/>
                <w:sz w:val="17"/>
                <w:szCs w:val="17"/>
                <w:lang w:val="en-US"/>
              </w:rPr>
              <w:t>Total comprehensive income</w:t>
            </w:r>
            <w:bookmarkEnd w:id="1299"/>
          </w:p>
        </w:tc>
        <w:tc>
          <w:tcPr>
            <w:tcW w:w="525" w:type="pct"/>
            <w:tcBorders>
              <w:left w:val="nil"/>
              <w:bottom w:val="single" w:sz="4" w:space="0" w:color="auto"/>
              <w:right w:val="nil"/>
            </w:tcBorders>
            <w:shd w:val="clear" w:color="auto" w:fill="auto"/>
            <w:vAlign w:val="bottom"/>
          </w:tcPr>
          <w:p w14:paraId="518A0F11" w14:textId="3174DD9F" w:rsidR="004D0E64" w:rsidRPr="00537128" w:rsidRDefault="004D0E64" w:rsidP="004D0E64">
            <w:pPr>
              <w:tabs>
                <w:tab w:val="right" w:pos="1202"/>
              </w:tabs>
              <w:spacing w:after="0" w:line="301" w:lineRule="exact"/>
              <w:jc w:val="right"/>
              <w:outlineLvl w:val="0"/>
              <w:rPr>
                <w:rFonts w:ascii="Calibri" w:eastAsia="Times New Roman" w:hAnsi="Calibri" w:cs="Calibri"/>
                <w:iCs/>
                <w:sz w:val="17"/>
                <w:szCs w:val="17"/>
                <w:lang w:val="en-US"/>
              </w:rPr>
            </w:pPr>
            <w:r>
              <w:rPr>
                <w:rFonts w:ascii="Calibri" w:hAnsi="Calibri" w:cs="Calibri"/>
                <w:color w:val="000000"/>
                <w:sz w:val="17"/>
                <w:szCs w:val="17"/>
              </w:rPr>
              <w:t>-</w:t>
            </w:r>
          </w:p>
        </w:tc>
        <w:tc>
          <w:tcPr>
            <w:tcW w:w="622" w:type="pct"/>
            <w:tcBorders>
              <w:left w:val="nil"/>
              <w:bottom w:val="single" w:sz="4" w:space="0" w:color="auto"/>
              <w:right w:val="nil"/>
            </w:tcBorders>
            <w:shd w:val="clear" w:color="auto" w:fill="auto"/>
            <w:vAlign w:val="bottom"/>
          </w:tcPr>
          <w:p w14:paraId="3870D5A5" w14:textId="687F5E92" w:rsidR="004D0E64" w:rsidRPr="00537128" w:rsidRDefault="004D0E64" w:rsidP="004D0E64">
            <w:pPr>
              <w:tabs>
                <w:tab w:val="right" w:pos="1202"/>
              </w:tabs>
              <w:spacing w:after="0" w:line="301" w:lineRule="exact"/>
              <w:jc w:val="right"/>
              <w:outlineLvl w:val="0"/>
              <w:rPr>
                <w:rFonts w:ascii="Calibri" w:eastAsia="Times New Roman" w:hAnsi="Calibri" w:cs="Calibri"/>
                <w:iCs/>
                <w:sz w:val="17"/>
                <w:szCs w:val="17"/>
                <w:lang w:val="en-US"/>
              </w:rPr>
            </w:pPr>
            <w:r>
              <w:rPr>
                <w:rFonts w:ascii="Calibri" w:hAnsi="Calibri" w:cs="Calibri"/>
                <w:color w:val="000000"/>
                <w:sz w:val="17"/>
                <w:szCs w:val="17"/>
              </w:rPr>
              <w:t>-</w:t>
            </w:r>
          </w:p>
        </w:tc>
        <w:tc>
          <w:tcPr>
            <w:tcW w:w="574" w:type="pct"/>
            <w:tcBorders>
              <w:left w:val="nil"/>
              <w:bottom w:val="single" w:sz="4" w:space="0" w:color="auto"/>
              <w:right w:val="nil"/>
            </w:tcBorders>
            <w:shd w:val="clear" w:color="auto" w:fill="auto"/>
            <w:vAlign w:val="bottom"/>
          </w:tcPr>
          <w:p w14:paraId="5BC0E5F1" w14:textId="59697463" w:rsidR="004D0E64" w:rsidRPr="00537128" w:rsidRDefault="004D0E64" w:rsidP="004D0E64">
            <w:pPr>
              <w:tabs>
                <w:tab w:val="right" w:pos="1202"/>
              </w:tabs>
              <w:spacing w:after="0" w:line="301" w:lineRule="exact"/>
              <w:jc w:val="right"/>
              <w:outlineLvl w:val="0"/>
              <w:rPr>
                <w:rFonts w:ascii="Calibri" w:eastAsia="Times New Roman" w:hAnsi="Calibri" w:cs="Calibri"/>
                <w:iCs/>
                <w:sz w:val="17"/>
                <w:szCs w:val="17"/>
                <w:lang w:val="en-US"/>
              </w:rPr>
            </w:pPr>
            <w:r>
              <w:rPr>
                <w:rFonts w:ascii="Calibri" w:hAnsi="Calibri" w:cs="Calibri"/>
                <w:color w:val="000000"/>
                <w:sz w:val="17"/>
                <w:szCs w:val="17"/>
              </w:rPr>
              <w:t>(439)</w:t>
            </w:r>
          </w:p>
        </w:tc>
        <w:tc>
          <w:tcPr>
            <w:tcW w:w="639" w:type="pct"/>
            <w:tcBorders>
              <w:left w:val="nil"/>
              <w:bottom w:val="single" w:sz="4" w:space="0" w:color="auto"/>
              <w:right w:val="nil"/>
            </w:tcBorders>
            <w:shd w:val="clear" w:color="auto" w:fill="auto"/>
            <w:vAlign w:val="bottom"/>
          </w:tcPr>
          <w:p w14:paraId="124247F0" w14:textId="2A53DB21" w:rsidR="004D0E64" w:rsidRPr="00537128" w:rsidRDefault="004D0E64" w:rsidP="004D0E64">
            <w:pPr>
              <w:tabs>
                <w:tab w:val="right" w:pos="1202"/>
              </w:tabs>
              <w:spacing w:after="0" w:line="301" w:lineRule="exact"/>
              <w:jc w:val="right"/>
              <w:outlineLvl w:val="0"/>
              <w:rPr>
                <w:rFonts w:ascii="Calibri" w:eastAsia="Times New Roman" w:hAnsi="Calibri" w:cs="Calibri"/>
                <w:iCs/>
                <w:sz w:val="17"/>
                <w:szCs w:val="17"/>
                <w:lang w:val="en-US"/>
              </w:rPr>
            </w:pPr>
            <w:r>
              <w:rPr>
                <w:rFonts w:ascii="Calibri" w:hAnsi="Calibri" w:cs="Calibri"/>
                <w:color w:val="000000"/>
                <w:sz w:val="17"/>
                <w:szCs w:val="17"/>
              </w:rPr>
              <w:t>764</w:t>
            </w:r>
          </w:p>
        </w:tc>
        <w:tc>
          <w:tcPr>
            <w:tcW w:w="639" w:type="pct"/>
            <w:tcBorders>
              <w:left w:val="nil"/>
              <w:bottom w:val="single" w:sz="4" w:space="0" w:color="auto"/>
              <w:right w:val="nil"/>
            </w:tcBorders>
            <w:shd w:val="clear" w:color="auto" w:fill="auto"/>
            <w:vAlign w:val="bottom"/>
          </w:tcPr>
          <w:p w14:paraId="13CE7F8F" w14:textId="1E4588F3" w:rsidR="004D0E64" w:rsidRPr="00537128" w:rsidRDefault="004D0E64" w:rsidP="004D0E64">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hAnsi="Calibri" w:cs="Calibri"/>
                <w:b/>
                <w:bCs/>
                <w:color w:val="000000"/>
                <w:sz w:val="17"/>
                <w:szCs w:val="17"/>
              </w:rPr>
              <w:t>325</w:t>
            </w:r>
          </w:p>
        </w:tc>
        <w:tc>
          <w:tcPr>
            <w:tcW w:w="639" w:type="pct"/>
            <w:tcBorders>
              <w:left w:val="nil"/>
              <w:bottom w:val="single" w:sz="4" w:space="0" w:color="auto"/>
              <w:right w:val="nil"/>
            </w:tcBorders>
            <w:shd w:val="clear" w:color="auto" w:fill="auto"/>
            <w:vAlign w:val="bottom"/>
          </w:tcPr>
          <w:p w14:paraId="74003B5B" w14:textId="597A0156" w:rsidR="004D0E64" w:rsidRPr="00537128" w:rsidRDefault="004D0E64" w:rsidP="004D0E64">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hAnsi="Calibri" w:cs="Calibri"/>
                <w:b/>
                <w:bCs/>
                <w:color w:val="000000"/>
                <w:sz w:val="17"/>
                <w:szCs w:val="17"/>
              </w:rPr>
              <w:t>325</w:t>
            </w:r>
          </w:p>
        </w:tc>
      </w:tr>
      <w:tr w:rsidR="004D0E64" w:rsidRPr="00537128" w14:paraId="48C4C722" w14:textId="77777777" w:rsidTr="004D0E64">
        <w:trPr>
          <w:trHeight w:val="131"/>
        </w:trPr>
        <w:tc>
          <w:tcPr>
            <w:tcW w:w="1362" w:type="pct"/>
            <w:vAlign w:val="bottom"/>
          </w:tcPr>
          <w:p w14:paraId="2B99B2C3" w14:textId="77777777" w:rsidR="004D0E64" w:rsidRPr="00537128" w:rsidRDefault="004D0E64" w:rsidP="004D0E64">
            <w:pPr>
              <w:tabs>
                <w:tab w:val="right" w:pos="1202"/>
              </w:tabs>
              <w:spacing w:after="0" w:line="140" w:lineRule="exact"/>
              <w:outlineLvl w:val="0"/>
              <w:rPr>
                <w:rFonts w:ascii="Calibri" w:eastAsia="Times New Roman" w:hAnsi="Calibri" w:cs="Calibri"/>
                <w:iCs/>
                <w:sz w:val="17"/>
                <w:szCs w:val="17"/>
                <w:lang w:val="en-US"/>
              </w:rPr>
            </w:pPr>
          </w:p>
        </w:tc>
        <w:tc>
          <w:tcPr>
            <w:tcW w:w="525" w:type="pct"/>
            <w:tcBorders>
              <w:top w:val="single" w:sz="4" w:space="0" w:color="auto"/>
              <w:left w:val="nil"/>
              <w:bottom w:val="nil"/>
              <w:right w:val="nil"/>
            </w:tcBorders>
            <w:vAlign w:val="bottom"/>
          </w:tcPr>
          <w:p w14:paraId="426BB111" w14:textId="77777777" w:rsidR="004D0E64" w:rsidRPr="00537128" w:rsidRDefault="004D0E64" w:rsidP="004D0E64">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22" w:type="pct"/>
            <w:tcBorders>
              <w:top w:val="single" w:sz="4" w:space="0" w:color="auto"/>
              <w:left w:val="nil"/>
              <w:bottom w:val="nil"/>
              <w:right w:val="nil"/>
            </w:tcBorders>
            <w:vAlign w:val="bottom"/>
          </w:tcPr>
          <w:p w14:paraId="3874A4EE" w14:textId="77777777" w:rsidR="004D0E64" w:rsidRPr="00537128" w:rsidRDefault="004D0E64" w:rsidP="004D0E64">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574" w:type="pct"/>
            <w:tcBorders>
              <w:top w:val="single" w:sz="4" w:space="0" w:color="auto"/>
              <w:left w:val="nil"/>
              <w:bottom w:val="nil"/>
              <w:right w:val="nil"/>
            </w:tcBorders>
            <w:vAlign w:val="bottom"/>
          </w:tcPr>
          <w:p w14:paraId="6DE80A70" w14:textId="77777777" w:rsidR="004D0E64" w:rsidRPr="00537128" w:rsidRDefault="004D0E64" w:rsidP="004D0E64">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39" w:type="pct"/>
            <w:tcBorders>
              <w:top w:val="single" w:sz="4" w:space="0" w:color="auto"/>
              <w:left w:val="nil"/>
              <w:bottom w:val="nil"/>
              <w:right w:val="nil"/>
            </w:tcBorders>
            <w:vAlign w:val="bottom"/>
          </w:tcPr>
          <w:p w14:paraId="79E54B91" w14:textId="77777777" w:rsidR="004D0E64" w:rsidRPr="00537128" w:rsidRDefault="004D0E64" w:rsidP="004D0E64">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39" w:type="pct"/>
            <w:tcBorders>
              <w:top w:val="single" w:sz="4" w:space="0" w:color="auto"/>
              <w:left w:val="nil"/>
              <w:bottom w:val="nil"/>
              <w:right w:val="nil"/>
            </w:tcBorders>
            <w:vAlign w:val="bottom"/>
          </w:tcPr>
          <w:p w14:paraId="6C90F4A1" w14:textId="77777777" w:rsidR="004D0E64" w:rsidRPr="00537128" w:rsidRDefault="004D0E64" w:rsidP="004D0E64">
            <w:pPr>
              <w:keepNext/>
              <w:keepLines/>
              <w:tabs>
                <w:tab w:val="decimal" w:pos="1015"/>
                <w:tab w:val="decimal" w:pos="1202"/>
              </w:tabs>
              <w:spacing w:after="0" w:line="140" w:lineRule="exact"/>
              <w:jc w:val="right"/>
              <w:rPr>
                <w:rFonts w:ascii="Calibri" w:eastAsia="Times New Roman" w:hAnsi="Calibri" w:cs="Calibri"/>
                <w:b/>
                <w:spacing w:val="-2"/>
                <w:position w:val="4"/>
                <w:sz w:val="17"/>
                <w:szCs w:val="17"/>
                <w:lang w:val="en-US"/>
              </w:rPr>
            </w:pPr>
          </w:p>
        </w:tc>
        <w:tc>
          <w:tcPr>
            <w:tcW w:w="639" w:type="pct"/>
            <w:tcBorders>
              <w:top w:val="single" w:sz="4" w:space="0" w:color="auto"/>
              <w:left w:val="nil"/>
              <w:bottom w:val="nil"/>
              <w:right w:val="nil"/>
            </w:tcBorders>
            <w:vAlign w:val="bottom"/>
          </w:tcPr>
          <w:p w14:paraId="1005C78B" w14:textId="77777777" w:rsidR="004D0E64" w:rsidRPr="00537128" w:rsidRDefault="004D0E64" w:rsidP="004D0E64">
            <w:pPr>
              <w:keepNext/>
              <w:keepLines/>
              <w:tabs>
                <w:tab w:val="decimal" w:pos="1015"/>
                <w:tab w:val="decimal" w:pos="1202"/>
              </w:tabs>
              <w:spacing w:after="0" w:line="140" w:lineRule="exact"/>
              <w:jc w:val="right"/>
              <w:rPr>
                <w:rFonts w:ascii="Calibri" w:eastAsia="Times New Roman" w:hAnsi="Calibri" w:cs="Calibri"/>
                <w:b/>
                <w:spacing w:val="-2"/>
                <w:position w:val="4"/>
                <w:sz w:val="17"/>
                <w:szCs w:val="17"/>
                <w:lang w:val="en-US"/>
              </w:rPr>
            </w:pPr>
          </w:p>
        </w:tc>
      </w:tr>
      <w:tr w:rsidR="004D0E64" w:rsidRPr="00537128" w14:paraId="475265B4" w14:textId="77777777" w:rsidTr="004D0E64">
        <w:trPr>
          <w:trHeight w:val="460"/>
        </w:trPr>
        <w:tc>
          <w:tcPr>
            <w:tcW w:w="1362" w:type="pct"/>
            <w:vAlign w:val="bottom"/>
            <w:hideMark/>
          </w:tcPr>
          <w:p w14:paraId="40184090" w14:textId="3B2838D1" w:rsidR="004D0E64" w:rsidRPr="00537128" w:rsidRDefault="004D0E64" w:rsidP="004D0E64">
            <w:pPr>
              <w:tabs>
                <w:tab w:val="right" w:pos="1202"/>
              </w:tabs>
              <w:spacing w:after="0" w:line="200" w:lineRule="exact"/>
              <w:outlineLvl w:val="0"/>
              <w:rPr>
                <w:rFonts w:ascii="Calibri" w:eastAsia="Times New Roman" w:hAnsi="Calibri" w:cs="Calibri"/>
                <w:i/>
                <w:iCs/>
                <w:sz w:val="17"/>
                <w:szCs w:val="17"/>
                <w:lang w:val="en-US"/>
              </w:rPr>
            </w:pPr>
            <w:bookmarkStart w:id="1300" w:name="_Toc4063619"/>
            <w:r w:rsidRPr="00537128">
              <w:rPr>
                <w:rFonts w:ascii="Calibri" w:eastAsia="Times New Roman" w:hAnsi="Calibri" w:cs="Calibri"/>
                <w:iCs/>
                <w:sz w:val="17"/>
                <w:szCs w:val="17"/>
                <w:lang w:val="en-US"/>
              </w:rPr>
              <w:t>Transfer of profit 20</w:t>
            </w:r>
            <w:r>
              <w:rPr>
                <w:rFonts w:ascii="Calibri" w:eastAsia="Times New Roman" w:hAnsi="Calibri" w:cs="Calibri"/>
                <w:iCs/>
                <w:sz w:val="17"/>
                <w:szCs w:val="17"/>
                <w:lang w:val="en-US"/>
              </w:rPr>
              <w:t>20</w:t>
            </w:r>
            <w:r w:rsidRPr="00537128">
              <w:rPr>
                <w:rFonts w:ascii="Calibri" w:eastAsia="Times New Roman" w:hAnsi="Calibri" w:cs="Calibri"/>
                <w:iCs/>
                <w:sz w:val="17"/>
                <w:szCs w:val="17"/>
                <w:lang w:val="en-US"/>
              </w:rPr>
              <w:t xml:space="preserve"> to retained earnings</w:t>
            </w:r>
            <w:bookmarkEnd w:id="1300"/>
          </w:p>
        </w:tc>
        <w:tc>
          <w:tcPr>
            <w:tcW w:w="525" w:type="pct"/>
            <w:tcBorders>
              <w:top w:val="nil"/>
              <w:left w:val="nil"/>
              <w:right w:val="nil"/>
            </w:tcBorders>
            <w:shd w:val="clear" w:color="auto" w:fill="auto"/>
            <w:vAlign w:val="bottom"/>
          </w:tcPr>
          <w:p w14:paraId="7D71ACA6" w14:textId="3A6007DA" w:rsidR="004D0E64" w:rsidRPr="00537128" w:rsidRDefault="004D0E64" w:rsidP="004D0E64">
            <w:pPr>
              <w:tabs>
                <w:tab w:val="right" w:pos="1202"/>
              </w:tabs>
              <w:spacing w:after="0" w:line="301" w:lineRule="exact"/>
              <w:jc w:val="right"/>
              <w:outlineLvl w:val="0"/>
              <w:rPr>
                <w:rFonts w:ascii="Calibri" w:eastAsia="Times New Roman" w:hAnsi="Calibri" w:cs="Calibri"/>
                <w:iCs/>
                <w:sz w:val="17"/>
                <w:szCs w:val="17"/>
                <w:lang w:val="en-US"/>
              </w:rPr>
            </w:pPr>
            <w:r>
              <w:rPr>
                <w:rFonts w:ascii="Calibri" w:hAnsi="Calibri" w:cs="Calibri"/>
                <w:color w:val="000000"/>
                <w:sz w:val="17"/>
                <w:szCs w:val="17"/>
              </w:rPr>
              <w:t>-</w:t>
            </w:r>
          </w:p>
        </w:tc>
        <w:tc>
          <w:tcPr>
            <w:tcW w:w="622" w:type="pct"/>
            <w:tcBorders>
              <w:top w:val="nil"/>
              <w:left w:val="nil"/>
              <w:right w:val="nil"/>
            </w:tcBorders>
            <w:shd w:val="clear" w:color="auto" w:fill="auto"/>
            <w:vAlign w:val="bottom"/>
          </w:tcPr>
          <w:p w14:paraId="0CF9626E" w14:textId="30D49035" w:rsidR="004D0E64" w:rsidRPr="00537128" w:rsidRDefault="004D0E64" w:rsidP="004D0E64">
            <w:pPr>
              <w:tabs>
                <w:tab w:val="right" w:pos="1202"/>
              </w:tabs>
              <w:spacing w:after="0" w:line="301" w:lineRule="exact"/>
              <w:jc w:val="right"/>
              <w:outlineLvl w:val="0"/>
              <w:rPr>
                <w:rFonts w:ascii="Calibri" w:eastAsia="Times New Roman" w:hAnsi="Calibri" w:cs="Calibri"/>
                <w:iCs/>
                <w:sz w:val="17"/>
                <w:szCs w:val="17"/>
                <w:lang w:val="en-US"/>
              </w:rPr>
            </w:pPr>
            <w:r>
              <w:rPr>
                <w:rFonts w:ascii="Calibri" w:hAnsi="Calibri" w:cs="Calibri"/>
                <w:color w:val="000000"/>
                <w:sz w:val="17"/>
                <w:szCs w:val="17"/>
              </w:rPr>
              <w:t>2,192</w:t>
            </w:r>
          </w:p>
        </w:tc>
        <w:tc>
          <w:tcPr>
            <w:tcW w:w="574" w:type="pct"/>
            <w:tcBorders>
              <w:top w:val="nil"/>
              <w:left w:val="nil"/>
              <w:right w:val="nil"/>
            </w:tcBorders>
            <w:shd w:val="clear" w:color="auto" w:fill="auto"/>
            <w:vAlign w:val="bottom"/>
          </w:tcPr>
          <w:p w14:paraId="5641CED5" w14:textId="3D5F949B" w:rsidR="004D0E64" w:rsidRPr="00537128" w:rsidRDefault="004D0E64" w:rsidP="004D0E64">
            <w:pPr>
              <w:tabs>
                <w:tab w:val="right" w:pos="1202"/>
              </w:tabs>
              <w:spacing w:after="0" w:line="301" w:lineRule="exact"/>
              <w:jc w:val="right"/>
              <w:outlineLvl w:val="0"/>
              <w:rPr>
                <w:rFonts w:ascii="Calibri" w:eastAsia="Times New Roman" w:hAnsi="Calibri" w:cs="Calibri"/>
                <w:iCs/>
                <w:sz w:val="17"/>
                <w:szCs w:val="17"/>
                <w:lang w:val="en-US"/>
              </w:rPr>
            </w:pPr>
            <w:r>
              <w:rPr>
                <w:rFonts w:ascii="Calibri" w:hAnsi="Calibri" w:cs="Calibri"/>
                <w:color w:val="000000"/>
                <w:sz w:val="17"/>
                <w:szCs w:val="17"/>
              </w:rPr>
              <w:t>-</w:t>
            </w:r>
          </w:p>
        </w:tc>
        <w:tc>
          <w:tcPr>
            <w:tcW w:w="639" w:type="pct"/>
            <w:tcBorders>
              <w:top w:val="nil"/>
              <w:left w:val="nil"/>
              <w:right w:val="nil"/>
            </w:tcBorders>
            <w:shd w:val="clear" w:color="auto" w:fill="auto"/>
            <w:vAlign w:val="bottom"/>
          </w:tcPr>
          <w:p w14:paraId="35A8960D" w14:textId="7E891A91" w:rsidR="004D0E64" w:rsidRPr="00537128" w:rsidRDefault="004D0E64" w:rsidP="004D0E64">
            <w:pPr>
              <w:tabs>
                <w:tab w:val="right" w:pos="1202"/>
              </w:tabs>
              <w:spacing w:after="0" w:line="301" w:lineRule="exact"/>
              <w:jc w:val="right"/>
              <w:outlineLvl w:val="0"/>
              <w:rPr>
                <w:rFonts w:ascii="Calibri" w:eastAsia="Times New Roman" w:hAnsi="Calibri" w:cs="Calibri"/>
                <w:iCs/>
                <w:sz w:val="17"/>
                <w:szCs w:val="17"/>
                <w:lang w:val="en-US"/>
              </w:rPr>
            </w:pPr>
            <w:r>
              <w:rPr>
                <w:rFonts w:ascii="Calibri" w:hAnsi="Calibri" w:cs="Calibri"/>
                <w:color w:val="000000"/>
                <w:sz w:val="17"/>
                <w:szCs w:val="17"/>
              </w:rPr>
              <w:t>(2,192)</w:t>
            </w:r>
          </w:p>
        </w:tc>
        <w:tc>
          <w:tcPr>
            <w:tcW w:w="639" w:type="pct"/>
            <w:tcBorders>
              <w:top w:val="nil"/>
              <w:left w:val="nil"/>
              <w:right w:val="nil"/>
            </w:tcBorders>
            <w:shd w:val="clear" w:color="auto" w:fill="auto"/>
            <w:vAlign w:val="bottom"/>
          </w:tcPr>
          <w:p w14:paraId="1F912DF1" w14:textId="179B55C4" w:rsidR="004D0E64" w:rsidRPr="00537128" w:rsidRDefault="004D0E64" w:rsidP="004D0E64">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hAnsi="Calibri" w:cs="Calibri"/>
                <w:b/>
                <w:bCs/>
                <w:color w:val="000000"/>
                <w:sz w:val="17"/>
                <w:szCs w:val="17"/>
              </w:rPr>
              <w:t>-</w:t>
            </w:r>
          </w:p>
        </w:tc>
        <w:tc>
          <w:tcPr>
            <w:tcW w:w="639" w:type="pct"/>
            <w:tcBorders>
              <w:top w:val="nil"/>
              <w:left w:val="nil"/>
              <w:right w:val="nil"/>
            </w:tcBorders>
            <w:shd w:val="clear" w:color="auto" w:fill="auto"/>
            <w:vAlign w:val="bottom"/>
          </w:tcPr>
          <w:p w14:paraId="1F9C3964" w14:textId="59C6AC66" w:rsidR="004D0E64" w:rsidRPr="00537128" w:rsidRDefault="004D0E64" w:rsidP="004D0E64">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hAnsi="Calibri" w:cs="Calibri"/>
                <w:b/>
                <w:bCs/>
                <w:color w:val="000000"/>
                <w:sz w:val="17"/>
                <w:szCs w:val="17"/>
              </w:rPr>
              <w:t>-</w:t>
            </w:r>
          </w:p>
        </w:tc>
      </w:tr>
      <w:tr w:rsidR="004D0E64" w:rsidRPr="00537128" w14:paraId="2C63DEA5" w14:textId="77777777" w:rsidTr="004D0E64">
        <w:trPr>
          <w:trHeight w:val="131"/>
        </w:trPr>
        <w:tc>
          <w:tcPr>
            <w:tcW w:w="1362" w:type="pct"/>
            <w:vAlign w:val="bottom"/>
          </w:tcPr>
          <w:p w14:paraId="6F7C4A55" w14:textId="77777777" w:rsidR="004D0E64" w:rsidRPr="00537128" w:rsidRDefault="004D0E64" w:rsidP="004D0E64">
            <w:pPr>
              <w:tabs>
                <w:tab w:val="right" w:pos="1202"/>
              </w:tabs>
              <w:spacing w:after="0" w:line="140" w:lineRule="exact"/>
              <w:outlineLvl w:val="0"/>
              <w:rPr>
                <w:rFonts w:ascii="Calibri" w:eastAsia="Times New Roman" w:hAnsi="Calibri" w:cs="Calibri"/>
                <w:iCs/>
                <w:sz w:val="17"/>
                <w:szCs w:val="17"/>
                <w:lang w:val="en-US"/>
              </w:rPr>
            </w:pPr>
          </w:p>
        </w:tc>
        <w:tc>
          <w:tcPr>
            <w:tcW w:w="525" w:type="pct"/>
            <w:tcBorders>
              <w:top w:val="single" w:sz="4" w:space="0" w:color="auto"/>
              <w:left w:val="nil"/>
              <w:bottom w:val="nil"/>
              <w:right w:val="nil"/>
            </w:tcBorders>
            <w:vAlign w:val="bottom"/>
          </w:tcPr>
          <w:p w14:paraId="0E3C9C63" w14:textId="77777777" w:rsidR="004D0E64" w:rsidRPr="00537128" w:rsidRDefault="004D0E64" w:rsidP="004D0E64">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22" w:type="pct"/>
            <w:tcBorders>
              <w:top w:val="single" w:sz="4" w:space="0" w:color="auto"/>
              <w:left w:val="nil"/>
              <w:bottom w:val="nil"/>
              <w:right w:val="nil"/>
            </w:tcBorders>
            <w:vAlign w:val="bottom"/>
          </w:tcPr>
          <w:p w14:paraId="46483F08" w14:textId="77777777" w:rsidR="004D0E64" w:rsidRPr="00537128" w:rsidRDefault="004D0E64" w:rsidP="004D0E64">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574" w:type="pct"/>
            <w:tcBorders>
              <w:top w:val="single" w:sz="4" w:space="0" w:color="auto"/>
              <w:left w:val="nil"/>
              <w:bottom w:val="nil"/>
              <w:right w:val="nil"/>
            </w:tcBorders>
            <w:vAlign w:val="bottom"/>
          </w:tcPr>
          <w:p w14:paraId="5CA6F12B" w14:textId="77777777" w:rsidR="004D0E64" w:rsidRPr="00537128" w:rsidRDefault="004D0E64" w:rsidP="004D0E64">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39" w:type="pct"/>
            <w:tcBorders>
              <w:top w:val="single" w:sz="4" w:space="0" w:color="auto"/>
              <w:left w:val="nil"/>
              <w:bottom w:val="nil"/>
              <w:right w:val="nil"/>
            </w:tcBorders>
            <w:vAlign w:val="bottom"/>
          </w:tcPr>
          <w:p w14:paraId="0B7EE19B" w14:textId="77777777" w:rsidR="004D0E64" w:rsidRPr="00537128" w:rsidRDefault="004D0E64" w:rsidP="004D0E64">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39" w:type="pct"/>
            <w:tcBorders>
              <w:top w:val="single" w:sz="4" w:space="0" w:color="auto"/>
              <w:left w:val="nil"/>
              <w:bottom w:val="nil"/>
              <w:right w:val="nil"/>
            </w:tcBorders>
            <w:vAlign w:val="bottom"/>
          </w:tcPr>
          <w:p w14:paraId="1DA1A8C4" w14:textId="77777777" w:rsidR="004D0E64" w:rsidRPr="00537128" w:rsidRDefault="004D0E64" w:rsidP="004D0E64">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39" w:type="pct"/>
            <w:tcBorders>
              <w:top w:val="single" w:sz="4" w:space="0" w:color="auto"/>
              <w:left w:val="nil"/>
              <w:bottom w:val="nil"/>
              <w:right w:val="nil"/>
            </w:tcBorders>
            <w:vAlign w:val="bottom"/>
          </w:tcPr>
          <w:p w14:paraId="5DD4162F" w14:textId="77777777" w:rsidR="004D0E64" w:rsidRPr="00537128" w:rsidRDefault="004D0E64" w:rsidP="004D0E64">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r>
      <w:tr w:rsidR="004D0E64" w:rsidRPr="00537128" w14:paraId="21CC2A1F" w14:textId="77777777" w:rsidTr="004D0E64">
        <w:trPr>
          <w:trHeight w:val="340"/>
        </w:trPr>
        <w:tc>
          <w:tcPr>
            <w:tcW w:w="1362" w:type="pct"/>
            <w:vAlign w:val="bottom"/>
            <w:hideMark/>
          </w:tcPr>
          <w:p w14:paraId="0E61240E" w14:textId="77280D36" w:rsidR="004D0E64" w:rsidRPr="00537128" w:rsidRDefault="004D0E64" w:rsidP="004D0E64">
            <w:pPr>
              <w:tabs>
                <w:tab w:val="right" w:pos="1202"/>
              </w:tabs>
              <w:spacing w:after="0" w:line="240" w:lineRule="exact"/>
              <w:outlineLvl w:val="0"/>
              <w:rPr>
                <w:rFonts w:ascii="Calibri" w:eastAsia="Times New Roman" w:hAnsi="Calibri" w:cs="Calibri"/>
                <w:b/>
                <w:iCs/>
                <w:sz w:val="17"/>
                <w:szCs w:val="17"/>
                <w:lang w:val="en-US"/>
              </w:rPr>
            </w:pPr>
            <w:bookmarkStart w:id="1301" w:name="_Toc4063626"/>
            <w:r w:rsidRPr="00537128">
              <w:rPr>
                <w:rFonts w:ascii="Calibri" w:eastAsia="Times New Roman" w:hAnsi="Calibri" w:cs="Calibri"/>
                <w:b/>
                <w:iCs/>
                <w:sz w:val="17"/>
                <w:szCs w:val="17"/>
                <w:lang w:val="en-US"/>
              </w:rPr>
              <w:t xml:space="preserve">Balance as of 31 </w:t>
            </w:r>
            <w:bookmarkEnd w:id="1301"/>
            <w:r w:rsidRPr="00537128">
              <w:rPr>
                <w:rFonts w:ascii="Calibri" w:eastAsia="Times New Roman" w:hAnsi="Calibri" w:cs="Calibri"/>
                <w:b/>
                <w:iCs/>
                <w:sz w:val="17"/>
                <w:szCs w:val="17"/>
                <w:lang w:val="en-US"/>
              </w:rPr>
              <w:t>March 202</w:t>
            </w:r>
            <w:r>
              <w:rPr>
                <w:rFonts w:ascii="Calibri" w:eastAsia="Times New Roman" w:hAnsi="Calibri" w:cs="Calibri"/>
                <w:b/>
                <w:iCs/>
                <w:sz w:val="17"/>
                <w:szCs w:val="17"/>
                <w:lang w:val="en-US"/>
              </w:rPr>
              <w:t>1</w:t>
            </w:r>
          </w:p>
        </w:tc>
        <w:tc>
          <w:tcPr>
            <w:tcW w:w="525" w:type="pct"/>
            <w:tcBorders>
              <w:top w:val="nil"/>
              <w:left w:val="nil"/>
              <w:bottom w:val="single" w:sz="12" w:space="0" w:color="auto"/>
              <w:right w:val="nil"/>
            </w:tcBorders>
            <w:shd w:val="clear" w:color="auto" w:fill="auto"/>
            <w:vAlign w:val="bottom"/>
          </w:tcPr>
          <w:p w14:paraId="3FB0E4D5" w14:textId="7942CBF6" w:rsidR="004D0E64" w:rsidRPr="00537128" w:rsidRDefault="004D0E64" w:rsidP="004D0E64">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hAnsi="Calibri" w:cs="Calibri"/>
                <w:b/>
                <w:bCs/>
                <w:color w:val="000000"/>
                <w:sz w:val="17"/>
                <w:szCs w:val="17"/>
              </w:rPr>
              <w:t>37,500</w:t>
            </w:r>
          </w:p>
        </w:tc>
        <w:tc>
          <w:tcPr>
            <w:tcW w:w="622" w:type="pct"/>
            <w:tcBorders>
              <w:top w:val="nil"/>
              <w:left w:val="nil"/>
              <w:bottom w:val="single" w:sz="12" w:space="0" w:color="auto"/>
              <w:right w:val="nil"/>
            </w:tcBorders>
            <w:shd w:val="clear" w:color="auto" w:fill="auto"/>
            <w:vAlign w:val="bottom"/>
          </w:tcPr>
          <w:p w14:paraId="00479E9E" w14:textId="5A5361C2" w:rsidR="004D0E64" w:rsidRPr="00537128" w:rsidRDefault="004D0E64" w:rsidP="004D0E64">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hAnsi="Calibri" w:cs="Calibri"/>
                <w:b/>
                <w:bCs/>
                <w:color w:val="000000"/>
                <w:sz w:val="17"/>
                <w:szCs w:val="17"/>
              </w:rPr>
              <w:t>3,941</w:t>
            </w:r>
          </w:p>
        </w:tc>
        <w:tc>
          <w:tcPr>
            <w:tcW w:w="574" w:type="pct"/>
            <w:tcBorders>
              <w:top w:val="nil"/>
              <w:left w:val="nil"/>
              <w:bottom w:val="single" w:sz="12" w:space="0" w:color="auto"/>
              <w:right w:val="nil"/>
            </w:tcBorders>
            <w:shd w:val="clear" w:color="auto" w:fill="auto"/>
            <w:vAlign w:val="bottom"/>
          </w:tcPr>
          <w:p w14:paraId="569CC1B4" w14:textId="0C027381" w:rsidR="004D0E64" w:rsidRPr="00537128" w:rsidRDefault="004D0E64" w:rsidP="004D0E64">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hAnsi="Calibri" w:cs="Calibri"/>
                <w:b/>
                <w:bCs/>
                <w:color w:val="000000"/>
                <w:sz w:val="17"/>
                <w:szCs w:val="17"/>
              </w:rPr>
              <w:t>3,386</w:t>
            </w:r>
          </w:p>
        </w:tc>
        <w:tc>
          <w:tcPr>
            <w:tcW w:w="639" w:type="pct"/>
            <w:tcBorders>
              <w:top w:val="nil"/>
              <w:left w:val="nil"/>
              <w:bottom w:val="single" w:sz="12" w:space="0" w:color="auto"/>
              <w:right w:val="nil"/>
            </w:tcBorders>
            <w:shd w:val="clear" w:color="auto" w:fill="auto"/>
            <w:vAlign w:val="bottom"/>
          </w:tcPr>
          <w:p w14:paraId="56BFF9F9" w14:textId="43AE4C86" w:rsidR="004D0E64" w:rsidRPr="00537128" w:rsidRDefault="004D0E64" w:rsidP="004D0E64">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hAnsi="Calibri" w:cs="Calibri"/>
                <w:b/>
                <w:bCs/>
                <w:color w:val="000000"/>
                <w:sz w:val="17"/>
                <w:szCs w:val="17"/>
              </w:rPr>
              <w:t>764</w:t>
            </w:r>
          </w:p>
        </w:tc>
        <w:tc>
          <w:tcPr>
            <w:tcW w:w="639" w:type="pct"/>
            <w:tcBorders>
              <w:top w:val="nil"/>
              <w:left w:val="nil"/>
              <w:bottom w:val="single" w:sz="12" w:space="0" w:color="auto"/>
              <w:right w:val="nil"/>
            </w:tcBorders>
            <w:shd w:val="clear" w:color="auto" w:fill="auto"/>
            <w:vAlign w:val="bottom"/>
          </w:tcPr>
          <w:p w14:paraId="1DE596AF" w14:textId="5F190538" w:rsidR="004D0E64" w:rsidRPr="00537128" w:rsidRDefault="004D0E64" w:rsidP="004D0E64">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hAnsi="Calibri" w:cs="Calibri"/>
                <w:b/>
                <w:bCs/>
                <w:color w:val="000000"/>
                <w:sz w:val="17"/>
                <w:szCs w:val="17"/>
              </w:rPr>
              <w:t>45,591</w:t>
            </w:r>
          </w:p>
        </w:tc>
        <w:tc>
          <w:tcPr>
            <w:tcW w:w="639" w:type="pct"/>
            <w:tcBorders>
              <w:top w:val="nil"/>
              <w:left w:val="nil"/>
              <w:bottom w:val="single" w:sz="12" w:space="0" w:color="auto"/>
              <w:right w:val="nil"/>
            </w:tcBorders>
            <w:shd w:val="clear" w:color="auto" w:fill="auto"/>
            <w:vAlign w:val="bottom"/>
          </w:tcPr>
          <w:p w14:paraId="0BD26728" w14:textId="7B350320" w:rsidR="004D0E64" w:rsidRPr="00537128" w:rsidRDefault="004D0E64" w:rsidP="004D0E64">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hAnsi="Calibri" w:cs="Calibri"/>
                <w:b/>
                <w:bCs/>
                <w:color w:val="000000"/>
                <w:sz w:val="17"/>
                <w:szCs w:val="17"/>
              </w:rPr>
              <w:t>45,591</w:t>
            </w:r>
          </w:p>
        </w:tc>
      </w:tr>
      <w:tr w:rsidR="004D0E64" w:rsidRPr="00537128" w14:paraId="6315C94D" w14:textId="77777777" w:rsidTr="004D0E64">
        <w:trPr>
          <w:trHeight w:val="75"/>
        </w:trPr>
        <w:tc>
          <w:tcPr>
            <w:tcW w:w="1362" w:type="pct"/>
            <w:vAlign w:val="bottom"/>
          </w:tcPr>
          <w:p w14:paraId="3078B0C5" w14:textId="77777777" w:rsidR="004D0E64" w:rsidRPr="00537128" w:rsidRDefault="004D0E64" w:rsidP="004D0E64">
            <w:pPr>
              <w:tabs>
                <w:tab w:val="right" w:pos="1202"/>
              </w:tabs>
              <w:spacing w:after="0" w:line="140" w:lineRule="exact"/>
              <w:outlineLvl w:val="0"/>
              <w:rPr>
                <w:rFonts w:ascii="Calibri" w:eastAsia="Times New Roman" w:hAnsi="Calibri" w:cs="Calibri"/>
                <w:b/>
                <w:iCs/>
                <w:sz w:val="17"/>
                <w:szCs w:val="17"/>
                <w:lang w:val="en-US"/>
              </w:rPr>
            </w:pPr>
          </w:p>
        </w:tc>
        <w:tc>
          <w:tcPr>
            <w:tcW w:w="525" w:type="pct"/>
            <w:tcBorders>
              <w:top w:val="single" w:sz="12" w:space="0" w:color="auto"/>
              <w:left w:val="nil"/>
              <w:bottom w:val="nil"/>
              <w:right w:val="nil"/>
            </w:tcBorders>
            <w:vAlign w:val="bottom"/>
          </w:tcPr>
          <w:p w14:paraId="21223050" w14:textId="77777777" w:rsidR="004D0E64" w:rsidRPr="00537128" w:rsidRDefault="004D0E64" w:rsidP="004D0E64">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22" w:type="pct"/>
            <w:tcBorders>
              <w:top w:val="single" w:sz="12" w:space="0" w:color="auto"/>
              <w:left w:val="nil"/>
              <w:bottom w:val="nil"/>
              <w:right w:val="nil"/>
            </w:tcBorders>
            <w:vAlign w:val="bottom"/>
          </w:tcPr>
          <w:p w14:paraId="37A43020" w14:textId="77777777" w:rsidR="004D0E64" w:rsidRPr="00537128" w:rsidRDefault="004D0E64" w:rsidP="004D0E64">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574" w:type="pct"/>
            <w:tcBorders>
              <w:top w:val="single" w:sz="12" w:space="0" w:color="auto"/>
              <w:left w:val="nil"/>
              <w:bottom w:val="nil"/>
              <w:right w:val="nil"/>
            </w:tcBorders>
            <w:vAlign w:val="bottom"/>
          </w:tcPr>
          <w:p w14:paraId="30D704E8" w14:textId="77777777" w:rsidR="004D0E64" w:rsidRPr="00537128" w:rsidRDefault="004D0E64" w:rsidP="004D0E64">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39" w:type="pct"/>
            <w:tcBorders>
              <w:top w:val="single" w:sz="12" w:space="0" w:color="auto"/>
              <w:left w:val="nil"/>
              <w:bottom w:val="nil"/>
              <w:right w:val="nil"/>
            </w:tcBorders>
            <w:vAlign w:val="bottom"/>
          </w:tcPr>
          <w:p w14:paraId="43E4047C" w14:textId="77777777" w:rsidR="004D0E64" w:rsidRPr="00537128" w:rsidRDefault="004D0E64" w:rsidP="004D0E64">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39" w:type="pct"/>
            <w:tcBorders>
              <w:top w:val="single" w:sz="12" w:space="0" w:color="auto"/>
              <w:left w:val="nil"/>
              <w:bottom w:val="nil"/>
              <w:right w:val="nil"/>
            </w:tcBorders>
            <w:vAlign w:val="bottom"/>
          </w:tcPr>
          <w:p w14:paraId="1D8CD879" w14:textId="77777777" w:rsidR="004D0E64" w:rsidRPr="00537128" w:rsidRDefault="004D0E64" w:rsidP="004D0E64">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39" w:type="pct"/>
            <w:tcBorders>
              <w:top w:val="single" w:sz="12" w:space="0" w:color="auto"/>
              <w:left w:val="nil"/>
              <w:bottom w:val="nil"/>
              <w:right w:val="nil"/>
            </w:tcBorders>
            <w:vAlign w:val="bottom"/>
          </w:tcPr>
          <w:p w14:paraId="3F59621D" w14:textId="77777777" w:rsidR="004D0E64" w:rsidRPr="00537128" w:rsidRDefault="004D0E64" w:rsidP="004D0E64">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r>
      <w:tr w:rsidR="00507161" w:rsidRPr="00537128" w14:paraId="4CDE2A63" w14:textId="77777777" w:rsidTr="004D0E64">
        <w:trPr>
          <w:trHeight w:val="241"/>
        </w:trPr>
        <w:tc>
          <w:tcPr>
            <w:tcW w:w="1362" w:type="pct"/>
            <w:vAlign w:val="bottom"/>
          </w:tcPr>
          <w:p w14:paraId="55D875D9" w14:textId="62B0239F" w:rsidR="00507161" w:rsidRPr="00537128" w:rsidRDefault="00507161" w:rsidP="00507161">
            <w:pPr>
              <w:tabs>
                <w:tab w:val="right" w:pos="1202"/>
              </w:tabs>
              <w:spacing w:after="0" w:line="240" w:lineRule="exact"/>
              <w:outlineLvl w:val="0"/>
              <w:rPr>
                <w:rFonts w:ascii="Calibri" w:eastAsia="Times New Roman" w:hAnsi="Calibri" w:cs="Calibri"/>
                <w:b/>
                <w:iCs/>
                <w:sz w:val="17"/>
                <w:szCs w:val="17"/>
                <w:lang w:val="en-US"/>
              </w:rPr>
            </w:pPr>
            <w:r w:rsidRPr="00537128">
              <w:rPr>
                <w:rFonts w:ascii="Calibri" w:eastAsia="Times New Roman" w:hAnsi="Calibri" w:cs="Calibri"/>
                <w:b/>
                <w:iCs/>
                <w:sz w:val="17"/>
                <w:szCs w:val="17"/>
                <w:lang w:val="en-US"/>
              </w:rPr>
              <w:t>Balance as of 1 January 202</w:t>
            </w:r>
            <w:r>
              <w:rPr>
                <w:rFonts w:ascii="Calibri" w:eastAsia="Times New Roman" w:hAnsi="Calibri" w:cs="Calibri"/>
                <w:b/>
                <w:iCs/>
                <w:sz w:val="17"/>
                <w:szCs w:val="17"/>
                <w:lang w:val="en-US"/>
              </w:rPr>
              <w:t>2</w:t>
            </w:r>
          </w:p>
        </w:tc>
        <w:tc>
          <w:tcPr>
            <w:tcW w:w="525" w:type="pct"/>
            <w:tcBorders>
              <w:top w:val="nil"/>
              <w:left w:val="nil"/>
              <w:bottom w:val="single" w:sz="12" w:space="0" w:color="auto"/>
              <w:right w:val="nil"/>
            </w:tcBorders>
            <w:shd w:val="clear" w:color="auto" w:fill="auto"/>
            <w:vAlign w:val="bottom"/>
          </w:tcPr>
          <w:p w14:paraId="6C2DEEBB" w14:textId="1DD1AC48" w:rsidR="00507161" w:rsidRPr="00537128" w:rsidRDefault="00507161" w:rsidP="00507161">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hAnsi="Calibri" w:cs="Calibri"/>
                <w:b/>
                <w:bCs/>
                <w:color w:val="000000"/>
                <w:sz w:val="17"/>
                <w:szCs w:val="17"/>
              </w:rPr>
              <w:t>37,500</w:t>
            </w:r>
          </w:p>
        </w:tc>
        <w:tc>
          <w:tcPr>
            <w:tcW w:w="622" w:type="pct"/>
            <w:tcBorders>
              <w:top w:val="nil"/>
              <w:left w:val="nil"/>
              <w:bottom w:val="single" w:sz="12" w:space="0" w:color="auto"/>
              <w:right w:val="nil"/>
            </w:tcBorders>
            <w:shd w:val="clear" w:color="auto" w:fill="auto"/>
            <w:vAlign w:val="bottom"/>
          </w:tcPr>
          <w:p w14:paraId="392C612A" w14:textId="7BA06D73" w:rsidR="00507161" w:rsidRPr="00537128" w:rsidRDefault="00507161" w:rsidP="00507161">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hAnsi="Calibri" w:cs="Calibri"/>
                <w:b/>
                <w:bCs/>
                <w:color w:val="000000"/>
                <w:sz w:val="17"/>
                <w:szCs w:val="17"/>
              </w:rPr>
              <w:t>3,941</w:t>
            </w:r>
          </w:p>
        </w:tc>
        <w:tc>
          <w:tcPr>
            <w:tcW w:w="574" w:type="pct"/>
            <w:tcBorders>
              <w:top w:val="nil"/>
              <w:left w:val="nil"/>
              <w:bottom w:val="single" w:sz="12" w:space="0" w:color="auto"/>
              <w:right w:val="nil"/>
            </w:tcBorders>
            <w:shd w:val="clear" w:color="auto" w:fill="auto"/>
            <w:vAlign w:val="bottom"/>
          </w:tcPr>
          <w:p w14:paraId="76984B04" w14:textId="429E5E20" w:rsidR="00507161" w:rsidRPr="00537128" w:rsidRDefault="00507161" w:rsidP="00507161">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hAnsi="Calibri" w:cs="Calibri"/>
                <w:b/>
                <w:bCs/>
                <w:color w:val="000000"/>
                <w:sz w:val="17"/>
                <w:szCs w:val="17"/>
              </w:rPr>
              <w:t>2,638</w:t>
            </w:r>
          </w:p>
        </w:tc>
        <w:tc>
          <w:tcPr>
            <w:tcW w:w="639" w:type="pct"/>
            <w:tcBorders>
              <w:top w:val="nil"/>
              <w:left w:val="nil"/>
              <w:bottom w:val="single" w:sz="12" w:space="0" w:color="auto"/>
              <w:right w:val="nil"/>
            </w:tcBorders>
            <w:shd w:val="clear" w:color="auto" w:fill="auto"/>
            <w:vAlign w:val="bottom"/>
          </w:tcPr>
          <w:p w14:paraId="4B82D296" w14:textId="6B0B42AB" w:rsidR="00507161" w:rsidRPr="00537128" w:rsidRDefault="00507161" w:rsidP="00507161">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hAnsi="Calibri" w:cs="Calibri"/>
                <w:b/>
                <w:bCs/>
                <w:color w:val="000000"/>
                <w:sz w:val="17"/>
                <w:szCs w:val="17"/>
              </w:rPr>
              <w:t>1,103</w:t>
            </w:r>
          </w:p>
        </w:tc>
        <w:tc>
          <w:tcPr>
            <w:tcW w:w="639" w:type="pct"/>
            <w:tcBorders>
              <w:top w:val="nil"/>
              <w:left w:val="nil"/>
              <w:bottom w:val="single" w:sz="12" w:space="0" w:color="auto"/>
              <w:right w:val="nil"/>
            </w:tcBorders>
            <w:shd w:val="clear" w:color="auto" w:fill="auto"/>
            <w:vAlign w:val="bottom"/>
          </w:tcPr>
          <w:p w14:paraId="74D5A153" w14:textId="49700225" w:rsidR="00507161" w:rsidRPr="00537128" w:rsidRDefault="00507161" w:rsidP="00507161">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hAnsi="Calibri" w:cs="Calibri"/>
                <w:b/>
                <w:bCs/>
                <w:color w:val="000000"/>
                <w:sz w:val="17"/>
                <w:szCs w:val="17"/>
              </w:rPr>
              <w:t>45,182</w:t>
            </w:r>
          </w:p>
        </w:tc>
        <w:tc>
          <w:tcPr>
            <w:tcW w:w="639" w:type="pct"/>
            <w:tcBorders>
              <w:top w:val="nil"/>
              <w:left w:val="nil"/>
              <w:bottom w:val="single" w:sz="12" w:space="0" w:color="auto"/>
              <w:right w:val="nil"/>
            </w:tcBorders>
            <w:shd w:val="clear" w:color="auto" w:fill="auto"/>
            <w:vAlign w:val="bottom"/>
          </w:tcPr>
          <w:p w14:paraId="429AEF61" w14:textId="0278129E" w:rsidR="00507161" w:rsidRPr="00537128" w:rsidRDefault="00507161" w:rsidP="00507161">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hAnsi="Calibri" w:cs="Calibri"/>
                <w:b/>
                <w:bCs/>
                <w:color w:val="000000"/>
                <w:sz w:val="17"/>
                <w:szCs w:val="17"/>
              </w:rPr>
              <w:t>45,182</w:t>
            </w:r>
          </w:p>
        </w:tc>
      </w:tr>
      <w:tr w:rsidR="00172B81" w:rsidRPr="00537128" w14:paraId="0B87CF11" w14:textId="77777777" w:rsidTr="004D0E64">
        <w:trPr>
          <w:trHeight w:val="75"/>
        </w:trPr>
        <w:tc>
          <w:tcPr>
            <w:tcW w:w="1362" w:type="pct"/>
            <w:vAlign w:val="bottom"/>
            <w:hideMark/>
          </w:tcPr>
          <w:p w14:paraId="020D031E" w14:textId="23EC42BB" w:rsidR="00172B81" w:rsidRPr="00537128" w:rsidRDefault="00172B81" w:rsidP="00172B81">
            <w:pPr>
              <w:tabs>
                <w:tab w:val="right" w:pos="1202"/>
              </w:tabs>
              <w:spacing w:after="0" w:line="240" w:lineRule="exact"/>
              <w:outlineLvl w:val="0"/>
              <w:rPr>
                <w:rFonts w:ascii="Calibri" w:eastAsia="Times New Roman" w:hAnsi="Calibri" w:cs="Calibri"/>
                <w:iCs/>
                <w:sz w:val="17"/>
                <w:szCs w:val="17"/>
                <w:lang w:val="en-US"/>
              </w:rPr>
            </w:pPr>
            <w:bookmarkStart w:id="1302" w:name="_Toc4063633"/>
            <w:r>
              <w:rPr>
                <w:rFonts w:ascii="Calibri" w:eastAsia="Times New Roman" w:hAnsi="Calibri" w:cs="Calibri"/>
                <w:iCs/>
                <w:sz w:val="17"/>
                <w:szCs w:val="17"/>
                <w:lang w:val="en-US"/>
              </w:rPr>
              <w:t>Loss</w:t>
            </w:r>
            <w:r w:rsidRPr="00537128">
              <w:rPr>
                <w:rFonts w:ascii="Calibri" w:eastAsia="Times New Roman" w:hAnsi="Calibri" w:cs="Calibri"/>
                <w:iCs/>
                <w:sz w:val="17"/>
                <w:szCs w:val="17"/>
                <w:lang w:val="en-US"/>
              </w:rPr>
              <w:t xml:space="preserve"> for the </w:t>
            </w:r>
            <w:bookmarkEnd w:id="1302"/>
            <w:r w:rsidRPr="00537128">
              <w:rPr>
                <w:rFonts w:ascii="Calibri" w:eastAsia="Times New Roman" w:hAnsi="Calibri" w:cs="Calibri"/>
                <w:iCs/>
                <w:sz w:val="17"/>
                <w:szCs w:val="17"/>
                <w:lang w:val="en-US"/>
              </w:rPr>
              <w:t>period</w:t>
            </w:r>
          </w:p>
        </w:tc>
        <w:tc>
          <w:tcPr>
            <w:tcW w:w="525" w:type="pct"/>
            <w:vAlign w:val="bottom"/>
          </w:tcPr>
          <w:p w14:paraId="483D3FA2" w14:textId="00ACB7A6" w:rsidR="00172B81" w:rsidRPr="00537128" w:rsidRDefault="00172B81" w:rsidP="00172B81">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iCs/>
                <w:color w:val="000000" w:themeColor="text1"/>
                <w:sz w:val="17"/>
                <w:szCs w:val="17"/>
              </w:rPr>
              <w:t>-</w:t>
            </w:r>
          </w:p>
        </w:tc>
        <w:tc>
          <w:tcPr>
            <w:tcW w:w="622" w:type="pct"/>
            <w:vAlign w:val="bottom"/>
          </w:tcPr>
          <w:p w14:paraId="70BF0A5C" w14:textId="7D0DFE4B" w:rsidR="00172B81" w:rsidRPr="00537128" w:rsidRDefault="00172B81" w:rsidP="00172B81">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iCs/>
                <w:color w:val="000000" w:themeColor="text1"/>
                <w:sz w:val="17"/>
                <w:szCs w:val="17"/>
              </w:rPr>
              <w:t>-</w:t>
            </w:r>
          </w:p>
        </w:tc>
        <w:tc>
          <w:tcPr>
            <w:tcW w:w="574" w:type="pct"/>
            <w:vAlign w:val="bottom"/>
          </w:tcPr>
          <w:p w14:paraId="6BFD5A77" w14:textId="1CE17CC9" w:rsidR="00172B81" w:rsidRPr="00537128" w:rsidRDefault="00172B81" w:rsidP="00172B81">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eastAsia="Calibri" w:hAnsi="Calibri" w:cs="Calibri"/>
                <w:iCs/>
                <w:color w:val="000000" w:themeColor="text1"/>
                <w:sz w:val="17"/>
                <w:szCs w:val="17"/>
              </w:rPr>
              <w:t>-</w:t>
            </w:r>
          </w:p>
        </w:tc>
        <w:tc>
          <w:tcPr>
            <w:tcW w:w="639" w:type="pct"/>
            <w:vAlign w:val="bottom"/>
          </w:tcPr>
          <w:p w14:paraId="7184688F" w14:textId="117CDB80" w:rsidR="00172B81" w:rsidRPr="00537128" w:rsidRDefault="00172B81" w:rsidP="00172B81">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eastAsia="Calibri" w:hAnsi="Calibri" w:cs="Calibri"/>
                <w:iCs/>
                <w:color w:val="000000" w:themeColor="text1"/>
                <w:sz w:val="17"/>
                <w:szCs w:val="17"/>
              </w:rPr>
              <w:t>(244)</w:t>
            </w:r>
          </w:p>
        </w:tc>
        <w:tc>
          <w:tcPr>
            <w:tcW w:w="639" w:type="pct"/>
            <w:vAlign w:val="bottom"/>
          </w:tcPr>
          <w:p w14:paraId="7FAC345A" w14:textId="7DFD84FA" w:rsidR="00172B81" w:rsidRPr="00537128" w:rsidRDefault="00172B81" w:rsidP="00172B81">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eastAsia="Calibri" w:hAnsi="Calibri" w:cs="Calibri"/>
                <w:b/>
                <w:bCs/>
                <w:color w:val="000000" w:themeColor="text1"/>
                <w:sz w:val="17"/>
                <w:szCs w:val="17"/>
              </w:rPr>
              <w:t>(244)</w:t>
            </w:r>
          </w:p>
        </w:tc>
        <w:tc>
          <w:tcPr>
            <w:tcW w:w="639" w:type="pct"/>
            <w:tcBorders>
              <w:top w:val="nil"/>
              <w:left w:val="nil"/>
              <w:bottom w:val="nil"/>
              <w:right w:val="nil"/>
            </w:tcBorders>
            <w:shd w:val="clear" w:color="auto" w:fill="auto"/>
            <w:vAlign w:val="bottom"/>
          </w:tcPr>
          <w:p w14:paraId="0C614B06" w14:textId="01E375F7" w:rsidR="00172B81" w:rsidRPr="00537128" w:rsidRDefault="00172B81" w:rsidP="00172B81">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eastAsia="Calibri" w:hAnsi="Calibri" w:cs="Calibri"/>
                <w:b/>
                <w:bCs/>
                <w:color w:val="000000" w:themeColor="text1"/>
                <w:sz w:val="17"/>
                <w:szCs w:val="17"/>
              </w:rPr>
              <w:t>(244)</w:t>
            </w:r>
          </w:p>
        </w:tc>
      </w:tr>
      <w:tr w:rsidR="00172B81" w:rsidRPr="00537128" w14:paraId="1B904A71" w14:textId="77777777" w:rsidTr="004D0E64">
        <w:trPr>
          <w:trHeight w:val="75"/>
        </w:trPr>
        <w:tc>
          <w:tcPr>
            <w:tcW w:w="1362" w:type="pct"/>
            <w:vAlign w:val="bottom"/>
            <w:hideMark/>
          </w:tcPr>
          <w:p w14:paraId="741F8741" w14:textId="77777777" w:rsidR="00172B81" w:rsidRPr="00537128" w:rsidRDefault="00172B81" w:rsidP="00172B81">
            <w:pPr>
              <w:tabs>
                <w:tab w:val="right" w:pos="1202"/>
              </w:tabs>
              <w:spacing w:after="0" w:line="200" w:lineRule="exact"/>
              <w:outlineLvl w:val="0"/>
              <w:rPr>
                <w:rFonts w:ascii="Calibri" w:eastAsia="Times New Roman" w:hAnsi="Calibri" w:cs="Calibri"/>
                <w:iCs/>
                <w:sz w:val="17"/>
                <w:szCs w:val="17"/>
                <w:lang w:val="en-US"/>
              </w:rPr>
            </w:pPr>
            <w:bookmarkStart w:id="1303" w:name="_Toc4063640"/>
            <w:r w:rsidRPr="00537128">
              <w:rPr>
                <w:rFonts w:ascii="Calibri" w:eastAsia="Times New Roman" w:hAnsi="Calibri" w:cs="Calibri"/>
                <w:iCs/>
                <w:sz w:val="17"/>
                <w:szCs w:val="17"/>
                <w:lang w:val="en-US"/>
              </w:rPr>
              <w:t>Other comprehensive income</w:t>
            </w:r>
            <w:bookmarkEnd w:id="1303"/>
          </w:p>
        </w:tc>
        <w:tc>
          <w:tcPr>
            <w:tcW w:w="525" w:type="pct"/>
            <w:tcBorders>
              <w:bottom w:val="single" w:sz="4" w:space="0" w:color="auto"/>
            </w:tcBorders>
            <w:vAlign w:val="bottom"/>
          </w:tcPr>
          <w:p w14:paraId="7894BEC6" w14:textId="0E31440C" w:rsidR="00172B81" w:rsidRPr="00537128" w:rsidRDefault="00172B81" w:rsidP="00172B81">
            <w:pPr>
              <w:tabs>
                <w:tab w:val="right" w:pos="1202"/>
              </w:tabs>
              <w:spacing w:after="0" w:line="301" w:lineRule="exact"/>
              <w:jc w:val="right"/>
              <w:outlineLvl w:val="0"/>
              <w:rPr>
                <w:rFonts w:ascii="Calibri" w:eastAsia="Times New Roman" w:hAnsi="Calibri" w:cs="Calibri"/>
                <w:iCs/>
                <w:sz w:val="17"/>
                <w:szCs w:val="17"/>
                <w:lang w:val="en-US"/>
              </w:rPr>
            </w:pPr>
            <w:r>
              <w:rPr>
                <w:rFonts w:ascii="Calibri" w:hAnsi="Calibri" w:cs="Calibri"/>
                <w:iCs/>
                <w:color w:val="000000"/>
                <w:sz w:val="17"/>
                <w:szCs w:val="17"/>
              </w:rPr>
              <w:t>-</w:t>
            </w:r>
          </w:p>
        </w:tc>
        <w:tc>
          <w:tcPr>
            <w:tcW w:w="622" w:type="pct"/>
            <w:tcBorders>
              <w:bottom w:val="single" w:sz="4" w:space="0" w:color="auto"/>
            </w:tcBorders>
            <w:vAlign w:val="bottom"/>
          </w:tcPr>
          <w:p w14:paraId="7D679D00" w14:textId="130C467F" w:rsidR="00172B81" w:rsidRPr="00537128" w:rsidRDefault="00172B81" w:rsidP="00172B81">
            <w:pPr>
              <w:tabs>
                <w:tab w:val="right" w:pos="1202"/>
              </w:tabs>
              <w:spacing w:after="0" w:line="301" w:lineRule="exact"/>
              <w:jc w:val="right"/>
              <w:outlineLvl w:val="0"/>
              <w:rPr>
                <w:rFonts w:ascii="Calibri" w:eastAsia="Times New Roman" w:hAnsi="Calibri" w:cs="Calibri"/>
                <w:iCs/>
                <w:sz w:val="17"/>
                <w:szCs w:val="17"/>
                <w:lang w:val="en-US"/>
              </w:rPr>
            </w:pPr>
            <w:r>
              <w:rPr>
                <w:rFonts w:ascii="Calibri" w:hAnsi="Calibri" w:cs="Calibri"/>
                <w:iCs/>
                <w:color w:val="000000"/>
                <w:sz w:val="17"/>
                <w:szCs w:val="17"/>
              </w:rPr>
              <w:t>-</w:t>
            </w:r>
          </w:p>
        </w:tc>
        <w:tc>
          <w:tcPr>
            <w:tcW w:w="574" w:type="pct"/>
            <w:tcBorders>
              <w:bottom w:val="single" w:sz="4" w:space="0" w:color="auto"/>
            </w:tcBorders>
            <w:vAlign w:val="bottom"/>
          </w:tcPr>
          <w:p w14:paraId="0AFEF892" w14:textId="5601C4C0" w:rsidR="00172B81" w:rsidRPr="00537128" w:rsidRDefault="00172B81" w:rsidP="00172B81">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eastAsia="Calibri" w:hAnsi="Calibri" w:cs="Calibri"/>
                <w:iCs/>
                <w:color w:val="000000" w:themeColor="text1"/>
                <w:sz w:val="17"/>
                <w:szCs w:val="17"/>
              </w:rPr>
              <w:t>(3,108)</w:t>
            </w:r>
          </w:p>
        </w:tc>
        <w:tc>
          <w:tcPr>
            <w:tcW w:w="639" w:type="pct"/>
            <w:tcBorders>
              <w:bottom w:val="single" w:sz="4" w:space="0" w:color="auto"/>
            </w:tcBorders>
            <w:vAlign w:val="bottom"/>
          </w:tcPr>
          <w:p w14:paraId="7292BE58" w14:textId="6D47B4F8" w:rsidR="00172B81" w:rsidRPr="00537128" w:rsidRDefault="00172B81" w:rsidP="00172B81">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eastAsia="Calibri" w:hAnsi="Calibri" w:cs="Calibri"/>
                <w:iCs/>
                <w:color w:val="000000" w:themeColor="text1"/>
                <w:sz w:val="17"/>
                <w:szCs w:val="17"/>
              </w:rPr>
              <w:t>-</w:t>
            </w:r>
          </w:p>
        </w:tc>
        <w:tc>
          <w:tcPr>
            <w:tcW w:w="639" w:type="pct"/>
            <w:tcBorders>
              <w:bottom w:val="single" w:sz="4" w:space="0" w:color="auto"/>
            </w:tcBorders>
            <w:vAlign w:val="bottom"/>
          </w:tcPr>
          <w:p w14:paraId="029D36D9" w14:textId="3A6B7D14" w:rsidR="00172B81" w:rsidRPr="00537128" w:rsidRDefault="00172B81" w:rsidP="00172B81">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eastAsia="Calibri" w:hAnsi="Calibri" w:cs="Calibri"/>
                <w:b/>
                <w:bCs/>
                <w:color w:val="000000" w:themeColor="text1"/>
                <w:sz w:val="17"/>
                <w:szCs w:val="17"/>
              </w:rPr>
              <w:t>(3,108)</w:t>
            </w:r>
          </w:p>
        </w:tc>
        <w:tc>
          <w:tcPr>
            <w:tcW w:w="639" w:type="pct"/>
            <w:tcBorders>
              <w:top w:val="nil"/>
              <w:left w:val="nil"/>
              <w:bottom w:val="single" w:sz="4" w:space="0" w:color="auto"/>
              <w:right w:val="nil"/>
            </w:tcBorders>
            <w:shd w:val="clear" w:color="auto" w:fill="auto"/>
            <w:vAlign w:val="bottom"/>
          </w:tcPr>
          <w:p w14:paraId="644DE67E" w14:textId="43024228" w:rsidR="00172B81" w:rsidRPr="00537128" w:rsidRDefault="00172B81" w:rsidP="00172B81">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eastAsia="Calibri" w:hAnsi="Calibri" w:cs="Calibri"/>
                <w:b/>
                <w:bCs/>
                <w:color w:val="000000" w:themeColor="text1"/>
                <w:sz w:val="17"/>
                <w:szCs w:val="17"/>
              </w:rPr>
              <w:t>(3,108)</w:t>
            </w:r>
          </w:p>
        </w:tc>
      </w:tr>
      <w:tr w:rsidR="00172B81" w:rsidRPr="00537128" w14:paraId="2C44C755" w14:textId="77777777" w:rsidTr="004D0E64">
        <w:trPr>
          <w:trHeight w:val="75"/>
        </w:trPr>
        <w:tc>
          <w:tcPr>
            <w:tcW w:w="1362" w:type="pct"/>
            <w:vAlign w:val="bottom"/>
          </w:tcPr>
          <w:p w14:paraId="0984934B" w14:textId="77777777" w:rsidR="00172B81" w:rsidRPr="00537128" w:rsidRDefault="00172B81" w:rsidP="00172B81">
            <w:pPr>
              <w:tabs>
                <w:tab w:val="right" w:pos="1202"/>
              </w:tabs>
              <w:spacing w:after="0" w:line="140" w:lineRule="exact"/>
              <w:outlineLvl w:val="0"/>
              <w:rPr>
                <w:rFonts w:ascii="Calibri" w:eastAsia="Times New Roman" w:hAnsi="Calibri" w:cs="Calibri"/>
                <w:iCs/>
                <w:sz w:val="17"/>
                <w:szCs w:val="17"/>
                <w:lang w:val="en-US"/>
              </w:rPr>
            </w:pPr>
          </w:p>
        </w:tc>
        <w:tc>
          <w:tcPr>
            <w:tcW w:w="525" w:type="pct"/>
            <w:tcBorders>
              <w:top w:val="single" w:sz="4" w:space="0" w:color="auto"/>
            </w:tcBorders>
            <w:vAlign w:val="bottom"/>
          </w:tcPr>
          <w:p w14:paraId="3E13473D" w14:textId="77777777" w:rsidR="00172B81" w:rsidRPr="00537128" w:rsidRDefault="00172B81" w:rsidP="00172B81">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22" w:type="pct"/>
            <w:tcBorders>
              <w:top w:val="single" w:sz="4" w:space="0" w:color="auto"/>
            </w:tcBorders>
            <w:vAlign w:val="bottom"/>
          </w:tcPr>
          <w:p w14:paraId="04A0C256" w14:textId="77777777" w:rsidR="00172B81" w:rsidRPr="00537128" w:rsidRDefault="00172B81" w:rsidP="00172B81">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574" w:type="pct"/>
            <w:tcBorders>
              <w:top w:val="single" w:sz="4" w:space="0" w:color="auto"/>
            </w:tcBorders>
            <w:vAlign w:val="bottom"/>
          </w:tcPr>
          <w:p w14:paraId="264C022F" w14:textId="77777777" w:rsidR="00172B81" w:rsidRPr="00537128" w:rsidRDefault="00172B81" w:rsidP="00172B81">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39" w:type="pct"/>
            <w:tcBorders>
              <w:top w:val="single" w:sz="4" w:space="0" w:color="auto"/>
            </w:tcBorders>
            <w:vAlign w:val="bottom"/>
          </w:tcPr>
          <w:p w14:paraId="4CFC8D9B" w14:textId="77777777" w:rsidR="00172B81" w:rsidRPr="00537128" w:rsidRDefault="00172B81" w:rsidP="00172B81">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39" w:type="pct"/>
            <w:tcBorders>
              <w:top w:val="single" w:sz="4" w:space="0" w:color="auto"/>
            </w:tcBorders>
            <w:vAlign w:val="bottom"/>
          </w:tcPr>
          <w:p w14:paraId="0FD1468F" w14:textId="77777777" w:rsidR="00172B81" w:rsidRPr="00537128" w:rsidRDefault="00172B81" w:rsidP="00172B81">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39" w:type="pct"/>
            <w:tcBorders>
              <w:top w:val="single" w:sz="4" w:space="0" w:color="auto"/>
            </w:tcBorders>
            <w:vAlign w:val="bottom"/>
          </w:tcPr>
          <w:p w14:paraId="6A8C87DB" w14:textId="77777777" w:rsidR="00172B81" w:rsidRPr="00537128" w:rsidRDefault="00172B81" w:rsidP="00172B81">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r>
      <w:tr w:rsidR="00172B81" w:rsidRPr="00537128" w14:paraId="04A068E3" w14:textId="77777777" w:rsidTr="004D0E64">
        <w:trPr>
          <w:trHeight w:val="244"/>
        </w:trPr>
        <w:tc>
          <w:tcPr>
            <w:tcW w:w="1362" w:type="pct"/>
            <w:vAlign w:val="bottom"/>
            <w:hideMark/>
          </w:tcPr>
          <w:p w14:paraId="659FDB7F" w14:textId="77777777" w:rsidR="00172B81" w:rsidRPr="00537128" w:rsidRDefault="00172B81" w:rsidP="00172B81">
            <w:pPr>
              <w:tabs>
                <w:tab w:val="right" w:pos="1202"/>
              </w:tabs>
              <w:spacing w:after="0" w:line="200" w:lineRule="exact"/>
              <w:outlineLvl w:val="0"/>
              <w:rPr>
                <w:rFonts w:ascii="Calibri" w:eastAsia="Times New Roman" w:hAnsi="Calibri" w:cs="Calibri"/>
                <w:iCs/>
                <w:sz w:val="17"/>
                <w:szCs w:val="17"/>
                <w:lang w:val="en-US"/>
              </w:rPr>
            </w:pPr>
            <w:bookmarkStart w:id="1304" w:name="_Toc4063647"/>
            <w:r w:rsidRPr="00537128">
              <w:rPr>
                <w:rFonts w:ascii="Calibri" w:eastAsia="Times New Roman" w:hAnsi="Calibri" w:cs="Calibri"/>
                <w:iCs/>
                <w:sz w:val="17"/>
                <w:szCs w:val="17"/>
                <w:lang w:val="en-US"/>
              </w:rPr>
              <w:t>Total comprehensive income</w:t>
            </w:r>
            <w:bookmarkEnd w:id="1304"/>
          </w:p>
        </w:tc>
        <w:tc>
          <w:tcPr>
            <w:tcW w:w="525" w:type="pct"/>
            <w:tcBorders>
              <w:left w:val="nil"/>
              <w:bottom w:val="single" w:sz="4" w:space="0" w:color="auto"/>
              <w:right w:val="nil"/>
            </w:tcBorders>
            <w:shd w:val="clear" w:color="auto" w:fill="auto"/>
            <w:vAlign w:val="bottom"/>
          </w:tcPr>
          <w:p w14:paraId="40B48C40" w14:textId="6586742E" w:rsidR="00172B81" w:rsidRPr="00537128" w:rsidRDefault="00172B81" w:rsidP="00172B81">
            <w:pPr>
              <w:tabs>
                <w:tab w:val="right" w:pos="1202"/>
              </w:tabs>
              <w:spacing w:after="0" w:line="301" w:lineRule="exact"/>
              <w:jc w:val="right"/>
              <w:outlineLvl w:val="0"/>
              <w:rPr>
                <w:rFonts w:ascii="Calibri" w:eastAsia="Times New Roman" w:hAnsi="Calibri" w:cs="Calibri"/>
                <w:iCs/>
                <w:sz w:val="17"/>
                <w:szCs w:val="17"/>
                <w:lang w:val="en-US"/>
              </w:rPr>
            </w:pPr>
            <w:r>
              <w:rPr>
                <w:rFonts w:ascii="Calibri" w:hAnsi="Calibri" w:cs="Calibri"/>
                <w:color w:val="000000"/>
                <w:sz w:val="17"/>
                <w:szCs w:val="17"/>
              </w:rPr>
              <w:t>-</w:t>
            </w:r>
          </w:p>
        </w:tc>
        <w:tc>
          <w:tcPr>
            <w:tcW w:w="622" w:type="pct"/>
            <w:tcBorders>
              <w:left w:val="nil"/>
              <w:bottom w:val="single" w:sz="4" w:space="0" w:color="auto"/>
              <w:right w:val="nil"/>
            </w:tcBorders>
            <w:shd w:val="clear" w:color="auto" w:fill="auto"/>
            <w:vAlign w:val="bottom"/>
          </w:tcPr>
          <w:p w14:paraId="6975496A" w14:textId="7223FAD3" w:rsidR="00172B81" w:rsidRPr="00537128" w:rsidRDefault="00172B81" w:rsidP="00172B81">
            <w:pPr>
              <w:tabs>
                <w:tab w:val="right" w:pos="1202"/>
              </w:tabs>
              <w:spacing w:after="0" w:line="301" w:lineRule="exact"/>
              <w:jc w:val="right"/>
              <w:outlineLvl w:val="0"/>
              <w:rPr>
                <w:rFonts w:ascii="Calibri" w:eastAsia="Times New Roman" w:hAnsi="Calibri" w:cs="Calibri"/>
                <w:iCs/>
                <w:sz w:val="17"/>
                <w:szCs w:val="17"/>
                <w:lang w:val="en-US"/>
              </w:rPr>
            </w:pPr>
            <w:r>
              <w:rPr>
                <w:rFonts w:ascii="Calibri" w:hAnsi="Calibri" w:cs="Calibri"/>
                <w:color w:val="000000"/>
                <w:sz w:val="17"/>
                <w:szCs w:val="17"/>
              </w:rPr>
              <w:t>-</w:t>
            </w:r>
          </w:p>
        </w:tc>
        <w:tc>
          <w:tcPr>
            <w:tcW w:w="574" w:type="pct"/>
            <w:tcBorders>
              <w:left w:val="nil"/>
              <w:bottom w:val="single" w:sz="4" w:space="0" w:color="auto"/>
              <w:right w:val="nil"/>
            </w:tcBorders>
            <w:shd w:val="clear" w:color="auto" w:fill="auto"/>
            <w:vAlign w:val="bottom"/>
          </w:tcPr>
          <w:p w14:paraId="538E635D" w14:textId="45073B37" w:rsidR="00172B81" w:rsidRPr="00537128" w:rsidRDefault="00172B81" w:rsidP="00172B81">
            <w:pPr>
              <w:tabs>
                <w:tab w:val="right" w:pos="1202"/>
              </w:tabs>
              <w:spacing w:after="0" w:line="301" w:lineRule="exact"/>
              <w:jc w:val="right"/>
              <w:outlineLvl w:val="0"/>
              <w:rPr>
                <w:rFonts w:ascii="Calibri" w:eastAsia="Calibri" w:hAnsi="Calibri" w:cs="Calibri"/>
                <w:b/>
                <w:bCs/>
                <w:color w:val="000000"/>
                <w:sz w:val="17"/>
                <w:szCs w:val="17"/>
                <w:lang w:val="en-US"/>
              </w:rPr>
            </w:pPr>
            <w:r>
              <w:rPr>
                <w:rFonts w:ascii="Calibri" w:eastAsia="Calibri" w:hAnsi="Calibri" w:cs="Calibri"/>
                <w:color w:val="000000" w:themeColor="text1"/>
                <w:sz w:val="17"/>
                <w:szCs w:val="17"/>
              </w:rPr>
              <w:t>(3,108)</w:t>
            </w:r>
          </w:p>
        </w:tc>
        <w:tc>
          <w:tcPr>
            <w:tcW w:w="639" w:type="pct"/>
            <w:tcBorders>
              <w:left w:val="nil"/>
              <w:bottom w:val="single" w:sz="4" w:space="0" w:color="auto"/>
              <w:right w:val="nil"/>
            </w:tcBorders>
            <w:shd w:val="clear" w:color="auto" w:fill="auto"/>
            <w:vAlign w:val="bottom"/>
          </w:tcPr>
          <w:p w14:paraId="1886CA4B" w14:textId="4B948B4E" w:rsidR="00172B81" w:rsidRPr="00537128" w:rsidRDefault="00172B81" w:rsidP="00172B81">
            <w:pPr>
              <w:tabs>
                <w:tab w:val="right" w:pos="1202"/>
              </w:tabs>
              <w:spacing w:after="0" w:line="301" w:lineRule="exact"/>
              <w:jc w:val="right"/>
              <w:outlineLvl w:val="0"/>
              <w:rPr>
                <w:rFonts w:ascii="Calibri" w:eastAsia="Calibri" w:hAnsi="Calibri" w:cs="Calibri"/>
                <w:b/>
                <w:bCs/>
                <w:color w:val="000000"/>
                <w:sz w:val="17"/>
                <w:szCs w:val="17"/>
                <w:lang w:val="en-US"/>
              </w:rPr>
            </w:pPr>
            <w:r>
              <w:rPr>
                <w:rFonts w:ascii="Calibri" w:eastAsia="Calibri" w:hAnsi="Calibri" w:cs="Calibri"/>
                <w:color w:val="000000" w:themeColor="text1"/>
                <w:sz w:val="17"/>
                <w:szCs w:val="17"/>
              </w:rPr>
              <w:t>(244)</w:t>
            </w:r>
          </w:p>
        </w:tc>
        <w:tc>
          <w:tcPr>
            <w:tcW w:w="639" w:type="pct"/>
            <w:tcBorders>
              <w:left w:val="nil"/>
              <w:bottom w:val="single" w:sz="4" w:space="0" w:color="auto"/>
              <w:right w:val="nil"/>
            </w:tcBorders>
            <w:shd w:val="clear" w:color="auto" w:fill="auto"/>
            <w:vAlign w:val="bottom"/>
          </w:tcPr>
          <w:p w14:paraId="060B5B1E" w14:textId="210EBCE1" w:rsidR="00172B81" w:rsidRPr="00537128" w:rsidRDefault="00172B81" w:rsidP="00172B81">
            <w:pPr>
              <w:tabs>
                <w:tab w:val="right" w:pos="1202"/>
              </w:tabs>
              <w:spacing w:after="0" w:line="301" w:lineRule="exact"/>
              <w:jc w:val="right"/>
              <w:outlineLvl w:val="0"/>
              <w:rPr>
                <w:rFonts w:ascii="Calibri" w:eastAsia="Calibri" w:hAnsi="Calibri" w:cs="Calibri"/>
                <w:b/>
                <w:bCs/>
                <w:color w:val="000000"/>
                <w:sz w:val="17"/>
                <w:szCs w:val="17"/>
                <w:lang w:val="en-US"/>
              </w:rPr>
            </w:pPr>
            <w:r>
              <w:rPr>
                <w:rFonts w:ascii="Calibri" w:eastAsia="Calibri" w:hAnsi="Calibri" w:cs="Calibri"/>
                <w:b/>
                <w:bCs/>
                <w:color w:val="000000" w:themeColor="text1"/>
                <w:sz w:val="17"/>
                <w:szCs w:val="17"/>
              </w:rPr>
              <w:t>(3,352)</w:t>
            </w:r>
          </w:p>
        </w:tc>
        <w:tc>
          <w:tcPr>
            <w:tcW w:w="639" w:type="pct"/>
            <w:tcBorders>
              <w:left w:val="nil"/>
              <w:bottom w:val="single" w:sz="4" w:space="0" w:color="auto"/>
              <w:right w:val="nil"/>
            </w:tcBorders>
            <w:shd w:val="clear" w:color="auto" w:fill="auto"/>
            <w:vAlign w:val="bottom"/>
          </w:tcPr>
          <w:p w14:paraId="7CB34664" w14:textId="789905FE" w:rsidR="00172B81" w:rsidRPr="00537128" w:rsidRDefault="00172B81" w:rsidP="00172B81">
            <w:pPr>
              <w:tabs>
                <w:tab w:val="right" w:pos="1202"/>
              </w:tabs>
              <w:spacing w:after="0" w:line="301" w:lineRule="exact"/>
              <w:jc w:val="right"/>
              <w:outlineLvl w:val="0"/>
              <w:rPr>
                <w:rFonts w:ascii="Calibri" w:eastAsia="Calibri" w:hAnsi="Calibri" w:cs="Calibri"/>
                <w:b/>
                <w:bCs/>
                <w:color w:val="000000"/>
                <w:sz w:val="17"/>
                <w:szCs w:val="17"/>
                <w:lang w:val="en-US"/>
              </w:rPr>
            </w:pPr>
            <w:r>
              <w:rPr>
                <w:rFonts w:ascii="Calibri" w:eastAsia="Calibri" w:hAnsi="Calibri" w:cs="Calibri"/>
                <w:b/>
                <w:bCs/>
                <w:color w:val="000000" w:themeColor="text1"/>
                <w:sz w:val="17"/>
                <w:szCs w:val="17"/>
              </w:rPr>
              <w:t>(3,352)</w:t>
            </w:r>
          </w:p>
        </w:tc>
      </w:tr>
      <w:tr w:rsidR="00172B81" w:rsidRPr="00537128" w14:paraId="652C7153" w14:textId="77777777" w:rsidTr="004D0E64">
        <w:trPr>
          <w:trHeight w:val="75"/>
        </w:trPr>
        <w:tc>
          <w:tcPr>
            <w:tcW w:w="1362" w:type="pct"/>
            <w:vAlign w:val="bottom"/>
          </w:tcPr>
          <w:p w14:paraId="18E47800" w14:textId="77777777" w:rsidR="00172B81" w:rsidRPr="00537128" w:rsidRDefault="00172B81" w:rsidP="00172B81">
            <w:pPr>
              <w:tabs>
                <w:tab w:val="right" w:pos="1202"/>
              </w:tabs>
              <w:spacing w:after="0" w:line="140" w:lineRule="exact"/>
              <w:outlineLvl w:val="0"/>
              <w:rPr>
                <w:rFonts w:ascii="Calibri" w:eastAsia="Times New Roman" w:hAnsi="Calibri" w:cs="Calibri"/>
                <w:iCs/>
                <w:sz w:val="17"/>
                <w:szCs w:val="17"/>
                <w:lang w:val="en-US"/>
              </w:rPr>
            </w:pPr>
          </w:p>
        </w:tc>
        <w:tc>
          <w:tcPr>
            <w:tcW w:w="525" w:type="pct"/>
            <w:tcBorders>
              <w:top w:val="single" w:sz="4" w:space="0" w:color="auto"/>
            </w:tcBorders>
            <w:vAlign w:val="bottom"/>
          </w:tcPr>
          <w:p w14:paraId="0FDC5FEF" w14:textId="77777777" w:rsidR="00172B81" w:rsidRPr="00537128" w:rsidRDefault="00172B81" w:rsidP="00172B81">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22" w:type="pct"/>
            <w:tcBorders>
              <w:top w:val="single" w:sz="4" w:space="0" w:color="auto"/>
            </w:tcBorders>
            <w:vAlign w:val="bottom"/>
          </w:tcPr>
          <w:p w14:paraId="145915B0" w14:textId="77777777" w:rsidR="00172B81" w:rsidRPr="00537128" w:rsidRDefault="00172B81" w:rsidP="00172B81">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574" w:type="pct"/>
            <w:tcBorders>
              <w:top w:val="single" w:sz="4" w:space="0" w:color="auto"/>
            </w:tcBorders>
            <w:vAlign w:val="bottom"/>
          </w:tcPr>
          <w:p w14:paraId="38A1CDD1" w14:textId="77777777" w:rsidR="00172B81" w:rsidRPr="00537128" w:rsidRDefault="00172B81" w:rsidP="00172B81">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39" w:type="pct"/>
            <w:tcBorders>
              <w:top w:val="single" w:sz="4" w:space="0" w:color="auto"/>
            </w:tcBorders>
            <w:vAlign w:val="bottom"/>
          </w:tcPr>
          <w:p w14:paraId="32618C57" w14:textId="77777777" w:rsidR="00172B81" w:rsidRPr="00537128" w:rsidRDefault="00172B81" w:rsidP="00172B81">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39" w:type="pct"/>
            <w:tcBorders>
              <w:top w:val="single" w:sz="4" w:space="0" w:color="auto"/>
            </w:tcBorders>
            <w:vAlign w:val="bottom"/>
          </w:tcPr>
          <w:p w14:paraId="6351AF09" w14:textId="77777777" w:rsidR="00172B81" w:rsidRPr="00537128" w:rsidRDefault="00172B81" w:rsidP="00172B81">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39" w:type="pct"/>
            <w:tcBorders>
              <w:top w:val="single" w:sz="4" w:space="0" w:color="auto"/>
            </w:tcBorders>
            <w:vAlign w:val="bottom"/>
          </w:tcPr>
          <w:p w14:paraId="4FB4C668" w14:textId="77777777" w:rsidR="00172B81" w:rsidRPr="00537128" w:rsidRDefault="00172B81" w:rsidP="00172B81">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r>
      <w:tr w:rsidR="00172B81" w:rsidRPr="00537128" w14:paraId="59454265" w14:textId="77777777" w:rsidTr="004D0E64">
        <w:trPr>
          <w:trHeight w:val="440"/>
        </w:trPr>
        <w:tc>
          <w:tcPr>
            <w:tcW w:w="1362" w:type="pct"/>
            <w:vAlign w:val="bottom"/>
            <w:hideMark/>
          </w:tcPr>
          <w:p w14:paraId="75046C6B" w14:textId="1112A266" w:rsidR="00172B81" w:rsidRPr="00537128" w:rsidRDefault="00172B81" w:rsidP="00172B81">
            <w:pPr>
              <w:tabs>
                <w:tab w:val="right" w:pos="1202"/>
              </w:tabs>
              <w:spacing w:after="0" w:line="200" w:lineRule="exact"/>
              <w:outlineLvl w:val="0"/>
              <w:rPr>
                <w:rFonts w:ascii="Calibri" w:eastAsia="Times New Roman" w:hAnsi="Calibri" w:cs="Calibri"/>
                <w:i/>
                <w:iCs/>
                <w:sz w:val="17"/>
                <w:szCs w:val="17"/>
                <w:lang w:val="en-US"/>
              </w:rPr>
            </w:pPr>
            <w:bookmarkStart w:id="1305" w:name="_Toc4063661"/>
            <w:r w:rsidRPr="00537128">
              <w:rPr>
                <w:rFonts w:ascii="Calibri" w:eastAsia="Times New Roman" w:hAnsi="Calibri" w:cs="Calibri"/>
                <w:iCs/>
                <w:sz w:val="17"/>
                <w:szCs w:val="17"/>
                <w:lang w:val="en-US"/>
              </w:rPr>
              <w:t>Transfer of profit 202</w:t>
            </w:r>
            <w:r>
              <w:rPr>
                <w:rFonts w:ascii="Calibri" w:eastAsia="Times New Roman" w:hAnsi="Calibri" w:cs="Calibri"/>
                <w:iCs/>
                <w:sz w:val="17"/>
                <w:szCs w:val="17"/>
                <w:lang w:val="en-US"/>
              </w:rPr>
              <w:t>1</w:t>
            </w:r>
            <w:r w:rsidRPr="00537128">
              <w:rPr>
                <w:rFonts w:ascii="Calibri" w:eastAsia="Times New Roman" w:hAnsi="Calibri" w:cs="Calibri"/>
                <w:iCs/>
                <w:sz w:val="17"/>
                <w:szCs w:val="17"/>
                <w:lang w:val="en-US"/>
              </w:rPr>
              <w:t xml:space="preserve"> to retained earnings</w:t>
            </w:r>
            <w:bookmarkEnd w:id="1305"/>
          </w:p>
        </w:tc>
        <w:tc>
          <w:tcPr>
            <w:tcW w:w="525" w:type="pct"/>
            <w:tcBorders>
              <w:top w:val="nil"/>
              <w:left w:val="nil"/>
              <w:right w:val="nil"/>
            </w:tcBorders>
            <w:shd w:val="clear" w:color="auto" w:fill="auto"/>
            <w:vAlign w:val="bottom"/>
          </w:tcPr>
          <w:p w14:paraId="45C03AF5" w14:textId="53CF8BA2" w:rsidR="00172B81" w:rsidRPr="00537128" w:rsidRDefault="00172B81" w:rsidP="00172B81">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color w:val="000000" w:themeColor="text1"/>
                <w:sz w:val="17"/>
                <w:szCs w:val="17"/>
              </w:rPr>
              <w:t>-</w:t>
            </w:r>
          </w:p>
        </w:tc>
        <w:tc>
          <w:tcPr>
            <w:tcW w:w="622" w:type="pct"/>
            <w:tcBorders>
              <w:top w:val="nil"/>
              <w:left w:val="nil"/>
              <w:right w:val="nil"/>
            </w:tcBorders>
            <w:shd w:val="clear" w:color="auto" w:fill="auto"/>
            <w:vAlign w:val="bottom"/>
          </w:tcPr>
          <w:p w14:paraId="7AA2AD08" w14:textId="75940F0C" w:rsidR="00172B81" w:rsidRPr="00537128" w:rsidRDefault="00172B81" w:rsidP="00172B81">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color w:val="000000" w:themeColor="text1"/>
                <w:sz w:val="17"/>
                <w:szCs w:val="17"/>
              </w:rPr>
              <w:t>1,103</w:t>
            </w:r>
          </w:p>
        </w:tc>
        <w:tc>
          <w:tcPr>
            <w:tcW w:w="574" w:type="pct"/>
            <w:tcBorders>
              <w:top w:val="nil"/>
              <w:left w:val="nil"/>
              <w:right w:val="nil"/>
            </w:tcBorders>
            <w:shd w:val="clear" w:color="auto" w:fill="auto"/>
            <w:vAlign w:val="bottom"/>
          </w:tcPr>
          <w:p w14:paraId="4DD4F88D" w14:textId="35EEA6DF" w:rsidR="00172B81" w:rsidRPr="00537128" w:rsidRDefault="00172B81" w:rsidP="00172B81">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eastAsia="Calibri" w:hAnsi="Calibri" w:cs="Calibri"/>
                <w:color w:val="000000" w:themeColor="text1"/>
                <w:sz w:val="17"/>
                <w:szCs w:val="17"/>
              </w:rPr>
              <w:t>-</w:t>
            </w:r>
          </w:p>
        </w:tc>
        <w:tc>
          <w:tcPr>
            <w:tcW w:w="639" w:type="pct"/>
            <w:tcBorders>
              <w:top w:val="nil"/>
              <w:left w:val="nil"/>
              <w:right w:val="nil"/>
            </w:tcBorders>
            <w:shd w:val="clear" w:color="auto" w:fill="auto"/>
            <w:vAlign w:val="bottom"/>
          </w:tcPr>
          <w:p w14:paraId="7E5021BF" w14:textId="704BC971" w:rsidR="00172B81" w:rsidRPr="00537128" w:rsidRDefault="00172B81" w:rsidP="00172B81">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eastAsia="Calibri" w:hAnsi="Calibri" w:cs="Calibri"/>
                <w:color w:val="000000" w:themeColor="text1"/>
                <w:sz w:val="17"/>
                <w:szCs w:val="17"/>
              </w:rPr>
              <w:t>(1,103)</w:t>
            </w:r>
          </w:p>
        </w:tc>
        <w:tc>
          <w:tcPr>
            <w:tcW w:w="639" w:type="pct"/>
            <w:tcBorders>
              <w:top w:val="nil"/>
              <w:left w:val="nil"/>
              <w:right w:val="nil"/>
            </w:tcBorders>
            <w:shd w:val="clear" w:color="auto" w:fill="auto"/>
            <w:vAlign w:val="bottom"/>
          </w:tcPr>
          <w:p w14:paraId="632B8522" w14:textId="3B44CF67" w:rsidR="00172B81" w:rsidRPr="00537128" w:rsidRDefault="00172B81" w:rsidP="00172B81">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eastAsia="Calibri" w:hAnsi="Calibri" w:cs="Calibri"/>
                <w:b/>
                <w:bCs/>
                <w:color w:val="000000" w:themeColor="text1"/>
                <w:sz w:val="17"/>
                <w:szCs w:val="17"/>
              </w:rPr>
              <w:t>-</w:t>
            </w:r>
          </w:p>
        </w:tc>
        <w:tc>
          <w:tcPr>
            <w:tcW w:w="639" w:type="pct"/>
            <w:tcBorders>
              <w:top w:val="nil"/>
              <w:left w:val="nil"/>
              <w:right w:val="nil"/>
            </w:tcBorders>
            <w:shd w:val="clear" w:color="auto" w:fill="auto"/>
            <w:vAlign w:val="bottom"/>
          </w:tcPr>
          <w:p w14:paraId="179F6729" w14:textId="59D57F41" w:rsidR="00172B81" w:rsidRPr="00537128" w:rsidRDefault="00172B81" w:rsidP="00172B81">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eastAsia="Calibri" w:hAnsi="Calibri" w:cs="Calibri"/>
                <w:b/>
                <w:bCs/>
                <w:color w:val="000000" w:themeColor="text1"/>
                <w:sz w:val="17"/>
                <w:szCs w:val="17"/>
              </w:rPr>
              <w:t>-</w:t>
            </w:r>
          </w:p>
        </w:tc>
      </w:tr>
      <w:tr w:rsidR="00172B81" w:rsidRPr="00537128" w14:paraId="52FA1E04" w14:textId="77777777" w:rsidTr="004D0E64">
        <w:trPr>
          <w:trHeight w:val="71"/>
        </w:trPr>
        <w:tc>
          <w:tcPr>
            <w:tcW w:w="1362" w:type="pct"/>
            <w:vAlign w:val="bottom"/>
          </w:tcPr>
          <w:p w14:paraId="511106DD" w14:textId="77777777" w:rsidR="00172B81" w:rsidRPr="00537128" w:rsidRDefault="00172B81" w:rsidP="00172B81">
            <w:pPr>
              <w:tabs>
                <w:tab w:val="right" w:pos="1202"/>
              </w:tabs>
              <w:spacing w:after="0" w:line="140" w:lineRule="exact"/>
              <w:outlineLvl w:val="0"/>
              <w:rPr>
                <w:rFonts w:ascii="Calibri" w:eastAsia="Times New Roman" w:hAnsi="Calibri" w:cs="Calibri"/>
                <w:iCs/>
                <w:sz w:val="17"/>
                <w:szCs w:val="17"/>
                <w:lang w:val="en-US"/>
              </w:rPr>
            </w:pPr>
          </w:p>
        </w:tc>
        <w:tc>
          <w:tcPr>
            <w:tcW w:w="525" w:type="pct"/>
            <w:tcBorders>
              <w:top w:val="single" w:sz="4" w:space="0" w:color="auto"/>
            </w:tcBorders>
            <w:vAlign w:val="bottom"/>
          </w:tcPr>
          <w:p w14:paraId="154134E3" w14:textId="77777777" w:rsidR="00172B81" w:rsidRPr="00537128" w:rsidRDefault="00172B81" w:rsidP="00172B81">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22" w:type="pct"/>
            <w:tcBorders>
              <w:top w:val="single" w:sz="4" w:space="0" w:color="auto"/>
            </w:tcBorders>
            <w:vAlign w:val="bottom"/>
          </w:tcPr>
          <w:p w14:paraId="0196B1D3" w14:textId="77777777" w:rsidR="00172B81" w:rsidRPr="00537128" w:rsidRDefault="00172B81" w:rsidP="00172B81">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574" w:type="pct"/>
            <w:tcBorders>
              <w:top w:val="single" w:sz="4" w:space="0" w:color="auto"/>
            </w:tcBorders>
            <w:vAlign w:val="bottom"/>
          </w:tcPr>
          <w:p w14:paraId="0D309877" w14:textId="77777777" w:rsidR="00172B81" w:rsidRPr="00537128" w:rsidRDefault="00172B81" w:rsidP="00172B81">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39" w:type="pct"/>
            <w:tcBorders>
              <w:top w:val="single" w:sz="4" w:space="0" w:color="auto"/>
            </w:tcBorders>
            <w:vAlign w:val="bottom"/>
          </w:tcPr>
          <w:p w14:paraId="1C55B22C" w14:textId="77777777" w:rsidR="00172B81" w:rsidRPr="00537128" w:rsidRDefault="00172B81" w:rsidP="00172B81">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39" w:type="pct"/>
            <w:tcBorders>
              <w:top w:val="single" w:sz="4" w:space="0" w:color="auto"/>
            </w:tcBorders>
            <w:vAlign w:val="bottom"/>
          </w:tcPr>
          <w:p w14:paraId="1EA11605" w14:textId="77777777" w:rsidR="00172B81" w:rsidRPr="00537128" w:rsidRDefault="00172B81" w:rsidP="00172B81">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39" w:type="pct"/>
            <w:tcBorders>
              <w:top w:val="single" w:sz="4" w:space="0" w:color="auto"/>
            </w:tcBorders>
            <w:vAlign w:val="bottom"/>
          </w:tcPr>
          <w:p w14:paraId="24D67959" w14:textId="77777777" w:rsidR="00172B81" w:rsidRPr="00537128" w:rsidRDefault="00172B81" w:rsidP="00172B81">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r>
      <w:tr w:rsidR="00172B81" w:rsidRPr="00537128" w14:paraId="13E7EB8F" w14:textId="77777777" w:rsidTr="004D0E64">
        <w:trPr>
          <w:trHeight w:val="75"/>
        </w:trPr>
        <w:tc>
          <w:tcPr>
            <w:tcW w:w="1362" w:type="pct"/>
            <w:vAlign w:val="bottom"/>
            <w:hideMark/>
          </w:tcPr>
          <w:p w14:paraId="605E5701" w14:textId="239E4931" w:rsidR="00172B81" w:rsidRPr="00537128" w:rsidRDefault="00172B81" w:rsidP="00172B81">
            <w:pPr>
              <w:tabs>
                <w:tab w:val="right" w:pos="1202"/>
              </w:tabs>
              <w:spacing w:after="0" w:line="240" w:lineRule="exact"/>
              <w:outlineLvl w:val="0"/>
              <w:rPr>
                <w:rFonts w:ascii="Calibri" w:eastAsia="Times New Roman" w:hAnsi="Calibri" w:cs="Calibri"/>
                <w:iCs/>
                <w:sz w:val="17"/>
                <w:szCs w:val="17"/>
                <w:lang w:val="en-US"/>
              </w:rPr>
            </w:pPr>
            <w:bookmarkStart w:id="1306" w:name="_Toc4063668"/>
            <w:r w:rsidRPr="00537128">
              <w:rPr>
                <w:rFonts w:ascii="Calibri" w:eastAsia="Times New Roman" w:hAnsi="Calibri" w:cs="Calibri"/>
                <w:b/>
                <w:iCs/>
                <w:sz w:val="17"/>
                <w:szCs w:val="17"/>
                <w:lang w:val="en-US"/>
              </w:rPr>
              <w:t xml:space="preserve">Balance as of 31 </w:t>
            </w:r>
            <w:bookmarkEnd w:id="1306"/>
            <w:r w:rsidRPr="00537128">
              <w:rPr>
                <w:rFonts w:ascii="Calibri" w:eastAsia="Times New Roman" w:hAnsi="Calibri" w:cs="Calibri"/>
                <w:b/>
                <w:iCs/>
                <w:sz w:val="17"/>
                <w:szCs w:val="17"/>
                <w:lang w:val="en-US"/>
              </w:rPr>
              <w:t>March 202</w:t>
            </w:r>
            <w:r>
              <w:rPr>
                <w:rFonts w:ascii="Calibri" w:eastAsia="Times New Roman" w:hAnsi="Calibri" w:cs="Calibri"/>
                <w:b/>
                <w:iCs/>
                <w:sz w:val="17"/>
                <w:szCs w:val="17"/>
                <w:lang w:val="en-US"/>
              </w:rPr>
              <w:t>2</w:t>
            </w:r>
          </w:p>
        </w:tc>
        <w:tc>
          <w:tcPr>
            <w:tcW w:w="525" w:type="pct"/>
            <w:tcBorders>
              <w:top w:val="nil"/>
              <w:left w:val="nil"/>
              <w:bottom w:val="single" w:sz="12" w:space="0" w:color="auto"/>
              <w:right w:val="nil"/>
            </w:tcBorders>
            <w:shd w:val="clear" w:color="auto" w:fill="auto"/>
            <w:vAlign w:val="bottom"/>
          </w:tcPr>
          <w:p w14:paraId="1E3CB7E7" w14:textId="7C0E56AA" w:rsidR="00172B81" w:rsidRPr="00537128" w:rsidRDefault="00172B81" w:rsidP="00172B81">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eastAsia="Calibri" w:hAnsi="Calibri" w:cs="Calibri"/>
                <w:b/>
                <w:bCs/>
                <w:color w:val="000000" w:themeColor="text1"/>
                <w:sz w:val="17"/>
                <w:szCs w:val="17"/>
              </w:rPr>
              <w:t>37,500</w:t>
            </w:r>
          </w:p>
        </w:tc>
        <w:tc>
          <w:tcPr>
            <w:tcW w:w="622" w:type="pct"/>
            <w:tcBorders>
              <w:top w:val="nil"/>
              <w:left w:val="nil"/>
              <w:bottom w:val="single" w:sz="12" w:space="0" w:color="auto"/>
              <w:right w:val="nil"/>
            </w:tcBorders>
            <w:shd w:val="clear" w:color="auto" w:fill="auto"/>
            <w:vAlign w:val="bottom"/>
          </w:tcPr>
          <w:p w14:paraId="1A67DA09" w14:textId="5517C7BB" w:rsidR="00172B81" w:rsidRPr="00537128" w:rsidRDefault="00172B81" w:rsidP="00172B81">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eastAsia="Calibri" w:hAnsi="Calibri" w:cs="Calibri"/>
                <w:b/>
                <w:bCs/>
                <w:color w:val="000000" w:themeColor="text1"/>
                <w:sz w:val="17"/>
                <w:szCs w:val="17"/>
              </w:rPr>
              <w:t>5,044</w:t>
            </w:r>
          </w:p>
        </w:tc>
        <w:tc>
          <w:tcPr>
            <w:tcW w:w="574" w:type="pct"/>
            <w:tcBorders>
              <w:top w:val="nil"/>
              <w:left w:val="nil"/>
              <w:bottom w:val="single" w:sz="12" w:space="0" w:color="auto"/>
              <w:right w:val="nil"/>
            </w:tcBorders>
            <w:shd w:val="clear" w:color="auto" w:fill="auto"/>
            <w:vAlign w:val="bottom"/>
          </w:tcPr>
          <w:p w14:paraId="1D2438D4" w14:textId="66BEC113" w:rsidR="00172B81" w:rsidRPr="00537128" w:rsidRDefault="00172B81" w:rsidP="00172B81">
            <w:pPr>
              <w:tabs>
                <w:tab w:val="right" w:pos="1202"/>
              </w:tabs>
              <w:spacing w:after="0" w:line="301" w:lineRule="exact"/>
              <w:jc w:val="right"/>
              <w:outlineLvl w:val="0"/>
              <w:rPr>
                <w:rFonts w:ascii="Calibri" w:eastAsia="Calibri" w:hAnsi="Calibri" w:cs="Calibri"/>
                <w:b/>
                <w:bCs/>
                <w:color w:val="000000"/>
                <w:sz w:val="17"/>
                <w:szCs w:val="17"/>
                <w:lang w:val="en-US"/>
              </w:rPr>
            </w:pPr>
            <w:r>
              <w:rPr>
                <w:rFonts w:ascii="Calibri" w:eastAsia="Calibri" w:hAnsi="Calibri" w:cs="Calibri"/>
                <w:b/>
                <w:bCs/>
                <w:color w:val="000000" w:themeColor="text1"/>
                <w:sz w:val="17"/>
                <w:szCs w:val="17"/>
              </w:rPr>
              <w:t>(470)</w:t>
            </w:r>
          </w:p>
        </w:tc>
        <w:tc>
          <w:tcPr>
            <w:tcW w:w="639" w:type="pct"/>
            <w:tcBorders>
              <w:top w:val="nil"/>
              <w:left w:val="nil"/>
              <w:bottom w:val="single" w:sz="12" w:space="0" w:color="auto"/>
              <w:right w:val="nil"/>
            </w:tcBorders>
            <w:shd w:val="clear" w:color="auto" w:fill="auto"/>
            <w:vAlign w:val="bottom"/>
          </w:tcPr>
          <w:p w14:paraId="11A4E147" w14:textId="3F01D536" w:rsidR="00172B81" w:rsidRPr="00537128" w:rsidRDefault="00172B81" w:rsidP="00172B81">
            <w:pPr>
              <w:tabs>
                <w:tab w:val="right" w:pos="1202"/>
              </w:tabs>
              <w:spacing w:after="0" w:line="301" w:lineRule="exact"/>
              <w:jc w:val="right"/>
              <w:outlineLvl w:val="0"/>
              <w:rPr>
                <w:rFonts w:ascii="Calibri" w:eastAsia="Calibri" w:hAnsi="Calibri" w:cs="Calibri"/>
                <w:b/>
                <w:bCs/>
                <w:color w:val="000000"/>
                <w:sz w:val="17"/>
                <w:szCs w:val="17"/>
                <w:lang w:val="en-US"/>
              </w:rPr>
            </w:pPr>
            <w:r>
              <w:rPr>
                <w:rFonts w:ascii="Calibri" w:eastAsia="Calibri" w:hAnsi="Calibri" w:cs="Calibri"/>
                <w:b/>
                <w:bCs/>
                <w:color w:val="000000" w:themeColor="text1"/>
                <w:sz w:val="17"/>
                <w:szCs w:val="17"/>
              </w:rPr>
              <w:t>(244)</w:t>
            </w:r>
          </w:p>
        </w:tc>
        <w:tc>
          <w:tcPr>
            <w:tcW w:w="639" w:type="pct"/>
            <w:tcBorders>
              <w:top w:val="nil"/>
              <w:left w:val="nil"/>
              <w:bottom w:val="single" w:sz="12" w:space="0" w:color="auto"/>
              <w:right w:val="nil"/>
            </w:tcBorders>
            <w:shd w:val="clear" w:color="auto" w:fill="auto"/>
            <w:vAlign w:val="bottom"/>
          </w:tcPr>
          <w:p w14:paraId="7D632679" w14:textId="627CCB09" w:rsidR="00172B81" w:rsidRPr="00537128" w:rsidRDefault="00172B81" w:rsidP="00172B81">
            <w:pPr>
              <w:tabs>
                <w:tab w:val="right" w:pos="1202"/>
              </w:tabs>
              <w:spacing w:after="0" w:line="301" w:lineRule="exact"/>
              <w:jc w:val="right"/>
              <w:outlineLvl w:val="0"/>
              <w:rPr>
                <w:rFonts w:ascii="Calibri" w:eastAsia="Calibri" w:hAnsi="Calibri" w:cs="Calibri"/>
                <w:b/>
                <w:bCs/>
                <w:color w:val="000000"/>
                <w:sz w:val="17"/>
                <w:szCs w:val="17"/>
                <w:lang w:val="en-US"/>
              </w:rPr>
            </w:pPr>
            <w:r>
              <w:rPr>
                <w:rFonts w:ascii="Calibri" w:eastAsia="Calibri" w:hAnsi="Calibri" w:cs="Calibri"/>
                <w:b/>
                <w:bCs/>
                <w:color w:val="000000" w:themeColor="text1"/>
                <w:sz w:val="17"/>
                <w:szCs w:val="17"/>
              </w:rPr>
              <w:t>41,830</w:t>
            </w:r>
          </w:p>
        </w:tc>
        <w:tc>
          <w:tcPr>
            <w:tcW w:w="639" w:type="pct"/>
            <w:tcBorders>
              <w:top w:val="nil"/>
              <w:left w:val="nil"/>
              <w:bottom w:val="single" w:sz="12" w:space="0" w:color="auto"/>
              <w:right w:val="nil"/>
            </w:tcBorders>
            <w:shd w:val="clear" w:color="auto" w:fill="auto"/>
            <w:vAlign w:val="bottom"/>
          </w:tcPr>
          <w:p w14:paraId="5FC7ED4F" w14:textId="7ADE91B4" w:rsidR="00172B81" w:rsidRPr="00537128" w:rsidRDefault="00172B81" w:rsidP="00172B81">
            <w:pPr>
              <w:tabs>
                <w:tab w:val="right" w:pos="1202"/>
              </w:tabs>
              <w:spacing w:after="0" w:line="301" w:lineRule="exact"/>
              <w:jc w:val="right"/>
              <w:outlineLvl w:val="0"/>
              <w:rPr>
                <w:rFonts w:ascii="Calibri" w:eastAsia="Calibri" w:hAnsi="Calibri" w:cs="Calibri"/>
                <w:b/>
                <w:bCs/>
                <w:color w:val="000000"/>
                <w:sz w:val="17"/>
                <w:szCs w:val="17"/>
                <w:lang w:val="en-US"/>
              </w:rPr>
            </w:pPr>
            <w:r>
              <w:rPr>
                <w:rFonts w:ascii="Calibri" w:eastAsia="Calibri" w:hAnsi="Calibri" w:cs="Calibri"/>
                <w:b/>
                <w:bCs/>
                <w:color w:val="000000" w:themeColor="text1"/>
                <w:sz w:val="17"/>
                <w:szCs w:val="17"/>
              </w:rPr>
              <w:t>41,830</w:t>
            </w:r>
          </w:p>
        </w:tc>
      </w:tr>
    </w:tbl>
    <w:p w14:paraId="46012021" w14:textId="77777777" w:rsidR="004B45EC" w:rsidRPr="00537128" w:rsidRDefault="004B45EC" w:rsidP="00D27961">
      <w:pPr>
        <w:tabs>
          <w:tab w:val="left" w:pos="709"/>
        </w:tabs>
        <w:spacing w:after="0" w:line="240" w:lineRule="auto"/>
        <w:jc w:val="both"/>
        <w:rPr>
          <w:rFonts w:ascii="Calibri" w:eastAsia="Times New Roman" w:hAnsi="Calibri" w:cs="Arial"/>
          <w:b/>
          <w:spacing w:val="-3"/>
          <w:lang w:val="en-US"/>
        </w:rPr>
      </w:pPr>
    </w:p>
    <w:p w14:paraId="343A7E8F" w14:textId="77777777" w:rsidR="004B45EC" w:rsidRPr="00537128" w:rsidRDefault="004B45EC" w:rsidP="00D27961">
      <w:pPr>
        <w:tabs>
          <w:tab w:val="left" w:pos="709"/>
        </w:tabs>
        <w:spacing w:after="0" w:line="240" w:lineRule="auto"/>
        <w:jc w:val="both"/>
        <w:rPr>
          <w:rFonts w:ascii="Calibri" w:eastAsia="Times New Roman" w:hAnsi="Calibri" w:cs="Arial"/>
          <w:b/>
          <w:spacing w:val="-3"/>
          <w:lang w:val="en-US"/>
        </w:rPr>
      </w:pPr>
    </w:p>
    <w:p w14:paraId="4316155B" w14:textId="77777777" w:rsidR="004B45EC" w:rsidRPr="00537128" w:rsidRDefault="004B45EC" w:rsidP="00D27961">
      <w:pPr>
        <w:tabs>
          <w:tab w:val="left" w:pos="709"/>
        </w:tabs>
        <w:spacing w:after="0" w:line="240" w:lineRule="auto"/>
        <w:jc w:val="both"/>
        <w:rPr>
          <w:rFonts w:ascii="Calibri" w:eastAsia="Times New Roman" w:hAnsi="Calibri" w:cs="Arial"/>
          <w:b/>
          <w:spacing w:val="-3"/>
          <w:lang w:val="en-US"/>
        </w:rPr>
      </w:pPr>
    </w:p>
    <w:sectPr w:rsidR="004B45EC" w:rsidRPr="00537128" w:rsidSect="00712478">
      <w:headerReference w:type="default" r:id="rId39"/>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13BF6" w14:textId="77777777" w:rsidR="001A405A" w:rsidRDefault="001A405A" w:rsidP="001C192E">
      <w:pPr>
        <w:spacing w:after="0" w:line="240" w:lineRule="auto"/>
      </w:pPr>
      <w:r>
        <w:separator/>
      </w:r>
    </w:p>
  </w:endnote>
  <w:endnote w:type="continuationSeparator" w:id="0">
    <w:p w14:paraId="72C28A9A" w14:textId="77777777" w:rsidR="001A405A" w:rsidRDefault="001A405A" w:rsidP="001C192E">
      <w:pPr>
        <w:spacing w:after="0" w:line="240" w:lineRule="auto"/>
      </w:pPr>
      <w:r>
        <w:continuationSeparator/>
      </w:r>
    </w:p>
  </w:endnote>
  <w:endnote w:type="continuationNotice" w:id="1">
    <w:p w14:paraId="512D4B0E" w14:textId="77777777" w:rsidR="00CC14BC" w:rsidRDefault="00CC14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Univers LT Std 45 Light">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1B0F" w14:textId="77777777" w:rsidR="00BC4061" w:rsidRDefault="00BC40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DA94" w14:textId="77777777" w:rsidR="000840B6" w:rsidRPr="001C192E" w:rsidRDefault="000840B6" w:rsidP="001C192E">
    <w:pPr>
      <w:pStyle w:val="Footer"/>
      <w:jc w:val="both"/>
      <w:rPr>
        <w:sz w:val="16"/>
        <w:szCs w:val="16"/>
        <w:lang w:val="en-GB"/>
      </w:rPr>
    </w:pPr>
    <w:r w:rsidRPr="001C192E">
      <w:rPr>
        <w:sz w:val="16"/>
        <w:szCs w:val="16"/>
        <w:lang w:val="en-GB"/>
      </w:rPr>
      <w:t>This version of the Condensed Separate and Consolidated Interim Financial Statements is a translation from the original, which was prepared in the Croatian language. All possible care has been taken to ensure that the translation is an accurate representation of the original. However, in all matters of interpretation of information, views or opinions, the original language version of the Condensed Separate and Consolidated Interim Financial Statements takes precedence over translation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812247"/>
      <w:docPartObj>
        <w:docPartGallery w:val="Page Numbers (Bottom of Page)"/>
        <w:docPartUnique/>
      </w:docPartObj>
    </w:sdtPr>
    <w:sdtEndPr>
      <w:rPr>
        <w:noProof/>
        <w:sz w:val="20"/>
        <w:szCs w:val="20"/>
      </w:rPr>
    </w:sdtEndPr>
    <w:sdtContent>
      <w:p w14:paraId="54CA1AEB" w14:textId="77777777" w:rsidR="000E4CE3" w:rsidRPr="001C192E" w:rsidRDefault="000E4CE3" w:rsidP="000E4CE3">
        <w:pPr>
          <w:pBdr>
            <w:top w:val="single" w:sz="4" w:space="1" w:color="auto"/>
          </w:pBdr>
          <w:tabs>
            <w:tab w:val="center" w:pos="4536"/>
            <w:tab w:val="right" w:pos="9072"/>
          </w:tabs>
          <w:spacing w:after="0" w:line="240" w:lineRule="auto"/>
          <w:ind w:right="-5"/>
          <w:rPr>
            <w:rFonts w:cstheme="minorHAnsi"/>
            <w:lang w:val="pl-PL"/>
          </w:rPr>
        </w:pPr>
        <w:r w:rsidRPr="001C192E">
          <w:rPr>
            <w:rFonts w:cstheme="minorHAnsi"/>
            <w:sz w:val="19"/>
            <w:szCs w:val="19"/>
            <w:lang w:val="pl-PL"/>
          </w:rPr>
          <w:fldChar w:fldCharType="begin"/>
        </w:r>
        <w:r w:rsidRPr="001C192E">
          <w:rPr>
            <w:rFonts w:cstheme="minorHAnsi"/>
            <w:sz w:val="19"/>
            <w:szCs w:val="19"/>
            <w:lang w:val="pl-PL"/>
          </w:rPr>
          <w:instrText xml:space="preserve"> PAGE   \* MERGEFORMAT </w:instrText>
        </w:r>
        <w:r w:rsidRPr="001C192E">
          <w:rPr>
            <w:rFonts w:cstheme="minorHAnsi"/>
            <w:sz w:val="19"/>
            <w:szCs w:val="19"/>
            <w:lang w:val="pl-PL"/>
          </w:rPr>
          <w:fldChar w:fldCharType="separate"/>
        </w:r>
        <w:r>
          <w:rPr>
            <w:rFonts w:cstheme="minorHAnsi"/>
            <w:sz w:val="19"/>
            <w:szCs w:val="19"/>
            <w:lang w:val="pl-PL"/>
          </w:rPr>
          <w:t>51</w:t>
        </w:r>
        <w:r w:rsidRPr="001C192E">
          <w:rPr>
            <w:rFonts w:cstheme="minorHAnsi"/>
            <w:noProof/>
            <w:sz w:val="19"/>
            <w:szCs w:val="19"/>
            <w:lang w:val="pl-PL"/>
          </w:rPr>
          <w:fldChar w:fldCharType="end"/>
        </w:r>
        <w:r w:rsidRPr="001C192E">
          <w:rPr>
            <w:rFonts w:cstheme="minorHAnsi"/>
            <w:noProof/>
            <w:sz w:val="19"/>
            <w:szCs w:val="19"/>
            <w:lang w:val="pl-PL"/>
          </w:rPr>
          <w:t xml:space="preserve">  Croatian Bank for reconstruction and Development</w:t>
        </w:r>
      </w:p>
    </w:sdtContent>
  </w:sdt>
  <w:p w14:paraId="5F38190B" w14:textId="77777777" w:rsidR="006F58EC" w:rsidRDefault="006F58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82657"/>
      <w:docPartObj>
        <w:docPartGallery w:val="Page Numbers (Bottom of Page)"/>
        <w:docPartUnique/>
      </w:docPartObj>
    </w:sdtPr>
    <w:sdtEndPr>
      <w:rPr>
        <w:noProof/>
        <w:sz w:val="20"/>
        <w:szCs w:val="20"/>
      </w:rPr>
    </w:sdtEndPr>
    <w:sdtContent>
      <w:p w14:paraId="43EFAF89" w14:textId="7DA795CC" w:rsidR="000840B6" w:rsidRPr="001C192E" w:rsidRDefault="000840B6" w:rsidP="001C192E">
        <w:pPr>
          <w:pBdr>
            <w:top w:val="single" w:sz="4" w:space="1" w:color="auto"/>
          </w:pBdr>
          <w:tabs>
            <w:tab w:val="center" w:pos="4536"/>
            <w:tab w:val="right" w:pos="9072"/>
          </w:tabs>
          <w:spacing w:after="0" w:line="240" w:lineRule="auto"/>
          <w:ind w:right="-5"/>
          <w:rPr>
            <w:rFonts w:cstheme="minorHAnsi"/>
            <w:lang w:val="pl-PL"/>
          </w:rPr>
        </w:pPr>
        <w:r w:rsidRPr="001C192E">
          <w:rPr>
            <w:rFonts w:cstheme="minorHAnsi"/>
            <w:sz w:val="19"/>
            <w:szCs w:val="19"/>
            <w:lang w:val="pl-PL"/>
          </w:rPr>
          <w:fldChar w:fldCharType="begin"/>
        </w:r>
        <w:r w:rsidRPr="001C192E">
          <w:rPr>
            <w:rFonts w:cstheme="minorHAnsi"/>
            <w:sz w:val="19"/>
            <w:szCs w:val="19"/>
            <w:lang w:val="pl-PL"/>
          </w:rPr>
          <w:instrText xml:space="preserve"> PAGE   \* MERGEFORMAT </w:instrText>
        </w:r>
        <w:r w:rsidRPr="001C192E">
          <w:rPr>
            <w:rFonts w:cstheme="minorHAnsi"/>
            <w:sz w:val="19"/>
            <w:szCs w:val="19"/>
            <w:lang w:val="pl-PL"/>
          </w:rPr>
          <w:fldChar w:fldCharType="separate"/>
        </w:r>
        <w:r w:rsidRPr="001C192E">
          <w:rPr>
            <w:rFonts w:cstheme="minorHAnsi"/>
            <w:sz w:val="19"/>
            <w:szCs w:val="19"/>
            <w:lang w:val="pl-PL"/>
          </w:rPr>
          <w:t>2</w:t>
        </w:r>
        <w:r w:rsidRPr="001C192E">
          <w:rPr>
            <w:rFonts w:cstheme="minorHAnsi"/>
            <w:noProof/>
            <w:sz w:val="19"/>
            <w:szCs w:val="19"/>
            <w:lang w:val="pl-PL"/>
          </w:rPr>
          <w:fldChar w:fldCharType="end"/>
        </w:r>
        <w:r w:rsidRPr="001C192E">
          <w:rPr>
            <w:rFonts w:cstheme="minorHAnsi"/>
            <w:noProof/>
            <w:sz w:val="19"/>
            <w:szCs w:val="19"/>
            <w:lang w:val="pl-PL"/>
          </w:rPr>
          <w:t xml:space="preserve">  Croatian Bank for </w:t>
        </w:r>
        <w:r w:rsidR="00BC4061">
          <w:rPr>
            <w:rFonts w:cstheme="minorHAnsi"/>
            <w:noProof/>
            <w:sz w:val="19"/>
            <w:szCs w:val="19"/>
            <w:lang w:val="pl-PL"/>
          </w:rPr>
          <w:t>R</w:t>
        </w:r>
        <w:r w:rsidRPr="001C192E">
          <w:rPr>
            <w:rFonts w:cstheme="minorHAnsi"/>
            <w:noProof/>
            <w:sz w:val="19"/>
            <w:szCs w:val="19"/>
            <w:lang w:val="pl-PL"/>
          </w:rPr>
          <w:t>econstruction and Development</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740323"/>
      <w:docPartObj>
        <w:docPartGallery w:val="Page Numbers (Bottom of Page)"/>
        <w:docPartUnique/>
      </w:docPartObj>
    </w:sdtPr>
    <w:sdtEndPr>
      <w:rPr>
        <w:noProof/>
        <w:sz w:val="20"/>
        <w:szCs w:val="20"/>
      </w:rPr>
    </w:sdtEndPr>
    <w:sdtContent>
      <w:p w14:paraId="4AC2B04E" w14:textId="25640475" w:rsidR="000840B6" w:rsidRPr="001C192E" w:rsidRDefault="000840B6" w:rsidP="001C192E">
        <w:pPr>
          <w:pBdr>
            <w:top w:val="single" w:sz="4" w:space="1" w:color="auto"/>
          </w:pBdr>
          <w:tabs>
            <w:tab w:val="center" w:pos="4536"/>
            <w:tab w:val="right" w:pos="9072"/>
          </w:tabs>
          <w:spacing w:after="0" w:line="240" w:lineRule="auto"/>
          <w:ind w:right="-5"/>
          <w:rPr>
            <w:rFonts w:cstheme="minorHAnsi"/>
            <w:lang w:val="pl-PL"/>
          </w:rPr>
        </w:pPr>
        <w:r w:rsidRPr="001C192E">
          <w:rPr>
            <w:rFonts w:cstheme="minorHAnsi"/>
            <w:sz w:val="19"/>
            <w:szCs w:val="19"/>
            <w:lang w:val="pl-PL"/>
          </w:rPr>
          <w:fldChar w:fldCharType="begin"/>
        </w:r>
        <w:r w:rsidRPr="001C192E">
          <w:rPr>
            <w:rFonts w:cstheme="minorHAnsi"/>
            <w:sz w:val="19"/>
            <w:szCs w:val="19"/>
            <w:lang w:val="pl-PL"/>
          </w:rPr>
          <w:instrText xml:space="preserve"> PAGE   \* MERGEFORMAT </w:instrText>
        </w:r>
        <w:r w:rsidRPr="001C192E">
          <w:rPr>
            <w:rFonts w:cstheme="minorHAnsi"/>
            <w:sz w:val="19"/>
            <w:szCs w:val="19"/>
            <w:lang w:val="pl-PL"/>
          </w:rPr>
          <w:fldChar w:fldCharType="separate"/>
        </w:r>
        <w:r w:rsidRPr="001C192E">
          <w:rPr>
            <w:rFonts w:cstheme="minorHAnsi"/>
            <w:sz w:val="19"/>
            <w:szCs w:val="19"/>
            <w:lang w:val="pl-PL"/>
          </w:rPr>
          <w:t>2</w:t>
        </w:r>
        <w:r w:rsidRPr="001C192E">
          <w:rPr>
            <w:rFonts w:cstheme="minorHAnsi"/>
            <w:noProof/>
            <w:sz w:val="19"/>
            <w:szCs w:val="19"/>
            <w:lang w:val="pl-PL"/>
          </w:rPr>
          <w:fldChar w:fldCharType="end"/>
        </w:r>
        <w:r w:rsidRPr="001C192E">
          <w:rPr>
            <w:rFonts w:cstheme="minorHAnsi"/>
            <w:noProof/>
            <w:sz w:val="19"/>
            <w:szCs w:val="19"/>
            <w:lang w:val="pl-PL"/>
          </w:rPr>
          <w:t xml:space="preserve">  Croatian Bank for </w:t>
        </w:r>
        <w:r w:rsidR="00BC4061">
          <w:rPr>
            <w:rFonts w:cstheme="minorHAnsi"/>
            <w:noProof/>
            <w:sz w:val="19"/>
            <w:szCs w:val="19"/>
            <w:lang w:val="pl-PL"/>
          </w:rPr>
          <w:t>R</w:t>
        </w:r>
        <w:r w:rsidRPr="001C192E">
          <w:rPr>
            <w:rFonts w:cstheme="minorHAnsi"/>
            <w:noProof/>
            <w:sz w:val="19"/>
            <w:szCs w:val="19"/>
            <w:lang w:val="pl-PL"/>
          </w:rPr>
          <w:t>econstruction and Development</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3C7BB" w14:textId="77777777" w:rsidR="003967E9" w:rsidRPr="001E7DB0" w:rsidRDefault="003967E9" w:rsidP="00AE78CA">
    <w:pPr>
      <w:pStyle w:val="Footer"/>
      <w:pBdr>
        <w:top w:val="single" w:sz="4" w:space="1" w:color="auto"/>
      </w:pBdr>
      <w:ind w:right="283"/>
      <w:rPr>
        <w:sz w:val="19"/>
      </w:rPr>
    </w:pPr>
    <w:r w:rsidRPr="004C779E">
      <w:rPr>
        <w:rFonts w:cs="Arial"/>
        <w:sz w:val="19"/>
        <w:szCs w:val="19"/>
        <w:lang w:val="en-US"/>
      </w:rPr>
      <w:fldChar w:fldCharType="begin"/>
    </w:r>
    <w:r w:rsidRPr="004C779E">
      <w:rPr>
        <w:rFonts w:cs="Arial"/>
        <w:sz w:val="19"/>
        <w:szCs w:val="19"/>
        <w:lang w:val="en-US"/>
      </w:rPr>
      <w:instrText xml:space="preserve"> PAGE   \* MERGEFORMAT </w:instrText>
    </w:r>
    <w:r w:rsidRPr="004C779E">
      <w:rPr>
        <w:rFonts w:cs="Arial"/>
        <w:sz w:val="19"/>
        <w:szCs w:val="19"/>
        <w:lang w:val="en-US"/>
      </w:rPr>
      <w:fldChar w:fldCharType="separate"/>
    </w:r>
    <w:r w:rsidRPr="004C779E">
      <w:rPr>
        <w:rFonts w:cs="Arial"/>
        <w:noProof/>
        <w:sz w:val="19"/>
        <w:szCs w:val="19"/>
        <w:lang w:val="en-US"/>
      </w:rPr>
      <w:t>1</w:t>
    </w:r>
    <w:r w:rsidRPr="004C779E">
      <w:rPr>
        <w:rFonts w:cs="Arial"/>
        <w:noProof/>
        <w:sz w:val="19"/>
        <w:szCs w:val="19"/>
        <w:lang w:val="en-US"/>
      </w:rPr>
      <w:fldChar w:fldCharType="end"/>
    </w:r>
    <w:r>
      <w:rPr>
        <w:rFonts w:cs="Arial"/>
        <w:sz w:val="19"/>
        <w:szCs w:val="19"/>
        <w:lang w:val="en-US"/>
      </w:rPr>
      <w:t xml:space="preserve">  </w:t>
    </w:r>
    <w:r w:rsidRPr="001E7DB0">
      <w:rPr>
        <w:rFonts w:cs="Arial"/>
        <w:sz w:val="19"/>
        <w:szCs w:val="19"/>
      </w:rPr>
      <w:t>Croatian Bank for Reconstruction and Development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6530" w14:textId="77777777" w:rsidR="00291831" w:rsidRPr="001E7DB0" w:rsidRDefault="00291831" w:rsidP="00AE78CA">
    <w:pPr>
      <w:pStyle w:val="Footer"/>
      <w:pBdr>
        <w:top w:val="single" w:sz="4" w:space="1" w:color="auto"/>
      </w:pBdr>
      <w:ind w:right="283"/>
      <w:rPr>
        <w:sz w:val="19"/>
      </w:rPr>
    </w:pPr>
    <w:r w:rsidRPr="004C779E">
      <w:rPr>
        <w:rFonts w:cs="Arial"/>
        <w:sz w:val="19"/>
        <w:szCs w:val="19"/>
        <w:lang w:val="en-US"/>
      </w:rPr>
      <w:fldChar w:fldCharType="begin"/>
    </w:r>
    <w:r w:rsidRPr="004C779E">
      <w:rPr>
        <w:rFonts w:cs="Arial"/>
        <w:sz w:val="19"/>
        <w:szCs w:val="19"/>
        <w:lang w:val="en-US"/>
      </w:rPr>
      <w:instrText xml:space="preserve"> PAGE   \* MERGEFORMAT </w:instrText>
    </w:r>
    <w:r w:rsidRPr="004C779E">
      <w:rPr>
        <w:rFonts w:cs="Arial"/>
        <w:sz w:val="19"/>
        <w:szCs w:val="19"/>
        <w:lang w:val="en-US"/>
      </w:rPr>
      <w:fldChar w:fldCharType="separate"/>
    </w:r>
    <w:r w:rsidRPr="004C779E">
      <w:rPr>
        <w:rFonts w:cs="Arial"/>
        <w:noProof/>
        <w:sz w:val="19"/>
        <w:szCs w:val="19"/>
        <w:lang w:val="en-US"/>
      </w:rPr>
      <w:t>1</w:t>
    </w:r>
    <w:r w:rsidRPr="004C779E">
      <w:rPr>
        <w:rFonts w:cs="Arial"/>
        <w:noProof/>
        <w:sz w:val="19"/>
        <w:szCs w:val="19"/>
        <w:lang w:val="en-US"/>
      </w:rPr>
      <w:fldChar w:fldCharType="end"/>
    </w:r>
    <w:r>
      <w:rPr>
        <w:rFonts w:cs="Arial"/>
        <w:sz w:val="19"/>
        <w:szCs w:val="19"/>
        <w:lang w:val="en-US"/>
      </w:rPr>
      <w:t xml:space="preserve">  </w:t>
    </w:r>
    <w:r w:rsidRPr="001E7DB0">
      <w:rPr>
        <w:rFonts w:cs="Arial"/>
        <w:sz w:val="19"/>
        <w:szCs w:val="19"/>
      </w:rPr>
      <w:t>Croatian Bank for Reconstruction and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06BEF" w14:textId="77777777" w:rsidR="001A405A" w:rsidRDefault="001A405A" w:rsidP="001C192E">
      <w:pPr>
        <w:spacing w:after="0" w:line="240" w:lineRule="auto"/>
      </w:pPr>
      <w:r>
        <w:separator/>
      </w:r>
    </w:p>
  </w:footnote>
  <w:footnote w:type="continuationSeparator" w:id="0">
    <w:p w14:paraId="22893C00" w14:textId="77777777" w:rsidR="001A405A" w:rsidRDefault="001A405A" w:rsidP="001C192E">
      <w:pPr>
        <w:spacing w:after="0" w:line="240" w:lineRule="auto"/>
      </w:pPr>
      <w:r>
        <w:continuationSeparator/>
      </w:r>
    </w:p>
  </w:footnote>
  <w:footnote w:type="continuationNotice" w:id="1">
    <w:p w14:paraId="638B4CBE" w14:textId="77777777" w:rsidR="00CC14BC" w:rsidRDefault="00CC14BC">
      <w:pPr>
        <w:spacing w:after="0" w:line="240" w:lineRule="auto"/>
      </w:pPr>
    </w:p>
  </w:footnote>
  <w:footnote w:id="2">
    <w:p w14:paraId="24726DDF" w14:textId="3F546032" w:rsidR="00F730FF" w:rsidRPr="00CE1425" w:rsidRDefault="00F730FF">
      <w:pPr>
        <w:pStyle w:val="FootnoteText"/>
        <w:rPr>
          <w:color w:val="FFFFFF" w:themeColor="background1"/>
        </w:rPr>
      </w:pPr>
      <w:r w:rsidRPr="00CE1425">
        <w:rPr>
          <w:rStyle w:val="FootnoteReference"/>
          <w:color w:val="FFFFFF" w:themeColor="background1"/>
        </w:rPr>
        <w:footnoteRef/>
      </w:r>
      <w:r w:rsidRPr="00CE1425">
        <w:rPr>
          <w:color w:val="FFFFFF" w:themeColor="background1"/>
        </w:rPr>
        <w:t xml:space="preserve"> </w:t>
      </w:r>
    </w:p>
  </w:footnote>
  <w:footnote w:id="3">
    <w:p w14:paraId="2424DA24" w14:textId="397C7AB5" w:rsidR="00447E2C" w:rsidRPr="00504409" w:rsidRDefault="00CE1425">
      <w:pPr>
        <w:pStyle w:val="FootnoteText"/>
        <w:rPr>
          <w:rFonts w:asciiTheme="minorHAnsi" w:hAnsiTheme="minorHAnsi" w:cstheme="minorHAnsi"/>
          <w:i/>
          <w:iCs/>
          <w:sz w:val="18"/>
          <w:szCs w:val="18"/>
        </w:rPr>
      </w:pPr>
      <w:r>
        <w:rPr>
          <w:rFonts w:asciiTheme="minorHAnsi" w:hAnsiTheme="minorHAnsi" w:cstheme="minorHAnsi"/>
          <w:i/>
          <w:iCs/>
          <w:sz w:val="18"/>
          <w:szCs w:val="18"/>
        </w:rPr>
        <w:t xml:space="preserve"> </w:t>
      </w:r>
      <w:r w:rsidR="001E00FE">
        <w:rPr>
          <w:rStyle w:val="FootnoteReference"/>
          <w:rFonts w:asciiTheme="minorHAnsi" w:hAnsiTheme="minorHAnsi" w:cstheme="minorHAnsi"/>
          <w:i/>
          <w:iCs/>
          <w:sz w:val="18"/>
          <w:szCs w:val="18"/>
        </w:rPr>
        <w:t>1</w:t>
      </w:r>
      <w:r>
        <w:rPr>
          <w:rStyle w:val="FootnoteReference"/>
          <w:rFonts w:asciiTheme="minorHAnsi" w:hAnsiTheme="minorHAnsi" w:cstheme="minorHAnsi"/>
          <w:i/>
          <w:iCs/>
          <w:sz w:val="18"/>
          <w:szCs w:val="18"/>
        </w:rPr>
        <w:t xml:space="preserve"> and 2</w:t>
      </w:r>
      <w:r>
        <w:rPr>
          <w:rFonts w:asciiTheme="minorHAnsi" w:hAnsiTheme="minorHAnsi" w:cstheme="minorHAnsi"/>
          <w:i/>
          <w:iCs/>
          <w:sz w:val="18"/>
          <w:szCs w:val="18"/>
        </w:rPr>
        <w:t xml:space="preserve"> </w:t>
      </w:r>
      <w:r w:rsidR="00447E2C" w:rsidRPr="000239F2">
        <w:rPr>
          <w:rStyle w:val="y2iqfc"/>
          <w:rFonts w:asciiTheme="minorHAnsi" w:hAnsiTheme="minorHAnsi" w:cstheme="minorHAnsi"/>
          <w:i/>
          <w:iCs/>
          <w:color w:val="202124"/>
          <w:sz w:val="18"/>
          <w:szCs w:val="18"/>
          <w:lang w:val="en"/>
        </w:rPr>
        <w:t>There is no impact due to the application of zero floor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EB2C" w14:textId="77777777" w:rsidR="00BC4061" w:rsidRDefault="00BC406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3EC2" w14:textId="77777777" w:rsidR="000840B6" w:rsidRPr="00DD1ECC" w:rsidRDefault="000840B6" w:rsidP="00DD1ECC">
    <w:pPr>
      <w:tabs>
        <w:tab w:val="center" w:pos="4513"/>
        <w:tab w:val="right" w:pos="9072"/>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Consolidated Interim</w:t>
    </w:r>
    <w:r w:rsidRPr="00DD1ECC">
      <w:rPr>
        <w:rFonts w:ascii="Calibri" w:eastAsia="Times New Roman" w:hAnsi="Calibri" w:cs="Arial"/>
        <w:sz w:val="28"/>
        <w:szCs w:val="28"/>
        <w:lang w:val="en-GB"/>
      </w:rPr>
      <w:t xml:space="preserve"> Financial Statements of the Group</w:t>
    </w:r>
  </w:p>
  <w:p w14:paraId="410E85F2" w14:textId="77777777" w:rsidR="000840B6" w:rsidRPr="00DD1ECC" w:rsidRDefault="000840B6" w:rsidP="00DD1ECC">
    <w:pPr>
      <w:tabs>
        <w:tab w:val="center" w:pos="4513"/>
        <w:tab w:val="right" w:pos="9072"/>
      </w:tabs>
      <w:spacing w:after="0" w:line="240" w:lineRule="auto"/>
      <w:rPr>
        <w:rFonts w:ascii="Calibri" w:eastAsia="Times New Roman" w:hAnsi="Calibri" w:cs="Arial"/>
        <w:sz w:val="28"/>
        <w:szCs w:val="28"/>
        <w:lang w:val="en-GB"/>
      </w:rPr>
    </w:pPr>
    <w:r w:rsidRPr="00DD1ECC">
      <w:rPr>
        <w:rFonts w:ascii="Calibri" w:eastAsia="Times New Roman" w:hAnsi="Calibri" w:cs="Arial"/>
        <w:sz w:val="28"/>
        <w:szCs w:val="28"/>
        <w:lang w:val="en-GB"/>
      </w:rPr>
      <w:t>Statement of Changes in Equity</w:t>
    </w:r>
  </w:p>
  <w:p w14:paraId="65357D36" w14:textId="0FF24485" w:rsidR="000840B6" w:rsidRPr="00DD1ECC" w:rsidRDefault="000840B6" w:rsidP="00DD1ECC">
    <w:pPr>
      <w:tabs>
        <w:tab w:val="center" w:pos="4536"/>
      </w:tabs>
      <w:spacing w:after="0" w:line="240" w:lineRule="auto"/>
      <w:rPr>
        <w:rFonts w:ascii="Calibri" w:eastAsia="Times New Roman" w:hAnsi="Calibri" w:cs="Arial"/>
        <w:sz w:val="28"/>
        <w:szCs w:val="28"/>
        <w:lang w:val="en-GB"/>
      </w:rPr>
    </w:pPr>
    <w:r w:rsidRPr="00BA3E05">
      <w:rPr>
        <w:rFonts w:ascii="Calibri" w:eastAsia="Times New Roman" w:hAnsi="Calibri" w:cs="Arial"/>
        <w:sz w:val="28"/>
        <w:szCs w:val="28"/>
        <w:lang w:val="en-GB"/>
      </w:rPr>
      <w:t>for the period 1 January - 3</w:t>
    </w:r>
    <w:r>
      <w:rPr>
        <w:rFonts w:ascii="Calibri" w:eastAsia="Times New Roman" w:hAnsi="Calibri" w:cs="Arial"/>
        <w:sz w:val="28"/>
        <w:szCs w:val="28"/>
        <w:lang w:val="en-GB"/>
      </w:rPr>
      <w:t>1</w:t>
    </w:r>
    <w:r w:rsidRPr="00BA3E05">
      <w:rPr>
        <w:rFonts w:ascii="Calibri" w:eastAsia="Times New Roman" w:hAnsi="Calibri" w:cs="Arial"/>
        <w:sz w:val="28"/>
        <w:szCs w:val="28"/>
        <w:lang w:val="en-GB"/>
      </w:rPr>
      <w:t xml:space="preserve"> </w:t>
    </w:r>
    <w:r>
      <w:rPr>
        <w:rFonts w:ascii="Calibri" w:eastAsia="Times New Roman" w:hAnsi="Calibri" w:cs="Arial"/>
        <w:sz w:val="28"/>
        <w:szCs w:val="28"/>
        <w:lang w:val="en-GB"/>
      </w:rPr>
      <w:t>March</w:t>
    </w:r>
    <w:r>
      <w:rPr>
        <w:rFonts w:ascii="Calibri" w:eastAsia="Times New Roman" w:hAnsi="Calibri" w:cs="Arial"/>
        <w:sz w:val="28"/>
        <w:szCs w:val="28"/>
        <w:lang w:val="en-GB"/>
      </w:rPr>
      <w:tab/>
    </w:r>
  </w:p>
  <w:p w14:paraId="50117AD3" w14:textId="77777777" w:rsidR="000840B6" w:rsidRPr="00467A1A" w:rsidRDefault="000840B6"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A480" w14:textId="77777777" w:rsidR="000840B6" w:rsidRPr="00DD1ECC" w:rsidRDefault="000840B6" w:rsidP="00DD1ECC">
    <w:pPr>
      <w:tabs>
        <w:tab w:val="center" w:pos="4513"/>
        <w:tab w:val="right" w:pos="9072"/>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Separate Interim</w:t>
    </w:r>
    <w:r w:rsidRPr="00DD1ECC">
      <w:rPr>
        <w:rFonts w:ascii="Calibri" w:eastAsia="Times New Roman" w:hAnsi="Calibri" w:cs="Arial"/>
        <w:sz w:val="28"/>
        <w:szCs w:val="28"/>
        <w:lang w:val="en-GB"/>
      </w:rPr>
      <w:t xml:space="preserve"> Financial Statements of the </w:t>
    </w:r>
    <w:r>
      <w:rPr>
        <w:rFonts w:ascii="Calibri" w:eastAsia="Times New Roman" w:hAnsi="Calibri" w:cs="Arial"/>
        <w:sz w:val="28"/>
        <w:szCs w:val="28"/>
        <w:lang w:val="en-GB"/>
      </w:rPr>
      <w:t>Bank</w:t>
    </w:r>
  </w:p>
  <w:p w14:paraId="1065BF7C" w14:textId="77777777" w:rsidR="000840B6" w:rsidRDefault="000840B6" w:rsidP="00DD1ECC">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Income Statement</w:t>
    </w:r>
  </w:p>
  <w:p w14:paraId="2A6FAAA0" w14:textId="775912D5" w:rsidR="000840B6" w:rsidRPr="00DD1ECC" w:rsidRDefault="000840B6" w:rsidP="00DD1ECC">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for the period 1 January - 3</w:t>
    </w:r>
    <w:r>
      <w:rPr>
        <w:rFonts w:ascii="Calibri" w:eastAsia="Times New Roman" w:hAnsi="Calibri" w:cs="Arial"/>
        <w:sz w:val="28"/>
        <w:szCs w:val="28"/>
        <w:lang w:val="en-GB"/>
      </w:rPr>
      <w:t>1</w:t>
    </w:r>
    <w:r w:rsidRPr="006D20DD">
      <w:rPr>
        <w:rFonts w:ascii="Calibri" w:eastAsia="Times New Roman" w:hAnsi="Calibri" w:cs="Arial"/>
        <w:sz w:val="28"/>
        <w:szCs w:val="28"/>
        <w:lang w:val="en-GB"/>
      </w:rPr>
      <w:t xml:space="preserve"> </w:t>
    </w:r>
    <w:r>
      <w:rPr>
        <w:rFonts w:ascii="Calibri" w:eastAsia="Times New Roman" w:hAnsi="Calibri" w:cs="Arial"/>
        <w:sz w:val="28"/>
        <w:szCs w:val="28"/>
        <w:lang w:val="en-GB"/>
      </w:rPr>
      <w:t>March</w:t>
    </w:r>
  </w:p>
  <w:p w14:paraId="18F186E8" w14:textId="77777777" w:rsidR="000840B6" w:rsidRPr="00467A1A" w:rsidRDefault="000840B6"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82C8" w14:textId="77777777" w:rsidR="000840B6" w:rsidRDefault="000840B6" w:rsidP="00DD1ECC">
    <w:pPr>
      <w:tabs>
        <w:tab w:val="center" w:pos="4536"/>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Separate Interim Financial Statements of the Bank</w:t>
    </w:r>
  </w:p>
  <w:p w14:paraId="27B828AC" w14:textId="77777777" w:rsidR="000840B6" w:rsidRDefault="000840B6" w:rsidP="00DD1ECC">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Statement of Profit or Loss and Other Comprehensive Income</w:t>
    </w:r>
  </w:p>
  <w:p w14:paraId="5EFD052E" w14:textId="3BB253ED" w:rsidR="000840B6" w:rsidRPr="00DD1ECC" w:rsidRDefault="000840B6" w:rsidP="00DD1ECC">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for the period 1 January - 3</w:t>
    </w:r>
    <w:r>
      <w:rPr>
        <w:rFonts w:ascii="Calibri" w:eastAsia="Times New Roman" w:hAnsi="Calibri" w:cs="Arial"/>
        <w:sz w:val="28"/>
        <w:szCs w:val="28"/>
        <w:lang w:val="en-GB"/>
      </w:rPr>
      <w:t>1</w:t>
    </w:r>
    <w:r w:rsidRPr="006D20DD">
      <w:rPr>
        <w:rFonts w:ascii="Calibri" w:eastAsia="Times New Roman" w:hAnsi="Calibri" w:cs="Arial"/>
        <w:sz w:val="28"/>
        <w:szCs w:val="28"/>
        <w:lang w:val="en-GB"/>
      </w:rPr>
      <w:t xml:space="preserve"> </w:t>
    </w:r>
    <w:r>
      <w:rPr>
        <w:rFonts w:ascii="Calibri" w:eastAsia="Times New Roman" w:hAnsi="Calibri" w:cs="Arial"/>
        <w:sz w:val="28"/>
        <w:szCs w:val="28"/>
        <w:lang w:val="en-GB"/>
      </w:rPr>
      <w:t>March</w:t>
    </w:r>
  </w:p>
  <w:p w14:paraId="2BBCA67B" w14:textId="77777777" w:rsidR="000840B6" w:rsidRPr="00467A1A" w:rsidRDefault="000840B6"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EE21" w14:textId="77777777" w:rsidR="000840B6" w:rsidRDefault="000840B6" w:rsidP="006D20DD">
    <w:pPr>
      <w:tabs>
        <w:tab w:val="center" w:pos="4536"/>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Separate Interim Financial Statements of the Bank</w:t>
    </w:r>
  </w:p>
  <w:p w14:paraId="5F710F79" w14:textId="77777777" w:rsidR="000840B6" w:rsidRPr="006D20DD" w:rsidRDefault="000840B6" w:rsidP="006D20DD">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 xml:space="preserve">Statement of Financial Position </w:t>
    </w:r>
  </w:p>
  <w:p w14:paraId="0F6B8A99" w14:textId="77777777" w:rsidR="000840B6" w:rsidRPr="00DD1ECC" w:rsidRDefault="000840B6" w:rsidP="006D20DD">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as of</w:t>
    </w:r>
  </w:p>
  <w:p w14:paraId="2BB0C9CE" w14:textId="77777777" w:rsidR="000840B6" w:rsidRPr="00467A1A" w:rsidRDefault="000840B6"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00D0" w14:textId="77777777" w:rsidR="000840B6" w:rsidRDefault="000840B6" w:rsidP="006D20DD">
    <w:pPr>
      <w:tabs>
        <w:tab w:val="center" w:pos="4536"/>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Separate Interim Financial Statements of the Bank</w:t>
    </w:r>
  </w:p>
  <w:p w14:paraId="6B35F524" w14:textId="77777777" w:rsidR="000840B6" w:rsidRPr="00CB571C" w:rsidRDefault="000840B6" w:rsidP="00D71142">
    <w:pPr>
      <w:tabs>
        <w:tab w:val="center" w:pos="4513"/>
      </w:tabs>
      <w:spacing w:after="0" w:line="240" w:lineRule="auto"/>
      <w:rPr>
        <w:rFonts w:ascii="Calibri" w:eastAsia="Times New Roman" w:hAnsi="Calibri" w:cs="Arial"/>
        <w:sz w:val="28"/>
        <w:szCs w:val="28"/>
        <w:lang w:val="en-GB"/>
      </w:rPr>
    </w:pPr>
    <w:r w:rsidRPr="00CB571C">
      <w:rPr>
        <w:rFonts w:ascii="Calibri" w:eastAsia="Times New Roman" w:hAnsi="Calibri" w:cs="Arial"/>
        <w:sz w:val="28"/>
        <w:szCs w:val="28"/>
        <w:lang w:val="en-GB"/>
      </w:rPr>
      <w:t xml:space="preserve">Statement of Cash Flows </w:t>
    </w:r>
  </w:p>
  <w:p w14:paraId="100A4E28" w14:textId="075D14BC" w:rsidR="000840B6" w:rsidRDefault="000840B6" w:rsidP="00D71142">
    <w:pPr>
      <w:tabs>
        <w:tab w:val="center" w:pos="4513"/>
      </w:tabs>
      <w:spacing w:after="0" w:line="240" w:lineRule="auto"/>
      <w:rPr>
        <w:rFonts w:ascii="Calibri" w:eastAsia="Times New Roman" w:hAnsi="Calibri" w:cs="Arial"/>
        <w:sz w:val="28"/>
        <w:szCs w:val="28"/>
        <w:lang w:val="en-GB"/>
      </w:rPr>
    </w:pPr>
    <w:r w:rsidRPr="00CB571C">
      <w:rPr>
        <w:rFonts w:ascii="Calibri" w:eastAsia="Times New Roman" w:hAnsi="Calibri" w:cs="Arial"/>
        <w:sz w:val="28"/>
        <w:szCs w:val="28"/>
        <w:lang w:val="en-GB"/>
      </w:rPr>
      <w:t>for the period 1 January - 3</w:t>
    </w:r>
    <w:r>
      <w:rPr>
        <w:rFonts w:ascii="Calibri" w:eastAsia="Times New Roman" w:hAnsi="Calibri" w:cs="Arial"/>
        <w:sz w:val="28"/>
        <w:szCs w:val="28"/>
        <w:lang w:val="en-GB"/>
      </w:rPr>
      <w:t>1</w:t>
    </w:r>
    <w:r w:rsidRPr="00CB571C">
      <w:rPr>
        <w:rFonts w:ascii="Calibri" w:eastAsia="Times New Roman" w:hAnsi="Calibri" w:cs="Arial"/>
        <w:sz w:val="28"/>
        <w:szCs w:val="28"/>
        <w:lang w:val="en-GB"/>
      </w:rPr>
      <w:t xml:space="preserve"> </w:t>
    </w:r>
    <w:r>
      <w:rPr>
        <w:rFonts w:ascii="Calibri" w:eastAsia="Times New Roman" w:hAnsi="Calibri" w:cs="Arial"/>
        <w:sz w:val="28"/>
        <w:szCs w:val="28"/>
        <w:lang w:val="en-GB"/>
      </w:rPr>
      <w:t>March</w:t>
    </w:r>
    <w:r w:rsidRPr="00CB571C">
      <w:rPr>
        <w:rFonts w:ascii="Calibri" w:eastAsia="Times New Roman" w:hAnsi="Calibri" w:cs="Arial"/>
        <w:sz w:val="28"/>
        <w:szCs w:val="28"/>
        <w:lang w:val="en-GB"/>
      </w:rPr>
      <w:t xml:space="preserve"> </w:t>
    </w:r>
  </w:p>
  <w:p w14:paraId="7665138B" w14:textId="77777777" w:rsidR="000840B6" w:rsidRPr="00467A1A" w:rsidRDefault="000840B6"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039B" w14:textId="77777777" w:rsidR="000840B6" w:rsidRDefault="000840B6" w:rsidP="006D20DD">
    <w:pPr>
      <w:tabs>
        <w:tab w:val="center" w:pos="4536"/>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Separate Interim Financial Statements of the Bank</w:t>
    </w:r>
  </w:p>
  <w:p w14:paraId="41F632DE" w14:textId="77777777" w:rsidR="000840B6" w:rsidRDefault="000840B6" w:rsidP="00D71142">
    <w:pPr>
      <w:tabs>
        <w:tab w:val="center" w:pos="4513"/>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 xml:space="preserve">Statement of Changes in Equity </w:t>
    </w:r>
  </w:p>
  <w:p w14:paraId="1D0A3529" w14:textId="1FEED4C5" w:rsidR="000840B6" w:rsidRDefault="000840B6" w:rsidP="00D71142">
    <w:pPr>
      <w:tabs>
        <w:tab w:val="center" w:pos="4513"/>
      </w:tabs>
      <w:spacing w:after="0" w:line="240" w:lineRule="auto"/>
      <w:rPr>
        <w:rFonts w:ascii="Calibri" w:eastAsia="Times New Roman" w:hAnsi="Calibri" w:cs="Arial"/>
        <w:sz w:val="28"/>
        <w:szCs w:val="28"/>
        <w:lang w:val="en-GB"/>
      </w:rPr>
    </w:pPr>
    <w:r w:rsidRPr="00CB571C">
      <w:rPr>
        <w:rFonts w:ascii="Calibri" w:eastAsia="Times New Roman" w:hAnsi="Calibri" w:cs="Arial"/>
        <w:sz w:val="28"/>
        <w:szCs w:val="28"/>
        <w:lang w:val="en-GB"/>
      </w:rPr>
      <w:t xml:space="preserve">for the period 1 January </w:t>
    </w:r>
    <w:r>
      <w:rPr>
        <w:rFonts w:ascii="Calibri" w:eastAsia="Times New Roman" w:hAnsi="Calibri" w:cs="Arial"/>
        <w:sz w:val="28"/>
        <w:szCs w:val="28"/>
        <w:lang w:val="en-GB"/>
      </w:rPr>
      <w:t>–</w:t>
    </w:r>
    <w:r w:rsidRPr="00CB571C">
      <w:rPr>
        <w:rFonts w:ascii="Calibri" w:eastAsia="Times New Roman" w:hAnsi="Calibri" w:cs="Arial"/>
        <w:sz w:val="28"/>
        <w:szCs w:val="28"/>
        <w:lang w:val="en-GB"/>
      </w:rPr>
      <w:t xml:space="preserve"> 3</w:t>
    </w:r>
    <w:r>
      <w:rPr>
        <w:rFonts w:ascii="Calibri" w:eastAsia="Times New Roman" w:hAnsi="Calibri" w:cs="Arial"/>
        <w:sz w:val="28"/>
        <w:szCs w:val="28"/>
        <w:lang w:val="en-GB"/>
      </w:rPr>
      <w:t>1 March</w:t>
    </w:r>
  </w:p>
  <w:p w14:paraId="2BA61673" w14:textId="77777777" w:rsidR="000840B6" w:rsidRPr="00467A1A" w:rsidRDefault="000840B6"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79BB" w14:textId="77777777" w:rsidR="000840B6" w:rsidRDefault="000840B6" w:rsidP="00D71142">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Notes to the Financial Statements which include significant accounting policies and other explanations</w:t>
    </w:r>
  </w:p>
  <w:p w14:paraId="50EABA8C" w14:textId="408E68F8" w:rsidR="000840B6" w:rsidRPr="00D71142" w:rsidRDefault="000840B6" w:rsidP="00D71142">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for the period 1 January - 3</w:t>
    </w:r>
    <w:r>
      <w:rPr>
        <w:rFonts w:ascii="Calibri" w:eastAsia="Times New Roman" w:hAnsi="Calibri" w:cs="Arial"/>
        <w:sz w:val="28"/>
        <w:szCs w:val="28"/>
        <w:lang w:val="en-GB"/>
      </w:rPr>
      <w:t>1</w:t>
    </w:r>
    <w:r w:rsidRPr="00D71142">
      <w:rPr>
        <w:rFonts w:ascii="Calibri" w:eastAsia="Times New Roman" w:hAnsi="Calibri" w:cs="Arial"/>
        <w:sz w:val="28"/>
        <w:szCs w:val="28"/>
        <w:lang w:val="en-GB"/>
      </w:rPr>
      <w:t xml:space="preserve"> </w:t>
    </w:r>
    <w:r>
      <w:rPr>
        <w:rFonts w:ascii="Calibri" w:eastAsia="Times New Roman" w:hAnsi="Calibri" w:cs="Arial"/>
        <w:sz w:val="28"/>
        <w:szCs w:val="28"/>
        <w:lang w:val="en-GB"/>
      </w:rPr>
      <w:t>March</w:t>
    </w:r>
    <w:r w:rsidRPr="00D71142">
      <w:rPr>
        <w:rFonts w:ascii="Calibri" w:eastAsia="Times New Roman" w:hAnsi="Calibri" w:cs="Arial"/>
        <w:sz w:val="28"/>
        <w:szCs w:val="28"/>
        <w:lang w:val="en-GB"/>
      </w:rPr>
      <w:t xml:space="preserve"> 20</w:t>
    </w:r>
    <w:r>
      <w:rPr>
        <w:rFonts w:ascii="Calibri" w:eastAsia="Times New Roman" w:hAnsi="Calibri" w:cs="Arial"/>
        <w:sz w:val="28"/>
        <w:szCs w:val="28"/>
        <w:lang w:val="en-GB"/>
      </w:rPr>
      <w:t>2</w:t>
    </w:r>
    <w:r w:rsidR="003C4C18">
      <w:rPr>
        <w:rFonts w:ascii="Calibri" w:eastAsia="Times New Roman" w:hAnsi="Calibri" w:cs="Arial"/>
        <w:sz w:val="28"/>
        <w:szCs w:val="28"/>
        <w:lang w:val="en-GB"/>
      </w:rPr>
      <w:t>2</w:t>
    </w:r>
  </w:p>
  <w:p w14:paraId="58036EDD" w14:textId="77777777" w:rsidR="000840B6" w:rsidRPr="00467A1A" w:rsidRDefault="000840B6"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6C81" w14:textId="77777777" w:rsidR="000840B6" w:rsidRDefault="000840B6" w:rsidP="00D71142">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Notes to the Financial Statements which include significant accounting policies and other explanations</w:t>
    </w:r>
  </w:p>
  <w:p w14:paraId="27813B33" w14:textId="52292FB9" w:rsidR="000840B6" w:rsidRPr="00D71142" w:rsidRDefault="000840B6" w:rsidP="00D71142">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for the period 1 January - 3</w:t>
    </w:r>
    <w:r>
      <w:rPr>
        <w:rFonts w:ascii="Calibri" w:eastAsia="Times New Roman" w:hAnsi="Calibri" w:cs="Arial"/>
        <w:sz w:val="28"/>
        <w:szCs w:val="28"/>
        <w:lang w:val="en-GB"/>
      </w:rPr>
      <w:t>1</w:t>
    </w:r>
    <w:r w:rsidRPr="00D71142">
      <w:rPr>
        <w:rFonts w:ascii="Calibri" w:eastAsia="Times New Roman" w:hAnsi="Calibri" w:cs="Arial"/>
        <w:sz w:val="28"/>
        <w:szCs w:val="28"/>
        <w:lang w:val="en-GB"/>
      </w:rPr>
      <w:t xml:space="preserve"> </w:t>
    </w:r>
    <w:r>
      <w:rPr>
        <w:rFonts w:ascii="Calibri" w:eastAsia="Times New Roman" w:hAnsi="Calibri" w:cs="Arial"/>
        <w:sz w:val="28"/>
        <w:szCs w:val="28"/>
        <w:lang w:val="en-GB"/>
      </w:rPr>
      <w:t>March 202</w:t>
    </w:r>
    <w:r w:rsidR="003C4C18">
      <w:rPr>
        <w:rFonts w:ascii="Calibri" w:eastAsia="Times New Roman" w:hAnsi="Calibri" w:cs="Arial"/>
        <w:sz w:val="28"/>
        <w:szCs w:val="28"/>
        <w:lang w:val="en-GB"/>
      </w:rPr>
      <w:t>2</w:t>
    </w:r>
    <w:r>
      <w:rPr>
        <w:rFonts w:ascii="Calibri" w:eastAsia="Times New Roman" w:hAnsi="Calibri" w:cs="Arial"/>
        <w:sz w:val="28"/>
        <w:szCs w:val="28"/>
        <w:lang w:val="en-GB"/>
      </w:rPr>
      <w:t xml:space="preserve"> (continued)</w:t>
    </w:r>
  </w:p>
  <w:p w14:paraId="23C8DF0F" w14:textId="77777777" w:rsidR="000840B6" w:rsidRPr="00467A1A" w:rsidRDefault="000840B6"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EEA07" w14:textId="77777777" w:rsidR="00EC4F20" w:rsidRDefault="00EC4F20" w:rsidP="00864F78">
    <w:pPr>
      <w:spacing w:line="300" w:lineRule="exact"/>
      <w:jc w:val="both"/>
      <w:rPr>
        <w:sz w:val="28"/>
        <w:szCs w:val="28"/>
      </w:rPr>
    </w:pPr>
    <w:r w:rsidRPr="00D13EB3">
      <w:rPr>
        <w:sz w:val="28"/>
        <w:szCs w:val="28"/>
      </w:rPr>
      <w:t xml:space="preserve">Notes to the Financial Statements which include significant accounting policies and other explanations </w:t>
    </w:r>
  </w:p>
  <w:p w14:paraId="3A74EEAD" w14:textId="77777777" w:rsidR="00EC4F20" w:rsidRPr="001E7DB0" w:rsidRDefault="00EC4F20" w:rsidP="000239F2">
    <w:pPr>
      <w:spacing w:line="301" w:lineRule="atLeast"/>
      <w:jc w:val="both"/>
      <w:rPr>
        <w:sz w:val="28"/>
        <w:szCs w:val="28"/>
      </w:rPr>
    </w:pPr>
    <w:r w:rsidRPr="003659F2">
      <w:rPr>
        <w:rFonts w:cs="Arial"/>
        <w:sz w:val="28"/>
        <w:szCs w:val="28"/>
      </w:rPr>
      <w:t>for the year ended 31 December 20</w:t>
    </w:r>
    <w:r>
      <w:rPr>
        <w:rFonts w:cs="Arial"/>
        <w:sz w:val="28"/>
        <w:szCs w:val="28"/>
      </w:rPr>
      <w:t xml:space="preserve">21 </w:t>
    </w:r>
    <w:r w:rsidRPr="001E7DB0">
      <w:rPr>
        <w:sz w:val="28"/>
        <w:szCs w:val="28"/>
      </w:rPr>
      <w:t xml:space="preserve">(continued) </w:t>
    </w:r>
  </w:p>
  <w:p w14:paraId="32F53E69" w14:textId="77777777" w:rsidR="00EC4F20" w:rsidRDefault="00EC4F20" w:rsidP="000239F2">
    <w:pPr>
      <w:pStyle w:val="PH"/>
      <w:pBdr>
        <w:bottom w:val="single" w:sz="4" w:space="1" w:color="auto"/>
      </w:pBdr>
    </w:pPr>
    <w:r w:rsidRPr="003659F2" w:rsidDel="003659F2">
      <w:rPr>
        <w:rFonts w:asciiTheme="minorHAnsi" w:hAnsiTheme="minorHAnsi" w:cs="Arial"/>
        <w:sz w:val="28"/>
        <w:szCs w:val="28"/>
        <w:lang w:val="en-US"/>
      </w:rPr>
      <w:t xml:space="preserve"> </w:t>
    </w:r>
    <w:r w:rsidRPr="001E7DB0">
      <w:rPr>
        <w:rFonts w:asciiTheme="minorHAnsi" w:hAnsiTheme="minorHAnsi" w:cs="Arial"/>
        <w:sz w:val="22"/>
        <w:szCs w:val="22"/>
      </w:rPr>
      <w:t>(All amounts are expressed in HRK thousand)</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93938" w14:textId="77777777" w:rsidR="004E22EA" w:rsidRDefault="004E22EA" w:rsidP="00D71142">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Notes to the Financial Statements which include significant accounting policies and other explanations</w:t>
    </w:r>
  </w:p>
  <w:p w14:paraId="6E24EBB0" w14:textId="77777777" w:rsidR="004E22EA" w:rsidRPr="00D71142" w:rsidRDefault="004E22EA" w:rsidP="00D71142">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for the period 1 January - 3</w:t>
    </w:r>
    <w:r>
      <w:rPr>
        <w:rFonts w:ascii="Calibri" w:eastAsia="Times New Roman" w:hAnsi="Calibri" w:cs="Arial"/>
        <w:sz w:val="28"/>
        <w:szCs w:val="28"/>
        <w:lang w:val="en-GB"/>
      </w:rPr>
      <w:t>1</w:t>
    </w:r>
    <w:r w:rsidRPr="00D71142">
      <w:rPr>
        <w:rFonts w:ascii="Calibri" w:eastAsia="Times New Roman" w:hAnsi="Calibri" w:cs="Arial"/>
        <w:sz w:val="28"/>
        <w:szCs w:val="28"/>
        <w:lang w:val="en-GB"/>
      </w:rPr>
      <w:t xml:space="preserve"> </w:t>
    </w:r>
    <w:r>
      <w:rPr>
        <w:rFonts w:ascii="Calibri" w:eastAsia="Times New Roman" w:hAnsi="Calibri" w:cs="Arial"/>
        <w:sz w:val="28"/>
        <w:szCs w:val="28"/>
        <w:lang w:val="en-GB"/>
      </w:rPr>
      <w:t>March 2022 (continued)</w:t>
    </w:r>
  </w:p>
  <w:p w14:paraId="1972B0AE" w14:textId="77777777" w:rsidR="004E22EA" w:rsidRPr="00467A1A" w:rsidRDefault="004E22EA"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6E31" w14:textId="77777777" w:rsidR="00BC4061" w:rsidRDefault="00BC406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1E83" w14:textId="77777777" w:rsidR="0084057D" w:rsidRPr="00EA22B8" w:rsidRDefault="0084057D" w:rsidP="004E22EA">
    <w:pPr>
      <w:spacing w:after="0" w:line="300" w:lineRule="exact"/>
      <w:jc w:val="both"/>
      <w:rPr>
        <w:sz w:val="28"/>
        <w:szCs w:val="28"/>
      </w:rPr>
    </w:pPr>
    <w:r w:rsidRPr="00EA22B8">
      <w:rPr>
        <w:sz w:val="28"/>
        <w:szCs w:val="28"/>
      </w:rPr>
      <w:t xml:space="preserve">Notes to the Financial Statements which include significant accounting policies and other explanations </w:t>
    </w:r>
  </w:p>
  <w:p w14:paraId="34D61EFC" w14:textId="77777777" w:rsidR="004E22EA" w:rsidRPr="00D71142" w:rsidRDefault="004E22EA" w:rsidP="004E22EA">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for the period 1 January - 3</w:t>
    </w:r>
    <w:r>
      <w:rPr>
        <w:rFonts w:ascii="Calibri" w:eastAsia="Times New Roman" w:hAnsi="Calibri" w:cs="Arial"/>
        <w:sz w:val="28"/>
        <w:szCs w:val="28"/>
        <w:lang w:val="en-GB"/>
      </w:rPr>
      <w:t>1</w:t>
    </w:r>
    <w:r w:rsidRPr="00D71142">
      <w:rPr>
        <w:rFonts w:ascii="Calibri" w:eastAsia="Times New Roman" w:hAnsi="Calibri" w:cs="Arial"/>
        <w:sz w:val="28"/>
        <w:szCs w:val="28"/>
        <w:lang w:val="en-GB"/>
      </w:rPr>
      <w:t xml:space="preserve"> </w:t>
    </w:r>
    <w:r>
      <w:rPr>
        <w:rFonts w:ascii="Calibri" w:eastAsia="Times New Roman" w:hAnsi="Calibri" w:cs="Arial"/>
        <w:sz w:val="28"/>
        <w:szCs w:val="28"/>
        <w:lang w:val="en-GB"/>
      </w:rPr>
      <w:t>March 2022 (continued)</w:t>
    </w:r>
  </w:p>
  <w:p w14:paraId="22DC4611" w14:textId="77777777" w:rsidR="0084057D" w:rsidRPr="00EA22B8" w:rsidRDefault="0084057D" w:rsidP="00E920D3">
    <w:pPr>
      <w:pBdr>
        <w:bottom w:val="single" w:sz="4" w:space="1" w:color="auto"/>
      </w:pBdr>
      <w:spacing w:line="310" w:lineRule="atLeast"/>
      <w:rPr>
        <w:rFonts w:cstheme="minorHAnsi"/>
      </w:rPr>
    </w:pPr>
    <w:r w:rsidRPr="00EA22B8">
      <w:rPr>
        <w:rFonts w:cstheme="minorHAnsi"/>
      </w:rPr>
      <w:t xml:space="preserve"> (All amounts are expressed in HRK thousand)</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1779" w14:textId="77777777" w:rsidR="007A4597" w:rsidRPr="00EA22B8" w:rsidRDefault="007A4597" w:rsidP="007A4597">
    <w:pPr>
      <w:spacing w:after="0" w:line="300" w:lineRule="exact"/>
      <w:jc w:val="both"/>
      <w:rPr>
        <w:sz w:val="28"/>
        <w:szCs w:val="28"/>
      </w:rPr>
    </w:pPr>
    <w:r w:rsidRPr="00EA22B8">
      <w:rPr>
        <w:sz w:val="28"/>
        <w:szCs w:val="28"/>
      </w:rPr>
      <w:t xml:space="preserve">Notes to the Financial Statements which include significant accounting policies and other explanations </w:t>
    </w:r>
  </w:p>
  <w:p w14:paraId="2BED3D19" w14:textId="77777777" w:rsidR="007A4597" w:rsidRPr="00D71142" w:rsidRDefault="007A4597" w:rsidP="007A4597">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for the period 1 January - 3</w:t>
    </w:r>
    <w:r>
      <w:rPr>
        <w:rFonts w:ascii="Calibri" w:eastAsia="Times New Roman" w:hAnsi="Calibri" w:cs="Arial"/>
        <w:sz w:val="28"/>
        <w:szCs w:val="28"/>
        <w:lang w:val="en-GB"/>
      </w:rPr>
      <w:t>1</w:t>
    </w:r>
    <w:r w:rsidRPr="00D71142">
      <w:rPr>
        <w:rFonts w:ascii="Calibri" w:eastAsia="Times New Roman" w:hAnsi="Calibri" w:cs="Arial"/>
        <w:sz w:val="28"/>
        <w:szCs w:val="28"/>
        <w:lang w:val="en-GB"/>
      </w:rPr>
      <w:t xml:space="preserve"> </w:t>
    </w:r>
    <w:r>
      <w:rPr>
        <w:rFonts w:ascii="Calibri" w:eastAsia="Times New Roman" w:hAnsi="Calibri" w:cs="Arial"/>
        <w:sz w:val="28"/>
        <w:szCs w:val="28"/>
        <w:lang w:val="en-GB"/>
      </w:rPr>
      <w:t>March 2022 (continued)</w:t>
    </w:r>
  </w:p>
  <w:p w14:paraId="19463FFD" w14:textId="77777777" w:rsidR="000840B6" w:rsidRPr="00467A1A" w:rsidRDefault="000840B6"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9A896" w14:textId="77777777" w:rsidR="007A4597" w:rsidRDefault="007A4597" w:rsidP="00D71142">
    <w:pPr>
      <w:tabs>
        <w:tab w:val="center" w:pos="4536"/>
      </w:tabs>
      <w:spacing w:after="0" w:line="240" w:lineRule="auto"/>
      <w:rPr>
        <w:rFonts w:ascii="Calibri" w:eastAsia="Times New Roman" w:hAnsi="Calibri" w:cs="Arial"/>
        <w:sz w:val="28"/>
        <w:szCs w:val="28"/>
        <w:lang w:val="en-GB"/>
      </w:rPr>
    </w:pPr>
    <w:r w:rsidRPr="00827A2B">
      <w:rPr>
        <w:rFonts w:ascii="Calibri" w:eastAsia="Times New Roman" w:hAnsi="Calibri" w:cs="Arial"/>
        <w:sz w:val="28"/>
        <w:szCs w:val="28"/>
        <w:lang w:val="en-GB"/>
      </w:rPr>
      <w:t xml:space="preserve">Appendix - Financial Performance of the HKO Group </w:t>
    </w:r>
  </w:p>
  <w:p w14:paraId="7EC566F8" w14:textId="77777777" w:rsidR="007A4597" w:rsidRDefault="007A4597"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Statement of Profit or Loss and Other Comprehensive Income</w:t>
    </w:r>
  </w:p>
  <w:p w14:paraId="760C282F" w14:textId="77777777" w:rsidR="007A4597" w:rsidRDefault="007A4597"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 xml:space="preserve">for the period 1 January </w:t>
    </w:r>
    <w:r>
      <w:rPr>
        <w:rFonts w:ascii="Calibri" w:eastAsia="Times New Roman" w:hAnsi="Calibri" w:cs="Arial"/>
        <w:sz w:val="28"/>
        <w:szCs w:val="28"/>
        <w:lang w:val="en-GB"/>
      </w:rPr>
      <w:t>–</w:t>
    </w:r>
    <w:r w:rsidRPr="007643F8">
      <w:rPr>
        <w:rFonts w:ascii="Calibri" w:eastAsia="Times New Roman" w:hAnsi="Calibri" w:cs="Arial"/>
        <w:sz w:val="28"/>
        <w:szCs w:val="28"/>
        <w:lang w:val="en-GB"/>
      </w:rPr>
      <w:t xml:space="preserve"> </w:t>
    </w:r>
    <w:r>
      <w:rPr>
        <w:rFonts w:ascii="Calibri" w:eastAsia="Times New Roman" w:hAnsi="Calibri" w:cs="Arial"/>
        <w:sz w:val="28"/>
        <w:szCs w:val="28"/>
        <w:lang w:val="en-GB"/>
      </w:rPr>
      <w:t>31 March</w:t>
    </w:r>
    <w:r w:rsidRPr="007643F8">
      <w:rPr>
        <w:rFonts w:ascii="Calibri" w:eastAsia="Times New Roman" w:hAnsi="Calibri" w:cs="Arial"/>
        <w:sz w:val="28"/>
        <w:szCs w:val="28"/>
        <w:lang w:val="en-GB"/>
      </w:rPr>
      <w:t xml:space="preserve"> </w:t>
    </w:r>
  </w:p>
  <w:p w14:paraId="4B6E8916" w14:textId="77777777" w:rsidR="007A4597" w:rsidRPr="00467A1A" w:rsidRDefault="007A4597"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48DC" w14:textId="77777777" w:rsidR="000840B6" w:rsidRDefault="000840B6" w:rsidP="00D71142">
    <w:pPr>
      <w:tabs>
        <w:tab w:val="center" w:pos="4536"/>
      </w:tabs>
      <w:spacing w:after="0" w:line="240" w:lineRule="auto"/>
      <w:rPr>
        <w:rFonts w:ascii="Calibri" w:eastAsia="Times New Roman" w:hAnsi="Calibri" w:cs="Arial"/>
        <w:sz w:val="28"/>
        <w:szCs w:val="28"/>
        <w:lang w:val="en-GB"/>
      </w:rPr>
    </w:pPr>
    <w:r w:rsidRPr="00827A2B">
      <w:rPr>
        <w:rFonts w:ascii="Calibri" w:eastAsia="Times New Roman" w:hAnsi="Calibri" w:cs="Arial"/>
        <w:sz w:val="28"/>
        <w:szCs w:val="28"/>
        <w:lang w:val="en-GB"/>
      </w:rPr>
      <w:t xml:space="preserve">Appendix - Financial Performance of the HKO Group </w:t>
    </w:r>
  </w:p>
  <w:p w14:paraId="3CAEE395" w14:textId="77777777" w:rsidR="000840B6" w:rsidRDefault="000840B6"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 xml:space="preserve">Statement of Financial Position as of </w:t>
    </w:r>
  </w:p>
  <w:p w14:paraId="1C5DA5CB" w14:textId="77777777" w:rsidR="000840B6" w:rsidRDefault="000840B6"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as of</w:t>
    </w:r>
    <w:r>
      <w:rPr>
        <w:rFonts w:ascii="Calibri" w:eastAsia="Times New Roman" w:hAnsi="Calibri" w:cs="Arial"/>
        <w:sz w:val="28"/>
        <w:szCs w:val="28"/>
        <w:lang w:val="en-GB"/>
      </w:rPr>
      <w:t xml:space="preserve"> </w:t>
    </w:r>
  </w:p>
  <w:p w14:paraId="4FAE2E58" w14:textId="77777777" w:rsidR="000840B6" w:rsidRPr="00467A1A" w:rsidRDefault="000840B6"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A6AD" w14:textId="77777777" w:rsidR="000840B6" w:rsidRDefault="000840B6" w:rsidP="00D71142">
    <w:pPr>
      <w:tabs>
        <w:tab w:val="center" w:pos="4536"/>
      </w:tabs>
      <w:spacing w:after="0" w:line="240" w:lineRule="auto"/>
      <w:rPr>
        <w:rFonts w:ascii="Calibri" w:eastAsia="Times New Roman" w:hAnsi="Calibri" w:cs="Arial"/>
        <w:sz w:val="28"/>
        <w:szCs w:val="28"/>
        <w:lang w:val="en-GB"/>
      </w:rPr>
    </w:pPr>
    <w:r w:rsidRPr="00827A2B">
      <w:rPr>
        <w:rFonts w:ascii="Calibri" w:eastAsia="Times New Roman" w:hAnsi="Calibri" w:cs="Arial"/>
        <w:sz w:val="28"/>
        <w:szCs w:val="28"/>
        <w:lang w:val="en-GB"/>
      </w:rPr>
      <w:t xml:space="preserve">Appendix - Financial Performance of the HKO Group </w:t>
    </w:r>
  </w:p>
  <w:p w14:paraId="1A11063A" w14:textId="77777777" w:rsidR="000840B6" w:rsidRDefault="000840B6"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 xml:space="preserve">Statement of Cash Flows </w:t>
    </w:r>
  </w:p>
  <w:p w14:paraId="1A28AE92" w14:textId="0F630FC3" w:rsidR="000840B6" w:rsidRDefault="000840B6"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 xml:space="preserve">for the period 1 January – </w:t>
    </w:r>
    <w:r>
      <w:rPr>
        <w:rFonts w:ascii="Calibri" w:eastAsia="Times New Roman" w:hAnsi="Calibri" w:cs="Arial"/>
        <w:sz w:val="28"/>
        <w:szCs w:val="28"/>
        <w:lang w:val="en-GB"/>
      </w:rPr>
      <w:t>31 March</w:t>
    </w:r>
  </w:p>
  <w:p w14:paraId="25BDE62A" w14:textId="77777777" w:rsidR="000840B6" w:rsidRPr="00467A1A" w:rsidRDefault="000840B6"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A42C" w14:textId="77777777" w:rsidR="000840B6" w:rsidRDefault="000840B6" w:rsidP="00D71142">
    <w:pPr>
      <w:tabs>
        <w:tab w:val="center" w:pos="4536"/>
      </w:tabs>
      <w:spacing w:after="0" w:line="240" w:lineRule="auto"/>
      <w:rPr>
        <w:rFonts w:ascii="Calibri" w:eastAsia="Times New Roman" w:hAnsi="Calibri" w:cs="Arial"/>
        <w:sz w:val="28"/>
        <w:szCs w:val="28"/>
        <w:lang w:val="en-GB"/>
      </w:rPr>
    </w:pPr>
    <w:r w:rsidRPr="00827A2B">
      <w:rPr>
        <w:rFonts w:ascii="Calibri" w:eastAsia="Times New Roman" w:hAnsi="Calibri" w:cs="Arial"/>
        <w:sz w:val="28"/>
        <w:szCs w:val="28"/>
        <w:lang w:val="en-GB"/>
      </w:rPr>
      <w:t xml:space="preserve">Appendix - Financial Performance of the HKO Group </w:t>
    </w:r>
  </w:p>
  <w:p w14:paraId="34E4EB00" w14:textId="77777777" w:rsidR="000840B6" w:rsidRDefault="000840B6"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 xml:space="preserve">Statement of Changes in Equity </w:t>
    </w:r>
  </w:p>
  <w:p w14:paraId="4D183B16" w14:textId="1A71D562" w:rsidR="000840B6" w:rsidRDefault="000840B6"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for the period 1 January – 3</w:t>
    </w:r>
    <w:r>
      <w:rPr>
        <w:rFonts w:ascii="Calibri" w:eastAsia="Times New Roman" w:hAnsi="Calibri" w:cs="Arial"/>
        <w:sz w:val="28"/>
        <w:szCs w:val="28"/>
        <w:lang w:val="en-GB"/>
      </w:rPr>
      <w:t>1</w:t>
    </w:r>
    <w:r w:rsidRPr="007643F8">
      <w:rPr>
        <w:rFonts w:ascii="Calibri" w:eastAsia="Times New Roman" w:hAnsi="Calibri" w:cs="Arial"/>
        <w:sz w:val="28"/>
        <w:szCs w:val="28"/>
        <w:lang w:val="en-GB"/>
      </w:rPr>
      <w:t xml:space="preserve"> </w:t>
    </w:r>
    <w:r>
      <w:rPr>
        <w:rFonts w:ascii="Calibri" w:eastAsia="Times New Roman" w:hAnsi="Calibri" w:cs="Arial"/>
        <w:sz w:val="28"/>
        <w:szCs w:val="28"/>
        <w:lang w:val="en-GB"/>
      </w:rPr>
      <w:t>March</w:t>
    </w:r>
  </w:p>
  <w:p w14:paraId="359F9DE6" w14:textId="77777777" w:rsidR="000840B6" w:rsidRPr="00467A1A" w:rsidRDefault="000840B6"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007CD" w14:textId="77777777" w:rsidR="003304C0" w:rsidRDefault="003304C0" w:rsidP="003304C0">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Notes to the Financial Statements which include significant accounting policies and other explanations</w:t>
    </w:r>
  </w:p>
  <w:p w14:paraId="070819A5" w14:textId="77777777" w:rsidR="003304C0" w:rsidRPr="00D71142" w:rsidRDefault="003304C0" w:rsidP="003304C0">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for the period 1 January - 3</w:t>
    </w:r>
    <w:r>
      <w:rPr>
        <w:rFonts w:ascii="Calibri" w:eastAsia="Times New Roman" w:hAnsi="Calibri" w:cs="Arial"/>
        <w:sz w:val="28"/>
        <w:szCs w:val="28"/>
        <w:lang w:val="en-GB"/>
      </w:rPr>
      <w:t>1</w:t>
    </w:r>
    <w:r w:rsidRPr="00D71142">
      <w:rPr>
        <w:rFonts w:ascii="Calibri" w:eastAsia="Times New Roman" w:hAnsi="Calibri" w:cs="Arial"/>
        <w:sz w:val="28"/>
        <w:szCs w:val="28"/>
        <w:lang w:val="en-GB"/>
      </w:rPr>
      <w:t xml:space="preserve"> </w:t>
    </w:r>
    <w:r>
      <w:rPr>
        <w:rFonts w:ascii="Calibri" w:eastAsia="Times New Roman" w:hAnsi="Calibri" w:cs="Arial"/>
        <w:sz w:val="28"/>
        <w:szCs w:val="28"/>
        <w:lang w:val="en-GB"/>
      </w:rPr>
      <w:t>March 2022 (continued)</w:t>
    </w:r>
  </w:p>
  <w:p w14:paraId="5CCC7E12" w14:textId="77777777" w:rsidR="003304C0" w:rsidRPr="00467A1A" w:rsidRDefault="003304C0" w:rsidP="003304C0">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C0DD" w14:textId="77777777" w:rsidR="000840B6" w:rsidRPr="001C192E" w:rsidRDefault="000840B6" w:rsidP="001C192E">
    <w:pPr>
      <w:pBdr>
        <w:bottom w:val="single" w:sz="4" w:space="1" w:color="auto"/>
      </w:pBdr>
      <w:tabs>
        <w:tab w:val="center" w:pos="4153"/>
        <w:tab w:val="right" w:pos="8306"/>
      </w:tabs>
      <w:spacing w:after="0" w:line="240" w:lineRule="auto"/>
      <w:rPr>
        <w:rFonts w:ascii="Calibri" w:eastAsia="Times New Roman" w:hAnsi="Calibri" w:cs="Times New Roman"/>
        <w:sz w:val="28"/>
        <w:szCs w:val="28"/>
        <w:lang w:val="en-US"/>
      </w:rPr>
    </w:pPr>
    <w:r w:rsidRPr="001C192E">
      <w:rPr>
        <w:rFonts w:ascii="Calibri" w:eastAsia="Times New Roman" w:hAnsi="Calibri" w:cs="Times New Roman"/>
        <w:sz w:val="28"/>
        <w:szCs w:val="28"/>
        <w:lang w:val="en-US"/>
      </w:rPr>
      <w:t>Contents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6B9C" w14:textId="77777777" w:rsidR="000840B6" w:rsidRPr="00FB08DE" w:rsidRDefault="000840B6" w:rsidP="001C192E">
    <w:pPr>
      <w:pBdr>
        <w:bottom w:val="single" w:sz="4" w:space="1" w:color="auto"/>
      </w:pBdr>
      <w:spacing w:after="0" w:line="301" w:lineRule="atLeast"/>
      <w:ind w:right="4"/>
      <w:rPr>
        <w:rFonts w:ascii="Calibri" w:eastAsia="Times New Roman" w:hAnsi="Calibri" w:cs="Times New Roman"/>
        <w:sz w:val="28"/>
        <w:szCs w:val="28"/>
        <w:lang w:val="en-GB"/>
      </w:rPr>
    </w:pPr>
    <w:r w:rsidRPr="00FB08DE">
      <w:rPr>
        <w:rFonts w:ascii="Calibri" w:eastAsia="Times New Roman" w:hAnsi="Calibri" w:cs="Times New Roman"/>
        <w:sz w:val="28"/>
        <w:szCs w:val="28"/>
        <w:lang w:val="en-GB"/>
      </w:rPr>
      <w:t xml:space="preserve">Responsibilities of the Management and Supervisory Boards for the preparation and approval of the condensed separate and consolidated interim financial statements </w:t>
    </w:r>
  </w:p>
  <w:p w14:paraId="39B91C49" w14:textId="6CDF5225" w:rsidR="000840B6" w:rsidRPr="00FB08DE" w:rsidRDefault="000840B6" w:rsidP="001C192E">
    <w:pPr>
      <w:pBdr>
        <w:bottom w:val="single" w:sz="4" w:space="1" w:color="auto"/>
      </w:pBdr>
      <w:spacing w:after="0" w:line="301" w:lineRule="atLeast"/>
      <w:ind w:right="4"/>
      <w:rPr>
        <w:rFonts w:ascii="Calibri" w:eastAsia="Times New Roman" w:hAnsi="Calibri" w:cs="Times New Roman"/>
        <w:sz w:val="28"/>
        <w:szCs w:val="28"/>
        <w:lang w:val="en-GB"/>
      </w:rPr>
    </w:pPr>
    <w:r w:rsidRPr="00FB08DE">
      <w:rPr>
        <w:rFonts w:ascii="Calibri" w:eastAsia="Times New Roman" w:hAnsi="Calibri" w:cs="Times New Roman"/>
        <w:sz w:val="28"/>
        <w:szCs w:val="28"/>
        <w:lang w:val="en-GB"/>
      </w:rPr>
      <w:t>for the period 1 January – 3</w:t>
    </w:r>
    <w:r>
      <w:rPr>
        <w:rFonts w:ascii="Calibri" w:eastAsia="Times New Roman" w:hAnsi="Calibri" w:cs="Times New Roman"/>
        <w:sz w:val="28"/>
        <w:szCs w:val="28"/>
        <w:lang w:val="en-GB"/>
      </w:rPr>
      <w:t>1</w:t>
    </w:r>
    <w:r w:rsidRPr="00FB08DE">
      <w:rPr>
        <w:rFonts w:ascii="Calibri" w:eastAsia="Times New Roman" w:hAnsi="Calibri" w:cs="Times New Roman"/>
        <w:sz w:val="28"/>
        <w:szCs w:val="28"/>
        <w:lang w:val="en-GB"/>
      </w:rPr>
      <w:t xml:space="preserve"> </w:t>
    </w:r>
    <w:r>
      <w:rPr>
        <w:rFonts w:ascii="Calibri" w:eastAsia="Times New Roman" w:hAnsi="Calibri" w:cs="Times New Roman"/>
        <w:sz w:val="28"/>
        <w:szCs w:val="28"/>
        <w:lang w:val="en-GB"/>
      </w:rPr>
      <w:t>March</w:t>
    </w:r>
    <w:r w:rsidRPr="00FB08DE">
      <w:rPr>
        <w:rFonts w:ascii="Calibri" w:eastAsia="Times New Roman" w:hAnsi="Calibri" w:cs="Times New Roman"/>
        <w:sz w:val="28"/>
        <w:szCs w:val="28"/>
        <w:lang w:val="en-GB"/>
      </w:rPr>
      <w:t xml:space="preserve"> 202</w:t>
    </w:r>
    <w:r w:rsidR="00E139F6">
      <w:rPr>
        <w:rFonts w:ascii="Calibri" w:eastAsia="Times New Roman" w:hAnsi="Calibri" w:cs="Times New Roman"/>
        <w:sz w:val="28"/>
        <w:szCs w:val="28"/>
        <w:lang w:val="en-GB"/>
      </w:rPr>
      <w:t>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999AF" w14:textId="77777777" w:rsidR="000840B6" w:rsidRPr="00467A1A" w:rsidRDefault="000840B6" w:rsidP="00467A1A">
    <w:pPr>
      <w:tabs>
        <w:tab w:val="center" w:pos="4536"/>
        <w:tab w:val="right" w:pos="9072"/>
      </w:tabs>
      <w:spacing w:after="0" w:line="240" w:lineRule="auto"/>
      <w:rPr>
        <w:rFonts w:eastAsia="Times New Roman" w:cs="Arial"/>
        <w:sz w:val="28"/>
        <w:szCs w:val="28"/>
        <w:lang w:val="en-GB"/>
      </w:rPr>
    </w:pPr>
    <w:r w:rsidRPr="00467A1A">
      <w:rPr>
        <w:rFonts w:eastAsia="Times New Roman" w:cs="Arial"/>
        <w:sz w:val="28"/>
        <w:szCs w:val="28"/>
        <w:lang w:val="en-GB"/>
      </w:rPr>
      <w:t>Condensed Consolidated Interim Financial Statements of the Group</w:t>
    </w:r>
  </w:p>
  <w:p w14:paraId="37B9AAA9" w14:textId="77777777" w:rsidR="000840B6" w:rsidRPr="00467A1A" w:rsidRDefault="000840B6" w:rsidP="00467A1A">
    <w:pPr>
      <w:pBdr>
        <w:bottom w:val="single" w:sz="4" w:space="1" w:color="auto"/>
      </w:pBdr>
      <w:tabs>
        <w:tab w:val="center" w:pos="4513"/>
      </w:tabs>
      <w:suppressAutoHyphens/>
      <w:spacing w:after="0" w:line="310" w:lineRule="atLeast"/>
      <w:jc w:val="both"/>
      <w:rPr>
        <w:rFonts w:eastAsia="Times New Roman" w:cs="Arial"/>
        <w:spacing w:val="-3"/>
        <w:sz w:val="28"/>
        <w:szCs w:val="28"/>
        <w:lang w:val="en-GB"/>
      </w:rPr>
    </w:pPr>
    <w:r w:rsidRPr="00467A1A">
      <w:rPr>
        <w:rFonts w:eastAsia="Times New Roman" w:cs="Arial"/>
        <w:spacing w:val="-3"/>
        <w:sz w:val="28"/>
        <w:szCs w:val="28"/>
        <w:lang w:val="en-GB"/>
      </w:rPr>
      <w:t xml:space="preserve">Income Statement </w:t>
    </w:r>
  </w:p>
  <w:p w14:paraId="68D4F84C" w14:textId="1BFDA253" w:rsidR="000840B6" w:rsidRPr="00467A1A" w:rsidRDefault="000840B6" w:rsidP="00467A1A">
    <w:pPr>
      <w:pBdr>
        <w:bottom w:val="single" w:sz="4" w:space="1" w:color="auto"/>
      </w:pBdr>
      <w:tabs>
        <w:tab w:val="center" w:pos="4513"/>
      </w:tabs>
      <w:suppressAutoHyphens/>
      <w:spacing w:after="0" w:line="240" w:lineRule="auto"/>
      <w:jc w:val="both"/>
      <w:rPr>
        <w:rFonts w:eastAsia="Times New Roman" w:cs="Arial"/>
        <w:spacing w:val="-3"/>
        <w:sz w:val="28"/>
        <w:szCs w:val="28"/>
        <w:lang w:val="en-GB"/>
      </w:rPr>
    </w:pPr>
    <w:r w:rsidRPr="00467A1A">
      <w:rPr>
        <w:rFonts w:eastAsia="Times New Roman" w:cs="Arial"/>
        <w:spacing w:val="-3"/>
        <w:sz w:val="28"/>
        <w:szCs w:val="28"/>
        <w:lang w:val="en-GB"/>
      </w:rPr>
      <w:t>for the period 1 January – 3</w:t>
    </w:r>
    <w:r>
      <w:rPr>
        <w:rFonts w:eastAsia="Times New Roman" w:cs="Arial"/>
        <w:spacing w:val="-3"/>
        <w:sz w:val="28"/>
        <w:szCs w:val="28"/>
        <w:lang w:val="en-GB"/>
      </w:rPr>
      <w:t>1 March</w:t>
    </w:r>
  </w:p>
  <w:p w14:paraId="4D4672D2" w14:textId="77777777" w:rsidR="000840B6" w:rsidRPr="00467A1A" w:rsidRDefault="000840B6" w:rsidP="00467A1A">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1F3B" w14:textId="77777777" w:rsidR="000840B6" w:rsidRPr="00DD1ECC" w:rsidRDefault="000840B6" w:rsidP="00DD1ECC">
    <w:pPr>
      <w:tabs>
        <w:tab w:val="center" w:pos="4513"/>
        <w:tab w:val="right" w:pos="9072"/>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Condensed</w:t>
    </w:r>
    <w:r>
      <w:rPr>
        <w:rFonts w:ascii="Calibri" w:eastAsia="Times New Roman" w:hAnsi="Calibri" w:cs="Arial"/>
        <w:sz w:val="28"/>
        <w:szCs w:val="28"/>
        <w:lang w:val="en-GB"/>
      </w:rPr>
      <w:t xml:space="preserve"> </w:t>
    </w:r>
    <w:r w:rsidRPr="00DD1ECC">
      <w:rPr>
        <w:rFonts w:ascii="Calibri" w:eastAsia="Times New Roman" w:hAnsi="Calibri" w:cs="Arial"/>
        <w:sz w:val="28"/>
        <w:szCs w:val="28"/>
        <w:lang w:val="en-GB"/>
      </w:rPr>
      <w:t xml:space="preserve">Consolidated </w:t>
    </w:r>
    <w:r w:rsidRPr="00965100">
      <w:rPr>
        <w:rFonts w:ascii="Calibri" w:eastAsia="Times New Roman" w:hAnsi="Calibri" w:cs="Arial"/>
        <w:sz w:val="28"/>
        <w:szCs w:val="28"/>
        <w:lang w:val="en-GB"/>
      </w:rPr>
      <w:t xml:space="preserve">Interim </w:t>
    </w:r>
    <w:r w:rsidRPr="00DD1ECC">
      <w:rPr>
        <w:rFonts w:ascii="Calibri" w:eastAsia="Times New Roman" w:hAnsi="Calibri" w:cs="Arial"/>
        <w:sz w:val="28"/>
        <w:szCs w:val="28"/>
        <w:lang w:val="en-GB"/>
      </w:rPr>
      <w:t>Financial Statements of the Group</w:t>
    </w:r>
  </w:p>
  <w:p w14:paraId="31F9F7CC" w14:textId="77777777" w:rsidR="000840B6" w:rsidRDefault="000840B6" w:rsidP="00DD1ECC">
    <w:pPr>
      <w:tabs>
        <w:tab w:val="center" w:pos="4536"/>
      </w:tabs>
      <w:spacing w:after="0" w:line="240" w:lineRule="auto"/>
      <w:rPr>
        <w:rFonts w:ascii="Calibri" w:eastAsia="Times New Roman" w:hAnsi="Calibri" w:cs="Arial"/>
        <w:sz w:val="28"/>
        <w:szCs w:val="28"/>
        <w:lang w:val="en-GB"/>
      </w:rPr>
    </w:pPr>
    <w:r w:rsidRPr="00A67EEA">
      <w:rPr>
        <w:rFonts w:ascii="Calibri" w:eastAsia="Times New Roman" w:hAnsi="Calibri" w:cs="Arial"/>
        <w:sz w:val="28"/>
        <w:szCs w:val="28"/>
        <w:lang w:val="en-GB"/>
      </w:rPr>
      <w:t>Statement of Profit or Loss and Other Comprehensive Income</w:t>
    </w:r>
  </w:p>
  <w:p w14:paraId="5DA40D06" w14:textId="685E2518" w:rsidR="000840B6" w:rsidRPr="00DD1ECC" w:rsidRDefault="000840B6" w:rsidP="00DD1ECC">
    <w:pPr>
      <w:tabs>
        <w:tab w:val="center" w:pos="4536"/>
      </w:tabs>
      <w:spacing w:after="0" w:line="240" w:lineRule="auto"/>
      <w:rPr>
        <w:rFonts w:ascii="Calibri" w:eastAsia="Times New Roman" w:hAnsi="Calibri" w:cs="Arial"/>
        <w:sz w:val="28"/>
        <w:szCs w:val="28"/>
        <w:lang w:val="en-GB"/>
      </w:rPr>
    </w:pPr>
    <w:r w:rsidRPr="00A67EEA">
      <w:rPr>
        <w:rFonts w:ascii="Calibri" w:eastAsia="Times New Roman" w:hAnsi="Calibri" w:cs="Arial"/>
        <w:sz w:val="28"/>
        <w:szCs w:val="28"/>
        <w:lang w:val="en-GB"/>
      </w:rPr>
      <w:t xml:space="preserve">for the period 1 January </w:t>
    </w:r>
    <w:r>
      <w:rPr>
        <w:rFonts w:ascii="Calibri" w:eastAsia="Times New Roman" w:hAnsi="Calibri" w:cs="Arial"/>
        <w:sz w:val="28"/>
        <w:szCs w:val="28"/>
        <w:lang w:val="en-GB"/>
      </w:rPr>
      <w:t>–</w:t>
    </w:r>
    <w:r w:rsidRPr="00A67EEA">
      <w:rPr>
        <w:rFonts w:ascii="Calibri" w:eastAsia="Times New Roman" w:hAnsi="Calibri" w:cs="Arial"/>
        <w:sz w:val="28"/>
        <w:szCs w:val="28"/>
        <w:lang w:val="en-GB"/>
      </w:rPr>
      <w:t xml:space="preserve"> 3</w:t>
    </w:r>
    <w:r>
      <w:rPr>
        <w:rFonts w:ascii="Calibri" w:eastAsia="Times New Roman" w:hAnsi="Calibri" w:cs="Arial"/>
        <w:sz w:val="28"/>
        <w:szCs w:val="28"/>
        <w:lang w:val="en-GB"/>
      </w:rPr>
      <w:t>1 March</w:t>
    </w:r>
  </w:p>
  <w:p w14:paraId="799476B1" w14:textId="77777777" w:rsidR="000840B6" w:rsidRPr="00467A1A" w:rsidRDefault="000840B6"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7043" w14:textId="77777777" w:rsidR="000840B6" w:rsidRPr="00DD1ECC" w:rsidRDefault="000840B6" w:rsidP="00DD1ECC">
    <w:pPr>
      <w:tabs>
        <w:tab w:val="center" w:pos="4513"/>
        <w:tab w:val="right" w:pos="9072"/>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 xml:space="preserve">Condensed Consolidated Interim </w:t>
    </w:r>
    <w:r w:rsidRPr="00DD1ECC">
      <w:rPr>
        <w:rFonts w:ascii="Calibri" w:eastAsia="Times New Roman" w:hAnsi="Calibri" w:cs="Arial"/>
        <w:sz w:val="28"/>
        <w:szCs w:val="28"/>
        <w:lang w:val="en-GB"/>
      </w:rPr>
      <w:t>Financial Statements of the Group</w:t>
    </w:r>
  </w:p>
  <w:p w14:paraId="4983AA48" w14:textId="77777777" w:rsidR="000840B6" w:rsidRDefault="000840B6" w:rsidP="00BA3E05">
    <w:pPr>
      <w:tabs>
        <w:tab w:val="center" w:pos="4536"/>
        <w:tab w:val="right" w:pos="9072"/>
      </w:tabs>
      <w:spacing w:after="0" w:line="240" w:lineRule="auto"/>
      <w:rPr>
        <w:rFonts w:ascii="Calibri" w:eastAsia="Times New Roman" w:hAnsi="Calibri" w:cs="Arial"/>
        <w:sz w:val="28"/>
        <w:szCs w:val="28"/>
        <w:lang w:val="en-GB"/>
      </w:rPr>
    </w:pPr>
    <w:r w:rsidRPr="00A67EEA">
      <w:rPr>
        <w:rFonts w:ascii="Calibri" w:eastAsia="Times New Roman" w:hAnsi="Calibri" w:cs="Arial"/>
        <w:sz w:val="28"/>
        <w:szCs w:val="28"/>
        <w:lang w:val="en-GB"/>
      </w:rPr>
      <w:t xml:space="preserve">Statement of Financial Position </w:t>
    </w:r>
  </w:p>
  <w:p w14:paraId="5B287461" w14:textId="77777777" w:rsidR="000840B6" w:rsidRDefault="000840B6" w:rsidP="00BA3E05">
    <w:pPr>
      <w:tabs>
        <w:tab w:val="center" w:pos="4513"/>
        <w:tab w:val="right" w:pos="9072"/>
      </w:tabs>
      <w:spacing w:after="0" w:line="240" w:lineRule="auto"/>
      <w:rPr>
        <w:rFonts w:ascii="Calibri" w:eastAsia="Times New Roman" w:hAnsi="Calibri" w:cs="Arial"/>
        <w:sz w:val="28"/>
        <w:szCs w:val="28"/>
        <w:lang w:val="en-GB"/>
      </w:rPr>
    </w:pPr>
    <w:r w:rsidRPr="00BA3E05">
      <w:rPr>
        <w:rFonts w:ascii="Calibri" w:eastAsia="Times New Roman" w:hAnsi="Calibri" w:cs="Arial"/>
        <w:sz w:val="28"/>
        <w:szCs w:val="28"/>
        <w:lang w:val="en-GB"/>
      </w:rPr>
      <w:t xml:space="preserve">as of </w:t>
    </w:r>
  </w:p>
  <w:p w14:paraId="3A05A07B" w14:textId="77777777" w:rsidR="000840B6" w:rsidRPr="00467A1A" w:rsidRDefault="000840B6"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F9883" w14:textId="77777777" w:rsidR="000840B6" w:rsidRPr="00DD1ECC" w:rsidRDefault="000840B6" w:rsidP="00DD1ECC">
    <w:pPr>
      <w:tabs>
        <w:tab w:val="center" w:pos="4513"/>
        <w:tab w:val="right" w:pos="9072"/>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Consolidated Interim</w:t>
    </w:r>
    <w:r w:rsidRPr="00DD1ECC">
      <w:rPr>
        <w:rFonts w:ascii="Calibri" w:eastAsia="Times New Roman" w:hAnsi="Calibri" w:cs="Arial"/>
        <w:sz w:val="28"/>
        <w:szCs w:val="28"/>
        <w:lang w:val="en-GB"/>
      </w:rPr>
      <w:t xml:space="preserve"> Financial Statements of the Group</w:t>
    </w:r>
  </w:p>
  <w:p w14:paraId="6D5AB3BA" w14:textId="77777777" w:rsidR="000840B6" w:rsidRDefault="000840B6" w:rsidP="00DD1ECC">
    <w:pPr>
      <w:tabs>
        <w:tab w:val="center" w:pos="4536"/>
      </w:tabs>
      <w:spacing w:after="0" w:line="240" w:lineRule="auto"/>
      <w:rPr>
        <w:rFonts w:ascii="Calibri" w:eastAsia="Times New Roman" w:hAnsi="Calibri" w:cs="Arial"/>
        <w:sz w:val="28"/>
        <w:szCs w:val="28"/>
        <w:lang w:val="en-GB"/>
      </w:rPr>
    </w:pPr>
    <w:r w:rsidRPr="00A67EEA">
      <w:rPr>
        <w:rFonts w:ascii="Calibri" w:eastAsia="Times New Roman" w:hAnsi="Calibri" w:cs="Arial"/>
        <w:sz w:val="28"/>
        <w:szCs w:val="28"/>
        <w:lang w:val="en-GB"/>
      </w:rPr>
      <w:t xml:space="preserve">Statement of Cash Flows </w:t>
    </w:r>
  </w:p>
  <w:p w14:paraId="4BADD41D" w14:textId="7E728DAA" w:rsidR="000840B6" w:rsidRPr="00DD1ECC" w:rsidRDefault="000840B6" w:rsidP="00DD1ECC">
    <w:pPr>
      <w:tabs>
        <w:tab w:val="center" w:pos="4536"/>
      </w:tabs>
      <w:spacing w:after="0" w:line="240" w:lineRule="auto"/>
      <w:rPr>
        <w:rFonts w:ascii="Calibri" w:eastAsia="Times New Roman" w:hAnsi="Calibri" w:cs="Arial"/>
        <w:sz w:val="28"/>
        <w:szCs w:val="28"/>
        <w:lang w:val="en-GB"/>
      </w:rPr>
    </w:pPr>
    <w:r w:rsidRPr="00A67EEA">
      <w:rPr>
        <w:rFonts w:ascii="Calibri" w:eastAsia="Times New Roman" w:hAnsi="Calibri" w:cs="Arial"/>
        <w:sz w:val="28"/>
        <w:szCs w:val="28"/>
        <w:lang w:val="en-GB"/>
      </w:rPr>
      <w:t>for the period 1 January - 3</w:t>
    </w:r>
    <w:r>
      <w:rPr>
        <w:rFonts w:ascii="Calibri" w:eastAsia="Times New Roman" w:hAnsi="Calibri" w:cs="Arial"/>
        <w:sz w:val="28"/>
        <w:szCs w:val="28"/>
        <w:lang w:val="en-GB"/>
      </w:rPr>
      <w:t>1</w:t>
    </w:r>
    <w:r w:rsidRPr="00A67EEA">
      <w:rPr>
        <w:rFonts w:ascii="Calibri" w:eastAsia="Times New Roman" w:hAnsi="Calibri" w:cs="Arial"/>
        <w:sz w:val="28"/>
        <w:szCs w:val="28"/>
        <w:lang w:val="en-GB"/>
      </w:rPr>
      <w:t xml:space="preserve"> </w:t>
    </w:r>
    <w:r>
      <w:rPr>
        <w:rFonts w:ascii="Calibri" w:eastAsia="Times New Roman" w:hAnsi="Calibri" w:cs="Arial"/>
        <w:sz w:val="28"/>
        <w:szCs w:val="28"/>
        <w:lang w:val="en-GB"/>
      </w:rPr>
      <w:t>March</w:t>
    </w:r>
  </w:p>
  <w:p w14:paraId="66AF4BF4" w14:textId="77777777" w:rsidR="000840B6" w:rsidRPr="00467A1A" w:rsidRDefault="000840B6"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5BE0"/>
    <w:multiLevelType w:val="hybridMultilevel"/>
    <w:tmpl w:val="FBA0B41C"/>
    <w:lvl w:ilvl="0" w:tplc="BDD2C8A6">
      <w:numFmt w:val="bullet"/>
      <w:lvlText w:val="-"/>
      <w:lvlJc w:val="left"/>
      <w:pPr>
        <w:ind w:left="4472" w:hanging="360"/>
      </w:pPr>
      <w:rPr>
        <w:rFonts w:ascii="Calibri" w:eastAsia="Times New Roman" w:hAnsi="Calibri"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60F2379"/>
    <w:multiLevelType w:val="hybridMultilevel"/>
    <w:tmpl w:val="1F66D4E4"/>
    <w:lvl w:ilvl="0" w:tplc="041A0001">
      <w:start w:val="1"/>
      <w:numFmt w:val="bullet"/>
      <w:lvlText w:val=""/>
      <w:lvlJc w:val="left"/>
      <w:pPr>
        <w:ind w:left="771" w:hanging="360"/>
      </w:pPr>
      <w:rPr>
        <w:rFonts w:ascii="Symbol" w:hAnsi="Symbol" w:hint="default"/>
      </w:rPr>
    </w:lvl>
    <w:lvl w:ilvl="1" w:tplc="041A0003">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2" w15:restartNumberingAfterBreak="0">
    <w:nsid w:val="0637115B"/>
    <w:multiLevelType w:val="hybridMultilevel"/>
    <w:tmpl w:val="4AEE0C9C"/>
    <w:lvl w:ilvl="0" w:tplc="54E41676">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401C9"/>
    <w:multiLevelType w:val="multilevel"/>
    <w:tmpl w:val="88B06EA2"/>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332FD5"/>
    <w:multiLevelType w:val="multilevel"/>
    <w:tmpl w:val="E278CEAE"/>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B458B5"/>
    <w:multiLevelType w:val="hybridMultilevel"/>
    <w:tmpl w:val="7A56D288"/>
    <w:lvl w:ilvl="0" w:tplc="5F22085C">
      <w:start w:val="1"/>
      <w:numFmt w:val="decimal"/>
      <w:lvlText w:val="%1."/>
      <w:lvlJc w:val="left"/>
      <w:pPr>
        <w:tabs>
          <w:tab w:val="num" w:pos="720"/>
        </w:tabs>
        <w:ind w:left="720" w:hanging="360"/>
      </w:pPr>
      <w:rPr>
        <w:b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0AE82946"/>
    <w:multiLevelType w:val="hybridMultilevel"/>
    <w:tmpl w:val="5F84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79512B"/>
    <w:multiLevelType w:val="multilevel"/>
    <w:tmpl w:val="4412EFE4"/>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AC4302"/>
    <w:multiLevelType w:val="hybridMultilevel"/>
    <w:tmpl w:val="6DB425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DF80767"/>
    <w:multiLevelType w:val="hybridMultilevel"/>
    <w:tmpl w:val="39E20F9C"/>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ED77D0F"/>
    <w:multiLevelType w:val="hybridMultilevel"/>
    <w:tmpl w:val="A8F8B4D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1175832"/>
    <w:multiLevelType w:val="multilevel"/>
    <w:tmpl w:val="7B8E67B6"/>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BA2E59"/>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13" w15:restartNumberingAfterBreak="0">
    <w:nsid w:val="129F10F5"/>
    <w:multiLevelType w:val="multilevel"/>
    <w:tmpl w:val="4AD8D5A6"/>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DA10B0"/>
    <w:multiLevelType w:val="hybridMultilevel"/>
    <w:tmpl w:val="A022CBE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6B715E3"/>
    <w:multiLevelType w:val="multilevel"/>
    <w:tmpl w:val="056C5D30"/>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A3682E"/>
    <w:multiLevelType w:val="multilevel"/>
    <w:tmpl w:val="E2B4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92239D"/>
    <w:multiLevelType w:val="multilevel"/>
    <w:tmpl w:val="3EC20D92"/>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E72493"/>
    <w:multiLevelType w:val="hybridMultilevel"/>
    <w:tmpl w:val="BF12C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BFD607C"/>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20" w15:restartNumberingAfterBreak="0">
    <w:nsid w:val="1EE30F03"/>
    <w:multiLevelType w:val="hybridMultilevel"/>
    <w:tmpl w:val="52C24B9E"/>
    <w:lvl w:ilvl="0" w:tplc="7E40DFAC">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1F012849"/>
    <w:multiLevelType w:val="hybridMultilevel"/>
    <w:tmpl w:val="82F0BA6A"/>
    <w:lvl w:ilvl="0" w:tplc="AAA4F85C">
      <w:start w:val="1"/>
      <w:numFmt w:val="decimal"/>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AFBA18AE">
      <w:start w:val="1903"/>
      <w:numFmt w:val="bullet"/>
      <w:lvlText w:val="-"/>
      <w:lvlJc w:val="left"/>
      <w:pPr>
        <w:ind w:left="2340" w:hanging="360"/>
      </w:pPr>
      <w:rPr>
        <w:rFonts w:ascii="Calibri" w:eastAsiaTheme="minorEastAsia" w:hAnsi="Calibri" w:cs="Calibr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F6F0ED6"/>
    <w:multiLevelType w:val="hybridMultilevel"/>
    <w:tmpl w:val="F280D9D0"/>
    <w:lvl w:ilvl="0" w:tplc="389E5C28">
      <w:numFmt w:val="bullet"/>
      <w:lvlText w:val="-"/>
      <w:lvlJc w:val="left"/>
      <w:pPr>
        <w:tabs>
          <w:tab w:val="num" w:pos="644"/>
        </w:tabs>
        <w:ind w:left="644" w:hanging="360"/>
      </w:pPr>
      <w:rPr>
        <w:rFonts w:ascii="Calibri" w:eastAsia="Times New Roman" w:hAnsi="Calibri" w:cs="Calibri" w:hint="default"/>
        <w:color w:val="auto"/>
      </w:rPr>
    </w:lvl>
    <w:lvl w:ilvl="1" w:tplc="041A0003">
      <w:start w:val="1"/>
      <w:numFmt w:val="bullet"/>
      <w:lvlText w:val="o"/>
      <w:lvlJc w:val="left"/>
      <w:pPr>
        <w:tabs>
          <w:tab w:val="num" w:pos="1004"/>
        </w:tabs>
        <w:ind w:left="1004" w:hanging="360"/>
      </w:pPr>
      <w:rPr>
        <w:rFonts w:ascii="Courier New" w:hAnsi="Courier New" w:cs="Courier New" w:hint="default"/>
      </w:rPr>
    </w:lvl>
    <w:lvl w:ilvl="2" w:tplc="041A0005">
      <w:start w:val="1"/>
      <w:numFmt w:val="bullet"/>
      <w:lvlText w:val=""/>
      <w:lvlJc w:val="left"/>
      <w:pPr>
        <w:tabs>
          <w:tab w:val="num" w:pos="1724"/>
        </w:tabs>
        <w:ind w:left="1724" w:hanging="360"/>
      </w:pPr>
      <w:rPr>
        <w:rFonts w:ascii="Wingdings" w:hAnsi="Wingdings" w:hint="default"/>
      </w:rPr>
    </w:lvl>
    <w:lvl w:ilvl="3" w:tplc="041A0001" w:tentative="1">
      <w:start w:val="1"/>
      <w:numFmt w:val="bullet"/>
      <w:lvlText w:val=""/>
      <w:lvlJc w:val="left"/>
      <w:pPr>
        <w:tabs>
          <w:tab w:val="num" w:pos="2444"/>
        </w:tabs>
        <w:ind w:left="2444" w:hanging="360"/>
      </w:pPr>
      <w:rPr>
        <w:rFonts w:ascii="Symbol" w:hAnsi="Symbol" w:hint="default"/>
      </w:rPr>
    </w:lvl>
    <w:lvl w:ilvl="4" w:tplc="041A0003" w:tentative="1">
      <w:start w:val="1"/>
      <w:numFmt w:val="bullet"/>
      <w:lvlText w:val="o"/>
      <w:lvlJc w:val="left"/>
      <w:pPr>
        <w:tabs>
          <w:tab w:val="num" w:pos="3164"/>
        </w:tabs>
        <w:ind w:left="3164" w:hanging="360"/>
      </w:pPr>
      <w:rPr>
        <w:rFonts w:ascii="Courier New" w:hAnsi="Courier New" w:cs="Courier New" w:hint="default"/>
      </w:rPr>
    </w:lvl>
    <w:lvl w:ilvl="5" w:tplc="041A0005" w:tentative="1">
      <w:start w:val="1"/>
      <w:numFmt w:val="bullet"/>
      <w:lvlText w:val=""/>
      <w:lvlJc w:val="left"/>
      <w:pPr>
        <w:tabs>
          <w:tab w:val="num" w:pos="3884"/>
        </w:tabs>
        <w:ind w:left="3884" w:hanging="360"/>
      </w:pPr>
      <w:rPr>
        <w:rFonts w:ascii="Wingdings" w:hAnsi="Wingdings" w:hint="default"/>
      </w:rPr>
    </w:lvl>
    <w:lvl w:ilvl="6" w:tplc="041A0001" w:tentative="1">
      <w:start w:val="1"/>
      <w:numFmt w:val="bullet"/>
      <w:lvlText w:val=""/>
      <w:lvlJc w:val="left"/>
      <w:pPr>
        <w:tabs>
          <w:tab w:val="num" w:pos="4604"/>
        </w:tabs>
        <w:ind w:left="4604" w:hanging="360"/>
      </w:pPr>
      <w:rPr>
        <w:rFonts w:ascii="Symbol" w:hAnsi="Symbol" w:hint="default"/>
      </w:rPr>
    </w:lvl>
    <w:lvl w:ilvl="7" w:tplc="041A0003" w:tentative="1">
      <w:start w:val="1"/>
      <w:numFmt w:val="bullet"/>
      <w:lvlText w:val="o"/>
      <w:lvlJc w:val="left"/>
      <w:pPr>
        <w:tabs>
          <w:tab w:val="num" w:pos="5324"/>
        </w:tabs>
        <w:ind w:left="5324" w:hanging="360"/>
      </w:pPr>
      <w:rPr>
        <w:rFonts w:ascii="Courier New" w:hAnsi="Courier New" w:cs="Courier New" w:hint="default"/>
      </w:rPr>
    </w:lvl>
    <w:lvl w:ilvl="8" w:tplc="041A0005" w:tentative="1">
      <w:start w:val="1"/>
      <w:numFmt w:val="bullet"/>
      <w:lvlText w:val=""/>
      <w:lvlJc w:val="left"/>
      <w:pPr>
        <w:tabs>
          <w:tab w:val="num" w:pos="6044"/>
        </w:tabs>
        <w:ind w:left="6044" w:hanging="360"/>
      </w:pPr>
      <w:rPr>
        <w:rFonts w:ascii="Wingdings" w:hAnsi="Wingdings" w:hint="default"/>
      </w:rPr>
    </w:lvl>
  </w:abstractNum>
  <w:abstractNum w:abstractNumId="23" w15:restartNumberingAfterBreak="0">
    <w:nsid w:val="20534C9E"/>
    <w:multiLevelType w:val="hybridMultilevel"/>
    <w:tmpl w:val="E58EF8E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207C7A86"/>
    <w:multiLevelType w:val="multilevel"/>
    <w:tmpl w:val="B02E82D2"/>
    <w:lvl w:ilvl="0">
      <w:start w:val="9"/>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2AE1F0A"/>
    <w:multiLevelType w:val="singleLevel"/>
    <w:tmpl w:val="04090001"/>
    <w:lvl w:ilvl="0">
      <w:start w:val="1"/>
      <w:numFmt w:val="bullet"/>
      <w:lvlText w:val=""/>
      <w:lvlJc w:val="left"/>
      <w:pPr>
        <w:ind w:left="360" w:hanging="360"/>
      </w:pPr>
      <w:rPr>
        <w:rFonts w:ascii="Symbol" w:hAnsi="Symbol" w:hint="default"/>
        <w:color w:val="auto"/>
        <w:sz w:val="24"/>
      </w:rPr>
    </w:lvl>
  </w:abstractNum>
  <w:abstractNum w:abstractNumId="26" w15:restartNumberingAfterBreak="0">
    <w:nsid w:val="24644F93"/>
    <w:multiLevelType w:val="hybridMultilevel"/>
    <w:tmpl w:val="954AE324"/>
    <w:lvl w:ilvl="0" w:tplc="54E41676">
      <w:numFmt w:val="bullet"/>
      <w:lvlText w:val="–"/>
      <w:lvlJc w:val="left"/>
      <w:pPr>
        <w:tabs>
          <w:tab w:val="num" w:pos="502"/>
        </w:tabs>
        <w:ind w:left="502" w:hanging="360"/>
      </w:pPr>
      <w:rPr>
        <w:rFonts w:ascii="Times New Roman" w:eastAsia="Times New Roman" w:hAnsi="Times New Roman" w:cs="Times New Roman" w:hint="default"/>
      </w:rPr>
    </w:lvl>
    <w:lvl w:ilvl="1" w:tplc="08090003">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27" w15:restartNumberingAfterBreak="0">
    <w:nsid w:val="260D07FF"/>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28" w15:restartNumberingAfterBreak="0">
    <w:nsid w:val="26640775"/>
    <w:multiLevelType w:val="hybridMultilevel"/>
    <w:tmpl w:val="B7E667C4"/>
    <w:lvl w:ilvl="0" w:tplc="041A0017">
      <w:start w:val="9"/>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9" w15:restartNumberingAfterBreak="0">
    <w:nsid w:val="26704957"/>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30" w15:restartNumberingAfterBreak="0">
    <w:nsid w:val="26CC22CC"/>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1" w15:restartNumberingAfterBreak="0">
    <w:nsid w:val="29251E38"/>
    <w:multiLevelType w:val="hybridMultilevel"/>
    <w:tmpl w:val="0708FA9C"/>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2" w15:restartNumberingAfterBreak="0">
    <w:nsid w:val="296550F6"/>
    <w:multiLevelType w:val="hybridMultilevel"/>
    <w:tmpl w:val="4E1A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2BF7602F"/>
    <w:multiLevelType w:val="multilevel"/>
    <w:tmpl w:val="ED1046A4"/>
    <w:lvl w:ilvl="0">
      <w:start w:val="10"/>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CDD5B5B"/>
    <w:multiLevelType w:val="multilevel"/>
    <w:tmpl w:val="30CC7BCE"/>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FE92D8E"/>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36" w15:restartNumberingAfterBreak="0">
    <w:nsid w:val="34527A39"/>
    <w:multiLevelType w:val="multilevel"/>
    <w:tmpl w:val="6E7035FC"/>
    <w:styleLink w:val="LFO6"/>
    <w:lvl w:ilvl="0">
      <w:start w:val="1"/>
      <w:numFmt w:val="decimal"/>
      <w:pStyle w:val="Bullet"/>
      <w:lvlText w:val="Example %1"/>
      <w:lvlJc w:val="left"/>
      <w:pPr>
        <w:ind w:left="720" w:hanging="720"/>
      </w:pPr>
      <w:rPr>
        <w:b/>
        <w:i w:val="0"/>
        <w:sz w:val="22"/>
      </w:rPr>
    </w:lvl>
    <w:lvl w:ilvl="1">
      <w:numFmt w:val="bullet"/>
      <w:lvlText w:val=""/>
      <w:lvlJc w:val="left"/>
      <w:pPr>
        <w:ind w:left="643" w:hanging="360"/>
      </w:pPr>
      <w:rPr>
        <w:rFonts w:ascii="Wingdings" w:hAnsi="Wingdings"/>
        <w:sz w:val="24"/>
      </w:rPr>
    </w:lvl>
    <w:lvl w:ilvl="2">
      <w:start w:val="1"/>
      <w:numFmt w:val="lowerRoman"/>
      <w:lvlText w:val="%3."/>
      <w:lvlJc w:val="right"/>
      <w:pPr>
        <w:ind w:left="2160" w:hanging="180"/>
      </w:pPr>
    </w:lvl>
    <w:lvl w:ilvl="3">
      <w:numFmt w:val="bullet"/>
      <w:lvlText w:val="•"/>
      <w:lvlJc w:val="left"/>
      <w:pPr>
        <w:ind w:left="3240" w:hanging="720"/>
      </w:pPr>
      <w:rPr>
        <w:rFonts w:ascii="Arial" w:eastAsia="Times New Roman"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4B378D3"/>
    <w:multiLevelType w:val="multilevel"/>
    <w:tmpl w:val="30EC2CA2"/>
    <w:lvl w:ilvl="0">
      <w:start w:val="1"/>
      <w:numFmt w:val="bullet"/>
      <w:lvlText w:val=""/>
      <w:lvlJc w:val="left"/>
      <w:pPr>
        <w:ind w:left="1003" w:hanging="360"/>
      </w:pPr>
      <w:rPr>
        <w:rFonts w:ascii="Symbol" w:hAnsi="Symbol" w:hint="default"/>
        <w:color w:val="auto"/>
        <w:sz w:val="20"/>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38" w15:restartNumberingAfterBreak="0">
    <w:nsid w:val="34B70858"/>
    <w:multiLevelType w:val="multilevel"/>
    <w:tmpl w:val="DB4EEB08"/>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5484A70"/>
    <w:multiLevelType w:val="multilevel"/>
    <w:tmpl w:val="E0968A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6046897"/>
    <w:multiLevelType w:val="hybridMultilevel"/>
    <w:tmpl w:val="49D60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36650EBE"/>
    <w:multiLevelType w:val="multilevel"/>
    <w:tmpl w:val="24040304"/>
    <w:lvl w:ilvl="0">
      <w:start w:val="26"/>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6DE18DB"/>
    <w:multiLevelType w:val="multilevel"/>
    <w:tmpl w:val="ECE22A90"/>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9117631"/>
    <w:multiLevelType w:val="hybridMultilevel"/>
    <w:tmpl w:val="FC82CD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39A23E22"/>
    <w:multiLevelType w:val="hybridMultilevel"/>
    <w:tmpl w:val="424CB1A8"/>
    <w:lvl w:ilvl="0" w:tplc="041A000F">
      <w:start w:val="22"/>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5" w15:restartNumberingAfterBreak="0">
    <w:nsid w:val="3B9C010A"/>
    <w:multiLevelType w:val="multilevel"/>
    <w:tmpl w:val="161A238A"/>
    <w:lvl w:ilvl="0">
      <w:start w:val="1"/>
      <w:numFmt w:val="bullet"/>
      <w:lvlText w:val=""/>
      <w:lvlJc w:val="left"/>
      <w:pPr>
        <w:ind w:left="1003" w:hanging="360"/>
      </w:pPr>
      <w:rPr>
        <w:rFonts w:ascii="Symbol" w:hAnsi="Symbol" w:hint="default"/>
        <w:color w:val="auto"/>
        <w:sz w:val="20"/>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46" w15:restartNumberingAfterBreak="0">
    <w:nsid w:val="3E0B6ADC"/>
    <w:multiLevelType w:val="multilevel"/>
    <w:tmpl w:val="B3BA6D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F282C8B"/>
    <w:multiLevelType w:val="multilevel"/>
    <w:tmpl w:val="B986EE2C"/>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F376449"/>
    <w:multiLevelType w:val="hybridMultilevel"/>
    <w:tmpl w:val="2078E810"/>
    <w:lvl w:ilvl="0" w:tplc="389E5C28">
      <w:numFmt w:val="bullet"/>
      <w:lvlText w:val="-"/>
      <w:lvlJc w:val="left"/>
      <w:pPr>
        <w:ind w:left="720" w:hanging="360"/>
      </w:pPr>
      <w:rPr>
        <w:rFonts w:ascii="Calibri" w:eastAsia="Times New Roman"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0151F15"/>
    <w:multiLevelType w:val="multilevel"/>
    <w:tmpl w:val="FEE64724"/>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0B05A15"/>
    <w:multiLevelType w:val="multilevel"/>
    <w:tmpl w:val="6802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6AC6C91"/>
    <w:multiLevelType w:val="multilevel"/>
    <w:tmpl w:val="3788C610"/>
    <w:lvl w:ilvl="0">
      <w:start w:val="12"/>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7AF4B18"/>
    <w:multiLevelType w:val="hybridMultilevel"/>
    <w:tmpl w:val="5EEA9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4A61364E"/>
    <w:multiLevelType w:val="hybridMultilevel"/>
    <w:tmpl w:val="6C80084E"/>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51254C87"/>
    <w:multiLevelType w:val="hybridMultilevel"/>
    <w:tmpl w:val="1EBC99C6"/>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5" w15:restartNumberingAfterBreak="0">
    <w:nsid w:val="51AB422E"/>
    <w:multiLevelType w:val="hybridMultilevel"/>
    <w:tmpl w:val="2870C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54603FBB"/>
    <w:multiLevelType w:val="hybridMultilevel"/>
    <w:tmpl w:val="226E37CA"/>
    <w:lvl w:ilvl="0" w:tplc="3846592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8E47559"/>
    <w:multiLevelType w:val="multilevel"/>
    <w:tmpl w:val="B4C46F4A"/>
    <w:lvl w:ilvl="0">
      <w:start w:val="1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9AB397A"/>
    <w:multiLevelType w:val="multilevel"/>
    <w:tmpl w:val="0846CF06"/>
    <w:lvl w:ilvl="0">
      <w:start w:val="1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03A543B"/>
    <w:multiLevelType w:val="hybridMultilevel"/>
    <w:tmpl w:val="41A24E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61B63BE9"/>
    <w:multiLevelType w:val="multilevel"/>
    <w:tmpl w:val="871E3320"/>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2DE2000"/>
    <w:multiLevelType w:val="hybridMultilevel"/>
    <w:tmpl w:val="A6B2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63033DA6"/>
    <w:multiLevelType w:val="multilevel"/>
    <w:tmpl w:val="249267B2"/>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6662C7D"/>
    <w:multiLevelType w:val="multilevel"/>
    <w:tmpl w:val="C27450F2"/>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6800667"/>
    <w:multiLevelType w:val="hybridMultilevel"/>
    <w:tmpl w:val="74869906"/>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1">
      <w:start w:val="1"/>
      <w:numFmt w:val="bullet"/>
      <w:lvlText w:val=""/>
      <w:lvlJc w:val="left"/>
      <w:pPr>
        <w:ind w:left="927" w:hanging="360"/>
      </w:pPr>
      <w:rPr>
        <w:rFonts w:ascii="Symbol" w:hAnsi="Symbol"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65" w15:restartNumberingAfterBreak="0">
    <w:nsid w:val="66964834"/>
    <w:multiLevelType w:val="hybridMultilevel"/>
    <w:tmpl w:val="D7A426A2"/>
    <w:lvl w:ilvl="0" w:tplc="00EEEE2C">
      <w:start w:val="1"/>
      <w:numFmt w:val="bullet"/>
      <w:lvlText w:val=""/>
      <w:lvlJc w:val="left"/>
      <w:pPr>
        <w:ind w:left="1068" w:hanging="360"/>
      </w:pPr>
      <w:rPr>
        <w:rFonts w:ascii="Calibri" w:eastAsia="Times New Roman"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6" w15:restartNumberingAfterBreak="0">
    <w:nsid w:val="66FA463C"/>
    <w:multiLevelType w:val="multilevel"/>
    <w:tmpl w:val="B0AA02D0"/>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7184867"/>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68" w15:restartNumberingAfterBreak="0">
    <w:nsid w:val="683C1F1F"/>
    <w:multiLevelType w:val="hybridMultilevel"/>
    <w:tmpl w:val="7C0C5908"/>
    <w:lvl w:ilvl="0" w:tplc="27126A0E">
      <w:start w:val="39"/>
      <w:numFmt w:val="bullet"/>
      <w:lvlText w:val="-"/>
      <w:lvlJc w:val="left"/>
      <w:pPr>
        <w:ind w:left="1004" w:hanging="360"/>
      </w:pPr>
      <w:rPr>
        <w:rFonts w:ascii="Calibri" w:eastAsia="Times New Roman" w:hAnsi="Calibri" w:cs="Calibr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69" w15:restartNumberingAfterBreak="0">
    <w:nsid w:val="688867DE"/>
    <w:multiLevelType w:val="hybridMultilevel"/>
    <w:tmpl w:val="E6724DE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0" w15:restartNumberingAfterBreak="0">
    <w:nsid w:val="68B93BC1"/>
    <w:multiLevelType w:val="multilevel"/>
    <w:tmpl w:val="4B9AA2B6"/>
    <w:lvl w:ilvl="0">
      <w:start w:val="1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8BD6A94"/>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72" w15:restartNumberingAfterBreak="0">
    <w:nsid w:val="6986058B"/>
    <w:multiLevelType w:val="hybridMultilevel"/>
    <w:tmpl w:val="047E987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3" w15:restartNumberingAfterBreak="0">
    <w:nsid w:val="6C0F5A07"/>
    <w:multiLevelType w:val="multilevel"/>
    <w:tmpl w:val="3788C610"/>
    <w:lvl w:ilvl="0">
      <w:start w:val="12"/>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C426A68"/>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75" w15:restartNumberingAfterBreak="0">
    <w:nsid w:val="6D59400A"/>
    <w:multiLevelType w:val="multilevel"/>
    <w:tmpl w:val="74B815CA"/>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E9D5019"/>
    <w:multiLevelType w:val="hybridMultilevel"/>
    <w:tmpl w:val="4F481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6F9B4B2D"/>
    <w:multiLevelType w:val="multilevel"/>
    <w:tmpl w:val="8D70A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0636764"/>
    <w:multiLevelType w:val="multilevel"/>
    <w:tmpl w:val="2C9A8574"/>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1103EE9"/>
    <w:multiLevelType w:val="multilevel"/>
    <w:tmpl w:val="5546F500"/>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1366B06"/>
    <w:multiLevelType w:val="hybridMultilevel"/>
    <w:tmpl w:val="264824A2"/>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81" w15:restartNumberingAfterBreak="0">
    <w:nsid w:val="72C429DA"/>
    <w:multiLevelType w:val="multilevel"/>
    <w:tmpl w:val="AD4489D4"/>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3E26E6B"/>
    <w:multiLevelType w:val="hybridMultilevel"/>
    <w:tmpl w:val="A47245D0"/>
    <w:lvl w:ilvl="0" w:tplc="041A0001">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7673739D"/>
    <w:multiLevelType w:val="multilevel"/>
    <w:tmpl w:val="B0620B48"/>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8576ED5"/>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85" w15:restartNumberingAfterBreak="0">
    <w:nsid w:val="7A321F00"/>
    <w:multiLevelType w:val="hybridMultilevel"/>
    <w:tmpl w:val="43E28F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6" w15:restartNumberingAfterBreak="0">
    <w:nsid w:val="7B4A0AD5"/>
    <w:multiLevelType w:val="hybridMultilevel"/>
    <w:tmpl w:val="7668FF9A"/>
    <w:lvl w:ilvl="0" w:tplc="27126A0E">
      <w:start w:val="39"/>
      <w:numFmt w:val="bullet"/>
      <w:lvlText w:val="-"/>
      <w:lvlJc w:val="left"/>
      <w:pPr>
        <w:ind w:left="1004" w:hanging="360"/>
      </w:pPr>
      <w:rPr>
        <w:rFonts w:ascii="Calibri" w:eastAsia="Times New Roman" w:hAnsi="Calibri" w:cs="Calibr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87" w15:restartNumberingAfterBreak="0">
    <w:nsid w:val="7EB379BB"/>
    <w:multiLevelType w:val="hybridMultilevel"/>
    <w:tmpl w:val="90BE688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8" w15:restartNumberingAfterBreak="0">
    <w:nsid w:val="7FCB58C6"/>
    <w:multiLevelType w:val="hybridMultilevel"/>
    <w:tmpl w:val="D8F82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9"/>
  </w:num>
  <w:num w:numId="2">
    <w:abstractNumId w:val="53"/>
  </w:num>
  <w:num w:numId="3">
    <w:abstractNumId w:val="9"/>
  </w:num>
  <w:num w:numId="4">
    <w:abstractNumId w:val="0"/>
  </w:num>
  <w:num w:numId="5">
    <w:abstractNumId w:val="22"/>
  </w:num>
  <w:num w:numId="6">
    <w:abstractNumId w:val="43"/>
  </w:num>
  <w:num w:numId="7">
    <w:abstractNumId w:val="59"/>
  </w:num>
  <w:num w:numId="8">
    <w:abstractNumId w:val="69"/>
  </w:num>
  <w:num w:numId="9">
    <w:abstractNumId w:val="24"/>
  </w:num>
  <w:num w:numId="10">
    <w:abstractNumId w:val="33"/>
  </w:num>
  <w:num w:numId="11">
    <w:abstractNumId w:val="58"/>
  </w:num>
  <w:num w:numId="12">
    <w:abstractNumId w:val="57"/>
  </w:num>
  <w:num w:numId="13">
    <w:abstractNumId w:val="73"/>
  </w:num>
  <w:num w:numId="14">
    <w:abstractNumId w:val="51"/>
  </w:num>
  <w:num w:numId="15">
    <w:abstractNumId w:val="70"/>
  </w:num>
  <w:num w:numId="16">
    <w:abstractNumId w:val="56"/>
  </w:num>
  <w:num w:numId="17">
    <w:abstractNumId w:val="54"/>
  </w:num>
  <w:num w:numId="18">
    <w:abstractNumId w:val="38"/>
  </w:num>
  <w:num w:numId="19">
    <w:abstractNumId w:val="60"/>
  </w:num>
  <w:num w:numId="20">
    <w:abstractNumId w:val="49"/>
  </w:num>
  <w:num w:numId="21">
    <w:abstractNumId w:val="63"/>
  </w:num>
  <w:num w:numId="22">
    <w:abstractNumId w:val="82"/>
  </w:num>
  <w:num w:numId="23">
    <w:abstractNumId w:val="18"/>
  </w:num>
  <w:num w:numId="24">
    <w:abstractNumId w:val="31"/>
  </w:num>
  <w:num w:numId="25">
    <w:abstractNumId w:val="64"/>
  </w:num>
  <w:num w:numId="26">
    <w:abstractNumId w:val="52"/>
  </w:num>
  <w:num w:numId="27">
    <w:abstractNumId w:val="55"/>
  </w:num>
  <w:num w:numId="28">
    <w:abstractNumId w:val="80"/>
  </w:num>
  <w:num w:numId="29">
    <w:abstractNumId w:val="40"/>
  </w:num>
  <w:num w:numId="30">
    <w:abstractNumId w:val="88"/>
  </w:num>
  <w:num w:numId="31">
    <w:abstractNumId w:val="61"/>
  </w:num>
  <w:num w:numId="32">
    <w:abstractNumId w:val="6"/>
  </w:num>
  <w:num w:numId="33">
    <w:abstractNumId w:val="1"/>
  </w:num>
  <w:num w:numId="34">
    <w:abstractNumId w:val="21"/>
  </w:num>
  <w:num w:numId="35">
    <w:abstractNumId w:val="32"/>
  </w:num>
  <w:num w:numId="36">
    <w:abstractNumId w:val="76"/>
  </w:num>
  <w:num w:numId="37">
    <w:abstractNumId w:val="5"/>
  </w:num>
  <w:num w:numId="38">
    <w:abstractNumId w:val="77"/>
  </w:num>
  <w:num w:numId="39">
    <w:abstractNumId w:val="46"/>
  </w:num>
  <w:num w:numId="40">
    <w:abstractNumId w:val="26"/>
  </w:num>
  <w:num w:numId="41">
    <w:abstractNumId w:val="2"/>
  </w:num>
  <w:num w:numId="42">
    <w:abstractNumId w:val="8"/>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29"/>
  </w:num>
  <w:num w:numId="46">
    <w:abstractNumId w:val="71"/>
  </w:num>
  <w:num w:numId="47">
    <w:abstractNumId w:val="67"/>
  </w:num>
  <w:num w:numId="48">
    <w:abstractNumId w:val="19"/>
  </w:num>
  <w:num w:numId="49">
    <w:abstractNumId w:val="74"/>
  </w:num>
  <w:num w:numId="50">
    <w:abstractNumId w:val="84"/>
  </w:num>
  <w:num w:numId="51">
    <w:abstractNumId w:val="35"/>
  </w:num>
  <w:num w:numId="52">
    <w:abstractNumId w:val="27"/>
  </w:num>
  <w:num w:numId="53">
    <w:abstractNumId w:val="75"/>
  </w:num>
  <w:num w:numId="54">
    <w:abstractNumId w:val="7"/>
  </w:num>
  <w:num w:numId="55">
    <w:abstractNumId w:val="17"/>
  </w:num>
  <w:num w:numId="56">
    <w:abstractNumId w:val="15"/>
  </w:num>
  <w:num w:numId="57">
    <w:abstractNumId w:val="81"/>
  </w:num>
  <w:num w:numId="58">
    <w:abstractNumId w:val="4"/>
  </w:num>
  <w:num w:numId="59">
    <w:abstractNumId w:val="79"/>
  </w:num>
  <w:num w:numId="60">
    <w:abstractNumId w:val="34"/>
  </w:num>
  <w:num w:numId="61">
    <w:abstractNumId w:val="11"/>
  </w:num>
  <w:num w:numId="62">
    <w:abstractNumId w:val="62"/>
  </w:num>
  <w:num w:numId="63">
    <w:abstractNumId w:val="13"/>
  </w:num>
  <w:num w:numId="64">
    <w:abstractNumId w:val="83"/>
  </w:num>
  <w:num w:numId="65">
    <w:abstractNumId w:val="3"/>
  </w:num>
  <w:num w:numId="66">
    <w:abstractNumId w:val="78"/>
  </w:num>
  <w:num w:numId="67">
    <w:abstractNumId w:val="47"/>
  </w:num>
  <w:num w:numId="68">
    <w:abstractNumId w:val="42"/>
  </w:num>
  <w:num w:numId="69">
    <w:abstractNumId w:val="66"/>
  </w:num>
  <w:num w:numId="70">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5"/>
  </w:num>
  <w:num w:numId="72">
    <w:abstractNumId w:val="16"/>
  </w:num>
  <w:num w:numId="73">
    <w:abstractNumId w:val="65"/>
  </w:num>
  <w:num w:numId="74">
    <w:abstractNumId w:val="22"/>
  </w:num>
  <w:num w:numId="75">
    <w:abstractNumId w:val="28"/>
  </w:num>
  <w:num w:numId="76">
    <w:abstractNumId w:val="41"/>
  </w:num>
  <w:num w:numId="77">
    <w:abstractNumId w:val="50"/>
  </w:num>
  <w:num w:numId="78">
    <w:abstractNumId w:val="68"/>
  </w:num>
  <w:num w:numId="79">
    <w:abstractNumId w:val="86"/>
  </w:num>
  <w:num w:numId="80">
    <w:abstractNumId w:val="10"/>
  </w:num>
  <w:num w:numId="81">
    <w:abstractNumId w:val="25"/>
  </w:num>
  <w:num w:numId="82">
    <w:abstractNumId w:val="14"/>
  </w:num>
  <w:num w:numId="83">
    <w:abstractNumId w:val="36"/>
  </w:num>
  <w:num w:numId="84">
    <w:abstractNumId w:val="37"/>
  </w:num>
  <w:num w:numId="85">
    <w:abstractNumId w:val="45"/>
  </w:num>
  <w:num w:numId="86">
    <w:abstractNumId w:val="20"/>
  </w:num>
  <w:num w:numId="87">
    <w:abstractNumId w:val="44"/>
  </w:num>
  <w:num w:numId="88">
    <w:abstractNumId w:val="56"/>
  </w:num>
  <w:num w:numId="89">
    <w:abstractNumId w:val="82"/>
  </w:num>
  <w:num w:numId="90">
    <w:abstractNumId w:val="23"/>
  </w:num>
  <w:num w:numId="91">
    <w:abstractNumId w:val="72"/>
  </w:num>
  <w:num w:numId="92">
    <w:abstractNumId w:val="87"/>
  </w:num>
  <w:num w:numId="93">
    <w:abstractNumId w:val="4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5C"/>
    <w:rsid w:val="0000201E"/>
    <w:rsid w:val="00002294"/>
    <w:rsid w:val="00003367"/>
    <w:rsid w:val="00006196"/>
    <w:rsid w:val="00011933"/>
    <w:rsid w:val="00012101"/>
    <w:rsid w:val="00012194"/>
    <w:rsid w:val="0001278C"/>
    <w:rsid w:val="000129B1"/>
    <w:rsid w:val="00015068"/>
    <w:rsid w:val="00016E98"/>
    <w:rsid w:val="0002031E"/>
    <w:rsid w:val="00021461"/>
    <w:rsid w:val="000216EE"/>
    <w:rsid w:val="000221EF"/>
    <w:rsid w:val="00022B94"/>
    <w:rsid w:val="00023202"/>
    <w:rsid w:val="000233ED"/>
    <w:rsid w:val="00024090"/>
    <w:rsid w:val="0002512A"/>
    <w:rsid w:val="00025344"/>
    <w:rsid w:val="00025D7F"/>
    <w:rsid w:val="00026869"/>
    <w:rsid w:val="00026C1C"/>
    <w:rsid w:val="00027FD5"/>
    <w:rsid w:val="00030444"/>
    <w:rsid w:val="0003294F"/>
    <w:rsid w:val="00033621"/>
    <w:rsid w:val="00034FB1"/>
    <w:rsid w:val="00040051"/>
    <w:rsid w:val="000400BE"/>
    <w:rsid w:val="000408E6"/>
    <w:rsid w:val="00041119"/>
    <w:rsid w:val="0004371D"/>
    <w:rsid w:val="00043C42"/>
    <w:rsid w:val="00043D32"/>
    <w:rsid w:val="00044C7D"/>
    <w:rsid w:val="000456A9"/>
    <w:rsid w:val="00045755"/>
    <w:rsid w:val="0004599C"/>
    <w:rsid w:val="00045D6F"/>
    <w:rsid w:val="00046A77"/>
    <w:rsid w:val="000473FF"/>
    <w:rsid w:val="00047D1A"/>
    <w:rsid w:val="0005115C"/>
    <w:rsid w:val="00053703"/>
    <w:rsid w:val="00057A24"/>
    <w:rsid w:val="00060DAF"/>
    <w:rsid w:val="00062CB5"/>
    <w:rsid w:val="000652CA"/>
    <w:rsid w:val="00065411"/>
    <w:rsid w:val="00070A45"/>
    <w:rsid w:val="00071E15"/>
    <w:rsid w:val="0007316C"/>
    <w:rsid w:val="000779A7"/>
    <w:rsid w:val="00080E52"/>
    <w:rsid w:val="000810E0"/>
    <w:rsid w:val="0008240F"/>
    <w:rsid w:val="00082611"/>
    <w:rsid w:val="000840B6"/>
    <w:rsid w:val="00084B7B"/>
    <w:rsid w:val="0008597D"/>
    <w:rsid w:val="00085E4A"/>
    <w:rsid w:val="0008625A"/>
    <w:rsid w:val="00091EE0"/>
    <w:rsid w:val="000922AF"/>
    <w:rsid w:val="00094DDE"/>
    <w:rsid w:val="00095167"/>
    <w:rsid w:val="00095561"/>
    <w:rsid w:val="000979A8"/>
    <w:rsid w:val="000A2933"/>
    <w:rsid w:val="000A40A0"/>
    <w:rsid w:val="000B00CE"/>
    <w:rsid w:val="000B0706"/>
    <w:rsid w:val="000B07AC"/>
    <w:rsid w:val="000B1D5E"/>
    <w:rsid w:val="000B3931"/>
    <w:rsid w:val="000B56B8"/>
    <w:rsid w:val="000B59DA"/>
    <w:rsid w:val="000B78C2"/>
    <w:rsid w:val="000C00BE"/>
    <w:rsid w:val="000C0278"/>
    <w:rsid w:val="000C083F"/>
    <w:rsid w:val="000C08A6"/>
    <w:rsid w:val="000C1244"/>
    <w:rsid w:val="000C292B"/>
    <w:rsid w:val="000C2E22"/>
    <w:rsid w:val="000C2E64"/>
    <w:rsid w:val="000C32D5"/>
    <w:rsid w:val="000C4C95"/>
    <w:rsid w:val="000C5569"/>
    <w:rsid w:val="000C62A6"/>
    <w:rsid w:val="000C62F0"/>
    <w:rsid w:val="000C6FD7"/>
    <w:rsid w:val="000D0143"/>
    <w:rsid w:val="000D018E"/>
    <w:rsid w:val="000D0CE9"/>
    <w:rsid w:val="000D1529"/>
    <w:rsid w:val="000D1BE5"/>
    <w:rsid w:val="000D2791"/>
    <w:rsid w:val="000D3C0A"/>
    <w:rsid w:val="000D3C45"/>
    <w:rsid w:val="000D3E58"/>
    <w:rsid w:val="000D58A6"/>
    <w:rsid w:val="000D5E33"/>
    <w:rsid w:val="000D6436"/>
    <w:rsid w:val="000D70E0"/>
    <w:rsid w:val="000E268C"/>
    <w:rsid w:val="000E4CE3"/>
    <w:rsid w:val="000E67B1"/>
    <w:rsid w:val="000F12DE"/>
    <w:rsid w:val="000F2DD3"/>
    <w:rsid w:val="000F4D15"/>
    <w:rsid w:val="000F5124"/>
    <w:rsid w:val="0010024A"/>
    <w:rsid w:val="00102A06"/>
    <w:rsid w:val="00102B4D"/>
    <w:rsid w:val="001042A0"/>
    <w:rsid w:val="001078E6"/>
    <w:rsid w:val="001100F1"/>
    <w:rsid w:val="00110A98"/>
    <w:rsid w:val="001112E1"/>
    <w:rsid w:val="00112079"/>
    <w:rsid w:val="00112168"/>
    <w:rsid w:val="001129CF"/>
    <w:rsid w:val="00112A22"/>
    <w:rsid w:val="0011458F"/>
    <w:rsid w:val="00114957"/>
    <w:rsid w:val="00114E6B"/>
    <w:rsid w:val="00115609"/>
    <w:rsid w:val="001162A7"/>
    <w:rsid w:val="001163B8"/>
    <w:rsid w:val="00116832"/>
    <w:rsid w:val="00116D98"/>
    <w:rsid w:val="00116DFF"/>
    <w:rsid w:val="00120323"/>
    <w:rsid w:val="00121A78"/>
    <w:rsid w:val="00121E29"/>
    <w:rsid w:val="00122201"/>
    <w:rsid w:val="0012250A"/>
    <w:rsid w:val="00122516"/>
    <w:rsid w:val="00122C6A"/>
    <w:rsid w:val="001234C2"/>
    <w:rsid w:val="00124B42"/>
    <w:rsid w:val="0012606F"/>
    <w:rsid w:val="001263A7"/>
    <w:rsid w:val="00127794"/>
    <w:rsid w:val="00127FEC"/>
    <w:rsid w:val="001302BE"/>
    <w:rsid w:val="0013140F"/>
    <w:rsid w:val="00131E67"/>
    <w:rsid w:val="00132985"/>
    <w:rsid w:val="00132FE9"/>
    <w:rsid w:val="00133161"/>
    <w:rsid w:val="00133FEA"/>
    <w:rsid w:val="001358CF"/>
    <w:rsid w:val="00135CF0"/>
    <w:rsid w:val="00136465"/>
    <w:rsid w:val="00141970"/>
    <w:rsid w:val="00142412"/>
    <w:rsid w:val="0014297C"/>
    <w:rsid w:val="00142BE0"/>
    <w:rsid w:val="00143885"/>
    <w:rsid w:val="001452D7"/>
    <w:rsid w:val="0014788E"/>
    <w:rsid w:val="00150216"/>
    <w:rsid w:val="001516EA"/>
    <w:rsid w:val="00152B17"/>
    <w:rsid w:val="001537DA"/>
    <w:rsid w:val="00153FA4"/>
    <w:rsid w:val="001542BB"/>
    <w:rsid w:val="001549B1"/>
    <w:rsid w:val="00156587"/>
    <w:rsid w:val="001565C2"/>
    <w:rsid w:val="001566AF"/>
    <w:rsid w:val="00157558"/>
    <w:rsid w:val="00157AA7"/>
    <w:rsid w:val="00161193"/>
    <w:rsid w:val="00162BB8"/>
    <w:rsid w:val="00163273"/>
    <w:rsid w:val="001640AE"/>
    <w:rsid w:val="001651BA"/>
    <w:rsid w:val="00167923"/>
    <w:rsid w:val="00167E39"/>
    <w:rsid w:val="00171DB9"/>
    <w:rsid w:val="00171E21"/>
    <w:rsid w:val="001721CD"/>
    <w:rsid w:val="00172B81"/>
    <w:rsid w:val="00172EFD"/>
    <w:rsid w:val="00172F5D"/>
    <w:rsid w:val="0017373E"/>
    <w:rsid w:val="00174387"/>
    <w:rsid w:val="00175E93"/>
    <w:rsid w:val="00176182"/>
    <w:rsid w:val="0017761C"/>
    <w:rsid w:val="00177CB6"/>
    <w:rsid w:val="00180D0D"/>
    <w:rsid w:val="001823CE"/>
    <w:rsid w:val="00183449"/>
    <w:rsid w:val="00184690"/>
    <w:rsid w:val="0018560E"/>
    <w:rsid w:val="00185C6D"/>
    <w:rsid w:val="00191DFA"/>
    <w:rsid w:val="00191F55"/>
    <w:rsid w:val="00192F70"/>
    <w:rsid w:val="00193F16"/>
    <w:rsid w:val="001948C7"/>
    <w:rsid w:val="00195ED4"/>
    <w:rsid w:val="00196BE7"/>
    <w:rsid w:val="001A0316"/>
    <w:rsid w:val="001A1A71"/>
    <w:rsid w:val="001A1D73"/>
    <w:rsid w:val="001A405A"/>
    <w:rsid w:val="001A4C97"/>
    <w:rsid w:val="001A610F"/>
    <w:rsid w:val="001A7706"/>
    <w:rsid w:val="001A79CE"/>
    <w:rsid w:val="001A7A19"/>
    <w:rsid w:val="001A7F2D"/>
    <w:rsid w:val="001B02A9"/>
    <w:rsid w:val="001B1476"/>
    <w:rsid w:val="001B1A56"/>
    <w:rsid w:val="001B2385"/>
    <w:rsid w:val="001B4D6B"/>
    <w:rsid w:val="001B529E"/>
    <w:rsid w:val="001C10FD"/>
    <w:rsid w:val="001C15E6"/>
    <w:rsid w:val="001C192E"/>
    <w:rsid w:val="001C1EA2"/>
    <w:rsid w:val="001C3B8C"/>
    <w:rsid w:val="001C3BF8"/>
    <w:rsid w:val="001C40A3"/>
    <w:rsid w:val="001C5ECB"/>
    <w:rsid w:val="001D1317"/>
    <w:rsid w:val="001D1AB6"/>
    <w:rsid w:val="001D2012"/>
    <w:rsid w:val="001D2D61"/>
    <w:rsid w:val="001D39E2"/>
    <w:rsid w:val="001D42CF"/>
    <w:rsid w:val="001D456F"/>
    <w:rsid w:val="001D4862"/>
    <w:rsid w:val="001D7213"/>
    <w:rsid w:val="001D7A01"/>
    <w:rsid w:val="001D7CDD"/>
    <w:rsid w:val="001E00FE"/>
    <w:rsid w:val="001E1BB1"/>
    <w:rsid w:val="001E4266"/>
    <w:rsid w:val="001E4A1C"/>
    <w:rsid w:val="001E6C68"/>
    <w:rsid w:val="001E77B5"/>
    <w:rsid w:val="001E7D22"/>
    <w:rsid w:val="001F0F0C"/>
    <w:rsid w:val="001F1200"/>
    <w:rsid w:val="001F1ED6"/>
    <w:rsid w:val="001F255C"/>
    <w:rsid w:val="001F27C3"/>
    <w:rsid w:val="001F292E"/>
    <w:rsid w:val="001F3DC7"/>
    <w:rsid w:val="001F5673"/>
    <w:rsid w:val="001F5865"/>
    <w:rsid w:val="001F6205"/>
    <w:rsid w:val="001F718B"/>
    <w:rsid w:val="00201BDE"/>
    <w:rsid w:val="00203CC8"/>
    <w:rsid w:val="00204422"/>
    <w:rsid w:val="00204F04"/>
    <w:rsid w:val="00206732"/>
    <w:rsid w:val="0021083A"/>
    <w:rsid w:val="00210F7A"/>
    <w:rsid w:val="002125D1"/>
    <w:rsid w:val="00213CC4"/>
    <w:rsid w:val="00213E08"/>
    <w:rsid w:val="0021405C"/>
    <w:rsid w:val="00214325"/>
    <w:rsid w:val="0021470B"/>
    <w:rsid w:val="00215673"/>
    <w:rsid w:val="00216416"/>
    <w:rsid w:val="00217E1B"/>
    <w:rsid w:val="00220112"/>
    <w:rsid w:val="002216C0"/>
    <w:rsid w:val="00223ABE"/>
    <w:rsid w:val="002275B0"/>
    <w:rsid w:val="00232906"/>
    <w:rsid w:val="00233176"/>
    <w:rsid w:val="002401B0"/>
    <w:rsid w:val="00240757"/>
    <w:rsid w:val="002412CA"/>
    <w:rsid w:val="002414F0"/>
    <w:rsid w:val="00241517"/>
    <w:rsid w:val="00241915"/>
    <w:rsid w:val="002426C1"/>
    <w:rsid w:val="00242A17"/>
    <w:rsid w:val="00242A94"/>
    <w:rsid w:val="00244551"/>
    <w:rsid w:val="00244A5B"/>
    <w:rsid w:val="00246370"/>
    <w:rsid w:val="00246A0A"/>
    <w:rsid w:val="00246EA6"/>
    <w:rsid w:val="00247381"/>
    <w:rsid w:val="00247542"/>
    <w:rsid w:val="0025353C"/>
    <w:rsid w:val="00256242"/>
    <w:rsid w:val="002578CA"/>
    <w:rsid w:val="00257D0C"/>
    <w:rsid w:val="00257D98"/>
    <w:rsid w:val="0026011E"/>
    <w:rsid w:val="00260446"/>
    <w:rsid w:val="00261B67"/>
    <w:rsid w:val="00261F6F"/>
    <w:rsid w:val="002621DC"/>
    <w:rsid w:val="002624BF"/>
    <w:rsid w:val="00263525"/>
    <w:rsid w:val="00263A34"/>
    <w:rsid w:val="0026413E"/>
    <w:rsid w:val="00264FE3"/>
    <w:rsid w:val="00266377"/>
    <w:rsid w:val="00266555"/>
    <w:rsid w:val="0026744E"/>
    <w:rsid w:val="00270647"/>
    <w:rsid w:val="002712D2"/>
    <w:rsid w:val="0027294C"/>
    <w:rsid w:val="00272BE2"/>
    <w:rsid w:val="0027711A"/>
    <w:rsid w:val="00281B7C"/>
    <w:rsid w:val="00282CD1"/>
    <w:rsid w:val="002839D2"/>
    <w:rsid w:val="002844FB"/>
    <w:rsid w:val="0028569C"/>
    <w:rsid w:val="00286AB3"/>
    <w:rsid w:val="002875A6"/>
    <w:rsid w:val="00290BCA"/>
    <w:rsid w:val="00291831"/>
    <w:rsid w:val="00292301"/>
    <w:rsid w:val="002925A0"/>
    <w:rsid w:val="00292942"/>
    <w:rsid w:val="00292E41"/>
    <w:rsid w:val="00293015"/>
    <w:rsid w:val="0029465F"/>
    <w:rsid w:val="00294F72"/>
    <w:rsid w:val="00297B1E"/>
    <w:rsid w:val="002A0B11"/>
    <w:rsid w:val="002A10A8"/>
    <w:rsid w:val="002A1AB7"/>
    <w:rsid w:val="002A47EE"/>
    <w:rsid w:val="002A5720"/>
    <w:rsid w:val="002A6AB5"/>
    <w:rsid w:val="002B05F9"/>
    <w:rsid w:val="002B22A4"/>
    <w:rsid w:val="002B291A"/>
    <w:rsid w:val="002B29FB"/>
    <w:rsid w:val="002B3BCE"/>
    <w:rsid w:val="002B3EEC"/>
    <w:rsid w:val="002B5DEB"/>
    <w:rsid w:val="002B6730"/>
    <w:rsid w:val="002C006F"/>
    <w:rsid w:val="002C062E"/>
    <w:rsid w:val="002C19E9"/>
    <w:rsid w:val="002C274E"/>
    <w:rsid w:val="002C35CB"/>
    <w:rsid w:val="002C3C0C"/>
    <w:rsid w:val="002C3DBD"/>
    <w:rsid w:val="002C46C9"/>
    <w:rsid w:val="002C6BA1"/>
    <w:rsid w:val="002C7425"/>
    <w:rsid w:val="002D2A1D"/>
    <w:rsid w:val="002D3DFB"/>
    <w:rsid w:val="002D4B8D"/>
    <w:rsid w:val="002D4F17"/>
    <w:rsid w:val="002D5310"/>
    <w:rsid w:val="002E0280"/>
    <w:rsid w:val="002E0F01"/>
    <w:rsid w:val="002E1117"/>
    <w:rsid w:val="002E11F3"/>
    <w:rsid w:val="002E213A"/>
    <w:rsid w:val="002E21CE"/>
    <w:rsid w:val="002E2C0B"/>
    <w:rsid w:val="002E3F19"/>
    <w:rsid w:val="002E4EBC"/>
    <w:rsid w:val="002E5043"/>
    <w:rsid w:val="002E7785"/>
    <w:rsid w:val="002E791E"/>
    <w:rsid w:val="002E7BC0"/>
    <w:rsid w:val="002F0FA9"/>
    <w:rsid w:val="002F252C"/>
    <w:rsid w:val="002F3980"/>
    <w:rsid w:val="002F407E"/>
    <w:rsid w:val="002F79E8"/>
    <w:rsid w:val="00300854"/>
    <w:rsid w:val="00300FB4"/>
    <w:rsid w:val="00301752"/>
    <w:rsid w:val="00302098"/>
    <w:rsid w:val="00302C27"/>
    <w:rsid w:val="00303A2F"/>
    <w:rsid w:val="00303F1E"/>
    <w:rsid w:val="003044F6"/>
    <w:rsid w:val="0030536D"/>
    <w:rsid w:val="003054BF"/>
    <w:rsid w:val="003055A0"/>
    <w:rsid w:val="003059DD"/>
    <w:rsid w:val="00305A46"/>
    <w:rsid w:val="00306C15"/>
    <w:rsid w:val="00306D18"/>
    <w:rsid w:val="00311378"/>
    <w:rsid w:val="00311CE4"/>
    <w:rsid w:val="00313525"/>
    <w:rsid w:val="00313584"/>
    <w:rsid w:val="0031604A"/>
    <w:rsid w:val="00316ECA"/>
    <w:rsid w:val="0031710C"/>
    <w:rsid w:val="00317247"/>
    <w:rsid w:val="003177B6"/>
    <w:rsid w:val="003200B1"/>
    <w:rsid w:val="003200E8"/>
    <w:rsid w:val="0032448E"/>
    <w:rsid w:val="003278ED"/>
    <w:rsid w:val="003304C0"/>
    <w:rsid w:val="0033091A"/>
    <w:rsid w:val="00330D99"/>
    <w:rsid w:val="00330FF9"/>
    <w:rsid w:val="00331234"/>
    <w:rsid w:val="00332582"/>
    <w:rsid w:val="00335619"/>
    <w:rsid w:val="0034730B"/>
    <w:rsid w:val="0035045D"/>
    <w:rsid w:val="00351663"/>
    <w:rsid w:val="00351E3A"/>
    <w:rsid w:val="00352357"/>
    <w:rsid w:val="0035352A"/>
    <w:rsid w:val="00353692"/>
    <w:rsid w:val="00353F46"/>
    <w:rsid w:val="00355BAB"/>
    <w:rsid w:val="003600BD"/>
    <w:rsid w:val="003602EF"/>
    <w:rsid w:val="0036265F"/>
    <w:rsid w:val="00364192"/>
    <w:rsid w:val="00364B19"/>
    <w:rsid w:val="00365217"/>
    <w:rsid w:val="00365256"/>
    <w:rsid w:val="0036794B"/>
    <w:rsid w:val="00367D4F"/>
    <w:rsid w:val="003702A1"/>
    <w:rsid w:val="0037092E"/>
    <w:rsid w:val="003724F3"/>
    <w:rsid w:val="003743AF"/>
    <w:rsid w:val="00376772"/>
    <w:rsid w:val="00377F87"/>
    <w:rsid w:val="00381D99"/>
    <w:rsid w:val="003843C6"/>
    <w:rsid w:val="003845C1"/>
    <w:rsid w:val="003873E0"/>
    <w:rsid w:val="00387D69"/>
    <w:rsid w:val="00391095"/>
    <w:rsid w:val="0039200F"/>
    <w:rsid w:val="00394F51"/>
    <w:rsid w:val="00395014"/>
    <w:rsid w:val="00395157"/>
    <w:rsid w:val="00396083"/>
    <w:rsid w:val="003967E9"/>
    <w:rsid w:val="00397999"/>
    <w:rsid w:val="003A206C"/>
    <w:rsid w:val="003A43C0"/>
    <w:rsid w:val="003A480F"/>
    <w:rsid w:val="003A4C09"/>
    <w:rsid w:val="003A4E20"/>
    <w:rsid w:val="003A631C"/>
    <w:rsid w:val="003A682C"/>
    <w:rsid w:val="003A73AA"/>
    <w:rsid w:val="003B2A64"/>
    <w:rsid w:val="003B478D"/>
    <w:rsid w:val="003B533B"/>
    <w:rsid w:val="003B7B3B"/>
    <w:rsid w:val="003B7D00"/>
    <w:rsid w:val="003C00E1"/>
    <w:rsid w:val="003C0410"/>
    <w:rsid w:val="003C1083"/>
    <w:rsid w:val="003C11BC"/>
    <w:rsid w:val="003C1206"/>
    <w:rsid w:val="003C1450"/>
    <w:rsid w:val="003C1B19"/>
    <w:rsid w:val="003C1C3A"/>
    <w:rsid w:val="003C23FF"/>
    <w:rsid w:val="003C2D4E"/>
    <w:rsid w:val="003C3705"/>
    <w:rsid w:val="003C3E84"/>
    <w:rsid w:val="003C3F1B"/>
    <w:rsid w:val="003C4120"/>
    <w:rsid w:val="003C45F4"/>
    <w:rsid w:val="003C4C18"/>
    <w:rsid w:val="003C5745"/>
    <w:rsid w:val="003C5BD7"/>
    <w:rsid w:val="003C762B"/>
    <w:rsid w:val="003D0FB4"/>
    <w:rsid w:val="003D1316"/>
    <w:rsid w:val="003D2189"/>
    <w:rsid w:val="003D2EC1"/>
    <w:rsid w:val="003D4173"/>
    <w:rsid w:val="003D452B"/>
    <w:rsid w:val="003D471F"/>
    <w:rsid w:val="003D4855"/>
    <w:rsid w:val="003D4AA3"/>
    <w:rsid w:val="003D4D78"/>
    <w:rsid w:val="003D4F6B"/>
    <w:rsid w:val="003D584A"/>
    <w:rsid w:val="003D5D65"/>
    <w:rsid w:val="003D6A26"/>
    <w:rsid w:val="003D76A9"/>
    <w:rsid w:val="003D7929"/>
    <w:rsid w:val="003E09B3"/>
    <w:rsid w:val="003E0C29"/>
    <w:rsid w:val="003E2079"/>
    <w:rsid w:val="003E208F"/>
    <w:rsid w:val="003E2CD3"/>
    <w:rsid w:val="003E311D"/>
    <w:rsid w:val="003E372D"/>
    <w:rsid w:val="003E66A4"/>
    <w:rsid w:val="003E797E"/>
    <w:rsid w:val="003F0164"/>
    <w:rsid w:val="003F1EB9"/>
    <w:rsid w:val="003F1F4B"/>
    <w:rsid w:val="003F2077"/>
    <w:rsid w:val="003F3441"/>
    <w:rsid w:val="003F3A71"/>
    <w:rsid w:val="003F3EBD"/>
    <w:rsid w:val="003F5E42"/>
    <w:rsid w:val="003F6416"/>
    <w:rsid w:val="003F7608"/>
    <w:rsid w:val="00400966"/>
    <w:rsid w:val="00400C36"/>
    <w:rsid w:val="00401370"/>
    <w:rsid w:val="00401382"/>
    <w:rsid w:val="00402FAE"/>
    <w:rsid w:val="0040385D"/>
    <w:rsid w:val="00403D23"/>
    <w:rsid w:val="00403F9D"/>
    <w:rsid w:val="00405F9B"/>
    <w:rsid w:val="00406834"/>
    <w:rsid w:val="00406A31"/>
    <w:rsid w:val="00407BAA"/>
    <w:rsid w:val="00410848"/>
    <w:rsid w:val="004140B6"/>
    <w:rsid w:val="00414191"/>
    <w:rsid w:val="00416BEE"/>
    <w:rsid w:val="00417C24"/>
    <w:rsid w:val="00417D5C"/>
    <w:rsid w:val="0042033D"/>
    <w:rsid w:val="00421482"/>
    <w:rsid w:val="00422189"/>
    <w:rsid w:val="0042275F"/>
    <w:rsid w:val="00425B2A"/>
    <w:rsid w:val="00427A57"/>
    <w:rsid w:val="00427BC8"/>
    <w:rsid w:val="004327A8"/>
    <w:rsid w:val="00433881"/>
    <w:rsid w:val="00434CF5"/>
    <w:rsid w:val="00436A23"/>
    <w:rsid w:val="004373CE"/>
    <w:rsid w:val="00440FE8"/>
    <w:rsid w:val="0044327F"/>
    <w:rsid w:val="004447AA"/>
    <w:rsid w:val="004449D4"/>
    <w:rsid w:val="00445A22"/>
    <w:rsid w:val="00445A47"/>
    <w:rsid w:val="00447E2C"/>
    <w:rsid w:val="004513BA"/>
    <w:rsid w:val="0045447D"/>
    <w:rsid w:val="004546ED"/>
    <w:rsid w:val="004549A3"/>
    <w:rsid w:val="004559C9"/>
    <w:rsid w:val="004568C1"/>
    <w:rsid w:val="004568D7"/>
    <w:rsid w:val="00456F60"/>
    <w:rsid w:val="00456F9A"/>
    <w:rsid w:val="004576DB"/>
    <w:rsid w:val="00461007"/>
    <w:rsid w:val="00462003"/>
    <w:rsid w:val="00462962"/>
    <w:rsid w:val="004656EF"/>
    <w:rsid w:val="00465F57"/>
    <w:rsid w:val="00467A1A"/>
    <w:rsid w:val="00470001"/>
    <w:rsid w:val="00470330"/>
    <w:rsid w:val="004709FB"/>
    <w:rsid w:val="0047153B"/>
    <w:rsid w:val="00472B5C"/>
    <w:rsid w:val="00472BD6"/>
    <w:rsid w:val="00473A9F"/>
    <w:rsid w:val="00474594"/>
    <w:rsid w:val="004746B2"/>
    <w:rsid w:val="00474D38"/>
    <w:rsid w:val="0047666E"/>
    <w:rsid w:val="00477182"/>
    <w:rsid w:val="00480867"/>
    <w:rsid w:val="00481CDF"/>
    <w:rsid w:val="00483A65"/>
    <w:rsid w:val="00483C62"/>
    <w:rsid w:val="00486A1F"/>
    <w:rsid w:val="00487349"/>
    <w:rsid w:val="0049032C"/>
    <w:rsid w:val="00490A75"/>
    <w:rsid w:val="00491B0C"/>
    <w:rsid w:val="00492842"/>
    <w:rsid w:val="0049306D"/>
    <w:rsid w:val="00496032"/>
    <w:rsid w:val="0049624D"/>
    <w:rsid w:val="00496921"/>
    <w:rsid w:val="004A14B9"/>
    <w:rsid w:val="004A18E6"/>
    <w:rsid w:val="004A287E"/>
    <w:rsid w:val="004A29BB"/>
    <w:rsid w:val="004A3418"/>
    <w:rsid w:val="004A3447"/>
    <w:rsid w:val="004A4BF5"/>
    <w:rsid w:val="004A6905"/>
    <w:rsid w:val="004A78BB"/>
    <w:rsid w:val="004B1C54"/>
    <w:rsid w:val="004B27EA"/>
    <w:rsid w:val="004B2E0B"/>
    <w:rsid w:val="004B357F"/>
    <w:rsid w:val="004B45EC"/>
    <w:rsid w:val="004B7E3D"/>
    <w:rsid w:val="004C051E"/>
    <w:rsid w:val="004C1234"/>
    <w:rsid w:val="004C276B"/>
    <w:rsid w:val="004C2A83"/>
    <w:rsid w:val="004C2F1E"/>
    <w:rsid w:val="004C3336"/>
    <w:rsid w:val="004C6B4B"/>
    <w:rsid w:val="004C7F4E"/>
    <w:rsid w:val="004D0A41"/>
    <w:rsid w:val="004D0E64"/>
    <w:rsid w:val="004D21FB"/>
    <w:rsid w:val="004D3447"/>
    <w:rsid w:val="004D7F28"/>
    <w:rsid w:val="004E075C"/>
    <w:rsid w:val="004E0FCF"/>
    <w:rsid w:val="004E10FD"/>
    <w:rsid w:val="004E205F"/>
    <w:rsid w:val="004E22EA"/>
    <w:rsid w:val="004E2DB0"/>
    <w:rsid w:val="004E305F"/>
    <w:rsid w:val="004E3447"/>
    <w:rsid w:val="004E3EE9"/>
    <w:rsid w:val="004E499D"/>
    <w:rsid w:val="004E5504"/>
    <w:rsid w:val="004E564D"/>
    <w:rsid w:val="004E7D0F"/>
    <w:rsid w:val="004F0274"/>
    <w:rsid w:val="004F2394"/>
    <w:rsid w:val="004F2F42"/>
    <w:rsid w:val="004F4275"/>
    <w:rsid w:val="004F4DDA"/>
    <w:rsid w:val="004F6B98"/>
    <w:rsid w:val="005000ED"/>
    <w:rsid w:val="00500AE6"/>
    <w:rsid w:val="00500FCC"/>
    <w:rsid w:val="00502266"/>
    <w:rsid w:val="00506739"/>
    <w:rsid w:val="00506CE8"/>
    <w:rsid w:val="00507161"/>
    <w:rsid w:val="005076CB"/>
    <w:rsid w:val="00507CD5"/>
    <w:rsid w:val="00510919"/>
    <w:rsid w:val="00511A60"/>
    <w:rsid w:val="00513D90"/>
    <w:rsid w:val="00515321"/>
    <w:rsid w:val="00515415"/>
    <w:rsid w:val="00516DAB"/>
    <w:rsid w:val="005177E5"/>
    <w:rsid w:val="00523C95"/>
    <w:rsid w:val="00523FFA"/>
    <w:rsid w:val="00530AC6"/>
    <w:rsid w:val="005330E2"/>
    <w:rsid w:val="00533321"/>
    <w:rsid w:val="005333DB"/>
    <w:rsid w:val="005335BB"/>
    <w:rsid w:val="00533FBA"/>
    <w:rsid w:val="00534476"/>
    <w:rsid w:val="0053486B"/>
    <w:rsid w:val="00536A5C"/>
    <w:rsid w:val="00536CA7"/>
    <w:rsid w:val="00537128"/>
    <w:rsid w:val="00540CA9"/>
    <w:rsid w:val="00541923"/>
    <w:rsid w:val="00542D4D"/>
    <w:rsid w:val="00544A43"/>
    <w:rsid w:val="00544E11"/>
    <w:rsid w:val="00545047"/>
    <w:rsid w:val="005465AB"/>
    <w:rsid w:val="00550322"/>
    <w:rsid w:val="00550FCF"/>
    <w:rsid w:val="00551B88"/>
    <w:rsid w:val="00551BEB"/>
    <w:rsid w:val="00552710"/>
    <w:rsid w:val="00552D97"/>
    <w:rsid w:val="00555104"/>
    <w:rsid w:val="00556620"/>
    <w:rsid w:val="005573A3"/>
    <w:rsid w:val="005575A4"/>
    <w:rsid w:val="0055766C"/>
    <w:rsid w:val="00561218"/>
    <w:rsid w:val="00562096"/>
    <w:rsid w:val="00562A1C"/>
    <w:rsid w:val="00562B2C"/>
    <w:rsid w:val="00563C41"/>
    <w:rsid w:val="005643FC"/>
    <w:rsid w:val="0056538E"/>
    <w:rsid w:val="00565B70"/>
    <w:rsid w:val="00567D93"/>
    <w:rsid w:val="00567E47"/>
    <w:rsid w:val="00571137"/>
    <w:rsid w:val="00571865"/>
    <w:rsid w:val="0057200A"/>
    <w:rsid w:val="00573A8C"/>
    <w:rsid w:val="00573C16"/>
    <w:rsid w:val="0057419D"/>
    <w:rsid w:val="005742C2"/>
    <w:rsid w:val="00574581"/>
    <w:rsid w:val="005764BE"/>
    <w:rsid w:val="00576ABE"/>
    <w:rsid w:val="00577016"/>
    <w:rsid w:val="00577353"/>
    <w:rsid w:val="005809A6"/>
    <w:rsid w:val="00581455"/>
    <w:rsid w:val="005818BB"/>
    <w:rsid w:val="00581E58"/>
    <w:rsid w:val="005834F2"/>
    <w:rsid w:val="00584F3E"/>
    <w:rsid w:val="0058555D"/>
    <w:rsid w:val="005855E2"/>
    <w:rsid w:val="00585C66"/>
    <w:rsid w:val="0059178E"/>
    <w:rsid w:val="00595D58"/>
    <w:rsid w:val="00596A50"/>
    <w:rsid w:val="005A2277"/>
    <w:rsid w:val="005A39D4"/>
    <w:rsid w:val="005A40C4"/>
    <w:rsid w:val="005A445C"/>
    <w:rsid w:val="005A465C"/>
    <w:rsid w:val="005A4EB0"/>
    <w:rsid w:val="005A5760"/>
    <w:rsid w:val="005B0C42"/>
    <w:rsid w:val="005B1F11"/>
    <w:rsid w:val="005B3D2C"/>
    <w:rsid w:val="005B3EC0"/>
    <w:rsid w:val="005B435A"/>
    <w:rsid w:val="005B489F"/>
    <w:rsid w:val="005B4A6F"/>
    <w:rsid w:val="005B4F2F"/>
    <w:rsid w:val="005B571C"/>
    <w:rsid w:val="005B5AAF"/>
    <w:rsid w:val="005B6F5F"/>
    <w:rsid w:val="005B7A29"/>
    <w:rsid w:val="005B7D9D"/>
    <w:rsid w:val="005C029D"/>
    <w:rsid w:val="005C1D73"/>
    <w:rsid w:val="005C2221"/>
    <w:rsid w:val="005C3001"/>
    <w:rsid w:val="005C4460"/>
    <w:rsid w:val="005C528F"/>
    <w:rsid w:val="005C633D"/>
    <w:rsid w:val="005C65C0"/>
    <w:rsid w:val="005C6D18"/>
    <w:rsid w:val="005D03C1"/>
    <w:rsid w:val="005D1B88"/>
    <w:rsid w:val="005D23EF"/>
    <w:rsid w:val="005D260E"/>
    <w:rsid w:val="005D326E"/>
    <w:rsid w:val="005D42DF"/>
    <w:rsid w:val="005D79FF"/>
    <w:rsid w:val="005D7D72"/>
    <w:rsid w:val="005E0B68"/>
    <w:rsid w:val="005E1350"/>
    <w:rsid w:val="005E22B9"/>
    <w:rsid w:val="005E25FB"/>
    <w:rsid w:val="005E5A60"/>
    <w:rsid w:val="005F07CF"/>
    <w:rsid w:val="005F0BE2"/>
    <w:rsid w:val="005F0FA0"/>
    <w:rsid w:val="005F2587"/>
    <w:rsid w:val="005F35C0"/>
    <w:rsid w:val="005F4645"/>
    <w:rsid w:val="005F60F0"/>
    <w:rsid w:val="006000E7"/>
    <w:rsid w:val="00600297"/>
    <w:rsid w:val="00601040"/>
    <w:rsid w:val="00601076"/>
    <w:rsid w:val="00601C0D"/>
    <w:rsid w:val="0060226C"/>
    <w:rsid w:val="006031DA"/>
    <w:rsid w:val="006043E7"/>
    <w:rsid w:val="0060472E"/>
    <w:rsid w:val="00606DF5"/>
    <w:rsid w:val="006110BD"/>
    <w:rsid w:val="00611FED"/>
    <w:rsid w:val="006120E4"/>
    <w:rsid w:val="0061241D"/>
    <w:rsid w:val="00612BD2"/>
    <w:rsid w:val="00615CD7"/>
    <w:rsid w:val="00615CFA"/>
    <w:rsid w:val="00616AF9"/>
    <w:rsid w:val="00617A1E"/>
    <w:rsid w:val="00620EB3"/>
    <w:rsid w:val="00622479"/>
    <w:rsid w:val="006226B1"/>
    <w:rsid w:val="00623585"/>
    <w:rsid w:val="00623829"/>
    <w:rsid w:val="00625BC4"/>
    <w:rsid w:val="00625ECB"/>
    <w:rsid w:val="00626591"/>
    <w:rsid w:val="006274E4"/>
    <w:rsid w:val="00630410"/>
    <w:rsid w:val="0063092D"/>
    <w:rsid w:val="00630D92"/>
    <w:rsid w:val="00631A56"/>
    <w:rsid w:val="00632068"/>
    <w:rsid w:val="00632761"/>
    <w:rsid w:val="0063460F"/>
    <w:rsid w:val="00634BDB"/>
    <w:rsid w:val="006367F5"/>
    <w:rsid w:val="006402CA"/>
    <w:rsid w:val="006429B7"/>
    <w:rsid w:val="006429DB"/>
    <w:rsid w:val="006434F7"/>
    <w:rsid w:val="00645517"/>
    <w:rsid w:val="006457DC"/>
    <w:rsid w:val="006471FD"/>
    <w:rsid w:val="0064751C"/>
    <w:rsid w:val="0064795D"/>
    <w:rsid w:val="00647B4F"/>
    <w:rsid w:val="00650DD3"/>
    <w:rsid w:val="006510A5"/>
    <w:rsid w:val="0065126F"/>
    <w:rsid w:val="00652829"/>
    <w:rsid w:val="00653BD6"/>
    <w:rsid w:val="006560C2"/>
    <w:rsid w:val="00657A6C"/>
    <w:rsid w:val="00660F65"/>
    <w:rsid w:val="00661363"/>
    <w:rsid w:val="00661A6B"/>
    <w:rsid w:val="006628C4"/>
    <w:rsid w:val="00662BE3"/>
    <w:rsid w:val="00663314"/>
    <w:rsid w:val="00665FF7"/>
    <w:rsid w:val="00666289"/>
    <w:rsid w:val="00666498"/>
    <w:rsid w:val="00666656"/>
    <w:rsid w:val="0066691A"/>
    <w:rsid w:val="006675C7"/>
    <w:rsid w:val="00667B74"/>
    <w:rsid w:val="00670F66"/>
    <w:rsid w:val="00673776"/>
    <w:rsid w:val="0067409C"/>
    <w:rsid w:val="006773EF"/>
    <w:rsid w:val="0068027A"/>
    <w:rsid w:val="00682209"/>
    <w:rsid w:val="00683B2A"/>
    <w:rsid w:val="006842E6"/>
    <w:rsid w:val="0068524F"/>
    <w:rsid w:val="006854C9"/>
    <w:rsid w:val="00685DB2"/>
    <w:rsid w:val="0069122F"/>
    <w:rsid w:val="00692784"/>
    <w:rsid w:val="006941C5"/>
    <w:rsid w:val="00695DD7"/>
    <w:rsid w:val="00696F35"/>
    <w:rsid w:val="006A1E07"/>
    <w:rsid w:val="006A1F65"/>
    <w:rsid w:val="006A43BB"/>
    <w:rsid w:val="006A5067"/>
    <w:rsid w:val="006A5115"/>
    <w:rsid w:val="006A6D30"/>
    <w:rsid w:val="006A7401"/>
    <w:rsid w:val="006B0633"/>
    <w:rsid w:val="006B1AA8"/>
    <w:rsid w:val="006B1E14"/>
    <w:rsid w:val="006B3288"/>
    <w:rsid w:val="006B4487"/>
    <w:rsid w:val="006B6790"/>
    <w:rsid w:val="006C0836"/>
    <w:rsid w:val="006C3E63"/>
    <w:rsid w:val="006C6008"/>
    <w:rsid w:val="006C6CE1"/>
    <w:rsid w:val="006C79FB"/>
    <w:rsid w:val="006D0AE7"/>
    <w:rsid w:val="006D0FFE"/>
    <w:rsid w:val="006D20DD"/>
    <w:rsid w:val="006D25EB"/>
    <w:rsid w:val="006D386A"/>
    <w:rsid w:val="006D4584"/>
    <w:rsid w:val="006D6234"/>
    <w:rsid w:val="006D634E"/>
    <w:rsid w:val="006D6A2D"/>
    <w:rsid w:val="006D7612"/>
    <w:rsid w:val="006E1574"/>
    <w:rsid w:val="006E207C"/>
    <w:rsid w:val="006E2836"/>
    <w:rsid w:val="006E33AC"/>
    <w:rsid w:val="006E3CEE"/>
    <w:rsid w:val="006E3F97"/>
    <w:rsid w:val="006E4A33"/>
    <w:rsid w:val="006E52DF"/>
    <w:rsid w:val="006E59BB"/>
    <w:rsid w:val="006E5DDC"/>
    <w:rsid w:val="006E6375"/>
    <w:rsid w:val="006E772E"/>
    <w:rsid w:val="006F0F65"/>
    <w:rsid w:val="006F0FA7"/>
    <w:rsid w:val="006F1E5A"/>
    <w:rsid w:val="006F2B24"/>
    <w:rsid w:val="006F2C19"/>
    <w:rsid w:val="006F3BAA"/>
    <w:rsid w:val="006F3EAF"/>
    <w:rsid w:val="006F58EC"/>
    <w:rsid w:val="006F7C06"/>
    <w:rsid w:val="006F7C35"/>
    <w:rsid w:val="00701D3E"/>
    <w:rsid w:val="00702178"/>
    <w:rsid w:val="007026A6"/>
    <w:rsid w:val="007027DD"/>
    <w:rsid w:val="00703322"/>
    <w:rsid w:val="007033E0"/>
    <w:rsid w:val="00703DBC"/>
    <w:rsid w:val="0070421F"/>
    <w:rsid w:val="00705A9C"/>
    <w:rsid w:val="007123C0"/>
    <w:rsid w:val="00712478"/>
    <w:rsid w:val="00714AD0"/>
    <w:rsid w:val="00716658"/>
    <w:rsid w:val="00716C7A"/>
    <w:rsid w:val="0071771F"/>
    <w:rsid w:val="00717B67"/>
    <w:rsid w:val="00720179"/>
    <w:rsid w:val="00721106"/>
    <w:rsid w:val="00721264"/>
    <w:rsid w:val="007245E9"/>
    <w:rsid w:val="00725211"/>
    <w:rsid w:val="00727214"/>
    <w:rsid w:val="00730472"/>
    <w:rsid w:val="00730D20"/>
    <w:rsid w:val="0073105F"/>
    <w:rsid w:val="00731839"/>
    <w:rsid w:val="00732009"/>
    <w:rsid w:val="00733FA8"/>
    <w:rsid w:val="0073637B"/>
    <w:rsid w:val="007363F6"/>
    <w:rsid w:val="00737D27"/>
    <w:rsid w:val="0074069A"/>
    <w:rsid w:val="00742499"/>
    <w:rsid w:val="00742AD7"/>
    <w:rsid w:val="007448E2"/>
    <w:rsid w:val="00745234"/>
    <w:rsid w:val="007527BA"/>
    <w:rsid w:val="00752E56"/>
    <w:rsid w:val="00753234"/>
    <w:rsid w:val="00755316"/>
    <w:rsid w:val="00757FB3"/>
    <w:rsid w:val="0076020A"/>
    <w:rsid w:val="00764209"/>
    <w:rsid w:val="007643F8"/>
    <w:rsid w:val="007649C3"/>
    <w:rsid w:val="0076752B"/>
    <w:rsid w:val="00767E16"/>
    <w:rsid w:val="0077101B"/>
    <w:rsid w:val="00774802"/>
    <w:rsid w:val="007748FB"/>
    <w:rsid w:val="007751BB"/>
    <w:rsid w:val="00775E77"/>
    <w:rsid w:val="00777AA8"/>
    <w:rsid w:val="00780C85"/>
    <w:rsid w:val="00781F3E"/>
    <w:rsid w:val="00781F6C"/>
    <w:rsid w:val="00783BAA"/>
    <w:rsid w:val="0078511B"/>
    <w:rsid w:val="0078512D"/>
    <w:rsid w:val="00785777"/>
    <w:rsid w:val="007861F4"/>
    <w:rsid w:val="007868AF"/>
    <w:rsid w:val="00786C0C"/>
    <w:rsid w:val="00786C24"/>
    <w:rsid w:val="00790E17"/>
    <w:rsid w:val="00790EAF"/>
    <w:rsid w:val="0079166B"/>
    <w:rsid w:val="0079228D"/>
    <w:rsid w:val="0079342F"/>
    <w:rsid w:val="007939C1"/>
    <w:rsid w:val="00793B43"/>
    <w:rsid w:val="00793FA6"/>
    <w:rsid w:val="007948B9"/>
    <w:rsid w:val="00795718"/>
    <w:rsid w:val="0079603B"/>
    <w:rsid w:val="0079637E"/>
    <w:rsid w:val="00797387"/>
    <w:rsid w:val="007A086B"/>
    <w:rsid w:val="007A1A14"/>
    <w:rsid w:val="007A1E19"/>
    <w:rsid w:val="007A4597"/>
    <w:rsid w:val="007A59AD"/>
    <w:rsid w:val="007A735E"/>
    <w:rsid w:val="007A7C57"/>
    <w:rsid w:val="007B0C27"/>
    <w:rsid w:val="007B1AAC"/>
    <w:rsid w:val="007B54C5"/>
    <w:rsid w:val="007B7535"/>
    <w:rsid w:val="007C0405"/>
    <w:rsid w:val="007C1029"/>
    <w:rsid w:val="007C2B48"/>
    <w:rsid w:val="007C39B3"/>
    <w:rsid w:val="007C3D1E"/>
    <w:rsid w:val="007C40E2"/>
    <w:rsid w:val="007C49AD"/>
    <w:rsid w:val="007C651E"/>
    <w:rsid w:val="007D224E"/>
    <w:rsid w:val="007D29EA"/>
    <w:rsid w:val="007D2BFC"/>
    <w:rsid w:val="007D3B63"/>
    <w:rsid w:val="007D41B3"/>
    <w:rsid w:val="007D423C"/>
    <w:rsid w:val="007D66A0"/>
    <w:rsid w:val="007E10C9"/>
    <w:rsid w:val="007E2E47"/>
    <w:rsid w:val="007E4759"/>
    <w:rsid w:val="007E4E19"/>
    <w:rsid w:val="007E520B"/>
    <w:rsid w:val="007E5AA5"/>
    <w:rsid w:val="007E5E14"/>
    <w:rsid w:val="007E5F09"/>
    <w:rsid w:val="007E6CE7"/>
    <w:rsid w:val="007E6E38"/>
    <w:rsid w:val="007E7079"/>
    <w:rsid w:val="007E7AD6"/>
    <w:rsid w:val="007F0B46"/>
    <w:rsid w:val="007F52C2"/>
    <w:rsid w:val="007F5EBD"/>
    <w:rsid w:val="0080020D"/>
    <w:rsid w:val="008005E1"/>
    <w:rsid w:val="00801C2A"/>
    <w:rsid w:val="008023F6"/>
    <w:rsid w:val="00804B6D"/>
    <w:rsid w:val="00805C1C"/>
    <w:rsid w:val="00806003"/>
    <w:rsid w:val="008067D3"/>
    <w:rsid w:val="008068CB"/>
    <w:rsid w:val="00806BDD"/>
    <w:rsid w:val="00806C49"/>
    <w:rsid w:val="0080728D"/>
    <w:rsid w:val="008075C2"/>
    <w:rsid w:val="0080764B"/>
    <w:rsid w:val="00810BBE"/>
    <w:rsid w:val="00810F72"/>
    <w:rsid w:val="00811371"/>
    <w:rsid w:val="0081225E"/>
    <w:rsid w:val="0081263D"/>
    <w:rsid w:val="008137F5"/>
    <w:rsid w:val="008172EC"/>
    <w:rsid w:val="008203E7"/>
    <w:rsid w:val="008207C5"/>
    <w:rsid w:val="00820F8F"/>
    <w:rsid w:val="008234A8"/>
    <w:rsid w:val="008239A5"/>
    <w:rsid w:val="00824319"/>
    <w:rsid w:val="00824E0F"/>
    <w:rsid w:val="00824F81"/>
    <w:rsid w:val="00825196"/>
    <w:rsid w:val="008252AD"/>
    <w:rsid w:val="00826597"/>
    <w:rsid w:val="00826987"/>
    <w:rsid w:val="00827228"/>
    <w:rsid w:val="00827531"/>
    <w:rsid w:val="00827A2B"/>
    <w:rsid w:val="0083069E"/>
    <w:rsid w:val="00831916"/>
    <w:rsid w:val="00832087"/>
    <w:rsid w:val="008330AF"/>
    <w:rsid w:val="008344DD"/>
    <w:rsid w:val="00834D82"/>
    <w:rsid w:val="00837004"/>
    <w:rsid w:val="00837005"/>
    <w:rsid w:val="0083771A"/>
    <w:rsid w:val="0084057D"/>
    <w:rsid w:val="0084592C"/>
    <w:rsid w:val="00846079"/>
    <w:rsid w:val="00847EE6"/>
    <w:rsid w:val="008513EE"/>
    <w:rsid w:val="008514CB"/>
    <w:rsid w:val="00852635"/>
    <w:rsid w:val="008529CE"/>
    <w:rsid w:val="00853373"/>
    <w:rsid w:val="008537D6"/>
    <w:rsid w:val="00855C6E"/>
    <w:rsid w:val="00855EE8"/>
    <w:rsid w:val="0085636A"/>
    <w:rsid w:val="00857E25"/>
    <w:rsid w:val="008602DC"/>
    <w:rsid w:val="008612E7"/>
    <w:rsid w:val="00861C4C"/>
    <w:rsid w:val="0086243B"/>
    <w:rsid w:val="00862AB9"/>
    <w:rsid w:val="00862E46"/>
    <w:rsid w:val="0086399E"/>
    <w:rsid w:val="008673C0"/>
    <w:rsid w:val="00867B29"/>
    <w:rsid w:val="00871A8C"/>
    <w:rsid w:val="00871AB7"/>
    <w:rsid w:val="00871F31"/>
    <w:rsid w:val="00872636"/>
    <w:rsid w:val="00873C25"/>
    <w:rsid w:val="0087489E"/>
    <w:rsid w:val="00877AC6"/>
    <w:rsid w:val="00881754"/>
    <w:rsid w:val="00881E0B"/>
    <w:rsid w:val="00883AAB"/>
    <w:rsid w:val="00884125"/>
    <w:rsid w:val="00884949"/>
    <w:rsid w:val="00884983"/>
    <w:rsid w:val="00884E87"/>
    <w:rsid w:val="008852C8"/>
    <w:rsid w:val="0088680D"/>
    <w:rsid w:val="008930DE"/>
    <w:rsid w:val="008954FF"/>
    <w:rsid w:val="00896A51"/>
    <w:rsid w:val="0089782F"/>
    <w:rsid w:val="008978D0"/>
    <w:rsid w:val="008A0562"/>
    <w:rsid w:val="008A07C2"/>
    <w:rsid w:val="008A2D62"/>
    <w:rsid w:val="008A32FC"/>
    <w:rsid w:val="008A3E74"/>
    <w:rsid w:val="008A4AAC"/>
    <w:rsid w:val="008A7C2E"/>
    <w:rsid w:val="008B00AF"/>
    <w:rsid w:val="008B0CD3"/>
    <w:rsid w:val="008B0CFF"/>
    <w:rsid w:val="008B113B"/>
    <w:rsid w:val="008B17ED"/>
    <w:rsid w:val="008B2C46"/>
    <w:rsid w:val="008B5763"/>
    <w:rsid w:val="008B6CC9"/>
    <w:rsid w:val="008C0661"/>
    <w:rsid w:val="008C1600"/>
    <w:rsid w:val="008C24C7"/>
    <w:rsid w:val="008C2AEF"/>
    <w:rsid w:val="008C2FAE"/>
    <w:rsid w:val="008C56EE"/>
    <w:rsid w:val="008C5CB8"/>
    <w:rsid w:val="008C5FD6"/>
    <w:rsid w:val="008C688C"/>
    <w:rsid w:val="008D07F8"/>
    <w:rsid w:val="008D1757"/>
    <w:rsid w:val="008D1831"/>
    <w:rsid w:val="008D2E1D"/>
    <w:rsid w:val="008D428F"/>
    <w:rsid w:val="008D5B31"/>
    <w:rsid w:val="008D6C0E"/>
    <w:rsid w:val="008E17F2"/>
    <w:rsid w:val="008E2B60"/>
    <w:rsid w:val="008E31DD"/>
    <w:rsid w:val="008E5756"/>
    <w:rsid w:val="008E6F79"/>
    <w:rsid w:val="008F1A71"/>
    <w:rsid w:val="008F1CD7"/>
    <w:rsid w:val="008F23FD"/>
    <w:rsid w:val="008F335F"/>
    <w:rsid w:val="008F5263"/>
    <w:rsid w:val="008F5C7D"/>
    <w:rsid w:val="008F684E"/>
    <w:rsid w:val="008F774A"/>
    <w:rsid w:val="00900315"/>
    <w:rsid w:val="00900DBE"/>
    <w:rsid w:val="009010EB"/>
    <w:rsid w:val="009027E4"/>
    <w:rsid w:val="00904459"/>
    <w:rsid w:val="00904471"/>
    <w:rsid w:val="009049EB"/>
    <w:rsid w:val="00905145"/>
    <w:rsid w:val="00905277"/>
    <w:rsid w:val="00905E30"/>
    <w:rsid w:val="00906340"/>
    <w:rsid w:val="00915D65"/>
    <w:rsid w:val="009164AF"/>
    <w:rsid w:val="009168E1"/>
    <w:rsid w:val="00916F16"/>
    <w:rsid w:val="00917B90"/>
    <w:rsid w:val="009213CF"/>
    <w:rsid w:val="009247CA"/>
    <w:rsid w:val="0092507B"/>
    <w:rsid w:val="009250A0"/>
    <w:rsid w:val="0092541A"/>
    <w:rsid w:val="00925684"/>
    <w:rsid w:val="00925E6F"/>
    <w:rsid w:val="00926BAC"/>
    <w:rsid w:val="00930541"/>
    <w:rsid w:val="00930D0F"/>
    <w:rsid w:val="00934604"/>
    <w:rsid w:val="00936361"/>
    <w:rsid w:val="00936C81"/>
    <w:rsid w:val="00936FBF"/>
    <w:rsid w:val="009374C8"/>
    <w:rsid w:val="00937813"/>
    <w:rsid w:val="0094194F"/>
    <w:rsid w:val="00941A83"/>
    <w:rsid w:val="00942B15"/>
    <w:rsid w:val="00944CA9"/>
    <w:rsid w:val="00945652"/>
    <w:rsid w:val="009460E3"/>
    <w:rsid w:val="00947927"/>
    <w:rsid w:val="00950599"/>
    <w:rsid w:val="0095076B"/>
    <w:rsid w:val="00951B0F"/>
    <w:rsid w:val="00952781"/>
    <w:rsid w:val="00953512"/>
    <w:rsid w:val="009543CD"/>
    <w:rsid w:val="00955062"/>
    <w:rsid w:val="00955586"/>
    <w:rsid w:val="0095625C"/>
    <w:rsid w:val="0095642A"/>
    <w:rsid w:val="00956982"/>
    <w:rsid w:val="00957060"/>
    <w:rsid w:val="009572BB"/>
    <w:rsid w:val="00957985"/>
    <w:rsid w:val="00961182"/>
    <w:rsid w:val="009623E7"/>
    <w:rsid w:val="00962D62"/>
    <w:rsid w:val="00963F8E"/>
    <w:rsid w:val="00964619"/>
    <w:rsid w:val="00964C27"/>
    <w:rsid w:val="00965100"/>
    <w:rsid w:val="0096602C"/>
    <w:rsid w:val="00970E05"/>
    <w:rsid w:val="00970F7F"/>
    <w:rsid w:val="00972713"/>
    <w:rsid w:val="00975DC8"/>
    <w:rsid w:val="0097651B"/>
    <w:rsid w:val="0097763E"/>
    <w:rsid w:val="009807C0"/>
    <w:rsid w:val="0098688B"/>
    <w:rsid w:val="00987B26"/>
    <w:rsid w:val="00987D33"/>
    <w:rsid w:val="00987F88"/>
    <w:rsid w:val="009913BA"/>
    <w:rsid w:val="009926F4"/>
    <w:rsid w:val="009935F3"/>
    <w:rsid w:val="00996446"/>
    <w:rsid w:val="009965C6"/>
    <w:rsid w:val="00996F11"/>
    <w:rsid w:val="00997066"/>
    <w:rsid w:val="009A0949"/>
    <w:rsid w:val="009A293A"/>
    <w:rsid w:val="009A3DD1"/>
    <w:rsid w:val="009A6296"/>
    <w:rsid w:val="009A6B86"/>
    <w:rsid w:val="009B09FB"/>
    <w:rsid w:val="009B10F7"/>
    <w:rsid w:val="009B1E90"/>
    <w:rsid w:val="009B21D6"/>
    <w:rsid w:val="009B3BDA"/>
    <w:rsid w:val="009B4B1A"/>
    <w:rsid w:val="009B4B39"/>
    <w:rsid w:val="009B4FC2"/>
    <w:rsid w:val="009B5642"/>
    <w:rsid w:val="009B71C0"/>
    <w:rsid w:val="009B79A6"/>
    <w:rsid w:val="009B7BC4"/>
    <w:rsid w:val="009C0582"/>
    <w:rsid w:val="009C0C47"/>
    <w:rsid w:val="009C0CC4"/>
    <w:rsid w:val="009C4876"/>
    <w:rsid w:val="009C49A1"/>
    <w:rsid w:val="009C78C1"/>
    <w:rsid w:val="009D0D05"/>
    <w:rsid w:val="009D20AF"/>
    <w:rsid w:val="009D2579"/>
    <w:rsid w:val="009D2E49"/>
    <w:rsid w:val="009D3D0C"/>
    <w:rsid w:val="009D5856"/>
    <w:rsid w:val="009E0B26"/>
    <w:rsid w:val="009E1497"/>
    <w:rsid w:val="009E38D2"/>
    <w:rsid w:val="009E504D"/>
    <w:rsid w:val="009E53E4"/>
    <w:rsid w:val="009E5940"/>
    <w:rsid w:val="009E792D"/>
    <w:rsid w:val="009F2A3C"/>
    <w:rsid w:val="009F2BE7"/>
    <w:rsid w:val="009F2D69"/>
    <w:rsid w:val="009F3E68"/>
    <w:rsid w:val="009F5EF9"/>
    <w:rsid w:val="009F6058"/>
    <w:rsid w:val="009F66AE"/>
    <w:rsid w:val="00A0047D"/>
    <w:rsid w:val="00A01781"/>
    <w:rsid w:val="00A01D71"/>
    <w:rsid w:val="00A0230F"/>
    <w:rsid w:val="00A02F38"/>
    <w:rsid w:val="00A0637C"/>
    <w:rsid w:val="00A07E26"/>
    <w:rsid w:val="00A1097A"/>
    <w:rsid w:val="00A1123E"/>
    <w:rsid w:val="00A11BB8"/>
    <w:rsid w:val="00A12D4D"/>
    <w:rsid w:val="00A15BFB"/>
    <w:rsid w:val="00A1618B"/>
    <w:rsid w:val="00A16894"/>
    <w:rsid w:val="00A16D0C"/>
    <w:rsid w:val="00A1765E"/>
    <w:rsid w:val="00A20A5A"/>
    <w:rsid w:val="00A21145"/>
    <w:rsid w:val="00A21C92"/>
    <w:rsid w:val="00A229EF"/>
    <w:rsid w:val="00A22ACE"/>
    <w:rsid w:val="00A232FA"/>
    <w:rsid w:val="00A234BE"/>
    <w:rsid w:val="00A24189"/>
    <w:rsid w:val="00A24C31"/>
    <w:rsid w:val="00A2608A"/>
    <w:rsid w:val="00A2633E"/>
    <w:rsid w:val="00A26605"/>
    <w:rsid w:val="00A26696"/>
    <w:rsid w:val="00A26FDA"/>
    <w:rsid w:val="00A27A4C"/>
    <w:rsid w:val="00A30FA5"/>
    <w:rsid w:val="00A314F4"/>
    <w:rsid w:val="00A31510"/>
    <w:rsid w:val="00A31687"/>
    <w:rsid w:val="00A31F53"/>
    <w:rsid w:val="00A324EC"/>
    <w:rsid w:val="00A32D54"/>
    <w:rsid w:val="00A32E30"/>
    <w:rsid w:val="00A33FA8"/>
    <w:rsid w:val="00A34697"/>
    <w:rsid w:val="00A3686D"/>
    <w:rsid w:val="00A40E56"/>
    <w:rsid w:val="00A41091"/>
    <w:rsid w:val="00A42EEB"/>
    <w:rsid w:val="00A43303"/>
    <w:rsid w:val="00A43563"/>
    <w:rsid w:val="00A43C3C"/>
    <w:rsid w:val="00A44534"/>
    <w:rsid w:val="00A458F1"/>
    <w:rsid w:val="00A45BC6"/>
    <w:rsid w:val="00A50B21"/>
    <w:rsid w:val="00A51848"/>
    <w:rsid w:val="00A5317C"/>
    <w:rsid w:val="00A56659"/>
    <w:rsid w:val="00A56F9A"/>
    <w:rsid w:val="00A57D04"/>
    <w:rsid w:val="00A60665"/>
    <w:rsid w:val="00A606D6"/>
    <w:rsid w:val="00A641A0"/>
    <w:rsid w:val="00A64355"/>
    <w:rsid w:val="00A678F1"/>
    <w:rsid w:val="00A67EEA"/>
    <w:rsid w:val="00A71355"/>
    <w:rsid w:val="00A727F7"/>
    <w:rsid w:val="00A728D6"/>
    <w:rsid w:val="00A72D84"/>
    <w:rsid w:val="00A74D5D"/>
    <w:rsid w:val="00A75A67"/>
    <w:rsid w:val="00A76002"/>
    <w:rsid w:val="00A77DAB"/>
    <w:rsid w:val="00A809EB"/>
    <w:rsid w:val="00A825C2"/>
    <w:rsid w:val="00A850CB"/>
    <w:rsid w:val="00A85BBC"/>
    <w:rsid w:val="00A87942"/>
    <w:rsid w:val="00A90981"/>
    <w:rsid w:val="00A90F79"/>
    <w:rsid w:val="00A92E1E"/>
    <w:rsid w:val="00A93BBA"/>
    <w:rsid w:val="00A94514"/>
    <w:rsid w:val="00A9756E"/>
    <w:rsid w:val="00AA05EF"/>
    <w:rsid w:val="00AA10A0"/>
    <w:rsid w:val="00AA2BB8"/>
    <w:rsid w:val="00AA378C"/>
    <w:rsid w:val="00AA4F19"/>
    <w:rsid w:val="00AA5710"/>
    <w:rsid w:val="00AA5F15"/>
    <w:rsid w:val="00AA775F"/>
    <w:rsid w:val="00AB15DE"/>
    <w:rsid w:val="00AB3CC1"/>
    <w:rsid w:val="00AB50C6"/>
    <w:rsid w:val="00AB524A"/>
    <w:rsid w:val="00AB53A2"/>
    <w:rsid w:val="00AB7E61"/>
    <w:rsid w:val="00AC07A8"/>
    <w:rsid w:val="00AC0CEA"/>
    <w:rsid w:val="00AC1224"/>
    <w:rsid w:val="00AC3578"/>
    <w:rsid w:val="00AC576E"/>
    <w:rsid w:val="00AC7E4B"/>
    <w:rsid w:val="00AC7F41"/>
    <w:rsid w:val="00AC7FD6"/>
    <w:rsid w:val="00AD4C87"/>
    <w:rsid w:val="00AD62D7"/>
    <w:rsid w:val="00AE0041"/>
    <w:rsid w:val="00AE21A7"/>
    <w:rsid w:val="00AE25B1"/>
    <w:rsid w:val="00AE2DA0"/>
    <w:rsid w:val="00AE3B39"/>
    <w:rsid w:val="00AE648E"/>
    <w:rsid w:val="00AE6CC2"/>
    <w:rsid w:val="00AE7703"/>
    <w:rsid w:val="00AE7780"/>
    <w:rsid w:val="00AE7949"/>
    <w:rsid w:val="00AF3840"/>
    <w:rsid w:val="00AF407D"/>
    <w:rsid w:val="00AF42C2"/>
    <w:rsid w:val="00AF6AFB"/>
    <w:rsid w:val="00AF6FBA"/>
    <w:rsid w:val="00B01B2E"/>
    <w:rsid w:val="00B02250"/>
    <w:rsid w:val="00B0289D"/>
    <w:rsid w:val="00B02923"/>
    <w:rsid w:val="00B05732"/>
    <w:rsid w:val="00B057E5"/>
    <w:rsid w:val="00B05F6F"/>
    <w:rsid w:val="00B05F70"/>
    <w:rsid w:val="00B061DE"/>
    <w:rsid w:val="00B069D8"/>
    <w:rsid w:val="00B07629"/>
    <w:rsid w:val="00B07BCB"/>
    <w:rsid w:val="00B100AD"/>
    <w:rsid w:val="00B100BC"/>
    <w:rsid w:val="00B1248B"/>
    <w:rsid w:val="00B12756"/>
    <w:rsid w:val="00B12851"/>
    <w:rsid w:val="00B13CA0"/>
    <w:rsid w:val="00B158BC"/>
    <w:rsid w:val="00B15F25"/>
    <w:rsid w:val="00B16015"/>
    <w:rsid w:val="00B16158"/>
    <w:rsid w:val="00B16DBC"/>
    <w:rsid w:val="00B178D7"/>
    <w:rsid w:val="00B21F0D"/>
    <w:rsid w:val="00B23330"/>
    <w:rsid w:val="00B236CA"/>
    <w:rsid w:val="00B23A3E"/>
    <w:rsid w:val="00B24550"/>
    <w:rsid w:val="00B24ECB"/>
    <w:rsid w:val="00B25C01"/>
    <w:rsid w:val="00B26118"/>
    <w:rsid w:val="00B27459"/>
    <w:rsid w:val="00B30200"/>
    <w:rsid w:val="00B3166F"/>
    <w:rsid w:val="00B3203E"/>
    <w:rsid w:val="00B33F01"/>
    <w:rsid w:val="00B3405F"/>
    <w:rsid w:val="00B340C4"/>
    <w:rsid w:val="00B34ABF"/>
    <w:rsid w:val="00B35109"/>
    <w:rsid w:val="00B3571A"/>
    <w:rsid w:val="00B357CE"/>
    <w:rsid w:val="00B35B75"/>
    <w:rsid w:val="00B36E40"/>
    <w:rsid w:val="00B416F0"/>
    <w:rsid w:val="00B41778"/>
    <w:rsid w:val="00B423F7"/>
    <w:rsid w:val="00B4431A"/>
    <w:rsid w:val="00B44BF1"/>
    <w:rsid w:val="00B45F12"/>
    <w:rsid w:val="00B46BF8"/>
    <w:rsid w:val="00B51061"/>
    <w:rsid w:val="00B51277"/>
    <w:rsid w:val="00B528D4"/>
    <w:rsid w:val="00B52D5A"/>
    <w:rsid w:val="00B60F06"/>
    <w:rsid w:val="00B61797"/>
    <w:rsid w:val="00B61977"/>
    <w:rsid w:val="00B621F2"/>
    <w:rsid w:val="00B62E60"/>
    <w:rsid w:val="00B66149"/>
    <w:rsid w:val="00B67FA3"/>
    <w:rsid w:val="00B70241"/>
    <w:rsid w:val="00B70ECE"/>
    <w:rsid w:val="00B711FE"/>
    <w:rsid w:val="00B7120E"/>
    <w:rsid w:val="00B74BF0"/>
    <w:rsid w:val="00B74CF1"/>
    <w:rsid w:val="00B75A51"/>
    <w:rsid w:val="00B75D09"/>
    <w:rsid w:val="00B7755F"/>
    <w:rsid w:val="00B8121D"/>
    <w:rsid w:val="00B83314"/>
    <w:rsid w:val="00B8393E"/>
    <w:rsid w:val="00B85C0D"/>
    <w:rsid w:val="00B86BE5"/>
    <w:rsid w:val="00B86F1A"/>
    <w:rsid w:val="00B913A8"/>
    <w:rsid w:val="00B932B1"/>
    <w:rsid w:val="00B935DD"/>
    <w:rsid w:val="00B949AD"/>
    <w:rsid w:val="00B961EE"/>
    <w:rsid w:val="00B977D3"/>
    <w:rsid w:val="00B97BAA"/>
    <w:rsid w:val="00B97E55"/>
    <w:rsid w:val="00BA1924"/>
    <w:rsid w:val="00BA1FFE"/>
    <w:rsid w:val="00BA3E05"/>
    <w:rsid w:val="00BA6648"/>
    <w:rsid w:val="00BA6944"/>
    <w:rsid w:val="00BA76A4"/>
    <w:rsid w:val="00BB040E"/>
    <w:rsid w:val="00BB1172"/>
    <w:rsid w:val="00BB12B9"/>
    <w:rsid w:val="00BB1A91"/>
    <w:rsid w:val="00BB22BC"/>
    <w:rsid w:val="00BB2EEF"/>
    <w:rsid w:val="00BB3083"/>
    <w:rsid w:val="00BB42F9"/>
    <w:rsid w:val="00BB545F"/>
    <w:rsid w:val="00BB55EC"/>
    <w:rsid w:val="00BB61BD"/>
    <w:rsid w:val="00BB73B8"/>
    <w:rsid w:val="00BB7680"/>
    <w:rsid w:val="00BC00A6"/>
    <w:rsid w:val="00BC0C93"/>
    <w:rsid w:val="00BC1EFB"/>
    <w:rsid w:val="00BC2F94"/>
    <w:rsid w:val="00BC329B"/>
    <w:rsid w:val="00BC3E81"/>
    <w:rsid w:val="00BC4061"/>
    <w:rsid w:val="00BC4A91"/>
    <w:rsid w:val="00BC524B"/>
    <w:rsid w:val="00BC5812"/>
    <w:rsid w:val="00BC661F"/>
    <w:rsid w:val="00BD019F"/>
    <w:rsid w:val="00BD17E1"/>
    <w:rsid w:val="00BD615A"/>
    <w:rsid w:val="00BD774D"/>
    <w:rsid w:val="00BE5CEF"/>
    <w:rsid w:val="00BE5E4E"/>
    <w:rsid w:val="00BE6231"/>
    <w:rsid w:val="00BE663E"/>
    <w:rsid w:val="00BF3907"/>
    <w:rsid w:val="00BF4358"/>
    <w:rsid w:val="00BF442F"/>
    <w:rsid w:val="00BF5168"/>
    <w:rsid w:val="00BF5AE0"/>
    <w:rsid w:val="00BF6B5F"/>
    <w:rsid w:val="00C00891"/>
    <w:rsid w:val="00C041F3"/>
    <w:rsid w:val="00C04CB8"/>
    <w:rsid w:val="00C04F1E"/>
    <w:rsid w:val="00C0730E"/>
    <w:rsid w:val="00C07720"/>
    <w:rsid w:val="00C07C9B"/>
    <w:rsid w:val="00C07EAE"/>
    <w:rsid w:val="00C10AAF"/>
    <w:rsid w:val="00C11BCD"/>
    <w:rsid w:val="00C12366"/>
    <w:rsid w:val="00C130A7"/>
    <w:rsid w:val="00C15143"/>
    <w:rsid w:val="00C15883"/>
    <w:rsid w:val="00C15AFF"/>
    <w:rsid w:val="00C16905"/>
    <w:rsid w:val="00C17208"/>
    <w:rsid w:val="00C20001"/>
    <w:rsid w:val="00C217A6"/>
    <w:rsid w:val="00C249A8"/>
    <w:rsid w:val="00C25111"/>
    <w:rsid w:val="00C25F9E"/>
    <w:rsid w:val="00C26F3E"/>
    <w:rsid w:val="00C26FDB"/>
    <w:rsid w:val="00C27A69"/>
    <w:rsid w:val="00C3016B"/>
    <w:rsid w:val="00C30597"/>
    <w:rsid w:val="00C32A83"/>
    <w:rsid w:val="00C33853"/>
    <w:rsid w:val="00C351C8"/>
    <w:rsid w:val="00C36410"/>
    <w:rsid w:val="00C403C6"/>
    <w:rsid w:val="00C415CC"/>
    <w:rsid w:val="00C42103"/>
    <w:rsid w:val="00C42452"/>
    <w:rsid w:val="00C437CA"/>
    <w:rsid w:val="00C46425"/>
    <w:rsid w:val="00C47EEE"/>
    <w:rsid w:val="00C506AF"/>
    <w:rsid w:val="00C53279"/>
    <w:rsid w:val="00C533B3"/>
    <w:rsid w:val="00C53AE2"/>
    <w:rsid w:val="00C53C07"/>
    <w:rsid w:val="00C551A3"/>
    <w:rsid w:val="00C56D98"/>
    <w:rsid w:val="00C57DC8"/>
    <w:rsid w:val="00C60115"/>
    <w:rsid w:val="00C60C2F"/>
    <w:rsid w:val="00C636E0"/>
    <w:rsid w:val="00C638F1"/>
    <w:rsid w:val="00C64372"/>
    <w:rsid w:val="00C64457"/>
    <w:rsid w:val="00C67C0B"/>
    <w:rsid w:val="00C67C6E"/>
    <w:rsid w:val="00C70299"/>
    <w:rsid w:val="00C70E69"/>
    <w:rsid w:val="00C7148D"/>
    <w:rsid w:val="00C71EB7"/>
    <w:rsid w:val="00C71F6C"/>
    <w:rsid w:val="00C72B93"/>
    <w:rsid w:val="00C741DE"/>
    <w:rsid w:val="00C749C5"/>
    <w:rsid w:val="00C759CE"/>
    <w:rsid w:val="00C766B0"/>
    <w:rsid w:val="00C845C3"/>
    <w:rsid w:val="00C84B9E"/>
    <w:rsid w:val="00C84D10"/>
    <w:rsid w:val="00C862FA"/>
    <w:rsid w:val="00C8737A"/>
    <w:rsid w:val="00C9129B"/>
    <w:rsid w:val="00C914EB"/>
    <w:rsid w:val="00C920FB"/>
    <w:rsid w:val="00C93622"/>
    <w:rsid w:val="00C95552"/>
    <w:rsid w:val="00C96AAA"/>
    <w:rsid w:val="00C97357"/>
    <w:rsid w:val="00C97837"/>
    <w:rsid w:val="00C97BC6"/>
    <w:rsid w:val="00CA197F"/>
    <w:rsid w:val="00CA1F1A"/>
    <w:rsid w:val="00CA36A3"/>
    <w:rsid w:val="00CA38FC"/>
    <w:rsid w:val="00CA44E0"/>
    <w:rsid w:val="00CA4BD2"/>
    <w:rsid w:val="00CA4D2D"/>
    <w:rsid w:val="00CA4F39"/>
    <w:rsid w:val="00CA5B3B"/>
    <w:rsid w:val="00CA66F6"/>
    <w:rsid w:val="00CA7301"/>
    <w:rsid w:val="00CA7C44"/>
    <w:rsid w:val="00CB0783"/>
    <w:rsid w:val="00CB2C41"/>
    <w:rsid w:val="00CB52C6"/>
    <w:rsid w:val="00CB571C"/>
    <w:rsid w:val="00CB6E00"/>
    <w:rsid w:val="00CC0B76"/>
    <w:rsid w:val="00CC14BC"/>
    <w:rsid w:val="00CC31B4"/>
    <w:rsid w:val="00CC3765"/>
    <w:rsid w:val="00CC3B3D"/>
    <w:rsid w:val="00CC43A6"/>
    <w:rsid w:val="00CC4E49"/>
    <w:rsid w:val="00CC5E14"/>
    <w:rsid w:val="00CC6414"/>
    <w:rsid w:val="00CD037D"/>
    <w:rsid w:val="00CD1658"/>
    <w:rsid w:val="00CD17BB"/>
    <w:rsid w:val="00CD2D87"/>
    <w:rsid w:val="00CD3156"/>
    <w:rsid w:val="00CD41C2"/>
    <w:rsid w:val="00CD41CD"/>
    <w:rsid w:val="00CD44B3"/>
    <w:rsid w:val="00CD4849"/>
    <w:rsid w:val="00CD4DBA"/>
    <w:rsid w:val="00CD5159"/>
    <w:rsid w:val="00CD55EE"/>
    <w:rsid w:val="00CD57BD"/>
    <w:rsid w:val="00CD5C0D"/>
    <w:rsid w:val="00CD5CE2"/>
    <w:rsid w:val="00CD6278"/>
    <w:rsid w:val="00CD63C2"/>
    <w:rsid w:val="00CD6C69"/>
    <w:rsid w:val="00CD7476"/>
    <w:rsid w:val="00CD76DD"/>
    <w:rsid w:val="00CE00C1"/>
    <w:rsid w:val="00CE1425"/>
    <w:rsid w:val="00CE2186"/>
    <w:rsid w:val="00CE4A9A"/>
    <w:rsid w:val="00CE6CDC"/>
    <w:rsid w:val="00CE759C"/>
    <w:rsid w:val="00CF1C41"/>
    <w:rsid w:val="00CF222F"/>
    <w:rsid w:val="00CF2EA6"/>
    <w:rsid w:val="00CF390D"/>
    <w:rsid w:val="00D00B5D"/>
    <w:rsid w:val="00D0278C"/>
    <w:rsid w:val="00D0464E"/>
    <w:rsid w:val="00D05FBF"/>
    <w:rsid w:val="00D06278"/>
    <w:rsid w:val="00D06D2F"/>
    <w:rsid w:val="00D108EE"/>
    <w:rsid w:val="00D1234E"/>
    <w:rsid w:val="00D13D3B"/>
    <w:rsid w:val="00D14790"/>
    <w:rsid w:val="00D14C17"/>
    <w:rsid w:val="00D15922"/>
    <w:rsid w:val="00D17134"/>
    <w:rsid w:val="00D20207"/>
    <w:rsid w:val="00D23223"/>
    <w:rsid w:val="00D23F47"/>
    <w:rsid w:val="00D2438E"/>
    <w:rsid w:val="00D26228"/>
    <w:rsid w:val="00D27961"/>
    <w:rsid w:val="00D319F7"/>
    <w:rsid w:val="00D3297A"/>
    <w:rsid w:val="00D32C0D"/>
    <w:rsid w:val="00D34E6E"/>
    <w:rsid w:val="00D35D5C"/>
    <w:rsid w:val="00D36A34"/>
    <w:rsid w:val="00D377E4"/>
    <w:rsid w:val="00D378C8"/>
    <w:rsid w:val="00D42E2E"/>
    <w:rsid w:val="00D438A4"/>
    <w:rsid w:val="00D43958"/>
    <w:rsid w:val="00D4398E"/>
    <w:rsid w:val="00D43B26"/>
    <w:rsid w:val="00D43D26"/>
    <w:rsid w:val="00D50D7D"/>
    <w:rsid w:val="00D5196F"/>
    <w:rsid w:val="00D51AF2"/>
    <w:rsid w:val="00D529FF"/>
    <w:rsid w:val="00D52DAA"/>
    <w:rsid w:val="00D53C09"/>
    <w:rsid w:val="00D54125"/>
    <w:rsid w:val="00D54D41"/>
    <w:rsid w:val="00D55471"/>
    <w:rsid w:val="00D555B9"/>
    <w:rsid w:val="00D55651"/>
    <w:rsid w:val="00D614E8"/>
    <w:rsid w:val="00D626F4"/>
    <w:rsid w:val="00D64002"/>
    <w:rsid w:val="00D65B46"/>
    <w:rsid w:val="00D65BC6"/>
    <w:rsid w:val="00D661EC"/>
    <w:rsid w:val="00D66281"/>
    <w:rsid w:val="00D6631F"/>
    <w:rsid w:val="00D7003B"/>
    <w:rsid w:val="00D70598"/>
    <w:rsid w:val="00D71142"/>
    <w:rsid w:val="00D7142E"/>
    <w:rsid w:val="00D720CD"/>
    <w:rsid w:val="00D73526"/>
    <w:rsid w:val="00D76F0D"/>
    <w:rsid w:val="00D806CB"/>
    <w:rsid w:val="00D81198"/>
    <w:rsid w:val="00D818A3"/>
    <w:rsid w:val="00D81A17"/>
    <w:rsid w:val="00D81CFD"/>
    <w:rsid w:val="00D86016"/>
    <w:rsid w:val="00D873D7"/>
    <w:rsid w:val="00D87F90"/>
    <w:rsid w:val="00D9034A"/>
    <w:rsid w:val="00D919B3"/>
    <w:rsid w:val="00D946FB"/>
    <w:rsid w:val="00D954EA"/>
    <w:rsid w:val="00D9564E"/>
    <w:rsid w:val="00D9597A"/>
    <w:rsid w:val="00D9645F"/>
    <w:rsid w:val="00D97953"/>
    <w:rsid w:val="00D97C94"/>
    <w:rsid w:val="00DA0A29"/>
    <w:rsid w:val="00DA4AE9"/>
    <w:rsid w:val="00DA7194"/>
    <w:rsid w:val="00DA7CD6"/>
    <w:rsid w:val="00DB1B63"/>
    <w:rsid w:val="00DB2F64"/>
    <w:rsid w:val="00DB3401"/>
    <w:rsid w:val="00DB4EE4"/>
    <w:rsid w:val="00DB57CD"/>
    <w:rsid w:val="00DB63F4"/>
    <w:rsid w:val="00DB6A78"/>
    <w:rsid w:val="00DB70EE"/>
    <w:rsid w:val="00DB7F58"/>
    <w:rsid w:val="00DC0440"/>
    <w:rsid w:val="00DC08A8"/>
    <w:rsid w:val="00DC18DD"/>
    <w:rsid w:val="00DC290F"/>
    <w:rsid w:val="00DC2D83"/>
    <w:rsid w:val="00DC408D"/>
    <w:rsid w:val="00DC667F"/>
    <w:rsid w:val="00DD132E"/>
    <w:rsid w:val="00DD1ECC"/>
    <w:rsid w:val="00DD236B"/>
    <w:rsid w:val="00DD4485"/>
    <w:rsid w:val="00DD6989"/>
    <w:rsid w:val="00DD703B"/>
    <w:rsid w:val="00DE08DE"/>
    <w:rsid w:val="00DE2188"/>
    <w:rsid w:val="00DE2590"/>
    <w:rsid w:val="00DE49E2"/>
    <w:rsid w:val="00DE4E98"/>
    <w:rsid w:val="00DE532A"/>
    <w:rsid w:val="00DE575B"/>
    <w:rsid w:val="00DE5C84"/>
    <w:rsid w:val="00DE7D81"/>
    <w:rsid w:val="00DF10E9"/>
    <w:rsid w:val="00DF11F7"/>
    <w:rsid w:val="00DF192E"/>
    <w:rsid w:val="00DF2474"/>
    <w:rsid w:val="00DF2491"/>
    <w:rsid w:val="00DF3FFE"/>
    <w:rsid w:val="00DF51EF"/>
    <w:rsid w:val="00DF5394"/>
    <w:rsid w:val="00DF7C4F"/>
    <w:rsid w:val="00E01539"/>
    <w:rsid w:val="00E0159E"/>
    <w:rsid w:val="00E03045"/>
    <w:rsid w:val="00E03287"/>
    <w:rsid w:val="00E04363"/>
    <w:rsid w:val="00E0602E"/>
    <w:rsid w:val="00E06082"/>
    <w:rsid w:val="00E07025"/>
    <w:rsid w:val="00E07C9A"/>
    <w:rsid w:val="00E07D16"/>
    <w:rsid w:val="00E10975"/>
    <w:rsid w:val="00E10DEE"/>
    <w:rsid w:val="00E10E95"/>
    <w:rsid w:val="00E117C2"/>
    <w:rsid w:val="00E11F32"/>
    <w:rsid w:val="00E12F76"/>
    <w:rsid w:val="00E139F6"/>
    <w:rsid w:val="00E13ED6"/>
    <w:rsid w:val="00E145AF"/>
    <w:rsid w:val="00E15BB0"/>
    <w:rsid w:val="00E167A5"/>
    <w:rsid w:val="00E16F42"/>
    <w:rsid w:val="00E17188"/>
    <w:rsid w:val="00E17C9F"/>
    <w:rsid w:val="00E202D3"/>
    <w:rsid w:val="00E20D91"/>
    <w:rsid w:val="00E20F52"/>
    <w:rsid w:val="00E2123F"/>
    <w:rsid w:val="00E213A2"/>
    <w:rsid w:val="00E219BB"/>
    <w:rsid w:val="00E21F14"/>
    <w:rsid w:val="00E224AF"/>
    <w:rsid w:val="00E3096A"/>
    <w:rsid w:val="00E31C44"/>
    <w:rsid w:val="00E31E5B"/>
    <w:rsid w:val="00E32223"/>
    <w:rsid w:val="00E33A05"/>
    <w:rsid w:val="00E3500A"/>
    <w:rsid w:val="00E35774"/>
    <w:rsid w:val="00E35E9F"/>
    <w:rsid w:val="00E3624A"/>
    <w:rsid w:val="00E362C7"/>
    <w:rsid w:val="00E36929"/>
    <w:rsid w:val="00E40E51"/>
    <w:rsid w:val="00E42936"/>
    <w:rsid w:val="00E42EC0"/>
    <w:rsid w:val="00E44180"/>
    <w:rsid w:val="00E44626"/>
    <w:rsid w:val="00E46742"/>
    <w:rsid w:val="00E51A62"/>
    <w:rsid w:val="00E521DB"/>
    <w:rsid w:val="00E52914"/>
    <w:rsid w:val="00E52A7B"/>
    <w:rsid w:val="00E52EE5"/>
    <w:rsid w:val="00E5430E"/>
    <w:rsid w:val="00E552DE"/>
    <w:rsid w:val="00E553DF"/>
    <w:rsid w:val="00E557A4"/>
    <w:rsid w:val="00E55ECB"/>
    <w:rsid w:val="00E563CF"/>
    <w:rsid w:val="00E56438"/>
    <w:rsid w:val="00E608B1"/>
    <w:rsid w:val="00E60F38"/>
    <w:rsid w:val="00E6154F"/>
    <w:rsid w:val="00E65F07"/>
    <w:rsid w:val="00E66458"/>
    <w:rsid w:val="00E667AD"/>
    <w:rsid w:val="00E66D61"/>
    <w:rsid w:val="00E67CFF"/>
    <w:rsid w:val="00E7026F"/>
    <w:rsid w:val="00E755D0"/>
    <w:rsid w:val="00E77003"/>
    <w:rsid w:val="00E80666"/>
    <w:rsid w:val="00E81639"/>
    <w:rsid w:val="00E82A29"/>
    <w:rsid w:val="00E84116"/>
    <w:rsid w:val="00E85595"/>
    <w:rsid w:val="00E85CAE"/>
    <w:rsid w:val="00E87732"/>
    <w:rsid w:val="00E87CB9"/>
    <w:rsid w:val="00E87D86"/>
    <w:rsid w:val="00E902FC"/>
    <w:rsid w:val="00E922D1"/>
    <w:rsid w:val="00E92711"/>
    <w:rsid w:val="00E929D0"/>
    <w:rsid w:val="00E92F08"/>
    <w:rsid w:val="00E933C8"/>
    <w:rsid w:val="00E94894"/>
    <w:rsid w:val="00E94DA1"/>
    <w:rsid w:val="00E94FE5"/>
    <w:rsid w:val="00E96A95"/>
    <w:rsid w:val="00E975B6"/>
    <w:rsid w:val="00EA15FE"/>
    <w:rsid w:val="00EA3D09"/>
    <w:rsid w:val="00EA469A"/>
    <w:rsid w:val="00EA7146"/>
    <w:rsid w:val="00EA7DFC"/>
    <w:rsid w:val="00EB1BA7"/>
    <w:rsid w:val="00EB33DF"/>
    <w:rsid w:val="00EB3659"/>
    <w:rsid w:val="00EB3C62"/>
    <w:rsid w:val="00EB604E"/>
    <w:rsid w:val="00EB67E1"/>
    <w:rsid w:val="00EB68F0"/>
    <w:rsid w:val="00EC0204"/>
    <w:rsid w:val="00EC02E7"/>
    <w:rsid w:val="00EC0514"/>
    <w:rsid w:val="00EC16C5"/>
    <w:rsid w:val="00EC197B"/>
    <w:rsid w:val="00EC2466"/>
    <w:rsid w:val="00EC3C19"/>
    <w:rsid w:val="00EC495C"/>
    <w:rsid w:val="00EC49B1"/>
    <w:rsid w:val="00EC4F20"/>
    <w:rsid w:val="00EC56DA"/>
    <w:rsid w:val="00EC5BD3"/>
    <w:rsid w:val="00EC7929"/>
    <w:rsid w:val="00ED0882"/>
    <w:rsid w:val="00ED0E8C"/>
    <w:rsid w:val="00ED1F72"/>
    <w:rsid w:val="00ED5B7E"/>
    <w:rsid w:val="00ED7C7B"/>
    <w:rsid w:val="00EE1A9B"/>
    <w:rsid w:val="00EE2384"/>
    <w:rsid w:val="00EE2B84"/>
    <w:rsid w:val="00EE31AE"/>
    <w:rsid w:val="00EE4B78"/>
    <w:rsid w:val="00EE5CB3"/>
    <w:rsid w:val="00EE68B4"/>
    <w:rsid w:val="00EE757B"/>
    <w:rsid w:val="00EF16D2"/>
    <w:rsid w:val="00EF1761"/>
    <w:rsid w:val="00EF1A86"/>
    <w:rsid w:val="00EF343E"/>
    <w:rsid w:val="00EF376B"/>
    <w:rsid w:val="00EF6B3E"/>
    <w:rsid w:val="00EF6C2C"/>
    <w:rsid w:val="00EF7137"/>
    <w:rsid w:val="00F03E56"/>
    <w:rsid w:val="00F052E2"/>
    <w:rsid w:val="00F06B2C"/>
    <w:rsid w:val="00F0708A"/>
    <w:rsid w:val="00F077D6"/>
    <w:rsid w:val="00F12169"/>
    <w:rsid w:val="00F12B17"/>
    <w:rsid w:val="00F13235"/>
    <w:rsid w:val="00F13396"/>
    <w:rsid w:val="00F14191"/>
    <w:rsid w:val="00F14576"/>
    <w:rsid w:val="00F15081"/>
    <w:rsid w:val="00F2030E"/>
    <w:rsid w:val="00F23B15"/>
    <w:rsid w:val="00F23C79"/>
    <w:rsid w:val="00F241D4"/>
    <w:rsid w:val="00F26265"/>
    <w:rsid w:val="00F2708E"/>
    <w:rsid w:val="00F27A40"/>
    <w:rsid w:val="00F32954"/>
    <w:rsid w:val="00F33295"/>
    <w:rsid w:val="00F33850"/>
    <w:rsid w:val="00F34149"/>
    <w:rsid w:val="00F342E3"/>
    <w:rsid w:val="00F34C8E"/>
    <w:rsid w:val="00F37066"/>
    <w:rsid w:val="00F40455"/>
    <w:rsid w:val="00F40B55"/>
    <w:rsid w:val="00F40CA9"/>
    <w:rsid w:val="00F4249E"/>
    <w:rsid w:val="00F42905"/>
    <w:rsid w:val="00F42E27"/>
    <w:rsid w:val="00F42F06"/>
    <w:rsid w:val="00F433E5"/>
    <w:rsid w:val="00F43FCF"/>
    <w:rsid w:val="00F44A82"/>
    <w:rsid w:val="00F526CB"/>
    <w:rsid w:val="00F527AB"/>
    <w:rsid w:val="00F55693"/>
    <w:rsid w:val="00F5588E"/>
    <w:rsid w:val="00F56B08"/>
    <w:rsid w:val="00F56E9E"/>
    <w:rsid w:val="00F62A9A"/>
    <w:rsid w:val="00F62B92"/>
    <w:rsid w:val="00F62E88"/>
    <w:rsid w:val="00F63E17"/>
    <w:rsid w:val="00F64EBE"/>
    <w:rsid w:val="00F64F5A"/>
    <w:rsid w:val="00F65139"/>
    <w:rsid w:val="00F65537"/>
    <w:rsid w:val="00F6722F"/>
    <w:rsid w:val="00F7088E"/>
    <w:rsid w:val="00F72CE7"/>
    <w:rsid w:val="00F730FF"/>
    <w:rsid w:val="00F7480B"/>
    <w:rsid w:val="00F74890"/>
    <w:rsid w:val="00F74B56"/>
    <w:rsid w:val="00F756B2"/>
    <w:rsid w:val="00F757BF"/>
    <w:rsid w:val="00F7700B"/>
    <w:rsid w:val="00F77B94"/>
    <w:rsid w:val="00F8009E"/>
    <w:rsid w:val="00F8151B"/>
    <w:rsid w:val="00F81572"/>
    <w:rsid w:val="00F83606"/>
    <w:rsid w:val="00F83C01"/>
    <w:rsid w:val="00F844EB"/>
    <w:rsid w:val="00F86C52"/>
    <w:rsid w:val="00F87CAD"/>
    <w:rsid w:val="00F90497"/>
    <w:rsid w:val="00F90D9A"/>
    <w:rsid w:val="00F92405"/>
    <w:rsid w:val="00F92C38"/>
    <w:rsid w:val="00F936B5"/>
    <w:rsid w:val="00F9638A"/>
    <w:rsid w:val="00FA0492"/>
    <w:rsid w:val="00FA71F0"/>
    <w:rsid w:val="00FA74C3"/>
    <w:rsid w:val="00FA7A81"/>
    <w:rsid w:val="00FA7C00"/>
    <w:rsid w:val="00FB08DE"/>
    <w:rsid w:val="00FB2403"/>
    <w:rsid w:val="00FB27F0"/>
    <w:rsid w:val="00FB2D20"/>
    <w:rsid w:val="00FB32CA"/>
    <w:rsid w:val="00FB3362"/>
    <w:rsid w:val="00FB73F2"/>
    <w:rsid w:val="00FB7819"/>
    <w:rsid w:val="00FC0026"/>
    <w:rsid w:val="00FC1CD9"/>
    <w:rsid w:val="00FC4A32"/>
    <w:rsid w:val="00FC5C92"/>
    <w:rsid w:val="00FC6314"/>
    <w:rsid w:val="00FC65E1"/>
    <w:rsid w:val="00FC65EF"/>
    <w:rsid w:val="00FC67FB"/>
    <w:rsid w:val="00FD1672"/>
    <w:rsid w:val="00FD1BD7"/>
    <w:rsid w:val="00FD24A0"/>
    <w:rsid w:val="00FD4975"/>
    <w:rsid w:val="00FD5817"/>
    <w:rsid w:val="00FD632D"/>
    <w:rsid w:val="00FD7972"/>
    <w:rsid w:val="00FE04D4"/>
    <w:rsid w:val="00FE0D7E"/>
    <w:rsid w:val="00FE1E17"/>
    <w:rsid w:val="00FE2562"/>
    <w:rsid w:val="00FE2F1B"/>
    <w:rsid w:val="00FE32E5"/>
    <w:rsid w:val="00FE3630"/>
    <w:rsid w:val="00FE4400"/>
    <w:rsid w:val="00FE48F6"/>
    <w:rsid w:val="00FE50CA"/>
    <w:rsid w:val="00FE5883"/>
    <w:rsid w:val="00FE61CB"/>
    <w:rsid w:val="00FE7528"/>
    <w:rsid w:val="00FF10DC"/>
    <w:rsid w:val="00FF52A6"/>
    <w:rsid w:val="00FF52EB"/>
    <w:rsid w:val="00FF5A95"/>
    <w:rsid w:val="00FF6DC7"/>
    <w:rsid w:val="00FF72F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BA44F3E"/>
  <w15:chartTrackingRefBased/>
  <w15:docId w15:val="{5D421117-4FD7-4A4B-8F41-00B26BBC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28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C192E"/>
    <w:pPr>
      <w:tabs>
        <w:tab w:val="center" w:pos="4536"/>
        <w:tab w:val="right" w:pos="9072"/>
      </w:tabs>
      <w:spacing w:after="0" w:line="240" w:lineRule="auto"/>
    </w:pPr>
  </w:style>
  <w:style w:type="character" w:customStyle="1" w:styleId="HeaderChar">
    <w:name w:val="Header Char"/>
    <w:basedOn w:val="DefaultParagraphFont"/>
    <w:link w:val="Header"/>
    <w:rsid w:val="001C192E"/>
  </w:style>
  <w:style w:type="paragraph" w:styleId="Footer">
    <w:name w:val="footer"/>
    <w:basedOn w:val="Normal"/>
    <w:link w:val="FooterChar"/>
    <w:uiPriority w:val="99"/>
    <w:unhideWhenUsed/>
    <w:rsid w:val="001C19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192E"/>
  </w:style>
  <w:style w:type="character" w:styleId="CommentReference">
    <w:name w:val="annotation reference"/>
    <w:basedOn w:val="DefaultParagraphFont"/>
    <w:unhideWhenUsed/>
    <w:rsid w:val="00A67EEA"/>
    <w:rPr>
      <w:sz w:val="16"/>
      <w:szCs w:val="16"/>
    </w:rPr>
  </w:style>
  <w:style w:type="paragraph" w:styleId="CommentText">
    <w:name w:val="annotation text"/>
    <w:basedOn w:val="Normal"/>
    <w:link w:val="CommentTextChar"/>
    <w:uiPriority w:val="99"/>
    <w:semiHidden/>
    <w:unhideWhenUsed/>
    <w:rsid w:val="00A67EEA"/>
    <w:pPr>
      <w:spacing w:line="240" w:lineRule="auto"/>
    </w:pPr>
    <w:rPr>
      <w:sz w:val="20"/>
      <w:szCs w:val="20"/>
    </w:rPr>
  </w:style>
  <w:style w:type="character" w:customStyle="1" w:styleId="CommentTextChar">
    <w:name w:val="Comment Text Char"/>
    <w:basedOn w:val="DefaultParagraphFont"/>
    <w:link w:val="CommentText"/>
    <w:uiPriority w:val="99"/>
    <w:semiHidden/>
    <w:rsid w:val="00A67EEA"/>
    <w:rPr>
      <w:sz w:val="20"/>
      <w:szCs w:val="20"/>
    </w:rPr>
  </w:style>
  <w:style w:type="paragraph" w:styleId="CommentSubject">
    <w:name w:val="annotation subject"/>
    <w:basedOn w:val="CommentText"/>
    <w:next w:val="CommentText"/>
    <w:link w:val="CommentSubjectChar"/>
    <w:uiPriority w:val="99"/>
    <w:semiHidden/>
    <w:unhideWhenUsed/>
    <w:rsid w:val="00A67EEA"/>
    <w:rPr>
      <w:b/>
      <w:bCs/>
    </w:rPr>
  </w:style>
  <w:style w:type="character" w:customStyle="1" w:styleId="CommentSubjectChar">
    <w:name w:val="Comment Subject Char"/>
    <w:basedOn w:val="CommentTextChar"/>
    <w:link w:val="CommentSubject"/>
    <w:uiPriority w:val="99"/>
    <w:semiHidden/>
    <w:rsid w:val="00A67EEA"/>
    <w:rPr>
      <w:b/>
      <w:bCs/>
      <w:sz w:val="20"/>
      <w:szCs w:val="20"/>
    </w:rPr>
  </w:style>
  <w:style w:type="paragraph" w:styleId="BalloonText">
    <w:name w:val="Balloon Text"/>
    <w:basedOn w:val="Normal"/>
    <w:link w:val="BalloonTextChar"/>
    <w:uiPriority w:val="99"/>
    <w:semiHidden/>
    <w:unhideWhenUsed/>
    <w:rsid w:val="00A67E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EEA"/>
    <w:rPr>
      <w:rFonts w:ascii="Segoe UI" w:hAnsi="Segoe UI" w:cs="Segoe UI"/>
      <w:sz w:val="18"/>
      <w:szCs w:val="18"/>
    </w:rPr>
  </w:style>
  <w:style w:type="paragraph" w:styleId="ListParagraph">
    <w:name w:val="List Paragraph"/>
    <w:aliases w:val="Lettre d'introduction,REPORT Bullet"/>
    <w:basedOn w:val="Normal"/>
    <w:link w:val="ListParagraphChar"/>
    <w:qFormat/>
    <w:rsid w:val="00652829"/>
    <w:pPr>
      <w:ind w:left="720"/>
      <w:contextualSpacing/>
    </w:pPr>
  </w:style>
  <w:style w:type="paragraph" w:customStyle="1" w:styleId="T1">
    <w:name w:val="T1"/>
    <w:basedOn w:val="Heading1"/>
    <w:link w:val="T1Char"/>
    <w:rsid w:val="00652829"/>
    <w:pPr>
      <w:keepLines w:val="0"/>
      <w:spacing w:after="120" w:line="360" w:lineRule="auto"/>
      <w:jc w:val="both"/>
      <w:outlineLvl w:val="9"/>
    </w:pPr>
    <w:rPr>
      <w:rFonts w:ascii="Arial" w:eastAsia="Times New Roman" w:hAnsi="Arial" w:cs="Times New Roman"/>
      <w:b/>
      <w:bCs/>
      <w:color w:val="auto"/>
      <w:sz w:val="19"/>
      <w:szCs w:val="20"/>
      <w:lang w:val="pl-PL"/>
    </w:rPr>
  </w:style>
  <w:style w:type="character" w:customStyle="1" w:styleId="T1Char">
    <w:name w:val="T1 Char"/>
    <w:link w:val="T1"/>
    <w:rsid w:val="00652829"/>
    <w:rPr>
      <w:rFonts w:ascii="Arial" w:eastAsia="Times New Roman" w:hAnsi="Arial" w:cs="Times New Roman"/>
      <w:b/>
      <w:bCs/>
      <w:sz w:val="19"/>
      <w:szCs w:val="20"/>
      <w:lang w:val="pl-PL"/>
    </w:rPr>
  </w:style>
  <w:style w:type="character" w:customStyle="1" w:styleId="ListParagraphChar">
    <w:name w:val="List Paragraph Char"/>
    <w:aliases w:val="Lettre d'introduction Char,REPORT Bullet Char"/>
    <w:link w:val="ListParagraph"/>
    <w:rsid w:val="00652829"/>
  </w:style>
  <w:style w:type="paragraph" w:customStyle="1" w:styleId="Default">
    <w:name w:val="Default"/>
    <w:rsid w:val="00652829"/>
    <w:pPr>
      <w:autoSpaceDE w:val="0"/>
      <w:autoSpaceDN w:val="0"/>
      <w:adjustRightInd w:val="0"/>
      <w:spacing w:after="0" w:line="240" w:lineRule="auto"/>
    </w:pPr>
    <w:rPr>
      <w:rFonts w:ascii="Arial" w:eastAsia="Calibri" w:hAnsi="Arial" w:cs="Arial"/>
      <w:color w:val="000000"/>
      <w:sz w:val="24"/>
      <w:szCs w:val="24"/>
    </w:rPr>
  </w:style>
  <w:style w:type="paragraph" w:customStyle="1" w:styleId="Pa50">
    <w:name w:val="Pa50"/>
    <w:basedOn w:val="Default"/>
    <w:next w:val="Default"/>
    <w:uiPriority w:val="99"/>
    <w:rsid w:val="00652829"/>
    <w:pPr>
      <w:spacing w:line="191" w:lineRule="atLeast"/>
    </w:pPr>
    <w:rPr>
      <w:rFonts w:ascii="Times New Roman" w:eastAsia="Times New Roman" w:hAnsi="Times New Roman" w:cs="Times New Roman"/>
      <w:color w:val="auto"/>
      <w:lang w:eastAsia="hr-HR"/>
    </w:rPr>
  </w:style>
  <w:style w:type="character" w:customStyle="1" w:styleId="Heading1Char">
    <w:name w:val="Heading 1 Char"/>
    <w:basedOn w:val="DefaultParagraphFont"/>
    <w:link w:val="Heading1"/>
    <w:uiPriority w:val="9"/>
    <w:rsid w:val="00652829"/>
    <w:rPr>
      <w:rFonts w:asciiTheme="majorHAnsi" w:eastAsiaTheme="majorEastAsia" w:hAnsiTheme="majorHAnsi" w:cstheme="majorBidi"/>
      <w:color w:val="2F5496" w:themeColor="accent1" w:themeShade="BF"/>
      <w:sz w:val="32"/>
      <w:szCs w:val="32"/>
    </w:rPr>
  </w:style>
  <w:style w:type="paragraph" w:customStyle="1" w:styleId="TT">
    <w:name w:val="TT"/>
    <w:basedOn w:val="Normal"/>
    <w:rsid w:val="00015068"/>
    <w:pPr>
      <w:tabs>
        <w:tab w:val="right" w:pos="1202"/>
      </w:tabs>
      <w:spacing w:after="0" w:line="301" w:lineRule="exact"/>
      <w:outlineLvl w:val="0"/>
    </w:pPr>
    <w:rPr>
      <w:rFonts w:ascii="Arial" w:eastAsia="Times New Roman" w:hAnsi="Arial" w:cs="Times New Roman"/>
      <w:sz w:val="19"/>
      <w:szCs w:val="20"/>
      <w:lang w:val="en-GB"/>
    </w:rPr>
  </w:style>
  <w:style w:type="paragraph" w:customStyle="1" w:styleId="Tot">
    <w:name w:val="Tot"/>
    <w:basedOn w:val="TT"/>
    <w:rsid w:val="00015068"/>
    <w:pPr>
      <w:spacing w:line="340" w:lineRule="exact"/>
    </w:pPr>
  </w:style>
  <w:style w:type="paragraph" w:customStyle="1" w:styleId="TH">
    <w:name w:val="TH"/>
    <w:basedOn w:val="Normal"/>
    <w:rsid w:val="00015068"/>
    <w:pPr>
      <w:tabs>
        <w:tab w:val="right" w:pos="1202"/>
      </w:tabs>
      <w:spacing w:after="0" w:line="240" w:lineRule="atLeast"/>
      <w:outlineLvl w:val="0"/>
    </w:pPr>
    <w:rPr>
      <w:rFonts w:ascii="Arial" w:eastAsia="Times New Roman" w:hAnsi="Arial" w:cs="Times New Roman"/>
      <w:b/>
      <w:sz w:val="19"/>
      <w:szCs w:val="20"/>
      <w:lang w:val="en-GB"/>
    </w:rPr>
  </w:style>
  <w:style w:type="paragraph" w:styleId="BodyText3">
    <w:name w:val="Body Text 3"/>
    <w:basedOn w:val="Normal"/>
    <w:link w:val="BodyText3Char"/>
    <w:uiPriority w:val="99"/>
    <w:rsid w:val="00015068"/>
    <w:pPr>
      <w:tabs>
        <w:tab w:val="center" w:pos="4513"/>
      </w:tabs>
      <w:suppressAutoHyphens/>
      <w:spacing w:after="0" w:line="240" w:lineRule="auto"/>
      <w:jc w:val="both"/>
    </w:pPr>
    <w:rPr>
      <w:rFonts w:ascii="Times New Roman" w:eastAsia="Times New Roman" w:hAnsi="Times New Roman" w:cs="Times New Roman"/>
      <w:spacing w:val="-3"/>
      <w:szCs w:val="20"/>
      <w:lang w:val="en-GB"/>
    </w:rPr>
  </w:style>
  <w:style w:type="character" w:customStyle="1" w:styleId="BodyText3Char">
    <w:name w:val="Body Text 3 Char"/>
    <w:basedOn w:val="DefaultParagraphFont"/>
    <w:link w:val="BodyText3"/>
    <w:uiPriority w:val="99"/>
    <w:rsid w:val="00015068"/>
    <w:rPr>
      <w:rFonts w:ascii="Times New Roman" w:eastAsia="Times New Roman" w:hAnsi="Times New Roman" w:cs="Times New Roman"/>
      <w:spacing w:val="-3"/>
      <w:szCs w:val="20"/>
      <w:lang w:val="en-GB"/>
    </w:rPr>
  </w:style>
  <w:style w:type="paragraph" w:styleId="Revision">
    <w:name w:val="Revision"/>
    <w:hidden/>
    <w:uiPriority w:val="99"/>
    <w:semiHidden/>
    <w:rsid w:val="00DD236B"/>
    <w:pPr>
      <w:spacing w:after="0" w:line="240" w:lineRule="auto"/>
    </w:pPr>
  </w:style>
  <w:style w:type="paragraph" w:styleId="NormalWeb">
    <w:name w:val="Normal (Web)"/>
    <w:basedOn w:val="Normal"/>
    <w:link w:val="NormalWebChar"/>
    <w:uiPriority w:val="99"/>
    <w:unhideWhenUsed/>
    <w:rsid w:val="00C93622"/>
    <w:pPr>
      <w:spacing w:before="100" w:beforeAutospacing="1" w:after="100" w:afterAutospacing="1" w:line="360" w:lineRule="atLeast"/>
    </w:pPr>
    <w:rPr>
      <w:rFonts w:ascii="Times New Roman" w:eastAsia="Times New Roman" w:hAnsi="Times New Roman" w:cs="Times New Roman"/>
      <w:color w:val="666666"/>
      <w:sz w:val="27"/>
      <w:szCs w:val="27"/>
      <w:lang w:eastAsia="hr-HR"/>
    </w:rPr>
  </w:style>
  <w:style w:type="paragraph" w:customStyle="1" w:styleId="Naslovipoglavlja">
    <w:name w:val="Naslovi poglavlja"/>
    <w:basedOn w:val="Heading1"/>
    <w:rsid w:val="00A33FA8"/>
    <w:pPr>
      <w:keepLines w:val="0"/>
      <w:suppressAutoHyphens/>
      <w:autoSpaceDN w:val="0"/>
      <w:spacing w:before="0" w:line="240" w:lineRule="auto"/>
      <w:jc w:val="both"/>
      <w:textAlignment w:val="baseline"/>
    </w:pPr>
    <w:rPr>
      <w:rFonts w:ascii="Arial" w:eastAsia="Times New Roman" w:hAnsi="Arial" w:cs="Times New Roman"/>
      <w:b/>
      <w:color w:val="auto"/>
      <w:kern w:val="3"/>
      <w:sz w:val="28"/>
      <w:szCs w:val="20"/>
      <w:lang w:val="en-GB"/>
    </w:rPr>
  </w:style>
  <w:style w:type="character" w:styleId="Strong">
    <w:name w:val="Strong"/>
    <w:basedOn w:val="DefaultParagraphFont"/>
    <w:uiPriority w:val="22"/>
    <w:qFormat/>
    <w:rsid w:val="00EC16C5"/>
    <w:rPr>
      <w:b/>
      <w:bCs/>
    </w:rPr>
  </w:style>
  <w:style w:type="paragraph" w:customStyle="1" w:styleId="xmsonormal">
    <w:name w:val="x_msonormal"/>
    <w:basedOn w:val="Normal"/>
    <w:rsid w:val="000A2933"/>
    <w:pPr>
      <w:spacing w:after="0" w:line="240" w:lineRule="auto"/>
    </w:pPr>
    <w:rPr>
      <w:rFonts w:ascii="Calibri" w:eastAsia="Calibri" w:hAnsi="Calibri" w:cs="Times New Roman"/>
      <w:lang w:eastAsia="hr-HR"/>
    </w:rPr>
  </w:style>
  <w:style w:type="paragraph" w:customStyle="1" w:styleId="KAMKNormal">
    <w:name w:val="KAMKNormal"/>
    <w:basedOn w:val="Normal"/>
    <w:link w:val="KAMKNormalChar"/>
    <w:qFormat/>
    <w:rsid w:val="00C638F1"/>
    <w:pPr>
      <w:suppressAutoHyphens/>
      <w:autoSpaceDN w:val="0"/>
      <w:spacing w:before="120" w:after="120" w:line="240" w:lineRule="auto"/>
      <w:textAlignment w:val="baseline"/>
    </w:pPr>
    <w:rPr>
      <w:rFonts w:ascii="Tahoma" w:eastAsia="Times New Roman" w:hAnsi="Tahoma" w:cs="Times New Roman"/>
      <w:color w:val="000000"/>
      <w:szCs w:val="24"/>
      <w:lang w:val="en-US"/>
    </w:rPr>
  </w:style>
  <w:style w:type="character" w:customStyle="1" w:styleId="KAMKNormalChar">
    <w:name w:val="KAMKNormal Char"/>
    <w:link w:val="KAMKNormal"/>
    <w:rsid w:val="00C638F1"/>
    <w:rPr>
      <w:rFonts w:ascii="Tahoma" w:eastAsia="Times New Roman" w:hAnsi="Tahoma" w:cs="Times New Roman"/>
      <w:color w:val="000000"/>
      <w:szCs w:val="24"/>
      <w:lang w:val="en-US"/>
    </w:rPr>
  </w:style>
  <w:style w:type="character" w:customStyle="1" w:styleId="NormalWebChar">
    <w:name w:val="Normal (Web) Char"/>
    <w:basedOn w:val="DefaultParagraphFont"/>
    <w:link w:val="NormalWeb"/>
    <w:uiPriority w:val="99"/>
    <w:locked/>
    <w:rsid w:val="00C638F1"/>
    <w:rPr>
      <w:rFonts w:ascii="Times New Roman" w:eastAsia="Times New Roman" w:hAnsi="Times New Roman" w:cs="Times New Roman"/>
      <w:color w:val="666666"/>
      <w:sz w:val="27"/>
      <w:szCs w:val="27"/>
      <w:lang w:eastAsia="hr-HR"/>
    </w:rPr>
  </w:style>
  <w:style w:type="paragraph" w:customStyle="1" w:styleId="Bullet">
    <w:name w:val="Bullet"/>
    <w:basedOn w:val="Normal"/>
    <w:rsid w:val="000E67B1"/>
    <w:pPr>
      <w:numPr>
        <w:numId w:val="83"/>
      </w:numPr>
      <w:suppressAutoHyphens/>
      <w:autoSpaceDN w:val="0"/>
      <w:spacing w:after="0" w:line="240" w:lineRule="auto"/>
      <w:textAlignment w:val="baseline"/>
    </w:pPr>
    <w:rPr>
      <w:rFonts w:ascii="Times New Roman" w:eastAsia="Times New Roman" w:hAnsi="Times New Roman" w:cs="Times New Roman"/>
      <w:sz w:val="24"/>
      <w:szCs w:val="24"/>
      <w:lang w:val="en-US"/>
    </w:rPr>
  </w:style>
  <w:style w:type="numbering" w:customStyle="1" w:styleId="LFO6">
    <w:name w:val="LFO6"/>
    <w:basedOn w:val="NoList"/>
    <w:rsid w:val="000E67B1"/>
    <w:pPr>
      <w:numPr>
        <w:numId w:val="83"/>
      </w:numPr>
    </w:pPr>
  </w:style>
  <w:style w:type="paragraph" w:styleId="List">
    <w:name w:val="List"/>
    <w:basedOn w:val="Normal"/>
    <w:rsid w:val="000E67B1"/>
    <w:pPr>
      <w:suppressAutoHyphens/>
      <w:autoSpaceDN w:val="0"/>
      <w:spacing w:after="0" w:line="240" w:lineRule="auto"/>
      <w:ind w:left="283" w:hanging="283"/>
      <w:textAlignment w:val="baseline"/>
    </w:pPr>
    <w:rPr>
      <w:rFonts w:ascii="Times New Roman" w:eastAsia="Times New Roman" w:hAnsi="Times New Roman" w:cs="Times New Roman"/>
      <w:szCs w:val="20"/>
      <w:lang w:val="en-GB"/>
    </w:rPr>
  </w:style>
  <w:style w:type="paragraph" w:customStyle="1" w:styleId="RNormal">
    <w:name w:val="RNormal"/>
    <w:basedOn w:val="Normal"/>
    <w:rsid w:val="000E67B1"/>
    <w:pPr>
      <w:autoSpaceDN w:val="0"/>
      <w:spacing w:after="0" w:line="240" w:lineRule="auto"/>
      <w:jc w:val="both"/>
    </w:pPr>
    <w:rPr>
      <w:rFonts w:ascii="Times New Roman" w:eastAsia="Times New Roman" w:hAnsi="Times New Roman" w:cs="Times New Roman"/>
      <w:szCs w:val="24"/>
      <w:lang w:val="en-US"/>
    </w:rPr>
  </w:style>
  <w:style w:type="paragraph" w:customStyle="1" w:styleId="Thick">
    <w:name w:val="Thick"/>
    <w:basedOn w:val="Normal"/>
    <w:next w:val="Normal"/>
    <w:rsid w:val="00972713"/>
    <w:pPr>
      <w:keepNext/>
      <w:keepLines/>
      <w:tabs>
        <w:tab w:val="decimal" w:pos="1202"/>
      </w:tabs>
      <w:spacing w:after="0" w:line="100" w:lineRule="exact"/>
    </w:pPr>
    <w:rPr>
      <w:rFonts w:ascii="Arial" w:eastAsia="Times New Roman" w:hAnsi="Arial" w:cs="Times New Roman"/>
      <w:b/>
      <w:position w:val="4"/>
      <w:sz w:val="16"/>
      <w:szCs w:val="20"/>
      <w:u w:val="thick"/>
      <w:lang w:val="en-US"/>
    </w:rPr>
  </w:style>
  <w:style w:type="character" w:customStyle="1" w:styleId="y2iqfc">
    <w:name w:val="y2iqfc"/>
    <w:basedOn w:val="DefaultParagraphFont"/>
    <w:rsid w:val="00FA7A81"/>
  </w:style>
  <w:style w:type="paragraph" w:customStyle="1" w:styleId="PH">
    <w:name w:val="PH"/>
    <w:basedOn w:val="Header"/>
    <w:rsid w:val="00EC4F20"/>
    <w:pPr>
      <w:tabs>
        <w:tab w:val="clear" w:pos="4536"/>
        <w:tab w:val="clear" w:pos="9072"/>
      </w:tabs>
      <w:spacing w:line="301" w:lineRule="atLeast"/>
    </w:pPr>
    <w:rPr>
      <w:rFonts w:ascii="Arial" w:eastAsia="Times New Roman" w:hAnsi="Arial" w:cs="Times New Roman"/>
      <w:sz w:val="24"/>
      <w:szCs w:val="20"/>
      <w:lang w:val="en-GB"/>
    </w:rPr>
  </w:style>
  <w:style w:type="paragraph" w:customStyle="1" w:styleId="default0">
    <w:name w:val="default"/>
    <w:basedOn w:val="Normal"/>
    <w:rsid w:val="00E52A7B"/>
    <w:pPr>
      <w:autoSpaceDE w:val="0"/>
      <w:autoSpaceDN w:val="0"/>
      <w:spacing w:after="0" w:line="240" w:lineRule="auto"/>
    </w:pPr>
    <w:rPr>
      <w:rFonts w:ascii="Calibri" w:hAnsi="Calibri" w:cs="Calibri"/>
      <w:color w:val="000000"/>
      <w:sz w:val="24"/>
      <w:szCs w:val="24"/>
      <w:lang w:eastAsia="hr-HR"/>
    </w:rPr>
  </w:style>
  <w:style w:type="character" w:styleId="FootnoteReference">
    <w:name w:val="footnote reference"/>
    <w:uiPriority w:val="99"/>
    <w:rsid w:val="00447E2C"/>
    <w:rPr>
      <w:vertAlign w:val="superscript"/>
    </w:rPr>
  </w:style>
  <w:style w:type="paragraph" w:styleId="FootnoteText">
    <w:name w:val="footnote text"/>
    <w:basedOn w:val="Normal"/>
    <w:link w:val="FootnoteTextChar"/>
    <w:uiPriority w:val="99"/>
    <w:rsid w:val="00447E2C"/>
    <w:pPr>
      <w:spacing w:after="0" w:line="240" w:lineRule="auto"/>
    </w:pPr>
    <w:rPr>
      <w:rFonts w:ascii="Times New Roman" w:eastAsia="Times New Roman" w:hAnsi="Times New Roman" w:cs="Times New Roman"/>
      <w:sz w:val="20"/>
      <w:szCs w:val="20"/>
      <w:lang w:eastAsia="hr-HR"/>
    </w:rPr>
  </w:style>
  <w:style w:type="character" w:customStyle="1" w:styleId="FootnoteTextChar">
    <w:name w:val="Footnote Text Char"/>
    <w:basedOn w:val="DefaultParagraphFont"/>
    <w:link w:val="FootnoteText"/>
    <w:uiPriority w:val="99"/>
    <w:rsid w:val="00447E2C"/>
    <w:rPr>
      <w:rFonts w:ascii="Times New Roman" w:eastAsia="Times New Roman" w:hAnsi="Times New Roman" w:cs="Times New Roman"/>
      <w:sz w:val="20"/>
      <w:szCs w:val="20"/>
      <w:lang w:eastAsia="hr-HR"/>
    </w:rPr>
  </w:style>
  <w:style w:type="character" w:customStyle="1" w:styleId="jlqj4b">
    <w:name w:val="jlqj4b"/>
    <w:basedOn w:val="DefaultParagraphFont"/>
    <w:rsid w:val="003A2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7723">
      <w:bodyDiv w:val="1"/>
      <w:marLeft w:val="0"/>
      <w:marRight w:val="0"/>
      <w:marTop w:val="0"/>
      <w:marBottom w:val="0"/>
      <w:divBdr>
        <w:top w:val="none" w:sz="0" w:space="0" w:color="auto"/>
        <w:left w:val="none" w:sz="0" w:space="0" w:color="auto"/>
        <w:bottom w:val="none" w:sz="0" w:space="0" w:color="auto"/>
        <w:right w:val="none" w:sz="0" w:space="0" w:color="auto"/>
      </w:divBdr>
    </w:div>
    <w:div w:id="24867634">
      <w:bodyDiv w:val="1"/>
      <w:marLeft w:val="0"/>
      <w:marRight w:val="0"/>
      <w:marTop w:val="0"/>
      <w:marBottom w:val="0"/>
      <w:divBdr>
        <w:top w:val="none" w:sz="0" w:space="0" w:color="auto"/>
        <w:left w:val="none" w:sz="0" w:space="0" w:color="auto"/>
        <w:bottom w:val="none" w:sz="0" w:space="0" w:color="auto"/>
        <w:right w:val="none" w:sz="0" w:space="0" w:color="auto"/>
      </w:divBdr>
    </w:div>
    <w:div w:id="37440976">
      <w:bodyDiv w:val="1"/>
      <w:marLeft w:val="0"/>
      <w:marRight w:val="0"/>
      <w:marTop w:val="0"/>
      <w:marBottom w:val="0"/>
      <w:divBdr>
        <w:top w:val="none" w:sz="0" w:space="0" w:color="auto"/>
        <w:left w:val="none" w:sz="0" w:space="0" w:color="auto"/>
        <w:bottom w:val="none" w:sz="0" w:space="0" w:color="auto"/>
        <w:right w:val="none" w:sz="0" w:space="0" w:color="auto"/>
      </w:divBdr>
    </w:div>
    <w:div w:id="66852630">
      <w:bodyDiv w:val="1"/>
      <w:marLeft w:val="0"/>
      <w:marRight w:val="0"/>
      <w:marTop w:val="0"/>
      <w:marBottom w:val="0"/>
      <w:divBdr>
        <w:top w:val="none" w:sz="0" w:space="0" w:color="auto"/>
        <w:left w:val="none" w:sz="0" w:space="0" w:color="auto"/>
        <w:bottom w:val="none" w:sz="0" w:space="0" w:color="auto"/>
        <w:right w:val="none" w:sz="0" w:space="0" w:color="auto"/>
      </w:divBdr>
    </w:div>
    <w:div w:id="86119735">
      <w:bodyDiv w:val="1"/>
      <w:marLeft w:val="0"/>
      <w:marRight w:val="0"/>
      <w:marTop w:val="0"/>
      <w:marBottom w:val="0"/>
      <w:divBdr>
        <w:top w:val="none" w:sz="0" w:space="0" w:color="auto"/>
        <w:left w:val="none" w:sz="0" w:space="0" w:color="auto"/>
        <w:bottom w:val="none" w:sz="0" w:space="0" w:color="auto"/>
        <w:right w:val="none" w:sz="0" w:space="0" w:color="auto"/>
      </w:divBdr>
    </w:div>
    <w:div w:id="108671545">
      <w:bodyDiv w:val="1"/>
      <w:marLeft w:val="0"/>
      <w:marRight w:val="0"/>
      <w:marTop w:val="0"/>
      <w:marBottom w:val="0"/>
      <w:divBdr>
        <w:top w:val="none" w:sz="0" w:space="0" w:color="auto"/>
        <w:left w:val="none" w:sz="0" w:space="0" w:color="auto"/>
        <w:bottom w:val="none" w:sz="0" w:space="0" w:color="auto"/>
        <w:right w:val="none" w:sz="0" w:space="0" w:color="auto"/>
      </w:divBdr>
    </w:div>
    <w:div w:id="115685456">
      <w:bodyDiv w:val="1"/>
      <w:marLeft w:val="0"/>
      <w:marRight w:val="0"/>
      <w:marTop w:val="0"/>
      <w:marBottom w:val="0"/>
      <w:divBdr>
        <w:top w:val="none" w:sz="0" w:space="0" w:color="auto"/>
        <w:left w:val="none" w:sz="0" w:space="0" w:color="auto"/>
        <w:bottom w:val="none" w:sz="0" w:space="0" w:color="auto"/>
        <w:right w:val="none" w:sz="0" w:space="0" w:color="auto"/>
      </w:divBdr>
    </w:div>
    <w:div w:id="119737474">
      <w:bodyDiv w:val="1"/>
      <w:marLeft w:val="0"/>
      <w:marRight w:val="0"/>
      <w:marTop w:val="0"/>
      <w:marBottom w:val="0"/>
      <w:divBdr>
        <w:top w:val="none" w:sz="0" w:space="0" w:color="auto"/>
        <w:left w:val="none" w:sz="0" w:space="0" w:color="auto"/>
        <w:bottom w:val="none" w:sz="0" w:space="0" w:color="auto"/>
        <w:right w:val="none" w:sz="0" w:space="0" w:color="auto"/>
      </w:divBdr>
    </w:div>
    <w:div w:id="174224741">
      <w:bodyDiv w:val="1"/>
      <w:marLeft w:val="0"/>
      <w:marRight w:val="0"/>
      <w:marTop w:val="0"/>
      <w:marBottom w:val="0"/>
      <w:divBdr>
        <w:top w:val="none" w:sz="0" w:space="0" w:color="auto"/>
        <w:left w:val="none" w:sz="0" w:space="0" w:color="auto"/>
        <w:bottom w:val="none" w:sz="0" w:space="0" w:color="auto"/>
        <w:right w:val="none" w:sz="0" w:space="0" w:color="auto"/>
      </w:divBdr>
    </w:div>
    <w:div w:id="182793122">
      <w:bodyDiv w:val="1"/>
      <w:marLeft w:val="0"/>
      <w:marRight w:val="0"/>
      <w:marTop w:val="0"/>
      <w:marBottom w:val="0"/>
      <w:divBdr>
        <w:top w:val="none" w:sz="0" w:space="0" w:color="auto"/>
        <w:left w:val="none" w:sz="0" w:space="0" w:color="auto"/>
        <w:bottom w:val="none" w:sz="0" w:space="0" w:color="auto"/>
        <w:right w:val="none" w:sz="0" w:space="0" w:color="auto"/>
      </w:divBdr>
      <w:divsChild>
        <w:div w:id="1552690870">
          <w:marLeft w:val="0"/>
          <w:marRight w:val="0"/>
          <w:marTop w:val="0"/>
          <w:marBottom w:val="0"/>
          <w:divBdr>
            <w:top w:val="none" w:sz="0" w:space="0" w:color="auto"/>
            <w:left w:val="none" w:sz="0" w:space="0" w:color="auto"/>
            <w:bottom w:val="none" w:sz="0" w:space="0" w:color="auto"/>
            <w:right w:val="none" w:sz="0" w:space="0" w:color="auto"/>
          </w:divBdr>
          <w:divsChild>
            <w:div w:id="1440294343">
              <w:marLeft w:val="0"/>
              <w:marRight w:val="0"/>
              <w:marTop w:val="0"/>
              <w:marBottom w:val="0"/>
              <w:divBdr>
                <w:top w:val="none" w:sz="0" w:space="0" w:color="auto"/>
                <w:left w:val="none" w:sz="0" w:space="0" w:color="auto"/>
                <w:bottom w:val="none" w:sz="0" w:space="0" w:color="auto"/>
                <w:right w:val="none" w:sz="0" w:space="0" w:color="auto"/>
              </w:divBdr>
              <w:divsChild>
                <w:div w:id="373193028">
                  <w:marLeft w:val="0"/>
                  <w:marRight w:val="0"/>
                  <w:marTop w:val="0"/>
                  <w:marBottom w:val="0"/>
                  <w:divBdr>
                    <w:top w:val="none" w:sz="0" w:space="0" w:color="auto"/>
                    <w:left w:val="none" w:sz="0" w:space="0" w:color="auto"/>
                    <w:bottom w:val="none" w:sz="0" w:space="0" w:color="auto"/>
                    <w:right w:val="none" w:sz="0" w:space="0" w:color="auto"/>
                  </w:divBdr>
                  <w:divsChild>
                    <w:div w:id="1452361176">
                      <w:marLeft w:val="0"/>
                      <w:marRight w:val="0"/>
                      <w:marTop w:val="0"/>
                      <w:marBottom w:val="0"/>
                      <w:divBdr>
                        <w:top w:val="none" w:sz="0" w:space="0" w:color="auto"/>
                        <w:left w:val="none" w:sz="0" w:space="0" w:color="auto"/>
                        <w:bottom w:val="none" w:sz="0" w:space="0" w:color="auto"/>
                        <w:right w:val="none" w:sz="0" w:space="0" w:color="auto"/>
                      </w:divBdr>
                      <w:divsChild>
                        <w:div w:id="568811042">
                          <w:marLeft w:val="0"/>
                          <w:marRight w:val="0"/>
                          <w:marTop w:val="0"/>
                          <w:marBottom w:val="0"/>
                          <w:divBdr>
                            <w:top w:val="none" w:sz="0" w:space="0" w:color="auto"/>
                            <w:left w:val="none" w:sz="0" w:space="0" w:color="auto"/>
                            <w:bottom w:val="none" w:sz="0" w:space="0" w:color="auto"/>
                            <w:right w:val="none" w:sz="0" w:space="0" w:color="auto"/>
                          </w:divBdr>
                          <w:divsChild>
                            <w:div w:id="179073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941900">
      <w:bodyDiv w:val="1"/>
      <w:marLeft w:val="0"/>
      <w:marRight w:val="0"/>
      <w:marTop w:val="0"/>
      <w:marBottom w:val="0"/>
      <w:divBdr>
        <w:top w:val="none" w:sz="0" w:space="0" w:color="auto"/>
        <w:left w:val="none" w:sz="0" w:space="0" w:color="auto"/>
        <w:bottom w:val="none" w:sz="0" w:space="0" w:color="auto"/>
        <w:right w:val="none" w:sz="0" w:space="0" w:color="auto"/>
      </w:divBdr>
    </w:div>
    <w:div w:id="218637306">
      <w:bodyDiv w:val="1"/>
      <w:marLeft w:val="0"/>
      <w:marRight w:val="0"/>
      <w:marTop w:val="0"/>
      <w:marBottom w:val="0"/>
      <w:divBdr>
        <w:top w:val="none" w:sz="0" w:space="0" w:color="auto"/>
        <w:left w:val="none" w:sz="0" w:space="0" w:color="auto"/>
        <w:bottom w:val="none" w:sz="0" w:space="0" w:color="auto"/>
        <w:right w:val="none" w:sz="0" w:space="0" w:color="auto"/>
      </w:divBdr>
    </w:div>
    <w:div w:id="240531159">
      <w:bodyDiv w:val="1"/>
      <w:marLeft w:val="0"/>
      <w:marRight w:val="0"/>
      <w:marTop w:val="0"/>
      <w:marBottom w:val="0"/>
      <w:divBdr>
        <w:top w:val="none" w:sz="0" w:space="0" w:color="auto"/>
        <w:left w:val="none" w:sz="0" w:space="0" w:color="auto"/>
        <w:bottom w:val="none" w:sz="0" w:space="0" w:color="auto"/>
        <w:right w:val="none" w:sz="0" w:space="0" w:color="auto"/>
      </w:divBdr>
      <w:divsChild>
        <w:div w:id="1498157171">
          <w:marLeft w:val="0"/>
          <w:marRight w:val="0"/>
          <w:marTop w:val="0"/>
          <w:marBottom w:val="0"/>
          <w:divBdr>
            <w:top w:val="none" w:sz="0" w:space="0" w:color="auto"/>
            <w:left w:val="none" w:sz="0" w:space="0" w:color="auto"/>
            <w:bottom w:val="none" w:sz="0" w:space="0" w:color="auto"/>
            <w:right w:val="none" w:sz="0" w:space="0" w:color="auto"/>
          </w:divBdr>
          <w:divsChild>
            <w:div w:id="1641880874">
              <w:marLeft w:val="0"/>
              <w:marRight w:val="0"/>
              <w:marTop w:val="0"/>
              <w:marBottom w:val="0"/>
              <w:divBdr>
                <w:top w:val="none" w:sz="0" w:space="0" w:color="auto"/>
                <w:left w:val="none" w:sz="0" w:space="0" w:color="auto"/>
                <w:bottom w:val="none" w:sz="0" w:space="0" w:color="auto"/>
                <w:right w:val="none" w:sz="0" w:space="0" w:color="auto"/>
              </w:divBdr>
              <w:divsChild>
                <w:div w:id="470291887">
                  <w:marLeft w:val="0"/>
                  <w:marRight w:val="0"/>
                  <w:marTop w:val="0"/>
                  <w:marBottom w:val="0"/>
                  <w:divBdr>
                    <w:top w:val="none" w:sz="0" w:space="0" w:color="auto"/>
                    <w:left w:val="none" w:sz="0" w:space="0" w:color="auto"/>
                    <w:bottom w:val="none" w:sz="0" w:space="0" w:color="auto"/>
                    <w:right w:val="none" w:sz="0" w:space="0" w:color="auto"/>
                  </w:divBdr>
                  <w:divsChild>
                    <w:div w:id="1715154848">
                      <w:marLeft w:val="0"/>
                      <w:marRight w:val="0"/>
                      <w:marTop w:val="0"/>
                      <w:marBottom w:val="0"/>
                      <w:divBdr>
                        <w:top w:val="none" w:sz="0" w:space="0" w:color="auto"/>
                        <w:left w:val="none" w:sz="0" w:space="0" w:color="auto"/>
                        <w:bottom w:val="none" w:sz="0" w:space="0" w:color="auto"/>
                        <w:right w:val="none" w:sz="0" w:space="0" w:color="auto"/>
                      </w:divBdr>
                      <w:divsChild>
                        <w:div w:id="1965501105">
                          <w:marLeft w:val="0"/>
                          <w:marRight w:val="0"/>
                          <w:marTop w:val="0"/>
                          <w:marBottom w:val="0"/>
                          <w:divBdr>
                            <w:top w:val="none" w:sz="0" w:space="0" w:color="auto"/>
                            <w:left w:val="none" w:sz="0" w:space="0" w:color="auto"/>
                            <w:bottom w:val="none" w:sz="0" w:space="0" w:color="auto"/>
                            <w:right w:val="none" w:sz="0" w:space="0" w:color="auto"/>
                          </w:divBdr>
                          <w:divsChild>
                            <w:div w:id="877088903">
                              <w:marLeft w:val="2700"/>
                              <w:marRight w:val="3960"/>
                              <w:marTop w:val="0"/>
                              <w:marBottom w:val="0"/>
                              <w:divBdr>
                                <w:top w:val="none" w:sz="0" w:space="0" w:color="auto"/>
                                <w:left w:val="none" w:sz="0" w:space="0" w:color="auto"/>
                                <w:bottom w:val="none" w:sz="0" w:space="0" w:color="auto"/>
                                <w:right w:val="none" w:sz="0" w:space="0" w:color="auto"/>
                              </w:divBdr>
                              <w:divsChild>
                                <w:div w:id="1143156527">
                                  <w:marLeft w:val="0"/>
                                  <w:marRight w:val="0"/>
                                  <w:marTop w:val="0"/>
                                  <w:marBottom w:val="0"/>
                                  <w:divBdr>
                                    <w:top w:val="none" w:sz="0" w:space="0" w:color="auto"/>
                                    <w:left w:val="none" w:sz="0" w:space="0" w:color="auto"/>
                                    <w:bottom w:val="none" w:sz="0" w:space="0" w:color="auto"/>
                                    <w:right w:val="none" w:sz="0" w:space="0" w:color="auto"/>
                                  </w:divBdr>
                                  <w:divsChild>
                                    <w:div w:id="1568683931">
                                      <w:marLeft w:val="0"/>
                                      <w:marRight w:val="0"/>
                                      <w:marTop w:val="0"/>
                                      <w:marBottom w:val="0"/>
                                      <w:divBdr>
                                        <w:top w:val="none" w:sz="0" w:space="0" w:color="auto"/>
                                        <w:left w:val="none" w:sz="0" w:space="0" w:color="auto"/>
                                        <w:bottom w:val="none" w:sz="0" w:space="0" w:color="auto"/>
                                        <w:right w:val="none" w:sz="0" w:space="0" w:color="auto"/>
                                      </w:divBdr>
                                      <w:divsChild>
                                        <w:div w:id="154809530">
                                          <w:marLeft w:val="0"/>
                                          <w:marRight w:val="0"/>
                                          <w:marTop w:val="0"/>
                                          <w:marBottom w:val="0"/>
                                          <w:divBdr>
                                            <w:top w:val="none" w:sz="0" w:space="0" w:color="auto"/>
                                            <w:left w:val="none" w:sz="0" w:space="0" w:color="auto"/>
                                            <w:bottom w:val="none" w:sz="0" w:space="0" w:color="auto"/>
                                            <w:right w:val="none" w:sz="0" w:space="0" w:color="auto"/>
                                          </w:divBdr>
                                          <w:divsChild>
                                            <w:div w:id="1071001670">
                                              <w:marLeft w:val="0"/>
                                              <w:marRight w:val="0"/>
                                              <w:marTop w:val="90"/>
                                              <w:marBottom w:val="0"/>
                                              <w:divBdr>
                                                <w:top w:val="none" w:sz="0" w:space="0" w:color="auto"/>
                                                <w:left w:val="none" w:sz="0" w:space="0" w:color="auto"/>
                                                <w:bottom w:val="none" w:sz="0" w:space="0" w:color="auto"/>
                                                <w:right w:val="none" w:sz="0" w:space="0" w:color="auto"/>
                                              </w:divBdr>
                                              <w:divsChild>
                                                <w:div w:id="832377956">
                                                  <w:marLeft w:val="0"/>
                                                  <w:marRight w:val="0"/>
                                                  <w:marTop w:val="0"/>
                                                  <w:marBottom w:val="420"/>
                                                  <w:divBdr>
                                                    <w:top w:val="none" w:sz="0" w:space="0" w:color="auto"/>
                                                    <w:left w:val="none" w:sz="0" w:space="0" w:color="auto"/>
                                                    <w:bottom w:val="none" w:sz="0" w:space="0" w:color="auto"/>
                                                    <w:right w:val="none" w:sz="0" w:space="0" w:color="auto"/>
                                                  </w:divBdr>
                                                  <w:divsChild>
                                                    <w:div w:id="1295057915">
                                                      <w:marLeft w:val="0"/>
                                                      <w:marRight w:val="0"/>
                                                      <w:marTop w:val="0"/>
                                                      <w:marBottom w:val="0"/>
                                                      <w:divBdr>
                                                        <w:top w:val="none" w:sz="0" w:space="0" w:color="auto"/>
                                                        <w:left w:val="none" w:sz="0" w:space="0" w:color="auto"/>
                                                        <w:bottom w:val="none" w:sz="0" w:space="0" w:color="auto"/>
                                                        <w:right w:val="none" w:sz="0" w:space="0" w:color="auto"/>
                                                      </w:divBdr>
                                                      <w:divsChild>
                                                        <w:div w:id="894196164">
                                                          <w:marLeft w:val="0"/>
                                                          <w:marRight w:val="0"/>
                                                          <w:marTop w:val="0"/>
                                                          <w:marBottom w:val="0"/>
                                                          <w:divBdr>
                                                            <w:top w:val="single" w:sz="6" w:space="0" w:color="DFE1E5"/>
                                                            <w:left w:val="single" w:sz="6" w:space="0" w:color="DFE1E5"/>
                                                            <w:bottom w:val="single" w:sz="6" w:space="0" w:color="DFE1E5"/>
                                                            <w:right w:val="single" w:sz="6" w:space="0" w:color="DFE1E5"/>
                                                          </w:divBdr>
                                                          <w:divsChild>
                                                            <w:div w:id="996810869">
                                                              <w:marLeft w:val="0"/>
                                                              <w:marRight w:val="0"/>
                                                              <w:marTop w:val="0"/>
                                                              <w:marBottom w:val="0"/>
                                                              <w:divBdr>
                                                                <w:top w:val="none" w:sz="0" w:space="0" w:color="auto"/>
                                                                <w:left w:val="none" w:sz="0" w:space="0" w:color="auto"/>
                                                                <w:bottom w:val="none" w:sz="0" w:space="0" w:color="auto"/>
                                                                <w:right w:val="none" w:sz="0" w:space="0" w:color="auto"/>
                                                              </w:divBdr>
                                                              <w:divsChild>
                                                                <w:div w:id="2083749585">
                                                                  <w:marLeft w:val="0"/>
                                                                  <w:marRight w:val="0"/>
                                                                  <w:marTop w:val="0"/>
                                                                  <w:marBottom w:val="0"/>
                                                                  <w:divBdr>
                                                                    <w:top w:val="none" w:sz="0" w:space="0" w:color="auto"/>
                                                                    <w:left w:val="none" w:sz="0" w:space="0" w:color="auto"/>
                                                                    <w:bottom w:val="none" w:sz="0" w:space="0" w:color="auto"/>
                                                                    <w:right w:val="none" w:sz="0" w:space="0" w:color="auto"/>
                                                                  </w:divBdr>
                                                                  <w:divsChild>
                                                                    <w:div w:id="1492985008">
                                                                      <w:marLeft w:val="0"/>
                                                                      <w:marRight w:val="0"/>
                                                                      <w:marTop w:val="0"/>
                                                                      <w:marBottom w:val="0"/>
                                                                      <w:divBdr>
                                                                        <w:top w:val="none" w:sz="0" w:space="0" w:color="auto"/>
                                                                        <w:left w:val="none" w:sz="0" w:space="0" w:color="auto"/>
                                                                        <w:bottom w:val="none" w:sz="0" w:space="0" w:color="auto"/>
                                                                        <w:right w:val="none" w:sz="0" w:space="0" w:color="auto"/>
                                                                      </w:divBdr>
                                                                      <w:divsChild>
                                                                        <w:div w:id="1686706160">
                                                                          <w:marLeft w:val="0"/>
                                                                          <w:marRight w:val="0"/>
                                                                          <w:marTop w:val="0"/>
                                                                          <w:marBottom w:val="0"/>
                                                                          <w:divBdr>
                                                                            <w:top w:val="none" w:sz="0" w:space="0" w:color="auto"/>
                                                                            <w:left w:val="none" w:sz="0" w:space="0" w:color="auto"/>
                                                                            <w:bottom w:val="none" w:sz="0" w:space="0" w:color="auto"/>
                                                                            <w:right w:val="none" w:sz="0" w:space="0" w:color="auto"/>
                                                                          </w:divBdr>
                                                                          <w:divsChild>
                                                                            <w:div w:id="508984668">
                                                                              <w:marLeft w:val="0"/>
                                                                              <w:marRight w:val="0"/>
                                                                              <w:marTop w:val="0"/>
                                                                              <w:marBottom w:val="0"/>
                                                                              <w:divBdr>
                                                                                <w:top w:val="none" w:sz="0" w:space="0" w:color="auto"/>
                                                                                <w:left w:val="none" w:sz="0" w:space="0" w:color="auto"/>
                                                                                <w:bottom w:val="none" w:sz="0" w:space="0" w:color="auto"/>
                                                                                <w:right w:val="none" w:sz="0" w:space="0" w:color="auto"/>
                                                                              </w:divBdr>
                                                                              <w:divsChild>
                                                                                <w:div w:id="1166894078">
                                                                                  <w:marLeft w:val="0"/>
                                                                                  <w:marRight w:val="0"/>
                                                                                  <w:marTop w:val="0"/>
                                                                                  <w:marBottom w:val="0"/>
                                                                                  <w:divBdr>
                                                                                    <w:top w:val="none" w:sz="0" w:space="0" w:color="auto"/>
                                                                                    <w:left w:val="none" w:sz="0" w:space="0" w:color="auto"/>
                                                                                    <w:bottom w:val="none" w:sz="0" w:space="0" w:color="auto"/>
                                                                                    <w:right w:val="none" w:sz="0" w:space="0" w:color="auto"/>
                                                                                  </w:divBdr>
                                                                                  <w:divsChild>
                                                                                    <w:div w:id="97414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9799738">
      <w:bodyDiv w:val="1"/>
      <w:marLeft w:val="0"/>
      <w:marRight w:val="0"/>
      <w:marTop w:val="0"/>
      <w:marBottom w:val="0"/>
      <w:divBdr>
        <w:top w:val="none" w:sz="0" w:space="0" w:color="auto"/>
        <w:left w:val="none" w:sz="0" w:space="0" w:color="auto"/>
        <w:bottom w:val="none" w:sz="0" w:space="0" w:color="auto"/>
        <w:right w:val="none" w:sz="0" w:space="0" w:color="auto"/>
      </w:divBdr>
    </w:div>
    <w:div w:id="262343101">
      <w:bodyDiv w:val="1"/>
      <w:marLeft w:val="0"/>
      <w:marRight w:val="0"/>
      <w:marTop w:val="0"/>
      <w:marBottom w:val="0"/>
      <w:divBdr>
        <w:top w:val="none" w:sz="0" w:space="0" w:color="auto"/>
        <w:left w:val="none" w:sz="0" w:space="0" w:color="auto"/>
        <w:bottom w:val="none" w:sz="0" w:space="0" w:color="auto"/>
        <w:right w:val="none" w:sz="0" w:space="0" w:color="auto"/>
      </w:divBdr>
    </w:div>
    <w:div w:id="278876038">
      <w:bodyDiv w:val="1"/>
      <w:marLeft w:val="0"/>
      <w:marRight w:val="0"/>
      <w:marTop w:val="0"/>
      <w:marBottom w:val="0"/>
      <w:divBdr>
        <w:top w:val="none" w:sz="0" w:space="0" w:color="auto"/>
        <w:left w:val="none" w:sz="0" w:space="0" w:color="auto"/>
        <w:bottom w:val="none" w:sz="0" w:space="0" w:color="auto"/>
        <w:right w:val="none" w:sz="0" w:space="0" w:color="auto"/>
      </w:divBdr>
    </w:div>
    <w:div w:id="286667849">
      <w:bodyDiv w:val="1"/>
      <w:marLeft w:val="0"/>
      <w:marRight w:val="0"/>
      <w:marTop w:val="0"/>
      <w:marBottom w:val="0"/>
      <w:divBdr>
        <w:top w:val="none" w:sz="0" w:space="0" w:color="auto"/>
        <w:left w:val="none" w:sz="0" w:space="0" w:color="auto"/>
        <w:bottom w:val="none" w:sz="0" w:space="0" w:color="auto"/>
        <w:right w:val="none" w:sz="0" w:space="0" w:color="auto"/>
      </w:divBdr>
    </w:div>
    <w:div w:id="313416120">
      <w:bodyDiv w:val="1"/>
      <w:marLeft w:val="0"/>
      <w:marRight w:val="0"/>
      <w:marTop w:val="0"/>
      <w:marBottom w:val="0"/>
      <w:divBdr>
        <w:top w:val="none" w:sz="0" w:space="0" w:color="auto"/>
        <w:left w:val="none" w:sz="0" w:space="0" w:color="auto"/>
        <w:bottom w:val="none" w:sz="0" w:space="0" w:color="auto"/>
        <w:right w:val="none" w:sz="0" w:space="0" w:color="auto"/>
      </w:divBdr>
    </w:div>
    <w:div w:id="315500643">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34187879">
      <w:bodyDiv w:val="1"/>
      <w:marLeft w:val="0"/>
      <w:marRight w:val="0"/>
      <w:marTop w:val="0"/>
      <w:marBottom w:val="0"/>
      <w:divBdr>
        <w:top w:val="none" w:sz="0" w:space="0" w:color="auto"/>
        <w:left w:val="none" w:sz="0" w:space="0" w:color="auto"/>
        <w:bottom w:val="none" w:sz="0" w:space="0" w:color="auto"/>
        <w:right w:val="none" w:sz="0" w:space="0" w:color="auto"/>
      </w:divBdr>
      <w:divsChild>
        <w:div w:id="1046445716">
          <w:marLeft w:val="0"/>
          <w:marRight w:val="0"/>
          <w:marTop w:val="0"/>
          <w:marBottom w:val="0"/>
          <w:divBdr>
            <w:top w:val="none" w:sz="0" w:space="0" w:color="auto"/>
            <w:left w:val="none" w:sz="0" w:space="0" w:color="auto"/>
            <w:bottom w:val="none" w:sz="0" w:space="0" w:color="auto"/>
            <w:right w:val="none" w:sz="0" w:space="0" w:color="auto"/>
          </w:divBdr>
          <w:divsChild>
            <w:div w:id="983124442">
              <w:marLeft w:val="0"/>
              <w:marRight w:val="0"/>
              <w:marTop w:val="0"/>
              <w:marBottom w:val="0"/>
              <w:divBdr>
                <w:top w:val="none" w:sz="0" w:space="0" w:color="auto"/>
                <w:left w:val="none" w:sz="0" w:space="0" w:color="auto"/>
                <w:bottom w:val="none" w:sz="0" w:space="0" w:color="auto"/>
                <w:right w:val="none" w:sz="0" w:space="0" w:color="auto"/>
              </w:divBdr>
              <w:divsChild>
                <w:div w:id="2105834713">
                  <w:marLeft w:val="0"/>
                  <w:marRight w:val="0"/>
                  <w:marTop w:val="0"/>
                  <w:marBottom w:val="0"/>
                  <w:divBdr>
                    <w:top w:val="none" w:sz="0" w:space="0" w:color="auto"/>
                    <w:left w:val="none" w:sz="0" w:space="0" w:color="auto"/>
                    <w:bottom w:val="none" w:sz="0" w:space="0" w:color="auto"/>
                    <w:right w:val="none" w:sz="0" w:space="0" w:color="auto"/>
                  </w:divBdr>
                  <w:divsChild>
                    <w:div w:id="778456503">
                      <w:marLeft w:val="0"/>
                      <w:marRight w:val="0"/>
                      <w:marTop w:val="0"/>
                      <w:marBottom w:val="0"/>
                      <w:divBdr>
                        <w:top w:val="none" w:sz="0" w:space="0" w:color="auto"/>
                        <w:left w:val="none" w:sz="0" w:space="0" w:color="auto"/>
                        <w:bottom w:val="none" w:sz="0" w:space="0" w:color="auto"/>
                        <w:right w:val="none" w:sz="0" w:space="0" w:color="auto"/>
                      </w:divBdr>
                      <w:divsChild>
                        <w:div w:id="1810241198">
                          <w:marLeft w:val="0"/>
                          <w:marRight w:val="0"/>
                          <w:marTop w:val="0"/>
                          <w:marBottom w:val="3900"/>
                          <w:divBdr>
                            <w:top w:val="none" w:sz="0" w:space="0" w:color="auto"/>
                            <w:left w:val="none" w:sz="0" w:space="0" w:color="auto"/>
                            <w:bottom w:val="none" w:sz="0" w:space="0" w:color="auto"/>
                            <w:right w:val="none" w:sz="0" w:space="0" w:color="auto"/>
                          </w:divBdr>
                        </w:div>
                      </w:divsChild>
                    </w:div>
                  </w:divsChild>
                </w:div>
              </w:divsChild>
            </w:div>
          </w:divsChild>
        </w:div>
      </w:divsChild>
    </w:div>
    <w:div w:id="358312821">
      <w:bodyDiv w:val="1"/>
      <w:marLeft w:val="0"/>
      <w:marRight w:val="0"/>
      <w:marTop w:val="0"/>
      <w:marBottom w:val="0"/>
      <w:divBdr>
        <w:top w:val="none" w:sz="0" w:space="0" w:color="auto"/>
        <w:left w:val="none" w:sz="0" w:space="0" w:color="auto"/>
        <w:bottom w:val="none" w:sz="0" w:space="0" w:color="auto"/>
        <w:right w:val="none" w:sz="0" w:space="0" w:color="auto"/>
      </w:divBdr>
    </w:div>
    <w:div w:id="373624031">
      <w:bodyDiv w:val="1"/>
      <w:marLeft w:val="0"/>
      <w:marRight w:val="0"/>
      <w:marTop w:val="0"/>
      <w:marBottom w:val="0"/>
      <w:divBdr>
        <w:top w:val="none" w:sz="0" w:space="0" w:color="auto"/>
        <w:left w:val="none" w:sz="0" w:space="0" w:color="auto"/>
        <w:bottom w:val="none" w:sz="0" w:space="0" w:color="auto"/>
        <w:right w:val="none" w:sz="0" w:space="0" w:color="auto"/>
      </w:divBdr>
    </w:div>
    <w:div w:id="377123877">
      <w:bodyDiv w:val="1"/>
      <w:marLeft w:val="0"/>
      <w:marRight w:val="0"/>
      <w:marTop w:val="0"/>
      <w:marBottom w:val="0"/>
      <w:divBdr>
        <w:top w:val="none" w:sz="0" w:space="0" w:color="auto"/>
        <w:left w:val="none" w:sz="0" w:space="0" w:color="auto"/>
        <w:bottom w:val="none" w:sz="0" w:space="0" w:color="auto"/>
        <w:right w:val="none" w:sz="0" w:space="0" w:color="auto"/>
      </w:divBdr>
    </w:div>
    <w:div w:id="412943123">
      <w:bodyDiv w:val="1"/>
      <w:marLeft w:val="0"/>
      <w:marRight w:val="0"/>
      <w:marTop w:val="0"/>
      <w:marBottom w:val="0"/>
      <w:divBdr>
        <w:top w:val="none" w:sz="0" w:space="0" w:color="auto"/>
        <w:left w:val="none" w:sz="0" w:space="0" w:color="auto"/>
        <w:bottom w:val="none" w:sz="0" w:space="0" w:color="auto"/>
        <w:right w:val="none" w:sz="0" w:space="0" w:color="auto"/>
      </w:divBdr>
    </w:div>
    <w:div w:id="437484332">
      <w:bodyDiv w:val="1"/>
      <w:marLeft w:val="0"/>
      <w:marRight w:val="0"/>
      <w:marTop w:val="0"/>
      <w:marBottom w:val="0"/>
      <w:divBdr>
        <w:top w:val="none" w:sz="0" w:space="0" w:color="auto"/>
        <w:left w:val="none" w:sz="0" w:space="0" w:color="auto"/>
        <w:bottom w:val="none" w:sz="0" w:space="0" w:color="auto"/>
        <w:right w:val="none" w:sz="0" w:space="0" w:color="auto"/>
      </w:divBdr>
    </w:div>
    <w:div w:id="465314024">
      <w:bodyDiv w:val="1"/>
      <w:marLeft w:val="0"/>
      <w:marRight w:val="0"/>
      <w:marTop w:val="0"/>
      <w:marBottom w:val="0"/>
      <w:divBdr>
        <w:top w:val="none" w:sz="0" w:space="0" w:color="auto"/>
        <w:left w:val="none" w:sz="0" w:space="0" w:color="auto"/>
        <w:bottom w:val="none" w:sz="0" w:space="0" w:color="auto"/>
        <w:right w:val="none" w:sz="0" w:space="0" w:color="auto"/>
      </w:divBdr>
    </w:div>
    <w:div w:id="480276424">
      <w:bodyDiv w:val="1"/>
      <w:marLeft w:val="0"/>
      <w:marRight w:val="0"/>
      <w:marTop w:val="0"/>
      <w:marBottom w:val="0"/>
      <w:divBdr>
        <w:top w:val="none" w:sz="0" w:space="0" w:color="auto"/>
        <w:left w:val="none" w:sz="0" w:space="0" w:color="auto"/>
        <w:bottom w:val="none" w:sz="0" w:space="0" w:color="auto"/>
        <w:right w:val="none" w:sz="0" w:space="0" w:color="auto"/>
      </w:divBdr>
    </w:div>
    <w:div w:id="552618418">
      <w:bodyDiv w:val="1"/>
      <w:marLeft w:val="0"/>
      <w:marRight w:val="0"/>
      <w:marTop w:val="0"/>
      <w:marBottom w:val="0"/>
      <w:divBdr>
        <w:top w:val="none" w:sz="0" w:space="0" w:color="auto"/>
        <w:left w:val="none" w:sz="0" w:space="0" w:color="auto"/>
        <w:bottom w:val="none" w:sz="0" w:space="0" w:color="auto"/>
        <w:right w:val="none" w:sz="0" w:space="0" w:color="auto"/>
      </w:divBdr>
    </w:div>
    <w:div w:id="557471001">
      <w:bodyDiv w:val="1"/>
      <w:marLeft w:val="0"/>
      <w:marRight w:val="0"/>
      <w:marTop w:val="0"/>
      <w:marBottom w:val="0"/>
      <w:divBdr>
        <w:top w:val="none" w:sz="0" w:space="0" w:color="auto"/>
        <w:left w:val="none" w:sz="0" w:space="0" w:color="auto"/>
        <w:bottom w:val="none" w:sz="0" w:space="0" w:color="auto"/>
        <w:right w:val="none" w:sz="0" w:space="0" w:color="auto"/>
      </w:divBdr>
    </w:div>
    <w:div w:id="558519149">
      <w:bodyDiv w:val="1"/>
      <w:marLeft w:val="0"/>
      <w:marRight w:val="0"/>
      <w:marTop w:val="0"/>
      <w:marBottom w:val="0"/>
      <w:divBdr>
        <w:top w:val="none" w:sz="0" w:space="0" w:color="auto"/>
        <w:left w:val="none" w:sz="0" w:space="0" w:color="auto"/>
        <w:bottom w:val="none" w:sz="0" w:space="0" w:color="auto"/>
        <w:right w:val="none" w:sz="0" w:space="0" w:color="auto"/>
      </w:divBdr>
    </w:div>
    <w:div w:id="581721880">
      <w:bodyDiv w:val="1"/>
      <w:marLeft w:val="0"/>
      <w:marRight w:val="0"/>
      <w:marTop w:val="0"/>
      <w:marBottom w:val="0"/>
      <w:divBdr>
        <w:top w:val="none" w:sz="0" w:space="0" w:color="auto"/>
        <w:left w:val="none" w:sz="0" w:space="0" w:color="auto"/>
        <w:bottom w:val="none" w:sz="0" w:space="0" w:color="auto"/>
        <w:right w:val="none" w:sz="0" w:space="0" w:color="auto"/>
      </w:divBdr>
    </w:div>
    <w:div w:id="608463688">
      <w:bodyDiv w:val="1"/>
      <w:marLeft w:val="0"/>
      <w:marRight w:val="0"/>
      <w:marTop w:val="0"/>
      <w:marBottom w:val="0"/>
      <w:divBdr>
        <w:top w:val="none" w:sz="0" w:space="0" w:color="auto"/>
        <w:left w:val="none" w:sz="0" w:space="0" w:color="auto"/>
        <w:bottom w:val="none" w:sz="0" w:space="0" w:color="auto"/>
        <w:right w:val="none" w:sz="0" w:space="0" w:color="auto"/>
      </w:divBdr>
    </w:div>
    <w:div w:id="657537951">
      <w:bodyDiv w:val="1"/>
      <w:marLeft w:val="0"/>
      <w:marRight w:val="0"/>
      <w:marTop w:val="0"/>
      <w:marBottom w:val="0"/>
      <w:divBdr>
        <w:top w:val="none" w:sz="0" w:space="0" w:color="auto"/>
        <w:left w:val="none" w:sz="0" w:space="0" w:color="auto"/>
        <w:bottom w:val="none" w:sz="0" w:space="0" w:color="auto"/>
        <w:right w:val="none" w:sz="0" w:space="0" w:color="auto"/>
      </w:divBdr>
    </w:div>
    <w:div w:id="698556082">
      <w:bodyDiv w:val="1"/>
      <w:marLeft w:val="0"/>
      <w:marRight w:val="0"/>
      <w:marTop w:val="0"/>
      <w:marBottom w:val="0"/>
      <w:divBdr>
        <w:top w:val="none" w:sz="0" w:space="0" w:color="auto"/>
        <w:left w:val="none" w:sz="0" w:space="0" w:color="auto"/>
        <w:bottom w:val="none" w:sz="0" w:space="0" w:color="auto"/>
        <w:right w:val="none" w:sz="0" w:space="0" w:color="auto"/>
      </w:divBdr>
    </w:div>
    <w:div w:id="748313754">
      <w:bodyDiv w:val="1"/>
      <w:marLeft w:val="0"/>
      <w:marRight w:val="0"/>
      <w:marTop w:val="0"/>
      <w:marBottom w:val="0"/>
      <w:divBdr>
        <w:top w:val="none" w:sz="0" w:space="0" w:color="auto"/>
        <w:left w:val="none" w:sz="0" w:space="0" w:color="auto"/>
        <w:bottom w:val="none" w:sz="0" w:space="0" w:color="auto"/>
        <w:right w:val="none" w:sz="0" w:space="0" w:color="auto"/>
      </w:divBdr>
    </w:div>
    <w:div w:id="756900034">
      <w:bodyDiv w:val="1"/>
      <w:marLeft w:val="0"/>
      <w:marRight w:val="0"/>
      <w:marTop w:val="0"/>
      <w:marBottom w:val="0"/>
      <w:divBdr>
        <w:top w:val="none" w:sz="0" w:space="0" w:color="auto"/>
        <w:left w:val="none" w:sz="0" w:space="0" w:color="auto"/>
        <w:bottom w:val="none" w:sz="0" w:space="0" w:color="auto"/>
        <w:right w:val="none" w:sz="0" w:space="0" w:color="auto"/>
      </w:divBdr>
    </w:div>
    <w:div w:id="767197086">
      <w:bodyDiv w:val="1"/>
      <w:marLeft w:val="0"/>
      <w:marRight w:val="0"/>
      <w:marTop w:val="0"/>
      <w:marBottom w:val="0"/>
      <w:divBdr>
        <w:top w:val="none" w:sz="0" w:space="0" w:color="auto"/>
        <w:left w:val="none" w:sz="0" w:space="0" w:color="auto"/>
        <w:bottom w:val="none" w:sz="0" w:space="0" w:color="auto"/>
        <w:right w:val="none" w:sz="0" w:space="0" w:color="auto"/>
      </w:divBdr>
    </w:div>
    <w:div w:id="813107204">
      <w:bodyDiv w:val="1"/>
      <w:marLeft w:val="0"/>
      <w:marRight w:val="0"/>
      <w:marTop w:val="0"/>
      <w:marBottom w:val="0"/>
      <w:divBdr>
        <w:top w:val="none" w:sz="0" w:space="0" w:color="auto"/>
        <w:left w:val="none" w:sz="0" w:space="0" w:color="auto"/>
        <w:bottom w:val="none" w:sz="0" w:space="0" w:color="auto"/>
        <w:right w:val="none" w:sz="0" w:space="0" w:color="auto"/>
      </w:divBdr>
    </w:div>
    <w:div w:id="843981548">
      <w:bodyDiv w:val="1"/>
      <w:marLeft w:val="0"/>
      <w:marRight w:val="0"/>
      <w:marTop w:val="0"/>
      <w:marBottom w:val="0"/>
      <w:divBdr>
        <w:top w:val="none" w:sz="0" w:space="0" w:color="auto"/>
        <w:left w:val="none" w:sz="0" w:space="0" w:color="auto"/>
        <w:bottom w:val="none" w:sz="0" w:space="0" w:color="auto"/>
        <w:right w:val="none" w:sz="0" w:space="0" w:color="auto"/>
      </w:divBdr>
    </w:div>
    <w:div w:id="844784654">
      <w:bodyDiv w:val="1"/>
      <w:marLeft w:val="0"/>
      <w:marRight w:val="0"/>
      <w:marTop w:val="0"/>
      <w:marBottom w:val="0"/>
      <w:divBdr>
        <w:top w:val="none" w:sz="0" w:space="0" w:color="auto"/>
        <w:left w:val="none" w:sz="0" w:space="0" w:color="auto"/>
        <w:bottom w:val="none" w:sz="0" w:space="0" w:color="auto"/>
        <w:right w:val="none" w:sz="0" w:space="0" w:color="auto"/>
      </w:divBdr>
    </w:div>
    <w:div w:id="854347567">
      <w:bodyDiv w:val="1"/>
      <w:marLeft w:val="0"/>
      <w:marRight w:val="0"/>
      <w:marTop w:val="0"/>
      <w:marBottom w:val="0"/>
      <w:divBdr>
        <w:top w:val="none" w:sz="0" w:space="0" w:color="auto"/>
        <w:left w:val="none" w:sz="0" w:space="0" w:color="auto"/>
        <w:bottom w:val="none" w:sz="0" w:space="0" w:color="auto"/>
        <w:right w:val="none" w:sz="0" w:space="0" w:color="auto"/>
      </w:divBdr>
    </w:div>
    <w:div w:id="886138862">
      <w:bodyDiv w:val="1"/>
      <w:marLeft w:val="0"/>
      <w:marRight w:val="0"/>
      <w:marTop w:val="0"/>
      <w:marBottom w:val="0"/>
      <w:divBdr>
        <w:top w:val="none" w:sz="0" w:space="0" w:color="auto"/>
        <w:left w:val="none" w:sz="0" w:space="0" w:color="auto"/>
        <w:bottom w:val="none" w:sz="0" w:space="0" w:color="auto"/>
        <w:right w:val="none" w:sz="0" w:space="0" w:color="auto"/>
      </w:divBdr>
    </w:div>
    <w:div w:id="923993595">
      <w:bodyDiv w:val="1"/>
      <w:marLeft w:val="0"/>
      <w:marRight w:val="0"/>
      <w:marTop w:val="0"/>
      <w:marBottom w:val="0"/>
      <w:divBdr>
        <w:top w:val="none" w:sz="0" w:space="0" w:color="auto"/>
        <w:left w:val="none" w:sz="0" w:space="0" w:color="auto"/>
        <w:bottom w:val="none" w:sz="0" w:space="0" w:color="auto"/>
        <w:right w:val="none" w:sz="0" w:space="0" w:color="auto"/>
      </w:divBdr>
    </w:div>
    <w:div w:id="932708699">
      <w:bodyDiv w:val="1"/>
      <w:marLeft w:val="0"/>
      <w:marRight w:val="0"/>
      <w:marTop w:val="0"/>
      <w:marBottom w:val="0"/>
      <w:divBdr>
        <w:top w:val="none" w:sz="0" w:space="0" w:color="auto"/>
        <w:left w:val="none" w:sz="0" w:space="0" w:color="auto"/>
        <w:bottom w:val="none" w:sz="0" w:space="0" w:color="auto"/>
        <w:right w:val="none" w:sz="0" w:space="0" w:color="auto"/>
      </w:divBdr>
    </w:div>
    <w:div w:id="934628660">
      <w:bodyDiv w:val="1"/>
      <w:marLeft w:val="0"/>
      <w:marRight w:val="0"/>
      <w:marTop w:val="0"/>
      <w:marBottom w:val="0"/>
      <w:divBdr>
        <w:top w:val="none" w:sz="0" w:space="0" w:color="auto"/>
        <w:left w:val="none" w:sz="0" w:space="0" w:color="auto"/>
        <w:bottom w:val="none" w:sz="0" w:space="0" w:color="auto"/>
        <w:right w:val="none" w:sz="0" w:space="0" w:color="auto"/>
      </w:divBdr>
    </w:div>
    <w:div w:id="942759150">
      <w:bodyDiv w:val="1"/>
      <w:marLeft w:val="0"/>
      <w:marRight w:val="0"/>
      <w:marTop w:val="0"/>
      <w:marBottom w:val="0"/>
      <w:divBdr>
        <w:top w:val="none" w:sz="0" w:space="0" w:color="auto"/>
        <w:left w:val="none" w:sz="0" w:space="0" w:color="auto"/>
        <w:bottom w:val="none" w:sz="0" w:space="0" w:color="auto"/>
        <w:right w:val="none" w:sz="0" w:space="0" w:color="auto"/>
      </w:divBdr>
    </w:div>
    <w:div w:id="960308939">
      <w:bodyDiv w:val="1"/>
      <w:marLeft w:val="0"/>
      <w:marRight w:val="0"/>
      <w:marTop w:val="0"/>
      <w:marBottom w:val="0"/>
      <w:divBdr>
        <w:top w:val="none" w:sz="0" w:space="0" w:color="auto"/>
        <w:left w:val="none" w:sz="0" w:space="0" w:color="auto"/>
        <w:bottom w:val="none" w:sz="0" w:space="0" w:color="auto"/>
        <w:right w:val="none" w:sz="0" w:space="0" w:color="auto"/>
      </w:divBdr>
    </w:div>
    <w:div w:id="971793676">
      <w:bodyDiv w:val="1"/>
      <w:marLeft w:val="0"/>
      <w:marRight w:val="0"/>
      <w:marTop w:val="0"/>
      <w:marBottom w:val="0"/>
      <w:divBdr>
        <w:top w:val="none" w:sz="0" w:space="0" w:color="auto"/>
        <w:left w:val="none" w:sz="0" w:space="0" w:color="auto"/>
        <w:bottom w:val="none" w:sz="0" w:space="0" w:color="auto"/>
        <w:right w:val="none" w:sz="0" w:space="0" w:color="auto"/>
      </w:divBdr>
    </w:div>
    <w:div w:id="977417663">
      <w:bodyDiv w:val="1"/>
      <w:marLeft w:val="0"/>
      <w:marRight w:val="0"/>
      <w:marTop w:val="0"/>
      <w:marBottom w:val="0"/>
      <w:divBdr>
        <w:top w:val="none" w:sz="0" w:space="0" w:color="auto"/>
        <w:left w:val="none" w:sz="0" w:space="0" w:color="auto"/>
        <w:bottom w:val="none" w:sz="0" w:space="0" w:color="auto"/>
        <w:right w:val="none" w:sz="0" w:space="0" w:color="auto"/>
      </w:divBdr>
    </w:div>
    <w:div w:id="985089356">
      <w:bodyDiv w:val="1"/>
      <w:marLeft w:val="0"/>
      <w:marRight w:val="0"/>
      <w:marTop w:val="0"/>
      <w:marBottom w:val="0"/>
      <w:divBdr>
        <w:top w:val="none" w:sz="0" w:space="0" w:color="auto"/>
        <w:left w:val="none" w:sz="0" w:space="0" w:color="auto"/>
        <w:bottom w:val="none" w:sz="0" w:space="0" w:color="auto"/>
        <w:right w:val="none" w:sz="0" w:space="0" w:color="auto"/>
      </w:divBdr>
    </w:div>
    <w:div w:id="1000616153">
      <w:bodyDiv w:val="1"/>
      <w:marLeft w:val="0"/>
      <w:marRight w:val="0"/>
      <w:marTop w:val="0"/>
      <w:marBottom w:val="0"/>
      <w:divBdr>
        <w:top w:val="none" w:sz="0" w:space="0" w:color="auto"/>
        <w:left w:val="none" w:sz="0" w:space="0" w:color="auto"/>
        <w:bottom w:val="none" w:sz="0" w:space="0" w:color="auto"/>
        <w:right w:val="none" w:sz="0" w:space="0" w:color="auto"/>
      </w:divBdr>
    </w:div>
    <w:div w:id="1008409501">
      <w:bodyDiv w:val="1"/>
      <w:marLeft w:val="0"/>
      <w:marRight w:val="0"/>
      <w:marTop w:val="0"/>
      <w:marBottom w:val="0"/>
      <w:divBdr>
        <w:top w:val="none" w:sz="0" w:space="0" w:color="auto"/>
        <w:left w:val="none" w:sz="0" w:space="0" w:color="auto"/>
        <w:bottom w:val="none" w:sz="0" w:space="0" w:color="auto"/>
        <w:right w:val="none" w:sz="0" w:space="0" w:color="auto"/>
      </w:divBdr>
    </w:div>
    <w:div w:id="1011494595">
      <w:bodyDiv w:val="1"/>
      <w:marLeft w:val="0"/>
      <w:marRight w:val="0"/>
      <w:marTop w:val="0"/>
      <w:marBottom w:val="0"/>
      <w:divBdr>
        <w:top w:val="none" w:sz="0" w:space="0" w:color="auto"/>
        <w:left w:val="none" w:sz="0" w:space="0" w:color="auto"/>
        <w:bottom w:val="none" w:sz="0" w:space="0" w:color="auto"/>
        <w:right w:val="none" w:sz="0" w:space="0" w:color="auto"/>
      </w:divBdr>
    </w:div>
    <w:div w:id="1014184801">
      <w:bodyDiv w:val="1"/>
      <w:marLeft w:val="0"/>
      <w:marRight w:val="0"/>
      <w:marTop w:val="0"/>
      <w:marBottom w:val="0"/>
      <w:divBdr>
        <w:top w:val="none" w:sz="0" w:space="0" w:color="auto"/>
        <w:left w:val="none" w:sz="0" w:space="0" w:color="auto"/>
        <w:bottom w:val="none" w:sz="0" w:space="0" w:color="auto"/>
        <w:right w:val="none" w:sz="0" w:space="0" w:color="auto"/>
      </w:divBdr>
    </w:div>
    <w:div w:id="1024668299">
      <w:bodyDiv w:val="1"/>
      <w:marLeft w:val="0"/>
      <w:marRight w:val="0"/>
      <w:marTop w:val="0"/>
      <w:marBottom w:val="0"/>
      <w:divBdr>
        <w:top w:val="none" w:sz="0" w:space="0" w:color="auto"/>
        <w:left w:val="none" w:sz="0" w:space="0" w:color="auto"/>
        <w:bottom w:val="none" w:sz="0" w:space="0" w:color="auto"/>
        <w:right w:val="none" w:sz="0" w:space="0" w:color="auto"/>
      </w:divBdr>
    </w:div>
    <w:div w:id="1045712154">
      <w:bodyDiv w:val="1"/>
      <w:marLeft w:val="0"/>
      <w:marRight w:val="0"/>
      <w:marTop w:val="0"/>
      <w:marBottom w:val="0"/>
      <w:divBdr>
        <w:top w:val="none" w:sz="0" w:space="0" w:color="auto"/>
        <w:left w:val="none" w:sz="0" w:space="0" w:color="auto"/>
        <w:bottom w:val="none" w:sz="0" w:space="0" w:color="auto"/>
        <w:right w:val="none" w:sz="0" w:space="0" w:color="auto"/>
      </w:divBdr>
    </w:div>
    <w:div w:id="1048994074">
      <w:bodyDiv w:val="1"/>
      <w:marLeft w:val="0"/>
      <w:marRight w:val="0"/>
      <w:marTop w:val="0"/>
      <w:marBottom w:val="0"/>
      <w:divBdr>
        <w:top w:val="none" w:sz="0" w:space="0" w:color="auto"/>
        <w:left w:val="none" w:sz="0" w:space="0" w:color="auto"/>
        <w:bottom w:val="none" w:sz="0" w:space="0" w:color="auto"/>
        <w:right w:val="none" w:sz="0" w:space="0" w:color="auto"/>
      </w:divBdr>
    </w:div>
    <w:div w:id="1093937879">
      <w:bodyDiv w:val="1"/>
      <w:marLeft w:val="0"/>
      <w:marRight w:val="0"/>
      <w:marTop w:val="0"/>
      <w:marBottom w:val="0"/>
      <w:divBdr>
        <w:top w:val="none" w:sz="0" w:space="0" w:color="auto"/>
        <w:left w:val="none" w:sz="0" w:space="0" w:color="auto"/>
        <w:bottom w:val="none" w:sz="0" w:space="0" w:color="auto"/>
        <w:right w:val="none" w:sz="0" w:space="0" w:color="auto"/>
      </w:divBdr>
    </w:div>
    <w:div w:id="1111054664">
      <w:bodyDiv w:val="1"/>
      <w:marLeft w:val="0"/>
      <w:marRight w:val="0"/>
      <w:marTop w:val="0"/>
      <w:marBottom w:val="0"/>
      <w:divBdr>
        <w:top w:val="none" w:sz="0" w:space="0" w:color="auto"/>
        <w:left w:val="none" w:sz="0" w:space="0" w:color="auto"/>
        <w:bottom w:val="none" w:sz="0" w:space="0" w:color="auto"/>
        <w:right w:val="none" w:sz="0" w:space="0" w:color="auto"/>
      </w:divBdr>
    </w:div>
    <w:div w:id="1126006113">
      <w:bodyDiv w:val="1"/>
      <w:marLeft w:val="0"/>
      <w:marRight w:val="0"/>
      <w:marTop w:val="0"/>
      <w:marBottom w:val="0"/>
      <w:divBdr>
        <w:top w:val="none" w:sz="0" w:space="0" w:color="auto"/>
        <w:left w:val="none" w:sz="0" w:space="0" w:color="auto"/>
        <w:bottom w:val="none" w:sz="0" w:space="0" w:color="auto"/>
        <w:right w:val="none" w:sz="0" w:space="0" w:color="auto"/>
      </w:divBdr>
    </w:div>
    <w:div w:id="1144814676">
      <w:bodyDiv w:val="1"/>
      <w:marLeft w:val="0"/>
      <w:marRight w:val="0"/>
      <w:marTop w:val="0"/>
      <w:marBottom w:val="0"/>
      <w:divBdr>
        <w:top w:val="none" w:sz="0" w:space="0" w:color="auto"/>
        <w:left w:val="none" w:sz="0" w:space="0" w:color="auto"/>
        <w:bottom w:val="none" w:sz="0" w:space="0" w:color="auto"/>
        <w:right w:val="none" w:sz="0" w:space="0" w:color="auto"/>
      </w:divBdr>
    </w:div>
    <w:div w:id="1202206595">
      <w:bodyDiv w:val="1"/>
      <w:marLeft w:val="0"/>
      <w:marRight w:val="0"/>
      <w:marTop w:val="0"/>
      <w:marBottom w:val="0"/>
      <w:divBdr>
        <w:top w:val="none" w:sz="0" w:space="0" w:color="auto"/>
        <w:left w:val="none" w:sz="0" w:space="0" w:color="auto"/>
        <w:bottom w:val="none" w:sz="0" w:space="0" w:color="auto"/>
        <w:right w:val="none" w:sz="0" w:space="0" w:color="auto"/>
      </w:divBdr>
    </w:div>
    <w:div w:id="1211384197">
      <w:bodyDiv w:val="1"/>
      <w:marLeft w:val="0"/>
      <w:marRight w:val="0"/>
      <w:marTop w:val="0"/>
      <w:marBottom w:val="0"/>
      <w:divBdr>
        <w:top w:val="none" w:sz="0" w:space="0" w:color="auto"/>
        <w:left w:val="none" w:sz="0" w:space="0" w:color="auto"/>
        <w:bottom w:val="none" w:sz="0" w:space="0" w:color="auto"/>
        <w:right w:val="none" w:sz="0" w:space="0" w:color="auto"/>
      </w:divBdr>
    </w:div>
    <w:div w:id="1248226039">
      <w:bodyDiv w:val="1"/>
      <w:marLeft w:val="0"/>
      <w:marRight w:val="0"/>
      <w:marTop w:val="0"/>
      <w:marBottom w:val="0"/>
      <w:divBdr>
        <w:top w:val="none" w:sz="0" w:space="0" w:color="auto"/>
        <w:left w:val="none" w:sz="0" w:space="0" w:color="auto"/>
        <w:bottom w:val="none" w:sz="0" w:space="0" w:color="auto"/>
        <w:right w:val="none" w:sz="0" w:space="0" w:color="auto"/>
      </w:divBdr>
    </w:div>
    <w:div w:id="1249735451">
      <w:bodyDiv w:val="1"/>
      <w:marLeft w:val="0"/>
      <w:marRight w:val="0"/>
      <w:marTop w:val="0"/>
      <w:marBottom w:val="0"/>
      <w:divBdr>
        <w:top w:val="none" w:sz="0" w:space="0" w:color="auto"/>
        <w:left w:val="none" w:sz="0" w:space="0" w:color="auto"/>
        <w:bottom w:val="none" w:sz="0" w:space="0" w:color="auto"/>
        <w:right w:val="none" w:sz="0" w:space="0" w:color="auto"/>
      </w:divBdr>
    </w:div>
    <w:div w:id="1257441609">
      <w:bodyDiv w:val="1"/>
      <w:marLeft w:val="0"/>
      <w:marRight w:val="0"/>
      <w:marTop w:val="0"/>
      <w:marBottom w:val="0"/>
      <w:divBdr>
        <w:top w:val="none" w:sz="0" w:space="0" w:color="auto"/>
        <w:left w:val="none" w:sz="0" w:space="0" w:color="auto"/>
        <w:bottom w:val="none" w:sz="0" w:space="0" w:color="auto"/>
        <w:right w:val="none" w:sz="0" w:space="0" w:color="auto"/>
      </w:divBdr>
    </w:div>
    <w:div w:id="1267469861">
      <w:bodyDiv w:val="1"/>
      <w:marLeft w:val="0"/>
      <w:marRight w:val="0"/>
      <w:marTop w:val="0"/>
      <w:marBottom w:val="0"/>
      <w:divBdr>
        <w:top w:val="none" w:sz="0" w:space="0" w:color="auto"/>
        <w:left w:val="none" w:sz="0" w:space="0" w:color="auto"/>
        <w:bottom w:val="none" w:sz="0" w:space="0" w:color="auto"/>
        <w:right w:val="none" w:sz="0" w:space="0" w:color="auto"/>
      </w:divBdr>
    </w:div>
    <w:div w:id="1278752892">
      <w:bodyDiv w:val="1"/>
      <w:marLeft w:val="0"/>
      <w:marRight w:val="0"/>
      <w:marTop w:val="0"/>
      <w:marBottom w:val="0"/>
      <w:divBdr>
        <w:top w:val="none" w:sz="0" w:space="0" w:color="auto"/>
        <w:left w:val="none" w:sz="0" w:space="0" w:color="auto"/>
        <w:bottom w:val="none" w:sz="0" w:space="0" w:color="auto"/>
        <w:right w:val="none" w:sz="0" w:space="0" w:color="auto"/>
      </w:divBdr>
    </w:div>
    <w:div w:id="1279265518">
      <w:bodyDiv w:val="1"/>
      <w:marLeft w:val="0"/>
      <w:marRight w:val="0"/>
      <w:marTop w:val="0"/>
      <w:marBottom w:val="0"/>
      <w:divBdr>
        <w:top w:val="none" w:sz="0" w:space="0" w:color="auto"/>
        <w:left w:val="none" w:sz="0" w:space="0" w:color="auto"/>
        <w:bottom w:val="none" w:sz="0" w:space="0" w:color="auto"/>
        <w:right w:val="none" w:sz="0" w:space="0" w:color="auto"/>
      </w:divBdr>
    </w:div>
    <w:div w:id="1294604751">
      <w:bodyDiv w:val="1"/>
      <w:marLeft w:val="0"/>
      <w:marRight w:val="0"/>
      <w:marTop w:val="0"/>
      <w:marBottom w:val="0"/>
      <w:divBdr>
        <w:top w:val="none" w:sz="0" w:space="0" w:color="auto"/>
        <w:left w:val="none" w:sz="0" w:space="0" w:color="auto"/>
        <w:bottom w:val="none" w:sz="0" w:space="0" w:color="auto"/>
        <w:right w:val="none" w:sz="0" w:space="0" w:color="auto"/>
      </w:divBdr>
    </w:div>
    <w:div w:id="1297446160">
      <w:bodyDiv w:val="1"/>
      <w:marLeft w:val="0"/>
      <w:marRight w:val="0"/>
      <w:marTop w:val="0"/>
      <w:marBottom w:val="0"/>
      <w:divBdr>
        <w:top w:val="none" w:sz="0" w:space="0" w:color="auto"/>
        <w:left w:val="none" w:sz="0" w:space="0" w:color="auto"/>
        <w:bottom w:val="none" w:sz="0" w:space="0" w:color="auto"/>
        <w:right w:val="none" w:sz="0" w:space="0" w:color="auto"/>
      </w:divBdr>
    </w:div>
    <w:div w:id="1300913801">
      <w:bodyDiv w:val="1"/>
      <w:marLeft w:val="0"/>
      <w:marRight w:val="0"/>
      <w:marTop w:val="0"/>
      <w:marBottom w:val="0"/>
      <w:divBdr>
        <w:top w:val="none" w:sz="0" w:space="0" w:color="auto"/>
        <w:left w:val="none" w:sz="0" w:space="0" w:color="auto"/>
        <w:bottom w:val="none" w:sz="0" w:space="0" w:color="auto"/>
        <w:right w:val="none" w:sz="0" w:space="0" w:color="auto"/>
      </w:divBdr>
    </w:div>
    <w:div w:id="1312128314">
      <w:bodyDiv w:val="1"/>
      <w:marLeft w:val="0"/>
      <w:marRight w:val="0"/>
      <w:marTop w:val="0"/>
      <w:marBottom w:val="0"/>
      <w:divBdr>
        <w:top w:val="none" w:sz="0" w:space="0" w:color="auto"/>
        <w:left w:val="none" w:sz="0" w:space="0" w:color="auto"/>
        <w:bottom w:val="none" w:sz="0" w:space="0" w:color="auto"/>
        <w:right w:val="none" w:sz="0" w:space="0" w:color="auto"/>
      </w:divBdr>
    </w:div>
    <w:div w:id="1312252906">
      <w:bodyDiv w:val="1"/>
      <w:marLeft w:val="0"/>
      <w:marRight w:val="0"/>
      <w:marTop w:val="0"/>
      <w:marBottom w:val="0"/>
      <w:divBdr>
        <w:top w:val="none" w:sz="0" w:space="0" w:color="auto"/>
        <w:left w:val="none" w:sz="0" w:space="0" w:color="auto"/>
        <w:bottom w:val="none" w:sz="0" w:space="0" w:color="auto"/>
        <w:right w:val="none" w:sz="0" w:space="0" w:color="auto"/>
      </w:divBdr>
      <w:divsChild>
        <w:div w:id="33775141">
          <w:marLeft w:val="0"/>
          <w:marRight w:val="0"/>
          <w:marTop w:val="0"/>
          <w:marBottom w:val="0"/>
          <w:divBdr>
            <w:top w:val="none" w:sz="0" w:space="0" w:color="auto"/>
            <w:left w:val="none" w:sz="0" w:space="0" w:color="auto"/>
            <w:bottom w:val="none" w:sz="0" w:space="0" w:color="auto"/>
            <w:right w:val="none" w:sz="0" w:space="0" w:color="auto"/>
          </w:divBdr>
          <w:divsChild>
            <w:div w:id="1055589583">
              <w:marLeft w:val="0"/>
              <w:marRight w:val="0"/>
              <w:marTop w:val="0"/>
              <w:marBottom w:val="0"/>
              <w:divBdr>
                <w:top w:val="none" w:sz="0" w:space="0" w:color="auto"/>
                <w:left w:val="none" w:sz="0" w:space="0" w:color="auto"/>
                <w:bottom w:val="none" w:sz="0" w:space="0" w:color="auto"/>
                <w:right w:val="none" w:sz="0" w:space="0" w:color="auto"/>
              </w:divBdr>
              <w:divsChild>
                <w:div w:id="779421718">
                  <w:marLeft w:val="0"/>
                  <w:marRight w:val="0"/>
                  <w:marTop w:val="0"/>
                  <w:marBottom w:val="0"/>
                  <w:divBdr>
                    <w:top w:val="none" w:sz="0" w:space="0" w:color="auto"/>
                    <w:left w:val="none" w:sz="0" w:space="0" w:color="auto"/>
                    <w:bottom w:val="none" w:sz="0" w:space="0" w:color="auto"/>
                    <w:right w:val="none" w:sz="0" w:space="0" w:color="auto"/>
                  </w:divBdr>
                  <w:divsChild>
                    <w:div w:id="106850576">
                      <w:marLeft w:val="0"/>
                      <w:marRight w:val="0"/>
                      <w:marTop w:val="0"/>
                      <w:marBottom w:val="0"/>
                      <w:divBdr>
                        <w:top w:val="none" w:sz="0" w:space="0" w:color="auto"/>
                        <w:left w:val="none" w:sz="0" w:space="0" w:color="auto"/>
                        <w:bottom w:val="none" w:sz="0" w:space="0" w:color="auto"/>
                        <w:right w:val="none" w:sz="0" w:space="0" w:color="auto"/>
                      </w:divBdr>
                      <w:divsChild>
                        <w:div w:id="270555262">
                          <w:marLeft w:val="0"/>
                          <w:marRight w:val="0"/>
                          <w:marTop w:val="0"/>
                          <w:marBottom w:val="3900"/>
                          <w:divBdr>
                            <w:top w:val="none" w:sz="0" w:space="0" w:color="auto"/>
                            <w:left w:val="none" w:sz="0" w:space="0" w:color="auto"/>
                            <w:bottom w:val="none" w:sz="0" w:space="0" w:color="auto"/>
                            <w:right w:val="none" w:sz="0" w:space="0" w:color="auto"/>
                          </w:divBdr>
                        </w:div>
                      </w:divsChild>
                    </w:div>
                  </w:divsChild>
                </w:div>
              </w:divsChild>
            </w:div>
          </w:divsChild>
        </w:div>
      </w:divsChild>
    </w:div>
    <w:div w:id="1320883869">
      <w:bodyDiv w:val="1"/>
      <w:marLeft w:val="0"/>
      <w:marRight w:val="0"/>
      <w:marTop w:val="0"/>
      <w:marBottom w:val="0"/>
      <w:divBdr>
        <w:top w:val="none" w:sz="0" w:space="0" w:color="auto"/>
        <w:left w:val="none" w:sz="0" w:space="0" w:color="auto"/>
        <w:bottom w:val="none" w:sz="0" w:space="0" w:color="auto"/>
        <w:right w:val="none" w:sz="0" w:space="0" w:color="auto"/>
      </w:divBdr>
    </w:div>
    <w:div w:id="1325478154">
      <w:bodyDiv w:val="1"/>
      <w:marLeft w:val="0"/>
      <w:marRight w:val="0"/>
      <w:marTop w:val="0"/>
      <w:marBottom w:val="0"/>
      <w:divBdr>
        <w:top w:val="none" w:sz="0" w:space="0" w:color="auto"/>
        <w:left w:val="none" w:sz="0" w:space="0" w:color="auto"/>
        <w:bottom w:val="none" w:sz="0" w:space="0" w:color="auto"/>
        <w:right w:val="none" w:sz="0" w:space="0" w:color="auto"/>
      </w:divBdr>
    </w:div>
    <w:div w:id="1354458215">
      <w:bodyDiv w:val="1"/>
      <w:marLeft w:val="0"/>
      <w:marRight w:val="0"/>
      <w:marTop w:val="0"/>
      <w:marBottom w:val="0"/>
      <w:divBdr>
        <w:top w:val="none" w:sz="0" w:space="0" w:color="auto"/>
        <w:left w:val="none" w:sz="0" w:space="0" w:color="auto"/>
        <w:bottom w:val="none" w:sz="0" w:space="0" w:color="auto"/>
        <w:right w:val="none" w:sz="0" w:space="0" w:color="auto"/>
      </w:divBdr>
    </w:div>
    <w:div w:id="1359550749">
      <w:bodyDiv w:val="1"/>
      <w:marLeft w:val="0"/>
      <w:marRight w:val="0"/>
      <w:marTop w:val="0"/>
      <w:marBottom w:val="0"/>
      <w:divBdr>
        <w:top w:val="none" w:sz="0" w:space="0" w:color="auto"/>
        <w:left w:val="none" w:sz="0" w:space="0" w:color="auto"/>
        <w:bottom w:val="none" w:sz="0" w:space="0" w:color="auto"/>
        <w:right w:val="none" w:sz="0" w:space="0" w:color="auto"/>
      </w:divBdr>
    </w:div>
    <w:div w:id="1375033854">
      <w:bodyDiv w:val="1"/>
      <w:marLeft w:val="0"/>
      <w:marRight w:val="0"/>
      <w:marTop w:val="0"/>
      <w:marBottom w:val="0"/>
      <w:divBdr>
        <w:top w:val="none" w:sz="0" w:space="0" w:color="auto"/>
        <w:left w:val="none" w:sz="0" w:space="0" w:color="auto"/>
        <w:bottom w:val="none" w:sz="0" w:space="0" w:color="auto"/>
        <w:right w:val="none" w:sz="0" w:space="0" w:color="auto"/>
      </w:divBdr>
    </w:div>
    <w:div w:id="1407995568">
      <w:bodyDiv w:val="1"/>
      <w:marLeft w:val="0"/>
      <w:marRight w:val="0"/>
      <w:marTop w:val="0"/>
      <w:marBottom w:val="0"/>
      <w:divBdr>
        <w:top w:val="none" w:sz="0" w:space="0" w:color="auto"/>
        <w:left w:val="none" w:sz="0" w:space="0" w:color="auto"/>
        <w:bottom w:val="none" w:sz="0" w:space="0" w:color="auto"/>
        <w:right w:val="none" w:sz="0" w:space="0" w:color="auto"/>
      </w:divBdr>
    </w:div>
    <w:div w:id="1409351952">
      <w:bodyDiv w:val="1"/>
      <w:marLeft w:val="0"/>
      <w:marRight w:val="0"/>
      <w:marTop w:val="0"/>
      <w:marBottom w:val="0"/>
      <w:divBdr>
        <w:top w:val="none" w:sz="0" w:space="0" w:color="auto"/>
        <w:left w:val="none" w:sz="0" w:space="0" w:color="auto"/>
        <w:bottom w:val="none" w:sz="0" w:space="0" w:color="auto"/>
        <w:right w:val="none" w:sz="0" w:space="0" w:color="auto"/>
      </w:divBdr>
    </w:div>
    <w:div w:id="1427459352">
      <w:bodyDiv w:val="1"/>
      <w:marLeft w:val="0"/>
      <w:marRight w:val="0"/>
      <w:marTop w:val="0"/>
      <w:marBottom w:val="0"/>
      <w:divBdr>
        <w:top w:val="none" w:sz="0" w:space="0" w:color="auto"/>
        <w:left w:val="none" w:sz="0" w:space="0" w:color="auto"/>
        <w:bottom w:val="none" w:sz="0" w:space="0" w:color="auto"/>
        <w:right w:val="none" w:sz="0" w:space="0" w:color="auto"/>
      </w:divBdr>
    </w:div>
    <w:div w:id="1443652438">
      <w:bodyDiv w:val="1"/>
      <w:marLeft w:val="0"/>
      <w:marRight w:val="0"/>
      <w:marTop w:val="0"/>
      <w:marBottom w:val="0"/>
      <w:divBdr>
        <w:top w:val="none" w:sz="0" w:space="0" w:color="auto"/>
        <w:left w:val="none" w:sz="0" w:space="0" w:color="auto"/>
        <w:bottom w:val="none" w:sz="0" w:space="0" w:color="auto"/>
        <w:right w:val="none" w:sz="0" w:space="0" w:color="auto"/>
      </w:divBdr>
    </w:div>
    <w:div w:id="1444687672">
      <w:bodyDiv w:val="1"/>
      <w:marLeft w:val="0"/>
      <w:marRight w:val="0"/>
      <w:marTop w:val="0"/>
      <w:marBottom w:val="0"/>
      <w:divBdr>
        <w:top w:val="none" w:sz="0" w:space="0" w:color="auto"/>
        <w:left w:val="none" w:sz="0" w:space="0" w:color="auto"/>
        <w:bottom w:val="none" w:sz="0" w:space="0" w:color="auto"/>
        <w:right w:val="none" w:sz="0" w:space="0" w:color="auto"/>
      </w:divBdr>
    </w:div>
    <w:div w:id="1479036865">
      <w:bodyDiv w:val="1"/>
      <w:marLeft w:val="0"/>
      <w:marRight w:val="0"/>
      <w:marTop w:val="0"/>
      <w:marBottom w:val="0"/>
      <w:divBdr>
        <w:top w:val="none" w:sz="0" w:space="0" w:color="auto"/>
        <w:left w:val="none" w:sz="0" w:space="0" w:color="auto"/>
        <w:bottom w:val="none" w:sz="0" w:space="0" w:color="auto"/>
        <w:right w:val="none" w:sz="0" w:space="0" w:color="auto"/>
      </w:divBdr>
    </w:div>
    <w:div w:id="1490945456">
      <w:bodyDiv w:val="1"/>
      <w:marLeft w:val="0"/>
      <w:marRight w:val="0"/>
      <w:marTop w:val="0"/>
      <w:marBottom w:val="0"/>
      <w:divBdr>
        <w:top w:val="none" w:sz="0" w:space="0" w:color="auto"/>
        <w:left w:val="none" w:sz="0" w:space="0" w:color="auto"/>
        <w:bottom w:val="none" w:sz="0" w:space="0" w:color="auto"/>
        <w:right w:val="none" w:sz="0" w:space="0" w:color="auto"/>
      </w:divBdr>
    </w:div>
    <w:div w:id="1503467005">
      <w:bodyDiv w:val="1"/>
      <w:marLeft w:val="0"/>
      <w:marRight w:val="0"/>
      <w:marTop w:val="0"/>
      <w:marBottom w:val="0"/>
      <w:divBdr>
        <w:top w:val="none" w:sz="0" w:space="0" w:color="auto"/>
        <w:left w:val="none" w:sz="0" w:space="0" w:color="auto"/>
        <w:bottom w:val="none" w:sz="0" w:space="0" w:color="auto"/>
        <w:right w:val="none" w:sz="0" w:space="0" w:color="auto"/>
      </w:divBdr>
    </w:div>
    <w:div w:id="1504586163">
      <w:bodyDiv w:val="1"/>
      <w:marLeft w:val="0"/>
      <w:marRight w:val="0"/>
      <w:marTop w:val="0"/>
      <w:marBottom w:val="0"/>
      <w:divBdr>
        <w:top w:val="none" w:sz="0" w:space="0" w:color="auto"/>
        <w:left w:val="none" w:sz="0" w:space="0" w:color="auto"/>
        <w:bottom w:val="none" w:sz="0" w:space="0" w:color="auto"/>
        <w:right w:val="none" w:sz="0" w:space="0" w:color="auto"/>
      </w:divBdr>
    </w:div>
    <w:div w:id="1520509196">
      <w:bodyDiv w:val="1"/>
      <w:marLeft w:val="0"/>
      <w:marRight w:val="0"/>
      <w:marTop w:val="0"/>
      <w:marBottom w:val="0"/>
      <w:divBdr>
        <w:top w:val="none" w:sz="0" w:space="0" w:color="auto"/>
        <w:left w:val="none" w:sz="0" w:space="0" w:color="auto"/>
        <w:bottom w:val="none" w:sz="0" w:space="0" w:color="auto"/>
        <w:right w:val="none" w:sz="0" w:space="0" w:color="auto"/>
      </w:divBdr>
    </w:div>
    <w:div w:id="1544752339">
      <w:bodyDiv w:val="1"/>
      <w:marLeft w:val="0"/>
      <w:marRight w:val="0"/>
      <w:marTop w:val="0"/>
      <w:marBottom w:val="0"/>
      <w:divBdr>
        <w:top w:val="none" w:sz="0" w:space="0" w:color="auto"/>
        <w:left w:val="none" w:sz="0" w:space="0" w:color="auto"/>
        <w:bottom w:val="none" w:sz="0" w:space="0" w:color="auto"/>
        <w:right w:val="none" w:sz="0" w:space="0" w:color="auto"/>
      </w:divBdr>
    </w:div>
    <w:div w:id="1560365362">
      <w:bodyDiv w:val="1"/>
      <w:marLeft w:val="0"/>
      <w:marRight w:val="0"/>
      <w:marTop w:val="0"/>
      <w:marBottom w:val="0"/>
      <w:divBdr>
        <w:top w:val="none" w:sz="0" w:space="0" w:color="auto"/>
        <w:left w:val="none" w:sz="0" w:space="0" w:color="auto"/>
        <w:bottom w:val="none" w:sz="0" w:space="0" w:color="auto"/>
        <w:right w:val="none" w:sz="0" w:space="0" w:color="auto"/>
      </w:divBdr>
    </w:div>
    <w:div w:id="1563832171">
      <w:bodyDiv w:val="1"/>
      <w:marLeft w:val="0"/>
      <w:marRight w:val="0"/>
      <w:marTop w:val="0"/>
      <w:marBottom w:val="0"/>
      <w:divBdr>
        <w:top w:val="none" w:sz="0" w:space="0" w:color="auto"/>
        <w:left w:val="none" w:sz="0" w:space="0" w:color="auto"/>
        <w:bottom w:val="none" w:sz="0" w:space="0" w:color="auto"/>
        <w:right w:val="none" w:sz="0" w:space="0" w:color="auto"/>
      </w:divBdr>
      <w:divsChild>
        <w:div w:id="293601369">
          <w:marLeft w:val="0"/>
          <w:marRight w:val="0"/>
          <w:marTop w:val="0"/>
          <w:marBottom w:val="0"/>
          <w:divBdr>
            <w:top w:val="none" w:sz="0" w:space="0" w:color="auto"/>
            <w:left w:val="none" w:sz="0" w:space="0" w:color="auto"/>
            <w:bottom w:val="none" w:sz="0" w:space="0" w:color="auto"/>
            <w:right w:val="none" w:sz="0" w:space="0" w:color="auto"/>
          </w:divBdr>
          <w:divsChild>
            <w:div w:id="2002804369">
              <w:marLeft w:val="0"/>
              <w:marRight w:val="0"/>
              <w:marTop w:val="0"/>
              <w:marBottom w:val="0"/>
              <w:divBdr>
                <w:top w:val="none" w:sz="0" w:space="0" w:color="auto"/>
                <w:left w:val="none" w:sz="0" w:space="0" w:color="auto"/>
                <w:bottom w:val="none" w:sz="0" w:space="0" w:color="auto"/>
                <w:right w:val="none" w:sz="0" w:space="0" w:color="auto"/>
              </w:divBdr>
              <w:divsChild>
                <w:div w:id="24450439">
                  <w:marLeft w:val="0"/>
                  <w:marRight w:val="0"/>
                  <w:marTop w:val="0"/>
                  <w:marBottom w:val="0"/>
                  <w:divBdr>
                    <w:top w:val="none" w:sz="0" w:space="0" w:color="auto"/>
                    <w:left w:val="none" w:sz="0" w:space="0" w:color="auto"/>
                    <w:bottom w:val="none" w:sz="0" w:space="0" w:color="auto"/>
                    <w:right w:val="none" w:sz="0" w:space="0" w:color="auto"/>
                  </w:divBdr>
                  <w:divsChild>
                    <w:div w:id="1364399799">
                      <w:marLeft w:val="0"/>
                      <w:marRight w:val="0"/>
                      <w:marTop w:val="0"/>
                      <w:marBottom w:val="0"/>
                      <w:divBdr>
                        <w:top w:val="none" w:sz="0" w:space="0" w:color="auto"/>
                        <w:left w:val="none" w:sz="0" w:space="0" w:color="auto"/>
                        <w:bottom w:val="none" w:sz="0" w:space="0" w:color="auto"/>
                        <w:right w:val="none" w:sz="0" w:space="0" w:color="auto"/>
                      </w:divBdr>
                      <w:divsChild>
                        <w:div w:id="1836415547">
                          <w:marLeft w:val="0"/>
                          <w:marRight w:val="0"/>
                          <w:marTop w:val="0"/>
                          <w:marBottom w:val="0"/>
                          <w:divBdr>
                            <w:top w:val="none" w:sz="0" w:space="0" w:color="auto"/>
                            <w:left w:val="none" w:sz="0" w:space="0" w:color="auto"/>
                            <w:bottom w:val="none" w:sz="0" w:space="0" w:color="auto"/>
                            <w:right w:val="none" w:sz="0" w:space="0" w:color="auto"/>
                          </w:divBdr>
                          <w:divsChild>
                            <w:div w:id="453643384">
                              <w:marLeft w:val="2700"/>
                              <w:marRight w:val="3960"/>
                              <w:marTop w:val="0"/>
                              <w:marBottom w:val="0"/>
                              <w:divBdr>
                                <w:top w:val="none" w:sz="0" w:space="0" w:color="auto"/>
                                <w:left w:val="none" w:sz="0" w:space="0" w:color="auto"/>
                                <w:bottom w:val="none" w:sz="0" w:space="0" w:color="auto"/>
                                <w:right w:val="none" w:sz="0" w:space="0" w:color="auto"/>
                              </w:divBdr>
                              <w:divsChild>
                                <w:div w:id="536508995">
                                  <w:marLeft w:val="0"/>
                                  <w:marRight w:val="0"/>
                                  <w:marTop w:val="0"/>
                                  <w:marBottom w:val="0"/>
                                  <w:divBdr>
                                    <w:top w:val="none" w:sz="0" w:space="0" w:color="auto"/>
                                    <w:left w:val="none" w:sz="0" w:space="0" w:color="auto"/>
                                    <w:bottom w:val="none" w:sz="0" w:space="0" w:color="auto"/>
                                    <w:right w:val="none" w:sz="0" w:space="0" w:color="auto"/>
                                  </w:divBdr>
                                  <w:divsChild>
                                    <w:div w:id="1169558403">
                                      <w:marLeft w:val="0"/>
                                      <w:marRight w:val="0"/>
                                      <w:marTop w:val="0"/>
                                      <w:marBottom w:val="0"/>
                                      <w:divBdr>
                                        <w:top w:val="none" w:sz="0" w:space="0" w:color="auto"/>
                                        <w:left w:val="none" w:sz="0" w:space="0" w:color="auto"/>
                                        <w:bottom w:val="none" w:sz="0" w:space="0" w:color="auto"/>
                                        <w:right w:val="none" w:sz="0" w:space="0" w:color="auto"/>
                                      </w:divBdr>
                                      <w:divsChild>
                                        <w:div w:id="980497413">
                                          <w:marLeft w:val="0"/>
                                          <w:marRight w:val="0"/>
                                          <w:marTop w:val="0"/>
                                          <w:marBottom w:val="0"/>
                                          <w:divBdr>
                                            <w:top w:val="none" w:sz="0" w:space="0" w:color="auto"/>
                                            <w:left w:val="none" w:sz="0" w:space="0" w:color="auto"/>
                                            <w:bottom w:val="none" w:sz="0" w:space="0" w:color="auto"/>
                                            <w:right w:val="none" w:sz="0" w:space="0" w:color="auto"/>
                                          </w:divBdr>
                                          <w:divsChild>
                                            <w:div w:id="1827473030">
                                              <w:marLeft w:val="0"/>
                                              <w:marRight w:val="0"/>
                                              <w:marTop w:val="90"/>
                                              <w:marBottom w:val="0"/>
                                              <w:divBdr>
                                                <w:top w:val="none" w:sz="0" w:space="0" w:color="auto"/>
                                                <w:left w:val="none" w:sz="0" w:space="0" w:color="auto"/>
                                                <w:bottom w:val="none" w:sz="0" w:space="0" w:color="auto"/>
                                                <w:right w:val="none" w:sz="0" w:space="0" w:color="auto"/>
                                              </w:divBdr>
                                              <w:divsChild>
                                                <w:div w:id="1852378069">
                                                  <w:marLeft w:val="0"/>
                                                  <w:marRight w:val="0"/>
                                                  <w:marTop w:val="0"/>
                                                  <w:marBottom w:val="420"/>
                                                  <w:divBdr>
                                                    <w:top w:val="none" w:sz="0" w:space="0" w:color="auto"/>
                                                    <w:left w:val="none" w:sz="0" w:space="0" w:color="auto"/>
                                                    <w:bottom w:val="none" w:sz="0" w:space="0" w:color="auto"/>
                                                    <w:right w:val="none" w:sz="0" w:space="0" w:color="auto"/>
                                                  </w:divBdr>
                                                  <w:divsChild>
                                                    <w:div w:id="1041829315">
                                                      <w:marLeft w:val="0"/>
                                                      <w:marRight w:val="0"/>
                                                      <w:marTop w:val="0"/>
                                                      <w:marBottom w:val="0"/>
                                                      <w:divBdr>
                                                        <w:top w:val="none" w:sz="0" w:space="0" w:color="auto"/>
                                                        <w:left w:val="none" w:sz="0" w:space="0" w:color="auto"/>
                                                        <w:bottom w:val="none" w:sz="0" w:space="0" w:color="auto"/>
                                                        <w:right w:val="none" w:sz="0" w:space="0" w:color="auto"/>
                                                      </w:divBdr>
                                                      <w:divsChild>
                                                        <w:div w:id="777263671">
                                                          <w:marLeft w:val="0"/>
                                                          <w:marRight w:val="0"/>
                                                          <w:marTop w:val="0"/>
                                                          <w:marBottom w:val="0"/>
                                                          <w:divBdr>
                                                            <w:top w:val="single" w:sz="6" w:space="0" w:color="DFE1E5"/>
                                                            <w:left w:val="single" w:sz="6" w:space="0" w:color="DFE1E5"/>
                                                            <w:bottom w:val="single" w:sz="6" w:space="0" w:color="DFE1E5"/>
                                                            <w:right w:val="single" w:sz="6" w:space="0" w:color="DFE1E5"/>
                                                          </w:divBdr>
                                                          <w:divsChild>
                                                            <w:div w:id="839541531">
                                                              <w:marLeft w:val="0"/>
                                                              <w:marRight w:val="0"/>
                                                              <w:marTop w:val="0"/>
                                                              <w:marBottom w:val="0"/>
                                                              <w:divBdr>
                                                                <w:top w:val="none" w:sz="0" w:space="0" w:color="auto"/>
                                                                <w:left w:val="none" w:sz="0" w:space="0" w:color="auto"/>
                                                                <w:bottom w:val="none" w:sz="0" w:space="0" w:color="auto"/>
                                                                <w:right w:val="none" w:sz="0" w:space="0" w:color="auto"/>
                                                              </w:divBdr>
                                                              <w:divsChild>
                                                                <w:div w:id="1677882851">
                                                                  <w:marLeft w:val="0"/>
                                                                  <w:marRight w:val="0"/>
                                                                  <w:marTop w:val="0"/>
                                                                  <w:marBottom w:val="0"/>
                                                                  <w:divBdr>
                                                                    <w:top w:val="none" w:sz="0" w:space="0" w:color="auto"/>
                                                                    <w:left w:val="none" w:sz="0" w:space="0" w:color="auto"/>
                                                                    <w:bottom w:val="none" w:sz="0" w:space="0" w:color="auto"/>
                                                                    <w:right w:val="none" w:sz="0" w:space="0" w:color="auto"/>
                                                                  </w:divBdr>
                                                                  <w:divsChild>
                                                                    <w:div w:id="1126580611">
                                                                      <w:marLeft w:val="0"/>
                                                                      <w:marRight w:val="0"/>
                                                                      <w:marTop w:val="0"/>
                                                                      <w:marBottom w:val="0"/>
                                                                      <w:divBdr>
                                                                        <w:top w:val="none" w:sz="0" w:space="0" w:color="auto"/>
                                                                        <w:left w:val="none" w:sz="0" w:space="0" w:color="auto"/>
                                                                        <w:bottom w:val="none" w:sz="0" w:space="0" w:color="auto"/>
                                                                        <w:right w:val="none" w:sz="0" w:space="0" w:color="auto"/>
                                                                      </w:divBdr>
                                                                      <w:divsChild>
                                                                        <w:div w:id="1514028475">
                                                                          <w:marLeft w:val="0"/>
                                                                          <w:marRight w:val="0"/>
                                                                          <w:marTop w:val="0"/>
                                                                          <w:marBottom w:val="0"/>
                                                                          <w:divBdr>
                                                                            <w:top w:val="none" w:sz="0" w:space="0" w:color="auto"/>
                                                                            <w:left w:val="none" w:sz="0" w:space="0" w:color="auto"/>
                                                                            <w:bottom w:val="none" w:sz="0" w:space="0" w:color="auto"/>
                                                                            <w:right w:val="none" w:sz="0" w:space="0" w:color="auto"/>
                                                                          </w:divBdr>
                                                                          <w:divsChild>
                                                                            <w:div w:id="1301417934">
                                                                              <w:marLeft w:val="0"/>
                                                                              <w:marRight w:val="0"/>
                                                                              <w:marTop w:val="0"/>
                                                                              <w:marBottom w:val="0"/>
                                                                              <w:divBdr>
                                                                                <w:top w:val="none" w:sz="0" w:space="0" w:color="auto"/>
                                                                                <w:left w:val="none" w:sz="0" w:space="0" w:color="auto"/>
                                                                                <w:bottom w:val="none" w:sz="0" w:space="0" w:color="auto"/>
                                                                                <w:right w:val="none" w:sz="0" w:space="0" w:color="auto"/>
                                                                              </w:divBdr>
                                                                              <w:divsChild>
                                                                                <w:div w:id="2044017563">
                                                                                  <w:marLeft w:val="0"/>
                                                                                  <w:marRight w:val="0"/>
                                                                                  <w:marTop w:val="0"/>
                                                                                  <w:marBottom w:val="0"/>
                                                                                  <w:divBdr>
                                                                                    <w:top w:val="none" w:sz="0" w:space="0" w:color="auto"/>
                                                                                    <w:left w:val="none" w:sz="0" w:space="0" w:color="auto"/>
                                                                                    <w:bottom w:val="none" w:sz="0" w:space="0" w:color="auto"/>
                                                                                    <w:right w:val="none" w:sz="0" w:space="0" w:color="auto"/>
                                                                                  </w:divBdr>
                                                                                  <w:divsChild>
                                                                                    <w:div w:id="11948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279850">
      <w:bodyDiv w:val="1"/>
      <w:marLeft w:val="0"/>
      <w:marRight w:val="0"/>
      <w:marTop w:val="0"/>
      <w:marBottom w:val="0"/>
      <w:divBdr>
        <w:top w:val="none" w:sz="0" w:space="0" w:color="auto"/>
        <w:left w:val="none" w:sz="0" w:space="0" w:color="auto"/>
        <w:bottom w:val="none" w:sz="0" w:space="0" w:color="auto"/>
        <w:right w:val="none" w:sz="0" w:space="0" w:color="auto"/>
      </w:divBdr>
    </w:div>
    <w:div w:id="1591355025">
      <w:bodyDiv w:val="1"/>
      <w:marLeft w:val="0"/>
      <w:marRight w:val="0"/>
      <w:marTop w:val="0"/>
      <w:marBottom w:val="0"/>
      <w:divBdr>
        <w:top w:val="none" w:sz="0" w:space="0" w:color="auto"/>
        <w:left w:val="none" w:sz="0" w:space="0" w:color="auto"/>
        <w:bottom w:val="none" w:sz="0" w:space="0" w:color="auto"/>
        <w:right w:val="none" w:sz="0" w:space="0" w:color="auto"/>
      </w:divBdr>
    </w:div>
    <w:div w:id="1596789369">
      <w:bodyDiv w:val="1"/>
      <w:marLeft w:val="0"/>
      <w:marRight w:val="0"/>
      <w:marTop w:val="0"/>
      <w:marBottom w:val="0"/>
      <w:divBdr>
        <w:top w:val="none" w:sz="0" w:space="0" w:color="auto"/>
        <w:left w:val="none" w:sz="0" w:space="0" w:color="auto"/>
        <w:bottom w:val="none" w:sz="0" w:space="0" w:color="auto"/>
        <w:right w:val="none" w:sz="0" w:space="0" w:color="auto"/>
      </w:divBdr>
    </w:div>
    <w:div w:id="1600865575">
      <w:bodyDiv w:val="1"/>
      <w:marLeft w:val="0"/>
      <w:marRight w:val="0"/>
      <w:marTop w:val="0"/>
      <w:marBottom w:val="0"/>
      <w:divBdr>
        <w:top w:val="none" w:sz="0" w:space="0" w:color="auto"/>
        <w:left w:val="none" w:sz="0" w:space="0" w:color="auto"/>
        <w:bottom w:val="none" w:sz="0" w:space="0" w:color="auto"/>
        <w:right w:val="none" w:sz="0" w:space="0" w:color="auto"/>
      </w:divBdr>
    </w:div>
    <w:div w:id="1610116581">
      <w:bodyDiv w:val="1"/>
      <w:marLeft w:val="0"/>
      <w:marRight w:val="0"/>
      <w:marTop w:val="0"/>
      <w:marBottom w:val="0"/>
      <w:divBdr>
        <w:top w:val="none" w:sz="0" w:space="0" w:color="auto"/>
        <w:left w:val="none" w:sz="0" w:space="0" w:color="auto"/>
        <w:bottom w:val="none" w:sz="0" w:space="0" w:color="auto"/>
        <w:right w:val="none" w:sz="0" w:space="0" w:color="auto"/>
      </w:divBdr>
    </w:div>
    <w:div w:id="1616327636">
      <w:bodyDiv w:val="1"/>
      <w:marLeft w:val="0"/>
      <w:marRight w:val="0"/>
      <w:marTop w:val="0"/>
      <w:marBottom w:val="0"/>
      <w:divBdr>
        <w:top w:val="none" w:sz="0" w:space="0" w:color="auto"/>
        <w:left w:val="none" w:sz="0" w:space="0" w:color="auto"/>
        <w:bottom w:val="none" w:sz="0" w:space="0" w:color="auto"/>
        <w:right w:val="none" w:sz="0" w:space="0" w:color="auto"/>
      </w:divBdr>
    </w:div>
    <w:div w:id="1645817570">
      <w:bodyDiv w:val="1"/>
      <w:marLeft w:val="0"/>
      <w:marRight w:val="0"/>
      <w:marTop w:val="0"/>
      <w:marBottom w:val="0"/>
      <w:divBdr>
        <w:top w:val="none" w:sz="0" w:space="0" w:color="auto"/>
        <w:left w:val="none" w:sz="0" w:space="0" w:color="auto"/>
        <w:bottom w:val="none" w:sz="0" w:space="0" w:color="auto"/>
        <w:right w:val="none" w:sz="0" w:space="0" w:color="auto"/>
      </w:divBdr>
    </w:div>
    <w:div w:id="1663965289">
      <w:bodyDiv w:val="1"/>
      <w:marLeft w:val="0"/>
      <w:marRight w:val="0"/>
      <w:marTop w:val="0"/>
      <w:marBottom w:val="0"/>
      <w:divBdr>
        <w:top w:val="none" w:sz="0" w:space="0" w:color="auto"/>
        <w:left w:val="none" w:sz="0" w:space="0" w:color="auto"/>
        <w:bottom w:val="none" w:sz="0" w:space="0" w:color="auto"/>
        <w:right w:val="none" w:sz="0" w:space="0" w:color="auto"/>
      </w:divBdr>
    </w:div>
    <w:div w:id="1665358297">
      <w:bodyDiv w:val="1"/>
      <w:marLeft w:val="0"/>
      <w:marRight w:val="0"/>
      <w:marTop w:val="0"/>
      <w:marBottom w:val="0"/>
      <w:divBdr>
        <w:top w:val="none" w:sz="0" w:space="0" w:color="auto"/>
        <w:left w:val="none" w:sz="0" w:space="0" w:color="auto"/>
        <w:bottom w:val="none" w:sz="0" w:space="0" w:color="auto"/>
        <w:right w:val="none" w:sz="0" w:space="0" w:color="auto"/>
      </w:divBdr>
    </w:div>
    <w:div w:id="1669595852">
      <w:bodyDiv w:val="1"/>
      <w:marLeft w:val="0"/>
      <w:marRight w:val="0"/>
      <w:marTop w:val="0"/>
      <w:marBottom w:val="0"/>
      <w:divBdr>
        <w:top w:val="none" w:sz="0" w:space="0" w:color="auto"/>
        <w:left w:val="none" w:sz="0" w:space="0" w:color="auto"/>
        <w:bottom w:val="none" w:sz="0" w:space="0" w:color="auto"/>
        <w:right w:val="none" w:sz="0" w:space="0" w:color="auto"/>
      </w:divBdr>
    </w:div>
    <w:div w:id="1677491696">
      <w:bodyDiv w:val="1"/>
      <w:marLeft w:val="0"/>
      <w:marRight w:val="0"/>
      <w:marTop w:val="0"/>
      <w:marBottom w:val="0"/>
      <w:divBdr>
        <w:top w:val="none" w:sz="0" w:space="0" w:color="auto"/>
        <w:left w:val="none" w:sz="0" w:space="0" w:color="auto"/>
        <w:bottom w:val="none" w:sz="0" w:space="0" w:color="auto"/>
        <w:right w:val="none" w:sz="0" w:space="0" w:color="auto"/>
      </w:divBdr>
    </w:div>
    <w:div w:id="1681278438">
      <w:bodyDiv w:val="1"/>
      <w:marLeft w:val="0"/>
      <w:marRight w:val="0"/>
      <w:marTop w:val="0"/>
      <w:marBottom w:val="0"/>
      <w:divBdr>
        <w:top w:val="none" w:sz="0" w:space="0" w:color="auto"/>
        <w:left w:val="none" w:sz="0" w:space="0" w:color="auto"/>
        <w:bottom w:val="none" w:sz="0" w:space="0" w:color="auto"/>
        <w:right w:val="none" w:sz="0" w:space="0" w:color="auto"/>
      </w:divBdr>
    </w:div>
    <w:div w:id="1687637832">
      <w:bodyDiv w:val="1"/>
      <w:marLeft w:val="0"/>
      <w:marRight w:val="0"/>
      <w:marTop w:val="0"/>
      <w:marBottom w:val="0"/>
      <w:divBdr>
        <w:top w:val="none" w:sz="0" w:space="0" w:color="auto"/>
        <w:left w:val="none" w:sz="0" w:space="0" w:color="auto"/>
        <w:bottom w:val="none" w:sz="0" w:space="0" w:color="auto"/>
        <w:right w:val="none" w:sz="0" w:space="0" w:color="auto"/>
      </w:divBdr>
    </w:div>
    <w:div w:id="1695108003">
      <w:bodyDiv w:val="1"/>
      <w:marLeft w:val="0"/>
      <w:marRight w:val="0"/>
      <w:marTop w:val="0"/>
      <w:marBottom w:val="0"/>
      <w:divBdr>
        <w:top w:val="none" w:sz="0" w:space="0" w:color="auto"/>
        <w:left w:val="none" w:sz="0" w:space="0" w:color="auto"/>
        <w:bottom w:val="none" w:sz="0" w:space="0" w:color="auto"/>
        <w:right w:val="none" w:sz="0" w:space="0" w:color="auto"/>
      </w:divBdr>
    </w:div>
    <w:div w:id="1745906652">
      <w:bodyDiv w:val="1"/>
      <w:marLeft w:val="0"/>
      <w:marRight w:val="0"/>
      <w:marTop w:val="0"/>
      <w:marBottom w:val="0"/>
      <w:divBdr>
        <w:top w:val="none" w:sz="0" w:space="0" w:color="auto"/>
        <w:left w:val="none" w:sz="0" w:space="0" w:color="auto"/>
        <w:bottom w:val="none" w:sz="0" w:space="0" w:color="auto"/>
        <w:right w:val="none" w:sz="0" w:space="0" w:color="auto"/>
      </w:divBdr>
    </w:div>
    <w:div w:id="1753502929">
      <w:bodyDiv w:val="1"/>
      <w:marLeft w:val="0"/>
      <w:marRight w:val="0"/>
      <w:marTop w:val="0"/>
      <w:marBottom w:val="0"/>
      <w:divBdr>
        <w:top w:val="none" w:sz="0" w:space="0" w:color="auto"/>
        <w:left w:val="none" w:sz="0" w:space="0" w:color="auto"/>
        <w:bottom w:val="none" w:sz="0" w:space="0" w:color="auto"/>
        <w:right w:val="none" w:sz="0" w:space="0" w:color="auto"/>
      </w:divBdr>
    </w:div>
    <w:div w:id="1761488505">
      <w:bodyDiv w:val="1"/>
      <w:marLeft w:val="0"/>
      <w:marRight w:val="0"/>
      <w:marTop w:val="0"/>
      <w:marBottom w:val="0"/>
      <w:divBdr>
        <w:top w:val="none" w:sz="0" w:space="0" w:color="auto"/>
        <w:left w:val="none" w:sz="0" w:space="0" w:color="auto"/>
        <w:bottom w:val="none" w:sz="0" w:space="0" w:color="auto"/>
        <w:right w:val="none" w:sz="0" w:space="0" w:color="auto"/>
      </w:divBdr>
      <w:divsChild>
        <w:div w:id="128592351">
          <w:marLeft w:val="0"/>
          <w:marRight w:val="0"/>
          <w:marTop w:val="0"/>
          <w:marBottom w:val="0"/>
          <w:divBdr>
            <w:top w:val="none" w:sz="0" w:space="0" w:color="auto"/>
            <w:left w:val="none" w:sz="0" w:space="0" w:color="auto"/>
            <w:bottom w:val="none" w:sz="0" w:space="0" w:color="auto"/>
            <w:right w:val="none" w:sz="0" w:space="0" w:color="auto"/>
          </w:divBdr>
          <w:divsChild>
            <w:div w:id="340856046">
              <w:marLeft w:val="0"/>
              <w:marRight w:val="0"/>
              <w:marTop w:val="0"/>
              <w:marBottom w:val="0"/>
              <w:divBdr>
                <w:top w:val="none" w:sz="0" w:space="0" w:color="auto"/>
                <w:left w:val="none" w:sz="0" w:space="0" w:color="auto"/>
                <w:bottom w:val="none" w:sz="0" w:space="0" w:color="auto"/>
                <w:right w:val="none" w:sz="0" w:space="0" w:color="auto"/>
              </w:divBdr>
              <w:divsChild>
                <w:div w:id="1533764045">
                  <w:marLeft w:val="0"/>
                  <w:marRight w:val="0"/>
                  <w:marTop w:val="0"/>
                  <w:marBottom w:val="0"/>
                  <w:divBdr>
                    <w:top w:val="none" w:sz="0" w:space="0" w:color="auto"/>
                    <w:left w:val="none" w:sz="0" w:space="0" w:color="auto"/>
                    <w:bottom w:val="none" w:sz="0" w:space="0" w:color="auto"/>
                    <w:right w:val="none" w:sz="0" w:space="0" w:color="auto"/>
                  </w:divBdr>
                  <w:divsChild>
                    <w:div w:id="415398065">
                      <w:marLeft w:val="0"/>
                      <w:marRight w:val="0"/>
                      <w:marTop w:val="0"/>
                      <w:marBottom w:val="0"/>
                      <w:divBdr>
                        <w:top w:val="none" w:sz="0" w:space="0" w:color="auto"/>
                        <w:left w:val="none" w:sz="0" w:space="0" w:color="auto"/>
                        <w:bottom w:val="none" w:sz="0" w:space="0" w:color="auto"/>
                        <w:right w:val="none" w:sz="0" w:space="0" w:color="auto"/>
                      </w:divBdr>
                      <w:divsChild>
                        <w:div w:id="860968416">
                          <w:marLeft w:val="0"/>
                          <w:marRight w:val="0"/>
                          <w:marTop w:val="0"/>
                          <w:marBottom w:val="0"/>
                          <w:divBdr>
                            <w:top w:val="none" w:sz="0" w:space="0" w:color="auto"/>
                            <w:left w:val="none" w:sz="0" w:space="0" w:color="auto"/>
                            <w:bottom w:val="none" w:sz="0" w:space="0" w:color="auto"/>
                            <w:right w:val="none" w:sz="0" w:space="0" w:color="auto"/>
                          </w:divBdr>
                          <w:divsChild>
                            <w:div w:id="1301037722">
                              <w:marLeft w:val="2700"/>
                              <w:marRight w:val="3960"/>
                              <w:marTop w:val="0"/>
                              <w:marBottom w:val="0"/>
                              <w:divBdr>
                                <w:top w:val="none" w:sz="0" w:space="0" w:color="auto"/>
                                <w:left w:val="none" w:sz="0" w:space="0" w:color="auto"/>
                                <w:bottom w:val="none" w:sz="0" w:space="0" w:color="auto"/>
                                <w:right w:val="none" w:sz="0" w:space="0" w:color="auto"/>
                              </w:divBdr>
                              <w:divsChild>
                                <w:div w:id="1529682264">
                                  <w:marLeft w:val="0"/>
                                  <w:marRight w:val="0"/>
                                  <w:marTop w:val="0"/>
                                  <w:marBottom w:val="0"/>
                                  <w:divBdr>
                                    <w:top w:val="none" w:sz="0" w:space="0" w:color="auto"/>
                                    <w:left w:val="none" w:sz="0" w:space="0" w:color="auto"/>
                                    <w:bottom w:val="none" w:sz="0" w:space="0" w:color="auto"/>
                                    <w:right w:val="none" w:sz="0" w:space="0" w:color="auto"/>
                                  </w:divBdr>
                                  <w:divsChild>
                                    <w:div w:id="1867982526">
                                      <w:marLeft w:val="0"/>
                                      <w:marRight w:val="0"/>
                                      <w:marTop w:val="0"/>
                                      <w:marBottom w:val="0"/>
                                      <w:divBdr>
                                        <w:top w:val="none" w:sz="0" w:space="0" w:color="auto"/>
                                        <w:left w:val="none" w:sz="0" w:space="0" w:color="auto"/>
                                        <w:bottom w:val="none" w:sz="0" w:space="0" w:color="auto"/>
                                        <w:right w:val="none" w:sz="0" w:space="0" w:color="auto"/>
                                      </w:divBdr>
                                      <w:divsChild>
                                        <w:div w:id="1264652175">
                                          <w:marLeft w:val="0"/>
                                          <w:marRight w:val="0"/>
                                          <w:marTop w:val="0"/>
                                          <w:marBottom w:val="0"/>
                                          <w:divBdr>
                                            <w:top w:val="none" w:sz="0" w:space="0" w:color="auto"/>
                                            <w:left w:val="none" w:sz="0" w:space="0" w:color="auto"/>
                                            <w:bottom w:val="none" w:sz="0" w:space="0" w:color="auto"/>
                                            <w:right w:val="none" w:sz="0" w:space="0" w:color="auto"/>
                                          </w:divBdr>
                                          <w:divsChild>
                                            <w:div w:id="1348212973">
                                              <w:marLeft w:val="0"/>
                                              <w:marRight w:val="0"/>
                                              <w:marTop w:val="90"/>
                                              <w:marBottom w:val="0"/>
                                              <w:divBdr>
                                                <w:top w:val="none" w:sz="0" w:space="0" w:color="auto"/>
                                                <w:left w:val="none" w:sz="0" w:space="0" w:color="auto"/>
                                                <w:bottom w:val="none" w:sz="0" w:space="0" w:color="auto"/>
                                                <w:right w:val="none" w:sz="0" w:space="0" w:color="auto"/>
                                              </w:divBdr>
                                              <w:divsChild>
                                                <w:div w:id="279342673">
                                                  <w:marLeft w:val="0"/>
                                                  <w:marRight w:val="0"/>
                                                  <w:marTop w:val="0"/>
                                                  <w:marBottom w:val="420"/>
                                                  <w:divBdr>
                                                    <w:top w:val="none" w:sz="0" w:space="0" w:color="auto"/>
                                                    <w:left w:val="none" w:sz="0" w:space="0" w:color="auto"/>
                                                    <w:bottom w:val="none" w:sz="0" w:space="0" w:color="auto"/>
                                                    <w:right w:val="none" w:sz="0" w:space="0" w:color="auto"/>
                                                  </w:divBdr>
                                                  <w:divsChild>
                                                    <w:div w:id="84957948">
                                                      <w:marLeft w:val="0"/>
                                                      <w:marRight w:val="0"/>
                                                      <w:marTop w:val="0"/>
                                                      <w:marBottom w:val="0"/>
                                                      <w:divBdr>
                                                        <w:top w:val="none" w:sz="0" w:space="0" w:color="auto"/>
                                                        <w:left w:val="none" w:sz="0" w:space="0" w:color="auto"/>
                                                        <w:bottom w:val="none" w:sz="0" w:space="0" w:color="auto"/>
                                                        <w:right w:val="none" w:sz="0" w:space="0" w:color="auto"/>
                                                      </w:divBdr>
                                                      <w:divsChild>
                                                        <w:div w:id="1091781780">
                                                          <w:marLeft w:val="0"/>
                                                          <w:marRight w:val="0"/>
                                                          <w:marTop w:val="0"/>
                                                          <w:marBottom w:val="0"/>
                                                          <w:divBdr>
                                                            <w:top w:val="single" w:sz="6" w:space="0" w:color="DFE1E5"/>
                                                            <w:left w:val="single" w:sz="6" w:space="0" w:color="DFE1E5"/>
                                                            <w:bottom w:val="single" w:sz="6" w:space="0" w:color="DFE1E5"/>
                                                            <w:right w:val="single" w:sz="6" w:space="0" w:color="DFE1E5"/>
                                                          </w:divBdr>
                                                          <w:divsChild>
                                                            <w:div w:id="1598437762">
                                                              <w:marLeft w:val="0"/>
                                                              <w:marRight w:val="0"/>
                                                              <w:marTop w:val="0"/>
                                                              <w:marBottom w:val="0"/>
                                                              <w:divBdr>
                                                                <w:top w:val="none" w:sz="0" w:space="0" w:color="auto"/>
                                                                <w:left w:val="none" w:sz="0" w:space="0" w:color="auto"/>
                                                                <w:bottom w:val="none" w:sz="0" w:space="0" w:color="auto"/>
                                                                <w:right w:val="none" w:sz="0" w:space="0" w:color="auto"/>
                                                              </w:divBdr>
                                                              <w:divsChild>
                                                                <w:div w:id="1100029826">
                                                                  <w:marLeft w:val="0"/>
                                                                  <w:marRight w:val="0"/>
                                                                  <w:marTop w:val="0"/>
                                                                  <w:marBottom w:val="0"/>
                                                                  <w:divBdr>
                                                                    <w:top w:val="none" w:sz="0" w:space="0" w:color="auto"/>
                                                                    <w:left w:val="none" w:sz="0" w:space="0" w:color="auto"/>
                                                                    <w:bottom w:val="none" w:sz="0" w:space="0" w:color="auto"/>
                                                                    <w:right w:val="none" w:sz="0" w:space="0" w:color="auto"/>
                                                                  </w:divBdr>
                                                                  <w:divsChild>
                                                                    <w:div w:id="2066447667">
                                                                      <w:marLeft w:val="0"/>
                                                                      <w:marRight w:val="0"/>
                                                                      <w:marTop w:val="0"/>
                                                                      <w:marBottom w:val="0"/>
                                                                      <w:divBdr>
                                                                        <w:top w:val="none" w:sz="0" w:space="0" w:color="auto"/>
                                                                        <w:left w:val="none" w:sz="0" w:space="0" w:color="auto"/>
                                                                        <w:bottom w:val="none" w:sz="0" w:space="0" w:color="auto"/>
                                                                        <w:right w:val="none" w:sz="0" w:space="0" w:color="auto"/>
                                                                      </w:divBdr>
                                                                      <w:divsChild>
                                                                        <w:div w:id="801927112">
                                                                          <w:marLeft w:val="0"/>
                                                                          <w:marRight w:val="0"/>
                                                                          <w:marTop w:val="0"/>
                                                                          <w:marBottom w:val="0"/>
                                                                          <w:divBdr>
                                                                            <w:top w:val="none" w:sz="0" w:space="0" w:color="auto"/>
                                                                            <w:left w:val="none" w:sz="0" w:space="0" w:color="auto"/>
                                                                            <w:bottom w:val="none" w:sz="0" w:space="0" w:color="auto"/>
                                                                            <w:right w:val="none" w:sz="0" w:space="0" w:color="auto"/>
                                                                          </w:divBdr>
                                                                          <w:divsChild>
                                                                            <w:div w:id="1102645907">
                                                                              <w:marLeft w:val="0"/>
                                                                              <w:marRight w:val="0"/>
                                                                              <w:marTop w:val="0"/>
                                                                              <w:marBottom w:val="0"/>
                                                                              <w:divBdr>
                                                                                <w:top w:val="none" w:sz="0" w:space="0" w:color="auto"/>
                                                                                <w:left w:val="none" w:sz="0" w:space="0" w:color="auto"/>
                                                                                <w:bottom w:val="none" w:sz="0" w:space="0" w:color="auto"/>
                                                                                <w:right w:val="none" w:sz="0" w:space="0" w:color="auto"/>
                                                                              </w:divBdr>
                                                                              <w:divsChild>
                                                                                <w:div w:id="1995840999">
                                                                                  <w:marLeft w:val="0"/>
                                                                                  <w:marRight w:val="0"/>
                                                                                  <w:marTop w:val="0"/>
                                                                                  <w:marBottom w:val="0"/>
                                                                                  <w:divBdr>
                                                                                    <w:top w:val="none" w:sz="0" w:space="0" w:color="auto"/>
                                                                                    <w:left w:val="none" w:sz="0" w:space="0" w:color="auto"/>
                                                                                    <w:bottom w:val="none" w:sz="0" w:space="0" w:color="auto"/>
                                                                                    <w:right w:val="none" w:sz="0" w:space="0" w:color="auto"/>
                                                                                  </w:divBdr>
                                                                                  <w:divsChild>
                                                                                    <w:div w:id="5786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848096">
      <w:bodyDiv w:val="1"/>
      <w:marLeft w:val="0"/>
      <w:marRight w:val="0"/>
      <w:marTop w:val="0"/>
      <w:marBottom w:val="0"/>
      <w:divBdr>
        <w:top w:val="none" w:sz="0" w:space="0" w:color="auto"/>
        <w:left w:val="none" w:sz="0" w:space="0" w:color="auto"/>
        <w:bottom w:val="none" w:sz="0" w:space="0" w:color="auto"/>
        <w:right w:val="none" w:sz="0" w:space="0" w:color="auto"/>
      </w:divBdr>
    </w:div>
    <w:div w:id="1770392718">
      <w:bodyDiv w:val="1"/>
      <w:marLeft w:val="0"/>
      <w:marRight w:val="0"/>
      <w:marTop w:val="0"/>
      <w:marBottom w:val="0"/>
      <w:divBdr>
        <w:top w:val="none" w:sz="0" w:space="0" w:color="auto"/>
        <w:left w:val="none" w:sz="0" w:space="0" w:color="auto"/>
        <w:bottom w:val="none" w:sz="0" w:space="0" w:color="auto"/>
        <w:right w:val="none" w:sz="0" w:space="0" w:color="auto"/>
      </w:divBdr>
    </w:div>
    <w:div w:id="1822502232">
      <w:bodyDiv w:val="1"/>
      <w:marLeft w:val="0"/>
      <w:marRight w:val="0"/>
      <w:marTop w:val="0"/>
      <w:marBottom w:val="0"/>
      <w:divBdr>
        <w:top w:val="none" w:sz="0" w:space="0" w:color="auto"/>
        <w:left w:val="none" w:sz="0" w:space="0" w:color="auto"/>
        <w:bottom w:val="none" w:sz="0" w:space="0" w:color="auto"/>
        <w:right w:val="none" w:sz="0" w:space="0" w:color="auto"/>
      </w:divBdr>
    </w:div>
    <w:div w:id="1867323813">
      <w:bodyDiv w:val="1"/>
      <w:marLeft w:val="0"/>
      <w:marRight w:val="0"/>
      <w:marTop w:val="0"/>
      <w:marBottom w:val="0"/>
      <w:divBdr>
        <w:top w:val="none" w:sz="0" w:space="0" w:color="auto"/>
        <w:left w:val="none" w:sz="0" w:space="0" w:color="auto"/>
        <w:bottom w:val="none" w:sz="0" w:space="0" w:color="auto"/>
        <w:right w:val="none" w:sz="0" w:space="0" w:color="auto"/>
      </w:divBdr>
    </w:div>
    <w:div w:id="1878271136">
      <w:bodyDiv w:val="1"/>
      <w:marLeft w:val="0"/>
      <w:marRight w:val="0"/>
      <w:marTop w:val="0"/>
      <w:marBottom w:val="0"/>
      <w:divBdr>
        <w:top w:val="none" w:sz="0" w:space="0" w:color="auto"/>
        <w:left w:val="none" w:sz="0" w:space="0" w:color="auto"/>
        <w:bottom w:val="none" w:sz="0" w:space="0" w:color="auto"/>
        <w:right w:val="none" w:sz="0" w:space="0" w:color="auto"/>
      </w:divBdr>
    </w:div>
    <w:div w:id="1932159338">
      <w:bodyDiv w:val="1"/>
      <w:marLeft w:val="0"/>
      <w:marRight w:val="0"/>
      <w:marTop w:val="0"/>
      <w:marBottom w:val="0"/>
      <w:divBdr>
        <w:top w:val="none" w:sz="0" w:space="0" w:color="auto"/>
        <w:left w:val="none" w:sz="0" w:space="0" w:color="auto"/>
        <w:bottom w:val="none" w:sz="0" w:space="0" w:color="auto"/>
        <w:right w:val="none" w:sz="0" w:space="0" w:color="auto"/>
      </w:divBdr>
    </w:div>
    <w:div w:id="1949266012">
      <w:bodyDiv w:val="1"/>
      <w:marLeft w:val="0"/>
      <w:marRight w:val="0"/>
      <w:marTop w:val="0"/>
      <w:marBottom w:val="0"/>
      <w:divBdr>
        <w:top w:val="none" w:sz="0" w:space="0" w:color="auto"/>
        <w:left w:val="none" w:sz="0" w:space="0" w:color="auto"/>
        <w:bottom w:val="none" w:sz="0" w:space="0" w:color="auto"/>
        <w:right w:val="none" w:sz="0" w:space="0" w:color="auto"/>
      </w:divBdr>
    </w:div>
    <w:div w:id="1981761283">
      <w:bodyDiv w:val="1"/>
      <w:marLeft w:val="0"/>
      <w:marRight w:val="0"/>
      <w:marTop w:val="0"/>
      <w:marBottom w:val="0"/>
      <w:divBdr>
        <w:top w:val="none" w:sz="0" w:space="0" w:color="auto"/>
        <w:left w:val="none" w:sz="0" w:space="0" w:color="auto"/>
        <w:bottom w:val="none" w:sz="0" w:space="0" w:color="auto"/>
        <w:right w:val="none" w:sz="0" w:space="0" w:color="auto"/>
      </w:divBdr>
    </w:div>
    <w:div w:id="2031681799">
      <w:bodyDiv w:val="1"/>
      <w:marLeft w:val="0"/>
      <w:marRight w:val="0"/>
      <w:marTop w:val="0"/>
      <w:marBottom w:val="0"/>
      <w:divBdr>
        <w:top w:val="none" w:sz="0" w:space="0" w:color="auto"/>
        <w:left w:val="none" w:sz="0" w:space="0" w:color="auto"/>
        <w:bottom w:val="none" w:sz="0" w:space="0" w:color="auto"/>
        <w:right w:val="none" w:sz="0" w:space="0" w:color="auto"/>
      </w:divBdr>
    </w:div>
    <w:div w:id="2040082837">
      <w:bodyDiv w:val="1"/>
      <w:marLeft w:val="0"/>
      <w:marRight w:val="0"/>
      <w:marTop w:val="0"/>
      <w:marBottom w:val="0"/>
      <w:divBdr>
        <w:top w:val="none" w:sz="0" w:space="0" w:color="auto"/>
        <w:left w:val="none" w:sz="0" w:space="0" w:color="auto"/>
        <w:bottom w:val="none" w:sz="0" w:space="0" w:color="auto"/>
        <w:right w:val="none" w:sz="0" w:space="0" w:color="auto"/>
      </w:divBdr>
    </w:div>
    <w:div w:id="2091150602">
      <w:bodyDiv w:val="1"/>
      <w:marLeft w:val="0"/>
      <w:marRight w:val="0"/>
      <w:marTop w:val="0"/>
      <w:marBottom w:val="0"/>
      <w:divBdr>
        <w:top w:val="none" w:sz="0" w:space="0" w:color="auto"/>
        <w:left w:val="none" w:sz="0" w:space="0" w:color="auto"/>
        <w:bottom w:val="none" w:sz="0" w:space="0" w:color="auto"/>
        <w:right w:val="none" w:sz="0" w:space="0" w:color="auto"/>
      </w:divBdr>
    </w:div>
    <w:div w:id="2122190148">
      <w:bodyDiv w:val="1"/>
      <w:marLeft w:val="0"/>
      <w:marRight w:val="0"/>
      <w:marTop w:val="0"/>
      <w:marBottom w:val="0"/>
      <w:divBdr>
        <w:top w:val="none" w:sz="0" w:space="0" w:color="auto"/>
        <w:left w:val="none" w:sz="0" w:space="0" w:color="auto"/>
        <w:bottom w:val="none" w:sz="0" w:space="0" w:color="auto"/>
        <w:right w:val="none" w:sz="0" w:space="0" w:color="auto"/>
      </w:divBdr>
    </w:div>
    <w:div w:id="214377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4.xml"/><Relationship Id="rId39" Type="http://schemas.openxmlformats.org/officeDocument/2006/relationships/header" Target="header25.xml"/><Relationship Id="rId21" Type="http://schemas.openxmlformats.org/officeDocument/2006/relationships/header" Target="header9.xml"/><Relationship Id="rId34"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2.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footer" Target="footer6.xml"/><Relationship Id="rId38"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E998B-5356-4517-BC22-DD88AA13B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125</Pages>
  <Words>34961</Words>
  <Characters>199280</Characters>
  <Application>Microsoft Office Word</Application>
  <DocSecurity>0</DocSecurity>
  <Lines>1660</Lines>
  <Paragraphs>467</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
      <vt:lpstr>Assets include loans to other customers, debt instruments at amortized cost, fin</vt:lpstr>
      <vt:lpstr/>
      <vt:lpstr/>
      <vt:lpstr>Income includes interest income, fee income and reversal of impairment losses an</vt:lpstr>
      <vt:lpstr/>
      <vt:lpstr/>
      <vt:lpstr>b)	Collateral received</vt:lpstr>
      <vt:lpstr/>
      <vt:lpstr/>
      <vt:lpstr>Collateral received relates to first-class collateral instruments received as se</vt:lpstr>
      <vt:lpstr/>
      <vt:lpstr>Pursuant to the Quota Reinsurance Contract between HBOR, in the name and for the</vt:lpstr>
      <vt:lpstr/>
      <vt:lpstr>c)	Salaries of key management personnel </vt:lpstr>
      <vt:lpstr/>
      <vt:lpstr/>
      <vt:lpstr/>
      <vt:lpstr/>
      <vt:lpstr/>
      <vt:lpstr/>
      <vt:lpstr/>
      <vt:lpstr/>
      <vt:lpstr/>
    </vt:vector>
  </TitlesOfParts>
  <Company/>
  <LinksUpToDate>false</LinksUpToDate>
  <CharactersWithSpaces>233774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Kristina</dc:creator>
  <cp:keywords/>
  <dc:description/>
  <cp:lastModifiedBy>Juras Mirjana</cp:lastModifiedBy>
  <cp:revision>14</cp:revision>
  <cp:lastPrinted>2020-09-30T09:00:00Z</cp:lastPrinted>
  <dcterms:created xsi:type="dcterms:W3CDTF">2022-05-24T08:27:00Z</dcterms:created>
  <dcterms:modified xsi:type="dcterms:W3CDTF">2022-05-25T11:24:00Z</dcterms:modified>
</cp:coreProperties>
</file>